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90B" w:rsidRPr="00F51978" w:rsidRDefault="0095690B" w:rsidP="0086268D">
      <w:pPr>
        <w:pStyle w:val="Heading2"/>
        <w:numPr>
          <w:ilvl w:val="0"/>
          <w:numId w:val="0"/>
        </w:numPr>
        <w:spacing w:after="0" w:line="240" w:lineRule="auto"/>
        <w:ind w:left="576"/>
        <w:rPr>
          <w:lang w:val="bs-Cyrl-BA"/>
        </w:rPr>
      </w:pPr>
    </w:p>
    <w:p w:rsidR="00703128" w:rsidRPr="00703128" w:rsidRDefault="00703128" w:rsidP="004C53BA">
      <w:pPr>
        <w:rPr>
          <w:lang w:val="bs-Latn-BA"/>
        </w:rPr>
      </w:pPr>
    </w:p>
    <w:p w:rsidR="00277353" w:rsidRPr="001B57E3" w:rsidRDefault="00277353" w:rsidP="0086268D">
      <w:pPr>
        <w:jc w:val="center"/>
        <w:rPr>
          <w:rFonts w:eastAsia="Calibri" w:cs="Arial"/>
          <w:b/>
          <w:szCs w:val="24"/>
          <w:lang w:val="bs-Latn-BA"/>
        </w:rPr>
      </w:pPr>
    </w:p>
    <w:p w:rsidR="00277353" w:rsidRPr="001B57E3" w:rsidRDefault="00277353" w:rsidP="0086268D">
      <w:pPr>
        <w:jc w:val="center"/>
        <w:rPr>
          <w:rFonts w:eastAsia="Calibri" w:cs="Arial"/>
          <w:b/>
          <w:szCs w:val="24"/>
          <w:lang w:val="bs-Latn-BA"/>
        </w:rPr>
      </w:pPr>
    </w:p>
    <w:p w:rsidR="00277353" w:rsidRPr="001B57E3" w:rsidRDefault="00277353" w:rsidP="0086268D">
      <w:pPr>
        <w:jc w:val="center"/>
        <w:rPr>
          <w:rFonts w:eastAsia="Calibri" w:cs="Arial"/>
          <w:b/>
          <w:szCs w:val="24"/>
          <w:lang w:val="bs-Latn-BA"/>
        </w:rPr>
      </w:pPr>
    </w:p>
    <w:p w:rsidR="00BE1828" w:rsidRPr="001B57E3" w:rsidRDefault="00BE1828" w:rsidP="0086268D">
      <w:pPr>
        <w:jc w:val="center"/>
        <w:rPr>
          <w:rFonts w:eastAsia="Calibri" w:cs="Arial"/>
          <w:b/>
          <w:szCs w:val="24"/>
          <w:lang w:val="bs-Latn-BA"/>
        </w:rPr>
      </w:pPr>
    </w:p>
    <w:p w:rsidR="00BE1828" w:rsidRPr="001B57E3" w:rsidRDefault="00BE1828" w:rsidP="0086268D">
      <w:pPr>
        <w:jc w:val="center"/>
        <w:rPr>
          <w:rFonts w:eastAsia="Calibri" w:cs="Arial"/>
          <w:b/>
          <w:szCs w:val="24"/>
          <w:lang w:val="bs-Latn-BA"/>
        </w:rPr>
      </w:pPr>
    </w:p>
    <w:p w:rsidR="00BE1828" w:rsidRPr="001B57E3" w:rsidRDefault="00BE1828" w:rsidP="0086268D">
      <w:pPr>
        <w:jc w:val="center"/>
        <w:rPr>
          <w:rFonts w:eastAsia="Calibri" w:cs="Arial"/>
          <w:b/>
          <w:szCs w:val="24"/>
          <w:lang w:val="bs-Latn-BA"/>
        </w:rPr>
      </w:pPr>
    </w:p>
    <w:p w:rsidR="00BE1828" w:rsidRPr="001B57E3" w:rsidRDefault="00BE1828" w:rsidP="0086268D">
      <w:pPr>
        <w:jc w:val="center"/>
        <w:rPr>
          <w:rFonts w:eastAsia="Calibri" w:cs="Arial"/>
          <w:b/>
          <w:szCs w:val="24"/>
          <w:lang w:val="bs-Latn-BA"/>
        </w:rPr>
      </w:pPr>
    </w:p>
    <w:p w:rsidR="00BE1828" w:rsidRPr="001B57E3" w:rsidRDefault="00BE1828" w:rsidP="0086268D">
      <w:pPr>
        <w:jc w:val="center"/>
        <w:rPr>
          <w:rFonts w:eastAsia="Calibri" w:cs="Arial"/>
          <w:b/>
          <w:szCs w:val="24"/>
          <w:lang w:val="bs-Latn-BA"/>
        </w:rPr>
      </w:pPr>
    </w:p>
    <w:p w:rsidR="00857767" w:rsidRPr="001B57E3" w:rsidRDefault="00857767" w:rsidP="0086268D">
      <w:pPr>
        <w:jc w:val="center"/>
        <w:rPr>
          <w:rFonts w:eastAsia="Calibri" w:cs="Arial"/>
          <w:b/>
          <w:szCs w:val="24"/>
          <w:lang w:val="bs-Latn-BA"/>
        </w:rPr>
      </w:pPr>
    </w:p>
    <w:p w:rsidR="00857767" w:rsidRPr="001B57E3" w:rsidRDefault="00857767" w:rsidP="0086268D">
      <w:pPr>
        <w:jc w:val="center"/>
        <w:rPr>
          <w:rFonts w:eastAsia="Calibri" w:cs="Arial"/>
          <w:b/>
          <w:szCs w:val="24"/>
          <w:lang w:val="bs-Latn-BA"/>
        </w:rPr>
      </w:pPr>
    </w:p>
    <w:p w:rsidR="00BE1828" w:rsidRPr="001B57E3" w:rsidRDefault="00BE1828" w:rsidP="0086268D">
      <w:pPr>
        <w:jc w:val="center"/>
        <w:rPr>
          <w:rFonts w:eastAsia="Calibri" w:cs="Arial"/>
          <w:b/>
          <w:szCs w:val="24"/>
          <w:lang w:val="bs-Latn-BA"/>
        </w:rPr>
      </w:pPr>
    </w:p>
    <w:p w:rsidR="00BE1828" w:rsidRPr="001B57E3" w:rsidRDefault="00BE1828" w:rsidP="0086268D">
      <w:pPr>
        <w:jc w:val="center"/>
        <w:rPr>
          <w:rFonts w:eastAsia="Calibri" w:cs="Arial"/>
          <w:b/>
          <w:szCs w:val="24"/>
          <w:lang w:val="bs-Latn-BA"/>
        </w:rPr>
      </w:pPr>
    </w:p>
    <w:p w:rsidR="00572835" w:rsidRPr="001B57E3" w:rsidRDefault="00572835" w:rsidP="0086268D">
      <w:pPr>
        <w:rPr>
          <w:rFonts w:eastAsia="Calibri" w:cs="Arial"/>
          <w:b/>
          <w:szCs w:val="24"/>
          <w:lang w:val="bs-Latn-BA"/>
        </w:rPr>
      </w:pPr>
    </w:p>
    <w:p w:rsidR="00572835" w:rsidRPr="001B57E3" w:rsidRDefault="00572835" w:rsidP="0086268D">
      <w:pPr>
        <w:jc w:val="center"/>
        <w:rPr>
          <w:rFonts w:eastAsia="Calibri" w:cs="Arial"/>
          <w:b/>
          <w:szCs w:val="24"/>
          <w:lang w:val="bs-Latn-BA"/>
        </w:rPr>
      </w:pPr>
    </w:p>
    <w:p w:rsidR="00572835" w:rsidRPr="001B57E3" w:rsidRDefault="00572835" w:rsidP="0086268D">
      <w:pPr>
        <w:jc w:val="center"/>
        <w:rPr>
          <w:rFonts w:eastAsia="Calibri" w:cs="Arial"/>
          <w:b/>
          <w:szCs w:val="24"/>
          <w:lang w:val="bs-Latn-BA"/>
        </w:rPr>
      </w:pPr>
    </w:p>
    <w:p w:rsidR="00572835" w:rsidRPr="001B57E3" w:rsidRDefault="00572835" w:rsidP="0086268D">
      <w:pPr>
        <w:jc w:val="center"/>
        <w:rPr>
          <w:rFonts w:ascii="Times New Roman" w:eastAsia="Calibri" w:hAnsi="Times New Roman"/>
          <w:b/>
          <w:szCs w:val="24"/>
          <w:lang w:val="bs-Latn-BA"/>
        </w:rPr>
      </w:pPr>
    </w:p>
    <w:p w:rsidR="00277353" w:rsidRPr="00891BBE" w:rsidRDefault="00C6214E" w:rsidP="0086268D">
      <w:pPr>
        <w:jc w:val="center"/>
        <w:rPr>
          <w:rFonts w:ascii="Times New Roman" w:eastAsia="Calibri" w:hAnsi="Times New Roman"/>
          <w:b/>
          <w:sz w:val="28"/>
          <w:szCs w:val="28"/>
          <w:lang w:val="sr-Cyrl-BA"/>
        </w:rPr>
      </w:pPr>
      <w:r>
        <w:rPr>
          <w:rFonts w:ascii="Times New Roman" w:eastAsia="Calibri" w:hAnsi="Times New Roman"/>
          <w:b/>
          <w:sz w:val="28"/>
          <w:szCs w:val="28"/>
          <w:lang w:val="bs-Latn-BA"/>
        </w:rPr>
        <w:t>Извјештај</w:t>
      </w:r>
      <w:r w:rsidR="0023711E" w:rsidRPr="006247BB">
        <w:rPr>
          <w:rFonts w:ascii="Times New Roman" w:eastAsia="Calibri" w:hAnsi="Times New Roman"/>
          <w:b/>
          <w:sz w:val="28"/>
          <w:szCs w:val="28"/>
          <w:lang w:val="bs-Latn-BA"/>
        </w:rPr>
        <w:t xml:space="preserve"> </w:t>
      </w:r>
      <w:r>
        <w:rPr>
          <w:rFonts w:ascii="Times New Roman" w:eastAsia="Calibri" w:hAnsi="Times New Roman"/>
          <w:b/>
          <w:sz w:val="28"/>
          <w:szCs w:val="28"/>
          <w:lang w:val="bs-Latn-BA"/>
        </w:rPr>
        <w:t>о</w:t>
      </w:r>
      <w:r w:rsidR="0023711E" w:rsidRPr="006247BB">
        <w:rPr>
          <w:rFonts w:ascii="Times New Roman" w:eastAsia="Calibri" w:hAnsi="Times New Roman"/>
          <w:b/>
          <w:sz w:val="28"/>
          <w:szCs w:val="28"/>
          <w:lang w:val="bs-Latn-BA"/>
        </w:rPr>
        <w:t xml:space="preserve"> </w:t>
      </w:r>
      <w:r w:rsidR="00891BBE">
        <w:rPr>
          <w:rFonts w:ascii="Times New Roman" w:eastAsia="Calibri" w:hAnsi="Times New Roman"/>
          <w:b/>
          <w:sz w:val="28"/>
          <w:szCs w:val="28"/>
          <w:lang w:val="sr-Cyrl-BA"/>
        </w:rPr>
        <w:t>спровођењу</w:t>
      </w:r>
    </w:p>
    <w:p w:rsidR="00624B89" w:rsidRPr="006247BB" w:rsidRDefault="00C6214E" w:rsidP="0086268D">
      <w:pPr>
        <w:jc w:val="center"/>
        <w:rPr>
          <w:rFonts w:ascii="Times New Roman" w:eastAsia="Calibri" w:hAnsi="Times New Roman"/>
          <w:b/>
          <w:sz w:val="28"/>
          <w:szCs w:val="28"/>
          <w:lang w:val="bs-Latn-BA"/>
        </w:rPr>
      </w:pPr>
      <w:r>
        <w:rPr>
          <w:rFonts w:ascii="Times New Roman" w:eastAsia="Calibri" w:hAnsi="Times New Roman"/>
          <w:b/>
          <w:sz w:val="28"/>
          <w:szCs w:val="28"/>
          <w:lang w:val="bs-Latn-BA"/>
        </w:rPr>
        <w:t>Гендер</w:t>
      </w:r>
      <w:r w:rsidR="0023711E" w:rsidRPr="006247BB">
        <w:rPr>
          <w:rFonts w:ascii="Times New Roman" w:eastAsia="Calibri" w:hAnsi="Times New Roman"/>
          <w:b/>
          <w:sz w:val="28"/>
          <w:szCs w:val="28"/>
          <w:lang w:val="bs-Latn-BA"/>
        </w:rPr>
        <w:t xml:space="preserve"> </w:t>
      </w:r>
      <w:r>
        <w:rPr>
          <w:rFonts w:ascii="Times New Roman" w:eastAsia="Calibri" w:hAnsi="Times New Roman"/>
          <w:b/>
          <w:sz w:val="28"/>
          <w:szCs w:val="28"/>
          <w:lang w:val="bs-Latn-BA"/>
        </w:rPr>
        <w:t>акционог</w:t>
      </w:r>
      <w:r w:rsidR="009024B6" w:rsidRPr="006247BB">
        <w:rPr>
          <w:rFonts w:ascii="Times New Roman" w:eastAsia="Calibri" w:hAnsi="Times New Roman"/>
          <w:b/>
          <w:sz w:val="28"/>
          <w:szCs w:val="28"/>
          <w:lang w:val="bs-Latn-BA"/>
        </w:rPr>
        <w:t xml:space="preserve"> </w:t>
      </w:r>
      <w:r>
        <w:rPr>
          <w:rFonts w:ascii="Times New Roman" w:eastAsia="Calibri" w:hAnsi="Times New Roman"/>
          <w:b/>
          <w:sz w:val="28"/>
          <w:szCs w:val="28"/>
          <w:lang w:val="bs-Latn-BA"/>
        </w:rPr>
        <w:t>плана</w:t>
      </w:r>
      <w:r w:rsidR="009024B6" w:rsidRPr="006247BB">
        <w:rPr>
          <w:rFonts w:ascii="Times New Roman" w:eastAsia="Calibri" w:hAnsi="Times New Roman"/>
          <w:b/>
          <w:sz w:val="28"/>
          <w:szCs w:val="28"/>
          <w:lang w:val="bs-Latn-BA"/>
        </w:rPr>
        <w:t xml:space="preserve"> </w:t>
      </w:r>
      <w:r>
        <w:rPr>
          <w:rFonts w:ascii="Times New Roman" w:eastAsia="Calibri" w:hAnsi="Times New Roman"/>
          <w:b/>
          <w:sz w:val="28"/>
          <w:szCs w:val="28"/>
          <w:lang w:val="bs-Latn-BA"/>
        </w:rPr>
        <w:t>Босне</w:t>
      </w:r>
      <w:r w:rsidR="009024B6" w:rsidRPr="006247BB">
        <w:rPr>
          <w:rFonts w:ascii="Times New Roman" w:eastAsia="Calibri" w:hAnsi="Times New Roman"/>
          <w:b/>
          <w:sz w:val="28"/>
          <w:szCs w:val="28"/>
          <w:lang w:val="bs-Latn-BA"/>
        </w:rPr>
        <w:t xml:space="preserve"> </w:t>
      </w:r>
      <w:r>
        <w:rPr>
          <w:rFonts w:ascii="Times New Roman" w:eastAsia="Calibri" w:hAnsi="Times New Roman"/>
          <w:b/>
          <w:sz w:val="28"/>
          <w:szCs w:val="28"/>
          <w:lang w:val="bs-Latn-BA"/>
        </w:rPr>
        <w:t>и</w:t>
      </w:r>
      <w:r w:rsidR="009024B6" w:rsidRPr="006247BB">
        <w:rPr>
          <w:rFonts w:ascii="Times New Roman" w:eastAsia="Calibri" w:hAnsi="Times New Roman"/>
          <w:b/>
          <w:sz w:val="28"/>
          <w:szCs w:val="28"/>
          <w:lang w:val="bs-Latn-BA"/>
        </w:rPr>
        <w:t xml:space="preserve"> </w:t>
      </w:r>
      <w:r>
        <w:rPr>
          <w:rFonts w:ascii="Times New Roman" w:eastAsia="Calibri" w:hAnsi="Times New Roman"/>
          <w:b/>
          <w:sz w:val="28"/>
          <w:szCs w:val="28"/>
          <w:lang w:val="bs-Latn-BA"/>
        </w:rPr>
        <w:t>Херцеговине</w:t>
      </w:r>
      <w:r w:rsidR="0023711E" w:rsidRPr="006247BB">
        <w:rPr>
          <w:rFonts w:ascii="Times New Roman" w:eastAsia="Calibri" w:hAnsi="Times New Roman"/>
          <w:b/>
          <w:sz w:val="28"/>
          <w:szCs w:val="28"/>
          <w:lang w:val="bs-Latn-BA"/>
        </w:rPr>
        <w:t xml:space="preserve"> </w:t>
      </w:r>
      <w:r w:rsidR="00845976" w:rsidRPr="006247BB">
        <w:rPr>
          <w:rFonts w:ascii="Times New Roman" w:eastAsia="Calibri" w:hAnsi="Times New Roman"/>
          <w:b/>
          <w:sz w:val="28"/>
          <w:szCs w:val="28"/>
          <w:lang w:val="bs-Latn-BA"/>
        </w:rPr>
        <w:t>2023</w:t>
      </w:r>
      <w:r w:rsidR="00C67E03">
        <w:rPr>
          <w:rFonts w:ascii="Times New Roman" w:eastAsia="Calibri" w:hAnsi="Times New Roman"/>
          <w:b/>
          <w:sz w:val="28"/>
          <w:szCs w:val="28"/>
          <w:lang w:val="bs-Latn-BA"/>
        </w:rPr>
        <w:t>-</w:t>
      </w:r>
      <w:r w:rsidR="00845976" w:rsidRPr="006247BB">
        <w:rPr>
          <w:rFonts w:ascii="Times New Roman" w:eastAsia="Calibri" w:hAnsi="Times New Roman"/>
          <w:b/>
          <w:sz w:val="28"/>
          <w:szCs w:val="28"/>
          <w:lang w:val="bs-Latn-BA"/>
        </w:rPr>
        <w:t>2027</w:t>
      </w:r>
      <w:r w:rsidR="009024B6" w:rsidRPr="006247BB">
        <w:rPr>
          <w:rFonts w:ascii="Times New Roman" w:eastAsia="Calibri" w:hAnsi="Times New Roman"/>
          <w:b/>
          <w:sz w:val="28"/>
          <w:szCs w:val="28"/>
          <w:lang w:val="bs-Latn-BA"/>
        </w:rPr>
        <w:t xml:space="preserve">. </w:t>
      </w:r>
      <w:r>
        <w:rPr>
          <w:rFonts w:ascii="Times New Roman" w:eastAsia="Calibri" w:hAnsi="Times New Roman"/>
          <w:b/>
          <w:sz w:val="28"/>
          <w:szCs w:val="28"/>
          <w:lang w:val="bs-Latn-BA"/>
        </w:rPr>
        <w:t>године</w:t>
      </w:r>
    </w:p>
    <w:p w:rsidR="00277353" w:rsidRPr="006247BB" w:rsidRDefault="0023711E" w:rsidP="0086268D">
      <w:pPr>
        <w:jc w:val="center"/>
        <w:rPr>
          <w:rFonts w:ascii="Times New Roman" w:eastAsia="Calibri" w:hAnsi="Times New Roman"/>
          <w:b/>
          <w:i/>
          <w:sz w:val="28"/>
          <w:szCs w:val="28"/>
          <w:lang w:val="bs-Latn-BA"/>
        </w:rPr>
      </w:pPr>
      <w:r w:rsidRPr="006247BB">
        <w:rPr>
          <w:rFonts w:ascii="Times New Roman" w:eastAsia="Calibri" w:hAnsi="Times New Roman"/>
          <w:b/>
          <w:i/>
          <w:sz w:val="28"/>
          <w:szCs w:val="28"/>
          <w:lang w:val="bs-Latn-BA"/>
        </w:rPr>
        <w:t>(</w:t>
      </w:r>
      <w:r w:rsidR="00C6214E">
        <w:rPr>
          <w:rFonts w:ascii="Times New Roman" w:eastAsia="Calibri" w:hAnsi="Times New Roman"/>
          <w:b/>
          <w:i/>
          <w:sz w:val="28"/>
          <w:szCs w:val="28"/>
          <w:lang w:val="bs-Latn-BA"/>
        </w:rPr>
        <w:t>извјештајни</w:t>
      </w:r>
      <w:r w:rsidRPr="006247BB">
        <w:rPr>
          <w:rFonts w:ascii="Times New Roman" w:eastAsia="Calibri" w:hAnsi="Times New Roman"/>
          <w:b/>
          <w:i/>
          <w:sz w:val="28"/>
          <w:szCs w:val="28"/>
          <w:lang w:val="bs-Latn-BA"/>
        </w:rPr>
        <w:t xml:space="preserve"> </w:t>
      </w:r>
      <w:r w:rsidR="00C6214E">
        <w:rPr>
          <w:rFonts w:ascii="Times New Roman" w:eastAsia="Calibri" w:hAnsi="Times New Roman"/>
          <w:b/>
          <w:i/>
          <w:sz w:val="28"/>
          <w:szCs w:val="28"/>
          <w:lang w:val="bs-Latn-BA"/>
        </w:rPr>
        <w:t>период</w:t>
      </w:r>
      <w:r w:rsidRPr="006247BB">
        <w:rPr>
          <w:rFonts w:ascii="Times New Roman" w:eastAsia="Calibri" w:hAnsi="Times New Roman"/>
          <w:b/>
          <w:i/>
          <w:sz w:val="28"/>
          <w:szCs w:val="28"/>
          <w:lang w:val="bs-Latn-BA"/>
        </w:rPr>
        <w:t xml:space="preserve">: </w:t>
      </w:r>
      <w:r w:rsidR="00C6214E">
        <w:rPr>
          <w:rFonts w:ascii="Times New Roman" w:eastAsia="Calibri" w:hAnsi="Times New Roman"/>
          <w:b/>
          <w:i/>
          <w:sz w:val="28"/>
          <w:szCs w:val="28"/>
          <w:lang w:val="bs-Latn-BA"/>
        </w:rPr>
        <w:t>октобар</w:t>
      </w:r>
      <w:r w:rsidRPr="006247BB">
        <w:rPr>
          <w:rFonts w:ascii="Times New Roman" w:eastAsia="Calibri" w:hAnsi="Times New Roman"/>
          <w:b/>
          <w:i/>
          <w:sz w:val="28"/>
          <w:szCs w:val="28"/>
          <w:lang w:val="bs-Latn-BA"/>
        </w:rPr>
        <w:t xml:space="preserve"> 2023</w:t>
      </w:r>
      <w:r w:rsidR="00132531">
        <w:rPr>
          <w:rFonts w:ascii="Times New Roman" w:eastAsia="Calibri" w:hAnsi="Times New Roman"/>
          <w:b/>
          <w:i/>
          <w:sz w:val="28"/>
          <w:szCs w:val="28"/>
          <w:lang w:val="bs-Latn-BA"/>
        </w:rPr>
        <w:t>.</w:t>
      </w:r>
      <w:r w:rsidRPr="006247BB">
        <w:rPr>
          <w:rFonts w:ascii="Times New Roman" w:eastAsia="Calibri" w:hAnsi="Times New Roman"/>
          <w:b/>
          <w:i/>
          <w:sz w:val="28"/>
          <w:szCs w:val="28"/>
          <w:lang w:val="bs-Latn-BA"/>
        </w:rPr>
        <w:t xml:space="preserve"> – </w:t>
      </w:r>
      <w:r w:rsidR="00C6214E">
        <w:rPr>
          <w:rFonts w:ascii="Times New Roman" w:eastAsia="Calibri" w:hAnsi="Times New Roman"/>
          <w:b/>
          <w:i/>
          <w:sz w:val="28"/>
          <w:szCs w:val="28"/>
          <w:lang w:val="bs-Latn-BA"/>
        </w:rPr>
        <w:t>децембар</w:t>
      </w:r>
      <w:r w:rsidRPr="006247BB">
        <w:rPr>
          <w:rFonts w:ascii="Times New Roman" w:eastAsia="Calibri" w:hAnsi="Times New Roman"/>
          <w:b/>
          <w:i/>
          <w:sz w:val="28"/>
          <w:szCs w:val="28"/>
          <w:lang w:val="bs-Latn-BA"/>
        </w:rPr>
        <w:t xml:space="preserve"> 2024</w:t>
      </w:r>
      <w:r w:rsidR="00177112" w:rsidRPr="006247BB">
        <w:rPr>
          <w:rFonts w:ascii="Times New Roman" w:eastAsia="Calibri" w:hAnsi="Times New Roman"/>
          <w:b/>
          <w:i/>
          <w:sz w:val="28"/>
          <w:szCs w:val="28"/>
          <w:lang w:val="bs-Latn-BA"/>
        </w:rPr>
        <w:t>.</w:t>
      </w:r>
      <w:r w:rsidR="0098033A" w:rsidRPr="006247BB">
        <w:rPr>
          <w:rFonts w:ascii="Times New Roman" w:eastAsia="Calibri" w:hAnsi="Times New Roman"/>
          <w:b/>
          <w:i/>
          <w:sz w:val="28"/>
          <w:szCs w:val="28"/>
          <w:lang w:val="bs-Latn-BA"/>
        </w:rPr>
        <w:t xml:space="preserve"> </w:t>
      </w:r>
      <w:r w:rsidR="00C6214E">
        <w:rPr>
          <w:rFonts w:ascii="Times New Roman" w:eastAsia="Calibri" w:hAnsi="Times New Roman"/>
          <w:b/>
          <w:i/>
          <w:sz w:val="28"/>
          <w:szCs w:val="28"/>
          <w:lang w:val="bs-Latn-BA"/>
        </w:rPr>
        <w:t>године</w:t>
      </w:r>
      <w:r w:rsidRPr="006247BB">
        <w:rPr>
          <w:rFonts w:ascii="Times New Roman" w:eastAsia="Calibri" w:hAnsi="Times New Roman"/>
          <w:b/>
          <w:i/>
          <w:sz w:val="28"/>
          <w:szCs w:val="28"/>
          <w:lang w:val="bs-Latn-BA"/>
        </w:rPr>
        <w:t>)</w:t>
      </w:r>
    </w:p>
    <w:p w:rsidR="00277353" w:rsidRPr="00295637" w:rsidRDefault="00277353" w:rsidP="0086268D">
      <w:pPr>
        <w:jc w:val="both"/>
        <w:rPr>
          <w:rFonts w:eastAsia="Calibri" w:cs="Arial"/>
          <w:szCs w:val="24"/>
          <w:lang w:val="bs-Latn-BA"/>
        </w:rPr>
      </w:pPr>
    </w:p>
    <w:p w:rsidR="00277353" w:rsidRPr="00295637" w:rsidRDefault="00277353" w:rsidP="0086268D">
      <w:pPr>
        <w:jc w:val="both"/>
        <w:rPr>
          <w:rFonts w:eastAsia="Calibri" w:cs="Arial"/>
          <w:szCs w:val="24"/>
          <w:lang w:val="bs-Latn-BA"/>
        </w:rPr>
      </w:pPr>
    </w:p>
    <w:p w:rsidR="00277353" w:rsidRPr="00295637" w:rsidRDefault="00277353" w:rsidP="0086268D">
      <w:pPr>
        <w:jc w:val="both"/>
        <w:rPr>
          <w:rFonts w:eastAsia="Calibri" w:cs="Arial"/>
          <w:szCs w:val="24"/>
          <w:lang w:val="bs-Latn-BA"/>
        </w:rPr>
      </w:pPr>
    </w:p>
    <w:p w:rsidR="00AC706C" w:rsidRPr="00295637" w:rsidRDefault="00AC706C" w:rsidP="0086268D">
      <w:pPr>
        <w:jc w:val="both"/>
        <w:rPr>
          <w:rFonts w:eastAsia="Calibri" w:cs="Arial"/>
          <w:szCs w:val="24"/>
          <w:lang w:val="bs-Latn-BA"/>
        </w:rPr>
      </w:pPr>
    </w:p>
    <w:p w:rsidR="00853E7E" w:rsidRPr="00295637" w:rsidRDefault="00853E7E" w:rsidP="0086268D">
      <w:pPr>
        <w:jc w:val="both"/>
        <w:rPr>
          <w:rFonts w:eastAsia="Calibri" w:cs="Arial"/>
          <w:szCs w:val="24"/>
          <w:lang w:val="bs-Latn-BA"/>
        </w:rPr>
      </w:pPr>
    </w:p>
    <w:p w:rsidR="00D23FBB" w:rsidRPr="00295637" w:rsidRDefault="00D23FBB" w:rsidP="0086268D">
      <w:pPr>
        <w:jc w:val="center"/>
        <w:rPr>
          <w:rFonts w:eastAsia="Calibri" w:cs="Arial"/>
          <w:b/>
          <w:szCs w:val="24"/>
          <w:lang w:val="bs-Latn-BA"/>
        </w:rPr>
      </w:pPr>
    </w:p>
    <w:p w:rsidR="00D23FBB" w:rsidRPr="00295637" w:rsidRDefault="00D23FBB" w:rsidP="0086268D">
      <w:pPr>
        <w:jc w:val="center"/>
        <w:rPr>
          <w:rFonts w:eastAsia="Calibri" w:cs="Arial"/>
          <w:b/>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1B57E3" w:rsidRPr="00295637" w:rsidRDefault="001B57E3" w:rsidP="0086268D">
      <w:pPr>
        <w:tabs>
          <w:tab w:val="left" w:pos="7740"/>
        </w:tabs>
        <w:rPr>
          <w:rFonts w:eastAsia="Calibri" w:cs="Arial"/>
          <w:szCs w:val="24"/>
          <w:lang w:val="bs-Latn-BA"/>
        </w:rPr>
      </w:pPr>
    </w:p>
    <w:p w:rsidR="001B57E3" w:rsidRPr="00295637" w:rsidRDefault="001B57E3" w:rsidP="0086268D">
      <w:pPr>
        <w:tabs>
          <w:tab w:val="left" w:pos="7740"/>
        </w:tabs>
        <w:rPr>
          <w:rFonts w:eastAsia="Calibri" w:cs="Arial"/>
          <w:szCs w:val="24"/>
          <w:lang w:val="bs-Latn-BA"/>
        </w:rPr>
      </w:pPr>
    </w:p>
    <w:p w:rsidR="001B57E3" w:rsidRPr="00295637" w:rsidRDefault="001B57E3" w:rsidP="0086268D">
      <w:pPr>
        <w:tabs>
          <w:tab w:val="left" w:pos="7740"/>
        </w:tabs>
        <w:rPr>
          <w:rFonts w:eastAsia="Calibri" w:cs="Arial"/>
          <w:szCs w:val="24"/>
          <w:lang w:val="bs-Latn-BA"/>
        </w:rPr>
      </w:pPr>
    </w:p>
    <w:p w:rsidR="001B57E3" w:rsidRPr="00295637" w:rsidRDefault="001B57E3" w:rsidP="0086268D">
      <w:pPr>
        <w:tabs>
          <w:tab w:val="left" w:pos="7740"/>
        </w:tabs>
        <w:rPr>
          <w:rFonts w:eastAsia="Calibri" w:cs="Arial"/>
          <w:szCs w:val="24"/>
          <w:lang w:val="bs-Latn-BA"/>
        </w:rPr>
      </w:pPr>
    </w:p>
    <w:p w:rsidR="001B57E3" w:rsidRPr="00295637" w:rsidRDefault="001B57E3"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BE1828" w:rsidRPr="00295637" w:rsidRDefault="00BE1828" w:rsidP="0086268D">
      <w:pPr>
        <w:tabs>
          <w:tab w:val="left" w:pos="7740"/>
        </w:tabs>
        <w:rPr>
          <w:rFonts w:eastAsia="Calibri" w:cs="Arial"/>
          <w:szCs w:val="24"/>
          <w:lang w:val="bs-Latn-BA"/>
        </w:rPr>
      </w:pPr>
    </w:p>
    <w:p w:rsidR="004051C6" w:rsidRPr="00295637" w:rsidRDefault="00891BBE" w:rsidP="0086268D">
      <w:pPr>
        <w:tabs>
          <w:tab w:val="left" w:pos="7740"/>
        </w:tabs>
        <w:jc w:val="center"/>
        <w:rPr>
          <w:rFonts w:ascii="Times New Roman" w:eastAsia="Calibri" w:hAnsi="Times New Roman"/>
          <w:szCs w:val="24"/>
          <w:lang w:val="bs-Latn-BA"/>
        </w:rPr>
      </w:pPr>
      <w:r>
        <w:rPr>
          <w:rFonts w:ascii="Times New Roman" w:eastAsia="Calibri" w:hAnsi="Times New Roman"/>
          <w:szCs w:val="24"/>
          <w:lang w:val="bs-Latn-BA"/>
        </w:rPr>
        <w:t>јул</w:t>
      </w:r>
      <w:r w:rsidR="00AF7AF3">
        <w:rPr>
          <w:rFonts w:ascii="Times New Roman" w:eastAsia="Calibri" w:hAnsi="Times New Roman"/>
          <w:szCs w:val="24"/>
          <w:lang w:val="bs-Latn-BA"/>
        </w:rPr>
        <w:t>,</w:t>
      </w:r>
      <w:r w:rsidR="00BE1828" w:rsidRPr="00295637">
        <w:rPr>
          <w:rFonts w:ascii="Times New Roman" w:eastAsia="Calibri" w:hAnsi="Times New Roman"/>
          <w:szCs w:val="24"/>
          <w:lang w:val="bs-Latn-BA"/>
        </w:rPr>
        <w:t xml:space="preserve"> 2025. </w:t>
      </w:r>
      <w:r w:rsidR="00C6214E">
        <w:rPr>
          <w:rFonts w:ascii="Times New Roman" w:eastAsia="Calibri" w:hAnsi="Times New Roman"/>
          <w:szCs w:val="24"/>
          <w:lang w:val="bs-Latn-BA"/>
        </w:rPr>
        <w:t>године</w:t>
      </w:r>
      <w:r w:rsidR="004051C6" w:rsidRPr="00295637">
        <w:rPr>
          <w:rFonts w:ascii="Times New Roman" w:eastAsia="Calibri" w:hAnsi="Times New Roman"/>
          <w:b/>
          <w:szCs w:val="24"/>
          <w:lang w:val="bs-Latn-BA"/>
        </w:rPr>
        <w:br w:type="page"/>
      </w:r>
    </w:p>
    <w:p w:rsidR="00356C2C" w:rsidRPr="00295637" w:rsidRDefault="00C6214E" w:rsidP="0086268D">
      <w:pPr>
        <w:rPr>
          <w:rFonts w:ascii="Times New Roman" w:eastAsia="Calibri" w:hAnsi="Times New Roman"/>
          <w:b/>
          <w:sz w:val="22"/>
          <w:szCs w:val="22"/>
          <w:lang w:val="bs-Latn-BA"/>
        </w:rPr>
      </w:pPr>
      <w:r>
        <w:rPr>
          <w:rFonts w:ascii="Times New Roman" w:eastAsia="Calibri" w:hAnsi="Times New Roman"/>
          <w:b/>
          <w:sz w:val="22"/>
          <w:szCs w:val="22"/>
          <w:lang w:val="bs-Latn-BA"/>
        </w:rPr>
        <w:lastRenderedPageBreak/>
        <w:t>САДРЖАЈ</w:t>
      </w:r>
    </w:p>
    <w:p w:rsidR="00356C2C" w:rsidRPr="00295637" w:rsidRDefault="00356C2C" w:rsidP="0086268D">
      <w:pPr>
        <w:ind w:left="1080" w:hanging="540"/>
        <w:jc w:val="both"/>
        <w:rPr>
          <w:rFonts w:ascii="Times New Roman" w:eastAsia="Calibri" w:hAnsi="Times New Roman"/>
          <w:b/>
          <w:sz w:val="22"/>
          <w:szCs w:val="22"/>
          <w:lang w:val="bs-Latn-BA"/>
        </w:rPr>
      </w:pPr>
    </w:p>
    <w:p w:rsidR="00D673D2" w:rsidRPr="00295637" w:rsidRDefault="00356C2C" w:rsidP="0086268D">
      <w:pPr>
        <w:pStyle w:val="TOC1"/>
        <w:spacing w:line="240" w:lineRule="auto"/>
        <w:rPr>
          <w:rFonts w:ascii="Times New Roman" w:eastAsiaTheme="minorEastAsia" w:hAnsi="Times New Roman"/>
          <w:b w:val="0"/>
          <w:sz w:val="22"/>
          <w:szCs w:val="22"/>
          <w:lang w:val="en-US"/>
        </w:rPr>
      </w:pPr>
      <w:r w:rsidRPr="00295637">
        <w:rPr>
          <w:rFonts w:ascii="Times New Roman" w:hAnsi="Times New Roman"/>
          <w:noProof w:val="0"/>
          <w:sz w:val="22"/>
          <w:szCs w:val="22"/>
          <w:lang w:val="bs-Latn-BA"/>
        </w:rPr>
        <w:fldChar w:fldCharType="begin"/>
      </w:r>
      <w:r w:rsidRPr="00295637">
        <w:rPr>
          <w:rFonts w:ascii="Times New Roman" w:hAnsi="Times New Roman"/>
          <w:noProof w:val="0"/>
          <w:sz w:val="22"/>
          <w:szCs w:val="22"/>
          <w:lang w:val="bs-Latn-BA"/>
        </w:rPr>
        <w:instrText xml:space="preserve"> TOC \o "1-3" \h \z \u </w:instrText>
      </w:r>
      <w:r w:rsidRPr="00295637">
        <w:rPr>
          <w:rFonts w:ascii="Times New Roman" w:hAnsi="Times New Roman"/>
          <w:noProof w:val="0"/>
          <w:sz w:val="22"/>
          <w:szCs w:val="22"/>
          <w:lang w:val="bs-Latn-BA"/>
        </w:rPr>
        <w:fldChar w:fldCharType="separate"/>
      </w:r>
      <w:hyperlink w:anchor="_Toc195016587" w:history="1">
        <w:r w:rsidR="00891BBE">
          <w:rPr>
            <w:rStyle w:val="Hyperlink"/>
            <w:rFonts w:ascii="Times New Roman" w:hAnsi="Times New Roman"/>
            <w:color w:val="auto"/>
            <w:sz w:val="22"/>
            <w:szCs w:val="22"/>
          </w:rPr>
          <w:t>СКРАЋЕНИЦE</w:t>
        </w:r>
        <w:r w:rsidR="00D673D2" w:rsidRPr="00295637">
          <w:rPr>
            <w:rFonts w:ascii="Times New Roman" w:hAnsi="Times New Roman"/>
            <w:webHidden/>
            <w:sz w:val="22"/>
            <w:szCs w:val="22"/>
          </w:rPr>
          <w:tab/>
        </w:r>
        <w:r w:rsidR="00DC4A18">
          <w:rPr>
            <w:rFonts w:ascii="Times New Roman" w:hAnsi="Times New Roman"/>
            <w:webHidden/>
            <w:sz w:val="22"/>
            <w:szCs w:val="22"/>
          </w:rPr>
          <w:t>...................................................................................</w:t>
        </w:r>
        <w:r w:rsidR="00891BBE">
          <w:rPr>
            <w:rFonts w:ascii="Times New Roman" w:hAnsi="Times New Roman"/>
            <w:webHidden/>
            <w:sz w:val="22"/>
            <w:szCs w:val="22"/>
          </w:rPr>
          <w:t>...............................</w:t>
        </w:r>
        <w:r w:rsidR="00DC4A18">
          <w:rPr>
            <w:rFonts w:ascii="Times New Roman" w:hAnsi="Times New Roman"/>
            <w:webHidden/>
            <w:sz w:val="22"/>
            <w:szCs w:val="22"/>
          </w:rPr>
          <w:t>.................................</w:t>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_Toc195016587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1569D6">
          <w:rPr>
            <w:rFonts w:ascii="Times New Roman" w:hAnsi="Times New Roman"/>
            <w:webHidden/>
            <w:sz w:val="22"/>
            <w:szCs w:val="22"/>
          </w:rPr>
          <w:t>3</w:t>
        </w:r>
        <w:r w:rsidR="00D673D2" w:rsidRPr="00295637">
          <w:rPr>
            <w:rFonts w:ascii="Times New Roman" w:hAnsi="Times New Roman"/>
            <w:webHidden/>
            <w:sz w:val="22"/>
            <w:szCs w:val="22"/>
          </w:rPr>
          <w:fldChar w:fldCharType="end"/>
        </w:r>
      </w:hyperlink>
    </w:p>
    <w:p w:rsidR="00D673D2" w:rsidRPr="00295637" w:rsidRDefault="00EB31AF" w:rsidP="0086268D">
      <w:pPr>
        <w:pStyle w:val="TOC1"/>
        <w:spacing w:line="240" w:lineRule="auto"/>
        <w:rPr>
          <w:rFonts w:ascii="Times New Roman" w:eastAsiaTheme="minorEastAsia" w:hAnsi="Times New Roman"/>
          <w:b w:val="0"/>
          <w:sz w:val="22"/>
          <w:szCs w:val="22"/>
          <w:lang w:val="en-US"/>
        </w:rPr>
      </w:pPr>
      <w:hyperlink w:anchor="_Toc195016588" w:history="1">
        <w:r w:rsidR="00C6214E">
          <w:rPr>
            <w:rStyle w:val="Hyperlink"/>
            <w:rFonts w:ascii="Times New Roman" w:hAnsi="Times New Roman"/>
            <w:color w:val="auto"/>
            <w:sz w:val="22"/>
            <w:szCs w:val="22"/>
            <w:lang w:val="bs-Latn-BA"/>
          </w:rPr>
          <w:t>УВОД</w:t>
        </w:r>
        <w:r w:rsidR="00D673D2" w:rsidRPr="00295637">
          <w:rPr>
            <w:rFonts w:ascii="Times New Roman" w:hAnsi="Times New Roman"/>
            <w:webHidden/>
            <w:sz w:val="22"/>
            <w:szCs w:val="22"/>
          </w:rPr>
          <w:tab/>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_Toc195016588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1569D6">
          <w:rPr>
            <w:rFonts w:ascii="Times New Roman" w:hAnsi="Times New Roman"/>
            <w:webHidden/>
            <w:sz w:val="22"/>
            <w:szCs w:val="22"/>
          </w:rPr>
          <w:t>6</w:t>
        </w:r>
        <w:r w:rsidR="00D673D2" w:rsidRPr="00295637">
          <w:rPr>
            <w:rFonts w:ascii="Times New Roman" w:hAnsi="Times New Roman"/>
            <w:webHidden/>
            <w:sz w:val="22"/>
            <w:szCs w:val="22"/>
          </w:rPr>
          <w:fldChar w:fldCharType="end"/>
        </w:r>
      </w:hyperlink>
    </w:p>
    <w:p w:rsidR="00D673D2" w:rsidRPr="00295637" w:rsidRDefault="00EB31AF" w:rsidP="0086268D">
      <w:pPr>
        <w:pStyle w:val="TOC1"/>
        <w:spacing w:line="240" w:lineRule="auto"/>
        <w:rPr>
          <w:rFonts w:ascii="Times New Roman" w:eastAsiaTheme="minorEastAsia" w:hAnsi="Times New Roman"/>
          <w:b w:val="0"/>
          <w:sz w:val="22"/>
          <w:szCs w:val="22"/>
          <w:lang w:val="en-US"/>
        </w:rPr>
      </w:pPr>
      <w:hyperlink w:anchor="_Toc195016589" w:history="1">
        <w:r w:rsidR="00C6214E">
          <w:rPr>
            <w:rStyle w:val="Hyperlink"/>
            <w:rFonts w:ascii="Times New Roman" w:hAnsi="Times New Roman"/>
            <w:color w:val="auto"/>
            <w:sz w:val="22"/>
            <w:szCs w:val="22"/>
            <w:lang w:val="bs-Latn-BA"/>
          </w:rPr>
          <w:t>РЕЗИМЕ</w:t>
        </w:r>
        <w:r w:rsidR="00D673D2" w:rsidRPr="00295637">
          <w:rPr>
            <w:rFonts w:ascii="Times New Roman" w:hAnsi="Times New Roman"/>
            <w:webHidden/>
            <w:sz w:val="22"/>
            <w:szCs w:val="22"/>
          </w:rPr>
          <w:tab/>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_Toc195016589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1569D6">
          <w:rPr>
            <w:rFonts w:ascii="Times New Roman" w:hAnsi="Times New Roman"/>
            <w:webHidden/>
            <w:sz w:val="22"/>
            <w:szCs w:val="22"/>
          </w:rPr>
          <w:t>6</w:t>
        </w:r>
        <w:r w:rsidR="00D673D2" w:rsidRPr="00295637">
          <w:rPr>
            <w:rFonts w:ascii="Times New Roman" w:hAnsi="Times New Roman"/>
            <w:webHidden/>
            <w:sz w:val="22"/>
            <w:szCs w:val="22"/>
          </w:rPr>
          <w:fldChar w:fldCharType="end"/>
        </w:r>
      </w:hyperlink>
    </w:p>
    <w:p w:rsidR="00D673D2" w:rsidRPr="00295637" w:rsidRDefault="00D673D2" w:rsidP="0086268D">
      <w:pPr>
        <w:pStyle w:val="TOC2"/>
        <w:spacing w:line="240" w:lineRule="auto"/>
        <w:rPr>
          <w:rStyle w:val="Hyperlink"/>
          <w:rFonts w:ascii="Times New Roman" w:hAnsi="Times New Roman" w:cs="Times New Roman"/>
          <w:color w:val="auto"/>
          <w:sz w:val="22"/>
          <w:szCs w:val="22"/>
        </w:rPr>
      </w:pPr>
    </w:p>
    <w:p w:rsidR="00D673D2" w:rsidRPr="00295637" w:rsidRDefault="00EB31AF" w:rsidP="0086268D">
      <w:pPr>
        <w:pStyle w:val="TOC2"/>
        <w:spacing w:line="240" w:lineRule="auto"/>
        <w:rPr>
          <w:rFonts w:ascii="Times New Roman" w:eastAsiaTheme="minorEastAsia" w:hAnsi="Times New Roman" w:cs="Times New Roman"/>
          <w:b w:val="0"/>
          <w:sz w:val="22"/>
          <w:szCs w:val="22"/>
        </w:rPr>
      </w:pPr>
      <w:hyperlink w:anchor="_Toc195016590" w:history="1">
        <w:r w:rsidR="00891BBE">
          <w:rPr>
            <w:rStyle w:val="Hyperlink"/>
            <w:rFonts w:ascii="Times New Roman" w:hAnsi="Times New Roman" w:cs="Times New Roman"/>
            <w:color w:val="auto"/>
            <w:sz w:val="22"/>
            <w:szCs w:val="22"/>
            <w:lang w:val="bs-Latn-BA"/>
          </w:rPr>
          <w:t>I</w:t>
        </w:r>
        <w:r w:rsidR="00D673D2" w:rsidRPr="00295637">
          <w:rPr>
            <w:rFonts w:ascii="Times New Roman" w:eastAsiaTheme="minorEastAsia" w:hAnsi="Times New Roman" w:cs="Times New Roman"/>
            <w:b w:val="0"/>
            <w:sz w:val="22"/>
            <w:szCs w:val="22"/>
          </w:rPr>
          <w:tab/>
        </w:r>
        <w:r w:rsidR="00C6214E">
          <w:rPr>
            <w:rStyle w:val="Hyperlink"/>
            <w:rFonts w:ascii="Times New Roman" w:hAnsi="Times New Roman" w:cs="Times New Roman"/>
            <w:color w:val="auto"/>
            <w:sz w:val="22"/>
            <w:szCs w:val="22"/>
            <w:lang w:val="bs-Latn-BA"/>
          </w:rPr>
          <w:t>СТРАТЕШКИ</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ЦИЉ</w:t>
        </w:r>
        <w:r w:rsidR="00D673D2" w:rsidRPr="00295637">
          <w:rPr>
            <w:rStyle w:val="Hyperlink"/>
            <w:rFonts w:ascii="Times New Roman" w:hAnsi="Times New Roman" w:cs="Times New Roman"/>
            <w:color w:val="auto"/>
            <w:sz w:val="22"/>
            <w:szCs w:val="22"/>
            <w:lang w:val="bs-Latn-BA"/>
          </w:rPr>
          <w:t xml:space="preserve"> 1: </w:t>
        </w:r>
        <w:r w:rsidR="00C6214E">
          <w:rPr>
            <w:rStyle w:val="Hyperlink"/>
            <w:rFonts w:ascii="Times New Roman" w:hAnsi="Times New Roman" w:cs="Times New Roman"/>
            <w:color w:val="auto"/>
            <w:sz w:val="22"/>
            <w:szCs w:val="22"/>
            <w:lang w:val="bs-Latn-BA"/>
          </w:rPr>
          <w:t>Израда</w:t>
        </w:r>
        <w:r w:rsidR="00D673D2" w:rsidRPr="00295637">
          <w:rPr>
            <w:rStyle w:val="Hyperlink"/>
            <w:rFonts w:ascii="Times New Roman" w:hAnsi="Times New Roman" w:cs="Times New Roman"/>
            <w:color w:val="auto"/>
            <w:sz w:val="22"/>
            <w:szCs w:val="22"/>
            <w:lang w:val="bs-Latn-BA"/>
          </w:rPr>
          <w:t xml:space="preserve">, </w:t>
        </w:r>
        <w:r w:rsidR="00891BBE">
          <w:rPr>
            <w:rStyle w:val="Hyperlink"/>
            <w:rFonts w:ascii="Times New Roman" w:hAnsi="Times New Roman" w:cs="Times New Roman"/>
            <w:color w:val="auto"/>
            <w:sz w:val="22"/>
            <w:szCs w:val="22"/>
            <w:lang w:val="sr-Cyrl-BA"/>
          </w:rPr>
          <w:t>спровођење</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и</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праћење</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програма</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мјера</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за</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унапређење</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равноправности</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полова</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у</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институцијама</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власти</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по</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приоритетним</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областима</w:t>
        </w:r>
        <w:r w:rsidR="00D673D2" w:rsidRPr="00295637">
          <w:rPr>
            <w:rFonts w:ascii="Times New Roman" w:hAnsi="Times New Roman" w:cs="Times New Roman"/>
            <w:webHidden/>
            <w:sz w:val="22"/>
            <w:szCs w:val="22"/>
          </w:rPr>
          <w:tab/>
        </w:r>
        <w:r w:rsidR="00D673D2" w:rsidRPr="00295637">
          <w:rPr>
            <w:rFonts w:ascii="Times New Roman" w:hAnsi="Times New Roman" w:cs="Times New Roman"/>
            <w:webHidden/>
            <w:sz w:val="22"/>
            <w:szCs w:val="22"/>
          </w:rPr>
          <w:fldChar w:fldCharType="begin"/>
        </w:r>
        <w:r w:rsidR="00D673D2" w:rsidRPr="00295637">
          <w:rPr>
            <w:rFonts w:ascii="Times New Roman" w:hAnsi="Times New Roman" w:cs="Times New Roman"/>
            <w:webHidden/>
            <w:sz w:val="22"/>
            <w:szCs w:val="22"/>
          </w:rPr>
          <w:instrText xml:space="preserve"> PAGEREF _Toc195016590 \h </w:instrText>
        </w:r>
        <w:r w:rsidR="00D673D2" w:rsidRPr="00295637">
          <w:rPr>
            <w:rFonts w:ascii="Times New Roman" w:hAnsi="Times New Roman" w:cs="Times New Roman"/>
            <w:webHidden/>
            <w:sz w:val="22"/>
            <w:szCs w:val="22"/>
          </w:rPr>
        </w:r>
        <w:r w:rsidR="00D673D2" w:rsidRPr="00295637">
          <w:rPr>
            <w:rFonts w:ascii="Times New Roman" w:hAnsi="Times New Roman" w:cs="Times New Roman"/>
            <w:webHidden/>
            <w:sz w:val="22"/>
            <w:szCs w:val="22"/>
          </w:rPr>
          <w:fldChar w:fldCharType="separate"/>
        </w:r>
        <w:r w:rsidR="001569D6">
          <w:rPr>
            <w:rFonts w:ascii="Times New Roman" w:hAnsi="Times New Roman" w:cs="Times New Roman"/>
            <w:webHidden/>
            <w:sz w:val="22"/>
            <w:szCs w:val="22"/>
          </w:rPr>
          <w:t>7</w:t>
        </w:r>
        <w:r w:rsidR="00D673D2" w:rsidRPr="00295637">
          <w:rPr>
            <w:rFonts w:ascii="Times New Roman" w:hAnsi="Times New Roman" w:cs="Times New Roman"/>
            <w:webHidden/>
            <w:sz w:val="22"/>
            <w:szCs w:val="22"/>
          </w:rPr>
          <w:fldChar w:fldCharType="end"/>
        </w:r>
      </w:hyperlink>
    </w:p>
    <w:p w:rsidR="00D673D2" w:rsidRPr="00295637" w:rsidRDefault="00EB31AF" w:rsidP="0086268D">
      <w:pPr>
        <w:pStyle w:val="TOC3"/>
        <w:rPr>
          <w:rFonts w:eastAsiaTheme="minorEastAsia"/>
          <w:b w:val="0"/>
        </w:rPr>
      </w:pPr>
      <w:hyperlink w:anchor="_Toc195016591" w:history="1">
        <w:r w:rsidR="00891BBE">
          <w:rPr>
            <w:rStyle w:val="Hyperlink"/>
            <w:b w:val="0"/>
            <w:color w:val="auto"/>
            <w:sz w:val="22"/>
            <w:szCs w:val="22"/>
          </w:rPr>
          <w:t>I</w:t>
        </w:r>
        <w:r w:rsidR="00097C81">
          <w:rPr>
            <w:rStyle w:val="Hyperlink"/>
            <w:b w:val="0"/>
            <w:color w:val="auto"/>
            <w:sz w:val="22"/>
            <w:szCs w:val="22"/>
          </w:rPr>
          <w:t xml:space="preserve"> </w:t>
        </w:r>
        <w:r w:rsidR="00D673D2" w:rsidRPr="00295637">
          <w:rPr>
            <w:rStyle w:val="Hyperlink"/>
            <w:b w:val="0"/>
            <w:color w:val="auto"/>
            <w:sz w:val="22"/>
            <w:szCs w:val="22"/>
          </w:rPr>
          <w:t>1.</w:t>
        </w:r>
        <w:r w:rsidR="00D673D2" w:rsidRPr="00295637">
          <w:rPr>
            <w:rFonts w:eastAsiaTheme="minorEastAsia"/>
            <w:b w:val="0"/>
          </w:rPr>
          <w:tab/>
        </w:r>
        <w:r w:rsidR="00C6214E">
          <w:rPr>
            <w:rStyle w:val="Hyperlink"/>
            <w:b w:val="0"/>
            <w:color w:val="auto"/>
            <w:sz w:val="22"/>
            <w:szCs w:val="22"/>
          </w:rPr>
          <w:t>Спречавање</w:t>
        </w:r>
        <w:r w:rsidR="00D673D2" w:rsidRPr="00295637">
          <w:rPr>
            <w:rStyle w:val="Hyperlink"/>
            <w:b w:val="0"/>
            <w:color w:val="auto"/>
            <w:sz w:val="22"/>
            <w:szCs w:val="22"/>
          </w:rPr>
          <w:t xml:space="preserve"> </w:t>
        </w:r>
        <w:r w:rsidR="00C6214E">
          <w:rPr>
            <w:rStyle w:val="Hyperlink"/>
            <w:b w:val="0"/>
            <w:color w:val="auto"/>
            <w:sz w:val="22"/>
            <w:szCs w:val="22"/>
          </w:rPr>
          <w:t>и</w:t>
        </w:r>
        <w:r w:rsidR="00D673D2" w:rsidRPr="00295637">
          <w:rPr>
            <w:rStyle w:val="Hyperlink"/>
            <w:b w:val="0"/>
            <w:color w:val="auto"/>
            <w:sz w:val="22"/>
            <w:szCs w:val="22"/>
          </w:rPr>
          <w:t xml:space="preserve"> </w:t>
        </w:r>
        <w:r w:rsidR="00C6214E">
          <w:rPr>
            <w:rStyle w:val="Hyperlink"/>
            <w:b w:val="0"/>
            <w:color w:val="auto"/>
            <w:sz w:val="22"/>
            <w:szCs w:val="22"/>
          </w:rPr>
          <w:t>сузбијање</w:t>
        </w:r>
        <w:r w:rsidR="00D673D2" w:rsidRPr="00295637">
          <w:rPr>
            <w:rStyle w:val="Hyperlink"/>
            <w:b w:val="0"/>
            <w:color w:val="auto"/>
            <w:sz w:val="22"/>
            <w:szCs w:val="22"/>
          </w:rPr>
          <w:t xml:space="preserve"> </w:t>
        </w:r>
        <w:r w:rsidR="00C6214E">
          <w:rPr>
            <w:rStyle w:val="Hyperlink"/>
            <w:b w:val="0"/>
            <w:color w:val="auto"/>
            <w:sz w:val="22"/>
            <w:szCs w:val="22"/>
          </w:rPr>
          <w:t>насиља</w:t>
        </w:r>
        <w:r w:rsidR="00D673D2" w:rsidRPr="00295637">
          <w:rPr>
            <w:rStyle w:val="Hyperlink"/>
            <w:b w:val="0"/>
            <w:color w:val="auto"/>
            <w:sz w:val="22"/>
            <w:szCs w:val="22"/>
          </w:rPr>
          <w:t xml:space="preserve"> </w:t>
        </w:r>
        <w:r w:rsidR="00C6214E">
          <w:rPr>
            <w:rStyle w:val="Hyperlink"/>
            <w:b w:val="0"/>
            <w:color w:val="auto"/>
            <w:sz w:val="22"/>
            <w:szCs w:val="22"/>
          </w:rPr>
          <w:t>по</w:t>
        </w:r>
        <w:r w:rsidR="00097C81">
          <w:rPr>
            <w:rStyle w:val="Hyperlink"/>
            <w:b w:val="0"/>
            <w:color w:val="auto"/>
            <w:sz w:val="22"/>
            <w:szCs w:val="22"/>
          </w:rPr>
          <w:t xml:space="preserve"> </w:t>
        </w:r>
        <w:r w:rsidR="00C6214E">
          <w:rPr>
            <w:rStyle w:val="Hyperlink"/>
            <w:b w:val="0"/>
            <w:color w:val="auto"/>
            <w:sz w:val="22"/>
            <w:szCs w:val="22"/>
          </w:rPr>
          <w:t>основу</w:t>
        </w:r>
        <w:r w:rsidR="00D673D2" w:rsidRPr="00295637">
          <w:rPr>
            <w:rStyle w:val="Hyperlink"/>
            <w:b w:val="0"/>
            <w:color w:val="auto"/>
            <w:sz w:val="22"/>
            <w:szCs w:val="22"/>
          </w:rPr>
          <w:t xml:space="preserve"> </w:t>
        </w:r>
        <w:r w:rsidR="00C6214E">
          <w:rPr>
            <w:rStyle w:val="Hyperlink"/>
            <w:b w:val="0"/>
            <w:color w:val="auto"/>
            <w:sz w:val="22"/>
            <w:szCs w:val="22"/>
          </w:rPr>
          <w:t>пола</w:t>
        </w:r>
        <w:r w:rsidR="00D673D2" w:rsidRPr="00295637">
          <w:rPr>
            <w:rStyle w:val="Hyperlink"/>
            <w:b w:val="0"/>
            <w:color w:val="auto"/>
            <w:sz w:val="22"/>
            <w:szCs w:val="22"/>
          </w:rPr>
          <w:t xml:space="preserve">, </w:t>
        </w:r>
        <w:r w:rsidR="00C6214E">
          <w:rPr>
            <w:rStyle w:val="Hyperlink"/>
            <w:b w:val="0"/>
            <w:color w:val="auto"/>
            <w:sz w:val="22"/>
            <w:szCs w:val="22"/>
          </w:rPr>
          <w:t>укључујући</w:t>
        </w:r>
        <w:r w:rsidR="00D673D2" w:rsidRPr="00295637">
          <w:rPr>
            <w:rStyle w:val="Hyperlink"/>
            <w:b w:val="0"/>
            <w:color w:val="auto"/>
            <w:sz w:val="22"/>
            <w:szCs w:val="22"/>
          </w:rPr>
          <w:t xml:space="preserve"> </w:t>
        </w:r>
        <w:r w:rsidR="00C6214E">
          <w:rPr>
            <w:rStyle w:val="Hyperlink"/>
            <w:b w:val="0"/>
            <w:color w:val="auto"/>
            <w:sz w:val="22"/>
            <w:szCs w:val="22"/>
          </w:rPr>
          <w:t>насиље</w:t>
        </w:r>
        <w:r w:rsidR="00D673D2" w:rsidRPr="00295637">
          <w:rPr>
            <w:rStyle w:val="Hyperlink"/>
            <w:b w:val="0"/>
            <w:color w:val="auto"/>
            <w:sz w:val="22"/>
            <w:szCs w:val="22"/>
          </w:rPr>
          <w:t xml:space="preserve"> </w:t>
        </w:r>
        <w:r w:rsidR="00C6214E">
          <w:rPr>
            <w:rStyle w:val="Hyperlink"/>
            <w:b w:val="0"/>
            <w:color w:val="auto"/>
            <w:sz w:val="22"/>
            <w:szCs w:val="22"/>
          </w:rPr>
          <w:t>у</w:t>
        </w:r>
        <w:r w:rsidR="00D673D2" w:rsidRPr="00295637">
          <w:rPr>
            <w:rStyle w:val="Hyperlink"/>
            <w:b w:val="0"/>
            <w:color w:val="auto"/>
            <w:sz w:val="22"/>
            <w:szCs w:val="22"/>
          </w:rPr>
          <w:t xml:space="preserve"> </w:t>
        </w:r>
        <w:r w:rsidR="00C6214E">
          <w:rPr>
            <w:rStyle w:val="Hyperlink"/>
            <w:b w:val="0"/>
            <w:color w:val="auto"/>
            <w:sz w:val="22"/>
            <w:szCs w:val="22"/>
          </w:rPr>
          <w:t>породици</w:t>
        </w:r>
        <w:r w:rsidR="00D673D2" w:rsidRPr="00295637">
          <w:rPr>
            <w:rStyle w:val="Hyperlink"/>
            <w:b w:val="0"/>
            <w:color w:val="auto"/>
            <w:sz w:val="22"/>
            <w:szCs w:val="22"/>
          </w:rPr>
          <w:t xml:space="preserve"> </w:t>
        </w:r>
        <w:r w:rsidR="00C6214E">
          <w:rPr>
            <w:rStyle w:val="Hyperlink"/>
            <w:b w:val="0"/>
            <w:color w:val="auto"/>
            <w:sz w:val="22"/>
            <w:szCs w:val="22"/>
          </w:rPr>
          <w:t>као</w:t>
        </w:r>
        <w:r w:rsidR="00D673D2" w:rsidRPr="00295637">
          <w:rPr>
            <w:rStyle w:val="Hyperlink"/>
            <w:b w:val="0"/>
            <w:color w:val="auto"/>
            <w:sz w:val="22"/>
            <w:szCs w:val="22"/>
          </w:rPr>
          <w:t xml:space="preserve"> </w:t>
        </w:r>
        <w:r w:rsidR="00C6214E">
          <w:rPr>
            <w:rStyle w:val="Hyperlink"/>
            <w:b w:val="0"/>
            <w:color w:val="auto"/>
            <w:sz w:val="22"/>
            <w:szCs w:val="22"/>
          </w:rPr>
          <w:t>и</w:t>
        </w:r>
        <w:r w:rsidR="00D673D2" w:rsidRPr="00295637">
          <w:rPr>
            <w:rStyle w:val="Hyperlink"/>
            <w:b w:val="0"/>
            <w:color w:val="auto"/>
            <w:sz w:val="22"/>
            <w:szCs w:val="22"/>
          </w:rPr>
          <w:t xml:space="preserve"> </w:t>
        </w:r>
        <w:r w:rsidR="00C6214E">
          <w:rPr>
            <w:rStyle w:val="Hyperlink"/>
            <w:b w:val="0"/>
            <w:color w:val="auto"/>
            <w:sz w:val="22"/>
            <w:szCs w:val="22"/>
          </w:rPr>
          <w:t>трговину</w:t>
        </w:r>
        <w:r w:rsidR="00D673D2" w:rsidRPr="00295637">
          <w:rPr>
            <w:rStyle w:val="Hyperlink"/>
            <w:b w:val="0"/>
            <w:color w:val="auto"/>
            <w:sz w:val="22"/>
            <w:szCs w:val="22"/>
          </w:rPr>
          <w:t xml:space="preserve"> </w:t>
        </w:r>
        <w:r w:rsidR="00C6214E">
          <w:rPr>
            <w:rStyle w:val="Hyperlink"/>
            <w:b w:val="0"/>
            <w:color w:val="auto"/>
            <w:sz w:val="22"/>
            <w:szCs w:val="22"/>
          </w:rPr>
          <w:t>људима</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_Toc195016591 \h </w:instrText>
        </w:r>
        <w:r w:rsidR="00D673D2" w:rsidRPr="00295637">
          <w:rPr>
            <w:b w:val="0"/>
            <w:webHidden/>
          </w:rPr>
        </w:r>
        <w:r w:rsidR="00D673D2" w:rsidRPr="00295637">
          <w:rPr>
            <w:b w:val="0"/>
            <w:webHidden/>
          </w:rPr>
          <w:fldChar w:fldCharType="separate"/>
        </w:r>
        <w:r w:rsidR="001569D6">
          <w:rPr>
            <w:b w:val="0"/>
            <w:webHidden/>
          </w:rPr>
          <w:t>20</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592" w:history="1">
        <w:r w:rsidR="00891BBE">
          <w:rPr>
            <w:rStyle w:val="Hyperlink"/>
            <w:b w:val="0"/>
            <w:color w:val="auto"/>
            <w:sz w:val="22"/>
            <w:szCs w:val="22"/>
          </w:rPr>
          <w:t>I</w:t>
        </w:r>
        <w:r w:rsidR="00097C81">
          <w:rPr>
            <w:rStyle w:val="Hyperlink"/>
            <w:b w:val="0"/>
            <w:color w:val="auto"/>
            <w:sz w:val="22"/>
            <w:szCs w:val="22"/>
          </w:rPr>
          <w:t xml:space="preserve"> </w:t>
        </w:r>
        <w:r w:rsidR="00D673D2" w:rsidRPr="00295637">
          <w:rPr>
            <w:rStyle w:val="Hyperlink"/>
            <w:b w:val="0"/>
            <w:color w:val="auto"/>
            <w:sz w:val="22"/>
            <w:szCs w:val="22"/>
          </w:rPr>
          <w:t>2.</w:t>
        </w:r>
        <w:r w:rsidR="00D673D2" w:rsidRPr="00295637">
          <w:rPr>
            <w:rFonts w:eastAsiaTheme="minorEastAsia"/>
            <w:b w:val="0"/>
          </w:rPr>
          <w:tab/>
        </w:r>
        <w:r w:rsidR="00C6214E">
          <w:rPr>
            <w:rStyle w:val="Hyperlink"/>
            <w:b w:val="0"/>
            <w:color w:val="auto"/>
            <w:sz w:val="22"/>
            <w:szCs w:val="22"/>
          </w:rPr>
          <w:t>Јавни</w:t>
        </w:r>
        <w:r w:rsidR="00D673D2" w:rsidRPr="00295637">
          <w:rPr>
            <w:rStyle w:val="Hyperlink"/>
            <w:b w:val="0"/>
            <w:color w:val="auto"/>
            <w:sz w:val="22"/>
            <w:szCs w:val="22"/>
          </w:rPr>
          <w:t xml:space="preserve"> </w:t>
        </w:r>
        <w:r w:rsidR="00C6214E">
          <w:rPr>
            <w:rStyle w:val="Hyperlink"/>
            <w:b w:val="0"/>
            <w:color w:val="auto"/>
            <w:sz w:val="22"/>
            <w:szCs w:val="22"/>
          </w:rPr>
          <w:t>живот</w:t>
        </w:r>
        <w:r w:rsidR="00D673D2" w:rsidRPr="00295637">
          <w:rPr>
            <w:rStyle w:val="Hyperlink"/>
            <w:b w:val="0"/>
            <w:color w:val="auto"/>
            <w:sz w:val="22"/>
            <w:szCs w:val="22"/>
          </w:rPr>
          <w:t xml:space="preserve"> </w:t>
        </w:r>
        <w:r w:rsidR="00C6214E">
          <w:rPr>
            <w:rStyle w:val="Hyperlink"/>
            <w:b w:val="0"/>
            <w:color w:val="auto"/>
            <w:sz w:val="22"/>
            <w:szCs w:val="22"/>
          </w:rPr>
          <w:t>и</w:t>
        </w:r>
        <w:r w:rsidR="00D673D2" w:rsidRPr="00295637">
          <w:rPr>
            <w:rStyle w:val="Hyperlink"/>
            <w:b w:val="0"/>
            <w:color w:val="auto"/>
            <w:sz w:val="22"/>
            <w:szCs w:val="22"/>
          </w:rPr>
          <w:t xml:space="preserve"> </w:t>
        </w:r>
        <w:r w:rsidR="00C6214E">
          <w:rPr>
            <w:rStyle w:val="Hyperlink"/>
            <w:b w:val="0"/>
            <w:color w:val="auto"/>
            <w:sz w:val="22"/>
            <w:szCs w:val="22"/>
          </w:rPr>
          <w:t>доношење</w:t>
        </w:r>
        <w:r w:rsidR="00D673D2" w:rsidRPr="00295637">
          <w:rPr>
            <w:rStyle w:val="Hyperlink"/>
            <w:b w:val="0"/>
            <w:color w:val="auto"/>
            <w:sz w:val="22"/>
            <w:szCs w:val="22"/>
          </w:rPr>
          <w:t xml:space="preserve"> </w:t>
        </w:r>
        <w:r w:rsidR="00C6214E">
          <w:rPr>
            <w:rStyle w:val="Hyperlink"/>
            <w:b w:val="0"/>
            <w:color w:val="auto"/>
            <w:sz w:val="22"/>
            <w:szCs w:val="22"/>
          </w:rPr>
          <w:t>одлука</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_Toc195016592 \h </w:instrText>
        </w:r>
        <w:r w:rsidR="00D673D2" w:rsidRPr="00295637">
          <w:rPr>
            <w:b w:val="0"/>
            <w:webHidden/>
          </w:rPr>
        </w:r>
        <w:r w:rsidR="00D673D2" w:rsidRPr="00295637">
          <w:rPr>
            <w:b w:val="0"/>
            <w:webHidden/>
          </w:rPr>
          <w:fldChar w:fldCharType="separate"/>
        </w:r>
        <w:r w:rsidR="001569D6">
          <w:rPr>
            <w:b w:val="0"/>
            <w:webHidden/>
          </w:rPr>
          <w:t>35</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593" w:history="1">
        <w:r w:rsidR="00891BBE">
          <w:rPr>
            <w:rStyle w:val="Hyperlink"/>
            <w:b w:val="0"/>
            <w:color w:val="auto"/>
            <w:sz w:val="22"/>
            <w:szCs w:val="22"/>
            <w:lang w:val="bs-Latn-BA" w:eastAsia="bs-Latn-BA"/>
          </w:rPr>
          <w:t>I</w:t>
        </w:r>
        <w:r w:rsidR="00097C81">
          <w:rPr>
            <w:rStyle w:val="Hyperlink"/>
            <w:b w:val="0"/>
            <w:color w:val="auto"/>
            <w:sz w:val="22"/>
            <w:szCs w:val="22"/>
            <w:lang w:val="bs-Latn-BA" w:eastAsia="bs-Latn-BA"/>
          </w:rPr>
          <w:t xml:space="preserve"> </w:t>
        </w:r>
        <w:r w:rsidR="00D673D2" w:rsidRPr="00295637">
          <w:rPr>
            <w:rStyle w:val="Hyperlink"/>
            <w:b w:val="0"/>
            <w:color w:val="auto"/>
            <w:sz w:val="22"/>
            <w:szCs w:val="22"/>
            <w:lang w:val="bs-Latn-BA" w:eastAsia="bs-Latn-BA"/>
          </w:rPr>
          <w:t>3.</w:t>
        </w:r>
        <w:r w:rsidR="00D673D2" w:rsidRPr="00295637">
          <w:rPr>
            <w:rFonts w:eastAsiaTheme="minorEastAsia"/>
            <w:b w:val="0"/>
          </w:rPr>
          <w:tab/>
        </w:r>
        <w:r w:rsidR="00C6214E">
          <w:rPr>
            <w:rStyle w:val="Hyperlink"/>
            <w:b w:val="0"/>
            <w:color w:val="auto"/>
            <w:sz w:val="22"/>
            <w:szCs w:val="22"/>
            <w:lang w:val="bs-Latn-BA" w:eastAsia="bs-Latn-BA"/>
          </w:rPr>
          <w:t>Рад</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запошљавање</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и</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приступ</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економским</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ресурсима</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_Toc195016593 \h </w:instrText>
        </w:r>
        <w:r w:rsidR="00D673D2" w:rsidRPr="00295637">
          <w:rPr>
            <w:b w:val="0"/>
            <w:webHidden/>
          </w:rPr>
        </w:r>
        <w:r w:rsidR="00D673D2" w:rsidRPr="00295637">
          <w:rPr>
            <w:b w:val="0"/>
            <w:webHidden/>
          </w:rPr>
          <w:fldChar w:fldCharType="separate"/>
        </w:r>
        <w:r w:rsidR="001569D6">
          <w:rPr>
            <w:b w:val="0"/>
            <w:webHidden/>
          </w:rPr>
          <w:t>38</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594" w:history="1">
        <w:r w:rsidR="00891BBE">
          <w:rPr>
            <w:rStyle w:val="Hyperlink"/>
            <w:b w:val="0"/>
            <w:color w:val="auto"/>
            <w:sz w:val="22"/>
            <w:szCs w:val="22"/>
            <w:lang w:val="bs-Latn-BA" w:eastAsia="bs-Latn-BA"/>
          </w:rPr>
          <w:t>I</w:t>
        </w:r>
        <w:r w:rsidR="00097C81">
          <w:rPr>
            <w:rStyle w:val="Hyperlink"/>
            <w:b w:val="0"/>
            <w:color w:val="auto"/>
            <w:sz w:val="22"/>
            <w:szCs w:val="22"/>
            <w:lang w:val="bs-Latn-BA" w:eastAsia="bs-Latn-BA"/>
          </w:rPr>
          <w:t xml:space="preserve"> </w:t>
        </w:r>
        <w:r w:rsidR="00D673D2" w:rsidRPr="00295637">
          <w:rPr>
            <w:rStyle w:val="Hyperlink"/>
            <w:b w:val="0"/>
            <w:color w:val="auto"/>
            <w:sz w:val="22"/>
            <w:szCs w:val="22"/>
            <w:lang w:val="bs-Latn-BA" w:eastAsia="bs-Latn-BA"/>
          </w:rPr>
          <w:t>4.</w:t>
        </w:r>
        <w:r w:rsidR="00D673D2" w:rsidRPr="00295637">
          <w:rPr>
            <w:rFonts w:eastAsiaTheme="minorEastAsia"/>
            <w:b w:val="0"/>
          </w:rPr>
          <w:tab/>
        </w:r>
        <w:r w:rsidR="00C6214E">
          <w:rPr>
            <w:rStyle w:val="Hyperlink"/>
            <w:b w:val="0"/>
            <w:color w:val="auto"/>
            <w:sz w:val="22"/>
            <w:szCs w:val="22"/>
            <w:lang w:val="bs-Latn-BA" w:eastAsia="bs-Latn-BA"/>
          </w:rPr>
          <w:t>Образовање</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наука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култура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и</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спорт</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_Toc195016594 \h </w:instrText>
        </w:r>
        <w:r w:rsidR="00D673D2" w:rsidRPr="00295637">
          <w:rPr>
            <w:b w:val="0"/>
            <w:webHidden/>
          </w:rPr>
        </w:r>
        <w:r w:rsidR="00D673D2" w:rsidRPr="00295637">
          <w:rPr>
            <w:b w:val="0"/>
            <w:webHidden/>
          </w:rPr>
          <w:fldChar w:fldCharType="separate"/>
        </w:r>
        <w:r w:rsidR="001569D6">
          <w:rPr>
            <w:b w:val="0"/>
            <w:webHidden/>
          </w:rPr>
          <w:t>50</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595" w:history="1">
        <w:r w:rsidR="00891BBE">
          <w:rPr>
            <w:rStyle w:val="Hyperlink"/>
            <w:b w:val="0"/>
            <w:color w:val="auto"/>
            <w:sz w:val="22"/>
            <w:szCs w:val="22"/>
            <w:lang w:val="bs-Latn-BA" w:eastAsia="bs-Latn-BA"/>
          </w:rPr>
          <w:t>I</w:t>
        </w:r>
        <w:r w:rsidR="00097C81">
          <w:rPr>
            <w:rStyle w:val="Hyperlink"/>
            <w:b w:val="0"/>
            <w:color w:val="auto"/>
            <w:sz w:val="22"/>
            <w:szCs w:val="22"/>
            <w:lang w:val="bs-Latn-BA" w:eastAsia="bs-Latn-BA"/>
          </w:rPr>
          <w:t xml:space="preserve"> </w:t>
        </w:r>
        <w:r w:rsidR="00D673D2" w:rsidRPr="00295637">
          <w:rPr>
            <w:rStyle w:val="Hyperlink"/>
            <w:b w:val="0"/>
            <w:color w:val="auto"/>
            <w:sz w:val="22"/>
            <w:szCs w:val="22"/>
            <w:lang w:val="bs-Latn-BA" w:eastAsia="bs-Latn-BA"/>
          </w:rPr>
          <w:t>5.</w:t>
        </w:r>
        <w:r w:rsidR="00D673D2" w:rsidRPr="00295637">
          <w:rPr>
            <w:rFonts w:eastAsiaTheme="minorEastAsia"/>
            <w:b w:val="0"/>
          </w:rPr>
          <w:tab/>
        </w:r>
        <w:r w:rsidR="00C6214E">
          <w:rPr>
            <w:rStyle w:val="Hyperlink"/>
            <w:b w:val="0"/>
            <w:color w:val="auto"/>
            <w:sz w:val="22"/>
            <w:szCs w:val="22"/>
            <w:lang w:val="bs-Latn-BA" w:eastAsia="bs-Latn-BA"/>
          </w:rPr>
          <w:t>Здравље</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превенција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и</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заштита</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_Toc195016595 \h </w:instrText>
        </w:r>
        <w:r w:rsidR="00D673D2" w:rsidRPr="00295637">
          <w:rPr>
            <w:b w:val="0"/>
            <w:webHidden/>
          </w:rPr>
        </w:r>
        <w:r w:rsidR="00D673D2" w:rsidRPr="00295637">
          <w:rPr>
            <w:b w:val="0"/>
            <w:webHidden/>
          </w:rPr>
          <w:fldChar w:fldCharType="separate"/>
        </w:r>
        <w:r w:rsidR="001569D6">
          <w:rPr>
            <w:b w:val="0"/>
            <w:webHidden/>
          </w:rPr>
          <w:t>55</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596" w:history="1">
        <w:r w:rsidR="00891BBE">
          <w:rPr>
            <w:rStyle w:val="Hyperlink"/>
            <w:b w:val="0"/>
            <w:color w:val="auto"/>
            <w:sz w:val="22"/>
            <w:szCs w:val="22"/>
            <w:lang w:val="bs-Latn-BA" w:eastAsia="bs-Latn-BA"/>
          </w:rPr>
          <w:t>I</w:t>
        </w:r>
        <w:r w:rsidR="00097C81">
          <w:rPr>
            <w:rStyle w:val="Hyperlink"/>
            <w:b w:val="0"/>
            <w:color w:val="auto"/>
            <w:sz w:val="22"/>
            <w:szCs w:val="22"/>
            <w:lang w:val="bs-Latn-BA" w:eastAsia="bs-Latn-BA"/>
          </w:rPr>
          <w:t xml:space="preserve"> </w:t>
        </w:r>
        <w:r w:rsidR="00D673D2" w:rsidRPr="00295637">
          <w:rPr>
            <w:rStyle w:val="Hyperlink"/>
            <w:b w:val="0"/>
            <w:color w:val="auto"/>
            <w:sz w:val="22"/>
            <w:szCs w:val="22"/>
            <w:lang w:val="bs-Latn-BA" w:eastAsia="bs-Latn-BA"/>
          </w:rPr>
          <w:t>6.</w:t>
        </w:r>
        <w:r w:rsidR="00D673D2" w:rsidRPr="00295637">
          <w:rPr>
            <w:rFonts w:eastAsiaTheme="minorEastAsia"/>
            <w:b w:val="0"/>
          </w:rPr>
          <w:tab/>
        </w:r>
        <w:r w:rsidR="00C6214E">
          <w:rPr>
            <w:rStyle w:val="Hyperlink"/>
            <w:b w:val="0"/>
            <w:color w:val="auto"/>
            <w:sz w:val="22"/>
            <w:szCs w:val="22"/>
            <w:lang w:val="bs-Latn-BA" w:eastAsia="bs-Latn-BA"/>
          </w:rPr>
          <w:t>Социјална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заштита</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_Toc195016596 \h </w:instrText>
        </w:r>
        <w:r w:rsidR="00D673D2" w:rsidRPr="00295637">
          <w:rPr>
            <w:b w:val="0"/>
            <w:webHidden/>
          </w:rPr>
        </w:r>
        <w:r w:rsidR="00D673D2" w:rsidRPr="00295637">
          <w:rPr>
            <w:b w:val="0"/>
            <w:webHidden/>
          </w:rPr>
          <w:fldChar w:fldCharType="separate"/>
        </w:r>
        <w:r w:rsidR="001569D6">
          <w:rPr>
            <w:b w:val="0"/>
            <w:webHidden/>
          </w:rPr>
          <w:t>60</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597" w:history="1">
        <w:r w:rsidR="00891BBE">
          <w:rPr>
            <w:rStyle w:val="Hyperlink"/>
            <w:b w:val="0"/>
            <w:color w:val="auto"/>
            <w:sz w:val="22"/>
            <w:szCs w:val="22"/>
            <w:lang w:val="bs-Latn-BA"/>
          </w:rPr>
          <w:t>I</w:t>
        </w:r>
        <w:r w:rsidR="00097C81">
          <w:rPr>
            <w:rStyle w:val="Hyperlink"/>
            <w:b w:val="0"/>
            <w:color w:val="auto"/>
            <w:sz w:val="22"/>
            <w:szCs w:val="22"/>
            <w:lang w:val="bs-Latn-BA"/>
          </w:rPr>
          <w:t xml:space="preserve"> </w:t>
        </w:r>
        <w:r w:rsidR="00D673D2" w:rsidRPr="00295637">
          <w:rPr>
            <w:rStyle w:val="Hyperlink"/>
            <w:b w:val="0"/>
            <w:color w:val="auto"/>
            <w:sz w:val="22"/>
            <w:szCs w:val="22"/>
            <w:lang w:val="bs-Latn-BA"/>
          </w:rPr>
          <w:t>7.</w:t>
        </w:r>
        <w:r w:rsidR="00D673D2" w:rsidRPr="00295637">
          <w:rPr>
            <w:rFonts w:eastAsiaTheme="minorEastAsia"/>
            <w:b w:val="0"/>
          </w:rPr>
          <w:tab/>
        </w:r>
        <w:r w:rsidR="00C6214E">
          <w:rPr>
            <w:rStyle w:val="Hyperlink"/>
            <w:b w:val="0"/>
            <w:color w:val="auto"/>
            <w:sz w:val="22"/>
            <w:szCs w:val="22"/>
            <w:lang w:val="bs-Latn-BA"/>
          </w:rPr>
          <w:t>Род</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и</w:t>
        </w:r>
        <w:r w:rsidR="00D673D2" w:rsidRPr="00295637">
          <w:rPr>
            <w:rStyle w:val="Hyperlink"/>
            <w:b w:val="0"/>
            <w:color w:val="auto"/>
            <w:sz w:val="22"/>
            <w:szCs w:val="22"/>
            <w:lang w:val="bs-Latn-BA"/>
          </w:rPr>
          <w:t xml:space="preserve"> </w:t>
        </w:r>
        <w:r w:rsidR="00891BBE">
          <w:rPr>
            <w:rStyle w:val="Hyperlink"/>
            <w:b w:val="0"/>
            <w:color w:val="auto"/>
            <w:sz w:val="22"/>
            <w:szCs w:val="22"/>
            <w:lang w:val="sr-Cyrl-BA"/>
          </w:rPr>
          <w:t>безбједност</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_Toc195016597 \h </w:instrText>
        </w:r>
        <w:r w:rsidR="00D673D2" w:rsidRPr="00295637">
          <w:rPr>
            <w:b w:val="0"/>
            <w:webHidden/>
          </w:rPr>
        </w:r>
        <w:r w:rsidR="00D673D2" w:rsidRPr="00295637">
          <w:rPr>
            <w:b w:val="0"/>
            <w:webHidden/>
          </w:rPr>
          <w:fldChar w:fldCharType="separate"/>
        </w:r>
        <w:r w:rsidR="001569D6">
          <w:rPr>
            <w:b w:val="0"/>
            <w:webHidden/>
          </w:rPr>
          <w:t>66</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598" w:history="1">
        <w:r w:rsidR="00891BBE">
          <w:rPr>
            <w:rStyle w:val="Hyperlink"/>
            <w:b w:val="0"/>
            <w:color w:val="auto"/>
            <w:sz w:val="22"/>
            <w:szCs w:val="22"/>
            <w:lang w:val="bs-Latn-BA"/>
          </w:rPr>
          <w:t>I</w:t>
        </w:r>
        <w:r w:rsidR="00097C81">
          <w:rPr>
            <w:rStyle w:val="Hyperlink"/>
            <w:b w:val="0"/>
            <w:color w:val="auto"/>
            <w:sz w:val="22"/>
            <w:szCs w:val="22"/>
            <w:lang w:val="bs-Latn-BA"/>
          </w:rPr>
          <w:t xml:space="preserve"> </w:t>
        </w:r>
        <w:r w:rsidR="00D673D2" w:rsidRPr="00295637">
          <w:rPr>
            <w:rStyle w:val="Hyperlink"/>
            <w:b w:val="0"/>
            <w:color w:val="auto"/>
            <w:sz w:val="22"/>
            <w:szCs w:val="22"/>
            <w:lang w:val="bs-Latn-BA"/>
          </w:rPr>
          <w:t>8.</w:t>
        </w:r>
        <w:r w:rsidR="00D673D2" w:rsidRPr="00295637">
          <w:rPr>
            <w:rFonts w:eastAsiaTheme="minorEastAsia"/>
            <w:b w:val="0"/>
          </w:rPr>
          <w:tab/>
        </w:r>
        <w:r w:rsidR="00C6214E">
          <w:rPr>
            <w:rStyle w:val="Hyperlink"/>
            <w:b w:val="0"/>
            <w:color w:val="auto"/>
            <w:sz w:val="22"/>
            <w:szCs w:val="22"/>
            <w:lang w:val="bs-Latn-BA"/>
          </w:rPr>
          <w:t>Равноправност</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полова</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у</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контексту</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заштите</w:t>
        </w:r>
        <w:r w:rsidR="00D673D2" w:rsidRPr="00295637">
          <w:rPr>
            <w:rStyle w:val="Hyperlink"/>
            <w:b w:val="0"/>
            <w:color w:val="auto"/>
            <w:sz w:val="22"/>
            <w:szCs w:val="22"/>
            <w:lang w:val="bs-Latn-BA"/>
          </w:rPr>
          <w:t xml:space="preserve"> </w:t>
        </w:r>
        <w:r w:rsidR="00891BBE">
          <w:rPr>
            <w:rStyle w:val="Hyperlink"/>
            <w:b w:val="0"/>
            <w:color w:val="auto"/>
            <w:sz w:val="22"/>
            <w:szCs w:val="22"/>
            <w:lang w:val="sr-Cyrl-BA"/>
          </w:rPr>
          <w:t>животне средине</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и</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климатских</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промјена</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_Toc195016598 \h </w:instrText>
        </w:r>
        <w:r w:rsidR="00D673D2" w:rsidRPr="00295637">
          <w:rPr>
            <w:b w:val="0"/>
            <w:webHidden/>
          </w:rPr>
        </w:r>
        <w:r w:rsidR="00D673D2" w:rsidRPr="00295637">
          <w:rPr>
            <w:b w:val="0"/>
            <w:webHidden/>
          </w:rPr>
          <w:fldChar w:fldCharType="separate"/>
        </w:r>
        <w:r w:rsidR="001569D6">
          <w:rPr>
            <w:b w:val="0"/>
            <w:webHidden/>
          </w:rPr>
          <w:t>70</w:t>
        </w:r>
        <w:r w:rsidR="00D673D2" w:rsidRPr="00295637">
          <w:rPr>
            <w:b w:val="0"/>
            <w:webHidden/>
          </w:rPr>
          <w:fldChar w:fldCharType="end"/>
        </w:r>
      </w:hyperlink>
    </w:p>
    <w:p w:rsidR="00D673D2" w:rsidRPr="00295637" w:rsidRDefault="00D673D2" w:rsidP="0086268D">
      <w:pPr>
        <w:pStyle w:val="TOC2"/>
        <w:spacing w:line="240" w:lineRule="auto"/>
        <w:rPr>
          <w:rStyle w:val="Hyperlink"/>
          <w:rFonts w:ascii="Times New Roman" w:hAnsi="Times New Roman" w:cs="Times New Roman"/>
          <w:color w:val="auto"/>
          <w:sz w:val="22"/>
          <w:szCs w:val="22"/>
        </w:rPr>
      </w:pPr>
    </w:p>
    <w:p w:rsidR="00D673D2" w:rsidRPr="00295637" w:rsidRDefault="00EB31AF" w:rsidP="0086268D">
      <w:pPr>
        <w:pStyle w:val="TOC2"/>
        <w:spacing w:line="240" w:lineRule="auto"/>
        <w:rPr>
          <w:rFonts w:ascii="Times New Roman" w:eastAsiaTheme="minorEastAsia" w:hAnsi="Times New Roman" w:cs="Times New Roman"/>
          <w:b w:val="0"/>
          <w:sz w:val="22"/>
          <w:szCs w:val="22"/>
        </w:rPr>
      </w:pPr>
      <w:hyperlink w:anchor="_Toc195016599" w:history="1">
        <w:r w:rsidR="00891BBE">
          <w:rPr>
            <w:rStyle w:val="Hyperlink"/>
            <w:rFonts w:ascii="Times New Roman" w:hAnsi="Times New Roman" w:cs="Times New Roman"/>
            <w:color w:val="auto"/>
            <w:sz w:val="22"/>
            <w:szCs w:val="22"/>
            <w:lang w:val="bs-Latn-BA"/>
          </w:rPr>
          <w:t>II</w:t>
        </w:r>
        <w:r w:rsidR="00D673D2" w:rsidRPr="00295637">
          <w:rPr>
            <w:rFonts w:ascii="Times New Roman" w:eastAsiaTheme="minorEastAsia" w:hAnsi="Times New Roman" w:cs="Times New Roman"/>
            <w:b w:val="0"/>
            <w:sz w:val="22"/>
            <w:szCs w:val="22"/>
          </w:rPr>
          <w:tab/>
        </w:r>
        <w:r w:rsidR="00C6214E">
          <w:rPr>
            <w:rStyle w:val="Hyperlink"/>
            <w:rFonts w:ascii="Times New Roman" w:hAnsi="Times New Roman" w:cs="Times New Roman"/>
            <w:color w:val="auto"/>
            <w:sz w:val="22"/>
            <w:szCs w:val="22"/>
            <w:lang w:val="bs-Latn-BA"/>
          </w:rPr>
          <w:t>СТРАТЕШКИ</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ЦИЉ</w:t>
        </w:r>
        <w:r w:rsidR="00D673D2" w:rsidRPr="00295637">
          <w:rPr>
            <w:rStyle w:val="Hyperlink"/>
            <w:rFonts w:ascii="Times New Roman" w:hAnsi="Times New Roman" w:cs="Times New Roman"/>
            <w:color w:val="auto"/>
            <w:sz w:val="22"/>
            <w:szCs w:val="22"/>
            <w:lang w:val="bs-Latn-BA"/>
          </w:rPr>
          <w:t xml:space="preserve"> 2: </w:t>
        </w:r>
        <w:r w:rsidR="00C6214E">
          <w:rPr>
            <w:rStyle w:val="Hyperlink"/>
            <w:rFonts w:ascii="Times New Roman" w:hAnsi="Times New Roman" w:cs="Times New Roman"/>
            <w:color w:val="auto"/>
            <w:sz w:val="22"/>
            <w:szCs w:val="22"/>
            <w:lang w:val="bs-Latn-BA"/>
          </w:rPr>
          <w:t>Изградња</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и</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јачање</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система</w:t>
        </w:r>
        <w:r w:rsidR="00D673D2" w:rsidRPr="00295637">
          <w:rPr>
            <w:rStyle w:val="Hyperlink"/>
            <w:rFonts w:ascii="Times New Roman" w:hAnsi="Times New Roman" w:cs="Times New Roman"/>
            <w:color w:val="auto"/>
            <w:sz w:val="22"/>
            <w:szCs w:val="22"/>
            <w:lang w:val="bs-Latn-BA"/>
          </w:rPr>
          <w:t>,</w:t>
        </w:r>
        <w:r w:rsidR="00024D8A"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механизама</w:t>
        </w:r>
        <w:r w:rsidR="00024D8A"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и</w:t>
        </w:r>
        <w:r w:rsidR="00024D8A"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инструмената</w:t>
        </w:r>
        <w:r w:rsidR="00024D8A"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за</w:t>
        </w:r>
        <w:r w:rsidR="00024D8A"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постизање</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равноправности</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полова</w:t>
        </w:r>
        <w:r w:rsidR="00D673D2" w:rsidRPr="00295637">
          <w:rPr>
            <w:rFonts w:ascii="Times New Roman" w:hAnsi="Times New Roman" w:cs="Times New Roman"/>
            <w:webHidden/>
            <w:sz w:val="22"/>
            <w:szCs w:val="22"/>
          </w:rPr>
          <w:tab/>
        </w:r>
        <w:r w:rsidR="00D673D2" w:rsidRPr="00295637">
          <w:rPr>
            <w:rFonts w:ascii="Times New Roman" w:hAnsi="Times New Roman" w:cs="Times New Roman"/>
            <w:webHidden/>
            <w:sz w:val="22"/>
            <w:szCs w:val="22"/>
          </w:rPr>
          <w:fldChar w:fldCharType="begin"/>
        </w:r>
        <w:r w:rsidR="00D673D2" w:rsidRPr="00295637">
          <w:rPr>
            <w:rFonts w:ascii="Times New Roman" w:hAnsi="Times New Roman" w:cs="Times New Roman"/>
            <w:webHidden/>
            <w:sz w:val="22"/>
            <w:szCs w:val="22"/>
          </w:rPr>
          <w:instrText xml:space="preserve"> PAGEREF _Toc195016599 \h </w:instrText>
        </w:r>
        <w:r w:rsidR="00D673D2" w:rsidRPr="00295637">
          <w:rPr>
            <w:rFonts w:ascii="Times New Roman" w:hAnsi="Times New Roman" w:cs="Times New Roman"/>
            <w:webHidden/>
            <w:sz w:val="22"/>
            <w:szCs w:val="22"/>
          </w:rPr>
        </w:r>
        <w:r w:rsidR="00D673D2" w:rsidRPr="00295637">
          <w:rPr>
            <w:rFonts w:ascii="Times New Roman" w:hAnsi="Times New Roman" w:cs="Times New Roman"/>
            <w:webHidden/>
            <w:sz w:val="22"/>
            <w:szCs w:val="22"/>
          </w:rPr>
          <w:fldChar w:fldCharType="separate"/>
        </w:r>
        <w:r w:rsidR="001569D6">
          <w:rPr>
            <w:rFonts w:ascii="Times New Roman" w:hAnsi="Times New Roman" w:cs="Times New Roman"/>
            <w:webHidden/>
            <w:sz w:val="22"/>
            <w:szCs w:val="22"/>
          </w:rPr>
          <w:t>76</w:t>
        </w:r>
        <w:r w:rsidR="00D673D2" w:rsidRPr="00295637">
          <w:rPr>
            <w:rFonts w:ascii="Times New Roman" w:hAnsi="Times New Roman" w:cs="Times New Roman"/>
            <w:webHidden/>
            <w:sz w:val="22"/>
            <w:szCs w:val="22"/>
          </w:rPr>
          <w:fldChar w:fldCharType="end"/>
        </w:r>
      </w:hyperlink>
    </w:p>
    <w:p w:rsidR="00D673D2" w:rsidRPr="00295637" w:rsidRDefault="00EB31AF" w:rsidP="0086268D">
      <w:pPr>
        <w:pStyle w:val="TOC3"/>
        <w:rPr>
          <w:rFonts w:eastAsiaTheme="minorEastAsia"/>
          <w:b w:val="0"/>
        </w:rPr>
      </w:pPr>
      <w:hyperlink w:anchor="_Toc195016600" w:history="1">
        <w:r w:rsidR="00891BBE">
          <w:rPr>
            <w:rStyle w:val="Hyperlink"/>
            <w:b w:val="0"/>
            <w:color w:val="auto"/>
            <w:sz w:val="22"/>
            <w:szCs w:val="22"/>
            <w:lang w:val="bs-Latn-BA"/>
          </w:rPr>
          <w:t>II</w:t>
        </w:r>
        <w:r w:rsidR="00097C81">
          <w:rPr>
            <w:rStyle w:val="Hyperlink"/>
            <w:b w:val="0"/>
            <w:color w:val="auto"/>
            <w:sz w:val="22"/>
            <w:szCs w:val="22"/>
            <w:lang w:val="bs-Latn-BA"/>
          </w:rPr>
          <w:t xml:space="preserve"> </w:t>
        </w:r>
        <w:r w:rsidR="00D673D2" w:rsidRPr="00295637">
          <w:rPr>
            <w:rStyle w:val="Hyperlink"/>
            <w:b w:val="0"/>
            <w:color w:val="auto"/>
            <w:sz w:val="22"/>
            <w:szCs w:val="22"/>
            <w:lang w:val="bs-Latn-BA"/>
          </w:rPr>
          <w:t>1</w:t>
        </w:r>
        <w:r w:rsidR="00891BBE">
          <w:rPr>
            <w:rStyle w:val="Hyperlink"/>
            <w:b w:val="0"/>
            <w:color w:val="auto"/>
            <w:sz w:val="22"/>
            <w:szCs w:val="22"/>
            <w:lang w:val="bs-Latn-BA"/>
          </w:rPr>
          <w:t>.</w:t>
        </w:r>
        <w:r w:rsidR="00D673D2" w:rsidRPr="00295637">
          <w:rPr>
            <w:rStyle w:val="Hyperlink"/>
            <w:b w:val="0"/>
            <w:color w:val="auto"/>
            <w:sz w:val="22"/>
            <w:szCs w:val="22"/>
            <w:lang w:val="bs-Latn-BA"/>
          </w:rPr>
          <w:t xml:space="preserve"> </w:t>
        </w:r>
        <w:r w:rsidR="0042668D" w:rsidRPr="00295637">
          <w:rPr>
            <w:rStyle w:val="Hyperlink"/>
            <w:b w:val="0"/>
            <w:color w:val="auto"/>
            <w:sz w:val="22"/>
            <w:szCs w:val="22"/>
            <w:lang w:val="bs-Latn-BA"/>
          </w:rPr>
          <w:t xml:space="preserve">     </w:t>
        </w:r>
        <w:r w:rsidR="00C6214E">
          <w:rPr>
            <w:rStyle w:val="Hyperlink"/>
            <w:b w:val="0"/>
            <w:color w:val="auto"/>
            <w:sz w:val="22"/>
            <w:szCs w:val="22"/>
            <w:lang w:val="bs-Latn-BA" w:eastAsia="bs-Latn-BA"/>
          </w:rPr>
          <w:t>Координација</w:t>
        </w:r>
        <w:r w:rsidR="00D673D2" w:rsidRPr="00295637">
          <w:rPr>
            <w:rStyle w:val="Hyperlink"/>
            <w:b w:val="0"/>
            <w:color w:val="auto"/>
            <w:sz w:val="22"/>
            <w:szCs w:val="22"/>
            <w:lang w:val="bs-Latn-BA" w:eastAsia="bs-Latn-BA"/>
          </w:rPr>
          <w:t xml:space="preserve"> </w:t>
        </w:r>
        <w:r w:rsidR="00891BBE">
          <w:rPr>
            <w:rStyle w:val="Hyperlink"/>
            <w:b w:val="0"/>
            <w:color w:val="auto"/>
            <w:sz w:val="22"/>
            <w:szCs w:val="22"/>
            <w:lang w:val="sr-Cyrl-BA" w:eastAsia="bs-Latn-BA"/>
          </w:rPr>
          <w:t>спровођења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и</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надзор</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над</w:t>
        </w:r>
        <w:r w:rsidR="00D673D2" w:rsidRPr="00295637">
          <w:rPr>
            <w:rStyle w:val="Hyperlink"/>
            <w:b w:val="0"/>
            <w:color w:val="auto"/>
            <w:sz w:val="22"/>
            <w:szCs w:val="22"/>
            <w:lang w:val="bs-Latn-BA" w:eastAsia="bs-Latn-BA"/>
          </w:rPr>
          <w:t xml:space="preserve"> </w:t>
        </w:r>
        <w:r w:rsidR="00891BBE">
          <w:rPr>
            <w:rStyle w:val="Hyperlink"/>
            <w:b w:val="0"/>
            <w:color w:val="auto"/>
            <w:sz w:val="22"/>
            <w:szCs w:val="22"/>
            <w:lang w:val="sr-Cyrl-BA" w:eastAsia="bs-Latn-BA"/>
          </w:rPr>
          <w:t>спровођењем</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Гендер</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акционог</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плана</w:t>
        </w:r>
        <w:r w:rsidR="009E54A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БиХ</w:t>
        </w:r>
        <w:r w:rsidR="009E54A2" w:rsidRPr="00295637">
          <w:rPr>
            <w:rStyle w:val="Hyperlink"/>
            <w:b w:val="0"/>
            <w:color w:val="auto"/>
            <w:sz w:val="22"/>
            <w:szCs w:val="22"/>
            <w:lang w:val="bs-Latn-BA" w:eastAsia="bs-Latn-BA"/>
          </w:rPr>
          <w:t xml:space="preserve"> </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_Toc195016600 \h </w:instrText>
        </w:r>
        <w:r w:rsidR="00D673D2" w:rsidRPr="00295637">
          <w:rPr>
            <w:b w:val="0"/>
            <w:webHidden/>
          </w:rPr>
        </w:r>
        <w:r w:rsidR="00D673D2" w:rsidRPr="00295637">
          <w:rPr>
            <w:b w:val="0"/>
            <w:webHidden/>
          </w:rPr>
          <w:fldChar w:fldCharType="separate"/>
        </w:r>
        <w:r w:rsidR="001569D6">
          <w:rPr>
            <w:b w:val="0"/>
            <w:webHidden/>
          </w:rPr>
          <w:t>76</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601" w:history="1">
        <w:r w:rsidR="00891BBE">
          <w:rPr>
            <w:rStyle w:val="Hyperlink"/>
            <w:b w:val="0"/>
            <w:color w:val="auto"/>
            <w:sz w:val="22"/>
            <w:szCs w:val="22"/>
            <w:lang w:val="bs-Latn-BA" w:eastAsia="bs-Latn-BA"/>
          </w:rPr>
          <w:t>II</w:t>
        </w:r>
        <w:r w:rsidR="00097C81">
          <w:rPr>
            <w:rStyle w:val="Hyperlink"/>
            <w:b w:val="0"/>
            <w:color w:val="auto"/>
            <w:sz w:val="22"/>
            <w:szCs w:val="22"/>
            <w:lang w:val="bs-Latn-BA" w:eastAsia="bs-Latn-BA"/>
          </w:rPr>
          <w:t xml:space="preserve"> </w:t>
        </w:r>
        <w:r w:rsidR="00D673D2" w:rsidRPr="00295637">
          <w:rPr>
            <w:rStyle w:val="Hyperlink"/>
            <w:b w:val="0"/>
            <w:color w:val="auto"/>
            <w:sz w:val="22"/>
            <w:szCs w:val="22"/>
            <w:lang w:val="bs-Latn-BA" w:eastAsia="bs-Latn-BA"/>
          </w:rPr>
          <w:t>2.</w:t>
        </w:r>
        <w:r w:rsidR="00D673D2" w:rsidRPr="00295637">
          <w:rPr>
            <w:rFonts w:eastAsiaTheme="minorEastAsia"/>
            <w:b w:val="0"/>
          </w:rPr>
          <w:tab/>
        </w:r>
        <w:r w:rsidR="00C6214E">
          <w:rPr>
            <w:rStyle w:val="Hyperlink"/>
            <w:b w:val="0"/>
            <w:color w:val="auto"/>
            <w:sz w:val="22"/>
            <w:szCs w:val="22"/>
            <w:lang w:val="bs-Latn-BA" w:eastAsia="bs-Latn-BA"/>
          </w:rPr>
          <w:t>Праћење</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и</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унапређење</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примјене</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међународних</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и</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домаћих</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стандарда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за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равноправност</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полова</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_Toc195016601 \h </w:instrText>
        </w:r>
        <w:r w:rsidR="00D673D2" w:rsidRPr="00295637">
          <w:rPr>
            <w:b w:val="0"/>
            <w:webHidden/>
          </w:rPr>
        </w:r>
        <w:r w:rsidR="00D673D2" w:rsidRPr="00295637">
          <w:rPr>
            <w:b w:val="0"/>
            <w:webHidden/>
          </w:rPr>
          <w:fldChar w:fldCharType="separate"/>
        </w:r>
        <w:r w:rsidR="001569D6">
          <w:rPr>
            <w:b w:val="0"/>
            <w:webHidden/>
          </w:rPr>
          <w:t>77</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602" w:history="1">
        <w:r w:rsidR="00891BBE">
          <w:rPr>
            <w:rStyle w:val="Hyperlink"/>
            <w:b w:val="0"/>
            <w:color w:val="auto"/>
            <w:sz w:val="22"/>
            <w:szCs w:val="22"/>
            <w:lang w:val="bs-Latn-BA" w:eastAsia="bs-Latn-BA"/>
          </w:rPr>
          <w:t>II</w:t>
        </w:r>
        <w:r w:rsidR="00097C81">
          <w:rPr>
            <w:rStyle w:val="Hyperlink"/>
            <w:b w:val="0"/>
            <w:color w:val="auto"/>
            <w:sz w:val="22"/>
            <w:szCs w:val="22"/>
            <w:lang w:val="bs-Latn-BA" w:eastAsia="bs-Latn-BA"/>
          </w:rPr>
          <w:t xml:space="preserve"> </w:t>
        </w:r>
        <w:r w:rsidR="00D673D2" w:rsidRPr="00295637">
          <w:rPr>
            <w:rStyle w:val="Hyperlink"/>
            <w:b w:val="0"/>
            <w:color w:val="auto"/>
            <w:sz w:val="22"/>
            <w:szCs w:val="22"/>
            <w:lang w:val="bs-Latn-BA" w:eastAsia="bs-Latn-BA"/>
          </w:rPr>
          <w:t>3.</w:t>
        </w:r>
        <w:r w:rsidR="00D673D2" w:rsidRPr="00295637">
          <w:rPr>
            <w:rFonts w:eastAsiaTheme="minorEastAsia"/>
            <w:b w:val="0"/>
          </w:rPr>
          <w:tab/>
        </w:r>
        <w:r w:rsidR="00C6214E">
          <w:rPr>
            <w:rStyle w:val="Hyperlink"/>
            <w:b w:val="0"/>
            <w:color w:val="auto"/>
            <w:sz w:val="22"/>
            <w:szCs w:val="22"/>
            <w:lang w:val="bs-Latn-BA" w:eastAsia="bs-Latn-BA"/>
          </w:rPr>
          <w:t>Јачање</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и</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сарадња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институционалних</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механизама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за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равноправност</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полова</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_Toc195016602 \h </w:instrText>
        </w:r>
        <w:r w:rsidR="00D673D2" w:rsidRPr="00295637">
          <w:rPr>
            <w:b w:val="0"/>
            <w:webHidden/>
          </w:rPr>
        </w:r>
        <w:r w:rsidR="00D673D2" w:rsidRPr="00295637">
          <w:rPr>
            <w:b w:val="0"/>
            <w:webHidden/>
          </w:rPr>
          <w:fldChar w:fldCharType="separate"/>
        </w:r>
        <w:r w:rsidR="001569D6">
          <w:rPr>
            <w:b w:val="0"/>
            <w:webHidden/>
          </w:rPr>
          <w:t>83</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603" w:history="1">
        <w:r w:rsidR="00891BBE">
          <w:rPr>
            <w:rStyle w:val="Hyperlink"/>
            <w:b w:val="0"/>
            <w:color w:val="auto"/>
            <w:sz w:val="22"/>
            <w:szCs w:val="22"/>
            <w:lang w:val="bs-Latn-BA" w:eastAsia="bs-Latn-BA"/>
          </w:rPr>
          <w:t>II</w:t>
        </w:r>
        <w:r w:rsidR="00097C81">
          <w:rPr>
            <w:rStyle w:val="Hyperlink"/>
            <w:b w:val="0"/>
            <w:color w:val="auto"/>
            <w:sz w:val="22"/>
            <w:szCs w:val="22"/>
            <w:lang w:val="bs-Latn-BA" w:eastAsia="bs-Latn-BA"/>
          </w:rPr>
          <w:t xml:space="preserve"> </w:t>
        </w:r>
        <w:r w:rsidR="00D673D2" w:rsidRPr="00295637">
          <w:rPr>
            <w:rStyle w:val="Hyperlink"/>
            <w:b w:val="0"/>
            <w:color w:val="auto"/>
            <w:sz w:val="22"/>
            <w:szCs w:val="22"/>
            <w:lang w:val="bs-Latn-BA" w:eastAsia="bs-Latn-BA"/>
          </w:rPr>
          <w:t>4.</w:t>
        </w:r>
        <w:r w:rsidR="00D673D2" w:rsidRPr="00295637">
          <w:rPr>
            <w:rFonts w:eastAsiaTheme="minorEastAsia"/>
            <w:b w:val="0"/>
          </w:rPr>
          <w:tab/>
        </w:r>
        <w:r w:rsidR="00C6214E">
          <w:rPr>
            <w:rStyle w:val="Hyperlink"/>
            <w:b w:val="0"/>
            <w:color w:val="auto"/>
            <w:sz w:val="22"/>
            <w:szCs w:val="22"/>
            <w:lang w:val="bs-Latn-BA" w:eastAsia="bs-Latn-BA"/>
          </w:rPr>
          <w:t>Подизање</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свијести</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о</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равноправности</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полова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у</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свим</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сегментима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друштва</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_Toc195016603 \h </w:instrText>
        </w:r>
        <w:r w:rsidR="00D673D2" w:rsidRPr="00295637">
          <w:rPr>
            <w:b w:val="0"/>
            <w:webHidden/>
          </w:rPr>
        </w:r>
        <w:r w:rsidR="00D673D2" w:rsidRPr="00295637">
          <w:rPr>
            <w:b w:val="0"/>
            <w:webHidden/>
          </w:rPr>
          <w:fldChar w:fldCharType="separate"/>
        </w:r>
        <w:r w:rsidR="001569D6">
          <w:rPr>
            <w:b w:val="0"/>
            <w:webHidden/>
          </w:rPr>
          <w:t>87</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604" w:history="1">
        <w:r w:rsidR="00891BBE">
          <w:rPr>
            <w:rStyle w:val="Hyperlink"/>
            <w:b w:val="0"/>
            <w:color w:val="auto"/>
            <w:sz w:val="22"/>
            <w:szCs w:val="22"/>
            <w:lang w:val="bs-Latn-BA" w:eastAsia="bs-Latn-BA"/>
          </w:rPr>
          <w:t>II</w:t>
        </w:r>
        <w:r w:rsidR="00097C81">
          <w:rPr>
            <w:rStyle w:val="Hyperlink"/>
            <w:b w:val="0"/>
            <w:color w:val="auto"/>
            <w:sz w:val="22"/>
            <w:szCs w:val="22"/>
            <w:lang w:val="bs-Latn-BA" w:eastAsia="bs-Latn-BA"/>
          </w:rPr>
          <w:t xml:space="preserve"> </w:t>
        </w:r>
        <w:r w:rsidR="00D673D2" w:rsidRPr="00295637">
          <w:rPr>
            <w:rStyle w:val="Hyperlink"/>
            <w:b w:val="0"/>
            <w:color w:val="auto"/>
            <w:sz w:val="22"/>
            <w:szCs w:val="22"/>
            <w:lang w:val="bs-Latn-BA" w:eastAsia="bs-Latn-BA"/>
          </w:rPr>
          <w:t>5.</w:t>
        </w:r>
        <w:r w:rsidR="00D673D2" w:rsidRPr="00295637">
          <w:rPr>
            <w:rFonts w:eastAsiaTheme="minorEastAsia"/>
            <w:b w:val="0"/>
          </w:rPr>
          <w:tab/>
        </w:r>
        <w:r w:rsidR="00C6214E">
          <w:rPr>
            <w:rStyle w:val="Hyperlink"/>
            <w:b w:val="0"/>
            <w:color w:val="auto"/>
            <w:sz w:val="22"/>
            <w:szCs w:val="22"/>
            <w:lang w:val="bs-Latn-BA" w:eastAsia="bs-Latn-BA"/>
          </w:rPr>
          <w:t>Подршка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институционалним</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и</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ванинституционалним</w:t>
        </w:r>
        <w:r w:rsidR="00132531">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партнерима</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у</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процесу</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укључивања</w:t>
        </w:r>
        <w:r w:rsidR="00097C81">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принципа</w:t>
        </w:r>
        <w:r w:rsidR="00097C81">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равноправности</w:t>
        </w:r>
        <w:r w:rsidR="00D673D2" w:rsidRPr="00295637">
          <w:rPr>
            <w:rStyle w:val="Hyperlink"/>
            <w:b w:val="0"/>
            <w:color w:val="auto"/>
            <w:sz w:val="22"/>
            <w:szCs w:val="22"/>
            <w:lang w:val="bs-Latn-BA" w:eastAsia="bs-Latn-BA"/>
          </w:rPr>
          <w:t xml:space="preserve"> </w:t>
        </w:r>
        <w:r w:rsidR="00C6214E">
          <w:rPr>
            <w:rStyle w:val="Hyperlink"/>
            <w:b w:val="0"/>
            <w:color w:val="auto"/>
            <w:sz w:val="22"/>
            <w:szCs w:val="22"/>
            <w:lang w:val="bs-Latn-BA" w:eastAsia="bs-Latn-BA"/>
          </w:rPr>
          <w:t>полова</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_Toc195016604 \h </w:instrText>
        </w:r>
        <w:r w:rsidR="00D673D2" w:rsidRPr="00295637">
          <w:rPr>
            <w:b w:val="0"/>
            <w:webHidden/>
          </w:rPr>
        </w:r>
        <w:r w:rsidR="00D673D2" w:rsidRPr="00295637">
          <w:rPr>
            <w:b w:val="0"/>
            <w:webHidden/>
          </w:rPr>
          <w:fldChar w:fldCharType="separate"/>
        </w:r>
        <w:r w:rsidR="001569D6">
          <w:rPr>
            <w:b w:val="0"/>
            <w:webHidden/>
          </w:rPr>
          <w:t>89</w:t>
        </w:r>
        <w:r w:rsidR="00D673D2" w:rsidRPr="00295637">
          <w:rPr>
            <w:b w:val="0"/>
            <w:webHidden/>
          </w:rPr>
          <w:fldChar w:fldCharType="end"/>
        </w:r>
      </w:hyperlink>
    </w:p>
    <w:p w:rsidR="00D673D2" w:rsidRPr="00295637" w:rsidRDefault="00D673D2" w:rsidP="0086268D">
      <w:pPr>
        <w:pStyle w:val="TOC2"/>
        <w:spacing w:line="240" w:lineRule="auto"/>
        <w:rPr>
          <w:rStyle w:val="Hyperlink"/>
          <w:rFonts w:ascii="Times New Roman" w:hAnsi="Times New Roman" w:cs="Times New Roman"/>
          <w:color w:val="auto"/>
          <w:sz w:val="22"/>
          <w:szCs w:val="22"/>
        </w:rPr>
      </w:pPr>
    </w:p>
    <w:p w:rsidR="00D673D2" w:rsidRPr="00295637" w:rsidRDefault="00EB31AF" w:rsidP="0086268D">
      <w:pPr>
        <w:pStyle w:val="TOC2"/>
        <w:spacing w:line="240" w:lineRule="auto"/>
        <w:rPr>
          <w:rFonts w:ascii="Times New Roman" w:eastAsiaTheme="minorEastAsia" w:hAnsi="Times New Roman" w:cs="Times New Roman"/>
          <w:b w:val="0"/>
          <w:sz w:val="22"/>
          <w:szCs w:val="22"/>
        </w:rPr>
      </w:pPr>
      <w:hyperlink w:anchor="_Toc195016605" w:history="1">
        <w:r w:rsidR="00891BBE">
          <w:rPr>
            <w:rStyle w:val="Hyperlink"/>
            <w:rFonts w:ascii="Times New Roman" w:hAnsi="Times New Roman" w:cs="Times New Roman"/>
            <w:color w:val="auto"/>
            <w:sz w:val="22"/>
            <w:szCs w:val="22"/>
            <w:lang w:val="bs-Latn-BA"/>
          </w:rPr>
          <w:t>III</w:t>
        </w:r>
        <w:r w:rsidR="00D673D2" w:rsidRPr="00295637">
          <w:rPr>
            <w:rFonts w:ascii="Times New Roman" w:eastAsiaTheme="minorEastAsia" w:hAnsi="Times New Roman" w:cs="Times New Roman"/>
            <w:b w:val="0"/>
            <w:sz w:val="22"/>
            <w:szCs w:val="22"/>
          </w:rPr>
          <w:tab/>
        </w:r>
        <w:r w:rsidR="00C6214E">
          <w:rPr>
            <w:rStyle w:val="Hyperlink"/>
            <w:rFonts w:ascii="Times New Roman" w:hAnsi="Times New Roman" w:cs="Times New Roman"/>
            <w:color w:val="auto"/>
            <w:sz w:val="22"/>
            <w:szCs w:val="22"/>
            <w:lang w:val="bs-Latn-BA"/>
          </w:rPr>
          <w:t>СТРАТЕШКИ</w:t>
        </w:r>
        <w:r w:rsidR="00D30E48">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ЦИЉ</w:t>
        </w:r>
        <w:r w:rsidR="00D30E48">
          <w:rPr>
            <w:rStyle w:val="Hyperlink"/>
            <w:rFonts w:ascii="Times New Roman" w:hAnsi="Times New Roman" w:cs="Times New Roman"/>
            <w:color w:val="auto"/>
            <w:sz w:val="22"/>
            <w:szCs w:val="22"/>
            <w:lang w:val="bs-Latn-BA"/>
          </w:rPr>
          <w:t xml:space="preserve"> 3:</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Успостављање</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и</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јачање</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сарадње</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и</w:t>
        </w:r>
        <w:r w:rsidR="00D673D2" w:rsidRPr="00295637">
          <w:rPr>
            <w:rStyle w:val="Hyperlink"/>
            <w:rFonts w:ascii="Times New Roman" w:hAnsi="Times New Roman" w:cs="Times New Roman"/>
            <w:color w:val="auto"/>
            <w:sz w:val="22"/>
            <w:szCs w:val="22"/>
            <w:lang w:val="bs-Latn-BA"/>
          </w:rPr>
          <w:t xml:space="preserve"> </w:t>
        </w:r>
        <w:r w:rsidR="00C6214E">
          <w:rPr>
            <w:rStyle w:val="Hyperlink"/>
            <w:rFonts w:ascii="Times New Roman" w:hAnsi="Times New Roman" w:cs="Times New Roman"/>
            <w:color w:val="auto"/>
            <w:sz w:val="22"/>
            <w:szCs w:val="22"/>
            <w:lang w:val="bs-Latn-BA"/>
          </w:rPr>
          <w:t>партнерства</w:t>
        </w:r>
        <w:r w:rsidR="00D673D2" w:rsidRPr="00295637">
          <w:rPr>
            <w:rFonts w:ascii="Times New Roman" w:hAnsi="Times New Roman" w:cs="Times New Roman"/>
            <w:webHidden/>
            <w:sz w:val="22"/>
            <w:szCs w:val="22"/>
          </w:rPr>
          <w:tab/>
        </w:r>
        <w:r w:rsidR="00D673D2" w:rsidRPr="00295637">
          <w:rPr>
            <w:rFonts w:ascii="Times New Roman" w:hAnsi="Times New Roman" w:cs="Times New Roman"/>
            <w:webHidden/>
            <w:sz w:val="22"/>
            <w:szCs w:val="22"/>
          </w:rPr>
          <w:fldChar w:fldCharType="begin"/>
        </w:r>
        <w:r w:rsidR="00D673D2" w:rsidRPr="00295637">
          <w:rPr>
            <w:rFonts w:ascii="Times New Roman" w:hAnsi="Times New Roman" w:cs="Times New Roman"/>
            <w:webHidden/>
            <w:sz w:val="22"/>
            <w:szCs w:val="22"/>
          </w:rPr>
          <w:instrText xml:space="preserve"> PAGEREF _Toc195016605 \h </w:instrText>
        </w:r>
        <w:r w:rsidR="00D673D2" w:rsidRPr="00295637">
          <w:rPr>
            <w:rFonts w:ascii="Times New Roman" w:hAnsi="Times New Roman" w:cs="Times New Roman"/>
            <w:webHidden/>
            <w:sz w:val="22"/>
            <w:szCs w:val="22"/>
          </w:rPr>
        </w:r>
        <w:r w:rsidR="00D673D2" w:rsidRPr="00295637">
          <w:rPr>
            <w:rFonts w:ascii="Times New Roman" w:hAnsi="Times New Roman" w:cs="Times New Roman"/>
            <w:webHidden/>
            <w:sz w:val="22"/>
            <w:szCs w:val="22"/>
          </w:rPr>
          <w:fldChar w:fldCharType="separate"/>
        </w:r>
        <w:r w:rsidR="001569D6">
          <w:rPr>
            <w:rFonts w:ascii="Times New Roman" w:hAnsi="Times New Roman" w:cs="Times New Roman"/>
            <w:webHidden/>
            <w:sz w:val="22"/>
            <w:szCs w:val="22"/>
          </w:rPr>
          <w:t>93</w:t>
        </w:r>
        <w:r w:rsidR="00D673D2" w:rsidRPr="00295637">
          <w:rPr>
            <w:rFonts w:ascii="Times New Roman" w:hAnsi="Times New Roman" w:cs="Times New Roman"/>
            <w:webHidden/>
            <w:sz w:val="22"/>
            <w:szCs w:val="22"/>
          </w:rPr>
          <w:fldChar w:fldCharType="end"/>
        </w:r>
      </w:hyperlink>
    </w:p>
    <w:p w:rsidR="00D673D2" w:rsidRPr="00295637" w:rsidRDefault="00EB31AF" w:rsidP="0086268D">
      <w:pPr>
        <w:pStyle w:val="TOC3"/>
        <w:rPr>
          <w:rFonts w:eastAsiaTheme="minorEastAsia"/>
          <w:b w:val="0"/>
        </w:rPr>
      </w:pPr>
      <w:hyperlink w:anchor="_Toc195016606" w:history="1">
        <w:r w:rsidR="00891BBE">
          <w:rPr>
            <w:rStyle w:val="Hyperlink"/>
            <w:b w:val="0"/>
            <w:color w:val="auto"/>
            <w:sz w:val="22"/>
            <w:szCs w:val="22"/>
            <w:lang w:val="bs-Latn-BA"/>
          </w:rPr>
          <w:t>III</w:t>
        </w:r>
        <w:r w:rsidR="00097C81">
          <w:rPr>
            <w:rStyle w:val="Hyperlink"/>
            <w:b w:val="0"/>
            <w:color w:val="auto"/>
            <w:sz w:val="22"/>
            <w:szCs w:val="22"/>
            <w:lang w:val="bs-Latn-BA"/>
          </w:rPr>
          <w:t xml:space="preserve"> </w:t>
        </w:r>
        <w:r w:rsidR="00D673D2" w:rsidRPr="00295637">
          <w:rPr>
            <w:rStyle w:val="Hyperlink"/>
            <w:b w:val="0"/>
            <w:color w:val="auto"/>
            <w:sz w:val="22"/>
            <w:szCs w:val="22"/>
            <w:lang w:val="bs-Latn-BA"/>
          </w:rPr>
          <w:t>1.</w:t>
        </w:r>
        <w:r w:rsidR="00D673D2" w:rsidRPr="00295637">
          <w:rPr>
            <w:rFonts w:eastAsiaTheme="minorEastAsia"/>
            <w:b w:val="0"/>
          </w:rPr>
          <w:tab/>
        </w:r>
        <w:r w:rsidR="00C6214E">
          <w:rPr>
            <w:rStyle w:val="Hyperlink"/>
            <w:b w:val="0"/>
            <w:color w:val="auto"/>
            <w:sz w:val="22"/>
            <w:szCs w:val="22"/>
            <w:lang w:val="bs-Latn-BA"/>
          </w:rPr>
          <w:t>Сарадња</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на</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регионалном</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и</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међународном</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нивоу</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_Toc195016606 \h </w:instrText>
        </w:r>
        <w:r w:rsidR="00D673D2" w:rsidRPr="00295637">
          <w:rPr>
            <w:b w:val="0"/>
            <w:webHidden/>
          </w:rPr>
        </w:r>
        <w:r w:rsidR="00D673D2" w:rsidRPr="00295637">
          <w:rPr>
            <w:b w:val="0"/>
            <w:webHidden/>
          </w:rPr>
          <w:fldChar w:fldCharType="separate"/>
        </w:r>
        <w:r w:rsidR="001569D6">
          <w:rPr>
            <w:b w:val="0"/>
            <w:webHidden/>
          </w:rPr>
          <w:t>93</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607" w:history="1">
        <w:r w:rsidR="00891BBE">
          <w:rPr>
            <w:rStyle w:val="Hyperlink"/>
            <w:b w:val="0"/>
            <w:color w:val="auto"/>
            <w:sz w:val="22"/>
            <w:szCs w:val="22"/>
            <w:lang w:val="bs-Latn-BA"/>
          </w:rPr>
          <w:t>III</w:t>
        </w:r>
        <w:r w:rsidR="00097C81">
          <w:rPr>
            <w:rStyle w:val="Hyperlink"/>
            <w:b w:val="0"/>
            <w:color w:val="auto"/>
            <w:sz w:val="22"/>
            <w:szCs w:val="22"/>
            <w:lang w:val="bs-Latn-BA"/>
          </w:rPr>
          <w:t xml:space="preserve"> </w:t>
        </w:r>
        <w:r w:rsidR="00D673D2" w:rsidRPr="00295637">
          <w:rPr>
            <w:rStyle w:val="Hyperlink"/>
            <w:b w:val="0"/>
            <w:color w:val="auto"/>
            <w:sz w:val="22"/>
            <w:szCs w:val="22"/>
            <w:lang w:val="bs-Latn-BA"/>
          </w:rPr>
          <w:t>2.</w:t>
        </w:r>
        <w:r w:rsidR="00D673D2" w:rsidRPr="00295637">
          <w:rPr>
            <w:rFonts w:eastAsiaTheme="minorEastAsia"/>
            <w:b w:val="0"/>
          </w:rPr>
          <w:tab/>
        </w:r>
        <w:r w:rsidR="00C6214E">
          <w:rPr>
            <w:rStyle w:val="Hyperlink"/>
            <w:b w:val="0"/>
            <w:color w:val="auto"/>
            <w:sz w:val="22"/>
            <w:szCs w:val="22"/>
            <w:lang w:val="bs-Latn-BA"/>
          </w:rPr>
          <w:t>Сарадња</w:t>
        </w:r>
        <w:r w:rsidR="006C4FE1">
          <w:rPr>
            <w:rStyle w:val="Hyperlink"/>
            <w:b w:val="0"/>
            <w:color w:val="auto"/>
            <w:sz w:val="22"/>
            <w:szCs w:val="22"/>
            <w:lang w:val="bs-Latn-BA"/>
          </w:rPr>
          <w:t xml:space="preserve"> </w:t>
        </w:r>
        <w:r w:rsidR="00C6214E">
          <w:rPr>
            <w:rStyle w:val="Hyperlink"/>
            <w:b w:val="0"/>
            <w:color w:val="auto"/>
            <w:sz w:val="22"/>
            <w:szCs w:val="22"/>
            <w:lang w:val="bs-Latn-BA"/>
          </w:rPr>
          <w:t>са</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организацијама</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цивилног</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друштва</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социјалним</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партнерима</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академском</w:t>
        </w:r>
        <w:r w:rsidR="00D673D2" w:rsidRPr="00295637">
          <w:rPr>
            <w:rStyle w:val="Hyperlink"/>
            <w:b w:val="0"/>
            <w:color w:val="auto"/>
            <w:sz w:val="22"/>
            <w:szCs w:val="22"/>
            <w:lang w:val="bs-Latn-BA"/>
          </w:rPr>
          <w:t xml:space="preserve"> </w:t>
        </w:r>
        <w:r w:rsidR="00C6214E">
          <w:rPr>
            <w:rStyle w:val="Hyperlink"/>
            <w:b w:val="0"/>
            <w:color w:val="auto"/>
            <w:sz w:val="22"/>
            <w:szCs w:val="22"/>
            <w:lang w:val="bs-Latn-BA"/>
          </w:rPr>
          <w:t>заједницом</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_Toc195016607 \h </w:instrText>
        </w:r>
        <w:r w:rsidR="00D673D2" w:rsidRPr="00295637">
          <w:rPr>
            <w:b w:val="0"/>
            <w:webHidden/>
          </w:rPr>
        </w:r>
        <w:r w:rsidR="00D673D2" w:rsidRPr="00295637">
          <w:rPr>
            <w:b w:val="0"/>
            <w:webHidden/>
          </w:rPr>
          <w:fldChar w:fldCharType="separate"/>
        </w:r>
        <w:r w:rsidR="001569D6">
          <w:rPr>
            <w:b w:val="0"/>
            <w:webHidden/>
          </w:rPr>
          <w:t>96</w:t>
        </w:r>
        <w:r w:rsidR="00D673D2" w:rsidRPr="00295637">
          <w:rPr>
            <w:b w:val="0"/>
            <w:webHidden/>
          </w:rPr>
          <w:fldChar w:fldCharType="end"/>
        </w:r>
      </w:hyperlink>
    </w:p>
    <w:p w:rsidR="00D673D2" w:rsidRPr="00295637" w:rsidRDefault="00D673D2" w:rsidP="0086268D">
      <w:pPr>
        <w:pStyle w:val="TOC1"/>
        <w:spacing w:line="240" w:lineRule="auto"/>
        <w:rPr>
          <w:rStyle w:val="Hyperlink"/>
          <w:rFonts w:ascii="Times New Roman" w:hAnsi="Times New Roman"/>
          <w:color w:val="auto"/>
          <w:sz w:val="22"/>
          <w:szCs w:val="22"/>
        </w:rPr>
      </w:pPr>
    </w:p>
    <w:p w:rsidR="00D673D2" w:rsidRPr="00295637" w:rsidRDefault="00EB31AF" w:rsidP="0086268D">
      <w:pPr>
        <w:pStyle w:val="TOC1"/>
        <w:spacing w:line="240" w:lineRule="auto"/>
        <w:rPr>
          <w:rFonts w:ascii="Times New Roman" w:eastAsiaTheme="minorEastAsia" w:hAnsi="Times New Roman"/>
          <w:b w:val="0"/>
          <w:sz w:val="22"/>
          <w:szCs w:val="22"/>
          <w:lang w:val="en-US"/>
        </w:rPr>
      </w:pPr>
      <w:hyperlink w:anchor="_Toc195016608" w:history="1">
        <w:r w:rsidR="00C6214E">
          <w:rPr>
            <w:rStyle w:val="Hyperlink"/>
            <w:rFonts w:ascii="Times New Roman" w:hAnsi="Times New Roman"/>
            <w:color w:val="auto"/>
            <w:sz w:val="22"/>
            <w:szCs w:val="22"/>
            <w:lang w:val="bs-Latn-BA"/>
          </w:rPr>
          <w:t>АНЕКСИ</w:t>
        </w:r>
        <w:r w:rsidR="006C4FE1">
          <w:rPr>
            <w:rStyle w:val="Hyperlink"/>
            <w:rFonts w:ascii="Times New Roman" w:hAnsi="Times New Roman"/>
            <w:color w:val="auto"/>
            <w:sz w:val="22"/>
            <w:szCs w:val="22"/>
            <w:lang w:val="bs-Latn-BA"/>
          </w:rPr>
          <w:t>.......................................................................................................................................................</w:t>
        </w:r>
        <w:r w:rsidR="00891BBE">
          <w:rPr>
            <w:rStyle w:val="Hyperlink"/>
            <w:rFonts w:ascii="Times New Roman" w:hAnsi="Times New Roman"/>
            <w:color w:val="auto"/>
            <w:sz w:val="22"/>
            <w:szCs w:val="22"/>
            <w:lang w:val="bs-Latn-BA"/>
          </w:rPr>
          <w:t>......</w:t>
        </w:r>
        <w:r w:rsidR="00D673D2" w:rsidRPr="00295637">
          <w:rPr>
            <w:rFonts w:ascii="Times New Roman" w:hAnsi="Times New Roman"/>
            <w:webHidden/>
            <w:sz w:val="22"/>
            <w:szCs w:val="22"/>
          </w:rPr>
          <w:tab/>
        </w:r>
        <w:r w:rsidR="00D673D2" w:rsidRPr="00295637">
          <w:rPr>
            <w:rFonts w:ascii="Times New Roman" w:hAnsi="Times New Roman"/>
            <w:webHidden/>
            <w:sz w:val="22"/>
            <w:szCs w:val="22"/>
          </w:rPr>
          <w:fldChar w:fldCharType="begin"/>
        </w:r>
        <w:r w:rsidR="00D673D2" w:rsidRPr="00295637">
          <w:rPr>
            <w:rFonts w:ascii="Times New Roman" w:hAnsi="Times New Roman"/>
            <w:webHidden/>
            <w:sz w:val="22"/>
            <w:szCs w:val="22"/>
          </w:rPr>
          <w:instrText xml:space="preserve"> PAGEREF _Toc195016608 \h </w:instrText>
        </w:r>
        <w:r w:rsidR="00D673D2" w:rsidRPr="00295637">
          <w:rPr>
            <w:rFonts w:ascii="Times New Roman" w:hAnsi="Times New Roman"/>
            <w:webHidden/>
            <w:sz w:val="22"/>
            <w:szCs w:val="22"/>
          </w:rPr>
        </w:r>
        <w:r w:rsidR="00D673D2" w:rsidRPr="00295637">
          <w:rPr>
            <w:rFonts w:ascii="Times New Roman" w:hAnsi="Times New Roman"/>
            <w:webHidden/>
            <w:sz w:val="22"/>
            <w:szCs w:val="22"/>
          </w:rPr>
          <w:fldChar w:fldCharType="separate"/>
        </w:r>
        <w:r w:rsidR="001569D6">
          <w:rPr>
            <w:rFonts w:ascii="Times New Roman" w:hAnsi="Times New Roman"/>
            <w:webHidden/>
            <w:sz w:val="22"/>
            <w:szCs w:val="22"/>
          </w:rPr>
          <w:t>100</w:t>
        </w:r>
        <w:r w:rsidR="00D673D2" w:rsidRPr="00295637">
          <w:rPr>
            <w:rFonts w:ascii="Times New Roman" w:hAnsi="Times New Roman"/>
            <w:webHidden/>
            <w:sz w:val="22"/>
            <w:szCs w:val="22"/>
          </w:rPr>
          <w:fldChar w:fldCharType="end"/>
        </w:r>
      </w:hyperlink>
    </w:p>
    <w:p w:rsidR="00D673D2" w:rsidRPr="00295637" w:rsidRDefault="00EB31AF" w:rsidP="0086268D">
      <w:pPr>
        <w:pStyle w:val="TOC3"/>
        <w:rPr>
          <w:rFonts w:eastAsiaTheme="minorEastAsia"/>
          <w:b w:val="0"/>
        </w:rPr>
      </w:pPr>
      <w:hyperlink w:anchor="_Toc195016609" w:history="1">
        <w:r w:rsidR="00D673D2" w:rsidRPr="00295637">
          <w:rPr>
            <w:rStyle w:val="Hyperlink"/>
            <w:b w:val="0"/>
            <w:color w:val="auto"/>
            <w:sz w:val="22"/>
            <w:szCs w:val="22"/>
          </w:rPr>
          <w:t xml:space="preserve">1. </w:t>
        </w:r>
        <w:r w:rsidR="0042668D" w:rsidRPr="00295637">
          <w:rPr>
            <w:rStyle w:val="Hyperlink"/>
            <w:b w:val="0"/>
            <w:color w:val="auto"/>
            <w:sz w:val="22"/>
            <w:szCs w:val="22"/>
          </w:rPr>
          <w:tab/>
        </w:r>
        <w:r w:rsidR="00C6214E">
          <w:rPr>
            <w:rStyle w:val="Hyperlink"/>
            <w:b w:val="0"/>
            <w:color w:val="auto"/>
            <w:sz w:val="22"/>
            <w:szCs w:val="22"/>
          </w:rPr>
          <w:t>Списак</w:t>
        </w:r>
        <w:r w:rsidR="00D673D2" w:rsidRPr="00295637">
          <w:rPr>
            <w:rStyle w:val="Hyperlink"/>
            <w:b w:val="0"/>
            <w:color w:val="auto"/>
            <w:sz w:val="22"/>
            <w:szCs w:val="22"/>
          </w:rPr>
          <w:t xml:space="preserve"> </w:t>
        </w:r>
        <w:r w:rsidR="00C6214E">
          <w:rPr>
            <w:rStyle w:val="Hyperlink"/>
            <w:b w:val="0"/>
            <w:color w:val="auto"/>
            <w:sz w:val="22"/>
            <w:szCs w:val="22"/>
          </w:rPr>
          <w:t>прописа</w:t>
        </w:r>
        <w:r w:rsidR="00D673D2" w:rsidRPr="00295637">
          <w:rPr>
            <w:rStyle w:val="Hyperlink"/>
            <w:b w:val="0"/>
            <w:color w:val="auto"/>
            <w:sz w:val="22"/>
            <w:szCs w:val="22"/>
          </w:rPr>
          <w:t xml:space="preserve"> </w:t>
        </w:r>
        <w:r w:rsidR="00C6214E">
          <w:rPr>
            <w:rStyle w:val="Hyperlink"/>
            <w:b w:val="0"/>
            <w:color w:val="auto"/>
            <w:sz w:val="22"/>
            <w:szCs w:val="22"/>
          </w:rPr>
          <w:t>на</w:t>
        </w:r>
        <w:r w:rsidR="00D673D2" w:rsidRPr="00295637">
          <w:rPr>
            <w:rStyle w:val="Hyperlink"/>
            <w:b w:val="0"/>
            <w:color w:val="auto"/>
            <w:sz w:val="22"/>
            <w:szCs w:val="22"/>
          </w:rPr>
          <w:t xml:space="preserve"> </w:t>
        </w:r>
        <w:r w:rsidR="00C6214E">
          <w:rPr>
            <w:rStyle w:val="Hyperlink"/>
            <w:b w:val="0"/>
            <w:color w:val="auto"/>
            <w:sz w:val="22"/>
            <w:szCs w:val="22"/>
          </w:rPr>
          <w:t>које</w:t>
        </w:r>
        <w:r w:rsidR="00D673D2" w:rsidRPr="00295637">
          <w:rPr>
            <w:rStyle w:val="Hyperlink"/>
            <w:b w:val="0"/>
            <w:color w:val="auto"/>
            <w:sz w:val="22"/>
            <w:szCs w:val="22"/>
          </w:rPr>
          <w:t xml:space="preserve"> </w:t>
        </w:r>
        <w:r w:rsidR="00C6214E">
          <w:rPr>
            <w:rStyle w:val="Hyperlink"/>
            <w:b w:val="0"/>
            <w:color w:val="auto"/>
            <w:sz w:val="22"/>
            <w:szCs w:val="22"/>
          </w:rPr>
          <w:t>су</w:t>
        </w:r>
        <w:r w:rsidR="00D673D2" w:rsidRPr="00295637">
          <w:rPr>
            <w:rStyle w:val="Hyperlink"/>
            <w:b w:val="0"/>
            <w:color w:val="auto"/>
            <w:sz w:val="22"/>
            <w:szCs w:val="22"/>
          </w:rPr>
          <w:t xml:space="preserve"> </w:t>
        </w:r>
        <w:r w:rsidR="00C6214E">
          <w:rPr>
            <w:rStyle w:val="Hyperlink"/>
            <w:b w:val="0"/>
            <w:color w:val="auto"/>
            <w:sz w:val="22"/>
            <w:szCs w:val="22"/>
          </w:rPr>
          <w:t>дата</w:t>
        </w:r>
        <w:r w:rsidR="006C4FE1">
          <w:rPr>
            <w:rStyle w:val="Hyperlink"/>
            <w:b w:val="0"/>
            <w:color w:val="auto"/>
            <w:sz w:val="22"/>
            <w:szCs w:val="22"/>
          </w:rPr>
          <w:t xml:space="preserve"> </w:t>
        </w:r>
        <w:r w:rsidR="00C6214E">
          <w:rPr>
            <w:rStyle w:val="Hyperlink"/>
            <w:b w:val="0"/>
            <w:color w:val="auto"/>
            <w:sz w:val="22"/>
            <w:szCs w:val="22"/>
          </w:rPr>
          <w:t>мишљења</w:t>
        </w:r>
        <w:r w:rsidR="006C4FE1">
          <w:rPr>
            <w:rStyle w:val="Hyperlink"/>
            <w:b w:val="0"/>
            <w:color w:val="auto"/>
            <w:sz w:val="22"/>
            <w:szCs w:val="22"/>
          </w:rPr>
          <w:t xml:space="preserve"> </w:t>
        </w:r>
        <w:r w:rsidR="00C6214E">
          <w:rPr>
            <w:rStyle w:val="Hyperlink"/>
            <w:b w:val="0"/>
            <w:color w:val="auto"/>
            <w:sz w:val="22"/>
            <w:szCs w:val="22"/>
          </w:rPr>
          <w:t>о</w:t>
        </w:r>
        <w:r w:rsidR="006C4FE1">
          <w:rPr>
            <w:rStyle w:val="Hyperlink"/>
            <w:b w:val="0"/>
            <w:color w:val="auto"/>
            <w:sz w:val="22"/>
            <w:szCs w:val="22"/>
          </w:rPr>
          <w:t xml:space="preserve"> </w:t>
        </w:r>
        <w:r w:rsidR="00C6214E">
          <w:rPr>
            <w:rStyle w:val="Hyperlink"/>
            <w:b w:val="0"/>
            <w:color w:val="auto"/>
            <w:sz w:val="22"/>
            <w:szCs w:val="22"/>
          </w:rPr>
          <w:t>усклађености</w:t>
        </w:r>
        <w:r w:rsidR="006C4FE1">
          <w:rPr>
            <w:rStyle w:val="Hyperlink"/>
            <w:b w:val="0"/>
            <w:color w:val="auto"/>
            <w:sz w:val="22"/>
            <w:szCs w:val="22"/>
          </w:rPr>
          <w:t xml:space="preserve"> </w:t>
        </w:r>
        <w:r w:rsidR="00C6214E">
          <w:rPr>
            <w:rStyle w:val="Hyperlink"/>
            <w:b w:val="0"/>
            <w:color w:val="auto"/>
            <w:sz w:val="22"/>
            <w:szCs w:val="22"/>
          </w:rPr>
          <w:t>са</w:t>
        </w:r>
        <w:r w:rsidR="00D673D2" w:rsidRPr="00295637">
          <w:rPr>
            <w:rStyle w:val="Hyperlink"/>
            <w:b w:val="0"/>
            <w:color w:val="auto"/>
            <w:sz w:val="22"/>
            <w:szCs w:val="22"/>
          </w:rPr>
          <w:t xml:space="preserve"> </w:t>
        </w:r>
        <w:r w:rsidR="00C6214E">
          <w:rPr>
            <w:rStyle w:val="Hyperlink"/>
            <w:b w:val="0"/>
            <w:color w:val="auto"/>
            <w:sz w:val="22"/>
            <w:szCs w:val="22"/>
          </w:rPr>
          <w:t>ЗоР</w:t>
        </w:r>
        <w:r w:rsidR="00891BBE">
          <w:rPr>
            <w:rStyle w:val="Hyperlink"/>
            <w:b w:val="0"/>
            <w:color w:val="auto"/>
            <w:sz w:val="22"/>
            <w:szCs w:val="22"/>
            <w:lang w:val="sr-Cyrl-BA"/>
          </w:rPr>
          <w:t>П</w:t>
        </w:r>
        <w:r w:rsidR="00D673D2" w:rsidRPr="00295637">
          <w:rPr>
            <w:rStyle w:val="Hyperlink"/>
            <w:b w:val="0"/>
            <w:color w:val="auto"/>
            <w:sz w:val="22"/>
            <w:szCs w:val="22"/>
          </w:rPr>
          <w:t>-</w:t>
        </w:r>
        <w:r w:rsidR="00C6214E">
          <w:rPr>
            <w:rStyle w:val="Hyperlink"/>
            <w:b w:val="0"/>
            <w:color w:val="auto"/>
            <w:sz w:val="22"/>
            <w:szCs w:val="22"/>
          </w:rPr>
          <w:t>ом</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_Toc195016609 \h </w:instrText>
        </w:r>
        <w:r w:rsidR="00D673D2" w:rsidRPr="00295637">
          <w:rPr>
            <w:b w:val="0"/>
            <w:webHidden/>
          </w:rPr>
        </w:r>
        <w:r w:rsidR="00D673D2" w:rsidRPr="00295637">
          <w:rPr>
            <w:b w:val="0"/>
            <w:webHidden/>
          </w:rPr>
          <w:fldChar w:fldCharType="separate"/>
        </w:r>
        <w:r w:rsidR="001569D6">
          <w:rPr>
            <w:b w:val="0"/>
            <w:webHidden/>
          </w:rPr>
          <w:t>100</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610" w:history="1">
        <w:r w:rsidR="00D673D2" w:rsidRPr="00295637">
          <w:rPr>
            <w:rStyle w:val="Hyperlink"/>
            <w:b w:val="0"/>
            <w:color w:val="auto"/>
            <w:sz w:val="22"/>
            <w:szCs w:val="22"/>
          </w:rPr>
          <w:t xml:space="preserve">2. </w:t>
        </w:r>
        <w:r w:rsidR="0042668D" w:rsidRPr="00295637">
          <w:rPr>
            <w:rStyle w:val="Hyperlink"/>
            <w:b w:val="0"/>
            <w:color w:val="auto"/>
            <w:sz w:val="22"/>
            <w:szCs w:val="22"/>
          </w:rPr>
          <w:tab/>
        </w:r>
        <w:r w:rsidR="00C6214E">
          <w:rPr>
            <w:rStyle w:val="Hyperlink"/>
            <w:b w:val="0"/>
            <w:color w:val="auto"/>
            <w:sz w:val="22"/>
            <w:szCs w:val="22"/>
          </w:rPr>
          <w:t>Списак</w:t>
        </w:r>
        <w:r w:rsidR="00D673D2" w:rsidRPr="00295637">
          <w:rPr>
            <w:rStyle w:val="Hyperlink"/>
            <w:b w:val="0"/>
            <w:color w:val="auto"/>
            <w:sz w:val="22"/>
            <w:szCs w:val="22"/>
          </w:rPr>
          <w:t xml:space="preserve"> </w:t>
        </w:r>
        <w:r w:rsidR="00C6214E">
          <w:rPr>
            <w:rStyle w:val="Hyperlink"/>
            <w:b w:val="0"/>
            <w:color w:val="auto"/>
            <w:sz w:val="22"/>
            <w:szCs w:val="22"/>
          </w:rPr>
          <w:t>одржаних</w:t>
        </w:r>
        <w:r w:rsidR="00D673D2" w:rsidRPr="00295637">
          <w:rPr>
            <w:rStyle w:val="Hyperlink"/>
            <w:b w:val="0"/>
            <w:color w:val="auto"/>
            <w:sz w:val="22"/>
            <w:szCs w:val="22"/>
          </w:rPr>
          <w:t xml:space="preserve"> </w:t>
        </w:r>
        <w:r w:rsidR="00C6214E">
          <w:rPr>
            <w:rStyle w:val="Hyperlink"/>
            <w:b w:val="0"/>
            <w:color w:val="auto"/>
            <w:sz w:val="22"/>
            <w:szCs w:val="22"/>
          </w:rPr>
          <w:t>обука</w:t>
        </w:r>
        <w:r w:rsidR="00D673D2" w:rsidRPr="00295637">
          <w:rPr>
            <w:rStyle w:val="Hyperlink"/>
            <w:b w:val="0"/>
            <w:color w:val="auto"/>
            <w:sz w:val="22"/>
            <w:szCs w:val="22"/>
          </w:rPr>
          <w:t xml:space="preserve">, </w:t>
        </w:r>
        <w:r w:rsidR="00C6214E">
          <w:rPr>
            <w:rStyle w:val="Hyperlink"/>
            <w:b w:val="0"/>
            <w:color w:val="auto"/>
            <w:sz w:val="22"/>
            <w:szCs w:val="22"/>
          </w:rPr>
          <w:t>организ</w:t>
        </w:r>
        <w:r w:rsidR="00891BBE">
          <w:rPr>
            <w:rStyle w:val="Hyperlink"/>
            <w:b w:val="0"/>
            <w:color w:val="auto"/>
            <w:sz w:val="22"/>
            <w:szCs w:val="22"/>
            <w:lang w:val="sr-Cyrl-BA"/>
          </w:rPr>
          <w:t>ованих</w:t>
        </w:r>
        <w:r w:rsidR="00D673D2" w:rsidRPr="00295637">
          <w:rPr>
            <w:rStyle w:val="Hyperlink"/>
            <w:b w:val="0"/>
            <w:color w:val="auto"/>
            <w:sz w:val="22"/>
            <w:szCs w:val="22"/>
          </w:rPr>
          <w:t xml:space="preserve"> </w:t>
        </w:r>
        <w:r w:rsidR="00C6214E">
          <w:rPr>
            <w:rStyle w:val="Hyperlink"/>
            <w:b w:val="0"/>
            <w:color w:val="auto"/>
            <w:sz w:val="22"/>
            <w:szCs w:val="22"/>
          </w:rPr>
          <w:t>догађаја</w:t>
        </w:r>
        <w:r w:rsidR="00D673D2" w:rsidRPr="00295637">
          <w:rPr>
            <w:rStyle w:val="Hyperlink"/>
            <w:b w:val="0"/>
            <w:color w:val="auto"/>
            <w:sz w:val="22"/>
            <w:szCs w:val="22"/>
          </w:rPr>
          <w:t xml:space="preserve"> (</w:t>
        </w:r>
        <w:r w:rsidR="00C6214E">
          <w:rPr>
            <w:rStyle w:val="Hyperlink"/>
            <w:b w:val="0"/>
            <w:color w:val="auto"/>
            <w:sz w:val="22"/>
            <w:szCs w:val="22"/>
          </w:rPr>
          <w:t>конференције</w:t>
        </w:r>
        <w:r w:rsidR="00D673D2" w:rsidRPr="00295637">
          <w:rPr>
            <w:rStyle w:val="Hyperlink"/>
            <w:b w:val="0"/>
            <w:color w:val="auto"/>
            <w:sz w:val="22"/>
            <w:szCs w:val="22"/>
          </w:rPr>
          <w:t xml:space="preserve">, </w:t>
        </w:r>
        <w:r w:rsidR="00C6214E">
          <w:rPr>
            <w:rStyle w:val="Hyperlink"/>
            <w:b w:val="0"/>
            <w:color w:val="auto"/>
            <w:sz w:val="22"/>
            <w:szCs w:val="22"/>
          </w:rPr>
          <w:t>већи</w:t>
        </w:r>
        <w:r w:rsidR="00D673D2" w:rsidRPr="00295637">
          <w:rPr>
            <w:rStyle w:val="Hyperlink"/>
            <w:b w:val="0"/>
            <w:color w:val="auto"/>
            <w:sz w:val="22"/>
            <w:szCs w:val="22"/>
          </w:rPr>
          <w:t xml:space="preserve"> </w:t>
        </w:r>
        <w:r w:rsidR="00C6214E">
          <w:rPr>
            <w:rStyle w:val="Hyperlink"/>
            <w:b w:val="0"/>
            <w:color w:val="auto"/>
            <w:sz w:val="22"/>
            <w:szCs w:val="22"/>
          </w:rPr>
          <w:t>састанци</w:t>
        </w:r>
        <w:r w:rsidR="00D673D2" w:rsidRPr="00295637">
          <w:rPr>
            <w:rStyle w:val="Hyperlink"/>
            <w:b w:val="0"/>
            <w:color w:val="auto"/>
            <w:sz w:val="22"/>
            <w:szCs w:val="22"/>
          </w:rPr>
          <w:t xml:space="preserve">) </w:t>
        </w:r>
        <w:r w:rsidR="00C6214E">
          <w:rPr>
            <w:rStyle w:val="Hyperlink"/>
            <w:b w:val="0"/>
            <w:color w:val="auto"/>
            <w:sz w:val="22"/>
            <w:szCs w:val="22"/>
          </w:rPr>
          <w:t>и</w:t>
        </w:r>
        <w:r w:rsidR="00D673D2" w:rsidRPr="00295637">
          <w:rPr>
            <w:rStyle w:val="Hyperlink"/>
            <w:b w:val="0"/>
            <w:color w:val="auto"/>
            <w:sz w:val="22"/>
            <w:szCs w:val="22"/>
          </w:rPr>
          <w:t xml:space="preserve"> </w:t>
        </w:r>
        <w:r w:rsidR="00C6214E">
          <w:rPr>
            <w:rStyle w:val="Hyperlink"/>
            <w:b w:val="0"/>
            <w:color w:val="auto"/>
            <w:sz w:val="22"/>
            <w:szCs w:val="22"/>
          </w:rPr>
          <w:t>публикација</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_Toc195016610 \h </w:instrText>
        </w:r>
        <w:r w:rsidR="00D673D2" w:rsidRPr="00295637">
          <w:rPr>
            <w:b w:val="0"/>
            <w:webHidden/>
          </w:rPr>
        </w:r>
        <w:r w:rsidR="00D673D2" w:rsidRPr="00295637">
          <w:rPr>
            <w:b w:val="0"/>
            <w:webHidden/>
          </w:rPr>
          <w:fldChar w:fldCharType="separate"/>
        </w:r>
        <w:r w:rsidR="001569D6">
          <w:rPr>
            <w:b w:val="0"/>
            <w:webHidden/>
          </w:rPr>
          <w:t>103</w:t>
        </w:r>
        <w:r w:rsidR="00D673D2" w:rsidRPr="00295637">
          <w:rPr>
            <w:b w:val="0"/>
            <w:webHidden/>
          </w:rPr>
          <w:fldChar w:fldCharType="end"/>
        </w:r>
      </w:hyperlink>
    </w:p>
    <w:p w:rsidR="00D673D2" w:rsidRPr="00295637" w:rsidRDefault="00EB31AF" w:rsidP="0086268D">
      <w:pPr>
        <w:pStyle w:val="TOC3"/>
        <w:rPr>
          <w:rFonts w:eastAsiaTheme="minorEastAsia"/>
          <w:b w:val="0"/>
        </w:rPr>
      </w:pPr>
      <w:hyperlink w:anchor="_Toc195016611" w:history="1">
        <w:r w:rsidR="00D673D2" w:rsidRPr="00295637">
          <w:rPr>
            <w:rStyle w:val="Hyperlink"/>
            <w:b w:val="0"/>
            <w:color w:val="auto"/>
            <w:sz w:val="22"/>
            <w:szCs w:val="22"/>
          </w:rPr>
          <w:t>3</w:t>
        </w:r>
        <w:r w:rsidR="00D673D2" w:rsidRPr="00295637">
          <w:rPr>
            <w:rFonts w:eastAsiaTheme="minorEastAsia"/>
            <w:b w:val="0"/>
          </w:rPr>
          <w:tab/>
        </w:r>
        <w:r w:rsidR="00C6214E">
          <w:rPr>
            <w:rStyle w:val="Hyperlink"/>
            <w:b w:val="0"/>
            <w:color w:val="auto"/>
            <w:sz w:val="22"/>
            <w:szCs w:val="22"/>
            <w:lang w:val="sr-Latn-BA"/>
          </w:rPr>
          <w:t>Закони</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и</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други</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акти</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у</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којима</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су</w:t>
        </w:r>
        <w:r w:rsidR="00D673D2" w:rsidRPr="00295637">
          <w:rPr>
            <w:rStyle w:val="Hyperlink"/>
            <w:b w:val="0"/>
            <w:color w:val="auto"/>
            <w:sz w:val="22"/>
            <w:szCs w:val="22"/>
            <w:lang w:val="sr-Cyrl-BA"/>
          </w:rPr>
          <w:t xml:space="preserve"> </w:t>
        </w:r>
        <w:r w:rsidR="00C6214E">
          <w:rPr>
            <w:rStyle w:val="Hyperlink"/>
            <w:b w:val="0"/>
            <w:color w:val="auto"/>
            <w:sz w:val="22"/>
            <w:szCs w:val="22"/>
            <w:lang w:val="sr-Cyrl-BA"/>
          </w:rPr>
          <w:t>предложени</w:t>
        </w:r>
        <w:r w:rsidR="00D673D2" w:rsidRPr="00295637">
          <w:rPr>
            <w:rStyle w:val="Hyperlink"/>
            <w:b w:val="0"/>
            <w:color w:val="auto"/>
            <w:sz w:val="22"/>
            <w:szCs w:val="22"/>
            <w:lang w:val="sr-Cyrl-BA"/>
          </w:rPr>
          <w:t>/</w:t>
        </w:r>
        <w:r w:rsidR="00C6214E">
          <w:rPr>
            <w:rStyle w:val="Hyperlink"/>
            <w:b w:val="0"/>
            <w:color w:val="auto"/>
            <w:sz w:val="22"/>
            <w:szCs w:val="22"/>
            <w:lang w:val="sr-Cyrl-BA"/>
          </w:rPr>
          <w:t>усвојени</w:t>
        </w:r>
        <w:r w:rsidR="00D673D2" w:rsidRPr="00295637">
          <w:rPr>
            <w:rStyle w:val="Hyperlink"/>
            <w:b w:val="0"/>
            <w:color w:val="auto"/>
            <w:sz w:val="22"/>
            <w:szCs w:val="22"/>
            <w:lang w:val="sr-Cyrl-BA"/>
          </w:rPr>
          <w:t xml:space="preserve"> </w:t>
        </w:r>
        <w:r w:rsidR="00C6214E">
          <w:rPr>
            <w:rStyle w:val="Hyperlink"/>
            <w:b w:val="0"/>
            <w:color w:val="auto"/>
            <w:sz w:val="22"/>
            <w:szCs w:val="22"/>
            <w:lang w:val="sr-Latn-BA"/>
          </w:rPr>
          <w:t>правни</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стандарди</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за</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равноправност</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полова</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и</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спречавање</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и</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сузбијање</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насиља</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над</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женама</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и</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насиља</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у</w:t>
        </w:r>
        <w:r w:rsidR="00D673D2" w:rsidRPr="00295637">
          <w:rPr>
            <w:rStyle w:val="Hyperlink"/>
            <w:b w:val="0"/>
            <w:color w:val="auto"/>
            <w:sz w:val="22"/>
            <w:szCs w:val="22"/>
            <w:lang w:val="sr-Latn-BA"/>
          </w:rPr>
          <w:t xml:space="preserve"> </w:t>
        </w:r>
        <w:r w:rsidR="00C6214E">
          <w:rPr>
            <w:rStyle w:val="Hyperlink"/>
            <w:b w:val="0"/>
            <w:color w:val="auto"/>
            <w:sz w:val="22"/>
            <w:szCs w:val="22"/>
            <w:lang w:val="sr-Latn-BA"/>
          </w:rPr>
          <w:t>породици</w:t>
        </w:r>
        <w:r w:rsidR="00D673D2" w:rsidRPr="00295637">
          <w:rPr>
            <w:b w:val="0"/>
            <w:webHidden/>
          </w:rPr>
          <w:tab/>
        </w:r>
        <w:r w:rsidR="00D673D2" w:rsidRPr="00295637">
          <w:rPr>
            <w:b w:val="0"/>
            <w:webHidden/>
          </w:rPr>
          <w:fldChar w:fldCharType="begin"/>
        </w:r>
        <w:r w:rsidR="00D673D2" w:rsidRPr="00295637">
          <w:rPr>
            <w:b w:val="0"/>
            <w:webHidden/>
          </w:rPr>
          <w:instrText xml:space="preserve"> PAGEREF _Toc195016611 \h </w:instrText>
        </w:r>
        <w:r w:rsidR="00D673D2" w:rsidRPr="00295637">
          <w:rPr>
            <w:b w:val="0"/>
            <w:webHidden/>
          </w:rPr>
        </w:r>
        <w:r w:rsidR="00D673D2" w:rsidRPr="00295637">
          <w:rPr>
            <w:b w:val="0"/>
            <w:webHidden/>
          </w:rPr>
          <w:fldChar w:fldCharType="separate"/>
        </w:r>
        <w:r w:rsidR="001569D6">
          <w:rPr>
            <w:b w:val="0"/>
            <w:webHidden/>
          </w:rPr>
          <w:t>105</w:t>
        </w:r>
        <w:r w:rsidR="00D673D2" w:rsidRPr="00295637">
          <w:rPr>
            <w:b w:val="0"/>
            <w:webHidden/>
          </w:rPr>
          <w:fldChar w:fldCharType="end"/>
        </w:r>
      </w:hyperlink>
    </w:p>
    <w:p w:rsidR="00356C2C" w:rsidRPr="00295637" w:rsidRDefault="00356C2C" w:rsidP="0086268D">
      <w:pPr>
        <w:ind w:left="1080" w:hanging="540"/>
        <w:rPr>
          <w:rFonts w:cs="Arial"/>
          <w:szCs w:val="24"/>
          <w:lang w:val="bs-Latn-BA"/>
        </w:rPr>
      </w:pPr>
      <w:r w:rsidRPr="00295637">
        <w:rPr>
          <w:rFonts w:ascii="Times New Roman" w:hAnsi="Times New Roman"/>
          <w:b/>
          <w:bCs/>
          <w:sz w:val="22"/>
          <w:szCs w:val="22"/>
          <w:lang w:val="bs-Latn-BA"/>
        </w:rPr>
        <w:fldChar w:fldCharType="end"/>
      </w:r>
    </w:p>
    <w:p w:rsidR="00356C2C" w:rsidRPr="00295637" w:rsidRDefault="00356C2C" w:rsidP="0086268D">
      <w:pPr>
        <w:rPr>
          <w:rFonts w:cs="Arial"/>
          <w:szCs w:val="24"/>
          <w:lang w:val="bs-Latn-BA"/>
        </w:rPr>
      </w:pPr>
    </w:p>
    <w:p w:rsidR="00356C2C" w:rsidRPr="00295637" w:rsidRDefault="00356C2C" w:rsidP="0086268D">
      <w:pPr>
        <w:jc w:val="both"/>
        <w:rPr>
          <w:rFonts w:eastAsia="Calibri" w:cs="Arial"/>
          <w:b/>
          <w:szCs w:val="24"/>
          <w:lang w:val="bs-Latn-BA"/>
        </w:rPr>
      </w:pPr>
    </w:p>
    <w:p w:rsidR="00356C2C" w:rsidRPr="00295637" w:rsidRDefault="00356C2C" w:rsidP="0086268D">
      <w:pPr>
        <w:jc w:val="both"/>
        <w:rPr>
          <w:rFonts w:eastAsia="Calibri" w:cs="Arial"/>
          <w:b/>
          <w:szCs w:val="24"/>
          <w:lang w:val="bs-Latn-BA"/>
        </w:rPr>
      </w:pPr>
    </w:p>
    <w:p w:rsidR="00356C2C" w:rsidRPr="00295637" w:rsidRDefault="00356C2C" w:rsidP="0086268D">
      <w:pPr>
        <w:jc w:val="both"/>
        <w:rPr>
          <w:rFonts w:eastAsia="Calibri" w:cs="Arial"/>
          <w:b/>
          <w:szCs w:val="24"/>
          <w:lang w:val="bs-Latn-BA"/>
        </w:rPr>
      </w:pPr>
    </w:p>
    <w:p w:rsidR="00AB33B8" w:rsidRPr="00295637" w:rsidRDefault="00356C2C" w:rsidP="0086268D">
      <w:pPr>
        <w:pStyle w:val="Heading1"/>
        <w:spacing w:after="0" w:line="240" w:lineRule="auto"/>
        <w:rPr>
          <w:rFonts w:ascii="Times New Roman" w:hAnsi="Times New Roman" w:cs="Times New Roman"/>
          <w:sz w:val="24"/>
          <w:szCs w:val="24"/>
        </w:rPr>
      </w:pPr>
      <w:bookmarkStart w:id="0" w:name="_Toc332010882"/>
      <w:r w:rsidRPr="00295637">
        <w:rPr>
          <w:sz w:val="24"/>
          <w:szCs w:val="24"/>
          <w:lang w:val="bs-Latn-BA"/>
        </w:rPr>
        <w:br w:type="page"/>
      </w:r>
      <w:bookmarkStart w:id="1" w:name="_Toc500172517"/>
      <w:bookmarkStart w:id="2" w:name="_Toc500307607"/>
      <w:bookmarkStart w:id="3" w:name="_Toc500308163"/>
      <w:bookmarkStart w:id="4" w:name="_Toc195016587"/>
      <w:r w:rsidR="00BB63CE">
        <w:rPr>
          <w:sz w:val="24"/>
          <w:szCs w:val="24"/>
          <w:lang w:val="bs-Latn-BA"/>
        </w:rPr>
        <w:t xml:space="preserve">  </w:t>
      </w:r>
      <w:bookmarkEnd w:id="1"/>
      <w:bookmarkEnd w:id="2"/>
      <w:bookmarkEnd w:id="3"/>
      <w:bookmarkEnd w:id="4"/>
      <w:r w:rsidR="00C6214E">
        <w:rPr>
          <w:rFonts w:ascii="Times New Roman" w:hAnsi="Times New Roman" w:cs="Times New Roman"/>
          <w:sz w:val="24"/>
          <w:szCs w:val="24"/>
        </w:rPr>
        <w:t>СКРАЋЕНИЦЕ</w:t>
      </w:r>
    </w:p>
    <w:p w:rsidR="00AB33B8" w:rsidRPr="00295637" w:rsidRDefault="00AB33B8" w:rsidP="0086268D">
      <w:pPr>
        <w:rPr>
          <w:rFonts w:ascii="Times New Roman" w:hAnsi="Times New Roman"/>
          <w:szCs w:val="24"/>
          <w:lang w:val="bs-Latn-BA"/>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8100"/>
      </w:tblGrid>
      <w:tr w:rsidR="00AB33B8" w:rsidRPr="00295637" w:rsidTr="00365441">
        <w:tc>
          <w:tcPr>
            <w:tcW w:w="2628" w:type="dxa"/>
          </w:tcPr>
          <w:p w:rsidR="00AB33B8" w:rsidRPr="00295637" w:rsidRDefault="00C6214E" w:rsidP="0086268D">
            <w:pPr>
              <w:rPr>
                <w:rFonts w:ascii="Times New Roman" w:hAnsi="Times New Roman"/>
                <w:szCs w:val="24"/>
              </w:rPr>
            </w:pPr>
            <w:bookmarkStart w:id="5" w:name="_Toc500171936"/>
            <w:bookmarkStart w:id="6" w:name="_Toc500172518"/>
            <w:bookmarkStart w:id="7" w:name="_Toc500307608"/>
            <w:bookmarkStart w:id="8" w:name="_Toc500308164"/>
            <w:r>
              <w:rPr>
                <w:rFonts w:ascii="Times New Roman" w:hAnsi="Times New Roman"/>
                <w:szCs w:val="24"/>
              </w:rPr>
              <w:t>АР</w:t>
            </w:r>
            <w:r w:rsidR="00891BBE">
              <w:rPr>
                <w:rFonts w:ascii="Times New Roman" w:hAnsi="Times New Roman"/>
                <w:szCs w:val="24"/>
                <w:lang w:val="sr-Cyrl-BA"/>
              </w:rPr>
              <w:t>П</w:t>
            </w:r>
            <w:r w:rsidR="00D30E48">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r>
              <w:rPr>
                <w:rFonts w:ascii="Times New Roman" w:hAnsi="Times New Roman"/>
                <w:szCs w:val="24"/>
              </w:rPr>
              <w:t>МЉПИ</w:t>
            </w:r>
            <w:r w:rsidR="00AB33B8" w:rsidRPr="00295637">
              <w:rPr>
                <w:rFonts w:ascii="Times New Roman" w:hAnsi="Times New Roman"/>
                <w:szCs w:val="24"/>
              </w:rPr>
              <w:t xml:space="preserve"> </w:t>
            </w:r>
            <w:r>
              <w:rPr>
                <w:rFonts w:ascii="Times New Roman" w:hAnsi="Times New Roman"/>
                <w:szCs w:val="24"/>
              </w:rPr>
              <w:t>БиХ</w:t>
            </w:r>
          </w:p>
          <w:p w:rsidR="00AB33B8" w:rsidRPr="00295637" w:rsidRDefault="00AB33B8" w:rsidP="0086268D">
            <w:pPr>
              <w:rPr>
                <w:rFonts w:ascii="Times New Roman" w:hAnsi="Times New Roman"/>
                <w:szCs w:val="24"/>
              </w:rPr>
            </w:pPr>
            <w:r w:rsidRPr="00295637">
              <w:rPr>
                <w:rFonts w:ascii="Times New Roman" w:hAnsi="Times New Roman"/>
                <w:szCs w:val="24"/>
              </w:rPr>
              <w:t xml:space="preserve"> </w:t>
            </w:r>
          </w:p>
          <w:p w:rsidR="0032078A" w:rsidRDefault="00C6214E" w:rsidP="0086268D">
            <w:pPr>
              <w:rPr>
                <w:rFonts w:ascii="Times New Roman" w:hAnsi="Times New Roman"/>
                <w:szCs w:val="24"/>
                <w:lang w:val="sr-Cyrl-BA"/>
              </w:rPr>
            </w:pPr>
            <w:r>
              <w:rPr>
                <w:rFonts w:ascii="Times New Roman" w:hAnsi="Times New Roman"/>
                <w:szCs w:val="24"/>
              </w:rPr>
              <w:t>АПОСО</w:t>
            </w:r>
            <w:r w:rsidR="006C4FE1">
              <w:rPr>
                <w:rFonts w:ascii="Times New Roman" w:hAnsi="Times New Roman"/>
                <w:szCs w:val="24"/>
              </w:rPr>
              <w:t xml:space="preserve"> </w:t>
            </w:r>
            <w:r>
              <w:rPr>
                <w:rFonts w:ascii="Times New Roman" w:hAnsi="Times New Roman"/>
                <w:szCs w:val="24"/>
              </w:rPr>
              <w:t>БиХ</w:t>
            </w:r>
          </w:p>
          <w:p w:rsidR="00891BBE" w:rsidRPr="00891BBE" w:rsidRDefault="00891BBE" w:rsidP="0086268D">
            <w:pPr>
              <w:rPr>
                <w:rFonts w:ascii="Times New Roman" w:hAnsi="Times New Roman"/>
                <w:szCs w:val="24"/>
                <w:lang w:val="sr-Cyrl-BA"/>
              </w:rPr>
            </w:pPr>
          </w:p>
          <w:p w:rsidR="006537EA" w:rsidRDefault="00C6214E" w:rsidP="0086268D">
            <w:pPr>
              <w:rPr>
                <w:rFonts w:ascii="Times New Roman" w:hAnsi="Times New Roman"/>
                <w:szCs w:val="24"/>
              </w:rPr>
            </w:pPr>
            <w:r>
              <w:rPr>
                <w:rFonts w:ascii="Times New Roman" w:hAnsi="Times New Roman"/>
                <w:szCs w:val="24"/>
              </w:rPr>
              <w:t>АДС</w:t>
            </w:r>
            <w:r w:rsidR="006C4FE1">
              <w:rPr>
                <w:rFonts w:ascii="Times New Roman" w:hAnsi="Times New Roman"/>
                <w:szCs w:val="24"/>
              </w:rPr>
              <w:t xml:space="preserve"> </w:t>
            </w:r>
            <w:r>
              <w:rPr>
                <w:rFonts w:ascii="Times New Roman" w:hAnsi="Times New Roman"/>
                <w:szCs w:val="24"/>
              </w:rPr>
              <w:t>ФБиХ</w:t>
            </w:r>
          </w:p>
          <w:p w:rsidR="00AB33B8" w:rsidRPr="00295637" w:rsidRDefault="00C6214E" w:rsidP="0086268D">
            <w:pPr>
              <w:rPr>
                <w:rFonts w:ascii="Times New Roman" w:hAnsi="Times New Roman"/>
                <w:szCs w:val="24"/>
              </w:rPr>
            </w:pPr>
            <w:r>
              <w:rPr>
                <w:rFonts w:ascii="Times New Roman" w:hAnsi="Times New Roman"/>
                <w:szCs w:val="24"/>
              </w:rPr>
              <w:t>АП</w:t>
            </w:r>
            <w:r w:rsidR="00891BBE">
              <w:rPr>
                <w:rFonts w:ascii="Times New Roman" w:hAnsi="Times New Roman"/>
                <w:szCs w:val="24"/>
              </w:rPr>
              <w:t xml:space="preserve"> </w:t>
            </w:r>
            <w:r w:rsidR="00891BBE" w:rsidRPr="00891BBE">
              <w:rPr>
                <w:rFonts w:ascii="Times New Roman" w:hAnsi="Times New Roman"/>
                <w:i/>
                <w:szCs w:val="24"/>
              </w:rPr>
              <w:t>UNSCR</w:t>
            </w:r>
            <w:r w:rsidR="00891BBE" w:rsidRPr="00891BBE">
              <w:rPr>
                <w:rFonts w:ascii="Times New Roman" w:hAnsi="Times New Roman"/>
                <w:szCs w:val="24"/>
              </w:rPr>
              <w:t xml:space="preserve"> </w:t>
            </w:r>
            <w:r w:rsidR="00AB33B8" w:rsidRPr="00295637">
              <w:rPr>
                <w:rFonts w:ascii="Times New Roman" w:hAnsi="Times New Roman"/>
                <w:szCs w:val="24"/>
              </w:rPr>
              <w:t xml:space="preserve"> 1325 </w:t>
            </w:r>
            <w:r>
              <w:rPr>
                <w:rFonts w:ascii="Times New Roman" w:hAnsi="Times New Roman"/>
                <w:szCs w:val="24"/>
              </w:rPr>
              <w:t>у</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tc>
        <w:tc>
          <w:tcPr>
            <w:tcW w:w="8100" w:type="dxa"/>
          </w:tcPr>
          <w:p w:rsidR="002A6D3D" w:rsidRDefault="00C6214E" w:rsidP="0086268D">
            <w:pPr>
              <w:rPr>
                <w:rFonts w:ascii="Times New Roman" w:hAnsi="Times New Roman"/>
                <w:szCs w:val="24"/>
              </w:rPr>
            </w:pPr>
            <w:r>
              <w:rPr>
                <w:rFonts w:ascii="Times New Roman" w:hAnsi="Times New Roman"/>
                <w:szCs w:val="24"/>
              </w:rPr>
              <w:t>Агенција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равноправност</w:t>
            </w:r>
            <w:r w:rsidR="00AB33B8" w:rsidRPr="00295637">
              <w:rPr>
                <w:rFonts w:ascii="Times New Roman" w:hAnsi="Times New Roman"/>
                <w:szCs w:val="24"/>
              </w:rPr>
              <w:t xml:space="preserve"> </w:t>
            </w:r>
            <w:r>
              <w:rPr>
                <w:rFonts w:ascii="Times New Roman" w:hAnsi="Times New Roman"/>
                <w:szCs w:val="24"/>
              </w:rPr>
              <w:t>полова</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r w:rsidR="00AB33B8" w:rsidRPr="00295637">
              <w:rPr>
                <w:rFonts w:ascii="Times New Roman" w:hAnsi="Times New Roman"/>
                <w:szCs w:val="24"/>
              </w:rPr>
              <w:t xml:space="preserve"> </w:t>
            </w:r>
            <w:r>
              <w:rPr>
                <w:rFonts w:ascii="Times New Roman" w:hAnsi="Times New Roman"/>
                <w:szCs w:val="24"/>
              </w:rPr>
              <w:t>Министарства</w:t>
            </w:r>
            <w:r w:rsidR="00AB33B8" w:rsidRPr="00295637">
              <w:rPr>
                <w:rFonts w:ascii="Times New Roman" w:hAnsi="Times New Roman"/>
                <w:szCs w:val="24"/>
              </w:rPr>
              <w:t xml:space="preserve"> </w:t>
            </w:r>
            <w:r>
              <w:rPr>
                <w:rFonts w:ascii="Times New Roman" w:hAnsi="Times New Roman"/>
                <w:szCs w:val="24"/>
              </w:rPr>
              <w:t>за</w:t>
            </w:r>
          </w:p>
          <w:p w:rsidR="00AB33B8" w:rsidRPr="00295637" w:rsidRDefault="00C6214E" w:rsidP="0086268D">
            <w:pPr>
              <w:rPr>
                <w:rFonts w:ascii="Times New Roman" w:hAnsi="Times New Roman"/>
                <w:szCs w:val="24"/>
              </w:rPr>
            </w:pPr>
            <w:r>
              <w:rPr>
                <w:rFonts w:ascii="Times New Roman" w:hAnsi="Times New Roman"/>
                <w:szCs w:val="24"/>
              </w:rPr>
              <w:t>људска</w:t>
            </w:r>
            <w:r w:rsidR="00AB33B8" w:rsidRPr="00295637">
              <w:rPr>
                <w:rFonts w:ascii="Times New Roman" w:hAnsi="Times New Roman"/>
                <w:szCs w:val="24"/>
              </w:rPr>
              <w:t xml:space="preserve"> </w:t>
            </w:r>
            <w:r>
              <w:rPr>
                <w:rFonts w:ascii="Times New Roman" w:hAnsi="Times New Roman"/>
                <w:szCs w:val="24"/>
              </w:rPr>
              <w:t>права</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избјеглице</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p w:rsidR="0032078A" w:rsidRDefault="00C6214E" w:rsidP="0086268D">
            <w:pPr>
              <w:rPr>
                <w:rFonts w:ascii="Times New Roman" w:hAnsi="Times New Roman"/>
                <w:szCs w:val="24"/>
              </w:rPr>
            </w:pPr>
            <w:r>
              <w:rPr>
                <w:rFonts w:ascii="Times New Roman" w:hAnsi="Times New Roman"/>
                <w:szCs w:val="24"/>
              </w:rPr>
              <w:t>Агенција</w:t>
            </w:r>
            <w:r w:rsidR="0032078A">
              <w:rPr>
                <w:rFonts w:ascii="Times New Roman" w:hAnsi="Times New Roman"/>
                <w:szCs w:val="24"/>
              </w:rPr>
              <w:t xml:space="preserve"> </w:t>
            </w:r>
            <w:r>
              <w:rPr>
                <w:rFonts w:ascii="Times New Roman" w:hAnsi="Times New Roman"/>
                <w:szCs w:val="24"/>
              </w:rPr>
              <w:t>за</w:t>
            </w:r>
            <w:r w:rsidR="0032078A">
              <w:rPr>
                <w:rFonts w:ascii="Times New Roman" w:hAnsi="Times New Roman"/>
                <w:szCs w:val="24"/>
              </w:rPr>
              <w:t xml:space="preserve"> </w:t>
            </w:r>
            <w:r>
              <w:rPr>
                <w:rFonts w:ascii="Times New Roman" w:hAnsi="Times New Roman"/>
                <w:szCs w:val="24"/>
              </w:rPr>
              <w:t>предшколско</w:t>
            </w:r>
            <w:r w:rsidR="0032078A">
              <w:rPr>
                <w:rFonts w:ascii="Times New Roman" w:hAnsi="Times New Roman"/>
                <w:szCs w:val="24"/>
              </w:rPr>
              <w:t xml:space="preserve">, </w:t>
            </w:r>
            <w:r>
              <w:rPr>
                <w:rFonts w:ascii="Times New Roman" w:hAnsi="Times New Roman"/>
                <w:szCs w:val="24"/>
              </w:rPr>
              <w:t>основно</w:t>
            </w:r>
            <w:r w:rsidR="0032078A">
              <w:rPr>
                <w:rFonts w:ascii="Times New Roman" w:hAnsi="Times New Roman"/>
                <w:szCs w:val="24"/>
              </w:rPr>
              <w:t xml:space="preserve"> </w:t>
            </w:r>
            <w:r>
              <w:rPr>
                <w:rFonts w:ascii="Times New Roman" w:hAnsi="Times New Roman"/>
                <w:szCs w:val="24"/>
              </w:rPr>
              <w:t>и</w:t>
            </w:r>
            <w:r w:rsidR="0032078A">
              <w:rPr>
                <w:rFonts w:ascii="Times New Roman" w:hAnsi="Times New Roman"/>
                <w:szCs w:val="24"/>
              </w:rPr>
              <w:t xml:space="preserve"> </w:t>
            </w:r>
            <w:r>
              <w:rPr>
                <w:rFonts w:ascii="Times New Roman" w:hAnsi="Times New Roman"/>
                <w:szCs w:val="24"/>
              </w:rPr>
              <w:t>средње</w:t>
            </w:r>
            <w:r w:rsidR="0032078A">
              <w:rPr>
                <w:rFonts w:ascii="Times New Roman" w:hAnsi="Times New Roman"/>
                <w:szCs w:val="24"/>
              </w:rPr>
              <w:t xml:space="preserve"> </w:t>
            </w:r>
            <w:r>
              <w:rPr>
                <w:rFonts w:ascii="Times New Roman" w:hAnsi="Times New Roman"/>
                <w:szCs w:val="24"/>
              </w:rPr>
              <w:t>образовање</w:t>
            </w:r>
            <w:r w:rsidR="0032078A">
              <w:rPr>
                <w:rFonts w:ascii="Times New Roman" w:hAnsi="Times New Roman"/>
                <w:szCs w:val="24"/>
              </w:rPr>
              <w:t xml:space="preserve"> </w:t>
            </w:r>
            <w:r>
              <w:rPr>
                <w:rFonts w:ascii="Times New Roman" w:hAnsi="Times New Roman"/>
                <w:szCs w:val="24"/>
              </w:rPr>
              <w:t>Босне</w:t>
            </w:r>
            <w:r w:rsidR="0032078A">
              <w:rPr>
                <w:rFonts w:ascii="Times New Roman" w:hAnsi="Times New Roman"/>
                <w:szCs w:val="24"/>
              </w:rPr>
              <w:t xml:space="preserve"> </w:t>
            </w:r>
            <w:r>
              <w:rPr>
                <w:rFonts w:ascii="Times New Roman" w:hAnsi="Times New Roman"/>
                <w:szCs w:val="24"/>
              </w:rPr>
              <w:t>и</w:t>
            </w:r>
            <w:r w:rsidR="0032078A">
              <w:rPr>
                <w:rFonts w:ascii="Times New Roman" w:hAnsi="Times New Roman"/>
                <w:szCs w:val="24"/>
              </w:rPr>
              <w:t xml:space="preserve"> </w:t>
            </w:r>
            <w:r>
              <w:rPr>
                <w:rFonts w:ascii="Times New Roman" w:hAnsi="Times New Roman"/>
                <w:szCs w:val="24"/>
              </w:rPr>
              <w:t>Херцеговине</w:t>
            </w:r>
          </w:p>
          <w:p w:rsidR="006537EA" w:rsidRDefault="00C6214E" w:rsidP="0086268D">
            <w:pPr>
              <w:rPr>
                <w:rFonts w:ascii="Times New Roman" w:hAnsi="Times New Roman"/>
                <w:szCs w:val="24"/>
              </w:rPr>
            </w:pPr>
            <w:r>
              <w:rPr>
                <w:rFonts w:ascii="Times New Roman" w:hAnsi="Times New Roman"/>
                <w:szCs w:val="24"/>
              </w:rPr>
              <w:t>Агенција</w:t>
            </w:r>
            <w:r w:rsidR="006537EA">
              <w:rPr>
                <w:rFonts w:ascii="Times New Roman" w:hAnsi="Times New Roman"/>
                <w:szCs w:val="24"/>
              </w:rPr>
              <w:t xml:space="preserve"> </w:t>
            </w:r>
            <w:r>
              <w:rPr>
                <w:rFonts w:ascii="Times New Roman" w:hAnsi="Times New Roman"/>
                <w:szCs w:val="24"/>
              </w:rPr>
              <w:t>за</w:t>
            </w:r>
            <w:r w:rsidR="006537EA">
              <w:rPr>
                <w:rFonts w:ascii="Times New Roman" w:hAnsi="Times New Roman"/>
                <w:szCs w:val="24"/>
              </w:rPr>
              <w:t xml:space="preserve"> </w:t>
            </w:r>
            <w:r>
              <w:rPr>
                <w:rFonts w:ascii="Times New Roman" w:hAnsi="Times New Roman"/>
                <w:szCs w:val="24"/>
              </w:rPr>
              <w:t>државну</w:t>
            </w:r>
            <w:r w:rsidR="006537EA">
              <w:rPr>
                <w:rFonts w:ascii="Times New Roman" w:hAnsi="Times New Roman"/>
                <w:szCs w:val="24"/>
              </w:rPr>
              <w:t xml:space="preserve"> </w:t>
            </w:r>
            <w:r>
              <w:rPr>
                <w:rFonts w:ascii="Times New Roman" w:hAnsi="Times New Roman"/>
                <w:szCs w:val="24"/>
              </w:rPr>
              <w:t>службу</w:t>
            </w:r>
            <w:r w:rsidR="006537EA">
              <w:rPr>
                <w:rFonts w:ascii="Times New Roman" w:hAnsi="Times New Roman"/>
                <w:szCs w:val="24"/>
              </w:rPr>
              <w:t xml:space="preserve"> </w:t>
            </w:r>
            <w:r>
              <w:rPr>
                <w:rFonts w:ascii="Times New Roman" w:hAnsi="Times New Roman"/>
                <w:szCs w:val="24"/>
              </w:rPr>
              <w:t>Федерације</w:t>
            </w:r>
            <w:r w:rsidR="006537EA">
              <w:rPr>
                <w:rFonts w:ascii="Times New Roman" w:hAnsi="Times New Roman"/>
                <w:szCs w:val="24"/>
              </w:rPr>
              <w:t xml:space="preserve"> </w:t>
            </w:r>
            <w:r>
              <w:rPr>
                <w:rFonts w:ascii="Times New Roman" w:hAnsi="Times New Roman"/>
                <w:szCs w:val="24"/>
              </w:rPr>
              <w:t>Босне</w:t>
            </w:r>
            <w:r w:rsidR="006537EA">
              <w:rPr>
                <w:rFonts w:ascii="Times New Roman" w:hAnsi="Times New Roman"/>
                <w:szCs w:val="24"/>
              </w:rPr>
              <w:t xml:space="preserve"> </w:t>
            </w:r>
            <w:r>
              <w:rPr>
                <w:rFonts w:ascii="Times New Roman" w:hAnsi="Times New Roman"/>
                <w:szCs w:val="24"/>
              </w:rPr>
              <w:t>и</w:t>
            </w:r>
            <w:r w:rsidR="006537EA">
              <w:rPr>
                <w:rFonts w:ascii="Times New Roman" w:hAnsi="Times New Roman"/>
                <w:szCs w:val="24"/>
              </w:rPr>
              <w:t xml:space="preserve"> </w:t>
            </w:r>
            <w:r>
              <w:rPr>
                <w:rFonts w:ascii="Times New Roman" w:hAnsi="Times New Roman"/>
                <w:szCs w:val="24"/>
              </w:rPr>
              <w:t>Херцеговине</w:t>
            </w:r>
          </w:p>
          <w:p w:rsidR="002A6D3D" w:rsidRDefault="00C6214E" w:rsidP="0086268D">
            <w:pPr>
              <w:rPr>
                <w:rFonts w:ascii="Times New Roman" w:hAnsi="Times New Roman"/>
                <w:szCs w:val="24"/>
              </w:rPr>
            </w:pPr>
            <w:r>
              <w:rPr>
                <w:rFonts w:ascii="Times New Roman" w:hAnsi="Times New Roman"/>
                <w:szCs w:val="24"/>
              </w:rPr>
              <w:t>Акциони</w:t>
            </w:r>
            <w:r w:rsidR="00097C81">
              <w:rPr>
                <w:rFonts w:ascii="Times New Roman" w:hAnsi="Times New Roman"/>
                <w:szCs w:val="24"/>
              </w:rPr>
              <w:t xml:space="preserve"> </w:t>
            </w:r>
            <w:r>
              <w:rPr>
                <w:rFonts w:ascii="Times New Roman" w:hAnsi="Times New Roman"/>
                <w:szCs w:val="24"/>
              </w:rPr>
              <w:t>план</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sidR="00891BBE">
              <w:rPr>
                <w:rFonts w:ascii="Times New Roman" w:hAnsi="Times New Roman"/>
                <w:szCs w:val="24"/>
                <w:lang w:val="sr-Cyrl-BA"/>
              </w:rPr>
              <w:t>спровођење</w:t>
            </w:r>
            <w:r w:rsidR="00AB33B8" w:rsidRPr="00295637">
              <w:rPr>
                <w:rFonts w:ascii="Times New Roman" w:hAnsi="Times New Roman"/>
                <w:szCs w:val="24"/>
              </w:rPr>
              <w:t xml:space="preserve"> </w:t>
            </w:r>
            <w:r>
              <w:rPr>
                <w:rFonts w:ascii="Times New Roman" w:hAnsi="Times New Roman"/>
                <w:szCs w:val="24"/>
              </w:rPr>
              <w:t>Резолуције</w:t>
            </w:r>
            <w:r w:rsidR="00FC0284" w:rsidRPr="00295637">
              <w:rPr>
                <w:rFonts w:ascii="Times New Roman" w:hAnsi="Times New Roman"/>
                <w:szCs w:val="24"/>
              </w:rPr>
              <w:t xml:space="preserve"> </w:t>
            </w:r>
            <w:r>
              <w:rPr>
                <w:rFonts w:ascii="Times New Roman" w:hAnsi="Times New Roman"/>
                <w:szCs w:val="24"/>
              </w:rPr>
              <w:t>Савјета</w:t>
            </w:r>
            <w:r w:rsidR="00FC0284" w:rsidRPr="00295637">
              <w:rPr>
                <w:rFonts w:ascii="Times New Roman" w:hAnsi="Times New Roman"/>
                <w:szCs w:val="24"/>
              </w:rPr>
              <w:t xml:space="preserve"> </w:t>
            </w:r>
            <w:r w:rsidR="00891BBE">
              <w:rPr>
                <w:rFonts w:ascii="Times New Roman" w:hAnsi="Times New Roman"/>
                <w:szCs w:val="24"/>
                <w:lang w:val="sr-Cyrl-BA"/>
              </w:rPr>
              <w:t>безбједности</w:t>
            </w:r>
            <w:r w:rsidR="00FC0284" w:rsidRPr="00295637">
              <w:rPr>
                <w:rFonts w:ascii="Times New Roman" w:hAnsi="Times New Roman"/>
                <w:szCs w:val="24"/>
              </w:rPr>
              <w:t xml:space="preserve"> </w:t>
            </w:r>
          </w:p>
          <w:p w:rsidR="00AB33B8" w:rsidRPr="00295637" w:rsidRDefault="00C6214E" w:rsidP="00891BBE">
            <w:pPr>
              <w:rPr>
                <w:rFonts w:ascii="Times New Roman" w:hAnsi="Times New Roman"/>
                <w:szCs w:val="24"/>
              </w:rPr>
            </w:pPr>
            <w:r>
              <w:rPr>
                <w:rFonts w:ascii="Times New Roman" w:hAnsi="Times New Roman"/>
                <w:szCs w:val="24"/>
              </w:rPr>
              <w:t>УН</w:t>
            </w:r>
            <w:r w:rsidR="00FC0284" w:rsidRPr="00295637">
              <w:rPr>
                <w:rFonts w:ascii="Times New Roman" w:hAnsi="Times New Roman"/>
                <w:szCs w:val="24"/>
              </w:rPr>
              <w:t xml:space="preserve"> </w:t>
            </w:r>
            <w:r w:rsidR="00AB33B8" w:rsidRPr="00295637">
              <w:rPr>
                <w:rFonts w:ascii="Times New Roman" w:hAnsi="Times New Roman"/>
                <w:szCs w:val="24"/>
              </w:rPr>
              <w:t xml:space="preserve">1325 </w:t>
            </w:r>
            <w:r w:rsidR="00FC0284" w:rsidRPr="00295637">
              <w:rPr>
                <w:rFonts w:ascii="Times New Roman" w:hAnsi="Times New Roman"/>
                <w:szCs w:val="24"/>
              </w:rPr>
              <w:t>„</w:t>
            </w:r>
            <w:r>
              <w:rPr>
                <w:rFonts w:ascii="Times New Roman" w:hAnsi="Times New Roman"/>
                <w:szCs w:val="24"/>
              </w:rPr>
              <w:t>Жене</w:t>
            </w:r>
            <w:r w:rsidR="00FC0284" w:rsidRPr="00295637">
              <w:rPr>
                <w:rFonts w:ascii="Times New Roman" w:hAnsi="Times New Roman"/>
                <w:szCs w:val="24"/>
              </w:rPr>
              <w:t xml:space="preserve">, </w:t>
            </w:r>
            <w:r>
              <w:rPr>
                <w:rFonts w:ascii="Times New Roman" w:hAnsi="Times New Roman"/>
                <w:szCs w:val="24"/>
              </w:rPr>
              <w:t>мир</w:t>
            </w:r>
            <w:r w:rsidR="00FC0284" w:rsidRPr="00295637">
              <w:rPr>
                <w:rFonts w:ascii="Times New Roman" w:hAnsi="Times New Roman"/>
                <w:szCs w:val="24"/>
              </w:rPr>
              <w:t xml:space="preserve"> </w:t>
            </w:r>
            <w:r>
              <w:rPr>
                <w:rFonts w:ascii="Times New Roman" w:hAnsi="Times New Roman"/>
                <w:szCs w:val="24"/>
              </w:rPr>
              <w:t>и</w:t>
            </w:r>
            <w:r w:rsidR="00FC0284" w:rsidRPr="00295637">
              <w:rPr>
                <w:rFonts w:ascii="Times New Roman" w:hAnsi="Times New Roman"/>
                <w:szCs w:val="24"/>
              </w:rPr>
              <w:t xml:space="preserve"> </w:t>
            </w:r>
            <w:r w:rsidR="00891BBE">
              <w:rPr>
                <w:rFonts w:ascii="Times New Roman" w:hAnsi="Times New Roman"/>
                <w:szCs w:val="24"/>
                <w:lang w:val="sr-Cyrl-BA"/>
              </w:rPr>
              <w:t>безбједност</w:t>
            </w:r>
            <w:r w:rsidR="00FC0284" w:rsidRPr="00295637">
              <w:rPr>
                <w:rFonts w:ascii="Times New Roman" w:hAnsi="Times New Roman"/>
                <w:szCs w:val="24"/>
              </w:rPr>
              <w:t xml:space="preserve">“ </w:t>
            </w:r>
            <w:r>
              <w:rPr>
                <w:rFonts w:ascii="Times New Roman" w:hAnsi="Times New Roman"/>
                <w:szCs w:val="24"/>
              </w:rPr>
              <w:t>у</w:t>
            </w:r>
            <w:r w:rsidR="00AB33B8" w:rsidRPr="00295637">
              <w:rPr>
                <w:rFonts w:ascii="Times New Roman" w:hAnsi="Times New Roman"/>
                <w:szCs w:val="24"/>
              </w:rPr>
              <w:t xml:space="preserve"> </w:t>
            </w:r>
            <w:r>
              <w:rPr>
                <w:rFonts w:ascii="Times New Roman" w:hAnsi="Times New Roman"/>
                <w:szCs w:val="24"/>
              </w:rPr>
              <w:t>Босни</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Херцеговини</w:t>
            </w:r>
            <w:r w:rsidR="00AB33B8" w:rsidRPr="00295637">
              <w:rPr>
                <w:rFonts w:ascii="Times New Roman" w:hAnsi="Times New Roman"/>
                <w:szCs w:val="24"/>
              </w:rPr>
              <w:t xml:space="preserve"> </w:t>
            </w:r>
          </w:p>
        </w:tc>
      </w:tr>
      <w:tr w:rsidR="00AB33B8" w:rsidRPr="00295637" w:rsidTr="00365441">
        <w:tc>
          <w:tcPr>
            <w:tcW w:w="2628" w:type="dxa"/>
          </w:tcPr>
          <w:p w:rsidR="00BD55CC" w:rsidRDefault="00C6214E" w:rsidP="0086268D">
            <w:pPr>
              <w:rPr>
                <w:rFonts w:ascii="Times New Roman" w:hAnsi="Times New Roman"/>
                <w:szCs w:val="24"/>
                <w:lang w:val="sr-Cyrl-BA"/>
              </w:rPr>
            </w:pPr>
            <w:r>
              <w:rPr>
                <w:rFonts w:ascii="Times New Roman" w:hAnsi="Times New Roman"/>
                <w:szCs w:val="24"/>
              </w:rPr>
              <w:t>АПП</w:t>
            </w:r>
          </w:p>
          <w:p w:rsidR="00891BBE" w:rsidRPr="00891BBE" w:rsidRDefault="00891BBE" w:rsidP="0086268D">
            <w:pPr>
              <w:rPr>
                <w:rFonts w:ascii="Times New Roman" w:hAnsi="Times New Roman"/>
                <w:szCs w:val="24"/>
                <w:lang w:val="sr-Cyrl-BA"/>
              </w:rPr>
            </w:pPr>
          </w:p>
          <w:p w:rsidR="00A73045" w:rsidRDefault="00C6214E" w:rsidP="0086268D">
            <w:pPr>
              <w:rPr>
                <w:rFonts w:ascii="Times New Roman" w:hAnsi="Times New Roman"/>
                <w:szCs w:val="24"/>
              </w:rPr>
            </w:pPr>
            <w:r>
              <w:rPr>
                <w:rFonts w:ascii="Times New Roman" w:hAnsi="Times New Roman"/>
                <w:szCs w:val="24"/>
              </w:rPr>
              <w:t>АРЗ</w:t>
            </w:r>
            <w:r w:rsidR="00A73045">
              <w:rPr>
                <w:rFonts w:ascii="Times New Roman" w:hAnsi="Times New Roman"/>
                <w:szCs w:val="24"/>
              </w:rPr>
              <w:t xml:space="preserve"> </w:t>
            </w:r>
            <w:r>
              <w:rPr>
                <w:rFonts w:ascii="Times New Roman" w:hAnsi="Times New Roman"/>
                <w:szCs w:val="24"/>
              </w:rPr>
              <w:t>БиХ</w:t>
            </w:r>
          </w:p>
          <w:p w:rsidR="00AB33B8" w:rsidRPr="00295637" w:rsidRDefault="00C6214E" w:rsidP="0086268D">
            <w:pPr>
              <w:rPr>
                <w:rFonts w:ascii="Times New Roman" w:hAnsi="Times New Roman"/>
                <w:szCs w:val="24"/>
              </w:rPr>
            </w:pPr>
            <w:r>
              <w:rPr>
                <w:rFonts w:ascii="Times New Roman" w:hAnsi="Times New Roman"/>
                <w:szCs w:val="24"/>
              </w:rPr>
              <w:t>БиХ</w:t>
            </w:r>
            <w:r w:rsidR="00AB33B8" w:rsidRPr="00295637">
              <w:rPr>
                <w:rFonts w:ascii="Times New Roman" w:hAnsi="Times New Roman"/>
                <w:szCs w:val="24"/>
              </w:rPr>
              <w:t xml:space="preserve">  </w:t>
            </w:r>
          </w:p>
        </w:tc>
        <w:tc>
          <w:tcPr>
            <w:tcW w:w="8100" w:type="dxa"/>
          </w:tcPr>
          <w:p w:rsidR="00BD55CC" w:rsidRPr="00295637" w:rsidRDefault="00C6214E" w:rsidP="0086268D">
            <w:pPr>
              <w:rPr>
                <w:rFonts w:ascii="Times New Roman" w:hAnsi="Times New Roman"/>
                <w:szCs w:val="24"/>
              </w:rPr>
            </w:pPr>
            <w:r>
              <w:rPr>
                <w:rFonts w:ascii="Times New Roman" w:hAnsi="Times New Roman"/>
                <w:szCs w:val="24"/>
              </w:rPr>
              <w:t>Агенција</w:t>
            </w:r>
            <w:r w:rsidR="00BD55CC" w:rsidRPr="00295637">
              <w:rPr>
                <w:rFonts w:ascii="Times New Roman" w:hAnsi="Times New Roman"/>
                <w:szCs w:val="24"/>
              </w:rPr>
              <w:t xml:space="preserve"> </w:t>
            </w:r>
            <w:r>
              <w:rPr>
                <w:rFonts w:ascii="Times New Roman" w:hAnsi="Times New Roman"/>
                <w:szCs w:val="24"/>
              </w:rPr>
              <w:t>за</w:t>
            </w:r>
            <w:r w:rsidR="00BD55CC" w:rsidRPr="00295637">
              <w:rPr>
                <w:rFonts w:ascii="Times New Roman" w:hAnsi="Times New Roman"/>
                <w:szCs w:val="24"/>
              </w:rPr>
              <w:t xml:space="preserve"> </w:t>
            </w:r>
            <w:r>
              <w:rPr>
                <w:rFonts w:ascii="Times New Roman" w:hAnsi="Times New Roman"/>
                <w:szCs w:val="24"/>
              </w:rPr>
              <w:t>полицијску</w:t>
            </w:r>
            <w:r w:rsidR="00BD55CC" w:rsidRPr="00295637">
              <w:rPr>
                <w:rFonts w:ascii="Times New Roman" w:hAnsi="Times New Roman"/>
                <w:szCs w:val="24"/>
              </w:rPr>
              <w:t xml:space="preserve"> </w:t>
            </w:r>
            <w:r>
              <w:rPr>
                <w:rFonts w:ascii="Times New Roman" w:hAnsi="Times New Roman"/>
                <w:szCs w:val="24"/>
              </w:rPr>
              <w:t>подршку</w:t>
            </w:r>
            <w:r w:rsidR="00BD55CC" w:rsidRPr="00295637">
              <w:rPr>
                <w:rFonts w:ascii="Times New Roman" w:hAnsi="Times New Roman"/>
                <w:szCs w:val="24"/>
              </w:rPr>
              <w:t xml:space="preserve"> </w:t>
            </w:r>
            <w:r>
              <w:rPr>
                <w:rFonts w:ascii="Times New Roman" w:hAnsi="Times New Roman"/>
                <w:szCs w:val="24"/>
              </w:rPr>
              <w:t>Министарства</w:t>
            </w:r>
            <w:r w:rsidR="00BD55CC" w:rsidRPr="00295637">
              <w:rPr>
                <w:rFonts w:ascii="Times New Roman" w:hAnsi="Times New Roman"/>
                <w:szCs w:val="24"/>
              </w:rPr>
              <w:t xml:space="preserve"> </w:t>
            </w:r>
            <w:r w:rsidR="00891BBE">
              <w:rPr>
                <w:rFonts w:ascii="Times New Roman" w:hAnsi="Times New Roman"/>
                <w:szCs w:val="24"/>
                <w:lang w:val="sr-Cyrl-BA"/>
              </w:rPr>
              <w:t>безбједности</w:t>
            </w:r>
            <w:r w:rsidR="00BD55CC" w:rsidRPr="00295637">
              <w:rPr>
                <w:rFonts w:ascii="Times New Roman" w:hAnsi="Times New Roman"/>
                <w:szCs w:val="24"/>
              </w:rPr>
              <w:t xml:space="preserve"> </w:t>
            </w:r>
            <w:r>
              <w:rPr>
                <w:rFonts w:ascii="Times New Roman" w:hAnsi="Times New Roman"/>
                <w:szCs w:val="24"/>
              </w:rPr>
              <w:t>Босне</w:t>
            </w:r>
            <w:r w:rsidR="00BD55CC" w:rsidRPr="00295637">
              <w:rPr>
                <w:rFonts w:ascii="Times New Roman" w:hAnsi="Times New Roman"/>
                <w:szCs w:val="24"/>
              </w:rPr>
              <w:t xml:space="preserve"> </w:t>
            </w:r>
            <w:r>
              <w:rPr>
                <w:rFonts w:ascii="Times New Roman" w:hAnsi="Times New Roman"/>
                <w:szCs w:val="24"/>
              </w:rPr>
              <w:t>и</w:t>
            </w:r>
            <w:r w:rsidR="00BD55CC" w:rsidRPr="00295637">
              <w:rPr>
                <w:rFonts w:ascii="Times New Roman" w:hAnsi="Times New Roman"/>
                <w:szCs w:val="24"/>
              </w:rPr>
              <w:t xml:space="preserve"> </w:t>
            </w:r>
            <w:r>
              <w:rPr>
                <w:rFonts w:ascii="Times New Roman" w:hAnsi="Times New Roman"/>
                <w:szCs w:val="24"/>
              </w:rPr>
              <w:t>Херцеговине</w:t>
            </w:r>
          </w:p>
          <w:p w:rsidR="00A73045" w:rsidRDefault="00C6214E" w:rsidP="0086268D">
            <w:pPr>
              <w:rPr>
                <w:rFonts w:ascii="Times New Roman" w:hAnsi="Times New Roman"/>
                <w:szCs w:val="24"/>
              </w:rPr>
            </w:pPr>
            <w:r>
              <w:rPr>
                <w:rFonts w:ascii="Times New Roman" w:hAnsi="Times New Roman"/>
                <w:szCs w:val="24"/>
              </w:rPr>
              <w:t>Агенција</w:t>
            </w:r>
            <w:r w:rsidR="00A73045">
              <w:rPr>
                <w:rFonts w:ascii="Times New Roman" w:hAnsi="Times New Roman"/>
                <w:szCs w:val="24"/>
              </w:rPr>
              <w:t xml:space="preserve"> </w:t>
            </w:r>
            <w:r>
              <w:rPr>
                <w:rFonts w:ascii="Times New Roman" w:hAnsi="Times New Roman"/>
                <w:szCs w:val="24"/>
              </w:rPr>
              <w:t>за</w:t>
            </w:r>
            <w:r w:rsidR="00A73045">
              <w:rPr>
                <w:rFonts w:ascii="Times New Roman" w:hAnsi="Times New Roman"/>
                <w:szCs w:val="24"/>
              </w:rPr>
              <w:t xml:space="preserve"> </w:t>
            </w:r>
            <w:r>
              <w:rPr>
                <w:rFonts w:ascii="Times New Roman" w:hAnsi="Times New Roman"/>
                <w:szCs w:val="24"/>
              </w:rPr>
              <w:t>рад</w:t>
            </w:r>
            <w:r w:rsidR="00A73045">
              <w:rPr>
                <w:rFonts w:ascii="Times New Roman" w:hAnsi="Times New Roman"/>
                <w:szCs w:val="24"/>
              </w:rPr>
              <w:t xml:space="preserve"> </w:t>
            </w:r>
            <w:r>
              <w:rPr>
                <w:rFonts w:ascii="Times New Roman" w:hAnsi="Times New Roman"/>
                <w:szCs w:val="24"/>
              </w:rPr>
              <w:t>и</w:t>
            </w:r>
            <w:r w:rsidR="00A73045">
              <w:rPr>
                <w:rFonts w:ascii="Times New Roman" w:hAnsi="Times New Roman"/>
                <w:szCs w:val="24"/>
              </w:rPr>
              <w:t xml:space="preserve"> </w:t>
            </w:r>
            <w:r>
              <w:rPr>
                <w:rFonts w:ascii="Times New Roman" w:hAnsi="Times New Roman"/>
                <w:szCs w:val="24"/>
              </w:rPr>
              <w:t>запошљавање</w:t>
            </w:r>
          </w:p>
          <w:p w:rsidR="00AB33B8" w:rsidRPr="00295637" w:rsidRDefault="00C6214E" w:rsidP="0086268D">
            <w:pPr>
              <w:rPr>
                <w:rFonts w:ascii="Times New Roman" w:hAnsi="Times New Roman"/>
                <w:szCs w:val="24"/>
              </w:rPr>
            </w:pPr>
            <w:r>
              <w:rPr>
                <w:rFonts w:ascii="Times New Roman" w:hAnsi="Times New Roman"/>
                <w:szCs w:val="24"/>
              </w:rPr>
              <w:t>Босна</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Херцеговина</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БД</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p w:rsidR="00AB33B8" w:rsidRPr="00295637" w:rsidRDefault="00C6214E" w:rsidP="0086268D">
            <w:pPr>
              <w:rPr>
                <w:rFonts w:ascii="Times New Roman" w:hAnsi="Times New Roman"/>
                <w:szCs w:val="24"/>
              </w:rPr>
            </w:pPr>
            <w:r>
              <w:rPr>
                <w:rFonts w:ascii="Times New Roman" w:hAnsi="Times New Roman"/>
                <w:szCs w:val="24"/>
              </w:rPr>
              <w:t>БХАС</w:t>
            </w:r>
          </w:p>
          <w:p w:rsidR="00AB33B8" w:rsidRPr="00295637" w:rsidRDefault="00C6214E" w:rsidP="0086268D">
            <w:pPr>
              <w:rPr>
                <w:rFonts w:ascii="Times New Roman" w:hAnsi="Times New Roman"/>
                <w:szCs w:val="24"/>
              </w:rPr>
            </w:pPr>
            <w:r>
              <w:rPr>
                <w:rFonts w:ascii="Times New Roman" w:hAnsi="Times New Roman"/>
                <w:szCs w:val="24"/>
              </w:rPr>
              <w:t>ЦЕСТ</w:t>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Брчко</w:t>
            </w:r>
            <w:r w:rsidR="00AB33B8" w:rsidRPr="00295637">
              <w:rPr>
                <w:rFonts w:ascii="Times New Roman" w:hAnsi="Times New Roman"/>
                <w:szCs w:val="24"/>
              </w:rPr>
              <w:t xml:space="preserve"> </w:t>
            </w:r>
            <w:r>
              <w:rPr>
                <w:rFonts w:ascii="Times New Roman" w:hAnsi="Times New Roman"/>
                <w:szCs w:val="24"/>
              </w:rPr>
              <w:t>Дистрикт</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p w:rsidR="00AB33B8" w:rsidRPr="00295637" w:rsidRDefault="00C6214E" w:rsidP="0086268D">
            <w:pPr>
              <w:rPr>
                <w:rFonts w:ascii="Times New Roman" w:hAnsi="Times New Roman"/>
                <w:szCs w:val="24"/>
              </w:rPr>
            </w:pPr>
            <w:r>
              <w:rPr>
                <w:rFonts w:ascii="Times New Roman" w:hAnsi="Times New Roman"/>
                <w:szCs w:val="24"/>
              </w:rPr>
              <w:t>Агенција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статистику</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p w:rsidR="00AB33B8" w:rsidRPr="00295637" w:rsidRDefault="00C6214E" w:rsidP="00097C81">
            <w:pPr>
              <w:rPr>
                <w:rFonts w:ascii="Times New Roman" w:hAnsi="Times New Roman"/>
                <w:szCs w:val="24"/>
              </w:rPr>
            </w:pPr>
            <w:r>
              <w:rPr>
                <w:rFonts w:ascii="Times New Roman" w:hAnsi="Times New Roman"/>
                <w:szCs w:val="24"/>
              </w:rPr>
              <w:t>Центар</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едукацију</w:t>
            </w:r>
            <w:r w:rsidR="00AB33B8" w:rsidRPr="00295637">
              <w:rPr>
                <w:rFonts w:ascii="Times New Roman" w:hAnsi="Times New Roman"/>
                <w:szCs w:val="24"/>
              </w:rPr>
              <w:t xml:space="preserve"> </w:t>
            </w:r>
            <w:r>
              <w:rPr>
                <w:rFonts w:ascii="Times New Roman" w:hAnsi="Times New Roman"/>
                <w:szCs w:val="24"/>
              </w:rPr>
              <w:t>судија</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тужилаца</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ЦИК</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p w:rsidR="00AB33B8" w:rsidRPr="00295637" w:rsidRDefault="00C6214E" w:rsidP="0086268D">
            <w:pPr>
              <w:rPr>
                <w:rFonts w:ascii="Times New Roman" w:hAnsi="Times New Roman"/>
                <w:szCs w:val="24"/>
              </w:rPr>
            </w:pPr>
            <w:r>
              <w:rPr>
                <w:rFonts w:ascii="Times New Roman" w:hAnsi="Times New Roman"/>
                <w:szCs w:val="24"/>
              </w:rPr>
              <w:t>ЦЈРП</w:t>
            </w:r>
            <w:r w:rsidR="00AB33B8" w:rsidRPr="00295637">
              <w:rPr>
                <w:rFonts w:ascii="Times New Roman" w:hAnsi="Times New Roman"/>
                <w:szCs w:val="24"/>
              </w:rPr>
              <w:t xml:space="preserve"> </w:t>
            </w:r>
            <w:r>
              <w:rPr>
                <w:rFonts w:ascii="Times New Roman" w:hAnsi="Times New Roman"/>
                <w:szCs w:val="24"/>
              </w:rPr>
              <w:t>РС</w:t>
            </w:r>
          </w:p>
          <w:p w:rsidR="00AB33B8" w:rsidRPr="00891BBE" w:rsidRDefault="00891BBE" w:rsidP="0086268D">
            <w:pPr>
              <w:rPr>
                <w:rFonts w:ascii="Times New Roman" w:hAnsi="Times New Roman"/>
                <w:i/>
                <w:szCs w:val="24"/>
              </w:rPr>
            </w:pPr>
            <w:r w:rsidRPr="00891BBE">
              <w:rPr>
                <w:rFonts w:ascii="Times New Roman" w:hAnsi="Times New Roman"/>
                <w:i/>
                <w:szCs w:val="24"/>
              </w:rPr>
              <w:t>CEDAW</w:t>
            </w:r>
            <w:r w:rsidR="00AB33B8" w:rsidRPr="00891BBE">
              <w:rPr>
                <w:rFonts w:ascii="Times New Roman" w:hAnsi="Times New Roman"/>
                <w:i/>
                <w:szCs w:val="24"/>
              </w:rPr>
              <w:t xml:space="preserve"> </w:t>
            </w:r>
          </w:p>
          <w:p w:rsidR="00891BBE" w:rsidRDefault="00891BBE" w:rsidP="0086268D">
            <w:pPr>
              <w:rPr>
                <w:rFonts w:ascii="Times New Roman" w:hAnsi="Times New Roman"/>
                <w:szCs w:val="24"/>
                <w:lang w:val="sr-Cyrl-BA"/>
              </w:rPr>
            </w:pPr>
            <w:r w:rsidRPr="00891BBE">
              <w:rPr>
                <w:rFonts w:ascii="Times New Roman" w:hAnsi="Times New Roman"/>
                <w:i/>
                <w:szCs w:val="24"/>
              </w:rPr>
              <w:t>CDADI</w:t>
            </w:r>
            <w:r w:rsidRPr="00891BBE">
              <w:rPr>
                <w:rFonts w:ascii="Times New Roman" w:hAnsi="Times New Roman"/>
                <w:szCs w:val="24"/>
              </w:rPr>
              <w:t xml:space="preserve"> </w:t>
            </w:r>
          </w:p>
          <w:p w:rsidR="00AE255D" w:rsidRDefault="00C6214E" w:rsidP="0086268D">
            <w:pPr>
              <w:rPr>
                <w:rFonts w:ascii="Times New Roman" w:hAnsi="Times New Roman"/>
                <w:szCs w:val="24"/>
              </w:rPr>
            </w:pPr>
            <w:r>
              <w:rPr>
                <w:rFonts w:ascii="Times New Roman" w:hAnsi="Times New Roman"/>
                <w:szCs w:val="24"/>
              </w:rPr>
              <w:t>ЦСР</w:t>
            </w:r>
          </w:p>
          <w:p w:rsidR="00AB33B8" w:rsidRPr="00295637" w:rsidRDefault="00C6214E" w:rsidP="0086268D">
            <w:pPr>
              <w:rPr>
                <w:rFonts w:ascii="Times New Roman" w:hAnsi="Times New Roman"/>
                <w:szCs w:val="24"/>
              </w:rPr>
            </w:pPr>
            <w:r>
              <w:rPr>
                <w:rFonts w:ascii="Times New Roman" w:hAnsi="Times New Roman"/>
                <w:szCs w:val="24"/>
              </w:rPr>
              <w:t>ДЕИ</w:t>
            </w:r>
          </w:p>
          <w:p w:rsidR="00396D53" w:rsidRPr="00295637" w:rsidRDefault="00C6214E" w:rsidP="0086268D">
            <w:pPr>
              <w:rPr>
                <w:rFonts w:ascii="Times New Roman" w:hAnsi="Times New Roman"/>
                <w:szCs w:val="24"/>
              </w:rPr>
            </w:pPr>
            <w:r>
              <w:rPr>
                <w:rFonts w:ascii="Times New Roman" w:hAnsi="Times New Roman"/>
                <w:szCs w:val="24"/>
              </w:rPr>
              <w:t>ДЕП</w:t>
            </w:r>
          </w:p>
          <w:p w:rsidR="00AB33B8" w:rsidRPr="00295637" w:rsidRDefault="00C6214E" w:rsidP="006C4FE1">
            <w:pPr>
              <w:rPr>
                <w:rFonts w:ascii="Times New Roman" w:hAnsi="Times New Roman"/>
                <w:szCs w:val="24"/>
              </w:rPr>
            </w:pPr>
            <w:r>
              <w:rPr>
                <w:rFonts w:ascii="Times New Roman" w:hAnsi="Times New Roman"/>
                <w:szCs w:val="24"/>
              </w:rPr>
              <w:t>ЕК</w:t>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Централна</w:t>
            </w:r>
            <w:r w:rsidR="00AB33B8" w:rsidRPr="00295637">
              <w:rPr>
                <w:rFonts w:ascii="Times New Roman" w:hAnsi="Times New Roman"/>
                <w:szCs w:val="24"/>
              </w:rPr>
              <w:t xml:space="preserve"> </w:t>
            </w:r>
            <w:r>
              <w:rPr>
                <w:rFonts w:ascii="Times New Roman" w:hAnsi="Times New Roman"/>
                <w:szCs w:val="24"/>
              </w:rPr>
              <w:t>изборна</w:t>
            </w:r>
            <w:r w:rsidR="00AB33B8" w:rsidRPr="00295637">
              <w:rPr>
                <w:rFonts w:ascii="Times New Roman" w:hAnsi="Times New Roman"/>
                <w:szCs w:val="24"/>
              </w:rPr>
              <w:t xml:space="preserve"> </w:t>
            </w:r>
            <w:r>
              <w:rPr>
                <w:rFonts w:ascii="Times New Roman" w:hAnsi="Times New Roman"/>
                <w:szCs w:val="24"/>
              </w:rPr>
              <w:t>комисија</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p w:rsidR="00AB33B8" w:rsidRPr="00295637" w:rsidRDefault="00C6214E" w:rsidP="0086268D">
            <w:pPr>
              <w:rPr>
                <w:rFonts w:ascii="Times New Roman" w:hAnsi="Times New Roman"/>
                <w:szCs w:val="24"/>
              </w:rPr>
            </w:pPr>
            <w:r>
              <w:rPr>
                <w:rFonts w:ascii="Times New Roman" w:hAnsi="Times New Roman"/>
                <w:szCs w:val="24"/>
              </w:rPr>
              <w:t>Центар</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једнакост</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равноправност</w:t>
            </w:r>
            <w:r w:rsidR="00AB33B8" w:rsidRPr="00295637">
              <w:rPr>
                <w:rFonts w:ascii="Times New Roman" w:hAnsi="Times New Roman"/>
                <w:szCs w:val="24"/>
              </w:rPr>
              <w:t xml:space="preserve"> </w:t>
            </w:r>
            <w:r>
              <w:rPr>
                <w:rFonts w:ascii="Times New Roman" w:hAnsi="Times New Roman"/>
                <w:szCs w:val="24"/>
              </w:rPr>
              <w:t>полова</w:t>
            </w:r>
            <w:r w:rsidR="00AB33B8" w:rsidRPr="00295637">
              <w:rPr>
                <w:rFonts w:ascii="Times New Roman" w:hAnsi="Times New Roman"/>
                <w:szCs w:val="24"/>
              </w:rPr>
              <w:t xml:space="preserve"> </w:t>
            </w:r>
            <w:r>
              <w:rPr>
                <w:rFonts w:ascii="Times New Roman" w:hAnsi="Times New Roman"/>
                <w:szCs w:val="24"/>
              </w:rPr>
              <w:t>Републике</w:t>
            </w:r>
            <w:r w:rsidR="00AB33B8" w:rsidRPr="00295637">
              <w:rPr>
                <w:rFonts w:ascii="Times New Roman" w:hAnsi="Times New Roman"/>
                <w:szCs w:val="24"/>
              </w:rPr>
              <w:t xml:space="preserve"> </w:t>
            </w:r>
            <w:r>
              <w:rPr>
                <w:rFonts w:ascii="Times New Roman" w:hAnsi="Times New Roman"/>
                <w:szCs w:val="24"/>
              </w:rPr>
              <w:t>Српске</w:t>
            </w:r>
          </w:p>
          <w:p w:rsidR="00AB33B8" w:rsidRPr="00295637" w:rsidRDefault="00C6214E" w:rsidP="0086268D">
            <w:pPr>
              <w:rPr>
                <w:rFonts w:ascii="Times New Roman" w:hAnsi="Times New Roman"/>
                <w:szCs w:val="24"/>
              </w:rPr>
            </w:pPr>
            <w:r w:rsidRPr="00891BBE">
              <w:rPr>
                <w:rFonts w:ascii="Times New Roman" w:hAnsi="Times New Roman"/>
                <w:szCs w:val="24"/>
              </w:rPr>
              <w:t>УН</w:t>
            </w:r>
            <w:r w:rsidR="00AB33B8" w:rsidRPr="00891BBE">
              <w:rPr>
                <w:rFonts w:ascii="Times New Roman" w:hAnsi="Times New Roman"/>
                <w:szCs w:val="24"/>
              </w:rPr>
              <w:t xml:space="preserve"> </w:t>
            </w:r>
            <w:r w:rsidRPr="00891BBE">
              <w:rPr>
                <w:rFonts w:ascii="Times New Roman" w:hAnsi="Times New Roman"/>
                <w:szCs w:val="24"/>
              </w:rPr>
              <w:t>Конвенција</w:t>
            </w:r>
            <w:r w:rsidR="00AB33B8" w:rsidRPr="00295637">
              <w:rPr>
                <w:rFonts w:ascii="Times New Roman" w:hAnsi="Times New Roman"/>
                <w:szCs w:val="24"/>
              </w:rPr>
              <w:t xml:space="preserve"> </w:t>
            </w:r>
            <w:r>
              <w:rPr>
                <w:rFonts w:ascii="Times New Roman" w:hAnsi="Times New Roman"/>
                <w:szCs w:val="24"/>
              </w:rPr>
              <w:t>о</w:t>
            </w:r>
            <w:r w:rsidR="00AB33B8" w:rsidRPr="00295637">
              <w:rPr>
                <w:rFonts w:ascii="Times New Roman" w:hAnsi="Times New Roman"/>
                <w:szCs w:val="24"/>
              </w:rPr>
              <w:t xml:space="preserve"> </w:t>
            </w:r>
            <w:r>
              <w:rPr>
                <w:rFonts w:ascii="Times New Roman" w:hAnsi="Times New Roman"/>
                <w:szCs w:val="24"/>
              </w:rPr>
              <w:t>укидању</w:t>
            </w:r>
            <w:r w:rsidR="00AB33B8" w:rsidRPr="00295637">
              <w:rPr>
                <w:rFonts w:ascii="Times New Roman" w:hAnsi="Times New Roman"/>
                <w:szCs w:val="24"/>
              </w:rPr>
              <w:t xml:space="preserve"> </w:t>
            </w:r>
            <w:r>
              <w:rPr>
                <w:rFonts w:ascii="Times New Roman" w:hAnsi="Times New Roman"/>
                <w:szCs w:val="24"/>
              </w:rPr>
              <w:t>свих</w:t>
            </w:r>
            <w:r w:rsidR="00AB33B8" w:rsidRPr="00295637">
              <w:rPr>
                <w:rFonts w:ascii="Times New Roman" w:hAnsi="Times New Roman"/>
                <w:szCs w:val="24"/>
              </w:rPr>
              <w:t xml:space="preserve"> </w:t>
            </w:r>
            <w:r>
              <w:rPr>
                <w:rFonts w:ascii="Times New Roman" w:hAnsi="Times New Roman"/>
                <w:szCs w:val="24"/>
              </w:rPr>
              <w:t>облика</w:t>
            </w:r>
            <w:r w:rsidR="00AB33B8" w:rsidRPr="00295637">
              <w:rPr>
                <w:rFonts w:ascii="Times New Roman" w:hAnsi="Times New Roman"/>
                <w:szCs w:val="24"/>
              </w:rPr>
              <w:t xml:space="preserve"> </w:t>
            </w:r>
            <w:r>
              <w:rPr>
                <w:rFonts w:ascii="Times New Roman" w:hAnsi="Times New Roman"/>
                <w:szCs w:val="24"/>
              </w:rPr>
              <w:t>дискриминације</w:t>
            </w:r>
            <w:r w:rsidR="00AB33B8" w:rsidRPr="00295637">
              <w:rPr>
                <w:rFonts w:ascii="Times New Roman" w:hAnsi="Times New Roman"/>
                <w:szCs w:val="24"/>
              </w:rPr>
              <w:t xml:space="preserve"> </w:t>
            </w:r>
            <w:r>
              <w:rPr>
                <w:rFonts w:ascii="Times New Roman" w:hAnsi="Times New Roman"/>
                <w:szCs w:val="24"/>
              </w:rPr>
              <w:t>жена</w:t>
            </w:r>
          </w:p>
          <w:p w:rsidR="00AB33B8" w:rsidRPr="00295637" w:rsidRDefault="00C6214E" w:rsidP="0086268D">
            <w:pPr>
              <w:rPr>
                <w:rFonts w:ascii="Times New Roman" w:hAnsi="Times New Roman"/>
                <w:szCs w:val="24"/>
              </w:rPr>
            </w:pPr>
            <w:r>
              <w:rPr>
                <w:rFonts w:ascii="Times New Roman" w:hAnsi="Times New Roman"/>
                <w:szCs w:val="24"/>
              </w:rPr>
              <w:t>Управљачки</w:t>
            </w:r>
            <w:r w:rsidR="00AB33B8" w:rsidRPr="00295637">
              <w:rPr>
                <w:rFonts w:ascii="Times New Roman" w:hAnsi="Times New Roman"/>
                <w:szCs w:val="24"/>
              </w:rPr>
              <w:t xml:space="preserve"> </w:t>
            </w:r>
            <w:r>
              <w:rPr>
                <w:rFonts w:ascii="Times New Roman" w:hAnsi="Times New Roman"/>
                <w:szCs w:val="24"/>
              </w:rPr>
              <w:t>комитет</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анти</w:t>
            </w:r>
            <w:r w:rsidR="00AB33B8" w:rsidRPr="00295637">
              <w:rPr>
                <w:rFonts w:ascii="Times New Roman" w:hAnsi="Times New Roman"/>
                <w:szCs w:val="24"/>
              </w:rPr>
              <w:t>-</w:t>
            </w:r>
            <w:r>
              <w:rPr>
                <w:rFonts w:ascii="Times New Roman" w:hAnsi="Times New Roman"/>
                <w:szCs w:val="24"/>
              </w:rPr>
              <w:t>дискриминацију</w:t>
            </w:r>
            <w:r w:rsidR="00AB33B8" w:rsidRPr="00295637">
              <w:rPr>
                <w:rFonts w:ascii="Times New Roman" w:hAnsi="Times New Roman"/>
                <w:szCs w:val="24"/>
              </w:rPr>
              <w:t xml:space="preserve">, </w:t>
            </w:r>
            <w:r>
              <w:rPr>
                <w:rFonts w:ascii="Times New Roman" w:hAnsi="Times New Roman"/>
                <w:szCs w:val="24"/>
              </w:rPr>
              <w:t>разноликост</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инклузију</w:t>
            </w:r>
          </w:p>
          <w:p w:rsidR="00AE255D" w:rsidRDefault="00C6214E" w:rsidP="0086268D">
            <w:pPr>
              <w:rPr>
                <w:rFonts w:ascii="Times New Roman" w:hAnsi="Times New Roman"/>
                <w:szCs w:val="24"/>
              </w:rPr>
            </w:pPr>
            <w:r>
              <w:rPr>
                <w:rFonts w:ascii="Times New Roman" w:hAnsi="Times New Roman"/>
                <w:szCs w:val="24"/>
              </w:rPr>
              <w:t>Центар</w:t>
            </w:r>
            <w:r w:rsidR="00AE255D">
              <w:rPr>
                <w:rFonts w:ascii="Times New Roman" w:hAnsi="Times New Roman"/>
                <w:szCs w:val="24"/>
              </w:rPr>
              <w:t xml:space="preserve"> </w:t>
            </w:r>
            <w:r>
              <w:rPr>
                <w:rFonts w:ascii="Times New Roman" w:hAnsi="Times New Roman"/>
                <w:szCs w:val="24"/>
              </w:rPr>
              <w:t>за</w:t>
            </w:r>
            <w:r w:rsidR="00AE255D">
              <w:rPr>
                <w:rFonts w:ascii="Times New Roman" w:hAnsi="Times New Roman"/>
                <w:szCs w:val="24"/>
              </w:rPr>
              <w:t xml:space="preserve"> </w:t>
            </w:r>
            <w:r>
              <w:rPr>
                <w:rFonts w:ascii="Times New Roman" w:hAnsi="Times New Roman"/>
                <w:szCs w:val="24"/>
              </w:rPr>
              <w:t>социјални</w:t>
            </w:r>
            <w:r w:rsidR="00AE255D">
              <w:rPr>
                <w:rFonts w:ascii="Times New Roman" w:hAnsi="Times New Roman"/>
                <w:szCs w:val="24"/>
              </w:rPr>
              <w:t xml:space="preserve"> </w:t>
            </w:r>
            <w:r>
              <w:rPr>
                <w:rFonts w:ascii="Times New Roman" w:hAnsi="Times New Roman"/>
                <w:szCs w:val="24"/>
              </w:rPr>
              <w:t>рад</w:t>
            </w:r>
          </w:p>
          <w:p w:rsidR="00AB33B8" w:rsidRPr="00295637" w:rsidRDefault="00C6214E" w:rsidP="0086268D">
            <w:pPr>
              <w:rPr>
                <w:rFonts w:ascii="Times New Roman" w:hAnsi="Times New Roman"/>
                <w:szCs w:val="24"/>
              </w:rPr>
            </w:pPr>
            <w:r>
              <w:rPr>
                <w:rFonts w:ascii="Times New Roman" w:hAnsi="Times New Roman"/>
                <w:szCs w:val="24"/>
              </w:rPr>
              <w:t>Дирекција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европске</w:t>
            </w:r>
            <w:r w:rsidR="00AB33B8" w:rsidRPr="00295637">
              <w:rPr>
                <w:rFonts w:ascii="Times New Roman" w:hAnsi="Times New Roman"/>
                <w:szCs w:val="24"/>
              </w:rPr>
              <w:t xml:space="preserve"> </w:t>
            </w:r>
            <w:r>
              <w:rPr>
                <w:rFonts w:ascii="Times New Roman" w:hAnsi="Times New Roman"/>
                <w:szCs w:val="24"/>
              </w:rPr>
              <w:t>интеграције</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r w:rsidR="00AB33B8" w:rsidRPr="00295637">
              <w:rPr>
                <w:rFonts w:ascii="Times New Roman" w:hAnsi="Times New Roman"/>
                <w:szCs w:val="24"/>
              </w:rPr>
              <w:t xml:space="preserve"> </w:t>
            </w:r>
          </w:p>
          <w:p w:rsidR="00396D53" w:rsidRPr="00295637" w:rsidRDefault="00C6214E" w:rsidP="0086268D">
            <w:pPr>
              <w:rPr>
                <w:rFonts w:ascii="Times New Roman" w:hAnsi="Times New Roman"/>
                <w:szCs w:val="24"/>
              </w:rPr>
            </w:pPr>
            <w:r>
              <w:rPr>
                <w:rFonts w:ascii="Times New Roman" w:hAnsi="Times New Roman"/>
                <w:szCs w:val="24"/>
              </w:rPr>
              <w:t>Дирекција</w:t>
            </w:r>
            <w:r w:rsidR="00396D53" w:rsidRPr="00295637">
              <w:rPr>
                <w:rFonts w:ascii="Times New Roman" w:hAnsi="Times New Roman"/>
                <w:szCs w:val="24"/>
              </w:rPr>
              <w:t xml:space="preserve"> </w:t>
            </w:r>
            <w:r>
              <w:rPr>
                <w:rFonts w:ascii="Times New Roman" w:hAnsi="Times New Roman"/>
                <w:szCs w:val="24"/>
              </w:rPr>
              <w:t>за</w:t>
            </w:r>
            <w:r w:rsidR="00396D53" w:rsidRPr="00295637">
              <w:rPr>
                <w:rFonts w:ascii="Times New Roman" w:hAnsi="Times New Roman"/>
                <w:szCs w:val="24"/>
              </w:rPr>
              <w:t xml:space="preserve"> </w:t>
            </w:r>
            <w:r>
              <w:rPr>
                <w:rFonts w:ascii="Times New Roman" w:hAnsi="Times New Roman"/>
                <w:szCs w:val="24"/>
              </w:rPr>
              <w:t>економско</w:t>
            </w:r>
            <w:r w:rsidR="00396D53" w:rsidRPr="00295637">
              <w:rPr>
                <w:rFonts w:ascii="Times New Roman" w:hAnsi="Times New Roman"/>
                <w:szCs w:val="24"/>
              </w:rPr>
              <w:t xml:space="preserve"> </w:t>
            </w:r>
            <w:r>
              <w:rPr>
                <w:rFonts w:ascii="Times New Roman" w:hAnsi="Times New Roman"/>
                <w:szCs w:val="24"/>
              </w:rPr>
              <w:t>планирање</w:t>
            </w:r>
          </w:p>
          <w:p w:rsidR="00AB33B8" w:rsidRPr="00295637" w:rsidRDefault="00C6214E" w:rsidP="003D15A6">
            <w:pPr>
              <w:rPr>
                <w:rFonts w:ascii="Times New Roman" w:hAnsi="Times New Roman"/>
                <w:szCs w:val="24"/>
              </w:rPr>
            </w:pPr>
            <w:r>
              <w:rPr>
                <w:rFonts w:ascii="Times New Roman" w:hAnsi="Times New Roman"/>
                <w:szCs w:val="24"/>
              </w:rPr>
              <w:t>Европска</w:t>
            </w:r>
            <w:r w:rsidR="00AB33B8" w:rsidRPr="00295637">
              <w:rPr>
                <w:rFonts w:ascii="Times New Roman" w:hAnsi="Times New Roman"/>
                <w:szCs w:val="24"/>
              </w:rPr>
              <w:t xml:space="preserve"> </w:t>
            </w:r>
            <w:r>
              <w:rPr>
                <w:rFonts w:ascii="Times New Roman" w:hAnsi="Times New Roman"/>
                <w:szCs w:val="24"/>
              </w:rPr>
              <w:t>комисија</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ЕУ</w:t>
            </w:r>
          </w:p>
        </w:tc>
        <w:tc>
          <w:tcPr>
            <w:tcW w:w="8100" w:type="dxa"/>
          </w:tcPr>
          <w:p w:rsidR="00AB33B8" w:rsidRPr="00295637" w:rsidRDefault="00C6214E" w:rsidP="003D15A6">
            <w:pPr>
              <w:rPr>
                <w:rFonts w:ascii="Times New Roman" w:hAnsi="Times New Roman"/>
                <w:szCs w:val="24"/>
              </w:rPr>
            </w:pPr>
            <w:r>
              <w:rPr>
                <w:rFonts w:ascii="Times New Roman" w:hAnsi="Times New Roman"/>
                <w:szCs w:val="24"/>
              </w:rPr>
              <w:t>Европска</w:t>
            </w:r>
            <w:r w:rsidR="00AB33B8" w:rsidRPr="00295637">
              <w:rPr>
                <w:rFonts w:ascii="Times New Roman" w:hAnsi="Times New Roman"/>
                <w:szCs w:val="24"/>
              </w:rPr>
              <w:t xml:space="preserve"> </w:t>
            </w:r>
            <w:r>
              <w:rPr>
                <w:rFonts w:ascii="Times New Roman" w:hAnsi="Times New Roman"/>
                <w:szCs w:val="24"/>
              </w:rPr>
              <w:t>Унија</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ФБиХ</w:t>
            </w:r>
            <w:r w:rsidR="00AB33B8" w:rsidRPr="00295637">
              <w:rPr>
                <w:rFonts w:ascii="Times New Roman" w:hAnsi="Times New Roman"/>
                <w:szCs w:val="24"/>
              </w:rPr>
              <w:t xml:space="preserve"> </w:t>
            </w:r>
            <w:r w:rsidR="00AB33B8" w:rsidRPr="00295637">
              <w:rPr>
                <w:rFonts w:ascii="Times New Roman" w:hAnsi="Times New Roman"/>
                <w:szCs w:val="24"/>
              </w:rPr>
              <w:tab/>
            </w:r>
            <w:r w:rsidR="00AB33B8" w:rsidRPr="00295637">
              <w:rPr>
                <w:rFonts w:ascii="Times New Roman" w:hAnsi="Times New Roman"/>
                <w:szCs w:val="24"/>
              </w:rPr>
              <w:tab/>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Федерација</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ФИГАП</w:t>
            </w:r>
          </w:p>
        </w:tc>
        <w:tc>
          <w:tcPr>
            <w:tcW w:w="8100" w:type="dxa"/>
          </w:tcPr>
          <w:p w:rsidR="00AB33B8" w:rsidRPr="00295637" w:rsidRDefault="00C6214E" w:rsidP="00113A80">
            <w:pPr>
              <w:rPr>
                <w:rFonts w:ascii="Times New Roman" w:hAnsi="Times New Roman"/>
                <w:szCs w:val="24"/>
              </w:rPr>
            </w:pPr>
            <w:r>
              <w:rPr>
                <w:rFonts w:ascii="Times New Roman" w:hAnsi="Times New Roman"/>
                <w:szCs w:val="24"/>
              </w:rPr>
              <w:t>Финан</w:t>
            </w:r>
            <w:r w:rsidR="00113A80">
              <w:rPr>
                <w:rFonts w:ascii="Times New Roman" w:hAnsi="Times New Roman"/>
                <w:szCs w:val="24"/>
                <w:lang w:val="sr-Cyrl-BA"/>
              </w:rPr>
              <w:t>с</w:t>
            </w:r>
            <w:r>
              <w:rPr>
                <w:rFonts w:ascii="Times New Roman" w:hAnsi="Times New Roman"/>
                <w:szCs w:val="24"/>
              </w:rPr>
              <w:t>ијски</w:t>
            </w:r>
            <w:r w:rsidR="00AB33B8" w:rsidRPr="00295637">
              <w:rPr>
                <w:rFonts w:ascii="Times New Roman" w:hAnsi="Times New Roman"/>
                <w:szCs w:val="24"/>
              </w:rPr>
              <w:t xml:space="preserve"> </w:t>
            </w:r>
            <w:r>
              <w:rPr>
                <w:rFonts w:ascii="Times New Roman" w:hAnsi="Times New Roman"/>
                <w:szCs w:val="24"/>
              </w:rPr>
              <w:t>механизам</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sidR="00113A80">
              <w:rPr>
                <w:rFonts w:ascii="Times New Roman" w:hAnsi="Times New Roman"/>
                <w:szCs w:val="24"/>
                <w:lang w:val="sr-Cyrl-BA"/>
              </w:rPr>
              <w:t>спровођење</w:t>
            </w:r>
            <w:r w:rsidR="00AB33B8" w:rsidRPr="00295637">
              <w:rPr>
                <w:rFonts w:ascii="Times New Roman" w:hAnsi="Times New Roman"/>
                <w:szCs w:val="24"/>
              </w:rPr>
              <w:t xml:space="preserve"> </w:t>
            </w:r>
            <w:r>
              <w:rPr>
                <w:rFonts w:ascii="Times New Roman" w:hAnsi="Times New Roman"/>
                <w:szCs w:val="24"/>
              </w:rPr>
              <w:t>Гендер</w:t>
            </w:r>
            <w:r w:rsidR="00AB33B8" w:rsidRPr="00295637">
              <w:rPr>
                <w:rFonts w:ascii="Times New Roman" w:hAnsi="Times New Roman"/>
                <w:szCs w:val="24"/>
              </w:rPr>
              <w:t xml:space="preserve"> </w:t>
            </w:r>
            <w:r>
              <w:rPr>
                <w:rFonts w:ascii="Times New Roman" w:hAnsi="Times New Roman"/>
                <w:szCs w:val="24"/>
              </w:rPr>
              <w:t>акционог</w:t>
            </w:r>
            <w:r w:rsidR="00AB33B8" w:rsidRPr="00295637">
              <w:rPr>
                <w:rFonts w:ascii="Times New Roman" w:hAnsi="Times New Roman"/>
                <w:szCs w:val="24"/>
              </w:rPr>
              <w:t xml:space="preserve"> </w:t>
            </w:r>
            <w:r>
              <w:rPr>
                <w:rFonts w:ascii="Times New Roman" w:hAnsi="Times New Roman"/>
                <w:szCs w:val="24"/>
              </w:rPr>
              <w:t>плана</w:t>
            </w:r>
          </w:p>
        </w:tc>
      </w:tr>
      <w:tr w:rsidR="00AB33B8" w:rsidRPr="00295637" w:rsidTr="00365441">
        <w:tc>
          <w:tcPr>
            <w:tcW w:w="2628" w:type="dxa"/>
          </w:tcPr>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ФМЕРИ</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ФМФ</w:t>
            </w:r>
          </w:p>
          <w:p w:rsidR="00AB33B8" w:rsidRPr="00295637" w:rsidRDefault="00C6214E" w:rsidP="0086268D">
            <w:pPr>
              <w:jc w:val="both"/>
              <w:rPr>
                <w:rFonts w:ascii="Times New Roman" w:hAnsi="Times New Roman"/>
                <w:szCs w:val="24"/>
                <w:lang w:val="bs-Latn-BA"/>
              </w:rPr>
            </w:pPr>
            <w:r>
              <w:rPr>
                <w:rFonts w:ascii="Times New Roman" w:hAnsi="Times New Roman"/>
                <w:bCs/>
                <w:szCs w:val="24"/>
                <w:lang w:val="bs-Latn-BA"/>
              </w:rPr>
              <w:t>ФМКИС</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ФМОИН</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ФМОИТ</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ФМП</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ФМПВШ</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ФМРПО</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ФМРСП</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ФМУП</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ФМЗ</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ФЗЗС</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ФЗЗЗ</w:t>
            </w:r>
          </w:p>
          <w:p w:rsidR="00AB33B8" w:rsidRPr="00295637" w:rsidRDefault="00C6214E" w:rsidP="0086268D">
            <w:pPr>
              <w:rPr>
                <w:rFonts w:ascii="Times New Roman" w:hAnsi="Times New Roman"/>
                <w:szCs w:val="24"/>
              </w:rPr>
            </w:pPr>
            <w:r>
              <w:rPr>
                <w:rFonts w:ascii="Times New Roman" w:hAnsi="Times New Roman"/>
                <w:szCs w:val="24"/>
                <w:lang w:val="bs-Latn-BA"/>
              </w:rPr>
              <w:t>ЗЗЈЗ</w:t>
            </w:r>
            <w:r w:rsidR="00AB33B8" w:rsidRPr="00295637">
              <w:rPr>
                <w:rFonts w:ascii="Times New Roman" w:hAnsi="Times New Roman"/>
                <w:szCs w:val="24"/>
                <w:lang w:val="bs-Latn-BA"/>
              </w:rPr>
              <w:t xml:space="preserve"> </w:t>
            </w:r>
            <w:r>
              <w:rPr>
                <w:rFonts w:ascii="Times New Roman" w:hAnsi="Times New Roman"/>
                <w:szCs w:val="24"/>
                <w:lang w:val="bs-Latn-BA"/>
              </w:rPr>
              <w:t>ФБиХ</w:t>
            </w:r>
          </w:p>
        </w:tc>
        <w:tc>
          <w:tcPr>
            <w:tcW w:w="8100" w:type="dxa"/>
          </w:tcPr>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Федерално</w:t>
            </w:r>
            <w:r w:rsidR="00AB33B8" w:rsidRPr="00295637">
              <w:rPr>
                <w:rFonts w:ascii="Times New Roman" w:hAnsi="Times New Roman"/>
                <w:szCs w:val="24"/>
                <w:lang w:val="bs-Latn-BA"/>
              </w:rPr>
              <w:t xml:space="preserve"> </w:t>
            </w:r>
            <w:r>
              <w:rPr>
                <w:rFonts w:ascii="Times New Roman" w:hAnsi="Times New Roman"/>
                <w:szCs w:val="24"/>
                <w:lang w:val="bs-Latn-BA"/>
              </w:rPr>
              <w:t>министарство</w:t>
            </w:r>
            <w:r w:rsidR="00AB33B8" w:rsidRPr="00295637">
              <w:rPr>
                <w:rFonts w:ascii="Times New Roman" w:hAnsi="Times New Roman"/>
                <w:szCs w:val="24"/>
                <w:lang w:val="bs-Latn-BA"/>
              </w:rPr>
              <w:t xml:space="preserve"> </w:t>
            </w:r>
            <w:r>
              <w:rPr>
                <w:rFonts w:ascii="Times New Roman" w:hAnsi="Times New Roman"/>
                <w:szCs w:val="24"/>
                <w:lang w:val="bs-Latn-BA"/>
              </w:rPr>
              <w:t>енергије</w:t>
            </w:r>
            <w:r w:rsidR="00AB33B8" w:rsidRPr="00295637">
              <w:rPr>
                <w:rFonts w:ascii="Times New Roman" w:hAnsi="Times New Roman"/>
                <w:szCs w:val="24"/>
                <w:lang w:val="bs-Latn-BA"/>
              </w:rPr>
              <w:t xml:space="preserve">, </w:t>
            </w:r>
            <w:r>
              <w:rPr>
                <w:rFonts w:ascii="Times New Roman" w:hAnsi="Times New Roman"/>
                <w:szCs w:val="24"/>
                <w:lang w:val="bs-Latn-BA"/>
              </w:rPr>
              <w:t>рударства</w:t>
            </w:r>
            <w:r w:rsidR="00AB33B8" w:rsidRPr="00295637">
              <w:rPr>
                <w:rFonts w:ascii="Times New Roman" w:hAnsi="Times New Roman"/>
                <w:szCs w:val="24"/>
                <w:lang w:val="bs-Latn-BA"/>
              </w:rPr>
              <w:t xml:space="preserve"> </w:t>
            </w:r>
            <w:r>
              <w:rPr>
                <w:rFonts w:ascii="Times New Roman" w:hAnsi="Times New Roman"/>
                <w:szCs w:val="24"/>
                <w:lang w:val="bs-Latn-BA"/>
              </w:rPr>
              <w:t>и</w:t>
            </w:r>
            <w:r w:rsidR="00AB33B8" w:rsidRPr="00295637">
              <w:rPr>
                <w:rFonts w:ascii="Times New Roman" w:hAnsi="Times New Roman"/>
                <w:szCs w:val="24"/>
                <w:lang w:val="bs-Latn-BA"/>
              </w:rPr>
              <w:t xml:space="preserve"> </w:t>
            </w:r>
            <w:r>
              <w:rPr>
                <w:rFonts w:ascii="Times New Roman" w:hAnsi="Times New Roman"/>
                <w:szCs w:val="24"/>
                <w:lang w:val="bs-Latn-BA"/>
              </w:rPr>
              <w:t>индустрије</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Федерално</w:t>
            </w:r>
            <w:r w:rsidR="006C4FE1">
              <w:rPr>
                <w:rFonts w:ascii="Times New Roman" w:hAnsi="Times New Roman"/>
                <w:szCs w:val="24"/>
                <w:lang w:val="bs-Latn-BA"/>
              </w:rPr>
              <w:t xml:space="preserve"> </w:t>
            </w:r>
            <w:r>
              <w:rPr>
                <w:rFonts w:ascii="Times New Roman" w:hAnsi="Times New Roman"/>
                <w:szCs w:val="24"/>
                <w:lang w:val="bs-Latn-BA"/>
              </w:rPr>
              <w:t>министарство</w:t>
            </w:r>
            <w:r w:rsidR="006C4FE1">
              <w:rPr>
                <w:rFonts w:ascii="Times New Roman" w:hAnsi="Times New Roman"/>
                <w:szCs w:val="24"/>
                <w:lang w:val="bs-Latn-BA"/>
              </w:rPr>
              <w:t xml:space="preserve"> </w:t>
            </w:r>
            <w:r>
              <w:rPr>
                <w:rFonts w:ascii="Times New Roman" w:hAnsi="Times New Roman"/>
                <w:szCs w:val="24"/>
                <w:lang w:val="bs-Latn-BA"/>
              </w:rPr>
              <w:t>финансија</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Федерално</w:t>
            </w:r>
            <w:r w:rsidR="00AB33B8" w:rsidRPr="00295637">
              <w:rPr>
                <w:rFonts w:ascii="Times New Roman" w:hAnsi="Times New Roman"/>
                <w:szCs w:val="24"/>
                <w:lang w:val="bs-Latn-BA"/>
              </w:rPr>
              <w:t xml:space="preserve"> </w:t>
            </w:r>
            <w:r>
              <w:rPr>
                <w:rFonts w:ascii="Times New Roman" w:hAnsi="Times New Roman"/>
                <w:szCs w:val="24"/>
                <w:lang w:val="bs-Latn-BA"/>
              </w:rPr>
              <w:t>министарство</w:t>
            </w:r>
            <w:r w:rsidR="00AB33B8" w:rsidRPr="00295637">
              <w:rPr>
                <w:rFonts w:ascii="Times New Roman" w:hAnsi="Times New Roman"/>
                <w:szCs w:val="24"/>
                <w:lang w:val="bs-Latn-BA"/>
              </w:rPr>
              <w:t xml:space="preserve"> </w:t>
            </w:r>
            <w:r>
              <w:rPr>
                <w:rFonts w:ascii="Times New Roman" w:hAnsi="Times New Roman"/>
                <w:szCs w:val="24"/>
                <w:lang w:val="bs-Latn-BA"/>
              </w:rPr>
              <w:t>културе</w:t>
            </w:r>
            <w:r w:rsidR="00AB33B8" w:rsidRPr="00295637">
              <w:rPr>
                <w:rFonts w:ascii="Times New Roman" w:hAnsi="Times New Roman"/>
                <w:szCs w:val="24"/>
                <w:lang w:val="bs-Latn-BA"/>
              </w:rPr>
              <w:t xml:space="preserve"> </w:t>
            </w:r>
            <w:r>
              <w:rPr>
                <w:rFonts w:ascii="Times New Roman" w:hAnsi="Times New Roman"/>
                <w:szCs w:val="24"/>
                <w:lang w:val="bs-Latn-BA"/>
              </w:rPr>
              <w:t>и</w:t>
            </w:r>
            <w:r w:rsidR="00AB33B8" w:rsidRPr="00295637">
              <w:rPr>
                <w:rFonts w:ascii="Times New Roman" w:hAnsi="Times New Roman"/>
                <w:szCs w:val="24"/>
                <w:lang w:val="bs-Latn-BA"/>
              </w:rPr>
              <w:t xml:space="preserve"> </w:t>
            </w:r>
            <w:r>
              <w:rPr>
                <w:rFonts w:ascii="Times New Roman" w:hAnsi="Times New Roman"/>
                <w:szCs w:val="24"/>
                <w:lang w:val="bs-Latn-BA"/>
              </w:rPr>
              <w:t>спорта</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Федерално</w:t>
            </w:r>
            <w:r w:rsidR="00AB33B8" w:rsidRPr="00295637">
              <w:rPr>
                <w:rFonts w:ascii="Times New Roman" w:hAnsi="Times New Roman"/>
                <w:szCs w:val="24"/>
                <w:lang w:val="bs-Latn-BA"/>
              </w:rPr>
              <w:t xml:space="preserve"> </w:t>
            </w:r>
            <w:r>
              <w:rPr>
                <w:rFonts w:ascii="Times New Roman" w:hAnsi="Times New Roman"/>
                <w:szCs w:val="24"/>
                <w:lang w:val="bs-Latn-BA"/>
              </w:rPr>
              <w:t>министарство</w:t>
            </w:r>
            <w:r w:rsidR="00AB33B8" w:rsidRPr="00295637">
              <w:rPr>
                <w:rFonts w:ascii="Times New Roman" w:hAnsi="Times New Roman"/>
                <w:szCs w:val="24"/>
                <w:lang w:val="bs-Latn-BA"/>
              </w:rPr>
              <w:t xml:space="preserve"> </w:t>
            </w:r>
            <w:r>
              <w:rPr>
                <w:rFonts w:ascii="Times New Roman" w:hAnsi="Times New Roman"/>
                <w:szCs w:val="24"/>
                <w:lang w:val="bs-Latn-BA"/>
              </w:rPr>
              <w:t>образовања</w:t>
            </w:r>
            <w:r w:rsidR="00AB33B8" w:rsidRPr="00295637">
              <w:rPr>
                <w:rFonts w:ascii="Times New Roman" w:hAnsi="Times New Roman"/>
                <w:szCs w:val="24"/>
                <w:lang w:val="bs-Latn-BA"/>
              </w:rPr>
              <w:t xml:space="preserve"> </w:t>
            </w:r>
            <w:r>
              <w:rPr>
                <w:rFonts w:ascii="Times New Roman" w:hAnsi="Times New Roman"/>
                <w:szCs w:val="24"/>
                <w:lang w:val="bs-Latn-BA"/>
              </w:rPr>
              <w:t>и</w:t>
            </w:r>
            <w:r w:rsidR="00AB33B8" w:rsidRPr="00295637">
              <w:rPr>
                <w:rFonts w:ascii="Times New Roman" w:hAnsi="Times New Roman"/>
                <w:szCs w:val="24"/>
                <w:lang w:val="bs-Latn-BA"/>
              </w:rPr>
              <w:t xml:space="preserve"> </w:t>
            </w:r>
            <w:r>
              <w:rPr>
                <w:rFonts w:ascii="Times New Roman" w:hAnsi="Times New Roman"/>
                <w:szCs w:val="24"/>
                <w:lang w:val="bs-Latn-BA"/>
              </w:rPr>
              <w:t>науке</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Федерално</w:t>
            </w:r>
            <w:r w:rsidR="00AB33B8" w:rsidRPr="00295637">
              <w:rPr>
                <w:rFonts w:ascii="Times New Roman" w:hAnsi="Times New Roman"/>
                <w:szCs w:val="24"/>
                <w:lang w:val="bs-Latn-BA"/>
              </w:rPr>
              <w:t xml:space="preserve"> </w:t>
            </w:r>
            <w:r>
              <w:rPr>
                <w:rFonts w:ascii="Times New Roman" w:hAnsi="Times New Roman"/>
                <w:szCs w:val="24"/>
                <w:lang w:val="bs-Latn-BA"/>
              </w:rPr>
              <w:t>министарство</w:t>
            </w:r>
            <w:r w:rsidR="00AB33B8" w:rsidRPr="00295637">
              <w:rPr>
                <w:rFonts w:ascii="Times New Roman" w:hAnsi="Times New Roman"/>
                <w:szCs w:val="24"/>
                <w:lang w:val="bs-Latn-BA"/>
              </w:rPr>
              <w:t xml:space="preserve"> </w:t>
            </w:r>
            <w:r w:rsidR="00113A80">
              <w:rPr>
                <w:rFonts w:ascii="Times New Roman" w:hAnsi="Times New Roman"/>
                <w:szCs w:val="24"/>
                <w:lang w:val="sr-Cyrl-BA"/>
              </w:rPr>
              <w:t>животне средине</w:t>
            </w:r>
            <w:r w:rsidR="00AB33B8" w:rsidRPr="00295637">
              <w:rPr>
                <w:rFonts w:ascii="Times New Roman" w:hAnsi="Times New Roman"/>
                <w:szCs w:val="24"/>
                <w:lang w:val="bs-Latn-BA"/>
              </w:rPr>
              <w:t xml:space="preserve"> </w:t>
            </w:r>
            <w:r>
              <w:rPr>
                <w:rFonts w:ascii="Times New Roman" w:hAnsi="Times New Roman"/>
                <w:szCs w:val="24"/>
                <w:lang w:val="bs-Latn-BA"/>
              </w:rPr>
              <w:t>и</w:t>
            </w:r>
            <w:r w:rsidR="00AB33B8" w:rsidRPr="00295637">
              <w:rPr>
                <w:rFonts w:ascii="Times New Roman" w:hAnsi="Times New Roman"/>
                <w:szCs w:val="24"/>
                <w:lang w:val="bs-Latn-BA"/>
              </w:rPr>
              <w:t xml:space="preserve"> </w:t>
            </w:r>
            <w:r>
              <w:rPr>
                <w:rFonts w:ascii="Times New Roman" w:hAnsi="Times New Roman"/>
                <w:szCs w:val="24"/>
                <w:lang w:val="bs-Latn-BA"/>
              </w:rPr>
              <w:t>туризма</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Федерално</w:t>
            </w:r>
            <w:r w:rsidR="00AB33B8" w:rsidRPr="00295637">
              <w:rPr>
                <w:rFonts w:ascii="Times New Roman" w:hAnsi="Times New Roman"/>
                <w:szCs w:val="24"/>
                <w:lang w:val="bs-Latn-BA"/>
              </w:rPr>
              <w:t xml:space="preserve"> </w:t>
            </w:r>
            <w:r>
              <w:rPr>
                <w:rFonts w:ascii="Times New Roman" w:hAnsi="Times New Roman"/>
                <w:szCs w:val="24"/>
                <w:lang w:val="bs-Latn-BA"/>
              </w:rPr>
              <w:t>министарство</w:t>
            </w:r>
            <w:r w:rsidR="00AB33B8" w:rsidRPr="00295637">
              <w:rPr>
                <w:rFonts w:ascii="Times New Roman" w:hAnsi="Times New Roman"/>
                <w:szCs w:val="24"/>
                <w:lang w:val="bs-Latn-BA"/>
              </w:rPr>
              <w:t xml:space="preserve"> </w:t>
            </w:r>
            <w:r>
              <w:rPr>
                <w:rFonts w:ascii="Times New Roman" w:hAnsi="Times New Roman"/>
                <w:szCs w:val="24"/>
                <w:lang w:val="bs-Latn-BA"/>
              </w:rPr>
              <w:t>правде</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Федерално</w:t>
            </w:r>
            <w:r w:rsidR="00AB33B8" w:rsidRPr="00295637">
              <w:rPr>
                <w:rFonts w:ascii="Times New Roman" w:hAnsi="Times New Roman"/>
                <w:szCs w:val="24"/>
                <w:lang w:val="bs-Latn-BA"/>
              </w:rPr>
              <w:t xml:space="preserve"> </w:t>
            </w:r>
            <w:r>
              <w:rPr>
                <w:rFonts w:ascii="Times New Roman" w:hAnsi="Times New Roman"/>
                <w:szCs w:val="24"/>
                <w:lang w:val="bs-Latn-BA"/>
              </w:rPr>
              <w:t>министарство</w:t>
            </w:r>
            <w:r w:rsidR="00AB33B8" w:rsidRPr="00295637">
              <w:rPr>
                <w:rFonts w:ascii="Times New Roman" w:hAnsi="Times New Roman"/>
                <w:szCs w:val="24"/>
                <w:lang w:val="bs-Latn-BA"/>
              </w:rPr>
              <w:t xml:space="preserve"> </w:t>
            </w:r>
            <w:r>
              <w:rPr>
                <w:rFonts w:ascii="Times New Roman" w:hAnsi="Times New Roman"/>
                <w:szCs w:val="24"/>
                <w:lang w:val="bs-Latn-BA"/>
              </w:rPr>
              <w:t>пољопривреде</w:t>
            </w:r>
            <w:r w:rsidR="00AB33B8" w:rsidRPr="00295637">
              <w:rPr>
                <w:rFonts w:ascii="Times New Roman" w:hAnsi="Times New Roman"/>
                <w:szCs w:val="24"/>
                <w:lang w:val="bs-Latn-BA"/>
              </w:rPr>
              <w:t xml:space="preserve">, </w:t>
            </w:r>
            <w:r>
              <w:rPr>
                <w:rFonts w:ascii="Times New Roman" w:hAnsi="Times New Roman"/>
                <w:szCs w:val="24"/>
                <w:lang w:val="bs-Latn-BA"/>
              </w:rPr>
              <w:t>водопривреде</w:t>
            </w:r>
            <w:r w:rsidR="00AB33B8" w:rsidRPr="00295637">
              <w:rPr>
                <w:rFonts w:ascii="Times New Roman" w:hAnsi="Times New Roman"/>
                <w:szCs w:val="24"/>
                <w:lang w:val="bs-Latn-BA"/>
              </w:rPr>
              <w:t xml:space="preserve"> </w:t>
            </w:r>
            <w:r>
              <w:rPr>
                <w:rFonts w:ascii="Times New Roman" w:hAnsi="Times New Roman"/>
                <w:szCs w:val="24"/>
                <w:lang w:val="bs-Latn-BA"/>
              </w:rPr>
              <w:t>и</w:t>
            </w:r>
            <w:r w:rsidR="00AB33B8" w:rsidRPr="00295637">
              <w:rPr>
                <w:rFonts w:ascii="Times New Roman" w:hAnsi="Times New Roman"/>
                <w:szCs w:val="24"/>
                <w:lang w:val="bs-Latn-BA"/>
              </w:rPr>
              <w:t xml:space="preserve"> </w:t>
            </w:r>
            <w:r>
              <w:rPr>
                <w:rFonts w:ascii="Times New Roman" w:hAnsi="Times New Roman"/>
                <w:szCs w:val="24"/>
                <w:lang w:val="bs-Latn-BA"/>
              </w:rPr>
              <w:t>шумарства</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Федерално</w:t>
            </w:r>
            <w:r w:rsidR="00AB33B8" w:rsidRPr="00295637">
              <w:rPr>
                <w:rFonts w:ascii="Times New Roman" w:hAnsi="Times New Roman"/>
                <w:szCs w:val="24"/>
                <w:lang w:val="bs-Latn-BA"/>
              </w:rPr>
              <w:t xml:space="preserve"> </w:t>
            </w:r>
            <w:r>
              <w:rPr>
                <w:rFonts w:ascii="Times New Roman" w:hAnsi="Times New Roman"/>
                <w:szCs w:val="24"/>
                <w:lang w:val="bs-Latn-BA"/>
              </w:rPr>
              <w:t>министарство</w:t>
            </w:r>
            <w:r w:rsidR="00AB33B8" w:rsidRPr="00295637">
              <w:rPr>
                <w:rFonts w:ascii="Times New Roman" w:hAnsi="Times New Roman"/>
                <w:szCs w:val="24"/>
                <w:lang w:val="bs-Latn-BA"/>
              </w:rPr>
              <w:t xml:space="preserve"> </w:t>
            </w:r>
            <w:r>
              <w:rPr>
                <w:rFonts w:ascii="Times New Roman" w:hAnsi="Times New Roman"/>
                <w:szCs w:val="24"/>
                <w:lang w:val="bs-Latn-BA"/>
              </w:rPr>
              <w:t>развоја</w:t>
            </w:r>
            <w:r w:rsidR="00AB33B8" w:rsidRPr="00295637">
              <w:rPr>
                <w:rFonts w:ascii="Times New Roman" w:hAnsi="Times New Roman"/>
                <w:szCs w:val="24"/>
                <w:lang w:val="bs-Latn-BA"/>
              </w:rPr>
              <w:t xml:space="preserve">, </w:t>
            </w:r>
            <w:r>
              <w:rPr>
                <w:rFonts w:ascii="Times New Roman" w:hAnsi="Times New Roman"/>
                <w:szCs w:val="24"/>
                <w:lang w:val="bs-Latn-BA"/>
              </w:rPr>
              <w:t>предузетништва</w:t>
            </w:r>
            <w:r w:rsidR="00AB33B8" w:rsidRPr="00295637">
              <w:rPr>
                <w:rFonts w:ascii="Times New Roman" w:hAnsi="Times New Roman"/>
                <w:szCs w:val="24"/>
                <w:lang w:val="bs-Latn-BA"/>
              </w:rPr>
              <w:t xml:space="preserve"> </w:t>
            </w:r>
            <w:r>
              <w:rPr>
                <w:rFonts w:ascii="Times New Roman" w:hAnsi="Times New Roman"/>
                <w:szCs w:val="24"/>
                <w:lang w:val="bs-Latn-BA"/>
              </w:rPr>
              <w:t>и</w:t>
            </w:r>
            <w:r w:rsidR="00AB33B8" w:rsidRPr="00295637">
              <w:rPr>
                <w:rFonts w:ascii="Times New Roman" w:hAnsi="Times New Roman"/>
                <w:szCs w:val="24"/>
                <w:lang w:val="bs-Latn-BA"/>
              </w:rPr>
              <w:t xml:space="preserve"> </w:t>
            </w:r>
            <w:r>
              <w:rPr>
                <w:rFonts w:ascii="Times New Roman" w:hAnsi="Times New Roman"/>
                <w:szCs w:val="24"/>
                <w:lang w:val="bs-Latn-BA"/>
              </w:rPr>
              <w:t>обрта</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Федерално</w:t>
            </w:r>
            <w:r w:rsidR="00AB33B8" w:rsidRPr="00295637">
              <w:rPr>
                <w:rFonts w:ascii="Times New Roman" w:hAnsi="Times New Roman"/>
                <w:szCs w:val="24"/>
                <w:lang w:val="bs-Latn-BA"/>
              </w:rPr>
              <w:t xml:space="preserve"> </w:t>
            </w:r>
            <w:r>
              <w:rPr>
                <w:rFonts w:ascii="Times New Roman" w:hAnsi="Times New Roman"/>
                <w:szCs w:val="24"/>
                <w:lang w:val="bs-Latn-BA"/>
              </w:rPr>
              <w:t>министарство</w:t>
            </w:r>
            <w:r w:rsidR="00AB33B8" w:rsidRPr="00295637">
              <w:rPr>
                <w:rFonts w:ascii="Times New Roman" w:hAnsi="Times New Roman"/>
                <w:szCs w:val="24"/>
                <w:lang w:val="bs-Latn-BA"/>
              </w:rPr>
              <w:t xml:space="preserve"> </w:t>
            </w:r>
            <w:r>
              <w:rPr>
                <w:rFonts w:ascii="Times New Roman" w:hAnsi="Times New Roman"/>
                <w:szCs w:val="24"/>
                <w:lang w:val="bs-Latn-BA"/>
              </w:rPr>
              <w:t>рада</w:t>
            </w:r>
            <w:r w:rsidR="00AB33B8" w:rsidRPr="00295637">
              <w:rPr>
                <w:rFonts w:ascii="Times New Roman" w:hAnsi="Times New Roman"/>
                <w:szCs w:val="24"/>
                <w:lang w:val="bs-Latn-BA"/>
              </w:rPr>
              <w:t xml:space="preserve"> </w:t>
            </w:r>
            <w:r>
              <w:rPr>
                <w:rFonts w:ascii="Times New Roman" w:hAnsi="Times New Roman"/>
                <w:szCs w:val="24"/>
                <w:lang w:val="bs-Latn-BA"/>
              </w:rPr>
              <w:t>и</w:t>
            </w:r>
            <w:r w:rsidR="00AB33B8" w:rsidRPr="00295637">
              <w:rPr>
                <w:rFonts w:ascii="Times New Roman" w:hAnsi="Times New Roman"/>
                <w:szCs w:val="24"/>
                <w:lang w:val="bs-Latn-BA"/>
              </w:rPr>
              <w:t xml:space="preserve"> </w:t>
            </w:r>
            <w:r>
              <w:rPr>
                <w:rFonts w:ascii="Times New Roman" w:hAnsi="Times New Roman"/>
                <w:szCs w:val="24"/>
                <w:lang w:val="bs-Latn-BA"/>
              </w:rPr>
              <w:t>социјалне</w:t>
            </w:r>
            <w:r w:rsidR="00AB33B8" w:rsidRPr="00295637">
              <w:rPr>
                <w:rFonts w:ascii="Times New Roman" w:hAnsi="Times New Roman"/>
                <w:szCs w:val="24"/>
                <w:lang w:val="bs-Latn-BA"/>
              </w:rPr>
              <w:t xml:space="preserve"> </w:t>
            </w:r>
            <w:r>
              <w:rPr>
                <w:rFonts w:ascii="Times New Roman" w:hAnsi="Times New Roman"/>
                <w:szCs w:val="24"/>
                <w:lang w:val="bs-Latn-BA"/>
              </w:rPr>
              <w:t>политике</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Федерално</w:t>
            </w:r>
            <w:r w:rsidR="00AB33B8" w:rsidRPr="00295637">
              <w:rPr>
                <w:rFonts w:ascii="Times New Roman" w:hAnsi="Times New Roman"/>
                <w:szCs w:val="24"/>
                <w:lang w:val="bs-Latn-BA"/>
              </w:rPr>
              <w:t xml:space="preserve"> </w:t>
            </w:r>
            <w:r>
              <w:rPr>
                <w:rFonts w:ascii="Times New Roman" w:hAnsi="Times New Roman"/>
                <w:szCs w:val="24"/>
                <w:lang w:val="bs-Latn-BA"/>
              </w:rPr>
              <w:t>министарство</w:t>
            </w:r>
            <w:r w:rsidR="00AB33B8" w:rsidRPr="00295637">
              <w:rPr>
                <w:rFonts w:ascii="Times New Roman" w:hAnsi="Times New Roman"/>
                <w:szCs w:val="24"/>
                <w:lang w:val="bs-Latn-BA"/>
              </w:rPr>
              <w:t xml:space="preserve"> </w:t>
            </w:r>
            <w:r>
              <w:rPr>
                <w:rFonts w:ascii="Times New Roman" w:hAnsi="Times New Roman"/>
                <w:szCs w:val="24"/>
                <w:lang w:val="bs-Latn-BA"/>
              </w:rPr>
              <w:t>унутрашњих</w:t>
            </w:r>
            <w:r w:rsidR="00AB33B8" w:rsidRPr="00295637">
              <w:rPr>
                <w:rFonts w:ascii="Times New Roman" w:hAnsi="Times New Roman"/>
                <w:szCs w:val="24"/>
                <w:lang w:val="bs-Latn-BA"/>
              </w:rPr>
              <w:t xml:space="preserve"> </w:t>
            </w:r>
            <w:r>
              <w:rPr>
                <w:rFonts w:ascii="Times New Roman" w:hAnsi="Times New Roman"/>
                <w:szCs w:val="24"/>
                <w:lang w:val="bs-Latn-BA"/>
              </w:rPr>
              <w:t>послова</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Федерално</w:t>
            </w:r>
            <w:r w:rsidR="00AB33B8" w:rsidRPr="00295637">
              <w:rPr>
                <w:rFonts w:ascii="Times New Roman" w:hAnsi="Times New Roman"/>
                <w:szCs w:val="24"/>
                <w:lang w:val="bs-Latn-BA"/>
              </w:rPr>
              <w:t xml:space="preserve"> </w:t>
            </w:r>
            <w:r>
              <w:rPr>
                <w:rFonts w:ascii="Times New Roman" w:hAnsi="Times New Roman"/>
                <w:szCs w:val="24"/>
                <w:lang w:val="bs-Latn-BA"/>
              </w:rPr>
              <w:t>министарство</w:t>
            </w:r>
            <w:r w:rsidR="00AB33B8" w:rsidRPr="00295637">
              <w:rPr>
                <w:rFonts w:ascii="Times New Roman" w:hAnsi="Times New Roman"/>
                <w:szCs w:val="24"/>
                <w:lang w:val="bs-Latn-BA"/>
              </w:rPr>
              <w:t xml:space="preserve"> </w:t>
            </w:r>
            <w:r>
              <w:rPr>
                <w:rFonts w:ascii="Times New Roman" w:hAnsi="Times New Roman"/>
                <w:szCs w:val="24"/>
                <w:lang w:val="bs-Latn-BA"/>
              </w:rPr>
              <w:t>здравства</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Федерални</w:t>
            </w:r>
            <w:r w:rsidR="00AB33B8" w:rsidRPr="00295637">
              <w:rPr>
                <w:rFonts w:ascii="Times New Roman" w:hAnsi="Times New Roman"/>
                <w:szCs w:val="24"/>
                <w:lang w:val="bs-Latn-BA"/>
              </w:rPr>
              <w:t xml:space="preserve"> </w:t>
            </w:r>
            <w:r>
              <w:rPr>
                <w:rFonts w:ascii="Times New Roman" w:hAnsi="Times New Roman"/>
                <w:szCs w:val="24"/>
                <w:lang w:val="bs-Latn-BA"/>
              </w:rPr>
              <w:t>завод</w:t>
            </w:r>
            <w:r w:rsidR="00AB33B8" w:rsidRPr="00295637">
              <w:rPr>
                <w:rFonts w:ascii="Times New Roman" w:hAnsi="Times New Roman"/>
                <w:szCs w:val="24"/>
                <w:lang w:val="bs-Latn-BA"/>
              </w:rPr>
              <w:t xml:space="preserve"> </w:t>
            </w:r>
            <w:r>
              <w:rPr>
                <w:rFonts w:ascii="Times New Roman" w:hAnsi="Times New Roman"/>
                <w:szCs w:val="24"/>
                <w:lang w:val="bs-Latn-BA"/>
              </w:rPr>
              <w:t>за</w:t>
            </w:r>
            <w:r w:rsidR="00AB33B8" w:rsidRPr="00295637">
              <w:rPr>
                <w:rFonts w:ascii="Times New Roman" w:hAnsi="Times New Roman"/>
                <w:szCs w:val="24"/>
                <w:lang w:val="bs-Latn-BA"/>
              </w:rPr>
              <w:t xml:space="preserve"> </w:t>
            </w:r>
            <w:r>
              <w:rPr>
                <w:rFonts w:ascii="Times New Roman" w:hAnsi="Times New Roman"/>
                <w:szCs w:val="24"/>
                <w:lang w:val="bs-Latn-BA"/>
              </w:rPr>
              <w:t>статистику</w:t>
            </w:r>
          </w:p>
          <w:p w:rsidR="00AB33B8" w:rsidRPr="00295637" w:rsidRDefault="00C6214E" w:rsidP="0086268D">
            <w:pPr>
              <w:jc w:val="both"/>
              <w:rPr>
                <w:rFonts w:ascii="Times New Roman" w:hAnsi="Times New Roman"/>
                <w:szCs w:val="24"/>
                <w:lang w:val="bs-Latn-BA"/>
              </w:rPr>
            </w:pPr>
            <w:r>
              <w:rPr>
                <w:rFonts w:ascii="Times New Roman" w:hAnsi="Times New Roman"/>
                <w:szCs w:val="24"/>
                <w:lang w:val="bs-Latn-BA"/>
              </w:rPr>
              <w:t>Федерални</w:t>
            </w:r>
            <w:r w:rsidR="00AB33B8" w:rsidRPr="00295637">
              <w:rPr>
                <w:rFonts w:ascii="Times New Roman" w:hAnsi="Times New Roman"/>
                <w:szCs w:val="24"/>
                <w:lang w:val="bs-Latn-BA"/>
              </w:rPr>
              <w:t xml:space="preserve"> </w:t>
            </w:r>
            <w:r>
              <w:rPr>
                <w:rFonts w:ascii="Times New Roman" w:hAnsi="Times New Roman"/>
                <w:szCs w:val="24"/>
                <w:lang w:val="bs-Latn-BA"/>
              </w:rPr>
              <w:t>завод</w:t>
            </w:r>
            <w:r w:rsidR="00AB33B8" w:rsidRPr="00295637">
              <w:rPr>
                <w:rFonts w:ascii="Times New Roman" w:hAnsi="Times New Roman"/>
                <w:szCs w:val="24"/>
                <w:lang w:val="bs-Latn-BA"/>
              </w:rPr>
              <w:t xml:space="preserve"> </w:t>
            </w:r>
            <w:r>
              <w:rPr>
                <w:rFonts w:ascii="Times New Roman" w:hAnsi="Times New Roman"/>
                <w:szCs w:val="24"/>
                <w:lang w:val="bs-Latn-BA"/>
              </w:rPr>
              <w:t>за</w:t>
            </w:r>
            <w:r w:rsidR="00AB33B8" w:rsidRPr="00295637">
              <w:rPr>
                <w:rFonts w:ascii="Times New Roman" w:hAnsi="Times New Roman"/>
                <w:szCs w:val="24"/>
                <w:lang w:val="bs-Latn-BA"/>
              </w:rPr>
              <w:t xml:space="preserve"> </w:t>
            </w:r>
            <w:r>
              <w:rPr>
                <w:rFonts w:ascii="Times New Roman" w:hAnsi="Times New Roman"/>
                <w:szCs w:val="24"/>
                <w:lang w:val="bs-Latn-BA"/>
              </w:rPr>
              <w:t>запошљавање</w:t>
            </w:r>
          </w:p>
          <w:p w:rsidR="00AB33B8" w:rsidRPr="00295637" w:rsidRDefault="00C6214E" w:rsidP="0086268D">
            <w:pPr>
              <w:rPr>
                <w:rFonts w:ascii="Times New Roman" w:hAnsi="Times New Roman"/>
                <w:szCs w:val="24"/>
              </w:rPr>
            </w:pPr>
            <w:r>
              <w:rPr>
                <w:rFonts w:ascii="Times New Roman" w:hAnsi="Times New Roman"/>
                <w:szCs w:val="24"/>
                <w:lang w:val="bs-Latn-BA"/>
              </w:rPr>
              <w:t>Завод</w:t>
            </w:r>
            <w:r w:rsidR="003D15A6">
              <w:rPr>
                <w:rFonts w:ascii="Times New Roman" w:hAnsi="Times New Roman"/>
                <w:szCs w:val="24"/>
                <w:lang w:val="bs-Latn-BA"/>
              </w:rPr>
              <w:t xml:space="preserve"> </w:t>
            </w:r>
            <w:r>
              <w:rPr>
                <w:rFonts w:ascii="Times New Roman" w:hAnsi="Times New Roman"/>
                <w:szCs w:val="24"/>
                <w:lang w:val="bs-Latn-BA"/>
              </w:rPr>
              <w:t>за</w:t>
            </w:r>
            <w:r w:rsidR="003D15A6">
              <w:rPr>
                <w:rFonts w:ascii="Times New Roman" w:hAnsi="Times New Roman"/>
                <w:szCs w:val="24"/>
                <w:lang w:val="bs-Latn-BA"/>
              </w:rPr>
              <w:t xml:space="preserve"> </w:t>
            </w:r>
            <w:r>
              <w:rPr>
                <w:rFonts w:ascii="Times New Roman" w:hAnsi="Times New Roman"/>
                <w:szCs w:val="24"/>
                <w:lang w:val="bs-Latn-BA"/>
              </w:rPr>
              <w:t>јавно</w:t>
            </w:r>
            <w:r w:rsidR="003D15A6">
              <w:rPr>
                <w:rFonts w:ascii="Times New Roman" w:hAnsi="Times New Roman"/>
                <w:szCs w:val="24"/>
                <w:lang w:val="bs-Latn-BA"/>
              </w:rPr>
              <w:t xml:space="preserve"> </w:t>
            </w:r>
            <w:r>
              <w:rPr>
                <w:rFonts w:ascii="Times New Roman" w:hAnsi="Times New Roman"/>
                <w:szCs w:val="24"/>
                <w:lang w:val="bs-Latn-BA"/>
              </w:rPr>
              <w:t>здравство</w:t>
            </w:r>
            <w:r w:rsidR="003D15A6">
              <w:rPr>
                <w:rFonts w:ascii="Times New Roman" w:hAnsi="Times New Roman"/>
                <w:szCs w:val="24"/>
                <w:lang w:val="bs-Latn-BA"/>
              </w:rPr>
              <w:t xml:space="preserve"> </w:t>
            </w:r>
            <w:r>
              <w:rPr>
                <w:rFonts w:ascii="Times New Roman" w:hAnsi="Times New Roman"/>
                <w:szCs w:val="24"/>
                <w:lang w:val="bs-Latn-BA"/>
              </w:rPr>
              <w:t>ФБиХ</w:t>
            </w:r>
            <w:r w:rsidR="00AB33B8" w:rsidRPr="00295637">
              <w:rPr>
                <w:rFonts w:ascii="Times New Roman" w:hAnsi="Times New Roman"/>
                <w:szCs w:val="24"/>
                <w:lang w:val="bs-Latn-BA"/>
              </w:rPr>
              <w:t xml:space="preserve"> </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ГАП</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r w:rsidR="00AB33B8" w:rsidRPr="00295637">
              <w:rPr>
                <w:rFonts w:ascii="Times New Roman" w:hAnsi="Times New Roman"/>
                <w:szCs w:val="24"/>
              </w:rPr>
              <w:tab/>
            </w:r>
            <w:r w:rsidR="00AB33B8" w:rsidRPr="00295637">
              <w:rPr>
                <w:rFonts w:ascii="Times New Roman" w:hAnsi="Times New Roman"/>
                <w:szCs w:val="24"/>
              </w:rPr>
              <w:tab/>
            </w:r>
          </w:p>
        </w:tc>
        <w:tc>
          <w:tcPr>
            <w:tcW w:w="8100" w:type="dxa"/>
          </w:tcPr>
          <w:p w:rsidR="00AB33B8" w:rsidRPr="00295637" w:rsidRDefault="00C6214E" w:rsidP="003D15A6">
            <w:pPr>
              <w:rPr>
                <w:rFonts w:ascii="Times New Roman" w:hAnsi="Times New Roman"/>
                <w:szCs w:val="24"/>
              </w:rPr>
            </w:pPr>
            <w:r>
              <w:rPr>
                <w:rFonts w:ascii="Times New Roman" w:hAnsi="Times New Roman"/>
                <w:szCs w:val="24"/>
              </w:rPr>
              <w:t>Гендер</w:t>
            </w:r>
            <w:r w:rsidR="00AB33B8" w:rsidRPr="00295637">
              <w:rPr>
                <w:rFonts w:ascii="Times New Roman" w:hAnsi="Times New Roman"/>
                <w:szCs w:val="24"/>
              </w:rPr>
              <w:t xml:space="preserve"> </w:t>
            </w:r>
            <w:r>
              <w:rPr>
                <w:rFonts w:ascii="Times New Roman" w:hAnsi="Times New Roman"/>
                <w:szCs w:val="24"/>
              </w:rPr>
              <w:t>акциони</w:t>
            </w:r>
            <w:r w:rsidR="00AB33B8" w:rsidRPr="00295637">
              <w:rPr>
                <w:rFonts w:ascii="Times New Roman" w:hAnsi="Times New Roman"/>
                <w:szCs w:val="24"/>
              </w:rPr>
              <w:t xml:space="preserve"> </w:t>
            </w:r>
            <w:r>
              <w:rPr>
                <w:rFonts w:ascii="Times New Roman" w:hAnsi="Times New Roman"/>
                <w:szCs w:val="24"/>
              </w:rPr>
              <w:t>план</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r w:rsidR="00AB33B8" w:rsidRPr="00295637">
              <w:rPr>
                <w:rFonts w:ascii="Times New Roman" w:hAnsi="Times New Roman"/>
                <w:szCs w:val="24"/>
              </w:rPr>
              <w:t xml:space="preserve"> </w:t>
            </w:r>
          </w:p>
        </w:tc>
      </w:tr>
      <w:tr w:rsidR="00AB33B8" w:rsidRPr="00295637" w:rsidTr="00365441">
        <w:tc>
          <w:tcPr>
            <w:tcW w:w="2628" w:type="dxa"/>
          </w:tcPr>
          <w:p w:rsidR="00113A80" w:rsidRDefault="00113A80" w:rsidP="0086268D">
            <w:pPr>
              <w:rPr>
                <w:rFonts w:ascii="Times New Roman" w:hAnsi="Times New Roman"/>
                <w:szCs w:val="24"/>
                <w:lang w:val="sr-Cyrl-BA"/>
              </w:rPr>
            </w:pPr>
            <w:r w:rsidRPr="00113A80">
              <w:rPr>
                <w:rFonts w:ascii="Times New Roman" w:hAnsi="Times New Roman"/>
                <w:i/>
                <w:szCs w:val="24"/>
              </w:rPr>
              <w:t>GEC</w:t>
            </w:r>
            <w:r w:rsidRPr="00113A80">
              <w:rPr>
                <w:rFonts w:ascii="Times New Roman" w:hAnsi="Times New Roman"/>
                <w:szCs w:val="24"/>
              </w:rPr>
              <w:t xml:space="preserve"> </w:t>
            </w:r>
          </w:p>
          <w:p w:rsidR="00AB33B8" w:rsidRPr="00113A80" w:rsidRDefault="00113A80" w:rsidP="0086268D">
            <w:pPr>
              <w:rPr>
                <w:rFonts w:ascii="Times New Roman" w:hAnsi="Times New Roman"/>
                <w:i/>
                <w:szCs w:val="24"/>
                <w:lang w:val="sr-Cyrl-BA"/>
              </w:rPr>
            </w:pPr>
            <w:r w:rsidRPr="00113A80">
              <w:rPr>
                <w:rFonts w:ascii="Times New Roman" w:hAnsi="Times New Roman"/>
                <w:i/>
                <w:szCs w:val="24"/>
              </w:rPr>
              <w:t>GFP</w:t>
            </w:r>
          </w:p>
          <w:p w:rsidR="00F51978" w:rsidRPr="00F51978" w:rsidRDefault="00F51978" w:rsidP="0086268D">
            <w:pPr>
              <w:rPr>
                <w:rFonts w:ascii="Times New Roman" w:hAnsi="Times New Roman"/>
                <w:szCs w:val="24"/>
                <w:lang w:val="bs-Cyrl-BA"/>
              </w:rPr>
            </w:pPr>
            <w:r>
              <w:rPr>
                <w:rFonts w:ascii="Times New Roman" w:hAnsi="Times New Roman"/>
                <w:szCs w:val="24"/>
                <w:lang w:val="bs-Cyrl-BA"/>
              </w:rPr>
              <w:t>ГЦ ФБИХ</w:t>
            </w:r>
          </w:p>
          <w:p w:rsidR="00AB33B8" w:rsidRPr="00295637" w:rsidRDefault="00C6214E" w:rsidP="0086268D">
            <w:pPr>
              <w:rPr>
                <w:rFonts w:ascii="Times New Roman" w:hAnsi="Times New Roman"/>
                <w:szCs w:val="24"/>
              </w:rPr>
            </w:pPr>
            <w:r>
              <w:rPr>
                <w:rFonts w:ascii="Times New Roman" w:hAnsi="Times New Roman"/>
                <w:szCs w:val="24"/>
              </w:rPr>
              <w:t>ГРЕВИО</w:t>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Комисија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равноправност</w:t>
            </w:r>
            <w:r w:rsidR="00AB33B8" w:rsidRPr="00295637">
              <w:rPr>
                <w:rFonts w:ascii="Times New Roman" w:hAnsi="Times New Roman"/>
                <w:szCs w:val="24"/>
              </w:rPr>
              <w:t xml:space="preserve"> </w:t>
            </w:r>
            <w:r>
              <w:rPr>
                <w:rFonts w:ascii="Times New Roman" w:hAnsi="Times New Roman"/>
                <w:szCs w:val="24"/>
              </w:rPr>
              <w:t>полова</w:t>
            </w:r>
            <w:r w:rsidR="00AB33B8" w:rsidRPr="00295637">
              <w:rPr>
                <w:rFonts w:ascii="Times New Roman" w:hAnsi="Times New Roman"/>
                <w:szCs w:val="24"/>
              </w:rPr>
              <w:t xml:space="preserve"> </w:t>
            </w:r>
            <w:r w:rsidR="00113A80">
              <w:rPr>
                <w:rFonts w:ascii="Times New Roman" w:hAnsi="Times New Roman"/>
                <w:szCs w:val="24"/>
                <w:lang w:val="sr-Cyrl-BA"/>
              </w:rPr>
              <w:t>Савјета</w:t>
            </w:r>
            <w:r w:rsidR="00AB33B8" w:rsidRPr="00295637">
              <w:rPr>
                <w:rFonts w:ascii="Times New Roman" w:hAnsi="Times New Roman"/>
                <w:szCs w:val="24"/>
              </w:rPr>
              <w:t xml:space="preserve"> </w:t>
            </w:r>
            <w:r>
              <w:rPr>
                <w:rFonts w:ascii="Times New Roman" w:hAnsi="Times New Roman"/>
                <w:szCs w:val="24"/>
              </w:rPr>
              <w:t>Европе</w:t>
            </w:r>
          </w:p>
          <w:p w:rsidR="00AB33B8" w:rsidRPr="00703D68" w:rsidRDefault="00113A80" w:rsidP="0086268D">
            <w:pPr>
              <w:rPr>
                <w:rFonts w:ascii="Times New Roman" w:hAnsi="Times New Roman"/>
                <w:szCs w:val="24"/>
              </w:rPr>
            </w:pPr>
            <w:r w:rsidRPr="00113A80">
              <w:rPr>
                <w:rFonts w:ascii="Times New Roman" w:hAnsi="Times New Roman"/>
                <w:i/>
                <w:szCs w:val="24"/>
              </w:rPr>
              <w:t xml:space="preserve">Gender focal point </w:t>
            </w:r>
            <w:r w:rsidR="00703D68">
              <w:rPr>
                <w:rFonts w:ascii="Times New Roman" w:hAnsi="Times New Roman"/>
                <w:i/>
                <w:szCs w:val="24"/>
              </w:rPr>
              <w:t xml:space="preserve">– </w:t>
            </w:r>
            <w:r w:rsidR="00C6214E">
              <w:rPr>
                <w:rFonts w:ascii="Times New Roman" w:hAnsi="Times New Roman"/>
                <w:szCs w:val="24"/>
              </w:rPr>
              <w:t>контакт</w:t>
            </w:r>
            <w:r w:rsidR="006C4FE1">
              <w:rPr>
                <w:rFonts w:ascii="Times New Roman" w:hAnsi="Times New Roman"/>
                <w:szCs w:val="24"/>
              </w:rPr>
              <w:t xml:space="preserve"> </w:t>
            </w:r>
            <w:r w:rsidR="00C6214E">
              <w:rPr>
                <w:rFonts w:ascii="Times New Roman" w:hAnsi="Times New Roman"/>
                <w:szCs w:val="24"/>
              </w:rPr>
              <w:t>лице</w:t>
            </w:r>
            <w:r w:rsidR="00703D68">
              <w:rPr>
                <w:rFonts w:ascii="Times New Roman" w:hAnsi="Times New Roman"/>
                <w:szCs w:val="24"/>
              </w:rPr>
              <w:t xml:space="preserve"> </w:t>
            </w:r>
            <w:r w:rsidR="00C6214E">
              <w:rPr>
                <w:rFonts w:ascii="Times New Roman" w:hAnsi="Times New Roman"/>
                <w:szCs w:val="24"/>
              </w:rPr>
              <w:t>за</w:t>
            </w:r>
            <w:r w:rsidR="00703D68">
              <w:rPr>
                <w:rFonts w:ascii="Times New Roman" w:hAnsi="Times New Roman"/>
                <w:szCs w:val="24"/>
              </w:rPr>
              <w:t xml:space="preserve"> </w:t>
            </w:r>
            <w:r w:rsidR="00C6214E">
              <w:rPr>
                <w:rFonts w:ascii="Times New Roman" w:hAnsi="Times New Roman"/>
                <w:szCs w:val="24"/>
              </w:rPr>
              <w:t>равноправност</w:t>
            </w:r>
            <w:r w:rsidR="00703D68">
              <w:rPr>
                <w:rFonts w:ascii="Times New Roman" w:hAnsi="Times New Roman"/>
                <w:szCs w:val="24"/>
              </w:rPr>
              <w:t xml:space="preserve"> </w:t>
            </w:r>
            <w:r w:rsidR="00C6214E">
              <w:rPr>
                <w:rFonts w:ascii="Times New Roman" w:hAnsi="Times New Roman"/>
                <w:szCs w:val="24"/>
              </w:rPr>
              <w:t>полова</w:t>
            </w:r>
          </w:p>
          <w:p w:rsidR="00F51978" w:rsidRPr="00F51978" w:rsidRDefault="00F51978" w:rsidP="0086268D">
            <w:pPr>
              <w:rPr>
                <w:rFonts w:ascii="Times New Roman" w:eastAsiaTheme="minorEastAsia" w:hAnsi="Times New Roman"/>
                <w:szCs w:val="24"/>
                <w:lang w:val="bs-Cyrl-BA"/>
              </w:rPr>
            </w:pPr>
            <w:r>
              <w:rPr>
                <w:rFonts w:ascii="Times New Roman" w:eastAsiaTheme="minorEastAsia" w:hAnsi="Times New Roman"/>
                <w:szCs w:val="24"/>
                <w:lang w:val="bs-Cyrl-BA"/>
              </w:rPr>
              <w:t>Гендер центар Владе ФБиХ</w:t>
            </w:r>
          </w:p>
          <w:p w:rsidR="002A6D3D" w:rsidRDefault="00C6214E" w:rsidP="0086268D">
            <w:pPr>
              <w:rPr>
                <w:rFonts w:ascii="Times New Roman" w:eastAsiaTheme="minorEastAsia" w:hAnsi="Times New Roman"/>
                <w:szCs w:val="24"/>
                <w:lang w:val="bs-Latn-BA"/>
              </w:rPr>
            </w:pPr>
            <w:r>
              <w:rPr>
                <w:rFonts w:ascii="Times New Roman" w:eastAsiaTheme="minorEastAsia" w:hAnsi="Times New Roman"/>
                <w:szCs w:val="24"/>
                <w:lang w:val="bs-Latn-BA"/>
              </w:rPr>
              <w:t>Група</w:t>
            </w:r>
            <w:r w:rsidR="00AB33B8"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експерата</w:t>
            </w:r>
            <w:r w:rsidR="00AB33B8"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AB33B8"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дјеловање</w:t>
            </w:r>
            <w:r w:rsidR="002A6D3D">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против</w:t>
            </w:r>
            <w:r w:rsidR="002A6D3D">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2A6D3D">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над</w:t>
            </w:r>
            <w:r w:rsidR="002A6D3D">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женама</w:t>
            </w:r>
          </w:p>
          <w:p w:rsidR="00AB33B8" w:rsidRPr="00295637" w:rsidRDefault="00C6214E" w:rsidP="00113A80">
            <w:pPr>
              <w:rPr>
                <w:rFonts w:ascii="Times New Roman" w:hAnsi="Times New Roman"/>
                <w:szCs w:val="24"/>
              </w:rPr>
            </w:pPr>
            <w:r>
              <w:rPr>
                <w:rFonts w:ascii="Times New Roman" w:eastAsiaTheme="minorEastAsia" w:hAnsi="Times New Roman"/>
                <w:szCs w:val="24"/>
                <w:lang w:val="bs-Latn-BA"/>
              </w:rPr>
              <w:t>и</w:t>
            </w:r>
            <w:r w:rsidR="00AB33B8"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AB33B8"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AB33B8"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породици</w:t>
            </w:r>
            <w:r w:rsidR="00AB33B8" w:rsidRPr="00295637">
              <w:rPr>
                <w:rFonts w:ascii="Times New Roman" w:eastAsiaTheme="minorEastAsia" w:hAnsi="Times New Roman"/>
                <w:szCs w:val="24"/>
                <w:lang w:val="bs-Latn-BA"/>
              </w:rPr>
              <w:t xml:space="preserve"> </w:t>
            </w:r>
            <w:r w:rsidR="00113A80">
              <w:rPr>
                <w:rFonts w:ascii="Times New Roman" w:eastAsiaTheme="minorEastAsia" w:hAnsi="Times New Roman"/>
                <w:szCs w:val="24"/>
                <w:lang w:val="sr-Cyrl-BA"/>
              </w:rPr>
              <w:t>С</w:t>
            </w:r>
            <w:r>
              <w:rPr>
                <w:rFonts w:ascii="Times New Roman" w:eastAsiaTheme="minorEastAsia" w:hAnsi="Times New Roman"/>
                <w:szCs w:val="24"/>
                <w:lang w:val="bs-Latn-BA"/>
              </w:rPr>
              <w:t>Е</w:t>
            </w:r>
          </w:p>
        </w:tc>
      </w:tr>
      <w:tr w:rsidR="00AB33B8" w:rsidRPr="00295637" w:rsidTr="00365441">
        <w:tc>
          <w:tcPr>
            <w:tcW w:w="2628" w:type="dxa"/>
          </w:tcPr>
          <w:p w:rsidR="00AB33B8" w:rsidRPr="00113A80" w:rsidRDefault="00113A80" w:rsidP="0086268D">
            <w:pPr>
              <w:rPr>
                <w:rFonts w:ascii="Times New Roman" w:hAnsi="Times New Roman"/>
                <w:i/>
                <w:szCs w:val="24"/>
              </w:rPr>
            </w:pPr>
            <w:r w:rsidRPr="00113A80">
              <w:rPr>
                <w:rFonts w:ascii="Times New Roman" w:hAnsi="Times New Roman"/>
                <w:i/>
                <w:szCs w:val="24"/>
              </w:rPr>
              <w:t>IOM</w:t>
            </w:r>
            <w:r w:rsidR="00AB33B8" w:rsidRPr="00113A80">
              <w:rPr>
                <w:rFonts w:ascii="Times New Roman" w:hAnsi="Times New Roman"/>
                <w:i/>
                <w:szCs w:val="24"/>
              </w:rPr>
              <w:t xml:space="preserve"> </w:t>
            </w:r>
          </w:p>
          <w:p w:rsidR="00AB33B8" w:rsidRPr="00295637" w:rsidRDefault="00C6214E" w:rsidP="00113A80">
            <w:pPr>
              <w:rPr>
                <w:rFonts w:ascii="Times New Roman" w:hAnsi="Times New Roman"/>
                <w:szCs w:val="24"/>
              </w:rPr>
            </w:pPr>
            <w:r>
              <w:rPr>
                <w:rFonts w:ascii="Times New Roman" w:hAnsi="Times New Roman"/>
                <w:szCs w:val="24"/>
              </w:rPr>
              <w:t>ИМР</w:t>
            </w:r>
            <w:r w:rsidR="00113A80">
              <w:rPr>
                <w:rFonts w:ascii="Times New Roman" w:hAnsi="Times New Roman"/>
                <w:szCs w:val="24"/>
                <w:lang w:val="sr-Cyrl-BA"/>
              </w:rPr>
              <w:t>П</w:t>
            </w:r>
            <w:r w:rsidR="00AB33B8" w:rsidRPr="00295637">
              <w:rPr>
                <w:rFonts w:ascii="Times New Roman" w:hAnsi="Times New Roman"/>
                <w:szCs w:val="24"/>
              </w:rPr>
              <w:tab/>
            </w:r>
            <w:r w:rsidR="00AB33B8" w:rsidRPr="00295637">
              <w:rPr>
                <w:rFonts w:ascii="Times New Roman" w:hAnsi="Times New Roman"/>
                <w:szCs w:val="24"/>
              </w:rPr>
              <w:tab/>
            </w:r>
            <w:r w:rsidR="00AB33B8" w:rsidRPr="00295637">
              <w:rPr>
                <w:rFonts w:ascii="Times New Roman" w:hAnsi="Times New Roman"/>
                <w:szCs w:val="24"/>
              </w:rPr>
              <w:tab/>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Међународна</w:t>
            </w:r>
            <w:r w:rsidR="00AB33B8" w:rsidRPr="00295637">
              <w:rPr>
                <w:rFonts w:ascii="Times New Roman" w:hAnsi="Times New Roman"/>
                <w:szCs w:val="24"/>
              </w:rPr>
              <w:t xml:space="preserve"> </w:t>
            </w:r>
            <w:r>
              <w:rPr>
                <w:rFonts w:ascii="Times New Roman" w:hAnsi="Times New Roman"/>
                <w:szCs w:val="24"/>
              </w:rPr>
              <w:t>организација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миграције</w:t>
            </w:r>
          </w:p>
          <w:p w:rsidR="00AB33B8" w:rsidRPr="00295637" w:rsidRDefault="00C6214E" w:rsidP="0086268D">
            <w:pPr>
              <w:rPr>
                <w:rFonts w:ascii="Times New Roman" w:hAnsi="Times New Roman"/>
                <w:szCs w:val="24"/>
              </w:rPr>
            </w:pPr>
            <w:r>
              <w:rPr>
                <w:rFonts w:ascii="Times New Roman" w:hAnsi="Times New Roman"/>
                <w:szCs w:val="24"/>
              </w:rPr>
              <w:t>Институционални</w:t>
            </w:r>
            <w:r w:rsidR="00AB33B8" w:rsidRPr="00295637">
              <w:rPr>
                <w:rFonts w:ascii="Times New Roman" w:hAnsi="Times New Roman"/>
                <w:szCs w:val="24"/>
              </w:rPr>
              <w:t xml:space="preserve"> </w:t>
            </w:r>
            <w:r>
              <w:rPr>
                <w:rFonts w:ascii="Times New Roman" w:hAnsi="Times New Roman"/>
                <w:szCs w:val="24"/>
              </w:rPr>
              <w:t>механизми</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равноправност</w:t>
            </w:r>
            <w:r w:rsidR="00AB33B8" w:rsidRPr="00295637">
              <w:rPr>
                <w:rFonts w:ascii="Times New Roman" w:hAnsi="Times New Roman"/>
                <w:szCs w:val="24"/>
              </w:rPr>
              <w:t xml:space="preserve"> </w:t>
            </w:r>
            <w:r>
              <w:rPr>
                <w:rFonts w:ascii="Times New Roman" w:hAnsi="Times New Roman"/>
                <w:szCs w:val="24"/>
              </w:rPr>
              <w:t>полова</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ЈЛС</w:t>
            </w:r>
          </w:p>
          <w:p w:rsidR="00AB33B8" w:rsidRPr="00295637" w:rsidRDefault="00C6214E" w:rsidP="0086268D">
            <w:pPr>
              <w:rPr>
                <w:rFonts w:ascii="Times New Roman" w:hAnsi="Times New Roman"/>
                <w:szCs w:val="24"/>
              </w:rPr>
            </w:pPr>
            <w:r>
              <w:rPr>
                <w:rFonts w:ascii="Times New Roman" w:hAnsi="Times New Roman"/>
                <w:szCs w:val="24"/>
              </w:rPr>
              <w:t>КО</w:t>
            </w:r>
            <w:r w:rsidR="00AB33B8" w:rsidRPr="00295637">
              <w:rPr>
                <w:rFonts w:ascii="Times New Roman" w:hAnsi="Times New Roman"/>
                <w:szCs w:val="24"/>
              </w:rPr>
              <w:t xml:space="preserve"> </w:t>
            </w:r>
            <w:r w:rsidR="00AB33B8" w:rsidRPr="00295637">
              <w:rPr>
                <w:rFonts w:ascii="Times New Roman" w:hAnsi="Times New Roman"/>
                <w:szCs w:val="24"/>
              </w:rPr>
              <w:tab/>
            </w:r>
            <w:r w:rsidR="00AB33B8" w:rsidRPr="00295637">
              <w:rPr>
                <w:rFonts w:ascii="Times New Roman" w:hAnsi="Times New Roman"/>
                <w:szCs w:val="24"/>
              </w:rPr>
              <w:tab/>
            </w:r>
          </w:p>
          <w:p w:rsidR="00D026E7" w:rsidRPr="00295637" w:rsidRDefault="00C6214E" w:rsidP="0086268D">
            <w:pPr>
              <w:rPr>
                <w:rFonts w:ascii="Times New Roman" w:hAnsi="Times New Roman"/>
                <w:szCs w:val="24"/>
              </w:rPr>
            </w:pPr>
            <w:r>
              <w:rPr>
                <w:rFonts w:ascii="Times New Roman" w:hAnsi="Times New Roman"/>
                <w:szCs w:val="24"/>
              </w:rPr>
              <w:t>КС</w:t>
            </w:r>
          </w:p>
          <w:p w:rsidR="00AB33B8" w:rsidRPr="00113A80" w:rsidRDefault="00C6214E" w:rsidP="00113A80">
            <w:pPr>
              <w:rPr>
                <w:rFonts w:ascii="Times New Roman" w:hAnsi="Times New Roman"/>
                <w:szCs w:val="24"/>
                <w:lang w:val="sr-Cyrl-BA"/>
              </w:rPr>
            </w:pPr>
            <w:r>
              <w:rPr>
                <w:rFonts w:ascii="Times New Roman" w:hAnsi="Times New Roman"/>
                <w:szCs w:val="24"/>
              </w:rPr>
              <w:t>КОР</w:t>
            </w:r>
            <w:r w:rsidR="00113A80">
              <w:rPr>
                <w:rFonts w:ascii="Times New Roman" w:hAnsi="Times New Roman"/>
                <w:szCs w:val="24"/>
                <w:lang w:val="sr-Cyrl-BA"/>
              </w:rPr>
              <w:t>П</w:t>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Јединица</w:t>
            </w:r>
            <w:r w:rsidR="00AB33B8" w:rsidRPr="00295637">
              <w:rPr>
                <w:rFonts w:ascii="Times New Roman" w:hAnsi="Times New Roman"/>
                <w:szCs w:val="24"/>
              </w:rPr>
              <w:t xml:space="preserve"> </w:t>
            </w:r>
            <w:r>
              <w:rPr>
                <w:rFonts w:ascii="Times New Roman" w:hAnsi="Times New Roman"/>
                <w:szCs w:val="24"/>
              </w:rPr>
              <w:t>локалне</w:t>
            </w:r>
            <w:r w:rsidR="00AB33B8" w:rsidRPr="00295637">
              <w:rPr>
                <w:rFonts w:ascii="Times New Roman" w:hAnsi="Times New Roman"/>
                <w:szCs w:val="24"/>
              </w:rPr>
              <w:t xml:space="preserve"> </w:t>
            </w:r>
            <w:r>
              <w:rPr>
                <w:rFonts w:ascii="Times New Roman" w:hAnsi="Times New Roman"/>
                <w:szCs w:val="24"/>
              </w:rPr>
              <w:t>самоуправе</w:t>
            </w:r>
          </w:p>
          <w:p w:rsidR="00AB33B8" w:rsidRPr="00295637" w:rsidRDefault="00C6214E" w:rsidP="0086268D">
            <w:pPr>
              <w:rPr>
                <w:rFonts w:ascii="Times New Roman" w:hAnsi="Times New Roman"/>
                <w:szCs w:val="24"/>
              </w:rPr>
            </w:pPr>
            <w:r>
              <w:rPr>
                <w:rFonts w:ascii="Times New Roman" w:hAnsi="Times New Roman"/>
                <w:szCs w:val="24"/>
              </w:rPr>
              <w:t>Координаци</w:t>
            </w:r>
            <w:r w:rsidR="00113A80">
              <w:rPr>
                <w:rFonts w:ascii="Times New Roman" w:hAnsi="Times New Roman"/>
                <w:szCs w:val="24"/>
                <w:lang w:val="sr-Cyrl-BA"/>
              </w:rPr>
              <w:t>они</w:t>
            </w:r>
            <w:r w:rsidR="00AB33B8" w:rsidRPr="00295637">
              <w:rPr>
                <w:rFonts w:ascii="Times New Roman" w:hAnsi="Times New Roman"/>
                <w:szCs w:val="24"/>
              </w:rPr>
              <w:t xml:space="preserve"> </w:t>
            </w:r>
            <w:r>
              <w:rPr>
                <w:rFonts w:ascii="Times New Roman" w:hAnsi="Times New Roman"/>
                <w:szCs w:val="24"/>
              </w:rPr>
              <w:t>одбор</w:t>
            </w:r>
            <w:r w:rsidR="00AB33B8" w:rsidRPr="00295637">
              <w:rPr>
                <w:rFonts w:ascii="Times New Roman" w:hAnsi="Times New Roman"/>
                <w:szCs w:val="24"/>
              </w:rPr>
              <w:t xml:space="preserve"> </w:t>
            </w:r>
          </w:p>
          <w:p w:rsidR="00D026E7" w:rsidRPr="00295637" w:rsidRDefault="00C6214E" w:rsidP="0086268D">
            <w:pPr>
              <w:rPr>
                <w:rFonts w:ascii="Times New Roman" w:hAnsi="Times New Roman"/>
                <w:szCs w:val="24"/>
              </w:rPr>
            </w:pPr>
            <w:r>
              <w:rPr>
                <w:rFonts w:ascii="Times New Roman" w:hAnsi="Times New Roman"/>
                <w:szCs w:val="24"/>
              </w:rPr>
              <w:t>Кантон</w:t>
            </w:r>
            <w:r w:rsidR="00D026E7" w:rsidRPr="00295637">
              <w:rPr>
                <w:rFonts w:ascii="Times New Roman" w:hAnsi="Times New Roman"/>
                <w:szCs w:val="24"/>
              </w:rPr>
              <w:t xml:space="preserve"> </w:t>
            </w:r>
            <w:r>
              <w:rPr>
                <w:rFonts w:ascii="Times New Roman" w:hAnsi="Times New Roman"/>
                <w:szCs w:val="24"/>
              </w:rPr>
              <w:t>Сарајево</w:t>
            </w:r>
          </w:p>
          <w:p w:rsidR="00AB33B8" w:rsidRPr="00295637" w:rsidRDefault="00C6214E" w:rsidP="0086268D">
            <w:pPr>
              <w:rPr>
                <w:rFonts w:ascii="Times New Roman" w:hAnsi="Times New Roman"/>
                <w:szCs w:val="24"/>
              </w:rPr>
            </w:pPr>
            <w:r>
              <w:rPr>
                <w:rFonts w:ascii="Times New Roman" w:hAnsi="Times New Roman"/>
                <w:szCs w:val="24"/>
              </w:rPr>
              <w:t>Комисија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остваривање</w:t>
            </w:r>
            <w:r w:rsidR="00AB33B8" w:rsidRPr="00295637">
              <w:rPr>
                <w:rFonts w:ascii="Times New Roman" w:hAnsi="Times New Roman"/>
                <w:szCs w:val="24"/>
              </w:rPr>
              <w:t xml:space="preserve"> </w:t>
            </w:r>
            <w:r>
              <w:rPr>
                <w:rFonts w:ascii="Times New Roman" w:hAnsi="Times New Roman"/>
                <w:szCs w:val="24"/>
              </w:rPr>
              <w:t>равноправности</w:t>
            </w:r>
            <w:r w:rsidR="00AB33B8" w:rsidRPr="00295637">
              <w:rPr>
                <w:rFonts w:ascii="Times New Roman" w:hAnsi="Times New Roman"/>
                <w:szCs w:val="24"/>
              </w:rPr>
              <w:t xml:space="preserve"> </w:t>
            </w:r>
            <w:r>
              <w:rPr>
                <w:rFonts w:ascii="Times New Roman" w:hAnsi="Times New Roman"/>
                <w:szCs w:val="24"/>
              </w:rPr>
              <w:t>полова</w:t>
            </w:r>
            <w:r w:rsidR="00AB33B8" w:rsidRPr="00295637">
              <w:rPr>
                <w:rFonts w:ascii="Times New Roman" w:hAnsi="Times New Roman"/>
                <w:szCs w:val="24"/>
              </w:rPr>
              <w:t xml:space="preserve"> </w:t>
            </w:r>
            <w:r>
              <w:rPr>
                <w:rFonts w:ascii="Times New Roman" w:hAnsi="Times New Roman"/>
                <w:szCs w:val="24"/>
              </w:rPr>
              <w:t>Представничког</w:t>
            </w:r>
            <w:r w:rsidR="00AB33B8" w:rsidRPr="00295637">
              <w:rPr>
                <w:rFonts w:ascii="Times New Roman" w:hAnsi="Times New Roman"/>
                <w:szCs w:val="24"/>
              </w:rPr>
              <w:t xml:space="preserve"> </w:t>
            </w:r>
            <w:r>
              <w:rPr>
                <w:rFonts w:ascii="Times New Roman" w:hAnsi="Times New Roman"/>
                <w:szCs w:val="24"/>
              </w:rPr>
              <w:t>дома</w:t>
            </w:r>
            <w:r w:rsidR="00AB33B8" w:rsidRPr="00295637">
              <w:rPr>
                <w:rFonts w:ascii="Times New Roman" w:hAnsi="Times New Roman"/>
                <w:szCs w:val="24"/>
              </w:rPr>
              <w:t xml:space="preserve"> </w:t>
            </w:r>
            <w:r>
              <w:rPr>
                <w:rFonts w:ascii="Times New Roman" w:hAnsi="Times New Roman"/>
                <w:szCs w:val="24"/>
              </w:rPr>
              <w:t>Парламентарне</w:t>
            </w:r>
            <w:r w:rsidR="00AB33B8" w:rsidRPr="00295637">
              <w:rPr>
                <w:rFonts w:ascii="Times New Roman" w:hAnsi="Times New Roman"/>
                <w:szCs w:val="24"/>
              </w:rPr>
              <w:t xml:space="preserve"> </w:t>
            </w:r>
            <w:r>
              <w:rPr>
                <w:rFonts w:ascii="Times New Roman" w:hAnsi="Times New Roman"/>
                <w:szCs w:val="24"/>
              </w:rPr>
              <w:t>скупштине</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tc>
      </w:tr>
      <w:tr w:rsidR="00AB33B8" w:rsidRPr="00295637" w:rsidTr="00365441">
        <w:tc>
          <w:tcPr>
            <w:tcW w:w="2628" w:type="dxa"/>
          </w:tcPr>
          <w:p w:rsidR="00A7522A" w:rsidRDefault="00C6214E" w:rsidP="0086268D">
            <w:pPr>
              <w:rPr>
                <w:rFonts w:ascii="Times New Roman" w:hAnsi="Times New Roman"/>
                <w:szCs w:val="24"/>
              </w:rPr>
            </w:pPr>
            <w:r>
              <w:rPr>
                <w:rFonts w:ascii="Times New Roman" w:hAnsi="Times New Roman"/>
                <w:szCs w:val="24"/>
              </w:rPr>
              <w:t>КО</w:t>
            </w:r>
            <w:r w:rsidR="00A7522A">
              <w:rPr>
                <w:rFonts w:ascii="Times New Roman" w:hAnsi="Times New Roman"/>
                <w:szCs w:val="24"/>
              </w:rPr>
              <w:t xml:space="preserve"> </w:t>
            </w:r>
            <w:r>
              <w:rPr>
                <w:rFonts w:ascii="Times New Roman" w:hAnsi="Times New Roman"/>
                <w:szCs w:val="24"/>
              </w:rPr>
              <w:t>РС</w:t>
            </w:r>
          </w:p>
          <w:p w:rsidR="003200F2" w:rsidRPr="00295637" w:rsidRDefault="00C6214E" w:rsidP="0086268D">
            <w:pPr>
              <w:rPr>
                <w:rFonts w:ascii="Times New Roman" w:hAnsi="Times New Roman"/>
                <w:szCs w:val="24"/>
              </w:rPr>
            </w:pPr>
            <w:r>
              <w:rPr>
                <w:rFonts w:ascii="Times New Roman" w:hAnsi="Times New Roman"/>
                <w:szCs w:val="24"/>
              </w:rPr>
              <w:t>ЛГАП</w:t>
            </w:r>
          </w:p>
          <w:p w:rsidR="00703D68" w:rsidRPr="00113A80" w:rsidRDefault="00113A80" w:rsidP="0086268D">
            <w:pPr>
              <w:rPr>
                <w:rFonts w:ascii="Times New Roman" w:hAnsi="Times New Roman"/>
                <w:i/>
                <w:szCs w:val="24"/>
                <w:lang w:val="sr-Cyrl-BA"/>
              </w:rPr>
            </w:pPr>
            <w:r w:rsidRPr="00113A80">
              <w:rPr>
                <w:rFonts w:ascii="Times New Roman" w:hAnsi="Times New Roman"/>
                <w:i/>
                <w:szCs w:val="24"/>
              </w:rPr>
              <w:t>LMS</w:t>
            </w:r>
          </w:p>
          <w:p w:rsidR="00AB33B8" w:rsidRPr="00295637" w:rsidRDefault="00C6214E" w:rsidP="0086268D">
            <w:pPr>
              <w:rPr>
                <w:rFonts w:ascii="Times New Roman" w:hAnsi="Times New Roman"/>
                <w:szCs w:val="24"/>
              </w:rPr>
            </w:pPr>
            <w:r>
              <w:rPr>
                <w:rFonts w:ascii="Times New Roman" w:hAnsi="Times New Roman"/>
                <w:szCs w:val="24"/>
              </w:rPr>
              <w:t>МЦП</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r w:rsidR="00AB33B8" w:rsidRPr="00295637">
              <w:rPr>
                <w:rFonts w:ascii="Times New Roman" w:hAnsi="Times New Roman"/>
                <w:szCs w:val="24"/>
              </w:rPr>
              <w:tab/>
            </w:r>
            <w:r w:rsidR="00AB33B8" w:rsidRPr="00295637">
              <w:rPr>
                <w:rFonts w:ascii="Times New Roman" w:hAnsi="Times New Roman"/>
                <w:szCs w:val="24"/>
              </w:rPr>
              <w:tab/>
            </w:r>
          </w:p>
        </w:tc>
        <w:tc>
          <w:tcPr>
            <w:tcW w:w="8100" w:type="dxa"/>
          </w:tcPr>
          <w:p w:rsidR="00A7522A" w:rsidRDefault="00C6214E" w:rsidP="0086268D">
            <w:pPr>
              <w:rPr>
                <w:rFonts w:ascii="Times New Roman" w:hAnsi="Times New Roman"/>
                <w:szCs w:val="24"/>
              </w:rPr>
            </w:pPr>
            <w:r>
              <w:rPr>
                <w:rFonts w:ascii="Times New Roman" w:hAnsi="Times New Roman"/>
                <w:lang w:val="sr-Cyrl-BA"/>
              </w:rPr>
              <w:t>Координаци</w:t>
            </w:r>
            <w:r w:rsidR="00113A80">
              <w:rPr>
                <w:rFonts w:ascii="Times New Roman" w:hAnsi="Times New Roman"/>
                <w:lang w:val="sr-Cyrl-BA"/>
              </w:rPr>
              <w:t>они</w:t>
            </w:r>
            <w:r w:rsidR="00A7522A" w:rsidRPr="00C64592">
              <w:rPr>
                <w:rFonts w:ascii="Times New Roman" w:hAnsi="Times New Roman"/>
                <w:lang w:val="sr-Cyrl-BA"/>
              </w:rPr>
              <w:t xml:space="preserve"> </w:t>
            </w:r>
            <w:r>
              <w:rPr>
                <w:rFonts w:ascii="Times New Roman" w:hAnsi="Times New Roman"/>
                <w:lang w:val="sr-Cyrl-BA"/>
              </w:rPr>
              <w:t>одбор</w:t>
            </w:r>
            <w:r w:rsidR="00A7522A" w:rsidRPr="00C64592">
              <w:rPr>
                <w:rFonts w:ascii="Times New Roman" w:hAnsi="Times New Roman"/>
                <w:lang w:val="sr-Cyrl-BA"/>
              </w:rPr>
              <w:t xml:space="preserve"> </w:t>
            </w:r>
            <w:r>
              <w:rPr>
                <w:rFonts w:ascii="Times New Roman" w:hAnsi="Times New Roman"/>
                <w:lang w:val="sr-Cyrl-BA"/>
              </w:rPr>
              <w:t>Републике</w:t>
            </w:r>
            <w:r w:rsidR="00A7522A" w:rsidRPr="00C64592">
              <w:rPr>
                <w:rFonts w:ascii="Times New Roman" w:hAnsi="Times New Roman"/>
                <w:lang w:val="sr-Cyrl-BA"/>
              </w:rPr>
              <w:t xml:space="preserve"> </w:t>
            </w:r>
            <w:r>
              <w:rPr>
                <w:rFonts w:ascii="Times New Roman" w:hAnsi="Times New Roman"/>
                <w:lang w:val="sr-Cyrl-BA"/>
              </w:rPr>
              <w:t>Српске</w:t>
            </w:r>
          </w:p>
          <w:p w:rsidR="003200F2" w:rsidRPr="00295637" w:rsidRDefault="00C6214E" w:rsidP="0086268D">
            <w:pPr>
              <w:rPr>
                <w:rFonts w:ascii="Times New Roman" w:hAnsi="Times New Roman"/>
                <w:szCs w:val="24"/>
              </w:rPr>
            </w:pPr>
            <w:r>
              <w:rPr>
                <w:rFonts w:ascii="Times New Roman" w:hAnsi="Times New Roman"/>
                <w:szCs w:val="24"/>
              </w:rPr>
              <w:t>Локални</w:t>
            </w:r>
            <w:r w:rsidR="003200F2" w:rsidRPr="00295637">
              <w:rPr>
                <w:rFonts w:ascii="Times New Roman" w:hAnsi="Times New Roman"/>
                <w:szCs w:val="24"/>
              </w:rPr>
              <w:t xml:space="preserve"> </w:t>
            </w:r>
            <w:r>
              <w:rPr>
                <w:rFonts w:ascii="Times New Roman" w:hAnsi="Times New Roman"/>
                <w:szCs w:val="24"/>
              </w:rPr>
              <w:t>гендер</w:t>
            </w:r>
            <w:r w:rsidR="003200F2" w:rsidRPr="00295637">
              <w:rPr>
                <w:rFonts w:ascii="Times New Roman" w:hAnsi="Times New Roman"/>
                <w:szCs w:val="24"/>
              </w:rPr>
              <w:t xml:space="preserve"> </w:t>
            </w:r>
            <w:r>
              <w:rPr>
                <w:rFonts w:ascii="Times New Roman" w:hAnsi="Times New Roman"/>
                <w:szCs w:val="24"/>
              </w:rPr>
              <w:t>акциони</w:t>
            </w:r>
            <w:r w:rsidR="003200F2" w:rsidRPr="00295637">
              <w:rPr>
                <w:rFonts w:ascii="Times New Roman" w:hAnsi="Times New Roman"/>
                <w:szCs w:val="24"/>
              </w:rPr>
              <w:t xml:space="preserve"> </w:t>
            </w:r>
            <w:r>
              <w:rPr>
                <w:rFonts w:ascii="Times New Roman" w:hAnsi="Times New Roman"/>
                <w:szCs w:val="24"/>
              </w:rPr>
              <w:t>план</w:t>
            </w:r>
            <w:r w:rsidR="003200F2" w:rsidRPr="00295637">
              <w:rPr>
                <w:rFonts w:ascii="Times New Roman" w:hAnsi="Times New Roman"/>
                <w:szCs w:val="24"/>
              </w:rPr>
              <w:t xml:space="preserve"> </w:t>
            </w:r>
          </w:p>
          <w:p w:rsidR="00703D68" w:rsidRDefault="00113A80" w:rsidP="0086268D">
            <w:pPr>
              <w:rPr>
                <w:rFonts w:ascii="Times New Roman" w:hAnsi="Times New Roman"/>
                <w:szCs w:val="24"/>
              </w:rPr>
            </w:pPr>
            <w:r w:rsidRPr="00113A80">
              <w:rPr>
                <w:rFonts w:ascii="Times New Roman" w:hAnsi="Times New Roman"/>
                <w:i/>
                <w:szCs w:val="24"/>
              </w:rPr>
              <w:t xml:space="preserve">Learning management sistem </w:t>
            </w:r>
            <w:r w:rsidR="006C4FE1">
              <w:rPr>
                <w:rFonts w:ascii="Times New Roman" w:hAnsi="Times New Roman"/>
                <w:szCs w:val="24"/>
              </w:rPr>
              <w:t xml:space="preserve">– </w:t>
            </w:r>
            <w:r w:rsidR="00C6214E">
              <w:rPr>
                <w:rFonts w:ascii="Times New Roman" w:hAnsi="Times New Roman"/>
                <w:szCs w:val="24"/>
              </w:rPr>
              <w:t>онл</w:t>
            </w:r>
            <w:r>
              <w:rPr>
                <w:rFonts w:ascii="Times New Roman" w:hAnsi="Times New Roman"/>
                <w:szCs w:val="24"/>
                <w:lang w:val="sr-Cyrl-BA"/>
              </w:rPr>
              <w:t>ај</w:t>
            </w:r>
            <w:r>
              <w:rPr>
                <w:rFonts w:ascii="Times New Roman" w:hAnsi="Times New Roman"/>
                <w:szCs w:val="24"/>
              </w:rPr>
              <w:t>н</w:t>
            </w:r>
            <w:r w:rsidR="00703D68">
              <w:rPr>
                <w:rFonts w:ascii="Times New Roman" w:hAnsi="Times New Roman"/>
                <w:szCs w:val="24"/>
              </w:rPr>
              <w:t xml:space="preserve"> </w:t>
            </w:r>
            <w:r w:rsidR="00C6214E">
              <w:rPr>
                <w:rFonts w:ascii="Times New Roman" w:hAnsi="Times New Roman"/>
                <w:szCs w:val="24"/>
              </w:rPr>
              <w:t>тренинг</w:t>
            </w:r>
            <w:r w:rsidR="00703D68">
              <w:rPr>
                <w:rFonts w:ascii="Times New Roman" w:hAnsi="Times New Roman"/>
                <w:szCs w:val="24"/>
              </w:rPr>
              <w:t xml:space="preserve"> </w:t>
            </w:r>
            <w:r w:rsidR="00C6214E">
              <w:rPr>
                <w:rFonts w:ascii="Times New Roman" w:hAnsi="Times New Roman"/>
                <w:szCs w:val="24"/>
              </w:rPr>
              <w:t>систем</w:t>
            </w:r>
          </w:p>
          <w:p w:rsidR="00AB33B8" w:rsidRPr="00295637" w:rsidRDefault="00C6214E" w:rsidP="0086268D">
            <w:pPr>
              <w:rPr>
                <w:rFonts w:ascii="Times New Roman" w:hAnsi="Times New Roman"/>
                <w:szCs w:val="24"/>
              </w:rPr>
            </w:pPr>
            <w:r>
              <w:rPr>
                <w:rFonts w:ascii="Times New Roman" w:hAnsi="Times New Roman"/>
                <w:szCs w:val="24"/>
              </w:rPr>
              <w:t>Министарство</w:t>
            </w:r>
            <w:r w:rsidR="00AB33B8" w:rsidRPr="00295637">
              <w:rPr>
                <w:rFonts w:ascii="Times New Roman" w:hAnsi="Times New Roman"/>
                <w:szCs w:val="24"/>
              </w:rPr>
              <w:t xml:space="preserve"> </w:t>
            </w:r>
            <w:r>
              <w:rPr>
                <w:rFonts w:ascii="Times New Roman" w:hAnsi="Times New Roman"/>
                <w:szCs w:val="24"/>
              </w:rPr>
              <w:t>цивилних</w:t>
            </w:r>
            <w:r w:rsidR="00AB33B8" w:rsidRPr="00295637">
              <w:rPr>
                <w:rFonts w:ascii="Times New Roman" w:hAnsi="Times New Roman"/>
                <w:szCs w:val="24"/>
              </w:rPr>
              <w:t xml:space="preserve"> </w:t>
            </w:r>
            <w:r>
              <w:rPr>
                <w:rFonts w:ascii="Times New Roman" w:hAnsi="Times New Roman"/>
                <w:szCs w:val="24"/>
              </w:rPr>
              <w:t>послова</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МФТ</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r w:rsidR="00AB33B8" w:rsidRPr="00295637">
              <w:rPr>
                <w:rFonts w:ascii="Times New Roman" w:hAnsi="Times New Roman"/>
                <w:szCs w:val="24"/>
              </w:rPr>
              <w:tab/>
            </w:r>
            <w:r w:rsidR="00AB33B8" w:rsidRPr="00295637">
              <w:rPr>
                <w:rFonts w:ascii="Times New Roman" w:hAnsi="Times New Roman"/>
                <w:szCs w:val="24"/>
              </w:rPr>
              <w:tab/>
            </w:r>
          </w:p>
        </w:tc>
        <w:tc>
          <w:tcPr>
            <w:tcW w:w="8100" w:type="dxa"/>
          </w:tcPr>
          <w:p w:rsidR="00AB33B8" w:rsidRPr="00295637" w:rsidRDefault="00C6214E" w:rsidP="003D15A6">
            <w:pPr>
              <w:rPr>
                <w:rFonts w:ascii="Times New Roman" w:hAnsi="Times New Roman"/>
                <w:szCs w:val="24"/>
              </w:rPr>
            </w:pPr>
            <w:r>
              <w:rPr>
                <w:rFonts w:ascii="Times New Roman" w:hAnsi="Times New Roman"/>
                <w:szCs w:val="24"/>
              </w:rPr>
              <w:t>Министарство</w:t>
            </w:r>
            <w:r w:rsidR="00AB33B8" w:rsidRPr="00295637">
              <w:rPr>
                <w:rFonts w:ascii="Times New Roman" w:hAnsi="Times New Roman"/>
                <w:szCs w:val="24"/>
              </w:rPr>
              <w:t xml:space="preserve"> </w:t>
            </w:r>
            <w:r>
              <w:rPr>
                <w:rFonts w:ascii="Times New Roman" w:hAnsi="Times New Roman"/>
                <w:szCs w:val="24"/>
              </w:rPr>
              <w:t>финансија</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трезора</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r w:rsidR="00AB33B8" w:rsidRPr="00295637">
              <w:rPr>
                <w:rFonts w:ascii="Times New Roman" w:hAnsi="Times New Roman"/>
                <w:szCs w:val="24"/>
              </w:rPr>
              <w:t xml:space="preserve"> </w:t>
            </w:r>
          </w:p>
        </w:tc>
      </w:tr>
      <w:tr w:rsidR="00AB33B8" w:rsidRPr="00295637" w:rsidTr="00365441">
        <w:tc>
          <w:tcPr>
            <w:tcW w:w="2628" w:type="dxa"/>
          </w:tcPr>
          <w:p w:rsidR="00AB33B8" w:rsidRPr="00113A80" w:rsidRDefault="00113A80" w:rsidP="0086268D">
            <w:pPr>
              <w:rPr>
                <w:rFonts w:ascii="Times New Roman" w:hAnsi="Times New Roman"/>
                <w:i/>
                <w:szCs w:val="24"/>
              </w:rPr>
            </w:pPr>
            <w:r w:rsidRPr="00113A80">
              <w:rPr>
                <w:rFonts w:ascii="Times New Roman" w:hAnsi="Times New Roman"/>
                <w:i/>
                <w:szCs w:val="24"/>
              </w:rPr>
              <w:t>MICS</w:t>
            </w:r>
            <w:r w:rsidR="00AB33B8" w:rsidRPr="00113A80">
              <w:rPr>
                <w:rFonts w:ascii="Times New Roman" w:hAnsi="Times New Roman"/>
                <w:i/>
                <w:szCs w:val="24"/>
              </w:rPr>
              <w:t xml:space="preserve"> </w:t>
            </w:r>
            <w:r w:rsidR="00AB33B8" w:rsidRPr="00113A80">
              <w:rPr>
                <w:rFonts w:ascii="Times New Roman" w:hAnsi="Times New Roman"/>
                <w:i/>
                <w:szCs w:val="24"/>
              </w:rPr>
              <w:tab/>
            </w:r>
            <w:r w:rsidR="00AB33B8" w:rsidRPr="00113A80">
              <w:rPr>
                <w:rFonts w:ascii="Times New Roman" w:hAnsi="Times New Roman"/>
                <w:i/>
                <w:szCs w:val="24"/>
              </w:rPr>
              <w:tab/>
            </w:r>
          </w:p>
        </w:tc>
        <w:tc>
          <w:tcPr>
            <w:tcW w:w="8100" w:type="dxa"/>
          </w:tcPr>
          <w:p w:rsidR="00AB33B8" w:rsidRPr="00295637" w:rsidRDefault="00F51978" w:rsidP="0086268D">
            <w:pPr>
              <w:rPr>
                <w:rFonts w:ascii="Times New Roman" w:hAnsi="Times New Roman"/>
                <w:szCs w:val="24"/>
              </w:rPr>
            </w:pPr>
            <w:r>
              <w:rPr>
                <w:rFonts w:ascii="Times New Roman" w:hAnsi="Times New Roman"/>
                <w:szCs w:val="24"/>
              </w:rPr>
              <w:t>и</w:t>
            </w:r>
            <w:r w:rsidR="00C6214E">
              <w:rPr>
                <w:rFonts w:ascii="Times New Roman" w:hAnsi="Times New Roman"/>
                <w:szCs w:val="24"/>
              </w:rPr>
              <w:t>страживање</w:t>
            </w:r>
            <w:r w:rsidR="00AB33B8" w:rsidRPr="00295637">
              <w:rPr>
                <w:rFonts w:ascii="Times New Roman" w:hAnsi="Times New Roman"/>
                <w:szCs w:val="24"/>
              </w:rPr>
              <w:t xml:space="preserve"> </w:t>
            </w:r>
            <w:r w:rsidR="00C6214E">
              <w:rPr>
                <w:rFonts w:ascii="Times New Roman" w:hAnsi="Times New Roman"/>
                <w:szCs w:val="24"/>
              </w:rPr>
              <w:t>вишеструких</w:t>
            </w:r>
            <w:r w:rsidR="00AB33B8" w:rsidRPr="00295637">
              <w:rPr>
                <w:rFonts w:ascii="Times New Roman" w:hAnsi="Times New Roman"/>
                <w:szCs w:val="24"/>
              </w:rPr>
              <w:t xml:space="preserve"> </w:t>
            </w:r>
            <w:r w:rsidR="00C6214E">
              <w:rPr>
                <w:rFonts w:ascii="Times New Roman" w:hAnsi="Times New Roman"/>
                <w:szCs w:val="24"/>
              </w:rPr>
              <w:t>показатеља</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МКТ</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r w:rsidR="00AB33B8" w:rsidRPr="00295637">
              <w:rPr>
                <w:rFonts w:ascii="Times New Roman" w:hAnsi="Times New Roman"/>
                <w:szCs w:val="24"/>
              </w:rPr>
              <w:tab/>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Министарство</w:t>
            </w:r>
            <w:r w:rsidR="00AB33B8" w:rsidRPr="00295637">
              <w:rPr>
                <w:rFonts w:ascii="Times New Roman" w:hAnsi="Times New Roman"/>
                <w:szCs w:val="24"/>
              </w:rPr>
              <w:t xml:space="preserve"> </w:t>
            </w:r>
            <w:r>
              <w:rPr>
                <w:rFonts w:ascii="Times New Roman" w:hAnsi="Times New Roman"/>
                <w:szCs w:val="24"/>
              </w:rPr>
              <w:t>транспорта</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комуникација</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МИГ</w:t>
            </w:r>
          </w:p>
          <w:p w:rsidR="00AB33B8" w:rsidRPr="00295637" w:rsidRDefault="00C6214E" w:rsidP="00113A80">
            <w:pPr>
              <w:rPr>
                <w:rFonts w:ascii="Times New Roman" w:hAnsi="Times New Roman"/>
                <w:szCs w:val="24"/>
              </w:rPr>
            </w:pPr>
            <w:r>
              <w:rPr>
                <w:rFonts w:ascii="Times New Roman" w:hAnsi="Times New Roman"/>
                <w:szCs w:val="24"/>
              </w:rPr>
              <w:t>МИЕР</w:t>
            </w:r>
            <w:r w:rsidR="00163040">
              <w:rPr>
                <w:rFonts w:ascii="Times New Roman" w:hAnsi="Times New Roman"/>
                <w:szCs w:val="24"/>
              </w:rPr>
              <w:t xml:space="preserve"> </w:t>
            </w:r>
            <w:r>
              <w:rPr>
                <w:rFonts w:ascii="Times New Roman" w:hAnsi="Times New Roman"/>
                <w:szCs w:val="24"/>
              </w:rPr>
              <w:t>РС</w:t>
            </w:r>
            <w:r w:rsidR="00163040">
              <w:rPr>
                <w:rFonts w:ascii="Times New Roman" w:hAnsi="Times New Roman"/>
                <w:szCs w:val="24"/>
              </w:rPr>
              <w:br/>
            </w:r>
            <w:r>
              <w:rPr>
                <w:rFonts w:ascii="Times New Roman" w:hAnsi="Times New Roman"/>
                <w:szCs w:val="24"/>
              </w:rPr>
              <w:t>М</w:t>
            </w:r>
            <w:r w:rsidR="00113A80">
              <w:rPr>
                <w:rFonts w:ascii="Times New Roman" w:hAnsi="Times New Roman"/>
                <w:szCs w:val="24"/>
                <w:lang w:val="sr-Cyrl-BA"/>
              </w:rPr>
              <w:t>Б</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Комитет</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мигранткиње</w:t>
            </w:r>
            <w:r w:rsidR="00AB33B8" w:rsidRPr="00295637">
              <w:rPr>
                <w:rFonts w:ascii="Times New Roman" w:hAnsi="Times New Roman"/>
                <w:szCs w:val="24"/>
              </w:rPr>
              <w:t xml:space="preserve"> </w:t>
            </w:r>
            <w:r w:rsidR="00113A80">
              <w:rPr>
                <w:rFonts w:ascii="Times New Roman" w:hAnsi="Times New Roman"/>
                <w:szCs w:val="24"/>
                <w:lang w:val="sr-Cyrl-BA"/>
              </w:rPr>
              <w:t>Савјета</w:t>
            </w:r>
            <w:r w:rsidR="00AB33B8" w:rsidRPr="00295637">
              <w:rPr>
                <w:rFonts w:ascii="Times New Roman" w:hAnsi="Times New Roman"/>
                <w:szCs w:val="24"/>
              </w:rPr>
              <w:t xml:space="preserve"> </w:t>
            </w:r>
            <w:r>
              <w:rPr>
                <w:rFonts w:ascii="Times New Roman" w:hAnsi="Times New Roman"/>
                <w:szCs w:val="24"/>
              </w:rPr>
              <w:t>Европе</w:t>
            </w:r>
          </w:p>
          <w:p w:rsidR="00163040" w:rsidRDefault="00C6214E" w:rsidP="0086268D">
            <w:pPr>
              <w:rPr>
                <w:rFonts w:ascii="Times New Roman" w:hAnsi="Times New Roman"/>
                <w:szCs w:val="24"/>
              </w:rPr>
            </w:pPr>
            <w:r>
              <w:rPr>
                <w:rFonts w:ascii="Times New Roman" w:hAnsi="Times New Roman"/>
                <w:lang w:val="sr-Latn-BA"/>
              </w:rPr>
              <w:t>Министарство</w:t>
            </w:r>
            <w:r w:rsidR="00163040">
              <w:rPr>
                <w:rFonts w:ascii="Times New Roman" w:hAnsi="Times New Roman"/>
                <w:lang w:val="sr-Latn-BA"/>
              </w:rPr>
              <w:t xml:space="preserve"> </w:t>
            </w:r>
            <w:r>
              <w:rPr>
                <w:rFonts w:ascii="Times New Roman" w:hAnsi="Times New Roman"/>
                <w:lang w:val="sr-Latn-BA"/>
              </w:rPr>
              <w:t>индустрије</w:t>
            </w:r>
            <w:r w:rsidR="00163040">
              <w:rPr>
                <w:rFonts w:ascii="Times New Roman" w:hAnsi="Times New Roman"/>
                <w:lang w:val="sr-Latn-BA"/>
              </w:rPr>
              <w:t xml:space="preserve">, </w:t>
            </w:r>
            <w:r>
              <w:rPr>
                <w:rFonts w:ascii="Times New Roman" w:hAnsi="Times New Roman"/>
                <w:lang w:val="sr-Latn-BA"/>
              </w:rPr>
              <w:t>енергетике</w:t>
            </w:r>
            <w:r w:rsidR="00163040">
              <w:rPr>
                <w:rFonts w:ascii="Times New Roman" w:hAnsi="Times New Roman"/>
                <w:lang w:val="sr-Latn-BA"/>
              </w:rPr>
              <w:t xml:space="preserve"> </w:t>
            </w:r>
            <w:r>
              <w:rPr>
                <w:rFonts w:ascii="Times New Roman" w:hAnsi="Times New Roman"/>
                <w:lang w:val="sr-Latn-BA"/>
              </w:rPr>
              <w:t>и</w:t>
            </w:r>
            <w:r w:rsidR="00163040">
              <w:rPr>
                <w:rFonts w:ascii="Times New Roman" w:hAnsi="Times New Roman"/>
                <w:lang w:val="sr-Latn-BA"/>
              </w:rPr>
              <w:t xml:space="preserve"> </w:t>
            </w:r>
            <w:r>
              <w:rPr>
                <w:rFonts w:ascii="Times New Roman" w:hAnsi="Times New Roman"/>
                <w:lang w:val="sr-Latn-BA"/>
              </w:rPr>
              <w:t>рударства</w:t>
            </w:r>
            <w:r w:rsidR="00163040">
              <w:rPr>
                <w:rFonts w:ascii="Times New Roman" w:hAnsi="Times New Roman"/>
                <w:lang w:val="sr-Latn-BA"/>
              </w:rPr>
              <w:t xml:space="preserve"> </w:t>
            </w:r>
            <w:r>
              <w:rPr>
                <w:rFonts w:ascii="Times New Roman" w:hAnsi="Times New Roman"/>
                <w:lang w:val="sr-Latn-BA"/>
              </w:rPr>
              <w:t>Републике</w:t>
            </w:r>
            <w:r w:rsidR="00163040">
              <w:rPr>
                <w:rFonts w:ascii="Times New Roman" w:hAnsi="Times New Roman"/>
                <w:lang w:val="sr-Latn-BA"/>
              </w:rPr>
              <w:t xml:space="preserve"> </w:t>
            </w:r>
            <w:r>
              <w:rPr>
                <w:rFonts w:ascii="Times New Roman" w:hAnsi="Times New Roman"/>
                <w:lang w:val="sr-Latn-BA"/>
              </w:rPr>
              <w:t>Српске</w:t>
            </w:r>
          </w:p>
          <w:p w:rsidR="00AB33B8" w:rsidRPr="00295637" w:rsidRDefault="00C6214E" w:rsidP="00113A80">
            <w:pPr>
              <w:rPr>
                <w:rFonts w:ascii="Times New Roman" w:hAnsi="Times New Roman"/>
                <w:szCs w:val="24"/>
              </w:rPr>
            </w:pPr>
            <w:r>
              <w:rPr>
                <w:rFonts w:ascii="Times New Roman" w:hAnsi="Times New Roman"/>
                <w:szCs w:val="24"/>
              </w:rPr>
              <w:t>Министарство</w:t>
            </w:r>
            <w:r w:rsidR="00AB33B8" w:rsidRPr="00295637">
              <w:rPr>
                <w:rFonts w:ascii="Times New Roman" w:hAnsi="Times New Roman"/>
                <w:szCs w:val="24"/>
              </w:rPr>
              <w:t xml:space="preserve"> </w:t>
            </w:r>
            <w:r w:rsidR="00113A80">
              <w:rPr>
                <w:rFonts w:ascii="Times New Roman" w:hAnsi="Times New Roman"/>
                <w:szCs w:val="24"/>
                <w:lang w:val="sr-Cyrl-BA"/>
              </w:rPr>
              <w:t>безбједности</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tc>
      </w:tr>
      <w:tr w:rsidR="00AB33B8" w:rsidRPr="00295637" w:rsidTr="00365441">
        <w:tc>
          <w:tcPr>
            <w:tcW w:w="2628" w:type="dxa"/>
          </w:tcPr>
          <w:p w:rsidR="00AB33B8" w:rsidRPr="00295637" w:rsidRDefault="00C6214E" w:rsidP="00113A80">
            <w:pPr>
              <w:rPr>
                <w:rFonts w:ascii="Times New Roman" w:hAnsi="Times New Roman"/>
                <w:szCs w:val="24"/>
              </w:rPr>
            </w:pPr>
            <w:r>
              <w:rPr>
                <w:rFonts w:ascii="Times New Roman" w:hAnsi="Times New Roman"/>
                <w:szCs w:val="24"/>
              </w:rPr>
              <w:t>М</w:t>
            </w:r>
            <w:r w:rsidR="00113A80">
              <w:rPr>
                <w:rFonts w:ascii="Times New Roman" w:hAnsi="Times New Roman"/>
                <w:szCs w:val="24"/>
                <w:lang w:val="sr-Cyrl-BA"/>
              </w:rPr>
              <w:t>С</w:t>
            </w:r>
            <w:r>
              <w:rPr>
                <w:rFonts w:ascii="Times New Roman" w:hAnsi="Times New Roman"/>
                <w:szCs w:val="24"/>
              </w:rPr>
              <w:t>ТЕО</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tc>
        <w:tc>
          <w:tcPr>
            <w:tcW w:w="8100" w:type="dxa"/>
          </w:tcPr>
          <w:p w:rsidR="00AB33B8" w:rsidRPr="00295637" w:rsidRDefault="00C6214E" w:rsidP="00113A80">
            <w:pPr>
              <w:rPr>
                <w:rFonts w:ascii="Times New Roman" w:hAnsi="Times New Roman"/>
                <w:szCs w:val="24"/>
              </w:rPr>
            </w:pPr>
            <w:r>
              <w:rPr>
                <w:rFonts w:ascii="Times New Roman" w:hAnsi="Times New Roman"/>
                <w:szCs w:val="24"/>
              </w:rPr>
              <w:t>Министарство</w:t>
            </w:r>
            <w:r w:rsidR="00AB33B8" w:rsidRPr="00295637">
              <w:rPr>
                <w:rFonts w:ascii="Times New Roman" w:hAnsi="Times New Roman"/>
                <w:szCs w:val="24"/>
              </w:rPr>
              <w:t xml:space="preserve"> </w:t>
            </w:r>
            <w:r w:rsidR="00113A80">
              <w:rPr>
                <w:rFonts w:ascii="Times New Roman" w:hAnsi="Times New Roman"/>
                <w:szCs w:val="24"/>
                <w:lang w:val="sr-Cyrl-BA"/>
              </w:rPr>
              <w:t>спољне</w:t>
            </w:r>
            <w:r w:rsidR="00AB33B8" w:rsidRPr="00295637">
              <w:rPr>
                <w:rFonts w:ascii="Times New Roman" w:hAnsi="Times New Roman"/>
                <w:szCs w:val="24"/>
              </w:rPr>
              <w:t xml:space="preserve"> </w:t>
            </w:r>
            <w:r>
              <w:rPr>
                <w:rFonts w:ascii="Times New Roman" w:hAnsi="Times New Roman"/>
                <w:szCs w:val="24"/>
              </w:rPr>
              <w:t>трговине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економских</w:t>
            </w:r>
            <w:r w:rsidR="00AB33B8" w:rsidRPr="00295637">
              <w:rPr>
                <w:rFonts w:ascii="Times New Roman" w:hAnsi="Times New Roman"/>
                <w:szCs w:val="24"/>
              </w:rPr>
              <w:t xml:space="preserve"> </w:t>
            </w:r>
            <w:r>
              <w:rPr>
                <w:rFonts w:ascii="Times New Roman" w:hAnsi="Times New Roman"/>
                <w:szCs w:val="24"/>
              </w:rPr>
              <w:t>односа</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МП</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Министарство</w:t>
            </w:r>
            <w:r w:rsidR="00AB33B8" w:rsidRPr="00295637">
              <w:rPr>
                <w:rFonts w:ascii="Times New Roman" w:hAnsi="Times New Roman"/>
                <w:szCs w:val="24"/>
              </w:rPr>
              <w:t xml:space="preserve"> </w:t>
            </w:r>
            <w:r>
              <w:rPr>
                <w:rFonts w:ascii="Times New Roman" w:hAnsi="Times New Roman"/>
                <w:szCs w:val="24"/>
              </w:rPr>
              <w:t>правде</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МПОС</w:t>
            </w:r>
            <w:r w:rsidR="00AB33B8" w:rsidRPr="00295637">
              <w:rPr>
                <w:rFonts w:ascii="Times New Roman" w:hAnsi="Times New Roman"/>
                <w:szCs w:val="24"/>
              </w:rPr>
              <w:t xml:space="preserve"> </w:t>
            </w:r>
            <w:r>
              <w:rPr>
                <w:rFonts w:ascii="Times New Roman" w:hAnsi="Times New Roman"/>
                <w:szCs w:val="24"/>
              </w:rPr>
              <w:t>РС</w:t>
            </w:r>
          </w:p>
          <w:p w:rsidR="00AB33B8" w:rsidRPr="00295637" w:rsidRDefault="00C6214E" w:rsidP="00113A80">
            <w:pPr>
              <w:rPr>
                <w:rFonts w:ascii="Times New Roman" w:hAnsi="Times New Roman"/>
                <w:szCs w:val="24"/>
              </w:rPr>
            </w:pPr>
            <w:r>
              <w:rPr>
                <w:rFonts w:ascii="Times New Roman" w:hAnsi="Times New Roman"/>
                <w:szCs w:val="24"/>
              </w:rPr>
              <w:t>М</w:t>
            </w:r>
            <w:r w:rsidR="00113A80">
              <w:rPr>
                <w:rFonts w:ascii="Times New Roman" w:hAnsi="Times New Roman"/>
                <w:szCs w:val="24"/>
                <w:lang w:val="sr-Cyrl-BA"/>
              </w:rPr>
              <w:t>С</w:t>
            </w:r>
            <w:r>
              <w:rPr>
                <w:rFonts w:ascii="Times New Roman" w:hAnsi="Times New Roman"/>
                <w:szCs w:val="24"/>
              </w:rPr>
              <w:t>П</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r w:rsidR="00AB33B8" w:rsidRPr="00295637">
              <w:rPr>
                <w:rFonts w:ascii="Times New Roman" w:hAnsi="Times New Roman"/>
                <w:szCs w:val="24"/>
              </w:rPr>
              <w:tab/>
            </w:r>
            <w:r w:rsidR="00AB33B8" w:rsidRPr="00295637">
              <w:rPr>
                <w:rFonts w:ascii="Times New Roman" w:hAnsi="Times New Roman"/>
                <w:szCs w:val="24"/>
              </w:rPr>
              <w:tab/>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Министарство</w:t>
            </w:r>
            <w:r w:rsidR="00AB33B8" w:rsidRPr="00295637">
              <w:rPr>
                <w:rFonts w:ascii="Times New Roman" w:hAnsi="Times New Roman"/>
                <w:szCs w:val="24"/>
              </w:rPr>
              <w:t xml:space="preserve"> </w:t>
            </w:r>
            <w:r>
              <w:rPr>
                <w:rFonts w:ascii="Times New Roman" w:hAnsi="Times New Roman"/>
                <w:szCs w:val="24"/>
              </w:rPr>
              <w:t>породице</w:t>
            </w:r>
            <w:r w:rsidR="00AB33B8" w:rsidRPr="00295637">
              <w:rPr>
                <w:rFonts w:ascii="Times New Roman" w:hAnsi="Times New Roman"/>
                <w:szCs w:val="24"/>
              </w:rPr>
              <w:t xml:space="preserve">, </w:t>
            </w:r>
            <w:r>
              <w:rPr>
                <w:rFonts w:ascii="Times New Roman" w:hAnsi="Times New Roman"/>
                <w:szCs w:val="24"/>
              </w:rPr>
              <w:t>омладине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спорта</w:t>
            </w:r>
            <w:r w:rsidR="00AB33B8" w:rsidRPr="00295637">
              <w:rPr>
                <w:rFonts w:ascii="Times New Roman" w:hAnsi="Times New Roman"/>
                <w:szCs w:val="24"/>
              </w:rPr>
              <w:t xml:space="preserve"> </w:t>
            </w:r>
            <w:r>
              <w:rPr>
                <w:rFonts w:ascii="Times New Roman" w:hAnsi="Times New Roman"/>
                <w:szCs w:val="24"/>
              </w:rPr>
              <w:t>Републике</w:t>
            </w:r>
            <w:r w:rsidR="00AB33B8" w:rsidRPr="00295637">
              <w:rPr>
                <w:rFonts w:ascii="Times New Roman" w:hAnsi="Times New Roman"/>
                <w:szCs w:val="24"/>
              </w:rPr>
              <w:t xml:space="preserve"> </w:t>
            </w:r>
            <w:r>
              <w:rPr>
                <w:rFonts w:ascii="Times New Roman" w:hAnsi="Times New Roman"/>
                <w:szCs w:val="24"/>
              </w:rPr>
              <w:t>Српске</w:t>
            </w:r>
          </w:p>
          <w:p w:rsidR="00AB33B8" w:rsidRPr="00295637" w:rsidRDefault="00C6214E" w:rsidP="00113A80">
            <w:pPr>
              <w:rPr>
                <w:rFonts w:ascii="Times New Roman" w:hAnsi="Times New Roman"/>
                <w:szCs w:val="24"/>
              </w:rPr>
            </w:pPr>
            <w:r>
              <w:rPr>
                <w:rFonts w:ascii="Times New Roman" w:hAnsi="Times New Roman"/>
                <w:szCs w:val="24"/>
              </w:rPr>
              <w:t>Министарство</w:t>
            </w:r>
            <w:r w:rsidR="00AB33B8" w:rsidRPr="00295637">
              <w:rPr>
                <w:rFonts w:ascii="Times New Roman" w:hAnsi="Times New Roman"/>
                <w:szCs w:val="24"/>
              </w:rPr>
              <w:t xml:space="preserve"> </w:t>
            </w:r>
            <w:r w:rsidR="00113A80">
              <w:rPr>
                <w:rFonts w:ascii="Times New Roman" w:hAnsi="Times New Roman"/>
                <w:szCs w:val="24"/>
                <w:lang w:val="sr-Cyrl-BA"/>
              </w:rPr>
              <w:t>спољних</w:t>
            </w:r>
            <w:r w:rsidR="00AB33B8" w:rsidRPr="00295637">
              <w:rPr>
                <w:rFonts w:ascii="Times New Roman" w:hAnsi="Times New Roman"/>
                <w:szCs w:val="24"/>
              </w:rPr>
              <w:t xml:space="preserve"> </w:t>
            </w:r>
            <w:r>
              <w:rPr>
                <w:rFonts w:ascii="Times New Roman" w:hAnsi="Times New Roman"/>
                <w:szCs w:val="24"/>
              </w:rPr>
              <w:t>послова</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tc>
      </w:tr>
      <w:tr w:rsidR="00AB33B8" w:rsidRPr="00295637" w:rsidTr="00365441">
        <w:tc>
          <w:tcPr>
            <w:tcW w:w="2628" w:type="dxa"/>
          </w:tcPr>
          <w:p w:rsidR="00AB33B8" w:rsidRPr="00295637" w:rsidRDefault="00C6214E" w:rsidP="003D15A6">
            <w:pPr>
              <w:rPr>
                <w:rFonts w:ascii="Times New Roman" w:hAnsi="Times New Roman"/>
                <w:szCs w:val="24"/>
              </w:rPr>
            </w:pPr>
            <w:r>
              <w:rPr>
                <w:rFonts w:ascii="Times New Roman" w:hAnsi="Times New Roman"/>
                <w:szCs w:val="24"/>
              </w:rPr>
              <w:t>МКП</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Министарство</w:t>
            </w:r>
            <w:r w:rsidR="00AB33B8" w:rsidRPr="00295637">
              <w:rPr>
                <w:rFonts w:ascii="Times New Roman" w:hAnsi="Times New Roman"/>
                <w:szCs w:val="24"/>
              </w:rPr>
              <w:t xml:space="preserve"> </w:t>
            </w:r>
            <w:r>
              <w:rPr>
                <w:rFonts w:ascii="Times New Roman" w:hAnsi="Times New Roman"/>
                <w:szCs w:val="24"/>
              </w:rPr>
              <w:t>комуникација</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промета</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МЉПИ</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Министарство</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људска</w:t>
            </w:r>
            <w:r w:rsidR="00AB33B8" w:rsidRPr="00295637">
              <w:rPr>
                <w:rFonts w:ascii="Times New Roman" w:hAnsi="Times New Roman"/>
                <w:szCs w:val="24"/>
              </w:rPr>
              <w:t xml:space="preserve"> </w:t>
            </w:r>
            <w:r>
              <w:rPr>
                <w:rFonts w:ascii="Times New Roman" w:hAnsi="Times New Roman"/>
                <w:szCs w:val="24"/>
              </w:rPr>
              <w:t>права</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избјеглице</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МСП</w:t>
            </w:r>
          </w:p>
          <w:p w:rsidR="00AB33B8" w:rsidRPr="00295637" w:rsidRDefault="00C6214E" w:rsidP="0086268D">
            <w:pPr>
              <w:rPr>
                <w:rFonts w:ascii="Times New Roman" w:hAnsi="Times New Roman"/>
                <w:szCs w:val="24"/>
              </w:rPr>
            </w:pPr>
            <w:r>
              <w:rPr>
                <w:rFonts w:ascii="Times New Roman" w:hAnsi="Times New Roman"/>
                <w:szCs w:val="24"/>
              </w:rPr>
              <w:t>МПШВ</w:t>
            </w:r>
            <w:r w:rsidR="00AB33B8" w:rsidRPr="00295637">
              <w:rPr>
                <w:rFonts w:ascii="Times New Roman" w:hAnsi="Times New Roman"/>
                <w:szCs w:val="24"/>
              </w:rPr>
              <w:t xml:space="preserve"> </w:t>
            </w:r>
            <w:r>
              <w:rPr>
                <w:rFonts w:ascii="Times New Roman" w:hAnsi="Times New Roman"/>
                <w:szCs w:val="24"/>
              </w:rPr>
              <w:t>РС</w:t>
            </w:r>
          </w:p>
          <w:p w:rsidR="00AB33B8" w:rsidRPr="00295637" w:rsidRDefault="00C6214E" w:rsidP="0086268D">
            <w:pPr>
              <w:rPr>
                <w:rFonts w:ascii="Times New Roman" w:hAnsi="Times New Roman"/>
                <w:szCs w:val="24"/>
              </w:rPr>
            </w:pPr>
            <w:r>
              <w:rPr>
                <w:rFonts w:ascii="Times New Roman" w:hAnsi="Times New Roman"/>
                <w:szCs w:val="24"/>
              </w:rPr>
              <w:t>МРБИЗ</w:t>
            </w:r>
            <w:r w:rsidR="00AB33B8" w:rsidRPr="00295637">
              <w:rPr>
                <w:rFonts w:ascii="Times New Roman" w:hAnsi="Times New Roman"/>
                <w:szCs w:val="24"/>
              </w:rPr>
              <w:t xml:space="preserve"> </w:t>
            </w:r>
            <w:r>
              <w:rPr>
                <w:rFonts w:ascii="Times New Roman" w:hAnsi="Times New Roman"/>
                <w:szCs w:val="24"/>
              </w:rPr>
              <w:t>РС</w:t>
            </w:r>
          </w:p>
          <w:p w:rsidR="00AE2BD2" w:rsidRDefault="00C6214E" w:rsidP="0086268D">
            <w:pPr>
              <w:rPr>
                <w:rFonts w:ascii="Times New Roman" w:hAnsi="Times New Roman"/>
                <w:szCs w:val="24"/>
              </w:rPr>
            </w:pPr>
            <w:r>
              <w:rPr>
                <w:rFonts w:ascii="Times New Roman" w:hAnsi="Times New Roman"/>
                <w:szCs w:val="24"/>
              </w:rPr>
              <w:t>МНТР</w:t>
            </w:r>
            <w:r w:rsidR="00AE2BD2">
              <w:rPr>
                <w:rFonts w:ascii="Times New Roman" w:hAnsi="Times New Roman"/>
                <w:szCs w:val="24"/>
              </w:rPr>
              <w:t xml:space="preserve"> </w:t>
            </w:r>
            <w:r>
              <w:rPr>
                <w:rFonts w:ascii="Times New Roman" w:hAnsi="Times New Roman"/>
                <w:szCs w:val="24"/>
              </w:rPr>
              <w:t>РС</w:t>
            </w:r>
          </w:p>
          <w:p w:rsidR="00AE2BD2" w:rsidRDefault="00AE2BD2" w:rsidP="0086268D">
            <w:pPr>
              <w:rPr>
                <w:rFonts w:ascii="Times New Roman" w:hAnsi="Times New Roman"/>
                <w:szCs w:val="24"/>
              </w:rPr>
            </w:pPr>
          </w:p>
          <w:p w:rsidR="00AB33B8" w:rsidRPr="00295637" w:rsidRDefault="00C6214E" w:rsidP="0086268D">
            <w:pPr>
              <w:rPr>
                <w:rFonts w:ascii="Times New Roman" w:hAnsi="Times New Roman"/>
                <w:szCs w:val="24"/>
              </w:rPr>
            </w:pPr>
            <w:r>
              <w:rPr>
                <w:rFonts w:ascii="Times New Roman" w:hAnsi="Times New Roman"/>
                <w:szCs w:val="24"/>
              </w:rPr>
              <w:t>МЗСЗ</w:t>
            </w:r>
            <w:r w:rsidR="00AB33B8" w:rsidRPr="00295637">
              <w:rPr>
                <w:rFonts w:ascii="Times New Roman" w:hAnsi="Times New Roman"/>
                <w:szCs w:val="24"/>
              </w:rPr>
              <w:t xml:space="preserve"> </w:t>
            </w:r>
            <w:r>
              <w:rPr>
                <w:rFonts w:ascii="Times New Roman" w:hAnsi="Times New Roman"/>
                <w:szCs w:val="24"/>
              </w:rPr>
              <w:t>РС</w:t>
            </w:r>
          </w:p>
          <w:p w:rsidR="00AB33B8" w:rsidRPr="00295637" w:rsidRDefault="00C6214E" w:rsidP="0086268D">
            <w:pPr>
              <w:rPr>
                <w:rFonts w:ascii="Times New Roman" w:hAnsi="Times New Roman"/>
                <w:szCs w:val="24"/>
              </w:rPr>
            </w:pPr>
            <w:r>
              <w:rPr>
                <w:rFonts w:ascii="Times New Roman" w:hAnsi="Times New Roman"/>
                <w:szCs w:val="24"/>
              </w:rPr>
              <w:t>МПП</w:t>
            </w:r>
            <w:r w:rsidR="00AB33B8" w:rsidRPr="00295637">
              <w:rPr>
                <w:rFonts w:ascii="Times New Roman" w:hAnsi="Times New Roman"/>
                <w:szCs w:val="24"/>
              </w:rPr>
              <w:t xml:space="preserve"> </w:t>
            </w:r>
            <w:r>
              <w:rPr>
                <w:rFonts w:ascii="Times New Roman" w:hAnsi="Times New Roman"/>
                <w:szCs w:val="24"/>
              </w:rPr>
              <w:t>РС</w:t>
            </w:r>
          </w:p>
          <w:p w:rsidR="00AB33B8" w:rsidRPr="00295637" w:rsidRDefault="00C6214E" w:rsidP="0086268D">
            <w:pPr>
              <w:rPr>
                <w:rFonts w:ascii="Times New Roman" w:hAnsi="Times New Roman"/>
                <w:szCs w:val="24"/>
              </w:rPr>
            </w:pPr>
            <w:r>
              <w:rPr>
                <w:rFonts w:ascii="Times New Roman" w:hAnsi="Times New Roman"/>
                <w:szCs w:val="24"/>
              </w:rPr>
              <w:t>МУП</w:t>
            </w:r>
          </w:p>
        </w:tc>
        <w:tc>
          <w:tcPr>
            <w:tcW w:w="8100" w:type="dxa"/>
          </w:tcPr>
          <w:p w:rsidR="00AB33B8" w:rsidRPr="00295637" w:rsidRDefault="00F51978" w:rsidP="0086268D">
            <w:pPr>
              <w:rPr>
                <w:rFonts w:ascii="Times New Roman" w:hAnsi="Times New Roman"/>
                <w:lang w:val="sr-Latn-BA"/>
              </w:rPr>
            </w:pPr>
            <w:r>
              <w:rPr>
                <w:rFonts w:ascii="Times New Roman" w:hAnsi="Times New Roman"/>
                <w:lang w:val="bs-Cyrl-BA"/>
              </w:rPr>
              <w:t>м</w:t>
            </w:r>
            <w:r w:rsidR="00C6214E">
              <w:rPr>
                <w:rFonts w:ascii="Times New Roman" w:hAnsi="Times New Roman"/>
                <w:lang w:val="sr-Latn-BA"/>
              </w:rPr>
              <w:t>ала</w:t>
            </w:r>
            <w:r w:rsidR="00AB33B8" w:rsidRPr="00295637">
              <w:rPr>
                <w:rFonts w:ascii="Times New Roman" w:hAnsi="Times New Roman"/>
                <w:lang w:val="sr-Latn-BA"/>
              </w:rPr>
              <w:t xml:space="preserve"> </w:t>
            </w:r>
            <w:r w:rsidR="00C6214E">
              <w:rPr>
                <w:rFonts w:ascii="Times New Roman" w:hAnsi="Times New Roman"/>
                <w:lang w:val="sr-Latn-BA"/>
              </w:rPr>
              <w:t>и</w:t>
            </w:r>
            <w:r w:rsidR="00AB33B8" w:rsidRPr="00295637">
              <w:rPr>
                <w:rFonts w:ascii="Times New Roman" w:hAnsi="Times New Roman"/>
                <w:lang w:val="sr-Latn-BA"/>
              </w:rPr>
              <w:t xml:space="preserve"> </w:t>
            </w:r>
            <w:r w:rsidR="00C6214E">
              <w:rPr>
                <w:rFonts w:ascii="Times New Roman" w:hAnsi="Times New Roman"/>
                <w:lang w:val="sr-Latn-BA"/>
              </w:rPr>
              <w:t>средња</w:t>
            </w:r>
            <w:r w:rsidR="00AB33B8" w:rsidRPr="00295637">
              <w:rPr>
                <w:rFonts w:ascii="Times New Roman" w:hAnsi="Times New Roman"/>
                <w:lang w:val="sr-Latn-BA"/>
              </w:rPr>
              <w:t xml:space="preserve"> </w:t>
            </w:r>
            <w:r w:rsidR="00C6214E">
              <w:rPr>
                <w:rFonts w:ascii="Times New Roman" w:hAnsi="Times New Roman"/>
                <w:lang w:val="sr-Latn-BA"/>
              </w:rPr>
              <w:t>предузећа</w:t>
            </w:r>
          </w:p>
          <w:p w:rsidR="00AB33B8" w:rsidRPr="00295637" w:rsidRDefault="00C6214E" w:rsidP="0086268D">
            <w:pPr>
              <w:rPr>
                <w:rFonts w:ascii="Times New Roman" w:hAnsi="Times New Roman"/>
                <w:lang w:val="sr-Latn-BA"/>
              </w:rPr>
            </w:pPr>
            <w:r>
              <w:rPr>
                <w:rFonts w:ascii="Times New Roman" w:hAnsi="Times New Roman"/>
                <w:lang w:val="sr-Latn-BA"/>
              </w:rPr>
              <w:t>Министарство</w:t>
            </w:r>
            <w:r w:rsidR="00AB33B8" w:rsidRPr="00295637">
              <w:rPr>
                <w:rFonts w:ascii="Times New Roman" w:hAnsi="Times New Roman"/>
                <w:lang w:val="sr-Latn-BA"/>
              </w:rPr>
              <w:t xml:space="preserve"> </w:t>
            </w:r>
            <w:r>
              <w:rPr>
                <w:rFonts w:ascii="Times New Roman" w:hAnsi="Times New Roman"/>
                <w:lang w:val="sr-Latn-BA"/>
              </w:rPr>
              <w:t>пољопривреде</w:t>
            </w:r>
            <w:r w:rsidR="00AB33B8" w:rsidRPr="00295637">
              <w:rPr>
                <w:rFonts w:ascii="Times New Roman" w:hAnsi="Times New Roman"/>
                <w:lang w:val="sr-Latn-BA"/>
              </w:rPr>
              <w:t xml:space="preserve">, </w:t>
            </w:r>
            <w:r>
              <w:rPr>
                <w:rFonts w:ascii="Times New Roman" w:hAnsi="Times New Roman"/>
                <w:lang w:val="sr-Latn-BA"/>
              </w:rPr>
              <w:t>шумарства</w:t>
            </w:r>
            <w:r w:rsidR="002A6D3D">
              <w:rPr>
                <w:rFonts w:ascii="Times New Roman" w:hAnsi="Times New Roman"/>
                <w:lang w:val="sr-Latn-BA"/>
              </w:rPr>
              <w:t xml:space="preserve"> </w:t>
            </w:r>
            <w:r>
              <w:rPr>
                <w:rFonts w:ascii="Times New Roman" w:hAnsi="Times New Roman"/>
                <w:lang w:val="sr-Latn-BA"/>
              </w:rPr>
              <w:t>и</w:t>
            </w:r>
            <w:r w:rsidR="002A6D3D">
              <w:rPr>
                <w:rFonts w:ascii="Times New Roman" w:hAnsi="Times New Roman"/>
                <w:lang w:val="sr-Latn-BA"/>
              </w:rPr>
              <w:t xml:space="preserve"> </w:t>
            </w:r>
            <w:r>
              <w:rPr>
                <w:rFonts w:ascii="Times New Roman" w:hAnsi="Times New Roman"/>
                <w:lang w:val="sr-Latn-BA"/>
              </w:rPr>
              <w:t>водопривреде</w:t>
            </w:r>
            <w:r w:rsidR="002A6D3D">
              <w:rPr>
                <w:rFonts w:ascii="Times New Roman" w:hAnsi="Times New Roman"/>
                <w:lang w:val="sr-Latn-BA"/>
              </w:rPr>
              <w:t xml:space="preserve"> </w:t>
            </w:r>
            <w:r>
              <w:rPr>
                <w:rFonts w:ascii="Times New Roman" w:hAnsi="Times New Roman"/>
                <w:lang w:val="sr-Latn-BA"/>
              </w:rPr>
              <w:t>Републике</w:t>
            </w:r>
            <w:r w:rsidR="002A6D3D">
              <w:rPr>
                <w:rFonts w:ascii="Times New Roman" w:hAnsi="Times New Roman"/>
                <w:lang w:val="sr-Latn-BA"/>
              </w:rPr>
              <w:t xml:space="preserve"> </w:t>
            </w:r>
            <w:r>
              <w:rPr>
                <w:rFonts w:ascii="Times New Roman" w:hAnsi="Times New Roman"/>
                <w:lang w:val="sr-Latn-BA"/>
              </w:rPr>
              <w:t>Српске</w:t>
            </w:r>
          </w:p>
          <w:p w:rsidR="00AB33B8" w:rsidRPr="00295637" w:rsidRDefault="00C6214E" w:rsidP="0086268D">
            <w:pPr>
              <w:rPr>
                <w:rFonts w:ascii="Times New Roman" w:hAnsi="Times New Roman"/>
                <w:lang w:val="sr-Latn-BA"/>
              </w:rPr>
            </w:pPr>
            <w:r>
              <w:rPr>
                <w:rFonts w:ascii="Times New Roman" w:hAnsi="Times New Roman"/>
                <w:lang w:val="sr-Latn-BA"/>
              </w:rPr>
              <w:t>Министарство</w:t>
            </w:r>
            <w:r w:rsidR="00AB33B8" w:rsidRPr="00295637">
              <w:rPr>
                <w:rFonts w:ascii="Times New Roman" w:hAnsi="Times New Roman"/>
                <w:lang w:val="sr-Latn-BA"/>
              </w:rPr>
              <w:t xml:space="preserve"> </w:t>
            </w:r>
            <w:r>
              <w:rPr>
                <w:rFonts w:ascii="Times New Roman" w:hAnsi="Times New Roman"/>
                <w:lang w:val="sr-Latn-BA"/>
              </w:rPr>
              <w:t>рада</w:t>
            </w:r>
            <w:r w:rsidR="00AB33B8" w:rsidRPr="00295637">
              <w:rPr>
                <w:rFonts w:ascii="Times New Roman" w:hAnsi="Times New Roman"/>
                <w:lang w:val="sr-Latn-BA"/>
              </w:rPr>
              <w:t xml:space="preserve"> </w:t>
            </w:r>
            <w:r>
              <w:rPr>
                <w:rFonts w:ascii="Times New Roman" w:hAnsi="Times New Roman"/>
                <w:lang w:val="sr-Latn-BA"/>
              </w:rPr>
              <w:t>и</w:t>
            </w:r>
            <w:r w:rsidR="00AB33B8" w:rsidRPr="00295637">
              <w:rPr>
                <w:rFonts w:ascii="Times New Roman" w:hAnsi="Times New Roman"/>
                <w:lang w:val="sr-Latn-BA"/>
              </w:rPr>
              <w:t xml:space="preserve"> </w:t>
            </w:r>
            <w:r>
              <w:rPr>
                <w:rFonts w:ascii="Times New Roman" w:hAnsi="Times New Roman"/>
                <w:lang w:val="sr-Latn-BA"/>
              </w:rPr>
              <w:t>борачко</w:t>
            </w:r>
            <w:r w:rsidR="00AB33B8" w:rsidRPr="00295637">
              <w:rPr>
                <w:rFonts w:ascii="Times New Roman" w:hAnsi="Times New Roman"/>
                <w:lang w:val="sr-Latn-BA"/>
              </w:rPr>
              <w:t>-</w:t>
            </w:r>
            <w:r>
              <w:rPr>
                <w:rFonts w:ascii="Times New Roman" w:hAnsi="Times New Roman"/>
                <w:lang w:val="sr-Latn-BA"/>
              </w:rPr>
              <w:t>инвалидске</w:t>
            </w:r>
            <w:r w:rsidR="00AB33B8" w:rsidRPr="00295637">
              <w:rPr>
                <w:rFonts w:ascii="Times New Roman" w:hAnsi="Times New Roman"/>
                <w:lang w:val="sr-Latn-BA"/>
              </w:rPr>
              <w:t xml:space="preserve"> </w:t>
            </w:r>
            <w:r>
              <w:rPr>
                <w:rFonts w:ascii="Times New Roman" w:hAnsi="Times New Roman"/>
                <w:lang w:val="sr-Latn-BA"/>
              </w:rPr>
              <w:t>заштите</w:t>
            </w:r>
            <w:r w:rsidR="00AB33B8" w:rsidRPr="00295637">
              <w:rPr>
                <w:rFonts w:ascii="Times New Roman" w:hAnsi="Times New Roman"/>
                <w:lang w:val="sr-Latn-BA"/>
              </w:rPr>
              <w:t xml:space="preserve"> </w:t>
            </w:r>
            <w:r>
              <w:rPr>
                <w:rFonts w:ascii="Times New Roman" w:hAnsi="Times New Roman"/>
                <w:lang w:val="sr-Latn-BA"/>
              </w:rPr>
              <w:t>Републике</w:t>
            </w:r>
            <w:r w:rsidR="00AB33B8" w:rsidRPr="00295637">
              <w:rPr>
                <w:rFonts w:ascii="Times New Roman" w:hAnsi="Times New Roman"/>
                <w:lang w:val="sr-Latn-BA"/>
              </w:rPr>
              <w:t xml:space="preserve"> </w:t>
            </w:r>
            <w:r>
              <w:rPr>
                <w:rFonts w:ascii="Times New Roman" w:hAnsi="Times New Roman"/>
                <w:lang w:val="sr-Latn-BA"/>
              </w:rPr>
              <w:t>Српске</w:t>
            </w:r>
          </w:p>
          <w:p w:rsidR="00AE2BD2" w:rsidRDefault="00C6214E" w:rsidP="0086268D">
            <w:pPr>
              <w:rPr>
                <w:rFonts w:ascii="Times New Roman" w:hAnsi="Times New Roman"/>
                <w:lang w:val="sr-Latn-BA"/>
              </w:rPr>
            </w:pPr>
            <w:r>
              <w:rPr>
                <w:rFonts w:ascii="Times New Roman" w:hAnsi="Times New Roman"/>
                <w:lang w:val="sr-Latn-BA"/>
              </w:rPr>
              <w:t>Министарство</w:t>
            </w:r>
            <w:r w:rsidR="00AE2BD2">
              <w:rPr>
                <w:rFonts w:ascii="Times New Roman" w:hAnsi="Times New Roman"/>
                <w:lang w:val="sr-Latn-BA"/>
              </w:rPr>
              <w:t xml:space="preserve"> </w:t>
            </w:r>
            <w:r>
              <w:rPr>
                <w:rFonts w:ascii="Times New Roman" w:hAnsi="Times New Roman"/>
                <w:lang w:val="sr-Latn-BA"/>
              </w:rPr>
              <w:t>за</w:t>
            </w:r>
            <w:r w:rsidR="00AE2BD2">
              <w:rPr>
                <w:rFonts w:ascii="Times New Roman" w:hAnsi="Times New Roman"/>
                <w:lang w:val="sr-Latn-BA"/>
              </w:rPr>
              <w:t xml:space="preserve"> </w:t>
            </w:r>
            <w:r>
              <w:rPr>
                <w:rFonts w:ascii="Times New Roman" w:hAnsi="Times New Roman"/>
                <w:lang w:val="sr-Latn-BA"/>
              </w:rPr>
              <w:t>научно</w:t>
            </w:r>
            <w:r w:rsidR="00AE2BD2">
              <w:rPr>
                <w:rFonts w:ascii="Times New Roman" w:hAnsi="Times New Roman"/>
                <w:lang w:val="sr-Latn-BA"/>
              </w:rPr>
              <w:t>-</w:t>
            </w:r>
            <w:r>
              <w:rPr>
                <w:rFonts w:ascii="Times New Roman" w:hAnsi="Times New Roman"/>
                <w:lang w:val="sr-Latn-BA"/>
              </w:rPr>
              <w:t>технолошки</w:t>
            </w:r>
            <w:r w:rsidR="00AE2BD2">
              <w:rPr>
                <w:rFonts w:ascii="Times New Roman" w:hAnsi="Times New Roman"/>
                <w:lang w:val="sr-Latn-BA"/>
              </w:rPr>
              <w:t xml:space="preserve"> </w:t>
            </w:r>
            <w:r>
              <w:rPr>
                <w:rFonts w:ascii="Times New Roman" w:hAnsi="Times New Roman"/>
                <w:lang w:val="sr-Latn-BA"/>
              </w:rPr>
              <w:t>развој</w:t>
            </w:r>
            <w:r w:rsidR="00AE2BD2">
              <w:rPr>
                <w:rFonts w:ascii="Times New Roman" w:hAnsi="Times New Roman"/>
                <w:lang w:val="sr-Latn-BA"/>
              </w:rPr>
              <w:t xml:space="preserve">, </w:t>
            </w:r>
            <w:r>
              <w:rPr>
                <w:rFonts w:ascii="Times New Roman" w:hAnsi="Times New Roman"/>
                <w:lang w:val="sr-Latn-BA"/>
              </w:rPr>
              <w:t>високо</w:t>
            </w:r>
            <w:r w:rsidR="00AE2BD2">
              <w:rPr>
                <w:rFonts w:ascii="Times New Roman" w:hAnsi="Times New Roman"/>
                <w:lang w:val="sr-Latn-BA"/>
              </w:rPr>
              <w:t xml:space="preserve"> </w:t>
            </w:r>
            <w:r>
              <w:rPr>
                <w:rFonts w:ascii="Times New Roman" w:hAnsi="Times New Roman"/>
                <w:lang w:val="sr-Latn-BA"/>
              </w:rPr>
              <w:t>образовање</w:t>
            </w:r>
            <w:r w:rsidR="00AE2BD2">
              <w:rPr>
                <w:rFonts w:ascii="Times New Roman" w:hAnsi="Times New Roman"/>
                <w:lang w:val="sr-Latn-BA"/>
              </w:rPr>
              <w:t xml:space="preserve"> </w:t>
            </w:r>
            <w:r>
              <w:rPr>
                <w:rFonts w:ascii="Times New Roman" w:hAnsi="Times New Roman"/>
                <w:lang w:val="sr-Latn-BA"/>
              </w:rPr>
              <w:t>и</w:t>
            </w:r>
            <w:r w:rsidR="00AE2BD2">
              <w:rPr>
                <w:rFonts w:ascii="Times New Roman" w:hAnsi="Times New Roman"/>
                <w:lang w:val="sr-Latn-BA"/>
              </w:rPr>
              <w:t xml:space="preserve"> </w:t>
            </w:r>
            <w:r>
              <w:rPr>
                <w:rFonts w:ascii="Times New Roman" w:hAnsi="Times New Roman"/>
                <w:lang w:val="sr-Latn-BA"/>
              </w:rPr>
              <w:t>информаци</w:t>
            </w:r>
            <w:r w:rsidR="00113A80">
              <w:rPr>
                <w:rFonts w:ascii="Times New Roman" w:hAnsi="Times New Roman"/>
                <w:lang w:val="sr-Cyrl-BA"/>
              </w:rPr>
              <w:t>оно</w:t>
            </w:r>
            <w:r w:rsidR="00C110AB">
              <w:rPr>
                <w:rFonts w:ascii="Times New Roman" w:hAnsi="Times New Roman"/>
                <w:lang w:val="sr-Latn-BA"/>
              </w:rPr>
              <w:t xml:space="preserve"> </w:t>
            </w:r>
            <w:r>
              <w:rPr>
                <w:rFonts w:ascii="Times New Roman" w:hAnsi="Times New Roman"/>
                <w:lang w:val="sr-Latn-BA"/>
              </w:rPr>
              <w:t>друштво</w:t>
            </w:r>
            <w:r w:rsidR="00AE2BD2" w:rsidRPr="00295637">
              <w:rPr>
                <w:rFonts w:ascii="Times New Roman" w:hAnsi="Times New Roman"/>
                <w:lang w:val="sr-Latn-BA"/>
              </w:rPr>
              <w:t xml:space="preserve"> </w:t>
            </w:r>
            <w:r>
              <w:rPr>
                <w:rFonts w:ascii="Times New Roman" w:hAnsi="Times New Roman"/>
                <w:lang w:val="sr-Latn-BA"/>
              </w:rPr>
              <w:t>Републике</w:t>
            </w:r>
            <w:r w:rsidR="00AE2BD2">
              <w:rPr>
                <w:rFonts w:ascii="Times New Roman" w:hAnsi="Times New Roman"/>
                <w:lang w:val="sr-Latn-BA"/>
              </w:rPr>
              <w:t xml:space="preserve"> </w:t>
            </w:r>
            <w:r>
              <w:rPr>
                <w:rFonts w:ascii="Times New Roman" w:hAnsi="Times New Roman"/>
                <w:lang w:val="sr-Latn-BA"/>
              </w:rPr>
              <w:t>Српске</w:t>
            </w:r>
          </w:p>
          <w:p w:rsidR="00AB33B8" w:rsidRPr="00295637" w:rsidRDefault="00C6214E" w:rsidP="0086268D">
            <w:pPr>
              <w:rPr>
                <w:rFonts w:ascii="Times New Roman" w:hAnsi="Times New Roman"/>
                <w:szCs w:val="24"/>
              </w:rPr>
            </w:pPr>
            <w:r>
              <w:rPr>
                <w:rFonts w:ascii="Times New Roman" w:hAnsi="Times New Roman"/>
                <w:lang w:val="sr-Latn-BA"/>
              </w:rPr>
              <w:t>Министарство</w:t>
            </w:r>
            <w:r w:rsidR="00AB33B8" w:rsidRPr="00295637">
              <w:rPr>
                <w:rFonts w:ascii="Times New Roman" w:hAnsi="Times New Roman"/>
                <w:lang w:val="sr-Latn-BA"/>
              </w:rPr>
              <w:t xml:space="preserve"> </w:t>
            </w:r>
            <w:r>
              <w:rPr>
                <w:rFonts w:ascii="Times New Roman" w:hAnsi="Times New Roman"/>
                <w:lang w:val="sr-Latn-BA"/>
              </w:rPr>
              <w:t>здравља</w:t>
            </w:r>
            <w:r w:rsidR="00AB33B8" w:rsidRPr="00295637">
              <w:rPr>
                <w:rFonts w:ascii="Times New Roman" w:hAnsi="Times New Roman"/>
                <w:lang w:val="sr-Latn-BA"/>
              </w:rPr>
              <w:t xml:space="preserve"> </w:t>
            </w:r>
            <w:r>
              <w:rPr>
                <w:rFonts w:ascii="Times New Roman" w:hAnsi="Times New Roman"/>
                <w:lang w:val="sr-Latn-BA"/>
              </w:rPr>
              <w:t>и</w:t>
            </w:r>
            <w:r w:rsidR="00AB33B8" w:rsidRPr="00295637">
              <w:rPr>
                <w:rFonts w:ascii="Times New Roman" w:hAnsi="Times New Roman"/>
                <w:lang w:val="sr-Latn-BA"/>
              </w:rPr>
              <w:t xml:space="preserve"> </w:t>
            </w:r>
            <w:r>
              <w:rPr>
                <w:rFonts w:ascii="Times New Roman" w:hAnsi="Times New Roman"/>
                <w:lang w:val="sr-Latn-BA"/>
              </w:rPr>
              <w:t>социјалне</w:t>
            </w:r>
            <w:r w:rsidR="00AB33B8" w:rsidRPr="00295637">
              <w:rPr>
                <w:rFonts w:ascii="Times New Roman" w:hAnsi="Times New Roman"/>
                <w:lang w:val="sr-Latn-BA"/>
              </w:rPr>
              <w:t xml:space="preserve"> </w:t>
            </w:r>
            <w:r>
              <w:rPr>
                <w:rFonts w:ascii="Times New Roman" w:hAnsi="Times New Roman"/>
                <w:lang w:val="sr-Latn-BA"/>
              </w:rPr>
              <w:t>заштите</w:t>
            </w:r>
            <w:r w:rsidR="00AB33B8" w:rsidRPr="00295637">
              <w:rPr>
                <w:rFonts w:ascii="Times New Roman" w:hAnsi="Times New Roman"/>
                <w:lang w:val="sr-Latn-BA"/>
              </w:rPr>
              <w:t xml:space="preserve"> </w:t>
            </w:r>
            <w:r>
              <w:rPr>
                <w:rFonts w:ascii="Times New Roman" w:hAnsi="Times New Roman"/>
                <w:lang w:val="sr-Latn-BA"/>
              </w:rPr>
              <w:t>Републике</w:t>
            </w:r>
            <w:r w:rsidR="00AB33B8" w:rsidRPr="00295637">
              <w:rPr>
                <w:rFonts w:ascii="Times New Roman" w:hAnsi="Times New Roman"/>
                <w:lang w:val="sr-Latn-BA"/>
              </w:rPr>
              <w:t xml:space="preserve"> </w:t>
            </w:r>
            <w:r>
              <w:rPr>
                <w:rFonts w:ascii="Times New Roman" w:hAnsi="Times New Roman"/>
                <w:lang w:val="sr-Latn-BA"/>
              </w:rPr>
              <w:t>Српске</w:t>
            </w:r>
          </w:p>
          <w:p w:rsidR="00AB33B8" w:rsidRPr="00295637" w:rsidRDefault="00C6214E" w:rsidP="0086268D">
            <w:pPr>
              <w:rPr>
                <w:rFonts w:ascii="Times New Roman" w:hAnsi="Times New Roman"/>
                <w:szCs w:val="24"/>
              </w:rPr>
            </w:pPr>
            <w:r>
              <w:rPr>
                <w:rFonts w:ascii="Times New Roman" w:hAnsi="Times New Roman"/>
                <w:szCs w:val="24"/>
                <w:lang w:val="sr-Cyrl-BA"/>
              </w:rPr>
              <w:t>Министарство</w:t>
            </w:r>
            <w:r w:rsidR="00AB33B8" w:rsidRPr="00295637">
              <w:rPr>
                <w:rFonts w:ascii="Times New Roman" w:hAnsi="Times New Roman"/>
                <w:szCs w:val="24"/>
                <w:lang w:val="sr-Cyrl-BA"/>
              </w:rPr>
              <w:t xml:space="preserve"> </w:t>
            </w:r>
            <w:r>
              <w:rPr>
                <w:rFonts w:ascii="Times New Roman" w:hAnsi="Times New Roman"/>
                <w:szCs w:val="24"/>
                <w:lang w:val="sr-Cyrl-BA"/>
              </w:rPr>
              <w:t>привреде</w:t>
            </w:r>
            <w:r w:rsidR="00AB33B8" w:rsidRPr="00295637">
              <w:rPr>
                <w:rFonts w:ascii="Times New Roman" w:hAnsi="Times New Roman"/>
                <w:szCs w:val="24"/>
                <w:lang w:val="sr-Cyrl-BA"/>
              </w:rPr>
              <w:t xml:space="preserve"> </w:t>
            </w:r>
            <w:r>
              <w:rPr>
                <w:rFonts w:ascii="Times New Roman" w:hAnsi="Times New Roman"/>
                <w:szCs w:val="24"/>
                <w:lang w:val="sr-Cyrl-BA"/>
              </w:rPr>
              <w:t>и</w:t>
            </w:r>
            <w:r w:rsidR="00AB33B8" w:rsidRPr="00295637">
              <w:rPr>
                <w:rFonts w:ascii="Times New Roman" w:hAnsi="Times New Roman"/>
                <w:szCs w:val="24"/>
                <w:lang w:val="sr-Cyrl-BA"/>
              </w:rPr>
              <w:t xml:space="preserve"> </w:t>
            </w:r>
            <w:r>
              <w:rPr>
                <w:rFonts w:ascii="Times New Roman" w:hAnsi="Times New Roman"/>
                <w:szCs w:val="24"/>
                <w:lang w:val="sr-Cyrl-BA"/>
              </w:rPr>
              <w:t>п</w:t>
            </w:r>
            <w:r>
              <w:rPr>
                <w:rFonts w:ascii="Times New Roman" w:hAnsi="Times New Roman"/>
                <w:szCs w:val="24"/>
                <w:lang w:val="hr-HR"/>
              </w:rPr>
              <w:t>ре</w:t>
            </w:r>
            <w:r>
              <w:rPr>
                <w:rFonts w:ascii="Times New Roman" w:hAnsi="Times New Roman"/>
                <w:szCs w:val="24"/>
                <w:lang w:val="sr-Cyrl-BA"/>
              </w:rPr>
              <w:t>дузетништва</w:t>
            </w:r>
            <w:r w:rsidR="00AB33B8" w:rsidRPr="00295637">
              <w:rPr>
                <w:rFonts w:ascii="Times New Roman" w:hAnsi="Times New Roman"/>
                <w:szCs w:val="24"/>
                <w:lang w:val="sr-Latn-BA"/>
              </w:rPr>
              <w:t xml:space="preserve"> </w:t>
            </w:r>
            <w:r>
              <w:rPr>
                <w:rFonts w:ascii="Times New Roman" w:hAnsi="Times New Roman"/>
                <w:szCs w:val="24"/>
                <w:lang w:val="sr-Latn-BA"/>
              </w:rPr>
              <w:t>Републике</w:t>
            </w:r>
            <w:r w:rsidR="00571E94">
              <w:rPr>
                <w:rFonts w:ascii="Times New Roman" w:hAnsi="Times New Roman"/>
                <w:szCs w:val="24"/>
                <w:lang w:val="sr-Latn-BA"/>
              </w:rPr>
              <w:t xml:space="preserve"> </w:t>
            </w:r>
            <w:r>
              <w:rPr>
                <w:rFonts w:ascii="Times New Roman" w:hAnsi="Times New Roman"/>
                <w:szCs w:val="24"/>
                <w:lang w:val="sr-Latn-BA"/>
              </w:rPr>
              <w:t>Српске</w:t>
            </w:r>
          </w:p>
          <w:p w:rsidR="00AB33B8" w:rsidRPr="00295637" w:rsidRDefault="00C6214E" w:rsidP="003D15A6">
            <w:pPr>
              <w:rPr>
                <w:rFonts w:ascii="Times New Roman" w:hAnsi="Times New Roman"/>
                <w:szCs w:val="24"/>
              </w:rPr>
            </w:pPr>
            <w:r>
              <w:rPr>
                <w:rFonts w:ascii="Times New Roman" w:hAnsi="Times New Roman"/>
                <w:szCs w:val="24"/>
              </w:rPr>
              <w:t>Министарство</w:t>
            </w:r>
            <w:r w:rsidR="00AB33B8" w:rsidRPr="00295637">
              <w:rPr>
                <w:rFonts w:ascii="Times New Roman" w:hAnsi="Times New Roman"/>
                <w:szCs w:val="24"/>
              </w:rPr>
              <w:t xml:space="preserve"> </w:t>
            </w:r>
            <w:r>
              <w:rPr>
                <w:rFonts w:ascii="Times New Roman" w:hAnsi="Times New Roman"/>
                <w:szCs w:val="24"/>
              </w:rPr>
              <w:t>унутрашњих</w:t>
            </w:r>
            <w:r w:rsidR="00AB33B8" w:rsidRPr="00295637">
              <w:rPr>
                <w:rFonts w:ascii="Times New Roman" w:hAnsi="Times New Roman"/>
                <w:szCs w:val="24"/>
              </w:rPr>
              <w:t xml:space="preserve"> </w:t>
            </w:r>
            <w:r>
              <w:rPr>
                <w:rFonts w:ascii="Times New Roman" w:hAnsi="Times New Roman"/>
                <w:szCs w:val="24"/>
              </w:rPr>
              <w:t>послова</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НВО</w:t>
            </w:r>
            <w:r w:rsidR="00AB33B8" w:rsidRPr="00295637">
              <w:rPr>
                <w:rFonts w:ascii="Times New Roman" w:hAnsi="Times New Roman"/>
                <w:szCs w:val="24"/>
              </w:rPr>
              <w:t xml:space="preserve">  </w:t>
            </w:r>
            <w:r w:rsidR="00AB33B8" w:rsidRPr="00295637">
              <w:rPr>
                <w:rFonts w:ascii="Times New Roman" w:hAnsi="Times New Roman"/>
                <w:szCs w:val="24"/>
              </w:rPr>
              <w:tab/>
            </w:r>
            <w:r w:rsidR="00AB33B8" w:rsidRPr="00295637">
              <w:rPr>
                <w:rFonts w:ascii="Times New Roman" w:hAnsi="Times New Roman"/>
                <w:szCs w:val="24"/>
              </w:rPr>
              <w:tab/>
            </w:r>
          </w:p>
        </w:tc>
        <w:tc>
          <w:tcPr>
            <w:tcW w:w="8100" w:type="dxa"/>
          </w:tcPr>
          <w:p w:rsidR="00AB33B8" w:rsidRPr="00295637" w:rsidRDefault="00F51978" w:rsidP="0086268D">
            <w:pPr>
              <w:rPr>
                <w:rFonts w:ascii="Times New Roman" w:hAnsi="Times New Roman"/>
                <w:szCs w:val="24"/>
              </w:rPr>
            </w:pPr>
            <w:r>
              <w:rPr>
                <w:rFonts w:ascii="Times New Roman" w:hAnsi="Times New Roman"/>
                <w:szCs w:val="24"/>
              </w:rPr>
              <w:t>н</w:t>
            </w:r>
            <w:r w:rsidR="00C6214E">
              <w:rPr>
                <w:rFonts w:ascii="Times New Roman" w:hAnsi="Times New Roman"/>
                <w:szCs w:val="24"/>
              </w:rPr>
              <w:t>евладина</w:t>
            </w:r>
            <w:r w:rsidR="00AB33B8" w:rsidRPr="00295637">
              <w:rPr>
                <w:rFonts w:ascii="Times New Roman" w:hAnsi="Times New Roman"/>
                <w:szCs w:val="24"/>
              </w:rPr>
              <w:t xml:space="preserve"> </w:t>
            </w:r>
            <w:r w:rsidR="00C6214E">
              <w:rPr>
                <w:rFonts w:ascii="Times New Roman" w:hAnsi="Times New Roman"/>
                <w:szCs w:val="24"/>
              </w:rPr>
              <w:t>организација</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МОР</w:t>
            </w:r>
          </w:p>
          <w:p w:rsidR="00AB33B8" w:rsidRPr="00295637" w:rsidRDefault="00C6214E" w:rsidP="0086268D">
            <w:pPr>
              <w:rPr>
                <w:rFonts w:ascii="Times New Roman" w:hAnsi="Times New Roman"/>
                <w:szCs w:val="24"/>
              </w:rPr>
            </w:pPr>
            <w:r>
              <w:rPr>
                <w:rFonts w:ascii="Times New Roman" w:hAnsi="Times New Roman"/>
                <w:szCs w:val="24"/>
              </w:rPr>
              <w:t>ОС</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Међународна</w:t>
            </w:r>
            <w:r w:rsidR="00AB33B8" w:rsidRPr="00295637">
              <w:rPr>
                <w:rFonts w:ascii="Times New Roman" w:hAnsi="Times New Roman"/>
                <w:szCs w:val="24"/>
              </w:rPr>
              <w:t xml:space="preserve"> </w:t>
            </w:r>
            <w:r>
              <w:rPr>
                <w:rFonts w:ascii="Times New Roman" w:hAnsi="Times New Roman"/>
                <w:szCs w:val="24"/>
              </w:rPr>
              <w:t>организација</w:t>
            </w:r>
            <w:r w:rsidR="00AB33B8" w:rsidRPr="00295637">
              <w:rPr>
                <w:rFonts w:ascii="Times New Roman" w:hAnsi="Times New Roman"/>
                <w:szCs w:val="24"/>
              </w:rPr>
              <w:t xml:space="preserve"> </w:t>
            </w:r>
            <w:r>
              <w:rPr>
                <w:rFonts w:ascii="Times New Roman" w:hAnsi="Times New Roman"/>
                <w:szCs w:val="24"/>
              </w:rPr>
              <w:t>рада</w:t>
            </w:r>
          </w:p>
          <w:p w:rsidR="00AB33B8" w:rsidRPr="00295637" w:rsidRDefault="00C6214E" w:rsidP="0086268D">
            <w:pPr>
              <w:rPr>
                <w:rFonts w:ascii="Times New Roman" w:hAnsi="Times New Roman"/>
                <w:szCs w:val="24"/>
              </w:rPr>
            </w:pPr>
            <w:r>
              <w:rPr>
                <w:rFonts w:ascii="Times New Roman" w:hAnsi="Times New Roman"/>
                <w:szCs w:val="24"/>
              </w:rPr>
              <w:t>Оружане</w:t>
            </w:r>
            <w:r w:rsidR="00AB33B8" w:rsidRPr="00295637">
              <w:rPr>
                <w:rFonts w:ascii="Times New Roman" w:hAnsi="Times New Roman"/>
                <w:szCs w:val="24"/>
              </w:rPr>
              <w:t xml:space="preserve"> </w:t>
            </w:r>
            <w:r>
              <w:rPr>
                <w:rFonts w:ascii="Times New Roman" w:hAnsi="Times New Roman"/>
                <w:szCs w:val="24"/>
              </w:rPr>
              <w:t>снаге</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tc>
      </w:tr>
      <w:tr w:rsidR="00AB33B8" w:rsidRPr="00295637" w:rsidTr="00365441">
        <w:tc>
          <w:tcPr>
            <w:tcW w:w="2628" w:type="dxa"/>
          </w:tcPr>
          <w:p w:rsidR="00AB33B8" w:rsidRPr="00295637" w:rsidRDefault="00C6214E" w:rsidP="00113A80">
            <w:pPr>
              <w:rPr>
                <w:rFonts w:ascii="Times New Roman" w:hAnsi="Times New Roman"/>
                <w:szCs w:val="24"/>
              </w:rPr>
            </w:pPr>
            <w:r>
              <w:rPr>
                <w:rFonts w:ascii="Times New Roman" w:hAnsi="Times New Roman"/>
                <w:szCs w:val="24"/>
              </w:rPr>
              <w:t>О</w:t>
            </w:r>
            <w:r w:rsidR="00113A80">
              <w:rPr>
                <w:rFonts w:ascii="Times New Roman" w:hAnsi="Times New Roman"/>
                <w:szCs w:val="24"/>
                <w:lang w:val="sr-Cyrl-BA"/>
              </w:rPr>
              <w:t>ЕБС</w:t>
            </w:r>
            <w:r w:rsidR="00AB33B8" w:rsidRPr="00295637">
              <w:rPr>
                <w:rFonts w:ascii="Times New Roman" w:hAnsi="Times New Roman"/>
                <w:szCs w:val="24"/>
              </w:rPr>
              <w:t xml:space="preserve">   </w:t>
            </w:r>
            <w:r w:rsidR="00AB33B8" w:rsidRPr="00295637">
              <w:rPr>
                <w:rFonts w:ascii="Times New Roman" w:hAnsi="Times New Roman"/>
                <w:szCs w:val="24"/>
              </w:rPr>
              <w:tab/>
            </w:r>
            <w:r w:rsidR="00AB33B8" w:rsidRPr="00295637">
              <w:rPr>
                <w:rFonts w:ascii="Times New Roman" w:hAnsi="Times New Roman"/>
                <w:szCs w:val="24"/>
              </w:rPr>
              <w:tab/>
            </w:r>
          </w:p>
        </w:tc>
        <w:tc>
          <w:tcPr>
            <w:tcW w:w="8100" w:type="dxa"/>
          </w:tcPr>
          <w:p w:rsidR="00AB33B8" w:rsidRPr="00295637" w:rsidRDefault="00C6214E" w:rsidP="00113A80">
            <w:pPr>
              <w:rPr>
                <w:rFonts w:ascii="Times New Roman" w:hAnsi="Times New Roman"/>
                <w:szCs w:val="24"/>
              </w:rPr>
            </w:pPr>
            <w:r>
              <w:rPr>
                <w:rFonts w:ascii="Times New Roman" w:hAnsi="Times New Roman"/>
                <w:szCs w:val="24"/>
              </w:rPr>
              <w:t>Организација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sidR="00113A80">
              <w:rPr>
                <w:rFonts w:ascii="Times New Roman" w:hAnsi="Times New Roman"/>
                <w:szCs w:val="24"/>
                <w:lang w:val="sr-Cyrl-BA"/>
              </w:rPr>
              <w:t xml:space="preserve">безбједност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сарадњу</w:t>
            </w:r>
            <w:r w:rsidR="00AB33B8" w:rsidRPr="00295637">
              <w:rPr>
                <w:rFonts w:ascii="Times New Roman" w:hAnsi="Times New Roman"/>
                <w:szCs w:val="24"/>
              </w:rPr>
              <w:t xml:space="preserve"> </w:t>
            </w:r>
            <w:r>
              <w:rPr>
                <w:rFonts w:ascii="Times New Roman" w:hAnsi="Times New Roman"/>
                <w:szCs w:val="24"/>
              </w:rPr>
              <w:t>у</w:t>
            </w:r>
            <w:r w:rsidR="00AB33B8" w:rsidRPr="00295637">
              <w:rPr>
                <w:rFonts w:ascii="Times New Roman" w:hAnsi="Times New Roman"/>
                <w:szCs w:val="24"/>
              </w:rPr>
              <w:t xml:space="preserve"> </w:t>
            </w:r>
            <w:r>
              <w:rPr>
                <w:rFonts w:ascii="Times New Roman" w:hAnsi="Times New Roman"/>
                <w:szCs w:val="24"/>
              </w:rPr>
              <w:t>Европи</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ОВ</w:t>
            </w:r>
            <w:r w:rsidR="00AB33B8" w:rsidRPr="00295637">
              <w:rPr>
                <w:rFonts w:ascii="Times New Roman" w:hAnsi="Times New Roman"/>
                <w:szCs w:val="24"/>
              </w:rPr>
              <w:t>/</w:t>
            </w:r>
            <w:r>
              <w:rPr>
                <w:rFonts w:ascii="Times New Roman" w:hAnsi="Times New Roman"/>
                <w:szCs w:val="24"/>
              </w:rPr>
              <w:t>СО</w:t>
            </w:r>
            <w:r w:rsidR="00AB33B8" w:rsidRPr="00295637">
              <w:rPr>
                <w:rFonts w:ascii="Times New Roman" w:hAnsi="Times New Roman"/>
                <w:szCs w:val="24"/>
              </w:rPr>
              <w:t>/</w:t>
            </w:r>
            <w:r>
              <w:rPr>
                <w:rFonts w:ascii="Times New Roman" w:hAnsi="Times New Roman"/>
                <w:szCs w:val="24"/>
              </w:rPr>
              <w:t>ГВ</w:t>
            </w:r>
            <w:r w:rsidR="00AB33B8" w:rsidRPr="00295637">
              <w:rPr>
                <w:rFonts w:ascii="Times New Roman" w:hAnsi="Times New Roman"/>
                <w:szCs w:val="24"/>
              </w:rPr>
              <w:t>/</w:t>
            </w:r>
            <w:r>
              <w:rPr>
                <w:rFonts w:ascii="Times New Roman" w:hAnsi="Times New Roman"/>
                <w:szCs w:val="24"/>
              </w:rPr>
              <w:t>СГ</w:t>
            </w:r>
            <w:r w:rsidR="00AB33B8" w:rsidRPr="00295637">
              <w:rPr>
                <w:rFonts w:ascii="Times New Roman" w:hAnsi="Times New Roman"/>
                <w:szCs w:val="24"/>
              </w:rPr>
              <w:t>/</w:t>
            </w:r>
            <w:r>
              <w:rPr>
                <w:rFonts w:ascii="Times New Roman" w:hAnsi="Times New Roman"/>
                <w:szCs w:val="24"/>
              </w:rPr>
              <w:t>СД</w:t>
            </w:r>
          </w:p>
          <w:p w:rsidR="00AB33B8" w:rsidRPr="00295637" w:rsidRDefault="00AB33B8" w:rsidP="0086268D">
            <w:pPr>
              <w:rPr>
                <w:rFonts w:ascii="Times New Roman" w:hAnsi="Times New Roman"/>
                <w:szCs w:val="24"/>
              </w:rPr>
            </w:pPr>
          </w:p>
          <w:p w:rsidR="00AB33B8" w:rsidRPr="00295637" w:rsidRDefault="00C6214E" w:rsidP="0086268D">
            <w:pPr>
              <w:rPr>
                <w:rFonts w:ascii="Times New Roman" w:hAnsi="Times New Roman"/>
                <w:szCs w:val="24"/>
              </w:rPr>
            </w:pPr>
            <w:r>
              <w:rPr>
                <w:rFonts w:ascii="Times New Roman" w:hAnsi="Times New Roman"/>
                <w:szCs w:val="24"/>
              </w:rPr>
              <w:t>ПА</w:t>
            </w:r>
          </w:p>
          <w:p w:rsidR="00AB33B8" w:rsidRPr="00295637" w:rsidRDefault="00C6214E" w:rsidP="0086268D">
            <w:pPr>
              <w:rPr>
                <w:rFonts w:ascii="Times New Roman" w:hAnsi="Times New Roman"/>
                <w:szCs w:val="24"/>
              </w:rPr>
            </w:pPr>
            <w:r>
              <w:rPr>
                <w:rFonts w:ascii="Times New Roman" w:hAnsi="Times New Roman"/>
                <w:szCs w:val="24"/>
              </w:rPr>
              <w:t>ПС</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p w:rsidR="00AB33B8" w:rsidRPr="00295637" w:rsidRDefault="00C6214E" w:rsidP="0086268D">
            <w:pPr>
              <w:rPr>
                <w:rFonts w:ascii="Times New Roman" w:hAnsi="Times New Roman"/>
                <w:szCs w:val="24"/>
              </w:rPr>
            </w:pPr>
            <w:r>
              <w:rPr>
                <w:rFonts w:ascii="Times New Roman" w:hAnsi="Times New Roman"/>
                <w:szCs w:val="24"/>
              </w:rPr>
              <w:t>ПД</w:t>
            </w:r>
            <w:r w:rsidR="00AB33B8" w:rsidRPr="00295637">
              <w:rPr>
                <w:rFonts w:ascii="Times New Roman" w:hAnsi="Times New Roman"/>
                <w:szCs w:val="24"/>
              </w:rPr>
              <w:t xml:space="preserve"> </w:t>
            </w:r>
            <w:r>
              <w:rPr>
                <w:rFonts w:ascii="Times New Roman" w:hAnsi="Times New Roman"/>
                <w:szCs w:val="24"/>
              </w:rPr>
              <w:t>ПС</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tc>
        <w:tc>
          <w:tcPr>
            <w:tcW w:w="8100" w:type="dxa"/>
          </w:tcPr>
          <w:p w:rsidR="002A6D3D" w:rsidRDefault="00C6214E" w:rsidP="0086268D">
            <w:pPr>
              <w:rPr>
                <w:rFonts w:ascii="Times New Roman" w:hAnsi="Times New Roman"/>
                <w:szCs w:val="24"/>
              </w:rPr>
            </w:pPr>
            <w:r>
              <w:rPr>
                <w:rFonts w:ascii="Times New Roman" w:hAnsi="Times New Roman"/>
                <w:szCs w:val="24"/>
              </w:rPr>
              <w:t>Оп</w:t>
            </w:r>
            <w:r w:rsidR="00113A80">
              <w:rPr>
                <w:rFonts w:ascii="Times New Roman" w:hAnsi="Times New Roman"/>
                <w:szCs w:val="24"/>
                <w:lang w:val="sr-Cyrl-BA"/>
              </w:rPr>
              <w:t>шт</w:t>
            </w:r>
            <w:r>
              <w:rPr>
                <w:rFonts w:ascii="Times New Roman" w:hAnsi="Times New Roman"/>
                <w:szCs w:val="24"/>
              </w:rPr>
              <w:t>инско</w:t>
            </w:r>
            <w:r w:rsidR="00C110AB">
              <w:rPr>
                <w:rFonts w:ascii="Times New Roman" w:hAnsi="Times New Roman"/>
                <w:szCs w:val="24"/>
              </w:rPr>
              <w:t xml:space="preserve"> </w:t>
            </w:r>
            <w:r>
              <w:rPr>
                <w:rFonts w:ascii="Times New Roman" w:hAnsi="Times New Roman"/>
                <w:szCs w:val="24"/>
              </w:rPr>
              <w:t>вијеће</w:t>
            </w:r>
            <w:r w:rsidR="00C110AB">
              <w:rPr>
                <w:rFonts w:ascii="Times New Roman" w:hAnsi="Times New Roman"/>
                <w:szCs w:val="24"/>
              </w:rPr>
              <w:t>/</w:t>
            </w:r>
            <w:r>
              <w:rPr>
                <w:rFonts w:ascii="Times New Roman" w:hAnsi="Times New Roman"/>
                <w:szCs w:val="24"/>
              </w:rPr>
              <w:t>Скупштина</w:t>
            </w:r>
            <w:r w:rsidR="00C110AB">
              <w:rPr>
                <w:rFonts w:ascii="Times New Roman" w:hAnsi="Times New Roman"/>
                <w:szCs w:val="24"/>
              </w:rPr>
              <w:t xml:space="preserve"> </w:t>
            </w:r>
            <w:r>
              <w:rPr>
                <w:rFonts w:ascii="Times New Roman" w:hAnsi="Times New Roman"/>
                <w:szCs w:val="24"/>
              </w:rPr>
              <w:t>оп</w:t>
            </w:r>
            <w:r w:rsidR="00113A80">
              <w:rPr>
                <w:rFonts w:ascii="Times New Roman" w:hAnsi="Times New Roman"/>
                <w:szCs w:val="24"/>
                <w:lang w:val="sr-Cyrl-BA"/>
              </w:rPr>
              <w:t>шт</w:t>
            </w:r>
            <w:r>
              <w:rPr>
                <w:rFonts w:ascii="Times New Roman" w:hAnsi="Times New Roman"/>
                <w:szCs w:val="24"/>
              </w:rPr>
              <w:t>ине</w:t>
            </w:r>
            <w:r w:rsidR="00C110AB">
              <w:rPr>
                <w:rFonts w:ascii="Times New Roman" w:hAnsi="Times New Roman"/>
                <w:szCs w:val="24"/>
              </w:rPr>
              <w:t>/</w:t>
            </w:r>
            <w:r>
              <w:rPr>
                <w:rFonts w:ascii="Times New Roman" w:hAnsi="Times New Roman"/>
                <w:szCs w:val="24"/>
              </w:rPr>
              <w:t>Градско</w:t>
            </w:r>
            <w:r w:rsidR="00AB33B8" w:rsidRPr="00295637">
              <w:rPr>
                <w:rFonts w:ascii="Times New Roman" w:hAnsi="Times New Roman"/>
                <w:szCs w:val="24"/>
              </w:rPr>
              <w:t xml:space="preserve"> </w:t>
            </w:r>
            <w:r>
              <w:rPr>
                <w:rFonts w:ascii="Times New Roman" w:hAnsi="Times New Roman"/>
                <w:szCs w:val="24"/>
              </w:rPr>
              <w:t>вијеће</w:t>
            </w:r>
            <w:r w:rsidR="00AB33B8" w:rsidRPr="00295637">
              <w:rPr>
                <w:rFonts w:ascii="Times New Roman" w:hAnsi="Times New Roman"/>
                <w:szCs w:val="24"/>
              </w:rPr>
              <w:t>/</w:t>
            </w:r>
            <w:r>
              <w:rPr>
                <w:rFonts w:ascii="Times New Roman" w:hAnsi="Times New Roman"/>
                <w:szCs w:val="24"/>
              </w:rPr>
              <w:t>Скупштина</w:t>
            </w:r>
            <w:r w:rsidR="00AB33B8" w:rsidRPr="00295637">
              <w:rPr>
                <w:rFonts w:ascii="Times New Roman" w:hAnsi="Times New Roman"/>
                <w:szCs w:val="24"/>
              </w:rPr>
              <w:t xml:space="preserve"> </w:t>
            </w:r>
            <w:r>
              <w:rPr>
                <w:rFonts w:ascii="Times New Roman" w:hAnsi="Times New Roman"/>
                <w:szCs w:val="24"/>
              </w:rPr>
              <w:t>града</w:t>
            </w:r>
            <w:r w:rsidR="00AB33B8" w:rsidRPr="00295637">
              <w:rPr>
                <w:rFonts w:ascii="Times New Roman" w:hAnsi="Times New Roman"/>
                <w:szCs w:val="24"/>
              </w:rPr>
              <w:t>/</w:t>
            </w:r>
          </w:p>
          <w:p w:rsidR="00AB33B8" w:rsidRPr="00295637" w:rsidRDefault="00C6214E" w:rsidP="0086268D">
            <w:pPr>
              <w:rPr>
                <w:rFonts w:ascii="Times New Roman" w:hAnsi="Times New Roman"/>
                <w:szCs w:val="24"/>
              </w:rPr>
            </w:pPr>
            <w:r>
              <w:rPr>
                <w:rFonts w:ascii="Times New Roman" w:hAnsi="Times New Roman"/>
                <w:szCs w:val="24"/>
              </w:rPr>
              <w:t>Скупштина</w:t>
            </w:r>
            <w:r w:rsidR="00AB33B8" w:rsidRPr="00295637">
              <w:rPr>
                <w:rFonts w:ascii="Times New Roman" w:hAnsi="Times New Roman"/>
                <w:szCs w:val="24"/>
              </w:rPr>
              <w:t xml:space="preserve"> </w:t>
            </w:r>
            <w:r>
              <w:rPr>
                <w:rFonts w:ascii="Times New Roman" w:hAnsi="Times New Roman"/>
                <w:szCs w:val="24"/>
              </w:rPr>
              <w:t>БД</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p w:rsidR="00AB33B8" w:rsidRPr="00295637" w:rsidRDefault="00C6214E" w:rsidP="0086268D">
            <w:pPr>
              <w:rPr>
                <w:rFonts w:ascii="Times New Roman" w:hAnsi="Times New Roman"/>
                <w:szCs w:val="24"/>
              </w:rPr>
            </w:pPr>
            <w:r>
              <w:rPr>
                <w:rFonts w:ascii="Times New Roman" w:hAnsi="Times New Roman"/>
                <w:szCs w:val="24"/>
              </w:rPr>
              <w:t>Полицијска</w:t>
            </w:r>
            <w:r w:rsidR="00AB33B8" w:rsidRPr="00295637">
              <w:rPr>
                <w:rFonts w:ascii="Times New Roman" w:hAnsi="Times New Roman"/>
                <w:szCs w:val="24"/>
              </w:rPr>
              <w:t xml:space="preserve"> </w:t>
            </w:r>
            <w:r>
              <w:rPr>
                <w:rFonts w:ascii="Times New Roman" w:hAnsi="Times New Roman"/>
                <w:szCs w:val="24"/>
              </w:rPr>
              <w:t>академија</w:t>
            </w:r>
          </w:p>
          <w:p w:rsidR="00AB33B8" w:rsidRPr="00295637" w:rsidRDefault="00C6214E" w:rsidP="0086268D">
            <w:pPr>
              <w:rPr>
                <w:rFonts w:ascii="Times New Roman" w:hAnsi="Times New Roman"/>
                <w:szCs w:val="24"/>
              </w:rPr>
            </w:pPr>
            <w:r>
              <w:rPr>
                <w:rFonts w:ascii="Times New Roman" w:hAnsi="Times New Roman"/>
                <w:szCs w:val="24"/>
              </w:rPr>
              <w:t>Парламентарна</w:t>
            </w:r>
            <w:r w:rsidR="00AB33B8" w:rsidRPr="00295637">
              <w:rPr>
                <w:rFonts w:ascii="Times New Roman" w:hAnsi="Times New Roman"/>
                <w:szCs w:val="24"/>
              </w:rPr>
              <w:t xml:space="preserve"> </w:t>
            </w:r>
            <w:r>
              <w:rPr>
                <w:rFonts w:ascii="Times New Roman" w:hAnsi="Times New Roman"/>
                <w:szCs w:val="24"/>
              </w:rPr>
              <w:t>скупштина</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p w:rsidR="00AB33B8" w:rsidRPr="00295637" w:rsidRDefault="00C6214E" w:rsidP="0086268D">
            <w:pPr>
              <w:rPr>
                <w:rFonts w:ascii="Times New Roman" w:hAnsi="Times New Roman"/>
                <w:szCs w:val="24"/>
              </w:rPr>
            </w:pPr>
            <w:r>
              <w:rPr>
                <w:rFonts w:ascii="Times New Roman" w:hAnsi="Times New Roman"/>
                <w:szCs w:val="24"/>
              </w:rPr>
              <w:t>Представнички</w:t>
            </w:r>
            <w:r w:rsidR="00AB33B8" w:rsidRPr="00295637">
              <w:rPr>
                <w:rFonts w:ascii="Times New Roman" w:hAnsi="Times New Roman"/>
                <w:szCs w:val="24"/>
              </w:rPr>
              <w:t xml:space="preserve"> </w:t>
            </w:r>
            <w:r>
              <w:rPr>
                <w:rFonts w:ascii="Times New Roman" w:hAnsi="Times New Roman"/>
                <w:szCs w:val="24"/>
              </w:rPr>
              <w:t>дом</w:t>
            </w:r>
            <w:r w:rsidR="00AB33B8" w:rsidRPr="00295637">
              <w:rPr>
                <w:rFonts w:ascii="Times New Roman" w:hAnsi="Times New Roman"/>
                <w:szCs w:val="24"/>
              </w:rPr>
              <w:t xml:space="preserve"> </w:t>
            </w:r>
            <w:r>
              <w:rPr>
                <w:rFonts w:ascii="Times New Roman" w:hAnsi="Times New Roman"/>
                <w:szCs w:val="24"/>
              </w:rPr>
              <w:t>Парламентарне</w:t>
            </w:r>
            <w:r w:rsidR="00AB33B8" w:rsidRPr="00295637">
              <w:rPr>
                <w:rFonts w:ascii="Times New Roman" w:hAnsi="Times New Roman"/>
                <w:szCs w:val="24"/>
              </w:rPr>
              <w:t xml:space="preserve"> </w:t>
            </w:r>
            <w:r>
              <w:rPr>
                <w:rFonts w:ascii="Times New Roman" w:hAnsi="Times New Roman"/>
                <w:szCs w:val="24"/>
              </w:rPr>
              <w:t>скупштине</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p>
        </w:tc>
      </w:tr>
      <w:tr w:rsidR="00AB33B8" w:rsidRPr="00295637" w:rsidTr="00365441">
        <w:tc>
          <w:tcPr>
            <w:tcW w:w="2628" w:type="dxa"/>
          </w:tcPr>
          <w:p w:rsidR="00AB33B8" w:rsidRPr="00295637" w:rsidRDefault="00C6214E" w:rsidP="0086268D">
            <w:pPr>
              <w:rPr>
                <w:rFonts w:ascii="Times New Roman" w:hAnsi="Times New Roman"/>
                <w:szCs w:val="24"/>
              </w:rPr>
            </w:pPr>
            <w:r>
              <w:rPr>
                <w:rFonts w:ascii="Times New Roman" w:hAnsi="Times New Roman"/>
                <w:szCs w:val="24"/>
              </w:rPr>
              <w:t>РС</w:t>
            </w:r>
            <w:r w:rsidR="00AB33B8" w:rsidRPr="00295637">
              <w:rPr>
                <w:rFonts w:ascii="Times New Roman" w:hAnsi="Times New Roman"/>
                <w:szCs w:val="24"/>
              </w:rPr>
              <w:t xml:space="preserve">  </w:t>
            </w:r>
            <w:r w:rsidR="00AB33B8" w:rsidRPr="00295637">
              <w:rPr>
                <w:rFonts w:ascii="Times New Roman" w:hAnsi="Times New Roman"/>
                <w:szCs w:val="24"/>
              </w:rPr>
              <w:tab/>
            </w:r>
            <w:r w:rsidR="00AB33B8" w:rsidRPr="00295637">
              <w:rPr>
                <w:rFonts w:ascii="Times New Roman" w:hAnsi="Times New Roman"/>
                <w:szCs w:val="24"/>
              </w:rPr>
              <w:tab/>
            </w:r>
            <w:r w:rsidR="00AB33B8" w:rsidRPr="00295637">
              <w:rPr>
                <w:rFonts w:ascii="Times New Roman" w:hAnsi="Times New Roman"/>
                <w:szCs w:val="24"/>
              </w:rPr>
              <w:tab/>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Република</w:t>
            </w:r>
            <w:r w:rsidR="00AB33B8" w:rsidRPr="00295637">
              <w:rPr>
                <w:rFonts w:ascii="Times New Roman" w:hAnsi="Times New Roman"/>
                <w:szCs w:val="24"/>
              </w:rPr>
              <w:t xml:space="preserve"> </w:t>
            </w:r>
            <w:r>
              <w:rPr>
                <w:rFonts w:ascii="Times New Roman" w:hAnsi="Times New Roman"/>
                <w:szCs w:val="24"/>
              </w:rPr>
              <w:t>Српска</w:t>
            </w:r>
          </w:p>
        </w:tc>
      </w:tr>
      <w:tr w:rsidR="00AB33B8" w:rsidRPr="00295637" w:rsidTr="00365441">
        <w:tc>
          <w:tcPr>
            <w:tcW w:w="2628" w:type="dxa"/>
          </w:tcPr>
          <w:p w:rsidR="00AB33B8" w:rsidRPr="00113A80" w:rsidRDefault="00113A80" w:rsidP="0086268D">
            <w:pPr>
              <w:rPr>
                <w:rFonts w:ascii="Times New Roman" w:hAnsi="Times New Roman"/>
                <w:i/>
                <w:szCs w:val="24"/>
              </w:rPr>
            </w:pPr>
            <w:r w:rsidRPr="00113A80">
              <w:rPr>
                <w:rFonts w:ascii="Times New Roman" w:hAnsi="Times New Roman"/>
                <w:i/>
                <w:szCs w:val="24"/>
              </w:rPr>
              <w:t>SALW</w:t>
            </w:r>
          </w:p>
          <w:p w:rsidR="00113A80" w:rsidRPr="00113A80" w:rsidRDefault="00113A80" w:rsidP="00113A80">
            <w:pPr>
              <w:rPr>
                <w:rFonts w:ascii="Times New Roman" w:hAnsi="Times New Roman"/>
                <w:i/>
                <w:szCs w:val="24"/>
              </w:rPr>
            </w:pPr>
            <w:r w:rsidRPr="00113A80">
              <w:rPr>
                <w:rFonts w:ascii="Times New Roman" w:hAnsi="Times New Roman"/>
                <w:i/>
                <w:szCs w:val="24"/>
              </w:rPr>
              <w:t>SDG</w:t>
            </w:r>
          </w:p>
          <w:p w:rsidR="00AB33B8" w:rsidRPr="00295637" w:rsidRDefault="00C6214E" w:rsidP="0086268D">
            <w:pPr>
              <w:rPr>
                <w:rFonts w:ascii="Times New Roman" w:hAnsi="Times New Roman"/>
                <w:szCs w:val="24"/>
              </w:rPr>
            </w:pPr>
            <w:r>
              <w:rPr>
                <w:rFonts w:ascii="Times New Roman" w:hAnsi="Times New Roman"/>
                <w:szCs w:val="24"/>
              </w:rPr>
              <w:t>СИПА</w:t>
            </w:r>
            <w:r w:rsidR="00113A80">
              <w:rPr>
                <w:rFonts w:ascii="Times New Roman" w:hAnsi="Times New Roman"/>
                <w:szCs w:val="24"/>
              </w:rPr>
              <w:t xml:space="preserve">  </w:t>
            </w:r>
            <w:r w:rsidR="00113A80">
              <w:rPr>
                <w:rFonts w:ascii="Times New Roman" w:hAnsi="Times New Roman"/>
                <w:szCs w:val="24"/>
              </w:rPr>
              <w:tab/>
            </w:r>
            <w:r w:rsidR="00AB33B8" w:rsidRPr="00295637">
              <w:rPr>
                <w:rFonts w:ascii="Times New Roman" w:hAnsi="Times New Roman"/>
                <w:szCs w:val="24"/>
              </w:rPr>
              <w:tab/>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мало</w:t>
            </w:r>
            <w:r w:rsidR="00AB33B8" w:rsidRPr="00295637">
              <w:rPr>
                <w:rFonts w:ascii="Times New Roman" w:hAnsi="Times New Roman"/>
                <w:szCs w:val="24"/>
              </w:rPr>
              <w:t xml:space="preserve"> </w:t>
            </w:r>
            <w:r>
              <w:rPr>
                <w:rFonts w:ascii="Times New Roman" w:hAnsi="Times New Roman"/>
                <w:szCs w:val="24"/>
              </w:rPr>
              <w:t>оружје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лако</w:t>
            </w:r>
            <w:r w:rsidR="00AB33B8" w:rsidRPr="00295637">
              <w:rPr>
                <w:rFonts w:ascii="Times New Roman" w:hAnsi="Times New Roman"/>
                <w:szCs w:val="24"/>
              </w:rPr>
              <w:t xml:space="preserve"> </w:t>
            </w:r>
            <w:r>
              <w:rPr>
                <w:rFonts w:ascii="Times New Roman" w:hAnsi="Times New Roman"/>
                <w:szCs w:val="24"/>
              </w:rPr>
              <w:t>наоружање</w:t>
            </w:r>
          </w:p>
          <w:p w:rsidR="00326F66" w:rsidRDefault="00C6214E" w:rsidP="0086268D">
            <w:pPr>
              <w:rPr>
                <w:rFonts w:ascii="Times New Roman" w:hAnsi="Times New Roman"/>
                <w:szCs w:val="24"/>
              </w:rPr>
            </w:pPr>
            <w:r>
              <w:rPr>
                <w:rFonts w:ascii="Times New Roman" w:hAnsi="Times New Roman"/>
                <w:szCs w:val="24"/>
              </w:rPr>
              <w:t>Циљеви</w:t>
            </w:r>
            <w:r w:rsidR="00326F66">
              <w:rPr>
                <w:rFonts w:ascii="Times New Roman" w:hAnsi="Times New Roman"/>
                <w:szCs w:val="24"/>
              </w:rPr>
              <w:t xml:space="preserve"> </w:t>
            </w:r>
            <w:r>
              <w:rPr>
                <w:rFonts w:ascii="Times New Roman" w:hAnsi="Times New Roman"/>
                <w:szCs w:val="24"/>
              </w:rPr>
              <w:t>одрживог</w:t>
            </w:r>
            <w:r w:rsidR="00326F66">
              <w:rPr>
                <w:rFonts w:ascii="Times New Roman" w:hAnsi="Times New Roman"/>
                <w:szCs w:val="24"/>
              </w:rPr>
              <w:t xml:space="preserve"> </w:t>
            </w:r>
            <w:r>
              <w:rPr>
                <w:rFonts w:ascii="Times New Roman" w:hAnsi="Times New Roman"/>
                <w:szCs w:val="24"/>
              </w:rPr>
              <w:t>развоја</w:t>
            </w:r>
            <w:r w:rsidR="00326F66">
              <w:rPr>
                <w:rFonts w:ascii="Times New Roman" w:hAnsi="Times New Roman"/>
                <w:szCs w:val="24"/>
              </w:rPr>
              <w:t xml:space="preserve"> </w:t>
            </w:r>
            <w:r>
              <w:rPr>
                <w:rFonts w:ascii="Times New Roman" w:hAnsi="Times New Roman"/>
                <w:szCs w:val="24"/>
              </w:rPr>
              <w:t>Уједињених</w:t>
            </w:r>
            <w:r w:rsidR="00326F66">
              <w:rPr>
                <w:rFonts w:ascii="Times New Roman" w:hAnsi="Times New Roman"/>
                <w:szCs w:val="24"/>
              </w:rPr>
              <w:t xml:space="preserve"> </w:t>
            </w:r>
            <w:r>
              <w:rPr>
                <w:rFonts w:ascii="Times New Roman" w:hAnsi="Times New Roman"/>
                <w:szCs w:val="24"/>
              </w:rPr>
              <w:t>нација</w:t>
            </w:r>
          </w:p>
          <w:p w:rsidR="00AB33B8" w:rsidRPr="00295637" w:rsidRDefault="00C6214E" w:rsidP="0086268D">
            <w:pPr>
              <w:rPr>
                <w:rFonts w:ascii="Times New Roman" w:hAnsi="Times New Roman"/>
                <w:szCs w:val="24"/>
              </w:rPr>
            </w:pPr>
            <w:r>
              <w:rPr>
                <w:rFonts w:ascii="Times New Roman" w:hAnsi="Times New Roman"/>
                <w:szCs w:val="24"/>
              </w:rPr>
              <w:t>Државна</w:t>
            </w:r>
            <w:r w:rsidR="00AB33B8" w:rsidRPr="00295637">
              <w:rPr>
                <w:rFonts w:ascii="Times New Roman" w:hAnsi="Times New Roman"/>
                <w:szCs w:val="24"/>
              </w:rPr>
              <w:t xml:space="preserve"> </w:t>
            </w:r>
            <w:r>
              <w:rPr>
                <w:rFonts w:ascii="Times New Roman" w:hAnsi="Times New Roman"/>
                <w:szCs w:val="24"/>
              </w:rPr>
              <w:t>агенција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истраге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заштиту</w:t>
            </w:r>
          </w:p>
        </w:tc>
      </w:tr>
      <w:tr w:rsidR="00AB33B8" w:rsidRPr="00295637" w:rsidTr="00365441">
        <w:tc>
          <w:tcPr>
            <w:tcW w:w="2628" w:type="dxa"/>
          </w:tcPr>
          <w:p w:rsidR="00E0335D" w:rsidRPr="00113A80" w:rsidRDefault="00113A80" w:rsidP="0086268D">
            <w:pPr>
              <w:rPr>
                <w:rFonts w:ascii="Times New Roman" w:hAnsi="Times New Roman"/>
                <w:i/>
                <w:szCs w:val="24"/>
              </w:rPr>
            </w:pPr>
            <w:r w:rsidRPr="00113A80">
              <w:rPr>
                <w:rFonts w:ascii="Times New Roman" w:hAnsi="Times New Roman"/>
                <w:i/>
                <w:szCs w:val="24"/>
              </w:rPr>
              <w:t>SEK</w:t>
            </w:r>
          </w:p>
          <w:p w:rsidR="00AB33B8" w:rsidRPr="00113A80" w:rsidRDefault="00113A80" w:rsidP="0086268D">
            <w:pPr>
              <w:rPr>
                <w:rFonts w:ascii="Times New Roman" w:hAnsi="Times New Roman"/>
                <w:i/>
                <w:szCs w:val="24"/>
              </w:rPr>
            </w:pPr>
            <w:r w:rsidRPr="00113A80">
              <w:rPr>
                <w:rFonts w:ascii="Times New Roman" w:hAnsi="Times New Roman"/>
                <w:i/>
                <w:szCs w:val="24"/>
              </w:rPr>
              <w:t>SIDA</w:t>
            </w:r>
          </w:p>
        </w:tc>
        <w:tc>
          <w:tcPr>
            <w:tcW w:w="8100" w:type="dxa"/>
          </w:tcPr>
          <w:p w:rsidR="00E0335D" w:rsidRDefault="00C6214E" w:rsidP="0086268D">
            <w:pPr>
              <w:rPr>
                <w:rFonts w:ascii="Times New Roman" w:hAnsi="Times New Roman"/>
                <w:szCs w:val="24"/>
              </w:rPr>
            </w:pPr>
            <w:r>
              <w:rPr>
                <w:rFonts w:ascii="Times New Roman" w:hAnsi="Times New Roman"/>
                <w:szCs w:val="24"/>
              </w:rPr>
              <w:t>шведска</w:t>
            </w:r>
            <w:r w:rsidR="00E0335D">
              <w:rPr>
                <w:rFonts w:ascii="Times New Roman" w:hAnsi="Times New Roman"/>
                <w:szCs w:val="24"/>
              </w:rPr>
              <w:t xml:space="preserve"> </w:t>
            </w:r>
            <w:r>
              <w:rPr>
                <w:rFonts w:ascii="Times New Roman" w:hAnsi="Times New Roman"/>
                <w:szCs w:val="24"/>
              </w:rPr>
              <w:t>круна</w:t>
            </w:r>
          </w:p>
          <w:p w:rsidR="00AB33B8" w:rsidRPr="00295637" w:rsidRDefault="00C6214E" w:rsidP="0086268D">
            <w:pPr>
              <w:rPr>
                <w:rFonts w:ascii="Times New Roman" w:hAnsi="Times New Roman"/>
                <w:szCs w:val="24"/>
              </w:rPr>
            </w:pPr>
            <w:r>
              <w:rPr>
                <w:rFonts w:ascii="Times New Roman" w:hAnsi="Times New Roman"/>
                <w:szCs w:val="24"/>
              </w:rPr>
              <w:t>Шведска</w:t>
            </w:r>
            <w:r w:rsidR="00AB33B8" w:rsidRPr="00295637">
              <w:rPr>
                <w:rFonts w:ascii="Times New Roman" w:hAnsi="Times New Roman"/>
                <w:szCs w:val="24"/>
              </w:rPr>
              <w:t xml:space="preserve"> </w:t>
            </w:r>
            <w:r>
              <w:rPr>
                <w:rFonts w:ascii="Times New Roman" w:hAnsi="Times New Roman"/>
                <w:szCs w:val="24"/>
              </w:rPr>
              <w:t>агенција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међународни</w:t>
            </w:r>
            <w:r w:rsidR="00AB33B8" w:rsidRPr="00295637">
              <w:rPr>
                <w:rFonts w:ascii="Times New Roman" w:hAnsi="Times New Roman"/>
                <w:szCs w:val="24"/>
              </w:rPr>
              <w:t xml:space="preserve"> </w:t>
            </w:r>
            <w:r>
              <w:rPr>
                <w:rFonts w:ascii="Times New Roman" w:hAnsi="Times New Roman"/>
                <w:szCs w:val="24"/>
              </w:rPr>
              <w:t>развој</w:t>
            </w:r>
          </w:p>
        </w:tc>
      </w:tr>
      <w:tr w:rsidR="00AB33B8" w:rsidRPr="00295637" w:rsidTr="00365441">
        <w:tc>
          <w:tcPr>
            <w:tcW w:w="2628" w:type="dxa"/>
          </w:tcPr>
          <w:p w:rsidR="00F51978" w:rsidRPr="00F51978" w:rsidRDefault="00F51978" w:rsidP="0086268D">
            <w:pPr>
              <w:rPr>
                <w:rFonts w:ascii="Times New Roman" w:hAnsi="Times New Roman"/>
                <w:i/>
                <w:szCs w:val="24"/>
                <w:lang w:val="bs-Latn-BA"/>
              </w:rPr>
            </w:pPr>
            <w:r>
              <w:rPr>
                <w:rFonts w:ascii="Times New Roman" w:hAnsi="Times New Roman"/>
                <w:i/>
                <w:szCs w:val="24"/>
                <w:lang w:val="bs-Latn-BA"/>
              </w:rPr>
              <w:t>STEM</w:t>
            </w:r>
          </w:p>
          <w:p w:rsidR="00AB33B8" w:rsidRPr="00295637" w:rsidRDefault="00C6214E" w:rsidP="0086268D">
            <w:pPr>
              <w:rPr>
                <w:rFonts w:ascii="Times New Roman" w:hAnsi="Times New Roman"/>
                <w:szCs w:val="24"/>
              </w:rPr>
            </w:pPr>
            <w:r>
              <w:rPr>
                <w:rFonts w:ascii="Times New Roman" w:hAnsi="Times New Roman"/>
                <w:szCs w:val="24"/>
              </w:rPr>
              <w:t>СШУП</w:t>
            </w:r>
          </w:p>
          <w:p w:rsidR="00B92696" w:rsidRPr="00295637" w:rsidRDefault="00C6214E" w:rsidP="0086268D">
            <w:pPr>
              <w:rPr>
                <w:rFonts w:ascii="Times New Roman" w:hAnsi="Times New Roman"/>
                <w:szCs w:val="24"/>
              </w:rPr>
            </w:pPr>
            <w:r>
              <w:rPr>
                <w:rFonts w:ascii="Times New Roman" w:hAnsi="Times New Roman"/>
                <w:szCs w:val="24"/>
              </w:rPr>
              <w:t>СОГ</w:t>
            </w:r>
          </w:p>
          <w:p w:rsidR="002B0125" w:rsidRPr="00295637" w:rsidRDefault="00C6214E" w:rsidP="0086268D">
            <w:pPr>
              <w:rPr>
                <w:rFonts w:ascii="Times New Roman" w:hAnsi="Times New Roman"/>
                <w:szCs w:val="24"/>
              </w:rPr>
            </w:pPr>
            <w:r>
              <w:rPr>
                <w:rFonts w:ascii="Times New Roman" w:hAnsi="Times New Roman"/>
                <w:szCs w:val="24"/>
              </w:rPr>
              <w:t>ТК</w:t>
            </w:r>
          </w:p>
          <w:p w:rsidR="00AB33B8" w:rsidRPr="00295637" w:rsidRDefault="00C6214E" w:rsidP="0086268D">
            <w:pPr>
              <w:rPr>
                <w:rFonts w:ascii="Times New Roman" w:hAnsi="Times New Roman"/>
                <w:szCs w:val="24"/>
              </w:rPr>
            </w:pPr>
            <w:r>
              <w:rPr>
                <w:rFonts w:ascii="Times New Roman" w:hAnsi="Times New Roman"/>
                <w:szCs w:val="24"/>
              </w:rPr>
              <w:t>УН</w:t>
            </w:r>
            <w:r w:rsidR="00AB33B8" w:rsidRPr="00295637">
              <w:rPr>
                <w:rFonts w:ascii="Times New Roman" w:hAnsi="Times New Roman"/>
                <w:szCs w:val="24"/>
              </w:rPr>
              <w:t xml:space="preserve">  </w:t>
            </w:r>
            <w:r w:rsidR="00AB33B8" w:rsidRPr="00295637">
              <w:rPr>
                <w:rFonts w:ascii="Times New Roman" w:hAnsi="Times New Roman"/>
                <w:szCs w:val="24"/>
              </w:rPr>
              <w:tab/>
            </w:r>
          </w:p>
        </w:tc>
        <w:tc>
          <w:tcPr>
            <w:tcW w:w="8100" w:type="dxa"/>
          </w:tcPr>
          <w:p w:rsidR="00F51978" w:rsidRPr="00F51978" w:rsidRDefault="00F51978" w:rsidP="0086268D">
            <w:pPr>
              <w:rPr>
                <w:rFonts w:ascii="Times New Roman" w:hAnsi="Times New Roman"/>
                <w:szCs w:val="24"/>
                <w:lang w:val="bs-Cyrl-BA"/>
              </w:rPr>
            </w:pPr>
            <w:r>
              <w:rPr>
                <w:rFonts w:ascii="Times New Roman" w:hAnsi="Times New Roman"/>
                <w:szCs w:val="24"/>
                <w:lang w:val="bs-Cyrl-BA"/>
              </w:rPr>
              <w:t>(области образовања) наука, техника, инжињеринг, математика</w:t>
            </w:r>
          </w:p>
          <w:p w:rsidR="00AB33B8" w:rsidRPr="00295637" w:rsidRDefault="00C6214E" w:rsidP="0086268D">
            <w:pPr>
              <w:rPr>
                <w:rFonts w:ascii="Times New Roman" w:hAnsi="Times New Roman"/>
                <w:szCs w:val="24"/>
              </w:rPr>
            </w:pPr>
            <w:r>
              <w:rPr>
                <w:rFonts w:ascii="Times New Roman" w:hAnsi="Times New Roman"/>
                <w:szCs w:val="24"/>
              </w:rPr>
              <w:t>Средња</w:t>
            </w:r>
            <w:r w:rsidR="00AB33B8" w:rsidRPr="00295637">
              <w:rPr>
                <w:rFonts w:ascii="Times New Roman" w:hAnsi="Times New Roman"/>
                <w:szCs w:val="24"/>
              </w:rPr>
              <w:t xml:space="preserve"> </w:t>
            </w:r>
            <w:r>
              <w:rPr>
                <w:rFonts w:ascii="Times New Roman" w:hAnsi="Times New Roman"/>
                <w:szCs w:val="24"/>
              </w:rPr>
              <w:t>школа</w:t>
            </w:r>
            <w:r w:rsidR="00AB33B8" w:rsidRPr="00295637">
              <w:rPr>
                <w:rFonts w:ascii="Times New Roman" w:hAnsi="Times New Roman"/>
                <w:szCs w:val="24"/>
              </w:rPr>
              <w:t xml:space="preserve"> </w:t>
            </w:r>
            <w:r>
              <w:rPr>
                <w:rFonts w:ascii="Times New Roman" w:hAnsi="Times New Roman"/>
                <w:szCs w:val="24"/>
              </w:rPr>
              <w:t>унутрашњих</w:t>
            </w:r>
            <w:r w:rsidR="00AB33B8" w:rsidRPr="00295637">
              <w:rPr>
                <w:rFonts w:ascii="Times New Roman" w:hAnsi="Times New Roman"/>
                <w:szCs w:val="24"/>
              </w:rPr>
              <w:t xml:space="preserve"> </w:t>
            </w:r>
            <w:r>
              <w:rPr>
                <w:rFonts w:ascii="Times New Roman" w:hAnsi="Times New Roman"/>
                <w:szCs w:val="24"/>
              </w:rPr>
              <w:t>послова</w:t>
            </w:r>
          </w:p>
          <w:p w:rsidR="00B92696" w:rsidRPr="00295637" w:rsidRDefault="00C6214E" w:rsidP="0086268D">
            <w:pPr>
              <w:rPr>
                <w:rFonts w:ascii="Times New Roman" w:hAnsi="Times New Roman"/>
                <w:szCs w:val="24"/>
              </w:rPr>
            </w:pPr>
            <w:r>
              <w:rPr>
                <w:rFonts w:ascii="Times New Roman" w:hAnsi="Times New Roman"/>
                <w:szCs w:val="24"/>
              </w:rPr>
              <w:t>Савез</w:t>
            </w:r>
            <w:r w:rsidR="00C110AB">
              <w:rPr>
                <w:rFonts w:ascii="Times New Roman" w:hAnsi="Times New Roman"/>
                <w:szCs w:val="24"/>
              </w:rPr>
              <w:t xml:space="preserve"> </w:t>
            </w:r>
            <w:r>
              <w:rPr>
                <w:rFonts w:ascii="Times New Roman" w:hAnsi="Times New Roman"/>
                <w:szCs w:val="24"/>
              </w:rPr>
              <w:t>оп</w:t>
            </w:r>
            <w:r w:rsidR="00113A80">
              <w:rPr>
                <w:rFonts w:ascii="Times New Roman" w:hAnsi="Times New Roman"/>
                <w:szCs w:val="24"/>
                <w:lang w:val="sr-Cyrl-BA"/>
              </w:rPr>
              <w:t>шт</w:t>
            </w:r>
            <w:r>
              <w:rPr>
                <w:rFonts w:ascii="Times New Roman" w:hAnsi="Times New Roman"/>
                <w:szCs w:val="24"/>
              </w:rPr>
              <w:t>ина</w:t>
            </w:r>
            <w:r w:rsidR="00B92696" w:rsidRPr="00295637">
              <w:rPr>
                <w:rFonts w:ascii="Times New Roman" w:hAnsi="Times New Roman"/>
                <w:szCs w:val="24"/>
              </w:rPr>
              <w:t xml:space="preserve"> </w:t>
            </w:r>
            <w:r>
              <w:rPr>
                <w:rFonts w:ascii="Times New Roman" w:hAnsi="Times New Roman"/>
                <w:szCs w:val="24"/>
              </w:rPr>
              <w:t>и</w:t>
            </w:r>
            <w:r w:rsidR="00B92696" w:rsidRPr="00295637">
              <w:rPr>
                <w:rFonts w:ascii="Times New Roman" w:hAnsi="Times New Roman"/>
                <w:szCs w:val="24"/>
              </w:rPr>
              <w:t xml:space="preserve"> </w:t>
            </w:r>
            <w:r>
              <w:rPr>
                <w:rFonts w:ascii="Times New Roman" w:hAnsi="Times New Roman"/>
                <w:szCs w:val="24"/>
              </w:rPr>
              <w:t>градова</w:t>
            </w:r>
          </w:p>
          <w:p w:rsidR="002B0125" w:rsidRPr="00295637" w:rsidRDefault="00C6214E" w:rsidP="0086268D">
            <w:pPr>
              <w:rPr>
                <w:rFonts w:ascii="Times New Roman" w:hAnsi="Times New Roman"/>
                <w:szCs w:val="24"/>
              </w:rPr>
            </w:pPr>
            <w:r>
              <w:rPr>
                <w:rFonts w:ascii="Times New Roman" w:hAnsi="Times New Roman"/>
                <w:szCs w:val="24"/>
              </w:rPr>
              <w:t>Тузлански</w:t>
            </w:r>
            <w:r w:rsidR="002B0125" w:rsidRPr="00295637">
              <w:rPr>
                <w:rFonts w:ascii="Times New Roman" w:hAnsi="Times New Roman"/>
                <w:szCs w:val="24"/>
              </w:rPr>
              <w:t xml:space="preserve"> </w:t>
            </w:r>
            <w:r>
              <w:rPr>
                <w:rFonts w:ascii="Times New Roman" w:hAnsi="Times New Roman"/>
                <w:szCs w:val="24"/>
              </w:rPr>
              <w:t>кантон</w:t>
            </w:r>
          </w:p>
          <w:p w:rsidR="00AB33B8" w:rsidRPr="00295637" w:rsidRDefault="00C6214E" w:rsidP="0086268D">
            <w:pPr>
              <w:rPr>
                <w:rFonts w:ascii="Times New Roman" w:hAnsi="Times New Roman"/>
                <w:szCs w:val="24"/>
              </w:rPr>
            </w:pPr>
            <w:r>
              <w:rPr>
                <w:rFonts w:ascii="Times New Roman" w:hAnsi="Times New Roman"/>
                <w:szCs w:val="24"/>
              </w:rPr>
              <w:t>Уједињене</w:t>
            </w:r>
            <w:r w:rsidR="00AB33B8" w:rsidRPr="00295637">
              <w:rPr>
                <w:rFonts w:ascii="Times New Roman" w:hAnsi="Times New Roman"/>
                <w:szCs w:val="24"/>
              </w:rPr>
              <w:t xml:space="preserve"> </w:t>
            </w:r>
            <w:r>
              <w:rPr>
                <w:rFonts w:ascii="Times New Roman" w:hAnsi="Times New Roman"/>
                <w:szCs w:val="24"/>
              </w:rPr>
              <w:t>нације</w:t>
            </w:r>
          </w:p>
        </w:tc>
      </w:tr>
      <w:tr w:rsidR="00AB33B8" w:rsidRPr="00295637" w:rsidTr="00365441">
        <w:tc>
          <w:tcPr>
            <w:tcW w:w="2628" w:type="dxa"/>
          </w:tcPr>
          <w:p w:rsidR="00F51978" w:rsidRPr="00F51978" w:rsidRDefault="00F51978" w:rsidP="0086268D">
            <w:pPr>
              <w:rPr>
                <w:rFonts w:ascii="Times New Roman" w:hAnsi="Times New Roman"/>
                <w:i/>
                <w:szCs w:val="24"/>
                <w:lang w:val="bs-Cyrl-BA"/>
              </w:rPr>
            </w:pPr>
            <w:r>
              <w:rPr>
                <w:rFonts w:ascii="Times New Roman" w:hAnsi="Times New Roman"/>
                <w:i/>
                <w:szCs w:val="24"/>
                <w:lang w:val="bs-Cyrl-BA"/>
              </w:rPr>
              <w:t>УО ГАП БиХ</w:t>
            </w:r>
          </w:p>
          <w:p w:rsidR="00AB33B8" w:rsidRPr="00113A80" w:rsidRDefault="00113A80" w:rsidP="0086268D">
            <w:pPr>
              <w:rPr>
                <w:rFonts w:ascii="Times New Roman" w:hAnsi="Times New Roman"/>
                <w:i/>
                <w:szCs w:val="24"/>
              </w:rPr>
            </w:pPr>
            <w:r w:rsidRPr="00113A80">
              <w:rPr>
                <w:rFonts w:ascii="Times New Roman" w:hAnsi="Times New Roman"/>
                <w:i/>
                <w:szCs w:val="24"/>
              </w:rPr>
              <w:t>UNDP</w:t>
            </w:r>
            <w:r w:rsidR="00AB33B8" w:rsidRPr="00113A80">
              <w:rPr>
                <w:rFonts w:ascii="Times New Roman" w:hAnsi="Times New Roman"/>
                <w:i/>
                <w:szCs w:val="24"/>
              </w:rPr>
              <w:t xml:space="preserve">  </w:t>
            </w:r>
          </w:p>
        </w:tc>
        <w:tc>
          <w:tcPr>
            <w:tcW w:w="8100" w:type="dxa"/>
          </w:tcPr>
          <w:p w:rsidR="00F51978" w:rsidRPr="00F51978" w:rsidRDefault="00F51978" w:rsidP="0086268D">
            <w:pPr>
              <w:rPr>
                <w:rFonts w:ascii="Times New Roman" w:hAnsi="Times New Roman"/>
                <w:szCs w:val="24"/>
                <w:lang w:val="bs-Cyrl-BA"/>
              </w:rPr>
            </w:pPr>
            <w:r>
              <w:rPr>
                <w:rFonts w:ascii="Times New Roman" w:hAnsi="Times New Roman"/>
                <w:szCs w:val="24"/>
                <w:lang w:val="bs-Cyrl-BA"/>
              </w:rPr>
              <w:t>Управни одбор ГАП БиХ</w:t>
            </w:r>
          </w:p>
          <w:p w:rsidR="00AB33B8" w:rsidRPr="00295637" w:rsidRDefault="00C6214E" w:rsidP="0086268D">
            <w:pPr>
              <w:rPr>
                <w:rFonts w:ascii="Times New Roman" w:hAnsi="Times New Roman"/>
                <w:szCs w:val="24"/>
              </w:rPr>
            </w:pPr>
            <w:r>
              <w:rPr>
                <w:rFonts w:ascii="Times New Roman" w:hAnsi="Times New Roman"/>
                <w:szCs w:val="24"/>
              </w:rPr>
              <w:t>Развојни</w:t>
            </w:r>
            <w:r w:rsidR="00AB33B8" w:rsidRPr="00295637">
              <w:rPr>
                <w:rFonts w:ascii="Times New Roman" w:hAnsi="Times New Roman"/>
                <w:szCs w:val="24"/>
              </w:rPr>
              <w:t xml:space="preserve"> </w:t>
            </w:r>
            <w:r>
              <w:rPr>
                <w:rFonts w:ascii="Times New Roman" w:hAnsi="Times New Roman"/>
                <w:szCs w:val="24"/>
              </w:rPr>
              <w:t>програм</w:t>
            </w:r>
            <w:r w:rsidR="00AB33B8" w:rsidRPr="00295637">
              <w:rPr>
                <w:rFonts w:ascii="Times New Roman" w:hAnsi="Times New Roman"/>
                <w:szCs w:val="24"/>
              </w:rPr>
              <w:t xml:space="preserve"> </w:t>
            </w:r>
            <w:r>
              <w:rPr>
                <w:rFonts w:ascii="Times New Roman" w:hAnsi="Times New Roman"/>
                <w:szCs w:val="24"/>
              </w:rPr>
              <w:t>Уједињених</w:t>
            </w:r>
            <w:r w:rsidR="00AB33B8" w:rsidRPr="00295637">
              <w:rPr>
                <w:rFonts w:ascii="Times New Roman" w:hAnsi="Times New Roman"/>
                <w:szCs w:val="24"/>
              </w:rPr>
              <w:t xml:space="preserve"> </w:t>
            </w:r>
            <w:r>
              <w:rPr>
                <w:rFonts w:ascii="Times New Roman" w:hAnsi="Times New Roman"/>
                <w:szCs w:val="24"/>
              </w:rPr>
              <w:t>нација</w:t>
            </w:r>
          </w:p>
        </w:tc>
      </w:tr>
      <w:tr w:rsidR="00AB33B8" w:rsidRPr="00295637" w:rsidTr="00365441">
        <w:tc>
          <w:tcPr>
            <w:tcW w:w="2628" w:type="dxa"/>
          </w:tcPr>
          <w:p w:rsidR="00AB33B8" w:rsidRPr="00113A80" w:rsidRDefault="00113A80" w:rsidP="0086268D">
            <w:pPr>
              <w:rPr>
                <w:rFonts w:ascii="Times New Roman" w:hAnsi="Times New Roman"/>
                <w:i/>
                <w:szCs w:val="24"/>
              </w:rPr>
            </w:pPr>
            <w:r w:rsidRPr="00113A80">
              <w:rPr>
                <w:rFonts w:ascii="Times New Roman" w:hAnsi="Times New Roman"/>
                <w:i/>
                <w:szCs w:val="24"/>
              </w:rPr>
              <w:t>UNFPA</w:t>
            </w:r>
            <w:r w:rsidR="00AB33B8" w:rsidRPr="00113A80">
              <w:rPr>
                <w:rFonts w:ascii="Times New Roman" w:hAnsi="Times New Roman"/>
                <w:i/>
                <w:szCs w:val="24"/>
              </w:rPr>
              <w:t xml:space="preserve">  </w:t>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Популацијски</w:t>
            </w:r>
            <w:r w:rsidR="00AB33B8" w:rsidRPr="00295637">
              <w:rPr>
                <w:rFonts w:ascii="Times New Roman" w:hAnsi="Times New Roman"/>
                <w:szCs w:val="24"/>
              </w:rPr>
              <w:t xml:space="preserve"> </w:t>
            </w:r>
            <w:r>
              <w:rPr>
                <w:rFonts w:ascii="Times New Roman" w:hAnsi="Times New Roman"/>
                <w:szCs w:val="24"/>
              </w:rPr>
              <w:t>фонд</w:t>
            </w:r>
            <w:r w:rsidR="00AB33B8" w:rsidRPr="00295637">
              <w:rPr>
                <w:rFonts w:ascii="Times New Roman" w:hAnsi="Times New Roman"/>
                <w:szCs w:val="24"/>
              </w:rPr>
              <w:t xml:space="preserve"> </w:t>
            </w:r>
            <w:r>
              <w:rPr>
                <w:rFonts w:ascii="Times New Roman" w:hAnsi="Times New Roman"/>
                <w:szCs w:val="24"/>
              </w:rPr>
              <w:t>Уједињених</w:t>
            </w:r>
            <w:r w:rsidR="00AB33B8" w:rsidRPr="00295637">
              <w:rPr>
                <w:rFonts w:ascii="Times New Roman" w:hAnsi="Times New Roman"/>
                <w:szCs w:val="24"/>
              </w:rPr>
              <w:t xml:space="preserve"> </w:t>
            </w:r>
            <w:r>
              <w:rPr>
                <w:rFonts w:ascii="Times New Roman" w:hAnsi="Times New Roman"/>
                <w:szCs w:val="24"/>
              </w:rPr>
              <w:t>нација</w:t>
            </w:r>
          </w:p>
        </w:tc>
      </w:tr>
      <w:tr w:rsidR="00AB33B8" w:rsidRPr="00295637" w:rsidTr="00365441">
        <w:tc>
          <w:tcPr>
            <w:tcW w:w="2628" w:type="dxa"/>
          </w:tcPr>
          <w:p w:rsidR="00AB33B8" w:rsidRPr="003927C3" w:rsidRDefault="003927C3" w:rsidP="0086268D">
            <w:pPr>
              <w:rPr>
                <w:rFonts w:ascii="Times New Roman" w:hAnsi="Times New Roman"/>
                <w:i/>
                <w:szCs w:val="24"/>
              </w:rPr>
            </w:pPr>
            <w:r w:rsidRPr="003927C3">
              <w:rPr>
                <w:rFonts w:ascii="Times New Roman" w:hAnsi="Times New Roman"/>
                <w:i/>
                <w:szCs w:val="24"/>
              </w:rPr>
              <w:t>UNICEF</w:t>
            </w:r>
            <w:r w:rsidR="00AB33B8" w:rsidRPr="003927C3">
              <w:rPr>
                <w:rFonts w:ascii="Times New Roman" w:hAnsi="Times New Roman"/>
                <w:i/>
                <w:szCs w:val="24"/>
              </w:rPr>
              <w:tab/>
            </w:r>
            <w:r w:rsidR="00AB33B8" w:rsidRPr="003927C3">
              <w:rPr>
                <w:rFonts w:ascii="Times New Roman" w:hAnsi="Times New Roman"/>
                <w:i/>
                <w:szCs w:val="24"/>
              </w:rPr>
              <w:tab/>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Фонд</w:t>
            </w:r>
            <w:r w:rsidR="00AB33B8" w:rsidRPr="00295637">
              <w:rPr>
                <w:rFonts w:ascii="Times New Roman" w:hAnsi="Times New Roman"/>
                <w:szCs w:val="24"/>
              </w:rPr>
              <w:t xml:space="preserve"> </w:t>
            </w:r>
            <w:r>
              <w:rPr>
                <w:rFonts w:ascii="Times New Roman" w:hAnsi="Times New Roman"/>
                <w:szCs w:val="24"/>
              </w:rPr>
              <w:t>Уједињених</w:t>
            </w:r>
            <w:r w:rsidR="00AB33B8" w:rsidRPr="00295637">
              <w:rPr>
                <w:rFonts w:ascii="Times New Roman" w:hAnsi="Times New Roman"/>
                <w:szCs w:val="24"/>
              </w:rPr>
              <w:t xml:space="preserve"> </w:t>
            </w:r>
            <w:r>
              <w:rPr>
                <w:rFonts w:ascii="Times New Roman" w:hAnsi="Times New Roman"/>
                <w:szCs w:val="24"/>
              </w:rPr>
              <w:t>нација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дјецу</w:t>
            </w:r>
          </w:p>
        </w:tc>
      </w:tr>
      <w:tr w:rsidR="00AB33B8" w:rsidRPr="00295637" w:rsidTr="00365441">
        <w:tc>
          <w:tcPr>
            <w:tcW w:w="2628" w:type="dxa"/>
          </w:tcPr>
          <w:p w:rsidR="00AB33B8" w:rsidRPr="003927C3" w:rsidRDefault="003927C3" w:rsidP="0086268D">
            <w:pPr>
              <w:rPr>
                <w:rFonts w:ascii="Times New Roman" w:hAnsi="Times New Roman"/>
                <w:i/>
                <w:szCs w:val="24"/>
              </w:rPr>
            </w:pPr>
            <w:r w:rsidRPr="003927C3">
              <w:rPr>
                <w:rFonts w:ascii="Times New Roman" w:hAnsi="Times New Roman"/>
                <w:i/>
                <w:szCs w:val="24"/>
              </w:rPr>
              <w:t>UNSCR 1325</w:t>
            </w:r>
            <w:r w:rsidR="00AB33B8" w:rsidRPr="003927C3">
              <w:rPr>
                <w:rFonts w:ascii="Times New Roman" w:hAnsi="Times New Roman"/>
                <w:i/>
                <w:szCs w:val="24"/>
              </w:rPr>
              <w:t xml:space="preserve">                    </w:t>
            </w:r>
          </w:p>
        </w:tc>
        <w:tc>
          <w:tcPr>
            <w:tcW w:w="8100" w:type="dxa"/>
          </w:tcPr>
          <w:p w:rsidR="00AB33B8" w:rsidRPr="00295637" w:rsidRDefault="00C6214E" w:rsidP="003927C3">
            <w:pPr>
              <w:rPr>
                <w:rFonts w:ascii="Times New Roman" w:hAnsi="Times New Roman"/>
                <w:szCs w:val="24"/>
              </w:rPr>
            </w:pPr>
            <w:r>
              <w:rPr>
                <w:rFonts w:ascii="Times New Roman" w:hAnsi="Times New Roman"/>
                <w:szCs w:val="24"/>
              </w:rPr>
              <w:t>УН</w:t>
            </w:r>
            <w:r w:rsidR="00AB33B8" w:rsidRPr="00295637">
              <w:rPr>
                <w:rFonts w:ascii="Times New Roman" w:hAnsi="Times New Roman"/>
                <w:szCs w:val="24"/>
              </w:rPr>
              <w:t xml:space="preserve"> </w:t>
            </w:r>
            <w:r>
              <w:rPr>
                <w:rFonts w:ascii="Times New Roman" w:hAnsi="Times New Roman"/>
                <w:szCs w:val="24"/>
              </w:rPr>
              <w:t>Резолуција</w:t>
            </w:r>
            <w:r w:rsidR="00AB33B8" w:rsidRPr="00295637">
              <w:rPr>
                <w:rFonts w:ascii="Times New Roman" w:hAnsi="Times New Roman"/>
                <w:szCs w:val="24"/>
              </w:rPr>
              <w:t xml:space="preserve"> </w:t>
            </w:r>
            <w:r w:rsidR="003927C3">
              <w:rPr>
                <w:rFonts w:ascii="Times New Roman" w:hAnsi="Times New Roman"/>
                <w:szCs w:val="24"/>
                <w:lang w:val="sr-Cyrl-BA"/>
              </w:rPr>
              <w:t>Савјета</w:t>
            </w:r>
            <w:r w:rsidR="00AB33B8" w:rsidRPr="00295637">
              <w:rPr>
                <w:rFonts w:ascii="Times New Roman" w:hAnsi="Times New Roman"/>
                <w:szCs w:val="24"/>
              </w:rPr>
              <w:t xml:space="preserve"> </w:t>
            </w:r>
            <w:r w:rsidR="003927C3">
              <w:rPr>
                <w:rFonts w:ascii="Times New Roman" w:hAnsi="Times New Roman"/>
                <w:szCs w:val="24"/>
                <w:lang w:val="sr-Cyrl-BA"/>
              </w:rPr>
              <w:t>безбједности</w:t>
            </w:r>
            <w:r w:rsidR="00AB33B8" w:rsidRPr="00295637">
              <w:rPr>
                <w:rFonts w:ascii="Times New Roman" w:hAnsi="Times New Roman"/>
                <w:szCs w:val="24"/>
              </w:rPr>
              <w:t xml:space="preserve"> „</w:t>
            </w:r>
            <w:r>
              <w:rPr>
                <w:rFonts w:ascii="Times New Roman" w:hAnsi="Times New Roman"/>
                <w:szCs w:val="24"/>
              </w:rPr>
              <w:t>Жене</w:t>
            </w:r>
            <w:r w:rsidR="00AB33B8" w:rsidRPr="00295637">
              <w:rPr>
                <w:rFonts w:ascii="Times New Roman" w:hAnsi="Times New Roman"/>
                <w:szCs w:val="24"/>
              </w:rPr>
              <w:t xml:space="preserve">, </w:t>
            </w:r>
            <w:r>
              <w:rPr>
                <w:rFonts w:ascii="Times New Roman" w:hAnsi="Times New Roman"/>
                <w:szCs w:val="24"/>
              </w:rPr>
              <w:t>мир</w:t>
            </w:r>
            <w:r w:rsidR="00AB33B8" w:rsidRPr="00295637">
              <w:rPr>
                <w:rFonts w:ascii="Times New Roman" w:hAnsi="Times New Roman"/>
                <w:szCs w:val="24"/>
              </w:rPr>
              <w:t xml:space="preserve">, </w:t>
            </w:r>
            <w:r w:rsidR="003927C3">
              <w:rPr>
                <w:rFonts w:ascii="Times New Roman" w:hAnsi="Times New Roman"/>
                <w:szCs w:val="24"/>
                <w:lang w:val="sr-Cyrl-BA"/>
              </w:rPr>
              <w:t>безбједност</w:t>
            </w:r>
            <w:r w:rsidR="00AB33B8" w:rsidRPr="00295637">
              <w:rPr>
                <w:rFonts w:ascii="Times New Roman" w:hAnsi="Times New Roman"/>
                <w:szCs w:val="24"/>
              </w:rPr>
              <w:t>“</w:t>
            </w:r>
          </w:p>
        </w:tc>
      </w:tr>
      <w:tr w:rsidR="00AB33B8" w:rsidRPr="00295637" w:rsidTr="00365441">
        <w:tc>
          <w:tcPr>
            <w:tcW w:w="2628" w:type="dxa"/>
          </w:tcPr>
          <w:p w:rsidR="00AB33B8" w:rsidRPr="003927C3" w:rsidRDefault="003927C3" w:rsidP="0086268D">
            <w:pPr>
              <w:rPr>
                <w:rFonts w:ascii="Times New Roman" w:hAnsi="Times New Roman"/>
                <w:i/>
                <w:szCs w:val="24"/>
              </w:rPr>
            </w:pPr>
            <w:r w:rsidRPr="003927C3">
              <w:rPr>
                <w:rFonts w:ascii="Times New Roman" w:hAnsi="Times New Roman"/>
                <w:i/>
                <w:szCs w:val="24"/>
              </w:rPr>
              <w:t xml:space="preserve">UN WOMEN  </w:t>
            </w:r>
            <w:r w:rsidR="00AB33B8" w:rsidRPr="003927C3">
              <w:rPr>
                <w:rFonts w:ascii="Times New Roman" w:hAnsi="Times New Roman"/>
                <w:i/>
                <w:szCs w:val="24"/>
              </w:rPr>
              <w:t xml:space="preserve">  </w:t>
            </w:r>
          </w:p>
        </w:tc>
        <w:tc>
          <w:tcPr>
            <w:tcW w:w="8100" w:type="dxa"/>
          </w:tcPr>
          <w:p w:rsidR="00AB33B8" w:rsidRPr="00295637" w:rsidRDefault="00C6214E" w:rsidP="00C110AB">
            <w:pPr>
              <w:rPr>
                <w:rFonts w:ascii="Times New Roman" w:hAnsi="Times New Roman"/>
                <w:szCs w:val="24"/>
              </w:rPr>
            </w:pPr>
            <w:r>
              <w:rPr>
                <w:rFonts w:ascii="Times New Roman" w:hAnsi="Times New Roman"/>
                <w:szCs w:val="24"/>
              </w:rPr>
              <w:t>Агенција</w:t>
            </w:r>
            <w:r w:rsidR="00AB33B8" w:rsidRPr="00295637">
              <w:rPr>
                <w:rFonts w:ascii="Times New Roman" w:hAnsi="Times New Roman"/>
                <w:szCs w:val="24"/>
              </w:rPr>
              <w:t xml:space="preserve"> </w:t>
            </w:r>
            <w:r>
              <w:rPr>
                <w:rFonts w:ascii="Times New Roman" w:hAnsi="Times New Roman"/>
                <w:szCs w:val="24"/>
              </w:rPr>
              <w:t>Уједињених</w:t>
            </w:r>
            <w:r w:rsidR="00AB33B8" w:rsidRPr="00295637">
              <w:rPr>
                <w:rFonts w:ascii="Times New Roman" w:hAnsi="Times New Roman"/>
                <w:szCs w:val="24"/>
              </w:rPr>
              <w:t xml:space="preserve"> </w:t>
            </w:r>
            <w:r>
              <w:rPr>
                <w:rFonts w:ascii="Times New Roman" w:hAnsi="Times New Roman"/>
                <w:szCs w:val="24"/>
              </w:rPr>
              <w:t>нација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равноправност</w:t>
            </w:r>
            <w:r w:rsidR="00AB33B8" w:rsidRPr="00295637">
              <w:rPr>
                <w:rFonts w:ascii="Times New Roman" w:hAnsi="Times New Roman"/>
                <w:szCs w:val="24"/>
              </w:rPr>
              <w:t xml:space="preserve"> </w:t>
            </w:r>
            <w:r>
              <w:rPr>
                <w:rFonts w:ascii="Times New Roman" w:hAnsi="Times New Roman"/>
                <w:szCs w:val="24"/>
              </w:rPr>
              <w:t>полова</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оснаживање</w:t>
            </w:r>
            <w:r w:rsidR="00AB33B8" w:rsidRPr="00295637">
              <w:rPr>
                <w:rFonts w:ascii="Times New Roman" w:hAnsi="Times New Roman"/>
                <w:szCs w:val="24"/>
              </w:rPr>
              <w:t xml:space="preserve"> </w:t>
            </w:r>
            <w:r>
              <w:rPr>
                <w:rFonts w:ascii="Times New Roman" w:hAnsi="Times New Roman"/>
                <w:szCs w:val="24"/>
              </w:rPr>
              <w:t>жена</w:t>
            </w:r>
          </w:p>
        </w:tc>
      </w:tr>
      <w:tr w:rsidR="00AB33B8" w:rsidRPr="00295637" w:rsidTr="00365441">
        <w:tc>
          <w:tcPr>
            <w:tcW w:w="2628" w:type="dxa"/>
          </w:tcPr>
          <w:p w:rsidR="00AB33B8" w:rsidRPr="003927C3" w:rsidRDefault="003927C3" w:rsidP="0086268D">
            <w:pPr>
              <w:rPr>
                <w:rFonts w:ascii="Times New Roman" w:hAnsi="Times New Roman"/>
                <w:i/>
                <w:szCs w:val="24"/>
              </w:rPr>
            </w:pPr>
            <w:r w:rsidRPr="003927C3">
              <w:rPr>
                <w:rFonts w:ascii="Times New Roman" w:hAnsi="Times New Roman"/>
                <w:i/>
                <w:szCs w:val="24"/>
              </w:rPr>
              <w:t>USAID</w:t>
            </w:r>
            <w:r w:rsidR="00AB33B8" w:rsidRPr="003927C3">
              <w:rPr>
                <w:rFonts w:ascii="Times New Roman" w:hAnsi="Times New Roman"/>
                <w:i/>
                <w:szCs w:val="24"/>
              </w:rPr>
              <w:tab/>
            </w:r>
            <w:r w:rsidR="00AB33B8" w:rsidRPr="003927C3">
              <w:rPr>
                <w:rFonts w:ascii="Times New Roman" w:hAnsi="Times New Roman"/>
                <w:i/>
                <w:szCs w:val="24"/>
              </w:rPr>
              <w:tab/>
            </w:r>
          </w:p>
        </w:tc>
        <w:tc>
          <w:tcPr>
            <w:tcW w:w="8100" w:type="dxa"/>
          </w:tcPr>
          <w:p w:rsidR="00AB33B8" w:rsidRPr="00295637" w:rsidRDefault="00C6214E" w:rsidP="0086268D">
            <w:pPr>
              <w:rPr>
                <w:rFonts w:ascii="Times New Roman" w:hAnsi="Times New Roman"/>
                <w:szCs w:val="24"/>
              </w:rPr>
            </w:pPr>
            <w:r>
              <w:rPr>
                <w:rFonts w:ascii="Times New Roman" w:hAnsi="Times New Roman"/>
                <w:szCs w:val="24"/>
              </w:rPr>
              <w:t>Агенција</w:t>
            </w:r>
            <w:r w:rsidR="00AB33B8" w:rsidRPr="00295637">
              <w:rPr>
                <w:rFonts w:ascii="Times New Roman" w:hAnsi="Times New Roman"/>
                <w:szCs w:val="24"/>
              </w:rPr>
              <w:t xml:space="preserve"> </w:t>
            </w:r>
            <w:r>
              <w:rPr>
                <w:rFonts w:ascii="Times New Roman" w:hAnsi="Times New Roman"/>
                <w:szCs w:val="24"/>
              </w:rPr>
              <w:t>за</w:t>
            </w:r>
            <w:r w:rsidR="00AB33B8" w:rsidRPr="00295637">
              <w:rPr>
                <w:rFonts w:ascii="Times New Roman" w:hAnsi="Times New Roman"/>
                <w:szCs w:val="24"/>
              </w:rPr>
              <w:t xml:space="preserve"> </w:t>
            </w:r>
            <w:r>
              <w:rPr>
                <w:rFonts w:ascii="Times New Roman" w:hAnsi="Times New Roman"/>
                <w:szCs w:val="24"/>
              </w:rPr>
              <w:t>међународни</w:t>
            </w:r>
            <w:r w:rsidR="00AB33B8" w:rsidRPr="00295637">
              <w:rPr>
                <w:rFonts w:ascii="Times New Roman" w:hAnsi="Times New Roman"/>
                <w:szCs w:val="24"/>
              </w:rPr>
              <w:t xml:space="preserve"> </w:t>
            </w:r>
            <w:r>
              <w:rPr>
                <w:rFonts w:ascii="Times New Roman" w:hAnsi="Times New Roman"/>
                <w:szCs w:val="24"/>
              </w:rPr>
              <w:t>развој</w:t>
            </w:r>
            <w:r w:rsidR="00AB33B8" w:rsidRPr="00295637">
              <w:rPr>
                <w:rFonts w:ascii="Times New Roman" w:hAnsi="Times New Roman"/>
                <w:szCs w:val="24"/>
              </w:rPr>
              <w:t xml:space="preserve"> </w:t>
            </w:r>
            <w:r>
              <w:rPr>
                <w:rFonts w:ascii="Times New Roman" w:hAnsi="Times New Roman"/>
                <w:szCs w:val="24"/>
              </w:rPr>
              <w:t>Владе</w:t>
            </w:r>
            <w:r w:rsidR="00AB33B8" w:rsidRPr="00295637">
              <w:rPr>
                <w:rFonts w:ascii="Times New Roman" w:hAnsi="Times New Roman"/>
                <w:szCs w:val="24"/>
              </w:rPr>
              <w:t xml:space="preserve"> </w:t>
            </w:r>
            <w:r>
              <w:rPr>
                <w:rFonts w:ascii="Times New Roman" w:hAnsi="Times New Roman"/>
                <w:szCs w:val="24"/>
              </w:rPr>
              <w:t>САД</w:t>
            </w:r>
          </w:p>
        </w:tc>
      </w:tr>
      <w:tr w:rsidR="00AB33B8" w:rsidRPr="00295637" w:rsidTr="00365441">
        <w:tc>
          <w:tcPr>
            <w:tcW w:w="2628" w:type="dxa"/>
          </w:tcPr>
          <w:p w:rsidR="00F51978" w:rsidRPr="00F51978" w:rsidRDefault="00F51978" w:rsidP="0086268D">
            <w:pPr>
              <w:rPr>
                <w:rFonts w:ascii="Times New Roman" w:hAnsi="Times New Roman"/>
                <w:i/>
                <w:szCs w:val="24"/>
                <w:lang w:val="bs-Latn-BA"/>
              </w:rPr>
            </w:pPr>
            <w:r w:rsidRPr="00F51978">
              <w:rPr>
                <w:rFonts w:ascii="Times New Roman" w:hAnsi="Times New Roman"/>
                <w:i/>
                <w:szCs w:val="24"/>
                <w:lang w:val="bs-Latn-BA"/>
              </w:rPr>
              <w:t>UFEU</w:t>
            </w:r>
          </w:p>
          <w:p w:rsidR="00AB33B8" w:rsidRPr="00295637" w:rsidRDefault="003927C3" w:rsidP="0086268D">
            <w:pPr>
              <w:rPr>
                <w:rFonts w:ascii="Times New Roman" w:hAnsi="Times New Roman"/>
                <w:szCs w:val="24"/>
              </w:rPr>
            </w:pPr>
            <w:r>
              <w:rPr>
                <w:rFonts w:ascii="Times New Roman" w:hAnsi="Times New Roman"/>
                <w:szCs w:val="24"/>
                <w:lang w:val="sr-Cyrl-BA"/>
              </w:rPr>
              <w:t>С</w:t>
            </w:r>
            <w:r w:rsidR="00C6214E">
              <w:rPr>
                <w:rFonts w:ascii="Times New Roman" w:hAnsi="Times New Roman"/>
                <w:szCs w:val="24"/>
              </w:rPr>
              <w:t>Е</w:t>
            </w:r>
            <w:r w:rsidR="00AB33B8" w:rsidRPr="00295637">
              <w:rPr>
                <w:rFonts w:ascii="Times New Roman" w:hAnsi="Times New Roman"/>
                <w:szCs w:val="24"/>
              </w:rPr>
              <w:t xml:space="preserve">  </w:t>
            </w:r>
          </w:p>
          <w:p w:rsidR="00AB33B8" w:rsidRPr="00295637" w:rsidRDefault="003927C3" w:rsidP="0086268D">
            <w:pPr>
              <w:rPr>
                <w:rFonts w:ascii="Times New Roman" w:hAnsi="Times New Roman"/>
                <w:szCs w:val="24"/>
              </w:rPr>
            </w:pPr>
            <w:r>
              <w:rPr>
                <w:rFonts w:ascii="Times New Roman" w:hAnsi="Times New Roman"/>
                <w:szCs w:val="24"/>
                <w:lang w:val="sr-Cyrl-BA"/>
              </w:rPr>
              <w:t>С</w:t>
            </w:r>
            <w:r w:rsidR="00C6214E">
              <w:rPr>
                <w:rFonts w:ascii="Times New Roman" w:hAnsi="Times New Roman"/>
                <w:szCs w:val="24"/>
              </w:rPr>
              <w:t>М</w:t>
            </w:r>
            <w:r w:rsidR="00AB33B8" w:rsidRPr="00295637">
              <w:rPr>
                <w:rFonts w:ascii="Times New Roman" w:hAnsi="Times New Roman"/>
                <w:szCs w:val="24"/>
              </w:rPr>
              <w:t xml:space="preserve"> </w:t>
            </w:r>
            <w:r w:rsidR="00C6214E">
              <w:rPr>
                <w:rFonts w:ascii="Times New Roman" w:hAnsi="Times New Roman"/>
                <w:szCs w:val="24"/>
              </w:rPr>
              <w:t>БиХ</w:t>
            </w:r>
            <w:r w:rsidR="00AB33B8" w:rsidRPr="00295637">
              <w:rPr>
                <w:rFonts w:ascii="Times New Roman" w:hAnsi="Times New Roman"/>
                <w:szCs w:val="24"/>
              </w:rPr>
              <w:t xml:space="preserve"> </w:t>
            </w:r>
          </w:p>
          <w:p w:rsidR="00AD7C43" w:rsidRPr="00295637" w:rsidRDefault="00C6214E" w:rsidP="0086268D">
            <w:pPr>
              <w:rPr>
                <w:rFonts w:ascii="Times New Roman" w:hAnsi="Times New Roman"/>
                <w:szCs w:val="24"/>
              </w:rPr>
            </w:pPr>
            <w:r>
              <w:rPr>
                <w:rFonts w:ascii="Times New Roman" w:hAnsi="Times New Roman"/>
                <w:szCs w:val="24"/>
              </w:rPr>
              <w:t>ВРС</w:t>
            </w:r>
          </w:p>
          <w:p w:rsidR="00AB33B8" w:rsidRPr="003927C3" w:rsidRDefault="00C6214E" w:rsidP="003927C3">
            <w:pPr>
              <w:rPr>
                <w:rFonts w:ascii="Times New Roman" w:hAnsi="Times New Roman"/>
                <w:szCs w:val="24"/>
                <w:lang w:val="sr-Cyrl-BA"/>
              </w:rPr>
            </w:pPr>
            <w:r>
              <w:rPr>
                <w:rFonts w:ascii="Times New Roman" w:hAnsi="Times New Roman"/>
                <w:szCs w:val="24"/>
              </w:rPr>
              <w:t>ВСТ</w:t>
            </w:r>
            <w:r w:rsidR="003927C3">
              <w:rPr>
                <w:rFonts w:ascii="Times New Roman" w:hAnsi="Times New Roman"/>
                <w:szCs w:val="24"/>
                <w:lang w:val="sr-Cyrl-BA"/>
              </w:rPr>
              <w:t>С</w:t>
            </w:r>
          </w:p>
        </w:tc>
        <w:tc>
          <w:tcPr>
            <w:tcW w:w="8100" w:type="dxa"/>
          </w:tcPr>
          <w:p w:rsidR="00F51978" w:rsidRDefault="00F51978" w:rsidP="0086268D">
            <w:pPr>
              <w:rPr>
                <w:rFonts w:ascii="Times New Roman" w:hAnsi="Times New Roman"/>
                <w:szCs w:val="24"/>
                <w:lang w:val="sr-Cyrl-BA"/>
              </w:rPr>
            </w:pPr>
            <w:r>
              <w:rPr>
                <w:rFonts w:ascii="Times New Roman" w:hAnsi="Times New Roman"/>
                <w:szCs w:val="24"/>
                <w:lang w:val="sr-Cyrl-BA"/>
              </w:rPr>
              <w:t>Уговор о функционисању ЕУ</w:t>
            </w:r>
          </w:p>
          <w:p w:rsidR="00AB33B8" w:rsidRPr="00295637" w:rsidRDefault="003927C3" w:rsidP="0086268D">
            <w:pPr>
              <w:rPr>
                <w:rFonts w:ascii="Times New Roman" w:hAnsi="Times New Roman"/>
                <w:szCs w:val="24"/>
              </w:rPr>
            </w:pPr>
            <w:r>
              <w:rPr>
                <w:rFonts w:ascii="Times New Roman" w:hAnsi="Times New Roman"/>
                <w:szCs w:val="24"/>
                <w:lang w:val="sr-Cyrl-BA"/>
              </w:rPr>
              <w:t>Савјет</w:t>
            </w:r>
            <w:r w:rsidR="00AB33B8" w:rsidRPr="00295637">
              <w:rPr>
                <w:rFonts w:ascii="Times New Roman" w:hAnsi="Times New Roman"/>
                <w:szCs w:val="24"/>
              </w:rPr>
              <w:t xml:space="preserve"> </w:t>
            </w:r>
            <w:r w:rsidR="00C6214E">
              <w:rPr>
                <w:rFonts w:ascii="Times New Roman" w:hAnsi="Times New Roman"/>
                <w:szCs w:val="24"/>
              </w:rPr>
              <w:t>Европе</w:t>
            </w:r>
          </w:p>
          <w:p w:rsidR="00AB33B8" w:rsidRPr="00295637" w:rsidRDefault="003927C3" w:rsidP="0086268D">
            <w:pPr>
              <w:rPr>
                <w:rFonts w:ascii="Times New Roman" w:hAnsi="Times New Roman"/>
                <w:szCs w:val="24"/>
              </w:rPr>
            </w:pPr>
            <w:r>
              <w:rPr>
                <w:rFonts w:ascii="Times New Roman" w:hAnsi="Times New Roman"/>
                <w:szCs w:val="24"/>
                <w:lang w:val="sr-Cyrl-BA"/>
              </w:rPr>
              <w:t>Савјет</w:t>
            </w:r>
            <w:r w:rsidR="00AB33B8" w:rsidRPr="00295637">
              <w:rPr>
                <w:rFonts w:ascii="Times New Roman" w:hAnsi="Times New Roman"/>
                <w:szCs w:val="24"/>
              </w:rPr>
              <w:t xml:space="preserve"> </w:t>
            </w:r>
            <w:r w:rsidR="00C6214E">
              <w:rPr>
                <w:rFonts w:ascii="Times New Roman" w:hAnsi="Times New Roman"/>
                <w:szCs w:val="24"/>
              </w:rPr>
              <w:t>министара</w:t>
            </w:r>
            <w:r w:rsidR="00AB33B8" w:rsidRPr="00295637">
              <w:rPr>
                <w:rFonts w:ascii="Times New Roman" w:hAnsi="Times New Roman"/>
                <w:szCs w:val="24"/>
              </w:rPr>
              <w:t xml:space="preserve"> </w:t>
            </w:r>
            <w:r w:rsidR="00C6214E">
              <w:rPr>
                <w:rFonts w:ascii="Times New Roman" w:hAnsi="Times New Roman"/>
                <w:szCs w:val="24"/>
              </w:rPr>
              <w:t>Босне</w:t>
            </w:r>
            <w:r w:rsidR="00AB33B8" w:rsidRPr="00295637">
              <w:rPr>
                <w:rFonts w:ascii="Times New Roman" w:hAnsi="Times New Roman"/>
                <w:szCs w:val="24"/>
              </w:rPr>
              <w:t xml:space="preserve"> </w:t>
            </w:r>
            <w:r w:rsidR="00C6214E">
              <w:rPr>
                <w:rFonts w:ascii="Times New Roman" w:hAnsi="Times New Roman"/>
                <w:szCs w:val="24"/>
              </w:rPr>
              <w:t>и</w:t>
            </w:r>
            <w:r w:rsidR="00AB33B8" w:rsidRPr="00295637">
              <w:rPr>
                <w:rFonts w:ascii="Times New Roman" w:hAnsi="Times New Roman"/>
                <w:szCs w:val="24"/>
              </w:rPr>
              <w:t xml:space="preserve"> </w:t>
            </w:r>
            <w:r w:rsidR="00C6214E">
              <w:rPr>
                <w:rFonts w:ascii="Times New Roman" w:hAnsi="Times New Roman"/>
                <w:szCs w:val="24"/>
              </w:rPr>
              <w:t>Херцеговине</w:t>
            </w:r>
          </w:p>
          <w:p w:rsidR="00AD7C43" w:rsidRPr="00295637" w:rsidRDefault="00C6214E" w:rsidP="0086268D">
            <w:pPr>
              <w:rPr>
                <w:rFonts w:ascii="Times New Roman" w:hAnsi="Times New Roman"/>
                <w:szCs w:val="24"/>
              </w:rPr>
            </w:pPr>
            <w:r>
              <w:rPr>
                <w:rFonts w:ascii="Times New Roman" w:hAnsi="Times New Roman"/>
                <w:szCs w:val="24"/>
              </w:rPr>
              <w:t>Влада</w:t>
            </w:r>
            <w:r w:rsidR="00AD7C43" w:rsidRPr="00295637">
              <w:rPr>
                <w:rFonts w:ascii="Times New Roman" w:hAnsi="Times New Roman"/>
                <w:szCs w:val="24"/>
              </w:rPr>
              <w:t xml:space="preserve"> </w:t>
            </w:r>
            <w:r>
              <w:rPr>
                <w:rFonts w:ascii="Times New Roman" w:hAnsi="Times New Roman"/>
                <w:szCs w:val="24"/>
              </w:rPr>
              <w:t>Републике</w:t>
            </w:r>
            <w:r w:rsidR="00AD7C43" w:rsidRPr="00295637">
              <w:rPr>
                <w:rFonts w:ascii="Times New Roman" w:hAnsi="Times New Roman"/>
                <w:szCs w:val="24"/>
              </w:rPr>
              <w:t xml:space="preserve"> </w:t>
            </w:r>
            <w:r>
              <w:rPr>
                <w:rFonts w:ascii="Times New Roman" w:hAnsi="Times New Roman"/>
                <w:szCs w:val="24"/>
              </w:rPr>
              <w:t>Српске</w:t>
            </w:r>
          </w:p>
          <w:p w:rsidR="00AB33B8" w:rsidRPr="00295637" w:rsidRDefault="00C6214E" w:rsidP="003927C3">
            <w:pPr>
              <w:rPr>
                <w:rFonts w:ascii="Times New Roman" w:hAnsi="Times New Roman"/>
                <w:szCs w:val="24"/>
              </w:rPr>
            </w:pPr>
            <w:r>
              <w:rPr>
                <w:rFonts w:ascii="Times New Roman" w:hAnsi="Times New Roman"/>
                <w:szCs w:val="24"/>
              </w:rPr>
              <w:t>Висок</w:t>
            </w:r>
            <w:r w:rsidR="003927C3">
              <w:rPr>
                <w:rFonts w:ascii="Times New Roman" w:hAnsi="Times New Roman"/>
                <w:szCs w:val="24"/>
                <w:lang w:val="sr-Cyrl-BA"/>
              </w:rPr>
              <w:t>и</w:t>
            </w:r>
            <w:r w:rsidR="00AB33B8" w:rsidRPr="00295637">
              <w:rPr>
                <w:rFonts w:ascii="Times New Roman" w:hAnsi="Times New Roman"/>
                <w:szCs w:val="24"/>
              </w:rPr>
              <w:t xml:space="preserve"> </w:t>
            </w:r>
            <w:r>
              <w:rPr>
                <w:rFonts w:ascii="Times New Roman" w:hAnsi="Times New Roman"/>
                <w:szCs w:val="24"/>
              </w:rPr>
              <w:t>судск</w:t>
            </w:r>
            <w:r w:rsidR="003927C3">
              <w:rPr>
                <w:rFonts w:ascii="Times New Roman" w:hAnsi="Times New Roman"/>
                <w:szCs w:val="24"/>
                <w:lang w:val="sr-Cyrl-BA"/>
              </w:rPr>
              <w:t>и</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тужилачк</w:t>
            </w:r>
            <w:r w:rsidR="003927C3">
              <w:rPr>
                <w:rFonts w:ascii="Times New Roman" w:hAnsi="Times New Roman"/>
                <w:szCs w:val="24"/>
                <w:lang w:val="sr-Cyrl-BA"/>
              </w:rPr>
              <w:t>и савјет</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tc>
      </w:tr>
      <w:tr w:rsidR="00AB33B8" w:rsidRPr="00295637" w:rsidTr="00365441">
        <w:tc>
          <w:tcPr>
            <w:tcW w:w="2628" w:type="dxa"/>
          </w:tcPr>
          <w:p w:rsidR="003927C3" w:rsidRPr="003927C3" w:rsidRDefault="003927C3" w:rsidP="003927C3">
            <w:pPr>
              <w:rPr>
                <w:rFonts w:ascii="Times New Roman" w:hAnsi="Times New Roman"/>
                <w:i/>
                <w:szCs w:val="24"/>
              </w:rPr>
            </w:pPr>
            <w:r w:rsidRPr="003927C3">
              <w:rPr>
                <w:rFonts w:ascii="Times New Roman" w:hAnsi="Times New Roman"/>
                <w:i/>
                <w:szCs w:val="24"/>
              </w:rPr>
              <w:t>WPON</w:t>
            </w:r>
          </w:p>
          <w:p w:rsidR="00767BB0" w:rsidRDefault="00767BB0" w:rsidP="0086268D">
            <w:pPr>
              <w:rPr>
                <w:rFonts w:ascii="Times New Roman" w:hAnsi="Times New Roman"/>
                <w:szCs w:val="24"/>
              </w:rPr>
            </w:pPr>
          </w:p>
          <w:p w:rsidR="00AB33B8" w:rsidRPr="00295637" w:rsidRDefault="00C6214E" w:rsidP="0086268D">
            <w:pPr>
              <w:rPr>
                <w:rFonts w:ascii="Times New Roman" w:hAnsi="Times New Roman"/>
                <w:szCs w:val="24"/>
              </w:rPr>
            </w:pPr>
            <w:r>
              <w:rPr>
                <w:rFonts w:ascii="Times New Roman" w:hAnsi="Times New Roman"/>
                <w:szCs w:val="24"/>
              </w:rPr>
              <w:t>ЗоР</w:t>
            </w:r>
            <w:r w:rsidR="003927C3">
              <w:rPr>
                <w:rFonts w:ascii="Times New Roman" w:hAnsi="Times New Roman"/>
                <w:szCs w:val="24"/>
                <w:lang w:val="sr-Cyrl-BA"/>
              </w:rPr>
              <w:t>П</w:t>
            </w:r>
            <w:r w:rsidR="00AB33B8" w:rsidRPr="00295637">
              <w:rPr>
                <w:rFonts w:ascii="Times New Roman" w:hAnsi="Times New Roman"/>
                <w:szCs w:val="24"/>
              </w:rPr>
              <w:t xml:space="preserve"> </w:t>
            </w:r>
            <w:r w:rsidR="00AB33B8" w:rsidRPr="00295637">
              <w:rPr>
                <w:rFonts w:ascii="Times New Roman" w:hAnsi="Times New Roman"/>
                <w:szCs w:val="24"/>
              </w:rPr>
              <w:tab/>
            </w:r>
            <w:r>
              <w:rPr>
                <w:rFonts w:ascii="Times New Roman" w:hAnsi="Times New Roman"/>
                <w:szCs w:val="24"/>
              </w:rPr>
              <w:t>БиХ</w:t>
            </w:r>
          </w:p>
          <w:p w:rsidR="00AB33B8" w:rsidRPr="00295637" w:rsidRDefault="00C6214E" w:rsidP="0086268D">
            <w:pPr>
              <w:rPr>
                <w:rFonts w:ascii="Times New Roman" w:hAnsi="Times New Roman"/>
                <w:szCs w:val="24"/>
              </w:rPr>
            </w:pPr>
            <w:r>
              <w:rPr>
                <w:rFonts w:ascii="Times New Roman" w:hAnsi="Times New Roman"/>
                <w:szCs w:val="24"/>
              </w:rPr>
              <w:t>ЗШ</w:t>
            </w:r>
            <w:r w:rsidR="00AB33B8" w:rsidRPr="00295637">
              <w:rPr>
                <w:rFonts w:ascii="Times New Roman" w:hAnsi="Times New Roman"/>
                <w:szCs w:val="24"/>
              </w:rPr>
              <w:t xml:space="preserve"> </w:t>
            </w:r>
            <w:r>
              <w:rPr>
                <w:rFonts w:ascii="Times New Roman" w:hAnsi="Times New Roman"/>
                <w:szCs w:val="24"/>
              </w:rPr>
              <w:t>ОС</w:t>
            </w:r>
            <w:r w:rsidR="00AB33B8" w:rsidRPr="00295637">
              <w:rPr>
                <w:rFonts w:ascii="Times New Roman" w:hAnsi="Times New Roman"/>
                <w:szCs w:val="24"/>
              </w:rPr>
              <w:t xml:space="preserve"> </w:t>
            </w:r>
            <w:r>
              <w:rPr>
                <w:rFonts w:ascii="Times New Roman" w:hAnsi="Times New Roman"/>
                <w:szCs w:val="24"/>
              </w:rPr>
              <w:t>БиХ</w:t>
            </w:r>
            <w:r w:rsidR="00AB33B8" w:rsidRPr="00295637">
              <w:rPr>
                <w:rFonts w:ascii="Times New Roman" w:hAnsi="Times New Roman"/>
                <w:szCs w:val="24"/>
              </w:rPr>
              <w:t xml:space="preserve"> </w:t>
            </w:r>
            <w:r w:rsidR="00AB33B8" w:rsidRPr="00295637">
              <w:rPr>
                <w:rFonts w:ascii="Times New Roman" w:hAnsi="Times New Roman"/>
                <w:szCs w:val="24"/>
              </w:rPr>
              <w:tab/>
            </w:r>
          </w:p>
        </w:tc>
        <w:tc>
          <w:tcPr>
            <w:tcW w:w="8100" w:type="dxa"/>
          </w:tcPr>
          <w:p w:rsidR="002A6D3D" w:rsidRDefault="003927C3" w:rsidP="0086268D">
            <w:pPr>
              <w:rPr>
                <w:rFonts w:ascii="Times New Roman" w:hAnsi="Times New Roman"/>
                <w:szCs w:val="24"/>
              </w:rPr>
            </w:pPr>
            <w:r w:rsidRPr="003927C3">
              <w:rPr>
                <w:rFonts w:ascii="Times New Roman" w:hAnsi="Times New Roman"/>
                <w:i/>
                <w:szCs w:val="24"/>
              </w:rPr>
              <w:t>Women Police Officers Network</w:t>
            </w:r>
            <w:r w:rsidRPr="003927C3">
              <w:rPr>
                <w:rFonts w:ascii="Times New Roman" w:hAnsi="Times New Roman"/>
                <w:szCs w:val="24"/>
              </w:rPr>
              <w:t xml:space="preserve"> </w:t>
            </w:r>
            <w:r w:rsidR="00AB33B8" w:rsidRPr="00295637">
              <w:rPr>
                <w:rFonts w:ascii="Times New Roman" w:hAnsi="Times New Roman"/>
                <w:szCs w:val="24"/>
              </w:rPr>
              <w:t xml:space="preserve">– </w:t>
            </w:r>
            <w:r w:rsidR="00C6214E">
              <w:rPr>
                <w:rFonts w:ascii="Times New Roman" w:hAnsi="Times New Roman"/>
                <w:szCs w:val="24"/>
              </w:rPr>
              <w:t>Мрежа</w:t>
            </w:r>
            <w:r w:rsidR="00AB33B8" w:rsidRPr="00295637">
              <w:rPr>
                <w:rFonts w:ascii="Times New Roman" w:hAnsi="Times New Roman"/>
                <w:szCs w:val="24"/>
              </w:rPr>
              <w:t xml:space="preserve"> </w:t>
            </w:r>
            <w:r w:rsidR="00C6214E">
              <w:rPr>
                <w:rFonts w:ascii="Times New Roman" w:hAnsi="Times New Roman"/>
                <w:szCs w:val="24"/>
              </w:rPr>
              <w:t>жена</w:t>
            </w:r>
            <w:r w:rsidR="00AB33B8" w:rsidRPr="00295637">
              <w:rPr>
                <w:rFonts w:ascii="Times New Roman" w:hAnsi="Times New Roman"/>
                <w:szCs w:val="24"/>
              </w:rPr>
              <w:t xml:space="preserve"> </w:t>
            </w:r>
            <w:r w:rsidR="00C6214E">
              <w:rPr>
                <w:rFonts w:ascii="Times New Roman" w:hAnsi="Times New Roman"/>
                <w:szCs w:val="24"/>
              </w:rPr>
              <w:t>полицајаца</w:t>
            </w:r>
            <w:r w:rsidR="00AB33B8" w:rsidRPr="00295637">
              <w:rPr>
                <w:rFonts w:ascii="Times New Roman" w:hAnsi="Times New Roman"/>
                <w:szCs w:val="24"/>
              </w:rPr>
              <w:t xml:space="preserve"> </w:t>
            </w:r>
          </w:p>
          <w:p w:rsidR="00AB33B8" w:rsidRPr="00295637" w:rsidRDefault="00C6214E" w:rsidP="0086268D">
            <w:pPr>
              <w:rPr>
                <w:rFonts w:ascii="Times New Roman" w:hAnsi="Times New Roman"/>
                <w:szCs w:val="24"/>
              </w:rPr>
            </w:pPr>
            <w:r>
              <w:rPr>
                <w:rFonts w:ascii="Times New Roman" w:hAnsi="Times New Roman"/>
                <w:szCs w:val="24"/>
              </w:rPr>
              <w:t>Југоисточне</w:t>
            </w:r>
            <w:r w:rsidR="00AB33B8" w:rsidRPr="00295637">
              <w:rPr>
                <w:rFonts w:ascii="Times New Roman" w:hAnsi="Times New Roman"/>
                <w:szCs w:val="24"/>
              </w:rPr>
              <w:t xml:space="preserve"> </w:t>
            </w:r>
            <w:r>
              <w:rPr>
                <w:rFonts w:ascii="Times New Roman" w:hAnsi="Times New Roman"/>
                <w:szCs w:val="24"/>
              </w:rPr>
              <w:t>Европе</w:t>
            </w:r>
          </w:p>
          <w:p w:rsidR="00AB33B8" w:rsidRPr="00295637" w:rsidRDefault="00C6214E" w:rsidP="0086268D">
            <w:pPr>
              <w:rPr>
                <w:rFonts w:ascii="Times New Roman" w:hAnsi="Times New Roman"/>
                <w:szCs w:val="24"/>
              </w:rPr>
            </w:pPr>
            <w:r>
              <w:rPr>
                <w:rFonts w:ascii="Times New Roman" w:hAnsi="Times New Roman"/>
                <w:szCs w:val="24"/>
              </w:rPr>
              <w:t>Закон</w:t>
            </w:r>
            <w:r w:rsidR="00AB33B8" w:rsidRPr="00295637">
              <w:rPr>
                <w:rFonts w:ascii="Times New Roman" w:hAnsi="Times New Roman"/>
                <w:szCs w:val="24"/>
              </w:rPr>
              <w:t xml:space="preserve"> </w:t>
            </w:r>
            <w:r>
              <w:rPr>
                <w:rFonts w:ascii="Times New Roman" w:hAnsi="Times New Roman"/>
                <w:szCs w:val="24"/>
              </w:rPr>
              <w:t>о</w:t>
            </w:r>
            <w:r w:rsidR="00AB33B8" w:rsidRPr="00295637">
              <w:rPr>
                <w:rFonts w:ascii="Times New Roman" w:hAnsi="Times New Roman"/>
                <w:szCs w:val="24"/>
              </w:rPr>
              <w:t xml:space="preserve"> </w:t>
            </w:r>
            <w:r>
              <w:rPr>
                <w:rFonts w:ascii="Times New Roman" w:hAnsi="Times New Roman"/>
                <w:szCs w:val="24"/>
              </w:rPr>
              <w:t>равноправности</w:t>
            </w:r>
            <w:r w:rsidR="00AB33B8" w:rsidRPr="00295637">
              <w:rPr>
                <w:rFonts w:ascii="Times New Roman" w:hAnsi="Times New Roman"/>
                <w:szCs w:val="24"/>
              </w:rPr>
              <w:t xml:space="preserve"> </w:t>
            </w:r>
            <w:r>
              <w:rPr>
                <w:rFonts w:ascii="Times New Roman" w:hAnsi="Times New Roman"/>
                <w:szCs w:val="24"/>
              </w:rPr>
              <w:t>полова</w:t>
            </w:r>
            <w:r w:rsidR="00AB33B8" w:rsidRPr="00295637">
              <w:rPr>
                <w:rFonts w:ascii="Times New Roman" w:hAnsi="Times New Roman"/>
                <w:szCs w:val="24"/>
              </w:rPr>
              <w:t xml:space="preserve"> </w:t>
            </w:r>
            <w:r>
              <w:rPr>
                <w:rFonts w:ascii="Times New Roman" w:hAnsi="Times New Roman"/>
                <w:szCs w:val="24"/>
              </w:rPr>
              <w:t>у</w:t>
            </w:r>
            <w:r w:rsidR="00AB33B8" w:rsidRPr="00295637">
              <w:rPr>
                <w:rFonts w:ascii="Times New Roman" w:hAnsi="Times New Roman"/>
                <w:szCs w:val="24"/>
              </w:rPr>
              <w:t xml:space="preserve"> </w:t>
            </w:r>
            <w:r>
              <w:rPr>
                <w:rFonts w:ascii="Times New Roman" w:hAnsi="Times New Roman"/>
                <w:szCs w:val="24"/>
              </w:rPr>
              <w:t>Босни</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Херцеговини</w:t>
            </w:r>
          </w:p>
          <w:p w:rsidR="00AB33B8" w:rsidRDefault="00C6214E" w:rsidP="00660325">
            <w:pPr>
              <w:rPr>
                <w:rFonts w:ascii="Times New Roman" w:hAnsi="Times New Roman"/>
                <w:szCs w:val="24"/>
                <w:lang w:val="sr-Cyrl-BA"/>
              </w:rPr>
            </w:pPr>
            <w:r>
              <w:rPr>
                <w:rFonts w:ascii="Times New Roman" w:hAnsi="Times New Roman"/>
                <w:szCs w:val="24"/>
              </w:rPr>
              <w:t>Заједнички</w:t>
            </w:r>
            <w:r w:rsidR="00AB33B8" w:rsidRPr="00295637">
              <w:rPr>
                <w:rFonts w:ascii="Times New Roman" w:hAnsi="Times New Roman"/>
                <w:szCs w:val="24"/>
              </w:rPr>
              <w:t xml:space="preserve"> </w:t>
            </w:r>
            <w:r>
              <w:rPr>
                <w:rFonts w:ascii="Times New Roman" w:hAnsi="Times New Roman"/>
                <w:szCs w:val="24"/>
              </w:rPr>
              <w:t>штаб</w:t>
            </w:r>
            <w:r w:rsidR="00AB33B8" w:rsidRPr="00295637">
              <w:rPr>
                <w:rFonts w:ascii="Times New Roman" w:hAnsi="Times New Roman"/>
                <w:szCs w:val="24"/>
              </w:rPr>
              <w:t xml:space="preserve"> </w:t>
            </w:r>
            <w:r>
              <w:rPr>
                <w:rFonts w:ascii="Times New Roman" w:hAnsi="Times New Roman"/>
                <w:szCs w:val="24"/>
              </w:rPr>
              <w:t>Оружаних</w:t>
            </w:r>
            <w:r w:rsidR="00AB33B8" w:rsidRPr="00295637">
              <w:rPr>
                <w:rFonts w:ascii="Times New Roman" w:hAnsi="Times New Roman"/>
                <w:szCs w:val="24"/>
              </w:rPr>
              <w:t xml:space="preserve"> </w:t>
            </w:r>
            <w:r>
              <w:rPr>
                <w:rFonts w:ascii="Times New Roman" w:hAnsi="Times New Roman"/>
                <w:szCs w:val="24"/>
              </w:rPr>
              <w:t>снага</w:t>
            </w:r>
            <w:r w:rsidR="00AB33B8" w:rsidRPr="00295637">
              <w:rPr>
                <w:rFonts w:ascii="Times New Roman" w:hAnsi="Times New Roman"/>
                <w:szCs w:val="24"/>
              </w:rPr>
              <w:t xml:space="preserve"> </w:t>
            </w:r>
            <w:r>
              <w:rPr>
                <w:rFonts w:ascii="Times New Roman" w:hAnsi="Times New Roman"/>
                <w:szCs w:val="24"/>
              </w:rPr>
              <w:t>Босне</w:t>
            </w:r>
            <w:r w:rsidR="00AB33B8" w:rsidRPr="00295637">
              <w:rPr>
                <w:rFonts w:ascii="Times New Roman" w:hAnsi="Times New Roman"/>
                <w:szCs w:val="24"/>
              </w:rPr>
              <w:t xml:space="preserve"> </w:t>
            </w:r>
            <w:r>
              <w:rPr>
                <w:rFonts w:ascii="Times New Roman" w:hAnsi="Times New Roman"/>
                <w:szCs w:val="24"/>
              </w:rPr>
              <w:t>и</w:t>
            </w:r>
            <w:r w:rsidR="00AB33B8" w:rsidRPr="00295637">
              <w:rPr>
                <w:rFonts w:ascii="Times New Roman" w:hAnsi="Times New Roman"/>
                <w:szCs w:val="24"/>
              </w:rPr>
              <w:t xml:space="preserve"> </w:t>
            </w:r>
            <w:r>
              <w:rPr>
                <w:rFonts w:ascii="Times New Roman" w:hAnsi="Times New Roman"/>
                <w:szCs w:val="24"/>
              </w:rPr>
              <w:t>Херцеговине</w:t>
            </w: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Default="003927C3" w:rsidP="00660325">
            <w:pPr>
              <w:rPr>
                <w:rFonts w:ascii="Times New Roman" w:hAnsi="Times New Roman"/>
                <w:szCs w:val="24"/>
                <w:lang w:val="sr-Cyrl-BA"/>
              </w:rPr>
            </w:pPr>
          </w:p>
          <w:p w:rsidR="003927C3" w:rsidRPr="003927C3" w:rsidRDefault="003927C3" w:rsidP="007560AE">
            <w:pPr>
              <w:rPr>
                <w:rFonts w:ascii="Times New Roman" w:hAnsi="Times New Roman"/>
                <w:szCs w:val="24"/>
                <w:lang w:val="sr-Cyrl-BA"/>
              </w:rPr>
            </w:pPr>
          </w:p>
        </w:tc>
      </w:tr>
      <w:tr w:rsidR="00AB33B8" w:rsidRPr="00295637" w:rsidTr="00365441">
        <w:tc>
          <w:tcPr>
            <w:tcW w:w="2628" w:type="dxa"/>
          </w:tcPr>
          <w:p w:rsidR="00AB33B8" w:rsidRPr="00295637" w:rsidRDefault="00AB33B8" w:rsidP="0086268D">
            <w:pPr>
              <w:rPr>
                <w:rFonts w:cs="Arial"/>
                <w:szCs w:val="24"/>
              </w:rPr>
            </w:pPr>
          </w:p>
        </w:tc>
        <w:tc>
          <w:tcPr>
            <w:tcW w:w="8100" w:type="dxa"/>
          </w:tcPr>
          <w:p w:rsidR="00AB33B8" w:rsidRPr="00295637" w:rsidRDefault="00AB33B8" w:rsidP="0086268D">
            <w:pPr>
              <w:rPr>
                <w:rFonts w:cs="Arial"/>
                <w:szCs w:val="24"/>
              </w:rPr>
            </w:pPr>
          </w:p>
        </w:tc>
      </w:tr>
    </w:tbl>
    <w:p w:rsidR="007560AE" w:rsidRDefault="007560AE" w:rsidP="0086268D">
      <w:pPr>
        <w:rPr>
          <w:rFonts w:ascii="Times New Roman" w:hAnsi="Times New Roman"/>
          <w:b/>
          <w:lang w:val="bs-Latn-BA"/>
        </w:rPr>
      </w:pPr>
      <w:bookmarkStart w:id="9" w:name="_Toc195016588"/>
      <w:bookmarkEnd w:id="5"/>
      <w:bookmarkEnd w:id="6"/>
      <w:bookmarkEnd w:id="7"/>
      <w:bookmarkEnd w:id="8"/>
    </w:p>
    <w:p w:rsidR="007560AE" w:rsidRDefault="007560AE" w:rsidP="007560AE">
      <w:pPr>
        <w:rPr>
          <w:lang w:val="bs-Latn-BA"/>
        </w:rPr>
      </w:pPr>
      <w:r>
        <w:rPr>
          <w:lang w:val="bs-Latn-BA"/>
        </w:rPr>
        <w:br w:type="page"/>
      </w:r>
    </w:p>
    <w:p w:rsidR="00D41A15" w:rsidRPr="00295637" w:rsidRDefault="00C6214E" w:rsidP="0086268D">
      <w:pPr>
        <w:rPr>
          <w:rFonts w:cs="Arial"/>
          <w:b/>
          <w:szCs w:val="24"/>
          <w:lang w:val="bs-Latn-BA"/>
        </w:rPr>
      </w:pPr>
      <w:r>
        <w:rPr>
          <w:rFonts w:ascii="Times New Roman" w:hAnsi="Times New Roman"/>
          <w:b/>
          <w:lang w:val="bs-Latn-BA"/>
        </w:rPr>
        <w:t>УВОД</w:t>
      </w:r>
      <w:bookmarkEnd w:id="9"/>
    </w:p>
    <w:p w:rsidR="00D41A15" w:rsidRPr="00295637" w:rsidRDefault="00D41A15" w:rsidP="0086268D">
      <w:pPr>
        <w:rPr>
          <w:rFonts w:cs="Arial"/>
          <w:szCs w:val="24"/>
          <w:lang w:val="bs-Latn-BA"/>
        </w:rPr>
      </w:pPr>
    </w:p>
    <w:p w:rsidR="00DC552C" w:rsidRPr="00295637" w:rsidRDefault="003927C3" w:rsidP="0086268D">
      <w:pPr>
        <w:contextualSpacing/>
        <w:jc w:val="both"/>
        <w:rPr>
          <w:rFonts w:ascii="Times New Roman" w:hAnsi="Times New Roman"/>
          <w:szCs w:val="24"/>
        </w:rPr>
      </w:pPr>
      <w:r>
        <w:rPr>
          <w:rFonts w:ascii="Times New Roman" w:hAnsi="Times New Roman"/>
          <w:szCs w:val="24"/>
          <w:lang w:val="sr-Cyrl-BA"/>
        </w:rPr>
        <w:t>Савјет</w:t>
      </w:r>
      <w:r w:rsidR="00DC552C" w:rsidRPr="00295637">
        <w:rPr>
          <w:rFonts w:ascii="Times New Roman" w:hAnsi="Times New Roman"/>
          <w:szCs w:val="24"/>
        </w:rPr>
        <w:t xml:space="preserve"> </w:t>
      </w:r>
      <w:r w:rsidR="00C6214E">
        <w:rPr>
          <w:rFonts w:ascii="Times New Roman" w:hAnsi="Times New Roman"/>
          <w:szCs w:val="24"/>
        </w:rPr>
        <w:t>министара</w:t>
      </w:r>
      <w:r w:rsidR="0086156D">
        <w:rPr>
          <w:rFonts w:ascii="Times New Roman" w:hAnsi="Times New Roman"/>
          <w:szCs w:val="24"/>
        </w:rPr>
        <w:t xml:space="preserve"> </w:t>
      </w:r>
      <w:r w:rsidR="00C6214E">
        <w:rPr>
          <w:rFonts w:ascii="Times New Roman" w:hAnsi="Times New Roman"/>
          <w:szCs w:val="24"/>
        </w:rPr>
        <w:t>Босне</w:t>
      </w:r>
      <w:r w:rsidR="0086156D">
        <w:rPr>
          <w:rFonts w:ascii="Times New Roman" w:hAnsi="Times New Roman"/>
          <w:szCs w:val="24"/>
        </w:rPr>
        <w:t xml:space="preserve"> </w:t>
      </w:r>
      <w:r w:rsidR="00C6214E">
        <w:rPr>
          <w:rFonts w:ascii="Times New Roman" w:hAnsi="Times New Roman"/>
          <w:szCs w:val="24"/>
        </w:rPr>
        <w:t>и</w:t>
      </w:r>
      <w:r w:rsidR="0086156D">
        <w:rPr>
          <w:rFonts w:ascii="Times New Roman" w:hAnsi="Times New Roman"/>
          <w:szCs w:val="24"/>
        </w:rPr>
        <w:t xml:space="preserve"> </w:t>
      </w:r>
      <w:r w:rsidR="00C6214E">
        <w:rPr>
          <w:rFonts w:ascii="Times New Roman" w:hAnsi="Times New Roman"/>
          <w:szCs w:val="24"/>
        </w:rPr>
        <w:t>Херцеговине</w:t>
      </w:r>
      <w:r w:rsidR="0086156D">
        <w:rPr>
          <w:rFonts w:ascii="Times New Roman" w:hAnsi="Times New Roman"/>
          <w:szCs w:val="24"/>
        </w:rPr>
        <w:t xml:space="preserve"> </w:t>
      </w:r>
      <w:r w:rsidR="00C6214E">
        <w:rPr>
          <w:rFonts w:ascii="Times New Roman" w:hAnsi="Times New Roman"/>
          <w:szCs w:val="24"/>
        </w:rPr>
        <w:t>је</w:t>
      </w:r>
      <w:r w:rsidR="0086156D">
        <w:rPr>
          <w:rFonts w:ascii="Times New Roman" w:hAnsi="Times New Roman"/>
          <w:szCs w:val="24"/>
        </w:rPr>
        <w:t xml:space="preserve"> 18</w:t>
      </w:r>
      <w:r w:rsidR="00DC552C" w:rsidRPr="00295637">
        <w:rPr>
          <w:rFonts w:ascii="Times New Roman" w:hAnsi="Times New Roman"/>
          <w:szCs w:val="24"/>
        </w:rPr>
        <w:t xml:space="preserve">. </w:t>
      </w:r>
      <w:r w:rsidR="00C6214E">
        <w:rPr>
          <w:rFonts w:ascii="Times New Roman" w:hAnsi="Times New Roman"/>
          <w:szCs w:val="24"/>
        </w:rPr>
        <w:t>јуна</w:t>
      </w:r>
      <w:r w:rsidR="00DC552C" w:rsidRPr="00295637">
        <w:rPr>
          <w:rFonts w:ascii="Times New Roman" w:hAnsi="Times New Roman"/>
          <w:szCs w:val="24"/>
        </w:rPr>
        <w:t xml:space="preserve"> 2023. </w:t>
      </w:r>
      <w:r w:rsidR="00C6214E">
        <w:rPr>
          <w:rFonts w:ascii="Times New Roman" w:hAnsi="Times New Roman"/>
          <w:szCs w:val="24"/>
        </w:rPr>
        <w:t>године</w:t>
      </w:r>
      <w:r w:rsidR="00DC552C" w:rsidRPr="00295637">
        <w:rPr>
          <w:rFonts w:ascii="Times New Roman" w:hAnsi="Times New Roman"/>
          <w:szCs w:val="24"/>
        </w:rPr>
        <w:t xml:space="preserve">, </w:t>
      </w:r>
      <w:r w:rsidR="00C6214E">
        <w:rPr>
          <w:rFonts w:ascii="Times New Roman" w:hAnsi="Times New Roman"/>
          <w:szCs w:val="24"/>
        </w:rPr>
        <w:t>на</w:t>
      </w:r>
      <w:r w:rsidR="00DC552C" w:rsidRPr="00295637">
        <w:rPr>
          <w:rFonts w:ascii="Times New Roman" w:hAnsi="Times New Roman"/>
          <w:szCs w:val="24"/>
        </w:rPr>
        <w:t xml:space="preserve"> </w:t>
      </w:r>
      <w:r w:rsidR="00C6214E">
        <w:rPr>
          <w:rFonts w:ascii="Times New Roman" w:hAnsi="Times New Roman"/>
          <w:szCs w:val="24"/>
        </w:rPr>
        <w:t>приједлог</w:t>
      </w:r>
      <w:r w:rsidR="00DC552C" w:rsidRPr="00295637">
        <w:rPr>
          <w:rFonts w:ascii="Times New Roman" w:hAnsi="Times New Roman"/>
          <w:szCs w:val="24"/>
        </w:rPr>
        <w:t xml:space="preserve"> </w:t>
      </w:r>
      <w:r w:rsidR="00C6214E">
        <w:rPr>
          <w:rFonts w:ascii="Times New Roman" w:hAnsi="Times New Roman"/>
          <w:szCs w:val="24"/>
        </w:rPr>
        <w:t>Министарства</w:t>
      </w:r>
      <w:r w:rsidR="003E33E9" w:rsidRPr="00295637">
        <w:rPr>
          <w:rFonts w:ascii="Times New Roman" w:hAnsi="Times New Roman"/>
          <w:szCs w:val="24"/>
        </w:rPr>
        <w:t xml:space="preserve"> </w:t>
      </w:r>
      <w:r w:rsidR="00C6214E">
        <w:rPr>
          <w:rFonts w:ascii="Times New Roman" w:hAnsi="Times New Roman"/>
          <w:szCs w:val="24"/>
        </w:rPr>
        <w:t>за</w:t>
      </w:r>
      <w:r w:rsidR="003E33E9" w:rsidRPr="00295637">
        <w:rPr>
          <w:rFonts w:ascii="Times New Roman" w:hAnsi="Times New Roman"/>
          <w:szCs w:val="24"/>
        </w:rPr>
        <w:t xml:space="preserve"> </w:t>
      </w:r>
      <w:r w:rsidR="00C6214E">
        <w:rPr>
          <w:rFonts w:ascii="Times New Roman" w:hAnsi="Times New Roman"/>
          <w:szCs w:val="24"/>
        </w:rPr>
        <w:t>људска</w:t>
      </w:r>
      <w:r w:rsidR="003E33E9" w:rsidRPr="00295637">
        <w:rPr>
          <w:rFonts w:ascii="Times New Roman" w:hAnsi="Times New Roman"/>
          <w:szCs w:val="24"/>
        </w:rPr>
        <w:t xml:space="preserve"> </w:t>
      </w:r>
      <w:r w:rsidR="00C6214E">
        <w:rPr>
          <w:rFonts w:ascii="Times New Roman" w:hAnsi="Times New Roman"/>
          <w:szCs w:val="24"/>
        </w:rPr>
        <w:t>права</w:t>
      </w:r>
      <w:r w:rsidR="003E33E9" w:rsidRPr="00295637">
        <w:rPr>
          <w:rFonts w:ascii="Times New Roman" w:hAnsi="Times New Roman"/>
          <w:szCs w:val="24"/>
        </w:rPr>
        <w:t xml:space="preserve"> </w:t>
      </w:r>
      <w:r w:rsidR="00C6214E">
        <w:rPr>
          <w:rFonts w:ascii="Times New Roman" w:hAnsi="Times New Roman"/>
          <w:szCs w:val="24"/>
        </w:rPr>
        <w:t>и</w:t>
      </w:r>
      <w:r w:rsidR="003E33E9" w:rsidRPr="00295637">
        <w:rPr>
          <w:rFonts w:ascii="Times New Roman" w:hAnsi="Times New Roman"/>
          <w:szCs w:val="24"/>
        </w:rPr>
        <w:t xml:space="preserve"> </w:t>
      </w:r>
      <w:r w:rsidR="00C6214E">
        <w:rPr>
          <w:rFonts w:ascii="Times New Roman" w:hAnsi="Times New Roman"/>
          <w:szCs w:val="24"/>
        </w:rPr>
        <w:t>избјеглице</w:t>
      </w:r>
      <w:r w:rsidR="00DC552C" w:rsidRPr="00295637">
        <w:rPr>
          <w:rFonts w:ascii="Times New Roman" w:hAnsi="Times New Roman"/>
          <w:szCs w:val="24"/>
        </w:rPr>
        <w:t xml:space="preserve"> </w:t>
      </w:r>
      <w:r w:rsidR="00C6214E">
        <w:rPr>
          <w:rFonts w:ascii="Times New Roman" w:hAnsi="Times New Roman"/>
          <w:szCs w:val="24"/>
        </w:rPr>
        <w:t>Босне</w:t>
      </w:r>
      <w:r w:rsidR="00DC552C" w:rsidRPr="00295637">
        <w:rPr>
          <w:rFonts w:ascii="Times New Roman" w:hAnsi="Times New Roman"/>
          <w:szCs w:val="24"/>
        </w:rPr>
        <w:t xml:space="preserve"> </w:t>
      </w:r>
      <w:r w:rsidR="00C6214E">
        <w:rPr>
          <w:rFonts w:ascii="Times New Roman" w:hAnsi="Times New Roman"/>
          <w:szCs w:val="24"/>
        </w:rPr>
        <w:t>и</w:t>
      </w:r>
      <w:r w:rsidR="00DC552C" w:rsidRPr="00295637">
        <w:rPr>
          <w:rFonts w:ascii="Times New Roman" w:hAnsi="Times New Roman"/>
          <w:szCs w:val="24"/>
        </w:rPr>
        <w:t xml:space="preserve"> </w:t>
      </w:r>
      <w:r w:rsidR="00C6214E">
        <w:rPr>
          <w:rFonts w:ascii="Times New Roman" w:hAnsi="Times New Roman"/>
          <w:szCs w:val="24"/>
        </w:rPr>
        <w:t>Херцеговине</w:t>
      </w:r>
      <w:r w:rsidR="00DC552C" w:rsidRPr="00295637">
        <w:rPr>
          <w:rFonts w:ascii="Times New Roman" w:hAnsi="Times New Roman"/>
          <w:szCs w:val="24"/>
        </w:rPr>
        <w:t xml:space="preserve">, </w:t>
      </w:r>
      <w:r w:rsidR="00C6214E">
        <w:rPr>
          <w:rFonts w:ascii="Times New Roman" w:hAnsi="Times New Roman"/>
          <w:szCs w:val="24"/>
        </w:rPr>
        <w:t>донио</w:t>
      </w:r>
      <w:r w:rsidR="00DC552C" w:rsidRPr="00295637">
        <w:rPr>
          <w:rFonts w:ascii="Times New Roman" w:hAnsi="Times New Roman"/>
          <w:szCs w:val="24"/>
        </w:rPr>
        <w:t xml:space="preserve"> </w:t>
      </w:r>
      <w:r w:rsidR="00C6214E">
        <w:rPr>
          <w:rFonts w:ascii="Times New Roman" w:hAnsi="Times New Roman"/>
          <w:szCs w:val="24"/>
        </w:rPr>
        <w:t>Одлуку</w:t>
      </w:r>
      <w:r w:rsidR="00DC552C" w:rsidRPr="00295637">
        <w:rPr>
          <w:rFonts w:ascii="Times New Roman" w:hAnsi="Times New Roman"/>
          <w:szCs w:val="24"/>
        </w:rPr>
        <w:t xml:space="preserve"> </w:t>
      </w:r>
      <w:r w:rsidR="00C6214E">
        <w:rPr>
          <w:rFonts w:ascii="Times New Roman" w:hAnsi="Times New Roman"/>
          <w:szCs w:val="24"/>
        </w:rPr>
        <w:t>о</w:t>
      </w:r>
      <w:r w:rsidR="00DC552C" w:rsidRPr="00295637">
        <w:rPr>
          <w:rFonts w:ascii="Times New Roman" w:hAnsi="Times New Roman"/>
          <w:szCs w:val="24"/>
        </w:rPr>
        <w:t xml:space="preserve"> </w:t>
      </w:r>
      <w:r w:rsidR="00C6214E">
        <w:rPr>
          <w:rFonts w:ascii="Times New Roman" w:hAnsi="Times New Roman"/>
          <w:szCs w:val="24"/>
        </w:rPr>
        <w:t>усвајању</w:t>
      </w:r>
      <w:r w:rsidR="00DC552C" w:rsidRPr="00295637">
        <w:rPr>
          <w:rFonts w:ascii="Times New Roman" w:hAnsi="Times New Roman"/>
          <w:szCs w:val="24"/>
        </w:rPr>
        <w:t xml:space="preserve"> </w:t>
      </w:r>
      <w:r w:rsidR="00C6214E">
        <w:rPr>
          <w:rFonts w:ascii="Times New Roman" w:hAnsi="Times New Roman"/>
          <w:szCs w:val="24"/>
        </w:rPr>
        <w:t>четвртог</w:t>
      </w:r>
      <w:r w:rsidR="00DC552C" w:rsidRPr="00295637">
        <w:rPr>
          <w:rFonts w:ascii="Times New Roman" w:hAnsi="Times New Roman"/>
          <w:szCs w:val="24"/>
        </w:rPr>
        <w:t xml:space="preserve"> </w:t>
      </w:r>
      <w:r w:rsidR="00C6214E">
        <w:rPr>
          <w:rFonts w:ascii="Times New Roman" w:hAnsi="Times New Roman"/>
          <w:szCs w:val="24"/>
        </w:rPr>
        <w:t>по</w:t>
      </w:r>
      <w:r w:rsidR="00DC552C" w:rsidRPr="00295637">
        <w:rPr>
          <w:rFonts w:ascii="Times New Roman" w:hAnsi="Times New Roman"/>
          <w:szCs w:val="24"/>
        </w:rPr>
        <w:t xml:space="preserve"> </w:t>
      </w:r>
      <w:r w:rsidR="00C6214E">
        <w:rPr>
          <w:rFonts w:ascii="Times New Roman" w:hAnsi="Times New Roman"/>
          <w:szCs w:val="24"/>
        </w:rPr>
        <w:t>реду</w:t>
      </w:r>
      <w:r w:rsidR="00DC552C" w:rsidRPr="00295637">
        <w:rPr>
          <w:rFonts w:ascii="Times New Roman" w:hAnsi="Times New Roman"/>
          <w:szCs w:val="24"/>
        </w:rPr>
        <w:t xml:space="preserve"> </w:t>
      </w:r>
      <w:r w:rsidR="00C6214E">
        <w:rPr>
          <w:rFonts w:ascii="Times New Roman" w:hAnsi="Times New Roman"/>
          <w:szCs w:val="24"/>
        </w:rPr>
        <w:t>Гендер</w:t>
      </w:r>
      <w:r w:rsidR="00DC552C" w:rsidRPr="00295637">
        <w:rPr>
          <w:rFonts w:ascii="Times New Roman" w:hAnsi="Times New Roman"/>
          <w:szCs w:val="24"/>
        </w:rPr>
        <w:t xml:space="preserve"> </w:t>
      </w:r>
      <w:r w:rsidR="00C6214E">
        <w:rPr>
          <w:rFonts w:ascii="Times New Roman" w:hAnsi="Times New Roman"/>
          <w:szCs w:val="24"/>
        </w:rPr>
        <w:t>акционог</w:t>
      </w:r>
      <w:r w:rsidR="00DC552C" w:rsidRPr="00295637">
        <w:rPr>
          <w:rFonts w:ascii="Times New Roman" w:hAnsi="Times New Roman"/>
          <w:szCs w:val="24"/>
        </w:rPr>
        <w:t xml:space="preserve"> </w:t>
      </w:r>
      <w:r w:rsidR="00C6214E">
        <w:rPr>
          <w:rFonts w:ascii="Times New Roman" w:hAnsi="Times New Roman"/>
          <w:szCs w:val="24"/>
        </w:rPr>
        <w:t>плана</w:t>
      </w:r>
      <w:r w:rsidR="00DC552C" w:rsidRPr="00295637">
        <w:rPr>
          <w:rFonts w:ascii="Times New Roman" w:hAnsi="Times New Roman"/>
          <w:szCs w:val="24"/>
        </w:rPr>
        <w:t xml:space="preserve"> </w:t>
      </w:r>
      <w:r w:rsidR="00C6214E">
        <w:rPr>
          <w:rFonts w:ascii="Times New Roman" w:hAnsi="Times New Roman"/>
          <w:szCs w:val="24"/>
        </w:rPr>
        <w:t>Босне</w:t>
      </w:r>
      <w:r w:rsidR="00DC552C" w:rsidRPr="00295637">
        <w:rPr>
          <w:rFonts w:ascii="Times New Roman" w:hAnsi="Times New Roman"/>
          <w:szCs w:val="24"/>
        </w:rPr>
        <w:t xml:space="preserve"> </w:t>
      </w:r>
      <w:r w:rsidR="00C6214E">
        <w:rPr>
          <w:rFonts w:ascii="Times New Roman" w:hAnsi="Times New Roman"/>
          <w:szCs w:val="24"/>
        </w:rPr>
        <w:t>и</w:t>
      </w:r>
      <w:r w:rsidR="00DC552C" w:rsidRPr="00295637">
        <w:rPr>
          <w:rFonts w:ascii="Times New Roman" w:hAnsi="Times New Roman"/>
          <w:szCs w:val="24"/>
        </w:rPr>
        <w:t xml:space="preserve"> </w:t>
      </w:r>
      <w:r w:rsidR="00C6214E">
        <w:rPr>
          <w:rFonts w:ascii="Times New Roman" w:hAnsi="Times New Roman"/>
          <w:szCs w:val="24"/>
        </w:rPr>
        <w:t>Херцеговине</w:t>
      </w:r>
      <w:r w:rsidR="00DC552C" w:rsidRPr="00295637">
        <w:rPr>
          <w:rFonts w:ascii="Times New Roman" w:hAnsi="Times New Roman"/>
          <w:szCs w:val="24"/>
        </w:rPr>
        <w:t xml:space="preserve">, </w:t>
      </w:r>
      <w:r w:rsidR="00C6214E">
        <w:rPr>
          <w:rFonts w:ascii="Times New Roman" w:hAnsi="Times New Roman"/>
          <w:szCs w:val="24"/>
        </w:rPr>
        <w:t>за</w:t>
      </w:r>
      <w:r w:rsidR="00DC552C" w:rsidRPr="00295637">
        <w:rPr>
          <w:rFonts w:ascii="Times New Roman" w:hAnsi="Times New Roman"/>
          <w:szCs w:val="24"/>
        </w:rPr>
        <w:t xml:space="preserve"> </w:t>
      </w:r>
      <w:r w:rsidR="00C6214E">
        <w:rPr>
          <w:rFonts w:ascii="Times New Roman" w:hAnsi="Times New Roman"/>
          <w:szCs w:val="24"/>
        </w:rPr>
        <w:t>период</w:t>
      </w:r>
      <w:r w:rsidR="00DC552C" w:rsidRPr="00295637">
        <w:rPr>
          <w:rFonts w:ascii="Times New Roman" w:hAnsi="Times New Roman"/>
          <w:szCs w:val="24"/>
        </w:rPr>
        <w:t xml:space="preserve"> 2023</w:t>
      </w:r>
      <w:r w:rsidR="00C5401B">
        <w:rPr>
          <w:rFonts w:ascii="Times New Roman" w:hAnsi="Times New Roman"/>
          <w:szCs w:val="24"/>
        </w:rPr>
        <w:t>-</w:t>
      </w:r>
      <w:r w:rsidR="00DC552C" w:rsidRPr="00295637">
        <w:rPr>
          <w:rFonts w:ascii="Times New Roman" w:hAnsi="Times New Roman"/>
          <w:szCs w:val="24"/>
        </w:rPr>
        <w:t>2027</w:t>
      </w:r>
      <w:r w:rsidR="00C110AB">
        <w:rPr>
          <w:rFonts w:ascii="Times New Roman" w:hAnsi="Times New Roman"/>
          <w:szCs w:val="24"/>
        </w:rPr>
        <w:t xml:space="preserve">. </w:t>
      </w:r>
      <w:r w:rsidR="00C6214E">
        <w:rPr>
          <w:rFonts w:ascii="Times New Roman" w:hAnsi="Times New Roman"/>
          <w:szCs w:val="24"/>
        </w:rPr>
        <w:t>година</w:t>
      </w:r>
      <w:r w:rsidR="00C110AB">
        <w:rPr>
          <w:rFonts w:ascii="Times New Roman" w:hAnsi="Times New Roman"/>
          <w:szCs w:val="24"/>
        </w:rPr>
        <w:t xml:space="preserve">, </w:t>
      </w:r>
      <w:r w:rsidR="00C6214E">
        <w:rPr>
          <w:rFonts w:ascii="Times New Roman" w:hAnsi="Times New Roman"/>
          <w:szCs w:val="24"/>
        </w:rPr>
        <w:t>са</w:t>
      </w:r>
      <w:r w:rsidR="00DC552C" w:rsidRPr="00295637">
        <w:rPr>
          <w:rFonts w:ascii="Times New Roman" w:hAnsi="Times New Roman"/>
          <w:szCs w:val="24"/>
        </w:rPr>
        <w:t xml:space="preserve"> </w:t>
      </w:r>
      <w:r w:rsidR="00C6214E">
        <w:rPr>
          <w:rFonts w:ascii="Times New Roman" w:hAnsi="Times New Roman"/>
          <w:szCs w:val="24"/>
        </w:rPr>
        <w:t>Оперативним</w:t>
      </w:r>
      <w:r w:rsidR="00DC552C" w:rsidRPr="00295637">
        <w:rPr>
          <w:rFonts w:ascii="Times New Roman" w:hAnsi="Times New Roman"/>
          <w:szCs w:val="24"/>
        </w:rPr>
        <w:t xml:space="preserve"> </w:t>
      </w:r>
      <w:r w:rsidR="00C6214E">
        <w:rPr>
          <w:rFonts w:ascii="Times New Roman" w:hAnsi="Times New Roman"/>
          <w:szCs w:val="24"/>
        </w:rPr>
        <w:t>планом</w:t>
      </w:r>
      <w:r w:rsidR="00DC552C" w:rsidRPr="00295637">
        <w:rPr>
          <w:rFonts w:ascii="Times New Roman" w:hAnsi="Times New Roman"/>
          <w:szCs w:val="24"/>
        </w:rPr>
        <w:t xml:space="preserve"> </w:t>
      </w:r>
      <w:r w:rsidR="00C6214E">
        <w:rPr>
          <w:rFonts w:ascii="Times New Roman" w:hAnsi="Times New Roman"/>
          <w:szCs w:val="24"/>
        </w:rPr>
        <w:t>за</w:t>
      </w:r>
      <w:r w:rsidR="00DC552C" w:rsidRPr="00295637">
        <w:rPr>
          <w:rFonts w:ascii="Times New Roman" w:hAnsi="Times New Roman"/>
          <w:szCs w:val="24"/>
        </w:rPr>
        <w:t xml:space="preserve"> </w:t>
      </w:r>
      <w:r>
        <w:rPr>
          <w:rFonts w:ascii="Times New Roman" w:hAnsi="Times New Roman"/>
          <w:szCs w:val="24"/>
          <w:lang w:val="sr-Cyrl-BA"/>
        </w:rPr>
        <w:t>спровођење</w:t>
      </w:r>
      <w:r w:rsidR="00DC552C" w:rsidRPr="00295637">
        <w:rPr>
          <w:rFonts w:ascii="Times New Roman" w:hAnsi="Times New Roman"/>
          <w:szCs w:val="24"/>
        </w:rPr>
        <w:t xml:space="preserve"> </w:t>
      </w:r>
      <w:r w:rsidR="00C6214E">
        <w:rPr>
          <w:rFonts w:ascii="Times New Roman" w:hAnsi="Times New Roman"/>
          <w:szCs w:val="24"/>
        </w:rPr>
        <w:t>ГАП</w:t>
      </w:r>
      <w:r w:rsidR="005C3D53" w:rsidRPr="00295637">
        <w:rPr>
          <w:rFonts w:ascii="Times New Roman" w:hAnsi="Times New Roman"/>
          <w:szCs w:val="24"/>
        </w:rPr>
        <w:t xml:space="preserve"> </w:t>
      </w:r>
      <w:r w:rsidR="00C6214E">
        <w:rPr>
          <w:rFonts w:ascii="Times New Roman" w:hAnsi="Times New Roman"/>
          <w:szCs w:val="24"/>
        </w:rPr>
        <w:t>БиХ</w:t>
      </w:r>
      <w:r w:rsidR="001A37CD">
        <w:rPr>
          <w:rFonts w:ascii="Times New Roman" w:hAnsi="Times New Roman"/>
          <w:szCs w:val="24"/>
        </w:rPr>
        <w:t xml:space="preserve"> </w:t>
      </w:r>
      <w:r w:rsidR="00C6214E">
        <w:rPr>
          <w:rFonts w:ascii="Times New Roman" w:hAnsi="Times New Roman"/>
          <w:szCs w:val="24"/>
        </w:rPr>
        <w:t>за</w:t>
      </w:r>
      <w:r w:rsidR="001A37CD">
        <w:rPr>
          <w:rFonts w:ascii="Times New Roman" w:hAnsi="Times New Roman"/>
          <w:szCs w:val="24"/>
        </w:rPr>
        <w:t xml:space="preserve"> </w:t>
      </w:r>
      <w:r w:rsidR="00C6214E">
        <w:rPr>
          <w:rFonts w:ascii="Times New Roman" w:hAnsi="Times New Roman"/>
          <w:szCs w:val="24"/>
        </w:rPr>
        <w:t>институције</w:t>
      </w:r>
      <w:r w:rsidR="00DC552C" w:rsidRPr="00295637">
        <w:rPr>
          <w:rFonts w:ascii="Times New Roman" w:hAnsi="Times New Roman"/>
          <w:szCs w:val="24"/>
        </w:rPr>
        <w:t xml:space="preserve"> </w:t>
      </w:r>
      <w:r w:rsidR="00C6214E">
        <w:rPr>
          <w:rFonts w:ascii="Times New Roman" w:hAnsi="Times New Roman"/>
          <w:szCs w:val="24"/>
        </w:rPr>
        <w:t>Босне</w:t>
      </w:r>
      <w:r w:rsidR="00DC552C" w:rsidRPr="00295637">
        <w:rPr>
          <w:rFonts w:ascii="Times New Roman" w:hAnsi="Times New Roman"/>
          <w:szCs w:val="24"/>
        </w:rPr>
        <w:t xml:space="preserve"> </w:t>
      </w:r>
      <w:r w:rsidR="00C6214E">
        <w:rPr>
          <w:rFonts w:ascii="Times New Roman" w:hAnsi="Times New Roman"/>
          <w:szCs w:val="24"/>
        </w:rPr>
        <w:t>и</w:t>
      </w:r>
      <w:r w:rsidR="00DC552C" w:rsidRPr="00295637">
        <w:rPr>
          <w:rFonts w:ascii="Times New Roman" w:hAnsi="Times New Roman"/>
          <w:szCs w:val="24"/>
        </w:rPr>
        <w:t xml:space="preserve"> </w:t>
      </w:r>
      <w:r w:rsidR="00C6214E">
        <w:rPr>
          <w:rFonts w:ascii="Times New Roman" w:hAnsi="Times New Roman"/>
          <w:szCs w:val="24"/>
        </w:rPr>
        <w:t>Херцеговине</w:t>
      </w:r>
      <w:r w:rsidR="00DC552C" w:rsidRPr="00295637">
        <w:rPr>
          <w:rFonts w:ascii="Times New Roman" w:hAnsi="Times New Roman"/>
          <w:szCs w:val="24"/>
        </w:rPr>
        <w:t xml:space="preserve">. </w:t>
      </w:r>
      <w:r w:rsidR="00C6214E">
        <w:rPr>
          <w:rFonts w:ascii="Times New Roman" w:hAnsi="Times New Roman"/>
          <w:szCs w:val="24"/>
        </w:rPr>
        <w:t>Због</w:t>
      </w:r>
      <w:r w:rsidR="00DC552C" w:rsidRPr="00295637">
        <w:rPr>
          <w:rFonts w:ascii="Times New Roman" w:hAnsi="Times New Roman"/>
          <w:szCs w:val="24"/>
        </w:rPr>
        <w:t xml:space="preserve"> </w:t>
      </w:r>
      <w:r w:rsidR="00C6214E">
        <w:rPr>
          <w:rFonts w:ascii="Times New Roman" w:hAnsi="Times New Roman"/>
          <w:szCs w:val="24"/>
        </w:rPr>
        <w:t>кратког</w:t>
      </w:r>
      <w:r w:rsidR="00DC552C" w:rsidRPr="00295637">
        <w:rPr>
          <w:rFonts w:ascii="Times New Roman" w:hAnsi="Times New Roman"/>
          <w:szCs w:val="24"/>
        </w:rPr>
        <w:t xml:space="preserve"> </w:t>
      </w:r>
      <w:r w:rsidR="00C6214E">
        <w:rPr>
          <w:rFonts w:ascii="Times New Roman" w:hAnsi="Times New Roman"/>
          <w:szCs w:val="24"/>
        </w:rPr>
        <w:t>периода</w:t>
      </w:r>
      <w:r w:rsidR="00DC552C" w:rsidRPr="00295637">
        <w:rPr>
          <w:rFonts w:ascii="Times New Roman" w:hAnsi="Times New Roman"/>
          <w:szCs w:val="24"/>
        </w:rPr>
        <w:t xml:space="preserve"> </w:t>
      </w:r>
      <w:r w:rsidR="00C6214E">
        <w:rPr>
          <w:rFonts w:ascii="Times New Roman" w:hAnsi="Times New Roman"/>
          <w:szCs w:val="24"/>
        </w:rPr>
        <w:t>од</w:t>
      </w:r>
      <w:r w:rsidR="00DC552C" w:rsidRPr="00295637">
        <w:rPr>
          <w:rFonts w:ascii="Times New Roman" w:hAnsi="Times New Roman"/>
          <w:szCs w:val="24"/>
        </w:rPr>
        <w:t xml:space="preserve"> </w:t>
      </w:r>
      <w:r w:rsidR="00C6214E">
        <w:rPr>
          <w:rFonts w:ascii="Times New Roman" w:hAnsi="Times New Roman"/>
          <w:szCs w:val="24"/>
        </w:rPr>
        <w:t>усвајања</w:t>
      </w:r>
      <w:r w:rsidR="00DC552C" w:rsidRPr="00295637">
        <w:rPr>
          <w:rFonts w:ascii="Times New Roman" w:hAnsi="Times New Roman"/>
          <w:szCs w:val="24"/>
        </w:rPr>
        <w:t xml:space="preserve"> </w:t>
      </w:r>
      <w:r w:rsidR="00C6214E">
        <w:rPr>
          <w:rFonts w:ascii="Times New Roman" w:hAnsi="Times New Roman"/>
          <w:szCs w:val="24"/>
        </w:rPr>
        <w:t>ГАП</w:t>
      </w:r>
      <w:r w:rsidR="009E54A2" w:rsidRPr="00295637">
        <w:rPr>
          <w:rFonts w:ascii="Times New Roman" w:hAnsi="Times New Roman"/>
          <w:szCs w:val="24"/>
        </w:rPr>
        <w:t xml:space="preserve"> </w:t>
      </w:r>
      <w:r w:rsidR="00C6214E">
        <w:rPr>
          <w:rFonts w:ascii="Times New Roman" w:hAnsi="Times New Roman"/>
          <w:szCs w:val="24"/>
        </w:rPr>
        <w:t>БиХ</w:t>
      </w:r>
      <w:r w:rsidR="009E54A2" w:rsidRPr="00295637">
        <w:rPr>
          <w:rFonts w:ascii="Times New Roman" w:hAnsi="Times New Roman"/>
          <w:szCs w:val="24"/>
        </w:rPr>
        <w:t xml:space="preserve"> </w:t>
      </w:r>
      <w:r w:rsidR="00C6214E">
        <w:rPr>
          <w:rFonts w:ascii="Times New Roman" w:hAnsi="Times New Roman"/>
          <w:szCs w:val="24"/>
        </w:rPr>
        <w:t>до</w:t>
      </w:r>
      <w:r w:rsidR="00DC552C" w:rsidRPr="00295637">
        <w:rPr>
          <w:rFonts w:ascii="Times New Roman" w:hAnsi="Times New Roman"/>
          <w:szCs w:val="24"/>
        </w:rPr>
        <w:t xml:space="preserve"> </w:t>
      </w:r>
      <w:r w:rsidR="00C6214E">
        <w:rPr>
          <w:rFonts w:ascii="Times New Roman" w:hAnsi="Times New Roman"/>
          <w:szCs w:val="24"/>
        </w:rPr>
        <w:t>краја</w:t>
      </w:r>
      <w:r w:rsidR="00DC552C" w:rsidRPr="00295637">
        <w:rPr>
          <w:rFonts w:ascii="Times New Roman" w:hAnsi="Times New Roman"/>
          <w:szCs w:val="24"/>
        </w:rPr>
        <w:t xml:space="preserve"> 2023. </w:t>
      </w:r>
      <w:r w:rsidR="00C6214E">
        <w:rPr>
          <w:rFonts w:ascii="Times New Roman" w:hAnsi="Times New Roman"/>
          <w:szCs w:val="24"/>
        </w:rPr>
        <w:t>године</w:t>
      </w:r>
      <w:r w:rsidR="00DC552C" w:rsidRPr="00295637">
        <w:rPr>
          <w:rFonts w:ascii="Times New Roman" w:hAnsi="Times New Roman"/>
          <w:szCs w:val="24"/>
        </w:rPr>
        <w:t xml:space="preserve">, </w:t>
      </w:r>
      <w:r w:rsidR="00C6214E">
        <w:rPr>
          <w:rFonts w:ascii="Times New Roman" w:hAnsi="Times New Roman"/>
          <w:szCs w:val="24"/>
        </w:rPr>
        <w:t>годишњи</w:t>
      </w:r>
      <w:r w:rsidR="00DC552C" w:rsidRPr="00295637">
        <w:rPr>
          <w:rFonts w:ascii="Times New Roman" w:hAnsi="Times New Roman"/>
          <w:szCs w:val="24"/>
        </w:rPr>
        <w:t xml:space="preserve"> </w:t>
      </w:r>
      <w:r w:rsidR="00C6214E">
        <w:rPr>
          <w:rFonts w:ascii="Times New Roman" w:hAnsi="Times New Roman"/>
          <w:szCs w:val="24"/>
        </w:rPr>
        <w:t>извјештај</w:t>
      </w:r>
      <w:r w:rsidR="00DC552C" w:rsidRPr="00295637">
        <w:rPr>
          <w:rFonts w:ascii="Times New Roman" w:hAnsi="Times New Roman"/>
          <w:szCs w:val="24"/>
        </w:rPr>
        <w:t xml:space="preserve"> </w:t>
      </w:r>
      <w:r w:rsidR="00C6214E">
        <w:rPr>
          <w:rFonts w:ascii="Times New Roman" w:hAnsi="Times New Roman"/>
          <w:szCs w:val="24"/>
        </w:rPr>
        <w:t>за</w:t>
      </w:r>
      <w:r w:rsidR="00DC552C" w:rsidRPr="00295637">
        <w:rPr>
          <w:rFonts w:ascii="Times New Roman" w:hAnsi="Times New Roman"/>
          <w:szCs w:val="24"/>
        </w:rPr>
        <w:t xml:space="preserve"> 2023. </w:t>
      </w:r>
      <w:r w:rsidR="00C6214E">
        <w:rPr>
          <w:rFonts w:ascii="Times New Roman" w:hAnsi="Times New Roman"/>
          <w:szCs w:val="24"/>
        </w:rPr>
        <w:t>годину</w:t>
      </w:r>
      <w:r w:rsidR="00DC552C" w:rsidRPr="00295637">
        <w:rPr>
          <w:rFonts w:ascii="Times New Roman" w:hAnsi="Times New Roman"/>
          <w:szCs w:val="24"/>
        </w:rPr>
        <w:t xml:space="preserve"> </w:t>
      </w:r>
      <w:r w:rsidR="00C6214E">
        <w:rPr>
          <w:rFonts w:ascii="Times New Roman" w:hAnsi="Times New Roman"/>
          <w:szCs w:val="24"/>
        </w:rPr>
        <w:t>није</w:t>
      </w:r>
      <w:r w:rsidR="00DC552C" w:rsidRPr="00295637">
        <w:rPr>
          <w:rFonts w:ascii="Times New Roman" w:hAnsi="Times New Roman"/>
          <w:szCs w:val="24"/>
        </w:rPr>
        <w:t xml:space="preserve"> </w:t>
      </w:r>
      <w:r w:rsidR="00C6214E">
        <w:rPr>
          <w:rFonts w:ascii="Times New Roman" w:hAnsi="Times New Roman"/>
          <w:szCs w:val="24"/>
        </w:rPr>
        <w:t>рађен</w:t>
      </w:r>
      <w:r w:rsidR="00D7215A" w:rsidRPr="00295637">
        <w:rPr>
          <w:rFonts w:ascii="Times New Roman" w:hAnsi="Times New Roman"/>
          <w:szCs w:val="24"/>
        </w:rPr>
        <w:t xml:space="preserve">. </w:t>
      </w:r>
      <w:r w:rsidR="00C6214E">
        <w:rPr>
          <w:rFonts w:ascii="Times New Roman" w:hAnsi="Times New Roman"/>
          <w:szCs w:val="24"/>
        </w:rPr>
        <w:t>Према</w:t>
      </w:r>
      <w:r w:rsidR="00D7215A" w:rsidRPr="00295637">
        <w:rPr>
          <w:rFonts w:ascii="Times New Roman" w:hAnsi="Times New Roman"/>
          <w:szCs w:val="24"/>
        </w:rPr>
        <w:t xml:space="preserve"> </w:t>
      </w:r>
      <w:r w:rsidR="00C6214E">
        <w:rPr>
          <w:rFonts w:ascii="Times New Roman" w:hAnsi="Times New Roman"/>
          <w:szCs w:val="24"/>
        </w:rPr>
        <w:t>томе</w:t>
      </w:r>
      <w:r w:rsidR="00D7215A" w:rsidRPr="00295637">
        <w:rPr>
          <w:rFonts w:ascii="Times New Roman" w:hAnsi="Times New Roman"/>
          <w:szCs w:val="24"/>
        </w:rPr>
        <w:t xml:space="preserve">, </w:t>
      </w:r>
      <w:r w:rsidR="00C6214E">
        <w:rPr>
          <w:rFonts w:ascii="Times New Roman" w:hAnsi="Times New Roman"/>
          <w:szCs w:val="24"/>
        </w:rPr>
        <w:t>овај</w:t>
      </w:r>
      <w:r w:rsidR="00DC552C" w:rsidRPr="00295637">
        <w:rPr>
          <w:rFonts w:ascii="Times New Roman" w:hAnsi="Times New Roman"/>
          <w:szCs w:val="24"/>
        </w:rPr>
        <w:t xml:space="preserve"> </w:t>
      </w:r>
      <w:r w:rsidR="009D4B14">
        <w:rPr>
          <w:rFonts w:ascii="Times New Roman" w:hAnsi="Times New Roman"/>
          <w:szCs w:val="24"/>
        </w:rPr>
        <w:t>п</w:t>
      </w:r>
      <w:r w:rsidR="00C6214E">
        <w:rPr>
          <w:rFonts w:ascii="Times New Roman" w:hAnsi="Times New Roman"/>
          <w:szCs w:val="24"/>
        </w:rPr>
        <w:t>рви</w:t>
      </w:r>
      <w:r w:rsidR="00DC552C" w:rsidRPr="00295637">
        <w:rPr>
          <w:rFonts w:ascii="Times New Roman" w:hAnsi="Times New Roman"/>
          <w:szCs w:val="24"/>
        </w:rPr>
        <w:t xml:space="preserve"> </w:t>
      </w:r>
      <w:r w:rsidR="00C6214E">
        <w:rPr>
          <w:rFonts w:ascii="Times New Roman" w:hAnsi="Times New Roman"/>
          <w:szCs w:val="24"/>
        </w:rPr>
        <w:t>годишњи</w:t>
      </w:r>
      <w:r w:rsidR="00DC552C" w:rsidRPr="00295637">
        <w:rPr>
          <w:rFonts w:ascii="Times New Roman" w:hAnsi="Times New Roman"/>
          <w:szCs w:val="24"/>
        </w:rPr>
        <w:t xml:space="preserve"> </w:t>
      </w:r>
      <w:r w:rsidR="00C6214E">
        <w:rPr>
          <w:rFonts w:ascii="Times New Roman" w:hAnsi="Times New Roman"/>
          <w:szCs w:val="24"/>
        </w:rPr>
        <w:t>извјештај</w:t>
      </w:r>
      <w:r w:rsidR="00DC552C" w:rsidRPr="00295637">
        <w:rPr>
          <w:rFonts w:ascii="Times New Roman" w:hAnsi="Times New Roman"/>
          <w:szCs w:val="24"/>
        </w:rPr>
        <w:t xml:space="preserve"> </w:t>
      </w:r>
      <w:r w:rsidR="00C6214E">
        <w:rPr>
          <w:rFonts w:ascii="Times New Roman" w:hAnsi="Times New Roman"/>
          <w:szCs w:val="24"/>
        </w:rPr>
        <w:t>о</w:t>
      </w:r>
      <w:r w:rsidR="00DC552C" w:rsidRPr="00295637">
        <w:rPr>
          <w:rFonts w:ascii="Times New Roman" w:hAnsi="Times New Roman"/>
          <w:szCs w:val="24"/>
        </w:rPr>
        <w:t xml:space="preserve"> </w:t>
      </w:r>
      <w:r>
        <w:rPr>
          <w:rFonts w:ascii="Times New Roman" w:hAnsi="Times New Roman"/>
          <w:szCs w:val="24"/>
          <w:lang w:val="sr-Cyrl-BA"/>
        </w:rPr>
        <w:t>спровођењу</w:t>
      </w:r>
      <w:r w:rsidR="00DC552C" w:rsidRPr="00295637">
        <w:rPr>
          <w:rFonts w:ascii="Times New Roman" w:hAnsi="Times New Roman"/>
          <w:szCs w:val="24"/>
        </w:rPr>
        <w:t xml:space="preserve"> </w:t>
      </w:r>
      <w:r w:rsidR="00C6214E">
        <w:rPr>
          <w:rFonts w:ascii="Times New Roman" w:hAnsi="Times New Roman"/>
          <w:szCs w:val="24"/>
        </w:rPr>
        <w:t>ГАП</w:t>
      </w:r>
      <w:r w:rsidR="009E54A2" w:rsidRPr="00295637">
        <w:rPr>
          <w:rFonts w:ascii="Times New Roman" w:hAnsi="Times New Roman"/>
          <w:szCs w:val="24"/>
        </w:rPr>
        <w:t xml:space="preserve"> </w:t>
      </w:r>
      <w:r w:rsidR="00C6214E">
        <w:rPr>
          <w:rFonts w:ascii="Times New Roman" w:hAnsi="Times New Roman"/>
          <w:szCs w:val="24"/>
        </w:rPr>
        <w:t>БиХ</w:t>
      </w:r>
      <w:r w:rsidR="009E54A2" w:rsidRPr="00295637">
        <w:rPr>
          <w:rFonts w:ascii="Times New Roman" w:hAnsi="Times New Roman"/>
          <w:szCs w:val="24"/>
        </w:rPr>
        <w:t xml:space="preserve"> </w:t>
      </w:r>
      <w:r w:rsidR="00C6214E">
        <w:rPr>
          <w:rFonts w:ascii="Times New Roman" w:hAnsi="Times New Roman"/>
          <w:szCs w:val="24"/>
          <w:lang w:val="bs-Latn-BA"/>
        </w:rPr>
        <w:t>укључује</w:t>
      </w:r>
      <w:r w:rsidR="00D7215A" w:rsidRPr="00295637">
        <w:rPr>
          <w:rFonts w:ascii="Times New Roman" w:hAnsi="Times New Roman"/>
          <w:szCs w:val="24"/>
          <w:lang w:val="bs-Latn-BA"/>
        </w:rPr>
        <w:t xml:space="preserve"> </w:t>
      </w:r>
      <w:r w:rsidR="00C6214E">
        <w:rPr>
          <w:rFonts w:ascii="Times New Roman" w:hAnsi="Times New Roman"/>
          <w:szCs w:val="24"/>
          <w:lang w:val="bs-Latn-BA"/>
        </w:rPr>
        <w:t>информације</w:t>
      </w:r>
      <w:r w:rsidR="00D7215A" w:rsidRPr="00295637">
        <w:rPr>
          <w:rFonts w:ascii="Times New Roman" w:hAnsi="Times New Roman"/>
          <w:szCs w:val="24"/>
          <w:lang w:val="bs-Latn-BA"/>
        </w:rPr>
        <w:t xml:space="preserve"> </w:t>
      </w:r>
      <w:r w:rsidR="00C6214E">
        <w:rPr>
          <w:rFonts w:ascii="Times New Roman" w:hAnsi="Times New Roman"/>
          <w:szCs w:val="24"/>
          <w:lang w:val="bs-Latn-BA"/>
        </w:rPr>
        <w:t>о</w:t>
      </w:r>
      <w:r w:rsidR="00D7215A" w:rsidRPr="00295637">
        <w:rPr>
          <w:rFonts w:ascii="Times New Roman" w:hAnsi="Times New Roman"/>
          <w:szCs w:val="24"/>
          <w:lang w:val="bs-Latn-BA"/>
        </w:rPr>
        <w:t xml:space="preserve"> </w:t>
      </w:r>
      <w:r w:rsidR="00C6214E">
        <w:rPr>
          <w:rFonts w:ascii="Times New Roman" w:hAnsi="Times New Roman"/>
          <w:szCs w:val="24"/>
          <w:lang w:val="bs-Latn-BA"/>
        </w:rPr>
        <w:t>активностима</w:t>
      </w:r>
      <w:r w:rsidR="00DC552C" w:rsidRPr="00295637">
        <w:rPr>
          <w:rFonts w:ascii="Times New Roman" w:hAnsi="Times New Roman"/>
          <w:szCs w:val="24"/>
          <w:lang w:val="bs-Latn-BA"/>
        </w:rPr>
        <w:t xml:space="preserve"> </w:t>
      </w:r>
      <w:r w:rsidR="00C6214E">
        <w:rPr>
          <w:rFonts w:ascii="Times New Roman" w:hAnsi="Times New Roman"/>
          <w:szCs w:val="24"/>
        </w:rPr>
        <w:t>реализ</w:t>
      </w:r>
      <w:r>
        <w:rPr>
          <w:rFonts w:ascii="Times New Roman" w:hAnsi="Times New Roman"/>
          <w:szCs w:val="24"/>
          <w:lang w:val="sr-Cyrl-BA"/>
        </w:rPr>
        <w:t>ованим</w:t>
      </w:r>
      <w:r w:rsidR="00DC552C" w:rsidRPr="00295637">
        <w:rPr>
          <w:rFonts w:ascii="Times New Roman" w:hAnsi="Times New Roman"/>
          <w:szCs w:val="24"/>
        </w:rPr>
        <w:t xml:space="preserve"> </w:t>
      </w:r>
      <w:r w:rsidR="00C6214E">
        <w:rPr>
          <w:rFonts w:ascii="Times New Roman" w:hAnsi="Times New Roman"/>
          <w:szCs w:val="24"/>
        </w:rPr>
        <w:t>у</w:t>
      </w:r>
      <w:r w:rsidR="00DC552C" w:rsidRPr="00295637">
        <w:rPr>
          <w:rFonts w:ascii="Times New Roman" w:hAnsi="Times New Roman"/>
          <w:szCs w:val="24"/>
        </w:rPr>
        <w:t xml:space="preserve"> </w:t>
      </w:r>
      <w:r w:rsidR="00C6214E">
        <w:rPr>
          <w:rFonts w:ascii="Times New Roman" w:hAnsi="Times New Roman"/>
          <w:szCs w:val="24"/>
        </w:rPr>
        <w:t>периоду</w:t>
      </w:r>
      <w:r w:rsidR="00DC552C" w:rsidRPr="00295637">
        <w:rPr>
          <w:rFonts w:ascii="Times New Roman" w:hAnsi="Times New Roman"/>
          <w:szCs w:val="24"/>
        </w:rPr>
        <w:t xml:space="preserve"> </w:t>
      </w:r>
      <w:r w:rsidR="00C6214E">
        <w:rPr>
          <w:rFonts w:ascii="Times New Roman" w:hAnsi="Times New Roman"/>
          <w:szCs w:val="24"/>
        </w:rPr>
        <w:t>од</w:t>
      </w:r>
      <w:r w:rsidR="00DC552C" w:rsidRPr="00295637">
        <w:rPr>
          <w:rFonts w:ascii="Times New Roman" w:hAnsi="Times New Roman"/>
          <w:szCs w:val="24"/>
        </w:rPr>
        <w:t xml:space="preserve"> </w:t>
      </w:r>
      <w:r w:rsidR="00C6214E">
        <w:rPr>
          <w:rFonts w:ascii="Times New Roman" w:hAnsi="Times New Roman"/>
          <w:szCs w:val="24"/>
        </w:rPr>
        <w:t>доношења</w:t>
      </w:r>
      <w:r w:rsidR="00DC552C" w:rsidRPr="00295637">
        <w:rPr>
          <w:rFonts w:ascii="Times New Roman" w:hAnsi="Times New Roman"/>
          <w:szCs w:val="24"/>
        </w:rPr>
        <w:t xml:space="preserve"> </w:t>
      </w:r>
      <w:r w:rsidR="00C6214E">
        <w:rPr>
          <w:rFonts w:ascii="Times New Roman" w:hAnsi="Times New Roman"/>
          <w:szCs w:val="24"/>
        </w:rPr>
        <w:t>ГАП</w:t>
      </w:r>
      <w:r w:rsidR="005C3D53" w:rsidRPr="00295637">
        <w:rPr>
          <w:rFonts w:ascii="Times New Roman" w:hAnsi="Times New Roman"/>
          <w:szCs w:val="24"/>
        </w:rPr>
        <w:t xml:space="preserve"> </w:t>
      </w:r>
      <w:r w:rsidR="00C6214E">
        <w:rPr>
          <w:rFonts w:ascii="Times New Roman" w:hAnsi="Times New Roman"/>
          <w:szCs w:val="24"/>
        </w:rPr>
        <w:t>БиХ</w:t>
      </w:r>
      <w:r w:rsidR="00DC552C" w:rsidRPr="00295637">
        <w:rPr>
          <w:rFonts w:ascii="Times New Roman" w:hAnsi="Times New Roman"/>
          <w:szCs w:val="24"/>
        </w:rPr>
        <w:t xml:space="preserve"> (</w:t>
      </w:r>
      <w:r w:rsidR="00C6214E">
        <w:rPr>
          <w:rFonts w:ascii="Times New Roman" w:hAnsi="Times New Roman"/>
          <w:szCs w:val="24"/>
        </w:rPr>
        <w:t>јуни</w:t>
      </w:r>
      <w:r w:rsidR="0047728F">
        <w:rPr>
          <w:rFonts w:ascii="Times New Roman" w:hAnsi="Times New Roman"/>
          <w:szCs w:val="24"/>
        </w:rPr>
        <w:t>,</w:t>
      </w:r>
      <w:r w:rsidR="00DC552C" w:rsidRPr="00295637">
        <w:rPr>
          <w:rFonts w:ascii="Times New Roman" w:hAnsi="Times New Roman"/>
          <w:szCs w:val="24"/>
        </w:rPr>
        <w:t xml:space="preserve"> 2023. </w:t>
      </w:r>
      <w:r w:rsidR="00C6214E">
        <w:rPr>
          <w:rFonts w:ascii="Times New Roman" w:hAnsi="Times New Roman"/>
          <w:szCs w:val="24"/>
        </w:rPr>
        <w:t>године</w:t>
      </w:r>
      <w:r w:rsidR="00DC552C" w:rsidRPr="00295637">
        <w:rPr>
          <w:rFonts w:ascii="Times New Roman" w:hAnsi="Times New Roman"/>
          <w:szCs w:val="24"/>
        </w:rPr>
        <w:t xml:space="preserve">) </w:t>
      </w:r>
      <w:r w:rsidR="00C6214E">
        <w:rPr>
          <w:rFonts w:ascii="Times New Roman" w:hAnsi="Times New Roman"/>
          <w:szCs w:val="24"/>
        </w:rPr>
        <w:t>до</w:t>
      </w:r>
      <w:r w:rsidR="00D7215A" w:rsidRPr="00295637">
        <w:rPr>
          <w:rFonts w:ascii="Times New Roman" w:hAnsi="Times New Roman"/>
          <w:szCs w:val="24"/>
        </w:rPr>
        <w:t xml:space="preserve"> </w:t>
      </w:r>
      <w:r w:rsidR="00C6214E">
        <w:rPr>
          <w:rFonts w:ascii="Times New Roman" w:hAnsi="Times New Roman"/>
          <w:szCs w:val="24"/>
        </w:rPr>
        <w:t>краја</w:t>
      </w:r>
      <w:r w:rsidR="00D7215A" w:rsidRPr="00295637">
        <w:rPr>
          <w:rFonts w:ascii="Times New Roman" w:hAnsi="Times New Roman"/>
          <w:szCs w:val="24"/>
        </w:rPr>
        <w:t xml:space="preserve"> </w:t>
      </w:r>
      <w:r w:rsidR="00DC552C" w:rsidRPr="00295637">
        <w:rPr>
          <w:rFonts w:ascii="Times New Roman" w:hAnsi="Times New Roman"/>
          <w:szCs w:val="24"/>
        </w:rPr>
        <w:t xml:space="preserve">2024. </w:t>
      </w:r>
      <w:r w:rsidR="00C6214E">
        <w:rPr>
          <w:rFonts w:ascii="Times New Roman" w:hAnsi="Times New Roman"/>
          <w:szCs w:val="24"/>
        </w:rPr>
        <w:t>године</w:t>
      </w:r>
      <w:r w:rsidR="00DC552C" w:rsidRPr="00295637">
        <w:rPr>
          <w:rFonts w:ascii="Times New Roman" w:hAnsi="Times New Roman"/>
          <w:szCs w:val="24"/>
        </w:rPr>
        <w:t>.</w:t>
      </w:r>
    </w:p>
    <w:p w:rsidR="008050A5" w:rsidRPr="00295637" w:rsidRDefault="008050A5" w:rsidP="0086268D">
      <w:pPr>
        <w:contextualSpacing/>
        <w:jc w:val="both"/>
        <w:rPr>
          <w:rFonts w:ascii="Times New Roman" w:hAnsi="Times New Roman"/>
          <w:sz w:val="18"/>
          <w:szCs w:val="24"/>
        </w:rPr>
      </w:pPr>
    </w:p>
    <w:p w:rsidR="001F27A1" w:rsidRPr="00295637" w:rsidRDefault="00C6214E" w:rsidP="0086268D">
      <w:pPr>
        <w:jc w:val="both"/>
        <w:rPr>
          <w:rFonts w:ascii="Times New Roman" w:hAnsi="Times New Roman"/>
          <w:szCs w:val="24"/>
          <w:lang w:val="bs-Latn-BA"/>
        </w:rPr>
      </w:pPr>
      <w:r>
        <w:rPr>
          <w:rFonts w:ascii="Times New Roman" w:hAnsi="Times New Roman"/>
          <w:szCs w:val="24"/>
          <w:lang w:val="bs-Latn-BA"/>
        </w:rPr>
        <w:t>Надзор</w:t>
      </w:r>
      <w:r w:rsidR="001F27A1" w:rsidRPr="00295637">
        <w:rPr>
          <w:rFonts w:ascii="Times New Roman" w:hAnsi="Times New Roman"/>
          <w:szCs w:val="24"/>
          <w:lang w:val="bs-Latn-BA"/>
        </w:rPr>
        <w:t xml:space="preserve"> </w:t>
      </w:r>
      <w:r>
        <w:rPr>
          <w:rFonts w:ascii="Times New Roman" w:hAnsi="Times New Roman"/>
          <w:szCs w:val="24"/>
          <w:lang w:val="bs-Latn-BA"/>
        </w:rPr>
        <w:t>и</w:t>
      </w:r>
      <w:r w:rsidR="001F27A1" w:rsidRPr="00295637">
        <w:rPr>
          <w:rFonts w:ascii="Times New Roman" w:hAnsi="Times New Roman"/>
          <w:szCs w:val="24"/>
          <w:lang w:val="bs-Latn-BA"/>
        </w:rPr>
        <w:t xml:space="preserve"> </w:t>
      </w:r>
      <w:r>
        <w:rPr>
          <w:rFonts w:ascii="Times New Roman" w:hAnsi="Times New Roman"/>
          <w:szCs w:val="24"/>
          <w:lang w:val="bs-Latn-BA"/>
        </w:rPr>
        <w:t>координација</w:t>
      </w:r>
      <w:r w:rsidR="001F27A1" w:rsidRPr="00295637">
        <w:rPr>
          <w:rFonts w:ascii="Times New Roman" w:hAnsi="Times New Roman"/>
          <w:szCs w:val="24"/>
          <w:lang w:val="bs-Latn-BA"/>
        </w:rPr>
        <w:t xml:space="preserve"> </w:t>
      </w:r>
      <w:r>
        <w:rPr>
          <w:rFonts w:ascii="Times New Roman" w:hAnsi="Times New Roman"/>
          <w:szCs w:val="24"/>
          <w:lang w:val="bs-Latn-BA"/>
        </w:rPr>
        <w:t>над</w:t>
      </w:r>
      <w:r w:rsidR="001F27A1" w:rsidRPr="00295637">
        <w:rPr>
          <w:rFonts w:ascii="Times New Roman" w:hAnsi="Times New Roman"/>
          <w:szCs w:val="24"/>
          <w:lang w:val="bs-Latn-BA"/>
        </w:rPr>
        <w:t xml:space="preserve"> </w:t>
      </w:r>
      <w:r w:rsidR="003927C3">
        <w:rPr>
          <w:rFonts w:ascii="Times New Roman" w:hAnsi="Times New Roman"/>
          <w:szCs w:val="24"/>
          <w:lang w:val="sr-Cyrl-BA"/>
        </w:rPr>
        <w:t>спровођењем</w:t>
      </w:r>
      <w:r w:rsidR="001F27A1" w:rsidRPr="00295637">
        <w:rPr>
          <w:rFonts w:ascii="Times New Roman" w:hAnsi="Times New Roman"/>
          <w:szCs w:val="24"/>
          <w:lang w:val="bs-Latn-BA"/>
        </w:rPr>
        <w:t xml:space="preserve"> </w:t>
      </w:r>
      <w:r>
        <w:rPr>
          <w:rFonts w:ascii="Times New Roman" w:hAnsi="Times New Roman"/>
          <w:szCs w:val="24"/>
          <w:lang w:val="bs-Latn-BA"/>
        </w:rPr>
        <w:t>ГАП</w:t>
      </w:r>
      <w:r w:rsidR="00C110AB">
        <w:rPr>
          <w:rFonts w:ascii="Times New Roman" w:hAnsi="Times New Roman"/>
          <w:szCs w:val="24"/>
          <w:lang w:val="bs-Latn-BA"/>
        </w:rPr>
        <w:t xml:space="preserve"> </w:t>
      </w:r>
      <w:r>
        <w:rPr>
          <w:rFonts w:ascii="Times New Roman" w:hAnsi="Times New Roman"/>
          <w:szCs w:val="24"/>
          <w:lang w:val="bs-Latn-BA"/>
        </w:rPr>
        <w:t>БиХ</w:t>
      </w:r>
      <w:r w:rsidR="001F27A1" w:rsidRPr="00295637">
        <w:rPr>
          <w:rFonts w:ascii="Times New Roman" w:hAnsi="Times New Roman"/>
          <w:szCs w:val="24"/>
          <w:lang w:val="bs-Latn-BA"/>
        </w:rPr>
        <w:t xml:space="preserve"> </w:t>
      </w:r>
      <w:r>
        <w:rPr>
          <w:rFonts w:ascii="Times New Roman" w:hAnsi="Times New Roman"/>
          <w:szCs w:val="24"/>
          <w:lang w:val="bs-Latn-BA"/>
        </w:rPr>
        <w:t>вршена</w:t>
      </w:r>
      <w:r w:rsidR="001F27A1" w:rsidRPr="00295637">
        <w:rPr>
          <w:rFonts w:ascii="Times New Roman" w:hAnsi="Times New Roman"/>
          <w:szCs w:val="24"/>
          <w:lang w:val="bs-Latn-BA"/>
        </w:rPr>
        <w:t xml:space="preserve"> </w:t>
      </w:r>
      <w:r>
        <w:rPr>
          <w:rFonts w:ascii="Times New Roman" w:hAnsi="Times New Roman"/>
          <w:szCs w:val="24"/>
          <w:lang w:val="bs-Latn-BA"/>
        </w:rPr>
        <w:t>је</w:t>
      </w:r>
      <w:r w:rsidR="0047728F" w:rsidRPr="00295637">
        <w:rPr>
          <w:rFonts w:ascii="Times New Roman" w:hAnsi="Times New Roman"/>
          <w:szCs w:val="24"/>
          <w:lang w:val="bs-Latn-BA"/>
        </w:rPr>
        <w:t xml:space="preserve"> </w:t>
      </w:r>
      <w:r>
        <w:rPr>
          <w:rFonts w:ascii="Times New Roman" w:hAnsi="Times New Roman"/>
          <w:szCs w:val="24"/>
          <w:lang w:val="bs-Latn-BA"/>
        </w:rPr>
        <w:t>путем</w:t>
      </w:r>
      <w:r w:rsidR="001F27A1" w:rsidRPr="00295637">
        <w:rPr>
          <w:rFonts w:ascii="Times New Roman" w:hAnsi="Times New Roman"/>
          <w:szCs w:val="24"/>
          <w:lang w:val="bs-Latn-BA"/>
        </w:rPr>
        <w:t xml:space="preserve"> </w:t>
      </w:r>
      <w:r>
        <w:rPr>
          <w:rFonts w:ascii="Times New Roman" w:hAnsi="Times New Roman"/>
          <w:szCs w:val="24"/>
          <w:lang w:val="bs-Latn-BA"/>
        </w:rPr>
        <w:t>редовних</w:t>
      </w:r>
      <w:r w:rsidR="001F27A1" w:rsidRPr="00295637">
        <w:rPr>
          <w:rFonts w:ascii="Times New Roman" w:hAnsi="Times New Roman"/>
          <w:szCs w:val="24"/>
          <w:lang w:val="bs-Latn-BA"/>
        </w:rPr>
        <w:t xml:space="preserve"> </w:t>
      </w:r>
      <w:r>
        <w:rPr>
          <w:rFonts w:ascii="Times New Roman" w:hAnsi="Times New Roman"/>
          <w:szCs w:val="24"/>
          <w:lang w:val="bs-Latn-BA"/>
        </w:rPr>
        <w:t>састанака</w:t>
      </w:r>
      <w:r w:rsidR="001F27A1" w:rsidRPr="00295637">
        <w:rPr>
          <w:rFonts w:ascii="Times New Roman" w:hAnsi="Times New Roman"/>
          <w:szCs w:val="24"/>
          <w:lang w:val="bs-Latn-BA"/>
        </w:rPr>
        <w:t xml:space="preserve"> </w:t>
      </w:r>
      <w:r>
        <w:rPr>
          <w:rFonts w:ascii="Times New Roman" w:hAnsi="Times New Roman"/>
          <w:szCs w:val="24"/>
          <w:lang w:val="bs-Latn-BA"/>
        </w:rPr>
        <w:t>Управног</w:t>
      </w:r>
      <w:r w:rsidR="001F27A1" w:rsidRPr="00295637">
        <w:rPr>
          <w:rFonts w:ascii="Times New Roman" w:hAnsi="Times New Roman"/>
          <w:szCs w:val="24"/>
          <w:lang w:val="bs-Latn-BA"/>
        </w:rPr>
        <w:t xml:space="preserve"> </w:t>
      </w:r>
      <w:r>
        <w:rPr>
          <w:rFonts w:ascii="Times New Roman" w:hAnsi="Times New Roman"/>
          <w:szCs w:val="24"/>
          <w:lang w:val="bs-Latn-BA"/>
        </w:rPr>
        <w:t>одбора</w:t>
      </w:r>
      <w:r w:rsidR="004E38F4" w:rsidRPr="00295637">
        <w:rPr>
          <w:rFonts w:ascii="Times New Roman" w:hAnsi="Times New Roman"/>
          <w:szCs w:val="24"/>
          <w:lang w:val="bs-Latn-BA"/>
        </w:rPr>
        <w:t xml:space="preserve"> </w:t>
      </w:r>
      <w:r>
        <w:rPr>
          <w:rFonts w:ascii="Times New Roman" w:hAnsi="Times New Roman"/>
          <w:szCs w:val="24"/>
          <w:lang w:val="bs-Latn-BA"/>
        </w:rPr>
        <w:t>ГАП</w:t>
      </w:r>
      <w:r w:rsidR="005C3D53" w:rsidRPr="00295637">
        <w:rPr>
          <w:rFonts w:ascii="Times New Roman" w:hAnsi="Times New Roman"/>
          <w:szCs w:val="24"/>
          <w:lang w:val="bs-Latn-BA"/>
        </w:rPr>
        <w:t>-</w:t>
      </w:r>
      <w:r>
        <w:rPr>
          <w:rFonts w:ascii="Times New Roman" w:hAnsi="Times New Roman"/>
          <w:szCs w:val="24"/>
          <w:lang w:val="bs-Latn-BA"/>
        </w:rPr>
        <w:t>а</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9E54A2" w:rsidRPr="00295637">
        <w:rPr>
          <w:rFonts w:ascii="Times New Roman" w:hAnsi="Times New Roman"/>
          <w:szCs w:val="24"/>
          <w:lang w:val="bs-Latn-BA"/>
        </w:rPr>
        <w:t xml:space="preserve"> </w:t>
      </w:r>
      <w:r w:rsidR="009D4B14">
        <w:rPr>
          <w:rFonts w:ascii="Times New Roman" w:hAnsi="Times New Roman"/>
          <w:szCs w:val="24"/>
          <w:lang w:val="bs-Cyrl-BA"/>
        </w:rPr>
        <w:t xml:space="preserve">(УО ГАП БиХ) </w:t>
      </w:r>
      <w:r>
        <w:rPr>
          <w:rFonts w:ascii="Times New Roman" w:hAnsi="Times New Roman"/>
          <w:szCs w:val="24"/>
          <w:lang w:val="bs-Latn-BA"/>
        </w:rPr>
        <w:t>којег</w:t>
      </w:r>
      <w:r w:rsidR="001F27A1" w:rsidRPr="00295637">
        <w:rPr>
          <w:rFonts w:ascii="Times New Roman" w:hAnsi="Times New Roman"/>
          <w:szCs w:val="24"/>
          <w:lang w:val="bs-Latn-BA"/>
        </w:rPr>
        <w:t xml:space="preserve"> </w:t>
      </w:r>
      <w:r>
        <w:rPr>
          <w:rFonts w:ascii="Times New Roman" w:hAnsi="Times New Roman"/>
          <w:szCs w:val="24"/>
          <w:lang w:val="bs-Latn-BA"/>
        </w:rPr>
        <w:t>чине</w:t>
      </w:r>
      <w:r w:rsidR="001F27A1" w:rsidRPr="00295637">
        <w:rPr>
          <w:rFonts w:ascii="Times New Roman" w:hAnsi="Times New Roman"/>
          <w:szCs w:val="24"/>
          <w:lang w:val="bs-Latn-BA"/>
        </w:rPr>
        <w:t xml:space="preserve"> </w:t>
      </w:r>
      <w:r>
        <w:rPr>
          <w:rFonts w:ascii="Times New Roman" w:hAnsi="Times New Roman"/>
          <w:szCs w:val="24"/>
          <w:lang w:val="bs-Latn-BA"/>
        </w:rPr>
        <w:t>директорице</w:t>
      </w:r>
      <w:r w:rsidR="001F27A1" w:rsidRPr="00295637">
        <w:rPr>
          <w:rFonts w:ascii="Times New Roman" w:hAnsi="Times New Roman"/>
          <w:szCs w:val="24"/>
          <w:lang w:val="bs-Latn-BA"/>
        </w:rPr>
        <w:t xml:space="preserve"> </w:t>
      </w:r>
      <w:r>
        <w:rPr>
          <w:rFonts w:ascii="Times New Roman" w:hAnsi="Times New Roman"/>
          <w:szCs w:val="24"/>
          <w:lang w:val="bs-Latn-BA"/>
        </w:rPr>
        <w:t>Агенције</w:t>
      </w:r>
      <w:r w:rsidR="001F27A1" w:rsidRPr="00295637">
        <w:rPr>
          <w:rFonts w:ascii="Times New Roman" w:hAnsi="Times New Roman"/>
          <w:szCs w:val="24"/>
          <w:lang w:val="bs-Latn-BA"/>
        </w:rPr>
        <w:t xml:space="preserve"> </w:t>
      </w:r>
      <w:r>
        <w:rPr>
          <w:rFonts w:ascii="Times New Roman" w:hAnsi="Times New Roman"/>
          <w:szCs w:val="24"/>
          <w:lang w:val="bs-Latn-BA"/>
        </w:rPr>
        <w:t>за</w:t>
      </w:r>
      <w:r w:rsidR="001F27A1"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1F27A1" w:rsidRPr="00295637">
        <w:rPr>
          <w:rFonts w:ascii="Times New Roman" w:hAnsi="Times New Roman"/>
          <w:szCs w:val="24"/>
          <w:lang w:val="bs-Latn-BA"/>
        </w:rPr>
        <w:t xml:space="preserve"> </w:t>
      </w:r>
      <w:r>
        <w:rPr>
          <w:rFonts w:ascii="Times New Roman" w:hAnsi="Times New Roman"/>
          <w:szCs w:val="24"/>
          <w:lang w:val="bs-Latn-BA"/>
        </w:rPr>
        <w:t>полова</w:t>
      </w:r>
      <w:r w:rsidR="001F27A1" w:rsidRPr="00295637">
        <w:rPr>
          <w:rFonts w:ascii="Times New Roman" w:hAnsi="Times New Roman"/>
          <w:szCs w:val="24"/>
          <w:lang w:val="bs-Latn-BA"/>
        </w:rPr>
        <w:t xml:space="preserve"> </w:t>
      </w:r>
      <w:r>
        <w:rPr>
          <w:rFonts w:ascii="Times New Roman" w:hAnsi="Times New Roman"/>
          <w:szCs w:val="24"/>
          <w:lang w:val="bs-Latn-BA"/>
        </w:rPr>
        <w:t>Босне</w:t>
      </w:r>
      <w:r w:rsidR="001F27A1" w:rsidRPr="00295637">
        <w:rPr>
          <w:rFonts w:ascii="Times New Roman" w:hAnsi="Times New Roman"/>
          <w:szCs w:val="24"/>
          <w:lang w:val="bs-Latn-BA"/>
        </w:rPr>
        <w:t xml:space="preserve"> </w:t>
      </w:r>
      <w:r>
        <w:rPr>
          <w:rFonts w:ascii="Times New Roman" w:hAnsi="Times New Roman"/>
          <w:szCs w:val="24"/>
          <w:lang w:val="bs-Latn-BA"/>
        </w:rPr>
        <w:t>и</w:t>
      </w:r>
      <w:r w:rsidR="001F27A1" w:rsidRPr="00295637">
        <w:rPr>
          <w:rFonts w:ascii="Times New Roman" w:hAnsi="Times New Roman"/>
          <w:szCs w:val="24"/>
          <w:lang w:val="bs-Latn-BA"/>
        </w:rPr>
        <w:t xml:space="preserve"> </w:t>
      </w:r>
      <w:r>
        <w:rPr>
          <w:rFonts w:ascii="Times New Roman" w:hAnsi="Times New Roman"/>
          <w:szCs w:val="24"/>
          <w:lang w:val="bs-Latn-BA"/>
        </w:rPr>
        <w:t>Херцеговине</w:t>
      </w:r>
      <w:r w:rsidR="001F27A1" w:rsidRPr="00295637">
        <w:rPr>
          <w:rFonts w:ascii="Times New Roman" w:hAnsi="Times New Roman"/>
          <w:szCs w:val="24"/>
          <w:lang w:val="bs-Latn-BA"/>
        </w:rPr>
        <w:t xml:space="preserve"> </w:t>
      </w:r>
      <w:r>
        <w:rPr>
          <w:rFonts w:ascii="Times New Roman" w:hAnsi="Times New Roman"/>
          <w:szCs w:val="24"/>
          <w:lang w:val="bs-Latn-BA"/>
        </w:rPr>
        <w:t>Министарства</w:t>
      </w:r>
      <w:r w:rsidR="001F27A1" w:rsidRPr="00295637">
        <w:rPr>
          <w:rFonts w:ascii="Times New Roman" w:hAnsi="Times New Roman"/>
          <w:szCs w:val="24"/>
          <w:lang w:val="bs-Latn-BA"/>
        </w:rPr>
        <w:t xml:space="preserve"> </w:t>
      </w:r>
      <w:r>
        <w:rPr>
          <w:rFonts w:ascii="Times New Roman" w:hAnsi="Times New Roman"/>
          <w:szCs w:val="24"/>
          <w:lang w:val="bs-Latn-BA"/>
        </w:rPr>
        <w:t>за</w:t>
      </w:r>
      <w:r w:rsidR="001F27A1" w:rsidRPr="00295637">
        <w:rPr>
          <w:rFonts w:ascii="Times New Roman" w:hAnsi="Times New Roman"/>
          <w:szCs w:val="24"/>
          <w:lang w:val="bs-Latn-BA"/>
        </w:rPr>
        <w:t xml:space="preserve"> </w:t>
      </w:r>
      <w:r>
        <w:rPr>
          <w:rFonts w:ascii="Times New Roman" w:hAnsi="Times New Roman"/>
          <w:szCs w:val="24"/>
          <w:lang w:val="bs-Latn-BA"/>
        </w:rPr>
        <w:t>људска</w:t>
      </w:r>
      <w:r w:rsidR="001F27A1" w:rsidRPr="00295637">
        <w:rPr>
          <w:rFonts w:ascii="Times New Roman" w:hAnsi="Times New Roman"/>
          <w:szCs w:val="24"/>
          <w:lang w:val="bs-Latn-BA"/>
        </w:rPr>
        <w:t xml:space="preserve"> </w:t>
      </w:r>
      <w:r>
        <w:rPr>
          <w:rFonts w:ascii="Times New Roman" w:hAnsi="Times New Roman"/>
          <w:szCs w:val="24"/>
          <w:lang w:val="bs-Latn-BA"/>
        </w:rPr>
        <w:t>права</w:t>
      </w:r>
      <w:r w:rsidR="001F27A1" w:rsidRPr="00295637">
        <w:rPr>
          <w:rFonts w:ascii="Times New Roman" w:hAnsi="Times New Roman"/>
          <w:szCs w:val="24"/>
          <w:lang w:val="bs-Latn-BA"/>
        </w:rPr>
        <w:t xml:space="preserve"> </w:t>
      </w:r>
      <w:r>
        <w:rPr>
          <w:rFonts w:ascii="Times New Roman" w:hAnsi="Times New Roman"/>
          <w:szCs w:val="24"/>
          <w:lang w:val="bs-Latn-BA"/>
        </w:rPr>
        <w:t>и</w:t>
      </w:r>
      <w:r w:rsidR="001F27A1" w:rsidRPr="00295637">
        <w:rPr>
          <w:rFonts w:ascii="Times New Roman" w:hAnsi="Times New Roman"/>
          <w:szCs w:val="24"/>
          <w:lang w:val="bs-Latn-BA"/>
        </w:rPr>
        <w:t xml:space="preserve"> </w:t>
      </w:r>
      <w:r>
        <w:rPr>
          <w:rFonts w:ascii="Times New Roman" w:hAnsi="Times New Roman"/>
          <w:szCs w:val="24"/>
          <w:lang w:val="bs-Latn-BA"/>
        </w:rPr>
        <w:t>избјеглице</w:t>
      </w:r>
      <w:r w:rsidR="00A241BC" w:rsidRPr="00295637">
        <w:rPr>
          <w:rFonts w:ascii="Times New Roman" w:hAnsi="Times New Roman"/>
          <w:szCs w:val="24"/>
          <w:lang w:val="bs-Latn-BA"/>
        </w:rPr>
        <w:t xml:space="preserve"> </w:t>
      </w:r>
      <w:r>
        <w:rPr>
          <w:rFonts w:ascii="Times New Roman" w:hAnsi="Times New Roman"/>
          <w:szCs w:val="24"/>
          <w:lang w:val="bs-Latn-BA"/>
        </w:rPr>
        <w:t>БиХ</w:t>
      </w:r>
      <w:r w:rsidR="001F27A1" w:rsidRPr="00295637">
        <w:rPr>
          <w:rFonts w:ascii="Times New Roman" w:hAnsi="Times New Roman"/>
          <w:szCs w:val="24"/>
          <w:lang w:val="bs-Latn-BA"/>
        </w:rPr>
        <w:t xml:space="preserve">, </w:t>
      </w:r>
      <w:r>
        <w:rPr>
          <w:rFonts w:ascii="Times New Roman" w:hAnsi="Times New Roman"/>
          <w:szCs w:val="24"/>
          <w:lang w:val="bs-Latn-BA"/>
        </w:rPr>
        <w:t>Гендер</w:t>
      </w:r>
      <w:r w:rsidR="001F27A1" w:rsidRPr="00295637">
        <w:rPr>
          <w:rFonts w:ascii="Times New Roman" w:hAnsi="Times New Roman"/>
          <w:szCs w:val="24"/>
          <w:lang w:val="bs-Latn-BA"/>
        </w:rPr>
        <w:t xml:space="preserve"> </w:t>
      </w:r>
      <w:r>
        <w:rPr>
          <w:rFonts w:ascii="Times New Roman" w:hAnsi="Times New Roman"/>
          <w:szCs w:val="24"/>
          <w:lang w:val="bs-Latn-BA"/>
        </w:rPr>
        <w:t>центра</w:t>
      </w:r>
      <w:r w:rsidR="001F27A1" w:rsidRPr="00295637">
        <w:rPr>
          <w:rFonts w:ascii="Times New Roman" w:hAnsi="Times New Roman"/>
          <w:szCs w:val="24"/>
          <w:lang w:val="bs-Latn-BA"/>
        </w:rPr>
        <w:t xml:space="preserve"> </w:t>
      </w:r>
      <w:r>
        <w:rPr>
          <w:rFonts w:ascii="Times New Roman" w:hAnsi="Times New Roman"/>
          <w:szCs w:val="24"/>
          <w:lang w:val="bs-Latn-BA"/>
        </w:rPr>
        <w:t>Федерације</w:t>
      </w:r>
      <w:r w:rsidR="001F27A1" w:rsidRPr="00295637">
        <w:rPr>
          <w:rFonts w:ascii="Times New Roman" w:hAnsi="Times New Roman"/>
          <w:szCs w:val="24"/>
          <w:lang w:val="bs-Latn-BA"/>
        </w:rPr>
        <w:t xml:space="preserve"> </w:t>
      </w:r>
      <w:r>
        <w:rPr>
          <w:rFonts w:ascii="Times New Roman" w:hAnsi="Times New Roman"/>
          <w:szCs w:val="24"/>
          <w:lang w:val="bs-Latn-BA"/>
        </w:rPr>
        <w:t>Босне</w:t>
      </w:r>
      <w:r w:rsidR="001F27A1" w:rsidRPr="00295637">
        <w:rPr>
          <w:rFonts w:ascii="Times New Roman" w:hAnsi="Times New Roman"/>
          <w:szCs w:val="24"/>
          <w:lang w:val="bs-Latn-BA"/>
        </w:rPr>
        <w:t xml:space="preserve"> </w:t>
      </w:r>
      <w:r>
        <w:rPr>
          <w:rFonts w:ascii="Times New Roman" w:hAnsi="Times New Roman"/>
          <w:szCs w:val="24"/>
          <w:lang w:val="bs-Latn-BA"/>
        </w:rPr>
        <w:t>и</w:t>
      </w:r>
      <w:r w:rsidR="001F27A1" w:rsidRPr="00295637">
        <w:rPr>
          <w:rFonts w:ascii="Times New Roman" w:hAnsi="Times New Roman"/>
          <w:szCs w:val="24"/>
          <w:lang w:val="bs-Latn-BA"/>
        </w:rPr>
        <w:t xml:space="preserve"> </w:t>
      </w:r>
      <w:r>
        <w:rPr>
          <w:rFonts w:ascii="Times New Roman" w:hAnsi="Times New Roman"/>
          <w:szCs w:val="24"/>
          <w:lang w:val="bs-Latn-BA"/>
        </w:rPr>
        <w:t>Херцеговине</w:t>
      </w:r>
      <w:r w:rsidR="001F27A1" w:rsidRPr="00295637">
        <w:rPr>
          <w:rFonts w:ascii="Times New Roman" w:hAnsi="Times New Roman"/>
          <w:szCs w:val="24"/>
          <w:lang w:val="bs-Latn-BA"/>
        </w:rPr>
        <w:t xml:space="preserve"> </w:t>
      </w:r>
      <w:r>
        <w:rPr>
          <w:rFonts w:ascii="Times New Roman" w:hAnsi="Times New Roman"/>
          <w:szCs w:val="24"/>
          <w:lang w:val="bs-Latn-BA"/>
        </w:rPr>
        <w:t>и</w:t>
      </w:r>
      <w:r w:rsidR="001F27A1" w:rsidRPr="00295637">
        <w:rPr>
          <w:rFonts w:ascii="Times New Roman" w:hAnsi="Times New Roman"/>
          <w:szCs w:val="24"/>
          <w:lang w:val="bs-Latn-BA"/>
        </w:rPr>
        <w:t xml:space="preserve"> </w:t>
      </w:r>
      <w:r>
        <w:rPr>
          <w:rFonts w:ascii="Times New Roman" w:hAnsi="Times New Roman"/>
          <w:szCs w:val="24"/>
          <w:lang w:val="bs-Latn-BA"/>
        </w:rPr>
        <w:t>Центра</w:t>
      </w:r>
      <w:r w:rsidR="00F07DA0" w:rsidRPr="00295637">
        <w:rPr>
          <w:rFonts w:ascii="Times New Roman" w:hAnsi="Times New Roman"/>
          <w:szCs w:val="24"/>
          <w:lang w:val="bs-Latn-BA"/>
        </w:rPr>
        <w:t xml:space="preserve"> </w:t>
      </w:r>
      <w:r>
        <w:rPr>
          <w:rFonts w:ascii="Times New Roman" w:hAnsi="Times New Roman"/>
          <w:szCs w:val="24"/>
          <w:lang w:val="bs-Latn-BA"/>
        </w:rPr>
        <w:t>за</w:t>
      </w:r>
      <w:r w:rsidR="00F07DA0" w:rsidRPr="00295637">
        <w:rPr>
          <w:rFonts w:ascii="Times New Roman" w:hAnsi="Times New Roman"/>
          <w:szCs w:val="24"/>
          <w:lang w:val="bs-Latn-BA"/>
        </w:rPr>
        <w:t xml:space="preserve"> </w:t>
      </w:r>
      <w:r>
        <w:rPr>
          <w:rFonts w:ascii="Times New Roman" w:hAnsi="Times New Roman"/>
          <w:szCs w:val="24"/>
          <w:lang w:val="bs-Latn-BA"/>
        </w:rPr>
        <w:t>једнакост</w:t>
      </w:r>
      <w:r w:rsidR="00F07DA0" w:rsidRPr="00295637">
        <w:rPr>
          <w:rFonts w:ascii="Times New Roman" w:hAnsi="Times New Roman"/>
          <w:szCs w:val="24"/>
          <w:lang w:val="bs-Latn-BA"/>
        </w:rPr>
        <w:t xml:space="preserve"> </w:t>
      </w:r>
      <w:r>
        <w:rPr>
          <w:rFonts w:ascii="Times New Roman" w:hAnsi="Times New Roman"/>
          <w:szCs w:val="24"/>
          <w:lang w:val="bs-Latn-BA"/>
        </w:rPr>
        <w:t>и</w:t>
      </w:r>
      <w:r w:rsidR="00F07DA0"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F07DA0" w:rsidRPr="00295637">
        <w:rPr>
          <w:rFonts w:ascii="Times New Roman" w:hAnsi="Times New Roman"/>
          <w:szCs w:val="24"/>
          <w:lang w:val="bs-Latn-BA"/>
        </w:rPr>
        <w:t xml:space="preserve"> </w:t>
      </w:r>
      <w:r>
        <w:rPr>
          <w:rFonts w:ascii="Times New Roman" w:hAnsi="Times New Roman"/>
          <w:szCs w:val="24"/>
          <w:lang w:val="bs-Latn-BA"/>
        </w:rPr>
        <w:t>полова</w:t>
      </w:r>
      <w:r w:rsidR="00F07DA0" w:rsidRPr="00295637">
        <w:rPr>
          <w:rFonts w:ascii="Times New Roman" w:hAnsi="Times New Roman"/>
          <w:szCs w:val="24"/>
          <w:lang w:val="bs-Latn-BA"/>
        </w:rPr>
        <w:t xml:space="preserve"> </w:t>
      </w:r>
      <w:r>
        <w:rPr>
          <w:rFonts w:ascii="Times New Roman" w:hAnsi="Times New Roman"/>
          <w:szCs w:val="24"/>
          <w:lang w:val="bs-Latn-BA"/>
        </w:rPr>
        <w:t>Републике</w:t>
      </w:r>
      <w:r w:rsidR="00F07DA0" w:rsidRPr="00295637">
        <w:rPr>
          <w:rFonts w:ascii="Times New Roman" w:hAnsi="Times New Roman"/>
          <w:szCs w:val="24"/>
          <w:lang w:val="bs-Latn-BA"/>
        </w:rPr>
        <w:t xml:space="preserve"> </w:t>
      </w:r>
      <w:r>
        <w:rPr>
          <w:rFonts w:ascii="Times New Roman" w:hAnsi="Times New Roman"/>
          <w:szCs w:val="24"/>
          <w:lang w:val="bs-Latn-BA"/>
        </w:rPr>
        <w:t>Српске</w:t>
      </w:r>
      <w:r w:rsidR="009D4B14">
        <w:rPr>
          <w:rFonts w:ascii="Times New Roman" w:hAnsi="Times New Roman"/>
          <w:szCs w:val="24"/>
          <w:lang w:val="bs-Cyrl-BA"/>
        </w:rPr>
        <w:t>. УО ГАП БиХ</w:t>
      </w:r>
      <w:r w:rsidR="00C110AB">
        <w:rPr>
          <w:rFonts w:ascii="Times New Roman" w:hAnsi="Times New Roman"/>
          <w:szCs w:val="24"/>
          <w:lang w:val="bs-Latn-BA"/>
        </w:rPr>
        <w:t xml:space="preserve"> </w:t>
      </w:r>
      <w:r>
        <w:rPr>
          <w:rFonts w:ascii="Times New Roman" w:hAnsi="Times New Roman"/>
          <w:szCs w:val="24"/>
          <w:lang w:val="bs-Latn-BA"/>
        </w:rPr>
        <w:t>је</w:t>
      </w:r>
      <w:r w:rsidR="00C110AB">
        <w:rPr>
          <w:rFonts w:ascii="Times New Roman" w:hAnsi="Times New Roman"/>
          <w:szCs w:val="24"/>
          <w:lang w:val="bs-Latn-BA"/>
        </w:rPr>
        <w:t xml:space="preserve"> </w:t>
      </w:r>
      <w:r>
        <w:rPr>
          <w:rFonts w:ascii="Times New Roman" w:hAnsi="Times New Roman"/>
          <w:szCs w:val="24"/>
          <w:lang w:val="bs-Latn-BA"/>
        </w:rPr>
        <w:t>формиран</w:t>
      </w:r>
      <w:r w:rsidR="00C110AB">
        <w:rPr>
          <w:rFonts w:ascii="Times New Roman" w:hAnsi="Times New Roman"/>
          <w:szCs w:val="24"/>
          <w:lang w:val="bs-Latn-BA"/>
        </w:rPr>
        <w:t xml:space="preserve"> </w:t>
      </w:r>
      <w:r>
        <w:rPr>
          <w:rFonts w:ascii="Times New Roman" w:hAnsi="Times New Roman"/>
          <w:szCs w:val="24"/>
          <w:lang w:val="bs-Latn-BA"/>
        </w:rPr>
        <w:t>Одлуком</w:t>
      </w:r>
      <w:r w:rsidR="001F27A1" w:rsidRPr="00295637">
        <w:rPr>
          <w:rFonts w:ascii="Times New Roman" w:hAnsi="Times New Roman"/>
          <w:szCs w:val="24"/>
          <w:lang w:val="bs-Latn-BA"/>
        </w:rPr>
        <w:t xml:space="preserve"> </w:t>
      </w:r>
      <w:r w:rsidR="003927C3">
        <w:rPr>
          <w:rFonts w:ascii="Times New Roman" w:hAnsi="Times New Roman"/>
          <w:szCs w:val="24"/>
          <w:lang w:val="sr-Cyrl-BA"/>
        </w:rPr>
        <w:t>Савјета</w:t>
      </w:r>
      <w:r w:rsidR="001F27A1" w:rsidRPr="00295637">
        <w:rPr>
          <w:rFonts w:ascii="Times New Roman" w:hAnsi="Times New Roman"/>
          <w:szCs w:val="24"/>
          <w:lang w:val="bs-Latn-BA"/>
        </w:rPr>
        <w:t xml:space="preserve"> </w:t>
      </w:r>
      <w:r>
        <w:rPr>
          <w:rFonts w:ascii="Times New Roman" w:hAnsi="Times New Roman"/>
          <w:szCs w:val="24"/>
          <w:lang w:val="bs-Latn-BA"/>
        </w:rPr>
        <w:t>министара</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9E54A2" w:rsidRPr="00295637">
        <w:rPr>
          <w:rFonts w:ascii="Times New Roman" w:hAnsi="Times New Roman"/>
          <w:szCs w:val="24"/>
          <w:lang w:val="bs-Latn-BA"/>
        </w:rPr>
        <w:t xml:space="preserve"> </w:t>
      </w:r>
      <w:r>
        <w:rPr>
          <w:rFonts w:ascii="Times New Roman" w:hAnsi="Times New Roman"/>
          <w:szCs w:val="24"/>
          <w:lang w:val="bs-Latn-BA"/>
        </w:rPr>
        <w:t>усвојеном</w:t>
      </w:r>
      <w:r w:rsidR="001F27A1"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на</w:t>
      </w:r>
      <w:r w:rsidR="001F27A1" w:rsidRPr="00295637">
        <w:rPr>
          <w:rFonts w:ascii="Times New Roman" w:hAnsi="Times New Roman"/>
          <w:szCs w:val="24"/>
          <w:shd w:val="clear" w:color="auto" w:fill="FFFFFF"/>
          <w:lang w:val="en-US"/>
        </w:rPr>
        <w:t xml:space="preserve"> 53. </w:t>
      </w:r>
      <w:r>
        <w:rPr>
          <w:rFonts w:ascii="Times New Roman" w:hAnsi="Times New Roman"/>
          <w:szCs w:val="24"/>
          <w:shd w:val="clear" w:color="auto" w:fill="FFFFFF"/>
          <w:lang w:val="en-US"/>
        </w:rPr>
        <w:t>сједници</w:t>
      </w:r>
      <w:r w:rsidR="001F27A1"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одржаној</w:t>
      </w:r>
      <w:r w:rsidR="001F27A1" w:rsidRPr="00295637">
        <w:rPr>
          <w:rFonts w:ascii="Times New Roman" w:hAnsi="Times New Roman"/>
          <w:szCs w:val="24"/>
          <w:shd w:val="clear" w:color="auto" w:fill="FFFFFF"/>
          <w:lang w:val="en-US"/>
        </w:rPr>
        <w:t xml:space="preserve"> 27.</w:t>
      </w:r>
      <w:r w:rsidR="00177112" w:rsidRPr="00295637">
        <w:rPr>
          <w:rFonts w:ascii="Times New Roman" w:hAnsi="Times New Roman"/>
          <w:szCs w:val="24"/>
          <w:shd w:val="clear" w:color="auto" w:fill="FFFFFF"/>
          <w:lang w:val="en-US"/>
        </w:rPr>
        <w:t>8</w:t>
      </w:r>
      <w:r w:rsidR="001F27A1" w:rsidRPr="00295637">
        <w:rPr>
          <w:rFonts w:ascii="Times New Roman" w:hAnsi="Times New Roman"/>
          <w:szCs w:val="24"/>
          <w:shd w:val="clear" w:color="auto" w:fill="FFFFFF"/>
          <w:lang w:val="en-US"/>
        </w:rPr>
        <w:t xml:space="preserve">.2024. </w:t>
      </w:r>
      <w:r>
        <w:rPr>
          <w:rFonts w:ascii="Times New Roman" w:hAnsi="Times New Roman"/>
          <w:szCs w:val="24"/>
          <w:shd w:val="clear" w:color="auto" w:fill="FFFFFF"/>
          <w:lang w:val="en-US"/>
        </w:rPr>
        <w:t>године</w:t>
      </w:r>
      <w:r w:rsidR="001F27A1" w:rsidRPr="00295637">
        <w:rPr>
          <w:rFonts w:ascii="Times New Roman" w:hAnsi="Times New Roman"/>
          <w:szCs w:val="24"/>
          <w:shd w:val="clear" w:color="auto" w:fill="FFFFFF"/>
          <w:lang w:val="en-US"/>
        </w:rPr>
        <w:t>.</w:t>
      </w:r>
    </w:p>
    <w:p w:rsidR="001F27A1" w:rsidRPr="00295637" w:rsidRDefault="001F27A1" w:rsidP="0086268D">
      <w:pPr>
        <w:jc w:val="both"/>
        <w:rPr>
          <w:rFonts w:ascii="Times New Roman" w:hAnsi="Times New Roman"/>
          <w:sz w:val="18"/>
          <w:szCs w:val="24"/>
          <w:lang w:val="bs-Latn-BA"/>
        </w:rPr>
      </w:pPr>
    </w:p>
    <w:p w:rsidR="008050A5" w:rsidRPr="00295637" w:rsidRDefault="00C6214E" w:rsidP="0086268D">
      <w:pPr>
        <w:contextualSpacing/>
        <w:jc w:val="both"/>
        <w:rPr>
          <w:rFonts w:ascii="Times New Roman" w:hAnsi="Times New Roman"/>
          <w:szCs w:val="24"/>
        </w:rPr>
      </w:pPr>
      <w:r>
        <w:rPr>
          <w:rFonts w:ascii="Times New Roman" w:hAnsi="Times New Roman"/>
          <w:szCs w:val="24"/>
        </w:rPr>
        <w:t>Извјештај</w:t>
      </w:r>
      <w:r w:rsidR="008050A5" w:rsidRPr="00295637">
        <w:rPr>
          <w:rFonts w:ascii="Times New Roman" w:hAnsi="Times New Roman"/>
          <w:szCs w:val="24"/>
        </w:rPr>
        <w:t xml:space="preserve"> </w:t>
      </w:r>
      <w:r>
        <w:rPr>
          <w:rFonts w:ascii="Times New Roman" w:hAnsi="Times New Roman"/>
          <w:szCs w:val="24"/>
        </w:rPr>
        <w:t>је</w:t>
      </w:r>
      <w:r w:rsidR="008050A5" w:rsidRPr="00295637">
        <w:rPr>
          <w:rFonts w:ascii="Times New Roman" w:hAnsi="Times New Roman"/>
          <w:szCs w:val="24"/>
        </w:rPr>
        <w:t xml:space="preserve"> </w:t>
      </w:r>
      <w:r>
        <w:rPr>
          <w:rFonts w:ascii="Times New Roman" w:hAnsi="Times New Roman"/>
          <w:szCs w:val="24"/>
        </w:rPr>
        <w:t>сачињен</w:t>
      </w:r>
      <w:r w:rsidR="008050A5" w:rsidRPr="00295637">
        <w:rPr>
          <w:rFonts w:ascii="Times New Roman" w:hAnsi="Times New Roman"/>
          <w:szCs w:val="24"/>
        </w:rPr>
        <w:t xml:space="preserve"> </w:t>
      </w:r>
      <w:r>
        <w:rPr>
          <w:rFonts w:ascii="Times New Roman" w:hAnsi="Times New Roman"/>
          <w:szCs w:val="24"/>
        </w:rPr>
        <w:t>на</w:t>
      </w:r>
      <w:r w:rsidR="008050A5" w:rsidRPr="00295637">
        <w:rPr>
          <w:rFonts w:ascii="Times New Roman" w:hAnsi="Times New Roman"/>
          <w:szCs w:val="24"/>
        </w:rPr>
        <w:t xml:space="preserve"> </w:t>
      </w:r>
      <w:r>
        <w:rPr>
          <w:rFonts w:ascii="Times New Roman" w:hAnsi="Times New Roman"/>
          <w:szCs w:val="24"/>
        </w:rPr>
        <w:t>основу</w:t>
      </w:r>
      <w:r w:rsidR="008050A5" w:rsidRPr="00295637">
        <w:rPr>
          <w:rFonts w:ascii="Times New Roman" w:hAnsi="Times New Roman"/>
          <w:szCs w:val="24"/>
        </w:rPr>
        <w:t xml:space="preserve"> </w:t>
      </w:r>
      <w:r>
        <w:rPr>
          <w:rFonts w:ascii="Times New Roman" w:hAnsi="Times New Roman"/>
          <w:szCs w:val="24"/>
        </w:rPr>
        <w:t>информација</w:t>
      </w:r>
      <w:r w:rsidR="008050A5" w:rsidRPr="00295637">
        <w:rPr>
          <w:rFonts w:ascii="Times New Roman" w:hAnsi="Times New Roman"/>
          <w:szCs w:val="24"/>
        </w:rPr>
        <w:t xml:space="preserve"> </w:t>
      </w:r>
      <w:r>
        <w:rPr>
          <w:rFonts w:ascii="Times New Roman" w:hAnsi="Times New Roman"/>
          <w:szCs w:val="24"/>
        </w:rPr>
        <w:t>прикупљених</w:t>
      </w:r>
      <w:r w:rsidR="008050A5" w:rsidRPr="00295637">
        <w:rPr>
          <w:rFonts w:ascii="Times New Roman" w:hAnsi="Times New Roman"/>
          <w:szCs w:val="24"/>
        </w:rPr>
        <w:t xml:space="preserve"> </w:t>
      </w:r>
      <w:r>
        <w:rPr>
          <w:rFonts w:ascii="Times New Roman" w:hAnsi="Times New Roman"/>
          <w:szCs w:val="24"/>
        </w:rPr>
        <w:t>од</w:t>
      </w:r>
      <w:r w:rsidR="008050A5" w:rsidRPr="00295637">
        <w:rPr>
          <w:rFonts w:ascii="Times New Roman" w:hAnsi="Times New Roman"/>
          <w:szCs w:val="24"/>
        </w:rPr>
        <w:t xml:space="preserve"> </w:t>
      </w:r>
      <w:r>
        <w:rPr>
          <w:rFonts w:ascii="Times New Roman" w:hAnsi="Times New Roman"/>
          <w:szCs w:val="24"/>
        </w:rPr>
        <w:t>релевантних</w:t>
      </w:r>
      <w:r w:rsidR="008050A5" w:rsidRPr="00295637">
        <w:rPr>
          <w:rFonts w:ascii="Times New Roman" w:hAnsi="Times New Roman"/>
          <w:szCs w:val="24"/>
        </w:rPr>
        <w:t xml:space="preserve"> </w:t>
      </w:r>
      <w:r>
        <w:rPr>
          <w:rFonts w:ascii="Times New Roman" w:hAnsi="Times New Roman"/>
          <w:szCs w:val="24"/>
        </w:rPr>
        <w:t>институција</w:t>
      </w:r>
      <w:r w:rsidR="00B02375" w:rsidRPr="00295637">
        <w:rPr>
          <w:rFonts w:ascii="Times New Roman" w:hAnsi="Times New Roman"/>
          <w:szCs w:val="24"/>
        </w:rPr>
        <w:t xml:space="preserve"> </w:t>
      </w:r>
      <w:r>
        <w:rPr>
          <w:rFonts w:ascii="Times New Roman" w:hAnsi="Times New Roman"/>
          <w:szCs w:val="24"/>
        </w:rPr>
        <w:t>Босне</w:t>
      </w:r>
      <w:r w:rsidR="00B02375" w:rsidRPr="00295637">
        <w:rPr>
          <w:rFonts w:ascii="Times New Roman" w:hAnsi="Times New Roman"/>
          <w:szCs w:val="24"/>
        </w:rPr>
        <w:t xml:space="preserve"> </w:t>
      </w:r>
      <w:r>
        <w:rPr>
          <w:rFonts w:ascii="Times New Roman" w:hAnsi="Times New Roman"/>
          <w:szCs w:val="24"/>
        </w:rPr>
        <w:t>и</w:t>
      </w:r>
      <w:r w:rsidR="00B02375" w:rsidRPr="00295637">
        <w:rPr>
          <w:rFonts w:ascii="Times New Roman" w:hAnsi="Times New Roman"/>
          <w:szCs w:val="24"/>
        </w:rPr>
        <w:t xml:space="preserve"> </w:t>
      </w:r>
      <w:r>
        <w:rPr>
          <w:rFonts w:ascii="Times New Roman" w:hAnsi="Times New Roman"/>
          <w:szCs w:val="24"/>
        </w:rPr>
        <w:t>Херцеговине</w:t>
      </w:r>
      <w:r w:rsidR="00B02375" w:rsidRPr="00295637">
        <w:rPr>
          <w:rFonts w:ascii="Times New Roman" w:hAnsi="Times New Roman"/>
          <w:szCs w:val="24"/>
        </w:rPr>
        <w:t xml:space="preserve">, </w:t>
      </w:r>
      <w:r>
        <w:rPr>
          <w:rFonts w:ascii="Times New Roman" w:hAnsi="Times New Roman"/>
          <w:szCs w:val="24"/>
        </w:rPr>
        <w:t>Гендер</w:t>
      </w:r>
      <w:r w:rsidR="005C3D53" w:rsidRPr="00295637">
        <w:rPr>
          <w:rFonts w:ascii="Times New Roman" w:hAnsi="Times New Roman"/>
          <w:szCs w:val="24"/>
        </w:rPr>
        <w:t xml:space="preserve"> </w:t>
      </w:r>
      <w:r>
        <w:rPr>
          <w:rFonts w:ascii="Times New Roman" w:hAnsi="Times New Roman"/>
          <w:szCs w:val="24"/>
        </w:rPr>
        <w:t>центра</w:t>
      </w:r>
      <w:r w:rsidR="005C3D53" w:rsidRPr="00295637">
        <w:rPr>
          <w:rFonts w:ascii="Times New Roman" w:hAnsi="Times New Roman"/>
          <w:szCs w:val="24"/>
        </w:rPr>
        <w:t xml:space="preserve"> </w:t>
      </w:r>
      <w:r>
        <w:rPr>
          <w:rFonts w:ascii="Times New Roman" w:hAnsi="Times New Roman"/>
          <w:szCs w:val="24"/>
        </w:rPr>
        <w:t>Федерације</w:t>
      </w:r>
      <w:r w:rsidR="005C3D53" w:rsidRPr="00295637">
        <w:rPr>
          <w:rFonts w:ascii="Times New Roman" w:hAnsi="Times New Roman"/>
          <w:szCs w:val="24"/>
        </w:rPr>
        <w:t xml:space="preserve"> </w:t>
      </w:r>
      <w:r>
        <w:rPr>
          <w:rFonts w:ascii="Times New Roman" w:hAnsi="Times New Roman"/>
          <w:szCs w:val="24"/>
        </w:rPr>
        <w:t>Босне</w:t>
      </w:r>
      <w:r w:rsidR="005C3D53" w:rsidRPr="00295637">
        <w:rPr>
          <w:rFonts w:ascii="Times New Roman" w:hAnsi="Times New Roman"/>
          <w:szCs w:val="24"/>
        </w:rPr>
        <w:t xml:space="preserve"> </w:t>
      </w:r>
      <w:r>
        <w:rPr>
          <w:rFonts w:ascii="Times New Roman" w:hAnsi="Times New Roman"/>
          <w:szCs w:val="24"/>
        </w:rPr>
        <w:t>и</w:t>
      </w:r>
      <w:r w:rsidR="005C3D53" w:rsidRPr="00295637">
        <w:rPr>
          <w:rFonts w:ascii="Times New Roman" w:hAnsi="Times New Roman"/>
          <w:szCs w:val="24"/>
        </w:rPr>
        <w:t xml:space="preserve"> </w:t>
      </w:r>
      <w:r>
        <w:rPr>
          <w:rFonts w:ascii="Times New Roman" w:hAnsi="Times New Roman"/>
          <w:szCs w:val="24"/>
        </w:rPr>
        <w:t>Херцеговине</w:t>
      </w:r>
      <w:r w:rsidR="00A76D2E" w:rsidRPr="00295637">
        <w:rPr>
          <w:rFonts w:ascii="Times New Roman" w:hAnsi="Times New Roman"/>
          <w:szCs w:val="24"/>
        </w:rPr>
        <w:t xml:space="preserve">, </w:t>
      </w:r>
      <w:r>
        <w:rPr>
          <w:rFonts w:ascii="Times New Roman" w:hAnsi="Times New Roman"/>
          <w:szCs w:val="24"/>
        </w:rPr>
        <w:t>Центра</w:t>
      </w:r>
      <w:r w:rsidR="00A76D2E" w:rsidRPr="00295637">
        <w:rPr>
          <w:rFonts w:ascii="Times New Roman" w:hAnsi="Times New Roman"/>
          <w:szCs w:val="24"/>
        </w:rPr>
        <w:t xml:space="preserve"> </w:t>
      </w:r>
      <w:r>
        <w:rPr>
          <w:rFonts w:ascii="Times New Roman" w:hAnsi="Times New Roman"/>
          <w:szCs w:val="24"/>
        </w:rPr>
        <w:t>за</w:t>
      </w:r>
      <w:r w:rsidR="00A76D2E" w:rsidRPr="00295637">
        <w:rPr>
          <w:rFonts w:ascii="Times New Roman" w:hAnsi="Times New Roman"/>
          <w:szCs w:val="24"/>
        </w:rPr>
        <w:t xml:space="preserve"> </w:t>
      </w:r>
      <w:r>
        <w:rPr>
          <w:rFonts w:ascii="Times New Roman" w:hAnsi="Times New Roman"/>
          <w:szCs w:val="24"/>
        </w:rPr>
        <w:t>једнакост</w:t>
      </w:r>
      <w:r w:rsidR="00A76D2E" w:rsidRPr="00295637">
        <w:rPr>
          <w:rFonts w:ascii="Times New Roman" w:hAnsi="Times New Roman"/>
          <w:szCs w:val="24"/>
        </w:rPr>
        <w:t xml:space="preserve"> </w:t>
      </w:r>
      <w:r>
        <w:rPr>
          <w:rFonts w:ascii="Times New Roman" w:hAnsi="Times New Roman"/>
          <w:szCs w:val="24"/>
        </w:rPr>
        <w:t>и</w:t>
      </w:r>
      <w:r w:rsidR="00A76D2E" w:rsidRPr="00295637">
        <w:rPr>
          <w:rFonts w:ascii="Times New Roman" w:hAnsi="Times New Roman"/>
          <w:szCs w:val="24"/>
        </w:rPr>
        <w:t xml:space="preserve"> </w:t>
      </w:r>
      <w:r>
        <w:rPr>
          <w:rFonts w:ascii="Times New Roman" w:hAnsi="Times New Roman"/>
          <w:szCs w:val="24"/>
        </w:rPr>
        <w:t>равноправност</w:t>
      </w:r>
      <w:r w:rsidR="001A37CD">
        <w:rPr>
          <w:rFonts w:ascii="Times New Roman" w:hAnsi="Times New Roman"/>
          <w:szCs w:val="24"/>
        </w:rPr>
        <w:t xml:space="preserve"> </w:t>
      </w:r>
      <w:r>
        <w:rPr>
          <w:rFonts w:ascii="Times New Roman" w:hAnsi="Times New Roman"/>
          <w:szCs w:val="24"/>
        </w:rPr>
        <w:t>полова</w:t>
      </w:r>
      <w:r w:rsidR="001A37CD">
        <w:rPr>
          <w:rFonts w:ascii="Times New Roman" w:hAnsi="Times New Roman"/>
          <w:szCs w:val="24"/>
        </w:rPr>
        <w:t xml:space="preserve"> </w:t>
      </w:r>
      <w:r>
        <w:rPr>
          <w:rFonts w:ascii="Times New Roman" w:hAnsi="Times New Roman"/>
          <w:szCs w:val="24"/>
        </w:rPr>
        <w:t>Републике</w:t>
      </w:r>
      <w:r w:rsidR="001A37CD">
        <w:rPr>
          <w:rFonts w:ascii="Times New Roman" w:hAnsi="Times New Roman"/>
          <w:szCs w:val="24"/>
        </w:rPr>
        <w:t xml:space="preserve"> </w:t>
      </w:r>
      <w:r>
        <w:rPr>
          <w:rFonts w:ascii="Times New Roman" w:hAnsi="Times New Roman"/>
          <w:szCs w:val="24"/>
        </w:rPr>
        <w:t>Српске</w:t>
      </w:r>
      <w:r w:rsidR="008050A5" w:rsidRPr="00295637">
        <w:rPr>
          <w:rFonts w:ascii="Times New Roman" w:hAnsi="Times New Roman"/>
          <w:szCs w:val="24"/>
        </w:rPr>
        <w:t xml:space="preserve"> </w:t>
      </w:r>
      <w:r>
        <w:rPr>
          <w:rFonts w:ascii="Times New Roman" w:hAnsi="Times New Roman"/>
          <w:szCs w:val="24"/>
        </w:rPr>
        <w:t>и</w:t>
      </w:r>
      <w:r w:rsidR="00B21250" w:rsidRPr="00295637">
        <w:rPr>
          <w:rFonts w:ascii="Times New Roman" w:hAnsi="Times New Roman"/>
          <w:szCs w:val="24"/>
        </w:rPr>
        <w:t xml:space="preserve"> </w:t>
      </w:r>
      <w:r>
        <w:rPr>
          <w:rFonts w:ascii="Times New Roman" w:hAnsi="Times New Roman"/>
          <w:szCs w:val="24"/>
        </w:rPr>
        <w:t>Брчко</w:t>
      </w:r>
      <w:r w:rsidR="00B21250" w:rsidRPr="00295637">
        <w:rPr>
          <w:rFonts w:ascii="Times New Roman" w:hAnsi="Times New Roman"/>
          <w:szCs w:val="24"/>
        </w:rPr>
        <w:t xml:space="preserve"> </w:t>
      </w:r>
      <w:r>
        <w:rPr>
          <w:rFonts w:ascii="Times New Roman" w:hAnsi="Times New Roman"/>
          <w:szCs w:val="24"/>
        </w:rPr>
        <w:t>Дистрикта</w:t>
      </w:r>
      <w:r w:rsidR="00B21250" w:rsidRPr="00295637">
        <w:rPr>
          <w:rFonts w:ascii="Times New Roman" w:hAnsi="Times New Roman"/>
          <w:szCs w:val="24"/>
        </w:rPr>
        <w:t xml:space="preserve"> </w:t>
      </w:r>
      <w:r>
        <w:rPr>
          <w:rFonts w:ascii="Times New Roman" w:hAnsi="Times New Roman"/>
          <w:szCs w:val="24"/>
        </w:rPr>
        <w:t>Босне</w:t>
      </w:r>
      <w:r w:rsidR="00B21250" w:rsidRPr="00295637">
        <w:rPr>
          <w:rFonts w:ascii="Times New Roman" w:hAnsi="Times New Roman"/>
          <w:szCs w:val="24"/>
        </w:rPr>
        <w:t xml:space="preserve"> </w:t>
      </w:r>
      <w:r>
        <w:rPr>
          <w:rFonts w:ascii="Times New Roman" w:hAnsi="Times New Roman"/>
          <w:szCs w:val="24"/>
        </w:rPr>
        <w:t>и</w:t>
      </w:r>
      <w:r w:rsidR="00B21250" w:rsidRPr="00295637">
        <w:rPr>
          <w:rFonts w:ascii="Times New Roman" w:hAnsi="Times New Roman"/>
          <w:szCs w:val="24"/>
        </w:rPr>
        <w:t xml:space="preserve"> </w:t>
      </w:r>
      <w:r>
        <w:rPr>
          <w:rFonts w:ascii="Times New Roman" w:hAnsi="Times New Roman"/>
          <w:szCs w:val="24"/>
        </w:rPr>
        <w:t>Херцеговине</w:t>
      </w:r>
      <w:r w:rsidR="00F075AF" w:rsidRPr="00295637">
        <w:rPr>
          <w:rFonts w:ascii="Times New Roman" w:hAnsi="Times New Roman"/>
          <w:szCs w:val="24"/>
        </w:rPr>
        <w:t xml:space="preserve">. </w:t>
      </w:r>
      <w:r>
        <w:rPr>
          <w:rFonts w:ascii="Times New Roman" w:hAnsi="Times New Roman"/>
          <w:szCs w:val="24"/>
        </w:rPr>
        <w:t>Поред</w:t>
      </w:r>
      <w:r w:rsidR="00FE7C34" w:rsidRPr="00295637">
        <w:rPr>
          <w:rFonts w:ascii="Times New Roman" w:hAnsi="Times New Roman"/>
          <w:szCs w:val="24"/>
        </w:rPr>
        <w:t xml:space="preserve"> </w:t>
      </w:r>
      <w:r>
        <w:rPr>
          <w:rFonts w:ascii="Times New Roman" w:hAnsi="Times New Roman"/>
          <w:szCs w:val="24"/>
        </w:rPr>
        <w:t>тога</w:t>
      </w:r>
      <w:r w:rsidR="00FE7C34" w:rsidRPr="00295637">
        <w:rPr>
          <w:rFonts w:ascii="Times New Roman" w:hAnsi="Times New Roman"/>
          <w:szCs w:val="24"/>
        </w:rPr>
        <w:t xml:space="preserve">, </w:t>
      </w:r>
      <w:r>
        <w:rPr>
          <w:rFonts w:ascii="Times New Roman" w:hAnsi="Times New Roman"/>
          <w:szCs w:val="24"/>
        </w:rPr>
        <w:t>извјештај</w:t>
      </w:r>
      <w:r w:rsidR="00FE7C34" w:rsidRPr="00295637">
        <w:rPr>
          <w:rFonts w:ascii="Times New Roman" w:hAnsi="Times New Roman"/>
          <w:szCs w:val="24"/>
        </w:rPr>
        <w:t xml:space="preserve"> </w:t>
      </w:r>
      <w:r>
        <w:rPr>
          <w:rFonts w:ascii="Times New Roman" w:hAnsi="Times New Roman"/>
          <w:szCs w:val="24"/>
        </w:rPr>
        <w:t>презент</w:t>
      </w:r>
      <w:r w:rsidR="003927C3">
        <w:rPr>
          <w:rFonts w:ascii="Times New Roman" w:hAnsi="Times New Roman"/>
          <w:szCs w:val="24"/>
          <w:lang w:val="sr-Cyrl-BA"/>
        </w:rPr>
        <w:t>ује</w:t>
      </w:r>
      <w:r w:rsidR="00FE7C34" w:rsidRPr="00295637">
        <w:rPr>
          <w:rFonts w:ascii="Times New Roman" w:hAnsi="Times New Roman"/>
          <w:szCs w:val="24"/>
        </w:rPr>
        <w:t xml:space="preserve"> </w:t>
      </w:r>
      <w:r>
        <w:rPr>
          <w:rFonts w:ascii="Times New Roman" w:hAnsi="Times New Roman"/>
          <w:szCs w:val="24"/>
        </w:rPr>
        <w:t>и</w:t>
      </w:r>
      <w:r w:rsidR="00FE7C34" w:rsidRPr="00295637">
        <w:rPr>
          <w:rFonts w:ascii="Times New Roman" w:hAnsi="Times New Roman"/>
          <w:szCs w:val="24"/>
        </w:rPr>
        <w:t xml:space="preserve"> </w:t>
      </w:r>
      <w:r>
        <w:rPr>
          <w:rFonts w:ascii="Times New Roman" w:hAnsi="Times New Roman"/>
          <w:szCs w:val="24"/>
        </w:rPr>
        <w:t>информације</w:t>
      </w:r>
      <w:r w:rsidR="00FE7C34" w:rsidRPr="00295637">
        <w:rPr>
          <w:rFonts w:ascii="Times New Roman" w:hAnsi="Times New Roman"/>
          <w:szCs w:val="24"/>
        </w:rPr>
        <w:t xml:space="preserve"> </w:t>
      </w:r>
      <w:r>
        <w:rPr>
          <w:rFonts w:ascii="Times New Roman" w:hAnsi="Times New Roman"/>
          <w:szCs w:val="24"/>
        </w:rPr>
        <w:t>о</w:t>
      </w:r>
      <w:r w:rsidR="00FE7C34" w:rsidRPr="00295637">
        <w:rPr>
          <w:rFonts w:ascii="Times New Roman" w:hAnsi="Times New Roman"/>
          <w:szCs w:val="24"/>
        </w:rPr>
        <w:t xml:space="preserve"> </w:t>
      </w:r>
      <w:r>
        <w:rPr>
          <w:rFonts w:ascii="Times New Roman" w:hAnsi="Times New Roman"/>
          <w:szCs w:val="24"/>
        </w:rPr>
        <w:t>најзначајнијим</w:t>
      </w:r>
      <w:r w:rsidR="00FE7C34" w:rsidRPr="00295637">
        <w:rPr>
          <w:rFonts w:ascii="Times New Roman" w:hAnsi="Times New Roman"/>
          <w:szCs w:val="24"/>
        </w:rPr>
        <w:t xml:space="preserve"> </w:t>
      </w:r>
      <w:r>
        <w:rPr>
          <w:rFonts w:ascii="Times New Roman" w:hAnsi="Times New Roman"/>
          <w:szCs w:val="24"/>
        </w:rPr>
        <w:t>примјерима</w:t>
      </w:r>
      <w:r w:rsidR="00FE7C34" w:rsidRPr="00295637">
        <w:rPr>
          <w:rFonts w:ascii="Times New Roman" w:hAnsi="Times New Roman"/>
          <w:szCs w:val="24"/>
        </w:rPr>
        <w:t xml:space="preserve"> </w:t>
      </w:r>
      <w:r>
        <w:rPr>
          <w:rFonts w:ascii="Times New Roman" w:hAnsi="Times New Roman"/>
          <w:szCs w:val="24"/>
        </w:rPr>
        <w:t>техничке</w:t>
      </w:r>
      <w:r w:rsidR="00FE7C34" w:rsidRPr="00295637">
        <w:rPr>
          <w:rFonts w:ascii="Times New Roman" w:hAnsi="Times New Roman"/>
          <w:szCs w:val="24"/>
        </w:rPr>
        <w:t xml:space="preserve"> </w:t>
      </w:r>
      <w:r>
        <w:rPr>
          <w:rFonts w:ascii="Times New Roman" w:hAnsi="Times New Roman"/>
          <w:szCs w:val="24"/>
        </w:rPr>
        <w:t>и</w:t>
      </w:r>
      <w:r w:rsidR="00FE7C34" w:rsidRPr="00295637">
        <w:rPr>
          <w:rFonts w:ascii="Times New Roman" w:hAnsi="Times New Roman"/>
          <w:szCs w:val="24"/>
        </w:rPr>
        <w:t xml:space="preserve"> </w:t>
      </w:r>
      <w:r>
        <w:rPr>
          <w:rFonts w:ascii="Times New Roman" w:hAnsi="Times New Roman"/>
          <w:szCs w:val="24"/>
        </w:rPr>
        <w:t>материјалне</w:t>
      </w:r>
      <w:r w:rsidR="00FE7C34" w:rsidRPr="00295637">
        <w:rPr>
          <w:rFonts w:ascii="Times New Roman" w:hAnsi="Times New Roman"/>
          <w:szCs w:val="24"/>
        </w:rPr>
        <w:t xml:space="preserve"> </w:t>
      </w:r>
      <w:r>
        <w:rPr>
          <w:rFonts w:ascii="Times New Roman" w:hAnsi="Times New Roman"/>
          <w:szCs w:val="24"/>
        </w:rPr>
        <w:t>подршке</w:t>
      </w:r>
      <w:r w:rsidR="00FE7C34" w:rsidRPr="00295637">
        <w:rPr>
          <w:rFonts w:ascii="Times New Roman" w:hAnsi="Times New Roman"/>
          <w:szCs w:val="24"/>
        </w:rPr>
        <w:t xml:space="preserve"> </w:t>
      </w:r>
      <w:r>
        <w:rPr>
          <w:rFonts w:ascii="Times New Roman" w:hAnsi="Times New Roman"/>
          <w:szCs w:val="24"/>
        </w:rPr>
        <w:t>међународних</w:t>
      </w:r>
      <w:r w:rsidR="00FE7C34" w:rsidRPr="00295637">
        <w:rPr>
          <w:rFonts w:ascii="Times New Roman" w:hAnsi="Times New Roman"/>
          <w:szCs w:val="24"/>
        </w:rPr>
        <w:t xml:space="preserve"> </w:t>
      </w:r>
      <w:r>
        <w:rPr>
          <w:rFonts w:ascii="Times New Roman" w:hAnsi="Times New Roman"/>
          <w:szCs w:val="24"/>
        </w:rPr>
        <w:t>актера</w:t>
      </w:r>
      <w:r w:rsidR="00FE7C34" w:rsidRPr="00295637">
        <w:rPr>
          <w:rFonts w:ascii="Times New Roman" w:hAnsi="Times New Roman"/>
          <w:szCs w:val="24"/>
        </w:rPr>
        <w:t xml:space="preserve"> </w:t>
      </w:r>
      <w:r w:rsidR="003927C3">
        <w:rPr>
          <w:rFonts w:ascii="Times New Roman" w:hAnsi="Times New Roman"/>
          <w:szCs w:val="24"/>
          <w:lang w:val="sr-Cyrl-BA"/>
        </w:rPr>
        <w:t>спровођењу</w:t>
      </w:r>
      <w:r w:rsidR="00FE7C34" w:rsidRPr="00295637">
        <w:rPr>
          <w:rFonts w:ascii="Times New Roman" w:hAnsi="Times New Roman"/>
          <w:szCs w:val="24"/>
        </w:rPr>
        <w:t xml:space="preserve"> </w:t>
      </w:r>
      <w:r>
        <w:rPr>
          <w:rFonts w:ascii="Times New Roman" w:hAnsi="Times New Roman"/>
          <w:szCs w:val="24"/>
        </w:rPr>
        <w:t>мјера</w:t>
      </w:r>
      <w:r w:rsidR="00C110AB">
        <w:rPr>
          <w:rFonts w:ascii="Times New Roman" w:hAnsi="Times New Roman"/>
          <w:szCs w:val="24"/>
        </w:rPr>
        <w:t xml:space="preserve"> </w:t>
      </w:r>
      <w:r>
        <w:rPr>
          <w:rFonts w:ascii="Times New Roman" w:hAnsi="Times New Roman"/>
          <w:szCs w:val="24"/>
        </w:rPr>
        <w:t>ГАП</w:t>
      </w:r>
      <w:r w:rsidR="00C110AB">
        <w:rPr>
          <w:rFonts w:ascii="Times New Roman" w:hAnsi="Times New Roman"/>
          <w:szCs w:val="24"/>
        </w:rPr>
        <w:t>-</w:t>
      </w:r>
      <w:r>
        <w:rPr>
          <w:rFonts w:ascii="Times New Roman" w:hAnsi="Times New Roman"/>
          <w:szCs w:val="24"/>
        </w:rPr>
        <w:t>а</w:t>
      </w:r>
      <w:r w:rsidR="00C110AB">
        <w:rPr>
          <w:rFonts w:ascii="Times New Roman" w:hAnsi="Times New Roman"/>
          <w:szCs w:val="24"/>
        </w:rPr>
        <w:t xml:space="preserve"> </w:t>
      </w:r>
      <w:r>
        <w:rPr>
          <w:rFonts w:ascii="Times New Roman" w:hAnsi="Times New Roman"/>
          <w:szCs w:val="24"/>
        </w:rPr>
        <w:t>БиХ</w:t>
      </w:r>
      <w:r w:rsidR="00FE7C34" w:rsidRPr="00295637">
        <w:rPr>
          <w:rFonts w:ascii="Times New Roman" w:hAnsi="Times New Roman"/>
          <w:szCs w:val="24"/>
        </w:rPr>
        <w:t xml:space="preserve">. </w:t>
      </w:r>
      <w:r>
        <w:rPr>
          <w:rFonts w:ascii="Times New Roman" w:hAnsi="Times New Roman"/>
          <w:szCs w:val="24"/>
        </w:rPr>
        <w:t>Овај</w:t>
      </w:r>
      <w:r w:rsidR="00F075AF" w:rsidRPr="00295637">
        <w:rPr>
          <w:rFonts w:ascii="Times New Roman" w:hAnsi="Times New Roman"/>
          <w:szCs w:val="24"/>
        </w:rPr>
        <w:t xml:space="preserve"> </w:t>
      </w:r>
      <w:r>
        <w:rPr>
          <w:rFonts w:ascii="Times New Roman" w:hAnsi="Times New Roman"/>
          <w:szCs w:val="24"/>
        </w:rPr>
        <w:t>извјештај</w:t>
      </w:r>
      <w:r w:rsidR="00F075AF" w:rsidRPr="00295637">
        <w:rPr>
          <w:rFonts w:ascii="Times New Roman" w:hAnsi="Times New Roman"/>
          <w:szCs w:val="24"/>
        </w:rPr>
        <w:t xml:space="preserve"> </w:t>
      </w:r>
      <w:r>
        <w:rPr>
          <w:rFonts w:ascii="Times New Roman" w:hAnsi="Times New Roman"/>
          <w:szCs w:val="24"/>
        </w:rPr>
        <w:t>уједно</w:t>
      </w:r>
      <w:r w:rsidR="00F075AF" w:rsidRPr="00295637">
        <w:rPr>
          <w:rFonts w:ascii="Times New Roman" w:hAnsi="Times New Roman"/>
          <w:szCs w:val="24"/>
        </w:rPr>
        <w:t xml:space="preserve"> </w:t>
      </w:r>
      <w:r>
        <w:rPr>
          <w:rFonts w:ascii="Times New Roman" w:hAnsi="Times New Roman"/>
          <w:szCs w:val="24"/>
        </w:rPr>
        <w:t>представља</w:t>
      </w:r>
      <w:r w:rsidR="00F075AF" w:rsidRPr="00295637">
        <w:rPr>
          <w:rFonts w:ascii="Times New Roman" w:hAnsi="Times New Roman"/>
          <w:szCs w:val="24"/>
        </w:rPr>
        <w:t xml:space="preserve"> </w:t>
      </w:r>
      <w:r>
        <w:rPr>
          <w:rFonts w:ascii="Times New Roman" w:hAnsi="Times New Roman"/>
          <w:szCs w:val="24"/>
        </w:rPr>
        <w:t>и</w:t>
      </w:r>
      <w:r w:rsidR="00F075AF" w:rsidRPr="00295637">
        <w:rPr>
          <w:rFonts w:ascii="Times New Roman" w:hAnsi="Times New Roman"/>
          <w:szCs w:val="24"/>
        </w:rPr>
        <w:t xml:space="preserve"> </w:t>
      </w:r>
      <w:r>
        <w:rPr>
          <w:rFonts w:ascii="Times New Roman" w:hAnsi="Times New Roman"/>
          <w:szCs w:val="24"/>
        </w:rPr>
        <w:t>извјештај</w:t>
      </w:r>
      <w:r w:rsidR="00F075AF" w:rsidRPr="00295637">
        <w:rPr>
          <w:rFonts w:ascii="Times New Roman" w:hAnsi="Times New Roman"/>
          <w:szCs w:val="24"/>
        </w:rPr>
        <w:t xml:space="preserve"> </w:t>
      </w:r>
      <w:r>
        <w:rPr>
          <w:rFonts w:ascii="Times New Roman" w:hAnsi="Times New Roman"/>
          <w:szCs w:val="24"/>
        </w:rPr>
        <w:t>о</w:t>
      </w:r>
      <w:r w:rsidR="00F075AF" w:rsidRPr="00295637">
        <w:rPr>
          <w:rFonts w:ascii="Times New Roman" w:hAnsi="Times New Roman"/>
          <w:szCs w:val="24"/>
        </w:rPr>
        <w:t xml:space="preserve"> </w:t>
      </w:r>
      <w:r>
        <w:rPr>
          <w:rFonts w:ascii="Times New Roman" w:hAnsi="Times New Roman"/>
          <w:szCs w:val="24"/>
        </w:rPr>
        <w:t>стању</w:t>
      </w:r>
      <w:r w:rsidR="00F075AF" w:rsidRPr="00295637">
        <w:rPr>
          <w:rFonts w:ascii="Times New Roman" w:hAnsi="Times New Roman"/>
          <w:szCs w:val="24"/>
        </w:rPr>
        <w:t xml:space="preserve"> </w:t>
      </w:r>
      <w:r>
        <w:rPr>
          <w:rFonts w:ascii="Times New Roman" w:hAnsi="Times New Roman"/>
          <w:szCs w:val="24"/>
        </w:rPr>
        <w:t>равноправности</w:t>
      </w:r>
      <w:r w:rsidR="00F075AF" w:rsidRPr="00295637">
        <w:rPr>
          <w:rFonts w:ascii="Times New Roman" w:hAnsi="Times New Roman"/>
          <w:szCs w:val="24"/>
        </w:rPr>
        <w:t xml:space="preserve"> </w:t>
      </w:r>
      <w:r>
        <w:rPr>
          <w:rFonts w:ascii="Times New Roman" w:hAnsi="Times New Roman"/>
          <w:szCs w:val="24"/>
        </w:rPr>
        <w:t>полова</w:t>
      </w:r>
      <w:r w:rsidR="00F075AF" w:rsidRPr="00295637">
        <w:rPr>
          <w:rFonts w:ascii="Times New Roman" w:hAnsi="Times New Roman"/>
          <w:szCs w:val="24"/>
        </w:rPr>
        <w:t xml:space="preserve"> </w:t>
      </w:r>
      <w:r>
        <w:rPr>
          <w:rFonts w:ascii="Times New Roman" w:hAnsi="Times New Roman"/>
          <w:szCs w:val="24"/>
        </w:rPr>
        <w:t>у</w:t>
      </w:r>
      <w:r w:rsidR="00F075AF" w:rsidRPr="00295637">
        <w:rPr>
          <w:rFonts w:ascii="Times New Roman" w:hAnsi="Times New Roman"/>
          <w:szCs w:val="24"/>
        </w:rPr>
        <w:t xml:space="preserve"> </w:t>
      </w:r>
      <w:r>
        <w:rPr>
          <w:rFonts w:ascii="Times New Roman" w:hAnsi="Times New Roman"/>
          <w:szCs w:val="24"/>
        </w:rPr>
        <w:t>БиХ</w:t>
      </w:r>
      <w:r w:rsidR="00F075AF" w:rsidRPr="00295637">
        <w:rPr>
          <w:rFonts w:ascii="Times New Roman" w:hAnsi="Times New Roman"/>
          <w:szCs w:val="24"/>
        </w:rPr>
        <w:t xml:space="preserve">, </w:t>
      </w:r>
      <w:r>
        <w:rPr>
          <w:rFonts w:ascii="Times New Roman" w:hAnsi="Times New Roman"/>
          <w:szCs w:val="24"/>
        </w:rPr>
        <w:t>у</w:t>
      </w:r>
      <w:r w:rsidR="00A44E85">
        <w:rPr>
          <w:rFonts w:ascii="Times New Roman" w:hAnsi="Times New Roman"/>
          <w:szCs w:val="24"/>
        </w:rPr>
        <w:t xml:space="preserve"> </w:t>
      </w:r>
      <w:r>
        <w:rPr>
          <w:rFonts w:ascii="Times New Roman" w:hAnsi="Times New Roman"/>
          <w:szCs w:val="24"/>
        </w:rPr>
        <w:t>складу</w:t>
      </w:r>
      <w:r w:rsidR="00A44E85">
        <w:rPr>
          <w:rFonts w:ascii="Times New Roman" w:hAnsi="Times New Roman"/>
          <w:szCs w:val="24"/>
        </w:rPr>
        <w:t xml:space="preserve"> </w:t>
      </w:r>
      <w:r>
        <w:rPr>
          <w:rFonts w:ascii="Times New Roman" w:hAnsi="Times New Roman"/>
          <w:szCs w:val="24"/>
        </w:rPr>
        <w:t>са</w:t>
      </w:r>
      <w:r w:rsidR="00F075AF" w:rsidRPr="00295637">
        <w:rPr>
          <w:rFonts w:ascii="Times New Roman" w:hAnsi="Times New Roman"/>
          <w:szCs w:val="24"/>
        </w:rPr>
        <w:t xml:space="preserve"> </w:t>
      </w:r>
      <w:r>
        <w:rPr>
          <w:rFonts w:ascii="Times New Roman" w:hAnsi="Times New Roman"/>
          <w:szCs w:val="24"/>
        </w:rPr>
        <w:t>чланом</w:t>
      </w:r>
      <w:r w:rsidR="00F075AF" w:rsidRPr="00295637">
        <w:rPr>
          <w:rFonts w:ascii="Times New Roman" w:hAnsi="Times New Roman"/>
          <w:szCs w:val="24"/>
        </w:rPr>
        <w:t xml:space="preserve"> 24. </w:t>
      </w:r>
      <w:r>
        <w:rPr>
          <w:rFonts w:ascii="Times New Roman" w:hAnsi="Times New Roman"/>
          <w:szCs w:val="24"/>
        </w:rPr>
        <w:t>став</w:t>
      </w:r>
      <w:r w:rsidR="00F075AF" w:rsidRPr="00295637">
        <w:rPr>
          <w:rFonts w:ascii="Times New Roman" w:hAnsi="Times New Roman"/>
          <w:szCs w:val="24"/>
        </w:rPr>
        <w:t xml:space="preserve"> </w:t>
      </w:r>
      <w:r>
        <w:rPr>
          <w:rFonts w:ascii="Times New Roman" w:hAnsi="Times New Roman"/>
          <w:szCs w:val="24"/>
        </w:rPr>
        <w:t>б</w:t>
      </w:r>
      <w:r w:rsidR="00F075AF" w:rsidRPr="00295637">
        <w:rPr>
          <w:rFonts w:ascii="Times New Roman" w:hAnsi="Times New Roman"/>
          <w:szCs w:val="24"/>
        </w:rPr>
        <w:t xml:space="preserve">) </w:t>
      </w:r>
      <w:r>
        <w:rPr>
          <w:rFonts w:ascii="Times New Roman" w:hAnsi="Times New Roman"/>
          <w:szCs w:val="24"/>
        </w:rPr>
        <w:t>ЗоР</w:t>
      </w:r>
      <w:r w:rsidR="003927C3">
        <w:rPr>
          <w:rFonts w:ascii="Times New Roman" w:hAnsi="Times New Roman"/>
          <w:szCs w:val="24"/>
          <w:lang w:val="sr-Cyrl-BA"/>
        </w:rPr>
        <w:t>П</w:t>
      </w:r>
      <w:r w:rsidR="00C110AB">
        <w:rPr>
          <w:rFonts w:ascii="Times New Roman" w:hAnsi="Times New Roman"/>
          <w:szCs w:val="24"/>
        </w:rPr>
        <w:t xml:space="preserve"> </w:t>
      </w:r>
      <w:r>
        <w:rPr>
          <w:rFonts w:ascii="Times New Roman" w:hAnsi="Times New Roman"/>
          <w:szCs w:val="24"/>
        </w:rPr>
        <w:t>БиХ</w:t>
      </w:r>
      <w:r w:rsidR="00FE7C34" w:rsidRPr="00295637">
        <w:rPr>
          <w:rFonts w:ascii="Times New Roman" w:hAnsi="Times New Roman"/>
          <w:szCs w:val="24"/>
        </w:rPr>
        <w:t>.</w:t>
      </w:r>
    </w:p>
    <w:p w:rsidR="001F27A1" w:rsidRPr="00295637" w:rsidRDefault="001F27A1" w:rsidP="0086268D">
      <w:pPr>
        <w:jc w:val="both"/>
        <w:rPr>
          <w:rFonts w:ascii="Times New Roman" w:hAnsi="Times New Roman"/>
          <w:sz w:val="18"/>
          <w:szCs w:val="24"/>
          <w:lang w:val="bs-Latn-BA"/>
        </w:rPr>
      </w:pPr>
    </w:p>
    <w:p w:rsidR="00BA6E50" w:rsidRPr="00295637" w:rsidRDefault="00C6214E" w:rsidP="0086268D">
      <w:pPr>
        <w:jc w:val="both"/>
        <w:rPr>
          <w:rFonts w:ascii="Times New Roman" w:hAnsi="Times New Roman"/>
          <w:szCs w:val="24"/>
          <w:lang w:val="bs-Latn-BA"/>
        </w:rPr>
      </w:pPr>
      <w:r>
        <w:rPr>
          <w:rFonts w:ascii="Times New Roman" w:hAnsi="Times New Roman"/>
          <w:iCs/>
        </w:rPr>
        <w:t>Изрази</w:t>
      </w:r>
      <w:r w:rsidR="00BA6E50" w:rsidRPr="00295637">
        <w:rPr>
          <w:rFonts w:ascii="Times New Roman" w:hAnsi="Times New Roman"/>
          <w:iCs/>
        </w:rPr>
        <w:t xml:space="preserve"> </w:t>
      </w:r>
      <w:r>
        <w:rPr>
          <w:rFonts w:ascii="Times New Roman" w:hAnsi="Times New Roman"/>
          <w:iCs/>
        </w:rPr>
        <w:t>који</w:t>
      </w:r>
      <w:r w:rsidR="00BA6E50" w:rsidRPr="00295637">
        <w:rPr>
          <w:rFonts w:ascii="Times New Roman" w:hAnsi="Times New Roman"/>
          <w:iCs/>
        </w:rPr>
        <w:t xml:space="preserve"> </w:t>
      </w:r>
      <w:r>
        <w:rPr>
          <w:rFonts w:ascii="Times New Roman" w:hAnsi="Times New Roman"/>
          <w:iCs/>
        </w:rPr>
        <w:t>су</w:t>
      </w:r>
      <w:r w:rsidR="001A37CD">
        <w:rPr>
          <w:rFonts w:ascii="Times New Roman" w:hAnsi="Times New Roman"/>
          <w:iCs/>
        </w:rPr>
        <w:t xml:space="preserve"> </w:t>
      </w:r>
      <w:r>
        <w:rPr>
          <w:rFonts w:ascii="Times New Roman" w:hAnsi="Times New Roman"/>
          <w:iCs/>
        </w:rPr>
        <w:t>у</w:t>
      </w:r>
      <w:r w:rsidR="001A37CD">
        <w:rPr>
          <w:rFonts w:ascii="Times New Roman" w:hAnsi="Times New Roman"/>
          <w:iCs/>
        </w:rPr>
        <w:t xml:space="preserve"> </w:t>
      </w:r>
      <w:r>
        <w:rPr>
          <w:rFonts w:ascii="Times New Roman" w:hAnsi="Times New Roman"/>
          <w:iCs/>
        </w:rPr>
        <w:t>овом</w:t>
      </w:r>
      <w:r w:rsidR="001A37CD">
        <w:rPr>
          <w:rFonts w:ascii="Times New Roman" w:hAnsi="Times New Roman"/>
          <w:iCs/>
        </w:rPr>
        <w:t xml:space="preserve"> </w:t>
      </w:r>
      <w:r>
        <w:rPr>
          <w:rFonts w:ascii="Times New Roman" w:hAnsi="Times New Roman"/>
          <w:iCs/>
        </w:rPr>
        <w:t>извјештају</w:t>
      </w:r>
      <w:r w:rsidR="001A37CD">
        <w:rPr>
          <w:rFonts w:ascii="Times New Roman" w:hAnsi="Times New Roman"/>
          <w:iCs/>
        </w:rPr>
        <w:t xml:space="preserve"> </w:t>
      </w:r>
      <w:r>
        <w:rPr>
          <w:rFonts w:ascii="Times New Roman" w:hAnsi="Times New Roman"/>
          <w:iCs/>
        </w:rPr>
        <w:t>ради</w:t>
      </w:r>
      <w:r w:rsidR="00BA6E50" w:rsidRPr="00295637">
        <w:rPr>
          <w:rFonts w:ascii="Times New Roman" w:hAnsi="Times New Roman"/>
          <w:iCs/>
        </w:rPr>
        <w:t xml:space="preserve"> </w:t>
      </w:r>
      <w:r>
        <w:rPr>
          <w:rFonts w:ascii="Times New Roman" w:hAnsi="Times New Roman"/>
          <w:iCs/>
        </w:rPr>
        <w:t>прегледности</w:t>
      </w:r>
      <w:r w:rsidR="00BA6E50" w:rsidRPr="00295637">
        <w:rPr>
          <w:rFonts w:ascii="Times New Roman" w:hAnsi="Times New Roman"/>
          <w:iCs/>
        </w:rPr>
        <w:t xml:space="preserve"> </w:t>
      </w:r>
      <w:r>
        <w:rPr>
          <w:rFonts w:ascii="Times New Roman" w:hAnsi="Times New Roman"/>
          <w:iCs/>
        </w:rPr>
        <w:t>дати</w:t>
      </w:r>
      <w:r w:rsidR="00BA6E50" w:rsidRPr="00295637">
        <w:rPr>
          <w:rFonts w:ascii="Times New Roman" w:hAnsi="Times New Roman"/>
          <w:iCs/>
        </w:rPr>
        <w:t xml:space="preserve"> </w:t>
      </w:r>
      <w:r>
        <w:rPr>
          <w:rFonts w:ascii="Times New Roman" w:hAnsi="Times New Roman"/>
          <w:iCs/>
        </w:rPr>
        <w:t>у</w:t>
      </w:r>
      <w:r w:rsidR="00BA6E50" w:rsidRPr="00295637">
        <w:rPr>
          <w:rFonts w:ascii="Times New Roman" w:hAnsi="Times New Roman"/>
          <w:iCs/>
        </w:rPr>
        <w:t xml:space="preserve"> </w:t>
      </w:r>
      <w:r>
        <w:rPr>
          <w:rFonts w:ascii="Times New Roman" w:hAnsi="Times New Roman"/>
          <w:iCs/>
        </w:rPr>
        <w:t>једном</w:t>
      </w:r>
      <w:r w:rsidR="00BA6E50" w:rsidRPr="00295637">
        <w:rPr>
          <w:rFonts w:ascii="Times New Roman" w:hAnsi="Times New Roman"/>
          <w:iCs/>
        </w:rPr>
        <w:t xml:space="preserve"> </w:t>
      </w:r>
      <w:r>
        <w:rPr>
          <w:rFonts w:ascii="Times New Roman" w:hAnsi="Times New Roman"/>
          <w:iCs/>
        </w:rPr>
        <w:t>граматичком</w:t>
      </w:r>
      <w:r w:rsidR="00BA6E50" w:rsidRPr="00295637">
        <w:rPr>
          <w:rFonts w:ascii="Times New Roman" w:hAnsi="Times New Roman"/>
          <w:iCs/>
        </w:rPr>
        <w:t xml:space="preserve"> </w:t>
      </w:r>
      <w:r>
        <w:rPr>
          <w:rFonts w:ascii="Times New Roman" w:hAnsi="Times New Roman"/>
          <w:iCs/>
        </w:rPr>
        <w:t>роду</w:t>
      </w:r>
      <w:r w:rsidR="00BA6E50" w:rsidRPr="00295637">
        <w:rPr>
          <w:rFonts w:ascii="Times New Roman" w:hAnsi="Times New Roman"/>
          <w:iCs/>
        </w:rPr>
        <w:t xml:space="preserve"> </w:t>
      </w:r>
      <w:r>
        <w:rPr>
          <w:rFonts w:ascii="Times New Roman" w:hAnsi="Times New Roman"/>
          <w:iCs/>
        </w:rPr>
        <w:t>без</w:t>
      </w:r>
      <w:r w:rsidR="00BA6E50" w:rsidRPr="00295637">
        <w:rPr>
          <w:rFonts w:ascii="Times New Roman" w:hAnsi="Times New Roman"/>
          <w:iCs/>
        </w:rPr>
        <w:t xml:space="preserve"> </w:t>
      </w:r>
      <w:r>
        <w:rPr>
          <w:rFonts w:ascii="Times New Roman" w:hAnsi="Times New Roman"/>
          <w:iCs/>
        </w:rPr>
        <w:t>дискриминације</w:t>
      </w:r>
      <w:r w:rsidR="00BA6E50" w:rsidRPr="00295637">
        <w:rPr>
          <w:rFonts w:ascii="Times New Roman" w:hAnsi="Times New Roman"/>
          <w:iCs/>
        </w:rPr>
        <w:t xml:space="preserve"> </w:t>
      </w:r>
      <w:r>
        <w:rPr>
          <w:rFonts w:ascii="Times New Roman" w:hAnsi="Times New Roman"/>
          <w:iCs/>
        </w:rPr>
        <w:t>се</w:t>
      </w:r>
      <w:r w:rsidR="00BA6E50" w:rsidRPr="00295637">
        <w:rPr>
          <w:rFonts w:ascii="Times New Roman" w:hAnsi="Times New Roman"/>
          <w:iCs/>
        </w:rPr>
        <w:t xml:space="preserve"> </w:t>
      </w:r>
      <w:r>
        <w:rPr>
          <w:rFonts w:ascii="Times New Roman" w:hAnsi="Times New Roman"/>
          <w:iCs/>
        </w:rPr>
        <w:t>односе</w:t>
      </w:r>
      <w:r w:rsidR="00BA6E50" w:rsidRPr="00295637">
        <w:rPr>
          <w:rFonts w:ascii="Times New Roman" w:hAnsi="Times New Roman"/>
          <w:iCs/>
        </w:rPr>
        <w:t xml:space="preserve"> </w:t>
      </w:r>
      <w:r>
        <w:rPr>
          <w:rFonts w:ascii="Times New Roman" w:hAnsi="Times New Roman"/>
          <w:iCs/>
        </w:rPr>
        <w:t>и</w:t>
      </w:r>
      <w:r w:rsidR="00BA6E50" w:rsidRPr="00295637">
        <w:rPr>
          <w:rFonts w:ascii="Times New Roman" w:hAnsi="Times New Roman"/>
          <w:iCs/>
        </w:rPr>
        <w:t xml:space="preserve"> </w:t>
      </w:r>
      <w:r>
        <w:rPr>
          <w:rFonts w:ascii="Times New Roman" w:hAnsi="Times New Roman"/>
          <w:iCs/>
        </w:rPr>
        <w:t>на</w:t>
      </w:r>
      <w:r w:rsidR="00BA6E50" w:rsidRPr="00295637">
        <w:rPr>
          <w:rFonts w:ascii="Times New Roman" w:hAnsi="Times New Roman"/>
          <w:iCs/>
        </w:rPr>
        <w:t xml:space="preserve"> </w:t>
      </w:r>
      <w:r>
        <w:rPr>
          <w:rFonts w:ascii="Times New Roman" w:hAnsi="Times New Roman"/>
          <w:iCs/>
        </w:rPr>
        <w:t>мушкарце</w:t>
      </w:r>
      <w:r w:rsidR="00BA6E50" w:rsidRPr="00295637">
        <w:rPr>
          <w:rFonts w:ascii="Times New Roman" w:hAnsi="Times New Roman"/>
          <w:iCs/>
        </w:rPr>
        <w:t xml:space="preserve"> </w:t>
      </w:r>
      <w:r>
        <w:rPr>
          <w:rFonts w:ascii="Times New Roman" w:hAnsi="Times New Roman"/>
          <w:iCs/>
        </w:rPr>
        <w:t>и</w:t>
      </w:r>
      <w:r w:rsidR="00BA6E50" w:rsidRPr="00295637">
        <w:rPr>
          <w:rFonts w:ascii="Times New Roman" w:hAnsi="Times New Roman"/>
          <w:iCs/>
        </w:rPr>
        <w:t xml:space="preserve"> </w:t>
      </w:r>
      <w:r>
        <w:rPr>
          <w:rFonts w:ascii="Times New Roman" w:hAnsi="Times New Roman"/>
          <w:iCs/>
        </w:rPr>
        <w:t>на</w:t>
      </w:r>
      <w:r w:rsidR="00BA6E50" w:rsidRPr="00295637">
        <w:rPr>
          <w:rFonts w:ascii="Times New Roman" w:hAnsi="Times New Roman"/>
          <w:iCs/>
        </w:rPr>
        <w:t xml:space="preserve"> </w:t>
      </w:r>
      <w:r>
        <w:rPr>
          <w:rFonts w:ascii="Times New Roman" w:hAnsi="Times New Roman"/>
          <w:iCs/>
        </w:rPr>
        <w:t>жене</w:t>
      </w:r>
      <w:r w:rsidR="00BA6E50" w:rsidRPr="00295637">
        <w:rPr>
          <w:rFonts w:ascii="Times New Roman" w:hAnsi="Times New Roman"/>
          <w:iCs/>
        </w:rPr>
        <w:t>.</w:t>
      </w:r>
    </w:p>
    <w:p w:rsidR="00BA6E50" w:rsidRPr="00295637" w:rsidRDefault="00BA6E50" w:rsidP="0086268D">
      <w:pPr>
        <w:jc w:val="both"/>
        <w:rPr>
          <w:rFonts w:ascii="Times New Roman" w:hAnsi="Times New Roman"/>
          <w:szCs w:val="24"/>
          <w:lang w:val="bs-Latn-BA"/>
        </w:rPr>
      </w:pPr>
    </w:p>
    <w:p w:rsidR="00CB5A4F" w:rsidRPr="00295637" w:rsidRDefault="003927C3" w:rsidP="0086268D">
      <w:pPr>
        <w:jc w:val="both"/>
        <w:rPr>
          <w:rFonts w:ascii="Times New Roman" w:hAnsi="Times New Roman"/>
          <w:szCs w:val="24"/>
          <w:lang w:val="bs-Latn-BA"/>
        </w:rPr>
      </w:pPr>
      <w:r>
        <w:rPr>
          <w:rFonts w:ascii="Times New Roman" w:hAnsi="Times New Roman"/>
          <w:szCs w:val="24"/>
          <w:lang w:val="sr-Cyrl-BA"/>
        </w:rPr>
        <w:t>Спровођењем</w:t>
      </w:r>
      <w:r w:rsidR="00D41A15" w:rsidRPr="00295637">
        <w:rPr>
          <w:rFonts w:ascii="Times New Roman" w:hAnsi="Times New Roman"/>
          <w:szCs w:val="24"/>
          <w:lang w:val="bs-Latn-BA"/>
        </w:rPr>
        <w:t xml:space="preserve"> </w:t>
      </w:r>
      <w:r w:rsidR="00C6214E">
        <w:rPr>
          <w:rFonts w:ascii="Times New Roman" w:hAnsi="Times New Roman"/>
          <w:szCs w:val="24"/>
          <w:lang w:val="bs-Latn-BA"/>
        </w:rPr>
        <w:t>ГАП</w:t>
      </w:r>
      <w:r w:rsidR="00EE114E" w:rsidRPr="00295637">
        <w:rPr>
          <w:rFonts w:ascii="Times New Roman" w:hAnsi="Times New Roman"/>
          <w:szCs w:val="24"/>
          <w:lang w:val="bs-Latn-BA"/>
        </w:rPr>
        <w:t>-</w:t>
      </w:r>
      <w:r w:rsidR="00C6214E">
        <w:rPr>
          <w:rFonts w:ascii="Times New Roman" w:hAnsi="Times New Roman"/>
          <w:szCs w:val="24"/>
          <w:lang w:val="bs-Latn-BA"/>
        </w:rPr>
        <w:t>а</w:t>
      </w:r>
      <w:r w:rsidR="00EE114E" w:rsidRPr="00295637">
        <w:rPr>
          <w:rFonts w:ascii="Times New Roman" w:hAnsi="Times New Roman"/>
          <w:szCs w:val="24"/>
          <w:lang w:val="bs-Latn-BA"/>
        </w:rPr>
        <w:t xml:space="preserve"> </w:t>
      </w:r>
      <w:r w:rsidR="00C6214E">
        <w:rPr>
          <w:rFonts w:ascii="Times New Roman" w:hAnsi="Times New Roman"/>
          <w:szCs w:val="24"/>
          <w:lang w:val="bs-Latn-BA"/>
        </w:rPr>
        <w:t>БиХ</w:t>
      </w:r>
      <w:r w:rsidR="00D41A15" w:rsidRPr="00295637">
        <w:rPr>
          <w:rFonts w:ascii="Times New Roman" w:hAnsi="Times New Roman"/>
          <w:szCs w:val="24"/>
          <w:lang w:val="bs-Latn-BA"/>
        </w:rPr>
        <w:t xml:space="preserve"> </w:t>
      </w:r>
      <w:r w:rsidR="00C6214E">
        <w:rPr>
          <w:rFonts w:ascii="Times New Roman" w:hAnsi="Times New Roman"/>
          <w:szCs w:val="24"/>
          <w:lang w:val="bs-Latn-BA"/>
        </w:rPr>
        <w:t>исказује</w:t>
      </w:r>
      <w:r w:rsidR="00D41A15" w:rsidRPr="00295637">
        <w:rPr>
          <w:rFonts w:ascii="Times New Roman" w:hAnsi="Times New Roman"/>
          <w:szCs w:val="24"/>
          <w:lang w:val="bs-Latn-BA"/>
        </w:rPr>
        <w:t xml:space="preserve"> </w:t>
      </w:r>
      <w:r w:rsidR="00C6214E">
        <w:rPr>
          <w:rFonts w:ascii="Times New Roman" w:hAnsi="Times New Roman"/>
          <w:szCs w:val="24"/>
          <w:lang w:val="bs-Latn-BA"/>
        </w:rPr>
        <w:t>се</w:t>
      </w:r>
      <w:r w:rsidR="00C110AB" w:rsidRPr="00295637">
        <w:rPr>
          <w:rFonts w:ascii="Times New Roman" w:hAnsi="Times New Roman"/>
          <w:szCs w:val="24"/>
          <w:lang w:val="bs-Latn-BA"/>
        </w:rPr>
        <w:t xml:space="preserve"> </w:t>
      </w:r>
      <w:r w:rsidR="00C6214E">
        <w:rPr>
          <w:rFonts w:ascii="Times New Roman" w:hAnsi="Times New Roman"/>
          <w:szCs w:val="24"/>
          <w:lang w:val="bs-Latn-BA"/>
        </w:rPr>
        <w:t>опредјељење</w:t>
      </w:r>
      <w:r w:rsidR="00C110AB">
        <w:rPr>
          <w:rFonts w:ascii="Times New Roman" w:hAnsi="Times New Roman"/>
          <w:szCs w:val="24"/>
          <w:lang w:val="bs-Latn-BA"/>
        </w:rPr>
        <w:t xml:space="preserve"> </w:t>
      </w:r>
      <w:r w:rsidR="00C6214E">
        <w:rPr>
          <w:rFonts w:ascii="Times New Roman" w:hAnsi="Times New Roman"/>
          <w:szCs w:val="24"/>
          <w:lang w:val="bs-Latn-BA"/>
        </w:rPr>
        <w:t>за</w:t>
      </w:r>
      <w:r w:rsidR="00C110AB">
        <w:rPr>
          <w:rFonts w:ascii="Times New Roman" w:hAnsi="Times New Roman"/>
          <w:szCs w:val="24"/>
          <w:lang w:val="bs-Latn-BA"/>
        </w:rPr>
        <w:t xml:space="preserve"> </w:t>
      </w:r>
      <w:r w:rsidR="00C6214E">
        <w:rPr>
          <w:rFonts w:ascii="Times New Roman" w:hAnsi="Times New Roman"/>
          <w:szCs w:val="24"/>
          <w:lang w:val="bs-Latn-BA"/>
        </w:rPr>
        <w:t>унапређењем</w:t>
      </w:r>
      <w:r w:rsidR="00D41A15"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D41A15"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2F7384" w:rsidRPr="00295637">
        <w:rPr>
          <w:rFonts w:ascii="Times New Roman" w:hAnsi="Times New Roman"/>
          <w:szCs w:val="24"/>
          <w:lang w:val="bs-Latn-BA"/>
        </w:rPr>
        <w:t xml:space="preserve"> </w:t>
      </w:r>
      <w:r w:rsidR="00C6214E">
        <w:rPr>
          <w:rFonts w:ascii="Times New Roman" w:hAnsi="Times New Roman"/>
          <w:szCs w:val="24"/>
          <w:lang w:val="bs-Latn-BA"/>
        </w:rPr>
        <w:t>у</w:t>
      </w:r>
      <w:r w:rsidR="00D41A15" w:rsidRPr="00295637">
        <w:rPr>
          <w:rFonts w:ascii="Times New Roman" w:hAnsi="Times New Roman"/>
          <w:szCs w:val="24"/>
          <w:lang w:val="bs-Latn-BA"/>
        </w:rPr>
        <w:t xml:space="preserve"> </w:t>
      </w:r>
      <w:r w:rsidR="00C6214E">
        <w:rPr>
          <w:rFonts w:ascii="Times New Roman" w:hAnsi="Times New Roman"/>
          <w:szCs w:val="24"/>
          <w:lang w:val="bs-Latn-BA"/>
        </w:rPr>
        <w:t>свим</w:t>
      </w:r>
      <w:r w:rsidR="00D41A15" w:rsidRPr="00295637">
        <w:rPr>
          <w:rFonts w:ascii="Times New Roman" w:hAnsi="Times New Roman"/>
          <w:szCs w:val="24"/>
          <w:lang w:val="bs-Latn-BA"/>
        </w:rPr>
        <w:t xml:space="preserve"> </w:t>
      </w:r>
      <w:r w:rsidR="00C6214E">
        <w:rPr>
          <w:rFonts w:ascii="Times New Roman" w:hAnsi="Times New Roman"/>
          <w:szCs w:val="24"/>
          <w:lang w:val="bs-Latn-BA"/>
        </w:rPr>
        <w:t>областима</w:t>
      </w:r>
      <w:r w:rsidR="00D41A15" w:rsidRPr="00295637">
        <w:rPr>
          <w:rFonts w:ascii="Times New Roman" w:hAnsi="Times New Roman"/>
          <w:szCs w:val="24"/>
          <w:lang w:val="bs-Latn-BA"/>
        </w:rPr>
        <w:t xml:space="preserve"> </w:t>
      </w:r>
      <w:r w:rsidR="00C6214E">
        <w:rPr>
          <w:rFonts w:ascii="Times New Roman" w:hAnsi="Times New Roman"/>
          <w:szCs w:val="24"/>
          <w:lang w:val="bs-Latn-BA"/>
        </w:rPr>
        <w:t>живота</w:t>
      </w:r>
      <w:r w:rsidR="00D41A15" w:rsidRPr="00295637">
        <w:rPr>
          <w:rFonts w:ascii="Times New Roman" w:hAnsi="Times New Roman"/>
          <w:szCs w:val="24"/>
          <w:lang w:val="bs-Latn-BA"/>
        </w:rPr>
        <w:t xml:space="preserve"> </w:t>
      </w:r>
      <w:r w:rsidR="00C6214E">
        <w:rPr>
          <w:rFonts w:ascii="Times New Roman" w:hAnsi="Times New Roman"/>
          <w:szCs w:val="24"/>
          <w:lang w:val="bs-Latn-BA"/>
        </w:rPr>
        <w:t>и</w:t>
      </w:r>
      <w:r w:rsidR="00D41A15" w:rsidRPr="00295637">
        <w:rPr>
          <w:rFonts w:ascii="Times New Roman" w:hAnsi="Times New Roman"/>
          <w:szCs w:val="24"/>
          <w:lang w:val="bs-Latn-BA"/>
        </w:rPr>
        <w:t xml:space="preserve"> </w:t>
      </w:r>
      <w:r w:rsidR="00C6214E">
        <w:rPr>
          <w:rFonts w:ascii="Times New Roman" w:hAnsi="Times New Roman"/>
          <w:szCs w:val="24"/>
          <w:lang w:val="bs-Latn-BA"/>
        </w:rPr>
        <w:t>друштва</w:t>
      </w:r>
      <w:r w:rsidR="002D7005" w:rsidRPr="00295637">
        <w:rPr>
          <w:rFonts w:ascii="Times New Roman" w:hAnsi="Times New Roman"/>
          <w:szCs w:val="24"/>
          <w:lang w:val="bs-Latn-BA"/>
        </w:rPr>
        <w:t xml:space="preserve"> </w:t>
      </w:r>
      <w:r w:rsidR="00C6214E">
        <w:rPr>
          <w:rFonts w:ascii="Times New Roman" w:hAnsi="Times New Roman"/>
          <w:szCs w:val="24"/>
          <w:lang w:val="bs-Latn-BA"/>
        </w:rPr>
        <w:t>у</w:t>
      </w:r>
      <w:r w:rsidR="002D7005" w:rsidRPr="00295637">
        <w:rPr>
          <w:rFonts w:ascii="Times New Roman" w:hAnsi="Times New Roman"/>
          <w:szCs w:val="24"/>
          <w:lang w:val="bs-Latn-BA"/>
        </w:rPr>
        <w:t xml:space="preserve"> </w:t>
      </w:r>
      <w:r w:rsidR="00C6214E">
        <w:rPr>
          <w:rFonts w:ascii="Times New Roman" w:hAnsi="Times New Roman"/>
          <w:szCs w:val="24"/>
          <w:lang w:val="bs-Latn-BA"/>
        </w:rPr>
        <w:t>Босни</w:t>
      </w:r>
      <w:r w:rsidR="002D7005" w:rsidRPr="00295637">
        <w:rPr>
          <w:rFonts w:ascii="Times New Roman" w:hAnsi="Times New Roman"/>
          <w:szCs w:val="24"/>
          <w:lang w:val="bs-Latn-BA"/>
        </w:rPr>
        <w:t xml:space="preserve"> </w:t>
      </w:r>
      <w:r w:rsidR="00C6214E">
        <w:rPr>
          <w:rFonts w:ascii="Times New Roman" w:hAnsi="Times New Roman"/>
          <w:szCs w:val="24"/>
          <w:lang w:val="bs-Latn-BA"/>
        </w:rPr>
        <w:t>и</w:t>
      </w:r>
      <w:r w:rsidR="002D7005" w:rsidRPr="00295637">
        <w:rPr>
          <w:rFonts w:ascii="Times New Roman" w:hAnsi="Times New Roman"/>
          <w:szCs w:val="24"/>
          <w:lang w:val="bs-Latn-BA"/>
        </w:rPr>
        <w:t xml:space="preserve"> </w:t>
      </w:r>
      <w:r w:rsidR="00C6214E">
        <w:rPr>
          <w:rFonts w:ascii="Times New Roman" w:hAnsi="Times New Roman"/>
          <w:szCs w:val="24"/>
          <w:lang w:val="bs-Latn-BA"/>
        </w:rPr>
        <w:t>Херцеговини</w:t>
      </w:r>
      <w:r w:rsidR="00D41A15" w:rsidRPr="00295637">
        <w:rPr>
          <w:rFonts w:ascii="Times New Roman" w:hAnsi="Times New Roman"/>
          <w:szCs w:val="24"/>
          <w:lang w:val="bs-Latn-BA"/>
        </w:rPr>
        <w:t xml:space="preserve">, </w:t>
      </w:r>
      <w:r>
        <w:rPr>
          <w:rFonts w:ascii="Times New Roman" w:hAnsi="Times New Roman"/>
          <w:szCs w:val="24"/>
          <w:lang w:val="sr-Cyrl-BA"/>
        </w:rPr>
        <w:t>с</w:t>
      </w:r>
      <w:r w:rsidR="00D41A15" w:rsidRPr="00295637">
        <w:rPr>
          <w:rFonts w:ascii="Times New Roman" w:hAnsi="Times New Roman"/>
          <w:szCs w:val="24"/>
          <w:lang w:val="bs-Latn-BA"/>
        </w:rPr>
        <w:t xml:space="preserve"> </w:t>
      </w:r>
      <w:r w:rsidR="00C6214E">
        <w:rPr>
          <w:rFonts w:ascii="Times New Roman" w:hAnsi="Times New Roman"/>
          <w:szCs w:val="24"/>
          <w:lang w:val="bs-Latn-BA"/>
        </w:rPr>
        <w:t>циљ</w:t>
      </w:r>
      <w:r>
        <w:rPr>
          <w:rFonts w:ascii="Times New Roman" w:hAnsi="Times New Roman"/>
          <w:szCs w:val="24"/>
          <w:lang w:val="sr-Cyrl-BA"/>
        </w:rPr>
        <w:t>ем</w:t>
      </w:r>
      <w:r w:rsidR="00D41A15" w:rsidRPr="00295637">
        <w:rPr>
          <w:rFonts w:ascii="Times New Roman" w:hAnsi="Times New Roman"/>
          <w:szCs w:val="24"/>
          <w:lang w:val="bs-Latn-BA"/>
        </w:rPr>
        <w:t xml:space="preserve"> </w:t>
      </w:r>
      <w:r w:rsidR="00C6214E">
        <w:rPr>
          <w:rFonts w:ascii="Times New Roman" w:hAnsi="Times New Roman"/>
          <w:szCs w:val="24"/>
          <w:lang w:val="bs-Latn-BA"/>
        </w:rPr>
        <w:t>испуњавања</w:t>
      </w:r>
      <w:r w:rsidR="00D41A15" w:rsidRPr="00295637">
        <w:rPr>
          <w:rFonts w:ascii="Times New Roman" w:hAnsi="Times New Roman"/>
          <w:szCs w:val="24"/>
          <w:lang w:val="bs-Latn-BA"/>
        </w:rPr>
        <w:t xml:space="preserve"> </w:t>
      </w:r>
      <w:r w:rsidR="00C6214E">
        <w:rPr>
          <w:rFonts w:ascii="Times New Roman" w:hAnsi="Times New Roman"/>
          <w:szCs w:val="24"/>
          <w:lang w:val="bs-Latn-BA"/>
        </w:rPr>
        <w:t>критериј</w:t>
      </w:r>
      <w:r>
        <w:rPr>
          <w:rFonts w:ascii="Times New Roman" w:hAnsi="Times New Roman"/>
          <w:szCs w:val="24"/>
          <w:lang w:val="sr-Cyrl-BA"/>
        </w:rPr>
        <w:t>ума</w:t>
      </w:r>
      <w:r w:rsidR="00D41A15" w:rsidRPr="00295637">
        <w:rPr>
          <w:rFonts w:ascii="Times New Roman" w:hAnsi="Times New Roman"/>
          <w:szCs w:val="24"/>
          <w:lang w:val="bs-Latn-BA"/>
        </w:rPr>
        <w:t xml:space="preserve"> </w:t>
      </w:r>
      <w:r w:rsidR="00C6214E">
        <w:rPr>
          <w:rFonts w:ascii="Times New Roman" w:hAnsi="Times New Roman"/>
          <w:szCs w:val="24"/>
          <w:lang w:val="bs-Latn-BA"/>
        </w:rPr>
        <w:t>за</w:t>
      </w:r>
      <w:r w:rsidR="00D41A15" w:rsidRPr="00295637">
        <w:rPr>
          <w:rFonts w:ascii="Times New Roman" w:hAnsi="Times New Roman"/>
          <w:szCs w:val="24"/>
          <w:lang w:val="bs-Latn-BA"/>
        </w:rPr>
        <w:t xml:space="preserve"> </w:t>
      </w:r>
      <w:r w:rsidR="00C6214E">
        <w:rPr>
          <w:rFonts w:ascii="Times New Roman" w:hAnsi="Times New Roman"/>
          <w:szCs w:val="24"/>
          <w:lang w:val="bs-Latn-BA"/>
        </w:rPr>
        <w:t>приступање</w:t>
      </w:r>
      <w:r w:rsidR="00D41A15" w:rsidRPr="00295637">
        <w:rPr>
          <w:rFonts w:ascii="Times New Roman" w:hAnsi="Times New Roman"/>
          <w:szCs w:val="24"/>
          <w:lang w:val="bs-Latn-BA"/>
        </w:rPr>
        <w:t xml:space="preserve"> </w:t>
      </w:r>
      <w:r w:rsidR="00C6214E">
        <w:rPr>
          <w:rFonts w:ascii="Times New Roman" w:hAnsi="Times New Roman"/>
          <w:szCs w:val="24"/>
          <w:lang w:val="bs-Latn-BA"/>
        </w:rPr>
        <w:t>ЕУ</w:t>
      </w:r>
      <w:r w:rsidR="00CB5A4F" w:rsidRPr="00295637">
        <w:rPr>
          <w:rFonts w:ascii="Times New Roman" w:hAnsi="Times New Roman"/>
          <w:szCs w:val="24"/>
          <w:lang w:val="bs-Latn-BA"/>
        </w:rPr>
        <w:t xml:space="preserve">, </w:t>
      </w:r>
      <w:r w:rsidR="00C6214E">
        <w:rPr>
          <w:rFonts w:ascii="Times New Roman" w:hAnsi="Times New Roman"/>
          <w:szCs w:val="24"/>
          <w:lang w:val="bs-Latn-BA"/>
        </w:rPr>
        <w:t>у</w:t>
      </w:r>
      <w:r w:rsidR="001D12B6">
        <w:rPr>
          <w:rFonts w:ascii="Times New Roman" w:hAnsi="Times New Roman"/>
          <w:szCs w:val="24"/>
          <w:lang w:val="bs-Latn-BA"/>
        </w:rPr>
        <w:t xml:space="preserve"> </w:t>
      </w:r>
      <w:r w:rsidR="00C6214E">
        <w:rPr>
          <w:rFonts w:ascii="Times New Roman" w:hAnsi="Times New Roman"/>
          <w:szCs w:val="24"/>
          <w:lang w:val="bs-Latn-BA"/>
        </w:rPr>
        <w:t>вези</w:t>
      </w:r>
      <w:r w:rsidR="001D12B6">
        <w:rPr>
          <w:rFonts w:ascii="Times New Roman" w:hAnsi="Times New Roman"/>
          <w:szCs w:val="24"/>
          <w:lang w:val="bs-Latn-BA"/>
        </w:rPr>
        <w:t xml:space="preserve"> </w:t>
      </w:r>
      <w:r w:rsidR="00C6214E">
        <w:rPr>
          <w:rFonts w:ascii="Times New Roman" w:hAnsi="Times New Roman"/>
          <w:szCs w:val="24"/>
          <w:lang w:val="bs-Latn-BA"/>
        </w:rPr>
        <w:t>са</w:t>
      </w:r>
      <w:r w:rsidR="00D41A15" w:rsidRPr="00295637">
        <w:rPr>
          <w:rFonts w:ascii="Times New Roman" w:hAnsi="Times New Roman"/>
          <w:szCs w:val="24"/>
          <w:lang w:val="bs-Latn-BA"/>
        </w:rPr>
        <w:t xml:space="preserve"> </w:t>
      </w:r>
      <w:r w:rsidR="00C6214E">
        <w:rPr>
          <w:rFonts w:ascii="Times New Roman" w:hAnsi="Times New Roman"/>
          <w:szCs w:val="24"/>
          <w:lang w:val="bs-Latn-BA"/>
        </w:rPr>
        <w:t>заштитом</w:t>
      </w:r>
      <w:r w:rsidR="00D41A15" w:rsidRPr="00295637">
        <w:rPr>
          <w:rFonts w:ascii="Times New Roman" w:hAnsi="Times New Roman"/>
          <w:szCs w:val="24"/>
          <w:lang w:val="bs-Latn-BA"/>
        </w:rPr>
        <w:t xml:space="preserve"> </w:t>
      </w:r>
      <w:r w:rsidR="00C6214E">
        <w:rPr>
          <w:rFonts w:ascii="Times New Roman" w:hAnsi="Times New Roman"/>
          <w:szCs w:val="24"/>
          <w:lang w:val="bs-Latn-BA"/>
        </w:rPr>
        <w:t>основних</w:t>
      </w:r>
      <w:r w:rsidR="00D41A15" w:rsidRPr="00295637">
        <w:rPr>
          <w:rFonts w:ascii="Times New Roman" w:hAnsi="Times New Roman"/>
          <w:szCs w:val="24"/>
          <w:lang w:val="bs-Latn-BA"/>
        </w:rPr>
        <w:t xml:space="preserve"> </w:t>
      </w:r>
      <w:r w:rsidR="00C6214E">
        <w:rPr>
          <w:rFonts w:ascii="Times New Roman" w:hAnsi="Times New Roman"/>
          <w:szCs w:val="24"/>
          <w:lang w:val="bs-Latn-BA"/>
        </w:rPr>
        <w:t>људских</w:t>
      </w:r>
      <w:r w:rsidR="00D41A15" w:rsidRPr="00295637">
        <w:rPr>
          <w:rFonts w:ascii="Times New Roman" w:hAnsi="Times New Roman"/>
          <w:szCs w:val="24"/>
          <w:lang w:val="bs-Latn-BA"/>
        </w:rPr>
        <w:t xml:space="preserve"> </w:t>
      </w:r>
      <w:r w:rsidR="00C6214E">
        <w:rPr>
          <w:rFonts w:ascii="Times New Roman" w:hAnsi="Times New Roman"/>
          <w:szCs w:val="24"/>
          <w:lang w:val="bs-Latn-BA"/>
        </w:rPr>
        <w:t>права</w:t>
      </w:r>
      <w:r w:rsidR="00D41A15" w:rsidRPr="00295637">
        <w:rPr>
          <w:rFonts w:ascii="Times New Roman" w:hAnsi="Times New Roman"/>
          <w:szCs w:val="24"/>
          <w:lang w:val="bs-Latn-BA"/>
        </w:rPr>
        <w:t xml:space="preserve">, </w:t>
      </w:r>
      <w:r w:rsidR="00C6214E">
        <w:rPr>
          <w:rFonts w:ascii="Times New Roman" w:hAnsi="Times New Roman"/>
          <w:szCs w:val="24"/>
          <w:lang w:val="bs-Latn-BA"/>
        </w:rPr>
        <w:t>правних</w:t>
      </w:r>
      <w:r w:rsidR="00D41A15" w:rsidRPr="00295637">
        <w:rPr>
          <w:rFonts w:ascii="Times New Roman" w:hAnsi="Times New Roman"/>
          <w:szCs w:val="24"/>
          <w:lang w:val="bs-Latn-BA"/>
        </w:rPr>
        <w:t xml:space="preserve"> </w:t>
      </w:r>
      <w:r w:rsidR="00C6214E">
        <w:rPr>
          <w:rFonts w:ascii="Times New Roman" w:hAnsi="Times New Roman"/>
          <w:szCs w:val="24"/>
          <w:lang w:val="bs-Latn-BA"/>
        </w:rPr>
        <w:t>тековина</w:t>
      </w:r>
      <w:r w:rsidR="00D41A15" w:rsidRPr="00295637">
        <w:rPr>
          <w:rFonts w:ascii="Times New Roman" w:hAnsi="Times New Roman"/>
          <w:szCs w:val="24"/>
          <w:lang w:val="bs-Latn-BA"/>
        </w:rPr>
        <w:t xml:space="preserve"> </w:t>
      </w:r>
      <w:r w:rsidR="00C6214E">
        <w:rPr>
          <w:rFonts w:ascii="Times New Roman" w:hAnsi="Times New Roman"/>
          <w:szCs w:val="24"/>
          <w:lang w:val="bs-Latn-BA"/>
        </w:rPr>
        <w:t>ЕУ</w:t>
      </w:r>
      <w:r w:rsidR="00D41A15" w:rsidRPr="00295637">
        <w:rPr>
          <w:rFonts w:ascii="Times New Roman" w:hAnsi="Times New Roman"/>
          <w:szCs w:val="24"/>
          <w:lang w:val="bs-Latn-BA"/>
        </w:rPr>
        <w:t xml:space="preserve"> </w:t>
      </w:r>
      <w:r w:rsidR="00C6214E">
        <w:rPr>
          <w:rFonts w:ascii="Times New Roman" w:hAnsi="Times New Roman"/>
          <w:szCs w:val="24"/>
          <w:lang w:val="bs-Latn-BA"/>
        </w:rPr>
        <w:t>и</w:t>
      </w:r>
      <w:r w:rsidR="00D41A15"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D41A15"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D41A15" w:rsidRPr="00295637">
        <w:rPr>
          <w:rFonts w:ascii="Times New Roman" w:hAnsi="Times New Roman"/>
          <w:szCs w:val="24"/>
          <w:lang w:val="bs-Latn-BA"/>
        </w:rPr>
        <w:t xml:space="preserve">. </w:t>
      </w:r>
      <w:r w:rsidR="00C6214E">
        <w:rPr>
          <w:rFonts w:ascii="Times New Roman" w:hAnsi="Times New Roman"/>
          <w:szCs w:val="24"/>
          <w:lang w:val="bs-Latn-BA"/>
        </w:rPr>
        <w:t>Ова</w:t>
      </w:r>
      <w:r w:rsidR="00D41A15" w:rsidRPr="00295637">
        <w:rPr>
          <w:rFonts w:ascii="Times New Roman" w:hAnsi="Times New Roman"/>
          <w:szCs w:val="24"/>
          <w:lang w:val="bs-Latn-BA"/>
        </w:rPr>
        <w:t xml:space="preserve"> </w:t>
      </w:r>
      <w:r w:rsidR="00C6214E">
        <w:rPr>
          <w:rFonts w:ascii="Times New Roman" w:hAnsi="Times New Roman"/>
          <w:szCs w:val="24"/>
          <w:lang w:val="bs-Latn-BA"/>
        </w:rPr>
        <w:t>посвећеност</w:t>
      </w:r>
      <w:r w:rsidR="00D41A15" w:rsidRPr="00295637">
        <w:rPr>
          <w:rFonts w:ascii="Times New Roman" w:hAnsi="Times New Roman"/>
          <w:szCs w:val="24"/>
          <w:lang w:val="bs-Latn-BA"/>
        </w:rPr>
        <w:t xml:space="preserve"> </w:t>
      </w:r>
      <w:r w:rsidR="00C6214E">
        <w:rPr>
          <w:rFonts w:ascii="Times New Roman" w:hAnsi="Times New Roman"/>
          <w:szCs w:val="24"/>
          <w:lang w:val="bs-Latn-BA"/>
        </w:rPr>
        <w:t>се</w:t>
      </w:r>
      <w:r w:rsidR="00D41A15" w:rsidRPr="00295637">
        <w:rPr>
          <w:rFonts w:ascii="Times New Roman" w:hAnsi="Times New Roman"/>
          <w:szCs w:val="24"/>
          <w:lang w:val="bs-Latn-BA"/>
        </w:rPr>
        <w:t xml:space="preserve"> </w:t>
      </w:r>
      <w:r w:rsidR="00C6214E">
        <w:rPr>
          <w:rFonts w:ascii="Times New Roman" w:hAnsi="Times New Roman"/>
          <w:szCs w:val="24"/>
          <w:lang w:val="bs-Latn-BA"/>
        </w:rPr>
        <w:t>огледа</w:t>
      </w:r>
      <w:r w:rsidR="00D41A15" w:rsidRPr="00295637">
        <w:rPr>
          <w:rFonts w:ascii="Times New Roman" w:hAnsi="Times New Roman"/>
          <w:szCs w:val="24"/>
          <w:lang w:val="bs-Latn-BA"/>
        </w:rPr>
        <w:t xml:space="preserve"> </w:t>
      </w:r>
      <w:r w:rsidR="00C6214E">
        <w:rPr>
          <w:rFonts w:ascii="Times New Roman" w:hAnsi="Times New Roman"/>
          <w:szCs w:val="24"/>
          <w:lang w:val="bs-Latn-BA"/>
        </w:rPr>
        <w:t>у</w:t>
      </w:r>
      <w:r w:rsidR="00D41A15" w:rsidRPr="00295637">
        <w:rPr>
          <w:rFonts w:ascii="Times New Roman" w:hAnsi="Times New Roman"/>
          <w:szCs w:val="24"/>
          <w:lang w:val="bs-Latn-BA"/>
        </w:rPr>
        <w:t xml:space="preserve"> </w:t>
      </w:r>
      <w:r w:rsidR="00C6214E">
        <w:rPr>
          <w:rFonts w:ascii="Times New Roman" w:hAnsi="Times New Roman"/>
          <w:szCs w:val="24"/>
          <w:lang w:val="bs-Latn-BA"/>
        </w:rPr>
        <w:t>конкретним</w:t>
      </w:r>
      <w:r w:rsidR="00D41A15" w:rsidRPr="00295637">
        <w:rPr>
          <w:rFonts w:ascii="Times New Roman" w:hAnsi="Times New Roman"/>
          <w:szCs w:val="24"/>
          <w:lang w:val="bs-Latn-BA"/>
        </w:rPr>
        <w:t xml:space="preserve"> </w:t>
      </w:r>
      <w:r w:rsidR="00C6214E">
        <w:rPr>
          <w:rFonts w:ascii="Times New Roman" w:hAnsi="Times New Roman"/>
          <w:szCs w:val="24"/>
          <w:lang w:val="bs-Latn-BA"/>
        </w:rPr>
        <w:t>мјерама</w:t>
      </w:r>
      <w:r w:rsidR="00D41A15" w:rsidRPr="00295637">
        <w:rPr>
          <w:rFonts w:ascii="Times New Roman" w:hAnsi="Times New Roman"/>
          <w:szCs w:val="24"/>
          <w:lang w:val="bs-Latn-BA"/>
        </w:rPr>
        <w:t xml:space="preserve"> </w:t>
      </w:r>
      <w:r w:rsidR="00C6214E">
        <w:rPr>
          <w:rFonts w:ascii="Times New Roman" w:hAnsi="Times New Roman"/>
          <w:szCs w:val="24"/>
          <w:lang w:val="bs-Latn-BA"/>
        </w:rPr>
        <w:t>које</w:t>
      </w:r>
      <w:r w:rsidR="00D41A15" w:rsidRPr="00295637">
        <w:rPr>
          <w:rFonts w:ascii="Times New Roman" w:hAnsi="Times New Roman"/>
          <w:szCs w:val="24"/>
          <w:lang w:val="bs-Latn-BA"/>
        </w:rPr>
        <w:t xml:space="preserve"> </w:t>
      </w:r>
      <w:r w:rsidR="00C6214E">
        <w:rPr>
          <w:rFonts w:ascii="Times New Roman" w:hAnsi="Times New Roman"/>
          <w:szCs w:val="24"/>
          <w:lang w:val="bs-Latn-BA"/>
        </w:rPr>
        <w:t>јачају</w:t>
      </w:r>
      <w:r w:rsidR="00D41A15" w:rsidRPr="00295637">
        <w:rPr>
          <w:rFonts w:ascii="Times New Roman" w:hAnsi="Times New Roman"/>
          <w:szCs w:val="24"/>
          <w:lang w:val="bs-Latn-BA"/>
        </w:rPr>
        <w:t xml:space="preserve"> </w:t>
      </w:r>
      <w:r w:rsidR="00C6214E">
        <w:rPr>
          <w:rFonts w:ascii="Times New Roman" w:hAnsi="Times New Roman"/>
          <w:szCs w:val="24"/>
          <w:lang w:val="bs-Latn-BA"/>
        </w:rPr>
        <w:t>економску</w:t>
      </w:r>
      <w:r w:rsidR="00D41A15" w:rsidRPr="00295637">
        <w:rPr>
          <w:rFonts w:ascii="Times New Roman" w:hAnsi="Times New Roman"/>
          <w:szCs w:val="24"/>
          <w:lang w:val="bs-Latn-BA"/>
        </w:rPr>
        <w:t xml:space="preserve"> </w:t>
      </w:r>
      <w:r>
        <w:rPr>
          <w:rFonts w:ascii="Times New Roman" w:hAnsi="Times New Roman"/>
          <w:szCs w:val="24"/>
          <w:lang w:val="sr-Cyrl-BA"/>
        </w:rPr>
        <w:t>безбједност</w:t>
      </w:r>
      <w:r w:rsidR="00D41A15" w:rsidRPr="00295637">
        <w:rPr>
          <w:rFonts w:ascii="Times New Roman" w:hAnsi="Times New Roman"/>
          <w:szCs w:val="24"/>
          <w:lang w:val="bs-Latn-BA"/>
        </w:rPr>
        <w:t xml:space="preserve"> </w:t>
      </w:r>
      <w:r w:rsidR="00C6214E">
        <w:rPr>
          <w:rFonts w:ascii="Times New Roman" w:hAnsi="Times New Roman"/>
          <w:szCs w:val="24"/>
          <w:lang w:val="bs-Latn-BA"/>
        </w:rPr>
        <w:t>жена</w:t>
      </w:r>
      <w:r w:rsidR="00D41A15" w:rsidRPr="00295637">
        <w:rPr>
          <w:rFonts w:ascii="Times New Roman" w:hAnsi="Times New Roman"/>
          <w:szCs w:val="24"/>
          <w:lang w:val="bs-Latn-BA"/>
        </w:rPr>
        <w:t xml:space="preserve">, </w:t>
      </w:r>
      <w:r w:rsidR="00C6214E">
        <w:rPr>
          <w:rFonts w:ascii="Times New Roman" w:hAnsi="Times New Roman"/>
          <w:szCs w:val="24"/>
          <w:lang w:val="bs-Latn-BA"/>
        </w:rPr>
        <w:t>штите</w:t>
      </w:r>
      <w:r w:rsidR="00D41A15" w:rsidRPr="00295637">
        <w:rPr>
          <w:rFonts w:ascii="Times New Roman" w:hAnsi="Times New Roman"/>
          <w:szCs w:val="24"/>
          <w:lang w:val="bs-Latn-BA"/>
        </w:rPr>
        <w:t xml:space="preserve"> </w:t>
      </w:r>
      <w:r w:rsidR="00C6214E">
        <w:rPr>
          <w:rFonts w:ascii="Times New Roman" w:hAnsi="Times New Roman"/>
          <w:szCs w:val="24"/>
          <w:lang w:val="bs-Latn-BA"/>
        </w:rPr>
        <w:t>њихова</w:t>
      </w:r>
      <w:r w:rsidR="00D41A15" w:rsidRPr="00295637">
        <w:rPr>
          <w:rFonts w:ascii="Times New Roman" w:hAnsi="Times New Roman"/>
          <w:szCs w:val="24"/>
          <w:lang w:val="bs-Latn-BA"/>
        </w:rPr>
        <w:t xml:space="preserve"> </w:t>
      </w:r>
      <w:r w:rsidR="00C6214E">
        <w:rPr>
          <w:rFonts w:ascii="Times New Roman" w:hAnsi="Times New Roman"/>
          <w:szCs w:val="24"/>
          <w:lang w:val="bs-Latn-BA"/>
        </w:rPr>
        <w:t>радна</w:t>
      </w:r>
      <w:r w:rsidR="00D41A15" w:rsidRPr="00295637">
        <w:rPr>
          <w:rFonts w:ascii="Times New Roman" w:hAnsi="Times New Roman"/>
          <w:szCs w:val="24"/>
          <w:lang w:val="bs-Latn-BA"/>
        </w:rPr>
        <w:t xml:space="preserve"> </w:t>
      </w:r>
      <w:r w:rsidR="00C6214E">
        <w:rPr>
          <w:rFonts w:ascii="Times New Roman" w:hAnsi="Times New Roman"/>
          <w:szCs w:val="24"/>
          <w:lang w:val="bs-Latn-BA"/>
        </w:rPr>
        <w:t>и</w:t>
      </w:r>
      <w:r w:rsidR="00D41A15" w:rsidRPr="00295637">
        <w:rPr>
          <w:rFonts w:ascii="Times New Roman" w:hAnsi="Times New Roman"/>
          <w:szCs w:val="24"/>
          <w:lang w:val="bs-Latn-BA"/>
        </w:rPr>
        <w:t xml:space="preserve"> </w:t>
      </w:r>
      <w:r w:rsidR="00C6214E">
        <w:rPr>
          <w:rFonts w:ascii="Times New Roman" w:hAnsi="Times New Roman"/>
          <w:szCs w:val="24"/>
          <w:lang w:val="bs-Latn-BA"/>
        </w:rPr>
        <w:t>социјална</w:t>
      </w:r>
      <w:r w:rsidR="00D41A15" w:rsidRPr="00295637">
        <w:rPr>
          <w:rFonts w:ascii="Times New Roman" w:hAnsi="Times New Roman"/>
          <w:szCs w:val="24"/>
          <w:lang w:val="bs-Latn-BA"/>
        </w:rPr>
        <w:t xml:space="preserve"> </w:t>
      </w:r>
      <w:r w:rsidR="00C6214E">
        <w:rPr>
          <w:rFonts w:ascii="Times New Roman" w:hAnsi="Times New Roman"/>
          <w:szCs w:val="24"/>
          <w:lang w:val="bs-Latn-BA"/>
        </w:rPr>
        <w:t>права</w:t>
      </w:r>
      <w:r w:rsidR="00177112" w:rsidRPr="00295637">
        <w:rPr>
          <w:rFonts w:ascii="Times New Roman" w:hAnsi="Times New Roman"/>
          <w:szCs w:val="24"/>
          <w:lang w:val="bs-Latn-BA"/>
        </w:rPr>
        <w:t>,</w:t>
      </w:r>
      <w:r w:rsidR="00D41A15" w:rsidRPr="00295637">
        <w:rPr>
          <w:rFonts w:ascii="Times New Roman" w:hAnsi="Times New Roman"/>
          <w:szCs w:val="24"/>
          <w:lang w:val="bs-Latn-BA"/>
        </w:rPr>
        <w:t xml:space="preserve"> </w:t>
      </w:r>
      <w:r w:rsidR="00C6214E">
        <w:rPr>
          <w:rFonts w:ascii="Times New Roman" w:hAnsi="Times New Roman"/>
          <w:szCs w:val="24"/>
          <w:lang w:val="bs-Latn-BA"/>
        </w:rPr>
        <w:t>те</w:t>
      </w:r>
      <w:r w:rsidR="00D41A15" w:rsidRPr="00295637">
        <w:rPr>
          <w:rFonts w:ascii="Times New Roman" w:hAnsi="Times New Roman"/>
          <w:szCs w:val="24"/>
          <w:lang w:val="bs-Latn-BA"/>
        </w:rPr>
        <w:t xml:space="preserve"> </w:t>
      </w:r>
      <w:r w:rsidR="00C6214E">
        <w:rPr>
          <w:rFonts w:ascii="Times New Roman" w:hAnsi="Times New Roman"/>
          <w:szCs w:val="24"/>
          <w:lang w:val="bs-Latn-BA"/>
        </w:rPr>
        <w:t>подстичу</w:t>
      </w:r>
      <w:r w:rsidR="00D41A15" w:rsidRPr="00295637">
        <w:rPr>
          <w:rFonts w:ascii="Times New Roman" w:hAnsi="Times New Roman"/>
          <w:szCs w:val="24"/>
          <w:lang w:val="bs-Latn-BA"/>
        </w:rPr>
        <w:t xml:space="preserve"> </w:t>
      </w:r>
      <w:r w:rsidR="00C6214E">
        <w:rPr>
          <w:rFonts w:ascii="Times New Roman" w:hAnsi="Times New Roman"/>
          <w:szCs w:val="24"/>
          <w:lang w:val="bs-Latn-BA"/>
        </w:rPr>
        <w:t>ефикаснију</w:t>
      </w:r>
      <w:r w:rsidR="00D41A15" w:rsidRPr="00295637">
        <w:rPr>
          <w:rFonts w:ascii="Times New Roman" w:hAnsi="Times New Roman"/>
          <w:szCs w:val="24"/>
          <w:lang w:val="bs-Latn-BA"/>
        </w:rPr>
        <w:t xml:space="preserve"> </w:t>
      </w:r>
      <w:r w:rsidR="00C6214E">
        <w:rPr>
          <w:rFonts w:ascii="Times New Roman" w:hAnsi="Times New Roman"/>
          <w:szCs w:val="24"/>
          <w:lang w:val="bs-Latn-BA"/>
        </w:rPr>
        <w:t>борбу</w:t>
      </w:r>
      <w:r w:rsidR="00D41A15" w:rsidRPr="00295637">
        <w:rPr>
          <w:rFonts w:ascii="Times New Roman" w:hAnsi="Times New Roman"/>
          <w:szCs w:val="24"/>
          <w:lang w:val="bs-Latn-BA"/>
        </w:rPr>
        <w:t xml:space="preserve"> </w:t>
      </w:r>
      <w:r w:rsidR="00C6214E">
        <w:rPr>
          <w:rFonts w:ascii="Times New Roman" w:hAnsi="Times New Roman"/>
          <w:szCs w:val="24"/>
          <w:lang w:val="bs-Latn-BA"/>
        </w:rPr>
        <w:t>против</w:t>
      </w:r>
      <w:r w:rsidR="00D41A15" w:rsidRPr="00295637">
        <w:rPr>
          <w:rFonts w:ascii="Times New Roman" w:hAnsi="Times New Roman"/>
          <w:szCs w:val="24"/>
          <w:lang w:val="bs-Latn-BA"/>
        </w:rPr>
        <w:t xml:space="preserve"> </w:t>
      </w:r>
      <w:r w:rsidR="00C6214E">
        <w:rPr>
          <w:rFonts w:ascii="Times New Roman" w:hAnsi="Times New Roman"/>
          <w:szCs w:val="24"/>
          <w:lang w:val="bs-Latn-BA"/>
        </w:rPr>
        <w:t>свих</w:t>
      </w:r>
      <w:r w:rsidR="00177112" w:rsidRPr="00295637">
        <w:rPr>
          <w:rFonts w:ascii="Times New Roman" w:hAnsi="Times New Roman"/>
          <w:szCs w:val="24"/>
          <w:lang w:val="bs-Latn-BA"/>
        </w:rPr>
        <w:t xml:space="preserve"> </w:t>
      </w:r>
      <w:r w:rsidR="00C6214E">
        <w:rPr>
          <w:rFonts w:ascii="Times New Roman" w:hAnsi="Times New Roman"/>
          <w:szCs w:val="24"/>
          <w:lang w:val="bs-Latn-BA"/>
        </w:rPr>
        <w:t>облика</w:t>
      </w:r>
      <w:r w:rsidR="00177112"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D41A15" w:rsidRPr="00295637">
        <w:rPr>
          <w:rFonts w:ascii="Times New Roman" w:hAnsi="Times New Roman"/>
          <w:szCs w:val="24"/>
          <w:lang w:val="bs-Latn-BA"/>
        </w:rPr>
        <w:t xml:space="preserve">. </w:t>
      </w:r>
    </w:p>
    <w:p w:rsidR="00CB5A4F" w:rsidRPr="00295637" w:rsidRDefault="00CB5A4F" w:rsidP="0086268D">
      <w:pPr>
        <w:jc w:val="both"/>
        <w:rPr>
          <w:rFonts w:ascii="Times New Roman" w:hAnsi="Times New Roman"/>
          <w:sz w:val="14"/>
          <w:szCs w:val="24"/>
          <w:lang w:val="bs-Latn-BA"/>
        </w:rPr>
      </w:pPr>
    </w:p>
    <w:p w:rsidR="00D41A15" w:rsidRPr="00295637" w:rsidRDefault="00C6214E" w:rsidP="0086268D">
      <w:pPr>
        <w:jc w:val="both"/>
        <w:rPr>
          <w:rFonts w:ascii="Times New Roman" w:hAnsi="Times New Roman"/>
          <w:szCs w:val="24"/>
          <w:lang w:val="bs-Latn-BA"/>
        </w:rPr>
      </w:pPr>
      <w:r>
        <w:rPr>
          <w:rFonts w:ascii="Times New Roman" w:hAnsi="Times New Roman"/>
          <w:szCs w:val="24"/>
          <w:lang w:val="bs-Latn-BA"/>
        </w:rPr>
        <w:t>Међутим</w:t>
      </w:r>
      <w:r w:rsidR="008C1FBC" w:rsidRPr="00295637">
        <w:rPr>
          <w:rFonts w:ascii="Times New Roman" w:hAnsi="Times New Roman"/>
          <w:szCs w:val="24"/>
          <w:lang w:val="bs-Latn-BA"/>
        </w:rPr>
        <w:t xml:space="preserve">, </w:t>
      </w:r>
      <w:r>
        <w:rPr>
          <w:rFonts w:ascii="Times New Roman" w:hAnsi="Times New Roman"/>
          <w:szCs w:val="24"/>
          <w:lang w:val="bs-Latn-BA"/>
        </w:rPr>
        <w:t>упркос</w:t>
      </w:r>
      <w:r w:rsidR="008C1FBC" w:rsidRPr="00295637">
        <w:rPr>
          <w:rFonts w:ascii="Times New Roman" w:hAnsi="Times New Roman"/>
          <w:szCs w:val="24"/>
          <w:lang w:val="bs-Latn-BA"/>
        </w:rPr>
        <w:t xml:space="preserve"> </w:t>
      </w:r>
      <w:r>
        <w:rPr>
          <w:rFonts w:ascii="Times New Roman" w:hAnsi="Times New Roman"/>
          <w:szCs w:val="24"/>
          <w:lang w:val="bs-Latn-BA"/>
        </w:rPr>
        <w:t>напорима</w:t>
      </w:r>
      <w:r w:rsidR="008C1FBC" w:rsidRPr="00295637">
        <w:rPr>
          <w:rFonts w:ascii="Times New Roman" w:hAnsi="Times New Roman"/>
          <w:szCs w:val="24"/>
          <w:lang w:val="bs-Latn-BA"/>
        </w:rPr>
        <w:t xml:space="preserve"> </w:t>
      </w:r>
      <w:r>
        <w:rPr>
          <w:rFonts w:ascii="Times New Roman" w:hAnsi="Times New Roman"/>
          <w:szCs w:val="24"/>
          <w:lang w:val="bs-Latn-BA"/>
        </w:rPr>
        <w:t>надлежних</w:t>
      </w:r>
      <w:r w:rsidR="00CD6F40">
        <w:rPr>
          <w:rFonts w:ascii="Times New Roman" w:hAnsi="Times New Roman"/>
          <w:szCs w:val="24"/>
          <w:lang w:val="bs-Latn-BA"/>
        </w:rPr>
        <w:t xml:space="preserve"> </w:t>
      </w:r>
      <w:r>
        <w:rPr>
          <w:rFonts w:ascii="Times New Roman" w:hAnsi="Times New Roman"/>
          <w:szCs w:val="24"/>
          <w:lang w:val="bs-Latn-BA"/>
        </w:rPr>
        <w:t>институција</w:t>
      </w:r>
      <w:r w:rsidR="00CD6F40">
        <w:rPr>
          <w:rFonts w:ascii="Times New Roman" w:hAnsi="Times New Roman"/>
          <w:szCs w:val="24"/>
          <w:lang w:val="bs-Latn-BA"/>
        </w:rPr>
        <w:t xml:space="preserve">, </w:t>
      </w:r>
      <w:r>
        <w:rPr>
          <w:rFonts w:ascii="Times New Roman" w:hAnsi="Times New Roman"/>
          <w:szCs w:val="24"/>
          <w:lang w:val="bs-Latn-BA"/>
        </w:rPr>
        <w:t>у</w:t>
      </w:r>
      <w:r w:rsidR="00CD6F40">
        <w:rPr>
          <w:rFonts w:ascii="Times New Roman" w:hAnsi="Times New Roman"/>
          <w:szCs w:val="24"/>
          <w:lang w:val="bs-Latn-BA"/>
        </w:rPr>
        <w:t xml:space="preserve"> </w:t>
      </w:r>
      <w:r>
        <w:rPr>
          <w:rFonts w:ascii="Times New Roman" w:hAnsi="Times New Roman"/>
          <w:szCs w:val="24"/>
          <w:lang w:val="bs-Latn-BA"/>
        </w:rPr>
        <w:t>партнерству</w:t>
      </w:r>
      <w:r w:rsidR="00CD6F40">
        <w:rPr>
          <w:rFonts w:ascii="Times New Roman" w:hAnsi="Times New Roman"/>
          <w:szCs w:val="24"/>
          <w:lang w:val="bs-Latn-BA"/>
        </w:rPr>
        <w:t xml:space="preserve"> </w:t>
      </w:r>
      <w:r>
        <w:rPr>
          <w:rFonts w:ascii="Times New Roman" w:hAnsi="Times New Roman"/>
          <w:szCs w:val="24"/>
          <w:lang w:val="bs-Latn-BA"/>
        </w:rPr>
        <w:t>са</w:t>
      </w:r>
      <w:r w:rsidR="008C1FBC" w:rsidRPr="00295637">
        <w:rPr>
          <w:rFonts w:ascii="Times New Roman" w:hAnsi="Times New Roman"/>
          <w:szCs w:val="24"/>
          <w:lang w:val="bs-Latn-BA"/>
        </w:rPr>
        <w:t xml:space="preserve"> </w:t>
      </w:r>
      <w:r>
        <w:rPr>
          <w:rFonts w:ascii="Times New Roman" w:hAnsi="Times New Roman"/>
          <w:szCs w:val="24"/>
          <w:lang w:val="bs-Latn-BA"/>
        </w:rPr>
        <w:t>невладиним</w:t>
      </w:r>
      <w:r w:rsidR="00526DFB">
        <w:rPr>
          <w:rFonts w:ascii="Times New Roman" w:hAnsi="Times New Roman"/>
          <w:szCs w:val="24"/>
          <w:lang w:val="bs-Latn-BA"/>
        </w:rPr>
        <w:t xml:space="preserve"> </w:t>
      </w:r>
      <w:r>
        <w:rPr>
          <w:rFonts w:ascii="Times New Roman" w:hAnsi="Times New Roman"/>
          <w:szCs w:val="24"/>
          <w:lang w:val="bs-Latn-BA"/>
        </w:rPr>
        <w:t>сектором</w:t>
      </w:r>
      <w:r w:rsidR="00526DFB">
        <w:rPr>
          <w:rFonts w:ascii="Times New Roman" w:hAnsi="Times New Roman"/>
          <w:szCs w:val="24"/>
          <w:lang w:val="bs-Latn-BA"/>
        </w:rPr>
        <w:t xml:space="preserve">, </w:t>
      </w:r>
      <w:r>
        <w:rPr>
          <w:rFonts w:ascii="Times New Roman" w:hAnsi="Times New Roman"/>
          <w:szCs w:val="24"/>
          <w:lang w:val="bs-Latn-BA"/>
        </w:rPr>
        <w:t>у</w:t>
      </w:r>
      <w:r w:rsidR="00526DFB">
        <w:rPr>
          <w:rFonts w:ascii="Times New Roman" w:hAnsi="Times New Roman"/>
          <w:szCs w:val="24"/>
          <w:lang w:val="bs-Latn-BA"/>
        </w:rPr>
        <w:t xml:space="preserve"> </w:t>
      </w:r>
      <w:r w:rsidR="003927C3">
        <w:rPr>
          <w:rFonts w:ascii="Times New Roman" w:hAnsi="Times New Roman"/>
          <w:szCs w:val="24"/>
          <w:lang w:val="sr-Cyrl-BA"/>
        </w:rPr>
        <w:t>спровођењу</w:t>
      </w:r>
      <w:r w:rsidR="00526DFB">
        <w:rPr>
          <w:rFonts w:ascii="Times New Roman" w:hAnsi="Times New Roman"/>
          <w:szCs w:val="24"/>
          <w:lang w:val="bs-Latn-BA"/>
        </w:rPr>
        <w:t xml:space="preserve"> </w:t>
      </w:r>
      <w:r>
        <w:rPr>
          <w:rFonts w:ascii="Times New Roman" w:hAnsi="Times New Roman"/>
          <w:szCs w:val="24"/>
          <w:lang w:val="bs-Latn-BA"/>
        </w:rPr>
        <w:t>мјера</w:t>
      </w:r>
      <w:r w:rsidR="008C1FBC" w:rsidRPr="00295637">
        <w:rPr>
          <w:rFonts w:ascii="Times New Roman" w:hAnsi="Times New Roman"/>
          <w:szCs w:val="24"/>
          <w:lang w:val="bs-Latn-BA"/>
        </w:rPr>
        <w:t xml:space="preserve"> </w:t>
      </w:r>
      <w:r>
        <w:rPr>
          <w:rFonts w:ascii="Times New Roman" w:hAnsi="Times New Roman"/>
          <w:szCs w:val="24"/>
          <w:lang w:val="bs-Latn-BA"/>
        </w:rPr>
        <w:t>предвиђених</w:t>
      </w:r>
      <w:r w:rsidR="008C1FBC" w:rsidRPr="00295637">
        <w:rPr>
          <w:rFonts w:ascii="Times New Roman" w:hAnsi="Times New Roman"/>
          <w:szCs w:val="24"/>
          <w:lang w:val="bs-Latn-BA"/>
        </w:rPr>
        <w:t xml:space="preserve"> </w:t>
      </w:r>
      <w:r>
        <w:rPr>
          <w:rFonts w:ascii="Times New Roman" w:hAnsi="Times New Roman"/>
          <w:szCs w:val="24"/>
          <w:lang w:val="bs-Latn-BA"/>
        </w:rPr>
        <w:t>ГАП</w:t>
      </w:r>
      <w:r w:rsidR="008C1FBC" w:rsidRPr="00295637">
        <w:rPr>
          <w:rFonts w:ascii="Times New Roman" w:hAnsi="Times New Roman"/>
          <w:szCs w:val="24"/>
          <w:lang w:val="bs-Latn-BA"/>
        </w:rPr>
        <w:t>-</w:t>
      </w:r>
      <w:r>
        <w:rPr>
          <w:rFonts w:ascii="Times New Roman" w:hAnsi="Times New Roman"/>
          <w:szCs w:val="24"/>
          <w:lang w:val="bs-Latn-BA"/>
        </w:rPr>
        <w:t>ом</w:t>
      </w:r>
      <w:r w:rsidR="008C1FBC" w:rsidRPr="00295637">
        <w:rPr>
          <w:rFonts w:ascii="Times New Roman" w:hAnsi="Times New Roman"/>
          <w:szCs w:val="24"/>
          <w:lang w:val="bs-Latn-BA"/>
        </w:rPr>
        <w:t xml:space="preserve">, </w:t>
      </w:r>
      <w:r>
        <w:rPr>
          <w:rFonts w:ascii="Times New Roman" w:hAnsi="Times New Roman"/>
          <w:szCs w:val="24"/>
          <w:lang w:val="bs-Latn-BA"/>
        </w:rPr>
        <w:t>друштво</w:t>
      </w:r>
      <w:r w:rsidR="008C1FBC" w:rsidRPr="00295637">
        <w:rPr>
          <w:rFonts w:ascii="Times New Roman" w:hAnsi="Times New Roman"/>
          <w:szCs w:val="24"/>
          <w:lang w:val="bs-Latn-BA"/>
        </w:rPr>
        <w:t xml:space="preserve"> </w:t>
      </w:r>
      <w:r>
        <w:rPr>
          <w:rFonts w:ascii="Times New Roman" w:hAnsi="Times New Roman"/>
          <w:szCs w:val="24"/>
          <w:lang w:val="bs-Latn-BA"/>
        </w:rPr>
        <w:t>у</w:t>
      </w:r>
      <w:r w:rsidR="008C1FBC" w:rsidRPr="00295637">
        <w:rPr>
          <w:rFonts w:ascii="Times New Roman" w:hAnsi="Times New Roman"/>
          <w:szCs w:val="24"/>
          <w:lang w:val="bs-Latn-BA"/>
        </w:rPr>
        <w:t xml:space="preserve"> </w:t>
      </w:r>
      <w:r>
        <w:rPr>
          <w:rFonts w:ascii="Times New Roman" w:hAnsi="Times New Roman"/>
          <w:szCs w:val="24"/>
          <w:lang w:val="bs-Latn-BA"/>
        </w:rPr>
        <w:t>Босни</w:t>
      </w:r>
      <w:r w:rsidR="008C1FBC" w:rsidRPr="00295637">
        <w:rPr>
          <w:rFonts w:ascii="Times New Roman" w:hAnsi="Times New Roman"/>
          <w:szCs w:val="24"/>
          <w:lang w:val="bs-Latn-BA"/>
        </w:rPr>
        <w:t xml:space="preserve"> </w:t>
      </w:r>
      <w:r>
        <w:rPr>
          <w:rFonts w:ascii="Times New Roman" w:hAnsi="Times New Roman"/>
          <w:szCs w:val="24"/>
          <w:lang w:val="bs-Latn-BA"/>
        </w:rPr>
        <w:t>и</w:t>
      </w:r>
      <w:r w:rsidR="008C1FBC" w:rsidRPr="00295637">
        <w:rPr>
          <w:rFonts w:ascii="Times New Roman" w:hAnsi="Times New Roman"/>
          <w:szCs w:val="24"/>
          <w:lang w:val="bs-Latn-BA"/>
        </w:rPr>
        <w:t xml:space="preserve"> </w:t>
      </w:r>
      <w:r>
        <w:rPr>
          <w:rFonts w:ascii="Times New Roman" w:hAnsi="Times New Roman"/>
          <w:szCs w:val="24"/>
          <w:lang w:val="bs-Latn-BA"/>
        </w:rPr>
        <w:t>Херцеговини</w:t>
      </w:r>
      <w:r w:rsidR="00D30E48">
        <w:rPr>
          <w:rFonts w:ascii="Times New Roman" w:hAnsi="Times New Roman"/>
          <w:szCs w:val="24"/>
          <w:lang w:val="bs-Latn-BA"/>
        </w:rPr>
        <w:t xml:space="preserve"> </w:t>
      </w:r>
      <w:r>
        <w:rPr>
          <w:rFonts w:ascii="Times New Roman" w:hAnsi="Times New Roman"/>
          <w:szCs w:val="24"/>
          <w:lang w:val="bs-Latn-BA"/>
        </w:rPr>
        <w:t>још</w:t>
      </w:r>
      <w:r w:rsidR="00D30E48">
        <w:rPr>
          <w:rFonts w:ascii="Times New Roman" w:hAnsi="Times New Roman"/>
          <w:szCs w:val="24"/>
          <w:lang w:val="bs-Latn-BA"/>
        </w:rPr>
        <w:t xml:space="preserve"> </w:t>
      </w:r>
      <w:r>
        <w:rPr>
          <w:rFonts w:ascii="Times New Roman" w:hAnsi="Times New Roman"/>
          <w:szCs w:val="24"/>
          <w:lang w:val="bs-Latn-BA"/>
        </w:rPr>
        <w:t>увијек</w:t>
      </w:r>
      <w:r w:rsidR="00D30E48">
        <w:rPr>
          <w:rFonts w:ascii="Times New Roman" w:hAnsi="Times New Roman"/>
          <w:szCs w:val="24"/>
          <w:lang w:val="bs-Latn-BA"/>
        </w:rPr>
        <w:t xml:space="preserve"> </w:t>
      </w:r>
      <w:r>
        <w:rPr>
          <w:rFonts w:ascii="Times New Roman" w:hAnsi="Times New Roman"/>
          <w:szCs w:val="24"/>
          <w:lang w:val="bs-Latn-BA"/>
        </w:rPr>
        <w:t>је</w:t>
      </w:r>
      <w:r w:rsidR="00D30E48">
        <w:rPr>
          <w:rFonts w:ascii="Times New Roman" w:hAnsi="Times New Roman"/>
          <w:szCs w:val="24"/>
          <w:lang w:val="bs-Latn-BA"/>
        </w:rPr>
        <w:t xml:space="preserve"> </w:t>
      </w:r>
      <w:r>
        <w:rPr>
          <w:rFonts w:ascii="Times New Roman" w:hAnsi="Times New Roman"/>
          <w:szCs w:val="24"/>
          <w:lang w:val="bs-Latn-BA"/>
        </w:rPr>
        <w:t>далеко</w:t>
      </w:r>
      <w:r w:rsidR="00D30E48">
        <w:rPr>
          <w:rFonts w:ascii="Times New Roman" w:hAnsi="Times New Roman"/>
          <w:szCs w:val="24"/>
          <w:lang w:val="bs-Latn-BA"/>
        </w:rPr>
        <w:t xml:space="preserve"> </w:t>
      </w:r>
      <w:r>
        <w:rPr>
          <w:rFonts w:ascii="Times New Roman" w:hAnsi="Times New Roman"/>
          <w:szCs w:val="24"/>
          <w:lang w:val="bs-Latn-BA"/>
        </w:rPr>
        <w:t>од</w:t>
      </w:r>
      <w:r w:rsidR="00D30E48">
        <w:rPr>
          <w:rFonts w:ascii="Times New Roman" w:hAnsi="Times New Roman"/>
          <w:szCs w:val="24"/>
          <w:lang w:val="bs-Latn-BA"/>
        </w:rPr>
        <w:t xml:space="preserve"> </w:t>
      </w:r>
      <w:r>
        <w:rPr>
          <w:rFonts w:ascii="Times New Roman" w:hAnsi="Times New Roman"/>
          <w:szCs w:val="24"/>
          <w:lang w:val="bs-Latn-BA"/>
        </w:rPr>
        <w:t>пуне</w:t>
      </w:r>
      <w:r w:rsidR="008C1FBC"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8C1FBC" w:rsidRPr="00295637">
        <w:rPr>
          <w:rFonts w:ascii="Times New Roman" w:hAnsi="Times New Roman"/>
          <w:szCs w:val="24"/>
          <w:lang w:val="bs-Latn-BA"/>
        </w:rPr>
        <w:t xml:space="preserve">. </w:t>
      </w:r>
      <w:r>
        <w:rPr>
          <w:rFonts w:ascii="Times New Roman" w:hAnsi="Times New Roman"/>
          <w:szCs w:val="24"/>
          <w:lang w:val="bs-Latn-BA"/>
        </w:rPr>
        <w:t>Феномен</w:t>
      </w:r>
      <w:r w:rsidR="00D41A15" w:rsidRPr="00295637">
        <w:rPr>
          <w:rFonts w:ascii="Times New Roman" w:hAnsi="Times New Roman"/>
          <w:szCs w:val="24"/>
          <w:lang w:val="bs-Latn-BA"/>
        </w:rPr>
        <w:t xml:space="preserve"> </w:t>
      </w:r>
      <w:r>
        <w:rPr>
          <w:rFonts w:ascii="Times New Roman" w:hAnsi="Times New Roman"/>
          <w:szCs w:val="24"/>
          <w:lang w:val="bs-Latn-BA"/>
        </w:rPr>
        <w:t>насиља</w:t>
      </w:r>
      <w:r w:rsidR="00D41A15" w:rsidRPr="00295637">
        <w:rPr>
          <w:rFonts w:ascii="Times New Roman" w:hAnsi="Times New Roman"/>
          <w:szCs w:val="24"/>
          <w:lang w:val="bs-Latn-BA"/>
        </w:rPr>
        <w:t xml:space="preserve"> </w:t>
      </w:r>
      <w:r>
        <w:rPr>
          <w:rFonts w:ascii="Times New Roman" w:hAnsi="Times New Roman"/>
          <w:szCs w:val="24"/>
          <w:lang w:val="bs-Latn-BA"/>
        </w:rPr>
        <w:t>над</w:t>
      </w:r>
      <w:r w:rsidR="00D41A15" w:rsidRPr="00295637">
        <w:rPr>
          <w:rFonts w:ascii="Times New Roman" w:hAnsi="Times New Roman"/>
          <w:szCs w:val="24"/>
          <w:lang w:val="bs-Latn-BA"/>
        </w:rPr>
        <w:t xml:space="preserve"> </w:t>
      </w:r>
      <w:r>
        <w:rPr>
          <w:rFonts w:ascii="Times New Roman" w:hAnsi="Times New Roman"/>
          <w:szCs w:val="24"/>
          <w:lang w:val="bs-Latn-BA"/>
        </w:rPr>
        <w:t>женама</w:t>
      </w:r>
      <w:r w:rsidR="00D41A15" w:rsidRPr="00295637">
        <w:rPr>
          <w:rFonts w:ascii="Times New Roman" w:hAnsi="Times New Roman"/>
          <w:szCs w:val="24"/>
          <w:lang w:val="bs-Latn-BA"/>
        </w:rPr>
        <w:t xml:space="preserve"> </w:t>
      </w:r>
      <w:r>
        <w:rPr>
          <w:rFonts w:ascii="Times New Roman" w:hAnsi="Times New Roman"/>
          <w:szCs w:val="24"/>
          <w:lang w:val="bs-Latn-BA"/>
        </w:rPr>
        <w:t>и</w:t>
      </w:r>
      <w:r w:rsidR="00D41A15" w:rsidRPr="00295637">
        <w:rPr>
          <w:rFonts w:ascii="Times New Roman" w:hAnsi="Times New Roman"/>
          <w:szCs w:val="24"/>
          <w:lang w:val="bs-Latn-BA"/>
        </w:rPr>
        <w:t xml:space="preserve"> </w:t>
      </w:r>
      <w:r>
        <w:rPr>
          <w:rFonts w:ascii="Times New Roman" w:hAnsi="Times New Roman"/>
          <w:szCs w:val="24"/>
          <w:lang w:val="bs-Latn-BA"/>
        </w:rPr>
        <w:t>даље</w:t>
      </w:r>
      <w:r w:rsidR="00D41A15" w:rsidRPr="00295637">
        <w:rPr>
          <w:rFonts w:ascii="Times New Roman" w:hAnsi="Times New Roman"/>
          <w:szCs w:val="24"/>
          <w:lang w:val="bs-Latn-BA"/>
        </w:rPr>
        <w:t xml:space="preserve"> </w:t>
      </w:r>
      <w:r>
        <w:rPr>
          <w:rFonts w:ascii="Times New Roman" w:hAnsi="Times New Roman"/>
          <w:szCs w:val="24"/>
          <w:lang w:val="bs-Latn-BA"/>
        </w:rPr>
        <w:t>представља</w:t>
      </w:r>
      <w:r w:rsidR="00D41A15" w:rsidRPr="00295637">
        <w:rPr>
          <w:rFonts w:ascii="Times New Roman" w:hAnsi="Times New Roman"/>
          <w:szCs w:val="24"/>
          <w:lang w:val="bs-Latn-BA"/>
        </w:rPr>
        <w:t xml:space="preserve"> </w:t>
      </w:r>
      <w:r>
        <w:rPr>
          <w:rFonts w:ascii="Times New Roman" w:hAnsi="Times New Roman"/>
          <w:szCs w:val="24"/>
          <w:lang w:val="bs-Latn-BA"/>
        </w:rPr>
        <w:t>перзистентан</w:t>
      </w:r>
      <w:r w:rsidR="00D41A15" w:rsidRPr="00295637">
        <w:rPr>
          <w:rFonts w:ascii="Times New Roman" w:hAnsi="Times New Roman"/>
          <w:szCs w:val="24"/>
          <w:lang w:val="bs-Latn-BA"/>
        </w:rPr>
        <w:t xml:space="preserve"> </w:t>
      </w:r>
      <w:r>
        <w:rPr>
          <w:rFonts w:ascii="Times New Roman" w:hAnsi="Times New Roman"/>
          <w:szCs w:val="24"/>
          <w:lang w:val="bs-Latn-BA"/>
        </w:rPr>
        <w:t>изазов</w:t>
      </w:r>
      <w:r w:rsidR="00D41A15" w:rsidRPr="00295637">
        <w:rPr>
          <w:rFonts w:ascii="Times New Roman" w:hAnsi="Times New Roman"/>
          <w:szCs w:val="24"/>
          <w:lang w:val="bs-Latn-BA"/>
        </w:rPr>
        <w:t xml:space="preserve">, </w:t>
      </w:r>
      <w:r>
        <w:rPr>
          <w:rFonts w:ascii="Times New Roman" w:hAnsi="Times New Roman"/>
          <w:szCs w:val="24"/>
          <w:lang w:val="bs-Latn-BA"/>
        </w:rPr>
        <w:t>потврђен</w:t>
      </w:r>
      <w:r w:rsidR="00D41A15" w:rsidRPr="00295637">
        <w:rPr>
          <w:rFonts w:ascii="Times New Roman" w:hAnsi="Times New Roman"/>
          <w:szCs w:val="24"/>
          <w:lang w:val="bs-Latn-BA"/>
        </w:rPr>
        <w:t xml:space="preserve"> </w:t>
      </w:r>
      <w:r>
        <w:rPr>
          <w:rFonts w:ascii="Times New Roman" w:hAnsi="Times New Roman"/>
          <w:szCs w:val="24"/>
          <w:lang w:val="bs-Latn-BA"/>
        </w:rPr>
        <w:t>случајевима</w:t>
      </w:r>
      <w:r w:rsidR="00301223" w:rsidRPr="00295637">
        <w:rPr>
          <w:rFonts w:ascii="Times New Roman" w:hAnsi="Times New Roman"/>
          <w:szCs w:val="24"/>
          <w:lang w:val="bs-Latn-BA"/>
        </w:rPr>
        <w:t xml:space="preserve"> </w:t>
      </w:r>
      <w:r>
        <w:rPr>
          <w:rFonts w:ascii="Times New Roman" w:hAnsi="Times New Roman"/>
          <w:szCs w:val="24"/>
          <w:lang w:val="bs-Latn-BA"/>
        </w:rPr>
        <w:t>фемицида</w:t>
      </w:r>
      <w:r w:rsidR="008C1FBC" w:rsidRPr="00295637">
        <w:rPr>
          <w:rFonts w:ascii="Times New Roman" w:hAnsi="Times New Roman"/>
          <w:szCs w:val="24"/>
          <w:lang w:val="bs-Latn-BA"/>
        </w:rPr>
        <w:t xml:space="preserve"> </w:t>
      </w:r>
      <w:r>
        <w:rPr>
          <w:rFonts w:ascii="Times New Roman" w:hAnsi="Times New Roman"/>
          <w:szCs w:val="24"/>
          <w:lang w:val="bs-Latn-BA"/>
        </w:rPr>
        <w:t>током</w:t>
      </w:r>
      <w:r w:rsidR="008C1FBC" w:rsidRPr="00295637">
        <w:rPr>
          <w:rFonts w:ascii="Times New Roman" w:hAnsi="Times New Roman"/>
          <w:szCs w:val="24"/>
          <w:lang w:val="bs-Latn-BA"/>
        </w:rPr>
        <w:t xml:space="preserve"> </w:t>
      </w:r>
      <w:r>
        <w:rPr>
          <w:rFonts w:ascii="Times New Roman" w:hAnsi="Times New Roman"/>
          <w:szCs w:val="24"/>
          <w:lang w:val="bs-Latn-BA"/>
        </w:rPr>
        <w:t>извјештајног</w:t>
      </w:r>
      <w:r w:rsidR="008C1FBC" w:rsidRPr="00295637">
        <w:rPr>
          <w:rFonts w:ascii="Times New Roman" w:hAnsi="Times New Roman"/>
          <w:szCs w:val="24"/>
          <w:lang w:val="bs-Latn-BA"/>
        </w:rPr>
        <w:t xml:space="preserve"> </w:t>
      </w:r>
      <w:r>
        <w:rPr>
          <w:rFonts w:ascii="Times New Roman" w:hAnsi="Times New Roman"/>
          <w:szCs w:val="24"/>
          <w:lang w:val="bs-Latn-BA"/>
        </w:rPr>
        <w:t>периода</w:t>
      </w:r>
      <w:r w:rsidR="00D41A15" w:rsidRPr="00295637">
        <w:rPr>
          <w:rFonts w:ascii="Times New Roman" w:hAnsi="Times New Roman"/>
          <w:szCs w:val="24"/>
          <w:lang w:val="bs-Latn-BA"/>
        </w:rPr>
        <w:t xml:space="preserve">, </w:t>
      </w:r>
      <w:r>
        <w:rPr>
          <w:rFonts w:ascii="Times New Roman" w:hAnsi="Times New Roman"/>
          <w:szCs w:val="24"/>
          <w:lang w:val="bs-Latn-BA"/>
        </w:rPr>
        <w:t>што</w:t>
      </w:r>
      <w:r w:rsidR="00D41A15" w:rsidRPr="00295637">
        <w:rPr>
          <w:rFonts w:ascii="Times New Roman" w:hAnsi="Times New Roman"/>
          <w:szCs w:val="24"/>
          <w:lang w:val="bs-Latn-BA"/>
        </w:rPr>
        <w:t xml:space="preserve"> </w:t>
      </w:r>
      <w:r>
        <w:rPr>
          <w:rFonts w:ascii="Times New Roman" w:hAnsi="Times New Roman"/>
          <w:szCs w:val="24"/>
          <w:lang w:val="bs-Latn-BA"/>
        </w:rPr>
        <w:t>додатно</w:t>
      </w:r>
      <w:r w:rsidR="00D41A15" w:rsidRPr="00295637">
        <w:rPr>
          <w:rFonts w:ascii="Times New Roman" w:hAnsi="Times New Roman"/>
          <w:szCs w:val="24"/>
          <w:lang w:val="bs-Latn-BA"/>
        </w:rPr>
        <w:t xml:space="preserve"> </w:t>
      </w:r>
      <w:r>
        <w:rPr>
          <w:rFonts w:ascii="Times New Roman" w:hAnsi="Times New Roman"/>
          <w:szCs w:val="24"/>
          <w:lang w:val="bs-Latn-BA"/>
        </w:rPr>
        <w:t>наглашава</w:t>
      </w:r>
      <w:r w:rsidR="00D41A15" w:rsidRPr="00295637">
        <w:rPr>
          <w:rFonts w:ascii="Times New Roman" w:hAnsi="Times New Roman"/>
          <w:szCs w:val="24"/>
          <w:lang w:val="bs-Latn-BA"/>
        </w:rPr>
        <w:t xml:space="preserve"> </w:t>
      </w:r>
      <w:r>
        <w:rPr>
          <w:rFonts w:ascii="Times New Roman" w:hAnsi="Times New Roman"/>
          <w:szCs w:val="24"/>
          <w:lang w:val="bs-Latn-BA"/>
        </w:rPr>
        <w:t>императив</w:t>
      </w:r>
      <w:r w:rsidR="00D41A15" w:rsidRPr="00295637">
        <w:rPr>
          <w:rFonts w:ascii="Times New Roman" w:hAnsi="Times New Roman"/>
          <w:szCs w:val="24"/>
          <w:lang w:val="bs-Latn-BA"/>
        </w:rPr>
        <w:t xml:space="preserve"> </w:t>
      </w:r>
      <w:r>
        <w:rPr>
          <w:rFonts w:ascii="Times New Roman" w:hAnsi="Times New Roman"/>
          <w:szCs w:val="24"/>
          <w:lang w:val="bs-Latn-BA"/>
        </w:rPr>
        <w:t>даљег</w:t>
      </w:r>
      <w:r w:rsidR="00D41A15" w:rsidRPr="00295637">
        <w:rPr>
          <w:rFonts w:ascii="Times New Roman" w:hAnsi="Times New Roman"/>
          <w:szCs w:val="24"/>
          <w:lang w:val="bs-Latn-BA"/>
        </w:rPr>
        <w:t xml:space="preserve"> </w:t>
      </w:r>
      <w:r>
        <w:rPr>
          <w:rFonts w:ascii="Times New Roman" w:hAnsi="Times New Roman"/>
          <w:szCs w:val="24"/>
          <w:lang w:val="bs-Latn-BA"/>
        </w:rPr>
        <w:t>ангажмана</w:t>
      </w:r>
      <w:r w:rsidR="00D41A15" w:rsidRPr="00295637">
        <w:rPr>
          <w:rFonts w:ascii="Times New Roman" w:hAnsi="Times New Roman"/>
          <w:szCs w:val="24"/>
          <w:lang w:val="bs-Latn-BA"/>
        </w:rPr>
        <w:t xml:space="preserve"> </w:t>
      </w:r>
      <w:r>
        <w:rPr>
          <w:rFonts w:ascii="Times New Roman" w:hAnsi="Times New Roman"/>
          <w:szCs w:val="24"/>
          <w:lang w:val="bs-Latn-BA"/>
        </w:rPr>
        <w:t>у</w:t>
      </w:r>
      <w:r w:rsidR="00D41A15" w:rsidRPr="00295637">
        <w:rPr>
          <w:rFonts w:ascii="Times New Roman" w:hAnsi="Times New Roman"/>
          <w:szCs w:val="24"/>
          <w:lang w:val="bs-Latn-BA"/>
        </w:rPr>
        <w:t xml:space="preserve"> </w:t>
      </w:r>
      <w:r>
        <w:rPr>
          <w:rFonts w:ascii="Times New Roman" w:hAnsi="Times New Roman"/>
          <w:szCs w:val="24"/>
          <w:lang w:val="bs-Latn-BA"/>
        </w:rPr>
        <w:t>овој</w:t>
      </w:r>
      <w:r w:rsidR="007E574D" w:rsidRPr="00295637">
        <w:rPr>
          <w:rFonts w:ascii="Times New Roman" w:hAnsi="Times New Roman"/>
          <w:szCs w:val="24"/>
          <w:lang w:val="bs-Latn-BA"/>
        </w:rPr>
        <w:t xml:space="preserve"> </w:t>
      </w:r>
      <w:r>
        <w:rPr>
          <w:rFonts w:ascii="Times New Roman" w:hAnsi="Times New Roman"/>
          <w:szCs w:val="24"/>
          <w:lang w:val="bs-Latn-BA"/>
        </w:rPr>
        <w:t>сфери</w:t>
      </w:r>
      <w:r w:rsidR="007E574D" w:rsidRPr="00295637">
        <w:rPr>
          <w:rFonts w:ascii="Times New Roman" w:hAnsi="Times New Roman"/>
          <w:szCs w:val="24"/>
          <w:lang w:val="bs-Latn-BA"/>
        </w:rPr>
        <w:t xml:space="preserve">. </w:t>
      </w:r>
      <w:r>
        <w:rPr>
          <w:rFonts w:ascii="Times New Roman" w:hAnsi="Times New Roman"/>
          <w:szCs w:val="24"/>
          <w:lang w:val="bs-Latn-BA"/>
        </w:rPr>
        <w:t>Значајан</w:t>
      </w:r>
      <w:r w:rsidR="007E574D" w:rsidRPr="00295637">
        <w:rPr>
          <w:rFonts w:ascii="Times New Roman" w:hAnsi="Times New Roman"/>
          <w:szCs w:val="24"/>
          <w:lang w:val="bs-Latn-BA"/>
        </w:rPr>
        <w:t xml:space="preserve"> </w:t>
      </w:r>
      <w:r>
        <w:rPr>
          <w:rFonts w:ascii="Times New Roman" w:hAnsi="Times New Roman"/>
          <w:szCs w:val="24"/>
          <w:lang w:val="bs-Latn-BA"/>
        </w:rPr>
        <w:t>изазов</w:t>
      </w:r>
      <w:r w:rsidR="007E574D" w:rsidRPr="00295637">
        <w:rPr>
          <w:rFonts w:ascii="Times New Roman" w:hAnsi="Times New Roman"/>
          <w:szCs w:val="24"/>
          <w:lang w:val="bs-Latn-BA"/>
        </w:rPr>
        <w:t xml:space="preserve"> </w:t>
      </w:r>
      <w:r>
        <w:rPr>
          <w:rFonts w:ascii="Times New Roman" w:hAnsi="Times New Roman"/>
          <w:szCs w:val="24"/>
          <w:lang w:val="bs-Latn-BA"/>
        </w:rPr>
        <w:t>остаје</w:t>
      </w:r>
      <w:r w:rsidR="007E574D" w:rsidRPr="00295637">
        <w:rPr>
          <w:rFonts w:ascii="Times New Roman" w:hAnsi="Times New Roman"/>
          <w:szCs w:val="24"/>
          <w:lang w:val="bs-Latn-BA"/>
        </w:rPr>
        <w:t xml:space="preserve"> </w:t>
      </w:r>
      <w:r>
        <w:rPr>
          <w:rFonts w:ascii="Times New Roman" w:hAnsi="Times New Roman"/>
          <w:szCs w:val="24"/>
          <w:lang w:val="bs-Latn-BA"/>
        </w:rPr>
        <w:t>и</w:t>
      </w:r>
      <w:r w:rsidR="00D41A15" w:rsidRPr="00295637">
        <w:rPr>
          <w:rFonts w:ascii="Times New Roman" w:hAnsi="Times New Roman"/>
          <w:szCs w:val="24"/>
          <w:lang w:val="bs-Latn-BA"/>
        </w:rPr>
        <w:t xml:space="preserve"> </w:t>
      </w:r>
      <w:r>
        <w:rPr>
          <w:rFonts w:ascii="Times New Roman" w:hAnsi="Times New Roman"/>
          <w:szCs w:val="24"/>
          <w:lang w:val="bs-Latn-BA"/>
        </w:rPr>
        <w:t>постизањ</w:t>
      </w:r>
      <w:r w:rsidR="003927C3">
        <w:rPr>
          <w:rFonts w:ascii="Times New Roman" w:hAnsi="Times New Roman"/>
          <w:szCs w:val="24"/>
          <w:lang w:val="sr-Cyrl-BA"/>
        </w:rPr>
        <w:t>е</w:t>
      </w:r>
      <w:r w:rsidR="00D41A15" w:rsidRPr="00295637">
        <w:rPr>
          <w:rFonts w:ascii="Times New Roman" w:hAnsi="Times New Roman"/>
          <w:szCs w:val="24"/>
          <w:lang w:val="bs-Latn-BA"/>
        </w:rPr>
        <w:t xml:space="preserve"> </w:t>
      </w:r>
      <w:r>
        <w:rPr>
          <w:rFonts w:ascii="Times New Roman" w:hAnsi="Times New Roman"/>
          <w:szCs w:val="24"/>
          <w:lang w:val="bs-Latn-BA"/>
        </w:rPr>
        <w:t>паритета</w:t>
      </w:r>
      <w:r w:rsidR="00D41A15" w:rsidRPr="00295637">
        <w:rPr>
          <w:rFonts w:ascii="Times New Roman" w:hAnsi="Times New Roman"/>
          <w:szCs w:val="24"/>
          <w:lang w:val="bs-Latn-BA"/>
        </w:rPr>
        <w:t xml:space="preserve"> </w:t>
      </w:r>
      <w:r>
        <w:rPr>
          <w:rFonts w:ascii="Times New Roman" w:hAnsi="Times New Roman"/>
          <w:szCs w:val="24"/>
          <w:lang w:val="bs-Latn-BA"/>
        </w:rPr>
        <w:t>или</w:t>
      </w:r>
      <w:r w:rsidR="00D41A15" w:rsidRPr="00295637">
        <w:rPr>
          <w:rFonts w:ascii="Times New Roman" w:hAnsi="Times New Roman"/>
          <w:szCs w:val="24"/>
          <w:lang w:val="bs-Latn-BA"/>
        </w:rPr>
        <w:t xml:space="preserve"> </w:t>
      </w:r>
      <w:r>
        <w:rPr>
          <w:rFonts w:ascii="Times New Roman" w:hAnsi="Times New Roman"/>
          <w:szCs w:val="24"/>
          <w:lang w:val="bs-Latn-BA"/>
        </w:rPr>
        <w:t>заступљености</w:t>
      </w:r>
      <w:r w:rsidR="00D41A15" w:rsidRPr="00295637">
        <w:rPr>
          <w:rFonts w:ascii="Times New Roman" w:hAnsi="Times New Roman"/>
          <w:szCs w:val="24"/>
          <w:lang w:val="bs-Latn-BA"/>
        </w:rPr>
        <w:t xml:space="preserve"> </w:t>
      </w:r>
      <w:r>
        <w:rPr>
          <w:rFonts w:ascii="Times New Roman" w:hAnsi="Times New Roman"/>
          <w:szCs w:val="24"/>
          <w:lang w:val="bs-Latn-BA"/>
        </w:rPr>
        <w:t>жена</w:t>
      </w:r>
      <w:r w:rsidR="00D41A15" w:rsidRPr="00295637">
        <w:rPr>
          <w:rFonts w:ascii="Times New Roman" w:hAnsi="Times New Roman"/>
          <w:szCs w:val="24"/>
          <w:lang w:val="bs-Latn-BA"/>
        </w:rPr>
        <w:t xml:space="preserve"> </w:t>
      </w:r>
      <w:r>
        <w:rPr>
          <w:rFonts w:ascii="Times New Roman" w:hAnsi="Times New Roman"/>
          <w:szCs w:val="24"/>
          <w:lang w:val="bs-Latn-BA"/>
        </w:rPr>
        <w:t>у</w:t>
      </w:r>
      <w:r w:rsidR="00D41A15" w:rsidRPr="00295637">
        <w:rPr>
          <w:rFonts w:ascii="Times New Roman" w:hAnsi="Times New Roman"/>
          <w:szCs w:val="24"/>
          <w:lang w:val="bs-Latn-BA"/>
        </w:rPr>
        <w:t xml:space="preserve"> </w:t>
      </w:r>
      <w:r>
        <w:rPr>
          <w:rFonts w:ascii="Times New Roman" w:hAnsi="Times New Roman"/>
          <w:szCs w:val="24"/>
          <w:lang w:val="bs-Latn-BA"/>
        </w:rPr>
        <w:t>парламентима</w:t>
      </w:r>
      <w:r w:rsidR="00D41A15" w:rsidRPr="00295637">
        <w:rPr>
          <w:rFonts w:ascii="Times New Roman" w:hAnsi="Times New Roman"/>
          <w:szCs w:val="24"/>
          <w:lang w:val="bs-Latn-BA"/>
        </w:rPr>
        <w:t>/</w:t>
      </w:r>
      <w:r>
        <w:rPr>
          <w:rFonts w:ascii="Times New Roman" w:hAnsi="Times New Roman"/>
          <w:szCs w:val="24"/>
          <w:lang w:val="bs-Latn-BA"/>
        </w:rPr>
        <w:t>скупштинама</w:t>
      </w:r>
      <w:r w:rsidR="00D41A15" w:rsidRPr="00295637">
        <w:rPr>
          <w:rFonts w:ascii="Times New Roman" w:hAnsi="Times New Roman"/>
          <w:szCs w:val="24"/>
          <w:lang w:val="bs-Latn-BA"/>
        </w:rPr>
        <w:t xml:space="preserve"> </w:t>
      </w:r>
      <w:r>
        <w:rPr>
          <w:rFonts w:ascii="Times New Roman" w:hAnsi="Times New Roman"/>
          <w:szCs w:val="24"/>
          <w:lang w:val="bs-Latn-BA"/>
        </w:rPr>
        <w:t>у</w:t>
      </w:r>
      <w:r w:rsidR="00D41A15" w:rsidRPr="00295637">
        <w:rPr>
          <w:rFonts w:ascii="Times New Roman" w:hAnsi="Times New Roman"/>
          <w:szCs w:val="24"/>
          <w:lang w:val="bs-Latn-BA"/>
        </w:rPr>
        <w:t xml:space="preserve"> </w:t>
      </w:r>
      <w:r>
        <w:rPr>
          <w:rFonts w:ascii="Times New Roman" w:hAnsi="Times New Roman"/>
          <w:szCs w:val="24"/>
          <w:lang w:val="bs-Latn-BA"/>
        </w:rPr>
        <w:t>мјери</w:t>
      </w:r>
      <w:r w:rsidR="00D41A15" w:rsidRPr="00295637">
        <w:rPr>
          <w:rFonts w:ascii="Times New Roman" w:hAnsi="Times New Roman"/>
          <w:szCs w:val="24"/>
          <w:lang w:val="bs-Latn-BA"/>
        </w:rPr>
        <w:t xml:space="preserve"> </w:t>
      </w:r>
      <w:r>
        <w:rPr>
          <w:rFonts w:ascii="Times New Roman" w:hAnsi="Times New Roman"/>
          <w:szCs w:val="24"/>
          <w:lang w:val="bs-Latn-BA"/>
        </w:rPr>
        <w:t>од</w:t>
      </w:r>
      <w:r w:rsidR="00D41A15" w:rsidRPr="00295637">
        <w:rPr>
          <w:rFonts w:ascii="Times New Roman" w:hAnsi="Times New Roman"/>
          <w:szCs w:val="24"/>
          <w:lang w:val="bs-Latn-BA"/>
        </w:rPr>
        <w:t xml:space="preserve"> 40%. </w:t>
      </w:r>
    </w:p>
    <w:p w:rsidR="00D41A15" w:rsidRPr="00295637" w:rsidRDefault="00D41A15" w:rsidP="0086268D">
      <w:pPr>
        <w:jc w:val="both"/>
        <w:rPr>
          <w:rFonts w:ascii="Times New Roman" w:hAnsi="Times New Roman"/>
          <w:sz w:val="14"/>
          <w:szCs w:val="24"/>
          <w:lang w:val="bs-Latn-BA"/>
        </w:rPr>
      </w:pPr>
    </w:p>
    <w:p w:rsidR="004D46EB" w:rsidRPr="00295637" w:rsidRDefault="00C6214E" w:rsidP="0086268D">
      <w:pPr>
        <w:jc w:val="both"/>
        <w:rPr>
          <w:rFonts w:ascii="Times New Roman" w:eastAsia="Calibri" w:hAnsi="Times New Roman"/>
          <w:b/>
          <w:sz w:val="28"/>
          <w:szCs w:val="28"/>
          <w:lang w:val="bs-Latn-BA"/>
        </w:rPr>
      </w:pPr>
      <w:r>
        <w:rPr>
          <w:rFonts w:ascii="Times New Roman" w:hAnsi="Times New Roman"/>
          <w:szCs w:val="24"/>
          <w:lang w:val="bs-Latn-BA"/>
        </w:rPr>
        <w:t>Евидентан</w:t>
      </w:r>
      <w:r w:rsidR="00D41A15" w:rsidRPr="00295637">
        <w:rPr>
          <w:rFonts w:ascii="Times New Roman" w:hAnsi="Times New Roman"/>
          <w:szCs w:val="24"/>
          <w:lang w:val="bs-Latn-BA"/>
        </w:rPr>
        <w:t xml:space="preserve"> </w:t>
      </w:r>
      <w:r>
        <w:rPr>
          <w:rFonts w:ascii="Times New Roman" w:hAnsi="Times New Roman"/>
          <w:szCs w:val="24"/>
          <w:lang w:val="bs-Latn-BA"/>
        </w:rPr>
        <w:t>је</w:t>
      </w:r>
      <w:r w:rsidR="00D41A15" w:rsidRPr="00295637">
        <w:rPr>
          <w:rFonts w:ascii="Times New Roman" w:hAnsi="Times New Roman"/>
          <w:szCs w:val="24"/>
          <w:lang w:val="bs-Latn-BA"/>
        </w:rPr>
        <w:t xml:space="preserve"> </w:t>
      </w:r>
      <w:r>
        <w:rPr>
          <w:rFonts w:ascii="Times New Roman" w:hAnsi="Times New Roman"/>
          <w:szCs w:val="24"/>
          <w:lang w:val="bs-Latn-BA"/>
        </w:rPr>
        <w:t>континуирани</w:t>
      </w:r>
      <w:r w:rsidR="00D41A15" w:rsidRPr="00295637">
        <w:rPr>
          <w:rFonts w:ascii="Times New Roman" w:hAnsi="Times New Roman"/>
          <w:szCs w:val="24"/>
          <w:lang w:val="bs-Latn-BA"/>
        </w:rPr>
        <w:t xml:space="preserve"> </w:t>
      </w:r>
      <w:r>
        <w:rPr>
          <w:rFonts w:ascii="Times New Roman" w:hAnsi="Times New Roman"/>
          <w:szCs w:val="24"/>
          <w:lang w:val="bs-Latn-BA"/>
        </w:rPr>
        <w:t>недостатак</w:t>
      </w:r>
      <w:r w:rsidR="00D41A15" w:rsidRPr="00295637">
        <w:rPr>
          <w:rFonts w:ascii="Times New Roman" w:hAnsi="Times New Roman"/>
          <w:szCs w:val="24"/>
          <w:lang w:val="bs-Latn-BA"/>
        </w:rPr>
        <w:t xml:space="preserve"> </w:t>
      </w:r>
      <w:r>
        <w:rPr>
          <w:rFonts w:ascii="Times New Roman" w:hAnsi="Times New Roman"/>
          <w:szCs w:val="24"/>
          <w:lang w:val="bs-Latn-BA"/>
        </w:rPr>
        <w:t>људских</w:t>
      </w:r>
      <w:r w:rsidR="00D41A15" w:rsidRPr="00295637">
        <w:rPr>
          <w:rFonts w:ascii="Times New Roman" w:hAnsi="Times New Roman"/>
          <w:szCs w:val="24"/>
          <w:lang w:val="bs-Latn-BA"/>
        </w:rPr>
        <w:t xml:space="preserve"> </w:t>
      </w:r>
      <w:r>
        <w:rPr>
          <w:rFonts w:ascii="Times New Roman" w:hAnsi="Times New Roman"/>
          <w:szCs w:val="24"/>
          <w:lang w:val="bs-Latn-BA"/>
        </w:rPr>
        <w:t>и</w:t>
      </w:r>
      <w:r w:rsidR="00D41A15" w:rsidRPr="00295637">
        <w:rPr>
          <w:rFonts w:ascii="Times New Roman" w:hAnsi="Times New Roman"/>
          <w:szCs w:val="24"/>
          <w:lang w:val="bs-Latn-BA"/>
        </w:rPr>
        <w:t xml:space="preserve"> </w:t>
      </w:r>
      <w:r>
        <w:rPr>
          <w:rFonts w:ascii="Times New Roman" w:hAnsi="Times New Roman"/>
          <w:szCs w:val="24"/>
          <w:lang w:val="bs-Latn-BA"/>
        </w:rPr>
        <w:t>финансијских</w:t>
      </w:r>
      <w:r w:rsidR="00D41A15" w:rsidRPr="00295637">
        <w:rPr>
          <w:rFonts w:ascii="Times New Roman" w:hAnsi="Times New Roman"/>
          <w:szCs w:val="24"/>
          <w:lang w:val="bs-Latn-BA"/>
        </w:rPr>
        <w:t xml:space="preserve"> </w:t>
      </w:r>
      <w:r>
        <w:rPr>
          <w:rFonts w:ascii="Times New Roman" w:hAnsi="Times New Roman"/>
          <w:szCs w:val="24"/>
          <w:lang w:val="bs-Latn-BA"/>
        </w:rPr>
        <w:t>ресурса</w:t>
      </w:r>
      <w:r w:rsidR="00D41A15" w:rsidRPr="00295637">
        <w:rPr>
          <w:rFonts w:ascii="Times New Roman" w:hAnsi="Times New Roman"/>
          <w:szCs w:val="24"/>
          <w:lang w:val="bs-Latn-BA"/>
        </w:rPr>
        <w:t xml:space="preserve"> </w:t>
      </w:r>
      <w:r>
        <w:rPr>
          <w:rFonts w:ascii="Times New Roman" w:hAnsi="Times New Roman"/>
          <w:szCs w:val="24"/>
          <w:lang w:val="bs-Latn-BA"/>
        </w:rPr>
        <w:t>институционалних</w:t>
      </w:r>
      <w:r w:rsidR="00301223" w:rsidRPr="00295637">
        <w:rPr>
          <w:rFonts w:ascii="Times New Roman" w:hAnsi="Times New Roman"/>
          <w:szCs w:val="24"/>
          <w:lang w:val="bs-Latn-BA"/>
        </w:rPr>
        <w:t xml:space="preserve"> </w:t>
      </w:r>
      <w:r>
        <w:rPr>
          <w:rFonts w:ascii="Times New Roman" w:hAnsi="Times New Roman"/>
          <w:szCs w:val="24"/>
          <w:lang w:val="bs-Latn-BA"/>
        </w:rPr>
        <w:t>механизама</w:t>
      </w:r>
      <w:r w:rsidR="00301223" w:rsidRPr="00295637">
        <w:rPr>
          <w:rFonts w:ascii="Times New Roman" w:hAnsi="Times New Roman"/>
          <w:szCs w:val="24"/>
          <w:lang w:val="bs-Latn-BA"/>
        </w:rPr>
        <w:t xml:space="preserve"> </w:t>
      </w:r>
      <w:r>
        <w:rPr>
          <w:rFonts w:ascii="Times New Roman" w:hAnsi="Times New Roman"/>
          <w:szCs w:val="24"/>
          <w:lang w:val="bs-Latn-BA"/>
        </w:rPr>
        <w:t>за</w:t>
      </w:r>
      <w:r w:rsidR="00301223"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301223" w:rsidRPr="00295637">
        <w:rPr>
          <w:rFonts w:ascii="Times New Roman" w:hAnsi="Times New Roman"/>
          <w:szCs w:val="24"/>
          <w:lang w:val="bs-Latn-BA"/>
        </w:rPr>
        <w:t xml:space="preserve"> </w:t>
      </w:r>
      <w:r>
        <w:rPr>
          <w:rFonts w:ascii="Times New Roman" w:hAnsi="Times New Roman"/>
          <w:szCs w:val="24"/>
          <w:lang w:val="bs-Latn-BA"/>
        </w:rPr>
        <w:t>полова</w:t>
      </w:r>
      <w:r w:rsidR="00D41A15" w:rsidRPr="00295637">
        <w:rPr>
          <w:rFonts w:ascii="Times New Roman" w:hAnsi="Times New Roman"/>
          <w:szCs w:val="24"/>
          <w:lang w:val="bs-Latn-BA"/>
        </w:rPr>
        <w:t xml:space="preserve">. </w:t>
      </w:r>
      <w:r>
        <w:rPr>
          <w:rFonts w:ascii="Times New Roman" w:hAnsi="Times New Roman"/>
          <w:szCs w:val="24"/>
          <w:lang w:val="bs-Latn-BA"/>
        </w:rPr>
        <w:t>Број</w:t>
      </w:r>
      <w:r w:rsidR="007E574D" w:rsidRPr="00295637">
        <w:rPr>
          <w:rFonts w:ascii="Times New Roman" w:hAnsi="Times New Roman"/>
          <w:szCs w:val="24"/>
          <w:lang w:val="bs-Latn-BA"/>
        </w:rPr>
        <w:t xml:space="preserve"> </w:t>
      </w:r>
      <w:r>
        <w:rPr>
          <w:rFonts w:ascii="Times New Roman" w:hAnsi="Times New Roman"/>
          <w:szCs w:val="24"/>
          <w:lang w:val="bs-Latn-BA"/>
        </w:rPr>
        <w:t>запосленика</w:t>
      </w:r>
      <w:r w:rsidR="00D41A15" w:rsidRPr="00295637">
        <w:rPr>
          <w:rFonts w:ascii="Times New Roman" w:hAnsi="Times New Roman"/>
          <w:szCs w:val="24"/>
          <w:lang w:val="bs-Latn-BA"/>
        </w:rPr>
        <w:t xml:space="preserve"> </w:t>
      </w:r>
      <w:r>
        <w:rPr>
          <w:rFonts w:ascii="Times New Roman" w:hAnsi="Times New Roman"/>
          <w:szCs w:val="24"/>
          <w:lang w:val="bs-Latn-BA"/>
        </w:rPr>
        <w:t>далеко</w:t>
      </w:r>
      <w:r w:rsidR="00D41A15" w:rsidRPr="00295637">
        <w:rPr>
          <w:rFonts w:ascii="Times New Roman" w:hAnsi="Times New Roman"/>
          <w:szCs w:val="24"/>
          <w:lang w:val="bs-Latn-BA"/>
        </w:rPr>
        <w:t xml:space="preserve"> </w:t>
      </w:r>
      <w:r>
        <w:rPr>
          <w:rFonts w:ascii="Times New Roman" w:hAnsi="Times New Roman"/>
          <w:szCs w:val="24"/>
          <w:lang w:val="bs-Latn-BA"/>
        </w:rPr>
        <w:t>је</w:t>
      </w:r>
      <w:r w:rsidR="00D41A15" w:rsidRPr="00295637">
        <w:rPr>
          <w:rFonts w:ascii="Times New Roman" w:hAnsi="Times New Roman"/>
          <w:szCs w:val="24"/>
          <w:lang w:val="bs-Latn-BA"/>
        </w:rPr>
        <w:t xml:space="preserve"> </w:t>
      </w:r>
      <w:r>
        <w:rPr>
          <w:rFonts w:ascii="Times New Roman" w:hAnsi="Times New Roman"/>
          <w:szCs w:val="24"/>
          <w:lang w:val="bs-Latn-BA"/>
        </w:rPr>
        <w:t>испод</w:t>
      </w:r>
      <w:r w:rsidR="00D41A15" w:rsidRPr="00295637">
        <w:rPr>
          <w:rFonts w:ascii="Times New Roman" w:hAnsi="Times New Roman"/>
          <w:szCs w:val="24"/>
          <w:lang w:val="bs-Latn-BA"/>
        </w:rPr>
        <w:t xml:space="preserve"> </w:t>
      </w:r>
      <w:r>
        <w:rPr>
          <w:rFonts w:ascii="Times New Roman" w:hAnsi="Times New Roman"/>
          <w:szCs w:val="24"/>
          <w:lang w:val="bs-Latn-BA"/>
        </w:rPr>
        <w:t>оптималног</w:t>
      </w:r>
      <w:r w:rsidR="00D41A15" w:rsidRPr="00295637">
        <w:rPr>
          <w:rFonts w:ascii="Times New Roman" w:hAnsi="Times New Roman"/>
          <w:szCs w:val="24"/>
          <w:lang w:val="bs-Latn-BA"/>
        </w:rPr>
        <w:t xml:space="preserve">, </w:t>
      </w:r>
      <w:r>
        <w:rPr>
          <w:rFonts w:ascii="Times New Roman" w:hAnsi="Times New Roman"/>
          <w:szCs w:val="24"/>
          <w:lang w:val="bs-Latn-BA"/>
        </w:rPr>
        <w:t>нарочито</w:t>
      </w:r>
      <w:r w:rsidR="00D41A15" w:rsidRPr="00295637">
        <w:rPr>
          <w:rFonts w:ascii="Times New Roman" w:hAnsi="Times New Roman"/>
          <w:szCs w:val="24"/>
          <w:lang w:val="bs-Latn-BA"/>
        </w:rPr>
        <w:t xml:space="preserve"> </w:t>
      </w:r>
      <w:r>
        <w:rPr>
          <w:rFonts w:ascii="Times New Roman" w:hAnsi="Times New Roman"/>
          <w:szCs w:val="24"/>
          <w:lang w:val="bs-Latn-BA"/>
        </w:rPr>
        <w:t>имајући</w:t>
      </w:r>
      <w:r w:rsidR="00CD6F40">
        <w:rPr>
          <w:rFonts w:ascii="Times New Roman" w:hAnsi="Times New Roman"/>
          <w:szCs w:val="24"/>
          <w:lang w:val="bs-Latn-BA"/>
        </w:rPr>
        <w:t xml:space="preserve"> </w:t>
      </w:r>
      <w:r>
        <w:rPr>
          <w:rFonts w:ascii="Times New Roman" w:hAnsi="Times New Roman"/>
          <w:szCs w:val="24"/>
          <w:lang w:val="bs-Latn-BA"/>
        </w:rPr>
        <w:t>у</w:t>
      </w:r>
      <w:r w:rsidR="00CD6F40">
        <w:rPr>
          <w:rFonts w:ascii="Times New Roman" w:hAnsi="Times New Roman"/>
          <w:szCs w:val="24"/>
          <w:lang w:val="bs-Latn-BA"/>
        </w:rPr>
        <w:t xml:space="preserve"> </w:t>
      </w:r>
      <w:r>
        <w:rPr>
          <w:rFonts w:ascii="Times New Roman" w:hAnsi="Times New Roman"/>
          <w:szCs w:val="24"/>
          <w:lang w:val="bs-Latn-BA"/>
        </w:rPr>
        <w:t>виду</w:t>
      </w:r>
      <w:r w:rsidR="00CD6F40">
        <w:rPr>
          <w:rFonts w:ascii="Times New Roman" w:hAnsi="Times New Roman"/>
          <w:szCs w:val="24"/>
          <w:lang w:val="bs-Latn-BA"/>
        </w:rPr>
        <w:t xml:space="preserve"> </w:t>
      </w:r>
      <w:r>
        <w:rPr>
          <w:rFonts w:ascii="Times New Roman" w:hAnsi="Times New Roman"/>
          <w:szCs w:val="24"/>
          <w:lang w:val="bs-Latn-BA"/>
        </w:rPr>
        <w:t>континуирани</w:t>
      </w:r>
      <w:r w:rsidR="00CD6F40">
        <w:rPr>
          <w:rFonts w:ascii="Times New Roman" w:hAnsi="Times New Roman"/>
          <w:szCs w:val="24"/>
          <w:lang w:val="bs-Latn-BA"/>
        </w:rPr>
        <w:t xml:space="preserve"> </w:t>
      </w:r>
      <w:r>
        <w:rPr>
          <w:rFonts w:ascii="Times New Roman" w:hAnsi="Times New Roman"/>
          <w:szCs w:val="24"/>
          <w:lang w:val="bs-Latn-BA"/>
        </w:rPr>
        <w:t>раст</w:t>
      </w:r>
      <w:r w:rsidR="00CD6F40">
        <w:rPr>
          <w:rFonts w:ascii="Times New Roman" w:hAnsi="Times New Roman"/>
          <w:szCs w:val="24"/>
          <w:lang w:val="bs-Latn-BA"/>
        </w:rPr>
        <w:t xml:space="preserve"> </w:t>
      </w:r>
      <w:r>
        <w:rPr>
          <w:rFonts w:ascii="Times New Roman" w:hAnsi="Times New Roman"/>
          <w:szCs w:val="24"/>
          <w:lang w:val="bs-Latn-BA"/>
        </w:rPr>
        <w:t>обавеза</w:t>
      </w:r>
      <w:r w:rsidR="00D41A15" w:rsidRPr="00295637">
        <w:rPr>
          <w:rFonts w:ascii="Times New Roman" w:hAnsi="Times New Roman"/>
          <w:szCs w:val="24"/>
          <w:lang w:val="bs-Latn-BA"/>
        </w:rPr>
        <w:t xml:space="preserve"> </w:t>
      </w:r>
      <w:r>
        <w:rPr>
          <w:rFonts w:ascii="Times New Roman" w:hAnsi="Times New Roman"/>
          <w:szCs w:val="24"/>
          <w:lang w:val="bs-Latn-BA"/>
        </w:rPr>
        <w:t>у</w:t>
      </w:r>
      <w:r w:rsidR="00D41A15" w:rsidRPr="00295637">
        <w:rPr>
          <w:rFonts w:ascii="Times New Roman" w:hAnsi="Times New Roman"/>
          <w:szCs w:val="24"/>
          <w:lang w:val="bs-Latn-BA"/>
        </w:rPr>
        <w:t xml:space="preserve"> </w:t>
      </w:r>
      <w:r>
        <w:rPr>
          <w:rFonts w:ascii="Times New Roman" w:hAnsi="Times New Roman"/>
          <w:szCs w:val="24"/>
          <w:lang w:val="bs-Latn-BA"/>
        </w:rPr>
        <w:t>свјетлу</w:t>
      </w:r>
      <w:r w:rsidR="00D41A15" w:rsidRPr="00295637">
        <w:rPr>
          <w:rFonts w:ascii="Times New Roman" w:hAnsi="Times New Roman"/>
          <w:szCs w:val="24"/>
          <w:lang w:val="bs-Latn-BA"/>
        </w:rPr>
        <w:t xml:space="preserve"> </w:t>
      </w:r>
      <w:r>
        <w:rPr>
          <w:rFonts w:ascii="Times New Roman" w:hAnsi="Times New Roman"/>
          <w:szCs w:val="24"/>
          <w:lang w:val="bs-Latn-BA"/>
        </w:rPr>
        <w:t>европских</w:t>
      </w:r>
      <w:r w:rsidR="00D41A15" w:rsidRPr="00295637">
        <w:rPr>
          <w:rFonts w:ascii="Times New Roman" w:hAnsi="Times New Roman"/>
          <w:szCs w:val="24"/>
          <w:lang w:val="bs-Latn-BA"/>
        </w:rPr>
        <w:t xml:space="preserve"> </w:t>
      </w:r>
      <w:r>
        <w:rPr>
          <w:rFonts w:ascii="Times New Roman" w:hAnsi="Times New Roman"/>
          <w:szCs w:val="24"/>
          <w:lang w:val="bs-Latn-BA"/>
        </w:rPr>
        <w:t>интеграција</w:t>
      </w:r>
      <w:r w:rsidR="00D41A15" w:rsidRPr="00295637">
        <w:rPr>
          <w:rFonts w:ascii="Times New Roman" w:hAnsi="Times New Roman"/>
          <w:szCs w:val="24"/>
          <w:lang w:val="bs-Latn-BA"/>
        </w:rPr>
        <w:t xml:space="preserve"> </w:t>
      </w:r>
      <w:r>
        <w:rPr>
          <w:rFonts w:ascii="Times New Roman" w:hAnsi="Times New Roman"/>
          <w:szCs w:val="24"/>
          <w:lang w:val="bs-Latn-BA"/>
        </w:rPr>
        <w:t>и</w:t>
      </w:r>
      <w:r w:rsidR="00D41A15" w:rsidRPr="00295637">
        <w:rPr>
          <w:rFonts w:ascii="Times New Roman" w:hAnsi="Times New Roman"/>
          <w:szCs w:val="24"/>
          <w:lang w:val="bs-Latn-BA"/>
        </w:rPr>
        <w:t xml:space="preserve"> </w:t>
      </w:r>
      <w:r>
        <w:rPr>
          <w:rFonts w:ascii="Times New Roman" w:hAnsi="Times New Roman"/>
          <w:szCs w:val="24"/>
          <w:lang w:val="bs-Latn-BA"/>
        </w:rPr>
        <w:t>проширења</w:t>
      </w:r>
      <w:r w:rsidR="00D41A15" w:rsidRPr="00295637">
        <w:rPr>
          <w:rFonts w:ascii="Times New Roman" w:hAnsi="Times New Roman"/>
          <w:szCs w:val="24"/>
          <w:lang w:val="bs-Latn-BA"/>
        </w:rPr>
        <w:t xml:space="preserve"> </w:t>
      </w:r>
      <w:r>
        <w:rPr>
          <w:rFonts w:ascii="Times New Roman" w:hAnsi="Times New Roman"/>
          <w:szCs w:val="24"/>
          <w:lang w:val="bs-Latn-BA"/>
        </w:rPr>
        <w:t>домета</w:t>
      </w:r>
      <w:r w:rsidR="00D41A15" w:rsidRPr="00295637">
        <w:rPr>
          <w:rFonts w:ascii="Times New Roman" w:hAnsi="Times New Roman"/>
          <w:szCs w:val="24"/>
          <w:lang w:val="bs-Latn-BA"/>
        </w:rPr>
        <w:t xml:space="preserve"> </w:t>
      </w:r>
      <w:r>
        <w:rPr>
          <w:rFonts w:ascii="Times New Roman" w:hAnsi="Times New Roman"/>
          <w:szCs w:val="24"/>
          <w:lang w:val="bs-Latn-BA"/>
        </w:rPr>
        <w:t>људских</w:t>
      </w:r>
      <w:r w:rsidR="00D41A15" w:rsidRPr="00295637">
        <w:rPr>
          <w:rFonts w:ascii="Times New Roman" w:hAnsi="Times New Roman"/>
          <w:szCs w:val="24"/>
          <w:lang w:val="bs-Latn-BA"/>
        </w:rPr>
        <w:t xml:space="preserve"> </w:t>
      </w:r>
      <w:r>
        <w:rPr>
          <w:rFonts w:ascii="Times New Roman" w:hAnsi="Times New Roman"/>
          <w:szCs w:val="24"/>
          <w:lang w:val="bs-Latn-BA"/>
        </w:rPr>
        <w:t>права</w:t>
      </w:r>
      <w:r w:rsidR="00D41A15" w:rsidRPr="00295637">
        <w:rPr>
          <w:rFonts w:ascii="Times New Roman" w:hAnsi="Times New Roman"/>
          <w:szCs w:val="24"/>
          <w:lang w:val="bs-Latn-BA"/>
        </w:rPr>
        <w:t xml:space="preserve">. </w:t>
      </w:r>
      <w:r>
        <w:rPr>
          <w:rFonts w:ascii="Times New Roman" w:hAnsi="Times New Roman"/>
          <w:szCs w:val="24"/>
          <w:lang w:val="bs-Latn-BA"/>
        </w:rPr>
        <w:t>Буџетска</w:t>
      </w:r>
      <w:r w:rsidR="00D41A15" w:rsidRPr="00295637">
        <w:rPr>
          <w:rFonts w:ascii="Times New Roman" w:hAnsi="Times New Roman"/>
          <w:szCs w:val="24"/>
          <w:lang w:val="bs-Latn-BA"/>
        </w:rPr>
        <w:t xml:space="preserve"> </w:t>
      </w:r>
      <w:r>
        <w:rPr>
          <w:rFonts w:ascii="Times New Roman" w:hAnsi="Times New Roman"/>
          <w:szCs w:val="24"/>
          <w:lang w:val="bs-Latn-BA"/>
        </w:rPr>
        <w:t>средства</w:t>
      </w:r>
      <w:r w:rsidR="00D41A15" w:rsidRPr="00295637">
        <w:rPr>
          <w:rFonts w:ascii="Times New Roman" w:hAnsi="Times New Roman"/>
          <w:szCs w:val="24"/>
          <w:lang w:val="bs-Latn-BA"/>
        </w:rPr>
        <w:t xml:space="preserve"> </w:t>
      </w:r>
      <w:r>
        <w:rPr>
          <w:rFonts w:ascii="Times New Roman" w:hAnsi="Times New Roman"/>
          <w:szCs w:val="24"/>
          <w:lang w:val="bs-Latn-BA"/>
        </w:rPr>
        <w:t>нису</w:t>
      </w:r>
      <w:r w:rsidR="00D41A15" w:rsidRPr="00295637">
        <w:rPr>
          <w:rFonts w:ascii="Times New Roman" w:hAnsi="Times New Roman"/>
          <w:szCs w:val="24"/>
          <w:lang w:val="bs-Latn-BA"/>
        </w:rPr>
        <w:t xml:space="preserve"> </w:t>
      </w:r>
      <w:r>
        <w:rPr>
          <w:rFonts w:ascii="Times New Roman" w:hAnsi="Times New Roman"/>
          <w:szCs w:val="24"/>
          <w:lang w:val="bs-Latn-BA"/>
        </w:rPr>
        <w:t>повећана</w:t>
      </w:r>
      <w:r w:rsidR="007E574D" w:rsidRPr="00295637">
        <w:rPr>
          <w:rFonts w:ascii="Times New Roman" w:hAnsi="Times New Roman"/>
          <w:szCs w:val="24"/>
          <w:lang w:val="bs-Latn-BA"/>
        </w:rPr>
        <w:t xml:space="preserve">, </w:t>
      </w:r>
      <w:r>
        <w:rPr>
          <w:rFonts w:ascii="Times New Roman" w:hAnsi="Times New Roman"/>
          <w:szCs w:val="24"/>
          <w:lang w:val="bs-Latn-BA"/>
        </w:rPr>
        <w:t>при</w:t>
      </w:r>
      <w:r w:rsidR="007E574D" w:rsidRPr="00295637">
        <w:rPr>
          <w:rFonts w:ascii="Times New Roman" w:hAnsi="Times New Roman"/>
          <w:szCs w:val="24"/>
          <w:lang w:val="bs-Latn-BA"/>
        </w:rPr>
        <w:t xml:space="preserve"> </w:t>
      </w:r>
      <w:r>
        <w:rPr>
          <w:rFonts w:ascii="Times New Roman" w:hAnsi="Times New Roman"/>
          <w:szCs w:val="24"/>
          <w:lang w:val="bs-Latn-BA"/>
        </w:rPr>
        <w:t>чему</w:t>
      </w:r>
      <w:r w:rsidR="007E574D" w:rsidRPr="00295637">
        <w:rPr>
          <w:rFonts w:ascii="Times New Roman" w:hAnsi="Times New Roman"/>
          <w:szCs w:val="24"/>
          <w:lang w:val="bs-Latn-BA"/>
        </w:rPr>
        <w:t xml:space="preserve"> </w:t>
      </w:r>
      <w:r>
        <w:rPr>
          <w:rFonts w:ascii="Times New Roman" w:hAnsi="Times New Roman"/>
          <w:szCs w:val="24"/>
          <w:lang w:val="bs-Latn-BA"/>
        </w:rPr>
        <w:t>се</w:t>
      </w:r>
      <w:r w:rsidR="007E574D" w:rsidRPr="00295637">
        <w:rPr>
          <w:rFonts w:ascii="Times New Roman" w:hAnsi="Times New Roman"/>
          <w:szCs w:val="24"/>
          <w:lang w:val="bs-Latn-BA"/>
        </w:rPr>
        <w:t xml:space="preserve"> </w:t>
      </w:r>
      <w:r>
        <w:rPr>
          <w:rFonts w:ascii="Times New Roman" w:hAnsi="Times New Roman"/>
          <w:szCs w:val="24"/>
          <w:lang w:val="bs-Latn-BA"/>
        </w:rPr>
        <w:t>буџет</w:t>
      </w:r>
      <w:r w:rsidR="007E574D" w:rsidRPr="00295637">
        <w:rPr>
          <w:rFonts w:ascii="Times New Roman" w:hAnsi="Times New Roman"/>
          <w:szCs w:val="24"/>
          <w:lang w:val="bs-Latn-BA"/>
        </w:rPr>
        <w:t xml:space="preserve"> </w:t>
      </w:r>
      <w:r>
        <w:rPr>
          <w:rFonts w:ascii="Times New Roman" w:hAnsi="Times New Roman"/>
          <w:szCs w:val="24"/>
          <w:lang w:val="bs-Latn-BA"/>
        </w:rPr>
        <w:t>АР</w:t>
      </w:r>
      <w:r w:rsidR="003927C3">
        <w:rPr>
          <w:rFonts w:ascii="Times New Roman" w:hAnsi="Times New Roman"/>
          <w:szCs w:val="24"/>
          <w:lang w:val="sr-Cyrl-BA"/>
        </w:rPr>
        <w:t>П</w:t>
      </w:r>
      <w:r w:rsidR="00AA2171">
        <w:rPr>
          <w:rFonts w:ascii="Times New Roman" w:hAnsi="Times New Roman"/>
          <w:szCs w:val="24"/>
          <w:lang w:val="bs-Latn-BA"/>
        </w:rPr>
        <w:t xml:space="preserve"> </w:t>
      </w:r>
      <w:r>
        <w:rPr>
          <w:rFonts w:ascii="Times New Roman" w:hAnsi="Times New Roman"/>
          <w:szCs w:val="24"/>
          <w:lang w:val="bs-Latn-BA"/>
        </w:rPr>
        <w:t>БиХ</w:t>
      </w:r>
      <w:r w:rsidR="00AA2171">
        <w:rPr>
          <w:rFonts w:ascii="Times New Roman" w:hAnsi="Times New Roman"/>
          <w:szCs w:val="24"/>
          <w:lang w:val="bs-Latn-BA"/>
        </w:rPr>
        <w:t xml:space="preserve"> </w:t>
      </w:r>
      <w:r>
        <w:rPr>
          <w:rFonts w:ascii="Times New Roman" w:hAnsi="Times New Roman"/>
          <w:szCs w:val="24"/>
          <w:lang w:val="bs-Latn-BA"/>
        </w:rPr>
        <w:t>МЉПИ</w:t>
      </w:r>
      <w:r w:rsidR="000A3BC7" w:rsidRPr="00295637">
        <w:rPr>
          <w:rFonts w:ascii="Times New Roman" w:hAnsi="Times New Roman"/>
          <w:szCs w:val="24"/>
          <w:lang w:val="bs-Latn-BA"/>
        </w:rPr>
        <w:t xml:space="preserve"> </w:t>
      </w:r>
      <w:r>
        <w:rPr>
          <w:rFonts w:ascii="Times New Roman" w:hAnsi="Times New Roman"/>
          <w:szCs w:val="24"/>
          <w:lang w:val="bs-Latn-BA"/>
        </w:rPr>
        <w:t>БиХ</w:t>
      </w:r>
      <w:r w:rsidR="000A3BC7" w:rsidRPr="00295637">
        <w:rPr>
          <w:rFonts w:ascii="Times New Roman" w:hAnsi="Times New Roman"/>
          <w:szCs w:val="24"/>
          <w:lang w:val="bs-Latn-BA"/>
        </w:rPr>
        <w:t xml:space="preserve"> </w:t>
      </w:r>
      <w:r>
        <w:rPr>
          <w:rFonts w:ascii="Times New Roman" w:hAnsi="Times New Roman"/>
          <w:szCs w:val="24"/>
          <w:lang w:val="bs-Latn-BA"/>
        </w:rPr>
        <w:t>процјењује</w:t>
      </w:r>
      <w:r w:rsidR="00D41A15" w:rsidRPr="00295637">
        <w:rPr>
          <w:rFonts w:ascii="Times New Roman" w:hAnsi="Times New Roman"/>
          <w:szCs w:val="24"/>
          <w:lang w:val="bs-Latn-BA"/>
        </w:rPr>
        <w:t xml:space="preserve"> </w:t>
      </w:r>
      <w:r>
        <w:rPr>
          <w:rFonts w:ascii="Times New Roman" w:hAnsi="Times New Roman"/>
          <w:szCs w:val="24"/>
          <w:lang w:val="bs-Latn-BA"/>
        </w:rPr>
        <w:t>на</w:t>
      </w:r>
      <w:r w:rsidR="00D41A15" w:rsidRPr="00295637">
        <w:rPr>
          <w:rFonts w:ascii="Times New Roman" w:hAnsi="Times New Roman"/>
          <w:szCs w:val="24"/>
          <w:lang w:val="bs-Latn-BA"/>
        </w:rPr>
        <w:t xml:space="preserve"> </w:t>
      </w:r>
      <w:r>
        <w:rPr>
          <w:rFonts w:ascii="Times New Roman" w:hAnsi="Times New Roman"/>
          <w:szCs w:val="24"/>
          <w:lang w:val="bs-Latn-BA"/>
        </w:rPr>
        <w:t>приближно</w:t>
      </w:r>
      <w:r w:rsidR="00D41A15" w:rsidRPr="00295637">
        <w:rPr>
          <w:rFonts w:ascii="Times New Roman" w:hAnsi="Times New Roman"/>
          <w:szCs w:val="24"/>
          <w:lang w:val="bs-Latn-BA"/>
        </w:rPr>
        <w:t xml:space="preserve"> </w:t>
      </w:r>
      <w:r w:rsidR="00CB5A4F" w:rsidRPr="00295637">
        <w:rPr>
          <w:rFonts w:ascii="Times New Roman" w:hAnsi="Times New Roman"/>
          <w:szCs w:val="24"/>
          <w:lang w:val="bs-Latn-BA"/>
        </w:rPr>
        <w:t>0,03</w:t>
      </w:r>
      <w:r w:rsidR="00301223" w:rsidRPr="00295637">
        <w:rPr>
          <w:rFonts w:ascii="Times New Roman" w:hAnsi="Times New Roman"/>
          <w:szCs w:val="24"/>
          <w:lang w:val="bs-Latn-BA"/>
        </w:rPr>
        <w:t xml:space="preserve">% </w:t>
      </w:r>
      <w:r>
        <w:rPr>
          <w:rFonts w:ascii="Times New Roman" w:hAnsi="Times New Roman"/>
          <w:szCs w:val="24"/>
          <w:lang w:val="bs-Latn-BA"/>
        </w:rPr>
        <w:t>буџета</w:t>
      </w:r>
      <w:r w:rsidR="00301223" w:rsidRPr="00295637">
        <w:rPr>
          <w:rFonts w:ascii="Times New Roman" w:hAnsi="Times New Roman"/>
          <w:szCs w:val="24"/>
          <w:lang w:val="bs-Latn-BA"/>
        </w:rPr>
        <w:t xml:space="preserve"> </w:t>
      </w:r>
      <w:r w:rsidR="003927C3">
        <w:rPr>
          <w:rFonts w:ascii="Times New Roman" w:hAnsi="Times New Roman"/>
          <w:szCs w:val="24"/>
          <w:lang w:val="sr-Cyrl-BA"/>
        </w:rPr>
        <w:t>Савјета</w:t>
      </w:r>
      <w:r w:rsidR="00301223" w:rsidRPr="00295637">
        <w:rPr>
          <w:rFonts w:ascii="Times New Roman" w:hAnsi="Times New Roman"/>
          <w:szCs w:val="24"/>
          <w:lang w:val="bs-Latn-BA"/>
        </w:rPr>
        <w:t xml:space="preserve"> </w:t>
      </w:r>
      <w:r>
        <w:rPr>
          <w:rFonts w:ascii="Times New Roman" w:hAnsi="Times New Roman"/>
          <w:szCs w:val="24"/>
          <w:lang w:val="bs-Latn-BA"/>
        </w:rPr>
        <w:t>министара</w:t>
      </w:r>
      <w:r w:rsidR="00301223" w:rsidRPr="00295637">
        <w:rPr>
          <w:rFonts w:ascii="Times New Roman" w:hAnsi="Times New Roman"/>
          <w:szCs w:val="24"/>
          <w:lang w:val="bs-Latn-BA"/>
        </w:rPr>
        <w:t xml:space="preserve"> </w:t>
      </w:r>
      <w:r>
        <w:rPr>
          <w:rFonts w:ascii="Times New Roman" w:hAnsi="Times New Roman"/>
          <w:szCs w:val="24"/>
          <w:lang w:val="bs-Latn-BA"/>
        </w:rPr>
        <w:t>Босне</w:t>
      </w:r>
      <w:r w:rsidR="00301223" w:rsidRPr="00295637">
        <w:rPr>
          <w:rFonts w:ascii="Times New Roman" w:hAnsi="Times New Roman"/>
          <w:szCs w:val="24"/>
          <w:lang w:val="bs-Latn-BA"/>
        </w:rPr>
        <w:t xml:space="preserve"> </w:t>
      </w:r>
      <w:r>
        <w:rPr>
          <w:rFonts w:ascii="Times New Roman" w:hAnsi="Times New Roman"/>
          <w:szCs w:val="24"/>
          <w:lang w:val="bs-Latn-BA"/>
        </w:rPr>
        <w:t>и</w:t>
      </w:r>
      <w:r w:rsidR="00301223" w:rsidRPr="00295637">
        <w:rPr>
          <w:rFonts w:ascii="Times New Roman" w:hAnsi="Times New Roman"/>
          <w:szCs w:val="24"/>
          <w:lang w:val="bs-Latn-BA"/>
        </w:rPr>
        <w:t xml:space="preserve"> </w:t>
      </w:r>
      <w:r>
        <w:rPr>
          <w:rFonts w:ascii="Times New Roman" w:hAnsi="Times New Roman"/>
          <w:szCs w:val="24"/>
          <w:lang w:val="bs-Latn-BA"/>
        </w:rPr>
        <w:t>Херцеговине</w:t>
      </w:r>
      <w:r w:rsidR="00301223" w:rsidRPr="00295637">
        <w:rPr>
          <w:rFonts w:ascii="Times New Roman" w:hAnsi="Times New Roman"/>
          <w:szCs w:val="24"/>
          <w:lang w:val="bs-Latn-BA"/>
        </w:rPr>
        <w:t xml:space="preserve">, </w:t>
      </w:r>
      <w:r>
        <w:rPr>
          <w:rFonts w:ascii="Times New Roman" w:hAnsi="Times New Roman"/>
          <w:szCs w:val="24"/>
          <w:lang w:val="bs-Latn-BA"/>
        </w:rPr>
        <w:t>буџет</w:t>
      </w:r>
      <w:r w:rsidR="00CD6F40">
        <w:rPr>
          <w:rFonts w:ascii="Times New Roman" w:hAnsi="Times New Roman"/>
          <w:szCs w:val="24"/>
          <w:lang w:val="bs-Latn-BA"/>
        </w:rPr>
        <w:t xml:space="preserve"> </w:t>
      </w:r>
      <w:r>
        <w:rPr>
          <w:rFonts w:ascii="Times New Roman" w:hAnsi="Times New Roman"/>
          <w:szCs w:val="24"/>
          <w:lang w:val="bs-Latn-BA"/>
        </w:rPr>
        <w:t>ГЦ</w:t>
      </w:r>
      <w:r w:rsidR="00CD6F40">
        <w:rPr>
          <w:rFonts w:ascii="Times New Roman" w:hAnsi="Times New Roman"/>
          <w:szCs w:val="24"/>
          <w:lang w:val="bs-Latn-BA"/>
        </w:rPr>
        <w:t xml:space="preserve"> </w:t>
      </w:r>
      <w:r>
        <w:rPr>
          <w:rFonts w:ascii="Times New Roman" w:hAnsi="Times New Roman"/>
          <w:szCs w:val="24"/>
          <w:lang w:val="bs-Latn-BA"/>
        </w:rPr>
        <w:t>ФБиХ</w:t>
      </w:r>
      <w:r w:rsidR="000A3BC7" w:rsidRPr="00295637">
        <w:rPr>
          <w:rFonts w:ascii="Times New Roman" w:hAnsi="Times New Roman"/>
          <w:szCs w:val="24"/>
          <w:lang w:val="bs-Latn-BA"/>
        </w:rPr>
        <w:t xml:space="preserve"> </w:t>
      </w:r>
      <w:r w:rsidR="00D41A15" w:rsidRPr="00295637">
        <w:rPr>
          <w:rFonts w:ascii="Times New Roman" w:hAnsi="Times New Roman"/>
          <w:szCs w:val="24"/>
          <w:lang w:val="bs-Latn-BA"/>
        </w:rPr>
        <w:t xml:space="preserve">0,01% </w:t>
      </w:r>
      <w:r>
        <w:rPr>
          <w:rFonts w:ascii="Times New Roman" w:hAnsi="Times New Roman"/>
          <w:szCs w:val="24"/>
          <w:lang w:val="bs-Latn-BA"/>
        </w:rPr>
        <w:t>укупног</w:t>
      </w:r>
      <w:r w:rsidR="00301223" w:rsidRPr="00295637">
        <w:rPr>
          <w:rFonts w:ascii="Times New Roman" w:hAnsi="Times New Roman"/>
          <w:szCs w:val="24"/>
          <w:lang w:val="bs-Latn-BA"/>
        </w:rPr>
        <w:t xml:space="preserve"> </w:t>
      </w:r>
      <w:r>
        <w:rPr>
          <w:rFonts w:ascii="Times New Roman" w:hAnsi="Times New Roman"/>
          <w:szCs w:val="24"/>
          <w:lang w:val="bs-Latn-BA"/>
        </w:rPr>
        <w:t>буџета</w:t>
      </w:r>
      <w:r w:rsidR="00301223" w:rsidRPr="00295637">
        <w:rPr>
          <w:rFonts w:ascii="Times New Roman" w:hAnsi="Times New Roman"/>
          <w:szCs w:val="24"/>
          <w:lang w:val="bs-Latn-BA"/>
        </w:rPr>
        <w:t xml:space="preserve"> </w:t>
      </w:r>
      <w:r>
        <w:rPr>
          <w:rFonts w:ascii="Times New Roman" w:hAnsi="Times New Roman"/>
          <w:szCs w:val="24"/>
          <w:lang w:val="bs-Latn-BA"/>
        </w:rPr>
        <w:t>ФБиХ</w:t>
      </w:r>
      <w:r w:rsidR="000A3BC7" w:rsidRPr="00295637">
        <w:rPr>
          <w:rFonts w:ascii="Times New Roman" w:hAnsi="Times New Roman"/>
          <w:szCs w:val="24"/>
          <w:lang w:val="bs-Latn-BA"/>
        </w:rPr>
        <w:t xml:space="preserve">, </w:t>
      </w:r>
      <w:r>
        <w:rPr>
          <w:rFonts w:ascii="Times New Roman" w:hAnsi="Times New Roman"/>
          <w:szCs w:val="24"/>
          <w:lang w:val="bs-Latn-BA"/>
        </w:rPr>
        <w:t>као</w:t>
      </w:r>
      <w:r w:rsidR="000A3BC7" w:rsidRPr="00295637">
        <w:rPr>
          <w:rFonts w:ascii="Times New Roman" w:hAnsi="Times New Roman"/>
          <w:szCs w:val="24"/>
          <w:lang w:val="bs-Latn-BA"/>
        </w:rPr>
        <w:t xml:space="preserve"> </w:t>
      </w:r>
      <w:r>
        <w:rPr>
          <w:rFonts w:ascii="Times New Roman" w:hAnsi="Times New Roman"/>
          <w:szCs w:val="24"/>
          <w:lang w:val="bs-Latn-BA"/>
        </w:rPr>
        <w:t>и</w:t>
      </w:r>
      <w:r w:rsidR="000A3BC7" w:rsidRPr="00295637">
        <w:rPr>
          <w:rFonts w:ascii="Times New Roman" w:hAnsi="Times New Roman"/>
          <w:szCs w:val="24"/>
          <w:lang w:val="bs-Latn-BA"/>
        </w:rPr>
        <w:t xml:space="preserve"> </w:t>
      </w:r>
      <w:r>
        <w:rPr>
          <w:rFonts w:ascii="Times New Roman" w:hAnsi="Times New Roman"/>
          <w:szCs w:val="24"/>
          <w:lang w:val="bs-Latn-BA"/>
        </w:rPr>
        <w:t>буџет</w:t>
      </w:r>
      <w:r w:rsidR="000A3BC7" w:rsidRPr="00295637">
        <w:rPr>
          <w:rFonts w:ascii="Times New Roman" w:hAnsi="Times New Roman"/>
          <w:szCs w:val="24"/>
          <w:lang w:val="bs-Latn-BA"/>
        </w:rPr>
        <w:t xml:space="preserve"> </w:t>
      </w:r>
      <w:r>
        <w:rPr>
          <w:rFonts w:ascii="Times New Roman" w:hAnsi="Times New Roman"/>
          <w:szCs w:val="24"/>
          <w:lang w:val="bs-Latn-BA"/>
        </w:rPr>
        <w:t>ЦЈРП</w:t>
      </w:r>
      <w:r w:rsidR="000A3BC7" w:rsidRPr="00295637">
        <w:rPr>
          <w:rFonts w:ascii="Times New Roman" w:hAnsi="Times New Roman"/>
          <w:szCs w:val="24"/>
          <w:lang w:val="bs-Latn-BA"/>
        </w:rPr>
        <w:t xml:space="preserve"> </w:t>
      </w:r>
      <w:r>
        <w:rPr>
          <w:rFonts w:ascii="Times New Roman" w:hAnsi="Times New Roman"/>
          <w:szCs w:val="24"/>
          <w:lang w:val="bs-Latn-BA"/>
        </w:rPr>
        <w:t>РС</w:t>
      </w:r>
      <w:r w:rsidR="0044442B" w:rsidRPr="00295637">
        <w:rPr>
          <w:rFonts w:ascii="Times New Roman" w:hAnsi="Times New Roman"/>
          <w:szCs w:val="24"/>
          <w:lang w:val="bs-Latn-BA"/>
        </w:rPr>
        <w:t xml:space="preserve"> </w:t>
      </w:r>
      <w:r>
        <w:rPr>
          <w:rFonts w:ascii="Times New Roman" w:hAnsi="Times New Roman"/>
          <w:szCs w:val="24"/>
          <w:lang w:val="bs-Latn-BA"/>
        </w:rPr>
        <w:t>који</w:t>
      </w:r>
      <w:r w:rsidR="000A3BC7" w:rsidRPr="00295637">
        <w:rPr>
          <w:rFonts w:ascii="Times New Roman" w:hAnsi="Times New Roman"/>
          <w:szCs w:val="24"/>
          <w:lang w:val="bs-Latn-BA"/>
        </w:rPr>
        <w:t xml:space="preserve"> </w:t>
      </w:r>
      <w:r w:rsidR="003927C3">
        <w:rPr>
          <w:rFonts w:ascii="Times New Roman" w:hAnsi="Times New Roman"/>
          <w:szCs w:val="24"/>
          <w:lang w:val="bs-Latn-BA"/>
        </w:rPr>
        <w:t>такође</w:t>
      </w:r>
      <w:r w:rsidR="000A3BC7" w:rsidRPr="00295637">
        <w:rPr>
          <w:rFonts w:ascii="Times New Roman" w:hAnsi="Times New Roman"/>
          <w:szCs w:val="24"/>
          <w:lang w:val="bs-Latn-BA"/>
        </w:rPr>
        <w:t xml:space="preserve"> </w:t>
      </w:r>
      <w:r>
        <w:rPr>
          <w:rFonts w:ascii="Times New Roman" w:hAnsi="Times New Roman"/>
          <w:szCs w:val="24"/>
          <w:lang w:val="bs-Latn-BA"/>
        </w:rPr>
        <w:t>износи</w:t>
      </w:r>
      <w:r w:rsidR="000A3BC7" w:rsidRPr="00295637">
        <w:rPr>
          <w:rFonts w:ascii="Times New Roman" w:hAnsi="Times New Roman"/>
          <w:szCs w:val="24"/>
          <w:lang w:val="bs-Latn-BA"/>
        </w:rPr>
        <w:t xml:space="preserve"> 0,01% </w:t>
      </w:r>
      <w:r>
        <w:rPr>
          <w:rFonts w:ascii="Times New Roman" w:hAnsi="Times New Roman"/>
          <w:szCs w:val="24"/>
          <w:lang w:val="bs-Latn-BA"/>
        </w:rPr>
        <w:t>укупног</w:t>
      </w:r>
      <w:r w:rsidR="000A3BC7" w:rsidRPr="00295637">
        <w:rPr>
          <w:rFonts w:ascii="Times New Roman" w:hAnsi="Times New Roman"/>
          <w:szCs w:val="24"/>
          <w:lang w:val="bs-Latn-BA"/>
        </w:rPr>
        <w:t xml:space="preserve"> </w:t>
      </w:r>
      <w:r>
        <w:rPr>
          <w:rFonts w:ascii="Times New Roman" w:hAnsi="Times New Roman"/>
          <w:szCs w:val="24"/>
          <w:lang w:val="bs-Latn-BA"/>
        </w:rPr>
        <w:t>буџета</w:t>
      </w:r>
      <w:r w:rsidR="000A3BC7" w:rsidRPr="00295637">
        <w:rPr>
          <w:rFonts w:ascii="Times New Roman" w:hAnsi="Times New Roman"/>
          <w:szCs w:val="24"/>
          <w:lang w:val="bs-Latn-BA"/>
        </w:rPr>
        <w:t xml:space="preserve"> </w:t>
      </w:r>
      <w:r>
        <w:rPr>
          <w:rFonts w:ascii="Times New Roman" w:hAnsi="Times New Roman"/>
          <w:szCs w:val="24"/>
          <w:lang w:val="bs-Latn-BA"/>
        </w:rPr>
        <w:t>Републике</w:t>
      </w:r>
      <w:r w:rsidR="000A3BC7" w:rsidRPr="00295637">
        <w:rPr>
          <w:rFonts w:ascii="Times New Roman" w:hAnsi="Times New Roman"/>
          <w:szCs w:val="24"/>
          <w:lang w:val="bs-Latn-BA"/>
        </w:rPr>
        <w:t xml:space="preserve"> </w:t>
      </w:r>
      <w:r>
        <w:rPr>
          <w:rFonts w:ascii="Times New Roman" w:hAnsi="Times New Roman"/>
          <w:szCs w:val="24"/>
          <w:lang w:val="bs-Latn-BA"/>
        </w:rPr>
        <w:t>Српске</w:t>
      </w:r>
      <w:r w:rsidR="00301223" w:rsidRPr="00295637">
        <w:rPr>
          <w:rFonts w:ascii="Times New Roman" w:hAnsi="Times New Roman"/>
          <w:szCs w:val="24"/>
          <w:lang w:val="bs-Latn-BA"/>
        </w:rPr>
        <w:t>.</w:t>
      </w:r>
      <w:r w:rsidR="00D41A15" w:rsidRPr="00295637">
        <w:rPr>
          <w:rFonts w:ascii="Times New Roman" w:hAnsi="Times New Roman"/>
          <w:szCs w:val="24"/>
          <w:lang w:val="bs-Latn-BA"/>
        </w:rPr>
        <w:t xml:space="preserve"> </w:t>
      </w:r>
      <w:r>
        <w:rPr>
          <w:rFonts w:ascii="Times New Roman" w:hAnsi="Times New Roman"/>
          <w:szCs w:val="24"/>
          <w:lang w:val="bs-Latn-BA"/>
        </w:rPr>
        <w:t>Стога</w:t>
      </w:r>
      <w:r w:rsidR="00D41A15" w:rsidRPr="00295637">
        <w:rPr>
          <w:rFonts w:ascii="Times New Roman" w:hAnsi="Times New Roman"/>
          <w:szCs w:val="24"/>
          <w:lang w:val="bs-Latn-BA"/>
        </w:rPr>
        <w:t xml:space="preserve">, </w:t>
      </w:r>
      <w:r>
        <w:rPr>
          <w:rFonts w:ascii="Times New Roman" w:hAnsi="Times New Roman"/>
          <w:szCs w:val="24"/>
          <w:lang w:val="bs-Latn-BA"/>
        </w:rPr>
        <w:t>може</w:t>
      </w:r>
      <w:r w:rsidR="00D41A15" w:rsidRPr="00295637">
        <w:rPr>
          <w:rFonts w:ascii="Times New Roman" w:hAnsi="Times New Roman"/>
          <w:szCs w:val="24"/>
          <w:lang w:val="bs-Latn-BA"/>
        </w:rPr>
        <w:t xml:space="preserve"> </w:t>
      </w:r>
      <w:r>
        <w:rPr>
          <w:rFonts w:ascii="Times New Roman" w:hAnsi="Times New Roman"/>
          <w:szCs w:val="24"/>
          <w:lang w:val="bs-Latn-BA"/>
        </w:rPr>
        <w:t>се</w:t>
      </w:r>
      <w:r w:rsidR="00D41A15" w:rsidRPr="00295637">
        <w:rPr>
          <w:rFonts w:ascii="Times New Roman" w:hAnsi="Times New Roman"/>
          <w:szCs w:val="24"/>
          <w:lang w:val="bs-Latn-BA"/>
        </w:rPr>
        <w:t xml:space="preserve"> </w:t>
      </w:r>
      <w:r>
        <w:rPr>
          <w:rFonts w:ascii="Times New Roman" w:hAnsi="Times New Roman"/>
          <w:szCs w:val="24"/>
          <w:lang w:val="bs-Latn-BA"/>
        </w:rPr>
        <w:t>закључити</w:t>
      </w:r>
      <w:r w:rsidR="00D41A15" w:rsidRPr="00295637">
        <w:rPr>
          <w:rFonts w:ascii="Times New Roman" w:hAnsi="Times New Roman"/>
          <w:szCs w:val="24"/>
          <w:lang w:val="bs-Latn-BA"/>
        </w:rPr>
        <w:t xml:space="preserve"> </w:t>
      </w:r>
      <w:r>
        <w:rPr>
          <w:rFonts w:ascii="Times New Roman" w:hAnsi="Times New Roman"/>
          <w:szCs w:val="24"/>
          <w:lang w:val="bs-Latn-BA"/>
        </w:rPr>
        <w:t>да</w:t>
      </w:r>
      <w:r w:rsidR="00D41A15" w:rsidRPr="00295637">
        <w:rPr>
          <w:rFonts w:ascii="Times New Roman" w:hAnsi="Times New Roman"/>
          <w:szCs w:val="24"/>
          <w:lang w:val="bs-Latn-BA"/>
        </w:rPr>
        <w:t xml:space="preserve"> </w:t>
      </w:r>
      <w:r>
        <w:rPr>
          <w:rFonts w:ascii="Times New Roman" w:hAnsi="Times New Roman"/>
          <w:szCs w:val="24"/>
          <w:lang w:val="bs-Latn-BA"/>
        </w:rPr>
        <w:t>остварење</w:t>
      </w:r>
      <w:r w:rsidR="00D41A15" w:rsidRPr="00295637">
        <w:rPr>
          <w:rFonts w:ascii="Times New Roman" w:hAnsi="Times New Roman"/>
          <w:szCs w:val="24"/>
          <w:lang w:val="bs-Latn-BA"/>
        </w:rPr>
        <w:t xml:space="preserve"> </w:t>
      </w:r>
      <w:r>
        <w:rPr>
          <w:rFonts w:ascii="Times New Roman" w:hAnsi="Times New Roman"/>
          <w:szCs w:val="24"/>
          <w:lang w:val="bs-Latn-BA"/>
        </w:rPr>
        <w:t>мандата</w:t>
      </w:r>
      <w:r w:rsidR="00D41A15" w:rsidRPr="00295637">
        <w:rPr>
          <w:rFonts w:ascii="Times New Roman" w:hAnsi="Times New Roman"/>
          <w:szCs w:val="24"/>
          <w:lang w:val="bs-Latn-BA"/>
        </w:rPr>
        <w:t xml:space="preserve"> </w:t>
      </w:r>
      <w:r>
        <w:rPr>
          <w:rFonts w:ascii="Times New Roman" w:hAnsi="Times New Roman"/>
          <w:szCs w:val="24"/>
          <w:lang w:val="bs-Latn-BA"/>
        </w:rPr>
        <w:t>још</w:t>
      </w:r>
      <w:r w:rsidR="00D41A15" w:rsidRPr="00295637">
        <w:rPr>
          <w:rFonts w:ascii="Times New Roman" w:hAnsi="Times New Roman"/>
          <w:szCs w:val="24"/>
          <w:lang w:val="bs-Latn-BA"/>
        </w:rPr>
        <w:t xml:space="preserve"> </w:t>
      </w:r>
      <w:r>
        <w:rPr>
          <w:rFonts w:ascii="Times New Roman" w:hAnsi="Times New Roman"/>
          <w:szCs w:val="24"/>
          <w:lang w:val="bs-Latn-BA"/>
        </w:rPr>
        <w:t>увијек</w:t>
      </w:r>
      <w:r w:rsidR="00D41A15" w:rsidRPr="00295637">
        <w:rPr>
          <w:rFonts w:ascii="Times New Roman" w:hAnsi="Times New Roman"/>
          <w:szCs w:val="24"/>
          <w:lang w:val="bs-Latn-BA"/>
        </w:rPr>
        <w:t xml:space="preserve"> </w:t>
      </w:r>
      <w:r>
        <w:rPr>
          <w:rFonts w:ascii="Times New Roman" w:hAnsi="Times New Roman"/>
          <w:szCs w:val="24"/>
          <w:lang w:val="bs-Latn-BA"/>
        </w:rPr>
        <w:t>значајно</w:t>
      </w:r>
      <w:r w:rsidR="00D41A15" w:rsidRPr="00295637">
        <w:rPr>
          <w:rFonts w:ascii="Times New Roman" w:hAnsi="Times New Roman"/>
          <w:szCs w:val="24"/>
          <w:lang w:val="bs-Latn-BA"/>
        </w:rPr>
        <w:t xml:space="preserve"> </w:t>
      </w:r>
      <w:r>
        <w:rPr>
          <w:rFonts w:ascii="Times New Roman" w:hAnsi="Times New Roman"/>
          <w:szCs w:val="24"/>
          <w:lang w:val="bs-Latn-BA"/>
        </w:rPr>
        <w:t>зависи</w:t>
      </w:r>
      <w:r w:rsidR="00686AC0">
        <w:rPr>
          <w:rFonts w:ascii="Times New Roman" w:hAnsi="Times New Roman"/>
          <w:szCs w:val="24"/>
          <w:lang w:val="bs-Latn-BA"/>
        </w:rPr>
        <w:t xml:space="preserve"> </w:t>
      </w:r>
      <w:r>
        <w:rPr>
          <w:rFonts w:ascii="Times New Roman" w:hAnsi="Times New Roman"/>
          <w:szCs w:val="24"/>
          <w:lang w:val="bs-Latn-BA"/>
        </w:rPr>
        <w:t>о</w:t>
      </w:r>
      <w:r w:rsidR="00686AC0">
        <w:rPr>
          <w:rFonts w:ascii="Times New Roman" w:hAnsi="Times New Roman"/>
          <w:szCs w:val="24"/>
          <w:lang w:val="bs-Latn-BA"/>
        </w:rPr>
        <w:t xml:space="preserve"> </w:t>
      </w:r>
      <w:r>
        <w:rPr>
          <w:rFonts w:ascii="Times New Roman" w:hAnsi="Times New Roman"/>
          <w:szCs w:val="24"/>
          <w:lang w:val="bs-Latn-BA"/>
        </w:rPr>
        <w:t>донаторским</w:t>
      </w:r>
      <w:r w:rsidR="00686AC0">
        <w:rPr>
          <w:rFonts w:ascii="Times New Roman" w:hAnsi="Times New Roman"/>
          <w:szCs w:val="24"/>
          <w:lang w:val="bs-Latn-BA"/>
        </w:rPr>
        <w:t xml:space="preserve"> </w:t>
      </w:r>
      <w:r>
        <w:rPr>
          <w:rFonts w:ascii="Times New Roman" w:hAnsi="Times New Roman"/>
          <w:szCs w:val="24"/>
          <w:lang w:val="bs-Latn-BA"/>
        </w:rPr>
        <w:t>инвестицијама</w:t>
      </w:r>
      <w:r w:rsidR="00686AC0">
        <w:rPr>
          <w:rFonts w:ascii="Times New Roman" w:hAnsi="Times New Roman"/>
          <w:szCs w:val="24"/>
          <w:lang w:val="bs-Latn-BA"/>
        </w:rPr>
        <w:t xml:space="preserve">. </w:t>
      </w:r>
      <w:r>
        <w:rPr>
          <w:rFonts w:ascii="Times New Roman" w:hAnsi="Times New Roman"/>
          <w:szCs w:val="24"/>
          <w:lang w:val="bs-Latn-BA"/>
        </w:rPr>
        <w:t>С</w:t>
      </w:r>
      <w:r w:rsidR="00CD6F40">
        <w:rPr>
          <w:rFonts w:ascii="Times New Roman" w:hAnsi="Times New Roman"/>
          <w:szCs w:val="24"/>
          <w:lang w:val="bs-Latn-BA"/>
        </w:rPr>
        <w:t xml:space="preserve"> </w:t>
      </w:r>
      <w:r>
        <w:rPr>
          <w:rFonts w:ascii="Times New Roman" w:hAnsi="Times New Roman"/>
          <w:szCs w:val="24"/>
          <w:lang w:val="sr-Latn-BA"/>
        </w:rPr>
        <w:t>обзиром</w:t>
      </w:r>
      <w:r w:rsidR="00C45D12" w:rsidRPr="00295637">
        <w:rPr>
          <w:rFonts w:ascii="Times New Roman" w:hAnsi="Times New Roman"/>
          <w:szCs w:val="24"/>
          <w:lang w:val="sr-Latn-BA"/>
        </w:rPr>
        <w:t xml:space="preserve"> </w:t>
      </w:r>
      <w:r>
        <w:rPr>
          <w:rFonts w:ascii="Times New Roman" w:hAnsi="Times New Roman"/>
          <w:szCs w:val="24"/>
          <w:lang w:val="sr-Latn-BA"/>
        </w:rPr>
        <w:t>да</w:t>
      </w:r>
      <w:r w:rsidR="00C45D12" w:rsidRPr="00295637">
        <w:rPr>
          <w:rFonts w:ascii="Times New Roman" w:hAnsi="Times New Roman"/>
          <w:szCs w:val="24"/>
          <w:lang w:val="sr-Latn-BA"/>
        </w:rPr>
        <w:t xml:space="preserve"> </w:t>
      </w:r>
      <w:r>
        <w:rPr>
          <w:rFonts w:ascii="Times New Roman" w:hAnsi="Times New Roman"/>
          <w:szCs w:val="24"/>
          <w:lang w:val="sr-Latn-BA"/>
        </w:rPr>
        <w:t>редовна</w:t>
      </w:r>
      <w:r w:rsidR="00C45D12" w:rsidRPr="00295637">
        <w:rPr>
          <w:rFonts w:ascii="Times New Roman" w:hAnsi="Times New Roman"/>
          <w:szCs w:val="24"/>
          <w:lang w:val="sr-Latn-BA"/>
        </w:rPr>
        <w:t xml:space="preserve"> </w:t>
      </w:r>
      <w:r>
        <w:rPr>
          <w:rFonts w:ascii="Times New Roman" w:hAnsi="Times New Roman"/>
          <w:szCs w:val="24"/>
          <w:lang w:val="sr-Latn-BA"/>
        </w:rPr>
        <w:t>буџетска</w:t>
      </w:r>
      <w:r w:rsidR="00C45D12" w:rsidRPr="00295637">
        <w:rPr>
          <w:rFonts w:ascii="Times New Roman" w:hAnsi="Times New Roman"/>
          <w:szCs w:val="24"/>
          <w:lang w:val="sr-Latn-BA"/>
        </w:rPr>
        <w:t xml:space="preserve"> </w:t>
      </w:r>
      <w:r>
        <w:rPr>
          <w:rFonts w:ascii="Times New Roman" w:hAnsi="Times New Roman"/>
          <w:szCs w:val="24"/>
          <w:lang w:val="sr-Latn-BA"/>
        </w:rPr>
        <w:t>средства</w:t>
      </w:r>
      <w:r w:rsidR="00C45D12" w:rsidRPr="00295637">
        <w:rPr>
          <w:rFonts w:ascii="Times New Roman" w:hAnsi="Times New Roman"/>
          <w:szCs w:val="24"/>
          <w:lang w:val="sr-Latn-BA"/>
        </w:rPr>
        <w:t xml:space="preserve"> </w:t>
      </w:r>
      <w:r>
        <w:rPr>
          <w:rFonts w:ascii="Times New Roman" w:hAnsi="Times New Roman"/>
          <w:szCs w:val="24"/>
          <w:lang w:val="sr-Latn-BA"/>
        </w:rPr>
        <w:t>нису</w:t>
      </w:r>
      <w:r w:rsidR="00C45D12" w:rsidRPr="00295637">
        <w:rPr>
          <w:rFonts w:ascii="Times New Roman" w:hAnsi="Times New Roman"/>
          <w:szCs w:val="24"/>
          <w:lang w:val="sr-Latn-BA"/>
        </w:rPr>
        <w:t xml:space="preserve"> </w:t>
      </w:r>
      <w:r>
        <w:rPr>
          <w:rFonts w:ascii="Times New Roman" w:hAnsi="Times New Roman"/>
          <w:szCs w:val="24"/>
          <w:lang w:val="sr-Latn-BA"/>
        </w:rPr>
        <w:t>довољна</w:t>
      </w:r>
      <w:r w:rsidR="00C45D12" w:rsidRPr="00295637">
        <w:rPr>
          <w:rFonts w:ascii="Times New Roman" w:hAnsi="Times New Roman"/>
          <w:szCs w:val="24"/>
          <w:lang w:val="sr-Latn-BA"/>
        </w:rPr>
        <w:t xml:space="preserve"> </w:t>
      </w:r>
      <w:r>
        <w:rPr>
          <w:rFonts w:ascii="Times New Roman" w:hAnsi="Times New Roman"/>
          <w:szCs w:val="24"/>
          <w:lang w:val="sr-Latn-BA"/>
        </w:rPr>
        <w:t>за</w:t>
      </w:r>
      <w:r w:rsidR="00C45D12" w:rsidRPr="00295637">
        <w:rPr>
          <w:rFonts w:ascii="Times New Roman" w:hAnsi="Times New Roman"/>
          <w:szCs w:val="24"/>
          <w:lang w:val="sr-Latn-BA"/>
        </w:rPr>
        <w:t xml:space="preserve"> </w:t>
      </w:r>
      <w:r w:rsidR="003927C3">
        <w:rPr>
          <w:rFonts w:ascii="Times New Roman" w:hAnsi="Times New Roman"/>
          <w:szCs w:val="24"/>
          <w:lang w:val="sr-Cyrl-BA"/>
        </w:rPr>
        <w:t>спровођење</w:t>
      </w:r>
      <w:r w:rsidR="00C45D12" w:rsidRPr="00295637">
        <w:rPr>
          <w:rFonts w:ascii="Times New Roman" w:hAnsi="Times New Roman"/>
          <w:szCs w:val="24"/>
          <w:lang w:val="sr-Latn-BA"/>
        </w:rPr>
        <w:t xml:space="preserve"> </w:t>
      </w:r>
      <w:r>
        <w:rPr>
          <w:rFonts w:ascii="Times New Roman" w:hAnsi="Times New Roman"/>
          <w:szCs w:val="24"/>
          <w:lang w:val="sr-Latn-BA"/>
        </w:rPr>
        <w:t>н</w:t>
      </w:r>
      <w:r w:rsidR="003927C3">
        <w:rPr>
          <w:rFonts w:ascii="Times New Roman" w:hAnsi="Times New Roman"/>
          <w:szCs w:val="24"/>
          <w:lang w:val="sr-Cyrl-BA"/>
        </w:rPr>
        <w:t>еопходних</w:t>
      </w:r>
      <w:r w:rsidR="00C45D12" w:rsidRPr="00295637">
        <w:rPr>
          <w:rFonts w:ascii="Times New Roman" w:hAnsi="Times New Roman"/>
          <w:szCs w:val="24"/>
          <w:lang w:val="sr-Latn-BA"/>
        </w:rPr>
        <w:t xml:space="preserve"> </w:t>
      </w:r>
      <w:r>
        <w:rPr>
          <w:rFonts w:ascii="Times New Roman" w:hAnsi="Times New Roman"/>
          <w:szCs w:val="24"/>
          <w:lang w:val="sr-Latn-BA"/>
        </w:rPr>
        <w:t>мјера</w:t>
      </w:r>
      <w:r w:rsidR="00C45D12" w:rsidRPr="00295637">
        <w:rPr>
          <w:rFonts w:ascii="Times New Roman" w:hAnsi="Times New Roman"/>
          <w:szCs w:val="24"/>
          <w:lang w:val="sr-Latn-BA"/>
        </w:rPr>
        <w:t xml:space="preserve">, </w:t>
      </w:r>
      <w:r>
        <w:rPr>
          <w:rFonts w:ascii="Times New Roman" w:hAnsi="Times New Roman"/>
          <w:szCs w:val="24"/>
          <w:lang w:val="sr-Latn-BA"/>
        </w:rPr>
        <w:t>институционални</w:t>
      </w:r>
      <w:r w:rsidR="00C45D12" w:rsidRPr="00295637">
        <w:rPr>
          <w:rFonts w:ascii="Times New Roman" w:hAnsi="Times New Roman"/>
          <w:szCs w:val="24"/>
          <w:lang w:val="sr-Latn-BA"/>
        </w:rPr>
        <w:t xml:space="preserve"> </w:t>
      </w:r>
      <w:r>
        <w:rPr>
          <w:rFonts w:ascii="Times New Roman" w:hAnsi="Times New Roman"/>
          <w:szCs w:val="24"/>
          <w:lang w:val="sr-Latn-BA"/>
        </w:rPr>
        <w:t>механизми</w:t>
      </w:r>
      <w:r w:rsidR="00C45D12" w:rsidRPr="00295637">
        <w:rPr>
          <w:rFonts w:ascii="Times New Roman" w:hAnsi="Times New Roman"/>
          <w:szCs w:val="24"/>
          <w:lang w:val="sr-Latn-BA"/>
        </w:rPr>
        <w:t xml:space="preserve"> </w:t>
      </w:r>
      <w:r>
        <w:rPr>
          <w:rFonts w:ascii="Times New Roman" w:hAnsi="Times New Roman"/>
          <w:szCs w:val="24"/>
          <w:lang w:val="sr-Latn-BA"/>
        </w:rPr>
        <w:t>за</w:t>
      </w:r>
      <w:r w:rsidR="00C45D12" w:rsidRPr="00295637">
        <w:rPr>
          <w:rFonts w:ascii="Times New Roman" w:hAnsi="Times New Roman"/>
          <w:szCs w:val="24"/>
          <w:lang w:val="sr-Latn-BA"/>
        </w:rPr>
        <w:t xml:space="preserve"> </w:t>
      </w:r>
      <w:r>
        <w:rPr>
          <w:rFonts w:ascii="Times New Roman" w:hAnsi="Times New Roman"/>
          <w:szCs w:val="24"/>
          <w:lang w:val="sr-Latn-BA"/>
        </w:rPr>
        <w:t>равноправност</w:t>
      </w:r>
      <w:r w:rsidR="00C45D12" w:rsidRPr="00295637">
        <w:rPr>
          <w:rFonts w:ascii="Times New Roman" w:hAnsi="Times New Roman"/>
          <w:szCs w:val="24"/>
          <w:lang w:val="sr-Latn-BA"/>
        </w:rPr>
        <w:t xml:space="preserve"> </w:t>
      </w:r>
      <w:r>
        <w:rPr>
          <w:rFonts w:ascii="Times New Roman" w:hAnsi="Times New Roman"/>
          <w:szCs w:val="24"/>
          <w:lang w:val="sr-Latn-BA"/>
        </w:rPr>
        <w:t>полова</w:t>
      </w:r>
      <w:r w:rsidR="00C45D12" w:rsidRPr="00295637">
        <w:rPr>
          <w:rFonts w:ascii="Times New Roman" w:hAnsi="Times New Roman"/>
          <w:szCs w:val="24"/>
          <w:lang w:val="sr-Latn-BA"/>
        </w:rPr>
        <w:t xml:space="preserve"> </w:t>
      </w:r>
      <w:r>
        <w:rPr>
          <w:rFonts w:ascii="Times New Roman" w:hAnsi="Times New Roman"/>
          <w:szCs w:val="24"/>
          <w:lang w:val="sr-Latn-BA"/>
        </w:rPr>
        <w:t>дужи</w:t>
      </w:r>
      <w:r w:rsidR="00C45D12" w:rsidRPr="00295637">
        <w:rPr>
          <w:rFonts w:ascii="Times New Roman" w:hAnsi="Times New Roman"/>
          <w:szCs w:val="24"/>
          <w:lang w:val="sr-Latn-BA"/>
        </w:rPr>
        <w:t xml:space="preserve"> </w:t>
      </w:r>
      <w:r>
        <w:rPr>
          <w:rFonts w:ascii="Times New Roman" w:hAnsi="Times New Roman"/>
          <w:szCs w:val="24"/>
          <w:lang w:val="sr-Latn-BA"/>
        </w:rPr>
        <w:t>низ</w:t>
      </w:r>
      <w:r w:rsidR="00C45D12" w:rsidRPr="00295637">
        <w:rPr>
          <w:rFonts w:ascii="Times New Roman" w:hAnsi="Times New Roman"/>
          <w:szCs w:val="24"/>
          <w:lang w:val="sr-Latn-BA"/>
        </w:rPr>
        <w:t xml:space="preserve"> </w:t>
      </w:r>
      <w:r>
        <w:rPr>
          <w:rFonts w:ascii="Times New Roman" w:hAnsi="Times New Roman"/>
          <w:szCs w:val="24"/>
          <w:lang w:val="sr-Latn-BA"/>
        </w:rPr>
        <w:t>година</w:t>
      </w:r>
      <w:r w:rsidR="00C45D12" w:rsidRPr="00295637">
        <w:rPr>
          <w:rFonts w:ascii="Times New Roman" w:hAnsi="Times New Roman"/>
          <w:szCs w:val="24"/>
          <w:lang w:val="sr-Latn-BA"/>
        </w:rPr>
        <w:t xml:space="preserve"> </w:t>
      </w:r>
      <w:r>
        <w:rPr>
          <w:rFonts w:ascii="Times New Roman" w:hAnsi="Times New Roman"/>
          <w:szCs w:val="24"/>
          <w:lang w:val="sr-Latn-BA"/>
        </w:rPr>
        <w:t>имају</w:t>
      </w:r>
      <w:r w:rsidR="00C45D12" w:rsidRPr="00295637">
        <w:rPr>
          <w:rFonts w:ascii="Times New Roman" w:hAnsi="Times New Roman"/>
          <w:szCs w:val="24"/>
          <w:lang w:val="sr-Latn-BA"/>
        </w:rPr>
        <w:t xml:space="preserve"> </w:t>
      </w:r>
      <w:r>
        <w:rPr>
          <w:rFonts w:ascii="Times New Roman" w:hAnsi="Times New Roman"/>
          <w:szCs w:val="24"/>
          <w:lang w:val="sr-Latn-BA"/>
        </w:rPr>
        <w:t>проактиван</w:t>
      </w:r>
      <w:r w:rsidR="00C45D12" w:rsidRPr="00295637">
        <w:rPr>
          <w:rFonts w:ascii="Times New Roman" w:hAnsi="Times New Roman"/>
          <w:szCs w:val="24"/>
          <w:lang w:val="sr-Latn-BA"/>
        </w:rPr>
        <w:t xml:space="preserve"> </w:t>
      </w:r>
      <w:r>
        <w:rPr>
          <w:rFonts w:ascii="Times New Roman" w:hAnsi="Times New Roman"/>
          <w:szCs w:val="24"/>
          <w:lang w:val="sr-Latn-BA"/>
        </w:rPr>
        <w:t>однос</w:t>
      </w:r>
      <w:r w:rsidR="00C45D12" w:rsidRPr="00295637">
        <w:rPr>
          <w:rFonts w:ascii="Times New Roman" w:hAnsi="Times New Roman"/>
          <w:szCs w:val="24"/>
          <w:lang w:val="sr-Latn-BA"/>
        </w:rPr>
        <w:t xml:space="preserve"> </w:t>
      </w:r>
      <w:r>
        <w:rPr>
          <w:rFonts w:ascii="Times New Roman" w:hAnsi="Times New Roman"/>
          <w:szCs w:val="24"/>
          <w:lang w:val="sr-Latn-BA"/>
        </w:rPr>
        <w:t>у</w:t>
      </w:r>
      <w:r w:rsidR="00C45D12" w:rsidRPr="00295637">
        <w:rPr>
          <w:rFonts w:ascii="Times New Roman" w:hAnsi="Times New Roman"/>
          <w:szCs w:val="24"/>
          <w:lang w:val="sr-Latn-BA"/>
        </w:rPr>
        <w:t xml:space="preserve"> </w:t>
      </w:r>
      <w:r>
        <w:rPr>
          <w:rFonts w:ascii="Times New Roman" w:hAnsi="Times New Roman"/>
          <w:szCs w:val="24"/>
          <w:lang w:val="sr-Latn-BA"/>
        </w:rPr>
        <w:t>смијеру</w:t>
      </w:r>
      <w:r w:rsidR="00C45D12" w:rsidRPr="00295637">
        <w:rPr>
          <w:rFonts w:ascii="Times New Roman" w:hAnsi="Times New Roman"/>
          <w:szCs w:val="24"/>
          <w:lang w:val="sr-Latn-BA"/>
        </w:rPr>
        <w:t xml:space="preserve"> </w:t>
      </w:r>
      <w:r>
        <w:rPr>
          <w:rFonts w:ascii="Times New Roman" w:hAnsi="Times New Roman"/>
          <w:szCs w:val="24"/>
          <w:lang w:val="sr-Latn-BA"/>
        </w:rPr>
        <w:t>изналажења</w:t>
      </w:r>
      <w:r w:rsidR="00C45D12" w:rsidRPr="00295637">
        <w:rPr>
          <w:rFonts w:ascii="Times New Roman" w:hAnsi="Times New Roman"/>
          <w:szCs w:val="24"/>
          <w:lang w:val="sr-Latn-BA"/>
        </w:rPr>
        <w:t xml:space="preserve"> </w:t>
      </w:r>
      <w:r>
        <w:rPr>
          <w:rFonts w:ascii="Times New Roman" w:hAnsi="Times New Roman"/>
          <w:szCs w:val="24"/>
          <w:lang w:val="sr-Latn-BA"/>
        </w:rPr>
        <w:t>донаторских</w:t>
      </w:r>
      <w:r w:rsidR="00C45D12" w:rsidRPr="00295637">
        <w:rPr>
          <w:rFonts w:ascii="Times New Roman" w:hAnsi="Times New Roman"/>
          <w:szCs w:val="24"/>
          <w:lang w:val="sr-Latn-BA"/>
        </w:rPr>
        <w:t xml:space="preserve"> </w:t>
      </w:r>
      <w:r>
        <w:rPr>
          <w:rFonts w:ascii="Times New Roman" w:hAnsi="Times New Roman"/>
          <w:szCs w:val="24"/>
          <w:lang w:val="sr-Latn-BA"/>
        </w:rPr>
        <w:t>средстава</w:t>
      </w:r>
      <w:r w:rsidR="00C45D12" w:rsidRPr="00295637">
        <w:rPr>
          <w:rFonts w:ascii="Times New Roman" w:hAnsi="Times New Roman"/>
          <w:szCs w:val="24"/>
          <w:lang w:val="sr-Latn-BA"/>
        </w:rPr>
        <w:t>.</w:t>
      </w:r>
      <w:r w:rsidR="00C45D12" w:rsidRPr="00295637">
        <w:rPr>
          <w:rFonts w:ascii="Times New Roman" w:hAnsi="Times New Roman"/>
          <w:szCs w:val="24"/>
          <w:lang w:val="bs-Latn-BA"/>
        </w:rPr>
        <w:t xml:space="preserve"> </w:t>
      </w:r>
      <w:r>
        <w:rPr>
          <w:rFonts w:ascii="Times New Roman" w:hAnsi="Times New Roman"/>
        </w:rPr>
        <w:t>У</w:t>
      </w:r>
      <w:r w:rsidR="00C45D12" w:rsidRPr="00295637">
        <w:rPr>
          <w:rFonts w:ascii="Times New Roman" w:hAnsi="Times New Roman"/>
        </w:rPr>
        <w:t xml:space="preserve"> </w:t>
      </w:r>
      <w:r>
        <w:rPr>
          <w:rFonts w:ascii="Times New Roman" w:hAnsi="Times New Roman"/>
        </w:rPr>
        <w:t>извјештајном</w:t>
      </w:r>
      <w:r w:rsidR="00C45D12" w:rsidRPr="00295637">
        <w:rPr>
          <w:rFonts w:ascii="Times New Roman" w:hAnsi="Times New Roman"/>
        </w:rPr>
        <w:t xml:space="preserve"> </w:t>
      </w:r>
      <w:r>
        <w:rPr>
          <w:rFonts w:ascii="Times New Roman" w:hAnsi="Times New Roman"/>
        </w:rPr>
        <w:t>периоду</w:t>
      </w:r>
      <w:r w:rsidR="00C45D12" w:rsidRPr="00295637">
        <w:rPr>
          <w:rFonts w:ascii="Times New Roman" w:hAnsi="Times New Roman"/>
        </w:rPr>
        <w:t xml:space="preserve">, </w:t>
      </w:r>
      <w:r>
        <w:rPr>
          <w:rFonts w:ascii="Times New Roman" w:hAnsi="Times New Roman"/>
        </w:rPr>
        <w:t>уложени</w:t>
      </w:r>
      <w:r w:rsidR="00C45D12" w:rsidRPr="00295637">
        <w:rPr>
          <w:rFonts w:ascii="Times New Roman" w:hAnsi="Times New Roman"/>
        </w:rPr>
        <w:t xml:space="preserve"> </w:t>
      </w:r>
      <w:r>
        <w:rPr>
          <w:rFonts w:ascii="Times New Roman" w:hAnsi="Times New Roman"/>
        </w:rPr>
        <w:t>су</w:t>
      </w:r>
      <w:r w:rsidR="00C45D12" w:rsidRPr="00295637">
        <w:rPr>
          <w:rFonts w:ascii="Times New Roman" w:hAnsi="Times New Roman"/>
        </w:rPr>
        <w:t xml:space="preserve"> </w:t>
      </w:r>
      <w:r>
        <w:rPr>
          <w:rFonts w:ascii="Times New Roman" w:hAnsi="Times New Roman"/>
        </w:rPr>
        <w:t>значајни</w:t>
      </w:r>
      <w:r w:rsidR="00C45D12" w:rsidRPr="00295637">
        <w:rPr>
          <w:rFonts w:ascii="Times New Roman" w:hAnsi="Times New Roman"/>
        </w:rPr>
        <w:t xml:space="preserve"> </w:t>
      </w:r>
      <w:r>
        <w:rPr>
          <w:rFonts w:ascii="Times New Roman" w:hAnsi="Times New Roman"/>
        </w:rPr>
        <w:t>ресурси</w:t>
      </w:r>
      <w:r w:rsidR="00C45D12" w:rsidRPr="00295637">
        <w:rPr>
          <w:rFonts w:ascii="Times New Roman" w:hAnsi="Times New Roman"/>
        </w:rPr>
        <w:t xml:space="preserve"> </w:t>
      </w:r>
      <w:r w:rsidR="002C79FB">
        <w:rPr>
          <w:rFonts w:ascii="Times New Roman" w:hAnsi="Times New Roman"/>
          <w:lang w:val="sr-Cyrl-BA"/>
        </w:rPr>
        <w:t>с</w:t>
      </w:r>
      <w:r w:rsidR="00C45D12" w:rsidRPr="00295637">
        <w:rPr>
          <w:rFonts w:ascii="Times New Roman" w:hAnsi="Times New Roman"/>
        </w:rPr>
        <w:t xml:space="preserve"> </w:t>
      </w:r>
      <w:r>
        <w:rPr>
          <w:rFonts w:ascii="Times New Roman" w:hAnsi="Times New Roman"/>
        </w:rPr>
        <w:t>циљ</w:t>
      </w:r>
      <w:r w:rsidR="002C79FB">
        <w:rPr>
          <w:rFonts w:ascii="Times New Roman" w:hAnsi="Times New Roman"/>
          <w:lang w:val="sr-Cyrl-BA"/>
        </w:rPr>
        <w:t>ем</w:t>
      </w:r>
      <w:r w:rsidR="00C45D12" w:rsidRPr="00295637">
        <w:rPr>
          <w:rFonts w:ascii="Times New Roman" w:hAnsi="Times New Roman"/>
        </w:rPr>
        <w:t xml:space="preserve"> </w:t>
      </w:r>
      <w:r>
        <w:rPr>
          <w:rFonts w:ascii="Times New Roman" w:hAnsi="Times New Roman"/>
        </w:rPr>
        <w:t>усмјеравања</w:t>
      </w:r>
      <w:r w:rsidR="00C45D12" w:rsidRPr="00295637">
        <w:rPr>
          <w:rFonts w:ascii="Times New Roman" w:hAnsi="Times New Roman"/>
        </w:rPr>
        <w:t xml:space="preserve">, </w:t>
      </w:r>
      <w:r>
        <w:rPr>
          <w:rFonts w:ascii="Times New Roman" w:hAnsi="Times New Roman"/>
        </w:rPr>
        <w:t>координације</w:t>
      </w:r>
      <w:r w:rsidR="00C45D12" w:rsidRPr="00295637">
        <w:rPr>
          <w:rFonts w:ascii="Times New Roman" w:hAnsi="Times New Roman"/>
        </w:rPr>
        <w:t xml:space="preserve"> </w:t>
      </w:r>
      <w:r>
        <w:rPr>
          <w:rFonts w:ascii="Times New Roman" w:hAnsi="Times New Roman"/>
        </w:rPr>
        <w:t>и</w:t>
      </w:r>
      <w:r w:rsidR="00C45D12" w:rsidRPr="00295637">
        <w:rPr>
          <w:rFonts w:ascii="Times New Roman" w:hAnsi="Times New Roman"/>
        </w:rPr>
        <w:t xml:space="preserve"> </w:t>
      </w:r>
      <w:r>
        <w:rPr>
          <w:rFonts w:ascii="Times New Roman" w:hAnsi="Times New Roman"/>
        </w:rPr>
        <w:t>компатибилности</w:t>
      </w:r>
      <w:r w:rsidR="00C45D12" w:rsidRPr="00295637">
        <w:rPr>
          <w:rFonts w:ascii="Times New Roman" w:hAnsi="Times New Roman"/>
        </w:rPr>
        <w:t xml:space="preserve"> </w:t>
      </w:r>
      <w:r>
        <w:rPr>
          <w:rFonts w:ascii="Times New Roman" w:hAnsi="Times New Roman"/>
        </w:rPr>
        <w:t>свих</w:t>
      </w:r>
      <w:r w:rsidR="00C45D12" w:rsidRPr="00295637">
        <w:rPr>
          <w:rFonts w:ascii="Times New Roman" w:hAnsi="Times New Roman"/>
        </w:rPr>
        <w:t xml:space="preserve"> </w:t>
      </w:r>
      <w:r>
        <w:rPr>
          <w:rFonts w:ascii="Times New Roman" w:hAnsi="Times New Roman"/>
        </w:rPr>
        <w:t>пројеката</w:t>
      </w:r>
      <w:r w:rsidR="00C45D12" w:rsidRPr="00295637">
        <w:rPr>
          <w:rFonts w:ascii="Times New Roman" w:hAnsi="Times New Roman"/>
        </w:rPr>
        <w:t xml:space="preserve"> </w:t>
      </w:r>
      <w:r>
        <w:rPr>
          <w:rFonts w:ascii="Times New Roman" w:hAnsi="Times New Roman"/>
        </w:rPr>
        <w:t>у</w:t>
      </w:r>
      <w:r w:rsidR="001D12B6">
        <w:rPr>
          <w:rFonts w:ascii="Times New Roman" w:hAnsi="Times New Roman"/>
        </w:rPr>
        <w:t xml:space="preserve"> </w:t>
      </w:r>
      <w:r>
        <w:rPr>
          <w:rFonts w:ascii="Times New Roman" w:hAnsi="Times New Roman"/>
        </w:rPr>
        <w:t>вези</w:t>
      </w:r>
      <w:r w:rsidR="001D12B6">
        <w:rPr>
          <w:rFonts w:ascii="Times New Roman" w:hAnsi="Times New Roman"/>
        </w:rPr>
        <w:t xml:space="preserve"> </w:t>
      </w:r>
      <w:r>
        <w:rPr>
          <w:rFonts w:ascii="Times New Roman" w:hAnsi="Times New Roman"/>
        </w:rPr>
        <w:t>са</w:t>
      </w:r>
      <w:r w:rsidR="00C45D12" w:rsidRPr="00295637">
        <w:rPr>
          <w:rFonts w:ascii="Times New Roman" w:hAnsi="Times New Roman"/>
        </w:rPr>
        <w:t xml:space="preserve"> </w:t>
      </w:r>
      <w:r>
        <w:rPr>
          <w:rFonts w:ascii="Times New Roman" w:hAnsi="Times New Roman"/>
        </w:rPr>
        <w:t>равноправношћу</w:t>
      </w:r>
      <w:r w:rsidR="00C45D12" w:rsidRPr="00295637">
        <w:rPr>
          <w:rFonts w:ascii="Times New Roman" w:hAnsi="Times New Roman"/>
        </w:rPr>
        <w:t xml:space="preserve"> </w:t>
      </w:r>
      <w:r>
        <w:rPr>
          <w:rFonts w:ascii="Times New Roman" w:hAnsi="Times New Roman"/>
        </w:rPr>
        <w:t>полова</w:t>
      </w:r>
      <w:r w:rsidR="00C45D12" w:rsidRPr="00295637">
        <w:rPr>
          <w:rFonts w:ascii="Times New Roman" w:hAnsi="Times New Roman"/>
        </w:rPr>
        <w:t xml:space="preserve"> (</w:t>
      </w:r>
      <w:r>
        <w:rPr>
          <w:rFonts w:ascii="Times New Roman" w:hAnsi="Times New Roman"/>
        </w:rPr>
        <w:t>подржаних</w:t>
      </w:r>
      <w:r w:rsidR="00C45D12" w:rsidRPr="00295637">
        <w:rPr>
          <w:rFonts w:ascii="Times New Roman" w:hAnsi="Times New Roman"/>
        </w:rPr>
        <w:t xml:space="preserve"> </w:t>
      </w:r>
      <w:r>
        <w:rPr>
          <w:rFonts w:ascii="Times New Roman" w:hAnsi="Times New Roman"/>
        </w:rPr>
        <w:t>од</w:t>
      </w:r>
      <w:r w:rsidR="00C45D12" w:rsidRPr="00295637">
        <w:rPr>
          <w:rFonts w:ascii="Times New Roman" w:hAnsi="Times New Roman"/>
        </w:rPr>
        <w:t xml:space="preserve"> </w:t>
      </w:r>
      <w:r>
        <w:rPr>
          <w:rFonts w:ascii="Times New Roman" w:hAnsi="Times New Roman"/>
        </w:rPr>
        <w:t>стране</w:t>
      </w:r>
      <w:r w:rsidR="00C45D12" w:rsidRPr="00295637">
        <w:rPr>
          <w:rFonts w:ascii="Times New Roman" w:hAnsi="Times New Roman"/>
        </w:rPr>
        <w:t xml:space="preserve"> </w:t>
      </w:r>
      <w:r>
        <w:rPr>
          <w:rFonts w:ascii="Times New Roman" w:hAnsi="Times New Roman"/>
        </w:rPr>
        <w:t>различитих</w:t>
      </w:r>
      <w:r w:rsidR="00C45D12" w:rsidRPr="00295637">
        <w:rPr>
          <w:rFonts w:ascii="Times New Roman" w:hAnsi="Times New Roman"/>
        </w:rPr>
        <w:t xml:space="preserve"> </w:t>
      </w:r>
      <w:r>
        <w:rPr>
          <w:rFonts w:ascii="Times New Roman" w:hAnsi="Times New Roman"/>
        </w:rPr>
        <w:t>донатора</w:t>
      </w:r>
      <w:r w:rsidR="007E574D" w:rsidRPr="00295637">
        <w:rPr>
          <w:rFonts w:ascii="Times New Roman" w:hAnsi="Times New Roman"/>
        </w:rPr>
        <w:t>)</w:t>
      </w:r>
      <w:r w:rsidR="00C45D12" w:rsidRPr="00295637">
        <w:rPr>
          <w:rFonts w:ascii="Times New Roman" w:hAnsi="Times New Roman"/>
        </w:rPr>
        <w:t xml:space="preserve">. </w:t>
      </w:r>
      <w:bookmarkStart w:id="10" w:name="_Toc195016589"/>
    </w:p>
    <w:p w:rsidR="00E23CE5" w:rsidRDefault="00E23CE5" w:rsidP="0086268D">
      <w:pPr>
        <w:rPr>
          <w:rFonts w:ascii="Times New Roman" w:eastAsia="Calibri" w:hAnsi="Times New Roman"/>
          <w:b/>
          <w:sz w:val="28"/>
          <w:szCs w:val="28"/>
          <w:lang w:val="bs-Latn-BA"/>
        </w:rPr>
      </w:pPr>
      <w:r>
        <w:rPr>
          <w:rFonts w:ascii="Times New Roman" w:hAnsi="Times New Roman"/>
          <w:lang w:val="bs-Latn-BA"/>
        </w:rPr>
        <w:br w:type="page"/>
      </w:r>
    </w:p>
    <w:p w:rsidR="0042679D" w:rsidRPr="00295637" w:rsidRDefault="00C6214E" w:rsidP="0086268D">
      <w:pPr>
        <w:pStyle w:val="Heading1"/>
        <w:spacing w:after="0" w:line="240" w:lineRule="auto"/>
        <w:rPr>
          <w:rFonts w:ascii="Times New Roman" w:hAnsi="Times New Roman" w:cs="Times New Roman"/>
          <w:lang w:val="bs-Latn-BA"/>
        </w:rPr>
      </w:pPr>
      <w:bookmarkStart w:id="11" w:name="_Toc332005661"/>
      <w:bookmarkStart w:id="12" w:name="_Toc332010892"/>
      <w:bookmarkStart w:id="13" w:name="_Toc195016590"/>
      <w:bookmarkEnd w:id="0"/>
      <w:bookmarkEnd w:id="10"/>
      <w:r>
        <w:rPr>
          <w:rFonts w:ascii="Times New Roman" w:hAnsi="Times New Roman" w:cs="Times New Roman"/>
          <w:lang w:val="bs-Latn-BA"/>
        </w:rPr>
        <w:t>РЕЗИМЕ</w:t>
      </w:r>
    </w:p>
    <w:p w:rsidR="0042679D" w:rsidRPr="00295637" w:rsidRDefault="0042679D" w:rsidP="0086268D">
      <w:pPr>
        <w:jc w:val="both"/>
        <w:rPr>
          <w:rFonts w:ascii="Times New Roman" w:hAnsi="Times New Roman"/>
          <w:szCs w:val="24"/>
          <w:lang w:val="bs-Latn-BA"/>
        </w:rPr>
      </w:pPr>
    </w:p>
    <w:p w:rsidR="0042679D" w:rsidRPr="00295637" w:rsidRDefault="00C6214E" w:rsidP="0086268D">
      <w:pPr>
        <w:jc w:val="both"/>
        <w:rPr>
          <w:rFonts w:ascii="Times New Roman" w:hAnsi="Times New Roman"/>
          <w:szCs w:val="24"/>
          <w:lang w:val="bs-Latn-BA"/>
        </w:rPr>
      </w:pPr>
      <w:r>
        <w:rPr>
          <w:rFonts w:ascii="Times New Roman" w:hAnsi="Times New Roman"/>
          <w:szCs w:val="24"/>
          <w:lang w:val="bs-Latn-BA"/>
        </w:rPr>
        <w:t>Посматрајући</w:t>
      </w:r>
      <w:r w:rsidR="0042679D" w:rsidRPr="00295637">
        <w:rPr>
          <w:rFonts w:ascii="Times New Roman" w:hAnsi="Times New Roman"/>
          <w:szCs w:val="24"/>
          <w:lang w:val="bs-Latn-BA"/>
        </w:rPr>
        <w:t xml:space="preserve"> </w:t>
      </w:r>
      <w:r>
        <w:rPr>
          <w:rFonts w:ascii="Times New Roman" w:hAnsi="Times New Roman"/>
          <w:szCs w:val="24"/>
          <w:lang w:val="bs-Latn-BA"/>
        </w:rPr>
        <w:t>обим</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значај</w:t>
      </w:r>
      <w:r w:rsidR="0042679D" w:rsidRPr="00295637">
        <w:rPr>
          <w:rFonts w:ascii="Times New Roman" w:hAnsi="Times New Roman"/>
          <w:szCs w:val="24"/>
          <w:lang w:val="bs-Latn-BA"/>
        </w:rPr>
        <w:t xml:space="preserve"> </w:t>
      </w:r>
      <w:r>
        <w:rPr>
          <w:rFonts w:ascii="Times New Roman" w:hAnsi="Times New Roman"/>
          <w:szCs w:val="24"/>
          <w:lang w:val="bs-Latn-BA"/>
        </w:rPr>
        <w:t>мјера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активности</w:t>
      </w:r>
      <w:r w:rsidR="0042679D" w:rsidRPr="00295637">
        <w:rPr>
          <w:rFonts w:ascii="Times New Roman" w:hAnsi="Times New Roman"/>
          <w:szCs w:val="24"/>
          <w:lang w:val="bs-Latn-BA"/>
        </w:rPr>
        <w:t xml:space="preserve"> </w:t>
      </w:r>
      <w:r w:rsidR="002C79FB">
        <w:rPr>
          <w:rFonts w:ascii="Times New Roman" w:hAnsi="Times New Roman"/>
          <w:szCs w:val="24"/>
          <w:lang w:val="sr-Cyrl-BA"/>
        </w:rPr>
        <w:t>спроведених</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извјештајном</w:t>
      </w:r>
      <w:r w:rsidR="0042679D" w:rsidRPr="00295637">
        <w:rPr>
          <w:rFonts w:ascii="Times New Roman" w:hAnsi="Times New Roman"/>
          <w:szCs w:val="24"/>
          <w:lang w:val="bs-Latn-BA"/>
        </w:rPr>
        <w:t xml:space="preserve"> </w:t>
      </w:r>
      <w:r>
        <w:rPr>
          <w:rFonts w:ascii="Times New Roman" w:hAnsi="Times New Roman"/>
          <w:szCs w:val="24"/>
          <w:lang w:val="bs-Latn-BA"/>
        </w:rPr>
        <w:t>периоду</w:t>
      </w:r>
      <w:r w:rsidR="0042679D" w:rsidRPr="00295637">
        <w:rPr>
          <w:rFonts w:ascii="Times New Roman" w:hAnsi="Times New Roman"/>
          <w:szCs w:val="24"/>
          <w:lang w:val="bs-Latn-BA"/>
        </w:rPr>
        <w:t xml:space="preserve">, </w:t>
      </w:r>
      <w:r>
        <w:rPr>
          <w:rFonts w:ascii="Times New Roman" w:hAnsi="Times New Roman"/>
          <w:szCs w:val="24"/>
          <w:lang w:val="bs-Latn-BA"/>
        </w:rPr>
        <w:t>може</w:t>
      </w:r>
      <w:r w:rsidR="0042679D" w:rsidRPr="00295637">
        <w:rPr>
          <w:rFonts w:ascii="Times New Roman" w:hAnsi="Times New Roman"/>
          <w:szCs w:val="24"/>
          <w:lang w:val="bs-Latn-BA"/>
        </w:rPr>
        <w:t xml:space="preserve"> </w:t>
      </w:r>
      <w:r>
        <w:rPr>
          <w:rFonts w:ascii="Times New Roman" w:hAnsi="Times New Roman"/>
          <w:szCs w:val="24"/>
          <w:lang w:val="bs-Latn-BA"/>
        </w:rPr>
        <w:t>се</w:t>
      </w:r>
      <w:r w:rsidR="0042679D" w:rsidRPr="00295637">
        <w:rPr>
          <w:rFonts w:ascii="Times New Roman" w:hAnsi="Times New Roman"/>
          <w:szCs w:val="24"/>
          <w:lang w:val="bs-Latn-BA"/>
        </w:rPr>
        <w:t xml:space="preserve"> </w:t>
      </w:r>
      <w:r>
        <w:rPr>
          <w:rFonts w:ascii="Times New Roman" w:hAnsi="Times New Roman"/>
          <w:szCs w:val="24"/>
          <w:lang w:val="bs-Latn-BA"/>
        </w:rPr>
        <w:t>констат</w:t>
      </w:r>
      <w:r w:rsidR="002C79FB">
        <w:rPr>
          <w:rFonts w:ascii="Times New Roman" w:hAnsi="Times New Roman"/>
          <w:szCs w:val="24"/>
          <w:lang w:val="sr-Cyrl-BA"/>
        </w:rPr>
        <w:t>овати</w:t>
      </w:r>
      <w:r w:rsidR="0042679D" w:rsidRPr="00295637">
        <w:rPr>
          <w:rFonts w:ascii="Times New Roman" w:hAnsi="Times New Roman"/>
          <w:szCs w:val="24"/>
          <w:lang w:val="bs-Latn-BA"/>
        </w:rPr>
        <w:t xml:space="preserve"> </w:t>
      </w:r>
      <w:r>
        <w:rPr>
          <w:rFonts w:ascii="Times New Roman" w:hAnsi="Times New Roman"/>
          <w:szCs w:val="24"/>
          <w:lang w:val="bs-Latn-BA"/>
        </w:rPr>
        <w:t>напредак</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sidR="002C79FB">
        <w:rPr>
          <w:rFonts w:ascii="Times New Roman" w:hAnsi="Times New Roman"/>
          <w:szCs w:val="24"/>
          <w:lang w:val="sr-Cyrl-BA"/>
        </w:rPr>
        <w:t>спровођењу</w:t>
      </w:r>
      <w:r w:rsidR="0042679D" w:rsidRPr="00295637">
        <w:rPr>
          <w:rFonts w:ascii="Times New Roman" w:hAnsi="Times New Roman"/>
          <w:szCs w:val="24"/>
          <w:lang w:val="bs-Latn-BA"/>
        </w:rPr>
        <w:t xml:space="preserve"> </w:t>
      </w:r>
      <w:r>
        <w:rPr>
          <w:rFonts w:ascii="Times New Roman" w:hAnsi="Times New Roman"/>
          <w:szCs w:val="24"/>
          <w:lang w:val="bs-Latn-BA"/>
        </w:rPr>
        <w:t>Гендер</w:t>
      </w:r>
      <w:r w:rsidR="0042679D" w:rsidRPr="00295637">
        <w:rPr>
          <w:rFonts w:ascii="Times New Roman" w:hAnsi="Times New Roman"/>
          <w:szCs w:val="24"/>
          <w:lang w:val="bs-Latn-BA"/>
        </w:rPr>
        <w:t xml:space="preserve"> </w:t>
      </w:r>
      <w:r>
        <w:rPr>
          <w:rFonts w:ascii="Times New Roman" w:hAnsi="Times New Roman"/>
          <w:szCs w:val="24"/>
          <w:lang w:val="bs-Latn-BA"/>
        </w:rPr>
        <w:t>акционог</w:t>
      </w:r>
      <w:r w:rsidR="0042679D" w:rsidRPr="00295637">
        <w:rPr>
          <w:rFonts w:ascii="Times New Roman" w:hAnsi="Times New Roman"/>
          <w:szCs w:val="24"/>
          <w:lang w:val="bs-Latn-BA"/>
        </w:rPr>
        <w:t xml:space="preserve"> </w:t>
      </w:r>
      <w:r>
        <w:rPr>
          <w:rFonts w:ascii="Times New Roman" w:hAnsi="Times New Roman"/>
          <w:szCs w:val="24"/>
          <w:lang w:val="bs-Latn-BA"/>
        </w:rPr>
        <w:t>плана</w:t>
      </w:r>
      <w:r w:rsidR="0042679D" w:rsidRPr="00295637">
        <w:rPr>
          <w:rFonts w:ascii="Times New Roman" w:hAnsi="Times New Roman"/>
          <w:szCs w:val="24"/>
          <w:lang w:val="bs-Latn-BA"/>
        </w:rPr>
        <w:t xml:space="preserve"> </w:t>
      </w:r>
      <w:r>
        <w:rPr>
          <w:rFonts w:ascii="Times New Roman" w:hAnsi="Times New Roman"/>
          <w:szCs w:val="24"/>
          <w:lang w:val="bs-Latn-BA"/>
        </w:rPr>
        <w:t>Босне</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Херцеговине</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даљ</w:t>
      </w:r>
      <w:r w:rsidR="002C79FB">
        <w:rPr>
          <w:rFonts w:ascii="Times New Roman" w:hAnsi="Times New Roman"/>
          <w:szCs w:val="24"/>
          <w:lang w:val="sr-Cyrl-BA"/>
        </w:rPr>
        <w:t>н</w:t>
      </w:r>
      <w:r>
        <w:rPr>
          <w:rFonts w:ascii="Times New Roman" w:hAnsi="Times New Roman"/>
          <w:szCs w:val="24"/>
          <w:lang w:val="bs-Latn-BA"/>
        </w:rPr>
        <w:t>ем</w:t>
      </w:r>
      <w:r w:rsidR="0042679D" w:rsidRPr="00295637">
        <w:rPr>
          <w:rFonts w:ascii="Times New Roman" w:hAnsi="Times New Roman"/>
          <w:szCs w:val="24"/>
          <w:lang w:val="bs-Latn-BA"/>
        </w:rPr>
        <w:t xml:space="preserve"> </w:t>
      </w:r>
      <w:r>
        <w:rPr>
          <w:rFonts w:ascii="Times New Roman" w:hAnsi="Times New Roman"/>
          <w:szCs w:val="24"/>
          <w:lang w:val="bs-Latn-BA"/>
        </w:rPr>
        <w:t>тексту</w:t>
      </w:r>
      <w:r w:rsidR="0042679D" w:rsidRPr="00295637">
        <w:rPr>
          <w:rFonts w:ascii="Times New Roman" w:hAnsi="Times New Roman"/>
          <w:szCs w:val="24"/>
          <w:lang w:val="bs-Latn-BA"/>
        </w:rPr>
        <w:t xml:space="preserve">: </w:t>
      </w:r>
      <w:r>
        <w:rPr>
          <w:rFonts w:ascii="Times New Roman" w:hAnsi="Times New Roman"/>
          <w:szCs w:val="24"/>
          <w:lang w:val="bs-Latn-BA"/>
        </w:rPr>
        <w:t>ГАП</w:t>
      </w:r>
      <w:r w:rsidR="0042679D" w:rsidRPr="00295637">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 xml:space="preserve">). </w:t>
      </w:r>
      <w:r>
        <w:rPr>
          <w:rFonts w:ascii="Times New Roman" w:hAnsi="Times New Roman"/>
          <w:szCs w:val="24"/>
          <w:lang w:val="bs-Latn-BA"/>
        </w:rPr>
        <w:t>Како</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приказано</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овом</w:t>
      </w:r>
      <w:r w:rsidR="0042679D" w:rsidRPr="00295637">
        <w:rPr>
          <w:rFonts w:ascii="Times New Roman" w:hAnsi="Times New Roman"/>
          <w:szCs w:val="24"/>
          <w:lang w:val="bs-Latn-BA"/>
        </w:rPr>
        <w:t xml:space="preserve"> </w:t>
      </w:r>
      <w:r>
        <w:rPr>
          <w:rFonts w:ascii="Times New Roman" w:hAnsi="Times New Roman"/>
          <w:szCs w:val="24"/>
          <w:lang w:val="bs-Latn-BA"/>
        </w:rPr>
        <w:t>извјештају</w:t>
      </w:r>
      <w:r w:rsidR="0042679D" w:rsidRPr="00295637">
        <w:rPr>
          <w:rFonts w:ascii="Times New Roman" w:hAnsi="Times New Roman"/>
          <w:szCs w:val="24"/>
          <w:lang w:val="bs-Latn-BA"/>
        </w:rPr>
        <w:t xml:space="preserve">, </w:t>
      </w:r>
      <w:r w:rsidR="002C79FB">
        <w:rPr>
          <w:rFonts w:ascii="Times New Roman" w:hAnsi="Times New Roman"/>
          <w:szCs w:val="24"/>
          <w:lang w:val="sr-Cyrl-BA"/>
        </w:rPr>
        <w:t>спроведен</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велики</w:t>
      </w:r>
      <w:r w:rsidR="0042679D" w:rsidRPr="00295637">
        <w:rPr>
          <w:rFonts w:ascii="Times New Roman" w:hAnsi="Times New Roman"/>
          <w:szCs w:val="24"/>
          <w:lang w:val="bs-Latn-BA"/>
        </w:rPr>
        <w:t xml:space="preserve"> </w:t>
      </w:r>
      <w:r>
        <w:rPr>
          <w:rFonts w:ascii="Times New Roman" w:hAnsi="Times New Roman"/>
          <w:szCs w:val="24"/>
          <w:lang w:val="bs-Latn-BA"/>
        </w:rPr>
        <w:t>број</w:t>
      </w:r>
      <w:r w:rsidR="0042679D" w:rsidRPr="00295637">
        <w:rPr>
          <w:rFonts w:ascii="Times New Roman" w:hAnsi="Times New Roman"/>
          <w:szCs w:val="24"/>
          <w:lang w:val="bs-Latn-BA"/>
        </w:rPr>
        <w:t xml:space="preserve"> </w:t>
      </w:r>
      <w:r>
        <w:rPr>
          <w:rFonts w:ascii="Times New Roman" w:hAnsi="Times New Roman"/>
          <w:szCs w:val="24"/>
          <w:lang w:val="bs-Latn-BA"/>
        </w:rPr>
        <w:t>значајних</w:t>
      </w:r>
      <w:r w:rsidR="0042679D" w:rsidRPr="00295637">
        <w:rPr>
          <w:rFonts w:ascii="Times New Roman" w:hAnsi="Times New Roman"/>
          <w:szCs w:val="24"/>
          <w:lang w:val="bs-Latn-BA"/>
        </w:rPr>
        <w:t xml:space="preserve"> </w:t>
      </w:r>
      <w:r>
        <w:rPr>
          <w:rFonts w:ascii="Times New Roman" w:hAnsi="Times New Roman"/>
          <w:szCs w:val="24"/>
          <w:lang w:val="bs-Latn-BA"/>
        </w:rPr>
        <w:t>активности</w:t>
      </w:r>
      <w:r w:rsidR="0042679D" w:rsidRPr="00295637">
        <w:rPr>
          <w:rFonts w:ascii="Times New Roman" w:hAnsi="Times New Roman"/>
          <w:szCs w:val="24"/>
          <w:lang w:val="bs-Latn-BA"/>
        </w:rPr>
        <w:t xml:space="preserve"> </w:t>
      </w:r>
      <w:r>
        <w:rPr>
          <w:rFonts w:ascii="Times New Roman" w:hAnsi="Times New Roman"/>
          <w:szCs w:val="24"/>
          <w:lang w:val="bs-Latn-BA"/>
        </w:rPr>
        <w:t>које</w:t>
      </w:r>
      <w:r w:rsidR="0042679D" w:rsidRPr="00295637">
        <w:rPr>
          <w:rFonts w:ascii="Times New Roman" w:hAnsi="Times New Roman"/>
          <w:szCs w:val="24"/>
          <w:lang w:val="bs-Latn-BA"/>
        </w:rPr>
        <w:t xml:space="preserve"> </w:t>
      </w:r>
      <w:r>
        <w:rPr>
          <w:rFonts w:ascii="Times New Roman" w:hAnsi="Times New Roman"/>
          <w:szCs w:val="24"/>
          <w:lang w:val="bs-Latn-BA"/>
        </w:rPr>
        <w:t>доприносе</w:t>
      </w:r>
      <w:r w:rsidR="0042679D" w:rsidRPr="00295637">
        <w:rPr>
          <w:rFonts w:ascii="Times New Roman" w:hAnsi="Times New Roman"/>
          <w:szCs w:val="24"/>
          <w:lang w:val="bs-Latn-BA"/>
        </w:rPr>
        <w:t xml:space="preserve"> </w:t>
      </w:r>
      <w:r>
        <w:rPr>
          <w:rFonts w:ascii="Times New Roman" w:hAnsi="Times New Roman"/>
          <w:szCs w:val="24"/>
          <w:lang w:val="bs-Latn-BA"/>
        </w:rPr>
        <w:t>остваривању</w:t>
      </w:r>
      <w:r w:rsidR="0042679D" w:rsidRPr="00295637">
        <w:rPr>
          <w:rFonts w:ascii="Times New Roman" w:hAnsi="Times New Roman"/>
          <w:szCs w:val="24"/>
          <w:lang w:val="bs-Latn-BA"/>
        </w:rPr>
        <w:t xml:space="preserve"> </w:t>
      </w:r>
      <w:r>
        <w:rPr>
          <w:rFonts w:ascii="Times New Roman" w:hAnsi="Times New Roman"/>
          <w:szCs w:val="24"/>
          <w:lang w:val="bs-Latn-BA"/>
        </w:rPr>
        <w:t>законских</w:t>
      </w:r>
      <w:r w:rsidR="0042679D" w:rsidRPr="00295637">
        <w:rPr>
          <w:rFonts w:ascii="Times New Roman" w:hAnsi="Times New Roman"/>
          <w:szCs w:val="24"/>
          <w:lang w:val="bs-Latn-BA"/>
        </w:rPr>
        <w:t xml:space="preserve">, </w:t>
      </w:r>
      <w:r>
        <w:rPr>
          <w:rFonts w:ascii="Times New Roman" w:hAnsi="Times New Roman"/>
          <w:szCs w:val="24"/>
          <w:lang w:val="bs-Latn-BA"/>
        </w:rPr>
        <w:t>институционалних</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друштвених</w:t>
      </w:r>
      <w:r w:rsidR="0042679D" w:rsidRPr="00295637">
        <w:rPr>
          <w:rFonts w:ascii="Times New Roman" w:hAnsi="Times New Roman"/>
          <w:szCs w:val="24"/>
          <w:lang w:val="bs-Latn-BA"/>
        </w:rPr>
        <w:t xml:space="preserve"> </w:t>
      </w:r>
      <w:r>
        <w:rPr>
          <w:rFonts w:ascii="Times New Roman" w:hAnsi="Times New Roman"/>
          <w:szCs w:val="24"/>
          <w:lang w:val="bs-Latn-BA"/>
        </w:rPr>
        <w:t>предуслова</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већу</w:t>
      </w:r>
      <w:r w:rsidR="0042679D"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42679D" w:rsidRPr="00295637">
        <w:rPr>
          <w:rFonts w:ascii="Times New Roman" w:hAnsi="Times New Roman"/>
          <w:szCs w:val="24"/>
          <w:lang w:val="bs-Latn-BA"/>
        </w:rPr>
        <w:t xml:space="preserve"> </w:t>
      </w:r>
      <w:r>
        <w:rPr>
          <w:rFonts w:ascii="Times New Roman" w:hAnsi="Times New Roman"/>
          <w:szCs w:val="24"/>
          <w:lang w:val="bs-Latn-BA"/>
        </w:rPr>
        <w:t>полова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 xml:space="preserve">. </w:t>
      </w:r>
    </w:p>
    <w:p w:rsidR="0042679D" w:rsidRPr="00295637" w:rsidRDefault="0042679D" w:rsidP="0086268D">
      <w:pPr>
        <w:jc w:val="both"/>
        <w:rPr>
          <w:rFonts w:ascii="Times New Roman" w:hAnsi="Times New Roman"/>
          <w:szCs w:val="24"/>
          <w:lang w:val="bs-Latn-BA"/>
        </w:rPr>
      </w:pPr>
    </w:p>
    <w:p w:rsidR="0042679D" w:rsidRPr="00295637" w:rsidRDefault="00C6214E" w:rsidP="0086268D">
      <w:pPr>
        <w:jc w:val="both"/>
        <w:rPr>
          <w:rFonts w:ascii="Times New Roman" w:hAnsi="Times New Roman"/>
          <w:szCs w:val="24"/>
          <w:lang w:val="bs-Latn-BA"/>
        </w:rPr>
      </w:pPr>
      <w:r>
        <w:rPr>
          <w:rFonts w:ascii="Times New Roman" w:hAnsi="Times New Roman"/>
          <w:szCs w:val="24"/>
          <w:lang w:val="bs-Latn-BA"/>
        </w:rPr>
        <w:t>Предузете</w:t>
      </w:r>
      <w:r w:rsidR="0042679D" w:rsidRPr="00295637">
        <w:rPr>
          <w:rFonts w:ascii="Times New Roman" w:hAnsi="Times New Roman"/>
          <w:szCs w:val="24"/>
          <w:lang w:val="bs-Latn-BA"/>
        </w:rPr>
        <w:t xml:space="preserve"> </w:t>
      </w:r>
      <w:r>
        <w:rPr>
          <w:rFonts w:ascii="Times New Roman" w:hAnsi="Times New Roman"/>
          <w:szCs w:val="24"/>
          <w:lang w:val="bs-Latn-BA"/>
        </w:rPr>
        <w:t>су</w:t>
      </w:r>
      <w:r w:rsidR="0042679D" w:rsidRPr="00295637">
        <w:rPr>
          <w:rFonts w:ascii="Times New Roman" w:hAnsi="Times New Roman"/>
          <w:szCs w:val="24"/>
          <w:lang w:val="bs-Latn-BA"/>
        </w:rPr>
        <w:t xml:space="preserve"> </w:t>
      </w:r>
      <w:r>
        <w:rPr>
          <w:rFonts w:ascii="Times New Roman" w:hAnsi="Times New Roman"/>
          <w:szCs w:val="24"/>
          <w:lang w:val="bs-Latn-BA"/>
        </w:rPr>
        <w:t>иницијативе</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усклађивање</w:t>
      </w:r>
      <w:r w:rsidR="0042679D" w:rsidRPr="00295637">
        <w:rPr>
          <w:rFonts w:ascii="Times New Roman" w:hAnsi="Times New Roman"/>
          <w:szCs w:val="24"/>
          <w:lang w:val="bs-Latn-BA"/>
        </w:rPr>
        <w:t xml:space="preserve"> </w:t>
      </w:r>
      <w:r>
        <w:rPr>
          <w:rFonts w:ascii="Times New Roman" w:hAnsi="Times New Roman"/>
          <w:szCs w:val="24"/>
          <w:lang w:val="bs-Latn-BA"/>
        </w:rPr>
        <w:t>законодавства</w:t>
      </w:r>
      <w:r w:rsidR="0042679D" w:rsidRPr="00295637">
        <w:rPr>
          <w:rFonts w:ascii="Times New Roman" w:hAnsi="Times New Roman"/>
          <w:szCs w:val="24"/>
          <w:lang w:val="bs-Latn-BA"/>
        </w:rPr>
        <w:t xml:space="preserve"> </w:t>
      </w:r>
      <w:r>
        <w:rPr>
          <w:rFonts w:ascii="Times New Roman" w:hAnsi="Times New Roman"/>
          <w:szCs w:val="24"/>
          <w:lang w:val="bs-Latn-BA"/>
        </w:rPr>
        <w:t>које</w:t>
      </w:r>
      <w:r w:rsidR="0042679D" w:rsidRPr="00295637">
        <w:rPr>
          <w:rFonts w:ascii="Times New Roman" w:hAnsi="Times New Roman"/>
          <w:szCs w:val="24"/>
          <w:lang w:val="bs-Latn-BA"/>
        </w:rPr>
        <w:t xml:space="preserve"> </w:t>
      </w:r>
      <w:r>
        <w:rPr>
          <w:rFonts w:ascii="Times New Roman" w:hAnsi="Times New Roman"/>
          <w:szCs w:val="24"/>
          <w:lang w:val="bs-Latn-BA"/>
        </w:rPr>
        <w:t>се</w:t>
      </w:r>
      <w:r w:rsidR="0042679D" w:rsidRPr="00295637">
        <w:rPr>
          <w:rFonts w:ascii="Times New Roman" w:hAnsi="Times New Roman"/>
          <w:szCs w:val="24"/>
          <w:lang w:val="bs-Latn-BA"/>
        </w:rPr>
        <w:t xml:space="preserve"> </w:t>
      </w:r>
      <w:r>
        <w:rPr>
          <w:rFonts w:ascii="Times New Roman" w:hAnsi="Times New Roman"/>
          <w:szCs w:val="24"/>
          <w:lang w:val="bs-Latn-BA"/>
        </w:rPr>
        <w:t>тиче</w:t>
      </w:r>
      <w:r w:rsidR="0042679D" w:rsidRPr="00295637">
        <w:rPr>
          <w:rFonts w:ascii="Times New Roman" w:hAnsi="Times New Roman"/>
          <w:szCs w:val="24"/>
          <w:lang w:val="bs-Latn-BA"/>
        </w:rPr>
        <w:t xml:space="preserve"> </w:t>
      </w:r>
      <w:r>
        <w:rPr>
          <w:rFonts w:ascii="Times New Roman" w:hAnsi="Times New Roman"/>
          <w:szCs w:val="24"/>
          <w:lang w:val="bs-Latn-BA"/>
        </w:rPr>
        <w:t>превенције</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сузбијања</w:t>
      </w:r>
      <w:r w:rsidR="0042679D" w:rsidRPr="00295637">
        <w:rPr>
          <w:rFonts w:ascii="Times New Roman" w:hAnsi="Times New Roman"/>
          <w:szCs w:val="24"/>
          <w:lang w:val="bs-Latn-BA"/>
        </w:rPr>
        <w:t xml:space="preserve"> </w:t>
      </w:r>
      <w:r>
        <w:rPr>
          <w:rFonts w:ascii="Times New Roman" w:hAnsi="Times New Roman"/>
          <w:szCs w:val="24"/>
          <w:lang w:val="bs-Latn-BA"/>
        </w:rPr>
        <w:t>насиља</w:t>
      </w:r>
      <w:r w:rsidR="0042679D" w:rsidRPr="00295637">
        <w:rPr>
          <w:rFonts w:ascii="Times New Roman" w:hAnsi="Times New Roman"/>
          <w:szCs w:val="24"/>
          <w:lang w:val="bs-Latn-BA"/>
        </w:rPr>
        <w:t xml:space="preserve">, </w:t>
      </w:r>
      <w:r>
        <w:rPr>
          <w:rFonts w:ascii="Times New Roman" w:hAnsi="Times New Roman"/>
          <w:szCs w:val="24"/>
          <w:lang w:val="bs-Latn-BA"/>
        </w:rPr>
        <w:t>радних</w:t>
      </w:r>
      <w:r w:rsidR="0042679D" w:rsidRPr="00295637">
        <w:rPr>
          <w:rFonts w:ascii="Times New Roman" w:hAnsi="Times New Roman"/>
          <w:szCs w:val="24"/>
          <w:lang w:val="bs-Latn-BA"/>
        </w:rPr>
        <w:t xml:space="preserve"> </w:t>
      </w:r>
      <w:r>
        <w:rPr>
          <w:rFonts w:ascii="Times New Roman" w:hAnsi="Times New Roman"/>
          <w:szCs w:val="24"/>
          <w:lang w:val="bs-Latn-BA"/>
        </w:rPr>
        <w:t>права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прописа</w:t>
      </w:r>
      <w:r w:rsidR="0042679D" w:rsidRPr="00295637">
        <w:rPr>
          <w:rFonts w:ascii="Times New Roman" w:hAnsi="Times New Roman"/>
          <w:szCs w:val="24"/>
          <w:lang w:val="bs-Latn-BA"/>
        </w:rPr>
        <w:t xml:space="preserve">, </w:t>
      </w:r>
      <w:r>
        <w:rPr>
          <w:rFonts w:ascii="Times New Roman" w:hAnsi="Times New Roman"/>
          <w:szCs w:val="24"/>
          <w:lang w:val="bs-Latn-BA"/>
        </w:rPr>
        <w:t>одредби</w:t>
      </w:r>
      <w:r w:rsidR="0042679D" w:rsidRPr="00295637">
        <w:rPr>
          <w:rFonts w:ascii="Times New Roman" w:hAnsi="Times New Roman"/>
          <w:szCs w:val="24"/>
          <w:lang w:val="bs-Latn-BA"/>
        </w:rPr>
        <w:t xml:space="preserve"> </w:t>
      </w:r>
      <w:r>
        <w:rPr>
          <w:rFonts w:ascii="Times New Roman" w:hAnsi="Times New Roman"/>
          <w:szCs w:val="24"/>
          <w:lang w:val="bs-Latn-BA"/>
        </w:rPr>
        <w:t>социјалне</w:t>
      </w:r>
      <w:r w:rsidR="0042679D" w:rsidRPr="00295637">
        <w:rPr>
          <w:rFonts w:ascii="Times New Roman" w:hAnsi="Times New Roman"/>
          <w:szCs w:val="24"/>
          <w:lang w:val="bs-Latn-BA"/>
        </w:rPr>
        <w:t xml:space="preserve"> </w:t>
      </w:r>
      <w:r>
        <w:rPr>
          <w:rFonts w:ascii="Times New Roman" w:hAnsi="Times New Roman"/>
          <w:szCs w:val="24"/>
          <w:lang w:val="bs-Latn-BA"/>
        </w:rPr>
        <w:t>заштите</w:t>
      </w:r>
      <w:r w:rsidR="0042679D" w:rsidRPr="00295637">
        <w:rPr>
          <w:rFonts w:ascii="Times New Roman" w:hAnsi="Times New Roman"/>
          <w:szCs w:val="24"/>
          <w:lang w:val="bs-Latn-BA"/>
        </w:rPr>
        <w:t xml:space="preserve">, </w:t>
      </w:r>
      <w:r>
        <w:rPr>
          <w:rFonts w:ascii="Times New Roman" w:hAnsi="Times New Roman"/>
          <w:szCs w:val="24"/>
          <w:lang w:val="bs-Latn-BA"/>
        </w:rPr>
        <w:t>стандарда</w:t>
      </w:r>
      <w:r w:rsidR="0042679D" w:rsidRPr="00295637">
        <w:rPr>
          <w:rFonts w:ascii="Times New Roman" w:hAnsi="Times New Roman"/>
          <w:szCs w:val="24"/>
          <w:lang w:val="bs-Latn-BA"/>
        </w:rPr>
        <w:t xml:space="preserve"> </w:t>
      </w:r>
      <w:r>
        <w:rPr>
          <w:rFonts w:ascii="Times New Roman" w:hAnsi="Times New Roman"/>
          <w:szCs w:val="24"/>
          <w:lang w:val="bs-Latn-BA"/>
        </w:rPr>
        <w:t>приступачности</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правног</w:t>
      </w:r>
      <w:r w:rsidR="0042679D" w:rsidRPr="00295637">
        <w:rPr>
          <w:rFonts w:ascii="Times New Roman" w:hAnsi="Times New Roman"/>
          <w:szCs w:val="24"/>
          <w:lang w:val="bs-Latn-BA"/>
        </w:rPr>
        <w:t xml:space="preserve"> </w:t>
      </w:r>
      <w:r>
        <w:rPr>
          <w:rFonts w:ascii="Times New Roman" w:hAnsi="Times New Roman"/>
          <w:szCs w:val="24"/>
          <w:lang w:val="bs-Latn-BA"/>
        </w:rPr>
        <w:t>оквира</w:t>
      </w:r>
      <w:r w:rsidR="0042679D" w:rsidRPr="00295637">
        <w:rPr>
          <w:rFonts w:ascii="Times New Roman" w:hAnsi="Times New Roman"/>
          <w:szCs w:val="24"/>
          <w:lang w:val="bs-Latn-BA"/>
        </w:rPr>
        <w:t xml:space="preserve"> </w:t>
      </w:r>
      <w:r>
        <w:rPr>
          <w:rFonts w:ascii="Times New Roman" w:hAnsi="Times New Roman"/>
          <w:szCs w:val="24"/>
          <w:lang w:val="bs-Latn-BA"/>
        </w:rPr>
        <w:t>који</w:t>
      </w:r>
      <w:r w:rsidR="0042679D" w:rsidRPr="00295637">
        <w:rPr>
          <w:rFonts w:ascii="Times New Roman" w:hAnsi="Times New Roman"/>
          <w:szCs w:val="24"/>
          <w:lang w:val="bs-Latn-BA"/>
        </w:rPr>
        <w:t xml:space="preserve"> </w:t>
      </w:r>
      <w:r>
        <w:rPr>
          <w:rFonts w:ascii="Times New Roman" w:hAnsi="Times New Roman"/>
          <w:szCs w:val="24"/>
          <w:lang w:val="bs-Latn-BA"/>
        </w:rPr>
        <w:t>регули</w:t>
      </w:r>
      <w:r w:rsidR="002C79FB">
        <w:rPr>
          <w:rFonts w:ascii="Times New Roman" w:hAnsi="Times New Roman"/>
          <w:szCs w:val="24"/>
          <w:lang w:val="sr-Cyrl-BA"/>
        </w:rPr>
        <w:t>ше</w:t>
      </w:r>
      <w:r w:rsidR="0042679D" w:rsidRPr="00295637">
        <w:rPr>
          <w:rFonts w:ascii="Times New Roman" w:hAnsi="Times New Roman"/>
          <w:szCs w:val="24"/>
          <w:lang w:val="bs-Latn-BA"/>
        </w:rPr>
        <w:t xml:space="preserve"> </w:t>
      </w:r>
      <w:r>
        <w:rPr>
          <w:rFonts w:ascii="Times New Roman" w:hAnsi="Times New Roman"/>
          <w:szCs w:val="24"/>
          <w:lang w:val="bs-Latn-BA"/>
        </w:rPr>
        <w:t>активности</w:t>
      </w:r>
      <w:r w:rsidR="0042679D" w:rsidRPr="00295637">
        <w:rPr>
          <w:rFonts w:ascii="Times New Roman" w:hAnsi="Times New Roman"/>
          <w:szCs w:val="24"/>
          <w:lang w:val="bs-Latn-BA"/>
        </w:rPr>
        <w:t xml:space="preserve"> </w:t>
      </w:r>
      <w:r w:rsidR="002C79FB">
        <w:rPr>
          <w:rFonts w:ascii="Times New Roman" w:hAnsi="Times New Roman"/>
          <w:szCs w:val="24"/>
          <w:lang w:val="sr-Cyrl-BA"/>
        </w:rPr>
        <w:t>спровођења</w:t>
      </w:r>
      <w:r w:rsidR="0042679D" w:rsidRPr="00295637">
        <w:rPr>
          <w:rFonts w:ascii="Times New Roman" w:hAnsi="Times New Roman"/>
          <w:szCs w:val="24"/>
          <w:lang w:val="bs-Latn-BA"/>
        </w:rPr>
        <w:t xml:space="preserve"> </w:t>
      </w:r>
      <w:r>
        <w:rPr>
          <w:rFonts w:ascii="Times New Roman" w:hAnsi="Times New Roman"/>
          <w:szCs w:val="24"/>
          <w:lang w:val="bs-Latn-BA"/>
        </w:rPr>
        <w:t>закона</w:t>
      </w:r>
      <w:r w:rsidR="0042679D" w:rsidRPr="00295637">
        <w:rPr>
          <w:rFonts w:ascii="Times New Roman" w:hAnsi="Times New Roman"/>
          <w:szCs w:val="24"/>
          <w:lang w:val="bs-Latn-BA"/>
        </w:rPr>
        <w:t xml:space="preserve">. </w:t>
      </w:r>
      <w:r>
        <w:rPr>
          <w:rFonts w:ascii="Times New Roman" w:hAnsi="Times New Roman"/>
          <w:szCs w:val="24"/>
          <w:lang w:val="bs-Latn-BA"/>
        </w:rPr>
        <w:t>Велики</w:t>
      </w:r>
      <w:r w:rsidR="0042679D" w:rsidRPr="00295637">
        <w:rPr>
          <w:rFonts w:ascii="Times New Roman" w:hAnsi="Times New Roman"/>
          <w:szCs w:val="24"/>
          <w:lang w:val="bs-Latn-BA"/>
        </w:rPr>
        <w:t xml:space="preserve"> </w:t>
      </w:r>
      <w:r>
        <w:rPr>
          <w:rFonts w:ascii="Times New Roman" w:hAnsi="Times New Roman"/>
          <w:szCs w:val="24"/>
          <w:lang w:val="bs-Latn-BA"/>
        </w:rPr>
        <w:t>број</w:t>
      </w:r>
      <w:r w:rsidR="0042679D" w:rsidRPr="00295637">
        <w:rPr>
          <w:rFonts w:ascii="Times New Roman" w:hAnsi="Times New Roman"/>
          <w:szCs w:val="24"/>
          <w:lang w:val="bs-Latn-BA"/>
        </w:rPr>
        <w:t xml:space="preserve"> </w:t>
      </w:r>
      <w:r>
        <w:rPr>
          <w:rFonts w:ascii="Times New Roman" w:hAnsi="Times New Roman"/>
          <w:szCs w:val="24"/>
          <w:lang w:val="bs-Latn-BA"/>
        </w:rPr>
        <w:t>активности</w:t>
      </w:r>
      <w:r w:rsidR="0042679D" w:rsidRPr="00295637">
        <w:rPr>
          <w:rFonts w:ascii="Times New Roman" w:hAnsi="Times New Roman"/>
          <w:szCs w:val="24"/>
          <w:lang w:val="bs-Latn-BA"/>
        </w:rPr>
        <w:t xml:space="preserve"> </w:t>
      </w:r>
      <w:r>
        <w:rPr>
          <w:rFonts w:ascii="Times New Roman" w:hAnsi="Times New Roman"/>
          <w:szCs w:val="24"/>
          <w:lang w:val="bs-Latn-BA"/>
        </w:rPr>
        <w:t>био</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усмјерен</w:t>
      </w:r>
      <w:r w:rsidR="0042679D" w:rsidRPr="00295637">
        <w:rPr>
          <w:rFonts w:ascii="Times New Roman" w:hAnsi="Times New Roman"/>
          <w:szCs w:val="24"/>
          <w:lang w:val="bs-Latn-BA"/>
        </w:rPr>
        <w:t xml:space="preserve"> </w:t>
      </w:r>
      <w:r>
        <w:rPr>
          <w:rFonts w:ascii="Times New Roman" w:hAnsi="Times New Roman"/>
          <w:szCs w:val="24"/>
          <w:lang w:val="bs-Latn-BA"/>
        </w:rPr>
        <w:t>на</w:t>
      </w:r>
      <w:r w:rsidR="0042679D" w:rsidRPr="00295637">
        <w:rPr>
          <w:rFonts w:ascii="Times New Roman" w:hAnsi="Times New Roman"/>
          <w:szCs w:val="24"/>
          <w:lang w:val="bs-Latn-BA"/>
        </w:rPr>
        <w:t xml:space="preserve"> </w:t>
      </w:r>
      <w:r>
        <w:rPr>
          <w:rFonts w:ascii="Times New Roman" w:hAnsi="Times New Roman"/>
          <w:szCs w:val="24"/>
          <w:lang w:val="bs-Latn-BA"/>
        </w:rPr>
        <w:t>развој</w:t>
      </w:r>
      <w:r w:rsidR="0042679D" w:rsidRPr="00295637">
        <w:rPr>
          <w:rFonts w:ascii="Times New Roman" w:hAnsi="Times New Roman"/>
          <w:szCs w:val="24"/>
          <w:lang w:val="bs-Latn-BA"/>
        </w:rPr>
        <w:t xml:space="preserve"> </w:t>
      </w:r>
      <w:r>
        <w:rPr>
          <w:rFonts w:ascii="Times New Roman" w:hAnsi="Times New Roman"/>
          <w:szCs w:val="24"/>
          <w:lang w:val="bs-Latn-BA"/>
        </w:rPr>
        <w:t>свијести</w:t>
      </w:r>
      <w:r w:rsidR="0042679D" w:rsidRPr="00295637">
        <w:rPr>
          <w:rFonts w:ascii="Times New Roman" w:hAnsi="Times New Roman"/>
          <w:szCs w:val="24"/>
          <w:lang w:val="bs-Latn-BA"/>
        </w:rPr>
        <w:t xml:space="preserve"> </w:t>
      </w:r>
      <w:r>
        <w:rPr>
          <w:rFonts w:ascii="Times New Roman" w:hAnsi="Times New Roman"/>
          <w:szCs w:val="24"/>
          <w:lang w:val="bs-Latn-BA"/>
        </w:rPr>
        <w:t>јавности</w:t>
      </w:r>
      <w:r w:rsidR="0042679D" w:rsidRPr="00295637">
        <w:rPr>
          <w:rFonts w:ascii="Times New Roman" w:hAnsi="Times New Roman"/>
          <w:szCs w:val="24"/>
          <w:lang w:val="bs-Latn-BA"/>
        </w:rPr>
        <w:t xml:space="preserve">, </w:t>
      </w:r>
      <w:r>
        <w:rPr>
          <w:rFonts w:ascii="Times New Roman" w:hAnsi="Times New Roman"/>
          <w:szCs w:val="24"/>
          <w:lang w:val="bs-Latn-BA"/>
        </w:rPr>
        <w:t>професионалаца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доносилаца</w:t>
      </w:r>
      <w:r w:rsidR="0042679D" w:rsidRPr="00295637">
        <w:rPr>
          <w:rFonts w:ascii="Times New Roman" w:hAnsi="Times New Roman"/>
          <w:szCs w:val="24"/>
          <w:lang w:val="bs-Latn-BA"/>
        </w:rPr>
        <w:t xml:space="preserve"> </w:t>
      </w:r>
      <w:r>
        <w:rPr>
          <w:rFonts w:ascii="Times New Roman" w:hAnsi="Times New Roman"/>
          <w:szCs w:val="24"/>
          <w:lang w:val="bs-Latn-BA"/>
        </w:rPr>
        <w:t>политичких</w:t>
      </w:r>
      <w:r w:rsidR="0042679D" w:rsidRPr="00295637">
        <w:rPr>
          <w:rFonts w:ascii="Times New Roman" w:hAnsi="Times New Roman"/>
          <w:szCs w:val="24"/>
          <w:lang w:val="bs-Latn-BA"/>
        </w:rPr>
        <w:t xml:space="preserve"> </w:t>
      </w:r>
      <w:r>
        <w:rPr>
          <w:rFonts w:ascii="Times New Roman" w:hAnsi="Times New Roman"/>
          <w:szCs w:val="24"/>
          <w:lang w:val="bs-Latn-BA"/>
        </w:rPr>
        <w:t>одлука</w:t>
      </w:r>
      <w:r w:rsidR="0042679D" w:rsidRPr="00295637">
        <w:rPr>
          <w:rFonts w:ascii="Times New Roman" w:hAnsi="Times New Roman"/>
          <w:szCs w:val="24"/>
          <w:lang w:val="bs-Latn-BA"/>
        </w:rPr>
        <w:t xml:space="preserve"> </w:t>
      </w:r>
      <w:r>
        <w:rPr>
          <w:rFonts w:ascii="Times New Roman" w:hAnsi="Times New Roman"/>
          <w:szCs w:val="24"/>
          <w:lang w:val="bs-Latn-BA"/>
        </w:rPr>
        <w:t>о</w:t>
      </w:r>
      <w:r w:rsidR="0042679D" w:rsidRPr="00295637">
        <w:rPr>
          <w:rFonts w:ascii="Times New Roman" w:hAnsi="Times New Roman"/>
          <w:szCs w:val="24"/>
          <w:lang w:val="bs-Latn-BA"/>
        </w:rPr>
        <w:t xml:space="preserve"> </w:t>
      </w:r>
      <w:r>
        <w:rPr>
          <w:rFonts w:ascii="Times New Roman" w:hAnsi="Times New Roman"/>
          <w:szCs w:val="24"/>
          <w:lang w:val="bs-Latn-BA"/>
        </w:rPr>
        <w:t>важности</w:t>
      </w:r>
      <w:r w:rsidR="0042679D" w:rsidRPr="00295637">
        <w:rPr>
          <w:rFonts w:ascii="Times New Roman" w:hAnsi="Times New Roman"/>
          <w:szCs w:val="24"/>
          <w:lang w:val="bs-Latn-BA"/>
        </w:rPr>
        <w:t xml:space="preserve"> </w:t>
      </w:r>
      <w:r>
        <w:rPr>
          <w:rFonts w:ascii="Times New Roman" w:hAnsi="Times New Roman"/>
          <w:szCs w:val="24"/>
          <w:lang w:val="bs-Latn-BA"/>
        </w:rPr>
        <w:t>унапређења</w:t>
      </w:r>
      <w:r w:rsidR="0042679D" w:rsidRPr="00295637">
        <w:rPr>
          <w:rFonts w:ascii="Times New Roman" w:hAnsi="Times New Roman"/>
          <w:szCs w:val="24"/>
          <w:lang w:val="bs-Latn-BA"/>
        </w:rPr>
        <w:t xml:space="preserve"> </w:t>
      </w:r>
      <w:r>
        <w:rPr>
          <w:rFonts w:ascii="Times New Roman" w:hAnsi="Times New Roman"/>
          <w:szCs w:val="24"/>
          <w:lang w:val="bs-Latn-BA"/>
        </w:rPr>
        <w:t>равноправ</w:t>
      </w:r>
      <w:r w:rsidR="00EB31AF">
        <w:rPr>
          <w:rFonts w:ascii="Times New Roman" w:hAnsi="Times New Roman"/>
          <w:szCs w:val="24"/>
          <w:lang w:val="bs-Cyrl-BA"/>
        </w:rPr>
        <w:t>н</w:t>
      </w:r>
      <w:r>
        <w:rPr>
          <w:rFonts w:ascii="Times New Roman" w:hAnsi="Times New Roman"/>
          <w:szCs w:val="24"/>
          <w:lang w:val="bs-Latn-BA"/>
        </w:rPr>
        <w:t>ости</w:t>
      </w:r>
      <w:r w:rsidR="0042679D" w:rsidRPr="00295637">
        <w:rPr>
          <w:rFonts w:ascii="Times New Roman" w:hAnsi="Times New Roman"/>
          <w:szCs w:val="24"/>
          <w:lang w:val="bs-Latn-BA"/>
        </w:rPr>
        <w:t xml:space="preserve"> </w:t>
      </w:r>
      <w:r>
        <w:rPr>
          <w:rFonts w:ascii="Times New Roman" w:hAnsi="Times New Roman"/>
          <w:szCs w:val="24"/>
          <w:lang w:val="bs-Latn-BA"/>
        </w:rPr>
        <w:t>полова</w:t>
      </w:r>
      <w:r w:rsidR="0042679D" w:rsidRPr="00295637">
        <w:rPr>
          <w:rFonts w:ascii="Times New Roman" w:hAnsi="Times New Roman"/>
          <w:szCs w:val="24"/>
          <w:lang w:val="bs-Latn-BA"/>
        </w:rPr>
        <w:t xml:space="preserve"> </w:t>
      </w:r>
      <w:r>
        <w:rPr>
          <w:rFonts w:ascii="Times New Roman" w:hAnsi="Times New Roman"/>
          <w:szCs w:val="24"/>
          <w:lang w:val="bs-Latn-BA"/>
        </w:rPr>
        <w:t>као</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изградњи</w:t>
      </w:r>
      <w:r w:rsidR="0042679D" w:rsidRPr="00295637">
        <w:rPr>
          <w:rFonts w:ascii="Times New Roman" w:hAnsi="Times New Roman"/>
          <w:szCs w:val="24"/>
          <w:lang w:val="bs-Latn-BA"/>
        </w:rPr>
        <w:t xml:space="preserve"> </w:t>
      </w:r>
      <w:r>
        <w:rPr>
          <w:rFonts w:ascii="Times New Roman" w:hAnsi="Times New Roman"/>
          <w:szCs w:val="24"/>
          <w:lang w:val="bs-Latn-BA"/>
        </w:rPr>
        <w:t>капацитета</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ефикасниј</w:t>
      </w:r>
      <w:r w:rsidR="002C79FB">
        <w:rPr>
          <w:rFonts w:ascii="Times New Roman" w:hAnsi="Times New Roman"/>
          <w:szCs w:val="24"/>
          <w:lang w:val="sr-Cyrl-BA"/>
        </w:rPr>
        <w:t>е</w:t>
      </w:r>
      <w:r w:rsidR="0042679D" w:rsidRPr="00295637">
        <w:rPr>
          <w:rFonts w:ascii="Times New Roman" w:hAnsi="Times New Roman"/>
          <w:szCs w:val="24"/>
          <w:lang w:val="bs-Latn-BA"/>
        </w:rPr>
        <w:t xml:space="preserve"> </w:t>
      </w:r>
      <w:r w:rsidR="002C79FB">
        <w:rPr>
          <w:rFonts w:ascii="Times New Roman" w:hAnsi="Times New Roman"/>
          <w:szCs w:val="24"/>
          <w:lang w:val="sr-Cyrl-BA"/>
        </w:rPr>
        <w:t>спровођење</w:t>
      </w:r>
      <w:r w:rsidR="0042679D" w:rsidRPr="00295637">
        <w:rPr>
          <w:rFonts w:ascii="Times New Roman" w:hAnsi="Times New Roman"/>
          <w:szCs w:val="24"/>
          <w:lang w:val="bs-Latn-BA"/>
        </w:rPr>
        <w:t xml:space="preserve"> </w:t>
      </w:r>
      <w:r>
        <w:rPr>
          <w:rFonts w:ascii="Times New Roman" w:hAnsi="Times New Roman"/>
          <w:szCs w:val="24"/>
          <w:lang w:val="bs-Latn-BA"/>
        </w:rPr>
        <w:t>ЗоР</w:t>
      </w:r>
      <w:r w:rsidR="002C79FB">
        <w:rPr>
          <w:rFonts w:ascii="Times New Roman" w:hAnsi="Times New Roman"/>
          <w:szCs w:val="24"/>
          <w:lang w:val="sr-Cyrl-BA"/>
        </w:rPr>
        <w:t>П</w:t>
      </w:r>
      <w:r w:rsidR="0042679D" w:rsidRPr="00295637">
        <w:rPr>
          <w:rFonts w:ascii="Times New Roman" w:hAnsi="Times New Roman"/>
          <w:szCs w:val="24"/>
          <w:lang w:val="bs-Latn-BA"/>
        </w:rPr>
        <w:t>-</w:t>
      </w:r>
      <w:r>
        <w:rPr>
          <w:rFonts w:ascii="Times New Roman" w:hAnsi="Times New Roman"/>
          <w:szCs w:val="24"/>
          <w:lang w:val="bs-Latn-BA"/>
        </w:rPr>
        <w:t>а</w:t>
      </w:r>
      <w:r w:rsidR="0042679D" w:rsidRPr="00295637">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 xml:space="preserve">. </w:t>
      </w:r>
    </w:p>
    <w:p w:rsidR="0042679D" w:rsidRPr="00295637" w:rsidRDefault="0042679D" w:rsidP="0086268D">
      <w:pPr>
        <w:jc w:val="both"/>
        <w:rPr>
          <w:rFonts w:ascii="Times New Roman" w:hAnsi="Times New Roman"/>
          <w:szCs w:val="24"/>
          <w:lang w:val="bs-Latn-BA"/>
        </w:rPr>
      </w:pPr>
    </w:p>
    <w:p w:rsidR="0042679D" w:rsidRPr="00295637" w:rsidRDefault="00C6214E" w:rsidP="0086268D">
      <w:pPr>
        <w:jc w:val="both"/>
        <w:rPr>
          <w:rFonts w:ascii="Times New Roman" w:hAnsi="Times New Roman"/>
          <w:szCs w:val="24"/>
          <w:lang w:val="bs-Latn-BA"/>
        </w:rPr>
      </w:pP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институционалном</w:t>
      </w:r>
      <w:r w:rsidR="0042679D" w:rsidRPr="00295637">
        <w:rPr>
          <w:rFonts w:ascii="Times New Roman" w:hAnsi="Times New Roman"/>
          <w:szCs w:val="24"/>
          <w:lang w:val="bs-Latn-BA"/>
        </w:rPr>
        <w:t xml:space="preserve"> </w:t>
      </w:r>
      <w:r>
        <w:rPr>
          <w:rFonts w:ascii="Times New Roman" w:hAnsi="Times New Roman"/>
          <w:szCs w:val="24"/>
          <w:lang w:val="bs-Latn-BA"/>
        </w:rPr>
        <w:t>контексту</w:t>
      </w:r>
      <w:r w:rsidR="0042679D" w:rsidRPr="00295637">
        <w:rPr>
          <w:rFonts w:ascii="Times New Roman" w:hAnsi="Times New Roman"/>
          <w:szCs w:val="24"/>
          <w:lang w:val="bs-Latn-BA"/>
        </w:rPr>
        <w:t xml:space="preserve">, </w:t>
      </w:r>
      <w:r>
        <w:rPr>
          <w:rFonts w:ascii="Times New Roman" w:hAnsi="Times New Roman"/>
          <w:szCs w:val="24"/>
          <w:lang w:val="bs-Latn-BA"/>
        </w:rPr>
        <w:t>континуитет</w:t>
      </w:r>
      <w:r w:rsidR="0042679D" w:rsidRPr="00295637">
        <w:rPr>
          <w:rFonts w:ascii="Times New Roman" w:hAnsi="Times New Roman"/>
          <w:szCs w:val="24"/>
          <w:lang w:val="bs-Latn-BA"/>
        </w:rPr>
        <w:t xml:space="preserve"> </w:t>
      </w:r>
      <w:r w:rsidR="002C79FB">
        <w:rPr>
          <w:rFonts w:ascii="Times New Roman" w:hAnsi="Times New Roman"/>
          <w:szCs w:val="24"/>
          <w:lang w:val="sr-Cyrl-BA"/>
        </w:rPr>
        <w:t>спровођења</w:t>
      </w:r>
      <w:r w:rsidR="0042679D" w:rsidRPr="00295637">
        <w:rPr>
          <w:rFonts w:ascii="Times New Roman" w:hAnsi="Times New Roman"/>
          <w:szCs w:val="24"/>
          <w:lang w:val="bs-Latn-BA"/>
        </w:rPr>
        <w:t xml:space="preserve"> </w:t>
      </w:r>
      <w:r>
        <w:rPr>
          <w:rFonts w:ascii="Times New Roman" w:hAnsi="Times New Roman"/>
          <w:szCs w:val="24"/>
          <w:lang w:val="bs-Latn-BA"/>
        </w:rPr>
        <w:t>активности</w:t>
      </w:r>
      <w:r w:rsidR="0042679D" w:rsidRPr="00295637">
        <w:rPr>
          <w:rFonts w:ascii="Times New Roman" w:hAnsi="Times New Roman"/>
          <w:szCs w:val="24"/>
          <w:lang w:val="bs-Latn-BA"/>
        </w:rPr>
        <w:t xml:space="preserve"> </w:t>
      </w:r>
      <w:r>
        <w:rPr>
          <w:rFonts w:ascii="Times New Roman" w:hAnsi="Times New Roman"/>
          <w:szCs w:val="24"/>
          <w:lang w:val="bs-Latn-BA"/>
        </w:rPr>
        <w:t>на</w:t>
      </w:r>
      <w:r w:rsidR="00D30E48">
        <w:rPr>
          <w:rFonts w:ascii="Times New Roman" w:hAnsi="Times New Roman"/>
          <w:szCs w:val="24"/>
          <w:lang w:val="bs-Latn-BA"/>
        </w:rPr>
        <w:t xml:space="preserve"> </w:t>
      </w:r>
      <w:r>
        <w:rPr>
          <w:rFonts w:ascii="Times New Roman" w:hAnsi="Times New Roman"/>
          <w:szCs w:val="24"/>
          <w:lang w:val="bs-Latn-BA"/>
        </w:rPr>
        <w:t>увођењу</w:t>
      </w:r>
      <w:r w:rsidR="00D30E48">
        <w:rPr>
          <w:rFonts w:ascii="Times New Roman" w:hAnsi="Times New Roman"/>
          <w:szCs w:val="24"/>
          <w:lang w:val="bs-Latn-BA"/>
        </w:rPr>
        <w:t xml:space="preserve"> </w:t>
      </w:r>
      <w:r>
        <w:rPr>
          <w:rFonts w:ascii="Times New Roman" w:hAnsi="Times New Roman"/>
          <w:szCs w:val="24"/>
          <w:lang w:val="bs-Latn-BA"/>
        </w:rPr>
        <w:t>и</w:t>
      </w:r>
      <w:r w:rsidR="00D30E48">
        <w:rPr>
          <w:rFonts w:ascii="Times New Roman" w:hAnsi="Times New Roman"/>
          <w:szCs w:val="24"/>
          <w:lang w:val="bs-Latn-BA"/>
        </w:rPr>
        <w:t xml:space="preserve"> </w:t>
      </w:r>
      <w:r>
        <w:rPr>
          <w:rFonts w:ascii="Times New Roman" w:hAnsi="Times New Roman"/>
          <w:szCs w:val="24"/>
          <w:lang w:val="bs-Latn-BA"/>
        </w:rPr>
        <w:t>примјени</w:t>
      </w:r>
      <w:r w:rsidR="00D30E48">
        <w:rPr>
          <w:rFonts w:ascii="Times New Roman" w:hAnsi="Times New Roman"/>
          <w:szCs w:val="24"/>
          <w:lang w:val="bs-Latn-BA"/>
        </w:rPr>
        <w:t xml:space="preserve"> </w:t>
      </w:r>
      <w:r>
        <w:rPr>
          <w:rFonts w:ascii="Times New Roman" w:hAnsi="Times New Roman"/>
          <w:szCs w:val="24"/>
          <w:lang w:val="bs-Latn-BA"/>
        </w:rPr>
        <w:t>принципа</w:t>
      </w:r>
      <w:r w:rsidR="0042679D"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42679D" w:rsidRPr="00295637">
        <w:rPr>
          <w:rFonts w:ascii="Times New Roman" w:hAnsi="Times New Roman"/>
          <w:szCs w:val="24"/>
          <w:lang w:val="bs-Latn-BA"/>
        </w:rPr>
        <w:t xml:space="preserve"> </w:t>
      </w:r>
      <w:r>
        <w:rPr>
          <w:rFonts w:ascii="Times New Roman" w:hAnsi="Times New Roman"/>
          <w:szCs w:val="24"/>
          <w:lang w:val="bs-Latn-BA"/>
        </w:rPr>
        <w:t>полова</w:t>
      </w:r>
      <w:r w:rsidR="0042679D" w:rsidRPr="00295637">
        <w:rPr>
          <w:rFonts w:ascii="Times New Roman" w:hAnsi="Times New Roman"/>
          <w:szCs w:val="24"/>
          <w:lang w:val="bs-Latn-BA"/>
        </w:rPr>
        <w:t xml:space="preserve"> </w:t>
      </w:r>
      <w:r>
        <w:rPr>
          <w:rFonts w:ascii="Times New Roman" w:hAnsi="Times New Roman"/>
          <w:szCs w:val="24"/>
          <w:lang w:val="bs-Latn-BA"/>
        </w:rPr>
        <w:t>задржава</w:t>
      </w:r>
      <w:r w:rsidR="0042679D" w:rsidRPr="00295637">
        <w:rPr>
          <w:rFonts w:ascii="Times New Roman" w:hAnsi="Times New Roman"/>
          <w:szCs w:val="24"/>
          <w:lang w:val="bs-Latn-BA"/>
        </w:rPr>
        <w:t xml:space="preserve"> </w:t>
      </w:r>
      <w:r>
        <w:rPr>
          <w:rFonts w:ascii="Times New Roman" w:hAnsi="Times New Roman"/>
          <w:szCs w:val="24"/>
          <w:lang w:val="bs-Latn-BA"/>
        </w:rPr>
        <w:t>свој</w:t>
      </w:r>
      <w:r w:rsidR="0042679D" w:rsidRPr="00295637">
        <w:rPr>
          <w:rFonts w:ascii="Times New Roman" w:hAnsi="Times New Roman"/>
          <w:szCs w:val="24"/>
          <w:lang w:val="bs-Latn-BA"/>
        </w:rPr>
        <w:t xml:space="preserve"> </w:t>
      </w:r>
      <w:r>
        <w:rPr>
          <w:rFonts w:ascii="Times New Roman" w:hAnsi="Times New Roman"/>
          <w:szCs w:val="24"/>
          <w:lang w:val="bs-Latn-BA"/>
        </w:rPr>
        <w:t>кључни</w:t>
      </w:r>
      <w:r w:rsidR="0042679D" w:rsidRPr="00295637">
        <w:rPr>
          <w:rFonts w:ascii="Times New Roman" w:hAnsi="Times New Roman"/>
          <w:szCs w:val="24"/>
          <w:lang w:val="bs-Latn-BA"/>
        </w:rPr>
        <w:t xml:space="preserve"> </w:t>
      </w:r>
      <w:r>
        <w:rPr>
          <w:rFonts w:ascii="Times New Roman" w:hAnsi="Times New Roman"/>
          <w:szCs w:val="24"/>
          <w:lang w:val="bs-Latn-BA"/>
        </w:rPr>
        <w:t>значај</w:t>
      </w:r>
      <w:r w:rsidR="0042679D" w:rsidRPr="00295637">
        <w:rPr>
          <w:rFonts w:ascii="Times New Roman" w:hAnsi="Times New Roman"/>
          <w:szCs w:val="24"/>
          <w:lang w:val="bs-Latn-BA"/>
        </w:rPr>
        <w:t xml:space="preserve"> </w:t>
      </w:r>
      <w:r>
        <w:rPr>
          <w:rFonts w:ascii="Times New Roman" w:hAnsi="Times New Roman"/>
          <w:szCs w:val="24"/>
          <w:lang w:val="bs-Latn-BA"/>
        </w:rPr>
        <w:t>кроз</w:t>
      </w:r>
      <w:r w:rsidR="0042679D" w:rsidRPr="00295637">
        <w:rPr>
          <w:rFonts w:ascii="Times New Roman" w:hAnsi="Times New Roman"/>
          <w:szCs w:val="24"/>
          <w:lang w:val="bs-Latn-BA"/>
        </w:rPr>
        <w:t xml:space="preserve"> </w:t>
      </w:r>
      <w:r>
        <w:rPr>
          <w:rFonts w:ascii="Times New Roman" w:hAnsi="Times New Roman"/>
          <w:szCs w:val="24"/>
          <w:lang w:val="bs-Latn-BA"/>
        </w:rPr>
        <w:t>сарадњу</w:t>
      </w:r>
      <w:r w:rsidR="0042679D" w:rsidRPr="00295637">
        <w:rPr>
          <w:rFonts w:ascii="Times New Roman" w:hAnsi="Times New Roman"/>
          <w:szCs w:val="24"/>
          <w:lang w:val="bs-Latn-BA"/>
        </w:rPr>
        <w:t xml:space="preserve"> </w:t>
      </w:r>
      <w:r>
        <w:rPr>
          <w:rFonts w:ascii="Times New Roman" w:hAnsi="Times New Roman"/>
          <w:szCs w:val="24"/>
          <w:lang w:val="bs-Latn-BA"/>
        </w:rPr>
        <w:t>извршне</w:t>
      </w:r>
      <w:r w:rsidR="0042679D" w:rsidRPr="00295637">
        <w:rPr>
          <w:rFonts w:ascii="Times New Roman" w:hAnsi="Times New Roman"/>
          <w:szCs w:val="24"/>
          <w:lang w:val="bs-Latn-BA"/>
        </w:rPr>
        <w:t xml:space="preserve">, </w:t>
      </w:r>
      <w:r>
        <w:rPr>
          <w:rFonts w:ascii="Times New Roman" w:hAnsi="Times New Roman"/>
          <w:szCs w:val="24"/>
          <w:lang w:val="bs-Latn-BA"/>
        </w:rPr>
        <w:t>законодавне</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судске</w:t>
      </w:r>
      <w:r w:rsidR="0042679D" w:rsidRPr="00295637">
        <w:rPr>
          <w:rFonts w:ascii="Times New Roman" w:hAnsi="Times New Roman"/>
          <w:szCs w:val="24"/>
          <w:lang w:val="bs-Latn-BA"/>
        </w:rPr>
        <w:t xml:space="preserve"> </w:t>
      </w:r>
      <w:r>
        <w:rPr>
          <w:rFonts w:ascii="Times New Roman" w:hAnsi="Times New Roman"/>
          <w:szCs w:val="24"/>
          <w:lang w:val="bs-Latn-BA"/>
        </w:rPr>
        <w:t>власти</w:t>
      </w:r>
      <w:r w:rsidR="0042679D" w:rsidRPr="00295637">
        <w:rPr>
          <w:rFonts w:ascii="Times New Roman" w:hAnsi="Times New Roman"/>
          <w:szCs w:val="24"/>
          <w:lang w:val="bs-Latn-BA"/>
        </w:rPr>
        <w:t xml:space="preserve">, </w:t>
      </w:r>
      <w:r>
        <w:rPr>
          <w:rFonts w:ascii="Times New Roman" w:hAnsi="Times New Roman"/>
          <w:szCs w:val="24"/>
          <w:lang w:val="bs-Latn-BA"/>
        </w:rPr>
        <w:t>међународних</w:t>
      </w:r>
      <w:r w:rsidR="0042679D" w:rsidRPr="00295637">
        <w:rPr>
          <w:rFonts w:ascii="Times New Roman" w:hAnsi="Times New Roman"/>
          <w:szCs w:val="24"/>
          <w:lang w:val="bs-Latn-BA"/>
        </w:rPr>
        <w:t xml:space="preserve"> </w:t>
      </w:r>
      <w:r>
        <w:rPr>
          <w:rFonts w:ascii="Times New Roman" w:hAnsi="Times New Roman"/>
          <w:szCs w:val="24"/>
          <w:lang w:val="bs-Latn-BA"/>
        </w:rPr>
        <w:t>институција</w:t>
      </w:r>
      <w:r w:rsidR="0042679D" w:rsidRPr="00295637">
        <w:rPr>
          <w:rFonts w:ascii="Times New Roman" w:hAnsi="Times New Roman"/>
          <w:szCs w:val="24"/>
          <w:lang w:val="bs-Latn-BA"/>
        </w:rPr>
        <w:t xml:space="preserve">, </w:t>
      </w:r>
      <w:r>
        <w:rPr>
          <w:rFonts w:ascii="Times New Roman" w:hAnsi="Times New Roman"/>
          <w:szCs w:val="24"/>
          <w:lang w:val="bs-Latn-BA"/>
        </w:rPr>
        <w:t>организација</w:t>
      </w:r>
      <w:r w:rsidR="0042679D" w:rsidRPr="00295637">
        <w:rPr>
          <w:rFonts w:ascii="Times New Roman" w:hAnsi="Times New Roman"/>
          <w:szCs w:val="24"/>
          <w:lang w:val="bs-Latn-BA"/>
        </w:rPr>
        <w:t xml:space="preserve"> </w:t>
      </w:r>
      <w:r>
        <w:rPr>
          <w:rFonts w:ascii="Times New Roman" w:hAnsi="Times New Roman"/>
          <w:szCs w:val="24"/>
          <w:lang w:val="bs-Latn-BA"/>
        </w:rPr>
        <w:t>цивилног</w:t>
      </w:r>
      <w:r w:rsidR="0042679D" w:rsidRPr="00295637">
        <w:rPr>
          <w:rFonts w:ascii="Times New Roman" w:hAnsi="Times New Roman"/>
          <w:szCs w:val="24"/>
          <w:lang w:val="bs-Latn-BA"/>
        </w:rPr>
        <w:t xml:space="preserve"> </w:t>
      </w:r>
      <w:r>
        <w:rPr>
          <w:rFonts w:ascii="Times New Roman" w:hAnsi="Times New Roman"/>
          <w:szCs w:val="24"/>
          <w:lang w:val="bs-Latn-BA"/>
        </w:rPr>
        <w:t>друштва</w:t>
      </w:r>
      <w:r w:rsidR="0042679D" w:rsidRPr="00295637">
        <w:rPr>
          <w:rFonts w:ascii="Times New Roman" w:hAnsi="Times New Roman"/>
          <w:szCs w:val="24"/>
          <w:lang w:val="bs-Latn-BA"/>
        </w:rPr>
        <w:t xml:space="preserve">, </w:t>
      </w:r>
      <w:r>
        <w:rPr>
          <w:rFonts w:ascii="Times New Roman" w:hAnsi="Times New Roman"/>
          <w:szCs w:val="24"/>
          <w:lang w:val="bs-Latn-BA"/>
        </w:rPr>
        <w:t>академске</w:t>
      </w:r>
      <w:r w:rsidR="0042679D" w:rsidRPr="00295637">
        <w:rPr>
          <w:rFonts w:ascii="Times New Roman" w:hAnsi="Times New Roman"/>
          <w:szCs w:val="24"/>
          <w:lang w:val="bs-Latn-BA"/>
        </w:rPr>
        <w:t xml:space="preserve"> </w:t>
      </w:r>
      <w:r>
        <w:rPr>
          <w:rFonts w:ascii="Times New Roman" w:hAnsi="Times New Roman"/>
          <w:szCs w:val="24"/>
          <w:lang w:val="bs-Latn-BA"/>
        </w:rPr>
        <w:t>заједнице</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медија</w:t>
      </w:r>
      <w:r w:rsidR="0042679D" w:rsidRPr="00295637">
        <w:rPr>
          <w:rFonts w:ascii="Times New Roman" w:hAnsi="Times New Roman"/>
          <w:szCs w:val="24"/>
          <w:lang w:val="bs-Latn-BA"/>
        </w:rPr>
        <w:t xml:space="preserve">. </w:t>
      </w:r>
      <w:r w:rsidR="002C79FB">
        <w:rPr>
          <w:rFonts w:ascii="Times New Roman" w:hAnsi="Times New Roman"/>
          <w:szCs w:val="24"/>
          <w:lang w:val="sr-Cyrl-BA"/>
        </w:rPr>
        <w:t>Спровођењем</w:t>
      </w:r>
      <w:r w:rsidR="0042679D" w:rsidRPr="00295637">
        <w:rPr>
          <w:rFonts w:ascii="Times New Roman" w:hAnsi="Times New Roman"/>
          <w:szCs w:val="24"/>
          <w:lang w:val="bs-Latn-BA"/>
        </w:rPr>
        <w:t xml:space="preserve"> </w:t>
      </w:r>
      <w:r>
        <w:rPr>
          <w:rFonts w:ascii="Times New Roman" w:hAnsi="Times New Roman"/>
          <w:szCs w:val="24"/>
          <w:lang w:val="bs-Latn-BA"/>
        </w:rPr>
        <w:t>ревизије</w:t>
      </w:r>
      <w:r w:rsidR="0042679D" w:rsidRPr="00295637">
        <w:rPr>
          <w:rFonts w:ascii="Times New Roman" w:hAnsi="Times New Roman"/>
          <w:szCs w:val="24"/>
          <w:lang w:val="bs-Latn-BA"/>
        </w:rPr>
        <w:t xml:space="preserve"> </w:t>
      </w:r>
      <w:r>
        <w:rPr>
          <w:rFonts w:ascii="Times New Roman" w:hAnsi="Times New Roman"/>
          <w:szCs w:val="24"/>
          <w:lang w:val="bs-Latn-BA"/>
        </w:rPr>
        <w:t>учинка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домену</w:t>
      </w:r>
      <w:r w:rsidR="0042679D"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42679D" w:rsidRPr="00295637">
        <w:rPr>
          <w:rFonts w:ascii="Times New Roman" w:hAnsi="Times New Roman"/>
          <w:szCs w:val="24"/>
          <w:lang w:val="bs-Latn-BA"/>
        </w:rPr>
        <w:t xml:space="preserve"> </w:t>
      </w:r>
      <w:r>
        <w:rPr>
          <w:rFonts w:ascii="Times New Roman" w:hAnsi="Times New Roman"/>
          <w:szCs w:val="24"/>
          <w:lang w:val="bs-Latn-BA"/>
        </w:rPr>
        <w:t>полова</w:t>
      </w:r>
      <w:r w:rsidR="0042679D" w:rsidRPr="00295637">
        <w:rPr>
          <w:rFonts w:ascii="Times New Roman" w:hAnsi="Times New Roman"/>
          <w:szCs w:val="24"/>
          <w:lang w:val="bs-Latn-BA"/>
        </w:rPr>
        <w:t xml:space="preserve">, </w:t>
      </w:r>
      <w:r>
        <w:rPr>
          <w:rFonts w:ascii="Times New Roman" w:hAnsi="Times New Roman"/>
          <w:szCs w:val="24"/>
          <w:lang w:val="bs-Latn-BA"/>
        </w:rPr>
        <w:t>подржава</w:t>
      </w:r>
      <w:r w:rsidR="0042679D" w:rsidRPr="00295637">
        <w:rPr>
          <w:rFonts w:ascii="Times New Roman" w:hAnsi="Times New Roman"/>
          <w:szCs w:val="24"/>
          <w:lang w:val="bs-Latn-BA"/>
        </w:rPr>
        <w:t xml:space="preserve"> </w:t>
      </w:r>
      <w:r>
        <w:rPr>
          <w:rFonts w:ascii="Times New Roman" w:hAnsi="Times New Roman"/>
          <w:szCs w:val="24"/>
          <w:lang w:val="bs-Latn-BA"/>
        </w:rPr>
        <w:t>се</w:t>
      </w:r>
      <w:r w:rsidR="0042679D" w:rsidRPr="00295637">
        <w:rPr>
          <w:rFonts w:ascii="Times New Roman" w:hAnsi="Times New Roman"/>
          <w:szCs w:val="24"/>
          <w:lang w:val="bs-Latn-BA"/>
        </w:rPr>
        <w:t xml:space="preserve"> </w:t>
      </w:r>
      <w:r>
        <w:rPr>
          <w:rFonts w:ascii="Times New Roman" w:hAnsi="Times New Roman"/>
          <w:szCs w:val="24"/>
          <w:lang w:val="bs-Latn-BA"/>
        </w:rPr>
        <w:t>напор</w:t>
      </w:r>
      <w:r w:rsidR="0042679D" w:rsidRPr="00295637">
        <w:rPr>
          <w:rFonts w:ascii="Times New Roman" w:hAnsi="Times New Roman"/>
          <w:szCs w:val="24"/>
          <w:lang w:val="bs-Latn-BA"/>
        </w:rPr>
        <w:t xml:space="preserve"> </w:t>
      </w:r>
      <w:r>
        <w:rPr>
          <w:rFonts w:ascii="Times New Roman" w:hAnsi="Times New Roman"/>
          <w:szCs w:val="24"/>
          <w:lang w:val="bs-Latn-BA"/>
        </w:rPr>
        <w:t>институционалних</w:t>
      </w:r>
      <w:r w:rsidR="0042679D" w:rsidRPr="00295637">
        <w:rPr>
          <w:rFonts w:ascii="Times New Roman" w:hAnsi="Times New Roman"/>
          <w:szCs w:val="24"/>
          <w:lang w:val="bs-Latn-BA"/>
        </w:rPr>
        <w:t xml:space="preserve"> </w:t>
      </w:r>
      <w:r>
        <w:rPr>
          <w:rFonts w:ascii="Times New Roman" w:hAnsi="Times New Roman"/>
          <w:szCs w:val="24"/>
          <w:lang w:val="bs-Latn-BA"/>
        </w:rPr>
        <w:t>механизама</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42679D" w:rsidRPr="00295637">
        <w:rPr>
          <w:rFonts w:ascii="Times New Roman" w:hAnsi="Times New Roman"/>
          <w:szCs w:val="24"/>
          <w:lang w:val="bs-Latn-BA"/>
        </w:rPr>
        <w:t xml:space="preserve"> </w:t>
      </w:r>
      <w:r>
        <w:rPr>
          <w:rFonts w:ascii="Times New Roman" w:hAnsi="Times New Roman"/>
          <w:szCs w:val="24"/>
          <w:lang w:val="bs-Latn-BA"/>
        </w:rPr>
        <w:t>полова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контексту</w:t>
      </w:r>
      <w:r w:rsidR="0042679D" w:rsidRPr="00295637">
        <w:rPr>
          <w:rFonts w:ascii="Times New Roman" w:hAnsi="Times New Roman"/>
          <w:szCs w:val="24"/>
          <w:lang w:val="bs-Latn-BA"/>
        </w:rPr>
        <w:t xml:space="preserve"> </w:t>
      </w:r>
      <w:r>
        <w:rPr>
          <w:rFonts w:ascii="Times New Roman" w:hAnsi="Times New Roman"/>
          <w:szCs w:val="24"/>
          <w:lang w:val="bs-Latn-BA"/>
        </w:rPr>
        <w:t>увођења</w:t>
      </w:r>
      <w:r w:rsidR="0042679D" w:rsidRPr="00295637">
        <w:rPr>
          <w:rFonts w:ascii="Times New Roman" w:hAnsi="Times New Roman"/>
          <w:szCs w:val="24"/>
          <w:lang w:val="bs-Latn-BA"/>
        </w:rPr>
        <w:t xml:space="preserve"> </w:t>
      </w:r>
      <w:r>
        <w:rPr>
          <w:rFonts w:ascii="Times New Roman" w:hAnsi="Times New Roman"/>
          <w:szCs w:val="24"/>
          <w:lang w:val="bs-Latn-BA"/>
        </w:rPr>
        <w:t>принципа</w:t>
      </w:r>
      <w:r w:rsidR="0042679D"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42679D" w:rsidRPr="00295637">
        <w:rPr>
          <w:rFonts w:ascii="Times New Roman" w:hAnsi="Times New Roman"/>
          <w:szCs w:val="24"/>
          <w:lang w:val="bs-Latn-BA"/>
        </w:rPr>
        <w:t xml:space="preserve"> </w:t>
      </w:r>
      <w:r>
        <w:rPr>
          <w:rFonts w:ascii="Times New Roman" w:hAnsi="Times New Roman"/>
          <w:szCs w:val="24"/>
          <w:lang w:val="bs-Latn-BA"/>
        </w:rPr>
        <w:t>полова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наставку</w:t>
      </w:r>
      <w:r w:rsidR="0042679D" w:rsidRPr="00295637">
        <w:rPr>
          <w:rFonts w:ascii="Times New Roman" w:hAnsi="Times New Roman"/>
          <w:szCs w:val="24"/>
          <w:lang w:val="bs-Latn-BA"/>
        </w:rPr>
        <w:t xml:space="preserve"> </w:t>
      </w:r>
      <w:r>
        <w:rPr>
          <w:rFonts w:ascii="Times New Roman" w:hAnsi="Times New Roman"/>
          <w:szCs w:val="24"/>
          <w:lang w:val="bs-Latn-BA"/>
        </w:rPr>
        <w:t>наводимо</w:t>
      </w:r>
      <w:r w:rsidR="0042679D" w:rsidRPr="00295637">
        <w:rPr>
          <w:rFonts w:ascii="Times New Roman" w:hAnsi="Times New Roman"/>
          <w:szCs w:val="24"/>
          <w:lang w:val="bs-Latn-BA"/>
        </w:rPr>
        <w:t xml:space="preserve"> </w:t>
      </w:r>
      <w:r>
        <w:rPr>
          <w:rFonts w:ascii="Times New Roman" w:hAnsi="Times New Roman"/>
          <w:szCs w:val="24"/>
          <w:lang w:val="bs-Latn-BA"/>
        </w:rPr>
        <w:t>најважније</w:t>
      </w:r>
      <w:r w:rsidR="0042679D">
        <w:rPr>
          <w:rFonts w:ascii="Times New Roman" w:hAnsi="Times New Roman"/>
          <w:szCs w:val="24"/>
          <w:lang w:val="bs-Latn-BA"/>
        </w:rPr>
        <w:t xml:space="preserve"> </w:t>
      </w:r>
      <w:r>
        <w:rPr>
          <w:rFonts w:ascii="Times New Roman" w:hAnsi="Times New Roman"/>
          <w:szCs w:val="24"/>
          <w:lang w:val="bs-Latn-BA"/>
        </w:rPr>
        <w:t>резултате</w:t>
      </w:r>
      <w:r w:rsidR="0042679D" w:rsidRPr="00295637">
        <w:rPr>
          <w:rFonts w:ascii="Times New Roman" w:hAnsi="Times New Roman"/>
          <w:szCs w:val="24"/>
          <w:lang w:val="bs-Latn-BA"/>
        </w:rPr>
        <w:t xml:space="preserve"> </w:t>
      </w:r>
      <w:r>
        <w:rPr>
          <w:rFonts w:ascii="Times New Roman" w:hAnsi="Times New Roman"/>
          <w:szCs w:val="24"/>
          <w:lang w:val="bs-Latn-BA"/>
        </w:rPr>
        <w:t>постигнуте</w:t>
      </w:r>
      <w:r w:rsidR="0042679D" w:rsidRPr="00295637">
        <w:rPr>
          <w:rFonts w:ascii="Times New Roman" w:hAnsi="Times New Roman"/>
          <w:szCs w:val="24"/>
          <w:lang w:val="bs-Latn-BA"/>
        </w:rPr>
        <w:t xml:space="preserve"> </w:t>
      </w:r>
      <w:r>
        <w:rPr>
          <w:rFonts w:ascii="Times New Roman" w:hAnsi="Times New Roman"/>
          <w:szCs w:val="24"/>
          <w:lang w:val="bs-Latn-BA"/>
        </w:rPr>
        <w:t>током</w:t>
      </w:r>
      <w:r w:rsidR="0042679D" w:rsidRPr="00295637">
        <w:rPr>
          <w:rFonts w:ascii="Times New Roman" w:hAnsi="Times New Roman"/>
          <w:szCs w:val="24"/>
          <w:lang w:val="bs-Latn-BA"/>
        </w:rPr>
        <w:t xml:space="preserve"> </w:t>
      </w:r>
      <w:r>
        <w:rPr>
          <w:rFonts w:ascii="Times New Roman" w:hAnsi="Times New Roman"/>
          <w:szCs w:val="24"/>
          <w:lang w:val="bs-Latn-BA"/>
        </w:rPr>
        <w:t>прве</w:t>
      </w:r>
      <w:r w:rsidR="0042679D" w:rsidRPr="00295637">
        <w:rPr>
          <w:rFonts w:ascii="Times New Roman" w:hAnsi="Times New Roman"/>
          <w:szCs w:val="24"/>
          <w:lang w:val="bs-Latn-BA"/>
        </w:rPr>
        <w:t xml:space="preserve"> </w:t>
      </w:r>
      <w:r>
        <w:rPr>
          <w:rFonts w:ascii="Times New Roman" w:hAnsi="Times New Roman"/>
          <w:szCs w:val="24"/>
          <w:lang w:val="bs-Latn-BA"/>
        </w:rPr>
        <w:t>године</w:t>
      </w:r>
      <w:r w:rsidR="0042679D" w:rsidRPr="00295637">
        <w:rPr>
          <w:rFonts w:ascii="Times New Roman" w:hAnsi="Times New Roman"/>
          <w:szCs w:val="24"/>
          <w:lang w:val="bs-Latn-BA"/>
        </w:rPr>
        <w:t xml:space="preserve"> </w:t>
      </w:r>
      <w:r w:rsidR="002C79FB">
        <w:rPr>
          <w:rFonts w:ascii="Times New Roman" w:hAnsi="Times New Roman"/>
          <w:szCs w:val="24"/>
          <w:lang w:val="sr-Cyrl-BA"/>
        </w:rPr>
        <w:t>спровођења</w:t>
      </w:r>
      <w:r w:rsidR="0042679D" w:rsidRPr="00295637">
        <w:rPr>
          <w:rFonts w:ascii="Times New Roman" w:hAnsi="Times New Roman"/>
          <w:szCs w:val="24"/>
          <w:lang w:val="bs-Latn-BA"/>
        </w:rPr>
        <w:t xml:space="preserve"> </w:t>
      </w:r>
      <w:r>
        <w:rPr>
          <w:rFonts w:ascii="Times New Roman" w:hAnsi="Times New Roman"/>
          <w:szCs w:val="24"/>
          <w:lang w:val="bs-Latn-BA"/>
        </w:rPr>
        <w:t>ГАП</w:t>
      </w:r>
      <w:r w:rsidR="0042679D" w:rsidRPr="00295637">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 xml:space="preserve"> (2023</w:t>
      </w:r>
      <w:r w:rsidR="004A732B">
        <w:rPr>
          <w:rFonts w:ascii="Times New Roman" w:hAnsi="Times New Roman"/>
          <w:szCs w:val="24"/>
          <w:lang w:val="bs-Latn-BA"/>
        </w:rPr>
        <w:t>-</w:t>
      </w:r>
      <w:r w:rsidR="0042679D" w:rsidRPr="00295637">
        <w:rPr>
          <w:rFonts w:ascii="Times New Roman" w:hAnsi="Times New Roman"/>
          <w:szCs w:val="24"/>
          <w:lang w:val="bs-Latn-BA"/>
        </w:rPr>
        <w:t>2027</w:t>
      </w:r>
      <w:r w:rsidR="004A732B">
        <w:rPr>
          <w:rFonts w:ascii="Times New Roman" w:hAnsi="Times New Roman"/>
          <w:szCs w:val="24"/>
          <w:lang w:val="bs-Latn-BA"/>
        </w:rPr>
        <w:t xml:space="preserve">. </w:t>
      </w:r>
      <w:r>
        <w:rPr>
          <w:rFonts w:ascii="Times New Roman" w:hAnsi="Times New Roman"/>
          <w:szCs w:val="24"/>
          <w:lang w:val="bs-Latn-BA"/>
        </w:rPr>
        <w:t>година</w:t>
      </w:r>
      <w:r w:rsidR="0042679D" w:rsidRPr="00295637">
        <w:rPr>
          <w:rFonts w:ascii="Times New Roman" w:hAnsi="Times New Roman"/>
          <w:szCs w:val="24"/>
          <w:lang w:val="bs-Latn-BA"/>
        </w:rPr>
        <w:t xml:space="preserve">). </w:t>
      </w:r>
    </w:p>
    <w:p w:rsidR="0042679D" w:rsidRPr="00295637" w:rsidRDefault="0042679D" w:rsidP="0086268D">
      <w:pPr>
        <w:jc w:val="both"/>
        <w:rPr>
          <w:rFonts w:ascii="Times New Roman" w:hAnsi="Times New Roman"/>
          <w:szCs w:val="24"/>
          <w:lang w:val="bs-Latn-BA"/>
        </w:rPr>
      </w:pPr>
    </w:p>
    <w:p w:rsidR="0042679D" w:rsidRPr="00295637" w:rsidRDefault="00C6214E" w:rsidP="0086268D">
      <w:pPr>
        <w:jc w:val="both"/>
        <w:rPr>
          <w:rFonts w:ascii="Times New Roman" w:hAnsi="Times New Roman"/>
          <w:i/>
          <w:szCs w:val="24"/>
          <w:lang w:val="bs-Latn-BA"/>
        </w:rPr>
      </w:pPr>
      <w:r>
        <w:rPr>
          <w:rFonts w:ascii="Times New Roman" w:hAnsi="Times New Roman"/>
          <w:i/>
          <w:szCs w:val="24"/>
          <w:lang w:val="bs-Latn-BA"/>
        </w:rPr>
        <w:t>Спречавање</w:t>
      </w:r>
      <w:r w:rsidR="0042679D" w:rsidRPr="00295637">
        <w:rPr>
          <w:rFonts w:ascii="Times New Roman" w:hAnsi="Times New Roman"/>
          <w:i/>
          <w:szCs w:val="24"/>
          <w:lang w:val="bs-Latn-BA"/>
        </w:rPr>
        <w:t xml:space="preserve"> </w:t>
      </w:r>
      <w:r>
        <w:rPr>
          <w:rFonts w:ascii="Times New Roman" w:hAnsi="Times New Roman"/>
          <w:i/>
          <w:szCs w:val="24"/>
          <w:lang w:val="bs-Latn-BA"/>
        </w:rPr>
        <w:t>и</w:t>
      </w:r>
      <w:r w:rsidR="0042679D" w:rsidRPr="00295637">
        <w:rPr>
          <w:rFonts w:ascii="Times New Roman" w:hAnsi="Times New Roman"/>
          <w:i/>
          <w:szCs w:val="24"/>
          <w:lang w:val="bs-Latn-BA"/>
        </w:rPr>
        <w:t xml:space="preserve"> </w:t>
      </w:r>
      <w:r>
        <w:rPr>
          <w:rFonts w:ascii="Times New Roman" w:hAnsi="Times New Roman"/>
          <w:i/>
          <w:szCs w:val="24"/>
          <w:lang w:val="bs-Latn-BA"/>
        </w:rPr>
        <w:t>сузбијање</w:t>
      </w:r>
      <w:r w:rsidR="0042679D" w:rsidRPr="00295637">
        <w:rPr>
          <w:rFonts w:ascii="Times New Roman" w:hAnsi="Times New Roman"/>
          <w:i/>
          <w:szCs w:val="24"/>
          <w:lang w:val="bs-Latn-BA"/>
        </w:rPr>
        <w:t xml:space="preserve"> </w:t>
      </w:r>
      <w:r>
        <w:rPr>
          <w:rFonts w:ascii="Times New Roman" w:hAnsi="Times New Roman"/>
          <w:i/>
          <w:szCs w:val="24"/>
          <w:lang w:val="bs-Latn-BA"/>
        </w:rPr>
        <w:t>насиља</w:t>
      </w:r>
      <w:r w:rsidR="0042679D" w:rsidRPr="00295637">
        <w:rPr>
          <w:rFonts w:ascii="Times New Roman" w:hAnsi="Times New Roman"/>
          <w:i/>
          <w:szCs w:val="24"/>
          <w:lang w:val="bs-Latn-BA"/>
        </w:rPr>
        <w:t xml:space="preserve"> </w:t>
      </w:r>
      <w:r>
        <w:rPr>
          <w:rFonts w:ascii="Times New Roman" w:hAnsi="Times New Roman"/>
          <w:i/>
          <w:szCs w:val="24"/>
          <w:lang w:val="bs-Latn-BA"/>
        </w:rPr>
        <w:t>по</w:t>
      </w:r>
      <w:r w:rsidR="0042679D" w:rsidRPr="00295637">
        <w:rPr>
          <w:rFonts w:ascii="Times New Roman" w:hAnsi="Times New Roman"/>
          <w:i/>
          <w:szCs w:val="24"/>
          <w:lang w:val="bs-Latn-BA"/>
        </w:rPr>
        <w:t xml:space="preserve"> </w:t>
      </w:r>
      <w:r>
        <w:rPr>
          <w:rFonts w:ascii="Times New Roman" w:hAnsi="Times New Roman"/>
          <w:i/>
          <w:szCs w:val="24"/>
          <w:lang w:val="bs-Latn-BA"/>
        </w:rPr>
        <w:t>основу</w:t>
      </w:r>
      <w:r w:rsidR="0042679D" w:rsidRPr="00295637">
        <w:rPr>
          <w:rFonts w:ascii="Times New Roman" w:hAnsi="Times New Roman"/>
          <w:i/>
          <w:szCs w:val="24"/>
          <w:lang w:val="bs-Latn-BA"/>
        </w:rPr>
        <w:t xml:space="preserve"> </w:t>
      </w:r>
      <w:r>
        <w:rPr>
          <w:rFonts w:ascii="Times New Roman" w:hAnsi="Times New Roman"/>
          <w:i/>
          <w:szCs w:val="24"/>
          <w:lang w:val="bs-Latn-BA"/>
        </w:rPr>
        <w:t>пола</w:t>
      </w:r>
      <w:r w:rsidR="0042679D" w:rsidRPr="00295637">
        <w:rPr>
          <w:rFonts w:ascii="Times New Roman" w:hAnsi="Times New Roman"/>
          <w:i/>
          <w:szCs w:val="24"/>
          <w:lang w:val="bs-Latn-BA"/>
        </w:rPr>
        <w:t xml:space="preserve">, </w:t>
      </w:r>
      <w:r>
        <w:rPr>
          <w:rFonts w:ascii="Times New Roman" w:hAnsi="Times New Roman"/>
          <w:i/>
          <w:szCs w:val="24"/>
          <w:lang w:val="bs-Latn-BA"/>
        </w:rPr>
        <w:t>укључујући</w:t>
      </w:r>
      <w:r w:rsidR="0042679D" w:rsidRPr="00295637">
        <w:rPr>
          <w:rFonts w:ascii="Times New Roman" w:hAnsi="Times New Roman"/>
          <w:i/>
          <w:szCs w:val="24"/>
          <w:lang w:val="bs-Latn-BA"/>
        </w:rPr>
        <w:t xml:space="preserve"> </w:t>
      </w:r>
      <w:r>
        <w:rPr>
          <w:rFonts w:ascii="Times New Roman" w:hAnsi="Times New Roman"/>
          <w:i/>
          <w:szCs w:val="24"/>
          <w:lang w:val="bs-Latn-BA"/>
        </w:rPr>
        <w:t>насиље</w:t>
      </w:r>
      <w:r w:rsidR="0042679D" w:rsidRPr="00295637">
        <w:rPr>
          <w:rFonts w:ascii="Times New Roman" w:hAnsi="Times New Roman"/>
          <w:i/>
          <w:szCs w:val="24"/>
          <w:lang w:val="bs-Latn-BA"/>
        </w:rPr>
        <w:t xml:space="preserve"> </w:t>
      </w:r>
      <w:r>
        <w:rPr>
          <w:rFonts w:ascii="Times New Roman" w:hAnsi="Times New Roman"/>
          <w:i/>
          <w:szCs w:val="24"/>
          <w:lang w:val="bs-Latn-BA"/>
        </w:rPr>
        <w:t>у</w:t>
      </w:r>
      <w:r w:rsidR="0042679D" w:rsidRPr="00295637">
        <w:rPr>
          <w:rFonts w:ascii="Times New Roman" w:hAnsi="Times New Roman"/>
          <w:i/>
          <w:szCs w:val="24"/>
          <w:lang w:val="bs-Latn-BA"/>
        </w:rPr>
        <w:t xml:space="preserve"> </w:t>
      </w:r>
      <w:r>
        <w:rPr>
          <w:rFonts w:ascii="Times New Roman" w:hAnsi="Times New Roman"/>
          <w:i/>
          <w:szCs w:val="24"/>
          <w:lang w:val="bs-Latn-BA"/>
        </w:rPr>
        <w:t>породици</w:t>
      </w:r>
      <w:r w:rsidR="0042679D" w:rsidRPr="00295637">
        <w:rPr>
          <w:rFonts w:ascii="Times New Roman" w:hAnsi="Times New Roman"/>
          <w:i/>
          <w:szCs w:val="24"/>
          <w:lang w:val="bs-Latn-BA"/>
        </w:rPr>
        <w:t xml:space="preserve"> </w:t>
      </w:r>
      <w:r>
        <w:rPr>
          <w:rFonts w:ascii="Times New Roman" w:hAnsi="Times New Roman"/>
          <w:i/>
          <w:szCs w:val="24"/>
          <w:lang w:val="bs-Latn-BA"/>
        </w:rPr>
        <w:t>као</w:t>
      </w:r>
      <w:r w:rsidR="0042679D" w:rsidRPr="00295637">
        <w:rPr>
          <w:rFonts w:ascii="Times New Roman" w:hAnsi="Times New Roman"/>
          <w:i/>
          <w:szCs w:val="24"/>
          <w:lang w:val="bs-Latn-BA"/>
        </w:rPr>
        <w:t xml:space="preserve"> </w:t>
      </w:r>
      <w:r>
        <w:rPr>
          <w:rFonts w:ascii="Times New Roman" w:hAnsi="Times New Roman"/>
          <w:i/>
          <w:szCs w:val="24"/>
          <w:lang w:val="bs-Latn-BA"/>
        </w:rPr>
        <w:t>и</w:t>
      </w:r>
      <w:r w:rsidR="0042679D" w:rsidRPr="00295637">
        <w:rPr>
          <w:rFonts w:ascii="Times New Roman" w:hAnsi="Times New Roman"/>
          <w:i/>
          <w:szCs w:val="24"/>
          <w:lang w:val="bs-Latn-BA"/>
        </w:rPr>
        <w:t xml:space="preserve"> </w:t>
      </w:r>
      <w:r>
        <w:rPr>
          <w:rFonts w:ascii="Times New Roman" w:hAnsi="Times New Roman"/>
          <w:i/>
          <w:szCs w:val="24"/>
          <w:lang w:val="bs-Latn-BA"/>
        </w:rPr>
        <w:t>трговину</w:t>
      </w:r>
      <w:r w:rsidR="0042679D" w:rsidRPr="00295637">
        <w:rPr>
          <w:rFonts w:ascii="Times New Roman" w:hAnsi="Times New Roman"/>
          <w:i/>
          <w:szCs w:val="24"/>
          <w:lang w:val="bs-Latn-BA"/>
        </w:rPr>
        <w:t xml:space="preserve"> </w:t>
      </w:r>
      <w:r>
        <w:rPr>
          <w:rFonts w:ascii="Times New Roman" w:hAnsi="Times New Roman"/>
          <w:i/>
          <w:szCs w:val="24"/>
          <w:lang w:val="bs-Latn-BA"/>
        </w:rPr>
        <w:t>људима</w:t>
      </w:r>
    </w:p>
    <w:p w:rsidR="0042679D" w:rsidRPr="00295637" w:rsidRDefault="0042679D" w:rsidP="0086268D">
      <w:pPr>
        <w:jc w:val="both"/>
        <w:rPr>
          <w:rFonts w:ascii="Times New Roman" w:hAnsi="Times New Roman"/>
          <w:szCs w:val="24"/>
          <w:lang w:val="bs-Latn-BA"/>
        </w:rPr>
      </w:pPr>
    </w:p>
    <w:p w:rsidR="0042679D" w:rsidRPr="00295637" w:rsidRDefault="002C79FB" w:rsidP="0086268D">
      <w:pPr>
        <w:pStyle w:val="ListParagraph"/>
        <w:numPr>
          <w:ilvl w:val="0"/>
          <w:numId w:val="17"/>
        </w:numPr>
        <w:jc w:val="both"/>
        <w:rPr>
          <w:rFonts w:ascii="Times New Roman" w:hAnsi="Times New Roman"/>
          <w:szCs w:val="24"/>
          <w:lang w:val="hr-HR"/>
        </w:rPr>
      </w:pPr>
      <w:r>
        <w:rPr>
          <w:rFonts w:ascii="Times New Roman" w:hAnsi="Times New Roman"/>
          <w:szCs w:val="24"/>
          <w:lang w:val="sr-Cyrl-BA"/>
        </w:rPr>
        <w:t>Савјет</w:t>
      </w:r>
      <w:r w:rsidR="0042679D" w:rsidRPr="00295637">
        <w:rPr>
          <w:rFonts w:ascii="Times New Roman" w:hAnsi="Times New Roman"/>
          <w:szCs w:val="24"/>
          <w:lang w:val="bs-Latn-BA"/>
        </w:rPr>
        <w:t xml:space="preserve"> </w:t>
      </w:r>
      <w:r w:rsidR="00C6214E">
        <w:rPr>
          <w:rFonts w:ascii="Times New Roman" w:hAnsi="Times New Roman"/>
          <w:szCs w:val="24"/>
          <w:lang w:val="bs-Latn-BA"/>
        </w:rPr>
        <w:t>министара</w:t>
      </w:r>
      <w:r w:rsidR="0042679D" w:rsidRPr="00295637">
        <w:rPr>
          <w:rFonts w:ascii="Times New Roman" w:hAnsi="Times New Roman"/>
          <w:szCs w:val="24"/>
          <w:lang w:val="bs-Latn-BA"/>
        </w:rPr>
        <w:t xml:space="preserve"> </w:t>
      </w:r>
      <w:r w:rsidR="00C6214E">
        <w:rPr>
          <w:rFonts w:ascii="Times New Roman" w:hAnsi="Times New Roman"/>
          <w:szCs w:val="24"/>
          <w:lang w:val="bs-Latn-BA"/>
        </w:rPr>
        <w:t>Босне</w:t>
      </w:r>
      <w:r w:rsidR="0042679D" w:rsidRPr="00295637">
        <w:rPr>
          <w:rFonts w:ascii="Times New Roman" w:hAnsi="Times New Roman"/>
          <w:szCs w:val="24"/>
          <w:lang w:val="bs-Latn-BA"/>
        </w:rPr>
        <w:t xml:space="preserve"> </w:t>
      </w:r>
      <w:r w:rsidR="00C6214E">
        <w:rPr>
          <w:rFonts w:ascii="Times New Roman" w:hAnsi="Times New Roman"/>
          <w:szCs w:val="24"/>
          <w:lang w:val="bs-Latn-BA"/>
        </w:rPr>
        <w:t>и</w:t>
      </w:r>
      <w:r w:rsidR="0042679D" w:rsidRPr="00295637">
        <w:rPr>
          <w:rFonts w:ascii="Times New Roman" w:hAnsi="Times New Roman"/>
          <w:szCs w:val="24"/>
          <w:lang w:val="bs-Latn-BA"/>
        </w:rPr>
        <w:t xml:space="preserve"> </w:t>
      </w:r>
      <w:r w:rsidR="00C6214E">
        <w:rPr>
          <w:rFonts w:ascii="Times New Roman" w:hAnsi="Times New Roman"/>
          <w:szCs w:val="24"/>
          <w:lang w:val="bs-Latn-BA"/>
        </w:rPr>
        <w:t>Херцеговине</w:t>
      </w:r>
      <w:r w:rsidR="0042679D" w:rsidRPr="00295637">
        <w:rPr>
          <w:rFonts w:ascii="Times New Roman" w:hAnsi="Times New Roman"/>
          <w:szCs w:val="24"/>
          <w:lang w:val="bs-Latn-BA"/>
        </w:rPr>
        <w:t xml:space="preserve"> </w:t>
      </w:r>
      <w:r w:rsidR="00C6214E">
        <w:rPr>
          <w:rFonts w:ascii="Times New Roman" w:hAnsi="Times New Roman"/>
          <w:szCs w:val="24"/>
          <w:lang w:val="bs-Latn-BA"/>
        </w:rPr>
        <w:t>је</w:t>
      </w:r>
      <w:r w:rsidR="004A732B">
        <w:rPr>
          <w:rFonts w:ascii="Times New Roman" w:hAnsi="Times New Roman"/>
          <w:szCs w:val="24"/>
          <w:lang w:val="bs-Latn-BA"/>
        </w:rPr>
        <w:t xml:space="preserve"> </w:t>
      </w:r>
      <w:r w:rsidR="00C6214E">
        <w:rPr>
          <w:rFonts w:ascii="Times New Roman" w:hAnsi="Times New Roman"/>
          <w:szCs w:val="24"/>
          <w:lang w:val="bs-Latn-BA"/>
        </w:rPr>
        <w:t>на</w:t>
      </w:r>
      <w:r w:rsidR="004A732B">
        <w:rPr>
          <w:rFonts w:ascii="Times New Roman" w:hAnsi="Times New Roman"/>
          <w:szCs w:val="24"/>
          <w:lang w:val="bs-Latn-BA"/>
        </w:rPr>
        <w:t xml:space="preserve"> 66. </w:t>
      </w:r>
      <w:r w:rsidR="00C6214E">
        <w:rPr>
          <w:rFonts w:ascii="Times New Roman" w:hAnsi="Times New Roman"/>
          <w:szCs w:val="24"/>
          <w:lang w:val="bs-Latn-BA"/>
        </w:rPr>
        <w:t>сједници</w:t>
      </w:r>
      <w:r w:rsidR="004A732B">
        <w:rPr>
          <w:rFonts w:ascii="Times New Roman" w:hAnsi="Times New Roman"/>
          <w:szCs w:val="24"/>
          <w:lang w:val="bs-Latn-BA"/>
        </w:rPr>
        <w:t xml:space="preserve">, </w:t>
      </w:r>
      <w:r w:rsidR="00C6214E">
        <w:rPr>
          <w:rFonts w:ascii="Times New Roman" w:hAnsi="Times New Roman"/>
          <w:szCs w:val="24"/>
          <w:lang w:val="bs-Latn-BA"/>
        </w:rPr>
        <w:t>одржаној</w:t>
      </w:r>
      <w:r w:rsidR="004A732B">
        <w:rPr>
          <w:rFonts w:ascii="Times New Roman" w:hAnsi="Times New Roman"/>
          <w:szCs w:val="24"/>
          <w:lang w:val="bs-Latn-BA"/>
        </w:rPr>
        <w:t xml:space="preserve"> 17.12.</w:t>
      </w:r>
      <w:r w:rsidR="0042679D" w:rsidRPr="00295637">
        <w:rPr>
          <w:rFonts w:ascii="Times New Roman" w:hAnsi="Times New Roman"/>
          <w:szCs w:val="24"/>
          <w:lang w:val="bs-Latn-BA"/>
        </w:rPr>
        <w:t xml:space="preserve">2024. </w:t>
      </w:r>
      <w:r w:rsidR="00C6214E">
        <w:rPr>
          <w:rFonts w:ascii="Times New Roman" w:hAnsi="Times New Roman"/>
          <w:szCs w:val="24"/>
          <w:lang w:val="bs-Latn-BA"/>
        </w:rPr>
        <w:t>године</w:t>
      </w:r>
      <w:r w:rsidR="0042679D" w:rsidRPr="00295637">
        <w:rPr>
          <w:rFonts w:ascii="Times New Roman" w:hAnsi="Times New Roman"/>
          <w:szCs w:val="24"/>
          <w:lang w:val="bs-Latn-BA"/>
        </w:rPr>
        <w:t xml:space="preserve">, </w:t>
      </w:r>
      <w:r w:rsidR="00C6214E">
        <w:rPr>
          <w:rFonts w:ascii="Times New Roman" w:hAnsi="Times New Roman"/>
          <w:szCs w:val="24"/>
          <w:lang w:val="bs-Latn-BA"/>
        </w:rPr>
        <w:t>на</w:t>
      </w:r>
      <w:r w:rsidR="0042679D" w:rsidRPr="00295637">
        <w:rPr>
          <w:rFonts w:ascii="Times New Roman" w:hAnsi="Times New Roman"/>
          <w:szCs w:val="24"/>
          <w:lang w:val="bs-Latn-BA"/>
        </w:rPr>
        <w:t xml:space="preserve"> </w:t>
      </w:r>
      <w:r w:rsidR="00C6214E">
        <w:rPr>
          <w:rFonts w:ascii="Times New Roman" w:hAnsi="Times New Roman"/>
          <w:szCs w:val="24"/>
          <w:lang w:val="bs-Latn-BA"/>
        </w:rPr>
        <w:t>приједлог</w:t>
      </w:r>
      <w:r w:rsidR="0042679D" w:rsidRPr="00295637">
        <w:rPr>
          <w:rFonts w:ascii="Times New Roman" w:hAnsi="Times New Roman"/>
          <w:szCs w:val="24"/>
          <w:lang w:val="bs-Latn-BA"/>
        </w:rPr>
        <w:t xml:space="preserve"> </w:t>
      </w:r>
      <w:r w:rsidR="00C6214E">
        <w:rPr>
          <w:rFonts w:ascii="Times New Roman" w:hAnsi="Times New Roman"/>
          <w:szCs w:val="24"/>
          <w:lang w:val="hr-HR"/>
        </w:rPr>
        <w:t>АР</w:t>
      </w:r>
      <w:r>
        <w:rPr>
          <w:rFonts w:ascii="Times New Roman" w:hAnsi="Times New Roman"/>
          <w:szCs w:val="24"/>
          <w:lang w:val="sr-Cyrl-BA"/>
        </w:rPr>
        <w:t>П</w:t>
      </w:r>
      <w:r w:rsidR="004A732B">
        <w:rPr>
          <w:rFonts w:ascii="Times New Roman" w:hAnsi="Times New Roman"/>
          <w:szCs w:val="24"/>
          <w:lang w:val="hr-HR"/>
        </w:rPr>
        <w:t xml:space="preserve"> </w:t>
      </w:r>
      <w:r w:rsidR="00C6214E">
        <w:rPr>
          <w:rFonts w:ascii="Times New Roman" w:hAnsi="Times New Roman"/>
          <w:szCs w:val="24"/>
          <w:lang w:val="hr-HR"/>
        </w:rPr>
        <w:t>БиХ</w:t>
      </w:r>
      <w:r w:rsidR="004A732B">
        <w:rPr>
          <w:rFonts w:ascii="Times New Roman" w:hAnsi="Times New Roman"/>
          <w:szCs w:val="24"/>
          <w:lang w:val="hr-HR"/>
        </w:rPr>
        <w:t xml:space="preserve"> </w:t>
      </w:r>
      <w:r w:rsidR="00C6214E">
        <w:rPr>
          <w:rFonts w:ascii="Times New Roman" w:hAnsi="Times New Roman"/>
          <w:szCs w:val="24"/>
          <w:lang w:val="hr-HR"/>
        </w:rPr>
        <w:t>МЉПИ</w:t>
      </w:r>
      <w:r w:rsidR="004A732B">
        <w:rPr>
          <w:rFonts w:ascii="Times New Roman" w:hAnsi="Times New Roman"/>
          <w:szCs w:val="24"/>
          <w:lang w:val="hr-HR"/>
        </w:rPr>
        <w:t xml:space="preserve"> </w:t>
      </w:r>
      <w:r w:rsidR="00C6214E">
        <w:rPr>
          <w:rFonts w:ascii="Times New Roman" w:hAnsi="Times New Roman"/>
          <w:szCs w:val="24"/>
          <w:lang w:val="hr-HR"/>
        </w:rPr>
        <w:t>БиХ</w:t>
      </w:r>
      <w:r w:rsidR="0042679D" w:rsidRPr="00295637">
        <w:rPr>
          <w:rFonts w:ascii="Times New Roman" w:hAnsi="Times New Roman"/>
          <w:szCs w:val="24"/>
          <w:lang w:val="hr-HR"/>
        </w:rPr>
        <w:t xml:space="preserve">, </w:t>
      </w:r>
      <w:r w:rsidR="00C6214E">
        <w:rPr>
          <w:rFonts w:ascii="Times New Roman" w:hAnsi="Times New Roman"/>
          <w:szCs w:val="24"/>
          <w:lang w:val="hr-HR"/>
        </w:rPr>
        <w:t>усвојило</w:t>
      </w:r>
      <w:r w:rsidR="0042679D" w:rsidRPr="00295637">
        <w:rPr>
          <w:rFonts w:ascii="Times New Roman" w:hAnsi="Times New Roman"/>
          <w:szCs w:val="24"/>
          <w:lang w:val="hr-HR"/>
        </w:rPr>
        <w:t xml:space="preserve"> </w:t>
      </w:r>
      <w:r w:rsidR="00C6214E">
        <w:rPr>
          <w:rFonts w:ascii="Times New Roman" w:hAnsi="Times New Roman"/>
          <w:szCs w:val="24"/>
          <w:lang w:val="hr-HR"/>
        </w:rPr>
        <w:t>План</w:t>
      </w:r>
      <w:r w:rsidR="0042679D" w:rsidRPr="00295637">
        <w:rPr>
          <w:rFonts w:ascii="Times New Roman" w:hAnsi="Times New Roman"/>
          <w:szCs w:val="24"/>
          <w:lang w:val="hr-HR"/>
        </w:rPr>
        <w:t xml:space="preserve"> </w:t>
      </w:r>
      <w:r w:rsidR="00C6214E">
        <w:rPr>
          <w:rFonts w:ascii="Times New Roman" w:hAnsi="Times New Roman"/>
          <w:szCs w:val="24"/>
          <w:lang w:val="hr-HR"/>
        </w:rPr>
        <w:t>конкретних</w:t>
      </w:r>
      <w:r w:rsidR="0042679D" w:rsidRPr="00295637">
        <w:rPr>
          <w:rFonts w:ascii="Times New Roman" w:hAnsi="Times New Roman"/>
          <w:szCs w:val="24"/>
          <w:lang w:val="hr-HR"/>
        </w:rPr>
        <w:t xml:space="preserve"> </w:t>
      </w:r>
      <w:r w:rsidR="00C6214E">
        <w:rPr>
          <w:rFonts w:ascii="Times New Roman" w:hAnsi="Times New Roman"/>
          <w:szCs w:val="24"/>
          <w:lang w:val="hr-HR"/>
        </w:rPr>
        <w:t>мјера</w:t>
      </w:r>
      <w:r w:rsidR="0042679D" w:rsidRPr="00295637">
        <w:rPr>
          <w:rFonts w:ascii="Times New Roman" w:hAnsi="Times New Roman"/>
          <w:szCs w:val="24"/>
          <w:lang w:val="hr-HR"/>
        </w:rPr>
        <w:t xml:space="preserve"> </w:t>
      </w:r>
      <w:r w:rsidR="00C6214E">
        <w:rPr>
          <w:rFonts w:ascii="Times New Roman" w:hAnsi="Times New Roman"/>
          <w:szCs w:val="24"/>
          <w:lang w:val="hr-HR"/>
        </w:rPr>
        <w:t>за</w:t>
      </w:r>
      <w:r w:rsidR="0042679D" w:rsidRPr="00295637">
        <w:rPr>
          <w:rFonts w:ascii="Times New Roman" w:hAnsi="Times New Roman"/>
          <w:szCs w:val="24"/>
          <w:lang w:val="hr-HR"/>
        </w:rPr>
        <w:t xml:space="preserve"> </w:t>
      </w:r>
      <w:r>
        <w:rPr>
          <w:rFonts w:ascii="Times New Roman" w:hAnsi="Times New Roman"/>
          <w:szCs w:val="24"/>
          <w:lang w:val="sr-Cyrl-BA"/>
        </w:rPr>
        <w:t>спровођење</w:t>
      </w:r>
      <w:r w:rsidR="0042679D" w:rsidRPr="00295637">
        <w:rPr>
          <w:rFonts w:ascii="Times New Roman" w:hAnsi="Times New Roman"/>
          <w:szCs w:val="24"/>
          <w:lang w:val="hr-HR"/>
        </w:rPr>
        <w:t xml:space="preserve"> </w:t>
      </w:r>
      <w:r w:rsidR="00C6214E">
        <w:rPr>
          <w:rFonts w:ascii="Times New Roman" w:hAnsi="Times New Roman"/>
          <w:szCs w:val="24"/>
          <w:lang w:val="hr-HR"/>
        </w:rPr>
        <w:t>Резолуције</w:t>
      </w:r>
      <w:r w:rsidR="0042679D" w:rsidRPr="00295637">
        <w:rPr>
          <w:rFonts w:ascii="Times New Roman" w:hAnsi="Times New Roman"/>
          <w:szCs w:val="24"/>
          <w:lang w:val="hr-HR"/>
        </w:rPr>
        <w:t xml:space="preserve"> </w:t>
      </w:r>
      <w:r w:rsidR="00C6214E">
        <w:rPr>
          <w:rFonts w:ascii="Times New Roman" w:hAnsi="Times New Roman"/>
          <w:szCs w:val="24"/>
          <w:lang w:val="hr-HR"/>
        </w:rPr>
        <w:t>Парламентарне</w:t>
      </w:r>
      <w:r w:rsidR="0042679D" w:rsidRPr="00295637">
        <w:rPr>
          <w:rFonts w:ascii="Times New Roman" w:hAnsi="Times New Roman"/>
          <w:szCs w:val="24"/>
          <w:lang w:val="hr-HR"/>
        </w:rPr>
        <w:t xml:space="preserve"> </w:t>
      </w:r>
      <w:r w:rsidR="00C6214E">
        <w:rPr>
          <w:rFonts w:ascii="Times New Roman" w:hAnsi="Times New Roman"/>
          <w:szCs w:val="24"/>
          <w:lang w:val="hr-HR"/>
        </w:rPr>
        <w:t>скупштине</w:t>
      </w:r>
      <w:r w:rsidR="0042679D" w:rsidRPr="00295637">
        <w:rPr>
          <w:rFonts w:ascii="Times New Roman" w:hAnsi="Times New Roman"/>
          <w:szCs w:val="24"/>
          <w:lang w:val="hr-HR"/>
        </w:rPr>
        <w:t xml:space="preserve"> </w:t>
      </w:r>
      <w:r w:rsidR="00C6214E">
        <w:rPr>
          <w:rFonts w:ascii="Times New Roman" w:hAnsi="Times New Roman"/>
          <w:szCs w:val="24"/>
          <w:lang w:val="hr-HR"/>
        </w:rPr>
        <w:t>Босне</w:t>
      </w:r>
      <w:r w:rsidR="0042679D" w:rsidRPr="00295637">
        <w:rPr>
          <w:rFonts w:ascii="Times New Roman" w:hAnsi="Times New Roman"/>
          <w:szCs w:val="24"/>
          <w:lang w:val="hr-HR"/>
        </w:rPr>
        <w:t xml:space="preserve"> </w:t>
      </w:r>
      <w:r w:rsidR="00C6214E">
        <w:rPr>
          <w:rFonts w:ascii="Times New Roman" w:hAnsi="Times New Roman"/>
          <w:szCs w:val="24"/>
          <w:lang w:val="hr-HR"/>
        </w:rPr>
        <w:t>и</w:t>
      </w:r>
      <w:r w:rsidR="0042679D" w:rsidRPr="00295637">
        <w:rPr>
          <w:rFonts w:ascii="Times New Roman" w:hAnsi="Times New Roman"/>
          <w:szCs w:val="24"/>
          <w:lang w:val="hr-HR"/>
        </w:rPr>
        <w:t xml:space="preserve"> </w:t>
      </w:r>
      <w:r w:rsidR="00C6214E">
        <w:rPr>
          <w:rFonts w:ascii="Times New Roman" w:hAnsi="Times New Roman"/>
          <w:szCs w:val="24"/>
          <w:lang w:val="hr-HR"/>
        </w:rPr>
        <w:t>Херцеговине</w:t>
      </w:r>
      <w:r w:rsidR="0042679D" w:rsidRPr="00295637">
        <w:rPr>
          <w:rFonts w:ascii="Times New Roman" w:hAnsi="Times New Roman"/>
          <w:szCs w:val="24"/>
          <w:lang w:val="hr-HR"/>
        </w:rPr>
        <w:t xml:space="preserve"> </w:t>
      </w:r>
      <w:r w:rsidR="00C6214E">
        <w:rPr>
          <w:rFonts w:ascii="Times New Roman" w:hAnsi="Times New Roman"/>
          <w:szCs w:val="24"/>
          <w:lang w:val="hr-HR"/>
        </w:rPr>
        <w:t>о</w:t>
      </w:r>
      <w:r w:rsidR="0042679D" w:rsidRPr="00295637">
        <w:rPr>
          <w:rFonts w:ascii="Times New Roman" w:hAnsi="Times New Roman"/>
          <w:szCs w:val="24"/>
          <w:lang w:val="hr-HR"/>
        </w:rPr>
        <w:t xml:space="preserve"> </w:t>
      </w:r>
      <w:r w:rsidR="00C6214E">
        <w:rPr>
          <w:rFonts w:ascii="Times New Roman" w:hAnsi="Times New Roman"/>
          <w:szCs w:val="24"/>
          <w:lang w:val="hr-HR"/>
        </w:rPr>
        <w:t>спречавању</w:t>
      </w:r>
      <w:r w:rsidR="0042679D" w:rsidRPr="00295637">
        <w:rPr>
          <w:rFonts w:ascii="Times New Roman" w:hAnsi="Times New Roman"/>
          <w:szCs w:val="24"/>
          <w:lang w:val="hr-HR"/>
        </w:rPr>
        <w:t xml:space="preserve"> </w:t>
      </w:r>
      <w:r w:rsidR="00C6214E">
        <w:rPr>
          <w:rFonts w:ascii="Times New Roman" w:hAnsi="Times New Roman"/>
          <w:szCs w:val="24"/>
          <w:lang w:val="hr-HR"/>
        </w:rPr>
        <w:t>насиља</w:t>
      </w:r>
      <w:r w:rsidR="0042679D" w:rsidRPr="00295637">
        <w:rPr>
          <w:rFonts w:ascii="Times New Roman" w:hAnsi="Times New Roman"/>
          <w:szCs w:val="24"/>
          <w:lang w:val="hr-HR"/>
        </w:rPr>
        <w:t xml:space="preserve"> </w:t>
      </w:r>
      <w:r w:rsidR="00C6214E">
        <w:rPr>
          <w:rFonts w:ascii="Times New Roman" w:hAnsi="Times New Roman"/>
          <w:szCs w:val="24"/>
          <w:lang w:val="hr-HR"/>
        </w:rPr>
        <w:t>над</w:t>
      </w:r>
      <w:r w:rsidR="0042679D" w:rsidRPr="00295637">
        <w:rPr>
          <w:rFonts w:ascii="Times New Roman" w:hAnsi="Times New Roman"/>
          <w:szCs w:val="24"/>
          <w:lang w:val="hr-HR"/>
        </w:rPr>
        <w:t xml:space="preserve"> </w:t>
      </w:r>
      <w:r w:rsidR="00C6214E">
        <w:rPr>
          <w:rFonts w:ascii="Times New Roman" w:hAnsi="Times New Roman"/>
          <w:szCs w:val="24"/>
          <w:lang w:val="hr-HR"/>
        </w:rPr>
        <w:t>женама</w:t>
      </w:r>
      <w:r w:rsidR="0042679D" w:rsidRPr="00295637">
        <w:rPr>
          <w:rFonts w:ascii="Times New Roman" w:hAnsi="Times New Roman"/>
          <w:szCs w:val="24"/>
          <w:lang w:val="hr-HR"/>
        </w:rPr>
        <w:t>.</w:t>
      </w:r>
    </w:p>
    <w:p w:rsidR="0042679D" w:rsidRPr="00295637" w:rsidRDefault="0042679D" w:rsidP="0086268D">
      <w:pPr>
        <w:jc w:val="both"/>
        <w:rPr>
          <w:rFonts w:ascii="Times New Roman" w:hAnsi="Times New Roman"/>
          <w:szCs w:val="24"/>
          <w:lang w:val="hr-HR"/>
        </w:rPr>
      </w:pPr>
    </w:p>
    <w:p w:rsidR="0042679D" w:rsidRPr="00295637" w:rsidRDefault="00C6214E" w:rsidP="0086268D">
      <w:pPr>
        <w:pStyle w:val="ListParagraph"/>
        <w:numPr>
          <w:ilvl w:val="0"/>
          <w:numId w:val="17"/>
        </w:numPr>
        <w:jc w:val="both"/>
        <w:rPr>
          <w:rFonts w:ascii="Times New Roman" w:hAnsi="Times New Roman"/>
          <w:szCs w:val="24"/>
          <w:lang w:val="hr-HR"/>
        </w:rPr>
      </w:pPr>
      <w:r>
        <w:rPr>
          <w:rFonts w:ascii="Times New Roman" w:hAnsi="Times New Roman"/>
          <w:szCs w:val="24"/>
          <w:lang w:val="hr-HR"/>
        </w:rPr>
        <w:t>АР</w:t>
      </w:r>
      <w:r w:rsidR="002C79FB">
        <w:rPr>
          <w:rFonts w:ascii="Times New Roman" w:hAnsi="Times New Roman"/>
          <w:szCs w:val="24"/>
          <w:lang w:val="sr-Cyrl-BA"/>
        </w:rPr>
        <w:t>П</w:t>
      </w:r>
      <w:r w:rsidR="004A732B">
        <w:rPr>
          <w:rFonts w:ascii="Times New Roman" w:hAnsi="Times New Roman"/>
          <w:szCs w:val="24"/>
          <w:lang w:val="hr-HR"/>
        </w:rPr>
        <w:t xml:space="preserve"> </w:t>
      </w:r>
      <w:r>
        <w:rPr>
          <w:rFonts w:ascii="Times New Roman" w:hAnsi="Times New Roman"/>
          <w:szCs w:val="24"/>
          <w:lang w:val="hr-HR"/>
        </w:rPr>
        <w:t>БиХ</w:t>
      </w:r>
      <w:r w:rsidR="004A732B">
        <w:rPr>
          <w:rFonts w:ascii="Times New Roman" w:hAnsi="Times New Roman"/>
          <w:szCs w:val="24"/>
          <w:lang w:val="hr-HR"/>
        </w:rPr>
        <w:t xml:space="preserve"> </w:t>
      </w:r>
      <w:r>
        <w:rPr>
          <w:rFonts w:ascii="Times New Roman" w:hAnsi="Times New Roman"/>
          <w:szCs w:val="24"/>
          <w:lang w:val="hr-HR"/>
        </w:rPr>
        <w:t>МЉПИ</w:t>
      </w:r>
      <w:r w:rsidR="004A732B">
        <w:rPr>
          <w:rFonts w:ascii="Times New Roman" w:hAnsi="Times New Roman"/>
          <w:szCs w:val="24"/>
          <w:lang w:val="hr-HR"/>
        </w:rPr>
        <w:t xml:space="preserve"> </w:t>
      </w:r>
      <w:r>
        <w:rPr>
          <w:rFonts w:ascii="Times New Roman" w:hAnsi="Times New Roman"/>
          <w:szCs w:val="24"/>
          <w:lang w:val="hr-HR"/>
        </w:rPr>
        <w:t>БиХ</w:t>
      </w:r>
      <w:r w:rsidR="0042679D" w:rsidRPr="00295637">
        <w:rPr>
          <w:rFonts w:ascii="Times New Roman" w:hAnsi="Times New Roman"/>
          <w:szCs w:val="24"/>
          <w:lang w:val="hr-HR"/>
        </w:rPr>
        <w:t xml:space="preserve"> </w:t>
      </w:r>
      <w:r>
        <w:rPr>
          <w:rFonts w:ascii="Times New Roman" w:hAnsi="Times New Roman"/>
          <w:szCs w:val="24"/>
          <w:lang w:val="hr-HR"/>
        </w:rPr>
        <w:t>је</w:t>
      </w:r>
      <w:r w:rsidR="0042679D" w:rsidRPr="00295637">
        <w:rPr>
          <w:rFonts w:ascii="Times New Roman" w:hAnsi="Times New Roman"/>
          <w:szCs w:val="24"/>
          <w:lang w:val="hr-HR"/>
        </w:rPr>
        <w:t xml:space="preserve"> </w:t>
      </w:r>
      <w:r>
        <w:rPr>
          <w:rFonts w:ascii="Times New Roman" w:hAnsi="Times New Roman"/>
          <w:szCs w:val="24"/>
          <w:lang w:val="hr-HR"/>
        </w:rPr>
        <w:t>израдила</w:t>
      </w:r>
      <w:r w:rsidR="0042679D" w:rsidRPr="00295637">
        <w:rPr>
          <w:rFonts w:ascii="Times New Roman" w:hAnsi="Times New Roman"/>
          <w:szCs w:val="24"/>
          <w:lang w:val="hr-HR"/>
        </w:rPr>
        <w:t xml:space="preserve"> </w:t>
      </w:r>
      <w:r>
        <w:rPr>
          <w:rFonts w:ascii="Times New Roman" w:hAnsi="Times New Roman"/>
          <w:szCs w:val="24"/>
          <w:lang w:val="hr-HR"/>
        </w:rPr>
        <w:t>методологију</w:t>
      </w:r>
      <w:r w:rsidR="004E2FFE">
        <w:rPr>
          <w:rFonts w:ascii="Times New Roman" w:hAnsi="Times New Roman"/>
          <w:szCs w:val="24"/>
          <w:lang w:val="hr-HR"/>
        </w:rPr>
        <w:t xml:space="preserve"> </w:t>
      </w:r>
      <w:r>
        <w:rPr>
          <w:rFonts w:ascii="Times New Roman" w:hAnsi="Times New Roman"/>
          <w:szCs w:val="24"/>
          <w:lang w:val="hr-HR"/>
        </w:rPr>
        <w:t>и</w:t>
      </w:r>
      <w:r w:rsidR="004E2FFE">
        <w:rPr>
          <w:rFonts w:ascii="Times New Roman" w:hAnsi="Times New Roman"/>
          <w:szCs w:val="24"/>
          <w:lang w:val="hr-HR"/>
        </w:rPr>
        <w:t xml:space="preserve"> </w:t>
      </w:r>
      <w:r>
        <w:rPr>
          <w:rFonts w:ascii="Times New Roman" w:hAnsi="Times New Roman"/>
          <w:szCs w:val="24"/>
          <w:lang w:val="hr-HR"/>
        </w:rPr>
        <w:t>формат</w:t>
      </w:r>
      <w:r w:rsidR="0042679D" w:rsidRPr="00295637">
        <w:rPr>
          <w:rFonts w:ascii="Times New Roman" w:hAnsi="Times New Roman"/>
          <w:szCs w:val="24"/>
          <w:lang w:val="hr-HR"/>
        </w:rPr>
        <w:t xml:space="preserve"> </w:t>
      </w:r>
      <w:r>
        <w:rPr>
          <w:rFonts w:ascii="Times New Roman" w:hAnsi="Times New Roman"/>
          <w:szCs w:val="24"/>
          <w:lang w:val="hr-HR"/>
        </w:rPr>
        <w:t>Плана</w:t>
      </w:r>
      <w:r w:rsidR="0042679D" w:rsidRPr="00295637">
        <w:rPr>
          <w:rFonts w:ascii="Times New Roman" w:hAnsi="Times New Roman"/>
          <w:szCs w:val="24"/>
          <w:lang w:val="hr-HR"/>
        </w:rPr>
        <w:t xml:space="preserve"> </w:t>
      </w:r>
      <w:r>
        <w:rPr>
          <w:rFonts w:ascii="Times New Roman" w:hAnsi="Times New Roman"/>
          <w:szCs w:val="24"/>
          <w:lang w:val="hr-HR"/>
        </w:rPr>
        <w:t>мјера</w:t>
      </w:r>
      <w:r w:rsidR="0042679D" w:rsidRPr="00295637">
        <w:rPr>
          <w:rFonts w:ascii="Times New Roman" w:hAnsi="Times New Roman"/>
          <w:szCs w:val="24"/>
          <w:lang w:val="hr-HR"/>
        </w:rPr>
        <w:t xml:space="preserve"> </w:t>
      </w:r>
      <w:r>
        <w:rPr>
          <w:rFonts w:ascii="Times New Roman" w:hAnsi="Times New Roman"/>
          <w:szCs w:val="24"/>
          <w:lang w:val="hr-HR"/>
        </w:rPr>
        <w:t>за</w:t>
      </w:r>
      <w:r w:rsidR="0042679D" w:rsidRPr="00295637">
        <w:rPr>
          <w:rFonts w:ascii="Times New Roman" w:hAnsi="Times New Roman"/>
          <w:szCs w:val="24"/>
          <w:lang w:val="hr-HR"/>
        </w:rPr>
        <w:t xml:space="preserve"> </w:t>
      </w:r>
      <w:r>
        <w:rPr>
          <w:rFonts w:ascii="Times New Roman" w:hAnsi="Times New Roman"/>
          <w:szCs w:val="24"/>
          <w:lang w:val="hr-HR"/>
        </w:rPr>
        <w:t>реализацију</w:t>
      </w:r>
      <w:r w:rsidR="0042679D" w:rsidRPr="00295637">
        <w:rPr>
          <w:rFonts w:ascii="Times New Roman" w:hAnsi="Times New Roman"/>
          <w:szCs w:val="24"/>
          <w:lang w:val="hr-HR"/>
        </w:rPr>
        <w:t xml:space="preserve"> </w:t>
      </w:r>
      <w:r>
        <w:rPr>
          <w:rFonts w:ascii="Times New Roman" w:hAnsi="Times New Roman"/>
          <w:szCs w:val="24"/>
          <w:lang w:val="hr-HR"/>
        </w:rPr>
        <w:t>ГРЕВИО</w:t>
      </w:r>
      <w:r w:rsidR="0042679D" w:rsidRPr="00295637">
        <w:rPr>
          <w:rFonts w:ascii="Times New Roman" w:hAnsi="Times New Roman"/>
          <w:szCs w:val="24"/>
          <w:lang w:val="hr-HR"/>
        </w:rPr>
        <w:t xml:space="preserve"> </w:t>
      </w:r>
      <w:r>
        <w:rPr>
          <w:rFonts w:ascii="Times New Roman" w:hAnsi="Times New Roman"/>
          <w:szCs w:val="24"/>
          <w:lang w:val="hr-HR"/>
        </w:rPr>
        <w:t>препорука</w:t>
      </w:r>
      <w:r w:rsidR="0042679D" w:rsidRPr="00295637">
        <w:rPr>
          <w:rFonts w:ascii="Times New Roman" w:hAnsi="Times New Roman"/>
          <w:szCs w:val="24"/>
          <w:lang w:val="hr-HR"/>
        </w:rPr>
        <w:t xml:space="preserve"> </w:t>
      </w:r>
      <w:r>
        <w:rPr>
          <w:rFonts w:ascii="Times New Roman" w:hAnsi="Times New Roman"/>
          <w:szCs w:val="24"/>
          <w:lang w:val="hr-HR"/>
        </w:rPr>
        <w:t>и</w:t>
      </w:r>
      <w:r w:rsidR="0042679D" w:rsidRPr="00295637">
        <w:rPr>
          <w:rFonts w:ascii="Times New Roman" w:hAnsi="Times New Roman"/>
          <w:szCs w:val="24"/>
          <w:lang w:val="hr-HR"/>
        </w:rPr>
        <w:t xml:space="preserve"> </w:t>
      </w:r>
      <w:r>
        <w:rPr>
          <w:rFonts w:ascii="Times New Roman" w:hAnsi="Times New Roman"/>
          <w:szCs w:val="24"/>
          <w:lang w:val="hr-HR"/>
        </w:rPr>
        <w:t>исти</w:t>
      </w:r>
      <w:r w:rsidR="0042679D" w:rsidRPr="00295637">
        <w:rPr>
          <w:rFonts w:ascii="Times New Roman" w:hAnsi="Times New Roman"/>
          <w:szCs w:val="24"/>
          <w:lang w:val="hr-HR"/>
        </w:rPr>
        <w:t xml:space="preserve"> </w:t>
      </w:r>
      <w:r>
        <w:rPr>
          <w:rFonts w:ascii="Times New Roman" w:hAnsi="Times New Roman"/>
          <w:szCs w:val="24"/>
          <w:lang w:val="hr-HR"/>
        </w:rPr>
        <w:t>доставила</w:t>
      </w:r>
      <w:r w:rsidR="0042679D" w:rsidRPr="00295637">
        <w:rPr>
          <w:rFonts w:ascii="Times New Roman" w:hAnsi="Times New Roman"/>
          <w:szCs w:val="24"/>
          <w:lang w:val="hr-HR"/>
        </w:rPr>
        <w:t xml:space="preserve"> </w:t>
      </w:r>
      <w:r>
        <w:rPr>
          <w:rFonts w:ascii="Times New Roman" w:hAnsi="Times New Roman"/>
          <w:szCs w:val="24"/>
          <w:lang w:val="hr-HR"/>
        </w:rPr>
        <w:t>надлежним</w:t>
      </w:r>
      <w:r w:rsidR="0042679D" w:rsidRPr="00295637">
        <w:rPr>
          <w:rFonts w:ascii="Times New Roman" w:hAnsi="Times New Roman"/>
          <w:szCs w:val="24"/>
          <w:lang w:val="hr-HR"/>
        </w:rPr>
        <w:t xml:space="preserve"> </w:t>
      </w:r>
      <w:r>
        <w:rPr>
          <w:rFonts w:ascii="Times New Roman" w:hAnsi="Times New Roman"/>
          <w:szCs w:val="24"/>
          <w:lang w:val="hr-HR"/>
        </w:rPr>
        <w:t>институцијама</w:t>
      </w:r>
      <w:r w:rsidR="0042679D" w:rsidRPr="00295637">
        <w:rPr>
          <w:rFonts w:ascii="Times New Roman" w:hAnsi="Times New Roman"/>
          <w:szCs w:val="24"/>
          <w:lang w:val="hr-HR"/>
        </w:rPr>
        <w:t xml:space="preserve">. </w:t>
      </w:r>
      <w:r w:rsidR="002C79FB">
        <w:rPr>
          <w:rFonts w:ascii="Times New Roman" w:hAnsi="Times New Roman"/>
          <w:szCs w:val="24"/>
          <w:lang w:val="hr-HR"/>
        </w:rPr>
        <w:t>Такође</w:t>
      </w:r>
      <w:r w:rsidR="0042679D" w:rsidRPr="00295637">
        <w:rPr>
          <w:rFonts w:ascii="Times New Roman" w:hAnsi="Times New Roman"/>
          <w:szCs w:val="24"/>
          <w:lang w:val="hr-HR"/>
        </w:rPr>
        <w:t xml:space="preserve">, </w:t>
      </w:r>
      <w:r>
        <w:rPr>
          <w:rFonts w:ascii="Times New Roman" w:hAnsi="Times New Roman"/>
          <w:szCs w:val="24"/>
        </w:rPr>
        <w:t>АР</w:t>
      </w:r>
      <w:r w:rsidR="002C79FB">
        <w:rPr>
          <w:rFonts w:ascii="Times New Roman" w:hAnsi="Times New Roman"/>
          <w:szCs w:val="24"/>
          <w:lang w:val="sr-Cyrl-BA"/>
        </w:rPr>
        <w:t>П</w:t>
      </w:r>
      <w:r w:rsidR="004A732B">
        <w:rPr>
          <w:rFonts w:ascii="Times New Roman" w:hAnsi="Times New Roman"/>
          <w:szCs w:val="24"/>
        </w:rPr>
        <w:t xml:space="preserve"> </w:t>
      </w:r>
      <w:r>
        <w:rPr>
          <w:rFonts w:ascii="Times New Roman" w:hAnsi="Times New Roman"/>
          <w:szCs w:val="24"/>
        </w:rPr>
        <w:t>БиХ</w:t>
      </w:r>
      <w:r w:rsidR="004A732B">
        <w:rPr>
          <w:rFonts w:ascii="Times New Roman" w:hAnsi="Times New Roman"/>
          <w:szCs w:val="24"/>
        </w:rPr>
        <w:t xml:space="preserve"> </w:t>
      </w:r>
      <w:r>
        <w:rPr>
          <w:rFonts w:ascii="Times New Roman" w:hAnsi="Times New Roman"/>
          <w:szCs w:val="24"/>
        </w:rPr>
        <w:t>МЉПИ</w:t>
      </w:r>
      <w:r w:rsidR="004A732B">
        <w:rPr>
          <w:rFonts w:ascii="Times New Roman" w:hAnsi="Times New Roman"/>
          <w:szCs w:val="24"/>
        </w:rPr>
        <w:t xml:space="preserve"> </w:t>
      </w:r>
      <w:r>
        <w:rPr>
          <w:rFonts w:ascii="Times New Roman" w:hAnsi="Times New Roman"/>
          <w:szCs w:val="24"/>
        </w:rPr>
        <w:t>БиХ</w:t>
      </w:r>
      <w:r w:rsidR="009F3476">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sidR="002C79FB">
        <w:rPr>
          <w:rFonts w:ascii="Times New Roman" w:hAnsi="Times New Roman"/>
          <w:szCs w:val="24"/>
          <w:lang w:val="sr-Cyrl-BA"/>
        </w:rPr>
        <w:t>обезбиједила</w:t>
      </w:r>
      <w:r w:rsidR="0042679D" w:rsidRPr="00295637">
        <w:rPr>
          <w:rFonts w:ascii="Times New Roman" w:hAnsi="Times New Roman"/>
          <w:szCs w:val="24"/>
        </w:rPr>
        <w:t xml:space="preserve"> </w:t>
      </w:r>
      <w:r>
        <w:rPr>
          <w:rFonts w:ascii="Times New Roman" w:hAnsi="Times New Roman"/>
          <w:szCs w:val="24"/>
        </w:rPr>
        <w:t>континуирано</w:t>
      </w:r>
      <w:r w:rsidR="0042679D" w:rsidRPr="00295637">
        <w:rPr>
          <w:rFonts w:ascii="Times New Roman" w:hAnsi="Times New Roman"/>
          <w:szCs w:val="24"/>
        </w:rPr>
        <w:t xml:space="preserve"> </w:t>
      </w:r>
      <w:r>
        <w:rPr>
          <w:rFonts w:ascii="Times New Roman" w:hAnsi="Times New Roman"/>
          <w:szCs w:val="24"/>
        </w:rPr>
        <w:t>финансирање</w:t>
      </w:r>
      <w:r w:rsidR="0042679D" w:rsidRPr="00295637">
        <w:rPr>
          <w:rFonts w:ascii="Times New Roman" w:hAnsi="Times New Roman"/>
          <w:szCs w:val="24"/>
        </w:rPr>
        <w:t xml:space="preserve"> „</w:t>
      </w:r>
      <w:r>
        <w:rPr>
          <w:rFonts w:ascii="Times New Roman" w:hAnsi="Times New Roman"/>
          <w:szCs w:val="24"/>
        </w:rPr>
        <w:t>хладног</w:t>
      </w:r>
      <w:r w:rsidR="0042679D" w:rsidRPr="00295637">
        <w:rPr>
          <w:rFonts w:ascii="Times New Roman" w:hAnsi="Times New Roman"/>
          <w:szCs w:val="24"/>
        </w:rPr>
        <w:t xml:space="preserve"> </w:t>
      </w:r>
      <w:r>
        <w:rPr>
          <w:rFonts w:ascii="Times New Roman" w:hAnsi="Times New Roman"/>
          <w:szCs w:val="24"/>
        </w:rPr>
        <w:t>погона</w:t>
      </w:r>
      <w:r w:rsidR="0042679D" w:rsidRPr="00295637">
        <w:rPr>
          <w:rFonts w:ascii="Times New Roman" w:hAnsi="Times New Roman"/>
          <w:szCs w:val="24"/>
        </w:rPr>
        <w:t xml:space="preserve">“ </w:t>
      </w:r>
      <w:r>
        <w:rPr>
          <w:rFonts w:ascii="Times New Roman" w:hAnsi="Times New Roman"/>
          <w:szCs w:val="24"/>
        </w:rPr>
        <w:t>за</w:t>
      </w:r>
      <w:r w:rsidR="0042679D" w:rsidRPr="00295637">
        <w:rPr>
          <w:rFonts w:ascii="Times New Roman" w:hAnsi="Times New Roman"/>
          <w:szCs w:val="24"/>
        </w:rPr>
        <w:t xml:space="preserve"> </w:t>
      </w:r>
      <w:r>
        <w:rPr>
          <w:rFonts w:ascii="Times New Roman" w:hAnsi="Times New Roman"/>
          <w:szCs w:val="24"/>
        </w:rPr>
        <w:t>осам</w:t>
      </w:r>
      <w:r w:rsidR="0042679D" w:rsidRPr="00295637">
        <w:rPr>
          <w:rFonts w:ascii="Times New Roman" w:hAnsi="Times New Roman"/>
          <w:szCs w:val="24"/>
        </w:rPr>
        <w:t xml:space="preserve"> </w:t>
      </w:r>
      <w:r>
        <w:rPr>
          <w:rFonts w:ascii="Times New Roman" w:hAnsi="Times New Roman"/>
          <w:szCs w:val="24"/>
        </w:rPr>
        <w:t>сигурних</w:t>
      </w:r>
      <w:r w:rsidR="0042679D" w:rsidRPr="00295637">
        <w:rPr>
          <w:rFonts w:ascii="Times New Roman" w:hAnsi="Times New Roman"/>
          <w:szCs w:val="24"/>
        </w:rPr>
        <w:t xml:space="preserve"> </w:t>
      </w:r>
      <w:r>
        <w:rPr>
          <w:rFonts w:ascii="Times New Roman" w:hAnsi="Times New Roman"/>
          <w:szCs w:val="24"/>
        </w:rPr>
        <w:t>кућа</w:t>
      </w:r>
      <w:r w:rsidR="0042679D" w:rsidRPr="00295637">
        <w:rPr>
          <w:rFonts w:ascii="Times New Roman" w:hAnsi="Times New Roman"/>
          <w:szCs w:val="24"/>
        </w:rPr>
        <w:t xml:space="preserve"> </w:t>
      </w:r>
      <w:r>
        <w:rPr>
          <w:rFonts w:ascii="Times New Roman" w:hAnsi="Times New Roman"/>
          <w:szCs w:val="24"/>
        </w:rPr>
        <w:t>за</w:t>
      </w:r>
      <w:r w:rsidR="0042679D" w:rsidRPr="00295637">
        <w:rPr>
          <w:rFonts w:ascii="Times New Roman" w:hAnsi="Times New Roman"/>
          <w:szCs w:val="24"/>
        </w:rPr>
        <w:t xml:space="preserve"> </w:t>
      </w:r>
      <w:r>
        <w:rPr>
          <w:rFonts w:ascii="Times New Roman" w:hAnsi="Times New Roman"/>
          <w:szCs w:val="24"/>
        </w:rPr>
        <w:t>смјештај</w:t>
      </w:r>
      <w:r w:rsidR="0042679D" w:rsidRPr="00295637">
        <w:rPr>
          <w:rFonts w:ascii="Times New Roman" w:hAnsi="Times New Roman"/>
          <w:szCs w:val="24"/>
        </w:rPr>
        <w:t xml:space="preserve"> </w:t>
      </w:r>
      <w:r>
        <w:rPr>
          <w:rFonts w:ascii="Times New Roman" w:hAnsi="Times New Roman"/>
          <w:szCs w:val="24"/>
        </w:rPr>
        <w:t>жена</w:t>
      </w:r>
      <w:r w:rsidR="0042679D" w:rsidRPr="00295637">
        <w:rPr>
          <w:rFonts w:ascii="Times New Roman" w:hAnsi="Times New Roman"/>
          <w:szCs w:val="24"/>
        </w:rPr>
        <w:t xml:space="preserve"> </w:t>
      </w:r>
      <w:r>
        <w:rPr>
          <w:rFonts w:ascii="Times New Roman" w:hAnsi="Times New Roman"/>
          <w:szCs w:val="24"/>
        </w:rPr>
        <w:t>жртава</w:t>
      </w:r>
      <w:r w:rsidR="0042679D" w:rsidRPr="00295637">
        <w:rPr>
          <w:rFonts w:ascii="Times New Roman" w:hAnsi="Times New Roman"/>
          <w:szCs w:val="24"/>
        </w:rPr>
        <w:t xml:space="preserve"> </w:t>
      </w:r>
      <w:r>
        <w:rPr>
          <w:rFonts w:ascii="Times New Roman" w:hAnsi="Times New Roman"/>
          <w:szCs w:val="24"/>
        </w:rPr>
        <w:t>насиља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породици</w:t>
      </w:r>
      <w:r w:rsidR="0042679D" w:rsidRPr="00295637">
        <w:rPr>
          <w:rFonts w:ascii="Times New Roman" w:hAnsi="Times New Roman"/>
          <w:szCs w:val="24"/>
        </w:rPr>
        <w:t xml:space="preserve">, </w:t>
      </w:r>
      <w:r>
        <w:rPr>
          <w:rFonts w:ascii="Times New Roman" w:hAnsi="Times New Roman"/>
          <w:szCs w:val="24"/>
        </w:rPr>
        <w:t>које</w:t>
      </w:r>
      <w:r w:rsidR="0042679D" w:rsidRPr="00295637">
        <w:rPr>
          <w:rFonts w:ascii="Times New Roman" w:hAnsi="Times New Roman"/>
          <w:szCs w:val="24"/>
        </w:rPr>
        <w:t xml:space="preserve"> </w:t>
      </w:r>
      <w:r>
        <w:rPr>
          <w:rFonts w:ascii="Times New Roman" w:hAnsi="Times New Roman"/>
          <w:szCs w:val="24"/>
        </w:rPr>
        <w:t>дјелују</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оквиру</w:t>
      </w:r>
      <w:r w:rsidR="0042679D" w:rsidRPr="00295637">
        <w:rPr>
          <w:rFonts w:ascii="Times New Roman" w:hAnsi="Times New Roman"/>
          <w:szCs w:val="24"/>
        </w:rPr>
        <w:t xml:space="preserve"> </w:t>
      </w:r>
      <w:r>
        <w:rPr>
          <w:rFonts w:ascii="Times New Roman" w:hAnsi="Times New Roman"/>
          <w:szCs w:val="24"/>
        </w:rPr>
        <w:t>осам</w:t>
      </w:r>
      <w:r w:rsidR="0042679D" w:rsidRPr="00295637">
        <w:rPr>
          <w:rFonts w:ascii="Times New Roman" w:hAnsi="Times New Roman"/>
          <w:szCs w:val="24"/>
        </w:rPr>
        <w:t xml:space="preserve"> </w:t>
      </w:r>
      <w:r>
        <w:rPr>
          <w:rFonts w:ascii="Times New Roman" w:hAnsi="Times New Roman"/>
          <w:szCs w:val="24"/>
        </w:rPr>
        <w:t>невладиних</w:t>
      </w:r>
      <w:r w:rsidR="0042679D" w:rsidRPr="00295637">
        <w:rPr>
          <w:rFonts w:ascii="Times New Roman" w:hAnsi="Times New Roman"/>
          <w:szCs w:val="24"/>
        </w:rPr>
        <w:t xml:space="preserve"> </w:t>
      </w:r>
      <w:r>
        <w:rPr>
          <w:rFonts w:ascii="Times New Roman" w:hAnsi="Times New Roman"/>
          <w:szCs w:val="24"/>
        </w:rPr>
        <w:t>организација</w:t>
      </w:r>
      <w:r w:rsidR="0042679D" w:rsidRPr="00295637">
        <w:rPr>
          <w:rFonts w:ascii="Times New Roman" w:hAnsi="Times New Roman"/>
          <w:szCs w:val="24"/>
        </w:rPr>
        <w:t>.</w:t>
      </w:r>
      <w:r w:rsidR="0042679D" w:rsidRPr="00295637">
        <w:rPr>
          <w:rFonts w:ascii="Times New Roman" w:hAnsi="Times New Roman"/>
          <w:szCs w:val="24"/>
          <w:lang w:val="hr-HR"/>
        </w:rPr>
        <w:t xml:space="preserve"> </w:t>
      </w:r>
    </w:p>
    <w:p w:rsidR="0042679D" w:rsidRPr="00295637" w:rsidRDefault="0042679D" w:rsidP="0086268D">
      <w:pPr>
        <w:pStyle w:val="ListParagraph"/>
        <w:rPr>
          <w:rFonts w:ascii="Times New Roman" w:hAnsi="Times New Roman"/>
          <w:szCs w:val="24"/>
          <w:lang w:val="hr-HR"/>
        </w:rPr>
      </w:pPr>
    </w:p>
    <w:p w:rsidR="0042679D" w:rsidRPr="001A37CD" w:rsidRDefault="00C6214E" w:rsidP="001A37CD">
      <w:pPr>
        <w:pStyle w:val="ListParagraph"/>
        <w:numPr>
          <w:ilvl w:val="0"/>
          <w:numId w:val="17"/>
        </w:numPr>
        <w:contextualSpacing/>
        <w:jc w:val="both"/>
        <w:rPr>
          <w:rFonts w:ascii="Times New Roman" w:hAnsi="Times New Roman"/>
          <w:szCs w:val="24"/>
          <w:lang w:eastAsia="hr-HR"/>
        </w:rPr>
      </w:pPr>
      <w:r>
        <w:rPr>
          <w:rFonts w:ascii="Times New Roman" w:hAnsi="Times New Roman"/>
          <w:szCs w:val="24"/>
          <w:lang w:val="hr-HR"/>
        </w:rPr>
        <w:t>АР</w:t>
      </w:r>
      <w:r w:rsidR="002C79FB">
        <w:rPr>
          <w:rFonts w:ascii="Times New Roman" w:hAnsi="Times New Roman"/>
          <w:szCs w:val="24"/>
          <w:lang w:val="sr-Cyrl-BA"/>
        </w:rPr>
        <w:t>П</w:t>
      </w:r>
      <w:r w:rsidR="004A732B">
        <w:rPr>
          <w:rFonts w:ascii="Times New Roman" w:hAnsi="Times New Roman"/>
          <w:szCs w:val="24"/>
          <w:lang w:val="hr-HR"/>
        </w:rPr>
        <w:t xml:space="preserve"> </w:t>
      </w:r>
      <w:r>
        <w:rPr>
          <w:rFonts w:ascii="Times New Roman" w:hAnsi="Times New Roman"/>
          <w:szCs w:val="24"/>
          <w:lang w:val="hr-HR"/>
        </w:rPr>
        <w:t>БиХ</w:t>
      </w:r>
      <w:r w:rsidR="004A732B">
        <w:rPr>
          <w:rFonts w:ascii="Times New Roman" w:hAnsi="Times New Roman"/>
          <w:szCs w:val="24"/>
          <w:lang w:val="hr-HR"/>
        </w:rPr>
        <w:t xml:space="preserve"> </w:t>
      </w:r>
      <w:r>
        <w:rPr>
          <w:rFonts w:ascii="Times New Roman" w:hAnsi="Times New Roman"/>
          <w:szCs w:val="24"/>
          <w:lang w:val="hr-HR"/>
        </w:rPr>
        <w:t>МЉПИ</w:t>
      </w:r>
      <w:r w:rsidR="004A732B">
        <w:rPr>
          <w:rFonts w:ascii="Times New Roman" w:hAnsi="Times New Roman"/>
          <w:szCs w:val="24"/>
          <w:lang w:val="hr-HR"/>
        </w:rPr>
        <w:t xml:space="preserve"> </w:t>
      </w:r>
      <w:r>
        <w:rPr>
          <w:rFonts w:ascii="Times New Roman" w:hAnsi="Times New Roman"/>
          <w:szCs w:val="24"/>
          <w:lang w:val="hr-HR"/>
        </w:rPr>
        <w:t>БиХ</w:t>
      </w:r>
      <w:r w:rsidR="0042679D" w:rsidRPr="00295637">
        <w:rPr>
          <w:rFonts w:ascii="Times New Roman" w:hAnsi="Times New Roman"/>
          <w:szCs w:val="24"/>
          <w:lang w:val="hr-HR"/>
        </w:rPr>
        <w:t xml:space="preserve"> </w:t>
      </w:r>
      <w:r>
        <w:rPr>
          <w:rFonts w:ascii="Times New Roman" w:hAnsi="Times New Roman"/>
          <w:szCs w:val="24"/>
          <w:lang w:val="hr-HR"/>
        </w:rPr>
        <w:t>је</w:t>
      </w:r>
      <w:r w:rsidR="0042679D" w:rsidRPr="00295637">
        <w:rPr>
          <w:rFonts w:ascii="Times New Roman" w:hAnsi="Times New Roman"/>
          <w:szCs w:val="24"/>
          <w:lang w:val="hr-HR"/>
        </w:rPr>
        <w:t xml:space="preserve">, </w:t>
      </w:r>
      <w:r>
        <w:rPr>
          <w:rFonts w:ascii="Times New Roman" w:hAnsi="Times New Roman"/>
          <w:szCs w:val="24"/>
          <w:lang w:val="hr-HR"/>
        </w:rPr>
        <w:t>уз</w:t>
      </w:r>
      <w:r w:rsidR="0042679D" w:rsidRPr="00295637">
        <w:rPr>
          <w:rFonts w:ascii="Times New Roman" w:hAnsi="Times New Roman"/>
          <w:szCs w:val="24"/>
          <w:lang w:val="hr-HR"/>
        </w:rPr>
        <w:t xml:space="preserve"> </w:t>
      </w:r>
      <w:r>
        <w:rPr>
          <w:rFonts w:ascii="Times New Roman" w:hAnsi="Times New Roman"/>
          <w:szCs w:val="24"/>
          <w:lang w:val="hr-HR"/>
        </w:rPr>
        <w:t>техничку</w:t>
      </w:r>
      <w:r w:rsidR="0042679D" w:rsidRPr="00295637">
        <w:rPr>
          <w:rFonts w:ascii="Times New Roman" w:hAnsi="Times New Roman"/>
          <w:szCs w:val="24"/>
          <w:lang w:val="hr-HR"/>
        </w:rPr>
        <w:t xml:space="preserve"> </w:t>
      </w:r>
      <w:r>
        <w:rPr>
          <w:rFonts w:ascii="Times New Roman" w:hAnsi="Times New Roman"/>
          <w:szCs w:val="24"/>
          <w:lang w:val="hr-HR"/>
        </w:rPr>
        <w:t>подршку</w:t>
      </w:r>
      <w:r w:rsidR="0042679D" w:rsidRPr="00295637">
        <w:rPr>
          <w:rFonts w:ascii="Times New Roman" w:hAnsi="Times New Roman"/>
          <w:szCs w:val="24"/>
          <w:lang w:val="hr-HR"/>
        </w:rPr>
        <w:t xml:space="preserve"> </w:t>
      </w:r>
      <w:r w:rsidR="002C79FB">
        <w:rPr>
          <w:rFonts w:ascii="Times New Roman" w:hAnsi="Times New Roman"/>
          <w:szCs w:val="24"/>
          <w:lang w:val="sr-Cyrl-BA"/>
        </w:rPr>
        <w:t>Савјета</w:t>
      </w:r>
      <w:r w:rsidR="0042679D" w:rsidRPr="00295637">
        <w:rPr>
          <w:rFonts w:ascii="Times New Roman" w:hAnsi="Times New Roman"/>
          <w:szCs w:val="24"/>
          <w:lang w:val="hr-HR"/>
        </w:rPr>
        <w:t xml:space="preserve"> </w:t>
      </w:r>
      <w:r>
        <w:rPr>
          <w:rFonts w:ascii="Times New Roman" w:hAnsi="Times New Roman"/>
          <w:szCs w:val="24"/>
          <w:lang w:val="hr-HR"/>
        </w:rPr>
        <w:t>Европе</w:t>
      </w:r>
      <w:r w:rsidR="0042679D" w:rsidRPr="00295637">
        <w:rPr>
          <w:rFonts w:ascii="Times New Roman" w:hAnsi="Times New Roman"/>
          <w:szCs w:val="24"/>
          <w:lang w:val="hr-HR"/>
        </w:rPr>
        <w:t xml:space="preserve">, </w:t>
      </w:r>
      <w:r>
        <w:rPr>
          <w:rFonts w:ascii="Times New Roman" w:hAnsi="Times New Roman"/>
          <w:szCs w:val="24"/>
          <w:lang w:val="hr-HR"/>
        </w:rPr>
        <w:t>реализ</w:t>
      </w:r>
      <w:r w:rsidR="002C79FB">
        <w:rPr>
          <w:rFonts w:ascii="Times New Roman" w:hAnsi="Times New Roman"/>
          <w:szCs w:val="24"/>
          <w:lang w:val="sr-Cyrl-BA"/>
        </w:rPr>
        <w:t>овала</w:t>
      </w:r>
      <w:r w:rsidR="0042679D" w:rsidRPr="00295637">
        <w:rPr>
          <w:rFonts w:ascii="Times New Roman" w:hAnsi="Times New Roman"/>
          <w:szCs w:val="24"/>
          <w:lang w:val="hr-HR"/>
        </w:rPr>
        <w:t xml:space="preserve"> „</w:t>
      </w:r>
      <w:r>
        <w:rPr>
          <w:rFonts w:ascii="Times New Roman" w:hAnsi="Times New Roman"/>
          <w:szCs w:val="24"/>
          <w:lang w:val="hr-HR"/>
        </w:rPr>
        <w:t>гап</w:t>
      </w:r>
      <w:r w:rsidR="0042679D" w:rsidRPr="00295637">
        <w:rPr>
          <w:rFonts w:ascii="Times New Roman" w:hAnsi="Times New Roman"/>
          <w:szCs w:val="24"/>
          <w:lang w:val="hr-HR"/>
        </w:rPr>
        <w:t xml:space="preserve">“ </w:t>
      </w:r>
      <w:r>
        <w:rPr>
          <w:rFonts w:ascii="Times New Roman" w:hAnsi="Times New Roman"/>
          <w:szCs w:val="24"/>
          <w:lang w:val="hr-HR"/>
        </w:rPr>
        <w:t>анализу</w:t>
      </w:r>
      <w:r w:rsidR="0042679D" w:rsidRPr="00295637">
        <w:rPr>
          <w:rFonts w:ascii="Times New Roman" w:hAnsi="Times New Roman"/>
          <w:szCs w:val="24"/>
          <w:lang w:val="hr-HR"/>
        </w:rPr>
        <w:t xml:space="preserve"> </w:t>
      </w:r>
      <w:r>
        <w:rPr>
          <w:rFonts w:ascii="Times New Roman" w:hAnsi="Times New Roman"/>
          <w:szCs w:val="24"/>
          <w:lang w:val="hr-HR"/>
        </w:rPr>
        <w:t>законодавног</w:t>
      </w:r>
      <w:r w:rsidR="0042679D" w:rsidRPr="00295637">
        <w:rPr>
          <w:rFonts w:ascii="Times New Roman" w:hAnsi="Times New Roman"/>
          <w:szCs w:val="24"/>
          <w:lang w:val="hr-HR"/>
        </w:rPr>
        <w:t xml:space="preserve"> </w:t>
      </w:r>
      <w:r>
        <w:rPr>
          <w:rFonts w:ascii="Times New Roman" w:hAnsi="Times New Roman"/>
          <w:szCs w:val="24"/>
          <w:lang w:val="hr-HR"/>
        </w:rPr>
        <w:t>и</w:t>
      </w:r>
      <w:r w:rsidR="0042679D" w:rsidRPr="00295637">
        <w:rPr>
          <w:rFonts w:ascii="Times New Roman" w:hAnsi="Times New Roman"/>
          <w:szCs w:val="24"/>
          <w:lang w:val="hr-HR"/>
        </w:rPr>
        <w:t xml:space="preserve"> </w:t>
      </w:r>
      <w:r>
        <w:rPr>
          <w:rFonts w:ascii="Times New Roman" w:hAnsi="Times New Roman"/>
          <w:szCs w:val="24"/>
          <w:lang w:val="hr-HR"/>
        </w:rPr>
        <w:t>институционалног</w:t>
      </w:r>
      <w:r w:rsidR="0042679D" w:rsidRPr="00295637">
        <w:rPr>
          <w:rFonts w:ascii="Times New Roman" w:hAnsi="Times New Roman"/>
          <w:szCs w:val="24"/>
          <w:lang w:val="hr-HR"/>
        </w:rPr>
        <w:t xml:space="preserve"> </w:t>
      </w:r>
      <w:r>
        <w:rPr>
          <w:rFonts w:ascii="Times New Roman" w:hAnsi="Times New Roman"/>
          <w:szCs w:val="24"/>
          <w:lang w:val="hr-HR"/>
        </w:rPr>
        <w:t>оквира</w:t>
      </w:r>
      <w:r w:rsidR="0042679D" w:rsidRPr="00295637">
        <w:rPr>
          <w:rFonts w:ascii="Times New Roman" w:hAnsi="Times New Roman"/>
          <w:szCs w:val="24"/>
          <w:lang w:val="hr-HR"/>
        </w:rPr>
        <w:t xml:space="preserve"> </w:t>
      </w:r>
      <w:r>
        <w:rPr>
          <w:rFonts w:ascii="Times New Roman" w:hAnsi="Times New Roman"/>
          <w:szCs w:val="24"/>
          <w:lang w:val="hr-HR"/>
        </w:rPr>
        <w:t>за</w:t>
      </w:r>
      <w:r w:rsidR="0042679D" w:rsidRPr="00295637">
        <w:rPr>
          <w:rFonts w:ascii="Times New Roman" w:hAnsi="Times New Roman"/>
          <w:szCs w:val="24"/>
          <w:lang w:val="hr-HR"/>
        </w:rPr>
        <w:t xml:space="preserve"> </w:t>
      </w:r>
      <w:r>
        <w:rPr>
          <w:rFonts w:ascii="Times New Roman" w:hAnsi="Times New Roman"/>
          <w:szCs w:val="24"/>
          <w:lang w:val="hr-HR"/>
        </w:rPr>
        <w:t>превенцију</w:t>
      </w:r>
      <w:r w:rsidR="0042679D" w:rsidRPr="00295637">
        <w:rPr>
          <w:rFonts w:ascii="Times New Roman" w:hAnsi="Times New Roman"/>
          <w:szCs w:val="24"/>
          <w:lang w:val="hr-HR"/>
        </w:rPr>
        <w:t xml:space="preserve">, </w:t>
      </w:r>
      <w:r>
        <w:rPr>
          <w:rFonts w:ascii="Times New Roman" w:hAnsi="Times New Roman"/>
          <w:szCs w:val="24"/>
          <w:lang w:val="hr-HR"/>
        </w:rPr>
        <w:t>заштиту</w:t>
      </w:r>
      <w:r w:rsidR="0042679D" w:rsidRPr="00295637">
        <w:rPr>
          <w:rFonts w:ascii="Times New Roman" w:hAnsi="Times New Roman"/>
          <w:szCs w:val="24"/>
          <w:lang w:val="hr-HR"/>
        </w:rPr>
        <w:t xml:space="preserve"> </w:t>
      </w:r>
      <w:r>
        <w:rPr>
          <w:rFonts w:ascii="Times New Roman" w:hAnsi="Times New Roman"/>
          <w:szCs w:val="24"/>
          <w:lang w:val="hr-HR"/>
        </w:rPr>
        <w:t>жртве</w:t>
      </w:r>
      <w:r w:rsidR="0042679D" w:rsidRPr="00295637">
        <w:rPr>
          <w:rFonts w:ascii="Times New Roman" w:hAnsi="Times New Roman"/>
          <w:szCs w:val="24"/>
          <w:lang w:val="hr-HR"/>
        </w:rPr>
        <w:t xml:space="preserve"> </w:t>
      </w:r>
      <w:r>
        <w:rPr>
          <w:rFonts w:ascii="Times New Roman" w:hAnsi="Times New Roman"/>
          <w:szCs w:val="24"/>
          <w:lang w:val="hr-HR"/>
        </w:rPr>
        <w:t>и</w:t>
      </w:r>
      <w:r w:rsidR="0042679D" w:rsidRPr="00295637">
        <w:rPr>
          <w:rFonts w:ascii="Times New Roman" w:hAnsi="Times New Roman"/>
          <w:szCs w:val="24"/>
          <w:lang w:val="hr-HR"/>
        </w:rPr>
        <w:t xml:space="preserve"> </w:t>
      </w:r>
      <w:r>
        <w:rPr>
          <w:rFonts w:ascii="Times New Roman" w:hAnsi="Times New Roman"/>
          <w:szCs w:val="24"/>
          <w:lang w:val="hr-HR"/>
        </w:rPr>
        <w:t>процесуирање</w:t>
      </w:r>
      <w:r w:rsidR="0042679D" w:rsidRPr="00295637">
        <w:rPr>
          <w:rFonts w:ascii="Times New Roman" w:hAnsi="Times New Roman"/>
          <w:szCs w:val="24"/>
          <w:lang w:val="hr-HR"/>
        </w:rPr>
        <w:t xml:space="preserve"> </w:t>
      </w:r>
      <w:r>
        <w:rPr>
          <w:rFonts w:ascii="Times New Roman" w:hAnsi="Times New Roman"/>
          <w:szCs w:val="24"/>
          <w:lang w:val="hr-HR"/>
        </w:rPr>
        <w:t>починилаца</w:t>
      </w:r>
      <w:r w:rsidR="0042679D" w:rsidRPr="00295637">
        <w:rPr>
          <w:rFonts w:ascii="Times New Roman" w:hAnsi="Times New Roman"/>
          <w:szCs w:val="24"/>
          <w:lang w:val="hr-HR"/>
        </w:rPr>
        <w:t xml:space="preserve"> </w:t>
      </w:r>
      <w:r>
        <w:rPr>
          <w:rFonts w:ascii="Times New Roman" w:hAnsi="Times New Roman"/>
          <w:szCs w:val="24"/>
          <w:lang w:val="hr-HR"/>
        </w:rPr>
        <w:t>у</w:t>
      </w:r>
      <w:r w:rsidR="0042679D" w:rsidRPr="00295637">
        <w:rPr>
          <w:rFonts w:ascii="Times New Roman" w:hAnsi="Times New Roman"/>
          <w:szCs w:val="24"/>
          <w:lang w:val="hr-HR"/>
        </w:rPr>
        <w:t xml:space="preserve"> </w:t>
      </w:r>
      <w:r>
        <w:rPr>
          <w:rFonts w:ascii="Times New Roman" w:hAnsi="Times New Roman"/>
          <w:szCs w:val="24"/>
          <w:lang w:val="hr-HR"/>
        </w:rPr>
        <w:t>случајевима</w:t>
      </w:r>
      <w:r w:rsidR="0042679D" w:rsidRPr="00295637">
        <w:rPr>
          <w:rFonts w:ascii="Times New Roman" w:hAnsi="Times New Roman"/>
          <w:szCs w:val="24"/>
          <w:lang w:val="hr-HR"/>
        </w:rPr>
        <w:t xml:space="preserve"> </w:t>
      </w:r>
      <w:r>
        <w:rPr>
          <w:rFonts w:ascii="Times New Roman" w:hAnsi="Times New Roman"/>
          <w:szCs w:val="24"/>
          <w:lang w:val="hr-HR"/>
        </w:rPr>
        <w:t>силовања</w:t>
      </w:r>
      <w:r w:rsidR="0042679D" w:rsidRPr="00295637">
        <w:rPr>
          <w:rFonts w:ascii="Times New Roman" w:hAnsi="Times New Roman"/>
          <w:szCs w:val="24"/>
          <w:lang w:val="hr-HR"/>
        </w:rPr>
        <w:t xml:space="preserve"> </w:t>
      </w:r>
      <w:r>
        <w:rPr>
          <w:rFonts w:ascii="Times New Roman" w:hAnsi="Times New Roman"/>
          <w:szCs w:val="24"/>
          <w:lang w:val="hr-HR"/>
        </w:rPr>
        <w:t>и</w:t>
      </w:r>
      <w:r w:rsidR="0042679D" w:rsidRPr="00295637">
        <w:rPr>
          <w:rFonts w:ascii="Times New Roman" w:hAnsi="Times New Roman"/>
          <w:szCs w:val="24"/>
          <w:lang w:val="hr-HR"/>
        </w:rPr>
        <w:t xml:space="preserve"> </w:t>
      </w:r>
      <w:r>
        <w:rPr>
          <w:rFonts w:ascii="Times New Roman" w:hAnsi="Times New Roman"/>
          <w:szCs w:val="24"/>
          <w:lang w:val="hr-HR"/>
        </w:rPr>
        <w:t>дигитално</w:t>
      </w:r>
      <w:r w:rsidR="0042679D" w:rsidRPr="00295637">
        <w:rPr>
          <w:rFonts w:ascii="Times New Roman" w:hAnsi="Times New Roman"/>
          <w:szCs w:val="24"/>
          <w:lang w:val="hr-HR"/>
        </w:rPr>
        <w:t xml:space="preserve"> </w:t>
      </w:r>
      <w:r>
        <w:rPr>
          <w:rFonts w:ascii="Times New Roman" w:hAnsi="Times New Roman"/>
          <w:szCs w:val="24"/>
          <w:lang w:val="hr-HR"/>
        </w:rPr>
        <w:t>потпомогнутог</w:t>
      </w:r>
      <w:r w:rsidR="0042679D" w:rsidRPr="00295637">
        <w:rPr>
          <w:rFonts w:ascii="Times New Roman" w:hAnsi="Times New Roman"/>
          <w:szCs w:val="24"/>
          <w:lang w:val="hr-HR"/>
        </w:rPr>
        <w:t xml:space="preserve"> </w:t>
      </w:r>
      <w:r>
        <w:rPr>
          <w:rFonts w:ascii="Times New Roman" w:hAnsi="Times New Roman"/>
          <w:szCs w:val="24"/>
          <w:lang w:val="hr-HR"/>
        </w:rPr>
        <w:t>насиља</w:t>
      </w:r>
      <w:r w:rsidR="0042679D" w:rsidRPr="00295637">
        <w:rPr>
          <w:rFonts w:ascii="Times New Roman" w:hAnsi="Times New Roman"/>
          <w:szCs w:val="24"/>
          <w:lang w:val="hr-HR"/>
        </w:rPr>
        <w:t xml:space="preserve"> </w:t>
      </w:r>
      <w:r>
        <w:rPr>
          <w:rFonts w:ascii="Times New Roman" w:hAnsi="Times New Roman"/>
          <w:szCs w:val="24"/>
          <w:lang w:val="hr-HR"/>
        </w:rPr>
        <w:t>над</w:t>
      </w:r>
      <w:r w:rsidR="0042679D" w:rsidRPr="00295637">
        <w:rPr>
          <w:rFonts w:ascii="Times New Roman" w:hAnsi="Times New Roman"/>
          <w:szCs w:val="24"/>
          <w:lang w:val="hr-HR"/>
        </w:rPr>
        <w:t xml:space="preserve"> </w:t>
      </w:r>
      <w:r>
        <w:rPr>
          <w:rFonts w:ascii="Times New Roman" w:hAnsi="Times New Roman"/>
          <w:szCs w:val="24"/>
          <w:lang w:val="hr-HR"/>
        </w:rPr>
        <w:t>женама</w:t>
      </w:r>
      <w:r w:rsidR="0042679D" w:rsidRPr="00295637">
        <w:rPr>
          <w:rFonts w:ascii="Times New Roman" w:hAnsi="Times New Roman"/>
          <w:szCs w:val="24"/>
          <w:lang w:val="hr-HR"/>
        </w:rPr>
        <w:t>.</w:t>
      </w:r>
      <w:r w:rsidR="0042679D" w:rsidRPr="00295637">
        <w:rPr>
          <w:rFonts w:ascii="Times New Roman" w:hAnsi="Times New Roman"/>
        </w:rPr>
        <w:t xml:space="preserve"> </w:t>
      </w:r>
    </w:p>
    <w:p w:rsidR="0042679D" w:rsidRPr="00C618FF" w:rsidRDefault="0042679D" w:rsidP="0086268D">
      <w:pPr>
        <w:pStyle w:val="ListParagraph"/>
        <w:rPr>
          <w:rFonts w:ascii="Times New Roman" w:hAnsi="Times New Roman"/>
          <w:noProof/>
          <w:szCs w:val="24"/>
        </w:rPr>
      </w:pPr>
    </w:p>
    <w:p w:rsidR="0042679D" w:rsidRPr="00C618FF" w:rsidRDefault="00C6214E" w:rsidP="0086268D">
      <w:pPr>
        <w:pStyle w:val="ListParagraph"/>
        <w:numPr>
          <w:ilvl w:val="0"/>
          <w:numId w:val="17"/>
        </w:numPr>
        <w:contextualSpacing/>
        <w:jc w:val="both"/>
        <w:rPr>
          <w:rFonts w:ascii="Times New Roman" w:hAnsi="Times New Roman"/>
          <w:szCs w:val="24"/>
          <w:lang w:eastAsia="hr-HR"/>
        </w:rPr>
      </w:pPr>
      <w:r>
        <w:rPr>
          <w:rFonts w:ascii="Times New Roman" w:hAnsi="Times New Roman"/>
          <w:noProof/>
          <w:szCs w:val="24"/>
        </w:rPr>
        <w:t>У</w:t>
      </w:r>
      <w:r w:rsidR="0042679D" w:rsidRPr="00C618FF">
        <w:rPr>
          <w:rFonts w:ascii="Times New Roman" w:hAnsi="Times New Roman"/>
          <w:noProof/>
          <w:szCs w:val="24"/>
        </w:rPr>
        <w:t xml:space="preserve"> </w:t>
      </w:r>
      <w:r>
        <w:rPr>
          <w:rFonts w:ascii="Times New Roman" w:hAnsi="Times New Roman"/>
          <w:noProof/>
          <w:szCs w:val="24"/>
        </w:rPr>
        <w:t>извјештајном</w:t>
      </w:r>
      <w:r w:rsidR="0042679D" w:rsidRPr="00C618FF">
        <w:rPr>
          <w:rFonts w:ascii="Times New Roman" w:hAnsi="Times New Roman"/>
          <w:noProof/>
          <w:szCs w:val="24"/>
        </w:rPr>
        <w:t xml:space="preserve"> </w:t>
      </w:r>
      <w:r>
        <w:rPr>
          <w:rFonts w:ascii="Times New Roman" w:hAnsi="Times New Roman"/>
          <w:noProof/>
          <w:szCs w:val="24"/>
        </w:rPr>
        <w:t>периоду</w:t>
      </w:r>
      <w:r w:rsidR="0042679D" w:rsidRPr="00C618FF">
        <w:rPr>
          <w:rFonts w:ascii="Times New Roman" w:hAnsi="Times New Roman"/>
          <w:noProof/>
          <w:szCs w:val="24"/>
        </w:rPr>
        <w:t xml:space="preserve">, </w:t>
      </w:r>
      <w:r>
        <w:rPr>
          <w:rFonts w:ascii="Times New Roman" w:hAnsi="Times New Roman"/>
          <w:noProof/>
          <w:szCs w:val="24"/>
        </w:rPr>
        <w:t>РАК</w:t>
      </w:r>
      <w:r w:rsidR="0042679D" w:rsidRPr="00C618FF">
        <w:rPr>
          <w:rFonts w:ascii="Times New Roman" w:hAnsi="Times New Roman"/>
          <w:noProof/>
          <w:szCs w:val="24"/>
        </w:rPr>
        <w:t xml:space="preserve"> </w:t>
      </w:r>
      <w:r>
        <w:rPr>
          <w:rFonts w:ascii="Times New Roman" w:hAnsi="Times New Roman"/>
          <w:noProof/>
          <w:szCs w:val="24"/>
        </w:rPr>
        <w:t>БиХ</w:t>
      </w:r>
      <w:r w:rsidR="0042679D" w:rsidRPr="00C618FF">
        <w:rPr>
          <w:rFonts w:ascii="Times New Roman" w:hAnsi="Times New Roman"/>
          <w:noProof/>
          <w:szCs w:val="24"/>
        </w:rPr>
        <w:t xml:space="preserve"> </w:t>
      </w:r>
      <w:r>
        <w:rPr>
          <w:rFonts w:ascii="Times New Roman" w:hAnsi="Times New Roman"/>
          <w:noProof/>
          <w:szCs w:val="24"/>
        </w:rPr>
        <w:t>је</w:t>
      </w:r>
      <w:r w:rsidR="0042679D" w:rsidRPr="00C618FF">
        <w:rPr>
          <w:rFonts w:ascii="Times New Roman" w:hAnsi="Times New Roman"/>
          <w:noProof/>
          <w:szCs w:val="24"/>
        </w:rPr>
        <w:t xml:space="preserve"> </w:t>
      </w:r>
      <w:r>
        <w:rPr>
          <w:rFonts w:ascii="Times New Roman" w:hAnsi="Times New Roman"/>
          <w:noProof/>
          <w:szCs w:val="24"/>
        </w:rPr>
        <w:t>финализ</w:t>
      </w:r>
      <w:r w:rsidR="002C79FB">
        <w:rPr>
          <w:rFonts w:ascii="Times New Roman" w:hAnsi="Times New Roman"/>
          <w:noProof/>
          <w:szCs w:val="24"/>
          <w:lang w:val="sr-Cyrl-BA"/>
        </w:rPr>
        <w:t>овала</w:t>
      </w:r>
      <w:r w:rsidR="0042679D" w:rsidRPr="00C618FF">
        <w:rPr>
          <w:rFonts w:ascii="Times New Roman" w:hAnsi="Times New Roman"/>
          <w:noProof/>
          <w:szCs w:val="24"/>
        </w:rPr>
        <w:t xml:space="preserve"> </w:t>
      </w:r>
      <w:r>
        <w:rPr>
          <w:rFonts w:ascii="Times New Roman" w:hAnsi="Times New Roman"/>
          <w:noProof/>
          <w:szCs w:val="24"/>
        </w:rPr>
        <w:t>процес</w:t>
      </w:r>
      <w:r w:rsidR="0042679D" w:rsidRPr="00C618FF">
        <w:rPr>
          <w:rFonts w:ascii="Times New Roman" w:hAnsi="Times New Roman"/>
          <w:noProof/>
          <w:szCs w:val="24"/>
        </w:rPr>
        <w:t xml:space="preserve"> </w:t>
      </w:r>
      <w:r>
        <w:rPr>
          <w:rFonts w:ascii="Times New Roman" w:hAnsi="Times New Roman"/>
          <w:noProof/>
          <w:szCs w:val="24"/>
        </w:rPr>
        <w:t>хармонизације</w:t>
      </w:r>
      <w:r w:rsidR="005853E4">
        <w:rPr>
          <w:rFonts w:ascii="Times New Roman" w:hAnsi="Times New Roman"/>
          <w:noProof/>
          <w:szCs w:val="24"/>
        </w:rPr>
        <w:t xml:space="preserve"> </w:t>
      </w:r>
      <w:r>
        <w:rPr>
          <w:rFonts w:ascii="Times New Roman" w:hAnsi="Times New Roman"/>
          <w:noProof/>
          <w:szCs w:val="24"/>
        </w:rPr>
        <w:t>домаћег</w:t>
      </w:r>
      <w:r w:rsidR="005853E4">
        <w:rPr>
          <w:rFonts w:ascii="Times New Roman" w:hAnsi="Times New Roman"/>
          <w:noProof/>
          <w:szCs w:val="24"/>
        </w:rPr>
        <w:t xml:space="preserve"> </w:t>
      </w:r>
      <w:r>
        <w:rPr>
          <w:rFonts w:ascii="Times New Roman" w:hAnsi="Times New Roman"/>
          <w:noProof/>
          <w:szCs w:val="24"/>
        </w:rPr>
        <w:t>регулаторног</w:t>
      </w:r>
      <w:r w:rsidR="005853E4">
        <w:rPr>
          <w:rFonts w:ascii="Times New Roman" w:hAnsi="Times New Roman"/>
          <w:noProof/>
          <w:szCs w:val="24"/>
        </w:rPr>
        <w:t xml:space="preserve"> </w:t>
      </w:r>
      <w:r>
        <w:rPr>
          <w:rFonts w:ascii="Times New Roman" w:hAnsi="Times New Roman"/>
          <w:noProof/>
          <w:szCs w:val="24"/>
        </w:rPr>
        <w:t>оквира</w:t>
      </w:r>
      <w:r w:rsidR="005853E4">
        <w:rPr>
          <w:rFonts w:ascii="Times New Roman" w:hAnsi="Times New Roman"/>
          <w:noProof/>
          <w:szCs w:val="24"/>
        </w:rPr>
        <w:t xml:space="preserve"> </w:t>
      </w:r>
      <w:r>
        <w:rPr>
          <w:rFonts w:ascii="Times New Roman" w:hAnsi="Times New Roman"/>
          <w:noProof/>
          <w:szCs w:val="24"/>
        </w:rPr>
        <w:t>са</w:t>
      </w:r>
      <w:r w:rsidR="0042679D" w:rsidRPr="00C618FF">
        <w:rPr>
          <w:rFonts w:ascii="Times New Roman" w:hAnsi="Times New Roman"/>
          <w:noProof/>
          <w:szCs w:val="24"/>
        </w:rPr>
        <w:t xml:space="preserve"> </w:t>
      </w:r>
      <w:r>
        <w:rPr>
          <w:rFonts w:ascii="Times New Roman" w:hAnsi="Times New Roman"/>
          <w:noProof/>
          <w:szCs w:val="24"/>
        </w:rPr>
        <w:t>ревидираном</w:t>
      </w:r>
      <w:r w:rsidR="0042679D" w:rsidRPr="00C618FF">
        <w:rPr>
          <w:rFonts w:ascii="Times New Roman" w:hAnsi="Times New Roman"/>
          <w:noProof/>
          <w:szCs w:val="24"/>
        </w:rPr>
        <w:t xml:space="preserve"> </w:t>
      </w:r>
      <w:r>
        <w:rPr>
          <w:rFonts w:ascii="Times New Roman" w:hAnsi="Times New Roman"/>
          <w:noProof/>
          <w:szCs w:val="24"/>
        </w:rPr>
        <w:t>Директивом</w:t>
      </w:r>
      <w:r w:rsidR="0042679D" w:rsidRPr="00C618FF">
        <w:rPr>
          <w:rFonts w:ascii="Times New Roman" w:hAnsi="Times New Roman"/>
          <w:noProof/>
          <w:szCs w:val="24"/>
        </w:rPr>
        <w:t xml:space="preserve"> </w:t>
      </w:r>
      <w:r w:rsidR="0042679D" w:rsidRPr="00C618FF">
        <w:rPr>
          <w:rFonts w:ascii="Times New Roman" w:hAnsi="Times New Roman"/>
          <w:noProof/>
          <w:szCs w:val="24"/>
          <w:shd w:val="clear" w:color="auto" w:fill="FFFFFF"/>
        </w:rPr>
        <w:t>2018</w:t>
      </w:r>
      <w:r w:rsidR="0042679D" w:rsidRPr="00C618FF">
        <w:rPr>
          <w:rFonts w:ascii="Times New Roman" w:hAnsi="Times New Roman"/>
          <w:b/>
          <w:bCs/>
          <w:noProof/>
          <w:szCs w:val="24"/>
          <w:shd w:val="clear" w:color="auto" w:fill="FFFFFF"/>
        </w:rPr>
        <w:t>/</w:t>
      </w:r>
      <w:r w:rsidR="0042679D" w:rsidRPr="00C618FF">
        <w:rPr>
          <w:rFonts w:ascii="Times New Roman" w:hAnsi="Times New Roman"/>
          <w:noProof/>
          <w:szCs w:val="24"/>
          <w:shd w:val="clear" w:color="auto" w:fill="FFFFFF"/>
        </w:rPr>
        <w:t xml:space="preserve">1808 </w:t>
      </w:r>
      <w:r>
        <w:rPr>
          <w:rFonts w:ascii="Times New Roman" w:hAnsi="Times New Roman"/>
          <w:noProof/>
          <w:szCs w:val="24"/>
        </w:rPr>
        <w:t>ЕУ</w:t>
      </w:r>
      <w:r w:rsidR="0042679D" w:rsidRPr="00C618FF">
        <w:rPr>
          <w:rFonts w:ascii="Times New Roman" w:hAnsi="Times New Roman"/>
          <w:noProof/>
          <w:szCs w:val="24"/>
        </w:rPr>
        <w:t xml:space="preserve"> </w:t>
      </w:r>
      <w:r>
        <w:rPr>
          <w:rFonts w:ascii="Times New Roman" w:hAnsi="Times New Roman"/>
          <w:noProof/>
          <w:szCs w:val="24"/>
        </w:rPr>
        <w:t>о</w:t>
      </w:r>
      <w:r w:rsidR="0042679D" w:rsidRPr="00C618FF">
        <w:rPr>
          <w:rFonts w:ascii="Times New Roman" w:hAnsi="Times New Roman"/>
          <w:noProof/>
          <w:szCs w:val="24"/>
        </w:rPr>
        <w:t xml:space="preserve"> </w:t>
      </w:r>
      <w:r>
        <w:rPr>
          <w:rFonts w:ascii="Times New Roman" w:hAnsi="Times New Roman"/>
          <w:noProof/>
          <w:szCs w:val="24"/>
        </w:rPr>
        <w:t>аудиовизуелним</w:t>
      </w:r>
      <w:r w:rsidR="0042679D" w:rsidRPr="00C618FF">
        <w:rPr>
          <w:rFonts w:ascii="Times New Roman" w:hAnsi="Times New Roman"/>
          <w:noProof/>
          <w:szCs w:val="24"/>
        </w:rPr>
        <w:t xml:space="preserve"> </w:t>
      </w:r>
      <w:r>
        <w:rPr>
          <w:rFonts w:ascii="Times New Roman" w:hAnsi="Times New Roman"/>
          <w:noProof/>
          <w:szCs w:val="24"/>
        </w:rPr>
        <w:t>медијским</w:t>
      </w:r>
      <w:r w:rsidR="0042679D" w:rsidRPr="00C618FF">
        <w:rPr>
          <w:rFonts w:ascii="Times New Roman" w:hAnsi="Times New Roman"/>
          <w:noProof/>
          <w:szCs w:val="24"/>
        </w:rPr>
        <w:t xml:space="preserve"> </w:t>
      </w:r>
      <w:r>
        <w:rPr>
          <w:rFonts w:ascii="Times New Roman" w:hAnsi="Times New Roman"/>
          <w:noProof/>
          <w:szCs w:val="24"/>
        </w:rPr>
        <w:t>услугама</w:t>
      </w:r>
      <w:r w:rsidR="0042679D" w:rsidRPr="00C618FF">
        <w:rPr>
          <w:rFonts w:ascii="Times New Roman" w:hAnsi="Times New Roman"/>
          <w:noProof/>
          <w:szCs w:val="24"/>
        </w:rPr>
        <w:t xml:space="preserve">, </w:t>
      </w:r>
      <w:r>
        <w:rPr>
          <w:rFonts w:ascii="Times New Roman" w:hAnsi="Times New Roman"/>
          <w:noProof/>
          <w:szCs w:val="24"/>
        </w:rPr>
        <w:t>а</w:t>
      </w:r>
      <w:r w:rsidR="0042679D" w:rsidRPr="00C618FF">
        <w:rPr>
          <w:rFonts w:ascii="Times New Roman" w:hAnsi="Times New Roman"/>
          <w:noProof/>
          <w:szCs w:val="24"/>
        </w:rPr>
        <w:t xml:space="preserve"> </w:t>
      </w:r>
      <w:r>
        <w:rPr>
          <w:rFonts w:ascii="Times New Roman" w:hAnsi="Times New Roman"/>
          <w:noProof/>
          <w:szCs w:val="24"/>
        </w:rPr>
        <w:t>у</w:t>
      </w:r>
      <w:r w:rsidR="0044734A">
        <w:rPr>
          <w:rFonts w:ascii="Times New Roman" w:hAnsi="Times New Roman"/>
          <w:noProof/>
          <w:szCs w:val="24"/>
        </w:rPr>
        <w:t xml:space="preserve"> </w:t>
      </w:r>
      <w:r>
        <w:rPr>
          <w:rFonts w:ascii="Times New Roman" w:hAnsi="Times New Roman"/>
          <w:noProof/>
          <w:szCs w:val="24"/>
        </w:rPr>
        <w:t>складу</w:t>
      </w:r>
      <w:r w:rsidR="0044734A">
        <w:rPr>
          <w:rFonts w:ascii="Times New Roman" w:hAnsi="Times New Roman"/>
          <w:noProof/>
          <w:szCs w:val="24"/>
        </w:rPr>
        <w:t xml:space="preserve"> </w:t>
      </w:r>
      <w:r>
        <w:rPr>
          <w:rFonts w:ascii="Times New Roman" w:hAnsi="Times New Roman"/>
          <w:noProof/>
          <w:szCs w:val="24"/>
        </w:rPr>
        <w:t>са</w:t>
      </w:r>
      <w:r w:rsidR="005853E4">
        <w:rPr>
          <w:rFonts w:ascii="Times New Roman" w:hAnsi="Times New Roman"/>
          <w:noProof/>
          <w:szCs w:val="24"/>
        </w:rPr>
        <w:t xml:space="preserve"> </w:t>
      </w:r>
      <w:r>
        <w:rPr>
          <w:rFonts w:ascii="Times New Roman" w:hAnsi="Times New Roman"/>
          <w:noProof/>
          <w:szCs w:val="24"/>
        </w:rPr>
        <w:t>обавезама</w:t>
      </w:r>
      <w:r w:rsidR="0042679D" w:rsidRPr="00C618FF">
        <w:rPr>
          <w:rFonts w:ascii="Times New Roman" w:hAnsi="Times New Roman"/>
          <w:noProof/>
          <w:szCs w:val="24"/>
        </w:rPr>
        <w:t xml:space="preserve"> </w:t>
      </w:r>
      <w:r>
        <w:rPr>
          <w:rFonts w:ascii="Times New Roman" w:hAnsi="Times New Roman"/>
          <w:noProof/>
          <w:szCs w:val="24"/>
        </w:rPr>
        <w:t>БиХ</w:t>
      </w:r>
      <w:r w:rsidR="0042679D" w:rsidRPr="00C618FF">
        <w:rPr>
          <w:rFonts w:ascii="Times New Roman" w:hAnsi="Times New Roman"/>
          <w:noProof/>
          <w:szCs w:val="24"/>
        </w:rPr>
        <w:t xml:space="preserve"> </w:t>
      </w:r>
      <w:r>
        <w:rPr>
          <w:rFonts w:ascii="Times New Roman" w:hAnsi="Times New Roman"/>
          <w:noProof/>
          <w:szCs w:val="24"/>
        </w:rPr>
        <w:t>које</w:t>
      </w:r>
      <w:r w:rsidR="0042679D" w:rsidRPr="00C618FF">
        <w:rPr>
          <w:rFonts w:ascii="Times New Roman" w:hAnsi="Times New Roman"/>
          <w:noProof/>
          <w:szCs w:val="24"/>
        </w:rPr>
        <w:t xml:space="preserve"> </w:t>
      </w:r>
      <w:r>
        <w:rPr>
          <w:rFonts w:ascii="Times New Roman" w:hAnsi="Times New Roman"/>
          <w:noProof/>
          <w:szCs w:val="24"/>
        </w:rPr>
        <w:t>проистичу</w:t>
      </w:r>
      <w:r w:rsidR="0042679D" w:rsidRPr="00C618FF">
        <w:rPr>
          <w:rFonts w:ascii="Times New Roman" w:hAnsi="Times New Roman"/>
          <w:noProof/>
          <w:szCs w:val="24"/>
        </w:rPr>
        <w:t xml:space="preserve"> </w:t>
      </w:r>
      <w:r>
        <w:rPr>
          <w:rFonts w:ascii="Times New Roman" w:hAnsi="Times New Roman"/>
          <w:noProof/>
          <w:szCs w:val="24"/>
        </w:rPr>
        <w:t>из</w:t>
      </w:r>
      <w:r w:rsidR="0042679D" w:rsidRPr="00C618FF">
        <w:rPr>
          <w:rFonts w:ascii="Times New Roman" w:hAnsi="Times New Roman"/>
          <w:noProof/>
          <w:szCs w:val="24"/>
        </w:rPr>
        <w:t xml:space="preserve"> </w:t>
      </w:r>
      <w:r>
        <w:rPr>
          <w:rFonts w:ascii="Times New Roman" w:hAnsi="Times New Roman"/>
          <w:noProof/>
          <w:szCs w:val="24"/>
        </w:rPr>
        <w:t>Споразума</w:t>
      </w:r>
      <w:r w:rsidR="0042679D" w:rsidRPr="00C618FF">
        <w:rPr>
          <w:rFonts w:ascii="Times New Roman" w:hAnsi="Times New Roman"/>
          <w:noProof/>
          <w:szCs w:val="24"/>
        </w:rPr>
        <w:t xml:space="preserve"> </w:t>
      </w:r>
      <w:r>
        <w:rPr>
          <w:rFonts w:ascii="Times New Roman" w:hAnsi="Times New Roman"/>
          <w:noProof/>
          <w:szCs w:val="24"/>
        </w:rPr>
        <w:t>о</w:t>
      </w:r>
      <w:r w:rsidR="0042679D" w:rsidRPr="00C618FF">
        <w:rPr>
          <w:rFonts w:ascii="Times New Roman" w:hAnsi="Times New Roman"/>
          <w:noProof/>
          <w:szCs w:val="24"/>
        </w:rPr>
        <w:t xml:space="preserve"> </w:t>
      </w:r>
      <w:r>
        <w:rPr>
          <w:rFonts w:ascii="Times New Roman" w:hAnsi="Times New Roman"/>
          <w:noProof/>
          <w:szCs w:val="24"/>
        </w:rPr>
        <w:t>стабилизацији</w:t>
      </w:r>
      <w:r w:rsidR="0042679D" w:rsidRPr="00C618FF">
        <w:rPr>
          <w:rFonts w:ascii="Times New Roman" w:hAnsi="Times New Roman"/>
          <w:noProof/>
          <w:szCs w:val="24"/>
        </w:rPr>
        <w:t xml:space="preserve"> </w:t>
      </w:r>
      <w:r>
        <w:rPr>
          <w:rFonts w:ascii="Times New Roman" w:hAnsi="Times New Roman"/>
          <w:noProof/>
          <w:szCs w:val="24"/>
        </w:rPr>
        <w:t>и</w:t>
      </w:r>
      <w:r w:rsidR="0042679D" w:rsidRPr="00C618FF">
        <w:rPr>
          <w:rFonts w:ascii="Times New Roman" w:hAnsi="Times New Roman"/>
          <w:noProof/>
          <w:szCs w:val="24"/>
        </w:rPr>
        <w:t xml:space="preserve"> </w:t>
      </w:r>
      <w:r>
        <w:rPr>
          <w:rFonts w:ascii="Times New Roman" w:hAnsi="Times New Roman"/>
          <w:noProof/>
          <w:szCs w:val="24"/>
        </w:rPr>
        <w:t>придруживању</w:t>
      </w:r>
      <w:r w:rsidR="0042679D" w:rsidRPr="00C618FF">
        <w:rPr>
          <w:rFonts w:ascii="Times New Roman" w:hAnsi="Times New Roman"/>
          <w:noProof/>
          <w:szCs w:val="24"/>
        </w:rPr>
        <w:t xml:space="preserve">. </w:t>
      </w:r>
      <w:r>
        <w:rPr>
          <w:rFonts w:ascii="Times New Roman" w:hAnsi="Times New Roman"/>
          <w:noProof/>
          <w:szCs w:val="24"/>
        </w:rPr>
        <w:t>У</w:t>
      </w:r>
      <w:r w:rsidR="0042679D" w:rsidRPr="00C618FF">
        <w:rPr>
          <w:rFonts w:ascii="Times New Roman" w:hAnsi="Times New Roman"/>
          <w:noProof/>
          <w:szCs w:val="24"/>
        </w:rPr>
        <w:t xml:space="preserve"> </w:t>
      </w:r>
      <w:r>
        <w:rPr>
          <w:rFonts w:ascii="Times New Roman" w:hAnsi="Times New Roman"/>
          <w:noProof/>
          <w:szCs w:val="24"/>
        </w:rPr>
        <w:t>Смјерницама</w:t>
      </w:r>
      <w:r w:rsidR="0042679D" w:rsidRPr="00C618FF">
        <w:rPr>
          <w:rFonts w:ascii="Times New Roman" w:hAnsi="Times New Roman"/>
          <w:noProof/>
          <w:szCs w:val="24"/>
        </w:rPr>
        <w:t xml:space="preserve"> </w:t>
      </w:r>
      <w:r>
        <w:rPr>
          <w:rFonts w:ascii="Times New Roman" w:hAnsi="Times New Roman"/>
          <w:noProof/>
          <w:szCs w:val="24"/>
        </w:rPr>
        <w:t>за</w:t>
      </w:r>
      <w:r w:rsidR="0042679D" w:rsidRPr="00C618FF">
        <w:rPr>
          <w:rFonts w:ascii="Times New Roman" w:hAnsi="Times New Roman"/>
          <w:noProof/>
          <w:szCs w:val="24"/>
        </w:rPr>
        <w:t xml:space="preserve"> </w:t>
      </w:r>
      <w:r>
        <w:rPr>
          <w:rFonts w:ascii="Times New Roman" w:hAnsi="Times New Roman"/>
          <w:noProof/>
          <w:szCs w:val="24"/>
        </w:rPr>
        <w:t>примјену</w:t>
      </w:r>
      <w:r w:rsidR="0042679D" w:rsidRPr="00C618FF">
        <w:rPr>
          <w:rFonts w:ascii="Times New Roman" w:hAnsi="Times New Roman"/>
          <w:noProof/>
          <w:szCs w:val="24"/>
        </w:rPr>
        <w:t xml:space="preserve"> </w:t>
      </w:r>
      <w:r>
        <w:rPr>
          <w:rFonts w:ascii="Times New Roman" w:hAnsi="Times New Roman"/>
          <w:noProof/>
          <w:szCs w:val="24"/>
        </w:rPr>
        <w:t>Кодекса</w:t>
      </w:r>
      <w:r w:rsidR="0042679D" w:rsidRPr="00C618FF">
        <w:rPr>
          <w:rFonts w:ascii="Times New Roman" w:hAnsi="Times New Roman"/>
          <w:noProof/>
          <w:szCs w:val="24"/>
        </w:rPr>
        <w:t xml:space="preserve"> </w:t>
      </w:r>
      <w:r>
        <w:rPr>
          <w:rFonts w:ascii="Times New Roman" w:hAnsi="Times New Roman"/>
          <w:noProof/>
          <w:szCs w:val="24"/>
        </w:rPr>
        <w:t>о</w:t>
      </w:r>
      <w:r w:rsidR="0042679D" w:rsidRPr="00C618FF">
        <w:rPr>
          <w:rFonts w:ascii="Times New Roman" w:hAnsi="Times New Roman"/>
          <w:noProof/>
          <w:szCs w:val="24"/>
        </w:rPr>
        <w:t xml:space="preserve"> </w:t>
      </w:r>
      <w:r>
        <w:rPr>
          <w:rFonts w:ascii="Times New Roman" w:hAnsi="Times New Roman"/>
          <w:noProof/>
          <w:szCs w:val="24"/>
        </w:rPr>
        <w:t>програмским</w:t>
      </w:r>
      <w:r w:rsidR="0042679D" w:rsidRPr="00C618FF">
        <w:rPr>
          <w:rFonts w:ascii="Times New Roman" w:hAnsi="Times New Roman"/>
          <w:noProof/>
          <w:szCs w:val="24"/>
        </w:rPr>
        <w:t xml:space="preserve"> </w:t>
      </w:r>
      <w:r>
        <w:rPr>
          <w:rFonts w:ascii="Times New Roman" w:hAnsi="Times New Roman"/>
          <w:noProof/>
          <w:szCs w:val="24"/>
        </w:rPr>
        <w:t>садржајима</w:t>
      </w:r>
      <w:r w:rsidR="0042679D" w:rsidRPr="00C618FF">
        <w:rPr>
          <w:rFonts w:ascii="Times New Roman" w:hAnsi="Times New Roman"/>
          <w:noProof/>
          <w:szCs w:val="24"/>
        </w:rPr>
        <w:t xml:space="preserve"> </w:t>
      </w:r>
      <w:r>
        <w:rPr>
          <w:rFonts w:ascii="Times New Roman" w:hAnsi="Times New Roman"/>
          <w:noProof/>
          <w:szCs w:val="24"/>
        </w:rPr>
        <w:t>посебан</w:t>
      </w:r>
      <w:r w:rsidR="0042679D" w:rsidRPr="00C618FF">
        <w:rPr>
          <w:rFonts w:ascii="Times New Roman" w:hAnsi="Times New Roman"/>
          <w:noProof/>
          <w:szCs w:val="24"/>
        </w:rPr>
        <w:t xml:space="preserve"> </w:t>
      </w:r>
      <w:r>
        <w:rPr>
          <w:rFonts w:ascii="Times New Roman" w:hAnsi="Times New Roman"/>
          <w:noProof/>
          <w:szCs w:val="24"/>
        </w:rPr>
        <w:t>акцент</w:t>
      </w:r>
      <w:r w:rsidR="0042679D" w:rsidRPr="00C618FF">
        <w:rPr>
          <w:rFonts w:ascii="Times New Roman" w:hAnsi="Times New Roman"/>
          <w:noProof/>
          <w:szCs w:val="24"/>
        </w:rPr>
        <w:t xml:space="preserve"> </w:t>
      </w:r>
      <w:r>
        <w:rPr>
          <w:rFonts w:ascii="Times New Roman" w:hAnsi="Times New Roman"/>
          <w:noProof/>
          <w:szCs w:val="24"/>
        </w:rPr>
        <w:t>стављен</w:t>
      </w:r>
      <w:r w:rsidR="0042679D" w:rsidRPr="00C618FF">
        <w:rPr>
          <w:rFonts w:ascii="Times New Roman" w:hAnsi="Times New Roman"/>
          <w:noProof/>
          <w:szCs w:val="24"/>
        </w:rPr>
        <w:t xml:space="preserve"> </w:t>
      </w:r>
      <w:r>
        <w:rPr>
          <w:rFonts w:ascii="Times New Roman" w:hAnsi="Times New Roman"/>
          <w:noProof/>
          <w:szCs w:val="24"/>
        </w:rPr>
        <w:t>је</w:t>
      </w:r>
      <w:r w:rsidR="0044734A" w:rsidRPr="00C618FF">
        <w:rPr>
          <w:rFonts w:ascii="Times New Roman" w:hAnsi="Times New Roman"/>
          <w:noProof/>
          <w:szCs w:val="24"/>
        </w:rPr>
        <w:t xml:space="preserve"> </w:t>
      </w:r>
      <w:r>
        <w:rPr>
          <w:rFonts w:ascii="Times New Roman" w:hAnsi="Times New Roman"/>
          <w:noProof/>
          <w:szCs w:val="24"/>
        </w:rPr>
        <w:t>на</w:t>
      </w:r>
      <w:r w:rsidR="0042679D" w:rsidRPr="00C618FF">
        <w:rPr>
          <w:rFonts w:ascii="Times New Roman" w:hAnsi="Times New Roman"/>
          <w:noProof/>
          <w:szCs w:val="24"/>
        </w:rPr>
        <w:t xml:space="preserve"> </w:t>
      </w:r>
      <w:r>
        <w:rPr>
          <w:rFonts w:ascii="Times New Roman" w:hAnsi="Times New Roman"/>
          <w:noProof/>
          <w:szCs w:val="24"/>
        </w:rPr>
        <w:t>тему</w:t>
      </w:r>
      <w:r w:rsidR="0042679D" w:rsidRPr="00C618FF">
        <w:rPr>
          <w:rFonts w:ascii="Times New Roman" w:hAnsi="Times New Roman"/>
          <w:noProof/>
          <w:szCs w:val="24"/>
        </w:rPr>
        <w:t xml:space="preserve"> </w:t>
      </w:r>
      <w:r>
        <w:rPr>
          <w:rFonts w:ascii="Times New Roman" w:hAnsi="Times New Roman"/>
          <w:noProof/>
          <w:szCs w:val="24"/>
        </w:rPr>
        <w:t>равноправности</w:t>
      </w:r>
      <w:r w:rsidR="0042679D" w:rsidRPr="00C618FF">
        <w:rPr>
          <w:rFonts w:ascii="Times New Roman" w:hAnsi="Times New Roman"/>
          <w:noProof/>
          <w:szCs w:val="24"/>
        </w:rPr>
        <w:t xml:space="preserve"> </w:t>
      </w:r>
      <w:r>
        <w:rPr>
          <w:rFonts w:ascii="Times New Roman" w:hAnsi="Times New Roman"/>
          <w:noProof/>
          <w:szCs w:val="24"/>
        </w:rPr>
        <w:t>полова</w:t>
      </w:r>
      <w:r w:rsidR="0042679D" w:rsidRPr="00C618FF">
        <w:rPr>
          <w:rFonts w:ascii="Times New Roman" w:hAnsi="Times New Roman"/>
          <w:noProof/>
          <w:szCs w:val="24"/>
        </w:rPr>
        <w:t xml:space="preserve"> </w:t>
      </w:r>
      <w:r>
        <w:rPr>
          <w:rFonts w:ascii="Times New Roman" w:hAnsi="Times New Roman"/>
          <w:noProof/>
          <w:szCs w:val="24"/>
        </w:rPr>
        <w:t>и</w:t>
      </w:r>
      <w:r w:rsidR="0042679D" w:rsidRPr="00C618FF">
        <w:rPr>
          <w:rFonts w:ascii="Times New Roman" w:hAnsi="Times New Roman"/>
          <w:noProof/>
          <w:szCs w:val="24"/>
        </w:rPr>
        <w:t xml:space="preserve"> </w:t>
      </w:r>
      <w:r>
        <w:rPr>
          <w:rFonts w:ascii="Times New Roman" w:hAnsi="Times New Roman"/>
          <w:noProof/>
          <w:szCs w:val="24"/>
        </w:rPr>
        <w:t>адекватног</w:t>
      </w:r>
      <w:r w:rsidR="0042679D" w:rsidRPr="00C618FF">
        <w:rPr>
          <w:rFonts w:ascii="Times New Roman" w:hAnsi="Times New Roman"/>
          <w:noProof/>
          <w:szCs w:val="24"/>
        </w:rPr>
        <w:t xml:space="preserve"> </w:t>
      </w:r>
      <w:r>
        <w:rPr>
          <w:rFonts w:ascii="Times New Roman" w:hAnsi="Times New Roman"/>
          <w:noProof/>
          <w:szCs w:val="24"/>
        </w:rPr>
        <w:t>медијског</w:t>
      </w:r>
      <w:r w:rsidR="0042679D" w:rsidRPr="00C618FF">
        <w:rPr>
          <w:rFonts w:ascii="Times New Roman" w:hAnsi="Times New Roman"/>
          <w:noProof/>
          <w:szCs w:val="24"/>
        </w:rPr>
        <w:t xml:space="preserve"> </w:t>
      </w:r>
      <w:r>
        <w:rPr>
          <w:rFonts w:ascii="Times New Roman" w:hAnsi="Times New Roman"/>
          <w:noProof/>
          <w:szCs w:val="24"/>
        </w:rPr>
        <w:t>извјештавања</w:t>
      </w:r>
      <w:r w:rsidR="0042679D" w:rsidRPr="00C618FF">
        <w:rPr>
          <w:rFonts w:ascii="Times New Roman" w:hAnsi="Times New Roman"/>
          <w:noProof/>
          <w:szCs w:val="24"/>
        </w:rPr>
        <w:t xml:space="preserve"> </w:t>
      </w:r>
      <w:r>
        <w:rPr>
          <w:rFonts w:ascii="Times New Roman" w:hAnsi="Times New Roman"/>
          <w:noProof/>
          <w:szCs w:val="24"/>
        </w:rPr>
        <w:t>на</w:t>
      </w:r>
      <w:r w:rsidR="0042679D" w:rsidRPr="00C618FF">
        <w:rPr>
          <w:rFonts w:ascii="Times New Roman" w:hAnsi="Times New Roman"/>
          <w:noProof/>
          <w:szCs w:val="24"/>
        </w:rPr>
        <w:t xml:space="preserve"> </w:t>
      </w:r>
      <w:r>
        <w:rPr>
          <w:rFonts w:ascii="Times New Roman" w:hAnsi="Times New Roman"/>
          <w:noProof/>
          <w:szCs w:val="24"/>
        </w:rPr>
        <w:t>родно</w:t>
      </w:r>
      <w:r w:rsidR="005853E4">
        <w:rPr>
          <w:rFonts w:ascii="Times New Roman" w:hAnsi="Times New Roman"/>
          <w:noProof/>
          <w:szCs w:val="24"/>
        </w:rPr>
        <w:t xml:space="preserve"> </w:t>
      </w:r>
      <w:r>
        <w:rPr>
          <w:rFonts w:ascii="Times New Roman" w:hAnsi="Times New Roman"/>
          <w:noProof/>
          <w:szCs w:val="24"/>
        </w:rPr>
        <w:t>засноване</w:t>
      </w:r>
      <w:r w:rsidR="0042679D" w:rsidRPr="00C618FF">
        <w:rPr>
          <w:rFonts w:ascii="Times New Roman" w:hAnsi="Times New Roman"/>
          <w:noProof/>
          <w:szCs w:val="24"/>
        </w:rPr>
        <w:t xml:space="preserve"> </w:t>
      </w:r>
      <w:r>
        <w:rPr>
          <w:rFonts w:ascii="Times New Roman" w:hAnsi="Times New Roman"/>
          <w:noProof/>
          <w:szCs w:val="24"/>
        </w:rPr>
        <w:t>теме</w:t>
      </w:r>
      <w:r w:rsidR="0042679D" w:rsidRPr="00C618FF">
        <w:rPr>
          <w:rFonts w:ascii="Times New Roman" w:hAnsi="Times New Roman"/>
          <w:noProof/>
          <w:szCs w:val="24"/>
        </w:rPr>
        <w:t xml:space="preserve">. </w:t>
      </w:r>
    </w:p>
    <w:p w:rsidR="0042679D" w:rsidRPr="00C618FF" w:rsidRDefault="0042679D" w:rsidP="0086268D">
      <w:pPr>
        <w:pStyle w:val="ListParagraph"/>
        <w:rPr>
          <w:rFonts w:ascii="Times New Roman" w:hAnsi="Times New Roman"/>
          <w:szCs w:val="24"/>
          <w:lang w:val="bs-Latn-BA"/>
        </w:rPr>
      </w:pPr>
    </w:p>
    <w:p w:rsidR="0042679D"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Федерацији</w:t>
      </w:r>
      <w:r w:rsidR="0042679D" w:rsidRPr="00295637">
        <w:rPr>
          <w:rFonts w:ascii="Times New Roman" w:hAnsi="Times New Roman"/>
          <w:szCs w:val="24"/>
          <w:lang w:val="bs-Latn-BA"/>
        </w:rPr>
        <w:t xml:space="preserve"> </w:t>
      </w:r>
      <w:r>
        <w:rPr>
          <w:rFonts w:ascii="Times New Roman" w:hAnsi="Times New Roman"/>
          <w:szCs w:val="24"/>
          <w:lang w:val="bs-Latn-BA"/>
        </w:rPr>
        <w:t>Босне</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Херцеговине</w:t>
      </w:r>
      <w:r w:rsidR="0042679D" w:rsidRPr="00295637">
        <w:rPr>
          <w:rFonts w:ascii="Times New Roman" w:hAnsi="Times New Roman"/>
          <w:szCs w:val="24"/>
          <w:lang w:val="bs-Latn-BA"/>
        </w:rPr>
        <w:t xml:space="preserve">, </w:t>
      </w:r>
      <w:r>
        <w:rPr>
          <w:rFonts w:ascii="Times New Roman" w:hAnsi="Times New Roman"/>
          <w:szCs w:val="24"/>
          <w:lang w:val="bs-Latn-BA"/>
        </w:rPr>
        <w:t>усвајањем</w:t>
      </w:r>
      <w:r w:rsidR="0042679D" w:rsidRPr="00295637">
        <w:rPr>
          <w:rFonts w:ascii="Times New Roman" w:hAnsi="Times New Roman"/>
          <w:szCs w:val="24"/>
          <w:lang w:val="bs-Latn-BA"/>
        </w:rPr>
        <w:t xml:space="preserve"> </w:t>
      </w:r>
      <w:r>
        <w:rPr>
          <w:rFonts w:ascii="Times New Roman" w:hAnsi="Times New Roman"/>
          <w:szCs w:val="24"/>
          <w:lang w:val="bs-Latn-BA"/>
        </w:rPr>
        <w:t>Стратегије</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превенцију</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борбу</w:t>
      </w:r>
      <w:r w:rsidR="0042679D" w:rsidRPr="00295637">
        <w:rPr>
          <w:rFonts w:ascii="Times New Roman" w:hAnsi="Times New Roman"/>
          <w:szCs w:val="24"/>
          <w:lang w:val="bs-Latn-BA"/>
        </w:rPr>
        <w:t xml:space="preserve"> </w:t>
      </w:r>
      <w:r>
        <w:rPr>
          <w:rFonts w:ascii="Times New Roman" w:hAnsi="Times New Roman"/>
          <w:szCs w:val="24"/>
          <w:lang w:val="bs-Latn-BA"/>
        </w:rPr>
        <w:t>против</w:t>
      </w:r>
      <w:r w:rsidR="0042679D" w:rsidRPr="00295637">
        <w:rPr>
          <w:rFonts w:ascii="Times New Roman" w:hAnsi="Times New Roman"/>
          <w:szCs w:val="24"/>
          <w:lang w:val="bs-Latn-BA"/>
        </w:rPr>
        <w:t xml:space="preserve"> </w:t>
      </w:r>
      <w:r>
        <w:rPr>
          <w:rFonts w:ascii="Times New Roman" w:hAnsi="Times New Roman"/>
          <w:szCs w:val="24"/>
          <w:lang w:val="bs-Latn-BA"/>
        </w:rPr>
        <w:t>насиља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породици</w:t>
      </w:r>
      <w:r w:rsidR="0042679D" w:rsidRPr="00295637">
        <w:rPr>
          <w:rFonts w:ascii="Times New Roman" w:hAnsi="Times New Roman"/>
          <w:szCs w:val="24"/>
          <w:lang w:val="bs-Latn-BA"/>
        </w:rPr>
        <w:t xml:space="preserve"> (2024</w:t>
      </w:r>
      <w:r w:rsidR="005853E4">
        <w:rPr>
          <w:rFonts w:ascii="Times New Roman" w:hAnsi="Times New Roman"/>
          <w:szCs w:val="24"/>
          <w:lang w:val="bs-Latn-BA"/>
        </w:rPr>
        <w:t>-</w:t>
      </w:r>
      <w:r w:rsidR="0042679D" w:rsidRPr="00295637">
        <w:rPr>
          <w:rFonts w:ascii="Times New Roman" w:hAnsi="Times New Roman"/>
          <w:szCs w:val="24"/>
          <w:lang w:val="bs-Latn-BA"/>
        </w:rPr>
        <w:t>2027</w:t>
      </w:r>
      <w:r w:rsidR="005853E4">
        <w:rPr>
          <w:rFonts w:ascii="Times New Roman" w:hAnsi="Times New Roman"/>
          <w:szCs w:val="24"/>
          <w:lang w:val="bs-Latn-BA"/>
        </w:rPr>
        <w:t xml:space="preserve">. </w:t>
      </w:r>
      <w:r>
        <w:rPr>
          <w:rFonts w:ascii="Times New Roman" w:hAnsi="Times New Roman"/>
          <w:szCs w:val="24"/>
          <w:lang w:val="bs-Latn-BA"/>
        </w:rPr>
        <w:t>година</w:t>
      </w:r>
      <w:r w:rsidR="0042679D" w:rsidRPr="00295637">
        <w:rPr>
          <w:rFonts w:ascii="Times New Roman" w:hAnsi="Times New Roman"/>
          <w:szCs w:val="24"/>
          <w:lang w:val="bs-Latn-BA"/>
        </w:rPr>
        <w:t xml:space="preserve">), </w:t>
      </w:r>
      <w:r>
        <w:rPr>
          <w:rFonts w:ascii="Times New Roman" w:hAnsi="Times New Roman"/>
          <w:szCs w:val="24"/>
          <w:lang w:val="bs-Latn-BA"/>
        </w:rPr>
        <w:t>створени</w:t>
      </w:r>
      <w:r w:rsidR="0042679D" w:rsidRPr="00295637">
        <w:rPr>
          <w:rFonts w:ascii="Times New Roman" w:hAnsi="Times New Roman"/>
          <w:szCs w:val="24"/>
          <w:lang w:val="bs-Latn-BA"/>
        </w:rPr>
        <w:t xml:space="preserve"> </w:t>
      </w:r>
      <w:r>
        <w:rPr>
          <w:rFonts w:ascii="Times New Roman" w:hAnsi="Times New Roman"/>
          <w:szCs w:val="24"/>
          <w:lang w:val="bs-Latn-BA"/>
        </w:rPr>
        <w:t>су</w:t>
      </w:r>
      <w:r w:rsidR="0042679D" w:rsidRPr="00295637">
        <w:rPr>
          <w:rFonts w:ascii="Times New Roman" w:hAnsi="Times New Roman"/>
          <w:szCs w:val="24"/>
          <w:lang w:val="bs-Latn-BA"/>
        </w:rPr>
        <w:t xml:space="preserve"> </w:t>
      </w:r>
      <w:r>
        <w:rPr>
          <w:rFonts w:ascii="Times New Roman" w:hAnsi="Times New Roman"/>
          <w:szCs w:val="24"/>
          <w:lang w:val="bs-Latn-BA"/>
        </w:rPr>
        <w:t>основи</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јачи</w:t>
      </w:r>
      <w:r w:rsidR="0042679D" w:rsidRPr="00295637">
        <w:rPr>
          <w:rFonts w:ascii="Times New Roman" w:hAnsi="Times New Roman"/>
          <w:szCs w:val="24"/>
          <w:lang w:val="bs-Latn-BA"/>
        </w:rPr>
        <w:t xml:space="preserve"> </w:t>
      </w:r>
      <w:r>
        <w:rPr>
          <w:rFonts w:ascii="Times New Roman" w:hAnsi="Times New Roman"/>
          <w:szCs w:val="24"/>
          <w:lang w:val="bs-Latn-BA"/>
        </w:rPr>
        <w:t>институционални</w:t>
      </w:r>
      <w:r w:rsidR="0042679D" w:rsidRPr="00295637">
        <w:rPr>
          <w:rFonts w:ascii="Times New Roman" w:hAnsi="Times New Roman"/>
          <w:szCs w:val="24"/>
          <w:lang w:val="bs-Latn-BA"/>
        </w:rPr>
        <w:t xml:space="preserve"> </w:t>
      </w:r>
      <w:r>
        <w:rPr>
          <w:rFonts w:ascii="Times New Roman" w:hAnsi="Times New Roman"/>
          <w:szCs w:val="24"/>
          <w:lang w:val="bs-Latn-BA"/>
        </w:rPr>
        <w:t>одговор</w:t>
      </w:r>
      <w:r w:rsidR="0042679D" w:rsidRPr="00295637">
        <w:rPr>
          <w:rFonts w:ascii="Times New Roman" w:hAnsi="Times New Roman"/>
          <w:szCs w:val="24"/>
          <w:lang w:val="bs-Latn-BA"/>
        </w:rPr>
        <w:t xml:space="preserve"> </w:t>
      </w:r>
      <w:r>
        <w:rPr>
          <w:rFonts w:ascii="Times New Roman" w:hAnsi="Times New Roman"/>
          <w:szCs w:val="24"/>
          <w:lang w:val="bs-Latn-BA"/>
        </w:rPr>
        <w:t>на</w:t>
      </w:r>
      <w:r w:rsidR="0042679D" w:rsidRPr="00295637">
        <w:rPr>
          <w:rFonts w:ascii="Times New Roman" w:hAnsi="Times New Roman"/>
          <w:szCs w:val="24"/>
          <w:lang w:val="bs-Latn-BA"/>
        </w:rPr>
        <w:t xml:space="preserve"> </w:t>
      </w:r>
      <w:r>
        <w:rPr>
          <w:rFonts w:ascii="Times New Roman" w:hAnsi="Times New Roman"/>
          <w:szCs w:val="24"/>
          <w:lang w:val="bs-Latn-BA"/>
        </w:rPr>
        <w:t>овај</w:t>
      </w:r>
      <w:r w:rsidR="0042679D" w:rsidRPr="00295637">
        <w:rPr>
          <w:rFonts w:ascii="Times New Roman" w:hAnsi="Times New Roman"/>
          <w:szCs w:val="24"/>
          <w:lang w:val="bs-Latn-BA"/>
        </w:rPr>
        <w:t xml:space="preserve"> </w:t>
      </w:r>
      <w:r>
        <w:rPr>
          <w:rFonts w:ascii="Times New Roman" w:hAnsi="Times New Roman"/>
          <w:szCs w:val="24"/>
          <w:lang w:val="bs-Latn-BA"/>
        </w:rPr>
        <w:t>проблем</w:t>
      </w:r>
      <w:r w:rsidR="0042679D" w:rsidRPr="00295637">
        <w:rPr>
          <w:rFonts w:ascii="Times New Roman" w:hAnsi="Times New Roman"/>
          <w:szCs w:val="24"/>
          <w:lang w:val="bs-Latn-BA"/>
        </w:rPr>
        <w:t xml:space="preserve">. </w:t>
      </w:r>
      <w:r w:rsidR="002C79FB">
        <w:rPr>
          <w:rFonts w:ascii="Times New Roman" w:hAnsi="Times New Roman"/>
          <w:szCs w:val="24"/>
          <w:lang w:val="bs-Latn-BA"/>
        </w:rPr>
        <w:t>Такође</w:t>
      </w:r>
      <w:r w:rsidR="0042679D" w:rsidRPr="00295637">
        <w:rPr>
          <w:rFonts w:ascii="Times New Roman" w:hAnsi="Times New Roman"/>
          <w:szCs w:val="24"/>
          <w:lang w:val="bs-Latn-BA"/>
        </w:rPr>
        <w:t xml:space="preserve">, </w:t>
      </w:r>
      <w:r>
        <w:rPr>
          <w:rFonts w:ascii="Times New Roman" w:hAnsi="Times New Roman"/>
          <w:szCs w:val="24"/>
          <w:lang w:val="bs-Latn-BA"/>
        </w:rPr>
        <w:t>једногласно</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усвојен</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нови</w:t>
      </w:r>
      <w:r w:rsidR="0042679D" w:rsidRPr="00295637">
        <w:rPr>
          <w:rFonts w:ascii="Times New Roman" w:hAnsi="Times New Roman"/>
          <w:szCs w:val="24"/>
          <w:lang w:val="bs-Latn-BA"/>
        </w:rPr>
        <w:t xml:space="preserve"> </w:t>
      </w:r>
      <w:r>
        <w:rPr>
          <w:rFonts w:ascii="Times New Roman" w:hAnsi="Times New Roman"/>
          <w:szCs w:val="24"/>
          <w:lang w:val="bs-Latn-BA"/>
        </w:rPr>
        <w:t>Закон</w:t>
      </w:r>
      <w:r w:rsidR="0042679D" w:rsidRPr="00295637">
        <w:rPr>
          <w:rFonts w:ascii="Times New Roman" w:hAnsi="Times New Roman"/>
          <w:szCs w:val="24"/>
          <w:lang w:val="bs-Latn-BA"/>
        </w:rPr>
        <w:t xml:space="preserve"> </w:t>
      </w:r>
      <w:r>
        <w:rPr>
          <w:rFonts w:ascii="Times New Roman" w:hAnsi="Times New Roman"/>
          <w:szCs w:val="24"/>
          <w:lang w:val="bs-Latn-BA"/>
        </w:rPr>
        <w:t>о</w:t>
      </w:r>
      <w:r w:rsidR="0042679D" w:rsidRPr="00295637">
        <w:rPr>
          <w:rFonts w:ascii="Times New Roman" w:hAnsi="Times New Roman"/>
          <w:szCs w:val="24"/>
          <w:lang w:val="bs-Latn-BA"/>
        </w:rPr>
        <w:t xml:space="preserve"> </w:t>
      </w:r>
      <w:r>
        <w:rPr>
          <w:rFonts w:ascii="Times New Roman" w:hAnsi="Times New Roman"/>
          <w:szCs w:val="24"/>
          <w:lang w:val="bs-Latn-BA"/>
        </w:rPr>
        <w:t>заштити</w:t>
      </w:r>
      <w:r w:rsidR="0042679D" w:rsidRPr="00295637">
        <w:rPr>
          <w:rFonts w:ascii="Times New Roman" w:hAnsi="Times New Roman"/>
          <w:szCs w:val="24"/>
          <w:lang w:val="bs-Latn-BA"/>
        </w:rPr>
        <w:t xml:space="preserve"> </w:t>
      </w:r>
      <w:r>
        <w:rPr>
          <w:rFonts w:ascii="Times New Roman" w:hAnsi="Times New Roman"/>
          <w:szCs w:val="24"/>
          <w:lang w:val="bs-Latn-BA"/>
        </w:rPr>
        <w:t>од</w:t>
      </w:r>
      <w:r w:rsidR="0042679D" w:rsidRPr="00295637">
        <w:rPr>
          <w:rFonts w:ascii="Times New Roman" w:hAnsi="Times New Roman"/>
          <w:szCs w:val="24"/>
          <w:lang w:val="bs-Latn-BA"/>
        </w:rPr>
        <w:t xml:space="preserve"> </w:t>
      </w:r>
      <w:r>
        <w:rPr>
          <w:rFonts w:ascii="Times New Roman" w:hAnsi="Times New Roman"/>
          <w:szCs w:val="24"/>
          <w:lang w:val="bs-Latn-BA"/>
        </w:rPr>
        <w:t>насиља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породици</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насиља</w:t>
      </w:r>
      <w:r w:rsidR="0042679D" w:rsidRPr="00295637">
        <w:rPr>
          <w:rFonts w:ascii="Times New Roman" w:hAnsi="Times New Roman"/>
          <w:szCs w:val="24"/>
          <w:lang w:val="bs-Latn-BA"/>
        </w:rPr>
        <w:t xml:space="preserve"> </w:t>
      </w:r>
      <w:r>
        <w:rPr>
          <w:rFonts w:ascii="Times New Roman" w:hAnsi="Times New Roman"/>
          <w:szCs w:val="24"/>
          <w:lang w:val="bs-Latn-BA"/>
        </w:rPr>
        <w:t>према</w:t>
      </w:r>
      <w:r w:rsidR="0042679D" w:rsidRPr="00295637">
        <w:rPr>
          <w:rFonts w:ascii="Times New Roman" w:hAnsi="Times New Roman"/>
          <w:szCs w:val="24"/>
          <w:lang w:val="bs-Latn-BA"/>
        </w:rPr>
        <w:t xml:space="preserve"> </w:t>
      </w:r>
      <w:r>
        <w:rPr>
          <w:rFonts w:ascii="Times New Roman" w:hAnsi="Times New Roman"/>
          <w:szCs w:val="24"/>
          <w:lang w:val="bs-Latn-BA"/>
        </w:rPr>
        <w:t>женама</w:t>
      </w:r>
      <w:r w:rsidR="0042679D" w:rsidRPr="00295637">
        <w:rPr>
          <w:rFonts w:ascii="Times New Roman" w:hAnsi="Times New Roman"/>
          <w:szCs w:val="24"/>
          <w:lang w:val="bs-Latn-BA"/>
        </w:rPr>
        <w:t xml:space="preserve">, </w:t>
      </w:r>
      <w:r>
        <w:rPr>
          <w:rFonts w:ascii="Times New Roman" w:hAnsi="Times New Roman"/>
          <w:szCs w:val="24"/>
          <w:lang w:val="bs-Latn-BA"/>
        </w:rPr>
        <w:t>који</w:t>
      </w:r>
      <w:r w:rsidR="0042679D" w:rsidRPr="00295637">
        <w:rPr>
          <w:rFonts w:ascii="Times New Roman" w:hAnsi="Times New Roman"/>
          <w:szCs w:val="24"/>
          <w:lang w:val="bs-Latn-BA"/>
        </w:rPr>
        <w:t xml:space="preserve"> </w:t>
      </w:r>
      <w:r>
        <w:rPr>
          <w:rFonts w:ascii="Times New Roman" w:hAnsi="Times New Roman"/>
          <w:szCs w:val="24"/>
          <w:lang w:val="bs-Latn-BA"/>
        </w:rPr>
        <w:t>о</w:t>
      </w:r>
      <w:r w:rsidR="002C79FB">
        <w:rPr>
          <w:rFonts w:ascii="Times New Roman" w:hAnsi="Times New Roman"/>
          <w:szCs w:val="24"/>
          <w:lang w:val="sr-Cyrl-BA"/>
        </w:rPr>
        <w:t>безбјеђује</w:t>
      </w:r>
      <w:r w:rsidR="0042679D" w:rsidRPr="00295637">
        <w:rPr>
          <w:rFonts w:ascii="Times New Roman" w:hAnsi="Times New Roman"/>
          <w:szCs w:val="24"/>
          <w:lang w:val="bs-Latn-BA"/>
        </w:rPr>
        <w:t xml:space="preserve"> </w:t>
      </w:r>
      <w:r>
        <w:rPr>
          <w:rFonts w:ascii="Times New Roman" w:hAnsi="Times New Roman"/>
          <w:szCs w:val="24"/>
          <w:lang w:val="bs-Latn-BA"/>
        </w:rPr>
        <w:t>ефикасније</w:t>
      </w:r>
      <w:r w:rsidR="0042679D" w:rsidRPr="00295637">
        <w:rPr>
          <w:rFonts w:ascii="Times New Roman" w:hAnsi="Times New Roman"/>
          <w:szCs w:val="24"/>
          <w:lang w:val="bs-Latn-BA"/>
        </w:rPr>
        <w:t xml:space="preserve"> </w:t>
      </w:r>
      <w:r>
        <w:rPr>
          <w:rFonts w:ascii="Times New Roman" w:hAnsi="Times New Roman"/>
          <w:szCs w:val="24"/>
          <w:lang w:val="bs-Latn-BA"/>
        </w:rPr>
        <w:t>механизме</w:t>
      </w:r>
      <w:r w:rsidR="0042679D" w:rsidRPr="00295637">
        <w:rPr>
          <w:rFonts w:ascii="Times New Roman" w:hAnsi="Times New Roman"/>
          <w:szCs w:val="24"/>
          <w:lang w:val="bs-Latn-BA"/>
        </w:rPr>
        <w:t xml:space="preserve"> </w:t>
      </w:r>
      <w:r>
        <w:rPr>
          <w:rFonts w:ascii="Times New Roman" w:hAnsi="Times New Roman"/>
          <w:szCs w:val="24"/>
          <w:lang w:val="bs-Latn-BA"/>
        </w:rPr>
        <w:t>заштите</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подршке</w:t>
      </w:r>
      <w:r w:rsidR="0042679D" w:rsidRPr="00295637">
        <w:rPr>
          <w:rFonts w:ascii="Times New Roman" w:hAnsi="Times New Roman"/>
          <w:szCs w:val="24"/>
          <w:lang w:val="bs-Latn-BA"/>
        </w:rPr>
        <w:t xml:space="preserve"> </w:t>
      </w:r>
      <w:r>
        <w:rPr>
          <w:rFonts w:ascii="Times New Roman" w:hAnsi="Times New Roman"/>
          <w:szCs w:val="24"/>
          <w:lang w:val="bs-Latn-BA"/>
        </w:rPr>
        <w:t>жртвама</w:t>
      </w:r>
      <w:r w:rsidR="0042679D" w:rsidRPr="00295637">
        <w:rPr>
          <w:rFonts w:ascii="Times New Roman" w:hAnsi="Times New Roman"/>
          <w:szCs w:val="24"/>
          <w:lang w:val="bs-Latn-BA"/>
        </w:rPr>
        <w:t>.</w:t>
      </w:r>
    </w:p>
    <w:p w:rsidR="0042679D" w:rsidRPr="00141F3F" w:rsidRDefault="0042679D" w:rsidP="0086268D">
      <w:pPr>
        <w:pStyle w:val="ListParagraph"/>
        <w:rPr>
          <w:rFonts w:ascii="Times New Roman" w:hAnsi="Times New Roman"/>
          <w:szCs w:val="24"/>
          <w:lang w:val="bs-Latn-BA"/>
        </w:rPr>
      </w:pPr>
    </w:p>
    <w:p w:rsidR="0042679D" w:rsidRPr="00141F3F"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lang w:val="bs-Latn-BA"/>
        </w:rPr>
        <w:t>Влада</w:t>
      </w:r>
      <w:r w:rsidR="005853E4">
        <w:rPr>
          <w:rFonts w:ascii="Times New Roman" w:hAnsi="Times New Roman"/>
          <w:lang w:val="bs-Latn-BA"/>
        </w:rPr>
        <w:t xml:space="preserve"> </w:t>
      </w:r>
      <w:r>
        <w:rPr>
          <w:rFonts w:ascii="Times New Roman" w:hAnsi="Times New Roman"/>
          <w:lang w:val="bs-Latn-BA"/>
        </w:rPr>
        <w:t>ФБиХ</w:t>
      </w:r>
      <w:r w:rsidR="0042679D" w:rsidRPr="00141F3F">
        <w:rPr>
          <w:rFonts w:ascii="Times New Roman" w:hAnsi="Times New Roman"/>
          <w:lang w:val="bs-Latn-BA"/>
        </w:rPr>
        <w:t xml:space="preserve"> </w:t>
      </w:r>
      <w:r w:rsidR="002C79FB">
        <w:rPr>
          <w:rFonts w:ascii="Times New Roman" w:hAnsi="Times New Roman"/>
          <w:lang w:val="bs-Latn-BA"/>
        </w:rPr>
        <w:t xml:space="preserve">је </w:t>
      </w:r>
      <w:r>
        <w:rPr>
          <w:rFonts w:ascii="Times New Roman" w:hAnsi="Times New Roman"/>
          <w:lang w:val="bs-Latn-BA"/>
        </w:rPr>
        <w:t>усвојила</w:t>
      </w:r>
      <w:r w:rsidR="0042679D" w:rsidRPr="00141F3F">
        <w:rPr>
          <w:rFonts w:ascii="Times New Roman" w:hAnsi="Times New Roman"/>
          <w:lang w:val="bs-Latn-BA"/>
        </w:rPr>
        <w:t xml:space="preserve"> </w:t>
      </w:r>
      <w:r>
        <w:rPr>
          <w:rFonts w:ascii="Times New Roman" w:hAnsi="Times New Roman"/>
          <w:bCs/>
          <w:lang w:val="bs-Latn-BA"/>
        </w:rPr>
        <w:t>Информацију</w:t>
      </w:r>
      <w:r w:rsidR="0042679D" w:rsidRPr="00141F3F">
        <w:rPr>
          <w:rFonts w:ascii="Times New Roman" w:hAnsi="Times New Roman"/>
          <w:bCs/>
          <w:lang w:val="bs-Latn-BA"/>
        </w:rPr>
        <w:t xml:space="preserve"> </w:t>
      </w:r>
      <w:r>
        <w:rPr>
          <w:rFonts w:ascii="Times New Roman" w:hAnsi="Times New Roman"/>
          <w:bCs/>
          <w:lang w:val="bs-Latn-BA"/>
        </w:rPr>
        <w:t>о</w:t>
      </w:r>
      <w:r w:rsidR="0042679D" w:rsidRPr="00141F3F">
        <w:rPr>
          <w:rFonts w:ascii="Times New Roman" w:hAnsi="Times New Roman"/>
          <w:bCs/>
          <w:lang w:val="bs-Latn-BA"/>
        </w:rPr>
        <w:t xml:space="preserve"> </w:t>
      </w:r>
      <w:r>
        <w:rPr>
          <w:rFonts w:ascii="Times New Roman" w:hAnsi="Times New Roman"/>
          <w:bCs/>
          <w:lang w:val="bs-Latn-BA"/>
        </w:rPr>
        <w:t>Препорукама</w:t>
      </w:r>
      <w:r w:rsidR="0042679D" w:rsidRPr="00141F3F">
        <w:rPr>
          <w:rFonts w:ascii="Times New Roman" w:hAnsi="Times New Roman"/>
          <w:bCs/>
          <w:lang w:val="bs-Latn-BA"/>
        </w:rPr>
        <w:t xml:space="preserve"> </w:t>
      </w:r>
      <w:r>
        <w:rPr>
          <w:rFonts w:ascii="Times New Roman" w:hAnsi="Times New Roman"/>
          <w:bCs/>
          <w:lang w:val="bs-Latn-BA"/>
        </w:rPr>
        <w:t>Комитета</w:t>
      </w:r>
      <w:r w:rsidR="0042679D" w:rsidRPr="00141F3F">
        <w:rPr>
          <w:rFonts w:ascii="Times New Roman" w:hAnsi="Times New Roman"/>
          <w:bCs/>
          <w:lang w:val="bs-Latn-BA"/>
        </w:rPr>
        <w:t xml:space="preserve"> </w:t>
      </w:r>
      <w:r>
        <w:rPr>
          <w:rFonts w:ascii="Times New Roman" w:hAnsi="Times New Roman"/>
          <w:bCs/>
          <w:lang w:val="bs-Latn-BA"/>
        </w:rPr>
        <w:t>потписница</w:t>
      </w:r>
      <w:r w:rsidR="0042679D" w:rsidRPr="00141F3F">
        <w:rPr>
          <w:rFonts w:ascii="Times New Roman" w:hAnsi="Times New Roman"/>
          <w:bCs/>
          <w:lang w:val="bs-Latn-BA"/>
        </w:rPr>
        <w:t xml:space="preserve"> </w:t>
      </w:r>
      <w:r>
        <w:rPr>
          <w:rFonts w:ascii="Times New Roman" w:hAnsi="Times New Roman"/>
          <w:bCs/>
          <w:lang w:val="bs-Latn-BA"/>
        </w:rPr>
        <w:t>Истанбулске</w:t>
      </w:r>
      <w:r w:rsidR="0042679D" w:rsidRPr="00141F3F">
        <w:rPr>
          <w:rFonts w:ascii="Times New Roman" w:hAnsi="Times New Roman"/>
          <w:bCs/>
          <w:lang w:val="bs-Latn-BA"/>
        </w:rPr>
        <w:t xml:space="preserve"> </w:t>
      </w:r>
      <w:r>
        <w:rPr>
          <w:rFonts w:ascii="Times New Roman" w:hAnsi="Times New Roman"/>
          <w:bCs/>
          <w:lang w:val="bs-Latn-BA"/>
        </w:rPr>
        <w:t>конвенције</w:t>
      </w:r>
      <w:r w:rsidR="0042679D" w:rsidRPr="00141F3F">
        <w:rPr>
          <w:rFonts w:ascii="Times New Roman" w:hAnsi="Times New Roman"/>
          <w:bCs/>
          <w:lang w:val="bs-Latn-BA"/>
        </w:rPr>
        <w:t xml:space="preserve"> </w:t>
      </w:r>
      <w:r>
        <w:rPr>
          <w:rFonts w:ascii="Times New Roman" w:hAnsi="Times New Roman"/>
          <w:bCs/>
          <w:lang w:val="bs-Latn-BA"/>
        </w:rPr>
        <w:t>и</w:t>
      </w:r>
      <w:r w:rsidR="0042679D" w:rsidRPr="00141F3F">
        <w:rPr>
          <w:rFonts w:ascii="Times New Roman" w:hAnsi="Times New Roman"/>
          <w:bCs/>
          <w:lang w:val="bs-Latn-BA"/>
        </w:rPr>
        <w:t xml:space="preserve"> </w:t>
      </w:r>
      <w:r>
        <w:rPr>
          <w:rFonts w:ascii="Times New Roman" w:hAnsi="Times New Roman"/>
          <w:bCs/>
          <w:lang w:val="bs-Latn-BA"/>
        </w:rPr>
        <w:t>Извјештају</w:t>
      </w:r>
      <w:r w:rsidR="0042679D" w:rsidRPr="00141F3F">
        <w:rPr>
          <w:rFonts w:ascii="Times New Roman" w:hAnsi="Times New Roman"/>
          <w:bCs/>
          <w:lang w:val="bs-Latn-BA"/>
        </w:rPr>
        <w:t xml:space="preserve"> </w:t>
      </w:r>
      <w:r w:rsidR="003601A7">
        <w:rPr>
          <w:rFonts w:ascii="Times New Roman" w:hAnsi="Times New Roman"/>
          <w:bCs/>
          <w:lang w:val="sr-Cyrl-BA"/>
        </w:rPr>
        <w:t>К</w:t>
      </w:r>
      <w:r w:rsidR="003601A7">
        <w:rPr>
          <w:rFonts w:ascii="Times New Roman" w:hAnsi="Times New Roman"/>
          <w:bCs/>
          <w:lang w:val="bs-Latn-BA"/>
        </w:rPr>
        <w:t xml:space="preserve">омитета </w:t>
      </w:r>
      <w:r>
        <w:rPr>
          <w:rFonts w:ascii="Times New Roman" w:hAnsi="Times New Roman"/>
          <w:bCs/>
          <w:lang w:val="bs-Latn-BA"/>
        </w:rPr>
        <w:t>ГРЕВИО</w:t>
      </w:r>
      <w:r w:rsidR="0042679D" w:rsidRPr="00141F3F">
        <w:rPr>
          <w:rFonts w:ascii="Times New Roman" w:hAnsi="Times New Roman"/>
          <w:lang w:val="bs-Latn-BA"/>
        </w:rPr>
        <w:t xml:space="preserve">, </w:t>
      </w:r>
      <w:r>
        <w:rPr>
          <w:rFonts w:ascii="Times New Roman" w:hAnsi="Times New Roman"/>
          <w:lang w:val="bs-Latn-BA"/>
        </w:rPr>
        <w:t>те</w:t>
      </w:r>
      <w:r w:rsidR="0042679D" w:rsidRPr="00141F3F">
        <w:rPr>
          <w:rFonts w:ascii="Times New Roman" w:hAnsi="Times New Roman"/>
          <w:lang w:val="bs-Latn-BA"/>
        </w:rPr>
        <w:t xml:space="preserve"> </w:t>
      </w:r>
      <w:r>
        <w:rPr>
          <w:rFonts w:ascii="Times New Roman" w:hAnsi="Times New Roman"/>
          <w:lang w:val="bs-Latn-BA"/>
        </w:rPr>
        <w:t>донијела</w:t>
      </w:r>
      <w:r w:rsidR="0042679D" w:rsidRPr="00141F3F">
        <w:rPr>
          <w:rFonts w:ascii="Times New Roman" w:hAnsi="Times New Roman"/>
          <w:lang w:val="bs-Latn-BA"/>
        </w:rPr>
        <w:t xml:space="preserve"> </w:t>
      </w:r>
      <w:r>
        <w:rPr>
          <w:rFonts w:ascii="Times New Roman" w:hAnsi="Times New Roman"/>
          <w:bCs/>
          <w:lang w:val="bs-Latn-BA"/>
        </w:rPr>
        <w:t>Рјешење</w:t>
      </w:r>
      <w:r w:rsidR="0042679D" w:rsidRPr="00141F3F">
        <w:rPr>
          <w:rFonts w:ascii="Times New Roman" w:hAnsi="Times New Roman"/>
          <w:bCs/>
          <w:lang w:val="bs-Latn-BA"/>
        </w:rPr>
        <w:t xml:space="preserve"> </w:t>
      </w:r>
      <w:r>
        <w:rPr>
          <w:rFonts w:ascii="Times New Roman" w:hAnsi="Times New Roman"/>
          <w:bCs/>
          <w:lang w:val="bs-Latn-BA"/>
        </w:rPr>
        <w:t>о</w:t>
      </w:r>
      <w:r w:rsidR="0042679D" w:rsidRPr="00141F3F">
        <w:rPr>
          <w:rFonts w:ascii="Times New Roman" w:hAnsi="Times New Roman"/>
          <w:bCs/>
          <w:lang w:val="bs-Latn-BA"/>
        </w:rPr>
        <w:t xml:space="preserve"> </w:t>
      </w:r>
      <w:r>
        <w:rPr>
          <w:rFonts w:ascii="Times New Roman" w:hAnsi="Times New Roman"/>
          <w:bCs/>
          <w:lang w:val="bs-Latn-BA"/>
        </w:rPr>
        <w:t>формирању</w:t>
      </w:r>
      <w:r w:rsidR="0042679D" w:rsidRPr="00141F3F">
        <w:rPr>
          <w:rFonts w:ascii="Times New Roman" w:hAnsi="Times New Roman"/>
          <w:bCs/>
          <w:lang w:val="bs-Latn-BA"/>
        </w:rPr>
        <w:t xml:space="preserve"> </w:t>
      </w:r>
      <w:r>
        <w:rPr>
          <w:rFonts w:ascii="Times New Roman" w:hAnsi="Times New Roman"/>
          <w:bCs/>
          <w:lang w:val="bs-Latn-BA"/>
        </w:rPr>
        <w:t>Координаци</w:t>
      </w:r>
      <w:r w:rsidR="002C79FB">
        <w:rPr>
          <w:rFonts w:ascii="Times New Roman" w:hAnsi="Times New Roman"/>
          <w:bCs/>
          <w:lang w:val="sr-Cyrl-BA"/>
        </w:rPr>
        <w:t>оног</w:t>
      </w:r>
      <w:r w:rsidR="0042679D" w:rsidRPr="00141F3F">
        <w:rPr>
          <w:rFonts w:ascii="Times New Roman" w:hAnsi="Times New Roman"/>
          <w:bCs/>
          <w:lang w:val="bs-Latn-BA"/>
        </w:rPr>
        <w:t xml:space="preserve"> </w:t>
      </w:r>
      <w:r>
        <w:rPr>
          <w:rFonts w:ascii="Times New Roman" w:hAnsi="Times New Roman"/>
          <w:bCs/>
          <w:lang w:val="bs-Latn-BA"/>
        </w:rPr>
        <w:t>органа</w:t>
      </w:r>
      <w:r w:rsidR="0042679D" w:rsidRPr="00141F3F">
        <w:rPr>
          <w:rFonts w:ascii="Times New Roman" w:hAnsi="Times New Roman"/>
          <w:bCs/>
          <w:lang w:val="bs-Latn-BA"/>
        </w:rPr>
        <w:t xml:space="preserve"> </w:t>
      </w:r>
      <w:r>
        <w:rPr>
          <w:rFonts w:ascii="Times New Roman" w:hAnsi="Times New Roman"/>
          <w:bCs/>
          <w:lang w:val="bs-Latn-BA"/>
        </w:rPr>
        <w:t>за</w:t>
      </w:r>
      <w:r w:rsidR="0042679D" w:rsidRPr="00141F3F">
        <w:rPr>
          <w:rFonts w:ascii="Times New Roman" w:hAnsi="Times New Roman"/>
          <w:bCs/>
          <w:lang w:val="bs-Latn-BA"/>
        </w:rPr>
        <w:t xml:space="preserve"> </w:t>
      </w:r>
      <w:r>
        <w:rPr>
          <w:rFonts w:ascii="Times New Roman" w:hAnsi="Times New Roman"/>
          <w:bCs/>
          <w:lang w:val="bs-Latn-BA"/>
        </w:rPr>
        <w:t>праћење</w:t>
      </w:r>
      <w:r w:rsidR="0042679D" w:rsidRPr="00141F3F">
        <w:rPr>
          <w:rFonts w:ascii="Times New Roman" w:hAnsi="Times New Roman"/>
          <w:bCs/>
          <w:lang w:val="bs-Latn-BA"/>
        </w:rPr>
        <w:t xml:space="preserve"> </w:t>
      </w:r>
      <w:r w:rsidR="002C79FB">
        <w:rPr>
          <w:rFonts w:ascii="Times New Roman" w:hAnsi="Times New Roman"/>
          <w:bCs/>
          <w:lang w:val="sr-Cyrl-BA"/>
        </w:rPr>
        <w:t>спровођења</w:t>
      </w:r>
      <w:r w:rsidR="0042679D" w:rsidRPr="00141F3F">
        <w:rPr>
          <w:rFonts w:ascii="Times New Roman" w:hAnsi="Times New Roman"/>
          <w:bCs/>
          <w:lang w:val="bs-Latn-BA"/>
        </w:rPr>
        <w:t xml:space="preserve"> </w:t>
      </w:r>
      <w:r>
        <w:rPr>
          <w:rFonts w:ascii="Times New Roman" w:hAnsi="Times New Roman"/>
          <w:bCs/>
          <w:lang w:val="bs-Latn-BA"/>
        </w:rPr>
        <w:t>Стратегије</w:t>
      </w:r>
      <w:r w:rsidR="0042679D" w:rsidRPr="00141F3F">
        <w:rPr>
          <w:rFonts w:ascii="Times New Roman" w:hAnsi="Times New Roman"/>
          <w:bCs/>
          <w:lang w:val="bs-Latn-BA"/>
        </w:rPr>
        <w:t xml:space="preserve"> </w:t>
      </w:r>
      <w:r>
        <w:rPr>
          <w:rFonts w:ascii="Times New Roman" w:hAnsi="Times New Roman"/>
          <w:bCs/>
          <w:lang w:val="bs-Latn-BA"/>
        </w:rPr>
        <w:t>за</w:t>
      </w:r>
      <w:r w:rsidR="0042679D" w:rsidRPr="00141F3F">
        <w:rPr>
          <w:rFonts w:ascii="Times New Roman" w:hAnsi="Times New Roman"/>
          <w:bCs/>
          <w:lang w:val="bs-Latn-BA"/>
        </w:rPr>
        <w:t xml:space="preserve"> </w:t>
      </w:r>
      <w:r>
        <w:rPr>
          <w:rFonts w:ascii="Times New Roman" w:hAnsi="Times New Roman"/>
          <w:bCs/>
          <w:lang w:val="bs-Latn-BA"/>
        </w:rPr>
        <w:t>превенцију</w:t>
      </w:r>
      <w:r w:rsidR="0042679D" w:rsidRPr="00141F3F">
        <w:rPr>
          <w:rFonts w:ascii="Times New Roman" w:hAnsi="Times New Roman"/>
          <w:bCs/>
          <w:lang w:val="bs-Latn-BA"/>
        </w:rPr>
        <w:t xml:space="preserve"> </w:t>
      </w:r>
      <w:r>
        <w:rPr>
          <w:rFonts w:ascii="Times New Roman" w:hAnsi="Times New Roman"/>
          <w:bCs/>
          <w:lang w:val="bs-Latn-BA"/>
        </w:rPr>
        <w:t>и</w:t>
      </w:r>
      <w:r w:rsidR="0042679D" w:rsidRPr="00141F3F">
        <w:rPr>
          <w:rFonts w:ascii="Times New Roman" w:hAnsi="Times New Roman"/>
          <w:bCs/>
          <w:lang w:val="bs-Latn-BA"/>
        </w:rPr>
        <w:t xml:space="preserve"> </w:t>
      </w:r>
      <w:r>
        <w:rPr>
          <w:rFonts w:ascii="Times New Roman" w:hAnsi="Times New Roman"/>
          <w:bCs/>
          <w:lang w:val="bs-Latn-BA"/>
        </w:rPr>
        <w:t>борбу</w:t>
      </w:r>
      <w:r w:rsidR="0042679D" w:rsidRPr="00141F3F">
        <w:rPr>
          <w:rFonts w:ascii="Times New Roman" w:hAnsi="Times New Roman"/>
          <w:bCs/>
          <w:lang w:val="bs-Latn-BA"/>
        </w:rPr>
        <w:t xml:space="preserve"> </w:t>
      </w:r>
      <w:r>
        <w:rPr>
          <w:rFonts w:ascii="Times New Roman" w:hAnsi="Times New Roman"/>
          <w:bCs/>
          <w:lang w:val="bs-Latn-BA"/>
        </w:rPr>
        <w:t>против</w:t>
      </w:r>
      <w:r w:rsidR="0042679D" w:rsidRPr="00141F3F">
        <w:rPr>
          <w:rFonts w:ascii="Times New Roman" w:hAnsi="Times New Roman"/>
          <w:bCs/>
          <w:lang w:val="bs-Latn-BA"/>
        </w:rPr>
        <w:t xml:space="preserve"> </w:t>
      </w:r>
      <w:r>
        <w:rPr>
          <w:rFonts w:ascii="Times New Roman" w:hAnsi="Times New Roman"/>
          <w:bCs/>
          <w:lang w:val="bs-Latn-BA"/>
        </w:rPr>
        <w:t>насиља</w:t>
      </w:r>
      <w:r w:rsidR="0042679D" w:rsidRPr="00141F3F">
        <w:rPr>
          <w:rFonts w:ascii="Times New Roman" w:hAnsi="Times New Roman"/>
          <w:bCs/>
          <w:lang w:val="bs-Latn-BA"/>
        </w:rPr>
        <w:t xml:space="preserve"> </w:t>
      </w:r>
      <w:r>
        <w:rPr>
          <w:rFonts w:ascii="Times New Roman" w:hAnsi="Times New Roman"/>
          <w:bCs/>
          <w:lang w:val="bs-Latn-BA"/>
        </w:rPr>
        <w:t>у</w:t>
      </w:r>
      <w:r w:rsidR="0042679D" w:rsidRPr="00141F3F">
        <w:rPr>
          <w:rFonts w:ascii="Times New Roman" w:hAnsi="Times New Roman"/>
          <w:bCs/>
          <w:lang w:val="bs-Latn-BA"/>
        </w:rPr>
        <w:t xml:space="preserve"> </w:t>
      </w:r>
      <w:r>
        <w:rPr>
          <w:rFonts w:ascii="Times New Roman" w:hAnsi="Times New Roman"/>
          <w:bCs/>
          <w:lang w:val="bs-Latn-BA"/>
        </w:rPr>
        <w:t>породици</w:t>
      </w:r>
      <w:r w:rsidR="0042679D" w:rsidRPr="00141F3F">
        <w:rPr>
          <w:rFonts w:ascii="Times New Roman" w:hAnsi="Times New Roman"/>
          <w:bCs/>
          <w:lang w:val="bs-Latn-BA"/>
        </w:rPr>
        <w:t xml:space="preserve"> 2024</w:t>
      </w:r>
      <w:r w:rsidR="005853E4">
        <w:rPr>
          <w:rFonts w:ascii="Times New Roman" w:hAnsi="Times New Roman"/>
          <w:bCs/>
          <w:lang w:val="bs-Latn-BA"/>
        </w:rPr>
        <w:t>-</w:t>
      </w:r>
      <w:r w:rsidR="0042679D" w:rsidRPr="00141F3F">
        <w:rPr>
          <w:rFonts w:ascii="Times New Roman" w:hAnsi="Times New Roman"/>
          <w:bCs/>
          <w:lang w:val="bs-Latn-BA"/>
        </w:rPr>
        <w:t>2027</w:t>
      </w:r>
      <w:r w:rsidR="005853E4">
        <w:rPr>
          <w:rFonts w:ascii="Times New Roman" w:hAnsi="Times New Roman"/>
          <w:bCs/>
          <w:lang w:val="bs-Latn-BA"/>
        </w:rPr>
        <w:t xml:space="preserve">. </w:t>
      </w:r>
      <w:r>
        <w:rPr>
          <w:rFonts w:ascii="Times New Roman" w:hAnsi="Times New Roman"/>
          <w:bCs/>
          <w:lang w:val="bs-Latn-BA"/>
        </w:rPr>
        <w:t>година</w:t>
      </w:r>
      <w:r w:rsidR="0042679D" w:rsidRPr="00141F3F">
        <w:rPr>
          <w:rFonts w:ascii="Times New Roman" w:hAnsi="Times New Roman"/>
          <w:lang w:val="bs-Latn-BA"/>
        </w:rPr>
        <w:t xml:space="preserve"> </w:t>
      </w:r>
      <w:r>
        <w:rPr>
          <w:rFonts w:ascii="Times New Roman" w:hAnsi="Times New Roman"/>
          <w:lang w:val="bs-Latn-BA"/>
        </w:rPr>
        <w:t>које</w:t>
      </w:r>
      <w:r w:rsidR="0042679D" w:rsidRPr="00141F3F">
        <w:rPr>
          <w:rFonts w:ascii="Times New Roman" w:hAnsi="Times New Roman"/>
          <w:lang w:val="bs-Latn-BA"/>
        </w:rPr>
        <w:t xml:space="preserve"> </w:t>
      </w:r>
      <w:r>
        <w:rPr>
          <w:rFonts w:ascii="Times New Roman" w:hAnsi="Times New Roman"/>
          <w:lang w:val="bs-Latn-BA"/>
        </w:rPr>
        <w:t>чине</w:t>
      </w:r>
      <w:r w:rsidR="0042679D" w:rsidRPr="00141F3F">
        <w:rPr>
          <w:rFonts w:ascii="Times New Roman" w:hAnsi="Times New Roman"/>
          <w:lang w:val="bs-Latn-BA"/>
        </w:rPr>
        <w:t xml:space="preserve"> </w:t>
      </w:r>
      <w:r>
        <w:rPr>
          <w:rFonts w:ascii="Times New Roman" w:hAnsi="Times New Roman"/>
          <w:lang w:val="bs-Latn-BA"/>
        </w:rPr>
        <w:t>представници</w:t>
      </w:r>
      <w:r w:rsidR="005853E4">
        <w:rPr>
          <w:rFonts w:ascii="Times New Roman" w:hAnsi="Times New Roman"/>
          <w:lang w:val="bs-Latn-BA"/>
        </w:rPr>
        <w:t xml:space="preserve"> </w:t>
      </w:r>
      <w:r>
        <w:rPr>
          <w:rFonts w:ascii="Times New Roman" w:hAnsi="Times New Roman"/>
          <w:lang w:val="bs-Latn-BA"/>
        </w:rPr>
        <w:t>осам</w:t>
      </w:r>
      <w:r w:rsidR="005853E4">
        <w:rPr>
          <w:rFonts w:ascii="Times New Roman" w:hAnsi="Times New Roman"/>
          <w:lang w:val="bs-Latn-BA"/>
        </w:rPr>
        <w:t xml:space="preserve"> </w:t>
      </w:r>
      <w:r>
        <w:rPr>
          <w:rFonts w:ascii="Times New Roman" w:hAnsi="Times New Roman"/>
          <w:lang w:val="bs-Latn-BA"/>
        </w:rPr>
        <w:t>институција</w:t>
      </w:r>
      <w:r w:rsidR="005853E4">
        <w:rPr>
          <w:rFonts w:ascii="Times New Roman" w:hAnsi="Times New Roman"/>
          <w:lang w:val="bs-Latn-BA"/>
        </w:rPr>
        <w:t xml:space="preserve"> </w:t>
      </w:r>
      <w:r>
        <w:rPr>
          <w:rFonts w:ascii="Times New Roman" w:hAnsi="Times New Roman"/>
          <w:lang w:val="bs-Latn-BA"/>
        </w:rPr>
        <w:t>ФБиХ</w:t>
      </w:r>
      <w:r w:rsidR="005853E4">
        <w:rPr>
          <w:rFonts w:ascii="Times New Roman" w:hAnsi="Times New Roman"/>
          <w:lang w:val="bs-Latn-BA"/>
        </w:rPr>
        <w:t xml:space="preserve">. </w:t>
      </w:r>
      <w:r>
        <w:rPr>
          <w:rFonts w:ascii="Times New Roman" w:hAnsi="Times New Roman"/>
          <w:lang w:val="bs-Latn-BA"/>
        </w:rPr>
        <w:t>ГЦ</w:t>
      </w:r>
      <w:r w:rsidR="001147B0">
        <w:rPr>
          <w:rFonts w:ascii="Times New Roman" w:hAnsi="Times New Roman"/>
          <w:lang w:val="bs-Latn-BA"/>
        </w:rPr>
        <w:t xml:space="preserve"> </w:t>
      </w:r>
      <w:r>
        <w:rPr>
          <w:rFonts w:ascii="Times New Roman" w:hAnsi="Times New Roman"/>
          <w:lang w:val="bs-Latn-BA"/>
        </w:rPr>
        <w:t>ФБиХ</w:t>
      </w:r>
      <w:r w:rsidR="0042679D" w:rsidRPr="00141F3F">
        <w:rPr>
          <w:rFonts w:ascii="Times New Roman" w:hAnsi="Times New Roman"/>
          <w:lang w:val="bs-Latn-BA"/>
        </w:rPr>
        <w:t xml:space="preserve"> </w:t>
      </w:r>
      <w:r>
        <w:rPr>
          <w:rFonts w:ascii="Times New Roman" w:hAnsi="Times New Roman"/>
          <w:lang w:val="bs-Latn-BA"/>
        </w:rPr>
        <w:t>је</w:t>
      </w:r>
      <w:r w:rsidR="0042679D" w:rsidRPr="00141F3F">
        <w:rPr>
          <w:rFonts w:ascii="Times New Roman" w:hAnsi="Times New Roman"/>
          <w:lang w:val="bs-Latn-BA"/>
        </w:rPr>
        <w:t xml:space="preserve"> </w:t>
      </w:r>
      <w:r>
        <w:rPr>
          <w:rFonts w:ascii="Times New Roman" w:hAnsi="Times New Roman"/>
          <w:lang w:val="bs-Latn-BA"/>
        </w:rPr>
        <w:t>водитељ</w:t>
      </w:r>
      <w:r w:rsidR="0042679D" w:rsidRPr="00141F3F">
        <w:rPr>
          <w:rFonts w:ascii="Times New Roman" w:hAnsi="Times New Roman"/>
          <w:lang w:val="bs-Latn-BA"/>
        </w:rPr>
        <w:t xml:space="preserve"> </w:t>
      </w:r>
      <w:r>
        <w:rPr>
          <w:rFonts w:ascii="Times New Roman" w:hAnsi="Times New Roman"/>
          <w:lang w:val="bs-Latn-BA"/>
        </w:rPr>
        <w:t>овог</w:t>
      </w:r>
      <w:r w:rsidR="0042679D" w:rsidRPr="00141F3F">
        <w:rPr>
          <w:rFonts w:ascii="Times New Roman" w:hAnsi="Times New Roman"/>
          <w:lang w:val="bs-Latn-BA"/>
        </w:rPr>
        <w:t xml:space="preserve"> </w:t>
      </w:r>
      <w:r>
        <w:rPr>
          <w:rFonts w:ascii="Times New Roman" w:hAnsi="Times New Roman"/>
          <w:lang w:val="bs-Latn-BA"/>
        </w:rPr>
        <w:t>процеса</w:t>
      </w:r>
      <w:r w:rsidR="0042679D" w:rsidRPr="00141F3F">
        <w:rPr>
          <w:rFonts w:ascii="Times New Roman" w:hAnsi="Times New Roman"/>
          <w:lang w:val="bs-Latn-BA"/>
        </w:rPr>
        <w:t xml:space="preserve"> </w:t>
      </w:r>
      <w:r>
        <w:rPr>
          <w:rFonts w:ascii="Times New Roman" w:hAnsi="Times New Roman"/>
          <w:lang w:val="bs-Latn-BA"/>
        </w:rPr>
        <w:t>и</w:t>
      </w:r>
      <w:r w:rsidR="0042679D" w:rsidRPr="00141F3F">
        <w:rPr>
          <w:rFonts w:ascii="Times New Roman" w:hAnsi="Times New Roman"/>
          <w:lang w:val="bs-Latn-BA"/>
        </w:rPr>
        <w:t xml:space="preserve"> </w:t>
      </w:r>
      <w:r>
        <w:rPr>
          <w:rFonts w:ascii="Times New Roman" w:hAnsi="Times New Roman"/>
          <w:lang w:val="bs-Latn-BA"/>
        </w:rPr>
        <w:t>дужан</w:t>
      </w:r>
      <w:r w:rsidR="0042679D" w:rsidRPr="00141F3F">
        <w:rPr>
          <w:rFonts w:ascii="Times New Roman" w:hAnsi="Times New Roman"/>
          <w:lang w:val="bs-Latn-BA"/>
        </w:rPr>
        <w:t xml:space="preserve"> </w:t>
      </w:r>
      <w:r>
        <w:rPr>
          <w:rFonts w:ascii="Times New Roman" w:hAnsi="Times New Roman"/>
          <w:lang w:val="bs-Latn-BA"/>
        </w:rPr>
        <w:t>је</w:t>
      </w:r>
      <w:r w:rsidR="0042679D" w:rsidRPr="00141F3F">
        <w:rPr>
          <w:rFonts w:ascii="Times New Roman" w:hAnsi="Times New Roman"/>
          <w:lang w:val="bs-Latn-BA"/>
        </w:rPr>
        <w:t xml:space="preserve"> </w:t>
      </w:r>
      <w:r>
        <w:rPr>
          <w:rFonts w:ascii="Times New Roman" w:hAnsi="Times New Roman"/>
          <w:lang w:val="bs-Latn-BA"/>
        </w:rPr>
        <w:t>омогућити</w:t>
      </w:r>
      <w:r w:rsidR="0042679D" w:rsidRPr="00141F3F">
        <w:rPr>
          <w:rFonts w:ascii="Times New Roman" w:hAnsi="Times New Roman"/>
          <w:lang w:val="bs-Latn-BA"/>
        </w:rPr>
        <w:t xml:space="preserve"> </w:t>
      </w:r>
      <w:r>
        <w:rPr>
          <w:rFonts w:ascii="Times New Roman" w:hAnsi="Times New Roman"/>
          <w:lang w:val="bs-Latn-BA"/>
        </w:rPr>
        <w:t>пун</w:t>
      </w:r>
      <w:r w:rsidR="002C79FB">
        <w:rPr>
          <w:rFonts w:ascii="Times New Roman" w:hAnsi="Times New Roman"/>
          <w:lang w:val="sr-Cyrl-BA"/>
        </w:rPr>
        <w:t>о</w:t>
      </w:r>
      <w:r w:rsidR="0042679D" w:rsidRPr="00141F3F">
        <w:rPr>
          <w:rFonts w:ascii="Times New Roman" w:hAnsi="Times New Roman"/>
          <w:lang w:val="bs-Latn-BA"/>
        </w:rPr>
        <w:t xml:space="preserve"> </w:t>
      </w:r>
      <w:r w:rsidR="002C79FB">
        <w:rPr>
          <w:rFonts w:ascii="Times New Roman" w:hAnsi="Times New Roman"/>
          <w:lang w:val="sr-Cyrl-BA"/>
        </w:rPr>
        <w:t>спровођење</w:t>
      </w:r>
      <w:r w:rsidR="0042679D" w:rsidRPr="00141F3F">
        <w:rPr>
          <w:rFonts w:ascii="Times New Roman" w:hAnsi="Times New Roman"/>
          <w:lang w:val="bs-Latn-BA"/>
        </w:rPr>
        <w:t xml:space="preserve"> </w:t>
      </w:r>
      <w:r>
        <w:rPr>
          <w:rFonts w:ascii="Times New Roman" w:hAnsi="Times New Roman"/>
          <w:lang w:val="bs-Latn-BA"/>
        </w:rPr>
        <w:t>стандарда</w:t>
      </w:r>
      <w:r w:rsidR="0042679D" w:rsidRPr="00141F3F">
        <w:rPr>
          <w:rFonts w:ascii="Times New Roman" w:hAnsi="Times New Roman"/>
          <w:lang w:val="bs-Latn-BA"/>
        </w:rPr>
        <w:t xml:space="preserve"> </w:t>
      </w:r>
      <w:r>
        <w:rPr>
          <w:rFonts w:ascii="Times New Roman" w:hAnsi="Times New Roman"/>
          <w:lang w:val="bs-Latn-BA"/>
        </w:rPr>
        <w:t>дефини</w:t>
      </w:r>
      <w:r w:rsidR="002C79FB">
        <w:rPr>
          <w:rFonts w:ascii="Times New Roman" w:hAnsi="Times New Roman"/>
          <w:lang w:val="sr-Cyrl-BA"/>
        </w:rPr>
        <w:t>с</w:t>
      </w:r>
      <w:r>
        <w:rPr>
          <w:rFonts w:ascii="Times New Roman" w:hAnsi="Times New Roman"/>
          <w:lang w:val="bs-Latn-BA"/>
        </w:rPr>
        <w:t>аних</w:t>
      </w:r>
      <w:r w:rsidR="005853E4">
        <w:rPr>
          <w:rFonts w:ascii="Times New Roman" w:hAnsi="Times New Roman"/>
          <w:lang w:val="bs-Latn-BA"/>
        </w:rPr>
        <w:t xml:space="preserve"> </w:t>
      </w:r>
      <w:r>
        <w:rPr>
          <w:rFonts w:ascii="Times New Roman" w:hAnsi="Times New Roman"/>
          <w:lang w:val="bs-Latn-BA"/>
        </w:rPr>
        <w:t>Стратегијом</w:t>
      </w:r>
      <w:r w:rsidR="005853E4">
        <w:rPr>
          <w:rFonts w:ascii="Times New Roman" w:hAnsi="Times New Roman"/>
          <w:lang w:val="bs-Latn-BA"/>
        </w:rPr>
        <w:t xml:space="preserve"> </w:t>
      </w:r>
      <w:r>
        <w:rPr>
          <w:rFonts w:ascii="Times New Roman" w:hAnsi="Times New Roman"/>
          <w:lang w:val="bs-Latn-BA"/>
        </w:rPr>
        <w:t>и</w:t>
      </w:r>
      <w:r w:rsidR="005853E4">
        <w:rPr>
          <w:rFonts w:ascii="Times New Roman" w:hAnsi="Times New Roman"/>
          <w:lang w:val="bs-Latn-BA"/>
        </w:rPr>
        <w:t xml:space="preserve"> </w:t>
      </w:r>
      <w:r>
        <w:rPr>
          <w:rFonts w:ascii="Times New Roman" w:hAnsi="Times New Roman"/>
          <w:lang w:val="bs-Latn-BA"/>
        </w:rPr>
        <w:t>обавеза</w:t>
      </w:r>
      <w:r w:rsidR="0042679D" w:rsidRPr="00141F3F">
        <w:rPr>
          <w:rFonts w:ascii="Times New Roman" w:hAnsi="Times New Roman"/>
          <w:lang w:val="bs-Latn-BA"/>
        </w:rPr>
        <w:t xml:space="preserve"> </w:t>
      </w:r>
      <w:r>
        <w:rPr>
          <w:rFonts w:ascii="Times New Roman" w:hAnsi="Times New Roman"/>
          <w:lang w:val="bs-Latn-BA"/>
        </w:rPr>
        <w:t>из</w:t>
      </w:r>
      <w:r w:rsidR="0042679D" w:rsidRPr="00141F3F">
        <w:rPr>
          <w:rFonts w:ascii="Times New Roman" w:hAnsi="Times New Roman"/>
          <w:lang w:val="bs-Latn-BA"/>
        </w:rPr>
        <w:t xml:space="preserve"> </w:t>
      </w:r>
      <w:r>
        <w:rPr>
          <w:rFonts w:ascii="Times New Roman" w:hAnsi="Times New Roman"/>
          <w:lang w:val="bs-Latn-BA"/>
        </w:rPr>
        <w:t>Истанбулске</w:t>
      </w:r>
      <w:r w:rsidR="0042679D" w:rsidRPr="00141F3F">
        <w:rPr>
          <w:rFonts w:ascii="Times New Roman" w:hAnsi="Times New Roman"/>
          <w:lang w:val="bs-Latn-BA"/>
        </w:rPr>
        <w:t xml:space="preserve"> </w:t>
      </w:r>
      <w:r>
        <w:rPr>
          <w:rFonts w:ascii="Times New Roman" w:hAnsi="Times New Roman"/>
          <w:lang w:val="bs-Latn-BA"/>
        </w:rPr>
        <w:t>конвенције</w:t>
      </w:r>
      <w:r w:rsidR="0042679D" w:rsidRPr="00141F3F">
        <w:rPr>
          <w:rFonts w:ascii="Times New Roman" w:hAnsi="Times New Roman"/>
          <w:lang w:val="bs-Latn-BA"/>
        </w:rPr>
        <w:t>.</w:t>
      </w:r>
    </w:p>
    <w:p w:rsidR="0042679D" w:rsidRPr="00295637" w:rsidRDefault="0042679D" w:rsidP="0086268D">
      <w:pPr>
        <w:pStyle w:val="ListParagraph"/>
        <w:rPr>
          <w:rFonts w:ascii="Times New Roman" w:hAnsi="Times New Roman"/>
          <w:szCs w:val="24"/>
        </w:rPr>
      </w:pPr>
    </w:p>
    <w:p w:rsidR="0042679D" w:rsidRPr="00295637" w:rsidRDefault="00C6214E" w:rsidP="0086268D">
      <w:pPr>
        <w:pStyle w:val="NormalWeb"/>
        <w:numPr>
          <w:ilvl w:val="0"/>
          <w:numId w:val="17"/>
        </w:numPr>
        <w:spacing w:before="0" w:beforeAutospacing="0" w:after="0" w:afterAutospacing="0"/>
        <w:jc w:val="both"/>
        <w:rPr>
          <w:lang w:val="bs-Latn-BA"/>
        </w:rPr>
      </w:pPr>
      <w:r>
        <w:rPr>
          <w:lang w:val="bs-Latn-BA"/>
        </w:rPr>
        <w:t>ФМУП</w:t>
      </w:r>
      <w:r w:rsidR="0042679D" w:rsidRPr="00295637">
        <w:rPr>
          <w:lang w:val="bs-Latn-BA"/>
        </w:rPr>
        <w:t xml:space="preserve"> </w:t>
      </w:r>
      <w:r>
        <w:rPr>
          <w:lang w:val="bs-Latn-BA"/>
        </w:rPr>
        <w:t>је</w:t>
      </w:r>
      <w:r w:rsidR="0042679D" w:rsidRPr="00295637">
        <w:rPr>
          <w:lang w:val="bs-Latn-BA"/>
        </w:rPr>
        <w:t xml:space="preserve"> </w:t>
      </w:r>
      <w:r>
        <w:rPr>
          <w:lang w:val="bs-Latn-BA"/>
        </w:rPr>
        <w:t>донијело</w:t>
      </w:r>
      <w:r w:rsidR="0042679D" w:rsidRPr="00295637">
        <w:rPr>
          <w:lang w:val="bs-Latn-BA"/>
        </w:rPr>
        <w:t xml:space="preserve"> </w:t>
      </w:r>
      <w:r>
        <w:rPr>
          <w:lang w:val="bs-Latn-BA"/>
        </w:rPr>
        <w:t>измјене</w:t>
      </w:r>
      <w:r w:rsidR="0042679D" w:rsidRPr="00295637">
        <w:rPr>
          <w:lang w:val="bs-Latn-BA"/>
        </w:rPr>
        <w:t xml:space="preserve"> </w:t>
      </w:r>
      <w:r>
        <w:rPr>
          <w:lang w:val="bs-Latn-BA"/>
        </w:rPr>
        <w:t>и</w:t>
      </w:r>
      <w:r w:rsidR="0042679D" w:rsidRPr="00295637">
        <w:rPr>
          <w:lang w:val="bs-Latn-BA"/>
        </w:rPr>
        <w:t xml:space="preserve"> </w:t>
      </w:r>
      <w:r>
        <w:rPr>
          <w:lang w:val="bs-Latn-BA"/>
        </w:rPr>
        <w:t>допуне</w:t>
      </w:r>
      <w:r w:rsidR="0042679D" w:rsidRPr="00295637">
        <w:rPr>
          <w:lang w:val="bs-Latn-BA"/>
        </w:rPr>
        <w:t xml:space="preserve"> </w:t>
      </w:r>
      <w:r>
        <w:rPr>
          <w:lang w:val="bs-Latn-BA"/>
        </w:rPr>
        <w:t>Правилника</w:t>
      </w:r>
      <w:r w:rsidR="0042679D" w:rsidRPr="00295637">
        <w:rPr>
          <w:lang w:val="bs-Latn-BA"/>
        </w:rPr>
        <w:t xml:space="preserve"> </w:t>
      </w:r>
      <w:r>
        <w:rPr>
          <w:lang w:val="bs-Latn-BA"/>
        </w:rPr>
        <w:t>о</w:t>
      </w:r>
      <w:r w:rsidR="0042679D" w:rsidRPr="00295637">
        <w:rPr>
          <w:lang w:val="bs-Latn-BA"/>
        </w:rPr>
        <w:t xml:space="preserve"> </w:t>
      </w:r>
      <w:r>
        <w:rPr>
          <w:lang w:val="bs-Latn-BA"/>
        </w:rPr>
        <w:t>начину</w:t>
      </w:r>
      <w:r w:rsidR="0042679D" w:rsidRPr="00295637">
        <w:rPr>
          <w:lang w:val="bs-Latn-BA"/>
        </w:rPr>
        <w:t xml:space="preserve"> </w:t>
      </w:r>
      <w:r w:rsidR="002C79FB">
        <w:rPr>
          <w:lang w:val="sr-Cyrl-BA"/>
        </w:rPr>
        <w:t>спровођења</w:t>
      </w:r>
      <w:r w:rsidR="0042679D" w:rsidRPr="00295637">
        <w:rPr>
          <w:lang w:val="bs-Latn-BA"/>
        </w:rPr>
        <w:t xml:space="preserve"> </w:t>
      </w:r>
      <w:r>
        <w:rPr>
          <w:lang w:val="bs-Latn-BA"/>
        </w:rPr>
        <w:t>заштитних</w:t>
      </w:r>
      <w:r w:rsidR="0042679D" w:rsidRPr="00295637">
        <w:rPr>
          <w:lang w:val="bs-Latn-BA"/>
        </w:rPr>
        <w:t xml:space="preserve"> </w:t>
      </w:r>
      <w:r>
        <w:rPr>
          <w:lang w:val="bs-Latn-BA"/>
        </w:rPr>
        <w:t>мјера</w:t>
      </w:r>
      <w:r w:rsidR="0042679D" w:rsidRPr="00295637">
        <w:rPr>
          <w:lang w:val="bs-Latn-BA"/>
        </w:rPr>
        <w:t xml:space="preserve"> </w:t>
      </w:r>
      <w:r>
        <w:rPr>
          <w:lang w:val="bs-Latn-BA"/>
        </w:rPr>
        <w:t>за</w:t>
      </w:r>
      <w:r w:rsidR="0042679D" w:rsidRPr="00295637">
        <w:rPr>
          <w:lang w:val="bs-Latn-BA"/>
        </w:rPr>
        <w:t xml:space="preserve"> </w:t>
      </w:r>
      <w:r>
        <w:rPr>
          <w:lang w:val="bs-Latn-BA"/>
        </w:rPr>
        <w:t>починиоце</w:t>
      </w:r>
      <w:r w:rsidR="0042679D" w:rsidRPr="00295637">
        <w:rPr>
          <w:lang w:val="bs-Latn-BA"/>
        </w:rPr>
        <w:t xml:space="preserve"> </w:t>
      </w:r>
      <w:r>
        <w:rPr>
          <w:lang w:val="bs-Latn-BA"/>
        </w:rPr>
        <w:t>насиља</w:t>
      </w:r>
      <w:r w:rsidR="0042679D" w:rsidRPr="00295637">
        <w:rPr>
          <w:lang w:val="bs-Latn-BA"/>
        </w:rPr>
        <w:t xml:space="preserve"> </w:t>
      </w:r>
      <w:r>
        <w:rPr>
          <w:lang w:val="bs-Latn-BA"/>
        </w:rPr>
        <w:t>у</w:t>
      </w:r>
      <w:r w:rsidR="0042679D" w:rsidRPr="00295637">
        <w:rPr>
          <w:lang w:val="bs-Latn-BA"/>
        </w:rPr>
        <w:t xml:space="preserve"> </w:t>
      </w:r>
      <w:r>
        <w:rPr>
          <w:lang w:val="bs-Latn-BA"/>
        </w:rPr>
        <w:t>породици</w:t>
      </w:r>
      <w:r w:rsidR="0042679D" w:rsidRPr="00295637">
        <w:rPr>
          <w:lang w:val="bs-Latn-BA"/>
        </w:rPr>
        <w:t xml:space="preserve"> </w:t>
      </w:r>
      <w:r>
        <w:rPr>
          <w:lang w:val="bs-Latn-BA"/>
        </w:rPr>
        <w:t>које</w:t>
      </w:r>
      <w:r w:rsidR="0042679D" w:rsidRPr="00295637">
        <w:rPr>
          <w:lang w:val="bs-Latn-BA"/>
        </w:rPr>
        <w:t xml:space="preserve"> </w:t>
      </w:r>
      <w:r>
        <w:rPr>
          <w:lang w:val="bs-Latn-BA"/>
        </w:rPr>
        <w:t>су</w:t>
      </w:r>
      <w:r w:rsidR="0042679D" w:rsidRPr="00295637">
        <w:rPr>
          <w:lang w:val="bs-Latn-BA"/>
        </w:rPr>
        <w:t xml:space="preserve"> </w:t>
      </w:r>
      <w:r>
        <w:rPr>
          <w:lang w:val="bs-Latn-BA"/>
        </w:rPr>
        <w:t>у</w:t>
      </w:r>
      <w:r w:rsidR="0042679D" w:rsidRPr="00295637">
        <w:rPr>
          <w:lang w:val="bs-Latn-BA"/>
        </w:rPr>
        <w:t xml:space="preserve"> </w:t>
      </w:r>
      <w:r>
        <w:rPr>
          <w:lang w:val="bs-Latn-BA"/>
        </w:rPr>
        <w:t>надлежности</w:t>
      </w:r>
      <w:r w:rsidR="0042679D" w:rsidRPr="00295637">
        <w:rPr>
          <w:lang w:val="bs-Latn-BA"/>
        </w:rPr>
        <w:t xml:space="preserve"> </w:t>
      </w:r>
      <w:r>
        <w:rPr>
          <w:lang w:val="bs-Latn-BA"/>
        </w:rPr>
        <w:t>полиције</w:t>
      </w:r>
      <w:r w:rsidR="0042679D">
        <w:rPr>
          <w:lang w:val="bs-Latn-BA"/>
        </w:rPr>
        <w:t>,</w:t>
      </w:r>
      <w:r w:rsidR="0042679D" w:rsidRPr="00295637">
        <w:rPr>
          <w:lang w:val="bs-Latn-BA"/>
        </w:rPr>
        <w:t xml:space="preserve"> </w:t>
      </w:r>
      <w:r>
        <w:rPr>
          <w:lang w:val="bs-Latn-BA"/>
        </w:rPr>
        <w:t>којима</w:t>
      </w:r>
      <w:r w:rsidR="0042679D" w:rsidRPr="00295637">
        <w:rPr>
          <w:lang w:val="bs-Latn-BA"/>
        </w:rPr>
        <w:t xml:space="preserve"> </w:t>
      </w:r>
      <w:r>
        <w:rPr>
          <w:lang w:val="bs-Latn-BA"/>
        </w:rPr>
        <w:t>је</w:t>
      </w:r>
      <w:r w:rsidR="0042679D" w:rsidRPr="00295637">
        <w:rPr>
          <w:lang w:val="bs-Latn-BA"/>
        </w:rPr>
        <w:t xml:space="preserve"> </w:t>
      </w:r>
      <w:r>
        <w:rPr>
          <w:lang w:val="bs-Latn-BA"/>
        </w:rPr>
        <w:t>обухваћена</w:t>
      </w:r>
      <w:r w:rsidR="0042679D" w:rsidRPr="00295637">
        <w:rPr>
          <w:lang w:val="bs-Latn-BA"/>
        </w:rPr>
        <w:t xml:space="preserve"> </w:t>
      </w:r>
      <w:r>
        <w:rPr>
          <w:lang w:val="bs-Latn-BA"/>
        </w:rPr>
        <w:t>процјена</w:t>
      </w:r>
      <w:r w:rsidR="0042679D" w:rsidRPr="00295637">
        <w:rPr>
          <w:lang w:val="bs-Latn-BA"/>
        </w:rPr>
        <w:t xml:space="preserve"> </w:t>
      </w:r>
      <w:r>
        <w:rPr>
          <w:lang w:val="bs-Latn-BA"/>
        </w:rPr>
        <w:t>ризика</w:t>
      </w:r>
      <w:r w:rsidR="0042679D" w:rsidRPr="00295637">
        <w:rPr>
          <w:lang w:val="bs-Latn-BA"/>
        </w:rPr>
        <w:t>.</w:t>
      </w:r>
    </w:p>
    <w:p w:rsidR="0042679D" w:rsidRDefault="0042679D" w:rsidP="0086268D">
      <w:pPr>
        <w:pStyle w:val="ListParagraph"/>
        <w:ind w:left="720"/>
        <w:jc w:val="both"/>
        <w:rPr>
          <w:rFonts w:ascii="Times New Roman" w:hAnsi="Times New Roman"/>
          <w:lang w:val="sr-Latn-BA"/>
        </w:rPr>
      </w:pPr>
    </w:p>
    <w:p w:rsidR="0042679D" w:rsidRPr="00141F3F" w:rsidRDefault="00C6214E" w:rsidP="0086268D">
      <w:pPr>
        <w:pStyle w:val="ListParagraph"/>
        <w:numPr>
          <w:ilvl w:val="0"/>
          <w:numId w:val="17"/>
        </w:numPr>
        <w:jc w:val="both"/>
        <w:rPr>
          <w:rFonts w:ascii="Times New Roman" w:hAnsi="Times New Roman"/>
          <w:lang w:val="sr-Latn-BA"/>
        </w:rPr>
      </w:pPr>
      <w:r>
        <w:rPr>
          <w:rFonts w:ascii="Times New Roman" w:hAnsi="Times New Roman"/>
          <w:szCs w:val="24"/>
          <w:lang w:val="bs-Latn-BA"/>
        </w:rPr>
        <w:t>ФМРСП</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израдило</w:t>
      </w:r>
      <w:r w:rsidR="0042679D" w:rsidRPr="00295637">
        <w:rPr>
          <w:rFonts w:ascii="Times New Roman" w:hAnsi="Times New Roman"/>
          <w:szCs w:val="24"/>
          <w:lang w:val="bs-Latn-BA"/>
        </w:rPr>
        <w:t xml:space="preserve"> </w:t>
      </w:r>
      <w:r>
        <w:rPr>
          <w:rStyle w:val="Strong"/>
          <w:rFonts w:ascii="Times New Roman" w:hAnsi="Times New Roman"/>
          <w:b w:val="0"/>
          <w:szCs w:val="24"/>
          <w:lang w:val="bs-Latn-BA"/>
        </w:rPr>
        <w:t>Програм</w:t>
      </w:r>
      <w:r w:rsidR="005853E4">
        <w:rPr>
          <w:rStyle w:val="Strong"/>
          <w:rFonts w:ascii="Times New Roman" w:hAnsi="Times New Roman"/>
          <w:b w:val="0"/>
          <w:szCs w:val="24"/>
          <w:lang w:val="bs-Latn-BA"/>
        </w:rPr>
        <w:t xml:space="preserve"> </w:t>
      </w:r>
      <w:r>
        <w:rPr>
          <w:rStyle w:val="Strong"/>
          <w:rFonts w:ascii="Times New Roman" w:hAnsi="Times New Roman"/>
          <w:b w:val="0"/>
          <w:szCs w:val="24"/>
          <w:lang w:val="bs-Latn-BA"/>
        </w:rPr>
        <w:t>обуке</w:t>
      </w:r>
      <w:r w:rsidR="005853E4">
        <w:rPr>
          <w:rStyle w:val="Strong"/>
          <w:rFonts w:ascii="Times New Roman" w:hAnsi="Times New Roman"/>
          <w:b w:val="0"/>
          <w:szCs w:val="24"/>
          <w:lang w:val="bs-Latn-BA"/>
        </w:rPr>
        <w:t xml:space="preserve"> </w:t>
      </w:r>
      <w:r>
        <w:rPr>
          <w:rStyle w:val="Strong"/>
          <w:rFonts w:ascii="Times New Roman" w:hAnsi="Times New Roman"/>
          <w:b w:val="0"/>
          <w:szCs w:val="24"/>
          <w:lang w:val="bs-Latn-BA"/>
        </w:rPr>
        <w:t>стручних</w:t>
      </w:r>
      <w:r w:rsidR="005853E4">
        <w:rPr>
          <w:rStyle w:val="Strong"/>
          <w:rFonts w:ascii="Times New Roman" w:hAnsi="Times New Roman"/>
          <w:b w:val="0"/>
          <w:szCs w:val="24"/>
          <w:lang w:val="bs-Latn-BA"/>
        </w:rPr>
        <w:t xml:space="preserve"> </w:t>
      </w:r>
      <w:r>
        <w:rPr>
          <w:rStyle w:val="Strong"/>
          <w:rFonts w:ascii="Times New Roman" w:hAnsi="Times New Roman"/>
          <w:b w:val="0"/>
          <w:szCs w:val="24"/>
          <w:lang w:val="bs-Latn-BA"/>
        </w:rPr>
        <w:t>радника</w:t>
      </w:r>
      <w:r w:rsidR="005853E4">
        <w:rPr>
          <w:rStyle w:val="Strong"/>
          <w:rFonts w:ascii="Times New Roman" w:hAnsi="Times New Roman"/>
          <w:b w:val="0"/>
          <w:szCs w:val="24"/>
          <w:lang w:val="bs-Latn-BA"/>
        </w:rPr>
        <w:t xml:space="preserve"> </w:t>
      </w:r>
      <w:r>
        <w:rPr>
          <w:rStyle w:val="Strong"/>
          <w:rFonts w:ascii="Times New Roman" w:hAnsi="Times New Roman"/>
          <w:b w:val="0"/>
          <w:szCs w:val="24"/>
          <w:lang w:val="bs-Latn-BA"/>
        </w:rPr>
        <w:t>у</w:t>
      </w:r>
      <w:r w:rsidR="005853E4">
        <w:rPr>
          <w:rStyle w:val="Strong"/>
          <w:rFonts w:ascii="Times New Roman" w:hAnsi="Times New Roman"/>
          <w:b w:val="0"/>
          <w:szCs w:val="24"/>
          <w:lang w:val="bs-Latn-BA"/>
        </w:rPr>
        <w:t xml:space="preserve"> </w:t>
      </w:r>
      <w:r>
        <w:rPr>
          <w:rStyle w:val="Strong"/>
          <w:rFonts w:ascii="Times New Roman" w:hAnsi="Times New Roman"/>
          <w:b w:val="0"/>
          <w:szCs w:val="24"/>
          <w:lang w:val="bs-Latn-BA"/>
        </w:rPr>
        <w:t>систему</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социјалне</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и</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дјечије</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заштите</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у</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области</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заштите</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од</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насиља</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у</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породици</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и</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родно</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заснованог</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насиља</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што</w:t>
      </w:r>
      <w:r w:rsidR="0042679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представља</w:t>
      </w:r>
      <w:r w:rsidR="0042679D" w:rsidRPr="00295637">
        <w:rPr>
          <w:rFonts w:ascii="Times New Roman" w:hAnsi="Times New Roman"/>
          <w:szCs w:val="24"/>
          <w:lang w:val="bs-Latn-BA"/>
        </w:rPr>
        <w:t xml:space="preserve"> </w:t>
      </w:r>
      <w:r>
        <w:rPr>
          <w:rFonts w:ascii="Times New Roman" w:hAnsi="Times New Roman"/>
          <w:szCs w:val="24"/>
          <w:lang w:val="bs-Latn-BA"/>
        </w:rPr>
        <w:t>важан</w:t>
      </w:r>
      <w:r w:rsidR="0042679D" w:rsidRPr="00295637">
        <w:rPr>
          <w:rFonts w:ascii="Times New Roman" w:hAnsi="Times New Roman"/>
          <w:szCs w:val="24"/>
          <w:lang w:val="bs-Latn-BA"/>
        </w:rPr>
        <w:t xml:space="preserve"> </w:t>
      </w:r>
      <w:r>
        <w:rPr>
          <w:rFonts w:ascii="Times New Roman" w:hAnsi="Times New Roman"/>
          <w:szCs w:val="24"/>
          <w:lang w:val="bs-Latn-BA"/>
        </w:rPr>
        <w:t>корак</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јачању</w:t>
      </w:r>
      <w:r w:rsidR="0042679D" w:rsidRPr="00295637">
        <w:rPr>
          <w:rFonts w:ascii="Times New Roman" w:hAnsi="Times New Roman"/>
          <w:szCs w:val="24"/>
          <w:lang w:val="bs-Latn-BA"/>
        </w:rPr>
        <w:t xml:space="preserve"> </w:t>
      </w:r>
      <w:r>
        <w:rPr>
          <w:rFonts w:ascii="Times New Roman" w:hAnsi="Times New Roman"/>
          <w:szCs w:val="24"/>
          <w:lang w:val="bs-Latn-BA"/>
        </w:rPr>
        <w:t>институционалних</w:t>
      </w:r>
      <w:r w:rsidR="0042679D" w:rsidRPr="00295637">
        <w:rPr>
          <w:rFonts w:ascii="Times New Roman" w:hAnsi="Times New Roman"/>
          <w:szCs w:val="24"/>
          <w:lang w:val="bs-Latn-BA"/>
        </w:rPr>
        <w:t xml:space="preserve"> </w:t>
      </w:r>
      <w:r>
        <w:rPr>
          <w:rFonts w:ascii="Times New Roman" w:hAnsi="Times New Roman"/>
          <w:szCs w:val="24"/>
          <w:lang w:val="bs-Latn-BA"/>
        </w:rPr>
        <w:t>капацитета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о</w:t>
      </w:r>
      <w:r w:rsidR="002C79FB">
        <w:rPr>
          <w:rFonts w:ascii="Times New Roman" w:hAnsi="Times New Roman"/>
          <w:szCs w:val="24"/>
          <w:lang w:val="sr-Cyrl-BA"/>
        </w:rPr>
        <w:t>безбјеђењу</w:t>
      </w:r>
      <w:r w:rsidR="0042679D" w:rsidRPr="00295637">
        <w:rPr>
          <w:rFonts w:ascii="Times New Roman" w:hAnsi="Times New Roman"/>
          <w:szCs w:val="24"/>
          <w:lang w:val="bs-Latn-BA"/>
        </w:rPr>
        <w:t xml:space="preserve"> </w:t>
      </w:r>
      <w:r>
        <w:rPr>
          <w:rFonts w:ascii="Times New Roman" w:hAnsi="Times New Roman"/>
          <w:szCs w:val="24"/>
          <w:lang w:val="bs-Latn-BA"/>
        </w:rPr>
        <w:t>стандардиз</w:t>
      </w:r>
      <w:r w:rsidR="002C79FB">
        <w:rPr>
          <w:rFonts w:ascii="Times New Roman" w:hAnsi="Times New Roman"/>
          <w:szCs w:val="24"/>
          <w:lang w:val="sr-Cyrl-BA"/>
        </w:rPr>
        <w:t>ованог</w:t>
      </w:r>
      <w:r w:rsidR="0042679D" w:rsidRPr="00295637">
        <w:rPr>
          <w:rFonts w:ascii="Times New Roman" w:hAnsi="Times New Roman"/>
          <w:szCs w:val="24"/>
          <w:lang w:val="bs-Latn-BA"/>
        </w:rPr>
        <w:t xml:space="preserve"> </w:t>
      </w:r>
      <w:r>
        <w:rPr>
          <w:rFonts w:ascii="Times New Roman" w:hAnsi="Times New Roman"/>
          <w:szCs w:val="24"/>
          <w:lang w:val="bs-Latn-BA"/>
        </w:rPr>
        <w:t>приступа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раду</w:t>
      </w:r>
      <w:r w:rsidR="005853E4">
        <w:rPr>
          <w:rFonts w:ascii="Times New Roman" w:hAnsi="Times New Roman"/>
          <w:szCs w:val="24"/>
          <w:lang w:val="bs-Latn-BA"/>
        </w:rPr>
        <w:t xml:space="preserve"> </w:t>
      </w:r>
      <w:r>
        <w:rPr>
          <w:rFonts w:ascii="Times New Roman" w:hAnsi="Times New Roman"/>
          <w:szCs w:val="24"/>
          <w:lang w:val="bs-Latn-BA"/>
        </w:rPr>
        <w:t>са</w:t>
      </w:r>
      <w:r w:rsidR="0042679D">
        <w:rPr>
          <w:rFonts w:ascii="Times New Roman" w:hAnsi="Times New Roman"/>
          <w:szCs w:val="24"/>
          <w:lang w:val="bs-Latn-BA"/>
        </w:rPr>
        <w:t xml:space="preserve"> </w:t>
      </w:r>
      <w:r>
        <w:rPr>
          <w:rFonts w:ascii="Times New Roman" w:hAnsi="Times New Roman"/>
          <w:szCs w:val="24"/>
          <w:lang w:val="bs-Latn-BA"/>
        </w:rPr>
        <w:t>жртвама</w:t>
      </w:r>
      <w:r w:rsidR="0042679D">
        <w:rPr>
          <w:rFonts w:ascii="Times New Roman" w:hAnsi="Times New Roman"/>
          <w:szCs w:val="24"/>
          <w:lang w:val="bs-Latn-BA"/>
        </w:rPr>
        <w:t xml:space="preserve"> </w:t>
      </w:r>
      <w:r>
        <w:rPr>
          <w:rFonts w:ascii="Times New Roman" w:hAnsi="Times New Roman"/>
          <w:szCs w:val="24"/>
          <w:lang w:val="bs-Latn-BA"/>
        </w:rPr>
        <w:t>насиља</w:t>
      </w:r>
      <w:r w:rsidR="0042679D">
        <w:rPr>
          <w:rFonts w:ascii="Times New Roman" w:hAnsi="Times New Roman"/>
          <w:szCs w:val="24"/>
          <w:lang w:val="bs-Latn-BA"/>
        </w:rPr>
        <w:t xml:space="preserve"> </w:t>
      </w:r>
      <w:r>
        <w:rPr>
          <w:rFonts w:ascii="Times New Roman" w:hAnsi="Times New Roman"/>
          <w:szCs w:val="24"/>
          <w:lang w:val="bs-Latn-BA"/>
        </w:rPr>
        <w:t>у</w:t>
      </w:r>
      <w:r w:rsidR="0042679D">
        <w:rPr>
          <w:rFonts w:ascii="Times New Roman" w:hAnsi="Times New Roman"/>
          <w:szCs w:val="24"/>
          <w:lang w:val="bs-Latn-BA"/>
        </w:rPr>
        <w:t xml:space="preserve"> </w:t>
      </w:r>
      <w:r>
        <w:rPr>
          <w:rFonts w:ascii="Times New Roman" w:hAnsi="Times New Roman"/>
          <w:szCs w:val="24"/>
          <w:lang w:val="bs-Latn-BA"/>
        </w:rPr>
        <w:t>породици</w:t>
      </w:r>
      <w:r w:rsidR="0042679D">
        <w:rPr>
          <w:rFonts w:ascii="Times New Roman" w:hAnsi="Times New Roman"/>
          <w:szCs w:val="24"/>
          <w:lang w:val="bs-Latn-BA"/>
        </w:rPr>
        <w:t>.</w:t>
      </w:r>
      <w:r w:rsidR="0042679D" w:rsidRPr="00295637">
        <w:rPr>
          <w:rFonts w:ascii="Times New Roman" w:hAnsi="Times New Roman"/>
          <w:szCs w:val="24"/>
          <w:lang w:val="bs-Latn-BA"/>
        </w:rPr>
        <w:t xml:space="preserve"> </w:t>
      </w:r>
      <w:r>
        <w:rPr>
          <w:rFonts w:ascii="Times New Roman" w:hAnsi="Times New Roman"/>
          <w:szCs w:val="24"/>
          <w:lang w:val="bs-Latn-BA"/>
        </w:rPr>
        <w:t>Организ</w:t>
      </w:r>
      <w:r w:rsidR="002C79FB">
        <w:rPr>
          <w:rFonts w:ascii="Times New Roman" w:hAnsi="Times New Roman"/>
          <w:szCs w:val="24"/>
          <w:lang w:val="sr-Cyrl-BA"/>
        </w:rPr>
        <w:t>ован</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проведен</w:t>
      </w:r>
      <w:r w:rsidR="0042679D" w:rsidRPr="00295637">
        <w:rPr>
          <w:rFonts w:ascii="Times New Roman" w:hAnsi="Times New Roman"/>
          <w:szCs w:val="24"/>
          <w:lang w:val="bs-Latn-BA"/>
        </w:rPr>
        <w:t xml:space="preserve"> </w:t>
      </w:r>
      <w:r>
        <w:rPr>
          <w:rFonts w:ascii="Times New Roman" w:hAnsi="Times New Roman"/>
          <w:szCs w:val="24"/>
          <w:lang w:val="bs-Latn-BA"/>
        </w:rPr>
        <w:t>први</w:t>
      </w:r>
      <w:r w:rsidR="0042679D" w:rsidRPr="00295637">
        <w:rPr>
          <w:rFonts w:ascii="Times New Roman" w:hAnsi="Times New Roman"/>
          <w:szCs w:val="24"/>
          <w:lang w:val="bs-Latn-BA"/>
        </w:rPr>
        <w:t xml:space="preserve"> </w:t>
      </w:r>
      <w:r>
        <w:rPr>
          <w:rFonts w:ascii="Times New Roman" w:hAnsi="Times New Roman"/>
          <w:szCs w:val="24"/>
          <w:lang w:val="bs-Latn-BA"/>
        </w:rPr>
        <w:t>циклус</w:t>
      </w:r>
      <w:r w:rsidR="0042679D" w:rsidRPr="00295637">
        <w:rPr>
          <w:rFonts w:ascii="Times New Roman" w:hAnsi="Times New Roman"/>
          <w:szCs w:val="24"/>
          <w:lang w:val="bs-Latn-BA"/>
        </w:rPr>
        <w:t xml:space="preserve"> </w:t>
      </w:r>
      <w:r>
        <w:rPr>
          <w:rFonts w:ascii="Times New Roman" w:hAnsi="Times New Roman"/>
          <w:szCs w:val="24"/>
          <w:lang w:val="bs-Latn-BA"/>
        </w:rPr>
        <w:t>едукације</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стручне</w:t>
      </w:r>
      <w:r w:rsidR="0042679D" w:rsidRPr="00295637">
        <w:rPr>
          <w:rFonts w:ascii="Times New Roman" w:hAnsi="Times New Roman"/>
          <w:szCs w:val="24"/>
          <w:lang w:val="bs-Latn-BA"/>
        </w:rPr>
        <w:t xml:space="preserve"> </w:t>
      </w:r>
      <w:r>
        <w:rPr>
          <w:rFonts w:ascii="Times New Roman" w:hAnsi="Times New Roman"/>
          <w:szCs w:val="24"/>
          <w:lang w:val="bs-Latn-BA"/>
        </w:rPr>
        <w:t>раднике</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центрима</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социјални</w:t>
      </w:r>
      <w:r w:rsidR="0042679D" w:rsidRPr="00295637">
        <w:rPr>
          <w:rFonts w:ascii="Times New Roman" w:hAnsi="Times New Roman"/>
          <w:szCs w:val="24"/>
          <w:lang w:val="bs-Latn-BA"/>
        </w:rPr>
        <w:t xml:space="preserve"> </w:t>
      </w:r>
      <w:r>
        <w:rPr>
          <w:rFonts w:ascii="Times New Roman" w:hAnsi="Times New Roman"/>
          <w:szCs w:val="24"/>
          <w:lang w:val="bs-Latn-BA"/>
        </w:rPr>
        <w:t>рад</w:t>
      </w:r>
      <w:r w:rsidR="0042679D" w:rsidRPr="00295637">
        <w:rPr>
          <w:rFonts w:ascii="Times New Roman" w:hAnsi="Times New Roman"/>
          <w:szCs w:val="24"/>
          <w:lang w:val="bs-Latn-BA"/>
        </w:rPr>
        <w:t xml:space="preserve">, </w:t>
      </w:r>
      <w:r>
        <w:rPr>
          <w:rFonts w:ascii="Times New Roman" w:hAnsi="Times New Roman"/>
          <w:szCs w:val="24"/>
          <w:lang w:val="bs-Latn-BA"/>
        </w:rPr>
        <w:t>оп</w:t>
      </w:r>
      <w:r w:rsidR="002C79FB">
        <w:rPr>
          <w:rFonts w:ascii="Times New Roman" w:hAnsi="Times New Roman"/>
          <w:szCs w:val="24"/>
          <w:lang w:val="sr-Cyrl-BA"/>
        </w:rPr>
        <w:t>шт</w:t>
      </w:r>
      <w:r>
        <w:rPr>
          <w:rFonts w:ascii="Times New Roman" w:hAnsi="Times New Roman"/>
          <w:szCs w:val="24"/>
          <w:lang w:val="bs-Latn-BA"/>
        </w:rPr>
        <w:t>инским</w:t>
      </w:r>
      <w:r w:rsidR="0042679D" w:rsidRPr="00295637">
        <w:rPr>
          <w:rFonts w:ascii="Times New Roman" w:hAnsi="Times New Roman"/>
          <w:szCs w:val="24"/>
          <w:lang w:val="bs-Latn-BA"/>
        </w:rPr>
        <w:t xml:space="preserve"> </w:t>
      </w:r>
      <w:r>
        <w:rPr>
          <w:rFonts w:ascii="Times New Roman" w:hAnsi="Times New Roman"/>
          <w:szCs w:val="24"/>
          <w:lang w:val="bs-Latn-BA"/>
        </w:rPr>
        <w:t>службама</w:t>
      </w:r>
      <w:r w:rsidR="0042679D" w:rsidRPr="00295637">
        <w:rPr>
          <w:rFonts w:ascii="Times New Roman" w:hAnsi="Times New Roman"/>
          <w:szCs w:val="24"/>
          <w:lang w:val="bs-Latn-BA"/>
        </w:rPr>
        <w:t xml:space="preserve"> </w:t>
      </w:r>
      <w:r>
        <w:rPr>
          <w:rFonts w:ascii="Times New Roman" w:hAnsi="Times New Roman"/>
          <w:szCs w:val="24"/>
          <w:lang w:val="bs-Latn-BA"/>
        </w:rPr>
        <w:t>социјалне</w:t>
      </w:r>
      <w:r w:rsidR="0042679D" w:rsidRPr="00295637">
        <w:rPr>
          <w:rFonts w:ascii="Times New Roman" w:hAnsi="Times New Roman"/>
          <w:szCs w:val="24"/>
          <w:lang w:val="bs-Latn-BA"/>
        </w:rPr>
        <w:t xml:space="preserve"> </w:t>
      </w:r>
      <w:r>
        <w:rPr>
          <w:rFonts w:ascii="Times New Roman" w:hAnsi="Times New Roman"/>
          <w:szCs w:val="24"/>
          <w:lang w:val="bs-Latn-BA"/>
        </w:rPr>
        <w:t>заштите</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другим</w:t>
      </w:r>
      <w:r w:rsidR="0042679D" w:rsidRPr="00295637">
        <w:rPr>
          <w:rFonts w:ascii="Times New Roman" w:hAnsi="Times New Roman"/>
          <w:szCs w:val="24"/>
          <w:lang w:val="bs-Latn-BA"/>
        </w:rPr>
        <w:t xml:space="preserve"> </w:t>
      </w:r>
      <w:r>
        <w:rPr>
          <w:rFonts w:ascii="Times New Roman" w:hAnsi="Times New Roman"/>
          <w:szCs w:val="24"/>
          <w:lang w:val="bs-Latn-BA"/>
        </w:rPr>
        <w:t>релевантним</w:t>
      </w:r>
      <w:r w:rsidR="0042679D" w:rsidRPr="00295637">
        <w:rPr>
          <w:rFonts w:ascii="Times New Roman" w:hAnsi="Times New Roman"/>
          <w:szCs w:val="24"/>
          <w:lang w:val="bs-Latn-BA"/>
        </w:rPr>
        <w:t xml:space="preserve"> </w:t>
      </w:r>
      <w:r>
        <w:rPr>
          <w:rFonts w:ascii="Times New Roman" w:hAnsi="Times New Roman"/>
          <w:szCs w:val="24"/>
          <w:lang w:val="bs-Latn-BA"/>
        </w:rPr>
        <w:t>институцијама</w:t>
      </w:r>
      <w:r w:rsidR="0042679D" w:rsidRPr="00295637">
        <w:rPr>
          <w:rFonts w:ascii="Times New Roman" w:hAnsi="Times New Roman"/>
          <w:szCs w:val="24"/>
          <w:lang w:val="bs-Latn-BA"/>
        </w:rPr>
        <w:t xml:space="preserve">. </w:t>
      </w:r>
    </w:p>
    <w:p w:rsidR="0042679D" w:rsidRPr="00295637" w:rsidRDefault="0042679D" w:rsidP="0086268D">
      <w:pPr>
        <w:pStyle w:val="ListParagraph"/>
        <w:ind w:left="0"/>
        <w:jc w:val="both"/>
        <w:rPr>
          <w:rFonts w:ascii="Times New Roman" w:hAnsi="Times New Roman"/>
          <w:lang w:val="sr-Latn-BA"/>
        </w:rPr>
      </w:pPr>
    </w:p>
    <w:p w:rsidR="0042679D" w:rsidRPr="00295637" w:rsidRDefault="00C6214E" w:rsidP="0086268D">
      <w:pPr>
        <w:pStyle w:val="ListParagraph"/>
        <w:numPr>
          <w:ilvl w:val="0"/>
          <w:numId w:val="17"/>
        </w:numPr>
        <w:jc w:val="both"/>
        <w:rPr>
          <w:rFonts w:ascii="Times New Roman" w:hAnsi="Times New Roman"/>
          <w:szCs w:val="24"/>
          <w:lang w:val="hr-HR"/>
        </w:rPr>
      </w:pPr>
      <w:r>
        <w:rPr>
          <w:rFonts w:ascii="Times New Roman" w:hAnsi="Times New Roman"/>
          <w:szCs w:val="24"/>
        </w:rPr>
        <w:t>Влада</w:t>
      </w:r>
      <w:r w:rsidR="0042679D" w:rsidRPr="00295637">
        <w:rPr>
          <w:rFonts w:ascii="Times New Roman" w:hAnsi="Times New Roman"/>
          <w:szCs w:val="24"/>
        </w:rPr>
        <w:t xml:space="preserve"> </w:t>
      </w:r>
      <w:r>
        <w:rPr>
          <w:rFonts w:ascii="Times New Roman" w:hAnsi="Times New Roman"/>
          <w:szCs w:val="24"/>
        </w:rPr>
        <w:t>Републике</w:t>
      </w:r>
      <w:r w:rsidR="0042679D" w:rsidRPr="00295637">
        <w:rPr>
          <w:rFonts w:ascii="Times New Roman" w:hAnsi="Times New Roman"/>
          <w:szCs w:val="24"/>
        </w:rPr>
        <w:t xml:space="preserve"> </w:t>
      </w:r>
      <w:r>
        <w:rPr>
          <w:rFonts w:ascii="Times New Roman" w:hAnsi="Times New Roman"/>
          <w:szCs w:val="24"/>
        </w:rPr>
        <w:t>Српске</w:t>
      </w:r>
      <w:r w:rsidR="0042679D" w:rsidRPr="00295637">
        <w:rPr>
          <w:rFonts w:ascii="Times New Roman" w:hAnsi="Times New Roman"/>
          <w:szCs w:val="24"/>
        </w:rPr>
        <w:t xml:space="preserve"> </w:t>
      </w:r>
      <w:r w:rsidR="002C79FB">
        <w:rPr>
          <w:rFonts w:ascii="Times New Roman" w:hAnsi="Times New Roman"/>
          <w:szCs w:val="24"/>
        </w:rPr>
        <w:t xml:space="preserve">је </w:t>
      </w:r>
      <w:r>
        <w:rPr>
          <w:rFonts w:ascii="Times New Roman" w:hAnsi="Times New Roman"/>
          <w:szCs w:val="24"/>
        </w:rPr>
        <w:t>усвојила</w:t>
      </w:r>
      <w:r w:rsidR="0042679D" w:rsidRPr="00295637">
        <w:rPr>
          <w:rFonts w:ascii="Times New Roman" w:hAnsi="Times New Roman"/>
          <w:szCs w:val="24"/>
        </w:rPr>
        <w:t xml:space="preserve"> </w:t>
      </w:r>
      <w:r>
        <w:rPr>
          <w:rFonts w:ascii="Times New Roman" w:hAnsi="Times New Roman"/>
          <w:szCs w:val="24"/>
        </w:rPr>
        <w:t>Акциони</w:t>
      </w:r>
      <w:r w:rsidR="0042679D" w:rsidRPr="00295637">
        <w:rPr>
          <w:rFonts w:ascii="Times New Roman" w:hAnsi="Times New Roman"/>
          <w:szCs w:val="24"/>
        </w:rPr>
        <w:t xml:space="preserve"> </w:t>
      </w:r>
      <w:r>
        <w:rPr>
          <w:rFonts w:ascii="Times New Roman" w:hAnsi="Times New Roman"/>
          <w:szCs w:val="24"/>
        </w:rPr>
        <w:t>план</w:t>
      </w:r>
      <w:r w:rsidR="0042679D" w:rsidRPr="00295637">
        <w:rPr>
          <w:rFonts w:ascii="Times New Roman" w:hAnsi="Times New Roman"/>
          <w:szCs w:val="24"/>
        </w:rPr>
        <w:t xml:space="preserve"> </w:t>
      </w:r>
      <w:r>
        <w:rPr>
          <w:rFonts w:ascii="Times New Roman" w:hAnsi="Times New Roman"/>
          <w:szCs w:val="24"/>
        </w:rPr>
        <w:t>за</w:t>
      </w:r>
      <w:r w:rsidR="0042679D" w:rsidRPr="00295637">
        <w:rPr>
          <w:rFonts w:ascii="Times New Roman" w:hAnsi="Times New Roman"/>
          <w:szCs w:val="24"/>
        </w:rPr>
        <w:t xml:space="preserve"> </w:t>
      </w:r>
      <w:r w:rsidR="002C79FB">
        <w:rPr>
          <w:rFonts w:ascii="Times New Roman" w:hAnsi="Times New Roman"/>
          <w:szCs w:val="24"/>
          <w:lang w:val="sr-Cyrl-BA"/>
        </w:rPr>
        <w:t>спровођење</w:t>
      </w:r>
      <w:r w:rsidR="0042679D" w:rsidRPr="00295637">
        <w:rPr>
          <w:rFonts w:ascii="Times New Roman" w:hAnsi="Times New Roman"/>
          <w:szCs w:val="24"/>
        </w:rPr>
        <w:t xml:space="preserve"> </w:t>
      </w:r>
      <w:r>
        <w:rPr>
          <w:rFonts w:ascii="Times New Roman" w:hAnsi="Times New Roman"/>
          <w:szCs w:val="24"/>
        </w:rPr>
        <w:t>препорука</w:t>
      </w:r>
      <w:r w:rsidR="0042679D" w:rsidRPr="00295637">
        <w:rPr>
          <w:rFonts w:ascii="Times New Roman" w:hAnsi="Times New Roman"/>
          <w:szCs w:val="24"/>
        </w:rPr>
        <w:t xml:space="preserve"> </w:t>
      </w:r>
      <w:r w:rsidR="003601A7">
        <w:rPr>
          <w:rFonts w:ascii="Times New Roman" w:hAnsi="Times New Roman"/>
          <w:szCs w:val="24"/>
          <w:lang w:val="sr-Cyrl-BA"/>
        </w:rPr>
        <w:t>К</w:t>
      </w:r>
      <w:r w:rsidR="003601A7">
        <w:rPr>
          <w:rFonts w:ascii="Times New Roman" w:hAnsi="Times New Roman"/>
          <w:szCs w:val="24"/>
        </w:rPr>
        <w:t xml:space="preserve">омитета </w:t>
      </w:r>
      <w:r>
        <w:rPr>
          <w:rFonts w:ascii="Times New Roman" w:hAnsi="Times New Roman"/>
          <w:szCs w:val="24"/>
        </w:rPr>
        <w:t>ГРЕВИО</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Републици</w:t>
      </w:r>
      <w:r w:rsidR="0042679D" w:rsidRPr="00295637">
        <w:rPr>
          <w:rFonts w:ascii="Times New Roman" w:hAnsi="Times New Roman"/>
          <w:szCs w:val="24"/>
        </w:rPr>
        <w:t xml:space="preserve"> </w:t>
      </w:r>
      <w:r>
        <w:rPr>
          <w:rFonts w:ascii="Times New Roman" w:hAnsi="Times New Roman"/>
          <w:szCs w:val="24"/>
        </w:rPr>
        <w:t>Српској</w:t>
      </w:r>
      <w:r w:rsidR="0042679D" w:rsidRPr="00295637">
        <w:rPr>
          <w:rFonts w:ascii="Times New Roman" w:hAnsi="Times New Roman"/>
          <w:szCs w:val="24"/>
        </w:rPr>
        <w:t xml:space="preserve"> </w:t>
      </w:r>
      <w:r>
        <w:rPr>
          <w:rFonts w:ascii="Times New Roman" w:hAnsi="Times New Roman"/>
          <w:szCs w:val="24"/>
        </w:rPr>
        <w:t>за</w:t>
      </w:r>
      <w:r w:rsidR="0042679D" w:rsidRPr="00295637">
        <w:rPr>
          <w:rFonts w:ascii="Times New Roman" w:hAnsi="Times New Roman"/>
          <w:szCs w:val="24"/>
        </w:rPr>
        <w:t xml:space="preserve"> </w:t>
      </w:r>
      <w:r>
        <w:rPr>
          <w:rFonts w:ascii="Times New Roman" w:hAnsi="Times New Roman"/>
          <w:szCs w:val="24"/>
        </w:rPr>
        <w:t>период</w:t>
      </w:r>
      <w:r w:rsidR="0042679D" w:rsidRPr="00295637">
        <w:rPr>
          <w:rFonts w:ascii="Times New Roman" w:hAnsi="Times New Roman"/>
          <w:szCs w:val="24"/>
        </w:rPr>
        <w:t xml:space="preserve"> 2024-2025. </w:t>
      </w:r>
      <w:r>
        <w:rPr>
          <w:rFonts w:ascii="Times New Roman" w:hAnsi="Times New Roman"/>
          <w:szCs w:val="24"/>
        </w:rPr>
        <w:t>година</w:t>
      </w:r>
      <w:r w:rsidR="0042679D" w:rsidRPr="00295637">
        <w:rPr>
          <w:rFonts w:ascii="Times New Roman" w:hAnsi="Times New Roman"/>
          <w:szCs w:val="24"/>
        </w:rPr>
        <w:t xml:space="preserve">, </w:t>
      </w:r>
      <w:r>
        <w:rPr>
          <w:rFonts w:ascii="Times New Roman" w:hAnsi="Times New Roman"/>
          <w:szCs w:val="24"/>
        </w:rPr>
        <w:t>чијом</w:t>
      </w:r>
      <w:r w:rsidR="0042679D" w:rsidRPr="00295637">
        <w:rPr>
          <w:rFonts w:ascii="Times New Roman" w:hAnsi="Times New Roman"/>
          <w:szCs w:val="24"/>
        </w:rPr>
        <w:t xml:space="preserve"> </w:t>
      </w:r>
      <w:r>
        <w:rPr>
          <w:rFonts w:ascii="Times New Roman" w:hAnsi="Times New Roman"/>
          <w:szCs w:val="24"/>
        </w:rPr>
        <w:t>израдом</w:t>
      </w:r>
      <w:r w:rsidR="0042679D" w:rsidRPr="00295637">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Pr>
          <w:rFonts w:ascii="Times New Roman" w:hAnsi="Times New Roman"/>
          <w:szCs w:val="24"/>
        </w:rPr>
        <w:t>координи</w:t>
      </w:r>
      <w:r w:rsidR="000124D3">
        <w:rPr>
          <w:rFonts w:ascii="Times New Roman" w:hAnsi="Times New Roman"/>
          <w:szCs w:val="24"/>
          <w:lang w:val="sr-Cyrl-BA"/>
        </w:rPr>
        <w:t>с</w:t>
      </w:r>
      <w:r>
        <w:rPr>
          <w:rFonts w:ascii="Times New Roman" w:hAnsi="Times New Roman"/>
          <w:szCs w:val="24"/>
        </w:rPr>
        <w:t>ао</w:t>
      </w:r>
      <w:r w:rsidR="0042679D" w:rsidRPr="00295637">
        <w:rPr>
          <w:rFonts w:ascii="Times New Roman" w:hAnsi="Times New Roman"/>
          <w:szCs w:val="24"/>
        </w:rPr>
        <w:t xml:space="preserve"> </w:t>
      </w:r>
      <w:r>
        <w:rPr>
          <w:rFonts w:ascii="Times New Roman" w:hAnsi="Times New Roman"/>
          <w:szCs w:val="24"/>
        </w:rPr>
        <w:t>ЦЈРП</w:t>
      </w:r>
      <w:r w:rsidR="0042679D" w:rsidRPr="00295637">
        <w:rPr>
          <w:rFonts w:ascii="Times New Roman" w:hAnsi="Times New Roman"/>
          <w:szCs w:val="24"/>
        </w:rPr>
        <w:t xml:space="preserve"> </w:t>
      </w:r>
      <w:r>
        <w:rPr>
          <w:rFonts w:ascii="Times New Roman" w:hAnsi="Times New Roman"/>
          <w:szCs w:val="24"/>
        </w:rPr>
        <w:t>РС</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сарадњи</w:t>
      </w:r>
      <w:r w:rsidR="005853E4">
        <w:rPr>
          <w:rFonts w:ascii="Times New Roman" w:hAnsi="Times New Roman"/>
          <w:szCs w:val="24"/>
        </w:rPr>
        <w:t xml:space="preserve"> </w:t>
      </w:r>
      <w:r>
        <w:rPr>
          <w:rFonts w:ascii="Times New Roman" w:hAnsi="Times New Roman"/>
          <w:szCs w:val="24"/>
        </w:rPr>
        <w:t>с</w:t>
      </w:r>
      <w:r w:rsidR="0042679D" w:rsidRPr="00295637">
        <w:rPr>
          <w:rFonts w:ascii="Times New Roman" w:hAnsi="Times New Roman"/>
          <w:szCs w:val="24"/>
        </w:rPr>
        <w:t xml:space="preserve"> </w:t>
      </w:r>
      <w:r>
        <w:rPr>
          <w:rFonts w:ascii="Times New Roman" w:hAnsi="Times New Roman"/>
          <w:szCs w:val="24"/>
        </w:rPr>
        <w:t>свим</w:t>
      </w:r>
      <w:r w:rsidR="0042679D" w:rsidRPr="00295637">
        <w:rPr>
          <w:rFonts w:ascii="Times New Roman" w:hAnsi="Times New Roman"/>
          <w:szCs w:val="24"/>
        </w:rPr>
        <w:t xml:space="preserve"> </w:t>
      </w:r>
      <w:r>
        <w:rPr>
          <w:rFonts w:ascii="Times New Roman" w:hAnsi="Times New Roman"/>
          <w:szCs w:val="24"/>
        </w:rPr>
        <w:t>надлежним</w:t>
      </w:r>
      <w:r w:rsidR="0042679D" w:rsidRPr="00295637">
        <w:rPr>
          <w:rFonts w:ascii="Times New Roman" w:hAnsi="Times New Roman"/>
          <w:szCs w:val="24"/>
        </w:rPr>
        <w:t xml:space="preserve"> </w:t>
      </w:r>
      <w:r>
        <w:rPr>
          <w:rFonts w:ascii="Times New Roman" w:hAnsi="Times New Roman"/>
          <w:szCs w:val="24"/>
        </w:rPr>
        <w:t>институцијама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консултацијама</w:t>
      </w:r>
      <w:r w:rsidR="005853E4">
        <w:rPr>
          <w:rFonts w:ascii="Times New Roman" w:hAnsi="Times New Roman"/>
          <w:szCs w:val="24"/>
        </w:rPr>
        <w:t xml:space="preserve"> </w:t>
      </w:r>
      <w:r>
        <w:rPr>
          <w:rFonts w:ascii="Times New Roman" w:hAnsi="Times New Roman"/>
          <w:szCs w:val="24"/>
        </w:rPr>
        <w:t>са</w:t>
      </w:r>
      <w:r w:rsidR="0042679D" w:rsidRPr="00295637">
        <w:rPr>
          <w:rFonts w:ascii="Times New Roman" w:hAnsi="Times New Roman"/>
          <w:szCs w:val="24"/>
        </w:rPr>
        <w:t xml:space="preserve"> </w:t>
      </w:r>
      <w:r>
        <w:rPr>
          <w:rFonts w:ascii="Times New Roman" w:hAnsi="Times New Roman"/>
          <w:szCs w:val="24"/>
        </w:rPr>
        <w:t>установама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невладиним</w:t>
      </w:r>
      <w:r w:rsidR="0042679D" w:rsidRPr="00295637">
        <w:rPr>
          <w:rFonts w:ascii="Times New Roman" w:hAnsi="Times New Roman"/>
          <w:szCs w:val="24"/>
        </w:rPr>
        <w:t xml:space="preserve"> </w:t>
      </w:r>
      <w:r>
        <w:rPr>
          <w:rFonts w:ascii="Times New Roman" w:hAnsi="Times New Roman"/>
          <w:szCs w:val="24"/>
        </w:rPr>
        <w:t>организацијама</w:t>
      </w:r>
      <w:r w:rsidR="0042679D" w:rsidRPr="00295637">
        <w:rPr>
          <w:rFonts w:ascii="Times New Roman" w:hAnsi="Times New Roman"/>
          <w:szCs w:val="24"/>
        </w:rPr>
        <w:t xml:space="preserve"> </w:t>
      </w:r>
      <w:r>
        <w:rPr>
          <w:rFonts w:ascii="Times New Roman" w:hAnsi="Times New Roman"/>
          <w:szCs w:val="24"/>
        </w:rPr>
        <w:t>које</w:t>
      </w:r>
      <w:r w:rsidR="0042679D" w:rsidRPr="00295637">
        <w:rPr>
          <w:rFonts w:ascii="Times New Roman" w:hAnsi="Times New Roman"/>
          <w:szCs w:val="24"/>
        </w:rPr>
        <w:t xml:space="preserve"> </w:t>
      </w:r>
      <w:r>
        <w:rPr>
          <w:rFonts w:ascii="Times New Roman" w:hAnsi="Times New Roman"/>
          <w:szCs w:val="24"/>
        </w:rPr>
        <w:t>се</w:t>
      </w:r>
      <w:r w:rsidR="0042679D" w:rsidRPr="00295637">
        <w:rPr>
          <w:rFonts w:ascii="Times New Roman" w:hAnsi="Times New Roman"/>
          <w:szCs w:val="24"/>
        </w:rPr>
        <w:t xml:space="preserve"> </w:t>
      </w:r>
      <w:r>
        <w:rPr>
          <w:rFonts w:ascii="Times New Roman" w:hAnsi="Times New Roman"/>
          <w:szCs w:val="24"/>
        </w:rPr>
        <w:t>баве</w:t>
      </w:r>
      <w:r w:rsidR="0042679D" w:rsidRPr="00295637">
        <w:rPr>
          <w:rFonts w:ascii="Times New Roman" w:hAnsi="Times New Roman"/>
          <w:szCs w:val="24"/>
        </w:rPr>
        <w:t xml:space="preserve"> </w:t>
      </w:r>
      <w:r>
        <w:rPr>
          <w:rFonts w:ascii="Times New Roman" w:hAnsi="Times New Roman"/>
          <w:szCs w:val="24"/>
        </w:rPr>
        <w:t>заштитом</w:t>
      </w:r>
      <w:r w:rsidR="0042679D" w:rsidRPr="00295637">
        <w:rPr>
          <w:rFonts w:ascii="Times New Roman" w:hAnsi="Times New Roman"/>
          <w:szCs w:val="24"/>
        </w:rPr>
        <w:t xml:space="preserve"> </w:t>
      </w:r>
      <w:r>
        <w:rPr>
          <w:rFonts w:ascii="Times New Roman" w:hAnsi="Times New Roman"/>
          <w:szCs w:val="24"/>
        </w:rPr>
        <w:t>жена</w:t>
      </w:r>
      <w:r w:rsidR="0042679D" w:rsidRPr="00295637">
        <w:rPr>
          <w:rFonts w:ascii="Times New Roman" w:hAnsi="Times New Roman"/>
          <w:szCs w:val="24"/>
        </w:rPr>
        <w:t xml:space="preserve"> </w:t>
      </w:r>
      <w:r>
        <w:rPr>
          <w:rFonts w:ascii="Times New Roman" w:hAnsi="Times New Roman"/>
          <w:szCs w:val="24"/>
        </w:rPr>
        <w:t>жртава</w:t>
      </w:r>
      <w:r w:rsidR="0042679D" w:rsidRPr="00295637">
        <w:rPr>
          <w:rFonts w:ascii="Times New Roman" w:hAnsi="Times New Roman"/>
          <w:szCs w:val="24"/>
        </w:rPr>
        <w:t xml:space="preserve"> </w:t>
      </w:r>
      <w:r>
        <w:rPr>
          <w:rFonts w:ascii="Times New Roman" w:hAnsi="Times New Roman"/>
          <w:szCs w:val="24"/>
        </w:rPr>
        <w:t>насиља</w:t>
      </w:r>
      <w:r w:rsidR="0042679D" w:rsidRPr="00295637">
        <w:rPr>
          <w:rFonts w:ascii="Times New Roman" w:hAnsi="Times New Roman"/>
          <w:szCs w:val="24"/>
        </w:rPr>
        <w:t>.</w:t>
      </w:r>
      <w:r w:rsidR="0042679D" w:rsidRPr="00295637">
        <w:rPr>
          <w:rFonts w:ascii="Times New Roman" w:hAnsi="Times New Roman"/>
          <w:lang w:val="sr-Latn-BA"/>
        </w:rPr>
        <w:t xml:space="preserve"> </w:t>
      </w:r>
    </w:p>
    <w:p w:rsidR="0042679D" w:rsidRPr="00141F3F" w:rsidRDefault="0042679D" w:rsidP="0086268D">
      <w:pPr>
        <w:jc w:val="both"/>
        <w:rPr>
          <w:rFonts w:ascii="Times New Roman" w:hAnsi="Times New Roman"/>
          <w:szCs w:val="24"/>
          <w:lang w:val="bs-Latn-BA"/>
        </w:rPr>
      </w:pPr>
    </w:p>
    <w:p w:rsidR="0042679D" w:rsidRPr="00141F3F"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lang w:val="sr-Latn-BA"/>
        </w:rPr>
        <w:t>Поред</w:t>
      </w:r>
      <w:r w:rsidR="0042679D" w:rsidRPr="00295637">
        <w:rPr>
          <w:rFonts w:ascii="Times New Roman" w:hAnsi="Times New Roman"/>
          <w:lang w:val="sr-Latn-BA"/>
        </w:rPr>
        <w:t xml:space="preserve"> </w:t>
      </w:r>
      <w:r>
        <w:rPr>
          <w:rFonts w:ascii="Times New Roman" w:hAnsi="Times New Roman"/>
          <w:lang w:val="sr-Latn-BA"/>
        </w:rPr>
        <w:t>одржаних</w:t>
      </w:r>
      <w:r w:rsidR="0042679D" w:rsidRPr="00295637">
        <w:rPr>
          <w:rFonts w:ascii="Times New Roman" w:hAnsi="Times New Roman"/>
          <w:lang w:val="sr-Latn-BA"/>
        </w:rPr>
        <w:t xml:space="preserve"> </w:t>
      </w:r>
      <w:r>
        <w:rPr>
          <w:rFonts w:ascii="Times New Roman" w:hAnsi="Times New Roman"/>
          <w:lang w:val="sr-Latn-BA"/>
        </w:rPr>
        <w:t>специјалистичких</w:t>
      </w:r>
      <w:r w:rsidR="0042679D">
        <w:rPr>
          <w:rFonts w:ascii="Times New Roman" w:hAnsi="Times New Roman"/>
          <w:lang w:val="sr-Latn-BA"/>
        </w:rPr>
        <w:t xml:space="preserve"> </w:t>
      </w:r>
      <w:r>
        <w:rPr>
          <w:rFonts w:ascii="Times New Roman" w:hAnsi="Times New Roman"/>
          <w:lang w:val="sr-Latn-BA"/>
        </w:rPr>
        <w:t>обука</w:t>
      </w:r>
      <w:r w:rsidR="0042679D">
        <w:rPr>
          <w:rFonts w:ascii="Times New Roman" w:hAnsi="Times New Roman"/>
          <w:lang w:val="sr-Latn-BA"/>
        </w:rPr>
        <w:t xml:space="preserve"> </w:t>
      </w:r>
      <w:r>
        <w:rPr>
          <w:rFonts w:ascii="Times New Roman" w:hAnsi="Times New Roman"/>
          <w:lang w:val="sr-Latn-BA"/>
        </w:rPr>
        <w:t>полицијских</w:t>
      </w:r>
      <w:r w:rsidR="0042679D">
        <w:rPr>
          <w:rFonts w:ascii="Times New Roman" w:hAnsi="Times New Roman"/>
          <w:lang w:val="sr-Latn-BA"/>
        </w:rPr>
        <w:t xml:space="preserve"> </w:t>
      </w:r>
      <w:r>
        <w:rPr>
          <w:rFonts w:ascii="Times New Roman" w:hAnsi="Times New Roman"/>
          <w:lang w:val="sr-Latn-BA"/>
        </w:rPr>
        <w:t>службеника</w:t>
      </w:r>
      <w:r w:rsidR="0042679D">
        <w:rPr>
          <w:rFonts w:ascii="Times New Roman" w:hAnsi="Times New Roman"/>
          <w:lang w:val="sr-Latn-BA"/>
        </w:rPr>
        <w:t xml:space="preserve"> </w:t>
      </w:r>
      <w:r>
        <w:rPr>
          <w:rFonts w:ascii="Times New Roman" w:hAnsi="Times New Roman"/>
          <w:lang w:val="sr-Latn-BA"/>
        </w:rPr>
        <w:t>на</w:t>
      </w:r>
      <w:r w:rsidR="0042679D">
        <w:rPr>
          <w:rFonts w:ascii="Times New Roman" w:hAnsi="Times New Roman"/>
          <w:lang w:val="sr-Latn-BA"/>
        </w:rPr>
        <w:t xml:space="preserve"> </w:t>
      </w:r>
      <w:r>
        <w:rPr>
          <w:rFonts w:ascii="Times New Roman" w:hAnsi="Times New Roman"/>
          <w:lang w:val="sr-Latn-BA"/>
        </w:rPr>
        <w:t>тему</w:t>
      </w:r>
      <w:r w:rsidR="0042679D">
        <w:rPr>
          <w:rFonts w:ascii="Times New Roman" w:hAnsi="Times New Roman"/>
          <w:lang w:val="sr-Latn-BA"/>
        </w:rPr>
        <w:t xml:space="preserve"> </w:t>
      </w:r>
      <w:r>
        <w:rPr>
          <w:rFonts w:ascii="Times New Roman" w:hAnsi="Times New Roman"/>
          <w:lang w:val="sr-Latn-BA"/>
        </w:rPr>
        <w:t>поступања</w:t>
      </w:r>
      <w:r w:rsidR="0042679D">
        <w:rPr>
          <w:rFonts w:ascii="Times New Roman" w:hAnsi="Times New Roman"/>
          <w:lang w:val="sr-Latn-BA"/>
        </w:rPr>
        <w:t xml:space="preserve"> </w:t>
      </w:r>
      <w:r>
        <w:rPr>
          <w:rFonts w:ascii="Times New Roman" w:hAnsi="Times New Roman"/>
          <w:lang w:val="sr-Latn-BA"/>
        </w:rPr>
        <w:t>у</w:t>
      </w:r>
      <w:r w:rsidR="0042679D">
        <w:rPr>
          <w:rFonts w:ascii="Times New Roman" w:hAnsi="Times New Roman"/>
          <w:lang w:val="sr-Latn-BA"/>
        </w:rPr>
        <w:t xml:space="preserve"> </w:t>
      </w:r>
      <w:r>
        <w:rPr>
          <w:rFonts w:ascii="Times New Roman" w:hAnsi="Times New Roman"/>
          <w:lang w:val="sr-Latn-BA"/>
        </w:rPr>
        <w:t>случајевима</w:t>
      </w:r>
      <w:r w:rsidR="0042679D">
        <w:rPr>
          <w:rFonts w:ascii="Times New Roman" w:hAnsi="Times New Roman"/>
          <w:lang w:val="sr-Latn-BA"/>
        </w:rPr>
        <w:t xml:space="preserve"> </w:t>
      </w:r>
      <w:r>
        <w:rPr>
          <w:rFonts w:ascii="Times New Roman" w:hAnsi="Times New Roman"/>
          <w:lang w:val="sr-Latn-BA"/>
        </w:rPr>
        <w:t>насиља</w:t>
      </w:r>
      <w:r w:rsidR="0042679D">
        <w:rPr>
          <w:rFonts w:ascii="Times New Roman" w:hAnsi="Times New Roman"/>
          <w:lang w:val="sr-Latn-BA"/>
        </w:rPr>
        <w:t xml:space="preserve"> </w:t>
      </w:r>
      <w:r>
        <w:rPr>
          <w:rFonts w:ascii="Times New Roman" w:hAnsi="Times New Roman"/>
          <w:lang w:val="sr-Latn-BA"/>
        </w:rPr>
        <w:t>у</w:t>
      </w:r>
      <w:r w:rsidR="0042679D">
        <w:rPr>
          <w:rFonts w:ascii="Times New Roman" w:hAnsi="Times New Roman"/>
          <w:lang w:val="sr-Latn-BA"/>
        </w:rPr>
        <w:t xml:space="preserve"> </w:t>
      </w:r>
      <w:r>
        <w:rPr>
          <w:rFonts w:ascii="Times New Roman" w:hAnsi="Times New Roman"/>
          <w:lang w:val="sr-Latn-BA"/>
        </w:rPr>
        <w:t>породици</w:t>
      </w:r>
      <w:r w:rsidR="0042679D">
        <w:rPr>
          <w:rFonts w:ascii="Times New Roman" w:hAnsi="Times New Roman"/>
          <w:lang w:val="sr-Latn-BA"/>
        </w:rPr>
        <w:t xml:space="preserve"> </w:t>
      </w:r>
      <w:r>
        <w:rPr>
          <w:rFonts w:ascii="Times New Roman" w:hAnsi="Times New Roman"/>
          <w:lang w:val="sr-Latn-BA"/>
        </w:rPr>
        <w:t>и</w:t>
      </w:r>
      <w:r w:rsidR="0042679D">
        <w:rPr>
          <w:rFonts w:ascii="Times New Roman" w:hAnsi="Times New Roman"/>
          <w:lang w:val="sr-Latn-BA"/>
        </w:rPr>
        <w:t xml:space="preserve"> </w:t>
      </w:r>
      <w:r>
        <w:rPr>
          <w:rFonts w:ascii="Times New Roman" w:hAnsi="Times New Roman"/>
          <w:lang w:val="sr-Latn-BA"/>
        </w:rPr>
        <w:t>јачање</w:t>
      </w:r>
      <w:r w:rsidR="0042679D">
        <w:rPr>
          <w:rFonts w:ascii="Times New Roman" w:hAnsi="Times New Roman"/>
          <w:lang w:val="sr-Latn-BA"/>
        </w:rPr>
        <w:t xml:space="preserve"> </w:t>
      </w:r>
      <w:r>
        <w:rPr>
          <w:rFonts w:ascii="Times New Roman" w:hAnsi="Times New Roman"/>
          <w:lang w:val="sr-Latn-BA"/>
        </w:rPr>
        <w:t>механизама</w:t>
      </w:r>
      <w:r w:rsidR="0042679D">
        <w:rPr>
          <w:rFonts w:ascii="Times New Roman" w:hAnsi="Times New Roman"/>
          <w:lang w:val="sr-Latn-BA"/>
        </w:rPr>
        <w:t xml:space="preserve"> </w:t>
      </w:r>
      <w:r>
        <w:rPr>
          <w:rFonts w:ascii="Times New Roman" w:hAnsi="Times New Roman"/>
          <w:lang w:val="sr-Latn-BA"/>
        </w:rPr>
        <w:t>подршк</w:t>
      </w:r>
      <w:r w:rsidR="000124D3">
        <w:rPr>
          <w:rFonts w:ascii="Times New Roman" w:hAnsi="Times New Roman"/>
          <w:lang w:val="sr-Cyrl-BA"/>
        </w:rPr>
        <w:t>е</w:t>
      </w:r>
      <w:r w:rsidR="0042679D">
        <w:rPr>
          <w:rFonts w:ascii="Times New Roman" w:hAnsi="Times New Roman"/>
          <w:lang w:val="sr-Latn-BA"/>
        </w:rPr>
        <w:t xml:space="preserve"> </w:t>
      </w:r>
      <w:r>
        <w:rPr>
          <w:rFonts w:ascii="Times New Roman" w:hAnsi="Times New Roman"/>
          <w:lang w:val="sr-Latn-BA"/>
        </w:rPr>
        <w:t>за</w:t>
      </w:r>
      <w:r w:rsidR="0042679D">
        <w:rPr>
          <w:rFonts w:ascii="Times New Roman" w:hAnsi="Times New Roman"/>
          <w:lang w:val="sr-Latn-BA"/>
        </w:rPr>
        <w:t xml:space="preserve"> </w:t>
      </w:r>
      <w:r>
        <w:rPr>
          <w:rFonts w:ascii="Times New Roman" w:hAnsi="Times New Roman"/>
          <w:lang w:val="sr-Latn-BA"/>
        </w:rPr>
        <w:t>борбу</w:t>
      </w:r>
      <w:r w:rsidR="0042679D">
        <w:rPr>
          <w:rFonts w:ascii="Times New Roman" w:hAnsi="Times New Roman"/>
          <w:lang w:val="sr-Latn-BA"/>
        </w:rPr>
        <w:t xml:space="preserve"> </w:t>
      </w:r>
      <w:r>
        <w:rPr>
          <w:rFonts w:ascii="Times New Roman" w:hAnsi="Times New Roman"/>
          <w:lang w:val="sr-Latn-BA"/>
        </w:rPr>
        <w:t>против</w:t>
      </w:r>
      <w:r w:rsidR="0042679D">
        <w:rPr>
          <w:rFonts w:ascii="Times New Roman" w:hAnsi="Times New Roman"/>
          <w:lang w:val="sr-Latn-BA"/>
        </w:rPr>
        <w:t xml:space="preserve"> </w:t>
      </w:r>
      <w:r>
        <w:rPr>
          <w:rFonts w:ascii="Times New Roman" w:hAnsi="Times New Roman"/>
          <w:lang w:val="sr-Latn-BA"/>
        </w:rPr>
        <w:t>сексуалне</w:t>
      </w:r>
      <w:r w:rsidR="0042679D">
        <w:rPr>
          <w:rFonts w:ascii="Times New Roman" w:hAnsi="Times New Roman"/>
          <w:lang w:val="sr-Latn-BA"/>
        </w:rPr>
        <w:t xml:space="preserve"> </w:t>
      </w:r>
      <w:r>
        <w:rPr>
          <w:rFonts w:ascii="Times New Roman" w:hAnsi="Times New Roman"/>
          <w:lang w:val="sr-Latn-BA"/>
        </w:rPr>
        <w:t>изнуде</w:t>
      </w:r>
      <w:r w:rsidR="0042679D">
        <w:rPr>
          <w:rFonts w:ascii="Times New Roman" w:hAnsi="Times New Roman"/>
          <w:lang w:val="sr-Latn-BA"/>
        </w:rPr>
        <w:t xml:space="preserve"> </w:t>
      </w:r>
      <w:r>
        <w:rPr>
          <w:rFonts w:ascii="Times New Roman" w:hAnsi="Times New Roman"/>
          <w:lang w:val="sr-Latn-BA"/>
        </w:rPr>
        <w:t>и</w:t>
      </w:r>
      <w:r w:rsidR="0042679D">
        <w:rPr>
          <w:rFonts w:ascii="Times New Roman" w:hAnsi="Times New Roman"/>
          <w:lang w:val="sr-Latn-BA"/>
        </w:rPr>
        <w:t xml:space="preserve"> </w:t>
      </w:r>
      <w:r>
        <w:rPr>
          <w:rFonts w:ascii="Times New Roman" w:hAnsi="Times New Roman"/>
          <w:lang w:val="sr-Latn-BA"/>
        </w:rPr>
        <w:t>сексуалног</w:t>
      </w:r>
      <w:r w:rsidR="0042679D">
        <w:rPr>
          <w:rFonts w:ascii="Times New Roman" w:hAnsi="Times New Roman"/>
          <w:lang w:val="sr-Latn-BA"/>
        </w:rPr>
        <w:t xml:space="preserve"> </w:t>
      </w:r>
      <w:r>
        <w:rPr>
          <w:rFonts w:ascii="Times New Roman" w:hAnsi="Times New Roman"/>
          <w:lang w:val="sr-Latn-BA"/>
        </w:rPr>
        <w:t>насиља</w:t>
      </w:r>
      <w:r w:rsidR="0042679D">
        <w:rPr>
          <w:rFonts w:ascii="Times New Roman" w:hAnsi="Times New Roman"/>
          <w:lang w:val="sr-Latn-BA"/>
        </w:rPr>
        <w:t xml:space="preserve">, </w:t>
      </w:r>
      <w:r>
        <w:rPr>
          <w:rFonts w:ascii="Times New Roman" w:hAnsi="Times New Roman"/>
          <w:lang w:val="sr-Latn-BA"/>
        </w:rPr>
        <w:t>у</w:t>
      </w:r>
      <w:r w:rsidR="0042679D">
        <w:rPr>
          <w:rFonts w:ascii="Times New Roman" w:hAnsi="Times New Roman"/>
          <w:lang w:val="sr-Latn-BA"/>
        </w:rPr>
        <w:t xml:space="preserve"> </w:t>
      </w:r>
      <w:r>
        <w:rPr>
          <w:rFonts w:ascii="Times New Roman" w:hAnsi="Times New Roman"/>
          <w:lang w:val="sr-Latn-BA"/>
        </w:rPr>
        <w:t>РС</w:t>
      </w:r>
      <w:r w:rsidR="0042679D">
        <w:rPr>
          <w:rFonts w:ascii="Times New Roman" w:hAnsi="Times New Roman"/>
          <w:lang w:val="sr-Latn-BA"/>
        </w:rPr>
        <w:t xml:space="preserve"> </w:t>
      </w:r>
      <w:r>
        <w:rPr>
          <w:rFonts w:ascii="Times New Roman" w:hAnsi="Times New Roman"/>
          <w:lang w:val="sr-Latn-BA"/>
        </w:rPr>
        <w:t>су</w:t>
      </w:r>
      <w:r w:rsidR="0042679D">
        <w:rPr>
          <w:rFonts w:ascii="Times New Roman" w:hAnsi="Times New Roman"/>
          <w:lang w:val="sr-Latn-BA"/>
        </w:rPr>
        <w:t xml:space="preserve"> </w:t>
      </w:r>
      <w:r>
        <w:rPr>
          <w:rFonts w:ascii="Times New Roman" w:hAnsi="Times New Roman"/>
          <w:lang w:val="sr-Latn-BA"/>
        </w:rPr>
        <w:t>израђени</w:t>
      </w:r>
      <w:r w:rsidR="0042679D" w:rsidRPr="00295637">
        <w:rPr>
          <w:rFonts w:ascii="Times New Roman" w:hAnsi="Times New Roman"/>
          <w:lang w:val="sr-Latn-BA"/>
        </w:rPr>
        <w:t xml:space="preserve"> </w:t>
      </w:r>
      <w:r>
        <w:rPr>
          <w:rFonts w:ascii="Times New Roman" w:hAnsi="Times New Roman"/>
          <w:lang w:val="sr-Latn-BA"/>
        </w:rPr>
        <w:t>едука</w:t>
      </w:r>
      <w:r w:rsidR="000124D3">
        <w:rPr>
          <w:rFonts w:ascii="Times New Roman" w:hAnsi="Times New Roman"/>
          <w:lang w:val="sr-Cyrl-BA"/>
        </w:rPr>
        <w:t>тивни</w:t>
      </w:r>
      <w:r w:rsidR="0042679D" w:rsidRPr="00295637">
        <w:rPr>
          <w:rFonts w:ascii="Times New Roman" w:hAnsi="Times New Roman"/>
          <w:lang w:val="sr-Latn-BA"/>
        </w:rPr>
        <w:t xml:space="preserve"> </w:t>
      </w:r>
      <w:r>
        <w:rPr>
          <w:rFonts w:ascii="Times New Roman" w:hAnsi="Times New Roman"/>
          <w:lang w:val="sr-Latn-BA"/>
        </w:rPr>
        <w:t>материјали</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запосленике</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субјектима</w:t>
      </w:r>
      <w:r w:rsidR="0042679D" w:rsidRPr="00295637">
        <w:rPr>
          <w:rFonts w:ascii="Times New Roman" w:hAnsi="Times New Roman"/>
          <w:lang w:val="sr-Latn-BA"/>
        </w:rPr>
        <w:t xml:space="preserve"> </w:t>
      </w:r>
      <w:r>
        <w:rPr>
          <w:rFonts w:ascii="Times New Roman" w:hAnsi="Times New Roman"/>
          <w:lang w:val="sr-Latn-BA"/>
        </w:rPr>
        <w:t>заштите</w:t>
      </w:r>
      <w:r w:rsidR="0042679D" w:rsidRPr="00295637">
        <w:rPr>
          <w:rFonts w:ascii="Times New Roman" w:hAnsi="Times New Roman"/>
          <w:lang w:val="sr-Latn-BA"/>
        </w:rPr>
        <w:t xml:space="preserve">: </w:t>
      </w:r>
      <w:r>
        <w:rPr>
          <w:rFonts w:ascii="Times New Roman" w:hAnsi="Times New Roman"/>
          <w:lang w:val="sr-Latn-BA"/>
        </w:rPr>
        <w:t>водич</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полицијске</w:t>
      </w:r>
      <w:r w:rsidR="0042679D" w:rsidRPr="00295637">
        <w:rPr>
          <w:rFonts w:ascii="Times New Roman" w:hAnsi="Times New Roman"/>
          <w:lang w:val="sr-Latn-BA"/>
        </w:rPr>
        <w:t xml:space="preserve"> </w:t>
      </w:r>
      <w:r>
        <w:rPr>
          <w:rFonts w:ascii="Times New Roman" w:hAnsi="Times New Roman"/>
          <w:lang w:val="sr-Latn-BA"/>
        </w:rPr>
        <w:t>службенике</w:t>
      </w:r>
      <w:r w:rsidR="0042679D" w:rsidRPr="00295637">
        <w:rPr>
          <w:rFonts w:ascii="Times New Roman" w:hAnsi="Times New Roman"/>
          <w:lang w:val="sr-Latn-BA"/>
        </w:rPr>
        <w:t xml:space="preserve"> „</w:t>
      </w:r>
      <w:r>
        <w:rPr>
          <w:rFonts w:ascii="Times New Roman" w:hAnsi="Times New Roman"/>
          <w:lang w:val="sr-Latn-BA"/>
        </w:rPr>
        <w:t>Поступање</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случајевима</w:t>
      </w:r>
      <w:r w:rsidR="0042679D" w:rsidRPr="00295637">
        <w:rPr>
          <w:rFonts w:ascii="Times New Roman" w:hAnsi="Times New Roman"/>
          <w:lang w:val="sr-Latn-BA"/>
        </w:rPr>
        <w:t xml:space="preserve"> </w:t>
      </w:r>
      <w:r>
        <w:rPr>
          <w:rFonts w:ascii="Times New Roman" w:hAnsi="Times New Roman"/>
          <w:lang w:val="sr-Latn-BA"/>
        </w:rPr>
        <w:t>насиља</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породици</w:t>
      </w:r>
      <w:r w:rsidR="0042679D" w:rsidRPr="00295637">
        <w:rPr>
          <w:rFonts w:ascii="Times New Roman" w:hAnsi="Times New Roman"/>
          <w:lang w:val="sr-Latn-BA"/>
        </w:rPr>
        <w:t xml:space="preserve">“, </w:t>
      </w:r>
      <w:r>
        <w:rPr>
          <w:rFonts w:ascii="Times New Roman" w:hAnsi="Times New Roman"/>
          <w:lang w:val="sr-Latn-BA"/>
        </w:rPr>
        <w:t>ресурсни</w:t>
      </w:r>
      <w:r w:rsidR="0042679D" w:rsidRPr="00295637">
        <w:rPr>
          <w:rFonts w:ascii="Times New Roman" w:hAnsi="Times New Roman"/>
          <w:lang w:val="sr-Latn-BA"/>
        </w:rPr>
        <w:t xml:space="preserve"> </w:t>
      </w:r>
      <w:r>
        <w:rPr>
          <w:rFonts w:ascii="Times New Roman" w:hAnsi="Times New Roman"/>
          <w:lang w:val="sr-Latn-BA"/>
        </w:rPr>
        <w:t>пакет</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информи</w:t>
      </w:r>
      <w:r w:rsidR="000124D3">
        <w:rPr>
          <w:rFonts w:ascii="Times New Roman" w:hAnsi="Times New Roman"/>
          <w:lang w:val="sr-Cyrl-BA"/>
        </w:rPr>
        <w:t>с</w:t>
      </w:r>
      <w:r>
        <w:rPr>
          <w:rFonts w:ascii="Times New Roman" w:hAnsi="Times New Roman"/>
          <w:lang w:val="sr-Latn-BA"/>
        </w:rPr>
        <w:t>ање</w:t>
      </w:r>
      <w:r w:rsidR="0042679D" w:rsidRPr="00295637">
        <w:rPr>
          <w:rFonts w:ascii="Times New Roman" w:hAnsi="Times New Roman"/>
          <w:lang w:val="sr-Latn-BA"/>
        </w:rPr>
        <w:t xml:space="preserve"> </w:t>
      </w:r>
      <w:r>
        <w:rPr>
          <w:rFonts w:ascii="Times New Roman" w:hAnsi="Times New Roman"/>
          <w:lang w:val="sr-Latn-BA"/>
        </w:rPr>
        <w:t>жртава</w:t>
      </w:r>
      <w:r w:rsidR="0042679D" w:rsidRPr="00295637">
        <w:rPr>
          <w:rFonts w:ascii="Times New Roman" w:hAnsi="Times New Roman"/>
          <w:lang w:val="sr-Latn-BA"/>
        </w:rPr>
        <w:t xml:space="preserve"> </w:t>
      </w:r>
      <w:r>
        <w:rPr>
          <w:rFonts w:ascii="Times New Roman" w:hAnsi="Times New Roman"/>
          <w:lang w:val="sr-Latn-BA"/>
        </w:rPr>
        <w:t>насиља</w:t>
      </w:r>
      <w:r w:rsidR="0042679D" w:rsidRPr="00295637">
        <w:rPr>
          <w:rFonts w:ascii="Times New Roman" w:hAnsi="Times New Roman"/>
          <w:lang w:val="sr-Latn-BA"/>
        </w:rPr>
        <w:t xml:space="preserve">, </w:t>
      </w:r>
      <w:r>
        <w:rPr>
          <w:rFonts w:ascii="Times New Roman" w:hAnsi="Times New Roman"/>
          <w:lang w:val="sr-Latn-BA"/>
        </w:rPr>
        <w:t>документ</w:t>
      </w:r>
      <w:r w:rsidR="005853E4">
        <w:rPr>
          <w:rFonts w:ascii="Times New Roman" w:hAnsi="Times New Roman"/>
          <w:lang w:val="sr-Latn-BA"/>
        </w:rPr>
        <w:t xml:space="preserve"> </w:t>
      </w:r>
      <w:r w:rsidR="00EB31AF">
        <w:rPr>
          <w:rFonts w:ascii="Times New Roman" w:hAnsi="Times New Roman"/>
          <w:lang w:val="bs-Cyrl-BA"/>
        </w:rPr>
        <w:t xml:space="preserve">за политике </w:t>
      </w:r>
      <w:r>
        <w:rPr>
          <w:rFonts w:ascii="Times New Roman" w:hAnsi="Times New Roman"/>
          <w:lang w:val="sr-Latn-BA"/>
        </w:rPr>
        <w:t>са</w:t>
      </w:r>
      <w:r w:rsidR="0042679D" w:rsidRPr="00295637">
        <w:rPr>
          <w:rFonts w:ascii="Times New Roman" w:hAnsi="Times New Roman"/>
          <w:lang w:val="sr-Latn-BA"/>
        </w:rPr>
        <w:t xml:space="preserve"> </w:t>
      </w:r>
      <w:r>
        <w:rPr>
          <w:rFonts w:ascii="Times New Roman" w:hAnsi="Times New Roman"/>
          <w:lang w:val="sr-Latn-BA"/>
        </w:rPr>
        <w:t>анализом</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препорукама</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унапређење</w:t>
      </w:r>
      <w:r w:rsidR="0042679D" w:rsidRPr="00295637">
        <w:rPr>
          <w:rFonts w:ascii="Times New Roman" w:hAnsi="Times New Roman"/>
          <w:lang w:val="sr-Latn-BA"/>
        </w:rPr>
        <w:t xml:space="preserve"> </w:t>
      </w:r>
      <w:r>
        <w:rPr>
          <w:rFonts w:ascii="Times New Roman" w:hAnsi="Times New Roman"/>
          <w:lang w:val="sr-Latn-BA"/>
        </w:rPr>
        <w:t>законодавних</w:t>
      </w:r>
      <w:r w:rsidR="0042679D" w:rsidRPr="00295637">
        <w:rPr>
          <w:rFonts w:ascii="Times New Roman" w:hAnsi="Times New Roman"/>
          <w:lang w:val="sr-Latn-BA"/>
        </w:rPr>
        <w:t xml:space="preserve"> </w:t>
      </w:r>
      <w:r>
        <w:rPr>
          <w:rFonts w:ascii="Times New Roman" w:hAnsi="Times New Roman"/>
          <w:lang w:val="sr-Latn-BA"/>
        </w:rPr>
        <w:t>политика</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области</w:t>
      </w:r>
      <w:r w:rsidR="0042679D" w:rsidRPr="00295637">
        <w:rPr>
          <w:rFonts w:ascii="Times New Roman" w:hAnsi="Times New Roman"/>
          <w:lang w:val="sr-Latn-BA"/>
        </w:rPr>
        <w:t xml:space="preserve"> </w:t>
      </w:r>
      <w:r>
        <w:rPr>
          <w:rFonts w:ascii="Times New Roman" w:hAnsi="Times New Roman"/>
          <w:lang w:val="sr-Latn-BA"/>
        </w:rPr>
        <w:t>заштите</w:t>
      </w:r>
      <w:r w:rsidR="0042679D" w:rsidRPr="00295637">
        <w:rPr>
          <w:rFonts w:ascii="Times New Roman" w:hAnsi="Times New Roman"/>
          <w:lang w:val="sr-Latn-BA"/>
        </w:rPr>
        <w:t xml:space="preserve"> </w:t>
      </w:r>
      <w:r>
        <w:rPr>
          <w:rFonts w:ascii="Times New Roman" w:hAnsi="Times New Roman"/>
          <w:lang w:val="sr-Latn-BA"/>
        </w:rPr>
        <w:t>од</w:t>
      </w:r>
      <w:r w:rsidR="0042679D" w:rsidRPr="00295637">
        <w:rPr>
          <w:rFonts w:ascii="Times New Roman" w:hAnsi="Times New Roman"/>
          <w:lang w:val="sr-Latn-BA"/>
        </w:rPr>
        <w:t xml:space="preserve"> </w:t>
      </w:r>
      <w:r>
        <w:rPr>
          <w:rFonts w:ascii="Times New Roman" w:hAnsi="Times New Roman"/>
          <w:lang w:val="sr-Latn-BA"/>
        </w:rPr>
        <w:t>насиља</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породици</w:t>
      </w:r>
      <w:r w:rsidR="0042679D" w:rsidRPr="00295637">
        <w:rPr>
          <w:rFonts w:ascii="Times New Roman" w:hAnsi="Times New Roman"/>
          <w:lang w:val="sr-Latn-BA"/>
        </w:rPr>
        <w:t xml:space="preserve">, </w:t>
      </w:r>
      <w:r>
        <w:rPr>
          <w:rFonts w:ascii="Times New Roman" w:hAnsi="Times New Roman"/>
          <w:lang w:val="sr-Latn-BA"/>
        </w:rPr>
        <w:t>приручник</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плакат</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поступање</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случајевима</w:t>
      </w:r>
      <w:r w:rsidR="0042679D" w:rsidRPr="00295637">
        <w:rPr>
          <w:rFonts w:ascii="Times New Roman" w:hAnsi="Times New Roman"/>
          <w:lang w:val="sr-Latn-BA"/>
        </w:rPr>
        <w:t xml:space="preserve"> </w:t>
      </w:r>
      <w:r>
        <w:rPr>
          <w:rFonts w:ascii="Times New Roman" w:hAnsi="Times New Roman"/>
          <w:lang w:val="sr-Latn-BA"/>
        </w:rPr>
        <w:t>насиља</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породици</w:t>
      </w:r>
      <w:r w:rsidR="005853E4">
        <w:rPr>
          <w:rFonts w:ascii="Times New Roman" w:hAnsi="Times New Roman"/>
          <w:lang w:val="sr-Latn-BA"/>
        </w:rPr>
        <w:t>.</w:t>
      </w:r>
    </w:p>
    <w:p w:rsidR="0042679D" w:rsidRPr="00141F3F" w:rsidRDefault="0042679D" w:rsidP="0086268D">
      <w:pPr>
        <w:pStyle w:val="ListParagraph"/>
        <w:ind w:left="720"/>
        <w:jc w:val="both"/>
        <w:rPr>
          <w:rFonts w:ascii="Times New Roman" w:hAnsi="Times New Roman"/>
          <w:szCs w:val="24"/>
          <w:lang w:val="bs-Latn-BA"/>
        </w:rPr>
      </w:pPr>
    </w:p>
    <w:p w:rsidR="0079571B"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Градоначелник</w:t>
      </w:r>
      <w:r w:rsidR="0079571B">
        <w:rPr>
          <w:rFonts w:ascii="Times New Roman" w:hAnsi="Times New Roman"/>
          <w:szCs w:val="24"/>
          <w:lang w:val="bs-Latn-BA"/>
        </w:rPr>
        <w:t xml:space="preserve"> </w:t>
      </w:r>
      <w:r>
        <w:rPr>
          <w:rFonts w:ascii="Times New Roman" w:hAnsi="Times New Roman"/>
          <w:szCs w:val="24"/>
          <w:lang w:val="bs-Latn-BA"/>
        </w:rPr>
        <w:t>Брчко</w:t>
      </w:r>
      <w:r w:rsidR="0079571B">
        <w:rPr>
          <w:rFonts w:ascii="Times New Roman" w:hAnsi="Times New Roman"/>
          <w:szCs w:val="24"/>
          <w:lang w:val="bs-Latn-BA"/>
        </w:rPr>
        <w:t xml:space="preserve"> </w:t>
      </w:r>
      <w:r>
        <w:rPr>
          <w:rFonts w:ascii="Times New Roman" w:hAnsi="Times New Roman"/>
          <w:szCs w:val="24"/>
          <w:lang w:val="bs-Latn-BA"/>
        </w:rPr>
        <w:t>Дистрикта</w:t>
      </w:r>
      <w:r w:rsidR="0079571B">
        <w:rPr>
          <w:rFonts w:ascii="Times New Roman" w:hAnsi="Times New Roman"/>
          <w:szCs w:val="24"/>
          <w:lang w:val="bs-Latn-BA"/>
        </w:rPr>
        <w:t xml:space="preserve"> </w:t>
      </w:r>
      <w:r>
        <w:rPr>
          <w:rFonts w:ascii="Times New Roman" w:hAnsi="Times New Roman"/>
          <w:szCs w:val="24"/>
          <w:lang w:val="bs-Latn-BA"/>
        </w:rPr>
        <w:t>Босне</w:t>
      </w:r>
      <w:r w:rsidR="0079571B">
        <w:rPr>
          <w:rFonts w:ascii="Times New Roman" w:hAnsi="Times New Roman"/>
          <w:szCs w:val="24"/>
          <w:lang w:val="bs-Latn-BA"/>
        </w:rPr>
        <w:t xml:space="preserve"> </w:t>
      </w:r>
      <w:r>
        <w:rPr>
          <w:rFonts w:ascii="Times New Roman" w:hAnsi="Times New Roman"/>
          <w:szCs w:val="24"/>
          <w:lang w:val="bs-Latn-BA"/>
        </w:rPr>
        <w:t>и</w:t>
      </w:r>
      <w:r w:rsidR="0079571B">
        <w:rPr>
          <w:rFonts w:ascii="Times New Roman" w:hAnsi="Times New Roman"/>
          <w:szCs w:val="24"/>
          <w:lang w:val="bs-Latn-BA"/>
        </w:rPr>
        <w:t xml:space="preserve"> </w:t>
      </w:r>
      <w:r>
        <w:rPr>
          <w:rFonts w:ascii="Times New Roman" w:hAnsi="Times New Roman"/>
          <w:szCs w:val="24"/>
          <w:lang w:val="bs-Latn-BA"/>
        </w:rPr>
        <w:t>Херцеговине</w:t>
      </w:r>
      <w:r w:rsidR="0079571B">
        <w:rPr>
          <w:rFonts w:ascii="Times New Roman" w:hAnsi="Times New Roman"/>
          <w:szCs w:val="24"/>
          <w:lang w:val="bs-Latn-BA"/>
        </w:rPr>
        <w:t xml:space="preserve"> </w:t>
      </w:r>
      <w:r>
        <w:rPr>
          <w:rFonts w:ascii="Times New Roman" w:hAnsi="Times New Roman"/>
          <w:szCs w:val="24"/>
          <w:lang w:val="bs-Latn-BA"/>
        </w:rPr>
        <w:t>је</w:t>
      </w:r>
      <w:r w:rsidR="0079571B">
        <w:rPr>
          <w:rFonts w:ascii="Times New Roman" w:hAnsi="Times New Roman"/>
          <w:szCs w:val="24"/>
          <w:lang w:val="bs-Latn-BA"/>
        </w:rPr>
        <w:t xml:space="preserve"> </w:t>
      </w:r>
      <w:r>
        <w:rPr>
          <w:rFonts w:ascii="Times New Roman" w:hAnsi="Times New Roman"/>
          <w:szCs w:val="24"/>
          <w:lang w:val="bs-Latn-BA"/>
        </w:rPr>
        <w:t>Одлуком</w:t>
      </w:r>
      <w:r w:rsidR="0079571B">
        <w:rPr>
          <w:rFonts w:ascii="Times New Roman" w:hAnsi="Times New Roman"/>
          <w:szCs w:val="24"/>
          <w:lang w:val="bs-Latn-BA"/>
        </w:rPr>
        <w:t xml:space="preserve"> </w:t>
      </w:r>
      <w:r>
        <w:rPr>
          <w:rFonts w:ascii="Times New Roman" w:hAnsi="Times New Roman"/>
          <w:szCs w:val="24"/>
          <w:lang w:val="bs-Latn-BA"/>
        </w:rPr>
        <w:t>именовао</w:t>
      </w:r>
      <w:r w:rsidR="0079571B">
        <w:rPr>
          <w:rFonts w:ascii="Times New Roman" w:hAnsi="Times New Roman"/>
          <w:szCs w:val="24"/>
          <w:lang w:val="bs-Latn-BA"/>
        </w:rPr>
        <w:t xml:space="preserve"> </w:t>
      </w:r>
      <w:r>
        <w:rPr>
          <w:rFonts w:ascii="Times New Roman" w:hAnsi="Times New Roman"/>
          <w:szCs w:val="24"/>
          <w:lang w:val="bs-Latn-BA"/>
        </w:rPr>
        <w:t>интерресорну</w:t>
      </w:r>
      <w:r w:rsidR="0079571B">
        <w:rPr>
          <w:rFonts w:ascii="Times New Roman" w:hAnsi="Times New Roman"/>
          <w:szCs w:val="24"/>
          <w:lang w:val="bs-Latn-BA"/>
        </w:rPr>
        <w:t xml:space="preserve"> </w:t>
      </w:r>
      <w:r>
        <w:rPr>
          <w:rFonts w:ascii="Times New Roman" w:hAnsi="Times New Roman"/>
          <w:szCs w:val="24"/>
          <w:lang w:val="bs-Latn-BA"/>
        </w:rPr>
        <w:t>радну</w:t>
      </w:r>
      <w:r w:rsidR="0079571B">
        <w:rPr>
          <w:rFonts w:ascii="Times New Roman" w:hAnsi="Times New Roman"/>
          <w:szCs w:val="24"/>
          <w:lang w:val="bs-Latn-BA"/>
        </w:rPr>
        <w:t xml:space="preserve"> </w:t>
      </w:r>
      <w:r>
        <w:rPr>
          <w:rFonts w:ascii="Times New Roman" w:hAnsi="Times New Roman"/>
          <w:szCs w:val="24"/>
          <w:lang w:val="bs-Latn-BA"/>
        </w:rPr>
        <w:t>групу</w:t>
      </w:r>
      <w:r w:rsidR="0079571B">
        <w:rPr>
          <w:rFonts w:ascii="Times New Roman" w:hAnsi="Times New Roman"/>
          <w:szCs w:val="24"/>
          <w:lang w:val="bs-Latn-BA"/>
        </w:rPr>
        <w:t xml:space="preserve"> </w:t>
      </w:r>
      <w:r>
        <w:rPr>
          <w:rFonts w:ascii="Times New Roman" w:hAnsi="Times New Roman"/>
          <w:szCs w:val="24"/>
          <w:lang w:val="bs-Latn-BA"/>
        </w:rPr>
        <w:t>за</w:t>
      </w:r>
      <w:r w:rsidR="0079571B">
        <w:rPr>
          <w:rFonts w:ascii="Times New Roman" w:hAnsi="Times New Roman"/>
          <w:szCs w:val="24"/>
          <w:lang w:val="bs-Latn-BA"/>
        </w:rPr>
        <w:t xml:space="preserve"> </w:t>
      </w:r>
      <w:r>
        <w:rPr>
          <w:rFonts w:ascii="Times New Roman" w:hAnsi="Times New Roman"/>
          <w:szCs w:val="24"/>
          <w:lang w:val="bs-Latn-BA"/>
        </w:rPr>
        <w:t>израду</w:t>
      </w:r>
      <w:r w:rsidR="0079571B">
        <w:rPr>
          <w:rFonts w:ascii="Times New Roman" w:hAnsi="Times New Roman"/>
          <w:szCs w:val="24"/>
          <w:lang w:val="bs-Latn-BA"/>
        </w:rPr>
        <w:t xml:space="preserve"> </w:t>
      </w:r>
      <w:r>
        <w:rPr>
          <w:rFonts w:ascii="Times New Roman" w:hAnsi="Times New Roman"/>
          <w:szCs w:val="24"/>
          <w:lang w:val="bs-Latn-BA"/>
        </w:rPr>
        <w:t>Акционог</w:t>
      </w:r>
      <w:r w:rsidR="0079571B">
        <w:rPr>
          <w:rFonts w:ascii="Times New Roman" w:hAnsi="Times New Roman"/>
          <w:szCs w:val="24"/>
          <w:lang w:val="bs-Latn-BA"/>
        </w:rPr>
        <w:t xml:space="preserve"> </w:t>
      </w:r>
      <w:r>
        <w:rPr>
          <w:rFonts w:ascii="Times New Roman" w:hAnsi="Times New Roman"/>
          <w:szCs w:val="24"/>
          <w:lang w:val="bs-Latn-BA"/>
        </w:rPr>
        <w:t>плана</w:t>
      </w:r>
      <w:r w:rsidR="005853E4">
        <w:rPr>
          <w:rFonts w:ascii="Times New Roman" w:hAnsi="Times New Roman"/>
          <w:szCs w:val="24"/>
          <w:lang w:val="bs-Latn-BA"/>
        </w:rPr>
        <w:t xml:space="preserve"> </w:t>
      </w:r>
      <w:r>
        <w:rPr>
          <w:rFonts w:ascii="Times New Roman" w:hAnsi="Times New Roman"/>
          <w:szCs w:val="24"/>
          <w:lang w:val="bs-Latn-BA"/>
        </w:rPr>
        <w:t>за</w:t>
      </w:r>
      <w:r w:rsidR="005853E4">
        <w:rPr>
          <w:rFonts w:ascii="Times New Roman" w:hAnsi="Times New Roman"/>
          <w:szCs w:val="24"/>
          <w:lang w:val="bs-Latn-BA"/>
        </w:rPr>
        <w:t xml:space="preserve"> </w:t>
      </w:r>
      <w:r w:rsidR="000124D3">
        <w:rPr>
          <w:rFonts w:ascii="Times New Roman" w:hAnsi="Times New Roman"/>
          <w:szCs w:val="24"/>
          <w:lang w:val="sr-Cyrl-BA"/>
        </w:rPr>
        <w:t>спровођење</w:t>
      </w:r>
      <w:r w:rsidR="005853E4">
        <w:rPr>
          <w:rFonts w:ascii="Times New Roman" w:hAnsi="Times New Roman"/>
          <w:szCs w:val="24"/>
          <w:lang w:val="bs-Latn-BA"/>
        </w:rPr>
        <w:t xml:space="preserve"> </w:t>
      </w:r>
      <w:r>
        <w:rPr>
          <w:rFonts w:ascii="Times New Roman" w:hAnsi="Times New Roman"/>
          <w:szCs w:val="24"/>
          <w:lang w:val="bs-Latn-BA"/>
        </w:rPr>
        <w:t>мјера</w:t>
      </w:r>
      <w:r w:rsidR="005853E4">
        <w:rPr>
          <w:rFonts w:ascii="Times New Roman" w:hAnsi="Times New Roman"/>
          <w:szCs w:val="24"/>
          <w:lang w:val="bs-Latn-BA"/>
        </w:rPr>
        <w:t xml:space="preserve"> </w:t>
      </w:r>
      <w:r>
        <w:rPr>
          <w:rFonts w:ascii="Times New Roman" w:hAnsi="Times New Roman"/>
          <w:szCs w:val="24"/>
          <w:lang w:val="bs-Latn-BA"/>
        </w:rPr>
        <w:t>ГРЕВИО</w:t>
      </w:r>
      <w:r w:rsidR="005853E4">
        <w:rPr>
          <w:rFonts w:ascii="Times New Roman" w:hAnsi="Times New Roman"/>
          <w:szCs w:val="24"/>
          <w:lang w:val="bs-Latn-BA"/>
        </w:rPr>
        <w:t xml:space="preserve"> </w:t>
      </w:r>
      <w:r>
        <w:rPr>
          <w:rFonts w:ascii="Times New Roman" w:hAnsi="Times New Roman"/>
          <w:szCs w:val="24"/>
          <w:lang w:val="bs-Latn-BA"/>
        </w:rPr>
        <w:t>у</w:t>
      </w:r>
      <w:r w:rsidR="005853E4">
        <w:rPr>
          <w:rFonts w:ascii="Times New Roman" w:hAnsi="Times New Roman"/>
          <w:szCs w:val="24"/>
          <w:lang w:val="bs-Latn-BA"/>
        </w:rPr>
        <w:t xml:space="preserve"> </w:t>
      </w:r>
      <w:r>
        <w:rPr>
          <w:rFonts w:ascii="Times New Roman" w:hAnsi="Times New Roman"/>
          <w:szCs w:val="24"/>
          <w:lang w:val="bs-Latn-BA"/>
        </w:rPr>
        <w:t>БД</w:t>
      </w:r>
      <w:r w:rsidR="005853E4">
        <w:rPr>
          <w:rFonts w:ascii="Times New Roman" w:hAnsi="Times New Roman"/>
          <w:szCs w:val="24"/>
          <w:lang w:val="bs-Latn-BA"/>
        </w:rPr>
        <w:t xml:space="preserve"> </w:t>
      </w:r>
      <w:r>
        <w:rPr>
          <w:rFonts w:ascii="Times New Roman" w:hAnsi="Times New Roman"/>
          <w:szCs w:val="24"/>
          <w:lang w:val="bs-Latn-BA"/>
        </w:rPr>
        <w:t>БиХ</w:t>
      </w:r>
      <w:r w:rsidR="0079571B">
        <w:rPr>
          <w:rFonts w:ascii="Times New Roman" w:hAnsi="Times New Roman"/>
          <w:szCs w:val="24"/>
          <w:lang w:val="bs-Latn-BA"/>
        </w:rPr>
        <w:t>.</w:t>
      </w:r>
    </w:p>
    <w:p w:rsidR="0079571B" w:rsidRPr="0079571B" w:rsidRDefault="0079571B" w:rsidP="0079571B">
      <w:pPr>
        <w:pStyle w:val="ListParagraph"/>
        <w:rPr>
          <w:rFonts w:ascii="Times New Roman" w:hAnsi="Times New Roman"/>
          <w:szCs w:val="24"/>
          <w:lang w:val="bs-Latn-BA"/>
        </w:rPr>
      </w:pPr>
    </w:p>
    <w:p w:rsidR="0042679D" w:rsidRPr="00295637"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Скупштина</w:t>
      </w:r>
      <w:r w:rsidR="0042679D" w:rsidRPr="00295637">
        <w:rPr>
          <w:rFonts w:ascii="Times New Roman" w:hAnsi="Times New Roman"/>
          <w:szCs w:val="24"/>
          <w:lang w:val="bs-Latn-BA"/>
        </w:rPr>
        <w:t xml:space="preserve"> </w:t>
      </w:r>
      <w:r>
        <w:rPr>
          <w:rFonts w:ascii="Times New Roman" w:hAnsi="Times New Roman"/>
          <w:szCs w:val="24"/>
          <w:lang w:val="bs-Latn-BA"/>
        </w:rPr>
        <w:t>Брчко</w:t>
      </w:r>
      <w:r w:rsidR="0042679D" w:rsidRPr="00295637">
        <w:rPr>
          <w:rFonts w:ascii="Times New Roman" w:hAnsi="Times New Roman"/>
          <w:szCs w:val="24"/>
          <w:lang w:val="bs-Latn-BA"/>
        </w:rPr>
        <w:t xml:space="preserve"> </w:t>
      </w:r>
      <w:r>
        <w:rPr>
          <w:rFonts w:ascii="Times New Roman" w:hAnsi="Times New Roman"/>
          <w:szCs w:val="24"/>
          <w:lang w:val="bs-Latn-BA"/>
        </w:rPr>
        <w:t>Дистрикта</w:t>
      </w:r>
      <w:r w:rsidR="0042679D" w:rsidRPr="00295637">
        <w:rPr>
          <w:rFonts w:ascii="Times New Roman" w:hAnsi="Times New Roman"/>
          <w:szCs w:val="24"/>
          <w:lang w:val="bs-Latn-BA"/>
        </w:rPr>
        <w:t xml:space="preserve"> </w:t>
      </w:r>
      <w:r>
        <w:rPr>
          <w:rFonts w:ascii="Times New Roman" w:hAnsi="Times New Roman"/>
          <w:szCs w:val="24"/>
          <w:lang w:val="bs-Latn-BA"/>
        </w:rPr>
        <w:t>Босне</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Херцеговине</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на</w:t>
      </w:r>
      <w:r w:rsidR="0042679D" w:rsidRPr="00295637">
        <w:rPr>
          <w:rFonts w:ascii="Times New Roman" w:hAnsi="Times New Roman"/>
          <w:szCs w:val="24"/>
          <w:lang w:val="bs-Latn-BA"/>
        </w:rPr>
        <w:t xml:space="preserve"> </w:t>
      </w:r>
      <w:r>
        <w:rPr>
          <w:rFonts w:ascii="Times New Roman" w:hAnsi="Times New Roman"/>
          <w:szCs w:val="24"/>
          <w:lang w:val="bs-Latn-BA"/>
        </w:rPr>
        <w:t>приједлог</w:t>
      </w:r>
      <w:r w:rsidR="0042679D" w:rsidRPr="00295637">
        <w:rPr>
          <w:rFonts w:ascii="Times New Roman" w:hAnsi="Times New Roman"/>
          <w:szCs w:val="24"/>
          <w:lang w:val="bs-Latn-BA"/>
        </w:rPr>
        <w:t xml:space="preserve"> </w:t>
      </w:r>
      <w:r>
        <w:rPr>
          <w:rFonts w:ascii="Times New Roman" w:hAnsi="Times New Roman"/>
          <w:szCs w:val="24"/>
          <w:lang w:val="bs-Latn-BA"/>
        </w:rPr>
        <w:t>Правосудне</w:t>
      </w:r>
      <w:r w:rsidR="0042679D" w:rsidRPr="00295637">
        <w:rPr>
          <w:rFonts w:ascii="Times New Roman" w:hAnsi="Times New Roman"/>
          <w:szCs w:val="24"/>
          <w:lang w:val="bs-Latn-BA"/>
        </w:rPr>
        <w:t xml:space="preserve"> </w:t>
      </w:r>
      <w:r>
        <w:rPr>
          <w:rFonts w:ascii="Times New Roman" w:hAnsi="Times New Roman"/>
          <w:szCs w:val="24"/>
          <w:lang w:val="bs-Latn-BA"/>
        </w:rPr>
        <w:t>комисије</w:t>
      </w:r>
      <w:r w:rsidR="0042679D" w:rsidRPr="00295637">
        <w:rPr>
          <w:rFonts w:ascii="Times New Roman" w:hAnsi="Times New Roman"/>
          <w:szCs w:val="24"/>
          <w:lang w:val="bs-Latn-BA"/>
        </w:rPr>
        <w:t xml:space="preserve"> </w:t>
      </w:r>
      <w:r>
        <w:rPr>
          <w:rFonts w:ascii="Times New Roman" w:hAnsi="Times New Roman"/>
          <w:szCs w:val="24"/>
          <w:lang w:val="bs-Latn-BA"/>
        </w:rPr>
        <w:t>дистрикта</w:t>
      </w:r>
      <w:r w:rsidR="0042679D">
        <w:rPr>
          <w:rFonts w:ascii="Times New Roman" w:hAnsi="Times New Roman"/>
          <w:szCs w:val="24"/>
          <w:lang w:val="bs-Latn-BA"/>
        </w:rPr>
        <w:t xml:space="preserve"> </w:t>
      </w:r>
      <w:r>
        <w:rPr>
          <w:rFonts w:ascii="Times New Roman" w:hAnsi="Times New Roman"/>
          <w:szCs w:val="24"/>
          <w:lang w:val="bs-Latn-BA"/>
        </w:rPr>
        <w:t>усвојила</w:t>
      </w:r>
      <w:r w:rsidR="0042679D">
        <w:rPr>
          <w:rFonts w:ascii="Times New Roman" w:hAnsi="Times New Roman"/>
          <w:szCs w:val="24"/>
          <w:lang w:val="bs-Latn-BA"/>
        </w:rPr>
        <w:t xml:space="preserve"> </w:t>
      </w:r>
      <w:r>
        <w:rPr>
          <w:rFonts w:ascii="Times New Roman" w:hAnsi="Times New Roman"/>
          <w:szCs w:val="24"/>
          <w:lang w:val="bs-Latn-BA"/>
        </w:rPr>
        <w:t>Закон</w:t>
      </w:r>
      <w:r w:rsidR="0042679D">
        <w:rPr>
          <w:rFonts w:ascii="Times New Roman" w:hAnsi="Times New Roman"/>
          <w:szCs w:val="24"/>
          <w:lang w:val="bs-Latn-BA"/>
        </w:rPr>
        <w:t xml:space="preserve"> </w:t>
      </w:r>
      <w:r>
        <w:rPr>
          <w:rFonts w:ascii="Times New Roman" w:hAnsi="Times New Roman"/>
          <w:szCs w:val="24"/>
          <w:lang w:val="bs-Latn-BA"/>
        </w:rPr>
        <w:t>о</w:t>
      </w:r>
      <w:r w:rsidR="0042679D">
        <w:rPr>
          <w:rFonts w:ascii="Times New Roman" w:hAnsi="Times New Roman"/>
          <w:szCs w:val="24"/>
          <w:lang w:val="bs-Latn-BA"/>
        </w:rPr>
        <w:t xml:space="preserve"> </w:t>
      </w:r>
      <w:r>
        <w:rPr>
          <w:rFonts w:ascii="Times New Roman" w:hAnsi="Times New Roman"/>
          <w:szCs w:val="24"/>
          <w:lang w:val="bs-Latn-BA"/>
        </w:rPr>
        <w:t>измјенама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допунама</w:t>
      </w:r>
      <w:r w:rsidR="005853E4">
        <w:rPr>
          <w:rFonts w:ascii="Times New Roman" w:hAnsi="Times New Roman"/>
          <w:szCs w:val="24"/>
          <w:lang w:val="bs-Latn-BA"/>
        </w:rPr>
        <w:t xml:space="preserve"> </w:t>
      </w:r>
      <w:r>
        <w:rPr>
          <w:rFonts w:ascii="Times New Roman" w:hAnsi="Times New Roman"/>
          <w:szCs w:val="24"/>
          <w:lang w:val="bs-Latn-BA"/>
        </w:rPr>
        <w:t>Кривичног</w:t>
      </w:r>
      <w:r w:rsidR="005853E4">
        <w:rPr>
          <w:rFonts w:ascii="Times New Roman" w:hAnsi="Times New Roman"/>
          <w:szCs w:val="24"/>
          <w:lang w:val="bs-Latn-BA"/>
        </w:rPr>
        <w:t xml:space="preserve"> </w:t>
      </w:r>
      <w:r>
        <w:rPr>
          <w:rFonts w:ascii="Times New Roman" w:hAnsi="Times New Roman"/>
          <w:szCs w:val="24"/>
          <w:lang w:val="bs-Latn-BA"/>
        </w:rPr>
        <w:t>закона</w:t>
      </w:r>
      <w:r w:rsidR="005853E4">
        <w:rPr>
          <w:rFonts w:ascii="Times New Roman" w:hAnsi="Times New Roman"/>
          <w:szCs w:val="24"/>
          <w:lang w:val="bs-Latn-BA"/>
        </w:rPr>
        <w:t xml:space="preserve"> </w:t>
      </w:r>
      <w:r>
        <w:rPr>
          <w:rFonts w:ascii="Times New Roman" w:hAnsi="Times New Roman"/>
          <w:szCs w:val="24"/>
          <w:lang w:val="bs-Latn-BA"/>
        </w:rPr>
        <w:t>Брчко</w:t>
      </w:r>
      <w:r w:rsidR="005853E4">
        <w:rPr>
          <w:rFonts w:ascii="Times New Roman" w:hAnsi="Times New Roman"/>
          <w:szCs w:val="24"/>
          <w:lang w:val="bs-Latn-BA"/>
        </w:rPr>
        <w:t xml:space="preserve"> </w:t>
      </w:r>
      <w:r>
        <w:rPr>
          <w:rFonts w:ascii="Times New Roman" w:hAnsi="Times New Roman"/>
          <w:szCs w:val="24"/>
          <w:lang w:val="bs-Latn-BA"/>
        </w:rPr>
        <w:t>Дистрикта</w:t>
      </w:r>
      <w:r w:rsidR="0042679D">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 xml:space="preserve">, </w:t>
      </w:r>
      <w:r>
        <w:rPr>
          <w:rFonts w:ascii="Times New Roman" w:hAnsi="Times New Roman"/>
          <w:szCs w:val="24"/>
          <w:lang w:val="bs-Latn-BA"/>
        </w:rPr>
        <w:t>а</w:t>
      </w:r>
      <w:r w:rsidR="0042679D" w:rsidRPr="00295637">
        <w:rPr>
          <w:rFonts w:ascii="Times New Roman" w:hAnsi="Times New Roman"/>
          <w:szCs w:val="24"/>
          <w:lang w:val="bs-Latn-BA"/>
        </w:rPr>
        <w:t xml:space="preserve"> </w:t>
      </w:r>
      <w:r w:rsidR="000124D3">
        <w:rPr>
          <w:rFonts w:ascii="Times New Roman" w:hAnsi="Times New Roman"/>
          <w:szCs w:val="24"/>
          <w:lang w:val="sr-Cyrl-BA"/>
        </w:rPr>
        <w:t>с</w:t>
      </w:r>
      <w:r w:rsidR="0042679D" w:rsidRPr="00295637">
        <w:rPr>
          <w:rFonts w:ascii="Times New Roman" w:hAnsi="Times New Roman"/>
          <w:szCs w:val="24"/>
          <w:lang w:val="bs-Latn-BA"/>
        </w:rPr>
        <w:t xml:space="preserve"> </w:t>
      </w:r>
      <w:r>
        <w:rPr>
          <w:rFonts w:ascii="Times New Roman" w:hAnsi="Times New Roman"/>
          <w:szCs w:val="24"/>
          <w:lang w:val="bs-Latn-BA"/>
        </w:rPr>
        <w:t>циљ</w:t>
      </w:r>
      <w:r w:rsidR="000124D3">
        <w:rPr>
          <w:rFonts w:ascii="Times New Roman" w:hAnsi="Times New Roman"/>
          <w:szCs w:val="24"/>
          <w:lang w:val="sr-Cyrl-BA"/>
        </w:rPr>
        <w:t>ем</w:t>
      </w:r>
      <w:r w:rsidR="0042679D" w:rsidRPr="00295637">
        <w:rPr>
          <w:rFonts w:ascii="Times New Roman" w:hAnsi="Times New Roman"/>
          <w:szCs w:val="24"/>
          <w:lang w:val="bs-Latn-BA"/>
        </w:rPr>
        <w:t xml:space="preserve"> </w:t>
      </w:r>
      <w:r w:rsidR="000124D3">
        <w:rPr>
          <w:rFonts w:ascii="Times New Roman" w:hAnsi="Times New Roman"/>
          <w:szCs w:val="24"/>
          <w:lang w:val="sr-Cyrl-BA"/>
        </w:rPr>
        <w:t>спровођења</w:t>
      </w:r>
      <w:r w:rsidR="0042679D" w:rsidRPr="00295637">
        <w:rPr>
          <w:rFonts w:ascii="Times New Roman" w:hAnsi="Times New Roman"/>
          <w:szCs w:val="24"/>
          <w:lang w:val="bs-Latn-BA"/>
        </w:rPr>
        <w:t xml:space="preserve"> </w:t>
      </w:r>
      <w:r>
        <w:rPr>
          <w:rFonts w:ascii="Times New Roman" w:hAnsi="Times New Roman"/>
          <w:szCs w:val="24"/>
          <w:lang w:val="bs-Latn-BA"/>
        </w:rPr>
        <w:t>међународних</w:t>
      </w:r>
      <w:r w:rsidR="0042679D" w:rsidRPr="00295637">
        <w:rPr>
          <w:rFonts w:ascii="Times New Roman" w:hAnsi="Times New Roman"/>
          <w:szCs w:val="24"/>
          <w:lang w:val="bs-Latn-BA"/>
        </w:rPr>
        <w:t xml:space="preserve"> </w:t>
      </w:r>
      <w:r>
        <w:rPr>
          <w:rFonts w:ascii="Times New Roman" w:hAnsi="Times New Roman"/>
          <w:szCs w:val="24"/>
          <w:lang w:val="bs-Latn-BA"/>
        </w:rPr>
        <w:t>конвенција</w:t>
      </w:r>
      <w:r w:rsidR="0042679D" w:rsidRPr="00295637">
        <w:rPr>
          <w:rFonts w:ascii="Times New Roman" w:hAnsi="Times New Roman"/>
          <w:szCs w:val="24"/>
          <w:lang w:val="bs-Latn-BA"/>
        </w:rPr>
        <w:t xml:space="preserve"> </w:t>
      </w:r>
      <w:r>
        <w:rPr>
          <w:rFonts w:ascii="Times New Roman" w:hAnsi="Times New Roman"/>
          <w:szCs w:val="24"/>
          <w:lang w:val="bs-Latn-BA"/>
        </w:rPr>
        <w:t>које</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Босна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Херцеговина</w:t>
      </w:r>
      <w:r w:rsidR="0042679D" w:rsidRPr="00295637">
        <w:rPr>
          <w:rFonts w:ascii="Times New Roman" w:hAnsi="Times New Roman"/>
          <w:szCs w:val="24"/>
          <w:lang w:val="bs-Latn-BA"/>
        </w:rPr>
        <w:t xml:space="preserve"> </w:t>
      </w:r>
      <w:r>
        <w:rPr>
          <w:rFonts w:ascii="Times New Roman" w:hAnsi="Times New Roman"/>
          <w:szCs w:val="24"/>
          <w:lang w:val="bs-Latn-BA"/>
        </w:rPr>
        <w:t>ратифи</w:t>
      </w:r>
      <w:r w:rsidR="000124D3">
        <w:rPr>
          <w:rFonts w:ascii="Times New Roman" w:hAnsi="Times New Roman"/>
          <w:szCs w:val="24"/>
          <w:lang w:val="sr-Cyrl-BA"/>
        </w:rPr>
        <w:t>ковала</w:t>
      </w:r>
      <w:r w:rsidR="0042679D">
        <w:rPr>
          <w:rFonts w:ascii="Times New Roman" w:hAnsi="Times New Roman"/>
          <w:szCs w:val="24"/>
          <w:lang w:val="bs-Latn-BA"/>
        </w:rPr>
        <w:t>,</w:t>
      </w:r>
      <w:r w:rsidR="0042679D" w:rsidRPr="00295637">
        <w:rPr>
          <w:rFonts w:ascii="Times New Roman" w:hAnsi="Times New Roman"/>
          <w:szCs w:val="24"/>
          <w:lang w:val="bs-Latn-BA"/>
        </w:rPr>
        <w:t xml:space="preserve"> </w:t>
      </w:r>
      <w:r>
        <w:rPr>
          <w:rFonts w:ascii="Times New Roman" w:hAnsi="Times New Roman"/>
          <w:szCs w:val="24"/>
          <w:lang w:val="bs-Latn-BA"/>
        </w:rPr>
        <w:t>укључујући</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Истанбулску</w:t>
      </w:r>
      <w:r w:rsidR="0042679D" w:rsidRPr="00295637">
        <w:rPr>
          <w:rFonts w:ascii="Times New Roman" w:hAnsi="Times New Roman"/>
          <w:szCs w:val="24"/>
          <w:lang w:val="bs-Latn-BA"/>
        </w:rPr>
        <w:t xml:space="preserve"> </w:t>
      </w:r>
      <w:r>
        <w:rPr>
          <w:rFonts w:ascii="Times New Roman" w:hAnsi="Times New Roman"/>
          <w:szCs w:val="24"/>
          <w:lang w:val="bs-Latn-BA"/>
        </w:rPr>
        <w:t>конвенцију</w:t>
      </w:r>
      <w:r w:rsidR="0042679D" w:rsidRPr="00295637">
        <w:rPr>
          <w:rFonts w:ascii="Times New Roman" w:hAnsi="Times New Roman"/>
          <w:szCs w:val="24"/>
          <w:lang w:val="bs-Latn-BA"/>
        </w:rPr>
        <w:t xml:space="preserve">.  </w:t>
      </w:r>
    </w:p>
    <w:p w:rsidR="0042679D" w:rsidRPr="00295637" w:rsidRDefault="0042679D" w:rsidP="0086268D">
      <w:pPr>
        <w:jc w:val="both"/>
        <w:rPr>
          <w:rFonts w:ascii="Times New Roman" w:hAnsi="Times New Roman"/>
          <w:szCs w:val="24"/>
          <w:lang w:val="bs-Latn-BA"/>
        </w:rPr>
      </w:pPr>
    </w:p>
    <w:p w:rsidR="0042679D" w:rsidRPr="007D31BE" w:rsidRDefault="00C6214E" w:rsidP="0086268D">
      <w:pPr>
        <w:pStyle w:val="ListParagraph"/>
        <w:numPr>
          <w:ilvl w:val="0"/>
          <w:numId w:val="17"/>
        </w:numPr>
        <w:tabs>
          <w:tab w:val="left" w:pos="1080"/>
        </w:tabs>
        <w:jc w:val="both"/>
        <w:rPr>
          <w:rFonts w:ascii="Times New Roman" w:hAnsi="Times New Roman"/>
          <w:szCs w:val="24"/>
          <w:lang w:val="bs-Latn-BA"/>
        </w:rPr>
      </w:pPr>
      <w:r>
        <w:rPr>
          <w:rFonts w:ascii="Times New Roman" w:hAnsi="Times New Roman"/>
          <w:szCs w:val="24"/>
          <w:lang w:val="bs-Latn-BA"/>
        </w:rPr>
        <w:t>АР</w:t>
      </w:r>
      <w:r w:rsidR="000124D3">
        <w:rPr>
          <w:rFonts w:ascii="Times New Roman" w:hAnsi="Times New Roman"/>
          <w:szCs w:val="24"/>
          <w:lang w:val="sr-Cyrl-BA"/>
        </w:rPr>
        <w:t>П</w:t>
      </w:r>
      <w:r w:rsidR="005853E4">
        <w:rPr>
          <w:rFonts w:ascii="Times New Roman" w:hAnsi="Times New Roman"/>
          <w:szCs w:val="24"/>
          <w:lang w:val="bs-Latn-BA"/>
        </w:rPr>
        <w:t xml:space="preserve"> </w:t>
      </w:r>
      <w:r>
        <w:rPr>
          <w:rFonts w:ascii="Times New Roman" w:hAnsi="Times New Roman"/>
          <w:szCs w:val="24"/>
          <w:lang w:val="bs-Latn-BA"/>
        </w:rPr>
        <w:t>БиХ</w:t>
      </w:r>
      <w:r w:rsidR="005853E4">
        <w:rPr>
          <w:rFonts w:ascii="Times New Roman" w:hAnsi="Times New Roman"/>
          <w:szCs w:val="24"/>
          <w:lang w:val="bs-Latn-BA"/>
        </w:rPr>
        <w:t xml:space="preserve"> </w:t>
      </w:r>
      <w:r>
        <w:rPr>
          <w:rFonts w:ascii="Times New Roman" w:hAnsi="Times New Roman"/>
          <w:szCs w:val="24"/>
          <w:lang w:val="bs-Latn-BA"/>
        </w:rPr>
        <w:t>МЉПИ</w:t>
      </w:r>
      <w:r w:rsidR="005853E4">
        <w:rPr>
          <w:rFonts w:ascii="Times New Roman" w:hAnsi="Times New Roman"/>
          <w:szCs w:val="24"/>
          <w:lang w:val="bs-Latn-BA"/>
        </w:rPr>
        <w:t xml:space="preserve"> </w:t>
      </w:r>
      <w:r>
        <w:rPr>
          <w:rFonts w:ascii="Times New Roman" w:hAnsi="Times New Roman"/>
          <w:szCs w:val="24"/>
          <w:lang w:val="bs-Latn-BA"/>
        </w:rPr>
        <w:t>БиХ</w:t>
      </w:r>
      <w:r w:rsidR="005853E4">
        <w:rPr>
          <w:rFonts w:ascii="Times New Roman" w:hAnsi="Times New Roman"/>
          <w:szCs w:val="24"/>
          <w:lang w:val="bs-Latn-BA"/>
        </w:rPr>
        <w:t xml:space="preserve">, </w:t>
      </w:r>
      <w:r>
        <w:rPr>
          <w:rFonts w:ascii="Times New Roman" w:hAnsi="Times New Roman"/>
          <w:szCs w:val="24"/>
          <w:lang w:val="bs-Latn-BA"/>
        </w:rPr>
        <w:t>ГЦ</w:t>
      </w:r>
      <w:r w:rsidR="005853E4">
        <w:rPr>
          <w:rFonts w:ascii="Times New Roman" w:hAnsi="Times New Roman"/>
          <w:szCs w:val="24"/>
          <w:lang w:val="bs-Latn-BA"/>
        </w:rPr>
        <w:t xml:space="preserve"> </w:t>
      </w:r>
      <w:r>
        <w:rPr>
          <w:rFonts w:ascii="Times New Roman" w:hAnsi="Times New Roman"/>
          <w:szCs w:val="24"/>
          <w:lang w:val="bs-Latn-BA"/>
        </w:rPr>
        <w:t>ФБиХ</w:t>
      </w:r>
      <w:r w:rsidR="0041633B" w:rsidRPr="007D31BE">
        <w:rPr>
          <w:rFonts w:ascii="Times New Roman" w:hAnsi="Times New Roman"/>
          <w:szCs w:val="24"/>
          <w:lang w:val="bs-Latn-BA"/>
        </w:rPr>
        <w:t xml:space="preserve"> </w:t>
      </w:r>
      <w:r>
        <w:rPr>
          <w:rFonts w:ascii="Times New Roman" w:hAnsi="Times New Roman"/>
          <w:szCs w:val="24"/>
          <w:lang w:val="bs-Latn-BA"/>
        </w:rPr>
        <w:t>и</w:t>
      </w:r>
      <w:r w:rsidR="0041633B" w:rsidRPr="007D31BE">
        <w:rPr>
          <w:rFonts w:ascii="Times New Roman" w:hAnsi="Times New Roman"/>
          <w:szCs w:val="24"/>
          <w:lang w:val="bs-Latn-BA"/>
        </w:rPr>
        <w:t xml:space="preserve"> </w:t>
      </w:r>
      <w:r>
        <w:rPr>
          <w:rFonts w:ascii="Times New Roman" w:hAnsi="Times New Roman"/>
          <w:szCs w:val="24"/>
          <w:lang w:val="bs-Latn-BA"/>
        </w:rPr>
        <w:t>ЦЈРС</w:t>
      </w:r>
      <w:r w:rsidR="0041633B" w:rsidRPr="007D31BE">
        <w:rPr>
          <w:rFonts w:ascii="Times New Roman" w:hAnsi="Times New Roman"/>
          <w:szCs w:val="24"/>
          <w:lang w:val="bs-Latn-BA"/>
        </w:rPr>
        <w:t xml:space="preserve"> </w:t>
      </w:r>
      <w:r>
        <w:rPr>
          <w:rFonts w:ascii="Times New Roman" w:hAnsi="Times New Roman"/>
          <w:szCs w:val="24"/>
          <w:lang w:val="bs-Latn-BA"/>
        </w:rPr>
        <w:t>РС</w:t>
      </w:r>
      <w:r w:rsidR="0042679D" w:rsidRPr="007D31BE">
        <w:rPr>
          <w:rFonts w:ascii="Times New Roman" w:hAnsi="Times New Roman"/>
          <w:szCs w:val="24"/>
          <w:lang w:val="bs-Latn-BA"/>
        </w:rPr>
        <w:t xml:space="preserve"> </w:t>
      </w:r>
      <w:r>
        <w:rPr>
          <w:rFonts w:ascii="Times New Roman" w:hAnsi="Times New Roman"/>
          <w:szCs w:val="24"/>
          <w:lang w:val="bs-Latn-BA"/>
        </w:rPr>
        <w:t>дали</w:t>
      </w:r>
      <w:r w:rsidR="0042679D" w:rsidRPr="007D31BE">
        <w:rPr>
          <w:rFonts w:ascii="Times New Roman" w:hAnsi="Times New Roman"/>
          <w:szCs w:val="24"/>
          <w:lang w:val="bs-Latn-BA"/>
        </w:rPr>
        <w:t xml:space="preserve"> </w:t>
      </w:r>
      <w:r>
        <w:rPr>
          <w:rFonts w:ascii="Times New Roman" w:hAnsi="Times New Roman"/>
          <w:szCs w:val="24"/>
          <w:lang w:val="bs-Latn-BA"/>
        </w:rPr>
        <w:t>су</w:t>
      </w:r>
      <w:r w:rsidR="0041633B" w:rsidRPr="007D31BE">
        <w:rPr>
          <w:rFonts w:ascii="Times New Roman" w:hAnsi="Times New Roman"/>
          <w:szCs w:val="24"/>
          <w:lang w:val="bs-Latn-BA"/>
        </w:rPr>
        <w:t xml:space="preserve"> </w:t>
      </w:r>
      <w:r>
        <w:rPr>
          <w:rFonts w:ascii="Times New Roman" w:hAnsi="Times New Roman"/>
          <w:szCs w:val="24"/>
          <w:lang w:val="bs-Latn-BA"/>
        </w:rPr>
        <w:t>значајан</w:t>
      </w:r>
      <w:r w:rsidR="0042679D" w:rsidRPr="007D31BE">
        <w:rPr>
          <w:rFonts w:ascii="Times New Roman" w:hAnsi="Times New Roman"/>
          <w:szCs w:val="24"/>
          <w:lang w:val="bs-Latn-BA"/>
        </w:rPr>
        <w:t xml:space="preserve"> </w:t>
      </w:r>
      <w:r>
        <w:rPr>
          <w:rFonts w:ascii="Times New Roman" w:hAnsi="Times New Roman"/>
          <w:szCs w:val="24"/>
          <w:lang w:val="bs-Latn-BA"/>
        </w:rPr>
        <w:t>допринос</w:t>
      </w:r>
      <w:r w:rsidR="0042679D" w:rsidRPr="007D31BE">
        <w:rPr>
          <w:rFonts w:ascii="Times New Roman" w:hAnsi="Times New Roman"/>
          <w:szCs w:val="24"/>
          <w:lang w:val="bs-Latn-BA"/>
        </w:rPr>
        <w:t xml:space="preserve"> </w:t>
      </w:r>
      <w:r>
        <w:rPr>
          <w:rFonts w:ascii="Times New Roman" w:hAnsi="Times New Roman"/>
          <w:szCs w:val="24"/>
          <w:lang w:val="bs-Latn-BA"/>
        </w:rPr>
        <w:t>и</w:t>
      </w:r>
      <w:r w:rsidR="0041633B" w:rsidRPr="007D31BE">
        <w:rPr>
          <w:rFonts w:ascii="Times New Roman" w:hAnsi="Times New Roman"/>
          <w:szCs w:val="24"/>
          <w:lang w:val="bs-Latn-BA"/>
        </w:rPr>
        <w:t xml:space="preserve"> </w:t>
      </w:r>
      <w:r>
        <w:rPr>
          <w:rFonts w:ascii="Times New Roman" w:hAnsi="Times New Roman"/>
          <w:szCs w:val="24"/>
          <w:lang w:val="bs-Latn-BA"/>
        </w:rPr>
        <w:t>активно</w:t>
      </w:r>
      <w:r w:rsidR="0041633B" w:rsidRPr="007D31BE">
        <w:rPr>
          <w:rFonts w:ascii="Times New Roman" w:hAnsi="Times New Roman"/>
          <w:szCs w:val="24"/>
          <w:lang w:val="bs-Latn-BA"/>
        </w:rPr>
        <w:t xml:space="preserve"> </w:t>
      </w:r>
      <w:r>
        <w:rPr>
          <w:rFonts w:ascii="Times New Roman" w:hAnsi="Times New Roman"/>
          <w:szCs w:val="24"/>
          <w:lang w:val="bs-Latn-BA"/>
        </w:rPr>
        <w:t>учествовали</w:t>
      </w:r>
      <w:r w:rsidR="0041633B" w:rsidRPr="007D31BE">
        <w:rPr>
          <w:rFonts w:ascii="Times New Roman" w:hAnsi="Times New Roman"/>
          <w:szCs w:val="24"/>
          <w:lang w:val="bs-Latn-BA"/>
        </w:rPr>
        <w:t xml:space="preserve"> </w:t>
      </w:r>
      <w:r>
        <w:rPr>
          <w:rFonts w:ascii="Times New Roman" w:hAnsi="Times New Roman"/>
          <w:szCs w:val="24"/>
          <w:lang w:val="bs-Latn-BA"/>
        </w:rPr>
        <w:t>у</w:t>
      </w:r>
      <w:r w:rsidR="0042679D" w:rsidRPr="007D31BE">
        <w:rPr>
          <w:rFonts w:ascii="Times New Roman" w:hAnsi="Times New Roman"/>
          <w:szCs w:val="24"/>
          <w:lang w:val="bs-Latn-BA"/>
        </w:rPr>
        <w:t xml:space="preserve"> </w:t>
      </w:r>
      <w:r>
        <w:rPr>
          <w:rFonts w:ascii="Times New Roman" w:hAnsi="Times New Roman"/>
          <w:szCs w:val="24"/>
          <w:lang w:val="bs-Latn-BA"/>
        </w:rPr>
        <w:t>реализацији</w:t>
      </w:r>
      <w:r w:rsidR="0042679D" w:rsidRPr="007D31BE">
        <w:rPr>
          <w:rFonts w:ascii="Times New Roman" w:hAnsi="Times New Roman"/>
          <w:szCs w:val="24"/>
          <w:lang w:val="bs-Latn-BA"/>
        </w:rPr>
        <w:t xml:space="preserve"> </w:t>
      </w:r>
      <w:r>
        <w:rPr>
          <w:rFonts w:ascii="Times New Roman" w:hAnsi="Times New Roman"/>
          <w:szCs w:val="24"/>
          <w:lang w:val="bs-Latn-BA"/>
        </w:rPr>
        <w:t>бројних</w:t>
      </w:r>
      <w:r w:rsidR="0042679D" w:rsidRPr="007D31BE">
        <w:rPr>
          <w:rFonts w:ascii="Times New Roman" w:hAnsi="Times New Roman"/>
          <w:szCs w:val="24"/>
          <w:lang w:val="bs-Latn-BA"/>
        </w:rPr>
        <w:t xml:space="preserve"> </w:t>
      </w:r>
      <w:r>
        <w:rPr>
          <w:rFonts w:ascii="Times New Roman" w:hAnsi="Times New Roman"/>
          <w:szCs w:val="24"/>
          <w:lang w:val="bs-Latn-BA"/>
        </w:rPr>
        <w:t>кампања</w:t>
      </w:r>
      <w:r w:rsidR="0042679D" w:rsidRPr="007D31BE">
        <w:rPr>
          <w:rFonts w:ascii="Times New Roman" w:hAnsi="Times New Roman"/>
          <w:szCs w:val="24"/>
          <w:lang w:val="bs-Latn-BA"/>
        </w:rPr>
        <w:t xml:space="preserve"> </w:t>
      </w:r>
      <w:r>
        <w:rPr>
          <w:rFonts w:ascii="Times New Roman" w:hAnsi="Times New Roman"/>
          <w:szCs w:val="24"/>
          <w:lang w:val="bs-Latn-BA"/>
        </w:rPr>
        <w:t>међународних</w:t>
      </w:r>
      <w:r w:rsidR="0042679D" w:rsidRPr="007D31BE">
        <w:rPr>
          <w:rFonts w:ascii="Times New Roman" w:hAnsi="Times New Roman"/>
          <w:szCs w:val="24"/>
          <w:lang w:val="bs-Latn-BA"/>
        </w:rPr>
        <w:t xml:space="preserve"> </w:t>
      </w:r>
      <w:r>
        <w:rPr>
          <w:rFonts w:ascii="Times New Roman" w:hAnsi="Times New Roman"/>
          <w:szCs w:val="24"/>
          <w:lang w:val="bs-Latn-BA"/>
        </w:rPr>
        <w:t>организација</w:t>
      </w:r>
      <w:r w:rsidR="0042679D" w:rsidRPr="007D31BE">
        <w:rPr>
          <w:rFonts w:ascii="Times New Roman" w:hAnsi="Times New Roman"/>
          <w:szCs w:val="24"/>
          <w:lang w:val="bs-Latn-BA"/>
        </w:rPr>
        <w:t xml:space="preserve"> </w:t>
      </w:r>
      <w:r>
        <w:rPr>
          <w:rFonts w:ascii="Times New Roman" w:hAnsi="Times New Roman"/>
          <w:szCs w:val="24"/>
          <w:lang w:val="bs-Latn-BA"/>
        </w:rPr>
        <w:t>у</w:t>
      </w:r>
      <w:r w:rsidR="0042679D" w:rsidRPr="007D31BE">
        <w:rPr>
          <w:rFonts w:ascii="Times New Roman" w:hAnsi="Times New Roman"/>
          <w:szCs w:val="24"/>
          <w:lang w:val="bs-Latn-BA"/>
        </w:rPr>
        <w:t xml:space="preserve"> </w:t>
      </w:r>
      <w:r>
        <w:rPr>
          <w:rFonts w:ascii="Times New Roman" w:hAnsi="Times New Roman"/>
          <w:szCs w:val="24"/>
          <w:lang w:val="bs-Latn-BA"/>
        </w:rPr>
        <w:t>области</w:t>
      </w:r>
      <w:r w:rsidR="0042679D" w:rsidRPr="007D31BE">
        <w:rPr>
          <w:rFonts w:ascii="Times New Roman" w:hAnsi="Times New Roman"/>
          <w:szCs w:val="24"/>
          <w:lang w:val="bs-Latn-BA"/>
        </w:rPr>
        <w:t xml:space="preserve"> </w:t>
      </w:r>
      <w:r>
        <w:rPr>
          <w:rFonts w:ascii="Times New Roman" w:hAnsi="Times New Roman"/>
          <w:szCs w:val="24"/>
          <w:lang w:val="bs-Latn-BA"/>
        </w:rPr>
        <w:t>превенције</w:t>
      </w:r>
      <w:r w:rsidR="0042679D" w:rsidRPr="007D31BE">
        <w:rPr>
          <w:rFonts w:ascii="Times New Roman" w:hAnsi="Times New Roman"/>
          <w:szCs w:val="24"/>
          <w:lang w:val="bs-Latn-BA"/>
        </w:rPr>
        <w:t xml:space="preserve"> </w:t>
      </w:r>
      <w:r>
        <w:rPr>
          <w:rFonts w:ascii="Times New Roman" w:hAnsi="Times New Roman"/>
          <w:szCs w:val="24"/>
          <w:lang w:val="bs-Latn-BA"/>
        </w:rPr>
        <w:t>насиља</w:t>
      </w:r>
      <w:r w:rsidR="0042679D" w:rsidRPr="007D31BE">
        <w:rPr>
          <w:rFonts w:ascii="Times New Roman" w:hAnsi="Times New Roman"/>
          <w:szCs w:val="24"/>
          <w:lang w:val="bs-Latn-BA"/>
        </w:rPr>
        <w:t xml:space="preserve"> </w:t>
      </w:r>
      <w:r>
        <w:rPr>
          <w:rFonts w:ascii="Times New Roman" w:hAnsi="Times New Roman"/>
          <w:szCs w:val="24"/>
          <w:lang w:val="bs-Latn-BA"/>
        </w:rPr>
        <w:t>према</w:t>
      </w:r>
      <w:r w:rsidR="0042679D" w:rsidRPr="007D31BE">
        <w:rPr>
          <w:rFonts w:ascii="Times New Roman" w:hAnsi="Times New Roman"/>
          <w:szCs w:val="24"/>
          <w:lang w:val="bs-Latn-BA"/>
        </w:rPr>
        <w:t xml:space="preserve"> </w:t>
      </w:r>
      <w:r>
        <w:rPr>
          <w:rFonts w:ascii="Times New Roman" w:hAnsi="Times New Roman"/>
          <w:szCs w:val="24"/>
          <w:lang w:val="bs-Latn-BA"/>
        </w:rPr>
        <w:t>женама</w:t>
      </w:r>
      <w:r w:rsidR="0042679D" w:rsidRPr="007D31BE">
        <w:rPr>
          <w:rFonts w:ascii="Times New Roman" w:hAnsi="Times New Roman"/>
          <w:szCs w:val="24"/>
          <w:lang w:val="bs-Latn-BA"/>
        </w:rPr>
        <w:t xml:space="preserve">, </w:t>
      </w:r>
      <w:r>
        <w:rPr>
          <w:rFonts w:ascii="Times New Roman" w:hAnsi="Times New Roman"/>
          <w:szCs w:val="24"/>
          <w:lang w:val="bs-Latn-BA"/>
        </w:rPr>
        <w:t>као</w:t>
      </w:r>
      <w:r w:rsidR="0042679D" w:rsidRPr="007D31BE">
        <w:rPr>
          <w:rFonts w:ascii="Times New Roman" w:hAnsi="Times New Roman"/>
          <w:szCs w:val="24"/>
          <w:lang w:val="bs-Latn-BA"/>
        </w:rPr>
        <w:t xml:space="preserve"> </w:t>
      </w:r>
      <w:r>
        <w:rPr>
          <w:rFonts w:ascii="Times New Roman" w:hAnsi="Times New Roman"/>
          <w:szCs w:val="24"/>
          <w:lang w:val="bs-Latn-BA"/>
        </w:rPr>
        <w:t>на</w:t>
      </w:r>
      <w:r w:rsidR="0042679D" w:rsidRPr="007D31BE">
        <w:rPr>
          <w:rFonts w:ascii="Times New Roman" w:hAnsi="Times New Roman"/>
          <w:szCs w:val="24"/>
          <w:lang w:val="bs-Latn-BA"/>
        </w:rPr>
        <w:t xml:space="preserve"> </w:t>
      </w:r>
      <w:r>
        <w:rPr>
          <w:rFonts w:ascii="Times New Roman" w:hAnsi="Times New Roman"/>
          <w:szCs w:val="24"/>
          <w:lang w:val="bs-Latn-BA"/>
        </w:rPr>
        <w:t>примјер</w:t>
      </w:r>
      <w:r w:rsidR="0042679D" w:rsidRPr="007D31BE">
        <w:rPr>
          <w:rFonts w:ascii="Times New Roman" w:hAnsi="Times New Roman"/>
          <w:szCs w:val="24"/>
          <w:lang w:val="bs-Latn-BA"/>
        </w:rPr>
        <w:t xml:space="preserve"> </w:t>
      </w:r>
      <w:r>
        <w:rPr>
          <w:rFonts w:ascii="Times New Roman" w:hAnsi="Times New Roman"/>
          <w:szCs w:val="24"/>
          <w:lang w:val="bs-Latn-BA"/>
        </w:rPr>
        <w:t>кампања</w:t>
      </w:r>
      <w:r w:rsidR="0042679D" w:rsidRPr="007D31BE">
        <w:rPr>
          <w:rFonts w:ascii="Times New Roman" w:hAnsi="Times New Roman"/>
          <w:szCs w:val="24"/>
          <w:lang w:val="bs-Latn-BA"/>
        </w:rPr>
        <w:t xml:space="preserve"> </w:t>
      </w:r>
      <w:r>
        <w:rPr>
          <w:rFonts w:ascii="Times New Roman" w:hAnsi="Times New Roman"/>
          <w:szCs w:val="24"/>
          <w:lang w:val="bs-Latn-BA"/>
        </w:rPr>
        <w:t>под</w:t>
      </w:r>
      <w:r w:rsidR="0042679D" w:rsidRPr="007D31BE">
        <w:rPr>
          <w:rFonts w:ascii="Times New Roman" w:hAnsi="Times New Roman"/>
          <w:szCs w:val="24"/>
          <w:lang w:val="bs-Latn-BA"/>
        </w:rPr>
        <w:t xml:space="preserve"> </w:t>
      </w:r>
      <w:r>
        <w:rPr>
          <w:rFonts w:ascii="Times New Roman" w:hAnsi="Times New Roman"/>
          <w:szCs w:val="24"/>
          <w:lang w:val="bs-Latn-BA"/>
        </w:rPr>
        <w:t>слоганом</w:t>
      </w:r>
      <w:r w:rsidR="0042679D" w:rsidRPr="007D31BE">
        <w:rPr>
          <w:rFonts w:ascii="Times New Roman" w:hAnsi="Times New Roman"/>
          <w:szCs w:val="24"/>
          <w:lang w:val="bs-Latn-BA"/>
        </w:rPr>
        <w:t xml:space="preserve"> „</w:t>
      </w:r>
      <w:r>
        <w:rPr>
          <w:rFonts w:ascii="Times New Roman" w:hAnsi="Times New Roman"/>
          <w:szCs w:val="24"/>
          <w:lang w:val="bs-Latn-BA"/>
        </w:rPr>
        <w:t>Зауставимо</w:t>
      </w:r>
      <w:r w:rsidR="0042679D" w:rsidRPr="007D31BE">
        <w:rPr>
          <w:rFonts w:ascii="Times New Roman" w:hAnsi="Times New Roman"/>
          <w:szCs w:val="24"/>
          <w:lang w:val="bs-Latn-BA"/>
        </w:rPr>
        <w:t xml:space="preserve"> </w:t>
      </w:r>
      <w:r>
        <w:rPr>
          <w:rFonts w:ascii="Times New Roman" w:hAnsi="Times New Roman"/>
          <w:szCs w:val="24"/>
          <w:lang w:val="bs-Latn-BA"/>
        </w:rPr>
        <w:t>фемицид</w:t>
      </w:r>
      <w:r w:rsidR="0042679D" w:rsidRPr="007D31BE">
        <w:rPr>
          <w:rFonts w:ascii="Times New Roman" w:hAnsi="Times New Roman"/>
          <w:szCs w:val="24"/>
          <w:lang w:val="bs-Latn-BA"/>
        </w:rPr>
        <w:t xml:space="preserve">“ </w:t>
      </w:r>
      <w:r>
        <w:rPr>
          <w:rFonts w:ascii="Times New Roman" w:hAnsi="Times New Roman"/>
          <w:szCs w:val="24"/>
          <w:lang w:val="bs-Latn-BA"/>
        </w:rPr>
        <w:t>коју</w:t>
      </w:r>
      <w:r w:rsidR="0042679D" w:rsidRPr="007D31BE">
        <w:rPr>
          <w:rFonts w:ascii="Times New Roman" w:hAnsi="Times New Roman"/>
          <w:szCs w:val="24"/>
          <w:lang w:val="bs-Latn-BA"/>
        </w:rPr>
        <w:t xml:space="preserve"> </w:t>
      </w:r>
      <w:r w:rsidR="000124D3">
        <w:rPr>
          <w:rFonts w:ascii="Times New Roman" w:hAnsi="Times New Roman"/>
          <w:szCs w:val="24"/>
          <w:lang w:val="sr-Cyrl-BA"/>
        </w:rPr>
        <w:t>спроводи</w:t>
      </w:r>
      <w:r w:rsidR="0042679D" w:rsidRPr="007D31BE">
        <w:rPr>
          <w:rFonts w:ascii="Times New Roman" w:hAnsi="Times New Roman"/>
          <w:szCs w:val="24"/>
          <w:lang w:val="bs-Latn-BA"/>
        </w:rPr>
        <w:t xml:space="preserve"> </w:t>
      </w:r>
      <w:r w:rsidR="000124D3" w:rsidRPr="000124D3">
        <w:rPr>
          <w:rFonts w:ascii="Times New Roman" w:hAnsi="Times New Roman"/>
          <w:i/>
          <w:szCs w:val="24"/>
          <w:lang w:val="bs-Latn-BA"/>
        </w:rPr>
        <w:t>UN Women</w:t>
      </w:r>
      <w:r w:rsidR="0042679D" w:rsidRPr="007D31BE">
        <w:rPr>
          <w:rFonts w:ascii="Times New Roman" w:hAnsi="Times New Roman"/>
          <w:i/>
          <w:szCs w:val="24"/>
          <w:lang w:val="bs-Latn-BA"/>
        </w:rPr>
        <w:t xml:space="preserve"> </w:t>
      </w:r>
      <w:r w:rsidRPr="000124D3">
        <w:rPr>
          <w:rFonts w:ascii="Times New Roman" w:hAnsi="Times New Roman"/>
          <w:szCs w:val="24"/>
          <w:lang w:val="bs-Latn-BA"/>
        </w:rPr>
        <w:t>БиХ</w:t>
      </w:r>
      <w:r w:rsidR="0042679D" w:rsidRPr="007D31BE">
        <w:rPr>
          <w:rFonts w:ascii="Times New Roman" w:hAnsi="Times New Roman"/>
          <w:szCs w:val="24"/>
          <w:lang w:val="bs-Latn-BA"/>
        </w:rPr>
        <w:t xml:space="preserve"> </w:t>
      </w:r>
      <w:r>
        <w:rPr>
          <w:rFonts w:ascii="Times New Roman" w:hAnsi="Times New Roman"/>
          <w:szCs w:val="24"/>
          <w:lang w:val="bs-Latn-BA"/>
        </w:rPr>
        <w:t>у</w:t>
      </w:r>
      <w:r w:rsidR="0042679D" w:rsidRPr="007D31BE">
        <w:rPr>
          <w:rFonts w:ascii="Times New Roman" w:hAnsi="Times New Roman"/>
          <w:szCs w:val="24"/>
          <w:lang w:val="bs-Latn-BA"/>
        </w:rPr>
        <w:t xml:space="preserve"> </w:t>
      </w:r>
      <w:r>
        <w:rPr>
          <w:rFonts w:ascii="Times New Roman" w:hAnsi="Times New Roman"/>
          <w:szCs w:val="24"/>
          <w:lang w:val="bs-Latn-BA"/>
        </w:rPr>
        <w:t>сарадњи</w:t>
      </w:r>
      <w:r w:rsidR="005853E4">
        <w:rPr>
          <w:rFonts w:ascii="Times New Roman" w:hAnsi="Times New Roman"/>
          <w:szCs w:val="24"/>
          <w:lang w:val="bs-Latn-BA"/>
        </w:rPr>
        <w:t xml:space="preserve"> </w:t>
      </w:r>
      <w:r>
        <w:rPr>
          <w:rFonts w:ascii="Times New Roman" w:hAnsi="Times New Roman"/>
          <w:szCs w:val="24"/>
          <w:lang w:val="bs-Latn-BA"/>
        </w:rPr>
        <w:t>са</w:t>
      </w:r>
      <w:r w:rsidR="0042679D" w:rsidRPr="007D31BE">
        <w:rPr>
          <w:rFonts w:ascii="Times New Roman" w:hAnsi="Times New Roman"/>
          <w:szCs w:val="24"/>
          <w:lang w:val="bs-Latn-BA"/>
        </w:rPr>
        <w:t xml:space="preserve"> </w:t>
      </w:r>
      <w:r>
        <w:rPr>
          <w:rFonts w:ascii="Times New Roman" w:hAnsi="Times New Roman"/>
          <w:szCs w:val="24"/>
          <w:lang w:val="bs-Latn-BA"/>
        </w:rPr>
        <w:t>институцијама</w:t>
      </w:r>
      <w:r w:rsidR="0042679D" w:rsidRPr="007D31BE">
        <w:rPr>
          <w:rFonts w:ascii="Times New Roman" w:hAnsi="Times New Roman"/>
          <w:szCs w:val="24"/>
          <w:lang w:val="bs-Latn-BA"/>
        </w:rPr>
        <w:t xml:space="preserve"> </w:t>
      </w:r>
      <w:r>
        <w:rPr>
          <w:rFonts w:ascii="Times New Roman" w:hAnsi="Times New Roman"/>
          <w:szCs w:val="24"/>
          <w:lang w:val="bs-Latn-BA"/>
        </w:rPr>
        <w:t>и</w:t>
      </w:r>
      <w:r w:rsidR="0042679D" w:rsidRPr="007D31BE">
        <w:rPr>
          <w:rFonts w:ascii="Times New Roman" w:hAnsi="Times New Roman"/>
          <w:szCs w:val="24"/>
          <w:lang w:val="bs-Latn-BA"/>
        </w:rPr>
        <w:t xml:space="preserve"> </w:t>
      </w:r>
      <w:r>
        <w:rPr>
          <w:rFonts w:ascii="Times New Roman" w:hAnsi="Times New Roman"/>
          <w:szCs w:val="24"/>
          <w:lang w:val="bs-Latn-BA"/>
        </w:rPr>
        <w:t>невладиним</w:t>
      </w:r>
      <w:r w:rsidR="0042679D" w:rsidRPr="007D31BE">
        <w:rPr>
          <w:rFonts w:ascii="Times New Roman" w:hAnsi="Times New Roman"/>
          <w:szCs w:val="24"/>
          <w:lang w:val="bs-Latn-BA"/>
        </w:rPr>
        <w:t xml:space="preserve"> </w:t>
      </w:r>
      <w:r>
        <w:rPr>
          <w:rFonts w:ascii="Times New Roman" w:hAnsi="Times New Roman"/>
          <w:szCs w:val="24"/>
          <w:lang w:val="bs-Latn-BA"/>
        </w:rPr>
        <w:t>организацијама</w:t>
      </w:r>
      <w:r w:rsidR="0042679D" w:rsidRPr="007D31BE">
        <w:rPr>
          <w:rFonts w:ascii="Times New Roman" w:hAnsi="Times New Roman"/>
          <w:szCs w:val="24"/>
          <w:lang w:val="bs-Latn-BA"/>
        </w:rPr>
        <w:t xml:space="preserve">. </w:t>
      </w:r>
      <w:r>
        <w:rPr>
          <w:rFonts w:ascii="Times New Roman" w:hAnsi="Times New Roman"/>
          <w:szCs w:val="24"/>
          <w:lang w:val="bs-Latn-BA"/>
        </w:rPr>
        <w:t>Уводна</w:t>
      </w:r>
      <w:r w:rsidR="0042679D" w:rsidRPr="007D31BE">
        <w:rPr>
          <w:rFonts w:ascii="Times New Roman" w:hAnsi="Times New Roman"/>
          <w:szCs w:val="24"/>
          <w:lang w:val="bs-Latn-BA"/>
        </w:rPr>
        <w:t xml:space="preserve"> </w:t>
      </w:r>
      <w:r>
        <w:rPr>
          <w:rFonts w:ascii="Times New Roman" w:hAnsi="Times New Roman"/>
          <w:szCs w:val="24"/>
          <w:lang w:val="bs-Latn-BA"/>
        </w:rPr>
        <w:t>обраћања</w:t>
      </w:r>
      <w:r w:rsidR="0042679D" w:rsidRPr="007D31BE">
        <w:rPr>
          <w:rFonts w:ascii="Times New Roman" w:hAnsi="Times New Roman"/>
          <w:szCs w:val="24"/>
          <w:lang w:val="bs-Latn-BA"/>
        </w:rPr>
        <w:t xml:space="preserve"> </w:t>
      </w:r>
      <w:r>
        <w:rPr>
          <w:rFonts w:ascii="Times New Roman" w:hAnsi="Times New Roman"/>
          <w:szCs w:val="24"/>
          <w:lang w:val="bs-Latn-BA"/>
        </w:rPr>
        <w:t>АР</w:t>
      </w:r>
      <w:r w:rsidR="000124D3">
        <w:rPr>
          <w:rFonts w:ascii="Times New Roman" w:hAnsi="Times New Roman"/>
          <w:szCs w:val="24"/>
          <w:lang w:val="sr-Cyrl-BA"/>
        </w:rPr>
        <w:t>П</w:t>
      </w:r>
      <w:r w:rsidR="005853E4">
        <w:rPr>
          <w:rFonts w:ascii="Times New Roman" w:hAnsi="Times New Roman"/>
          <w:szCs w:val="24"/>
          <w:lang w:val="bs-Latn-BA"/>
        </w:rPr>
        <w:t xml:space="preserve"> </w:t>
      </w:r>
      <w:r>
        <w:rPr>
          <w:rFonts w:ascii="Times New Roman" w:hAnsi="Times New Roman"/>
          <w:szCs w:val="24"/>
          <w:lang w:val="bs-Latn-BA"/>
        </w:rPr>
        <w:t>БиХ</w:t>
      </w:r>
      <w:r w:rsidR="005853E4">
        <w:rPr>
          <w:rFonts w:ascii="Times New Roman" w:hAnsi="Times New Roman"/>
          <w:szCs w:val="24"/>
          <w:lang w:val="bs-Latn-BA"/>
        </w:rPr>
        <w:t xml:space="preserve"> </w:t>
      </w:r>
      <w:r>
        <w:rPr>
          <w:rFonts w:ascii="Times New Roman" w:hAnsi="Times New Roman"/>
          <w:szCs w:val="24"/>
          <w:lang w:val="bs-Latn-BA"/>
        </w:rPr>
        <w:t>МЉПИ</w:t>
      </w:r>
      <w:r w:rsidR="005853E4">
        <w:rPr>
          <w:rFonts w:ascii="Times New Roman" w:hAnsi="Times New Roman"/>
          <w:szCs w:val="24"/>
          <w:lang w:val="bs-Latn-BA"/>
        </w:rPr>
        <w:t xml:space="preserve"> </w:t>
      </w:r>
      <w:r>
        <w:rPr>
          <w:rFonts w:ascii="Times New Roman" w:hAnsi="Times New Roman"/>
          <w:szCs w:val="24"/>
          <w:lang w:val="bs-Latn-BA"/>
        </w:rPr>
        <w:t>БиХ</w:t>
      </w:r>
      <w:r w:rsidR="009F3476" w:rsidRPr="007D31BE">
        <w:rPr>
          <w:rFonts w:ascii="Times New Roman" w:hAnsi="Times New Roman"/>
          <w:szCs w:val="24"/>
          <w:lang w:val="bs-Latn-BA"/>
        </w:rPr>
        <w:t xml:space="preserve"> </w:t>
      </w:r>
      <w:r>
        <w:rPr>
          <w:rFonts w:ascii="Times New Roman" w:hAnsi="Times New Roman"/>
          <w:szCs w:val="24"/>
          <w:lang w:val="bs-Latn-BA"/>
        </w:rPr>
        <w:t>на</w:t>
      </w:r>
      <w:r w:rsidR="0042679D" w:rsidRPr="007D31BE">
        <w:rPr>
          <w:rFonts w:ascii="Times New Roman" w:hAnsi="Times New Roman"/>
          <w:szCs w:val="24"/>
          <w:lang w:val="bs-Latn-BA"/>
        </w:rPr>
        <w:t xml:space="preserve"> </w:t>
      </w:r>
      <w:r>
        <w:rPr>
          <w:rFonts w:ascii="Times New Roman" w:hAnsi="Times New Roman"/>
          <w:szCs w:val="24"/>
          <w:lang w:val="bs-Latn-BA"/>
        </w:rPr>
        <w:t>догађајима</w:t>
      </w:r>
      <w:r w:rsidR="0042679D" w:rsidRPr="007D31BE">
        <w:rPr>
          <w:rFonts w:ascii="Times New Roman" w:hAnsi="Times New Roman"/>
          <w:szCs w:val="24"/>
          <w:lang w:val="bs-Latn-BA"/>
        </w:rPr>
        <w:t xml:space="preserve"> </w:t>
      </w:r>
      <w:r>
        <w:rPr>
          <w:rFonts w:ascii="Times New Roman" w:hAnsi="Times New Roman"/>
          <w:szCs w:val="24"/>
          <w:lang w:val="bs-Latn-BA"/>
        </w:rPr>
        <w:t>у</w:t>
      </w:r>
      <w:r w:rsidR="0042679D" w:rsidRPr="007D31BE">
        <w:rPr>
          <w:rFonts w:ascii="Times New Roman" w:hAnsi="Times New Roman"/>
          <w:szCs w:val="24"/>
          <w:lang w:val="bs-Latn-BA"/>
        </w:rPr>
        <w:t xml:space="preserve"> </w:t>
      </w:r>
      <w:r>
        <w:rPr>
          <w:rFonts w:ascii="Times New Roman" w:hAnsi="Times New Roman"/>
          <w:szCs w:val="24"/>
          <w:lang w:val="bs-Latn-BA"/>
        </w:rPr>
        <w:t>оквиру</w:t>
      </w:r>
      <w:r w:rsidR="0042679D" w:rsidRPr="007D31BE">
        <w:rPr>
          <w:rFonts w:ascii="Times New Roman" w:hAnsi="Times New Roman"/>
          <w:szCs w:val="24"/>
          <w:lang w:val="bs-Latn-BA"/>
        </w:rPr>
        <w:t xml:space="preserve"> </w:t>
      </w:r>
      <w:r>
        <w:rPr>
          <w:rFonts w:ascii="Times New Roman" w:hAnsi="Times New Roman"/>
          <w:szCs w:val="24"/>
          <w:lang w:val="bs-Latn-BA"/>
        </w:rPr>
        <w:t>кампања</w:t>
      </w:r>
      <w:r w:rsidR="0042679D" w:rsidRPr="007D31BE">
        <w:rPr>
          <w:rFonts w:ascii="Times New Roman" w:hAnsi="Times New Roman"/>
          <w:szCs w:val="24"/>
          <w:lang w:val="bs-Latn-BA"/>
        </w:rPr>
        <w:t xml:space="preserve">, </w:t>
      </w:r>
      <w:r>
        <w:rPr>
          <w:rFonts w:ascii="Times New Roman" w:hAnsi="Times New Roman"/>
          <w:szCs w:val="24"/>
          <w:lang w:val="bs-Latn-BA"/>
        </w:rPr>
        <w:t>као</w:t>
      </w:r>
      <w:r w:rsidR="0042679D" w:rsidRPr="007D31BE">
        <w:rPr>
          <w:rFonts w:ascii="Times New Roman" w:hAnsi="Times New Roman"/>
          <w:szCs w:val="24"/>
          <w:lang w:val="bs-Latn-BA"/>
        </w:rPr>
        <w:t xml:space="preserve"> </w:t>
      </w:r>
      <w:r>
        <w:rPr>
          <w:rFonts w:ascii="Times New Roman" w:hAnsi="Times New Roman"/>
          <w:szCs w:val="24"/>
          <w:lang w:val="bs-Latn-BA"/>
        </w:rPr>
        <w:t>и</w:t>
      </w:r>
      <w:r w:rsidR="0042679D" w:rsidRPr="007D31BE">
        <w:rPr>
          <w:rFonts w:ascii="Times New Roman" w:hAnsi="Times New Roman"/>
          <w:szCs w:val="24"/>
          <w:lang w:val="bs-Latn-BA"/>
        </w:rPr>
        <w:t xml:space="preserve"> </w:t>
      </w:r>
      <w:r>
        <w:rPr>
          <w:rFonts w:ascii="Times New Roman" w:hAnsi="Times New Roman"/>
          <w:szCs w:val="24"/>
          <w:lang w:val="bs-Latn-BA"/>
        </w:rPr>
        <w:t>изјаве</w:t>
      </w:r>
      <w:r w:rsidR="0042679D" w:rsidRPr="007D31BE">
        <w:rPr>
          <w:rFonts w:ascii="Times New Roman" w:hAnsi="Times New Roman"/>
          <w:szCs w:val="24"/>
          <w:lang w:val="bs-Latn-BA"/>
        </w:rPr>
        <w:t xml:space="preserve"> </w:t>
      </w:r>
      <w:r>
        <w:rPr>
          <w:rFonts w:ascii="Times New Roman" w:hAnsi="Times New Roman"/>
          <w:szCs w:val="24"/>
          <w:lang w:val="bs-Latn-BA"/>
        </w:rPr>
        <w:t>за</w:t>
      </w:r>
      <w:r w:rsidR="0042679D" w:rsidRPr="007D31BE">
        <w:rPr>
          <w:rFonts w:ascii="Times New Roman" w:hAnsi="Times New Roman"/>
          <w:szCs w:val="24"/>
          <w:lang w:val="bs-Latn-BA"/>
        </w:rPr>
        <w:t xml:space="preserve"> </w:t>
      </w:r>
      <w:r>
        <w:rPr>
          <w:rFonts w:ascii="Times New Roman" w:hAnsi="Times New Roman"/>
          <w:szCs w:val="24"/>
          <w:lang w:val="bs-Latn-BA"/>
        </w:rPr>
        <w:t>медије</w:t>
      </w:r>
      <w:r w:rsidR="0042679D" w:rsidRPr="007D31BE">
        <w:rPr>
          <w:rFonts w:ascii="Times New Roman" w:hAnsi="Times New Roman"/>
          <w:szCs w:val="24"/>
          <w:lang w:val="bs-Latn-BA"/>
        </w:rPr>
        <w:t xml:space="preserve"> </w:t>
      </w:r>
      <w:r>
        <w:rPr>
          <w:rFonts w:ascii="Times New Roman" w:hAnsi="Times New Roman"/>
          <w:szCs w:val="24"/>
          <w:lang w:val="bs-Latn-BA"/>
        </w:rPr>
        <w:t>тим</w:t>
      </w:r>
      <w:r w:rsidR="0042679D" w:rsidRPr="007D31BE">
        <w:rPr>
          <w:rFonts w:ascii="Times New Roman" w:hAnsi="Times New Roman"/>
          <w:szCs w:val="24"/>
          <w:lang w:val="bs-Latn-BA"/>
        </w:rPr>
        <w:t xml:space="preserve"> </w:t>
      </w:r>
      <w:r>
        <w:rPr>
          <w:rFonts w:ascii="Times New Roman" w:hAnsi="Times New Roman"/>
          <w:szCs w:val="24"/>
          <w:lang w:val="bs-Latn-BA"/>
        </w:rPr>
        <w:t>поводом</w:t>
      </w:r>
      <w:r w:rsidR="0042679D" w:rsidRPr="007D31BE">
        <w:rPr>
          <w:rFonts w:ascii="Times New Roman" w:hAnsi="Times New Roman"/>
          <w:szCs w:val="24"/>
          <w:lang w:val="bs-Latn-BA"/>
        </w:rPr>
        <w:t xml:space="preserve">, </w:t>
      </w:r>
      <w:r>
        <w:rPr>
          <w:rFonts w:ascii="Times New Roman" w:hAnsi="Times New Roman"/>
          <w:szCs w:val="24"/>
          <w:lang w:val="bs-Latn-BA"/>
        </w:rPr>
        <w:t>имају</w:t>
      </w:r>
      <w:r w:rsidR="0042679D" w:rsidRPr="007D31BE">
        <w:rPr>
          <w:rFonts w:ascii="Times New Roman" w:hAnsi="Times New Roman"/>
          <w:szCs w:val="24"/>
          <w:lang w:val="bs-Latn-BA"/>
        </w:rPr>
        <w:t xml:space="preserve"> </w:t>
      </w:r>
      <w:r>
        <w:rPr>
          <w:rFonts w:ascii="Times New Roman" w:hAnsi="Times New Roman"/>
          <w:szCs w:val="24"/>
          <w:lang w:val="bs-Latn-BA"/>
        </w:rPr>
        <w:t>важну</w:t>
      </w:r>
      <w:r w:rsidR="0042679D" w:rsidRPr="007D31BE">
        <w:rPr>
          <w:rFonts w:ascii="Times New Roman" w:hAnsi="Times New Roman"/>
          <w:szCs w:val="24"/>
          <w:lang w:val="bs-Latn-BA"/>
        </w:rPr>
        <w:t xml:space="preserve"> </w:t>
      </w:r>
      <w:r>
        <w:rPr>
          <w:rFonts w:ascii="Times New Roman" w:hAnsi="Times New Roman"/>
          <w:szCs w:val="24"/>
          <w:lang w:val="bs-Latn-BA"/>
        </w:rPr>
        <w:t>улогу</w:t>
      </w:r>
      <w:r w:rsidR="0042679D" w:rsidRPr="007D31BE">
        <w:rPr>
          <w:rFonts w:ascii="Times New Roman" w:hAnsi="Times New Roman"/>
          <w:szCs w:val="24"/>
          <w:lang w:val="bs-Latn-BA"/>
        </w:rPr>
        <w:t xml:space="preserve"> </w:t>
      </w:r>
      <w:r>
        <w:rPr>
          <w:rFonts w:ascii="Times New Roman" w:hAnsi="Times New Roman"/>
          <w:szCs w:val="24"/>
          <w:lang w:val="bs-Latn-BA"/>
        </w:rPr>
        <w:t>у</w:t>
      </w:r>
      <w:r w:rsidR="0042679D" w:rsidRPr="007D31BE">
        <w:rPr>
          <w:rFonts w:ascii="Times New Roman" w:hAnsi="Times New Roman"/>
          <w:szCs w:val="24"/>
          <w:lang w:val="bs-Latn-BA"/>
        </w:rPr>
        <w:t xml:space="preserve"> </w:t>
      </w:r>
      <w:r>
        <w:rPr>
          <w:rFonts w:ascii="Times New Roman" w:hAnsi="Times New Roman"/>
          <w:szCs w:val="24"/>
          <w:lang w:val="bs-Latn-BA"/>
        </w:rPr>
        <w:t>скретању</w:t>
      </w:r>
      <w:r w:rsidR="0042679D" w:rsidRPr="007D31BE">
        <w:rPr>
          <w:rFonts w:ascii="Times New Roman" w:hAnsi="Times New Roman"/>
          <w:szCs w:val="24"/>
          <w:lang w:val="bs-Latn-BA"/>
        </w:rPr>
        <w:t xml:space="preserve"> </w:t>
      </w:r>
      <w:r>
        <w:rPr>
          <w:rFonts w:ascii="Times New Roman" w:hAnsi="Times New Roman"/>
          <w:szCs w:val="24"/>
          <w:lang w:val="bs-Latn-BA"/>
        </w:rPr>
        <w:t>пажње</w:t>
      </w:r>
      <w:r w:rsidR="0042679D" w:rsidRPr="007D31BE">
        <w:rPr>
          <w:rFonts w:ascii="Times New Roman" w:hAnsi="Times New Roman"/>
          <w:szCs w:val="24"/>
          <w:lang w:val="bs-Latn-BA"/>
        </w:rPr>
        <w:t xml:space="preserve"> </w:t>
      </w:r>
      <w:r>
        <w:rPr>
          <w:rFonts w:ascii="Times New Roman" w:hAnsi="Times New Roman"/>
          <w:szCs w:val="24"/>
          <w:lang w:val="bs-Latn-BA"/>
        </w:rPr>
        <w:t>јавности</w:t>
      </w:r>
      <w:r w:rsidR="0042679D" w:rsidRPr="007D31BE">
        <w:rPr>
          <w:rFonts w:ascii="Times New Roman" w:hAnsi="Times New Roman"/>
          <w:szCs w:val="24"/>
          <w:lang w:val="bs-Latn-BA"/>
        </w:rPr>
        <w:t xml:space="preserve"> </w:t>
      </w:r>
      <w:r>
        <w:rPr>
          <w:rFonts w:ascii="Times New Roman" w:hAnsi="Times New Roman"/>
          <w:szCs w:val="24"/>
          <w:lang w:val="bs-Latn-BA"/>
        </w:rPr>
        <w:t>на</w:t>
      </w:r>
      <w:r w:rsidR="0042679D" w:rsidRPr="007D31BE">
        <w:rPr>
          <w:rFonts w:ascii="Times New Roman" w:hAnsi="Times New Roman"/>
          <w:szCs w:val="24"/>
          <w:lang w:val="bs-Latn-BA"/>
        </w:rPr>
        <w:t xml:space="preserve"> </w:t>
      </w:r>
      <w:r>
        <w:rPr>
          <w:rFonts w:ascii="Times New Roman" w:hAnsi="Times New Roman"/>
          <w:szCs w:val="24"/>
          <w:lang w:val="bs-Latn-BA"/>
        </w:rPr>
        <w:t>проблеме</w:t>
      </w:r>
      <w:r w:rsidR="0042679D" w:rsidRPr="007D31BE">
        <w:rPr>
          <w:rFonts w:ascii="Times New Roman" w:hAnsi="Times New Roman"/>
          <w:szCs w:val="24"/>
          <w:lang w:val="bs-Latn-BA"/>
        </w:rPr>
        <w:t xml:space="preserve"> </w:t>
      </w:r>
      <w:r>
        <w:rPr>
          <w:rFonts w:ascii="Times New Roman" w:hAnsi="Times New Roman"/>
          <w:szCs w:val="24"/>
          <w:lang w:val="bs-Latn-BA"/>
        </w:rPr>
        <w:t>равноправности</w:t>
      </w:r>
      <w:r w:rsidR="0042679D" w:rsidRPr="007D31BE">
        <w:rPr>
          <w:rFonts w:ascii="Times New Roman" w:hAnsi="Times New Roman"/>
          <w:szCs w:val="24"/>
          <w:lang w:val="bs-Latn-BA"/>
        </w:rPr>
        <w:t xml:space="preserve"> </w:t>
      </w:r>
      <w:r>
        <w:rPr>
          <w:rFonts w:ascii="Times New Roman" w:hAnsi="Times New Roman"/>
          <w:szCs w:val="24"/>
          <w:lang w:val="bs-Latn-BA"/>
        </w:rPr>
        <w:t>полова</w:t>
      </w:r>
      <w:r w:rsidR="0042679D" w:rsidRPr="007D31BE">
        <w:rPr>
          <w:rFonts w:ascii="Times New Roman" w:hAnsi="Times New Roman"/>
          <w:szCs w:val="24"/>
          <w:lang w:val="bs-Latn-BA"/>
        </w:rPr>
        <w:t xml:space="preserve">, </w:t>
      </w:r>
      <w:r>
        <w:rPr>
          <w:rFonts w:ascii="Times New Roman" w:hAnsi="Times New Roman"/>
          <w:szCs w:val="24"/>
          <w:lang w:val="bs-Latn-BA"/>
        </w:rPr>
        <w:t>као</w:t>
      </w:r>
      <w:r w:rsidR="0042679D" w:rsidRPr="007D31BE">
        <w:rPr>
          <w:rFonts w:ascii="Times New Roman" w:hAnsi="Times New Roman"/>
          <w:szCs w:val="24"/>
          <w:lang w:val="bs-Latn-BA"/>
        </w:rPr>
        <w:t xml:space="preserve"> </w:t>
      </w:r>
      <w:r>
        <w:rPr>
          <w:rFonts w:ascii="Times New Roman" w:hAnsi="Times New Roman"/>
          <w:szCs w:val="24"/>
          <w:lang w:val="bs-Latn-BA"/>
        </w:rPr>
        <w:t>и</w:t>
      </w:r>
      <w:r w:rsidR="0042679D" w:rsidRPr="007D31BE">
        <w:rPr>
          <w:rFonts w:ascii="Times New Roman" w:hAnsi="Times New Roman"/>
          <w:szCs w:val="24"/>
          <w:lang w:val="bs-Latn-BA"/>
        </w:rPr>
        <w:t xml:space="preserve"> </w:t>
      </w:r>
      <w:r>
        <w:rPr>
          <w:rFonts w:ascii="Times New Roman" w:hAnsi="Times New Roman"/>
          <w:szCs w:val="24"/>
          <w:lang w:val="bs-Latn-BA"/>
        </w:rPr>
        <w:t>демонстрацију</w:t>
      </w:r>
      <w:r w:rsidR="0042679D" w:rsidRPr="007D31BE">
        <w:rPr>
          <w:rFonts w:ascii="Times New Roman" w:hAnsi="Times New Roman"/>
          <w:szCs w:val="24"/>
          <w:lang w:val="bs-Latn-BA"/>
        </w:rPr>
        <w:t xml:space="preserve"> </w:t>
      </w:r>
      <w:r>
        <w:rPr>
          <w:rFonts w:ascii="Times New Roman" w:hAnsi="Times New Roman"/>
          <w:szCs w:val="24"/>
          <w:lang w:val="bs-Latn-BA"/>
        </w:rPr>
        <w:t>подршке</w:t>
      </w:r>
      <w:r w:rsidR="0042679D" w:rsidRPr="007D31BE">
        <w:rPr>
          <w:rFonts w:ascii="Times New Roman" w:hAnsi="Times New Roman"/>
          <w:szCs w:val="24"/>
          <w:lang w:val="bs-Latn-BA"/>
        </w:rPr>
        <w:t xml:space="preserve"> </w:t>
      </w:r>
      <w:r>
        <w:rPr>
          <w:rFonts w:ascii="Times New Roman" w:hAnsi="Times New Roman"/>
          <w:szCs w:val="24"/>
          <w:lang w:val="bs-Latn-BA"/>
        </w:rPr>
        <w:t>надлежних</w:t>
      </w:r>
      <w:r w:rsidR="0039796C">
        <w:rPr>
          <w:rFonts w:ascii="Times New Roman" w:hAnsi="Times New Roman"/>
          <w:szCs w:val="24"/>
          <w:lang w:val="bs-Latn-BA"/>
        </w:rPr>
        <w:t xml:space="preserve"> </w:t>
      </w:r>
      <w:r>
        <w:rPr>
          <w:rFonts w:ascii="Times New Roman" w:hAnsi="Times New Roman"/>
          <w:szCs w:val="24"/>
          <w:lang w:val="bs-Latn-BA"/>
        </w:rPr>
        <w:t>институција</w:t>
      </w:r>
      <w:r w:rsidR="0039796C">
        <w:rPr>
          <w:rFonts w:ascii="Times New Roman" w:hAnsi="Times New Roman"/>
          <w:szCs w:val="24"/>
          <w:lang w:val="bs-Latn-BA"/>
        </w:rPr>
        <w:t xml:space="preserve"> </w:t>
      </w:r>
      <w:r>
        <w:rPr>
          <w:rFonts w:ascii="Times New Roman" w:hAnsi="Times New Roman"/>
          <w:szCs w:val="24"/>
          <w:lang w:val="bs-Latn-BA"/>
        </w:rPr>
        <w:t>циљевима</w:t>
      </w:r>
      <w:r w:rsidR="0039796C">
        <w:rPr>
          <w:rFonts w:ascii="Times New Roman" w:hAnsi="Times New Roman"/>
          <w:szCs w:val="24"/>
          <w:lang w:val="bs-Latn-BA"/>
        </w:rPr>
        <w:t xml:space="preserve"> </w:t>
      </w:r>
      <w:r>
        <w:rPr>
          <w:rFonts w:ascii="Times New Roman" w:hAnsi="Times New Roman"/>
          <w:szCs w:val="24"/>
          <w:lang w:val="bs-Latn-BA"/>
        </w:rPr>
        <w:t>ГАП</w:t>
      </w:r>
      <w:r w:rsidR="0039796C">
        <w:rPr>
          <w:rFonts w:ascii="Times New Roman" w:hAnsi="Times New Roman"/>
          <w:szCs w:val="24"/>
          <w:lang w:val="bs-Latn-BA"/>
        </w:rPr>
        <w:t xml:space="preserve"> </w:t>
      </w:r>
      <w:r>
        <w:rPr>
          <w:rFonts w:ascii="Times New Roman" w:hAnsi="Times New Roman"/>
          <w:szCs w:val="24"/>
          <w:lang w:val="bs-Latn-BA"/>
        </w:rPr>
        <w:t>БиХ</w:t>
      </w:r>
      <w:r w:rsidR="0042679D" w:rsidRPr="007D31BE">
        <w:rPr>
          <w:rFonts w:ascii="Times New Roman" w:hAnsi="Times New Roman"/>
          <w:szCs w:val="24"/>
          <w:lang w:val="bs-Latn-BA"/>
        </w:rPr>
        <w:t xml:space="preserve">. </w:t>
      </w:r>
    </w:p>
    <w:p w:rsidR="0042679D" w:rsidRDefault="0042679D" w:rsidP="0086268D">
      <w:pPr>
        <w:pStyle w:val="ListParagraph"/>
        <w:ind w:left="720"/>
        <w:jc w:val="both"/>
        <w:rPr>
          <w:rFonts w:ascii="Times New Roman" w:hAnsi="Times New Roman"/>
          <w:szCs w:val="24"/>
        </w:rPr>
      </w:pPr>
    </w:p>
    <w:p w:rsidR="0042679D" w:rsidRDefault="00C6214E" w:rsidP="0086268D">
      <w:pPr>
        <w:pStyle w:val="ListParagraph"/>
        <w:numPr>
          <w:ilvl w:val="0"/>
          <w:numId w:val="17"/>
        </w:numPr>
        <w:jc w:val="both"/>
        <w:rPr>
          <w:rFonts w:ascii="Times New Roman" w:hAnsi="Times New Roman"/>
          <w:szCs w:val="24"/>
        </w:rPr>
      </w:pP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сврху</w:t>
      </w:r>
      <w:r w:rsidR="0042679D" w:rsidRPr="00295637">
        <w:rPr>
          <w:rFonts w:ascii="Times New Roman" w:hAnsi="Times New Roman"/>
          <w:szCs w:val="24"/>
        </w:rPr>
        <w:t xml:space="preserve"> </w:t>
      </w:r>
      <w:r>
        <w:rPr>
          <w:rFonts w:ascii="Times New Roman" w:hAnsi="Times New Roman"/>
          <w:szCs w:val="24"/>
        </w:rPr>
        <w:t>промоције</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унапређења</w:t>
      </w:r>
      <w:r w:rsidR="0042679D" w:rsidRPr="00295637">
        <w:rPr>
          <w:rFonts w:ascii="Times New Roman" w:hAnsi="Times New Roman"/>
          <w:szCs w:val="24"/>
        </w:rPr>
        <w:t xml:space="preserve"> </w:t>
      </w:r>
      <w:r>
        <w:rPr>
          <w:rFonts w:ascii="Times New Roman" w:hAnsi="Times New Roman"/>
          <w:szCs w:val="24"/>
        </w:rPr>
        <w:t>свијести</w:t>
      </w:r>
      <w:r w:rsidR="0042679D" w:rsidRPr="00295637">
        <w:rPr>
          <w:rFonts w:ascii="Times New Roman" w:hAnsi="Times New Roman"/>
          <w:szCs w:val="24"/>
        </w:rPr>
        <w:t xml:space="preserve"> </w:t>
      </w:r>
      <w:r>
        <w:rPr>
          <w:rFonts w:ascii="Times New Roman" w:hAnsi="Times New Roman"/>
          <w:szCs w:val="24"/>
        </w:rPr>
        <w:t>о</w:t>
      </w:r>
      <w:r w:rsidR="0042679D" w:rsidRPr="00295637">
        <w:rPr>
          <w:rFonts w:ascii="Times New Roman" w:hAnsi="Times New Roman"/>
          <w:szCs w:val="24"/>
        </w:rPr>
        <w:t xml:space="preserve"> </w:t>
      </w:r>
      <w:r>
        <w:rPr>
          <w:rFonts w:ascii="Times New Roman" w:hAnsi="Times New Roman"/>
          <w:szCs w:val="24"/>
        </w:rPr>
        <w:t>потреби</w:t>
      </w:r>
      <w:r w:rsidR="0042679D" w:rsidRPr="00295637">
        <w:rPr>
          <w:rFonts w:ascii="Times New Roman" w:hAnsi="Times New Roman"/>
          <w:szCs w:val="24"/>
        </w:rPr>
        <w:t xml:space="preserve"> </w:t>
      </w:r>
      <w:r>
        <w:rPr>
          <w:rFonts w:ascii="Times New Roman" w:hAnsi="Times New Roman"/>
          <w:szCs w:val="24"/>
        </w:rPr>
        <w:t>превенције</w:t>
      </w:r>
      <w:r w:rsidR="0042679D" w:rsidRPr="00295637">
        <w:rPr>
          <w:rFonts w:ascii="Times New Roman" w:hAnsi="Times New Roman"/>
          <w:szCs w:val="24"/>
        </w:rPr>
        <w:t xml:space="preserve"> </w:t>
      </w:r>
      <w:r>
        <w:rPr>
          <w:rFonts w:ascii="Times New Roman" w:hAnsi="Times New Roman"/>
          <w:szCs w:val="24"/>
        </w:rPr>
        <w:t>родно</w:t>
      </w:r>
      <w:r w:rsidR="0042679D" w:rsidRPr="00295637">
        <w:rPr>
          <w:rFonts w:ascii="Times New Roman" w:hAnsi="Times New Roman"/>
          <w:szCs w:val="24"/>
        </w:rPr>
        <w:t xml:space="preserve"> </w:t>
      </w:r>
      <w:r>
        <w:rPr>
          <w:rFonts w:ascii="Times New Roman" w:hAnsi="Times New Roman"/>
          <w:szCs w:val="24"/>
        </w:rPr>
        <w:t>заснованог</w:t>
      </w:r>
      <w:r w:rsidR="005853E4">
        <w:rPr>
          <w:rFonts w:ascii="Times New Roman" w:hAnsi="Times New Roman"/>
          <w:szCs w:val="24"/>
        </w:rPr>
        <w:t xml:space="preserve"> </w:t>
      </w:r>
      <w:r>
        <w:rPr>
          <w:rFonts w:ascii="Times New Roman" w:hAnsi="Times New Roman"/>
          <w:szCs w:val="24"/>
        </w:rPr>
        <w:t>насиља</w:t>
      </w:r>
      <w:r w:rsidR="005853E4">
        <w:rPr>
          <w:rFonts w:ascii="Times New Roman" w:hAnsi="Times New Roman"/>
          <w:szCs w:val="24"/>
        </w:rPr>
        <w:t xml:space="preserve">, </w:t>
      </w:r>
      <w:r>
        <w:rPr>
          <w:rFonts w:ascii="Times New Roman" w:hAnsi="Times New Roman"/>
          <w:szCs w:val="24"/>
        </w:rPr>
        <w:t>АР</w:t>
      </w:r>
      <w:r w:rsidR="000124D3">
        <w:rPr>
          <w:rFonts w:ascii="Times New Roman" w:hAnsi="Times New Roman"/>
          <w:szCs w:val="24"/>
          <w:lang w:val="sr-Cyrl-BA"/>
        </w:rPr>
        <w:t>П</w:t>
      </w:r>
      <w:r w:rsidR="005853E4">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Pr>
          <w:rFonts w:ascii="Times New Roman" w:hAnsi="Times New Roman"/>
          <w:szCs w:val="24"/>
        </w:rPr>
        <w:t>МЉПИ</w:t>
      </w:r>
      <w:r w:rsidR="0066106D">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b/>
          <w:szCs w:val="24"/>
        </w:rPr>
        <w:t xml:space="preserve"> </w:t>
      </w:r>
      <w:r w:rsidR="000124D3">
        <w:rPr>
          <w:rFonts w:ascii="Times New Roman" w:hAnsi="Times New Roman"/>
          <w:szCs w:val="24"/>
        </w:rPr>
        <w:t xml:space="preserve">је </w:t>
      </w:r>
      <w:r>
        <w:rPr>
          <w:rFonts w:ascii="Times New Roman" w:hAnsi="Times New Roman"/>
          <w:szCs w:val="24"/>
        </w:rPr>
        <w:t>реализ</w:t>
      </w:r>
      <w:r w:rsidR="000124D3">
        <w:rPr>
          <w:rFonts w:ascii="Times New Roman" w:hAnsi="Times New Roman"/>
          <w:szCs w:val="24"/>
          <w:lang w:val="sr-Cyrl-BA"/>
        </w:rPr>
        <w:t>овала</w:t>
      </w:r>
      <w:r w:rsidR="0042679D" w:rsidRPr="00295637">
        <w:rPr>
          <w:rFonts w:ascii="Times New Roman" w:hAnsi="Times New Roman"/>
          <w:szCs w:val="24"/>
        </w:rPr>
        <w:t xml:space="preserve"> </w:t>
      </w:r>
      <w:r>
        <w:rPr>
          <w:rFonts w:ascii="Times New Roman" w:hAnsi="Times New Roman"/>
          <w:szCs w:val="24"/>
        </w:rPr>
        <w:t>јавну</w:t>
      </w:r>
      <w:r w:rsidR="0042679D" w:rsidRPr="00295637">
        <w:rPr>
          <w:rFonts w:ascii="Times New Roman" w:hAnsi="Times New Roman"/>
          <w:szCs w:val="24"/>
        </w:rPr>
        <w:t xml:space="preserve"> </w:t>
      </w:r>
      <w:r>
        <w:rPr>
          <w:rFonts w:ascii="Times New Roman" w:hAnsi="Times New Roman"/>
          <w:szCs w:val="24"/>
        </w:rPr>
        <w:t>кампању</w:t>
      </w:r>
      <w:r w:rsidR="0042679D" w:rsidRPr="00295637">
        <w:rPr>
          <w:rFonts w:ascii="Times New Roman" w:hAnsi="Times New Roman"/>
          <w:szCs w:val="24"/>
        </w:rPr>
        <w:t xml:space="preserve"> „</w:t>
      </w:r>
      <w:r>
        <w:rPr>
          <w:rFonts w:ascii="Times New Roman" w:hAnsi="Times New Roman"/>
          <w:szCs w:val="24"/>
        </w:rPr>
        <w:t>Политичарке</w:t>
      </w:r>
      <w:r w:rsidR="0042679D" w:rsidRPr="00295637">
        <w:rPr>
          <w:rFonts w:ascii="Times New Roman" w:hAnsi="Times New Roman"/>
          <w:szCs w:val="24"/>
        </w:rPr>
        <w:t xml:space="preserve"> </w:t>
      </w:r>
      <w:r>
        <w:rPr>
          <w:rFonts w:ascii="Times New Roman" w:hAnsi="Times New Roman"/>
          <w:szCs w:val="24"/>
        </w:rPr>
        <w:t>поручују</w:t>
      </w:r>
      <w:r w:rsidR="0042679D" w:rsidRPr="00295637">
        <w:rPr>
          <w:rFonts w:ascii="Times New Roman" w:hAnsi="Times New Roman"/>
          <w:szCs w:val="24"/>
        </w:rPr>
        <w:t xml:space="preserve">: </w:t>
      </w:r>
      <w:r>
        <w:rPr>
          <w:rFonts w:ascii="Times New Roman" w:hAnsi="Times New Roman"/>
          <w:szCs w:val="24"/>
        </w:rPr>
        <w:t>Гласно</w:t>
      </w:r>
      <w:r w:rsidR="0042679D" w:rsidRPr="00295637">
        <w:rPr>
          <w:rFonts w:ascii="Times New Roman" w:hAnsi="Times New Roman"/>
          <w:szCs w:val="24"/>
        </w:rPr>
        <w:t xml:space="preserve"> </w:t>
      </w:r>
      <w:r>
        <w:rPr>
          <w:rFonts w:ascii="Times New Roman" w:hAnsi="Times New Roman"/>
          <w:szCs w:val="24"/>
        </w:rPr>
        <w:t>против</w:t>
      </w:r>
      <w:r w:rsidR="0042679D" w:rsidRPr="00295637">
        <w:rPr>
          <w:rFonts w:ascii="Times New Roman" w:hAnsi="Times New Roman"/>
          <w:szCs w:val="24"/>
        </w:rPr>
        <w:t xml:space="preserve"> </w:t>
      </w:r>
      <w:r>
        <w:rPr>
          <w:rFonts w:ascii="Times New Roman" w:hAnsi="Times New Roman"/>
          <w:szCs w:val="24"/>
        </w:rPr>
        <w:t>насиља</w:t>
      </w:r>
      <w:r w:rsidR="0042679D" w:rsidRPr="00295637">
        <w:rPr>
          <w:rFonts w:ascii="Times New Roman" w:hAnsi="Times New Roman"/>
          <w:szCs w:val="24"/>
        </w:rPr>
        <w:t xml:space="preserve"> </w:t>
      </w:r>
      <w:r>
        <w:rPr>
          <w:rFonts w:ascii="Times New Roman" w:hAnsi="Times New Roman"/>
          <w:szCs w:val="24"/>
        </w:rPr>
        <w:t>над</w:t>
      </w:r>
      <w:r w:rsidR="0042679D" w:rsidRPr="00295637">
        <w:rPr>
          <w:rFonts w:ascii="Times New Roman" w:hAnsi="Times New Roman"/>
          <w:szCs w:val="24"/>
        </w:rPr>
        <w:t xml:space="preserve"> </w:t>
      </w:r>
      <w:r>
        <w:rPr>
          <w:rFonts w:ascii="Times New Roman" w:hAnsi="Times New Roman"/>
          <w:szCs w:val="24"/>
        </w:rPr>
        <w:t>женама</w:t>
      </w:r>
      <w:r w:rsidR="0042679D" w:rsidRPr="00295637">
        <w:rPr>
          <w:rFonts w:ascii="Times New Roman" w:hAnsi="Times New Roman"/>
          <w:szCs w:val="24"/>
        </w:rPr>
        <w:t xml:space="preserve">!“ </w:t>
      </w:r>
      <w:r>
        <w:rPr>
          <w:rFonts w:ascii="Times New Roman" w:hAnsi="Times New Roman"/>
          <w:szCs w:val="24"/>
        </w:rPr>
        <w:t>уз</w:t>
      </w:r>
      <w:r w:rsidR="0042679D" w:rsidRPr="00295637">
        <w:rPr>
          <w:rFonts w:ascii="Times New Roman" w:hAnsi="Times New Roman"/>
          <w:szCs w:val="24"/>
        </w:rPr>
        <w:t xml:space="preserve"> </w:t>
      </w:r>
      <w:r>
        <w:rPr>
          <w:rFonts w:ascii="Times New Roman" w:hAnsi="Times New Roman"/>
          <w:szCs w:val="24"/>
        </w:rPr>
        <w:t>велику</w:t>
      </w:r>
      <w:r w:rsidR="0042679D" w:rsidRPr="00295637">
        <w:rPr>
          <w:rFonts w:ascii="Times New Roman" w:hAnsi="Times New Roman"/>
          <w:szCs w:val="24"/>
        </w:rPr>
        <w:t xml:space="preserve"> </w:t>
      </w:r>
      <w:r>
        <w:rPr>
          <w:rFonts w:ascii="Times New Roman" w:hAnsi="Times New Roman"/>
          <w:szCs w:val="24"/>
        </w:rPr>
        <w:t>гледаност</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запажен</w:t>
      </w:r>
      <w:r w:rsidR="0042679D" w:rsidRPr="00295637">
        <w:rPr>
          <w:rFonts w:ascii="Times New Roman" w:hAnsi="Times New Roman"/>
          <w:szCs w:val="24"/>
        </w:rPr>
        <w:t xml:space="preserve"> </w:t>
      </w:r>
      <w:r>
        <w:rPr>
          <w:rFonts w:ascii="Times New Roman" w:hAnsi="Times New Roman"/>
          <w:szCs w:val="24"/>
        </w:rPr>
        <w:t>пријем</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друштвеним</w:t>
      </w:r>
      <w:r w:rsidR="0042679D" w:rsidRPr="00295637">
        <w:rPr>
          <w:rFonts w:ascii="Times New Roman" w:hAnsi="Times New Roman"/>
          <w:szCs w:val="24"/>
        </w:rPr>
        <w:t xml:space="preserve"> </w:t>
      </w:r>
      <w:r>
        <w:rPr>
          <w:rFonts w:ascii="Times New Roman" w:hAnsi="Times New Roman"/>
          <w:szCs w:val="24"/>
        </w:rPr>
        <w:t>мрежама</w:t>
      </w:r>
      <w:r w:rsidR="0042679D" w:rsidRPr="00295637">
        <w:rPr>
          <w:rFonts w:ascii="Times New Roman" w:hAnsi="Times New Roman"/>
          <w:szCs w:val="24"/>
        </w:rPr>
        <w:t xml:space="preserve">, </w:t>
      </w:r>
      <w:r>
        <w:rPr>
          <w:rFonts w:ascii="Times New Roman" w:hAnsi="Times New Roman"/>
          <w:szCs w:val="24"/>
        </w:rPr>
        <w:t>информативним</w:t>
      </w:r>
      <w:r w:rsidR="0042679D" w:rsidRPr="00295637">
        <w:rPr>
          <w:rFonts w:ascii="Times New Roman" w:hAnsi="Times New Roman"/>
          <w:szCs w:val="24"/>
        </w:rPr>
        <w:t xml:space="preserve"> </w:t>
      </w:r>
      <w:r>
        <w:rPr>
          <w:rFonts w:ascii="Times New Roman" w:hAnsi="Times New Roman"/>
          <w:szCs w:val="24"/>
        </w:rPr>
        <w:t>порталима</w:t>
      </w:r>
      <w:r w:rsidR="0042679D" w:rsidRPr="00295637">
        <w:rPr>
          <w:rFonts w:ascii="Times New Roman" w:hAnsi="Times New Roman"/>
          <w:szCs w:val="24"/>
        </w:rPr>
        <w:t xml:space="preserve">, </w:t>
      </w:r>
      <w:r>
        <w:rPr>
          <w:rFonts w:ascii="Times New Roman" w:hAnsi="Times New Roman"/>
          <w:szCs w:val="24"/>
        </w:rPr>
        <w:t>ТВ</w:t>
      </w:r>
      <w:r w:rsidR="00183AF2">
        <w:rPr>
          <w:rFonts w:ascii="Times New Roman" w:hAnsi="Times New Roman"/>
          <w:szCs w:val="24"/>
        </w:rPr>
        <w:t>-</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радију</w:t>
      </w:r>
      <w:r w:rsidR="0042679D" w:rsidRPr="00295637">
        <w:rPr>
          <w:rFonts w:ascii="Times New Roman" w:hAnsi="Times New Roman"/>
          <w:szCs w:val="24"/>
        </w:rPr>
        <w:t xml:space="preserve">. </w:t>
      </w:r>
    </w:p>
    <w:p w:rsidR="0042679D" w:rsidRPr="00FB65C2" w:rsidRDefault="0042679D" w:rsidP="0086268D">
      <w:pPr>
        <w:pStyle w:val="ListParagraph"/>
        <w:rPr>
          <w:rFonts w:ascii="Times New Roman" w:hAnsi="Times New Roman"/>
          <w:szCs w:val="24"/>
        </w:rPr>
      </w:pPr>
    </w:p>
    <w:p w:rsidR="0042679D" w:rsidRPr="00FB65C2" w:rsidRDefault="000124D3" w:rsidP="0086268D">
      <w:pPr>
        <w:pStyle w:val="ListParagraph"/>
        <w:numPr>
          <w:ilvl w:val="0"/>
          <w:numId w:val="17"/>
        </w:numPr>
        <w:jc w:val="both"/>
        <w:rPr>
          <w:rFonts w:ascii="Times New Roman" w:hAnsi="Times New Roman"/>
          <w:szCs w:val="24"/>
        </w:rPr>
      </w:pPr>
      <w:r>
        <w:rPr>
          <w:rFonts w:ascii="Times New Roman" w:hAnsi="Times New Roman"/>
          <w:szCs w:val="24"/>
        </w:rPr>
        <w:t>Такође</w:t>
      </w:r>
      <w:r w:rsidR="0042679D" w:rsidRPr="00295637">
        <w:rPr>
          <w:rFonts w:ascii="Times New Roman" w:hAnsi="Times New Roman"/>
          <w:szCs w:val="24"/>
        </w:rPr>
        <w:t xml:space="preserve">, </w:t>
      </w:r>
      <w:r w:rsidR="00C6214E">
        <w:rPr>
          <w:rFonts w:ascii="Times New Roman" w:hAnsi="Times New Roman"/>
          <w:szCs w:val="24"/>
        </w:rPr>
        <w:t>у</w:t>
      </w:r>
      <w:r w:rsidR="0042679D" w:rsidRPr="00295637">
        <w:rPr>
          <w:rFonts w:ascii="Times New Roman" w:hAnsi="Times New Roman"/>
          <w:szCs w:val="24"/>
        </w:rPr>
        <w:t xml:space="preserve"> </w:t>
      </w:r>
      <w:r w:rsidR="00C6214E">
        <w:rPr>
          <w:rFonts w:ascii="Times New Roman" w:hAnsi="Times New Roman"/>
          <w:szCs w:val="24"/>
        </w:rPr>
        <w:t>сврху</w:t>
      </w:r>
      <w:r w:rsidR="0042679D" w:rsidRPr="00295637">
        <w:rPr>
          <w:rFonts w:ascii="Times New Roman" w:hAnsi="Times New Roman"/>
          <w:szCs w:val="24"/>
        </w:rPr>
        <w:t xml:space="preserve"> </w:t>
      </w:r>
      <w:r w:rsidR="00C6214E">
        <w:rPr>
          <w:rFonts w:ascii="Times New Roman" w:hAnsi="Times New Roman"/>
          <w:szCs w:val="24"/>
        </w:rPr>
        <w:t>развоја</w:t>
      </w:r>
      <w:r w:rsidR="0042679D" w:rsidRPr="00295637">
        <w:rPr>
          <w:rFonts w:ascii="Times New Roman" w:hAnsi="Times New Roman"/>
          <w:szCs w:val="24"/>
        </w:rPr>
        <w:t xml:space="preserve"> </w:t>
      </w:r>
      <w:r w:rsidR="00C6214E">
        <w:rPr>
          <w:rFonts w:ascii="Times New Roman" w:hAnsi="Times New Roman"/>
          <w:szCs w:val="24"/>
        </w:rPr>
        <w:t>свијести</w:t>
      </w:r>
      <w:r w:rsidR="0042679D" w:rsidRPr="00295637">
        <w:rPr>
          <w:rFonts w:ascii="Times New Roman" w:hAnsi="Times New Roman"/>
          <w:szCs w:val="24"/>
        </w:rPr>
        <w:t xml:space="preserve"> </w:t>
      </w:r>
      <w:r w:rsidR="00C6214E">
        <w:rPr>
          <w:rFonts w:ascii="Times New Roman" w:hAnsi="Times New Roman"/>
          <w:szCs w:val="24"/>
        </w:rPr>
        <w:t>о</w:t>
      </w:r>
      <w:r w:rsidR="0042679D" w:rsidRPr="00295637">
        <w:rPr>
          <w:rFonts w:ascii="Times New Roman" w:hAnsi="Times New Roman"/>
          <w:szCs w:val="24"/>
        </w:rPr>
        <w:t xml:space="preserve"> </w:t>
      </w:r>
      <w:r w:rsidR="00C6214E">
        <w:rPr>
          <w:rFonts w:ascii="Times New Roman" w:hAnsi="Times New Roman"/>
          <w:szCs w:val="24"/>
        </w:rPr>
        <w:t>превенцији</w:t>
      </w:r>
      <w:r w:rsidR="005853E4">
        <w:rPr>
          <w:rFonts w:ascii="Times New Roman" w:hAnsi="Times New Roman"/>
          <w:szCs w:val="24"/>
        </w:rPr>
        <w:t xml:space="preserve"> </w:t>
      </w:r>
      <w:r w:rsidR="00C6214E">
        <w:rPr>
          <w:rFonts w:ascii="Times New Roman" w:hAnsi="Times New Roman"/>
          <w:szCs w:val="24"/>
        </w:rPr>
        <w:t>насиља</w:t>
      </w:r>
      <w:r w:rsidR="005853E4">
        <w:rPr>
          <w:rFonts w:ascii="Times New Roman" w:hAnsi="Times New Roman"/>
          <w:szCs w:val="24"/>
        </w:rPr>
        <w:t xml:space="preserve"> </w:t>
      </w:r>
      <w:r w:rsidR="00C6214E">
        <w:rPr>
          <w:rFonts w:ascii="Times New Roman" w:hAnsi="Times New Roman"/>
          <w:szCs w:val="24"/>
        </w:rPr>
        <w:t>над</w:t>
      </w:r>
      <w:r w:rsidR="005853E4">
        <w:rPr>
          <w:rFonts w:ascii="Times New Roman" w:hAnsi="Times New Roman"/>
          <w:szCs w:val="24"/>
        </w:rPr>
        <w:t xml:space="preserve"> </w:t>
      </w:r>
      <w:r w:rsidR="00C6214E">
        <w:rPr>
          <w:rFonts w:ascii="Times New Roman" w:hAnsi="Times New Roman"/>
          <w:szCs w:val="24"/>
        </w:rPr>
        <w:t>женама</w:t>
      </w:r>
      <w:r w:rsidR="005853E4">
        <w:rPr>
          <w:rFonts w:ascii="Times New Roman" w:hAnsi="Times New Roman"/>
          <w:szCs w:val="24"/>
        </w:rPr>
        <w:t xml:space="preserve">, </w:t>
      </w:r>
      <w:r w:rsidR="00C6214E">
        <w:rPr>
          <w:rFonts w:ascii="Times New Roman" w:hAnsi="Times New Roman"/>
          <w:szCs w:val="24"/>
        </w:rPr>
        <w:t>у</w:t>
      </w:r>
      <w:r w:rsidR="005853E4">
        <w:rPr>
          <w:rFonts w:ascii="Times New Roman" w:hAnsi="Times New Roman"/>
          <w:szCs w:val="24"/>
        </w:rPr>
        <w:t xml:space="preserve"> </w:t>
      </w:r>
      <w:r w:rsidR="00C6214E">
        <w:rPr>
          <w:rFonts w:ascii="Times New Roman" w:hAnsi="Times New Roman"/>
          <w:szCs w:val="24"/>
        </w:rPr>
        <w:t>ФБиХ</w:t>
      </w:r>
      <w:r w:rsidR="0042679D" w:rsidRPr="00295637">
        <w:rPr>
          <w:rFonts w:ascii="Times New Roman" w:hAnsi="Times New Roman"/>
          <w:szCs w:val="24"/>
        </w:rPr>
        <w:t xml:space="preserve"> </w:t>
      </w:r>
      <w:r w:rsidR="00C6214E">
        <w:rPr>
          <w:rFonts w:ascii="Times New Roman" w:hAnsi="Times New Roman"/>
          <w:szCs w:val="24"/>
        </w:rPr>
        <w:t>су</w:t>
      </w:r>
      <w:r w:rsidR="0042679D" w:rsidRPr="00295637">
        <w:rPr>
          <w:rFonts w:ascii="Times New Roman" w:hAnsi="Times New Roman"/>
          <w:szCs w:val="24"/>
        </w:rPr>
        <w:t xml:space="preserve"> </w:t>
      </w:r>
      <w:r w:rsidR="00C6214E">
        <w:rPr>
          <w:rFonts w:ascii="Times New Roman" w:hAnsi="Times New Roman"/>
          <w:szCs w:val="24"/>
          <w:lang w:val="bs-Latn-BA"/>
        </w:rPr>
        <w:t>реализ</w:t>
      </w:r>
      <w:r>
        <w:rPr>
          <w:rFonts w:ascii="Times New Roman" w:hAnsi="Times New Roman"/>
          <w:szCs w:val="24"/>
          <w:lang w:val="sr-Cyrl-BA"/>
        </w:rPr>
        <w:t>оване</w:t>
      </w:r>
      <w:r w:rsidR="0042679D" w:rsidRPr="00295637">
        <w:rPr>
          <w:rFonts w:ascii="Times New Roman" w:hAnsi="Times New Roman"/>
          <w:szCs w:val="24"/>
          <w:lang w:val="bs-Latn-BA"/>
        </w:rPr>
        <w:t xml:space="preserve"> </w:t>
      </w:r>
      <w:r w:rsidR="00C6214E">
        <w:rPr>
          <w:rFonts w:ascii="Times New Roman" w:hAnsi="Times New Roman"/>
          <w:szCs w:val="24"/>
          <w:lang w:val="bs-Latn-BA"/>
        </w:rPr>
        <w:t>кампање</w:t>
      </w:r>
      <w:r w:rsidR="0042679D" w:rsidRPr="00295637">
        <w:rPr>
          <w:rFonts w:ascii="Times New Roman" w:hAnsi="Times New Roman"/>
          <w:szCs w:val="24"/>
          <w:lang w:val="bs-Latn-BA"/>
        </w:rPr>
        <w:t xml:space="preserve"> </w:t>
      </w:r>
      <w:r w:rsidR="00C6214E">
        <w:rPr>
          <w:rFonts w:ascii="Times New Roman" w:hAnsi="Times New Roman"/>
          <w:szCs w:val="24"/>
          <w:lang w:val="bs-Latn-BA"/>
        </w:rPr>
        <w:t>у</w:t>
      </w:r>
      <w:r w:rsidR="0042679D" w:rsidRPr="00295637">
        <w:rPr>
          <w:rFonts w:ascii="Times New Roman" w:hAnsi="Times New Roman"/>
          <w:szCs w:val="24"/>
          <w:lang w:val="bs-Latn-BA"/>
        </w:rPr>
        <w:t xml:space="preserve"> </w:t>
      </w:r>
      <w:r w:rsidR="00C6214E">
        <w:rPr>
          <w:rFonts w:ascii="Times New Roman" w:hAnsi="Times New Roman"/>
          <w:szCs w:val="24"/>
          <w:lang w:val="bs-Latn-BA"/>
        </w:rPr>
        <w:t>организацији</w:t>
      </w:r>
      <w:r w:rsidR="0042679D" w:rsidRPr="00295637">
        <w:rPr>
          <w:rFonts w:ascii="Times New Roman" w:hAnsi="Times New Roman"/>
          <w:szCs w:val="24"/>
          <w:lang w:val="bs-Latn-BA"/>
        </w:rPr>
        <w:t xml:space="preserve"> </w:t>
      </w:r>
      <w:r w:rsidR="00C6214E">
        <w:rPr>
          <w:rFonts w:ascii="Times New Roman" w:hAnsi="Times New Roman"/>
          <w:szCs w:val="24"/>
          <w:lang w:val="bs-Latn-BA"/>
        </w:rPr>
        <w:t>ФМУП</w:t>
      </w:r>
      <w:r w:rsidR="0042679D" w:rsidRPr="00295637">
        <w:rPr>
          <w:rFonts w:ascii="Times New Roman" w:hAnsi="Times New Roman"/>
          <w:szCs w:val="24"/>
          <w:lang w:val="bs-Latn-BA"/>
        </w:rPr>
        <w:t xml:space="preserve"> </w:t>
      </w:r>
      <w:r w:rsidR="00C6214E">
        <w:rPr>
          <w:rFonts w:ascii="Times New Roman" w:hAnsi="Times New Roman"/>
          <w:szCs w:val="24"/>
          <w:lang w:val="bs-Latn-BA"/>
        </w:rPr>
        <w:t>под</w:t>
      </w:r>
      <w:r w:rsidR="0042679D" w:rsidRPr="00295637">
        <w:rPr>
          <w:rFonts w:ascii="Times New Roman" w:hAnsi="Times New Roman"/>
          <w:szCs w:val="24"/>
          <w:lang w:val="bs-Latn-BA"/>
        </w:rPr>
        <w:t xml:space="preserve"> </w:t>
      </w:r>
      <w:r w:rsidR="00C6214E">
        <w:rPr>
          <w:rFonts w:ascii="Times New Roman" w:hAnsi="Times New Roman"/>
          <w:szCs w:val="24"/>
          <w:lang w:val="bs-Latn-BA"/>
        </w:rPr>
        <w:t>називом</w:t>
      </w:r>
      <w:r w:rsidR="0042679D" w:rsidRPr="00295637">
        <w:rPr>
          <w:rFonts w:ascii="Times New Roman" w:hAnsi="Times New Roman"/>
          <w:szCs w:val="24"/>
          <w:lang w:val="bs-Latn-BA"/>
        </w:rPr>
        <w:t xml:space="preserve"> „</w:t>
      </w:r>
      <w:r w:rsidR="00C6214E">
        <w:rPr>
          <w:rFonts w:ascii="Times New Roman" w:hAnsi="Times New Roman"/>
          <w:szCs w:val="24"/>
          <w:lang w:val="bs-Latn-BA"/>
        </w:rPr>
        <w:t>Не</w:t>
      </w:r>
      <w:r w:rsidR="0042679D" w:rsidRPr="00295637">
        <w:rPr>
          <w:rFonts w:ascii="Times New Roman" w:hAnsi="Times New Roman"/>
          <w:szCs w:val="24"/>
          <w:lang w:val="bs-Latn-BA"/>
        </w:rPr>
        <w:t xml:space="preserve"> </w:t>
      </w:r>
      <w:r w:rsidR="00C6214E">
        <w:rPr>
          <w:rFonts w:ascii="Times New Roman" w:hAnsi="Times New Roman"/>
          <w:szCs w:val="24"/>
          <w:lang w:val="bs-Latn-BA"/>
        </w:rPr>
        <w:t>окрећи</w:t>
      </w:r>
      <w:r w:rsidR="0042679D" w:rsidRPr="00295637">
        <w:rPr>
          <w:rFonts w:ascii="Times New Roman" w:hAnsi="Times New Roman"/>
          <w:szCs w:val="24"/>
          <w:lang w:val="bs-Latn-BA"/>
        </w:rPr>
        <w:t xml:space="preserve"> </w:t>
      </w:r>
      <w:r w:rsidR="00C6214E">
        <w:rPr>
          <w:rFonts w:ascii="Times New Roman" w:hAnsi="Times New Roman"/>
          <w:szCs w:val="24"/>
          <w:lang w:val="bs-Latn-BA"/>
        </w:rPr>
        <w:t>главу</w:t>
      </w:r>
      <w:r w:rsidR="0042679D" w:rsidRPr="00295637">
        <w:rPr>
          <w:rFonts w:ascii="Times New Roman" w:hAnsi="Times New Roman"/>
          <w:szCs w:val="24"/>
          <w:lang w:val="bs-Latn-BA"/>
        </w:rPr>
        <w:t xml:space="preserve">, </w:t>
      </w:r>
      <w:r w:rsidR="00C6214E">
        <w:rPr>
          <w:rFonts w:ascii="Times New Roman" w:hAnsi="Times New Roman"/>
          <w:szCs w:val="24"/>
          <w:lang w:val="bs-Latn-BA"/>
        </w:rPr>
        <w:t>окрени</w:t>
      </w:r>
      <w:r w:rsidR="0042679D" w:rsidRPr="00295637">
        <w:rPr>
          <w:rFonts w:ascii="Times New Roman" w:hAnsi="Times New Roman"/>
          <w:szCs w:val="24"/>
          <w:lang w:val="bs-Latn-BA"/>
        </w:rPr>
        <w:t xml:space="preserve"> </w:t>
      </w:r>
      <w:r w:rsidR="00C6214E">
        <w:rPr>
          <w:rFonts w:ascii="Times New Roman" w:hAnsi="Times New Roman"/>
          <w:szCs w:val="24"/>
          <w:lang w:val="bs-Latn-BA"/>
        </w:rPr>
        <w:t>број</w:t>
      </w:r>
      <w:r w:rsidR="0042679D"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42679D" w:rsidRPr="00295637">
        <w:rPr>
          <w:rFonts w:ascii="Times New Roman" w:hAnsi="Times New Roman"/>
          <w:szCs w:val="24"/>
          <w:lang w:val="bs-Latn-BA"/>
        </w:rPr>
        <w:t xml:space="preserve"> </w:t>
      </w:r>
      <w:r w:rsidR="00C6214E">
        <w:rPr>
          <w:rFonts w:ascii="Times New Roman" w:hAnsi="Times New Roman"/>
          <w:szCs w:val="24"/>
          <w:lang w:val="bs-Latn-BA"/>
        </w:rPr>
        <w:t>ФМРСП</w:t>
      </w:r>
      <w:r w:rsidR="0042679D"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42679D" w:rsidRPr="00295637">
        <w:rPr>
          <w:rFonts w:ascii="Times New Roman" w:hAnsi="Times New Roman"/>
          <w:szCs w:val="24"/>
          <w:lang w:val="bs-Latn-BA"/>
        </w:rPr>
        <w:t xml:space="preserve"> </w:t>
      </w:r>
      <w:r w:rsidR="00C6214E">
        <w:rPr>
          <w:rFonts w:ascii="Times New Roman" w:hAnsi="Times New Roman"/>
          <w:szCs w:val="24"/>
          <w:lang w:val="bs-Latn-BA"/>
        </w:rPr>
        <w:t>ГЦФБХ</w:t>
      </w:r>
      <w:r w:rsidR="0039796C">
        <w:rPr>
          <w:rFonts w:ascii="Times New Roman" w:hAnsi="Times New Roman"/>
          <w:szCs w:val="24"/>
          <w:lang w:val="bs-Latn-BA"/>
        </w:rPr>
        <w:t xml:space="preserve"> </w:t>
      </w:r>
      <w:r w:rsidR="0042679D" w:rsidRPr="00295637">
        <w:rPr>
          <w:rFonts w:ascii="Times New Roman" w:hAnsi="Times New Roman"/>
          <w:szCs w:val="24"/>
          <w:lang w:val="bs-Latn-BA"/>
        </w:rPr>
        <w:t>„#</w:t>
      </w:r>
      <w:r w:rsidR="00C6214E">
        <w:rPr>
          <w:rFonts w:ascii="Times New Roman" w:hAnsi="Times New Roman"/>
          <w:szCs w:val="24"/>
          <w:lang w:val="bs-Latn-BA"/>
        </w:rPr>
        <w:t>бољевако</w:t>
      </w:r>
      <w:r w:rsidR="0042679D" w:rsidRPr="00295637">
        <w:rPr>
          <w:rFonts w:ascii="Times New Roman" w:hAnsi="Times New Roman"/>
          <w:szCs w:val="24"/>
          <w:lang w:val="bs-Latn-BA"/>
        </w:rPr>
        <w:t xml:space="preserve">“, </w:t>
      </w:r>
      <w:r w:rsidR="00C6214E">
        <w:rPr>
          <w:rFonts w:ascii="Times New Roman" w:hAnsi="Times New Roman"/>
          <w:szCs w:val="24"/>
          <w:lang w:val="bs-Latn-BA"/>
        </w:rPr>
        <w:t>видео</w:t>
      </w:r>
      <w:r w:rsidR="0042679D" w:rsidRPr="00295637">
        <w:rPr>
          <w:rFonts w:ascii="Times New Roman" w:hAnsi="Times New Roman"/>
          <w:szCs w:val="24"/>
          <w:lang w:val="bs-Latn-BA"/>
        </w:rPr>
        <w:t xml:space="preserve"> </w:t>
      </w:r>
      <w:r w:rsidR="00C6214E">
        <w:rPr>
          <w:rFonts w:ascii="Times New Roman" w:hAnsi="Times New Roman"/>
          <w:szCs w:val="24"/>
          <w:lang w:val="bs-Latn-BA"/>
        </w:rPr>
        <w:t>спотови</w:t>
      </w:r>
      <w:r w:rsidR="0042679D" w:rsidRPr="00295637">
        <w:rPr>
          <w:rFonts w:ascii="Times New Roman" w:hAnsi="Times New Roman"/>
          <w:szCs w:val="24"/>
          <w:lang w:val="bs-Latn-BA"/>
        </w:rPr>
        <w:t xml:space="preserve"> </w:t>
      </w:r>
      <w:r w:rsidR="00C6214E">
        <w:rPr>
          <w:rFonts w:ascii="Times New Roman" w:hAnsi="Times New Roman"/>
          <w:szCs w:val="24"/>
          <w:lang w:val="bs-Latn-BA"/>
        </w:rPr>
        <w:t>којима</w:t>
      </w:r>
      <w:r w:rsidR="0042679D" w:rsidRPr="00295637">
        <w:rPr>
          <w:rFonts w:ascii="Times New Roman" w:hAnsi="Times New Roman"/>
          <w:szCs w:val="24"/>
          <w:lang w:val="bs-Latn-BA"/>
        </w:rPr>
        <w:t xml:space="preserve"> </w:t>
      </w:r>
      <w:r w:rsidR="00C6214E">
        <w:rPr>
          <w:rFonts w:ascii="Times New Roman" w:hAnsi="Times New Roman"/>
          <w:szCs w:val="24"/>
          <w:lang w:val="bs-Latn-BA"/>
        </w:rPr>
        <w:t>се</w:t>
      </w:r>
      <w:r w:rsidR="0042679D" w:rsidRPr="00295637">
        <w:rPr>
          <w:rFonts w:ascii="Times New Roman" w:hAnsi="Times New Roman"/>
          <w:szCs w:val="24"/>
          <w:lang w:val="bs-Latn-BA"/>
        </w:rPr>
        <w:t xml:space="preserve"> </w:t>
      </w:r>
      <w:r w:rsidR="00C6214E">
        <w:rPr>
          <w:rFonts w:ascii="Times New Roman" w:hAnsi="Times New Roman"/>
          <w:szCs w:val="24"/>
          <w:lang w:val="bs-Latn-BA"/>
        </w:rPr>
        <w:t>обухва</w:t>
      </w:r>
      <w:r>
        <w:rPr>
          <w:rFonts w:ascii="Times New Roman" w:hAnsi="Times New Roman"/>
          <w:szCs w:val="24"/>
          <w:lang w:val="sr-Cyrl-BA"/>
        </w:rPr>
        <w:t>т</w:t>
      </w:r>
      <w:r w:rsidR="00C6214E">
        <w:rPr>
          <w:rFonts w:ascii="Times New Roman" w:hAnsi="Times New Roman"/>
          <w:szCs w:val="24"/>
          <w:lang w:val="bs-Latn-BA"/>
        </w:rPr>
        <w:t>ају</w:t>
      </w:r>
      <w:r w:rsidR="0042679D" w:rsidRPr="00295637">
        <w:rPr>
          <w:rFonts w:ascii="Times New Roman" w:hAnsi="Times New Roman"/>
          <w:szCs w:val="24"/>
          <w:lang w:val="bs-Latn-BA"/>
        </w:rPr>
        <w:t xml:space="preserve"> </w:t>
      </w:r>
      <w:r w:rsidR="00C6214E">
        <w:rPr>
          <w:rFonts w:ascii="Times New Roman" w:hAnsi="Times New Roman"/>
          <w:szCs w:val="24"/>
          <w:lang w:val="bs-Latn-BA"/>
        </w:rPr>
        <w:t>фактори</w:t>
      </w:r>
      <w:r w:rsidR="0042679D" w:rsidRPr="00295637">
        <w:rPr>
          <w:rFonts w:ascii="Times New Roman" w:hAnsi="Times New Roman"/>
          <w:szCs w:val="24"/>
          <w:lang w:val="bs-Latn-BA"/>
        </w:rPr>
        <w:t xml:space="preserve"> </w:t>
      </w:r>
      <w:r w:rsidR="00C6214E">
        <w:rPr>
          <w:rFonts w:ascii="Times New Roman" w:hAnsi="Times New Roman"/>
          <w:szCs w:val="24"/>
          <w:lang w:val="bs-Latn-BA"/>
        </w:rPr>
        <w:t>ризика</w:t>
      </w:r>
      <w:r w:rsidR="0042679D" w:rsidRPr="00295637">
        <w:rPr>
          <w:rFonts w:ascii="Times New Roman" w:hAnsi="Times New Roman"/>
          <w:szCs w:val="24"/>
          <w:lang w:val="bs-Latn-BA"/>
        </w:rPr>
        <w:t xml:space="preserve"> </w:t>
      </w:r>
      <w:r w:rsidR="00C6214E">
        <w:rPr>
          <w:rFonts w:ascii="Times New Roman" w:hAnsi="Times New Roman"/>
          <w:szCs w:val="24"/>
          <w:lang w:val="bs-Latn-BA"/>
        </w:rPr>
        <w:t>за</w:t>
      </w:r>
      <w:r w:rsidR="0042679D" w:rsidRPr="00295637">
        <w:rPr>
          <w:rFonts w:ascii="Times New Roman" w:hAnsi="Times New Roman"/>
          <w:szCs w:val="24"/>
          <w:lang w:val="bs-Latn-BA"/>
        </w:rPr>
        <w:t xml:space="preserve"> </w:t>
      </w:r>
      <w:r w:rsidR="00C6214E">
        <w:rPr>
          <w:rFonts w:ascii="Times New Roman" w:hAnsi="Times New Roman"/>
          <w:szCs w:val="24"/>
          <w:lang w:val="bs-Latn-BA"/>
        </w:rPr>
        <w:t>насиље</w:t>
      </w:r>
      <w:r w:rsidR="0042679D" w:rsidRPr="00295637">
        <w:rPr>
          <w:rFonts w:ascii="Times New Roman" w:hAnsi="Times New Roman"/>
          <w:szCs w:val="24"/>
          <w:lang w:val="bs-Latn-BA"/>
        </w:rPr>
        <w:t xml:space="preserve"> </w:t>
      </w:r>
      <w:r w:rsidR="00C6214E">
        <w:rPr>
          <w:rFonts w:ascii="Times New Roman" w:hAnsi="Times New Roman"/>
          <w:szCs w:val="24"/>
          <w:lang w:val="bs-Latn-BA"/>
        </w:rPr>
        <w:t>у</w:t>
      </w:r>
      <w:r w:rsidR="0042679D" w:rsidRPr="00295637">
        <w:rPr>
          <w:rFonts w:ascii="Times New Roman" w:hAnsi="Times New Roman"/>
          <w:szCs w:val="24"/>
          <w:lang w:val="bs-Latn-BA"/>
        </w:rPr>
        <w:t xml:space="preserve"> </w:t>
      </w:r>
      <w:r w:rsidR="00C6214E">
        <w:rPr>
          <w:rFonts w:ascii="Times New Roman" w:hAnsi="Times New Roman"/>
          <w:szCs w:val="24"/>
          <w:lang w:val="bs-Latn-BA"/>
        </w:rPr>
        <w:t>породици</w:t>
      </w:r>
      <w:r w:rsidR="0042679D"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42679D" w:rsidRPr="00295637">
        <w:rPr>
          <w:rFonts w:ascii="Times New Roman" w:hAnsi="Times New Roman"/>
          <w:szCs w:val="24"/>
          <w:lang w:val="bs-Latn-BA"/>
        </w:rPr>
        <w:t xml:space="preserve"> </w:t>
      </w:r>
      <w:r w:rsidR="00C6214E">
        <w:rPr>
          <w:rFonts w:ascii="Times New Roman" w:hAnsi="Times New Roman"/>
          <w:szCs w:val="24"/>
          <w:lang w:val="bs-Latn-BA"/>
        </w:rPr>
        <w:t>ФМОИН</w:t>
      </w:r>
      <w:r w:rsidR="0042679D" w:rsidRPr="00295637">
        <w:rPr>
          <w:rFonts w:ascii="Times New Roman" w:hAnsi="Times New Roman"/>
          <w:szCs w:val="24"/>
          <w:lang w:val="bs-Latn-BA"/>
        </w:rPr>
        <w:t xml:space="preserve">, </w:t>
      </w:r>
      <w:r w:rsidR="00C6214E">
        <w:rPr>
          <w:rFonts w:ascii="Times New Roman" w:hAnsi="Times New Roman"/>
          <w:szCs w:val="24"/>
          <w:lang w:val="bs-Latn-BA"/>
        </w:rPr>
        <w:t>као</w:t>
      </w:r>
      <w:r w:rsidR="0042679D" w:rsidRPr="00295637">
        <w:rPr>
          <w:rFonts w:ascii="Times New Roman" w:hAnsi="Times New Roman"/>
          <w:szCs w:val="24"/>
          <w:lang w:val="bs-Latn-BA"/>
        </w:rPr>
        <w:t xml:space="preserve"> </w:t>
      </w:r>
      <w:r w:rsidR="00C6214E">
        <w:rPr>
          <w:rFonts w:ascii="Times New Roman" w:hAnsi="Times New Roman"/>
          <w:szCs w:val="24"/>
          <w:lang w:val="bs-Latn-BA"/>
        </w:rPr>
        <w:t>и</w:t>
      </w:r>
      <w:r w:rsidR="0042679D" w:rsidRPr="00295637">
        <w:rPr>
          <w:rFonts w:ascii="Times New Roman" w:hAnsi="Times New Roman"/>
          <w:szCs w:val="24"/>
          <w:lang w:val="bs-Latn-BA"/>
        </w:rPr>
        <w:t xml:space="preserve"> </w:t>
      </w:r>
      <w:r w:rsidR="00C6214E">
        <w:rPr>
          <w:rFonts w:ascii="Times New Roman" w:hAnsi="Times New Roman"/>
          <w:szCs w:val="24"/>
          <w:lang w:val="bs-Latn-BA"/>
        </w:rPr>
        <w:t>кампање</w:t>
      </w:r>
      <w:r w:rsidR="0042679D" w:rsidRPr="00295637">
        <w:rPr>
          <w:rFonts w:ascii="Times New Roman" w:hAnsi="Times New Roman"/>
          <w:szCs w:val="24"/>
          <w:lang w:val="bs-Latn-BA"/>
        </w:rPr>
        <w:t xml:space="preserve"> </w:t>
      </w:r>
      <w:r w:rsidR="00C6214E">
        <w:rPr>
          <w:rFonts w:ascii="Times New Roman" w:hAnsi="Times New Roman"/>
          <w:szCs w:val="24"/>
          <w:lang w:val="bs-Latn-BA"/>
        </w:rPr>
        <w:t>кантоналних</w:t>
      </w:r>
      <w:r w:rsidR="0042679D" w:rsidRPr="00295637">
        <w:rPr>
          <w:rFonts w:ascii="Times New Roman" w:hAnsi="Times New Roman"/>
          <w:szCs w:val="24"/>
          <w:lang w:val="bs-Latn-BA"/>
        </w:rPr>
        <w:t xml:space="preserve"> </w:t>
      </w:r>
      <w:r w:rsidR="00C6214E">
        <w:rPr>
          <w:rFonts w:ascii="Times New Roman" w:hAnsi="Times New Roman"/>
          <w:szCs w:val="24"/>
          <w:lang w:val="bs-Latn-BA"/>
        </w:rPr>
        <w:t>координаци</w:t>
      </w:r>
      <w:r>
        <w:rPr>
          <w:rFonts w:ascii="Times New Roman" w:hAnsi="Times New Roman"/>
          <w:szCs w:val="24"/>
          <w:lang w:val="sr-Cyrl-BA"/>
        </w:rPr>
        <w:t>оних</w:t>
      </w:r>
      <w:r w:rsidR="0042679D" w:rsidRPr="00295637">
        <w:rPr>
          <w:rFonts w:ascii="Times New Roman" w:hAnsi="Times New Roman"/>
          <w:szCs w:val="24"/>
          <w:lang w:val="bs-Latn-BA"/>
        </w:rPr>
        <w:t xml:space="preserve"> </w:t>
      </w:r>
      <w:r w:rsidR="00C6214E">
        <w:rPr>
          <w:rFonts w:ascii="Times New Roman" w:hAnsi="Times New Roman"/>
          <w:szCs w:val="24"/>
          <w:lang w:val="bs-Latn-BA"/>
        </w:rPr>
        <w:t>органа</w:t>
      </w:r>
      <w:r w:rsidR="0042679D" w:rsidRPr="00295637">
        <w:rPr>
          <w:rFonts w:ascii="Times New Roman" w:hAnsi="Times New Roman"/>
          <w:szCs w:val="24"/>
          <w:lang w:val="bs-Latn-BA"/>
        </w:rPr>
        <w:t>.</w:t>
      </w:r>
      <w:r w:rsidR="0042679D">
        <w:rPr>
          <w:rFonts w:ascii="Times New Roman" w:hAnsi="Times New Roman"/>
          <w:lang w:val="sr-Latn-BA"/>
        </w:rPr>
        <w:t xml:space="preserve"> </w:t>
      </w:r>
    </w:p>
    <w:p w:rsidR="0042679D" w:rsidRPr="00FB65C2" w:rsidRDefault="0042679D" w:rsidP="0086268D">
      <w:pPr>
        <w:pStyle w:val="ListParagraph"/>
        <w:rPr>
          <w:rFonts w:ascii="Times New Roman" w:hAnsi="Times New Roman"/>
          <w:lang w:val="sr-Latn-BA"/>
        </w:rPr>
      </w:pPr>
    </w:p>
    <w:p w:rsidR="0042679D" w:rsidRPr="00982E91" w:rsidRDefault="00C6214E" w:rsidP="0086268D">
      <w:pPr>
        <w:pStyle w:val="ListParagraph"/>
        <w:numPr>
          <w:ilvl w:val="0"/>
          <w:numId w:val="17"/>
        </w:numPr>
        <w:jc w:val="both"/>
        <w:rPr>
          <w:rFonts w:ascii="Times New Roman" w:hAnsi="Times New Roman"/>
          <w:szCs w:val="24"/>
        </w:rPr>
      </w:pPr>
      <w:r>
        <w:rPr>
          <w:rFonts w:ascii="Times New Roman" w:hAnsi="Times New Roman"/>
          <w:lang w:val="sr-Latn-BA"/>
        </w:rPr>
        <w:t>У</w:t>
      </w:r>
      <w:r w:rsidR="0042679D">
        <w:rPr>
          <w:rFonts w:ascii="Times New Roman" w:hAnsi="Times New Roman"/>
          <w:lang w:val="sr-Latn-BA"/>
        </w:rPr>
        <w:t xml:space="preserve"> </w:t>
      </w:r>
      <w:r>
        <w:rPr>
          <w:rFonts w:ascii="Times New Roman" w:hAnsi="Times New Roman"/>
          <w:lang w:val="sr-Latn-BA"/>
        </w:rPr>
        <w:t>РС</w:t>
      </w:r>
      <w:r w:rsidR="0042679D">
        <w:rPr>
          <w:rFonts w:ascii="Times New Roman" w:hAnsi="Times New Roman"/>
          <w:lang w:val="sr-Latn-BA"/>
        </w:rPr>
        <w:t xml:space="preserve"> </w:t>
      </w:r>
      <w:r>
        <w:rPr>
          <w:rFonts w:ascii="Times New Roman" w:hAnsi="Times New Roman"/>
          <w:lang w:val="sr-Latn-BA"/>
        </w:rPr>
        <w:t>су</w:t>
      </w:r>
      <w:r w:rsidR="0042679D">
        <w:rPr>
          <w:rFonts w:ascii="Times New Roman" w:hAnsi="Times New Roman"/>
          <w:lang w:val="sr-Latn-BA"/>
        </w:rPr>
        <w:t xml:space="preserve"> </w:t>
      </w:r>
      <w:r>
        <w:rPr>
          <w:rFonts w:ascii="Times New Roman" w:hAnsi="Times New Roman"/>
          <w:lang w:val="sr-Latn-BA"/>
        </w:rPr>
        <w:t>реализ</w:t>
      </w:r>
      <w:r w:rsidR="000124D3">
        <w:rPr>
          <w:rFonts w:ascii="Times New Roman" w:hAnsi="Times New Roman"/>
          <w:lang w:val="sr-Cyrl-BA"/>
        </w:rPr>
        <w:t>оване</w:t>
      </w:r>
      <w:r w:rsidR="0042679D">
        <w:rPr>
          <w:rFonts w:ascii="Times New Roman" w:hAnsi="Times New Roman"/>
          <w:lang w:val="sr-Latn-BA"/>
        </w:rPr>
        <w:t xml:space="preserve"> </w:t>
      </w:r>
      <w:r>
        <w:rPr>
          <w:rFonts w:ascii="Times New Roman" w:hAnsi="Times New Roman"/>
          <w:lang w:val="sr-Latn-BA"/>
        </w:rPr>
        <w:t>кампање</w:t>
      </w:r>
      <w:r w:rsidR="0042679D" w:rsidRPr="00295637">
        <w:rPr>
          <w:rFonts w:ascii="Times New Roman" w:hAnsi="Times New Roman"/>
          <w:lang w:val="sr-Latn-BA"/>
        </w:rPr>
        <w:t xml:space="preserve"> </w:t>
      </w:r>
      <w:r>
        <w:rPr>
          <w:rFonts w:ascii="Times New Roman" w:hAnsi="Times New Roman"/>
          <w:lang w:val="sr-Latn-BA"/>
        </w:rPr>
        <w:t>под</w:t>
      </w:r>
      <w:r w:rsidR="0042679D" w:rsidRPr="00295637">
        <w:rPr>
          <w:rFonts w:ascii="Times New Roman" w:hAnsi="Times New Roman"/>
          <w:lang w:val="sr-Latn-BA"/>
        </w:rPr>
        <w:t xml:space="preserve"> </w:t>
      </w:r>
      <w:r>
        <w:rPr>
          <w:rFonts w:ascii="Times New Roman" w:hAnsi="Times New Roman"/>
          <w:lang w:val="sr-Latn-BA"/>
        </w:rPr>
        <w:t>називом</w:t>
      </w:r>
      <w:r w:rsidR="0042679D" w:rsidRPr="00295637">
        <w:rPr>
          <w:rFonts w:ascii="Times New Roman" w:hAnsi="Times New Roman"/>
          <w:lang w:val="sr-Latn-BA"/>
        </w:rPr>
        <w:t xml:space="preserve"> „</w:t>
      </w:r>
      <w:r>
        <w:rPr>
          <w:rFonts w:ascii="Times New Roman" w:hAnsi="Times New Roman"/>
          <w:lang w:val="sr-Latn-BA"/>
        </w:rPr>
        <w:t>Бијела</w:t>
      </w:r>
      <w:r w:rsidR="0042679D" w:rsidRPr="00295637">
        <w:rPr>
          <w:rFonts w:ascii="Times New Roman" w:hAnsi="Times New Roman"/>
          <w:lang w:val="sr-Latn-BA"/>
        </w:rPr>
        <w:t xml:space="preserve"> </w:t>
      </w:r>
      <w:r>
        <w:rPr>
          <w:rFonts w:ascii="Times New Roman" w:hAnsi="Times New Roman"/>
          <w:lang w:val="sr-Latn-BA"/>
        </w:rPr>
        <w:t>врпца</w:t>
      </w:r>
      <w:r w:rsidR="00356865">
        <w:rPr>
          <w:rFonts w:ascii="Times New Roman" w:hAnsi="Times New Roman"/>
          <w:lang w:val="sr-Latn-BA"/>
        </w:rPr>
        <w:t xml:space="preserve"> - </w:t>
      </w:r>
      <w:r>
        <w:rPr>
          <w:rFonts w:ascii="Times New Roman" w:hAnsi="Times New Roman"/>
          <w:lang w:val="sr-Latn-BA"/>
        </w:rPr>
        <w:t>Мушко</w:t>
      </w:r>
      <w:r w:rsidR="00356865">
        <w:rPr>
          <w:rFonts w:ascii="Times New Roman" w:hAnsi="Times New Roman"/>
          <w:lang w:val="sr-Latn-BA"/>
        </w:rPr>
        <w:t xml:space="preserve"> </w:t>
      </w:r>
      <w:r>
        <w:rPr>
          <w:rFonts w:ascii="Times New Roman" w:hAnsi="Times New Roman"/>
          <w:lang w:val="sr-Latn-BA"/>
        </w:rPr>
        <w:t>НЕ</w:t>
      </w:r>
      <w:r w:rsidR="00356865">
        <w:rPr>
          <w:rFonts w:ascii="Times New Roman" w:hAnsi="Times New Roman"/>
          <w:lang w:val="sr-Latn-BA"/>
        </w:rPr>
        <w:t xml:space="preserve"> </w:t>
      </w:r>
      <w:r>
        <w:rPr>
          <w:rFonts w:ascii="Times New Roman" w:hAnsi="Times New Roman"/>
          <w:lang w:val="sr-Latn-BA"/>
        </w:rPr>
        <w:t>насиљу</w:t>
      </w:r>
      <w:r w:rsidR="00356865">
        <w:rPr>
          <w:rFonts w:ascii="Times New Roman" w:hAnsi="Times New Roman"/>
          <w:lang w:val="sr-Latn-BA"/>
        </w:rPr>
        <w:t xml:space="preserve"> </w:t>
      </w:r>
      <w:r>
        <w:rPr>
          <w:rFonts w:ascii="Times New Roman" w:hAnsi="Times New Roman"/>
          <w:lang w:val="sr-Latn-BA"/>
        </w:rPr>
        <w:t>над</w:t>
      </w:r>
      <w:r w:rsidR="00356865">
        <w:rPr>
          <w:rFonts w:ascii="Times New Roman" w:hAnsi="Times New Roman"/>
          <w:lang w:val="sr-Latn-BA"/>
        </w:rPr>
        <w:t xml:space="preserve"> </w:t>
      </w:r>
      <w:r>
        <w:rPr>
          <w:rFonts w:ascii="Times New Roman" w:hAnsi="Times New Roman"/>
          <w:lang w:val="sr-Latn-BA"/>
        </w:rPr>
        <w:t>женама</w:t>
      </w:r>
      <w:r w:rsidR="00356865">
        <w:rPr>
          <w:rFonts w:ascii="Times New Roman" w:hAnsi="Times New Roman"/>
          <w:lang w:val="sr-Latn-BA"/>
        </w:rPr>
        <w:t>“</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Стоп</w:t>
      </w:r>
      <w:r w:rsidR="0042679D" w:rsidRPr="00295637">
        <w:rPr>
          <w:rFonts w:ascii="Times New Roman" w:hAnsi="Times New Roman"/>
          <w:lang w:val="sr-Latn-BA"/>
        </w:rPr>
        <w:t xml:space="preserve"> </w:t>
      </w:r>
      <w:r>
        <w:rPr>
          <w:rFonts w:ascii="Times New Roman" w:hAnsi="Times New Roman"/>
          <w:lang w:val="sr-Latn-BA"/>
        </w:rPr>
        <w:t>насиљу</w:t>
      </w:r>
      <w:r w:rsidR="0042679D" w:rsidRPr="00295637">
        <w:rPr>
          <w:rFonts w:ascii="Times New Roman" w:hAnsi="Times New Roman"/>
          <w:lang w:val="sr-Latn-BA"/>
        </w:rPr>
        <w:t xml:space="preserve"> </w:t>
      </w:r>
      <w:r>
        <w:rPr>
          <w:rFonts w:ascii="Times New Roman" w:hAnsi="Times New Roman"/>
          <w:lang w:val="sr-Latn-BA"/>
        </w:rPr>
        <w:t>над</w:t>
      </w:r>
      <w:r w:rsidR="0042679D" w:rsidRPr="00295637">
        <w:rPr>
          <w:rFonts w:ascii="Times New Roman" w:hAnsi="Times New Roman"/>
          <w:lang w:val="sr-Latn-BA"/>
        </w:rPr>
        <w:t xml:space="preserve"> </w:t>
      </w:r>
      <w:r>
        <w:rPr>
          <w:rFonts w:ascii="Times New Roman" w:hAnsi="Times New Roman"/>
          <w:lang w:val="sr-Latn-BA"/>
        </w:rPr>
        <w:t>женама</w:t>
      </w:r>
      <w:r w:rsidR="0042679D" w:rsidRPr="00295637">
        <w:rPr>
          <w:rFonts w:ascii="Times New Roman" w:hAnsi="Times New Roman"/>
          <w:lang w:val="sr-Latn-BA"/>
        </w:rPr>
        <w:t xml:space="preserve"> - </w:t>
      </w:r>
      <w:r>
        <w:rPr>
          <w:rFonts w:ascii="Times New Roman" w:hAnsi="Times New Roman"/>
          <w:lang w:val="sr-Latn-BA"/>
        </w:rPr>
        <w:t>Ниједна</w:t>
      </w:r>
      <w:r w:rsidR="0042679D" w:rsidRPr="00295637">
        <w:rPr>
          <w:rFonts w:ascii="Times New Roman" w:hAnsi="Times New Roman"/>
          <w:lang w:val="sr-Latn-BA"/>
        </w:rPr>
        <w:t xml:space="preserve"> </w:t>
      </w:r>
      <w:r>
        <w:rPr>
          <w:rFonts w:ascii="Times New Roman" w:hAnsi="Times New Roman"/>
          <w:lang w:val="sr-Latn-BA"/>
        </w:rPr>
        <w:t>жртва</w:t>
      </w:r>
      <w:r w:rsidR="0042679D" w:rsidRPr="00295637">
        <w:rPr>
          <w:rFonts w:ascii="Times New Roman" w:hAnsi="Times New Roman"/>
          <w:lang w:val="sr-Latn-BA"/>
        </w:rPr>
        <w:t xml:space="preserve"> </w:t>
      </w:r>
      <w:r>
        <w:rPr>
          <w:rFonts w:ascii="Times New Roman" w:hAnsi="Times New Roman"/>
          <w:lang w:val="sr-Latn-BA"/>
        </w:rPr>
        <w:t>више</w:t>
      </w:r>
      <w:r w:rsidR="0042679D" w:rsidRPr="00295637">
        <w:rPr>
          <w:rFonts w:ascii="Times New Roman" w:hAnsi="Times New Roman"/>
          <w:lang w:val="sr-Latn-BA"/>
        </w:rPr>
        <w:t xml:space="preserve">“. </w:t>
      </w:r>
      <w:r>
        <w:rPr>
          <w:rFonts w:ascii="Times New Roman" w:hAnsi="Times New Roman"/>
          <w:lang w:val="sr-Latn-BA"/>
        </w:rPr>
        <w:t>Поред</w:t>
      </w:r>
      <w:r w:rsidR="0042679D" w:rsidRPr="00295637">
        <w:rPr>
          <w:rFonts w:ascii="Times New Roman" w:hAnsi="Times New Roman"/>
          <w:lang w:val="sr-Latn-BA"/>
        </w:rPr>
        <w:t xml:space="preserve"> </w:t>
      </w:r>
      <w:r>
        <w:rPr>
          <w:rFonts w:ascii="Times New Roman" w:hAnsi="Times New Roman"/>
          <w:lang w:val="sr-Latn-BA"/>
        </w:rPr>
        <w:t>ових</w:t>
      </w:r>
      <w:r w:rsidR="0042679D" w:rsidRPr="00295637">
        <w:rPr>
          <w:rFonts w:ascii="Times New Roman" w:hAnsi="Times New Roman"/>
          <w:lang w:val="sr-Latn-BA"/>
        </w:rPr>
        <w:t xml:space="preserve"> </w:t>
      </w:r>
      <w:r>
        <w:rPr>
          <w:rFonts w:ascii="Times New Roman" w:hAnsi="Times New Roman"/>
          <w:lang w:val="sr-Latn-BA"/>
        </w:rPr>
        <w:t>кампања</w:t>
      </w:r>
      <w:r w:rsidR="0042679D" w:rsidRPr="00295637">
        <w:rPr>
          <w:rFonts w:ascii="Times New Roman" w:hAnsi="Times New Roman"/>
          <w:lang w:val="sr-Latn-BA"/>
        </w:rPr>
        <w:t xml:space="preserve">, </w:t>
      </w:r>
      <w:r>
        <w:rPr>
          <w:rFonts w:ascii="Times New Roman" w:hAnsi="Times New Roman"/>
          <w:lang w:val="sr-Latn-BA"/>
        </w:rPr>
        <w:t>реализ</w:t>
      </w:r>
      <w:r w:rsidR="000124D3">
        <w:rPr>
          <w:rFonts w:ascii="Times New Roman" w:hAnsi="Times New Roman"/>
          <w:lang w:val="sr-Cyrl-BA"/>
        </w:rPr>
        <w:t>оване</w:t>
      </w:r>
      <w:r w:rsidR="0042679D" w:rsidRPr="00295637">
        <w:rPr>
          <w:rFonts w:ascii="Times New Roman" w:hAnsi="Times New Roman"/>
          <w:lang w:val="sr-Latn-BA"/>
        </w:rPr>
        <w:t xml:space="preserve"> </w:t>
      </w:r>
      <w:r>
        <w:rPr>
          <w:rFonts w:ascii="Times New Roman" w:hAnsi="Times New Roman"/>
          <w:lang w:val="sr-Latn-BA"/>
        </w:rPr>
        <w:t>су</w:t>
      </w:r>
      <w:r w:rsidR="0042679D" w:rsidRPr="00295637">
        <w:rPr>
          <w:rFonts w:ascii="Times New Roman" w:hAnsi="Times New Roman"/>
          <w:lang w:val="sr-Latn-BA"/>
        </w:rPr>
        <w:t xml:space="preserve"> </w:t>
      </w:r>
      <w:r>
        <w:rPr>
          <w:rFonts w:ascii="Times New Roman" w:hAnsi="Times New Roman"/>
          <w:lang w:val="sr-Latn-BA"/>
        </w:rPr>
        <w:t>кампање</w:t>
      </w:r>
      <w:r w:rsidR="0042679D" w:rsidRPr="00295637">
        <w:rPr>
          <w:rFonts w:ascii="Times New Roman" w:hAnsi="Times New Roman"/>
          <w:lang w:val="sr-Latn-BA"/>
        </w:rPr>
        <w:t>: „</w:t>
      </w:r>
      <w:r>
        <w:rPr>
          <w:rFonts w:ascii="Times New Roman" w:hAnsi="Times New Roman"/>
          <w:lang w:val="sr-Latn-BA"/>
        </w:rPr>
        <w:t>Стоп</w:t>
      </w:r>
      <w:r w:rsidR="0042679D" w:rsidRPr="00295637">
        <w:rPr>
          <w:rFonts w:ascii="Times New Roman" w:hAnsi="Times New Roman"/>
          <w:lang w:val="sr-Latn-BA"/>
        </w:rPr>
        <w:t xml:space="preserve"> </w:t>
      </w:r>
      <w:r>
        <w:rPr>
          <w:rFonts w:ascii="Times New Roman" w:hAnsi="Times New Roman"/>
          <w:lang w:val="sr-Latn-BA"/>
        </w:rPr>
        <w:t>вршњачком</w:t>
      </w:r>
      <w:r w:rsidR="0042679D" w:rsidRPr="00295637">
        <w:rPr>
          <w:rFonts w:ascii="Times New Roman" w:hAnsi="Times New Roman"/>
          <w:lang w:val="sr-Latn-BA"/>
        </w:rPr>
        <w:t xml:space="preserve"> </w:t>
      </w:r>
      <w:r>
        <w:rPr>
          <w:rFonts w:ascii="Times New Roman" w:hAnsi="Times New Roman"/>
          <w:lang w:val="sr-Latn-BA"/>
        </w:rPr>
        <w:t>насиљу</w:t>
      </w:r>
      <w:r w:rsidR="0042679D" w:rsidRPr="00295637">
        <w:rPr>
          <w:rFonts w:ascii="Times New Roman" w:hAnsi="Times New Roman"/>
          <w:lang w:val="sr-Latn-BA"/>
        </w:rPr>
        <w:t xml:space="preserve">“ </w:t>
      </w:r>
      <w:r>
        <w:rPr>
          <w:rFonts w:ascii="Times New Roman" w:hAnsi="Times New Roman"/>
          <w:lang w:val="sr-Latn-BA"/>
        </w:rPr>
        <w:t>МПК</w:t>
      </w:r>
      <w:r w:rsidR="0042679D" w:rsidRPr="00295637">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 „</w:t>
      </w:r>
      <w:r>
        <w:rPr>
          <w:rFonts w:ascii="Times New Roman" w:hAnsi="Times New Roman"/>
          <w:lang w:val="sr-Latn-BA"/>
        </w:rPr>
        <w:t>Искључимо</w:t>
      </w:r>
      <w:r w:rsidR="0042679D" w:rsidRPr="00295637">
        <w:rPr>
          <w:rFonts w:ascii="Times New Roman" w:hAnsi="Times New Roman"/>
          <w:lang w:val="sr-Latn-BA"/>
        </w:rPr>
        <w:t xml:space="preserve"> </w:t>
      </w:r>
      <w:r>
        <w:rPr>
          <w:rFonts w:ascii="Times New Roman" w:hAnsi="Times New Roman"/>
          <w:lang w:val="sr-Latn-BA"/>
        </w:rPr>
        <w:t>насиље</w:t>
      </w:r>
      <w:r w:rsidR="0042679D" w:rsidRPr="00295637">
        <w:rPr>
          <w:rFonts w:ascii="Times New Roman" w:hAnsi="Times New Roman"/>
          <w:lang w:val="sr-Latn-BA"/>
        </w:rPr>
        <w:t xml:space="preserve"> </w:t>
      </w:r>
      <w:r>
        <w:rPr>
          <w:rFonts w:ascii="Times New Roman" w:hAnsi="Times New Roman"/>
          <w:lang w:val="sr-Latn-BA"/>
        </w:rPr>
        <w:t>заједно</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организацији</w:t>
      </w:r>
      <w:r w:rsidR="0042679D" w:rsidRPr="00295637">
        <w:rPr>
          <w:rFonts w:ascii="Times New Roman" w:hAnsi="Times New Roman"/>
          <w:lang w:val="sr-Latn-BA"/>
        </w:rPr>
        <w:t xml:space="preserve"> </w:t>
      </w:r>
      <w:r w:rsidR="000124D3" w:rsidRPr="000124D3">
        <w:rPr>
          <w:rFonts w:ascii="Times New Roman" w:hAnsi="Times New Roman"/>
          <w:i/>
          <w:lang w:val="bs-Latn-BA"/>
        </w:rPr>
        <w:t>UN Women</w:t>
      </w:r>
      <w:r w:rsidR="000124D3" w:rsidRPr="000124D3">
        <w:rPr>
          <w:rFonts w:ascii="Times New Roman" w:hAnsi="Times New Roman"/>
          <w:i/>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МУП</w:t>
      </w:r>
      <w:r w:rsidR="0042679D" w:rsidRPr="00295637">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 xml:space="preserve">, </w:t>
      </w:r>
      <w:r>
        <w:rPr>
          <w:rFonts w:ascii="Times New Roman" w:hAnsi="Times New Roman"/>
          <w:lang w:val="sr-Latn-BA"/>
        </w:rPr>
        <w:t>као</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превентивне</w:t>
      </w:r>
      <w:r w:rsidR="0042679D" w:rsidRPr="00295637">
        <w:rPr>
          <w:rFonts w:ascii="Times New Roman" w:hAnsi="Times New Roman"/>
          <w:lang w:val="sr-Latn-BA"/>
        </w:rPr>
        <w:t xml:space="preserve"> </w:t>
      </w:r>
      <w:r>
        <w:rPr>
          <w:rFonts w:ascii="Times New Roman" w:hAnsi="Times New Roman"/>
          <w:lang w:val="sr-Latn-BA"/>
        </w:rPr>
        <w:t>кампање</w:t>
      </w:r>
      <w:r w:rsidR="0042679D" w:rsidRPr="00295637">
        <w:rPr>
          <w:rFonts w:ascii="Times New Roman" w:hAnsi="Times New Roman"/>
          <w:lang w:val="sr-Latn-BA"/>
        </w:rPr>
        <w:t xml:space="preserve"> </w:t>
      </w:r>
      <w:r>
        <w:rPr>
          <w:rFonts w:ascii="Times New Roman" w:hAnsi="Times New Roman"/>
          <w:lang w:val="sr-Latn-BA"/>
        </w:rPr>
        <w:t>МУП</w:t>
      </w:r>
      <w:r w:rsidR="0042679D" w:rsidRPr="00295637">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 xml:space="preserve"> „</w:t>
      </w:r>
      <w:r>
        <w:rPr>
          <w:rFonts w:ascii="Times New Roman" w:hAnsi="Times New Roman"/>
          <w:lang w:val="sr-Latn-BA"/>
        </w:rPr>
        <w:t>Оружје</w:t>
      </w:r>
      <w:r w:rsidR="0042679D" w:rsidRPr="00295637">
        <w:rPr>
          <w:rFonts w:ascii="Times New Roman" w:hAnsi="Times New Roman"/>
          <w:lang w:val="sr-Latn-BA"/>
        </w:rPr>
        <w:t xml:space="preserve"> </w:t>
      </w:r>
      <w:r>
        <w:rPr>
          <w:rFonts w:ascii="Times New Roman" w:hAnsi="Times New Roman"/>
          <w:lang w:val="sr-Latn-BA"/>
        </w:rPr>
        <w:t>не</w:t>
      </w:r>
      <w:r w:rsidR="0042679D" w:rsidRPr="00295637">
        <w:rPr>
          <w:rFonts w:ascii="Times New Roman" w:hAnsi="Times New Roman"/>
          <w:lang w:val="sr-Latn-BA"/>
        </w:rPr>
        <w:t xml:space="preserve"> </w:t>
      </w:r>
      <w:r>
        <w:rPr>
          <w:rFonts w:ascii="Times New Roman" w:hAnsi="Times New Roman"/>
          <w:lang w:val="sr-Latn-BA"/>
        </w:rPr>
        <w:t>штити</w:t>
      </w:r>
      <w:r w:rsidR="0042679D" w:rsidRPr="00295637">
        <w:rPr>
          <w:rFonts w:ascii="Times New Roman" w:hAnsi="Times New Roman"/>
          <w:lang w:val="sr-Latn-BA"/>
        </w:rPr>
        <w:t xml:space="preserve">, </w:t>
      </w:r>
      <w:r>
        <w:rPr>
          <w:rFonts w:ascii="Times New Roman" w:hAnsi="Times New Roman"/>
          <w:lang w:val="sr-Latn-BA"/>
        </w:rPr>
        <w:t>оружје</w:t>
      </w:r>
      <w:r w:rsidR="0042679D" w:rsidRPr="00295637">
        <w:rPr>
          <w:rFonts w:ascii="Times New Roman" w:hAnsi="Times New Roman"/>
          <w:lang w:val="sr-Latn-BA"/>
        </w:rPr>
        <w:t xml:space="preserve"> </w:t>
      </w:r>
      <w:r>
        <w:rPr>
          <w:rFonts w:ascii="Times New Roman" w:hAnsi="Times New Roman"/>
          <w:lang w:val="sr-Latn-BA"/>
        </w:rPr>
        <w:t>убија</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Славимо</w:t>
      </w:r>
      <w:r w:rsidR="0042679D" w:rsidRPr="00295637">
        <w:rPr>
          <w:rFonts w:ascii="Times New Roman" w:hAnsi="Times New Roman"/>
          <w:lang w:val="sr-Latn-BA"/>
        </w:rPr>
        <w:t xml:space="preserve"> </w:t>
      </w:r>
      <w:r>
        <w:rPr>
          <w:rFonts w:ascii="Times New Roman" w:hAnsi="Times New Roman"/>
          <w:lang w:val="sr-Latn-BA"/>
        </w:rPr>
        <w:t>одговорно</w:t>
      </w:r>
      <w:r w:rsidR="0042679D" w:rsidRPr="00295637">
        <w:rPr>
          <w:rFonts w:ascii="Times New Roman" w:hAnsi="Times New Roman"/>
          <w:lang w:val="sr-Latn-BA"/>
        </w:rPr>
        <w:t>“.</w:t>
      </w:r>
    </w:p>
    <w:p w:rsidR="0042679D" w:rsidRPr="0039796C" w:rsidRDefault="0042679D" w:rsidP="0039796C">
      <w:pPr>
        <w:rPr>
          <w:rFonts w:ascii="Times New Roman" w:hAnsi="Times New Roman"/>
          <w:szCs w:val="24"/>
        </w:rPr>
      </w:pPr>
    </w:p>
    <w:p w:rsidR="0042679D" w:rsidRPr="00295637" w:rsidRDefault="00C6214E" w:rsidP="0086268D">
      <w:pPr>
        <w:jc w:val="both"/>
        <w:rPr>
          <w:rFonts w:ascii="Times New Roman" w:hAnsi="Times New Roman"/>
          <w:i/>
          <w:szCs w:val="24"/>
        </w:rPr>
      </w:pPr>
      <w:r>
        <w:rPr>
          <w:rFonts w:ascii="Times New Roman" w:hAnsi="Times New Roman"/>
          <w:i/>
          <w:szCs w:val="24"/>
        </w:rPr>
        <w:t>Јавни</w:t>
      </w:r>
      <w:r w:rsidR="0042679D" w:rsidRPr="00295637">
        <w:rPr>
          <w:rFonts w:ascii="Times New Roman" w:hAnsi="Times New Roman"/>
          <w:i/>
          <w:szCs w:val="24"/>
        </w:rPr>
        <w:t xml:space="preserve"> </w:t>
      </w:r>
      <w:r>
        <w:rPr>
          <w:rFonts w:ascii="Times New Roman" w:hAnsi="Times New Roman"/>
          <w:i/>
          <w:szCs w:val="24"/>
        </w:rPr>
        <w:t>живот</w:t>
      </w:r>
      <w:r w:rsidR="0042679D" w:rsidRPr="00295637">
        <w:rPr>
          <w:rFonts w:ascii="Times New Roman" w:hAnsi="Times New Roman"/>
          <w:i/>
          <w:szCs w:val="24"/>
        </w:rPr>
        <w:t xml:space="preserve"> </w:t>
      </w:r>
      <w:r>
        <w:rPr>
          <w:rFonts w:ascii="Times New Roman" w:hAnsi="Times New Roman"/>
          <w:i/>
          <w:szCs w:val="24"/>
        </w:rPr>
        <w:t>и</w:t>
      </w:r>
      <w:r w:rsidR="0042679D" w:rsidRPr="00295637">
        <w:rPr>
          <w:rFonts w:ascii="Times New Roman" w:hAnsi="Times New Roman"/>
          <w:i/>
          <w:szCs w:val="24"/>
        </w:rPr>
        <w:t xml:space="preserve"> </w:t>
      </w:r>
      <w:r>
        <w:rPr>
          <w:rFonts w:ascii="Times New Roman" w:hAnsi="Times New Roman"/>
          <w:i/>
          <w:szCs w:val="24"/>
        </w:rPr>
        <w:t>доношење</w:t>
      </w:r>
      <w:r w:rsidR="0042679D" w:rsidRPr="00295637">
        <w:rPr>
          <w:rFonts w:ascii="Times New Roman" w:hAnsi="Times New Roman"/>
          <w:i/>
          <w:szCs w:val="24"/>
        </w:rPr>
        <w:t xml:space="preserve"> </w:t>
      </w:r>
      <w:r>
        <w:rPr>
          <w:rFonts w:ascii="Times New Roman" w:hAnsi="Times New Roman"/>
          <w:i/>
          <w:szCs w:val="24"/>
        </w:rPr>
        <w:t>одлука</w:t>
      </w:r>
    </w:p>
    <w:p w:rsidR="0042679D" w:rsidRPr="00295637" w:rsidRDefault="0042679D" w:rsidP="0086268D">
      <w:pPr>
        <w:jc w:val="both"/>
        <w:rPr>
          <w:rFonts w:ascii="Times New Roman" w:hAnsi="Times New Roman"/>
          <w:szCs w:val="24"/>
        </w:rPr>
      </w:pPr>
    </w:p>
    <w:p w:rsidR="0042679D" w:rsidRPr="0080360D" w:rsidRDefault="00C6214E" w:rsidP="0086268D">
      <w:pPr>
        <w:pStyle w:val="ListParagraph"/>
        <w:numPr>
          <w:ilvl w:val="0"/>
          <w:numId w:val="17"/>
        </w:numPr>
        <w:jc w:val="both"/>
        <w:rPr>
          <w:rFonts w:ascii="Times New Roman" w:hAnsi="Times New Roman"/>
          <w:szCs w:val="24"/>
        </w:rPr>
      </w:pPr>
      <w:r>
        <w:rPr>
          <w:rFonts w:ascii="Times New Roman" w:hAnsi="Times New Roman"/>
          <w:szCs w:val="24"/>
        </w:rPr>
        <w:t>ЦИК</w:t>
      </w:r>
      <w:r w:rsidR="0042679D" w:rsidRPr="00EA3A8F">
        <w:rPr>
          <w:rFonts w:ascii="Times New Roman" w:hAnsi="Times New Roman"/>
          <w:szCs w:val="24"/>
        </w:rPr>
        <w:t xml:space="preserve"> </w:t>
      </w:r>
      <w:r>
        <w:rPr>
          <w:rFonts w:ascii="Times New Roman" w:hAnsi="Times New Roman"/>
          <w:szCs w:val="24"/>
        </w:rPr>
        <w:t>БиХ</w:t>
      </w:r>
      <w:r w:rsidR="0042679D" w:rsidRPr="00EA3A8F">
        <w:rPr>
          <w:rFonts w:ascii="Times New Roman" w:hAnsi="Times New Roman"/>
          <w:szCs w:val="24"/>
        </w:rPr>
        <w:t xml:space="preserve"> </w:t>
      </w:r>
      <w:r>
        <w:rPr>
          <w:rFonts w:ascii="Times New Roman" w:hAnsi="Times New Roman"/>
          <w:szCs w:val="24"/>
        </w:rPr>
        <w:t>је</w:t>
      </w:r>
      <w:r w:rsidR="0042679D">
        <w:rPr>
          <w:rFonts w:ascii="Times New Roman" w:hAnsi="Times New Roman"/>
          <w:szCs w:val="24"/>
        </w:rPr>
        <w:t xml:space="preserve"> </w:t>
      </w:r>
      <w:r>
        <w:rPr>
          <w:rFonts w:ascii="Times New Roman" w:hAnsi="Times New Roman"/>
          <w:szCs w:val="24"/>
        </w:rPr>
        <w:t>након</w:t>
      </w:r>
      <w:r w:rsidR="0042679D" w:rsidRPr="00EA3A8F">
        <w:rPr>
          <w:rFonts w:ascii="Times New Roman" w:hAnsi="Times New Roman"/>
          <w:szCs w:val="24"/>
        </w:rPr>
        <w:t xml:space="preserve"> </w:t>
      </w:r>
      <w:r>
        <w:rPr>
          <w:rFonts w:ascii="Times New Roman" w:hAnsi="Times New Roman"/>
          <w:szCs w:val="24"/>
        </w:rPr>
        <w:t>Локалних</w:t>
      </w:r>
      <w:r w:rsidR="0042679D">
        <w:rPr>
          <w:rFonts w:ascii="Times New Roman" w:hAnsi="Times New Roman"/>
          <w:szCs w:val="24"/>
        </w:rPr>
        <w:t xml:space="preserve"> </w:t>
      </w:r>
      <w:r>
        <w:rPr>
          <w:rFonts w:ascii="Times New Roman" w:hAnsi="Times New Roman"/>
          <w:szCs w:val="24"/>
        </w:rPr>
        <w:t>избора</w:t>
      </w:r>
      <w:r w:rsidR="0042679D">
        <w:rPr>
          <w:rFonts w:ascii="Times New Roman" w:hAnsi="Times New Roman"/>
          <w:szCs w:val="24"/>
        </w:rPr>
        <w:t xml:space="preserve"> 2024. </w:t>
      </w:r>
      <w:r>
        <w:rPr>
          <w:rFonts w:ascii="Times New Roman" w:hAnsi="Times New Roman"/>
          <w:szCs w:val="24"/>
        </w:rPr>
        <w:t>годне</w:t>
      </w:r>
      <w:r w:rsidR="0042679D">
        <w:rPr>
          <w:rFonts w:ascii="Times New Roman" w:hAnsi="Times New Roman"/>
          <w:szCs w:val="24"/>
        </w:rPr>
        <w:t xml:space="preserve"> </w:t>
      </w:r>
      <w:r>
        <w:rPr>
          <w:rFonts w:ascii="Times New Roman" w:hAnsi="Times New Roman"/>
          <w:szCs w:val="24"/>
        </w:rPr>
        <w:t>израдио</w:t>
      </w:r>
      <w:r w:rsidR="0042679D" w:rsidRPr="00EA3A8F">
        <w:rPr>
          <w:rFonts w:ascii="Times New Roman" w:hAnsi="Times New Roman"/>
          <w:szCs w:val="24"/>
        </w:rPr>
        <w:t xml:space="preserve"> </w:t>
      </w:r>
      <w:r>
        <w:rPr>
          <w:rFonts w:ascii="Times New Roman" w:hAnsi="Times New Roman"/>
          <w:szCs w:val="24"/>
        </w:rPr>
        <w:t>детаљну</w:t>
      </w:r>
      <w:r w:rsidR="0042679D" w:rsidRPr="00EA3A8F">
        <w:rPr>
          <w:rFonts w:ascii="Times New Roman" w:hAnsi="Times New Roman"/>
          <w:szCs w:val="24"/>
        </w:rPr>
        <w:t xml:space="preserve"> </w:t>
      </w:r>
      <w:r>
        <w:rPr>
          <w:rFonts w:ascii="Times New Roman" w:hAnsi="Times New Roman"/>
          <w:szCs w:val="24"/>
        </w:rPr>
        <w:t>анализу</w:t>
      </w:r>
      <w:r w:rsidR="0042679D" w:rsidRPr="00EA3A8F">
        <w:rPr>
          <w:rFonts w:ascii="Times New Roman" w:hAnsi="Times New Roman"/>
          <w:szCs w:val="24"/>
        </w:rPr>
        <w:t xml:space="preserve"> </w:t>
      </w:r>
      <w:r>
        <w:rPr>
          <w:rFonts w:ascii="Times New Roman" w:hAnsi="Times New Roman"/>
          <w:szCs w:val="24"/>
        </w:rPr>
        <w:t>кандидата</w:t>
      </w:r>
      <w:r w:rsidR="0042679D" w:rsidRPr="00EA3A8F">
        <w:rPr>
          <w:rFonts w:ascii="Times New Roman" w:hAnsi="Times New Roman"/>
          <w:szCs w:val="24"/>
        </w:rPr>
        <w:t>/</w:t>
      </w:r>
      <w:r>
        <w:rPr>
          <w:rFonts w:ascii="Times New Roman" w:hAnsi="Times New Roman"/>
          <w:szCs w:val="24"/>
        </w:rPr>
        <w:t>киња</w:t>
      </w:r>
      <w:r w:rsidR="0042679D" w:rsidRPr="00EA3A8F">
        <w:rPr>
          <w:rFonts w:ascii="Times New Roman" w:hAnsi="Times New Roman"/>
          <w:szCs w:val="24"/>
        </w:rPr>
        <w:t xml:space="preserve"> </w:t>
      </w:r>
      <w:r>
        <w:rPr>
          <w:rFonts w:ascii="Times New Roman" w:hAnsi="Times New Roman"/>
          <w:szCs w:val="24"/>
        </w:rPr>
        <w:t>и</w:t>
      </w:r>
      <w:r w:rsidR="0042679D" w:rsidRPr="00EA3A8F">
        <w:rPr>
          <w:rFonts w:ascii="Times New Roman" w:hAnsi="Times New Roman"/>
          <w:szCs w:val="24"/>
        </w:rPr>
        <w:t xml:space="preserve"> </w:t>
      </w:r>
      <w:r>
        <w:rPr>
          <w:rFonts w:ascii="Times New Roman" w:hAnsi="Times New Roman"/>
          <w:szCs w:val="24"/>
        </w:rPr>
        <w:t>резултата</w:t>
      </w:r>
      <w:r w:rsidR="0042679D" w:rsidRPr="00EA3A8F">
        <w:rPr>
          <w:rFonts w:ascii="Times New Roman" w:hAnsi="Times New Roman"/>
          <w:szCs w:val="24"/>
        </w:rPr>
        <w:t xml:space="preserve"> </w:t>
      </w:r>
      <w:r>
        <w:rPr>
          <w:rFonts w:ascii="Times New Roman" w:hAnsi="Times New Roman"/>
          <w:szCs w:val="24"/>
        </w:rPr>
        <w:t>избора</w:t>
      </w:r>
      <w:r w:rsidR="0042679D" w:rsidRPr="00EA3A8F">
        <w:rPr>
          <w:rFonts w:ascii="Times New Roman" w:hAnsi="Times New Roman"/>
          <w:szCs w:val="24"/>
        </w:rPr>
        <w:t xml:space="preserve"> </w:t>
      </w:r>
      <w:r>
        <w:rPr>
          <w:rFonts w:ascii="Times New Roman" w:hAnsi="Times New Roman"/>
          <w:szCs w:val="24"/>
        </w:rPr>
        <w:t>из</w:t>
      </w:r>
      <w:r w:rsidR="0042679D" w:rsidRPr="00EA3A8F">
        <w:rPr>
          <w:rFonts w:ascii="Times New Roman" w:hAnsi="Times New Roman"/>
          <w:szCs w:val="24"/>
        </w:rPr>
        <w:t xml:space="preserve"> </w:t>
      </w:r>
      <w:r>
        <w:rPr>
          <w:rFonts w:ascii="Times New Roman" w:hAnsi="Times New Roman"/>
          <w:szCs w:val="24"/>
        </w:rPr>
        <w:t>перспективе</w:t>
      </w:r>
      <w:r w:rsidR="0042679D" w:rsidRPr="00EA3A8F">
        <w:rPr>
          <w:rFonts w:ascii="Times New Roman" w:hAnsi="Times New Roman"/>
          <w:szCs w:val="24"/>
        </w:rPr>
        <w:t xml:space="preserve"> </w:t>
      </w:r>
      <w:r>
        <w:rPr>
          <w:rFonts w:ascii="Times New Roman" w:hAnsi="Times New Roman"/>
          <w:szCs w:val="24"/>
        </w:rPr>
        <w:t>равноправности</w:t>
      </w:r>
      <w:r w:rsidR="0042679D" w:rsidRPr="00EA3A8F">
        <w:rPr>
          <w:rFonts w:ascii="Times New Roman" w:hAnsi="Times New Roman"/>
          <w:szCs w:val="24"/>
        </w:rPr>
        <w:t xml:space="preserve"> </w:t>
      </w:r>
      <w:r>
        <w:rPr>
          <w:rFonts w:ascii="Times New Roman" w:hAnsi="Times New Roman"/>
          <w:szCs w:val="24"/>
        </w:rPr>
        <w:t>полова</w:t>
      </w:r>
      <w:r w:rsidR="0042679D" w:rsidRPr="00EA3A8F">
        <w:rPr>
          <w:rFonts w:ascii="Times New Roman" w:hAnsi="Times New Roman"/>
          <w:szCs w:val="24"/>
        </w:rPr>
        <w:t xml:space="preserve">. </w:t>
      </w:r>
      <w:r>
        <w:rPr>
          <w:rFonts w:ascii="Times New Roman" w:hAnsi="Times New Roman"/>
          <w:szCs w:val="24"/>
        </w:rPr>
        <w:t>Укупан</w:t>
      </w:r>
      <w:r w:rsidR="0042679D" w:rsidRPr="00EA3A8F">
        <w:rPr>
          <w:rFonts w:ascii="Times New Roman" w:hAnsi="Times New Roman"/>
          <w:szCs w:val="24"/>
        </w:rPr>
        <w:t xml:space="preserve"> </w:t>
      </w:r>
      <w:r>
        <w:rPr>
          <w:rFonts w:ascii="Times New Roman" w:hAnsi="Times New Roman"/>
          <w:szCs w:val="24"/>
        </w:rPr>
        <w:t>број</w:t>
      </w:r>
      <w:r w:rsidR="0042679D" w:rsidRPr="00EA3A8F">
        <w:rPr>
          <w:rFonts w:ascii="Times New Roman" w:hAnsi="Times New Roman"/>
          <w:szCs w:val="24"/>
        </w:rPr>
        <w:t xml:space="preserve"> </w:t>
      </w:r>
      <w:r>
        <w:rPr>
          <w:rFonts w:ascii="Times New Roman" w:hAnsi="Times New Roman"/>
          <w:szCs w:val="24"/>
        </w:rPr>
        <w:t>изабраних</w:t>
      </w:r>
      <w:r w:rsidR="0042679D" w:rsidRPr="00EA3A8F">
        <w:rPr>
          <w:rFonts w:ascii="Times New Roman" w:hAnsi="Times New Roman"/>
          <w:szCs w:val="24"/>
        </w:rPr>
        <w:t xml:space="preserve"> </w:t>
      </w:r>
      <w:r>
        <w:rPr>
          <w:rFonts w:ascii="Times New Roman" w:hAnsi="Times New Roman"/>
          <w:szCs w:val="24"/>
        </w:rPr>
        <w:t>начелника</w:t>
      </w:r>
      <w:r w:rsidR="0042679D">
        <w:rPr>
          <w:rFonts w:ascii="Times New Roman" w:hAnsi="Times New Roman"/>
          <w:szCs w:val="24"/>
        </w:rPr>
        <w:t>/</w:t>
      </w:r>
      <w:r>
        <w:rPr>
          <w:rFonts w:ascii="Times New Roman" w:hAnsi="Times New Roman"/>
          <w:szCs w:val="24"/>
        </w:rPr>
        <w:t>градоначелника</w:t>
      </w:r>
      <w:r w:rsidR="0042679D">
        <w:rPr>
          <w:rFonts w:ascii="Times New Roman" w:hAnsi="Times New Roman"/>
          <w:szCs w:val="24"/>
        </w:rPr>
        <w:t xml:space="preserve"> </w:t>
      </w:r>
      <w:r>
        <w:rPr>
          <w:rFonts w:ascii="Times New Roman" w:hAnsi="Times New Roman"/>
          <w:szCs w:val="24"/>
        </w:rPr>
        <w:t>је</w:t>
      </w:r>
      <w:r w:rsidR="0042679D">
        <w:rPr>
          <w:rFonts w:ascii="Times New Roman" w:hAnsi="Times New Roman"/>
          <w:szCs w:val="24"/>
        </w:rPr>
        <w:t xml:space="preserve"> 142,</w:t>
      </w:r>
      <w:r w:rsidR="0042679D" w:rsidRPr="00EA3A8F">
        <w:rPr>
          <w:rFonts w:ascii="Times New Roman" w:hAnsi="Times New Roman"/>
          <w:szCs w:val="24"/>
        </w:rPr>
        <w:t xml:space="preserve"> </w:t>
      </w:r>
      <w:r>
        <w:rPr>
          <w:rFonts w:ascii="Times New Roman" w:hAnsi="Times New Roman"/>
          <w:szCs w:val="24"/>
        </w:rPr>
        <w:t>од</w:t>
      </w:r>
      <w:r w:rsidR="0042679D" w:rsidRPr="00EA3A8F">
        <w:rPr>
          <w:rFonts w:ascii="Times New Roman" w:hAnsi="Times New Roman"/>
          <w:szCs w:val="24"/>
        </w:rPr>
        <w:t xml:space="preserve"> </w:t>
      </w:r>
      <w:r>
        <w:rPr>
          <w:rFonts w:ascii="Times New Roman" w:hAnsi="Times New Roman"/>
          <w:szCs w:val="24"/>
        </w:rPr>
        <w:t>чега</w:t>
      </w:r>
      <w:r w:rsidR="0042679D" w:rsidRPr="00EA3A8F">
        <w:rPr>
          <w:rFonts w:ascii="Times New Roman" w:hAnsi="Times New Roman"/>
          <w:szCs w:val="24"/>
        </w:rPr>
        <w:t xml:space="preserve"> </w:t>
      </w:r>
      <w:r>
        <w:rPr>
          <w:rFonts w:ascii="Times New Roman" w:hAnsi="Times New Roman"/>
          <w:szCs w:val="24"/>
        </w:rPr>
        <w:t>су</w:t>
      </w:r>
      <w:r w:rsidR="0042679D">
        <w:rPr>
          <w:rFonts w:ascii="Times New Roman" w:hAnsi="Times New Roman"/>
          <w:szCs w:val="24"/>
        </w:rPr>
        <w:t xml:space="preserve"> 134 </w:t>
      </w:r>
      <w:r>
        <w:rPr>
          <w:rFonts w:ascii="Times New Roman" w:hAnsi="Times New Roman"/>
          <w:szCs w:val="24"/>
        </w:rPr>
        <w:t>мушкарца</w:t>
      </w:r>
      <w:r w:rsidR="0042679D">
        <w:rPr>
          <w:rFonts w:ascii="Times New Roman" w:hAnsi="Times New Roman"/>
          <w:szCs w:val="24"/>
        </w:rPr>
        <w:t xml:space="preserve"> </w:t>
      </w:r>
      <w:r>
        <w:rPr>
          <w:rFonts w:ascii="Times New Roman" w:hAnsi="Times New Roman"/>
          <w:szCs w:val="24"/>
        </w:rPr>
        <w:t>и</w:t>
      </w:r>
      <w:r w:rsidR="0042679D">
        <w:rPr>
          <w:rFonts w:ascii="Times New Roman" w:hAnsi="Times New Roman"/>
          <w:szCs w:val="24"/>
        </w:rPr>
        <w:t xml:space="preserve"> </w:t>
      </w:r>
      <w:r>
        <w:rPr>
          <w:rFonts w:ascii="Times New Roman" w:hAnsi="Times New Roman"/>
          <w:szCs w:val="24"/>
        </w:rPr>
        <w:t>осам</w:t>
      </w:r>
      <w:r w:rsidR="0042679D" w:rsidRPr="00EA3A8F">
        <w:rPr>
          <w:rFonts w:ascii="Times New Roman" w:hAnsi="Times New Roman"/>
          <w:szCs w:val="24"/>
        </w:rPr>
        <w:t xml:space="preserve"> </w:t>
      </w:r>
      <w:r>
        <w:rPr>
          <w:rFonts w:ascii="Times New Roman" w:hAnsi="Times New Roman"/>
          <w:szCs w:val="24"/>
        </w:rPr>
        <w:t>жена</w:t>
      </w:r>
      <w:r w:rsidR="0042679D">
        <w:rPr>
          <w:rFonts w:ascii="Times New Roman" w:hAnsi="Times New Roman"/>
          <w:szCs w:val="24"/>
        </w:rPr>
        <w:t xml:space="preserve">, </w:t>
      </w:r>
      <w:r>
        <w:rPr>
          <w:rFonts w:ascii="Times New Roman" w:hAnsi="Times New Roman"/>
          <w:szCs w:val="24"/>
        </w:rPr>
        <w:t>и</w:t>
      </w:r>
      <w:r w:rsidR="0042679D">
        <w:rPr>
          <w:rFonts w:ascii="Times New Roman" w:hAnsi="Times New Roman"/>
          <w:szCs w:val="24"/>
        </w:rPr>
        <w:t xml:space="preserve"> </w:t>
      </w:r>
      <w:r>
        <w:rPr>
          <w:rFonts w:ascii="Times New Roman" w:hAnsi="Times New Roman"/>
          <w:szCs w:val="24"/>
        </w:rPr>
        <w:t>то</w:t>
      </w:r>
      <w:r w:rsidR="0042679D">
        <w:rPr>
          <w:rFonts w:ascii="Times New Roman" w:hAnsi="Times New Roman"/>
          <w:szCs w:val="24"/>
        </w:rPr>
        <w:t xml:space="preserve"> </w:t>
      </w:r>
      <w:r>
        <w:rPr>
          <w:rFonts w:ascii="Times New Roman" w:hAnsi="Times New Roman"/>
          <w:szCs w:val="24"/>
        </w:rPr>
        <w:t>у</w:t>
      </w:r>
      <w:r w:rsidR="0042679D">
        <w:rPr>
          <w:rFonts w:ascii="Times New Roman" w:hAnsi="Times New Roman"/>
          <w:szCs w:val="24"/>
        </w:rPr>
        <w:t xml:space="preserve"> </w:t>
      </w:r>
      <w:r>
        <w:rPr>
          <w:rFonts w:ascii="Times New Roman" w:hAnsi="Times New Roman"/>
          <w:szCs w:val="24"/>
        </w:rPr>
        <w:t>оп</w:t>
      </w:r>
      <w:r w:rsidR="000124D3">
        <w:rPr>
          <w:rFonts w:ascii="Times New Roman" w:hAnsi="Times New Roman"/>
          <w:szCs w:val="24"/>
          <w:lang w:val="sr-Cyrl-BA"/>
        </w:rPr>
        <w:t>шт</w:t>
      </w:r>
      <w:r>
        <w:rPr>
          <w:rFonts w:ascii="Times New Roman" w:hAnsi="Times New Roman"/>
          <w:szCs w:val="24"/>
        </w:rPr>
        <w:t>инама</w:t>
      </w:r>
      <w:r w:rsidR="0042679D" w:rsidRPr="00EA3A8F">
        <w:rPr>
          <w:rFonts w:ascii="Times New Roman" w:hAnsi="Times New Roman"/>
          <w:szCs w:val="24"/>
        </w:rPr>
        <w:t xml:space="preserve">: </w:t>
      </w:r>
      <w:r>
        <w:rPr>
          <w:rFonts w:ascii="Times New Roman" w:hAnsi="Times New Roman"/>
          <w:szCs w:val="24"/>
        </w:rPr>
        <w:t>Завидовићи</w:t>
      </w:r>
      <w:r w:rsidR="008A0957">
        <w:rPr>
          <w:rFonts w:ascii="Times New Roman" w:hAnsi="Times New Roman"/>
          <w:szCs w:val="24"/>
        </w:rPr>
        <w:t xml:space="preserve">, </w:t>
      </w:r>
      <w:r>
        <w:rPr>
          <w:rFonts w:ascii="Times New Roman" w:hAnsi="Times New Roman"/>
          <w:szCs w:val="24"/>
        </w:rPr>
        <w:t>Ново</w:t>
      </w:r>
      <w:r w:rsidR="008A0957">
        <w:rPr>
          <w:rFonts w:ascii="Times New Roman" w:hAnsi="Times New Roman"/>
          <w:szCs w:val="24"/>
        </w:rPr>
        <w:t xml:space="preserve"> </w:t>
      </w:r>
      <w:r>
        <w:rPr>
          <w:rFonts w:ascii="Times New Roman" w:hAnsi="Times New Roman"/>
          <w:szCs w:val="24"/>
        </w:rPr>
        <w:t>Сарајево</w:t>
      </w:r>
      <w:r w:rsidR="008A0957">
        <w:rPr>
          <w:rFonts w:ascii="Times New Roman" w:hAnsi="Times New Roman"/>
          <w:szCs w:val="24"/>
        </w:rPr>
        <w:t xml:space="preserve">, </w:t>
      </w:r>
      <w:r>
        <w:rPr>
          <w:rFonts w:ascii="Times New Roman" w:hAnsi="Times New Roman"/>
          <w:szCs w:val="24"/>
        </w:rPr>
        <w:t>Дрвар</w:t>
      </w:r>
      <w:r w:rsidR="008A0957">
        <w:rPr>
          <w:rFonts w:ascii="Times New Roman" w:hAnsi="Times New Roman"/>
          <w:szCs w:val="24"/>
        </w:rPr>
        <w:t>,</w:t>
      </w:r>
      <w:r w:rsidR="0042679D" w:rsidRPr="00EA3A8F">
        <w:rPr>
          <w:rFonts w:ascii="Times New Roman" w:hAnsi="Times New Roman"/>
          <w:szCs w:val="24"/>
        </w:rPr>
        <w:t xml:space="preserve"> </w:t>
      </w:r>
      <w:r>
        <w:rPr>
          <w:rFonts w:ascii="Times New Roman" w:hAnsi="Times New Roman"/>
          <w:szCs w:val="24"/>
        </w:rPr>
        <w:t>Чапљина</w:t>
      </w:r>
      <w:r w:rsidR="0042679D" w:rsidRPr="00EA3A8F">
        <w:rPr>
          <w:rFonts w:ascii="Times New Roman" w:hAnsi="Times New Roman"/>
          <w:szCs w:val="24"/>
        </w:rPr>
        <w:t xml:space="preserve">, </w:t>
      </w:r>
      <w:r>
        <w:rPr>
          <w:rFonts w:ascii="Times New Roman" w:hAnsi="Times New Roman"/>
          <w:szCs w:val="24"/>
        </w:rPr>
        <w:t>Босанско</w:t>
      </w:r>
      <w:r w:rsidR="0042679D">
        <w:rPr>
          <w:rFonts w:ascii="Times New Roman" w:hAnsi="Times New Roman"/>
          <w:szCs w:val="24"/>
        </w:rPr>
        <w:t xml:space="preserve"> </w:t>
      </w:r>
      <w:r>
        <w:rPr>
          <w:rFonts w:ascii="Times New Roman" w:hAnsi="Times New Roman"/>
          <w:szCs w:val="24"/>
        </w:rPr>
        <w:t>Грахово</w:t>
      </w:r>
      <w:r w:rsidR="0042679D">
        <w:rPr>
          <w:rFonts w:ascii="Times New Roman" w:hAnsi="Times New Roman"/>
          <w:szCs w:val="24"/>
        </w:rPr>
        <w:t xml:space="preserve">, </w:t>
      </w:r>
      <w:r>
        <w:rPr>
          <w:rFonts w:ascii="Times New Roman" w:hAnsi="Times New Roman"/>
          <w:szCs w:val="24"/>
        </w:rPr>
        <w:t>Источни</w:t>
      </w:r>
      <w:r w:rsidR="0042679D">
        <w:rPr>
          <w:rFonts w:ascii="Times New Roman" w:hAnsi="Times New Roman"/>
          <w:szCs w:val="24"/>
        </w:rPr>
        <w:t xml:space="preserve"> </w:t>
      </w:r>
      <w:r>
        <w:rPr>
          <w:rFonts w:ascii="Times New Roman" w:hAnsi="Times New Roman"/>
          <w:szCs w:val="24"/>
        </w:rPr>
        <w:t>Дрвар</w:t>
      </w:r>
      <w:r w:rsidR="0042679D">
        <w:rPr>
          <w:rFonts w:ascii="Times New Roman" w:hAnsi="Times New Roman"/>
          <w:szCs w:val="24"/>
        </w:rPr>
        <w:t>,</w:t>
      </w:r>
      <w:r w:rsidR="0042679D" w:rsidRPr="0080360D">
        <w:rPr>
          <w:rFonts w:ascii="Times New Roman" w:hAnsi="Times New Roman"/>
          <w:szCs w:val="24"/>
        </w:rPr>
        <w:t xml:space="preserve"> </w:t>
      </w:r>
      <w:r>
        <w:rPr>
          <w:rFonts w:ascii="Times New Roman" w:hAnsi="Times New Roman"/>
          <w:szCs w:val="24"/>
        </w:rPr>
        <w:t>Језеро</w:t>
      </w:r>
      <w:r w:rsidR="0042679D" w:rsidRPr="0080360D">
        <w:rPr>
          <w:rFonts w:ascii="Times New Roman" w:hAnsi="Times New Roman"/>
          <w:szCs w:val="24"/>
        </w:rPr>
        <w:t xml:space="preserve"> </w:t>
      </w:r>
      <w:r>
        <w:rPr>
          <w:rFonts w:ascii="Times New Roman" w:hAnsi="Times New Roman"/>
          <w:szCs w:val="24"/>
        </w:rPr>
        <w:t>и</w:t>
      </w:r>
      <w:r w:rsidR="0042679D" w:rsidRPr="0080360D">
        <w:rPr>
          <w:rFonts w:ascii="Times New Roman" w:hAnsi="Times New Roman"/>
          <w:szCs w:val="24"/>
        </w:rPr>
        <w:t xml:space="preserve"> </w:t>
      </w:r>
      <w:r>
        <w:rPr>
          <w:rFonts w:ascii="Times New Roman" w:hAnsi="Times New Roman"/>
          <w:szCs w:val="24"/>
        </w:rPr>
        <w:t>Ново</w:t>
      </w:r>
      <w:r w:rsidR="0042679D" w:rsidRPr="0080360D">
        <w:rPr>
          <w:rFonts w:ascii="Times New Roman" w:hAnsi="Times New Roman"/>
          <w:szCs w:val="24"/>
        </w:rPr>
        <w:t xml:space="preserve"> </w:t>
      </w:r>
      <w:r>
        <w:rPr>
          <w:rFonts w:ascii="Times New Roman" w:hAnsi="Times New Roman"/>
          <w:szCs w:val="24"/>
        </w:rPr>
        <w:t>Горажде</w:t>
      </w:r>
      <w:r w:rsidR="0042679D">
        <w:rPr>
          <w:rFonts w:ascii="Times New Roman" w:hAnsi="Times New Roman"/>
          <w:szCs w:val="24"/>
        </w:rPr>
        <w:t xml:space="preserve">. </w:t>
      </w:r>
      <w:r>
        <w:rPr>
          <w:rFonts w:ascii="Times New Roman" w:hAnsi="Times New Roman"/>
          <w:szCs w:val="24"/>
        </w:rPr>
        <w:t>Проценат</w:t>
      </w:r>
      <w:r w:rsidR="0042679D" w:rsidRPr="0080360D">
        <w:rPr>
          <w:rFonts w:ascii="Times New Roman" w:hAnsi="Times New Roman"/>
          <w:szCs w:val="24"/>
        </w:rPr>
        <w:t xml:space="preserve"> </w:t>
      </w:r>
      <w:r>
        <w:rPr>
          <w:rFonts w:ascii="Times New Roman" w:hAnsi="Times New Roman"/>
          <w:szCs w:val="24"/>
        </w:rPr>
        <w:t>изабраних</w:t>
      </w:r>
      <w:r w:rsidR="0042679D" w:rsidRPr="0080360D">
        <w:rPr>
          <w:rFonts w:ascii="Times New Roman" w:hAnsi="Times New Roman"/>
          <w:szCs w:val="24"/>
        </w:rPr>
        <w:t xml:space="preserve"> </w:t>
      </w:r>
      <w:r>
        <w:rPr>
          <w:rFonts w:ascii="Times New Roman" w:hAnsi="Times New Roman"/>
          <w:szCs w:val="24"/>
        </w:rPr>
        <w:t>начелница</w:t>
      </w:r>
      <w:r w:rsidR="0042679D" w:rsidRPr="0080360D">
        <w:rPr>
          <w:rFonts w:ascii="Times New Roman" w:hAnsi="Times New Roman"/>
          <w:szCs w:val="24"/>
        </w:rPr>
        <w:t xml:space="preserve"> </w:t>
      </w:r>
      <w:r>
        <w:rPr>
          <w:rFonts w:ascii="Times New Roman" w:hAnsi="Times New Roman"/>
          <w:szCs w:val="24"/>
        </w:rPr>
        <w:t>у</w:t>
      </w:r>
      <w:r w:rsidR="0042679D" w:rsidRPr="0080360D">
        <w:rPr>
          <w:rFonts w:ascii="Times New Roman" w:hAnsi="Times New Roman"/>
          <w:szCs w:val="24"/>
        </w:rPr>
        <w:t xml:space="preserve"> </w:t>
      </w:r>
      <w:r>
        <w:rPr>
          <w:rFonts w:ascii="Times New Roman" w:hAnsi="Times New Roman"/>
          <w:szCs w:val="24"/>
        </w:rPr>
        <w:t>БиХ</w:t>
      </w:r>
      <w:r w:rsidR="00D30E48">
        <w:rPr>
          <w:rFonts w:ascii="Times New Roman" w:hAnsi="Times New Roman"/>
          <w:szCs w:val="24"/>
        </w:rPr>
        <w:t xml:space="preserve"> </w:t>
      </w:r>
      <w:r>
        <w:rPr>
          <w:rFonts w:ascii="Times New Roman" w:hAnsi="Times New Roman"/>
          <w:szCs w:val="24"/>
        </w:rPr>
        <w:t>је</w:t>
      </w:r>
      <w:r w:rsidR="00D30E48">
        <w:rPr>
          <w:rFonts w:ascii="Times New Roman" w:hAnsi="Times New Roman"/>
          <w:szCs w:val="24"/>
        </w:rPr>
        <w:t xml:space="preserve"> 5.6%. </w:t>
      </w:r>
      <w:r>
        <w:rPr>
          <w:rFonts w:ascii="Times New Roman" w:hAnsi="Times New Roman"/>
          <w:szCs w:val="24"/>
        </w:rPr>
        <w:t>У</w:t>
      </w:r>
      <w:r w:rsidR="008A0957">
        <w:rPr>
          <w:rFonts w:ascii="Times New Roman" w:hAnsi="Times New Roman"/>
          <w:szCs w:val="24"/>
        </w:rPr>
        <w:t xml:space="preserve"> </w:t>
      </w:r>
      <w:r>
        <w:rPr>
          <w:rFonts w:ascii="Times New Roman" w:hAnsi="Times New Roman"/>
          <w:szCs w:val="24"/>
        </w:rPr>
        <w:t>оп</w:t>
      </w:r>
      <w:r w:rsidR="000124D3">
        <w:rPr>
          <w:rFonts w:ascii="Times New Roman" w:hAnsi="Times New Roman"/>
          <w:szCs w:val="24"/>
          <w:lang w:val="sr-Cyrl-BA"/>
        </w:rPr>
        <w:t>шт</w:t>
      </w:r>
      <w:r>
        <w:rPr>
          <w:rFonts w:ascii="Times New Roman" w:hAnsi="Times New Roman"/>
          <w:szCs w:val="24"/>
        </w:rPr>
        <w:t>инска</w:t>
      </w:r>
      <w:r w:rsidR="008A0957">
        <w:rPr>
          <w:rFonts w:ascii="Times New Roman" w:hAnsi="Times New Roman"/>
          <w:szCs w:val="24"/>
        </w:rPr>
        <w:t xml:space="preserve"> </w:t>
      </w:r>
      <w:r>
        <w:rPr>
          <w:rFonts w:ascii="Times New Roman" w:hAnsi="Times New Roman"/>
          <w:szCs w:val="24"/>
        </w:rPr>
        <w:t>вијећа</w:t>
      </w:r>
      <w:r w:rsidR="0042679D" w:rsidRPr="0080360D">
        <w:rPr>
          <w:rFonts w:ascii="Times New Roman" w:hAnsi="Times New Roman"/>
          <w:szCs w:val="24"/>
        </w:rPr>
        <w:t>/</w:t>
      </w:r>
      <w:r>
        <w:rPr>
          <w:rFonts w:ascii="Times New Roman" w:hAnsi="Times New Roman"/>
          <w:szCs w:val="24"/>
        </w:rPr>
        <w:t>скупштине</w:t>
      </w:r>
      <w:r w:rsidR="0042679D" w:rsidRPr="0080360D">
        <w:rPr>
          <w:rFonts w:ascii="Times New Roman" w:hAnsi="Times New Roman"/>
          <w:szCs w:val="24"/>
        </w:rPr>
        <w:t xml:space="preserve"> </w:t>
      </w:r>
      <w:r>
        <w:rPr>
          <w:rFonts w:ascii="Times New Roman" w:hAnsi="Times New Roman"/>
          <w:szCs w:val="24"/>
        </w:rPr>
        <w:t>оп</w:t>
      </w:r>
      <w:r w:rsidR="000124D3">
        <w:rPr>
          <w:rFonts w:ascii="Times New Roman" w:hAnsi="Times New Roman"/>
          <w:szCs w:val="24"/>
          <w:lang w:val="sr-Cyrl-BA"/>
        </w:rPr>
        <w:t>шт</w:t>
      </w:r>
      <w:r>
        <w:rPr>
          <w:rFonts w:ascii="Times New Roman" w:hAnsi="Times New Roman"/>
          <w:szCs w:val="24"/>
        </w:rPr>
        <w:t>ина</w:t>
      </w:r>
      <w:r w:rsidR="0042679D" w:rsidRPr="0080360D">
        <w:rPr>
          <w:rFonts w:ascii="Times New Roman" w:hAnsi="Times New Roman"/>
          <w:szCs w:val="24"/>
        </w:rPr>
        <w:t>/</w:t>
      </w:r>
      <w:r>
        <w:rPr>
          <w:rFonts w:ascii="Times New Roman" w:hAnsi="Times New Roman"/>
          <w:szCs w:val="24"/>
        </w:rPr>
        <w:t>градска</w:t>
      </w:r>
      <w:r w:rsidR="0042679D" w:rsidRPr="0080360D">
        <w:rPr>
          <w:rFonts w:ascii="Times New Roman" w:hAnsi="Times New Roman"/>
          <w:szCs w:val="24"/>
        </w:rPr>
        <w:t xml:space="preserve"> </w:t>
      </w:r>
      <w:r>
        <w:rPr>
          <w:rFonts w:ascii="Times New Roman" w:hAnsi="Times New Roman"/>
          <w:szCs w:val="24"/>
        </w:rPr>
        <w:t>вијећа</w:t>
      </w:r>
      <w:r w:rsidR="0042679D" w:rsidRPr="0080360D">
        <w:rPr>
          <w:rFonts w:ascii="Times New Roman" w:hAnsi="Times New Roman"/>
          <w:szCs w:val="24"/>
        </w:rPr>
        <w:t>/</w:t>
      </w:r>
      <w:r>
        <w:rPr>
          <w:rFonts w:ascii="Times New Roman" w:hAnsi="Times New Roman"/>
          <w:szCs w:val="24"/>
        </w:rPr>
        <w:t>скупштине</w:t>
      </w:r>
      <w:r w:rsidR="0042679D" w:rsidRPr="0080360D">
        <w:rPr>
          <w:rFonts w:ascii="Times New Roman" w:hAnsi="Times New Roman"/>
          <w:szCs w:val="24"/>
        </w:rPr>
        <w:t xml:space="preserve"> </w:t>
      </w:r>
      <w:r>
        <w:rPr>
          <w:rFonts w:ascii="Times New Roman" w:hAnsi="Times New Roman"/>
          <w:szCs w:val="24"/>
        </w:rPr>
        <w:t>градова</w:t>
      </w:r>
      <w:r w:rsidR="0042679D" w:rsidRPr="0080360D">
        <w:rPr>
          <w:rFonts w:ascii="Times New Roman" w:hAnsi="Times New Roman"/>
          <w:szCs w:val="24"/>
        </w:rPr>
        <w:t>/</w:t>
      </w:r>
      <w:r>
        <w:rPr>
          <w:rFonts w:ascii="Times New Roman" w:hAnsi="Times New Roman"/>
          <w:szCs w:val="24"/>
        </w:rPr>
        <w:t>Скупштину</w:t>
      </w:r>
      <w:r w:rsidR="0042679D" w:rsidRPr="0080360D">
        <w:rPr>
          <w:rFonts w:ascii="Times New Roman" w:hAnsi="Times New Roman"/>
          <w:szCs w:val="24"/>
        </w:rPr>
        <w:t xml:space="preserve"> </w:t>
      </w:r>
      <w:r>
        <w:rPr>
          <w:rFonts w:ascii="Times New Roman" w:hAnsi="Times New Roman"/>
          <w:szCs w:val="24"/>
        </w:rPr>
        <w:t>БД</w:t>
      </w:r>
      <w:r w:rsidR="0042679D" w:rsidRPr="0080360D">
        <w:rPr>
          <w:rFonts w:ascii="Times New Roman" w:hAnsi="Times New Roman"/>
          <w:szCs w:val="24"/>
        </w:rPr>
        <w:t xml:space="preserve"> </w:t>
      </w:r>
      <w:r>
        <w:rPr>
          <w:rFonts w:ascii="Times New Roman" w:hAnsi="Times New Roman"/>
          <w:szCs w:val="24"/>
        </w:rPr>
        <w:t>БиХ</w:t>
      </w:r>
      <w:r w:rsidR="0042679D" w:rsidRPr="0080360D">
        <w:rPr>
          <w:rFonts w:ascii="Times New Roman" w:hAnsi="Times New Roman"/>
          <w:szCs w:val="24"/>
        </w:rPr>
        <w:t xml:space="preserve"> </w:t>
      </w:r>
      <w:r>
        <w:rPr>
          <w:rFonts w:ascii="Times New Roman" w:hAnsi="Times New Roman"/>
          <w:szCs w:val="24"/>
        </w:rPr>
        <w:t>изабрано</w:t>
      </w:r>
      <w:r w:rsidR="0042679D" w:rsidRPr="0080360D">
        <w:rPr>
          <w:rFonts w:ascii="Times New Roman" w:hAnsi="Times New Roman"/>
          <w:szCs w:val="24"/>
        </w:rPr>
        <w:t xml:space="preserve"> </w:t>
      </w:r>
      <w:r>
        <w:rPr>
          <w:rFonts w:ascii="Times New Roman" w:hAnsi="Times New Roman"/>
          <w:szCs w:val="24"/>
        </w:rPr>
        <w:t>је</w:t>
      </w:r>
      <w:r w:rsidR="00356865">
        <w:rPr>
          <w:rFonts w:ascii="Times New Roman" w:hAnsi="Times New Roman"/>
          <w:szCs w:val="24"/>
        </w:rPr>
        <w:t xml:space="preserve"> </w:t>
      </w:r>
      <w:r w:rsidR="0042679D" w:rsidRPr="0080360D">
        <w:rPr>
          <w:rFonts w:ascii="Times New Roman" w:hAnsi="Times New Roman"/>
          <w:szCs w:val="24"/>
        </w:rPr>
        <w:t xml:space="preserve">3.177 </w:t>
      </w:r>
      <w:r>
        <w:rPr>
          <w:rFonts w:ascii="Times New Roman" w:hAnsi="Times New Roman"/>
          <w:szCs w:val="24"/>
        </w:rPr>
        <w:t>кандидата</w:t>
      </w:r>
      <w:r w:rsidR="0042679D" w:rsidRPr="0080360D">
        <w:rPr>
          <w:rFonts w:ascii="Times New Roman" w:hAnsi="Times New Roman"/>
          <w:szCs w:val="24"/>
        </w:rPr>
        <w:t>/</w:t>
      </w:r>
      <w:r>
        <w:rPr>
          <w:rFonts w:ascii="Times New Roman" w:hAnsi="Times New Roman"/>
          <w:szCs w:val="24"/>
        </w:rPr>
        <w:t>кандидаткиња</w:t>
      </w:r>
      <w:r w:rsidR="0042679D" w:rsidRPr="0080360D">
        <w:rPr>
          <w:rFonts w:ascii="Times New Roman" w:hAnsi="Times New Roman"/>
          <w:szCs w:val="24"/>
        </w:rPr>
        <w:t xml:space="preserve">, </w:t>
      </w:r>
      <w:r>
        <w:rPr>
          <w:rFonts w:ascii="Times New Roman" w:hAnsi="Times New Roman"/>
          <w:szCs w:val="24"/>
        </w:rPr>
        <w:t>од</w:t>
      </w:r>
      <w:r w:rsidR="0042679D" w:rsidRPr="0080360D">
        <w:rPr>
          <w:rFonts w:ascii="Times New Roman" w:hAnsi="Times New Roman"/>
          <w:szCs w:val="24"/>
        </w:rPr>
        <w:t xml:space="preserve"> </w:t>
      </w:r>
      <w:r>
        <w:rPr>
          <w:rFonts w:ascii="Times New Roman" w:hAnsi="Times New Roman"/>
          <w:szCs w:val="24"/>
        </w:rPr>
        <w:t>чега</w:t>
      </w:r>
      <w:r w:rsidR="0042679D">
        <w:rPr>
          <w:rFonts w:ascii="Times New Roman" w:hAnsi="Times New Roman"/>
          <w:szCs w:val="24"/>
        </w:rPr>
        <w:t xml:space="preserve"> </w:t>
      </w:r>
      <w:r>
        <w:rPr>
          <w:rFonts w:ascii="Times New Roman" w:hAnsi="Times New Roman"/>
          <w:szCs w:val="24"/>
        </w:rPr>
        <w:t>су</w:t>
      </w:r>
      <w:r w:rsidR="0042679D" w:rsidRPr="0080360D">
        <w:rPr>
          <w:rFonts w:ascii="Times New Roman" w:hAnsi="Times New Roman"/>
          <w:szCs w:val="24"/>
        </w:rPr>
        <w:t xml:space="preserve"> 723 </w:t>
      </w:r>
      <w:r>
        <w:rPr>
          <w:rFonts w:ascii="Times New Roman" w:hAnsi="Times New Roman"/>
          <w:szCs w:val="24"/>
        </w:rPr>
        <w:t>жене</w:t>
      </w:r>
      <w:r w:rsidR="0042679D">
        <w:rPr>
          <w:rFonts w:ascii="Times New Roman" w:hAnsi="Times New Roman"/>
          <w:szCs w:val="24"/>
        </w:rPr>
        <w:t xml:space="preserve">, </w:t>
      </w:r>
      <w:r>
        <w:rPr>
          <w:rFonts w:ascii="Times New Roman" w:hAnsi="Times New Roman"/>
          <w:szCs w:val="24"/>
        </w:rPr>
        <w:t>што</w:t>
      </w:r>
      <w:r w:rsidR="0042679D">
        <w:rPr>
          <w:rFonts w:ascii="Times New Roman" w:hAnsi="Times New Roman"/>
          <w:szCs w:val="24"/>
        </w:rPr>
        <w:t xml:space="preserve"> </w:t>
      </w:r>
      <w:r>
        <w:rPr>
          <w:rFonts w:ascii="Times New Roman" w:hAnsi="Times New Roman"/>
          <w:szCs w:val="24"/>
        </w:rPr>
        <w:t>износи</w:t>
      </w:r>
      <w:r w:rsidR="0042679D" w:rsidRPr="0080360D">
        <w:rPr>
          <w:rFonts w:ascii="Times New Roman" w:hAnsi="Times New Roman"/>
          <w:szCs w:val="24"/>
        </w:rPr>
        <w:t xml:space="preserve"> 23%.</w:t>
      </w:r>
    </w:p>
    <w:p w:rsidR="0042679D" w:rsidRDefault="0042679D" w:rsidP="0086268D">
      <w:pPr>
        <w:pStyle w:val="ListParagraph"/>
        <w:ind w:left="720"/>
        <w:jc w:val="both"/>
        <w:rPr>
          <w:rFonts w:ascii="Times New Roman" w:hAnsi="Times New Roman"/>
          <w:szCs w:val="24"/>
        </w:rPr>
      </w:pPr>
      <w:r>
        <w:rPr>
          <w:rFonts w:ascii="Times New Roman" w:hAnsi="Times New Roman"/>
          <w:szCs w:val="24"/>
        </w:rPr>
        <w:t xml:space="preserve"> </w:t>
      </w:r>
    </w:p>
    <w:p w:rsidR="0042679D" w:rsidRPr="00EA3A8F" w:rsidRDefault="00C6214E" w:rsidP="0086268D">
      <w:pPr>
        <w:pStyle w:val="ListParagraph"/>
        <w:numPr>
          <w:ilvl w:val="0"/>
          <w:numId w:val="17"/>
        </w:numPr>
        <w:jc w:val="both"/>
        <w:rPr>
          <w:rFonts w:ascii="Times New Roman" w:hAnsi="Times New Roman"/>
          <w:szCs w:val="24"/>
        </w:rPr>
      </w:pPr>
      <w:r>
        <w:rPr>
          <w:rFonts w:ascii="Times New Roman" w:hAnsi="Times New Roman"/>
          <w:szCs w:val="24"/>
        </w:rPr>
        <w:t>У</w:t>
      </w:r>
      <w:r w:rsidR="00356865">
        <w:rPr>
          <w:rFonts w:ascii="Times New Roman" w:hAnsi="Times New Roman"/>
          <w:szCs w:val="24"/>
        </w:rPr>
        <w:t xml:space="preserve"> </w:t>
      </w:r>
      <w:r>
        <w:rPr>
          <w:rFonts w:ascii="Times New Roman" w:hAnsi="Times New Roman"/>
          <w:szCs w:val="24"/>
        </w:rPr>
        <w:t>поређењу</w:t>
      </w:r>
      <w:r w:rsidR="00356865">
        <w:rPr>
          <w:rFonts w:ascii="Times New Roman" w:hAnsi="Times New Roman"/>
          <w:szCs w:val="24"/>
        </w:rPr>
        <w:t xml:space="preserve"> </w:t>
      </w:r>
      <w:r>
        <w:rPr>
          <w:rFonts w:ascii="Times New Roman" w:hAnsi="Times New Roman"/>
          <w:szCs w:val="24"/>
        </w:rPr>
        <w:t>са</w:t>
      </w:r>
      <w:r w:rsidR="0042679D">
        <w:rPr>
          <w:rFonts w:ascii="Times New Roman" w:hAnsi="Times New Roman"/>
          <w:szCs w:val="24"/>
        </w:rPr>
        <w:t xml:space="preserve"> </w:t>
      </w:r>
      <w:r>
        <w:rPr>
          <w:rFonts w:ascii="Times New Roman" w:hAnsi="Times New Roman"/>
          <w:szCs w:val="24"/>
        </w:rPr>
        <w:t>локалним</w:t>
      </w:r>
      <w:r w:rsidR="0042679D">
        <w:rPr>
          <w:rFonts w:ascii="Times New Roman" w:hAnsi="Times New Roman"/>
          <w:szCs w:val="24"/>
        </w:rPr>
        <w:t xml:space="preserve"> </w:t>
      </w:r>
      <w:r>
        <w:rPr>
          <w:rFonts w:ascii="Times New Roman" w:hAnsi="Times New Roman"/>
          <w:szCs w:val="24"/>
        </w:rPr>
        <w:t>изборима</w:t>
      </w:r>
      <w:r w:rsidR="0042679D">
        <w:rPr>
          <w:rFonts w:ascii="Times New Roman" w:hAnsi="Times New Roman"/>
          <w:szCs w:val="24"/>
        </w:rPr>
        <w:t xml:space="preserve"> 2020</w:t>
      </w:r>
      <w:r w:rsidR="00356865">
        <w:rPr>
          <w:rFonts w:ascii="Times New Roman" w:hAnsi="Times New Roman"/>
          <w:szCs w:val="24"/>
        </w:rPr>
        <w:t xml:space="preserve">. </w:t>
      </w:r>
      <w:r>
        <w:rPr>
          <w:rFonts w:ascii="Times New Roman" w:hAnsi="Times New Roman"/>
          <w:szCs w:val="24"/>
        </w:rPr>
        <w:t>године</w:t>
      </w:r>
      <w:r w:rsidR="0042679D">
        <w:rPr>
          <w:rFonts w:ascii="Times New Roman" w:hAnsi="Times New Roman"/>
          <w:szCs w:val="24"/>
        </w:rPr>
        <w:t xml:space="preserve"> </w:t>
      </w:r>
      <w:r>
        <w:rPr>
          <w:rFonts w:ascii="Times New Roman" w:hAnsi="Times New Roman"/>
          <w:szCs w:val="24"/>
        </w:rPr>
        <w:t>забиљежен</w:t>
      </w:r>
      <w:r w:rsidR="0042679D">
        <w:rPr>
          <w:rFonts w:ascii="Times New Roman" w:hAnsi="Times New Roman"/>
          <w:szCs w:val="24"/>
        </w:rPr>
        <w:t xml:space="preserve"> </w:t>
      </w:r>
      <w:r>
        <w:rPr>
          <w:rFonts w:ascii="Times New Roman" w:hAnsi="Times New Roman"/>
          <w:szCs w:val="24"/>
        </w:rPr>
        <w:t>је</w:t>
      </w:r>
      <w:r w:rsidR="0042679D">
        <w:rPr>
          <w:rFonts w:ascii="Times New Roman" w:hAnsi="Times New Roman"/>
          <w:szCs w:val="24"/>
        </w:rPr>
        <w:t xml:space="preserve"> </w:t>
      </w:r>
      <w:r>
        <w:rPr>
          <w:rFonts w:ascii="Times New Roman" w:hAnsi="Times New Roman"/>
          <w:szCs w:val="24"/>
        </w:rPr>
        <w:t>пораст</w:t>
      </w:r>
      <w:r w:rsidR="0042679D">
        <w:rPr>
          <w:rFonts w:ascii="Times New Roman" w:hAnsi="Times New Roman"/>
          <w:szCs w:val="24"/>
        </w:rPr>
        <w:t xml:space="preserve"> </w:t>
      </w:r>
      <w:r>
        <w:rPr>
          <w:rFonts w:ascii="Times New Roman" w:hAnsi="Times New Roman"/>
          <w:szCs w:val="24"/>
        </w:rPr>
        <w:t>у</w:t>
      </w:r>
      <w:r w:rsidR="0042679D">
        <w:rPr>
          <w:rFonts w:ascii="Times New Roman" w:hAnsi="Times New Roman"/>
          <w:szCs w:val="24"/>
        </w:rPr>
        <w:t xml:space="preserve"> </w:t>
      </w:r>
      <w:r>
        <w:rPr>
          <w:rFonts w:ascii="Times New Roman" w:hAnsi="Times New Roman"/>
          <w:szCs w:val="24"/>
        </w:rPr>
        <w:t>полној</w:t>
      </w:r>
      <w:r w:rsidR="0042679D">
        <w:rPr>
          <w:rFonts w:ascii="Times New Roman" w:hAnsi="Times New Roman"/>
          <w:szCs w:val="24"/>
        </w:rPr>
        <w:t xml:space="preserve"> </w:t>
      </w:r>
      <w:r>
        <w:rPr>
          <w:rFonts w:ascii="Times New Roman" w:hAnsi="Times New Roman"/>
          <w:szCs w:val="24"/>
        </w:rPr>
        <w:t>структури</w:t>
      </w:r>
      <w:r w:rsidR="0042679D">
        <w:rPr>
          <w:rFonts w:ascii="Times New Roman" w:hAnsi="Times New Roman"/>
          <w:szCs w:val="24"/>
        </w:rPr>
        <w:t xml:space="preserve"> </w:t>
      </w:r>
      <w:r>
        <w:rPr>
          <w:rFonts w:ascii="Times New Roman" w:hAnsi="Times New Roman"/>
          <w:szCs w:val="24"/>
        </w:rPr>
        <w:t>изабраних</w:t>
      </w:r>
      <w:r w:rsidR="0042679D">
        <w:rPr>
          <w:rFonts w:ascii="Times New Roman" w:hAnsi="Times New Roman"/>
          <w:szCs w:val="24"/>
        </w:rPr>
        <w:t xml:space="preserve"> </w:t>
      </w:r>
      <w:r>
        <w:rPr>
          <w:rFonts w:ascii="Times New Roman" w:hAnsi="Times New Roman"/>
          <w:szCs w:val="24"/>
        </w:rPr>
        <w:t>кандидата</w:t>
      </w:r>
      <w:r w:rsidR="0042679D">
        <w:rPr>
          <w:rFonts w:ascii="Times New Roman" w:hAnsi="Times New Roman"/>
          <w:szCs w:val="24"/>
        </w:rPr>
        <w:t xml:space="preserve"> </w:t>
      </w:r>
      <w:r>
        <w:rPr>
          <w:rFonts w:ascii="Times New Roman" w:hAnsi="Times New Roman"/>
          <w:szCs w:val="24"/>
        </w:rPr>
        <w:t>од</w:t>
      </w:r>
      <w:r w:rsidR="0042679D">
        <w:rPr>
          <w:rFonts w:ascii="Times New Roman" w:hAnsi="Times New Roman"/>
          <w:szCs w:val="24"/>
        </w:rPr>
        <w:t xml:space="preserve"> </w:t>
      </w:r>
      <w:r>
        <w:rPr>
          <w:rFonts w:ascii="Times New Roman" w:hAnsi="Times New Roman"/>
          <w:szCs w:val="24"/>
        </w:rPr>
        <w:t>пет</w:t>
      </w:r>
      <w:r w:rsidR="0042679D">
        <w:rPr>
          <w:rFonts w:ascii="Times New Roman" w:hAnsi="Times New Roman"/>
          <w:szCs w:val="24"/>
        </w:rPr>
        <w:t xml:space="preserve"> </w:t>
      </w:r>
      <w:r>
        <w:rPr>
          <w:rFonts w:ascii="Times New Roman" w:hAnsi="Times New Roman"/>
          <w:szCs w:val="24"/>
        </w:rPr>
        <w:t>процентних</w:t>
      </w:r>
      <w:r w:rsidR="0042679D">
        <w:rPr>
          <w:rFonts w:ascii="Times New Roman" w:hAnsi="Times New Roman"/>
          <w:szCs w:val="24"/>
        </w:rPr>
        <w:t xml:space="preserve"> </w:t>
      </w:r>
      <w:r>
        <w:rPr>
          <w:rFonts w:ascii="Times New Roman" w:hAnsi="Times New Roman"/>
          <w:szCs w:val="24"/>
        </w:rPr>
        <w:t>поена</w:t>
      </w:r>
      <w:r w:rsidR="0042679D">
        <w:rPr>
          <w:rFonts w:ascii="Times New Roman" w:hAnsi="Times New Roman"/>
          <w:szCs w:val="24"/>
        </w:rPr>
        <w:t xml:space="preserve"> (2020: 18,87 %, 2024: 23% </w:t>
      </w:r>
      <w:r>
        <w:rPr>
          <w:rFonts w:ascii="Times New Roman" w:hAnsi="Times New Roman"/>
          <w:szCs w:val="24"/>
        </w:rPr>
        <w:t>изабраних</w:t>
      </w:r>
      <w:r w:rsidR="0042679D">
        <w:rPr>
          <w:rFonts w:ascii="Times New Roman" w:hAnsi="Times New Roman"/>
          <w:szCs w:val="24"/>
        </w:rPr>
        <w:t xml:space="preserve"> </w:t>
      </w:r>
      <w:r>
        <w:rPr>
          <w:rFonts w:ascii="Times New Roman" w:hAnsi="Times New Roman"/>
          <w:szCs w:val="24"/>
        </w:rPr>
        <w:t>жена</w:t>
      </w:r>
      <w:r w:rsidR="0042679D">
        <w:rPr>
          <w:rFonts w:ascii="Times New Roman" w:hAnsi="Times New Roman"/>
          <w:szCs w:val="24"/>
        </w:rPr>
        <w:t xml:space="preserve">). </w:t>
      </w:r>
      <w:r w:rsidR="000124D3">
        <w:rPr>
          <w:rFonts w:ascii="Times New Roman" w:hAnsi="Times New Roman"/>
          <w:szCs w:val="24"/>
        </w:rPr>
        <w:t>Такође</w:t>
      </w:r>
      <w:r w:rsidR="0042679D">
        <w:rPr>
          <w:rFonts w:ascii="Times New Roman" w:hAnsi="Times New Roman"/>
          <w:szCs w:val="24"/>
        </w:rPr>
        <w:t xml:space="preserve">, </w:t>
      </w:r>
      <w:r>
        <w:rPr>
          <w:rFonts w:ascii="Times New Roman" w:hAnsi="Times New Roman"/>
          <w:szCs w:val="24"/>
        </w:rPr>
        <w:t>биљежимо</w:t>
      </w:r>
      <w:r w:rsidR="0042679D">
        <w:rPr>
          <w:rFonts w:ascii="Times New Roman" w:hAnsi="Times New Roman"/>
          <w:szCs w:val="24"/>
        </w:rPr>
        <w:t xml:space="preserve"> </w:t>
      </w:r>
      <w:r>
        <w:rPr>
          <w:rFonts w:ascii="Times New Roman" w:hAnsi="Times New Roman"/>
          <w:szCs w:val="24"/>
        </w:rPr>
        <w:t>пораст</w:t>
      </w:r>
      <w:r w:rsidR="0042679D">
        <w:rPr>
          <w:rFonts w:ascii="Times New Roman" w:hAnsi="Times New Roman"/>
          <w:szCs w:val="24"/>
        </w:rPr>
        <w:t xml:space="preserve"> </w:t>
      </w:r>
      <w:r>
        <w:rPr>
          <w:rFonts w:ascii="Times New Roman" w:hAnsi="Times New Roman"/>
          <w:szCs w:val="24"/>
        </w:rPr>
        <w:t>броја</w:t>
      </w:r>
      <w:r w:rsidR="0042679D">
        <w:rPr>
          <w:rFonts w:ascii="Times New Roman" w:hAnsi="Times New Roman"/>
          <w:szCs w:val="24"/>
        </w:rPr>
        <w:t xml:space="preserve"> </w:t>
      </w:r>
      <w:r>
        <w:rPr>
          <w:rFonts w:ascii="Times New Roman" w:hAnsi="Times New Roman"/>
          <w:szCs w:val="24"/>
        </w:rPr>
        <w:t>изабраних</w:t>
      </w:r>
      <w:r w:rsidR="0042679D">
        <w:rPr>
          <w:rFonts w:ascii="Times New Roman" w:hAnsi="Times New Roman"/>
          <w:szCs w:val="24"/>
        </w:rPr>
        <w:t xml:space="preserve"> </w:t>
      </w:r>
      <w:r>
        <w:rPr>
          <w:rFonts w:ascii="Times New Roman" w:hAnsi="Times New Roman"/>
          <w:szCs w:val="24"/>
        </w:rPr>
        <w:t>начелница</w:t>
      </w:r>
      <w:r w:rsidR="0042679D">
        <w:rPr>
          <w:rFonts w:ascii="Times New Roman" w:hAnsi="Times New Roman"/>
          <w:szCs w:val="24"/>
        </w:rPr>
        <w:t xml:space="preserve"> </w:t>
      </w:r>
      <w:r>
        <w:rPr>
          <w:rFonts w:ascii="Times New Roman" w:hAnsi="Times New Roman"/>
          <w:szCs w:val="24"/>
        </w:rPr>
        <w:t>од</w:t>
      </w:r>
      <w:r w:rsidR="0042679D">
        <w:rPr>
          <w:rFonts w:ascii="Times New Roman" w:hAnsi="Times New Roman"/>
          <w:szCs w:val="24"/>
        </w:rPr>
        <w:t xml:space="preserve"> </w:t>
      </w:r>
      <w:r>
        <w:rPr>
          <w:rFonts w:ascii="Times New Roman" w:hAnsi="Times New Roman"/>
          <w:szCs w:val="24"/>
        </w:rPr>
        <w:t>два</w:t>
      </w:r>
      <w:r w:rsidR="0042679D">
        <w:rPr>
          <w:rFonts w:ascii="Times New Roman" w:hAnsi="Times New Roman"/>
          <w:szCs w:val="24"/>
        </w:rPr>
        <w:t xml:space="preserve"> </w:t>
      </w:r>
      <w:r>
        <w:rPr>
          <w:rFonts w:ascii="Times New Roman" w:hAnsi="Times New Roman"/>
          <w:szCs w:val="24"/>
        </w:rPr>
        <w:t>процентна</w:t>
      </w:r>
      <w:r w:rsidR="0042679D">
        <w:rPr>
          <w:rFonts w:ascii="Times New Roman" w:hAnsi="Times New Roman"/>
          <w:szCs w:val="24"/>
        </w:rPr>
        <w:t xml:space="preserve"> </w:t>
      </w:r>
      <w:r>
        <w:rPr>
          <w:rFonts w:ascii="Times New Roman" w:hAnsi="Times New Roman"/>
          <w:szCs w:val="24"/>
        </w:rPr>
        <w:t>поена</w:t>
      </w:r>
      <w:r w:rsidR="0042679D">
        <w:rPr>
          <w:rFonts w:ascii="Times New Roman" w:hAnsi="Times New Roman"/>
          <w:szCs w:val="24"/>
        </w:rPr>
        <w:t xml:space="preserve"> (2020: 3,52%, 2024: 5,6%).</w:t>
      </w:r>
    </w:p>
    <w:p w:rsidR="0042679D" w:rsidRDefault="0042679D" w:rsidP="0086268D">
      <w:pPr>
        <w:pStyle w:val="ListParagraph"/>
        <w:ind w:left="720"/>
        <w:jc w:val="both"/>
        <w:rPr>
          <w:rFonts w:ascii="Times New Roman" w:hAnsi="Times New Roman"/>
          <w:szCs w:val="24"/>
        </w:rPr>
      </w:pPr>
    </w:p>
    <w:p w:rsidR="0042679D" w:rsidRPr="00295637" w:rsidRDefault="00C6214E" w:rsidP="0086268D">
      <w:pPr>
        <w:pStyle w:val="ListParagraph"/>
        <w:numPr>
          <w:ilvl w:val="0"/>
          <w:numId w:val="17"/>
        </w:numPr>
        <w:jc w:val="both"/>
        <w:rPr>
          <w:rFonts w:ascii="Times New Roman" w:hAnsi="Times New Roman"/>
          <w:szCs w:val="24"/>
        </w:rPr>
      </w:pPr>
      <w:r>
        <w:rPr>
          <w:rFonts w:ascii="Times New Roman" w:hAnsi="Times New Roman"/>
          <w:szCs w:val="24"/>
        </w:rPr>
        <w:t>АР</w:t>
      </w:r>
      <w:r w:rsidR="000124D3">
        <w:rPr>
          <w:rFonts w:ascii="Times New Roman" w:hAnsi="Times New Roman"/>
          <w:szCs w:val="24"/>
          <w:lang w:val="sr-Cyrl-BA"/>
        </w:rPr>
        <w:t>П</w:t>
      </w:r>
      <w:r w:rsidR="00493A99">
        <w:rPr>
          <w:rFonts w:ascii="Times New Roman" w:hAnsi="Times New Roman"/>
          <w:szCs w:val="24"/>
        </w:rPr>
        <w:t xml:space="preserve"> </w:t>
      </w:r>
      <w:r>
        <w:rPr>
          <w:rFonts w:ascii="Times New Roman" w:hAnsi="Times New Roman"/>
          <w:szCs w:val="24"/>
        </w:rPr>
        <w:t>БиХ</w:t>
      </w:r>
      <w:r w:rsidR="00356865">
        <w:rPr>
          <w:rFonts w:ascii="Times New Roman" w:hAnsi="Times New Roman"/>
          <w:szCs w:val="24"/>
        </w:rPr>
        <w:t xml:space="preserve"> </w:t>
      </w:r>
      <w:r>
        <w:rPr>
          <w:rFonts w:ascii="Times New Roman" w:hAnsi="Times New Roman"/>
          <w:szCs w:val="24"/>
        </w:rPr>
        <w:t>МЉПИ</w:t>
      </w:r>
      <w:r w:rsidR="00493A99">
        <w:rPr>
          <w:rFonts w:ascii="Times New Roman" w:hAnsi="Times New Roman"/>
          <w:szCs w:val="24"/>
        </w:rPr>
        <w:t xml:space="preserve"> </w:t>
      </w:r>
      <w:r>
        <w:rPr>
          <w:rFonts w:ascii="Times New Roman" w:hAnsi="Times New Roman"/>
          <w:szCs w:val="24"/>
        </w:rPr>
        <w:t>БиХ</w:t>
      </w:r>
      <w:r w:rsidR="00356865">
        <w:rPr>
          <w:rFonts w:ascii="Times New Roman" w:hAnsi="Times New Roman"/>
          <w:szCs w:val="24"/>
        </w:rPr>
        <w:t xml:space="preserve">, </w:t>
      </w:r>
      <w:r>
        <w:rPr>
          <w:rFonts w:ascii="Times New Roman" w:hAnsi="Times New Roman"/>
          <w:szCs w:val="24"/>
        </w:rPr>
        <w:t>ГЦ</w:t>
      </w:r>
      <w:r w:rsidR="00356865">
        <w:rPr>
          <w:rFonts w:ascii="Times New Roman" w:hAnsi="Times New Roman"/>
          <w:szCs w:val="24"/>
        </w:rPr>
        <w:t xml:space="preserve"> </w:t>
      </w:r>
      <w:r>
        <w:rPr>
          <w:rFonts w:ascii="Times New Roman" w:hAnsi="Times New Roman"/>
          <w:szCs w:val="24"/>
        </w:rPr>
        <w:t>ФБиХ</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ЦЈРП</w:t>
      </w:r>
      <w:r w:rsidR="0042679D" w:rsidRPr="00295637">
        <w:rPr>
          <w:rFonts w:ascii="Times New Roman" w:hAnsi="Times New Roman"/>
          <w:szCs w:val="24"/>
        </w:rPr>
        <w:t xml:space="preserve"> </w:t>
      </w:r>
      <w:r>
        <w:rPr>
          <w:rFonts w:ascii="Times New Roman" w:hAnsi="Times New Roman"/>
          <w:szCs w:val="24"/>
        </w:rPr>
        <w:t>РС</w:t>
      </w:r>
      <w:r w:rsidR="0042679D" w:rsidRPr="00295637">
        <w:rPr>
          <w:rFonts w:ascii="Times New Roman" w:hAnsi="Times New Roman"/>
          <w:color w:val="FF0000"/>
          <w:szCs w:val="24"/>
        </w:rPr>
        <w:t xml:space="preserve"> </w:t>
      </w:r>
      <w:r>
        <w:rPr>
          <w:rFonts w:ascii="Times New Roman" w:hAnsi="Times New Roman"/>
          <w:szCs w:val="24"/>
        </w:rPr>
        <w:t>су</w:t>
      </w:r>
      <w:r w:rsidR="0042679D" w:rsidRPr="00295637">
        <w:rPr>
          <w:rFonts w:ascii="Times New Roman" w:hAnsi="Times New Roman"/>
          <w:szCs w:val="24"/>
        </w:rPr>
        <w:t xml:space="preserve"> </w:t>
      </w:r>
      <w:r>
        <w:rPr>
          <w:rFonts w:ascii="Times New Roman" w:hAnsi="Times New Roman"/>
          <w:szCs w:val="24"/>
        </w:rPr>
        <w:t>кроз</w:t>
      </w:r>
      <w:r w:rsidR="0042679D" w:rsidRPr="00295637">
        <w:rPr>
          <w:rFonts w:ascii="Times New Roman" w:hAnsi="Times New Roman"/>
          <w:szCs w:val="24"/>
        </w:rPr>
        <w:t xml:space="preserve"> </w:t>
      </w:r>
      <w:r>
        <w:rPr>
          <w:rFonts w:ascii="Times New Roman" w:hAnsi="Times New Roman"/>
          <w:szCs w:val="24"/>
        </w:rPr>
        <w:t>давање</w:t>
      </w:r>
      <w:r w:rsidR="0042679D" w:rsidRPr="00295637">
        <w:rPr>
          <w:rFonts w:ascii="Times New Roman" w:hAnsi="Times New Roman"/>
          <w:szCs w:val="24"/>
        </w:rPr>
        <w:t xml:space="preserve"> </w:t>
      </w:r>
      <w:r>
        <w:rPr>
          <w:rFonts w:ascii="Times New Roman" w:hAnsi="Times New Roman"/>
          <w:szCs w:val="24"/>
        </w:rPr>
        <w:t>мишљења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коментара</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законе</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друге</w:t>
      </w:r>
      <w:r w:rsidR="0042679D" w:rsidRPr="00295637">
        <w:rPr>
          <w:rFonts w:ascii="Times New Roman" w:hAnsi="Times New Roman"/>
          <w:szCs w:val="24"/>
        </w:rPr>
        <w:t xml:space="preserve"> </w:t>
      </w:r>
      <w:r>
        <w:rPr>
          <w:rFonts w:ascii="Times New Roman" w:hAnsi="Times New Roman"/>
          <w:szCs w:val="24"/>
        </w:rPr>
        <w:t>прописе</w:t>
      </w:r>
      <w:r w:rsidR="0042679D" w:rsidRPr="00295637">
        <w:rPr>
          <w:rFonts w:ascii="Times New Roman" w:hAnsi="Times New Roman"/>
          <w:szCs w:val="24"/>
        </w:rPr>
        <w:t xml:space="preserve"> </w:t>
      </w:r>
      <w:r>
        <w:rPr>
          <w:rFonts w:ascii="Times New Roman" w:hAnsi="Times New Roman"/>
          <w:szCs w:val="24"/>
        </w:rPr>
        <w:t>предлагали</w:t>
      </w:r>
      <w:r w:rsidR="0042679D" w:rsidRPr="00295637">
        <w:rPr>
          <w:rFonts w:ascii="Times New Roman" w:hAnsi="Times New Roman"/>
          <w:szCs w:val="24"/>
        </w:rPr>
        <w:t xml:space="preserve"> </w:t>
      </w:r>
      <w:r>
        <w:rPr>
          <w:rFonts w:ascii="Times New Roman" w:hAnsi="Times New Roman"/>
          <w:szCs w:val="24"/>
        </w:rPr>
        <w:t>интегри</w:t>
      </w:r>
      <w:r w:rsidR="000124D3">
        <w:rPr>
          <w:rFonts w:ascii="Times New Roman" w:hAnsi="Times New Roman"/>
          <w:szCs w:val="24"/>
          <w:lang w:val="sr-Cyrl-BA"/>
        </w:rPr>
        <w:t>с</w:t>
      </w:r>
      <w:r>
        <w:rPr>
          <w:rFonts w:ascii="Times New Roman" w:hAnsi="Times New Roman"/>
          <w:szCs w:val="24"/>
        </w:rPr>
        <w:t>ање</w:t>
      </w:r>
      <w:r w:rsidR="0042679D" w:rsidRPr="00295637">
        <w:rPr>
          <w:rFonts w:ascii="Times New Roman" w:hAnsi="Times New Roman"/>
          <w:szCs w:val="24"/>
        </w:rPr>
        <w:t xml:space="preserve"> </w:t>
      </w:r>
      <w:r>
        <w:rPr>
          <w:rFonts w:ascii="Times New Roman" w:hAnsi="Times New Roman"/>
          <w:szCs w:val="24"/>
        </w:rPr>
        <w:t>норми</w:t>
      </w:r>
      <w:r w:rsidR="0042679D" w:rsidRPr="00295637">
        <w:rPr>
          <w:rFonts w:ascii="Times New Roman" w:hAnsi="Times New Roman"/>
          <w:szCs w:val="24"/>
        </w:rPr>
        <w:t xml:space="preserve"> </w:t>
      </w:r>
      <w:r>
        <w:rPr>
          <w:rFonts w:ascii="Times New Roman" w:hAnsi="Times New Roman"/>
          <w:szCs w:val="24"/>
        </w:rPr>
        <w:t>из</w:t>
      </w:r>
      <w:r w:rsidR="0042679D" w:rsidRPr="00295637">
        <w:rPr>
          <w:rFonts w:ascii="Times New Roman" w:hAnsi="Times New Roman"/>
          <w:szCs w:val="24"/>
        </w:rPr>
        <w:t xml:space="preserve"> </w:t>
      </w:r>
      <w:r>
        <w:rPr>
          <w:rFonts w:ascii="Times New Roman" w:hAnsi="Times New Roman"/>
          <w:szCs w:val="24"/>
        </w:rPr>
        <w:t>ЗоР</w:t>
      </w:r>
      <w:r w:rsidR="000124D3">
        <w:rPr>
          <w:rFonts w:ascii="Times New Roman" w:hAnsi="Times New Roman"/>
          <w:szCs w:val="24"/>
          <w:lang w:val="sr-Cyrl-BA"/>
        </w:rPr>
        <w:t>П</w:t>
      </w:r>
      <w:r w:rsidR="0042679D" w:rsidRPr="00295637">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Pr>
          <w:rFonts w:ascii="Times New Roman" w:hAnsi="Times New Roman"/>
          <w:szCs w:val="24"/>
        </w:rPr>
        <w:t>у</w:t>
      </w:r>
      <w:r w:rsidR="00493A99">
        <w:rPr>
          <w:rFonts w:ascii="Times New Roman" w:hAnsi="Times New Roman"/>
          <w:szCs w:val="24"/>
        </w:rPr>
        <w:t xml:space="preserve"> </w:t>
      </w:r>
      <w:r>
        <w:rPr>
          <w:rFonts w:ascii="Times New Roman" w:hAnsi="Times New Roman"/>
          <w:szCs w:val="24"/>
        </w:rPr>
        <w:t>складу</w:t>
      </w:r>
      <w:r w:rsidR="00493A99">
        <w:rPr>
          <w:rFonts w:ascii="Times New Roman" w:hAnsi="Times New Roman"/>
          <w:szCs w:val="24"/>
        </w:rPr>
        <w:t xml:space="preserve"> </w:t>
      </w:r>
      <w:r>
        <w:rPr>
          <w:rFonts w:ascii="Times New Roman" w:hAnsi="Times New Roman"/>
          <w:szCs w:val="24"/>
        </w:rPr>
        <w:t>са</w:t>
      </w:r>
      <w:r w:rsidR="0042679D" w:rsidRPr="00295637">
        <w:rPr>
          <w:rFonts w:ascii="Times New Roman" w:hAnsi="Times New Roman"/>
          <w:szCs w:val="24"/>
        </w:rPr>
        <w:t xml:space="preserve"> </w:t>
      </w:r>
      <w:r>
        <w:rPr>
          <w:rFonts w:ascii="Times New Roman" w:hAnsi="Times New Roman"/>
          <w:szCs w:val="24"/>
        </w:rPr>
        <w:t>чланом</w:t>
      </w:r>
      <w:r w:rsidR="0042679D" w:rsidRPr="00295637">
        <w:rPr>
          <w:rFonts w:ascii="Times New Roman" w:hAnsi="Times New Roman"/>
          <w:szCs w:val="24"/>
        </w:rPr>
        <w:t xml:space="preserve"> 20</w:t>
      </w:r>
      <w:r w:rsidR="00356865">
        <w:rPr>
          <w:rFonts w:ascii="Times New Roman" w:hAnsi="Times New Roman"/>
          <w:szCs w:val="24"/>
        </w:rPr>
        <w:t>.</w:t>
      </w:r>
      <w:r w:rsidR="0042679D" w:rsidRPr="00295637">
        <w:rPr>
          <w:rFonts w:ascii="Times New Roman" w:hAnsi="Times New Roman"/>
          <w:szCs w:val="24"/>
        </w:rPr>
        <w:t xml:space="preserve">, </w:t>
      </w:r>
      <w:r>
        <w:rPr>
          <w:rFonts w:ascii="Times New Roman" w:hAnsi="Times New Roman"/>
          <w:szCs w:val="24"/>
        </w:rPr>
        <w:t>а</w:t>
      </w:r>
      <w:r w:rsidR="0042679D" w:rsidRPr="00295637">
        <w:rPr>
          <w:rFonts w:ascii="Times New Roman" w:hAnsi="Times New Roman"/>
          <w:szCs w:val="24"/>
        </w:rPr>
        <w:t xml:space="preserve"> </w:t>
      </w:r>
      <w:r>
        <w:rPr>
          <w:rFonts w:ascii="Times New Roman" w:hAnsi="Times New Roman"/>
          <w:szCs w:val="24"/>
        </w:rPr>
        <w:t>који</w:t>
      </w:r>
      <w:r w:rsidR="0042679D" w:rsidRPr="00295637">
        <w:rPr>
          <w:rFonts w:ascii="Times New Roman" w:hAnsi="Times New Roman"/>
          <w:szCs w:val="24"/>
        </w:rPr>
        <w:t xml:space="preserve"> </w:t>
      </w:r>
      <w:r>
        <w:rPr>
          <w:rFonts w:ascii="Times New Roman" w:hAnsi="Times New Roman"/>
          <w:szCs w:val="24"/>
        </w:rPr>
        <w:t>се</w:t>
      </w:r>
      <w:r w:rsidR="0042679D" w:rsidRPr="00295637">
        <w:rPr>
          <w:rFonts w:ascii="Times New Roman" w:hAnsi="Times New Roman"/>
          <w:szCs w:val="24"/>
        </w:rPr>
        <w:t xml:space="preserve"> </w:t>
      </w:r>
      <w:r>
        <w:rPr>
          <w:rFonts w:ascii="Times New Roman" w:hAnsi="Times New Roman"/>
          <w:szCs w:val="24"/>
        </w:rPr>
        <w:t>односи</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равноправну</w:t>
      </w:r>
      <w:r w:rsidR="0042679D" w:rsidRPr="00295637">
        <w:rPr>
          <w:rFonts w:ascii="Times New Roman" w:hAnsi="Times New Roman"/>
          <w:szCs w:val="24"/>
        </w:rPr>
        <w:t xml:space="preserve"> </w:t>
      </w:r>
      <w:r>
        <w:rPr>
          <w:rFonts w:ascii="Times New Roman" w:hAnsi="Times New Roman"/>
          <w:szCs w:val="24"/>
        </w:rPr>
        <w:t>заступљеност</w:t>
      </w:r>
      <w:r w:rsidR="0042679D" w:rsidRPr="00295637">
        <w:rPr>
          <w:rFonts w:ascii="Times New Roman" w:hAnsi="Times New Roman"/>
          <w:szCs w:val="24"/>
        </w:rPr>
        <w:t xml:space="preserve"> </w:t>
      </w:r>
      <w:r>
        <w:rPr>
          <w:rFonts w:ascii="Times New Roman" w:hAnsi="Times New Roman"/>
          <w:szCs w:val="24"/>
        </w:rPr>
        <w:t>полова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управљању</w:t>
      </w:r>
      <w:r w:rsidR="0042679D" w:rsidRPr="00295637">
        <w:rPr>
          <w:rFonts w:ascii="Times New Roman" w:hAnsi="Times New Roman"/>
          <w:szCs w:val="24"/>
        </w:rPr>
        <w:t xml:space="preserve">, </w:t>
      </w:r>
      <w:r>
        <w:rPr>
          <w:rFonts w:ascii="Times New Roman" w:hAnsi="Times New Roman"/>
          <w:szCs w:val="24"/>
        </w:rPr>
        <w:t>процесу</w:t>
      </w:r>
      <w:r w:rsidR="0042679D" w:rsidRPr="00295637">
        <w:rPr>
          <w:rFonts w:ascii="Times New Roman" w:hAnsi="Times New Roman"/>
          <w:szCs w:val="24"/>
        </w:rPr>
        <w:t xml:space="preserve"> </w:t>
      </w:r>
      <w:r>
        <w:rPr>
          <w:rFonts w:ascii="Times New Roman" w:hAnsi="Times New Roman"/>
          <w:szCs w:val="24"/>
        </w:rPr>
        <w:t>одлучивања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представљању</w:t>
      </w:r>
      <w:r w:rsidR="0042679D" w:rsidRPr="00295637">
        <w:rPr>
          <w:rFonts w:ascii="Times New Roman" w:hAnsi="Times New Roman"/>
          <w:szCs w:val="24"/>
        </w:rPr>
        <w:t xml:space="preserve">. </w:t>
      </w:r>
    </w:p>
    <w:p w:rsidR="0042679D" w:rsidRPr="00295637" w:rsidRDefault="0042679D" w:rsidP="0086268D">
      <w:pPr>
        <w:pStyle w:val="ListParagraph"/>
        <w:ind w:left="720"/>
        <w:jc w:val="both"/>
        <w:rPr>
          <w:rFonts w:ascii="Times New Roman" w:hAnsi="Times New Roman"/>
          <w:szCs w:val="24"/>
        </w:rPr>
      </w:pPr>
    </w:p>
    <w:p w:rsidR="0042679D" w:rsidRPr="00577EE9"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rPr>
        <w:t>АР</w:t>
      </w:r>
      <w:r w:rsidR="000124D3">
        <w:rPr>
          <w:rFonts w:ascii="Times New Roman" w:hAnsi="Times New Roman"/>
          <w:lang w:val="sr-Cyrl-BA"/>
        </w:rPr>
        <w:t>П</w:t>
      </w:r>
      <w:r w:rsidR="00356865">
        <w:rPr>
          <w:rFonts w:ascii="Times New Roman" w:hAnsi="Times New Roman"/>
        </w:rPr>
        <w:t xml:space="preserve"> </w:t>
      </w:r>
      <w:r>
        <w:rPr>
          <w:rFonts w:ascii="Times New Roman" w:hAnsi="Times New Roman"/>
        </w:rPr>
        <w:t>БиХ</w:t>
      </w:r>
      <w:r w:rsidR="00356865">
        <w:rPr>
          <w:rFonts w:ascii="Times New Roman" w:hAnsi="Times New Roman"/>
        </w:rPr>
        <w:t xml:space="preserve"> </w:t>
      </w:r>
      <w:r>
        <w:rPr>
          <w:rFonts w:ascii="Times New Roman" w:hAnsi="Times New Roman"/>
        </w:rPr>
        <w:t>МЉПИ</w:t>
      </w:r>
      <w:r w:rsidR="00356865">
        <w:rPr>
          <w:rFonts w:ascii="Times New Roman" w:hAnsi="Times New Roman"/>
        </w:rPr>
        <w:t xml:space="preserve"> </w:t>
      </w:r>
      <w:r>
        <w:rPr>
          <w:rFonts w:ascii="Times New Roman" w:hAnsi="Times New Roman"/>
        </w:rPr>
        <w:t>БиХ</w:t>
      </w:r>
      <w:r w:rsidR="0042679D" w:rsidRPr="00295637">
        <w:rPr>
          <w:rFonts w:ascii="Times New Roman" w:hAnsi="Times New Roman"/>
        </w:rPr>
        <w:t xml:space="preserve"> </w:t>
      </w:r>
      <w:r w:rsidR="000124D3">
        <w:rPr>
          <w:rFonts w:ascii="Times New Roman" w:hAnsi="Times New Roman"/>
        </w:rPr>
        <w:t xml:space="preserve">је </w:t>
      </w:r>
      <w:r>
        <w:rPr>
          <w:rFonts w:ascii="Times New Roman" w:hAnsi="Times New Roman"/>
        </w:rPr>
        <w:t>учествовала</w:t>
      </w:r>
      <w:r w:rsidR="00D83018" w:rsidRPr="00295637">
        <w:rPr>
          <w:rFonts w:ascii="Times New Roman" w:hAnsi="Times New Roman"/>
        </w:rPr>
        <w:t xml:space="preserve"> </w:t>
      </w:r>
      <w:r>
        <w:rPr>
          <w:rFonts w:ascii="Times New Roman" w:hAnsi="Times New Roman"/>
        </w:rPr>
        <w:t>у</w:t>
      </w:r>
      <w:r w:rsidR="0042679D" w:rsidRPr="00295637">
        <w:rPr>
          <w:rFonts w:ascii="Times New Roman" w:hAnsi="Times New Roman"/>
        </w:rPr>
        <w:t xml:space="preserve"> </w:t>
      </w:r>
      <w:r>
        <w:rPr>
          <w:rFonts w:ascii="Times New Roman" w:hAnsi="Times New Roman"/>
        </w:rPr>
        <w:t>изради</w:t>
      </w:r>
      <w:r w:rsidR="0042679D" w:rsidRPr="00295637">
        <w:rPr>
          <w:rFonts w:ascii="Times New Roman" w:hAnsi="Times New Roman"/>
        </w:rPr>
        <w:t xml:space="preserve"> </w:t>
      </w:r>
      <w:r>
        <w:rPr>
          <w:rFonts w:ascii="Times New Roman" w:hAnsi="Times New Roman"/>
        </w:rPr>
        <w:t>водича</w:t>
      </w:r>
      <w:r w:rsidR="0042679D" w:rsidRPr="00295637">
        <w:rPr>
          <w:rFonts w:ascii="Times New Roman" w:hAnsi="Times New Roman"/>
        </w:rPr>
        <w:t xml:space="preserve"> </w:t>
      </w:r>
      <w:r>
        <w:rPr>
          <w:rFonts w:ascii="Times New Roman" w:hAnsi="Times New Roman"/>
        </w:rPr>
        <w:t>за</w:t>
      </w:r>
      <w:r w:rsidR="0042679D" w:rsidRPr="00295637">
        <w:rPr>
          <w:rFonts w:ascii="Times New Roman" w:hAnsi="Times New Roman"/>
        </w:rPr>
        <w:t xml:space="preserve"> </w:t>
      </w:r>
      <w:r>
        <w:rPr>
          <w:rFonts w:ascii="Times New Roman" w:hAnsi="Times New Roman"/>
        </w:rPr>
        <w:t>жене</w:t>
      </w:r>
      <w:r w:rsidR="0042679D" w:rsidRPr="00295637">
        <w:rPr>
          <w:rFonts w:ascii="Times New Roman" w:hAnsi="Times New Roman"/>
        </w:rPr>
        <w:t xml:space="preserve"> </w:t>
      </w:r>
      <w:r>
        <w:rPr>
          <w:rFonts w:ascii="Times New Roman" w:hAnsi="Times New Roman"/>
        </w:rPr>
        <w:t>и</w:t>
      </w:r>
      <w:r w:rsidR="0042679D" w:rsidRPr="00295637">
        <w:rPr>
          <w:rFonts w:ascii="Times New Roman" w:hAnsi="Times New Roman"/>
        </w:rPr>
        <w:t xml:space="preserve"> </w:t>
      </w:r>
      <w:r>
        <w:rPr>
          <w:rFonts w:ascii="Times New Roman" w:hAnsi="Times New Roman"/>
        </w:rPr>
        <w:t>мушкарце</w:t>
      </w:r>
      <w:r w:rsidR="0042679D" w:rsidRPr="00295637">
        <w:rPr>
          <w:rFonts w:ascii="Times New Roman" w:hAnsi="Times New Roman"/>
        </w:rPr>
        <w:t xml:space="preserve"> </w:t>
      </w:r>
      <w:r>
        <w:rPr>
          <w:rFonts w:ascii="Times New Roman" w:hAnsi="Times New Roman"/>
        </w:rPr>
        <w:t>у</w:t>
      </w:r>
      <w:r w:rsidR="0042679D" w:rsidRPr="00295637">
        <w:rPr>
          <w:rFonts w:ascii="Times New Roman" w:hAnsi="Times New Roman"/>
        </w:rPr>
        <w:t xml:space="preserve"> </w:t>
      </w:r>
      <w:r>
        <w:rPr>
          <w:rFonts w:ascii="Times New Roman" w:hAnsi="Times New Roman"/>
        </w:rPr>
        <w:t>локалној</w:t>
      </w:r>
      <w:r w:rsidR="0042679D" w:rsidRPr="00295637">
        <w:rPr>
          <w:rFonts w:ascii="Times New Roman" w:hAnsi="Times New Roman"/>
        </w:rPr>
        <w:t xml:space="preserve"> </w:t>
      </w:r>
      <w:r>
        <w:rPr>
          <w:rFonts w:ascii="Times New Roman" w:hAnsi="Times New Roman"/>
        </w:rPr>
        <w:t>политици</w:t>
      </w:r>
      <w:r w:rsidR="0042679D" w:rsidRPr="00295637">
        <w:rPr>
          <w:rFonts w:ascii="Times New Roman" w:hAnsi="Times New Roman"/>
        </w:rPr>
        <w:t xml:space="preserve"> „</w:t>
      </w:r>
      <w:r>
        <w:rPr>
          <w:rFonts w:ascii="Times New Roman" w:hAnsi="Times New Roman"/>
        </w:rPr>
        <w:t>Спречавање</w:t>
      </w:r>
      <w:r w:rsidR="0042679D" w:rsidRPr="00295637">
        <w:rPr>
          <w:rFonts w:ascii="Times New Roman" w:hAnsi="Times New Roman"/>
        </w:rPr>
        <w:t xml:space="preserve"> </w:t>
      </w:r>
      <w:r>
        <w:rPr>
          <w:rFonts w:ascii="Times New Roman" w:hAnsi="Times New Roman"/>
        </w:rPr>
        <w:t>и</w:t>
      </w:r>
      <w:r w:rsidR="0042679D" w:rsidRPr="00295637">
        <w:rPr>
          <w:rFonts w:ascii="Times New Roman" w:hAnsi="Times New Roman"/>
        </w:rPr>
        <w:t xml:space="preserve"> </w:t>
      </w:r>
      <w:r>
        <w:rPr>
          <w:rFonts w:ascii="Times New Roman" w:hAnsi="Times New Roman"/>
        </w:rPr>
        <w:t>борба</w:t>
      </w:r>
      <w:r w:rsidR="0042679D" w:rsidRPr="00295637">
        <w:rPr>
          <w:rFonts w:ascii="Times New Roman" w:hAnsi="Times New Roman"/>
        </w:rPr>
        <w:t xml:space="preserve"> </w:t>
      </w:r>
      <w:r>
        <w:rPr>
          <w:rFonts w:ascii="Times New Roman" w:hAnsi="Times New Roman"/>
        </w:rPr>
        <w:t>против</w:t>
      </w:r>
      <w:r w:rsidR="0042679D" w:rsidRPr="00295637">
        <w:rPr>
          <w:rFonts w:ascii="Times New Roman" w:hAnsi="Times New Roman"/>
        </w:rPr>
        <w:t xml:space="preserve"> </w:t>
      </w:r>
      <w:r>
        <w:rPr>
          <w:rFonts w:ascii="Times New Roman" w:hAnsi="Times New Roman"/>
        </w:rPr>
        <w:t>сексизма</w:t>
      </w:r>
      <w:r w:rsidR="0042679D" w:rsidRPr="00295637">
        <w:rPr>
          <w:rFonts w:ascii="Times New Roman" w:hAnsi="Times New Roman"/>
        </w:rPr>
        <w:t xml:space="preserve"> </w:t>
      </w:r>
      <w:r>
        <w:rPr>
          <w:rFonts w:ascii="Times New Roman" w:hAnsi="Times New Roman"/>
        </w:rPr>
        <w:t>на</w:t>
      </w:r>
      <w:r w:rsidR="0042679D" w:rsidRPr="00295637">
        <w:rPr>
          <w:rFonts w:ascii="Times New Roman" w:hAnsi="Times New Roman"/>
        </w:rPr>
        <w:t xml:space="preserve"> </w:t>
      </w:r>
      <w:r>
        <w:rPr>
          <w:rFonts w:ascii="Times New Roman" w:hAnsi="Times New Roman"/>
        </w:rPr>
        <w:t>локалном</w:t>
      </w:r>
      <w:r w:rsidR="0042679D" w:rsidRPr="00295637">
        <w:rPr>
          <w:rFonts w:ascii="Times New Roman" w:hAnsi="Times New Roman"/>
        </w:rPr>
        <w:t xml:space="preserve"> </w:t>
      </w:r>
      <w:r>
        <w:rPr>
          <w:rFonts w:ascii="Times New Roman" w:hAnsi="Times New Roman"/>
        </w:rPr>
        <w:t>нивоу</w:t>
      </w:r>
      <w:r w:rsidR="0042679D" w:rsidRPr="00295637">
        <w:rPr>
          <w:rFonts w:ascii="Times New Roman" w:hAnsi="Times New Roman"/>
        </w:rPr>
        <w:t xml:space="preserve"> </w:t>
      </w:r>
      <w:r>
        <w:rPr>
          <w:rFonts w:ascii="Times New Roman" w:hAnsi="Times New Roman"/>
        </w:rPr>
        <w:t>у</w:t>
      </w:r>
      <w:r w:rsidR="0042679D" w:rsidRPr="00295637">
        <w:rPr>
          <w:rFonts w:ascii="Times New Roman" w:hAnsi="Times New Roman"/>
        </w:rPr>
        <w:t xml:space="preserve"> </w:t>
      </w:r>
      <w:r>
        <w:rPr>
          <w:rFonts w:ascii="Times New Roman" w:hAnsi="Times New Roman"/>
        </w:rPr>
        <w:t>Босни</w:t>
      </w:r>
      <w:r w:rsidR="0042679D" w:rsidRPr="00295637">
        <w:rPr>
          <w:rFonts w:ascii="Times New Roman" w:hAnsi="Times New Roman"/>
        </w:rPr>
        <w:t xml:space="preserve"> </w:t>
      </w:r>
      <w:r>
        <w:rPr>
          <w:rFonts w:ascii="Times New Roman" w:hAnsi="Times New Roman"/>
        </w:rPr>
        <w:t>и</w:t>
      </w:r>
      <w:r w:rsidR="0042679D" w:rsidRPr="00295637">
        <w:rPr>
          <w:rFonts w:ascii="Times New Roman" w:hAnsi="Times New Roman"/>
        </w:rPr>
        <w:t xml:space="preserve"> </w:t>
      </w:r>
      <w:r>
        <w:rPr>
          <w:rFonts w:ascii="Times New Roman" w:hAnsi="Times New Roman"/>
        </w:rPr>
        <w:t>Херцеговини</w:t>
      </w:r>
      <w:r w:rsidR="0042679D" w:rsidRPr="00295637">
        <w:rPr>
          <w:rFonts w:ascii="Times New Roman" w:hAnsi="Times New Roman"/>
        </w:rPr>
        <w:t xml:space="preserve">“ </w:t>
      </w:r>
      <w:r>
        <w:rPr>
          <w:rFonts w:ascii="Times New Roman" w:hAnsi="Times New Roman"/>
        </w:rPr>
        <w:t>који</w:t>
      </w:r>
      <w:r w:rsidR="0042679D" w:rsidRPr="00295637">
        <w:rPr>
          <w:rFonts w:ascii="Times New Roman" w:hAnsi="Times New Roman"/>
        </w:rPr>
        <w:t xml:space="preserve"> </w:t>
      </w:r>
      <w:r>
        <w:rPr>
          <w:rFonts w:ascii="Times New Roman" w:hAnsi="Times New Roman"/>
        </w:rPr>
        <w:t>је</w:t>
      </w:r>
      <w:r w:rsidR="0042679D" w:rsidRPr="00295637">
        <w:rPr>
          <w:rFonts w:ascii="Times New Roman" w:hAnsi="Times New Roman"/>
        </w:rPr>
        <w:t xml:space="preserve"> </w:t>
      </w:r>
      <w:r>
        <w:rPr>
          <w:rFonts w:ascii="Times New Roman" w:hAnsi="Times New Roman"/>
        </w:rPr>
        <w:t>реализ</w:t>
      </w:r>
      <w:r w:rsidR="000124D3">
        <w:rPr>
          <w:rFonts w:ascii="Times New Roman" w:hAnsi="Times New Roman"/>
          <w:lang w:val="sr-Cyrl-BA"/>
        </w:rPr>
        <w:t>ован</w:t>
      </w:r>
      <w:r w:rsidR="00673317">
        <w:rPr>
          <w:rFonts w:ascii="Times New Roman" w:hAnsi="Times New Roman"/>
        </w:rPr>
        <w:t xml:space="preserve"> </w:t>
      </w:r>
      <w:r>
        <w:rPr>
          <w:rFonts w:ascii="Times New Roman" w:hAnsi="Times New Roman"/>
        </w:rPr>
        <w:t>уз</w:t>
      </w:r>
      <w:r w:rsidR="00673317">
        <w:rPr>
          <w:rFonts w:ascii="Times New Roman" w:hAnsi="Times New Roman"/>
        </w:rPr>
        <w:t xml:space="preserve"> </w:t>
      </w:r>
      <w:r>
        <w:rPr>
          <w:rFonts w:ascii="Times New Roman" w:hAnsi="Times New Roman"/>
        </w:rPr>
        <w:t>подршку</w:t>
      </w:r>
      <w:r w:rsidR="00673317">
        <w:rPr>
          <w:rFonts w:ascii="Times New Roman" w:hAnsi="Times New Roman"/>
        </w:rPr>
        <w:t xml:space="preserve"> </w:t>
      </w:r>
      <w:r w:rsidR="000124D3">
        <w:rPr>
          <w:rFonts w:ascii="Times New Roman" w:hAnsi="Times New Roman"/>
          <w:lang w:val="sr-Cyrl-BA"/>
        </w:rPr>
        <w:t>Савјета</w:t>
      </w:r>
      <w:r w:rsidR="00673317">
        <w:rPr>
          <w:rFonts w:ascii="Times New Roman" w:hAnsi="Times New Roman"/>
        </w:rPr>
        <w:t xml:space="preserve"> </w:t>
      </w:r>
      <w:r>
        <w:rPr>
          <w:rFonts w:ascii="Times New Roman" w:hAnsi="Times New Roman"/>
        </w:rPr>
        <w:t>Европе</w:t>
      </w:r>
      <w:r w:rsidR="00673317">
        <w:rPr>
          <w:rFonts w:ascii="Times New Roman" w:hAnsi="Times New Roman"/>
        </w:rPr>
        <w:t xml:space="preserve"> </w:t>
      </w:r>
      <w:r>
        <w:rPr>
          <w:rFonts w:ascii="Times New Roman" w:hAnsi="Times New Roman"/>
        </w:rPr>
        <w:t>и</w:t>
      </w:r>
      <w:r w:rsidR="00673317">
        <w:rPr>
          <w:rFonts w:ascii="Times New Roman" w:hAnsi="Times New Roman"/>
        </w:rPr>
        <w:t xml:space="preserve"> </w:t>
      </w:r>
      <w:r>
        <w:rPr>
          <w:rFonts w:ascii="Times New Roman" w:hAnsi="Times New Roman"/>
        </w:rPr>
        <w:t>јавно</w:t>
      </w:r>
      <w:r w:rsidR="0042679D" w:rsidRPr="00295637">
        <w:rPr>
          <w:rFonts w:ascii="Times New Roman" w:hAnsi="Times New Roman"/>
        </w:rPr>
        <w:t xml:space="preserve"> </w:t>
      </w:r>
      <w:r>
        <w:rPr>
          <w:rFonts w:ascii="Times New Roman" w:hAnsi="Times New Roman"/>
        </w:rPr>
        <w:t>промови</w:t>
      </w:r>
      <w:r w:rsidR="000124D3">
        <w:rPr>
          <w:rFonts w:ascii="Times New Roman" w:hAnsi="Times New Roman"/>
          <w:lang w:val="sr-Cyrl-BA"/>
        </w:rPr>
        <w:t>с</w:t>
      </w:r>
      <w:r>
        <w:rPr>
          <w:rFonts w:ascii="Times New Roman" w:hAnsi="Times New Roman"/>
        </w:rPr>
        <w:t>ан</w:t>
      </w:r>
      <w:r w:rsidR="0042679D" w:rsidRPr="00295637">
        <w:rPr>
          <w:rFonts w:ascii="Times New Roman" w:hAnsi="Times New Roman"/>
        </w:rPr>
        <w:t xml:space="preserve"> </w:t>
      </w:r>
      <w:r>
        <w:rPr>
          <w:rFonts w:ascii="Times New Roman" w:hAnsi="Times New Roman"/>
        </w:rPr>
        <w:t>у</w:t>
      </w:r>
      <w:r w:rsidR="0042679D" w:rsidRPr="00295637">
        <w:rPr>
          <w:rFonts w:ascii="Times New Roman" w:hAnsi="Times New Roman"/>
        </w:rPr>
        <w:t xml:space="preserve"> </w:t>
      </w:r>
      <w:r>
        <w:rPr>
          <w:rFonts w:ascii="Times New Roman" w:hAnsi="Times New Roman"/>
        </w:rPr>
        <w:t>јануару</w:t>
      </w:r>
      <w:r w:rsidR="0042679D" w:rsidRPr="00295637">
        <w:rPr>
          <w:rFonts w:ascii="Times New Roman" w:hAnsi="Times New Roman"/>
        </w:rPr>
        <w:t xml:space="preserve"> 2024.</w:t>
      </w:r>
      <w:r w:rsidR="00356865">
        <w:rPr>
          <w:rFonts w:ascii="Times New Roman" w:hAnsi="Times New Roman"/>
        </w:rPr>
        <w:t xml:space="preserve"> </w:t>
      </w:r>
      <w:r>
        <w:rPr>
          <w:rFonts w:ascii="Times New Roman" w:hAnsi="Times New Roman"/>
        </w:rPr>
        <w:t>године</w:t>
      </w:r>
      <w:r w:rsidR="00356865">
        <w:rPr>
          <w:rFonts w:ascii="Times New Roman" w:hAnsi="Times New Roman"/>
        </w:rPr>
        <w:t>.</w:t>
      </w:r>
    </w:p>
    <w:p w:rsidR="0042679D" w:rsidRPr="00577EE9" w:rsidRDefault="0042679D" w:rsidP="0086268D">
      <w:pPr>
        <w:pStyle w:val="ListParagraph"/>
        <w:rPr>
          <w:rStyle w:val="y2iqfc"/>
          <w:rFonts w:ascii="inherit" w:hAnsi="inherit"/>
          <w:color w:val="1F1F1F"/>
          <w:szCs w:val="24"/>
        </w:rPr>
      </w:pPr>
    </w:p>
    <w:p w:rsidR="0042679D" w:rsidRPr="00EA3A8F"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lang w:val="hr-HR"/>
        </w:rPr>
        <w:t>Поводом</w:t>
      </w:r>
      <w:r w:rsidR="0042679D" w:rsidRPr="00EA3A8F">
        <w:rPr>
          <w:rFonts w:ascii="Times New Roman" w:hAnsi="Times New Roman"/>
          <w:lang w:val="hr-HR"/>
        </w:rPr>
        <w:t xml:space="preserve"> </w:t>
      </w:r>
      <w:r>
        <w:rPr>
          <w:rFonts w:ascii="Times New Roman" w:hAnsi="Times New Roman"/>
          <w:lang w:val="hr-HR"/>
        </w:rPr>
        <w:t>обиљежавања</w:t>
      </w:r>
      <w:r w:rsidR="0042679D" w:rsidRPr="00EA3A8F">
        <w:rPr>
          <w:rFonts w:ascii="Times New Roman" w:hAnsi="Times New Roman"/>
          <w:lang w:val="hr-HR"/>
        </w:rPr>
        <w:t xml:space="preserve"> 8. </w:t>
      </w:r>
      <w:r>
        <w:rPr>
          <w:rFonts w:ascii="Times New Roman" w:hAnsi="Times New Roman"/>
          <w:lang w:val="hr-HR"/>
        </w:rPr>
        <w:t>марта</w:t>
      </w:r>
      <w:r w:rsidR="0042679D" w:rsidRPr="00EA3A8F">
        <w:rPr>
          <w:rFonts w:ascii="Times New Roman" w:hAnsi="Times New Roman"/>
          <w:lang w:val="hr-HR"/>
        </w:rPr>
        <w:t xml:space="preserve">, </w:t>
      </w:r>
      <w:r>
        <w:rPr>
          <w:rFonts w:ascii="Times New Roman" w:hAnsi="Times New Roman"/>
          <w:lang w:val="hr-HR"/>
        </w:rPr>
        <w:t>Међународног</w:t>
      </w:r>
      <w:r w:rsidR="0042679D" w:rsidRPr="00EA3A8F">
        <w:rPr>
          <w:rFonts w:ascii="Times New Roman" w:hAnsi="Times New Roman"/>
          <w:lang w:val="hr-HR"/>
        </w:rPr>
        <w:t xml:space="preserve"> </w:t>
      </w:r>
      <w:r>
        <w:rPr>
          <w:rFonts w:ascii="Times New Roman" w:hAnsi="Times New Roman"/>
          <w:lang w:val="hr-HR"/>
        </w:rPr>
        <w:t>дана</w:t>
      </w:r>
      <w:r w:rsidR="0042679D" w:rsidRPr="00EA3A8F">
        <w:rPr>
          <w:rFonts w:ascii="Times New Roman" w:hAnsi="Times New Roman"/>
          <w:lang w:val="hr-HR"/>
        </w:rPr>
        <w:t xml:space="preserve"> </w:t>
      </w:r>
      <w:r>
        <w:rPr>
          <w:rFonts w:ascii="Times New Roman" w:hAnsi="Times New Roman"/>
          <w:lang w:val="hr-HR"/>
        </w:rPr>
        <w:t>жена</w:t>
      </w:r>
      <w:r w:rsidR="0042679D" w:rsidRPr="00EA3A8F">
        <w:rPr>
          <w:rFonts w:ascii="Times New Roman" w:hAnsi="Times New Roman"/>
          <w:lang w:val="hr-HR"/>
        </w:rPr>
        <w:t xml:space="preserve">, </w:t>
      </w:r>
      <w:r>
        <w:rPr>
          <w:rFonts w:ascii="Times New Roman" w:hAnsi="Times New Roman"/>
          <w:lang w:val="hr-HR"/>
        </w:rPr>
        <w:t>АР</w:t>
      </w:r>
      <w:r w:rsidR="000124D3">
        <w:rPr>
          <w:rFonts w:ascii="Times New Roman" w:hAnsi="Times New Roman"/>
          <w:lang w:val="sr-Cyrl-BA"/>
        </w:rPr>
        <w:t>П</w:t>
      </w:r>
      <w:r w:rsidR="00356865">
        <w:rPr>
          <w:rFonts w:ascii="Times New Roman" w:hAnsi="Times New Roman"/>
          <w:lang w:val="hr-HR"/>
        </w:rPr>
        <w:t xml:space="preserve"> </w:t>
      </w:r>
      <w:r>
        <w:rPr>
          <w:rFonts w:ascii="Times New Roman" w:hAnsi="Times New Roman"/>
          <w:lang w:val="hr-HR"/>
        </w:rPr>
        <w:t>БиХ</w:t>
      </w:r>
      <w:r w:rsidR="00356865">
        <w:rPr>
          <w:rFonts w:ascii="Times New Roman" w:hAnsi="Times New Roman"/>
          <w:lang w:val="hr-HR"/>
        </w:rPr>
        <w:t xml:space="preserve"> </w:t>
      </w:r>
      <w:r>
        <w:rPr>
          <w:rFonts w:ascii="Times New Roman" w:hAnsi="Times New Roman"/>
          <w:lang w:val="hr-HR"/>
        </w:rPr>
        <w:t>МЉПИ</w:t>
      </w:r>
      <w:r w:rsidR="00356865">
        <w:rPr>
          <w:rFonts w:ascii="Times New Roman" w:hAnsi="Times New Roman"/>
          <w:lang w:val="hr-HR"/>
        </w:rPr>
        <w:t xml:space="preserve"> </w:t>
      </w:r>
      <w:r>
        <w:rPr>
          <w:rFonts w:ascii="Times New Roman" w:hAnsi="Times New Roman"/>
          <w:lang w:val="hr-HR"/>
        </w:rPr>
        <w:t>БиХ</w:t>
      </w:r>
      <w:r w:rsidR="0042679D" w:rsidRPr="00EA3A8F">
        <w:rPr>
          <w:rFonts w:ascii="Times New Roman" w:hAnsi="Times New Roman"/>
          <w:lang w:val="hr-HR"/>
        </w:rPr>
        <w:t xml:space="preserve"> </w:t>
      </w:r>
      <w:r>
        <w:rPr>
          <w:rFonts w:ascii="Times New Roman" w:hAnsi="Times New Roman"/>
          <w:lang w:val="hr-HR"/>
        </w:rPr>
        <w:t>је</w:t>
      </w:r>
      <w:r w:rsidR="0042679D" w:rsidRPr="00EA3A8F">
        <w:rPr>
          <w:rFonts w:ascii="Times New Roman" w:hAnsi="Times New Roman"/>
          <w:lang w:val="hr-HR"/>
        </w:rPr>
        <w:t xml:space="preserve"> </w:t>
      </w:r>
      <w:r>
        <w:rPr>
          <w:rFonts w:ascii="Times New Roman" w:hAnsi="Times New Roman"/>
          <w:lang w:val="hr-HR"/>
        </w:rPr>
        <w:t>у</w:t>
      </w:r>
      <w:r w:rsidR="0042679D" w:rsidRPr="00EA3A8F">
        <w:rPr>
          <w:rFonts w:ascii="Times New Roman" w:hAnsi="Times New Roman"/>
          <w:lang w:val="hr-HR"/>
        </w:rPr>
        <w:t xml:space="preserve"> </w:t>
      </w:r>
      <w:r>
        <w:rPr>
          <w:rFonts w:ascii="Times New Roman" w:hAnsi="Times New Roman"/>
          <w:lang w:val="hr-HR"/>
        </w:rPr>
        <w:t>сарадњи</w:t>
      </w:r>
      <w:r w:rsidR="00356865">
        <w:rPr>
          <w:rFonts w:ascii="Times New Roman" w:hAnsi="Times New Roman"/>
          <w:lang w:val="hr-HR"/>
        </w:rPr>
        <w:t xml:space="preserve"> </w:t>
      </w:r>
      <w:r>
        <w:rPr>
          <w:rFonts w:ascii="Times New Roman" w:hAnsi="Times New Roman"/>
          <w:lang w:val="hr-HR"/>
        </w:rPr>
        <w:t>са</w:t>
      </w:r>
      <w:r w:rsidR="0042679D" w:rsidRPr="00EA3A8F">
        <w:rPr>
          <w:rFonts w:ascii="Times New Roman" w:hAnsi="Times New Roman"/>
          <w:lang w:val="hr-HR"/>
        </w:rPr>
        <w:t xml:space="preserve"> </w:t>
      </w:r>
      <w:r>
        <w:rPr>
          <w:rFonts w:ascii="Times New Roman" w:hAnsi="Times New Roman"/>
          <w:lang w:val="hr-HR"/>
        </w:rPr>
        <w:t>КОРС</w:t>
      </w:r>
      <w:r w:rsidR="0042679D" w:rsidRPr="00EA3A8F">
        <w:rPr>
          <w:rFonts w:ascii="Times New Roman" w:hAnsi="Times New Roman"/>
          <w:lang w:val="hr-HR"/>
        </w:rPr>
        <w:t xml:space="preserve"> </w:t>
      </w:r>
      <w:r>
        <w:rPr>
          <w:rFonts w:ascii="Times New Roman" w:hAnsi="Times New Roman"/>
          <w:lang w:val="hr-HR"/>
        </w:rPr>
        <w:t>ПС</w:t>
      </w:r>
      <w:r w:rsidR="0042679D">
        <w:rPr>
          <w:rFonts w:ascii="Times New Roman" w:hAnsi="Times New Roman"/>
          <w:lang w:val="hr-HR"/>
        </w:rPr>
        <w:t xml:space="preserve"> </w:t>
      </w:r>
      <w:r>
        <w:rPr>
          <w:rFonts w:ascii="Times New Roman" w:hAnsi="Times New Roman"/>
          <w:lang w:val="hr-HR"/>
        </w:rPr>
        <w:t>БиХ</w:t>
      </w:r>
      <w:r w:rsidR="00673317">
        <w:rPr>
          <w:rFonts w:ascii="Times New Roman" w:hAnsi="Times New Roman"/>
          <w:lang w:val="hr-HR"/>
        </w:rPr>
        <w:t xml:space="preserve"> </w:t>
      </w:r>
      <w:r>
        <w:rPr>
          <w:rFonts w:ascii="Times New Roman" w:hAnsi="Times New Roman"/>
          <w:lang w:val="hr-HR"/>
        </w:rPr>
        <w:t>и</w:t>
      </w:r>
      <w:r w:rsidR="00673317">
        <w:rPr>
          <w:rFonts w:ascii="Times New Roman" w:hAnsi="Times New Roman"/>
          <w:lang w:val="hr-HR"/>
        </w:rPr>
        <w:t xml:space="preserve"> </w:t>
      </w:r>
      <w:r>
        <w:rPr>
          <w:rFonts w:ascii="Times New Roman" w:hAnsi="Times New Roman"/>
          <w:lang w:val="hr-HR"/>
        </w:rPr>
        <w:t>уз</w:t>
      </w:r>
      <w:r w:rsidR="00356865">
        <w:rPr>
          <w:rFonts w:ascii="Times New Roman" w:hAnsi="Times New Roman"/>
          <w:lang w:val="hr-HR"/>
        </w:rPr>
        <w:t xml:space="preserve"> </w:t>
      </w:r>
      <w:r>
        <w:rPr>
          <w:rFonts w:ascii="Times New Roman" w:hAnsi="Times New Roman"/>
          <w:lang w:val="hr-HR"/>
        </w:rPr>
        <w:t>подршку</w:t>
      </w:r>
      <w:r w:rsidR="00673317">
        <w:rPr>
          <w:rFonts w:ascii="Times New Roman" w:hAnsi="Times New Roman"/>
          <w:lang w:val="hr-HR"/>
        </w:rPr>
        <w:t xml:space="preserve"> </w:t>
      </w:r>
      <w:r>
        <w:rPr>
          <w:rFonts w:ascii="Times New Roman" w:hAnsi="Times New Roman"/>
          <w:lang w:val="hr-HR"/>
        </w:rPr>
        <w:t>О</w:t>
      </w:r>
      <w:r w:rsidR="000124D3">
        <w:rPr>
          <w:rFonts w:ascii="Times New Roman" w:hAnsi="Times New Roman"/>
          <w:lang w:val="sr-Cyrl-BA"/>
        </w:rPr>
        <w:t>ЕБС</w:t>
      </w:r>
      <w:r w:rsidR="00673317">
        <w:rPr>
          <w:rFonts w:ascii="Times New Roman" w:hAnsi="Times New Roman"/>
          <w:lang w:val="hr-HR"/>
        </w:rPr>
        <w:t>-</w:t>
      </w:r>
      <w:r>
        <w:rPr>
          <w:rFonts w:ascii="Times New Roman" w:hAnsi="Times New Roman"/>
          <w:lang w:val="hr-HR"/>
        </w:rPr>
        <w:t>а</w:t>
      </w:r>
      <w:r w:rsidR="00673317">
        <w:rPr>
          <w:rFonts w:ascii="Times New Roman" w:hAnsi="Times New Roman"/>
          <w:lang w:val="hr-HR"/>
        </w:rPr>
        <w:t xml:space="preserve">, </w:t>
      </w:r>
      <w:r w:rsidR="000124D3" w:rsidRPr="000124D3">
        <w:rPr>
          <w:rFonts w:ascii="Times New Roman" w:hAnsi="Times New Roman"/>
          <w:i/>
          <w:lang w:val="bs-Latn-BA"/>
        </w:rPr>
        <w:t>UN Women</w:t>
      </w:r>
      <w:r w:rsidR="000124D3" w:rsidRPr="000124D3">
        <w:rPr>
          <w:rFonts w:ascii="Times New Roman" w:hAnsi="Times New Roman"/>
          <w:i/>
          <w:lang w:val="hr-HR"/>
        </w:rPr>
        <w:t xml:space="preserve"> </w:t>
      </w:r>
      <w:r>
        <w:rPr>
          <w:rFonts w:ascii="Times New Roman" w:hAnsi="Times New Roman"/>
          <w:lang w:val="hr-HR"/>
        </w:rPr>
        <w:t>и</w:t>
      </w:r>
      <w:r w:rsidR="00673317">
        <w:rPr>
          <w:rFonts w:ascii="Times New Roman" w:hAnsi="Times New Roman"/>
          <w:lang w:val="hr-HR"/>
        </w:rPr>
        <w:t xml:space="preserve"> </w:t>
      </w:r>
      <w:r>
        <w:rPr>
          <w:rFonts w:ascii="Times New Roman" w:hAnsi="Times New Roman"/>
          <w:lang w:val="hr-HR"/>
        </w:rPr>
        <w:t>Амбасаде</w:t>
      </w:r>
      <w:r w:rsidR="00673317">
        <w:rPr>
          <w:rFonts w:ascii="Times New Roman" w:hAnsi="Times New Roman"/>
          <w:lang w:val="hr-HR"/>
        </w:rPr>
        <w:t xml:space="preserve"> </w:t>
      </w:r>
      <w:r>
        <w:rPr>
          <w:rFonts w:ascii="Times New Roman" w:hAnsi="Times New Roman"/>
          <w:lang w:val="hr-HR"/>
        </w:rPr>
        <w:t>Краљевине</w:t>
      </w:r>
      <w:r w:rsidR="00673317">
        <w:rPr>
          <w:rFonts w:ascii="Times New Roman" w:hAnsi="Times New Roman"/>
          <w:lang w:val="hr-HR"/>
        </w:rPr>
        <w:t xml:space="preserve"> </w:t>
      </w:r>
      <w:r>
        <w:rPr>
          <w:rFonts w:ascii="Times New Roman" w:hAnsi="Times New Roman"/>
          <w:lang w:val="hr-HR"/>
        </w:rPr>
        <w:t>Шведске</w:t>
      </w:r>
      <w:r w:rsidR="00673317">
        <w:rPr>
          <w:rFonts w:ascii="Times New Roman" w:hAnsi="Times New Roman"/>
          <w:lang w:val="hr-HR"/>
        </w:rPr>
        <w:t xml:space="preserve"> </w:t>
      </w:r>
      <w:r>
        <w:rPr>
          <w:rFonts w:ascii="Times New Roman" w:hAnsi="Times New Roman"/>
          <w:lang w:val="hr-HR"/>
        </w:rPr>
        <w:t>у</w:t>
      </w:r>
      <w:r w:rsidR="00673317">
        <w:rPr>
          <w:rFonts w:ascii="Times New Roman" w:hAnsi="Times New Roman"/>
          <w:lang w:val="hr-HR"/>
        </w:rPr>
        <w:t xml:space="preserve"> </w:t>
      </w:r>
      <w:r>
        <w:rPr>
          <w:rFonts w:ascii="Times New Roman" w:hAnsi="Times New Roman"/>
          <w:lang w:val="hr-HR"/>
        </w:rPr>
        <w:t>БиХ</w:t>
      </w:r>
      <w:r w:rsidR="0042679D" w:rsidRPr="00EA3A8F">
        <w:rPr>
          <w:rFonts w:ascii="Times New Roman" w:hAnsi="Times New Roman"/>
          <w:lang w:val="hr-HR"/>
        </w:rPr>
        <w:t xml:space="preserve">, </w:t>
      </w:r>
      <w:r>
        <w:rPr>
          <w:rFonts w:ascii="Times New Roman" w:hAnsi="Times New Roman"/>
          <w:lang w:val="hr-HR"/>
        </w:rPr>
        <w:t>организ</w:t>
      </w:r>
      <w:r w:rsidR="000124D3">
        <w:rPr>
          <w:rFonts w:ascii="Times New Roman" w:hAnsi="Times New Roman"/>
          <w:lang w:val="sr-Cyrl-BA"/>
        </w:rPr>
        <w:t>овала</w:t>
      </w:r>
      <w:r w:rsidR="0042679D" w:rsidRPr="00EA3A8F">
        <w:rPr>
          <w:rFonts w:ascii="Times New Roman" w:hAnsi="Times New Roman"/>
          <w:lang w:val="hr-HR"/>
        </w:rPr>
        <w:t xml:space="preserve"> </w:t>
      </w:r>
      <w:r>
        <w:rPr>
          <w:rFonts w:ascii="Times New Roman" w:hAnsi="Times New Roman"/>
          <w:lang w:val="hr-HR"/>
        </w:rPr>
        <w:t>тематску</w:t>
      </w:r>
      <w:r w:rsidR="0042679D" w:rsidRPr="00EA3A8F">
        <w:rPr>
          <w:rFonts w:ascii="Times New Roman" w:hAnsi="Times New Roman"/>
          <w:lang w:val="hr-HR"/>
        </w:rPr>
        <w:t xml:space="preserve"> </w:t>
      </w:r>
      <w:r>
        <w:rPr>
          <w:rFonts w:ascii="Times New Roman" w:hAnsi="Times New Roman"/>
          <w:lang w:val="hr-HR"/>
        </w:rPr>
        <w:t>сједницу</w:t>
      </w:r>
      <w:r w:rsidR="0042679D" w:rsidRPr="00EA3A8F">
        <w:rPr>
          <w:rFonts w:ascii="Times New Roman" w:hAnsi="Times New Roman"/>
          <w:lang w:val="hr-HR"/>
        </w:rPr>
        <w:t xml:space="preserve"> </w:t>
      </w:r>
      <w:r>
        <w:rPr>
          <w:rFonts w:ascii="Times New Roman" w:hAnsi="Times New Roman"/>
          <w:lang w:val="hr-HR"/>
        </w:rPr>
        <w:t>под</w:t>
      </w:r>
      <w:r w:rsidR="0042679D" w:rsidRPr="00EA3A8F">
        <w:rPr>
          <w:rFonts w:ascii="Times New Roman" w:hAnsi="Times New Roman"/>
          <w:lang w:val="hr-HR"/>
        </w:rPr>
        <w:t xml:space="preserve"> </w:t>
      </w:r>
      <w:r>
        <w:rPr>
          <w:rFonts w:ascii="Times New Roman" w:hAnsi="Times New Roman"/>
          <w:lang w:val="hr-HR"/>
        </w:rPr>
        <w:t>називом</w:t>
      </w:r>
      <w:r w:rsidR="0042679D" w:rsidRPr="00EA3A8F">
        <w:rPr>
          <w:rFonts w:ascii="Times New Roman" w:hAnsi="Times New Roman"/>
          <w:lang w:val="hr-HR"/>
        </w:rPr>
        <w:t xml:space="preserve"> „</w:t>
      </w:r>
      <w:r>
        <w:rPr>
          <w:rFonts w:ascii="Times New Roman" w:hAnsi="Times New Roman"/>
          <w:lang w:val="hr-HR"/>
        </w:rPr>
        <w:t>Друштвено</w:t>
      </w:r>
      <w:r w:rsidR="0042679D" w:rsidRPr="00EA3A8F">
        <w:rPr>
          <w:rFonts w:ascii="Times New Roman" w:hAnsi="Times New Roman"/>
          <w:lang w:val="hr-HR"/>
        </w:rPr>
        <w:t>-</w:t>
      </w:r>
      <w:r>
        <w:rPr>
          <w:rFonts w:ascii="Times New Roman" w:hAnsi="Times New Roman"/>
          <w:lang w:val="hr-HR"/>
        </w:rPr>
        <w:t>економска</w:t>
      </w:r>
      <w:r w:rsidR="0042679D" w:rsidRPr="00EA3A8F">
        <w:rPr>
          <w:rFonts w:ascii="Times New Roman" w:hAnsi="Times New Roman"/>
          <w:lang w:val="hr-HR"/>
        </w:rPr>
        <w:t xml:space="preserve"> </w:t>
      </w:r>
      <w:r>
        <w:rPr>
          <w:rFonts w:ascii="Times New Roman" w:hAnsi="Times New Roman"/>
          <w:lang w:val="hr-HR"/>
        </w:rPr>
        <w:t>питања</w:t>
      </w:r>
      <w:r w:rsidR="0042679D" w:rsidRPr="00EA3A8F">
        <w:rPr>
          <w:rFonts w:ascii="Times New Roman" w:hAnsi="Times New Roman"/>
          <w:lang w:val="hr-HR"/>
        </w:rPr>
        <w:t xml:space="preserve"> </w:t>
      </w:r>
      <w:r>
        <w:rPr>
          <w:rFonts w:ascii="Times New Roman" w:hAnsi="Times New Roman"/>
          <w:lang w:val="hr-HR"/>
        </w:rPr>
        <w:t>оснаживања</w:t>
      </w:r>
      <w:r w:rsidR="0042679D" w:rsidRPr="00EA3A8F">
        <w:rPr>
          <w:rFonts w:ascii="Times New Roman" w:hAnsi="Times New Roman"/>
          <w:lang w:val="hr-HR"/>
        </w:rPr>
        <w:t xml:space="preserve"> </w:t>
      </w:r>
      <w:r>
        <w:rPr>
          <w:rFonts w:ascii="Times New Roman" w:hAnsi="Times New Roman"/>
          <w:lang w:val="hr-HR"/>
        </w:rPr>
        <w:t>жена</w:t>
      </w:r>
      <w:r w:rsidR="0042679D" w:rsidRPr="00EA3A8F">
        <w:rPr>
          <w:rFonts w:ascii="Times New Roman" w:hAnsi="Times New Roman"/>
          <w:lang w:val="hr-HR"/>
        </w:rPr>
        <w:t xml:space="preserve"> </w:t>
      </w:r>
      <w:r>
        <w:rPr>
          <w:rFonts w:ascii="Times New Roman" w:hAnsi="Times New Roman"/>
          <w:lang w:val="hr-HR"/>
        </w:rPr>
        <w:t>за</w:t>
      </w:r>
      <w:r w:rsidR="0042679D" w:rsidRPr="00EA3A8F">
        <w:rPr>
          <w:rFonts w:ascii="Times New Roman" w:hAnsi="Times New Roman"/>
          <w:lang w:val="hr-HR"/>
        </w:rPr>
        <w:t xml:space="preserve"> </w:t>
      </w:r>
      <w:r>
        <w:rPr>
          <w:rFonts w:ascii="Times New Roman" w:hAnsi="Times New Roman"/>
          <w:lang w:val="hr-HR"/>
        </w:rPr>
        <w:t>учешће</w:t>
      </w:r>
      <w:r w:rsidR="0042679D" w:rsidRPr="00EA3A8F">
        <w:rPr>
          <w:rFonts w:ascii="Times New Roman" w:hAnsi="Times New Roman"/>
          <w:lang w:val="hr-HR"/>
        </w:rPr>
        <w:t xml:space="preserve"> </w:t>
      </w:r>
      <w:r>
        <w:rPr>
          <w:rFonts w:ascii="Times New Roman" w:hAnsi="Times New Roman"/>
          <w:lang w:val="hr-HR"/>
        </w:rPr>
        <w:t>у</w:t>
      </w:r>
      <w:r w:rsidR="0042679D" w:rsidRPr="00EA3A8F">
        <w:rPr>
          <w:rFonts w:ascii="Times New Roman" w:hAnsi="Times New Roman"/>
          <w:lang w:val="hr-HR"/>
        </w:rPr>
        <w:t xml:space="preserve"> </w:t>
      </w:r>
      <w:r>
        <w:rPr>
          <w:rFonts w:ascii="Times New Roman" w:hAnsi="Times New Roman"/>
          <w:lang w:val="hr-HR"/>
        </w:rPr>
        <w:t>доношењу</w:t>
      </w:r>
      <w:r w:rsidR="0042679D" w:rsidRPr="00EA3A8F">
        <w:rPr>
          <w:rFonts w:ascii="Times New Roman" w:hAnsi="Times New Roman"/>
          <w:lang w:val="hr-HR"/>
        </w:rPr>
        <w:t xml:space="preserve"> </w:t>
      </w:r>
      <w:r>
        <w:rPr>
          <w:rFonts w:ascii="Times New Roman" w:hAnsi="Times New Roman"/>
          <w:lang w:val="hr-HR"/>
        </w:rPr>
        <w:t>одлука</w:t>
      </w:r>
      <w:r w:rsidR="0042679D" w:rsidRPr="00EA3A8F">
        <w:rPr>
          <w:rFonts w:ascii="Times New Roman" w:hAnsi="Times New Roman"/>
          <w:lang w:val="hr-HR"/>
        </w:rPr>
        <w:t xml:space="preserve"> </w:t>
      </w:r>
      <w:r>
        <w:rPr>
          <w:rFonts w:ascii="Times New Roman" w:hAnsi="Times New Roman"/>
          <w:lang w:val="hr-HR"/>
        </w:rPr>
        <w:t>у</w:t>
      </w:r>
      <w:r w:rsidR="0042679D" w:rsidRPr="00EA3A8F">
        <w:rPr>
          <w:rFonts w:ascii="Times New Roman" w:hAnsi="Times New Roman"/>
          <w:lang w:val="hr-HR"/>
        </w:rPr>
        <w:t xml:space="preserve"> </w:t>
      </w:r>
      <w:r>
        <w:rPr>
          <w:rFonts w:ascii="Times New Roman" w:hAnsi="Times New Roman"/>
          <w:lang w:val="hr-HR"/>
        </w:rPr>
        <w:t>Босни</w:t>
      </w:r>
      <w:r w:rsidR="0042679D" w:rsidRPr="00EA3A8F">
        <w:rPr>
          <w:rFonts w:ascii="Times New Roman" w:hAnsi="Times New Roman"/>
          <w:lang w:val="hr-HR"/>
        </w:rPr>
        <w:t xml:space="preserve"> </w:t>
      </w:r>
      <w:r>
        <w:rPr>
          <w:rFonts w:ascii="Times New Roman" w:hAnsi="Times New Roman"/>
          <w:lang w:val="hr-HR"/>
        </w:rPr>
        <w:t>и</w:t>
      </w:r>
      <w:r w:rsidR="0042679D" w:rsidRPr="00EA3A8F">
        <w:rPr>
          <w:rFonts w:ascii="Times New Roman" w:hAnsi="Times New Roman"/>
          <w:lang w:val="hr-HR"/>
        </w:rPr>
        <w:t xml:space="preserve"> </w:t>
      </w:r>
      <w:r>
        <w:rPr>
          <w:rFonts w:ascii="Times New Roman" w:hAnsi="Times New Roman"/>
          <w:lang w:val="hr-HR"/>
        </w:rPr>
        <w:t>Херцеговини</w:t>
      </w:r>
      <w:r w:rsidR="0042679D" w:rsidRPr="00EA3A8F">
        <w:rPr>
          <w:rFonts w:ascii="Times New Roman" w:hAnsi="Times New Roman"/>
          <w:lang w:val="hr-HR"/>
        </w:rPr>
        <w:t xml:space="preserve">”. </w:t>
      </w:r>
    </w:p>
    <w:p w:rsidR="0042679D" w:rsidRPr="00EA3A8F" w:rsidRDefault="0042679D" w:rsidP="0086268D">
      <w:pPr>
        <w:pStyle w:val="ListParagraph"/>
        <w:rPr>
          <w:rStyle w:val="y2iqfc"/>
          <w:rFonts w:ascii="inherit" w:hAnsi="inherit"/>
          <w:color w:val="1F1F1F"/>
          <w:szCs w:val="24"/>
        </w:rPr>
      </w:pPr>
    </w:p>
    <w:p w:rsidR="0042679D" w:rsidRPr="00356865" w:rsidRDefault="00C6214E" w:rsidP="0086268D">
      <w:pPr>
        <w:pStyle w:val="ListParagraph"/>
        <w:numPr>
          <w:ilvl w:val="0"/>
          <w:numId w:val="17"/>
        </w:numPr>
        <w:jc w:val="both"/>
        <w:rPr>
          <w:rStyle w:val="y2iqfc"/>
          <w:rFonts w:ascii="Times New Roman" w:hAnsi="Times New Roman"/>
          <w:szCs w:val="24"/>
          <w:lang w:val="bs-Latn-BA"/>
        </w:rPr>
      </w:pPr>
      <w:r>
        <w:rPr>
          <w:rStyle w:val="y2iqfc"/>
          <w:rFonts w:ascii="inherit" w:hAnsi="inherit"/>
          <w:szCs w:val="24"/>
        </w:rPr>
        <w:t>Уочи</w:t>
      </w:r>
      <w:r w:rsidR="0042679D" w:rsidRPr="00356865">
        <w:rPr>
          <w:rStyle w:val="y2iqfc"/>
          <w:rFonts w:ascii="inherit" w:hAnsi="inherit"/>
          <w:szCs w:val="24"/>
        </w:rPr>
        <w:t xml:space="preserve"> </w:t>
      </w:r>
      <w:r>
        <w:rPr>
          <w:rStyle w:val="y2iqfc"/>
          <w:rFonts w:ascii="inherit" w:hAnsi="inherit"/>
          <w:szCs w:val="24"/>
        </w:rPr>
        <w:t>Локалних</w:t>
      </w:r>
      <w:r w:rsidR="0042679D" w:rsidRPr="00356865">
        <w:rPr>
          <w:rStyle w:val="y2iqfc"/>
          <w:rFonts w:ascii="inherit" w:hAnsi="inherit"/>
          <w:szCs w:val="24"/>
        </w:rPr>
        <w:t xml:space="preserve"> </w:t>
      </w:r>
      <w:r>
        <w:rPr>
          <w:rStyle w:val="y2iqfc"/>
          <w:rFonts w:ascii="inherit" w:hAnsi="inherit"/>
          <w:szCs w:val="24"/>
        </w:rPr>
        <w:t>избора</w:t>
      </w:r>
      <w:r w:rsidR="0042679D" w:rsidRPr="00356865">
        <w:rPr>
          <w:rStyle w:val="y2iqfc"/>
          <w:rFonts w:ascii="inherit" w:hAnsi="inherit"/>
          <w:szCs w:val="24"/>
        </w:rPr>
        <w:t xml:space="preserve"> 2024. </w:t>
      </w:r>
      <w:r>
        <w:rPr>
          <w:rStyle w:val="y2iqfc"/>
          <w:rFonts w:ascii="inherit" w:hAnsi="inherit"/>
          <w:szCs w:val="24"/>
        </w:rPr>
        <w:t>године</w:t>
      </w:r>
      <w:r w:rsidR="0042679D" w:rsidRPr="00356865">
        <w:rPr>
          <w:rStyle w:val="y2iqfc"/>
          <w:rFonts w:ascii="inherit" w:hAnsi="inherit"/>
          <w:szCs w:val="24"/>
        </w:rPr>
        <w:t xml:space="preserve">, 23 </w:t>
      </w:r>
      <w:r>
        <w:rPr>
          <w:rStyle w:val="y2iqfc"/>
          <w:rFonts w:ascii="inherit" w:hAnsi="inherit"/>
          <w:szCs w:val="24"/>
        </w:rPr>
        <w:t>тренера</w:t>
      </w:r>
      <w:r w:rsidR="0042679D" w:rsidRPr="00356865">
        <w:rPr>
          <w:rStyle w:val="y2iqfc"/>
          <w:rFonts w:ascii="inherit" w:hAnsi="inherit"/>
          <w:szCs w:val="24"/>
        </w:rPr>
        <w:t xml:space="preserve"> (</w:t>
      </w:r>
      <w:r>
        <w:rPr>
          <w:rStyle w:val="y2iqfc"/>
          <w:rFonts w:ascii="inherit" w:hAnsi="inherit"/>
          <w:szCs w:val="24"/>
        </w:rPr>
        <w:t>од</w:t>
      </w:r>
      <w:r w:rsidR="0042679D" w:rsidRPr="00356865">
        <w:rPr>
          <w:rStyle w:val="y2iqfc"/>
          <w:rFonts w:ascii="inherit" w:hAnsi="inherit"/>
          <w:szCs w:val="24"/>
        </w:rPr>
        <w:t xml:space="preserve"> </w:t>
      </w:r>
      <w:r>
        <w:rPr>
          <w:rStyle w:val="y2iqfc"/>
          <w:rFonts w:ascii="inherit" w:hAnsi="inherit"/>
          <w:szCs w:val="24"/>
        </w:rPr>
        <w:t>којих</w:t>
      </w:r>
      <w:r w:rsidR="0042679D" w:rsidRPr="00356865">
        <w:rPr>
          <w:rStyle w:val="y2iqfc"/>
          <w:rFonts w:ascii="inherit" w:hAnsi="inherit"/>
          <w:szCs w:val="24"/>
        </w:rPr>
        <w:t xml:space="preserve"> </w:t>
      </w:r>
      <w:r>
        <w:rPr>
          <w:rStyle w:val="y2iqfc"/>
          <w:rFonts w:ascii="inherit" w:hAnsi="inherit"/>
          <w:szCs w:val="24"/>
        </w:rPr>
        <w:t>је</w:t>
      </w:r>
      <w:r w:rsidR="0042679D" w:rsidRPr="00356865">
        <w:rPr>
          <w:rStyle w:val="y2iqfc"/>
          <w:rFonts w:ascii="inherit" w:hAnsi="inherit"/>
          <w:szCs w:val="24"/>
        </w:rPr>
        <w:t xml:space="preserve"> 21 </w:t>
      </w:r>
      <w:r>
        <w:rPr>
          <w:rStyle w:val="y2iqfc"/>
          <w:rFonts w:ascii="inherit" w:hAnsi="inherit"/>
          <w:szCs w:val="24"/>
        </w:rPr>
        <w:t>жена</w:t>
      </w:r>
      <w:r w:rsidR="0042679D" w:rsidRPr="00356865">
        <w:rPr>
          <w:rStyle w:val="y2iqfc"/>
          <w:rFonts w:ascii="inherit" w:hAnsi="inherit"/>
          <w:szCs w:val="24"/>
        </w:rPr>
        <w:t xml:space="preserve">) </w:t>
      </w:r>
      <w:r>
        <w:rPr>
          <w:rStyle w:val="y2iqfc"/>
          <w:rFonts w:ascii="inherit" w:hAnsi="inherit"/>
          <w:szCs w:val="24"/>
        </w:rPr>
        <w:t>цертифи</w:t>
      </w:r>
      <w:r w:rsidR="000124D3">
        <w:rPr>
          <w:rStyle w:val="y2iqfc"/>
          <w:rFonts w:ascii="inherit" w:hAnsi="inherit"/>
          <w:szCs w:val="24"/>
          <w:lang w:val="sr-Cyrl-BA"/>
        </w:rPr>
        <w:t>ковано</w:t>
      </w:r>
      <w:r w:rsidR="0042679D" w:rsidRPr="00356865">
        <w:rPr>
          <w:rStyle w:val="y2iqfc"/>
          <w:rFonts w:ascii="inherit" w:hAnsi="inherit"/>
          <w:szCs w:val="24"/>
        </w:rPr>
        <w:t xml:space="preserve"> </w:t>
      </w:r>
      <w:r>
        <w:rPr>
          <w:rStyle w:val="y2iqfc"/>
          <w:rFonts w:ascii="inherit" w:hAnsi="inherit"/>
          <w:szCs w:val="24"/>
        </w:rPr>
        <w:t>је</w:t>
      </w:r>
      <w:r w:rsidR="0042679D" w:rsidRPr="00356865">
        <w:rPr>
          <w:rStyle w:val="y2iqfc"/>
          <w:rFonts w:ascii="inherit" w:hAnsi="inherit"/>
          <w:szCs w:val="24"/>
        </w:rPr>
        <w:t xml:space="preserve"> </w:t>
      </w:r>
      <w:r>
        <w:rPr>
          <w:rStyle w:val="y2iqfc"/>
          <w:rFonts w:ascii="inherit" w:hAnsi="inherit"/>
          <w:szCs w:val="24"/>
        </w:rPr>
        <w:t>за</w:t>
      </w:r>
      <w:r w:rsidR="0042679D" w:rsidRPr="00356865">
        <w:rPr>
          <w:rStyle w:val="y2iqfc"/>
          <w:rFonts w:ascii="inherit" w:hAnsi="inherit"/>
          <w:szCs w:val="24"/>
        </w:rPr>
        <w:t xml:space="preserve"> </w:t>
      </w:r>
      <w:r w:rsidR="000124D3">
        <w:rPr>
          <w:rStyle w:val="y2iqfc"/>
          <w:rFonts w:ascii="inherit" w:hAnsi="inherit"/>
          <w:szCs w:val="24"/>
          <w:lang w:val="sr-Cyrl-BA"/>
        </w:rPr>
        <w:t>спровођење</w:t>
      </w:r>
      <w:r w:rsidR="0042679D" w:rsidRPr="00356865">
        <w:rPr>
          <w:rStyle w:val="y2iqfc"/>
          <w:rFonts w:ascii="inherit" w:hAnsi="inherit"/>
          <w:szCs w:val="24"/>
        </w:rPr>
        <w:t xml:space="preserve"> </w:t>
      </w:r>
      <w:r>
        <w:rPr>
          <w:rStyle w:val="y2iqfc"/>
          <w:rFonts w:ascii="inherit" w:hAnsi="inherit"/>
          <w:szCs w:val="24"/>
        </w:rPr>
        <w:t>програма</w:t>
      </w:r>
      <w:r w:rsidR="0042679D" w:rsidRPr="00356865">
        <w:rPr>
          <w:rStyle w:val="y2iqfc"/>
          <w:rFonts w:ascii="inherit" w:hAnsi="inherit"/>
          <w:szCs w:val="24"/>
        </w:rPr>
        <w:t xml:space="preserve"> </w:t>
      </w:r>
      <w:r w:rsidR="000124D3" w:rsidRPr="000124D3">
        <w:rPr>
          <w:rFonts w:ascii="inherit" w:hAnsi="inherit"/>
          <w:i/>
          <w:szCs w:val="24"/>
          <w:lang w:val="bs-Latn-BA"/>
        </w:rPr>
        <w:t>UN Women</w:t>
      </w:r>
      <w:r w:rsidR="000124D3" w:rsidRPr="000124D3">
        <w:rPr>
          <w:rFonts w:ascii="inherit" w:hAnsi="inherit"/>
          <w:i/>
          <w:szCs w:val="24"/>
        </w:rPr>
        <w:t xml:space="preserve"> </w:t>
      </w:r>
      <w:r w:rsidR="0042679D" w:rsidRPr="00356865">
        <w:rPr>
          <w:rStyle w:val="y2iqfc"/>
          <w:rFonts w:ascii="inherit" w:hAnsi="inherit"/>
          <w:szCs w:val="24"/>
        </w:rPr>
        <w:t>„</w:t>
      </w:r>
      <w:r>
        <w:rPr>
          <w:rStyle w:val="y2iqfc"/>
          <w:rFonts w:ascii="inherit" w:hAnsi="inherit"/>
          <w:szCs w:val="24"/>
        </w:rPr>
        <w:t>Политичко</w:t>
      </w:r>
      <w:r w:rsidR="0042679D" w:rsidRPr="00356865">
        <w:rPr>
          <w:rStyle w:val="y2iqfc"/>
          <w:rFonts w:ascii="inherit" w:hAnsi="inherit"/>
          <w:szCs w:val="24"/>
        </w:rPr>
        <w:t xml:space="preserve"> </w:t>
      </w:r>
      <w:r>
        <w:rPr>
          <w:rStyle w:val="y2iqfc"/>
          <w:rFonts w:ascii="inherit" w:hAnsi="inherit"/>
          <w:szCs w:val="24"/>
        </w:rPr>
        <w:t>лидерство</w:t>
      </w:r>
      <w:r w:rsidR="0042679D" w:rsidRPr="00356865">
        <w:rPr>
          <w:rStyle w:val="y2iqfc"/>
          <w:rFonts w:ascii="inherit" w:hAnsi="inherit"/>
          <w:szCs w:val="24"/>
        </w:rPr>
        <w:t xml:space="preserve"> </w:t>
      </w:r>
      <w:r>
        <w:rPr>
          <w:rStyle w:val="y2iqfc"/>
          <w:rFonts w:ascii="inherit" w:hAnsi="inherit"/>
          <w:szCs w:val="24"/>
        </w:rPr>
        <w:t>и</w:t>
      </w:r>
      <w:r w:rsidR="0042679D" w:rsidRPr="00356865">
        <w:rPr>
          <w:rStyle w:val="y2iqfc"/>
          <w:rFonts w:ascii="inherit" w:hAnsi="inherit"/>
          <w:szCs w:val="24"/>
        </w:rPr>
        <w:t xml:space="preserve"> </w:t>
      </w:r>
      <w:r>
        <w:rPr>
          <w:rStyle w:val="y2iqfc"/>
          <w:rFonts w:ascii="inherit" w:hAnsi="inherit"/>
          <w:szCs w:val="24"/>
        </w:rPr>
        <w:t>обука</w:t>
      </w:r>
      <w:r w:rsidR="0042679D" w:rsidRPr="00356865">
        <w:rPr>
          <w:rStyle w:val="y2iqfc"/>
          <w:rFonts w:ascii="inherit" w:hAnsi="inherit"/>
          <w:szCs w:val="24"/>
        </w:rPr>
        <w:t xml:space="preserve"> </w:t>
      </w:r>
      <w:r>
        <w:rPr>
          <w:rStyle w:val="y2iqfc"/>
          <w:rFonts w:ascii="inherit" w:hAnsi="inherit"/>
          <w:szCs w:val="24"/>
        </w:rPr>
        <w:t>кандидаткиња</w:t>
      </w:r>
      <w:r w:rsidR="0042679D" w:rsidRPr="00356865">
        <w:rPr>
          <w:rStyle w:val="y2iqfc"/>
          <w:rFonts w:ascii="inherit" w:hAnsi="inherit"/>
          <w:szCs w:val="24"/>
        </w:rPr>
        <w:t xml:space="preserve">“ </w:t>
      </w:r>
      <w:r w:rsidR="000124D3">
        <w:rPr>
          <w:rStyle w:val="y2iqfc"/>
          <w:rFonts w:ascii="inherit" w:hAnsi="inherit"/>
          <w:szCs w:val="24"/>
          <w:lang w:val="sr-Cyrl-BA"/>
        </w:rPr>
        <w:t>с</w:t>
      </w:r>
      <w:r w:rsidR="0042679D" w:rsidRPr="00356865">
        <w:rPr>
          <w:rStyle w:val="y2iqfc"/>
          <w:rFonts w:ascii="inherit" w:hAnsi="inherit"/>
          <w:szCs w:val="24"/>
        </w:rPr>
        <w:t xml:space="preserve"> </w:t>
      </w:r>
      <w:r>
        <w:rPr>
          <w:rStyle w:val="y2iqfc"/>
          <w:rFonts w:ascii="inherit" w:hAnsi="inherit"/>
          <w:szCs w:val="24"/>
        </w:rPr>
        <w:t>циљ</w:t>
      </w:r>
      <w:r w:rsidR="000124D3">
        <w:rPr>
          <w:rStyle w:val="y2iqfc"/>
          <w:rFonts w:ascii="inherit" w:hAnsi="inherit"/>
          <w:szCs w:val="24"/>
          <w:lang w:val="sr-Cyrl-BA"/>
        </w:rPr>
        <w:t>ем</w:t>
      </w:r>
      <w:r w:rsidR="0042679D" w:rsidRPr="00356865">
        <w:rPr>
          <w:rStyle w:val="y2iqfc"/>
          <w:rFonts w:ascii="inherit" w:hAnsi="inherit"/>
          <w:szCs w:val="24"/>
        </w:rPr>
        <w:t xml:space="preserve"> </w:t>
      </w:r>
      <w:r>
        <w:rPr>
          <w:rStyle w:val="y2iqfc"/>
          <w:rFonts w:ascii="inherit" w:hAnsi="inherit"/>
          <w:szCs w:val="24"/>
        </w:rPr>
        <w:t>јачања</w:t>
      </w:r>
      <w:r w:rsidR="0042679D" w:rsidRPr="00356865">
        <w:rPr>
          <w:rStyle w:val="y2iqfc"/>
          <w:rFonts w:ascii="inherit" w:hAnsi="inherit"/>
          <w:szCs w:val="24"/>
        </w:rPr>
        <w:t xml:space="preserve"> </w:t>
      </w:r>
      <w:r>
        <w:rPr>
          <w:rStyle w:val="y2iqfc"/>
          <w:rFonts w:ascii="inherit" w:hAnsi="inherit"/>
          <w:szCs w:val="24"/>
        </w:rPr>
        <w:t>капацитета</w:t>
      </w:r>
      <w:r w:rsidR="0042679D" w:rsidRPr="00356865">
        <w:rPr>
          <w:rStyle w:val="y2iqfc"/>
          <w:rFonts w:ascii="inherit" w:hAnsi="inherit"/>
          <w:szCs w:val="24"/>
        </w:rPr>
        <w:t xml:space="preserve"> </w:t>
      </w:r>
      <w:r>
        <w:rPr>
          <w:rStyle w:val="y2iqfc"/>
          <w:rFonts w:ascii="inherit" w:hAnsi="inherit"/>
          <w:szCs w:val="24"/>
        </w:rPr>
        <w:t>жена</w:t>
      </w:r>
      <w:r w:rsidR="0042679D" w:rsidRPr="00356865">
        <w:rPr>
          <w:rStyle w:val="y2iqfc"/>
          <w:rFonts w:ascii="inherit" w:hAnsi="inherit"/>
          <w:szCs w:val="24"/>
        </w:rPr>
        <w:t xml:space="preserve"> </w:t>
      </w:r>
      <w:r>
        <w:rPr>
          <w:rStyle w:val="y2iqfc"/>
          <w:rFonts w:ascii="inherit" w:hAnsi="inherit"/>
          <w:szCs w:val="24"/>
        </w:rPr>
        <w:t>на</w:t>
      </w:r>
      <w:r w:rsidR="0042679D" w:rsidRPr="00356865">
        <w:rPr>
          <w:rStyle w:val="y2iqfc"/>
          <w:rFonts w:ascii="inherit" w:hAnsi="inherit"/>
          <w:szCs w:val="24"/>
        </w:rPr>
        <w:t xml:space="preserve"> </w:t>
      </w:r>
      <w:r>
        <w:rPr>
          <w:rStyle w:val="y2iqfc"/>
          <w:rFonts w:ascii="inherit" w:hAnsi="inherit"/>
          <w:szCs w:val="24"/>
        </w:rPr>
        <w:t>изабраним</w:t>
      </w:r>
      <w:r w:rsidR="0042679D" w:rsidRPr="00356865">
        <w:rPr>
          <w:rStyle w:val="y2iqfc"/>
          <w:rFonts w:ascii="inherit" w:hAnsi="inherit"/>
          <w:szCs w:val="24"/>
        </w:rPr>
        <w:t xml:space="preserve"> </w:t>
      </w:r>
      <w:r>
        <w:rPr>
          <w:rStyle w:val="y2iqfc"/>
          <w:rFonts w:ascii="inherit" w:hAnsi="inherit"/>
          <w:szCs w:val="24"/>
        </w:rPr>
        <w:t>функцијама</w:t>
      </w:r>
      <w:r w:rsidR="0042679D" w:rsidRPr="00356865">
        <w:rPr>
          <w:rStyle w:val="y2iqfc"/>
          <w:rFonts w:ascii="inherit" w:hAnsi="inherit"/>
          <w:szCs w:val="24"/>
        </w:rPr>
        <w:t xml:space="preserve">, </w:t>
      </w:r>
      <w:r>
        <w:rPr>
          <w:rStyle w:val="y2iqfc"/>
          <w:rFonts w:ascii="inherit" w:hAnsi="inherit"/>
          <w:szCs w:val="24"/>
        </w:rPr>
        <w:t>парламентараца</w:t>
      </w:r>
      <w:r w:rsidR="0042679D" w:rsidRPr="00356865">
        <w:rPr>
          <w:rStyle w:val="y2iqfc"/>
          <w:rFonts w:ascii="inherit" w:hAnsi="inherit"/>
          <w:szCs w:val="24"/>
        </w:rPr>
        <w:t xml:space="preserve"> </w:t>
      </w:r>
      <w:r>
        <w:rPr>
          <w:rStyle w:val="y2iqfc"/>
          <w:rFonts w:ascii="inherit" w:hAnsi="inherit"/>
          <w:szCs w:val="24"/>
        </w:rPr>
        <w:t>и</w:t>
      </w:r>
      <w:r w:rsidR="0042679D" w:rsidRPr="00356865">
        <w:rPr>
          <w:rStyle w:val="y2iqfc"/>
          <w:rFonts w:ascii="inherit" w:hAnsi="inherit"/>
          <w:szCs w:val="24"/>
        </w:rPr>
        <w:t xml:space="preserve"> </w:t>
      </w:r>
      <w:r>
        <w:rPr>
          <w:rStyle w:val="y2iqfc"/>
          <w:rFonts w:ascii="inherit" w:hAnsi="inherit"/>
          <w:szCs w:val="24"/>
        </w:rPr>
        <w:t>кандидаткиња</w:t>
      </w:r>
      <w:r w:rsidR="0042679D" w:rsidRPr="00356865">
        <w:rPr>
          <w:rStyle w:val="y2iqfc"/>
          <w:rFonts w:ascii="inherit" w:hAnsi="inherit"/>
          <w:szCs w:val="24"/>
        </w:rPr>
        <w:t xml:space="preserve"> </w:t>
      </w:r>
      <w:r>
        <w:rPr>
          <w:rStyle w:val="y2iqfc"/>
          <w:rFonts w:ascii="inherit" w:hAnsi="inherit"/>
          <w:szCs w:val="24"/>
        </w:rPr>
        <w:t>за</w:t>
      </w:r>
      <w:r w:rsidR="0042679D" w:rsidRPr="00356865">
        <w:rPr>
          <w:rStyle w:val="y2iqfc"/>
          <w:rFonts w:ascii="inherit" w:hAnsi="inherit"/>
          <w:szCs w:val="24"/>
        </w:rPr>
        <w:t xml:space="preserve"> </w:t>
      </w:r>
      <w:r>
        <w:rPr>
          <w:rStyle w:val="y2iqfc"/>
          <w:rFonts w:ascii="inherit" w:hAnsi="inherit"/>
          <w:szCs w:val="24"/>
        </w:rPr>
        <w:t>ефикасно</w:t>
      </w:r>
      <w:r w:rsidR="0042679D" w:rsidRPr="00356865">
        <w:rPr>
          <w:rStyle w:val="y2iqfc"/>
          <w:rFonts w:ascii="inherit" w:hAnsi="inherit"/>
          <w:szCs w:val="24"/>
        </w:rPr>
        <w:t xml:space="preserve"> </w:t>
      </w:r>
      <w:r>
        <w:rPr>
          <w:rStyle w:val="y2iqfc"/>
          <w:rFonts w:ascii="inherit" w:hAnsi="inherit"/>
          <w:szCs w:val="24"/>
        </w:rPr>
        <w:t>учешће</w:t>
      </w:r>
      <w:r w:rsidR="0042679D" w:rsidRPr="00356865">
        <w:rPr>
          <w:rStyle w:val="y2iqfc"/>
          <w:rFonts w:ascii="inherit" w:hAnsi="inherit"/>
          <w:szCs w:val="24"/>
        </w:rPr>
        <w:t xml:space="preserve"> </w:t>
      </w:r>
      <w:r>
        <w:rPr>
          <w:rStyle w:val="y2iqfc"/>
          <w:rFonts w:ascii="inherit" w:hAnsi="inherit"/>
          <w:szCs w:val="24"/>
        </w:rPr>
        <w:t>у</w:t>
      </w:r>
      <w:r w:rsidR="0042679D" w:rsidRPr="00356865">
        <w:rPr>
          <w:rStyle w:val="y2iqfc"/>
          <w:rFonts w:ascii="inherit" w:hAnsi="inherit"/>
          <w:szCs w:val="24"/>
        </w:rPr>
        <w:t xml:space="preserve"> </w:t>
      </w:r>
      <w:r>
        <w:rPr>
          <w:rStyle w:val="y2iqfc"/>
          <w:rFonts w:ascii="inherit" w:hAnsi="inherit"/>
          <w:szCs w:val="24"/>
        </w:rPr>
        <w:t>такмичењима</w:t>
      </w:r>
      <w:r w:rsidR="0042679D" w:rsidRPr="00356865">
        <w:rPr>
          <w:rStyle w:val="y2iqfc"/>
          <w:rFonts w:ascii="inherit" w:hAnsi="inherit"/>
          <w:szCs w:val="24"/>
        </w:rPr>
        <w:t xml:space="preserve"> </w:t>
      </w:r>
      <w:r>
        <w:rPr>
          <w:rStyle w:val="y2iqfc"/>
          <w:rFonts w:ascii="inherit" w:hAnsi="inherit"/>
          <w:szCs w:val="24"/>
        </w:rPr>
        <w:t>за</w:t>
      </w:r>
      <w:r w:rsidR="0042679D" w:rsidRPr="00356865">
        <w:rPr>
          <w:rStyle w:val="y2iqfc"/>
          <w:rFonts w:ascii="inherit" w:hAnsi="inherit"/>
          <w:szCs w:val="24"/>
        </w:rPr>
        <w:t xml:space="preserve"> </w:t>
      </w:r>
      <w:r>
        <w:rPr>
          <w:rStyle w:val="y2iqfc"/>
          <w:rFonts w:ascii="inherit" w:hAnsi="inherit"/>
          <w:szCs w:val="24"/>
        </w:rPr>
        <w:t>лидерство</w:t>
      </w:r>
      <w:r w:rsidR="0042679D" w:rsidRPr="00356865">
        <w:rPr>
          <w:rStyle w:val="y2iqfc"/>
          <w:rFonts w:ascii="inherit" w:hAnsi="inherit"/>
          <w:szCs w:val="24"/>
        </w:rPr>
        <w:t xml:space="preserve">. </w:t>
      </w:r>
      <w:r>
        <w:rPr>
          <w:rStyle w:val="y2iqfc"/>
          <w:rFonts w:ascii="inherit" w:hAnsi="inherit"/>
          <w:szCs w:val="24"/>
        </w:rPr>
        <w:t>Ове</w:t>
      </w:r>
      <w:r w:rsidR="0042679D" w:rsidRPr="00356865">
        <w:rPr>
          <w:rStyle w:val="y2iqfc"/>
          <w:rFonts w:ascii="inherit" w:hAnsi="inherit"/>
          <w:szCs w:val="24"/>
        </w:rPr>
        <w:t xml:space="preserve"> </w:t>
      </w:r>
      <w:r>
        <w:rPr>
          <w:rStyle w:val="y2iqfc"/>
          <w:rFonts w:ascii="inherit" w:hAnsi="inherit"/>
          <w:szCs w:val="24"/>
        </w:rPr>
        <w:t>тренерице</w:t>
      </w:r>
      <w:r w:rsidR="0042679D" w:rsidRPr="00356865">
        <w:rPr>
          <w:rStyle w:val="y2iqfc"/>
          <w:rFonts w:ascii="inherit" w:hAnsi="inherit"/>
          <w:szCs w:val="24"/>
        </w:rPr>
        <w:t xml:space="preserve"> </w:t>
      </w:r>
      <w:r>
        <w:rPr>
          <w:rStyle w:val="y2iqfc"/>
          <w:rFonts w:ascii="inherit" w:hAnsi="inherit"/>
          <w:szCs w:val="24"/>
        </w:rPr>
        <w:t>су</w:t>
      </w:r>
      <w:r w:rsidR="0042679D" w:rsidRPr="00356865">
        <w:rPr>
          <w:rStyle w:val="y2iqfc"/>
          <w:rFonts w:ascii="inherit" w:hAnsi="inherit"/>
          <w:szCs w:val="24"/>
        </w:rPr>
        <w:t xml:space="preserve"> </w:t>
      </w:r>
      <w:r>
        <w:rPr>
          <w:rStyle w:val="y2iqfc"/>
          <w:rFonts w:ascii="inherit" w:hAnsi="inherit"/>
          <w:szCs w:val="24"/>
        </w:rPr>
        <w:t>обучиле</w:t>
      </w:r>
      <w:r w:rsidR="0042679D" w:rsidRPr="00356865">
        <w:rPr>
          <w:rStyle w:val="y2iqfc"/>
          <w:rFonts w:ascii="inherit" w:hAnsi="inherit"/>
          <w:szCs w:val="24"/>
        </w:rPr>
        <w:t xml:space="preserve"> 1</w:t>
      </w:r>
      <w:r w:rsidR="00356865">
        <w:rPr>
          <w:rStyle w:val="y2iqfc"/>
          <w:rFonts w:ascii="inherit" w:hAnsi="inherit"/>
          <w:szCs w:val="24"/>
        </w:rPr>
        <w:t xml:space="preserve">71 </w:t>
      </w:r>
      <w:r>
        <w:rPr>
          <w:rStyle w:val="y2iqfc"/>
          <w:rFonts w:ascii="inherit" w:hAnsi="inherit"/>
          <w:szCs w:val="24"/>
        </w:rPr>
        <w:t>кандидаткињу</w:t>
      </w:r>
      <w:r w:rsidR="0042679D" w:rsidRPr="00356865">
        <w:rPr>
          <w:rStyle w:val="y2iqfc"/>
          <w:rFonts w:ascii="inherit" w:hAnsi="inherit"/>
          <w:szCs w:val="24"/>
        </w:rPr>
        <w:t xml:space="preserve">, </w:t>
      </w:r>
      <w:r>
        <w:rPr>
          <w:rStyle w:val="y2iqfc"/>
          <w:rFonts w:ascii="inherit" w:hAnsi="inherit"/>
          <w:szCs w:val="24"/>
        </w:rPr>
        <w:t>које</w:t>
      </w:r>
      <w:r w:rsidR="0042679D" w:rsidRPr="00356865">
        <w:rPr>
          <w:rStyle w:val="y2iqfc"/>
          <w:rFonts w:ascii="inherit" w:hAnsi="inherit"/>
          <w:szCs w:val="24"/>
        </w:rPr>
        <w:t xml:space="preserve"> </w:t>
      </w:r>
      <w:r>
        <w:rPr>
          <w:rStyle w:val="y2iqfc"/>
          <w:rFonts w:ascii="inherit" w:hAnsi="inherit"/>
          <w:szCs w:val="24"/>
        </w:rPr>
        <w:t>су</w:t>
      </w:r>
      <w:r w:rsidR="0042679D" w:rsidRPr="00356865">
        <w:rPr>
          <w:rStyle w:val="y2iqfc"/>
          <w:rFonts w:ascii="inherit" w:hAnsi="inherit"/>
          <w:szCs w:val="24"/>
        </w:rPr>
        <w:t xml:space="preserve"> </w:t>
      </w:r>
      <w:r>
        <w:rPr>
          <w:rStyle w:val="y2iqfc"/>
          <w:rFonts w:ascii="inherit" w:hAnsi="inherit"/>
          <w:szCs w:val="24"/>
        </w:rPr>
        <w:t>оснажене</w:t>
      </w:r>
      <w:r w:rsidR="0042679D" w:rsidRPr="00356865">
        <w:rPr>
          <w:rStyle w:val="y2iqfc"/>
          <w:rFonts w:ascii="inherit" w:hAnsi="inherit"/>
          <w:szCs w:val="24"/>
        </w:rPr>
        <w:t xml:space="preserve"> </w:t>
      </w:r>
      <w:r>
        <w:rPr>
          <w:rStyle w:val="y2iqfc"/>
          <w:rFonts w:ascii="inherit" w:hAnsi="inherit"/>
          <w:szCs w:val="24"/>
        </w:rPr>
        <w:t>кроз</w:t>
      </w:r>
      <w:r w:rsidR="0042679D" w:rsidRPr="00356865">
        <w:rPr>
          <w:rStyle w:val="y2iqfc"/>
          <w:rFonts w:ascii="inherit" w:hAnsi="inherit"/>
          <w:szCs w:val="24"/>
        </w:rPr>
        <w:t xml:space="preserve"> 11 </w:t>
      </w:r>
      <w:r>
        <w:rPr>
          <w:rStyle w:val="y2iqfc"/>
          <w:rFonts w:ascii="inherit" w:hAnsi="inherit"/>
          <w:szCs w:val="24"/>
        </w:rPr>
        <w:t>обука</w:t>
      </w:r>
      <w:r w:rsidR="0042679D" w:rsidRPr="00356865">
        <w:rPr>
          <w:rStyle w:val="y2iqfc"/>
          <w:rFonts w:ascii="inherit" w:hAnsi="inherit"/>
          <w:szCs w:val="24"/>
        </w:rPr>
        <w:t>.</w:t>
      </w:r>
    </w:p>
    <w:p w:rsidR="0042679D" w:rsidRPr="00356865" w:rsidRDefault="0042679D" w:rsidP="0086268D">
      <w:pPr>
        <w:pStyle w:val="HTMLPreformatted"/>
        <w:jc w:val="both"/>
        <w:rPr>
          <w:rStyle w:val="y2iqfc"/>
          <w:rFonts w:ascii="inherit" w:hAnsi="inherit"/>
          <w:sz w:val="24"/>
          <w:szCs w:val="24"/>
        </w:rPr>
      </w:pPr>
    </w:p>
    <w:p w:rsidR="0042679D" w:rsidRPr="00356865" w:rsidRDefault="00C6214E" w:rsidP="0086268D">
      <w:pPr>
        <w:pStyle w:val="ListParagraph"/>
        <w:numPr>
          <w:ilvl w:val="0"/>
          <w:numId w:val="17"/>
        </w:numPr>
        <w:jc w:val="both"/>
        <w:rPr>
          <w:rFonts w:ascii="Times New Roman" w:hAnsi="Times New Roman"/>
          <w:szCs w:val="24"/>
          <w:lang w:val="bs-Latn-BA"/>
        </w:rPr>
      </w:pPr>
      <w:r>
        <w:rPr>
          <w:rStyle w:val="y2iqfc"/>
          <w:rFonts w:ascii="inherit" w:hAnsi="inherit"/>
          <w:szCs w:val="24"/>
        </w:rPr>
        <w:t>АР</w:t>
      </w:r>
      <w:r w:rsidR="000124D3">
        <w:rPr>
          <w:rStyle w:val="y2iqfc"/>
          <w:rFonts w:ascii="inherit" w:hAnsi="inherit"/>
          <w:szCs w:val="24"/>
          <w:lang w:val="sr-Cyrl-BA"/>
        </w:rPr>
        <w:t>П</w:t>
      </w:r>
      <w:r w:rsidR="00356865">
        <w:rPr>
          <w:rStyle w:val="y2iqfc"/>
          <w:rFonts w:ascii="inherit" w:hAnsi="inherit"/>
          <w:szCs w:val="24"/>
        </w:rPr>
        <w:t xml:space="preserve"> </w:t>
      </w:r>
      <w:r>
        <w:rPr>
          <w:rStyle w:val="y2iqfc"/>
          <w:rFonts w:ascii="inherit" w:hAnsi="inherit"/>
          <w:szCs w:val="24"/>
        </w:rPr>
        <w:t>БиХ</w:t>
      </w:r>
      <w:r w:rsidR="00356865">
        <w:rPr>
          <w:rStyle w:val="y2iqfc"/>
          <w:rFonts w:ascii="inherit" w:hAnsi="inherit"/>
          <w:szCs w:val="24"/>
        </w:rPr>
        <w:t xml:space="preserve"> </w:t>
      </w:r>
      <w:r>
        <w:rPr>
          <w:rStyle w:val="y2iqfc"/>
          <w:rFonts w:ascii="inherit" w:hAnsi="inherit"/>
          <w:szCs w:val="24"/>
        </w:rPr>
        <w:t>МЉПИ</w:t>
      </w:r>
      <w:r w:rsidR="00356865">
        <w:rPr>
          <w:rStyle w:val="y2iqfc"/>
          <w:rFonts w:ascii="inherit" w:hAnsi="inherit"/>
          <w:szCs w:val="24"/>
        </w:rPr>
        <w:t xml:space="preserve"> </w:t>
      </w:r>
      <w:r>
        <w:rPr>
          <w:rStyle w:val="y2iqfc"/>
          <w:rFonts w:ascii="inherit" w:hAnsi="inherit"/>
          <w:szCs w:val="24"/>
        </w:rPr>
        <w:t>БиХ</w:t>
      </w:r>
      <w:r w:rsidR="0042679D" w:rsidRPr="00356865">
        <w:rPr>
          <w:rStyle w:val="y2iqfc"/>
          <w:rFonts w:ascii="inherit" w:hAnsi="inherit"/>
          <w:szCs w:val="24"/>
        </w:rPr>
        <w:t xml:space="preserve"> </w:t>
      </w:r>
      <w:r>
        <w:rPr>
          <w:rStyle w:val="y2iqfc"/>
          <w:rFonts w:ascii="inherit" w:hAnsi="inherit"/>
          <w:szCs w:val="24"/>
        </w:rPr>
        <w:t>и</w:t>
      </w:r>
      <w:r w:rsidR="0042679D" w:rsidRPr="00356865">
        <w:rPr>
          <w:rStyle w:val="y2iqfc"/>
          <w:rFonts w:ascii="inherit" w:hAnsi="inherit"/>
          <w:szCs w:val="24"/>
        </w:rPr>
        <w:t xml:space="preserve"> </w:t>
      </w:r>
      <w:r w:rsidR="000124D3" w:rsidRPr="000124D3">
        <w:rPr>
          <w:rFonts w:ascii="inherit" w:hAnsi="inherit"/>
          <w:i/>
          <w:iCs/>
          <w:szCs w:val="24"/>
          <w:lang w:val="bs-Latn-BA"/>
        </w:rPr>
        <w:t>UN Women</w:t>
      </w:r>
      <w:r w:rsidR="0042679D" w:rsidRPr="00356865">
        <w:rPr>
          <w:rStyle w:val="y2iqfc"/>
          <w:rFonts w:ascii="inherit" w:hAnsi="inherit"/>
          <w:szCs w:val="24"/>
        </w:rPr>
        <w:t xml:space="preserve">, </w:t>
      </w:r>
      <w:r>
        <w:rPr>
          <w:rStyle w:val="y2iqfc"/>
          <w:rFonts w:ascii="inherit" w:hAnsi="inherit"/>
          <w:szCs w:val="24"/>
        </w:rPr>
        <w:t>уз</w:t>
      </w:r>
      <w:r w:rsidR="0042679D" w:rsidRPr="00356865">
        <w:rPr>
          <w:rStyle w:val="y2iqfc"/>
          <w:rFonts w:ascii="inherit" w:hAnsi="inherit"/>
          <w:szCs w:val="24"/>
        </w:rPr>
        <w:t xml:space="preserve"> </w:t>
      </w:r>
      <w:r>
        <w:rPr>
          <w:rStyle w:val="y2iqfc"/>
          <w:rFonts w:ascii="inherit" w:hAnsi="inherit"/>
          <w:szCs w:val="24"/>
        </w:rPr>
        <w:t>подршку</w:t>
      </w:r>
      <w:r w:rsidR="0042679D" w:rsidRPr="00356865">
        <w:rPr>
          <w:rStyle w:val="y2iqfc"/>
          <w:rFonts w:ascii="inherit" w:hAnsi="inherit"/>
          <w:szCs w:val="24"/>
        </w:rPr>
        <w:t xml:space="preserve"> </w:t>
      </w:r>
      <w:r>
        <w:rPr>
          <w:rStyle w:val="y2iqfc"/>
          <w:rFonts w:ascii="inherit" w:hAnsi="inherit"/>
          <w:szCs w:val="24"/>
        </w:rPr>
        <w:t>ЕУ</w:t>
      </w:r>
      <w:r w:rsidR="0042679D" w:rsidRPr="00356865">
        <w:rPr>
          <w:rStyle w:val="y2iqfc"/>
          <w:rFonts w:ascii="inherit" w:hAnsi="inherit"/>
          <w:szCs w:val="24"/>
        </w:rPr>
        <w:t xml:space="preserve">, </w:t>
      </w:r>
      <w:r>
        <w:rPr>
          <w:rStyle w:val="y2iqfc"/>
          <w:rFonts w:ascii="inherit" w:hAnsi="inherit"/>
          <w:szCs w:val="24"/>
        </w:rPr>
        <w:t>организ</w:t>
      </w:r>
      <w:r w:rsidR="000124D3">
        <w:rPr>
          <w:rStyle w:val="y2iqfc"/>
          <w:rFonts w:ascii="inherit" w:hAnsi="inherit"/>
          <w:szCs w:val="24"/>
          <w:lang w:val="sr-Cyrl-BA"/>
        </w:rPr>
        <w:t>овали</w:t>
      </w:r>
      <w:r w:rsidR="0042679D" w:rsidRPr="00356865">
        <w:rPr>
          <w:rStyle w:val="y2iqfc"/>
          <w:rFonts w:ascii="inherit" w:hAnsi="inherit"/>
          <w:szCs w:val="24"/>
        </w:rPr>
        <w:t xml:space="preserve"> </w:t>
      </w:r>
      <w:r>
        <w:rPr>
          <w:rStyle w:val="y2iqfc"/>
          <w:rFonts w:ascii="inherit" w:hAnsi="inherit"/>
          <w:szCs w:val="24"/>
        </w:rPr>
        <w:t>су</w:t>
      </w:r>
      <w:r w:rsidR="0042679D" w:rsidRPr="00356865">
        <w:rPr>
          <w:rStyle w:val="y2iqfc"/>
          <w:rFonts w:ascii="inherit" w:hAnsi="inherit"/>
          <w:szCs w:val="24"/>
        </w:rPr>
        <w:t xml:space="preserve"> </w:t>
      </w:r>
      <w:r>
        <w:rPr>
          <w:rStyle w:val="y2iqfc"/>
          <w:rFonts w:ascii="inherit" w:hAnsi="inherit"/>
          <w:szCs w:val="24"/>
        </w:rPr>
        <w:t>дводневну</w:t>
      </w:r>
      <w:r w:rsidR="0042679D" w:rsidRPr="00356865">
        <w:rPr>
          <w:rStyle w:val="y2iqfc"/>
          <w:rFonts w:ascii="inherit" w:hAnsi="inherit"/>
          <w:szCs w:val="24"/>
        </w:rPr>
        <w:t xml:space="preserve"> „</w:t>
      </w:r>
      <w:r>
        <w:rPr>
          <w:rStyle w:val="y2iqfc"/>
          <w:rFonts w:ascii="inherit" w:hAnsi="inherit"/>
          <w:szCs w:val="24"/>
        </w:rPr>
        <w:t>Конференцију</w:t>
      </w:r>
      <w:r w:rsidR="0042679D" w:rsidRPr="00356865">
        <w:rPr>
          <w:rStyle w:val="y2iqfc"/>
          <w:rFonts w:ascii="inherit" w:hAnsi="inherit"/>
          <w:szCs w:val="24"/>
        </w:rPr>
        <w:t xml:space="preserve"> </w:t>
      </w:r>
      <w:r>
        <w:rPr>
          <w:rStyle w:val="y2iqfc"/>
          <w:rFonts w:ascii="inherit" w:hAnsi="inherit"/>
          <w:szCs w:val="24"/>
        </w:rPr>
        <w:t>жена</w:t>
      </w:r>
      <w:r w:rsidR="0042679D" w:rsidRPr="00356865">
        <w:rPr>
          <w:rStyle w:val="y2iqfc"/>
          <w:rFonts w:ascii="inherit" w:hAnsi="inherit"/>
          <w:szCs w:val="24"/>
        </w:rPr>
        <w:t xml:space="preserve"> - </w:t>
      </w:r>
      <w:r>
        <w:rPr>
          <w:rStyle w:val="y2iqfc"/>
          <w:rFonts w:ascii="inherit" w:hAnsi="inherit"/>
          <w:szCs w:val="24"/>
        </w:rPr>
        <w:t>лидерки</w:t>
      </w:r>
      <w:r w:rsidR="0042679D" w:rsidRPr="00356865">
        <w:rPr>
          <w:rStyle w:val="y2iqfc"/>
          <w:rFonts w:ascii="inherit" w:hAnsi="inherit"/>
          <w:szCs w:val="24"/>
        </w:rPr>
        <w:t xml:space="preserve">“. </w:t>
      </w:r>
      <w:r>
        <w:rPr>
          <w:rStyle w:val="y2iqfc"/>
          <w:rFonts w:ascii="inherit" w:hAnsi="inherit"/>
          <w:szCs w:val="24"/>
        </w:rPr>
        <w:t>Конференција</w:t>
      </w:r>
      <w:r w:rsidR="0042679D" w:rsidRPr="00356865">
        <w:rPr>
          <w:rStyle w:val="y2iqfc"/>
          <w:rFonts w:ascii="inherit" w:hAnsi="inherit"/>
          <w:szCs w:val="24"/>
        </w:rPr>
        <w:t xml:space="preserve"> </w:t>
      </w:r>
      <w:r>
        <w:rPr>
          <w:rStyle w:val="y2iqfc"/>
          <w:rFonts w:ascii="inherit" w:hAnsi="inherit"/>
          <w:szCs w:val="24"/>
        </w:rPr>
        <w:t>је</w:t>
      </w:r>
      <w:r w:rsidR="0042679D" w:rsidRPr="00356865">
        <w:rPr>
          <w:rStyle w:val="y2iqfc"/>
          <w:rFonts w:ascii="inherit" w:hAnsi="inherit"/>
          <w:szCs w:val="24"/>
        </w:rPr>
        <w:t xml:space="preserve"> </w:t>
      </w:r>
      <w:r>
        <w:rPr>
          <w:rStyle w:val="y2iqfc"/>
          <w:rFonts w:ascii="inherit" w:hAnsi="inherit"/>
          <w:szCs w:val="24"/>
        </w:rPr>
        <w:t>укључивала</w:t>
      </w:r>
      <w:r w:rsidR="00356865">
        <w:rPr>
          <w:rStyle w:val="y2iqfc"/>
          <w:rFonts w:ascii="inherit" w:hAnsi="inherit"/>
          <w:szCs w:val="24"/>
        </w:rPr>
        <w:t xml:space="preserve"> </w:t>
      </w:r>
      <w:r>
        <w:rPr>
          <w:rStyle w:val="y2iqfc"/>
          <w:rFonts w:ascii="inherit" w:hAnsi="inherit"/>
          <w:szCs w:val="24"/>
        </w:rPr>
        <w:t>панел</w:t>
      </w:r>
      <w:r w:rsidR="00356865">
        <w:rPr>
          <w:rStyle w:val="y2iqfc"/>
          <w:rFonts w:ascii="inherit" w:hAnsi="inherit"/>
          <w:szCs w:val="24"/>
        </w:rPr>
        <w:t xml:space="preserve"> </w:t>
      </w:r>
      <w:r>
        <w:rPr>
          <w:rStyle w:val="y2iqfc"/>
          <w:rFonts w:ascii="inherit" w:hAnsi="inherit"/>
          <w:szCs w:val="24"/>
        </w:rPr>
        <w:t>дискусију</w:t>
      </w:r>
      <w:r w:rsidR="00356865">
        <w:rPr>
          <w:rStyle w:val="y2iqfc"/>
          <w:rFonts w:ascii="inherit" w:hAnsi="inherit"/>
          <w:szCs w:val="24"/>
        </w:rPr>
        <w:t xml:space="preserve"> </w:t>
      </w:r>
      <w:r>
        <w:rPr>
          <w:rStyle w:val="y2iqfc"/>
          <w:rFonts w:ascii="inherit" w:hAnsi="inherit"/>
          <w:szCs w:val="24"/>
        </w:rPr>
        <w:t>са</w:t>
      </w:r>
      <w:r w:rsidR="0042679D" w:rsidRPr="00356865">
        <w:rPr>
          <w:rStyle w:val="y2iqfc"/>
          <w:rFonts w:ascii="inherit" w:hAnsi="inherit"/>
          <w:szCs w:val="24"/>
        </w:rPr>
        <w:t xml:space="preserve"> </w:t>
      </w:r>
      <w:r>
        <w:rPr>
          <w:rStyle w:val="y2iqfc"/>
          <w:rFonts w:ascii="inherit" w:hAnsi="inherit"/>
          <w:szCs w:val="24"/>
        </w:rPr>
        <w:t>изабраним</w:t>
      </w:r>
      <w:r w:rsidR="0042679D" w:rsidRPr="00356865">
        <w:rPr>
          <w:rStyle w:val="y2iqfc"/>
          <w:rFonts w:ascii="inherit" w:hAnsi="inherit"/>
          <w:szCs w:val="24"/>
        </w:rPr>
        <w:t xml:space="preserve"> </w:t>
      </w:r>
      <w:r>
        <w:rPr>
          <w:rStyle w:val="y2iqfc"/>
          <w:rFonts w:ascii="inherit" w:hAnsi="inherit"/>
          <w:szCs w:val="24"/>
        </w:rPr>
        <w:t>женама</w:t>
      </w:r>
      <w:r w:rsidR="0042679D" w:rsidRPr="00356865">
        <w:rPr>
          <w:rStyle w:val="y2iqfc"/>
          <w:rFonts w:ascii="inherit" w:hAnsi="inherit"/>
          <w:szCs w:val="24"/>
        </w:rPr>
        <w:t xml:space="preserve"> </w:t>
      </w:r>
      <w:r>
        <w:rPr>
          <w:rStyle w:val="y2iqfc"/>
          <w:rFonts w:ascii="inherit" w:hAnsi="inherit"/>
          <w:szCs w:val="24"/>
        </w:rPr>
        <w:t>учесницама</w:t>
      </w:r>
      <w:r w:rsidR="0042679D" w:rsidRPr="00356865">
        <w:rPr>
          <w:rStyle w:val="y2iqfc"/>
          <w:rFonts w:ascii="inherit" w:hAnsi="inherit"/>
          <w:szCs w:val="24"/>
        </w:rPr>
        <w:t xml:space="preserve"> </w:t>
      </w:r>
      <w:r>
        <w:rPr>
          <w:rStyle w:val="y2iqfc"/>
          <w:rFonts w:ascii="inherit" w:hAnsi="inherit"/>
          <w:szCs w:val="24"/>
        </w:rPr>
        <w:t>и</w:t>
      </w:r>
      <w:r w:rsidR="0042679D" w:rsidRPr="00356865">
        <w:rPr>
          <w:rStyle w:val="y2iqfc"/>
          <w:rFonts w:ascii="inherit" w:hAnsi="inherit"/>
          <w:szCs w:val="24"/>
        </w:rPr>
        <w:t xml:space="preserve"> </w:t>
      </w:r>
      <w:r>
        <w:rPr>
          <w:rStyle w:val="y2iqfc"/>
          <w:rFonts w:ascii="inherit" w:hAnsi="inherit"/>
          <w:szCs w:val="24"/>
        </w:rPr>
        <w:t>тренерицама</w:t>
      </w:r>
      <w:r w:rsidR="0042679D" w:rsidRPr="00356865">
        <w:rPr>
          <w:rStyle w:val="y2iqfc"/>
          <w:rFonts w:ascii="inherit" w:hAnsi="inherit"/>
          <w:szCs w:val="24"/>
        </w:rPr>
        <w:t xml:space="preserve"> </w:t>
      </w:r>
      <w:r>
        <w:rPr>
          <w:rStyle w:val="y2iqfc"/>
          <w:rFonts w:ascii="inherit" w:hAnsi="inherit"/>
          <w:szCs w:val="24"/>
        </w:rPr>
        <w:t>о</w:t>
      </w:r>
      <w:r w:rsidR="0042679D" w:rsidRPr="00356865">
        <w:rPr>
          <w:rStyle w:val="y2iqfc"/>
          <w:rFonts w:ascii="inherit" w:hAnsi="inherit"/>
          <w:szCs w:val="24"/>
        </w:rPr>
        <w:t xml:space="preserve"> </w:t>
      </w:r>
      <w:r>
        <w:rPr>
          <w:rStyle w:val="y2iqfc"/>
          <w:rFonts w:ascii="inherit" w:hAnsi="inherit"/>
          <w:szCs w:val="24"/>
        </w:rPr>
        <w:t>изборима</w:t>
      </w:r>
      <w:r w:rsidR="0042679D" w:rsidRPr="00356865">
        <w:rPr>
          <w:rStyle w:val="y2iqfc"/>
          <w:rFonts w:ascii="inherit" w:hAnsi="inherit"/>
          <w:szCs w:val="24"/>
        </w:rPr>
        <w:t xml:space="preserve"> </w:t>
      </w:r>
      <w:r>
        <w:rPr>
          <w:rStyle w:val="y2iqfc"/>
          <w:rFonts w:ascii="inherit" w:hAnsi="inherit"/>
          <w:szCs w:val="24"/>
        </w:rPr>
        <w:t>и</w:t>
      </w:r>
      <w:r w:rsidR="0042679D" w:rsidRPr="00356865">
        <w:rPr>
          <w:rStyle w:val="y2iqfc"/>
          <w:rFonts w:ascii="inherit" w:hAnsi="inherit"/>
          <w:szCs w:val="24"/>
        </w:rPr>
        <w:t xml:space="preserve"> </w:t>
      </w:r>
      <w:r>
        <w:rPr>
          <w:rStyle w:val="y2iqfc"/>
          <w:rFonts w:ascii="inherit" w:hAnsi="inherit"/>
          <w:szCs w:val="24"/>
        </w:rPr>
        <w:t>приступу</w:t>
      </w:r>
      <w:r w:rsidR="0042679D" w:rsidRPr="00356865">
        <w:rPr>
          <w:rStyle w:val="y2iqfc"/>
          <w:rFonts w:ascii="inherit" w:hAnsi="inherit"/>
          <w:szCs w:val="24"/>
        </w:rPr>
        <w:t xml:space="preserve"> </w:t>
      </w:r>
      <w:r>
        <w:rPr>
          <w:rStyle w:val="y2iqfc"/>
          <w:rFonts w:ascii="inherit" w:hAnsi="inherit"/>
          <w:szCs w:val="24"/>
        </w:rPr>
        <w:t>информацијама</w:t>
      </w:r>
      <w:r w:rsidR="0042679D" w:rsidRPr="00356865">
        <w:rPr>
          <w:rStyle w:val="y2iqfc"/>
          <w:rFonts w:ascii="inherit" w:hAnsi="inherit"/>
          <w:szCs w:val="24"/>
        </w:rPr>
        <w:t xml:space="preserve"> </w:t>
      </w:r>
      <w:r>
        <w:rPr>
          <w:rStyle w:val="y2iqfc"/>
          <w:rFonts w:ascii="inherit" w:hAnsi="inherit"/>
          <w:szCs w:val="24"/>
        </w:rPr>
        <w:t>и</w:t>
      </w:r>
      <w:r w:rsidR="0042679D" w:rsidRPr="00356865">
        <w:rPr>
          <w:rStyle w:val="y2iqfc"/>
          <w:rFonts w:ascii="inherit" w:hAnsi="inherit"/>
          <w:szCs w:val="24"/>
        </w:rPr>
        <w:t xml:space="preserve"> </w:t>
      </w:r>
      <w:r>
        <w:rPr>
          <w:rStyle w:val="y2iqfc"/>
          <w:rFonts w:ascii="inherit" w:hAnsi="inherit"/>
          <w:szCs w:val="24"/>
        </w:rPr>
        <w:t>образовању</w:t>
      </w:r>
      <w:r w:rsidR="0042679D" w:rsidRPr="00356865">
        <w:rPr>
          <w:rStyle w:val="y2iqfc"/>
          <w:rFonts w:ascii="inherit" w:hAnsi="inherit"/>
          <w:szCs w:val="24"/>
        </w:rPr>
        <w:t xml:space="preserve">, </w:t>
      </w:r>
      <w:r>
        <w:rPr>
          <w:rStyle w:val="y2iqfc"/>
          <w:rFonts w:ascii="inherit" w:hAnsi="inherit"/>
          <w:szCs w:val="24"/>
        </w:rPr>
        <w:t>презентације</w:t>
      </w:r>
      <w:r w:rsidR="0042679D" w:rsidRPr="00356865">
        <w:rPr>
          <w:rStyle w:val="y2iqfc"/>
          <w:rFonts w:ascii="inherit" w:hAnsi="inherit"/>
          <w:szCs w:val="24"/>
        </w:rPr>
        <w:t xml:space="preserve"> </w:t>
      </w:r>
      <w:r>
        <w:rPr>
          <w:rStyle w:val="y2iqfc"/>
          <w:rFonts w:ascii="inherit" w:hAnsi="inherit"/>
          <w:szCs w:val="24"/>
        </w:rPr>
        <w:t>о</w:t>
      </w:r>
      <w:r w:rsidR="0042679D" w:rsidRPr="00356865">
        <w:rPr>
          <w:rStyle w:val="y2iqfc"/>
          <w:rFonts w:ascii="inherit" w:hAnsi="inherit"/>
          <w:szCs w:val="24"/>
        </w:rPr>
        <w:t xml:space="preserve"> </w:t>
      </w:r>
      <w:r>
        <w:rPr>
          <w:rStyle w:val="y2iqfc"/>
          <w:rFonts w:ascii="inherit" w:hAnsi="inherit"/>
          <w:szCs w:val="24"/>
        </w:rPr>
        <w:t>родној</w:t>
      </w:r>
      <w:r w:rsidR="0042679D" w:rsidRPr="00356865">
        <w:rPr>
          <w:rStyle w:val="y2iqfc"/>
          <w:rFonts w:ascii="inherit" w:hAnsi="inherit"/>
          <w:szCs w:val="24"/>
        </w:rPr>
        <w:t xml:space="preserve"> </w:t>
      </w:r>
      <w:r>
        <w:rPr>
          <w:rStyle w:val="y2iqfc"/>
          <w:rFonts w:ascii="inherit" w:hAnsi="inherit"/>
          <w:szCs w:val="24"/>
        </w:rPr>
        <w:t>анализи</w:t>
      </w:r>
      <w:r w:rsidR="0042679D" w:rsidRPr="00356865">
        <w:rPr>
          <w:rStyle w:val="y2iqfc"/>
          <w:rFonts w:ascii="inherit" w:hAnsi="inherit"/>
          <w:szCs w:val="24"/>
        </w:rPr>
        <w:t xml:space="preserve"> </w:t>
      </w:r>
      <w:r>
        <w:rPr>
          <w:rStyle w:val="y2iqfc"/>
          <w:rFonts w:ascii="inherit" w:hAnsi="inherit"/>
          <w:szCs w:val="24"/>
        </w:rPr>
        <w:t>избора</w:t>
      </w:r>
      <w:r w:rsidR="0042679D" w:rsidRPr="00356865">
        <w:rPr>
          <w:rStyle w:val="y2iqfc"/>
          <w:rFonts w:ascii="inherit" w:hAnsi="inherit"/>
          <w:szCs w:val="24"/>
        </w:rPr>
        <w:t xml:space="preserve"> </w:t>
      </w:r>
      <w:r>
        <w:rPr>
          <w:rStyle w:val="y2iqfc"/>
          <w:rFonts w:ascii="inherit" w:hAnsi="inherit"/>
          <w:szCs w:val="24"/>
        </w:rPr>
        <w:t>и</w:t>
      </w:r>
      <w:r w:rsidR="0042679D" w:rsidRPr="00356865">
        <w:rPr>
          <w:rStyle w:val="y2iqfc"/>
          <w:rFonts w:ascii="inherit" w:hAnsi="inherit"/>
          <w:szCs w:val="24"/>
        </w:rPr>
        <w:t xml:space="preserve"> </w:t>
      </w:r>
      <w:r>
        <w:rPr>
          <w:rStyle w:val="y2iqfc"/>
          <w:rFonts w:ascii="inherit" w:hAnsi="inherit"/>
          <w:szCs w:val="24"/>
        </w:rPr>
        <w:t>локализацији</w:t>
      </w:r>
      <w:r w:rsidR="0042679D" w:rsidRPr="00356865">
        <w:rPr>
          <w:rStyle w:val="y2iqfc"/>
          <w:rFonts w:ascii="inherit" w:hAnsi="inherit"/>
          <w:szCs w:val="24"/>
        </w:rPr>
        <w:t xml:space="preserve"> </w:t>
      </w:r>
      <w:r>
        <w:rPr>
          <w:rStyle w:val="y2iqfc"/>
          <w:rFonts w:ascii="inherit" w:hAnsi="inherit"/>
          <w:szCs w:val="24"/>
        </w:rPr>
        <w:t>Оп</w:t>
      </w:r>
      <w:r w:rsidR="000124D3">
        <w:rPr>
          <w:rStyle w:val="y2iqfc"/>
          <w:rFonts w:ascii="inherit" w:hAnsi="inherit"/>
          <w:szCs w:val="24"/>
          <w:lang w:val="sr-Cyrl-BA"/>
        </w:rPr>
        <w:t>шт</w:t>
      </w:r>
      <w:r>
        <w:rPr>
          <w:rStyle w:val="y2iqfc"/>
          <w:rFonts w:ascii="inherit" w:hAnsi="inherit"/>
          <w:szCs w:val="24"/>
        </w:rPr>
        <w:t>е</w:t>
      </w:r>
      <w:r w:rsidR="0042679D" w:rsidRPr="00356865">
        <w:rPr>
          <w:rStyle w:val="y2iqfc"/>
          <w:rFonts w:ascii="inherit" w:hAnsi="inherit"/>
          <w:szCs w:val="24"/>
        </w:rPr>
        <w:t xml:space="preserve"> </w:t>
      </w:r>
      <w:r>
        <w:rPr>
          <w:rStyle w:val="y2iqfc"/>
          <w:rFonts w:ascii="inherit" w:hAnsi="inherit"/>
          <w:szCs w:val="24"/>
        </w:rPr>
        <w:t>препоруке</w:t>
      </w:r>
      <w:r w:rsidR="0042679D" w:rsidRPr="00356865">
        <w:rPr>
          <w:rStyle w:val="y2iqfc"/>
          <w:rFonts w:ascii="inherit" w:hAnsi="inherit"/>
          <w:szCs w:val="24"/>
        </w:rPr>
        <w:t xml:space="preserve"> </w:t>
      </w:r>
      <w:r>
        <w:rPr>
          <w:rStyle w:val="y2iqfc"/>
          <w:rFonts w:ascii="inherit" w:hAnsi="inherit"/>
          <w:szCs w:val="24"/>
        </w:rPr>
        <w:t>бр</w:t>
      </w:r>
      <w:r w:rsidR="0042679D" w:rsidRPr="00356865">
        <w:rPr>
          <w:rStyle w:val="y2iqfc"/>
          <w:rFonts w:ascii="inherit" w:hAnsi="inherit"/>
          <w:szCs w:val="24"/>
        </w:rPr>
        <w:t xml:space="preserve">. 40 </w:t>
      </w:r>
      <w:r w:rsidR="00891BBE" w:rsidRPr="00891BBE">
        <w:rPr>
          <w:rFonts w:ascii="inherit" w:hAnsi="inherit"/>
          <w:i/>
          <w:szCs w:val="24"/>
        </w:rPr>
        <w:t>CEDAW</w:t>
      </w:r>
      <w:r w:rsidR="0042679D" w:rsidRPr="00356865">
        <w:rPr>
          <w:rStyle w:val="y2iqfc"/>
          <w:rFonts w:ascii="inherit" w:hAnsi="inherit"/>
          <w:szCs w:val="24"/>
        </w:rPr>
        <w:t>-</w:t>
      </w:r>
      <w:r>
        <w:rPr>
          <w:rStyle w:val="y2iqfc"/>
          <w:rFonts w:ascii="inherit" w:hAnsi="inherit"/>
          <w:szCs w:val="24"/>
        </w:rPr>
        <w:t>а</w:t>
      </w:r>
      <w:r w:rsidR="0042679D" w:rsidRPr="00356865">
        <w:rPr>
          <w:rStyle w:val="y2iqfc"/>
          <w:rFonts w:ascii="inherit" w:hAnsi="inherit"/>
          <w:szCs w:val="24"/>
        </w:rPr>
        <w:t xml:space="preserve"> </w:t>
      </w:r>
      <w:r>
        <w:rPr>
          <w:rStyle w:val="y2iqfc"/>
          <w:rFonts w:ascii="inherit" w:hAnsi="inherit"/>
          <w:szCs w:val="24"/>
        </w:rPr>
        <w:t>у</w:t>
      </w:r>
      <w:r w:rsidR="0042679D" w:rsidRPr="00356865">
        <w:rPr>
          <w:rStyle w:val="y2iqfc"/>
          <w:rFonts w:ascii="inherit" w:hAnsi="inherit"/>
          <w:szCs w:val="24"/>
        </w:rPr>
        <w:t xml:space="preserve"> </w:t>
      </w:r>
      <w:r>
        <w:rPr>
          <w:rStyle w:val="y2iqfc"/>
          <w:rFonts w:ascii="inherit" w:hAnsi="inherit"/>
          <w:szCs w:val="24"/>
        </w:rPr>
        <w:t>Босни</w:t>
      </w:r>
      <w:r w:rsidR="0042679D" w:rsidRPr="00356865">
        <w:rPr>
          <w:rStyle w:val="y2iqfc"/>
          <w:rFonts w:ascii="inherit" w:hAnsi="inherit"/>
          <w:szCs w:val="24"/>
        </w:rPr>
        <w:t xml:space="preserve"> </w:t>
      </w:r>
      <w:r>
        <w:rPr>
          <w:rStyle w:val="y2iqfc"/>
          <w:rFonts w:ascii="inherit" w:hAnsi="inherit"/>
          <w:szCs w:val="24"/>
        </w:rPr>
        <w:t>и</w:t>
      </w:r>
      <w:r w:rsidR="0042679D" w:rsidRPr="00356865">
        <w:rPr>
          <w:rStyle w:val="y2iqfc"/>
          <w:rFonts w:ascii="inherit" w:hAnsi="inherit"/>
          <w:szCs w:val="24"/>
        </w:rPr>
        <w:t xml:space="preserve"> </w:t>
      </w:r>
      <w:r>
        <w:rPr>
          <w:rStyle w:val="y2iqfc"/>
          <w:rFonts w:ascii="inherit" w:hAnsi="inherit"/>
          <w:szCs w:val="24"/>
        </w:rPr>
        <w:t>Херцеговини</w:t>
      </w:r>
      <w:r w:rsidR="0042679D" w:rsidRPr="00356865">
        <w:rPr>
          <w:rStyle w:val="y2iqfc"/>
          <w:rFonts w:ascii="inherit" w:hAnsi="inherit"/>
          <w:szCs w:val="24"/>
        </w:rPr>
        <w:t>.</w:t>
      </w:r>
    </w:p>
    <w:p w:rsidR="0042679D" w:rsidRPr="00371D0C" w:rsidRDefault="0042679D" w:rsidP="0086268D">
      <w:pPr>
        <w:pStyle w:val="ListParagraph"/>
        <w:rPr>
          <w:rFonts w:ascii="Times New Roman" w:hAnsi="Times New Roman"/>
          <w:lang w:val="sr-Cyrl-BA"/>
        </w:rPr>
      </w:pPr>
    </w:p>
    <w:p w:rsidR="0042679D" w:rsidRPr="00371D0C"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lang w:val="bs-Latn-BA"/>
        </w:rPr>
        <w:t>Т</w:t>
      </w:r>
      <w:r>
        <w:rPr>
          <w:rFonts w:ascii="Times New Roman" w:hAnsi="Times New Roman"/>
          <w:lang w:val="hr-HR"/>
        </w:rPr>
        <w:t>о</w:t>
      </w:r>
      <w:r>
        <w:rPr>
          <w:rFonts w:ascii="Times New Roman" w:hAnsi="Times New Roman"/>
          <w:lang w:val="sr-Cyrl-BA"/>
        </w:rPr>
        <w:t>ком</w:t>
      </w:r>
      <w:r w:rsidR="0042679D" w:rsidRPr="00371D0C">
        <w:rPr>
          <w:rFonts w:ascii="Times New Roman" w:hAnsi="Times New Roman"/>
          <w:lang w:val="sr-Cyrl-BA"/>
        </w:rPr>
        <w:t xml:space="preserve"> </w:t>
      </w:r>
      <w:r>
        <w:rPr>
          <w:rFonts w:ascii="Times New Roman" w:hAnsi="Times New Roman"/>
          <w:lang w:val="sr-Cyrl-BA"/>
        </w:rPr>
        <w:t>изборне</w:t>
      </w:r>
      <w:r w:rsidR="0042679D" w:rsidRPr="00371D0C">
        <w:rPr>
          <w:rFonts w:ascii="Times New Roman" w:hAnsi="Times New Roman"/>
          <w:lang w:val="sr-Cyrl-BA"/>
        </w:rPr>
        <w:t xml:space="preserve"> </w:t>
      </w:r>
      <w:r>
        <w:rPr>
          <w:rFonts w:ascii="Times New Roman" w:hAnsi="Times New Roman"/>
          <w:lang w:val="sr-Cyrl-BA"/>
        </w:rPr>
        <w:t>кампање</w:t>
      </w:r>
      <w:r w:rsidR="0042679D" w:rsidRPr="00371D0C">
        <w:rPr>
          <w:rFonts w:ascii="Times New Roman" w:hAnsi="Times New Roman"/>
          <w:lang w:val="bs-Latn-BA"/>
        </w:rPr>
        <w:t xml:space="preserve"> </w:t>
      </w:r>
      <w:r>
        <w:rPr>
          <w:rFonts w:ascii="Times New Roman" w:hAnsi="Times New Roman"/>
          <w:lang w:val="bs-Latn-BA"/>
        </w:rPr>
        <w:t>за</w:t>
      </w:r>
      <w:r w:rsidR="0042679D" w:rsidRPr="00371D0C">
        <w:rPr>
          <w:rFonts w:ascii="Times New Roman" w:hAnsi="Times New Roman"/>
          <w:lang w:val="bs-Latn-BA"/>
        </w:rPr>
        <w:t xml:space="preserve"> </w:t>
      </w:r>
      <w:r>
        <w:rPr>
          <w:rFonts w:ascii="Times New Roman" w:hAnsi="Times New Roman"/>
          <w:lang w:val="bs-Latn-BA"/>
        </w:rPr>
        <w:t>локалне</w:t>
      </w:r>
      <w:r w:rsidR="0042679D" w:rsidRPr="00371D0C">
        <w:rPr>
          <w:rFonts w:ascii="Times New Roman" w:hAnsi="Times New Roman"/>
          <w:lang w:val="bs-Latn-BA"/>
        </w:rPr>
        <w:t xml:space="preserve"> </w:t>
      </w:r>
      <w:r>
        <w:rPr>
          <w:rFonts w:ascii="Times New Roman" w:hAnsi="Times New Roman"/>
          <w:lang w:val="bs-Latn-BA"/>
        </w:rPr>
        <w:t>изборе</w:t>
      </w:r>
      <w:r w:rsidR="0042679D" w:rsidRPr="00371D0C">
        <w:rPr>
          <w:rFonts w:ascii="Times New Roman" w:hAnsi="Times New Roman"/>
          <w:lang w:val="bs-Latn-BA"/>
        </w:rPr>
        <w:t xml:space="preserve"> 2024. </w:t>
      </w:r>
      <w:r>
        <w:rPr>
          <w:rFonts w:ascii="Times New Roman" w:hAnsi="Times New Roman"/>
          <w:lang w:val="bs-Latn-BA"/>
        </w:rPr>
        <w:t>године</w:t>
      </w:r>
      <w:r w:rsidR="0042679D">
        <w:rPr>
          <w:rFonts w:ascii="Times New Roman" w:hAnsi="Times New Roman"/>
          <w:lang w:val="bs-Latn-BA"/>
        </w:rPr>
        <w:t>,</w:t>
      </w:r>
      <w:r w:rsidR="0042679D" w:rsidRPr="00371D0C">
        <w:rPr>
          <w:rFonts w:ascii="Times New Roman" w:hAnsi="Times New Roman"/>
          <w:lang w:val="sr-Cyrl-BA"/>
        </w:rPr>
        <w:t xml:space="preserve"> </w:t>
      </w:r>
      <w:r>
        <w:rPr>
          <w:rFonts w:ascii="Times New Roman" w:hAnsi="Times New Roman"/>
          <w:lang w:val="sr-Cyrl-BA"/>
        </w:rPr>
        <w:t>ЦЈРП</w:t>
      </w:r>
      <w:r w:rsidR="0042679D" w:rsidRPr="00371D0C">
        <w:rPr>
          <w:rFonts w:ascii="Times New Roman" w:hAnsi="Times New Roman"/>
          <w:lang w:val="sr-Cyrl-BA"/>
        </w:rPr>
        <w:t xml:space="preserve"> </w:t>
      </w:r>
      <w:r>
        <w:rPr>
          <w:rFonts w:ascii="Times New Roman" w:hAnsi="Times New Roman"/>
          <w:lang w:val="sr-Cyrl-BA"/>
        </w:rPr>
        <w:t>РС</w:t>
      </w:r>
      <w:r w:rsidR="0042679D" w:rsidRPr="00371D0C">
        <w:rPr>
          <w:rFonts w:ascii="Times New Roman" w:hAnsi="Times New Roman"/>
          <w:lang w:val="sr-Cyrl-BA"/>
        </w:rPr>
        <w:t xml:space="preserve"> </w:t>
      </w:r>
      <w:r>
        <w:rPr>
          <w:rFonts w:ascii="Times New Roman" w:hAnsi="Times New Roman"/>
          <w:lang w:val="sr-Cyrl-BA"/>
        </w:rPr>
        <w:t>је</w:t>
      </w:r>
      <w:r w:rsidR="0042679D" w:rsidRPr="00371D0C">
        <w:rPr>
          <w:rFonts w:ascii="Times New Roman" w:hAnsi="Times New Roman"/>
          <w:lang w:val="sr-Cyrl-BA"/>
        </w:rPr>
        <w:t xml:space="preserve"> </w:t>
      </w:r>
      <w:r>
        <w:rPr>
          <w:rFonts w:ascii="Times New Roman" w:hAnsi="Times New Roman"/>
          <w:lang w:val="sr-Cyrl-BA"/>
        </w:rPr>
        <w:t>пратио</w:t>
      </w:r>
      <w:r w:rsidR="0042679D" w:rsidRPr="00371D0C">
        <w:rPr>
          <w:rFonts w:ascii="Times New Roman" w:hAnsi="Times New Roman"/>
          <w:lang w:val="sr-Cyrl-BA"/>
        </w:rPr>
        <w:t xml:space="preserve"> </w:t>
      </w:r>
      <w:r>
        <w:rPr>
          <w:rFonts w:ascii="Times New Roman" w:hAnsi="Times New Roman"/>
          <w:lang w:val="sr-Cyrl-BA"/>
        </w:rPr>
        <w:t>стање</w:t>
      </w:r>
      <w:r w:rsidR="0042679D" w:rsidRPr="00371D0C">
        <w:rPr>
          <w:rFonts w:ascii="Times New Roman" w:hAnsi="Times New Roman"/>
          <w:lang w:val="sr-Cyrl-BA"/>
        </w:rPr>
        <w:t xml:space="preserve"> </w:t>
      </w:r>
      <w:r>
        <w:rPr>
          <w:rFonts w:ascii="Times New Roman" w:hAnsi="Times New Roman"/>
          <w:lang w:val="sr-Cyrl-BA"/>
        </w:rPr>
        <w:t>равноправности</w:t>
      </w:r>
      <w:r w:rsidR="0042679D" w:rsidRPr="00371D0C">
        <w:rPr>
          <w:rFonts w:ascii="Times New Roman" w:hAnsi="Times New Roman"/>
          <w:lang w:val="sr-Cyrl-BA"/>
        </w:rPr>
        <w:t xml:space="preserve"> </w:t>
      </w:r>
      <w:r>
        <w:rPr>
          <w:rFonts w:ascii="Times New Roman" w:hAnsi="Times New Roman"/>
          <w:lang w:val="sr-Cyrl-BA"/>
        </w:rPr>
        <w:t>полова</w:t>
      </w:r>
      <w:r w:rsidR="0042679D" w:rsidRPr="00371D0C">
        <w:rPr>
          <w:rFonts w:ascii="Times New Roman" w:hAnsi="Times New Roman"/>
          <w:lang w:val="sr-Cyrl-BA"/>
        </w:rPr>
        <w:t xml:space="preserve">, </w:t>
      </w:r>
      <w:r>
        <w:rPr>
          <w:rFonts w:ascii="Times New Roman" w:hAnsi="Times New Roman"/>
          <w:lang w:val="sr-Cyrl-BA"/>
        </w:rPr>
        <w:t>израдио</w:t>
      </w:r>
      <w:r w:rsidR="0042679D" w:rsidRPr="00371D0C">
        <w:rPr>
          <w:rFonts w:ascii="Times New Roman" w:hAnsi="Times New Roman"/>
          <w:lang w:val="sr-Cyrl-BA"/>
        </w:rPr>
        <w:t xml:space="preserve"> </w:t>
      </w:r>
      <w:r>
        <w:rPr>
          <w:rFonts w:ascii="Times New Roman" w:hAnsi="Times New Roman"/>
          <w:lang w:val="sr-Cyrl-BA"/>
        </w:rPr>
        <w:t>квантитативну</w:t>
      </w:r>
      <w:r w:rsidR="0042679D" w:rsidRPr="00371D0C">
        <w:rPr>
          <w:rFonts w:ascii="Times New Roman" w:hAnsi="Times New Roman"/>
          <w:lang w:val="sr-Cyrl-BA"/>
        </w:rPr>
        <w:t xml:space="preserve"> </w:t>
      </w:r>
      <w:r>
        <w:rPr>
          <w:rFonts w:ascii="Times New Roman" w:hAnsi="Times New Roman"/>
          <w:lang w:val="sr-Cyrl-BA"/>
        </w:rPr>
        <w:t>анализу</w:t>
      </w:r>
      <w:r w:rsidR="0042679D" w:rsidRPr="00371D0C">
        <w:rPr>
          <w:rFonts w:ascii="Times New Roman" w:hAnsi="Times New Roman"/>
          <w:lang w:val="sr-Cyrl-BA"/>
        </w:rPr>
        <w:t xml:space="preserve"> </w:t>
      </w:r>
      <w:r>
        <w:rPr>
          <w:rFonts w:ascii="Times New Roman" w:hAnsi="Times New Roman"/>
          <w:lang w:val="sr-Cyrl-BA"/>
        </w:rPr>
        <w:t>заступљености</w:t>
      </w:r>
      <w:r w:rsidR="0042679D" w:rsidRPr="00371D0C">
        <w:rPr>
          <w:rFonts w:ascii="Times New Roman" w:hAnsi="Times New Roman"/>
          <w:lang w:val="sr-Cyrl-BA"/>
        </w:rPr>
        <w:t xml:space="preserve"> </w:t>
      </w:r>
      <w:r>
        <w:rPr>
          <w:rFonts w:ascii="Times New Roman" w:hAnsi="Times New Roman"/>
          <w:lang w:val="sr-Cyrl-BA"/>
        </w:rPr>
        <w:t>жена</w:t>
      </w:r>
      <w:r w:rsidR="0042679D" w:rsidRPr="00371D0C">
        <w:rPr>
          <w:rFonts w:ascii="Times New Roman" w:hAnsi="Times New Roman"/>
          <w:lang w:val="sr-Cyrl-BA"/>
        </w:rPr>
        <w:t xml:space="preserve"> </w:t>
      </w:r>
      <w:r>
        <w:rPr>
          <w:rFonts w:ascii="Times New Roman" w:hAnsi="Times New Roman"/>
          <w:lang w:val="sr-Cyrl-BA"/>
        </w:rPr>
        <w:t>на</w:t>
      </w:r>
      <w:r w:rsidR="0042679D" w:rsidRPr="00371D0C">
        <w:rPr>
          <w:rFonts w:ascii="Times New Roman" w:hAnsi="Times New Roman"/>
          <w:lang w:val="sr-Cyrl-BA"/>
        </w:rPr>
        <w:t xml:space="preserve"> </w:t>
      </w:r>
      <w:r>
        <w:rPr>
          <w:rFonts w:ascii="Times New Roman" w:hAnsi="Times New Roman"/>
          <w:lang w:val="sr-Cyrl-BA"/>
        </w:rPr>
        <w:t>кандидатским</w:t>
      </w:r>
      <w:r w:rsidR="0042679D" w:rsidRPr="00371D0C">
        <w:rPr>
          <w:rFonts w:ascii="Times New Roman" w:hAnsi="Times New Roman"/>
          <w:lang w:val="sr-Cyrl-BA"/>
        </w:rPr>
        <w:t xml:space="preserve"> </w:t>
      </w:r>
      <w:r>
        <w:rPr>
          <w:rFonts w:ascii="Times New Roman" w:hAnsi="Times New Roman"/>
          <w:lang w:val="sr-Cyrl-BA"/>
        </w:rPr>
        <w:t>листама</w:t>
      </w:r>
      <w:r w:rsidR="0042679D" w:rsidRPr="00371D0C">
        <w:rPr>
          <w:rFonts w:ascii="Times New Roman" w:hAnsi="Times New Roman"/>
          <w:lang w:val="sr-Cyrl-BA"/>
        </w:rPr>
        <w:t xml:space="preserve">, </w:t>
      </w:r>
      <w:r>
        <w:rPr>
          <w:rFonts w:ascii="Times New Roman" w:hAnsi="Times New Roman"/>
          <w:lang w:val="sr-Cyrl-BA"/>
        </w:rPr>
        <w:t>као</w:t>
      </w:r>
      <w:r w:rsidR="0042679D" w:rsidRPr="00371D0C">
        <w:rPr>
          <w:rFonts w:ascii="Times New Roman" w:hAnsi="Times New Roman"/>
          <w:lang w:val="sr-Cyrl-BA"/>
        </w:rPr>
        <w:t xml:space="preserve"> </w:t>
      </w:r>
      <w:r>
        <w:rPr>
          <w:rFonts w:ascii="Times New Roman" w:hAnsi="Times New Roman"/>
          <w:lang w:val="sr-Cyrl-BA"/>
        </w:rPr>
        <w:t>и</w:t>
      </w:r>
      <w:r w:rsidR="0042679D" w:rsidRPr="00371D0C">
        <w:rPr>
          <w:rFonts w:ascii="Times New Roman" w:hAnsi="Times New Roman"/>
          <w:lang w:val="sr-Cyrl-BA"/>
        </w:rPr>
        <w:t xml:space="preserve"> </w:t>
      </w:r>
      <w:r>
        <w:rPr>
          <w:rFonts w:ascii="Times New Roman" w:hAnsi="Times New Roman"/>
          <w:lang w:val="sr-Cyrl-BA"/>
        </w:rPr>
        <w:t>анализу</w:t>
      </w:r>
      <w:r w:rsidR="0042679D" w:rsidRPr="00371D0C">
        <w:rPr>
          <w:rFonts w:ascii="Times New Roman" w:hAnsi="Times New Roman"/>
          <w:lang w:val="sr-Cyrl-BA"/>
        </w:rPr>
        <w:t xml:space="preserve"> </w:t>
      </w:r>
      <w:r>
        <w:rPr>
          <w:rFonts w:ascii="Times New Roman" w:hAnsi="Times New Roman"/>
          <w:lang w:val="sr-Cyrl-BA"/>
        </w:rPr>
        <w:t>остварених</w:t>
      </w:r>
      <w:r w:rsidR="0042679D" w:rsidRPr="00371D0C">
        <w:rPr>
          <w:rFonts w:ascii="Times New Roman" w:hAnsi="Times New Roman"/>
          <w:lang w:val="sr-Cyrl-BA"/>
        </w:rPr>
        <w:t xml:space="preserve"> </w:t>
      </w:r>
      <w:r>
        <w:rPr>
          <w:rFonts w:ascii="Times New Roman" w:hAnsi="Times New Roman"/>
          <w:lang w:val="sr-Cyrl-BA"/>
        </w:rPr>
        <w:t>резултата</w:t>
      </w:r>
      <w:r w:rsidR="0042679D" w:rsidRPr="00371D0C">
        <w:rPr>
          <w:rFonts w:ascii="Times New Roman" w:hAnsi="Times New Roman"/>
          <w:lang w:val="sr-Cyrl-BA"/>
        </w:rPr>
        <w:t xml:space="preserve"> </w:t>
      </w:r>
      <w:r>
        <w:rPr>
          <w:rFonts w:ascii="Times New Roman" w:hAnsi="Times New Roman"/>
          <w:lang w:val="sr-Cyrl-BA"/>
        </w:rPr>
        <w:t>жена</w:t>
      </w:r>
      <w:r w:rsidR="0042679D" w:rsidRPr="00371D0C">
        <w:rPr>
          <w:rFonts w:ascii="Times New Roman" w:hAnsi="Times New Roman"/>
          <w:lang w:val="sr-Cyrl-BA"/>
        </w:rPr>
        <w:t xml:space="preserve"> </w:t>
      </w:r>
      <w:r>
        <w:rPr>
          <w:rFonts w:ascii="Times New Roman" w:hAnsi="Times New Roman"/>
          <w:lang w:val="sr-Cyrl-BA"/>
        </w:rPr>
        <w:t>кандидаткиња</w:t>
      </w:r>
      <w:r w:rsidR="0042679D" w:rsidRPr="00371D0C">
        <w:rPr>
          <w:rFonts w:ascii="Times New Roman" w:hAnsi="Times New Roman"/>
          <w:lang w:val="sr-Cyrl-BA"/>
        </w:rPr>
        <w:t xml:space="preserve"> </w:t>
      </w:r>
      <w:r>
        <w:rPr>
          <w:rFonts w:ascii="Times New Roman" w:hAnsi="Times New Roman"/>
          <w:lang w:val="sr-Cyrl-BA"/>
        </w:rPr>
        <w:t>за</w:t>
      </w:r>
      <w:r w:rsidR="0042679D" w:rsidRPr="00371D0C">
        <w:rPr>
          <w:rFonts w:ascii="Times New Roman" w:hAnsi="Times New Roman"/>
          <w:lang w:val="sr-Cyrl-BA"/>
        </w:rPr>
        <w:t xml:space="preserve"> </w:t>
      </w:r>
      <w:r>
        <w:rPr>
          <w:rFonts w:ascii="Times New Roman" w:hAnsi="Times New Roman"/>
          <w:lang w:val="sr-Cyrl-BA"/>
        </w:rPr>
        <w:t>Локалне</w:t>
      </w:r>
      <w:r w:rsidR="00356865">
        <w:rPr>
          <w:rFonts w:ascii="Times New Roman" w:hAnsi="Times New Roman"/>
          <w:lang w:val="sr-Cyrl-BA"/>
        </w:rPr>
        <w:t xml:space="preserve"> </w:t>
      </w:r>
      <w:r>
        <w:rPr>
          <w:rFonts w:ascii="Times New Roman" w:hAnsi="Times New Roman"/>
          <w:lang w:val="sr-Cyrl-BA"/>
        </w:rPr>
        <w:t>изборе</w:t>
      </w:r>
      <w:r w:rsidR="00356865">
        <w:rPr>
          <w:rFonts w:ascii="Times New Roman" w:hAnsi="Times New Roman"/>
          <w:lang w:val="sr-Cyrl-BA"/>
        </w:rPr>
        <w:t xml:space="preserve"> </w:t>
      </w:r>
      <w:r>
        <w:rPr>
          <w:rFonts w:ascii="Times New Roman" w:hAnsi="Times New Roman"/>
          <w:lang w:val="sr-Cyrl-BA"/>
        </w:rPr>
        <w:t>у</w:t>
      </w:r>
      <w:r w:rsidR="00356865">
        <w:rPr>
          <w:rFonts w:ascii="Times New Roman" w:hAnsi="Times New Roman"/>
          <w:lang w:val="sr-Cyrl-BA"/>
        </w:rPr>
        <w:t xml:space="preserve"> </w:t>
      </w:r>
      <w:r>
        <w:rPr>
          <w:rFonts w:ascii="Times New Roman" w:hAnsi="Times New Roman"/>
          <w:lang w:val="sr-Cyrl-BA"/>
        </w:rPr>
        <w:t>БиХ</w:t>
      </w:r>
      <w:r w:rsidR="00356865">
        <w:rPr>
          <w:rFonts w:ascii="Times New Roman" w:hAnsi="Times New Roman"/>
          <w:lang w:val="sr-Cyrl-BA"/>
        </w:rPr>
        <w:t xml:space="preserve"> 2024. </w:t>
      </w:r>
      <w:r>
        <w:rPr>
          <w:rFonts w:ascii="Times New Roman" w:hAnsi="Times New Roman"/>
          <w:lang w:val="sr-Cyrl-BA"/>
        </w:rPr>
        <w:t>године</w:t>
      </w:r>
      <w:r w:rsidR="00356865">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42679D" w:rsidRPr="00371D0C">
        <w:rPr>
          <w:rFonts w:ascii="Times New Roman" w:hAnsi="Times New Roman"/>
          <w:lang w:val="sr-Cyrl-BA"/>
        </w:rPr>
        <w:t xml:space="preserve"> </w:t>
      </w:r>
      <w:r>
        <w:rPr>
          <w:rFonts w:ascii="Times New Roman" w:hAnsi="Times New Roman"/>
          <w:lang w:val="sr-Cyrl-BA"/>
        </w:rPr>
        <w:t>аспекта</w:t>
      </w:r>
      <w:r w:rsidR="0042679D" w:rsidRPr="00371D0C">
        <w:rPr>
          <w:rFonts w:ascii="Times New Roman" w:hAnsi="Times New Roman"/>
          <w:lang w:val="sr-Cyrl-BA"/>
        </w:rPr>
        <w:t xml:space="preserve"> </w:t>
      </w:r>
      <w:r>
        <w:rPr>
          <w:rFonts w:ascii="Times New Roman" w:hAnsi="Times New Roman"/>
          <w:lang w:val="sr-Cyrl-BA"/>
        </w:rPr>
        <w:t>равноправности</w:t>
      </w:r>
      <w:r w:rsidR="0042679D" w:rsidRPr="00371D0C">
        <w:rPr>
          <w:rFonts w:ascii="Times New Roman" w:hAnsi="Times New Roman"/>
          <w:lang w:val="sr-Cyrl-BA"/>
        </w:rPr>
        <w:t xml:space="preserve"> </w:t>
      </w:r>
      <w:r>
        <w:rPr>
          <w:rFonts w:ascii="Times New Roman" w:hAnsi="Times New Roman"/>
          <w:lang w:val="sr-Cyrl-BA"/>
        </w:rPr>
        <w:t>полова</w:t>
      </w:r>
      <w:r w:rsidR="0042679D" w:rsidRPr="00371D0C">
        <w:rPr>
          <w:rFonts w:ascii="Times New Roman" w:hAnsi="Times New Roman"/>
          <w:lang w:val="sr-Cyrl-BA"/>
        </w:rPr>
        <w:t xml:space="preserve">. </w:t>
      </w:r>
    </w:p>
    <w:p w:rsidR="0042679D" w:rsidRPr="00371D0C" w:rsidRDefault="0042679D" w:rsidP="0086268D">
      <w:pPr>
        <w:pStyle w:val="ListParagraph"/>
        <w:rPr>
          <w:rFonts w:ascii="Times New Roman" w:hAnsi="Times New Roman"/>
          <w:lang w:val="bs-Latn-BA"/>
        </w:rPr>
      </w:pPr>
    </w:p>
    <w:p w:rsidR="0042679D" w:rsidRPr="00A52407" w:rsidRDefault="000124D3" w:rsidP="0086268D">
      <w:pPr>
        <w:pStyle w:val="ListParagraph"/>
        <w:numPr>
          <w:ilvl w:val="0"/>
          <w:numId w:val="17"/>
        </w:numPr>
        <w:jc w:val="both"/>
        <w:rPr>
          <w:rFonts w:ascii="Times New Roman" w:hAnsi="Times New Roman"/>
          <w:szCs w:val="24"/>
          <w:lang w:val="bs-Latn-BA"/>
        </w:rPr>
      </w:pPr>
      <w:r>
        <w:rPr>
          <w:rFonts w:ascii="Times New Roman" w:hAnsi="Times New Roman"/>
          <w:lang w:val="bs-Latn-BA"/>
        </w:rPr>
        <w:t>Такође</w:t>
      </w:r>
      <w:r w:rsidR="0042679D" w:rsidRPr="00371D0C">
        <w:rPr>
          <w:rFonts w:ascii="Times New Roman" w:hAnsi="Times New Roman"/>
          <w:lang w:val="bs-Latn-BA"/>
        </w:rPr>
        <w:t xml:space="preserve">, </w:t>
      </w:r>
      <w:r w:rsidR="00C6214E">
        <w:rPr>
          <w:rFonts w:ascii="Times New Roman" w:hAnsi="Times New Roman"/>
          <w:lang w:val="bs-Latn-BA"/>
        </w:rPr>
        <w:t>поводом</w:t>
      </w:r>
      <w:r w:rsidR="0042679D" w:rsidRPr="00371D0C">
        <w:rPr>
          <w:rFonts w:ascii="Times New Roman" w:hAnsi="Times New Roman"/>
          <w:lang w:val="bs-Latn-BA"/>
        </w:rPr>
        <w:t xml:space="preserve"> </w:t>
      </w:r>
      <w:r w:rsidR="00C6214E">
        <w:rPr>
          <w:rFonts w:ascii="Times New Roman" w:hAnsi="Times New Roman"/>
          <w:lang w:val="bs-Latn-BA"/>
        </w:rPr>
        <w:t>локалних</w:t>
      </w:r>
      <w:r w:rsidR="0042679D" w:rsidRPr="00371D0C">
        <w:rPr>
          <w:rFonts w:ascii="Times New Roman" w:hAnsi="Times New Roman"/>
          <w:lang w:val="bs-Latn-BA"/>
        </w:rPr>
        <w:t xml:space="preserve"> </w:t>
      </w:r>
      <w:r w:rsidR="00C6214E">
        <w:rPr>
          <w:rFonts w:ascii="Times New Roman" w:hAnsi="Times New Roman"/>
          <w:lang w:val="bs-Latn-BA"/>
        </w:rPr>
        <w:t>избора</w:t>
      </w:r>
      <w:r w:rsidR="0042679D" w:rsidRPr="00371D0C">
        <w:rPr>
          <w:rFonts w:ascii="Times New Roman" w:hAnsi="Times New Roman"/>
          <w:lang w:val="bs-Latn-BA"/>
        </w:rPr>
        <w:t xml:space="preserve"> 2024. </w:t>
      </w:r>
      <w:r w:rsidR="00C6214E">
        <w:rPr>
          <w:rFonts w:ascii="Times New Roman" w:hAnsi="Times New Roman"/>
          <w:lang w:val="bs-Latn-BA"/>
        </w:rPr>
        <w:t>године</w:t>
      </w:r>
      <w:r w:rsidR="0042679D" w:rsidRPr="00371D0C">
        <w:rPr>
          <w:rFonts w:ascii="Times New Roman" w:hAnsi="Times New Roman"/>
          <w:lang w:val="bs-Latn-BA"/>
        </w:rPr>
        <w:t xml:space="preserve">, </w:t>
      </w:r>
      <w:r w:rsidR="00C6214E">
        <w:rPr>
          <w:rFonts w:ascii="Times New Roman" w:hAnsi="Times New Roman"/>
          <w:lang w:val="sr-Latn-BA"/>
        </w:rPr>
        <w:t>ЦЈРП</w:t>
      </w:r>
      <w:r w:rsidR="0042679D" w:rsidRPr="00371D0C">
        <w:rPr>
          <w:rFonts w:ascii="Times New Roman" w:hAnsi="Times New Roman"/>
          <w:lang w:val="sr-Latn-BA"/>
        </w:rPr>
        <w:t xml:space="preserve"> </w:t>
      </w:r>
      <w:r w:rsidR="00C6214E">
        <w:rPr>
          <w:rFonts w:ascii="Times New Roman" w:hAnsi="Times New Roman"/>
          <w:lang w:val="sr-Latn-BA"/>
        </w:rPr>
        <w:t>РС</w:t>
      </w:r>
      <w:r w:rsidR="0042679D" w:rsidRPr="00371D0C">
        <w:rPr>
          <w:rFonts w:ascii="Times New Roman" w:hAnsi="Times New Roman"/>
          <w:lang w:val="sr-Latn-BA"/>
        </w:rPr>
        <w:t xml:space="preserve"> </w:t>
      </w:r>
      <w:r w:rsidR="00C6214E">
        <w:rPr>
          <w:rFonts w:ascii="Times New Roman" w:hAnsi="Times New Roman"/>
          <w:lang w:val="sr-Latn-BA"/>
        </w:rPr>
        <w:t>је</w:t>
      </w:r>
      <w:r w:rsidR="0042679D" w:rsidRPr="00371D0C">
        <w:rPr>
          <w:rFonts w:ascii="Times New Roman" w:hAnsi="Times New Roman"/>
          <w:lang w:val="sr-Latn-BA"/>
        </w:rPr>
        <w:t xml:space="preserve"> </w:t>
      </w:r>
      <w:r w:rsidR="00C6214E">
        <w:rPr>
          <w:rFonts w:ascii="Times New Roman" w:hAnsi="Times New Roman"/>
          <w:lang w:val="sr-Latn-BA"/>
        </w:rPr>
        <w:t>п</w:t>
      </w:r>
      <w:r w:rsidR="00C6214E">
        <w:rPr>
          <w:rFonts w:ascii="Times New Roman" w:hAnsi="Times New Roman"/>
          <w:lang w:val="sr-Cyrl-BA"/>
        </w:rPr>
        <w:t>рове</w:t>
      </w:r>
      <w:r w:rsidR="00C6214E">
        <w:rPr>
          <w:rFonts w:ascii="Times New Roman" w:hAnsi="Times New Roman"/>
          <w:lang w:val="sr-Latn-BA"/>
        </w:rPr>
        <w:t>о</w:t>
      </w:r>
      <w:r w:rsidR="0042679D" w:rsidRPr="00371D0C">
        <w:rPr>
          <w:rFonts w:ascii="Times New Roman" w:hAnsi="Times New Roman"/>
          <w:lang w:val="sr-Cyrl-BA"/>
        </w:rPr>
        <w:t xml:space="preserve"> </w:t>
      </w:r>
      <w:r w:rsidR="00C6214E">
        <w:rPr>
          <w:rFonts w:ascii="Times New Roman" w:hAnsi="Times New Roman"/>
          <w:lang w:val="sr-Cyrl-BA"/>
        </w:rPr>
        <w:t>кампањ</w:t>
      </w:r>
      <w:r w:rsidR="00C6214E">
        <w:rPr>
          <w:rFonts w:ascii="Times New Roman" w:hAnsi="Times New Roman"/>
          <w:lang w:val="sr-Latn-BA"/>
        </w:rPr>
        <w:t>у</w:t>
      </w:r>
      <w:r w:rsidR="0042679D" w:rsidRPr="00371D0C">
        <w:rPr>
          <w:rFonts w:ascii="Times New Roman" w:hAnsi="Times New Roman"/>
          <w:lang w:val="sr-Cyrl-BA"/>
        </w:rPr>
        <w:t xml:space="preserve"> „</w:t>
      </w:r>
      <w:r w:rsidR="00C6214E">
        <w:rPr>
          <w:rFonts w:ascii="Times New Roman" w:hAnsi="Times New Roman"/>
          <w:lang w:val="sr-Cyrl-BA"/>
        </w:rPr>
        <w:t>Бирај</w:t>
      </w:r>
      <w:r w:rsidR="0042679D" w:rsidRPr="00371D0C">
        <w:rPr>
          <w:rFonts w:ascii="Times New Roman" w:hAnsi="Times New Roman"/>
          <w:lang w:val="sr-Cyrl-BA"/>
        </w:rPr>
        <w:t xml:space="preserve"> </w:t>
      </w:r>
      <w:r w:rsidR="00C6214E">
        <w:rPr>
          <w:rFonts w:ascii="Times New Roman" w:hAnsi="Times New Roman"/>
          <w:lang w:val="sr-Cyrl-BA"/>
        </w:rPr>
        <w:t>равноправно</w:t>
      </w:r>
      <w:r w:rsidR="0042679D" w:rsidRPr="00371D0C">
        <w:rPr>
          <w:rFonts w:ascii="Times New Roman" w:hAnsi="Times New Roman"/>
          <w:lang w:val="sr-Cyrl-BA"/>
        </w:rPr>
        <w:t>“</w:t>
      </w:r>
      <w:r w:rsidR="0042679D" w:rsidRPr="00371D0C">
        <w:rPr>
          <w:rFonts w:ascii="Times New Roman" w:hAnsi="Times New Roman"/>
          <w:lang w:val="sr-Latn-BA"/>
        </w:rPr>
        <w:t xml:space="preserve"> </w:t>
      </w:r>
      <w:r>
        <w:rPr>
          <w:rFonts w:ascii="Times New Roman" w:hAnsi="Times New Roman"/>
          <w:lang w:val="sr-Cyrl-BA"/>
        </w:rPr>
        <w:t>с</w:t>
      </w:r>
      <w:r w:rsidR="0042679D" w:rsidRPr="00371D0C">
        <w:rPr>
          <w:rFonts w:ascii="Times New Roman" w:hAnsi="Times New Roman"/>
          <w:lang w:val="sr-Latn-BA"/>
        </w:rPr>
        <w:t xml:space="preserve"> </w:t>
      </w:r>
      <w:r w:rsidR="00C6214E">
        <w:rPr>
          <w:rFonts w:ascii="Times New Roman" w:hAnsi="Times New Roman"/>
          <w:lang w:val="sr-Latn-BA"/>
        </w:rPr>
        <w:t>циљ</w:t>
      </w:r>
      <w:r>
        <w:rPr>
          <w:rFonts w:ascii="Times New Roman" w:hAnsi="Times New Roman"/>
          <w:lang w:val="sr-Cyrl-BA"/>
        </w:rPr>
        <w:t>ем</w:t>
      </w:r>
      <w:r w:rsidR="0042679D" w:rsidRPr="00371D0C">
        <w:rPr>
          <w:rFonts w:ascii="Times New Roman" w:hAnsi="Times New Roman"/>
          <w:lang w:val="sr-Latn-BA"/>
        </w:rPr>
        <w:t xml:space="preserve"> </w:t>
      </w:r>
      <w:r w:rsidR="00C6214E">
        <w:rPr>
          <w:rFonts w:ascii="Times New Roman" w:hAnsi="Times New Roman"/>
          <w:lang w:val="sr-Cyrl-BA"/>
        </w:rPr>
        <w:t>пром</w:t>
      </w:r>
      <w:r w:rsidR="00C6214E">
        <w:rPr>
          <w:rFonts w:ascii="Times New Roman" w:hAnsi="Times New Roman"/>
          <w:lang w:val="hr-HR"/>
        </w:rPr>
        <w:t>оције</w:t>
      </w:r>
      <w:r w:rsidR="0042679D" w:rsidRPr="00371D0C">
        <w:rPr>
          <w:rFonts w:ascii="Times New Roman" w:hAnsi="Times New Roman"/>
          <w:lang w:val="sr-Cyrl-BA"/>
        </w:rPr>
        <w:t xml:space="preserve"> </w:t>
      </w:r>
      <w:r w:rsidR="00C6214E">
        <w:rPr>
          <w:rFonts w:ascii="Times New Roman" w:hAnsi="Times New Roman"/>
          <w:lang w:val="sr-Cyrl-BA"/>
        </w:rPr>
        <w:t>и</w:t>
      </w:r>
      <w:r w:rsidR="0042679D" w:rsidRPr="00371D0C">
        <w:rPr>
          <w:rFonts w:ascii="Times New Roman" w:hAnsi="Times New Roman"/>
          <w:lang w:val="sr-Cyrl-BA"/>
        </w:rPr>
        <w:t xml:space="preserve"> </w:t>
      </w:r>
      <w:r w:rsidR="00C6214E">
        <w:rPr>
          <w:rFonts w:ascii="Times New Roman" w:hAnsi="Times New Roman"/>
          <w:lang w:val="sr-Cyrl-BA"/>
        </w:rPr>
        <w:t>унапређењ</w:t>
      </w:r>
      <w:r w:rsidR="00C6214E">
        <w:rPr>
          <w:rFonts w:ascii="Times New Roman" w:hAnsi="Times New Roman"/>
          <w:lang w:val="bs-Latn-BA"/>
        </w:rPr>
        <w:t>а</w:t>
      </w:r>
      <w:r w:rsidR="0042679D" w:rsidRPr="00371D0C">
        <w:rPr>
          <w:rFonts w:ascii="Times New Roman" w:hAnsi="Times New Roman"/>
          <w:lang w:val="sr-Cyrl-BA"/>
        </w:rPr>
        <w:t xml:space="preserve"> </w:t>
      </w:r>
      <w:r w:rsidR="00C6214E">
        <w:rPr>
          <w:rFonts w:ascii="Times New Roman" w:hAnsi="Times New Roman"/>
          <w:lang w:val="sr-Cyrl-BA"/>
        </w:rPr>
        <w:t>примјене</w:t>
      </w:r>
      <w:r w:rsidR="0042679D" w:rsidRPr="00371D0C">
        <w:rPr>
          <w:rFonts w:ascii="Times New Roman" w:hAnsi="Times New Roman"/>
          <w:lang w:val="sr-Cyrl-BA"/>
        </w:rPr>
        <w:t xml:space="preserve"> </w:t>
      </w:r>
      <w:r w:rsidR="00C6214E">
        <w:rPr>
          <w:rFonts w:ascii="Times New Roman" w:hAnsi="Times New Roman"/>
          <w:lang w:val="sr-Cyrl-BA"/>
        </w:rPr>
        <w:t>програма</w:t>
      </w:r>
      <w:r w:rsidR="0042679D" w:rsidRPr="00371D0C">
        <w:rPr>
          <w:rFonts w:ascii="Times New Roman" w:hAnsi="Times New Roman"/>
          <w:lang w:val="sr-Cyrl-BA"/>
        </w:rPr>
        <w:t xml:space="preserve"> </w:t>
      </w:r>
      <w:r w:rsidR="00C6214E">
        <w:rPr>
          <w:rFonts w:ascii="Times New Roman" w:hAnsi="Times New Roman"/>
          <w:lang w:val="sr-Cyrl-BA"/>
        </w:rPr>
        <w:t>за</w:t>
      </w:r>
      <w:r w:rsidR="0042679D" w:rsidRPr="00371D0C">
        <w:rPr>
          <w:rFonts w:ascii="Times New Roman" w:hAnsi="Times New Roman"/>
          <w:lang w:val="sr-Cyrl-BA"/>
        </w:rPr>
        <w:t xml:space="preserve"> </w:t>
      </w:r>
      <w:r w:rsidR="00C6214E">
        <w:rPr>
          <w:rFonts w:ascii="Times New Roman" w:hAnsi="Times New Roman"/>
          <w:lang w:val="sr-Cyrl-BA"/>
        </w:rPr>
        <w:t>равноправност</w:t>
      </w:r>
      <w:r w:rsidR="0042679D" w:rsidRPr="00371D0C">
        <w:rPr>
          <w:rFonts w:ascii="Times New Roman" w:hAnsi="Times New Roman"/>
          <w:lang w:val="sr-Cyrl-BA"/>
        </w:rPr>
        <w:t xml:space="preserve"> </w:t>
      </w:r>
      <w:r w:rsidR="00C6214E">
        <w:rPr>
          <w:rFonts w:ascii="Times New Roman" w:hAnsi="Times New Roman"/>
          <w:lang w:val="sr-Cyrl-BA"/>
        </w:rPr>
        <w:t>полова</w:t>
      </w:r>
      <w:r w:rsidR="0042679D" w:rsidRPr="00371D0C">
        <w:rPr>
          <w:rFonts w:ascii="Times New Roman" w:hAnsi="Times New Roman"/>
          <w:lang w:val="sr-Cyrl-BA"/>
        </w:rPr>
        <w:t xml:space="preserve"> </w:t>
      </w:r>
      <w:r w:rsidR="00C6214E">
        <w:rPr>
          <w:rFonts w:ascii="Times New Roman" w:hAnsi="Times New Roman"/>
          <w:lang w:val="sr-Cyrl-BA"/>
        </w:rPr>
        <w:t>т</w:t>
      </w:r>
      <w:r w:rsidR="00C6214E">
        <w:rPr>
          <w:rFonts w:ascii="Times New Roman" w:hAnsi="Times New Roman"/>
          <w:lang w:val="hr-HR"/>
        </w:rPr>
        <w:t>о</w:t>
      </w:r>
      <w:r w:rsidR="00C6214E">
        <w:rPr>
          <w:rFonts w:ascii="Times New Roman" w:hAnsi="Times New Roman"/>
          <w:lang w:val="sr-Cyrl-BA"/>
        </w:rPr>
        <w:t>ком</w:t>
      </w:r>
      <w:r w:rsidR="0042679D" w:rsidRPr="00371D0C">
        <w:rPr>
          <w:rFonts w:ascii="Times New Roman" w:hAnsi="Times New Roman"/>
          <w:lang w:val="sr-Cyrl-BA"/>
        </w:rPr>
        <w:t xml:space="preserve"> </w:t>
      </w:r>
      <w:r w:rsidR="00C6214E">
        <w:rPr>
          <w:rFonts w:ascii="Times New Roman" w:hAnsi="Times New Roman"/>
          <w:lang w:val="sr-Cyrl-BA"/>
        </w:rPr>
        <w:t>изборног</w:t>
      </w:r>
      <w:r w:rsidR="0042679D" w:rsidRPr="00371D0C">
        <w:rPr>
          <w:rFonts w:ascii="Times New Roman" w:hAnsi="Times New Roman"/>
          <w:lang w:val="sr-Cyrl-BA"/>
        </w:rPr>
        <w:t xml:space="preserve"> </w:t>
      </w:r>
      <w:r w:rsidR="00C6214E">
        <w:rPr>
          <w:rFonts w:ascii="Times New Roman" w:hAnsi="Times New Roman"/>
          <w:lang w:val="sr-Cyrl-BA"/>
        </w:rPr>
        <w:t>процеса</w:t>
      </w:r>
      <w:r w:rsidR="0042679D" w:rsidRPr="00371D0C">
        <w:rPr>
          <w:rFonts w:ascii="Times New Roman" w:hAnsi="Times New Roman"/>
          <w:lang w:val="sr-Cyrl-BA"/>
        </w:rPr>
        <w:t xml:space="preserve">, </w:t>
      </w:r>
      <w:r w:rsidR="00C6214E">
        <w:rPr>
          <w:rFonts w:ascii="Times New Roman" w:hAnsi="Times New Roman"/>
          <w:lang w:val="sr-Cyrl-BA"/>
        </w:rPr>
        <w:t>те</w:t>
      </w:r>
      <w:r w:rsidR="0042679D" w:rsidRPr="00371D0C">
        <w:rPr>
          <w:rFonts w:ascii="Times New Roman" w:hAnsi="Times New Roman"/>
          <w:lang w:val="sr-Cyrl-BA"/>
        </w:rPr>
        <w:t xml:space="preserve"> </w:t>
      </w:r>
      <w:r w:rsidR="00C6214E">
        <w:rPr>
          <w:rFonts w:ascii="Times New Roman" w:hAnsi="Times New Roman"/>
          <w:lang w:val="sr-Cyrl-BA"/>
        </w:rPr>
        <w:t>подизање</w:t>
      </w:r>
      <w:r w:rsidR="0042679D" w:rsidRPr="00371D0C">
        <w:rPr>
          <w:rFonts w:ascii="Times New Roman" w:hAnsi="Times New Roman"/>
          <w:lang w:val="sr-Cyrl-BA"/>
        </w:rPr>
        <w:t xml:space="preserve"> </w:t>
      </w:r>
      <w:r w:rsidR="00C6214E">
        <w:rPr>
          <w:rFonts w:ascii="Times New Roman" w:hAnsi="Times New Roman"/>
          <w:lang w:val="sr-Cyrl-BA"/>
        </w:rPr>
        <w:t>свијести</w:t>
      </w:r>
      <w:r w:rsidR="0042679D" w:rsidRPr="00371D0C">
        <w:rPr>
          <w:rFonts w:ascii="Times New Roman" w:hAnsi="Times New Roman"/>
          <w:lang w:val="sr-Cyrl-BA"/>
        </w:rPr>
        <w:t xml:space="preserve"> </w:t>
      </w:r>
      <w:r w:rsidR="00C6214E">
        <w:rPr>
          <w:rFonts w:ascii="Times New Roman" w:hAnsi="Times New Roman"/>
          <w:lang w:val="sr-Cyrl-BA"/>
        </w:rPr>
        <w:t>о</w:t>
      </w:r>
      <w:r w:rsidR="0042679D" w:rsidRPr="00371D0C">
        <w:rPr>
          <w:rFonts w:ascii="Times New Roman" w:hAnsi="Times New Roman"/>
          <w:lang w:val="sr-Cyrl-BA"/>
        </w:rPr>
        <w:t xml:space="preserve"> </w:t>
      </w:r>
      <w:r w:rsidR="00C6214E">
        <w:rPr>
          <w:rFonts w:ascii="Times New Roman" w:hAnsi="Times New Roman"/>
          <w:lang w:val="sr-Cyrl-BA"/>
        </w:rPr>
        <w:t>важности</w:t>
      </w:r>
      <w:r w:rsidR="0042679D" w:rsidRPr="00371D0C">
        <w:rPr>
          <w:rFonts w:ascii="Times New Roman" w:hAnsi="Times New Roman"/>
          <w:lang w:val="sr-Cyrl-BA"/>
        </w:rPr>
        <w:t xml:space="preserve"> </w:t>
      </w:r>
      <w:r w:rsidR="00C6214E">
        <w:rPr>
          <w:rFonts w:ascii="Times New Roman" w:hAnsi="Times New Roman"/>
          <w:lang w:val="hr-HR"/>
        </w:rPr>
        <w:t>учешћа</w:t>
      </w:r>
      <w:r w:rsidR="0042679D" w:rsidRPr="00371D0C">
        <w:rPr>
          <w:rFonts w:ascii="Times New Roman" w:hAnsi="Times New Roman"/>
          <w:lang w:val="sr-Cyrl-BA"/>
        </w:rPr>
        <w:t xml:space="preserve"> </w:t>
      </w:r>
      <w:r w:rsidR="00C6214E">
        <w:rPr>
          <w:rFonts w:ascii="Times New Roman" w:hAnsi="Times New Roman"/>
          <w:lang w:val="sr-Cyrl-BA"/>
        </w:rPr>
        <w:t>жена</w:t>
      </w:r>
      <w:r w:rsidR="0042679D" w:rsidRPr="00371D0C">
        <w:rPr>
          <w:rFonts w:ascii="Times New Roman" w:hAnsi="Times New Roman"/>
          <w:lang w:val="sr-Cyrl-BA"/>
        </w:rPr>
        <w:t xml:space="preserve"> </w:t>
      </w:r>
      <w:r w:rsidR="00C6214E">
        <w:rPr>
          <w:rFonts w:ascii="Times New Roman" w:hAnsi="Times New Roman"/>
          <w:lang w:val="sr-Cyrl-BA"/>
        </w:rPr>
        <w:t>у</w:t>
      </w:r>
      <w:r w:rsidR="0042679D" w:rsidRPr="00371D0C">
        <w:rPr>
          <w:rFonts w:ascii="Times New Roman" w:hAnsi="Times New Roman"/>
          <w:lang w:val="sr-Cyrl-BA"/>
        </w:rPr>
        <w:t xml:space="preserve"> </w:t>
      </w:r>
      <w:r w:rsidR="00C6214E">
        <w:rPr>
          <w:rFonts w:ascii="Times New Roman" w:hAnsi="Times New Roman"/>
          <w:lang w:val="sr-Cyrl-BA"/>
        </w:rPr>
        <w:t>јавном</w:t>
      </w:r>
      <w:r w:rsidR="0042679D" w:rsidRPr="00371D0C">
        <w:rPr>
          <w:rFonts w:ascii="Times New Roman" w:hAnsi="Times New Roman"/>
          <w:lang w:val="sr-Cyrl-BA"/>
        </w:rPr>
        <w:t xml:space="preserve"> </w:t>
      </w:r>
      <w:r w:rsidR="00C6214E">
        <w:rPr>
          <w:rFonts w:ascii="Times New Roman" w:hAnsi="Times New Roman"/>
          <w:lang w:val="sr-Cyrl-BA"/>
        </w:rPr>
        <w:t>и</w:t>
      </w:r>
      <w:r w:rsidR="0042679D" w:rsidRPr="00371D0C">
        <w:rPr>
          <w:rFonts w:ascii="Times New Roman" w:hAnsi="Times New Roman"/>
          <w:lang w:val="sr-Cyrl-BA"/>
        </w:rPr>
        <w:t xml:space="preserve"> </w:t>
      </w:r>
      <w:r w:rsidR="00C6214E">
        <w:rPr>
          <w:rFonts w:ascii="Times New Roman" w:hAnsi="Times New Roman"/>
          <w:lang w:val="sr-Cyrl-BA"/>
        </w:rPr>
        <w:t>политичком</w:t>
      </w:r>
      <w:r w:rsidR="0042679D" w:rsidRPr="00371D0C">
        <w:rPr>
          <w:rFonts w:ascii="Times New Roman" w:hAnsi="Times New Roman"/>
          <w:lang w:val="sr-Cyrl-BA"/>
        </w:rPr>
        <w:t xml:space="preserve"> </w:t>
      </w:r>
      <w:r w:rsidR="00C6214E">
        <w:rPr>
          <w:rFonts w:ascii="Times New Roman" w:hAnsi="Times New Roman"/>
          <w:lang w:val="sr-Cyrl-BA"/>
        </w:rPr>
        <w:t>животу</w:t>
      </w:r>
      <w:r w:rsidR="0042679D" w:rsidRPr="00371D0C">
        <w:rPr>
          <w:rFonts w:ascii="Times New Roman" w:hAnsi="Times New Roman"/>
          <w:lang w:val="sr-Cyrl-BA"/>
        </w:rPr>
        <w:t xml:space="preserve">. </w:t>
      </w:r>
      <w:r w:rsidR="00C6214E">
        <w:rPr>
          <w:rFonts w:ascii="Times New Roman" w:hAnsi="Times New Roman"/>
          <w:lang w:val="bs-Latn-BA"/>
        </w:rPr>
        <w:t>К</w:t>
      </w:r>
      <w:r w:rsidR="00C6214E">
        <w:rPr>
          <w:rFonts w:ascii="Times New Roman" w:hAnsi="Times New Roman"/>
          <w:lang w:val="sr-Cyrl-BA"/>
        </w:rPr>
        <w:t>ампања</w:t>
      </w:r>
      <w:r w:rsidR="0042679D" w:rsidRPr="00371D0C">
        <w:rPr>
          <w:rFonts w:ascii="Times New Roman" w:hAnsi="Times New Roman"/>
          <w:lang w:val="sr-Cyrl-BA"/>
        </w:rPr>
        <w:t xml:space="preserve"> </w:t>
      </w:r>
      <w:r w:rsidR="00C6214E">
        <w:rPr>
          <w:rFonts w:ascii="Times New Roman" w:hAnsi="Times New Roman"/>
          <w:lang w:val="sr-Cyrl-BA"/>
        </w:rPr>
        <w:t>је</w:t>
      </w:r>
      <w:r w:rsidR="0042679D" w:rsidRPr="00371D0C">
        <w:rPr>
          <w:rFonts w:ascii="Times New Roman" w:hAnsi="Times New Roman"/>
          <w:lang w:val="sr-Cyrl-BA"/>
        </w:rPr>
        <w:t xml:space="preserve"> </w:t>
      </w:r>
      <w:r w:rsidR="00C6214E">
        <w:rPr>
          <w:rFonts w:ascii="Times New Roman" w:hAnsi="Times New Roman"/>
          <w:lang w:val="sr-Cyrl-BA"/>
        </w:rPr>
        <w:t>проведена</w:t>
      </w:r>
      <w:r w:rsidR="0042679D" w:rsidRPr="00371D0C">
        <w:rPr>
          <w:rFonts w:ascii="Times New Roman" w:hAnsi="Times New Roman"/>
          <w:lang w:val="sr-Cyrl-BA"/>
        </w:rPr>
        <w:t xml:space="preserve"> </w:t>
      </w:r>
      <w:r w:rsidR="00C6214E">
        <w:rPr>
          <w:rFonts w:ascii="Times New Roman" w:hAnsi="Times New Roman"/>
          <w:lang w:val="sr-Cyrl-BA"/>
        </w:rPr>
        <w:t>онл</w:t>
      </w:r>
      <w:r>
        <w:rPr>
          <w:rFonts w:ascii="Times New Roman" w:hAnsi="Times New Roman"/>
          <w:lang w:val="sr-Cyrl-BA"/>
        </w:rPr>
        <w:t>ајн</w:t>
      </w:r>
      <w:r w:rsidR="00782E15">
        <w:rPr>
          <w:rFonts w:ascii="Times New Roman" w:hAnsi="Times New Roman"/>
          <w:lang w:val="hr-HR"/>
        </w:rPr>
        <w:t>,</w:t>
      </w:r>
      <w:r w:rsidR="0042679D" w:rsidRPr="00371D0C">
        <w:rPr>
          <w:rFonts w:ascii="Times New Roman" w:hAnsi="Times New Roman"/>
          <w:lang w:val="sr-Cyrl-BA"/>
        </w:rPr>
        <w:t xml:space="preserve"> </w:t>
      </w:r>
      <w:r w:rsidR="00C6214E">
        <w:rPr>
          <w:rFonts w:ascii="Times New Roman" w:hAnsi="Times New Roman"/>
          <w:lang w:val="sr-Cyrl-BA"/>
        </w:rPr>
        <w:t>путем</w:t>
      </w:r>
      <w:r w:rsidR="0042679D" w:rsidRPr="00371D0C">
        <w:rPr>
          <w:rFonts w:ascii="Times New Roman" w:hAnsi="Times New Roman"/>
          <w:lang w:val="sr-Cyrl-BA"/>
        </w:rPr>
        <w:t xml:space="preserve"> </w:t>
      </w:r>
      <w:r w:rsidR="00C6214E">
        <w:rPr>
          <w:rFonts w:ascii="Times New Roman" w:hAnsi="Times New Roman"/>
          <w:lang w:val="sr-Cyrl-BA"/>
        </w:rPr>
        <w:t>званичног</w:t>
      </w:r>
      <w:r w:rsidR="0042679D" w:rsidRPr="00371D0C">
        <w:rPr>
          <w:rFonts w:ascii="Times New Roman" w:hAnsi="Times New Roman"/>
          <w:lang w:val="sr-Cyrl-BA"/>
        </w:rPr>
        <w:t xml:space="preserve"> </w:t>
      </w:r>
      <w:r w:rsidR="00C6214E">
        <w:rPr>
          <w:rFonts w:ascii="Times New Roman" w:hAnsi="Times New Roman"/>
          <w:lang w:val="sr-Cyrl-BA"/>
        </w:rPr>
        <w:t>портала</w:t>
      </w:r>
      <w:r w:rsidR="0042679D" w:rsidRPr="00371D0C">
        <w:rPr>
          <w:rFonts w:ascii="Times New Roman" w:hAnsi="Times New Roman"/>
          <w:lang w:val="sr-Cyrl-BA"/>
        </w:rPr>
        <w:t xml:space="preserve"> </w:t>
      </w:r>
      <w:r w:rsidR="00C6214E">
        <w:rPr>
          <w:rFonts w:ascii="Times New Roman" w:hAnsi="Times New Roman"/>
          <w:lang w:val="sr-Cyrl-BA"/>
        </w:rPr>
        <w:t>Владе</w:t>
      </w:r>
      <w:r w:rsidR="0042679D" w:rsidRPr="00371D0C">
        <w:rPr>
          <w:rFonts w:ascii="Times New Roman" w:hAnsi="Times New Roman"/>
          <w:lang w:val="sr-Cyrl-BA"/>
        </w:rPr>
        <w:t xml:space="preserve"> </w:t>
      </w:r>
      <w:r w:rsidR="00C6214E">
        <w:rPr>
          <w:rFonts w:ascii="Times New Roman" w:hAnsi="Times New Roman"/>
          <w:lang w:val="sr-Cyrl-BA"/>
        </w:rPr>
        <w:t>РС</w:t>
      </w:r>
      <w:r w:rsidR="0042679D" w:rsidRPr="00371D0C">
        <w:rPr>
          <w:rFonts w:ascii="Times New Roman" w:hAnsi="Times New Roman"/>
          <w:lang w:val="sr-Cyrl-BA"/>
        </w:rPr>
        <w:t xml:space="preserve"> </w:t>
      </w:r>
      <w:r w:rsidR="00C6214E">
        <w:rPr>
          <w:rFonts w:ascii="Times New Roman" w:hAnsi="Times New Roman"/>
          <w:lang w:val="sr-Latn-BA"/>
        </w:rPr>
        <w:t>и</w:t>
      </w:r>
      <w:r w:rsidR="0042679D" w:rsidRPr="00371D0C">
        <w:rPr>
          <w:rFonts w:ascii="Times New Roman" w:hAnsi="Times New Roman"/>
          <w:lang w:val="sr-Cyrl-BA"/>
        </w:rPr>
        <w:t xml:space="preserve"> </w:t>
      </w:r>
      <w:r w:rsidR="00C6214E">
        <w:rPr>
          <w:rFonts w:ascii="Times New Roman" w:hAnsi="Times New Roman"/>
          <w:lang w:val="sr-Cyrl-BA"/>
        </w:rPr>
        <w:t>друштвених</w:t>
      </w:r>
      <w:r w:rsidR="0042679D" w:rsidRPr="00371D0C">
        <w:rPr>
          <w:rFonts w:ascii="Times New Roman" w:hAnsi="Times New Roman"/>
          <w:lang w:val="sr-Cyrl-BA"/>
        </w:rPr>
        <w:t xml:space="preserve"> </w:t>
      </w:r>
      <w:r w:rsidR="00C6214E">
        <w:rPr>
          <w:rFonts w:ascii="Times New Roman" w:hAnsi="Times New Roman"/>
          <w:lang w:val="sr-Cyrl-BA"/>
        </w:rPr>
        <w:t>мрежа</w:t>
      </w:r>
      <w:r w:rsidR="0042679D" w:rsidRPr="00371D0C">
        <w:rPr>
          <w:rFonts w:ascii="Times New Roman" w:hAnsi="Times New Roman"/>
          <w:lang w:val="sr-Cyrl-BA"/>
        </w:rPr>
        <w:t>.</w:t>
      </w:r>
    </w:p>
    <w:p w:rsidR="0042679D" w:rsidRPr="00295637" w:rsidRDefault="0042679D" w:rsidP="0086268D">
      <w:pPr>
        <w:jc w:val="both"/>
        <w:rPr>
          <w:rFonts w:ascii="Times New Roman" w:hAnsi="Times New Roman"/>
          <w:szCs w:val="24"/>
        </w:rPr>
      </w:pPr>
    </w:p>
    <w:p w:rsidR="0042679D" w:rsidRPr="00295637" w:rsidRDefault="00C6214E" w:rsidP="0086268D">
      <w:pPr>
        <w:jc w:val="both"/>
        <w:rPr>
          <w:rFonts w:ascii="Times New Roman" w:hAnsi="Times New Roman"/>
          <w:i/>
          <w:szCs w:val="24"/>
        </w:rPr>
      </w:pPr>
      <w:r>
        <w:rPr>
          <w:rFonts w:ascii="Times New Roman" w:hAnsi="Times New Roman"/>
          <w:i/>
          <w:szCs w:val="24"/>
        </w:rPr>
        <w:t>Рад</w:t>
      </w:r>
      <w:r w:rsidR="0042679D" w:rsidRPr="00295637">
        <w:rPr>
          <w:rFonts w:ascii="Times New Roman" w:hAnsi="Times New Roman"/>
          <w:i/>
          <w:szCs w:val="24"/>
        </w:rPr>
        <w:t xml:space="preserve">, </w:t>
      </w:r>
      <w:r>
        <w:rPr>
          <w:rFonts w:ascii="Times New Roman" w:hAnsi="Times New Roman"/>
          <w:i/>
          <w:szCs w:val="24"/>
        </w:rPr>
        <w:t>запошљавање</w:t>
      </w:r>
      <w:r w:rsidR="0042679D" w:rsidRPr="00295637">
        <w:rPr>
          <w:rFonts w:ascii="Times New Roman" w:hAnsi="Times New Roman"/>
          <w:i/>
          <w:szCs w:val="24"/>
        </w:rPr>
        <w:t xml:space="preserve"> </w:t>
      </w:r>
      <w:r>
        <w:rPr>
          <w:rFonts w:ascii="Times New Roman" w:hAnsi="Times New Roman"/>
          <w:i/>
          <w:szCs w:val="24"/>
        </w:rPr>
        <w:t>и</w:t>
      </w:r>
      <w:r w:rsidR="0042679D" w:rsidRPr="00295637">
        <w:rPr>
          <w:rFonts w:ascii="Times New Roman" w:hAnsi="Times New Roman"/>
          <w:i/>
          <w:szCs w:val="24"/>
        </w:rPr>
        <w:t xml:space="preserve"> </w:t>
      </w:r>
      <w:r>
        <w:rPr>
          <w:rFonts w:ascii="Times New Roman" w:hAnsi="Times New Roman"/>
          <w:i/>
          <w:szCs w:val="24"/>
        </w:rPr>
        <w:t>приступ</w:t>
      </w:r>
      <w:r w:rsidR="0042679D" w:rsidRPr="00295637">
        <w:rPr>
          <w:rFonts w:ascii="Times New Roman" w:hAnsi="Times New Roman"/>
          <w:i/>
          <w:szCs w:val="24"/>
        </w:rPr>
        <w:t xml:space="preserve"> </w:t>
      </w:r>
      <w:r>
        <w:rPr>
          <w:rFonts w:ascii="Times New Roman" w:hAnsi="Times New Roman"/>
          <w:i/>
          <w:szCs w:val="24"/>
        </w:rPr>
        <w:t>економским</w:t>
      </w:r>
      <w:r w:rsidR="0042679D" w:rsidRPr="00295637">
        <w:rPr>
          <w:rFonts w:ascii="Times New Roman" w:hAnsi="Times New Roman"/>
          <w:i/>
          <w:szCs w:val="24"/>
        </w:rPr>
        <w:t xml:space="preserve"> </w:t>
      </w:r>
      <w:r>
        <w:rPr>
          <w:rFonts w:ascii="Times New Roman" w:hAnsi="Times New Roman"/>
          <w:i/>
          <w:szCs w:val="24"/>
        </w:rPr>
        <w:t>ресурсима</w:t>
      </w:r>
    </w:p>
    <w:p w:rsidR="0042679D" w:rsidRPr="00295637" w:rsidRDefault="0042679D" w:rsidP="0086268D">
      <w:pPr>
        <w:jc w:val="both"/>
        <w:rPr>
          <w:rFonts w:ascii="Times New Roman" w:hAnsi="Times New Roman"/>
          <w:szCs w:val="24"/>
          <w:lang w:val="bs-Latn-BA"/>
        </w:rPr>
      </w:pPr>
    </w:p>
    <w:p w:rsidR="0042679D" w:rsidRPr="00295637" w:rsidRDefault="00C6214E" w:rsidP="0086268D">
      <w:pPr>
        <w:pStyle w:val="ListParagraph"/>
        <w:numPr>
          <w:ilvl w:val="0"/>
          <w:numId w:val="17"/>
        </w:numPr>
        <w:jc w:val="both"/>
        <w:rPr>
          <w:rFonts w:ascii="Times New Roman" w:hAnsi="Times New Roman"/>
          <w:szCs w:val="24"/>
        </w:rPr>
      </w:pP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мају</w:t>
      </w:r>
      <w:r w:rsidR="0042679D" w:rsidRPr="00295637">
        <w:rPr>
          <w:rFonts w:ascii="Times New Roman" w:hAnsi="Times New Roman"/>
          <w:szCs w:val="24"/>
        </w:rPr>
        <w:t xml:space="preserve"> 2024. </w:t>
      </w:r>
      <w:r>
        <w:rPr>
          <w:rFonts w:ascii="Times New Roman" w:hAnsi="Times New Roman"/>
          <w:szCs w:val="24"/>
        </w:rPr>
        <w:t>године</w:t>
      </w:r>
      <w:r w:rsidR="0042679D" w:rsidRPr="00295637">
        <w:rPr>
          <w:rFonts w:ascii="Times New Roman" w:hAnsi="Times New Roman"/>
          <w:szCs w:val="24"/>
        </w:rPr>
        <w:t xml:space="preserve"> </w:t>
      </w:r>
      <w:r>
        <w:rPr>
          <w:rFonts w:ascii="Times New Roman" w:hAnsi="Times New Roman"/>
          <w:szCs w:val="24"/>
        </w:rPr>
        <w:t>АР</w:t>
      </w:r>
      <w:r w:rsidR="000124D3">
        <w:rPr>
          <w:rFonts w:ascii="Times New Roman" w:hAnsi="Times New Roman"/>
          <w:szCs w:val="24"/>
          <w:lang w:val="sr-Cyrl-BA"/>
        </w:rPr>
        <w:t>П</w:t>
      </w:r>
      <w:r w:rsidR="00782E15">
        <w:rPr>
          <w:rFonts w:ascii="Times New Roman" w:hAnsi="Times New Roman"/>
          <w:szCs w:val="24"/>
        </w:rPr>
        <w:t xml:space="preserve"> </w:t>
      </w:r>
      <w:r>
        <w:rPr>
          <w:rFonts w:ascii="Times New Roman" w:hAnsi="Times New Roman"/>
          <w:szCs w:val="24"/>
        </w:rPr>
        <w:t>БиХ</w:t>
      </w:r>
      <w:r w:rsidR="00782E15">
        <w:rPr>
          <w:rFonts w:ascii="Times New Roman" w:hAnsi="Times New Roman"/>
          <w:szCs w:val="24"/>
        </w:rPr>
        <w:t xml:space="preserve"> </w:t>
      </w:r>
      <w:r>
        <w:rPr>
          <w:rFonts w:ascii="Times New Roman" w:hAnsi="Times New Roman"/>
          <w:szCs w:val="24"/>
        </w:rPr>
        <w:t>МЉПИ</w:t>
      </w:r>
      <w:r w:rsidR="00782E15">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sidR="000124D3">
        <w:rPr>
          <w:rFonts w:ascii="Times New Roman" w:hAnsi="Times New Roman"/>
          <w:szCs w:val="24"/>
        </w:rPr>
        <w:t xml:space="preserve">је </w:t>
      </w:r>
      <w:r>
        <w:rPr>
          <w:rFonts w:ascii="Times New Roman" w:hAnsi="Times New Roman"/>
          <w:szCs w:val="24"/>
        </w:rPr>
        <w:t>издала</w:t>
      </w:r>
      <w:r w:rsidR="0042679D" w:rsidRPr="00295637">
        <w:rPr>
          <w:rFonts w:ascii="Times New Roman" w:hAnsi="Times New Roman"/>
          <w:szCs w:val="24"/>
        </w:rPr>
        <w:t xml:space="preserve"> </w:t>
      </w:r>
      <w:r>
        <w:rPr>
          <w:rFonts w:ascii="Times New Roman" w:hAnsi="Times New Roman"/>
          <w:szCs w:val="24"/>
        </w:rPr>
        <w:t>Препоруке</w:t>
      </w:r>
      <w:r w:rsidR="00782E15">
        <w:rPr>
          <w:rFonts w:ascii="Times New Roman" w:hAnsi="Times New Roman"/>
          <w:szCs w:val="24"/>
        </w:rPr>
        <w:t xml:space="preserve"> </w:t>
      </w:r>
      <w:r>
        <w:rPr>
          <w:rFonts w:ascii="Times New Roman" w:hAnsi="Times New Roman"/>
          <w:szCs w:val="24"/>
        </w:rPr>
        <w:t>са</w:t>
      </w:r>
      <w:r w:rsidR="0042679D" w:rsidRPr="00295637">
        <w:rPr>
          <w:rFonts w:ascii="Times New Roman" w:hAnsi="Times New Roman"/>
          <w:szCs w:val="24"/>
        </w:rPr>
        <w:t xml:space="preserve"> </w:t>
      </w:r>
      <w:r>
        <w:rPr>
          <w:rFonts w:ascii="Times New Roman" w:hAnsi="Times New Roman"/>
          <w:szCs w:val="24"/>
        </w:rPr>
        <w:t>смјерницама</w:t>
      </w:r>
      <w:r w:rsidR="0042679D" w:rsidRPr="00295637">
        <w:rPr>
          <w:rFonts w:ascii="Times New Roman" w:hAnsi="Times New Roman"/>
          <w:szCs w:val="24"/>
        </w:rPr>
        <w:t xml:space="preserve"> </w:t>
      </w:r>
      <w:r>
        <w:rPr>
          <w:rFonts w:ascii="Times New Roman" w:hAnsi="Times New Roman"/>
          <w:szCs w:val="24"/>
        </w:rPr>
        <w:t>за</w:t>
      </w:r>
      <w:r w:rsidR="0042679D" w:rsidRPr="00295637">
        <w:rPr>
          <w:rFonts w:ascii="Times New Roman" w:hAnsi="Times New Roman"/>
          <w:szCs w:val="24"/>
        </w:rPr>
        <w:t xml:space="preserve"> </w:t>
      </w:r>
      <w:r>
        <w:rPr>
          <w:rFonts w:ascii="Times New Roman" w:hAnsi="Times New Roman"/>
          <w:szCs w:val="24"/>
        </w:rPr>
        <w:t>остваривање</w:t>
      </w:r>
      <w:r w:rsidR="0042679D" w:rsidRPr="00295637">
        <w:rPr>
          <w:rFonts w:ascii="Times New Roman" w:hAnsi="Times New Roman"/>
          <w:szCs w:val="24"/>
        </w:rPr>
        <w:t xml:space="preserve"> </w:t>
      </w:r>
      <w:r>
        <w:rPr>
          <w:rFonts w:ascii="Times New Roman" w:hAnsi="Times New Roman"/>
          <w:szCs w:val="24"/>
        </w:rPr>
        <w:t>равноправности</w:t>
      </w:r>
      <w:r w:rsidR="0042679D" w:rsidRPr="00295637">
        <w:rPr>
          <w:rFonts w:ascii="Times New Roman" w:hAnsi="Times New Roman"/>
          <w:szCs w:val="24"/>
        </w:rPr>
        <w:t xml:space="preserve"> </w:t>
      </w:r>
      <w:r>
        <w:rPr>
          <w:rFonts w:ascii="Times New Roman" w:hAnsi="Times New Roman"/>
          <w:szCs w:val="24"/>
        </w:rPr>
        <w:t>полова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раду</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запошљавању</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приватном</w:t>
      </w:r>
      <w:r w:rsidR="0042679D" w:rsidRPr="00295637">
        <w:rPr>
          <w:rFonts w:ascii="Times New Roman" w:hAnsi="Times New Roman"/>
          <w:szCs w:val="24"/>
        </w:rPr>
        <w:t xml:space="preserve"> </w:t>
      </w:r>
      <w:r>
        <w:rPr>
          <w:rFonts w:ascii="Times New Roman" w:hAnsi="Times New Roman"/>
          <w:szCs w:val="24"/>
        </w:rPr>
        <w:t>сектору</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Босни</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Херцеговини</w:t>
      </w:r>
      <w:r w:rsidR="0042679D" w:rsidRPr="00295637">
        <w:rPr>
          <w:rFonts w:ascii="Times New Roman" w:hAnsi="Times New Roman"/>
          <w:szCs w:val="24"/>
        </w:rPr>
        <w:t xml:space="preserve">. </w:t>
      </w:r>
      <w:r>
        <w:rPr>
          <w:rFonts w:ascii="Times New Roman" w:hAnsi="Times New Roman"/>
          <w:szCs w:val="24"/>
        </w:rPr>
        <w:t>Повод</w:t>
      </w:r>
      <w:r w:rsidR="0042679D" w:rsidRPr="00295637">
        <w:rPr>
          <w:rFonts w:ascii="Times New Roman" w:hAnsi="Times New Roman"/>
          <w:szCs w:val="24"/>
        </w:rPr>
        <w:t xml:space="preserve"> </w:t>
      </w:r>
      <w:r>
        <w:rPr>
          <w:rFonts w:ascii="Times New Roman" w:hAnsi="Times New Roman"/>
          <w:szCs w:val="24"/>
        </w:rPr>
        <w:t>за</w:t>
      </w:r>
      <w:r w:rsidR="0042679D" w:rsidRPr="00295637">
        <w:rPr>
          <w:rFonts w:ascii="Times New Roman" w:hAnsi="Times New Roman"/>
          <w:szCs w:val="24"/>
        </w:rPr>
        <w:t xml:space="preserve"> </w:t>
      </w:r>
      <w:r>
        <w:rPr>
          <w:rFonts w:ascii="Times New Roman" w:hAnsi="Times New Roman"/>
          <w:szCs w:val="24"/>
        </w:rPr>
        <w:t>издавање</w:t>
      </w:r>
      <w:r w:rsidR="00E7526C">
        <w:rPr>
          <w:rFonts w:ascii="Times New Roman" w:hAnsi="Times New Roman"/>
          <w:szCs w:val="24"/>
        </w:rPr>
        <w:t xml:space="preserve"> </w:t>
      </w:r>
      <w:r>
        <w:rPr>
          <w:rFonts w:ascii="Times New Roman" w:hAnsi="Times New Roman"/>
          <w:szCs w:val="24"/>
        </w:rPr>
        <w:t>Препорука</w:t>
      </w:r>
      <w:r w:rsidR="0042679D" w:rsidRPr="00295637">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Pr>
          <w:rFonts w:ascii="Times New Roman" w:hAnsi="Times New Roman"/>
          <w:szCs w:val="24"/>
        </w:rPr>
        <w:t>поред</w:t>
      </w:r>
      <w:r w:rsidR="0042679D" w:rsidRPr="00295637">
        <w:rPr>
          <w:rFonts w:ascii="Times New Roman" w:hAnsi="Times New Roman"/>
          <w:szCs w:val="24"/>
        </w:rPr>
        <w:t xml:space="preserve"> </w:t>
      </w:r>
      <w:r>
        <w:rPr>
          <w:rFonts w:ascii="Times New Roman" w:hAnsi="Times New Roman"/>
          <w:szCs w:val="24"/>
        </w:rPr>
        <w:t>осталог</w:t>
      </w:r>
      <w:r w:rsidR="0042679D" w:rsidRPr="00295637">
        <w:rPr>
          <w:rFonts w:ascii="Times New Roman" w:hAnsi="Times New Roman"/>
          <w:szCs w:val="24"/>
        </w:rPr>
        <w:t xml:space="preserve">, </w:t>
      </w:r>
      <w:r>
        <w:rPr>
          <w:rFonts w:ascii="Times New Roman" w:hAnsi="Times New Roman"/>
          <w:szCs w:val="24"/>
        </w:rPr>
        <w:t>повећан</w:t>
      </w:r>
      <w:r w:rsidR="0042679D" w:rsidRPr="00295637">
        <w:rPr>
          <w:rFonts w:ascii="Times New Roman" w:hAnsi="Times New Roman"/>
          <w:szCs w:val="24"/>
        </w:rPr>
        <w:t xml:space="preserve"> </w:t>
      </w:r>
      <w:r>
        <w:rPr>
          <w:rFonts w:ascii="Times New Roman" w:hAnsi="Times New Roman"/>
          <w:szCs w:val="24"/>
        </w:rPr>
        <w:t>број</w:t>
      </w:r>
      <w:r w:rsidR="0042679D" w:rsidRPr="00295637">
        <w:rPr>
          <w:rFonts w:ascii="Times New Roman" w:hAnsi="Times New Roman"/>
          <w:szCs w:val="24"/>
        </w:rPr>
        <w:t xml:space="preserve"> </w:t>
      </w:r>
      <w:r>
        <w:rPr>
          <w:rFonts w:ascii="Times New Roman" w:hAnsi="Times New Roman"/>
          <w:szCs w:val="24"/>
        </w:rPr>
        <w:t>дискриминаторних</w:t>
      </w:r>
      <w:r w:rsidR="0042679D" w:rsidRPr="00295637">
        <w:rPr>
          <w:rFonts w:ascii="Times New Roman" w:hAnsi="Times New Roman"/>
          <w:szCs w:val="24"/>
        </w:rPr>
        <w:t xml:space="preserve"> </w:t>
      </w:r>
      <w:r>
        <w:rPr>
          <w:rFonts w:ascii="Times New Roman" w:hAnsi="Times New Roman"/>
          <w:szCs w:val="24"/>
        </w:rPr>
        <w:t>пракси</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основу</w:t>
      </w:r>
      <w:r w:rsidR="0042679D" w:rsidRPr="00295637">
        <w:rPr>
          <w:rFonts w:ascii="Times New Roman" w:hAnsi="Times New Roman"/>
          <w:szCs w:val="24"/>
        </w:rPr>
        <w:t xml:space="preserve"> </w:t>
      </w:r>
      <w:r>
        <w:rPr>
          <w:rFonts w:ascii="Times New Roman" w:hAnsi="Times New Roman"/>
          <w:szCs w:val="24"/>
        </w:rPr>
        <w:t>пола</w:t>
      </w:r>
      <w:r w:rsidR="0042679D" w:rsidRPr="00295637">
        <w:rPr>
          <w:rFonts w:ascii="Times New Roman" w:hAnsi="Times New Roman"/>
          <w:szCs w:val="24"/>
        </w:rPr>
        <w:t xml:space="preserve"> </w:t>
      </w:r>
      <w:r>
        <w:rPr>
          <w:rFonts w:ascii="Times New Roman" w:hAnsi="Times New Roman"/>
          <w:szCs w:val="24"/>
        </w:rPr>
        <w:t>приликом</w:t>
      </w:r>
      <w:r w:rsidR="0042679D" w:rsidRPr="00295637">
        <w:rPr>
          <w:rFonts w:ascii="Times New Roman" w:hAnsi="Times New Roman"/>
          <w:szCs w:val="24"/>
        </w:rPr>
        <w:t xml:space="preserve"> </w:t>
      </w:r>
      <w:r>
        <w:rPr>
          <w:rFonts w:ascii="Times New Roman" w:hAnsi="Times New Roman"/>
          <w:szCs w:val="24"/>
        </w:rPr>
        <w:t>запошљавања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радном</w:t>
      </w:r>
      <w:r w:rsidR="0042679D" w:rsidRPr="00295637">
        <w:rPr>
          <w:rFonts w:ascii="Times New Roman" w:hAnsi="Times New Roman"/>
          <w:szCs w:val="24"/>
        </w:rPr>
        <w:t xml:space="preserve"> </w:t>
      </w:r>
      <w:r>
        <w:rPr>
          <w:rFonts w:ascii="Times New Roman" w:hAnsi="Times New Roman"/>
          <w:szCs w:val="24"/>
        </w:rPr>
        <w:t>односу</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p>
    <w:p w:rsidR="0042679D" w:rsidRPr="00295637" w:rsidRDefault="0042679D" w:rsidP="0086268D">
      <w:pPr>
        <w:pStyle w:val="ListParagraph"/>
        <w:ind w:left="720"/>
        <w:jc w:val="both"/>
        <w:rPr>
          <w:rFonts w:ascii="Times New Roman" w:hAnsi="Times New Roman"/>
          <w:lang w:val="hr-HR"/>
        </w:rPr>
      </w:pPr>
    </w:p>
    <w:p w:rsidR="0042679D" w:rsidRPr="006404C8" w:rsidRDefault="00C6214E" w:rsidP="0086268D">
      <w:pPr>
        <w:pStyle w:val="NormalWeb"/>
        <w:numPr>
          <w:ilvl w:val="0"/>
          <w:numId w:val="17"/>
        </w:numPr>
        <w:spacing w:before="0" w:beforeAutospacing="0" w:after="0" w:afterAutospacing="0"/>
        <w:jc w:val="both"/>
        <w:textAlignment w:val="baseline"/>
      </w:pPr>
      <w:r>
        <w:t>У</w:t>
      </w:r>
      <w:r w:rsidR="0042679D" w:rsidRPr="00295637">
        <w:t xml:space="preserve"> </w:t>
      </w:r>
      <w:r>
        <w:t>оквиру</w:t>
      </w:r>
      <w:r w:rsidR="0042679D" w:rsidRPr="00295637">
        <w:t xml:space="preserve"> </w:t>
      </w:r>
      <w:r>
        <w:t>пројекта</w:t>
      </w:r>
      <w:r w:rsidR="0042679D" w:rsidRPr="00295637">
        <w:t xml:space="preserve"> „</w:t>
      </w:r>
      <w:r>
        <w:t>Печат</w:t>
      </w:r>
      <w:r w:rsidR="0042679D" w:rsidRPr="00295637">
        <w:t xml:space="preserve"> </w:t>
      </w:r>
      <w:r>
        <w:t>равноправности</w:t>
      </w:r>
      <w:r w:rsidR="0042679D">
        <w:t xml:space="preserve"> </w:t>
      </w:r>
      <w:r>
        <w:t>полова</w:t>
      </w:r>
      <w:r w:rsidR="0042679D" w:rsidRPr="00295637">
        <w:t xml:space="preserve"> </w:t>
      </w:r>
      <w:r w:rsidR="000124D3" w:rsidRPr="000124D3">
        <w:rPr>
          <w:i/>
          <w:lang w:val="hr-BA"/>
        </w:rPr>
        <w:t>SEAL</w:t>
      </w:r>
      <w:r w:rsidR="0042679D" w:rsidRPr="00295637">
        <w:t xml:space="preserve"> </w:t>
      </w:r>
      <w:r>
        <w:t>у</w:t>
      </w:r>
      <w:r w:rsidR="0042679D" w:rsidRPr="00295637">
        <w:t xml:space="preserve"> </w:t>
      </w:r>
      <w:r>
        <w:t>приватном</w:t>
      </w:r>
      <w:r w:rsidR="00D30E48">
        <w:t xml:space="preserve"> </w:t>
      </w:r>
      <w:r>
        <w:t>сектору</w:t>
      </w:r>
      <w:r w:rsidR="00D30E48">
        <w:t xml:space="preserve">“, </w:t>
      </w:r>
      <w:r>
        <w:t>који</w:t>
      </w:r>
      <w:r w:rsidR="00D30E48">
        <w:t xml:space="preserve"> </w:t>
      </w:r>
      <w:r>
        <w:t>АР</w:t>
      </w:r>
      <w:r w:rsidR="000124D3">
        <w:rPr>
          <w:lang w:val="sr-Cyrl-BA"/>
        </w:rPr>
        <w:t>П</w:t>
      </w:r>
      <w:r w:rsidR="00D30E48">
        <w:t xml:space="preserve"> </w:t>
      </w:r>
      <w:r>
        <w:t>БиХ</w:t>
      </w:r>
      <w:r w:rsidR="0042679D" w:rsidRPr="00295637">
        <w:t xml:space="preserve"> </w:t>
      </w:r>
      <w:r>
        <w:t>МЉПИ</w:t>
      </w:r>
      <w:r w:rsidR="00E7526C">
        <w:t xml:space="preserve"> </w:t>
      </w:r>
      <w:r>
        <w:t>БиХ</w:t>
      </w:r>
      <w:r w:rsidR="0042679D" w:rsidRPr="00295637">
        <w:t xml:space="preserve"> </w:t>
      </w:r>
      <w:r w:rsidR="000124D3">
        <w:rPr>
          <w:lang w:val="sr-Cyrl-BA"/>
        </w:rPr>
        <w:t>с</w:t>
      </w:r>
      <w:r>
        <w:t>проводи</w:t>
      </w:r>
      <w:r w:rsidR="0042679D" w:rsidRPr="00295637">
        <w:t xml:space="preserve"> </w:t>
      </w:r>
      <w:r>
        <w:t>у</w:t>
      </w:r>
      <w:r w:rsidR="0042679D" w:rsidRPr="00295637">
        <w:t xml:space="preserve"> </w:t>
      </w:r>
      <w:r>
        <w:t>сарадњи</w:t>
      </w:r>
      <w:r w:rsidR="00782E15">
        <w:t xml:space="preserve"> </w:t>
      </w:r>
      <w:r>
        <w:t>са</w:t>
      </w:r>
      <w:r w:rsidR="0042679D" w:rsidRPr="00295637">
        <w:t xml:space="preserve"> </w:t>
      </w:r>
      <w:r w:rsidR="000124D3" w:rsidRPr="000124D3">
        <w:rPr>
          <w:i/>
          <w:lang w:val="hr-BA"/>
        </w:rPr>
        <w:t>UNDP</w:t>
      </w:r>
      <w:r w:rsidR="00782E15">
        <w:t>-</w:t>
      </w:r>
      <w:r>
        <w:t>ом</w:t>
      </w:r>
      <w:r w:rsidR="0042679D" w:rsidRPr="00295637">
        <w:t xml:space="preserve">, </w:t>
      </w:r>
      <w:r>
        <w:t>развијани</w:t>
      </w:r>
      <w:r w:rsidR="0042679D" w:rsidRPr="00295637">
        <w:t xml:space="preserve"> </w:t>
      </w:r>
      <w:r>
        <w:t>су</w:t>
      </w:r>
      <w:r w:rsidR="0042679D" w:rsidRPr="00295637">
        <w:t xml:space="preserve"> </w:t>
      </w:r>
      <w:r>
        <w:t>капацитети</w:t>
      </w:r>
      <w:r w:rsidR="0042679D" w:rsidRPr="00295637">
        <w:t xml:space="preserve"> </w:t>
      </w:r>
      <w:r>
        <w:rPr>
          <w:lang w:val="hr-HR"/>
        </w:rPr>
        <w:t>савјетника</w:t>
      </w:r>
      <w:r w:rsidR="0042679D" w:rsidRPr="00295637">
        <w:rPr>
          <w:lang w:val="hr-HR"/>
        </w:rPr>
        <w:t xml:space="preserve"> </w:t>
      </w:r>
      <w:r>
        <w:rPr>
          <w:lang w:val="hr-HR"/>
        </w:rPr>
        <w:t>који</w:t>
      </w:r>
      <w:r w:rsidR="0042679D" w:rsidRPr="00295637">
        <w:rPr>
          <w:lang w:val="hr-HR"/>
        </w:rPr>
        <w:t xml:space="preserve"> </w:t>
      </w:r>
      <w:r>
        <w:rPr>
          <w:lang w:val="hr-HR"/>
        </w:rPr>
        <w:t>ће</w:t>
      </w:r>
      <w:r w:rsidR="004F7577">
        <w:rPr>
          <w:lang w:val="hr-HR"/>
        </w:rPr>
        <w:t xml:space="preserve"> </w:t>
      </w:r>
      <w:r>
        <w:rPr>
          <w:lang w:val="hr-HR"/>
        </w:rPr>
        <w:t>у</w:t>
      </w:r>
      <w:r w:rsidR="004F7577">
        <w:rPr>
          <w:lang w:val="hr-HR"/>
        </w:rPr>
        <w:t xml:space="preserve"> </w:t>
      </w:r>
      <w:r>
        <w:rPr>
          <w:lang w:val="hr-HR"/>
        </w:rPr>
        <w:t>предстојећим</w:t>
      </w:r>
      <w:r w:rsidR="004F7577">
        <w:rPr>
          <w:lang w:val="hr-HR"/>
        </w:rPr>
        <w:t xml:space="preserve"> </w:t>
      </w:r>
      <w:r>
        <w:rPr>
          <w:lang w:val="hr-HR"/>
        </w:rPr>
        <w:t>активностима</w:t>
      </w:r>
      <w:r w:rsidR="004F7577">
        <w:rPr>
          <w:lang w:val="hr-HR"/>
        </w:rPr>
        <w:t xml:space="preserve"> </w:t>
      </w:r>
      <w:r>
        <w:rPr>
          <w:lang w:val="hr-HR"/>
        </w:rPr>
        <w:t>пружати</w:t>
      </w:r>
      <w:r w:rsidR="004F7577" w:rsidRPr="00295637">
        <w:rPr>
          <w:lang w:val="hr-HR"/>
        </w:rPr>
        <w:t xml:space="preserve"> </w:t>
      </w:r>
      <w:r>
        <w:rPr>
          <w:lang w:val="hr-HR"/>
        </w:rPr>
        <w:t>савјетодавне</w:t>
      </w:r>
      <w:r w:rsidR="0042679D" w:rsidRPr="00295637">
        <w:rPr>
          <w:lang w:val="hr-HR"/>
        </w:rPr>
        <w:t xml:space="preserve"> </w:t>
      </w:r>
      <w:r>
        <w:rPr>
          <w:lang w:val="hr-HR"/>
        </w:rPr>
        <w:t>услуге</w:t>
      </w:r>
      <w:r w:rsidR="0042679D" w:rsidRPr="00295637">
        <w:rPr>
          <w:lang w:val="hr-HR"/>
        </w:rPr>
        <w:t xml:space="preserve"> </w:t>
      </w:r>
      <w:r>
        <w:rPr>
          <w:lang w:val="hr-HR"/>
        </w:rPr>
        <w:t>приватним</w:t>
      </w:r>
      <w:r w:rsidR="0042679D" w:rsidRPr="00295637">
        <w:rPr>
          <w:lang w:val="hr-HR"/>
        </w:rPr>
        <w:t xml:space="preserve"> </w:t>
      </w:r>
      <w:r>
        <w:rPr>
          <w:lang w:val="hr-HR"/>
        </w:rPr>
        <w:t>компанијама</w:t>
      </w:r>
      <w:r w:rsidR="0042679D" w:rsidRPr="00295637">
        <w:rPr>
          <w:lang w:val="hr-HR"/>
        </w:rPr>
        <w:t xml:space="preserve"> </w:t>
      </w:r>
      <w:r>
        <w:rPr>
          <w:lang w:val="hr-HR"/>
        </w:rPr>
        <w:t>и</w:t>
      </w:r>
      <w:r w:rsidR="0042679D" w:rsidRPr="00295637">
        <w:rPr>
          <w:lang w:val="hr-HR"/>
        </w:rPr>
        <w:t xml:space="preserve"> </w:t>
      </w:r>
      <w:r>
        <w:rPr>
          <w:lang w:val="hr-HR"/>
        </w:rPr>
        <w:t>подржати</w:t>
      </w:r>
      <w:r w:rsidR="0042679D" w:rsidRPr="00295637">
        <w:rPr>
          <w:lang w:val="hr-HR"/>
        </w:rPr>
        <w:t xml:space="preserve"> </w:t>
      </w:r>
      <w:r>
        <w:rPr>
          <w:lang w:val="hr-HR"/>
        </w:rPr>
        <w:t>их</w:t>
      </w:r>
      <w:r w:rsidR="0042679D" w:rsidRPr="00295637">
        <w:rPr>
          <w:lang w:val="hr-HR"/>
        </w:rPr>
        <w:t xml:space="preserve"> </w:t>
      </w:r>
      <w:r>
        <w:rPr>
          <w:lang w:val="hr-HR"/>
        </w:rPr>
        <w:t>у</w:t>
      </w:r>
      <w:r w:rsidR="0042679D" w:rsidRPr="00295637">
        <w:rPr>
          <w:lang w:val="hr-HR"/>
        </w:rPr>
        <w:t xml:space="preserve"> </w:t>
      </w:r>
      <w:r>
        <w:rPr>
          <w:lang w:val="hr-HR"/>
        </w:rPr>
        <w:t>процесу</w:t>
      </w:r>
      <w:r w:rsidR="0042679D" w:rsidRPr="00295637">
        <w:rPr>
          <w:lang w:val="hr-HR"/>
        </w:rPr>
        <w:t xml:space="preserve"> </w:t>
      </w:r>
      <w:r w:rsidR="00095BD0">
        <w:rPr>
          <w:lang w:val="sr-Cyrl-BA"/>
        </w:rPr>
        <w:t>спровођења</w:t>
      </w:r>
      <w:r w:rsidR="0042679D" w:rsidRPr="00295637">
        <w:rPr>
          <w:lang w:val="hr-HR"/>
        </w:rPr>
        <w:t xml:space="preserve"> „</w:t>
      </w:r>
      <w:r>
        <w:rPr>
          <w:lang w:val="hr-HR"/>
        </w:rPr>
        <w:t>Печата</w:t>
      </w:r>
      <w:r w:rsidR="0042679D" w:rsidRPr="00295637">
        <w:rPr>
          <w:lang w:val="hr-HR"/>
        </w:rPr>
        <w:t xml:space="preserve"> </w:t>
      </w:r>
      <w:r>
        <w:rPr>
          <w:lang w:val="hr-HR"/>
        </w:rPr>
        <w:t>равноправности</w:t>
      </w:r>
      <w:r w:rsidR="0042679D">
        <w:rPr>
          <w:lang w:val="hr-HR"/>
        </w:rPr>
        <w:t xml:space="preserve"> </w:t>
      </w:r>
      <w:r>
        <w:rPr>
          <w:lang w:val="hr-HR"/>
        </w:rPr>
        <w:t>полова</w:t>
      </w:r>
      <w:r w:rsidR="0042679D" w:rsidRPr="00295637">
        <w:rPr>
          <w:lang w:val="hr-HR"/>
        </w:rPr>
        <w:t xml:space="preserve">“. </w:t>
      </w:r>
    </w:p>
    <w:p w:rsidR="0042679D" w:rsidRDefault="0042679D" w:rsidP="0086268D">
      <w:pPr>
        <w:pStyle w:val="ListParagraph"/>
      </w:pPr>
    </w:p>
    <w:p w:rsidR="0042679D" w:rsidRPr="00295637" w:rsidRDefault="00C6214E" w:rsidP="0086268D">
      <w:pPr>
        <w:pStyle w:val="NormalWeb"/>
        <w:numPr>
          <w:ilvl w:val="0"/>
          <w:numId w:val="17"/>
        </w:numPr>
        <w:spacing w:before="0" w:beforeAutospacing="0" w:after="0" w:afterAutospacing="0"/>
        <w:jc w:val="both"/>
        <w:textAlignment w:val="baseline"/>
      </w:pPr>
      <w:r>
        <w:t>Поред</w:t>
      </w:r>
      <w:r w:rsidR="0042679D" w:rsidRPr="00295637">
        <w:t xml:space="preserve"> </w:t>
      </w:r>
      <w:r>
        <w:t>тога</w:t>
      </w:r>
      <w:r w:rsidR="0042679D" w:rsidRPr="00295637">
        <w:t xml:space="preserve">, </w:t>
      </w:r>
      <w:r>
        <w:t>у</w:t>
      </w:r>
      <w:r w:rsidR="0042679D" w:rsidRPr="00295637">
        <w:t xml:space="preserve"> </w:t>
      </w:r>
      <w:r>
        <w:t>оквиру</w:t>
      </w:r>
      <w:r w:rsidR="0042679D" w:rsidRPr="00295637">
        <w:t xml:space="preserve"> </w:t>
      </w:r>
      <w:r>
        <w:t>пројекта</w:t>
      </w:r>
      <w:r w:rsidR="0042679D" w:rsidRPr="00295637">
        <w:t xml:space="preserve"> „</w:t>
      </w:r>
      <w:r>
        <w:t>Печат</w:t>
      </w:r>
      <w:r w:rsidR="0042679D">
        <w:t xml:space="preserve"> </w:t>
      </w:r>
      <w:r>
        <w:t>равноправности</w:t>
      </w:r>
      <w:r w:rsidR="0042679D">
        <w:t xml:space="preserve"> </w:t>
      </w:r>
      <w:r>
        <w:t>полова</w:t>
      </w:r>
      <w:r w:rsidR="0042679D" w:rsidRPr="00295637">
        <w:t xml:space="preserve"> - </w:t>
      </w:r>
      <w:r w:rsidR="00095BD0" w:rsidRPr="00095BD0">
        <w:rPr>
          <w:i/>
          <w:lang w:val="hr-BA"/>
        </w:rPr>
        <w:t>SEAL</w:t>
      </w:r>
      <w:r w:rsidR="0042679D" w:rsidRPr="00295637">
        <w:t xml:space="preserve"> </w:t>
      </w:r>
      <w:r>
        <w:t>у</w:t>
      </w:r>
      <w:r w:rsidR="0042679D" w:rsidRPr="00295637">
        <w:t xml:space="preserve"> </w:t>
      </w:r>
      <w:r>
        <w:t>јавном</w:t>
      </w:r>
      <w:r w:rsidR="0042679D" w:rsidRPr="00295637">
        <w:t xml:space="preserve"> </w:t>
      </w:r>
      <w:r>
        <w:t>сектору</w:t>
      </w:r>
      <w:r w:rsidR="0042679D" w:rsidRPr="00295637">
        <w:t xml:space="preserve">“, </w:t>
      </w:r>
      <w:r>
        <w:t>у</w:t>
      </w:r>
      <w:r w:rsidR="0042679D" w:rsidRPr="00295637">
        <w:t xml:space="preserve"> </w:t>
      </w:r>
      <w:r>
        <w:t>сарадњи</w:t>
      </w:r>
      <w:r w:rsidR="00782E15">
        <w:t xml:space="preserve"> </w:t>
      </w:r>
      <w:r>
        <w:t>са</w:t>
      </w:r>
      <w:r w:rsidR="0042679D" w:rsidRPr="00295637">
        <w:t xml:space="preserve"> </w:t>
      </w:r>
      <w:r w:rsidR="00095BD0" w:rsidRPr="00095BD0">
        <w:rPr>
          <w:i/>
          <w:lang w:val="hr-BA"/>
        </w:rPr>
        <w:t>UNDP</w:t>
      </w:r>
      <w:r w:rsidR="00782E15">
        <w:t>-</w:t>
      </w:r>
      <w:r>
        <w:t>ом</w:t>
      </w:r>
      <w:r w:rsidR="0042679D" w:rsidRPr="00295637">
        <w:t xml:space="preserve">, </w:t>
      </w:r>
      <w:r>
        <w:t>реализ</w:t>
      </w:r>
      <w:r w:rsidR="00095BD0">
        <w:rPr>
          <w:lang w:val="sr-Cyrl-BA"/>
        </w:rPr>
        <w:t>оване</w:t>
      </w:r>
      <w:r w:rsidR="0042679D" w:rsidRPr="00295637">
        <w:t xml:space="preserve"> </w:t>
      </w:r>
      <w:r>
        <w:t>су</w:t>
      </w:r>
      <w:r w:rsidR="0042679D" w:rsidRPr="00295637">
        <w:t xml:space="preserve"> </w:t>
      </w:r>
      <w:r>
        <w:t>активности</w:t>
      </w:r>
      <w:r w:rsidR="0042679D" w:rsidRPr="00295637">
        <w:t xml:space="preserve"> </w:t>
      </w:r>
      <w:r>
        <w:t>са</w:t>
      </w:r>
      <w:r w:rsidR="0042679D" w:rsidRPr="00295637">
        <w:t xml:space="preserve"> </w:t>
      </w:r>
      <w:r>
        <w:t>ВСТ</w:t>
      </w:r>
      <w:r w:rsidR="00095BD0">
        <w:rPr>
          <w:lang w:val="sr-Cyrl-BA"/>
        </w:rPr>
        <w:t>С</w:t>
      </w:r>
      <w:r w:rsidR="0042679D" w:rsidRPr="00295637">
        <w:t xml:space="preserve"> </w:t>
      </w:r>
      <w:r>
        <w:t>који</w:t>
      </w:r>
      <w:r w:rsidR="0042679D" w:rsidRPr="00295637">
        <w:t xml:space="preserve"> </w:t>
      </w:r>
      <w:r>
        <w:t>је</w:t>
      </w:r>
      <w:r w:rsidR="0042679D" w:rsidRPr="00295637">
        <w:t xml:space="preserve"> </w:t>
      </w:r>
      <w:r>
        <w:t>добио</w:t>
      </w:r>
      <w:r w:rsidR="0042679D" w:rsidRPr="00295637">
        <w:t xml:space="preserve"> „</w:t>
      </w:r>
      <w:r>
        <w:t>Сребни</w:t>
      </w:r>
      <w:r w:rsidR="0042679D" w:rsidRPr="00295637">
        <w:t xml:space="preserve"> </w:t>
      </w:r>
      <w:r>
        <w:t>печат</w:t>
      </w:r>
      <w:r w:rsidR="0042679D" w:rsidRPr="00295637">
        <w:t xml:space="preserve"> </w:t>
      </w:r>
      <w:r>
        <w:t>равноправности</w:t>
      </w:r>
      <w:r w:rsidR="0042679D" w:rsidRPr="00295637">
        <w:t xml:space="preserve"> </w:t>
      </w:r>
      <w:r>
        <w:t>полова</w:t>
      </w:r>
      <w:r w:rsidR="0042679D" w:rsidRPr="00295637">
        <w:t xml:space="preserve">“ </w:t>
      </w:r>
      <w:r>
        <w:t>као</w:t>
      </w:r>
      <w:r w:rsidR="0042679D" w:rsidRPr="00295637">
        <w:t xml:space="preserve"> </w:t>
      </w:r>
      <w:r>
        <w:t>прва</w:t>
      </w:r>
      <w:r w:rsidR="0042679D" w:rsidRPr="00295637">
        <w:t xml:space="preserve"> </w:t>
      </w:r>
      <w:r>
        <w:t>институција</w:t>
      </w:r>
      <w:r w:rsidR="0042679D" w:rsidRPr="00295637">
        <w:t xml:space="preserve"> </w:t>
      </w:r>
      <w:r>
        <w:t>у</w:t>
      </w:r>
      <w:r w:rsidR="0042679D" w:rsidRPr="00295637">
        <w:t xml:space="preserve"> </w:t>
      </w:r>
      <w:r>
        <w:t>Европи</w:t>
      </w:r>
      <w:r w:rsidR="00782E15">
        <w:t xml:space="preserve"> </w:t>
      </w:r>
      <w:r>
        <w:t>и</w:t>
      </w:r>
      <w:r w:rsidR="00782E15">
        <w:t xml:space="preserve"> </w:t>
      </w:r>
      <w:r>
        <w:t>на</w:t>
      </w:r>
      <w:r w:rsidR="00782E15">
        <w:t xml:space="preserve"> </w:t>
      </w:r>
      <w:r>
        <w:t>Ба</w:t>
      </w:r>
      <w:r w:rsidR="00EB31AF">
        <w:rPr>
          <w:lang w:val="bs-Cyrl-BA"/>
        </w:rPr>
        <w:t>л</w:t>
      </w:r>
      <w:r>
        <w:t>кану</w:t>
      </w:r>
      <w:r w:rsidR="00782E15">
        <w:t xml:space="preserve"> </w:t>
      </w:r>
      <w:r>
        <w:t>са</w:t>
      </w:r>
      <w:r w:rsidR="0042679D" w:rsidRPr="00295637">
        <w:t xml:space="preserve"> </w:t>
      </w:r>
      <w:r>
        <w:t>овом</w:t>
      </w:r>
      <w:r w:rsidR="0042679D" w:rsidRPr="00295637">
        <w:t xml:space="preserve"> </w:t>
      </w:r>
      <w:r>
        <w:t>врстом</w:t>
      </w:r>
      <w:r w:rsidR="0042679D" w:rsidRPr="00295637">
        <w:t xml:space="preserve"> </w:t>
      </w:r>
      <w:r>
        <w:t>признања</w:t>
      </w:r>
      <w:r w:rsidR="0042679D">
        <w:t xml:space="preserve">. </w:t>
      </w:r>
      <w:r w:rsidR="00095BD0">
        <w:t>Такође</w:t>
      </w:r>
      <w:r w:rsidR="0042679D">
        <w:t xml:space="preserve">, </w:t>
      </w:r>
      <w:r>
        <w:t>уз</w:t>
      </w:r>
      <w:r w:rsidR="004F7577">
        <w:t xml:space="preserve"> </w:t>
      </w:r>
      <w:r>
        <w:t>техничку</w:t>
      </w:r>
      <w:r w:rsidR="004F7577">
        <w:t xml:space="preserve"> </w:t>
      </w:r>
      <w:r>
        <w:t>подршку</w:t>
      </w:r>
      <w:r w:rsidR="004F7577">
        <w:t xml:space="preserve"> </w:t>
      </w:r>
      <w:r>
        <w:t>и</w:t>
      </w:r>
      <w:r w:rsidR="004F7577">
        <w:t xml:space="preserve"> </w:t>
      </w:r>
      <w:r>
        <w:t>савјетодавну</w:t>
      </w:r>
      <w:r w:rsidR="004F7577">
        <w:t xml:space="preserve"> </w:t>
      </w:r>
      <w:r>
        <w:t>улогу</w:t>
      </w:r>
      <w:r w:rsidR="004F7577">
        <w:t xml:space="preserve"> </w:t>
      </w:r>
      <w:r>
        <w:t>АР</w:t>
      </w:r>
      <w:r w:rsidR="00095BD0">
        <w:rPr>
          <w:lang w:val="sr-Cyrl-BA"/>
        </w:rPr>
        <w:t>П</w:t>
      </w:r>
      <w:r w:rsidR="00782E15">
        <w:t xml:space="preserve"> </w:t>
      </w:r>
      <w:r>
        <w:t>БиХ</w:t>
      </w:r>
      <w:r w:rsidR="00782E15">
        <w:t xml:space="preserve"> </w:t>
      </w:r>
      <w:r>
        <w:t>МЉПИ</w:t>
      </w:r>
      <w:r w:rsidR="00782E15">
        <w:t xml:space="preserve"> </w:t>
      </w:r>
      <w:r>
        <w:t>БиХ</w:t>
      </w:r>
      <w:r w:rsidR="00782E15">
        <w:t xml:space="preserve"> </w:t>
      </w:r>
      <w:r>
        <w:t>и</w:t>
      </w:r>
      <w:r w:rsidR="00782E15">
        <w:t xml:space="preserve"> </w:t>
      </w:r>
      <w:r>
        <w:t>партнерство</w:t>
      </w:r>
      <w:r w:rsidR="00782E15">
        <w:t xml:space="preserve"> </w:t>
      </w:r>
      <w:r>
        <w:t>са</w:t>
      </w:r>
      <w:r w:rsidR="004F7577">
        <w:t xml:space="preserve"> </w:t>
      </w:r>
      <w:r w:rsidR="00095BD0" w:rsidRPr="00095BD0">
        <w:rPr>
          <w:i/>
          <w:lang w:val="hr-BA"/>
        </w:rPr>
        <w:t>UNDP</w:t>
      </w:r>
      <w:r w:rsidR="00782E15">
        <w:t>-</w:t>
      </w:r>
      <w:r>
        <w:t>ом</w:t>
      </w:r>
      <w:r w:rsidR="004F7577">
        <w:t xml:space="preserve">, </w:t>
      </w:r>
      <w:r>
        <w:t>почеле</w:t>
      </w:r>
      <w:r w:rsidR="0042679D" w:rsidRPr="00295637">
        <w:t xml:space="preserve"> </w:t>
      </w:r>
      <w:r>
        <w:t>су</w:t>
      </w:r>
      <w:r w:rsidR="0042679D" w:rsidRPr="00295637">
        <w:t xml:space="preserve"> </w:t>
      </w:r>
      <w:r>
        <w:t>активности</w:t>
      </w:r>
      <w:r w:rsidR="00782E15">
        <w:t xml:space="preserve"> </w:t>
      </w:r>
      <w:r>
        <w:t>на</w:t>
      </w:r>
      <w:r w:rsidR="00782E15">
        <w:t xml:space="preserve"> </w:t>
      </w:r>
      <w:r>
        <w:t>увођењу</w:t>
      </w:r>
      <w:r w:rsidR="00782E15">
        <w:t xml:space="preserve"> “</w:t>
      </w:r>
      <w:r>
        <w:t>Печата</w:t>
      </w:r>
      <w:r w:rsidR="00782E15">
        <w:t xml:space="preserve">” </w:t>
      </w:r>
      <w:r>
        <w:t>у</w:t>
      </w:r>
      <w:r w:rsidR="00782E15">
        <w:t xml:space="preserve"> </w:t>
      </w:r>
      <w:r>
        <w:t>М</w:t>
      </w:r>
      <w:r w:rsidR="00095BD0">
        <w:rPr>
          <w:lang w:val="sr-Cyrl-BA"/>
        </w:rPr>
        <w:t>Б</w:t>
      </w:r>
      <w:r w:rsidR="00782E15">
        <w:t xml:space="preserve"> </w:t>
      </w:r>
      <w:r>
        <w:t>БиХ</w:t>
      </w:r>
      <w:r w:rsidR="0042679D" w:rsidRPr="00295637">
        <w:t xml:space="preserve">, </w:t>
      </w:r>
      <w:r>
        <w:t>укључујући</w:t>
      </w:r>
      <w:r w:rsidR="0042679D" w:rsidRPr="00295637">
        <w:t xml:space="preserve"> </w:t>
      </w:r>
      <w:r>
        <w:t>и</w:t>
      </w:r>
      <w:r w:rsidR="0042679D" w:rsidRPr="00295637">
        <w:t xml:space="preserve"> </w:t>
      </w:r>
      <w:r>
        <w:t>управне</w:t>
      </w:r>
      <w:r w:rsidR="0042679D" w:rsidRPr="00295637">
        <w:t xml:space="preserve"> </w:t>
      </w:r>
      <w:r>
        <w:t>организације</w:t>
      </w:r>
      <w:r w:rsidR="0042679D" w:rsidRPr="00295637">
        <w:t xml:space="preserve"> </w:t>
      </w:r>
      <w:r>
        <w:t>у</w:t>
      </w:r>
      <w:r w:rsidR="0042679D" w:rsidRPr="00295637">
        <w:t xml:space="preserve"> </w:t>
      </w:r>
      <w:r>
        <w:t>његовом</w:t>
      </w:r>
      <w:r w:rsidR="0042679D" w:rsidRPr="00295637">
        <w:t xml:space="preserve"> </w:t>
      </w:r>
      <w:r>
        <w:t>саставу</w:t>
      </w:r>
      <w:r w:rsidR="0042679D" w:rsidRPr="00295637">
        <w:t xml:space="preserve">. </w:t>
      </w:r>
    </w:p>
    <w:p w:rsidR="0042679D" w:rsidRPr="00295637" w:rsidRDefault="0042679D" w:rsidP="0086268D">
      <w:pPr>
        <w:jc w:val="both"/>
        <w:rPr>
          <w:rFonts w:ascii="Times New Roman" w:hAnsi="Times New Roman"/>
          <w:lang w:val="hr-HR"/>
        </w:rPr>
      </w:pPr>
    </w:p>
    <w:p w:rsidR="0042679D" w:rsidRPr="00065589" w:rsidRDefault="00C6214E" w:rsidP="0086268D">
      <w:pPr>
        <w:pStyle w:val="ListParagraph"/>
        <w:numPr>
          <w:ilvl w:val="0"/>
          <w:numId w:val="17"/>
        </w:numPr>
        <w:jc w:val="both"/>
        <w:rPr>
          <w:rFonts w:ascii="Times New Roman" w:hAnsi="Times New Roman"/>
          <w:lang w:val="hr-HR"/>
        </w:rPr>
      </w:pP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јуну</w:t>
      </w:r>
      <w:r w:rsidR="0042679D" w:rsidRPr="00295637">
        <w:rPr>
          <w:rFonts w:ascii="Times New Roman" w:hAnsi="Times New Roman"/>
          <w:szCs w:val="24"/>
        </w:rPr>
        <w:t xml:space="preserve"> 2024. </w:t>
      </w:r>
      <w:r>
        <w:rPr>
          <w:rFonts w:ascii="Times New Roman" w:hAnsi="Times New Roman"/>
          <w:szCs w:val="24"/>
        </w:rPr>
        <w:t>године</w:t>
      </w:r>
      <w:r w:rsidR="0042679D" w:rsidRPr="00295637">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6. </w:t>
      </w:r>
      <w:r>
        <w:rPr>
          <w:rFonts w:ascii="Times New Roman" w:hAnsi="Times New Roman"/>
          <w:szCs w:val="24"/>
        </w:rPr>
        <w:t>хитној</w:t>
      </w:r>
      <w:r w:rsidR="0042679D" w:rsidRPr="00295637">
        <w:rPr>
          <w:rFonts w:ascii="Times New Roman" w:hAnsi="Times New Roman"/>
          <w:szCs w:val="24"/>
        </w:rPr>
        <w:t xml:space="preserve"> </w:t>
      </w:r>
      <w:r>
        <w:rPr>
          <w:rFonts w:ascii="Times New Roman" w:hAnsi="Times New Roman"/>
          <w:szCs w:val="24"/>
        </w:rPr>
        <w:t>сједници</w:t>
      </w:r>
      <w:r w:rsidR="0042679D" w:rsidRPr="00295637">
        <w:rPr>
          <w:rFonts w:ascii="Times New Roman" w:hAnsi="Times New Roman"/>
          <w:szCs w:val="24"/>
        </w:rPr>
        <w:t xml:space="preserve"> </w:t>
      </w:r>
      <w:r>
        <w:rPr>
          <w:rFonts w:ascii="Times New Roman" w:hAnsi="Times New Roman"/>
          <w:szCs w:val="24"/>
        </w:rPr>
        <w:t>Дома</w:t>
      </w:r>
      <w:r w:rsidR="0042679D" w:rsidRPr="00295637">
        <w:rPr>
          <w:rFonts w:ascii="Times New Roman" w:hAnsi="Times New Roman"/>
          <w:szCs w:val="24"/>
        </w:rPr>
        <w:t xml:space="preserve"> </w:t>
      </w:r>
      <w:r>
        <w:rPr>
          <w:rFonts w:ascii="Times New Roman" w:hAnsi="Times New Roman"/>
          <w:szCs w:val="24"/>
        </w:rPr>
        <w:t>народа</w:t>
      </w:r>
      <w:r w:rsidR="0042679D" w:rsidRPr="00295637">
        <w:rPr>
          <w:rFonts w:ascii="Times New Roman" w:hAnsi="Times New Roman"/>
          <w:szCs w:val="24"/>
        </w:rPr>
        <w:t xml:space="preserve"> </w:t>
      </w:r>
      <w:r>
        <w:rPr>
          <w:rFonts w:ascii="Times New Roman" w:hAnsi="Times New Roman"/>
          <w:szCs w:val="24"/>
        </w:rPr>
        <w:t>ПС</w:t>
      </w:r>
      <w:r w:rsidR="0042679D" w:rsidRPr="00295637">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Pr>
          <w:rFonts w:ascii="Times New Roman" w:hAnsi="Times New Roman"/>
          <w:szCs w:val="24"/>
        </w:rPr>
        <w:t>усвојен</w:t>
      </w:r>
      <w:r w:rsidR="0042679D" w:rsidRPr="00295637">
        <w:rPr>
          <w:rFonts w:ascii="Times New Roman" w:hAnsi="Times New Roman"/>
          <w:szCs w:val="24"/>
        </w:rPr>
        <w:t xml:space="preserve"> </w:t>
      </w:r>
      <w:r>
        <w:rPr>
          <w:rFonts w:ascii="Times New Roman" w:hAnsi="Times New Roman"/>
          <w:szCs w:val="24"/>
        </w:rPr>
        <w:t>Стратешки</w:t>
      </w:r>
      <w:r w:rsidR="0042679D" w:rsidRPr="00295637">
        <w:rPr>
          <w:rFonts w:ascii="Times New Roman" w:hAnsi="Times New Roman"/>
          <w:szCs w:val="24"/>
        </w:rPr>
        <w:t xml:space="preserve"> </w:t>
      </w:r>
      <w:r>
        <w:rPr>
          <w:rFonts w:ascii="Times New Roman" w:hAnsi="Times New Roman"/>
          <w:szCs w:val="24"/>
        </w:rPr>
        <w:t>план</w:t>
      </w:r>
      <w:r w:rsidR="0042679D" w:rsidRPr="00295637">
        <w:rPr>
          <w:rFonts w:ascii="Times New Roman" w:hAnsi="Times New Roman"/>
          <w:szCs w:val="24"/>
        </w:rPr>
        <w:t xml:space="preserve"> </w:t>
      </w:r>
      <w:r>
        <w:rPr>
          <w:rFonts w:ascii="Times New Roman" w:hAnsi="Times New Roman"/>
          <w:szCs w:val="24"/>
        </w:rPr>
        <w:t>руралног</w:t>
      </w:r>
      <w:r w:rsidR="0042679D" w:rsidRPr="00295637">
        <w:rPr>
          <w:rFonts w:ascii="Times New Roman" w:hAnsi="Times New Roman"/>
          <w:szCs w:val="24"/>
        </w:rPr>
        <w:t xml:space="preserve"> </w:t>
      </w:r>
      <w:r>
        <w:rPr>
          <w:rFonts w:ascii="Times New Roman" w:hAnsi="Times New Roman"/>
          <w:szCs w:val="24"/>
        </w:rPr>
        <w:t>развоја</w:t>
      </w:r>
      <w:r w:rsidR="0042679D" w:rsidRPr="00295637">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Pr>
          <w:rFonts w:ascii="Times New Roman" w:hAnsi="Times New Roman"/>
          <w:szCs w:val="24"/>
        </w:rPr>
        <w:t>за</w:t>
      </w:r>
      <w:r w:rsidR="0042679D" w:rsidRPr="00295637">
        <w:rPr>
          <w:rFonts w:ascii="Times New Roman" w:hAnsi="Times New Roman"/>
          <w:szCs w:val="24"/>
        </w:rPr>
        <w:t xml:space="preserve"> </w:t>
      </w:r>
      <w:r>
        <w:rPr>
          <w:rFonts w:ascii="Times New Roman" w:hAnsi="Times New Roman"/>
          <w:szCs w:val="24"/>
        </w:rPr>
        <w:t>период</w:t>
      </w:r>
      <w:r w:rsidR="0042679D" w:rsidRPr="00295637">
        <w:rPr>
          <w:rFonts w:ascii="Times New Roman" w:hAnsi="Times New Roman"/>
          <w:szCs w:val="24"/>
        </w:rPr>
        <w:t xml:space="preserve"> 2023</w:t>
      </w:r>
      <w:r w:rsidR="00782E15">
        <w:rPr>
          <w:rFonts w:ascii="Times New Roman" w:hAnsi="Times New Roman"/>
          <w:szCs w:val="24"/>
        </w:rPr>
        <w:t>-</w:t>
      </w:r>
      <w:r w:rsidR="0042679D" w:rsidRPr="00295637">
        <w:rPr>
          <w:rFonts w:ascii="Times New Roman" w:hAnsi="Times New Roman"/>
          <w:szCs w:val="24"/>
        </w:rPr>
        <w:t>2027</w:t>
      </w:r>
      <w:r w:rsidR="00782E15">
        <w:rPr>
          <w:rFonts w:ascii="Times New Roman" w:hAnsi="Times New Roman"/>
          <w:szCs w:val="24"/>
        </w:rPr>
        <w:t xml:space="preserve">. </w:t>
      </w:r>
      <w:r>
        <w:rPr>
          <w:rFonts w:ascii="Times New Roman" w:hAnsi="Times New Roman"/>
          <w:szCs w:val="24"/>
        </w:rPr>
        <w:t>године</w:t>
      </w:r>
      <w:r w:rsidR="0042679D" w:rsidRPr="00295637">
        <w:rPr>
          <w:rFonts w:ascii="Times New Roman" w:hAnsi="Times New Roman"/>
          <w:szCs w:val="24"/>
        </w:rPr>
        <w:t xml:space="preserve"> - </w:t>
      </w:r>
      <w:r>
        <w:rPr>
          <w:rFonts w:ascii="Times New Roman" w:hAnsi="Times New Roman"/>
          <w:szCs w:val="24"/>
        </w:rPr>
        <w:t>Оквирни</w:t>
      </w:r>
      <w:r w:rsidR="0042679D" w:rsidRPr="00295637">
        <w:rPr>
          <w:rFonts w:ascii="Times New Roman" w:hAnsi="Times New Roman"/>
          <w:szCs w:val="24"/>
        </w:rPr>
        <w:t xml:space="preserve"> </w:t>
      </w:r>
      <w:r>
        <w:rPr>
          <w:rFonts w:ascii="Times New Roman" w:hAnsi="Times New Roman"/>
          <w:szCs w:val="24"/>
        </w:rPr>
        <w:t>документ</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дијелу</w:t>
      </w:r>
      <w:r w:rsidR="0042679D" w:rsidRPr="00295637">
        <w:rPr>
          <w:rFonts w:ascii="Times New Roman" w:hAnsi="Times New Roman"/>
          <w:szCs w:val="24"/>
        </w:rPr>
        <w:t xml:space="preserve"> </w:t>
      </w:r>
      <w:r>
        <w:rPr>
          <w:rFonts w:ascii="Times New Roman" w:hAnsi="Times New Roman"/>
          <w:szCs w:val="24"/>
        </w:rPr>
        <w:t>поменутог</w:t>
      </w:r>
      <w:r w:rsidR="0042679D" w:rsidRPr="00295637">
        <w:rPr>
          <w:rFonts w:ascii="Times New Roman" w:hAnsi="Times New Roman"/>
          <w:szCs w:val="24"/>
        </w:rPr>
        <w:t xml:space="preserve"> </w:t>
      </w:r>
      <w:r>
        <w:rPr>
          <w:rFonts w:ascii="Times New Roman" w:hAnsi="Times New Roman"/>
          <w:szCs w:val="24"/>
        </w:rPr>
        <w:t>стратешког</w:t>
      </w:r>
      <w:r w:rsidR="0042679D" w:rsidRPr="00295637">
        <w:rPr>
          <w:rFonts w:ascii="Times New Roman" w:hAnsi="Times New Roman"/>
          <w:szCs w:val="24"/>
        </w:rPr>
        <w:t xml:space="preserve"> </w:t>
      </w:r>
      <w:r>
        <w:rPr>
          <w:rFonts w:ascii="Times New Roman" w:hAnsi="Times New Roman"/>
          <w:szCs w:val="24"/>
        </w:rPr>
        <w:t>плана</w:t>
      </w:r>
      <w:r w:rsidR="0042679D" w:rsidRPr="00295637">
        <w:rPr>
          <w:rFonts w:ascii="Times New Roman" w:hAnsi="Times New Roman"/>
          <w:szCs w:val="24"/>
        </w:rPr>
        <w:t xml:space="preserve">, </w:t>
      </w:r>
      <w:r>
        <w:rPr>
          <w:rFonts w:ascii="Times New Roman" w:hAnsi="Times New Roman"/>
          <w:szCs w:val="24"/>
        </w:rPr>
        <w:t>који</w:t>
      </w:r>
      <w:r w:rsidR="0042679D" w:rsidRPr="00295637">
        <w:rPr>
          <w:rFonts w:ascii="Times New Roman" w:hAnsi="Times New Roman"/>
          <w:szCs w:val="24"/>
        </w:rPr>
        <w:t xml:space="preserve"> </w:t>
      </w:r>
      <w:r>
        <w:rPr>
          <w:rFonts w:ascii="Times New Roman" w:hAnsi="Times New Roman"/>
          <w:szCs w:val="24"/>
        </w:rPr>
        <w:t>се</w:t>
      </w:r>
      <w:r w:rsidR="0042679D" w:rsidRPr="00295637">
        <w:rPr>
          <w:rFonts w:ascii="Times New Roman" w:hAnsi="Times New Roman"/>
          <w:szCs w:val="24"/>
        </w:rPr>
        <w:t xml:space="preserve"> </w:t>
      </w:r>
      <w:r>
        <w:rPr>
          <w:rFonts w:ascii="Times New Roman" w:hAnsi="Times New Roman"/>
          <w:szCs w:val="24"/>
        </w:rPr>
        <w:t>односи</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анализу</w:t>
      </w:r>
      <w:r w:rsidR="0042679D" w:rsidRPr="00295637">
        <w:rPr>
          <w:rFonts w:ascii="Times New Roman" w:hAnsi="Times New Roman"/>
          <w:szCs w:val="24"/>
        </w:rPr>
        <w:t xml:space="preserve"> </w:t>
      </w:r>
      <w:r>
        <w:rPr>
          <w:rFonts w:ascii="Times New Roman" w:hAnsi="Times New Roman"/>
          <w:szCs w:val="24"/>
        </w:rPr>
        <w:t>стања</w:t>
      </w:r>
      <w:r w:rsidR="0042679D" w:rsidRPr="00295637">
        <w:rPr>
          <w:rFonts w:ascii="Times New Roman" w:hAnsi="Times New Roman"/>
          <w:szCs w:val="24"/>
        </w:rPr>
        <w:t xml:space="preserve"> </w:t>
      </w:r>
      <w:r>
        <w:rPr>
          <w:rFonts w:ascii="Times New Roman" w:hAnsi="Times New Roman"/>
          <w:szCs w:val="24"/>
        </w:rPr>
        <w:t>пољопривреде</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руралног</w:t>
      </w:r>
      <w:r w:rsidR="0042679D" w:rsidRPr="00295637">
        <w:rPr>
          <w:rFonts w:ascii="Times New Roman" w:hAnsi="Times New Roman"/>
          <w:szCs w:val="24"/>
        </w:rPr>
        <w:t xml:space="preserve"> </w:t>
      </w:r>
      <w:r>
        <w:rPr>
          <w:rFonts w:ascii="Times New Roman" w:hAnsi="Times New Roman"/>
          <w:szCs w:val="24"/>
        </w:rPr>
        <w:t>развоја</w:t>
      </w:r>
      <w:r w:rsidR="0042679D" w:rsidRPr="00295637">
        <w:rPr>
          <w:rFonts w:ascii="Times New Roman" w:hAnsi="Times New Roman"/>
          <w:szCs w:val="24"/>
        </w:rPr>
        <w:t xml:space="preserve">, </w:t>
      </w:r>
      <w:r>
        <w:rPr>
          <w:rFonts w:ascii="Times New Roman" w:hAnsi="Times New Roman"/>
          <w:szCs w:val="24"/>
        </w:rPr>
        <w:t>израђено</w:t>
      </w:r>
      <w:r w:rsidR="0042679D" w:rsidRPr="00295637">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Pr>
          <w:rFonts w:ascii="Times New Roman" w:hAnsi="Times New Roman"/>
          <w:szCs w:val="24"/>
        </w:rPr>
        <w:t>посебно</w:t>
      </w:r>
      <w:r w:rsidR="0042679D" w:rsidRPr="00295637">
        <w:rPr>
          <w:rFonts w:ascii="Times New Roman" w:hAnsi="Times New Roman"/>
          <w:szCs w:val="24"/>
        </w:rPr>
        <w:t xml:space="preserve"> </w:t>
      </w:r>
      <w:r>
        <w:rPr>
          <w:rFonts w:ascii="Times New Roman" w:hAnsi="Times New Roman"/>
          <w:szCs w:val="24"/>
        </w:rPr>
        <w:t>поглавље</w:t>
      </w:r>
      <w:r w:rsidR="0042679D" w:rsidRPr="00295637">
        <w:rPr>
          <w:rFonts w:ascii="Times New Roman" w:hAnsi="Times New Roman"/>
          <w:szCs w:val="24"/>
        </w:rPr>
        <w:t xml:space="preserve"> - </w:t>
      </w:r>
      <w:r>
        <w:rPr>
          <w:rFonts w:ascii="Times New Roman" w:hAnsi="Times New Roman"/>
          <w:szCs w:val="24"/>
        </w:rPr>
        <w:t>Равноправност</w:t>
      </w:r>
      <w:r w:rsidR="0042679D" w:rsidRPr="00295637">
        <w:rPr>
          <w:rFonts w:ascii="Times New Roman" w:hAnsi="Times New Roman"/>
          <w:szCs w:val="24"/>
        </w:rPr>
        <w:t xml:space="preserve"> </w:t>
      </w:r>
      <w:r>
        <w:rPr>
          <w:rFonts w:ascii="Times New Roman" w:hAnsi="Times New Roman"/>
          <w:szCs w:val="24"/>
        </w:rPr>
        <w:t>полова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којем</w:t>
      </w:r>
      <w:r w:rsidR="0042679D" w:rsidRPr="00295637">
        <w:rPr>
          <w:rFonts w:ascii="Times New Roman" w:hAnsi="Times New Roman"/>
          <w:szCs w:val="24"/>
        </w:rPr>
        <w:t xml:space="preserve"> </w:t>
      </w:r>
      <w:r>
        <w:rPr>
          <w:rFonts w:ascii="Times New Roman" w:hAnsi="Times New Roman"/>
          <w:szCs w:val="24"/>
        </w:rPr>
        <w:t>су</w:t>
      </w:r>
      <w:r w:rsidR="0042679D" w:rsidRPr="00295637">
        <w:rPr>
          <w:rFonts w:ascii="Times New Roman" w:hAnsi="Times New Roman"/>
          <w:szCs w:val="24"/>
        </w:rPr>
        <w:t xml:space="preserve"> </w:t>
      </w:r>
      <w:r>
        <w:rPr>
          <w:rFonts w:ascii="Times New Roman" w:hAnsi="Times New Roman"/>
          <w:szCs w:val="24"/>
        </w:rPr>
        <w:t>анализирана</w:t>
      </w:r>
      <w:r w:rsidR="0042679D" w:rsidRPr="00295637">
        <w:rPr>
          <w:rFonts w:ascii="Times New Roman" w:hAnsi="Times New Roman"/>
          <w:szCs w:val="24"/>
        </w:rPr>
        <w:t xml:space="preserve"> </w:t>
      </w:r>
      <w:r>
        <w:rPr>
          <w:rFonts w:ascii="Times New Roman" w:hAnsi="Times New Roman"/>
          <w:szCs w:val="24"/>
        </w:rPr>
        <w:t>питања</w:t>
      </w:r>
      <w:r w:rsidR="0042679D" w:rsidRPr="00295637">
        <w:rPr>
          <w:rFonts w:ascii="Times New Roman" w:hAnsi="Times New Roman"/>
          <w:szCs w:val="24"/>
        </w:rPr>
        <w:t xml:space="preserve"> </w:t>
      </w:r>
      <w:r>
        <w:rPr>
          <w:rFonts w:ascii="Times New Roman" w:hAnsi="Times New Roman"/>
          <w:szCs w:val="24"/>
        </w:rPr>
        <w:t>у</w:t>
      </w:r>
      <w:r w:rsidR="00E7526C">
        <w:rPr>
          <w:rFonts w:ascii="Times New Roman" w:hAnsi="Times New Roman"/>
          <w:szCs w:val="24"/>
        </w:rPr>
        <w:t xml:space="preserve"> </w:t>
      </w:r>
      <w:r>
        <w:rPr>
          <w:rFonts w:ascii="Times New Roman" w:hAnsi="Times New Roman"/>
          <w:szCs w:val="24"/>
        </w:rPr>
        <w:t>вези</w:t>
      </w:r>
      <w:r w:rsidR="00E7526C">
        <w:rPr>
          <w:rFonts w:ascii="Times New Roman" w:hAnsi="Times New Roman"/>
          <w:szCs w:val="24"/>
        </w:rPr>
        <w:t xml:space="preserve"> </w:t>
      </w:r>
      <w:r>
        <w:rPr>
          <w:rFonts w:ascii="Times New Roman" w:hAnsi="Times New Roman"/>
          <w:szCs w:val="24"/>
        </w:rPr>
        <w:t>са</w:t>
      </w:r>
      <w:r w:rsidR="0042679D" w:rsidRPr="00295637">
        <w:rPr>
          <w:rFonts w:ascii="Times New Roman" w:hAnsi="Times New Roman"/>
          <w:szCs w:val="24"/>
        </w:rPr>
        <w:t xml:space="preserve"> </w:t>
      </w:r>
      <w:r>
        <w:rPr>
          <w:rFonts w:ascii="Times New Roman" w:hAnsi="Times New Roman"/>
          <w:szCs w:val="24"/>
        </w:rPr>
        <w:t>статусом</w:t>
      </w:r>
      <w:r w:rsidR="0042679D" w:rsidRPr="00295637">
        <w:rPr>
          <w:rFonts w:ascii="Times New Roman" w:hAnsi="Times New Roman"/>
          <w:szCs w:val="24"/>
        </w:rPr>
        <w:t xml:space="preserve"> </w:t>
      </w:r>
      <w:r>
        <w:rPr>
          <w:rFonts w:ascii="Times New Roman" w:hAnsi="Times New Roman"/>
          <w:szCs w:val="24"/>
        </w:rPr>
        <w:t>жена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овој</w:t>
      </w:r>
      <w:r w:rsidR="0042679D" w:rsidRPr="00295637">
        <w:rPr>
          <w:rFonts w:ascii="Times New Roman" w:hAnsi="Times New Roman"/>
          <w:szCs w:val="24"/>
        </w:rPr>
        <w:t xml:space="preserve"> </w:t>
      </w:r>
      <w:r>
        <w:rPr>
          <w:rFonts w:ascii="Times New Roman" w:hAnsi="Times New Roman"/>
          <w:szCs w:val="24"/>
        </w:rPr>
        <w:t>области</w:t>
      </w:r>
      <w:r w:rsidR="0042679D" w:rsidRPr="00295637">
        <w:rPr>
          <w:rFonts w:ascii="Times New Roman" w:hAnsi="Times New Roman"/>
          <w:szCs w:val="24"/>
        </w:rPr>
        <w:t xml:space="preserve">. </w:t>
      </w:r>
    </w:p>
    <w:p w:rsidR="0042679D" w:rsidRPr="00065589" w:rsidRDefault="0042679D" w:rsidP="0086268D">
      <w:pPr>
        <w:pStyle w:val="ListParagraph"/>
        <w:rPr>
          <w:rFonts w:ascii="Times New Roman" w:hAnsi="Times New Roman"/>
          <w:lang w:val="hr-HR"/>
        </w:rPr>
      </w:pPr>
    </w:p>
    <w:p w:rsidR="0042679D" w:rsidRPr="00065589" w:rsidRDefault="00C6214E" w:rsidP="0086268D">
      <w:pPr>
        <w:pStyle w:val="ListParagraph"/>
        <w:numPr>
          <w:ilvl w:val="0"/>
          <w:numId w:val="17"/>
        </w:numPr>
        <w:jc w:val="both"/>
        <w:rPr>
          <w:rFonts w:ascii="Times New Roman" w:hAnsi="Times New Roman"/>
          <w:lang w:val="hr-HR"/>
        </w:rPr>
      </w:pPr>
      <w:r>
        <w:rPr>
          <w:rFonts w:ascii="Times New Roman" w:hAnsi="Times New Roman"/>
          <w:lang w:val="bs-Latn-BA"/>
        </w:rPr>
        <w:t>Заједничка</w:t>
      </w:r>
      <w:r w:rsidR="0042679D" w:rsidRPr="00065589">
        <w:rPr>
          <w:rFonts w:ascii="Times New Roman" w:hAnsi="Times New Roman"/>
          <w:lang w:val="bs-Latn-BA"/>
        </w:rPr>
        <w:t xml:space="preserve"> </w:t>
      </w:r>
      <w:r>
        <w:rPr>
          <w:rFonts w:ascii="Times New Roman" w:hAnsi="Times New Roman"/>
          <w:lang w:val="bs-Latn-BA"/>
        </w:rPr>
        <w:t>иницијатива</w:t>
      </w:r>
      <w:r w:rsidR="0042679D" w:rsidRPr="00065589">
        <w:rPr>
          <w:rFonts w:ascii="Times New Roman" w:hAnsi="Times New Roman"/>
          <w:lang w:val="bs-Latn-BA"/>
        </w:rPr>
        <w:t xml:space="preserve"> </w:t>
      </w:r>
      <w:r w:rsidR="00095BD0">
        <w:rPr>
          <w:rFonts w:ascii="Times New Roman" w:hAnsi="Times New Roman"/>
          <w:lang w:val="bs-Latn-BA"/>
        </w:rPr>
        <w:t>АР</w:t>
      </w:r>
      <w:r w:rsidR="00095BD0">
        <w:rPr>
          <w:rFonts w:ascii="Times New Roman" w:hAnsi="Times New Roman"/>
          <w:lang w:val="sr-Cyrl-BA"/>
        </w:rPr>
        <w:t>П</w:t>
      </w:r>
      <w:r w:rsidR="00782E15">
        <w:rPr>
          <w:rFonts w:ascii="Times New Roman" w:hAnsi="Times New Roman"/>
          <w:lang w:val="bs-Latn-BA"/>
        </w:rPr>
        <w:t xml:space="preserve"> </w:t>
      </w:r>
      <w:r>
        <w:rPr>
          <w:rFonts w:ascii="Times New Roman" w:hAnsi="Times New Roman"/>
          <w:lang w:val="bs-Latn-BA"/>
        </w:rPr>
        <w:t>БиХ</w:t>
      </w:r>
      <w:r w:rsidR="00782E15">
        <w:rPr>
          <w:rFonts w:ascii="Times New Roman" w:hAnsi="Times New Roman"/>
          <w:lang w:val="bs-Latn-BA"/>
        </w:rPr>
        <w:t xml:space="preserve"> </w:t>
      </w:r>
      <w:r>
        <w:rPr>
          <w:rFonts w:ascii="Times New Roman" w:hAnsi="Times New Roman"/>
          <w:lang w:val="bs-Latn-BA"/>
        </w:rPr>
        <w:t>МЉПИ</w:t>
      </w:r>
      <w:r w:rsidR="00782E15">
        <w:rPr>
          <w:rFonts w:ascii="Times New Roman" w:hAnsi="Times New Roman"/>
          <w:lang w:val="bs-Latn-BA"/>
        </w:rPr>
        <w:t xml:space="preserve"> </w:t>
      </w:r>
      <w:r>
        <w:rPr>
          <w:rFonts w:ascii="Times New Roman" w:hAnsi="Times New Roman"/>
          <w:lang w:val="bs-Latn-BA"/>
        </w:rPr>
        <w:t>БиХ</w:t>
      </w:r>
      <w:r w:rsidR="0042679D" w:rsidRPr="00065589">
        <w:rPr>
          <w:rFonts w:ascii="Times New Roman" w:hAnsi="Times New Roman"/>
          <w:lang w:val="bs-Latn-BA"/>
        </w:rPr>
        <w:t xml:space="preserve"> </w:t>
      </w:r>
      <w:r>
        <w:rPr>
          <w:rFonts w:ascii="Times New Roman" w:hAnsi="Times New Roman"/>
          <w:lang w:val="bs-Latn-BA"/>
        </w:rPr>
        <w:t>и</w:t>
      </w:r>
      <w:r w:rsidR="0042679D" w:rsidRPr="00065589">
        <w:rPr>
          <w:rFonts w:ascii="Times New Roman" w:hAnsi="Times New Roman"/>
          <w:lang w:val="bs-Latn-BA"/>
        </w:rPr>
        <w:t xml:space="preserve"> </w:t>
      </w:r>
      <w:r w:rsidR="00095BD0" w:rsidRPr="00095BD0">
        <w:rPr>
          <w:rFonts w:ascii="Times New Roman" w:hAnsi="Times New Roman"/>
          <w:i/>
        </w:rPr>
        <w:t>UNDP</w:t>
      </w:r>
      <w:r w:rsidR="0042679D" w:rsidRPr="00065589">
        <w:rPr>
          <w:rFonts w:ascii="Times New Roman" w:hAnsi="Times New Roman"/>
          <w:lang w:val="bs-Latn-BA"/>
        </w:rPr>
        <w:t>-</w:t>
      </w:r>
      <w:r>
        <w:rPr>
          <w:rFonts w:ascii="Times New Roman" w:hAnsi="Times New Roman"/>
          <w:lang w:val="bs-Latn-BA"/>
        </w:rPr>
        <w:t>а</w:t>
      </w:r>
      <w:r w:rsidR="0042679D" w:rsidRPr="00065589">
        <w:rPr>
          <w:rFonts w:ascii="Times New Roman" w:hAnsi="Times New Roman"/>
          <w:lang w:val="bs-Latn-BA"/>
        </w:rPr>
        <w:t xml:space="preserve"> „</w:t>
      </w:r>
      <w:r>
        <w:rPr>
          <w:rFonts w:ascii="Times New Roman" w:hAnsi="Times New Roman"/>
          <w:lang w:val="bs-Latn-BA"/>
        </w:rPr>
        <w:t>Форум</w:t>
      </w:r>
      <w:r w:rsidR="0042679D" w:rsidRPr="00065589">
        <w:rPr>
          <w:rFonts w:ascii="Times New Roman" w:hAnsi="Times New Roman"/>
          <w:lang w:val="bs-Latn-BA"/>
        </w:rPr>
        <w:t xml:space="preserve"> </w:t>
      </w:r>
      <w:r>
        <w:rPr>
          <w:rFonts w:ascii="Times New Roman" w:hAnsi="Times New Roman"/>
          <w:lang w:val="bs-Latn-BA"/>
        </w:rPr>
        <w:t>жена</w:t>
      </w:r>
      <w:r w:rsidR="0042679D" w:rsidRPr="00065589">
        <w:rPr>
          <w:rFonts w:ascii="Times New Roman" w:hAnsi="Times New Roman"/>
          <w:lang w:val="bs-Latn-BA"/>
        </w:rPr>
        <w:t xml:space="preserve"> </w:t>
      </w:r>
      <w:r>
        <w:rPr>
          <w:rFonts w:ascii="Times New Roman" w:hAnsi="Times New Roman"/>
          <w:lang w:val="bs-Latn-BA"/>
        </w:rPr>
        <w:t>за</w:t>
      </w:r>
      <w:r w:rsidR="0042679D" w:rsidRPr="00065589">
        <w:rPr>
          <w:rFonts w:ascii="Times New Roman" w:hAnsi="Times New Roman"/>
          <w:lang w:val="bs-Latn-BA"/>
        </w:rPr>
        <w:t xml:space="preserve"> </w:t>
      </w:r>
      <w:r>
        <w:rPr>
          <w:rFonts w:ascii="Times New Roman" w:hAnsi="Times New Roman"/>
          <w:lang w:val="bs-Latn-BA"/>
        </w:rPr>
        <w:t>развој</w:t>
      </w:r>
      <w:r w:rsidR="0042679D" w:rsidRPr="00065589">
        <w:rPr>
          <w:rFonts w:ascii="Times New Roman" w:hAnsi="Times New Roman"/>
          <w:lang w:val="bs-Latn-BA"/>
        </w:rPr>
        <w:t xml:space="preserve">“ </w:t>
      </w:r>
      <w:r>
        <w:rPr>
          <w:rFonts w:ascii="Times New Roman" w:hAnsi="Times New Roman"/>
          <w:lang w:val="bs-Latn-BA"/>
        </w:rPr>
        <w:t>је</w:t>
      </w:r>
      <w:r w:rsidR="0042679D" w:rsidRPr="00065589">
        <w:rPr>
          <w:rFonts w:ascii="Times New Roman" w:hAnsi="Times New Roman"/>
          <w:lang w:val="bs-Latn-BA"/>
        </w:rPr>
        <w:t xml:space="preserve"> </w:t>
      </w:r>
      <w:r>
        <w:rPr>
          <w:rFonts w:ascii="Times New Roman" w:hAnsi="Times New Roman"/>
          <w:lang w:val="bs-Latn-BA"/>
        </w:rPr>
        <w:t>у</w:t>
      </w:r>
      <w:r w:rsidR="0042679D" w:rsidRPr="00065589">
        <w:rPr>
          <w:rFonts w:ascii="Times New Roman" w:hAnsi="Times New Roman"/>
          <w:lang w:val="bs-Latn-BA"/>
        </w:rPr>
        <w:t xml:space="preserve"> </w:t>
      </w:r>
      <w:r>
        <w:rPr>
          <w:rFonts w:ascii="Times New Roman" w:hAnsi="Times New Roman"/>
          <w:lang w:val="bs-Latn-BA"/>
        </w:rPr>
        <w:t>извјештајном</w:t>
      </w:r>
      <w:r w:rsidR="0042679D" w:rsidRPr="00065589">
        <w:rPr>
          <w:rFonts w:ascii="Times New Roman" w:hAnsi="Times New Roman"/>
          <w:lang w:val="bs-Latn-BA"/>
        </w:rPr>
        <w:t xml:space="preserve"> </w:t>
      </w:r>
      <w:r>
        <w:rPr>
          <w:rFonts w:ascii="Times New Roman" w:hAnsi="Times New Roman"/>
          <w:lang w:val="bs-Latn-BA"/>
        </w:rPr>
        <w:t>периоду</w:t>
      </w:r>
      <w:r w:rsidR="0042679D" w:rsidRPr="00065589">
        <w:rPr>
          <w:rFonts w:ascii="Times New Roman" w:hAnsi="Times New Roman"/>
          <w:lang w:val="bs-Latn-BA"/>
        </w:rPr>
        <w:t xml:space="preserve"> </w:t>
      </w:r>
      <w:r>
        <w:rPr>
          <w:rFonts w:ascii="Times New Roman" w:hAnsi="Times New Roman"/>
          <w:lang w:val="bs-Latn-BA"/>
        </w:rPr>
        <w:t>израстао</w:t>
      </w:r>
      <w:r w:rsidR="0042679D" w:rsidRPr="00065589">
        <w:rPr>
          <w:rFonts w:ascii="Times New Roman" w:hAnsi="Times New Roman"/>
          <w:lang w:val="bs-Latn-BA"/>
        </w:rPr>
        <w:t xml:space="preserve"> </w:t>
      </w:r>
      <w:r>
        <w:rPr>
          <w:rFonts w:ascii="Times New Roman" w:hAnsi="Times New Roman"/>
          <w:lang w:val="bs-Latn-BA"/>
        </w:rPr>
        <w:t>у</w:t>
      </w:r>
      <w:r w:rsidR="0042679D" w:rsidRPr="00065589">
        <w:rPr>
          <w:rFonts w:ascii="Times New Roman" w:hAnsi="Times New Roman"/>
          <w:lang w:val="bs-Latn-BA"/>
        </w:rPr>
        <w:t xml:space="preserve"> </w:t>
      </w:r>
      <w:r>
        <w:rPr>
          <w:rFonts w:ascii="Times New Roman" w:hAnsi="Times New Roman"/>
          <w:lang w:val="hr-HR"/>
        </w:rPr>
        <w:t>динамичну</w:t>
      </w:r>
      <w:r w:rsidR="0042679D" w:rsidRPr="00065589">
        <w:rPr>
          <w:rFonts w:ascii="Times New Roman" w:hAnsi="Times New Roman"/>
          <w:lang w:val="hr-HR"/>
        </w:rPr>
        <w:t xml:space="preserve"> </w:t>
      </w:r>
      <w:r>
        <w:rPr>
          <w:rFonts w:ascii="Times New Roman" w:hAnsi="Times New Roman"/>
          <w:lang w:val="hr-HR"/>
        </w:rPr>
        <w:t>платформу</w:t>
      </w:r>
      <w:r w:rsidR="0042679D" w:rsidRPr="00065589">
        <w:rPr>
          <w:rFonts w:ascii="Times New Roman" w:hAnsi="Times New Roman"/>
          <w:lang w:val="hr-HR"/>
        </w:rPr>
        <w:t xml:space="preserve"> </w:t>
      </w:r>
      <w:r>
        <w:rPr>
          <w:rFonts w:ascii="Times New Roman" w:hAnsi="Times New Roman"/>
          <w:lang w:val="hr-HR"/>
        </w:rPr>
        <w:t>која</w:t>
      </w:r>
      <w:r w:rsidR="0042679D" w:rsidRPr="00065589">
        <w:rPr>
          <w:rFonts w:ascii="Times New Roman" w:hAnsi="Times New Roman"/>
          <w:lang w:val="hr-HR"/>
        </w:rPr>
        <w:t xml:space="preserve"> </w:t>
      </w:r>
      <w:r>
        <w:rPr>
          <w:rFonts w:ascii="Times New Roman" w:hAnsi="Times New Roman"/>
          <w:lang w:val="hr-HR"/>
        </w:rPr>
        <w:t>окупља</w:t>
      </w:r>
      <w:r w:rsidR="0042679D" w:rsidRPr="00065589">
        <w:rPr>
          <w:rFonts w:ascii="Times New Roman" w:hAnsi="Times New Roman"/>
          <w:lang w:val="hr-HR"/>
        </w:rPr>
        <w:t xml:space="preserve"> </w:t>
      </w:r>
      <w:r>
        <w:rPr>
          <w:rFonts w:ascii="Times New Roman" w:hAnsi="Times New Roman"/>
          <w:lang w:val="hr-HR"/>
        </w:rPr>
        <w:t>више</w:t>
      </w:r>
      <w:r w:rsidR="0042679D" w:rsidRPr="00065589">
        <w:rPr>
          <w:rFonts w:ascii="Times New Roman" w:hAnsi="Times New Roman"/>
          <w:lang w:val="hr-HR"/>
        </w:rPr>
        <w:t xml:space="preserve"> </w:t>
      </w:r>
      <w:r>
        <w:rPr>
          <w:rFonts w:ascii="Times New Roman" w:hAnsi="Times New Roman"/>
          <w:lang w:val="hr-HR"/>
        </w:rPr>
        <w:t>од</w:t>
      </w:r>
      <w:r w:rsidR="0042679D" w:rsidRPr="00065589">
        <w:rPr>
          <w:rFonts w:ascii="Times New Roman" w:hAnsi="Times New Roman"/>
          <w:lang w:val="hr-HR"/>
        </w:rPr>
        <w:t xml:space="preserve"> 2.000 </w:t>
      </w:r>
      <w:r>
        <w:rPr>
          <w:rFonts w:ascii="Times New Roman" w:hAnsi="Times New Roman"/>
          <w:lang w:val="hr-HR"/>
        </w:rPr>
        <w:t>стручњакиња</w:t>
      </w:r>
      <w:r w:rsidR="0042679D" w:rsidRPr="00065589">
        <w:rPr>
          <w:rFonts w:ascii="Times New Roman" w:hAnsi="Times New Roman"/>
          <w:lang w:val="hr-HR"/>
        </w:rPr>
        <w:t xml:space="preserve">, </w:t>
      </w:r>
      <w:r>
        <w:rPr>
          <w:rFonts w:ascii="Times New Roman" w:hAnsi="Times New Roman"/>
          <w:lang w:val="hr-HR"/>
        </w:rPr>
        <w:t>лидерки</w:t>
      </w:r>
      <w:r w:rsidR="0042679D" w:rsidRPr="00065589">
        <w:rPr>
          <w:rFonts w:ascii="Times New Roman" w:hAnsi="Times New Roman"/>
          <w:lang w:val="hr-HR"/>
        </w:rPr>
        <w:t xml:space="preserve"> </w:t>
      </w:r>
      <w:r>
        <w:rPr>
          <w:rFonts w:ascii="Times New Roman" w:hAnsi="Times New Roman"/>
          <w:lang w:val="hr-HR"/>
        </w:rPr>
        <w:t>и</w:t>
      </w:r>
      <w:r w:rsidR="0042679D" w:rsidRPr="00065589">
        <w:rPr>
          <w:rFonts w:ascii="Times New Roman" w:hAnsi="Times New Roman"/>
          <w:lang w:val="hr-HR"/>
        </w:rPr>
        <w:t xml:space="preserve"> </w:t>
      </w:r>
      <w:r>
        <w:rPr>
          <w:rFonts w:ascii="Times New Roman" w:hAnsi="Times New Roman"/>
          <w:lang w:val="hr-HR"/>
        </w:rPr>
        <w:t>активисткиња</w:t>
      </w:r>
      <w:r w:rsidR="0042679D" w:rsidRPr="00065589">
        <w:rPr>
          <w:rFonts w:ascii="Times New Roman" w:hAnsi="Times New Roman"/>
          <w:lang w:val="hr-HR"/>
        </w:rPr>
        <w:t xml:space="preserve"> </w:t>
      </w:r>
      <w:r>
        <w:rPr>
          <w:rFonts w:ascii="Times New Roman" w:hAnsi="Times New Roman"/>
          <w:lang w:val="hr-HR"/>
        </w:rPr>
        <w:t>из</w:t>
      </w:r>
      <w:r w:rsidR="0042679D" w:rsidRPr="00065589">
        <w:rPr>
          <w:rFonts w:ascii="Times New Roman" w:hAnsi="Times New Roman"/>
          <w:lang w:val="hr-HR"/>
        </w:rPr>
        <w:t xml:space="preserve"> </w:t>
      </w:r>
      <w:r>
        <w:rPr>
          <w:rFonts w:ascii="Times New Roman" w:hAnsi="Times New Roman"/>
          <w:lang w:val="hr-HR"/>
        </w:rPr>
        <w:t>различитих</w:t>
      </w:r>
      <w:r w:rsidR="0042679D" w:rsidRPr="00065589">
        <w:rPr>
          <w:rFonts w:ascii="Times New Roman" w:hAnsi="Times New Roman"/>
          <w:lang w:val="hr-HR"/>
        </w:rPr>
        <w:t xml:space="preserve"> </w:t>
      </w:r>
      <w:r>
        <w:rPr>
          <w:rFonts w:ascii="Times New Roman" w:hAnsi="Times New Roman"/>
          <w:lang w:val="hr-HR"/>
        </w:rPr>
        <w:t>сектора</w:t>
      </w:r>
      <w:r w:rsidR="0042679D" w:rsidRPr="00065589">
        <w:rPr>
          <w:rFonts w:ascii="Times New Roman" w:hAnsi="Times New Roman"/>
          <w:lang w:val="hr-HR"/>
        </w:rPr>
        <w:t xml:space="preserve"> </w:t>
      </w:r>
      <w:r>
        <w:rPr>
          <w:rFonts w:ascii="Times New Roman" w:hAnsi="Times New Roman"/>
          <w:lang w:val="hr-HR"/>
        </w:rPr>
        <w:t>како</w:t>
      </w:r>
      <w:r w:rsidR="0042679D" w:rsidRPr="00065589">
        <w:rPr>
          <w:rFonts w:ascii="Times New Roman" w:hAnsi="Times New Roman"/>
          <w:lang w:val="hr-HR"/>
        </w:rPr>
        <w:t xml:space="preserve"> </w:t>
      </w:r>
      <w:r>
        <w:rPr>
          <w:rFonts w:ascii="Times New Roman" w:hAnsi="Times New Roman"/>
          <w:lang w:val="hr-HR"/>
        </w:rPr>
        <w:t>би</w:t>
      </w:r>
      <w:r w:rsidR="0042679D" w:rsidRPr="00065589">
        <w:rPr>
          <w:rFonts w:ascii="Times New Roman" w:hAnsi="Times New Roman"/>
          <w:lang w:val="hr-HR"/>
        </w:rPr>
        <w:t xml:space="preserve"> </w:t>
      </w:r>
      <w:r>
        <w:rPr>
          <w:rFonts w:ascii="Times New Roman" w:hAnsi="Times New Roman"/>
          <w:lang w:val="hr-HR"/>
        </w:rPr>
        <w:t>заједнички</w:t>
      </w:r>
      <w:r w:rsidR="0042679D" w:rsidRPr="00065589">
        <w:rPr>
          <w:rFonts w:ascii="Times New Roman" w:hAnsi="Times New Roman"/>
          <w:lang w:val="hr-HR"/>
        </w:rPr>
        <w:t xml:space="preserve"> </w:t>
      </w:r>
      <w:r>
        <w:rPr>
          <w:rFonts w:ascii="Times New Roman" w:hAnsi="Times New Roman"/>
          <w:lang w:val="hr-HR"/>
        </w:rPr>
        <w:t>радиле</w:t>
      </w:r>
      <w:r w:rsidR="0042679D" w:rsidRPr="00065589">
        <w:rPr>
          <w:rFonts w:ascii="Times New Roman" w:hAnsi="Times New Roman"/>
          <w:lang w:val="hr-HR"/>
        </w:rPr>
        <w:t xml:space="preserve"> </w:t>
      </w:r>
      <w:r>
        <w:rPr>
          <w:rFonts w:ascii="Times New Roman" w:hAnsi="Times New Roman"/>
          <w:lang w:val="hr-HR"/>
        </w:rPr>
        <w:t>на</w:t>
      </w:r>
      <w:r w:rsidR="0042679D" w:rsidRPr="00065589">
        <w:rPr>
          <w:rFonts w:ascii="Times New Roman" w:hAnsi="Times New Roman"/>
          <w:lang w:val="hr-HR"/>
        </w:rPr>
        <w:t xml:space="preserve"> </w:t>
      </w:r>
      <w:r>
        <w:rPr>
          <w:rFonts w:ascii="Times New Roman" w:hAnsi="Times New Roman"/>
          <w:lang w:val="hr-HR"/>
        </w:rPr>
        <w:t>равноправности</w:t>
      </w:r>
      <w:r w:rsidR="0042679D" w:rsidRPr="00065589">
        <w:rPr>
          <w:rFonts w:ascii="Times New Roman" w:hAnsi="Times New Roman"/>
          <w:lang w:val="hr-HR"/>
        </w:rPr>
        <w:t xml:space="preserve"> </w:t>
      </w:r>
      <w:r>
        <w:rPr>
          <w:rFonts w:ascii="Times New Roman" w:hAnsi="Times New Roman"/>
          <w:lang w:val="hr-HR"/>
        </w:rPr>
        <w:t>полова</w:t>
      </w:r>
      <w:r w:rsidR="0042679D" w:rsidRPr="00065589">
        <w:rPr>
          <w:rFonts w:ascii="Times New Roman" w:hAnsi="Times New Roman"/>
          <w:lang w:val="hr-HR"/>
        </w:rPr>
        <w:t xml:space="preserve"> </w:t>
      </w:r>
      <w:r>
        <w:rPr>
          <w:rFonts w:ascii="Times New Roman" w:hAnsi="Times New Roman"/>
          <w:lang w:val="hr-HR"/>
        </w:rPr>
        <w:t>и</w:t>
      </w:r>
      <w:r w:rsidR="0042679D" w:rsidRPr="00065589">
        <w:rPr>
          <w:rFonts w:ascii="Times New Roman" w:hAnsi="Times New Roman"/>
          <w:lang w:val="hr-HR"/>
        </w:rPr>
        <w:t xml:space="preserve"> </w:t>
      </w:r>
      <w:r>
        <w:rPr>
          <w:rFonts w:ascii="Times New Roman" w:hAnsi="Times New Roman"/>
          <w:lang w:val="hr-HR"/>
        </w:rPr>
        <w:t>економском</w:t>
      </w:r>
      <w:r w:rsidR="0042679D" w:rsidRPr="00065589">
        <w:rPr>
          <w:rFonts w:ascii="Times New Roman" w:hAnsi="Times New Roman"/>
          <w:lang w:val="hr-HR"/>
        </w:rPr>
        <w:t xml:space="preserve"> </w:t>
      </w:r>
      <w:r>
        <w:rPr>
          <w:rFonts w:ascii="Times New Roman" w:hAnsi="Times New Roman"/>
          <w:lang w:val="hr-HR"/>
        </w:rPr>
        <w:t>оснаживању</w:t>
      </w:r>
      <w:r w:rsidR="0042679D" w:rsidRPr="00065589">
        <w:rPr>
          <w:rFonts w:ascii="Times New Roman" w:hAnsi="Times New Roman"/>
          <w:lang w:val="hr-HR"/>
        </w:rPr>
        <w:t xml:space="preserve"> </w:t>
      </w:r>
      <w:r>
        <w:rPr>
          <w:rFonts w:ascii="Times New Roman" w:hAnsi="Times New Roman"/>
          <w:lang w:val="hr-HR"/>
        </w:rPr>
        <w:t>жена</w:t>
      </w:r>
      <w:r w:rsidR="0042679D" w:rsidRPr="00065589">
        <w:rPr>
          <w:rFonts w:ascii="Times New Roman" w:hAnsi="Times New Roman"/>
          <w:lang w:val="hr-HR"/>
        </w:rPr>
        <w:t xml:space="preserve"> </w:t>
      </w:r>
      <w:r>
        <w:rPr>
          <w:rFonts w:ascii="Times New Roman" w:hAnsi="Times New Roman"/>
          <w:lang w:val="hr-HR"/>
        </w:rPr>
        <w:t>у</w:t>
      </w:r>
      <w:r w:rsidR="0042679D" w:rsidRPr="00065589">
        <w:rPr>
          <w:rFonts w:ascii="Times New Roman" w:hAnsi="Times New Roman"/>
          <w:lang w:val="hr-HR"/>
        </w:rPr>
        <w:t xml:space="preserve"> </w:t>
      </w:r>
      <w:r>
        <w:rPr>
          <w:rFonts w:ascii="Times New Roman" w:hAnsi="Times New Roman"/>
          <w:lang w:val="hr-HR"/>
        </w:rPr>
        <w:t>Босни</w:t>
      </w:r>
      <w:r w:rsidR="0042679D" w:rsidRPr="00065589">
        <w:rPr>
          <w:rFonts w:ascii="Times New Roman" w:hAnsi="Times New Roman"/>
          <w:lang w:val="hr-HR"/>
        </w:rPr>
        <w:t xml:space="preserve"> </w:t>
      </w:r>
      <w:r>
        <w:rPr>
          <w:rFonts w:ascii="Times New Roman" w:hAnsi="Times New Roman"/>
          <w:lang w:val="hr-HR"/>
        </w:rPr>
        <w:t>и</w:t>
      </w:r>
      <w:r w:rsidR="0042679D" w:rsidRPr="00065589">
        <w:rPr>
          <w:rFonts w:ascii="Times New Roman" w:hAnsi="Times New Roman"/>
          <w:lang w:val="hr-HR"/>
        </w:rPr>
        <w:t xml:space="preserve"> </w:t>
      </w:r>
      <w:r>
        <w:rPr>
          <w:rFonts w:ascii="Times New Roman" w:hAnsi="Times New Roman"/>
          <w:lang w:val="hr-HR"/>
        </w:rPr>
        <w:t>Херцеговини</w:t>
      </w:r>
      <w:r w:rsidR="0042679D" w:rsidRPr="00065589">
        <w:rPr>
          <w:rFonts w:ascii="Times New Roman" w:hAnsi="Times New Roman"/>
          <w:lang w:val="hr-HR"/>
        </w:rPr>
        <w:t xml:space="preserve">. </w:t>
      </w:r>
      <w:r>
        <w:rPr>
          <w:rFonts w:ascii="Times New Roman" w:hAnsi="Times New Roman"/>
          <w:lang w:val="hr-HR"/>
        </w:rPr>
        <w:t>У</w:t>
      </w:r>
      <w:r w:rsidR="004F7577">
        <w:rPr>
          <w:rFonts w:ascii="Times New Roman" w:hAnsi="Times New Roman"/>
          <w:lang w:val="hr-HR"/>
        </w:rPr>
        <w:t xml:space="preserve"> </w:t>
      </w:r>
      <w:r>
        <w:rPr>
          <w:rFonts w:ascii="Times New Roman" w:hAnsi="Times New Roman"/>
          <w:lang w:val="hr-HR"/>
        </w:rPr>
        <w:t>оквиру</w:t>
      </w:r>
      <w:r w:rsidR="004F7577">
        <w:rPr>
          <w:rFonts w:ascii="Times New Roman" w:hAnsi="Times New Roman"/>
          <w:lang w:val="hr-HR"/>
        </w:rPr>
        <w:t xml:space="preserve"> </w:t>
      </w:r>
      <w:r>
        <w:rPr>
          <w:rFonts w:ascii="Times New Roman" w:hAnsi="Times New Roman"/>
          <w:lang w:val="hr-HR"/>
        </w:rPr>
        <w:t>дјеловања</w:t>
      </w:r>
      <w:r w:rsidR="004F7577">
        <w:rPr>
          <w:rFonts w:ascii="Times New Roman" w:hAnsi="Times New Roman"/>
          <w:lang w:val="hr-HR"/>
        </w:rPr>
        <w:t xml:space="preserve"> </w:t>
      </w:r>
      <w:r>
        <w:rPr>
          <w:rFonts w:ascii="Times New Roman" w:hAnsi="Times New Roman"/>
          <w:lang w:val="hr-HR"/>
        </w:rPr>
        <w:t>Форума</w:t>
      </w:r>
      <w:r w:rsidR="004F7577">
        <w:rPr>
          <w:rFonts w:ascii="Times New Roman" w:hAnsi="Times New Roman"/>
          <w:lang w:val="hr-HR"/>
        </w:rPr>
        <w:t xml:space="preserve">, </w:t>
      </w:r>
      <w:r>
        <w:rPr>
          <w:rFonts w:ascii="Times New Roman" w:hAnsi="Times New Roman"/>
          <w:lang w:val="hr-HR"/>
        </w:rPr>
        <w:t>поред</w:t>
      </w:r>
      <w:r w:rsidR="004F7577">
        <w:rPr>
          <w:rFonts w:ascii="Times New Roman" w:hAnsi="Times New Roman"/>
          <w:lang w:val="hr-HR"/>
        </w:rPr>
        <w:t xml:space="preserve"> </w:t>
      </w:r>
      <w:r>
        <w:rPr>
          <w:rFonts w:ascii="Times New Roman" w:hAnsi="Times New Roman"/>
          <w:lang w:val="hr-HR"/>
        </w:rPr>
        <w:t>осталог</w:t>
      </w:r>
      <w:r w:rsidR="004F7577">
        <w:rPr>
          <w:rFonts w:ascii="Times New Roman" w:hAnsi="Times New Roman"/>
          <w:lang w:val="hr-HR"/>
        </w:rPr>
        <w:t xml:space="preserve">, </w:t>
      </w:r>
      <w:r>
        <w:rPr>
          <w:rFonts w:ascii="Times New Roman" w:hAnsi="Times New Roman"/>
          <w:lang w:val="hr-HR"/>
        </w:rPr>
        <w:t>покренута</w:t>
      </w:r>
      <w:r w:rsidR="004F7577">
        <w:rPr>
          <w:rFonts w:ascii="Times New Roman" w:hAnsi="Times New Roman"/>
          <w:lang w:val="hr-HR"/>
        </w:rPr>
        <w:t xml:space="preserve"> </w:t>
      </w:r>
      <w:r>
        <w:rPr>
          <w:rFonts w:ascii="Times New Roman" w:hAnsi="Times New Roman"/>
          <w:lang w:val="hr-HR"/>
        </w:rPr>
        <w:t>су</w:t>
      </w:r>
      <w:r w:rsidR="004F7577">
        <w:rPr>
          <w:rFonts w:ascii="Times New Roman" w:hAnsi="Times New Roman"/>
          <w:lang w:val="hr-HR"/>
        </w:rPr>
        <w:t xml:space="preserve"> </w:t>
      </w:r>
      <w:r>
        <w:rPr>
          <w:rFonts w:ascii="Times New Roman" w:hAnsi="Times New Roman"/>
          <w:lang w:val="hr-HR"/>
        </w:rPr>
        <w:t>истраживања</w:t>
      </w:r>
      <w:r w:rsidR="004F7577">
        <w:rPr>
          <w:rFonts w:ascii="Times New Roman" w:hAnsi="Times New Roman"/>
          <w:lang w:val="hr-HR"/>
        </w:rPr>
        <w:t xml:space="preserve"> </w:t>
      </w:r>
      <w:r>
        <w:rPr>
          <w:rFonts w:ascii="Times New Roman" w:hAnsi="Times New Roman"/>
          <w:lang w:val="hr-HR"/>
        </w:rPr>
        <w:t>разлика</w:t>
      </w:r>
      <w:r w:rsidR="004F7577">
        <w:rPr>
          <w:rFonts w:ascii="Times New Roman" w:hAnsi="Times New Roman"/>
          <w:lang w:val="hr-HR"/>
        </w:rPr>
        <w:t xml:space="preserve"> </w:t>
      </w:r>
      <w:r>
        <w:rPr>
          <w:rFonts w:ascii="Times New Roman" w:hAnsi="Times New Roman"/>
          <w:lang w:val="hr-HR"/>
        </w:rPr>
        <w:t>у</w:t>
      </w:r>
      <w:r w:rsidR="004F7577">
        <w:rPr>
          <w:rFonts w:ascii="Times New Roman" w:hAnsi="Times New Roman"/>
          <w:lang w:val="hr-HR"/>
        </w:rPr>
        <w:t xml:space="preserve"> </w:t>
      </w:r>
      <w:r>
        <w:rPr>
          <w:rFonts w:ascii="Times New Roman" w:hAnsi="Times New Roman"/>
          <w:lang w:val="hr-HR"/>
        </w:rPr>
        <w:t>приходима</w:t>
      </w:r>
      <w:r w:rsidR="004F7577">
        <w:rPr>
          <w:rFonts w:ascii="Times New Roman" w:hAnsi="Times New Roman"/>
          <w:lang w:val="hr-HR"/>
        </w:rPr>
        <w:t xml:space="preserve"> </w:t>
      </w:r>
      <w:r>
        <w:rPr>
          <w:rFonts w:ascii="Times New Roman" w:hAnsi="Times New Roman"/>
          <w:lang w:val="hr-HR"/>
        </w:rPr>
        <w:t>запосленика</w:t>
      </w:r>
      <w:r w:rsidR="004F7577">
        <w:rPr>
          <w:rFonts w:ascii="Times New Roman" w:hAnsi="Times New Roman"/>
          <w:lang w:val="hr-HR"/>
        </w:rPr>
        <w:t xml:space="preserve"> </w:t>
      </w:r>
      <w:r>
        <w:rPr>
          <w:rFonts w:ascii="Times New Roman" w:hAnsi="Times New Roman"/>
          <w:lang w:val="hr-HR"/>
        </w:rPr>
        <w:t>у</w:t>
      </w:r>
      <w:r w:rsidR="004F7577">
        <w:rPr>
          <w:rFonts w:ascii="Times New Roman" w:hAnsi="Times New Roman"/>
          <w:lang w:val="hr-HR"/>
        </w:rPr>
        <w:t xml:space="preserve"> </w:t>
      </w:r>
      <w:r>
        <w:rPr>
          <w:rFonts w:ascii="Times New Roman" w:hAnsi="Times New Roman"/>
          <w:lang w:val="hr-HR"/>
        </w:rPr>
        <w:t>институцијама</w:t>
      </w:r>
      <w:r w:rsidR="004F7577">
        <w:rPr>
          <w:rFonts w:ascii="Times New Roman" w:hAnsi="Times New Roman"/>
          <w:lang w:val="hr-HR"/>
        </w:rPr>
        <w:t xml:space="preserve"> </w:t>
      </w:r>
      <w:r>
        <w:rPr>
          <w:rFonts w:ascii="Times New Roman" w:hAnsi="Times New Roman"/>
          <w:lang w:val="hr-HR"/>
        </w:rPr>
        <w:t>Босне</w:t>
      </w:r>
      <w:r w:rsidR="004F7577">
        <w:rPr>
          <w:rFonts w:ascii="Times New Roman" w:hAnsi="Times New Roman"/>
          <w:lang w:val="hr-HR"/>
        </w:rPr>
        <w:t xml:space="preserve"> </w:t>
      </w:r>
      <w:r>
        <w:rPr>
          <w:rFonts w:ascii="Times New Roman" w:hAnsi="Times New Roman"/>
          <w:lang w:val="hr-HR"/>
        </w:rPr>
        <w:t>и</w:t>
      </w:r>
      <w:r w:rsidR="004F7577">
        <w:rPr>
          <w:rFonts w:ascii="Times New Roman" w:hAnsi="Times New Roman"/>
          <w:lang w:val="hr-HR"/>
        </w:rPr>
        <w:t xml:space="preserve"> </w:t>
      </w:r>
      <w:r>
        <w:rPr>
          <w:rFonts w:ascii="Times New Roman" w:hAnsi="Times New Roman"/>
          <w:lang w:val="hr-HR"/>
        </w:rPr>
        <w:t>Херцеговине</w:t>
      </w:r>
      <w:r w:rsidR="00782E15">
        <w:rPr>
          <w:rFonts w:ascii="Times New Roman" w:hAnsi="Times New Roman"/>
          <w:lang w:val="hr-HR"/>
        </w:rPr>
        <w:t xml:space="preserve"> </w:t>
      </w:r>
      <w:r>
        <w:rPr>
          <w:rFonts w:ascii="Times New Roman" w:hAnsi="Times New Roman"/>
          <w:lang w:val="hr-HR"/>
        </w:rPr>
        <w:t>и</w:t>
      </w:r>
      <w:r w:rsidR="00782E15">
        <w:rPr>
          <w:rFonts w:ascii="Times New Roman" w:hAnsi="Times New Roman"/>
          <w:lang w:val="hr-HR"/>
        </w:rPr>
        <w:t xml:space="preserve"> </w:t>
      </w:r>
      <w:r>
        <w:rPr>
          <w:rFonts w:ascii="Times New Roman" w:hAnsi="Times New Roman"/>
          <w:lang w:val="hr-HR"/>
        </w:rPr>
        <w:t>истрживање</w:t>
      </w:r>
      <w:r w:rsidR="00782E15">
        <w:rPr>
          <w:rFonts w:ascii="Times New Roman" w:hAnsi="Times New Roman"/>
          <w:lang w:val="hr-HR"/>
        </w:rPr>
        <w:t xml:space="preserve"> </w:t>
      </w:r>
      <w:r>
        <w:rPr>
          <w:rFonts w:ascii="Times New Roman" w:hAnsi="Times New Roman"/>
          <w:lang w:val="hr-HR"/>
        </w:rPr>
        <w:t>о</w:t>
      </w:r>
      <w:r w:rsidR="00782E15">
        <w:rPr>
          <w:rFonts w:ascii="Times New Roman" w:hAnsi="Times New Roman"/>
          <w:lang w:val="hr-HR"/>
        </w:rPr>
        <w:t xml:space="preserve"> </w:t>
      </w:r>
      <w:r>
        <w:rPr>
          <w:rFonts w:ascii="Times New Roman" w:hAnsi="Times New Roman"/>
          <w:lang w:val="hr-HR"/>
        </w:rPr>
        <w:t>усклађивању</w:t>
      </w:r>
      <w:r w:rsidR="00782E15">
        <w:rPr>
          <w:rFonts w:ascii="Times New Roman" w:hAnsi="Times New Roman"/>
          <w:lang w:val="hr-HR"/>
        </w:rPr>
        <w:t xml:space="preserve"> </w:t>
      </w:r>
      <w:r>
        <w:rPr>
          <w:rFonts w:ascii="Times New Roman" w:hAnsi="Times New Roman"/>
          <w:lang w:val="hr-HR"/>
        </w:rPr>
        <w:t>са</w:t>
      </w:r>
      <w:r w:rsidR="004F7577">
        <w:rPr>
          <w:rFonts w:ascii="Times New Roman" w:hAnsi="Times New Roman"/>
          <w:lang w:val="hr-HR"/>
        </w:rPr>
        <w:t xml:space="preserve"> </w:t>
      </w:r>
      <w:r>
        <w:rPr>
          <w:rFonts w:ascii="Times New Roman" w:hAnsi="Times New Roman"/>
          <w:lang w:val="hr-HR"/>
        </w:rPr>
        <w:t>ЕУ</w:t>
      </w:r>
      <w:r w:rsidR="004F7577">
        <w:rPr>
          <w:rFonts w:ascii="Times New Roman" w:hAnsi="Times New Roman"/>
          <w:lang w:val="hr-HR"/>
        </w:rPr>
        <w:t xml:space="preserve"> </w:t>
      </w:r>
      <w:r>
        <w:rPr>
          <w:rFonts w:ascii="Times New Roman" w:hAnsi="Times New Roman"/>
          <w:lang w:val="hr-HR"/>
        </w:rPr>
        <w:t>директивама</w:t>
      </w:r>
      <w:r w:rsidR="004F7577">
        <w:rPr>
          <w:rFonts w:ascii="Times New Roman" w:hAnsi="Times New Roman"/>
          <w:lang w:val="hr-HR"/>
        </w:rPr>
        <w:t xml:space="preserve"> </w:t>
      </w:r>
      <w:r>
        <w:rPr>
          <w:rFonts w:ascii="Times New Roman" w:hAnsi="Times New Roman"/>
          <w:lang w:val="hr-HR"/>
        </w:rPr>
        <w:t>у</w:t>
      </w:r>
      <w:r w:rsidR="004F7577">
        <w:rPr>
          <w:rFonts w:ascii="Times New Roman" w:hAnsi="Times New Roman"/>
          <w:lang w:val="hr-HR"/>
        </w:rPr>
        <w:t xml:space="preserve"> </w:t>
      </w:r>
      <w:r>
        <w:rPr>
          <w:rFonts w:ascii="Times New Roman" w:hAnsi="Times New Roman"/>
          <w:lang w:val="hr-HR"/>
        </w:rPr>
        <w:t>области</w:t>
      </w:r>
      <w:r w:rsidR="004F7577">
        <w:rPr>
          <w:rFonts w:ascii="Times New Roman" w:hAnsi="Times New Roman"/>
          <w:lang w:val="hr-HR"/>
        </w:rPr>
        <w:t xml:space="preserve"> </w:t>
      </w:r>
      <w:r>
        <w:rPr>
          <w:rFonts w:ascii="Times New Roman" w:hAnsi="Times New Roman"/>
          <w:lang w:val="hr-HR"/>
        </w:rPr>
        <w:t>усклађивања</w:t>
      </w:r>
      <w:r w:rsidR="004F7577">
        <w:rPr>
          <w:rFonts w:ascii="Times New Roman" w:hAnsi="Times New Roman"/>
          <w:lang w:val="hr-HR"/>
        </w:rPr>
        <w:t xml:space="preserve"> </w:t>
      </w:r>
      <w:r>
        <w:rPr>
          <w:rFonts w:ascii="Times New Roman" w:hAnsi="Times New Roman"/>
          <w:lang w:val="hr-HR"/>
        </w:rPr>
        <w:t>приватног</w:t>
      </w:r>
      <w:r w:rsidR="004F7577">
        <w:rPr>
          <w:rFonts w:ascii="Times New Roman" w:hAnsi="Times New Roman"/>
          <w:lang w:val="hr-HR"/>
        </w:rPr>
        <w:t xml:space="preserve"> </w:t>
      </w:r>
      <w:r>
        <w:rPr>
          <w:rFonts w:ascii="Times New Roman" w:hAnsi="Times New Roman"/>
          <w:lang w:val="hr-HR"/>
        </w:rPr>
        <w:t>и</w:t>
      </w:r>
      <w:r w:rsidR="004F7577">
        <w:rPr>
          <w:rFonts w:ascii="Times New Roman" w:hAnsi="Times New Roman"/>
          <w:lang w:val="hr-HR"/>
        </w:rPr>
        <w:t xml:space="preserve"> </w:t>
      </w:r>
      <w:r>
        <w:rPr>
          <w:rFonts w:ascii="Times New Roman" w:hAnsi="Times New Roman"/>
          <w:lang w:val="hr-HR"/>
        </w:rPr>
        <w:t>пословног</w:t>
      </w:r>
      <w:r w:rsidR="004F7577">
        <w:rPr>
          <w:rFonts w:ascii="Times New Roman" w:hAnsi="Times New Roman"/>
          <w:lang w:val="hr-HR"/>
        </w:rPr>
        <w:t xml:space="preserve"> </w:t>
      </w:r>
      <w:r>
        <w:rPr>
          <w:rFonts w:ascii="Times New Roman" w:hAnsi="Times New Roman"/>
          <w:lang w:val="hr-HR"/>
        </w:rPr>
        <w:t>живота</w:t>
      </w:r>
      <w:r w:rsidR="004F7577">
        <w:rPr>
          <w:rFonts w:ascii="Times New Roman" w:hAnsi="Times New Roman"/>
          <w:lang w:val="hr-HR"/>
        </w:rPr>
        <w:t xml:space="preserve">. </w:t>
      </w:r>
    </w:p>
    <w:p w:rsidR="0042679D" w:rsidRPr="00065589" w:rsidRDefault="0042679D" w:rsidP="0086268D">
      <w:pPr>
        <w:pStyle w:val="ListParagraph"/>
        <w:rPr>
          <w:rFonts w:ascii="Times New Roman" w:hAnsi="Times New Roman"/>
          <w:lang w:val="hr-HR"/>
        </w:rPr>
      </w:pPr>
    </w:p>
    <w:p w:rsidR="0042679D" w:rsidRPr="006820FB" w:rsidRDefault="00C6214E" w:rsidP="0086268D">
      <w:pPr>
        <w:pStyle w:val="NormalWeb"/>
        <w:numPr>
          <w:ilvl w:val="0"/>
          <w:numId w:val="17"/>
        </w:numPr>
        <w:spacing w:before="0" w:beforeAutospacing="0" w:after="0" w:afterAutospacing="0"/>
        <w:jc w:val="both"/>
        <w:rPr>
          <w:lang w:val="hr-HR"/>
        </w:rPr>
      </w:pPr>
      <w:r>
        <w:rPr>
          <w:lang w:val="bs-Latn-BA"/>
        </w:rPr>
        <w:t>АР</w:t>
      </w:r>
      <w:r w:rsidR="00095BD0">
        <w:rPr>
          <w:lang w:val="sr-Cyrl-BA"/>
        </w:rPr>
        <w:t>П</w:t>
      </w:r>
      <w:r w:rsidR="00782E15">
        <w:rPr>
          <w:lang w:val="bs-Latn-BA"/>
        </w:rPr>
        <w:t xml:space="preserve"> </w:t>
      </w:r>
      <w:r>
        <w:rPr>
          <w:lang w:val="bs-Latn-BA"/>
        </w:rPr>
        <w:t>БиХ</w:t>
      </w:r>
      <w:r w:rsidR="00782E15">
        <w:rPr>
          <w:lang w:val="bs-Latn-BA"/>
        </w:rPr>
        <w:t xml:space="preserve"> </w:t>
      </w:r>
      <w:r>
        <w:rPr>
          <w:lang w:val="bs-Latn-BA"/>
        </w:rPr>
        <w:t>МЉПИ</w:t>
      </w:r>
      <w:r w:rsidR="00782E15">
        <w:rPr>
          <w:lang w:val="bs-Latn-BA"/>
        </w:rPr>
        <w:t xml:space="preserve"> </w:t>
      </w:r>
      <w:r>
        <w:rPr>
          <w:lang w:val="bs-Latn-BA"/>
        </w:rPr>
        <w:t>БиХ</w:t>
      </w:r>
      <w:r w:rsidR="00D44D8A">
        <w:rPr>
          <w:lang w:val="bs-Latn-BA"/>
        </w:rPr>
        <w:t xml:space="preserve"> </w:t>
      </w:r>
      <w:r>
        <w:rPr>
          <w:lang w:val="bs-Latn-BA"/>
        </w:rPr>
        <w:t>је</w:t>
      </w:r>
      <w:r w:rsidR="00D44D8A">
        <w:rPr>
          <w:lang w:val="bs-Latn-BA"/>
        </w:rPr>
        <w:t xml:space="preserve"> </w:t>
      </w:r>
      <w:r>
        <w:rPr>
          <w:lang w:val="bs-Latn-BA"/>
        </w:rPr>
        <w:t>оквиру</w:t>
      </w:r>
      <w:r w:rsidR="00D30E48">
        <w:rPr>
          <w:lang w:val="bs-Latn-BA"/>
        </w:rPr>
        <w:t xml:space="preserve"> „</w:t>
      </w:r>
      <w:r>
        <w:rPr>
          <w:lang w:val="bs-Latn-BA"/>
        </w:rPr>
        <w:t>Форума</w:t>
      </w:r>
      <w:r w:rsidR="00D30E48">
        <w:rPr>
          <w:lang w:val="bs-Latn-BA"/>
        </w:rPr>
        <w:t xml:space="preserve"> </w:t>
      </w:r>
      <w:r>
        <w:rPr>
          <w:lang w:val="bs-Latn-BA"/>
        </w:rPr>
        <w:t>жена</w:t>
      </w:r>
      <w:r w:rsidR="00D30E48">
        <w:rPr>
          <w:lang w:val="bs-Latn-BA"/>
        </w:rPr>
        <w:t xml:space="preserve"> </w:t>
      </w:r>
      <w:r>
        <w:rPr>
          <w:lang w:val="bs-Latn-BA"/>
        </w:rPr>
        <w:t>за</w:t>
      </w:r>
      <w:r w:rsidR="00D30E48">
        <w:rPr>
          <w:lang w:val="bs-Latn-BA"/>
        </w:rPr>
        <w:t xml:space="preserve"> </w:t>
      </w:r>
      <w:r>
        <w:rPr>
          <w:lang w:val="bs-Latn-BA"/>
        </w:rPr>
        <w:t>развој</w:t>
      </w:r>
      <w:r w:rsidR="00D30E48">
        <w:rPr>
          <w:lang w:val="bs-Latn-BA"/>
        </w:rPr>
        <w:t>“,</w:t>
      </w:r>
      <w:r w:rsidR="00D44D8A" w:rsidDel="00D44D8A">
        <w:rPr>
          <w:lang w:val="bs-Latn-BA"/>
        </w:rPr>
        <w:t xml:space="preserve"> </w:t>
      </w:r>
      <w:r>
        <w:rPr>
          <w:lang w:val="bs-Latn-BA"/>
        </w:rPr>
        <w:t>у</w:t>
      </w:r>
      <w:r w:rsidR="00D44D8A" w:rsidRPr="00295637">
        <w:rPr>
          <w:lang w:val="bs-Latn-BA"/>
        </w:rPr>
        <w:t xml:space="preserve"> </w:t>
      </w:r>
      <w:r>
        <w:rPr>
          <w:lang w:val="bs-Latn-BA"/>
        </w:rPr>
        <w:t>партнерству</w:t>
      </w:r>
      <w:r w:rsidR="00782E15">
        <w:rPr>
          <w:lang w:val="bs-Latn-BA"/>
        </w:rPr>
        <w:t xml:space="preserve"> </w:t>
      </w:r>
      <w:r>
        <w:rPr>
          <w:lang w:val="bs-Latn-BA"/>
        </w:rPr>
        <w:t>са</w:t>
      </w:r>
      <w:r w:rsidR="0042679D" w:rsidRPr="00295637">
        <w:rPr>
          <w:lang w:val="bs-Latn-BA"/>
        </w:rPr>
        <w:t xml:space="preserve"> </w:t>
      </w:r>
      <w:r w:rsidR="00095BD0" w:rsidRPr="00095BD0">
        <w:rPr>
          <w:i/>
          <w:lang w:val="bs-Latn-BA"/>
        </w:rPr>
        <w:t>UNDP</w:t>
      </w:r>
      <w:r w:rsidR="0042679D" w:rsidRPr="00295637">
        <w:rPr>
          <w:lang w:val="bs-Latn-BA"/>
        </w:rPr>
        <w:t>-</w:t>
      </w:r>
      <w:r>
        <w:rPr>
          <w:lang w:val="bs-Latn-BA"/>
        </w:rPr>
        <w:t>ом</w:t>
      </w:r>
      <w:r w:rsidR="00B9527C">
        <w:rPr>
          <w:lang w:val="bs-Latn-BA"/>
        </w:rPr>
        <w:t>,</w:t>
      </w:r>
      <w:r w:rsidR="0042679D" w:rsidRPr="00295637">
        <w:rPr>
          <w:lang w:val="bs-Latn-BA"/>
        </w:rPr>
        <w:t xml:space="preserve"> </w:t>
      </w:r>
      <w:r>
        <w:rPr>
          <w:lang w:val="bs-Latn-BA"/>
        </w:rPr>
        <w:t>објавила</w:t>
      </w:r>
      <w:r w:rsidR="00782E15">
        <w:rPr>
          <w:lang w:val="bs-Latn-BA"/>
        </w:rPr>
        <w:t xml:space="preserve"> </w:t>
      </w:r>
      <w:r>
        <w:rPr>
          <w:lang w:val="bs-Latn-BA"/>
        </w:rPr>
        <w:t>анализу</w:t>
      </w:r>
      <w:r w:rsidR="00782E15">
        <w:rPr>
          <w:lang w:val="bs-Latn-BA"/>
        </w:rPr>
        <w:t xml:space="preserve"> „</w:t>
      </w:r>
      <w:r>
        <w:rPr>
          <w:lang w:val="bs-Latn-BA"/>
        </w:rPr>
        <w:t>Политике</w:t>
      </w:r>
      <w:r w:rsidR="00782E15">
        <w:rPr>
          <w:lang w:val="bs-Latn-BA"/>
        </w:rPr>
        <w:t xml:space="preserve">, </w:t>
      </w:r>
      <w:r>
        <w:rPr>
          <w:lang w:val="bs-Latn-BA"/>
        </w:rPr>
        <w:t>подстицаји</w:t>
      </w:r>
      <w:r w:rsidR="0042679D" w:rsidRPr="00295637">
        <w:rPr>
          <w:lang w:val="bs-Latn-BA"/>
        </w:rPr>
        <w:t xml:space="preserve"> </w:t>
      </w:r>
      <w:r>
        <w:rPr>
          <w:lang w:val="bs-Latn-BA"/>
        </w:rPr>
        <w:t>и</w:t>
      </w:r>
      <w:r w:rsidR="0042679D" w:rsidRPr="00295637">
        <w:rPr>
          <w:lang w:val="bs-Latn-BA"/>
        </w:rPr>
        <w:t xml:space="preserve"> </w:t>
      </w:r>
      <w:r>
        <w:rPr>
          <w:lang w:val="bs-Latn-BA"/>
        </w:rPr>
        <w:t>афирмативне</w:t>
      </w:r>
      <w:r w:rsidR="0042679D" w:rsidRPr="00295637">
        <w:rPr>
          <w:lang w:val="bs-Latn-BA"/>
        </w:rPr>
        <w:t xml:space="preserve"> </w:t>
      </w:r>
      <w:r>
        <w:rPr>
          <w:lang w:val="bs-Latn-BA"/>
        </w:rPr>
        <w:t>мјере</w:t>
      </w:r>
      <w:r w:rsidR="0042679D" w:rsidRPr="00295637">
        <w:rPr>
          <w:lang w:val="bs-Latn-BA"/>
        </w:rPr>
        <w:t xml:space="preserve"> </w:t>
      </w:r>
      <w:r>
        <w:rPr>
          <w:lang w:val="bs-Latn-BA"/>
        </w:rPr>
        <w:t>за</w:t>
      </w:r>
      <w:r w:rsidR="0042679D" w:rsidRPr="00295637">
        <w:rPr>
          <w:lang w:val="bs-Latn-BA"/>
        </w:rPr>
        <w:t xml:space="preserve"> </w:t>
      </w:r>
      <w:r>
        <w:rPr>
          <w:lang w:val="bs-Latn-BA"/>
        </w:rPr>
        <w:t>унапређење</w:t>
      </w:r>
      <w:r w:rsidR="0042679D" w:rsidRPr="00295637">
        <w:rPr>
          <w:lang w:val="bs-Latn-BA"/>
        </w:rPr>
        <w:t xml:space="preserve"> </w:t>
      </w:r>
      <w:r>
        <w:rPr>
          <w:lang w:val="bs-Latn-BA"/>
        </w:rPr>
        <w:t>положаја</w:t>
      </w:r>
      <w:r w:rsidR="0042679D" w:rsidRPr="00295637">
        <w:rPr>
          <w:lang w:val="bs-Latn-BA"/>
        </w:rPr>
        <w:t xml:space="preserve"> </w:t>
      </w:r>
      <w:r>
        <w:rPr>
          <w:lang w:val="bs-Latn-BA"/>
        </w:rPr>
        <w:t>жена</w:t>
      </w:r>
      <w:r w:rsidR="0042679D" w:rsidRPr="00295637">
        <w:rPr>
          <w:lang w:val="bs-Latn-BA"/>
        </w:rPr>
        <w:t xml:space="preserve"> </w:t>
      </w:r>
      <w:r>
        <w:rPr>
          <w:lang w:val="bs-Latn-BA"/>
        </w:rPr>
        <w:t>на</w:t>
      </w:r>
      <w:r w:rsidR="0042679D" w:rsidRPr="00295637">
        <w:rPr>
          <w:lang w:val="bs-Latn-BA"/>
        </w:rPr>
        <w:t xml:space="preserve"> </w:t>
      </w:r>
      <w:r>
        <w:rPr>
          <w:lang w:val="bs-Latn-BA"/>
        </w:rPr>
        <w:t>тржишту</w:t>
      </w:r>
      <w:r w:rsidR="0042679D" w:rsidRPr="00295637">
        <w:rPr>
          <w:lang w:val="bs-Latn-BA"/>
        </w:rPr>
        <w:t xml:space="preserve"> </w:t>
      </w:r>
      <w:r>
        <w:rPr>
          <w:lang w:val="bs-Latn-BA"/>
        </w:rPr>
        <w:t>рада</w:t>
      </w:r>
      <w:r w:rsidR="0042679D" w:rsidRPr="00295637">
        <w:rPr>
          <w:lang w:val="bs-Latn-BA"/>
        </w:rPr>
        <w:t xml:space="preserve"> </w:t>
      </w:r>
      <w:r>
        <w:rPr>
          <w:lang w:val="bs-Latn-BA"/>
        </w:rPr>
        <w:t>у</w:t>
      </w:r>
      <w:r w:rsidR="0042679D" w:rsidRPr="00295637">
        <w:rPr>
          <w:lang w:val="bs-Latn-BA"/>
        </w:rPr>
        <w:t xml:space="preserve"> </w:t>
      </w:r>
      <w:r>
        <w:rPr>
          <w:lang w:val="bs-Latn-BA"/>
        </w:rPr>
        <w:t>Босни</w:t>
      </w:r>
      <w:r w:rsidR="0042679D" w:rsidRPr="00295637">
        <w:rPr>
          <w:lang w:val="bs-Latn-BA"/>
        </w:rPr>
        <w:t xml:space="preserve"> </w:t>
      </w:r>
      <w:r>
        <w:rPr>
          <w:lang w:val="bs-Latn-BA"/>
        </w:rPr>
        <w:t>и</w:t>
      </w:r>
      <w:r w:rsidR="0042679D" w:rsidRPr="00295637">
        <w:rPr>
          <w:lang w:val="bs-Latn-BA"/>
        </w:rPr>
        <w:t xml:space="preserve"> </w:t>
      </w:r>
      <w:r>
        <w:rPr>
          <w:lang w:val="bs-Latn-BA"/>
        </w:rPr>
        <w:t>Херцеговини</w:t>
      </w:r>
      <w:r w:rsidR="0042679D" w:rsidRPr="00295637">
        <w:rPr>
          <w:lang w:val="bs-Latn-BA"/>
        </w:rPr>
        <w:t xml:space="preserve">“ </w:t>
      </w:r>
      <w:r>
        <w:rPr>
          <w:lang w:val="bs-Latn-BA"/>
        </w:rPr>
        <w:t>која</w:t>
      </w:r>
      <w:r w:rsidR="0042679D" w:rsidRPr="00295637">
        <w:rPr>
          <w:lang w:val="bs-Latn-BA"/>
        </w:rPr>
        <w:t xml:space="preserve"> </w:t>
      </w:r>
      <w:r>
        <w:t>се</w:t>
      </w:r>
      <w:r w:rsidR="0042679D" w:rsidRPr="00295637">
        <w:t xml:space="preserve"> </w:t>
      </w:r>
      <w:r>
        <w:rPr>
          <w:lang w:val="hr-HR"/>
        </w:rPr>
        <w:t>фокусира</w:t>
      </w:r>
      <w:r w:rsidR="0042679D" w:rsidRPr="006820FB">
        <w:rPr>
          <w:lang w:val="hr-HR"/>
        </w:rPr>
        <w:t xml:space="preserve"> </w:t>
      </w:r>
      <w:r>
        <w:rPr>
          <w:lang w:val="hr-HR"/>
        </w:rPr>
        <w:t>на</w:t>
      </w:r>
      <w:r w:rsidR="0042679D" w:rsidRPr="006820FB">
        <w:rPr>
          <w:lang w:val="hr-HR"/>
        </w:rPr>
        <w:t xml:space="preserve"> </w:t>
      </w:r>
      <w:r>
        <w:rPr>
          <w:lang w:val="hr-HR"/>
        </w:rPr>
        <w:t>статус</w:t>
      </w:r>
      <w:r w:rsidR="0042679D" w:rsidRPr="006820FB">
        <w:rPr>
          <w:lang w:val="hr-HR"/>
        </w:rPr>
        <w:t xml:space="preserve"> </w:t>
      </w:r>
      <w:r>
        <w:rPr>
          <w:lang w:val="hr-HR"/>
        </w:rPr>
        <w:t>жена</w:t>
      </w:r>
      <w:r w:rsidR="0042679D" w:rsidRPr="006820FB">
        <w:rPr>
          <w:lang w:val="hr-HR"/>
        </w:rPr>
        <w:t xml:space="preserve"> </w:t>
      </w:r>
      <w:r>
        <w:rPr>
          <w:lang w:val="hr-HR"/>
        </w:rPr>
        <w:t>на</w:t>
      </w:r>
      <w:r w:rsidR="0042679D" w:rsidRPr="006820FB">
        <w:rPr>
          <w:lang w:val="hr-HR"/>
        </w:rPr>
        <w:t xml:space="preserve"> </w:t>
      </w:r>
      <w:r>
        <w:rPr>
          <w:lang w:val="hr-HR"/>
        </w:rPr>
        <w:t>тржишту</w:t>
      </w:r>
      <w:r w:rsidR="0042679D" w:rsidRPr="006820FB">
        <w:rPr>
          <w:lang w:val="hr-HR"/>
        </w:rPr>
        <w:t xml:space="preserve"> </w:t>
      </w:r>
      <w:r>
        <w:rPr>
          <w:lang w:val="hr-HR"/>
        </w:rPr>
        <w:t>рада</w:t>
      </w:r>
      <w:r w:rsidR="0042679D" w:rsidRPr="006820FB">
        <w:rPr>
          <w:lang w:val="hr-HR"/>
        </w:rPr>
        <w:t xml:space="preserve"> </w:t>
      </w:r>
      <w:r>
        <w:rPr>
          <w:lang w:val="hr-HR"/>
        </w:rPr>
        <w:t>у</w:t>
      </w:r>
      <w:r w:rsidR="0042679D" w:rsidRPr="006820FB">
        <w:rPr>
          <w:lang w:val="hr-HR"/>
        </w:rPr>
        <w:t xml:space="preserve"> </w:t>
      </w:r>
      <w:r>
        <w:rPr>
          <w:lang w:val="hr-HR"/>
        </w:rPr>
        <w:t>БиХ</w:t>
      </w:r>
      <w:r w:rsidR="0042679D" w:rsidRPr="006820FB">
        <w:rPr>
          <w:lang w:val="hr-HR"/>
        </w:rPr>
        <w:t xml:space="preserve">, </w:t>
      </w:r>
      <w:r>
        <w:rPr>
          <w:lang w:val="hr-HR"/>
        </w:rPr>
        <w:t>идентифи</w:t>
      </w:r>
      <w:r w:rsidR="00095BD0">
        <w:rPr>
          <w:lang w:val="sr-Cyrl-BA"/>
        </w:rPr>
        <w:t>кује</w:t>
      </w:r>
      <w:r w:rsidR="0042679D" w:rsidRPr="006820FB">
        <w:rPr>
          <w:lang w:val="hr-HR"/>
        </w:rPr>
        <w:t xml:space="preserve"> </w:t>
      </w:r>
      <w:r>
        <w:rPr>
          <w:lang w:val="hr-HR"/>
        </w:rPr>
        <w:t>основне</w:t>
      </w:r>
      <w:r w:rsidR="0042679D" w:rsidRPr="006820FB">
        <w:rPr>
          <w:lang w:val="hr-HR"/>
        </w:rPr>
        <w:t xml:space="preserve"> </w:t>
      </w:r>
      <w:r>
        <w:rPr>
          <w:lang w:val="hr-HR"/>
        </w:rPr>
        <w:t>узроке</w:t>
      </w:r>
      <w:r w:rsidR="0042679D" w:rsidRPr="006820FB">
        <w:rPr>
          <w:lang w:val="hr-HR"/>
        </w:rPr>
        <w:t xml:space="preserve"> </w:t>
      </w:r>
      <w:r>
        <w:rPr>
          <w:lang w:val="hr-HR"/>
        </w:rPr>
        <w:t>неједнаког</w:t>
      </w:r>
      <w:r w:rsidR="0042679D" w:rsidRPr="006820FB">
        <w:rPr>
          <w:lang w:val="hr-HR"/>
        </w:rPr>
        <w:t xml:space="preserve"> </w:t>
      </w:r>
      <w:r>
        <w:rPr>
          <w:lang w:val="hr-HR"/>
        </w:rPr>
        <w:t>положаја</w:t>
      </w:r>
      <w:r w:rsidR="0042679D" w:rsidRPr="006820FB">
        <w:rPr>
          <w:lang w:val="hr-HR"/>
        </w:rPr>
        <w:t xml:space="preserve"> </w:t>
      </w:r>
      <w:r>
        <w:rPr>
          <w:lang w:val="hr-HR"/>
        </w:rPr>
        <w:t>жена</w:t>
      </w:r>
      <w:r w:rsidR="0042679D" w:rsidRPr="006820FB">
        <w:rPr>
          <w:lang w:val="hr-HR"/>
        </w:rPr>
        <w:t xml:space="preserve"> </w:t>
      </w:r>
      <w:r>
        <w:rPr>
          <w:lang w:val="hr-HR"/>
        </w:rPr>
        <w:t>и</w:t>
      </w:r>
      <w:r w:rsidR="0042679D" w:rsidRPr="006820FB">
        <w:rPr>
          <w:lang w:val="hr-HR"/>
        </w:rPr>
        <w:t xml:space="preserve"> </w:t>
      </w:r>
      <w:r>
        <w:rPr>
          <w:lang w:val="hr-HR"/>
        </w:rPr>
        <w:t>предлаже</w:t>
      </w:r>
      <w:r w:rsidR="0042679D" w:rsidRPr="006820FB">
        <w:rPr>
          <w:lang w:val="hr-HR"/>
        </w:rPr>
        <w:t xml:space="preserve"> </w:t>
      </w:r>
      <w:r>
        <w:rPr>
          <w:lang w:val="hr-HR"/>
        </w:rPr>
        <w:t>мјере</w:t>
      </w:r>
      <w:r w:rsidR="0042679D" w:rsidRPr="006820FB">
        <w:rPr>
          <w:lang w:val="hr-HR"/>
        </w:rPr>
        <w:t xml:space="preserve"> </w:t>
      </w:r>
      <w:r>
        <w:rPr>
          <w:lang w:val="hr-HR"/>
        </w:rPr>
        <w:t>које</w:t>
      </w:r>
      <w:r w:rsidR="0042679D" w:rsidRPr="006820FB">
        <w:rPr>
          <w:lang w:val="hr-HR"/>
        </w:rPr>
        <w:t xml:space="preserve"> </w:t>
      </w:r>
      <w:r>
        <w:rPr>
          <w:lang w:val="hr-HR"/>
        </w:rPr>
        <w:t>могу</w:t>
      </w:r>
      <w:r w:rsidR="0042679D" w:rsidRPr="006820FB">
        <w:rPr>
          <w:lang w:val="hr-HR"/>
        </w:rPr>
        <w:t xml:space="preserve"> </w:t>
      </w:r>
      <w:r>
        <w:rPr>
          <w:lang w:val="hr-HR"/>
        </w:rPr>
        <w:t>покренути</w:t>
      </w:r>
      <w:r w:rsidR="0042679D" w:rsidRPr="006820FB">
        <w:rPr>
          <w:lang w:val="hr-HR"/>
        </w:rPr>
        <w:t xml:space="preserve"> </w:t>
      </w:r>
      <w:r>
        <w:rPr>
          <w:lang w:val="hr-HR"/>
        </w:rPr>
        <w:t>системске</w:t>
      </w:r>
      <w:r w:rsidR="0042679D" w:rsidRPr="006820FB">
        <w:rPr>
          <w:lang w:val="hr-HR"/>
        </w:rPr>
        <w:t xml:space="preserve"> </w:t>
      </w:r>
      <w:r>
        <w:rPr>
          <w:lang w:val="hr-HR"/>
        </w:rPr>
        <w:t>промјене</w:t>
      </w:r>
      <w:r w:rsidR="0042679D" w:rsidRPr="006820FB">
        <w:rPr>
          <w:lang w:val="hr-HR"/>
        </w:rPr>
        <w:t xml:space="preserve"> </w:t>
      </w:r>
      <w:r>
        <w:rPr>
          <w:lang w:val="hr-HR"/>
        </w:rPr>
        <w:t>потребне</w:t>
      </w:r>
      <w:r w:rsidR="0042679D" w:rsidRPr="006820FB">
        <w:rPr>
          <w:lang w:val="hr-HR"/>
        </w:rPr>
        <w:t xml:space="preserve"> </w:t>
      </w:r>
      <w:r>
        <w:rPr>
          <w:lang w:val="hr-HR"/>
        </w:rPr>
        <w:t>за</w:t>
      </w:r>
      <w:r w:rsidR="0042679D" w:rsidRPr="006820FB">
        <w:rPr>
          <w:lang w:val="hr-HR"/>
        </w:rPr>
        <w:t xml:space="preserve"> </w:t>
      </w:r>
      <w:r>
        <w:rPr>
          <w:lang w:val="hr-HR"/>
        </w:rPr>
        <w:t>унапређење</w:t>
      </w:r>
      <w:r w:rsidR="0042679D" w:rsidRPr="006820FB">
        <w:rPr>
          <w:lang w:val="hr-HR"/>
        </w:rPr>
        <w:t xml:space="preserve"> </w:t>
      </w:r>
      <w:r>
        <w:rPr>
          <w:lang w:val="hr-HR"/>
        </w:rPr>
        <w:t>положаја</w:t>
      </w:r>
      <w:r w:rsidR="0042679D" w:rsidRPr="006820FB">
        <w:rPr>
          <w:lang w:val="hr-HR"/>
        </w:rPr>
        <w:t xml:space="preserve"> </w:t>
      </w:r>
      <w:r>
        <w:rPr>
          <w:lang w:val="hr-HR"/>
        </w:rPr>
        <w:t>жена</w:t>
      </w:r>
      <w:r w:rsidR="0042679D" w:rsidRPr="006820FB">
        <w:rPr>
          <w:lang w:val="hr-HR"/>
        </w:rPr>
        <w:t xml:space="preserve"> </w:t>
      </w:r>
      <w:r>
        <w:rPr>
          <w:lang w:val="hr-HR"/>
        </w:rPr>
        <w:t>на</w:t>
      </w:r>
      <w:r w:rsidR="0042679D" w:rsidRPr="006820FB">
        <w:rPr>
          <w:lang w:val="hr-HR"/>
        </w:rPr>
        <w:t xml:space="preserve"> </w:t>
      </w:r>
      <w:r>
        <w:rPr>
          <w:lang w:val="hr-HR"/>
        </w:rPr>
        <w:t>тржишту</w:t>
      </w:r>
      <w:r w:rsidR="0042679D" w:rsidRPr="006820FB">
        <w:rPr>
          <w:lang w:val="hr-HR"/>
        </w:rPr>
        <w:t xml:space="preserve"> </w:t>
      </w:r>
      <w:r>
        <w:rPr>
          <w:lang w:val="hr-HR"/>
        </w:rPr>
        <w:t>рада</w:t>
      </w:r>
      <w:r w:rsidR="0042679D" w:rsidRPr="006820FB">
        <w:rPr>
          <w:lang w:val="hr-HR"/>
        </w:rPr>
        <w:t>.</w:t>
      </w:r>
    </w:p>
    <w:p w:rsidR="0042679D" w:rsidRDefault="0042679D" w:rsidP="0086268D">
      <w:pPr>
        <w:pStyle w:val="ListParagraph"/>
        <w:ind w:left="720"/>
        <w:jc w:val="both"/>
        <w:rPr>
          <w:rFonts w:ascii="Times New Roman" w:hAnsi="Times New Roman"/>
          <w:lang w:val="hr-HR"/>
        </w:rPr>
      </w:pPr>
    </w:p>
    <w:p w:rsidR="0042679D" w:rsidRDefault="00C6214E" w:rsidP="0086268D">
      <w:pPr>
        <w:pStyle w:val="ListParagraph"/>
        <w:numPr>
          <w:ilvl w:val="0"/>
          <w:numId w:val="17"/>
        </w:numPr>
        <w:jc w:val="both"/>
        <w:rPr>
          <w:rFonts w:ascii="Times New Roman" w:hAnsi="Times New Roman"/>
          <w:lang w:val="hr-HR"/>
        </w:rPr>
      </w:pPr>
      <w:r>
        <w:rPr>
          <w:rFonts w:ascii="Times New Roman" w:hAnsi="Times New Roman"/>
          <w:lang w:val="hr-HR"/>
        </w:rPr>
        <w:t>АР</w:t>
      </w:r>
      <w:r w:rsidR="00C93FA9">
        <w:rPr>
          <w:rFonts w:ascii="Times New Roman" w:hAnsi="Times New Roman"/>
          <w:lang w:val="sr-Cyrl-BA"/>
        </w:rPr>
        <w:t>П</w:t>
      </w:r>
      <w:r w:rsidR="00782E15">
        <w:rPr>
          <w:rFonts w:ascii="Times New Roman" w:hAnsi="Times New Roman"/>
          <w:lang w:val="hr-HR"/>
        </w:rPr>
        <w:t xml:space="preserve"> </w:t>
      </w:r>
      <w:r>
        <w:rPr>
          <w:rFonts w:ascii="Times New Roman" w:hAnsi="Times New Roman"/>
          <w:lang w:val="hr-HR"/>
        </w:rPr>
        <w:t>БиХ</w:t>
      </w:r>
      <w:r w:rsidR="00782E15">
        <w:rPr>
          <w:rFonts w:ascii="Times New Roman" w:hAnsi="Times New Roman"/>
          <w:lang w:val="hr-HR"/>
        </w:rPr>
        <w:t xml:space="preserve"> </w:t>
      </w:r>
      <w:r>
        <w:rPr>
          <w:rFonts w:ascii="Times New Roman" w:hAnsi="Times New Roman"/>
          <w:lang w:val="hr-HR"/>
        </w:rPr>
        <w:t>МЉПИ</w:t>
      </w:r>
      <w:r w:rsidR="00782E15">
        <w:rPr>
          <w:rFonts w:ascii="Times New Roman" w:hAnsi="Times New Roman"/>
          <w:lang w:val="hr-HR"/>
        </w:rPr>
        <w:t xml:space="preserve"> </w:t>
      </w:r>
      <w:r>
        <w:rPr>
          <w:rFonts w:ascii="Times New Roman" w:hAnsi="Times New Roman"/>
          <w:lang w:val="hr-HR"/>
        </w:rPr>
        <w:t>БиХ</w:t>
      </w:r>
      <w:r w:rsidR="0042679D">
        <w:rPr>
          <w:rFonts w:ascii="Times New Roman" w:hAnsi="Times New Roman"/>
          <w:lang w:val="hr-HR"/>
        </w:rPr>
        <w:t xml:space="preserve"> </w:t>
      </w:r>
      <w:r w:rsidR="00C93FA9">
        <w:rPr>
          <w:rFonts w:ascii="Times New Roman" w:hAnsi="Times New Roman"/>
          <w:lang w:val="hr-HR"/>
        </w:rPr>
        <w:t xml:space="preserve">је </w:t>
      </w:r>
      <w:r>
        <w:rPr>
          <w:rFonts w:ascii="Times New Roman" w:hAnsi="Times New Roman"/>
          <w:lang w:val="hr-HR"/>
        </w:rPr>
        <w:t>координи</w:t>
      </w:r>
      <w:r w:rsidR="00C93FA9">
        <w:rPr>
          <w:rFonts w:ascii="Times New Roman" w:hAnsi="Times New Roman"/>
          <w:lang w:val="sr-Cyrl-BA"/>
        </w:rPr>
        <w:t>с</w:t>
      </w:r>
      <w:r>
        <w:rPr>
          <w:rFonts w:ascii="Times New Roman" w:hAnsi="Times New Roman"/>
          <w:lang w:val="hr-HR"/>
        </w:rPr>
        <w:t>ала</w:t>
      </w:r>
      <w:r w:rsidR="0042679D">
        <w:rPr>
          <w:rFonts w:ascii="Times New Roman" w:hAnsi="Times New Roman"/>
          <w:lang w:val="hr-HR"/>
        </w:rPr>
        <w:t xml:space="preserve"> </w:t>
      </w:r>
      <w:r>
        <w:rPr>
          <w:rFonts w:ascii="Times New Roman" w:hAnsi="Times New Roman"/>
          <w:lang w:val="hr-HR"/>
        </w:rPr>
        <w:t>процедуром</w:t>
      </w:r>
      <w:r w:rsidR="0042679D" w:rsidRPr="00982E91">
        <w:rPr>
          <w:rFonts w:ascii="Times New Roman" w:hAnsi="Times New Roman"/>
          <w:lang w:val="hr-HR"/>
        </w:rPr>
        <w:t xml:space="preserve"> </w:t>
      </w:r>
      <w:r>
        <w:rPr>
          <w:rFonts w:ascii="Times New Roman" w:hAnsi="Times New Roman"/>
          <w:lang w:val="hr-HR"/>
        </w:rPr>
        <w:t>именовања</w:t>
      </w:r>
      <w:r w:rsidR="0042679D" w:rsidRPr="00982E91">
        <w:rPr>
          <w:rFonts w:ascii="Times New Roman" w:hAnsi="Times New Roman"/>
          <w:lang w:val="hr-HR"/>
        </w:rPr>
        <w:t xml:space="preserve"> </w:t>
      </w:r>
      <w:r>
        <w:rPr>
          <w:rFonts w:ascii="Times New Roman" w:hAnsi="Times New Roman"/>
          <w:lang w:val="hr-HR"/>
        </w:rPr>
        <w:t>нових</w:t>
      </w:r>
      <w:r w:rsidR="0042679D" w:rsidRPr="00982E91">
        <w:rPr>
          <w:rFonts w:ascii="Times New Roman" w:hAnsi="Times New Roman"/>
          <w:lang w:val="hr-HR"/>
        </w:rPr>
        <w:t xml:space="preserve"> </w:t>
      </w:r>
      <w:r>
        <w:rPr>
          <w:rFonts w:ascii="Times New Roman" w:hAnsi="Times New Roman"/>
          <w:lang w:val="hr-HR"/>
        </w:rPr>
        <w:t>савјетника</w:t>
      </w:r>
      <w:r w:rsidR="0042679D">
        <w:rPr>
          <w:rFonts w:ascii="Times New Roman" w:hAnsi="Times New Roman"/>
          <w:lang w:val="hr-HR"/>
        </w:rPr>
        <w:t xml:space="preserve"> </w:t>
      </w:r>
      <w:r>
        <w:rPr>
          <w:rFonts w:ascii="Times New Roman" w:hAnsi="Times New Roman"/>
          <w:lang w:val="hr-HR"/>
        </w:rPr>
        <w:t>за</w:t>
      </w:r>
      <w:r w:rsidR="0042679D">
        <w:rPr>
          <w:rFonts w:ascii="Times New Roman" w:hAnsi="Times New Roman"/>
          <w:lang w:val="hr-HR"/>
        </w:rPr>
        <w:t xml:space="preserve"> </w:t>
      </w:r>
      <w:r>
        <w:rPr>
          <w:rFonts w:ascii="Times New Roman" w:hAnsi="Times New Roman"/>
          <w:lang w:val="hr-HR"/>
        </w:rPr>
        <w:t>превенцију</w:t>
      </w:r>
      <w:r w:rsidR="0042679D">
        <w:rPr>
          <w:rFonts w:ascii="Times New Roman" w:hAnsi="Times New Roman"/>
          <w:lang w:val="hr-HR"/>
        </w:rPr>
        <w:t xml:space="preserve"> </w:t>
      </w:r>
      <w:r>
        <w:rPr>
          <w:rFonts w:ascii="Times New Roman" w:hAnsi="Times New Roman"/>
          <w:lang w:val="hr-HR"/>
        </w:rPr>
        <w:t>родно</w:t>
      </w:r>
      <w:r w:rsidR="0042679D">
        <w:rPr>
          <w:rFonts w:ascii="Times New Roman" w:hAnsi="Times New Roman"/>
          <w:lang w:val="hr-HR"/>
        </w:rPr>
        <w:t xml:space="preserve"> </w:t>
      </w:r>
      <w:r>
        <w:rPr>
          <w:rFonts w:ascii="Times New Roman" w:hAnsi="Times New Roman"/>
          <w:lang w:val="hr-HR"/>
        </w:rPr>
        <w:t>заснованог</w:t>
      </w:r>
      <w:r w:rsidR="0042679D">
        <w:rPr>
          <w:rFonts w:ascii="Times New Roman" w:hAnsi="Times New Roman"/>
          <w:lang w:val="hr-HR"/>
        </w:rPr>
        <w:t xml:space="preserve"> </w:t>
      </w:r>
      <w:r>
        <w:rPr>
          <w:rFonts w:ascii="Times New Roman" w:hAnsi="Times New Roman"/>
          <w:lang w:val="hr-HR"/>
        </w:rPr>
        <w:t>узнемиравања</w:t>
      </w:r>
      <w:r w:rsidR="0042679D">
        <w:rPr>
          <w:rFonts w:ascii="Times New Roman" w:hAnsi="Times New Roman"/>
          <w:lang w:val="hr-HR"/>
        </w:rPr>
        <w:t xml:space="preserve"> </w:t>
      </w:r>
      <w:r>
        <w:rPr>
          <w:rFonts w:ascii="Times New Roman" w:hAnsi="Times New Roman"/>
          <w:lang w:val="hr-HR"/>
        </w:rPr>
        <w:t>и</w:t>
      </w:r>
      <w:r w:rsidR="0042679D">
        <w:rPr>
          <w:rFonts w:ascii="Times New Roman" w:hAnsi="Times New Roman"/>
          <w:lang w:val="hr-HR"/>
        </w:rPr>
        <w:t xml:space="preserve"> </w:t>
      </w:r>
      <w:r>
        <w:rPr>
          <w:rFonts w:ascii="Times New Roman" w:hAnsi="Times New Roman"/>
          <w:lang w:val="hr-HR"/>
        </w:rPr>
        <w:t>сексуалног</w:t>
      </w:r>
      <w:r w:rsidR="0042679D">
        <w:rPr>
          <w:rFonts w:ascii="Times New Roman" w:hAnsi="Times New Roman"/>
          <w:lang w:val="hr-HR"/>
        </w:rPr>
        <w:t xml:space="preserve"> </w:t>
      </w:r>
      <w:r>
        <w:rPr>
          <w:rFonts w:ascii="Times New Roman" w:hAnsi="Times New Roman"/>
          <w:lang w:val="hr-HR"/>
        </w:rPr>
        <w:t>узнемиравања</w:t>
      </w:r>
      <w:r w:rsidR="0042679D">
        <w:rPr>
          <w:rFonts w:ascii="Times New Roman" w:hAnsi="Times New Roman"/>
          <w:lang w:val="hr-HR"/>
        </w:rPr>
        <w:t xml:space="preserve"> </w:t>
      </w:r>
      <w:r>
        <w:rPr>
          <w:rFonts w:ascii="Times New Roman" w:hAnsi="Times New Roman"/>
          <w:lang w:val="hr-HR"/>
        </w:rPr>
        <w:t>на</w:t>
      </w:r>
      <w:r w:rsidR="0042679D">
        <w:rPr>
          <w:rFonts w:ascii="Times New Roman" w:hAnsi="Times New Roman"/>
          <w:lang w:val="hr-HR"/>
        </w:rPr>
        <w:t xml:space="preserve"> </w:t>
      </w:r>
      <w:r>
        <w:rPr>
          <w:rFonts w:ascii="Times New Roman" w:hAnsi="Times New Roman"/>
          <w:lang w:val="hr-HR"/>
        </w:rPr>
        <w:t>радном</w:t>
      </w:r>
      <w:r w:rsidR="0042679D">
        <w:rPr>
          <w:rFonts w:ascii="Times New Roman" w:hAnsi="Times New Roman"/>
          <w:lang w:val="hr-HR"/>
        </w:rPr>
        <w:t xml:space="preserve"> </w:t>
      </w:r>
      <w:r>
        <w:rPr>
          <w:rFonts w:ascii="Times New Roman" w:hAnsi="Times New Roman"/>
          <w:lang w:val="hr-HR"/>
        </w:rPr>
        <w:t>мјесту</w:t>
      </w:r>
      <w:r w:rsidR="0042679D">
        <w:rPr>
          <w:rFonts w:ascii="Times New Roman" w:hAnsi="Times New Roman"/>
          <w:lang w:val="hr-HR"/>
        </w:rPr>
        <w:t xml:space="preserve"> </w:t>
      </w:r>
      <w:r>
        <w:rPr>
          <w:rFonts w:ascii="Times New Roman" w:hAnsi="Times New Roman"/>
          <w:lang w:val="hr-HR"/>
        </w:rPr>
        <w:t>у</w:t>
      </w:r>
      <w:r w:rsidR="0042679D">
        <w:rPr>
          <w:rFonts w:ascii="Times New Roman" w:hAnsi="Times New Roman"/>
          <w:lang w:val="hr-HR"/>
        </w:rPr>
        <w:t xml:space="preserve"> </w:t>
      </w:r>
      <w:r>
        <w:rPr>
          <w:rFonts w:ascii="Times New Roman" w:hAnsi="Times New Roman"/>
          <w:lang w:val="hr-HR"/>
        </w:rPr>
        <w:t>институцијама</w:t>
      </w:r>
      <w:r w:rsidR="0042679D">
        <w:rPr>
          <w:rFonts w:ascii="Times New Roman" w:hAnsi="Times New Roman"/>
          <w:lang w:val="hr-HR"/>
        </w:rPr>
        <w:t xml:space="preserve"> </w:t>
      </w:r>
      <w:r>
        <w:rPr>
          <w:rFonts w:ascii="Times New Roman" w:hAnsi="Times New Roman"/>
          <w:lang w:val="hr-HR"/>
        </w:rPr>
        <w:t>БиХ</w:t>
      </w:r>
      <w:r w:rsidR="0042679D" w:rsidRPr="00982E91">
        <w:rPr>
          <w:rFonts w:ascii="Times New Roman" w:hAnsi="Times New Roman"/>
          <w:lang w:val="hr-HR"/>
        </w:rPr>
        <w:t xml:space="preserve">, </w:t>
      </w:r>
      <w:r>
        <w:rPr>
          <w:rFonts w:ascii="Times New Roman" w:hAnsi="Times New Roman"/>
          <w:lang w:val="hr-HR"/>
        </w:rPr>
        <w:t>с</w:t>
      </w:r>
      <w:r w:rsidR="00782E15">
        <w:rPr>
          <w:rFonts w:ascii="Times New Roman" w:hAnsi="Times New Roman"/>
          <w:lang w:val="hr-HR"/>
        </w:rPr>
        <w:t xml:space="preserve"> </w:t>
      </w:r>
      <w:r>
        <w:rPr>
          <w:rFonts w:ascii="Times New Roman" w:hAnsi="Times New Roman"/>
          <w:lang w:val="hr-HR"/>
        </w:rPr>
        <w:t>обзиром</w:t>
      </w:r>
      <w:r w:rsidR="0042679D" w:rsidRPr="00982E91">
        <w:rPr>
          <w:rFonts w:ascii="Times New Roman" w:hAnsi="Times New Roman"/>
          <w:lang w:val="hr-HR"/>
        </w:rPr>
        <w:t xml:space="preserve"> </w:t>
      </w:r>
      <w:r>
        <w:rPr>
          <w:rFonts w:ascii="Times New Roman" w:hAnsi="Times New Roman"/>
          <w:lang w:val="hr-HR"/>
        </w:rPr>
        <w:t>да</w:t>
      </w:r>
      <w:r w:rsidR="0042679D" w:rsidRPr="00982E91">
        <w:rPr>
          <w:rFonts w:ascii="Times New Roman" w:hAnsi="Times New Roman"/>
          <w:lang w:val="hr-HR"/>
        </w:rPr>
        <w:t xml:space="preserve"> </w:t>
      </w:r>
      <w:r>
        <w:rPr>
          <w:rFonts w:ascii="Times New Roman" w:hAnsi="Times New Roman"/>
          <w:lang w:val="hr-HR"/>
        </w:rPr>
        <w:t>је</w:t>
      </w:r>
      <w:r w:rsidR="0042679D" w:rsidRPr="00982E91">
        <w:rPr>
          <w:rFonts w:ascii="Times New Roman" w:hAnsi="Times New Roman"/>
          <w:lang w:val="hr-HR"/>
        </w:rPr>
        <w:t xml:space="preserve"> </w:t>
      </w:r>
      <w:r>
        <w:rPr>
          <w:rFonts w:ascii="Times New Roman" w:hAnsi="Times New Roman"/>
          <w:lang w:val="hr-HR"/>
        </w:rPr>
        <w:t>постојећим</w:t>
      </w:r>
      <w:r w:rsidR="0042679D" w:rsidRPr="00982E91">
        <w:rPr>
          <w:rFonts w:ascii="Times New Roman" w:hAnsi="Times New Roman"/>
          <w:lang w:val="hr-HR"/>
        </w:rPr>
        <w:t xml:space="preserve"> </w:t>
      </w:r>
      <w:r>
        <w:rPr>
          <w:rFonts w:ascii="Times New Roman" w:hAnsi="Times New Roman"/>
          <w:lang w:val="hr-HR"/>
        </w:rPr>
        <w:t>истекао</w:t>
      </w:r>
      <w:r w:rsidR="0042679D" w:rsidRPr="00982E91">
        <w:rPr>
          <w:rFonts w:ascii="Times New Roman" w:hAnsi="Times New Roman"/>
          <w:lang w:val="hr-HR"/>
        </w:rPr>
        <w:t xml:space="preserve"> </w:t>
      </w:r>
      <w:r>
        <w:rPr>
          <w:rFonts w:ascii="Times New Roman" w:hAnsi="Times New Roman"/>
          <w:lang w:val="hr-HR"/>
        </w:rPr>
        <w:t>четворогодишњи</w:t>
      </w:r>
      <w:r w:rsidR="0042679D">
        <w:rPr>
          <w:rFonts w:ascii="Times New Roman" w:hAnsi="Times New Roman"/>
          <w:lang w:val="hr-HR"/>
        </w:rPr>
        <w:t xml:space="preserve"> </w:t>
      </w:r>
      <w:r>
        <w:rPr>
          <w:rFonts w:ascii="Times New Roman" w:hAnsi="Times New Roman"/>
          <w:lang w:val="hr-HR"/>
        </w:rPr>
        <w:t>мандат</w:t>
      </w:r>
      <w:r w:rsidR="0042679D" w:rsidRPr="00982E91">
        <w:rPr>
          <w:rFonts w:ascii="Times New Roman" w:hAnsi="Times New Roman"/>
          <w:lang w:val="hr-HR"/>
        </w:rPr>
        <w:t xml:space="preserve">. </w:t>
      </w:r>
      <w:r>
        <w:rPr>
          <w:rFonts w:ascii="Times New Roman" w:hAnsi="Times New Roman"/>
          <w:lang w:val="hr-HR"/>
        </w:rPr>
        <w:t>Поред</w:t>
      </w:r>
      <w:r w:rsidR="0042679D" w:rsidRPr="00982E91">
        <w:rPr>
          <w:rFonts w:ascii="Times New Roman" w:hAnsi="Times New Roman"/>
          <w:lang w:val="hr-HR"/>
        </w:rPr>
        <w:t xml:space="preserve"> </w:t>
      </w:r>
      <w:r>
        <w:rPr>
          <w:rFonts w:ascii="Times New Roman" w:hAnsi="Times New Roman"/>
          <w:lang w:val="hr-HR"/>
        </w:rPr>
        <w:t>тога</w:t>
      </w:r>
      <w:r w:rsidR="0042679D" w:rsidRPr="00982E91">
        <w:rPr>
          <w:rFonts w:ascii="Times New Roman" w:hAnsi="Times New Roman"/>
          <w:lang w:val="hr-HR"/>
        </w:rPr>
        <w:t xml:space="preserve">, </w:t>
      </w:r>
      <w:r>
        <w:rPr>
          <w:rFonts w:ascii="Times New Roman" w:hAnsi="Times New Roman"/>
          <w:lang w:val="hr-HR"/>
        </w:rPr>
        <w:t>у</w:t>
      </w:r>
      <w:r w:rsidR="0042679D" w:rsidRPr="00982E91">
        <w:rPr>
          <w:rFonts w:ascii="Times New Roman" w:hAnsi="Times New Roman"/>
          <w:lang w:val="hr-HR"/>
        </w:rPr>
        <w:t xml:space="preserve"> </w:t>
      </w:r>
      <w:r>
        <w:rPr>
          <w:rFonts w:ascii="Times New Roman" w:hAnsi="Times New Roman"/>
          <w:lang w:val="hr-HR"/>
        </w:rPr>
        <w:t>сврху</w:t>
      </w:r>
      <w:r w:rsidR="0042679D" w:rsidRPr="00982E91">
        <w:rPr>
          <w:rFonts w:ascii="Times New Roman" w:hAnsi="Times New Roman"/>
          <w:lang w:val="hr-HR"/>
        </w:rPr>
        <w:t xml:space="preserve"> </w:t>
      </w:r>
      <w:r>
        <w:rPr>
          <w:rFonts w:ascii="Times New Roman" w:hAnsi="Times New Roman"/>
          <w:lang w:val="hr-HR"/>
        </w:rPr>
        <w:t>изградње</w:t>
      </w:r>
      <w:r w:rsidR="0042679D" w:rsidRPr="00982E91">
        <w:rPr>
          <w:rFonts w:ascii="Times New Roman" w:hAnsi="Times New Roman"/>
          <w:lang w:val="hr-HR"/>
        </w:rPr>
        <w:t xml:space="preserve"> </w:t>
      </w:r>
      <w:r>
        <w:rPr>
          <w:rFonts w:ascii="Times New Roman" w:hAnsi="Times New Roman"/>
          <w:lang w:val="hr-HR"/>
        </w:rPr>
        <w:t>капацитета</w:t>
      </w:r>
      <w:r w:rsidR="0042679D" w:rsidRPr="00982E91">
        <w:rPr>
          <w:rFonts w:ascii="Times New Roman" w:hAnsi="Times New Roman"/>
          <w:lang w:val="hr-HR"/>
        </w:rPr>
        <w:t xml:space="preserve"> </w:t>
      </w:r>
      <w:r>
        <w:rPr>
          <w:rFonts w:ascii="Times New Roman" w:hAnsi="Times New Roman"/>
          <w:lang w:val="hr-HR"/>
        </w:rPr>
        <w:t>и</w:t>
      </w:r>
      <w:r w:rsidR="0042679D" w:rsidRPr="00982E91">
        <w:rPr>
          <w:rFonts w:ascii="Times New Roman" w:hAnsi="Times New Roman"/>
          <w:lang w:val="hr-HR"/>
        </w:rPr>
        <w:t xml:space="preserve"> </w:t>
      </w:r>
      <w:r>
        <w:rPr>
          <w:rFonts w:ascii="Times New Roman" w:hAnsi="Times New Roman"/>
          <w:lang w:val="hr-HR"/>
        </w:rPr>
        <w:t>изградње</w:t>
      </w:r>
      <w:r w:rsidR="0042679D" w:rsidRPr="00982E91">
        <w:rPr>
          <w:rFonts w:ascii="Times New Roman" w:hAnsi="Times New Roman"/>
          <w:lang w:val="hr-HR"/>
        </w:rPr>
        <w:t xml:space="preserve"> </w:t>
      </w:r>
      <w:r>
        <w:rPr>
          <w:rFonts w:ascii="Times New Roman" w:hAnsi="Times New Roman"/>
          <w:lang w:val="hr-HR"/>
        </w:rPr>
        <w:t>свијести</w:t>
      </w:r>
      <w:r w:rsidR="0042679D" w:rsidRPr="00982E91">
        <w:rPr>
          <w:rFonts w:ascii="Times New Roman" w:hAnsi="Times New Roman"/>
          <w:lang w:val="hr-HR"/>
        </w:rPr>
        <w:t xml:space="preserve"> </w:t>
      </w:r>
      <w:r>
        <w:rPr>
          <w:rFonts w:ascii="Times New Roman" w:hAnsi="Times New Roman"/>
          <w:lang w:val="hr-HR"/>
        </w:rPr>
        <w:t>о</w:t>
      </w:r>
      <w:r w:rsidR="0042679D" w:rsidRPr="00982E91">
        <w:rPr>
          <w:rFonts w:ascii="Times New Roman" w:hAnsi="Times New Roman"/>
          <w:lang w:val="hr-HR"/>
        </w:rPr>
        <w:t xml:space="preserve"> </w:t>
      </w:r>
      <w:r>
        <w:rPr>
          <w:rFonts w:ascii="Times New Roman" w:hAnsi="Times New Roman"/>
          <w:lang w:val="hr-HR"/>
        </w:rPr>
        <w:t>овој</w:t>
      </w:r>
      <w:r w:rsidR="0042679D" w:rsidRPr="00982E91">
        <w:rPr>
          <w:rFonts w:ascii="Times New Roman" w:hAnsi="Times New Roman"/>
          <w:lang w:val="hr-HR"/>
        </w:rPr>
        <w:t xml:space="preserve"> </w:t>
      </w:r>
      <w:r>
        <w:rPr>
          <w:rFonts w:ascii="Times New Roman" w:hAnsi="Times New Roman"/>
          <w:lang w:val="hr-HR"/>
        </w:rPr>
        <w:t>теми</w:t>
      </w:r>
      <w:r w:rsidR="0042679D" w:rsidRPr="00982E91">
        <w:rPr>
          <w:rFonts w:ascii="Times New Roman" w:hAnsi="Times New Roman"/>
          <w:lang w:val="hr-HR"/>
        </w:rPr>
        <w:t xml:space="preserve">, </w:t>
      </w:r>
      <w:r>
        <w:rPr>
          <w:rFonts w:ascii="Times New Roman" w:hAnsi="Times New Roman"/>
          <w:lang w:val="hr-HR"/>
        </w:rPr>
        <w:t>АР</w:t>
      </w:r>
      <w:r w:rsidR="00C93FA9">
        <w:rPr>
          <w:rFonts w:ascii="Times New Roman" w:hAnsi="Times New Roman"/>
          <w:lang w:val="sr-Cyrl-BA"/>
        </w:rPr>
        <w:t>П</w:t>
      </w:r>
      <w:r w:rsidR="00782E15">
        <w:rPr>
          <w:rFonts w:ascii="Times New Roman" w:hAnsi="Times New Roman"/>
          <w:lang w:val="hr-HR"/>
        </w:rPr>
        <w:t xml:space="preserve"> </w:t>
      </w:r>
      <w:r>
        <w:rPr>
          <w:rFonts w:ascii="Times New Roman" w:hAnsi="Times New Roman"/>
          <w:lang w:val="hr-HR"/>
        </w:rPr>
        <w:t>БиХ</w:t>
      </w:r>
      <w:r w:rsidR="00782E15">
        <w:rPr>
          <w:rFonts w:ascii="Times New Roman" w:hAnsi="Times New Roman"/>
          <w:lang w:val="hr-HR"/>
        </w:rPr>
        <w:t xml:space="preserve"> </w:t>
      </w:r>
      <w:r>
        <w:rPr>
          <w:rFonts w:ascii="Times New Roman" w:hAnsi="Times New Roman"/>
          <w:lang w:val="hr-HR"/>
        </w:rPr>
        <w:t>МЉПИ</w:t>
      </w:r>
      <w:r w:rsidR="00782E15">
        <w:rPr>
          <w:rFonts w:ascii="Times New Roman" w:hAnsi="Times New Roman"/>
          <w:lang w:val="hr-HR"/>
        </w:rPr>
        <w:t xml:space="preserve"> </w:t>
      </w:r>
      <w:r>
        <w:rPr>
          <w:rFonts w:ascii="Times New Roman" w:hAnsi="Times New Roman"/>
          <w:lang w:val="hr-HR"/>
        </w:rPr>
        <w:t>БиХ</w:t>
      </w:r>
      <w:r w:rsidR="00B9527C">
        <w:rPr>
          <w:rFonts w:ascii="Times New Roman" w:hAnsi="Times New Roman"/>
          <w:lang w:val="hr-HR"/>
        </w:rPr>
        <w:t xml:space="preserve"> </w:t>
      </w:r>
      <w:r>
        <w:rPr>
          <w:rFonts w:ascii="Times New Roman" w:hAnsi="Times New Roman"/>
          <w:lang w:val="hr-HR"/>
        </w:rPr>
        <w:t>израдила</w:t>
      </w:r>
      <w:r w:rsidR="00B9527C">
        <w:rPr>
          <w:rFonts w:ascii="Times New Roman" w:hAnsi="Times New Roman"/>
          <w:lang w:val="hr-HR"/>
        </w:rPr>
        <w:t xml:space="preserve"> </w:t>
      </w:r>
      <w:r>
        <w:rPr>
          <w:rFonts w:ascii="Times New Roman" w:hAnsi="Times New Roman"/>
          <w:lang w:val="hr-HR"/>
        </w:rPr>
        <w:t>је</w:t>
      </w:r>
      <w:r w:rsidR="00782E15">
        <w:rPr>
          <w:rFonts w:ascii="Times New Roman" w:hAnsi="Times New Roman"/>
          <w:lang w:val="hr-HR"/>
        </w:rPr>
        <w:t xml:space="preserve"> </w:t>
      </w:r>
      <w:r>
        <w:rPr>
          <w:rFonts w:ascii="Times New Roman" w:hAnsi="Times New Roman"/>
          <w:lang w:val="hr-HR"/>
        </w:rPr>
        <w:t>вебинар</w:t>
      </w:r>
      <w:r w:rsidR="00B9527C">
        <w:rPr>
          <w:rFonts w:ascii="Times New Roman" w:hAnsi="Times New Roman"/>
          <w:lang w:val="hr-HR"/>
        </w:rPr>
        <w:t xml:space="preserve"> </w:t>
      </w:r>
      <w:r>
        <w:rPr>
          <w:rFonts w:ascii="Times New Roman" w:hAnsi="Times New Roman"/>
          <w:lang w:val="hr-HR"/>
        </w:rPr>
        <w:t>којим</w:t>
      </w:r>
      <w:r w:rsidR="00B9527C">
        <w:rPr>
          <w:rFonts w:ascii="Times New Roman" w:hAnsi="Times New Roman"/>
          <w:lang w:val="hr-HR"/>
        </w:rPr>
        <w:t xml:space="preserve"> </w:t>
      </w:r>
      <w:r>
        <w:rPr>
          <w:rFonts w:ascii="Times New Roman" w:hAnsi="Times New Roman"/>
          <w:lang w:val="hr-HR"/>
        </w:rPr>
        <w:t>се</w:t>
      </w:r>
      <w:r w:rsidR="0042679D" w:rsidRPr="00982E91">
        <w:rPr>
          <w:rFonts w:ascii="Times New Roman" w:hAnsi="Times New Roman"/>
          <w:lang w:val="hr-HR"/>
        </w:rPr>
        <w:t xml:space="preserve"> </w:t>
      </w:r>
      <w:r>
        <w:rPr>
          <w:rFonts w:ascii="Times New Roman" w:hAnsi="Times New Roman"/>
          <w:lang w:val="hr-HR"/>
        </w:rPr>
        <w:t>именованим</w:t>
      </w:r>
      <w:r w:rsidR="0042679D" w:rsidRPr="00982E91">
        <w:rPr>
          <w:rFonts w:ascii="Times New Roman" w:hAnsi="Times New Roman"/>
          <w:lang w:val="hr-HR"/>
        </w:rPr>
        <w:t xml:space="preserve"> </w:t>
      </w:r>
      <w:r>
        <w:rPr>
          <w:rFonts w:ascii="Times New Roman" w:hAnsi="Times New Roman"/>
          <w:lang w:val="hr-HR"/>
        </w:rPr>
        <w:t>савјетницима</w:t>
      </w:r>
      <w:r w:rsidR="0042679D">
        <w:rPr>
          <w:rFonts w:ascii="Times New Roman" w:hAnsi="Times New Roman"/>
          <w:lang w:val="hr-HR"/>
        </w:rPr>
        <w:t>,</w:t>
      </w:r>
      <w:r w:rsidR="0042679D" w:rsidRPr="00982E91">
        <w:rPr>
          <w:rFonts w:ascii="Times New Roman" w:hAnsi="Times New Roman"/>
          <w:lang w:val="hr-HR"/>
        </w:rPr>
        <w:t xml:space="preserve"> </w:t>
      </w:r>
      <w:r>
        <w:rPr>
          <w:rFonts w:ascii="Times New Roman" w:hAnsi="Times New Roman"/>
          <w:lang w:val="hr-HR"/>
        </w:rPr>
        <w:t>као</w:t>
      </w:r>
      <w:r w:rsidR="0042679D" w:rsidRPr="00982E91">
        <w:rPr>
          <w:rFonts w:ascii="Times New Roman" w:hAnsi="Times New Roman"/>
          <w:lang w:val="hr-HR"/>
        </w:rPr>
        <w:t xml:space="preserve"> </w:t>
      </w:r>
      <w:r>
        <w:rPr>
          <w:rFonts w:ascii="Times New Roman" w:hAnsi="Times New Roman"/>
          <w:lang w:val="hr-HR"/>
        </w:rPr>
        <w:t>и</w:t>
      </w:r>
      <w:r w:rsidR="0042679D" w:rsidRPr="00982E91">
        <w:rPr>
          <w:rFonts w:ascii="Times New Roman" w:hAnsi="Times New Roman"/>
          <w:lang w:val="hr-HR"/>
        </w:rPr>
        <w:t xml:space="preserve"> </w:t>
      </w:r>
      <w:r>
        <w:rPr>
          <w:rFonts w:ascii="Times New Roman" w:hAnsi="Times New Roman"/>
          <w:lang w:val="hr-HR"/>
        </w:rPr>
        <w:t>осталим</w:t>
      </w:r>
      <w:r w:rsidR="0042679D" w:rsidRPr="00982E91">
        <w:rPr>
          <w:rFonts w:ascii="Times New Roman" w:hAnsi="Times New Roman"/>
          <w:lang w:val="hr-HR"/>
        </w:rPr>
        <w:t xml:space="preserve"> </w:t>
      </w:r>
      <w:r>
        <w:rPr>
          <w:rFonts w:ascii="Times New Roman" w:hAnsi="Times New Roman"/>
          <w:lang w:val="hr-HR"/>
        </w:rPr>
        <w:t>државним</w:t>
      </w:r>
      <w:r w:rsidR="0042679D" w:rsidRPr="00982E91">
        <w:rPr>
          <w:rFonts w:ascii="Times New Roman" w:hAnsi="Times New Roman"/>
          <w:lang w:val="hr-HR"/>
        </w:rPr>
        <w:t xml:space="preserve"> </w:t>
      </w:r>
      <w:r>
        <w:rPr>
          <w:rFonts w:ascii="Times New Roman" w:hAnsi="Times New Roman"/>
          <w:lang w:val="hr-HR"/>
        </w:rPr>
        <w:t>службеницима</w:t>
      </w:r>
      <w:r w:rsidR="0042679D" w:rsidRPr="00982E91">
        <w:rPr>
          <w:rFonts w:ascii="Times New Roman" w:hAnsi="Times New Roman"/>
          <w:lang w:val="hr-HR"/>
        </w:rPr>
        <w:t xml:space="preserve"> </w:t>
      </w:r>
      <w:r>
        <w:rPr>
          <w:rFonts w:ascii="Times New Roman" w:hAnsi="Times New Roman"/>
          <w:lang w:val="hr-HR"/>
        </w:rPr>
        <w:t>и</w:t>
      </w:r>
      <w:r w:rsidR="0042679D" w:rsidRPr="00982E91">
        <w:rPr>
          <w:rFonts w:ascii="Times New Roman" w:hAnsi="Times New Roman"/>
          <w:lang w:val="hr-HR"/>
        </w:rPr>
        <w:t xml:space="preserve"> </w:t>
      </w:r>
      <w:r>
        <w:rPr>
          <w:rFonts w:ascii="Times New Roman" w:hAnsi="Times New Roman"/>
          <w:lang w:val="hr-HR"/>
        </w:rPr>
        <w:t>широј</w:t>
      </w:r>
      <w:r w:rsidR="0042679D" w:rsidRPr="00982E91">
        <w:rPr>
          <w:rFonts w:ascii="Times New Roman" w:hAnsi="Times New Roman"/>
          <w:lang w:val="hr-HR"/>
        </w:rPr>
        <w:t xml:space="preserve"> </w:t>
      </w:r>
      <w:r>
        <w:rPr>
          <w:rFonts w:ascii="Times New Roman" w:hAnsi="Times New Roman"/>
          <w:lang w:val="hr-HR"/>
        </w:rPr>
        <w:t>јавности</w:t>
      </w:r>
      <w:r w:rsidR="0042679D" w:rsidRPr="00982E91">
        <w:rPr>
          <w:rFonts w:ascii="Times New Roman" w:hAnsi="Times New Roman"/>
          <w:lang w:val="hr-HR"/>
        </w:rPr>
        <w:t xml:space="preserve">, </w:t>
      </w:r>
      <w:r>
        <w:rPr>
          <w:rFonts w:ascii="Times New Roman" w:hAnsi="Times New Roman"/>
          <w:lang w:val="hr-HR"/>
        </w:rPr>
        <w:t>преносе</w:t>
      </w:r>
      <w:r w:rsidR="0042679D" w:rsidRPr="00982E91">
        <w:rPr>
          <w:rFonts w:ascii="Times New Roman" w:hAnsi="Times New Roman"/>
          <w:lang w:val="hr-HR"/>
        </w:rPr>
        <w:t xml:space="preserve"> </w:t>
      </w:r>
      <w:r>
        <w:rPr>
          <w:rFonts w:ascii="Times New Roman" w:hAnsi="Times New Roman"/>
          <w:lang w:val="hr-HR"/>
        </w:rPr>
        <w:t>знања</w:t>
      </w:r>
      <w:r w:rsidR="0042679D" w:rsidRPr="00982E91">
        <w:rPr>
          <w:rFonts w:ascii="Times New Roman" w:hAnsi="Times New Roman"/>
          <w:lang w:val="hr-HR"/>
        </w:rPr>
        <w:t xml:space="preserve"> </w:t>
      </w:r>
      <w:r>
        <w:rPr>
          <w:rFonts w:ascii="Times New Roman" w:hAnsi="Times New Roman"/>
          <w:lang w:val="hr-HR"/>
        </w:rPr>
        <w:t>о</w:t>
      </w:r>
      <w:r w:rsidR="00FC2FF0">
        <w:rPr>
          <w:rFonts w:ascii="Times New Roman" w:hAnsi="Times New Roman"/>
          <w:lang w:val="hr-HR"/>
        </w:rPr>
        <w:t xml:space="preserve"> </w:t>
      </w:r>
      <w:r>
        <w:rPr>
          <w:rFonts w:ascii="Times New Roman" w:hAnsi="Times New Roman"/>
          <w:lang w:val="hr-HR"/>
        </w:rPr>
        <w:t>препознавању</w:t>
      </w:r>
      <w:r w:rsidR="00FC2FF0">
        <w:rPr>
          <w:rFonts w:ascii="Times New Roman" w:hAnsi="Times New Roman"/>
          <w:lang w:val="hr-HR"/>
        </w:rPr>
        <w:t xml:space="preserve"> </w:t>
      </w:r>
      <w:r>
        <w:rPr>
          <w:rFonts w:ascii="Times New Roman" w:hAnsi="Times New Roman"/>
          <w:lang w:val="hr-HR"/>
        </w:rPr>
        <w:t>родно</w:t>
      </w:r>
      <w:r w:rsidR="00FC2FF0">
        <w:rPr>
          <w:rFonts w:ascii="Times New Roman" w:hAnsi="Times New Roman"/>
          <w:lang w:val="hr-HR"/>
        </w:rPr>
        <w:t xml:space="preserve"> </w:t>
      </w:r>
      <w:r>
        <w:rPr>
          <w:rFonts w:ascii="Times New Roman" w:hAnsi="Times New Roman"/>
          <w:lang w:val="hr-HR"/>
        </w:rPr>
        <w:t>заснованог</w:t>
      </w:r>
      <w:r w:rsidR="00FC2FF0">
        <w:rPr>
          <w:rFonts w:ascii="Times New Roman" w:hAnsi="Times New Roman"/>
          <w:lang w:val="hr-HR"/>
        </w:rPr>
        <w:t xml:space="preserve"> </w:t>
      </w:r>
      <w:r>
        <w:rPr>
          <w:rFonts w:ascii="Times New Roman" w:hAnsi="Times New Roman"/>
          <w:lang w:val="hr-HR"/>
        </w:rPr>
        <w:t>узнемиравања</w:t>
      </w:r>
      <w:r w:rsidR="00FC2FF0">
        <w:rPr>
          <w:rFonts w:ascii="Times New Roman" w:hAnsi="Times New Roman"/>
          <w:lang w:val="hr-HR"/>
        </w:rPr>
        <w:t xml:space="preserve"> </w:t>
      </w:r>
      <w:r>
        <w:rPr>
          <w:rFonts w:ascii="Times New Roman" w:hAnsi="Times New Roman"/>
          <w:lang w:val="hr-HR"/>
        </w:rPr>
        <w:t>и</w:t>
      </w:r>
      <w:r w:rsidR="00FC2FF0">
        <w:rPr>
          <w:rFonts w:ascii="Times New Roman" w:hAnsi="Times New Roman"/>
          <w:lang w:val="hr-HR"/>
        </w:rPr>
        <w:t xml:space="preserve"> </w:t>
      </w:r>
      <w:r>
        <w:rPr>
          <w:rFonts w:ascii="Times New Roman" w:hAnsi="Times New Roman"/>
          <w:lang w:val="hr-HR"/>
        </w:rPr>
        <w:t>процедурама</w:t>
      </w:r>
      <w:r w:rsidR="00FC2FF0">
        <w:rPr>
          <w:rFonts w:ascii="Times New Roman" w:hAnsi="Times New Roman"/>
          <w:lang w:val="hr-HR"/>
        </w:rPr>
        <w:t xml:space="preserve"> </w:t>
      </w:r>
      <w:r>
        <w:rPr>
          <w:rFonts w:ascii="Times New Roman" w:hAnsi="Times New Roman"/>
          <w:lang w:val="hr-HR"/>
        </w:rPr>
        <w:t>превенције</w:t>
      </w:r>
      <w:r w:rsidR="00FC2FF0">
        <w:rPr>
          <w:rFonts w:ascii="Times New Roman" w:hAnsi="Times New Roman"/>
          <w:lang w:val="hr-HR"/>
        </w:rPr>
        <w:t>.</w:t>
      </w:r>
    </w:p>
    <w:p w:rsidR="0042679D" w:rsidRPr="009F309B" w:rsidRDefault="0042679D" w:rsidP="0086268D">
      <w:pPr>
        <w:pStyle w:val="ListParagraph"/>
        <w:rPr>
          <w:rFonts w:ascii="Times New Roman" w:hAnsi="Times New Roman"/>
          <w:lang w:val="bs-Latn-BA"/>
        </w:rPr>
      </w:pPr>
    </w:p>
    <w:p w:rsidR="00E514F6" w:rsidRPr="00B0585D"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Важећи</w:t>
      </w:r>
      <w:r w:rsidR="00E514F6" w:rsidRPr="00B0585D">
        <w:rPr>
          <w:rFonts w:ascii="Times New Roman" w:hAnsi="Times New Roman"/>
          <w:szCs w:val="24"/>
          <w:lang w:val="bs-Latn-BA"/>
        </w:rPr>
        <w:t xml:space="preserve"> </w:t>
      </w:r>
      <w:r>
        <w:rPr>
          <w:rFonts w:ascii="Times New Roman" w:hAnsi="Times New Roman"/>
          <w:szCs w:val="24"/>
          <w:lang w:val="bs-Latn-BA"/>
        </w:rPr>
        <w:t>прописи</w:t>
      </w:r>
      <w:r w:rsidR="00E514F6" w:rsidRPr="00B0585D">
        <w:rPr>
          <w:rFonts w:ascii="Times New Roman" w:hAnsi="Times New Roman"/>
          <w:szCs w:val="24"/>
          <w:lang w:val="bs-Latn-BA"/>
        </w:rPr>
        <w:t xml:space="preserve"> </w:t>
      </w:r>
      <w:r>
        <w:rPr>
          <w:rFonts w:ascii="Times New Roman" w:hAnsi="Times New Roman"/>
          <w:szCs w:val="24"/>
          <w:lang w:val="bs-Latn-BA"/>
        </w:rPr>
        <w:t>из</w:t>
      </w:r>
      <w:r w:rsidR="00E514F6" w:rsidRPr="00B0585D">
        <w:rPr>
          <w:rFonts w:ascii="Times New Roman" w:hAnsi="Times New Roman"/>
          <w:szCs w:val="24"/>
          <w:lang w:val="bs-Latn-BA"/>
        </w:rPr>
        <w:t xml:space="preserve"> </w:t>
      </w:r>
      <w:r>
        <w:rPr>
          <w:rFonts w:ascii="Times New Roman" w:hAnsi="Times New Roman"/>
          <w:szCs w:val="24"/>
          <w:lang w:val="bs-Latn-BA"/>
        </w:rPr>
        <w:t>области</w:t>
      </w:r>
      <w:r w:rsidR="00E514F6" w:rsidRPr="00B0585D">
        <w:rPr>
          <w:rFonts w:ascii="Times New Roman" w:hAnsi="Times New Roman"/>
          <w:szCs w:val="24"/>
          <w:lang w:val="bs-Latn-BA"/>
        </w:rPr>
        <w:t xml:space="preserve"> </w:t>
      </w:r>
      <w:r>
        <w:rPr>
          <w:rFonts w:ascii="Times New Roman" w:hAnsi="Times New Roman"/>
          <w:szCs w:val="24"/>
          <w:lang w:val="bs-Latn-BA"/>
        </w:rPr>
        <w:t>рада</w:t>
      </w:r>
      <w:r w:rsidR="00E514F6" w:rsidRPr="00B0585D">
        <w:rPr>
          <w:rFonts w:ascii="Times New Roman" w:hAnsi="Times New Roman"/>
          <w:szCs w:val="24"/>
          <w:lang w:val="bs-Latn-BA"/>
        </w:rPr>
        <w:t xml:space="preserve"> </w:t>
      </w:r>
      <w:r>
        <w:rPr>
          <w:rFonts w:ascii="Times New Roman" w:hAnsi="Times New Roman"/>
          <w:szCs w:val="24"/>
          <w:lang w:val="bs-Latn-BA"/>
        </w:rPr>
        <w:t>у</w:t>
      </w:r>
      <w:r w:rsidR="00E514F6">
        <w:rPr>
          <w:rFonts w:ascii="Times New Roman" w:hAnsi="Times New Roman"/>
          <w:szCs w:val="24"/>
          <w:lang w:val="bs-Latn-BA"/>
        </w:rPr>
        <w:t xml:space="preserve"> </w:t>
      </w:r>
      <w:r>
        <w:rPr>
          <w:rFonts w:ascii="Times New Roman" w:hAnsi="Times New Roman"/>
          <w:szCs w:val="24"/>
          <w:lang w:val="bs-Latn-BA"/>
        </w:rPr>
        <w:t>Босни</w:t>
      </w:r>
      <w:r w:rsidR="00E514F6">
        <w:rPr>
          <w:rFonts w:ascii="Times New Roman" w:hAnsi="Times New Roman"/>
          <w:szCs w:val="24"/>
          <w:lang w:val="bs-Latn-BA"/>
        </w:rPr>
        <w:t xml:space="preserve"> </w:t>
      </w:r>
      <w:r>
        <w:rPr>
          <w:rFonts w:ascii="Times New Roman" w:hAnsi="Times New Roman"/>
          <w:szCs w:val="24"/>
          <w:lang w:val="bs-Latn-BA"/>
        </w:rPr>
        <w:t>и</w:t>
      </w:r>
      <w:r w:rsidR="00E514F6">
        <w:rPr>
          <w:rFonts w:ascii="Times New Roman" w:hAnsi="Times New Roman"/>
          <w:szCs w:val="24"/>
          <w:lang w:val="bs-Latn-BA"/>
        </w:rPr>
        <w:t xml:space="preserve"> </w:t>
      </w:r>
      <w:r>
        <w:rPr>
          <w:rFonts w:ascii="Times New Roman" w:hAnsi="Times New Roman"/>
          <w:szCs w:val="24"/>
          <w:lang w:val="bs-Latn-BA"/>
        </w:rPr>
        <w:t>Херцеговини</w:t>
      </w:r>
      <w:r w:rsidR="00E514F6">
        <w:rPr>
          <w:rFonts w:ascii="Times New Roman" w:hAnsi="Times New Roman"/>
          <w:szCs w:val="24"/>
          <w:lang w:val="bs-Latn-BA"/>
        </w:rPr>
        <w:t xml:space="preserve"> </w:t>
      </w:r>
      <w:r>
        <w:rPr>
          <w:rFonts w:ascii="Times New Roman" w:hAnsi="Times New Roman"/>
          <w:szCs w:val="24"/>
          <w:lang w:val="bs-Latn-BA"/>
        </w:rPr>
        <w:t>пружају</w:t>
      </w:r>
      <w:r w:rsidR="00E514F6" w:rsidRPr="00B0585D">
        <w:rPr>
          <w:rFonts w:ascii="Times New Roman" w:hAnsi="Times New Roman"/>
          <w:szCs w:val="24"/>
          <w:lang w:val="bs-Latn-BA"/>
        </w:rPr>
        <w:t xml:space="preserve"> </w:t>
      </w:r>
      <w:r>
        <w:rPr>
          <w:rFonts w:ascii="Times New Roman" w:hAnsi="Times New Roman"/>
          <w:szCs w:val="24"/>
          <w:lang w:val="bs-Latn-BA"/>
        </w:rPr>
        <w:t>адекватну</w:t>
      </w:r>
      <w:r w:rsidR="00E514F6" w:rsidRPr="00B0585D">
        <w:rPr>
          <w:rFonts w:ascii="Times New Roman" w:hAnsi="Times New Roman"/>
          <w:szCs w:val="24"/>
          <w:lang w:val="bs-Latn-BA"/>
        </w:rPr>
        <w:t xml:space="preserve"> </w:t>
      </w:r>
      <w:r>
        <w:rPr>
          <w:rFonts w:ascii="Times New Roman" w:hAnsi="Times New Roman"/>
          <w:szCs w:val="24"/>
          <w:lang w:val="bs-Latn-BA"/>
        </w:rPr>
        <w:t>заштиту</w:t>
      </w:r>
      <w:r w:rsidR="00E514F6" w:rsidRPr="00B0585D">
        <w:rPr>
          <w:rFonts w:ascii="Times New Roman" w:hAnsi="Times New Roman"/>
          <w:szCs w:val="24"/>
          <w:lang w:val="bs-Latn-BA"/>
        </w:rPr>
        <w:t xml:space="preserve"> </w:t>
      </w:r>
      <w:r>
        <w:rPr>
          <w:rFonts w:ascii="Times New Roman" w:hAnsi="Times New Roman"/>
          <w:szCs w:val="24"/>
          <w:lang w:val="bs-Latn-BA"/>
        </w:rPr>
        <w:t>материнства</w:t>
      </w:r>
      <w:r w:rsidR="00E514F6" w:rsidRPr="00B0585D">
        <w:rPr>
          <w:rFonts w:ascii="Times New Roman" w:hAnsi="Times New Roman"/>
          <w:szCs w:val="24"/>
          <w:lang w:val="bs-Latn-BA"/>
        </w:rPr>
        <w:t xml:space="preserve"> </w:t>
      </w:r>
      <w:r>
        <w:rPr>
          <w:rFonts w:ascii="Times New Roman" w:hAnsi="Times New Roman"/>
          <w:szCs w:val="24"/>
          <w:lang w:val="bs-Latn-BA"/>
        </w:rPr>
        <w:t>и</w:t>
      </w:r>
      <w:r w:rsidR="00E514F6" w:rsidRPr="00B0585D">
        <w:rPr>
          <w:rFonts w:ascii="Times New Roman" w:hAnsi="Times New Roman"/>
          <w:szCs w:val="24"/>
          <w:lang w:val="bs-Latn-BA"/>
        </w:rPr>
        <w:t xml:space="preserve"> </w:t>
      </w:r>
      <w:r>
        <w:rPr>
          <w:rFonts w:ascii="Times New Roman" w:hAnsi="Times New Roman"/>
          <w:szCs w:val="24"/>
          <w:lang w:val="bs-Latn-BA"/>
        </w:rPr>
        <w:t>очинства</w:t>
      </w:r>
      <w:r w:rsidR="00E514F6" w:rsidRPr="00B0585D">
        <w:rPr>
          <w:rFonts w:ascii="Times New Roman" w:hAnsi="Times New Roman"/>
          <w:szCs w:val="24"/>
          <w:lang w:val="bs-Latn-BA"/>
        </w:rPr>
        <w:t xml:space="preserve"> </w:t>
      </w:r>
      <w:r>
        <w:rPr>
          <w:rFonts w:ascii="Times New Roman" w:hAnsi="Times New Roman"/>
          <w:szCs w:val="24"/>
          <w:lang w:val="bs-Latn-BA"/>
        </w:rPr>
        <w:t>одредбама</w:t>
      </w:r>
      <w:r w:rsidR="00E514F6" w:rsidRPr="00B0585D">
        <w:rPr>
          <w:rFonts w:ascii="Times New Roman" w:hAnsi="Times New Roman"/>
          <w:szCs w:val="24"/>
          <w:lang w:val="bs-Latn-BA"/>
        </w:rPr>
        <w:t xml:space="preserve"> </w:t>
      </w:r>
      <w:r>
        <w:rPr>
          <w:rFonts w:ascii="Times New Roman" w:hAnsi="Times New Roman"/>
          <w:szCs w:val="24"/>
          <w:lang w:val="bs-Latn-BA"/>
        </w:rPr>
        <w:t>о</w:t>
      </w:r>
      <w:r w:rsidR="00E514F6" w:rsidRPr="00B0585D">
        <w:rPr>
          <w:rFonts w:ascii="Times New Roman" w:hAnsi="Times New Roman"/>
          <w:szCs w:val="24"/>
          <w:lang w:val="bs-Latn-BA"/>
        </w:rPr>
        <w:t xml:space="preserve"> </w:t>
      </w:r>
      <w:r>
        <w:rPr>
          <w:rFonts w:ascii="Times New Roman" w:hAnsi="Times New Roman"/>
          <w:szCs w:val="24"/>
          <w:lang w:val="bs-Latn-BA"/>
        </w:rPr>
        <w:t>родитељском</w:t>
      </w:r>
      <w:r w:rsidR="00E514F6" w:rsidRPr="00B0585D">
        <w:rPr>
          <w:rFonts w:ascii="Times New Roman" w:hAnsi="Times New Roman"/>
          <w:szCs w:val="24"/>
          <w:lang w:val="bs-Latn-BA"/>
        </w:rPr>
        <w:t xml:space="preserve"> </w:t>
      </w:r>
      <w:r>
        <w:rPr>
          <w:rFonts w:ascii="Times New Roman" w:hAnsi="Times New Roman"/>
          <w:szCs w:val="24"/>
          <w:lang w:val="bs-Latn-BA"/>
        </w:rPr>
        <w:t>одсуству</w:t>
      </w:r>
      <w:r w:rsidR="00E514F6" w:rsidRPr="00B0585D">
        <w:rPr>
          <w:rFonts w:ascii="Times New Roman" w:hAnsi="Times New Roman"/>
          <w:szCs w:val="24"/>
          <w:lang w:val="bs-Latn-BA"/>
        </w:rPr>
        <w:t xml:space="preserve"> </w:t>
      </w:r>
      <w:r>
        <w:rPr>
          <w:rFonts w:ascii="Times New Roman" w:hAnsi="Times New Roman"/>
          <w:szCs w:val="24"/>
          <w:lang w:val="bs-Latn-BA"/>
        </w:rPr>
        <w:t>које</w:t>
      </w:r>
      <w:r w:rsidR="00E514F6">
        <w:rPr>
          <w:rFonts w:ascii="Times New Roman" w:hAnsi="Times New Roman"/>
          <w:szCs w:val="24"/>
          <w:lang w:val="bs-Latn-BA"/>
        </w:rPr>
        <w:t>,</w:t>
      </w:r>
      <w:r w:rsidR="00E514F6" w:rsidRPr="00B0585D">
        <w:rPr>
          <w:rFonts w:ascii="Times New Roman" w:hAnsi="Times New Roman"/>
          <w:szCs w:val="24"/>
          <w:lang w:val="bs-Latn-BA"/>
        </w:rPr>
        <w:t xml:space="preserve"> </w:t>
      </w:r>
      <w:r>
        <w:rPr>
          <w:rFonts w:ascii="Times New Roman" w:hAnsi="Times New Roman"/>
          <w:szCs w:val="24"/>
          <w:lang w:val="bs-Latn-BA"/>
        </w:rPr>
        <w:t>поред</w:t>
      </w:r>
      <w:r w:rsidR="00E514F6" w:rsidRPr="00B0585D">
        <w:rPr>
          <w:rFonts w:ascii="Times New Roman" w:hAnsi="Times New Roman"/>
          <w:szCs w:val="24"/>
          <w:lang w:val="bs-Latn-BA"/>
        </w:rPr>
        <w:t xml:space="preserve"> </w:t>
      </w:r>
      <w:r>
        <w:rPr>
          <w:rFonts w:ascii="Times New Roman" w:hAnsi="Times New Roman"/>
          <w:szCs w:val="24"/>
          <w:lang w:val="bs-Latn-BA"/>
        </w:rPr>
        <w:t>мајке</w:t>
      </w:r>
      <w:r w:rsidR="00E514F6">
        <w:rPr>
          <w:rFonts w:ascii="Times New Roman" w:hAnsi="Times New Roman"/>
          <w:szCs w:val="24"/>
          <w:lang w:val="bs-Latn-BA"/>
        </w:rPr>
        <w:t>,</w:t>
      </w:r>
      <w:r w:rsidR="00E514F6" w:rsidRPr="00B0585D">
        <w:rPr>
          <w:rFonts w:ascii="Times New Roman" w:hAnsi="Times New Roman"/>
          <w:szCs w:val="24"/>
          <w:lang w:val="bs-Latn-BA"/>
        </w:rPr>
        <w:t xml:space="preserve"> </w:t>
      </w:r>
      <w:r>
        <w:rPr>
          <w:rFonts w:ascii="Times New Roman" w:hAnsi="Times New Roman"/>
          <w:szCs w:val="24"/>
          <w:lang w:val="bs-Latn-BA"/>
        </w:rPr>
        <w:t>може</w:t>
      </w:r>
      <w:r w:rsidR="00E514F6" w:rsidRPr="00B0585D">
        <w:rPr>
          <w:rFonts w:ascii="Times New Roman" w:hAnsi="Times New Roman"/>
          <w:szCs w:val="24"/>
          <w:lang w:val="bs-Latn-BA"/>
        </w:rPr>
        <w:t xml:space="preserve"> </w:t>
      </w:r>
      <w:r>
        <w:rPr>
          <w:rFonts w:ascii="Times New Roman" w:hAnsi="Times New Roman"/>
          <w:szCs w:val="24"/>
          <w:lang w:val="bs-Latn-BA"/>
        </w:rPr>
        <w:t>користити</w:t>
      </w:r>
      <w:r w:rsidR="00E514F6" w:rsidRPr="00B0585D">
        <w:rPr>
          <w:rFonts w:ascii="Times New Roman" w:hAnsi="Times New Roman"/>
          <w:szCs w:val="24"/>
          <w:lang w:val="bs-Latn-BA"/>
        </w:rPr>
        <w:t xml:space="preserve"> </w:t>
      </w:r>
      <w:r>
        <w:rPr>
          <w:rFonts w:ascii="Times New Roman" w:hAnsi="Times New Roman"/>
          <w:szCs w:val="24"/>
          <w:lang w:val="bs-Latn-BA"/>
        </w:rPr>
        <w:t>и</w:t>
      </w:r>
      <w:r w:rsidR="00E514F6" w:rsidRPr="00B0585D">
        <w:rPr>
          <w:rFonts w:ascii="Times New Roman" w:hAnsi="Times New Roman"/>
          <w:szCs w:val="24"/>
          <w:lang w:val="bs-Latn-BA"/>
        </w:rPr>
        <w:t xml:space="preserve"> </w:t>
      </w:r>
      <w:r>
        <w:rPr>
          <w:rFonts w:ascii="Times New Roman" w:hAnsi="Times New Roman"/>
          <w:szCs w:val="24"/>
          <w:lang w:val="bs-Latn-BA"/>
        </w:rPr>
        <w:t>радник</w:t>
      </w:r>
      <w:r w:rsidR="00E514F6">
        <w:rPr>
          <w:rFonts w:ascii="Times New Roman" w:hAnsi="Times New Roman"/>
          <w:szCs w:val="24"/>
          <w:lang w:val="bs-Latn-BA"/>
        </w:rPr>
        <w:t xml:space="preserve"> </w:t>
      </w:r>
      <w:r w:rsidR="00E514F6" w:rsidRPr="00B0585D">
        <w:rPr>
          <w:rFonts w:ascii="Times New Roman" w:hAnsi="Times New Roman"/>
          <w:szCs w:val="24"/>
          <w:lang w:val="bs-Latn-BA"/>
        </w:rPr>
        <w:t>-</w:t>
      </w:r>
      <w:r w:rsidR="00E514F6">
        <w:rPr>
          <w:rFonts w:ascii="Times New Roman" w:hAnsi="Times New Roman"/>
          <w:szCs w:val="24"/>
          <w:lang w:val="bs-Latn-BA"/>
        </w:rPr>
        <w:t xml:space="preserve"> </w:t>
      </w:r>
      <w:r>
        <w:rPr>
          <w:rFonts w:ascii="Times New Roman" w:hAnsi="Times New Roman"/>
          <w:szCs w:val="24"/>
          <w:lang w:val="bs-Latn-BA"/>
        </w:rPr>
        <w:t>отац</w:t>
      </w:r>
      <w:r w:rsidR="00E514F6" w:rsidRPr="00B0585D">
        <w:rPr>
          <w:rFonts w:ascii="Times New Roman" w:hAnsi="Times New Roman"/>
          <w:szCs w:val="24"/>
          <w:lang w:val="bs-Latn-BA"/>
        </w:rPr>
        <w:t xml:space="preserve"> </w:t>
      </w:r>
      <w:r>
        <w:rPr>
          <w:rFonts w:ascii="Times New Roman" w:hAnsi="Times New Roman"/>
          <w:szCs w:val="24"/>
          <w:lang w:val="bs-Latn-BA"/>
        </w:rPr>
        <w:t>дјетета</w:t>
      </w:r>
      <w:r w:rsidR="00782E15">
        <w:rPr>
          <w:rFonts w:ascii="Times New Roman" w:hAnsi="Times New Roman"/>
          <w:szCs w:val="24"/>
          <w:lang w:val="bs-Latn-BA"/>
        </w:rPr>
        <w:t xml:space="preserve"> </w:t>
      </w:r>
      <w:r>
        <w:rPr>
          <w:rFonts w:ascii="Times New Roman" w:hAnsi="Times New Roman"/>
          <w:szCs w:val="24"/>
          <w:lang w:val="bs-Latn-BA"/>
        </w:rPr>
        <w:t>правом</w:t>
      </w:r>
      <w:r w:rsidR="00782E15">
        <w:rPr>
          <w:rFonts w:ascii="Times New Roman" w:hAnsi="Times New Roman"/>
          <w:szCs w:val="24"/>
          <w:lang w:val="bs-Latn-BA"/>
        </w:rPr>
        <w:t xml:space="preserve"> </w:t>
      </w:r>
      <w:r>
        <w:rPr>
          <w:rFonts w:ascii="Times New Roman" w:hAnsi="Times New Roman"/>
          <w:szCs w:val="24"/>
          <w:lang w:val="bs-Latn-BA"/>
        </w:rPr>
        <w:t>на</w:t>
      </w:r>
      <w:r w:rsidR="00782E15">
        <w:rPr>
          <w:rFonts w:ascii="Times New Roman" w:hAnsi="Times New Roman"/>
          <w:szCs w:val="24"/>
          <w:lang w:val="bs-Latn-BA"/>
        </w:rPr>
        <w:t xml:space="preserve"> </w:t>
      </w:r>
      <w:r>
        <w:rPr>
          <w:rFonts w:ascii="Times New Roman" w:hAnsi="Times New Roman"/>
          <w:szCs w:val="24"/>
          <w:lang w:val="bs-Latn-BA"/>
        </w:rPr>
        <w:t>рад</w:t>
      </w:r>
      <w:r w:rsidR="00782E15">
        <w:rPr>
          <w:rFonts w:ascii="Times New Roman" w:hAnsi="Times New Roman"/>
          <w:szCs w:val="24"/>
          <w:lang w:val="bs-Latn-BA"/>
        </w:rPr>
        <w:t xml:space="preserve"> </w:t>
      </w:r>
      <w:r>
        <w:rPr>
          <w:rFonts w:ascii="Times New Roman" w:hAnsi="Times New Roman"/>
          <w:szCs w:val="24"/>
          <w:lang w:val="bs-Latn-BA"/>
        </w:rPr>
        <w:t>са</w:t>
      </w:r>
      <w:r w:rsidR="00E514F6" w:rsidRPr="00B0585D">
        <w:rPr>
          <w:rFonts w:ascii="Times New Roman" w:hAnsi="Times New Roman"/>
          <w:szCs w:val="24"/>
          <w:lang w:val="bs-Latn-BA"/>
        </w:rPr>
        <w:t xml:space="preserve"> </w:t>
      </w:r>
      <w:r>
        <w:rPr>
          <w:rFonts w:ascii="Times New Roman" w:hAnsi="Times New Roman"/>
          <w:szCs w:val="24"/>
          <w:lang w:val="bs-Latn-BA"/>
        </w:rPr>
        <w:t>половином</w:t>
      </w:r>
      <w:r w:rsidR="00E514F6" w:rsidRPr="00B0585D">
        <w:rPr>
          <w:rFonts w:ascii="Times New Roman" w:hAnsi="Times New Roman"/>
          <w:szCs w:val="24"/>
          <w:lang w:val="bs-Latn-BA"/>
        </w:rPr>
        <w:t xml:space="preserve"> </w:t>
      </w:r>
      <w:r>
        <w:rPr>
          <w:rFonts w:ascii="Times New Roman" w:hAnsi="Times New Roman"/>
          <w:szCs w:val="24"/>
          <w:lang w:val="bs-Latn-BA"/>
        </w:rPr>
        <w:t>пуног</w:t>
      </w:r>
      <w:r w:rsidR="00E514F6" w:rsidRPr="00B0585D">
        <w:rPr>
          <w:rFonts w:ascii="Times New Roman" w:hAnsi="Times New Roman"/>
          <w:szCs w:val="24"/>
          <w:lang w:val="bs-Latn-BA"/>
        </w:rPr>
        <w:t xml:space="preserve"> </w:t>
      </w:r>
      <w:r>
        <w:rPr>
          <w:rFonts w:ascii="Times New Roman" w:hAnsi="Times New Roman"/>
          <w:szCs w:val="24"/>
          <w:lang w:val="bs-Latn-BA"/>
        </w:rPr>
        <w:t>радног</w:t>
      </w:r>
      <w:r w:rsidR="00E514F6" w:rsidRPr="00B0585D">
        <w:rPr>
          <w:rFonts w:ascii="Times New Roman" w:hAnsi="Times New Roman"/>
          <w:szCs w:val="24"/>
          <w:lang w:val="bs-Latn-BA"/>
        </w:rPr>
        <w:t xml:space="preserve"> </w:t>
      </w:r>
      <w:r>
        <w:rPr>
          <w:rFonts w:ascii="Times New Roman" w:hAnsi="Times New Roman"/>
          <w:szCs w:val="24"/>
          <w:lang w:val="bs-Latn-BA"/>
        </w:rPr>
        <w:t>времена</w:t>
      </w:r>
      <w:r w:rsidR="00E514F6" w:rsidRPr="00B0585D">
        <w:rPr>
          <w:rFonts w:ascii="Times New Roman" w:hAnsi="Times New Roman"/>
          <w:szCs w:val="24"/>
          <w:lang w:val="bs-Latn-BA"/>
        </w:rPr>
        <w:t xml:space="preserve"> </w:t>
      </w:r>
      <w:r>
        <w:rPr>
          <w:rFonts w:ascii="Times New Roman" w:hAnsi="Times New Roman"/>
          <w:szCs w:val="24"/>
          <w:lang w:val="bs-Latn-BA"/>
        </w:rPr>
        <w:t>након</w:t>
      </w:r>
      <w:r w:rsidR="00E514F6" w:rsidRPr="00B0585D">
        <w:rPr>
          <w:rFonts w:ascii="Times New Roman" w:hAnsi="Times New Roman"/>
          <w:szCs w:val="24"/>
          <w:lang w:val="bs-Latn-BA"/>
        </w:rPr>
        <w:t xml:space="preserve"> </w:t>
      </w:r>
      <w:r>
        <w:rPr>
          <w:rFonts w:ascii="Times New Roman" w:hAnsi="Times New Roman"/>
          <w:szCs w:val="24"/>
          <w:lang w:val="bs-Latn-BA"/>
        </w:rPr>
        <w:t>истека</w:t>
      </w:r>
      <w:r w:rsidR="00E514F6" w:rsidRPr="00B0585D">
        <w:rPr>
          <w:rFonts w:ascii="Times New Roman" w:hAnsi="Times New Roman"/>
          <w:szCs w:val="24"/>
          <w:lang w:val="bs-Latn-BA"/>
        </w:rPr>
        <w:t xml:space="preserve"> </w:t>
      </w:r>
      <w:r>
        <w:rPr>
          <w:rFonts w:ascii="Times New Roman" w:hAnsi="Times New Roman"/>
          <w:szCs w:val="24"/>
          <w:lang w:val="bs-Latn-BA"/>
        </w:rPr>
        <w:t>порођајног</w:t>
      </w:r>
      <w:r w:rsidR="00E514F6" w:rsidRPr="00B0585D">
        <w:rPr>
          <w:rFonts w:ascii="Times New Roman" w:hAnsi="Times New Roman"/>
          <w:szCs w:val="24"/>
          <w:lang w:val="bs-Latn-BA"/>
        </w:rPr>
        <w:t xml:space="preserve"> </w:t>
      </w:r>
      <w:r>
        <w:rPr>
          <w:rFonts w:ascii="Times New Roman" w:hAnsi="Times New Roman"/>
          <w:szCs w:val="24"/>
          <w:lang w:val="bs-Latn-BA"/>
        </w:rPr>
        <w:t>одсуства</w:t>
      </w:r>
      <w:r w:rsidR="00E514F6" w:rsidRPr="00B0585D">
        <w:rPr>
          <w:rFonts w:ascii="Times New Roman" w:hAnsi="Times New Roman"/>
          <w:szCs w:val="24"/>
          <w:lang w:val="bs-Latn-BA"/>
        </w:rPr>
        <w:t xml:space="preserve"> </w:t>
      </w:r>
      <w:r>
        <w:rPr>
          <w:rFonts w:ascii="Times New Roman" w:hAnsi="Times New Roman"/>
          <w:szCs w:val="24"/>
          <w:lang w:val="bs-Latn-BA"/>
        </w:rPr>
        <w:t>и</w:t>
      </w:r>
      <w:r w:rsidR="00E514F6" w:rsidRPr="00B0585D">
        <w:rPr>
          <w:rFonts w:ascii="Times New Roman" w:hAnsi="Times New Roman"/>
          <w:szCs w:val="24"/>
          <w:lang w:val="bs-Latn-BA"/>
        </w:rPr>
        <w:t xml:space="preserve"> </w:t>
      </w:r>
      <w:r>
        <w:rPr>
          <w:rFonts w:ascii="Times New Roman" w:hAnsi="Times New Roman"/>
          <w:szCs w:val="24"/>
          <w:lang w:val="bs-Latn-BA"/>
        </w:rPr>
        <w:t>до</w:t>
      </w:r>
      <w:r w:rsidR="00E514F6" w:rsidRPr="00B0585D">
        <w:rPr>
          <w:rFonts w:ascii="Times New Roman" w:hAnsi="Times New Roman"/>
          <w:szCs w:val="24"/>
          <w:lang w:val="bs-Latn-BA"/>
        </w:rPr>
        <w:t xml:space="preserve"> </w:t>
      </w:r>
      <w:r>
        <w:rPr>
          <w:rFonts w:ascii="Times New Roman" w:hAnsi="Times New Roman"/>
          <w:szCs w:val="24"/>
          <w:lang w:val="bs-Latn-BA"/>
        </w:rPr>
        <w:t>три</w:t>
      </w:r>
      <w:r w:rsidR="00E514F6" w:rsidRPr="00B0585D">
        <w:rPr>
          <w:rFonts w:ascii="Times New Roman" w:hAnsi="Times New Roman"/>
          <w:szCs w:val="24"/>
          <w:lang w:val="bs-Latn-BA"/>
        </w:rPr>
        <w:t xml:space="preserve"> </w:t>
      </w:r>
      <w:r>
        <w:rPr>
          <w:rFonts w:ascii="Times New Roman" w:hAnsi="Times New Roman"/>
          <w:szCs w:val="24"/>
          <w:lang w:val="bs-Latn-BA"/>
        </w:rPr>
        <w:t>године</w:t>
      </w:r>
      <w:r w:rsidR="00E514F6" w:rsidRPr="00B0585D">
        <w:rPr>
          <w:rFonts w:ascii="Times New Roman" w:hAnsi="Times New Roman"/>
          <w:szCs w:val="24"/>
          <w:lang w:val="bs-Latn-BA"/>
        </w:rPr>
        <w:t xml:space="preserve"> </w:t>
      </w:r>
      <w:r>
        <w:rPr>
          <w:rFonts w:ascii="Times New Roman" w:hAnsi="Times New Roman"/>
          <w:szCs w:val="24"/>
          <w:lang w:val="bs-Latn-BA"/>
        </w:rPr>
        <w:t>живота</w:t>
      </w:r>
      <w:r w:rsidR="00E514F6" w:rsidRPr="00B0585D">
        <w:rPr>
          <w:rFonts w:ascii="Times New Roman" w:hAnsi="Times New Roman"/>
          <w:szCs w:val="24"/>
          <w:lang w:val="bs-Latn-BA"/>
        </w:rPr>
        <w:t xml:space="preserve"> </w:t>
      </w:r>
      <w:r>
        <w:rPr>
          <w:rFonts w:ascii="Times New Roman" w:hAnsi="Times New Roman"/>
          <w:szCs w:val="24"/>
          <w:lang w:val="bs-Latn-BA"/>
        </w:rPr>
        <w:t>дјетета</w:t>
      </w:r>
      <w:r w:rsidR="00E514F6" w:rsidRPr="00B0585D">
        <w:rPr>
          <w:rFonts w:ascii="Times New Roman" w:hAnsi="Times New Roman"/>
          <w:szCs w:val="24"/>
          <w:lang w:val="bs-Latn-BA"/>
        </w:rPr>
        <w:t xml:space="preserve">, </w:t>
      </w:r>
      <w:r>
        <w:rPr>
          <w:rFonts w:ascii="Times New Roman" w:hAnsi="Times New Roman"/>
          <w:szCs w:val="24"/>
          <w:lang w:val="bs-Latn-BA"/>
        </w:rPr>
        <w:t>које</w:t>
      </w:r>
      <w:r w:rsidR="00E514F6" w:rsidRPr="00B0585D">
        <w:rPr>
          <w:rFonts w:ascii="Times New Roman" w:hAnsi="Times New Roman"/>
          <w:szCs w:val="24"/>
          <w:lang w:val="bs-Latn-BA"/>
        </w:rPr>
        <w:t xml:space="preserve"> </w:t>
      </w:r>
      <w:r>
        <w:rPr>
          <w:rFonts w:ascii="Times New Roman" w:hAnsi="Times New Roman"/>
          <w:szCs w:val="24"/>
          <w:lang w:val="bs-Latn-BA"/>
        </w:rPr>
        <w:t>може</w:t>
      </w:r>
      <w:r w:rsidR="00E514F6" w:rsidRPr="00B0585D">
        <w:rPr>
          <w:rFonts w:ascii="Times New Roman" w:hAnsi="Times New Roman"/>
          <w:szCs w:val="24"/>
          <w:lang w:val="bs-Latn-BA"/>
        </w:rPr>
        <w:t xml:space="preserve"> </w:t>
      </w:r>
      <w:r>
        <w:rPr>
          <w:rFonts w:ascii="Times New Roman" w:hAnsi="Times New Roman"/>
          <w:szCs w:val="24"/>
          <w:lang w:val="bs-Latn-BA"/>
        </w:rPr>
        <w:t>користити</w:t>
      </w:r>
      <w:r w:rsidR="00E514F6" w:rsidRPr="00B0585D">
        <w:rPr>
          <w:rFonts w:ascii="Times New Roman" w:hAnsi="Times New Roman"/>
          <w:szCs w:val="24"/>
          <w:lang w:val="bs-Latn-BA"/>
        </w:rPr>
        <w:t xml:space="preserve"> </w:t>
      </w:r>
      <w:r>
        <w:rPr>
          <w:rFonts w:ascii="Times New Roman" w:hAnsi="Times New Roman"/>
          <w:szCs w:val="24"/>
          <w:lang w:val="bs-Latn-BA"/>
        </w:rPr>
        <w:t>један</w:t>
      </w:r>
      <w:r w:rsidR="00E514F6" w:rsidRPr="00B0585D">
        <w:rPr>
          <w:rFonts w:ascii="Times New Roman" w:hAnsi="Times New Roman"/>
          <w:szCs w:val="24"/>
          <w:lang w:val="bs-Latn-BA"/>
        </w:rPr>
        <w:t xml:space="preserve"> </w:t>
      </w:r>
      <w:r>
        <w:rPr>
          <w:rFonts w:ascii="Times New Roman" w:hAnsi="Times New Roman"/>
          <w:szCs w:val="24"/>
          <w:lang w:val="bs-Latn-BA"/>
        </w:rPr>
        <w:t>од</w:t>
      </w:r>
      <w:r w:rsidR="00E514F6" w:rsidRPr="00B0585D">
        <w:rPr>
          <w:rFonts w:ascii="Times New Roman" w:hAnsi="Times New Roman"/>
          <w:szCs w:val="24"/>
          <w:lang w:val="bs-Latn-BA"/>
        </w:rPr>
        <w:t xml:space="preserve"> </w:t>
      </w:r>
      <w:r>
        <w:rPr>
          <w:rFonts w:ascii="Times New Roman" w:hAnsi="Times New Roman"/>
          <w:szCs w:val="24"/>
          <w:lang w:val="bs-Latn-BA"/>
        </w:rPr>
        <w:t>родитеља</w:t>
      </w:r>
      <w:r w:rsidR="00E514F6" w:rsidRPr="00B0585D">
        <w:rPr>
          <w:rFonts w:ascii="Times New Roman" w:hAnsi="Times New Roman"/>
          <w:szCs w:val="24"/>
          <w:lang w:val="bs-Latn-BA"/>
        </w:rPr>
        <w:t xml:space="preserve">. </w:t>
      </w:r>
      <w:r>
        <w:rPr>
          <w:rFonts w:ascii="Times New Roman" w:hAnsi="Times New Roman"/>
          <w:szCs w:val="24"/>
          <w:lang w:val="bs-Latn-BA"/>
        </w:rPr>
        <w:t>Биљежи</w:t>
      </w:r>
      <w:r w:rsidR="00E514F6" w:rsidRPr="00B0585D">
        <w:rPr>
          <w:rFonts w:ascii="Times New Roman" w:hAnsi="Times New Roman"/>
          <w:szCs w:val="24"/>
          <w:lang w:val="bs-Latn-BA"/>
        </w:rPr>
        <w:t xml:space="preserve"> </w:t>
      </w:r>
      <w:r>
        <w:rPr>
          <w:rFonts w:ascii="Times New Roman" w:hAnsi="Times New Roman"/>
          <w:szCs w:val="24"/>
          <w:lang w:val="bs-Latn-BA"/>
        </w:rPr>
        <w:t>се</w:t>
      </w:r>
      <w:r w:rsidR="00E514F6" w:rsidRPr="00B0585D">
        <w:rPr>
          <w:rFonts w:ascii="Times New Roman" w:hAnsi="Times New Roman"/>
          <w:szCs w:val="24"/>
          <w:lang w:val="bs-Latn-BA"/>
        </w:rPr>
        <w:t xml:space="preserve"> </w:t>
      </w:r>
      <w:r>
        <w:rPr>
          <w:rFonts w:ascii="Times New Roman" w:hAnsi="Times New Roman"/>
          <w:szCs w:val="24"/>
          <w:lang w:val="bs-Latn-BA"/>
        </w:rPr>
        <w:t>тренд</w:t>
      </w:r>
      <w:r w:rsidR="00E514F6" w:rsidRPr="00B0585D">
        <w:rPr>
          <w:rFonts w:ascii="Times New Roman" w:hAnsi="Times New Roman"/>
          <w:szCs w:val="24"/>
          <w:lang w:val="bs-Latn-BA"/>
        </w:rPr>
        <w:t xml:space="preserve"> </w:t>
      </w:r>
      <w:r>
        <w:rPr>
          <w:rFonts w:ascii="Times New Roman" w:hAnsi="Times New Roman"/>
          <w:szCs w:val="24"/>
          <w:lang w:val="bs-Latn-BA"/>
        </w:rPr>
        <w:t>повећања</w:t>
      </w:r>
      <w:r w:rsidR="00E514F6" w:rsidRPr="00B0585D">
        <w:rPr>
          <w:rFonts w:ascii="Times New Roman" w:hAnsi="Times New Roman"/>
          <w:szCs w:val="24"/>
          <w:lang w:val="bs-Latn-BA"/>
        </w:rPr>
        <w:t xml:space="preserve"> </w:t>
      </w:r>
      <w:r>
        <w:rPr>
          <w:rFonts w:ascii="Times New Roman" w:hAnsi="Times New Roman"/>
          <w:szCs w:val="24"/>
          <w:lang w:val="bs-Latn-BA"/>
        </w:rPr>
        <w:t>случајева</w:t>
      </w:r>
      <w:r w:rsidR="00E514F6" w:rsidRPr="00B0585D">
        <w:rPr>
          <w:rFonts w:ascii="Times New Roman" w:hAnsi="Times New Roman"/>
          <w:szCs w:val="24"/>
          <w:lang w:val="bs-Latn-BA"/>
        </w:rPr>
        <w:t xml:space="preserve"> </w:t>
      </w:r>
      <w:r>
        <w:rPr>
          <w:rFonts w:ascii="Times New Roman" w:hAnsi="Times New Roman"/>
          <w:szCs w:val="24"/>
          <w:lang w:val="bs-Latn-BA"/>
        </w:rPr>
        <w:t>кориш</w:t>
      </w:r>
      <w:r w:rsidR="00C93FA9">
        <w:rPr>
          <w:rFonts w:ascii="Times New Roman" w:hAnsi="Times New Roman"/>
          <w:szCs w:val="24"/>
          <w:lang w:val="sr-Cyrl-BA"/>
        </w:rPr>
        <w:t>ћ</w:t>
      </w:r>
      <w:r>
        <w:rPr>
          <w:rFonts w:ascii="Times New Roman" w:hAnsi="Times New Roman"/>
          <w:szCs w:val="24"/>
          <w:lang w:val="bs-Latn-BA"/>
        </w:rPr>
        <w:t>ења</w:t>
      </w:r>
      <w:r w:rsidR="00E514F6" w:rsidRPr="00B0585D">
        <w:rPr>
          <w:rFonts w:ascii="Times New Roman" w:hAnsi="Times New Roman"/>
          <w:szCs w:val="24"/>
          <w:lang w:val="bs-Latn-BA"/>
        </w:rPr>
        <w:t xml:space="preserve"> </w:t>
      </w:r>
      <w:r>
        <w:rPr>
          <w:rFonts w:ascii="Times New Roman" w:hAnsi="Times New Roman"/>
          <w:szCs w:val="24"/>
          <w:lang w:val="bs-Latn-BA"/>
        </w:rPr>
        <w:t>родитељског</w:t>
      </w:r>
      <w:r w:rsidR="00E514F6" w:rsidRPr="00B0585D">
        <w:rPr>
          <w:rFonts w:ascii="Times New Roman" w:hAnsi="Times New Roman"/>
          <w:szCs w:val="24"/>
          <w:lang w:val="bs-Latn-BA"/>
        </w:rPr>
        <w:t xml:space="preserve"> </w:t>
      </w:r>
      <w:r>
        <w:rPr>
          <w:rFonts w:ascii="Times New Roman" w:hAnsi="Times New Roman"/>
          <w:szCs w:val="24"/>
          <w:lang w:val="bs-Latn-BA"/>
        </w:rPr>
        <w:t>одсуства</w:t>
      </w:r>
      <w:r w:rsidR="00E514F6" w:rsidRPr="00B0585D">
        <w:rPr>
          <w:rFonts w:ascii="Times New Roman" w:hAnsi="Times New Roman"/>
          <w:szCs w:val="24"/>
          <w:lang w:val="bs-Latn-BA"/>
        </w:rPr>
        <w:t xml:space="preserve"> </w:t>
      </w:r>
      <w:r>
        <w:rPr>
          <w:rFonts w:ascii="Times New Roman" w:hAnsi="Times New Roman"/>
          <w:szCs w:val="24"/>
          <w:lang w:val="bs-Latn-BA"/>
        </w:rPr>
        <w:t>од</w:t>
      </w:r>
      <w:r w:rsidR="00E514F6" w:rsidRPr="00B0585D">
        <w:rPr>
          <w:rFonts w:ascii="Times New Roman" w:hAnsi="Times New Roman"/>
          <w:szCs w:val="24"/>
          <w:lang w:val="bs-Latn-BA"/>
        </w:rPr>
        <w:t xml:space="preserve"> </w:t>
      </w:r>
      <w:r>
        <w:rPr>
          <w:rFonts w:ascii="Times New Roman" w:hAnsi="Times New Roman"/>
          <w:szCs w:val="24"/>
          <w:lang w:val="bs-Latn-BA"/>
        </w:rPr>
        <w:t>стране</w:t>
      </w:r>
      <w:r w:rsidR="00E514F6" w:rsidRPr="00B0585D">
        <w:rPr>
          <w:rFonts w:ascii="Times New Roman" w:hAnsi="Times New Roman"/>
          <w:szCs w:val="24"/>
          <w:lang w:val="bs-Latn-BA"/>
        </w:rPr>
        <w:t xml:space="preserve"> </w:t>
      </w:r>
      <w:r>
        <w:rPr>
          <w:rFonts w:ascii="Times New Roman" w:hAnsi="Times New Roman"/>
          <w:szCs w:val="24"/>
          <w:lang w:val="bs-Latn-BA"/>
        </w:rPr>
        <w:t>очева</w:t>
      </w:r>
      <w:r w:rsidR="00E514F6" w:rsidRPr="00B0585D">
        <w:rPr>
          <w:rFonts w:ascii="Times New Roman" w:hAnsi="Times New Roman"/>
          <w:szCs w:val="24"/>
          <w:lang w:val="bs-Latn-BA"/>
        </w:rPr>
        <w:t xml:space="preserve">, </w:t>
      </w:r>
      <w:r>
        <w:rPr>
          <w:rFonts w:ascii="Times New Roman" w:hAnsi="Times New Roman"/>
          <w:szCs w:val="24"/>
          <w:lang w:val="bs-Latn-BA"/>
        </w:rPr>
        <w:t>иако</w:t>
      </w:r>
      <w:r w:rsidR="00E514F6" w:rsidRPr="00B0585D">
        <w:rPr>
          <w:rFonts w:ascii="Times New Roman" w:hAnsi="Times New Roman"/>
          <w:szCs w:val="24"/>
          <w:lang w:val="bs-Latn-BA"/>
        </w:rPr>
        <w:t xml:space="preserve"> </w:t>
      </w:r>
      <w:r>
        <w:rPr>
          <w:rFonts w:ascii="Times New Roman" w:hAnsi="Times New Roman"/>
          <w:szCs w:val="24"/>
          <w:lang w:val="bs-Latn-BA"/>
        </w:rPr>
        <w:t>је</w:t>
      </w:r>
      <w:r w:rsidR="00E514F6" w:rsidRPr="00B0585D">
        <w:rPr>
          <w:rFonts w:ascii="Times New Roman" w:hAnsi="Times New Roman"/>
          <w:szCs w:val="24"/>
          <w:lang w:val="bs-Latn-BA"/>
        </w:rPr>
        <w:t xml:space="preserve"> </w:t>
      </w:r>
      <w:r>
        <w:rPr>
          <w:rFonts w:ascii="Times New Roman" w:hAnsi="Times New Roman"/>
          <w:szCs w:val="24"/>
          <w:lang w:val="bs-Latn-BA"/>
        </w:rPr>
        <w:t>број</w:t>
      </w:r>
      <w:r w:rsidR="00E514F6" w:rsidRPr="00B0585D">
        <w:rPr>
          <w:rFonts w:ascii="Times New Roman" w:hAnsi="Times New Roman"/>
          <w:szCs w:val="24"/>
          <w:lang w:val="bs-Latn-BA"/>
        </w:rPr>
        <w:t xml:space="preserve"> </w:t>
      </w:r>
      <w:r>
        <w:rPr>
          <w:rFonts w:ascii="Times New Roman" w:hAnsi="Times New Roman"/>
          <w:szCs w:val="24"/>
          <w:lang w:val="bs-Latn-BA"/>
        </w:rPr>
        <w:t>још</w:t>
      </w:r>
      <w:r w:rsidR="00E514F6" w:rsidRPr="00B0585D">
        <w:rPr>
          <w:rFonts w:ascii="Times New Roman" w:hAnsi="Times New Roman"/>
          <w:szCs w:val="24"/>
          <w:lang w:val="bs-Latn-BA"/>
        </w:rPr>
        <w:t xml:space="preserve"> </w:t>
      </w:r>
      <w:r>
        <w:rPr>
          <w:rFonts w:ascii="Times New Roman" w:hAnsi="Times New Roman"/>
          <w:szCs w:val="24"/>
          <w:lang w:val="bs-Latn-BA"/>
        </w:rPr>
        <w:t>увијек</w:t>
      </w:r>
      <w:r w:rsidR="00E514F6" w:rsidRPr="00B0585D">
        <w:rPr>
          <w:rFonts w:ascii="Times New Roman" w:hAnsi="Times New Roman"/>
          <w:szCs w:val="24"/>
          <w:lang w:val="bs-Latn-BA"/>
        </w:rPr>
        <w:t xml:space="preserve"> </w:t>
      </w:r>
      <w:r>
        <w:rPr>
          <w:rFonts w:ascii="Times New Roman" w:hAnsi="Times New Roman"/>
          <w:szCs w:val="24"/>
          <w:lang w:val="bs-Latn-BA"/>
        </w:rPr>
        <w:t>незадовољавајући</w:t>
      </w:r>
      <w:r w:rsidR="00E514F6" w:rsidRPr="00B0585D">
        <w:rPr>
          <w:rFonts w:ascii="Times New Roman" w:hAnsi="Times New Roman"/>
          <w:szCs w:val="24"/>
          <w:lang w:val="bs-Latn-BA"/>
        </w:rPr>
        <w:t xml:space="preserve">. </w:t>
      </w:r>
    </w:p>
    <w:p w:rsidR="00E514F6" w:rsidRDefault="00E514F6" w:rsidP="0086268D">
      <w:pPr>
        <w:pStyle w:val="ListParagraph"/>
        <w:ind w:left="720"/>
        <w:jc w:val="both"/>
        <w:rPr>
          <w:rFonts w:ascii="Times New Roman" w:hAnsi="Times New Roman"/>
          <w:lang w:val="bs-Latn-BA"/>
        </w:rPr>
      </w:pPr>
    </w:p>
    <w:p w:rsidR="00E514F6" w:rsidRDefault="00C6214E" w:rsidP="0086268D">
      <w:pPr>
        <w:pStyle w:val="ListParagraph"/>
        <w:numPr>
          <w:ilvl w:val="0"/>
          <w:numId w:val="17"/>
        </w:numPr>
        <w:jc w:val="both"/>
        <w:rPr>
          <w:rFonts w:ascii="Times New Roman" w:hAnsi="Times New Roman"/>
          <w:lang w:val="bs-Latn-BA"/>
        </w:rPr>
      </w:pPr>
      <w:r>
        <w:rPr>
          <w:rFonts w:ascii="Times New Roman" w:hAnsi="Times New Roman"/>
          <w:lang w:val="bs-Latn-BA"/>
        </w:rPr>
        <w:t>Увидом</w:t>
      </w:r>
      <w:r w:rsidR="00E514F6" w:rsidRPr="001530E0">
        <w:rPr>
          <w:rFonts w:ascii="Times New Roman" w:hAnsi="Times New Roman"/>
          <w:lang w:val="bs-Latn-BA"/>
        </w:rPr>
        <w:t xml:space="preserve"> </w:t>
      </w:r>
      <w:r>
        <w:rPr>
          <w:rFonts w:ascii="Times New Roman" w:hAnsi="Times New Roman"/>
          <w:lang w:val="bs-Latn-BA"/>
        </w:rPr>
        <w:t>у</w:t>
      </w:r>
      <w:r w:rsidR="00E514F6" w:rsidRPr="001530E0">
        <w:rPr>
          <w:rFonts w:ascii="Times New Roman" w:hAnsi="Times New Roman"/>
          <w:lang w:val="bs-Latn-BA"/>
        </w:rPr>
        <w:t xml:space="preserve"> </w:t>
      </w:r>
      <w:r>
        <w:rPr>
          <w:rFonts w:ascii="Times New Roman" w:hAnsi="Times New Roman"/>
          <w:lang w:val="bs-Latn-BA"/>
        </w:rPr>
        <w:t>Централиз</w:t>
      </w:r>
      <w:r w:rsidR="00C93FA9">
        <w:rPr>
          <w:rFonts w:ascii="Times New Roman" w:hAnsi="Times New Roman"/>
          <w:lang w:val="sr-Cyrl-BA"/>
        </w:rPr>
        <w:t>овани</w:t>
      </w:r>
      <w:r w:rsidR="00E514F6" w:rsidRPr="001530E0">
        <w:rPr>
          <w:rFonts w:ascii="Times New Roman" w:hAnsi="Times New Roman"/>
          <w:lang w:val="bs-Latn-BA"/>
        </w:rPr>
        <w:t xml:space="preserve"> </w:t>
      </w:r>
      <w:r>
        <w:rPr>
          <w:rFonts w:ascii="Times New Roman" w:hAnsi="Times New Roman"/>
          <w:lang w:val="bs-Latn-BA"/>
        </w:rPr>
        <w:t>обрачун</w:t>
      </w:r>
      <w:r w:rsidR="00E514F6" w:rsidRPr="001530E0">
        <w:rPr>
          <w:rFonts w:ascii="Times New Roman" w:hAnsi="Times New Roman"/>
          <w:lang w:val="bs-Latn-BA"/>
        </w:rPr>
        <w:t xml:space="preserve"> </w:t>
      </w:r>
      <w:r>
        <w:rPr>
          <w:rFonts w:ascii="Times New Roman" w:hAnsi="Times New Roman"/>
          <w:lang w:val="bs-Latn-BA"/>
        </w:rPr>
        <w:t>и</w:t>
      </w:r>
      <w:r w:rsidR="00E514F6" w:rsidRPr="001530E0">
        <w:rPr>
          <w:rFonts w:ascii="Times New Roman" w:hAnsi="Times New Roman"/>
          <w:lang w:val="bs-Latn-BA"/>
        </w:rPr>
        <w:t xml:space="preserve"> </w:t>
      </w:r>
      <w:r>
        <w:rPr>
          <w:rFonts w:ascii="Times New Roman" w:hAnsi="Times New Roman"/>
          <w:lang w:val="bs-Latn-BA"/>
        </w:rPr>
        <w:t>исплату</w:t>
      </w:r>
      <w:r w:rsidR="00E514F6" w:rsidRPr="001530E0">
        <w:rPr>
          <w:rFonts w:ascii="Times New Roman" w:hAnsi="Times New Roman"/>
          <w:lang w:val="bs-Latn-BA"/>
        </w:rPr>
        <w:t xml:space="preserve"> </w:t>
      </w:r>
      <w:r>
        <w:rPr>
          <w:rFonts w:ascii="Times New Roman" w:hAnsi="Times New Roman"/>
          <w:lang w:val="bs-Latn-BA"/>
        </w:rPr>
        <w:t>пла</w:t>
      </w:r>
      <w:r w:rsidR="00C93FA9">
        <w:rPr>
          <w:rFonts w:ascii="Times New Roman" w:hAnsi="Times New Roman"/>
          <w:lang w:val="sr-Cyrl-BA"/>
        </w:rPr>
        <w:t>т</w:t>
      </w:r>
      <w:r>
        <w:rPr>
          <w:rFonts w:ascii="Times New Roman" w:hAnsi="Times New Roman"/>
          <w:lang w:val="bs-Latn-BA"/>
        </w:rPr>
        <w:t>а</w:t>
      </w:r>
      <w:r w:rsidR="00782E15">
        <w:rPr>
          <w:rFonts w:ascii="Times New Roman" w:hAnsi="Times New Roman"/>
          <w:lang w:val="bs-Latn-BA"/>
        </w:rPr>
        <w:t xml:space="preserve"> </w:t>
      </w:r>
      <w:r>
        <w:rPr>
          <w:rFonts w:ascii="Times New Roman" w:hAnsi="Times New Roman"/>
          <w:lang w:val="bs-Latn-BA"/>
        </w:rPr>
        <w:t>у</w:t>
      </w:r>
      <w:r w:rsidR="00782E15">
        <w:rPr>
          <w:rFonts w:ascii="Times New Roman" w:hAnsi="Times New Roman"/>
          <w:lang w:val="bs-Latn-BA"/>
        </w:rPr>
        <w:t xml:space="preserve"> </w:t>
      </w:r>
      <w:r>
        <w:rPr>
          <w:rFonts w:ascii="Times New Roman" w:hAnsi="Times New Roman"/>
          <w:lang w:val="bs-Latn-BA"/>
        </w:rPr>
        <w:t>институцијама</w:t>
      </w:r>
      <w:r w:rsidR="00782E15">
        <w:rPr>
          <w:rFonts w:ascii="Times New Roman" w:hAnsi="Times New Roman"/>
          <w:lang w:val="bs-Latn-BA"/>
        </w:rPr>
        <w:t xml:space="preserve"> </w:t>
      </w:r>
      <w:r>
        <w:rPr>
          <w:rFonts w:ascii="Times New Roman" w:hAnsi="Times New Roman"/>
          <w:lang w:val="bs-Latn-BA"/>
        </w:rPr>
        <w:t>БиХ</w:t>
      </w:r>
      <w:r w:rsidR="00782E15">
        <w:rPr>
          <w:rFonts w:ascii="Times New Roman" w:hAnsi="Times New Roman"/>
          <w:lang w:val="bs-Latn-BA"/>
        </w:rPr>
        <w:t xml:space="preserve">, </w:t>
      </w:r>
      <w:r>
        <w:rPr>
          <w:rFonts w:ascii="Times New Roman" w:hAnsi="Times New Roman"/>
          <w:lang w:val="bs-Latn-BA"/>
        </w:rPr>
        <w:t>МФТ</w:t>
      </w:r>
      <w:r w:rsidR="00782E15">
        <w:rPr>
          <w:rFonts w:ascii="Times New Roman" w:hAnsi="Times New Roman"/>
          <w:lang w:val="bs-Latn-BA"/>
        </w:rPr>
        <w:t xml:space="preserve"> </w:t>
      </w:r>
      <w:r>
        <w:rPr>
          <w:rFonts w:ascii="Times New Roman" w:hAnsi="Times New Roman"/>
          <w:lang w:val="bs-Latn-BA"/>
        </w:rPr>
        <w:t>БиХ</w:t>
      </w:r>
      <w:r w:rsidR="00E514F6" w:rsidRPr="001530E0">
        <w:rPr>
          <w:rFonts w:ascii="Times New Roman" w:hAnsi="Times New Roman"/>
          <w:lang w:val="bs-Latn-BA"/>
        </w:rPr>
        <w:t xml:space="preserve"> </w:t>
      </w:r>
      <w:r>
        <w:rPr>
          <w:rFonts w:ascii="Times New Roman" w:hAnsi="Times New Roman"/>
          <w:lang w:val="bs-Latn-BA"/>
        </w:rPr>
        <w:t>је</w:t>
      </w:r>
      <w:r w:rsidR="00E514F6" w:rsidRPr="001530E0">
        <w:rPr>
          <w:rFonts w:ascii="Times New Roman" w:hAnsi="Times New Roman"/>
          <w:lang w:val="bs-Latn-BA"/>
        </w:rPr>
        <w:t xml:space="preserve"> </w:t>
      </w:r>
      <w:r>
        <w:rPr>
          <w:rFonts w:ascii="Times New Roman" w:hAnsi="Times New Roman"/>
          <w:lang w:val="bs-Latn-BA"/>
        </w:rPr>
        <w:t>установило</w:t>
      </w:r>
      <w:r w:rsidR="00E514F6" w:rsidRPr="001530E0">
        <w:rPr>
          <w:rFonts w:ascii="Times New Roman" w:hAnsi="Times New Roman"/>
          <w:lang w:val="bs-Latn-BA"/>
        </w:rPr>
        <w:t xml:space="preserve"> </w:t>
      </w:r>
      <w:r>
        <w:rPr>
          <w:rFonts w:ascii="Times New Roman" w:hAnsi="Times New Roman"/>
          <w:lang w:val="bs-Latn-BA"/>
        </w:rPr>
        <w:t>да</w:t>
      </w:r>
      <w:r w:rsidR="00E514F6" w:rsidRPr="001530E0">
        <w:rPr>
          <w:rFonts w:ascii="Times New Roman" w:hAnsi="Times New Roman"/>
          <w:lang w:val="bs-Latn-BA"/>
        </w:rPr>
        <w:t xml:space="preserve"> </w:t>
      </w:r>
      <w:r>
        <w:rPr>
          <w:rFonts w:ascii="Times New Roman" w:hAnsi="Times New Roman"/>
          <w:lang w:val="bs-Latn-BA"/>
        </w:rPr>
        <w:t>је</w:t>
      </w:r>
      <w:r w:rsidR="00E514F6" w:rsidRPr="001530E0">
        <w:rPr>
          <w:rFonts w:ascii="Times New Roman" w:hAnsi="Times New Roman"/>
          <w:lang w:val="bs-Latn-BA"/>
        </w:rPr>
        <w:t xml:space="preserve"> </w:t>
      </w:r>
      <w:r>
        <w:rPr>
          <w:rFonts w:ascii="Times New Roman" w:hAnsi="Times New Roman"/>
          <w:lang w:val="bs-Latn-BA"/>
        </w:rPr>
        <w:t>у</w:t>
      </w:r>
      <w:r w:rsidR="00E514F6" w:rsidRPr="001530E0">
        <w:rPr>
          <w:rFonts w:ascii="Times New Roman" w:hAnsi="Times New Roman"/>
          <w:lang w:val="bs-Latn-BA"/>
        </w:rPr>
        <w:t xml:space="preserve"> </w:t>
      </w:r>
      <w:r>
        <w:rPr>
          <w:rFonts w:ascii="Times New Roman" w:hAnsi="Times New Roman"/>
          <w:lang w:val="bs-Latn-BA"/>
        </w:rPr>
        <w:t>извјештајном</w:t>
      </w:r>
      <w:r w:rsidR="00E514F6" w:rsidRPr="001530E0">
        <w:rPr>
          <w:rFonts w:ascii="Times New Roman" w:hAnsi="Times New Roman"/>
          <w:lang w:val="bs-Latn-BA"/>
        </w:rPr>
        <w:t xml:space="preserve"> </w:t>
      </w:r>
      <w:r>
        <w:rPr>
          <w:rFonts w:ascii="Times New Roman" w:hAnsi="Times New Roman"/>
          <w:lang w:val="bs-Latn-BA"/>
        </w:rPr>
        <w:t>периоду</w:t>
      </w:r>
      <w:r w:rsidR="00E514F6" w:rsidRPr="001530E0">
        <w:rPr>
          <w:rFonts w:ascii="Times New Roman" w:hAnsi="Times New Roman"/>
          <w:lang w:val="bs-Latn-BA"/>
        </w:rPr>
        <w:t xml:space="preserve"> </w:t>
      </w:r>
      <w:r>
        <w:rPr>
          <w:rFonts w:ascii="Times New Roman" w:hAnsi="Times New Roman"/>
          <w:lang w:val="bs-Latn-BA"/>
        </w:rPr>
        <w:t>седам</w:t>
      </w:r>
      <w:r w:rsidR="00E514F6" w:rsidRPr="001530E0">
        <w:rPr>
          <w:rFonts w:ascii="Times New Roman" w:hAnsi="Times New Roman"/>
          <w:lang w:val="bs-Latn-BA"/>
        </w:rPr>
        <w:t xml:space="preserve"> </w:t>
      </w:r>
      <w:r>
        <w:rPr>
          <w:rFonts w:ascii="Times New Roman" w:hAnsi="Times New Roman"/>
          <w:lang w:val="bs-Latn-BA"/>
        </w:rPr>
        <w:t>мушкараца</w:t>
      </w:r>
      <w:r w:rsidR="00E514F6" w:rsidRPr="001530E0">
        <w:rPr>
          <w:rFonts w:ascii="Times New Roman" w:hAnsi="Times New Roman"/>
          <w:lang w:val="bs-Latn-BA"/>
        </w:rPr>
        <w:t xml:space="preserve"> </w:t>
      </w:r>
      <w:r>
        <w:rPr>
          <w:rFonts w:ascii="Times New Roman" w:hAnsi="Times New Roman"/>
          <w:lang w:val="bs-Latn-BA"/>
        </w:rPr>
        <w:t>користило</w:t>
      </w:r>
      <w:r w:rsidR="00E514F6" w:rsidRPr="001530E0">
        <w:rPr>
          <w:rFonts w:ascii="Times New Roman" w:hAnsi="Times New Roman"/>
          <w:lang w:val="bs-Latn-BA"/>
        </w:rPr>
        <w:t xml:space="preserve"> </w:t>
      </w:r>
      <w:r>
        <w:rPr>
          <w:rFonts w:ascii="Times New Roman" w:hAnsi="Times New Roman"/>
          <w:lang w:val="bs-Latn-BA"/>
        </w:rPr>
        <w:t>право</w:t>
      </w:r>
      <w:r w:rsidR="00782E15">
        <w:rPr>
          <w:rFonts w:ascii="Times New Roman" w:hAnsi="Times New Roman"/>
          <w:lang w:val="bs-Latn-BA"/>
        </w:rPr>
        <w:t xml:space="preserve"> </w:t>
      </w:r>
      <w:r>
        <w:rPr>
          <w:rFonts w:ascii="Times New Roman" w:hAnsi="Times New Roman"/>
          <w:lang w:val="bs-Latn-BA"/>
        </w:rPr>
        <w:t>на</w:t>
      </w:r>
      <w:r w:rsidR="00782E15">
        <w:rPr>
          <w:rFonts w:ascii="Times New Roman" w:hAnsi="Times New Roman"/>
          <w:lang w:val="bs-Latn-BA"/>
        </w:rPr>
        <w:t xml:space="preserve"> </w:t>
      </w:r>
      <w:r>
        <w:rPr>
          <w:rFonts w:ascii="Times New Roman" w:hAnsi="Times New Roman"/>
          <w:lang w:val="bs-Latn-BA"/>
        </w:rPr>
        <w:t>родитељско</w:t>
      </w:r>
      <w:r w:rsidR="00782E15">
        <w:rPr>
          <w:rFonts w:ascii="Times New Roman" w:hAnsi="Times New Roman"/>
          <w:lang w:val="bs-Latn-BA"/>
        </w:rPr>
        <w:t xml:space="preserve"> </w:t>
      </w:r>
      <w:r>
        <w:rPr>
          <w:rFonts w:ascii="Times New Roman" w:hAnsi="Times New Roman"/>
          <w:lang w:val="bs-Latn-BA"/>
        </w:rPr>
        <w:t>одсуство</w:t>
      </w:r>
      <w:r w:rsidR="00782E15">
        <w:rPr>
          <w:rFonts w:ascii="Times New Roman" w:hAnsi="Times New Roman"/>
          <w:lang w:val="bs-Latn-BA"/>
        </w:rPr>
        <w:t xml:space="preserve"> </w:t>
      </w:r>
      <w:r>
        <w:rPr>
          <w:rFonts w:ascii="Times New Roman" w:hAnsi="Times New Roman"/>
          <w:lang w:val="bs-Latn-BA"/>
        </w:rPr>
        <w:t>са</w:t>
      </w:r>
      <w:r w:rsidR="00E514F6" w:rsidRPr="001530E0">
        <w:rPr>
          <w:rFonts w:ascii="Times New Roman" w:hAnsi="Times New Roman"/>
          <w:lang w:val="bs-Latn-BA"/>
        </w:rPr>
        <w:t xml:space="preserve"> </w:t>
      </w:r>
      <w:r>
        <w:rPr>
          <w:rFonts w:ascii="Times New Roman" w:hAnsi="Times New Roman"/>
          <w:lang w:val="bs-Latn-BA"/>
        </w:rPr>
        <w:t>посла</w:t>
      </w:r>
      <w:r w:rsidR="00E514F6" w:rsidRPr="001530E0">
        <w:rPr>
          <w:rFonts w:ascii="Times New Roman" w:hAnsi="Times New Roman"/>
          <w:lang w:val="bs-Latn-BA"/>
        </w:rPr>
        <w:t xml:space="preserve"> </w:t>
      </w:r>
      <w:r>
        <w:rPr>
          <w:rFonts w:ascii="Times New Roman" w:hAnsi="Times New Roman"/>
          <w:lang w:val="bs-Latn-BA"/>
        </w:rPr>
        <w:t>у</w:t>
      </w:r>
      <w:r w:rsidR="00E514F6" w:rsidRPr="001530E0">
        <w:rPr>
          <w:rFonts w:ascii="Times New Roman" w:hAnsi="Times New Roman"/>
          <w:lang w:val="bs-Latn-BA"/>
        </w:rPr>
        <w:t xml:space="preserve"> </w:t>
      </w:r>
      <w:r>
        <w:rPr>
          <w:rFonts w:ascii="Times New Roman" w:hAnsi="Times New Roman"/>
          <w:lang w:val="bs-Latn-BA"/>
        </w:rPr>
        <w:t>институцијама</w:t>
      </w:r>
      <w:r w:rsidR="00782E15">
        <w:rPr>
          <w:rFonts w:ascii="Times New Roman" w:hAnsi="Times New Roman"/>
          <w:lang w:val="bs-Latn-BA"/>
        </w:rPr>
        <w:t xml:space="preserve"> </w:t>
      </w:r>
      <w:r>
        <w:rPr>
          <w:rFonts w:ascii="Times New Roman" w:hAnsi="Times New Roman"/>
          <w:lang w:val="bs-Latn-BA"/>
        </w:rPr>
        <w:t>БиХ</w:t>
      </w:r>
      <w:r w:rsidR="00782E15">
        <w:rPr>
          <w:rFonts w:ascii="Times New Roman" w:hAnsi="Times New Roman"/>
          <w:lang w:val="bs-Latn-BA"/>
        </w:rPr>
        <w:t xml:space="preserve">, </w:t>
      </w:r>
      <w:r>
        <w:rPr>
          <w:rFonts w:ascii="Times New Roman" w:hAnsi="Times New Roman"/>
          <w:lang w:val="bs-Latn-BA"/>
        </w:rPr>
        <w:t>док</w:t>
      </w:r>
      <w:r w:rsidR="00782E15">
        <w:rPr>
          <w:rFonts w:ascii="Times New Roman" w:hAnsi="Times New Roman"/>
          <w:lang w:val="bs-Latn-BA"/>
        </w:rPr>
        <w:t xml:space="preserve"> </w:t>
      </w:r>
      <w:r>
        <w:rPr>
          <w:rFonts w:ascii="Times New Roman" w:hAnsi="Times New Roman"/>
          <w:lang w:val="bs-Latn-BA"/>
        </w:rPr>
        <w:t>је</w:t>
      </w:r>
      <w:r w:rsidR="00782E15">
        <w:rPr>
          <w:rFonts w:ascii="Times New Roman" w:hAnsi="Times New Roman"/>
          <w:lang w:val="bs-Latn-BA"/>
        </w:rPr>
        <w:t xml:space="preserve"> </w:t>
      </w:r>
      <w:r>
        <w:rPr>
          <w:rFonts w:ascii="Times New Roman" w:hAnsi="Times New Roman"/>
          <w:lang w:val="bs-Latn-BA"/>
        </w:rPr>
        <w:t>у</w:t>
      </w:r>
      <w:r w:rsidR="00782E15">
        <w:rPr>
          <w:rFonts w:ascii="Times New Roman" w:hAnsi="Times New Roman"/>
          <w:lang w:val="bs-Latn-BA"/>
        </w:rPr>
        <w:t xml:space="preserve"> </w:t>
      </w:r>
      <w:r>
        <w:rPr>
          <w:rFonts w:ascii="Times New Roman" w:hAnsi="Times New Roman"/>
          <w:lang w:val="bs-Latn-BA"/>
        </w:rPr>
        <w:t>Министарству</w:t>
      </w:r>
      <w:r w:rsidR="00782E15">
        <w:rPr>
          <w:rFonts w:ascii="Times New Roman" w:hAnsi="Times New Roman"/>
          <w:lang w:val="bs-Latn-BA"/>
        </w:rPr>
        <w:t xml:space="preserve"> </w:t>
      </w:r>
      <w:r>
        <w:rPr>
          <w:rFonts w:ascii="Times New Roman" w:hAnsi="Times New Roman"/>
          <w:lang w:val="bs-Latn-BA"/>
        </w:rPr>
        <w:t>одбране</w:t>
      </w:r>
      <w:r w:rsidR="00E514F6" w:rsidRPr="001530E0">
        <w:rPr>
          <w:rFonts w:ascii="Times New Roman" w:hAnsi="Times New Roman"/>
          <w:lang w:val="bs-Latn-BA"/>
        </w:rPr>
        <w:t xml:space="preserve"> </w:t>
      </w:r>
      <w:r>
        <w:rPr>
          <w:rFonts w:ascii="Times New Roman" w:hAnsi="Times New Roman"/>
          <w:lang w:val="bs-Latn-BA"/>
        </w:rPr>
        <w:t>БиХ</w:t>
      </w:r>
      <w:r w:rsidR="00E514F6" w:rsidRPr="001530E0">
        <w:rPr>
          <w:rFonts w:ascii="Times New Roman" w:hAnsi="Times New Roman"/>
          <w:lang w:val="bs-Latn-BA"/>
        </w:rPr>
        <w:t xml:space="preserve"> </w:t>
      </w:r>
      <w:r>
        <w:rPr>
          <w:rFonts w:ascii="Times New Roman" w:hAnsi="Times New Roman"/>
          <w:lang w:val="bs-Latn-BA"/>
        </w:rPr>
        <w:t>и</w:t>
      </w:r>
      <w:r w:rsidR="00E514F6" w:rsidRPr="001530E0">
        <w:rPr>
          <w:rFonts w:ascii="Times New Roman" w:hAnsi="Times New Roman"/>
          <w:lang w:val="bs-Latn-BA"/>
        </w:rPr>
        <w:t xml:space="preserve"> </w:t>
      </w:r>
      <w:r>
        <w:rPr>
          <w:rFonts w:ascii="Times New Roman" w:hAnsi="Times New Roman"/>
          <w:lang w:val="bs-Latn-BA"/>
        </w:rPr>
        <w:t>Оружаним</w:t>
      </w:r>
      <w:r w:rsidR="00E514F6" w:rsidRPr="001530E0">
        <w:rPr>
          <w:rFonts w:ascii="Times New Roman" w:hAnsi="Times New Roman"/>
          <w:lang w:val="bs-Latn-BA"/>
        </w:rPr>
        <w:t xml:space="preserve"> </w:t>
      </w:r>
      <w:r>
        <w:rPr>
          <w:rFonts w:ascii="Times New Roman" w:hAnsi="Times New Roman"/>
          <w:lang w:val="bs-Latn-BA"/>
        </w:rPr>
        <w:t>снагама</w:t>
      </w:r>
      <w:r w:rsidR="00E514F6" w:rsidRPr="001530E0">
        <w:rPr>
          <w:rFonts w:ascii="Times New Roman" w:hAnsi="Times New Roman"/>
          <w:lang w:val="bs-Latn-BA"/>
        </w:rPr>
        <w:t xml:space="preserve"> 16 </w:t>
      </w:r>
      <w:r>
        <w:rPr>
          <w:rFonts w:ascii="Times New Roman" w:hAnsi="Times New Roman"/>
          <w:lang w:val="bs-Latn-BA"/>
        </w:rPr>
        <w:t>мушкараца</w:t>
      </w:r>
      <w:r w:rsidR="00E514F6" w:rsidRPr="001530E0">
        <w:rPr>
          <w:rFonts w:ascii="Times New Roman" w:hAnsi="Times New Roman"/>
          <w:lang w:val="bs-Latn-BA"/>
        </w:rPr>
        <w:t xml:space="preserve"> </w:t>
      </w:r>
      <w:r>
        <w:rPr>
          <w:rFonts w:ascii="Times New Roman" w:hAnsi="Times New Roman"/>
          <w:lang w:val="bs-Latn-BA"/>
        </w:rPr>
        <w:t>који</w:t>
      </w:r>
      <w:r w:rsidR="00E514F6" w:rsidRPr="001530E0">
        <w:rPr>
          <w:rFonts w:ascii="Times New Roman" w:hAnsi="Times New Roman"/>
          <w:lang w:val="bs-Latn-BA"/>
        </w:rPr>
        <w:t xml:space="preserve"> </w:t>
      </w:r>
      <w:r>
        <w:rPr>
          <w:rFonts w:ascii="Times New Roman" w:hAnsi="Times New Roman"/>
          <w:lang w:val="bs-Latn-BA"/>
        </w:rPr>
        <w:t>су</w:t>
      </w:r>
      <w:r w:rsidR="00E514F6" w:rsidRPr="001530E0">
        <w:rPr>
          <w:rFonts w:ascii="Times New Roman" w:hAnsi="Times New Roman"/>
          <w:lang w:val="bs-Latn-BA"/>
        </w:rPr>
        <w:t xml:space="preserve"> </w:t>
      </w:r>
      <w:r>
        <w:rPr>
          <w:rFonts w:ascii="Times New Roman" w:hAnsi="Times New Roman"/>
          <w:lang w:val="bs-Latn-BA"/>
        </w:rPr>
        <w:t>користило</w:t>
      </w:r>
      <w:r w:rsidR="00E514F6" w:rsidRPr="001530E0">
        <w:rPr>
          <w:rFonts w:ascii="Times New Roman" w:hAnsi="Times New Roman"/>
          <w:lang w:val="bs-Latn-BA"/>
        </w:rPr>
        <w:t xml:space="preserve"> </w:t>
      </w:r>
      <w:r>
        <w:rPr>
          <w:rFonts w:ascii="Times New Roman" w:hAnsi="Times New Roman"/>
          <w:lang w:val="bs-Latn-BA"/>
        </w:rPr>
        <w:t>право</w:t>
      </w:r>
      <w:r w:rsidR="00782E15">
        <w:rPr>
          <w:rFonts w:ascii="Times New Roman" w:hAnsi="Times New Roman"/>
          <w:lang w:val="bs-Latn-BA"/>
        </w:rPr>
        <w:t xml:space="preserve"> </w:t>
      </w:r>
      <w:r>
        <w:rPr>
          <w:rFonts w:ascii="Times New Roman" w:hAnsi="Times New Roman"/>
          <w:lang w:val="bs-Latn-BA"/>
        </w:rPr>
        <w:t>на</w:t>
      </w:r>
      <w:r w:rsidR="00782E15">
        <w:rPr>
          <w:rFonts w:ascii="Times New Roman" w:hAnsi="Times New Roman"/>
          <w:lang w:val="bs-Latn-BA"/>
        </w:rPr>
        <w:t xml:space="preserve"> </w:t>
      </w:r>
      <w:r>
        <w:rPr>
          <w:rFonts w:ascii="Times New Roman" w:hAnsi="Times New Roman"/>
          <w:lang w:val="bs-Latn-BA"/>
        </w:rPr>
        <w:t>родитељско</w:t>
      </w:r>
      <w:r w:rsidR="00782E15">
        <w:rPr>
          <w:rFonts w:ascii="Times New Roman" w:hAnsi="Times New Roman"/>
          <w:lang w:val="bs-Latn-BA"/>
        </w:rPr>
        <w:t xml:space="preserve"> </w:t>
      </w:r>
      <w:r>
        <w:rPr>
          <w:rFonts w:ascii="Times New Roman" w:hAnsi="Times New Roman"/>
          <w:lang w:val="bs-Latn-BA"/>
        </w:rPr>
        <w:t>одсуство</w:t>
      </w:r>
      <w:r w:rsidR="00782E15">
        <w:rPr>
          <w:rFonts w:ascii="Times New Roman" w:hAnsi="Times New Roman"/>
          <w:lang w:val="bs-Latn-BA"/>
        </w:rPr>
        <w:t xml:space="preserve"> </w:t>
      </w:r>
      <w:r>
        <w:rPr>
          <w:rFonts w:ascii="Times New Roman" w:hAnsi="Times New Roman"/>
          <w:lang w:val="bs-Latn-BA"/>
        </w:rPr>
        <w:t>са</w:t>
      </w:r>
      <w:r w:rsidR="00E514F6" w:rsidRPr="001530E0">
        <w:rPr>
          <w:rFonts w:ascii="Times New Roman" w:hAnsi="Times New Roman"/>
          <w:lang w:val="bs-Latn-BA"/>
        </w:rPr>
        <w:t xml:space="preserve"> </w:t>
      </w:r>
      <w:r>
        <w:rPr>
          <w:rFonts w:ascii="Times New Roman" w:hAnsi="Times New Roman"/>
          <w:lang w:val="bs-Latn-BA"/>
        </w:rPr>
        <w:t>посла</w:t>
      </w:r>
      <w:r w:rsidR="00E514F6" w:rsidRPr="001530E0">
        <w:rPr>
          <w:rFonts w:ascii="Times New Roman" w:hAnsi="Times New Roman"/>
          <w:lang w:val="bs-Latn-BA"/>
        </w:rPr>
        <w:t xml:space="preserve">. </w:t>
      </w:r>
      <w:r>
        <w:rPr>
          <w:rFonts w:ascii="Times New Roman" w:hAnsi="Times New Roman"/>
          <w:lang w:val="bs-Latn-BA"/>
        </w:rPr>
        <w:t>Укупно</w:t>
      </w:r>
      <w:r w:rsidR="00E514F6" w:rsidRPr="001530E0">
        <w:rPr>
          <w:rFonts w:ascii="Times New Roman" w:hAnsi="Times New Roman"/>
          <w:lang w:val="bs-Latn-BA"/>
        </w:rPr>
        <w:t xml:space="preserve">, </w:t>
      </w:r>
      <w:r w:rsidR="00782E15">
        <w:rPr>
          <w:rFonts w:ascii="Times New Roman" w:hAnsi="Times New Roman"/>
          <w:lang w:val="bs-Latn-BA"/>
        </w:rPr>
        <w:t xml:space="preserve">23 </w:t>
      </w:r>
      <w:r>
        <w:rPr>
          <w:rFonts w:ascii="Times New Roman" w:hAnsi="Times New Roman"/>
          <w:lang w:val="bs-Latn-BA"/>
        </w:rPr>
        <w:t>мушкарца</w:t>
      </w:r>
      <w:r w:rsidR="00782E15">
        <w:rPr>
          <w:rFonts w:ascii="Times New Roman" w:hAnsi="Times New Roman"/>
          <w:lang w:val="bs-Latn-BA"/>
        </w:rPr>
        <w:t xml:space="preserve"> </w:t>
      </w:r>
      <w:r>
        <w:rPr>
          <w:rFonts w:ascii="Times New Roman" w:hAnsi="Times New Roman"/>
          <w:lang w:val="bs-Latn-BA"/>
        </w:rPr>
        <w:t>у</w:t>
      </w:r>
      <w:r w:rsidR="00782E15">
        <w:rPr>
          <w:rFonts w:ascii="Times New Roman" w:hAnsi="Times New Roman"/>
          <w:lang w:val="bs-Latn-BA"/>
        </w:rPr>
        <w:t xml:space="preserve"> </w:t>
      </w:r>
      <w:r>
        <w:rPr>
          <w:rFonts w:ascii="Times New Roman" w:hAnsi="Times New Roman"/>
          <w:lang w:val="bs-Latn-BA"/>
        </w:rPr>
        <w:t>институцијама</w:t>
      </w:r>
      <w:r w:rsidR="00782E15">
        <w:rPr>
          <w:rFonts w:ascii="Times New Roman" w:hAnsi="Times New Roman"/>
          <w:lang w:val="bs-Latn-BA"/>
        </w:rPr>
        <w:t xml:space="preserve"> </w:t>
      </w:r>
      <w:r>
        <w:rPr>
          <w:rFonts w:ascii="Times New Roman" w:hAnsi="Times New Roman"/>
          <w:lang w:val="bs-Latn-BA"/>
        </w:rPr>
        <w:t>БиХ</w:t>
      </w:r>
      <w:r w:rsidR="00E514F6" w:rsidRPr="001530E0">
        <w:rPr>
          <w:rFonts w:ascii="Times New Roman" w:hAnsi="Times New Roman"/>
          <w:lang w:val="bs-Latn-BA"/>
        </w:rPr>
        <w:t xml:space="preserve"> </w:t>
      </w:r>
      <w:r>
        <w:rPr>
          <w:rFonts w:ascii="Times New Roman" w:hAnsi="Times New Roman"/>
          <w:lang w:val="bs-Latn-BA"/>
        </w:rPr>
        <w:t>су</w:t>
      </w:r>
      <w:r w:rsidR="00E514F6" w:rsidRPr="001530E0">
        <w:rPr>
          <w:rFonts w:ascii="Times New Roman" w:hAnsi="Times New Roman"/>
          <w:lang w:val="bs-Latn-BA"/>
        </w:rPr>
        <w:t xml:space="preserve"> </w:t>
      </w:r>
      <w:r>
        <w:rPr>
          <w:rFonts w:ascii="Times New Roman" w:hAnsi="Times New Roman"/>
          <w:lang w:val="bs-Latn-BA"/>
        </w:rPr>
        <w:t>користила</w:t>
      </w:r>
      <w:r w:rsidR="00E514F6" w:rsidRPr="001530E0">
        <w:rPr>
          <w:rFonts w:ascii="Times New Roman" w:hAnsi="Times New Roman"/>
          <w:lang w:val="bs-Latn-BA"/>
        </w:rPr>
        <w:t xml:space="preserve"> </w:t>
      </w:r>
      <w:r>
        <w:rPr>
          <w:rFonts w:ascii="Times New Roman" w:hAnsi="Times New Roman"/>
          <w:lang w:val="bs-Latn-BA"/>
        </w:rPr>
        <w:t>право</w:t>
      </w:r>
      <w:r w:rsidR="00E514F6" w:rsidRPr="001530E0">
        <w:rPr>
          <w:rFonts w:ascii="Times New Roman" w:hAnsi="Times New Roman"/>
          <w:lang w:val="bs-Latn-BA"/>
        </w:rPr>
        <w:t xml:space="preserve"> </w:t>
      </w:r>
      <w:r>
        <w:rPr>
          <w:rFonts w:ascii="Times New Roman" w:hAnsi="Times New Roman"/>
          <w:lang w:val="bs-Latn-BA"/>
        </w:rPr>
        <w:t>на</w:t>
      </w:r>
      <w:r w:rsidR="00E514F6" w:rsidRPr="001530E0">
        <w:rPr>
          <w:rFonts w:ascii="Times New Roman" w:hAnsi="Times New Roman"/>
          <w:lang w:val="bs-Latn-BA"/>
        </w:rPr>
        <w:t xml:space="preserve"> </w:t>
      </w:r>
      <w:r>
        <w:rPr>
          <w:rFonts w:ascii="Times New Roman" w:hAnsi="Times New Roman"/>
          <w:lang w:val="bs-Latn-BA"/>
        </w:rPr>
        <w:t>родитељско</w:t>
      </w:r>
      <w:r w:rsidR="00E514F6" w:rsidRPr="001530E0">
        <w:rPr>
          <w:rFonts w:ascii="Times New Roman" w:hAnsi="Times New Roman"/>
          <w:lang w:val="bs-Latn-BA"/>
        </w:rPr>
        <w:t xml:space="preserve"> </w:t>
      </w:r>
      <w:r>
        <w:rPr>
          <w:rFonts w:ascii="Times New Roman" w:hAnsi="Times New Roman"/>
          <w:lang w:val="bs-Latn-BA"/>
        </w:rPr>
        <w:t>одсуство</w:t>
      </w:r>
      <w:r w:rsidR="00E514F6" w:rsidRPr="001530E0">
        <w:rPr>
          <w:rFonts w:ascii="Times New Roman" w:hAnsi="Times New Roman"/>
          <w:lang w:val="bs-Latn-BA"/>
        </w:rPr>
        <w:t xml:space="preserve"> </w:t>
      </w:r>
      <w:r>
        <w:rPr>
          <w:rFonts w:ascii="Times New Roman" w:hAnsi="Times New Roman"/>
          <w:lang w:val="bs-Latn-BA"/>
        </w:rPr>
        <w:t>у</w:t>
      </w:r>
      <w:r w:rsidR="00E514F6" w:rsidRPr="001530E0">
        <w:rPr>
          <w:rFonts w:ascii="Times New Roman" w:hAnsi="Times New Roman"/>
          <w:lang w:val="bs-Latn-BA"/>
        </w:rPr>
        <w:t xml:space="preserve"> </w:t>
      </w:r>
      <w:r>
        <w:rPr>
          <w:rFonts w:ascii="Times New Roman" w:hAnsi="Times New Roman"/>
          <w:lang w:val="bs-Latn-BA"/>
        </w:rPr>
        <w:t>наведеном</w:t>
      </w:r>
      <w:r w:rsidR="00E514F6" w:rsidRPr="001530E0">
        <w:rPr>
          <w:rFonts w:ascii="Times New Roman" w:hAnsi="Times New Roman"/>
          <w:lang w:val="bs-Latn-BA"/>
        </w:rPr>
        <w:t xml:space="preserve"> </w:t>
      </w:r>
      <w:r>
        <w:rPr>
          <w:rFonts w:ascii="Times New Roman" w:hAnsi="Times New Roman"/>
          <w:lang w:val="bs-Latn-BA"/>
        </w:rPr>
        <w:t>периоду</w:t>
      </w:r>
      <w:r w:rsidR="00E514F6" w:rsidRPr="001530E0">
        <w:rPr>
          <w:rFonts w:ascii="Times New Roman" w:hAnsi="Times New Roman"/>
          <w:lang w:val="bs-Latn-BA"/>
        </w:rPr>
        <w:t xml:space="preserve">. </w:t>
      </w:r>
    </w:p>
    <w:p w:rsidR="00E514F6" w:rsidRPr="001530E0" w:rsidRDefault="00E514F6" w:rsidP="0086268D">
      <w:pPr>
        <w:pStyle w:val="ListParagraph"/>
        <w:rPr>
          <w:rFonts w:ascii="Times New Roman" w:hAnsi="Times New Roman"/>
          <w:lang w:val="bs-Latn-BA"/>
        </w:rPr>
      </w:pPr>
    </w:p>
    <w:p w:rsidR="00E514F6" w:rsidRPr="001530E0" w:rsidRDefault="00C6214E" w:rsidP="0086268D">
      <w:pPr>
        <w:pStyle w:val="ListParagraph"/>
        <w:numPr>
          <w:ilvl w:val="0"/>
          <w:numId w:val="17"/>
        </w:numPr>
        <w:jc w:val="both"/>
        <w:rPr>
          <w:rFonts w:ascii="Times New Roman" w:hAnsi="Times New Roman"/>
          <w:szCs w:val="24"/>
        </w:rPr>
      </w:pPr>
      <w:r>
        <w:rPr>
          <w:rFonts w:ascii="Times New Roman" w:hAnsi="Times New Roman"/>
          <w:szCs w:val="24"/>
        </w:rPr>
        <w:t>Тема</w:t>
      </w:r>
      <w:r w:rsidR="00E514F6" w:rsidRPr="001530E0">
        <w:rPr>
          <w:rFonts w:ascii="Times New Roman" w:hAnsi="Times New Roman"/>
          <w:szCs w:val="24"/>
        </w:rPr>
        <w:t xml:space="preserve"> </w:t>
      </w:r>
      <w:r>
        <w:rPr>
          <w:rFonts w:ascii="Times New Roman" w:hAnsi="Times New Roman"/>
          <w:szCs w:val="24"/>
        </w:rPr>
        <w:t>већег</w:t>
      </w:r>
      <w:r w:rsidR="00E514F6" w:rsidRPr="001530E0">
        <w:rPr>
          <w:rFonts w:ascii="Times New Roman" w:hAnsi="Times New Roman"/>
          <w:szCs w:val="24"/>
        </w:rPr>
        <w:t xml:space="preserve"> </w:t>
      </w:r>
      <w:r>
        <w:rPr>
          <w:rFonts w:ascii="Times New Roman" w:hAnsi="Times New Roman"/>
          <w:szCs w:val="24"/>
        </w:rPr>
        <w:t>економског</w:t>
      </w:r>
      <w:r w:rsidR="00E514F6" w:rsidRPr="001530E0">
        <w:rPr>
          <w:rFonts w:ascii="Times New Roman" w:hAnsi="Times New Roman"/>
          <w:szCs w:val="24"/>
        </w:rPr>
        <w:t xml:space="preserve"> </w:t>
      </w:r>
      <w:r>
        <w:rPr>
          <w:rFonts w:ascii="Times New Roman" w:hAnsi="Times New Roman"/>
          <w:szCs w:val="24"/>
        </w:rPr>
        <w:t>оснаживања</w:t>
      </w:r>
      <w:r w:rsidR="00E514F6" w:rsidRPr="001530E0">
        <w:rPr>
          <w:rFonts w:ascii="Times New Roman" w:hAnsi="Times New Roman"/>
          <w:szCs w:val="24"/>
        </w:rPr>
        <w:t xml:space="preserve"> </w:t>
      </w:r>
      <w:r>
        <w:rPr>
          <w:rFonts w:ascii="Times New Roman" w:hAnsi="Times New Roman"/>
          <w:szCs w:val="24"/>
        </w:rPr>
        <w:t>жена</w:t>
      </w:r>
      <w:r w:rsidR="00E514F6" w:rsidRPr="001530E0">
        <w:rPr>
          <w:rFonts w:ascii="Times New Roman" w:hAnsi="Times New Roman"/>
          <w:szCs w:val="24"/>
        </w:rPr>
        <w:t xml:space="preserve"> </w:t>
      </w:r>
      <w:r>
        <w:rPr>
          <w:rFonts w:ascii="Times New Roman" w:hAnsi="Times New Roman"/>
          <w:szCs w:val="24"/>
        </w:rPr>
        <w:t>заступљена</w:t>
      </w:r>
      <w:r w:rsidR="00E514F6" w:rsidRPr="001530E0">
        <w:rPr>
          <w:rFonts w:ascii="Times New Roman" w:hAnsi="Times New Roman"/>
          <w:szCs w:val="24"/>
        </w:rPr>
        <w:t xml:space="preserve"> </w:t>
      </w:r>
      <w:r>
        <w:rPr>
          <w:rFonts w:ascii="Times New Roman" w:hAnsi="Times New Roman"/>
          <w:szCs w:val="24"/>
        </w:rPr>
        <w:t>је</w:t>
      </w:r>
      <w:r w:rsidR="00E514F6" w:rsidRPr="001530E0">
        <w:rPr>
          <w:rFonts w:ascii="Times New Roman" w:hAnsi="Times New Roman"/>
          <w:szCs w:val="24"/>
        </w:rPr>
        <w:t xml:space="preserve"> </w:t>
      </w:r>
      <w:r>
        <w:rPr>
          <w:rFonts w:ascii="Times New Roman" w:hAnsi="Times New Roman"/>
          <w:szCs w:val="24"/>
        </w:rPr>
        <w:t>приликом</w:t>
      </w:r>
      <w:r w:rsidR="00E514F6" w:rsidRPr="001530E0">
        <w:rPr>
          <w:rFonts w:ascii="Times New Roman" w:hAnsi="Times New Roman"/>
          <w:szCs w:val="24"/>
        </w:rPr>
        <w:t xml:space="preserve"> </w:t>
      </w:r>
      <w:r>
        <w:rPr>
          <w:rFonts w:ascii="Times New Roman" w:hAnsi="Times New Roman"/>
          <w:szCs w:val="24"/>
        </w:rPr>
        <w:t>обиљежавања</w:t>
      </w:r>
      <w:r w:rsidR="00E514F6" w:rsidRPr="001530E0">
        <w:rPr>
          <w:rFonts w:ascii="Times New Roman" w:hAnsi="Times New Roman"/>
          <w:szCs w:val="24"/>
        </w:rPr>
        <w:t xml:space="preserve"> </w:t>
      </w:r>
      <w:r>
        <w:rPr>
          <w:rFonts w:ascii="Times New Roman" w:hAnsi="Times New Roman"/>
          <w:szCs w:val="24"/>
        </w:rPr>
        <w:t>свих</w:t>
      </w:r>
      <w:r w:rsidR="00E514F6" w:rsidRPr="001530E0">
        <w:rPr>
          <w:rFonts w:ascii="Times New Roman" w:hAnsi="Times New Roman"/>
          <w:szCs w:val="24"/>
        </w:rPr>
        <w:t xml:space="preserve"> </w:t>
      </w:r>
      <w:r>
        <w:rPr>
          <w:rFonts w:ascii="Times New Roman" w:hAnsi="Times New Roman"/>
          <w:szCs w:val="24"/>
        </w:rPr>
        <w:t>значајних</w:t>
      </w:r>
      <w:r w:rsidR="00E514F6" w:rsidRPr="001530E0">
        <w:rPr>
          <w:rFonts w:ascii="Times New Roman" w:hAnsi="Times New Roman"/>
          <w:szCs w:val="24"/>
        </w:rPr>
        <w:t xml:space="preserve"> </w:t>
      </w:r>
      <w:r>
        <w:rPr>
          <w:rFonts w:ascii="Times New Roman" w:hAnsi="Times New Roman"/>
          <w:szCs w:val="24"/>
        </w:rPr>
        <w:t>датума</w:t>
      </w:r>
      <w:r w:rsidR="00E514F6" w:rsidRPr="001530E0">
        <w:rPr>
          <w:rFonts w:ascii="Times New Roman" w:hAnsi="Times New Roman"/>
          <w:szCs w:val="24"/>
        </w:rPr>
        <w:t xml:space="preserve"> </w:t>
      </w:r>
      <w:r>
        <w:rPr>
          <w:rFonts w:ascii="Times New Roman" w:hAnsi="Times New Roman"/>
          <w:szCs w:val="24"/>
        </w:rPr>
        <w:t>у</w:t>
      </w:r>
      <w:r w:rsidR="005C0F06">
        <w:rPr>
          <w:rFonts w:ascii="Times New Roman" w:hAnsi="Times New Roman"/>
          <w:szCs w:val="24"/>
        </w:rPr>
        <w:t xml:space="preserve"> </w:t>
      </w:r>
      <w:r>
        <w:rPr>
          <w:rFonts w:ascii="Times New Roman" w:hAnsi="Times New Roman"/>
          <w:szCs w:val="24"/>
        </w:rPr>
        <w:t>вези</w:t>
      </w:r>
      <w:r w:rsidR="005C0F06">
        <w:rPr>
          <w:rFonts w:ascii="Times New Roman" w:hAnsi="Times New Roman"/>
          <w:szCs w:val="24"/>
        </w:rPr>
        <w:t xml:space="preserve"> </w:t>
      </w:r>
      <w:r>
        <w:rPr>
          <w:rFonts w:ascii="Times New Roman" w:hAnsi="Times New Roman"/>
          <w:szCs w:val="24"/>
        </w:rPr>
        <w:t>са</w:t>
      </w:r>
      <w:r w:rsidR="00E514F6" w:rsidRPr="001530E0">
        <w:rPr>
          <w:rFonts w:ascii="Times New Roman" w:hAnsi="Times New Roman"/>
          <w:szCs w:val="24"/>
        </w:rPr>
        <w:t xml:space="preserve"> </w:t>
      </w:r>
      <w:r>
        <w:rPr>
          <w:rFonts w:ascii="Times New Roman" w:hAnsi="Times New Roman"/>
          <w:szCs w:val="24"/>
        </w:rPr>
        <w:t>остваривањем</w:t>
      </w:r>
      <w:r w:rsidR="00E514F6" w:rsidRPr="001530E0">
        <w:rPr>
          <w:rFonts w:ascii="Times New Roman" w:hAnsi="Times New Roman"/>
          <w:szCs w:val="24"/>
        </w:rPr>
        <w:t xml:space="preserve"> </w:t>
      </w:r>
      <w:r>
        <w:rPr>
          <w:rFonts w:ascii="Times New Roman" w:hAnsi="Times New Roman"/>
          <w:szCs w:val="24"/>
        </w:rPr>
        <w:t>равноправности</w:t>
      </w:r>
      <w:r w:rsidR="00E514F6" w:rsidRPr="001530E0">
        <w:rPr>
          <w:rFonts w:ascii="Times New Roman" w:hAnsi="Times New Roman"/>
          <w:szCs w:val="24"/>
        </w:rPr>
        <w:t xml:space="preserve"> </w:t>
      </w:r>
      <w:r>
        <w:rPr>
          <w:rFonts w:ascii="Times New Roman" w:hAnsi="Times New Roman"/>
          <w:szCs w:val="24"/>
        </w:rPr>
        <w:t>полова</w:t>
      </w:r>
      <w:r w:rsidR="00E514F6" w:rsidRPr="001530E0">
        <w:rPr>
          <w:rFonts w:ascii="Times New Roman" w:hAnsi="Times New Roman"/>
          <w:szCs w:val="24"/>
        </w:rPr>
        <w:t xml:space="preserve"> </w:t>
      </w:r>
      <w:r>
        <w:rPr>
          <w:rFonts w:ascii="Times New Roman" w:hAnsi="Times New Roman"/>
          <w:szCs w:val="24"/>
        </w:rPr>
        <w:t>у</w:t>
      </w:r>
      <w:r w:rsidR="00E514F6" w:rsidRPr="001530E0">
        <w:rPr>
          <w:rFonts w:ascii="Times New Roman" w:hAnsi="Times New Roman"/>
          <w:szCs w:val="24"/>
        </w:rPr>
        <w:t xml:space="preserve"> </w:t>
      </w:r>
      <w:r>
        <w:rPr>
          <w:rFonts w:ascii="Times New Roman" w:hAnsi="Times New Roman"/>
          <w:szCs w:val="24"/>
        </w:rPr>
        <w:t>БиХ</w:t>
      </w:r>
      <w:r w:rsidR="00E514F6" w:rsidRPr="001530E0">
        <w:rPr>
          <w:rFonts w:ascii="Times New Roman" w:hAnsi="Times New Roman"/>
          <w:szCs w:val="24"/>
        </w:rPr>
        <w:t xml:space="preserve"> </w:t>
      </w:r>
      <w:r>
        <w:rPr>
          <w:rFonts w:ascii="Times New Roman" w:hAnsi="Times New Roman"/>
          <w:szCs w:val="24"/>
        </w:rPr>
        <w:t>јер</w:t>
      </w:r>
      <w:r w:rsidR="00E514F6" w:rsidRPr="001530E0">
        <w:rPr>
          <w:rFonts w:ascii="Times New Roman" w:hAnsi="Times New Roman"/>
          <w:szCs w:val="24"/>
        </w:rPr>
        <w:t xml:space="preserve"> </w:t>
      </w:r>
      <w:r>
        <w:rPr>
          <w:rFonts w:ascii="Times New Roman" w:hAnsi="Times New Roman"/>
          <w:szCs w:val="24"/>
        </w:rPr>
        <w:t>од</w:t>
      </w:r>
      <w:r w:rsidR="00E514F6" w:rsidRPr="001530E0">
        <w:rPr>
          <w:rFonts w:ascii="Times New Roman" w:hAnsi="Times New Roman"/>
          <w:szCs w:val="24"/>
        </w:rPr>
        <w:t xml:space="preserve"> </w:t>
      </w:r>
      <w:r>
        <w:rPr>
          <w:rFonts w:ascii="Times New Roman" w:hAnsi="Times New Roman"/>
          <w:szCs w:val="24"/>
        </w:rPr>
        <w:t>равноправне</w:t>
      </w:r>
      <w:r w:rsidR="00E514F6" w:rsidRPr="001530E0">
        <w:rPr>
          <w:rFonts w:ascii="Times New Roman" w:hAnsi="Times New Roman"/>
          <w:szCs w:val="24"/>
        </w:rPr>
        <w:t xml:space="preserve"> </w:t>
      </w:r>
      <w:r>
        <w:rPr>
          <w:rFonts w:ascii="Times New Roman" w:hAnsi="Times New Roman"/>
          <w:szCs w:val="24"/>
        </w:rPr>
        <w:t>заступљености</w:t>
      </w:r>
      <w:r w:rsidR="00E514F6" w:rsidRPr="001530E0">
        <w:rPr>
          <w:rFonts w:ascii="Times New Roman" w:hAnsi="Times New Roman"/>
          <w:szCs w:val="24"/>
        </w:rPr>
        <w:t xml:space="preserve"> </w:t>
      </w:r>
      <w:r>
        <w:rPr>
          <w:rFonts w:ascii="Times New Roman" w:hAnsi="Times New Roman"/>
          <w:szCs w:val="24"/>
        </w:rPr>
        <w:t>жена</w:t>
      </w:r>
      <w:r w:rsidR="00E514F6" w:rsidRPr="001530E0">
        <w:rPr>
          <w:rFonts w:ascii="Times New Roman" w:hAnsi="Times New Roman"/>
          <w:szCs w:val="24"/>
        </w:rPr>
        <w:t xml:space="preserve"> </w:t>
      </w:r>
      <w:r>
        <w:rPr>
          <w:rFonts w:ascii="Times New Roman" w:hAnsi="Times New Roman"/>
          <w:szCs w:val="24"/>
        </w:rPr>
        <w:t>у</w:t>
      </w:r>
      <w:r w:rsidR="00E514F6" w:rsidRPr="001530E0">
        <w:rPr>
          <w:rFonts w:ascii="Times New Roman" w:hAnsi="Times New Roman"/>
          <w:szCs w:val="24"/>
        </w:rPr>
        <w:t xml:space="preserve"> </w:t>
      </w:r>
      <w:r>
        <w:rPr>
          <w:rFonts w:ascii="Times New Roman" w:hAnsi="Times New Roman"/>
          <w:szCs w:val="24"/>
        </w:rPr>
        <w:t>економији</w:t>
      </w:r>
      <w:r w:rsidR="00E514F6" w:rsidRPr="001530E0">
        <w:rPr>
          <w:rFonts w:ascii="Times New Roman" w:hAnsi="Times New Roman"/>
          <w:szCs w:val="24"/>
        </w:rPr>
        <w:t xml:space="preserve"> </w:t>
      </w:r>
      <w:r>
        <w:rPr>
          <w:rFonts w:ascii="Times New Roman" w:hAnsi="Times New Roman"/>
          <w:szCs w:val="24"/>
        </w:rPr>
        <w:t>зависи</w:t>
      </w:r>
      <w:r w:rsidR="00E514F6" w:rsidRPr="001530E0">
        <w:rPr>
          <w:rFonts w:ascii="Times New Roman" w:hAnsi="Times New Roman"/>
          <w:szCs w:val="24"/>
        </w:rPr>
        <w:t xml:space="preserve"> </w:t>
      </w:r>
      <w:r>
        <w:rPr>
          <w:rFonts w:ascii="Times New Roman" w:hAnsi="Times New Roman"/>
          <w:szCs w:val="24"/>
        </w:rPr>
        <w:t>и</w:t>
      </w:r>
      <w:r w:rsidR="00E514F6" w:rsidRPr="001530E0">
        <w:rPr>
          <w:rFonts w:ascii="Times New Roman" w:hAnsi="Times New Roman"/>
          <w:szCs w:val="24"/>
        </w:rPr>
        <w:t xml:space="preserve"> </w:t>
      </w:r>
      <w:r>
        <w:rPr>
          <w:rFonts w:ascii="Times New Roman" w:hAnsi="Times New Roman"/>
          <w:szCs w:val="24"/>
        </w:rPr>
        <w:t>просперитет</w:t>
      </w:r>
      <w:r w:rsidR="00E514F6" w:rsidRPr="001530E0">
        <w:rPr>
          <w:rFonts w:ascii="Times New Roman" w:hAnsi="Times New Roman"/>
          <w:szCs w:val="24"/>
        </w:rPr>
        <w:t xml:space="preserve"> </w:t>
      </w:r>
      <w:r>
        <w:rPr>
          <w:rFonts w:ascii="Times New Roman" w:hAnsi="Times New Roman"/>
          <w:szCs w:val="24"/>
        </w:rPr>
        <w:t>друштва</w:t>
      </w:r>
      <w:r w:rsidR="00E514F6" w:rsidRPr="001530E0">
        <w:rPr>
          <w:rFonts w:ascii="Times New Roman" w:hAnsi="Times New Roman"/>
          <w:szCs w:val="24"/>
        </w:rPr>
        <w:t xml:space="preserve">, </w:t>
      </w:r>
      <w:r>
        <w:rPr>
          <w:rFonts w:ascii="Times New Roman" w:hAnsi="Times New Roman"/>
          <w:szCs w:val="24"/>
        </w:rPr>
        <w:t>превазилажење</w:t>
      </w:r>
      <w:r w:rsidR="00E514F6" w:rsidRPr="001530E0">
        <w:rPr>
          <w:rFonts w:ascii="Times New Roman" w:hAnsi="Times New Roman"/>
          <w:szCs w:val="24"/>
        </w:rPr>
        <w:t xml:space="preserve"> </w:t>
      </w:r>
      <w:r>
        <w:rPr>
          <w:rFonts w:ascii="Times New Roman" w:hAnsi="Times New Roman"/>
          <w:szCs w:val="24"/>
        </w:rPr>
        <w:t>сиромаштва</w:t>
      </w:r>
      <w:r w:rsidR="00E514F6" w:rsidRPr="001530E0">
        <w:rPr>
          <w:rFonts w:ascii="Times New Roman" w:hAnsi="Times New Roman"/>
          <w:szCs w:val="24"/>
        </w:rPr>
        <w:t xml:space="preserve"> </w:t>
      </w:r>
      <w:r>
        <w:rPr>
          <w:rFonts w:ascii="Times New Roman" w:hAnsi="Times New Roman"/>
          <w:szCs w:val="24"/>
        </w:rPr>
        <w:t>и</w:t>
      </w:r>
      <w:r w:rsidR="00E514F6" w:rsidRPr="001530E0">
        <w:rPr>
          <w:rFonts w:ascii="Times New Roman" w:hAnsi="Times New Roman"/>
          <w:szCs w:val="24"/>
        </w:rPr>
        <w:t xml:space="preserve"> </w:t>
      </w:r>
      <w:r>
        <w:rPr>
          <w:rFonts w:ascii="Times New Roman" w:hAnsi="Times New Roman"/>
          <w:szCs w:val="24"/>
        </w:rPr>
        <w:t>остваривање</w:t>
      </w:r>
      <w:r w:rsidR="00E514F6" w:rsidRPr="001530E0">
        <w:rPr>
          <w:rFonts w:ascii="Times New Roman" w:hAnsi="Times New Roman"/>
          <w:szCs w:val="24"/>
        </w:rPr>
        <w:t xml:space="preserve"> </w:t>
      </w:r>
      <w:r w:rsidR="00C93FA9">
        <w:rPr>
          <w:rFonts w:ascii="Times New Roman" w:hAnsi="Times New Roman"/>
          <w:szCs w:val="24"/>
          <w:lang w:val="sr-Cyrl-BA"/>
        </w:rPr>
        <w:t>безбједности</w:t>
      </w:r>
      <w:r w:rsidR="00E514F6" w:rsidRPr="001530E0">
        <w:rPr>
          <w:rFonts w:ascii="Times New Roman" w:hAnsi="Times New Roman"/>
          <w:szCs w:val="24"/>
        </w:rPr>
        <w:t xml:space="preserve"> </w:t>
      </w:r>
      <w:r>
        <w:rPr>
          <w:rFonts w:ascii="Times New Roman" w:hAnsi="Times New Roman"/>
          <w:szCs w:val="24"/>
        </w:rPr>
        <w:t>у</w:t>
      </w:r>
      <w:r w:rsidR="00E514F6" w:rsidRPr="001530E0">
        <w:rPr>
          <w:rFonts w:ascii="Times New Roman" w:hAnsi="Times New Roman"/>
          <w:szCs w:val="24"/>
        </w:rPr>
        <w:t xml:space="preserve"> </w:t>
      </w:r>
      <w:r>
        <w:rPr>
          <w:rFonts w:ascii="Times New Roman" w:hAnsi="Times New Roman"/>
          <w:szCs w:val="24"/>
        </w:rPr>
        <w:t>различитим</w:t>
      </w:r>
      <w:r w:rsidR="00E514F6" w:rsidRPr="001530E0">
        <w:rPr>
          <w:rFonts w:ascii="Times New Roman" w:hAnsi="Times New Roman"/>
          <w:szCs w:val="24"/>
        </w:rPr>
        <w:t xml:space="preserve"> </w:t>
      </w:r>
      <w:r>
        <w:rPr>
          <w:rFonts w:ascii="Times New Roman" w:hAnsi="Times New Roman"/>
          <w:szCs w:val="24"/>
        </w:rPr>
        <w:t>областима</w:t>
      </w:r>
      <w:r w:rsidR="00E514F6" w:rsidRPr="001530E0">
        <w:rPr>
          <w:rFonts w:ascii="Times New Roman" w:hAnsi="Times New Roman"/>
          <w:szCs w:val="24"/>
        </w:rPr>
        <w:t xml:space="preserve"> </w:t>
      </w:r>
      <w:r>
        <w:rPr>
          <w:rFonts w:ascii="Times New Roman" w:hAnsi="Times New Roman"/>
          <w:szCs w:val="24"/>
        </w:rPr>
        <w:t>живота</w:t>
      </w:r>
      <w:r w:rsidR="00E514F6" w:rsidRPr="001530E0">
        <w:rPr>
          <w:rFonts w:ascii="Times New Roman" w:hAnsi="Times New Roman"/>
          <w:szCs w:val="24"/>
        </w:rPr>
        <w:t xml:space="preserve"> </w:t>
      </w:r>
      <w:r>
        <w:rPr>
          <w:rFonts w:ascii="Times New Roman" w:hAnsi="Times New Roman"/>
          <w:szCs w:val="24"/>
        </w:rPr>
        <w:t>и</w:t>
      </w:r>
      <w:r w:rsidR="00E514F6" w:rsidRPr="001530E0">
        <w:rPr>
          <w:rFonts w:ascii="Times New Roman" w:hAnsi="Times New Roman"/>
          <w:szCs w:val="24"/>
        </w:rPr>
        <w:t xml:space="preserve"> </w:t>
      </w:r>
      <w:r>
        <w:rPr>
          <w:rFonts w:ascii="Times New Roman" w:hAnsi="Times New Roman"/>
          <w:szCs w:val="24"/>
        </w:rPr>
        <w:t>рада</w:t>
      </w:r>
      <w:r w:rsidR="00E514F6" w:rsidRPr="001530E0">
        <w:rPr>
          <w:rFonts w:ascii="Times New Roman" w:hAnsi="Times New Roman"/>
          <w:szCs w:val="24"/>
        </w:rPr>
        <w:t xml:space="preserve">. </w:t>
      </w:r>
    </w:p>
    <w:p w:rsidR="00E514F6" w:rsidRPr="00790C20" w:rsidRDefault="00E514F6" w:rsidP="0086268D">
      <w:pPr>
        <w:pStyle w:val="ListParagraph"/>
        <w:ind w:left="720"/>
        <w:jc w:val="both"/>
        <w:rPr>
          <w:rFonts w:ascii="Times New Roman" w:hAnsi="Times New Roman"/>
          <w:lang w:val="hr-HR"/>
        </w:rPr>
      </w:pPr>
    </w:p>
    <w:p w:rsidR="0042679D" w:rsidRPr="009F309B" w:rsidRDefault="00C6214E" w:rsidP="0086268D">
      <w:pPr>
        <w:pStyle w:val="ListParagraph"/>
        <w:numPr>
          <w:ilvl w:val="0"/>
          <w:numId w:val="17"/>
        </w:numPr>
        <w:jc w:val="both"/>
        <w:rPr>
          <w:rFonts w:ascii="Times New Roman" w:hAnsi="Times New Roman"/>
          <w:lang w:val="hr-HR"/>
        </w:rPr>
      </w:pPr>
      <w:r>
        <w:rPr>
          <w:rFonts w:ascii="Times New Roman" w:hAnsi="Times New Roman"/>
          <w:lang w:val="bs-Latn-BA"/>
        </w:rPr>
        <w:t>Као</w:t>
      </w:r>
      <w:r w:rsidR="0042679D" w:rsidRPr="009F309B">
        <w:rPr>
          <w:rFonts w:ascii="Times New Roman" w:hAnsi="Times New Roman"/>
          <w:lang w:val="bs-Latn-BA"/>
        </w:rPr>
        <w:t xml:space="preserve"> </w:t>
      </w:r>
      <w:r>
        <w:rPr>
          <w:rFonts w:ascii="Times New Roman" w:hAnsi="Times New Roman"/>
          <w:lang w:val="bs-Latn-BA"/>
        </w:rPr>
        <w:t>резултат</w:t>
      </w:r>
      <w:r w:rsidR="0042679D" w:rsidRPr="009F309B">
        <w:rPr>
          <w:rFonts w:ascii="Times New Roman" w:hAnsi="Times New Roman"/>
          <w:lang w:val="bs-Latn-BA"/>
        </w:rPr>
        <w:t xml:space="preserve"> </w:t>
      </w:r>
      <w:r>
        <w:rPr>
          <w:rFonts w:ascii="Times New Roman" w:hAnsi="Times New Roman"/>
          <w:lang w:val="bs-Latn-BA"/>
        </w:rPr>
        <w:t>едука</w:t>
      </w:r>
      <w:r w:rsidR="00C93FA9">
        <w:rPr>
          <w:rFonts w:ascii="Times New Roman" w:hAnsi="Times New Roman"/>
          <w:lang w:val="sr-Cyrl-BA"/>
        </w:rPr>
        <w:t>тивних</w:t>
      </w:r>
      <w:r w:rsidR="0042679D" w:rsidRPr="009F309B">
        <w:rPr>
          <w:rFonts w:ascii="Times New Roman" w:hAnsi="Times New Roman"/>
          <w:lang w:val="bs-Latn-BA"/>
        </w:rPr>
        <w:t xml:space="preserve"> </w:t>
      </w:r>
      <w:r>
        <w:rPr>
          <w:rFonts w:ascii="Times New Roman" w:hAnsi="Times New Roman"/>
          <w:lang w:val="bs-Latn-BA"/>
        </w:rPr>
        <w:t>и</w:t>
      </w:r>
      <w:r w:rsidR="0042679D" w:rsidRPr="009F309B">
        <w:rPr>
          <w:rFonts w:ascii="Times New Roman" w:hAnsi="Times New Roman"/>
          <w:lang w:val="bs-Latn-BA"/>
        </w:rPr>
        <w:t xml:space="preserve"> </w:t>
      </w:r>
      <w:r>
        <w:rPr>
          <w:rFonts w:ascii="Times New Roman" w:hAnsi="Times New Roman"/>
          <w:lang w:val="bs-Latn-BA"/>
        </w:rPr>
        <w:t>промотивних</w:t>
      </w:r>
      <w:r w:rsidR="0042679D" w:rsidRPr="009F309B">
        <w:rPr>
          <w:rFonts w:ascii="Times New Roman" w:hAnsi="Times New Roman"/>
          <w:lang w:val="bs-Latn-BA"/>
        </w:rPr>
        <w:t xml:space="preserve"> </w:t>
      </w:r>
      <w:r>
        <w:rPr>
          <w:rFonts w:ascii="Times New Roman" w:hAnsi="Times New Roman"/>
          <w:lang w:val="bs-Latn-BA"/>
        </w:rPr>
        <w:t>активности</w:t>
      </w:r>
      <w:r w:rsidR="0042679D" w:rsidRPr="009F309B">
        <w:rPr>
          <w:rFonts w:ascii="Times New Roman" w:hAnsi="Times New Roman"/>
          <w:lang w:val="bs-Latn-BA"/>
        </w:rPr>
        <w:t xml:space="preserve"> </w:t>
      </w:r>
      <w:r>
        <w:rPr>
          <w:rFonts w:ascii="Times New Roman" w:hAnsi="Times New Roman"/>
          <w:lang w:val="bs-Latn-BA"/>
        </w:rPr>
        <w:t>за</w:t>
      </w:r>
      <w:r w:rsidR="0042679D" w:rsidRPr="009F309B">
        <w:rPr>
          <w:rFonts w:ascii="Times New Roman" w:hAnsi="Times New Roman"/>
          <w:lang w:val="bs-Latn-BA"/>
        </w:rPr>
        <w:t xml:space="preserve"> </w:t>
      </w:r>
      <w:r>
        <w:rPr>
          <w:rFonts w:ascii="Times New Roman" w:hAnsi="Times New Roman"/>
          <w:lang w:val="bs-Latn-BA"/>
        </w:rPr>
        <w:t>подизање</w:t>
      </w:r>
      <w:r w:rsidR="0042679D" w:rsidRPr="009F309B">
        <w:rPr>
          <w:rFonts w:ascii="Times New Roman" w:hAnsi="Times New Roman"/>
          <w:lang w:val="bs-Latn-BA"/>
        </w:rPr>
        <w:t xml:space="preserve"> </w:t>
      </w:r>
      <w:r>
        <w:rPr>
          <w:rFonts w:ascii="Times New Roman" w:hAnsi="Times New Roman"/>
          <w:lang w:val="bs-Latn-BA"/>
        </w:rPr>
        <w:t>свијести</w:t>
      </w:r>
      <w:r w:rsidR="0042679D" w:rsidRPr="009F309B">
        <w:rPr>
          <w:rFonts w:ascii="Times New Roman" w:hAnsi="Times New Roman"/>
          <w:lang w:val="bs-Latn-BA"/>
        </w:rPr>
        <w:t xml:space="preserve"> </w:t>
      </w:r>
      <w:r>
        <w:rPr>
          <w:rFonts w:ascii="Times New Roman" w:hAnsi="Times New Roman"/>
          <w:lang w:val="bs-Latn-BA"/>
        </w:rPr>
        <w:t>институција</w:t>
      </w:r>
      <w:r w:rsidR="0042679D" w:rsidRPr="009F309B">
        <w:rPr>
          <w:rFonts w:ascii="Times New Roman" w:hAnsi="Times New Roman"/>
          <w:lang w:val="bs-Latn-BA"/>
        </w:rPr>
        <w:t xml:space="preserve"> </w:t>
      </w:r>
      <w:r>
        <w:rPr>
          <w:rFonts w:ascii="Times New Roman" w:hAnsi="Times New Roman"/>
          <w:lang w:val="bs-Latn-BA"/>
        </w:rPr>
        <w:t>о</w:t>
      </w:r>
      <w:r w:rsidR="0042679D" w:rsidRPr="009F309B">
        <w:rPr>
          <w:rFonts w:ascii="Times New Roman" w:hAnsi="Times New Roman"/>
          <w:lang w:val="bs-Latn-BA"/>
        </w:rPr>
        <w:t xml:space="preserve"> </w:t>
      </w:r>
      <w:r>
        <w:rPr>
          <w:rFonts w:ascii="Times New Roman" w:hAnsi="Times New Roman"/>
          <w:lang w:val="bs-Latn-BA"/>
        </w:rPr>
        <w:t>важности</w:t>
      </w:r>
      <w:r w:rsidR="0042679D" w:rsidRPr="009F309B">
        <w:rPr>
          <w:rFonts w:ascii="Times New Roman" w:hAnsi="Times New Roman"/>
          <w:lang w:val="bs-Latn-BA"/>
        </w:rPr>
        <w:t xml:space="preserve"> </w:t>
      </w:r>
      <w:r>
        <w:rPr>
          <w:rFonts w:ascii="Times New Roman" w:hAnsi="Times New Roman"/>
          <w:lang w:val="bs-Latn-BA"/>
        </w:rPr>
        <w:t>доношења</w:t>
      </w:r>
      <w:r w:rsidR="0042679D" w:rsidRPr="009F309B">
        <w:rPr>
          <w:rFonts w:ascii="Times New Roman" w:hAnsi="Times New Roman"/>
          <w:lang w:val="bs-Latn-BA"/>
        </w:rPr>
        <w:t xml:space="preserve"> </w:t>
      </w:r>
      <w:r>
        <w:rPr>
          <w:rFonts w:ascii="Times New Roman" w:hAnsi="Times New Roman"/>
          <w:lang w:val="bs-Latn-BA"/>
        </w:rPr>
        <w:t>родно</w:t>
      </w:r>
      <w:r w:rsidR="0042679D" w:rsidRPr="009F309B">
        <w:rPr>
          <w:rFonts w:ascii="Times New Roman" w:hAnsi="Times New Roman"/>
          <w:lang w:val="bs-Latn-BA"/>
        </w:rPr>
        <w:t xml:space="preserve"> </w:t>
      </w:r>
      <w:r>
        <w:rPr>
          <w:rFonts w:ascii="Times New Roman" w:hAnsi="Times New Roman"/>
          <w:lang w:val="bs-Latn-BA"/>
        </w:rPr>
        <w:t>осјетљивих</w:t>
      </w:r>
      <w:r w:rsidR="0042679D" w:rsidRPr="009F309B">
        <w:rPr>
          <w:rFonts w:ascii="Times New Roman" w:hAnsi="Times New Roman"/>
          <w:lang w:val="bs-Latn-BA"/>
        </w:rPr>
        <w:t xml:space="preserve"> </w:t>
      </w:r>
      <w:r>
        <w:rPr>
          <w:rFonts w:ascii="Times New Roman" w:hAnsi="Times New Roman"/>
          <w:lang w:val="bs-Latn-BA"/>
        </w:rPr>
        <w:t>политка</w:t>
      </w:r>
      <w:r w:rsidR="0042679D" w:rsidRPr="009F309B">
        <w:rPr>
          <w:rFonts w:ascii="Times New Roman" w:hAnsi="Times New Roman"/>
          <w:lang w:val="bs-Latn-BA"/>
        </w:rPr>
        <w:t xml:space="preserve">, </w:t>
      </w:r>
      <w:r>
        <w:rPr>
          <w:rFonts w:ascii="Times New Roman" w:hAnsi="Times New Roman"/>
          <w:lang w:val="bs-Latn-BA"/>
        </w:rPr>
        <w:t>успостављени</w:t>
      </w:r>
      <w:r w:rsidR="0042679D" w:rsidRPr="009F309B">
        <w:rPr>
          <w:rFonts w:ascii="Times New Roman" w:hAnsi="Times New Roman"/>
          <w:lang w:val="bs-Latn-BA"/>
        </w:rPr>
        <w:t xml:space="preserve"> </w:t>
      </w:r>
      <w:r>
        <w:rPr>
          <w:rFonts w:ascii="Times New Roman" w:hAnsi="Times New Roman"/>
          <w:lang w:val="bs-Latn-BA"/>
        </w:rPr>
        <w:t>механизам</w:t>
      </w:r>
      <w:r w:rsidR="0042679D" w:rsidRPr="009F309B">
        <w:rPr>
          <w:rFonts w:ascii="Times New Roman" w:hAnsi="Times New Roman"/>
          <w:lang w:val="bs-Latn-BA"/>
        </w:rPr>
        <w:t xml:space="preserve"> </w:t>
      </w:r>
      <w:r>
        <w:rPr>
          <w:rFonts w:ascii="Times New Roman" w:hAnsi="Times New Roman"/>
          <w:lang w:val="bs-Latn-BA"/>
        </w:rPr>
        <w:t>за</w:t>
      </w:r>
      <w:r w:rsidR="0042679D" w:rsidRPr="009F309B">
        <w:rPr>
          <w:rFonts w:ascii="Times New Roman" w:hAnsi="Times New Roman"/>
          <w:lang w:val="bs-Latn-BA"/>
        </w:rPr>
        <w:t xml:space="preserve"> </w:t>
      </w:r>
      <w:r>
        <w:rPr>
          <w:rFonts w:ascii="Times New Roman" w:hAnsi="Times New Roman"/>
          <w:lang w:val="bs-Latn-BA"/>
        </w:rPr>
        <w:t>превенцију</w:t>
      </w:r>
      <w:r w:rsidR="0042679D" w:rsidRPr="009F309B">
        <w:rPr>
          <w:rFonts w:ascii="Times New Roman" w:hAnsi="Times New Roman"/>
          <w:lang w:val="bs-Latn-BA"/>
        </w:rPr>
        <w:t xml:space="preserve"> </w:t>
      </w:r>
      <w:r>
        <w:rPr>
          <w:rFonts w:ascii="Times New Roman" w:hAnsi="Times New Roman"/>
          <w:lang w:val="bs-Latn-BA"/>
        </w:rPr>
        <w:t>сексуалног</w:t>
      </w:r>
      <w:r w:rsidR="0042679D" w:rsidRPr="009F309B">
        <w:rPr>
          <w:rFonts w:ascii="Times New Roman" w:hAnsi="Times New Roman"/>
          <w:lang w:val="bs-Latn-BA"/>
        </w:rPr>
        <w:t xml:space="preserve"> </w:t>
      </w:r>
      <w:r>
        <w:rPr>
          <w:rFonts w:ascii="Times New Roman" w:hAnsi="Times New Roman"/>
          <w:lang w:val="bs-Latn-BA"/>
        </w:rPr>
        <w:t>узнемиравања</w:t>
      </w:r>
      <w:r w:rsidR="0042679D" w:rsidRPr="009F309B">
        <w:rPr>
          <w:rFonts w:ascii="Times New Roman" w:hAnsi="Times New Roman"/>
          <w:lang w:val="bs-Latn-BA"/>
        </w:rPr>
        <w:t xml:space="preserve"> </w:t>
      </w:r>
      <w:r>
        <w:rPr>
          <w:rFonts w:ascii="Times New Roman" w:hAnsi="Times New Roman"/>
          <w:lang w:val="bs-Latn-BA"/>
        </w:rPr>
        <w:t>и</w:t>
      </w:r>
      <w:r w:rsidR="0042679D" w:rsidRPr="009F309B">
        <w:rPr>
          <w:rFonts w:ascii="Times New Roman" w:hAnsi="Times New Roman"/>
          <w:lang w:val="bs-Latn-BA"/>
        </w:rPr>
        <w:t xml:space="preserve"> </w:t>
      </w:r>
      <w:r>
        <w:rPr>
          <w:rFonts w:ascii="Times New Roman" w:hAnsi="Times New Roman"/>
          <w:lang w:val="bs-Latn-BA"/>
        </w:rPr>
        <w:t>узнемиравања</w:t>
      </w:r>
      <w:r w:rsidR="0042679D" w:rsidRPr="009F309B">
        <w:rPr>
          <w:rFonts w:ascii="Times New Roman" w:hAnsi="Times New Roman"/>
          <w:lang w:val="bs-Latn-BA"/>
        </w:rPr>
        <w:t xml:space="preserve"> </w:t>
      </w:r>
      <w:r>
        <w:rPr>
          <w:rFonts w:ascii="Times New Roman" w:hAnsi="Times New Roman"/>
          <w:lang w:val="bs-Latn-BA"/>
        </w:rPr>
        <w:t>на</w:t>
      </w:r>
      <w:r w:rsidR="0042679D" w:rsidRPr="009F309B">
        <w:rPr>
          <w:rFonts w:ascii="Times New Roman" w:hAnsi="Times New Roman"/>
          <w:lang w:val="bs-Latn-BA"/>
        </w:rPr>
        <w:t xml:space="preserve"> </w:t>
      </w:r>
      <w:r>
        <w:rPr>
          <w:rFonts w:ascii="Times New Roman" w:hAnsi="Times New Roman"/>
          <w:lang w:val="bs-Latn-BA"/>
        </w:rPr>
        <w:t>основу</w:t>
      </w:r>
      <w:r w:rsidR="005C0F06">
        <w:rPr>
          <w:rFonts w:ascii="Times New Roman" w:hAnsi="Times New Roman"/>
          <w:lang w:val="bs-Latn-BA"/>
        </w:rPr>
        <w:t xml:space="preserve"> </w:t>
      </w:r>
      <w:r>
        <w:rPr>
          <w:rFonts w:ascii="Times New Roman" w:hAnsi="Times New Roman"/>
          <w:lang w:val="bs-Latn-BA"/>
        </w:rPr>
        <w:t>пола</w:t>
      </w:r>
      <w:r w:rsidR="005C0F06">
        <w:rPr>
          <w:rFonts w:ascii="Times New Roman" w:hAnsi="Times New Roman"/>
          <w:lang w:val="bs-Latn-BA"/>
        </w:rPr>
        <w:t xml:space="preserve"> </w:t>
      </w:r>
      <w:r>
        <w:rPr>
          <w:rFonts w:ascii="Times New Roman" w:hAnsi="Times New Roman"/>
          <w:lang w:val="bs-Latn-BA"/>
        </w:rPr>
        <w:t>у</w:t>
      </w:r>
      <w:r w:rsidR="005C0F06">
        <w:rPr>
          <w:rFonts w:ascii="Times New Roman" w:hAnsi="Times New Roman"/>
          <w:lang w:val="bs-Latn-BA"/>
        </w:rPr>
        <w:t xml:space="preserve"> </w:t>
      </w:r>
      <w:r>
        <w:rPr>
          <w:rFonts w:ascii="Times New Roman" w:hAnsi="Times New Roman"/>
          <w:lang w:val="bs-Latn-BA"/>
        </w:rPr>
        <w:t>институцијама</w:t>
      </w:r>
      <w:r w:rsidR="005C0F06">
        <w:rPr>
          <w:rFonts w:ascii="Times New Roman" w:hAnsi="Times New Roman"/>
          <w:lang w:val="bs-Latn-BA"/>
        </w:rPr>
        <w:t xml:space="preserve"> </w:t>
      </w:r>
      <w:r>
        <w:rPr>
          <w:rFonts w:ascii="Times New Roman" w:hAnsi="Times New Roman"/>
          <w:lang w:val="bs-Latn-BA"/>
        </w:rPr>
        <w:t>ФБиХ</w:t>
      </w:r>
      <w:r w:rsidR="0042679D" w:rsidRPr="009F309B">
        <w:rPr>
          <w:rFonts w:ascii="Times New Roman" w:hAnsi="Times New Roman"/>
          <w:lang w:val="bs-Latn-BA"/>
        </w:rPr>
        <w:t xml:space="preserve"> </w:t>
      </w:r>
      <w:r>
        <w:rPr>
          <w:rFonts w:ascii="Times New Roman" w:hAnsi="Times New Roman"/>
          <w:lang w:val="bs-Latn-BA"/>
        </w:rPr>
        <w:t>преузет</w:t>
      </w:r>
      <w:r w:rsidR="0042679D" w:rsidRPr="009F309B">
        <w:rPr>
          <w:rFonts w:ascii="Times New Roman" w:hAnsi="Times New Roman"/>
          <w:lang w:val="bs-Latn-BA"/>
        </w:rPr>
        <w:t xml:space="preserve"> </w:t>
      </w:r>
      <w:r>
        <w:rPr>
          <w:rFonts w:ascii="Times New Roman" w:hAnsi="Times New Roman"/>
          <w:lang w:val="bs-Latn-BA"/>
        </w:rPr>
        <w:t>је</w:t>
      </w:r>
      <w:r w:rsidR="0042679D" w:rsidRPr="009F309B">
        <w:rPr>
          <w:rFonts w:ascii="Times New Roman" w:hAnsi="Times New Roman"/>
          <w:lang w:val="bs-Latn-BA"/>
        </w:rPr>
        <w:t xml:space="preserve"> </w:t>
      </w:r>
      <w:r>
        <w:rPr>
          <w:rFonts w:ascii="Times New Roman" w:hAnsi="Times New Roman"/>
          <w:lang w:val="bs-Latn-BA"/>
        </w:rPr>
        <w:t>као</w:t>
      </w:r>
      <w:r w:rsidR="0042679D" w:rsidRPr="009F309B">
        <w:rPr>
          <w:rFonts w:ascii="Times New Roman" w:hAnsi="Times New Roman"/>
          <w:lang w:val="bs-Latn-BA"/>
        </w:rPr>
        <w:t xml:space="preserve"> </w:t>
      </w:r>
      <w:r>
        <w:rPr>
          <w:rFonts w:ascii="Times New Roman" w:hAnsi="Times New Roman"/>
          <w:lang w:val="bs-Latn-BA"/>
        </w:rPr>
        <w:t>примјер</w:t>
      </w:r>
      <w:r w:rsidR="0042679D" w:rsidRPr="009F309B">
        <w:rPr>
          <w:rFonts w:ascii="Times New Roman" w:hAnsi="Times New Roman"/>
          <w:lang w:val="bs-Latn-BA"/>
        </w:rPr>
        <w:t xml:space="preserve"> </w:t>
      </w:r>
      <w:r>
        <w:rPr>
          <w:rFonts w:ascii="Times New Roman" w:hAnsi="Times New Roman"/>
          <w:lang w:val="bs-Latn-BA"/>
        </w:rPr>
        <w:t>добре</w:t>
      </w:r>
      <w:r w:rsidR="0042679D" w:rsidRPr="009F309B">
        <w:rPr>
          <w:rFonts w:ascii="Times New Roman" w:hAnsi="Times New Roman"/>
          <w:lang w:val="bs-Latn-BA"/>
        </w:rPr>
        <w:t xml:space="preserve"> </w:t>
      </w:r>
      <w:r>
        <w:rPr>
          <w:rFonts w:ascii="Times New Roman" w:hAnsi="Times New Roman"/>
          <w:lang w:val="bs-Latn-BA"/>
        </w:rPr>
        <w:t>праксе</w:t>
      </w:r>
      <w:r w:rsidR="0042679D" w:rsidRPr="009F309B">
        <w:rPr>
          <w:rFonts w:ascii="Times New Roman" w:hAnsi="Times New Roman"/>
          <w:lang w:val="bs-Latn-BA"/>
        </w:rPr>
        <w:t xml:space="preserve">, </w:t>
      </w:r>
      <w:r>
        <w:rPr>
          <w:rFonts w:ascii="Times New Roman" w:hAnsi="Times New Roman"/>
          <w:lang w:val="bs-Latn-BA"/>
        </w:rPr>
        <w:t>те</w:t>
      </w:r>
      <w:r w:rsidR="0042679D" w:rsidRPr="009F309B">
        <w:rPr>
          <w:rFonts w:ascii="Times New Roman" w:hAnsi="Times New Roman"/>
          <w:lang w:val="bs-Latn-BA"/>
        </w:rPr>
        <w:t xml:space="preserve"> </w:t>
      </w:r>
      <w:r>
        <w:rPr>
          <w:rFonts w:ascii="Times New Roman" w:hAnsi="Times New Roman"/>
          <w:lang w:val="bs-Latn-BA"/>
        </w:rPr>
        <w:t>успостављен</w:t>
      </w:r>
      <w:r w:rsidR="0042679D" w:rsidRPr="009F309B">
        <w:rPr>
          <w:rFonts w:ascii="Times New Roman" w:hAnsi="Times New Roman"/>
          <w:lang w:val="bs-Latn-BA"/>
        </w:rPr>
        <w:t xml:space="preserve"> </w:t>
      </w:r>
      <w:r>
        <w:rPr>
          <w:rFonts w:ascii="Times New Roman" w:hAnsi="Times New Roman"/>
          <w:lang w:val="bs-Latn-BA"/>
        </w:rPr>
        <w:t>у</w:t>
      </w:r>
      <w:r w:rsidR="0042679D" w:rsidRPr="009F309B">
        <w:rPr>
          <w:rFonts w:ascii="Times New Roman" w:hAnsi="Times New Roman"/>
          <w:lang w:val="bs-Latn-BA"/>
        </w:rPr>
        <w:t xml:space="preserve"> </w:t>
      </w:r>
      <w:r>
        <w:rPr>
          <w:rFonts w:ascii="Times New Roman" w:hAnsi="Times New Roman"/>
          <w:lang w:val="bs-Latn-BA"/>
        </w:rPr>
        <w:t>седам</w:t>
      </w:r>
      <w:r w:rsidR="0042679D" w:rsidRPr="009F309B">
        <w:rPr>
          <w:rFonts w:ascii="Times New Roman" w:hAnsi="Times New Roman"/>
          <w:lang w:val="bs-Latn-BA"/>
        </w:rPr>
        <w:t xml:space="preserve"> </w:t>
      </w:r>
      <w:r>
        <w:rPr>
          <w:rFonts w:ascii="Times New Roman" w:hAnsi="Times New Roman"/>
          <w:lang w:val="bs-Latn-BA"/>
        </w:rPr>
        <w:t>кантона</w:t>
      </w:r>
      <w:r w:rsidR="00751A3F">
        <w:rPr>
          <w:rFonts w:ascii="Times New Roman" w:hAnsi="Times New Roman"/>
          <w:lang w:val="bs-Latn-BA"/>
        </w:rPr>
        <w:t xml:space="preserve"> </w:t>
      </w:r>
      <w:r>
        <w:rPr>
          <w:rFonts w:ascii="Times New Roman" w:hAnsi="Times New Roman"/>
          <w:lang w:val="bs-Latn-BA"/>
        </w:rPr>
        <w:t>ФБиХ</w:t>
      </w:r>
      <w:r w:rsidR="0042679D" w:rsidRPr="009F309B">
        <w:rPr>
          <w:rFonts w:ascii="Times New Roman" w:hAnsi="Times New Roman"/>
          <w:lang w:val="bs-Latn-BA"/>
        </w:rPr>
        <w:t>.</w:t>
      </w:r>
    </w:p>
    <w:p w:rsidR="0042679D" w:rsidRPr="00295637" w:rsidRDefault="0042679D" w:rsidP="0086268D">
      <w:pPr>
        <w:jc w:val="both"/>
        <w:rPr>
          <w:rFonts w:ascii="Times New Roman" w:hAnsi="Times New Roman"/>
          <w:szCs w:val="24"/>
          <w:lang w:val="en-US"/>
        </w:rPr>
      </w:pPr>
    </w:p>
    <w:p w:rsidR="0042679D" w:rsidRPr="00295637"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У</w:t>
      </w:r>
      <w:r w:rsidR="00751A3F">
        <w:rPr>
          <w:rFonts w:ascii="Times New Roman" w:hAnsi="Times New Roman"/>
          <w:szCs w:val="24"/>
          <w:lang w:val="bs-Latn-BA"/>
        </w:rPr>
        <w:t xml:space="preserve"> </w:t>
      </w:r>
      <w:r>
        <w:rPr>
          <w:rFonts w:ascii="Times New Roman" w:hAnsi="Times New Roman"/>
          <w:szCs w:val="24"/>
          <w:lang w:val="bs-Latn-BA"/>
        </w:rPr>
        <w:t>ФБиХ</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2024. </w:t>
      </w:r>
      <w:r>
        <w:rPr>
          <w:rFonts w:ascii="Times New Roman" w:hAnsi="Times New Roman"/>
          <w:szCs w:val="24"/>
          <w:lang w:val="bs-Latn-BA"/>
        </w:rPr>
        <w:t>години</w:t>
      </w:r>
      <w:r w:rsidR="0042679D" w:rsidRPr="00295637">
        <w:rPr>
          <w:rFonts w:ascii="Times New Roman" w:hAnsi="Times New Roman"/>
          <w:szCs w:val="24"/>
          <w:lang w:val="bs-Latn-BA"/>
        </w:rPr>
        <w:t xml:space="preserve"> </w:t>
      </w:r>
      <w:r>
        <w:rPr>
          <w:rFonts w:ascii="Times New Roman" w:hAnsi="Times New Roman"/>
          <w:szCs w:val="24"/>
          <w:lang w:val="bs-Latn-BA"/>
        </w:rPr>
        <w:t>унапријеђен</w:t>
      </w:r>
      <w:r w:rsidR="0042679D" w:rsidRPr="00295637">
        <w:rPr>
          <w:rFonts w:ascii="Times New Roman" w:hAnsi="Times New Roman"/>
          <w:szCs w:val="24"/>
          <w:lang w:val="bs-Latn-BA"/>
        </w:rPr>
        <w:t xml:space="preserve"> </w:t>
      </w:r>
      <w:r>
        <w:rPr>
          <w:rFonts w:ascii="Times New Roman" w:hAnsi="Times New Roman"/>
          <w:szCs w:val="24"/>
          <w:lang w:val="bs-Latn-BA"/>
        </w:rPr>
        <w:t>законски</w:t>
      </w:r>
      <w:r w:rsidR="0042679D" w:rsidRPr="00295637">
        <w:rPr>
          <w:rFonts w:ascii="Times New Roman" w:hAnsi="Times New Roman"/>
          <w:szCs w:val="24"/>
          <w:lang w:val="bs-Latn-BA"/>
        </w:rPr>
        <w:t xml:space="preserve"> </w:t>
      </w:r>
      <w:r>
        <w:rPr>
          <w:rFonts w:ascii="Times New Roman" w:hAnsi="Times New Roman"/>
          <w:szCs w:val="24"/>
          <w:lang w:val="bs-Latn-BA"/>
        </w:rPr>
        <w:t>оквир</w:t>
      </w:r>
      <w:r w:rsidR="0042679D" w:rsidRPr="00295637">
        <w:rPr>
          <w:rFonts w:ascii="Times New Roman" w:hAnsi="Times New Roman"/>
          <w:szCs w:val="24"/>
          <w:lang w:val="bs-Latn-BA"/>
        </w:rPr>
        <w:t xml:space="preserve"> </w:t>
      </w:r>
      <w:r>
        <w:rPr>
          <w:rFonts w:ascii="Times New Roman" w:hAnsi="Times New Roman"/>
          <w:szCs w:val="24"/>
          <w:lang w:val="bs-Latn-BA"/>
        </w:rPr>
        <w:t>који</w:t>
      </w:r>
      <w:r w:rsidR="0042679D" w:rsidRPr="00295637">
        <w:rPr>
          <w:rFonts w:ascii="Times New Roman" w:hAnsi="Times New Roman"/>
          <w:szCs w:val="24"/>
          <w:lang w:val="bs-Latn-BA"/>
        </w:rPr>
        <w:t xml:space="preserve"> </w:t>
      </w:r>
      <w:r>
        <w:rPr>
          <w:rFonts w:ascii="Times New Roman" w:hAnsi="Times New Roman"/>
          <w:szCs w:val="24"/>
          <w:lang w:val="bs-Latn-BA"/>
        </w:rPr>
        <w:t>омогућава</w:t>
      </w:r>
      <w:r w:rsidR="0042679D">
        <w:rPr>
          <w:rFonts w:ascii="Times New Roman" w:hAnsi="Times New Roman"/>
          <w:szCs w:val="24"/>
          <w:lang w:val="bs-Latn-BA"/>
        </w:rPr>
        <w:t xml:space="preserve"> </w:t>
      </w:r>
      <w:r>
        <w:rPr>
          <w:rFonts w:ascii="Times New Roman" w:hAnsi="Times New Roman"/>
          <w:szCs w:val="24"/>
          <w:lang w:val="bs-Latn-BA"/>
        </w:rPr>
        <w:t>већу</w:t>
      </w:r>
      <w:r w:rsidR="0042679D" w:rsidRPr="00295637">
        <w:rPr>
          <w:rFonts w:ascii="Times New Roman" w:hAnsi="Times New Roman"/>
          <w:szCs w:val="24"/>
          <w:lang w:val="bs-Latn-BA"/>
        </w:rPr>
        <w:t xml:space="preserve"> </w:t>
      </w:r>
      <w:r w:rsidR="00C93FA9">
        <w:rPr>
          <w:rFonts w:ascii="Times New Roman" w:hAnsi="Times New Roman"/>
          <w:szCs w:val="24"/>
          <w:lang w:val="sr-Cyrl-BA"/>
        </w:rPr>
        <w:t>безбједност</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стабилност</w:t>
      </w:r>
      <w:r w:rsidR="0042679D" w:rsidRPr="00295637">
        <w:rPr>
          <w:rFonts w:ascii="Times New Roman" w:hAnsi="Times New Roman"/>
          <w:szCs w:val="24"/>
          <w:lang w:val="bs-Latn-BA"/>
        </w:rPr>
        <w:t xml:space="preserve"> </w:t>
      </w:r>
      <w:r>
        <w:rPr>
          <w:rFonts w:ascii="Times New Roman" w:hAnsi="Times New Roman"/>
          <w:szCs w:val="24"/>
          <w:lang w:val="bs-Latn-BA"/>
        </w:rPr>
        <w:t>жене</w:t>
      </w:r>
      <w:r w:rsidR="0042679D" w:rsidRPr="00295637">
        <w:rPr>
          <w:rFonts w:ascii="Times New Roman" w:hAnsi="Times New Roman"/>
          <w:szCs w:val="24"/>
          <w:lang w:val="bs-Latn-BA"/>
        </w:rPr>
        <w:t xml:space="preserve"> </w:t>
      </w:r>
      <w:r>
        <w:rPr>
          <w:rFonts w:ascii="Times New Roman" w:hAnsi="Times New Roman"/>
          <w:szCs w:val="24"/>
          <w:lang w:val="bs-Latn-BA"/>
        </w:rPr>
        <w:t>на</w:t>
      </w:r>
      <w:r w:rsidR="0042679D" w:rsidRPr="00295637">
        <w:rPr>
          <w:rFonts w:ascii="Times New Roman" w:hAnsi="Times New Roman"/>
          <w:szCs w:val="24"/>
          <w:lang w:val="bs-Latn-BA"/>
        </w:rPr>
        <w:t xml:space="preserve"> </w:t>
      </w:r>
      <w:r>
        <w:rPr>
          <w:rFonts w:ascii="Times New Roman" w:hAnsi="Times New Roman"/>
          <w:szCs w:val="24"/>
          <w:lang w:val="bs-Latn-BA"/>
        </w:rPr>
        <w:t>радном</w:t>
      </w:r>
      <w:r w:rsidR="0042679D" w:rsidRPr="00295637">
        <w:rPr>
          <w:rFonts w:ascii="Times New Roman" w:hAnsi="Times New Roman"/>
          <w:szCs w:val="24"/>
          <w:lang w:val="bs-Latn-BA"/>
        </w:rPr>
        <w:t xml:space="preserve"> </w:t>
      </w:r>
      <w:r>
        <w:rPr>
          <w:rFonts w:ascii="Times New Roman" w:hAnsi="Times New Roman"/>
          <w:szCs w:val="24"/>
          <w:lang w:val="bs-Latn-BA"/>
        </w:rPr>
        <w:t>мјесту</w:t>
      </w:r>
      <w:r w:rsidR="0042679D" w:rsidRPr="00295637">
        <w:rPr>
          <w:rFonts w:ascii="Times New Roman" w:hAnsi="Times New Roman"/>
          <w:szCs w:val="24"/>
          <w:lang w:val="bs-Latn-BA"/>
        </w:rPr>
        <w:t xml:space="preserve">. </w:t>
      </w:r>
      <w:r>
        <w:rPr>
          <w:rFonts w:ascii="Times New Roman" w:hAnsi="Times New Roman"/>
          <w:szCs w:val="24"/>
          <w:lang w:val="bs-Latn-BA"/>
        </w:rPr>
        <w:t>Донесена</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Уредба</w:t>
      </w:r>
      <w:r w:rsidR="0042679D" w:rsidRPr="00295637">
        <w:rPr>
          <w:rFonts w:ascii="Times New Roman" w:hAnsi="Times New Roman"/>
          <w:szCs w:val="24"/>
          <w:lang w:val="bs-Latn-BA"/>
        </w:rPr>
        <w:t xml:space="preserve"> </w:t>
      </w:r>
      <w:r>
        <w:rPr>
          <w:rFonts w:ascii="Times New Roman" w:hAnsi="Times New Roman"/>
          <w:szCs w:val="24"/>
          <w:lang w:val="bs-Latn-BA"/>
        </w:rPr>
        <w:t>која</w:t>
      </w:r>
      <w:r w:rsidR="0042679D" w:rsidRPr="00295637">
        <w:rPr>
          <w:rFonts w:ascii="Times New Roman" w:hAnsi="Times New Roman"/>
          <w:szCs w:val="24"/>
          <w:lang w:val="bs-Latn-BA"/>
        </w:rPr>
        <w:t xml:space="preserve"> </w:t>
      </w:r>
      <w:r>
        <w:rPr>
          <w:rFonts w:ascii="Times New Roman" w:hAnsi="Times New Roman"/>
          <w:szCs w:val="24"/>
          <w:lang w:val="bs-Latn-BA"/>
        </w:rPr>
        <w:t>свим</w:t>
      </w:r>
      <w:r w:rsidR="0042679D" w:rsidRPr="00295637">
        <w:rPr>
          <w:rFonts w:ascii="Times New Roman" w:hAnsi="Times New Roman"/>
          <w:szCs w:val="24"/>
          <w:lang w:val="bs-Latn-BA"/>
        </w:rPr>
        <w:t xml:space="preserve"> </w:t>
      </w:r>
      <w:r>
        <w:rPr>
          <w:rFonts w:ascii="Times New Roman" w:hAnsi="Times New Roman"/>
          <w:szCs w:val="24"/>
          <w:lang w:val="bs-Latn-BA"/>
        </w:rPr>
        <w:t>породиљама</w:t>
      </w:r>
      <w:r w:rsidR="0042679D" w:rsidRPr="00295637">
        <w:rPr>
          <w:rFonts w:ascii="Times New Roman" w:hAnsi="Times New Roman"/>
          <w:szCs w:val="24"/>
          <w:lang w:val="bs-Latn-BA"/>
        </w:rPr>
        <w:t xml:space="preserve"> </w:t>
      </w:r>
      <w:r>
        <w:rPr>
          <w:rFonts w:ascii="Times New Roman" w:hAnsi="Times New Roman"/>
          <w:szCs w:val="24"/>
          <w:lang w:val="bs-Latn-BA"/>
        </w:rPr>
        <w:t>о</w:t>
      </w:r>
      <w:r w:rsidR="00C93FA9">
        <w:rPr>
          <w:rFonts w:ascii="Times New Roman" w:hAnsi="Times New Roman"/>
          <w:szCs w:val="24"/>
          <w:lang w:val="sr-Cyrl-BA"/>
        </w:rPr>
        <w:t>безбјеђује</w:t>
      </w:r>
      <w:r w:rsidR="0042679D" w:rsidRPr="00295637">
        <w:rPr>
          <w:rFonts w:ascii="Times New Roman" w:hAnsi="Times New Roman"/>
          <w:szCs w:val="24"/>
          <w:lang w:val="bs-Latn-BA"/>
        </w:rPr>
        <w:t xml:space="preserve"> </w:t>
      </w:r>
      <w:r>
        <w:rPr>
          <w:rFonts w:ascii="Times New Roman" w:hAnsi="Times New Roman"/>
          <w:szCs w:val="24"/>
          <w:lang w:val="bs-Latn-BA"/>
        </w:rPr>
        <w:t>једнократну</w:t>
      </w:r>
      <w:r w:rsidR="0042679D" w:rsidRPr="00295637">
        <w:rPr>
          <w:rFonts w:ascii="Times New Roman" w:hAnsi="Times New Roman"/>
          <w:szCs w:val="24"/>
          <w:lang w:val="bs-Latn-BA"/>
        </w:rPr>
        <w:t xml:space="preserve"> </w:t>
      </w:r>
      <w:r>
        <w:rPr>
          <w:rFonts w:ascii="Times New Roman" w:hAnsi="Times New Roman"/>
          <w:szCs w:val="24"/>
          <w:lang w:val="bs-Latn-BA"/>
        </w:rPr>
        <w:t>помоћ</w:t>
      </w:r>
      <w:r w:rsidR="0042679D" w:rsidRPr="00295637">
        <w:rPr>
          <w:rFonts w:ascii="Times New Roman" w:hAnsi="Times New Roman"/>
          <w:szCs w:val="24"/>
          <w:lang w:val="bs-Latn-BA"/>
        </w:rPr>
        <w:t xml:space="preserve"> </w:t>
      </w:r>
      <w:r>
        <w:rPr>
          <w:rFonts w:ascii="Times New Roman" w:hAnsi="Times New Roman"/>
          <w:szCs w:val="24"/>
          <w:lang w:val="bs-Latn-BA"/>
        </w:rPr>
        <w:t>од</w:t>
      </w:r>
      <w:r w:rsidR="0042679D" w:rsidRPr="00295637">
        <w:rPr>
          <w:rFonts w:ascii="Times New Roman" w:hAnsi="Times New Roman"/>
          <w:szCs w:val="24"/>
          <w:lang w:val="bs-Latn-BA"/>
        </w:rPr>
        <w:t xml:space="preserve"> 1.000 </w:t>
      </w:r>
      <w:r>
        <w:rPr>
          <w:rFonts w:ascii="Times New Roman" w:hAnsi="Times New Roman"/>
          <w:szCs w:val="24"/>
          <w:lang w:val="bs-Latn-BA"/>
        </w:rPr>
        <w:t>КМ</w:t>
      </w:r>
      <w:r w:rsidR="0042679D" w:rsidRPr="00295637">
        <w:rPr>
          <w:rFonts w:ascii="Times New Roman" w:hAnsi="Times New Roman"/>
          <w:szCs w:val="24"/>
          <w:lang w:val="bs-Latn-BA"/>
        </w:rPr>
        <w:t xml:space="preserve">. </w:t>
      </w:r>
      <w:r>
        <w:rPr>
          <w:rFonts w:ascii="Times New Roman" w:hAnsi="Times New Roman"/>
          <w:szCs w:val="24"/>
          <w:lang w:val="bs-Latn-BA"/>
        </w:rPr>
        <w:t>Кроз</w:t>
      </w:r>
      <w:r w:rsidR="0042679D" w:rsidRPr="00295637">
        <w:rPr>
          <w:rFonts w:ascii="Times New Roman" w:hAnsi="Times New Roman"/>
          <w:szCs w:val="24"/>
          <w:lang w:val="bs-Latn-BA"/>
        </w:rPr>
        <w:t xml:space="preserve"> </w:t>
      </w:r>
      <w:r>
        <w:rPr>
          <w:rFonts w:ascii="Times New Roman" w:hAnsi="Times New Roman"/>
          <w:szCs w:val="24"/>
          <w:lang w:val="bs-Latn-BA"/>
        </w:rPr>
        <w:t>различите</w:t>
      </w:r>
      <w:r w:rsidR="0042679D" w:rsidRPr="00295637">
        <w:rPr>
          <w:rFonts w:ascii="Times New Roman" w:hAnsi="Times New Roman"/>
          <w:szCs w:val="24"/>
          <w:lang w:val="bs-Latn-BA"/>
        </w:rPr>
        <w:t xml:space="preserve"> </w:t>
      </w:r>
      <w:r>
        <w:rPr>
          <w:rFonts w:ascii="Times New Roman" w:hAnsi="Times New Roman"/>
          <w:szCs w:val="24"/>
          <w:lang w:val="bs-Latn-BA"/>
        </w:rPr>
        <w:t>програме</w:t>
      </w:r>
      <w:r w:rsidR="0042679D" w:rsidRPr="00295637">
        <w:rPr>
          <w:rFonts w:ascii="Times New Roman" w:hAnsi="Times New Roman"/>
          <w:szCs w:val="24"/>
          <w:lang w:val="bs-Latn-BA"/>
        </w:rPr>
        <w:t xml:space="preserve"> </w:t>
      </w:r>
      <w:r>
        <w:rPr>
          <w:rFonts w:ascii="Times New Roman" w:hAnsi="Times New Roman"/>
          <w:szCs w:val="24"/>
          <w:lang w:val="bs-Latn-BA"/>
        </w:rPr>
        <w:t>запошљавања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sidR="00C93FA9">
        <w:rPr>
          <w:rFonts w:ascii="Times New Roman" w:hAnsi="Times New Roman"/>
          <w:szCs w:val="24"/>
          <w:lang w:val="bs-Latn-BA"/>
        </w:rPr>
        <w:t xml:space="preserve">је </w:t>
      </w:r>
      <w:r>
        <w:rPr>
          <w:rFonts w:ascii="Times New Roman" w:hAnsi="Times New Roman"/>
          <w:szCs w:val="24"/>
          <w:lang w:val="bs-Latn-BA"/>
        </w:rPr>
        <w:t>ФБиХ</w:t>
      </w:r>
      <w:r w:rsidR="00751A3F">
        <w:rPr>
          <w:rFonts w:ascii="Times New Roman" w:hAnsi="Times New Roman"/>
          <w:szCs w:val="24"/>
          <w:lang w:val="bs-Latn-BA"/>
        </w:rPr>
        <w:t xml:space="preserve"> </w:t>
      </w:r>
      <w:r>
        <w:rPr>
          <w:rFonts w:ascii="Times New Roman" w:hAnsi="Times New Roman"/>
          <w:szCs w:val="24"/>
          <w:lang w:val="bs-Latn-BA"/>
        </w:rPr>
        <w:t>у</w:t>
      </w:r>
      <w:r w:rsidR="00751A3F">
        <w:rPr>
          <w:rFonts w:ascii="Times New Roman" w:hAnsi="Times New Roman"/>
          <w:szCs w:val="24"/>
          <w:lang w:val="bs-Latn-BA"/>
        </w:rPr>
        <w:t xml:space="preserve"> 2024. </w:t>
      </w:r>
      <w:r>
        <w:rPr>
          <w:rFonts w:ascii="Times New Roman" w:hAnsi="Times New Roman"/>
          <w:szCs w:val="24"/>
          <w:lang w:val="bs-Latn-BA"/>
        </w:rPr>
        <w:t>години</w:t>
      </w:r>
      <w:r w:rsidR="00751A3F">
        <w:rPr>
          <w:rFonts w:ascii="Times New Roman" w:hAnsi="Times New Roman"/>
          <w:szCs w:val="24"/>
          <w:lang w:val="bs-Latn-BA"/>
        </w:rPr>
        <w:t xml:space="preserve"> </w:t>
      </w:r>
      <w:r>
        <w:rPr>
          <w:rFonts w:ascii="Times New Roman" w:hAnsi="Times New Roman"/>
          <w:szCs w:val="24"/>
          <w:lang w:val="bs-Latn-BA"/>
        </w:rPr>
        <w:t>запослено</w:t>
      </w:r>
      <w:r w:rsidR="0042679D" w:rsidRPr="00295637">
        <w:rPr>
          <w:rFonts w:ascii="Times New Roman" w:hAnsi="Times New Roman"/>
          <w:szCs w:val="24"/>
          <w:lang w:val="bs-Latn-BA"/>
        </w:rPr>
        <w:t xml:space="preserve"> 6.540 </w:t>
      </w:r>
      <w:r>
        <w:rPr>
          <w:rFonts w:ascii="Times New Roman" w:hAnsi="Times New Roman"/>
          <w:szCs w:val="24"/>
          <w:lang w:val="bs-Latn-BA"/>
        </w:rPr>
        <w:t>жена</w:t>
      </w:r>
      <w:r w:rsidR="0042679D" w:rsidRPr="00295637">
        <w:rPr>
          <w:rFonts w:ascii="Times New Roman" w:hAnsi="Times New Roman"/>
          <w:szCs w:val="24"/>
          <w:lang w:val="bs-Latn-BA"/>
        </w:rPr>
        <w:t xml:space="preserve">, </w:t>
      </w:r>
      <w:r>
        <w:rPr>
          <w:rFonts w:ascii="Times New Roman" w:hAnsi="Times New Roman"/>
          <w:szCs w:val="24"/>
          <w:lang w:val="bs-Latn-BA"/>
        </w:rPr>
        <w:t>што</w:t>
      </w:r>
      <w:r w:rsidR="0042679D" w:rsidRPr="00295637">
        <w:rPr>
          <w:rFonts w:ascii="Times New Roman" w:hAnsi="Times New Roman"/>
          <w:szCs w:val="24"/>
          <w:lang w:val="bs-Latn-BA"/>
        </w:rPr>
        <w:t xml:space="preserve"> </w:t>
      </w:r>
      <w:r>
        <w:rPr>
          <w:rFonts w:ascii="Times New Roman" w:hAnsi="Times New Roman"/>
          <w:szCs w:val="24"/>
          <w:lang w:val="bs-Latn-BA"/>
        </w:rPr>
        <w:t>чини</w:t>
      </w:r>
      <w:r w:rsidR="0042679D" w:rsidRPr="00295637">
        <w:rPr>
          <w:rFonts w:ascii="Times New Roman" w:hAnsi="Times New Roman"/>
          <w:szCs w:val="24"/>
          <w:lang w:val="bs-Latn-BA"/>
        </w:rPr>
        <w:t xml:space="preserve"> 56% </w:t>
      </w:r>
      <w:r>
        <w:rPr>
          <w:rFonts w:ascii="Times New Roman" w:hAnsi="Times New Roman"/>
          <w:szCs w:val="24"/>
          <w:lang w:val="bs-Latn-BA"/>
        </w:rPr>
        <w:t>укупно</w:t>
      </w:r>
      <w:r w:rsidR="0042679D" w:rsidRPr="00295637">
        <w:rPr>
          <w:rFonts w:ascii="Times New Roman" w:hAnsi="Times New Roman"/>
          <w:szCs w:val="24"/>
          <w:lang w:val="bs-Latn-BA"/>
        </w:rPr>
        <w:t xml:space="preserve"> </w:t>
      </w:r>
      <w:r>
        <w:rPr>
          <w:rFonts w:ascii="Times New Roman" w:hAnsi="Times New Roman"/>
          <w:szCs w:val="24"/>
          <w:lang w:val="bs-Latn-BA"/>
        </w:rPr>
        <w:t>запослених</w:t>
      </w:r>
      <w:r w:rsidR="0042679D" w:rsidRPr="00295637">
        <w:rPr>
          <w:rFonts w:ascii="Times New Roman" w:hAnsi="Times New Roman"/>
          <w:szCs w:val="24"/>
          <w:lang w:val="bs-Latn-BA"/>
        </w:rPr>
        <w:t xml:space="preserve"> </w:t>
      </w:r>
      <w:r>
        <w:rPr>
          <w:rFonts w:ascii="Times New Roman" w:hAnsi="Times New Roman"/>
          <w:szCs w:val="24"/>
          <w:lang w:val="bs-Latn-BA"/>
        </w:rPr>
        <w:t>путем</w:t>
      </w:r>
      <w:r w:rsidR="0042679D" w:rsidRPr="00295637">
        <w:rPr>
          <w:rFonts w:ascii="Times New Roman" w:hAnsi="Times New Roman"/>
          <w:szCs w:val="24"/>
          <w:lang w:val="bs-Latn-BA"/>
        </w:rPr>
        <w:t xml:space="preserve"> </w:t>
      </w:r>
      <w:r>
        <w:rPr>
          <w:rFonts w:ascii="Times New Roman" w:hAnsi="Times New Roman"/>
          <w:szCs w:val="24"/>
          <w:lang w:val="bs-Latn-BA"/>
        </w:rPr>
        <w:t>ових</w:t>
      </w:r>
      <w:r w:rsidR="0042679D" w:rsidRPr="00295637">
        <w:rPr>
          <w:rFonts w:ascii="Times New Roman" w:hAnsi="Times New Roman"/>
          <w:szCs w:val="24"/>
          <w:lang w:val="bs-Latn-BA"/>
        </w:rPr>
        <w:t xml:space="preserve"> </w:t>
      </w:r>
      <w:r>
        <w:rPr>
          <w:rFonts w:ascii="Times New Roman" w:hAnsi="Times New Roman"/>
          <w:szCs w:val="24"/>
          <w:lang w:val="bs-Latn-BA"/>
        </w:rPr>
        <w:t>мјера</w:t>
      </w:r>
      <w:r w:rsidR="0042679D" w:rsidRPr="00295637">
        <w:rPr>
          <w:rFonts w:ascii="Times New Roman" w:hAnsi="Times New Roman"/>
          <w:szCs w:val="24"/>
          <w:lang w:val="bs-Latn-BA"/>
        </w:rPr>
        <w:t xml:space="preserve">. </w:t>
      </w:r>
      <w:r>
        <w:rPr>
          <w:rFonts w:ascii="Times New Roman" w:hAnsi="Times New Roman"/>
          <w:szCs w:val="24"/>
          <w:lang w:val="bs-Latn-BA"/>
        </w:rPr>
        <w:t>Додатно</w:t>
      </w:r>
      <w:r w:rsidR="0042679D" w:rsidRPr="00295637">
        <w:rPr>
          <w:rFonts w:ascii="Times New Roman" w:hAnsi="Times New Roman"/>
          <w:szCs w:val="24"/>
          <w:lang w:val="bs-Latn-BA"/>
        </w:rPr>
        <w:t xml:space="preserve">, </w:t>
      </w:r>
      <w:r>
        <w:rPr>
          <w:rFonts w:ascii="Times New Roman" w:hAnsi="Times New Roman"/>
          <w:szCs w:val="24"/>
          <w:lang w:val="bs-Latn-BA"/>
        </w:rPr>
        <w:t>ФМРСП</w:t>
      </w:r>
      <w:r w:rsidR="009B4947">
        <w:rPr>
          <w:rFonts w:ascii="Times New Roman" w:hAnsi="Times New Roman"/>
          <w:szCs w:val="24"/>
          <w:lang w:val="bs-Latn-BA"/>
        </w:rPr>
        <w:t xml:space="preserve"> </w:t>
      </w:r>
      <w:r>
        <w:rPr>
          <w:rFonts w:ascii="Times New Roman" w:hAnsi="Times New Roman"/>
          <w:szCs w:val="24"/>
          <w:lang w:val="bs-Latn-BA"/>
        </w:rPr>
        <w:t>додијелило</w:t>
      </w:r>
      <w:r w:rsidR="009B4947">
        <w:rPr>
          <w:rFonts w:ascii="Times New Roman" w:hAnsi="Times New Roman"/>
          <w:szCs w:val="24"/>
          <w:lang w:val="bs-Latn-BA"/>
        </w:rPr>
        <w:t xml:space="preserve"> </w:t>
      </w:r>
      <w:r>
        <w:rPr>
          <w:rFonts w:ascii="Times New Roman" w:hAnsi="Times New Roman"/>
          <w:szCs w:val="24"/>
          <w:lang w:val="bs-Latn-BA"/>
        </w:rPr>
        <w:t>је</w:t>
      </w:r>
      <w:r w:rsidR="004011DB">
        <w:rPr>
          <w:rFonts w:ascii="Times New Roman" w:hAnsi="Times New Roman"/>
          <w:szCs w:val="24"/>
          <w:lang w:val="bs-Latn-BA"/>
        </w:rPr>
        <w:t xml:space="preserve"> </w:t>
      </w:r>
      <w:r>
        <w:rPr>
          <w:rFonts w:ascii="Times New Roman" w:hAnsi="Times New Roman"/>
          <w:szCs w:val="24"/>
          <w:lang w:val="bs-Latn-BA"/>
        </w:rPr>
        <w:t>грант</w:t>
      </w:r>
      <w:r w:rsidR="0042679D" w:rsidRPr="00295637">
        <w:rPr>
          <w:rFonts w:ascii="Times New Roman" w:hAnsi="Times New Roman"/>
          <w:szCs w:val="24"/>
          <w:lang w:val="bs-Latn-BA"/>
        </w:rPr>
        <w:t xml:space="preserve"> </w:t>
      </w:r>
      <w:r>
        <w:rPr>
          <w:rFonts w:ascii="Times New Roman" w:hAnsi="Times New Roman"/>
          <w:szCs w:val="24"/>
          <w:lang w:val="bs-Latn-BA"/>
        </w:rPr>
        <w:t>средства</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50 </w:t>
      </w:r>
      <w:r>
        <w:rPr>
          <w:rFonts w:ascii="Times New Roman" w:hAnsi="Times New Roman"/>
          <w:szCs w:val="24"/>
          <w:lang w:val="bs-Latn-BA"/>
        </w:rPr>
        <w:t>компанија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власништву</w:t>
      </w:r>
      <w:r w:rsidR="0042679D" w:rsidRPr="00295637">
        <w:rPr>
          <w:rFonts w:ascii="Times New Roman" w:hAnsi="Times New Roman"/>
          <w:szCs w:val="24"/>
          <w:lang w:val="bs-Latn-BA"/>
        </w:rPr>
        <w:t xml:space="preserve"> </w:t>
      </w:r>
      <w:r>
        <w:rPr>
          <w:rFonts w:ascii="Times New Roman" w:hAnsi="Times New Roman"/>
          <w:szCs w:val="24"/>
          <w:lang w:val="bs-Latn-BA"/>
        </w:rPr>
        <w:t>жена</w:t>
      </w:r>
      <w:r w:rsidR="0042679D" w:rsidRPr="00295637">
        <w:rPr>
          <w:rFonts w:ascii="Times New Roman" w:hAnsi="Times New Roman"/>
          <w:szCs w:val="24"/>
          <w:lang w:val="bs-Latn-BA"/>
        </w:rPr>
        <w:t xml:space="preserve">, </w:t>
      </w:r>
      <w:r>
        <w:rPr>
          <w:rFonts w:ascii="Times New Roman" w:hAnsi="Times New Roman"/>
          <w:szCs w:val="24"/>
          <w:lang w:val="bs-Latn-BA"/>
        </w:rPr>
        <w:t>док</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подржано</w:t>
      </w:r>
      <w:r w:rsidR="0042679D" w:rsidRPr="00295637">
        <w:rPr>
          <w:rFonts w:ascii="Times New Roman" w:hAnsi="Times New Roman"/>
          <w:szCs w:val="24"/>
          <w:lang w:val="bs-Latn-BA"/>
        </w:rPr>
        <w:t xml:space="preserve"> </w:t>
      </w:r>
      <w:r>
        <w:rPr>
          <w:rFonts w:ascii="Times New Roman" w:hAnsi="Times New Roman"/>
          <w:szCs w:val="24"/>
          <w:lang w:val="bs-Latn-BA"/>
        </w:rPr>
        <w:t>оснивање</w:t>
      </w:r>
      <w:r w:rsidR="0042679D" w:rsidRPr="00295637">
        <w:rPr>
          <w:rFonts w:ascii="Times New Roman" w:hAnsi="Times New Roman"/>
          <w:szCs w:val="24"/>
          <w:lang w:val="bs-Latn-BA"/>
        </w:rPr>
        <w:t xml:space="preserve"> 13 </w:t>
      </w:r>
      <w:r>
        <w:rPr>
          <w:rFonts w:ascii="Times New Roman" w:hAnsi="Times New Roman"/>
          <w:szCs w:val="24"/>
          <w:lang w:val="bs-Latn-BA"/>
        </w:rPr>
        <w:t>нових</w:t>
      </w:r>
      <w:r w:rsidR="0042679D" w:rsidRPr="00295637">
        <w:rPr>
          <w:rFonts w:ascii="Times New Roman" w:hAnsi="Times New Roman"/>
          <w:szCs w:val="24"/>
          <w:lang w:val="bs-Latn-BA"/>
        </w:rPr>
        <w:t xml:space="preserve"> </w:t>
      </w:r>
      <w:r>
        <w:rPr>
          <w:rFonts w:ascii="Times New Roman" w:hAnsi="Times New Roman"/>
          <w:szCs w:val="24"/>
          <w:lang w:val="bs-Latn-BA"/>
        </w:rPr>
        <w:t>женских</w:t>
      </w:r>
      <w:r w:rsidR="0042679D" w:rsidRPr="00295637">
        <w:rPr>
          <w:rFonts w:ascii="Times New Roman" w:hAnsi="Times New Roman"/>
          <w:szCs w:val="24"/>
          <w:lang w:val="bs-Latn-BA"/>
        </w:rPr>
        <w:t xml:space="preserve"> </w:t>
      </w:r>
      <w:r>
        <w:rPr>
          <w:rFonts w:ascii="Times New Roman" w:hAnsi="Times New Roman"/>
          <w:szCs w:val="24"/>
          <w:lang w:val="bs-Latn-BA"/>
        </w:rPr>
        <w:t>бизниса</w:t>
      </w:r>
      <w:r w:rsidR="0042679D" w:rsidRPr="00295637">
        <w:rPr>
          <w:rFonts w:ascii="Times New Roman" w:hAnsi="Times New Roman"/>
          <w:szCs w:val="24"/>
          <w:lang w:val="bs-Latn-BA"/>
        </w:rPr>
        <w:t>.</w:t>
      </w:r>
    </w:p>
    <w:p w:rsidR="0042679D" w:rsidRPr="00295637" w:rsidRDefault="0042679D" w:rsidP="0086268D">
      <w:pPr>
        <w:jc w:val="both"/>
        <w:rPr>
          <w:rFonts w:ascii="Times New Roman" w:hAnsi="Times New Roman"/>
          <w:szCs w:val="24"/>
          <w:lang w:val="bs-Latn-BA"/>
        </w:rPr>
      </w:pPr>
    </w:p>
    <w:p w:rsidR="0042679D" w:rsidRPr="00065589"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У</w:t>
      </w:r>
      <w:r w:rsidR="00D30E48">
        <w:rPr>
          <w:rFonts w:ascii="Times New Roman" w:hAnsi="Times New Roman"/>
          <w:szCs w:val="24"/>
          <w:lang w:val="bs-Latn-BA"/>
        </w:rPr>
        <w:t xml:space="preserve"> </w:t>
      </w:r>
      <w:r>
        <w:rPr>
          <w:rFonts w:ascii="Times New Roman" w:hAnsi="Times New Roman"/>
          <w:szCs w:val="24"/>
          <w:lang w:val="bs-Latn-BA"/>
        </w:rPr>
        <w:t>ФБиХ</w:t>
      </w:r>
      <w:r w:rsidR="0042679D" w:rsidRPr="00065589">
        <w:rPr>
          <w:rFonts w:ascii="Times New Roman" w:hAnsi="Times New Roman"/>
          <w:szCs w:val="24"/>
          <w:lang w:val="bs-Latn-BA"/>
        </w:rPr>
        <w:t xml:space="preserve"> </w:t>
      </w:r>
      <w:r>
        <w:rPr>
          <w:rFonts w:ascii="Times New Roman" w:hAnsi="Times New Roman"/>
          <w:szCs w:val="24"/>
          <w:lang w:val="bs-Latn-BA"/>
        </w:rPr>
        <w:t>је</w:t>
      </w:r>
      <w:r w:rsidR="0042679D" w:rsidRPr="00065589">
        <w:rPr>
          <w:rFonts w:ascii="Times New Roman" w:hAnsi="Times New Roman"/>
          <w:szCs w:val="24"/>
          <w:lang w:val="bs-Latn-BA"/>
        </w:rPr>
        <w:t xml:space="preserve"> </w:t>
      </w:r>
      <w:r>
        <w:rPr>
          <w:rFonts w:ascii="Times New Roman" w:hAnsi="Times New Roman"/>
          <w:szCs w:val="24"/>
          <w:lang w:val="bs-Latn-BA"/>
        </w:rPr>
        <w:t>кроз</w:t>
      </w:r>
      <w:r w:rsidR="0042679D" w:rsidRPr="00065589">
        <w:rPr>
          <w:rFonts w:ascii="Times New Roman" w:hAnsi="Times New Roman"/>
          <w:szCs w:val="24"/>
          <w:lang w:val="bs-Latn-BA"/>
        </w:rPr>
        <w:t xml:space="preserve"> </w:t>
      </w:r>
      <w:r>
        <w:rPr>
          <w:rFonts w:ascii="Times New Roman" w:hAnsi="Times New Roman"/>
          <w:szCs w:val="24"/>
          <w:lang w:val="bs-Latn-BA"/>
        </w:rPr>
        <w:t>различите</w:t>
      </w:r>
      <w:r w:rsidR="0042679D" w:rsidRPr="00065589">
        <w:rPr>
          <w:rFonts w:ascii="Times New Roman" w:hAnsi="Times New Roman"/>
          <w:szCs w:val="24"/>
          <w:lang w:val="bs-Latn-BA"/>
        </w:rPr>
        <w:t xml:space="preserve"> </w:t>
      </w:r>
      <w:r>
        <w:rPr>
          <w:rFonts w:ascii="Times New Roman" w:hAnsi="Times New Roman"/>
          <w:szCs w:val="24"/>
          <w:lang w:val="bs-Latn-BA"/>
        </w:rPr>
        <w:t>програме</w:t>
      </w:r>
      <w:r w:rsidR="0042679D" w:rsidRPr="00065589">
        <w:rPr>
          <w:rFonts w:ascii="Times New Roman" w:hAnsi="Times New Roman"/>
          <w:szCs w:val="24"/>
          <w:lang w:val="bs-Latn-BA"/>
        </w:rPr>
        <w:t xml:space="preserve"> </w:t>
      </w:r>
      <w:r>
        <w:rPr>
          <w:rFonts w:ascii="Times New Roman" w:hAnsi="Times New Roman"/>
          <w:szCs w:val="24"/>
          <w:lang w:val="bs-Latn-BA"/>
        </w:rPr>
        <w:t>запошљавања</w:t>
      </w:r>
      <w:r w:rsidR="00751A3F">
        <w:rPr>
          <w:rFonts w:ascii="Times New Roman" w:hAnsi="Times New Roman"/>
          <w:szCs w:val="24"/>
          <w:lang w:val="bs-Latn-BA"/>
        </w:rPr>
        <w:t xml:space="preserve">, </w:t>
      </w:r>
      <w:r>
        <w:rPr>
          <w:rFonts w:ascii="Times New Roman" w:hAnsi="Times New Roman"/>
          <w:szCs w:val="24"/>
          <w:lang w:val="bs-Latn-BA"/>
        </w:rPr>
        <w:t>у</w:t>
      </w:r>
      <w:r w:rsidR="00751A3F">
        <w:rPr>
          <w:rFonts w:ascii="Times New Roman" w:hAnsi="Times New Roman"/>
          <w:szCs w:val="24"/>
          <w:lang w:val="bs-Latn-BA"/>
        </w:rPr>
        <w:t xml:space="preserve"> 2024. </w:t>
      </w:r>
      <w:r>
        <w:rPr>
          <w:rFonts w:ascii="Times New Roman" w:hAnsi="Times New Roman"/>
          <w:szCs w:val="24"/>
          <w:lang w:val="bs-Latn-BA"/>
        </w:rPr>
        <w:t>години</w:t>
      </w:r>
      <w:r w:rsidR="00751A3F">
        <w:rPr>
          <w:rFonts w:ascii="Times New Roman" w:hAnsi="Times New Roman"/>
          <w:szCs w:val="24"/>
          <w:lang w:val="bs-Latn-BA"/>
        </w:rPr>
        <w:t xml:space="preserve"> </w:t>
      </w:r>
      <w:r>
        <w:rPr>
          <w:rFonts w:ascii="Times New Roman" w:hAnsi="Times New Roman"/>
          <w:szCs w:val="24"/>
          <w:lang w:val="bs-Latn-BA"/>
        </w:rPr>
        <w:t>запослено</w:t>
      </w:r>
      <w:r w:rsidR="0042679D" w:rsidRPr="00065589">
        <w:rPr>
          <w:rFonts w:ascii="Times New Roman" w:hAnsi="Times New Roman"/>
          <w:szCs w:val="24"/>
          <w:lang w:val="bs-Latn-BA"/>
        </w:rPr>
        <w:t xml:space="preserve"> 6.540 </w:t>
      </w:r>
      <w:r>
        <w:rPr>
          <w:rFonts w:ascii="Times New Roman" w:hAnsi="Times New Roman"/>
          <w:szCs w:val="24"/>
          <w:lang w:val="bs-Latn-BA"/>
        </w:rPr>
        <w:t>жена</w:t>
      </w:r>
      <w:r w:rsidR="0042679D" w:rsidRPr="00065589">
        <w:rPr>
          <w:rFonts w:ascii="Times New Roman" w:hAnsi="Times New Roman"/>
          <w:szCs w:val="24"/>
          <w:lang w:val="bs-Latn-BA"/>
        </w:rPr>
        <w:t xml:space="preserve">, </w:t>
      </w:r>
      <w:r>
        <w:rPr>
          <w:rFonts w:ascii="Times New Roman" w:hAnsi="Times New Roman"/>
          <w:szCs w:val="24"/>
          <w:lang w:val="bs-Latn-BA"/>
        </w:rPr>
        <w:t>што</w:t>
      </w:r>
      <w:r w:rsidR="0042679D" w:rsidRPr="00065589">
        <w:rPr>
          <w:rFonts w:ascii="Times New Roman" w:hAnsi="Times New Roman"/>
          <w:szCs w:val="24"/>
          <w:lang w:val="bs-Latn-BA"/>
        </w:rPr>
        <w:t xml:space="preserve"> </w:t>
      </w:r>
      <w:r>
        <w:rPr>
          <w:rFonts w:ascii="Times New Roman" w:hAnsi="Times New Roman"/>
          <w:szCs w:val="24"/>
          <w:lang w:val="bs-Latn-BA"/>
        </w:rPr>
        <w:t>чини</w:t>
      </w:r>
      <w:r w:rsidR="0042679D" w:rsidRPr="00065589">
        <w:rPr>
          <w:rFonts w:ascii="Times New Roman" w:hAnsi="Times New Roman"/>
          <w:szCs w:val="24"/>
          <w:lang w:val="bs-Latn-BA"/>
        </w:rPr>
        <w:t xml:space="preserve"> 56% </w:t>
      </w:r>
      <w:r>
        <w:rPr>
          <w:rFonts w:ascii="Times New Roman" w:hAnsi="Times New Roman"/>
          <w:szCs w:val="24"/>
          <w:lang w:val="bs-Latn-BA"/>
        </w:rPr>
        <w:t>укупно</w:t>
      </w:r>
      <w:r w:rsidR="0042679D" w:rsidRPr="00065589">
        <w:rPr>
          <w:rFonts w:ascii="Times New Roman" w:hAnsi="Times New Roman"/>
          <w:szCs w:val="24"/>
          <w:lang w:val="bs-Latn-BA"/>
        </w:rPr>
        <w:t xml:space="preserve"> </w:t>
      </w:r>
      <w:r>
        <w:rPr>
          <w:rFonts w:ascii="Times New Roman" w:hAnsi="Times New Roman"/>
          <w:szCs w:val="24"/>
          <w:lang w:val="bs-Latn-BA"/>
        </w:rPr>
        <w:t>запослених</w:t>
      </w:r>
      <w:r w:rsidR="0042679D" w:rsidRPr="00065589">
        <w:rPr>
          <w:rFonts w:ascii="Times New Roman" w:hAnsi="Times New Roman"/>
          <w:szCs w:val="24"/>
          <w:lang w:val="bs-Latn-BA"/>
        </w:rPr>
        <w:t xml:space="preserve"> </w:t>
      </w:r>
      <w:r>
        <w:rPr>
          <w:rFonts w:ascii="Times New Roman" w:hAnsi="Times New Roman"/>
          <w:szCs w:val="24"/>
          <w:lang w:val="bs-Latn-BA"/>
        </w:rPr>
        <w:t>путем</w:t>
      </w:r>
      <w:r w:rsidR="0042679D" w:rsidRPr="00065589">
        <w:rPr>
          <w:rFonts w:ascii="Times New Roman" w:hAnsi="Times New Roman"/>
          <w:szCs w:val="24"/>
          <w:lang w:val="bs-Latn-BA"/>
        </w:rPr>
        <w:t xml:space="preserve"> </w:t>
      </w:r>
      <w:r>
        <w:rPr>
          <w:rFonts w:ascii="Times New Roman" w:hAnsi="Times New Roman"/>
          <w:szCs w:val="24"/>
          <w:lang w:val="bs-Latn-BA"/>
        </w:rPr>
        <w:t>ових</w:t>
      </w:r>
      <w:r w:rsidR="0042679D" w:rsidRPr="00065589">
        <w:rPr>
          <w:rFonts w:ascii="Times New Roman" w:hAnsi="Times New Roman"/>
          <w:szCs w:val="24"/>
          <w:lang w:val="bs-Latn-BA"/>
        </w:rPr>
        <w:t xml:space="preserve"> </w:t>
      </w:r>
      <w:r>
        <w:rPr>
          <w:rFonts w:ascii="Times New Roman" w:hAnsi="Times New Roman"/>
          <w:szCs w:val="24"/>
          <w:lang w:val="bs-Latn-BA"/>
        </w:rPr>
        <w:t>мјера</w:t>
      </w:r>
      <w:r w:rsidR="0042679D" w:rsidRPr="00065589">
        <w:rPr>
          <w:rFonts w:ascii="Times New Roman" w:hAnsi="Times New Roman"/>
          <w:szCs w:val="24"/>
          <w:lang w:val="bs-Latn-BA"/>
        </w:rPr>
        <w:t xml:space="preserve">. </w:t>
      </w:r>
      <w:r>
        <w:rPr>
          <w:rFonts w:ascii="Times New Roman" w:hAnsi="Times New Roman"/>
          <w:szCs w:val="24"/>
          <w:lang w:val="bs-Latn-BA"/>
        </w:rPr>
        <w:t>Додатно</w:t>
      </w:r>
      <w:r w:rsidR="0042679D" w:rsidRPr="00065589">
        <w:rPr>
          <w:rFonts w:ascii="Times New Roman" w:hAnsi="Times New Roman"/>
          <w:szCs w:val="24"/>
          <w:lang w:val="bs-Latn-BA"/>
        </w:rPr>
        <w:t xml:space="preserve">, </w:t>
      </w:r>
      <w:r>
        <w:rPr>
          <w:rFonts w:ascii="Times New Roman" w:hAnsi="Times New Roman"/>
          <w:szCs w:val="24"/>
          <w:lang w:val="bs-Latn-BA"/>
        </w:rPr>
        <w:t>грант</w:t>
      </w:r>
      <w:r w:rsidR="0042679D" w:rsidRPr="00065589">
        <w:rPr>
          <w:rFonts w:ascii="Times New Roman" w:hAnsi="Times New Roman"/>
          <w:szCs w:val="24"/>
          <w:lang w:val="bs-Latn-BA"/>
        </w:rPr>
        <w:t xml:space="preserve"> </w:t>
      </w:r>
      <w:r>
        <w:rPr>
          <w:rFonts w:ascii="Times New Roman" w:hAnsi="Times New Roman"/>
          <w:szCs w:val="24"/>
          <w:lang w:val="bs-Latn-BA"/>
        </w:rPr>
        <w:t>средства</w:t>
      </w:r>
      <w:r w:rsidR="0042679D" w:rsidRPr="00065589">
        <w:rPr>
          <w:rFonts w:ascii="Times New Roman" w:hAnsi="Times New Roman"/>
          <w:szCs w:val="24"/>
          <w:lang w:val="bs-Latn-BA"/>
        </w:rPr>
        <w:t xml:space="preserve"> </w:t>
      </w:r>
      <w:r w:rsidR="00C93FA9">
        <w:rPr>
          <w:rFonts w:ascii="Times New Roman" w:hAnsi="Times New Roman"/>
          <w:szCs w:val="24"/>
          <w:lang w:val="bs-Latn-BA"/>
        </w:rPr>
        <w:t xml:space="preserve">су </w:t>
      </w:r>
      <w:r>
        <w:rPr>
          <w:rFonts w:ascii="Times New Roman" w:hAnsi="Times New Roman"/>
          <w:szCs w:val="24"/>
          <w:lang w:val="bs-Latn-BA"/>
        </w:rPr>
        <w:t>додијељена</w:t>
      </w:r>
      <w:r w:rsidR="0042679D" w:rsidRPr="00065589">
        <w:rPr>
          <w:rFonts w:ascii="Times New Roman" w:hAnsi="Times New Roman"/>
          <w:szCs w:val="24"/>
          <w:lang w:val="bs-Latn-BA"/>
        </w:rPr>
        <w:t xml:space="preserve"> </w:t>
      </w:r>
      <w:r>
        <w:rPr>
          <w:rFonts w:ascii="Times New Roman" w:hAnsi="Times New Roman"/>
          <w:szCs w:val="24"/>
          <w:lang w:val="bs-Latn-BA"/>
        </w:rPr>
        <w:t>за</w:t>
      </w:r>
      <w:r w:rsidR="0042679D" w:rsidRPr="00065589">
        <w:rPr>
          <w:rFonts w:ascii="Times New Roman" w:hAnsi="Times New Roman"/>
          <w:szCs w:val="24"/>
          <w:lang w:val="bs-Latn-BA"/>
        </w:rPr>
        <w:t xml:space="preserve"> 50 </w:t>
      </w:r>
      <w:r>
        <w:rPr>
          <w:rFonts w:ascii="Times New Roman" w:hAnsi="Times New Roman"/>
          <w:szCs w:val="24"/>
          <w:lang w:val="bs-Latn-BA"/>
        </w:rPr>
        <w:t>компанија</w:t>
      </w:r>
      <w:r w:rsidR="0042679D" w:rsidRPr="00065589">
        <w:rPr>
          <w:rFonts w:ascii="Times New Roman" w:hAnsi="Times New Roman"/>
          <w:szCs w:val="24"/>
          <w:lang w:val="bs-Latn-BA"/>
        </w:rPr>
        <w:t xml:space="preserve"> </w:t>
      </w:r>
      <w:r>
        <w:rPr>
          <w:rFonts w:ascii="Times New Roman" w:hAnsi="Times New Roman"/>
          <w:szCs w:val="24"/>
          <w:lang w:val="bs-Latn-BA"/>
        </w:rPr>
        <w:t>у</w:t>
      </w:r>
      <w:r w:rsidR="0042679D" w:rsidRPr="00065589">
        <w:rPr>
          <w:rFonts w:ascii="Times New Roman" w:hAnsi="Times New Roman"/>
          <w:szCs w:val="24"/>
          <w:lang w:val="bs-Latn-BA"/>
        </w:rPr>
        <w:t xml:space="preserve"> </w:t>
      </w:r>
      <w:r>
        <w:rPr>
          <w:rFonts w:ascii="Times New Roman" w:hAnsi="Times New Roman"/>
          <w:szCs w:val="24"/>
          <w:lang w:val="bs-Latn-BA"/>
        </w:rPr>
        <w:t>власништву</w:t>
      </w:r>
      <w:r w:rsidR="0042679D" w:rsidRPr="00065589">
        <w:rPr>
          <w:rFonts w:ascii="Times New Roman" w:hAnsi="Times New Roman"/>
          <w:szCs w:val="24"/>
          <w:lang w:val="bs-Latn-BA"/>
        </w:rPr>
        <w:t xml:space="preserve"> </w:t>
      </w:r>
      <w:r>
        <w:rPr>
          <w:rFonts w:ascii="Times New Roman" w:hAnsi="Times New Roman"/>
          <w:szCs w:val="24"/>
          <w:lang w:val="bs-Latn-BA"/>
        </w:rPr>
        <w:t>жена</w:t>
      </w:r>
      <w:r w:rsidR="0042679D" w:rsidRPr="00065589">
        <w:rPr>
          <w:rFonts w:ascii="Times New Roman" w:hAnsi="Times New Roman"/>
          <w:szCs w:val="24"/>
          <w:lang w:val="bs-Latn-BA"/>
        </w:rPr>
        <w:t xml:space="preserve">, </w:t>
      </w:r>
      <w:r>
        <w:rPr>
          <w:rFonts w:ascii="Times New Roman" w:hAnsi="Times New Roman"/>
          <w:szCs w:val="24"/>
          <w:lang w:val="bs-Latn-BA"/>
        </w:rPr>
        <w:t>док</w:t>
      </w:r>
      <w:r w:rsidR="0042679D" w:rsidRPr="00065589">
        <w:rPr>
          <w:rFonts w:ascii="Times New Roman" w:hAnsi="Times New Roman"/>
          <w:szCs w:val="24"/>
          <w:lang w:val="bs-Latn-BA"/>
        </w:rPr>
        <w:t xml:space="preserve"> </w:t>
      </w:r>
      <w:r>
        <w:rPr>
          <w:rFonts w:ascii="Times New Roman" w:hAnsi="Times New Roman"/>
          <w:szCs w:val="24"/>
          <w:lang w:val="bs-Latn-BA"/>
        </w:rPr>
        <w:t>је</w:t>
      </w:r>
      <w:r w:rsidR="0042679D" w:rsidRPr="00065589">
        <w:rPr>
          <w:rFonts w:ascii="Times New Roman" w:hAnsi="Times New Roman"/>
          <w:szCs w:val="24"/>
          <w:lang w:val="bs-Latn-BA"/>
        </w:rPr>
        <w:t xml:space="preserve"> </w:t>
      </w:r>
      <w:r>
        <w:rPr>
          <w:rFonts w:ascii="Times New Roman" w:hAnsi="Times New Roman"/>
          <w:szCs w:val="24"/>
          <w:lang w:val="bs-Latn-BA"/>
        </w:rPr>
        <w:t>подржано</w:t>
      </w:r>
      <w:r w:rsidR="0042679D" w:rsidRPr="00065589">
        <w:rPr>
          <w:rFonts w:ascii="Times New Roman" w:hAnsi="Times New Roman"/>
          <w:szCs w:val="24"/>
          <w:lang w:val="bs-Latn-BA"/>
        </w:rPr>
        <w:t xml:space="preserve"> </w:t>
      </w:r>
      <w:r>
        <w:rPr>
          <w:rFonts w:ascii="Times New Roman" w:hAnsi="Times New Roman"/>
          <w:szCs w:val="24"/>
          <w:lang w:val="bs-Latn-BA"/>
        </w:rPr>
        <w:t>оснивање</w:t>
      </w:r>
      <w:r w:rsidR="0042679D" w:rsidRPr="00065589">
        <w:rPr>
          <w:rFonts w:ascii="Times New Roman" w:hAnsi="Times New Roman"/>
          <w:szCs w:val="24"/>
          <w:lang w:val="bs-Latn-BA"/>
        </w:rPr>
        <w:t xml:space="preserve"> 13 </w:t>
      </w:r>
      <w:r>
        <w:rPr>
          <w:rFonts w:ascii="Times New Roman" w:hAnsi="Times New Roman"/>
          <w:szCs w:val="24"/>
          <w:lang w:val="bs-Latn-BA"/>
        </w:rPr>
        <w:t>нових</w:t>
      </w:r>
      <w:r w:rsidR="0042679D" w:rsidRPr="00065589">
        <w:rPr>
          <w:rFonts w:ascii="Times New Roman" w:hAnsi="Times New Roman"/>
          <w:szCs w:val="24"/>
          <w:lang w:val="bs-Latn-BA"/>
        </w:rPr>
        <w:t xml:space="preserve"> </w:t>
      </w:r>
      <w:r>
        <w:rPr>
          <w:rFonts w:ascii="Times New Roman" w:hAnsi="Times New Roman"/>
          <w:szCs w:val="24"/>
          <w:lang w:val="bs-Latn-BA"/>
        </w:rPr>
        <w:t>женских</w:t>
      </w:r>
      <w:r w:rsidR="0042679D" w:rsidRPr="00065589">
        <w:rPr>
          <w:rFonts w:ascii="Times New Roman" w:hAnsi="Times New Roman"/>
          <w:szCs w:val="24"/>
          <w:lang w:val="bs-Latn-BA"/>
        </w:rPr>
        <w:t xml:space="preserve"> </w:t>
      </w:r>
      <w:r>
        <w:rPr>
          <w:rFonts w:ascii="Times New Roman" w:hAnsi="Times New Roman"/>
          <w:szCs w:val="24"/>
          <w:lang w:val="bs-Latn-BA"/>
        </w:rPr>
        <w:t>бизниса</w:t>
      </w:r>
      <w:r w:rsidR="0042679D" w:rsidRPr="00065589">
        <w:rPr>
          <w:rFonts w:ascii="Times New Roman" w:hAnsi="Times New Roman"/>
          <w:szCs w:val="24"/>
          <w:lang w:val="bs-Latn-BA"/>
        </w:rPr>
        <w:t>.</w:t>
      </w:r>
    </w:p>
    <w:p w:rsidR="0042679D" w:rsidRDefault="0042679D" w:rsidP="0086268D">
      <w:pPr>
        <w:pStyle w:val="ListParagraph"/>
        <w:ind w:left="720"/>
        <w:jc w:val="both"/>
        <w:rPr>
          <w:rFonts w:ascii="Times New Roman" w:hAnsi="Times New Roman"/>
          <w:szCs w:val="24"/>
        </w:rPr>
      </w:pPr>
    </w:p>
    <w:p w:rsidR="0042679D" w:rsidRPr="006404C8" w:rsidRDefault="00C6214E" w:rsidP="0086268D">
      <w:pPr>
        <w:pStyle w:val="ListParagraph"/>
        <w:numPr>
          <w:ilvl w:val="0"/>
          <w:numId w:val="17"/>
        </w:numPr>
        <w:tabs>
          <w:tab w:val="center" w:pos="4703"/>
          <w:tab w:val="right" w:pos="9406"/>
        </w:tabs>
        <w:jc w:val="both"/>
        <w:rPr>
          <w:rFonts w:ascii="Times New Roman" w:hAnsi="Times New Roman"/>
          <w:szCs w:val="24"/>
        </w:rPr>
      </w:pPr>
      <w:r>
        <w:rPr>
          <w:rFonts w:ascii="Times New Roman" w:hAnsi="Times New Roman"/>
          <w:lang w:val="sr-Latn-BA"/>
        </w:rPr>
        <w:t>На</w:t>
      </w:r>
      <w:r w:rsidR="0042679D" w:rsidRPr="00295637">
        <w:rPr>
          <w:rFonts w:ascii="Times New Roman" w:hAnsi="Times New Roman"/>
          <w:lang w:val="sr-Latn-BA"/>
        </w:rPr>
        <w:t xml:space="preserve"> </w:t>
      </w:r>
      <w:r>
        <w:rPr>
          <w:rFonts w:ascii="Times New Roman" w:hAnsi="Times New Roman"/>
          <w:lang w:val="sr-Latn-BA"/>
        </w:rPr>
        <w:t>иницијативу</w:t>
      </w:r>
      <w:r w:rsidR="0042679D" w:rsidRPr="00295637">
        <w:rPr>
          <w:rFonts w:ascii="Times New Roman" w:hAnsi="Times New Roman"/>
          <w:lang w:val="sr-Latn-BA"/>
        </w:rPr>
        <w:t xml:space="preserve"> </w:t>
      </w:r>
      <w:r>
        <w:rPr>
          <w:rFonts w:ascii="Times New Roman" w:hAnsi="Times New Roman"/>
          <w:lang w:val="sr-Latn-BA"/>
        </w:rPr>
        <w:t>ЦЈРП</w:t>
      </w:r>
      <w:r w:rsidR="0042679D" w:rsidRPr="00295637">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 xml:space="preserve">, </w:t>
      </w:r>
      <w:r>
        <w:rPr>
          <w:rFonts w:ascii="Times New Roman" w:hAnsi="Times New Roman"/>
          <w:lang w:val="sr-Latn-BA"/>
        </w:rPr>
        <w:t>превенција</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заштита</w:t>
      </w:r>
      <w:r w:rsidR="0042679D" w:rsidRPr="00295637">
        <w:rPr>
          <w:rFonts w:ascii="Times New Roman" w:hAnsi="Times New Roman"/>
          <w:lang w:val="sr-Latn-BA"/>
        </w:rPr>
        <w:t xml:space="preserve"> </w:t>
      </w:r>
      <w:r>
        <w:rPr>
          <w:rFonts w:ascii="Times New Roman" w:hAnsi="Times New Roman"/>
          <w:lang w:val="sr-Latn-BA"/>
        </w:rPr>
        <w:t>од</w:t>
      </w:r>
      <w:r w:rsidR="0042679D" w:rsidRPr="00295637">
        <w:rPr>
          <w:rFonts w:ascii="Times New Roman" w:hAnsi="Times New Roman"/>
          <w:lang w:val="sr-Latn-BA"/>
        </w:rPr>
        <w:t xml:space="preserve"> </w:t>
      </w:r>
      <w:r>
        <w:rPr>
          <w:rFonts w:ascii="Times New Roman" w:hAnsi="Times New Roman"/>
          <w:lang w:val="sr-Latn-BA"/>
        </w:rPr>
        <w:t>сексуалног</w:t>
      </w:r>
      <w:r w:rsidR="0042679D" w:rsidRPr="00295637">
        <w:rPr>
          <w:rFonts w:ascii="Times New Roman" w:hAnsi="Times New Roman"/>
          <w:lang w:val="sr-Latn-BA"/>
        </w:rPr>
        <w:t xml:space="preserve"> </w:t>
      </w:r>
      <w:r>
        <w:rPr>
          <w:rFonts w:ascii="Times New Roman" w:hAnsi="Times New Roman"/>
          <w:lang w:val="sr-Latn-BA"/>
        </w:rPr>
        <w:t>узнемиравања</w:t>
      </w:r>
      <w:r w:rsidR="0042679D" w:rsidRPr="00295637">
        <w:rPr>
          <w:rFonts w:ascii="Times New Roman" w:hAnsi="Times New Roman"/>
          <w:lang w:val="sr-Latn-BA"/>
        </w:rPr>
        <w:t xml:space="preserve"> </w:t>
      </w:r>
      <w:r w:rsidR="00C93FA9">
        <w:rPr>
          <w:rFonts w:ascii="Times New Roman" w:hAnsi="Times New Roman"/>
          <w:lang w:val="sr-Latn-BA"/>
        </w:rPr>
        <w:t xml:space="preserve">су </w:t>
      </w:r>
      <w:r>
        <w:rPr>
          <w:rFonts w:ascii="Times New Roman" w:hAnsi="Times New Roman"/>
          <w:lang w:val="sr-Latn-BA"/>
        </w:rPr>
        <w:t>гарант</w:t>
      </w:r>
      <w:r w:rsidR="00C93FA9">
        <w:rPr>
          <w:rFonts w:ascii="Times New Roman" w:hAnsi="Times New Roman"/>
          <w:lang w:val="sr-Cyrl-BA"/>
        </w:rPr>
        <w:t>оване</w:t>
      </w:r>
      <w:r w:rsidR="0042679D" w:rsidRPr="00295637">
        <w:rPr>
          <w:rFonts w:ascii="Times New Roman" w:hAnsi="Times New Roman"/>
          <w:lang w:val="sr-Latn-BA"/>
        </w:rPr>
        <w:t xml:space="preserve"> </w:t>
      </w:r>
      <w:r>
        <w:rPr>
          <w:rFonts w:ascii="Times New Roman" w:hAnsi="Times New Roman"/>
          <w:lang w:val="sr-Latn-BA"/>
        </w:rPr>
        <w:t>законодавством</w:t>
      </w:r>
      <w:r w:rsidR="0042679D" w:rsidRPr="00295637">
        <w:rPr>
          <w:rFonts w:ascii="Times New Roman" w:hAnsi="Times New Roman"/>
          <w:lang w:val="sr-Latn-BA"/>
        </w:rPr>
        <w:t xml:space="preserve"> </w:t>
      </w:r>
      <w:r>
        <w:rPr>
          <w:rFonts w:ascii="Times New Roman" w:hAnsi="Times New Roman"/>
          <w:lang w:val="sr-Latn-BA"/>
        </w:rPr>
        <w:t>Републике</w:t>
      </w:r>
      <w:r w:rsidR="0042679D">
        <w:rPr>
          <w:rFonts w:ascii="Times New Roman" w:hAnsi="Times New Roman"/>
          <w:lang w:val="sr-Latn-BA"/>
        </w:rPr>
        <w:t xml:space="preserve"> </w:t>
      </w:r>
      <w:r>
        <w:rPr>
          <w:rFonts w:ascii="Times New Roman" w:hAnsi="Times New Roman"/>
          <w:lang w:val="sr-Latn-BA"/>
        </w:rPr>
        <w:t>Српске</w:t>
      </w:r>
      <w:r w:rsidR="0042679D">
        <w:rPr>
          <w:rFonts w:ascii="Times New Roman" w:hAnsi="Times New Roman"/>
          <w:lang w:val="sr-Latn-BA"/>
        </w:rPr>
        <w:t>.</w:t>
      </w:r>
    </w:p>
    <w:p w:rsidR="0042679D" w:rsidRPr="006404C8" w:rsidRDefault="0042679D" w:rsidP="0086268D">
      <w:pPr>
        <w:tabs>
          <w:tab w:val="center" w:pos="4703"/>
          <w:tab w:val="right" w:pos="9406"/>
        </w:tabs>
        <w:jc w:val="both"/>
        <w:rPr>
          <w:rFonts w:ascii="Times New Roman" w:hAnsi="Times New Roman"/>
          <w:szCs w:val="24"/>
        </w:rPr>
      </w:pPr>
    </w:p>
    <w:p w:rsidR="0042679D" w:rsidRPr="00295637" w:rsidRDefault="00C6214E" w:rsidP="0086268D">
      <w:pPr>
        <w:pStyle w:val="ListParagraph"/>
        <w:numPr>
          <w:ilvl w:val="0"/>
          <w:numId w:val="17"/>
        </w:numPr>
        <w:jc w:val="both"/>
        <w:rPr>
          <w:rFonts w:ascii="Times New Roman" w:hAnsi="Times New Roman"/>
          <w:lang w:val="sr-Latn-BA"/>
        </w:rPr>
      </w:pPr>
      <w:r>
        <w:rPr>
          <w:rFonts w:ascii="Times New Roman" w:hAnsi="Times New Roman"/>
          <w:lang w:val="sr-Cyrl-BA"/>
        </w:rPr>
        <w:t>На</w:t>
      </w:r>
      <w:r w:rsidR="0042679D" w:rsidRPr="00295637">
        <w:rPr>
          <w:rFonts w:ascii="Times New Roman" w:hAnsi="Times New Roman"/>
          <w:lang w:val="sr-Cyrl-BA"/>
        </w:rPr>
        <w:t xml:space="preserve"> </w:t>
      </w:r>
      <w:r>
        <w:rPr>
          <w:rFonts w:ascii="Times New Roman" w:hAnsi="Times New Roman"/>
          <w:lang w:val="hr-HR"/>
        </w:rPr>
        <w:t>основу</w:t>
      </w:r>
      <w:r w:rsidR="0042679D"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оног</w:t>
      </w:r>
      <w:r w:rsidR="0042679D" w:rsidRPr="00295637">
        <w:rPr>
          <w:rFonts w:ascii="Times New Roman" w:hAnsi="Times New Roman"/>
          <w:lang w:val="sr-Cyrl-BA"/>
        </w:rPr>
        <w:t xml:space="preserve"> </w:t>
      </w:r>
      <w:r>
        <w:rPr>
          <w:rFonts w:ascii="Times New Roman" w:hAnsi="Times New Roman"/>
          <w:lang w:val="sr-Cyrl-BA"/>
        </w:rPr>
        <w:t>плана</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sidR="00C93FA9">
        <w:rPr>
          <w:rFonts w:ascii="Times New Roman" w:hAnsi="Times New Roman"/>
          <w:lang w:val="sr-Cyrl-BA"/>
        </w:rPr>
        <w:t>спровођење</w:t>
      </w:r>
      <w:r w:rsidR="0042679D" w:rsidRPr="00295637">
        <w:rPr>
          <w:rFonts w:ascii="Times New Roman" w:hAnsi="Times New Roman"/>
          <w:lang w:val="sr-Latn-BA"/>
        </w:rPr>
        <w:t xml:space="preserve"> </w:t>
      </w:r>
      <w:r>
        <w:rPr>
          <w:rFonts w:ascii="Times New Roman" w:hAnsi="Times New Roman"/>
          <w:lang w:val="sr-Latn-BA"/>
        </w:rPr>
        <w:t>Стратегије</w:t>
      </w:r>
      <w:r w:rsidR="0042679D" w:rsidRPr="00295637">
        <w:rPr>
          <w:rFonts w:ascii="Times New Roman" w:hAnsi="Times New Roman"/>
          <w:lang w:val="sr-Latn-BA"/>
        </w:rPr>
        <w:t xml:space="preserve"> </w:t>
      </w:r>
      <w:r>
        <w:rPr>
          <w:rFonts w:ascii="Times New Roman" w:hAnsi="Times New Roman"/>
          <w:lang w:val="sr-Latn-BA"/>
        </w:rPr>
        <w:t>запошљавања</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2024. </w:t>
      </w:r>
      <w:r>
        <w:rPr>
          <w:rFonts w:ascii="Times New Roman" w:hAnsi="Times New Roman"/>
          <w:lang w:val="sr-Latn-BA"/>
        </w:rPr>
        <w:t>годину</w:t>
      </w:r>
      <w:r w:rsidR="0042679D" w:rsidRPr="00295637">
        <w:rPr>
          <w:rFonts w:ascii="Times New Roman" w:hAnsi="Times New Roman"/>
          <w:lang w:val="sr-Cyrl-BA"/>
        </w:rPr>
        <w:t xml:space="preserve">, </w:t>
      </w:r>
      <w:r>
        <w:rPr>
          <w:rFonts w:ascii="Times New Roman" w:hAnsi="Times New Roman"/>
          <w:lang w:val="sr-Cyrl-BA"/>
        </w:rPr>
        <w:t>ЈУ</w:t>
      </w:r>
      <w:r w:rsidR="0042679D" w:rsidRPr="00295637">
        <w:rPr>
          <w:rFonts w:ascii="Times New Roman" w:hAnsi="Times New Roman"/>
          <w:lang w:val="sr-Cyrl-BA"/>
        </w:rPr>
        <w:t xml:space="preserve"> </w:t>
      </w:r>
      <w:r>
        <w:rPr>
          <w:rFonts w:ascii="Times New Roman" w:hAnsi="Times New Roman"/>
          <w:lang w:val="sr-Cyrl-BA"/>
        </w:rPr>
        <w:t>З</w:t>
      </w:r>
      <w:r>
        <w:rPr>
          <w:rFonts w:ascii="Times New Roman" w:hAnsi="Times New Roman"/>
          <w:lang w:val="bs-Latn-BA"/>
        </w:rPr>
        <w:t>ЗЗ</w:t>
      </w:r>
      <w:r w:rsidR="0042679D" w:rsidRPr="00295637">
        <w:rPr>
          <w:rFonts w:ascii="Times New Roman" w:hAnsi="Times New Roman"/>
          <w:lang w:val="bs-Latn-BA"/>
        </w:rPr>
        <w:t xml:space="preserve"> </w:t>
      </w:r>
      <w:r>
        <w:rPr>
          <w:rFonts w:ascii="Times New Roman" w:hAnsi="Times New Roman"/>
          <w:lang w:val="bs-Latn-BA"/>
        </w:rPr>
        <w:t>РС</w:t>
      </w:r>
      <w:r w:rsidR="0042679D" w:rsidRPr="00295637">
        <w:rPr>
          <w:rFonts w:ascii="Times New Roman" w:hAnsi="Times New Roman"/>
          <w:lang w:val="sr-Cyrl-BA"/>
        </w:rPr>
        <w:t xml:space="preserve"> </w:t>
      </w:r>
      <w:r>
        <w:rPr>
          <w:rFonts w:ascii="Times New Roman" w:hAnsi="Times New Roman"/>
          <w:lang w:val="sr-Cyrl-BA"/>
        </w:rPr>
        <w:t>сачини</w:t>
      </w:r>
      <w:r>
        <w:rPr>
          <w:rFonts w:ascii="Times New Roman" w:hAnsi="Times New Roman"/>
          <w:lang w:val="hr-HR"/>
        </w:rPr>
        <w:t>ла</w:t>
      </w:r>
      <w:r w:rsidR="0042679D" w:rsidRPr="00295637">
        <w:rPr>
          <w:rFonts w:ascii="Times New Roman" w:hAnsi="Times New Roman"/>
          <w:lang w:val="sr-Cyrl-BA"/>
        </w:rPr>
        <w:t xml:space="preserve"> </w:t>
      </w:r>
      <w:r>
        <w:rPr>
          <w:rFonts w:ascii="Times New Roman" w:hAnsi="Times New Roman"/>
          <w:lang w:val="sr-Cyrl-BA"/>
        </w:rPr>
        <w:t>је</w:t>
      </w:r>
      <w:r w:rsidR="0042679D" w:rsidRPr="00295637">
        <w:rPr>
          <w:rFonts w:ascii="Times New Roman" w:hAnsi="Times New Roman"/>
          <w:lang w:val="sr-Cyrl-BA"/>
        </w:rPr>
        <w:t xml:space="preserve"> </w:t>
      </w:r>
      <w:r>
        <w:rPr>
          <w:rFonts w:ascii="Times New Roman" w:hAnsi="Times New Roman"/>
          <w:lang w:val="sr-Cyrl-BA"/>
        </w:rPr>
        <w:t>Приједлог</w:t>
      </w:r>
      <w:r w:rsidR="0042679D" w:rsidRPr="00295637">
        <w:rPr>
          <w:rFonts w:ascii="Times New Roman" w:hAnsi="Times New Roman"/>
          <w:lang w:val="sr-Cyrl-BA"/>
        </w:rPr>
        <w:t xml:space="preserve"> </w:t>
      </w:r>
      <w:r>
        <w:rPr>
          <w:rFonts w:ascii="Times New Roman" w:hAnsi="Times New Roman"/>
          <w:lang w:val="sr-Cyrl-BA"/>
        </w:rPr>
        <w:t>програма</w:t>
      </w:r>
      <w:r w:rsidR="0042679D" w:rsidRPr="00295637">
        <w:rPr>
          <w:rFonts w:ascii="Times New Roman" w:hAnsi="Times New Roman"/>
          <w:lang w:val="sr-Cyrl-BA"/>
        </w:rPr>
        <w:t xml:space="preserve"> </w:t>
      </w:r>
      <w:r>
        <w:rPr>
          <w:rFonts w:ascii="Times New Roman" w:hAnsi="Times New Roman"/>
          <w:lang w:val="sr-Cyrl-BA"/>
        </w:rPr>
        <w:t>запошљавања</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w:t>
      </w:r>
      <w:r>
        <w:rPr>
          <w:rFonts w:ascii="Times New Roman" w:hAnsi="Times New Roman"/>
          <w:lang w:val="sr-Cyrl-BA"/>
        </w:rPr>
        <w:t>Републици</w:t>
      </w:r>
      <w:r w:rsidR="0042679D" w:rsidRPr="00295637">
        <w:rPr>
          <w:rFonts w:ascii="Times New Roman" w:hAnsi="Times New Roman"/>
          <w:lang w:val="sr-Cyrl-BA"/>
        </w:rPr>
        <w:t xml:space="preserve"> </w:t>
      </w:r>
      <w:r>
        <w:rPr>
          <w:rFonts w:ascii="Times New Roman" w:hAnsi="Times New Roman"/>
          <w:lang w:val="sr-Cyrl-BA"/>
        </w:rPr>
        <w:t>Српској</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sr-Cyrl-BA"/>
        </w:rPr>
        <w:t>реализацију</w:t>
      </w:r>
      <w:r w:rsidR="0042679D"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оног</w:t>
      </w:r>
      <w:r w:rsidR="0042679D" w:rsidRPr="00295637">
        <w:rPr>
          <w:rFonts w:ascii="Times New Roman" w:hAnsi="Times New Roman"/>
          <w:lang w:val="sr-Cyrl-BA"/>
        </w:rPr>
        <w:t xml:space="preserve"> </w:t>
      </w:r>
      <w:r>
        <w:rPr>
          <w:rFonts w:ascii="Times New Roman" w:hAnsi="Times New Roman"/>
          <w:lang w:val="sr-Cyrl-BA"/>
        </w:rPr>
        <w:t>плана</w:t>
      </w:r>
      <w:r w:rsidR="0042679D" w:rsidRPr="00295637">
        <w:rPr>
          <w:rFonts w:ascii="Times New Roman" w:hAnsi="Times New Roman"/>
          <w:lang w:val="sr-Cyrl-BA"/>
        </w:rPr>
        <w:t xml:space="preserve"> </w:t>
      </w:r>
      <w:r>
        <w:rPr>
          <w:rFonts w:ascii="Times New Roman" w:hAnsi="Times New Roman"/>
          <w:lang w:val="sr-Cyrl-BA"/>
        </w:rPr>
        <w:t>запошљавања</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2024. </w:t>
      </w:r>
      <w:r>
        <w:rPr>
          <w:rFonts w:ascii="Times New Roman" w:hAnsi="Times New Roman"/>
          <w:lang w:val="sr-Cyrl-BA"/>
        </w:rPr>
        <w:t>години</w:t>
      </w:r>
      <w:r w:rsidR="0042679D" w:rsidRPr="00295637">
        <w:rPr>
          <w:rFonts w:ascii="Times New Roman" w:hAnsi="Times New Roman"/>
          <w:lang w:val="sr-Cyrl-BA"/>
        </w:rPr>
        <w:t xml:space="preserve"> </w:t>
      </w:r>
      <w:r>
        <w:rPr>
          <w:rFonts w:ascii="Times New Roman" w:hAnsi="Times New Roman"/>
          <w:lang w:val="sr-Cyrl-BA"/>
        </w:rPr>
        <w:t>и</w:t>
      </w:r>
      <w:r w:rsidR="0042679D" w:rsidRPr="00295637">
        <w:rPr>
          <w:rFonts w:ascii="Times New Roman" w:hAnsi="Times New Roman"/>
          <w:lang w:val="sr-Cyrl-BA"/>
        </w:rPr>
        <w:t xml:space="preserve"> </w:t>
      </w:r>
      <w:r>
        <w:rPr>
          <w:rFonts w:ascii="Times New Roman" w:hAnsi="Times New Roman"/>
          <w:lang w:val="sr-Cyrl-BA"/>
        </w:rPr>
        <w:t>програме</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sr-Cyrl-BA"/>
        </w:rPr>
        <w:t>сваку</w:t>
      </w:r>
      <w:r w:rsidR="0042679D" w:rsidRPr="00295637">
        <w:rPr>
          <w:rFonts w:ascii="Times New Roman" w:hAnsi="Times New Roman"/>
          <w:lang w:val="sr-Cyrl-BA"/>
        </w:rPr>
        <w:t xml:space="preserve"> </w:t>
      </w:r>
      <w:r>
        <w:rPr>
          <w:rFonts w:ascii="Times New Roman" w:hAnsi="Times New Roman"/>
          <w:lang w:val="sr-Cyrl-BA"/>
        </w:rPr>
        <w:t>од</w:t>
      </w:r>
      <w:r w:rsidR="0042679D" w:rsidRPr="00295637">
        <w:rPr>
          <w:rFonts w:ascii="Times New Roman" w:hAnsi="Times New Roman"/>
          <w:lang w:val="sr-Cyrl-BA"/>
        </w:rPr>
        <w:t xml:space="preserve"> </w:t>
      </w:r>
      <w:r>
        <w:rPr>
          <w:rFonts w:ascii="Times New Roman" w:hAnsi="Times New Roman"/>
          <w:lang w:val="sr-Cyrl-BA"/>
        </w:rPr>
        <w:t>мјера</w:t>
      </w:r>
      <w:r w:rsidR="0042679D" w:rsidRPr="00295637">
        <w:rPr>
          <w:rFonts w:ascii="Times New Roman" w:hAnsi="Times New Roman"/>
          <w:lang w:val="sr-Cyrl-BA"/>
        </w:rPr>
        <w:t xml:space="preserve"> </w:t>
      </w:r>
      <w:r>
        <w:rPr>
          <w:rFonts w:ascii="Times New Roman" w:hAnsi="Times New Roman"/>
          <w:lang w:val="sr-Cyrl-BA"/>
        </w:rPr>
        <w:t>из</w:t>
      </w:r>
      <w:r w:rsidR="0042679D"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оног</w:t>
      </w:r>
      <w:r w:rsidR="0042679D" w:rsidRPr="00295637">
        <w:rPr>
          <w:rFonts w:ascii="Times New Roman" w:hAnsi="Times New Roman"/>
          <w:lang w:val="sr-Cyrl-BA"/>
        </w:rPr>
        <w:t xml:space="preserve"> </w:t>
      </w:r>
      <w:r>
        <w:rPr>
          <w:rFonts w:ascii="Times New Roman" w:hAnsi="Times New Roman"/>
          <w:lang w:val="sr-Cyrl-BA"/>
        </w:rPr>
        <w:t>плана</w:t>
      </w:r>
      <w:r w:rsidR="0042679D" w:rsidRPr="00295637">
        <w:rPr>
          <w:rFonts w:ascii="Times New Roman" w:hAnsi="Times New Roman"/>
          <w:lang w:val="sr-Cyrl-BA"/>
        </w:rPr>
        <w:t xml:space="preserve">. </w:t>
      </w:r>
      <w:r>
        <w:rPr>
          <w:rFonts w:ascii="Times New Roman" w:hAnsi="Times New Roman"/>
          <w:lang w:val="bs-Latn-BA"/>
        </w:rPr>
        <w:t>Р</w:t>
      </w:r>
      <w:r>
        <w:rPr>
          <w:rFonts w:ascii="Times New Roman" w:hAnsi="Times New Roman"/>
          <w:lang w:val="sr-Cyrl-BA"/>
        </w:rPr>
        <w:t>еализ</w:t>
      </w:r>
      <w:r w:rsidR="00C93FA9">
        <w:rPr>
          <w:rFonts w:ascii="Times New Roman" w:hAnsi="Times New Roman"/>
          <w:lang w:val="sr-Cyrl-BA"/>
        </w:rPr>
        <w:t>овано</w:t>
      </w:r>
      <w:r w:rsidR="0042679D" w:rsidRPr="00295637">
        <w:rPr>
          <w:rFonts w:ascii="Times New Roman" w:hAnsi="Times New Roman"/>
          <w:lang w:val="sr-Cyrl-BA"/>
        </w:rPr>
        <w:t xml:space="preserve"> </w:t>
      </w:r>
      <w:r>
        <w:rPr>
          <w:rFonts w:ascii="Times New Roman" w:hAnsi="Times New Roman"/>
          <w:lang w:val="sr-Cyrl-BA"/>
        </w:rPr>
        <w:t>је</w:t>
      </w:r>
      <w:r w:rsidR="0042679D" w:rsidRPr="00295637">
        <w:rPr>
          <w:rFonts w:ascii="Times New Roman" w:hAnsi="Times New Roman"/>
          <w:lang w:val="sr-Cyrl-BA"/>
        </w:rPr>
        <w:t xml:space="preserve"> </w:t>
      </w:r>
      <w:r>
        <w:rPr>
          <w:rFonts w:ascii="Times New Roman" w:hAnsi="Times New Roman"/>
          <w:lang w:val="bs-Latn-BA"/>
        </w:rPr>
        <w:t>пет</w:t>
      </w:r>
      <w:r w:rsidR="0042679D" w:rsidRPr="00295637">
        <w:rPr>
          <w:rFonts w:ascii="Times New Roman" w:hAnsi="Times New Roman"/>
          <w:lang w:val="sr-Cyrl-BA"/>
        </w:rPr>
        <w:t xml:space="preserve"> </w:t>
      </w:r>
      <w:r>
        <w:rPr>
          <w:rFonts w:ascii="Times New Roman" w:hAnsi="Times New Roman"/>
          <w:lang w:val="sr-Cyrl-BA"/>
        </w:rPr>
        <w:t>програма</w:t>
      </w:r>
      <w:r w:rsidR="0042679D" w:rsidRPr="00295637">
        <w:rPr>
          <w:rFonts w:ascii="Times New Roman" w:hAnsi="Times New Roman"/>
          <w:lang w:val="sr-Cyrl-BA"/>
        </w:rPr>
        <w:t xml:space="preserve"> </w:t>
      </w:r>
      <w:r>
        <w:rPr>
          <w:rFonts w:ascii="Times New Roman" w:hAnsi="Times New Roman"/>
          <w:lang w:val="sr-Cyrl-BA"/>
        </w:rPr>
        <w:t>запошљавања</w:t>
      </w:r>
      <w:r w:rsidR="0042679D" w:rsidRPr="00295637">
        <w:rPr>
          <w:rFonts w:ascii="Times New Roman" w:hAnsi="Times New Roman"/>
          <w:lang w:val="sr-Cyrl-BA"/>
        </w:rPr>
        <w:t xml:space="preserve">. </w:t>
      </w:r>
      <w:r>
        <w:rPr>
          <w:rFonts w:ascii="Times New Roman" w:hAnsi="Times New Roman"/>
          <w:lang w:val="sr-Cyrl-BA"/>
        </w:rPr>
        <w:t>Укупно</w:t>
      </w:r>
      <w:r w:rsidR="0042679D" w:rsidRPr="00295637">
        <w:rPr>
          <w:rFonts w:ascii="Times New Roman" w:hAnsi="Times New Roman"/>
          <w:lang w:val="sr-Cyrl-BA"/>
        </w:rPr>
        <w:t xml:space="preserve"> </w:t>
      </w:r>
      <w:r>
        <w:rPr>
          <w:rFonts w:ascii="Times New Roman" w:hAnsi="Times New Roman"/>
          <w:lang w:val="sr-Cyrl-BA"/>
        </w:rPr>
        <w:t>по</w:t>
      </w:r>
      <w:r w:rsidR="0042679D"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оном</w:t>
      </w:r>
      <w:r w:rsidR="0042679D" w:rsidRPr="00295637">
        <w:rPr>
          <w:rFonts w:ascii="Times New Roman" w:hAnsi="Times New Roman"/>
          <w:lang w:val="sr-Cyrl-BA"/>
        </w:rPr>
        <w:t xml:space="preserve"> </w:t>
      </w:r>
      <w:r>
        <w:rPr>
          <w:rFonts w:ascii="Times New Roman" w:hAnsi="Times New Roman"/>
          <w:lang w:val="sr-Cyrl-BA"/>
        </w:rPr>
        <w:t>плану</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2024. </w:t>
      </w:r>
      <w:r>
        <w:rPr>
          <w:rFonts w:ascii="Times New Roman" w:hAnsi="Times New Roman"/>
          <w:lang w:val="sr-Cyrl-BA"/>
        </w:rPr>
        <w:t>годину</w:t>
      </w:r>
      <w:r w:rsidR="0042679D" w:rsidRPr="00295637">
        <w:rPr>
          <w:rFonts w:ascii="Times New Roman" w:hAnsi="Times New Roman"/>
          <w:lang w:val="sr-Cyrl-BA"/>
        </w:rPr>
        <w:t xml:space="preserve"> </w:t>
      </w:r>
      <w:r>
        <w:rPr>
          <w:rFonts w:ascii="Times New Roman" w:hAnsi="Times New Roman"/>
          <w:lang w:val="hr-HR"/>
        </w:rPr>
        <w:t>за</w:t>
      </w:r>
      <w:r>
        <w:rPr>
          <w:rFonts w:ascii="Times New Roman" w:hAnsi="Times New Roman"/>
          <w:lang w:val="sr-Cyrl-BA"/>
        </w:rPr>
        <w:t>послено</w:t>
      </w:r>
      <w:r w:rsidR="0042679D" w:rsidRPr="00295637">
        <w:rPr>
          <w:rFonts w:ascii="Times New Roman" w:hAnsi="Times New Roman"/>
          <w:lang w:val="sr-Cyrl-BA"/>
        </w:rPr>
        <w:t xml:space="preserve"> </w:t>
      </w:r>
      <w:r>
        <w:rPr>
          <w:rFonts w:ascii="Times New Roman" w:hAnsi="Times New Roman"/>
          <w:lang w:val="sr-Cyrl-BA"/>
        </w:rPr>
        <w:t>је</w:t>
      </w:r>
      <w:r w:rsidR="0042679D" w:rsidRPr="00295637">
        <w:rPr>
          <w:rFonts w:ascii="Times New Roman" w:hAnsi="Times New Roman"/>
          <w:lang w:val="sr-Latn-BA"/>
        </w:rPr>
        <w:t xml:space="preserve">: </w:t>
      </w:r>
      <w:r w:rsidR="0042679D" w:rsidRPr="00295637">
        <w:rPr>
          <w:rFonts w:ascii="Times New Roman" w:hAnsi="Times New Roman"/>
          <w:lang w:val="sr-Cyrl-BA"/>
        </w:rPr>
        <w:t xml:space="preserve">885 </w:t>
      </w:r>
      <w:r>
        <w:rPr>
          <w:rFonts w:ascii="Times New Roman" w:hAnsi="Times New Roman"/>
          <w:lang w:val="hr-HR"/>
        </w:rPr>
        <w:t>лица</w:t>
      </w:r>
      <w:r w:rsidR="0042679D" w:rsidRPr="00295637">
        <w:rPr>
          <w:rFonts w:ascii="Times New Roman" w:hAnsi="Times New Roman"/>
          <w:lang w:val="sr-Latn-BA"/>
        </w:rPr>
        <w:t>,</w:t>
      </w:r>
      <w:r w:rsidR="0042679D" w:rsidRPr="00295637">
        <w:rPr>
          <w:rFonts w:ascii="Times New Roman" w:hAnsi="Times New Roman"/>
          <w:lang w:val="sr-Cyrl-BA"/>
        </w:rPr>
        <w:t xml:space="preserve"> </w:t>
      </w:r>
      <w:r>
        <w:rPr>
          <w:rFonts w:ascii="Times New Roman" w:hAnsi="Times New Roman"/>
          <w:lang w:val="sr-Cyrl-BA"/>
        </w:rPr>
        <w:t>од</w:t>
      </w:r>
      <w:r w:rsidR="0042679D" w:rsidRPr="00295637">
        <w:rPr>
          <w:rFonts w:ascii="Times New Roman" w:hAnsi="Times New Roman"/>
          <w:lang w:val="sr-Cyrl-BA"/>
        </w:rPr>
        <w:t xml:space="preserve"> </w:t>
      </w:r>
      <w:r>
        <w:rPr>
          <w:rFonts w:ascii="Times New Roman" w:hAnsi="Times New Roman"/>
          <w:lang w:val="sr-Latn-BA"/>
        </w:rPr>
        <w:t>че</w:t>
      </w:r>
      <w:r>
        <w:rPr>
          <w:rFonts w:ascii="Times New Roman" w:hAnsi="Times New Roman"/>
          <w:lang w:val="sr-Cyrl-BA"/>
        </w:rPr>
        <w:t>га</w:t>
      </w:r>
      <w:r w:rsidR="0042679D" w:rsidRPr="00295637">
        <w:rPr>
          <w:rFonts w:ascii="Times New Roman" w:hAnsi="Times New Roman"/>
          <w:lang w:val="sr-Cyrl-BA"/>
        </w:rPr>
        <w:t xml:space="preserve"> 466 </w:t>
      </w:r>
      <w:r>
        <w:rPr>
          <w:rFonts w:ascii="Times New Roman" w:hAnsi="Times New Roman"/>
          <w:lang w:val="sr-Cyrl-BA"/>
        </w:rPr>
        <w:t>жена</w:t>
      </w:r>
      <w:r w:rsidR="0042679D" w:rsidRPr="00295637">
        <w:rPr>
          <w:rFonts w:ascii="Times New Roman" w:hAnsi="Times New Roman"/>
          <w:lang w:val="sr-Latn-BA"/>
        </w:rPr>
        <w:t xml:space="preserve">; </w:t>
      </w:r>
      <w:r>
        <w:rPr>
          <w:rFonts w:ascii="Times New Roman" w:hAnsi="Times New Roman"/>
          <w:lang w:val="sr-Latn-BA"/>
        </w:rPr>
        <w:t>п</w:t>
      </w:r>
      <w:r>
        <w:rPr>
          <w:rFonts w:ascii="Times New Roman" w:hAnsi="Times New Roman"/>
          <w:lang w:val="sr-Cyrl-BA"/>
        </w:rPr>
        <w:t>о</w:t>
      </w:r>
      <w:r w:rsidR="0042679D" w:rsidRPr="00295637">
        <w:rPr>
          <w:rFonts w:ascii="Times New Roman" w:hAnsi="Times New Roman"/>
          <w:lang w:val="sr-Cyrl-BA"/>
        </w:rPr>
        <w:t xml:space="preserve"> </w:t>
      </w:r>
      <w:r>
        <w:rPr>
          <w:rFonts w:ascii="Times New Roman" w:hAnsi="Times New Roman"/>
          <w:lang w:val="sr-Cyrl-BA"/>
        </w:rPr>
        <w:t>програму</w:t>
      </w:r>
      <w:r w:rsidR="0042679D"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дршке</w:t>
      </w:r>
      <w:r w:rsidR="0042679D" w:rsidRPr="00295637">
        <w:rPr>
          <w:rFonts w:ascii="Times New Roman" w:hAnsi="Times New Roman"/>
          <w:lang w:val="sr-Cyrl-BA"/>
        </w:rPr>
        <w:t xml:space="preserve"> </w:t>
      </w:r>
      <w:r>
        <w:rPr>
          <w:rFonts w:ascii="Times New Roman" w:hAnsi="Times New Roman"/>
          <w:lang w:val="sr-Cyrl-BA"/>
        </w:rPr>
        <w:t>запошљавањ</w:t>
      </w:r>
      <w:r>
        <w:rPr>
          <w:rFonts w:ascii="Times New Roman" w:hAnsi="Times New Roman"/>
          <w:lang w:val="sr-Latn-BA"/>
        </w:rPr>
        <w:t>а</w:t>
      </w:r>
      <w:r w:rsidR="0042679D" w:rsidRPr="00295637">
        <w:rPr>
          <w:rFonts w:ascii="Times New Roman" w:hAnsi="Times New Roman"/>
          <w:lang w:val="sr-Cyrl-BA"/>
        </w:rPr>
        <w:t xml:space="preserve"> </w:t>
      </w:r>
      <w:r>
        <w:rPr>
          <w:rFonts w:ascii="Times New Roman" w:hAnsi="Times New Roman"/>
          <w:lang w:val="sr-Cyrl-BA"/>
        </w:rPr>
        <w:t>младих</w:t>
      </w:r>
      <w:r w:rsidR="0042679D"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42679D" w:rsidRPr="00295637">
        <w:rPr>
          <w:rFonts w:ascii="Times New Roman" w:hAnsi="Times New Roman"/>
          <w:lang w:val="sr-Cyrl-BA"/>
        </w:rPr>
        <w:t xml:space="preserve"> </w:t>
      </w:r>
      <w:r>
        <w:rPr>
          <w:rFonts w:ascii="Times New Roman" w:hAnsi="Times New Roman"/>
          <w:lang w:val="sr-Cyrl-BA"/>
        </w:rPr>
        <w:t>ВСС</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w:t>
      </w:r>
      <w:r>
        <w:rPr>
          <w:rFonts w:ascii="Times New Roman" w:hAnsi="Times New Roman"/>
          <w:lang w:val="sr-Cyrl-BA"/>
        </w:rPr>
        <w:t>статусу</w:t>
      </w:r>
      <w:r w:rsidR="0042679D" w:rsidRPr="00295637">
        <w:rPr>
          <w:rFonts w:ascii="Times New Roman" w:hAnsi="Times New Roman"/>
          <w:lang w:val="sr-Cyrl-BA"/>
        </w:rPr>
        <w:t xml:space="preserve"> </w:t>
      </w:r>
      <w:r>
        <w:rPr>
          <w:rFonts w:ascii="Times New Roman" w:hAnsi="Times New Roman"/>
          <w:lang w:val="sr-Cyrl-BA"/>
        </w:rPr>
        <w:t>приправника</w:t>
      </w:r>
      <w:r w:rsidR="0042679D" w:rsidRPr="00295637">
        <w:rPr>
          <w:rFonts w:ascii="Times New Roman" w:hAnsi="Times New Roman"/>
          <w:lang w:val="sr-Cyrl-BA"/>
        </w:rPr>
        <w:t xml:space="preserve"> </w:t>
      </w:r>
      <w:r>
        <w:rPr>
          <w:rFonts w:ascii="Times New Roman" w:hAnsi="Times New Roman"/>
          <w:lang w:val="hr-HR"/>
        </w:rPr>
        <w:t>за</w:t>
      </w:r>
      <w:r>
        <w:rPr>
          <w:rFonts w:ascii="Times New Roman" w:hAnsi="Times New Roman"/>
          <w:lang w:val="sr-Cyrl-BA"/>
        </w:rPr>
        <w:t>послено</w:t>
      </w:r>
      <w:r w:rsidR="0042679D" w:rsidRPr="00295637">
        <w:rPr>
          <w:rFonts w:ascii="Times New Roman" w:hAnsi="Times New Roman"/>
          <w:lang w:val="sr-Cyrl-BA"/>
        </w:rPr>
        <w:t xml:space="preserve"> </w:t>
      </w:r>
      <w:r>
        <w:rPr>
          <w:rFonts w:ascii="Times New Roman" w:hAnsi="Times New Roman"/>
          <w:lang w:val="sr-Cyrl-BA"/>
        </w:rPr>
        <w:t>је</w:t>
      </w:r>
      <w:r w:rsidR="0042679D" w:rsidRPr="00295637">
        <w:rPr>
          <w:rFonts w:ascii="Times New Roman" w:hAnsi="Times New Roman"/>
          <w:lang w:val="sr-Cyrl-BA"/>
        </w:rPr>
        <w:t xml:space="preserve"> 137 </w:t>
      </w:r>
      <w:r>
        <w:rPr>
          <w:rFonts w:ascii="Times New Roman" w:hAnsi="Times New Roman"/>
          <w:lang w:val="sr-Cyrl-BA"/>
        </w:rPr>
        <w:t>жена</w:t>
      </w:r>
      <w:r w:rsidR="0042679D" w:rsidRPr="00295637">
        <w:rPr>
          <w:rFonts w:ascii="Times New Roman" w:hAnsi="Times New Roman"/>
          <w:lang w:val="sr-Latn-BA"/>
        </w:rPr>
        <w:t xml:space="preserve">; </w:t>
      </w:r>
      <w:r>
        <w:rPr>
          <w:rFonts w:ascii="Times New Roman" w:hAnsi="Times New Roman"/>
          <w:lang w:val="sr-Latn-BA"/>
        </w:rPr>
        <w:t>по</w:t>
      </w:r>
      <w:r w:rsidR="0042679D" w:rsidRPr="00295637">
        <w:rPr>
          <w:rFonts w:ascii="Times New Roman" w:hAnsi="Times New Roman"/>
          <w:lang w:val="sr-Latn-BA"/>
        </w:rPr>
        <w:t xml:space="preserve"> </w:t>
      </w:r>
      <w:r>
        <w:rPr>
          <w:rFonts w:ascii="Times New Roman" w:hAnsi="Times New Roman"/>
          <w:lang w:val="sr-Latn-BA"/>
        </w:rPr>
        <w:t>п</w:t>
      </w:r>
      <w:r>
        <w:rPr>
          <w:rFonts w:ascii="Times New Roman" w:hAnsi="Times New Roman"/>
          <w:lang w:val="sr-Cyrl-BA"/>
        </w:rPr>
        <w:t>рограм</w:t>
      </w:r>
      <w:r>
        <w:rPr>
          <w:rFonts w:ascii="Times New Roman" w:hAnsi="Times New Roman"/>
          <w:lang w:val="sr-Latn-BA"/>
        </w:rPr>
        <w:t>у</w:t>
      </w:r>
      <w:r w:rsidR="0042679D" w:rsidRPr="00295637">
        <w:rPr>
          <w:rFonts w:ascii="Times New Roman" w:hAnsi="Times New Roman"/>
          <w:lang w:val="sr-Cyrl-BA"/>
        </w:rPr>
        <w:t xml:space="preserve"> </w:t>
      </w:r>
      <w:r>
        <w:rPr>
          <w:rFonts w:ascii="Times New Roman" w:hAnsi="Times New Roman"/>
          <w:lang w:val="sr-Cyrl-BA"/>
        </w:rPr>
        <w:t>самозапошљавања</w:t>
      </w:r>
      <w:r w:rsidR="0042679D" w:rsidRPr="00295637">
        <w:rPr>
          <w:rFonts w:ascii="Times New Roman" w:hAnsi="Times New Roman"/>
          <w:lang w:val="sr-Latn-BA"/>
        </w:rPr>
        <w:t xml:space="preserve">, </w:t>
      </w:r>
      <w:r>
        <w:rPr>
          <w:rFonts w:ascii="Times New Roman" w:hAnsi="Times New Roman"/>
          <w:lang w:val="sr-Latn-BA"/>
        </w:rPr>
        <w:t>запослено</w:t>
      </w:r>
      <w:r w:rsidR="0042679D" w:rsidRPr="00295637">
        <w:rPr>
          <w:rFonts w:ascii="Times New Roman" w:hAnsi="Times New Roman"/>
          <w:lang w:val="sr-Latn-BA"/>
        </w:rPr>
        <w:t xml:space="preserve"> </w:t>
      </w:r>
      <w:r>
        <w:rPr>
          <w:rFonts w:ascii="Times New Roman" w:hAnsi="Times New Roman"/>
          <w:lang w:val="sr-Latn-BA"/>
        </w:rPr>
        <w:t>је</w:t>
      </w:r>
      <w:r w:rsidR="0042679D" w:rsidRPr="00295637">
        <w:rPr>
          <w:rFonts w:ascii="Times New Roman" w:hAnsi="Times New Roman"/>
          <w:lang w:val="sr-Cyrl-BA"/>
        </w:rPr>
        <w:t xml:space="preserve"> 120</w:t>
      </w:r>
      <w:r w:rsidR="0042679D" w:rsidRPr="00295637">
        <w:rPr>
          <w:rFonts w:ascii="Times New Roman" w:hAnsi="Times New Roman"/>
          <w:lang w:val="sr-Latn-BA"/>
        </w:rPr>
        <w:t xml:space="preserve"> </w:t>
      </w:r>
      <w:r>
        <w:rPr>
          <w:rFonts w:ascii="Times New Roman" w:hAnsi="Times New Roman"/>
          <w:lang w:val="sr-Latn-BA"/>
        </w:rPr>
        <w:t>жена</w:t>
      </w:r>
      <w:r w:rsidR="00751A3F">
        <w:rPr>
          <w:rFonts w:ascii="Times New Roman" w:hAnsi="Times New Roman"/>
          <w:lang w:val="sr-Latn-BA"/>
        </w:rPr>
        <w:t>,</w:t>
      </w:r>
      <w:r w:rsidR="0042679D" w:rsidRPr="00295637">
        <w:rPr>
          <w:rFonts w:ascii="Times New Roman" w:hAnsi="Times New Roman"/>
          <w:lang w:val="sr-Latn-BA"/>
        </w:rPr>
        <w:t xml:space="preserve"> </w:t>
      </w:r>
      <w:r>
        <w:rPr>
          <w:rFonts w:ascii="Times New Roman" w:hAnsi="Times New Roman"/>
          <w:lang w:val="sr-Latn-BA"/>
        </w:rPr>
        <w:t>а</w:t>
      </w:r>
      <w:r w:rsidR="0042679D" w:rsidRPr="00295637">
        <w:rPr>
          <w:rFonts w:ascii="Times New Roman" w:hAnsi="Times New Roman"/>
          <w:lang w:val="sr-Latn-BA"/>
        </w:rPr>
        <w:t xml:space="preserve"> </w:t>
      </w:r>
      <w:r>
        <w:rPr>
          <w:rFonts w:ascii="Times New Roman" w:hAnsi="Times New Roman"/>
          <w:lang w:val="sr-Cyrl-BA"/>
        </w:rPr>
        <w:t>по</w:t>
      </w:r>
      <w:r w:rsidR="0042679D" w:rsidRPr="00295637">
        <w:rPr>
          <w:rFonts w:ascii="Times New Roman" w:hAnsi="Times New Roman"/>
          <w:lang w:val="sr-Cyrl-BA"/>
        </w:rPr>
        <w:t xml:space="preserve"> </w:t>
      </w:r>
      <w:r>
        <w:rPr>
          <w:rFonts w:ascii="Times New Roman" w:hAnsi="Times New Roman"/>
          <w:lang w:val="sr-Cyrl-BA"/>
        </w:rPr>
        <w:t>програму</w:t>
      </w:r>
      <w:r w:rsidR="0042679D" w:rsidRPr="00295637">
        <w:rPr>
          <w:rFonts w:ascii="Times New Roman" w:hAnsi="Times New Roman"/>
          <w:lang w:val="sr-Cyrl-BA"/>
        </w:rPr>
        <w:t xml:space="preserve"> </w:t>
      </w:r>
      <w:r>
        <w:rPr>
          <w:rFonts w:ascii="Times New Roman" w:hAnsi="Times New Roman"/>
          <w:lang w:val="sr-Cyrl-BA"/>
        </w:rPr>
        <w:t>запошљавањ</w:t>
      </w:r>
      <w:r>
        <w:rPr>
          <w:rFonts w:ascii="Times New Roman" w:hAnsi="Times New Roman"/>
          <w:lang w:val="sr-Latn-BA"/>
        </w:rPr>
        <w:t>а</w:t>
      </w:r>
      <w:r w:rsidR="0042679D" w:rsidRPr="00295637">
        <w:rPr>
          <w:rFonts w:ascii="Times New Roman" w:hAnsi="Times New Roman"/>
          <w:lang w:val="sr-Cyrl-BA"/>
        </w:rPr>
        <w:t xml:space="preserve"> </w:t>
      </w:r>
      <w:r>
        <w:rPr>
          <w:rFonts w:ascii="Times New Roman" w:hAnsi="Times New Roman"/>
          <w:lang w:val="sr-Cyrl-BA"/>
        </w:rPr>
        <w:t>код</w:t>
      </w:r>
      <w:r w:rsidR="0042679D" w:rsidRPr="00295637">
        <w:rPr>
          <w:rFonts w:ascii="Times New Roman" w:hAnsi="Times New Roman"/>
          <w:lang w:val="sr-Cyrl-BA"/>
        </w:rPr>
        <w:t xml:space="preserve"> </w:t>
      </w:r>
      <w:r>
        <w:rPr>
          <w:rFonts w:ascii="Times New Roman" w:hAnsi="Times New Roman"/>
          <w:lang w:val="sr-Cyrl-BA"/>
        </w:rPr>
        <w:t>послода</w:t>
      </w:r>
      <w:r>
        <w:rPr>
          <w:rFonts w:ascii="Times New Roman" w:hAnsi="Times New Roman"/>
          <w:lang w:val="sr-Latn-BA"/>
        </w:rPr>
        <w:t>в</w:t>
      </w:r>
      <w:r>
        <w:rPr>
          <w:rFonts w:ascii="Times New Roman" w:hAnsi="Times New Roman"/>
          <w:lang w:val="sr-Cyrl-BA"/>
        </w:rPr>
        <w:t>ца</w:t>
      </w:r>
      <w:r w:rsidR="0042679D" w:rsidRPr="00295637">
        <w:rPr>
          <w:rFonts w:ascii="Times New Roman" w:hAnsi="Times New Roman"/>
          <w:lang w:val="sr-Latn-BA"/>
        </w:rPr>
        <w:t xml:space="preserve">, </w:t>
      </w:r>
      <w:r>
        <w:rPr>
          <w:rFonts w:ascii="Times New Roman" w:hAnsi="Times New Roman"/>
          <w:lang w:val="sr-Latn-BA"/>
        </w:rPr>
        <w:t>запослено</w:t>
      </w:r>
      <w:r w:rsidR="0042679D" w:rsidRPr="00295637">
        <w:rPr>
          <w:rFonts w:ascii="Times New Roman" w:hAnsi="Times New Roman"/>
          <w:lang w:val="sr-Latn-BA"/>
        </w:rPr>
        <w:t xml:space="preserve"> </w:t>
      </w:r>
      <w:r>
        <w:rPr>
          <w:rFonts w:ascii="Times New Roman" w:hAnsi="Times New Roman"/>
          <w:lang w:val="sr-Latn-BA"/>
        </w:rPr>
        <w:t>је</w:t>
      </w:r>
      <w:r w:rsidR="0042679D" w:rsidRPr="00295637">
        <w:rPr>
          <w:rFonts w:ascii="Times New Roman" w:hAnsi="Times New Roman"/>
          <w:lang w:val="sr-Cyrl-BA"/>
        </w:rPr>
        <w:t xml:space="preserve"> 209 </w:t>
      </w:r>
      <w:r>
        <w:rPr>
          <w:rFonts w:ascii="Times New Roman" w:hAnsi="Times New Roman"/>
          <w:lang w:val="sr-Cyrl-BA"/>
        </w:rPr>
        <w:t>жена</w:t>
      </w:r>
      <w:r w:rsidR="0042679D" w:rsidRPr="00295637">
        <w:rPr>
          <w:rFonts w:ascii="Times New Roman" w:hAnsi="Times New Roman"/>
          <w:lang w:val="sr-Cyrl-BA"/>
        </w:rPr>
        <w:t>.</w:t>
      </w:r>
    </w:p>
    <w:p w:rsidR="0042679D" w:rsidRDefault="0042679D" w:rsidP="0086268D">
      <w:pPr>
        <w:pStyle w:val="ListParagraph"/>
        <w:ind w:left="720"/>
        <w:jc w:val="both"/>
        <w:rPr>
          <w:rFonts w:ascii="Times New Roman" w:hAnsi="Times New Roman"/>
          <w:szCs w:val="24"/>
        </w:rPr>
      </w:pPr>
    </w:p>
    <w:p w:rsidR="0042679D" w:rsidRPr="00B9527C" w:rsidRDefault="00C6214E" w:rsidP="00B9527C">
      <w:pPr>
        <w:pStyle w:val="ListParagraph"/>
        <w:numPr>
          <w:ilvl w:val="0"/>
          <w:numId w:val="17"/>
        </w:numPr>
        <w:jc w:val="both"/>
        <w:rPr>
          <w:rFonts w:ascii="Times New Roman" w:hAnsi="Times New Roman"/>
          <w:szCs w:val="24"/>
        </w:rPr>
      </w:pPr>
      <w:r>
        <w:rPr>
          <w:rFonts w:ascii="Times New Roman" w:hAnsi="Times New Roman"/>
          <w:szCs w:val="24"/>
        </w:rPr>
        <w:t>У</w:t>
      </w:r>
      <w:r w:rsidR="00E64C30">
        <w:rPr>
          <w:rFonts w:ascii="Times New Roman" w:hAnsi="Times New Roman"/>
          <w:szCs w:val="24"/>
        </w:rPr>
        <w:t xml:space="preserve"> </w:t>
      </w:r>
      <w:r>
        <w:rPr>
          <w:rFonts w:ascii="Times New Roman" w:hAnsi="Times New Roman"/>
          <w:szCs w:val="24"/>
        </w:rPr>
        <w:t>складу</w:t>
      </w:r>
      <w:r w:rsidR="00E64C30">
        <w:rPr>
          <w:rFonts w:ascii="Times New Roman" w:hAnsi="Times New Roman"/>
          <w:szCs w:val="24"/>
        </w:rPr>
        <w:t xml:space="preserve"> </w:t>
      </w:r>
      <w:r>
        <w:rPr>
          <w:rFonts w:ascii="Times New Roman" w:hAnsi="Times New Roman"/>
          <w:szCs w:val="24"/>
        </w:rPr>
        <w:t>са</w:t>
      </w:r>
      <w:r w:rsidR="0042679D" w:rsidRPr="00295637">
        <w:rPr>
          <w:rFonts w:ascii="Times New Roman" w:hAnsi="Times New Roman"/>
          <w:szCs w:val="24"/>
        </w:rPr>
        <w:t xml:space="preserve"> </w:t>
      </w:r>
      <w:r>
        <w:rPr>
          <w:rFonts w:ascii="Times New Roman" w:hAnsi="Times New Roman"/>
          <w:szCs w:val="24"/>
        </w:rPr>
        <w:t>Законом</w:t>
      </w:r>
      <w:r w:rsidR="0042679D" w:rsidRPr="00295637">
        <w:rPr>
          <w:rFonts w:ascii="Times New Roman" w:hAnsi="Times New Roman"/>
          <w:szCs w:val="24"/>
        </w:rPr>
        <w:t xml:space="preserve"> </w:t>
      </w:r>
      <w:r>
        <w:rPr>
          <w:rFonts w:ascii="Times New Roman" w:hAnsi="Times New Roman"/>
          <w:szCs w:val="24"/>
        </w:rPr>
        <w:t>о</w:t>
      </w:r>
      <w:r w:rsidR="0042679D" w:rsidRPr="00295637">
        <w:rPr>
          <w:rFonts w:ascii="Times New Roman" w:hAnsi="Times New Roman"/>
          <w:szCs w:val="24"/>
        </w:rPr>
        <w:t xml:space="preserve"> </w:t>
      </w:r>
      <w:r>
        <w:rPr>
          <w:rFonts w:ascii="Times New Roman" w:hAnsi="Times New Roman"/>
          <w:szCs w:val="24"/>
        </w:rPr>
        <w:t>заштити</w:t>
      </w:r>
      <w:r w:rsidR="0042679D" w:rsidRPr="00295637">
        <w:rPr>
          <w:rFonts w:ascii="Times New Roman" w:hAnsi="Times New Roman"/>
          <w:szCs w:val="24"/>
        </w:rPr>
        <w:t xml:space="preserve"> </w:t>
      </w:r>
      <w:r>
        <w:rPr>
          <w:rFonts w:ascii="Times New Roman" w:hAnsi="Times New Roman"/>
          <w:szCs w:val="24"/>
        </w:rPr>
        <w:t>од</w:t>
      </w:r>
      <w:r w:rsidR="0042679D" w:rsidRPr="00295637">
        <w:rPr>
          <w:rFonts w:ascii="Times New Roman" w:hAnsi="Times New Roman"/>
          <w:szCs w:val="24"/>
        </w:rPr>
        <w:t xml:space="preserve"> </w:t>
      </w:r>
      <w:r>
        <w:rPr>
          <w:rFonts w:ascii="Times New Roman" w:hAnsi="Times New Roman"/>
          <w:szCs w:val="24"/>
        </w:rPr>
        <w:t>узнемиравања</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раду</w:t>
      </w:r>
      <w:r w:rsidR="0042679D" w:rsidRPr="00295637">
        <w:rPr>
          <w:rFonts w:ascii="Times New Roman" w:hAnsi="Times New Roman"/>
          <w:szCs w:val="24"/>
        </w:rPr>
        <w:t xml:space="preserve"> </w:t>
      </w:r>
      <w:r>
        <w:rPr>
          <w:rFonts w:ascii="Times New Roman" w:hAnsi="Times New Roman"/>
          <w:szCs w:val="24"/>
        </w:rPr>
        <w:t>РС</w:t>
      </w:r>
      <w:r w:rsidR="0042679D" w:rsidRPr="00295637">
        <w:rPr>
          <w:rFonts w:ascii="Times New Roman" w:hAnsi="Times New Roman"/>
          <w:szCs w:val="24"/>
        </w:rPr>
        <w:t xml:space="preserve"> </w:t>
      </w:r>
      <w:r>
        <w:rPr>
          <w:rFonts w:ascii="Times New Roman" w:hAnsi="Times New Roman"/>
          <w:szCs w:val="24"/>
        </w:rPr>
        <w:t>прописано</w:t>
      </w:r>
      <w:r w:rsidR="0042679D" w:rsidRPr="00295637">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Pr>
          <w:rFonts w:ascii="Times New Roman" w:hAnsi="Times New Roman"/>
          <w:szCs w:val="24"/>
        </w:rPr>
        <w:t>да</w:t>
      </w:r>
      <w:r w:rsidR="0042679D" w:rsidRPr="00295637">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Pr>
          <w:rFonts w:ascii="Times New Roman" w:hAnsi="Times New Roman"/>
          <w:szCs w:val="24"/>
        </w:rPr>
        <w:t>сваки</w:t>
      </w:r>
      <w:r w:rsidR="0042679D" w:rsidRPr="00295637">
        <w:rPr>
          <w:rFonts w:ascii="Times New Roman" w:hAnsi="Times New Roman"/>
          <w:szCs w:val="24"/>
        </w:rPr>
        <w:t xml:space="preserve"> </w:t>
      </w:r>
      <w:r>
        <w:rPr>
          <w:rFonts w:ascii="Times New Roman" w:hAnsi="Times New Roman"/>
          <w:szCs w:val="24"/>
        </w:rPr>
        <w:t>послодавац</w:t>
      </w:r>
      <w:r w:rsidR="0042679D" w:rsidRPr="00295637">
        <w:rPr>
          <w:rFonts w:ascii="Times New Roman" w:hAnsi="Times New Roman"/>
          <w:szCs w:val="24"/>
        </w:rPr>
        <w:t xml:space="preserve">, </w:t>
      </w:r>
      <w:r>
        <w:rPr>
          <w:rFonts w:ascii="Times New Roman" w:hAnsi="Times New Roman"/>
          <w:szCs w:val="24"/>
        </w:rPr>
        <w:t>који</w:t>
      </w:r>
      <w:r w:rsidR="0042679D" w:rsidRPr="00295637">
        <w:rPr>
          <w:rFonts w:ascii="Times New Roman" w:hAnsi="Times New Roman"/>
          <w:szCs w:val="24"/>
        </w:rPr>
        <w:t xml:space="preserve"> </w:t>
      </w:r>
      <w:r>
        <w:rPr>
          <w:rFonts w:ascii="Times New Roman" w:hAnsi="Times New Roman"/>
          <w:szCs w:val="24"/>
        </w:rPr>
        <w:t>запошљава</w:t>
      </w:r>
      <w:r w:rsidR="0042679D" w:rsidRPr="00295637">
        <w:rPr>
          <w:rFonts w:ascii="Times New Roman" w:hAnsi="Times New Roman"/>
          <w:szCs w:val="24"/>
        </w:rPr>
        <w:t xml:space="preserve"> 15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више</w:t>
      </w:r>
      <w:r w:rsidR="0042679D" w:rsidRPr="00295637">
        <w:rPr>
          <w:rFonts w:ascii="Times New Roman" w:hAnsi="Times New Roman"/>
          <w:szCs w:val="24"/>
        </w:rPr>
        <w:t xml:space="preserve"> </w:t>
      </w:r>
      <w:r>
        <w:rPr>
          <w:rFonts w:ascii="Times New Roman" w:hAnsi="Times New Roman"/>
          <w:szCs w:val="24"/>
        </w:rPr>
        <w:t>радника</w:t>
      </w:r>
      <w:r w:rsidR="0042679D" w:rsidRPr="00295637">
        <w:rPr>
          <w:rFonts w:ascii="Times New Roman" w:hAnsi="Times New Roman"/>
          <w:szCs w:val="24"/>
        </w:rPr>
        <w:t xml:space="preserve">, </w:t>
      </w:r>
      <w:r>
        <w:rPr>
          <w:rFonts w:ascii="Times New Roman" w:hAnsi="Times New Roman"/>
          <w:szCs w:val="24"/>
        </w:rPr>
        <w:t>дужан</w:t>
      </w:r>
      <w:r w:rsidR="0042679D" w:rsidRPr="00295637">
        <w:rPr>
          <w:rFonts w:ascii="Times New Roman" w:hAnsi="Times New Roman"/>
          <w:szCs w:val="24"/>
        </w:rPr>
        <w:t xml:space="preserve"> </w:t>
      </w:r>
      <w:r>
        <w:rPr>
          <w:rFonts w:ascii="Times New Roman" w:hAnsi="Times New Roman"/>
          <w:szCs w:val="24"/>
        </w:rPr>
        <w:t>донијети</w:t>
      </w:r>
      <w:r w:rsidR="0042679D" w:rsidRPr="00295637">
        <w:rPr>
          <w:rFonts w:ascii="Times New Roman" w:hAnsi="Times New Roman"/>
          <w:szCs w:val="24"/>
        </w:rPr>
        <w:t xml:space="preserve"> </w:t>
      </w:r>
      <w:r>
        <w:rPr>
          <w:rFonts w:ascii="Times New Roman" w:hAnsi="Times New Roman"/>
          <w:szCs w:val="24"/>
        </w:rPr>
        <w:t>оп</w:t>
      </w:r>
      <w:r w:rsidR="00C93FA9">
        <w:rPr>
          <w:rFonts w:ascii="Times New Roman" w:hAnsi="Times New Roman"/>
          <w:szCs w:val="24"/>
          <w:lang w:val="sr-Cyrl-BA"/>
        </w:rPr>
        <w:t>шт</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акт</w:t>
      </w:r>
      <w:r w:rsidR="0042679D" w:rsidRPr="00295637">
        <w:rPr>
          <w:rFonts w:ascii="Times New Roman" w:hAnsi="Times New Roman"/>
          <w:szCs w:val="24"/>
        </w:rPr>
        <w:t xml:space="preserve"> </w:t>
      </w:r>
      <w:r>
        <w:rPr>
          <w:rFonts w:ascii="Times New Roman" w:hAnsi="Times New Roman"/>
          <w:szCs w:val="24"/>
        </w:rPr>
        <w:t>којим</w:t>
      </w:r>
      <w:r w:rsidR="0042679D" w:rsidRPr="00295637">
        <w:rPr>
          <w:rFonts w:ascii="Times New Roman" w:hAnsi="Times New Roman"/>
          <w:szCs w:val="24"/>
        </w:rPr>
        <w:t xml:space="preserve"> </w:t>
      </w:r>
      <w:r>
        <w:rPr>
          <w:rFonts w:ascii="Times New Roman" w:hAnsi="Times New Roman"/>
          <w:szCs w:val="24"/>
        </w:rPr>
        <w:t>прописује</w:t>
      </w:r>
      <w:r w:rsidR="0042679D" w:rsidRPr="00295637">
        <w:rPr>
          <w:rFonts w:ascii="Times New Roman" w:hAnsi="Times New Roman"/>
          <w:szCs w:val="24"/>
        </w:rPr>
        <w:t xml:space="preserve"> </w:t>
      </w:r>
      <w:r>
        <w:rPr>
          <w:rFonts w:ascii="Times New Roman" w:hAnsi="Times New Roman"/>
          <w:szCs w:val="24"/>
        </w:rPr>
        <w:t>поступак</w:t>
      </w:r>
      <w:r w:rsidR="0042679D" w:rsidRPr="00295637">
        <w:rPr>
          <w:rFonts w:ascii="Times New Roman" w:hAnsi="Times New Roman"/>
          <w:szCs w:val="24"/>
        </w:rPr>
        <w:t xml:space="preserve"> </w:t>
      </w:r>
      <w:r>
        <w:rPr>
          <w:rFonts w:ascii="Times New Roman" w:hAnsi="Times New Roman"/>
          <w:szCs w:val="24"/>
        </w:rPr>
        <w:t>заштите</w:t>
      </w:r>
      <w:r w:rsidR="0042679D" w:rsidRPr="00295637">
        <w:rPr>
          <w:rFonts w:ascii="Times New Roman" w:hAnsi="Times New Roman"/>
          <w:szCs w:val="24"/>
        </w:rPr>
        <w:t xml:space="preserve"> </w:t>
      </w:r>
      <w:r>
        <w:rPr>
          <w:rFonts w:ascii="Times New Roman" w:hAnsi="Times New Roman"/>
          <w:szCs w:val="24"/>
        </w:rPr>
        <w:t>од</w:t>
      </w:r>
      <w:r w:rsidR="0042679D" w:rsidRPr="00295637">
        <w:rPr>
          <w:rFonts w:ascii="Times New Roman" w:hAnsi="Times New Roman"/>
          <w:szCs w:val="24"/>
        </w:rPr>
        <w:t xml:space="preserve"> </w:t>
      </w:r>
      <w:r>
        <w:rPr>
          <w:rFonts w:ascii="Times New Roman" w:hAnsi="Times New Roman"/>
          <w:szCs w:val="24"/>
        </w:rPr>
        <w:t>узнемиравања</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раду</w:t>
      </w:r>
      <w:r w:rsidR="0042679D" w:rsidRPr="00295637">
        <w:rPr>
          <w:rFonts w:ascii="Times New Roman" w:hAnsi="Times New Roman"/>
          <w:szCs w:val="24"/>
        </w:rPr>
        <w:t xml:space="preserve">. </w:t>
      </w:r>
      <w:r>
        <w:rPr>
          <w:rFonts w:ascii="Times New Roman" w:hAnsi="Times New Roman"/>
          <w:szCs w:val="24"/>
        </w:rPr>
        <w:t>Организ</w:t>
      </w:r>
      <w:r w:rsidR="00C93FA9">
        <w:rPr>
          <w:rFonts w:ascii="Times New Roman" w:hAnsi="Times New Roman"/>
          <w:szCs w:val="24"/>
          <w:lang w:val="sr-Cyrl-BA"/>
        </w:rPr>
        <w:t>овани</w:t>
      </w:r>
      <w:r w:rsidR="0042679D" w:rsidRPr="00295637">
        <w:rPr>
          <w:rFonts w:ascii="Times New Roman" w:hAnsi="Times New Roman"/>
          <w:szCs w:val="24"/>
        </w:rPr>
        <w:t xml:space="preserve"> </w:t>
      </w:r>
      <w:r>
        <w:rPr>
          <w:rFonts w:ascii="Times New Roman" w:hAnsi="Times New Roman"/>
          <w:szCs w:val="24"/>
        </w:rPr>
        <w:t>су</w:t>
      </w:r>
      <w:r w:rsidR="0042679D" w:rsidRPr="00295637">
        <w:rPr>
          <w:rFonts w:ascii="Times New Roman" w:hAnsi="Times New Roman"/>
          <w:szCs w:val="24"/>
        </w:rPr>
        <w:t xml:space="preserve"> </w:t>
      </w:r>
      <w:r>
        <w:rPr>
          <w:rFonts w:ascii="Times New Roman" w:hAnsi="Times New Roman"/>
          <w:szCs w:val="24"/>
        </w:rPr>
        <w:t>семинари</w:t>
      </w:r>
      <w:r w:rsidR="0042679D" w:rsidRPr="00295637">
        <w:rPr>
          <w:rFonts w:ascii="Times New Roman" w:hAnsi="Times New Roman"/>
          <w:szCs w:val="24"/>
        </w:rPr>
        <w:t>/</w:t>
      </w:r>
      <w:r>
        <w:rPr>
          <w:rFonts w:ascii="Times New Roman" w:hAnsi="Times New Roman"/>
          <w:szCs w:val="24"/>
        </w:rPr>
        <w:t>вебинари</w:t>
      </w:r>
      <w:r w:rsidR="0042679D" w:rsidRPr="00295637">
        <w:rPr>
          <w:rFonts w:ascii="Times New Roman" w:hAnsi="Times New Roman"/>
          <w:szCs w:val="24"/>
        </w:rPr>
        <w:t xml:space="preserve"> </w:t>
      </w:r>
      <w:r>
        <w:rPr>
          <w:rFonts w:ascii="Times New Roman" w:hAnsi="Times New Roman"/>
          <w:szCs w:val="24"/>
        </w:rPr>
        <w:t>о</w:t>
      </w:r>
      <w:r w:rsidR="0042679D" w:rsidRPr="00295637">
        <w:rPr>
          <w:rFonts w:ascii="Times New Roman" w:hAnsi="Times New Roman"/>
          <w:szCs w:val="24"/>
        </w:rPr>
        <w:t xml:space="preserve"> </w:t>
      </w:r>
      <w:r>
        <w:rPr>
          <w:rFonts w:ascii="Times New Roman" w:hAnsi="Times New Roman"/>
          <w:szCs w:val="24"/>
        </w:rPr>
        <w:t>примјени</w:t>
      </w:r>
      <w:r w:rsidR="0042679D" w:rsidRPr="00295637">
        <w:rPr>
          <w:rFonts w:ascii="Times New Roman" w:hAnsi="Times New Roman"/>
          <w:szCs w:val="24"/>
        </w:rPr>
        <w:t xml:space="preserve"> </w:t>
      </w:r>
      <w:r>
        <w:rPr>
          <w:rFonts w:ascii="Times New Roman" w:hAnsi="Times New Roman"/>
          <w:szCs w:val="24"/>
        </w:rPr>
        <w:t>овог</w:t>
      </w:r>
      <w:r w:rsidR="0042679D" w:rsidRPr="00295637">
        <w:rPr>
          <w:rFonts w:ascii="Times New Roman" w:hAnsi="Times New Roman"/>
          <w:szCs w:val="24"/>
        </w:rPr>
        <w:t xml:space="preserve"> </w:t>
      </w:r>
      <w:r>
        <w:rPr>
          <w:rFonts w:ascii="Times New Roman" w:hAnsi="Times New Roman"/>
          <w:szCs w:val="24"/>
        </w:rPr>
        <w:t>закона</w:t>
      </w:r>
      <w:r w:rsidR="0042679D" w:rsidRPr="00295637">
        <w:rPr>
          <w:rFonts w:ascii="Times New Roman" w:hAnsi="Times New Roman"/>
          <w:szCs w:val="24"/>
        </w:rPr>
        <w:t xml:space="preserve">, </w:t>
      </w:r>
      <w:r>
        <w:rPr>
          <w:rFonts w:ascii="Times New Roman" w:hAnsi="Times New Roman"/>
          <w:szCs w:val="24"/>
        </w:rPr>
        <w:t>намијењени</w:t>
      </w:r>
      <w:r w:rsidR="0042679D" w:rsidRPr="00295637">
        <w:rPr>
          <w:rFonts w:ascii="Times New Roman" w:hAnsi="Times New Roman"/>
          <w:szCs w:val="24"/>
        </w:rPr>
        <w:t xml:space="preserve"> </w:t>
      </w:r>
      <w:r>
        <w:rPr>
          <w:rFonts w:ascii="Times New Roman" w:hAnsi="Times New Roman"/>
          <w:szCs w:val="24"/>
        </w:rPr>
        <w:t>шефовима</w:t>
      </w:r>
      <w:r w:rsidR="0042679D" w:rsidRPr="00295637">
        <w:rPr>
          <w:rFonts w:ascii="Times New Roman" w:hAnsi="Times New Roman"/>
          <w:szCs w:val="24"/>
        </w:rPr>
        <w:t xml:space="preserve"> </w:t>
      </w:r>
      <w:r>
        <w:rPr>
          <w:rFonts w:ascii="Times New Roman" w:hAnsi="Times New Roman"/>
          <w:szCs w:val="24"/>
        </w:rPr>
        <w:t>правних</w:t>
      </w:r>
      <w:r w:rsidR="0042679D" w:rsidRPr="00295637">
        <w:rPr>
          <w:rFonts w:ascii="Times New Roman" w:hAnsi="Times New Roman"/>
          <w:szCs w:val="24"/>
        </w:rPr>
        <w:t xml:space="preserve"> </w:t>
      </w:r>
      <w:r>
        <w:rPr>
          <w:rFonts w:ascii="Times New Roman" w:hAnsi="Times New Roman"/>
          <w:szCs w:val="24"/>
        </w:rPr>
        <w:t>служби</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јавном</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приватном</w:t>
      </w:r>
      <w:r w:rsidR="0042679D" w:rsidRPr="00295637">
        <w:rPr>
          <w:rFonts w:ascii="Times New Roman" w:hAnsi="Times New Roman"/>
          <w:szCs w:val="24"/>
        </w:rPr>
        <w:t xml:space="preserve"> </w:t>
      </w:r>
      <w:r>
        <w:rPr>
          <w:rFonts w:ascii="Times New Roman" w:hAnsi="Times New Roman"/>
          <w:szCs w:val="24"/>
        </w:rPr>
        <w:t>сектору</w:t>
      </w:r>
      <w:r w:rsidR="0042679D" w:rsidRPr="00295637">
        <w:rPr>
          <w:rFonts w:ascii="Times New Roman" w:hAnsi="Times New Roman"/>
          <w:szCs w:val="24"/>
        </w:rPr>
        <w:t xml:space="preserve">, </w:t>
      </w:r>
      <w:r>
        <w:rPr>
          <w:rFonts w:ascii="Times New Roman" w:hAnsi="Times New Roman"/>
          <w:szCs w:val="24"/>
        </w:rPr>
        <w:t>адвокатима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правницима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привредним</w:t>
      </w:r>
      <w:r w:rsidR="0042679D" w:rsidRPr="00295637">
        <w:rPr>
          <w:rFonts w:ascii="Times New Roman" w:hAnsi="Times New Roman"/>
          <w:szCs w:val="24"/>
        </w:rPr>
        <w:t xml:space="preserve"> </w:t>
      </w:r>
      <w:r>
        <w:rPr>
          <w:rFonts w:ascii="Times New Roman" w:hAnsi="Times New Roman"/>
          <w:szCs w:val="24"/>
        </w:rPr>
        <w:t>друштвима</w:t>
      </w:r>
      <w:r w:rsidR="0042679D" w:rsidRPr="00295637">
        <w:rPr>
          <w:rFonts w:ascii="Times New Roman" w:hAnsi="Times New Roman"/>
          <w:szCs w:val="24"/>
        </w:rPr>
        <w:t xml:space="preserve">, </w:t>
      </w:r>
      <w:r>
        <w:rPr>
          <w:rFonts w:ascii="Times New Roman" w:hAnsi="Times New Roman"/>
          <w:szCs w:val="24"/>
        </w:rPr>
        <w:t>јавним</w:t>
      </w:r>
      <w:r w:rsidR="0042679D" w:rsidRPr="00295637">
        <w:rPr>
          <w:rFonts w:ascii="Times New Roman" w:hAnsi="Times New Roman"/>
          <w:szCs w:val="24"/>
        </w:rPr>
        <w:t xml:space="preserve"> </w:t>
      </w:r>
      <w:r>
        <w:rPr>
          <w:rFonts w:ascii="Times New Roman" w:hAnsi="Times New Roman"/>
          <w:szCs w:val="24"/>
        </w:rPr>
        <w:t>установама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институцијама</w:t>
      </w:r>
      <w:r w:rsidR="0042679D" w:rsidRPr="00295637">
        <w:rPr>
          <w:rFonts w:ascii="Times New Roman" w:hAnsi="Times New Roman"/>
          <w:szCs w:val="24"/>
        </w:rPr>
        <w:t xml:space="preserve">, </w:t>
      </w:r>
      <w:r>
        <w:rPr>
          <w:rFonts w:ascii="Times New Roman" w:hAnsi="Times New Roman"/>
          <w:szCs w:val="24"/>
        </w:rPr>
        <w:t>власницима</w:t>
      </w:r>
      <w:r w:rsidR="0042679D" w:rsidRPr="00295637">
        <w:rPr>
          <w:rFonts w:ascii="Times New Roman" w:hAnsi="Times New Roman"/>
          <w:szCs w:val="24"/>
        </w:rPr>
        <w:t xml:space="preserve">, </w:t>
      </w:r>
      <w:r>
        <w:rPr>
          <w:rFonts w:ascii="Times New Roman" w:hAnsi="Times New Roman"/>
          <w:szCs w:val="24"/>
        </w:rPr>
        <w:t>директорима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менаџерима</w:t>
      </w:r>
      <w:r w:rsidR="0042679D" w:rsidRPr="00295637">
        <w:rPr>
          <w:rFonts w:ascii="Times New Roman" w:hAnsi="Times New Roman"/>
          <w:szCs w:val="24"/>
        </w:rPr>
        <w:t xml:space="preserve"> </w:t>
      </w:r>
      <w:r>
        <w:rPr>
          <w:rFonts w:ascii="Times New Roman" w:hAnsi="Times New Roman"/>
          <w:szCs w:val="24"/>
        </w:rPr>
        <w:t>људских</w:t>
      </w:r>
      <w:r w:rsidR="0042679D" w:rsidRPr="00295637">
        <w:rPr>
          <w:rFonts w:ascii="Times New Roman" w:hAnsi="Times New Roman"/>
          <w:szCs w:val="24"/>
        </w:rPr>
        <w:t xml:space="preserve"> </w:t>
      </w:r>
      <w:r>
        <w:rPr>
          <w:rFonts w:ascii="Times New Roman" w:hAnsi="Times New Roman"/>
          <w:szCs w:val="24"/>
        </w:rPr>
        <w:t>ресурса</w:t>
      </w:r>
      <w:r w:rsidR="0042679D">
        <w:rPr>
          <w:rFonts w:ascii="Times New Roman" w:hAnsi="Times New Roman"/>
          <w:szCs w:val="24"/>
        </w:rPr>
        <w:t>.</w:t>
      </w:r>
    </w:p>
    <w:p w:rsidR="00751A3F" w:rsidRPr="00295637" w:rsidRDefault="00751A3F" w:rsidP="0086268D">
      <w:pPr>
        <w:pStyle w:val="NormalWeb"/>
        <w:spacing w:before="0" w:beforeAutospacing="0" w:after="0" w:afterAutospacing="0"/>
        <w:jc w:val="both"/>
        <w:rPr>
          <w:lang w:val="bs-Latn-BA"/>
        </w:rPr>
      </w:pPr>
    </w:p>
    <w:p w:rsidR="0042679D" w:rsidRPr="00295637" w:rsidRDefault="00C6214E" w:rsidP="0086268D">
      <w:pPr>
        <w:pStyle w:val="NormalWeb"/>
        <w:spacing w:before="0" w:beforeAutospacing="0" w:after="0" w:afterAutospacing="0"/>
        <w:jc w:val="both"/>
        <w:rPr>
          <w:i/>
          <w:lang w:val="bs-Latn-BA"/>
        </w:rPr>
      </w:pPr>
      <w:r>
        <w:rPr>
          <w:i/>
          <w:lang w:val="bs-Latn-BA"/>
        </w:rPr>
        <w:t>Образовање</w:t>
      </w:r>
      <w:r w:rsidR="0042679D" w:rsidRPr="00295637">
        <w:rPr>
          <w:i/>
          <w:lang w:val="bs-Latn-BA"/>
        </w:rPr>
        <w:t xml:space="preserve">, </w:t>
      </w:r>
      <w:r>
        <w:rPr>
          <w:i/>
          <w:lang w:val="bs-Latn-BA"/>
        </w:rPr>
        <w:t>наука</w:t>
      </w:r>
      <w:r w:rsidR="0042679D" w:rsidRPr="00295637">
        <w:rPr>
          <w:i/>
          <w:lang w:val="bs-Latn-BA"/>
        </w:rPr>
        <w:t xml:space="preserve">, </w:t>
      </w:r>
      <w:r>
        <w:rPr>
          <w:i/>
          <w:lang w:val="bs-Latn-BA"/>
        </w:rPr>
        <w:t>култура</w:t>
      </w:r>
      <w:r w:rsidR="0042679D" w:rsidRPr="00295637">
        <w:rPr>
          <w:i/>
          <w:lang w:val="bs-Latn-BA"/>
        </w:rPr>
        <w:t xml:space="preserve"> </w:t>
      </w:r>
      <w:r>
        <w:rPr>
          <w:i/>
          <w:lang w:val="bs-Latn-BA"/>
        </w:rPr>
        <w:t>и</w:t>
      </w:r>
      <w:r w:rsidR="0042679D" w:rsidRPr="00295637">
        <w:rPr>
          <w:i/>
          <w:lang w:val="bs-Latn-BA"/>
        </w:rPr>
        <w:t xml:space="preserve"> </w:t>
      </w:r>
      <w:r>
        <w:rPr>
          <w:i/>
          <w:lang w:val="bs-Latn-BA"/>
        </w:rPr>
        <w:t>спорт</w:t>
      </w:r>
    </w:p>
    <w:p w:rsidR="0042679D" w:rsidRPr="00295637" w:rsidRDefault="0042679D" w:rsidP="0086268D">
      <w:pPr>
        <w:pStyle w:val="NormalWeb"/>
        <w:spacing w:before="0" w:beforeAutospacing="0" w:after="0" w:afterAutospacing="0"/>
        <w:jc w:val="both"/>
        <w:rPr>
          <w:i/>
          <w:lang w:val="bs-Latn-BA"/>
        </w:rPr>
      </w:pPr>
    </w:p>
    <w:p w:rsidR="0042679D" w:rsidRPr="00644EC4" w:rsidRDefault="00C6214E" w:rsidP="0086268D">
      <w:pPr>
        <w:pStyle w:val="ListParagraph"/>
        <w:numPr>
          <w:ilvl w:val="0"/>
          <w:numId w:val="27"/>
        </w:numPr>
        <w:autoSpaceDE w:val="0"/>
        <w:autoSpaceDN w:val="0"/>
        <w:adjustRightInd w:val="0"/>
        <w:jc w:val="both"/>
        <w:rPr>
          <w:rFonts w:ascii="Times New Roman" w:hAnsi="Times New Roman"/>
          <w:color w:val="000000"/>
          <w:szCs w:val="24"/>
        </w:rPr>
      </w:pPr>
      <w:r>
        <w:rPr>
          <w:rFonts w:ascii="Times New Roman" w:hAnsi="Times New Roman"/>
          <w:szCs w:val="24"/>
          <w:lang w:val="hr-HR"/>
        </w:rPr>
        <w:t>Проценат</w:t>
      </w:r>
      <w:r w:rsidR="0042679D" w:rsidRPr="00644EC4">
        <w:rPr>
          <w:rFonts w:ascii="Times New Roman" w:hAnsi="Times New Roman"/>
          <w:szCs w:val="24"/>
          <w:lang w:val="hr-HR"/>
        </w:rPr>
        <w:t xml:space="preserve"> </w:t>
      </w:r>
      <w:r>
        <w:rPr>
          <w:rFonts w:ascii="Times New Roman" w:hAnsi="Times New Roman"/>
          <w:szCs w:val="24"/>
          <w:lang w:val="hr-HR"/>
        </w:rPr>
        <w:t>дјевојака</w:t>
      </w:r>
      <w:r w:rsidR="0042679D">
        <w:rPr>
          <w:rFonts w:ascii="Times New Roman" w:hAnsi="Times New Roman"/>
          <w:szCs w:val="24"/>
          <w:lang w:val="hr-HR"/>
        </w:rPr>
        <w:t xml:space="preserve"> </w:t>
      </w:r>
      <w:r>
        <w:rPr>
          <w:rFonts w:ascii="Times New Roman" w:hAnsi="Times New Roman"/>
          <w:szCs w:val="24"/>
          <w:lang w:val="hr-HR"/>
        </w:rPr>
        <w:t>међу</w:t>
      </w:r>
      <w:r w:rsidR="0042679D">
        <w:rPr>
          <w:rFonts w:ascii="Times New Roman" w:hAnsi="Times New Roman"/>
          <w:szCs w:val="24"/>
          <w:lang w:val="hr-HR"/>
        </w:rPr>
        <w:t xml:space="preserve"> </w:t>
      </w:r>
      <w:r>
        <w:rPr>
          <w:rFonts w:ascii="Times New Roman" w:hAnsi="Times New Roman"/>
          <w:szCs w:val="24"/>
          <w:lang w:val="hr-HR"/>
        </w:rPr>
        <w:t>уписаним</w:t>
      </w:r>
      <w:r w:rsidR="0042679D" w:rsidRPr="00644EC4">
        <w:rPr>
          <w:rFonts w:ascii="Times New Roman" w:hAnsi="Times New Roman"/>
          <w:szCs w:val="24"/>
          <w:lang w:val="hr-HR"/>
        </w:rPr>
        <w:t xml:space="preserve"> </w:t>
      </w:r>
      <w:r>
        <w:rPr>
          <w:rFonts w:ascii="Times New Roman" w:hAnsi="Times New Roman"/>
          <w:szCs w:val="24"/>
          <w:lang w:val="hr-HR"/>
        </w:rPr>
        <w:t>у</w:t>
      </w:r>
      <w:r w:rsidR="0042679D" w:rsidRPr="00644EC4">
        <w:rPr>
          <w:rFonts w:ascii="Times New Roman" w:hAnsi="Times New Roman"/>
          <w:szCs w:val="24"/>
          <w:lang w:val="hr-HR"/>
        </w:rPr>
        <w:t xml:space="preserve"> </w:t>
      </w:r>
      <w:r>
        <w:rPr>
          <w:rFonts w:ascii="Times New Roman" w:hAnsi="Times New Roman"/>
          <w:szCs w:val="24"/>
          <w:lang w:val="hr-HR"/>
        </w:rPr>
        <w:t>високошколске</w:t>
      </w:r>
      <w:r w:rsidR="0042679D" w:rsidRPr="00644EC4">
        <w:rPr>
          <w:rFonts w:ascii="Times New Roman" w:hAnsi="Times New Roman"/>
          <w:szCs w:val="24"/>
          <w:lang w:val="hr-HR"/>
        </w:rPr>
        <w:t xml:space="preserve"> </w:t>
      </w:r>
      <w:r>
        <w:rPr>
          <w:rFonts w:ascii="Times New Roman" w:hAnsi="Times New Roman"/>
          <w:szCs w:val="24"/>
          <w:lang w:val="hr-HR"/>
        </w:rPr>
        <w:t>установе</w:t>
      </w:r>
      <w:r w:rsidR="0042679D" w:rsidRPr="00644EC4">
        <w:rPr>
          <w:rFonts w:ascii="Times New Roman" w:hAnsi="Times New Roman"/>
          <w:szCs w:val="24"/>
          <w:lang w:val="hr-HR"/>
        </w:rPr>
        <w:t xml:space="preserve"> </w:t>
      </w:r>
      <w:r>
        <w:rPr>
          <w:rFonts w:ascii="Times New Roman" w:hAnsi="Times New Roman"/>
          <w:szCs w:val="24"/>
          <w:lang w:val="hr-HR"/>
        </w:rPr>
        <w:t>износио</w:t>
      </w:r>
      <w:r w:rsidR="0042679D" w:rsidRPr="00644EC4">
        <w:rPr>
          <w:rFonts w:ascii="Times New Roman" w:hAnsi="Times New Roman"/>
          <w:szCs w:val="24"/>
          <w:lang w:val="hr-HR"/>
        </w:rPr>
        <w:t xml:space="preserve"> </w:t>
      </w:r>
      <w:r>
        <w:rPr>
          <w:rFonts w:ascii="Times New Roman" w:hAnsi="Times New Roman"/>
          <w:szCs w:val="24"/>
          <w:lang w:val="hr-HR"/>
        </w:rPr>
        <w:t>је</w:t>
      </w:r>
      <w:r w:rsidR="00964A5B" w:rsidRPr="00644EC4">
        <w:rPr>
          <w:rFonts w:ascii="Times New Roman" w:hAnsi="Times New Roman"/>
          <w:szCs w:val="24"/>
          <w:lang w:val="hr-HR"/>
        </w:rPr>
        <w:t xml:space="preserve"> </w:t>
      </w:r>
      <w:r w:rsidR="0042679D" w:rsidRPr="00644EC4">
        <w:rPr>
          <w:rFonts w:ascii="Times New Roman" w:hAnsi="Times New Roman"/>
          <w:szCs w:val="24"/>
          <w:lang w:val="hr-HR"/>
        </w:rPr>
        <w:t xml:space="preserve">60,13%, </w:t>
      </w:r>
      <w:r>
        <w:rPr>
          <w:rFonts w:ascii="Times New Roman" w:hAnsi="Times New Roman"/>
          <w:szCs w:val="24"/>
          <w:lang w:val="hr-HR"/>
        </w:rPr>
        <w:t>а</w:t>
      </w:r>
      <w:r w:rsidR="0042679D" w:rsidRPr="00644EC4">
        <w:rPr>
          <w:rFonts w:ascii="Times New Roman" w:hAnsi="Times New Roman"/>
          <w:szCs w:val="24"/>
          <w:lang w:val="hr-HR"/>
        </w:rPr>
        <w:t xml:space="preserve"> </w:t>
      </w:r>
      <w:r>
        <w:rPr>
          <w:rFonts w:ascii="Times New Roman" w:hAnsi="Times New Roman"/>
          <w:szCs w:val="24"/>
          <w:lang w:val="hr-HR"/>
        </w:rPr>
        <w:t>проценат</w:t>
      </w:r>
      <w:r w:rsidR="0042679D" w:rsidRPr="00644EC4">
        <w:rPr>
          <w:rFonts w:ascii="Times New Roman" w:hAnsi="Times New Roman"/>
          <w:szCs w:val="24"/>
          <w:lang w:val="hr-HR"/>
        </w:rPr>
        <w:t xml:space="preserve"> </w:t>
      </w:r>
      <w:r>
        <w:rPr>
          <w:rFonts w:ascii="Times New Roman" w:hAnsi="Times New Roman"/>
          <w:szCs w:val="24"/>
          <w:lang w:val="hr-HR"/>
        </w:rPr>
        <w:t>женских</w:t>
      </w:r>
      <w:r w:rsidR="0042679D" w:rsidRPr="00644EC4">
        <w:rPr>
          <w:rFonts w:ascii="Times New Roman" w:hAnsi="Times New Roman"/>
          <w:szCs w:val="24"/>
          <w:lang w:val="hr-HR"/>
        </w:rPr>
        <w:t xml:space="preserve"> </w:t>
      </w:r>
      <w:r>
        <w:rPr>
          <w:rFonts w:ascii="Times New Roman" w:hAnsi="Times New Roman"/>
          <w:szCs w:val="24"/>
          <w:lang w:val="hr-HR"/>
        </w:rPr>
        <w:t>особа</w:t>
      </w:r>
      <w:r w:rsidR="0042679D" w:rsidRPr="00644EC4">
        <w:rPr>
          <w:rFonts w:ascii="Times New Roman" w:hAnsi="Times New Roman"/>
          <w:szCs w:val="24"/>
          <w:lang w:val="hr-HR"/>
        </w:rPr>
        <w:t xml:space="preserve"> </w:t>
      </w:r>
      <w:r>
        <w:rPr>
          <w:rFonts w:ascii="Times New Roman" w:hAnsi="Times New Roman"/>
          <w:szCs w:val="24"/>
          <w:lang w:val="hr-HR"/>
        </w:rPr>
        <w:t>међу</w:t>
      </w:r>
      <w:r w:rsidR="0042679D" w:rsidRPr="00644EC4">
        <w:rPr>
          <w:rFonts w:ascii="Times New Roman" w:hAnsi="Times New Roman"/>
          <w:szCs w:val="24"/>
          <w:lang w:val="hr-HR"/>
        </w:rPr>
        <w:t xml:space="preserve"> </w:t>
      </w:r>
      <w:r>
        <w:rPr>
          <w:rFonts w:ascii="Times New Roman" w:hAnsi="Times New Roman"/>
          <w:szCs w:val="24"/>
          <w:lang w:val="hr-HR"/>
        </w:rPr>
        <w:t>особама</w:t>
      </w:r>
      <w:r w:rsidR="0042679D" w:rsidRPr="00644EC4">
        <w:rPr>
          <w:rFonts w:ascii="Times New Roman" w:hAnsi="Times New Roman"/>
          <w:szCs w:val="24"/>
          <w:lang w:val="hr-HR"/>
        </w:rPr>
        <w:t xml:space="preserve"> </w:t>
      </w:r>
      <w:r>
        <w:rPr>
          <w:rFonts w:ascii="Times New Roman" w:hAnsi="Times New Roman"/>
          <w:szCs w:val="24"/>
          <w:lang w:val="hr-HR"/>
        </w:rPr>
        <w:t>које</w:t>
      </w:r>
      <w:r w:rsidR="0042679D" w:rsidRPr="00644EC4">
        <w:rPr>
          <w:rFonts w:ascii="Times New Roman" w:hAnsi="Times New Roman"/>
          <w:szCs w:val="24"/>
          <w:lang w:val="hr-HR"/>
        </w:rPr>
        <w:t xml:space="preserve"> </w:t>
      </w:r>
      <w:r>
        <w:rPr>
          <w:rFonts w:ascii="Times New Roman" w:hAnsi="Times New Roman"/>
          <w:szCs w:val="24"/>
          <w:lang w:val="hr-HR"/>
        </w:rPr>
        <w:t>су</w:t>
      </w:r>
      <w:r w:rsidR="0042679D" w:rsidRPr="00644EC4">
        <w:rPr>
          <w:rFonts w:ascii="Times New Roman" w:hAnsi="Times New Roman"/>
          <w:szCs w:val="24"/>
          <w:lang w:val="hr-HR"/>
        </w:rPr>
        <w:t xml:space="preserve"> </w:t>
      </w:r>
      <w:r>
        <w:rPr>
          <w:rFonts w:ascii="Times New Roman" w:hAnsi="Times New Roman"/>
          <w:szCs w:val="24"/>
          <w:lang w:val="hr-HR"/>
        </w:rPr>
        <w:t>завршила</w:t>
      </w:r>
      <w:r w:rsidR="0042679D" w:rsidRPr="00644EC4">
        <w:rPr>
          <w:rFonts w:ascii="Times New Roman" w:hAnsi="Times New Roman"/>
          <w:szCs w:val="24"/>
          <w:lang w:val="hr-HR"/>
        </w:rPr>
        <w:t xml:space="preserve"> </w:t>
      </w:r>
      <w:r>
        <w:rPr>
          <w:rFonts w:ascii="Times New Roman" w:hAnsi="Times New Roman"/>
          <w:szCs w:val="24"/>
          <w:lang w:val="hr-HR"/>
        </w:rPr>
        <w:t>факултете</w:t>
      </w:r>
      <w:r w:rsidR="0042679D" w:rsidRPr="00644EC4">
        <w:rPr>
          <w:rFonts w:ascii="Times New Roman" w:hAnsi="Times New Roman"/>
          <w:szCs w:val="24"/>
          <w:lang w:val="hr-HR"/>
        </w:rPr>
        <w:t xml:space="preserve"> </w:t>
      </w:r>
      <w:r>
        <w:rPr>
          <w:rFonts w:ascii="Times New Roman" w:hAnsi="Times New Roman"/>
          <w:szCs w:val="24"/>
          <w:lang w:val="hr-HR"/>
        </w:rPr>
        <w:t>и</w:t>
      </w:r>
      <w:r w:rsidR="0042679D" w:rsidRPr="00644EC4">
        <w:rPr>
          <w:rFonts w:ascii="Times New Roman" w:hAnsi="Times New Roman"/>
          <w:szCs w:val="24"/>
          <w:lang w:val="hr-HR"/>
        </w:rPr>
        <w:t xml:space="preserve"> </w:t>
      </w:r>
      <w:r>
        <w:rPr>
          <w:rFonts w:ascii="Times New Roman" w:hAnsi="Times New Roman"/>
          <w:szCs w:val="24"/>
          <w:lang w:val="hr-HR"/>
        </w:rPr>
        <w:t>друге</w:t>
      </w:r>
      <w:r w:rsidR="0042679D" w:rsidRPr="00644EC4">
        <w:rPr>
          <w:rFonts w:ascii="Times New Roman" w:hAnsi="Times New Roman"/>
          <w:szCs w:val="24"/>
          <w:lang w:val="hr-HR"/>
        </w:rPr>
        <w:t xml:space="preserve"> </w:t>
      </w:r>
      <w:r>
        <w:rPr>
          <w:rFonts w:ascii="Times New Roman" w:hAnsi="Times New Roman"/>
          <w:szCs w:val="24"/>
          <w:lang w:val="hr-HR"/>
        </w:rPr>
        <w:t>високошколске</w:t>
      </w:r>
      <w:r w:rsidR="0042679D" w:rsidRPr="00644EC4">
        <w:rPr>
          <w:rFonts w:ascii="Times New Roman" w:hAnsi="Times New Roman"/>
          <w:szCs w:val="24"/>
          <w:lang w:val="hr-HR"/>
        </w:rPr>
        <w:t xml:space="preserve"> </w:t>
      </w:r>
      <w:r>
        <w:rPr>
          <w:rFonts w:ascii="Times New Roman" w:hAnsi="Times New Roman"/>
          <w:szCs w:val="24"/>
          <w:lang w:val="hr-HR"/>
        </w:rPr>
        <w:t>установе</w:t>
      </w:r>
      <w:r w:rsidR="0042679D" w:rsidRPr="00644EC4">
        <w:rPr>
          <w:rFonts w:ascii="Times New Roman" w:hAnsi="Times New Roman"/>
          <w:szCs w:val="24"/>
          <w:lang w:val="hr-HR"/>
        </w:rPr>
        <w:t xml:space="preserve"> </w:t>
      </w:r>
      <w:r>
        <w:rPr>
          <w:rFonts w:ascii="Times New Roman" w:hAnsi="Times New Roman"/>
          <w:szCs w:val="24"/>
          <w:lang w:val="hr-HR"/>
        </w:rPr>
        <w:t>износио</w:t>
      </w:r>
      <w:r w:rsidR="0042679D" w:rsidRPr="00644EC4">
        <w:rPr>
          <w:rFonts w:ascii="Times New Roman" w:hAnsi="Times New Roman"/>
          <w:szCs w:val="24"/>
          <w:lang w:val="hr-HR"/>
        </w:rPr>
        <w:t xml:space="preserve"> </w:t>
      </w:r>
      <w:r>
        <w:rPr>
          <w:rFonts w:ascii="Times New Roman" w:hAnsi="Times New Roman"/>
          <w:szCs w:val="24"/>
          <w:lang w:val="hr-HR"/>
        </w:rPr>
        <w:t>је</w:t>
      </w:r>
      <w:r w:rsidR="0042679D" w:rsidRPr="00644EC4">
        <w:rPr>
          <w:rFonts w:ascii="Times New Roman" w:hAnsi="Times New Roman"/>
          <w:szCs w:val="24"/>
          <w:lang w:val="hr-HR"/>
        </w:rPr>
        <w:t xml:space="preserve"> 62,14%. </w:t>
      </w:r>
      <w:r>
        <w:rPr>
          <w:rFonts w:ascii="Times New Roman" w:hAnsi="Times New Roman"/>
          <w:szCs w:val="24"/>
          <w:lang w:val="hr-HR"/>
        </w:rPr>
        <w:t>Међутим</w:t>
      </w:r>
      <w:r w:rsidR="0042679D" w:rsidRPr="00644EC4">
        <w:rPr>
          <w:rFonts w:ascii="Times New Roman" w:hAnsi="Times New Roman"/>
          <w:szCs w:val="24"/>
          <w:lang w:val="hr-HR"/>
        </w:rPr>
        <w:t xml:space="preserve">, </w:t>
      </w:r>
      <w:r>
        <w:rPr>
          <w:rFonts w:ascii="Times New Roman" w:hAnsi="Times New Roman"/>
          <w:szCs w:val="24"/>
          <w:lang w:val="hr-HR"/>
        </w:rPr>
        <w:t>у</w:t>
      </w:r>
      <w:r w:rsidR="0042679D" w:rsidRPr="00644EC4">
        <w:rPr>
          <w:rFonts w:ascii="Times New Roman" w:hAnsi="Times New Roman"/>
          <w:szCs w:val="24"/>
          <w:lang w:val="hr-HR"/>
        </w:rPr>
        <w:t xml:space="preserve"> </w:t>
      </w:r>
      <w:r>
        <w:rPr>
          <w:rFonts w:ascii="Times New Roman" w:hAnsi="Times New Roman"/>
          <w:szCs w:val="24"/>
          <w:lang w:val="hr-HR"/>
        </w:rPr>
        <w:t>Босни</w:t>
      </w:r>
      <w:r w:rsidR="0042679D" w:rsidRPr="00644EC4">
        <w:rPr>
          <w:rFonts w:ascii="Times New Roman" w:hAnsi="Times New Roman"/>
          <w:szCs w:val="24"/>
          <w:lang w:val="hr-HR"/>
        </w:rPr>
        <w:t xml:space="preserve"> </w:t>
      </w:r>
      <w:r>
        <w:rPr>
          <w:rFonts w:ascii="Times New Roman" w:hAnsi="Times New Roman"/>
          <w:szCs w:val="24"/>
          <w:lang w:val="hr-HR"/>
        </w:rPr>
        <w:t>и</w:t>
      </w:r>
      <w:r w:rsidR="0042679D" w:rsidRPr="00644EC4">
        <w:rPr>
          <w:rFonts w:ascii="Times New Roman" w:hAnsi="Times New Roman"/>
          <w:szCs w:val="24"/>
          <w:lang w:val="hr-HR"/>
        </w:rPr>
        <w:t xml:space="preserve"> </w:t>
      </w:r>
      <w:r>
        <w:rPr>
          <w:rFonts w:ascii="Times New Roman" w:hAnsi="Times New Roman"/>
          <w:szCs w:val="24"/>
          <w:lang w:val="hr-HR"/>
        </w:rPr>
        <w:t>Херцеговини</w:t>
      </w:r>
      <w:r w:rsidR="0042679D" w:rsidRPr="00644EC4">
        <w:rPr>
          <w:rFonts w:ascii="Times New Roman" w:hAnsi="Times New Roman"/>
          <w:szCs w:val="24"/>
          <w:lang w:val="hr-HR"/>
        </w:rPr>
        <w:t xml:space="preserve"> </w:t>
      </w:r>
      <w:r>
        <w:rPr>
          <w:rFonts w:ascii="Times New Roman" w:hAnsi="Times New Roman"/>
          <w:szCs w:val="24"/>
          <w:lang w:val="hr-HR"/>
        </w:rPr>
        <w:t>постоји</w:t>
      </w:r>
      <w:r w:rsidR="0042679D" w:rsidRPr="00644EC4">
        <w:rPr>
          <w:rFonts w:ascii="Times New Roman" w:hAnsi="Times New Roman"/>
          <w:szCs w:val="24"/>
          <w:lang w:val="hr-HR"/>
        </w:rPr>
        <w:t xml:space="preserve"> </w:t>
      </w:r>
      <w:r>
        <w:rPr>
          <w:rFonts w:ascii="Times New Roman" w:hAnsi="Times New Roman"/>
          <w:szCs w:val="24"/>
          <w:lang w:val="hr-HR"/>
        </w:rPr>
        <w:t>родна</w:t>
      </w:r>
      <w:r w:rsidR="0042679D" w:rsidRPr="00644EC4">
        <w:rPr>
          <w:rFonts w:ascii="Times New Roman" w:hAnsi="Times New Roman"/>
          <w:szCs w:val="24"/>
          <w:lang w:val="hr-HR"/>
        </w:rPr>
        <w:t xml:space="preserve"> </w:t>
      </w:r>
      <w:r>
        <w:rPr>
          <w:rFonts w:ascii="Times New Roman" w:hAnsi="Times New Roman"/>
          <w:szCs w:val="24"/>
          <w:lang w:val="hr-HR"/>
        </w:rPr>
        <w:t>сегрегација</w:t>
      </w:r>
      <w:r w:rsidR="0042679D" w:rsidRPr="00644EC4">
        <w:rPr>
          <w:rFonts w:ascii="Times New Roman" w:hAnsi="Times New Roman"/>
          <w:szCs w:val="24"/>
          <w:lang w:val="hr-HR"/>
        </w:rPr>
        <w:t xml:space="preserve"> </w:t>
      </w:r>
      <w:r>
        <w:rPr>
          <w:rFonts w:ascii="Times New Roman" w:hAnsi="Times New Roman"/>
          <w:szCs w:val="24"/>
          <w:lang w:val="hr-HR"/>
        </w:rPr>
        <w:t>у</w:t>
      </w:r>
      <w:r w:rsidR="0042679D" w:rsidRPr="00644EC4">
        <w:rPr>
          <w:rFonts w:ascii="Times New Roman" w:hAnsi="Times New Roman"/>
          <w:szCs w:val="24"/>
          <w:lang w:val="hr-HR"/>
        </w:rPr>
        <w:t xml:space="preserve"> </w:t>
      </w:r>
      <w:r>
        <w:rPr>
          <w:rFonts w:ascii="Times New Roman" w:hAnsi="Times New Roman"/>
          <w:szCs w:val="24"/>
          <w:lang w:val="hr-HR"/>
        </w:rPr>
        <w:t>високом</w:t>
      </w:r>
      <w:r w:rsidR="0042679D" w:rsidRPr="00644EC4">
        <w:rPr>
          <w:rFonts w:ascii="Times New Roman" w:hAnsi="Times New Roman"/>
          <w:szCs w:val="24"/>
          <w:lang w:val="hr-HR"/>
        </w:rPr>
        <w:t xml:space="preserve"> </w:t>
      </w:r>
      <w:r>
        <w:rPr>
          <w:rFonts w:ascii="Times New Roman" w:hAnsi="Times New Roman"/>
          <w:szCs w:val="24"/>
          <w:lang w:val="hr-HR"/>
        </w:rPr>
        <w:t>образовању</w:t>
      </w:r>
      <w:r w:rsidR="0042679D" w:rsidRPr="00644EC4">
        <w:rPr>
          <w:rFonts w:ascii="Times New Roman" w:hAnsi="Times New Roman"/>
          <w:szCs w:val="24"/>
          <w:lang w:val="hr-HR"/>
        </w:rPr>
        <w:t xml:space="preserve">, </w:t>
      </w:r>
      <w:r>
        <w:rPr>
          <w:rFonts w:ascii="Times New Roman" w:hAnsi="Times New Roman"/>
          <w:szCs w:val="24"/>
          <w:lang w:val="hr-HR"/>
        </w:rPr>
        <w:t>гдје</w:t>
      </w:r>
      <w:r w:rsidR="0042679D" w:rsidRPr="00644EC4">
        <w:rPr>
          <w:rFonts w:ascii="Times New Roman" w:hAnsi="Times New Roman"/>
          <w:szCs w:val="24"/>
          <w:lang w:val="hr-HR"/>
        </w:rPr>
        <w:t xml:space="preserve"> </w:t>
      </w:r>
      <w:r>
        <w:rPr>
          <w:rFonts w:ascii="Times New Roman" w:hAnsi="Times New Roman"/>
          <w:szCs w:val="24"/>
          <w:lang w:val="hr-HR"/>
        </w:rPr>
        <w:t>готово</w:t>
      </w:r>
      <w:r w:rsidR="0042679D" w:rsidRPr="00644EC4">
        <w:rPr>
          <w:rFonts w:ascii="Times New Roman" w:hAnsi="Times New Roman"/>
          <w:szCs w:val="24"/>
          <w:lang w:val="hr-HR"/>
        </w:rPr>
        <w:t xml:space="preserve"> </w:t>
      </w:r>
      <w:r>
        <w:rPr>
          <w:rFonts w:ascii="Times New Roman" w:hAnsi="Times New Roman"/>
          <w:szCs w:val="24"/>
          <w:lang w:val="hr-HR"/>
        </w:rPr>
        <w:t>половина</w:t>
      </w:r>
      <w:r w:rsidR="0042679D" w:rsidRPr="00644EC4">
        <w:rPr>
          <w:rFonts w:ascii="Times New Roman" w:hAnsi="Times New Roman"/>
          <w:szCs w:val="24"/>
          <w:lang w:val="hr-HR"/>
        </w:rPr>
        <w:t xml:space="preserve"> </w:t>
      </w:r>
      <w:r>
        <w:rPr>
          <w:rFonts w:ascii="Times New Roman" w:hAnsi="Times New Roman"/>
          <w:szCs w:val="24"/>
          <w:lang w:val="hr-HR"/>
        </w:rPr>
        <w:t>жена</w:t>
      </w:r>
      <w:r w:rsidR="0042679D" w:rsidRPr="00644EC4">
        <w:rPr>
          <w:rFonts w:ascii="Times New Roman" w:hAnsi="Times New Roman"/>
          <w:szCs w:val="24"/>
          <w:lang w:val="hr-HR"/>
        </w:rPr>
        <w:t xml:space="preserve"> </w:t>
      </w:r>
      <w:r>
        <w:rPr>
          <w:rFonts w:ascii="Times New Roman" w:hAnsi="Times New Roman"/>
          <w:szCs w:val="24"/>
          <w:lang w:val="hr-HR"/>
        </w:rPr>
        <w:t>студира</w:t>
      </w:r>
      <w:r w:rsidR="0042679D" w:rsidRPr="00644EC4">
        <w:rPr>
          <w:rFonts w:ascii="Times New Roman" w:hAnsi="Times New Roman"/>
          <w:szCs w:val="24"/>
          <w:lang w:val="hr-HR"/>
        </w:rPr>
        <w:t xml:space="preserve"> </w:t>
      </w:r>
      <w:r>
        <w:rPr>
          <w:rFonts w:ascii="Times New Roman" w:hAnsi="Times New Roman"/>
          <w:szCs w:val="24"/>
          <w:lang w:val="hr-HR"/>
        </w:rPr>
        <w:t>у</w:t>
      </w:r>
      <w:r w:rsidR="0042679D" w:rsidRPr="00644EC4">
        <w:rPr>
          <w:rFonts w:ascii="Times New Roman" w:hAnsi="Times New Roman"/>
          <w:szCs w:val="24"/>
          <w:lang w:val="hr-HR"/>
        </w:rPr>
        <w:t xml:space="preserve"> </w:t>
      </w:r>
      <w:r>
        <w:rPr>
          <w:rFonts w:ascii="Times New Roman" w:hAnsi="Times New Roman"/>
          <w:szCs w:val="24"/>
          <w:lang w:val="hr-HR"/>
        </w:rPr>
        <w:t>пољима</w:t>
      </w:r>
      <w:r w:rsidR="0042679D" w:rsidRPr="00644EC4">
        <w:rPr>
          <w:rFonts w:ascii="Times New Roman" w:hAnsi="Times New Roman"/>
          <w:szCs w:val="24"/>
          <w:lang w:val="hr-HR"/>
        </w:rPr>
        <w:t xml:space="preserve"> </w:t>
      </w:r>
      <w:r>
        <w:rPr>
          <w:rFonts w:ascii="Times New Roman" w:hAnsi="Times New Roman"/>
          <w:szCs w:val="24"/>
          <w:lang w:val="hr-HR"/>
        </w:rPr>
        <w:t>образовања</w:t>
      </w:r>
      <w:r w:rsidR="0042679D" w:rsidRPr="00644EC4">
        <w:rPr>
          <w:rFonts w:ascii="Times New Roman" w:hAnsi="Times New Roman"/>
          <w:szCs w:val="24"/>
          <w:lang w:val="hr-HR"/>
        </w:rPr>
        <w:t xml:space="preserve">, </w:t>
      </w:r>
      <w:r>
        <w:rPr>
          <w:rFonts w:ascii="Times New Roman" w:hAnsi="Times New Roman"/>
          <w:szCs w:val="24"/>
          <w:lang w:val="hr-HR"/>
        </w:rPr>
        <w:t>здравства</w:t>
      </w:r>
      <w:r w:rsidR="0042679D" w:rsidRPr="00644EC4">
        <w:rPr>
          <w:rFonts w:ascii="Times New Roman" w:hAnsi="Times New Roman"/>
          <w:szCs w:val="24"/>
          <w:lang w:val="hr-HR"/>
        </w:rPr>
        <w:t xml:space="preserve"> </w:t>
      </w:r>
      <w:r>
        <w:rPr>
          <w:rFonts w:ascii="Times New Roman" w:hAnsi="Times New Roman"/>
          <w:szCs w:val="24"/>
          <w:lang w:val="hr-HR"/>
        </w:rPr>
        <w:t>и</w:t>
      </w:r>
      <w:r w:rsidR="0042679D" w:rsidRPr="00644EC4">
        <w:rPr>
          <w:rFonts w:ascii="Times New Roman" w:hAnsi="Times New Roman"/>
          <w:szCs w:val="24"/>
          <w:lang w:val="hr-HR"/>
        </w:rPr>
        <w:t xml:space="preserve"> </w:t>
      </w:r>
      <w:r>
        <w:rPr>
          <w:rFonts w:ascii="Times New Roman" w:hAnsi="Times New Roman"/>
          <w:szCs w:val="24"/>
          <w:lang w:val="hr-HR"/>
        </w:rPr>
        <w:t>социјалне</w:t>
      </w:r>
      <w:r w:rsidR="0042679D" w:rsidRPr="00644EC4">
        <w:rPr>
          <w:rFonts w:ascii="Times New Roman" w:hAnsi="Times New Roman"/>
          <w:szCs w:val="24"/>
          <w:lang w:val="hr-HR"/>
        </w:rPr>
        <w:t xml:space="preserve"> </w:t>
      </w:r>
      <w:r>
        <w:rPr>
          <w:rFonts w:ascii="Times New Roman" w:hAnsi="Times New Roman"/>
          <w:szCs w:val="24"/>
          <w:lang w:val="hr-HR"/>
        </w:rPr>
        <w:t>заштите</w:t>
      </w:r>
      <w:r w:rsidR="0042679D" w:rsidRPr="00644EC4">
        <w:rPr>
          <w:rFonts w:ascii="Times New Roman" w:hAnsi="Times New Roman"/>
          <w:szCs w:val="24"/>
          <w:lang w:val="hr-HR"/>
        </w:rPr>
        <w:t xml:space="preserve">, </w:t>
      </w:r>
      <w:r>
        <w:rPr>
          <w:rFonts w:ascii="Times New Roman" w:hAnsi="Times New Roman"/>
          <w:szCs w:val="24"/>
          <w:lang w:val="hr-HR"/>
        </w:rPr>
        <w:t>те</w:t>
      </w:r>
      <w:r w:rsidR="0042679D" w:rsidRPr="00644EC4">
        <w:rPr>
          <w:rFonts w:ascii="Times New Roman" w:hAnsi="Times New Roman"/>
          <w:szCs w:val="24"/>
          <w:lang w:val="hr-HR"/>
        </w:rPr>
        <w:t xml:space="preserve"> </w:t>
      </w:r>
      <w:r>
        <w:rPr>
          <w:rFonts w:ascii="Times New Roman" w:hAnsi="Times New Roman"/>
          <w:szCs w:val="24"/>
          <w:lang w:val="hr-HR"/>
        </w:rPr>
        <w:t>хуманистичких</w:t>
      </w:r>
      <w:r w:rsidR="0042679D" w:rsidRPr="00644EC4">
        <w:rPr>
          <w:rFonts w:ascii="Times New Roman" w:hAnsi="Times New Roman"/>
          <w:szCs w:val="24"/>
          <w:lang w:val="hr-HR"/>
        </w:rPr>
        <w:t xml:space="preserve"> </w:t>
      </w:r>
      <w:r>
        <w:rPr>
          <w:rFonts w:ascii="Times New Roman" w:hAnsi="Times New Roman"/>
          <w:szCs w:val="24"/>
          <w:lang w:val="hr-HR"/>
        </w:rPr>
        <w:t>наука</w:t>
      </w:r>
      <w:r w:rsidR="0042679D" w:rsidRPr="00644EC4">
        <w:rPr>
          <w:rFonts w:ascii="Times New Roman" w:hAnsi="Times New Roman"/>
          <w:szCs w:val="24"/>
          <w:lang w:val="hr-HR"/>
        </w:rPr>
        <w:t xml:space="preserve">. </w:t>
      </w:r>
    </w:p>
    <w:p w:rsidR="0042679D" w:rsidRPr="00644EC4" w:rsidRDefault="0042679D" w:rsidP="0086268D">
      <w:pPr>
        <w:pStyle w:val="ListParagraph"/>
        <w:autoSpaceDE w:val="0"/>
        <w:autoSpaceDN w:val="0"/>
        <w:adjustRightInd w:val="0"/>
        <w:ind w:left="720"/>
        <w:jc w:val="both"/>
        <w:rPr>
          <w:rFonts w:ascii="Times New Roman" w:hAnsi="Times New Roman"/>
          <w:color w:val="000000"/>
          <w:szCs w:val="24"/>
        </w:rPr>
      </w:pPr>
    </w:p>
    <w:p w:rsidR="0042679D" w:rsidRDefault="00C6214E" w:rsidP="0086268D">
      <w:pPr>
        <w:pStyle w:val="ListParagraph"/>
        <w:numPr>
          <w:ilvl w:val="0"/>
          <w:numId w:val="27"/>
        </w:numPr>
        <w:autoSpaceDE w:val="0"/>
        <w:autoSpaceDN w:val="0"/>
        <w:adjustRightInd w:val="0"/>
        <w:jc w:val="both"/>
        <w:rPr>
          <w:rFonts w:ascii="Times New Roman" w:hAnsi="Times New Roman"/>
          <w:color w:val="000000"/>
          <w:szCs w:val="24"/>
        </w:rPr>
      </w:pPr>
      <w:r>
        <w:rPr>
          <w:rFonts w:ascii="Times New Roman" w:hAnsi="Times New Roman"/>
          <w:color w:val="000000"/>
          <w:szCs w:val="24"/>
        </w:rPr>
        <w:t>Број</w:t>
      </w:r>
      <w:r w:rsidR="0042679D" w:rsidRPr="00644EC4">
        <w:rPr>
          <w:rFonts w:ascii="Times New Roman" w:hAnsi="Times New Roman"/>
          <w:color w:val="000000"/>
          <w:szCs w:val="24"/>
        </w:rPr>
        <w:t xml:space="preserve"> </w:t>
      </w:r>
      <w:r>
        <w:rPr>
          <w:rFonts w:ascii="Times New Roman" w:hAnsi="Times New Roman"/>
          <w:color w:val="000000"/>
          <w:szCs w:val="24"/>
        </w:rPr>
        <w:t>магистрица</w:t>
      </w:r>
      <w:r w:rsidR="0042679D" w:rsidRPr="00644EC4">
        <w:rPr>
          <w:rFonts w:ascii="Times New Roman" w:hAnsi="Times New Roman"/>
          <w:color w:val="000000"/>
          <w:szCs w:val="24"/>
        </w:rPr>
        <w:t xml:space="preserve"> </w:t>
      </w:r>
      <w:r>
        <w:rPr>
          <w:rFonts w:ascii="Times New Roman" w:hAnsi="Times New Roman"/>
          <w:color w:val="000000"/>
          <w:szCs w:val="24"/>
        </w:rPr>
        <w:t>и</w:t>
      </w:r>
      <w:r w:rsidR="00B9527C">
        <w:rPr>
          <w:rFonts w:ascii="Times New Roman" w:hAnsi="Times New Roman"/>
          <w:color w:val="000000"/>
          <w:szCs w:val="24"/>
        </w:rPr>
        <w:t xml:space="preserve"> </w:t>
      </w:r>
      <w:r>
        <w:rPr>
          <w:rFonts w:ascii="Times New Roman" w:hAnsi="Times New Roman"/>
          <w:color w:val="000000"/>
          <w:szCs w:val="24"/>
        </w:rPr>
        <w:t>докторица</w:t>
      </w:r>
      <w:r w:rsidR="00B9527C">
        <w:rPr>
          <w:rFonts w:ascii="Times New Roman" w:hAnsi="Times New Roman"/>
          <w:color w:val="000000"/>
          <w:szCs w:val="24"/>
        </w:rPr>
        <w:t xml:space="preserve"> </w:t>
      </w:r>
      <w:r>
        <w:rPr>
          <w:rFonts w:ascii="Times New Roman" w:hAnsi="Times New Roman"/>
          <w:color w:val="000000"/>
          <w:szCs w:val="24"/>
        </w:rPr>
        <w:t>наука</w:t>
      </w:r>
      <w:r w:rsidR="00B9527C">
        <w:rPr>
          <w:rFonts w:ascii="Times New Roman" w:hAnsi="Times New Roman"/>
          <w:color w:val="000000"/>
          <w:szCs w:val="24"/>
        </w:rPr>
        <w:t xml:space="preserve"> </w:t>
      </w:r>
      <w:r>
        <w:rPr>
          <w:rFonts w:ascii="Times New Roman" w:hAnsi="Times New Roman"/>
          <w:color w:val="000000"/>
          <w:szCs w:val="24"/>
        </w:rPr>
        <w:t>је</w:t>
      </w:r>
      <w:r w:rsidR="00B9527C">
        <w:rPr>
          <w:rFonts w:ascii="Times New Roman" w:hAnsi="Times New Roman"/>
          <w:color w:val="000000"/>
          <w:szCs w:val="24"/>
        </w:rPr>
        <w:t xml:space="preserve"> </w:t>
      </w:r>
      <w:r>
        <w:rPr>
          <w:rFonts w:ascii="Times New Roman" w:hAnsi="Times New Roman"/>
          <w:color w:val="000000"/>
          <w:szCs w:val="24"/>
        </w:rPr>
        <w:t>у</w:t>
      </w:r>
      <w:r w:rsidR="00B9527C">
        <w:rPr>
          <w:rFonts w:ascii="Times New Roman" w:hAnsi="Times New Roman"/>
          <w:color w:val="000000"/>
          <w:szCs w:val="24"/>
        </w:rPr>
        <w:t xml:space="preserve"> </w:t>
      </w:r>
      <w:r>
        <w:rPr>
          <w:rFonts w:ascii="Times New Roman" w:hAnsi="Times New Roman"/>
          <w:color w:val="000000"/>
          <w:szCs w:val="24"/>
        </w:rPr>
        <w:t>порасту</w:t>
      </w:r>
      <w:r w:rsidR="00B9527C">
        <w:rPr>
          <w:rFonts w:ascii="Times New Roman" w:hAnsi="Times New Roman"/>
          <w:color w:val="000000"/>
          <w:szCs w:val="24"/>
        </w:rPr>
        <w:t xml:space="preserve">, </w:t>
      </w:r>
      <w:r>
        <w:rPr>
          <w:rFonts w:ascii="Times New Roman" w:hAnsi="Times New Roman"/>
          <w:color w:val="000000"/>
          <w:szCs w:val="24"/>
        </w:rPr>
        <w:t>и</w:t>
      </w:r>
      <w:r w:rsidR="0042679D" w:rsidRPr="00644EC4">
        <w:rPr>
          <w:rFonts w:ascii="Times New Roman" w:hAnsi="Times New Roman"/>
          <w:color w:val="000000"/>
          <w:szCs w:val="24"/>
        </w:rPr>
        <w:t xml:space="preserve"> </w:t>
      </w:r>
      <w:r>
        <w:rPr>
          <w:rFonts w:ascii="Times New Roman" w:hAnsi="Times New Roman"/>
          <w:color w:val="000000"/>
          <w:szCs w:val="24"/>
        </w:rPr>
        <w:t>већи</w:t>
      </w:r>
      <w:r w:rsidR="0042679D" w:rsidRPr="00644EC4">
        <w:rPr>
          <w:rFonts w:ascii="Times New Roman" w:hAnsi="Times New Roman"/>
          <w:color w:val="000000"/>
          <w:szCs w:val="24"/>
        </w:rPr>
        <w:t xml:space="preserve"> </w:t>
      </w:r>
      <w:r>
        <w:rPr>
          <w:rFonts w:ascii="Times New Roman" w:hAnsi="Times New Roman"/>
          <w:color w:val="000000"/>
          <w:szCs w:val="24"/>
        </w:rPr>
        <w:t>је</w:t>
      </w:r>
      <w:r w:rsidR="0042679D" w:rsidRPr="00644EC4">
        <w:rPr>
          <w:rFonts w:ascii="Times New Roman" w:hAnsi="Times New Roman"/>
          <w:color w:val="000000"/>
          <w:szCs w:val="24"/>
        </w:rPr>
        <w:t xml:space="preserve"> </w:t>
      </w:r>
      <w:r>
        <w:rPr>
          <w:rFonts w:ascii="Times New Roman" w:hAnsi="Times New Roman"/>
          <w:color w:val="000000"/>
          <w:szCs w:val="24"/>
        </w:rPr>
        <w:t>него</w:t>
      </w:r>
      <w:r w:rsidR="0042679D" w:rsidRPr="00644EC4">
        <w:rPr>
          <w:rFonts w:ascii="Times New Roman" w:hAnsi="Times New Roman"/>
          <w:color w:val="000000"/>
          <w:szCs w:val="24"/>
        </w:rPr>
        <w:t xml:space="preserve"> </w:t>
      </w:r>
      <w:r>
        <w:rPr>
          <w:rFonts w:ascii="Times New Roman" w:hAnsi="Times New Roman"/>
          <w:color w:val="000000"/>
          <w:szCs w:val="24"/>
        </w:rPr>
        <w:t>број</w:t>
      </w:r>
      <w:r w:rsidR="0042679D" w:rsidRPr="00644EC4">
        <w:rPr>
          <w:rFonts w:ascii="Times New Roman" w:hAnsi="Times New Roman"/>
          <w:color w:val="000000"/>
          <w:szCs w:val="24"/>
        </w:rPr>
        <w:t xml:space="preserve"> </w:t>
      </w:r>
      <w:r>
        <w:rPr>
          <w:rFonts w:ascii="Times New Roman" w:hAnsi="Times New Roman"/>
          <w:color w:val="000000"/>
          <w:szCs w:val="24"/>
        </w:rPr>
        <w:t>мушкараца</w:t>
      </w:r>
      <w:r w:rsidR="0042679D" w:rsidRPr="00644EC4">
        <w:rPr>
          <w:rFonts w:ascii="Times New Roman" w:hAnsi="Times New Roman"/>
          <w:color w:val="000000"/>
          <w:szCs w:val="24"/>
        </w:rPr>
        <w:t xml:space="preserve">. </w:t>
      </w:r>
      <w:r>
        <w:rPr>
          <w:rFonts w:ascii="Times New Roman" w:hAnsi="Times New Roman"/>
          <w:color w:val="000000"/>
          <w:szCs w:val="24"/>
        </w:rPr>
        <w:t>Међутим</w:t>
      </w:r>
      <w:r w:rsidR="0042679D" w:rsidRPr="00644EC4">
        <w:rPr>
          <w:rFonts w:ascii="Times New Roman" w:hAnsi="Times New Roman"/>
          <w:color w:val="000000"/>
          <w:szCs w:val="24"/>
        </w:rPr>
        <w:t xml:space="preserve">, </w:t>
      </w:r>
      <w:r>
        <w:rPr>
          <w:rFonts w:ascii="Times New Roman" w:hAnsi="Times New Roman"/>
          <w:color w:val="000000"/>
          <w:szCs w:val="24"/>
        </w:rPr>
        <w:t>међу</w:t>
      </w:r>
      <w:r w:rsidR="0042679D" w:rsidRPr="00644EC4">
        <w:rPr>
          <w:rFonts w:ascii="Times New Roman" w:hAnsi="Times New Roman"/>
          <w:color w:val="000000"/>
          <w:szCs w:val="24"/>
        </w:rPr>
        <w:t xml:space="preserve"> </w:t>
      </w:r>
      <w:r>
        <w:rPr>
          <w:rFonts w:ascii="Times New Roman" w:hAnsi="Times New Roman"/>
          <w:color w:val="000000"/>
          <w:szCs w:val="24"/>
        </w:rPr>
        <w:t>високим</w:t>
      </w:r>
      <w:r w:rsidR="0042679D" w:rsidRPr="00644EC4">
        <w:rPr>
          <w:rFonts w:ascii="Times New Roman" w:hAnsi="Times New Roman"/>
          <w:color w:val="000000"/>
          <w:szCs w:val="24"/>
        </w:rPr>
        <w:t xml:space="preserve"> </w:t>
      </w:r>
      <w:r>
        <w:rPr>
          <w:rFonts w:ascii="Times New Roman" w:hAnsi="Times New Roman"/>
          <w:color w:val="000000"/>
          <w:szCs w:val="24"/>
        </w:rPr>
        <w:t>академским</w:t>
      </w:r>
      <w:r w:rsidR="0042679D" w:rsidRPr="00644EC4">
        <w:rPr>
          <w:rFonts w:ascii="Times New Roman" w:hAnsi="Times New Roman"/>
          <w:color w:val="000000"/>
          <w:szCs w:val="24"/>
        </w:rPr>
        <w:t xml:space="preserve"> </w:t>
      </w:r>
      <w:r>
        <w:rPr>
          <w:rFonts w:ascii="Times New Roman" w:hAnsi="Times New Roman"/>
          <w:color w:val="000000"/>
          <w:szCs w:val="24"/>
        </w:rPr>
        <w:t>и</w:t>
      </w:r>
      <w:r w:rsidR="0042679D" w:rsidRPr="00644EC4">
        <w:rPr>
          <w:rFonts w:ascii="Times New Roman" w:hAnsi="Times New Roman"/>
          <w:color w:val="000000"/>
          <w:szCs w:val="24"/>
        </w:rPr>
        <w:t xml:space="preserve"> </w:t>
      </w:r>
      <w:r>
        <w:rPr>
          <w:rFonts w:ascii="Times New Roman" w:hAnsi="Times New Roman"/>
          <w:color w:val="000000"/>
          <w:szCs w:val="24"/>
        </w:rPr>
        <w:t>истраживачким</w:t>
      </w:r>
      <w:r w:rsidR="0042679D" w:rsidRPr="00644EC4">
        <w:rPr>
          <w:rFonts w:ascii="Times New Roman" w:hAnsi="Times New Roman"/>
          <w:color w:val="000000"/>
          <w:szCs w:val="24"/>
        </w:rPr>
        <w:t xml:space="preserve"> </w:t>
      </w:r>
      <w:r>
        <w:rPr>
          <w:rFonts w:ascii="Times New Roman" w:hAnsi="Times New Roman"/>
          <w:color w:val="000000"/>
          <w:szCs w:val="24"/>
        </w:rPr>
        <w:t>позицијама</w:t>
      </w:r>
      <w:r w:rsidR="0042679D" w:rsidRPr="00644EC4">
        <w:rPr>
          <w:rFonts w:ascii="Times New Roman" w:hAnsi="Times New Roman"/>
          <w:color w:val="000000"/>
          <w:szCs w:val="24"/>
        </w:rPr>
        <w:t xml:space="preserve"> </w:t>
      </w:r>
      <w:r>
        <w:rPr>
          <w:rFonts w:ascii="Times New Roman" w:hAnsi="Times New Roman"/>
          <w:color w:val="000000"/>
          <w:szCs w:val="24"/>
        </w:rPr>
        <w:t>и</w:t>
      </w:r>
      <w:r w:rsidR="0042679D" w:rsidRPr="00644EC4">
        <w:rPr>
          <w:rFonts w:ascii="Times New Roman" w:hAnsi="Times New Roman"/>
          <w:color w:val="000000"/>
          <w:szCs w:val="24"/>
        </w:rPr>
        <w:t xml:space="preserve"> </w:t>
      </w:r>
      <w:r>
        <w:rPr>
          <w:rFonts w:ascii="Times New Roman" w:hAnsi="Times New Roman"/>
          <w:color w:val="000000"/>
          <w:szCs w:val="24"/>
        </w:rPr>
        <w:t>управљачким</w:t>
      </w:r>
      <w:r w:rsidR="0042679D" w:rsidRPr="00644EC4">
        <w:rPr>
          <w:rFonts w:ascii="Times New Roman" w:hAnsi="Times New Roman"/>
          <w:color w:val="000000"/>
          <w:szCs w:val="24"/>
        </w:rPr>
        <w:t xml:space="preserve"> </w:t>
      </w:r>
      <w:r>
        <w:rPr>
          <w:rFonts w:ascii="Times New Roman" w:hAnsi="Times New Roman"/>
          <w:color w:val="000000"/>
          <w:szCs w:val="24"/>
        </w:rPr>
        <w:t>позицијама</w:t>
      </w:r>
      <w:r w:rsidR="0042679D" w:rsidRPr="00644EC4">
        <w:rPr>
          <w:rFonts w:ascii="Times New Roman" w:hAnsi="Times New Roman"/>
          <w:color w:val="000000"/>
          <w:szCs w:val="24"/>
        </w:rPr>
        <w:t xml:space="preserve"> </w:t>
      </w:r>
      <w:r>
        <w:rPr>
          <w:rFonts w:ascii="Times New Roman" w:hAnsi="Times New Roman"/>
          <w:color w:val="000000"/>
          <w:szCs w:val="24"/>
        </w:rPr>
        <w:t>и</w:t>
      </w:r>
      <w:r w:rsidR="009B4947">
        <w:rPr>
          <w:rFonts w:ascii="Times New Roman" w:hAnsi="Times New Roman"/>
          <w:color w:val="000000"/>
          <w:szCs w:val="24"/>
        </w:rPr>
        <w:t xml:space="preserve"> </w:t>
      </w:r>
      <w:r>
        <w:rPr>
          <w:rFonts w:ascii="Times New Roman" w:hAnsi="Times New Roman"/>
          <w:color w:val="000000"/>
          <w:szCs w:val="24"/>
        </w:rPr>
        <w:t>даље</w:t>
      </w:r>
      <w:r w:rsidR="009B4947">
        <w:rPr>
          <w:rFonts w:ascii="Times New Roman" w:hAnsi="Times New Roman"/>
          <w:color w:val="000000"/>
          <w:szCs w:val="24"/>
        </w:rPr>
        <w:t xml:space="preserve"> </w:t>
      </w:r>
      <w:r>
        <w:rPr>
          <w:rFonts w:ascii="Times New Roman" w:hAnsi="Times New Roman"/>
          <w:color w:val="000000"/>
          <w:szCs w:val="24"/>
        </w:rPr>
        <w:t>доминирају</w:t>
      </w:r>
      <w:r w:rsidR="0042679D" w:rsidRPr="00644EC4">
        <w:rPr>
          <w:rFonts w:ascii="Times New Roman" w:hAnsi="Times New Roman"/>
          <w:color w:val="000000"/>
          <w:szCs w:val="24"/>
        </w:rPr>
        <w:t xml:space="preserve"> </w:t>
      </w:r>
      <w:r>
        <w:rPr>
          <w:rFonts w:ascii="Times New Roman" w:hAnsi="Times New Roman"/>
          <w:color w:val="000000"/>
          <w:szCs w:val="24"/>
        </w:rPr>
        <w:t>мушкарци</w:t>
      </w:r>
      <w:r w:rsidR="0042679D" w:rsidRPr="00644EC4">
        <w:rPr>
          <w:rFonts w:ascii="Times New Roman" w:hAnsi="Times New Roman"/>
          <w:color w:val="000000"/>
          <w:szCs w:val="24"/>
        </w:rPr>
        <w:t xml:space="preserve">, </w:t>
      </w:r>
      <w:r>
        <w:rPr>
          <w:rFonts w:ascii="Times New Roman" w:hAnsi="Times New Roman"/>
          <w:color w:val="000000"/>
          <w:szCs w:val="24"/>
        </w:rPr>
        <w:t>због</w:t>
      </w:r>
      <w:r w:rsidR="0042679D" w:rsidRPr="00644EC4">
        <w:rPr>
          <w:rFonts w:ascii="Times New Roman" w:hAnsi="Times New Roman"/>
          <w:color w:val="000000"/>
          <w:szCs w:val="24"/>
        </w:rPr>
        <w:t xml:space="preserve"> </w:t>
      </w:r>
      <w:r>
        <w:rPr>
          <w:rFonts w:ascii="Times New Roman" w:hAnsi="Times New Roman"/>
          <w:color w:val="000000"/>
          <w:szCs w:val="24"/>
        </w:rPr>
        <w:t>чега</w:t>
      </w:r>
      <w:r w:rsidR="0042679D" w:rsidRPr="00644EC4">
        <w:rPr>
          <w:rFonts w:ascii="Times New Roman" w:hAnsi="Times New Roman"/>
          <w:color w:val="000000"/>
          <w:szCs w:val="24"/>
        </w:rPr>
        <w:t xml:space="preserve"> </w:t>
      </w:r>
      <w:r>
        <w:rPr>
          <w:rFonts w:ascii="Times New Roman" w:hAnsi="Times New Roman"/>
          <w:color w:val="000000"/>
          <w:szCs w:val="24"/>
        </w:rPr>
        <w:t>се</w:t>
      </w:r>
      <w:r w:rsidR="0042679D" w:rsidRPr="00644EC4">
        <w:rPr>
          <w:rFonts w:ascii="Times New Roman" w:hAnsi="Times New Roman"/>
          <w:color w:val="000000"/>
          <w:szCs w:val="24"/>
        </w:rPr>
        <w:t xml:space="preserve"> </w:t>
      </w:r>
      <w:r>
        <w:rPr>
          <w:rFonts w:ascii="Times New Roman" w:hAnsi="Times New Roman"/>
          <w:color w:val="000000"/>
          <w:szCs w:val="24"/>
        </w:rPr>
        <w:t>може</w:t>
      </w:r>
      <w:r w:rsidR="0042679D" w:rsidRPr="00644EC4">
        <w:rPr>
          <w:rFonts w:ascii="Times New Roman" w:hAnsi="Times New Roman"/>
          <w:color w:val="000000"/>
          <w:szCs w:val="24"/>
        </w:rPr>
        <w:t xml:space="preserve"> </w:t>
      </w:r>
      <w:r>
        <w:rPr>
          <w:rFonts w:ascii="Times New Roman" w:hAnsi="Times New Roman"/>
          <w:color w:val="000000"/>
          <w:szCs w:val="24"/>
        </w:rPr>
        <w:t>рећи</w:t>
      </w:r>
      <w:r w:rsidR="0042679D" w:rsidRPr="00644EC4">
        <w:rPr>
          <w:rFonts w:ascii="Times New Roman" w:hAnsi="Times New Roman"/>
          <w:color w:val="000000"/>
          <w:szCs w:val="24"/>
        </w:rPr>
        <w:t xml:space="preserve"> </w:t>
      </w:r>
      <w:r>
        <w:rPr>
          <w:rFonts w:ascii="Times New Roman" w:hAnsi="Times New Roman"/>
          <w:color w:val="000000"/>
          <w:szCs w:val="24"/>
        </w:rPr>
        <w:t>да</w:t>
      </w:r>
      <w:r w:rsidR="0042679D" w:rsidRPr="00644EC4">
        <w:rPr>
          <w:rFonts w:ascii="Times New Roman" w:hAnsi="Times New Roman"/>
          <w:color w:val="000000"/>
          <w:szCs w:val="24"/>
        </w:rPr>
        <w:t xml:space="preserve"> </w:t>
      </w:r>
      <w:r>
        <w:rPr>
          <w:rFonts w:ascii="Times New Roman" w:hAnsi="Times New Roman"/>
          <w:color w:val="000000"/>
          <w:szCs w:val="24"/>
        </w:rPr>
        <w:t>је</w:t>
      </w:r>
      <w:r w:rsidR="0042679D" w:rsidRPr="00644EC4">
        <w:rPr>
          <w:rFonts w:ascii="Times New Roman" w:hAnsi="Times New Roman"/>
          <w:color w:val="000000"/>
          <w:szCs w:val="24"/>
        </w:rPr>
        <w:t xml:space="preserve"> </w:t>
      </w:r>
      <w:r>
        <w:rPr>
          <w:rFonts w:ascii="Times New Roman" w:hAnsi="Times New Roman"/>
          <w:color w:val="000000"/>
          <w:szCs w:val="24"/>
        </w:rPr>
        <w:t>присутан</w:t>
      </w:r>
      <w:r w:rsidR="0042679D" w:rsidRPr="00644EC4">
        <w:rPr>
          <w:rFonts w:ascii="Times New Roman" w:hAnsi="Times New Roman"/>
          <w:color w:val="000000"/>
          <w:szCs w:val="24"/>
        </w:rPr>
        <w:t xml:space="preserve"> </w:t>
      </w:r>
      <w:r>
        <w:rPr>
          <w:rFonts w:ascii="Times New Roman" w:hAnsi="Times New Roman"/>
          <w:color w:val="000000"/>
          <w:szCs w:val="24"/>
        </w:rPr>
        <w:t>феномен</w:t>
      </w:r>
      <w:r w:rsidR="0042679D" w:rsidRPr="00644EC4">
        <w:rPr>
          <w:rFonts w:ascii="Times New Roman" w:hAnsi="Times New Roman"/>
          <w:color w:val="000000"/>
          <w:szCs w:val="24"/>
        </w:rPr>
        <w:t xml:space="preserve"> „</w:t>
      </w:r>
      <w:r>
        <w:rPr>
          <w:rFonts w:ascii="Times New Roman" w:hAnsi="Times New Roman"/>
          <w:color w:val="000000"/>
          <w:szCs w:val="24"/>
        </w:rPr>
        <w:t>стакленог</w:t>
      </w:r>
      <w:r w:rsidR="0042679D" w:rsidRPr="00644EC4">
        <w:rPr>
          <w:rFonts w:ascii="Times New Roman" w:hAnsi="Times New Roman"/>
          <w:color w:val="000000"/>
          <w:szCs w:val="24"/>
        </w:rPr>
        <w:t xml:space="preserve"> </w:t>
      </w:r>
      <w:r w:rsidR="00C93FA9">
        <w:rPr>
          <w:rFonts w:ascii="Times New Roman" w:hAnsi="Times New Roman"/>
          <w:color w:val="000000"/>
          <w:szCs w:val="24"/>
          <w:lang w:val="sr-Cyrl-BA"/>
        </w:rPr>
        <w:t>стропа</w:t>
      </w:r>
      <w:r w:rsidR="0042679D" w:rsidRPr="00644EC4">
        <w:rPr>
          <w:rFonts w:ascii="Times New Roman" w:hAnsi="Times New Roman"/>
          <w:color w:val="000000"/>
          <w:szCs w:val="24"/>
        </w:rPr>
        <w:t xml:space="preserve">“ </w:t>
      </w:r>
      <w:r>
        <w:rPr>
          <w:rFonts w:ascii="Times New Roman" w:hAnsi="Times New Roman"/>
          <w:color w:val="000000"/>
          <w:szCs w:val="24"/>
        </w:rPr>
        <w:t>у</w:t>
      </w:r>
      <w:r w:rsidR="0042679D" w:rsidRPr="00644EC4">
        <w:rPr>
          <w:rFonts w:ascii="Times New Roman" w:hAnsi="Times New Roman"/>
          <w:color w:val="000000"/>
          <w:szCs w:val="24"/>
        </w:rPr>
        <w:t xml:space="preserve"> </w:t>
      </w:r>
      <w:r>
        <w:rPr>
          <w:rFonts w:ascii="Times New Roman" w:hAnsi="Times New Roman"/>
          <w:color w:val="000000"/>
          <w:szCs w:val="24"/>
        </w:rPr>
        <w:t>овој</w:t>
      </w:r>
      <w:r w:rsidR="0042679D" w:rsidRPr="00644EC4">
        <w:rPr>
          <w:rFonts w:ascii="Times New Roman" w:hAnsi="Times New Roman"/>
          <w:color w:val="000000"/>
          <w:szCs w:val="24"/>
        </w:rPr>
        <w:t xml:space="preserve"> </w:t>
      </w:r>
      <w:r>
        <w:rPr>
          <w:rFonts w:ascii="Times New Roman" w:hAnsi="Times New Roman"/>
          <w:color w:val="000000"/>
          <w:szCs w:val="24"/>
        </w:rPr>
        <w:t>области</w:t>
      </w:r>
      <w:r w:rsidR="0042679D">
        <w:rPr>
          <w:rFonts w:ascii="Times New Roman" w:hAnsi="Times New Roman"/>
          <w:color w:val="000000"/>
          <w:szCs w:val="24"/>
        </w:rPr>
        <w:t xml:space="preserve">. </w:t>
      </w:r>
    </w:p>
    <w:p w:rsidR="0042679D" w:rsidRPr="00CA6E77" w:rsidRDefault="0042679D" w:rsidP="0086268D">
      <w:pPr>
        <w:autoSpaceDE w:val="0"/>
        <w:autoSpaceDN w:val="0"/>
        <w:adjustRightInd w:val="0"/>
        <w:jc w:val="both"/>
        <w:rPr>
          <w:rFonts w:ascii="Times New Roman" w:hAnsi="Times New Roman"/>
          <w:color w:val="000000"/>
          <w:szCs w:val="24"/>
        </w:rPr>
      </w:pPr>
    </w:p>
    <w:p w:rsidR="0042679D" w:rsidRPr="00295637" w:rsidRDefault="00D30E48" w:rsidP="0086268D">
      <w:pPr>
        <w:pStyle w:val="ListParagraph"/>
        <w:numPr>
          <w:ilvl w:val="0"/>
          <w:numId w:val="25"/>
        </w:num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 xml:space="preserve"> </w:t>
      </w:r>
      <w:r w:rsidR="00C6214E">
        <w:rPr>
          <w:rFonts w:ascii="Times New Roman" w:hAnsi="Times New Roman"/>
          <w:szCs w:val="24"/>
          <w:lang w:val="bs-Latn-BA"/>
        </w:rPr>
        <w:t>При</w:t>
      </w:r>
      <w:r w:rsidR="0042679D" w:rsidRPr="00295637">
        <w:rPr>
          <w:rFonts w:ascii="Times New Roman" w:hAnsi="Times New Roman"/>
          <w:szCs w:val="24"/>
          <w:lang w:val="bs-Latn-BA"/>
        </w:rPr>
        <w:t xml:space="preserve"> </w:t>
      </w:r>
      <w:r w:rsidR="00C6214E">
        <w:rPr>
          <w:rFonts w:ascii="Times New Roman" w:hAnsi="Times New Roman"/>
          <w:szCs w:val="24"/>
          <w:lang w:val="bs-Latn-BA"/>
        </w:rPr>
        <w:t>изради</w:t>
      </w:r>
      <w:r w:rsidR="0042679D" w:rsidRPr="00295637">
        <w:rPr>
          <w:rFonts w:ascii="Times New Roman" w:hAnsi="Times New Roman"/>
          <w:szCs w:val="24"/>
          <w:lang w:val="bs-Latn-BA"/>
        </w:rPr>
        <w:t xml:space="preserve"> </w:t>
      </w:r>
      <w:r w:rsidR="00C6214E">
        <w:rPr>
          <w:rFonts w:ascii="Times New Roman" w:hAnsi="Times New Roman"/>
          <w:szCs w:val="24"/>
          <w:lang w:val="bs-Latn-BA"/>
        </w:rPr>
        <w:t>стратегија</w:t>
      </w:r>
      <w:r w:rsidR="0042679D"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42679D" w:rsidRPr="00295637">
        <w:rPr>
          <w:rFonts w:ascii="Times New Roman" w:hAnsi="Times New Roman"/>
          <w:szCs w:val="24"/>
          <w:lang w:val="bs-Latn-BA"/>
        </w:rPr>
        <w:t xml:space="preserve">, </w:t>
      </w:r>
      <w:r w:rsidR="00C6214E">
        <w:rPr>
          <w:rFonts w:ascii="Times New Roman" w:hAnsi="Times New Roman"/>
          <w:szCs w:val="24"/>
          <w:lang w:val="bs-Latn-BA"/>
        </w:rPr>
        <w:t>политика</w:t>
      </w:r>
      <w:r w:rsidR="0042679D" w:rsidRPr="00295637">
        <w:rPr>
          <w:rFonts w:ascii="Times New Roman" w:hAnsi="Times New Roman"/>
          <w:szCs w:val="24"/>
          <w:lang w:val="bs-Latn-BA"/>
        </w:rPr>
        <w:t xml:space="preserve"> </w:t>
      </w:r>
      <w:r w:rsidR="00C6214E">
        <w:rPr>
          <w:rFonts w:ascii="Times New Roman" w:hAnsi="Times New Roman"/>
          <w:szCs w:val="24"/>
          <w:lang w:val="bs-Latn-BA"/>
        </w:rPr>
        <w:t>и</w:t>
      </w:r>
      <w:r w:rsidR="0042679D" w:rsidRPr="00295637">
        <w:rPr>
          <w:rFonts w:ascii="Times New Roman" w:hAnsi="Times New Roman"/>
          <w:szCs w:val="24"/>
          <w:lang w:val="bs-Latn-BA"/>
        </w:rPr>
        <w:t xml:space="preserve"> </w:t>
      </w:r>
      <w:r w:rsidR="00C6214E">
        <w:rPr>
          <w:rFonts w:ascii="Times New Roman" w:hAnsi="Times New Roman"/>
          <w:szCs w:val="24"/>
          <w:lang w:val="bs-Latn-BA"/>
        </w:rPr>
        <w:t>пројеката</w:t>
      </w:r>
      <w:r w:rsidR="0042679D" w:rsidRPr="00295637">
        <w:rPr>
          <w:rFonts w:ascii="Times New Roman" w:hAnsi="Times New Roman"/>
          <w:szCs w:val="24"/>
          <w:lang w:val="bs-Latn-BA"/>
        </w:rPr>
        <w:t xml:space="preserve"> </w:t>
      </w:r>
      <w:r w:rsidR="00C6214E">
        <w:rPr>
          <w:rFonts w:ascii="Times New Roman" w:hAnsi="Times New Roman"/>
          <w:szCs w:val="24"/>
          <w:lang w:val="bs-Latn-BA"/>
        </w:rPr>
        <w:t>МЦП</w:t>
      </w:r>
      <w:r w:rsidR="0042679D" w:rsidRPr="00295637">
        <w:rPr>
          <w:rFonts w:ascii="Times New Roman" w:hAnsi="Times New Roman"/>
          <w:szCs w:val="24"/>
          <w:lang w:val="bs-Latn-BA"/>
        </w:rPr>
        <w:t xml:space="preserve"> </w:t>
      </w:r>
      <w:r w:rsidR="00C6214E">
        <w:rPr>
          <w:rFonts w:ascii="Times New Roman" w:hAnsi="Times New Roman"/>
          <w:szCs w:val="24"/>
          <w:lang w:val="bs-Latn-BA"/>
        </w:rPr>
        <w:t>БиХ</w:t>
      </w:r>
      <w:r w:rsidR="0042679D" w:rsidRPr="00295637">
        <w:rPr>
          <w:rFonts w:ascii="Times New Roman" w:hAnsi="Times New Roman"/>
          <w:szCs w:val="24"/>
          <w:lang w:val="bs-Latn-BA"/>
        </w:rPr>
        <w:t xml:space="preserve"> </w:t>
      </w:r>
      <w:r w:rsidR="00C6214E">
        <w:rPr>
          <w:rFonts w:ascii="Times New Roman" w:hAnsi="Times New Roman"/>
          <w:szCs w:val="24"/>
          <w:lang w:val="bs-Latn-BA"/>
        </w:rPr>
        <w:t>пошт</w:t>
      </w:r>
      <w:r w:rsidR="009B6048">
        <w:rPr>
          <w:rFonts w:ascii="Times New Roman" w:hAnsi="Times New Roman"/>
          <w:szCs w:val="24"/>
          <w:lang w:val="sr-Cyrl-BA"/>
        </w:rPr>
        <w:t>ује</w:t>
      </w:r>
      <w:r>
        <w:rPr>
          <w:rFonts w:ascii="Times New Roman" w:hAnsi="Times New Roman"/>
          <w:szCs w:val="24"/>
          <w:lang w:val="bs-Latn-BA"/>
        </w:rPr>
        <w:t xml:space="preserve"> </w:t>
      </w:r>
      <w:r w:rsidR="00C6214E">
        <w:rPr>
          <w:rFonts w:ascii="Times New Roman" w:hAnsi="Times New Roman"/>
          <w:szCs w:val="24"/>
          <w:lang w:val="bs-Latn-BA"/>
        </w:rPr>
        <w:t>и</w:t>
      </w:r>
      <w:r>
        <w:rPr>
          <w:rFonts w:ascii="Times New Roman" w:hAnsi="Times New Roman"/>
          <w:szCs w:val="24"/>
          <w:lang w:val="bs-Latn-BA"/>
        </w:rPr>
        <w:t xml:space="preserve"> </w:t>
      </w:r>
      <w:r w:rsidR="00C6214E">
        <w:rPr>
          <w:rFonts w:ascii="Times New Roman" w:hAnsi="Times New Roman"/>
          <w:szCs w:val="24"/>
          <w:lang w:val="bs-Latn-BA"/>
        </w:rPr>
        <w:t>укључује</w:t>
      </w:r>
      <w:r>
        <w:rPr>
          <w:rFonts w:ascii="Times New Roman" w:hAnsi="Times New Roman"/>
          <w:szCs w:val="24"/>
          <w:lang w:val="bs-Latn-BA"/>
        </w:rPr>
        <w:t xml:space="preserve"> </w:t>
      </w:r>
      <w:r w:rsidR="00C6214E">
        <w:rPr>
          <w:rFonts w:ascii="Times New Roman" w:hAnsi="Times New Roman"/>
          <w:szCs w:val="24"/>
          <w:lang w:val="bs-Latn-BA"/>
        </w:rPr>
        <w:t>принцип</w:t>
      </w:r>
      <w:r w:rsidR="0042679D">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42679D"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42679D" w:rsidRPr="00295637">
        <w:rPr>
          <w:rFonts w:ascii="Times New Roman" w:hAnsi="Times New Roman"/>
          <w:szCs w:val="24"/>
          <w:lang w:val="bs-Latn-BA"/>
        </w:rPr>
        <w:t xml:space="preserve">. </w:t>
      </w:r>
      <w:r w:rsidR="00C6214E">
        <w:rPr>
          <w:rFonts w:ascii="Times New Roman" w:hAnsi="Times New Roman"/>
          <w:szCs w:val="24"/>
          <w:lang w:val="bs-Latn-BA"/>
        </w:rPr>
        <w:t>Будући</w:t>
      </w:r>
      <w:r w:rsidR="0042679D" w:rsidRPr="00295637">
        <w:rPr>
          <w:rFonts w:ascii="Times New Roman" w:hAnsi="Times New Roman"/>
          <w:szCs w:val="24"/>
          <w:lang w:val="bs-Latn-BA"/>
        </w:rPr>
        <w:t xml:space="preserve"> </w:t>
      </w:r>
      <w:r w:rsidR="00C6214E">
        <w:rPr>
          <w:rFonts w:ascii="Times New Roman" w:hAnsi="Times New Roman"/>
          <w:szCs w:val="24"/>
          <w:lang w:val="bs-Latn-BA"/>
        </w:rPr>
        <w:t>да</w:t>
      </w:r>
      <w:r w:rsidR="0042679D" w:rsidRPr="00295637">
        <w:rPr>
          <w:rFonts w:ascii="Times New Roman" w:hAnsi="Times New Roman"/>
          <w:szCs w:val="24"/>
          <w:lang w:val="bs-Latn-BA"/>
        </w:rPr>
        <w:t xml:space="preserve"> </w:t>
      </w:r>
      <w:r w:rsidR="00C6214E">
        <w:rPr>
          <w:rFonts w:ascii="Times New Roman" w:hAnsi="Times New Roman"/>
          <w:szCs w:val="24"/>
          <w:lang w:val="bs-Latn-BA"/>
        </w:rPr>
        <w:t>је</w:t>
      </w:r>
      <w:r w:rsidR="0042679D" w:rsidRPr="00295637">
        <w:rPr>
          <w:rFonts w:ascii="Times New Roman" w:hAnsi="Times New Roman"/>
          <w:szCs w:val="24"/>
          <w:lang w:val="bs-Latn-BA"/>
        </w:rPr>
        <w:t xml:space="preserve"> </w:t>
      </w:r>
      <w:r w:rsidR="00C6214E">
        <w:rPr>
          <w:rFonts w:ascii="Times New Roman" w:hAnsi="Times New Roman"/>
          <w:szCs w:val="24"/>
          <w:lang w:val="bs-Latn-BA"/>
        </w:rPr>
        <w:t>у</w:t>
      </w:r>
      <w:r w:rsidR="0042679D" w:rsidRPr="00295637">
        <w:rPr>
          <w:rFonts w:ascii="Times New Roman" w:hAnsi="Times New Roman"/>
          <w:szCs w:val="24"/>
          <w:lang w:val="bs-Latn-BA"/>
        </w:rPr>
        <w:t xml:space="preserve"> </w:t>
      </w:r>
      <w:r w:rsidR="00C6214E">
        <w:rPr>
          <w:rFonts w:ascii="Times New Roman" w:hAnsi="Times New Roman"/>
          <w:szCs w:val="24"/>
          <w:lang w:val="bs-Latn-BA"/>
        </w:rPr>
        <w:t>току</w:t>
      </w:r>
      <w:r w:rsidR="0042679D" w:rsidRPr="00295637">
        <w:rPr>
          <w:rFonts w:ascii="Times New Roman" w:hAnsi="Times New Roman"/>
          <w:szCs w:val="24"/>
          <w:lang w:val="bs-Latn-BA"/>
        </w:rPr>
        <w:t xml:space="preserve"> </w:t>
      </w:r>
      <w:r w:rsidR="00C6214E">
        <w:rPr>
          <w:rFonts w:ascii="Times New Roman" w:hAnsi="Times New Roman"/>
          <w:szCs w:val="24"/>
          <w:lang w:val="bs-Latn-BA"/>
        </w:rPr>
        <w:t>израда</w:t>
      </w:r>
      <w:r w:rsidR="0042679D" w:rsidRPr="00295637">
        <w:rPr>
          <w:rFonts w:ascii="Times New Roman" w:hAnsi="Times New Roman"/>
          <w:szCs w:val="24"/>
          <w:lang w:val="bs-Latn-BA"/>
        </w:rPr>
        <w:t xml:space="preserve"> </w:t>
      </w:r>
      <w:r w:rsidR="00C6214E">
        <w:rPr>
          <w:rFonts w:ascii="Times New Roman" w:hAnsi="Times New Roman"/>
          <w:szCs w:val="24"/>
          <w:lang w:val="bs-Latn-BA"/>
        </w:rPr>
        <w:t>документа</w:t>
      </w:r>
      <w:r w:rsidR="0042679D" w:rsidRPr="00295637">
        <w:rPr>
          <w:rFonts w:ascii="Times New Roman" w:hAnsi="Times New Roman"/>
          <w:szCs w:val="24"/>
          <w:lang w:val="bs-Latn-BA"/>
        </w:rPr>
        <w:t xml:space="preserve"> </w:t>
      </w:r>
      <w:r w:rsidR="00C6214E">
        <w:rPr>
          <w:rFonts w:ascii="Times New Roman" w:hAnsi="Times New Roman"/>
          <w:szCs w:val="24"/>
          <w:lang w:val="bs-Latn-BA"/>
        </w:rPr>
        <w:t>Стратегија</w:t>
      </w:r>
      <w:r w:rsidR="0042679D" w:rsidRPr="00295637">
        <w:rPr>
          <w:rFonts w:ascii="Times New Roman" w:hAnsi="Times New Roman"/>
          <w:szCs w:val="24"/>
          <w:lang w:val="bs-Latn-BA"/>
        </w:rPr>
        <w:t xml:space="preserve"> </w:t>
      </w:r>
      <w:r w:rsidR="00C6214E">
        <w:rPr>
          <w:rFonts w:ascii="Times New Roman" w:hAnsi="Times New Roman"/>
          <w:szCs w:val="24"/>
          <w:lang w:val="bs-Latn-BA"/>
        </w:rPr>
        <w:t>развоја</w:t>
      </w:r>
      <w:r w:rsidR="0042679D" w:rsidRPr="00295637">
        <w:rPr>
          <w:rFonts w:ascii="Times New Roman" w:hAnsi="Times New Roman"/>
          <w:szCs w:val="24"/>
          <w:lang w:val="bs-Latn-BA"/>
        </w:rPr>
        <w:t xml:space="preserve"> </w:t>
      </w:r>
      <w:r w:rsidR="00C6214E">
        <w:rPr>
          <w:rFonts w:ascii="Times New Roman" w:hAnsi="Times New Roman"/>
          <w:szCs w:val="24"/>
          <w:lang w:val="bs-Latn-BA"/>
        </w:rPr>
        <w:t>науке</w:t>
      </w:r>
      <w:r w:rsidR="0042679D" w:rsidRPr="00295637">
        <w:rPr>
          <w:rFonts w:ascii="Times New Roman" w:hAnsi="Times New Roman"/>
          <w:szCs w:val="24"/>
          <w:lang w:val="bs-Latn-BA"/>
        </w:rPr>
        <w:t xml:space="preserve"> </w:t>
      </w:r>
      <w:r w:rsidR="00C6214E">
        <w:rPr>
          <w:rFonts w:ascii="Times New Roman" w:hAnsi="Times New Roman"/>
          <w:szCs w:val="24"/>
          <w:lang w:val="bs-Latn-BA"/>
        </w:rPr>
        <w:t>Босне</w:t>
      </w:r>
      <w:r w:rsidR="0042679D" w:rsidRPr="00295637">
        <w:rPr>
          <w:rFonts w:ascii="Times New Roman" w:hAnsi="Times New Roman"/>
          <w:szCs w:val="24"/>
          <w:lang w:val="bs-Latn-BA"/>
        </w:rPr>
        <w:t xml:space="preserve"> </w:t>
      </w:r>
      <w:r w:rsidR="00C6214E">
        <w:rPr>
          <w:rFonts w:ascii="Times New Roman" w:hAnsi="Times New Roman"/>
          <w:szCs w:val="24"/>
          <w:lang w:val="bs-Latn-BA"/>
        </w:rPr>
        <w:t>и</w:t>
      </w:r>
      <w:r w:rsidR="0042679D" w:rsidRPr="00295637">
        <w:rPr>
          <w:rFonts w:ascii="Times New Roman" w:hAnsi="Times New Roman"/>
          <w:szCs w:val="24"/>
          <w:lang w:val="bs-Latn-BA"/>
        </w:rPr>
        <w:t xml:space="preserve"> </w:t>
      </w:r>
      <w:r w:rsidR="00C6214E">
        <w:rPr>
          <w:rFonts w:ascii="Times New Roman" w:hAnsi="Times New Roman"/>
          <w:szCs w:val="24"/>
          <w:lang w:val="bs-Latn-BA"/>
        </w:rPr>
        <w:t>Херцеговине</w:t>
      </w:r>
      <w:r w:rsidR="0042679D" w:rsidRPr="00295637">
        <w:rPr>
          <w:rFonts w:ascii="Times New Roman" w:hAnsi="Times New Roman"/>
          <w:szCs w:val="24"/>
          <w:lang w:val="bs-Latn-BA"/>
        </w:rPr>
        <w:t xml:space="preserve"> </w:t>
      </w:r>
      <w:r w:rsidR="00C6214E">
        <w:rPr>
          <w:rFonts w:ascii="Times New Roman" w:hAnsi="Times New Roman"/>
          <w:szCs w:val="24"/>
          <w:lang w:val="bs-Latn-BA"/>
        </w:rPr>
        <w:t>и</w:t>
      </w:r>
      <w:r w:rsidR="0042679D" w:rsidRPr="00295637">
        <w:rPr>
          <w:rFonts w:ascii="Times New Roman" w:hAnsi="Times New Roman"/>
          <w:szCs w:val="24"/>
          <w:lang w:val="bs-Latn-BA"/>
        </w:rPr>
        <w:t xml:space="preserve"> </w:t>
      </w:r>
      <w:r w:rsidR="00C6214E">
        <w:rPr>
          <w:rFonts w:ascii="Times New Roman" w:hAnsi="Times New Roman"/>
          <w:szCs w:val="24"/>
          <w:lang w:val="bs-Latn-BA"/>
        </w:rPr>
        <w:t>Акциони</w:t>
      </w:r>
      <w:r w:rsidR="007F5458">
        <w:rPr>
          <w:rFonts w:ascii="Times New Roman" w:hAnsi="Times New Roman"/>
          <w:szCs w:val="24"/>
          <w:lang w:val="bs-Latn-BA"/>
        </w:rPr>
        <w:t xml:space="preserve"> </w:t>
      </w:r>
      <w:r w:rsidR="00C6214E">
        <w:rPr>
          <w:rFonts w:ascii="Times New Roman" w:hAnsi="Times New Roman"/>
          <w:szCs w:val="24"/>
          <w:lang w:val="bs-Latn-BA"/>
        </w:rPr>
        <w:t>план</w:t>
      </w:r>
      <w:r w:rsidR="007F5458">
        <w:rPr>
          <w:rFonts w:ascii="Times New Roman" w:hAnsi="Times New Roman"/>
          <w:szCs w:val="24"/>
          <w:lang w:val="bs-Latn-BA"/>
        </w:rPr>
        <w:t xml:space="preserve"> </w:t>
      </w:r>
      <w:r w:rsidR="00C6214E">
        <w:rPr>
          <w:rFonts w:ascii="Times New Roman" w:hAnsi="Times New Roman"/>
          <w:szCs w:val="24"/>
          <w:lang w:val="bs-Latn-BA"/>
        </w:rPr>
        <w:t>за</w:t>
      </w:r>
      <w:r w:rsidR="007F5458">
        <w:rPr>
          <w:rFonts w:ascii="Times New Roman" w:hAnsi="Times New Roman"/>
          <w:szCs w:val="24"/>
          <w:lang w:val="bs-Latn-BA"/>
        </w:rPr>
        <w:t xml:space="preserve"> </w:t>
      </w:r>
      <w:r w:rsidR="00C6214E">
        <w:rPr>
          <w:rFonts w:ascii="Times New Roman" w:hAnsi="Times New Roman"/>
          <w:szCs w:val="24"/>
          <w:lang w:val="bs-Latn-BA"/>
        </w:rPr>
        <w:t>његов</w:t>
      </w:r>
      <w:r w:rsidR="009B6048">
        <w:rPr>
          <w:rFonts w:ascii="Times New Roman" w:hAnsi="Times New Roman"/>
          <w:szCs w:val="24"/>
          <w:lang w:val="sr-Cyrl-BA"/>
        </w:rPr>
        <w:t>о</w:t>
      </w:r>
      <w:r w:rsidR="0042679D" w:rsidRPr="00295637">
        <w:rPr>
          <w:rFonts w:ascii="Times New Roman" w:hAnsi="Times New Roman"/>
          <w:szCs w:val="24"/>
          <w:lang w:val="bs-Latn-BA"/>
        </w:rPr>
        <w:t xml:space="preserve"> </w:t>
      </w:r>
      <w:r w:rsidR="009B6048">
        <w:rPr>
          <w:rFonts w:ascii="Times New Roman" w:hAnsi="Times New Roman"/>
          <w:szCs w:val="24"/>
          <w:lang w:val="sr-Cyrl-BA"/>
        </w:rPr>
        <w:t>спровођење</w:t>
      </w:r>
      <w:r w:rsidR="0042679D" w:rsidRPr="00295637">
        <w:rPr>
          <w:rFonts w:ascii="Times New Roman" w:hAnsi="Times New Roman"/>
          <w:szCs w:val="24"/>
          <w:lang w:val="bs-Latn-BA"/>
        </w:rPr>
        <w:t xml:space="preserve">, </w:t>
      </w:r>
      <w:r w:rsidR="00C6214E">
        <w:rPr>
          <w:rFonts w:ascii="Times New Roman" w:hAnsi="Times New Roman"/>
          <w:szCs w:val="24"/>
          <w:lang w:val="bs-Latn-BA"/>
        </w:rPr>
        <w:t>а</w:t>
      </w:r>
      <w:r w:rsidR="0042679D" w:rsidRPr="00295637">
        <w:rPr>
          <w:rFonts w:ascii="Times New Roman" w:hAnsi="Times New Roman"/>
          <w:szCs w:val="24"/>
          <w:lang w:val="bs-Latn-BA"/>
        </w:rPr>
        <w:t xml:space="preserve"> </w:t>
      </w:r>
      <w:r w:rsidR="00C6214E">
        <w:rPr>
          <w:rFonts w:ascii="Times New Roman" w:hAnsi="Times New Roman"/>
          <w:szCs w:val="24"/>
          <w:lang w:val="bs-Latn-BA"/>
        </w:rPr>
        <w:t>у</w:t>
      </w:r>
      <w:r w:rsidR="00A4767A">
        <w:rPr>
          <w:rFonts w:ascii="Times New Roman" w:hAnsi="Times New Roman"/>
          <w:szCs w:val="24"/>
          <w:lang w:val="bs-Latn-BA"/>
        </w:rPr>
        <w:t xml:space="preserve"> </w:t>
      </w:r>
      <w:r w:rsidR="00C6214E">
        <w:rPr>
          <w:rFonts w:ascii="Times New Roman" w:hAnsi="Times New Roman"/>
          <w:szCs w:val="24"/>
          <w:lang w:val="bs-Latn-BA"/>
        </w:rPr>
        <w:t>складу</w:t>
      </w:r>
      <w:r w:rsidR="00A4767A">
        <w:rPr>
          <w:rFonts w:ascii="Times New Roman" w:hAnsi="Times New Roman"/>
          <w:szCs w:val="24"/>
          <w:lang w:val="bs-Latn-BA"/>
        </w:rPr>
        <w:t xml:space="preserve"> </w:t>
      </w:r>
      <w:r w:rsidR="00C6214E">
        <w:rPr>
          <w:rFonts w:ascii="Times New Roman" w:hAnsi="Times New Roman"/>
          <w:szCs w:val="24"/>
          <w:lang w:val="bs-Latn-BA"/>
        </w:rPr>
        <w:t>са</w:t>
      </w:r>
      <w:r w:rsidR="0042679D" w:rsidRPr="00295637">
        <w:rPr>
          <w:rFonts w:ascii="Times New Roman" w:hAnsi="Times New Roman"/>
          <w:szCs w:val="24"/>
          <w:lang w:val="bs-Latn-BA"/>
        </w:rPr>
        <w:t xml:space="preserve"> </w:t>
      </w:r>
      <w:r w:rsidR="00C6214E">
        <w:rPr>
          <w:rFonts w:ascii="Times New Roman" w:hAnsi="Times New Roman"/>
          <w:szCs w:val="24"/>
          <w:lang w:val="bs-Latn-BA"/>
        </w:rPr>
        <w:t>овом</w:t>
      </w:r>
      <w:r w:rsidR="0042679D" w:rsidRPr="00295637">
        <w:rPr>
          <w:rFonts w:ascii="Times New Roman" w:hAnsi="Times New Roman"/>
          <w:szCs w:val="24"/>
          <w:lang w:val="bs-Latn-BA"/>
        </w:rPr>
        <w:t xml:space="preserve"> </w:t>
      </w:r>
      <w:r w:rsidR="00C6214E">
        <w:rPr>
          <w:rFonts w:ascii="Times New Roman" w:hAnsi="Times New Roman"/>
          <w:szCs w:val="24"/>
          <w:lang w:val="bs-Latn-BA"/>
        </w:rPr>
        <w:t>мјером</w:t>
      </w:r>
      <w:r w:rsidR="0042679D">
        <w:rPr>
          <w:rFonts w:ascii="Times New Roman" w:hAnsi="Times New Roman"/>
          <w:szCs w:val="24"/>
          <w:lang w:val="bs-Latn-BA"/>
        </w:rPr>
        <w:t xml:space="preserve">, </w:t>
      </w:r>
      <w:r w:rsidR="00C6214E">
        <w:rPr>
          <w:rFonts w:ascii="Times New Roman" w:hAnsi="Times New Roman"/>
          <w:szCs w:val="24"/>
          <w:lang w:val="bs-Latn-BA"/>
        </w:rPr>
        <w:t>представници</w:t>
      </w:r>
      <w:r w:rsidR="0042679D">
        <w:rPr>
          <w:rFonts w:ascii="Times New Roman" w:hAnsi="Times New Roman"/>
          <w:szCs w:val="24"/>
          <w:lang w:val="bs-Latn-BA"/>
        </w:rPr>
        <w:t xml:space="preserve"> </w:t>
      </w:r>
      <w:r w:rsidR="00C6214E">
        <w:rPr>
          <w:rFonts w:ascii="Times New Roman" w:hAnsi="Times New Roman"/>
          <w:szCs w:val="24"/>
          <w:lang w:val="bs-Latn-BA"/>
        </w:rPr>
        <w:t>АР</w:t>
      </w:r>
      <w:r w:rsidR="009B6048">
        <w:rPr>
          <w:rFonts w:ascii="Times New Roman" w:hAnsi="Times New Roman"/>
          <w:szCs w:val="24"/>
          <w:lang w:val="sr-Cyrl-BA"/>
        </w:rPr>
        <w:t>П</w:t>
      </w:r>
      <w:r w:rsidR="007F5458">
        <w:rPr>
          <w:rFonts w:ascii="Times New Roman" w:hAnsi="Times New Roman"/>
          <w:szCs w:val="24"/>
          <w:lang w:val="bs-Latn-BA"/>
        </w:rPr>
        <w:t xml:space="preserve"> </w:t>
      </w:r>
      <w:r w:rsidR="00C6214E">
        <w:rPr>
          <w:rFonts w:ascii="Times New Roman" w:hAnsi="Times New Roman"/>
          <w:szCs w:val="24"/>
          <w:lang w:val="bs-Latn-BA"/>
        </w:rPr>
        <w:t>БиХ</w:t>
      </w:r>
      <w:r w:rsidR="007F5458">
        <w:rPr>
          <w:rFonts w:ascii="Times New Roman" w:hAnsi="Times New Roman"/>
          <w:szCs w:val="24"/>
          <w:lang w:val="bs-Latn-BA"/>
        </w:rPr>
        <w:t xml:space="preserve"> </w:t>
      </w:r>
      <w:r w:rsidR="00C6214E">
        <w:rPr>
          <w:rFonts w:ascii="Times New Roman" w:hAnsi="Times New Roman"/>
          <w:szCs w:val="24"/>
          <w:lang w:val="bs-Latn-BA"/>
        </w:rPr>
        <w:t>МЉПИ</w:t>
      </w:r>
      <w:r w:rsidR="007F5458">
        <w:rPr>
          <w:rFonts w:ascii="Times New Roman" w:hAnsi="Times New Roman"/>
          <w:szCs w:val="24"/>
          <w:lang w:val="bs-Latn-BA"/>
        </w:rPr>
        <w:t xml:space="preserve"> </w:t>
      </w:r>
      <w:r w:rsidR="00C6214E">
        <w:rPr>
          <w:rFonts w:ascii="Times New Roman" w:hAnsi="Times New Roman"/>
          <w:szCs w:val="24"/>
          <w:lang w:val="bs-Latn-BA"/>
        </w:rPr>
        <w:t>БиХ</w:t>
      </w:r>
      <w:r w:rsidR="0042679D" w:rsidRPr="00295637">
        <w:rPr>
          <w:rFonts w:ascii="Times New Roman" w:hAnsi="Times New Roman"/>
          <w:szCs w:val="24"/>
          <w:lang w:val="bs-Latn-BA"/>
        </w:rPr>
        <w:t xml:space="preserve"> </w:t>
      </w:r>
      <w:r w:rsidR="00C6214E">
        <w:rPr>
          <w:rFonts w:ascii="Times New Roman" w:hAnsi="Times New Roman"/>
          <w:szCs w:val="24"/>
          <w:lang w:val="bs-Latn-BA"/>
        </w:rPr>
        <w:t>су</w:t>
      </w:r>
      <w:r w:rsidR="0042679D" w:rsidRPr="00295637">
        <w:rPr>
          <w:rFonts w:ascii="Times New Roman" w:hAnsi="Times New Roman"/>
          <w:szCs w:val="24"/>
          <w:lang w:val="bs-Latn-BA"/>
        </w:rPr>
        <w:t xml:space="preserve"> </w:t>
      </w:r>
      <w:r w:rsidR="00C6214E">
        <w:rPr>
          <w:rFonts w:ascii="Times New Roman" w:hAnsi="Times New Roman"/>
          <w:szCs w:val="24"/>
          <w:lang w:val="bs-Latn-BA"/>
        </w:rPr>
        <w:t>укључени</w:t>
      </w:r>
      <w:r w:rsidR="0042679D" w:rsidRPr="00295637">
        <w:rPr>
          <w:rFonts w:ascii="Times New Roman" w:hAnsi="Times New Roman"/>
          <w:szCs w:val="24"/>
          <w:lang w:val="bs-Latn-BA"/>
        </w:rPr>
        <w:t xml:space="preserve"> </w:t>
      </w:r>
      <w:r w:rsidR="00C6214E">
        <w:rPr>
          <w:rFonts w:ascii="Times New Roman" w:hAnsi="Times New Roman"/>
          <w:szCs w:val="24"/>
          <w:lang w:val="bs-Latn-BA"/>
        </w:rPr>
        <w:t>у</w:t>
      </w:r>
      <w:r w:rsidR="0042679D" w:rsidRPr="00295637">
        <w:rPr>
          <w:rFonts w:ascii="Times New Roman" w:hAnsi="Times New Roman"/>
          <w:szCs w:val="24"/>
          <w:lang w:val="bs-Latn-BA"/>
        </w:rPr>
        <w:t xml:space="preserve"> </w:t>
      </w:r>
      <w:r w:rsidR="00C6214E">
        <w:rPr>
          <w:rFonts w:ascii="Times New Roman" w:hAnsi="Times New Roman"/>
          <w:szCs w:val="24"/>
          <w:lang w:val="bs-Latn-BA"/>
        </w:rPr>
        <w:t>рад</w:t>
      </w:r>
      <w:r w:rsidR="0042679D" w:rsidRPr="00295637">
        <w:rPr>
          <w:rFonts w:ascii="Times New Roman" w:hAnsi="Times New Roman"/>
          <w:szCs w:val="24"/>
          <w:lang w:val="bs-Latn-BA"/>
        </w:rPr>
        <w:t xml:space="preserve"> </w:t>
      </w:r>
      <w:r w:rsidR="00C6214E">
        <w:rPr>
          <w:rFonts w:ascii="Times New Roman" w:hAnsi="Times New Roman"/>
          <w:szCs w:val="24"/>
          <w:lang w:val="bs-Latn-BA"/>
        </w:rPr>
        <w:t>радне</w:t>
      </w:r>
      <w:r w:rsidR="0042679D" w:rsidRPr="00295637">
        <w:rPr>
          <w:rFonts w:ascii="Times New Roman" w:hAnsi="Times New Roman"/>
          <w:szCs w:val="24"/>
          <w:lang w:val="bs-Latn-BA"/>
        </w:rPr>
        <w:t xml:space="preserve"> </w:t>
      </w:r>
      <w:r w:rsidR="00C6214E">
        <w:rPr>
          <w:rFonts w:ascii="Times New Roman" w:hAnsi="Times New Roman"/>
          <w:szCs w:val="24"/>
          <w:lang w:val="bs-Latn-BA"/>
        </w:rPr>
        <w:t>групе</w:t>
      </w:r>
      <w:r w:rsidR="0042679D" w:rsidRPr="00295637">
        <w:rPr>
          <w:rFonts w:ascii="Times New Roman" w:hAnsi="Times New Roman"/>
          <w:szCs w:val="24"/>
          <w:lang w:val="bs-Latn-BA"/>
        </w:rPr>
        <w:t xml:space="preserve"> </w:t>
      </w:r>
      <w:r w:rsidR="00C6214E">
        <w:rPr>
          <w:rFonts w:ascii="Times New Roman" w:hAnsi="Times New Roman"/>
          <w:szCs w:val="24"/>
          <w:lang w:val="bs-Latn-BA"/>
        </w:rPr>
        <w:t>за</w:t>
      </w:r>
      <w:r w:rsidR="0042679D" w:rsidRPr="00295637">
        <w:rPr>
          <w:rFonts w:ascii="Times New Roman" w:hAnsi="Times New Roman"/>
          <w:szCs w:val="24"/>
          <w:lang w:val="bs-Latn-BA"/>
        </w:rPr>
        <w:t xml:space="preserve"> </w:t>
      </w:r>
      <w:r w:rsidR="00C6214E">
        <w:rPr>
          <w:rFonts w:ascii="Times New Roman" w:hAnsi="Times New Roman"/>
          <w:szCs w:val="24"/>
          <w:lang w:val="bs-Latn-BA"/>
        </w:rPr>
        <w:t>израду</w:t>
      </w:r>
      <w:r w:rsidR="0042679D" w:rsidRPr="00295637">
        <w:rPr>
          <w:rFonts w:ascii="Times New Roman" w:hAnsi="Times New Roman"/>
          <w:szCs w:val="24"/>
          <w:lang w:val="bs-Latn-BA"/>
        </w:rPr>
        <w:t xml:space="preserve"> </w:t>
      </w:r>
      <w:r w:rsidR="00C6214E">
        <w:rPr>
          <w:rFonts w:ascii="Times New Roman" w:hAnsi="Times New Roman"/>
          <w:szCs w:val="24"/>
          <w:lang w:val="bs-Latn-BA"/>
        </w:rPr>
        <w:t>наведеног</w:t>
      </w:r>
      <w:r w:rsidR="0042679D" w:rsidRPr="00295637">
        <w:rPr>
          <w:rFonts w:ascii="Times New Roman" w:hAnsi="Times New Roman"/>
          <w:szCs w:val="24"/>
          <w:lang w:val="bs-Latn-BA"/>
        </w:rPr>
        <w:t xml:space="preserve"> </w:t>
      </w:r>
      <w:r w:rsidR="00C6214E">
        <w:rPr>
          <w:rFonts w:ascii="Times New Roman" w:hAnsi="Times New Roman"/>
          <w:szCs w:val="24"/>
          <w:lang w:val="bs-Latn-BA"/>
        </w:rPr>
        <w:t>документа</w:t>
      </w:r>
      <w:r w:rsidR="0042679D" w:rsidRPr="00295637">
        <w:rPr>
          <w:rFonts w:ascii="Times New Roman" w:hAnsi="Times New Roman"/>
          <w:szCs w:val="24"/>
          <w:lang w:val="bs-Latn-BA"/>
        </w:rPr>
        <w:t xml:space="preserve">. </w:t>
      </w:r>
    </w:p>
    <w:p w:rsidR="0042679D" w:rsidRPr="00295637" w:rsidRDefault="0042679D" w:rsidP="0086268D">
      <w:pPr>
        <w:tabs>
          <w:tab w:val="left" w:pos="284"/>
          <w:tab w:val="left" w:pos="630"/>
          <w:tab w:val="left" w:pos="1080"/>
        </w:tabs>
        <w:jc w:val="both"/>
        <w:rPr>
          <w:rFonts w:ascii="Times New Roman" w:hAnsi="Times New Roman"/>
          <w:szCs w:val="24"/>
          <w:lang w:val="bs-Latn-BA"/>
        </w:rPr>
      </w:pPr>
    </w:p>
    <w:p w:rsidR="0042679D" w:rsidRPr="00B9527C" w:rsidRDefault="0042679D" w:rsidP="00B9527C">
      <w:pPr>
        <w:pStyle w:val="ListParagraph"/>
        <w:numPr>
          <w:ilvl w:val="0"/>
          <w:numId w:val="25"/>
        </w:numPr>
        <w:tabs>
          <w:tab w:val="left" w:pos="284"/>
          <w:tab w:val="left" w:pos="630"/>
          <w:tab w:val="left" w:pos="1080"/>
        </w:tabs>
        <w:jc w:val="both"/>
        <w:rPr>
          <w:rFonts w:ascii="Times New Roman" w:hAnsi="Times New Roman"/>
          <w:szCs w:val="24"/>
          <w:lang w:val="bs-Latn-BA"/>
        </w:rPr>
      </w:pPr>
      <w:r w:rsidRPr="00295637">
        <w:rPr>
          <w:rFonts w:ascii="Times New Roman" w:hAnsi="Times New Roman"/>
          <w:szCs w:val="24"/>
          <w:lang w:val="bs-Latn-BA"/>
        </w:rPr>
        <w:t xml:space="preserve"> </w:t>
      </w:r>
      <w:r w:rsidR="00C6214E">
        <w:rPr>
          <w:rFonts w:ascii="Times New Roman" w:eastAsia="Calibri" w:hAnsi="Times New Roman"/>
          <w:lang w:val="bs-Latn-BA"/>
        </w:rPr>
        <w:t>У</w:t>
      </w:r>
      <w:r w:rsidRPr="00B9527C">
        <w:rPr>
          <w:rFonts w:ascii="Times New Roman" w:eastAsia="Calibri" w:hAnsi="Times New Roman"/>
          <w:lang w:val="bs-Latn-BA"/>
        </w:rPr>
        <w:t xml:space="preserve"> </w:t>
      </w:r>
      <w:r w:rsidR="00C6214E">
        <w:rPr>
          <w:rFonts w:ascii="Times New Roman" w:eastAsia="Calibri" w:hAnsi="Times New Roman"/>
          <w:lang w:val="bs-Latn-BA"/>
        </w:rPr>
        <w:t>оквиру</w:t>
      </w:r>
      <w:r w:rsidRPr="00B9527C">
        <w:rPr>
          <w:rFonts w:ascii="Times New Roman" w:eastAsia="Calibri" w:hAnsi="Times New Roman"/>
          <w:lang w:val="bs-Latn-BA"/>
        </w:rPr>
        <w:t xml:space="preserve"> </w:t>
      </w:r>
      <w:r w:rsidR="00C6214E">
        <w:rPr>
          <w:rFonts w:ascii="Times New Roman" w:eastAsia="Calibri" w:hAnsi="Times New Roman"/>
          <w:lang w:val="bs-Latn-BA"/>
        </w:rPr>
        <w:t>подршке</w:t>
      </w:r>
      <w:r w:rsidR="007F5458">
        <w:rPr>
          <w:rFonts w:ascii="Times New Roman" w:eastAsia="Calibri" w:hAnsi="Times New Roman"/>
          <w:lang w:val="bs-Latn-BA"/>
        </w:rPr>
        <w:t xml:space="preserve"> </w:t>
      </w:r>
      <w:r w:rsidR="00C6214E">
        <w:rPr>
          <w:rFonts w:ascii="Times New Roman" w:eastAsia="Calibri" w:hAnsi="Times New Roman"/>
          <w:lang w:val="bs-Latn-BA"/>
        </w:rPr>
        <w:t>грант</w:t>
      </w:r>
      <w:r w:rsidR="007F5458">
        <w:rPr>
          <w:rFonts w:ascii="Times New Roman" w:eastAsia="Calibri" w:hAnsi="Times New Roman"/>
          <w:lang w:val="bs-Latn-BA"/>
        </w:rPr>
        <w:t xml:space="preserve"> </w:t>
      </w:r>
      <w:r w:rsidR="00C6214E">
        <w:rPr>
          <w:rFonts w:ascii="Times New Roman" w:eastAsia="Calibri" w:hAnsi="Times New Roman"/>
          <w:lang w:val="bs-Latn-BA"/>
        </w:rPr>
        <w:t>средствима</w:t>
      </w:r>
      <w:r w:rsidR="00D30E48">
        <w:rPr>
          <w:rFonts w:ascii="Times New Roman" w:eastAsia="Calibri" w:hAnsi="Times New Roman"/>
          <w:lang w:val="bs-Latn-BA"/>
        </w:rPr>
        <w:t xml:space="preserve"> </w:t>
      </w:r>
      <w:r w:rsidR="00C6214E">
        <w:rPr>
          <w:rFonts w:ascii="Times New Roman" w:eastAsia="Calibri" w:hAnsi="Times New Roman"/>
          <w:lang w:val="bs-Latn-BA"/>
        </w:rPr>
        <w:t>МЦП</w:t>
      </w:r>
      <w:r w:rsidR="00D30E48">
        <w:rPr>
          <w:rFonts w:ascii="Times New Roman" w:eastAsia="Calibri" w:hAnsi="Times New Roman"/>
          <w:lang w:val="bs-Latn-BA"/>
        </w:rPr>
        <w:t xml:space="preserve"> </w:t>
      </w:r>
      <w:r w:rsidR="00C6214E">
        <w:rPr>
          <w:rFonts w:ascii="Times New Roman" w:eastAsia="Calibri" w:hAnsi="Times New Roman"/>
          <w:lang w:val="bs-Latn-BA"/>
        </w:rPr>
        <w:t>БиХ</w:t>
      </w:r>
      <w:r w:rsidRPr="00B9527C">
        <w:rPr>
          <w:rFonts w:ascii="Times New Roman" w:eastAsia="Calibri" w:hAnsi="Times New Roman"/>
          <w:lang w:val="bs-Latn-BA"/>
        </w:rPr>
        <w:t xml:space="preserve"> </w:t>
      </w:r>
      <w:r w:rsidR="00C6214E">
        <w:rPr>
          <w:rFonts w:ascii="Times New Roman" w:eastAsia="Calibri" w:hAnsi="Times New Roman"/>
          <w:lang w:val="bs-Latn-BA"/>
        </w:rPr>
        <w:t>у</w:t>
      </w:r>
      <w:r w:rsidRPr="00B9527C">
        <w:rPr>
          <w:rFonts w:ascii="Times New Roman" w:eastAsia="Calibri" w:hAnsi="Times New Roman"/>
          <w:lang w:val="bs-Latn-BA"/>
        </w:rPr>
        <w:t xml:space="preserve"> </w:t>
      </w:r>
      <w:r w:rsidR="00C6214E">
        <w:rPr>
          <w:rFonts w:ascii="Times New Roman" w:eastAsia="Calibri" w:hAnsi="Times New Roman"/>
          <w:lang w:val="bs-Latn-BA"/>
        </w:rPr>
        <w:t>областима</w:t>
      </w:r>
      <w:r w:rsidRPr="00B9527C">
        <w:rPr>
          <w:rFonts w:ascii="Times New Roman" w:eastAsia="Calibri" w:hAnsi="Times New Roman"/>
          <w:lang w:val="bs-Latn-BA"/>
        </w:rPr>
        <w:t xml:space="preserve"> </w:t>
      </w:r>
      <w:r w:rsidR="00C6214E">
        <w:rPr>
          <w:rFonts w:ascii="Times New Roman" w:eastAsia="Calibri" w:hAnsi="Times New Roman"/>
          <w:lang w:val="bs-Latn-BA"/>
        </w:rPr>
        <w:t>науке</w:t>
      </w:r>
      <w:r w:rsidRPr="00B9527C">
        <w:rPr>
          <w:rFonts w:ascii="Times New Roman" w:eastAsia="Calibri" w:hAnsi="Times New Roman"/>
          <w:lang w:val="bs-Latn-BA"/>
        </w:rPr>
        <w:t xml:space="preserve">, </w:t>
      </w:r>
      <w:r w:rsidR="00C6214E">
        <w:rPr>
          <w:rFonts w:ascii="Times New Roman" w:eastAsia="Calibri" w:hAnsi="Times New Roman"/>
          <w:lang w:val="bs-Latn-BA"/>
        </w:rPr>
        <w:t>културе</w:t>
      </w:r>
      <w:r w:rsidRPr="00B9527C">
        <w:rPr>
          <w:rFonts w:ascii="Times New Roman" w:eastAsia="Calibri" w:hAnsi="Times New Roman"/>
          <w:lang w:val="bs-Latn-BA"/>
        </w:rPr>
        <w:t xml:space="preserve"> </w:t>
      </w:r>
      <w:r w:rsidR="00C6214E">
        <w:rPr>
          <w:rFonts w:ascii="Times New Roman" w:eastAsia="Calibri" w:hAnsi="Times New Roman"/>
          <w:lang w:val="bs-Latn-BA"/>
        </w:rPr>
        <w:t>и</w:t>
      </w:r>
      <w:r w:rsidRPr="00B9527C">
        <w:rPr>
          <w:rFonts w:ascii="Times New Roman" w:eastAsia="Calibri" w:hAnsi="Times New Roman"/>
          <w:lang w:val="bs-Latn-BA"/>
        </w:rPr>
        <w:t xml:space="preserve"> </w:t>
      </w:r>
      <w:r w:rsidR="00C6214E">
        <w:rPr>
          <w:rFonts w:ascii="Times New Roman" w:eastAsia="Calibri" w:hAnsi="Times New Roman"/>
          <w:lang w:val="bs-Latn-BA"/>
        </w:rPr>
        <w:t>спорта</w:t>
      </w:r>
      <w:r w:rsidRPr="00B9527C">
        <w:rPr>
          <w:rFonts w:ascii="Times New Roman" w:eastAsia="Calibri" w:hAnsi="Times New Roman"/>
          <w:lang w:val="bs-Latn-BA"/>
        </w:rPr>
        <w:t xml:space="preserve">, </w:t>
      </w:r>
      <w:r w:rsidR="00C6214E">
        <w:rPr>
          <w:rFonts w:ascii="Times New Roman" w:eastAsia="Calibri" w:hAnsi="Times New Roman"/>
          <w:lang w:val="bs-Latn-BA"/>
        </w:rPr>
        <w:t>која</w:t>
      </w:r>
      <w:r w:rsidRPr="00B9527C">
        <w:rPr>
          <w:rFonts w:ascii="Times New Roman" w:eastAsia="Calibri" w:hAnsi="Times New Roman"/>
          <w:lang w:val="bs-Latn-BA"/>
        </w:rPr>
        <w:t xml:space="preserve"> </w:t>
      </w:r>
      <w:r w:rsidR="00C6214E">
        <w:rPr>
          <w:rFonts w:ascii="Times New Roman" w:eastAsia="Calibri" w:hAnsi="Times New Roman"/>
          <w:lang w:val="bs-Latn-BA"/>
        </w:rPr>
        <w:t>се</w:t>
      </w:r>
      <w:r w:rsidRPr="00B9527C">
        <w:rPr>
          <w:rFonts w:ascii="Times New Roman" w:eastAsia="Calibri" w:hAnsi="Times New Roman"/>
          <w:lang w:val="bs-Latn-BA"/>
        </w:rPr>
        <w:t xml:space="preserve"> </w:t>
      </w:r>
      <w:r w:rsidR="00C6214E">
        <w:rPr>
          <w:rFonts w:ascii="Times New Roman" w:eastAsia="Calibri" w:hAnsi="Times New Roman"/>
          <w:lang w:val="bs-Latn-BA"/>
        </w:rPr>
        <w:t>додјељује</w:t>
      </w:r>
      <w:r w:rsidRPr="00B9527C">
        <w:rPr>
          <w:rFonts w:ascii="Times New Roman" w:eastAsia="Calibri" w:hAnsi="Times New Roman"/>
          <w:lang w:val="bs-Latn-BA"/>
        </w:rPr>
        <w:t xml:space="preserve"> </w:t>
      </w:r>
      <w:r w:rsidR="00C6214E">
        <w:rPr>
          <w:rFonts w:ascii="Times New Roman" w:eastAsia="Calibri" w:hAnsi="Times New Roman"/>
          <w:lang w:val="bs-Latn-BA"/>
        </w:rPr>
        <w:t>путем</w:t>
      </w:r>
      <w:r w:rsidRPr="00B9527C">
        <w:rPr>
          <w:rFonts w:ascii="Times New Roman" w:eastAsia="Calibri" w:hAnsi="Times New Roman"/>
          <w:lang w:val="bs-Latn-BA"/>
        </w:rPr>
        <w:t xml:space="preserve"> </w:t>
      </w:r>
      <w:r w:rsidR="00C6214E">
        <w:rPr>
          <w:rFonts w:ascii="Times New Roman" w:eastAsia="Calibri" w:hAnsi="Times New Roman"/>
          <w:lang w:val="bs-Latn-BA"/>
        </w:rPr>
        <w:t>јавних</w:t>
      </w:r>
      <w:r w:rsidRPr="00B9527C">
        <w:rPr>
          <w:rFonts w:ascii="Times New Roman" w:eastAsia="Calibri" w:hAnsi="Times New Roman"/>
          <w:lang w:val="bs-Latn-BA"/>
        </w:rPr>
        <w:t xml:space="preserve"> </w:t>
      </w:r>
      <w:r w:rsidR="00C6214E">
        <w:rPr>
          <w:rFonts w:ascii="Times New Roman" w:eastAsia="Calibri" w:hAnsi="Times New Roman"/>
          <w:lang w:val="bs-Latn-BA"/>
        </w:rPr>
        <w:t>позива</w:t>
      </w:r>
      <w:r w:rsidRPr="00B9527C">
        <w:rPr>
          <w:rFonts w:ascii="Times New Roman" w:eastAsia="Calibri" w:hAnsi="Times New Roman"/>
          <w:lang w:val="bs-Latn-BA"/>
        </w:rPr>
        <w:t xml:space="preserve"> </w:t>
      </w:r>
      <w:r w:rsidR="00C6214E">
        <w:rPr>
          <w:rFonts w:ascii="Times New Roman" w:eastAsia="Calibri" w:hAnsi="Times New Roman"/>
          <w:lang w:val="bs-Latn-BA"/>
        </w:rPr>
        <w:t>на</w:t>
      </w:r>
      <w:r w:rsidRPr="00B9527C">
        <w:rPr>
          <w:rFonts w:ascii="Times New Roman" w:eastAsia="Calibri" w:hAnsi="Times New Roman"/>
          <w:lang w:val="bs-Latn-BA"/>
        </w:rPr>
        <w:t xml:space="preserve"> </w:t>
      </w:r>
      <w:r w:rsidR="00C6214E">
        <w:rPr>
          <w:rFonts w:ascii="Times New Roman" w:eastAsia="Calibri" w:hAnsi="Times New Roman"/>
          <w:lang w:val="bs-Latn-BA"/>
        </w:rPr>
        <w:t>годишњем</w:t>
      </w:r>
      <w:r w:rsidRPr="00B9527C">
        <w:rPr>
          <w:rFonts w:ascii="Times New Roman" w:eastAsia="Calibri" w:hAnsi="Times New Roman"/>
          <w:lang w:val="bs-Latn-BA"/>
        </w:rPr>
        <w:t xml:space="preserve"> </w:t>
      </w:r>
      <w:r w:rsidR="00C6214E">
        <w:rPr>
          <w:rFonts w:ascii="Times New Roman" w:eastAsia="Calibri" w:hAnsi="Times New Roman"/>
          <w:lang w:val="bs-Latn-BA"/>
        </w:rPr>
        <w:t>нивоу</w:t>
      </w:r>
      <w:r w:rsidRPr="00B9527C">
        <w:rPr>
          <w:rFonts w:ascii="Times New Roman" w:eastAsia="Calibri" w:hAnsi="Times New Roman"/>
          <w:lang w:val="bs-Latn-BA"/>
        </w:rPr>
        <w:t xml:space="preserve">, </w:t>
      </w:r>
      <w:r w:rsidR="00C6214E">
        <w:rPr>
          <w:rFonts w:ascii="Times New Roman" w:eastAsia="Calibri" w:hAnsi="Times New Roman"/>
          <w:lang w:val="bs-Latn-BA"/>
        </w:rPr>
        <w:t>у</w:t>
      </w:r>
      <w:r w:rsidRPr="00B9527C">
        <w:rPr>
          <w:rFonts w:ascii="Times New Roman" w:eastAsia="Calibri" w:hAnsi="Times New Roman"/>
          <w:lang w:val="bs-Latn-BA"/>
        </w:rPr>
        <w:t xml:space="preserve"> </w:t>
      </w:r>
      <w:r w:rsidR="00C6214E">
        <w:rPr>
          <w:rFonts w:ascii="Times New Roman" w:eastAsia="Calibri" w:hAnsi="Times New Roman"/>
          <w:lang w:val="bs-Latn-BA"/>
        </w:rPr>
        <w:t>оквиру</w:t>
      </w:r>
      <w:r w:rsidRPr="00B9527C">
        <w:rPr>
          <w:rFonts w:ascii="Times New Roman" w:eastAsia="Calibri" w:hAnsi="Times New Roman"/>
          <w:lang w:val="bs-Latn-BA"/>
        </w:rPr>
        <w:t xml:space="preserve"> </w:t>
      </w:r>
      <w:r w:rsidR="00C6214E">
        <w:rPr>
          <w:rFonts w:ascii="Times New Roman" w:eastAsia="Calibri" w:hAnsi="Times New Roman"/>
          <w:lang w:val="bs-Latn-BA"/>
        </w:rPr>
        <w:t>наративних</w:t>
      </w:r>
      <w:r w:rsidRPr="00B9527C">
        <w:rPr>
          <w:rFonts w:ascii="Times New Roman" w:eastAsia="Calibri" w:hAnsi="Times New Roman"/>
          <w:lang w:val="bs-Latn-BA"/>
        </w:rPr>
        <w:t xml:space="preserve"> </w:t>
      </w:r>
      <w:r w:rsidR="00C6214E">
        <w:rPr>
          <w:rFonts w:ascii="Times New Roman" w:eastAsia="Calibri" w:hAnsi="Times New Roman"/>
          <w:lang w:val="bs-Latn-BA"/>
        </w:rPr>
        <w:t>извјештаја</w:t>
      </w:r>
      <w:r w:rsidRPr="00B9527C">
        <w:rPr>
          <w:rFonts w:ascii="Times New Roman" w:eastAsia="Calibri" w:hAnsi="Times New Roman"/>
          <w:lang w:val="bs-Latn-BA"/>
        </w:rPr>
        <w:t xml:space="preserve">, </w:t>
      </w:r>
      <w:r w:rsidR="00C6214E">
        <w:rPr>
          <w:rFonts w:ascii="Times New Roman" w:eastAsia="Calibri" w:hAnsi="Times New Roman"/>
          <w:lang w:val="bs-Latn-BA"/>
        </w:rPr>
        <w:t>корисници</w:t>
      </w:r>
      <w:r w:rsidRPr="00B9527C">
        <w:rPr>
          <w:rFonts w:ascii="Times New Roman" w:eastAsia="Calibri" w:hAnsi="Times New Roman"/>
          <w:lang w:val="bs-Latn-BA"/>
        </w:rPr>
        <w:t xml:space="preserve"> </w:t>
      </w:r>
      <w:r w:rsidR="00C6214E">
        <w:rPr>
          <w:rFonts w:ascii="Times New Roman" w:eastAsia="Calibri" w:hAnsi="Times New Roman"/>
          <w:lang w:val="bs-Latn-BA"/>
        </w:rPr>
        <w:t>средстава</w:t>
      </w:r>
      <w:r w:rsidRPr="00B9527C">
        <w:rPr>
          <w:rFonts w:ascii="Times New Roman" w:eastAsia="Calibri" w:hAnsi="Times New Roman"/>
          <w:lang w:val="bs-Latn-BA"/>
        </w:rPr>
        <w:t xml:space="preserve"> </w:t>
      </w:r>
      <w:r w:rsidR="00C6214E">
        <w:rPr>
          <w:rFonts w:ascii="Times New Roman" w:eastAsia="Calibri" w:hAnsi="Times New Roman"/>
          <w:lang w:val="bs-Latn-BA"/>
        </w:rPr>
        <w:t>су</w:t>
      </w:r>
      <w:r w:rsidRPr="00B9527C">
        <w:rPr>
          <w:rFonts w:ascii="Times New Roman" w:eastAsia="Calibri" w:hAnsi="Times New Roman"/>
          <w:lang w:val="bs-Latn-BA"/>
        </w:rPr>
        <w:t xml:space="preserve"> </w:t>
      </w:r>
      <w:r w:rsidR="00C6214E">
        <w:rPr>
          <w:rFonts w:ascii="Times New Roman" w:eastAsia="Calibri" w:hAnsi="Times New Roman"/>
          <w:lang w:val="bs-Latn-BA"/>
        </w:rPr>
        <w:t>дужни</w:t>
      </w:r>
      <w:r w:rsidRPr="00B9527C">
        <w:rPr>
          <w:rFonts w:ascii="Times New Roman" w:eastAsia="Calibri" w:hAnsi="Times New Roman"/>
          <w:lang w:val="bs-Latn-BA"/>
        </w:rPr>
        <w:t xml:space="preserve"> </w:t>
      </w:r>
      <w:r w:rsidR="00C6214E">
        <w:rPr>
          <w:rFonts w:ascii="Times New Roman" w:eastAsia="Calibri" w:hAnsi="Times New Roman"/>
          <w:lang w:val="bs-Latn-BA"/>
        </w:rPr>
        <w:t>навести</w:t>
      </w:r>
      <w:r w:rsidRPr="00B9527C">
        <w:rPr>
          <w:rFonts w:ascii="Times New Roman" w:eastAsia="Calibri" w:hAnsi="Times New Roman"/>
          <w:lang w:val="bs-Latn-BA"/>
        </w:rPr>
        <w:t xml:space="preserve"> </w:t>
      </w:r>
      <w:r w:rsidR="00C6214E">
        <w:rPr>
          <w:rFonts w:ascii="Times New Roman" w:eastAsia="Calibri" w:hAnsi="Times New Roman"/>
          <w:lang w:val="bs-Latn-BA"/>
        </w:rPr>
        <w:t>број</w:t>
      </w:r>
      <w:r w:rsidRPr="00B9527C">
        <w:rPr>
          <w:rFonts w:ascii="Times New Roman" w:eastAsia="Calibri" w:hAnsi="Times New Roman"/>
          <w:lang w:val="bs-Latn-BA"/>
        </w:rPr>
        <w:t xml:space="preserve"> </w:t>
      </w:r>
      <w:r w:rsidR="00C6214E">
        <w:rPr>
          <w:rFonts w:ascii="Times New Roman" w:eastAsia="Calibri" w:hAnsi="Times New Roman"/>
          <w:lang w:val="bs-Latn-BA"/>
        </w:rPr>
        <w:t>корисника</w:t>
      </w:r>
      <w:r w:rsidRPr="00B9527C">
        <w:rPr>
          <w:rFonts w:ascii="Times New Roman" w:eastAsia="Calibri" w:hAnsi="Times New Roman"/>
          <w:lang w:val="bs-Latn-BA"/>
        </w:rPr>
        <w:t xml:space="preserve"> </w:t>
      </w:r>
      <w:r w:rsidR="00C6214E">
        <w:rPr>
          <w:rFonts w:ascii="Times New Roman" w:eastAsia="Calibri" w:hAnsi="Times New Roman"/>
          <w:lang w:val="bs-Latn-BA"/>
        </w:rPr>
        <w:t>по</w:t>
      </w:r>
      <w:r w:rsidRPr="00B9527C">
        <w:rPr>
          <w:rFonts w:ascii="Times New Roman" w:eastAsia="Calibri" w:hAnsi="Times New Roman"/>
          <w:lang w:val="bs-Latn-BA"/>
        </w:rPr>
        <w:t xml:space="preserve"> </w:t>
      </w:r>
      <w:r w:rsidR="00C6214E">
        <w:rPr>
          <w:rFonts w:ascii="Times New Roman" w:eastAsia="Calibri" w:hAnsi="Times New Roman"/>
          <w:lang w:val="bs-Latn-BA"/>
        </w:rPr>
        <w:t>полу</w:t>
      </w:r>
      <w:r w:rsidRPr="00B9527C">
        <w:rPr>
          <w:rFonts w:ascii="Times New Roman" w:eastAsia="Calibri" w:hAnsi="Times New Roman"/>
          <w:lang w:val="bs-Latn-BA"/>
        </w:rPr>
        <w:t xml:space="preserve">. </w:t>
      </w:r>
      <w:r w:rsidR="00C6214E">
        <w:rPr>
          <w:rFonts w:ascii="Times New Roman" w:eastAsia="Calibri" w:hAnsi="Times New Roman"/>
          <w:lang w:val="bs-Latn-BA"/>
        </w:rPr>
        <w:t>Исто</w:t>
      </w:r>
      <w:r w:rsidRPr="00B9527C">
        <w:rPr>
          <w:rFonts w:ascii="Times New Roman" w:eastAsia="Calibri" w:hAnsi="Times New Roman"/>
          <w:lang w:val="bs-Latn-BA"/>
        </w:rPr>
        <w:t xml:space="preserve"> </w:t>
      </w:r>
      <w:r w:rsidR="00C6214E">
        <w:rPr>
          <w:rFonts w:ascii="Times New Roman" w:eastAsia="Calibri" w:hAnsi="Times New Roman"/>
          <w:lang w:val="bs-Latn-BA"/>
        </w:rPr>
        <w:t>тако</w:t>
      </w:r>
      <w:r w:rsidRPr="00B9527C">
        <w:rPr>
          <w:rFonts w:ascii="Times New Roman" w:eastAsia="Calibri" w:hAnsi="Times New Roman"/>
          <w:lang w:val="bs-Latn-BA"/>
        </w:rPr>
        <w:t xml:space="preserve">, </w:t>
      </w:r>
      <w:r w:rsidR="00C6214E">
        <w:rPr>
          <w:rFonts w:ascii="Times New Roman" w:eastAsia="Calibri" w:hAnsi="Times New Roman"/>
          <w:lang w:val="bs-Latn-BA"/>
        </w:rPr>
        <w:t>приликом</w:t>
      </w:r>
      <w:r w:rsidRPr="00B9527C">
        <w:rPr>
          <w:rFonts w:ascii="Times New Roman" w:eastAsia="Calibri" w:hAnsi="Times New Roman"/>
          <w:lang w:val="bs-Latn-BA"/>
        </w:rPr>
        <w:t xml:space="preserve"> </w:t>
      </w:r>
      <w:r w:rsidR="00C6214E">
        <w:rPr>
          <w:rFonts w:ascii="Times New Roman" w:eastAsia="Calibri" w:hAnsi="Times New Roman"/>
          <w:lang w:val="bs-Latn-BA"/>
        </w:rPr>
        <w:t>евалуације</w:t>
      </w:r>
      <w:r w:rsidRPr="00B9527C">
        <w:rPr>
          <w:rFonts w:ascii="Times New Roman" w:eastAsia="Calibri" w:hAnsi="Times New Roman"/>
          <w:lang w:val="bs-Latn-BA"/>
        </w:rPr>
        <w:t xml:space="preserve"> </w:t>
      </w:r>
      <w:r w:rsidR="00C6214E">
        <w:rPr>
          <w:rFonts w:ascii="Times New Roman" w:eastAsia="Calibri" w:hAnsi="Times New Roman"/>
          <w:lang w:val="bs-Latn-BA"/>
        </w:rPr>
        <w:t>релевантности</w:t>
      </w:r>
      <w:r w:rsidRPr="00B9527C">
        <w:rPr>
          <w:rFonts w:ascii="Times New Roman" w:eastAsia="Calibri" w:hAnsi="Times New Roman"/>
          <w:lang w:val="bs-Latn-BA"/>
        </w:rPr>
        <w:t xml:space="preserve"> </w:t>
      </w:r>
      <w:r w:rsidR="00C6214E">
        <w:rPr>
          <w:rFonts w:ascii="Times New Roman" w:eastAsia="Calibri" w:hAnsi="Times New Roman"/>
          <w:lang w:val="bs-Latn-BA"/>
        </w:rPr>
        <w:t>пројеката</w:t>
      </w:r>
      <w:r w:rsidRPr="00B9527C">
        <w:rPr>
          <w:rFonts w:ascii="Times New Roman" w:eastAsia="Calibri" w:hAnsi="Times New Roman"/>
          <w:lang w:val="bs-Latn-BA"/>
        </w:rPr>
        <w:t xml:space="preserve"> </w:t>
      </w:r>
      <w:r w:rsidR="00C6214E">
        <w:rPr>
          <w:rFonts w:ascii="Times New Roman" w:eastAsia="Calibri" w:hAnsi="Times New Roman"/>
          <w:lang w:val="bs-Latn-BA"/>
        </w:rPr>
        <w:t>оцјењује</w:t>
      </w:r>
      <w:r w:rsidR="007F5458">
        <w:rPr>
          <w:rFonts w:ascii="Times New Roman" w:eastAsia="Calibri" w:hAnsi="Times New Roman"/>
          <w:lang w:val="bs-Latn-BA"/>
        </w:rPr>
        <w:t xml:space="preserve"> </w:t>
      </w:r>
      <w:r w:rsidR="00C6214E">
        <w:rPr>
          <w:rFonts w:ascii="Times New Roman" w:eastAsia="Calibri" w:hAnsi="Times New Roman"/>
          <w:lang w:val="bs-Latn-BA"/>
        </w:rPr>
        <w:t>се</w:t>
      </w:r>
      <w:r w:rsidR="007F5458">
        <w:rPr>
          <w:rFonts w:ascii="Times New Roman" w:eastAsia="Calibri" w:hAnsi="Times New Roman"/>
          <w:lang w:val="bs-Latn-BA"/>
        </w:rPr>
        <w:t xml:space="preserve"> </w:t>
      </w:r>
      <w:r w:rsidR="00C6214E">
        <w:rPr>
          <w:rFonts w:ascii="Times New Roman" w:eastAsia="Calibri" w:hAnsi="Times New Roman"/>
          <w:lang w:val="bs-Latn-BA"/>
        </w:rPr>
        <w:t>у</w:t>
      </w:r>
      <w:r w:rsidR="007F5458">
        <w:rPr>
          <w:rFonts w:ascii="Times New Roman" w:eastAsia="Calibri" w:hAnsi="Times New Roman"/>
          <w:lang w:val="bs-Latn-BA"/>
        </w:rPr>
        <w:t xml:space="preserve"> </w:t>
      </w:r>
      <w:r w:rsidR="00C6214E">
        <w:rPr>
          <w:rFonts w:ascii="Times New Roman" w:eastAsia="Calibri" w:hAnsi="Times New Roman"/>
          <w:lang w:val="bs-Latn-BA"/>
        </w:rPr>
        <w:t>којој</w:t>
      </w:r>
      <w:r w:rsidR="007F5458">
        <w:rPr>
          <w:rFonts w:ascii="Times New Roman" w:eastAsia="Calibri" w:hAnsi="Times New Roman"/>
          <w:lang w:val="bs-Latn-BA"/>
        </w:rPr>
        <w:t xml:space="preserve"> </w:t>
      </w:r>
      <w:r w:rsidR="00C6214E">
        <w:rPr>
          <w:rFonts w:ascii="Times New Roman" w:eastAsia="Calibri" w:hAnsi="Times New Roman"/>
          <w:lang w:val="bs-Latn-BA"/>
        </w:rPr>
        <w:t>мјери</w:t>
      </w:r>
      <w:r w:rsidR="007F5458">
        <w:rPr>
          <w:rFonts w:ascii="Times New Roman" w:eastAsia="Calibri" w:hAnsi="Times New Roman"/>
          <w:lang w:val="bs-Latn-BA"/>
        </w:rPr>
        <w:t xml:space="preserve"> </w:t>
      </w:r>
      <w:r w:rsidR="00C6214E">
        <w:rPr>
          <w:rFonts w:ascii="Times New Roman" w:eastAsia="Calibri" w:hAnsi="Times New Roman"/>
          <w:lang w:val="bs-Latn-BA"/>
        </w:rPr>
        <w:t>пројекат</w:t>
      </w:r>
      <w:r w:rsidRPr="00B9527C">
        <w:rPr>
          <w:rFonts w:ascii="Times New Roman" w:eastAsia="Calibri" w:hAnsi="Times New Roman"/>
          <w:lang w:val="bs-Latn-BA"/>
        </w:rPr>
        <w:t xml:space="preserve"> </w:t>
      </w:r>
      <w:r w:rsidR="00C6214E">
        <w:rPr>
          <w:rFonts w:ascii="Times New Roman" w:eastAsia="Calibri" w:hAnsi="Times New Roman"/>
          <w:lang w:val="bs-Latn-BA"/>
        </w:rPr>
        <w:t>промови</w:t>
      </w:r>
      <w:r w:rsidR="009B6048">
        <w:rPr>
          <w:rFonts w:ascii="Times New Roman" w:eastAsia="Calibri" w:hAnsi="Times New Roman"/>
          <w:lang w:val="sr-Cyrl-BA"/>
        </w:rPr>
        <w:t>ше</w:t>
      </w:r>
      <w:r w:rsidRPr="00B9527C">
        <w:rPr>
          <w:rFonts w:ascii="Times New Roman" w:eastAsia="Calibri" w:hAnsi="Times New Roman"/>
          <w:lang w:val="bs-Latn-BA"/>
        </w:rPr>
        <w:t xml:space="preserve"> </w:t>
      </w:r>
      <w:r w:rsidR="00C6214E">
        <w:rPr>
          <w:rFonts w:ascii="Times New Roman" w:eastAsia="Calibri" w:hAnsi="Times New Roman"/>
          <w:lang w:val="bs-Latn-BA"/>
        </w:rPr>
        <w:t>додатне</w:t>
      </w:r>
      <w:r w:rsidRPr="00B9527C">
        <w:rPr>
          <w:rFonts w:ascii="Times New Roman" w:eastAsia="Calibri" w:hAnsi="Times New Roman"/>
          <w:lang w:val="bs-Latn-BA"/>
        </w:rPr>
        <w:t xml:space="preserve"> </w:t>
      </w:r>
      <w:r w:rsidR="00C6214E">
        <w:rPr>
          <w:rFonts w:ascii="Times New Roman" w:eastAsia="Calibri" w:hAnsi="Times New Roman"/>
          <w:lang w:val="bs-Latn-BA"/>
        </w:rPr>
        <w:t>вриједности</w:t>
      </w:r>
      <w:r w:rsidRPr="00B9527C">
        <w:rPr>
          <w:rFonts w:ascii="Times New Roman" w:eastAsia="Calibri" w:hAnsi="Times New Roman"/>
          <w:lang w:val="bs-Latn-BA"/>
        </w:rPr>
        <w:t xml:space="preserve"> </w:t>
      </w:r>
      <w:r w:rsidR="00C6214E">
        <w:rPr>
          <w:rFonts w:ascii="Times New Roman" w:eastAsia="Calibri" w:hAnsi="Times New Roman"/>
          <w:lang w:val="bs-Latn-BA"/>
        </w:rPr>
        <w:t>као</w:t>
      </w:r>
      <w:r w:rsidRPr="00B9527C">
        <w:rPr>
          <w:rFonts w:ascii="Times New Roman" w:eastAsia="Calibri" w:hAnsi="Times New Roman"/>
          <w:lang w:val="bs-Latn-BA"/>
        </w:rPr>
        <w:t xml:space="preserve"> </w:t>
      </w:r>
      <w:r w:rsidR="00C6214E">
        <w:rPr>
          <w:rFonts w:ascii="Times New Roman" w:eastAsia="Calibri" w:hAnsi="Times New Roman"/>
          <w:lang w:val="bs-Latn-BA"/>
        </w:rPr>
        <w:t>што</w:t>
      </w:r>
      <w:r w:rsidRPr="00B9527C">
        <w:rPr>
          <w:rFonts w:ascii="Times New Roman" w:eastAsia="Calibri" w:hAnsi="Times New Roman"/>
          <w:lang w:val="bs-Latn-BA"/>
        </w:rPr>
        <w:t xml:space="preserve"> </w:t>
      </w:r>
      <w:r w:rsidR="00C6214E">
        <w:rPr>
          <w:rFonts w:ascii="Times New Roman" w:eastAsia="Calibri" w:hAnsi="Times New Roman"/>
          <w:lang w:val="bs-Latn-BA"/>
        </w:rPr>
        <w:t>су</w:t>
      </w:r>
      <w:r w:rsidRPr="00B9527C">
        <w:rPr>
          <w:rFonts w:ascii="Times New Roman" w:eastAsia="Calibri" w:hAnsi="Times New Roman"/>
          <w:lang w:val="bs-Latn-BA"/>
        </w:rPr>
        <w:t xml:space="preserve"> </w:t>
      </w:r>
      <w:r w:rsidR="00C6214E">
        <w:rPr>
          <w:rFonts w:ascii="Times New Roman" w:eastAsia="Calibri" w:hAnsi="Times New Roman"/>
          <w:lang w:val="bs-Latn-BA"/>
        </w:rPr>
        <w:t>људска</w:t>
      </w:r>
      <w:r w:rsidRPr="00B9527C">
        <w:rPr>
          <w:rFonts w:ascii="Times New Roman" w:eastAsia="Calibri" w:hAnsi="Times New Roman"/>
          <w:lang w:val="bs-Latn-BA"/>
        </w:rPr>
        <w:t xml:space="preserve"> </w:t>
      </w:r>
      <w:r w:rsidR="00C6214E">
        <w:rPr>
          <w:rFonts w:ascii="Times New Roman" w:eastAsia="Calibri" w:hAnsi="Times New Roman"/>
          <w:lang w:val="bs-Latn-BA"/>
        </w:rPr>
        <w:t>права</w:t>
      </w:r>
      <w:r w:rsidRPr="00B9527C">
        <w:rPr>
          <w:rFonts w:ascii="Times New Roman" w:eastAsia="Calibri" w:hAnsi="Times New Roman"/>
          <w:lang w:val="bs-Latn-BA"/>
        </w:rPr>
        <w:t xml:space="preserve">, </w:t>
      </w:r>
      <w:r w:rsidR="00C6214E">
        <w:rPr>
          <w:rFonts w:ascii="Times New Roman" w:eastAsia="Calibri" w:hAnsi="Times New Roman"/>
          <w:lang w:val="bs-Latn-BA"/>
        </w:rPr>
        <w:t>равноправност</w:t>
      </w:r>
      <w:r w:rsidRPr="00B9527C">
        <w:rPr>
          <w:rFonts w:ascii="Times New Roman" w:eastAsia="Calibri" w:hAnsi="Times New Roman"/>
          <w:lang w:val="bs-Latn-BA"/>
        </w:rPr>
        <w:t xml:space="preserve"> </w:t>
      </w:r>
      <w:r w:rsidR="00C6214E">
        <w:rPr>
          <w:rFonts w:ascii="Times New Roman" w:eastAsia="Calibri" w:hAnsi="Times New Roman"/>
          <w:lang w:val="bs-Latn-BA"/>
        </w:rPr>
        <w:t>полова</w:t>
      </w:r>
      <w:r w:rsidRPr="00B9527C">
        <w:rPr>
          <w:rFonts w:ascii="Times New Roman" w:eastAsia="Calibri" w:hAnsi="Times New Roman"/>
          <w:lang w:val="bs-Latn-BA"/>
        </w:rPr>
        <w:t xml:space="preserve">, </w:t>
      </w:r>
      <w:r w:rsidR="00C6214E">
        <w:rPr>
          <w:rFonts w:ascii="Times New Roman" w:eastAsia="Calibri" w:hAnsi="Times New Roman"/>
          <w:lang w:val="bs-Latn-BA"/>
        </w:rPr>
        <w:t>права</w:t>
      </w:r>
      <w:r w:rsidR="007F5458">
        <w:rPr>
          <w:rFonts w:ascii="Times New Roman" w:eastAsia="Calibri" w:hAnsi="Times New Roman"/>
          <w:lang w:val="bs-Latn-BA"/>
        </w:rPr>
        <w:t xml:space="preserve"> </w:t>
      </w:r>
      <w:r w:rsidR="00C6214E">
        <w:rPr>
          <w:rFonts w:ascii="Times New Roman" w:eastAsia="Calibri" w:hAnsi="Times New Roman"/>
          <w:lang w:val="bs-Latn-BA"/>
        </w:rPr>
        <w:t>лица</w:t>
      </w:r>
      <w:r w:rsidR="007F5458">
        <w:rPr>
          <w:rFonts w:ascii="Times New Roman" w:eastAsia="Calibri" w:hAnsi="Times New Roman"/>
          <w:lang w:val="bs-Latn-BA"/>
        </w:rPr>
        <w:t xml:space="preserve"> </w:t>
      </w:r>
      <w:r w:rsidR="00C6214E">
        <w:rPr>
          <w:rFonts w:ascii="Times New Roman" w:eastAsia="Calibri" w:hAnsi="Times New Roman"/>
          <w:lang w:val="bs-Latn-BA"/>
        </w:rPr>
        <w:t>са</w:t>
      </w:r>
      <w:r w:rsidRPr="00B9527C">
        <w:rPr>
          <w:rFonts w:ascii="Times New Roman" w:eastAsia="Calibri" w:hAnsi="Times New Roman"/>
          <w:lang w:val="bs-Latn-BA"/>
        </w:rPr>
        <w:t xml:space="preserve"> </w:t>
      </w:r>
      <w:r w:rsidR="00C6214E">
        <w:rPr>
          <w:rFonts w:ascii="Times New Roman" w:eastAsia="Calibri" w:hAnsi="Times New Roman"/>
          <w:lang w:val="bs-Latn-BA"/>
        </w:rPr>
        <w:t>инвалидитетом</w:t>
      </w:r>
      <w:r w:rsidRPr="00B9527C">
        <w:rPr>
          <w:rFonts w:ascii="Times New Roman" w:eastAsia="Calibri" w:hAnsi="Times New Roman"/>
          <w:lang w:val="bs-Latn-BA"/>
        </w:rPr>
        <w:t xml:space="preserve">, </w:t>
      </w:r>
      <w:r w:rsidR="00C6214E">
        <w:rPr>
          <w:rFonts w:ascii="Times New Roman" w:eastAsia="Calibri" w:hAnsi="Times New Roman"/>
          <w:lang w:val="bs-Latn-BA"/>
        </w:rPr>
        <w:t>права</w:t>
      </w:r>
      <w:r w:rsidRPr="00B9527C">
        <w:rPr>
          <w:rFonts w:ascii="Times New Roman" w:eastAsia="Calibri" w:hAnsi="Times New Roman"/>
          <w:lang w:val="bs-Latn-BA"/>
        </w:rPr>
        <w:t xml:space="preserve"> </w:t>
      </w:r>
      <w:r w:rsidR="00C6214E">
        <w:rPr>
          <w:rFonts w:ascii="Times New Roman" w:eastAsia="Calibri" w:hAnsi="Times New Roman"/>
          <w:lang w:val="bs-Latn-BA"/>
        </w:rPr>
        <w:t>мањинских</w:t>
      </w:r>
      <w:r w:rsidRPr="00B9527C">
        <w:rPr>
          <w:rFonts w:ascii="Times New Roman" w:eastAsia="Calibri" w:hAnsi="Times New Roman"/>
          <w:lang w:val="bs-Latn-BA"/>
        </w:rPr>
        <w:t xml:space="preserve"> </w:t>
      </w:r>
      <w:r w:rsidR="00C6214E">
        <w:rPr>
          <w:rFonts w:ascii="Times New Roman" w:eastAsia="Calibri" w:hAnsi="Times New Roman"/>
          <w:lang w:val="bs-Latn-BA"/>
        </w:rPr>
        <w:t>група</w:t>
      </w:r>
      <w:r w:rsidRPr="00B9527C">
        <w:rPr>
          <w:rFonts w:ascii="Times New Roman" w:eastAsia="Calibri" w:hAnsi="Times New Roman"/>
          <w:lang w:val="bs-Latn-BA"/>
        </w:rPr>
        <w:t xml:space="preserve"> </w:t>
      </w:r>
      <w:r w:rsidR="00C6214E">
        <w:rPr>
          <w:rFonts w:ascii="Times New Roman" w:eastAsia="Calibri" w:hAnsi="Times New Roman"/>
          <w:lang w:val="bs-Latn-BA"/>
        </w:rPr>
        <w:t>и</w:t>
      </w:r>
      <w:r w:rsidRPr="00B9527C">
        <w:rPr>
          <w:rFonts w:ascii="Times New Roman" w:eastAsia="Calibri" w:hAnsi="Times New Roman"/>
          <w:lang w:val="bs-Latn-BA"/>
        </w:rPr>
        <w:t xml:space="preserve"> </w:t>
      </w:r>
      <w:r w:rsidR="00C6214E">
        <w:rPr>
          <w:rFonts w:ascii="Times New Roman" w:eastAsia="Calibri" w:hAnsi="Times New Roman"/>
          <w:lang w:val="bs-Latn-BA"/>
        </w:rPr>
        <w:t>сл</w:t>
      </w:r>
      <w:r w:rsidRPr="00B9527C">
        <w:rPr>
          <w:rFonts w:ascii="Times New Roman" w:eastAsia="Calibri" w:hAnsi="Times New Roman"/>
          <w:lang w:val="bs-Latn-BA"/>
        </w:rPr>
        <w:t>.</w:t>
      </w:r>
    </w:p>
    <w:p w:rsidR="0042679D" w:rsidRDefault="0042679D" w:rsidP="0086268D">
      <w:pPr>
        <w:pStyle w:val="NormalWeb"/>
        <w:spacing w:before="0" w:beforeAutospacing="0" w:after="0" w:afterAutospacing="0"/>
        <w:ind w:left="720"/>
        <w:jc w:val="both"/>
        <w:rPr>
          <w:lang w:val="bs-Latn-BA"/>
        </w:rPr>
      </w:pPr>
    </w:p>
    <w:p w:rsidR="00B9527C" w:rsidRDefault="00C6214E" w:rsidP="0086268D">
      <w:pPr>
        <w:pStyle w:val="NormalWeb"/>
        <w:numPr>
          <w:ilvl w:val="0"/>
          <w:numId w:val="25"/>
        </w:numPr>
        <w:spacing w:before="0" w:beforeAutospacing="0" w:after="0" w:afterAutospacing="0"/>
        <w:jc w:val="both"/>
        <w:rPr>
          <w:lang w:val="bs-Latn-BA"/>
        </w:rPr>
      </w:pPr>
      <w:r>
        <w:rPr>
          <w:lang w:val="bs-Latn-BA"/>
        </w:rPr>
        <w:t>Употреба</w:t>
      </w:r>
      <w:r w:rsidR="00B9527C">
        <w:rPr>
          <w:lang w:val="bs-Latn-BA"/>
        </w:rPr>
        <w:t xml:space="preserve"> </w:t>
      </w:r>
      <w:r>
        <w:rPr>
          <w:lang w:val="bs-Latn-BA"/>
        </w:rPr>
        <w:t>родно</w:t>
      </w:r>
      <w:r w:rsidR="00B9527C" w:rsidRPr="00295637">
        <w:rPr>
          <w:lang w:val="bs-Latn-BA"/>
        </w:rPr>
        <w:t xml:space="preserve"> </w:t>
      </w:r>
      <w:r>
        <w:rPr>
          <w:lang w:val="bs-Latn-BA"/>
        </w:rPr>
        <w:t>осјетљивог</w:t>
      </w:r>
      <w:r w:rsidR="00B9527C" w:rsidRPr="00295637">
        <w:rPr>
          <w:lang w:val="bs-Latn-BA"/>
        </w:rPr>
        <w:t xml:space="preserve"> </w:t>
      </w:r>
      <w:r>
        <w:rPr>
          <w:lang w:val="bs-Latn-BA"/>
        </w:rPr>
        <w:t>језика</w:t>
      </w:r>
      <w:r w:rsidR="00B9527C" w:rsidRPr="00295637">
        <w:rPr>
          <w:lang w:val="bs-Latn-BA"/>
        </w:rPr>
        <w:t xml:space="preserve"> </w:t>
      </w:r>
      <w:r>
        <w:rPr>
          <w:lang w:val="bs-Latn-BA"/>
        </w:rPr>
        <w:t>кориш</w:t>
      </w:r>
      <w:r w:rsidR="009B6048">
        <w:rPr>
          <w:lang w:val="sr-Cyrl-BA"/>
        </w:rPr>
        <w:t>ћ</w:t>
      </w:r>
      <w:r>
        <w:rPr>
          <w:lang w:val="bs-Latn-BA"/>
        </w:rPr>
        <w:t>ена</w:t>
      </w:r>
      <w:r w:rsidR="00B9527C" w:rsidRPr="00295637">
        <w:rPr>
          <w:lang w:val="bs-Latn-BA"/>
        </w:rPr>
        <w:t xml:space="preserve"> </w:t>
      </w:r>
      <w:r>
        <w:rPr>
          <w:lang w:val="bs-Latn-BA"/>
        </w:rPr>
        <w:t>је</w:t>
      </w:r>
      <w:r w:rsidR="00B9527C" w:rsidRPr="00295637">
        <w:rPr>
          <w:lang w:val="bs-Latn-BA"/>
        </w:rPr>
        <w:t xml:space="preserve"> </w:t>
      </w:r>
      <w:r>
        <w:rPr>
          <w:lang w:val="bs-Latn-BA"/>
        </w:rPr>
        <w:t>у</w:t>
      </w:r>
      <w:r w:rsidR="00B9527C" w:rsidRPr="00295637">
        <w:rPr>
          <w:lang w:val="bs-Latn-BA"/>
        </w:rPr>
        <w:t xml:space="preserve"> </w:t>
      </w:r>
      <w:r>
        <w:rPr>
          <w:lang w:val="bs-Latn-BA"/>
        </w:rPr>
        <w:t>Заједничкој</w:t>
      </w:r>
      <w:r w:rsidR="00B9527C" w:rsidRPr="00295637">
        <w:rPr>
          <w:lang w:val="bs-Latn-BA"/>
        </w:rPr>
        <w:t xml:space="preserve"> </w:t>
      </w:r>
      <w:r>
        <w:rPr>
          <w:lang w:val="bs-Latn-BA"/>
        </w:rPr>
        <w:t>језгри</w:t>
      </w:r>
      <w:r w:rsidR="00B9527C" w:rsidRPr="00295637">
        <w:rPr>
          <w:lang w:val="bs-Latn-BA"/>
        </w:rPr>
        <w:t xml:space="preserve"> </w:t>
      </w:r>
      <w:r>
        <w:rPr>
          <w:lang w:val="bs-Latn-BA"/>
        </w:rPr>
        <w:t>дефини</w:t>
      </w:r>
      <w:r w:rsidR="009B6048">
        <w:rPr>
          <w:lang w:val="sr-Cyrl-BA"/>
        </w:rPr>
        <w:t>с</w:t>
      </w:r>
      <w:r>
        <w:rPr>
          <w:lang w:val="bs-Latn-BA"/>
        </w:rPr>
        <w:t>аној</w:t>
      </w:r>
      <w:r w:rsidR="00B9527C" w:rsidRPr="00295637">
        <w:rPr>
          <w:lang w:val="bs-Latn-BA"/>
        </w:rPr>
        <w:t xml:space="preserve"> </w:t>
      </w:r>
      <w:r>
        <w:rPr>
          <w:lang w:val="bs-Latn-BA"/>
        </w:rPr>
        <w:t>на</w:t>
      </w:r>
      <w:r w:rsidR="00B9527C" w:rsidRPr="00295637">
        <w:rPr>
          <w:lang w:val="bs-Latn-BA"/>
        </w:rPr>
        <w:t xml:space="preserve"> </w:t>
      </w:r>
      <w:r>
        <w:rPr>
          <w:lang w:val="bs-Latn-BA"/>
        </w:rPr>
        <w:t>исходима</w:t>
      </w:r>
      <w:r w:rsidR="00B9527C" w:rsidRPr="00295637">
        <w:rPr>
          <w:lang w:val="bs-Latn-BA"/>
        </w:rPr>
        <w:t xml:space="preserve"> </w:t>
      </w:r>
      <w:r>
        <w:rPr>
          <w:lang w:val="bs-Latn-BA"/>
        </w:rPr>
        <w:t>учења</w:t>
      </w:r>
      <w:r w:rsidR="00B9527C" w:rsidRPr="00295637">
        <w:rPr>
          <w:lang w:val="bs-Latn-BA"/>
        </w:rPr>
        <w:t xml:space="preserve"> </w:t>
      </w:r>
      <w:r>
        <w:rPr>
          <w:lang w:val="bs-Latn-BA"/>
        </w:rPr>
        <w:t>на</w:t>
      </w:r>
      <w:r w:rsidR="00B9527C" w:rsidRPr="00295637">
        <w:rPr>
          <w:lang w:val="bs-Latn-BA"/>
        </w:rPr>
        <w:t xml:space="preserve"> </w:t>
      </w:r>
      <w:r>
        <w:rPr>
          <w:lang w:val="bs-Latn-BA"/>
        </w:rPr>
        <w:t>основу</w:t>
      </w:r>
      <w:r w:rsidR="00B9527C" w:rsidRPr="00295637">
        <w:rPr>
          <w:lang w:val="bs-Latn-BA"/>
        </w:rPr>
        <w:t xml:space="preserve"> </w:t>
      </w:r>
      <w:r>
        <w:rPr>
          <w:lang w:val="bs-Latn-BA"/>
        </w:rPr>
        <w:t>које</w:t>
      </w:r>
      <w:r w:rsidR="00B9527C" w:rsidRPr="00295637">
        <w:rPr>
          <w:lang w:val="bs-Latn-BA"/>
        </w:rPr>
        <w:t xml:space="preserve"> </w:t>
      </w:r>
      <w:r>
        <w:rPr>
          <w:lang w:val="bs-Latn-BA"/>
        </w:rPr>
        <w:t>су</w:t>
      </w:r>
      <w:r w:rsidR="00B9527C" w:rsidRPr="00295637">
        <w:rPr>
          <w:lang w:val="bs-Latn-BA"/>
        </w:rPr>
        <w:t xml:space="preserve"> </w:t>
      </w:r>
      <w:r>
        <w:rPr>
          <w:lang w:val="bs-Latn-BA"/>
        </w:rPr>
        <w:t>израђени</w:t>
      </w:r>
      <w:r w:rsidR="00B9527C" w:rsidRPr="00295637">
        <w:rPr>
          <w:lang w:val="bs-Latn-BA"/>
        </w:rPr>
        <w:t xml:space="preserve"> </w:t>
      </w:r>
      <w:r>
        <w:rPr>
          <w:lang w:val="bs-Latn-BA"/>
        </w:rPr>
        <w:t>нови</w:t>
      </w:r>
      <w:r w:rsidR="00B9527C" w:rsidRPr="00295637">
        <w:rPr>
          <w:lang w:val="bs-Latn-BA"/>
        </w:rPr>
        <w:t xml:space="preserve"> </w:t>
      </w:r>
      <w:r>
        <w:rPr>
          <w:lang w:val="bs-Latn-BA"/>
        </w:rPr>
        <w:t>предметни</w:t>
      </w:r>
      <w:r w:rsidR="00B9527C" w:rsidRPr="00295637">
        <w:rPr>
          <w:lang w:val="bs-Latn-BA"/>
        </w:rPr>
        <w:t xml:space="preserve"> </w:t>
      </w:r>
      <w:r w:rsidR="009B6048">
        <w:rPr>
          <w:lang w:val="sr-Cyrl-BA"/>
        </w:rPr>
        <w:t>наставни плано</w:t>
      </w:r>
      <w:r w:rsidR="00EB31AF">
        <w:rPr>
          <w:lang w:val="sr-Cyrl-BA"/>
        </w:rPr>
        <w:t>ви</w:t>
      </w:r>
      <w:r w:rsidR="009B6048">
        <w:rPr>
          <w:lang w:val="sr-Cyrl-BA"/>
        </w:rPr>
        <w:t xml:space="preserve"> и програм</w:t>
      </w:r>
      <w:r w:rsidR="00EB31AF">
        <w:rPr>
          <w:lang w:val="sr-Cyrl-BA"/>
        </w:rPr>
        <w:t>и</w:t>
      </w:r>
      <w:r w:rsidR="00B9527C" w:rsidRPr="00295637">
        <w:rPr>
          <w:lang w:val="bs-Latn-BA"/>
        </w:rPr>
        <w:t xml:space="preserve"> </w:t>
      </w:r>
      <w:r>
        <w:rPr>
          <w:lang w:val="bs-Latn-BA"/>
        </w:rPr>
        <w:t>који</w:t>
      </w:r>
      <w:r w:rsidR="00B9527C" w:rsidRPr="00295637">
        <w:rPr>
          <w:lang w:val="bs-Latn-BA"/>
        </w:rPr>
        <w:t xml:space="preserve"> </w:t>
      </w:r>
      <w:r>
        <w:rPr>
          <w:lang w:val="bs-Latn-BA"/>
        </w:rPr>
        <w:t>се</w:t>
      </w:r>
      <w:r w:rsidR="00B9527C" w:rsidRPr="00295637">
        <w:rPr>
          <w:lang w:val="bs-Latn-BA"/>
        </w:rPr>
        <w:t xml:space="preserve"> </w:t>
      </w:r>
      <w:r>
        <w:rPr>
          <w:lang w:val="bs-Latn-BA"/>
        </w:rPr>
        <w:t>примјењују</w:t>
      </w:r>
      <w:r w:rsidR="00B9527C" w:rsidRPr="00295637">
        <w:rPr>
          <w:lang w:val="bs-Latn-BA"/>
        </w:rPr>
        <w:t xml:space="preserve"> </w:t>
      </w:r>
      <w:r>
        <w:rPr>
          <w:lang w:val="bs-Latn-BA"/>
        </w:rPr>
        <w:t>у</w:t>
      </w:r>
      <w:r w:rsidR="00B9527C" w:rsidRPr="00295637">
        <w:rPr>
          <w:lang w:val="bs-Latn-BA"/>
        </w:rPr>
        <w:t xml:space="preserve"> </w:t>
      </w:r>
      <w:r>
        <w:rPr>
          <w:lang w:val="bs-Latn-BA"/>
        </w:rPr>
        <w:t>Босни</w:t>
      </w:r>
      <w:r w:rsidR="00B9527C" w:rsidRPr="00295637">
        <w:rPr>
          <w:lang w:val="bs-Latn-BA"/>
        </w:rPr>
        <w:t xml:space="preserve"> </w:t>
      </w:r>
      <w:r>
        <w:rPr>
          <w:lang w:val="bs-Latn-BA"/>
        </w:rPr>
        <w:t>и</w:t>
      </w:r>
      <w:r w:rsidR="00B9527C" w:rsidRPr="00295637">
        <w:rPr>
          <w:lang w:val="bs-Latn-BA"/>
        </w:rPr>
        <w:t xml:space="preserve"> </w:t>
      </w:r>
      <w:r>
        <w:rPr>
          <w:lang w:val="bs-Latn-BA"/>
        </w:rPr>
        <w:t>Херцеговини</w:t>
      </w:r>
      <w:r w:rsidR="00B9527C" w:rsidRPr="00295637">
        <w:rPr>
          <w:lang w:val="bs-Latn-BA"/>
        </w:rPr>
        <w:t>.</w:t>
      </w:r>
    </w:p>
    <w:p w:rsidR="00B9527C" w:rsidRDefault="00B9527C" w:rsidP="00B9527C">
      <w:pPr>
        <w:pStyle w:val="ListParagraph"/>
        <w:rPr>
          <w:lang w:val="bs-Latn-BA"/>
        </w:rPr>
      </w:pPr>
    </w:p>
    <w:p w:rsidR="0042679D" w:rsidRPr="00295637" w:rsidRDefault="00C6214E" w:rsidP="0086268D">
      <w:pPr>
        <w:pStyle w:val="NormalWeb"/>
        <w:numPr>
          <w:ilvl w:val="0"/>
          <w:numId w:val="25"/>
        </w:numPr>
        <w:spacing w:before="0" w:beforeAutospacing="0" w:after="0" w:afterAutospacing="0"/>
        <w:jc w:val="both"/>
        <w:rPr>
          <w:lang w:val="bs-Latn-BA"/>
        </w:rPr>
      </w:pPr>
      <w:r>
        <w:rPr>
          <w:lang w:val="bs-Latn-BA"/>
        </w:rPr>
        <w:t>ФМОИН</w:t>
      </w:r>
      <w:r w:rsidR="0042679D" w:rsidRPr="00295637">
        <w:rPr>
          <w:lang w:val="bs-Latn-BA"/>
        </w:rPr>
        <w:t xml:space="preserve"> </w:t>
      </w:r>
      <w:r>
        <w:rPr>
          <w:lang w:val="bs-Latn-BA"/>
        </w:rPr>
        <w:t>у</w:t>
      </w:r>
      <w:r w:rsidR="0042679D" w:rsidRPr="00295637">
        <w:rPr>
          <w:lang w:val="bs-Latn-BA"/>
        </w:rPr>
        <w:t xml:space="preserve"> </w:t>
      </w:r>
      <w:r>
        <w:rPr>
          <w:lang w:val="bs-Latn-BA"/>
        </w:rPr>
        <w:t>сарадњи</w:t>
      </w:r>
      <w:r w:rsidR="0042679D" w:rsidRPr="00295637">
        <w:rPr>
          <w:lang w:val="bs-Latn-BA"/>
        </w:rPr>
        <w:t xml:space="preserve"> </w:t>
      </w:r>
      <w:r>
        <w:rPr>
          <w:lang w:val="bs-Latn-BA"/>
        </w:rPr>
        <w:t>са</w:t>
      </w:r>
      <w:r w:rsidR="0042679D" w:rsidRPr="00295637">
        <w:rPr>
          <w:lang w:val="bs-Latn-BA"/>
        </w:rPr>
        <w:t xml:space="preserve"> </w:t>
      </w:r>
      <w:r>
        <w:rPr>
          <w:lang w:val="bs-Latn-BA"/>
        </w:rPr>
        <w:t>кантоналним</w:t>
      </w:r>
      <w:r w:rsidR="0042679D" w:rsidRPr="00295637">
        <w:rPr>
          <w:lang w:val="bs-Latn-BA"/>
        </w:rPr>
        <w:t xml:space="preserve"> </w:t>
      </w:r>
      <w:r>
        <w:rPr>
          <w:lang w:val="bs-Latn-BA"/>
        </w:rPr>
        <w:t>министарствима</w:t>
      </w:r>
      <w:r w:rsidR="0042679D" w:rsidRPr="00295637">
        <w:rPr>
          <w:lang w:val="bs-Latn-BA"/>
        </w:rPr>
        <w:t xml:space="preserve"> </w:t>
      </w:r>
      <w:r>
        <w:rPr>
          <w:lang w:val="bs-Latn-BA"/>
        </w:rPr>
        <w:t>образовања</w:t>
      </w:r>
      <w:r w:rsidR="0042679D" w:rsidRPr="00295637">
        <w:rPr>
          <w:lang w:val="bs-Latn-BA"/>
        </w:rPr>
        <w:t xml:space="preserve">, </w:t>
      </w:r>
      <w:r>
        <w:rPr>
          <w:lang w:val="bs-Latn-BA"/>
        </w:rPr>
        <w:t>педагошким</w:t>
      </w:r>
      <w:r w:rsidR="0042679D" w:rsidRPr="00295637">
        <w:rPr>
          <w:lang w:val="bs-Latn-BA"/>
        </w:rPr>
        <w:t xml:space="preserve"> </w:t>
      </w:r>
      <w:r>
        <w:rPr>
          <w:lang w:val="bs-Latn-BA"/>
        </w:rPr>
        <w:t>заводима</w:t>
      </w:r>
      <w:r w:rsidR="0042679D" w:rsidRPr="00295637">
        <w:rPr>
          <w:lang w:val="bs-Latn-BA"/>
        </w:rPr>
        <w:t xml:space="preserve"> </w:t>
      </w:r>
      <w:r>
        <w:rPr>
          <w:lang w:val="bs-Latn-BA"/>
        </w:rPr>
        <w:t>и</w:t>
      </w:r>
      <w:r w:rsidR="0042679D" w:rsidRPr="00295637">
        <w:rPr>
          <w:lang w:val="bs-Latn-BA"/>
        </w:rPr>
        <w:t xml:space="preserve"> </w:t>
      </w:r>
      <w:r>
        <w:rPr>
          <w:lang w:val="bs-Latn-BA"/>
        </w:rPr>
        <w:t>УНФПА</w:t>
      </w:r>
      <w:r w:rsidR="0042679D" w:rsidRPr="00295637">
        <w:rPr>
          <w:lang w:val="bs-Latn-BA"/>
        </w:rPr>
        <w:t xml:space="preserve">, </w:t>
      </w:r>
      <w:r>
        <w:rPr>
          <w:lang w:val="bs-Latn-BA"/>
        </w:rPr>
        <w:t>проводи</w:t>
      </w:r>
      <w:r w:rsidR="0042679D" w:rsidRPr="00295637">
        <w:rPr>
          <w:lang w:val="bs-Latn-BA"/>
        </w:rPr>
        <w:t xml:space="preserve"> </w:t>
      </w:r>
      <w:r>
        <w:rPr>
          <w:lang w:val="bs-Latn-BA"/>
        </w:rPr>
        <w:t>активности</w:t>
      </w:r>
      <w:r w:rsidR="0042679D" w:rsidRPr="00295637">
        <w:rPr>
          <w:lang w:val="bs-Latn-BA"/>
        </w:rPr>
        <w:t xml:space="preserve"> </w:t>
      </w:r>
      <w:r w:rsidR="009B6048">
        <w:rPr>
          <w:lang w:val="sr-Cyrl-BA"/>
        </w:rPr>
        <w:t>с</w:t>
      </w:r>
      <w:r w:rsidR="0042679D" w:rsidRPr="00295637">
        <w:rPr>
          <w:lang w:val="bs-Latn-BA"/>
        </w:rPr>
        <w:t xml:space="preserve"> </w:t>
      </w:r>
      <w:r>
        <w:rPr>
          <w:lang w:val="bs-Latn-BA"/>
        </w:rPr>
        <w:t>циљ</w:t>
      </w:r>
      <w:r w:rsidR="009B6048">
        <w:rPr>
          <w:lang w:val="sr-Cyrl-BA"/>
        </w:rPr>
        <w:t>ем</w:t>
      </w:r>
      <w:r w:rsidR="0042679D" w:rsidRPr="00295637">
        <w:rPr>
          <w:lang w:val="bs-Latn-BA"/>
        </w:rPr>
        <w:t xml:space="preserve"> </w:t>
      </w:r>
      <w:r>
        <w:rPr>
          <w:lang w:val="bs-Latn-BA"/>
        </w:rPr>
        <w:t>унапређења</w:t>
      </w:r>
      <w:r w:rsidR="0042679D" w:rsidRPr="00295637">
        <w:rPr>
          <w:lang w:val="bs-Latn-BA"/>
        </w:rPr>
        <w:t xml:space="preserve"> </w:t>
      </w:r>
      <w:r>
        <w:rPr>
          <w:lang w:val="bs-Latn-BA"/>
        </w:rPr>
        <w:t>образовања</w:t>
      </w:r>
      <w:r w:rsidR="0042679D" w:rsidRPr="00295637">
        <w:rPr>
          <w:lang w:val="bs-Latn-BA"/>
        </w:rPr>
        <w:t xml:space="preserve"> </w:t>
      </w:r>
      <w:r>
        <w:rPr>
          <w:lang w:val="bs-Latn-BA"/>
        </w:rPr>
        <w:t>и</w:t>
      </w:r>
      <w:r w:rsidR="0042679D" w:rsidRPr="00295637">
        <w:rPr>
          <w:lang w:val="bs-Latn-BA"/>
        </w:rPr>
        <w:t xml:space="preserve"> </w:t>
      </w:r>
      <w:r>
        <w:rPr>
          <w:lang w:val="bs-Latn-BA"/>
        </w:rPr>
        <w:t>подршке</w:t>
      </w:r>
      <w:r w:rsidR="0042679D" w:rsidRPr="00295637">
        <w:rPr>
          <w:lang w:val="bs-Latn-BA"/>
        </w:rPr>
        <w:t xml:space="preserve"> </w:t>
      </w:r>
      <w:r>
        <w:rPr>
          <w:lang w:val="bs-Latn-BA"/>
        </w:rPr>
        <w:t>научно</w:t>
      </w:r>
      <w:r w:rsidR="0042679D" w:rsidRPr="00295637">
        <w:rPr>
          <w:lang w:val="bs-Latn-BA"/>
        </w:rPr>
        <w:t>-</w:t>
      </w:r>
      <w:r>
        <w:rPr>
          <w:lang w:val="bs-Latn-BA"/>
        </w:rPr>
        <w:t>истраживачким</w:t>
      </w:r>
      <w:r w:rsidR="0042679D" w:rsidRPr="00295637">
        <w:rPr>
          <w:lang w:val="bs-Latn-BA"/>
        </w:rPr>
        <w:t xml:space="preserve"> </w:t>
      </w:r>
      <w:r>
        <w:rPr>
          <w:lang w:val="bs-Latn-BA"/>
        </w:rPr>
        <w:t>пројектима</w:t>
      </w:r>
      <w:r w:rsidR="0042679D" w:rsidRPr="00295637">
        <w:rPr>
          <w:lang w:val="bs-Latn-BA"/>
        </w:rPr>
        <w:t xml:space="preserve"> </w:t>
      </w:r>
      <w:r>
        <w:rPr>
          <w:lang w:val="bs-Latn-BA"/>
        </w:rPr>
        <w:t>у</w:t>
      </w:r>
      <w:r w:rsidR="0042679D" w:rsidRPr="00295637">
        <w:rPr>
          <w:lang w:val="bs-Latn-BA"/>
        </w:rPr>
        <w:t xml:space="preserve"> </w:t>
      </w:r>
      <w:r>
        <w:rPr>
          <w:lang w:val="bs-Latn-BA"/>
        </w:rPr>
        <w:t>ФБиХ</w:t>
      </w:r>
      <w:r w:rsidR="0042679D" w:rsidRPr="00295637">
        <w:rPr>
          <w:lang w:val="bs-Latn-BA"/>
        </w:rPr>
        <w:t xml:space="preserve">. </w:t>
      </w:r>
      <w:r>
        <w:rPr>
          <w:lang w:val="bs-Latn-BA"/>
        </w:rPr>
        <w:t>У</w:t>
      </w:r>
      <w:r w:rsidR="0042679D" w:rsidRPr="00295637">
        <w:rPr>
          <w:lang w:val="bs-Latn-BA"/>
        </w:rPr>
        <w:t xml:space="preserve"> 2024. </w:t>
      </w:r>
      <w:r>
        <w:rPr>
          <w:lang w:val="bs-Latn-BA"/>
        </w:rPr>
        <w:t>години</w:t>
      </w:r>
      <w:r w:rsidR="0042679D" w:rsidRPr="00295637">
        <w:rPr>
          <w:lang w:val="bs-Latn-BA"/>
        </w:rPr>
        <w:t xml:space="preserve">, </w:t>
      </w:r>
      <w:r>
        <w:rPr>
          <w:lang w:val="bs-Latn-BA"/>
        </w:rPr>
        <w:t>свеобухватно</w:t>
      </w:r>
      <w:r w:rsidR="0042679D" w:rsidRPr="00295637">
        <w:rPr>
          <w:lang w:val="bs-Latn-BA"/>
        </w:rPr>
        <w:t xml:space="preserve"> </w:t>
      </w:r>
      <w:r>
        <w:rPr>
          <w:lang w:val="bs-Latn-BA"/>
        </w:rPr>
        <w:t>образовање</w:t>
      </w:r>
      <w:r w:rsidR="0042679D" w:rsidRPr="00295637">
        <w:rPr>
          <w:lang w:val="bs-Latn-BA"/>
        </w:rPr>
        <w:t xml:space="preserve"> </w:t>
      </w:r>
      <w:r>
        <w:rPr>
          <w:lang w:val="bs-Latn-BA"/>
        </w:rPr>
        <w:t>о</w:t>
      </w:r>
      <w:r w:rsidR="0042679D" w:rsidRPr="00295637">
        <w:rPr>
          <w:lang w:val="bs-Latn-BA"/>
        </w:rPr>
        <w:t xml:space="preserve"> </w:t>
      </w:r>
      <w:r>
        <w:rPr>
          <w:lang w:val="bs-Latn-BA"/>
        </w:rPr>
        <w:t>здрављу</w:t>
      </w:r>
      <w:r w:rsidR="0042679D" w:rsidRPr="00295637">
        <w:rPr>
          <w:lang w:val="bs-Latn-BA"/>
        </w:rPr>
        <w:t xml:space="preserve"> </w:t>
      </w:r>
      <w:r>
        <w:rPr>
          <w:lang w:val="bs-Latn-BA"/>
        </w:rPr>
        <w:t>младих</w:t>
      </w:r>
      <w:r w:rsidR="0042679D" w:rsidRPr="00295637">
        <w:rPr>
          <w:lang w:val="bs-Latn-BA"/>
        </w:rPr>
        <w:t xml:space="preserve"> </w:t>
      </w:r>
      <w:r>
        <w:rPr>
          <w:lang w:val="bs-Latn-BA"/>
        </w:rPr>
        <w:t>и</w:t>
      </w:r>
      <w:r w:rsidR="0042679D" w:rsidRPr="00295637">
        <w:rPr>
          <w:lang w:val="bs-Latn-BA"/>
        </w:rPr>
        <w:t xml:space="preserve"> </w:t>
      </w:r>
      <w:r>
        <w:rPr>
          <w:lang w:val="bs-Latn-BA"/>
        </w:rPr>
        <w:t>здравим</w:t>
      </w:r>
      <w:r w:rsidR="0042679D" w:rsidRPr="00295637">
        <w:rPr>
          <w:lang w:val="bs-Latn-BA"/>
        </w:rPr>
        <w:t xml:space="preserve"> </w:t>
      </w:r>
      <w:r>
        <w:rPr>
          <w:lang w:val="bs-Latn-BA"/>
        </w:rPr>
        <w:t>животним</w:t>
      </w:r>
      <w:r w:rsidR="0042679D" w:rsidRPr="00295637">
        <w:rPr>
          <w:lang w:val="bs-Latn-BA"/>
        </w:rPr>
        <w:t xml:space="preserve"> </w:t>
      </w:r>
      <w:r>
        <w:rPr>
          <w:lang w:val="bs-Latn-BA"/>
        </w:rPr>
        <w:t>стиловима</w:t>
      </w:r>
      <w:r w:rsidR="0042679D" w:rsidRPr="00295637">
        <w:rPr>
          <w:lang w:val="bs-Latn-BA"/>
        </w:rPr>
        <w:t xml:space="preserve"> </w:t>
      </w:r>
      <w:r>
        <w:rPr>
          <w:lang w:val="bs-Latn-BA"/>
        </w:rPr>
        <w:t>уведено</w:t>
      </w:r>
      <w:r w:rsidR="0042679D" w:rsidRPr="00295637">
        <w:rPr>
          <w:lang w:val="bs-Latn-BA"/>
        </w:rPr>
        <w:t xml:space="preserve"> </w:t>
      </w:r>
      <w:r>
        <w:rPr>
          <w:lang w:val="bs-Latn-BA"/>
        </w:rPr>
        <w:t>је</w:t>
      </w:r>
      <w:r w:rsidR="0042679D" w:rsidRPr="00295637">
        <w:rPr>
          <w:lang w:val="bs-Latn-BA"/>
        </w:rPr>
        <w:t xml:space="preserve"> </w:t>
      </w:r>
      <w:r>
        <w:rPr>
          <w:lang w:val="bs-Latn-BA"/>
        </w:rPr>
        <w:t>у</w:t>
      </w:r>
      <w:r w:rsidR="0042679D" w:rsidRPr="00295637">
        <w:rPr>
          <w:lang w:val="bs-Latn-BA"/>
        </w:rPr>
        <w:t xml:space="preserve"> </w:t>
      </w:r>
      <w:r>
        <w:rPr>
          <w:lang w:val="bs-Latn-BA"/>
        </w:rPr>
        <w:t>часове</w:t>
      </w:r>
      <w:r w:rsidR="0042679D" w:rsidRPr="00295637">
        <w:rPr>
          <w:lang w:val="bs-Latn-BA"/>
        </w:rPr>
        <w:t xml:space="preserve"> </w:t>
      </w:r>
      <w:r>
        <w:rPr>
          <w:lang w:val="bs-Latn-BA"/>
        </w:rPr>
        <w:t>одјељенске</w:t>
      </w:r>
      <w:r w:rsidR="0042679D" w:rsidRPr="00295637">
        <w:rPr>
          <w:lang w:val="bs-Latn-BA"/>
        </w:rPr>
        <w:t xml:space="preserve"> </w:t>
      </w:r>
      <w:r>
        <w:rPr>
          <w:lang w:val="bs-Latn-BA"/>
        </w:rPr>
        <w:t>заједнице</w:t>
      </w:r>
      <w:r w:rsidR="0042679D" w:rsidRPr="00295637">
        <w:rPr>
          <w:lang w:val="bs-Latn-BA"/>
        </w:rPr>
        <w:t xml:space="preserve"> </w:t>
      </w:r>
      <w:r>
        <w:rPr>
          <w:lang w:val="bs-Latn-BA"/>
        </w:rPr>
        <w:t>у</w:t>
      </w:r>
      <w:r w:rsidR="0042679D" w:rsidRPr="00295637">
        <w:rPr>
          <w:lang w:val="bs-Latn-BA"/>
        </w:rPr>
        <w:t xml:space="preserve"> </w:t>
      </w:r>
      <w:r>
        <w:rPr>
          <w:rStyle w:val="Strong"/>
          <w:b w:val="0"/>
          <w:lang w:val="bs-Latn-BA"/>
        </w:rPr>
        <w:t>пет</w:t>
      </w:r>
      <w:r w:rsidR="0042679D" w:rsidRPr="00295637">
        <w:rPr>
          <w:rStyle w:val="Strong"/>
          <w:b w:val="0"/>
          <w:lang w:val="bs-Latn-BA"/>
        </w:rPr>
        <w:t xml:space="preserve"> </w:t>
      </w:r>
      <w:r>
        <w:rPr>
          <w:rStyle w:val="Strong"/>
          <w:b w:val="0"/>
          <w:lang w:val="bs-Latn-BA"/>
        </w:rPr>
        <w:t>кантона</w:t>
      </w:r>
      <w:r w:rsidR="0042679D" w:rsidRPr="00295637">
        <w:rPr>
          <w:rStyle w:val="Strong"/>
          <w:b w:val="0"/>
          <w:lang w:val="bs-Latn-BA"/>
        </w:rPr>
        <w:t xml:space="preserve"> </w:t>
      </w:r>
      <w:r>
        <w:rPr>
          <w:rStyle w:val="Strong"/>
          <w:b w:val="0"/>
          <w:lang w:val="bs-Latn-BA"/>
        </w:rPr>
        <w:t>у</w:t>
      </w:r>
      <w:r w:rsidR="0042679D" w:rsidRPr="00295637">
        <w:rPr>
          <w:rStyle w:val="Strong"/>
          <w:b w:val="0"/>
          <w:lang w:val="bs-Latn-BA"/>
        </w:rPr>
        <w:t xml:space="preserve"> </w:t>
      </w:r>
      <w:r>
        <w:rPr>
          <w:rStyle w:val="Strong"/>
          <w:b w:val="0"/>
          <w:lang w:val="bs-Latn-BA"/>
        </w:rPr>
        <w:t>ФБиХ</w:t>
      </w:r>
      <w:r w:rsidR="0042679D" w:rsidRPr="00295637">
        <w:rPr>
          <w:lang w:val="bs-Latn-BA"/>
        </w:rPr>
        <w:t>.</w:t>
      </w:r>
    </w:p>
    <w:p w:rsidR="0042679D" w:rsidRPr="00295637" w:rsidRDefault="0042679D" w:rsidP="0086268D">
      <w:pPr>
        <w:pStyle w:val="NormalWeb"/>
        <w:spacing w:before="0" w:beforeAutospacing="0" w:after="0" w:afterAutospacing="0"/>
        <w:jc w:val="both"/>
        <w:rPr>
          <w:lang w:val="bs-Latn-BA"/>
        </w:rPr>
      </w:pPr>
    </w:p>
    <w:p w:rsidR="0042679D" w:rsidRPr="00295637" w:rsidRDefault="00C6214E" w:rsidP="0086268D">
      <w:pPr>
        <w:pStyle w:val="NormalWeb"/>
        <w:numPr>
          <w:ilvl w:val="0"/>
          <w:numId w:val="25"/>
        </w:numPr>
        <w:spacing w:before="0" w:beforeAutospacing="0" w:after="0" w:afterAutospacing="0"/>
        <w:jc w:val="both"/>
        <w:rPr>
          <w:lang w:val="bs-Latn-BA"/>
        </w:rPr>
      </w:pPr>
      <w:r w:rsidRPr="002924B3">
        <w:rPr>
          <w:lang w:val="bs-Latn-BA"/>
        </w:rPr>
        <w:t>У</w:t>
      </w:r>
      <w:r w:rsidR="00563217" w:rsidRPr="002924B3">
        <w:rPr>
          <w:lang w:val="bs-Latn-BA"/>
        </w:rPr>
        <w:t xml:space="preserve"> 2024 </w:t>
      </w:r>
      <w:r w:rsidRPr="002924B3">
        <w:rPr>
          <w:lang w:val="bs-Latn-BA"/>
        </w:rPr>
        <w:t>години</w:t>
      </w:r>
      <w:r w:rsidR="0042679D" w:rsidRPr="002924B3">
        <w:rPr>
          <w:lang w:val="bs-Latn-BA"/>
        </w:rPr>
        <w:t xml:space="preserve"> </w:t>
      </w:r>
      <w:r w:rsidRPr="002924B3">
        <w:rPr>
          <w:lang w:val="bs-Latn-BA"/>
        </w:rPr>
        <w:t>ФМОИН</w:t>
      </w:r>
      <w:r w:rsidR="0042679D" w:rsidRPr="002924B3">
        <w:rPr>
          <w:lang w:val="bs-Latn-BA"/>
        </w:rPr>
        <w:t xml:space="preserve"> </w:t>
      </w:r>
      <w:r w:rsidRPr="002924B3">
        <w:rPr>
          <w:lang w:val="bs-Latn-BA"/>
        </w:rPr>
        <w:t>финансирало</w:t>
      </w:r>
      <w:r w:rsidR="0042679D" w:rsidRPr="00295637">
        <w:rPr>
          <w:lang w:val="bs-Latn-BA"/>
        </w:rPr>
        <w:t xml:space="preserve"> </w:t>
      </w:r>
      <w:r>
        <w:rPr>
          <w:lang w:val="bs-Latn-BA"/>
        </w:rPr>
        <w:t>је</w:t>
      </w:r>
      <w:r w:rsidR="0042679D" w:rsidRPr="00295637">
        <w:rPr>
          <w:lang w:val="bs-Latn-BA"/>
        </w:rPr>
        <w:t xml:space="preserve">: </w:t>
      </w:r>
      <w:r w:rsidR="0042679D" w:rsidRPr="00295637">
        <w:rPr>
          <w:rStyle w:val="Strong"/>
          <w:b w:val="0"/>
          <w:lang w:val="bs-Latn-BA"/>
        </w:rPr>
        <w:t xml:space="preserve">66 </w:t>
      </w:r>
      <w:r>
        <w:rPr>
          <w:rStyle w:val="Strong"/>
          <w:b w:val="0"/>
          <w:lang w:val="bs-Latn-BA"/>
        </w:rPr>
        <w:t>научно</w:t>
      </w:r>
      <w:r w:rsidR="0042679D" w:rsidRPr="00295637">
        <w:rPr>
          <w:rStyle w:val="Strong"/>
          <w:b w:val="0"/>
          <w:lang w:val="bs-Latn-BA"/>
        </w:rPr>
        <w:t>-</w:t>
      </w:r>
      <w:r>
        <w:rPr>
          <w:rStyle w:val="Strong"/>
          <w:b w:val="0"/>
          <w:lang w:val="bs-Latn-BA"/>
        </w:rPr>
        <w:t>истраживачких</w:t>
      </w:r>
      <w:r w:rsidR="0042679D" w:rsidRPr="00295637">
        <w:rPr>
          <w:rStyle w:val="Strong"/>
          <w:b w:val="0"/>
          <w:lang w:val="bs-Latn-BA"/>
        </w:rPr>
        <w:t xml:space="preserve"> </w:t>
      </w:r>
      <w:r>
        <w:rPr>
          <w:rStyle w:val="Strong"/>
          <w:b w:val="0"/>
          <w:lang w:val="bs-Latn-BA"/>
        </w:rPr>
        <w:t>и</w:t>
      </w:r>
      <w:r w:rsidR="0042679D" w:rsidRPr="00295637">
        <w:rPr>
          <w:rStyle w:val="Strong"/>
          <w:b w:val="0"/>
          <w:lang w:val="bs-Latn-BA"/>
        </w:rPr>
        <w:t xml:space="preserve"> </w:t>
      </w:r>
      <w:r>
        <w:rPr>
          <w:rStyle w:val="Strong"/>
          <w:b w:val="0"/>
          <w:lang w:val="bs-Latn-BA"/>
        </w:rPr>
        <w:t>истраживачко</w:t>
      </w:r>
      <w:r w:rsidR="0042679D" w:rsidRPr="00295637">
        <w:rPr>
          <w:rStyle w:val="Strong"/>
          <w:b w:val="0"/>
          <w:lang w:val="bs-Latn-BA"/>
        </w:rPr>
        <w:t>-</w:t>
      </w:r>
      <w:r>
        <w:rPr>
          <w:rStyle w:val="Strong"/>
          <w:b w:val="0"/>
          <w:lang w:val="bs-Latn-BA"/>
        </w:rPr>
        <w:t>развојних</w:t>
      </w:r>
      <w:r w:rsidR="0042679D" w:rsidRPr="00295637">
        <w:rPr>
          <w:rStyle w:val="Strong"/>
          <w:b w:val="0"/>
          <w:lang w:val="bs-Latn-BA"/>
        </w:rPr>
        <w:t xml:space="preserve"> </w:t>
      </w:r>
      <w:r>
        <w:rPr>
          <w:rStyle w:val="Strong"/>
          <w:b w:val="0"/>
          <w:lang w:val="bs-Latn-BA"/>
        </w:rPr>
        <w:t>пројеката</w:t>
      </w:r>
      <w:r w:rsidR="0042679D" w:rsidRPr="00295637">
        <w:rPr>
          <w:lang w:val="bs-Latn-BA"/>
        </w:rPr>
        <w:t xml:space="preserve">, </w:t>
      </w:r>
      <w:r>
        <w:rPr>
          <w:lang w:val="bs-Latn-BA"/>
        </w:rPr>
        <w:t>од</w:t>
      </w:r>
      <w:r w:rsidR="0042679D" w:rsidRPr="00295637">
        <w:rPr>
          <w:lang w:val="bs-Latn-BA"/>
        </w:rPr>
        <w:t xml:space="preserve"> </w:t>
      </w:r>
      <w:r>
        <w:rPr>
          <w:lang w:val="bs-Latn-BA"/>
        </w:rPr>
        <w:t>чега</w:t>
      </w:r>
      <w:r w:rsidR="0042679D" w:rsidRPr="00295637">
        <w:rPr>
          <w:lang w:val="bs-Latn-BA"/>
        </w:rPr>
        <w:t xml:space="preserve"> </w:t>
      </w:r>
      <w:r>
        <w:rPr>
          <w:lang w:val="bs-Latn-BA"/>
        </w:rPr>
        <w:t>је</w:t>
      </w:r>
      <w:r w:rsidR="0042679D" w:rsidRPr="00295637">
        <w:rPr>
          <w:lang w:val="bs-Latn-BA"/>
        </w:rPr>
        <w:t xml:space="preserve"> </w:t>
      </w:r>
      <w:r w:rsidR="0042679D" w:rsidRPr="00295637">
        <w:rPr>
          <w:rStyle w:val="Strong"/>
          <w:b w:val="0"/>
          <w:lang w:val="bs-Latn-BA"/>
        </w:rPr>
        <w:t xml:space="preserve">36 </w:t>
      </w:r>
      <w:r>
        <w:rPr>
          <w:rStyle w:val="Strong"/>
          <w:b w:val="0"/>
          <w:lang w:val="bs-Latn-BA"/>
        </w:rPr>
        <w:t>пројеката</w:t>
      </w:r>
      <w:r w:rsidR="0042679D" w:rsidRPr="00295637">
        <w:rPr>
          <w:lang w:val="bs-Latn-BA"/>
        </w:rPr>
        <w:t xml:space="preserve"> </w:t>
      </w:r>
      <w:r>
        <w:rPr>
          <w:lang w:val="bs-Latn-BA"/>
        </w:rPr>
        <w:t>вођено</w:t>
      </w:r>
      <w:r w:rsidR="0042679D" w:rsidRPr="00295637">
        <w:rPr>
          <w:lang w:val="bs-Latn-BA"/>
        </w:rPr>
        <w:t xml:space="preserve"> </w:t>
      </w:r>
      <w:r>
        <w:rPr>
          <w:lang w:val="bs-Latn-BA"/>
        </w:rPr>
        <w:t>од</w:t>
      </w:r>
      <w:r w:rsidR="0042679D" w:rsidRPr="00295637">
        <w:rPr>
          <w:lang w:val="bs-Latn-BA"/>
        </w:rPr>
        <w:t xml:space="preserve"> </w:t>
      </w:r>
      <w:r>
        <w:rPr>
          <w:lang w:val="bs-Latn-BA"/>
        </w:rPr>
        <w:t>стране</w:t>
      </w:r>
      <w:r w:rsidR="0042679D" w:rsidRPr="00295637">
        <w:rPr>
          <w:lang w:val="bs-Latn-BA"/>
        </w:rPr>
        <w:t xml:space="preserve"> </w:t>
      </w:r>
      <w:r>
        <w:rPr>
          <w:lang w:val="bs-Latn-BA"/>
        </w:rPr>
        <w:t>жена</w:t>
      </w:r>
      <w:r w:rsidR="0042679D" w:rsidRPr="00295637">
        <w:rPr>
          <w:lang w:val="bs-Latn-BA"/>
        </w:rPr>
        <w:t xml:space="preserve"> (</w:t>
      </w:r>
      <w:r w:rsidR="0042679D" w:rsidRPr="00295637">
        <w:rPr>
          <w:rStyle w:val="Strong"/>
          <w:b w:val="0"/>
          <w:lang w:val="bs-Latn-BA"/>
        </w:rPr>
        <w:t>54,55%</w:t>
      </w:r>
      <w:r w:rsidR="0042679D" w:rsidRPr="00295637">
        <w:rPr>
          <w:lang w:val="bs-Latn-BA"/>
        </w:rPr>
        <w:t>);</w:t>
      </w:r>
      <w:r w:rsidR="0042679D" w:rsidRPr="00295637">
        <w:rPr>
          <w:b/>
          <w:lang w:val="bs-Latn-BA"/>
        </w:rPr>
        <w:t xml:space="preserve"> </w:t>
      </w:r>
      <w:r w:rsidR="0042679D" w:rsidRPr="00295637">
        <w:rPr>
          <w:rStyle w:val="Strong"/>
          <w:b w:val="0"/>
          <w:lang w:val="bs-Latn-BA"/>
        </w:rPr>
        <w:t xml:space="preserve">29 </w:t>
      </w:r>
      <w:r>
        <w:rPr>
          <w:rStyle w:val="Strong"/>
          <w:b w:val="0"/>
          <w:lang w:val="bs-Latn-BA"/>
        </w:rPr>
        <w:t>билатералних</w:t>
      </w:r>
      <w:r w:rsidR="0042679D" w:rsidRPr="00295637">
        <w:rPr>
          <w:rStyle w:val="Strong"/>
          <w:b w:val="0"/>
          <w:lang w:val="bs-Latn-BA"/>
        </w:rPr>
        <w:t xml:space="preserve"> </w:t>
      </w:r>
      <w:r>
        <w:rPr>
          <w:rStyle w:val="Strong"/>
          <w:b w:val="0"/>
          <w:lang w:val="bs-Latn-BA"/>
        </w:rPr>
        <w:t>научно</w:t>
      </w:r>
      <w:r w:rsidR="0042679D" w:rsidRPr="00295637">
        <w:rPr>
          <w:rStyle w:val="Strong"/>
          <w:b w:val="0"/>
          <w:lang w:val="bs-Latn-BA"/>
        </w:rPr>
        <w:t>-</w:t>
      </w:r>
      <w:r>
        <w:rPr>
          <w:rStyle w:val="Strong"/>
          <w:b w:val="0"/>
          <w:lang w:val="bs-Latn-BA"/>
        </w:rPr>
        <w:t>истраживачких</w:t>
      </w:r>
      <w:r w:rsidR="0042679D" w:rsidRPr="00295637">
        <w:rPr>
          <w:rStyle w:val="Strong"/>
          <w:b w:val="0"/>
          <w:lang w:val="bs-Latn-BA"/>
        </w:rPr>
        <w:t xml:space="preserve"> </w:t>
      </w:r>
      <w:r>
        <w:rPr>
          <w:rStyle w:val="Strong"/>
          <w:b w:val="0"/>
          <w:lang w:val="bs-Latn-BA"/>
        </w:rPr>
        <w:t>пројеката</w:t>
      </w:r>
      <w:r w:rsidR="0042679D" w:rsidRPr="00295637">
        <w:rPr>
          <w:lang w:val="bs-Latn-BA"/>
        </w:rPr>
        <w:t xml:space="preserve">, </w:t>
      </w:r>
      <w:r>
        <w:rPr>
          <w:lang w:val="bs-Latn-BA"/>
        </w:rPr>
        <w:t>од</w:t>
      </w:r>
      <w:r w:rsidR="0042679D" w:rsidRPr="00295637">
        <w:rPr>
          <w:lang w:val="bs-Latn-BA"/>
        </w:rPr>
        <w:t xml:space="preserve"> </w:t>
      </w:r>
      <w:r>
        <w:rPr>
          <w:lang w:val="bs-Latn-BA"/>
        </w:rPr>
        <w:t>чега</w:t>
      </w:r>
      <w:r w:rsidR="0042679D" w:rsidRPr="00295637">
        <w:rPr>
          <w:lang w:val="bs-Latn-BA"/>
        </w:rPr>
        <w:t xml:space="preserve"> </w:t>
      </w:r>
      <w:r>
        <w:rPr>
          <w:lang w:val="bs-Latn-BA"/>
        </w:rPr>
        <w:t>је</w:t>
      </w:r>
      <w:r w:rsidR="0042679D" w:rsidRPr="00295637">
        <w:rPr>
          <w:lang w:val="bs-Latn-BA"/>
        </w:rPr>
        <w:t xml:space="preserve"> </w:t>
      </w:r>
      <w:r w:rsidR="0042679D" w:rsidRPr="00295637">
        <w:rPr>
          <w:rStyle w:val="Strong"/>
          <w:b w:val="0"/>
          <w:lang w:val="bs-Latn-BA"/>
        </w:rPr>
        <w:t xml:space="preserve">17 </w:t>
      </w:r>
      <w:r>
        <w:rPr>
          <w:rStyle w:val="Strong"/>
          <w:b w:val="0"/>
          <w:lang w:val="bs-Latn-BA"/>
        </w:rPr>
        <w:t>пројеката</w:t>
      </w:r>
      <w:r w:rsidR="0042679D" w:rsidRPr="00295637">
        <w:rPr>
          <w:lang w:val="bs-Latn-BA"/>
        </w:rPr>
        <w:t xml:space="preserve"> </w:t>
      </w:r>
      <w:r>
        <w:rPr>
          <w:lang w:val="bs-Latn-BA"/>
        </w:rPr>
        <w:t>вођено</w:t>
      </w:r>
      <w:r w:rsidR="0042679D" w:rsidRPr="00295637">
        <w:rPr>
          <w:lang w:val="bs-Latn-BA"/>
        </w:rPr>
        <w:t xml:space="preserve"> </w:t>
      </w:r>
      <w:r>
        <w:rPr>
          <w:lang w:val="bs-Latn-BA"/>
        </w:rPr>
        <w:t>од</w:t>
      </w:r>
      <w:r w:rsidR="0042679D" w:rsidRPr="00295637">
        <w:rPr>
          <w:lang w:val="bs-Latn-BA"/>
        </w:rPr>
        <w:t xml:space="preserve"> </w:t>
      </w:r>
      <w:r>
        <w:rPr>
          <w:lang w:val="bs-Latn-BA"/>
        </w:rPr>
        <w:t>стране</w:t>
      </w:r>
      <w:r w:rsidR="0042679D" w:rsidRPr="00295637">
        <w:rPr>
          <w:lang w:val="bs-Latn-BA"/>
        </w:rPr>
        <w:t xml:space="preserve"> </w:t>
      </w:r>
      <w:r>
        <w:rPr>
          <w:lang w:val="bs-Latn-BA"/>
        </w:rPr>
        <w:t>жена</w:t>
      </w:r>
      <w:r w:rsidR="0042679D" w:rsidRPr="00295637">
        <w:rPr>
          <w:lang w:val="bs-Latn-BA"/>
        </w:rPr>
        <w:t xml:space="preserve"> (</w:t>
      </w:r>
      <w:r w:rsidR="0042679D" w:rsidRPr="00295637">
        <w:rPr>
          <w:rStyle w:val="Strong"/>
          <w:b w:val="0"/>
          <w:lang w:val="bs-Latn-BA"/>
        </w:rPr>
        <w:t>59%</w:t>
      </w:r>
      <w:r w:rsidR="0042679D" w:rsidRPr="00295637">
        <w:rPr>
          <w:lang w:val="bs-Latn-BA"/>
        </w:rPr>
        <w:t xml:space="preserve">), </w:t>
      </w:r>
      <w:r>
        <w:rPr>
          <w:lang w:val="bs-Latn-BA"/>
        </w:rPr>
        <w:t>те</w:t>
      </w:r>
      <w:r w:rsidR="0042679D" w:rsidRPr="00295637">
        <w:rPr>
          <w:lang w:val="bs-Latn-BA"/>
        </w:rPr>
        <w:t xml:space="preserve"> </w:t>
      </w:r>
      <w:r w:rsidR="0042679D" w:rsidRPr="00295637">
        <w:rPr>
          <w:rStyle w:val="Strong"/>
          <w:b w:val="0"/>
          <w:lang w:val="bs-Latn-BA"/>
        </w:rPr>
        <w:t xml:space="preserve">111 </w:t>
      </w:r>
      <w:r>
        <w:rPr>
          <w:rStyle w:val="Strong"/>
          <w:b w:val="0"/>
          <w:lang w:val="bs-Latn-BA"/>
        </w:rPr>
        <w:t>истраживачких</w:t>
      </w:r>
      <w:r w:rsidR="0042679D" w:rsidRPr="00295637">
        <w:rPr>
          <w:rStyle w:val="Strong"/>
          <w:b w:val="0"/>
          <w:lang w:val="bs-Latn-BA"/>
        </w:rPr>
        <w:t xml:space="preserve"> </w:t>
      </w:r>
      <w:r>
        <w:rPr>
          <w:rStyle w:val="Strong"/>
          <w:b w:val="0"/>
          <w:lang w:val="bs-Latn-BA"/>
        </w:rPr>
        <w:t>пројеката</w:t>
      </w:r>
      <w:r w:rsidR="0042679D" w:rsidRPr="00295637">
        <w:rPr>
          <w:lang w:val="bs-Latn-BA"/>
        </w:rPr>
        <w:t xml:space="preserve">, </w:t>
      </w:r>
      <w:r>
        <w:rPr>
          <w:lang w:val="bs-Latn-BA"/>
        </w:rPr>
        <w:t>од</w:t>
      </w:r>
      <w:r w:rsidR="0042679D" w:rsidRPr="00295637">
        <w:rPr>
          <w:lang w:val="bs-Latn-BA"/>
        </w:rPr>
        <w:t xml:space="preserve"> </w:t>
      </w:r>
      <w:r>
        <w:rPr>
          <w:lang w:val="bs-Latn-BA"/>
        </w:rPr>
        <w:t>чега</w:t>
      </w:r>
      <w:r w:rsidR="0042679D" w:rsidRPr="00295637">
        <w:rPr>
          <w:lang w:val="bs-Latn-BA"/>
        </w:rPr>
        <w:t xml:space="preserve"> </w:t>
      </w:r>
      <w:r>
        <w:rPr>
          <w:lang w:val="bs-Latn-BA"/>
        </w:rPr>
        <w:t>је</w:t>
      </w:r>
      <w:r w:rsidR="0042679D" w:rsidRPr="00295637">
        <w:rPr>
          <w:lang w:val="bs-Latn-BA"/>
        </w:rPr>
        <w:t xml:space="preserve"> </w:t>
      </w:r>
      <w:r w:rsidR="0042679D" w:rsidRPr="00295637">
        <w:rPr>
          <w:rStyle w:val="Strong"/>
          <w:b w:val="0"/>
          <w:lang w:val="bs-Latn-BA"/>
        </w:rPr>
        <w:t xml:space="preserve">43 </w:t>
      </w:r>
      <w:r>
        <w:rPr>
          <w:rStyle w:val="Strong"/>
          <w:b w:val="0"/>
          <w:lang w:val="bs-Latn-BA"/>
        </w:rPr>
        <w:t>пројекта</w:t>
      </w:r>
      <w:r w:rsidR="0042679D" w:rsidRPr="00295637">
        <w:rPr>
          <w:lang w:val="bs-Latn-BA"/>
        </w:rPr>
        <w:t xml:space="preserve"> </w:t>
      </w:r>
      <w:r>
        <w:rPr>
          <w:lang w:val="bs-Latn-BA"/>
        </w:rPr>
        <w:t>вођено</w:t>
      </w:r>
      <w:r w:rsidR="0042679D" w:rsidRPr="00295637">
        <w:rPr>
          <w:lang w:val="bs-Latn-BA"/>
        </w:rPr>
        <w:t xml:space="preserve"> </w:t>
      </w:r>
      <w:r>
        <w:rPr>
          <w:lang w:val="bs-Latn-BA"/>
        </w:rPr>
        <w:t>од</w:t>
      </w:r>
      <w:r w:rsidR="0042679D" w:rsidRPr="00295637">
        <w:rPr>
          <w:lang w:val="bs-Latn-BA"/>
        </w:rPr>
        <w:t xml:space="preserve"> </w:t>
      </w:r>
      <w:r>
        <w:rPr>
          <w:lang w:val="bs-Latn-BA"/>
        </w:rPr>
        <w:t>стране</w:t>
      </w:r>
      <w:r w:rsidR="0042679D" w:rsidRPr="00295637">
        <w:rPr>
          <w:lang w:val="bs-Latn-BA"/>
        </w:rPr>
        <w:t xml:space="preserve"> </w:t>
      </w:r>
      <w:r>
        <w:rPr>
          <w:lang w:val="bs-Latn-BA"/>
        </w:rPr>
        <w:t>жена</w:t>
      </w:r>
      <w:r w:rsidR="0042679D" w:rsidRPr="00295637">
        <w:rPr>
          <w:lang w:val="bs-Latn-BA"/>
        </w:rPr>
        <w:t xml:space="preserve"> (</w:t>
      </w:r>
      <w:r w:rsidR="0042679D" w:rsidRPr="00295637">
        <w:rPr>
          <w:rStyle w:val="Strong"/>
          <w:b w:val="0"/>
          <w:lang w:val="bs-Latn-BA"/>
        </w:rPr>
        <w:t>38,74%</w:t>
      </w:r>
      <w:r w:rsidR="0042679D" w:rsidRPr="00295637">
        <w:rPr>
          <w:lang w:val="bs-Latn-BA"/>
        </w:rPr>
        <w:t>).</w:t>
      </w:r>
      <w:r w:rsidR="0042679D">
        <w:rPr>
          <w:lang w:val="bs-Latn-BA"/>
        </w:rPr>
        <w:t xml:space="preserve"> </w:t>
      </w:r>
      <w:r>
        <w:rPr>
          <w:lang w:val="bs-Latn-BA"/>
        </w:rPr>
        <w:t>Поред</w:t>
      </w:r>
      <w:r w:rsidR="0042679D">
        <w:rPr>
          <w:lang w:val="bs-Latn-BA"/>
        </w:rPr>
        <w:t xml:space="preserve"> </w:t>
      </w:r>
      <w:r>
        <w:rPr>
          <w:lang w:val="bs-Latn-BA"/>
        </w:rPr>
        <w:t>тога</w:t>
      </w:r>
      <w:r w:rsidR="0042679D">
        <w:rPr>
          <w:lang w:val="bs-Latn-BA"/>
        </w:rPr>
        <w:t xml:space="preserve">, </w:t>
      </w:r>
      <w:r>
        <w:rPr>
          <w:lang w:val="bs-Latn-BA"/>
        </w:rPr>
        <w:t>ФМОИН</w:t>
      </w:r>
      <w:r w:rsidR="007F5458">
        <w:rPr>
          <w:lang w:val="bs-Latn-BA"/>
        </w:rPr>
        <w:t xml:space="preserve"> </w:t>
      </w:r>
      <w:r>
        <w:rPr>
          <w:lang w:val="bs-Latn-BA"/>
        </w:rPr>
        <w:t>је</w:t>
      </w:r>
      <w:r w:rsidR="007F5458">
        <w:rPr>
          <w:lang w:val="bs-Latn-BA"/>
        </w:rPr>
        <w:t xml:space="preserve"> </w:t>
      </w:r>
      <w:r>
        <w:rPr>
          <w:lang w:val="bs-Latn-BA"/>
        </w:rPr>
        <w:t>наставило</w:t>
      </w:r>
      <w:r w:rsidR="007F5458">
        <w:rPr>
          <w:lang w:val="bs-Latn-BA"/>
        </w:rPr>
        <w:t xml:space="preserve"> </w:t>
      </w:r>
      <w:r>
        <w:rPr>
          <w:lang w:val="bs-Latn-BA"/>
        </w:rPr>
        <w:t>са</w:t>
      </w:r>
      <w:r w:rsidR="0042679D" w:rsidRPr="00295637">
        <w:rPr>
          <w:lang w:val="bs-Latn-BA"/>
        </w:rPr>
        <w:t xml:space="preserve"> </w:t>
      </w:r>
      <w:r w:rsidR="002924B3">
        <w:rPr>
          <w:lang w:val="sr-Cyrl-BA"/>
        </w:rPr>
        <w:t>спровођењем</w:t>
      </w:r>
      <w:r w:rsidR="0042679D" w:rsidRPr="00295637">
        <w:rPr>
          <w:lang w:val="bs-Latn-BA"/>
        </w:rPr>
        <w:t xml:space="preserve"> </w:t>
      </w:r>
      <w:r>
        <w:rPr>
          <w:lang w:val="bs-Latn-BA"/>
        </w:rPr>
        <w:t>програма</w:t>
      </w:r>
      <w:r w:rsidR="0042679D" w:rsidRPr="00295637">
        <w:rPr>
          <w:lang w:val="bs-Latn-BA"/>
        </w:rPr>
        <w:t xml:space="preserve"> </w:t>
      </w:r>
      <w:r>
        <w:rPr>
          <w:lang w:val="bs-Latn-BA"/>
        </w:rPr>
        <w:t>подршке</w:t>
      </w:r>
      <w:r w:rsidR="0042679D" w:rsidRPr="00295637">
        <w:rPr>
          <w:lang w:val="bs-Latn-BA"/>
        </w:rPr>
        <w:t xml:space="preserve"> </w:t>
      </w:r>
      <w:r>
        <w:rPr>
          <w:lang w:val="bs-Latn-BA"/>
        </w:rPr>
        <w:t>образовању</w:t>
      </w:r>
      <w:r w:rsidR="0042679D" w:rsidRPr="00295637">
        <w:rPr>
          <w:lang w:val="bs-Latn-BA"/>
        </w:rPr>
        <w:t xml:space="preserve"> </w:t>
      </w:r>
      <w:r>
        <w:rPr>
          <w:lang w:val="bs-Latn-BA"/>
        </w:rPr>
        <w:t>рањивих</w:t>
      </w:r>
      <w:r w:rsidR="0042679D" w:rsidRPr="00295637">
        <w:rPr>
          <w:lang w:val="bs-Latn-BA"/>
        </w:rPr>
        <w:t xml:space="preserve"> </w:t>
      </w:r>
      <w:r>
        <w:rPr>
          <w:lang w:val="bs-Latn-BA"/>
        </w:rPr>
        <w:t>група</w:t>
      </w:r>
      <w:r w:rsidR="0042679D" w:rsidRPr="00295637">
        <w:rPr>
          <w:lang w:val="bs-Latn-BA"/>
        </w:rPr>
        <w:t xml:space="preserve">, </w:t>
      </w:r>
      <w:r>
        <w:rPr>
          <w:lang w:val="bs-Latn-BA"/>
        </w:rPr>
        <w:t>укључујући</w:t>
      </w:r>
      <w:r w:rsidR="0042679D" w:rsidRPr="00295637">
        <w:rPr>
          <w:lang w:val="bs-Latn-BA"/>
        </w:rPr>
        <w:t xml:space="preserve">: </w:t>
      </w:r>
      <w:r w:rsidR="0042679D" w:rsidRPr="00295637">
        <w:rPr>
          <w:rStyle w:val="Strong"/>
          <w:b w:val="0"/>
          <w:lang w:val="bs-Latn-BA"/>
        </w:rPr>
        <w:t xml:space="preserve">112 </w:t>
      </w:r>
      <w:r>
        <w:rPr>
          <w:rStyle w:val="Strong"/>
          <w:b w:val="0"/>
          <w:lang w:val="bs-Latn-BA"/>
        </w:rPr>
        <w:t>ромских</w:t>
      </w:r>
      <w:r w:rsidR="0042679D" w:rsidRPr="00295637">
        <w:rPr>
          <w:rStyle w:val="Strong"/>
          <w:b w:val="0"/>
          <w:lang w:val="bs-Latn-BA"/>
        </w:rPr>
        <w:t xml:space="preserve"> </w:t>
      </w:r>
      <w:r>
        <w:rPr>
          <w:rStyle w:val="Strong"/>
          <w:b w:val="0"/>
          <w:lang w:val="bs-Latn-BA"/>
        </w:rPr>
        <w:t>ученика</w:t>
      </w:r>
      <w:r w:rsidR="0042679D" w:rsidRPr="00295637">
        <w:rPr>
          <w:lang w:val="bs-Latn-BA"/>
        </w:rPr>
        <w:t xml:space="preserve"> </w:t>
      </w:r>
      <w:r>
        <w:rPr>
          <w:lang w:val="bs-Latn-BA"/>
        </w:rPr>
        <w:t>подржаних</w:t>
      </w:r>
      <w:r w:rsidR="0042679D" w:rsidRPr="00295637">
        <w:rPr>
          <w:lang w:val="bs-Latn-BA"/>
        </w:rPr>
        <w:t xml:space="preserve"> </w:t>
      </w:r>
      <w:r>
        <w:rPr>
          <w:lang w:val="bs-Latn-BA"/>
        </w:rPr>
        <w:t>кроз</w:t>
      </w:r>
      <w:r w:rsidR="0042679D" w:rsidRPr="00295637">
        <w:rPr>
          <w:lang w:val="bs-Latn-BA"/>
        </w:rPr>
        <w:t xml:space="preserve"> </w:t>
      </w:r>
      <w:r>
        <w:rPr>
          <w:lang w:val="bs-Latn-BA"/>
        </w:rPr>
        <w:t>програм</w:t>
      </w:r>
      <w:r w:rsidR="0042679D" w:rsidRPr="00295637">
        <w:rPr>
          <w:lang w:val="bs-Latn-BA"/>
        </w:rPr>
        <w:t xml:space="preserve"> </w:t>
      </w:r>
      <w:r>
        <w:rPr>
          <w:lang w:val="bs-Latn-BA"/>
        </w:rPr>
        <w:t>подршке</w:t>
      </w:r>
      <w:r w:rsidR="0042679D" w:rsidRPr="00295637">
        <w:rPr>
          <w:lang w:val="bs-Latn-BA"/>
        </w:rPr>
        <w:t xml:space="preserve"> </w:t>
      </w:r>
      <w:r>
        <w:rPr>
          <w:lang w:val="bs-Latn-BA"/>
        </w:rPr>
        <w:t>школовању</w:t>
      </w:r>
      <w:r w:rsidR="0042679D" w:rsidRPr="00295637">
        <w:rPr>
          <w:lang w:val="bs-Latn-BA"/>
        </w:rPr>
        <w:t xml:space="preserve">, </w:t>
      </w:r>
      <w:r>
        <w:rPr>
          <w:lang w:val="bs-Latn-BA"/>
        </w:rPr>
        <w:t>од</w:t>
      </w:r>
      <w:r w:rsidR="0042679D" w:rsidRPr="00295637">
        <w:rPr>
          <w:lang w:val="bs-Latn-BA"/>
        </w:rPr>
        <w:t xml:space="preserve"> </w:t>
      </w:r>
      <w:r>
        <w:rPr>
          <w:lang w:val="bs-Latn-BA"/>
        </w:rPr>
        <w:t>чега</w:t>
      </w:r>
      <w:r w:rsidR="0042679D" w:rsidRPr="00295637">
        <w:rPr>
          <w:lang w:val="bs-Latn-BA"/>
        </w:rPr>
        <w:t xml:space="preserve"> </w:t>
      </w:r>
      <w:r>
        <w:rPr>
          <w:lang w:val="bs-Latn-BA"/>
        </w:rPr>
        <w:t>су</w:t>
      </w:r>
      <w:r w:rsidR="0042679D" w:rsidRPr="00295637">
        <w:rPr>
          <w:lang w:val="bs-Latn-BA"/>
        </w:rPr>
        <w:t xml:space="preserve"> </w:t>
      </w:r>
      <w:r w:rsidR="0042679D" w:rsidRPr="00295637">
        <w:rPr>
          <w:rStyle w:val="Strong"/>
          <w:b w:val="0"/>
          <w:lang w:val="bs-Latn-BA"/>
        </w:rPr>
        <w:t xml:space="preserve">64 </w:t>
      </w:r>
      <w:r>
        <w:rPr>
          <w:rStyle w:val="Strong"/>
          <w:b w:val="0"/>
          <w:lang w:val="bs-Latn-BA"/>
        </w:rPr>
        <w:t>ученице</w:t>
      </w:r>
      <w:r w:rsidR="0042679D" w:rsidRPr="00295637">
        <w:rPr>
          <w:b/>
          <w:lang w:val="bs-Latn-BA"/>
        </w:rPr>
        <w:t xml:space="preserve"> (</w:t>
      </w:r>
      <w:r w:rsidR="0042679D" w:rsidRPr="00295637">
        <w:rPr>
          <w:rStyle w:val="Strong"/>
          <w:b w:val="0"/>
          <w:lang w:val="bs-Latn-BA"/>
        </w:rPr>
        <w:t>57,14%</w:t>
      </w:r>
      <w:r w:rsidR="0042679D" w:rsidRPr="00295637">
        <w:rPr>
          <w:b/>
          <w:lang w:val="bs-Latn-BA"/>
        </w:rPr>
        <w:t>)</w:t>
      </w:r>
      <w:r w:rsidR="0042679D">
        <w:rPr>
          <w:lang w:val="bs-Latn-BA"/>
        </w:rPr>
        <w:t>.</w:t>
      </w:r>
    </w:p>
    <w:p w:rsidR="0042679D" w:rsidRPr="009A4956" w:rsidRDefault="0042679D" w:rsidP="0086268D">
      <w:pPr>
        <w:rPr>
          <w:lang w:val="bs-Latn-BA"/>
        </w:rPr>
      </w:pPr>
    </w:p>
    <w:p w:rsidR="0042679D" w:rsidRPr="001D29B7" w:rsidRDefault="00C6214E" w:rsidP="0086268D">
      <w:pPr>
        <w:pStyle w:val="ListParagraph"/>
        <w:numPr>
          <w:ilvl w:val="0"/>
          <w:numId w:val="25"/>
        </w:numPr>
        <w:jc w:val="both"/>
        <w:rPr>
          <w:rFonts w:ascii="Times New Roman" w:hAnsi="Times New Roman"/>
          <w:lang w:val="sr-Cyrl-BA"/>
        </w:rPr>
      </w:pPr>
      <w:r>
        <w:rPr>
          <w:rFonts w:ascii="Times New Roman" w:hAnsi="Times New Roman"/>
          <w:lang w:val="sr-Latn-BA"/>
        </w:rPr>
        <w:t>Према</w:t>
      </w:r>
      <w:r w:rsidR="0042679D" w:rsidRPr="00295637">
        <w:rPr>
          <w:rFonts w:ascii="Times New Roman" w:hAnsi="Times New Roman"/>
          <w:lang w:val="sr-Latn-BA"/>
        </w:rPr>
        <w:t xml:space="preserve"> </w:t>
      </w:r>
      <w:r>
        <w:rPr>
          <w:rFonts w:ascii="Times New Roman" w:hAnsi="Times New Roman"/>
          <w:lang w:val="sr-Latn-BA"/>
        </w:rPr>
        <w:t>подацима</w:t>
      </w:r>
      <w:r w:rsidR="0042679D" w:rsidRPr="00295637">
        <w:rPr>
          <w:rFonts w:ascii="Times New Roman" w:hAnsi="Times New Roman"/>
          <w:lang w:val="sr-Latn-BA"/>
        </w:rPr>
        <w:t xml:space="preserve"> </w:t>
      </w:r>
      <w:r>
        <w:rPr>
          <w:rFonts w:ascii="Times New Roman" w:hAnsi="Times New Roman"/>
          <w:lang w:val="sr-Latn-BA"/>
        </w:rPr>
        <w:t>МНТР</w:t>
      </w:r>
      <w:r w:rsidR="0042679D">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2024. </w:t>
      </w:r>
      <w:r>
        <w:rPr>
          <w:rFonts w:ascii="Times New Roman" w:hAnsi="Times New Roman"/>
          <w:lang w:val="sr-Latn-BA"/>
        </w:rPr>
        <w:t>години</w:t>
      </w:r>
      <w:r w:rsidR="0042679D" w:rsidRPr="00295637">
        <w:rPr>
          <w:rFonts w:ascii="Times New Roman" w:hAnsi="Times New Roman"/>
          <w:lang w:val="sr-Latn-BA"/>
        </w:rPr>
        <w:t xml:space="preserve"> </w:t>
      </w:r>
      <w:r>
        <w:rPr>
          <w:rFonts w:ascii="Times New Roman" w:hAnsi="Times New Roman"/>
          <w:lang w:val="sr-Latn-BA"/>
        </w:rPr>
        <w:t>д</w:t>
      </w:r>
      <w:r>
        <w:rPr>
          <w:rFonts w:ascii="Times New Roman" w:hAnsi="Times New Roman"/>
          <w:lang w:val="sr-Cyrl-BA"/>
        </w:rPr>
        <w:t>одијељено</w:t>
      </w:r>
      <w:r w:rsidR="0042679D" w:rsidRPr="00295637">
        <w:rPr>
          <w:rFonts w:ascii="Times New Roman" w:hAnsi="Times New Roman"/>
          <w:lang w:val="sr-Latn-BA"/>
        </w:rPr>
        <w:t xml:space="preserve"> </w:t>
      </w:r>
      <w:r>
        <w:rPr>
          <w:rFonts w:ascii="Times New Roman" w:hAnsi="Times New Roman"/>
          <w:lang w:val="sr-Latn-BA"/>
        </w:rPr>
        <w:t>је</w:t>
      </w:r>
      <w:r w:rsidR="00D61C6C" w:rsidRPr="00295637">
        <w:rPr>
          <w:rFonts w:ascii="Times New Roman" w:hAnsi="Times New Roman"/>
          <w:lang w:val="sr-Latn-BA"/>
        </w:rPr>
        <w:t xml:space="preserve"> </w:t>
      </w:r>
      <w:r>
        <w:rPr>
          <w:rFonts w:ascii="Times New Roman" w:hAnsi="Times New Roman"/>
          <w:lang w:val="sr-Cyrl-BA"/>
        </w:rPr>
        <w:t>укупно</w:t>
      </w:r>
      <w:r w:rsidR="0042679D">
        <w:rPr>
          <w:rFonts w:ascii="Times New Roman" w:hAnsi="Times New Roman"/>
          <w:lang w:val="sr-Cyrl-BA"/>
        </w:rPr>
        <w:t xml:space="preserve"> 1065 </w:t>
      </w:r>
      <w:r>
        <w:rPr>
          <w:rFonts w:ascii="Times New Roman" w:hAnsi="Times New Roman"/>
          <w:lang w:val="sr-Cyrl-BA"/>
        </w:rPr>
        <w:t>стипендија</w:t>
      </w:r>
      <w:r w:rsidR="0042679D">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sr-Cyrl-BA"/>
        </w:rPr>
        <w:t>сва</w:t>
      </w:r>
      <w:r w:rsidR="0042679D" w:rsidRPr="00295637">
        <w:rPr>
          <w:rFonts w:ascii="Times New Roman" w:hAnsi="Times New Roman"/>
          <w:lang w:val="sr-Cyrl-BA"/>
        </w:rPr>
        <w:t xml:space="preserve"> </w:t>
      </w:r>
      <w:r>
        <w:rPr>
          <w:rFonts w:ascii="Times New Roman" w:hAnsi="Times New Roman"/>
          <w:lang w:val="sr-Cyrl-BA"/>
        </w:rPr>
        <w:t>три</w:t>
      </w:r>
      <w:r w:rsidR="0042679D" w:rsidRPr="00295637">
        <w:rPr>
          <w:rFonts w:ascii="Times New Roman" w:hAnsi="Times New Roman"/>
          <w:lang w:val="sr-Cyrl-BA"/>
        </w:rPr>
        <w:t xml:space="preserve"> </w:t>
      </w:r>
      <w:r>
        <w:rPr>
          <w:rFonts w:ascii="Times New Roman" w:hAnsi="Times New Roman"/>
          <w:lang w:val="sr-Cyrl-BA"/>
        </w:rPr>
        <w:t>студијска</w:t>
      </w:r>
      <w:r w:rsidR="0042679D" w:rsidRPr="00295637">
        <w:rPr>
          <w:rFonts w:ascii="Times New Roman" w:hAnsi="Times New Roman"/>
          <w:lang w:val="sr-Cyrl-BA"/>
        </w:rPr>
        <w:t xml:space="preserve"> </w:t>
      </w:r>
      <w:r>
        <w:rPr>
          <w:rFonts w:ascii="Times New Roman" w:hAnsi="Times New Roman"/>
          <w:lang w:val="sr-Cyrl-BA"/>
        </w:rPr>
        <w:t>циклуса</w:t>
      </w:r>
      <w:r w:rsidR="0042679D" w:rsidRPr="00295637">
        <w:rPr>
          <w:rFonts w:ascii="Times New Roman" w:hAnsi="Times New Roman"/>
          <w:lang w:val="sr-Cyrl-BA"/>
        </w:rPr>
        <w:t xml:space="preserve">, </w:t>
      </w:r>
      <w:r>
        <w:rPr>
          <w:rFonts w:ascii="Times New Roman" w:hAnsi="Times New Roman"/>
          <w:lang w:val="sr-Cyrl-BA"/>
        </w:rPr>
        <w:t>од</w:t>
      </w:r>
      <w:r w:rsidR="0042679D" w:rsidRPr="00295637">
        <w:rPr>
          <w:rFonts w:ascii="Times New Roman" w:hAnsi="Times New Roman"/>
          <w:lang w:val="sr-Cyrl-BA"/>
        </w:rPr>
        <w:t xml:space="preserve"> </w:t>
      </w:r>
      <w:r>
        <w:rPr>
          <w:rFonts w:ascii="Times New Roman" w:hAnsi="Times New Roman"/>
          <w:lang w:val="sr-Cyrl-BA"/>
        </w:rPr>
        <w:t>тога</w:t>
      </w:r>
      <w:r w:rsidR="0042679D" w:rsidRPr="00295637">
        <w:rPr>
          <w:rFonts w:ascii="Times New Roman" w:hAnsi="Times New Roman"/>
          <w:lang w:val="sr-Cyrl-BA"/>
        </w:rPr>
        <w:t xml:space="preserve"> 280 </w:t>
      </w:r>
      <w:r>
        <w:rPr>
          <w:rFonts w:ascii="Times New Roman" w:hAnsi="Times New Roman"/>
          <w:lang w:val="sr-Cyrl-BA"/>
        </w:rPr>
        <w:t>стипендија</w:t>
      </w:r>
      <w:r w:rsidR="0042679D" w:rsidRPr="00295637">
        <w:rPr>
          <w:rFonts w:ascii="Times New Roman" w:hAnsi="Times New Roman"/>
          <w:lang w:val="sr-Cyrl-BA"/>
        </w:rPr>
        <w:t xml:space="preserve"> </w:t>
      </w:r>
      <w:r>
        <w:rPr>
          <w:rFonts w:ascii="Times New Roman" w:hAnsi="Times New Roman"/>
          <w:lang w:val="sr-Cyrl-BA"/>
        </w:rPr>
        <w:t>студентима</w:t>
      </w:r>
      <w:r w:rsidR="0042679D" w:rsidRPr="00295637">
        <w:rPr>
          <w:rFonts w:ascii="Times New Roman" w:hAnsi="Times New Roman"/>
          <w:lang w:val="sr-Cyrl-BA"/>
        </w:rPr>
        <w:t xml:space="preserve"> </w:t>
      </w:r>
      <w:r>
        <w:rPr>
          <w:rFonts w:ascii="Times New Roman" w:hAnsi="Times New Roman"/>
          <w:lang w:val="sr-Cyrl-BA"/>
        </w:rPr>
        <w:t>и</w:t>
      </w:r>
      <w:r w:rsidR="0042679D" w:rsidRPr="00295637">
        <w:rPr>
          <w:rFonts w:ascii="Times New Roman" w:hAnsi="Times New Roman"/>
          <w:lang w:val="sr-Cyrl-BA"/>
        </w:rPr>
        <w:t xml:space="preserve"> 785 </w:t>
      </w:r>
      <w:r>
        <w:rPr>
          <w:rFonts w:ascii="Times New Roman" w:hAnsi="Times New Roman"/>
          <w:lang w:val="sr-Cyrl-BA"/>
        </w:rPr>
        <w:t>студент</w:t>
      </w:r>
      <w:r>
        <w:rPr>
          <w:rFonts w:ascii="Times New Roman" w:hAnsi="Times New Roman"/>
          <w:lang w:val="hr-HR"/>
        </w:rPr>
        <w:t>ицама</w:t>
      </w:r>
      <w:r w:rsidR="0042679D" w:rsidRPr="00295637">
        <w:rPr>
          <w:rFonts w:ascii="Times New Roman" w:hAnsi="Times New Roman"/>
          <w:lang w:val="sr-Cyrl-BA"/>
        </w:rPr>
        <w:t>;</w:t>
      </w:r>
      <w:r w:rsidR="0042679D" w:rsidRPr="00295637">
        <w:rPr>
          <w:rFonts w:ascii="Times New Roman" w:hAnsi="Times New Roman"/>
          <w:lang w:val="bs-Latn-BA"/>
        </w:rPr>
        <w:t xml:space="preserve"> </w:t>
      </w:r>
      <w:r>
        <w:rPr>
          <w:rFonts w:ascii="Times New Roman" w:hAnsi="Times New Roman"/>
          <w:lang w:val="sr-Cyrl-BA"/>
        </w:rPr>
        <w:t>из</w:t>
      </w:r>
      <w:r w:rsidR="0042679D" w:rsidRPr="00295637">
        <w:rPr>
          <w:rFonts w:ascii="Times New Roman" w:hAnsi="Times New Roman"/>
          <w:lang w:val="sr-Cyrl-BA"/>
        </w:rPr>
        <w:t xml:space="preserve"> </w:t>
      </w:r>
      <w:r>
        <w:rPr>
          <w:rFonts w:ascii="Times New Roman" w:hAnsi="Times New Roman"/>
          <w:lang w:val="sr-Cyrl-BA"/>
        </w:rPr>
        <w:t>Фонда</w:t>
      </w:r>
      <w:r w:rsidR="0042679D" w:rsidRPr="00295637">
        <w:rPr>
          <w:rFonts w:ascii="Times New Roman" w:hAnsi="Times New Roman"/>
          <w:lang w:val="sr-Cyrl-BA"/>
        </w:rPr>
        <w:t xml:space="preserve"> „</w:t>
      </w:r>
      <w:r>
        <w:rPr>
          <w:rFonts w:ascii="Times New Roman" w:hAnsi="Times New Roman"/>
          <w:lang w:val="sr-Cyrl-BA"/>
        </w:rPr>
        <w:t>Др</w:t>
      </w:r>
      <w:r w:rsidR="0042679D" w:rsidRPr="00295637">
        <w:rPr>
          <w:rFonts w:ascii="Times New Roman" w:hAnsi="Times New Roman"/>
          <w:lang w:val="sr-Cyrl-BA"/>
        </w:rPr>
        <w:t xml:space="preserve"> </w:t>
      </w:r>
      <w:r>
        <w:rPr>
          <w:rFonts w:ascii="Times New Roman" w:hAnsi="Times New Roman"/>
          <w:lang w:val="sr-Cyrl-BA"/>
        </w:rPr>
        <w:t>Милан</w:t>
      </w:r>
      <w:r w:rsidR="0042679D" w:rsidRPr="00295637">
        <w:rPr>
          <w:rFonts w:ascii="Times New Roman" w:hAnsi="Times New Roman"/>
          <w:lang w:val="sr-Cyrl-BA"/>
        </w:rPr>
        <w:t xml:space="preserve"> </w:t>
      </w:r>
      <w:r>
        <w:rPr>
          <w:rFonts w:ascii="Times New Roman" w:hAnsi="Times New Roman"/>
          <w:lang w:val="sr-Cyrl-BA"/>
        </w:rPr>
        <w:t>Јелић</w:t>
      </w:r>
      <w:r w:rsidR="0042679D" w:rsidRPr="00295637">
        <w:rPr>
          <w:rFonts w:ascii="Times New Roman" w:hAnsi="Times New Roman"/>
          <w:lang w:val="sr-Cyrl-BA"/>
        </w:rPr>
        <w:t xml:space="preserve">“ </w:t>
      </w:r>
      <w:r>
        <w:rPr>
          <w:rFonts w:ascii="Times New Roman" w:hAnsi="Times New Roman"/>
          <w:lang w:val="sr-Cyrl-BA"/>
        </w:rPr>
        <w:t>додијељено</w:t>
      </w:r>
      <w:r w:rsidR="0042679D" w:rsidRPr="00295637">
        <w:rPr>
          <w:rFonts w:ascii="Times New Roman" w:hAnsi="Times New Roman"/>
          <w:lang w:val="sr-Cyrl-BA"/>
        </w:rPr>
        <w:t xml:space="preserve"> </w:t>
      </w:r>
      <w:r>
        <w:rPr>
          <w:rFonts w:ascii="Times New Roman" w:hAnsi="Times New Roman"/>
          <w:lang w:val="sr-Cyrl-BA"/>
        </w:rPr>
        <w:t>укупно</w:t>
      </w:r>
      <w:r w:rsidR="0042679D" w:rsidRPr="00295637">
        <w:rPr>
          <w:rFonts w:ascii="Times New Roman" w:hAnsi="Times New Roman"/>
          <w:lang w:val="sr-Cyrl-BA"/>
        </w:rPr>
        <w:t xml:space="preserve"> 144 </w:t>
      </w:r>
      <w:r>
        <w:rPr>
          <w:rFonts w:ascii="Times New Roman" w:hAnsi="Times New Roman"/>
          <w:lang w:val="sr-Cyrl-BA"/>
        </w:rPr>
        <w:t>стипендије</w:t>
      </w:r>
      <w:r w:rsidR="0042679D" w:rsidRPr="00295637">
        <w:rPr>
          <w:rFonts w:ascii="Times New Roman" w:hAnsi="Times New Roman"/>
          <w:lang w:val="sr-Cyrl-BA"/>
        </w:rPr>
        <w:t xml:space="preserve"> </w:t>
      </w:r>
      <w:r>
        <w:rPr>
          <w:rFonts w:ascii="Times New Roman" w:hAnsi="Times New Roman"/>
          <w:lang w:val="sr-Cyrl-BA"/>
        </w:rPr>
        <w:t>сва</w:t>
      </w:r>
      <w:r w:rsidR="0042679D" w:rsidRPr="00295637">
        <w:rPr>
          <w:rFonts w:ascii="Times New Roman" w:hAnsi="Times New Roman"/>
          <w:lang w:val="sr-Cyrl-BA"/>
        </w:rPr>
        <w:t xml:space="preserve"> </w:t>
      </w:r>
      <w:r>
        <w:rPr>
          <w:rFonts w:ascii="Times New Roman" w:hAnsi="Times New Roman"/>
          <w:lang w:val="sr-Cyrl-BA"/>
        </w:rPr>
        <w:t>три</w:t>
      </w:r>
      <w:r w:rsidR="0042679D" w:rsidRPr="00295637">
        <w:rPr>
          <w:rFonts w:ascii="Times New Roman" w:hAnsi="Times New Roman"/>
          <w:lang w:val="sr-Cyrl-BA"/>
        </w:rPr>
        <w:t xml:space="preserve"> </w:t>
      </w:r>
      <w:r>
        <w:rPr>
          <w:rFonts w:ascii="Times New Roman" w:hAnsi="Times New Roman"/>
          <w:lang w:val="sr-Cyrl-BA"/>
        </w:rPr>
        <w:t>циклуса</w:t>
      </w:r>
      <w:r w:rsidR="0042679D" w:rsidRPr="00295637">
        <w:rPr>
          <w:rFonts w:ascii="Times New Roman" w:hAnsi="Times New Roman"/>
          <w:lang w:val="sr-Cyrl-BA"/>
        </w:rPr>
        <w:t xml:space="preserve"> </w:t>
      </w:r>
      <w:r>
        <w:rPr>
          <w:rFonts w:ascii="Times New Roman" w:hAnsi="Times New Roman"/>
          <w:lang w:val="sr-Cyrl-BA"/>
        </w:rPr>
        <w:t>студија</w:t>
      </w:r>
      <w:r w:rsidR="0042679D" w:rsidRPr="00295637">
        <w:rPr>
          <w:rFonts w:ascii="Times New Roman" w:hAnsi="Times New Roman"/>
          <w:lang w:val="sr-Cyrl-BA"/>
        </w:rPr>
        <w:t xml:space="preserve">, </w:t>
      </w:r>
      <w:r>
        <w:rPr>
          <w:rFonts w:ascii="Times New Roman" w:hAnsi="Times New Roman"/>
          <w:lang w:val="sr-Cyrl-BA"/>
        </w:rPr>
        <w:t>од</w:t>
      </w:r>
      <w:r w:rsidR="0042679D" w:rsidRPr="00295637">
        <w:rPr>
          <w:rFonts w:ascii="Times New Roman" w:hAnsi="Times New Roman"/>
          <w:lang w:val="sr-Cyrl-BA"/>
        </w:rPr>
        <w:t xml:space="preserve"> </w:t>
      </w:r>
      <w:r>
        <w:rPr>
          <w:rFonts w:ascii="Times New Roman" w:hAnsi="Times New Roman"/>
          <w:lang w:val="sr-Cyrl-BA"/>
        </w:rPr>
        <w:t>тога</w:t>
      </w:r>
      <w:r w:rsidR="0042679D" w:rsidRPr="00295637">
        <w:rPr>
          <w:rFonts w:ascii="Times New Roman" w:hAnsi="Times New Roman"/>
          <w:lang w:val="sr-Cyrl-BA"/>
        </w:rPr>
        <w:t xml:space="preserve"> 79 </w:t>
      </w:r>
      <w:r>
        <w:rPr>
          <w:rFonts w:ascii="Times New Roman" w:hAnsi="Times New Roman"/>
          <w:lang w:val="sr-Cyrl-BA"/>
        </w:rPr>
        <w:t>студенткињама</w:t>
      </w:r>
      <w:r w:rsidR="0042679D" w:rsidRPr="00295637">
        <w:rPr>
          <w:rFonts w:ascii="Times New Roman" w:hAnsi="Times New Roman"/>
          <w:lang w:val="sr-Cyrl-BA"/>
        </w:rPr>
        <w:t xml:space="preserve"> </w:t>
      </w:r>
      <w:r>
        <w:rPr>
          <w:rFonts w:ascii="Times New Roman" w:hAnsi="Times New Roman"/>
          <w:lang w:val="sr-Cyrl-BA"/>
        </w:rPr>
        <w:t>и</w:t>
      </w:r>
      <w:r w:rsidR="0042679D" w:rsidRPr="00295637">
        <w:rPr>
          <w:rFonts w:ascii="Times New Roman" w:hAnsi="Times New Roman"/>
          <w:lang w:val="sr-Cyrl-BA"/>
        </w:rPr>
        <w:t xml:space="preserve"> 65 </w:t>
      </w:r>
      <w:r>
        <w:rPr>
          <w:rFonts w:ascii="Times New Roman" w:hAnsi="Times New Roman"/>
          <w:lang w:val="sr-Cyrl-BA"/>
        </w:rPr>
        <w:t>студентима</w:t>
      </w:r>
      <w:r w:rsidR="0042679D" w:rsidRPr="00295637">
        <w:rPr>
          <w:rFonts w:ascii="Times New Roman" w:hAnsi="Times New Roman"/>
          <w:lang w:val="sr-Cyrl-BA"/>
        </w:rPr>
        <w:t>;</w:t>
      </w:r>
      <w:r w:rsidR="0042679D" w:rsidRPr="00295637">
        <w:rPr>
          <w:rFonts w:ascii="Times New Roman" w:hAnsi="Times New Roman"/>
          <w:lang w:val="bs-Latn-BA"/>
        </w:rPr>
        <w:t xml:space="preserve"> </w:t>
      </w:r>
      <w:r>
        <w:rPr>
          <w:rFonts w:ascii="Times New Roman" w:hAnsi="Times New Roman"/>
          <w:lang w:val="sr-Latn-BA"/>
        </w:rPr>
        <w:t>о</w:t>
      </w:r>
      <w:r>
        <w:rPr>
          <w:rFonts w:ascii="Times New Roman" w:hAnsi="Times New Roman"/>
          <w:lang w:val="sr-Cyrl-BA"/>
        </w:rPr>
        <w:t>д</w:t>
      </w:r>
      <w:r w:rsidR="007F5458">
        <w:rPr>
          <w:rFonts w:ascii="Times New Roman" w:hAnsi="Times New Roman"/>
          <w:lang w:val="sr-Cyrl-BA"/>
        </w:rPr>
        <w:t xml:space="preserve"> </w:t>
      </w:r>
      <w:r>
        <w:rPr>
          <w:rFonts w:ascii="Times New Roman" w:hAnsi="Times New Roman"/>
          <w:lang w:val="sr-Cyrl-BA"/>
        </w:rPr>
        <w:t>укупно</w:t>
      </w:r>
      <w:r w:rsidR="007F5458">
        <w:rPr>
          <w:rFonts w:ascii="Times New Roman" w:hAnsi="Times New Roman"/>
          <w:lang w:val="sr-Cyrl-BA"/>
        </w:rPr>
        <w:t xml:space="preserve"> </w:t>
      </w:r>
      <w:r>
        <w:rPr>
          <w:rFonts w:ascii="Times New Roman" w:hAnsi="Times New Roman"/>
          <w:lang w:val="sr-Cyrl-BA"/>
        </w:rPr>
        <w:t>додијељених</w:t>
      </w:r>
      <w:r w:rsidR="007F5458">
        <w:rPr>
          <w:rFonts w:ascii="Times New Roman" w:hAnsi="Times New Roman"/>
          <w:lang w:val="sr-Cyrl-BA"/>
        </w:rPr>
        <w:t xml:space="preserve"> 15 </w:t>
      </w:r>
      <w:r>
        <w:rPr>
          <w:rFonts w:ascii="Times New Roman" w:hAnsi="Times New Roman"/>
          <w:lang w:val="sr-Cyrl-BA"/>
        </w:rPr>
        <w:t>по</w:t>
      </w:r>
      <w:r>
        <w:rPr>
          <w:rFonts w:ascii="Times New Roman" w:hAnsi="Times New Roman"/>
          <w:lang w:val="hr-HR"/>
        </w:rPr>
        <w:t>дс</w:t>
      </w:r>
      <w:r>
        <w:rPr>
          <w:rFonts w:ascii="Times New Roman" w:hAnsi="Times New Roman"/>
          <w:lang w:val="sr-Cyrl-BA"/>
        </w:rPr>
        <w:t>тицаја</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sr-Cyrl-BA"/>
        </w:rPr>
        <w:t>доктора</w:t>
      </w:r>
      <w:r>
        <w:rPr>
          <w:rFonts w:ascii="Times New Roman" w:hAnsi="Times New Roman"/>
          <w:lang w:val="sr-Latn-BA"/>
        </w:rPr>
        <w:t>нт</w:t>
      </w:r>
      <w:r>
        <w:rPr>
          <w:rFonts w:ascii="Times New Roman" w:hAnsi="Times New Roman"/>
          <w:lang w:val="sr-Cyrl-BA"/>
        </w:rPr>
        <w:t>е</w:t>
      </w:r>
      <w:r w:rsidR="0042679D" w:rsidRPr="00295637">
        <w:rPr>
          <w:rFonts w:ascii="Times New Roman" w:hAnsi="Times New Roman"/>
          <w:lang w:val="sr-Latn-BA"/>
        </w:rPr>
        <w:t>,</w:t>
      </w:r>
      <w:r w:rsidR="00563217">
        <w:rPr>
          <w:rFonts w:ascii="Times New Roman" w:hAnsi="Times New Roman"/>
          <w:lang w:val="sr-Cyrl-BA"/>
        </w:rPr>
        <w:t xml:space="preserve"> </w:t>
      </w:r>
      <w:r>
        <w:rPr>
          <w:rFonts w:ascii="Times New Roman" w:hAnsi="Times New Roman"/>
          <w:lang w:val="sr-Cyrl-BA"/>
        </w:rPr>
        <w:t>седам</w:t>
      </w:r>
      <w:r w:rsidR="0042679D" w:rsidRPr="00295637">
        <w:rPr>
          <w:rFonts w:ascii="Times New Roman" w:hAnsi="Times New Roman"/>
          <w:lang w:val="sr-Cyrl-BA"/>
        </w:rPr>
        <w:t xml:space="preserve"> </w:t>
      </w:r>
      <w:r>
        <w:rPr>
          <w:rFonts w:ascii="Times New Roman" w:hAnsi="Times New Roman"/>
          <w:lang w:val="sr-Cyrl-BA"/>
        </w:rPr>
        <w:t>су</w:t>
      </w:r>
      <w:r w:rsidR="0042679D" w:rsidRPr="00295637">
        <w:rPr>
          <w:rFonts w:ascii="Times New Roman" w:hAnsi="Times New Roman"/>
          <w:lang w:val="sr-Cyrl-BA"/>
        </w:rPr>
        <w:t xml:space="preserve"> </w:t>
      </w:r>
      <w:r>
        <w:rPr>
          <w:rFonts w:ascii="Times New Roman" w:hAnsi="Times New Roman"/>
          <w:lang w:val="sr-Cyrl-BA"/>
        </w:rPr>
        <w:t>добиле</w:t>
      </w:r>
      <w:r w:rsidR="0042679D" w:rsidRPr="00295637">
        <w:rPr>
          <w:rFonts w:ascii="Times New Roman" w:hAnsi="Times New Roman"/>
          <w:lang w:val="sr-Cyrl-BA"/>
        </w:rPr>
        <w:t xml:space="preserve"> </w:t>
      </w:r>
      <w:r>
        <w:rPr>
          <w:rFonts w:ascii="Times New Roman" w:hAnsi="Times New Roman"/>
          <w:lang w:val="sr-Cyrl-BA"/>
        </w:rPr>
        <w:t>жене</w:t>
      </w:r>
      <w:r w:rsidR="00563217">
        <w:rPr>
          <w:rFonts w:ascii="Times New Roman" w:hAnsi="Times New Roman"/>
          <w:lang w:val="bs-Latn-BA"/>
        </w:rPr>
        <w:t>,</w:t>
      </w:r>
      <w:r w:rsidR="00D30E48">
        <w:rPr>
          <w:rFonts w:ascii="Times New Roman" w:hAnsi="Times New Roman"/>
          <w:lang w:val="sr-Cyrl-BA"/>
        </w:rPr>
        <w:t xml:space="preserve"> </w:t>
      </w:r>
      <w:r>
        <w:rPr>
          <w:rFonts w:ascii="Times New Roman" w:hAnsi="Times New Roman"/>
          <w:lang w:val="sr-Cyrl-BA"/>
        </w:rPr>
        <w:t>што</w:t>
      </w:r>
      <w:r w:rsidR="00D30E48">
        <w:rPr>
          <w:rFonts w:ascii="Times New Roman" w:hAnsi="Times New Roman"/>
          <w:lang w:val="sr-Cyrl-BA"/>
        </w:rPr>
        <w:t xml:space="preserve"> </w:t>
      </w:r>
      <w:r>
        <w:rPr>
          <w:rFonts w:ascii="Times New Roman" w:hAnsi="Times New Roman"/>
          <w:lang w:val="sr-Cyrl-BA"/>
        </w:rPr>
        <w:t>износи</w:t>
      </w:r>
      <w:r w:rsidR="0042679D" w:rsidRPr="00295637">
        <w:rPr>
          <w:rFonts w:ascii="Times New Roman" w:hAnsi="Times New Roman"/>
          <w:lang w:val="sr-Cyrl-BA"/>
        </w:rPr>
        <w:t xml:space="preserve"> 47%</w:t>
      </w:r>
      <w:r w:rsidR="00563217">
        <w:rPr>
          <w:rFonts w:ascii="Times New Roman" w:hAnsi="Times New Roman"/>
          <w:lang w:val="bs-Latn-BA"/>
        </w:rPr>
        <w:t>,</w:t>
      </w:r>
      <w:r w:rsidR="0042679D">
        <w:rPr>
          <w:rFonts w:ascii="Times New Roman" w:hAnsi="Times New Roman"/>
          <w:lang w:val="sr-Latn-BA"/>
        </w:rPr>
        <w:t xml:space="preserve"> </w:t>
      </w:r>
      <w:r>
        <w:rPr>
          <w:rFonts w:ascii="Times New Roman" w:hAnsi="Times New Roman"/>
          <w:lang w:val="sr-Latn-BA"/>
        </w:rPr>
        <w:t>а</w:t>
      </w:r>
      <w:r w:rsidR="0042679D" w:rsidRPr="00295637">
        <w:rPr>
          <w:rFonts w:ascii="Times New Roman" w:hAnsi="Times New Roman"/>
          <w:lang w:val="sr-Latn-BA"/>
        </w:rPr>
        <w:t xml:space="preserve"> </w:t>
      </w:r>
      <w:r w:rsidR="0042679D" w:rsidRPr="00295637">
        <w:rPr>
          <w:rFonts w:ascii="Times New Roman" w:hAnsi="Times New Roman"/>
          <w:lang w:val="sr-Cyrl-BA"/>
        </w:rPr>
        <w:t xml:space="preserve">55,67% </w:t>
      </w:r>
      <w:r>
        <w:rPr>
          <w:rFonts w:ascii="Times New Roman" w:hAnsi="Times New Roman"/>
          <w:lang w:val="sr-Cyrl-BA"/>
        </w:rPr>
        <w:t>жена</w:t>
      </w:r>
      <w:r w:rsidR="0042679D" w:rsidRPr="00295637">
        <w:rPr>
          <w:rFonts w:ascii="Times New Roman" w:hAnsi="Times New Roman"/>
          <w:lang w:val="sr-Cyrl-BA"/>
        </w:rPr>
        <w:t xml:space="preserve"> </w:t>
      </w:r>
      <w:r>
        <w:rPr>
          <w:rFonts w:ascii="Times New Roman" w:hAnsi="Times New Roman"/>
          <w:lang w:val="sr-Cyrl-BA"/>
        </w:rPr>
        <w:t>је</w:t>
      </w:r>
      <w:r w:rsidR="0042679D" w:rsidRPr="00295637">
        <w:rPr>
          <w:rFonts w:ascii="Times New Roman" w:hAnsi="Times New Roman"/>
          <w:lang w:val="sr-Cyrl-BA"/>
        </w:rPr>
        <w:t xml:space="preserve"> </w:t>
      </w:r>
      <w:r>
        <w:rPr>
          <w:rFonts w:ascii="Times New Roman" w:hAnsi="Times New Roman"/>
          <w:lang w:val="hr-HR"/>
        </w:rPr>
        <w:t>учествовало</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w:t>
      </w:r>
      <w:r>
        <w:rPr>
          <w:rFonts w:ascii="Times New Roman" w:hAnsi="Times New Roman"/>
          <w:lang w:val="sr-Cyrl-BA"/>
        </w:rPr>
        <w:t>програмима</w:t>
      </w:r>
      <w:r w:rsidR="0042679D" w:rsidRPr="00295637">
        <w:rPr>
          <w:rFonts w:ascii="Times New Roman" w:hAnsi="Times New Roman"/>
          <w:lang w:val="sr-Cyrl-BA"/>
        </w:rPr>
        <w:t xml:space="preserve"> </w:t>
      </w:r>
      <w:r>
        <w:rPr>
          <w:rFonts w:ascii="Times New Roman" w:hAnsi="Times New Roman"/>
          <w:lang w:val="sr-Cyrl-BA"/>
        </w:rPr>
        <w:t>и</w:t>
      </w:r>
      <w:r w:rsidR="0042679D" w:rsidRPr="00295637">
        <w:rPr>
          <w:rFonts w:ascii="Times New Roman" w:hAnsi="Times New Roman"/>
          <w:lang w:val="sr-Cyrl-BA"/>
        </w:rPr>
        <w:t xml:space="preserve"> </w:t>
      </w:r>
      <w:r>
        <w:rPr>
          <w:rFonts w:ascii="Times New Roman" w:hAnsi="Times New Roman"/>
          <w:lang w:val="sr-Cyrl-BA"/>
        </w:rPr>
        <w:t>пројектима</w:t>
      </w:r>
      <w:r w:rsidR="0042679D" w:rsidRPr="00295637">
        <w:rPr>
          <w:rFonts w:ascii="Times New Roman" w:hAnsi="Times New Roman"/>
          <w:lang w:val="sr-Cyrl-BA"/>
        </w:rPr>
        <w:t xml:space="preserve"> </w:t>
      </w:r>
      <w:r>
        <w:rPr>
          <w:rFonts w:ascii="Times New Roman" w:hAnsi="Times New Roman"/>
          <w:lang w:val="sr-Latn-BA"/>
        </w:rPr>
        <w:t>истраживања</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развоја</w:t>
      </w:r>
      <w:r w:rsidR="0042679D" w:rsidRPr="00295637">
        <w:rPr>
          <w:rFonts w:ascii="Times New Roman" w:hAnsi="Times New Roman"/>
          <w:lang w:val="sr-Latn-BA"/>
        </w:rPr>
        <w:t>.</w:t>
      </w:r>
    </w:p>
    <w:p w:rsidR="0042679D" w:rsidRPr="00295637" w:rsidRDefault="0042679D" w:rsidP="0086268D">
      <w:pPr>
        <w:pStyle w:val="NormalWeb"/>
        <w:spacing w:before="0" w:beforeAutospacing="0" w:after="0" w:afterAutospacing="0"/>
        <w:jc w:val="both"/>
        <w:rPr>
          <w:i/>
          <w:lang w:val="bs-Latn-BA"/>
        </w:rPr>
      </w:pPr>
    </w:p>
    <w:p w:rsidR="0042679D" w:rsidRPr="00295637" w:rsidRDefault="00C6214E" w:rsidP="0086268D">
      <w:pPr>
        <w:pStyle w:val="NormalWeb"/>
        <w:spacing w:before="0" w:beforeAutospacing="0" w:after="0" w:afterAutospacing="0"/>
        <w:jc w:val="both"/>
        <w:rPr>
          <w:i/>
          <w:lang w:val="bs-Latn-BA"/>
        </w:rPr>
      </w:pPr>
      <w:r>
        <w:rPr>
          <w:i/>
          <w:lang w:val="bs-Latn-BA"/>
        </w:rPr>
        <w:t>Здравље</w:t>
      </w:r>
      <w:r w:rsidR="0042679D" w:rsidRPr="00295637">
        <w:rPr>
          <w:i/>
          <w:lang w:val="bs-Latn-BA"/>
        </w:rPr>
        <w:t xml:space="preserve">, </w:t>
      </w:r>
      <w:r>
        <w:rPr>
          <w:i/>
          <w:lang w:val="bs-Latn-BA"/>
        </w:rPr>
        <w:t>превенција</w:t>
      </w:r>
      <w:r w:rsidR="0042679D" w:rsidRPr="00295637">
        <w:rPr>
          <w:i/>
          <w:lang w:val="bs-Latn-BA"/>
        </w:rPr>
        <w:t xml:space="preserve"> </w:t>
      </w:r>
      <w:r>
        <w:rPr>
          <w:i/>
          <w:lang w:val="bs-Latn-BA"/>
        </w:rPr>
        <w:t>и</w:t>
      </w:r>
      <w:r w:rsidR="0042679D" w:rsidRPr="00295637">
        <w:rPr>
          <w:i/>
          <w:lang w:val="bs-Latn-BA"/>
        </w:rPr>
        <w:t xml:space="preserve"> </w:t>
      </w:r>
      <w:r>
        <w:rPr>
          <w:i/>
          <w:lang w:val="bs-Latn-BA"/>
        </w:rPr>
        <w:t>заштита</w:t>
      </w:r>
    </w:p>
    <w:p w:rsidR="0042679D" w:rsidRPr="00295637" w:rsidRDefault="0042679D" w:rsidP="0086268D">
      <w:pPr>
        <w:pStyle w:val="NormalWeb"/>
        <w:spacing w:before="0" w:beforeAutospacing="0" w:after="0" w:afterAutospacing="0"/>
        <w:jc w:val="both"/>
        <w:rPr>
          <w:i/>
          <w:lang w:val="bs-Latn-BA"/>
        </w:rPr>
      </w:pPr>
    </w:p>
    <w:p w:rsidR="0042679D" w:rsidRPr="00295637" w:rsidRDefault="00C6214E" w:rsidP="0086268D">
      <w:pPr>
        <w:pStyle w:val="ListParagraph"/>
        <w:numPr>
          <w:ilvl w:val="0"/>
          <w:numId w:val="17"/>
        </w:numPr>
        <w:jc w:val="both"/>
        <w:rPr>
          <w:rFonts w:ascii="Times New Roman" w:hAnsi="Times New Roman"/>
          <w:lang w:val="bs-Latn-BA"/>
        </w:rPr>
      </w:pPr>
      <w:r>
        <w:rPr>
          <w:rFonts w:ascii="Times New Roman" w:hAnsi="Times New Roman"/>
          <w:bCs/>
          <w:szCs w:val="24"/>
        </w:rPr>
        <w:t>На</w:t>
      </w:r>
      <w:r w:rsidR="00AE5900" w:rsidRPr="00BB4138">
        <w:rPr>
          <w:rFonts w:ascii="Times New Roman" w:hAnsi="Times New Roman"/>
          <w:bCs/>
          <w:szCs w:val="24"/>
        </w:rPr>
        <w:t xml:space="preserve"> </w:t>
      </w:r>
      <w:r>
        <w:rPr>
          <w:rFonts w:ascii="Times New Roman" w:hAnsi="Times New Roman"/>
          <w:bCs/>
          <w:szCs w:val="24"/>
        </w:rPr>
        <w:t>основу</w:t>
      </w:r>
      <w:r w:rsidR="00AE5900" w:rsidRPr="00BB4138">
        <w:rPr>
          <w:rFonts w:ascii="Times New Roman" w:hAnsi="Times New Roman"/>
          <w:bCs/>
          <w:szCs w:val="24"/>
        </w:rPr>
        <w:t xml:space="preserve"> </w:t>
      </w:r>
      <w:r w:rsidR="002924B3">
        <w:rPr>
          <w:rFonts w:ascii="Times New Roman" w:hAnsi="Times New Roman"/>
          <w:bCs/>
          <w:szCs w:val="24"/>
          <w:lang w:val="sr-Cyrl-BA"/>
        </w:rPr>
        <w:t>Проведбеног</w:t>
      </w:r>
      <w:r w:rsidR="00AE5900" w:rsidRPr="00BB4138">
        <w:rPr>
          <w:rFonts w:ascii="Times New Roman" w:hAnsi="Times New Roman"/>
          <w:bCs/>
          <w:szCs w:val="24"/>
        </w:rPr>
        <w:t xml:space="preserve"> </w:t>
      </w:r>
      <w:r>
        <w:rPr>
          <w:rFonts w:ascii="Times New Roman" w:hAnsi="Times New Roman"/>
          <w:bCs/>
          <w:szCs w:val="24"/>
        </w:rPr>
        <w:t>споразума</w:t>
      </w:r>
      <w:r w:rsidR="00AE5900" w:rsidRPr="00BB4138">
        <w:rPr>
          <w:rFonts w:ascii="Times New Roman" w:hAnsi="Times New Roman"/>
          <w:bCs/>
          <w:szCs w:val="24"/>
        </w:rPr>
        <w:t xml:space="preserve"> </w:t>
      </w:r>
      <w:r>
        <w:rPr>
          <w:rFonts w:ascii="Times New Roman" w:hAnsi="Times New Roman"/>
          <w:bCs/>
          <w:szCs w:val="24"/>
        </w:rPr>
        <w:t>за</w:t>
      </w:r>
      <w:r w:rsidR="00AE5900" w:rsidRPr="00BB4138">
        <w:rPr>
          <w:rFonts w:ascii="Times New Roman" w:hAnsi="Times New Roman"/>
          <w:bCs/>
          <w:szCs w:val="24"/>
        </w:rPr>
        <w:t xml:space="preserve"> </w:t>
      </w:r>
      <w:r>
        <w:rPr>
          <w:rFonts w:ascii="Times New Roman" w:hAnsi="Times New Roman"/>
          <w:bCs/>
          <w:szCs w:val="24"/>
        </w:rPr>
        <w:t>отварање</w:t>
      </w:r>
      <w:r w:rsidR="00AE5900" w:rsidRPr="00BB4138">
        <w:rPr>
          <w:rFonts w:ascii="Times New Roman" w:hAnsi="Times New Roman"/>
          <w:bCs/>
          <w:szCs w:val="24"/>
        </w:rPr>
        <w:t xml:space="preserve"> </w:t>
      </w:r>
      <w:r>
        <w:rPr>
          <w:rFonts w:ascii="Times New Roman" w:hAnsi="Times New Roman"/>
          <w:bCs/>
          <w:szCs w:val="24"/>
        </w:rPr>
        <w:t>кризног</w:t>
      </w:r>
      <w:r w:rsidR="00AE5900" w:rsidRPr="00BB4138">
        <w:rPr>
          <w:rFonts w:ascii="Times New Roman" w:hAnsi="Times New Roman"/>
          <w:bCs/>
          <w:szCs w:val="24"/>
        </w:rPr>
        <w:t xml:space="preserve"> </w:t>
      </w:r>
      <w:r>
        <w:rPr>
          <w:rFonts w:ascii="Times New Roman" w:hAnsi="Times New Roman"/>
          <w:bCs/>
          <w:szCs w:val="24"/>
        </w:rPr>
        <w:t>центра</w:t>
      </w:r>
      <w:r w:rsidR="00AE5900" w:rsidRPr="00BB4138">
        <w:rPr>
          <w:rFonts w:ascii="Times New Roman" w:hAnsi="Times New Roman"/>
          <w:bCs/>
          <w:szCs w:val="24"/>
        </w:rPr>
        <w:t xml:space="preserve"> </w:t>
      </w:r>
      <w:r>
        <w:rPr>
          <w:rFonts w:ascii="Times New Roman" w:hAnsi="Times New Roman"/>
          <w:bCs/>
          <w:szCs w:val="24"/>
        </w:rPr>
        <w:t>за</w:t>
      </w:r>
      <w:r w:rsidR="00AE5900" w:rsidRPr="00BB4138">
        <w:rPr>
          <w:rFonts w:ascii="Times New Roman" w:hAnsi="Times New Roman"/>
          <w:bCs/>
          <w:szCs w:val="24"/>
        </w:rPr>
        <w:t xml:space="preserve"> </w:t>
      </w:r>
      <w:r>
        <w:rPr>
          <w:rFonts w:ascii="Times New Roman" w:hAnsi="Times New Roman"/>
          <w:bCs/>
          <w:szCs w:val="24"/>
        </w:rPr>
        <w:t>жртве</w:t>
      </w:r>
      <w:r w:rsidR="00AE5900" w:rsidRPr="00BB4138">
        <w:rPr>
          <w:rFonts w:ascii="Times New Roman" w:hAnsi="Times New Roman"/>
          <w:bCs/>
          <w:szCs w:val="24"/>
        </w:rPr>
        <w:t xml:space="preserve"> </w:t>
      </w:r>
      <w:r>
        <w:rPr>
          <w:rFonts w:ascii="Times New Roman" w:hAnsi="Times New Roman"/>
          <w:bCs/>
          <w:szCs w:val="24"/>
        </w:rPr>
        <w:t>силовања</w:t>
      </w:r>
      <w:r w:rsidR="00AE5900" w:rsidRPr="00BB4138">
        <w:rPr>
          <w:rFonts w:ascii="Times New Roman" w:hAnsi="Times New Roman"/>
          <w:bCs/>
          <w:szCs w:val="24"/>
        </w:rPr>
        <w:t xml:space="preserve"> </w:t>
      </w:r>
      <w:r>
        <w:rPr>
          <w:rFonts w:ascii="Times New Roman" w:hAnsi="Times New Roman"/>
          <w:bCs/>
          <w:szCs w:val="24"/>
        </w:rPr>
        <w:t>и</w:t>
      </w:r>
      <w:r w:rsidR="00AE5900" w:rsidRPr="00BB4138">
        <w:rPr>
          <w:rFonts w:ascii="Times New Roman" w:hAnsi="Times New Roman"/>
          <w:bCs/>
          <w:szCs w:val="24"/>
        </w:rPr>
        <w:t xml:space="preserve"> </w:t>
      </w:r>
      <w:r>
        <w:rPr>
          <w:rFonts w:ascii="Times New Roman" w:hAnsi="Times New Roman"/>
          <w:bCs/>
          <w:szCs w:val="24"/>
        </w:rPr>
        <w:t>сексуалног</w:t>
      </w:r>
      <w:r w:rsidR="00AE5900" w:rsidRPr="00BB4138">
        <w:rPr>
          <w:rFonts w:ascii="Times New Roman" w:hAnsi="Times New Roman"/>
          <w:bCs/>
          <w:szCs w:val="24"/>
        </w:rPr>
        <w:t xml:space="preserve"> </w:t>
      </w:r>
      <w:r>
        <w:rPr>
          <w:rFonts w:ascii="Times New Roman" w:hAnsi="Times New Roman"/>
          <w:bCs/>
          <w:szCs w:val="24"/>
        </w:rPr>
        <w:t>насиља</w:t>
      </w:r>
      <w:r w:rsidR="00AE5900" w:rsidRPr="00BB4138">
        <w:rPr>
          <w:rFonts w:ascii="Times New Roman" w:hAnsi="Times New Roman"/>
          <w:bCs/>
          <w:szCs w:val="24"/>
        </w:rPr>
        <w:t xml:space="preserve"> </w:t>
      </w:r>
      <w:r>
        <w:rPr>
          <w:rFonts w:ascii="Times New Roman" w:hAnsi="Times New Roman"/>
          <w:bCs/>
          <w:szCs w:val="24"/>
        </w:rPr>
        <w:t>у</w:t>
      </w:r>
      <w:r w:rsidR="00AE5900" w:rsidRPr="00BB4138">
        <w:rPr>
          <w:rFonts w:ascii="Times New Roman" w:hAnsi="Times New Roman"/>
          <w:bCs/>
          <w:szCs w:val="24"/>
        </w:rPr>
        <w:t xml:space="preserve"> </w:t>
      </w:r>
      <w:r>
        <w:rPr>
          <w:rFonts w:ascii="Times New Roman" w:hAnsi="Times New Roman"/>
          <w:bCs/>
          <w:szCs w:val="24"/>
        </w:rPr>
        <w:t>оквиру</w:t>
      </w:r>
      <w:r w:rsidR="00AE5900" w:rsidRPr="00BB4138">
        <w:rPr>
          <w:rFonts w:ascii="Times New Roman" w:hAnsi="Times New Roman"/>
          <w:bCs/>
          <w:szCs w:val="24"/>
        </w:rPr>
        <w:t xml:space="preserve"> </w:t>
      </w:r>
      <w:r>
        <w:rPr>
          <w:rFonts w:ascii="Times New Roman" w:hAnsi="Times New Roman"/>
          <w:bCs/>
          <w:szCs w:val="24"/>
        </w:rPr>
        <w:t>пројекта</w:t>
      </w:r>
      <w:r w:rsidR="00AE5900" w:rsidRPr="00BB4138">
        <w:rPr>
          <w:rFonts w:ascii="Times New Roman" w:hAnsi="Times New Roman"/>
          <w:bCs/>
          <w:szCs w:val="24"/>
        </w:rPr>
        <w:t xml:space="preserve"> “</w:t>
      </w:r>
      <w:r>
        <w:rPr>
          <w:rFonts w:ascii="Times New Roman" w:hAnsi="Times New Roman"/>
          <w:bCs/>
          <w:szCs w:val="24"/>
        </w:rPr>
        <w:t>Јачање</w:t>
      </w:r>
      <w:r w:rsidR="00AE5900" w:rsidRPr="00BB4138">
        <w:rPr>
          <w:rFonts w:ascii="Times New Roman" w:hAnsi="Times New Roman"/>
          <w:bCs/>
          <w:szCs w:val="24"/>
        </w:rPr>
        <w:t xml:space="preserve"> </w:t>
      </w:r>
      <w:r>
        <w:rPr>
          <w:rFonts w:ascii="Times New Roman" w:hAnsi="Times New Roman"/>
          <w:bCs/>
          <w:szCs w:val="24"/>
        </w:rPr>
        <w:t>капацитета</w:t>
      </w:r>
      <w:r w:rsidR="00AE5900" w:rsidRPr="00BB4138">
        <w:rPr>
          <w:rFonts w:ascii="Times New Roman" w:hAnsi="Times New Roman"/>
          <w:bCs/>
          <w:szCs w:val="24"/>
        </w:rPr>
        <w:t xml:space="preserve"> </w:t>
      </w:r>
      <w:r>
        <w:rPr>
          <w:rFonts w:ascii="Times New Roman" w:hAnsi="Times New Roman"/>
          <w:bCs/>
          <w:szCs w:val="24"/>
        </w:rPr>
        <w:t>институција</w:t>
      </w:r>
      <w:r w:rsidR="00AE5900" w:rsidRPr="00BB4138">
        <w:rPr>
          <w:rFonts w:ascii="Times New Roman" w:hAnsi="Times New Roman"/>
          <w:bCs/>
          <w:szCs w:val="24"/>
        </w:rPr>
        <w:t xml:space="preserve"> </w:t>
      </w:r>
      <w:r>
        <w:rPr>
          <w:rFonts w:ascii="Times New Roman" w:hAnsi="Times New Roman"/>
          <w:bCs/>
          <w:szCs w:val="24"/>
        </w:rPr>
        <w:t>за</w:t>
      </w:r>
      <w:r w:rsidR="00AE5900" w:rsidRPr="00BB4138">
        <w:rPr>
          <w:rFonts w:ascii="Times New Roman" w:hAnsi="Times New Roman"/>
          <w:bCs/>
          <w:szCs w:val="24"/>
        </w:rPr>
        <w:t xml:space="preserve"> </w:t>
      </w:r>
      <w:r>
        <w:rPr>
          <w:rFonts w:ascii="Times New Roman" w:hAnsi="Times New Roman"/>
          <w:bCs/>
          <w:szCs w:val="24"/>
        </w:rPr>
        <w:t>рјешавање</w:t>
      </w:r>
      <w:r w:rsidR="00AE5900" w:rsidRPr="00BB4138">
        <w:rPr>
          <w:rFonts w:ascii="Times New Roman" w:hAnsi="Times New Roman"/>
          <w:bCs/>
          <w:szCs w:val="24"/>
        </w:rPr>
        <w:t xml:space="preserve"> </w:t>
      </w:r>
      <w:r>
        <w:rPr>
          <w:rFonts w:ascii="Times New Roman" w:hAnsi="Times New Roman"/>
          <w:bCs/>
          <w:szCs w:val="24"/>
        </w:rPr>
        <w:t>родно</w:t>
      </w:r>
      <w:r w:rsidR="00AE5900" w:rsidRPr="00BB4138">
        <w:rPr>
          <w:rFonts w:ascii="Times New Roman" w:hAnsi="Times New Roman"/>
          <w:bCs/>
          <w:szCs w:val="24"/>
        </w:rPr>
        <w:t xml:space="preserve"> </w:t>
      </w:r>
      <w:r>
        <w:rPr>
          <w:rFonts w:ascii="Times New Roman" w:hAnsi="Times New Roman"/>
          <w:bCs/>
          <w:szCs w:val="24"/>
        </w:rPr>
        <w:t>заснованог</w:t>
      </w:r>
      <w:r w:rsidR="007F5458">
        <w:rPr>
          <w:rFonts w:ascii="Times New Roman" w:hAnsi="Times New Roman"/>
          <w:bCs/>
          <w:szCs w:val="24"/>
        </w:rPr>
        <w:t xml:space="preserve"> </w:t>
      </w:r>
      <w:r>
        <w:rPr>
          <w:rFonts w:ascii="Times New Roman" w:hAnsi="Times New Roman"/>
          <w:bCs/>
          <w:szCs w:val="24"/>
        </w:rPr>
        <w:t>насиља</w:t>
      </w:r>
      <w:r w:rsidR="00AE5900" w:rsidRPr="00BB4138">
        <w:rPr>
          <w:rFonts w:ascii="Times New Roman" w:hAnsi="Times New Roman"/>
          <w:bCs/>
          <w:szCs w:val="24"/>
        </w:rPr>
        <w:t xml:space="preserve"> </w:t>
      </w:r>
      <w:r>
        <w:rPr>
          <w:rFonts w:ascii="Times New Roman" w:hAnsi="Times New Roman"/>
          <w:bCs/>
          <w:szCs w:val="24"/>
        </w:rPr>
        <w:t>у</w:t>
      </w:r>
      <w:r w:rsidR="00AE5900" w:rsidRPr="00BB4138">
        <w:rPr>
          <w:rFonts w:ascii="Times New Roman" w:hAnsi="Times New Roman"/>
          <w:bCs/>
          <w:szCs w:val="24"/>
        </w:rPr>
        <w:t xml:space="preserve"> </w:t>
      </w:r>
      <w:r>
        <w:rPr>
          <w:rFonts w:ascii="Times New Roman" w:hAnsi="Times New Roman"/>
          <w:bCs/>
          <w:szCs w:val="24"/>
        </w:rPr>
        <w:t>БиХ</w:t>
      </w:r>
      <w:r w:rsidR="00AE5900">
        <w:rPr>
          <w:rFonts w:ascii="Times New Roman" w:hAnsi="Times New Roman"/>
          <w:bCs/>
          <w:szCs w:val="24"/>
        </w:rPr>
        <w:t>“</w:t>
      </w:r>
      <w:r w:rsidR="0042679D" w:rsidRPr="00295637">
        <w:rPr>
          <w:rFonts w:ascii="Times New Roman" w:hAnsi="Times New Roman"/>
          <w:bCs/>
          <w:szCs w:val="24"/>
        </w:rPr>
        <w:t xml:space="preserve">, </w:t>
      </w:r>
      <w:r>
        <w:rPr>
          <w:rFonts w:ascii="Times New Roman" w:hAnsi="Times New Roman"/>
          <w:bCs/>
          <w:szCs w:val="24"/>
        </w:rPr>
        <w:t>АР</w:t>
      </w:r>
      <w:r w:rsidR="002924B3">
        <w:rPr>
          <w:rFonts w:ascii="Times New Roman" w:hAnsi="Times New Roman"/>
          <w:bCs/>
          <w:szCs w:val="24"/>
          <w:lang w:val="sr-Cyrl-BA"/>
        </w:rPr>
        <w:t>П</w:t>
      </w:r>
      <w:r w:rsidR="007F5458">
        <w:rPr>
          <w:rFonts w:ascii="Times New Roman" w:hAnsi="Times New Roman"/>
          <w:bCs/>
          <w:szCs w:val="24"/>
        </w:rPr>
        <w:t xml:space="preserve"> </w:t>
      </w:r>
      <w:r>
        <w:rPr>
          <w:rFonts w:ascii="Times New Roman" w:hAnsi="Times New Roman"/>
          <w:bCs/>
          <w:szCs w:val="24"/>
        </w:rPr>
        <w:t>БиХ</w:t>
      </w:r>
      <w:r w:rsidR="007F5458">
        <w:rPr>
          <w:rFonts w:ascii="Times New Roman" w:hAnsi="Times New Roman"/>
          <w:bCs/>
          <w:szCs w:val="24"/>
        </w:rPr>
        <w:t xml:space="preserve"> </w:t>
      </w:r>
      <w:r>
        <w:rPr>
          <w:rFonts w:ascii="Times New Roman" w:hAnsi="Times New Roman"/>
          <w:bCs/>
          <w:szCs w:val="24"/>
        </w:rPr>
        <w:t>МЉПИ</w:t>
      </w:r>
      <w:r w:rsidR="007F5458">
        <w:rPr>
          <w:rFonts w:ascii="Times New Roman" w:hAnsi="Times New Roman"/>
          <w:bCs/>
          <w:szCs w:val="24"/>
        </w:rPr>
        <w:t xml:space="preserve"> </w:t>
      </w:r>
      <w:r>
        <w:rPr>
          <w:rFonts w:ascii="Times New Roman" w:hAnsi="Times New Roman"/>
          <w:bCs/>
          <w:szCs w:val="24"/>
        </w:rPr>
        <w:t>БиХ</w:t>
      </w:r>
      <w:r w:rsidR="0042679D" w:rsidRPr="00295637">
        <w:rPr>
          <w:rFonts w:ascii="Times New Roman" w:hAnsi="Times New Roman"/>
          <w:bCs/>
          <w:szCs w:val="24"/>
        </w:rPr>
        <w:t xml:space="preserve"> </w:t>
      </w:r>
      <w:r w:rsidR="002924B3">
        <w:rPr>
          <w:rFonts w:ascii="Times New Roman" w:hAnsi="Times New Roman"/>
          <w:bCs/>
          <w:szCs w:val="24"/>
        </w:rPr>
        <w:t xml:space="preserve">је </w:t>
      </w:r>
      <w:r>
        <w:rPr>
          <w:rFonts w:ascii="Times New Roman" w:hAnsi="Times New Roman"/>
          <w:bCs/>
          <w:szCs w:val="24"/>
        </w:rPr>
        <w:t>радила</w:t>
      </w:r>
      <w:r w:rsidR="0042679D" w:rsidRPr="00295637">
        <w:rPr>
          <w:rFonts w:ascii="Times New Roman" w:hAnsi="Times New Roman"/>
          <w:bCs/>
          <w:szCs w:val="24"/>
        </w:rPr>
        <w:t xml:space="preserve"> </w:t>
      </w:r>
      <w:r>
        <w:rPr>
          <w:rFonts w:ascii="Times New Roman" w:hAnsi="Times New Roman"/>
          <w:bCs/>
          <w:szCs w:val="24"/>
        </w:rPr>
        <w:t>на</w:t>
      </w:r>
      <w:r w:rsidR="0042679D" w:rsidRPr="00295637">
        <w:rPr>
          <w:rFonts w:ascii="Times New Roman" w:hAnsi="Times New Roman"/>
          <w:bCs/>
          <w:szCs w:val="24"/>
        </w:rPr>
        <w:t xml:space="preserve"> </w:t>
      </w:r>
      <w:r>
        <w:rPr>
          <w:rFonts w:ascii="Times New Roman" w:hAnsi="Times New Roman"/>
          <w:bCs/>
          <w:szCs w:val="24"/>
        </w:rPr>
        <w:t>успостављању</w:t>
      </w:r>
      <w:r w:rsidR="007F5458">
        <w:rPr>
          <w:rFonts w:ascii="Times New Roman" w:hAnsi="Times New Roman"/>
          <w:bCs/>
          <w:szCs w:val="24"/>
        </w:rPr>
        <w:t xml:space="preserve"> </w:t>
      </w:r>
      <w:r>
        <w:rPr>
          <w:rFonts w:ascii="Times New Roman" w:hAnsi="Times New Roman"/>
          <w:bCs/>
          <w:szCs w:val="24"/>
        </w:rPr>
        <w:t>Протокола</w:t>
      </w:r>
      <w:r w:rsidR="007F5458">
        <w:rPr>
          <w:rFonts w:ascii="Times New Roman" w:hAnsi="Times New Roman"/>
          <w:bCs/>
          <w:szCs w:val="24"/>
        </w:rPr>
        <w:t xml:space="preserve"> </w:t>
      </w:r>
      <w:r>
        <w:rPr>
          <w:rFonts w:ascii="Times New Roman" w:hAnsi="Times New Roman"/>
          <w:bCs/>
          <w:szCs w:val="24"/>
        </w:rPr>
        <w:t>за</w:t>
      </w:r>
      <w:r w:rsidR="007F5458">
        <w:rPr>
          <w:rFonts w:ascii="Times New Roman" w:hAnsi="Times New Roman"/>
          <w:bCs/>
          <w:szCs w:val="24"/>
        </w:rPr>
        <w:t xml:space="preserve"> </w:t>
      </w:r>
      <w:r>
        <w:rPr>
          <w:rFonts w:ascii="Times New Roman" w:hAnsi="Times New Roman"/>
          <w:bCs/>
          <w:szCs w:val="24"/>
        </w:rPr>
        <w:t>поступање</w:t>
      </w:r>
      <w:r w:rsidR="007F5458">
        <w:rPr>
          <w:rFonts w:ascii="Times New Roman" w:hAnsi="Times New Roman"/>
          <w:bCs/>
          <w:szCs w:val="24"/>
        </w:rPr>
        <w:t xml:space="preserve"> </w:t>
      </w:r>
      <w:r>
        <w:rPr>
          <w:rFonts w:ascii="Times New Roman" w:hAnsi="Times New Roman"/>
          <w:bCs/>
          <w:szCs w:val="24"/>
        </w:rPr>
        <w:t>са</w:t>
      </w:r>
      <w:r w:rsidR="0042679D" w:rsidRPr="00295637">
        <w:rPr>
          <w:rFonts w:ascii="Times New Roman" w:hAnsi="Times New Roman"/>
          <w:bCs/>
          <w:szCs w:val="24"/>
        </w:rPr>
        <w:t xml:space="preserve"> </w:t>
      </w:r>
      <w:r>
        <w:rPr>
          <w:rFonts w:ascii="Times New Roman" w:hAnsi="Times New Roman"/>
          <w:bCs/>
          <w:szCs w:val="24"/>
        </w:rPr>
        <w:t>жртвама</w:t>
      </w:r>
      <w:r w:rsidR="0042679D" w:rsidRPr="00295637">
        <w:rPr>
          <w:rFonts w:ascii="Times New Roman" w:hAnsi="Times New Roman"/>
          <w:bCs/>
          <w:szCs w:val="24"/>
        </w:rPr>
        <w:t xml:space="preserve"> </w:t>
      </w:r>
      <w:r>
        <w:rPr>
          <w:rFonts w:ascii="Times New Roman" w:hAnsi="Times New Roman"/>
          <w:bCs/>
          <w:szCs w:val="24"/>
        </w:rPr>
        <w:t>сексуалног</w:t>
      </w:r>
      <w:r w:rsidR="0042679D" w:rsidRPr="00295637">
        <w:rPr>
          <w:rFonts w:ascii="Times New Roman" w:hAnsi="Times New Roman"/>
          <w:bCs/>
          <w:szCs w:val="24"/>
        </w:rPr>
        <w:t xml:space="preserve"> </w:t>
      </w:r>
      <w:r>
        <w:rPr>
          <w:rFonts w:ascii="Times New Roman" w:hAnsi="Times New Roman"/>
          <w:bCs/>
          <w:szCs w:val="24"/>
        </w:rPr>
        <w:t>насиља</w:t>
      </w:r>
      <w:r w:rsidR="0042679D" w:rsidRPr="00295637">
        <w:rPr>
          <w:rFonts w:ascii="Times New Roman" w:hAnsi="Times New Roman"/>
          <w:bCs/>
          <w:szCs w:val="24"/>
        </w:rPr>
        <w:t xml:space="preserve"> – </w:t>
      </w:r>
      <w:r>
        <w:rPr>
          <w:rFonts w:ascii="Times New Roman" w:hAnsi="Times New Roman"/>
          <w:bCs/>
          <w:szCs w:val="24"/>
        </w:rPr>
        <w:t>силовања</w:t>
      </w:r>
      <w:r w:rsidR="0042679D" w:rsidRPr="00295637">
        <w:rPr>
          <w:rFonts w:ascii="Times New Roman" w:hAnsi="Times New Roman"/>
          <w:bCs/>
          <w:szCs w:val="24"/>
        </w:rPr>
        <w:t xml:space="preserve"> </w:t>
      </w:r>
      <w:r>
        <w:rPr>
          <w:rFonts w:ascii="Times New Roman" w:hAnsi="Times New Roman"/>
          <w:bCs/>
          <w:szCs w:val="24"/>
        </w:rPr>
        <w:t>у</w:t>
      </w:r>
      <w:r w:rsidR="0042679D" w:rsidRPr="00295637">
        <w:rPr>
          <w:rFonts w:ascii="Times New Roman" w:hAnsi="Times New Roman"/>
          <w:bCs/>
          <w:szCs w:val="24"/>
        </w:rPr>
        <w:t xml:space="preserve"> </w:t>
      </w:r>
      <w:r>
        <w:rPr>
          <w:rFonts w:ascii="Times New Roman" w:hAnsi="Times New Roman"/>
          <w:bCs/>
          <w:szCs w:val="24"/>
        </w:rPr>
        <w:t>Кантону</w:t>
      </w:r>
      <w:r w:rsidR="0042679D" w:rsidRPr="00295637">
        <w:rPr>
          <w:rFonts w:ascii="Times New Roman" w:hAnsi="Times New Roman"/>
          <w:bCs/>
          <w:szCs w:val="24"/>
        </w:rPr>
        <w:t xml:space="preserve"> </w:t>
      </w:r>
      <w:r>
        <w:rPr>
          <w:rFonts w:ascii="Times New Roman" w:hAnsi="Times New Roman"/>
          <w:bCs/>
          <w:szCs w:val="24"/>
        </w:rPr>
        <w:t>Сарајево</w:t>
      </w:r>
      <w:r w:rsidR="0042679D" w:rsidRPr="00295637">
        <w:rPr>
          <w:rFonts w:ascii="Times New Roman" w:hAnsi="Times New Roman"/>
          <w:bCs/>
          <w:szCs w:val="24"/>
        </w:rPr>
        <w:t xml:space="preserve">. </w:t>
      </w:r>
      <w:r>
        <w:rPr>
          <w:rFonts w:ascii="Times New Roman" w:hAnsi="Times New Roman"/>
          <w:bCs/>
          <w:szCs w:val="24"/>
        </w:rPr>
        <w:t>Активност</w:t>
      </w:r>
      <w:r w:rsidR="0042679D" w:rsidRPr="00295637">
        <w:rPr>
          <w:rFonts w:ascii="Times New Roman" w:hAnsi="Times New Roman"/>
          <w:bCs/>
          <w:szCs w:val="24"/>
        </w:rPr>
        <w:t xml:space="preserve"> </w:t>
      </w:r>
      <w:r>
        <w:rPr>
          <w:rFonts w:ascii="Times New Roman" w:hAnsi="Times New Roman"/>
          <w:bCs/>
          <w:szCs w:val="24"/>
        </w:rPr>
        <w:t>је</w:t>
      </w:r>
      <w:r w:rsidR="0042679D" w:rsidRPr="00295637">
        <w:rPr>
          <w:rFonts w:ascii="Times New Roman" w:hAnsi="Times New Roman"/>
          <w:bCs/>
          <w:szCs w:val="24"/>
        </w:rPr>
        <w:t xml:space="preserve"> </w:t>
      </w:r>
      <w:r>
        <w:rPr>
          <w:rFonts w:ascii="Times New Roman" w:hAnsi="Times New Roman"/>
          <w:bCs/>
          <w:szCs w:val="24"/>
        </w:rPr>
        <w:t>реализ</w:t>
      </w:r>
      <w:r w:rsidR="002924B3">
        <w:rPr>
          <w:rFonts w:ascii="Times New Roman" w:hAnsi="Times New Roman"/>
          <w:bCs/>
          <w:szCs w:val="24"/>
          <w:lang w:val="sr-Cyrl-BA"/>
        </w:rPr>
        <w:t>ована</w:t>
      </w:r>
      <w:r w:rsidR="0042679D" w:rsidRPr="00295637">
        <w:rPr>
          <w:rFonts w:ascii="Times New Roman" w:hAnsi="Times New Roman"/>
          <w:bCs/>
          <w:szCs w:val="24"/>
        </w:rPr>
        <w:t xml:space="preserve"> </w:t>
      </w:r>
      <w:r>
        <w:rPr>
          <w:rFonts w:ascii="Times New Roman" w:hAnsi="Times New Roman"/>
          <w:bCs/>
          <w:szCs w:val="24"/>
        </w:rPr>
        <w:t>у</w:t>
      </w:r>
      <w:r w:rsidR="0042679D" w:rsidRPr="00295637">
        <w:rPr>
          <w:rFonts w:ascii="Times New Roman" w:hAnsi="Times New Roman"/>
          <w:bCs/>
          <w:szCs w:val="24"/>
        </w:rPr>
        <w:t xml:space="preserve"> </w:t>
      </w:r>
      <w:r>
        <w:rPr>
          <w:rFonts w:ascii="Times New Roman" w:hAnsi="Times New Roman"/>
          <w:bCs/>
          <w:szCs w:val="24"/>
        </w:rPr>
        <w:t>сарадњи</w:t>
      </w:r>
      <w:r w:rsidR="007F5458">
        <w:rPr>
          <w:rFonts w:ascii="Times New Roman" w:hAnsi="Times New Roman"/>
          <w:bCs/>
          <w:szCs w:val="24"/>
        </w:rPr>
        <w:t xml:space="preserve"> </w:t>
      </w:r>
      <w:r>
        <w:rPr>
          <w:rFonts w:ascii="Times New Roman" w:hAnsi="Times New Roman"/>
          <w:bCs/>
          <w:szCs w:val="24"/>
        </w:rPr>
        <w:t>са</w:t>
      </w:r>
      <w:r w:rsidR="0042679D" w:rsidRPr="00295637">
        <w:rPr>
          <w:rFonts w:ascii="Times New Roman" w:hAnsi="Times New Roman"/>
          <w:bCs/>
          <w:szCs w:val="24"/>
        </w:rPr>
        <w:t xml:space="preserve"> </w:t>
      </w:r>
      <w:r>
        <w:rPr>
          <w:rFonts w:ascii="Times New Roman" w:hAnsi="Times New Roman"/>
          <w:bCs/>
          <w:szCs w:val="24"/>
        </w:rPr>
        <w:t>кантоналним</w:t>
      </w:r>
      <w:r w:rsidR="0042679D" w:rsidRPr="00295637">
        <w:rPr>
          <w:rFonts w:ascii="Times New Roman" w:hAnsi="Times New Roman"/>
          <w:bCs/>
          <w:szCs w:val="24"/>
        </w:rPr>
        <w:t xml:space="preserve"> </w:t>
      </w:r>
      <w:r>
        <w:rPr>
          <w:rFonts w:ascii="Times New Roman" w:hAnsi="Times New Roman"/>
          <w:bCs/>
          <w:szCs w:val="24"/>
        </w:rPr>
        <w:t>министарствима</w:t>
      </w:r>
      <w:r w:rsidR="0042679D" w:rsidRPr="00295637">
        <w:rPr>
          <w:rFonts w:ascii="Times New Roman" w:hAnsi="Times New Roman"/>
          <w:bCs/>
          <w:szCs w:val="24"/>
        </w:rPr>
        <w:t xml:space="preserve"> </w:t>
      </w:r>
      <w:r>
        <w:rPr>
          <w:rFonts w:ascii="Times New Roman" w:hAnsi="Times New Roman"/>
          <w:bCs/>
          <w:szCs w:val="24"/>
        </w:rPr>
        <w:t>здравства</w:t>
      </w:r>
      <w:r w:rsidR="0042679D" w:rsidRPr="00295637">
        <w:rPr>
          <w:rFonts w:ascii="Times New Roman" w:hAnsi="Times New Roman"/>
          <w:bCs/>
          <w:szCs w:val="24"/>
        </w:rPr>
        <w:t xml:space="preserve"> </w:t>
      </w:r>
      <w:r>
        <w:rPr>
          <w:rFonts w:ascii="Times New Roman" w:hAnsi="Times New Roman"/>
          <w:bCs/>
          <w:szCs w:val="24"/>
        </w:rPr>
        <w:t>и</w:t>
      </w:r>
      <w:r w:rsidR="0042679D" w:rsidRPr="00295637">
        <w:rPr>
          <w:rFonts w:ascii="Times New Roman" w:hAnsi="Times New Roman"/>
          <w:bCs/>
          <w:szCs w:val="24"/>
        </w:rPr>
        <w:t xml:space="preserve"> </w:t>
      </w:r>
      <w:r>
        <w:rPr>
          <w:rFonts w:ascii="Times New Roman" w:hAnsi="Times New Roman"/>
          <w:bCs/>
          <w:szCs w:val="24"/>
        </w:rPr>
        <w:t>социјалне</w:t>
      </w:r>
      <w:r w:rsidR="0042679D" w:rsidRPr="00295637">
        <w:rPr>
          <w:rFonts w:ascii="Times New Roman" w:hAnsi="Times New Roman"/>
          <w:bCs/>
          <w:szCs w:val="24"/>
        </w:rPr>
        <w:t xml:space="preserve"> </w:t>
      </w:r>
      <w:r>
        <w:rPr>
          <w:rFonts w:ascii="Times New Roman" w:hAnsi="Times New Roman"/>
          <w:bCs/>
          <w:szCs w:val="24"/>
        </w:rPr>
        <w:t>политике</w:t>
      </w:r>
      <w:r w:rsidR="0042679D" w:rsidRPr="00295637">
        <w:rPr>
          <w:rFonts w:ascii="Times New Roman" w:hAnsi="Times New Roman"/>
          <w:bCs/>
          <w:szCs w:val="24"/>
        </w:rPr>
        <w:t xml:space="preserve">, </w:t>
      </w:r>
      <w:r>
        <w:rPr>
          <w:rFonts w:ascii="Times New Roman" w:hAnsi="Times New Roman"/>
          <w:bCs/>
          <w:szCs w:val="24"/>
        </w:rPr>
        <w:t>ФМУП</w:t>
      </w:r>
      <w:r w:rsidR="0042679D" w:rsidRPr="00295637">
        <w:rPr>
          <w:rFonts w:ascii="Times New Roman" w:hAnsi="Times New Roman"/>
          <w:bCs/>
          <w:szCs w:val="24"/>
        </w:rPr>
        <w:t xml:space="preserve">, </w:t>
      </w:r>
      <w:r>
        <w:rPr>
          <w:rFonts w:ascii="Times New Roman" w:hAnsi="Times New Roman"/>
          <w:bCs/>
          <w:szCs w:val="24"/>
        </w:rPr>
        <w:t>Тужилаштвом</w:t>
      </w:r>
      <w:r w:rsidR="0042679D" w:rsidRPr="00295637">
        <w:rPr>
          <w:rFonts w:ascii="Times New Roman" w:hAnsi="Times New Roman"/>
          <w:bCs/>
          <w:szCs w:val="24"/>
        </w:rPr>
        <w:t xml:space="preserve"> </w:t>
      </w:r>
      <w:r>
        <w:rPr>
          <w:rFonts w:ascii="Times New Roman" w:hAnsi="Times New Roman"/>
          <w:bCs/>
          <w:szCs w:val="24"/>
        </w:rPr>
        <w:t>КС</w:t>
      </w:r>
      <w:r w:rsidR="0042679D">
        <w:rPr>
          <w:rFonts w:ascii="Times New Roman" w:hAnsi="Times New Roman"/>
          <w:bCs/>
          <w:szCs w:val="24"/>
        </w:rPr>
        <w:t xml:space="preserve">, </w:t>
      </w:r>
      <w:r>
        <w:rPr>
          <w:rFonts w:ascii="Times New Roman" w:hAnsi="Times New Roman"/>
          <w:bCs/>
          <w:szCs w:val="24"/>
        </w:rPr>
        <w:t>медицинским</w:t>
      </w:r>
      <w:r w:rsidR="0042679D" w:rsidRPr="00295637">
        <w:rPr>
          <w:rFonts w:ascii="Times New Roman" w:hAnsi="Times New Roman"/>
          <w:bCs/>
          <w:szCs w:val="24"/>
        </w:rPr>
        <w:t xml:space="preserve"> </w:t>
      </w:r>
      <w:r>
        <w:rPr>
          <w:rFonts w:ascii="Times New Roman" w:hAnsi="Times New Roman"/>
          <w:bCs/>
          <w:szCs w:val="24"/>
        </w:rPr>
        <w:t>особљем</w:t>
      </w:r>
      <w:r w:rsidR="0042679D" w:rsidRPr="00295637">
        <w:rPr>
          <w:rFonts w:ascii="Times New Roman" w:hAnsi="Times New Roman"/>
          <w:bCs/>
          <w:szCs w:val="24"/>
        </w:rPr>
        <w:t xml:space="preserve"> </w:t>
      </w:r>
      <w:r>
        <w:rPr>
          <w:rFonts w:ascii="Times New Roman" w:hAnsi="Times New Roman"/>
          <w:bCs/>
          <w:szCs w:val="24"/>
        </w:rPr>
        <w:t>Оп</w:t>
      </w:r>
      <w:r w:rsidR="002924B3">
        <w:rPr>
          <w:rFonts w:ascii="Times New Roman" w:hAnsi="Times New Roman"/>
          <w:bCs/>
          <w:szCs w:val="24"/>
          <w:lang w:val="sr-Cyrl-BA"/>
        </w:rPr>
        <w:t>шт</w:t>
      </w:r>
      <w:r>
        <w:rPr>
          <w:rFonts w:ascii="Times New Roman" w:hAnsi="Times New Roman"/>
          <w:bCs/>
          <w:szCs w:val="24"/>
        </w:rPr>
        <w:t>е</w:t>
      </w:r>
      <w:r w:rsidR="0042679D" w:rsidRPr="00295637">
        <w:rPr>
          <w:rFonts w:ascii="Times New Roman" w:hAnsi="Times New Roman"/>
          <w:bCs/>
          <w:szCs w:val="24"/>
        </w:rPr>
        <w:t xml:space="preserve"> </w:t>
      </w:r>
      <w:r>
        <w:rPr>
          <w:rFonts w:ascii="Times New Roman" w:hAnsi="Times New Roman"/>
          <w:bCs/>
          <w:szCs w:val="24"/>
        </w:rPr>
        <w:t>болнице</w:t>
      </w:r>
      <w:r w:rsidR="0042679D" w:rsidRPr="00295637">
        <w:rPr>
          <w:rFonts w:ascii="Times New Roman" w:hAnsi="Times New Roman"/>
          <w:bCs/>
          <w:szCs w:val="24"/>
        </w:rPr>
        <w:t xml:space="preserve"> </w:t>
      </w:r>
      <w:r>
        <w:rPr>
          <w:rFonts w:ascii="Times New Roman" w:hAnsi="Times New Roman"/>
          <w:bCs/>
          <w:szCs w:val="24"/>
        </w:rPr>
        <w:t>и</w:t>
      </w:r>
      <w:r w:rsidR="0042679D" w:rsidRPr="00295637">
        <w:rPr>
          <w:rFonts w:ascii="Times New Roman" w:hAnsi="Times New Roman"/>
          <w:bCs/>
          <w:szCs w:val="24"/>
        </w:rPr>
        <w:t xml:space="preserve"> </w:t>
      </w:r>
      <w:r>
        <w:rPr>
          <w:rFonts w:ascii="Times New Roman" w:hAnsi="Times New Roman"/>
          <w:bCs/>
          <w:szCs w:val="24"/>
        </w:rPr>
        <w:t>Фондацијом</w:t>
      </w:r>
      <w:r w:rsidR="0042679D" w:rsidRPr="00295637">
        <w:rPr>
          <w:rFonts w:ascii="Times New Roman" w:hAnsi="Times New Roman"/>
          <w:bCs/>
          <w:szCs w:val="24"/>
        </w:rPr>
        <w:t xml:space="preserve"> </w:t>
      </w:r>
      <w:r>
        <w:rPr>
          <w:rFonts w:ascii="Times New Roman" w:hAnsi="Times New Roman"/>
          <w:bCs/>
          <w:szCs w:val="24"/>
        </w:rPr>
        <w:t>локалне</w:t>
      </w:r>
      <w:r w:rsidR="0042679D" w:rsidRPr="00295637">
        <w:rPr>
          <w:rFonts w:ascii="Times New Roman" w:hAnsi="Times New Roman"/>
          <w:bCs/>
          <w:szCs w:val="24"/>
        </w:rPr>
        <w:t xml:space="preserve"> </w:t>
      </w:r>
      <w:r>
        <w:rPr>
          <w:rFonts w:ascii="Times New Roman" w:hAnsi="Times New Roman"/>
          <w:bCs/>
          <w:szCs w:val="24"/>
        </w:rPr>
        <w:t>демократије</w:t>
      </w:r>
      <w:r w:rsidR="0042679D" w:rsidRPr="00295637">
        <w:rPr>
          <w:rFonts w:ascii="Times New Roman" w:hAnsi="Times New Roman"/>
          <w:bCs/>
          <w:szCs w:val="24"/>
        </w:rPr>
        <w:t xml:space="preserve">. </w:t>
      </w:r>
      <w:r>
        <w:rPr>
          <w:rFonts w:ascii="Times New Roman" w:hAnsi="Times New Roman"/>
          <w:bCs/>
          <w:szCs w:val="24"/>
        </w:rPr>
        <w:t>Активности</w:t>
      </w:r>
      <w:r w:rsidR="0042679D" w:rsidRPr="00295637">
        <w:rPr>
          <w:rFonts w:ascii="Times New Roman" w:hAnsi="Times New Roman"/>
          <w:bCs/>
          <w:szCs w:val="24"/>
        </w:rPr>
        <w:t xml:space="preserve"> </w:t>
      </w:r>
      <w:r>
        <w:rPr>
          <w:rFonts w:ascii="Times New Roman" w:hAnsi="Times New Roman"/>
          <w:bCs/>
          <w:szCs w:val="24"/>
        </w:rPr>
        <w:t>на</w:t>
      </w:r>
      <w:r w:rsidR="0042679D" w:rsidRPr="00295637">
        <w:rPr>
          <w:rFonts w:ascii="Times New Roman" w:hAnsi="Times New Roman"/>
          <w:bCs/>
          <w:szCs w:val="24"/>
        </w:rPr>
        <w:t xml:space="preserve"> </w:t>
      </w:r>
      <w:r>
        <w:rPr>
          <w:rFonts w:ascii="Times New Roman" w:hAnsi="Times New Roman"/>
          <w:bCs/>
          <w:szCs w:val="24"/>
        </w:rPr>
        <w:t>успостављању</w:t>
      </w:r>
      <w:r w:rsidR="0042679D" w:rsidRPr="00295637">
        <w:rPr>
          <w:rFonts w:ascii="Times New Roman" w:hAnsi="Times New Roman"/>
          <w:bCs/>
          <w:szCs w:val="24"/>
        </w:rPr>
        <w:t xml:space="preserve"> </w:t>
      </w:r>
      <w:r>
        <w:rPr>
          <w:rFonts w:ascii="Times New Roman" w:hAnsi="Times New Roman"/>
          <w:bCs/>
          <w:szCs w:val="24"/>
        </w:rPr>
        <w:t>поменутог</w:t>
      </w:r>
      <w:r w:rsidR="0042679D" w:rsidRPr="00295637">
        <w:rPr>
          <w:rFonts w:ascii="Times New Roman" w:hAnsi="Times New Roman"/>
          <w:bCs/>
          <w:szCs w:val="24"/>
        </w:rPr>
        <w:t xml:space="preserve"> </w:t>
      </w:r>
      <w:r>
        <w:rPr>
          <w:rFonts w:ascii="Times New Roman" w:hAnsi="Times New Roman"/>
          <w:bCs/>
          <w:szCs w:val="24"/>
        </w:rPr>
        <w:t>протокола</w:t>
      </w:r>
      <w:r w:rsidR="0042679D" w:rsidRPr="00295637">
        <w:rPr>
          <w:rFonts w:ascii="Times New Roman" w:hAnsi="Times New Roman"/>
          <w:bCs/>
          <w:szCs w:val="24"/>
        </w:rPr>
        <w:t xml:space="preserve"> </w:t>
      </w:r>
      <w:r w:rsidR="002924B3">
        <w:rPr>
          <w:rFonts w:ascii="Times New Roman" w:hAnsi="Times New Roman"/>
          <w:bCs/>
          <w:szCs w:val="24"/>
        </w:rPr>
        <w:t xml:space="preserve">је </w:t>
      </w:r>
      <w:r>
        <w:rPr>
          <w:rFonts w:ascii="Times New Roman" w:hAnsi="Times New Roman"/>
          <w:bCs/>
          <w:szCs w:val="24"/>
        </w:rPr>
        <w:t>подржало</w:t>
      </w:r>
      <w:r w:rsidR="0042679D" w:rsidRPr="00295637">
        <w:rPr>
          <w:rFonts w:ascii="Times New Roman" w:hAnsi="Times New Roman"/>
          <w:bCs/>
          <w:szCs w:val="24"/>
        </w:rPr>
        <w:t xml:space="preserve"> </w:t>
      </w:r>
      <w:r>
        <w:rPr>
          <w:rFonts w:ascii="Times New Roman" w:hAnsi="Times New Roman"/>
          <w:bCs/>
          <w:szCs w:val="24"/>
        </w:rPr>
        <w:t>и</w:t>
      </w:r>
      <w:r w:rsidR="0042679D" w:rsidRPr="00295637">
        <w:rPr>
          <w:rFonts w:ascii="Times New Roman" w:hAnsi="Times New Roman"/>
          <w:bCs/>
          <w:szCs w:val="24"/>
        </w:rPr>
        <w:t xml:space="preserve"> </w:t>
      </w:r>
      <w:r>
        <w:rPr>
          <w:rFonts w:ascii="Times New Roman" w:hAnsi="Times New Roman"/>
          <w:lang w:val="bs-Latn-BA"/>
        </w:rPr>
        <w:t>ФМЗ</w:t>
      </w:r>
      <w:r w:rsidR="0042679D" w:rsidRPr="00295637">
        <w:rPr>
          <w:rFonts w:ascii="Times New Roman" w:hAnsi="Times New Roman"/>
          <w:lang w:val="bs-Latn-BA"/>
        </w:rPr>
        <w:t xml:space="preserve">. </w:t>
      </w:r>
      <w:r>
        <w:rPr>
          <w:rFonts w:ascii="Times New Roman" w:hAnsi="Times New Roman"/>
          <w:lang w:val="bs-Latn-BA"/>
        </w:rPr>
        <w:t>Исти</w:t>
      </w:r>
      <w:r w:rsidR="009B4947">
        <w:rPr>
          <w:rFonts w:ascii="Times New Roman" w:hAnsi="Times New Roman"/>
          <w:lang w:val="bs-Latn-BA"/>
        </w:rPr>
        <w:t xml:space="preserve"> </w:t>
      </w:r>
      <w:r>
        <w:rPr>
          <w:rFonts w:ascii="Times New Roman" w:hAnsi="Times New Roman"/>
          <w:lang w:val="bs-Latn-BA"/>
        </w:rPr>
        <w:t>ће</w:t>
      </w:r>
      <w:r w:rsidR="009B4947">
        <w:rPr>
          <w:rFonts w:ascii="Times New Roman" w:hAnsi="Times New Roman"/>
          <w:lang w:val="bs-Latn-BA"/>
        </w:rPr>
        <w:t xml:space="preserve"> </w:t>
      </w:r>
      <w:r>
        <w:rPr>
          <w:rFonts w:ascii="Times New Roman" w:hAnsi="Times New Roman"/>
          <w:lang w:val="bs-Latn-BA"/>
        </w:rPr>
        <w:t>послужити</w:t>
      </w:r>
      <w:r w:rsidR="009B4947">
        <w:rPr>
          <w:rFonts w:ascii="Times New Roman" w:hAnsi="Times New Roman"/>
          <w:lang w:val="bs-Latn-BA"/>
        </w:rPr>
        <w:t xml:space="preserve"> </w:t>
      </w:r>
      <w:r>
        <w:rPr>
          <w:rFonts w:ascii="Times New Roman" w:hAnsi="Times New Roman"/>
          <w:lang w:val="bs-Latn-BA"/>
        </w:rPr>
        <w:t>као</w:t>
      </w:r>
      <w:r w:rsidR="009B4947">
        <w:rPr>
          <w:rFonts w:ascii="Times New Roman" w:hAnsi="Times New Roman"/>
          <w:lang w:val="bs-Latn-BA"/>
        </w:rPr>
        <w:t xml:space="preserve"> </w:t>
      </w:r>
      <w:r>
        <w:rPr>
          <w:rFonts w:ascii="Times New Roman" w:hAnsi="Times New Roman"/>
          <w:lang w:val="bs-Latn-BA"/>
        </w:rPr>
        <w:t>примјер</w:t>
      </w:r>
      <w:r w:rsidR="009B4947">
        <w:rPr>
          <w:rFonts w:ascii="Times New Roman" w:hAnsi="Times New Roman"/>
          <w:lang w:val="bs-Latn-BA"/>
        </w:rPr>
        <w:t xml:space="preserve"> </w:t>
      </w:r>
      <w:r>
        <w:rPr>
          <w:rFonts w:ascii="Times New Roman" w:hAnsi="Times New Roman"/>
          <w:lang w:val="bs-Latn-BA"/>
        </w:rPr>
        <w:t>добре</w:t>
      </w:r>
      <w:r w:rsidR="009B4947">
        <w:rPr>
          <w:rFonts w:ascii="Times New Roman" w:hAnsi="Times New Roman"/>
          <w:lang w:val="bs-Latn-BA"/>
        </w:rPr>
        <w:t xml:space="preserve"> </w:t>
      </w:r>
      <w:r>
        <w:rPr>
          <w:rFonts w:ascii="Times New Roman" w:hAnsi="Times New Roman"/>
          <w:lang w:val="bs-Latn-BA"/>
        </w:rPr>
        <w:t>праксе</w:t>
      </w:r>
      <w:r w:rsidR="009B4947">
        <w:rPr>
          <w:rFonts w:ascii="Times New Roman" w:hAnsi="Times New Roman"/>
          <w:lang w:val="bs-Latn-BA"/>
        </w:rPr>
        <w:t xml:space="preserve"> </w:t>
      </w:r>
      <w:r>
        <w:rPr>
          <w:rFonts w:ascii="Times New Roman" w:hAnsi="Times New Roman"/>
          <w:lang w:val="bs-Latn-BA"/>
        </w:rPr>
        <w:t>у</w:t>
      </w:r>
      <w:r w:rsidR="009B4947">
        <w:rPr>
          <w:rFonts w:ascii="Times New Roman" w:hAnsi="Times New Roman"/>
          <w:lang w:val="bs-Latn-BA"/>
        </w:rPr>
        <w:t xml:space="preserve"> </w:t>
      </w:r>
      <w:r>
        <w:rPr>
          <w:rFonts w:ascii="Times New Roman" w:hAnsi="Times New Roman"/>
          <w:lang w:val="bs-Latn-BA"/>
        </w:rPr>
        <w:t>наредном</w:t>
      </w:r>
      <w:r w:rsidR="009B4947">
        <w:rPr>
          <w:rFonts w:ascii="Times New Roman" w:hAnsi="Times New Roman"/>
          <w:lang w:val="bs-Latn-BA"/>
        </w:rPr>
        <w:t xml:space="preserve"> </w:t>
      </w:r>
      <w:r>
        <w:rPr>
          <w:rFonts w:ascii="Times New Roman" w:hAnsi="Times New Roman"/>
          <w:lang w:val="bs-Latn-BA"/>
        </w:rPr>
        <w:t>периоду</w:t>
      </w:r>
      <w:r w:rsidR="009B4947">
        <w:rPr>
          <w:rFonts w:ascii="Times New Roman" w:hAnsi="Times New Roman"/>
          <w:lang w:val="bs-Latn-BA"/>
        </w:rPr>
        <w:t xml:space="preserve"> </w:t>
      </w:r>
      <w:r>
        <w:rPr>
          <w:rFonts w:ascii="Times New Roman" w:hAnsi="Times New Roman"/>
          <w:lang w:val="bs-Latn-BA"/>
        </w:rPr>
        <w:t>за</w:t>
      </w:r>
      <w:r w:rsidR="009B4947">
        <w:rPr>
          <w:rFonts w:ascii="Times New Roman" w:hAnsi="Times New Roman"/>
          <w:lang w:val="bs-Latn-BA"/>
        </w:rPr>
        <w:t xml:space="preserve"> </w:t>
      </w:r>
      <w:r>
        <w:rPr>
          <w:rFonts w:ascii="Times New Roman" w:hAnsi="Times New Roman"/>
          <w:lang w:val="bs-Latn-BA"/>
        </w:rPr>
        <w:t>клиничке</w:t>
      </w:r>
      <w:r w:rsidR="009B4947">
        <w:rPr>
          <w:rFonts w:ascii="Times New Roman" w:hAnsi="Times New Roman"/>
          <w:lang w:val="bs-Latn-BA"/>
        </w:rPr>
        <w:t xml:space="preserve"> </w:t>
      </w:r>
      <w:r>
        <w:rPr>
          <w:rFonts w:ascii="Times New Roman" w:hAnsi="Times New Roman"/>
          <w:lang w:val="bs-Latn-BA"/>
        </w:rPr>
        <w:t>центре</w:t>
      </w:r>
      <w:r w:rsidR="009B4947">
        <w:rPr>
          <w:rFonts w:ascii="Times New Roman" w:hAnsi="Times New Roman"/>
          <w:lang w:val="bs-Latn-BA"/>
        </w:rPr>
        <w:t xml:space="preserve"> </w:t>
      </w:r>
      <w:r>
        <w:rPr>
          <w:rFonts w:ascii="Times New Roman" w:hAnsi="Times New Roman"/>
          <w:lang w:val="bs-Latn-BA"/>
        </w:rPr>
        <w:t>у</w:t>
      </w:r>
      <w:r w:rsidR="009B4947">
        <w:rPr>
          <w:rFonts w:ascii="Times New Roman" w:hAnsi="Times New Roman"/>
          <w:lang w:val="bs-Latn-BA"/>
        </w:rPr>
        <w:t xml:space="preserve"> </w:t>
      </w:r>
      <w:r>
        <w:rPr>
          <w:rFonts w:ascii="Times New Roman" w:hAnsi="Times New Roman"/>
          <w:lang w:val="bs-Latn-BA"/>
        </w:rPr>
        <w:t>Тузли</w:t>
      </w:r>
      <w:r w:rsidR="009B4947">
        <w:rPr>
          <w:rFonts w:ascii="Times New Roman" w:hAnsi="Times New Roman"/>
          <w:lang w:val="bs-Latn-BA"/>
        </w:rPr>
        <w:t xml:space="preserve"> </w:t>
      </w:r>
      <w:r>
        <w:rPr>
          <w:rFonts w:ascii="Times New Roman" w:hAnsi="Times New Roman"/>
          <w:lang w:val="bs-Latn-BA"/>
        </w:rPr>
        <w:t>и</w:t>
      </w:r>
      <w:r w:rsidR="009B4947">
        <w:rPr>
          <w:rFonts w:ascii="Times New Roman" w:hAnsi="Times New Roman"/>
          <w:lang w:val="bs-Latn-BA"/>
        </w:rPr>
        <w:t xml:space="preserve"> </w:t>
      </w:r>
      <w:r>
        <w:rPr>
          <w:rFonts w:ascii="Times New Roman" w:hAnsi="Times New Roman"/>
          <w:lang w:val="bs-Latn-BA"/>
        </w:rPr>
        <w:t>Мостару</w:t>
      </w:r>
      <w:r w:rsidR="009B4947">
        <w:rPr>
          <w:rFonts w:ascii="Times New Roman" w:hAnsi="Times New Roman"/>
          <w:lang w:val="bs-Latn-BA"/>
        </w:rPr>
        <w:t xml:space="preserve">. </w:t>
      </w:r>
    </w:p>
    <w:p w:rsidR="0042679D" w:rsidRPr="00295637" w:rsidRDefault="0042679D" w:rsidP="0086268D">
      <w:pPr>
        <w:pStyle w:val="BodyText"/>
        <w:ind w:left="720"/>
        <w:rPr>
          <w:rFonts w:ascii="Times New Roman" w:hAnsi="Times New Roman"/>
          <w:lang w:val="sr-Latn-BA"/>
        </w:rPr>
      </w:pPr>
    </w:p>
    <w:p w:rsidR="0042679D"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Кроз</w:t>
      </w:r>
      <w:r w:rsidR="0042679D" w:rsidRPr="00295637">
        <w:rPr>
          <w:rFonts w:ascii="Times New Roman" w:hAnsi="Times New Roman"/>
          <w:szCs w:val="24"/>
          <w:lang w:val="bs-Latn-BA"/>
        </w:rPr>
        <w:t xml:space="preserve"> </w:t>
      </w:r>
      <w:r>
        <w:rPr>
          <w:rFonts w:ascii="Times New Roman" w:hAnsi="Times New Roman"/>
          <w:szCs w:val="24"/>
          <w:lang w:val="bs-Latn-BA"/>
        </w:rPr>
        <w:t>програме</w:t>
      </w:r>
      <w:r w:rsidR="0042679D" w:rsidRPr="00295637">
        <w:rPr>
          <w:rFonts w:ascii="Times New Roman" w:hAnsi="Times New Roman"/>
          <w:szCs w:val="24"/>
          <w:lang w:val="bs-Latn-BA"/>
        </w:rPr>
        <w:t xml:space="preserve"> </w:t>
      </w:r>
      <w:r>
        <w:rPr>
          <w:rFonts w:ascii="Times New Roman" w:hAnsi="Times New Roman"/>
          <w:szCs w:val="24"/>
          <w:lang w:val="bs-Latn-BA"/>
        </w:rPr>
        <w:t>јачања</w:t>
      </w:r>
      <w:r w:rsidR="0042679D" w:rsidRPr="00295637">
        <w:rPr>
          <w:rFonts w:ascii="Times New Roman" w:hAnsi="Times New Roman"/>
          <w:szCs w:val="24"/>
          <w:lang w:val="bs-Latn-BA"/>
        </w:rPr>
        <w:t xml:space="preserve"> </w:t>
      </w:r>
      <w:r>
        <w:rPr>
          <w:rFonts w:ascii="Times New Roman" w:hAnsi="Times New Roman"/>
          <w:szCs w:val="24"/>
          <w:lang w:val="bs-Latn-BA"/>
        </w:rPr>
        <w:t>капацитета</w:t>
      </w:r>
      <w:r w:rsidR="0042679D" w:rsidRPr="00295637">
        <w:rPr>
          <w:rFonts w:ascii="Times New Roman" w:hAnsi="Times New Roman"/>
          <w:szCs w:val="24"/>
          <w:lang w:val="bs-Latn-BA"/>
        </w:rPr>
        <w:t xml:space="preserve"> </w:t>
      </w:r>
      <w:r>
        <w:rPr>
          <w:rFonts w:ascii="Times New Roman" w:hAnsi="Times New Roman"/>
          <w:szCs w:val="24"/>
          <w:lang w:val="bs-Latn-BA"/>
        </w:rPr>
        <w:t>повећава</w:t>
      </w:r>
      <w:r w:rsidR="0042679D" w:rsidRPr="00295637">
        <w:rPr>
          <w:rFonts w:ascii="Times New Roman" w:hAnsi="Times New Roman"/>
          <w:szCs w:val="24"/>
          <w:lang w:val="bs-Latn-BA"/>
        </w:rPr>
        <w:t xml:space="preserve"> </w:t>
      </w:r>
      <w:r>
        <w:rPr>
          <w:rFonts w:ascii="Times New Roman" w:hAnsi="Times New Roman"/>
          <w:szCs w:val="24"/>
          <w:lang w:val="bs-Latn-BA"/>
        </w:rPr>
        <w:t>се</w:t>
      </w:r>
      <w:r w:rsidR="0042679D" w:rsidRPr="00295637">
        <w:rPr>
          <w:rFonts w:ascii="Times New Roman" w:hAnsi="Times New Roman"/>
          <w:szCs w:val="24"/>
          <w:lang w:val="bs-Latn-BA"/>
        </w:rPr>
        <w:t xml:space="preserve"> </w:t>
      </w:r>
      <w:r>
        <w:rPr>
          <w:rFonts w:ascii="Times New Roman" w:hAnsi="Times New Roman"/>
          <w:szCs w:val="24"/>
          <w:lang w:val="bs-Latn-BA"/>
        </w:rPr>
        <w:t>број</w:t>
      </w:r>
      <w:r w:rsidR="0042679D" w:rsidRPr="00295637">
        <w:rPr>
          <w:rFonts w:ascii="Times New Roman" w:hAnsi="Times New Roman"/>
          <w:szCs w:val="24"/>
          <w:lang w:val="bs-Latn-BA"/>
        </w:rPr>
        <w:t xml:space="preserve"> </w:t>
      </w:r>
      <w:r>
        <w:rPr>
          <w:rFonts w:ascii="Times New Roman" w:hAnsi="Times New Roman"/>
          <w:szCs w:val="24"/>
          <w:lang w:val="bs-Latn-BA"/>
        </w:rPr>
        <w:t>медицинских</w:t>
      </w:r>
      <w:r w:rsidR="0042679D" w:rsidRPr="00295637">
        <w:rPr>
          <w:rFonts w:ascii="Times New Roman" w:hAnsi="Times New Roman"/>
          <w:szCs w:val="24"/>
          <w:lang w:val="bs-Latn-BA"/>
        </w:rPr>
        <w:t xml:space="preserve"> </w:t>
      </w:r>
      <w:r>
        <w:rPr>
          <w:rFonts w:ascii="Times New Roman" w:hAnsi="Times New Roman"/>
          <w:szCs w:val="24"/>
          <w:lang w:val="bs-Latn-BA"/>
        </w:rPr>
        <w:t>сестара</w:t>
      </w:r>
      <w:r w:rsidR="0042679D" w:rsidRPr="00295637">
        <w:rPr>
          <w:rFonts w:ascii="Times New Roman" w:hAnsi="Times New Roman"/>
          <w:szCs w:val="24"/>
          <w:lang w:val="bs-Latn-BA"/>
        </w:rPr>
        <w:t xml:space="preserve"> </w:t>
      </w:r>
      <w:r>
        <w:rPr>
          <w:rFonts w:ascii="Times New Roman" w:hAnsi="Times New Roman"/>
          <w:szCs w:val="24"/>
          <w:lang w:val="bs-Latn-BA"/>
        </w:rPr>
        <w:t>које</w:t>
      </w:r>
      <w:r w:rsidR="0042679D" w:rsidRPr="00295637">
        <w:rPr>
          <w:rFonts w:ascii="Times New Roman" w:hAnsi="Times New Roman"/>
          <w:szCs w:val="24"/>
          <w:lang w:val="bs-Latn-BA"/>
        </w:rPr>
        <w:t xml:space="preserve"> </w:t>
      </w:r>
      <w:r>
        <w:rPr>
          <w:rFonts w:ascii="Times New Roman" w:hAnsi="Times New Roman"/>
          <w:szCs w:val="24"/>
          <w:lang w:val="bs-Latn-BA"/>
        </w:rPr>
        <w:t>су</w:t>
      </w:r>
      <w:r w:rsidR="0042679D" w:rsidRPr="00295637">
        <w:rPr>
          <w:rFonts w:ascii="Times New Roman" w:hAnsi="Times New Roman"/>
          <w:szCs w:val="24"/>
          <w:lang w:val="bs-Latn-BA"/>
        </w:rPr>
        <w:t xml:space="preserve"> </w:t>
      </w:r>
      <w:r>
        <w:rPr>
          <w:rFonts w:ascii="Times New Roman" w:hAnsi="Times New Roman"/>
          <w:szCs w:val="24"/>
          <w:lang w:val="bs-Latn-BA"/>
        </w:rPr>
        <w:t>сензибилиз</w:t>
      </w:r>
      <w:r w:rsidR="002924B3">
        <w:rPr>
          <w:rFonts w:ascii="Times New Roman" w:hAnsi="Times New Roman"/>
          <w:szCs w:val="24"/>
          <w:lang w:val="sr-Cyrl-BA"/>
        </w:rPr>
        <w:t>оване</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оспособљене</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препознавање</w:t>
      </w:r>
      <w:r w:rsidR="0042679D" w:rsidRPr="00295637">
        <w:rPr>
          <w:rFonts w:ascii="Times New Roman" w:hAnsi="Times New Roman"/>
          <w:szCs w:val="24"/>
          <w:lang w:val="bs-Latn-BA"/>
        </w:rPr>
        <w:t xml:space="preserve"> </w:t>
      </w:r>
      <w:r>
        <w:rPr>
          <w:rFonts w:ascii="Times New Roman" w:hAnsi="Times New Roman"/>
          <w:szCs w:val="24"/>
          <w:lang w:val="bs-Latn-BA"/>
        </w:rPr>
        <w:t>родно</w:t>
      </w:r>
      <w:r w:rsidR="0042679D" w:rsidRPr="00295637">
        <w:rPr>
          <w:rFonts w:ascii="Times New Roman" w:hAnsi="Times New Roman"/>
          <w:szCs w:val="24"/>
          <w:lang w:val="bs-Latn-BA"/>
        </w:rPr>
        <w:t xml:space="preserve"> </w:t>
      </w:r>
      <w:r>
        <w:rPr>
          <w:rFonts w:ascii="Times New Roman" w:hAnsi="Times New Roman"/>
          <w:szCs w:val="24"/>
          <w:lang w:val="bs-Latn-BA"/>
        </w:rPr>
        <w:t>заснованог</w:t>
      </w:r>
      <w:r w:rsidR="0042679D" w:rsidRPr="00295637">
        <w:rPr>
          <w:rFonts w:ascii="Times New Roman" w:hAnsi="Times New Roman"/>
          <w:szCs w:val="24"/>
          <w:lang w:val="bs-Latn-BA"/>
        </w:rPr>
        <w:t xml:space="preserve"> </w:t>
      </w:r>
      <w:r>
        <w:rPr>
          <w:rFonts w:ascii="Times New Roman" w:hAnsi="Times New Roman"/>
          <w:szCs w:val="24"/>
          <w:lang w:val="bs-Latn-BA"/>
        </w:rPr>
        <w:t>насиља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свом</w:t>
      </w:r>
      <w:r w:rsidR="0042679D" w:rsidRPr="00295637">
        <w:rPr>
          <w:rFonts w:ascii="Times New Roman" w:hAnsi="Times New Roman"/>
          <w:szCs w:val="24"/>
          <w:lang w:val="bs-Latn-BA"/>
        </w:rPr>
        <w:t xml:space="preserve"> </w:t>
      </w:r>
      <w:r>
        <w:rPr>
          <w:rFonts w:ascii="Times New Roman" w:hAnsi="Times New Roman"/>
          <w:szCs w:val="24"/>
          <w:lang w:val="bs-Latn-BA"/>
        </w:rPr>
        <w:t>раду</w:t>
      </w:r>
      <w:r w:rsidR="0042679D" w:rsidRPr="00295637">
        <w:rPr>
          <w:rFonts w:ascii="Times New Roman" w:hAnsi="Times New Roman"/>
          <w:szCs w:val="24"/>
          <w:lang w:val="bs-Latn-BA"/>
        </w:rPr>
        <w:t xml:space="preserve">. </w:t>
      </w:r>
      <w:r>
        <w:rPr>
          <w:rFonts w:ascii="Times New Roman" w:hAnsi="Times New Roman"/>
          <w:szCs w:val="24"/>
          <w:lang w:val="bs-Latn-BA"/>
        </w:rPr>
        <w:t>ФМЗ</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сарадњи</w:t>
      </w:r>
      <w:r w:rsidR="007F5458">
        <w:rPr>
          <w:rFonts w:ascii="Times New Roman" w:hAnsi="Times New Roman"/>
          <w:szCs w:val="24"/>
          <w:lang w:val="bs-Latn-BA"/>
        </w:rPr>
        <w:t xml:space="preserve"> </w:t>
      </w:r>
      <w:r>
        <w:rPr>
          <w:rFonts w:ascii="Times New Roman" w:hAnsi="Times New Roman"/>
          <w:szCs w:val="24"/>
          <w:lang w:val="bs-Latn-BA"/>
        </w:rPr>
        <w:t>са</w:t>
      </w:r>
      <w:r w:rsidR="0042679D" w:rsidRPr="00295637">
        <w:rPr>
          <w:rFonts w:ascii="Times New Roman" w:hAnsi="Times New Roman"/>
          <w:szCs w:val="24"/>
          <w:lang w:val="bs-Latn-BA"/>
        </w:rPr>
        <w:t xml:space="preserve"> </w:t>
      </w:r>
      <w:r>
        <w:rPr>
          <w:rFonts w:ascii="Times New Roman" w:hAnsi="Times New Roman"/>
          <w:szCs w:val="24"/>
          <w:lang w:val="bs-Latn-BA"/>
        </w:rPr>
        <w:t>овлаш</w:t>
      </w:r>
      <w:r w:rsidR="002924B3">
        <w:rPr>
          <w:rFonts w:ascii="Times New Roman" w:hAnsi="Times New Roman"/>
          <w:szCs w:val="24"/>
          <w:lang w:val="sr-Cyrl-BA"/>
        </w:rPr>
        <w:t>ћ</w:t>
      </w:r>
      <w:r>
        <w:rPr>
          <w:rFonts w:ascii="Times New Roman" w:hAnsi="Times New Roman"/>
          <w:szCs w:val="24"/>
          <w:lang w:val="bs-Latn-BA"/>
        </w:rPr>
        <w:t>еним</w:t>
      </w:r>
      <w:r w:rsidR="0042679D" w:rsidRPr="00295637">
        <w:rPr>
          <w:rFonts w:ascii="Times New Roman" w:hAnsi="Times New Roman"/>
          <w:szCs w:val="24"/>
          <w:lang w:val="bs-Latn-BA"/>
        </w:rPr>
        <w:t xml:space="preserve"> </w:t>
      </w:r>
      <w:r>
        <w:rPr>
          <w:rFonts w:ascii="Times New Roman" w:hAnsi="Times New Roman"/>
          <w:szCs w:val="24"/>
          <w:lang w:val="bs-Latn-BA"/>
        </w:rPr>
        <w:t>домовима</w:t>
      </w:r>
      <w:r w:rsidR="0042679D" w:rsidRPr="00295637">
        <w:rPr>
          <w:rFonts w:ascii="Times New Roman" w:hAnsi="Times New Roman"/>
          <w:szCs w:val="24"/>
          <w:lang w:val="bs-Latn-BA"/>
        </w:rPr>
        <w:t xml:space="preserve"> </w:t>
      </w:r>
      <w:r>
        <w:rPr>
          <w:rFonts w:ascii="Times New Roman" w:hAnsi="Times New Roman"/>
          <w:szCs w:val="24"/>
          <w:lang w:val="bs-Latn-BA"/>
        </w:rPr>
        <w:t>здравља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Фондацијом</w:t>
      </w:r>
      <w:r w:rsidR="0042679D" w:rsidRPr="00295637">
        <w:rPr>
          <w:rFonts w:ascii="Times New Roman" w:hAnsi="Times New Roman"/>
          <w:szCs w:val="24"/>
          <w:lang w:val="bs-Latn-BA"/>
        </w:rPr>
        <w:t xml:space="preserve"> „</w:t>
      </w:r>
      <w:r>
        <w:rPr>
          <w:rFonts w:ascii="Times New Roman" w:hAnsi="Times New Roman"/>
          <w:szCs w:val="24"/>
          <w:lang w:val="bs-Latn-BA"/>
        </w:rPr>
        <w:t>Фами</w:t>
      </w:r>
      <w:r w:rsidR="0042679D" w:rsidRPr="00295637">
        <w:rPr>
          <w:rFonts w:ascii="Times New Roman" w:hAnsi="Times New Roman"/>
          <w:szCs w:val="24"/>
          <w:lang w:val="bs-Latn-BA"/>
        </w:rPr>
        <w:t xml:space="preserve">“ </w:t>
      </w:r>
      <w:r>
        <w:rPr>
          <w:rFonts w:ascii="Times New Roman" w:hAnsi="Times New Roman"/>
          <w:szCs w:val="24"/>
          <w:lang w:val="bs-Latn-BA"/>
        </w:rPr>
        <w:t>проводи</w:t>
      </w:r>
      <w:r w:rsidR="0042679D" w:rsidRPr="00295637">
        <w:rPr>
          <w:rFonts w:ascii="Times New Roman" w:hAnsi="Times New Roman"/>
          <w:szCs w:val="24"/>
          <w:lang w:val="bs-Latn-BA"/>
        </w:rPr>
        <w:t xml:space="preserve"> </w:t>
      </w:r>
      <w:r>
        <w:rPr>
          <w:rFonts w:ascii="Times New Roman" w:hAnsi="Times New Roman"/>
          <w:szCs w:val="24"/>
          <w:lang w:val="bs-Latn-BA"/>
        </w:rPr>
        <w:t>програме</w:t>
      </w:r>
      <w:r w:rsidR="0042679D" w:rsidRPr="00295637">
        <w:rPr>
          <w:rFonts w:ascii="Times New Roman" w:hAnsi="Times New Roman"/>
          <w:szCs w:val="24"/>
          <w:lang w:val="bs-Latn-BA"/>
        </w:rPr>
        <w:t xml:space="preserve"> </w:t>
      </w:r>
      <w:r>
        <w:rPr>
          <w:rFonts w:ascii="Times New Roman" w:hAnsi="Times New Roman"/>
          <w:szCs w:val="24"/>
          <w:lang w:val="bs-Latn-BA"/>
        </w:rPr>
        <w:t>едукације</w:t>
      </w:r>
      <w:r w:rsidR="0042679D" w:rsidRPr="00295637">
        <w:rPr>
          <w:rFonts w:ascii="Times New Roman" w:hAnsi="Times New Roman"/>
          <w:szCs w:val="24"/>
          <w:lang w:val="bs-Latn-BA"/>
        </w:rPr>
        <w:t xml:space="preserve"> </w:t>
      </w:r>
      <w:r>
        <w:rPr>
          <w:rFonts w:ascii="Times New Roman" w:hAnsi="Times New Roman"/>
          <w:szCs w:val="24"/>
          <w:lang w:val="bs-Latn-BA"/>
        </w:rPr>
        <w:t>медицинских</w:t>
      </w:r>
      <w:r w:rsidR="0042679D" w:rsidRPr="00295637">
        <w:rPr>
          <w:rFonts w:ascii="Times New Roman" w:hAnsi="Times New Roman"/>
          <w:szCs w:val="24"/>
          <w:lang w:val="bs-Latn-BA"/>
        </w:rPr>
        <w:t xml:space="preserve"> </w:t>
      </w:r>
      <w:r>
        <w:rPr>
          <w:rFonts w:ascii="Times New Roman" w:hAnsi="Times New Roman"/>
          <w:szCs w:val="24"/>
          <w:lang w:val="bs-Latn-BA"/>
        </w:rPr>
        <w:t>сестара</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рад</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заједници</w:t>
      </w:r>
      <w:r w:rsidR="0042679D" w:rsidRPr="00295637">
        <w:rPr>
          <w:rFonts w:ascii="Times New Roman" w:hAnsi="Times New Roman"/>
          <w:szCs w:val="24"/>
          <w:lang w:val="bs-Latn-BA"/>
        </w:rPr>
        <w:t xml:space="preserve">. </w:t>
      </w:r>
      <w:r>
        <w:rPr>
          <w:rFonts w:ascii="Times New Roman" w:hAnsi="Times New Roman"/>
          <w:szCs w:val="24"/>
          <w:lang w:val="bs-Latn-BA"/>
        </w:rPr>
        <w:t>Ови</w:t>
      </w:r>
      <w:r w:rsidR="0042679D" w:rsidRPr="00295637">
        <w:rPr>
          <w:rFonts w:ascii="Times New Roman" w:hAnsi="Times New Roman"/>
          <w:szCs w:val="24"/>
          <w:lang w:val="bs-Latn-BA"/>
        </w:rPr>
        <w:t xml:space="preserve"> </w:t>
      </w:r>
      <w:r>
        <w:rPr>
          <w:rFonts w:ascii="Times New Roman" w:hAnsi="Times New Roman"/>
          <w:szCs w:val="24"/>
          <w:lang w:val="bs-Latn-BA"/>
        </w:rPr>
        <w:t>програми</w:t>
      </w:r>
      <w:r w:rsidR="0042679D" w:rsidRPr="00295637">
        <w:rPr>
          <w:rFonts w:ascii="Times New Roman" w:hAnsi="Times New Roman"/>
          <w:szCs w:val="24"/>
          <w:lang w:val="bs-Latn-BA"/>
        </w:rPr>
        <w:t xml:space="preserve"> </w:t>
      </w:r>
      <w:r>
        <w:rPr>
          <w:rFonts w:ascii="Times New Roman" w:hAnsi="Times New Roman"/>
          <w:szCs w:val="24"/>
          <w:lang w:val="bs-Latn-BA"/>
        </w:rPr>
        <w:t>обухватају</w:t>
      </w:r>
      <w:r w:rsidR="0042679D" w:rsidRPr="00295637">
        <w:rPr>
          <w:rFonts w:ascii="Times New Roman" w:hAnsi="Times New Roman"/>
          <w:szCs w:val="24"/>
          <w:lang w:val="bs-Latn-BA"/>
        </w:rPr>
        <w:t xml:space="preserve"> </w:t>
      </w:r>
      <w:r>
        <w:rPr>
          <w:rFonts w:ascii="Times New Roman" w:hAnsi="Times New Roman"/>
          <w:szCs w:val="24"/>
          <w:lang w:val="bs-Latn-BA"/>
        </w:rPr>
        <w:t>теме</w:t>
      </w:r>
      <w:r w:rsidR="0042679D" w:rsidRPr="00295637">
        <w:rPr>
          <w:rFonts w:ascii="Times New Roman" w:hAnsi="Times New Roman"/>
          <w:szCs w:val="24"/>
          <w:lang w:val="bs-Latn-BA"/>
        </w:rPr>
        <w:t xml:space="preserve"> </w:t>
      </w:r>
      <w:r>
        <w:rPr>
          <w:rFonts w:ascii="Times New Roman" w:hAnsi="Times New Roman"/>
          <w:szCs w:val="24"/>
          <w:lang w:val="bs-Latn-BA"/>
        </w:rPr>
        <w:t>из</w:t>
      </w:r>
      <w:r w:rsidR="0042679D" w:rsidRPr="00295637">
        <w:rPr>
          <w:rFonts w:ascii="Times New Roman" w:hAnsi="Times New Roman"/>
          <w:szCs w:val="24"/>
          <w:lang w:val="bs-Latn-BA"/>
        </w:rPr>
        <w:t xml:space="preserve"> </w:t>
      </w:r>
      <w:r>
        <w:rPr>
          <w:rFonts w:ascii="Times New Roman" w:hAnsi="Times New Roman"/>
          <w:szCs w:val="24"/>
          <w:lang w:val="bs-Latn-BA"/>
        </w:rPr>
        <w:t>здравствене</w:t>
      </w:r>
      <w:r w:rsidR="0042679D" w:rsidRPr="00295637">
        <w:rPr>
          <w:rFonts w:ascii="Times New Roman" w:hAnsi="Times New Roman"/>
          <w:szCs w:val="24"/>
          <w:lang w:val="bs-Latn-BA"/>
        </w:rPr>
        <w:t xml:space="preserve"> </w:t>
      </w:r>
      <w:r>
        <w:rPr>
          <w:rFonts w:ascii="Times New Roman" w:hAnsi="Times New Roman"/>
          <w:szCs w:val="24"/>
          <w:lang w:val="bs-Latn-BA"/>
        </w:rPr>
        <w:t>његе</w:t>
      </w:r>
      <w:r w:rsidR="0042679D" w:rsidRPr="00295637">
        <w:rPr>
          <w:rFonts w:ascii="Times New Roman" w:hAnsi="Times New Roman"/>
          <w:szCs w:val="24"/>
          <w:lang w:val="bs-Latn-BA"/>
        </w:rPr>
        <w:t xml:space="preserve">, </w:t>
      </w:r>
      <w:r>
        <w:rPr>
          <w:rFonts w:ascii="Times New Roman" w:hAnsi="Times New Roman"/>
          <w:szCs w:val="24"/>
          <w:lang w:val="bs-Latn-BA"/>
        </w:rPr>
        <w:t>са</w:t>
      </w:r>
      <w:r w:rsidR="0042679D" w:rsidRPr="00295637">
        <w:rPr>
          <w:rFonts w:ascii="Times New Roman" w:hAnsi="Times New Roman"/>
          <w:szCs w:val="24"/>
          <w:lang w:val="bs-Latn-BA"/>
        </w:rPr>
        <w:t xml:space="preserve"> </w:t>
      </w:r>
      <w:r>
        <w:rPr>
          <w:rFonts w:ascii="Times New Roman" w:hAnsi="Times New Roman"/>
          <w:szCs w:val="24"/>
          <w:lang w:val="bs-Latn-BA"/>
        </w:rPr>
        <w:t>посебним</w:t>
      </w:r>
      <w:r w:rsidR="0042679D" w:rsidRPr="00295637">
        <w:rPr>
          <w:rFonts w:ascii="Times New Roman" w:hAnsi="Times New Roman"/>
          <w:szCs w:val="24"/>
          <w:lang w:val="bs-Latn-BA"/>
        </w:rPr>
        <w:t xml:space="preserve"> </w:t>
      </w:r>
      <w:r>
        <w:rPr>
          <w:rFonts w:ascii="Times New Roman" w:hAnsi="Times New Roman"/>
          <w:szCs w:val="24"/>
          <w:lang w:val="bs-Latn-BA"/>
        </w:rPr>
        <w:t>нагласком</w:t>
      </w:r>
      <w:r w:rsidR="0042679D" w:rsidRPr="00295637">
        <w:rPr>
          <w:rFonts w:ascii="Times New Roman" w:hAnsi="Times New Roman"/>
          <w:szCs w:val="24"/>
          <w:lang w:val="bs-Latn-BA"/>
        </w:rPr>
        <w:t xml:space="preserve"> </w:t>
      </w:r>
      <w:r>
        <w:rPr>
          <w:rFonts w:ascii="Times New Roman" w:hAnsi="Times New Roman"/>
          <w:szCs w:val="24"/>
          <w:lang w:val="bs-Latn-BA"/>
        </w:rPr>
        <w:t>на</w:t>
      </w:r>
      <w:r w:rsidR="0042679D"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42679D" w:rsidRPr="00295637">
        <w:rPr>
          <w:rFonts w:ascii="Times New Roman" w:hAnsi="Times New Roman"/>
          <w:szCs w:val="24"/>
          <w:lang w:val="bs-Latn-BA"/>
        </w:rPr>
        <w:t xml:space="preserve"> </w:t>
      </w:r>
      <w:r>
        <w:rPr>
          <w:rFonts w:ascii="Times New Roman" w:hAnsi="Times New Roman"/>
          <w:szCs w:val="24"/>
          <w:lang w:val="bs-Latn-BA"/>
        </w:rPr>
        <w:t>полова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родно</w:t>
      </w:r>
      <w:r w:rsidR="0042679D" w:rsidRPr="00295637">
        <w:rPr>
          <w:rFonts w:ascii="Times New Roman" w:hAnsi="Times New Roman"/>
          <w:szCs w:val="24"/>
          <w:lang w:val="bs-Latn-BA"/>
        </w:rPr>
        <w:t xml:space="preserve"> </w:t>
      </w:r>
      <w:r>
        <w:rPr>
          <w:rFonts w:ascii="Times New Roman" w:hAnsi="Times New Roman"/>
          <w:szCs w:val="24"/>
          <w:lang w:val="bs-Latn-BA"/>
        </w:rPr>
        <w:t>засновано</w:t>
      </w:r>
      <w:r w:rsidR="0042679D" w:rsidRPr="00295637">
        <w:rPr>
          <w:rFonts w:ascii="Times New Roman" w:hAnsi="Times New Roman"/>
          <w:szCs w:val="24"/>
          <w:lang w:val="bs-Latn-BA"/>
        </w:rPr>
        <w:t xml:space="preserve"> </w:t>
      </w:r>
      <w:r>
        <w:rPr>
          <w:rFonts w:ascii="Times New Roman" w:hAnsi="Times New Roman"/>
          <w:szCs w:val="24"/>
          <w:lang w:val="bs-Latn-BA"/>
        </w:rPr>
        <w:t>насиље</w:t>
      </w:r>
      <w:r w:rsidR="0042679D" w:rsidRPr="00295637">
        <w:rPr>
          <w:rFonts w:ascii="Times New Roman" w:hAnsi="Times New Roman"/>
          <w:szCs w:val="24"/>
          <w:lang w:val="bs-Latn-BA"/>
        </w:rPr>
        <w:t>.</w:t>
      </w:r>
    </w:p>
    <w:p w:rsidR="00E514F6" w:rsidRPr="00E514F6" w:rsidRDefault="00E514F6" w:rsidP="0086268D">
      <w:pPr>
        <w:pStyle w:val="ListParagraph"/>
        <w:rPr>
          <w:rFonts w:ascii="Times New Roman" w:hAnsi="Times New Roman"/>
          <w:szCs w:val="24"/>
          <w:lang w:val="bs-Latn-BA"/>
        </w:rPr>
      </w:pPr>
    </w:p>
    <w:p w:rsidR="007D31BE" w:rsidRPr="007D31BE" w:rsidRDefault="00C6214E" w:rsidP="0086268D">
      <w:pPr>
        <w:pStyle w:val="ListParagraph"/>
        <w:numPr>
          <w:ilvl w:val="0"/>
          <w:numId w:val="17"/>
        </w:numPr>
        <w:jc w:val="both"/>
        <w:rPr>
          <w:rFonts w:ascii="Times New Roman" w:hAnsi="Times New Roman"/>
          <w:lang w:val="sr-Latn-BA"/>
        </w:rPr>
      </w:pPr>
      <w:r>
        <w:rPr>
          <w:rFonts w:ascii="Times New Roman" w:hAnsi="Times New Roman"/>
          <w:lang w:val="bs-Latn-BA"/>
        </w:rPr>
        <w:t>ФМЗ</w:t>
      </w:r>
      <w:r w:rsidR="00E514F6" w:rsidRPr="003F60DD">
        <w:rPr>
          <w:rFonts w:ascii="Times New Roman" w:hAnsi="Times New Roman"/>
          <w:lang w:val="bs-Latn-BA"/>
        </w:rPr>
        <w:t xml:space="preserve"> </w:t>
      </w:r>
      <w:r w:rsidR="002924B3">
        <w:rPr>
          <w:rFonts w:ascii="Times New Roman" w:hAnsi="Times New Roman"/>
          <w:lang w:val="bs-Latn-BA"/>
        </w:rPr>
        <w:t xml:space="preserve">је </w:t>
      </w:r>
      <w:r>
        <w:rPr>
          <w:rFonts w:ascii="Times New Roman" w:hAnsi="Times New Roman"/>
          <w:lang w:val="bs-Latn-BA"/>
        </w:rPr>
        <w:t>организ</w:t>
      </w:r>
      <w:r w:rsidR="002924B3">
        <w:rPr>
          <w:rFonts w:ascii="Times New Roman" w:hAnsi="Times New Roman"/>
          <w:lang w:val="sr-Cyrl-BA"/>
        </w:rPr>
        <w:t>овало</w:t>
      </w:r>
      <w:r w:rsidR="00E514F6" w:rsidRPr="003F60DD">
        <w:rPr>
          <w:rFonts w:ascii="Times New Roman" w:hAnsi="Times New Roman"/>
          <w:lang w:val="bs-Latn-BA"/>
        </w:rPr>
        <w:t xml:space="preserve"> </w:t>
      </w:r>
      <w:r>
        <w:rPr>
          <w:rFonts w:ascii="Times New Roman" w:hAnsi="Times New Roman"/>
          <w:lang w:val="bs-Latn-BA"/>
        </w:rPr>
        <w:t>едукације</w:t>
      </w:r>
      <w:r w:rsidR="00E514F6" w:rsidRPr="003F60DD">
        <w:rPr>
          <w:rFonts w:ascii="Times New Roman" w:hAnsi="Times New Roman"/>
          <w:lang w:val="bs-Latn-BA"/>
        </w:rPr>
        <w:t xml:space="preserve"> </w:t>
      </w:r>
      <w:r>
        <w:rPr>
          <w:rFonts w:ascii="Times New Roman" w:hAnsi="Times New Roman"/>
          <w:lang w:val="bs-Latn-BA"/>
        </w:rPr>
        <w:t>на</w:t>
      </w:r>
      <w:r w:rsidR="00E514F6" w:rsidRPr="003F60DD">
        <w:rPr>
          <w:rFonts w:ascii="Times New Roman" w:hAnsi="Times New Roman"/>
          <w:lang w:val="bs-Latn-BA"/>
        </w:rPr>
        <w:t xml:space="preserve"> </w:t>
      </w:r>
      <w:r>
        <w:rPr>
          <w:rFonts w:ascii="Times New Roman" w:hAnsi="Times New Roman"/>
          <w:lang w:val="bs-Latn-BA"/>
        </w:rPr>
        <w:t>тему</w:t>
      </w:r>
      <w:r w:rsidR="00E514F6" w:rsidRPr="003F60DD">
        <w:rPr>
          <w:rFonts w:ascii="Times New Roman" w:hAnsi="Times New Roman"/>
          <w:lang w:val="bs-Latn-BA"/>
        </w:rPr>
        <w:t xml:space="preserve"> </w:t>
      </w:r>
      <w:r w:rsidR="001F18C0">
        <w:rPr>
          <w:rFonts w:ascii="Times New Roman" w:hAnsi="Times New Roman"/>
          <w:lang w:val="bs-Latn-BA"/>
        </w:rPr>
        <w:t>„</w:t>
      </w:r>
      <w:r>
        <w:rPr>
          <w:rFonts w:ascii="Times New Roman" w:hAnsi="Times New Roman"/>
          <w:lang w:val="bs-Latn-BA"/>
        </w:rPr>
        <w:t>Јачање</w:t>
      </w:r>
      <w:r w:rsidR="00E514F6" w:rsidRPr="003F60DD">
        <w:rPr>
          <w:rFonts w:ascii="Times New Roman" w:hAnsi="Times New Roman"/>
          <w:lang w:val="bs-Latn-BA"/>
        </w:rPr>
        <w:t xml:space="preserve"> </w:t>
      </w:r>
      <w:r>
        <w:rPr>
          <w:rFonts w:ascii="Times New Roman" w:hAnsi="Times New Roman"/>
          <w:lang w:val="bs-Latn-BA"/>
        </w:rPr>
        <w:t>одговора</w:t>
      </w:r>
      <w:r w:rsidR="00E514F6" w:rsidRPr="003F60DD">
        <w:rPr>
          <w:rFonts w:ascii="Times New Roman" w:hAnsi="Times New Roman"/>
          <w:lang w:val="bs-Latn-BA"/>
        </w:rPr>
        <w:t xml:space="preserve"> </w:t>
      </w:r>
      <w:r>
        <w:rPr>
          <w:rFonts w:ascii="Times New Roman" w:hAnsi="Times New Roman"/>
          <w:lang w:val="bs-Latn-BA"/>
        </w:rPr>
        <w:t>здравственог</w:t>
      </w:r>
      <w:r w:rsidR="00E514F6" w:rsidRPr="003F60DD">
        <w:rPr>
          <w:rFonts w:ascii="Times New Roman" w:hAnsi="Times New Roman"/>
          <w:lang w:val="bs-Latn-BA"/>
        </w:rPr>
        <w:t xml:space="preserve"> </w:t>
      </w:r>
      <w:r>
        <w:rPr>
          <w:rFonts w:ascii="Times New Roman" w:hAnsi="Times New Roman"/>
          <w:lang w:val="bs-Latn-BA"/>
        </w:rPr>
        <w:t>система</w:t>
      </w:r>
      <w:r w:rsidR="00E514F6" w:rsidRPr="003F60DD">
        <w:rPr>
          <w:rFonts w:ascii="Times New Roman" w:hAnsi="Times New Roman"/>
          <w:lang w:val="bs-Latn-BA"/>
        </w:rPr>
        <w:t xml:space="preserve"> </w:t>
      </w:r>
      <w:r>
        <w:rPr>
          <w:rFonts w:ascii="Times New Roman" w:hAnsi="Times New Roman"/>
          <w:lang w:val="bs-Latn-BA"/>
        </w:rPr>
        <w:t>на</w:t>
      </w:r>
      <w:r w:rsidR="00E514F6" w:rsidRPr="003F60DD">
        <w:rPr>
          <w:rFonts w:ascii="Times New Roman" w:hAnsi="Times New Roman"/>
          <w:lang w:val="bs-Latn-BA"/>
        </w:rPr>
        <w:t xml:space="preserve"> </w:t>
      </w:r>
      <w:r>
        <w:rPr>
          <w:rFonts w:ascii="Times New Roman" w:hAnsi="Times New Roman"/>
          <w:lang w:val="bs-Latn-BA"/>
        </w:rPr>
        <w:t>родно</w:t>
      </w:r>
      <w:r w:rsidR="00E514F6" w:rsidRPr="003F60DD">
        <w:rPr>
          <w:rFonts w:ascii="Times New Roman" w:hAnsi="Times New Roman"/>
          <w:lang w:val="bs-Latn-BA"/>
        </w:rPr>
        <w:t xml:space="preserve"> </w:t>
      </w:r>
      <w:r>
        <w:rPr>
          <w:rFonts w:ascii="Times New Roman" w:hAnsi="Times New Roman"/>
          <w:lang w:val="bs-Latn-BA"/>
        </w:rPr>
        <w:t>засновано</w:t>
      </w:r>
      <w:r w:rsidR="00E514F6" w:rsidRPr="003F60DD">
        <w:rPr>
          <w:rFonts w:ascii="Times New Roman" w:hAnsi="Times New Roman"/>
          <w:lang w:val="bs-Latn-BA"/>
        </w:rPr>
        <w:t xml:space="preserve"> </w:t>
      </w:r>
      <w:r>
        <w:rPr>
          <w:rFonts w:ascii="Times New Roman" w:hAnsi="Times New Roman"/>
          <w:lang w:val="bs-Latn-BA"/>
        </w:rPr>
        <w:t>насиље</w:t>
      </w:r>
      <w:r w:rsidR="00E514F6" w:rsidRPr="003F60DD">
        <w:rPr>
          <w:rFonts w:ascii="Times New Roman" w:hAnsi="Times New Roman"/>
          <w:lang w:val="bs-Latn-BA"/>
        </w:rPr>
        <w:t xml:space="preserve"> </w:t>
      </w:r>
      <w:r>
        <w:rPr>
          <w:rFonts w:ascii="Times New Roman" w:hAnsi="Times New Roman"/>
          <w:lang w:val="bs-Latn-BA"/>
        </w:rPr>
        <w:t>у</w:t>
      </w:r>
      <w:r w:rsidR="00E514F6" w:rsidRPr="003F60DD">
        <w:rPr>
          <w:rFonts w:ascii="Times New Roman" w:hAnsi="Times New Roman"/>
          <w:lang w:val="bs-Latn-BA"/>
        </w:rPr>
        <w:t xml:space="preserve"> </w:t>
      </w:r>
      <w:r>
        <w:rPr>
          <w:rFonts w:ascii="Times New Roman" w:hAnsi="Times New Roman"/>
          <w:lang w:val="bs-Latn-BA"/>
        </w:rPr>
        <w:t>ФБиХ</w:t>
      </w:r>
      <w:r w:rsidR="001F18C0">
        <w:rPr>
          <w:rFonts w:ascii="Times New Roman" w:hAnsi="Times New Roman"/>
          <w:lang w:val="bs-Latn-BA"/>
        </w:rPr>
        <w:t>“</w:t>
      </w:r>
      <w:r w:rsidR="00E514F6" w:rsidRPr="003F60DD">
        <w:rPr>
          <w:rFonts w:ascii="Times New Roman" w:hAnsi="Times New Roman"/>
          <w:lang w:val="bs-Latn-BA"/>
        </w:rPr>
        <w:t xml:space="preserve">. </w:t>
      </w:r>
      <w:r>
        <w:rPr>
          <w:rFonts w:ascii="Times New Roman" w:hAnsi="Times New Roman"/>
          <w:lang w:val="bs-Latn-BA"/>
        </w:rPr>
        <w:t>Едукације</w:t>
      </w:r>
      <w:r w:rsidR="00E514F6" w:rsidRPr="003F60DD">
        <w:rPr>
          <w:rFonts w:ascii="Times New Roman" w:hAnsi="Times New Roman"/>
          <w:lang w:val="bs-Latn-BA"/>
        </w:rPr>
        <w:t xml:space="preserve"> </w:t>
      </w:r>
      <w:r>
        <w:rPr>
          <w:rFonts w:ascii="Times New Roman" w:hAnsi="Times New Roman"/>
          <w:lang w:val="bs-Latn-BA"/>
        </w:rPr>
        <w:t>су</w:t>
      </w:r>
      <w:r w:rsidR="00E514F6" w:rsidRPr="003F60DD">
        <w:rPr>
          <w:rFonts w:ascii="Times New Roman" w:hAnsi="Times New Roman"/>
          <w:lang w:val="bs-Latn-BA"/>
        </w:rPr>
        <w:t xml:space="preserve"> </w:t>
      </w:r>
      <w:r>
        <w:rPr>
          <w:rFonts w:ascii="Times New Roman" w:hAnsi="Times New Roman"/>
          <w:lang w:val="bs-Latn-BA"/>
        </w:rPr>
        <w:t>реализ</w:t>
      </w:r>
      <w:r w:rsidR="002924B3">
        <w:rPr>
          <w:rFonts w:ascii="Times New Roman" w:hAnsi="Times New Roman"/>
          <w:lang w:val="sr-Cyrl-BA"/>
        </w:rPr>
        <w:t>оване</w:t>
      </w:r>
      <w:r w:rsidR="00E514F6" w:rsidRPr="003F60DD">
        <w:rPr>
          <w:rFonts w:ascii="Times New Roman" w:hAnsi="Times New Roman"/>
          <w:lang w:val="bs-Latn-BA"/>
        </w:rPr>
        <w:t xml:space="preserve"> </w:t>
      </w:r>
      <w:r>
        <w:rPr>
          <w:rFonts w:ascii="Times New Roman" w:hAnsi="Times New Roman"/>
          <w:lang w:val="bs-Latn-BA"/>
        </w:rPr>
        <w:t>у</w:t>
      </w:r>
      <w:r w:rsidR="00E514F6" w:rsidRPr="003F60DD">
        <w:rPr>
          <w:rFonts w:ascii="Times New Roman" w:hAnsi="Times New Roman"/>
          <w:lang w:val="bs-Latn-BA"/>
        </w:rPr>
        <w:t xml:space="preserve"> </w:t>
      </w:r>
      <w:r>
        <w:rPr>
          <w:rFonts w:ascii="Times New Roman" w:hAnsi="Times New Roman"/>
          <w:lang w:val="bs-Latn-BA"/>
        </w:rPr>
        <w:t>Мостару</w:t>
      </w:r>
      <w:r w:rsidR="00E514F6" w:rsidRPr="003F60DD">
        <w:rPr>
          <w:rFonts w:ascii="Times New Roman" w:hAnsi="Times New Roman"/>
          <w:lang w:val="bs-Latn-BA"/>
        </w:rPr>
        <w:t xml:space="preserve">, </w:t>
      </w:r>
      <w:r>
        <w:rPr>
          <w:rFonts w:ascii="Times New Roman" w:hAnsi="Times New Roman"/>
          <w:lang w:val="bs-Latn-BA"/>
        </w:rPr>
        <w:t>Зеници</w:t>
      </w:r>
      <w:r w:rsidR="00E514F6" w:rsidRPr="003F60DD">
        <w:rPr>
          <w:rFonts w:ascii="Times New Roman" w:hAnsi="Times New Roman"/>
          <w:lang w:val="bs-Latn-BA"/>
        </w:rPr>
        <w:t xml:space="preserve"> </w:t>
      </w:r>
      <w:r>
        <w:rPr>
          <w:rFonts w:ascii="Times New Roman" w:hAnsi="Times New Roman"/>
          <w:lang w:val="bs-Latn-BA"/>
        </w:rPr>
        <w:t>и</w:t>
      </w:r>
      <w:r w:rsidR="00E514F6" w:rsidRPr="003F60DD">
        <w:rPr>
          <w:rFonts w:ascii="Times New Roman" w:hAnsi="Times New Roman"/>
          <w:lang w:val="bs-Latn-BA"/>
        </w:rPr>
        <w:t xml:space="preserve"> </w:t>
      </w:r>
      <w:r>
        <w:rPr>
          <w:rFonts w:ascii="Times New Roman" w:hAnsi="Times New Roman"/>
          <w:lang w:val="bs-Latn-BA"/>
        </w:rPr>
        <w:t>Тузли</w:t>
      </w:r>
      <w:r w:rsidR="00E514F6" w:rsidRPr="003F60DD">
        <w:rPr>
          <w:rFonts w:ascii="Times New Roman" w:hAnsi="Times New Roman"/>
          <w:lang w:val="bs-Latn-BA"/>
        </w:rPr>
        <w:t xml:space="preserve"> </w:t>
      </w:r>
      <w:r>
        <w:rPr>
          <w:rFonts w:ascii="Times New Roman" w:hAnsi="Times New Roman"/>
          <w:lang w:val="bs-Latn-BA"/>
        </w:rPr>
        <w:t>и</w:t>
      </w:r>
      <w:r w:rsidR="00E514F6" w:rsidRPr="003F60DD">
        <w:rPr>
          <w:rFonts w:ascii="Times New Roman" w:hAnsi="Times New Roman"/>
          <w:lang w:val="bs-Latn-BA"/>
        </w:rPr>
        <w:t xml:space="preserve"> </w:t>
      </w:r>
      <w:r>
        <w:rPr>
          <w:rFonts w:ascii="Times New Roman" w:hAnsi="Times New Roman"/>
          <w:lang w:val="bs-Latn-BA"/>
        </w:rPr>
        <w:t>обухватиле</w:t>
      </w:r>
      <w:r w:rsidR="00E514F6" w:rsidRPr="003F60DD">
        <w:rPr>
          <w:rFonts w:ascii="Times New Roman" w:hAnsi="Times New Roman"/>
          <w:lang w:val="bs-Latn-BA"/>
        </w:rPr>
        <w:t xml:space="preserve"> </w:t>
      </w:r>
      <w:r>
        <w:rPr>
          <w:rFonts w:ascii="Times New Roman" w:hAnsi="Times New Roman"/>
          <w:lang w:val="bs-Latn-BA"/>
        </w:rPr>
        <w:t>су</w:t>
      </w:r>
      <w:r w:rsidR="00E514F6" w:rsidRPr="003F60DD">
        <w:rPr>
          <w:rFonts w:ascii="Times New Roman" w:hAnsi="Times New Roman"/>
          <w:lang w:val="bs-Latn-BA"/>
        </w:rPr>
        <w:t xml:space="preserve"> </w:t>
      </w:r>
      <w:r w:rsidR="00E514F6" w:rsidRPr="003F60DD">
        <w:rPr>
          <w:rStyle w:val="Strong"/>
          <w:rFonts w:ascii="Times New Roman" w:hAnsi="Times New Roman"/>
          <w:b w:val="0"/>
          <w:lang w:val="bs-Latn-BA"/>
        </w:rPr>
        <w:t xml:space="preserve">27 </w:t>
      </w:r>
      <w:r>
        <w:rPr>
          <w:rStyle w:val="Strong"/>
          <w:rFonts w:ascii="Times New Roman" w:hAnsi="Times New Roman"/>
          <w:b w:val="0"/>
          <w:lang w:val="bs-Latn-BA"/>
        </w:rPr>
        <w:t>домова</w:t>
      </w:r>
      <w:r w:rsidR="00E514F6" w:rsidRPr="003F60DD">
        <w:rPr>
          <w:rStyle w:val="Strong"/>
          <w:rFonts w:ascii="Times New Roman" w:hAnsi="Times New Roman"/>
          <w:b w:val="0"/>
          <w:lang w:val="bs-Latn-BA"/>
        </w:rPr>
        <w:t xml:space="preserve"> </w:t>
      </w:r>
      <w:r>
        <w:rPr>
          <w:rStyle w:val="Strong"/>
          <w:rFonts w:ascii="Times New Roman" w:hAnsi="Times New Roman"/>
          <w:b w:val="0"/>
          <w:lang w:val="bs-Latn-BA"/>
        </w:rPr>
        <w:t>здравља</w:t>
      </w:r>
      <w:r w:rsidR="00E514F6" w:rsidRPr="00B521DB">
        <w:rPr>
          <w:rFonts w:ascii="Times New Roman" w:hAnsi="Times New Roman"/>
          <w:lang w:val="bs-Latn-BA"/>
        </w:rPr>
        <w:t>.</w:t>
      </w:r>
      <w:r w:rsidR="00E514F6" w:rsidRPr="00B521DB">
        <w:rPr>
          <w:rFonts w:ascii="Times New Roman" w:hAnsi="Times New Roman"/>
          <w:b/>
          <w:lang w:val="bs-Latn-BA"/>
        </w:rPr>
        <w:t xml:space="preserve"> </w:t>
      </w:r>
      <w:r>
        <w:rPr>
          <w:rFonts w:ascii="Times New Roman" w:hAnsi="Times New Roman"/>
          <w:lang w:val="bs-Latn-BA"/>
        </w:rPr>
        <w:t>Учесници</w:t>
      </w:r>
      <w:r w:rsidR="00E514F6" w:rsidRPr="003F60DD">
        <w:rPr>
          <w:rFonts w:ascii="Times New Roman" w:hAnsi="Times New Roman"/>
          <w:lang w:val="bs-Latn-BA"/>
        </w:rPr>
        <w:t xml:space="preserve"> </w:t>
      </w:r>
      <w:r>
        <w:rPr>
          <w:rFonts w:ascii="Times New Roman" w:hAnsi="Times New Roman"/>
          <w:lang w:val="bs-Latn-BA"/>
        </w:rPr>
        <w:t>едукација</w:t>
      </w:r>
      <w:r w:rsidR="00E514F6" w:rsidRPr="003F60DD">
        <w:rPr>
          <w:rFonts w:ascii="Times New Roman" w:hAnsi="Times New Roman"/>
          <w:lang w:val="bs-Latn-BA"/>
        </w:rPr>
        <w:t xml:space="preserve"> </w:t>
      </w:r>
      <w:r>
        <w:rPr>
          <w:rFonts w:ascii="Times New Roman" w:hAnsi="Times New Roman"/>
          <w:lang w:val="bs-Latn-BA"/>
        </w:rPr>
        <w:t>су</w:t>
      </w:r>
      <w:r w:rsidR="00E514F6" w:rsidRPr="003F60DD">
        <w:rPr>
          <w:rFonts w:ascii="Times New Roman" w:hAnsi="Times New Roman"/>
          <w:lang w:val="bs-Latn-BA"/>
        </w:rPr>
        <w:t xml:space="preserve"> </w:t>
      </w:r>
      <w:r>
        <w:rPr>
          <w:rFonts w:ascii="Times New Roman" w:hAnsi="Times New Roman"/>
          <w:lang w:val="bs-Latn-BA"/>
        </w:rPr>
        <w:t>кључни</w:t>
      </w:r>
      <w:r w:rsidR="00E514F6" w:rsidRPr="003F60DD">
        <w:rPr>
          <w:rFonts w:ascii="Times New Roman" w:hAnsi="Times New Roman"/>
          <w:lang w:val="bs-Latn-BA"/>
        </w:rPr>
        <w:t xml:space="preserve"> </w:t>
      </w:r>
      <w:r>
        <w:rPr>
          <w:rFonts w:ascii="Times New Roman" w:hAnsi="Times New Roman"/>
          <w:lang w:val="bs-Latn-BA"/>
        </w:rPr>
        <w:t>стручни</w:t>
      </w:r>
      <w:r w:rsidR="00E514F6" w:rsidRPr="003F60DD">
        <w:rPr>
          <w:rFonts w:ascii="Times New Roman" w:hAnsi="Times New Roman"/>
          <w:lang w:val="bs-Latn-BA"/>
        </w:rPr>
        <w:t xml:space="preserve"> </w:t>
      </w:r>
      <w:r>
        <w:rPr>
          <w:rFonts w:ascii="Times New Roman" w:hAnsi="Times New Roman"/>
          <w:lang w:val="bs-Latn-BA"/>
        </w:rPr>
        <w:t>кадрови</w:t>
      </w:r>
      <w:r w:rsidR="00E514F6" w:rsidRPr="003F60DD">
        <w:rPr>
          <w:rFonts w:ascii="Times New Roman" w:hAnsi="Times New Roman"/>
          <w:lang w:val="bs-Latn-BA"/>
        </w:rPr>
        <w:t xml:space="preserve"> </w:t>
      </w:r>
      <w:r>
        <w:rPr>
          <w:rFonts w:ascii="Times New Roman" w:hAnsi="Times New Roman"/>
          <w:lang w:val="bs-Latn-BA"/>
        </w:rPr>
        <w:t>домова</w:t>
      </w:r>
      <w:r w:rsidR="00E514F6" w:rsidRPr="003F60DD">
        <w:rPr>
          <w:rFonts w:ascii="Times New Roman" w:hAnsi="Times New Roman"/>
          <w:lang w:val="bs-Latn-BA"/>
        </w:rPr>
        <w:t xml:space="preserve"> </w:t>
      </w:r>
      <w:r>
        <w:rPr>
          <w:rFonts w:ascii="Times New Roman" w:hAnsi="Times New Roman"/>
          <w:lang w:val="bs-Latn-BA"/>
        </w:rPr>
        <w:t>здравља</w:t>
      </w:r>
      <w:r w:rsidR="00E514F6" w:rsidRPr="003F60DD">
        <w:rPr>
          <w:rFonts w:ascii="Times New Roman" w:hAnsi="Times New Roman"/>
          <w:lang w:val="bs-Latn-BA"/>
        </w:rPr>
        <w:t xml:space="preserve">: </w:t>
      </w:r>
      <w:r>
        <w:rPr>
          <w:rFonts w:ascii="Times New Roman" w:hAnsi="Times New Roman"/>
          <w:lang w:val="bs-Latn-BA"/>
        </w:rPr>
        <w:t>доктори</w:t>
      </w:r>
      <w:r w:rsidR="00E514F6" w:rsidRPr="003F60DD">
        <w:rPr>
          <w:rFonts w:ascii="Times New Roman" w:hAnsi="Times New Roman"/>
          <w:lang w:val="bs-Latn-BA"/>
        </w:rPr>
        <w:t xml:space="preserve"> </w:t>
      </w:r>
      <w:r>
        <w:rPr>
          <w:rFonts w:ascii="Times New Roman" w:hAnsi="Times New Roman"/>
          <w:lang w:val="bs-Latn-BA"/>
        </w:rPr>
        <w:t>породичне</w:t>
      </w:r>
      <w:r w:rsidR="00E514F6" w:rsidRPr="003F60DD">
        <w:rPr>
          <w:rFonts w:ascii="Times New Roman" w:hAnsi="Times New Roman"/>
          <w:lang w:val="bs-Latn-BA"/>
        </w:rPr>
        <w:t xml:space="preserve"> </w:t>
      </w:r>
      <w:r>
        <w:rPr>
          <w:rFonts w:ascii="Times New Roman" w:hAnsi="Times New Roman"/>
          <w:lang w:val="bs-Latn-BA"/>
        </w:rPr>
        <w:t>медицине</w:t>
      </w:r>
      <w:r w:rsidR="00E514F6" w:rsidRPr="003F60DD">
        <w:rPr>
          <w:rFonts w:ascii="Times New Roman" w:hAnsi="Times New Roman"/>
          <w:lang w:val="bs-Latn-BA"/>
        </w:rPr>
        <w:t xml:space="preserve">, </w:t>
      </w:r>
      <w:r>
        <w:rPr>
          <w:rFonts w:ascii="Times New Roman" w:hAnsi="Times New Roman"/>
          <w:lang w:val="bs-Latn-BA"/>
        </w:rPr>
        <w:t>гинеколози</w:t>
      </w:r>
      <w:r w:rsidR="00E514F6" w:rsidRPr="003F60DD">
        <w:rPr>
          <w:rFonts w:ascii="Times New Roman" w:hAnsi="Times New Roman"/>
          <w:lang w:val="bs-Latn-BA"/>
        </w:rPr>
        <w:t xml:space="preserve">, </w:t>
      </w:r>
      <w:r>
        <w:rPr>
          <w:rFonts w:ascii="Times New Roman" w:hAnsi="Times New Roman"/>
          <w:lang w:val="bs-Latn-BA"/>
        </w:rPr>
        <w:t>психијатри</w:t>
      </w:r>
      <w:r w:rsidR="00E514F6" w:rsidRPr="003F60DD">
        <w:rPr>
          <w:rFonts w:ascii="Times New Roman" w:hAnsi="Times New Roman"/>
          <w:lang w:val="bs-Latn-BA"/>
        </w:rPr>
        <w:t xml:space="preserve">, </w:t>
      </w:r>
      <w:r>
        <w:rPr>
          <w:rFonts w:ascii="Times New Roman" w:hAnsi="Times New Roman"/>
          <w:lang w:val="bs-Latn-BA"/>
        </w:rPr>
        <w:t>медицинске</w:t>
      </w:r>
      <w:r w:rsidR="00E514F6" w:rsidRPr="003F60DD">
        <w:rPr>
          <w:rFonts w:ascii="Times New Roman" w:hAnsi="Times New Roman"/>
          <w:lang w:val="bs-Latn-BA"/>
        </w:rPr>
        <w:t xml:space="preserve"> </w:t>
      </w:r>
      <w:r>
        <w:rPr>
          <w:rFonts w:ascii="Times New Roman" w:hAnsi="Times New Roman"/>
          <w:lang w:val="bs-Latn-BA"/>
        </w:rPr>
        <w:t>сестре</w:t>
      </w:r>
      <w:r w:rsidR="00E514F6" w:rsidRPr="003F60DD">
        <w:rPr>
          <w:rFonts w:ascii="Times New Roman" w:hAnsi="Times New Roman"/>
          <w:lang w:val="bs-Latn-BA"/>
        </w:rPr>
        <w:t xml:space="preserve">, </w:t>
      </w:r>
      <w:r>
        <w:rPr>
          <w:rFonts w:ascii="Times New Roman" w:hAnsi="Times New Roman"/>
          <w:lang w:val="bs-Latn-BA"/>
        </w:rPr>
        <w:t>психолози</w:t>
      </w:r>
      <w:r w:rsidR="00E514F6" w:rsidRPr="003F60DD">
        <w:rPr>
          <w:rFonts w:ascii="Times New Roman" w:hAnsi="Times New Roman"/>
          <w:lang w:val="bs-Latn-BA"/>
        </w:rPr>
        <w:t xml:space="preserve"> </w:t>
      </w:r>
      <w:r>
        <w:rPr>
          <w:rFonts w:ascii="Times New Roman" w:hAnsi="Times New Roman"/>
          <w:lang w:val="bs-Latn-BA"/>
        </w:rPr>
        <w:t>и</w:t>
      </w:r>
      <w:r w:rsidR="00E514F6" w:rsidRPr="003F60DD">
        <w:rPr>
          <w:rFonts w:ascii="Times New Roman" w:hAnsi="Times New Roman"/>
          <w:lang w:val="bs-Latn-BA"/>
        </w:rPr>
        <w:t xml:space="preserve"> </w:t>
      </w:r>
      <w:r>
        <w:rPr>
          <w:rFonts w:ascii="Times New Roman" w:hAnsi="Times New Roman"/>
          <w:lang w:val="bs-Latn-BA"/>
        </w:rPr>
        <w:t>социјални</w:t>
      </w:r>
      <w:r w:rsidR="00E514F6" w:rsidRPr="003F60DD">
        <w:rPr>
          <w:rFonts w:ascii="Times New Roman" w:hAnsi="Times New Roman"/>
          <w:lang w:val="bs-Latn-BA"/>
        </w:rPr>
        <w:t xml:space="preserve"> </w:t>
      </w:r>
      <w:r>
        <w:rPr>
          <w:rFonts w:ascii="Times New Roman" w:hAnsi="Times New Roman"/>
          <w:lang w:val="bs-Latn-BA"/>
        </w:rPr>
        <w:t>радници</w:t>
      </w:r>
      <w:r w:rsidR="00E514F6" w:rsidRPr="003F60DD">
        <w:rPr>
          <w:rFonts w:ascii="Times New Roman" w:hAnsi="Times New Roman"/>
          <w:lang w:val="bs-Latn-BA"/>
        </w:rPr>
        <w:t>.</w:t>
      </w:r>
    </w:p>
    <w:p w:rsidR="007D31BE" w:rsidRPr="00563217" w:rsidRDefault="007D31BE" w:rsidP="00563217">
      <w:pPr>
        <w:rPr>
          <w:rFonts w:ascii="Times New Roman" w:hAnsi="Times New Roman"/>
          <w:szCs w:val="24"/>
          <w:lang w:val="bs-Latn-BA"/>
        </w:rPr>
      </w:pPr>
    </w:p>
    <w:p w:rsidR="0042679D" w:rsidRPr="007D31BE" w:rsidRDefault="00C6214E" w:rsidP="0086268D">
      <w:pPr>
        <w:pStyle w:val="ListParagraph"/>
        <w:numPr>
          <w:ilvl w:val="0"/>
          <w:numId w:val="17"/>
        </w:numPr>
        <w:jc w:val="both"/>
        <w:rPr>
          <w:rFonts w:ascii="Times New Roman" w:hAnsi="Times New Roman"/>
          <w:lang w:val="sr-Latn-BA"/>
        </w:rPr>
      </w:pPr>
      <w:r>
        <w:rPr>
          <w:rFonts w:ascii="Times New Roman" w:hAnsi="Times New Roman"/>
          <w:szCs w:val="24"/>
          <w:lang w:val="bs-Latn-BA"/>
        </w:rPr>
        <w:t>У</w:t>
      </w:r>
      <w:r w:rsidR="0042679D" w:rsidRPr="007D31BE">
        <w:rPr>
          <w:rFonts w:ascii="Times New Roman" w:hAnsi="Times New Roman"/>
          <w:szCs w:val="24"/>
          <w:lang w:val="bs-Latn-BA"/>
        </w:rPr>
        <w:t xml:space="preserve"> </w:t>
      </w:r>
      <w:r>
        <w:rPr>
          <w:rFonts w:ascii="Times New Roman" w:hAnsi="Times New Roman"/>
          <w:szCs w:val="24"/>
          <w:lang w:val="bs-Latn-BA"/>
        </w:rPr>
        <w:t>Федерацији</w:t>
      </w:r>
      <w:r w:rsidR="0042679D" w:rsidRPr="007D31BE">
        <w:rPr>
          <w:rFonts w:ascii="Times New Roman" w:hAnsi="Times New Roman"/>
          <w:szCs w:val="24"/>
          <w:lang w:val="bs-Latn-BA"/>
        </w:rPr>
        <w:t xml:space="preserve"> </w:t>
      </w:r>
      <w:r>
        <w:rPr>
          <w:rFonts w:ascii="Times New Roman" w:hAnsi="Times New Roman"/>
          <w:szCs w:val="24"/>
          <w:lang w:val="bs-Latn-BA"/>
        </w:rPr>
        <w:t>Босне</w:t>
      </w:r>
      <w:r w:rsidR="00B521DB">
        <w:rPr>
          <w:rFonts w:ascii="Times New Roman" w:hAnsi="Times New Roman"/>
          <w:szCs w:val="24"/>
          <w:lang w:val="bs-Latn-BA"/>
        </w:rPr>
        <w:t xml:space="preserve"> </w:t>
      </w:r>
      <w:r>
        <w:rPr>
          <w:rFonts w:ascii="Times New Roman" w:hAnsi="Times New Roman"/>
          <w:szCs w:val="24"/>
          <w:lang w:val="bs-Latn-BA"/>
        </w:rPr>
        <w:t>и</w:t>
      </w:r>
      <w:r w:rsidR="00B521DB">
        <w:rPr>
          <w:rFonts w:ascii="Times New Roman" w:hAnsi="Times New Roman"/>
          <w:szCs w:val="24"/>
          <w:lang w:val="bs-Latn-BA"/>
        </w:rPr>
        <w:t xml:space="preserve"> </w:t>
      </w:r>
      <w:r>
        <w:rPr>
          <w:rFonts w:ascii="Times New Roman" w:hAnsi="Times New Roman"/>
          <w:szCs w:val="24"/>
          <w:lang w:val="bs-Latn-BA"/>
        </w:rPr>
        <w:t>Херцеговине</w:t>
      </w:r>
      <w:r w:rsidR="00B521DB">
        <w:rPr>
          <w:rFonts w:ascii="Times New Roman" w:hAnsi="Times New Roman"/>
          <w:szCs w:val="24"/>
          <w:lang w:val="bs-Latn-BA"/>
        </w:rPr>
        <w:t xml:space="preserve"> </w:t>
      </w:r>
      <w:r>
        <w:rPr>
          <w:rFonts w:ascii="Times New Roman" w:hAnsi="Times New Roman"/>
          <w:szCs w:val="24"/>
          <w:lang w:val="bs-Latn-BA"/>
        </w:rPr>
        <w:t>је</w:t>
      </w:r>
      <w:r w:rsidR="00B521DB">
        <w:rPr>
          <w:rFonts w:ascii="Times New Roman" w:hAnsi="Times New Roman"/>
          <w:szCs w:val="24"/>
          <w:lang w:val="bs-Latn-BA"/>
        </w:rPr>
        <w:t xml:space="preserve"> </w:t>
      </w:r>
      <w:r>
        <w:rPr>
          <w:rFonts w:ascii="Times New Roman" w:hAnsi="Times New Roman"/>
          <w:szCs w:val="24"/>
          <w:lang w:val="bs-Latn-BA"/>
        </w:rPr>
        <w:t>у</w:t>
      </w:r>
      <w:r w:rsidR="00B521DB">
        <w:rPr>
          <w:rFonts w:ascii="Times New Roman" w:hAnsi="Times New Roman"/>
          <w:szCs w:val="24"/>
          <w:lang w:val="bs-Latn-BA"/>
        </w:rPr>
        <w:t xml:space="preserve"> </w:t>
      </w:r>
      <w:r>
        <w:rPr>
          <w:rFonts w:ascii="Times New Roman" w:hAnsi="Times New Roman"/>
          <w:szCs w:val="24"/>
          <w:lang w:val="bs-Latn-BA"/>
        </w:rPr>
        <w:t>употреби</w:t>
      </w:r>
      <w:r w:rsidR="00B521DB">
        <w:rPr>
          <w:rFonts w:ascii="Times New Roman" w:hAnsi="Times New Roman"/>
          <w:szCs w:val="24"/>
          <w:lang w:val="bs-Latn-BA"/>
        </w:rPr>
        <w:t xml:space="preserve"> „</w:t>
      </w:r>
      <w:r>
        <w:rPr>
          <w:rFonts w:ascii="Times New Roman" w:hAnsi="Times New Roman"/>
          <w:szCs w:val="24"/>
          <w:lang w:val="bs-Latn-BA"/>
        </w:rPr>
        <w:t>Ресурсни</w:t>
      </w:r>
      <w:r w:rsidR="0042679D" w:rsidRPr="007D31BE">
        <w:rPr>
          <w:rFonts w:ascii="Times New Roman" w:hAnsi="Times New Roman"/>
          <w:szCs w:val="24"/>
          <w:lang w:val="bs-Latn-BA"/>
        </w:rPr>
        <w:t xml:space="preserve"> </w:t>
      </w:r>
      <w:r>
        <w:rPr>
          <w:rFonts w:ascii="Times New Roman" w:hAnsi="Times New Roman"/>
          <w:szCs w:val="24"/>
          <w:lang w:val="bs-Latn-BA"/>
        </w:rPr>
        <w:t>пакет</w:t>
      </w:r>
      <w:r w:rsidR="0042679D" w:rsidRPr="007D31BE">
        <w:rPr>
          <w:rFonts w:ascii="Times New Roman" w:hAnsi="Times New Roman"/>
          <w:szCs w:val="24"/>
          <w:lang w:val="bs-Latn-BA"/>
        </w:rPr>
        <w:t xml:space="preserve"> </w:t>
      </w:r>
      <w:r>
        <w:rPr>
          <w:rFonts w:ascii="Times New Roman" w:hAnsi="Times New Roman"/>
          <w:szCs w:val="24"/>
          <w:lang w:val="bs-Latn-BA"/>
        </w:rPr>
        <w:t>за</w:t>
      </w:r>
      <w:r w:rsidR="0042679D" w:rsidRPr="007D31BE">
        <w:rPr>
          <w:rFonts w:ascii="Times New Roman" w:hAnsi="Times New Roman"/>
          <w:szCs w:val="24"/>
          <w:lang w:val="bs-Latn-BA"/>
        </w:rPr>
        <w:t xml:space="preserve"> </w:t>
      </w:r>
      <w:r>
        <w:rPr>
          <w:rFonts w:ascii="Times New Roman" w:hAnsi="Times New Roman"/>
          <w:szCs w:val="24"/>
          <w:lang w:val="bs-Latn-BA"/>
        </w:rPr>
        <w:t>одговор</w:t>
      </w:r>
      <w:r w:rsidR="0042679D" w:rsidRPr="007D31BE">
        <w:rPr>
          <w:rFonts w:ascii="Times New Roman" w:hAnsi="Times New Roman"/>
          <w:szCs w:val="24"/>
          <w:lang w:val="bs-Latn-BA"/>
        </w:rPr>
        <w:t xml:space="preserve"> </w:t>
      </w:r>
      <w:r>
        <w:rPr>
          <w:rFonts w:ascii="Times New Roman" w:hAnsi="Times New Roman"/>
          <w:szCs w:val="24"/>
          <w:lang w:val="bs-Latn-BA"/>
        </w:rPr>
        <w:t>пружалаца</w:t>
      </w:r>
      <w:r w:rsidR="0042679D" w:rsidRPr="007D31BE">
        <w:rPr>
          <w:rFonts w:ascii="Times New Roman" w:hAnsi="Times New Roman"/>
          <w:szCs w:val="24"/>
          <w:lang w:val="bs-Latn-BA"/>
        </w:rPr>
        <w:t xml:space="preserve"> </w:t>
      </w:r>
      <w:r>
        <w:rPr>
          <w:rFonts w:ascii="Times New Roman" w:hAnsi="Times New Roman"/>
          <w:szCs w:val="24"/>
          <w:lang w:val="bs-Latn-BA"/>
        </w:rPr>
        <w:t>здравствених</w:t>
      </w:r>
      <w:r w:rsidR="0042679D" w:rsidRPr="007D31BE">
        <w:rPr>
          <w:rFonts w:ascii="Times New Roman" w:hAnsi="Times New Roman"/>
          <w:szCs w:val="24"/>
          <w:lang w:val="bs-Latn-BA"/>
        </w:rPr>
        <w:t xml:space="preserve"> </w:t>
      </w:r>
      <w:r>
        <w:rPr>
          <w:rFonts w:ascii="Times New Roman" w:hAnsi="Times New Roman"/>
          <w:szCs w:val="24"/>
          <w:lang w:val="bs-Latn-BA"/>
        </w:rPr>
        <w:t>услуга</w:t>
      </w:r>
      <w:r w:rsidR="0042679D" w:rsidRPr="007D31BE">
        <w:rPr>
          <w:rFonts w:ascii="Times New Roman" w:hAnsi="Times New Roman"/>
          <w:szCs w:val="24"/>
          <w:lang w:val="bs-Latn-BA"/>
        </w:rPr>
        <w:t xml:space="preserve"> </w:t>
      </w:r>
      <w:r>
        <w:rPr>
          <w:rFonts w:ascii="Times New Roman" w:hAnsi="Times New Roman"/>
          <w:szCs w:val="24"/>
          <w:lang w:val="bs-Latn-BA"/>
        </w:rPr>
        <w:t>на</w:t>
      </w:r>
      <w:r w:rsidR="0042679D" w:rsidRPr="007D31BE">
        <w:rPr>
          <w:rFonts w:ascii="Times New Roman" w:hAnsi="Times New Roman"/>
          <w:szCs w:val="24"/>
          <w:lang w:val="bs-Latn-BA"/>
        </w:rPr>
        <w:t xml:space="preserve"> </w:t>
      </w:r>
      <w:r>
        <w:rPr>
          <w:rFonts w:ascii="Times New Roman" w:hAnsi="Times New Roman"/>
          <w:szCs w:val="24"/>
          <w:lang w:val="bs-Latn-BA"/>
        </w:rPr>
        <w:t>родно</w:t>
      </w:r>
      <w:r w:rsidR="0042679D" w:rsidRPr="007D31BE">
        <w:rPr>
          <w:rFonts w:ascii="Times New Roman" w:hAnsi="Times New Roman"/>
          <w:szCs w:val="24"/>
          <w:lang w:val="bs-Latn-BA"/>
        </w:rPr>
        <w:t xml:space="preserve"> </w:t>
      </w:r>
      <w:r>
        <w:rPr>
          <w:rFonts w:ascii="Times New Roman" w:hAnsi="Times New Roman"/>
          <w:szCs w:val="24"/>
          <w:lang w:val="bs-Latn-BA"/>
        </w:rPr>
        <w:t>засновано</w:t>
      </w:r>
      <w:r w:rsidR="0042679D" w:rsidRPr="007D31BE">
        <w:rPr>
          <w:rFonts w:ascii="Times New Roman" w:hAnsi="Times New Roman"/>
          <w:szCs w:val="24"/>
          <w:lang w:val="bs-Latn-BA"/>
        </w:rPr>
        <w:t xml:space="preserve"> </w:t>
      </w:r>
      <w:r>
        <w:rPr>
          <w:rFonts w:ascii="Times New Roman" w:hAnsi="Times New Roman"/>
          <w:szCs w:val="24"/>
          <w:lang w:val="bs-Latn-BA"/>
        </w:rPr>
        <w:t>насиље</w:t>
      </w:r>
      <w:r w:rsidR="0042679D" w:rsidRPr="007D31BE">
        <w:rPr>
          <w:rFonts w:ascii="Times New Roman" w:hAnsi="Times New Roman"/>
          <w:szCs w:val="24"/>
          <w:lang w:val="bs-Latn-BA"/>
        </w:rPr>
        <w:t xml:space="preserve">“ </w:t>
      </w:r>
      <w:r>
        <w:rPr>
          <w:rFonts w:ascii="Times New Roman" w:hAnsi="Times New Roman"/>
          <w:szCs w:val="24"/>
          <w:lang w:val="bs-Latn-BA"/>
        </w:rPr>
        <w:t>развијен</w:t>
      </w:r>
      <w:r w:rsidR="0042679D" w:rsidRPr="007D31BE">
        <w:rPr>
          <w:rFonts w:ascii="Times New Roman" w:hAnsi="Times New Roman"/>
          <w:szCs w:val="24"/>
          <w:lang w:val="bs-Latn-BA"/>
        </w:rPr>
        <w:t xml:space="preserve"> </w:t>
      </w:r>
      <w:r>
        <w:rPr>
          <w:rFonts w:ascii="Times New Roman" w:hAnsi="Times New Roman"/>
          <w:szCs w:val="24"/>
          <w:lang w:val="bs-Latn-BA"/>
        </w:rPr>
        <w:t>уз</w:t>
      </w:r>
      <w:r w:rsidR="0042679D" w:rsidRPr="007D31BE">
        <w:rPr>
          <w:rFonts w:ascii="Times New Roman" w:hAnsi="Times New Roman"/>
          <w:szCs w:val="24"/>
          <w:lang w:val="bs-Latn-BA"/>
        </w:rPr>
        <w:t xml:space="preserve"> </w:t>
      </w:r>
      <w:r>
        <w:rPr>
          <w:rFonts w:ascii="Times New Roman" w:hAnsi="Times New Roman"/>
          <w:szCs w:val="24"/>
          <w:lang w:val="bs-Latn-BA"/>
        </w:rPr>
        <w:t>подршку</w:t>
      </w:r>
      <w:r w:rsidR="0042679D" w:rsidRPr="007D31BE">
        <w:rPr>
          <w:rFonts w:ascii="Times New Roman" w:hAnsi="Times New Roman"/>
          <w:szCs w:val="24"/>
          <w:lang w:val="bs-Latn-BA"/>
        </w:rPr>
        <w:t xml:space="preserve"> </w:t>
      </w:r>
      <w:r w:rsidR="002924B3" w:rsidRPr="002924B3">
        <w:rPr>
          <w:rFonts w:ascii="Times New Roman" w:hAnsi="Times New Roman"/>
          <w:i/>
          <w:szCs w:val="24"/>
        </w:rPr>
        <w:t>UNFPA</w:t>
      </w:r>
      <w:r w:rsidR="0042679D" w:rsidRPr="002924B3">
        <w:rPr>
          <w:rFonts w:ascii="Times New Roman" w:hAnsi="Times New Roman"/>
          <w:szCs w:val="24"/>
          <w:lang w:val="bs-Latn-BA"/>
        </w:rPr>
        <w:t xml:space="preserve"> </w:t>
      </w:r>
      <w:r w:rsidRPr="002924B3">
        <w:rPr>
          <w:rFonts w:ascii="Times New Roman" w:hAnsi="Times New Roman"/>
          <w:szCs w:val="24"/>
          <w:lang w:val="bs-Latn-BA"/>
        </w:rPr>
        <w:t>у</w:t>
      </w:r>
      <w:r w:rsidR="0042679D" w:rsidRPr="002924B3">
        <w:rPr>
          <w:rFonts w:ascii="Times New Roman" w:hAnsi="Times New Roman"/>
          <w:szCs w:val="24"/>
          <w:lang w:val="bs-Latn-BA"/>
        </w:rPr>
        <w:t xml:space="preserve"> </w:t>
      </w:r>
      <w:r w:rsidRPr="002924B3">
        <w:rPr>
          <w:rFonts w:ascii="Times New Roman" w:hAnsi="Times New Roman"/>
          <w:szCs w:val="24"/>
          <w:lang w:val="bs-Latn-BA"/>
        </w:rPr>
        <w:t>претходном</w:t>
      </w:r>
      <w:r w:rsidR="0042679D" w:rsidRPr="007D31BE">
        <w:rPr>
          <w:rFonts w:ascii="Times New Roman" w:hAnsi="Times New Roman"/>
          <w:szCs w:val="24"/>
          <w:lang w:val="bs-Latn-BA"/>
        </w:rPr>
        <w:t xml:space="preserve"> </w:t>
      </w:r>
      <w:r>
        <w:rPr>
          <w:rFonts w:ascii="Times New Roman" w:hAnsi="Times New Roman"/>
          <w:szCs w:val="24"/>
          <w:lang w:val="bs-Latn-BA"/>
        </w:rPr>
        <w:t>извјештајном</w:t>
      </w:r>
      <w:r w:rsidR="0042679D" w:rsidRPr="007D31BE">
        <w:rPr>
          <w:rFonts w:ascii="Times New Roman" w:hAnsi="Times New Roman"/>
          <w:szCs w:val="24"/>
          <w:lang w:val="bs-Latn-BA"/>
        </w:rPr>
        <w:t xml:space="preserve"> </w:t>
      </w:r>
      <w:r>
        <w:rPr>
          <w:rFonts w:ascii="Times New Roman" w:hAnsi="Times New Roman"/>
          <w:szCs w:val="24"/>
          <w:lang w:val="bs-Latn-BA"/>
        </w:rPr>
        <w:t>периоду</w:t>
      </w:r>
      <w:r w:rsidR="0042679D" w:rsidRPr="007D31BE">
        <w:rPr>
          <w:rFonts w:ascii="Times New Roman" w:hAnsi="Times New Roman"/>
          <w:szCs w:val="24"/>
          <w:lang w:val="bs-Latn-BA"/>
        </w:rPr>
        <w:t xml:space="preserve">, </w:t>
      </w:r>
      <w:r>
        <w:rPr>
          <w:rFonts w:ascii="Times New Roman" w:hAnsi="Times New Roman"/>
          <w:szCs w:val="24"/>
          <w:lang w:val="bs-Latn-BA"/>
        </w:rPr>
        <w:t>као</w:t>
      </w:r>
      <w:r w:rsidR="0042679D" w:rsidRPr="007D31BE">
        <w:rPr>
          <w:rFonts w:ascii="Times New Roman" w:hAnsi="Times New Roman"/>
          <w:szCs w:val="24"/>
          <w:lang w:val="bs-Latn-BA"/>
        </w:rPr>
        <w:t xml:space="preserve"> </w:t>
      </w:r>
      <w:r>
        <w:rPr>
          <w:rFonts w:ascii="Times New Roman" w:hAnsi="Times New Roman"/>
          <w:szCs w:val="24"/>
          <w:lang w:val="bs-Latn-BA"/>
        </w:rPr>
        <w:t>и</w:t>
      </w:r>
      <w:r w:rsidR="0042679D" w:rsidRPr="007D31BE">
        <w:rPr>
          <w:rFonts w:ascii="Times New Roman" w:hAnsi="Times New Roman"/>
          <w:szCs w:val="24"/>
          <w:lang w:val="bs-Latn-BA"/>
        </w:rPr>
        <w:t xml:space="preserve"> </w:t>
      </w:r>
      <w:r>
        <w:rPr>
          <w:rFonts w:ascii="Times New Roman" w:hAnsi="Times New Roman"/>
          <w:szCs w:val="24"/>
          <w:lang w:val="bs-Latn-BA"/>
        </w:rPr>
        <w:t>ресурсни</w:t>
      </w:r>
      <w:r w:rsidR="0042679D" w:rsidRPr="007D31BE">
        <w:rPr>
          <w:rFonts w:ascii="Times New Roman" w:hAnsi="Times New Roman"/>
          <w:szCs w:val="24"/>
          <w:lang w:val="bs-Latn-BA"/>
        </w:rPr>
        <w:t xml:space="preserve"> </w:t>
      </w:r>
      <w:r>
        <w:rPr>
          <w:rFonts w:ascii="Times New Roman" w:hAnsi="Times New Roman"/>
          <w:szCs w:val="24"/>
          <w:lang w:val="bs-Latn-BA"/>
        </w:rPr>
        <w:t>пакет</w:t>
      </w:r>
      <w:r w:rsidR="0042679D" w:rsidRPr="007D31BE">
        <w:rPr>
          <w:rFonts w:ascii="Times New Roman" w:hAnsi="Times New Roman"/>
          <w:szCs w:val="24"/>
        </w:rPr>
        <w:t>: ”</w:t>
      </w:r>
      <w:r>
        <w:rPr>
          <w:rFonts w:ascii="Times New Roman" w:hAnsi="Times New Roman"/>
          <w:szCs w:val="24"/>
        </w:rPr>
        <w:t>Јачање</w:t>
      </w:r>
      <w:r w:rsidR="0042679D" w:rsidRPr="007D31BE">
        <w:rPr>
          <w:rFonts w:ascii="Times New Roman" w:hAnsi="Times New Roman"/>
          <w:szCs w:val="24"/>
        </w:rPr>
        <w:t xml:space="preserve"> </w:t>
      </w:r>
      <w:r>
        <w:rPr>
          <w:rFonts w:ascii="Times New Roman" w:hAnsi="Times New Roman"/>
          <w:szCs w:val="24"/>
        </w:rPr>
        <w:t>одговора</w:t>
      </w:r>
      <w:r w:rsidR="0042679D" w:rsidRPr="007D31BE">
        <w:rPr>
          <w:rFonts w:ascii="Times New Roman" w:hAnsi="Times New Roman"/>
          <w:szCs w:val="24"/>
        </w:rPr>
        <w:t xml:space="preserve"> </w:t>
      </w:r>
      <w:r>
        <w:rPr>
          <w:rFonts w:ascii="Times New Roman" w:hAnsi="Times New Roman"/>
          <w:szCs w:val="24"/>
        </w:rPr>
        <w:t>пружалаца</w:t>
      </w:r>
      <w:r w:rsidR="0042679D" w:rsidRPr="007D31BE">
        <w:rPr>
          <w:rFonts w:ascii="Times New Roman" w:hAnsi="Times New Roman"/>
          <w:szCs w:val="24"/>
        </w:rPr>
        <w:t xml:space="preserve"> </w:t>
      </w:r>
      <w:r>
        <w:rPr>
          <w:rFonts w:ascii="Times New Roman" w:hAnsi="Times New Roman"/>
          <w:szCs w:val="24"/>
        </w:rPr>
        <w:t>здравствених</w:t>
      </w:r>
      <w:r w:rsidR="0042679D" w:rsidRPr="007D31BE">
        <w:rPr>
          <w:rFonts w:ascii="Times New Roman" w:hAnsi="Times New Roman"/>
          <w:szCs w:val="24"/>
        </w:rPr>
        <w:t xml:space="preserve"> </w:t>
      </w:r>
      <w:r>
        <w:rPr>
          <w:rFonts w:ascii="Times New Roman" w:hAnsi="Times New Roman"/>
          <w:szCs w:val="24"/>
        </w:rPr>
        <w:t>и</w:t>
      </w:r>
      <w:r w:rsidR="0042679D" w:rsidRPr="007D31BE">
        <w:rPr>
          <w:rFonts w:ascii="Times New Roman" w:hAnsi="Times New Roman"/>
          <w:szCs w:val="24"/>
        </w:rPr>
        <w:t xml:space="preserve"> </w:t>
      </w:r>
      <w:r>
        <w:rPr>
          <w:rFonts w:ascii="Times New Roman" w:hAnsi="Times New Roman"/>
          <w:szCs w:val="24"/>
        </w:rPr>
        <w:t>психосоцијалних</w:t>
      </w:r>
      <w:r w:rsidR="0042679D" w:rsidRPr="007D31BE">
        <w:rPr>
          <w:rFonts w:ascii="Times New Roman" w:hAnsi="Times New Roman"/>
          <w:szCs w:val="24"/>
        </w:rPr>
        <w:t xml:space="preserve"> </w:t>
      </w:r>
      <w:r>
        <w:rPr>
          <w:rFonts w:ascii="Times New Roman" w:hAnsi="Times New Roman"/>
          <w:szCs w:val="24"/>
        </w:rPr>
        <w:t>услуга</w:t>
      </w:r>
      <w:r w:rsidR="0042679D" w:rsidRPr="007D31BE">
        <w:rPr>
          <w:rFonts w:ascii="Times New Roman" w:hAnsi="Times New Roman"/>
          <w:szCs w:val="24"/>
        </w:rPr>
        <w:t xml:space="preserve"> </w:t>
      </w:r>
      <w:r>
        <w:rPr>
          <w:rFonts w:ascii="Times New Roman" w:hAnsi="Times New Roman"/>
          <w:szCs w:val="24"/>
        </w:rPr>
        <w:t>на</w:t>
      </w:r>
      <w:r w:rsidR="0042679D" w:rsidRPr="007D31BE">
        <w:rPr>
          <w:rFonts w:ascii="Times New Roman" w:hAnsi="Times New Roman"/>
          <w:szCs w:val="24"/>
        </w:rPr>
        <w:t xml:space="preserve"> </w:t>
      </w:r>
      <w:r>
        <w:rPr>
          <w:rFonts w:ascii="Times New Roman" w:hAnsi="Times New Roman"/>
          <w:szCs w:val="24"/>
        </w:rPr>
        <w:t>родно</w:t>
      </w:r>
      <w:r w:rsidR="0042679D" w:rsidRPr="007D31BE">
        <w:rPr>
          <w:rFonts w:ascii="Times New Roman" w:hAnsi="Times New Roman"/>
          <w:szCs w:val="24"/>
        </w:rPr>
        <w:t xml:space="preserve"> </w:t>
      </w:r>
      <w:r>
        <w:rPr>
          <w:rFonts w:ascii="Times New Roman" w:hAnsi="Times New Roman"/>
          <w:szCs w:val="24"/>
        </w:rPr>
        <w:t>засновано</w:t>
      </w:r>
      <w:r w:rsidR="0042679D" w:rsidRPr="007D31BE">
        <w:rPr>
          <w:rFonts w:ascii="Times New Roman" w:hAnsi="Times New Roman"/>
          <w:szCs w:val="24"/>
        </w:rPr>
        <w:t xml:space="preserve"> </w:t>
      </w:r>
      <w:r>
        <w:rPr>
          <w:rFonts w:ascii="Times New Roman" w:hAnsi="Times New Roman"/>
          <w:szCs w:val="24"/>
        </w:rPr>
        <w:t>насиље</w:t>
      </w:r>
      <w:r w:rsidR="0042679D" w:rsidRPr="007D31BE">
        <w:rPr>
          <w:rFonts w:ascii="Times New Roman" w:hAnsi="Times New Roman"/>
          <w:szCs w:val="24"/>
        </w:rPr>
        <w:t xml:space="preserve"> </w:t>
      </w:r>
      <w:r>
        <w:rPr>
          <w:rFonts w:ascii="Times New Roman" w:hAnsi="Times New Roman"/>
          <w:szCs w:val="24"/>
        </w:rPr>
        <w:t>у</w:t>
      </w:r>
      <w:r w:rsidR="0042679D" w:rsidRPr="007D31BE">
        <w:rPr>
          <w:rFonts w:ascii="Times New Roman" w:hAnsi="Times New Roman"/>
          <w:szCs w:val="24"/>
        </w:rPr>
        <w:t xml:space="preserve"> </w:t>
      </w:r>
      <w:r>
        <w:rPr>
          <w:rFonts w:ascii="Times New Roman" w:hAnsi="Times New Roman"/>
          <w:szCs w:val="24"/>
        </w:rPr>
        <w:t>мирнодопским</w:t>
      </w:r>
      <w:r w:rsidR="0042679D" w:rsidRPr="007D31BE">
        <w:rPr>
          <w:rFonts w:ascii="Times New Roman" w:hAnsi="Times New Roman"/>
          <w:szCs w:val="24"/>
        </w:rPr>
        <w:t xml:space="preserve"> </w:t>
      </w:r>
      <w:r>
        <w:rPr>
          <w:rFonts w:ascii="Times New Roman" w:hAnsi="Times New Roman"/>
          <w:szCs w:val="24"/>
        </w:rPr>
        <w:t>и</w:t>
      </w:r>
      <w:r w:rsidR="0042679D" w:rsidRPr="007D31BE">
        <w:rPr>
          <w:rFonts w:ascii="Times New Roman" w:hAnsi="Times New Roman"/>
          <w:szCs w:val="24"/>
        </w:rPr>
        <w:t xml:space="preserve"> </w:t>
      </w:r>
      <w:r>
        <w:rPr>
          <w:rFonts w:ascii="Times New Roman" w:hAnsi="Times New Roman"/>
          <w:szCs w:val="24"/>
        </w:rPr>
        <w:t>ванредним</w:t>
      </w:r>
      <w:r w:rsidR="0042679D" w:rsidRPr="007D31BE">
        <w:rPr>
          <w:rFonts w:ascii="Times New Roman" w:hAnsi="Times New Roman"/>
          <w:szCs w:val="24"/>
        </w:rPr>
        <w:t xml:space="preserve"> </w:t>
      </w:r>
      <w:r>
        <w:rPr>
          <w:rFonts w:ascii="Times New Roman" w:hAnsi="Times New Roman"/>
          <w:szCs w:val="24"/>
        </w:rPr>
        <w:t>околностима</w:t>
      </w:r>
      <w:r w:rsidR="0042679D" w:rsidRPr="007D31BE">
        <w:rPr>
          <w:rFonts w:ascii="Times New Roman" w:hAnsi="Times New Roman"/>
          <w:szCs w:val="24"/>
        </w:rPr>
        <w:t xml:space="preserve">, </w:t>
      </w:r>
      <w:r>
        <w:rPr>
          <w:rFonts w:ascii="Times New Roman" w:hAnsi="Times New Roman"/>
          <w:szCs w:val="24"/>
        </w:rPr>
        <w:t>укључујући</w:t>
      </w:r>
      <w:r w:rsidR="0042679D" w:rsidRPr="007D31BE">
        <w:rPr>
          <w:rFonts w:ascii="Times New Roman" w:hAnsi="Times New Roman"/>
          <w:szCs w:val="24"/>
        </w:rPr>
        <w:t xml:space="preserve"> </w:t>
      </w:r>
      <w:r>
        <w:rPr>
          <w:rFonts w:ascii="Times New Roman" w:hAnsi="Times New Roman"/>
          <w:szCs w:val="24"/>
        </w:rPr>
        <w:t>и</w:t>
      </w:r>
      <w:r w:rsidR="0042679D" w:rsidRPr="007D31BE">
        <w:rPr>
          <w:rFonts w:ascii="Times New Roman" w:hAnsi="Times New Roman"/>
          <w:szCs w:val="24"/>
        </w:rPr>
        <w:t xml:space="preserve"> </w:t>
      </w:r>
      <w:r>
        <w:rPr>
          <w:rFonts w:ascii="Times New Roman" w:hAnsi="Times New Roman"/>
          <w:szCs w:val="24"/>
        </w:rPr>
        <w:t>сексуално</w:t>
      </w:r>
      <w:r w:rsidR="0042679D" w:rsidRPr="007D31BE">
        <w:rPr>
          <w:rFonts w:ascii="Times New Roman" w:hAnsi="Times New Roman"/>
          <w:szCs w:val="24"/>
        </w:rPr>
        <w:t xml:space="preserve"> </w:t>
      </w:r>
      <w:r>
        <w:rPr>
          <w:rFonts w:ascii="Times New Roman" w:hAnsi="Times New Roman"/>
          <w:szCs w:val="24"/>
        </w:rPr>
        <w:t>насиље</w:t>
      </w:r>
      <w:r w:rsidR="0042679D" w:rsidRPr="007D31BE">
        <w:rPr>
          <w:rFonts w:ascii="Times New Roman" w:hAnsi="Times New Roman"/>
          <w:szCs w:val="24"/>
        </w:rPr>
        <w:t xml:space="preserve"> </w:t>
      </w:r>
      <w:r>
        <w:rPr>
          <w:rFonts w:ascii="Times New Roman" w:hAnsi="Times New Roman"/>
          <w:szCs w:val="24"/>
        </w:rPr>
        <w:t>у</w:t>
      </w:r>
      <w:r w:rsidR="0042679D" w:rsidRPr="007D31BE">
        <w:rPr>
          <w:rFonts w:ascii="Times New Roman" w:hAnsi="Times New Roman"/>
          <w:szCs w:val="24"/>
        </w:rPr>
        <w:t xml:space="preserve"> </w:t>
      </w:r>
      <w:r>
        <w:rPr>
          <w:rFonts w:ascii="Times New Roman" w:hAnsi="Times New Roman"/>
          <w:szCs w:val="24"/>
        </w:rPr>
        <w:t>конфликту</w:t>
      </w:r>
      <w:r w:rsidR="0042679D" w:rsidRPr="007D31BE">
        <w:rPr>
          <w:rFonts w:ascii="Times New Roman" w:hAnsi="Times New Roman"/>
          <w:szCs w:val="24"/>
        </w:rPr>
        <w:t xml:space="preserve">“. </w:t>
      </w:r>
    </w:p>
    <w:p w:rsidR="0042679D" w:rsidRPr="007C4799" w:rsidRDefault="0042679D" w:rsidP="0086268D">
      <w:pPr>
        <w:pStyle w:val="ListParagraph"/>
        <w:ind w:left="720"/>
        <w:jc w:val="both"/>
        <w:rPr>
          <w:rFonts w:ascii="Times New Roman" w:hAnsi="Times New Roman"/>
          <w:lang w:val="sr-Latn-BA"/>
        </w:rPr>
      </w:pPr>
    </w:p>
    <w:p w:rsidR="0042679D" w:rsidRPr="00295637" w:rsidRDefault="00C6214E" w:rsidP="0086268D">
      <w:pPr>
        <w:pStyle w:val="ListParagraph"/>
        <w:numPr>
          <w:ilvl w:val="0"/>
          <w:numId w:val="17"/>
        </w:numPr>
        <w:jc w:val="both"/>
        <w:rPr>
          <w:rFonts w:ascii="Times New Roman" w:hAnsi="Times New Roman"/>
          <w:lang w:val="sr-Latn-BA"/>
        </w:rPr>
      </w:pPr>
      <w:r>
        <w:rPr>
          <w:rFonts w:ascii="Times New Roman" w:hAnsi="Times New Roman"/>
          <w:lang w:val="sr-Cyrl-BA"/>
        </w:rPr>
        <w:t>У</w:t>
      </w:r>
      <w:r w:rsidR="0042679D" w:rsidRPr="00A8144D">
        <w:rPr>
          <w:rFonts w:ascii="Times New Roman" w:hAnsi="Times New Roman"/>
          <w:lang w:val="sr-Cyrl-BA"/>
        </w:rPr>
        <w:t xml:space="preserve"> </w:t>
      </w:r>
      <w:r>
        <w:rPr>
          <w:rFonts w:ascii="Times New Roman" w:hAnsi="Times New Roman"/>
          <w:lang w:val="sr-Cyrl-BA"/>
        </w:rPr>
        <w:t>оквиру</w:t>
      </w:r>
      <w:r w:rsidR="0042679D" w:rsidRPr="00A8144D">
        <w:rPr>
          <w:rFonts w:ascii="Times New Roman" w:hAnsi="Times New Roman"/>
          <w:lang w:val="sr-Cyrl-BA"/>
        </w:rPr>
        <w:t xml:space="preserve"> </w:t>
      </w:r>
      <w:r w:rsidR="0042679D" w:rsidRPr="00A8144D">
        <w:rPr>
          <w:rFonts w:ascii="Times New Roman" w:hAnsi="Times New Roman"/>
          <w:lang w:val="sr-Latn-BA"/>
        </w:rPr>
        <w:t>„</w:t>
      </w:r>
      <w:r>
        <w:rPr>
          <w:rFonts w:ascii="Times New Roman" w:hAnsi="Times New Roman"/>
          <w:lang w:val="sr-Latn-BA"/>
        </w:rPr>
        <w:t>Р</w:t>
      </w:r>
      <w:r>
        <w:rPr>
          <w:rFonts w:ascii="Times New Roman" w:hAnsi="Times New Roman"/>
          <w:lang w:val="sr-Cyrl-BA"/>
        </w:rPr>
        <w:t>есурсн</w:t>
      </w:r>
      <w:r>
        <w:rPr>
          <w:rFonts w:ascii="Times New Roman" w:hAnsi="Times New Roman"/>
          <w:lang w:val="sr-Latn-BA"/>
        </w:rPr>
        <w:t>ог</w:t>
      </w:r>
      <w:r w:rsidR="0042679D" w:rsidRPr="00A8144D">
        <w:rPr>
          <w:rFonts w:ascii="Times New Roman" w:hAnsi="Times New Roman"/>
          <w:lang w:val="sr-Cyrl-BA"/>
        </w:rPr>
        <w:t xml:space="preserve"> </w:t>
      </w:r>
      <w:r>
        <w:rPr>
          <w:rFonts w:ascii="Times New Roman" w:hAnsi="Times New Roman"/>
          <w:lang w:val="sr-Cyrl-BA"/>
        </w:rPr>
        <w:t>пакет</w:t>
      </w:r>
      <w:r>
        <w:rPr>
          <w:rFonts w:ascii="Times New Roman" w:hAnsi="Times New Roman"/>
          <w:lang w:val="sr-Latn-BA"/>
        </w:rPr>
        <w:t>а</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sr-Cyrl-BA"/>
        </w:rPr>
        <w:t>одговор</w:t>
      </w:r>
      <w:r w:rsidR="0042679D" w:rsidRPr="00295637">
        <w:rPr>
          <w:rFonts w:ascii="Times New Roman" w:hAnsi="Times New Roman"/>
          <w:lang w:val="sr-Cyrl-BA"/>
        </w:rPr>
        <w:t xml:space="preserve"> </w:t>
      </w:r>
      <w:r>
        <w:rPr>
          <w:rFonts w:ascii="Times New Roman" w:hAnsi="Times New Roman"/>
          <w:lang w:val="sr-Cyrl-BA"/>
        </w:rPr>
        <w:t>пружа</w:t>
      </w:r>
      <w:r>
        <w:rPr>
          <w:rFonts w:ascii="Times New Roman" w:hAnsi="Times New Roman"/>
          <w:lang w:val="hr-HR"/>
        </w:rPr>
        <w:t>лаца</w:t>
      </w:r>
      <w:r w:rsidR="0042679D" w:rsidRPr="00295637">
        <w:rPr>
          <w:rFonts w:ascii="Times New Roman" w:hAnsi="Times New Roman"/>
          <w:lang w:val="sr-Cyrl-BA"/>
        </w:rPr>
        <w:t xml:space="preserve"> </w:t>
      </w:r>
      <w:r>
        <w:rPr>
          <w:rFonts w:ascii="Times New Roman" w:hAnsi="Times New Roman"/>
          <w:lang w:val="sr-Cyrl-BA"/>
        </w:rPr>
        <w:t>здравствених</w:t>
      </w:r>
      <w:r w:rsidR="0042679D" w:rsidRPr="00295637">
        <w:rPr>
          <w:rFonts w:ascii="Times New Roman" w:hAnsi="Times New Roman"/>
          <w:lang w:val="sr-Cyrl-BA"/>
        </w:rPr>
        <w:t xml:space="preserve"> </w:t>
      </w:r>
      <w:r>
        <w:rPr>
          <w:rFonts w:ascii="Times New Roman" w:hAnsi="Times New Roman"/>
          <w:lang w:val="sr-Cyrl-BA"/>
        </w:rPr>
        <w:t>услуга</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w:t>
      </w:r>
      <w:r>
        <w:rPr>
          <w:rFonts w:ascii="Times New Roman" w:hAnsi="Times New Roman"/>
          <w:lang w:val="sr-Latn-BA"/>
        </w:rPr>
        <w:t>РС</w:t>
      </w:r>
      <w:r w:rsidR="0042679D" w:rsidRPr="00295637">
        <w:rPr>
          <w:rFonts w:ascii="Times New Roman" w:hAnsi="Times New Roman"/>
          <w:lang w:val="sr-Cyrl-BA"/>
        </w:rPr>
        <w:t xml:space="preserve"> </w:t>
      </w:r>
      <w:r>
        <w:rPr>
          <w:rFonts w:ascii="Times New Roman" w:hAnsi="Times New Roman"/>
          <w:lang w:val="sr-Cyrl-BA"/>
        </w:rPr>
        <w:t>на</w:t>
      </w:r>
      <w:r w:rsidR="0042679D" w:rsidRPr="00295637">
        <w:rPr>
          <w:rFonts w:ascii="Times New Roman" w:hAnsi="Times New Roman"/>
          <w:lang w:val="sr-Cyrl-BA"/>
        </w:rPr>
        <w:t xml:space="preserve"> </w:t>
      </w:r>
      <w:r>
        <w:rPr>
          <w:rFonts w:ascii="Times New Roman" w:hAnsi="Times New Roman"/>
          <w:lang w:val="sr-Cyrl-BA"/>
        </w:rPr>
        <w:t>родно</w:t>
      </w:r>
      <w:r w:rsidR="0042679D" w:rsidRPr="00295637">
        <w:rPr>
          <w:rFonts w:ascii="Times New Roman" w:hAnsi="Times New Roman"/>
          <w:lang w:val="sr-Cyrl-BA"/>
        </w:rPr>
        <w:t xml:space="preserve"> </w:t>
      </w:r>
      <w:r>
        <w:rPr>
          <w:rFonts w:ascii="Times New Roman" w:hAnsi="Times New Roman"/>
          <w:lang w:val="hr-HR"/>
        </w:rPr>
        <w:t>засновано</w:t>
      </w:r>
      <w:r w:rsidR="0042679D" w:rsidRPr="00295637">
        <w:rPr>
          <w:rFonts w:ascii="Times New Roman" w:hAnsi="Times New Roman"/>
          <w:lang w:val="sr-Cyrl-BA"/>
        </w:rPr>
        <w:t xml:space="preserve"> </w:t>
      </w:r>
      <w:r>
        <w:rPr>
          <w:rFonts w:ascii="Times New Roman" w:hAnsi="Times New Roman"/>
          <w:lang w:val="sr-Cyrl-BA"/>
        </w:rPr>
        <w:t>насиље</w:t>
      </w:r>
      <w:r w:rsidR="0042679D" w:rsidRPr="00295637">
        <w:rPr>
          <w:rFonts w:ascii="Times New Roman" w:hAnsi="Times New Roman"/>
          <w:lang w:val="sr-Latn-BA"/>
        </w:rPr>
        <w:t xml:space="preserve">“ </w:t>
      </w:r>
      <w:r>
        <w:rPr>
          <w:rFonts w:ascii="Times New Roman" w:hAnsi="Times New Roman"/>
          <w:lang w:val="sr-Latn-BA"/>
        </w:rPr>
        <w:t>МЗСЗ</w:t>
      </w:r>
      <w:r w:rsidR="0042679D" w:rsidRPr="00295637">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 xml:space="preserve">, </w:t>
      </w:r>
      <w:r>
        <w:rPr>
          <w:rFonts w:ascii="Times New Roman" w:hAnsi="Times New Roman"/>
          <w:lang w:val="sr-Latn-BA"/>
        </w:rPr>
        <w:t>дефини</w:t>
      </w:r>
      <w:r w:rsidR="002924B3">
        <w:rPr>
          <w:rFonts w:ascii="Times New Roman" w:hAnsi="Times New Roman"/>
          <w:lang w:val="sr-Cyrl-BA"/>
        </w:rPr>
        <w:t>с</w:t>
      </w:r>
      <w:r>
        <w:rPr>
          <w:rFonts w:ascii="Times New Roman" w:hAnsi="Times New Roman"/>
          <w:lang w:val="sr-Latn-BA"/>
        </w:rPr>
        <w:t>ан</w:t>
      </w:r>
      <w:r w:rsidR="0042679D" w:rsidRPr="00295637">
        <w:rPr>
          <w:rFonts w:ascii="Times New Roman" w:hAnsi="Times New Roman"/>
          <w:lang w:val="sr-Latn-BA"/>
        </w:rPr>
        <w:t xml:space="preserve"> </w:t>
      </w:r>
      <w:r>
        <w:rPr>
          <w:rFonts w:ascii="Times New Roman" w:hAnsi="Times New Roman"/>
          <w:lang w:val="sr-Latn-BA"/>
        </w:rPr>
        <w:t>је</w:t>
      </w:r>
      <w:r w:rsidR="0042679D" w:rsidRPr="00295637">
        <w:rPr>
          <w:rFonts w:ascii="Times New Roman" w:hAnsi="Times New Roman"/>
          <w:lang w:val="sr-Latn-BA"/>
        </w:rPr>
        <w:t xml:space="preserve"> </w:t>
      </w:r>
      <w:r>
        <w:rPr>
          <w:rFonts w:ascii="Times New Roman" w:hAnsi="Times New Roman"/>
          <w:lang w:val="sr-Latn-BA"/>
        </w:rPr>
        <w:t>поступак</w:t>
      </w:r>
      <w:r w:rsidR="0042679D" w:rsidRPr="00295637">
        <w:rPr>
          <w:rFonts w:ascii="Times New Roman" w:hAnsi="Times New Roman"/>
          <w:lang w:val="sr-Latn-BA"/>
        </w:rPr>
        <w:t xml:space="preserve"> </w:t>
      </w:r>
      <w:r>
        <w:rPr>
          <w:rFonts w:ascii="Times New Roman" w:hAnsi="Times New Roman"/>
          <w:lang w:val="sr-Latn-BA"/>
        </w:rPr>
        <w:t>форензичког</w:t>
      </w:r>
      <w:r w:rsidR="0042679D" w:rsidRPr="00295637">
        <w:rPr>
          <w:rFonts w:ascii="Times New Roman" w:hAnsi="Times New Roman"/>
          <w:lang w:val="sr-Latn-BA"/>
        </w:rPr>
        <w:t xml:space="preserve"> </w:t>
      </w:r>
      <w:r>
        <w:rPr>
          <w:rFonts w:ascii="Times New Roman" w:hAnsi="Times New Roman"/>
          <w:lang w:val="sr-Latn-BA"/>
        </w:rPr>
        <w:t>прегледа</w:t>
      </w:r>
      <w:r w:rsidR="0042679D" w:rsidRPr="00295637">
        <w:rPr>
          <w:rFonts w:ascii="Times New Roman" w:hAnsi="Times New Roman"/>
          <w:lang w:val="sr-Latn-BA"/>
        </w:rPr>
        <w:t xml:space="preserve">, </w:t>
      </w:r>
      <w:r>
        <w:rPr>
          <w:rFonts w:ascii="Times New Roman" w:hAnsi="Times New Roman"/>
          <w:lang w:val="sr-Latn-BA"/>
        </w:rPr>
        <w:t>као</w:t>
      </w:r>
      <w:r w:rsidR="0042679D" w:rsidRPr="00295637">
        <w:rPr>
          <w:rFonts w:ascii="Times New Roman" w:hAnsi="Times New Roman"/>
          <w:lang w:val="sr-Latn-BA"/>
        </w:rPr>
        <w:t xml:space="preserve"> </w:t>
      </w:r>
      <w:r>
        <w:rPr>
          <w:rFonts w:ascii="Times New Roman" w:hAnsi="Times New Roman"/>
          <w:lang w:val="sr-Latn-BA"/>
        </w:rPr>
        <w:t>медицинског</w:t>
      </w:r>
      <w:r w:rsidR="0042679D" w:rsidRPr="00295637">
        <w:rPr>
          <w:rFonts w:ascii="Times New Roman" w:hAnsi="Times New Roman"/>
          <w:lang w:val="sr-Latn-BA"/>
        </w:rPr>
        <w:t xml:space="preserve"> </w:t>
      </w:r>
      <w:r>
        <w:rPr>
          <w:rFonts w:ascii="Times New Roman" w:hAnsi="Times New Roman"/>
          <w:lang w:val="sr-Latn-BA"/>
        </w:rPr>
        <w:t>прегледа</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сврху</w:t>
      </w:r>
      <w:r w:rsidR="0042679D" w:rsidRPr="00295637">
        <w:rPr>
          <w:rFonts w:ascii="Times New Roman" w:hAnsi="Times New Roman"/>
          <w:lang w:val="sr-Latn-BA"/>
        </w:rPr>
        <w:t xml:space="preserve"> </w:t>
      </w:r>
      <w:r>
        <w:rPr>
          <w:rFonts w:ascii="Times New Roman" w:hAnsi="Times New Roman"/>
          <w:lang w:val="sr-Latn-BA"/>
        </w:rPr>
        <w:t>будућих</w:t>
      </w:r>
      <w:r w:rsidR="0042679D" w:rsidRPr="00295637">
        <w:rPr>
          <w:rFonts w:ascii="Times New Roman" w:hAnsi="Times New Roman"/>
          <w:lang w:val="sr-Latn-BA"/>
        </w:rPr>
        <w:t xml:space="preserve"> </w:t>
      </w:r>
      <w:r>
        <w:rPr>
          <w:rFonts w:ascii="Times New Roman" w:hAnsi="Times New Roman"/>
          <w:lang w:val="sr-Latn-BA"/>
        </w:rPr>
        <w:t>поступака</w:t>
      </w:r>
      <w:r w:rsidR="0042679D" w:rsidRPr="00295637">
        <w:rPr>
          <w:rFonts w:ascii="Times New Roman" w:hAnsi="Times New Roman"/>
          <w:lang w:val="sr-Latn-BA"/>
        </w:rPr>
        <w:t xml:space="preserve"> </w:t>
      </w:r>
      <w:r>
        <w:rPr>
          <w:rFonts w:ascii="Times New Roman" w:hAnsi="Times New Roman"/>
          <w:lang w:val="sr-Latn-BA"/>
        </w:rPr>
        <w:t>пред</w:t>
      </w:r>
      <w:r w:rsidR="0042679D" w:rsidRPr="00295637">
        <w:rPr>
          <w:rFonts w:ascii="Times New Roman" w:hAnsi="Times New Roman"/>
          <w:lang w:val="sr-Latn-BA"/>
        </w:rPr>
        <w:t xml:space="preserve"> </w:t>
      </w:r>
      <w:r>
        <w:rPr>
          <w:rFonts w:ascii="Times New Roman" w:hAnsi="Times New Roman"/>
          <w:lang w:val="sr-Latn-BA"/>
        </w:rPr>
        <w:t>судом</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које</w:t>
      </w:r>
      <w:r w:rsidR="0042679D" w:rsidRPr="00295637">
        <w:rPr>
          <w:rFonts w:ascii="Times New Roman" w:hAnsi="Times New Roman"/>
          <w:lang w:val="sr-Latn-BA"/>
        </w:rPr>
        <w:t xml:space="preserve"> </w:t>
      </w:r>
      <w:r>
        <w:rPr>
          <w:rFonts w:ascii="Times New Roman" w:hAnsi="Times New Roman"/>
          <w:lang w:val="sr-Latn-BA"/>
        </w:rPr>
        <w:t>је</w:t>
      </w:r>
      <w:r w:rsidR="0042679D" w:rsidRPr="00295637">
        <w:rPr>
          <w:rFonts w:ascii="Times New Roman" w:hAnsi="Times New Roman"/>
          <w:lang w:val="sr-Latn-BA"/>
        </w:rPr>
        <w:t xml:space="preserve"> </w:t>
      </w:r>
      <w:r>
        <w:rPr>
          <w:rFonts w:ascii="Times New Roman" w:hAnsi="Times New Roman"/>
          <w:lang w:val="sr-Latn-BA"/>
        </w:rPr>
        <w:t>потребно</w:t>
      </w:r>
      <w:r w:rsidR="0042679D" w:rsidRPr="00295637">
        <w:rPr>
          <w:rFonts w:ascii="Times New Roman" w:hAnsi="Times New Roman"/>
          <w:lang w:val="sr-Latn-BA"/>
        </w:rPr>
        <w:t xml:space="preserve"> </w:t>
      </w:r>
      <w:r>
        <w:rPr>
          <w:rFonts w:ascii="Times New Roman" w:hAnsi="Times New Roman"/>
          <w:lang w:val="sr-Latn-BA"/>
        </w:rPr>
        <w:t>медицинско</w:t>
      </w:r>
      <w:r w:rsidR="0042679D" w:rsidRPr="00295637">
        <w:rPr>
          <w:rFonts w:ascii="Times New Roman" w:hAnsi="Times New Roman"/>
          <w:lang w:val="sr-Latn-BA"/>
        </w:rPr>
        <w:t xml:space="preserve"> </w:t>
      </w:r>
      <w:r>
        <w:rPr>
          <w:rFonts w:ascii="Times New Roman" w:hAnsi="Times New Roman"/>
          <w:lang w:val="sr-Latn-BA"/>
        </w:rPr>
        <w:t>мишљење</w:t>
      </w:r>
      <w:r w:rsidR="0042679D" w:rsidRPr="00295637">
        <w:rPr>
          <w:rFonts w:ascii="Times New Roman" w:hAnsi="Times New Roman"/>
          <w:lang w:val="sr-Latn-BA"/>
        </w:rPr>
        <w:t xml:space="preserve">. </w:t>
      </w:r>
      <w:r>
        <w:rPr>
          <w:rFonts w:ascii="Times New Roman" w:hAnsi="Times New Roman"/>
          <w:lang w:val="sr-Latn-BA"/>
        </w:rPr>
        <w:t>Поред</w:t>
      </w:r>
      <w:r w:rsidR="0042679D" w:rsidRPr="00295637">
        <w:rPr>
          <w:rFonts w:ascii="Times New Roman" w:hAnsi="Times New Roman"/>
          <w:lang w:val="sr-Latn-BA"/>
        </w:rPr>
        <w:t xml:space="preserve"> </w:t>
      </w:r>
      <w:r>
        <w:rPr>
          <w:rFonts w:ascii="Times New Roman" w:hAnsi="Times New Roman"/>
          <w:lang w:val="sr-Latn-BA"/>
        </w:rPr>
        <w:t>тога</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 xml:space="preserve"> </w:t>
      </w:r>
      <w:r>
        <w:rPr>
          <w:rFonts w:ascii="Times New Roman" w:hAnsi="Times New Roman"/>
          <w:lang w:val="sr-Latn-BA"/>
        </w:rPr>
        <w:t>се</w:t>
      </w:r>
      <w:r w:rsidR="0042679D" w:rsidRPr="00295637">
        <w:rPr>
          <w:rFonts w:ascii="Times New Roman" w:hAnsi="Times New Roman"/>
          <w:lang w:val="sr-Latn-BA"/>
        </w:rPr>
        <w:t xml:space="preserve"> </w:t>
      </w:r>
      <w:r>
        <w:rPr>
          <w:rFonts w:ascii="Times New Roman" w:hAnsi="Times New Roman"/>
          <w:lang w:val="sr-Latn-BA"/>
        </w:rPr>
        <w:t>примјењује</w:t>
      </w:r>
      <w:r w:rsidR="0042679D" w:rsidRPr="00295637">
        <w:rPr>
          <w:rFonts w:ascii="Times New Roman" w:hAnsi="Times New Roman"/>
          <w:lang w:val="sr-Latn-BA"/>
        </w:rPr>
        <w:t xml:space="preserve"> </w:t>
      </w:r>
      <w:r w:rsidR="0042679D" w:rsidRPr="00295637">
        <w:rPr>
          <w:rFonts w:ascii="Times New Roman" w:hAnsi="Times New Roman"/>
          <w:lang w:val="sr-Cyrl-BA"/>
        </w:rPr>
        <w:t>„</w:t>
      </w:r>
      <w:r>
        <w:rPr>
          <w:rFonts w:ascii="Times New Roman" w:hAnsi="Times New Roman"/>
          <w:lang w:val="sr-Cyrl-BA"/>
        </w:rPr>
        <w:t>Обједињени</w:t>
      </w:r>
      <w:r w:rsidR="0042679D" w:rsidRPr="00295637">
        <w:rPr>
          <w:rFonts w:ascii="Times New Roman" w:hAnsi="Times New Roman"/>
          <w:lang w:val="sr-Cyrl-BA"/>
        </w:rPr>
        <w:t xml:space="preserve"> </w:t>
      </w:r>
      <w:r>
        <w:rPr>
          <w:rFonts w:ascii="Times New Roman" w:hAnsi="Times New Roman"/>
          <w:lang w:val="sr-Cyrl-BA"/>
        </w:rPr>
        <w:t>ресурсни</w:t>
      </w:r>
      <w:r w:rsidR="0042679D" w:rsidRPr="00295637">
        <w:rPr>
          <w:rFonts w:ascii="Times New Roman" w:hAnsi="Times New Roman"/>
          <w:lang w:val="sr-Cyrl-BA"/>
        </w:rPr>
        <w:t xml:space="preserve"> </w:t>
      </w:r>
      <w:r>
        <w:rPr>
          <w:rFonts w:ascii="Times New Roman" w:hAnsi="Times New Roman"/>
          <w:lang w:val="sr-Cyrl-BA"/>
        </w:rPr>
        <w:t>пакет</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sr-Cyrl-BA"/>
        </w:rPr>
        <w:t>одговор</w:t>
      </w:r>
      <w:r w:rsidR="0042679D" w:rsidRPr="00295637">
        <w:rPr>
          <w:rFonts w:ascii="Times New Roman" w:hAnsi="Times New Roman"/>
          <w:lang w:val="sr-Cyrl-BA"/>
        </w:rPr>
        <w:t xml:space="preserve"> </w:t>
      </w:r>
      <w:r>
        <w:rPr>
          <w:rFonts w:ascii="Times New Roman" w:hAnsi="Times New Roman"/>
          <w:lang w:val="sr-Cyrl-BA"/>
        </w:rPr>
        <w:t>пружа</w:t>
      </w:r>
      <w:r>
        <w:rPr>
          <w:rFonts w:ascii="Times New Roman" w:hAnsi="Times New Roman"/>
          <w:lang w:val="hr-HR"/>
        </w:rPr>
        <w:t>лаца</w:t>
      </w:r>
      <w:r w:rsidR="0042679D" w:rsidRPr="00295637">
        <w:rPr>
          <w:rFonts w:ascii="Times New Roman" w:hAnsi="Times New Roman"/>
          <w:lang w:val="sr-Cyrl-BA"/>
        </w:rPr>
        <w:t xml:space="preserve"> </w:t>
      </w:r>
      <w:r>
        <w:rPr>
          <w:rFonts w:ascii="Times New Roman" w:hAnsi="Times New Roman"/>
          <w:lang w:val="sr-Cyrl-BA"/>
        </w:rPr>
        <w:t>здравствених</w:t>
      </w:r>
      <w:r w:rsidR="0042679D" w:rsidRPr="00295637">
        <w:rPr>
          <w:rFonts w:ascii="Times New Roman" w:hAnsi="Times New Roman"/>
          <w:lang w:val="sr-Cyrl-BA"/>
        </w:rPr>
        <w:t xml:space="preserve"> </w:t>
      </w:r>
      <w:r>
        <w:rPr>
          <w:rFonts w:ascii="Times New Roman" w:hAnsi="Times New Roman"/>
          <w:lang w:val="sr-Cyrl-BA"/>
        </w:rPr>
        <w:t>и</w:t>
      </w:r>
      <w:r w:rsidR="0042679D" w:rsidRPr="00295637">
        <w:rPr>
          <w:rFonts w:ascii="Times New Roman" w:hAnsi="Times New Roman"/>
          <w:lang w:val="sr-Cyrl-BA"/>
        </w:rPr>
        <w:t xml:space="preserve"> </w:t>
      </w:r>
      <w:r>
        <w:rPr>
          <w:rFonts w:ascii="Times New Roman" w:hAnsi="Times New Roman"/>
          <w:lang w:val="sr-Cyrl-BA"/>
        </w:rPr>
        <w:t>психосоцијалних</w:t>
      </w:r>
      <w:r w:rsidR="0042679D" w:rsidRPr="00295637">
        <w:rPr>
          <w:rFonts w:ascii="Times New Roman" w:hAnsi="Times New Roman"/>
          <w:lang w:val="sr-Cyrl-BA"/>
        </w:rPr>
        <w:t xml:space="preserve"> </w:t>
      </w:r>
      <w:r>
        <w:rPr>
          <w:rFonts w:ascii="Times New Roman" w:hAnsi="Times New Roman"/>
          <w:lang w:val="sr-Cyrl-BA"/>
        </w:rPr>
        <w:t>услуга</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w:t>
      </w:r>
      <w:r>
        <w:rPr>
          <w:rFonts w:ascii="Times New Roman" w:hAnsi="Times New Roman"/>
          <w:lang w:val="sr-Cyrl-BA"/>
        </w:rPr>
        <w:t>Републици</w:t>
      </w:r>
      <w:r w:rsidR="0042679D" w:rsidRPr="00295637">
        <w:rPr>
          <w:rFonts w:ascii="Times New Roman" w:hAnsi="Times New Roman"/>
          <w:lang w:val="sr-Cyrl-BA"/>
        </w:rPr>
        <w:t xml:space="preserve"> </w:t>
      </w:r>
      <w:r>
        <w:rPr>
          <w:rFonts w:ascii="Times New Roman" w:hAnsi="Times New Roman"/>
          <w:lang w:val="sr-Cyrl-BA"/>
        </w:rPr>
        <w:t>Српској</w:t>
      </w:r>
      <w:r w:rsidR="0042679D" w:rsidRPr="00295637">
        <w:rPr>
          <w:rFonts w:ascii="Times New Roman" w:hAnsi="Times New Roman"/>
          <w:lang w:val="sr-Cyrl-BA"/>
        </w:rPr>
        <w:t xml:space="preserve"> </w:t>
      </w:r>
      <w:r>
        <w:rPr>
          <w:rFonts w:ascii="Times New Roman" w:hAnsi="Times New Roman"/>
          <w:lang w:val="sr-Cyrl-BA"/>
        </w:rPr>
        <w:t>на</w:t>
      </w:r>
      <w:r w:rsidR="0042679D" w:rsidRPr="00295637">
        <w:rPr>
          <w:rFonts w:ascii="Times New Roman" w:hAnsi="Times New Roman"/>
          <w:lang w:val="sr-Cyrl-BA"/>
        </w:rPr>
        <w:t xml:space="preserve"> </w:t>
      </w:r>
      <w:r>
        <w:rPr>
          <w:rFonts w:ascii="Times New Roman" w:hAnsi="Times New Roman"/>
          <w:lang w:val="sr-Cyrl-BA"/>
        </w:rPr>
        <w:t>родно</w:t>
      </w:r>
      <w:r w:rsidR="0042679D" w:rsidRPr="00295637">
        <w:rPr>
          <w:rFonts w:ascii="Times New Roman" w:hAnsi="Times New Roman"/>
          <w:lang w:val="sr-Cyrl-BA"/>
        </w:rPr>
        <w:t xml:space="preserve"> </w:t>
      </w:r>
      <w:r>
        <w:rPr>
          <w:rFonts w:ascii="Times New Roman" w:hAnsi="Times New Roman"/>
          <w:lang w:val="hr-HR"/>
        </w:rPr>
        <w:t>засновано</w:t>
      </w:r>
      <w:r w:rsidR="0042679D" w:rsidRPr="00295637">
        <w:rPr>
          <w:rFonts w:ascii="Times New Roman" w:hAnsi="Times New Roman"/>
          <w:lang w:val="sr-Cyrl-BA"/>
        </w:rPr>
        <w:t xml:space="preserve"> </w:t>
      </w:r>
      <w:r>
        <w:rPr>
          <w:rFonts w:ascii="Times New Roman" w:hAnsi="Times New Roman"/>
          <w:lang w:val="sr-Cyrl-BA"/>
        </w:rPr>
        <w:t>насиље</w:t>
      </w:r>
      <w:r w:rsidR="0042679D" w:rsidRPr="00295637">
        <w:rPr>
          <w:rFonts w:ascii="Times New Roman" w:hAnsi="Times New Roman"/>
          <w:lang w:val="sr-Cyrl-BA"/>
        </w:rPr>
        <w:t xml:space="preserve">“ </w:t>
      </w:r>
      <w:r>
        <w:rPr>
          <w:rFonts w:ascii="Times New Roman" w:hAnsi="Times New Roman"/>
          <w:lang w:val="sr-Latn-BA"/>
        </w:rPr>
        <w:t>МЗСЗ</w:t>
      </w:r>
      <w:r w:rsidR="0042679D" w:rsidRPr="00295637">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w:t>
      </w:r>
      <w:r w:rsidR="0042679D" w:rsidRPr="00295637">
        <w:rPr>
          <w:rFonts w:ascii="Times New Roman" w:hAnsi="Times New Roman"/>
          <w:lang w:val="sr-Cyrl-BA"/>
        </w:rPr>
        <w:t xml:space="preserve"> </w:t>
      </w:r>
      <w:r>
        <w:rPr>
          <w:rFonts w:ascii="Times New Roman" w:hAnsi="Times New Roman"/>
          <w:lang w:val="sr-Cyrl-BA"/>
        </w:rPr>
        <w:t>који</w:t>
      </w:r>
      <w:r w:rsidR="0042679D" w:rsidRPr="00295637">
        <w:rPr>
          <w:rFonts w:ascii="Times New Roman" w:hAnsi="Times New Roman"/>
          <w:lang w:val="sr-Cyrl-BA"/>
        </w:rPr>
        <w:t xml:space="preserve"> </w:t>
      </w:r>
      <w:r>
        <w:rPr>
          <w:rFonts w:ascii="Times New Roman" w:hAnsi="Times New Roman"/>
          <w:lang w:val="sr-Cyrl-BA"/>
        </w:rPr>
        <w:t>чини</w:t>
      </w:r>
      <w:r w:rsidR="0042679D" w:rsidRPr="00295637">
        <w:rPr>
          <w:rFonts w:ascii="Times New Roman" w:hAnsi="Times New Roman"/>
          <w:lang w:val="sr-Cyrl-BA"/>
        </w:rPr>
        <w:t xml:space="preserve"> </w:t>
      </w:r>
      <w:r>
        <w:rPr>
          <w:rFonts w:ascii="Times New Roman" w:hAnsi="Times New Roman"/>
          <w:lang w:val="sr-Cyrl-BA"/>
        </w:rPr>
        <w:t>осам</w:t>
      </w:r>
      <w:r w:rsidR="0042679D" w:rsidRPr="00295637">
        <w:rPr>
          <w:rFonts w:ascii="Times New Roman" w:hAnsi="Times New Roman"/>
          <w:lang w:val="sr-Cyrl-BA"/>
        </w:rPr>
        <w:t xml:space="preserve"> </w:t>
      </w:r>
      <w:r>
        <w:rPr>
          <w:rFonts w:ascii="Times New Roman" w:hAnsi="Times New Roman"/>
          <w:lang w:val="sr-Cyrl-BA"/>
        </w:rPr>
        <w:t>публикација</w:t>
      </w:r>
      <w:r w:rsidR="0042679D" w:rsidRPr="00295637">
        <w:rPr>
          <w:rFonts w:ascii="Times New Roman" w:hAnsi="Times New Roman"/>
          <w:lang w:val="sr-Cyrl-BA"/>
        </w:rPr>
        <w:t xml:space="preserve"> </w:t>
      </w:r>
      <w:r>
        <w:rPr>
          <w:rFonts w:ascii="Times New Roman" w:hAnsi="Times New Roman"/>
          <w:lang w:val="sr-Cyrl-BA"/>
        </w:rPr>
        <w:t>намијењених</w:t>
      </w:r>
      <w:r w:rsidR="0042679D" w:rsidRPr="00295637">
        <w:rPr>
          <w:rFonts w:ascii="Times New Roman" w:hAnsi="Times New Roman"/>
          <w:lang w:val="sr-Cyrl-BA"/>
        </w:rPr>
        <w:t xml:space="preserve"> </w:t>
      </w:r>
      <w:r>
        <w:rPr>
          <w:rFonts w:ascii="Times New Roman" w:hAnsi="Times New Roman"/>
          <w:lang w:val="sr-Cyrl-BA"/>
        </w:rPr>
        <w:t>пружа</w:t>
      </w:r>
      <w:r>
        <w:rPr>
          <w:rFonts w:ascii="Times New Roman" w:hAnsi="Times New Roman"/>
          <w:lang w:val="hr-HR"/>
        </w:rPr>
        <w:t>оцима</w:t>
      </w:r>
      <w:r w:rsidR="0042679D" w:rsidRPr="00295637">
        <w:rPr>
          <w:rFonts w:ascii="Times New Roman" w:hAnsi="Times New Roman"/>
          <w:lang w:val="sr-Cyrl-BA"/>
        </w:rPr>
        <w:t xml:space="preserve"> </w:t>
      </w:r>
      <w:r>
        <w:rPr>
          <w:rFonts w:ascii="Times New Roman" w:hAnsi="Times New Roman"/>
          <w:lang w:val="sr-Cyrl-BA"/>
        </w:rPr>
        <w:t>здравствених</w:t>
      </w:r>
      <w:r w:rsidR="0042679D" w:rsidRPr="00295637">
        <w:rPr>
          <w:rFonts w:ascii="Times New Roman" w:hAnsi="Times New Roman"/>
          <w:lang w:val="sr-Cyrl-BA"/>
        </w:rPr>
        <w:t xml:space="preserve"> </w:t>
      </w:r>
      <w:r>
        <w:rPr>
          <w:rFonts w:ascii="Times New Roman" w:hAnsi="Times New Roman"/>
          <w:lang w:val="sr-Cyrl-BA"/>
        </w:rPr>
        <w:t>услуга</w:t>
      </w:r>
      <w:r w:rsidR="0042679D" w:rsidRPr="00295637">
        <w:rPr>
          <w:rFonts w:ascii="Times New Roman" w:hAnsi="Times New Roman"/>
          <w:lang w:val="bs-Latn-BA"/>
        </w:rPr>
        <w:t xml:space="preserve">. </w:t>
      </w:r>
    </w:p>
    <w:p w:rsidR="0042679D" w:rsidRPr="00295637" w:rsidRDefault="0042679D" w:rsidP="0086268D">
      <w:pPr>
        <w:pStyle w:val="ListParagraph"/>
        <w:rPr>
          <w:rFonts w:ascii="Times New Roman" w:hAnsi="Times New Roman"/>
          <w:lang w:val="sr-Latn-BA"/>
        </w:rPr>
      </w:pPr>
    </w:p>
    <w:p w:rsidR="0042679D" w:rsidRDefault="00C6214E" w:rsidP="0086268D">
      <w:pPr>
        <w:pStyle w:val="ListParagraph"/>
        <w:numPr>
          <w:ilvl w:val="0"/>
          <w:numId w:val="17"/>
        </w:numPr>
        <w:jc w:val="both"/>
        <w:rPr>
          <w:rFonts w:ascii="Times New Roman" w:hAnsi="Times New Roman"/>
          <w:lang w:val="sr-Latn-BA"/>
        </w:rPr>
      </w:pPr>
      <w:r>
        <w:rPr>
          <w:rFonts w:ascii="Times New Roman" w:hAnsi="Times New Roman"/>
          <w:lang w:val="sr-Latn-BA"/>
        </w:rPr>
        <w:t>Невладине</w:t>
      </w:r>
      <w:r w:rsidR="0042679D" w:rsidRPr="00295637">
        <w:rPr>
          <w:rFonts w:ascii="Times New Roman" w:hAnsi="Times New Roman"/>
          <w:lang w:val="sr-Latn-BA"/>
        </w:rPr>
        <w:t xml:space="preserve"> </w:t>
      </w:r>
      <w:r>
        <w:rPr>
          <w:rFonts w:ascii="Times New Roman" w:hAnsi="Times New Roman"/>
          <w:lang w:val="sr-Latn-BA"/>
        </w:rPr>
        <w:t>организације</w:t>
      </w:r>
      <w:r w:rsidR="0042679D" w:rsidRPr="00295637">
        <w:rPr>
          <w:rFonts w:ascii="Times New Roman" w:hAnsi="Times New Roman"/>
          <w:lang w:val="sr-Latn-BA"/>
        </w:rPr>
        <w:t xml:space="preserve"> </w:t>
      </w:r>
      <w:r>
        <w:rPr>
          <w:rFonts w:ascii="Times New Roman" w:hAnsi="Times New Roman"/>
          <w:lang w:val="sr-Latn-BA"/>
        </w:rPr>
        <w:t>из</w:t>
      </w:r>
      <w:r w:rsidR="0042679D" w:rsidRPr="00295637">
        <w:rPr>
          <w:rFonts w:ascii="Times New Roman" w:hAnsi="Times New Roman"/>
          <w:lang w:val="sr-Latn-BA"/>
        </w:rPr>
        <w:t xml:space="preserve"> </w:t>
      </w:r>
      <w:r>
        <w:rPr>
          <w:rFonts w:ascii="Times New Roman" w:hAnsi="Times New Roman"/>
          <w:lang w:val="sr-Latn-BA"/>
        </w:rPr>
        <w:t>Сигурне</w:t>
      </w:r>
      <w:r w:rsidR="0042679D" w:rsidRPr="00295637">
        <w:rPr>
          <w:rFonts w:ascii="Times New Roman" w:hAnsi="Times New Roman"/>
          <w:lang w:val="sr-Latn-BA"/>
        </w:rPr>
        <w:t xml:space="preserve"> </w:t>
      </w:r>
      <w:r>
        <w:rPr>
          <w:rFonts w:ascii="Times New Roman" w:hAnsi="Times New Roman"/>
          <w:lang w:val="sr-Latn-BA"/>
        </w:rPr>
        <w:t>мреже</w:t>
      </w:r>
      <w:r w:rsidR="0042679D" w:rsidRPr="00295637">
        <w:rPr>
          <w:rFonts w:ascii="Times New Roman" w:hAnsi="Times New Roman"/>
          <w:lang w:val="sr-Latn-BA"/>
        </w:rPr>
        <w:t xml:space="preserve"> </w:t>
      </w:r>
      <w:r>
        <w:rPr>
          <w:rFonts w:ascii="Times New Roman" w:hAnsi="Times New Roman"/>
          <w:lang w:val="sr-Latn-BA"/>
        </w:rPr>
        <w:t>БиХ</w:t>
      </w:r>
      <w:r w:rsidR="0042679D" w:rsidRPr="00295637">
        <w:rPr>
          <w:rFonts w:ascii="Times New Roman" w:hAnsi="Times New Roman"/>
          <w:lang w:val="sr-Latn-BA"/>
        </w:rPr>
        <w:t xml:space="preserve">, </w:t>
      </w:r>
      <w:r>
        <w:rPr>
          <w:rFonts w:ascii="Times New Roman" w:hAnsi="Times New Roman"/>
          <w:lang w:val="sr-Latn-BA"/>
        </w:rPr>
        <w:t>уз</w:t>
      </w:r>
      <w:r w:rsidR="0042679D" w:rsidRPr="00295637">
        <w:rPr>
          <w:rFonts w:ascii="Times New Roman" w:hAnsi="Times New Roman"/>
          <w:lang w:val="sr-Latn-BA"/>
        </w:rPr>
        <w:t xml:space="preserve"> </w:t>
      </w:r>
      <w:r>
        <w:rPr>
          <w:rFonts w:ascii="Times New Roman" w:hAnsi="Times New Roman"/>
          <w:lang w:val="sr-Latn-BA"/>
        </w:rPr>
        <w:t>подршку</w:t>
      </w:r>
      <w:r w:rsidR="00A8144D">
        <w:rPr>
          <w:rFonts w:ascii="Times New Roman" w:hAnsi="Times New Roman"/>
          <w:lang w:val="sr-Latn-BA"/>
        </w:rPr>
        <w:t xml:space="preserve"> </w:t>
      </w:r>
      <w:r>
        <w:rPr>
          <w:rFonts w:ascii="Times New Roman" w:hAnsi="Times New Roman"/>
          <w:lang w:val="sr-Latn-BA"/>
        </w:rPr>
        <w:t>Владе</w:t>
      </w:r>
      <w:r w:rsidR="00A8144D">
        <w:rPr>
          <w:rFonts w:ascii="Times New Roman" w:hAnsi="Times New Roman"/>
          <w:lang w:val="sr-Latn-BA"/>
        </w:rPr>
        <w:t xml:space="preserve"> </w:t>
      </w:r>
      <w:r>
        <w:rPr>
          <w:rFonts w:ascii="Times New Roman" w:hAnsi="Times New Roman"/>
          <w:lang w:val="sr-Latn-BA"/>
        </w:rPr>
        <w:t>Шведске</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sidR="002924B3" w:rsidRPr="002924B3">
        <w:rPr>
          <w:rFonts w:ascii="Times New Roman" w:hAnsi="Times New Roman"/>
          <w:i/>
          <w:lang w:val="sr-Latn-BA"/>
        </w:rPr>
        <w:t>UN Women</w:t>
      </w:r>
      <w:r w:rsidR="0042679D" w:rsidRPr="009A4956">
        <w:rPr>
          <w:rFonts w:ascii="Times New Roman" w:hAnsi="Times New Roman"/>
          <w:i/>
          <w:lang w:val="sr-Latn-BA"/>
        </w:rPr>
        <w:t xml:space="preserve"> </w:t>
      </w:r>
      <w:r w:rsidR="002924B3">
        <w:rPr>
          <w:rFonts w:ascii="Times New Roman" w:hAnsi="Times New Roman"/>
          <w:lang w:val="sr-Latn-BA"/>
        </w:rPr>
        <w:t xml:space="preserve">су </w:t>
      </w:r>
      <w:r>
        <w:rPr>
          <w:rFonts w:ascii="Times New Roman" w:hAnsi="Times New Roman"/>
          <w:lang w:val="sr-Latn-BA"/>
        </w:rPr>
        <w:t>израдиле</w:t>
      </w:r>
      <w:r w:rsidR="0042679D" w:rsidRPr="00295637">
        <w:rPr>
          <w:rFonts w:ascii="Times New Roman" w:hAnsi="Times New Roman"/>
          <w:lang w:val="sr-Latn-BA"/>
        </w:rPr>
        <w:t xml:space="preserve"> „</w:t>
      </w:r>
      <w:r>
        <w:rPr>
          <w:rFonts w:ascii="Times New Roman" w:hAnsi="Times New Roman"/>
          <w:lang w:val="sr-Latn-BA"/>
        </w:rPr>
        <w:t>Стандардне</w:t>
      </w:r>
      <w:r w:rsidR="0042679D" w:rsidRPr="00295637">
        <w:rPr>
          <w:rFonts w:ascii="Times New Roman" w:hAnsi="Times New Roman"/>
          <w:lang w:val="sr-Latn-BA"/>
        </w:rPr>
        <w:t xml:space="preserve"> </w:t>
      </w:r>
      <w:r>
        <w:rPr>
          <w:rFonts w:ascii="Times New Roman" w:hAnsi="Times New Roman"/>
          <w:lang w:val="sr-Latn-BA"/>
        </w:rPr>
        <w:t>оперативне</w:t>
      </w:r>
      <w:r w:rsidR="00A8144D">
        <w:rPr>
          <w:rFonts w:ascii="Times New Roman" w:hAnsi="Times New Roman"/>
          <w:lang w:val="sr-Latn-BA"/>
        </w:rPr>
        <w:t xml:space="preserve"> </w:t>
      </w:r>
      <w:r>
        <w:rPr>
          <w:rFonts w:ascii="Times New Roman" w:hAnsi="Times New Roman"/>
          <w:lang w:val="sr-Latn-BA"/>
        </w:rPr>
        <w:t>процедуре</w:t>
      </w:r>
      <w:r w:rsidR="00A8144D">
        <w:rPr>
          <w:rFonts w:ascii="Times New Roman" w:hAnsi="Times New Roman"/>
          <w:lang w:val="sr-Latn-BA"/>
        </w:rPr>
        <w:t xml:space="preserve"> </w:t>
      </w:r>
      <w:r>
        <w:rPr>
          <w:rFonts w:ascii="Times New Roman" w:hAnsi="Times New Roman"/>
          <w:lang w:val="sr-Latn-BA"/>
        </w:rPr>
        <w:t>за</w:t>
      </w:r>
      <w:r w:rsidR="00A8144D">
        <w:rPr>
          <w:rFonts w:ascii="Times New Roman" w:hAnsi="Times New Roman"/>
          <w:lang w:val="sr-Latn-BA"/>
        </w:rPr>
        <w:t xml:space="preserve"> </w:t>
      </w:r>
      <w:r>
        <w:rPr>
          <w:rFonts w:ascii="Times New Roman" w:hAnsi="Times New Roman"/>
          <w:lang w:val="sr-Latn-BA"/>
        </w:rPr>
        <w:t>поступање</w:t>
      </w:r>
      <w:r w:rsidR="00A8144D">
        <w:rPr>
          <w:rFonts w:ascii="Times New Roman" w:hAnsi="Times New Roman"/>
          <w:lang w:val="sr-Latn-BA"/>
        </w:rPr>
        <w:t xml:space="preserve"> </w:t>
      </w:r>
      <w:r>
        <w:rPr>
          <w:rFonts w:ascii="Times New Roman" w:hAnsi="Times New Roman"/>
          <w:lang w:val="sr-Latn-BA"/>
        </w:rPr>
        <w:t>са</w:t>
      </w:r>
      <w:r w:rsidR="0042679D" w:rsidRPr="00295637">
        <w:rPr>
          <w:rFonts w:ascii="Times New Roman" w:hAnsi="Times New Roman"/>
          <w:lang w:val="sr-Latn-BA"/>
        </w:rPr>
        <w:t xml:space="preserve"> </w:t>
      </w:r>
      <w:r>
        <w:rPr>
          <w:rFonts w:ascii="Times New Roman" w:hAnsi="Times New Roman"/>
          <w:lang w:val="sr-Latn-BA"/>
        </w:rPr>
        <w:t>жртвама</w:t>
      </w:r>
      <w:r w:rsidR="0042679D" w:rsidRPr="00295637">
        <w:rPr>
          <w:rFonts w:ascii="Times New Roman" w:hAnsi="Times New Roman"/>
          <w:lang w:val="sr-Latn-BA"/>
        </w:rPr>
        <w:t xml:space="preserve"> </w:t>
      </w:r>
      <w:r>
        <w:rPr>
          <w:rFonts w:ascii="Times New Roman" w:hAnsi="Times New Roman"/>
          <w:lang w:val="sr-Latn-BA"/>
        </w:rPr>
        <w:t>сексуалног</w:t>
      </w:r>
      <w:r w:rsidR="0042679D" w:rsidRPr="00295637">
        <w:rPr>
          <w:rFonts w:ascii="Times New Roman" w:hAnsi="Times New Roman"/>
          <w:lang w:val="sr-Latn-BA"/>
        </w:rPr>
        <w:t xml:space="preserve"> </w:t>
      </w:r>
      <w:r>
        <w:rPr>
          <w:rFonts w:ascii="Times New Roman" w:hAnsi="Times New Roman"/>
          <w:lang w:val="sr-Latn-BA"/>
        </w:rPr>
        <w:t>насиља</w:t>
      </w:r>
      <w:r w:rsidR="0042679D" w:rsidRPr="00295637">
        <w:rPr>
          <w:rFonts w:ascii="Times New Roman" w:hAnsi="Times New Roman"/>
          <w:lang w:val="sr-Latn-BA"/>
        </w:rPr>
        <w:t xml:space="preserve">“ </w:t>
      </w:r>
      <w:r>
        <w:rPr>
          <w:rFonts w:ascii="Times New Roman" w:hAnsi="Times New Roman"/>
          <w:lang w:val="sr-Latn-BA"/>
        </w:rPr>
        <w:t>које</w:t>
      </w:r>
      <w:r w:rsidR="0042679D" w:rsidRPr="00295637">
        <w:rPr>
          <w:rFonts w:ascii="Times New Roman" w:hAnsi="Times New Roman"/>
          <w:lang w:val="sr-Latn-BA"/>
        </w:rPr>
        <w:t xml:space="preserve"> </w:t>
      </w:r>
      <w:r>
        <w:rPr>
          <w:rFonts w:ascii="Times New Roman" w:hAnsi="Times New Roman"/>
          <w:lang w:val="sr-Latn-BA"/>
        </w:rPr>
        <w:t>садрже</w:t>
      </w:r>
      <w:r w:rsidR="0042679D" w:rsidRPr="00295637">
        <w:rPr>
          <w:rFonts w:ascii="Times New Roman" w:hAnsi="Times New Roman"/>
          <w:lang w:val="sr-Latn-BA"/>
        </w:rPr>
        <w:t xml:space="preserve"> </w:t>
      </w:r>
      <w:r>
        <w:rPr>
          <w:rFonts w:ascii="Times New Roman" w:hAnsi="Times New Roman"/>
          <w:lang w:val="sr-Latn-BA"/>
        </w:rPr>
        <w:t>стандардиз</w:t>
      </w:r>
      <w:r w:rsidR="002924B3">
        <w:rPr>
          <w:rFonts w:ascii="Times New Roman" w:hAnsi="Times New Roman"/>
          <w:lang w:val="sr-Cyrl-BA"/>
        </w:rPr>
        <w:t>оване</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сажете</w:t>
      </w:r>
      <w:r w:rsidR="0042679D" w:rsidRPr="00295637">
        <w:rPr>
          <w:rFonts w:ascii="Times New Roman" w:hAnsi="Times New Roman"/>
          <w:lang w:val="sr-Latn-BA"/>
        </w:rPr>
        <w:t xml:space="preserve"> </w:t>
      </w:r>
      <w:r>
        <w:rPr>
          <w:rFonts w:ascii="Times New Roman" w:hAnsi="Times New Roman"/>
          <w:lang w:val="sr-Latn-BA"/>
        </w:rPr>
        <w:t>кораке</w:t>
      </w:r>
      <w:r w:rsidR="00A8144D">
        <w:rPr>
          <w:rFonts w:ascii="Times New Roman" w:hAnsi="Times New Roman"/>
          <w:lang w:val="sr-Latn-BA"/>
        </w:rPr>
        <w:t xml:space="preserve"> </w:t>
      </w:r>
      <w:r>
        <w:rPr>
          <w:rFonts w:ascii="Times New Roman" w:hAnsi="Times New Roman"/>
          <w:lang w:val="sr-Latn-BA"/>
        </w:rPr>
        <w:t>у</w:t>
      </w:r>
      <w:r w:rsidR="00A8144D">
        <w:rPr>
          <w:rFonts w:ascii="Times New Roman" w:hAnsi="Times New Roman"/>
          <w:lang w:val="sr-Latn-BA"/>
        </w:rPr>
        <w:t xml:space="preserve"> </w:t>
      </w:r>
      <w:r>
        <w:rPr>
          <w:rFonts w:ascii="Times New Roman" w:hAnsi="Times New Roman"/>
          <w:lang w:val="sr-Latn-BA"/>
        </w:rPr>
        <w:t>поступањима</w:t>
      </w:r>
      <w:r w:rsidR="00A8144D">
        <w:rPr>
          <w:rFonts w:ascii="Times New Roman" w:hAnsi="Times New Roman"/>
          <w:lang w:val="sr-Latn-BA"/>
        </w:rPr>
        <w:t xml:space="preserve"> </w:t>
      </w:r>
      <w:r>
        <w:rPr>
          <w:rFonts w:ascii="Times New Roman" w:hAnsi="Times New Roman"/>
          <w:lang w:val="sr-Latn-BA"/>
        </w:rPr>
        <w:t>са</w:t>
      </w:r>
      <w:r w:rsidR="0042679D" w:rsidRPr="00295637">
        <w:rPr>
          <w:rFonts w:ascii="Times New Roman" w:hAnsi="Times New Roman"/>
          <w:lang w:val="sr-Latn-BA"/>
        </w:rPr>
        <w:t xml:space="preserve"> </w:t>
      </w:r>
      <w:r>
        <w:rPr>
          <w:rFonts w:ascii="Times New Roman" w:hAnsi="Times New Roman"/>
          <w:lang w:val="sr-Latn-BA"/>
        </w:rPr>
        <w:t>жртвама</w:t>
      </w:r>
      <w:r w:rsidR="0042679D" w:rsidRPr="00295637">
        <w:rPr>
          <w:rFonts w:ascii="Times New Roman" w:hAnsi="Times New Roman"/>
          <w:lang w:val="sr-Latn-BA"/>
        </w:rPr>
        <w:t xml:space="preserve"> </w:t>
      </w:r>
      <w:r>
        <w:rPr>
          <w:rFonts w:ascii="Times New Roman" w:hAnsi="Times New Roman"/>
          <w:lang w:val="sr-Latn-BA"/>
        </w:rPr>
        <w:t>сексуалног</w:t>
      </w:r>
      <w:r w:rsidR="0042679D" w:rsidRPr="00295637">
        <w:rPr>
          <w:rFonts w:ascii="Times New Roman" w:hAnsi="Times New Roman"/>
          <w:lang w:val="sr-Latn-BA"/>
        </w:rPr>
        <w:t xml:space="preserve"> </w:t>
      </w:r>
      <w:r>
        <w:rPr>
          <w:rFonts w:ascii="Times New Roman" w:hAnsi="Times New Roman"/>
          <w:lang w:val="sr-Latn-BA"/>
        </w:rPr>
        <w:t>насиља</w:t>
      </w:r>
      <w:r w:rsidR="0042679D" w:rsidRPr="00295637">
        <w:rPr>
          <w:rFonts w:ascii="Times New Roman" w:hAnsi="Times New Roman"/>
          <w:lang w:val="sr-Latn-BA"/>
        </w:rPr>
        <w:t xml:space="preserve"> </w:t>
      </w:r>
      <w:r>
        <w:rPr>
          <w:rFonts w:ascii="Times New Roman" w:hAnsi="Times New Roman"/>
          <w:lang w:val="sr-Latn-BA"/>
        </w:rPr>
        <w:t>којих</w:t>
      </w:r>
      <w:r w:rsidR="0042679D" w:rsidRPr="00295637">
        <w:rPr>
          <w:rFonts w:ascii="Times New Roman" w:hAnsi="Times New Roman"/>
          <w:lang w:val="sr-Latn-BA"/>
        </w:rPr>
        <w:t xml:space="preserve"> </w:t>
      </w:r>
      <w:r>
        <w:rPr>
          <w:rFonts w:ascii="Times New Roman" w:hAnsi="Times New Roman"/>
          <w:lang w:val="sr-Latn-BA"/>
        </w:rPr>
        <w:t>треба</w:t>
      </w:r>
      <w:r w:rsidR="0042679D" w:rsidRPr="00295637">
        <w:rPr>
          <w:rFonts w:ascii="Times New Roman" w:hAnsi="Times New Roman"/>
          <w:lang w:val="sr-Latn-BA"/>
        </w:rPr>
        <w:t xml:space="preserve"> </w:t>
      </w:r>
      <w:r>
        <w:rPr>
          <w:rFonts w:ascii="Times New Roman" w:hAnsi="Times New Roman"/>
          <w:lang w:val="sr-Latn-BA"/>
        </w:rPr>
        <w:t>да</w:t>
      </w:r>
      <w:r w:rsidR="0042679D" w:rsidRPr="00295637">
        <w:rPr>
          <w:rFonts w:ascii="Times New Roman" w:hAnsi="Times New Roman"/>
          <w:lang w:val="sr-Latn-BA"/>
        </w:rPr>
        <w:t xml:space="preserve"> </w:t>
      </w:r>
      <w:r>
        <w:rPr>
          <w:rFonts w:ascii="Times New Roman" w:hAnsi="Times New Roman"/>
          <w:lang w:val="sr-Latn-BA"/>
        </w:rPr>
        <w:t>се</w:t>
      </w:r>
      <w:r w:rsidR="0042679D" w:rsidRPr="00295637">
        <w:rPr>
          <w:rFonts w:ascii="Times New Roman" w:hAnsi="Times New Roman"/>
          <w:lang w:val="sr-Latn-BA"/>
        </w:rPr>
        <w:t xml:space="preserve"> </w:t>
      </w:r>
      <w:r>
        <w:rPr>
          <w:rFonts w:ascii="Times New Roman" w:hAnsi="Times New Roman"/>
          <w:lang w:val="sr-Latn-BA"/>
        </w:rPr>
        <w:t>придржавају</w:t>
      </w:r>
      <w:r w:rsidR="0042679D" w:rsidRPr="00295637">
        <w:rPr>
          <w:rFonts w:ascii="Times New Roman" w:hAnsi="Times New Roman"/>
          <w:lang w:val="sr-Latn-BA"/>
        </w:rPr>
        <w:t xml:space="preserve"> </w:t>
      </w:r>
      <w:r>
        <w:rPr>
          <w:rFonts w:ascii="Times New Roman" w:hAnsi="Times New Roman"/>
          <w:lang w:val="sr-Latn-BA"/>
        </w:rPr>
        <w:t>сви</w:t>
      </w:r>
      <w:r w:rsidR="0042679D" w:rsidRPr="00295637">
        <w:rPr>
          <w:rFonts w:ascii="Times New Roman" w:hAnsi="Times New Roman"/>
          <w:lang w:val="sr-Latn-BA"/>
        </w:rPr>
        <w:t xml:space="preserve"> </w:t>
      </w:r>
      <w:r>
        <w:rPr>
          <w:rFonts w:ascii="Times New Roman" w:hAnsi="Times New Roman"/>
          <w:lang w:val="sr-Latn-BA"/>
        </w:rPr>
        <w:t>субјекти</w:t>
      </w:r>
      <w:r w:rsidR="0042679D" w:rsidRPr="00295637">
        <w:rPr>
          <w:rFonts w:ascii="Times New Roman" w:hAnsi="Times New Roman"/>
          <w:lang w:val="sr-Latn-BA"/>
        </w:rPr>
        <w:t xml:space="preserve"> </w:t>
      </w:r>
      <w:r>
        <w:rPr>
          <w:rFonts w:ascii="Times New Roman" w:hAnsi="Times New Roman"/>
          <w:lang w:val="sr-Latn-BA"/>
        </w:rPr>
        <w:t>заштите</w:t>
      </w:r>
      <w:r w:rsidR="0042679D" w:rsidRPr="00295637">
        <w:rPr>
          <w:rFonts w:ascii="Times New Roman" w:hAnsi="Times New Roman"/>
          <w:lang w:val="sr-Latn-BA"/>
        </w:rPr>
        <w:t xml:space="preserve"> </w:t>
      </w:r>
      <w:r>
        <w:rPr>
          <w:rFonts w:ascii="Times New Roman" w:hAnsi="Times New Roman"/>
          <w:lang w:val="sr-Latn-BA"/>
        </w:rPr>
        <w:t>жртава</w:t>
      </w:r>
      <w:r w:rsidR="0042679D" w:rsidRPr="00295637">
        <w:rPr>
          <w:rFonts w:ascii="Times New Roman" w:hAnsi="Times New Roman"/>
          <w:lang w:val="sr-Latn-BA"/>
        </w:rPr>
        <w:t xml:space="preserve"> </w:t>
      </w:r>
      <w:r>
        <w:rPr>
          <w:rFonts w:ascii="Times New Roman" w:hAnsi="Times New Roman"/>
          <w:lang w:val="sr-Latn-BA"/>
        </w:rPr>
        <w:t>сексуалног</w:t>
      </w:r>
      <w:r w:rsidR="0042679D" w:rsidRPr="00295637">
        <w:rPr>
          <w:rFonts w:ascii="Times New Roman" w:hAnsi="Times New Roman"/>
          <w:lang w:val="sr-Latn-BA"/>
        </w:rPr>
        <w:t xml:space="preserve"> </w:t>
      </w:r>
      <w:r>
        <w:rPr>
          <w:rFonts w:ascii="Times New Roman" w:hAnsi="Times New Roman"/>
          <w:lang w:val="sr-Latn-BA"/>
        </w:rPr>
        <w:t>насиља</w:t>
      </w:r>
      <w:r w:rsidR="0042679D" w:rsidRPr="00295637">
        <w:rPr>
          <w:rFonts w:ascii="Times New Roman" w:hAnsi="Times New Roman"/>
          <w:lang w:val="sr-Latn-BA"/>
        </w:rPr>
        <w:t xml:space="preserve">. </w:t>
      </w:r>
    </w:p>
    <w:p w:rsidR="0042679D" w:rsidRPr="00323E52" w:rsidRDefault="0042679D" w:rsidP="0086268D">
      <w:pPr>
        <w:pStyle w:val="ListParagraph"/>
        <w:rPr>
          <w:rFonts w:ascii="Times New Roman" w:hAnsi="Times New Roman"/>
          <w:lang w:val="sr-Latn-BA"/>
        </w:rPr>
      </w:pPr>
    </w:p>
    <w:p w:rsidR="0042679D" w:rsidRPr="006D4FEF" w:rsidRDefault="0042679D" w:rsidP="0086268D">
      <w:pPr>
        <w:pStyle w:val="ListParagraph"/>
        <w:numPr>
          <w:ilvl w:val="0"/>
          <w:numId w:val="17"/>
        </w:numPr>
        <w:tabs>
          <w:tab w:val="left" w:pos="284"/>
          <w:tab w:val="left" w:pos="630"/>
          <w:tab w:val="left" w:pos="1080"/>
        </w:tabs>
        <w:jc w:val="both"/>
        <w:rPr>
          <w:rFonts w:ascii="Times New Roman" w:hAnsi="Times New Roman"/>
          <w:szCs w:val="24"/>
        </w:rPr>
      </w:pPr>
      <w:r>
        <w:rPr>
          <w:rFonts w:ascii="Times New Roman" w:hAnsi="Times New Roman"/>
          <w:szCs w:val="24"/>
        </w:rPr>
        <w:t xml:space="preserve"> </w:t>
      </w:r>
      <w:r w:rsidR="00C6214E">
        <w:rPr>
          <w:rFonts w:ascii="Times New Roman" w:hAnsi="Times New Roman"/>
          <w:szCs w:val="24"/>
          <w:lang w:val="bs-Latn-BA"/>
        </w:rPr>
        <w:t>За</w:t>
      </w:r>
      <w:r w:rsidRPr="00295637">
        <w:rPr>
          <w:rFonts w:ascii="Times New Roman" w:hAnsi="Times New Roman"/>
          <w:szCs w:val="24"/>
          <w:lang w:val="bs-Latn-BA"/>
        </w:rPr>
        <w:t xml:space="preserve"> </w:t>
      </w:r>
      <w:r w:rsidR="00C6214E">
        <w:rPr>
          <w:rFonts w:ascii="Times New Roman" w:hAnsi="Times New Roman"/>
          <w:szCs w:val="24"/>
          <w:lang w:val="bs-Latn-BA"/>
        </w:rPr>
        <w:t>вријеме</w:t>
      </w:r>
      <w:r w:rsidRPr="00295637">
        <w:rPr>
          <w:rFonts w:ascii="Times New Roman" w:hAnsi="Times New Roman"/>
          <w:szCs w:val="24"/>
          <w:lang w:val="bs-Latn-BA"/>
        </w:rPr>
        <w:t xml:space="preserve"> </w:t>
      </w:r>
      <w:r w:rsidR="00C6214E">
        <w:rPr>
          <w:rFonts w:ascii="Times New Roman" w:hAnsi="Times New Roman"/>
          <w:szCs w:val="24"/>
          <w:lang w:val="bs-Latn-BA"/>
        </w:rPr>
        <w:t>прихвата</w:t>
      </w:r>
      <w:r w:rsidRPr="00295637">
        <w:rPr>
          <w:rFonts w:ascii="Times New Roman" w:hAnsi="Times New Roman"/>
          <w:szCs w:val="24"/>
          <w:lang w:val="bs-Latn-BA"/>
        </w:rPr>
        <w:t xml:space="preserve"> </w:t>
      </w:r>
      <w:r w:rsidR="00C6214E">
        <w:rPr>
          <w:rFonts w:ascii="Times New Roman" w:hAnsi="Times New Roman"/>
          <w:szCs w:val="24"/>
          <w:lang w:val="bs-Latn-BA"/>
        </w:rPr>
        <w:t>тражилаца</w:t>
      </w:r>
      <w:r w:rsidRPr="00295637">
        <w:rPr>
          <w:rFonts w:ascii="Times New Roman" w:hAnsi="Times New Roman"/>
          <w:szCs w:val="24"/>
          <w:lang w:val="bs-Latn-BA"/>
        </w:rPr>
        <w:t xml:space="preserve"> </w:t>
      </w:r>
      <w:r w:rsidR="00C6214E">
        <w:rPr>
          <w:rFonts w:ascii="Times New Roman" w:hAnsi="Times New Roman"/>
          <w:szCs w:val="24"/>
          <w:lang w:val="bs-Latn-BA"/>
        </w:rPr>
        <w:t>азила</w:t>
      </w:r>
      <w:r w:rsidRPr="00295637">
        <w:rPr>
          <w:rFonts w:ascii="Times New Roman" w:hAnsi="Times New Roman"/>
          <w:szCs w:val="24"/>
          <w:lang w:val="bs-Latn-BA"/>
        </w:rPr>
        <w:t xml:space="preserve"> </w:t>
      </w:r>
      <w:r w:rsidR="00C6214E">
        <w:rPr>
          <w:rFonts w:ascii="Times New Roman" w:hAnsi="Times New Roman"/>
          <w:szCs w:val="24"/>
          <w:lang w:val="bs-Latn-BA"/>
        </w:rPr>
        <w:t>у</w:t>
      </w:r>
      <w:r w:rsidRPr="00295637">
        <w:rPr>
          <w:rFonts w:ascii="Times New Roman" w:hAnsi="Times New Roman"/>
          <w:szCs w:val="24"/>
          <w:lang w:val="bs-Latn-BA"/>
        </w:rPr>
        <w:t xml:space="preserve"> </w:t>
      </w:r>
      <w:r w:rsidR="00C6214E">
        <w:rPr>
          <w:rFonts w:ascii="Times New Roman" w:hAnsi="Times New Roman"/>
          <w:szCs w:val="24"/>
          <w:lang w:val="bs-Latn-BA"/>
        </w:rPr>
        <w:t>Босни</w:t>
      </w:r>
      <w:r w:rsidRPr="00295637">
        <w:rPr>
          <w:rFonts w:ascii="Times New Roman" w:hAnsi="Times New Roman"/>
          <w:szCs w:val="24"/>
          <w:lang w:val="bs-Latn-BA"/>
        </w:rPr>
        <w:t xml:space="preserve"> </w:t>
      </w:r>
      <w:r w:rsidR="00C6214E">
        <w:rPr>
          <w:rFonts w:ascii="Times New Roman" w:hAnsi="Times New Roman"/>
          <w:szCs w:val="24"/>
          <w:lang w:val="bs-Latn-BA"/>
        </w:rPr>
        <w:t>и</w:t>
      </w:r>
      <w:r w:rsidRPr="00295637">
        <w:rPr>
          <w:rFonts w:ascii="Times New Roman" w:hAnsi="Times New Roman"/>
          <w:szCs w:val="24"/>
          <w:lang w:val="bs-Latn-BA"/>
        </w:rPr>
        <w:t xml:space="preserve"> </w:t>
      </w:r>
      <w:r w:rsidR="00C6214E">
        <w:rPr>
          <w:rFonts w:ascii="Times New Roman" w:hAnsi="Times New Roman"/>
          <w:szCs w:val="24"/>
          <w:lang w:val="bs-Latn-BA"/>
        </w:rPr>
        <w:t>Херцеговини</w:t>
      </w:r>
      <w:r w:rsidRPr="00295637">
        <w:rPr>
          <w:rFonts w:ascii="Times New Roman" w:hAnsi="Times New Roman"/>
          <w:szCs w:val="24"/>
          <w:lang w:val="bs-Latn-BA"/>
        </w:rPr>
        <w:t xml:space="preserve">, </w:t>
      </w:r>
      <w:r w:rsidR="00C6214E">
        <w:rPr>
          <w:rFonts w:ascii="Times New Roman" w:hAnsi="Times New Roman"/>
          <w:szCs w:val="24"/>
          <w:lang w:val="bs-Latn-BA"/>
        </w:rPr>
        <w:t>у</w:t>
      </w:r>
      <w:r w:rsidRPr="00295637">
        <w:rPr>
          <w:rFonts w:ascii="Times New Roman" w:hAnsi="Times New Roman"/>
          <w:szCs w:val="24"/>
          <w:lang w:val="bs-Latn-BA"/>
        </w:rPr>
        <w:t xml:space="preserve"> </w:t>
      </w:r>
      <w:r w:rsidR="00C6214E">
        <w:rPr>
          <w:rFonts w:ascii="Times New Roman" w:hAnsi="Times New Roman"/>
          <w:szCs w:val="24"/>
          <w:lang w:val="bs-Latn-BA"/>
        </w:rPr>
        <w:t>азилантском</w:t>
      </w:r>
      <w:r w:rsidRPr="00295637">
        <w:rPr>
          <w:rFonts w:ascii="Times New Roman" w:hAnsi="Times New Roman"/>
          <w:szCs w:val="24"/>
          <w:lang w:val="bs-Latn-BA"/>
        </w:rPr>
        <w:t xml:space="preserve"> </w:t>
      </w:r>
      <w:r w:rsidR="00C6214E">
        <w:rPr>
          <w:rFonts w:ascii="Times New Roman" w:hAnsi="Times New Roman"/>
          <w:szCs w:val="24"/>
          <w:lang w:val="bs-Latn-BA"/>
        </w:rPr>
        <w:t>центру</w:t>
      </w:r>
      <w:r w:rsidRPr="00295637">
        <w:rPr>
          <w:rFonts w:ascii="Times New Roman" w:hAnsi="Times New Roman"/>
          <w:szCs w:val="24"/>
          <w:lang w:val="bs-Latn-BA"/>
        </w:rPr>
        <w:t xml:space="preserve"> </w:t>
      </w:r>
      <w:r w:rsidR="00C6214E">
        <w:rPr>
          <w:rFonts w:ascii="Times New Roman" w:hAnsi="Times New Roman"/>
          <w:szCs w:val="24"/>
          <w:lang w:val="bs-Latn-BA"/>
        </w:rPr>
        <w:t>М</w:t>
      </w:r>
      <w:r w:rsidR="002924B3">
        <w:rPr>
          <w:rFonts w:ascii="Times New Roman" w:hAnsi="Times New Roman"/>
          <w:szCs w:val="24"/>
          <w:lang w:val="sr-Cyrl-BA"/>
        </w:rPr>
        <w:t>Б</w:t>
      </w:r>
      <w:r w:rsidRPr="00295637">
        <w:rPr>
          <w:rFonts w:ascii="Times New Roman" w:hAnsi="Times New Roman"/>
          <w:szCs w:val="24"/>
          <w:lang w:val="bs-Latn-BA"/>
        </w:rPr>
        <w:t xml:space="preserve"> </w:t>
      </w:r>
      <w:r w:rsidR="00C6214E">
        <w:rPr>
          <w:rFonts w:ascii="Times New Roman" w:hAnsi="Times New Roman"/>
          <w:szCs w:val="24"/>
          <w:lang w:val="bs-Latn-BA"/>
        </w:rPr>
        <w:t>БиХ</w:t>
      </w:r>
      <w:r w:rsidRPr="00295637">
        <w:rPr>
          <w:rFonts w:ascii="Times New Roman" w:hAnsi="Times New Roman"/>
          <w:szCs w:val="24"/>
          <w:lang w:val="bs-Latn-BA"/>
        </w:rPr>
        <w:t xml:space="preserve">, </w:t>
      </w:r>
      <w:r w:rsidR="00C6214E">
        <w:rPr>
          <w:rFonts w:ascii="Times New Roman" w:hAnsi="Times New Roman"/>
          <w:szCs w:val="24"/>
          <w:lang w:val="bs-Latn-BA"/>
        </w:rPr>
        <w:t>у</w:t>
      </w:r>
      <w:r w:rsidRPr="00295637">
        <w:rPr>
          <w:rFonts w:ascii="Times New Roman" w:hAnsi="Times New Roman"/>
          <w:szCs w:val="24"/>
          <w:lang w:val="bs-Latn-BA"/>
        </w:rPr>
        <w:t xml:space="preserve"> </w:t>
      </w:r>
      <w:r w:rsidR="00C6214E">
        <w:rPr>
          <w:rFonts w:ascii="Times New Roman" w:hAnsi="Times New Roman"/>
          <w:szCs w:val="24"/>
          <w:lang w:val="bs-Latn-BA"/>
        </w:rPr>
        <w:t>континуитету</w:t>
      </w:r>
      <w:r w:rsidRPr="00295637">
        <w:rPr>
          <w:rFonts w:ascii="Times New Roman" w:hAnsi="Times New Roman"/>
          <w:szCs w:val="24"/>
          <w:lang w:val="bs-Latn-BA"/>
        </w:rPr>
        <w:t xml:space="preserve"> </w:t>
      </w:r>
      <w:r w:rsidR="00C6214E">
        <w:rPr>
          <w:rFonts w:ascii="Times New Roman" w:hAnsi="Times New Roman"/>
          <w:szCs w:val="24"/>
          <w:lang w:val="bs-Latn-BA"/>
        </w:rPr>
        <w:t>се</w:t>
      </w:r>
      <w:r w:rsidRPr="00295637">
        <w:rPr>
          <w:rFonts w:ascii="Times New Roman" w:hAnsi="Times New Roman"/>
          <w:szCs w:val="24"/>
          <w:lang w:val="bs-Latn-BA"/>
        </w:rPr>
        <w:t xml:space="preserve"> </w:t>
      </w:r>
      <w:r w:rsidR="002924B3">
        <w:rPr>
          <w:rFonts w:ascii="Times New Roman" w:hAnsi="Times New Roman"/>
          <w:szCs w:val="24"/>
          <w:lang w:val="sr-Cyrl-BA"/>
        </w:rPr>
        <w:t>спроводе</w:t>
      </w:r>
      <w:r w:rsidRPr="00295637">
        <w:rPr>
          <w:rFonts w:ascii="Times New Roman" w:hAnsi="Times New Roman"/>
          <w:szCs w:val="24"/>
          <w:lang w:val="bs-Latn-BA"/>
        </w:rPr>
        <w:t xml:space="preserve"> </w:t>
      </w:r>
      <w:r w:rsidR="00C6214E">
        <w:rPr>
          <w:rFonts w:ascii="Times New Roman" w:hAnsi="Times New Roman"/>
          <w:szCs w:val="24"/>
          <w:lang w:val="bs-Latn-BA"/>
        </w:rPr>
        <w:t>мјере</w:t>
      </w:r>
      <w:r w:rsidRPr="00295637">
        <w:rPr>
          <w:rFonts w:ascii="Times New Roman" w:hAnsi="Times New Roman"/>
          <w:szCs w:val="24"/>
          <w:lang w:val="bs-Latn-BA"/>
        </w:rPr>
        <w:t xml:space="preserve"> </w:t>
      </w:r>
      <w:r w:rsidR="00C6214E">
        <w:rPr>
          <w:rFonts w:ascii="Times New Roman" w:hAnsi="Times New Roman"/>
          <w:szCs w:val="24"/>
          <w:lang w:val="bs-Latn-BA"/>
        </w:rPr>
        <w:t>за</w:t>
      </w:r>
      <w:r w:rsidRPr="00295637">
        <w:rPr>
          <w:rFonts w:ascii="Times New Roman" w:hAnsi="Times New Roman"/>
          <w:szCs w:val="24"/>
          <w:lang w:val="bs-Latn-BA"/>
        </w:rPr>
        <w:t xml:space="preserve"> </w:t>
      </w:r>
      <w:r w:rsidR="00C6214E">
        <w:rPr>
          <w:rFonts w:ascii="Times New Roman" w:hAnsi="Times New Roman"/>
          <w:szCs w:val="24"/>
          <w:lang w:val="bs-Latn-BA"/>
        </w:rPr>
        <w:t>пружање</w:t>
      </w:r>
      <w:r w:rsidRPr="00295637">
        <w:rPr>
          <w:rFonts w:ascii="Times New Roman" w:hAnsi="Times New Roman"/>
          <w:szCs w:val="24"/>
          <w:lang w:val="bs-Latn-BA"/>
        </w:rPr>
        <w:t xml:space="preserve"> </w:t>
      </w:r>
      <w:r w:rsidR="00C6214E">
        <w:rPr>
          <w:rFonts w:ascii="Times New Roman" w:hAnsi="Times New Roman"/>
          <w:szCs w:val="24"/>
          <w:lang w:val="bs-Latn-BA"/>
        </w:rPr>
        <w:t>прописане</w:t>
      </w:r>
      <w:r w:rsidRPr="00295637">
        <w:rPr>
          <w:rFonts w:ascii="Times New Roman" w:hAnsi="Times New Roman"/>
          <w:szCs w:val="24"/>
          <w:lang w:val="bs-Latn-BA"/>
        </w:rPr>
        <w:t xml:space="preserve"> </w:t>
      </w:r>
      <w:r w:rsidR="00C6214E">
        <w:rPr>
          <w:rFonts w:ascii="Times New Roman" w:hAnsi="Times New Roman"/>
          <w:szCs w:val="24"/>
          <w:lang w:val="bs-Latn-BA"/>
        </w:rPr>
        <w:t>здравствене</w:t>
      </w:r>
      <w:r w:rsidRPr="00295637">
        <w:rPr>
          <w:rFonts w:ascii="Times New Roman" w:hAnsi="Times New Roman"/>
          <w:szCs w:val="24"/>
          <w:lang w:val="bs-Latn-BA"/>
        </w:rPr>
        <w:t xml:space="preserve"> </w:t>
      </w:r>
      <w:r w:rsidR="00C6214E">
        <w:rPr>
          <w:rFonts w:ascii="Times New Roman" w:hAnsi="Times New Roman"/>
          <w:szCs w:val="24"/>
          <w:lang w:val="bs-Latn-BA"/>
        </w:rPr>
        <w:t>заштите</w:t>
      </w:r>
      <w:r w:rsidRPr="00295637">
        <w:rPr>
          <w:rFonts w:ascii="Times New Roman" w:hAnsi="Times New Roman"/>
          <w:szCs w:val="24"/>
          <w:lang w:val="bs-Latn-BA"/>
        </w:rPr>
        <w:t xml:space="preserve"> </w:t>
      </w:r>
      <w:r w:rsidR="00C6214E">
        <w:rPr>
          <w:rFonts w:ascii="Times New Roman" w:hAnsi="Times New Roman"/>
          <w:szCs w:val="24"/>
          <w:lang w:val="bs-Latn-BA"/>
        </w:rPr>
        <w:t>за</w:t>
      </w:r>
      <w:r w:rsidRPr="00295637">
        <w:rPr>
          <w:rFonts w:ascii="Times New Roman" w:hAnsi="Times New Roman"/>
          <w:szCs w:val="24"/>
          <w:lang w:val="bs-Latn-BA"/>
        </w:rPr>
        <w:t xml:space="preserve"> </w:t>
      </w:r>
      <w:r w:rsidR="00C6214E">
        <w:rPr>
          <w:rFonts w:ascii="Times New Roman" w:hAnsi="Times New Roman"/>
          <w:szCs w:val="24"/>
          <w:lang w:val="bs-Latn-BA"/>
        </w:rPr>
        <w:t>жене</w:t>
      </w:r>
      <w:r w:rsidRPr="00295637">
        <w:rPr>
          <w:rFonts w:ascii="Times New Roman" w:hAnsi="Times New Roman"/>
          <w:szCs w:val="24"/>
          <w:lang w:val="bs-Latn-BA"/>
        </w:rPr>
        <w:t xml:space="preserve">, </w:t>
      </w:r>
      <w:r w:rsidR="00C6214E">
        <w:rPr>
          <w:rFonts w:ascii="Times New Roman" w:hAnsi="Times New Roman"/>
          <w:szCs w:val="24"/>
          <w:lang w:val="bs-Latn-BA"/>
        </w:rPr>
        <w:t>дјевојчице</w:t>
      </w:r>
      <w:r w:rsidRPr="00295637">
        <w:rPr>
          <w:rFonts w:ascii="Times New Roman" w:hAnsi="Times New Roman"/>
          <w:szCs w:val="24"/>
          <w:lang w:val="bs-Latn-BA"/>
        </w:rPr>
        <w:t xml:space="preserve">, </w:t>
      </w:r>
      <w:r w:rsidR="00C6214E">
        <w:rPr>
          <w:rFonts w:ascii="Times New Roman" w:hAnsi="Times New Roman"/>
          <w:szCs w:val="24"/>
          <w:lang w:val="bs-Latn-BA"/>
        </w:rPr>
        <w:t>али</w:t>
      </w:r>
      <w:r w:rsidRPr="00295637">
        <w:rPr>
          <w:rFonts w:ascii="Times New Roman" w:hAnsi="Times New Roman"/>
          <w:szCs w:val="24"/>
          <w:lang w:val="bs-Latn-BA"/>
        </w:rPr>
        <w:t xml:space="preserve"> </w:t>
      </w:r>
      <w:r w:rsidR="00C6214E">
        <w:rPr>
          <w:rFonts w:ascii="Times New Roman" w:hAnsi="Times New Roman"/>
          <w:szCs w:val="24"/>
          <w:lang w:val="bs-Latn-BA"/>
        </w:rPr>
        <w:t>и</w:t>
      </w:r>
      <w:r w:rsidRPr="00295637">
        <w:rPr>
          <w:rFonts w:ascii="Times New Roman" w:hAnsi="Times New Roman"/>
          <w:szCs w:val="24"/>
          <w:lang w:val="bs-Latn-BA"/>
        </w:rPr>
        <w:t xml:space="preserve"> </w:t>
      </w:r>
      <w:r w:rsidR="00C6214E">
        <w:rPr>
          <w:rFonts w:ascii="Times New Roman" w:hAnsi="Times New Roman"/>
          <w:szCs w:val="24"/>
          <w:lang w:val="bs-Latn-BA"/>
        </w:rPr>
        <w:t>мушкарце</w:t>
      </w:r>
      <w:r w:rsidRPr="00295637">
        <w:rPr>
          <w:rFonts w:ascii="Times New Roman" w:hAnsi="Times New Roman"/>
          <w:szCs w:val="24"/>
          <w:lang w:val="bs-Latn-BA"/>
        </w:rPr>
        <w:t xml:space="preserve">, </w:t>
      </w:r>
      <w:r w:rsidR="00C6214E">
        <w:rPr>
          <w:rFonts w:ascii="Times New Roman" w:hAnsi="Times New Roman"/>
          <w:szCs w:val="24"/>
          <w:lang w:val="bs-Latn-BA"/>
        </w:rPr>
        <w:t>нарочито</w:t>
      </w:r>
      <w:r w:rsidRPr="00295637">
        <w:rPr>
          <w:rFonts w:ascii="Times New Roman" w:hAnsi="Times New Roman"/>
          <w:szCs w:val="24"/>
          <w:lang w:val="bs-Latn-BA"/>
        </w:rPr>
        <w:t xml:space="preserve"> </w:t>
      </w:r>
      <w:r w:rsidR="00C6214E">
        <w:rPr>
          <w:rFonts w:ascii="Times New Roman" w:hAnsi="Times New Roman"/>
          <w:szCs w:val="24"/>
          <w:lang w:val="bs-Latn-BA"/>
        </w:rPr>
        <w:t>у</w:t>
      </w:r>
      <w:r w:rsidRPr="00295637">
        <w:rPr>
          <w:rFonts w:ascii="Times New Roman" w:hAnsi="Times New Roman"/>
          <w:szCs w:val="24"/>
          <w:lang w:val="bs-Latn-BA"/>
        </w:rPr>
        <w:t xml:space="preserve"> </w:t>
      </w:r>
      <w:r w:rsidR="00C6214E">
        <w:rPr>
          <w:rFonts w:ascii="Times New Roman" w:hAnsi="Times New Roman"/>
          <w:szCs w:val="24"/>
          <w:lang w:val="bs-Latn-BA"/>
        </w:rPr>
        <w:t>контексту</w:t>
      </w:r>
      <w:r w:rsidRPr="00295637">
        <w:rPr>
          <w:rFonts w:ascii="Times New Roman" w:hAnsi="Times New Roman"/>
          <w:szCs w:val="24"/>
          <w:lang w:val="bs-Latn-BA"/>
        </w:rPr>
        <w:t xml:space="preserve"> </w:t>
      </w:r>
      <w:r w:rsidR="00C6214E">
        <w:rPr>
          <w:rFonts w:ascii="Times New Roman" w:hAnsi="Times New Roman"/>
          <w:szCs w:val="24"/>
          <w:lang w:val="bs-Latn-BA"/>
        </w:rPr>
        <w:t>заштите</w:t>
      </w:r>
      <w:r w:rsidRPr="00295637">
        <w:rPr>
          <w:rFonts w:ascii="Times New Roman" w:hAnsi="Times New Roman"/>
          <w:szCs w:val="24"/>
          <w:lang w:val="bs-Latn-BA"/>
        </w:rPr>
        <w:t xml:space="preserve"> </w:t>
      </w:r>
      <w:r w:rsidR="00C6214E">
        <w:rPr>
          <w:rFonts w:ascii="Times New Roman" w:hAnsi="Times New Roman"/>
          <w:szCs w:val="24"/>
          <w:lang w:val="bs-Latn-BA"/>
        </w:rPr>
        <w:t>од</w:t>
      </w:r>
      <w:r w:rsidRPr="00295637">
        <w:rPr>
          <w:rFonts w:ascii="Times New Roman" w:hAnsi="Times New Roman"/>
          <w:szCs w:val="24"/>
          <w:lang w:val="bs-Latn-BA"/>
        </w:rPr>
        <w:t xml:space="preserve"> </w:t>
      </w:r>
      <w:r w:rsidR="00C6214E">
        <w:rPr>
          <w:rFonts w:ascii="Times New Roman" w:hAnsi="Times New Roman"/>
          <w:szCs w:val="24"/>
          <w:lang w:val="bs-Latn-BA"/>
        </w:rPr>
        <w:t>трговине</w:t>
      </w:r>
      <w:r w:rsidRPr="00295637">
        <w:rPr>
          <w:rFonts w:ascii="Times New Roman" w:hAnsi="Times New Roman"/>
          <w:szCs w:val="24"/>
          <w:lang w:val="bs-Latn-BA"/>
        </w:rPr>
        <w:t xml:space="preserve"> </w:t>
      </w:r>
      <w:r w:rsidR="00C6214E">
        <w:rPr>
          <w:rFonts w:ascii="Times New Roman" w:hAnsi="Times New Roman"/>
          <w:szCs w:val="24"/>
          <w:lang w:val="bs-Latn-BA"/>
        </w:rPr>
        <w:t>људима</w:t>
      </w:r>
      <w:r w:rsidRPr="00295637">
        <w:rPr>
          <w:rFonts w:ascii="Times New Roman" w:hAnsi="Times New Roman"/>
          <w:szCs w:val="24"/>
          <w:lang w:val="bs-Latn-BA"/>
        </w:rPr>
        <w:t xml:space="preserve"> </w:t>
      </w:r>
      <w:r w:rsidR="00C6214E">
        <w:rPr>
          <w:rFonts w:ascii="Times New Roman" w:hAnsi="Times New Roman"/>
          <w:szCs w:val="24"/>
          <w:lang w:val="bs-Latn-BA"/>
        </w:rPr>
        <w:t>и</w:t>
      </w:r>
      <w:r w:rsidRPr="00295637">
        <w:rPr>
          <w:rFonts w:ascii="Times New Roman" w:hAnsi="Times New Roman"/>
          <w:szCs w:val="24"/>
          <w:lang w:val="bs-Latn-BA"/>
        </w:rPr>
        <w:t xml:space="preserve"> </w:t>
      </w:r>
      <w:r w:rsidR="00C6214E">
        <w:rPr>
          <w:rFonts w:ascii="Times New Roman" w:hAnsi="Times New Roman"/>
          <w:szCs w:val="24"/>
          <w:lang w:val="bs-Latn-BA"/>
        </w:rPr>
        <w:t>експлоатације</w:t>
      </w:r>
      <w:r w:rsidRPr="00295637">
        <w:rPr>
          <w:rFonts w:ascii="Times New Roman" w:hAnsi="Times New Roman"/>
          <w:szCs w:val="24"/>
          <w:lang w:val="bs-Latn-BA"/>
        </w:rPr>
        <w:t xml:space="preserve">, </w:t>
      </w:r>
      <w:r w:rsidR="00C6214E">
        <w:rPr>
          <w:rFonts w:ascii="Times New Roman" w:hAnsi="Times New Roman"/>
          <w:szCs w:val="24"/>
          <w:lang w:val="bs-Latn-BA"/>
        </w:rPr>
        <w:t>које</w:t>
      </w:r>
      <w:r w:rsidRPr="00295637">
        <w:rPr>
          <w:rFonts w:ascii="Times New Roman" w:hAnsi="Times New Roman"/>
          <w:szCs w:val="24"/>
          <w:lang w:val="bs-Latn-BA"/>
        </w:rPr>
        <w:t xml:space="preserve"> </w:t>
      </w:r>
      <w:r w:rsidR="00C6214E">
        <w:rPr>
          <w:rFonts w:ascii="Times New Roman" w:hAnsi="Times New Roman"/>
          <w:szCs w:val="24"/>
          <w:lang w:val="bs-Latn-BA"/>
        </w:rPr>
        <w:t>су</w:t>
      </w:r>
      <w:r w:rsidRPr="00295637">
        <w:rPr>
          <w:rFonts w:ascii="Times New Roman" w:hAnsi="Times New Roman"/>
          <w:szCs w:val="24"/>
          <w:lang w:val="bs-Latn-BA"/>
        </w:rPr>
        <w:t xml:space="preserve"> </w:t>
      </w:r>
      <w:r w:rsidR="00C6214E">
        <w:rPr>
          <w:rFonts w:ascii="Times New Roman" w:hAnsi="Times New Roman"/>
          <w:szCs w:val="24"/>
          <w:lang w:val="bs-Latn-BA"/>
        </w:rPr>
        <w:t>прописане</w:t>
      </w:r>
      <w:r w:rsidRPr="00295637">
        <w:rPr>
          <w:rFonts w:ascii="Times New Roman" w:hAnsi="Times New Roman"/>
          <w:szCs w:val="24"/>
          <w:lang w:val="bs-Latn-BA"/>
        </w:rPr>
        <w:t xml:space="preserve"> </w:t>
      </w:r>
      <w:r w:rsidR="00C6214E">
        <w:rPr>
          <w:rFonts w:ascii="Times New Roman" w:hAnsi="Times New Roman"/>
          <w:szCs w:val="24"/>
          <w:lang w:val="bs-Latn-BA"/>
        </w:rPr>
        <w:t>Законом</w:t>
      </w:r>
      <w:r w:rsidRPr="00295637">
        <w:rPr>
          <w:rFonts w:ascii="Times New Roman" w:hAnsi="Times New Roman"/>
          <w:szCs w:val="24"/>
          <w:lang w:val="bs-Latn-BA"/>
        </w:rPr>
        <w:t xml:space="preserve"> </w:t>
      </w:r>
      <w:r w:rsidR="00C6214E">
        <w:rPr>
          <w:rFonts w:ascii="Times New Roman" w:hAnsi="Times New Roman"/>
          <w:szCs w:val="24"/>
          <w:lang w:val="bs-Latn-BA"/>
        </w:rPr>
        <w:t>о</w:t>
      </w:r>
      <w:r w:rsidRPr="00295637">
        <w:rPr>
          <w:rFonts w:ascii="Times New Roman" w:hAnsi="Times New Roman"/>
          <w:szCs w:val="24"/>
          <w:lang w:val="bs-Latn-BA"/>
        </w:rPr>
        <w:t xml:space="preserve"> </w:t>
      </w:r>
      <w:r w:rsidR="00C6214E">
        <w:rPr>
          <w:rFonts w:ascii="Times New Roman" w:hAnsi="Times New Roman"/>
          <w:szCs w:val="24"/>
          <w:lang w:val="bs-Latn-BA"/>
        </w:rPr>
        <w:t>азилу</w:t>
      </w:r>
      <w:r w:rsidRPr="00295637">
        <w:rPr>
          <w:rFonts w:ascii="Times New Roman" w:hAnsi="Times New Roman"/>
          <w:szCs w:val="24"/>
          <w:lang w:val="bs-Latn-BA"/>
        </w:rPr>
        <w:t xml:space="preserve">. </w:t>
      </w:r>
      <w:r w:rsidR="00C6214E">
        <w:rPr>
          <w:rFonts w:ascii="Times New Roman" w:hAnsi="Times New Roman"/>
          <w:szCs w:val="24"/>
          <w:lang w:val="bs-Latn-BA"/>
        </w:rPr>
        <w:t>Приступ</w:t>
      </w:r>
      <w:r w:rsidRPr="00295637">
        <w:rPr>
          <w:rFonts w:ascii="Times New Roman" w:hAnsi="Times New Roman"/>
          <w:szCs w:val="24"/>
          <w:lang w:val="bs-Latn-BA"/>
        </w:rPr>
        <w:t xml:space="preserve"> </w:t>
      </w:r>
      <w:r w:rsidR="00C6214E">
        <w:rPr>
          <w:rFonts w:ascii="Times New Roman" w:hAnsi="Times New Roman"/>
          <w:szCs w:val="24"/>
          <w:lang w:val="bs-Latn-BA"/>
        </w:rPr>
        <w:t>здравственој</w:t>
      </w:r>
      <w:r w:rsidRPr="00295637">
        <w:rPr>
          <w:rFonts w:ascii="Times New Roman" w:hAnsi="Times New Roman"/>
          <w:szCs w:val="24"/>
          <w:lang w:val="bs-Latn-BA"/>
        </w:rPr>
        <w:t xml:space="preserve"> </w:t>
      </w:r>
      <w:r w:rsidR="00C6214E">
        <w:rPr>
          <w:rFonts w:ascii="Times New Roman" w:hAnsi="Times New Roman"/>
          <w:szCs w:val="24"/>
          <w:lang w:val="bs-Latn-BA"/>
        </w:rPr>
        <w:t>заштити</w:t>
      </w:r>
      <w:r w:rsidRPr="00295637">
        <w:rPr>
          <w:rFonts w:ascii="Times New Roman" w:hAnsi="Times New Roman"/>
          <w:szCs w:val="24"/>
          <w:lang w:val="bs-Latn-BA"/>
        </w:rPr>
        <w:t xml:space="preserve"> </w:t>
      </w:r>
      <w:r w:rsidR="00C6214E">
        <w:rPr>
          <w:rFonts w:ascii="Times New Roman" w:hAnsi="Times New Roman"/>
          <w:szCs w:val="24"/>
          <w:lang w:val="bs-Latn-BA"/>
        </w:rPr>
        <w:t>се</w:t>
      </w:r>
      <w:r w:rsidRPr="00295637">
        <w:rPr>
          <w:rFonts w:ascii="Times New Roman" w:hAnsi="Times New Roman"/>
          <w:szCs w:val="24"/>
          <w:lang w:val="bs-Latn-BA"/>
        </w:rPr>
        <w:t xml:space="preserve"> </w:t>
      </w:r>
      <w:r w:rsidR="00C6214E">
        <w:rPr>
          <w:rFonts w:ascii="Times New Roman" w:hAnsi="Times New Roman"/>
          <w:szCs w:val="24"/>
          <w:lang w:val="bs-Latn-BA"/>
        </w:rPr>
        <w:t>одвија</w:t>
      </w:r>
      <w:r>
        <w:rPr>
          <w:rFonts w:ascii="Times New Roman" w:hAnsi="Times New Roman"/>
          <w:szCs w:val="24"/>
          <w:lang w:val="bs-Latn-BA"/>
        </w:rPr>
        <w:t xml:space="preserve"> </w:t>
      </w:r>
      <w:r w:rsidR="00C6214E">
        <w:rPr>
          <w:rFonts w:ascii="Times New Roman" w:hAnsi="Times New Roman"/>
          <w:szCs w:val="24"/>
          <w:lang w:val="bs-Latn-BA"/>
        </w:rPr>
        <w:t>у</w:t>
      </w:r>
      <w:r w:rsidRPr="00295637">
        <w:rPr>
          <w:rFonts w:ascii="Times New Roman" w:hAnsi="Times New Roman"/>
          <w:szCs w:val="24"/>
          <w:lang w:val="bs-Latn-BA"/>
        </w:rPr>
        <w:t xml:space="preserve"> </w:t>
      </w:r>
      <w:r w:rsidR="00C6214E">
        <w:rPr>
          <w:rFonts w:ascii="Times New Roman" w:hAnsi="Times New Roman"/>
          <w:szCs w:val="24"/>
          <w:lang w:val="bs-Latn-BA"/>
        </w:rPr>
        <w:t>континуитету</w:t>
      </w:r>
      <w:r w:rsidRPr="00295637">
        <w:rPr>
          <w:rFonts w:ascii="Times New Roman" w:hAnsi="Times New Roman"/>
          <w:szCs w:val="24"/>
          <w:lang w:val="bs-Latn-BA"/>
        </w:rPr>
        <w:t xml:space="preserve"> </w:t>
      </w:r>
      <w:r w:rsidR="00C6214E">
        <w:rPr>
          <w:rFonts w:ascii="Times New Roman" w:hAnsi="Times New Roman"/>
          <w:szCs w:val="24"/>
          <w:lang w:val="bs-Latn-BA"/>
        </w:rPr>
        <w:t>и</w:t>
      </w:r>
      <w:r w:rsidRPr="00295637">
        <w:rPr>
          <w:rFonts w:ascii="Times New Roman" w:hAnsi="Times New Roman"/>
          <w:szCs w:val="24"/>
          <w:lang w:val="bs-Latn-BA"/>
        </w:rPr>
        <w:t xml:space="preserve"> </w:t>
      </w:r>
      <w:r w:rsidR="00C6214E">
        <w:rPr>
          <w:rFonts w:ascii="Times New Roman" w:hAnsi="Times New Roman"/>
          <w:szCs w:val="24"/>
          <w:lang w:val="bs-Latn-BA"/>
        </w:rPr>
        <w:t>о</w:t>
      </w:r>
      <w:r w:rsidR="002924B3">
        <w:rPr>
          <w:rFonts w:ascii="Times New Roman" w:hAnsi="Times New Roman"/>
          <w:szCs w:val="24"/>
          <w:lang w:val="sr-Cyrl-BA"/>
        </w:rPr>
        <w:t>безбјеђује</w:t>
      </w:r>
      <w:r w:rsidR="00A8144D">
        <w:rPr>
          <w:rFonts w:ascii="Times New Roman" w:hAnsi="Times New Roman"/>
          <w:szCs w:val="24"/>
          <w:lang w:val="bs-Latn-BA"/>
        </w:rPr>
        <w:t xml:space="preserve"> </w:t>
      </w:r>
      <w:r w:rsidR="00C6214E">
        <w:rPr>
          <w:rFonts w:ascii="Times New Roman" w:hAnsi="Times New Roman"/>
          <w:szCs w:val="24"/>
          <w:lang w:val="bs-Latn-BA"/>
        </w:rPr>
        <w:t>у</w:t>
      </w:r>
      <w:r w:rsidR="00A8144D">
        <w:rPr>
          <w:rFonts w:ascii="Times New Roman" w:hAnsi="Times New Roman"/>
          <w:szCs w:val="24"/>
          <w:lang w:val="bs-Latn-BA"/>
        </w:rPr>
        <w:t xml:space="preserve"> </w:t>
      </w:r>
      <w:r w:rsidR="00C6214E">
        <w:rPr>
          <w:rFonts w:ascii="Times New Roman" w:hAnsi="Times New Roman"/>
          <w:szCs w:val="24"/>
          <w:lang w:val="bs-Latn-BA"/>
        </w:rPr>
        <w:t>оквиру</w:t>
      </w:r>
      <w:r w:rsidR="00A8144D">
        <w:rPr>
          <w:rFonts w:ascii="Times New Roman" w:hAnsi="Times New Roman"/>
          <w:szCs w:val="24"/>
          <w:lang w:val="bs-Latn-BA"/>
        </w:rPr>
        <w:t xml:space="preserve"> </w:t>
      </w:r>
      <w:r w:rsidR="00C6214E">
        <w:rPr>
          <w:rFonts w:ascii="Times New Roman" w:hAnsi="Times New Roman"/>
          <w:szCs w:val="24"/>
          <w:lang w:val="bs-Latn-BA"/>
        </w:rPr>
        <w:t>уговора</w:t>
      </w:r>
      <w:r w:rsidR="00A8144D">
        <w:rPr>
          <w:rFonts w:ascii="Times New Roman" w:hAnsi="Times New Roman"/>
          <w:szCs w:val="24"/>
          <w:lang w:val="bs-Latn-BA"/>
        </w:rPr>
        <w:t xml:space="preserve"> </w:t>
      </w:r>
      <w:r w:rsidR="00C6214E">
        <w:rPr>
          <w:rFonts w:ascii="Times New Roman" w:hAnsi="Times New Roman"/>
          <w:szCs w:val="24"/>
          <w:lang w:val="bs-Latn-BA"/>
        </w:rPr>
        <w:t>са</w:t>
      </w:r>
      <w:r w:rsidRPr="00295637">
        <w:rPr>
          <w:rFonts w:ascii="Times New Roman" w:hAnsi="Times New Roman"/>
          <w:szCs w:val="24"/>
          <w:lang w:val="bs-Latn-BA"/>
        </w:rPr>
        <w:t xml:space="preserve"> </w:t>
      </w:r>
      <w:r w:rsidR="00C6214E">
        <w:rPr>
          <w:rFonts w:ascii="Times New Roman" w:hAnsi="Times New Roman"/>
          <w:szCs w:val="24"/>
          <w:lang w:val="bs-Latn-BA"/>
        </w:rPr>
        <w:t>ЈУ</w:t>
      </w:r>
      <w:r w:rsidRPr="00295637">
        <w:rPr>
          <w:rFonts w:ascii="Times New Roman" w:hAnsi="Times New Roman"/>
          <w:szCs w:val="24"/>
          <w:lang w:val="bs-Latn-BA"/>
        </w:rPr>
        <w:t xml:space="preserve"> </w:t>
      </w:r>
      <w:r w:rsidR="00C6214E">
        <w:rPr>
          <w:rFonts w:ascii="Times New Roman" w:hAnsi="Times New Roman"/>
          <w:szCs w:val="24"/>
          <w:lang w:val="bs-Latn-BA"/>
        </w:rPr>
        <w:t>Домови</w:t>
      </w:r>
      <w:r w:rsidRPr="00295637">
        <w:rPr>
          <w:rFonts w:ascii="Times New Roman" w:hAnsi="Times New Roman"/>
          <w:szCs w:val="24"/>
          <w:lang w:val="bs-Latn-BA"/>
        </w:rPr>
        <w:t xml:space="preserve"> </w:t>
      </w:r>
      <w:r w:rsidR="00C6214E">
        <w:rPr>
          <w:rFonts w:ascii="Times New Roman" w:hAnsi="Times New Roman"/>
          <w:szCs w:val="24"/>
          <w:lang w:val="bs-Latn-BA"/>
        </w:rPr>
        <w:t>здравља</w:t>
      </w:r>
      <w:r w:rsidRPr="00295637">
        <w:rPr>
          <w:rFonts w:ascii="Times New Roman" w:hAnsi="Times New Roman"/>
          <w:szCs w:val="24"/>
          <w:lang w:val="bs-Latn-BA"/>
        </w:rPr>
        <w:t xml:space="preserve"> </w:t>
      </w:r>
      <w:r w:rsidR="00C6214E">
        <w:rPr>
          <w:rFonts w:ascii="Times New Roman" w:hAnsi="Times New Roman"/>
          <w:szCs w:val="24"/>
          <w:lang w:val="bs-Latn-BA"/>
        </w:rPr>
        <w:t>КС</w:t>
      </w:r>
      <w:r w:rsidRPr="00295637">
        <w:rPr>
          <w:rFonts w:ascii="Times New Roman" w:hAnsi="Times New Roman"/>
          <w:szCs w:val="24"/>
          <w:lang w:val="bs-Latn-BA"/>
        </w:rPr>
        <w:t xml:space="preserve">. </w:t>
      </w:r>
    </w:p>
    <w:p w:rsidR="0042679D" w:rsidRPr="006D4FEF" w:rsidRDefault="0042679D" w:rsidP="0086268D">
      <w:pPr>
        <w:pStyle w:val="ListParagraph"/>
        <w:rPr>
          <w:rFonts w:ascii="Times New Roman" w:hAnsi="Times New Roman"/>
          <w:szCs w:val="24"/>
        </w:rPr>
      </w:pPr>
    </w:p>
    <w:p w:rsidR="0042679D" w:rsidRPr="006D4FEF" w:rsidRDefault="00C6214E" w:rsidP="0086268D">
      <w:pPr>
        <w:pStyle w:val="ListParagraph"/>
        <w:numPr>
          <w:ilvl w:val="0"/>
          <w:numId w:val="17"/>
        </w:numPr>
        <w:tabs>
          <w:tab w:val="left" w:pos="284"/>
          <w:tab w:val="left" w:pos="720"/>
          <w:tab w:val="left" w:pos="1080"/>
        </w:tabs>
        <w:jc w:val="both"/>
        <w:rPr>
          <w:rFonts w:ascii="Times New Roman" w:hAnsi="Times New Roman"/>
          <w:szCs w:val="24"/>
        </w:rPr>
      </w:pPr>
      <w:r>
        <w:rPr>
          <w:rFonts w:ascii="Times New Roman" w:hAnsi="Times New Roman"/>
        </w:rPr>
        <w:t>АР</w:t>
      </w:r>
      <w:r w:rsidR="002924B3">
        <w:rPr>
          <w:rFonts w:ascii="Times New Roman" w:hAnsi="Times New Roman"/>
          <w:lang w:val="sr-Cyrl-BA"/>
        </w:rPr>
        <w:t>П</w:t>
      </w:r>
      <w:r w:rsidR="00A8144D">
        <w:rPr>
          <w:rFonts w:ascii="Times New Roman" w:hAnsi="Times New Roman"/>
        </w:rPr>
        <w:t xml:space="preserve"> </w:t>
      </w:r>
      <w:r>
        <w:rPr>
          <w:rFonts w:ascii="Times New Roman" w:hAnsi="Times New Roman"/>
        </w:rPr>
        <w:t>БиХ</w:t>
      </w:r>
      <w:r w:rsidR="00A8144D">
        <w:rPr>
          <w:rFonts w:ascii="Times New Roman" w:hAnsi="Times New Roman"/>
        </w:rPr>
        <w:t xml:space="preserve"> </w:t>
      </w:r>
      <w:r>
        <w:rPr>
          <w:rFonts w:ascii="Times New Roman" w:hAnsi="Times New Roman"/>
        </w:rPr>
        <w:t>МЉПИ</w:t>
      </w:r>
      <w:r w:rsidR="00A8144D">
        <w:rPr>
          <w:rFonts w:ascii="Times New Roman" w:hAnsi="Times New Roman"/>
        </w:rPr>
        <w:t xml:space="preserve"> </w:t>
      </w:r>
      <w:r>
        <w:rPr>
          <w:rFonts w:ascii="Times New Roman" w:hAnsi="Times New Roman"/>
        </w:rPr>
        <w:t>БиХ</w:t>
      </w:r>
      <w:r w:rsidR="0042679D" w:rsidRPr="006D4FEF">
        <w:rPr>
          <w:rFonts w:ascii="Times New Roman" w:hAnsi="Times New Roman"/>
        </w:rPr>
        <w:t xml:space="preserve"> </w:t>
      </w:r>
      <w:r>
        <w:rPr>
          <w:rFonts w:ascii="Times New Roman" w:hAnsi="Times New Roman"/>
        </w:rPr>
        <w:t>иницирала</w:t>
      </w:r>
      <w:r w:rsidR="0042679D" w:rsidRPr="006D4FEF">
        <w:rPr>
          <w:rFonts w:ascii="Times New Roman" w:hAnsi="Times New Roman"/>
        </w:rPr>
        <w:t xml:space="preserve"> </w:t>
      </w:r>
      <w:r>
        <w:rPr>
          <w:rFonts w:ascii="Times New Roman" w:hAnsi="Times New Roman"/>
        </w:rPr>
        <w:t>је</w:t>
      </w:r>
      <w:r w:rsidR="00A8144D" w:rsidRPr="006D4FEF">
        <w:rPr>
          <w:rFonts w:ascii="Times New Roman" w:hAnsi="Times New Roman"/>
        </w:rPr>
        <w:t xml:space="preserve"> </w:t>
      </w:r>
      <w:r>
        <w:rPr>
          <w:rFonts w:ascii="Times New Roman" w:hAnsi="Times New Roman"/>
        </w:rPr>
        <w:t>и</w:t>
      </w:r>
      <w:r w:rsidR="00A8144D">
        <w:rPr>
          <w:rFonts w:ascii="Times New Roman" w:hAnsi="Times New Roman"/>
        </w:rPr>
        <w:t xml:space="preserve"> </w:t>
      </w:r>
      <w:r>
        <w:rPr>
          <w:rFonts w:ascii="Times New Roman" w:hAnsi="Times New Roman"/>
        </w:rPr>
        <w:t>у</w:t>
      </w:r>
      <w:r w:rsidR="00A8144D">
        <w:rPr>
          <w:rFonts w:ascii="Times New Roman" w:hAnsi="Times New Roman"/>
        </w:rPr>
        <w:t xml:space="preserve"> </w:t>
      </w:r>
      <w:r>
        <w:rPr>
          <w:rFonts w:ascii="Times New Roman" w:hAnsi="Times New Roman"/>
        </w:rPr>
        <w:t>партнерству</w:t>
      </w:r>
      <w:r w:rsidR="00A8144D">
        <w:rPr>
          <w:rFonts w:ascii="Times New Roman" w:hAnsi="Times New Roman"/>
        </w:rPr>
        <w:t xml:space="preserve"> </w:t>
      </w:r>
      <w:r>
        <w:rPr>
          <w:rFonts w:ascii="Times New Roman" w:hAnsi="Times New Roman"/>
        </w:rPr>
        <w:t>са</w:t>
      </w:r>
      <w:r w:rsidR="0042679D" w:rsidRPr="006D4FEF">
        <w:rPr>
          <w:rFonts w:ascii="Times New Roman" w:hAnsi="Times New Roman"/>
        </w:rPr>
        <w:t xml:space="preserve"> </w:t>
      </w:r>
      <w:r w:rsidR="002924B3" w:rsidRPr="002924B3">
        <w:rPr>
          <w:rFonts w:ascii="Times New Roman" w:hAnsi="Times New Roman"/>
          <w:i/>
        </w:rPr>
        <w:t>UNFPA</w:t>
      </w:r>
      <w:r w:rsidR="0042679D" w:rsidRPr="006D4FEF">
        <w:rPr>
          <w:rFonts w:ascii="Times New Roman" w:hAnsi="Times New Roman"/>
        </w:rPr>
        <w:t xml:space="preserve"> </w:t>
      </w:r>
      <w:r>
        <w:rPr>
          <w:rFonts w:ascii="Times New Roman" w:hAnsi="Times New Roman"/>
        </w:rPr>
        <w:t>учествовала</w:t>
      </w:r>
      <w:r w:rsidR="0042679D" w:rsidRPr="006D4FEF">
        <w:rPr>
          <w:rFonts w:ascii="Times New Roman" w:hAnsi="Times New Roman"/>
        </w:rPr>
        <w:t xml:space="preserve"> </w:t>
      </w:r>
      <w:r>
        <w:rPr>
          <w:rFonts w:ascii="Times New Roman" w:hAnsi="Times New Roman"/>
        </w:rPr>
        <w:t>у</w:t>
      </w:r>
      <w:r w:rsidR="0042679D" w:rsidRPr="006D4FEF">
        <w:rPr>
          <w:rFonts w:ascii="Times New Roman" w:hAnsi="Times New Roman"/>
        </w:rPr>
        <w:t xml:space="preserve"> </w:t>
      </w:r>
      <w:r>
        <w:rPr>
          <w:rFonts w:ascii="Times New Roman" w:hAnsi="Times New Roman"/>
        </w:rPr>
        <w:t>припреми</w:t>
      </w:r>
      <w:r w:rsidR="0042679D" w:rsidRPr="006D4FEF">
        <w:rPr>
          <w:rFonts w:ascii="Times New Roman" w:hAnsi="Times New Roman"/>
        </w:rPr>
        <w:t xml:space="preserve"> </w:t>
      </w:r>
      <w:r>
        <w:rPr>
          <w:rFonts w:ascii="Times New Roman" w:hAnsi="Times New Roman"/>
        </w:rPr>
        <w:t>и</w:t>
      </w:r>
      <w:r w:rsidR="0042679D" w:rsidRPr="006D4FEF">
        <w:rPr>
          <w:rFonts w:ascii="Times New Roman" w:hAnsi="Times New Roman"/>
        </w:rPr>
        <w:t xml:space="preserve"> </w:t>
      </w:r>
      <w:r>
        <w:rPr>
          <w:rFonts w:ascii="Times New Roman" w:hAnsi="Times New Roman"/>
        </w:rPr>
        <w:t>реализацији</w:t>
      </w:r>
      <w:r w:rsidR="0042679D" w:rsidRPr="006D4FEF">
        <w:rPr>
          <w:rFonts w:ascii="Times New Roman" w:hAnsi="Times New Roman"/>
        </w:rPr>
        <w:t xml:space="preserve"> </w:t>
      </w:r>
      <w:r>
        <w:rPr>
          <w:rFonts w:ascii="Times New Roman" w:hAnsi="Times New Roman"/>
        </w:rPr>
        <w:t>истраживања</w:t>
      </w:r>
      <w:r w:rsidR="0042679D" w:rsidRPr="006D4FEF">
        <w:rPr>
          <w:rFonts w:ascii="Times New Roman" w:hAnsi="Times New Roman"/>
        </w:rPr>
        <w:t xml:space="preserve"> </w:t>
      </w:r>
      <w:r>
        <w:rPr>
          <w:rFonts w:ascii="Times New Roman" w:hAnsi="Times New Roman"/>
        </w:rPr>
        <w:t>о</w:t>
      </w:r>
      <w:r w:rsidR="0042679D" w:rsidRPr="006D4FEF">
        <w:rPr>
          <w:rFonts w:ascii="Times New Roman" w:hAnsi="Times New Roman"/>
        </w:rPr>
        <w:t xml:space="preserve"> </w:t>
      </w:r>
      <w:r>
        <w:rPr>
          <w:rFonts w:ascii="Times New Roman" w:hAnsi="Times New Roman"/>
        </w:rPr>
        <w:t>перцепцији</w:t>
      </w:r>
      <w:r w:rsidR="0042679D" w:rsidRPr="006D4FEF">
        <w:rPr>
          <w:rFonts w:ascii="Times New Roman" w:hAnsi="Times New Roman"/>
        </w:rPr>
        <w:t xml:space="preserve"> </w:t>
      </w:r>
      <w:r>
        <w:rPr>
          <w:rFonts w:ascii="Times New Roman" w:hAnsi="Times New Roman"/>
        </w:rPr>
        <w:t>искуства</w:t>
      </w:r>
      <w:r w:rsidR="0042679D" w:rsidRPr="006D4FEF">
        <w:rPr>
          <w:rFonts w:ascii="Times New Roman" w:hAnsi="Times New Roman"/>
        </w:rPr>
        <w:t xml:space="preserve"> </w:t>
      </w:r>
      <w:r>
        <w:rPr>
          <w:rFonts w:ascii="Times New Roman" w:hAnsi="Times New Roman"/>
        </w:rPr>
        <w:t>порођаја</w:t>
      </w:r>
      <w:r w:rsidR="0042679D" w:rsidRPr="006D4FEF">
        <w:rPr>
          <w:rFonts w:ascii="Times New Roman" w:hAnsi="Times New Roman"/>
        </w:rPr>
        <w:t xml:space="preserve"> </w:t>
      </w:r>
      <w:r>
        <w:rPr>
          <w:rFonts w:ascii="Times New Roman" w:hAnsi="Times New Roman"/>
        </w:rPr>
        <w:t>у</w:t>
      </w:r>
      <w:r w:rsidR="0042679D" w:rsidRPr="006D4FEF">
        <w:rPr>
          <w:rFonts w:ascii="Times New Roman" w:hAnsi="Times New Roman"/>
        </w:rPr>
        <w:t xml:space="preserve"> </w:t>
      </w:r>
      <w:r>
        <w:rPr>
          <w:rFonts w:ascii="Times New Roman" w:hAnsi="Times New Roman"/>
        </w:rPr>
        <w:t>Босни</w:t>
      </w:r>
      <w:r w:rsidR="0042679D" w:rsidRPr="006D4FEF">
        <w:rPr>
          <w:rFonts w:ascii="Times New Roman" w:hAnsi="Times New Roman"/>
        </w:rPr>
        <w:t xml:space="preserve"> </w:t>
      </w:r>
      <w:r>
        <w:rPr>
          <w:rFonts w:ascii="Times New Roman" w:hAnsi="Times New Roman"/>
        </w:rPr>
        <w:t>и</w:t>
      </w:r>
      <w:r w:rsidR="0042679D" w:rsidRPr="006D4FEF">
        <w:rPr>
          <w:rFonts w:ascii="Times New Roman" w:hAnsi="Times New Roman"/>
        </w:rPr>
        <w:t xml:space="preserve"> </w:t>
      </w:r>
      <w:r>
        <w:rPr>
          <w:rFonts w:ascii="Times New Roman" w:hAnsi="Times New Roman"/>
        </w:rPr>
        <w:t>Херцеговини</w:t>
      </w:r>
      <w:r w:rsidR="0042679D" w:rsidRPr="006D4FEF">
        <w:rPr>
          <w:rFonts w:ascii="Times New Roman" w:hAnsi="Times New Roman"/>
        </w:rPr>
        <w:t xml:space="preserve"> </w:t>
      </w:r>
      <w:r>
        <w:rPr>
          <w:rFonts w:ascii="Times New Roman" w:hAnsi="Times New Roman"/>
        </w:rPr>
        <w:t>чији</w:t>
      </w:r>
      <w:r w:rsidR="0042679D" w:rsidRPr="006D4FEF">
        <w:rPr>
          <w:rFonts w:ascii="Times New Roman" w:hAnsi="Times New Roman"/>
        </w:rPr>
        <w:t xml:space="preserve"> </w:t>
      </w:r>
      <w:r>
        <w:rPr>
          <w:rFonts w:ascii="Times New Roman" w:hAnsi="Times New Roman"/>
        </w:rPr>
        <w:t>ће</w:t>
      </w:r>
      <w:r w:rsidR="0042679D" w:rsidRPr="006D4FEF">
        <w:rPr>
          <w:rFonts w:ascii="Times New Roman" w:hAnsi="Times New Roman"/>
        </w:rPr>
        <w:t xml:space="preserve"> </w:t>
      </w:r>
      <w:r>
        <w:rPr>
          <w:rFonts w:ascii="Times New Roman" w:hAnsi="Times New Roman"/>
        </w:rPr>
        <w:t>резултати</w:t>
      </w:r>
      <w:r w:rsidR="0042679D" w:rsidRPr="006D4FEF">
        <w:rPr>
          <w:rFonts w:ascii="Times New Roman" w:hAnsi="Times New Roman"/>
        </w:rPr>
        <w:t xml:space="preserve"> </w:t>
      </w:r>
      <w:r>
        <w:rPr>
          <w:rFonts w:ascii="Times New Roman" w:hAnsi="Times New Roman"/>
        </w:rPr>
        <w:t>бити</w:t>
      </w:r>
      <w:r w:rsidR="0042679D" w:rsidRPr="006D4FEF">
        <w:rPr>
          <w:rFonts w:ascii="Times New Roman" w:hAnsi="Times New Roman"/>
        </w:rPr>
        <w:t xml:space="preserve"> </w:t>
      </w:r>
      <w:r>
        <w:rPr>
          <w:rFonts w:ascii="Times New Roman" w:hAnsi="Times New Roman"/>
        </w:rPr>
        <w:t>презент</w:t>
      </w:r>
      <w:r w:rsidR="002924B3">
        <w:rPr>
          <w:rFonts w:ascii="Times New Roman" w:hAnsi="Times New Roman"/>
          <w:lang w:val="sr-Cyrl-BA"/>
        </w:rPr>
        <w:t>овани</w:t>
      </w:r>
      <w:r w:rsidR="0042679D" w:rsidRPr="006D4FEF">
        <w:rPr>
          <w:rFonts w:ascii="Times New Roman" w:hAnsi="Times New Roman"/>
        </w:rPr>
        <w:t xml:space="preserve"> </w:t>
      </w:r>
      <w:r>
        <w:rPr>
          <w:rFonts w:ascii="Times New Roman" w:hAnsi="Times New Roman"/>
        </w:rPr>
        <w:t>у</w:t>
      </w:r>
      <w:r w:rsidR="0042679D">
        <w:rPr>
          <w:rFonts w:ascii="Times New Roman" w:hAnsi="Times New Roman"/>
        </w:rPr>
        <w:t xml:space="preserve"> </w:t>
      </w:r>
      <w:r>
        <w:rPr>
          <w:rFonts w:ascii="Times New Roman" w:hAnsi="Times New Roman"/>
        </w:rPr>
        <w:t>наредном</w:t>
      </w:r>
      <w:r w:rsidR="0042679D">
        <w:rPr>
          <w:rFonts w:ascii="Times New Roman" w:hAnsi="Times New Roman"/>
        </w:rPr>
        <w:t xml:space="preserve"> </w:t>
      </w:r>
      <w:r>
        <w:rPr>
          <w:rFonts w:ascii="Times New Roman" w:hAnsi="Times New Roman"/>
        </w:rPr>
        <w:t>извјештајном</w:t>
      </w:r>
      <w:r w:rsidR="0042679D">
        <w:rPr>
          <w:rFonts w:ascii="Times New Roman" w:hAnsi="Times New Roman"/>
        </w:rPr>
        <w:t xml:space="preserve"> </w:t>
      </w:r>
      <w:r>
        <w:rPr>
          <w:rFonts w:ascii="Times New Roman" w:hAnsi="Times New Roman"/>
        </w:rPr>
        <w:t>периоду</w:t>
      </w:r>
      <w:r w:rsidR="0042679D" w:rsidRPr="006D4FEF">
        <w:rPr>
          <w:rFonts w:ascii="Times New Roman" w:hAnsi="Times New Roman"/>
          <w:lang w:val="hr-HR"/>
        </w:rPr>
        <w:t>.</w:t>
      </w:r>
      <w:r w:rsidR="0042679D" w:rsidRPr="006D4FEF">
        <w:rPr>
          <w:rFonts w:ascii="Times New Roman" w:hAnsi="Times New Roman"/>
        </w:rPr>
        <w:t xml:space="preserve"> </w:t>
      </w:r>
    </w:p>
    <w:p w:rsidR="0042679D" w:rsidRPr="006D4FEF" w:rsidRDefault="0042679D" w:rsidP="0086268D">
      <w:pPr>
        <w:pStyle w:val="ListParagraph"/>
        <w:rPr>
          <w:rFonts w:ascii="Times New Roman" w:hAnsi="Times New Roman"/>
          <w:szCs w:val="24"/>
        </w:rPr>
      </w:pPr>
    </w:p>
    <w:p w:rsidR="0042679D" w:rsidRPr="003E1168" w:rsidRDefault="0042679D" w:rsidP="0086268D">
      <w:pPr>
        <w:pStyle w:val="ListParagraph"/>
        <w:numPr>
          <w:ilvl w:val="0"/>
          <w:numId w:val="17"/>
        </w:numPr>
        <w:tabs>
          <w:tab w:val="left" w:pos="284"/>
          <w:tab w:val="left" w:pos="630"/>
          <w:tab w:val="left" w:pos="1080"/>
        </w:tabs>
        <w:jc w:val="both"/>
        <w:rPr>
          <w:rFonts w:ascii="Times New Roman" w:hAnsi="Times New Roman"/>
          <w:szCs w:val="24"/>
        </w:rPr>
      </w:pPr>
      <w:r>
        <w:rPr>
          <w:rFonts w:ascii="Times New Roman" w:hAnsi="Times New Roman"/>
          <w:szCs w:val="24"/>
        </w:rPr>
        <w:t xml:space="preserve"> </w:t>
      </w:r>
      <w:r w:rsidR="00C6214E">
        <w:rPr>
          <w:rFonts w:ascii="Times New Roman" w:hAnsi="Times New Roman"/>
          <w:szCs w:val="24"/>
        </w:rPr>
        <w:t>У</w:t>
      </w:r>
      <w:r w:rsidR="00563217">
        <w:rPr>
          <w:rFonts w:ascii="Times New Roman" w:hAnsi="Times New Roman"/>
          <w:szCs w:val="24"/>
        </w:rPr>
        <w:t xml:space="preserve"> </w:t>
      </w:r>
      <w:r w:rsidR="00C6214E">
        <w:rPr>
          <w:rFonts w:ascii="Times New Roman" w:hAnsi="Times New Roman"/>
          <w:szCs w:val="24"/>
        </w:rPr>
        <w:t>марту</w:t>
      </w:r>
      <w:r w:rsidR="00563217">
        <w:rPr>
          <w:rFonts w:ascii="Times New Roman" w:hAnsi="Times New Roman"/>
          <w:szCs w:val="24"/>
        </w:rPr>
        <w:t xml:space="preserve"> 2024. </w:t>
      </w:r>
      <w:r w:rsidR="00C6214E">
        <w:rPr>
          <w:rFonts w:ascii="Times New Roman" w:hAnsi="Times New Roman"/>
          <w:szCs w:val="24"/>
        </w:rPr>
        <w:t>године</w:t>
      </w:r>
      <w:r w:rsidR="00563217">
        <w:rPr>
          <w:rFonts w:ascii="Times New Roman" w:hAnsi="Times New Roman"/>
          <w:szCs w:val="24"/>
        </w:rPr>
        <w:t xml:space="preserve"> </w:t>
      </w:r>
      <w:r w:rsidR="00C6214E">
        <w:rPr>
          <w:rFonts w:ascii="Times New Roman" w:hAnsi="Times New Roman"/>
          <w:szCs w:val="24"/>
        </w:rPr>
        <w:t>АР</w:t>
      </w:r>
      <w:r w:rsidR="002924B3">
        <w:rPr>
          <w:rFonts w:ascii="Times New Roman" w:hAnsi="Times New Roman"/>
          <w:szCs w:val="24"/>
          <w:lang w:val="sr-Cyrl-BA"/>
        </w:rPr>
        <w:t>П</w:t>
      </w:r>
      <w:r w:rsidR="00A8144D">
        <w:rPr>
          <w:rFonts w:ascii="Times New Roman" w:hAnsi="Times New Roman"/>
          <w:szCs w:val="24"/>
        </w:rPr>
        <w:t xml:space="preserve"> </w:t>
      </w:r>
      <w:r w:rsidR="00C6214E">
        <w:rPr>
          <w:rFonts w:ascii="Times New Roman" w:hAnsi="Times New Roman"/>
          <w:szCs w:val="24"/>
        </w:rPr>
        <w:t>БиХ</w:t>
      </w:r>
      <w:r w:rsidR="00AA2171">
        <w:rPr>
          <w:rFonts w:ascii="Times New Roman" w:hAnsi="Times New Roman"/>
          <w:szCs w:val="24"/>
        </w:rPr>
        <w:t xml:space="preserve"> </w:t>
      </w:r>
      <w:r w:rsidR="00C6214E">
        <w:rPr>
          <w:rFonts w:ascii="Times New Roman" w:hAnsi="Times New Roman"/>
          <w:szCs w:val="24"/>
        </w:rPr>
        <w:t>МЉПИ</w:t>
      </w:r>
      <w:r w:rsidR="00AA2171">
        <w:rPr>
          <w:rFonts w:ascii="Times New Roman" w:hAnsi="Times New Roman"/>
          <w:szCs w:val="24"/>
        </w:rPr>
        <w:t xml:space="preserve"> </w:t>
      </w:r>
      <w:r w:rsidR="00C6214E">
        <w:rPr>
          <w:rFonts w:ascii="Times New Roman" w:hAnsi="Times New Roman"/>
          <w:szCs w:val="24"/>
        </w:rPr>
        <w:t>БиХ</w:t>
      </w:r>
      <w:r w:rsidRPr="00323E52">
        <w:rPr>
          <w:rFonts w:ascii="Times New Roman" w:hAnsi="Times New Roman"/>
          <w:szCs w:val="24"/>
        </w:rPr>
        <w:t xml:space="preserve"> </w:t>
      </w:r>
      <w:r w:rsidR="00C6214E">
        <w:rPr>
          <w:rFonts w:ascii="Times New Roman" w:hAnsi="Times New Roman"/>
          <w:szCs w:val="24"/>
        </w:rPr>
        <w:t>је</w:t>
      </w:r>
      <w:r>
        <w:rPr>
          <w:rFonts w:ascii="Times New Roman" w:hAnsi="Times New Roman"/>
          <w:szCs w:val="24"/>
        </w:rPr>
        <w:t xml:space="preserve"> </w:t>
      </w:r>
      <w:r w:rsidR="00C6214E">
        <w:rPr>
          <w:rFonts w:ascii="Times New Roman" w:hAnsi="Times New Roman"/>
          <w:szCs w:val="24"/>
        </w:rPr>
        <w:t>релевантним</w:t>
      </w:r>
      <w:r w:rsidRPr="00323E52">
        <w:rPr>
          <w:rFonts w:ascii="Times New Roman" w:hAnsi="Times New Roman"/>
          <w:szCs w:val="24"/>
        </w:rPr>
        <w:t xml:space="preserve"> </w:t>
      </w:r>
      <w:r w:rsidR="00C6214E">
        <w:rPr>
          <w:rFonts w:ascii="Times New Roman" w:hAnsi="Times New Roman"/>
          <w:szCs w:val="24"/>
        </w:rPr>
        <w:t>институцијама</w:t>
      </w:r>
      <w:r w:rsidRPr="00323E52">
        <w:rPr>
          <w:rFonts w:ascii="Times New Roman" w:hAnsi="Times New Roman"/>
          <w:szCs w:val="24"/>
        </w:rPr>
        <w:t xml:space="preserve"> </w:t>
      </w:r>
      <w:r w:rsidR="00C6214E">
        <w:rPr>
          <w:rFonts w:ascii="Times New Roman" w:hAnsi="Times New Roman"/>
          <w:szCs w:val="24"/>
        </w:rPr>
        <w:t>на</w:t>
      </w:r>
      <w:r w:rsidRPr="00323E52">
        <w:rPr>
          <w:rFonts w:ascii="Times New Roman" w:hAnsi="Times New Roman"/>
          <w:szCs w:val="24"/>
        </w:rPr>
        <w:t xml:space="preserve"> </w:t>
      </w:r>
      <w:r w:rsidR="00C6214E">
        <w:rPr>
          <w:rFonts w:ascii="Times New Roman" w:hAnsi="Times New Roman"/>
          <w:szCs w:val="24"/>
        </w:rPr>
        <w:t>свим</w:t>
      </w:r>
      <w:r w:rsidRPr="00323E52">
        <w:rPr>
          <w:rFonts w:ascii="Times New Roman" w:hAnsi="Times New Roman"/>
          <w:szCs w:val="24"/>
        </w:rPr>
        <w:t xml:space="preserve"> </w:t>
      </w:r>
      <w:r w:rsidR="00C6214E">
        <w:rPr>
          <w:rFonts w:ascii="Times New Roman" w:hAnsi="Times New Roman"/>
          <w:szCs w:val="24"/>
        </w:rPr>
        <w:t>нивоима</w:t>
      </w:r>
      <w:r w:rsidRPr="00323E52">
        <w:rPr>
          <w:rFonts w:ascii="Times New Roman" w:hAnsi="Times New Roman"/>
          <w:szCs w:val="24"/>
        </w:rPr>
        <w:t xml:space="preserve"> </w:t>
      </w:r>
      <w:r w:rsidR="00C6214E">
        <w:rPr>
          <w:rFonts w:ascii="Times New Roman" w:hAnsi="Times New Roman"/>
          <w:szCs w:val="24"/>
        </w:rPr>
        <w:t>власти</w:t>
      </w:r>
      <w:r w:rsidRPr="00323E52">
        <w:rPr>
          <w:rFonts w:ascii="Times New Roman" w:hAnsi="Times New Roman"/>
          <w:szCs w:val="24"/>
        </w:rPr>
        <w:t xml:space="preserve"> </w:t>
      </w:r>
      <w:r w:rsidR="00C6214E">
        <w:rPr>
          <w:rFonts w:ascii="Times New Roman" w:hAnsi="Times New Roman"/>
          <w:szCs w:val="24"/>
        </w:rPr>
        <w:t>у</w:t>
      </w:r>
      <w:r w:rsidRPr="00323E52">
        <w:rPr>
          <w:rFonts w:ascii="Times New Roman" w:hAnsi="Times New Roman"/>
          <w:szCs w:val="24"/>
        </w:rPr>
        <w:t xml:space="preserve"> </w:t>
      </w:r>
      <w:r w:rsidR="00C6214E">
        <w:rPr>
          <w:rFonts w:ascii="Times New Roman" w:hAnsi="Times New Roman"/>
          <w:szCs w:val="24"/>
        </w:rPr>
        <w:t>БиХ</w:t>
      </w:r>
      <w:r>
        <w:rPr>
          <w:rFonts w:ascii="Times New Roman" w:hAnsi="Times New Roman"/>
          <w:szCs w:val="24"/>
        </w:rPr>
        <w:t xml:space="preserve"> </w:t>
      </w:r>
      <w:r w:rsidR="00C6214E">
        <w:rPr>
          <w:rFonts w:ascii="Times New Roman" w:hAnsi="Times New Roman"/>
          <w:szCs w:val="24"/>
        </w:rPr>
        <w:t>доставила</w:t>
      </w:r>
      <w:r w:rsidR="00563217">
        <w:rPr>
          <w:rFonts w:ascii="Times New Roman" w:hAnsi="Times New Roman"/>
          <w:szCs w:val="24"/>
        </w:rPr>
        <w:t xml:space="preserve"> </w:t>
      </w:r>
      <w:r w:rsidR="00C6214E">
        <w:rPr>
          <w:rFonts w:ascii="Times New Roman" w:hAnsi="Times New Roman"/>
          <w:szCs w:val="24"/>
        </w:rPr>
        <w:t>извјештај</w:t>
      </w:r>
      <w:r w:rsidRPr="00323E52">
        <w:rPr>
          <w:rFonts w:ascii="Times New Roman" w:hAnsi="Times New Roman"/>
          <w:szCs w:val="24"/>
          <w:shd w:val="clear" w:color="auto" w:fill="FFFFFF"/>
        </w:rPr>
        <w:t xml:space="preserve"> „</w:t>
      </w:r>
      <w:r w:rsidR="00C6214E">
        <w:rPr>
          <w:rFonts w:ascii="Times New Roman" w:hAnsi="Times New Roman"/>
          <w:szCs w:val="24"/>
          <w:shd w:val="clear" w:color="auto" w:fill="FFFFFF"/>
        </w:rPr>
        <w:t>Приступ</w:t>
      </w:r>
      <w:r w:rsidRPr="00323E52">
        <w:rPr>
          <w:rFonts w:ascii="Times New Roman" w:hAnsi="Times New Roman"/>
          <w:szCs w:val="24"/>
          <w:shd w:val="clear" w:color="auto" w:fill="FFFFFF"/>
        </w:rPr>
        <w:t xml:space="preserve"> </w:t>
      </w:r>
      <w:r w:rsidR="00C6214E">
        <w:rPr>
          <w:rFonts w:ascii="Times New Roman" w:hAnsi="Times New Roman"/>
          <w:szCs w:val="24"/>
          <w:shd w:val="clear" w:color="auto" w:fill="FFFFFF"/>
        </w:rPr>
        <w:t>ЛГБТИ</w:t>
      </w:r>
      <w:r w:rsidRPr="00323E52">
        <w:rPr>
          <w:rFonts w:ascii="Times New Roman" w:hAnsi="Times New Roman"/>
          <w:szCs w:val="24"/>
          <w:shd w:val="clear" w:color="auto" w:fill="FFFFFF"/>
        </w:rPr>
        <w:t xml:space="preserve"> </w:t>
      </w:r>
      <w:r w:rsidR="00C6214E">
        <w:rPr>
          <w:rFonts w:ascii="Times New Roman" w:hAnsi="Times New Roman"/>
          <w:szCs w:val="24"/>
          <w:shd w:val="clear" w:color="auto" w:fill="FFFFFF"/>
        </w:rPr>
        <w:t>лица</w:t>
      </w:r>
      <w:r w:rsidRPr="00323E52">
        <w:rPr>
          <w:rFonts w:ascii="Times New Roman" w:hAnsi="Times New Roman"/>
          <w:szCs w:val="24"/>
          <w:shd w:val="clear" w:color="auto" w:fill="FFFFFF"/>
        </w:rPr>
        <w:t xml:space="preserve"> </w:t>
      </w:r>
      <w:r w:rsidR="00C6214E">
        <w:rPr>
          <w:rFonts w:ascii="Times New Roman" w:hAnsi="Times New Roman"/>
          <w:szCs w:val="24"/>
          <w:shd w:val="clear" w:color="auto" w:fill="FFFFFF"/>
        </w:rPr>
        <w:t>здравственој</w:t>
      </w:r>
      <w:r w:rsidRPr="00323E52">
        <w:rPr>
          <w:rFonts w:ascii="Times New Roman" w:hAnsi="Times New Roman"/>
          <w:szCs w:val="24"/>
          <w:shd w:val="clear" w:color="auto" w:fill="FFFFFF"/>
        </w:rPr>
        <w:t xml:space="preserve"> </w:t>
      </w:r>
      <w:r w:rsidR="00C6214E">
        <w:rPr>
          <w:rFonts w:ascii="Times New Roman" w:hAnsi="Times New Roman"/>
          <w:szCs w:val="24"/>
          <w:shd w:val="clear" w:color="auto" w:fill="FFFFFF"/>
        </w:rPr>
        <w:t>заштити</w:t>
      </w:r>
      <w:r w:rsidRPr="00323E52">
        <w:rPr>
          <w:rFonts w:ascii="Times New Roman" w:hAnsi="Times New Roman"/>
          <w:szCs w:val="24"/>
          <w:shd w:val="clear" w:color="auto" w:fill="FFFFFF"/>
        </w:rPr>
        <w:t xml:space="preserve"> </w:t>
      </w:r>
      <w:r w:rsidR="00C6214E">
        <w:rPr>
          <w:rFonts w:ascii="Times New Roman" w:hAnsi="Times New Roman"/>
          <w:szCs w:val="24"/>
          <w:shd w:val="clear" w:color="auto" w:fill="FFFFFF"/>
        </w:rPr>
        <w:t>у</w:t>
      </w:r>
      <w:r w:rsidRPr="00323E52">
        <w:rPr>
          <w:rFonts w:ascii="Times New Roman" w:hAnsi="Times New Roman"/>
          <w:szCs w:val="24"/>
          <w:shd w:val="clear" w:color="auto" w:fill="FFFFFF"/>
        </w:rPr>
        <w:t xml:space="preserve"> </w:t>
      </w:r>
      <w:r w:rsidR="00C6214E">
        <w:rPr>
          <w:rFonts w:ascii="Times New Roman" w:hAnsi="Times New Roman"/>
          <w:szCs w:val="24"/>
          <w:shd w:val="clear" w:color="auto" w:fill="FFFFFF"/>
        </w:rPr>
        <w:t>Босни</w:t>
      </w:r>
      <w:r w:rsidRPr="00323E52">
        <w:rPr>
          <w:rFonts w:ascii="Times New Roman" w:hAnsi="Times New Roman"/>
          <w:szCs w:val="24"/>
          <w:shd w:val="clear" w:color="auto" w:fill="FFFFFF"/>
        </w:rPr>
        <w:t xml:space="preserve"> </w:t>
      </w:r>
      <w:r w:rsidR="00C6214E">
        <w:rPr>
          <w:rFonts w:ascii="Times New Roman" w:hAnsi="Times New Roman"/>
          <w:szCs w:val="24"/>
          <w:shd w:val="clear" w:color="auto" w:fill="FFFFFF"/>
        </w:rPr>
        <w:t>и</w:t>
      </w:r>
      <w:r w:rsidRPr="00323E52">
        <w:rPr>
          <w:rFonts w:ascii="Times New Roman" w:hAnsi="Times New Roman"/>
          <w:szCs w:val="24"/>
          <w:shd w:val="clear" w:color="auto" w:fill="FFFFFF"/>
        </w:rPr>
        <w:t xml:space="preserve"> </w:t>
      </w:r>
      <w:r w:rsidR="00C6214E">
        <w:rPr>
          <w:rFonts w:ascii="Times New Roman" w:hAnsi="Times New Roman"/>
          <w:szCs w:val="24"/>
          <w:shd w:val="clear" w:color="auto" w:fill="FFFFFF"/>
        </w:rPr>
        <w:t>Херцеговини</w:t>
      </w:r>
      <w:r w:rsidRPr="00323E52">
        <w:rPr>
          <w:rFonts w:ascii="Times New Roman" w:hAnsi="Times New Roman"/>
          <w:szCs w:val="24"/>
          <w:shd w:val="clear" w:color="auto" w:fill="FFFFFF"/>
        </w:rPr>
        <w:t>“</w:t>
      </w:r>
      <w:r>
        <w:rPr>
          <w:rFonts w:ascii="Times New Roman" w:hAnsi="Times New Roman"/>
          <w:szCs w:val="24"/>
          <w:shd w:val="clear" w:color="auto" w:fill="FFFFFF"/>
        </w:rPr>
        <w:t xml:space="preserve">. </w:t>
      </w:r>
      <w:r w:rsidR="00C6214E">
        <w:rPr>
          <w:rFonts w:ascii="Times New Roman" w:hAnsi="Times New Roman"/>
          <w:szCs w:val="24"/>
        </w:rPr>
        <w:t>Наглашено</w:t>
      </w:r>
      <w:r w:rsidR="00A8144D">
        <w:rPr>
          <w:rFonts w:ascii="Times New Roman" w:hAnsi="Times New Roman"/>
          <w:szCs w:val="24"/>
        </w:rPr>
        <w:t xml:space="preserve"> </w:t>
      </w:r>
      <w:r w:rsidR="00C6214E">
        <w:rPr>
          <w:rFonts w:ascii="Times New Roman" w:hAnsi="Times New Roman"/>
          <w:szCs w:val="24"/>
        </w:rPr>
        <w:t>је</w:t>
      </w:r>
      <w:r>
        <w:rPr>
          <w:rFonts w:ascii="Times New Roman" w:hAnsi="Times New Roman"/>
          <w:szCs w:val="24"/>
        </w:rPr>
        <w:t xml:space="preserve"> </w:t>
      </w:r>
      <w:r w:rsidR="00C6214E">
        <w:rPr>
          <w:rFonts w:ascii="Times New Roman" w:hAnsi="Times New Roman"/>
          <w:szCs w:val="24"/>
        </w:rPr>
        <w:t>да</w:t>
      </w:r>
      <w:r>
        <w:rPr>
          <w:rFonts w:ascii="Times New Roman" w:hAnsi="Times New Roman"/>
          <w:szCs w:val="24"/>
        </w:rPr>
        <w:t xml:space="preserve"> </w:t>
      </w:r>
      <w:r w:rsidR="00C6214E">
        <w:rPr>
          <w:rFonts w:ascii="Times New Roman" w:hAnsi="Times New Roman"/>
          <w:szCs w:val="24"/>
        </w:rPr>
        <w:t>препоруке</w:t>
      </w:r>
      <w:r>
        <w:rPr>
          <w:rFonts w:ascii="Times New Roman" w:hAnsi="Times New Roman"/>
          <w:szCs w:val="24"/>
        </w:rPr>
        <w:t xml:space="preserve"> </w:t>
      </w:r>
      <w:r w:rsidR="00C6214E">
        <w:rPr>
          <w:rFonts w:ascii="Times New Roman" w:hAnsi="Times New Roman"/>
          <w:szCs w:val="24"/>
        </w:rPr>
        <w:t>извјештаја</w:t>
      </w:r>
      <w:r w:rsidRPr="00323E52">
        <w:rPr>
          <w:rFonts w:ascii="Times New Roman" w:hAnsi="Times New Roman"/>
          <w:szCs w:val="24"/>
        </w:rPr>
        <w:t xml:space="preserve"> </w:t>
      </w:r>
      <w:r w:rsidR="00C6214E">
        <w:rPr>
          <w:rFonts w:ascii="Times New Roman" w:hAnsi="Times New Roman"/>
          <w:szCs w:val="24"/>
        </w:rPr>
        <w:t>требају</w:t>
      </w:r>
      <w:r w:rsidRPr="00323E52">
        <w:rPr>
          <w:rFonts w:ascii="Times New Roman" w:hAnsi="Times New Roman"/>
          <w:szCs w:val="24"/>
        </w:rPr>
        <w:t xml:space="preserve"> </w:t>
      </w:r>
      <w:r w:rsidR="00C6214E">
        <w:rPr>
          <w:rFonts w:ascii="Times New Roman" w:hAnsi="Times New Roman"/>
          <w:szCs w:val="24"/>
        </w:rPr>
        <w:t>бити</w:t>
      </w:r>
      <w:r w:rsidRPr="00323E52">
        <w:rPr>
          <w:rFonts w:ascii="Times New Roman" w:hAnsi="Times New Roman"/>
          <w:szCs w:val="24"/>
        </w:rPr>
        <w:t xml:space="preserve"> </w:t>
      </w:r>
      <w:r w:rsidR="00C6214E">
        <w:rPr>
          <w:rFonts w:ascii="Times New Roman" w:hAnsi="Times New Roman"/>
          <w:szCs w:val="24"/>
        </w:rPr>
        <w:t>узете</w:t>
      </w:r>
      <w:r w:rsidRPr="00323E52">
        <w:rPr>
          <w:rFonts w:ascii="Times New Roman" w:hAnsi="Times New Roman"/>
          <w:szCs w:val="24"/>
        </w:rPr>
        <w:t xml:space="preserve"> </w:t>
      </w:r>
      <w:r w:rsidR="00C6214E">
        <w:rPr>
          <w:rFonts w:ascii="Times New Roman" w:hAnsi="Times New Roman"/>
          <w:szCs w:val="24"/>
        </w:rPr>
        <w:t>у</w:t>
      </w:r>
      <w:r w:rsidRPr="00323E52">
        <w:rPr>
          <w:rFonts w:ascii="Times New Roman" w:hAnsi="Times New Roman"/>
          <w:szCs w:val="24"/>
        </w:rPr>
        <w:t xml:space="preserve"> </w:t>
      </w:r>
      <w:r w:rsidR="00C6214E">
        <w:rPr>
          <w:rFonts w:ascii="Times New Roman" w:hAnsi="Times New Roman"/>
          <w:szCs w:val="24"/>
        </w:rPr>
        <w:t>обзир</w:t>
      </w:r>
      <w:r w:rsidRPr="00323E52">
        <w:rPr>
          <w:rFonts w:ascii="Times New Roman" w:hAnsi="Times New Roman"/>
          <w:szCs w:val="24"/>
        </w:rPr>
        <w:t xml:space="preserve"> </w:t>
      </w:r>
      <w:r w:rsidR="00C6214E">
        <w:rPr>
          <w:rFonts w:ascii="Times New Roman" w:hAnsi="Times New Roman"/>
          <w:szCs w:val="24"/>
        </w:rPr>
        <w:t>приликом</w:t>
      </w:r>
      <w:r w:rsidRPr="00323E52">
        <w:rPr>
          <w:rFonts w:ascii="Times New Roman" w:hAnsi="Times New Roman"/>
          <w:szCs w:val="24"/>
        </w:rPr>
        <w:t xml:space="preserve"> </w:t>
      </w:r>
      <w:r w:rsidR="00C6214E">
        <w:rPr>
          <w:rFonts w:ascii="Times New Roman" w:hAnsi="Times New Roman"/>
          <w:szCs w:val="24"/>
        </w:rPr>
        <w:t>припреме</w:t>
      </w:r>
      <w:r w:rsidRPr="00323E52">
        <w:rPr>
          <w:rFonts w:ascii="Times New Roman" w:hAnsi="Times New Roman"/>
          <w:szCs w:val="24"/>
        </w:rPr>
        <w:t xml:space="preserve"> </w:t>
      </w:r>
      <w:r w:rsidR="00C6214E">
        <w:rPr>
          <w:rFonts w:ascii="Times New Roman" w:hAnsi="Times New Roman"/>
          <w:szCs w:val="24"/>
        </w:rPr>
        <w:t>и</w:t>
      </w:r>
      <w:r w:rsidRPr="00323E52">
        <w:rPr>
          <w:rFonts w:ascii="Times New Roman" w:hAnsi="Times New Roman"/>
          <w:szCs w:val="24"/>
        </w:rPr>
        <w:t xml:space="preserve"> </w:t>
      </w:r>
      <w:r w:rsidR="00C6214E">
        <w:rPr>
          <w:rFonts w:ascii="Times New Roman" w:hAnsi="Times New Roman"/>
          <w:bCs/>
          <w:szCs w:val="24"/>
        </w:rPr>
        <w:t>реализације</w:t>
      </w:r>
      <w:r w:rsidRPr="00323E52">
        <w:rPr>
          <w:rFonts w:ascii="Times New Roman" w:hAnsi="Times New Roman"/>
          <w:bCs/>
          <w:szCs w:val="24"/>
        </w:rPr>
        <w:t xml:space="preserve"> </w:t>
      </w:r>
      <w:r w:rsidR="00C6214E">
        <w:rPr>
          <w:rFonts w:ascii="Times New Roman" w:hAnsi="Times New Roman"/>
          <w:bCs/>
          <w:szCs w:val="24"/>
        </w:rPr>
        <w:t>политика</w:t>
      </w:r>
      <w:r w:rsidRPr="00323E52">
        <w:rPr>
          <w:rFonts w:ascii="Times New Roman" w:hAnsi="Times New Roman"/>
          <w:bCs/>
          <w:szCs w:val="24"/>
        </w:rPr>
        <w:t xml:space="preserve"> </w:t>
      </w:r>
      <w:r w:rsidR="00C6214E">
        <w:rPr>
          <w:rFonts w:ascii="Times New Roman" w:hAnsi="Times New Roman"/>
          <w:bCs/>
          <w:szCs w:val="24"/>
        </w:rPr>
        <w:t>које</w:t>
      </w:r>
      <w:r w:rsidRPr="00323E52">
        <w:rPr>
          <w:rFonts w:ascii="Times New Roman" w:hAnsi="Times New Roman"/>
          <w:bCs/>
          <w:szCs w:val="24"/>
        </w:rPr>
        <w:t xml:space="preserve"> </w:t>
      </w:r>
      <w:r w:rsidR="00C6214E">
        <w:rPr>
          <w:rFonts w:ascii="Times New Roman" w:hAnsi="Times New Roman"/>
          <w:bCs/>
          <w:szCs w:val="24"/>
        </w:rPr>
        <w:t>проистичу</w:t>
      </w:r>
      <w:r w:rsidRPr="00323E52">
        <w:rPr>
          <w:rFonts w:ascii="Times New Roman" w:hAnsi="Times New Roman"/>
          <w:bCs/>
          <w:szCs w:val="24"/>
        </w:rPr>
        <w:t xml:space="preserve"> </w:t>
      </w:r>
      <w:r w:rsidR="00C6214E">
        <w:rPr>
          <w:rFonts w:ascii="Times New Roman" w:hAnsi="Times New Roman"/>
          <w:bCs/>
          <w:szCs w:val="24"/>
        </w:rPr>
        <w:t>из</w:t>
      </w:r>
      <w:r w:rsidRPr="00323E52">
        <w:rPr>
          <w:rFonts w:ascii="Times New Roman" w:hAnsi="Times New Roman"/>
          <w:bCs/>
          <w:szCs w:val="24"/>
        </w:rPr>
        <w:t xml:space="preserve"> </w:t>
      </w:r>
      <w:r w:rsidR="00C6214E">
        <w:rPr>
          <w:rFonts w:ascii="Times New Roman" w:hAnsi="Times New Roman"/>
          <w:bCs/>
          <w:szCs w:val="24"/>
        </w:rPr>
        <w:t>њихове</w:t>
      </w:r>
      <w:r w:rsidRPr="00323E52">
        <w:rPr>
          <w:rFonts w:ascii="Times New Roman" w:hAnsi="Times New Roman"/>
          <w:bCs/>
          <w:szCs w:val="24"/>
        </w:rPr>
        <w:t xml:space="preserve"> </w:t>
      </w:r>
      <w:r w:rsidR="00C6214E">
        <w:rPr>
          <w:rFonts w:ascii="Times New Roman" w:hAnsi="Times New Roman"/>
          <w:bCs/>
          <w:szCs w:val="24"/>
        </w:rPr>
        <w:t>уставне</w:t>
      </w:r>
      <w:r w:rsidRPr="00323E52">
        <w:rPr>
          <w:rFonts w:ascii="Times New Roman" w:hAnsi="Times New Roman"/>
          <w:bCs/>
          <w:szCs w:val="24"/>
        </w:rPr>
        <w:t xml:space="preserve"> </w:t>
      </w:r>
      <w:r w:rsidR="00C6214E">
        <w:rPr>
          <w:rFonts w:ascii="Times New Roman" w:hAnsi="Times New Roman"/>
          <w:bCs/>
          <w:szCs w:val="24"/>
        </w:rPr>
        <w:t>и</w:t>
      </w:r>
      <w:r w:rsidRPr="00323E52">
        <w:rPr>
          <w:rFonts w:ascii="Times New Roman" w:hAnsi="Times New Roman"/>
          <w:bCs/>
          <w:szCs w:val="24"/>
        </w:rPr>
        <w:t xml:space="preserve"> </w:t>
      </w:r>
      <w:r w:rsidR="00C6214E">
        <w:rPr>
          <w:rFonts w:ascii="Times New Roman" w:hAnsi="Times New Roman"/>
          <w:bCs/>
          <w:szCs w:val="24"/>
        </w:rPr>
        <w:t>законске</w:t>
      </w:r>
      <w:r w:rsidRPr="00323E52">
        <w:rPr>
          <w:rFonts w:ascii="Times New Roman" w:hAnsi="Times New Roman"/>
          <w:bCs/>
          <w:szCs w:val="24"/>
        </w:rPr>
        <w:t xml:space="preserve"> </w:t>
      </w:r>
      <w:r w:rsidR="00C6214E">
        <w:rPr>
          <w:rFonts w:ascii="Times New Roman" w:hAnsi="Times New Roman"/>
          <w:bCs/>
          <w:szCs w:val="24"/>
        </w:rPr>
        <w:t>надлежности</w:t>
      </w:r>
      <w:r w:rsidRPr="00323E52">
        <w:rPr>
          <w:rFonts w:ascii="Times New Roman" w:hAnsi="Times New Roman"/>
          <w:szCs w:val="24"/>
        </w:rPr>
        <w:t xml:space="preserve">. </w:t>
      </w:r>
      <w:r w:rsidR="00C6214E">
        <w:rPr>
          <w:rFonts w:ascii="Times New Roman" w:hAnsi="Times New Roman"/>
          <w:szCs w:val="24"/>
        </w:rPr>
        <w:t>Поред</w:t>
      </w:r>
      <w:r w:rsidRPr="00323E52">
        <w:rPr>
          <w:rFonts w:ascii="Times New Roman" w:hAnsi="Times New Roman"/>
          <w:szCs w:val="24"/>
        </w:rPr>
        <w:t xml:space="preserve"> </w:t>
      </w:r>
      <w:r w:rsidR="00C6214E">
        <w:rPr>
          <w:rFonts w:ascii="Times New Roman" w:hAnsi="Times New Roman"/>
          <w:szCs w:val="24"/>
        </w:rPr>
        <w:t>тога</w:t>
      </w:r>
      <w:r w:rsidRPr="00323E52">
        <w:rPr>
          <w:rFonts w:ascii="Times New Roman" w:hAnsi="Times New Roman"/>
          <w:szCs w:val="24"/>
        </w:rPr>
        <w:t>,</w:t>
      </w:r>
      <w:r>
        <w:rPr>
          <w:rFonts w:ascii="Times New Roman" w:hAnsi="Times New Roman"/>
          <w:szCs w:val="24"/>
        </w:rPr>
        <w:t xml:space="preserve"> </w:t>
      </w:r>
      <w:r w:rsidR="00C6214E">
        <w:rPr>
          <w:rFonts w:ascii="Times New Roman" w:hAnsi="Times New Roman"/>
          <w:szCs w:val="24"/>
        </w:rPr>
        <w:t>АР</w:t>
      </w:r>
      <w:r w:rsidR="002924B3">
        <w:rPr>
          <w:rFonts w:ascii="Times New Roman" w:hAnsi="Times New Roman"/>
          <w:szCs w:val="24"/>
          <w:lang w:val="sr-Cyrl-BA"/>
        </w:rPr>
        <w:t>П</w:t>
      </w:r>
      <w:r w:rsidR="00A8144D">
        <w:rPr>
          <w:rFonts w:ascii="Times New Roman" w:hAnsi="Times New Roman"/>
          <w:szCs w:val="24"/>
        </w:rPr>
        <w:t xml:space="preserve"> </w:t>
      </w:r>
      <w:r w:rsidR="00C6214E">
        <w:rPr>
          <w:rFonts w:ascii="Times New Roman" w:hAnsi="Times New Roman"/>
          <w:szCs w:val="24"/>
        </w:rPr>
        <w:t>БиХ</w:t>
      </w:r>
      <w:r w:rsidR="00A8144D">
        <w:rPr>
          <w:rFonts w:ascii="Times New Roman" w:hAnsi="Times New Roman"/>
          <w:szCs w:val="24"/>
        </w:rPr>
        <w:t xml:space="preserve"> </w:t>
      </w:r>
      <w:r w:rsidR="00C6214E">
        <w:rPr>
          <w:rFonts w:ascii="Times New Roman" w:hAnsi="Times New Roman"/>
          <w:szCs w:val="24"/>
        </w:rPr>
        <w:t>МЉПИ</w:t>
      </w:r>
      <w:r w:rsidR="00A8144D">
        <w:rPr>
          <w:rFonts w:ascii="Times New Roman" w:hAnsi="Times New Roman"/>
          <w:szCs w:val="24"/>
        </w:rPr>
        <w:t xml:space="preserve"> </w:t>
      </w:r>
      <w:r w:rsidR="00C6214E">
        <w:rPr>
          <w:rFonts w:ascii="Times New Roman" w:hAnsi="Times New Roman"/>
          <w:szCs w:val="24"/>
        </w:rPr>
        <w:t>БиХ</w:t>
      </w:r>
      <w:r w:rsidRPr="00323E52">
        <w:rPr>
          <w:rFonts w:ascii="Times New Roman" w:hAnsi="Times New Roman"/>
          <w:szCs w:val="24"/>
        </w:rPr>
        <w:t xml:space="preserve"> </w:t>
      </w:r>
      <w:r w:rsidR="00C6214E">
        <w:rPr>
          <w:rFonts w:ascii="Times New Roman" w:hAnsi="Times New Roman"/>
          <w:szCs w:val="24"/>
        </w:rPr>
        <w:t>је</w:t>
      </w:r>
      <w:r w:rsidRPr="00323E52">
        <w:rPr>
          <w:rFonts w:ascii="Times New Roman" w:hAnsi="Times New Roman"/>
          <w:szCs w:val="24"/>
        </w:rPr>
        <w:t xml:space="preserve"> </w:t>
      </w:r>
      <w:r w:rsidR="00C6214E">
        <w:rPr>
          <w:rFonts w:ascii="Times New Roman" w:hAnsi="Times New Roman"/>
          <w:szCs w:val="24"/>
        </w:rPr>
        <w:t>у</w:t>
      </w:r>
      <w:r w:rsidRPr="00323E52">
        <w:rPr>
          <w:rFonts w:ascii="Times New Roman" w:hAnsi="Times New Roman"/>
          <w:szCs w:val="24"/>
        </w:rPr>
        <w:t xml:space="preserve"> </w:t>
      </w:r>
      <w:r w:rsidR="00C6214E">
        <w:rPr>
          <w:rFonts w:ascii="Times New Roman" w:hAnsi="Times New Roman"/>
          <w:szCs w:val="24"/>
        </w:rPr>
        <w:t>априлу</w:t>
      </w:r>
      <w:r w:rsidRPr="00323E52">
        <w:rPr>
          <w:rFonts w:ascii="Times New Roman" w:hAnsi="Times New Roman"/>
          <w:szCs w:val="24"/>
        </w:rPr>
        <w:t xml:space="preserve"> 2024. </w:t>
      </w:r>
      <w:r w:rsidR="00C6214E">
        <w:rPr>
          <w:rFonts w:ascii="Times New Roman" w:hAnsi="Times New Roman"/>
          <w:szCs w:val="24"/>
        </w:rPr>
        <w:t>године</w:t>
      </w:r>
      <w:r w:rsidRPr="00323E52">
        <w:rPr>
          <w:rFonts w:ascii="Times New Roman" w:hAnsi="Times New Roman"/>
          <w:szCs w:val="24"/>
        </w:rPr>
        <w:t xml:space="preserve"> </w:t>
      </w:r>
      <w:r w:rsidR="00C6214E">
        <w:rPr>
          <w:rFonts w:ascii="Times New Roman" w:hAnsi="Times New Roman"/>
          <w:szCs w:val="24"/>
        </w:rPr>
        <w:t>издала</w:t>
      </w:r>
      <w:r w:rsidRPr="00323E52">
        <w:rPr>
          <w:rFonts w:ascii="Times New Roman" w:hAnsi="Times New Roman"/>
          <w:szCs w:val="24"/>
        </w:rPr>
        <w:t xml:space="preserve"> </w:t>
      </w:r>
      <w:r w:rsidR="00C6214E">
        <w:rPr>
          <w:rFonts w:ascii="Times New Roman" w:hAnsi="Times New Roman"/>
          <w:szCs w:val="24"/>
        </w:rPr>
        <w:t>и</w:t>
      </w:r>
      <w:r w:rsidRPr="00323E52">
        <w:rPr>
          <w:rFonts w:ascii="Times New Roman" w:hAnsi="Times New Roman"/>
          <w:szCs w:val="24"/>
        </w:rPr>
        <w:t xml:space="preserve"> </w:t>
      </w:r>
      <w:r w:rsidR="00C6214E">
        <w:rPr>
          <w:rFonts w:ascii="Times New Roman" w:hAnsi="Times New Roman"/>
          <w:szCs w:val="24"/>
        </w:rPr>
        <w:t>саопштење</w:t>
      </w:r>
      <w:r w:rsidRPr="00323E52">
        <w:rPr>
          <w:rFonts w:ascii="Times New Roman" w:hAnsi="Times New Roman"/>
          <w:szCs w:val="24"/>
        </w:rPr>
        <w:t xml:space="preserve"> </w:t>
      </w:r>
      <w:r w:rsidR="00C6214E">
        <w:rPr>
          <w:rFonts w:ascii="Times New Roman" w:hAnsi="Times New Roman"/>
          <w:szCs w:val="24"/>
        </w:rPr>
        <w:t>за</w:t>
      </w:r>
      <w:r w:rsidRPr="00323E52">
        <w:rPr>
          <w:rFonts w:ascii="Times New Roman" w:hAnsi="Times New Roman"/>
          <w:szCs w:val="24"/>
        </w:rPr>
        <w:t xml:space="preserve"> </w:t>
      </w:r>
      <w:r w:rsidR="00C6214E">
        <w:rPr>
          <w:rFonts w:ascii="Times New Roman" w:hAnsi="Times New Roman"/>
          <w:szCs w:val="24"/>
        </w:rPr>
        <w:t>јавност</w:t>
      </w:r>
      <w:r w:rsidRPr="00323E52">
        <w:rPr>
          <w:rFonts w:ascii="Times New Roman" w:hAnsi="Times New Roman"/>
          <w:szCs w:val="24"/>
        </w:rPr>
        <w:t xml:space="preserve"> </w:t>
      </w:r>
      <w:r w:rsidR="00C6214E">
        <w:rPr>
          <w:rFonts w:ascii="Times New Roman" w:hAnsi="Times New Roman"/>
          <w:szCs w:val="24"/>
        </w:rPr>
        <w:t>о</w:t>
      </w:r>
      <w:r w:rsidRPr="00323E52">
        <w:rPr>
          <w:rFonts w:ascii="Times New Roman" w:hAnsi="Times New Roman"/>
          <w:szCs w:val="24"/>
        </w:rPr>
        <w:t xml:space="preserve"> </w:t>
      </w:r>
      <w:r w:rsidR="00C6214E">
        <w:rPr>
          <w:rFonts w:ascii="Times New Roman" w:hAnsi="Times New Roman"/>
          <w:szCs w:val="24"/>
        </w:rPr>
        <w:t>налазима</w:t>
      </w:r>
      <w:r w:rsidRPr="00323E52">
        <w:rPr>
          <w:rFonts w:ascii="Times New Roman" w:hAnsi="Times New Roman"/>
          <w:szCs w:val="24"/>
        </w:rPr>
        <w:t xml:space="preserve"> </w:t>
      </w:r>
      <w:r w:rsidR="00C6214E">
        <w:rPr>
          <w:rFonts w:ascii="Times New Roman" w:hAnsi="Times New Roman"/>
          <w:szCs w:val="24"/>
        </w:rPr>
        <w:t>и</w:t>
      </w:r>
      <w:r w:rsidRPr="00323E52">
        <w:rPr>
          <w:rFonts w:ascii="Times New Roman" w:hAnsi="Times New Roman"/>
          <w:szCs w:val="24"/>
        </w:rPr>
        <w:t xml:space="preserve"> </w:t>
      </w:r>
      <w:r w:rsidR="00C6214E">
        <w:rPr>
          <w:rFonts w:ascii="Times New Roman" w:hAnsi="Times New Roman"/>
          <w:szCs w:val="24"/>
        </w:rPr>
        <w:t>препорукама</w:t>
      </w:r>
      <w:r w:rsidRPr="00323E52">
        <w:rPr>
          <w:rFonts w:ascii="Times New Roman" w:hAnsi="Times New Roman"/>
          <w:szCs w:val="24"/>
        </w:rPr>
        <w:t xml:space="preserve"> </w:t>
      </w:r>
      <w:r w:rsidR="00C6214E">
        <w:rPr>
          <w:rFonts w:ascii="Times New Roman" w:hAnsi="Times New Roman"/>
          <w:szCs w:val="24"/>
        </w:rPr>
        <w:t>поменутог</w:t>
      </w:r>
      <w:r w:rsidRPr="00323E52">
        <w:rPr>
          <w:rFonts w:ascii="Times New Roman" w:hAnsi="Times New Roman"/>
          <w:szCs w:val="24"/>
        </w:rPr>
        <w:t xml:space="preserve"> </w:t>
      </w:r>
      <w:r w:rsidR="00C6214E">
        <w:rPr>
          <w:rFonts w:ascii="Times New Roman" w:hAnsi="Times New Roman"/>
          <w:szCs w:val="24"/>
        </w:rPr>
        <w:t>извјештаја</w:t>
      </w:r>
      <w:r w:rsidRPr="00323E52">
        <w:rPr>
          <w:rFonts w:ascii="Times New Roman" w:hAnsi="Times New Roman"/>
          <w:szCs w:val="24"/>
        </w:rPr>
        <w:t>.</w:t>
      </w:r>
    </w:p>
    <w:p w:rsidR="0042679D" w:rsidRPr="006D4FEF" w:rsidRDefault="0042679D" w:rsidP="0086268D">
      <w:pPr>
        <w:pStyle w:val="ListParagraph"/>
        <w:rPr>
          <w:rFonts w:ascii="Times New Roman" w:hAnsi="Times New Roman"/>
          <w:szCs w:val="24"/>
        </w:rPr>
      </w:pPr>
    </w:p>
    <w:p w:rsidR="0042679D" w:rsidRPr="006D4FEF" w:rsidRDefault="0042679D" w:rsidP="0086268D">
      <w:pPr>
        <w:pStyle w:val="ListParagraph"/>
        <w:numPr>
          <w:ilvl w:val="0"/>
          <w:numId w:val="17"/>
        </w:numPr>
        <w:tabs>
          <w:tab w:val="left" w:pos="284"/>
          <w:tab w:val="left" w:pos="630"/>
          <w:tab w:val="left" w:pos="1080"/>
        </w:tabs>
        <w:jc w:val="both"/>
        <w:rPr>
          <w:rFonts w:ascii="Times New Roman" w:hAnsi="Times New Roman"/>
          <w:szCs w:val="24"/>
          <w:lang w:val="sr-Latn-BA"/>
        </w:rPr>
      </w:pPr>
      <w:r>
        <w:rPr>
          <w:rFonts w:ascii="Times New Roman" w:hAnsi="Times New Roman"/>
          <w:lang w:val="sr-Latn-BA"/>
        </w:rPr>
        <w:t xml:space="preserve"> </w:t>
      </w:r>
      <w:r w:rsidR="00C6214E">
        <w:rPr>
          <w:rFonts w:ascii="Times New Roman" w:hAnsi="Times New Roman"/>
          <w:lang w:val="sr-Latn-BA"/>
        </w:rPr>
        <w:t>У</w:t>
      </w:r>
      <w:r w:rsidR="006B5DE5">
        <w:rPr>
          <w:rFonts w:ascii="Times New Roman" w:hAnsi="Times New Roman"/>
          <w:lang w:val="sr-Latn-BA"/>
        </w:rPr>
        <w:t xml:space="preserve"> </w:t>
      </w:r>
      <w:r w:rsidR="00C6214E">
        <w:rPr>
          <w:rFonts w:ascii="Times New Roman" w:hAnsi="Times New Roman"/>
          <w:lang w:val="sr-Latn-BA"/>
        </w:rPr>
        <w:t>Републици</w:t>
      </w:r>
      <w:r w:rsidR="006B5DE5">
        <w:rPr>
          <w:rFonts w:ascii="Times New Roman" w:hAnsi="Times New Roman"/>
          <w:lang w:val="sr-Latn-BA"/>
        </w:rPr>
        <w:t xml:space="preserve"> </w:t>
      </w:r>
      <w:r w:rsidR="00C6214E">
        <w:rPr>
          <w:rFonts w:ascii="Times New Roman" w:hAnsi="Times New Roman"/>
          <w:lang w:val="sr-Latn-BA"/>
        </w:rPr>
        <w:t>Српској</w:t>
      </w:r>
      <w:r w:rsidR="006B5DE5">
        <w:rPr>
          <w:rFonts w:ascii="Times New Roman" w:hAnsi="Times New Roman"/>
          <w:lang w:val="sr-Latn-BA"/>
        </w:rPr>
        <w:t xml:space="preserve"> </w:t>
      </w:r>
      <w:r w:rsidR="00C6214E">
        <w:rPr>
          <w:rFonts w:ascii="Times New Roman" w:hAnsi="Times New Roman"/>
          <w:lang w:val="sr-Latn-BA"/>
        </w:rPr>
        <w:t>се</w:t>
      </w:r>
      <w:r w:rsidR="006B5DE5">
        <w:rPr>
          <w:rFonts w:ascii="Times New Roman" w:hAnsi="Times New Roman"/>
          <w:lang w:val="sr-Latn-BA"/>
        </w:rPr>
        <w:t xml:space="preserve"> </w:t>
      </w:r>
      <w:r w:rsidR="002924B3">
        <w:rPr>
          <w:rFonts w:ascii="Times New Roman" w:hAnsi="Times New Roman"/>
          <w:lang w:val="sr-Cyrl-BA"/>
        </w:rPr>
        <w:t>спроводи</w:t>
      </w:r>
      <w:r w:rsidR="006B5DE5">
        <w:rPr>
          <w:rFonts w:ascii="Times New Roman" w:hAnsi="Times New Roman"/>
          <w:lang w:val="sr-Latn-BA"/>
        </w:rPr>
        <w:t xml:space="preserve"> </w:t>
      </w:r>
      <w:r w:rsidR="00C6214E">
        <w:rPr>
          <w:rFonts w:ascii="Times New Roman" w:hAnsi="Times New Roman"/>
          <w:lang w:val="sr-Latn-BA"/>
        </w:rPr>
        <w:t>Стратегија</w:t>
      </w:r>
      <w:r w:rsidRPr="006D4FEF">
        <w:rPr>
          <w:rFonts w:ascii="Times New Roman" w:hAnsi="Times New Roman"/>
          <w:lang w:val="sr-Latn-BA"/>
        </w:rPr>
        <w:t xml:space="preserve"> </w:t>
      </w:r>
      <w:r w:rsidR="00C6214E">
        <w:rPr>
          <w:rFonts w:ascii="Times New Roman" w:hAnsi="Times New Roman"/>
          <w:lang w:val="sr-Latn-BA"/>
        </w:rPr>
        <w:t>за</w:t>
      </w:r>
      <w:r w:rsidRPr="006D4FEF">
        <w:rPr>
          <w:rFonts w:ascii="Times New Roman" w:hAnsi="Times New Roman"/>
          <w:lang w:val="sr-Latn-BA"/>
        </w:rPr>
        <w:t xml:space="preserve"> </w:t>
      </w:r>
      <w:r w:rsidR="00C6214E">
        <w:rPr>
          <w:rFonts w:ascii="Times New Roman" w:hAnsi="Times New Roman"/>
          <w:lang w:val="sr-Latn-BA"/>
        </w:rPr>
        <w:t>унапређење</w:t>
      </w:r>
      <w:r w:rsidRPr="006D4FEF">
        <w:rPr>
          <w:rFonts w:ascii="Times New Roman" w:hAnsi="Times New Roman"/>
          <w:lang w:val="sr-Latn-BA"/>
        </w:rPr>
        <w:t xml:space="preserve"> </w:t>
      </w:r>
      <w:r w:rsidR="00C6214E">
        <w:rPr>
          <w:rFonts w:ascii="Times New Roman" w:hAnsi="Times New Roman"/>
          <w:lang w:val="sr-Latn-BA"/>
        </w:rPr>
        <w:t>сексуалног</w:t>
      </w:r>
      <w:r w:rsidRPr="006D4FEF">
        <w:rPr>
          <w:rFonts w:ascii="Times New Roman" w:hAnsi="Times New Roman"/>
          <w:lang w:val="sr-Latn-BA"/>
        </w:rPr>
        <w:t xml:space="preserve"> </w:t>
      </w:r>
      <w:r w:rsidR="00C6214E">
        <w:rPr>
          <w:rFonts w:ascii="Times New Roman" w:hAnsi="Times New Roman"/>
          <w:lang w:val="sr-Latn-BA"/>
        </w:rPr>
        <w:t>и</w:t>
      </w:r>
      <w:r w:rsidRPr="006D4FEF">
        <w:rPr>
          <w:rFonts w:ascii="Times New Roman" w:hAnsi="Times New Roman"/>
          <w:lang w:val="sr-Latn-BA"/>
        </w:rPr>
        <w:t xml:space="preserve"> </w:t>
      </w:r>
      <w:r w:rsidR="00C6214E">
        <w:rPr>
          <w:rFonts w:ascii="Times New Roman" w:hAnsi="Times New Roman"/>
          <w:lang w:val="sr-Latn-BA"/>
        </w:rPr>
        <w:t>репродуктивног</w:t>
      </w:r>
      <w:r w:rsidRPr="006D4FEF">
        <w:rPr>
          <w:rFonts w:ascii="Times New Roman" w:hAnsi="Times New Roman"/>
          <w:lang w:val="sr-Latn-BA"/>
        </w:rPr>
        <w:t xml:space="preserve"> </w:t>
      </w:r>
      <w:r w:rsidR="00C6214E">
        <w:rPr>
          <w:rFonts w:ascii="Times New Roman" w:hAnsi="Times New Roman"/>
          <w:lang w:val="sr-Latn-BA"/>
        </w:rPr>
        <w:t>здравља</w:t>
      </w:r>
      <w:r w:rsidRPr="006D4FEF">
        <w:rPr>
          <w:rFonts w:ascii="Times New Roman" w:hAnsi="Times New Roman"/>
          <w:lang w:val="sr-Latn-BA"/>
        </w:rPr>
        <w:t xml:space="preserve"> </w:t>
      </w:r>
      <w:r w:rsidR="00C6214E">
        <w:rPr>
          <w:rFonts w:ascii="Times New Roman" w:hAnsi="Times New Roman"/>
          <w:lang w:val="sr-Latn-BA"/>
        </w:rPr>
        <w:t>у</w:t>
      </w:r>
      <w:r w:rsidRPr="006D4FEF">
        <w:rPr>
          <w:rFonts w:ascii="Times New Roman" w:hAnsi="Times New Roman"/>
          <w:lang w:val="sr-Latn-BA"/>
        </w:rPr>
        <w:t xml:space="preserve"> </w:t>
      </w:r>
      <w:r w:rsidR="00C6214E">
        <w:rPr>
          <w:rFonts w:ascii="Times New Roman" w:hAnsi="Times New Roman"/>
          <w:lang w:val="sr-Latn-BA"/>
        </w:rPr>
        <w:t>РС</w:t>
      </w:r>
      <w:r w:rsidRPr="006D4FEF">
        <w:rPr>
          <w:rFonts w:ascii="Times New Roman" w:hAnsi="Times New Roman"/>
          <w:lang w:val="sr-Latn-BA"/>
        </w:rPr>
        <w:t xml:space="preserve"> (2019-2029) </w:t>
      </w:r>
      <w:r w:rsidR="00C6214E">
        <w:rPr>
          <w:rFonts w:ascii="Times New Roman" w:hAnsi="Times New Roman"/>
          <w:lang w:val="sr-Latn-BA"/>
        </w:rPr>
        <w:t>која</w:t>
      </w:r>
      <w:r w:rsidRPr="006D4FEF">
        <w:rPr>
          <w:rFonts w:ascii="Times New Roman" w:hAnsi="Times New Roman"/>
          <w:lang w:val="sr-Latn-BA"/>
        </w:rPr>
        <w:t xml:space="preserve"> </w:t>
      </w:r>
      <w:r w:rsidR="00C6214E">
        <w:rPr>
          <w:rFonts w:ascii="Times New Roman" w:hAnsi="Times New Roman"/>
          <w:lang w:val="sr-Latn-BA"/>
        </w:rPr>
        <w:t>је</w:t>
      </w:r>
      <w:r w:rsidRPr="006D4FEF">
        <w:rPr>
          <w:rFonts w:ascii="Times New Roman" w:hAnsi="Times New Roman"/>
          <w:lang w:val="sr-Latn-BA"/>
        </w:rPr>
        <w:t xml:space="preserve"> </w:t>
      </w:r>
      <w:r w:rsidR="00C6214E">
        <w:rPr>
          <w:rFonts w:ascii="Times New Roman" w:hAnsi="Times New Roman"/>
          <w:lang w:val="sr-Latn-BA"/>
        </w:rPr>
        <w:t>утемељена</w:t>
      </w:r>
      <w:r w:rsidRPr="006D4FEF">
        <w:rPr>
          <w:rFonts w:ascii="Times New Roman" w:hAnsi="Times New Roman"/>
          <w:lang w:val="sr-Latn-BA"/>
        </w:rPr>
        <w:t xml:space="preserve">, </w:t>
      </w:r>
      <w:r w:rsidR="00C6214E">
        <w:rPr>
          <w:rFonts w:ascii="Times New Roman" w:hAnsi="Times New Roman"/>
          <w:lang w:val="sr-Latn-BA"/>
        </w:rPr>
        <w:t>међу</w:t>
      </w:r>
      <w:r w:rsidRPr="006D4FEF">
        <w:rPr>
          <w:rFonts w:ascii="Times New Roman" w:hAnsi="Times New Roman"/>
          <w:lang w:val="sr-Latn-BA"/>
        </w:rPr>
        <w:t xml:space="preserve"> </w:t>
      </w:r>
      <w:r w:rsidR="00C6214E">
        <w:rPr>
          <w:rFonts w:ascii="Times New Roman" w:hAnsi="Times New Roman"/>
          <w:lang w:val="sr-Latn-BA"/>
        </w:rPr>
        <w:t>осталим</w:t>
      </w:r>
      <w:r w:rsidRPr="006D4FEF">
        <w:rPr>
          <w:rFonts w:ascii="Times New Roman" w:hAnsi="Times New Roman"/>
          <w:lang w:val="sr-Latn-BA"/>
        </w:rPr>
        <w:t xml:space="preserve">, </w:t>
      </w:r>
      <w:r w:rsidR="00C6214E">
        <w:rPr>
          <w:rFonts w:ascii="Times New Roman" w:hAnsi="Times New Roman"/>
          <w:lang w:val="sr-Latn-BA"/>
        </w:rPr>
        <w:t>на</w:t>
      </w:r>
      <w:r w:rsidRPr="006D4FEF">
        <w:rPr>
          <w:rFonts w:ascii="Times New Roman" w:hAnsi="Times New Roman"/>
          <w:lang w:val="sr-Latn-BA"/>
        </w:rPr>
        <w:t xml:space="preserve"> </w:t>
      </w:r>
      <w:r w:rsidR="00C6214E">
        <w:rPr>
          <w:rFonts w:ascii="Times New Roman" w:hAnsi="Times New Roman"/>
          <w:lang w:val="sr-Latn-BA"/>
        </w:rPr>
        <w:t>стандардима</w:t>
      </w:r>
      <w:r w:rsidRPr="006D4FEF">
        <w:rPr>
          <w:rFonts w:ascii="Times New Roman" w:hAnsi="Times New Roman"/>
          <w:lang w:val="sr-Latn-BA"/>
        </w:rPr>
        <w:t xml:space="preserve"> </w:t>
      </w:r>
      <w:r w:rsidR="00C6214E">
        <w:rPr>
          <w:rFonts w:ascii="Times New Roman" w:hAnsi="Times New Roman"/>
          <w:lang w:val="sr-Latn-BA"/>
        </w:rPr>
        <w:t>доступности</w:t>
      </w:r>
      <w:r w:rsidRPr="006D4FEF">
        <w:rPr>
          <w:rFonts w:ascii="Times New Roman" w:hAnsi="Times New Roman"/>
          <w:lang w:val="sr-Latn-BA"/>
        </w:rPr>
        <w:t xml:space="preserve"> </w:t>
      </w:r>
      <w:r w:rsidR="00C6214E">
        <w:rPr>
          <w:rFonts w:ascii="Times New Roman" w:hAnsi="Times New Roman"/>
          <w:lang w:val="sr-Latn-BA"/>
        </w:rPr>
        <w:t>и</w:t>
      </w:r>
      <w:r w:rsidRPr="006D4FEF">
        <w:rPr>
          <w:rFonts w:ascii="Times New Roman" w:hAnsi="Times New Roman"/>
          <w:lang w:val="sr-Latn-BA"/>
        </w:rPr>
        <w:t xml:space="preserve"> </w:t>
      </w:r>
      <w:r w:rsidR="00C6214E">
        <w:rPr>
          <w:rFonts w:ascii="Times New Roman" w:hAnsi="Times New Roman"/>
          <w:lang w:val="sr-Latn-BA"/>
        </w:rPr>
        <w:t>континуитета</w:t>
      </w:r>
      <w:r w:rsidRPr="006D4FEF">
        <w:rPr>
          <w:rFonts w:ascii="Times New Roman" w:hAnsi="Times New Roman"/>
          <w:lang w:val="sr-Latn-BA"/>
        </w:rPr>
        <w:t xml:space="preserve"> </w:t>
      </w:r>
      <w:r w:rsidR="00C6214E">
        <w:rPr>
          <w:rFonts w:ascii="Times New Roman" w:hAnsi="Times New Roman"/>
          <w:lang w:val="sr-Latn-BA"/>
        </w:rPr>
        <w:t>услуга</w:t>
      </w:r>
      <w:r w:rsidRPr="006D4FEF">
        <w:rPr>
          <w:rFonts w:ascii="Times New Roman" w:hAnsi="Times New Roman"/>
          <w:lang w:val="sr-Latn-BA"/>
        </w:rPr>
        <w:t xml:space="preserve"> </w:t>
      </w:r>
      <w:r w:rsidR="00C6214E">
        <w:rPr>
          <w:rFonts w:ascii="Times New Roman" w:hAnsi="Times New Roman"/>
          <w:lang w:val="sr-Latn-BA"/>
        </w:rPr>
        <w:t>које</w:t>
      </w:r>
      <w:r w:rsidRPr="006D4FEF">
        <w:rPr>
          <w:rFonts w:ascii="Times New Roman" w:hAnsi="Times New Roman"/>
          <w:lang w:val="sr-Latn-BA"/>
        </w:rPr>
        <w:t xml:space="preserve"> </w:t>
      </w:r>
      <w:r w:rsidR="00C6214E">
        <w:rPr>
          <w:rFonts w:ascii="Times New Roman" w:hAnsi="Times New Roman"/>
          <w:lang w:val="sr-Latn-BA"/>
        </w:rPr>
        <w:t>унапређују</w:t>
      </w:r>
      <w:r w:rsidRPr="006D4FEF">
        <w:rPr>
          <w:rFonts w:ascii="Times New Roman" w:hAnsi="Times New Roman"/>
          <w:lang w:val="sr-Latn-BA"/>
        </w:rPr>
        <w:t xml:space="preserve"> </w:t>
      </w:r>
      <w:r w:rsidR="00C6214E">
        <w:rPr>
          <w:rFonts w:ascii="Times New Roman" w:hAnsi="Times New Roman"/>
          <w:lang w:val="sr-Latn-BA"/>
        </w:rPr>
        <w:t>сексуално</w:t>
      </w:r>
      <w:r w:rsidRPr="006D4FEF">
        <w:rPr>
          <w:rFonts w:ascii="Times New Roman" w:hAnsi="Times New Roman"/>
          <w:lang w:val="sr-Latn-BA"/>
        </w:rPr>
        <w:t xml:space="preserve"> </w:t>
      </w:r>
      <w:r w:rsidR="00C6214E">
        <w:rPr>
          <w:rFonts w:ascii="Times New Roman" w:hAnsi="Times New Roman"/>
          <w:lang w:val="sr-Latn-BA"/>
        </w:rPr>
        <w:t>и</w:t>
      </w:r>
      <w:r w:rsidRPr="006D4FEF">
        <w:rPr>
          <w:rFonts w:ascii="Times New Roman" w:hAnsi="Times New Roman"/>
          <w:lang w:val="sr-Latn-BA"/>
        </w:rPr>
        <w:t xml:space="preserve"> </w:t>
      </w:r>
      <w:r w:rsidR="00C6214E">
        <w:rPr>
          <w:rFonts w:ascii="Times New Roman" w:hAnsi="Times New Roman"/>
          <w:lang w:val="sr-Latn-BA"/>
        </w:rPr>
        <w:t>репродуктивно</w:t>
      </w:r>
      <w:r w:rsidRPr="006D4FEF">
        <w:rPr>
          <w:rFonts w:ascii="Times New Roman" w:hAnsi="Times New Roman"/>
          <w:lang w:val="sr-Latn-BA"/>
        </w:rPr>
        <w:t xml:space="preserve"> </w:t>
      </w:r>
      <w:r w:rsidR="00C6214E">
        <w:rPr>
          <w:rFonts w:ascii="Times New Roman" w:hAnsi="Times New Roman"/>
          <w:lang w:val="sr-Latn-BA"/>
        </w:rPr>
        <w:t>здравље</w:t>
      </w:r>
      <w:r w:rsidRPr="006D4FEF">
        <w:rPr>
          <w:rFonts w:ascii="Times New Roman" w:hAnsi="Times New Roman"/>
          <w:lang w:val="sr-Latn-BA"/>
        </w:rPr>
        <w:t xml:space="preserve">, </w:t>
      </w:r>
      <w:r w:rsidR="00C6214E">
        <w:rPr>
          <w:rFonts w:ascii="Times New Roman" w:hAnsi="Times New Roman"/>
          <w:lang w:val="sr-Latn-BA"/>
        </w:rPr>
        <w:t>родну</w:t>
      </w:r>
      <w:r w:rsidRPr="006D4FEF">
        <w:rPr>
          <w:rFonts w:ascii="Times New Roman" w:hAnsi="Times New Roman"/>
          <w:lang w:val="sr-Latn-BA"/>
        </w:rPr>
        <w:t xml:space="preserve"> </w:t>
      </w:r>
      <w:r w:rsidR="00C6214E">
        <w:rPr>
          <w:rFonts w:ascii="Times New Roman" w:hAnsi="Times New Roman"/>
          <w:lang w:val="sr-Latn-BA"/>
        </w:rPr>
        <w:t>равноправност</w:t>
      </w:r>
      <w:r w:rsidRPr="006D4FEF">
        <w:rPr>
          <w:rFonts w:ascii="Times New Roman" w:hAnsi="Times New Roman"/>
          <w:lang w:val="sr-Latn-BA"/>
        </w:rPr>
        <w:t xml:space="preserve"> </w:t>
      </w:r>
      <w:r w:rsidR="00C6214E">
        <w:rPr>
          <w:rFonts w:ascii="Times New Roman" w:hAnsi="Times New Roman"/>
          <w:lang w:val="sr-Latn-BA"/>
        </w:rPr>
        <w:t>и</w:t>
      </w:r>
      <w:r w:rsidRPr="006D4FEF">
        <w:rPr>
          <w:rFonts w:ascii="Times New Roman" w:hAnsi="Times New Roman"/>
          <w:lang w:val="sr-Latn-BA"/>
        </w:rPr>
        <w:t xml:space="preserve"> </w:t>
      </w:r>
      <w:r w:rsidR="00C6214E">
        <w:rPr>
          <w:rFonts w:ascii="Times New Roman" w:hAnsi="Times New Roman"/>
          <w:lang w:val="sr-Latn-BA"/>
        </w:rPr>
        <w:t>оснаживање</w:t>
      </w:r>
      <w:r w:rsidRPr="006D4FEF">
        <w:rPr>
          <w:rFonts w:ascii="Times New Roman" w:hAnsi="Times New Roman"/>
          <w:lang w:val="sr-Latn-BA"/>
        </w:rPr>
        <w:t xml:space="preserve"> </w:t>
      </w:r>
      <w:r w:rsidR="00C6214E">
        <w:rPr>
          <w:rFonts w:ascii="Times New Roman" w:hAnsi="Times New Roman"/>
          <w:lang w:val="sr-Latn-BA"/>
        </w:rPr>
        <w:t>свих</w:t>
      </w:r>
      <w:r w:rsidRPr="006D4FEF">
        <w:rPr>
          <w:rFonts w:ascii="Times New Roman" w:hAnsi="Times New Roman"/>
          <w:lang w:val="sr-Latn-BA"/>
        </w:rPr>
        <w:t xml:space="preserve"> </w:t>
      </w:r>
      <w:r w:rsidR="00C6214E">
        <w:rPr>
          <w:rFonts w:ascii="Times New Roman" w:hAnsi="Times New Roman"/>
          <w:lang w:val="sr-Latn-BA"/>
        </w:rPr>
        <w:t>жена</w:t>
      </w:r>
      <w:r w:rsidRPr="006D4FEF">
        <w:rPr>
          <w:rFonts w:ascii="Times New Roman" w:hAnsi="Times New Roman"/>
          <w:lang w:val="sr-Latn-BA"/>
        </w:rPr>
        <w:t xml:space="preserve"> </w:t>
      </w:r>
      <w:r w:rsidR="00C6214E">
        <w:rPr>
          <w:rFonts w:ascii="Times New Roman" w:hAnsi="Times New Roman"/>
          <w:lang w:val="sr-Latn-BA"/>
        </w:rPr>
        <w:t>и</w:t>
      </w:r>
      <w:r w:rsidRPr="006D4FEF">
        <w:rPr>
          <w:rFonts w:ascii="Times New Roman" w:hAnsi="Times New Roman"/>
          <w:lang w:val="sr-Latn-BA"/>
        </w:rPr>
        <w:t xml:space="preserve"> </w:t>
      </w:r>
      <w:r w:rsidR="00C6214E">
        <w:rPr>
          <w:rFonts w:ascii="Times New Roman" w:hAnsi="Times New Roman"/>
          <w:lang w:val="sr-Latn-BA"/>
        </w:rPr>
        <w:t>дјевојака</w:t>
      </w:r>
      <w:r w:rsidRPr="006D4FEF">
        <w:rPr>
          <w:rFonts w:ascii="Times New Roman" w:hAnsi="Times New Roman"/>
          <w:lang w:val="sr-Latn-BA"/>
        </w:rPr>
        <w:t xml:space="preserve"> </w:t>
      </w:r>
      <w:r w:rsidR="00C6214E">
        <w:rPr>
          <w:rFonts w:ascii="Times New Roman" w:hAnsi="Times New Roman"/>
          <w:lang w:val="sr-Latn-BA"/>
        </w:rPr>
        <w:t>и</w:t>
      </w:r>
      <w:r w:rsidRPr="006D4FEF">
        <w:rPr>
          <w:rFonts w:ascii="Times New Roman" w:hAnsi="Times New Roman"/>
          <w:lang w:val="sr-Latn-BA"/>
        </w:rPr>
        <w:t xml:space="preserve"> </w:t>
      </w:r>
      <w:r w:rsidR="00C6214E">
        <w:rPr>
          <w:rFonts w:ascii="Times New Roman" w:hAnsi="Times New Roman"/>
          <w:lang w:val="sr-Latn-BA"/>
        </w:rPr>
        <w:t>промоцију</w:t>
      </w:r>
      <w:r w:rsidRPr="006D4FEF">
        <w:rPr>
          <w:rFonts w:ascii="Times New Roman" w:hAnsi="Times New Roman"/>
          <w:lang w:val="sr-Latn-BA"/>
        </w:rPr>
        <w:t xml:space="preserve"> </w:t>
      </w:r>
      <w:r w:rsidR="00C6214E">
        <w:rPr>
          <w:rFonts w:ascii="Times New Roman" w:hAnsi="Times New Roman"/>
          <w:lang w:val="sr-Latn-BA"/>
        </w:rPr>
        <w:t>репродуктивног</w:t>
      </w:r>
      <w:r w:rsidRPr="006D4FEF">
        <w:rPr>
          <w:rFonts w:ascii="Times New Roman" w:hAnsi="Times New Roman"/>
          <w:lang w:val="sr-Latn-BA"/>
        </w:rPr>
        <w:t xml:space="preserve"> </w:t>
      </w:r>
      <w:r w:rsidR="00C6214E">
        <w:rPr>
          <w:rFonts w:ascii="Times New Roman" w:hAnsi="Times New Roman"/>
          <w:lang w:val="sr-Latn-BA"/>
        </w:rPr>
        <w:t>здравља</w:t>
      </w:r>
      <w:r>
        <w:rPr>
          <w:rFonts w:ascii="Times New Roman" w:hAnsi="Times New Roman"/>
          <w:lang w:val="sr-Latn-BA"/>
        </w:rPr>
        <w:t>.</w:t>
      </w:r>
    </w:p>
    <w:p w:rsidR="0042679D" w:rsidRPr="00323E52" w:rsidRDefault="0042679D" w:rsidP="0086268D">
      <w:pPr>
        <w:pStyle w:val="ListParagraph"/>
        <w:tabs>
          <w:tab w:val="left" w:pos="284"/>
          <w:tab w:val="left" w:pos="630"/>
          <w:tab w:val="left" w:pos="1080"/>
        </w:tabs>
        <w:ind w:left="720"/>
        <w:jc w:val="both"/>
        <w:rPr>
          <w:rFonts w:ascii="Times New Roman" w:hAnsi="Times New Roman"/>
          <w:szCs w:val="24"/>
        </w:rPr>
      </w:pPr>
    </w:p>
    <w:p w:rsidR="0042679D" w:rsidRPr="00295637" w:rsidRDefault="00C6214E" w:rsidP="0086268D">
      <w:pPr>
        <w:pStyle w:val="ListParagraph"/>
        <w:numPr>
          <w:ilvl w:val="0"/>
          <w:numId w:val="17"/>
        </w:numPr>
        <w:jc w:val="both"/>
        <w:rPr>
          <w:rFonts w:ascii="Times New Roman" w:hAnsi="Times New Roman"/>
          <w:lang w:val="sr-Latn-BA"/>
        </w:rPr>
      </w:pPr>
      <w:r>
        <w:rPr>
          <w:rFonts w:ascii="Times New Roman" w:hAnsi="Times New Roman"/>
          <w:lang w:val="sr-Latn-BA"/>
        </w:rPr>
        <w:t>У</w:t>
      </w:r>
      <w:r w:rsidR="0042679D">
        <w:rPr>
          <w:rFonts w:ascii="Times New Roman" w:hAnsi="Times New Roman"/>
          <w:lang w:val="sr-Latn-BA"/>
        </w:rPr>
        <w:t xml:space="preserve"> </w:t>
      </w:r>
      <w:r>
        <w:rPr>
          <w:rFonts w:ascii="Times New Roman" w:hAnsi="Times New Roman"/>
          <w:lang w:val="sr-Latn-BA"/>
        </w:rPr>
        <w:t>извјештајном</w:t>
      </w:r>
      <w:r w:rsidR="0042679D">
        <w:rPr>
          <w:rFonts w:ascii="Times New Roman" w:hAnsi="Times New Roman"/>
          <w:lang w:val="sr-Latn-BA"/>
        </w:rPr>
        <w:t xml:space="preserve"> </w:t>
      </w:r>
      <w:r>
        <w:rPr>
          <w:rFonts w:ascii="Times New Roman" w:hAnsi="Times New Roman"/>
          <w:lang w:val="sr-Latn-BA"/>
        </w:rPr>
        <w:t>периоду</w:t>
      </w:r>
      <w:r w:rsidR="0042679D">
        <w:rPr>
          <w:rFonts w:ascii="Times New Roman" w:hAnsi="Times New Roman"/>
          <w:lang w:val="sr-Latn-BA"/>
        </w:rPr>
        <w:t xml:space="preserve">, </w:t>
      </w:r>
      <w:r>
        <w:rPr>
          <w:rFonts w:ascii="Times New Roman" w:hAnsi="Times New Roman"/>
          <w:lang w:val="sr-Latn-BA"/>
        </w:rPr>
        <w:t>институти</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јавно</w:t>
      </w:r>
      <w:r w:rsidR="0042679D" w:rsidRPr="00295637">
        <w:rPr>
          <w:rFonts w:ascii="Times New Roman" w:hAnsi="Times New Roman"/>
          <w:lang w:val="sr-Latn-BA"/>
        </w:rPr>
        <w:t xml:space="preserve"> </w:t>
      </w:r>
      <w:r>
        <w:rPr>
          <w:rFonts w:ascii="Times New Roman" w:hAnsi="Times New Roman"/>
          <w:lang w:val="sr-Latn-BA"/>
        </w:rPr>
        <w:t>здравство</w:t>
      </w:r>
      <w:r w:rsidR="0042679D" w:rsidRPr="00295637">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 xml:space="preserve"> </w:t>
      </w:r>
      <w:r>
        <w:rPr>
          <w:rFonts w:ascii="Times New Roman" w:hAnsi="Times New Roman"/>
          <w:lang w:val="sr-Latn-BA"/>
        </w:rPr>
        <w:t>и</w:t>
      </w:r>
      <w:r w:rsidR="00A8144D">
        <w:rPr>
          <w:rFonts w:ascii="Times New Roman" w:hAnsi="Times New Roman"/>
          <w:lang w:val="sr-Latn-BA"/>
        </w:rPr>
        <w:t xml:space="preserve"> </w:t>
      </w:r>
      <w:r>
        <w:rPr>
          <w:rFonts w:ascii="Times New Roman" w:hAnsi="Times New Roman"/>
          <w:lang w:val="sr-Latn-BA"/>
        </w:rPr>
        <w:t>ФБиХ</w:t>
      </w:r>
      <w:r w:rsidR="0042679D">
        <w:rPr>
          <w:rFonts w:ascii="Times New Roman" w:hAnsi="Times New Roman"/>
          <w:lang w:val="sr-Latn-BA"/>
        </w:rPr>
        <w:t xml:space="preserve"> </w:t>
      </w:r>
      <w:r>
        <w:rPr>
          <w:rFonts w:ascii="Times New Roman" w:hAnsi="Times New Roman"/>
          <w:lang w:val="sr-Latn-BA"/>
        </w:rPr>
        <w:t>су</w:t>
      </w:r>
      <w:r w:rsidR="0042679D">
        <w:rPr>
          <w:rFonts w:ascii="Times New Roman" w:hAnsi="Times New Roman"/>
          <w:lang w:val="sr-Latn-BA"/>
        </w:rPr>
        <w:t xml:space="preserve"> </w:t>
      </w:r>
      <w:r>
        <w:rPr>
          <w:rFonts w:ascii="Times New Roman" w:hAnsi="Times New Roman"/>
          <w:lang w:val="sr-Latn-BA"/>
        </w:rPr>
        <w:t>путем</w:t>
      </w:r>
      <w:r w:rsidR="0042679D" w:rsidRPr="00295637">
        <w:rPr>
          <w:rFonts w:ascii="Times New Roman" w:hAnsi="Times New Roman"/>
          <w:lang w:val="sr-Latn-BA"/>
        </w:rPr>
        <w:t xml:space="preserve"> </w:t>
      </w:r>
      <w:r>
        <w:rPr>
          <w:rFonts w:ascii="Times New Roman" w:hAnsi="Times New Roman"/>
          <w:lang w:val="sr-Latn-BA"/>
        </w:rPr>
        <w:t>медија</w:t>
      </w:r>
      <w:r w:rsidR="0042679D" w:rsidRPr="00295637">
        <w:rPr>
          <w:rFonts w:ascii="Times New Roman" w:hAnsi="Times New Roman"/>
          <w:lang w:val="sr-Latn-BA"/>
        </w:rPr>
        <w:t xml:space="preserve">, </w:t>
      </w:r>
      <w:r>
        <w:rPr>
          <w:rFonts w:ascii="Times New Roman" w:hAnsi="Times New Roman"/>
          <w:lang w:val="sr-Latn-BA"/>
        </w:rPr>
        <w:t>интернета</w:t>
      </w:r>
      <w:r w:rsidR="0042679D">
        <w:rPr>
          <w:rFonts w:ascii="Times New Roman" w:hAnsi="Times New Roman"/>
          <w:lang w:val="sr-Latn-BA"/>
        </w:rPr>
        <w:t xml:space="preserve">, </w:t>
      </w:r>
      <w:r>
        <w:rPr>
          <w:rFonts w:ascii="Times New Roman" w:hAnsi="Times New Roman"/>
          <w:lang w:val="sr-Latn-BA"/>
        </w:rPr>
        <w:t>друштвених</w:t>
      </w:r>
      <w:r w:rsidR="0042679D">
        <w:rPr>
          <w:rFonts w:ascii="Times New Roman" w:hAnsi="Times New Roman"/>
          <w:lang w:val="sr-Latn-BA"/>
        </w:rPr>
        <w:t xml:space="preserve"> </w:t>
      </w:r>
      <w:r>
        <w:rPr>
          <w:rFonts w:ascii="Times New Roman" w:hAnsi="Times New Roman"/>
          <w:lang w:val="sr-Latn-BA"/>
        </w:rPr>
        <w:t>мрежа</w:t>
      </w:r>
      <w:r w:rsidR="0042679D">
        <w:rPr>
          <w:rFonts w:ascii="Times New Roman" w:hAnsi="Times New Roman"/>
          <w:lang w:val="sr-Latn-BA"/>
        </w:rPr>
        <w:t xml:space="preserve">, </w:t>
      </w:r>
      <w:r>
        <w:rPr>
          <w:rFonts w:ascii="Times New Roman" w:hAnsi="Times New Roman"/>
          <w:lang w:val="sr-Latn-BA"/>
        </w:rPr>
        <w:t>брошура</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плаката</w:t>
      </w:r>
      <w:r w:rsidR="0042679D" w:rsidRPr="00295637">
        <w:rPr>
          <w:rFonts w:ascii="Times New Roman" w:hAnsi="Times New Roman"/>
          <w:lang w:val="sr-Latn-BA"/>
        </w:rPr>
        <w:t xml:space="preserve"> </w:t>
      </w:r>
      <w:r>
        <w:rPr>
          <w:rFonts w:ascii="Times New Roman" w:hAnsi="Times New Roman"/>
          <w:lang w:val="sr-Latn-BA"/>
        </w:rPr>
        <w:t>промови</w:t>
      </w:r>
      <w:r w:rsidR="002D5D32">
        <w:rPr>
          <w:rFonts w:ascii="Times New Roman" w:hAnsi="Times New Roman"/>
          <w:lang w:val="sr-Cyrl-BA"/>
        </w:rPr>
        <w:t>с</w:t>
      </w:r>
      <w:r>
        <w:rPr>
          <w:rFonts w:ascii="Times New Roman" w:hAnsi="Times New Roman"/>
          <w:lang w:val="sr-Latn-BA"/>
        </w:rPr>
        <w:t>али</w:t>
      </w:r>
      <w:r w:rsidR="0042679D" w:rsidRPr="00295637">
        <w:rPr>
          <w:rFonts w:ascii="Times New Roman" w:hAnsi="Times New Roman"/>
          <w:lang w:val="sr-Latn-BA"/>
        </w:rPr>
        <w:t xml:space="preserve"> </w:t>
      </w:r>
      <w:r w:rsidR="002D5D32" w:rsidRPr="002D5D32">
        <w:rPr>
          <w:rFonts w:ascii="Times New Roman" w:hAnsi="Times New Roman"/>
          <w:i/>
          <w:lang w:val="sr-Latn-BA"/>
        </w:rPr>
        <w:t>HPV</w:t>
      </w:r>
      <w:r w:rsidR="0042679D" w:rsidRPr="00295637">
        <w:rPr>
          <w:rFonts w:ascii="Times New Roman" w:hAnsi="Times New Roman"/>
          <w:lang w:val="sr-Latn-BA"/>
        </w:rPr>
        <w:t xml:space="preserve"> </w:t>
      </w:r>
      <w:r>
        <w:rPr>
          <w:rFonts w:ascii="Times New Roman" w:hAnsi="Times New Roman"/>
          <w:lang w:val="sr-Latn-BA"/>
        </w:rPr>
        <w:t>вакцинацију</w:t>
      </w:r>
      <w:r w:rsidR="0042679D" w:rsidRPr="00295637">
        <w:rPr>
          <w:rFonts w:ascii="Times New Roman" w:hAnsi="Times New Roman"/>
          <w:lang w:val="sr-Latn-BA"/>
        </w:rPr>
        <w:t xml:space="preserve">, </w:t>
      </w:r>
      <w:r w:rsidR="002D5D32">
        <w:rPr>
          <w:rFonts w:ascii="Times New Roman" w:hAnsi="Times New Roman"/>
          <w:lang w:val="sr-Cyrl-BA"/>
        </w:rPr>
        <w:t>с</w:t>
      </w:r>
      <w:r w:rsidR="0042679D" w:rsidRPr="00295637">
        <w:rPr>
          <w:rFonts w:ascii="Times New Roman" w:hAnsi="Times New Roman"/>
          <w:lang w:val="sr-Latn-BA"/>
        </w:rPr>
        <w:t xml:space="preserve"> </w:t>
      </w:r>
      <w:r>
        <w:rPr>
          <w:rFonts w:ascii="Times New Roman" w:hAnsi="Times New Roman"/>
          <w:lang w:val="sr-Latn-BA"/>
        </w:rPr>
        <w:t>циљ</w:t>
      </w:r>
      <w:r w:rsidR="002D5D32">
        <w:rPr>
          <w:rFonts w:ascii="Times New Roman" w:hAnsi="Times New Roman"/>
          <w:lang w:val="sr-Cyrl-BA"/>
        </w:rPr>
        <w:t>ем</w:t>
      </w:r>
      <w:r w:rsidR="0042679D" w:rsidRPr="00295637">
        <w:rPr>
          <w:rFonts w:ascii="Times New Roman" w:hAnsi="Times New Roman"/>
          <w:lang w:val="sr-Latn-BA"/>
        </w:rPr>
        <w:t xml:space="preserve"> </w:t>
      </w:r>
      <w:r>
        <w:rPr>
          <w:rFonts w:ascii="Times New Roman" w:hAnsi="Times New Roman"/>
          <w:lang w:val="sr-Latn-BA"/>
        </w:rPr>
        <w:t>подизања</w:t>
      </w:r>
      <w:r w:rsidR="0042679D" w:rsidRPr="00295637">
        <w:rPr>
          <w:rFonts w:ascii="Times New Roman" w:hAnsi="Times New Roman"/>
          <w:lang w:val="sr-Latn-BA"/>
        </w:rPr>
        <w:t xml:space="preserve"> </w:t>
      </w:r>
      <w:r>
        <w:rPr>
          <w:rFonts w:ascii="Times New Roman" w:hAnsi="Times New Roman"/>
          <w:lang w:val="sr-Latn-BA"/>
        </w:rPr>
        <w:t>свијести</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едукације</w:t>
      </w:r>
      <w:r w:rsidR="0042679D" w:rsidRPr="00295637">
        <w:rPr>
          <w:rFonts w:ascii="Times New Roman" w:hAnsi="Times New Roman"/>
          <w:lang w:val="sr-Latn-BA"/>
        </w:rPr>
        <w:t xml:space="preserve"> </w:t>
      </w:r>
      <w:r>
        <w:rPr>
          <w:rFonts w:ascii="Times New Roman" w:hAnsi="Times New Roman"/>
          <w:lang w:val="sr-Latn-BA"/>
        </w:rPr>
        <w:t>становништва</w:t>
      </w:r>
      <w:r w:rsidR="0042679D" w:rsidRPr="00295637">
        <w:rPr>
          <w:rFonts w:ascii="Times New Roman" w:hAnsi="Times New Roman"/>
          <w:lang w:val="sr-Latn-BA"/>
        </w:rPr>
        <w:t xml:space="preserve"> </w:t>
      </w:r>
      <w:r>
        <w:rPr>
          <w:rFonts w:ascii="Times New Roman" w:hAnsi="Times New Roman"/>
          <w:lang w:val="sr-Latn-BA"/>
        </w:rPr>
        <w:t>о</w:t>
      </w:r>
      <w:r w:rsidR="0042679D" w:rsidRPr="00295637">
        <w:rPr>
          <w:rFonts w:ascii="Times New Roman" w:hAnsi="Times New Roman"/>
          <w:lang w:val="sr-Latn-BA"/>
        </w:rPr>
        <w:t xml:space="preserve"> </w:t>
      </w:r>
      <w:r>
        <w:rPr>
          <w:rFonts w:ascii="Times New Roman" w:hAnsi="Times New Roman"/>
          <w:lang w:val="sr-Latn-BA"/>
        </w:rPr>
        <w:t>предностима</w:t>
      </w:r>
      <w:r w:rsidR="0042679D" w:rsidRPr="00295637">
        <w:rPr>
          <w:rFonts w:ascii="Times New Roman" w:hAnsi="Times New Roman"/>
          <w:lang w:val="sr-Latn-BA"/>
        </w:rPr>
        <w:t xml:space="preserve"> </w:t>
      </w:r>
      <w:r>
        <w:rPr>
          <w:rFonts w:ascii="Times New Roman" w:hAnsi="Times New Roman"/>
          <w:lang w:val="sr-Latn-BA"/>
        </w:rPr>
        <w:t>вакцинације</w:t>
      </w:r>
      <w:r w:rsidR="0042679D" w:rsidRPr="00295637">
        <w:rPr>
          <w:rFonts w:ascii="Times New Roman" w:hAnsi="Times New Roman"/>
          <w:lang w:val="sr-Latn-BA"/>
        </w:rPr>
        <w:t xml:space="preserve"> </w:t>
      </w:r>
      <w:r>
        <w:rPr>
          <w:rFonts w:ascii="Times New Roman" w:hAnsi="Times New Roman"/>
          <w:lang w:val="sr-Latn-BA"/>
        </w:rPr>
        <w:t>против</w:t>
      </w:r>
      <w:r w:rsidR="0042679D" w:rsidRPr="00295637">
        <w:rPr>
          <w:rFonts w:ascii="Times New Roman" w:hAnsi="Times New Roman"/>
          <w:lang w:val="sr-Latn-BA"/>
        </w:rPr>
        <w:t xml:space="preserve"> </w:t>
      </w:r>
      <w:r w:rsidR="002D5D32" w:rsidRPr="002D5D32">
        <w:rPr>
          <w:rFonts w:ascii="Times New Roman" w:hAnsi="Times New Roman"/>
          <w:i/>
          <w:lang w:val="sr-Latn-BA"/>
        </w:rPr>
        <w:t>HPV</w:t>
      </w:r>
      <w:r w:rsidR="0042679D" w:rsidRPr="00295637">
        <w:rPr>
          <w:rFonts w:ascii="Times New Roman" w:hAnsi="Times New Roman"/>
          <w:lang w:val="sr-Latn-BA"/>
        </w:rPr>
        <w:t xml:space="preserve"> </w:t>
      </w:r>
      <w:r>
        <w:rPr>
          <w:rFonts w:ascii="Times New Roman" w:hAnsi="Times New Roman"/>
          <w:lang w:val="sr-Latn-BA"/>
        </w:rPr>
        <w:t>вируса</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превенцији</w:t>
      </w:r>
      <w:r w:rsidR="0042679D" w:rsidRPr="00295637">
        <w:rPr>
          <w:rFonts w:ascii="Times New Roman" w:hAnsi="Times New Roman"/>
          <w:lang w:val="sr-Latn-BA"/>
        </w:rPr>
        <w:t xml:space="preserve"> </w:t>
      </w:r>
      <w:r>
        <w:rPr>
          <w:rFonts w:ascii="Times New Roman" w:hAnsi="Times New Roman"/>
          <w:lang w:val="sr-Latn-BA"/>
        </w:rPr>
        <w:t>карцинома</w:t>
      </w:r>
      <w:r w:rsidR="0042679D" w:rsidRPr="00295637">
        <w:rPr>
          <w:rFonts w:ascii="Times New Roman" w:hAnsi="Times New Roman"/>
          <w:lang w:val="sr-Latn-BA"/>
        </w:rPr>
        <w:t xml:space="preserve"> </w:t>
      </w:r>
      <w:r>
        <w:rPr>
          <w:rFonts w:ascii="Times New Roman" w:hAnsi="Times New Roman"/>
          <w:lang w:val="sr-Latn-BA"/>
        </w:rPr>
        <w:t>грлића</w:t>
      </w:r>
      <w:r w:rsidR="0042679D" w:rsidRPr="00295637">
        <w:rPr>
          <w:rFonts w:ascii="Times New Roman" w:hAnsi="Times New Roman"/>
          <w:lang w:val="sr-Latn-BA"/>
        </w:rPr>
        <w:t xml:space="preserve"> </w:t>
      </w:r>
      <w:r>
        <w:rPr>
          <w:rFonts w:ascii="Times New Roman" w:hAnsi="Times New Roman"/>
          <w:lang w:val="sr-Latn-BA"/>
        </w:rPr>
        <w:t>материце</w:t>
      </w:r>
      <w:r w:rsidR="00A8144D">
        <w:rPr>
          <w:rFonts w:ascii="Times New Roman" w:hAnsi="Times New Roman"/>
          <w:lang w:val="sr-Latn-BA"/>
        </w:rPr>
        <w:t>.</w:t>
      </w:r>
    </w:p>
    <w:p w:rsidR="006B5DE5" w:rsidRDefault="006B5DE5" w:rsidP="0086268D">
      <w:pPr>
        <w:rPr>
          <w:rFonts w:ascii="Times New Roman" w:hAnsi="Times New Roman"/>
          <w:lang w:val="sr-Latn-BA"/>
        </w:rPr>
      </w:pPr>
    </w:p>
    <w:p w:rsidR="0042679D" w:rsidRPr="00295637" w:rsidRDefault="00C6214E" w:rsidP="0086268D">
      <w:pPr>
        <w:jc w:val="both"/>
        <w:rPr>
          <w:rFonts w:ascii="Times New Roman" w:hAnsi="Times New Roman"/>
          <w:i/>
          <w:szCs w:val="24"/>
          <w:lang w:val="bs-Latn-BA"/>
        </w:rPr>
      </w:pPr>
      <w:r>
        <w:rPr>
          <w:rFonts w:ascii="Times New Roman" w:hAnsi="Times New Roman"/>
          <w:i/>
          <w:szCs w:val="24"/>
          <w:lang w:val="bs-Latn-BA"/>
        </w:rPr>
        <w:t>Социјална</w:t>
      </w:r>
      <w:r w:rsidR="0042679D" w:rsidRPr="00295637">
        <w:rPr>
          <w:rFonts w:ascii="Times New Roman" w:hAnsi="Times New Roman"/>
          <w:i/>
          <w:szCs w:val="24"/>
          <w:lang w:val="bs-Latn-BA"/>
        </w:rPr>
        <w:t xml:space="preserve"> </w:t>
      </w:r>
      <w:r>
        <w:rPr>
          <w:rFonts w:ascii="Times New Roman" w:hAnsi="Times New Roman"/>
          <w:i/>
          <w:szCs w:val="24"/>
          <w:lang w:val="bs-Latn-BA"/>
        </w:rPr>
        <w:t>заштита</w:t>
      </w:r>
    </w:p>
    <w:p w:rsidR="0042679D" w:rsidRPr="00295637" w:rsidRDefault="0042679D" w:rsidP="0086268D">
      <w:pPr>
        <w:pStyle w:val="NormalWeb"/>
        <w:spacing w:before="0" w:beforeAutospacing="0" w:after="0" w:afterAutospacing="0"/>
        <w:jc w:val="both"/>
        <w:rPr>
          <w:lang w:val="bs-Latn-BA"/>
        </w:rPr>
      </w:pPr>
    </w:p>
    <w:p w:rsidR="0042679D" w:rsidRPr="00A8144D" w:rsidRDefault="00C6214E" w:rsidP="0086268D">
      <w:pPr>
        <w:pStyle w:val="HTMLPreformatted"/>
        <w:numPr>
          <w:ilvl w:val="0"/>
          <w:numId w:val="17"/>
        </w:numPr>
        <w:jc w:val="both"/>
        <w:rPr>
          <w:rFonts w:ascii="inherit" w:hAnsi="inherit"/>
          <w:sz w:val="24"/>
          <w:szCs w:val="24"/>
          <w:lang w:val="en-US"/>
        </w:rPr>
      </w:pPr>
      <w:r>
        <w:rPr>
          <w:rStyle w:val="y2iqfc"/>
          <w:rFonts w:ascii="inherit" w:hAnsi="inherit"/>
          <w:sz w:val="24"/>
          <w:szCs w:val="24"/>
        </w:rPr>
        <w:t>Као</w:t>
      </w:r>
      <w:r w:rsidR="0042679D" w:rsidRPr="00A8144D">
        <w:rPr>
          <w:rStyle w:val="y2iqfc"/>
          <w:rFonts w:ascii="inherit" w:hAnsi="inherit"/>
          <w:sz w:val="24"/>
          <w:szCs w:val="24"/>
        </w:rPr>
        <w:t xml:space="preserve"> </w:t>
      </w:r>
      <w:r>
        <w:rPr>
          <w:rStyle w:val="y2iqfc"/>
          <w:rFonts w:ascii="inherit" w:hAnsi="inherit"/>
          <w:sz w:val="24"/>
          <w:szCs w:val="24"/>
        </w:rPr>
        <w:t>одговор</w:t>
      </w:r>
      <w:r w:rsidR="0042679D" w:rsidRPr="00A8144D">
        <w:rPr>
          <w:rStyle w:val="y2iqfc"/>
          <w:rFonts w:ascii="inherit" w:hAnsi="inherit"/>
          <w:sz w:val="24"/>
          <w:szCs w:val="24"/>
        </w:rPr>
        <w:t xml:space="preserve"> </w:t>
      </w:r>
      <w:r>
        <w:rPr>
          <w:rStyle w:val="y2iqfc"/>
          <w:rFonts w:ascii="inherit" w:hAnsi="inherit"/>
          <w:sz w:val="24"/>
          <w:szCs w:val="24"/>
        </w:rPr>
        <w:t>на</w:t>
      </w:r>
      <w:r w:rsidR="0042679D" w:rsidRPr="00A8144D">
        <w:rPr>
          <w:rStyle w:val="y2iqfc"/>
          <w:rFonts w:ascii="inherit" w:hAnsi="inherit"/>
          <w:sz w:val="24"/>
          <w:szCs w:val="24"/>
        </w:rPr>
        <w:t xml:space="preserve"> </w:t>
      </w:r>
      <w:r>
        <w:rPr>
          <w:rStyle w:val="y2iqfc"/>
          <w:rFonts w:ascii="inherit" w:hAnsi="inherit"/>
          <w:sz w:val="24"/>
          <w:szCs w:val="24"/>
        </w:rPr>
        <w:t>растућу</w:t>
      </w:r>
      <w:r w:rsidR="0042679D" w:rsidRPr="00A8144D">
        <w:rPr>
          <w:rStyle w:val="y2iqfc"/>
          <w:rFonts w:ascii="inherit" w:hAnsi="inherit"/>
          <w:sz w:val="24"/>
          <w:szCs w:val="24"/>
        </w:rPr>
        <w:t xml:space="preserve"> </w:t>
      </w:r>
      <w:r>
        <w:rPr>
          <w:rStyle w:val="y2iqfc"/>
          <w:rFonts w:ascii="inherit" w:hAnsi="inherit"/>
          <w:sz w:val="24"/>
          <w:szCs w:val="24"/>
        </w:rPr>
        <w:t>потражњу</w:t>
      </w:r>
      <w:r w:rsidR="0042679D" w:rsidRPr="00A8144D">
        <w:rPr>
          <w:rStyle w:val="y2iqfc"/>
          <w:rFonts w:ascii="inherit" w:hAnsi="inherit"/>
          <w:sz w:val="24"/>
          <w:szCs w:val="24"/>
        </w:rPr>
        <w:t xml:space="preserve"> </w:t>
      </w:r>
      <w:r>
        <w:rPr>
          <w:rStyle w:val="y2iqfc"/>
          <w:rFonts w:ascii="inherit" w:hAnsi="inherit"/>
          <w:sz w:val="24"/>
          <w:szCs w:val="24"/>
        </w:rPr>
        <w:t>за</w:t>
      </w:r>
      <w:r w:rsidR="0042679D" w:rsidRPr="00A8144D">
        <w:rPr>
          <w:rStyle w:val="y2iqfc"/>
          <w:rFonts w:ascii="inherit" w:hAnsi="inherit"/>
          <w:sz w:val="24"/>
          <w:szCs w:val="24"/>
        </w:rPr>
        <w:t xml:space="preserve"> </w:t>
      </w:r>
      <w:r>
        <w:rPr>
          <w:rStyle w:val="y2iqfc"/>
          <w:rFonts w:ascii="inherit" w:hAnsi="inherit"/>
          <w:sz w:val="24"/>
          <w:szCs w:val="24"/>
        </w:rPr>
        <w:t>његом</w:t>
      </w:r>
      <w:r w:rsidR="0042679D" w:rsidRPr="00A8144D">
        <w:rPr>
          <w:rStyle w:val="y2iqfc"/>
          <w:rFonts w:ascii="inherit" w:hAnsi="inherit"/>
          <w:sz w:val="24"/>
          <w:szCs w:val="24"/>
        </w:rPr>
        <w:t xml:space="preserve"> </w:t>
      </w:r>
      <w:r>
        <w:rPr>
          <w:rStyle w:val="y2iqfc"/>
          <w:rFonts w:ascii="inherit" w:hAnsi="inherit"/>
          <w:sz w:val="24"/>
          <w:szCs w:val="24"/>
        </w:rPr>
        <w:t>старијих</w:t>
      </w:r>
      <w:r w:rsidR="0042679D" w:rsidRPr="00A8144D">
        <w:rPr>
          <w:rStyle w:val="y2iqfc"/>
          <w:rFonts w:ascii="inherit" w:hAnsi="inherit"/>
          <w:sz w:val="24"/>
          <w:szCs w:val="24"/>
        </w:rPr>
        <w:t xml:space="preserve"> </w:t>
      </w:r>
      <w:r>
        <w:rPr>
          <w:rStyle w:val="y2iqfc"/>
          <w:rFonts w:ascii="inherit" w:hAnsi="inherit"/>
          <w:sz w:val="24"/>
          <w:szCs w:val="24"/>
        </w:rPr>
        <w:t>лица</w:t>
      </w:r>
      <w:r w:rsidR="0042679D" w:rsidRPr="00A8144D">
        <w:rPr>
          <w:rStyle w:val="y2iqfc"/>
          <w:rFonts w:ascii="inherit" w:hAnsi="inherit"/>
          <w:sz w:val="24"/>
          <w:szCs w:val="24"/>
        </w:rPr>
        <w:t xml:space="preserve"> </w:t>
      </w:r>
      <w:r>
        <w:rPr>
          <w:rStyle w:val="y2iqfc"/>
          <w:rFonts w:ascii="inherit" w:hAnsi="inherit"/>
          <w:sz w:val="24"/>
          <w:szCs w:val="24"/>
        </w:rPr>
        <w:t>и</w:t>
      </w:r>
      <w:r w:rsidR="0042679D" w:rsidRPr="00A8144D">
        <w:rPr>
          <w:rStyle w:val="y2iqfc"/>
          <w:rFonts w:ascii="inherit" w:hAnsi="inherit"/>
          <w:sz w:val="24"/>
          <w:szCs w:val="24"/>
        </w:rPr>
        <w:t xml:space="preserve"> </w:t>
      </w:r>
      <w:r>
        <w:rPr>
          <w:rStyle w:val="y2iqfc"/>
          <w:rFonts w:ascii="inherit" w:hAnsi="inherit"/>
          <w:sz w:val="24"/>
          <w:szCs w:val="24"/>
        </w:rPr>
        <w:t>дуготрајну</w:t>
      </w:r>
      <w:r w:rsidR="0042679D" w:rsidRPr="00A8144D">
        <w:rPr>
          <w:rStyle w:val="y2iqfc"/>
          <w:rFonts w:ascii="inherit" w:hAnsi="inherit"/>
          <w:sz w:val="24"/>
          <w:szCs w:val="24"/>
        </w:rPr>
        <w:t xml:space="preserve"> </w:t>
      </w:r>
      <w:r>
        <w:rPr>
          <w:rStyle w:val="y2iqfc"/>
          <w:rFonts w:ascii="inherit" w:hAnsi="inherit"/>
          <w:sz w:val="24"/>
          <w:szCs w:val="24"/>
        </w:rPr>
        <w:t>искљученост</w:t>
      </w:r>
      <w:r w:rsidR="0042679D" w:rsidRPr="00A8144D">
        <w:rPr>
          <w:rStyle w:val="y2iqfc"/>
          <w:rFonts w:ascii="inherit" w:hAnsi="inherit"/>
          <w:sz w:val="24"/>
          <w:szCs w:val="24"/>
        </w:rPr>
        <w:t xml:space="preserve"> </w:t>
      </w:r>
      <w:r>
        <w:rPr>
          <w:rStyle w:val="y2iqfc"/>
          <w:rFonts w:ascii="inherit" w:hAnsi="inherit"/>
          <w:sz w:val="24"/>
          <w:szCs w:val="24"/>
        </w:rPr>
        <w:t>жена</w:t>
      </w:r>
      <w:r w:rsidR="0042679D" w:rsidRPr="00A8144D">
        <w:rPr>
          <w:rStyle w:val="y2iqfc"/>
          <w:rFonts w:ascii="inherit" w:hAnsi="inherit"/>
          <w:sz w:val="24"/>
          <w:szCs w:val="24"/>
        </w:rPr>
        <w:t xml:space="preserve"> </w:t>
      </w:r>
      <w:r>
        <w:rPr>
          <w:rStyle w:val="y2iqfc"/>
          <w:rFonts w:ascii="inherit" w:hAnsi="inherit"/>
          <w:sz w:val="24"/>
          <w:szCs w:val="24"/>
        </w:rPr>
        <w:t>из</w:t>
      </w:r>
      <w:r w:rsidR="0042679D" w:rsidRPr="00A8144D">
        <w:rPr>
          <w:rStyle w:val="y2iqfc"/>
          <w:rFonts w:ascii="inherit" w:hAnsi="inherit"/>
          <w:sz w:val="24"/>
          <w:szCs w:val="24"/>
        </w:rPr>
        <w:t xml:space="preserve"> </w:t>
      </w:r>
      <w:r>
        <w:rPr>
          <w:rStyle w:val="y2iqfc"/>
          <w:rFonts w:ascii="inherit" w:hAnsi="inherit"/>
          <w:sz w:val="24"/>
          <w:szCs w:val="24"/>
        </w:rPr>
        <w:t>формалног</w:t>
      </w:r>
      <w:r w:rsidR="0042679D" w:rsidRPr="00A8144D">
        <w:rPr>
          <w:rStyle w:val="y2iqfc"/>
          <w:rFonts w:ascii="inherit" w:hAnsi="inherit"/>
          <w:sz w:val="24"/>
          <w:szCs w:val="24"/>
        </w:rPr>
        <w:t xml:space="preserve"> </w:t>
      </w:r>
      <w:r>
        <w:rPr>
          <w:rStyle w:val="y2iqfc"/>
          <w:rFonts w:ascii="inherit" w:hAnsi="inherit"/>
          <w:sz w:val="24"/>
          <w:szCs w:val="24"/>
        </w:rPr>
        <w:t>тржишта</w:t>
      </w:r>
      <w:r w:rsidR="0042679D" w:rsidRPr="00A8144D">
        <w:rPr>
          <w:rStyle w:val="y2iqfc"/>
          <w:rFonts w:ascii="inherit" w:hAnsi="inherit"/>
          <w:sz w:val="24"/>
          <w:szCs w:val="24"/>
        </w:rPr>
        <w:t xml:space="preserve"> </w:t>
      </w:r>
      <w:r>
        <w:rPr>
          <w:rStyle w:val="y2iqfc"/>
          <w:rFonts w:ascii="inherit" w:hAnsi="inherit"/>
          <w:sz w:val="24"/>
          <w:szCs w:val="24"/>
        </w:rPr>
        <w:t>рада</w:t>
      </w:r>
      <w:r w:rsidR="0042679D" w:rsidRPr="00A8144D">
        <w:rPr>
          <w:rStyle w:val="y2iqfc"/>
          <w:rFonts w:ascii="inherit" w:hAnsi="inherit"/>
          <w:sz w:val="24"/>
          <w:szCs w:val="24"/>
        </w:rPr>
        <w:t xml:space="preserve">, </w:t>
      </w:r>
      <w:r w:rsidR="002D5D32" w:rsidRPr="002D5D32">
        <w:rPr>
          <w:rFonts w:ascii="inherit" w:hAnsi="inherit"/>
          <w:i/>
          <w:sz w:val="24"/>
          <w:szCs w:val="24"/>
          <w:lang w:val="sr-Latn-BA"/>
        </w:rPr>
        <w:t>UN Women</w:t>
      </w:r>
      <w:r w:rsidR="002D5D32" w:rsidRPr="002D5D32">
        <w:rPr>
          <w:rFonts w:ascii="inherit" w:hAnsi="inherit"/>
          <w:sz w:val="24"/>
          <w:szCs w:val="24"/>
          <w:lang w:val="hr-BA"/>
        </w:rPr>
        <w:t xml:space="preserve"> </w:t>
      </w:r>
      <w:r>
        <w:rPr>
          <w:rStyle w:val="y2iqfc"/>
          <w:rFonts w:ascii="inherit" w:hAnsi="inherit"/>
          <w:sz w:val="24"/>
          <w:szCs w:val="24"/>
        </w:rPr>
        <w:t>је</w:t>
      </w:r>
      <w:r w:rsidR="0042679D" w:rsidRPr="00A8144D">
        <w:rPr>
          <w:rStyle w:val="y2iqfc"/>
          <w:rFonts w:ascii="inherit" w:hAnsi="inherit"/>
          <w:sz w:val="24"/>
          <w:szCs w:val="24"/>
        </w:rPr>
        <w:t xml:space="preserve"> </w:t>
      </w:r>
      <w:r>
        <w:rPr>
          <w:rStyle w:val="y2iqfc"/>
          <w:rFonts w:ascii="inherit" w:hAnsi="inherit"/>
          <w:sz w:val="24"/>
          <w:szCs w:val="24"/>
        </w:rPr>
        <w:t>пружио</w:t>
      </w:r>
      <w:r w:rsidR="0042679D" w:rsidRPr="00A8144D">
        <w:rPr>
          <w:rStyle w:val="y2iqfc"/>
          <w:rFonts w:ascii="inherit" w:hAnsi="inherit"/>
          <w:sz w:val="24"/>
          <w:szCs w:val="24"/>
        </w:rPr>
        <w:t xml:space="preserve"> </w:t>
      </w:r>
      <w:r>
        <w:rPr>
          <w:rStyle w:val="y2iqfc"/>
          <w:rFonts w:ascii="inherit" w:hAnsi="inherit"/>
          <w:sz w:val="24"/>
          <w:szCs w:val="24"/>
        </w:rPr>
        <w:t>подршку</w:t>
      </w:r>
      <w:r w:rsidR="0042679D" w:rsidRPr="00A8144D">
        <w:rPr>
          <w:rStyle w:val="y2iqfc"/>
          <w:rFonts w:ascii="inherit" w:hAnsi="inherit"/>
          <w:sz w:val="24"/>
          <w:szCs w:val="24"/>
        </w:rPr>
        <w:t xml:space="preserve"> </w:t>
      </w:r>
      <w:r>
        <w:rPr>
          <w:rStyle w:val="y2iqfc"/>
          <w:rFonts w:ascii="inherit" w:hAnsi="inherit"/>
          <w:sz w:val="24"/>
          <w:szCs w:val="24"/>
        </w:rPr>
        <w:t>развоју</w:t>
      </w:r>
      <w:r w:rsidR="00963857">
        <w:rPr>
          <w:rStyle w:val="y2iqfc"/>
          <w:rFonts w:ascii="inherit" w:hAnsi="inherit"/>
          <w:sz w:val="24"/>
          <w:szCs w:val="24"/>
        </w:rPr>
        <w:t xml:space="preserve"> </w:t>
      </w:r>
      <w:r>
        <w:rPr>
          <w:rStyle w:val="y2iqfc"/>
          <w:rFonts w:ascii="inherit" w:hAnsi="inherit"/>
          <w:sz w:val="24"/>
          <w:szCs w:val="24"/>
        </w:rPr>
        <w:t>и</w:t>
      </w:r>
      <w:r w:rsidR="00963857">
        <w:rPr>
          <w:rStyle w:val="y2iqfc"/>
          <w:rFonts w:ascii="inherit" w:hAnsi="inherit"/>
          <w:sz w:val="24"/>
          <w:szCs w:val="24"/>
        </w:rPr>
        <w:t xml:space="preserve"> </w:t>
      </w:r>
      <w:r>
        <w:rPr>
          <w:rStyle w:val="y2iqfc"/>
          <w:rFonts w:ascii="inherit" w:hAnsi="inherit"/>
          <w:sz w:val="24"/>
          <w:szCs w:val="24"/>
        </w:rPr>
        <w:t>пилотирању</w:t>
      </w:r>
      <w:r w:rsidR="00963857">
        <w:rPr>
          <w:rStyle w:val="y2iqfc"/>
          <w:rFonts w:ascii="inherit" w:hAnsi="inherit"/>
          <w:sz w:val="24"/>
          <w:szCs w:val="24"/>
        </w:rPr>
        <w:t xml:space="preserve"> </w:t>
      </w:r>
      <w:r>
        <w:rPr>
          <w:rStyle w:val="y2iqfc"/>
          <w:rFonts w:ascii="inherit" w:hAnsi="inherit"/>
          <w:sz w:val="24"/>
          <w:szCs w:val="24"/>
        </w:rPr>
        <w:t>модела</w:t>
      </w:r>
      <w:r w:rsidR="00963857">
        <w:rPr>
          <w:rStyle w:val="y2iqfc"/>
          <w:rFonts w:ascii="inherit" w:hAnsi="inherit"/>
          <w:sz w:val="24"/>
          <w:szCs w:val="24"/>
        </w:rPr>
        <w:t xml:space="preserve"> „</w:t>
      </w:r>
      <w:r>
        <w:rPr>
          <w:rStyle w:val="y2iqfc"/>
          <w:rFonts w:ascii="inherit" w:hAnsi="inherit"/>
          <w:sz w:val="24"/>
          <w:szCs w:val="24"/>
        </w:rPr>
        <w:t>Геронтодомаћице</w:t>
      </w:r>
      <w:r w:rsidR="0042679D" w:rsidRPr="00A8144D">
        <w:rPr>
          <w:rStyle w:val="y2iqfc"/>
          <w:rFonts w:ascii="inherit" w:hAnsi="inherit"/>
          <w:sz w:val="24"/>
          <w:szCs w:val="24"/>
        </w:rPr>
        <w:t xml:space="preserve">“. </w:t>
      </w:r>
      <w:r>
        <w:rPr>
          <w:rStyle w:val="y2iqfc"/>
          <w:rFonts w:ascii="inherit" w:hAnsi="inherit"/>
          <w:sz w:val="24"/>
          <w:szCs w:val="24"/>
        </w:rPr>
        <w:t>Овај</w:t>
      </w:r>
      <w:r w:rsidR="0042679D" w:rsidRPr="00A8144D">
        <w:rPr>
          <w:rStyle w:val="y2iqfc"/>
          <w:rFonts w:ascii="inherit" w:hAnsi="inherit"/>
          <w:sz w:val="24"/>
          <w:szCs w:val="24"/>
        </w:rPr>
        <w:t xml:space="preserve"> </w:t>
      </w:r>
      <w:r>
        <w:rPr>
          <w:rStyle w:val="y2iqfc"/>
          <w:rFonts w:ascii="inherit" w:hAnsi="inherit"/>
          <w:sz w:val="24"/>
          <w:szCs w:val="24"/>
        </w:rPr>
        <w:t>иновативни</w:t>
      </w:r>
      <w:r w:rsidR="0042679D" w:rsidRPr="00A8144D">
        <w:rPr>
          <w:rStyle w:val="y2iqfc"/>
          <w:rFonts w:ascii="inherit" w:hAnsi="inherit"/>
          <w:sz w:val="24"/>
          <w:szCs w:val="24"/>
        </w:rPr>
        <w:t xml:space="preserve"> </w:t>
      </w:r>
      <w:r>
        <w:rPr>
          <w:rStyle w:val="y2iqfc"/>
          <w:rFonts w:ascii="inherit" w:hAnsi="inherit"/>
          <w:sz w:val="24"/>
          <w:szCs w:val="24"/>
        </w:rPr>
        <w:t>приступ</w:t>
      </w:r>
      <w:r w:rsidR="0042679D" w:rsidRPr="00A8144D">
        <w:rPr>
          <w:rStyle w:val="y2iqfc"/>
          <w:rFonts w:ascii="inherit" w:hAnsi="inherit"/>
          <w:sz w:val="24"/>
          <w:szCs w:val="24"/>
        </w:rPr>
        <w:t xml:space="preserve"> </w:t>
      </w:r>
      <w:r>
        <w:rPr>
          <w:rStyle w:val="y2iqfc"/>
          <w:rFonts w:ascii="inherit" w:hAnsi="inherit"/>
          <w:sz w:val="24"/>
          <w:szCs w:val="24"/>
        </w:rPr>
        <w:t>истовремено</w:t>
      </w:r>
      <w:r w:rsidR="0042679D" w:rsidRPr="00A8144D">
        <w:rPr>
          <w:rStyle w:val="y2iqfc"/>
          <w:rFonts w:ascii="inherit" w:hAnsi="inherit"/>
          <w:sz w:val="24"/>
          <w:szCs w:val="24"/>
        </w:rPr>
        <w:t xml:space="preserve"> </w:t>
      </w:r>
      <w:r>
        <w:rPr>
          <w:rStyle w:val="y2iqfc"/>
          <w:rFonts w:ascii="inherit" w:hAnsi="inherit"/>
          <w:sz w:val="24"/>
          <w:szCs w:val="24"/>
        </w:rPr>
        <w:t>се</w:t>
      </w:r>
      <w:r w:rsidR="0042679D" w:rsidRPr="00A8144D">
        <w:rPr>
          <w:rStyle w:val="y2iqfc"/>
          <w:rFonts w:ascii="inherit" w:hAnsi="inherit"/>
          <w:sz w:val="24"/>
          <w:szCs w:val="24"/>
        </w:rPr>
        <w:t xml:space="preserve"> </w:t>
      </w:r>
      <w:r>
        <w:rPr>
          <w:rStyle w:val="y2iqfc"/>
          <w:rFonts w:ascii="inherit" w:hAnsi="inherit"/>
          <w:sz w:val="24"/>
          <w:szCs w:val="24"/>
        </w:rPr>
        <w:t>бави</w:t>
      </w:r>
      <w:r w:rsidR="0042679D" w:rsidRPr="00A8144D">
        <w:rPr>
          <w:rStyle w:val="y2iqfc"/>
          <w:rFonts w:ascii="inherit" w:hAnsi="inherit"/>
          <w:sz w:val="24"/>
          <w:szCs w:val="24"/>
        </w:rPr>
        <w:t xml:space="preserve"> </w:t>
      </w:r>
      <w:r>
        <w:rPr>
          <w:rStyle w:val="y2iqfc"/>
          <w:rFonts w:ascii="inherit" w:hAnsi="inherit"/>
          <w:sz w:val="24"/>
          <w:szCs w:val="24"/>
        </w:rPr>
        <w:t>двама</w:t>
      </w:r>
      <w:r w:rsidR="0042679D" w:rsidRPr="00A8144D">
        <w:rPr>
          <w:rStyle w:val="y2iqfc"/>
          <w:rFonts w:ascii="inherit" w:hAnsi="inherit"/>
          <w:sz w:val="24"/>
          <w:szCs w:val="24"/>
        </w:rPr>
        <w:t xml:space="preserve"> </w:t>
      </w:r>
      <w:r>
        <w:rPr>
          <w:rStyle w:val="y2iqfc"/>
          <w:rFonts w:ascii="inherit" w:hAnsi="inherit"/>
          <w:sz w:val="24"/>
          <w:szCs w:val="24"/>
        </w:rPr>
        <w:t>критичним</w:t>
      </w:r>
      <w:r w:rsidR="0042679D" w:rsidRPr="00A8144D">
        <w:rPr>
          <w:rStyle w:val="y2iqfc"/>
          <w:rFonts w:ascii="inherit" w:hAnsi="inherit"/>
          <w:sz w:val="24"/>
          <w:szCs w:val="24"/>
        </w:rPr>
        <w:t xml:space="preserve"> </w:t>
      </w:r>
      <w:r>
        <w:rPr>
          <w:rStyle w:val="y2iqfc"/>
          <w:rFonts w:ascii="inherit" w:hAnsi="inherit"/>
          <w:sz w:val="24"/>
          <w:szCs w:val="24"/>
        </w:rPr>
        <w:t>изазовима</w:t>
      </w:r>
      <w:r w:rsidR="0042679D" w:rsidRPr="00A8144D">
        <w:rPr>
          <w:rStyle w:val="y2iqfc"/>
          <w:rFonts w:ascii="inherit" w:hAnsi="inherit"/>
          <w:sz w:val="24"/>
          <w:szCs w:val="24"/>
        </w:rPr>
        <w:t xml:space="preserve">: </w:t>
      </w:r>
      <w:r>
        <w:rPr>
          <w:rStyle w:val="y2iqfc"/>
          <w:rFonts w:ascii="inherit" w:hAnsi="inherit"/>
          <w:sz w:val="24"/>
          <w:szCs w:val="24"/>
        </w:rPr>
        <w:t>потребама</w:t>
      </w:r>
      <w:r w:rsidR="0042679D" w:rsidRPr="00A8144D">
        <w:rPr>
          <w:rStyle w:val="y2iqfc"/>
          <w:rFonts w:ascii="inherit" w:hAnsi="inherit"/>
          <w:sz w:val="24"/>
          <w:szCs w:val="24"/>
        </w:rPr>
        <w:t xml:space="preserve"> </w:t>
      </w:r>
      <w:r>
        <w:rPr>
          <w:rStyle w:val="y2iqfc"/>
          <w:rFonts w:ascii="inherit" w:hAnsi="inherit"/>
          <w:sz w:val="24"/>
          <w:szCs w:val="24"/>
        </w:rPr>
        <w:t>за</w:t>
      </w:r>
      <w:r w:rsidR="0042679D" w:rsidRPr="00A8144D">
        <w:rPr>
          <w:rStyle w:val="y2iqfc"/>
          <w:rFonts w:ascii="inherit" w:hAnsi="inherit"/>
          <w:sz w:val="24"/>
          <w:szCs w:val="24"/>
        </w:rPr>
        <w:t xml:space="preserve"> </w:t>
      </w:r>
      <w:r>
        <w:rPr>
          <w:rStyle w:val="y2iqfc"/>
          <w:rFonts w:ascii="inherit" w:hAnsi="inherit"/>
          <w:sz w:val="24"/>
          <w:szCs w:val="24"/>
        </w:rPr>
        <w:t>његом</w:t>
      </w:r>
      <w:r w:rsidR="0042679D" w:rsidRPr="00A8144D">
        <w:rPr>
          <w:rStyle w:val="y2iqfc"/>
          <w:rFonts w:ascii="inherit" w:hAnsi="inherit"/>
          <w:sz w:val="24"/>
          <w:szCs w:val="24"/>
        </w:rPr>
        <w:t xml:space="preserve"> </w:t>
      </w:r>
      <w:r>
        <w:rPr>
          <w:rStyle w:val="y2iqfc"/>
          <w:rFonts w:ascii="inherit" w:hAnsi="inherit"/>
          <w:sz w:val="24"/>
          <w:szCs w:val="24"/>
        </w:rPr>
        <w:t>старијег</w:t>
      </w:r>
      <w:r w:rsidR="0042679D" w:rsidRPr="00A8144D">
        <w:rPr>
          <w:rStyle w:val="y2iqfc"/>
          <w:rFonts w:ascii="inherit" w:hAnsi="inherit"/>
          <w:sz w:val="24"/>
          <w:szCs w:val="24"/>
        </w:rPr>
        <w:t xml:space="preserve"> </w:t>
      </w:r>
      <w:r>
        <w:rPr>
          <w:rStyle w:val="y2iqfc"/>
          <w:rFonts w:ascii="inherit" w:hAnsi="inherit"/>
          <w:sz w:val="24"/>
          <w:szCs w:val="24"/>
        </w:rPr>
        <w:t>становништва</w:t>
      </w:r>
      <w:r w:rsidR="0042679D" w:rsidRPr="00A8144D">
        <w:rPr>
          <w:rStyle w:val="y2iqfc"/>
          <w:rFonts w:ascii="inherit" w:hAnsi="inherit"/>
          <w:sz w:val="24"/>
          <w:szCs w:val="24"/>
        </w:rPr>
        <w:t xml:space="preserve"> </w:t>
      </w:r>
      <w:r>
        <w:rPr>
          <w:rStyle w:val="y2iqfc"/>
          <w:rFonts w:ascii="inherit" w:hAnsi="inherit"/>
          <w:sz w:val="24"/>
          <w:szCs w:val="24"/>
        </w:rPr>
        <w:t>и</w:t>
      </w:r>
      <w:r w:rsidR="0042679D" w:rsidRPr="00A8144D">
        <w:rPr>
          <w:rStyle w:val="y2iqfc"/>
          <w:rFonts w:ascii="inherit" w:hAnsi="inherit"/>
          <w:sz w:val="24"/>
          <w:szCs w:val="24"/>
        </w:rPr>
        <w:t xml:space="preserve"> </w:t>
      </w:r>
      <w:r>
        <w:rPr>
          <w:rStyle w:val="y2iqfc"/>
          <w:rFonts w:ascii="inherit" w:hAnsi="inherit"/>
          <w:sz w:val="24"/>
          <w:szCs w:val="24"/>
        </w:rPr>
        <w:t>социо</w:t>
      </w:r>
      <w:r w:rsidR="0042679D" w:rsidRPr="00A8144D">
        <w:rPr>
          <w:rStyle w:val="y2iqfc"/>
          <w:rFonts w:ascii="inherit" w:hAnsi="inherit"/>
          <w:sz w:val="24"/>
          <w:szCs w:val="24"/>
        </w:rPr>
        <w:t>-</w:t>
      </w:r>
      <w:r>
        <w:rPr>
          <w:rStyle w:val="y2iqfc"/>
          <w:rFonts w:ascii="inherit" w:hAnsi="inherit"/>
          <w:sz w:val="24"/>
          <w:szCs w:val="24"/>
        </w:rPr>
        <w:t>економским</w:t>
      </w:r>
      <w:r w:rsidR="0042679D" w:rsidRPr="00A8144D">
        <w:rPr>
          <w:rStyle w:val="y2iqfc"/>
          <w:rFonts w:ascii="inherit" w:hAnsi="inherit"/>
          <w:sz w:val="24"/>
          <w:szCs w:val="24"/>
        </w:rPr>
        <w:t xml:space="preserve"> </w:t>
      </w:r>
      <w:r>
        <w:rPr>
          <w:rStyle w:val="y2iqfc"/>
          <w:rFonts w:ascii="inherit" w:hAnsi="inherit"/>
          <w:sz w:val="24"/>
          <w:szCs w:val="24"/>
        </w:rPr>
        <w:t>оснаживањем</w:t>
      </w:r>
      <w:r w:rsidR="0042679D" w:rsidRPr="00A8144D">
        <w:rPr>
          <w:rStyle w:val="y2iqfc"/>
          <w:rFonts w:ascii="inherit" w:hAnsi="inherit"/>
          <w:sz w:val="24"/>
          <w:szCs w:val="24"/>
        </w:rPr>
        <w:t xml:space="preserve"> </w:t>
      </w:r>
      <w:r>
        <w:rPr>
          <w:rStyle w:val="y2iqfc"/>
          <w:rFonts w:ascii="inherit" w:hAnsi="inherit"/>
          <w:sz w:val="24"/>
          <w:szCs w:val="24"/>
        </w:rPr>
        <w:t>дуготрајно</w:t>
      </w:r>
      <w:r w:rsidR="0042679D" w:rsidRPr="00A8144D">
        <w:rPr>
          <w:rStyle w:val="y2iqfc"/>
          <w:rFonts w:ascii="inherit" w:hAnsi="inherit"/>
          <w:sz w:val="24"/>
          <w:szCs w:val="24"/>
        </w:rPr>
        <w:t xml:space="preserve"> </w:t>
      </w:r>
      <w:r>
        <w:rPr>
          <w:rStyle w:val="y2iqfc"/>
          <w:rFonts w:ascii="inherit" w:hAnsi="inherit"/>
          <w:sz w:val="24"/>
          <w:szCs w:val="24"/>
        </w:rPr>
        <w:t>незапослених</w:t>
      </w:r>
      <w:r w:rsidR="0042679D" w:rsidRPr="00A8144D">
        <w:rPr>
          <w:rStyle w:val="y2iqfc"/>
          <w:rFonts w:ascii="inherit" w:hAnsi="inherit"/>
          <w:sz w:val="24"/>
          <w:szCs w:val="24"/>
        </w:rPr>
        <w:t xml:space="preserve"> </w:t>
      </w:r>
      <w:r>
        <w:rPr>
          <w:rStyle w:val="y2iqfc"/>
          <w:rFonts w:ascii="inherit" w:hAnsi="inherit"/>
          <w:sz w:val="24"/>
          <w:szCs w:val="24"/>
        </w:rPr>
        <w:t>жена</w:t>
      </w:r>
      <w:r w:rsidR="0042679D" w:rsidRPr="00A8144D">
        <w:rPr>
          <w:rStyle w:val="y2iqfc"/>
          <w:rFonts w:ascii="inherit" w:hAnsi="inherit"/>
          <w:sz w:val="24"/>
          <w:szCs w:val="24"/>
        </w:rPr>
        <w:t xml:space="preserve">. </w:t>
      </w:r>
      <w:r w:rsidR="002D5D32">
        <w:rPr>
          <w:rFonts w:ascii="Times New Roman" w:hAnsi="Times New Roman"/>
          <w:sz w:val="24"/>
          <w:szCs w:val="24"/>
          <w:lang w:val="sr-Cyrl-BA" w:eastAsia="en-GB"/>
        </w:rPr>
        <w:t>С</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циљ</w:t>
      </w:r>
      <w:r w:rsidR="002D5D32">
        <w:rPr>
          <w:rFonts w:ascii="Times New Roman" w:hAnsi="Times New Roman"/>
          <w:sz w:val="24"/>
          <w:szCs w:val="24"/>
          <w:lang w:val="sr-Cyrl-BA" w:eastAsia="en-GB"/>
        </w:rPr>
        <w:t>ем</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унапређења</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социјалних</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услуга</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и</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оснаживања</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жена</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кроз</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професионално</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оспособљавање</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израђен</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је</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Програм</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обуке</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геронтодомаћица</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за</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пружање</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услуге</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помоћи</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у</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кући</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у</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ФБиХ</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за</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побољшање</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квалитета</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социјалних</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услуга</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и</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повећање</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броја</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квалифи</w:t>
      </w:r>
      <w:r w:rsidR="002D5D32">
        <w:rPr>
          <w:rFonts w:ascii="Times New Roman" w:hAnsi="Times New Roman"/>
          <w:sz w:val="24"/>
          <w:szCs w:val="24"/>
          <w:lang w:val="sr-Cyrl-BA" w:eastAsia="en-GB"/>
        </w:rPr>
        <w:t>кованих</w:t>
      </w:r>
      <w:r w:rsidR="0042679D" w:rsidRPr="00A8144D">
        <w:rPr>
          <w:rFonts w:ascii="Times New Roman" w:hAnsi="Times New Roman"/>
          <w:sz w:val="24"/>
          <w:szCs w:val="24"/>
          <w:lang w:eastAsia="en-GB"/>
        </w:rPr>
        <w:t xml:space="preserve"> </w:t>
      </w:r>
      <w:r>
        <w:rPr>
          <w:rFonts w:ascii="Times New Roman" w:hAnsi="Times New Roman"/>
          <w:sz w:val="24"/>
          <w:szCs w:val="24"/>
          <w:lang w:eastAsia="en-GB"/>
        </w:rPr>
        <w:t>геронтодомаћица</w:t>
      </w:r>
      <w:r w:rsidR="00A8144D">
        <w:rPr>
          <w:rFonts w:ascii="Times New Roman" w:hAnsi="Times New Roman"/>
          <w:sz w:val="24"/>
          <w:szCs w:val="24"/>
          <w:lang w:eastAsia="en-GB"/>
        </w:rPr>
        <w:t xml:space="preserve"> </w:t>
      </w:r>
      <w:r>
        <w:rPr>
          <w:rFonts w:ascii="Times New Roman" w:hAnsi="Times New Roman"/>
          <w:sz w:val="24"/>
          <w:szCs w:val="24"/>
          <w:lang w:eastAsia="en-GB"/>
        </w:rPr>
        <w:t>у</w:t>
      </w:r>
      <w:r w:rsidR="00A8144D">
        <w:rPr>
          <w:rFonts w:ascii="Times New Roman" w:hAnsi="Times New Roman"/>
          <w:sz w:val="24"/>
          <w:szCs w:val="24"/>
          <w:lang w:eastAsia="en-GB"/>
        </w:rPr>
        <w:t xml:space="preserve"> </w:t>
      </w:r>
      <w:r>
        <w:rPr>
          <w:rFonts w:ascii="Times New Roman" w:hAnsi="Times New Roman"/>
          <w:sz w:val="24"/>
          <w:szCs w:val="24"/>
          <w:lang w:eastAsia="en-GB"/>
        </w:rPr>
        <w:t>ФБиХ</w:t>
      </w:r>
      <w:r w:rsidR="0042679D" w:rsidRPr="00A8144D">
        <w:rPr>
          <w:rFonts w:ascii="Times New Roman" w:hAnsi="Times New Roman"/>
          <w:sz w:val="24"/>
          <w:szCs w:val="24"/>
          <w:lang w:eastAsia="en-GB"/>
        </w:rPr>
        <w:t xml:space="preserve">. </w:t>
      </w:r>
      <w:r w:rsidR="002D5D32">
        <w:rPr>
          <w:rFonts w:ascii="Times New Roman" w:hAnsi="Times New Roman"/>
          <w:sz w:val="24"/>
          <w:szCs w:val="24"/>
          <w:lang w:eastAsia="en-GB"/>
        </w:rPr>
        <w:t>Такође</w:t>
      </w:r>
      <w:r w:rsidR="0042679D" w:rsidRPr="00A8144D">
        <w:rPr>
          <w:rFonts w:ascii="Times New Roman" w:hAnsi="Times New Roman"/>
          <w:sz w:val="24"/>
          <w:szCs w:val="24"/>
          <w:lang w:eastAsia="en-GB"/>
        </w:rPr>
        <w:t xml:space="preserve">, </w:t>
      </w:r>
      <w:r>
        <w:rPr>
          <w:rFonts w:ascii="Times New Roman" w:hAnsi="Times New Roman"/>
          <w:sz w:val="24"/>
          <w:szCs w:val="24"/>
          <w:lang w:val="sr-Cyrl-BA"/>
        </w:rPr>
        <w:t>М</w:t>
      </w:r>
      <w:r>
        <w:rPr>
          <w:rFonts w:ascii="Times New Roman" w:hAnsi="Times New Roman"/>
          <w:sz w:val="24"/>
          <w:szCs w:val="24"/>
        </w:rPr>
        <w:t>ПП</w:t>
      </w:r>
      <w:r w:rsidR="0042679D" w:rsidRPr="00A8144D">
        <w:rPr>
          <w:rFonts w:ascii="Times New Roman" w:hAnsi="Times New Roman"/>
          <w:sz w:val="24"/>
          <w:szCs w:val="24"/>
          <w:lang w:val="sr-Latn-BA"/>
        </w:rPr>
        <w:t xml:space="preserve"> </w:t>
      </w:r>
      <w:r>
        <w:rPr>
          <w:rFonts w:ascii="Times New Roman" w:hAnsi="Times New Roman"/>
          <w:sz w:val="24"/>
          <w:szCs w:val="24"/>
          <w:lang w:val="sr-Latn-BA"/>
        </w:rPr>
        <w:t>РС</w:t>
      </w:r>
      <w:r w:rsidR="0042679D" w:rsidRPr="00A8144D">
        <w:rPr>
          <w:rFonts w:ascii="Times New Roman" w:hAnsi="Times New Roman"/>
          <w:sz w:val="24"/>
          <w:szCs w:val="24"/>
          <w:lang w:val="sr-Cyrl-BA"/>
        </w:rPr>
        <w:t xml:space="preserve"> </w:t>
      </w:r>
      <w:r>
        <w:rPr>
          <w:rFonts w:ascii="Times New Roman" w:hAnsi="Times New Roman"/>
          <w:sz w:val="24"/>
          <w:szCs w:val="24"/>
          <w:lang w:val="sr-Cyrl-BA"/>
        </w:rPr>
        <w:t>је</w:t>
      </w:r>
      <w:r w:rsidR="0042679D" w:rsidRPr="00A8144D">
        <w:rPr>
          <w:rFonts w:ascii="Times New Roman" w:hAnsi="Times New Roman"/>
          <w:sz w:val="24"/>
          <w:szCs w:val="24"/>
          <w:lang w:val="sr-Cyrl-BA"/>
        </w:rPr>
        <w:t xml:space="preserve"> </w:t>
      </w:r>
      <w:r>
        <w:rPr>
          <w:rFonts w:ascii="Times New Roman" w:hAnsi="Times New Roman"/>
          <w:sz w:val="24"/>
          <w:szCs w:val="24"/>
          <w:lang w:val="sr-Latn-BA"/>
        </w:rPr>
        <w:t>израдило</w:t>
      </w:r>
      <w:r w:rsidR="00A8144D">
        <w:rPr>
          <w:rFonts w:ascii="Times New Roman" w:hAnsi="Times New Roman"/>
          <w:sz w:val="24"/>
          <w:szCs w:val="24"/>
          <w:lang w:val="sr-Cyrl-BA"/>
        </w:rPr>
        <w:t xml:space="preserve"> </w:t>
      </w:r>
      <w:r>
        <w:rPr>
          <w:rFonts w:ascii="Times New Roman" w:hAnsi="Times New Roman"/>
          <w:sz w:val="24"/>
          <w:szCs w:val="24"/>
          <w:lang w:val="sr-Cyrl-BA"/>
        </w:rPr>
        <w:t>пројект</w:t>
      </w:r>
      <w:r w:rsidR="0042679D" w:rsidRPr="00A8144D">
        <w:rPr>
          <w:rFonts w:ascii="Times New Roman" w:hAnsi="Times New Roman"/>
          <w:sz w:val="24"/>
          <w:szCs w:val="24"/>
          <w:lang w:val="sr-Cyrl-BA"/>
        </w:rPr>
        <w:t xml:space="preserve"> „</w:t>
      </w:r>
      <w:r>
        <w:rPr>
          <w:rFonts w:ascii="Times New Roman" w:hAnsi="Times New Roman"/>
          <w:sz w:val="24"/>
          <w:szCs w:val="24"/>
          <w:lang w:val="sr-Cyrl-BA"/>
        </w:rPr>
        <w:t>Геронто</w:t>
      </w:r>
      <w:r>
        <w:rPr>
          <w:rFonts w:ascii="Times New Roman" w:hAnsi="Times New Roman"/>
          <w:sz w:val="24"/>
          <w:szCs w:val="24"/>
          <w:lang w:val="hr-HR"/>
        </w:rPr>
        <w:t>домаћица</w:t>
      </w:r>
      <w:r w:rsidR="0027635B" w:rsidRPr="00A8144D">
        <w:rPr>
          <w:rFonts w:ascii="Times New Roman" w:hAnsi="Times New Roman"/>
          <w:sz w:val="24"/>
          <w:szCs w:val="24"/>
          <w:lang w:val="sr-Cyrl-BA"/>
        </w:rPr>
        <w:t xml:space="preserve">“ </w:t>
      </w:r>
      <w:r>
        <w:rPr>
          <w:rFonts w:ascii="Times New Roman" w:hAnsi="Times New Roman"/>
          <w:sz w:val="24"/>
          <w:szCs w:val="24"/>
          <w:lang w:val="sr-Cyrl-BA"/>
        </w:rPr>
        <w:t>за</w:t>
      </w:r>
      <w:r w:rsidR="0042679D" w:rsidRPr="00A8144D">
        <w:rPr>
          <w:rFonts w:ascii="Times New Roman" w:hAnsi="Times New Roman"/>
          <w:sz w:val="24"/>
          <w:szCs w:val="24"/>
          <w:lang w:val="sr-Cyrl-BA"/>
        </w:rPr>
        <w:t xml:space="preserve"> </w:t>
      </w:r>
      <w:r>
        <w:rPr>
          <w:rFonts w:ascii="Times New Roman" w:hAnsi="Times New Roman"/>
          <w:sz w:val="24"/>
          <w:szCs w:val="24"/>
          <w:lang w:val="sr-Cyrl-BA"/>
        </w:rPr>
        <w:t>финан</w:t>
      </w:r>
      <w:r>
        <w:rPr>
          <w:rFonts w:ascii="Times New Roman" w:hAnsi="Times New Roman"/>
          <w:sz w:val="24"/>
          <w:szCs w:val="24"/>
          <w:lang w:val="hr-HR"/>
        </w:rPr>
        <w:t>с</w:t>
      </w:r>
      <w:r>
        <w:rPr>
          <w:rFonts w:ascii="Times New Roman" w:hAnsi="Times New Roman"/>
          <w:sz w:val="24"/>
          <w:szCs w:val="24"/>
          <w:lang w:val="sr-Cyrl-BA"/>
        </w:rPr>
        <w:t>ирање</w:t>
      </w:r>
      <w:r w:rsidR="0042679D" w:rsidRPr="00A8144D">
        <w:rPr>
          <w:rFonts w:ascii="Times New Roman" w:hAnsi="Times New Roman"/>
          <w:sz w:val="24"/>
          <w:szCs w:val="24"/>
          <w:lang w:val="sr-Cyrl-BA"/>
        </w:rPr>
        <w:t xml:space="preserve"> </w:t>
      </w:r>
      <w:r w:rsidR="002D5D32" w:rsidRPr="002D5D32">
        <w:rPr>
          <w:rFonts w:ascii="Times New Roman" w:hAnsi="Times New Roman"/>
          <w:i/>
          <w:sz w:val="24"/>
          <w:szCs w:val="24"/>
          <w:lang w:val="sr-Latn-BA"/>
        </w:rPr>
        <w:t>UN Women</w:t>
      </w:r>
      <w:r w:rsidR="0042679D" w:rsidRPr="00A8144D">
        <w:rPr>
          <w:rFonts w:ascii="Times New Roman" w:hAnsi="Times New Roman"/>
          <w:sz w:val="24"/>
          <w:szCs w:val="24"/>
          <w:lang w:val="sr-Latn-BA"/>
        </w:rPr>
        <w:t>,</w:t>
      </w:r>
      <w:r w:rsidR="00A8144D">
        <w:rPr>
          <w:rFonts w:ascii="Times New Roman" w:hAnsi="Times New Roman"/>
          <w:sz w:val="24"/>
          <w:szCs w:val="24"/>
          <w:lang w:val="sr-Cyrl-BA"/>
        </w:rPr>
        <w:t xml:space="preserve"> </w:t>
      </w:r>
      <w:r>
        <w:rPr>
          <w:rFonts w:ascii="Times New Roman" w:hAnsi="Times New Roman"/>
          <w:sz w:val="24"/>
          <w:szCs w:val="24"/>
          <w:lang w:val="sr-Cyrl-BA"/>
        </w:rPr>
        <w:t>који</w:t>
      </w:r>
      <w:r w:rsidR="00A8144D">
        <w:rPr>
          <w:rFonts w:ascii="Times New Roman" w:hAnsi="Times New Roman"/>
          <w:sz w:val="24"/>
          <w:szCs w:val="24"/>
          <w:lang w:val="sr-Cyrl-BA"/>
        </w:rPr>
        <w:t xml:space="preserve"> </w:t>
      </w:r>
      <w:r>
        <w:rPr>
          <w:rFonts w:ascii="Times New Roman" w:hAnsi="Times New Roman"/>
          <w:sz w:val="24"/>
          <w:szCs w:val="24"/>
          <w:lang w:val="sr-Cyrl-BA"/>
        </w:rPr>
        <w:t>би</w:t>
      </w:r>
      <w:r w:rsidR="00A8144D">
        <w:rPr>
          <w:rFonts w:ascii="Times New Roman" w:hAnsi="Times New Roman"/>
          <w:sz w:val="24"/>
          <w:szCs w:val="24"/>
          <w:lang w:val="sr-Cyrl-BA"/>
        </w:rPr>
        <w:t xml:space="preserve"> </w:t>
      </w:r>
      <w:r>
        <w:rPr>
          <w:rFonts w:ascii="Times New Roman" w:hAnsi="Times New Roman"/>
          <w:sz w:val="24"/>
          <w:szCs w:val="24"/>
          <w:lang w:val="sr-Cyrl-BA"/>
        </w:rPr>
        <w:t>као</w:t>
      </w:r>
      <w:r w:rsidR="00A8144D">
        <w:rPr>
          <w:rFonts w:ascii="Times New Roman" w:hAnsi="Times New Roman"/>
          <w:sz w:val="24"/>
          <w:szCs w:val="24"/>
          <w:lang w:val="sr-Cyrl-BA"/>
        </w:rPr>
        <w:t xml:space="preserve"> </w:t>
      </w:r>
      <w:r>
        <w:rPr>
          <w:rFonts w:ascii="Times New Roman" w:hAnsi="Times New Roman"/>
          <w:sz w:val="24"/>
          <w:szCs w:val="24"/>
          <w:lang w:val="sr-Cyrl-BA"/>
        </w:rPr>
        <w:t>пилот</w:t>
      </w:r>
      <w:r w:rsidR="00A8144D">
        <w:rPr>
          <w:rFonts w:ascii="Times New Roman" w:hAnsi="Times New Roman"/>
          <w:sz w:val="24"/>
          <w:szCs w:val="24"/>
          <w:lang w:val="sr-Cyrl-BA"/>
        </w:rPr>
        <w:t xml:space="preserve"> </w:t>
      </w:r>
      <w:r>
        <w:rPr>
          <w:rFonts w:ascii="Times New Roman" w:hAnsi="Times New Roman"/>
          <w:sz w:val="24"/>
          <w:szCs w:val="24"/>
          <w:lang w:val="sr-Cyrl-BA"/>
        </w:rPr>
        <w:t>пројек</w:t>
      </w:r>
      <w:r w:rsidR="002D5D32">
        <w:rPr>
          <w:rFonts w:ascii="Times New Roman" w:hAnsi="Times New Roman"/>
          <w:sz w:val="24"/>
          <w:szCs w:val="24"/>
          <w:lang w:val="sr-Cyrl-BA"/>
        </w:rPr>
        <w:t>а</w:t>
      </w:r>
      <w:r>
        <w:rPr>
          <w:rFonts w:ascii="Times New Roman" w:hAnsi="Times New Roman"/>
          <w:sz w:val="24"/>
          <w:szCs w:val="24"/>
          <w:lang w:val="sr-Cyrl-BA"/>
        </w:rPr>
        <w:t>т</w:t>
      </w:r>
      <w:r w:rsidR="0042679D" w:rsidRPr="00A8144D">
        <w:rPr>
          <w:rFonts w:ascii="Times New Roman" w:hAnsi="Times New Roman"/>
          <w:sz w:val="24"/>
          <w:szCs w:val="24"/>
          <w:lang w:val="sr-Cyrl-BA"/>
        </w:rPr>
        <w:t xml:space="preserve"> </w:t>
      </w:r>
      <w:r>
        <w:rPr>
          <w:rFonts w:ascii="Times New Roman" w:hAnsi="Times New Roman"/>
          <w:sz w:val="24"/>
          <w:szCs w:val="24"/>
          <w:lang w:val="sr-Cyrl-BA"/>
        </w:rPr>
        <w:t>реализ</w:t>
      </w:r>
      <w:r w:rsidR="002D5D32">
        <w:rPr>
          <w:rFonts w:ascii="Times New Roman" w:hAnsi="Times New Roman"/>
          <w:sz w:val="24"/>
          <w:szCs w:val="24"/>
          <w:lang w:val="sr-Cyrl-BA"/>
        </w:rPr>
        <w:t>овала</w:t>
      </w:r>
      <w:r w:rsidR="0042679D" w:rsidRPr="00A8144D">
        <w:rPr>
          <w:rFonts w:ascii="Times New Roman" w:hAnsi="Times New Roman"/>
          <w:sz w:val="24"/>
          <w:szCs w:val="24"/>
          <w:lang w:val="sr-Cyrl-BA"/>
        </w:rPr>
        <w:t xml:space="preserve"> </w:t>
      </w:r>
      <w:r>
        <w:rPr>
          <w:rFonts w:ascii="Times New Roman" w:hAnsi="Times New Roman"/>
          <w:sz w:val="24"/>
          <w:szCs w:val="24"/>
          <w:lang w:val="sr-Cyrl-BA"/>
        </w:rPr>
        <w:t>Фондација</w:t>
      </w:r>
      <w:r w:rsidR="0042679D" w:rsidRPr="00A8144D">
        <w:rPr>
          <w:rFonts w:ascii="Times New Roman" w:hAnsi="Times New Roman"/>
          <w:sz w:val="24"/>
          <w:szCs w:val="24"/>
          <w:lang w:val="sr-Cyrl-BA"/>
        </w:rPr>
        <w:t xml:space="preserve"> „</w:t>
      </w:r>
      <w:r>
        <w:rPr>
          <w:rFonts w:ascii="Times New Roman" w:hAnsi="Times New Roman"/>
          <w:sz w:val="24"/>
          <w:szCs w:val="24"/>
          <w:lang w:val="sr-Cyrl-BA"/>
        </w:rPr>
        <w:t>Лара</w:t>
      </w:r>
      <w:r w:rsidR="0042679D" w:rsidRPr="00A8144D">
        <w:rPr>
          <w:rFonts w:ascii="Times New Roman" w:hAnsi="Times New Roman"/>
          <w:sz w:val="24"/>
          <w:szCs w:val="24"/>
          <w:lang w:val="sr-Cyrl-BA"/>
        </w:rPr>
        <w:t xml:space="preserve">“ </w:t>
      </w:r>
      <w:r>
        <w:rPr>
          <w:rFonts w:ascii="Times New Roman" w:hAnsi="Times New Roman"/>
          <w:sz w:val="24"/>
          <w:szCs w:val="24"/>
          <w:lang w:val="sr-Cyrl-BA"/>
        </w:rPr>
        <w:t>Бијељина</w:t>
      </w:r>
      <w:r w:rsidR="0042679D" w:rsidRPr="00A8144D">
        <w:rPr>
          <w:rFonts w:ascii="Times New Roman" w:hAnsi="Times New Roman"/>
          <w:sz w:val="24"/>
          <w:szCs w:val="24"/>
          <w:lang w:val="sr-Cyrl-BA"/>
        </w:rPr>
        <w:t>.</w:t>
      </w:r>
      <w:r w:rsidR="0042679D" w:rsidRPr="00A8144D">
        <w:rPr>
          <w:rFonts w:ascii="Times New Roman" w:hAnsi="Times New Roman"/>
          <w:sz w:val="24"/>
          <w:szCs w:val="24"/>
        </w:rPr>
        <w:t xml:space="preserve"> </w:t>
      </w:r>
    </w:p>
    <w:p w:rsidR="0042679D" w:rsidRPr="00295637" w:rsidRDefault="0042679D" w:rsidP="0086268D">
      <w:pPr>
        <w:pStyle w:val="NormalWeb"/>
        <w:spacing w:before="0" w:beforeAutospacing="0" w:after="0" w:afterAutospacing="0"/>
        <w:ind w:left="720"/>
        <w:jc w:val="both"/>
        <w:rPr>
          <w:lang w:val="bs-Latn-BA"/>
        </w:rPr>
      </w:pPr>
    </w:p>
    <w:p w:rsidR="0042679D" w:rsidRPr="00295637" w:rsidRDefault="00C6214E" w:rsidP="0086268D">
      <w:pPr>
        <w:pStyle w:val="NormalWeb"/>
        <w:numPr>
          <w:ilvl w:val="0"/>
          <w:numId w:val="17"/>
        </w:numPr>
        <w:spacing w:before="0" w:beforeAutospacing="0" w:after="0" w:afterAutospacing="0"/>
        <w:jc w:val="both"/>
        <w:rPr>
          <w:lang w:val="bs-Latn-BA"/>
        </w:rPr>
      </w:pPr>
      <w:r>
        <w:rPr>
          <w:lang w:val="bs-Latn-BA"/>
        </w:rPr>
        <w:t>Законским</w:t>
      </w:r>
      <w:r w:rsidR="0042679D" w:rsidRPr="00295637">
        <w:rPr>
          <w:lang w:val="bs-Latn-BA"/>
        </w:rPr>
        <w:t xml:space="preserve"> </w:t>
      </w:r>
      <w:r>
        <w:rPr>
          <w:lang w:val="bs-Latn-BA"/>
        </w:rPr>
        <w:t>измјенама</w:t>
      </w:r>
      <w:r w:rsidR="0042679D" w:rsidRPr="00295637">
        <w:rPr>
          <w:lang w:val="bs-Latn-BA"/>
        </w:rPr>
        <w:t xml:space="preserve"> </w:t>
      </w:r>
      <w:r>
        <w:rPr>
          <w:lang w:val="bs-Latn-BA"/>
        </w:rPr>
        <w:t>у</w:t>
      </w:r>
      <w:r w:rsidR="0042679D" w:rsidRPr="00295637">
        <w:rPr>
          <w:lang w:val="bs-Latn-BA"/>
        </w:rPr>
        <w:t xml:space="preserve"> </w:t>
      </w:r>
      <w:r>
        <w:rPr>
          <w:lang w:val="bs-Latn-BA"/>
        </w:rPr>
        <w:t>ФБиХ</w:t>
      </w:r>
      <w:r w:rsidR="0042679D" w:rsidRPr="00295637">
        <w:rPr>
          <w:lang w:val="bs-Latn-BA"/>
        </w:rPr>
        <w:t xml:space="preserve"> </w:t>
      </w:r>
      <w:r>
        <w:rPr>
          <w:lang w:val="bs-Latn-BA"/>
        </w:rPr>
        <w:t>проширене</w:t>
      </w:r>
      <w:r w:rsidR="0042679D" w:rsidRPr="00295637">
        <w:rPr>
          <w:lang w:val="bs-Latn-BA"/>
        </w:rPr>
        <w:t xml:space="preserve"> </w:t>
      </w:r>
      <w:r>
        <w:rPr>
          <w:lang w:val="bs-Latn-BA"/>
        </w:rPr>
        <w:t>су</w:t>
      </w:r>
      <w:r w:rsidR="0042679D" w:rsidRPr="00295637">
        <w:rPr>
          <w:lang w:val="bs-Latn-BA"/>
        </w:rPr>
        <w:t xml:space="preserve"> </w:t>
      </w:r>
      <w:r>
        <w:rPr>
          <w:lang w:val="bs-Latn-BA"/>
        </w:rPr>
        <w:t>категорије</w:t>
      </w:r>
      <w:r w:rsidR="0042679D" w:rsidRPr="00295637">
        <w:rPr>
          <w:lang w:val="bs-Latn-BA"/>
        </w:rPr>
        <w:t xml:space="preserve"> </w:t>
      </w:r>
      <w:r w:rsidR="002D5D32">
        <w:rPr>
          <w:lang w:val="sr-Cyrl-BA"/>
        </w:rPr>
        <w:t>лица</w:t>
      </w:r>
      <w:r w:rsidR="0042679D" w:rsidRPr="00295637">
        <w:rPr>
          <w:lang w:val="bs-Latn-BA"/>
        </w:rPr>
        <w:t xml:space="preserve"> </w:t>
      </w:r>
      <w:r>
        <w:rPr>
          <w:lang w:val="bs-Latn-BA"/>
        </w:rPr>
        <w:t>кој</w:t>
      </w:r>
      <w:r w:rsidR="002D5D32">
        <w:rPr>
          <w:lang w:val="sr-Cyrl-BA"/>
        </w:rPr>
        <w:t>а</w:t>
      </w:r>
      <w:r w:rsidR="0042679D" w:rsidRPr="00295637">
        <w:rPr>
          <w:lang w:val="bs-Latn-BA"/>
        </w:rPr>
        <w:t xml:space="preserve"> </w:t>
      </w:r>
      <w:r>
        <w:rPr>
          <w:lang w:val="bs-Latn-BA"/>
        </w:rPr>
        <w:t>могу</w:t>
      </w:r>
      <w:r w:rsidR="0042679D" w:rsidRPr="00295637">
        <w:rPr>
          <w:lang w:val="bs-Latn-BA"/>
        </w:rPr>
        <w:t xml:space="preserve"> </w:t>
      </w:r>
      <w:r>
        <w:rPr>
          <w:lang w:val="bs-Latn-BA"/>
        </w:rPr>
        <w:t>остварити</w:t>
      </w:r>
      <w:r w:rsidR="0042679D" w:rsidRPr="00295637">
        <w:rPr>
          <w:lang w:val="bs-Latn-BA"/>
        </w:rPr>
        <w:t xml:space="preserve"> </w:t>
      </w:r>
      <w:r>
        <w:rPr>
          <w:lang w:val="bs-Latn-BA"/>
        </w:rPr>
        <w:t>статус</w:t>
      </w:r>
      <w:r w:rsidR="0042679D" w:rsidRPr="00295637">
        <w:rPr>
          <w:lang w:val="bs-Latn-BA"/>
        </w:rPr>
        <w:t xml:space="preserve"> </w:t>
      </w:r>
      <w:r>
        <w:rPr>
          <w:lang w:val="bs-Latn-BA"/>
        </w:rPr>
        <w:t>родитеља</w:t>
      </w:r>
      <w:r w:rsidR="0042679D" w:rsidRPr="00295637">
        <w:rPr>
          <w:lang w:val="bs-Latn-BA"/>
        </w:rPr>
        <w:t>-</w:t>
      </w:r>
      <w:r>
        <w:rPr>
          <w:lang w:val="bs-Latn-BA"/>
        </w:rPr>
        <w:t>његоватеља</w:t>
      </w:r>
      <w:r w:rsidR="0042679D" w:rsidRPr="00295637">
        <w:rPr>
          <w:lang w:val="bs-Latn-BA"/>
        </w:rPr>
        <w:t xml:space="preserve">, </w:t>
      </w:r>
      <w:r>
        <w:rPr>
          <w:lang w:val="bs-Latn-BA"/>
        </w:rPr>
        <w:t>а</w:t>
      </w:r>
      <w:r w:rsidR="0042679D" w:rsidRPr="00295637">
        <w:rPr>
          <w:lang w:val="bs-Latn-BA"/>
        </w:rPr>
        <w:t xml:space="preserve"> </w:t>
      </w:r>
      <w:r>
        <w:rPr>
          <w:lang w:val="bs-Latn-BA"/>
        </w:rPr>
        <w:t>укинута</w:t>
      </w:r>
      <w:r w:rsidR="0042679D" w:rsidRPr="00295637">
        <w:rPr>
          <w:lang w:val="bs-Latn-BA"/>
        </w:rPr>
        <w:t xml:space="preserve"> </w:t>
      </w:r>
      <w:r>
        <w:rPr>
          <w:lang w:val="bs-Latn-BA"/>
        </w:rPr>
        <w:t>су</w:t>
      </w:r>
      <w:r w:rsidR="0042679D" w:rsidRPr="00295637">
        <w:rPr>
          <w:lang w:val="bs-Latn-BA"/>
        </w:rPr>
        <w:t xml:space="preserve"> </w:t>
      </w:r>
      <w:r>
        <w:rPr>
          <w:lang w:val="bs-Latn-BA"/>
        </w:rPr>
        <w:t>ограничења</w:t>
      </w:r>
      <w:r w:rsidR="0042679D" w:rsidRPr="00295637">
        <w:rPr>
          <w:lang w:val="bs-Latn-BA"/>
        </w:rPr>
        <w:t xml:space="preserve"> </w:t>
      </w:r>
      <w:r>
        <w:rPr>
          <w:lang w:val="bs-Latn-BA"/>
        </w:rPr>
        <w:t>у</w:t>
      </w:r>
      <w:r w:rsidR="00EA6159">
        <w:rPr>
          <w:lang w:val="bs-Latn-BA"/>
        </w:rPr>
        <w:t xml:space="preserve"> </w:t>
      </w:r>
      <w:r>
        <w:rPr>
          <w:lang w:val="bs-Latn-BA"/>
        </w:rPr>
        <w:t>вези</w:t>
      </w:r>
      <w:r w:rsidR="00EA6159">
        <w:rPr>
          <w:lang w:val="bs-Latn-BA"/>
        </w:rPr>
        <w:t xml:space="preserve"> </w:t>
      </w:r>
      <w:r>
        <w:rPr>
          <w:lang w:val="bs-Latn-BA"/>
        </w:rPr>
        <w:t>са</w:t>
      </w:r>
      <w:r w:rsidR="0042679D" w:rsidRPr="00295637">
        <w:rPr>
          <w:lang w:val="bs-Latn-BA"/>
        </w:rPr>
        <w:t xml:space="preserve"> </w:t>
      </w:r>
      <w:r>
        <w:rPr>
          <w:lang w:val="bs-Latn-BA"/>
        </w:rPr>
        <w:t>боравком</w:t>
      </w:r>
      <w:r w:rsidR="0042679D" w:rsidRPr="00295637">
        <w:rPr>
          <w:lang w:val="bs-Latn-BA"/>
        </w:rPr>
        <w:t xml:space="preserve"> </w:t>
      </w:r>
      <w:r>
        <w:rPr>
          <w:lang w:val="bs-Latn-BA"/>
        </w:rPr>
        <w:t>дјеце</w:t>
      </w:r>
      <w:r w:rsidR="0042679D" w:rsidRPr="00295637">
        <w:rPr>
          <w:lang w:val="bs-Latn-BA"/>
        </w:rPr>
        <w:t xml:space="preserve"> </w:t>
      </w:r>
      <w:r>
        <w:rPr>
          <w:lang w:val="bs-Latn-BA"/>
        </w:rPr>
        <w:t>у</w:t>
      </w:r>
      <w:r w:rsidR="0042679D" w:rsidRPr="00295637">
        <w:rPr>
          <w:lang w:val="bs-Latn-BA"/>
        </w:rPr>
        <w:t xml:space="preserve"> </w:t>
      </w:r>
      <w:r>
        <w:rPr>
          <w:lang w:val="bs-Latn-BA"/>
        </w:rPr>
        <w:t>установама</w:t>
      </w:r>
      <w:r w:rsidR="0042679D" w:rsidRPr="00295637">
        <w:rPr>
          <w:lang w:val="bs-Latn-BA"/>
        </w:rPr>
        <w:t xml:space="preserve">. </w:t>
      </w:r>
      <w:r>
        <w:rPr>
          <w:lang w:val="bs-Latn-BA"/>
        </w:rPr>
        <w:t>Истовремено</w:t>
      </w:r>
      <w:r w:rsidR="0042679D" w:rsidRPr="00295637">
        <w:rPr>
          <w:lang w:val="bs-Latn-BA"/>
        </w:rPr>
        <w:t xml:space="preserve">, </w:t>
      </w:r>
      <w:r>
        <w:rPr>
          <w:lang w:val="bs-Latn-BA"/>
        </w:rPr>
        <w:t>повећана</w:t>
      </w:r>
      <w:r w:rsidR="0042679D" w:rsidRPr="00295637">
        <w:rPr>
          <w:lang w:val="bs-Latn-BA"/>
        </w:rPr>
        <w:t xml:space="preserve"> </w:t>
      </w:r>
      <w:r>
        <w:rPr>
          <w:lang w:val="bs-Latn-BA"/>
        </w:rPr>
        <w:t>је</w:t>
      </w:r>
      <w:r w:rsidR="0042679D" w:rsidRPr="00295637">
        <w:rPr>
          <w:lang w:val="bs-Latn-BA"/>
        </w:rPr>
        <w:t xml:space="preserve"> </w:t>
      </w:r>
      <w:r>
        <w:rPr>
          <w:lang w:val="bs-Latn-BA"/>
        </w:rPr>
        <w:t>накнада</w:t>
      </w:r>
      <w:r w:rsidR="0042679D" w:rsidRPr="00295637">
        <w:rPr>
          <w:lang w:val="bs-Latn-BA"/>
        </w:rPr>
        <w:t xml:space="preserve"> </w:t>
      </w:r>
      <w:r>
        <w:rPr>
          <w:lang w:val="bs-Latn-BA"/>
        </w:rPr>
        <w:t>како</w:t>
      </w:r>
      <w:r w:rsidR="0042679D" w:rsidRPr="00295637">
        <w:rPr>
          <w:lang w:val="bs-Latn-BA"/>
        </w:rPr>
        <w:t xml:space="preserve"> </w:t>
      </w:r>
      <w:r>
        <w:rPr>
          <w:lang w:val="bs-Latn-BA"/>
        </w:rPr>
        <w:t>би</w:t>
      </w:r>
      <w:r w:rsidR="0042679D" w:rsidRPr="00295637">
        <w:rPr>
          <w:lang w:val="bs-Latn-BA"/>
        </w:rPr>
        <w:t xml:space="preserve"> </w:t>
      </w:r>
      <w:r>
        <w:rPr>
          <w:lang w:val="bs-Latn-BA"/>
        </w:rPr>
        <w:t>била</w:t>
      </w:r>
      <w:r w:rsidR="0042679D" w:rsidRPr="00295637">
        <w:rPr>
          <w:lang w:val="bs-Latn-BA"/>
        </w:rPr>
        <w:t xml:space="preserve"> </w:t>
      </w:r>
      <w:r>
        <w:rPr>
          <w:lang w:val="bs-Latn-BA"/>
        </w:rPr>
        <w:t>усклађена</w:t>
      </w:r>
      <w:r w:rsidR="0042679D" w:rsidRPr="00295637">
        <w:rPr>
          <w:lang w:val="bs-Latn-BA"/>
        </w:rPr>
        <w:t xml:space="preserve"> </w:t>
      </w:r>
      <w:r>
        <w:rPr>
          <w:lang w:val="bs-Latn-BA"/>
        </w:rPr>
        <w:t>са</w:t>
      </w:r>
      <w:r w:rsidR="0042679D" w:rsidRPr="00295637">
        <w:rPr>
          <w:lang w:val="bs-Latn-BA"/>
        </w:rPr>
        <w:t xml:space="preserve"> </w:t>
      </w:r>
      <w:r>
        <w:rPr>
          <w:lang w:val="bs-Latn-BA"/>
        </w:rPr>
        <w:t>реалним</w:t>
      </w:r>
      <w:r w:rsidR="0042679D" w:rsidRPr="00295637">
        <w:rPr>
          <w:lang w:val="bs-Latn-BA"/>
        </w:rPr>
        <w:t xml:space="preserve"> </w:t>
      </w:r>
      <w:r>
        <w:rPr>
          <w:lang w:val="bs-Latn-BA"/>
        </w:rPr>
        <w:t>трошковима</w:t>
      </w:r>
      <w:r w:rsidR="0042679D" w:rsidRPr="00295637">
        <w:rPr>
          <w:lang w:val="bs-Latn-BA"/>
        </w:rPr>
        <w:t xml:space="preserve"> </w:t>
      </w:r>
      <w:r>
        <w:rPr>
          <w:lang w:val="bs-Latn-BA"/>
        </w:rPr>
        <w:t>живота</w:t>
      </w:r>
      <w:r w:rsidR="0042679D">
        <w:rPr>
          <w:lang w:val="bs-Latn-BA"/>
        </w:rPr>
        <w:t>,</w:t>
      </w:r>
      <w:r w:rsidR="0042679D" w:rsidRPr="00295637">
        <w:rPr>
          <w:lang w:val="bs-Latn-BA"/>
        </w:rPr>
        <w:t xml:space="preserve"> </w:t>
      </w:r>
      <w:r>
        <w:rPr>
          <w:lang w:val="bs-Latn-BA"/>
        </w:rPr>
        <w:t>а</w:t>
      </w:r>
      <w:r w:rsidR="0042679D" w:rsidRPr="00295637">
        <w:rPr>
          <w:lang w:val="bs-Latn-BA"/>
        </w:rPr>
        <w:t xml:space="preserve"> </w:t>
      </w:r>
      <w:r>
        <w:rPr>
          <w:lang w:val="bs-Latn-BA"/>
        </w:rPr>
        <w:t>усвојен</w:t>
      </w:r>
      <w:r w:rsidR="0042679D" w:rsidRPr="00295637">
        <w:rPr>
          <w:lang w:val="bs-Latn-BA"/>
        </w:rPr>
        <w:t xml:space="preserve"> </w:t>
      </w:r>
      <w:r>
        <w:rPr>
          <w:lang w:val="bs-Latn-BA"/>
        </w:rPr>
        <w:t>је</w:t>
      </w:r>
      <w:r w:rsidR="0042679D" w:rsidRPr="00295637">
        <w:rPr>
          <w:lang w:val="bs-Latn-BA"/>
        </w:rPr>
        <w:t xml:space="preserve"> </w:t>
      </w:r>
      <w:r>
        <w:rPr>
          <w:lang w:val="bs-Latn-BA"/>
        </w:rPr>
        <w:t>и</w:t>
      </w:r>
      <w:r w:rsidR="0042679D" w:rsidRPr="00295637">
        <w:rPr>
          <w:lang w:val="bs-Latn-BA"/>
        </w:rPr>
        <w:t xml:space="preserve"> </w:t>
      </w:r>
      <w:r>
        <w:rPr>
          <w:rStyle w:val="Strong"/>
          <w:b w:val="0"/>
          <w:lang w:val="bs-Latn-BA"/>
        </w:rPr>
        <w:t>Закон</w:t>
      </w:r>
      <w:r w:rsidR="0042679D" w:rsidRPr="00295637">
        <w:rPr>
          <w:rStyle w:val="Strong"/>
          <w:b w:val="0"/>
          <w:lang w:val="bs-Latn-BA"/>
        </w:rPr>
        <w:t xml:space="preserve"> </w:t>
      </w:r>
      <w:r>
        <w:rPr>
          <w:rStyle w:val="Strong"/>
          <w:b w:val="0"/>
          <w:lang w:val="bs-Latn-BA"/>
        </w:rPr>
        <w:t>о</w:t>
      </w:r>
      <w:r w:rsidR="0042679D" w:rsidRPr="00295637">
        <w:rPr>
          <w:rStyle w:val="Strong"/>
          <w:b w:val="0"/>
          <w:lang w:val="bs-Latn-BA"/>
        </w:rPr>
        <w:t xml:space="preserve"> </w:t>
      </w:r>
      <w:r>
        <w:rPr>
          <w:rStyle w:val="Strong"/>
          <w:b w:val="0"/>
          <w:lang w:val="bs-Latn-BA"/>
        </w:rPr>
        <w:t>измјенама</w:t>
      </w:r>
      <w:r w:rsidR="0042679D" w:rsidRPr="00295637">
        <w:rPr>
          <w:rStyle w:val="Strong"/>
          <w:b w:val="0"/>
          <w:lang w:val="bs-Latn-BA"/>
        </w:rPr>
        <w:t xml:space="preserve"> </w:t>
      </w:r>
      <w:r>
        <w:rPr>
          <w:rStyle w:val="Strong"/>
          <w:b w:val="0"/>
          <w:lang w:val="bs-Latn-BA"/>
        </w:rPr>
        <w:t>и</w:t>
      </w:r>
      <w:r w:rsidR="0042679D" w:rsidRPr="00295637">
        <w:rPr>
          <w:rStyle w:val="Strong"/>
          <w:b w:val="0"/>
          <w:lang w:val="bs-Latn-BA"/>
        </w:rPr>
        <w:t xml:space="preserve"> </w:t>
      </w:r>
      <w:r>
        <w:rPr>
          <w:rStyle w:val="Strong"/>
          <w:b w:val="0"/>
          <w:lang w:val="bs-Latn-BA"/>
        </w:rPr>
        <w:t>допунама</w:t>
      </w:r>
      <w:r w:rsidR="0042679D" w:rsidRPr="00295637">
        <w:rPr>
          <w:rStyle w:val="Strong"/>
          <w:b w:val="0"/>
          <w:lang w:val="bs-Latn-BA"/>
        </w:rPr>
        <w:t xml:space="preserve"> </w:t>
      </w:r>
      <w:r>
        <w:rPr>
          <w:rStyle w:val="Strong"/>
          <w:b w:val="0"/>
          <w:lang w:val="bs-Latn-BA"/>
        </w:rPr>
        <w:t>Закона</w:t>
      </w:r>
      <w:r w:rsidR="0042679D" w:rsidRPr="00295637">
        <w:rPr>
          <w:rStyle w:val="Strong"/>
          <w:b w:val="0"/>
          <w:lang w:val="bs-Latn-BA"/>
        </w:rPr>
        <w:t xml:space="preserve"> </w:t>
      </w:r>
      <w:r>
        <w:rPr>
          <w:rStyle w:val="Strong"/>
          <w:b w:val="0"/>
          <w:lang w:val="bs-Latn-BA"/>
        </w:rPr>
        <w:t>о</w:t>
      </w:r>
      <w:r w:rsidR="0042679D" w:rsidRPr="00295637">
        <w:rPr>
          <w:rStyle w:val="Strong"/>
          <w:b w:val="0"/>
          <w:lang w:val="bs-Latn-BA"/>
        </w:rPr>
        <w:t xml:space="preserve"> </w:t>
      </w:r>
      <w:r>
        <w:rPr>
          <w:rStyle w:val="Strong"/>
          <w:b w:val="0"/>
          <w:lang w:val="bs-Latn-BA"/>
        </w:rPr>
        <w:t>материјалној</w:t>
      </w:r>
      <w:r w:rsidR="0042679D" w:rsidRPr="00295637">
        <w:rPr>
          <w:rStyle w:val="Strong"/>
          <w:b w:val="0"/>
          <w:lang w:val="bs-Latn-BA"/>
        </w:rPr>
        <w:t xml:space="preserve"> </w:t>
      </w:r>
      <w:r>
        <w:rPr>
          <w:rStyle w:val="Strong"/>
          <w:b w:val="0"/>
          <w:lang w:val="bs-Latn-BA"/>
        </w:rPr>
        <w:t>подршци</w:t>
      </w:r>
      <w:r w:rsidR="0042679D" w:rsidRPr="00295637">
        <w:rPr>
          <w:rStyle w:val="Strong"/>
          <w:b w:val="0"/>
          <w:lang w:val="bs-Latn-BA"/>
        </w:rPr>
        <w:t xml:space="preserve"> </w:t>
      </w:r>
      <w:r>
        <w:rPr>
          <w:rStyle w:val="Strong"/>
          <w:b w:val="0"/>
          <w:lang w:val="bs-Latn-BA"/>
        </w:rPr>
        <w:t>породицама</w:t>
      </w:r>
      <w:r w:rsidR="0042679D" w:rsidRPr="00295637">
        <w:rPr>
          <w:rStyle w:val="Strong"/>
          <w:b w:val="0"/>
          <w:lang w:val="bs-Latn-BA"/>
        </w:rPr>
        <w:t xml:space="preserve"> </w:t>
      </w:r>
      <w:r>
        <w:rPr>
          <w:rStyle w:val="Strong"/>
          <w:b w:val="0"/>
          <w:lang w:val="bs-Latn-BA"/>
        </w:rPr>
        <w:t>са</w:t>
      </w:r>
      <w:r w:rsidR="0042679D" w:rsidRPr="00295637">
        <w:rPr>
          <w:rStyle w:val="Strong"/>
          <w:b w:val="0"/>
          <w:lang w:val="bs-Latn-BA"/>
        </w:rPr>
        <w:t xml:space="preserve"> </w:t>
      </w:r>
      <w:r>
        <w:rPr>
          <w:rStyle w:val="Strong"/>
          <w:b w:val="0"/>
          <w:lang w:val="bs-Latn-BA"/>
        </w:rPr>
        <w:t>дјецом</w:t>
      </w:r>
      <w:r w:rsidR="0042679D" w:rsidRPr="00295637">
        <w:rPr>
          <w:rStyle w:val="Strong"/>
          <w:b w:val="0"/>
          <w:lang w:val="bs-Latn-BA"/>
        </w:rPr>
        <w:t xml:space="preserve"> </w:t>
      </w:r>
      <w:r>
        <w:rPr>
          <w:rStyle w:val="Strong"/>
          <w:b w:val="0"/>
          <w:lang w:val="bs-Latn-BA"/>
        </w:rPr>
        <w:t>у</w:t>
      </w:r>
      <w:r w:rsidR="0042679D" w:rsidRPr="00295637">
        <w:rPr>
          <w:rStyle w:val="Strong"/>
          <w:b w:val="0"/>
          <w:lang w:val="bs-Latn-BA"/>
        </w:rPr>
        <w:t xml:space="preserve"> </w:t>
      </w:r>
      <w:r>
        <w:rPr>
          <w:rStyle w:val="Strong"/>
          <w:b w:val="0"/>
          <w:lang w:val="bs-Latn-BA"/>
        </w:rPr>
        <w:t>ФБиХ</w:t>
      </w:r>
      <w:r w:rsidR="0042679D" w:rsidRPr="00295637">
        <w:rPr>
          <w:lang w:val="bs-Latn-BA"/>
        </w:rPr>
        <w:t xml:space="preserve">, </w:t>
      </w:r>
      <w:r>
        <w:rPr>
          <w:lang w:val="bs-Latn-BA"/>
        </w:rPr>
        <w:t>чиме</w:t>
      </w:r>
      <w:r w:rsidR="0042679D" w:rsidRPr="00295637">
        <w:rPr>
          <w:lang w:val="bs-Latn-BA"/>
        </w:rPr>
        <w:t xml:space="preserve"> </w:t>
      </w:r>
      <w:r>
        <w:rPr>
          <w:lang w:val="bs-Latn-BA"/>
        </w:rPr>
        <w:t>је</w:t>
      </w:r>
      <w:r w:rsidR="0042679D" w:rsidRPr="00295637">
        <w:rPr>
          <w:lang w:val="bs-Latn-BA"/>
        </w:rPr>
        <w:t xml:space="preserve"> </w:t>
      </w:r>
      <w:r>
        <w:rPr>
          <w:lang w:val="bs-Latn-BA"/>
        </w:rPr>
        <w:t>унапријеђено</w:t>
      </w:r>
      <w:r w:rsidR="0042679D" w:rsidRPr="00295637">
        <w:rPr>
          <w:lang w:val="bs-Latn-BA"/>
        </w:rPr>
        <w:t xml:space="preserve"> </w:t>
      </w:r>
      <w:r>
        <w:rPr>
          <w:lang w:val="bs-Latn-BA"/>
        </w:rPr>
        <w:t>остваривање</w:t>
      </w:r>
      <w:r w:rsidR="0042679D" w:rsidRPr="00295637">
        <w:rPr>
          <w:lang w:val="bs-Latn-BA"/>
        </w:rPr>
        <w:t xml:space="preserve"> </w:t>
      </w:r>
      <w:r>
        <w:rPr>
          <w:lang w:val="bs-Latn-BA"/>
        </w:rPr>
        <w:t>материјалне</w:t>
      </w:r>
      <w:r w:rsidR="0042679D" w:rsidRPr="00295637">
        <w:rPr>
          <w:lang w:val="bs-Latn-BA"/>
        </w:rPr>
        <w:t xml:space="preserve"> </w:t>
      </w:r>
      <w:r>
        <w:rPr>
          <w:lang w:val="bs-Latn-BA"/>
        </w:rPr>
        <w:t>подршке</w:t>
      </w:r>
      <w:r w:rsidR="0042679D" w:rsidRPr="00295637">
        <w:rPr>
          <w:lang w:val="bs-Latn-BA"/>
        </w:rPr>
        <w:t xml:space="preserve">. </w:t>
      </w:r>
    </w:p>
    <w:p w:rsidR="0042679D" w:rsidRPr="00295637" w:rsidRDefault="0042679D" w:rsidP="0086268D">
      <w:pPr>
        <w:pStyle w:val="ListParagraph"/>
        <w:ind w:left="720"/>
        <w:jc w:val="both"/>
        <w:textAlignment w:val="baseline"/>
        <w:rPr>
          <w:iCs/>
          <w:bdr w:val="none" w:sz="0" w:space="0" w:color="auto" w:frame="1"/>
        </w:rPr>
      </w:pPr>
    </w:p>
    <w:p w:rsidR="0042679D" w:rsidRPr="008E6B79" w:rsidRDefault="00C6214E" w:rsidP="0086268D">
      <w:pPr>
        <w:pStyle w:val="ListParagraph"/>
        <w:numPr>
          <w:ilvl w:val="0"/>
          <w:numId w:val="17"/>
        </w:numPr>
        <w:jc w:val="both"/>
        <w:textAlignment w:val="baseline"/>
        <w:rPr>
          <w:rFonts w:ascii="Times New Roman" w:hAnsi="Times New Roman"/>
          <w:iCs/>
          <w:bdr w:val="none" w:sz="0" w:space="0" w:color="auto" w:frame="1"/>
        </w:rPr>
      </w:pPr>
      <w:r>
        <w:rPr>
          <w:rFonts w:ascii="Times New Roman" w:hAnsi="Times New Roman"/>
          <w:lang w:val="bs-Latn-BA"/>
        </w:rPr>
        <w:t>Израђена</w:t>
      </w:r>
      <w:r w:rsidR="0042679D" w:rsidRPr="008E6B79">
        <w:rPr>
          <w:rFonts w:ascii="Times New Roman" w:hAnsi="Times New Roman"/>
          <w:lang w:val="bs-Latn-BA"/>
        </w:rPr>
        <w:t xml:space="preserve"> </w:t>
      </w:r>
      <w:r>
        <w:rPr>
          <w:rFonts w:ascii="Times New Roman" w:hAnsi="Times New Roman"/>
          <w:lang w:val="bs-Latn-BA"/>
        </w:rPr>
        <w:t>је</w:t>
      </w:r>
      <w:r w:rsidR="0042679D" w:rsidRPr="008E6B79">
        <w:rPr>
          <w:rFonts w:ascii="Times New Roman" w:hAnsi="Times New Roman"/>
          <w:lang w:val="bs-Latn-BA"/>
        </w:rPr>
        <w:t xml:space="preserve"> </w:t>
      </w:r>
      <w:r>
        <w:rPr>
          <w:rFonts w:ascii="Times New Roman" w:hAnsi="Times New Roman"/>
          <w:lang w:val="bs-Latn-BA"/>
        </w:rPr>
        <w:t>и</w:t>
      </w:r>
      <w:r w:rsidR="0042679D" w:rsidRPr="008E6B79">
        <w:rPr>
          <w:rFonts w:ascii="Times New Roman" w:hAnsi="Times New Roman"/>
          <w:lang w:val="bs-Latn-BA"/>
        </w:rPr>
        <w:t xml:space="preserve"> </w:t>
      </w:r>
      <w:r>
        <w:rPr>
          <w:rFonts w:ascii="Times New Roman" w:hAnsi="Times New Roman"/>
          <w:lang w:val="bs-Latn-BA"/>
        </w:rPr>
        <w:t>усвојена</w:t>
      </w:r>
      <w:r w:rsidR="0042679D" w:rsidRPr="008E6B79">
        <w:rPr>
          <w:rFonts w:ascii="Times New Roman" w:hAnsi="Times New Roman"/>
          <w:lang w:val="bs-Latn-BA"/>
        </w:rPr>
        <w:t xml:space="preserve"> </w:t>
      </w:r>
      <w:r>
        <w:rPr>
          <w:rFonts w:ascii="Times New Roman" w:hAnsi="Times New Roman"/>
          <w:lang w:val="bs-Latn-BA"/>
        </w:rPr>
        <w:t>Уредба</w:t>
      </w:r>
      <w:r w:rsidR="0042679D" w:rsidRPr="008E6B79">
        <w:rPr>
          <w:rFonts w:ascii="Times New Roman" w:hAnsi="Times New Roman"/>
          <w:lang w:val="bs-Latn-BA"/>
        </w:rPr>
        <w:t xml:space="preserve"> </w:t>
      </w:r>
      <w:r>
        <w:rPr>
          <w:rFonts w:ascii="Times New Roman" w:hAnsi="Times New Roman"/>
          <w:lang w:val="bs-Latn-BA"/>
        </w:rPr>
        <w:t>о</w:t>
      </w:r>
      <w:r w:rsidR="0042679D" w:rsidRPr="008E6B79">
        <w:rPr>
          <w:rFonts w:ascii="Times New Roman" w:hAnsi="Times New Roman"/>
          <w:lang w:val="bs-Latn-BA"/>
        </w:rPr>
        <w:t xml:space="preserve"> </w:t>
      </w:r>
      <w:r>
        <w:rPr>
          <w:rFonts w:ascii="Times New Roman" w:hAnsi="Times New Roman"/>
          <w:lang w:val="bs-Latn-BA"/>
        </w:rPr>
        <w:t>исплати</w:t>
      </w:r>
      <w:r w:rsidR="0042679D" w:rsidRPr="008E6B79">
        <w:rPr>
          <w:rFonts w:ascii="Times New Roman" w:hAnsi="Times New Roman"/>
          <w:lang w:val="bs-Latn-BA"/>
        </w:rPr>
        <w:t xml:space="preserve"> </w:t>
      </w:r>
      <w:r>
        <w:rPr>
          <w:rFonts w:ascii="Times New Roman" w:hAnsi="Times New Roman"/>
          <w:lang w:val="bs-Latn-BA"/>
        </w:rPr>
        <w:t>новчане</w:t>
      </w:r>
      <w:r w:rsidR="0042679D" w:rsidRPr="008E6B79">
        <w:rPr>
          <w:rFonts w:ascii="Times New Roman" w:hAnsi="Times New Roman"/>
          <w:lang w:val="bs-Latn-BA"/>
        </w:rPr>
        <w:t xml:space="preserve"> </w:t>
      </w:r>
      <w:r>
        <w:rPr>
          <w:rFonts w:ascii="Times New Roman" w:hAnsi="Times New Roman"/>
          <w:lang w:val="bs-Latn-BA"/>
        </w:rPr>
        <w:t>помоћи</w:t>
      </w:r>
      <w:r w:rsidR="0042679D" w:rsidRPr="008E6B79">
        <w:rPr>
          <w:rFonts w:ascii="Times New Roman" w:hAnsi="Times New Roman"/>
          <w:lang w:val="bs-Latn-BA"/>
        </w:rPr>
        <w:t xml:space="preserve"> </w:t>
      </w:r>
      <w:r>
        <w:rPr>
          <w:rFonts w:ascii="Times New Roman" w:hAnsi="Times New Roman"/>
          <w:lang w:val="bs-Latn-BA"/>
        </w:rPr>
        <w:t>породиљама</w:t>
      </w:r>
      <w:r w:rsidR="0042679D" w:rsidRPr="008E6B79">
        <w:rPr>
          <w:rFonts w:ascii="Times New Roman" w:hAnsi="Times New Roman"/>
          <w:lang w:val="bs-Latn-BA"/>
        </w:rPr>
        <w:t xml:space="preserve"> </w:t>
      </w:r>
      <w:r>
        <w:rPr>
          <w:rFonts w:ascii="Times New Roman" w:hAnsi="Times New Roman"/>
          <w:lang w:val="bs-Latn-BA"/>
        </w:rPr>
        <w:t>за</w:t>
      </w:r>
      <w:r w:rsidR="0042679D" w:rsidRPr="008E6B79">
        <w:rPr>
          <w:rFonts w:ascii="Times New Roman" w:hAnsi="Times New Roman"/>
          <w:lang w:val="bs-Latn-BA"/>
        </w:rPr>
        <w:t xml:space="preserve"> </w:t>
      </w:r>
      <w:r>
        <w:rPr>
          <w:rFonts w:ascii="Times New Roman" w:hAnsi="Times New Roman"/>
          <w:lang w:val="bs-Latn-BA"/>
        </w:rPr>
        <w:t>новорођено</w:t>
      </w:r>
      <w:r w:rsidR="0042679D" w:rsidRPr="008E6B79">
        <w:rPr>
          <w:rFonts w:ascii="Times New Roman" w:hAnsi="Times New Roman"/>
          <w:lang w:val="bs-Latn-BA"/>
        </w:rPr>
        <w:t xml:space="preserve"> </w:t>
      </w:r>
      <w:r>
        <w:rPr>
          <w:rFonts w:ascii="Times New Roman" w:hAnsi="Times New Roman"/>
          <w:lang w:val="bs-Latn-BA"/>
        </w:rPr>
        <w:t>дијете</w:t>
      </w:r>
      <w:r w:rsidR="0042679D" w:rsidRPr="008E6B79">
        <w:rPr>
          <w:rFonts w:ascii="Times New Roman" w:hAnsi="Times New Roman"/>
          <w:lang w:val="bs-Latn-BA"/>
        </w:rPr>
        <w:t xml:space="preserve"> </w:t>
      </w:r>
      <w:r>
        <w:rPr>
          <w:rFonts w:ascii="Times New Roman" w:hAnsi="Times New Roman"/>
          <w:lang w:val="bs-Latn-BA"/>
        </w:rPr>
        <w:t>у</w:t>
      </w:r>
      <w:r w:rsidR="0042679D" w:rsidRPr="008E6B79">
        <w:rPr>
          <w:rFonts w:ascii="Times New Roman" w:hAnsi="Times New Roman"/>
          <w:lang w:val="bs-Latn-BA"/>
        </w:rPr>
        <w:t xml:space="preserve"> </w:t>
      </w:r>
      <w:r>
        <w:rPr>
          <w:rFonts w:ascii="Times New Roman" w:hAnsi="Times New Roman"/>
          <w:lang w:val="bs-Latn-BA"/>
        </w:rPr>
        <w:t>ФБиХ</w:t>
      </w:r>
      <w:r w:rsidR="0042679D" w:rsidRPr="008E6B79">
        <w:rPr>
          <w:rFonts w:ascii="Times New Roman" w:hAnsi="Times New Roman"/>
          <w:lang w:val="bs-Latn-BA"/>
        </w:rPr>
        <w:t xml:space="preserve">, </w:t>
      </w:r>
      <w:r>
        <w:rPr>
          <w:rFonts w:ascii="Times New Roman" w:hAnsi="Times New Roman"/>
          <w:lang w:val="bs-Latn-BA"/>
        </w:rPr>
        <w:t>уз</w:t>
      </w:r>
      <w:r w:rsidR="0042679D" w:rsidRPr="008E6B79">
        <w:rPr>
          <w:rFonts w:ascii="Times New Roman" w:hAnsi="Times New Roman"/>
          <w:lang w:val="bs-Latn-BA"/>
        </w:rPr>
        <w:t xml:space="preserve"> </w:t>
      </w:r>
      <w:r>
        <w:rPr>
          <w:rFonts w:ascii="Times New Roman" w:hAnsi="Times New Roman"/>
          <w:lang w:val="bs-Latn-BA"/>
        </w:rPr>
        <w:t>успостављање</w:t>
      </w:r>
      <w:r w:rsidR="0042679D" w:rsidRPr="008E6B79">
        <w:rPr>
          <w:rFonts w:ascii="Times New Roman" w:hAnsi="Times New Roman"/>
          <w:lang w:val="bs-Latn-BA"/>
        </w:rPr>
        <w:t xml:space="preserve"> </w:t>
      </w:r>
      <w:r>
        <w:rPr>
          <w:rFonts w:ascii="Times New Roman" w:hAnsi="Times New Roman"/>
          <w:lang w:val="bs-Latn-BA"/>
        </w:rPr>
        <w:t>дигиталне</w:t>
      </w:r>
      <w:r w:rsidR="0042679D" w:rsidRPr="008E6B79">
        <w:rPr>
          <w:rFonts w:ascii="Times New Roman" w:hAnsi="Times New Roman"/>
          <w:lang w:val="bs-Latn-BA"/>
        </w:rPr>
        <w:t xml:space="preserve"> </w:t>
      </w:r>
      <w:r>
        <w:rPr>
          <w:rFonts w:ascii="Times New Roman" w:hAnsi="Times New Roman"/>
          <w:lang w:val="bs-Latn-BA"/>
        </w:rPr>
        <w:t>апликације</w:t>
      </w:r>
      <w:r w:rsidR="0042679D" w:rsidRPr="008E6B79">
        <w:rPr>
          <w:rFonts w:ascii="Times New Roman" w:hAnsi="Times New Roman"/>
          <w:lang w:val="bs-Latn-BA"/>
        </w:rPr>
        <w:t xml:space="preserve"> „</w:t>
      </w:r>
      <w:r>
        <w:rPr>
          <w:rFonts w:ascii="Times New Roman" w:hAnsi="Times New Roman"/>
          <w:lang w:val="bs-Latn-BA"/>
        </w:rPr>
        <w:t>е</w:t>
      </w:r>
      <w:r w:rsidR="0042679D" w:rsidRPr="008E6B79">
        <w:rPr>
          <w:rFonts w:ascii="Times New Roman" w:hAnsi="Times New Roman"/>
          <w:lang w:val="bs-Latn-BA"/>
        </w:rPr>
        <w:t>-</w:t>
      </w:r>
      <w:r>
        <w:rPr>
          <w:rFonts w:ascii="Times New Roman" w:hAnsi="Times New Roman"/>
          <w:lang w:val="bs-Latn-BA"/>
        </w:rPr>
        <w:t>Породиље</w:t>
      </w:r>
      <w:r w:rsidR="0042679D" w:rsidRPr="008E6B79">
        <w:rPr>
          <w:rFonts w:ascii="Times New Roman" w:hAnsi="Times New Roman"/>
          <w:lang w:val="bs-Latn-BA"/>
        </w:rPr>
        <w:t xml:space="preserve">“, </w:t>
      </w:r>
      <w:r>
        <w:rPr>
          <w:rFonts w:ascii="Times New Roman" w:hAnsi="Times New Roman"/>
          <w:lang w:val="bs-Latn-BA"/>
        </w:rPr>
        <w:t>која</w:t>
      </w:r>
      <w:r w:rsidR="0042679D" w:rsidRPr="008E6B79">
        <w:rPr>
          <w:rFonts w:ascii="Times New Roman" w:hAnsi="Times New Roman"/>
          <w:lang w:val="bs-Latn-BA"/>
        </w:rPr>
        <w:t xml:space="preserve"> </w:t>
      </w:r>
      <w:r>
        <w:rPr>
          <w:rFonts w:ascii="Times New Roman" w:hAnsi="Times New Roman"/>
          <w:lang w:val="bs-Latn-BA"/>
        </w:rPr>
        <w:t>омогућава</w:t>
      </w:r>
      <w:r w:rsidR="0042679D" w:rsidRPr="008E6B79">
        <w:rPr>
          <w:rFonts w:ascii="Times New Roman" w:hAnsi="Times New Roman"/>
          <w:lang w:val="bs-Latn-BA"/>
        </w:rPr>
        <w:t xml:space="preserve"> </w:t>
      </w:r>
      <w:r>
        <w:rPr>
          <w:rFonts w:ascii="Times New Roman" w:hAnsi="Times New Roman"/>
          <w:lang w:val="bs-Latn-BA"/>
        </w:rPr>
        <w:t>једноставну</w:t>
      </w:r>
      <w:r w:rsidR="0042679D" w:rsidRPr="008E6B79">
        <w:rPr>
          <w:rFonts w:ascii="Times New Roman" w:hAnsi="Times New Roman"/>
          <w:lang w:val="bs-Latn-BA"/>
        </w:rPr>
        <w:t xml:space="preserve"> </w:t>
      </w:r>
      <w:r>
        <w:rPr>
          <w:rFonts w:ascii="Times New Roman" w:hAnsi="Times New Roman"/>
          <w:lang w:val="bs-Latn-BA"/>
        </w:rPr>
        <w:t>пријаву</w:t>
      </w:r>
      <w:r w:rsidR="0042679D" w:rsidRPr="008E6B79">
        <w:rPr>
          <w:rFonts w:ascii="Times New Roman" w:hAnsi="Times New Roman"/>
          <w:lang w:val="bs-Latn-BA"/>
        </w:rPr>
        <w:t xml:space="preserve"> </w:t>
      </w:r>
      <w:r>
        <w:rPr>
          <w:rFonts w:ascii="Times New Roman" w:hAnsi="Times New Roman"/>
          <w:lang w:val="bs-Latn-BA"/>
        </w:rPr>
        <w:t>и</w:t>
      </w:r>
      <w:r w:rsidR="0042679D" w:rsidRPr="008E6B79">
        <w:rPr>
          <w:rFonts w:ascii="Times New Roman" w:hAnsi="Times New Roman"/>
          <w:lang w:val="bs-Latn-BA"/>
        </w:rPr>
        <w:t xml:space="preserve"> </w:t>
      </w:r>
      <w:r>
        <w:rPr>
          <w:rFonts w:ascii="Times New Roman" w:hAnsi="Times New Roman"/>
          <w:lang w:val="bs-Latn-BA"/>
        </w:rPr>
        <w:t>остваривање</w:t>
      </w:r>
      <w:r w:rsidR="0042679D" w:rsidRPr="008E6B79">
        <w:rPr>
          <w:rFonts w:ascii="Times New Roman" w:hAnsi="Times New Roman"/>
          <w:lang w:val="bs-Latn-BA"/>
        </w:rPr>
        <w:t xml:space="preserve"> </w:t>
      </w:r>
      <w:r>
        <w:rPr>
          <w:rFonts w:ascii="Times New Roman" w:hAnsi="Times New Roman"/>
          <w:lang w:val="bs-Latn-BA"/>
        </w:rPr>
        <w:t>права</w:t>
      </w:r>
      <w:r w:rsidR="0042679D" w:rsidRPr="008E6B79">
        <w:rPr>
          <w:rFonts w:ascii="Times New Roman" w:hAnsi="Times New Roman"/>
          <w:lang w:val="bs-Latn-BA"/>
        </w:rPr>
        <w:t xml:space="preserve"> </w:t>
      </w:r>
      <w:r>
        <w:rPr>
          <w:rFonts w:ascii="Times New Roman" w:hAnsi="Times New Roman"/>
          <w:lang w:val="bs-Latn-BA"/>
        </w:rPr>
        <w:t>на</w:t>
      </w:r>
      <w:r w:rsidR="0042679D" w:rsidRPr="008E6B79">
        <w:rPr>
          <w:rFonts w:ascii="Times New Roman" w:hAnsi="Times New Roman"/>
          <w:lang w:val="bs-Latn-BA"/>
        </w:rPr>
        <w:t xml:space="preserve"> </w:t>
      </w:r>
      <w:r>
        <w:rPr>
          <w:rFonts w:ascii="Times New Roman" w:hAnsi="Times New Roman"/>
          <w:lang w:val="bs-Latn-BA"/>
        </w:rPr>
        <w:t>једнократну</w:t>
      </w:r>
      <w:r w:rsidR="0042679D" w:rsidRPr="008E6B79">
        <w:rPr>
          <w:rFonts w:ascii="Times New Roman" w:hAnsi="Times New Roman"/>
          <w:lang w:val="bs-Latn-BA"/>
        </w:rPr>
        <w:t xml:space="preserve"> </w:t>
      </w:r>
      <w:r>
        <w:rPr>
          <w:rFonts w:ascii="Times New Roman" w:hAnsi="Times New Roman"/>
          <w:lang w:val="bs-Latn-BA"/>
        </w:rPr>
        <w:t>подршку</w:t>
      </w:r>
      <w:r w:rsidR="0042679D" w:rsidRPr="008E6B79">
        <w:rPr>
          <w:rFonts w:ascii="Times New Roman" w:hAnsi="Times New Roman"/>
          <w:lang w:val="bs-Latn-BA"/>
        </w:rPr>
        <w:t xml:space="preserve">. </w:t>
      </w:r>
      <w:r>
        <w:rPr>
          <w:rFonts w:ascii="Times New Roman" w:hAnsi="Times New Roman"/>
          <w:lang w:val="bs-Latn-BA"/>
        </w:rPr>
        <w:t>Поред</w:t>
      </w:r>
      <w:r w:rsidR="0042679D" w:rsidRPr="008E6B79">
        <w:rPr>
          <w:rFonts w:ascii="Times New Roman" w:hAnsi="Times New Roman"/>
          <w:lang w:val="bs-Latn-BA"/>
        </w:rPr>
        <w:t xml:space="preserve"> </w:t>
      </w:r>
      <w:r>
        <w:rPr>
          <w:rFonts w:ascii="Times New Roman" w:hAnsi="Times New Roman"/>
          <w:lang w:val="bs-Latn-BA"/>
        </w:rPr>
        <w:t>тога</w:t>
      </w:r>
      <w:r w:rsidR="0042679D" w:rsidRPr="008E6B79">
        <w:rPr>
          <w:rFonts w:ascii="Times New Roman" w:hAnsi="Times New Roman"/>
          <w:lang w:val="bs-Latn-BA"/>
        </w:rPr>
        <w:t xml:space="preserve">, </w:t>
      </w:r>
      <w:r>
        <w:rPr>
          <w:rFonts w:ascii="Times New Roman" w:hAnsi="Times New Roman"/>
          <w:lang w:val="bs-Latn-BA"/>
        </w:rPr>
        <w:t>ФМРСП</w:t>
      </w:r>
      <w:r w:rsidR="0042679D" w:rsidRPr="008E6B79">
        <w:rPr>
          <w:rFonts w:ascii="Times New Roman" w:hAnsi="Times New Roman"/>
          <w:lang w:val="bs-Latn-BA"/>
        </w:rPr>
        <w:t xml:space="preserve"> </w:t>
      </w:r>
      <w:r>
        <w:rPr>
          <w:rFonts w:ascii="Times New Roman" w:hAnsi="Times New Roman"/>
          <w:lang w:val="bs-Latn-BA"/>
        </w:rPr>
        <w:t>наставило</w:t>
      </w:r>
      <w:r w:rsidR="0042679D" w:rsidRPr="008E6B79">
        <w:rPr>
          <w:rFonts w:ascii="Times New Roman" w:hAnsi="Times New Roman"/>
          <w:lang w:val="bs-Latn-BA"/>
        </w:rPr>
        <w:t xml:space="preserve"> </w:t>
      </w:r>
      <w:r>
        <w:rPr>
          <w:rFonts w:ascii="Times New Roman" w:hAnsi="Times New Roman"/>
          <w:lang w:val="bs-Latn-BA"/>
        </w:rPr>
        <w:t>је</w:t>
      </w:r>
      <w:r w:rsidR="00A8144D">
        <w:rPr>
          <w:rFonts w:ascii="Times New Roman" w:hAnsi="Times New Roman"/>
          <w:lang w:val="bs-Latn-BA"/>
        </w:rPr>
        <w:t xml:space="preserve"> </w:t>
      </w:r>
      <w:r w:rsidR="002D5D32">
        <w:rPr>
          <w:rFonts w:ascii="Times New Roman" w:hAnsi="Times New Roman"/>
          <w:lang w:val="sr-Cyrl-BA"/>
        </w:rPr>
        <w:t>спровођење</w:t>
      </w:r>
      <w:r w:rsidR="0042679D" w:rsidRPr="008E6B79">
        <w:rPr>
          <w:rFonts w:ascii="Times New Roman" w:hAnsi="Times New Roman"/>
          <w:lang w:val="bs-Latn-BA"/>
        </w:rPr>
        <w:t xml:space="preserve"> </w:t>
      </w:r>
      <w:r>
        <w:rPr>
          <w:rStyle w:val="Strong"/>
          <w:rFonts w:ascii="Times New Roman" w:hAnsi="Times New Roman"/>
          <w:b w:val="0"/>
          <w:lang w:val="bs-Latn-BA"/>
        </w:rPr>
        <w:t>Закона</w:t>
      </w:r>
      <w:r w:rsidR="0042679D" w:rsidRPr="008E6B79">
        <w:rPr>
          <w:rStyle w:val="Strong"/>
          <w:rFonts w:ascii="Times New Roman" w:hAnsi="Times New Roman"/>
          <w:b w:val="0"/>
          <w:lang w:val="bs-Latn-BA"/>
        </w:rPr>
        <w:t xml:space="preserve"> </w:t>
      </w:r>
      <w:r>
        <w:rPr>
          <w:rStyle w:val="Strong"/>
          <w:rFonts w:ascii="Times New Roman" w:hAnsi="Times New Roman"/>
          <w:b w:val="0"/>
          <w:lang w:val="bs-Latn-BA"/>
        </w:rPr>
        <w:t>о</w:t>
      </w:r>
      <w:r w:rsidR="0042679D" w:rsidRPr="008E6B79">
        <w:rPr>
          <w:rStyle w:val="Strong"/>
          <w:rFonts w:ascii="Times New Roman" w:hAnsi="Times New Roman"/>
          <w:b w:val="0"/>
          <w:lang w:val="bs-Latn-BA"/>
        </w:rPr>
        <w:t xml:space="preserve"> </w:t>
      </w:r>
      <w:r>
        <w:rPr>
          <w:rStyle w:val="Strong"/>
          <w:rFonts w:ascii="Times New Roman" w:hAnsi="Times New Roman"/>
          <w:b w:val="0"/>
          <w:lang w:val="bs-Latn-BA"/>
        </w:rPr>
        <w:t>материјалној</w:t>
      </w:r>
      <w:r w:rsidR="0042679D" w:rsidRPr="008E6B79">
        <w:rPr>
          <w:rStyle w:val="Strong"/>
          <w:rFonts w:ascii="Times New Roman" w:hAnsi="Times New Roman"/>
          <w:b w:val="0"/>
          <w:lang w:val="bs-Latn-BA"/>
        </w:rPr>
        <w:t xml:space="preserve"> </w:t>
      </w:r>
      <w:r>
        <w:rPr>
          <w:rStyle w:val="Strong"/>
          <w:rFonts w:ascii="Times New Roman" w:hAnsi="Times New Roman"/>
          <w:b w:val="0"/>
          <w:lang w:val="bs-Latn-BA"/>
        </w:rPr>
        <w:t>подршци</w:t>
      </w:r>
      <w:r w:rsidR="00EA6159">
        <w:rPr>
          <w:rStyle w:val="Strong"/>
          <w:rFonts w:ascii="Times New Roman" w:hAnsi="Times New Roman"/>
          <w:b w:val="0"/>
          <w:lang w:val="bs-Latn-BA"/>
        </w:rPr>
        <w:t xml:space="preserve"> </w:t>
      </w:r>
      <w:r>
        <w:rPr>
          <w:rStyle w:val="Strong"/>
          <w:rFonts w:ascii="Times New Roman" w:hAnsi="Times New Roman"/>
          <w:b w:val="0"/>
          <w:lang w:val="bs-Latn-BA"/>
        </w:rPr>
        <w:t>породицама</w:t>
      </w:r>
      <w:r w:rsidR="0042679D" w:rsidRPr="008E6B79">
        <w:rPr>
          <w:rStyle w:val="Strong"/>
          <w:rFonts w:ascii="Times New Roman" w:hAnsi="Times New Roman"/>
          <w:b w:val="0"/>
          <w:lang w:val="bs-Latn-BA"/>
        </w:rPr>
        <w:t xml:space="preserve"> </w:t>
      </w:r>
      <w:r>
        <w:rPr>
          <w:rStyle w:val="Strong"/>
          <w:rFonts w:ascii="Times New Roman" w:hAnsi="Times New Roman"/>
          <w:b w:val="0"/>
          <w:lang w:val="bs-Latn-BA"/>
        </w:rPr>
        <w:t>са</w:t>
      </w:r>
      <w:r w:rsidR="0042679D" w:rsidRPr="008E6B79">
        <w:rPr>
          <w:rStyle w:val="Strong"/>
          <w:rFonts w:ascii="Times New Roman" w:hAnsi="Times New Roman"/>
          <w:b w:val="0"/>
          <w:lang w:val="bs-Latn-BA"/>
        </w:rPr>
        <w:t xml:space="preserve"> </w:t>
      </w:r>
      <w:r>
        <w:rPr>
          <w:rStyle w:val="Strong"/>
          <w:rFonts w:ascii="Times New Roman" w:hAnsi="Times New Roman"/>
          <w:b w:val="0"/>
          <w:lang w:val="bs-Latn-BA"/>
        </w:rPr>
        <w:t>дјецом</w:t>
      </w:r>
      <w:r w:rsidR="0042679D" w:rsidRPr="008E6B79">
        <w:rPr>
          <w:rStyle w:val="Strong"/>
          <w:rFonts w:ascii="Times New Roman" w:hAnsi="Times New Roman"/>
          <w:b w:val="0"/>
          <w:lang w:val="bs-Latn-BA"/>
        </w:rPr>
        <w:t xml:space="preserve"> </w:t>
      </w:r>
      <w:r>
        <w:rPr>
          <w:rStyle w:val="Strong"/>
          <w:rFonts w:ascii="Times New Roman" w:hAnsi="Times New Roman"/>
          <w:b w:val="0"/>
          <w:lang w:val="bs-Latn-BA"/>
        </w:rPr>
        <w:t>у</w:t>
      </w:r>
      <w:r w:rsidR="0042679D" w:rsidRPr="008E6B79">
        <w:rPr>
          <w:rStyle w:val="Strong"/>
          <w:rFonts w:ascii="Times New Roman" w:hAnsi="Times New Roman"/>
          <w:b w:val="0"/>
          <w:lang w:val="bs-Latn-BA"/>
        </w:rPr>
        <w:t xml:space="preserve"> </w:t>
      </w:r>
      <w:r>
        <w:rPr>
          <w:rStyle w:val="Strong"/>
          <w:rFonts w:ascii="Times New Roman" w:hAnsi="Times New Roman"/>
          <w:b w:val="0"/>
          <w:lang w:val="bs-Latn-BA"/>
        </w:rPr>
        <w:t>ФБиХ</w:t>
      </w:r>
      <w:r w:rsidR="0042679D" w:rsidRPr="008E6B79">
        <w:rPr>
          <w:rFonts w:ascii="Times New Roman" w:hAnsi="Times New Roman"/>
          <w:lang w:val="bs-Latn-BA"/>
        </w:rPr>
        <w:t xml:space="preserve">, </w:t>
      </w:r>
      <w:r>
        <w:rPr>
          <w:rFonts w:ascii="Times New Roman" w:hAnsi="Times New Roman"/>
          <w:lang w:val="bs-Latn-BA"/>
        </w:rPr>
        <w:t>чиме</w:t>
      </w:r>
      <w:r w:rsidR="0042679D" w:rsidRPr="008E6B79">
        <w:rPr>
          <w:rFonts w:ascii="Times New Roman" w:hAnsi="Times New Roman"/>
          <w:lang w:val="bs-Latn-BA"/>
        </w:rPr>
        <w:t xml:space="preserve"> </w:t>
      </w:r>
      <w:r>
        <w:rPr>
          <w:rFonts w:ascii="Times New Roman" w:hAnsi="Times New Roman"/>
          <w:lang w:val="bs-Latn-BA"/>
        </w:rPr>
        <w:t>је</w:t>
      </w:r>
      <w:r w:rsidR="0042679D" w:rsidRPr="008E6B79">
        <w:rPr>
          <w:rFonts w:ascii="Times New Roman" w:hAnsi="Times New Roman"/>
          <w:lang w:val="bs-Latn-BA"/>
        </w:rPr>
        <w:t xml:space="preserve"> </w:t>
      </w:r>
      <w:r>
        <w:rPr>
          <w:rFonts w:ascii="Times New Roman" w:hAnsi="Times New Roman"/>
          <w:lang w:val="bs-Latn-BA"/>
        </w:rPr>
        <w:t>о</w:t>
      </w:r>
      <w:r w:rsidR="002D5D32">
        <w:rPr>
          <w:rFonts w:ascii="Times New Roman" w:hAnsi="Times New Roman"/>
          <w:lang w:val="sr-Cyrl-BA"/>
        </w:rPr>
        <w:t>безбијеђена</w:t>
      </w:r>
      <w:r w:rsidR="0042679D" w:rsidRPr="008E6B79">
        <w:rPr>
          <w:rFonts w:ascii="Times New Roman" w:hAnsi="Times New Roman"/>
          <w:lang w:val="bs-Latn-BA"/>
        </w:rPr>
        <w:t xml:space="preserve"> </w:t>
      </w:r>
      <w:r>
        <w:rPr>
          <w:rFonts w:ascii="Times New Roman" w:hAnsi="Times New Roman"/>
          <w:lang w:val="bs-Latn-BA"/>
        </w:rPr>
        <w:t>уједначеност</w:t>
      </w:r>
      <w:r w:rsidR="0042679D" w:rsidRPr="008E6B79">
        <w:rPr>
          <w:rFonts w:ascii="Times New Roman" w:hAnsi="Times New Roman"/>
          <w:lang w:val="bs-Latn-BA"/>
        </w:rPr>
        <w:t xml:space="preserve"> </w:t>
      </w:r>
      <w:r>
        <w:rPr>
          <w:rFonts w:ascii="Times New Roman" w:hAnsi="Times New Roman"/>
          <w:lang w:val="bs-Latn-BA"/>
        </w:rPr>
        <w:t>права</w:t>
      </w:r>
      <w:r w:rsidR="0042679D" w:rsidRPr="008E6B79">
        <w:rPr>
          <w:rFonts w:ascii="Times New Roman" w:hAnsi="Times New Roman"/>
          <w:lang w:val="bs-Latn-BA"/>
        </w:rPr>
        <w:t xml:space="preserve"> </w:t>
      </w:r>
      <w:r>
        <w:rPr>
          <w:rFonts w:ascii="Times New Roman" w:hAnsi="Times New Roman"/>
          <w:lang w:val="bs-Latn-BA"/>
        </w:rPr>
        <w:t>на</w:t>
      </w:r>
      <w:r w:rsidR="0042679D" w:rsidRPr="008E6B79">
        <w:rPr>
          <w:rFonts w:ascii="Times New Roman" w:hAnsi="Times New Roman"/>
          <w:lang w:val="bs-Latn-BA"/>
        </w:rPr>
        <w:t xml:space="preserve"> </w:t>
      </w:r>
      <w:r>
        <w:rPr>
          <w:rFonts w:ascii="Times New Roman" w:hAnsi="Times New Roman"/>
          <w:lang w:val="bs-Latn-BA"/>
        </w:rPr>
        <w:t>дјечији</w:t>
      </w:r>
      <w:r w:rsidR="0042679D" w:rsidRPr="008E6B79">
        <w:rPr>
          <w:rFonts w:ascii="Times New Roman" w:hAnsi="Times New Roman"/>
          <w:lang w:val="bs-Latn-BA"/>
        </w:rPr>
        <w:t xml:space="preserve"> </w:t>
      </w:r>
      <w:r>
        <w:rPr>
          <w:rFonts w:ascii="Times New Roman" w:hAnsi="Times New Roman"/>
          <w:lang w:val="bs-Latn-BA"/>
        </w:rPr>
        <w:t>додатак</w:t>
      </w:r>
      <w:r w:rsidR="0042679D" w:rsidRPr="008E6B79">
        <w:rPr>
          <w:rFonts w:ascii="Times New Roman" w:hAnsi="Times New Roman"/>
          <w:lang w:val="bs-Latn-BA"/>
        </w:rPr>
        <w:t xml:space="preserve"> </w:t>
      </w:r>
      <w:r>
        <w:rPr>
          <w:rFonts w:ascii="Times New Roman" w:hAnsi="Times New Roman"/>
          <w:lang w:val="bs-Latn-BA"/>
        </w:rPr>
        <w:t>на</w:t>
      </w:r>
      <w:r w:rsidR="0042679D" w:rsidRPr="008E6B79">
        <w:rPr>
          <w:rFonts w:ascii="Times New Roman" w:hAnsi="Times New Roman"/>
          <w:lang w:val="bs-Latn-BA"/>
        </w:rPr>
        <w:t xml:space="preserve"> </w:t>
      </w:r>
      <w:r>
        <w:rPr>
          <w:rFonts w:ascii="Times New Roman" w:hAnsi="Times New Roman"/>
          <w:lang w:val="bs-Latn-BA"/>
        </w:rPr>
        <w:t>цијелој</w:t>
      </w:r>
      <w:r w:rsidR="0042679D" w:rsidRPr="008E6B79">
        <w:rPr>
          <w:rFonts w:ascii="Times New Roman" w:hAnsi="Times New Roman"/>
          <w:lang w:val="bs-Latn-BA"/>
        </w:rPr>
        <w:t xml:space="preserve"> </w:t>
      </w:r>
      <w:r>
        <w:rPr>
          <w:rFonts w:ascii="Times New Roman" w:hAnsi="Times New Roman"/>
          <w:lang w:val="bs-Latn-BA"/>
        </w:rPr>
        <w:t>територији</w:t>
      </w:r>
      <w:r w:rsidR="0042679D" w:rsidRPr="008E6B79">
        <w:rPr>
          <w:rFonts w:ascii="Times New Roman" w:hAnsi="Times New Roman"/>
          <w:lang w:val="bs-Latn-BA"/>
        </w:rPr>
        <w:t xml:space="preserve"> </w:t>
      </w:r>
      <w:r>
        <w:rPr>
          <w:rFonts w:ascii="Times New Roman" w:hAnsi="Times New Roman"/>
          <w:lang w:val="bs-Latn-BA"/>
        </w:rPr>
        <w:t>ФБиХ</w:t>
      </w:r>
      <w:r w:rsidR="0042679D" w:rsidRPr="008E6B79">
        <w:rPr>
          <w:rFonts w:ascii="Times New Roman" w:hAnsi="Times New Roman"/>
          <w:lang w:val="bs-Latn-BA"/>
        </w:rPr>
        <w:t xml:space="preserve">, </w:t>
      </w:r>
      <w:r>
        <w:rPr>
          <w:rFonts w:ascii="Times New Roman" w:hAnsi="Times New Roman"/>
          <w:lang w:val="bs-Latn-BA"/>
        </w:rPr>
        <w:t>уз</w:t>
      </w:r>
      <w:r w:rsidR="0042679D" w:rsidRPr="008E6B79">
        <w:rPr>
          <w:rFonts w:ascii="Times New Roman" w:hAnsi="Times New Roman"/>
          <w:lang w:val="bs-Latn-BA"/>
        </w:rPr>
        <w:t xml:space="preserve"> </w:t>
      </w:r>
      <w:r>
        <w:rPr>
          <w:rFonts w:ascii="Times New Roman" w:hAnsi="Times New Roman"/>
          <w:lang w:val="bs-Latn-BA"/>
        </w:rPr>
        <w:t>финансирање</w:t>
      </w:r>
      <w:r w:rsidR="0042679D" w:rsidRPr="008E6B79">
        <w:rPr>
          <w:rFonts w:ascii="Times New Roman" w:hAnsi="Times New Roman"/>
          <w:lang w:val="bs-Latn-BA"/>
        </w:rPr>
        <w:t xml:space="preserve"> </w:t>
      </w:r>
      <w:r>
        <w:rPr>
          <w:rFonts w:ascii="Times New Roman" w:hAnsi="Times New Roman"/>
          <w:lang w:val="bs-Latn-BA"/>
        </w:rPr>
        <w:t>овог</w:t>
      </w:r>
      <w:r w:rsidR="0042679D" w:rsidRPr="008E6B79">
        <w:rPr>
          <w:rFonts w:ascii="Times New Roman" w:hAnsi="Times New Roman"/>
          <w:lang w:val="bs-Latn-BA"/>
        </w:rPr>
        <w:t xml:space="preserve"> </w:t>
      </w:r>
      <w:r>
        <w:rPr>
          <w:rFonts w:ascii="Times New Roman" w:hAnsi="Times New Roman"/>
          <w:lang w:val="bs-Latn-BA"/>
        </w:rPr>
        <w:t>права</w:t>
      </w:r>
      <w:r w:rsidR="0042679D" w:rsidRPr="008E6B79">
        <w:rPr>
          <w:rFonts w:ascii="Times New Roman" w:hAnsi="Times New Roman"/>
          <w:lang w:val="bs-Latn-BA"/>
        </w:rPr>
        <w:t xml:space="preserve"> </w:t>
      </w:r>
      <w:r>
        <w:rPr>
          <w:rFonts w:ascii="Times New Roman" w:hAnsi="Times New Roman"/>
          <w:lang w:val="bs-Latn-BA"/>
        </w:rPr>
        <w:t>из</w:t>
      </w:r>
      <w:r w:rsidR="0042679D" w:rsidRPr="008E6B79">
        <w:rPr>
          <w:rFonts w:ascii="Times New Roman" w:hAnsi="Times New Roman"/>
          <w:lang w:val="bs-Latn-BA"/>
        </w:rPr>
        <w:t xml:space="preserve"> </w:t>
      </w:r>
      <w:r>
        <w:rPr>
          <w:rFonts w:ascii="Times New Roman" w:hAnsi="Times New Roman"/>
          <w:lang w:val="bs-Latn-BA"/>
        </w:rPr>
        <w:t>буџета</w:t>
      </w:r>
      <w:r w:rsidR="0042679D" w:rsidRPr="008E6B79">
        <w:rPr>
          <w:rFonts w:ascii="Times New Roman" w:hAnsi="Times New Roman"/>
          <w:lang w:val="bs-Latn-BA"/>
        </w:rPr>
        <w:t xml:space="preserve"> </w:t>
      </w:r>
      <w:r>
        <w:rPr>
          <w:rFonts w:ascii="Times New Roman" w:hAnsi="Times New Roman"/>
          <w:lang w:val="bs-Latn-BA"/>
        </w:rPr>
        <w:t>ФБиХ</w:t>
      </w:r>
      <w:r w:rsidR="0042679D" w:rsidRPr="008E6B79">
        <w:rPr>
          <w:rFonts w:ascii="Times New Roman" w:hAnsi="Times New Roman"/>
          <w:lang w:val="bs-Latn-BA"/>
        </w:rPr>
        <w:t>.</w:t>
      </w:r>
    </w:p>
    <w:p w:rsidR="0042679D" w:rsidRPr="00B0585D" w:rsidRDefault="0042679D" w:rsidP="0086268D">
      <w:pPr>
        <w:pStyle w:val="ListParagraph"/>
        <w:rPr>
          <w:rFonts w:ascii="Times New Roman" w:hAnsi="Times New Roman"/>
          <w:lang w:val="sr-Latn-BA"/>
        </w:rPr>
      </w:pPr>
    </w:p>
    <w:p w:rsidR="0042679D" w:rsidRPr="009935FF" w:rsidRDefault="00C6214E" w:rsidP="0086268D">
      <w:pPr>
        <w:pStyle w:val="ListParagraph"/>
        <w:numPr>
          <w:ilvl w:val="0"/>
          <w:numId w:val="17"/>
        </w:numPr>
        <w:jc w:val="both"/>
        <w:textAlignment w:val="baseline"/>
        <w:rPr>
          <w:iCs/>
          <w:bdr w:val="none" w:sz="0" w:space="0" w:color="auto" w:frame="1"/>
        </w:rPr>
      </w:pPr>
      <w:r>
        <w:rPr>
          <w:rFonts w:ascii="Times New Roman" w:hAnsi="Times New Roman"/>
          <w:lang w:val="sr-Latn-BA"/>
        </w:rPr>
        <w:t>Поједини</w:t>
      </w:r>
      <w:r w:rsidR="0042679D" w:rsidRPr="00295637">
        <w:rPr>
          <w:rFonts w:ascii="Times New Roman" w:hAnsi="Times New Roman"/>
          <w:lang w:val="sr-Latn-BA"/>
        </w:rPr>
        <w:t xml:space="preserve"> </w:t>
      </w:r>
      <w:r>
        <w:rPr>
          <w:rFonts w:ascii="Times New Roman" w:hAnsi="Times New Roman"/>
          <w:lang w:val="sr-Latn-BA"/>
        </w:rPr>
        <w:t>центри</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социјални</w:t>
      </w:r>
      <w:r w:rsidR="0042679D" w:rsidRPr="00295637">
        <w:rPr>
          <w:rFonts w:ascii="Times New Roman" w:hAnsi="Times New Roman"/>
          <w:lang w:val="sr-Latn-BA"/>
        </w:rPr>
        <w:t xml:space="preserve"> </w:t>
      </w:r>
      <w:r>
        <w:rPr>
          <w:rFonts w:ascii="Times New Roman" w:hAnsi="Times New Roman"/>
          <w:lang w:val="sr-Latn-BA"/>
        </w:rPr>
        <w:t>рад</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јединицама</w:t>
      </w:r>
      <w:r w:rsidR="0042679D" w:rsidRPr="00295637">
        <w:rPr>
          <w:rFonts w:ascii="Times New Roman" w:hAnsi="Times New Roman"/>
          <w:lang w:val="sr-Latn-BA"/>
        </w:rPr>
        <w:t xml:space="preserve"> </w:t>
      </w:r>
      <w:r>
        <w:rPr>
          <w:rFonts w:ascii="Times New Roman" w:hAnsi="Times New Roman"/>
          <w:lang w:val="sr-Latn-BA"/>
        </w:rPr>
        <w:t>локалне</w:t>
      </w:r>
      <w:r w:rsidR="0042679D" w:rsidRPr="00295637">
        <w:rPr>
          <w:rFonts w:ascii="Times New Roman" w:hAnsi="Times New Roman"/>
          <w:lang w:val="sr-Latn-BA"/>
        </w:rPr>
        <w:t xml:space="preserve"> </w:t>
      </w:r>
      <w:r>
        <w:rPr>
          <w:rFonts w:ascii="Times New Roman" w:hAnsi="Times New Roman"/>
          <w:lang w:val="sr-Latn-BA"/>
        </w:rPr>
        <w:t>самоуправе</w:t>
      </w:r>
      <w:r w:rsidR="0042679D" w:rsidRPr="00295637">
        <w:rPr>
          <w:rFonts w:ascii="Times New Roman" w:hAnsi="Times New Roman"/>
          <w:lang w:val="sr-Latn-BA"/>
        </w:rPr>
        <w:t xml:space="preserve"> </w:t>
      </w:r>
      <w:r>
        <w:rPr>
          <w:rFonts w:ascii="Times New Roman" w:hAnsi="Times New Roman"/>
          <w:lang w:val="sr-Latn-BA"/>
        </w:rPr>
        <w:t>РС</w:t>
      </w:r>
      <w:r w:rsidR="0042679D">
        <w:rPr>
          <w:rFonts w:ascii="Times New Roman" w:hAnsi="Times New Roman"/>
          <w:lang w:val="sr-Latn-BA"/>
        </w:rPr>
        <w:t>,</w:t>
      </w:r>
      <w:r w:rsidR="0042679D" w:rsidRPr="00295637">
        <w:rPr>
          <w:rFonts w:ascii="Times New Roman" w:hAnsi="Times New Roman"/>
          <w:lang w:val="sr-Latn-BA"/>
        </w:rPr>
        <w:t xml:space="preserve"> </w:t>
      </w:r>
      <w:r>
        <w:rPr>
          <w:rFonts w:ascii="Times New Roman" w:hAnsi="Times New Roman"/>
          <w:lang w:val="sr-Latn-BA"/>
        </w:rPr>
        <w:t>као</w:t>
      </w:r>
      <w:r w:rsidR="0042679D" w:rsidRPr="00295637">
        <w:rPr>
          <w:rFonts w:ascii="Times New Roman" w:hAnsi="Times New Roman"/>
          <w:lang w:val="sr-Latn-BA"/>
        </w:rPr>
        <w:t xml:space="preserve"> </w:t>
      </w:r>
      <w:r>
        <w:rPr>
          <w:rFonts w:ascii="Times New Roman" w:hAnsi="Times New Roman"/>
          <w:lang w:val="sr-Latn-BA"/>
        </w:rPr>
        <w:t>што</w:t>
      </w:r>
      <w:r w:rsidR="0042679D" w:rsidRPr="00295637">
        <w:rPr>
          <w:rFonts w:ascii="Times New Roman" w:hAnsi="Times New Roman"/>
          <w:lang w:val="sr-Latn-BA"/>
        </w:rPr>
        <w:t xml:space="preserve"> </w:t>
      </w:r>
      <w:r>
        <w:rPr>
          <w:rFonts w:ascii="Times New Roman" w:hAnsi="Times New Roman"/>
          <w:lang w:val="sr-Latn-BA"/>
        </w:rPr>
        <w:t>су</w:t>
      </w:r>
      <w:r w:rsidR="0042679D" w:rsidRPr="00295637">
        <w:rPr>
          <w:rFonts w:ascii="Times New Roman" w:hAnsi="Times New Roman"/>
          <w:lang w:val="sr-Latn-BA"/>
        </w:rPr>
        <w:t xml:space="preserve"> </w:t>
      </w:r>
      <w:r>
        <w:rPr>
          <w:rFonts w:ascii="Times New Roman" w:hAnsi="Times New Roman"/>
          <w:lang w:val="sr-Latn-BA"/>
        </w:rPr>
        <w:t>Бања</w:t>
      </w:r>
      <w:r w:rsidR="0042679D" w:rsidRPr="00295637">
        <w:rPr>
          <w:rFonts w:ascii="Times New Roman" w:hAnsi="Times New Roman"/>
          <w:lang w:val="sr-Latn-BA"/>
        </w:rPr>
        <w:t xml:space="preserve"> </w:t>
      </w:r>
      <w:r>
        <w:rPr>
          <w:rFonts w:ascii="Times New Roman" w:hAnsi="Times New Roman"/>
          <w:lang w:val="sr-Latn-BA"/>
        </w:rPr>
        <w:t>Лука</w:t>
      </w:r>
      <w:r w:rsidR="0042679D" w:rsidRPr="00295637">
        <w:rPr>
          <w:rFonts w:ascii="Times New Roman" w:hAnsi="Times New Roman"/>
          <w:lang w:val="sr-Latn-BA"/>
        </w:rPr>
        <w:t xml:space="preserve">, </w:t>
      </w:r>
      <w:r>
        <w:rPr>
          <w:rFonts w:ascii="Times New Roman" w:hAnsi="Times New Roman"/>
          <w:lang w:val="sr-Latn-BA"/>
        </w:rPr>
        <w:t>Приједор</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Берковићи</w:t>
      </w:r>
      <w:r w:rsidR="0042679D">
        <w:rPr>
          <w:rFonts w:ascii="Times New Roman" w:hAnsi="Times New Roman"/>
          <w:lang w:val="sr-Latn-BA"/>
        </w:rPr>
        <w:t>,</w:t>
      </w:r>
      <w:r w:rsidR="0042679D" w:rsidRPr="00295637">
        <w:rPr>
          <w:rFonts w:ascii="Times New Roman" w:hAnsi="Times New Roman"/>
          <w:lang w:val="sr-Latn-BA"/>
        </w:rPr>
        <w:t xml:space="preserve"> </w:t>
      </w:r>
      <w:r w:rsidR="002D5D32">
        <w:rPr>
          <w:rFonts w:ascii="Times New Roman" w:hAnsi="Times New Roman"/>
          <w:lang w:val="sr-Cyrl-BA"/>
        </w:rPr>
        <w:t>спроводили</w:t>
      </w:r>
      <w:r w:rsidR="0042679D" w:rsidRPr="00295637">
        <w:rPr>
          <w:rFonts w:ascii="Times New Roman" w:hAnsi="Times New Roman"/>
          <w:lang w:val="sr-Latn-BA"/>
        </w:rPr>
        <w:t xml:space="preserve"> </w:t>
      </w:r>
      <w:r>
        <w:rPr>
          <w:rFonts w:ascii="Times New Roman" w:hAnsi="Times New Roman"/>
          <w:lang w:val="sr-Latn-BA"/>
        </w:rPr>
        <w:t>су</w:t>
      </w:r>
      <w:r w:rsidR="0042679D" w:rsidRPr="00295637">
        <w:rPr>
          <w:rFonts w:ascii="Times New Roman" w:hAnsi="Times New Roman"/>
          <w:lang w:val="sr-Latn-BA"/>
        </w:rPr>
        <w:t xml:space="preserve"> </w:t>
      </w:r>
      <w:r>
        <w:rPr>
          <w:rFonts w:ascii="Times New Roman" w:hAnsi="Times New Roman"/>
          <w:lang w:val="sr-Latn-BA"/>
        </w:rPr>
        <w:t>активности</w:t>
      </w:r>
      <w:r w:rsidR="0042679D" w:rsidRPr="00295637">
        <w:rPr>
          <w:rFonts w:ascii="Times New Roman" w:hAnsi="Times New Roman"/>
          <w:lang w:val="sr-Latn-BA"/>
        </w:rPr>
        <w:t xml:space="preserve"> </w:t>
      </w:r>
      <w:r>
        <w:rPr>
          <w:rFonts w:ascii="Times New Roman" w:hAnsi="Times New Roman"/>
          <w:lang w:val="sr-Latn-BA"/>
        </w:rPr>
        <w:t>унапређења</w:t>
      </w:r>
      <w:r w:rsidR="0042679D">
        <w:rPr>
          <w:rFonts w:ascii="Times New Roman" w:hAnsi="Times New Roman"/>
          <w:lang w:val="sr-Latn-BA"/>
        </w:rPr>
        <w:t xml:space="preserve"> </w:t>
      </w:r>
      <w:r>
        <w:rPr>
          <w:rFonts w:ascii="Times New Roman" w:hAnsi="Times New Roman"/>
          <w:lang w:val="sr-Latn-BA"/>
        </w:rPr>
        <w:t>механизама</w:t>
      </w:r>
      <w:r w:rsidR="0042679D">
        <w:rPr>
          <w:rFonts w:ascii="Times New Roman" w:hAnsi="Times New Roman"/>
          <w:lang w:val="sr-Latn-BA"/>
        </w:rPr>
        <w:t xml:space="preserve"> </w:t>
      </w:r>
      <w:r>
        <w:rPr>
          <w:rFonts w:ascii="Times New Roman" w:hAnsi="Times New Roman"/>
          <w:lang w:val="sr-Latn-BA"/>
        </w:rPr>
        <w:t>за</w:t>
      </w:r>
      <w:r w:rsidR="0042679D">
        <w:rPr>
          <w:rFonts w:ascii="Times New Roman" w:hAnsi="Times New Roman"/>
          <w:lang w:val="sr-Latn-BA"/>
        </w:rPr>
        <w:t xml:space="preserve"> </w:t>
      </w:r>
      <w:r>
        <w:rPr>
          <w:rFonts w:ascii="Times New Roman" w:hAnsi="Times New Roman"/>
          <w:lang w:val="sr-Latn-BA"/>
        </w:rPr>
        <w:t>надзор</w:t>
      </w:r>
      <w:r w:rsidR="0042679D">
        <w:rPr>
          <w:rFonts w:ascii="Times New Roman" w:hAnsi="Times New Roman"/>
          <w:lang w:val="sr-Latn-BA"/>
        </w:rPr>
        <w:t xml:space="preserve"> </w:t>
      </w:r>
      <w:r w:rsidR="002D5D32">
        <w:rPr>
          <w:rFonts w:ascii="Times New Roman" w:hAnsi="Times New Roman"/>
          <w:lang w:val="sr-Cyrl-BA"/>
        </w:rPr>
        <w:t>спровођења</w:t>
      </w:r>
      <w:r w:rsidR="0042679D" w:rsidRPr="00295637">
        <w:rPr>
          <w:rFonts w:ascii="Times New Roman" w:hAnsi="Times New Roman"/>
          <w:lang w:val="sr-Latn-BA"/>
        </w:rPr>
        <w:t xml:space="preserve"> </w:t>
      </w:r>
      <w:r>
        <w:rPr>
          <w:rFonts w:ascii="Times New Roman" w:hAnsi="Times New Roman"/>
          <w:lang w:val="sr-Latn-BA"/>
        </w:rPr>
        <w:t>законских</w:t>
      </w:r>
      <w:r w:rsidR="0042679D">
        <w:rPr>
          <w:rFonts w:ascii="Times New Roman" w:hAnsi="Times New Roman"/>
          <w:lang w:val="sr-Latn-BA"/>
        </w:rPr>
        <w:t xml:space="preserve"> </w:t>
      </w:r>
      <w:r>
        <w:rPr>
          <w:rFonts w:ascii="Times New Roman" w:hAnsi="Times New Roman"/>
          <w:lang w:val="sr-Latn-BA"/>
        </w:rPr>
        <w:t>одредби</w:t>
      </w:r>
      <w:r w:rsidR="0042679D">
        <w:rPr>
          <w:rFonts w:ascii="Times New Roman" w:hAnsi="Times New Roman"/>
          <w:lang w:val="sr-Latn-BA"/>
        </w:rPr>
        <w:t xml:space="preserve"> </w:t>
      </w:r>
      <w:r>
        <w:rPr>
          <w:rFonts w:ascii="Times New Roman" w:hAnsi="Times New Roman"/>
          <w:lang w:val="sr-Latn-BA"/>
        </w:rPr>
        <w:t>кривичноправне</w:t>
      </w:r>
      <w:r w:rsidR="0042679D">
        <w:rPr>
          <w:rFonts w:ascii="Times New Roman" w:hAnsi="Times New Roman"/>
          <w:lang w:val="sr-Latn-BA"/>
        </w:rPr>
        <w:t xml:space="preserve"> </w:t>
      </w:r>
      <w:r>
        <w:rPr>
          <w:rFonts w:ascii="Times New Roman" w:hAnsi="Times New Roman"/>
          <w:lang w:val="sr-Latn-BA"/>
        </w:rPr>
        <w:t>заштите</w:t>
      </w:r>
      <w:r w:rsidR="0042679D">
        <w:rPr>
          <w:rFonts w:ascii="Times New Roman" w:hAnsi="Times New Roman"/>
          <w:lang w:val="sr-Latn-BA"/>
        </w:rPr>
        <w:t xml:space="preserve"> </w:t>
      </w:r>
      <w:r>
        <w:rPr>
          <w:rFonts w:ascii="Times New Roman" w:hAnsi="Times New Roman"/>
          <w:lang w:val="sr-Latn-BA"/>
        </w:rPr>
        <w:t>жртава</w:t>
      </w:r>
      <w:r w:rsidR="0042679D" w:rsidRPr="00295637">
        <w:rPr>
          <w:rFonts w:ascii="Times New Roman" w:hAnsi="Times New Roman"/>
          <w:lang w:val="sr-Latn-BA"/>
        </w:rPr>
        <w:t xml:space="preserve"> </w:t>
      </w:r>
      <w:r>
        <w:rPr>
          <w:rFonts w:ascii="Times New Roman" w:hAnsi="Times New Roman"/>
          <w:lang w:val="sr-Latn-BA"/>
        </w:rPr>
        <w:t>насиља</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породици</w:t>
      </w:r>
      <w:r w:rsidR="0042679D" w:rsidRPr="00295637">
        <w:rPr>
          <w:rFonts w:ascii="Times New Roman" w:hAnsi="Times New Roman"/>
          <w:lang w:val="sr-Latn-BA"/>
        </w:rPr>
        <w:t xml:space="preserve">, </w:t>
      </w:r>
      <w:r>
        <w:rPr>
          <w:rFonts w:ascii="Times New Roman" w:hAnsi="Times New Roman"/>
          <w:lang w:val="sr-Latn-BA"/>
        </w:rPr>
        <w:t>промотивне</w:t>
      </w:r>
      <w:r w:rsidR="0042679D" w:rsidRPr="00295637">
        <w:rPr>
          <w:rFonts w:ascii="Times New Roman" w:hAnsi="Times New Roman"/>
          <w:lang w:val="sr-Latn-BA"/>
        </w:rPr>
        <w:t xml:space="preserve"> </w:t>
      </w:r>
      <w:r>
        <w:rPr>
          <w:rFonts w:ascii="Times New Roman" w:hAnsi="Times New Roman"/>
          <w:lang w:val="sr-Latn-BA"/>
        </w:rPr>
        <w:t>активности</w:t>
      </w:r>
      <w:r w:rsidR="0042679D" w:rsidRPr="00295637">
        <w:rPr>
          <w:rFonts w:ascii="Times New Roman" w:hAnsi="Times New Roman"/>
          <w:lang w:val="sr-Latn-BA"/>
        </w:rPr>
        <w:t xml:space="preserve">, </w:t>
      </w:r>
      <w:r>
        <w:rPr>
          <w:rFonts w:ascii="Times New Roman" w:hAnsi="Times New Roman"/>
          <w:lang w:val="sr-Latn-BA"/>
        </w:rPr>
        <w:t>секторске</w:t>
      </w:r>
      <w:r w:rsidR="0042679D" w:rsidRPr="00295637">
        <w:rPr>
          <w:rFonts w:ascii="Times New Roman" w:hAnsi="Times New Roman"/>
          <w:lang w:val="sr-Latn-BA"/>
        </w:rPr>
        <w:t xml:space="preserve"> </w:t>
      </w:r>
      <w:r>
        <w:rPr>
          <w:rFonts w:ascii="Times New Roman" w:hAnsi="Times New Roman"/>
          <w:lang w:val="sr-Latn-BA"/>
        </w:rPr>
        <w:t>састанке</w:t>
      </w:r>
      <w:r w:rsidR="0042679D" w:rsidRPr="00295637">
        <w:rPr>
          <w:rFonts w:ascii="Times New Roman" w:hAnsi="Times New Roman"/>
          <w:lang w:val="sr-Latn-BA"/>
        </w:rPr>
        <w:t xml:space="preserve"> </w:t>
      </w:r>
      <w:r>
        <w:rPr>
          <w:rFonts w:ascii="Times New Roman" w:hAnsi="Times New Roman"/>
          <w:lang w:val="sr-Latn-BA"/>
        </w:rPr>
        <w:t>на</w:t>
      </w:r>
      <w:r w:rsidR="0042679D" w:rsidRPr="00295637">
        <w:rPr>
          <w:rFonts w:ascii="Times New Roman" w:hAnsi="Times New Roman"/>
          <w:lang w:val="sr-Latn-BA"/>
        </w:rPr>
        <w:t xml:space="preserve"> </w:t>
      </w:r>
      <w:r>
        <w:rPr>
          <w:rFonts w:ascii="Times New Roman" w:hAnsi="Times New Roman"/>
          <w:lang w:val="sr-Latn-BA"/>
        </w:rPr>
        <w:t>нивоу</w:t>
      </w:r>
      <w:r w:rsidR="0042679D" w:rsidRPr="00295637">
        <w:rPr>
          <w:rFonts w:ascii="Times New Roman" w:hAnsi="Times New Roman"/>
          <w:lang w:val="sr-Latn-BA"/>
        </w:rPr>
        <w:t xml:space="preserve"> </w:t>
      </w:r>
      <w:r>
        <w:rPr>
          <w:rFonts w:ascii="Times New Roman" w:hAnsi="Times New Roman"/>
          <w:lang w:val="sr-Latn-BA"/>
        </w:rPr>
        <w:t>субјеката</w:t>
      </w:r>
      <w:r w:rsidR="0042679D" w:rsidRPr="00295637">
        <w:rPr>
          <w:rFonts w:ascii="Times New Roman" w:hAnsi="Times New Roman"/>
          <w:lang w:val="sr-Latn-BA"/>
        </w:rPr>
        <w:t xml:space="preserve"> </w:t>
      </w:r>
      <w:r>
        <w:rPr>
          <w:rFonts w:ascii="Times New Roman" w:hAnsi="Times New Roman"/>
          <w:lang w:val="sr-Latn-BA"/>
        </w:rPr>
        <w:t>заштите</w:t>
      </w:r>
      <w:r w:rsidR="0042679D" w:rsidRPr="00295637">
        <w:rPr>
          <w:rFonts w:ascii="Times New Roman" w:hAnsi="Times New Roman"/>
          <w:lang w:val="sr-Latn-BA"/>
        </w:rPr>
        <w:t xml:space="preserve"> </w:t>
      </w:r>
      <w:r>
        <w:rPr>
          <w:rFonts w:ascii="Times New Roman" w:hAnsi="Times New Roman"/>
          <w:lang w:val="sr-Latn-BA"/>
        </w:rPr>
        <w:t>жртава</w:t>
      </w:r>
      <w:r w:rsidR="0042679D" w:rsidRPr="00295637">
        <w:rPr>
          <w:rFonts w:ascii="Times New Roman" w:hAnsi="Times New Roman"/>
          <w:lang w:val="sr-Latn-BA"/>
        </w:rPr>
        <w:t xml:space="preserve"> </w:t>
      </w:r>
      <w:r>
        <w:rPr>
          <w:rFonts w:ascii="Times New Roman" w:hAnsi="Times New Roman"/>
          <w:lang w:val="sr-Latn-BA"/>
        </w:rPr>
        <w:t>породичног</w:t>
      </w:r>
      <w:r w:rsidR="0042679D" w:rsidRPr="00295637">
        <w:rPr>
          <w:rFonts w:ascii="Times New Roman" w:hAnsi="Times New Roman"/>
          <w:lang w:val="sr-Latn-BA"/>
        </w:rPr>
        <w:t xml:space="preserve"> </w:t>
      </w:r>
      <w:r>
        <w:rPr>
          <w:rFonts w:ascii="Times New Roman" w:hAnsi="Times New Roman"/>
          <w:lang w:val="sr-Latn-BA"/>
        </w:rPr>
        <w:t>насиља</w:t>
      </w:r>
      <w:r w:rsidR="0042679D" w:rsidRPr="00295637">
        <w:rPr>
          <w:rFonts w:ascii="Times New Roman" w:hAnsi="Times New Roman"/>
          <w:lang w:val="sr-Latn-BA"/>
        </w:rPr>
        <w:t xml:space="preserve">, </w:t>
      </w:r>
      <w:r>
        <w:rPr>
          <w:rFonts w:ascii="Times New Roman" w:hAnsi="Times New Roman"/>
          <w:lang w:val="sr-Latn-BA"/>
        </w:rPr>
        <w:t>едукације</w:t>
      </w:r>
      <w:r w:rsidR="0042679D">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психолошко</w:t>
      </w:r>
      <w:r w:rsidR="0042679D" w:rsidRPr="00295637">
        <w:rPr>
          <w:rFonts w:ascii="Times New Roman" w:hAnsi="Times New Roman"/>
          <w:lang w:val="sr-Latn-BA"/>
        </w:rPr>
        <w:t xml:space="preserve"> </w:t>
      </w:r>
      <w:r>
        <w:rPr>
          <w:rFonts w:ascii="Times New Roman" w:hAnsi="Times New Roman"/>
          <w:lang w:val="sr-Latn-BA"/>
        </w:rPr>
        <w:t>савјетовање</w:t>
      </w:r>
      <w:r w:rsidR="0042679D" w:rsidRPr="00295637">
        <w:rPr>
          <w:rFonts w:ascii="Times New Roman" w:hAnsi="Times New Roman"/>
          <w:lang w:val="sr-Latn-BA"/>
        </w:rPr>
        <w:t xml:space="preserve"> </w:t>
      </w:r>
      <w:r>
        <w:rPr>
          <w:rFonts w:ascii="Times New Roman" w:hAnsi="Times New Roman"/>
          <w:lang w:val="sr-Latn-BA"/>
        </w:rPr>
        <w:t>дјеце</w:t>
      </w:r>
      <w:r w:rsidR="0042679D" w:rsidRPr="00295637">
        <w:rPr>
          <w:rFonts w:ascii="Times New Roman" w:hAnsi="Times New Roman"/>
          <w:lang w:val="sr-Latn-BA"/>
        </w:rPr>
        <w:t xml:space="preserve"> </w:t>
      </w:r>
      <w:r>
        <w:rPr>
          <w:rFonts w:ascii="Times New Roman" w:hAnsi="Times New Roman"/>
          <w:lang w:val="sr-Latn-BA"/>
        </w:rPr>
        <w:t>свједока</w:t>
      </w:r>
      <w:r w:rsidR="0042679D" w:rsidRPr="00295637">
        <w:rPr>
          <w:rFonts w:ascii="Times New Roman" w:hAnsi="Times New Roman"/>
          <w:lang w:val="sr-Latn-BA"/>
        </w:rPr>
        <w:t xml:space="preserve"> </w:t>
      </w:r>
      <w:r>
        <w:rPr>
          <w:rFonts w:ascii="Times New Roman" w:hAnsi="Times New Roman"/>
          <w:lang w:val="sr-Latn-BA"/>
        </w:rPr>
        <w:t>насиља</w:t>
      </w:r>
      <w:r w:rsidR="0042679D" w:rsidRPr="00295637">
        <w:rPr>
          <w:rFonts w:ascii="Times New Roman" w:hAnsi="Times New Roman"/>
          <w:lang w:val="sr-Latn-BA"/>
        </w:rPr>
        <w:t xml:space="preserve">. </w:t>
      </w:r>
    </w:p>
    <w:p w:rsidR="0042679D" w:rsidRPr="009935FF" w:rsidRDefault="0042679D" w:rsidP="0086268D">
      <w:pPr>
        <w:pStyle w:val="ListParagraph"/>
        <w:rPr>
          <w:iCs/>
          <w:bdr w:val="none" w:sz="0" w:space="0" w:color="auto" w:frame="1"/>
        </w:rPr>
      </w:pPr>
    </w:p>
    <w:p w:rsidR="0042679D" w:rsidRPr="00AF3DB8" w:rsidRDefault="00C6214E" w:rsidP="0086268D">
      <w:pPr>
        <w:pStyle w:val="ListParagraph"/>
        <w:numPr>
          <w:ilvl w:val="0"/>
          <w:numId w:val="17"/>
        </w:numPr>
        <w:jc w:val="both"/>
        <w:rPr>
          <w:rStyle w:val="Emphasis"/>
          <w:rFonts w:ascii="Times New Roman" w:hAnsi="Times New Roman"/>
          <w:i w:val="0"/>
          <w:iCs w:val="0"/>
          <w:lang w:val="sr-Latn-BA"/>
        </w:rPr>
      </w:pPr>
      <w:r>
        <w:rPr>
          <w:rFonts w:ascii="Times New Roman" w:hAnsi="Times New Roman"/>
          <w:lang w:val="sr-Latn-BA"/>
        </w:rPr>
        <w:t>Комисија</w:t>
      </w:r>
      <w:r w:rsidR="0042679D" w:rsidRPr="009935FF">
        <w:rPr>
          <w:rFonts w:ascii="Times New Roman" w:hAnsi="Times New Roman"/>
          <w:lang w:val="sr-Latn-BA"/>
        </w:rPr>
        <w:t xml:space="preserve"> </w:t>
      </w:r>
      <w:r>
        <w:rPr>
          <w:rFonts w:ascii="Times New Roman" w:hAnsi="Times New Roman"/>
          <w:lang w:val="sr-Latn-BA"/>
        </w:rPr>
        <w:t>за</w:t>
      </w:r>
      <w:r w:rsidR="0042679D" w:rsidRPr="009935FF">
        <w:rPr>
          <w:rFonts w:ascii="Times New Roman" w:hAnsi="Times New Roman"/>
          <w:lang w:val="sr-Latn-BA"/>
        </w:rPr>
        <w:t xml:space="preserve"> </w:t>
      </w:r>
      <w:r>
        <w:rPr>
          <w:rFonts w:ascii="Times New Roman" w:hAnsi="Times New Roman"/>
          <w:lang w:val="sr-Latn-BA"/>
        </w:rPr>
        <w:t>равноправност</w:t>
      </w:r>
      <w:r w:rsidR="0042679D" w:rsidRPr="009935FF">
        <w:rPr>
          <w:rFonts w:ascii="Times New Roman" w:hAnsi="Times New Roman"/>
          <w:lang w:val="sr-Latn-BA"/>
        </w:rPr>
        <w:t xml:space="preserve"> </w:t>
      </w:r>
      <w:r>
        <w:rPr>
          <w:rFonts w:ascii="Times New Roman" w:hAnsi="Times New Roman"/>
          <w:lang w:val="sr-Latn-BA"/>
        </w:rPr>
        <w:t>полова</w:t>
      </w:r>
      <w:r w:rsidR="0042679D" w:rsidRPr="009935FF">
        <w:rPr>
          <w:rFonts w:ascii="Times New Roman" w:hAnsi="Times New Roman"/>
          <w:lang w:val="sr-Latn-BA"/>
        </w:rPr>
        <w:t xml:space="preserve"> </w:t>
      </w:r>
      <w:r>
        <w:rPr>
          <w:rFonts w:ascii="Times New Roman" w:hAnsi="Times New Roman"/>
          <w:lang w:val="sr-Latn-BA"/>
        </w:rPr>
        <w:t>Града</w:t>
      </w:r>
      <w:r w:rsidR="0042679D" w:rsidRPr="009935FF">
        <w:rPr>
          <w:rFonts w:ascii="Times New Roman" w:hAnsi="Times New Roman"/>
          <w:lang w:val="sr-Latn-BA"/>
        </w:rPr>
        <w:t xml:space="preserve"> </w:t>
      </w:r>
      <w:r>
        <w:rPr>
          <w:rFonts w:ascii="Times New Roman" w:hAnsi="Times New Roman"/>
          <w:lang w:val="sr-Latn-BA"/>
        </w:rPr>
        <w:t>Приједора</w:t>
      </w:r>
      <w:r w:rsidR="0042679D" w:rsidRPr="009935FF">
        <w:rPr>
          <w:rFonts w:ascii="Times New Roman" w:hAnsi="Times New Roman"/>
          <w:lang w:val="sr-Latn-BA"/>
        </w:rPr>
        <w:t xml:space="preserve">, </w:t>
      </w:r>
      <w:r>
        <w:rPr>
          <w:rFonts w:ascii="Times New Roman" w:hAnsi="Times New Roman"/>
          <w:lang w:val="sr-Latn-BA"/>
        </w:rPr>
        <w:t>у</w:t>
      </w:r>
      <w:r w:rsidR="0042679D" w:rsidRPr="009935FF">
        <w:rPr>
          <w:rFonts w:ascii="Times New Roman" w:hAnsi="Times New Roman"/>
          <w:lang w:val="sr-Latn-BA"/>
        </w:rPr>
        <w:t xml:space="preserve"> </w:t>
      </w:r>
      <w:r>
        <w:rPr>
          <w:rFonts w:ascii="Times New Roman" w:hAnsi="Times New Roman"/>
          <w:lang w:val="sr-Latn-BA"/>
        </w:rPr>
        <w:t>сарадњи</w:t>
      </w:r>
      <w:r w:rsidR="00622222">
        <w:rPr>
          <w:rFonts w:ascii="Times New Roman" w:hAnsi="Times New Roman"/>
          <w:lang w:val="sr-Latn-BA"/>
        </w:rPr>
        <w:t xml:space="preserve"> </w:t>
      </w:r>
      <w:r>
        <w:rPr>
          <w:rFonts w:ascii="Times New Roman" w:hAnsi="Times New Roman"/>
          <w:lang w:val="sr-Latn-BA"/>
        </w:rPr>
        <w:t>са</w:t>
      </w:r>
      <w:r w:rsidR="0042679D" w:rsidRPr="009935FF">
        <w:rPr>
          <w:rFonts w:ascii="Times New Roman" w:hAnsi="Times New Roman"/>
          <w:lang w:val="sr-Latn-BA"/>
        </w:rPr>
        <w:t xml:space="preserve"> </w:t>
      </w:r>
      <w:r>
        <w:rPr>
          <w:rFonts w:ascii="Times New Roman" w:hAnsi="Times New Roman"/>
          <w:lang w:val="sr-Latn-BA"/>
        </w:rPr>
        <w:t>ЦСР</w:t>
      </w:r>
      <w:r w:rsidR="0042679D" w:rsidRPr="009935FF">
        <w:rPr>
          <w:rFonts w:ascii="Times New Roman" w:hAnsi="Times New Roman"/>
          <w:lang w:val="sr-Latn-BA"/>
        </w:rPr>
        <w:t xml:space="preserve"> </w:t>
      </w:r>
      <w:r>
        <w:rPr>
          <w:rFonts w:ascii="Times New Roman" w:hAnsi="Times New Roman"/>
          <w:lang w:val="sr-Latn-BA"/>
        </w:rPr>
        <w:t>Приједор</w:t>
      </w:r>
      <w:r w:rsidR="0042679D" w:rsidRPr="009935FF">
        <w:rPr>
          <w:rFonts w:ascii="Times New Roman" w:hAnsi="Times New Roman"/>
          <w:lang w:val="sr-Latn-BA"/>
        </w:rPr>
        <w:t xml:space="preserve">, </w:t>
      </w:r>
      <w:r>
        <w:rPr>
          <w:rFonts w:ascii="Times New Roman" w:hAnsi="Times New Roman"/>
          <w:lang w:val="sr-Latn-BA"/>
        </w:rPr>
        <w:t>провела</w:t>
      </w:r>
      <w:r w:rsidR="00622222">
        <w:rPr>
          <w:rFonts w:ascii="Times New Roman" w:hAnsi="Times New Roman"/>
          <w:lang w:val="sr-Latn-BA"/>
        </w:rPr>
        <w:t xml:space="preserve"> </w:t>
      </w:r>
      <w:r>
        <w:rPr>
          <w:rFonts w:ascii="Times New Roman" w:hAnsi="Times New Roman"/>
          <w:lang w:val="sr-Latn-BA"/>
        </w:rPr>
        <w:t>је</w:t>
      </w:r>
      <w:r w:rsidR="00622222">
        <w:rPr>
          <w:rFonts w:ascii="Times New Roman" w:hAnsi="Times New Roman"/>
          <w:lang w:val="sr-Latn-BA"/>
        </w:rPr>
        <w:t xml:space="preserve"> </w:t>
      </w:r>
      <w:r>
        <w:rPr>
          <w:rFonts w:ascii="Times New Roman" w:hAnsi="Times New Roman"/>
          <w:lang w:val="sr-Latn-BA"/>
        </w:rPr>
        <w:t>пројекат</w:t>
      </w:r>
      <w:r w:rsidR="0042679D" w:rsidRPr="009935FF">
        <w:rPr>
          <w:rFonts w:ascii="Times New Roman" w:hAnsi="Times New Roman"/>
          <w:lang w:val="sr-Latn-BA"/>
        </w:rPr>
        <w:t xml:space="preserve"> „</w:t>
      </w:r>
      <w:r>
        <w:rPr>
          <w:rFonts w:ascii="Times New Roman" w:hAnsi="Times New Roman"/>
          <w:lang w:val="sr-Latn-BA"/>
        </w:rPr>
        <w:t>Запосли</w:t>
      </w:r>
      <w:r w:rsidR="0042679D" w:rsidRPr="009935FF">
        <w:rPr>
          <w:rFonts w:ascii="Times New Roman" w:hAnsi="Times New Roman"/>
          <w:lang w:val="sr-Latn-BA"/>
        </w:rPr>
        <w:t xml:space="preserve"> </w:t>
      </w:r>
      <w:r>
        <w:rPr>
          <w:rFonts w:ascii="Times New Roman" w:hAnsi="Times New Roman"/>
          <w:lang w:val="sr-Latn-BA"/>
        </w:rPr>
        <w:t>се</w:t>
      </w:r>
      <w:r w:rsidR="0042679D" w:rsidRPr="009935FF">
        <w:rPr>
          <w:rFonts w:ascii="Times New Roman" w:hAnsi="Times New Roman"/>
          <w:lang w:val="sr-Latn-BA"/>
        </w:rPr>
        <w:t>“</w:t>
      </w:r>
      <w:r w:rsidR="0042679D">
        <w:rPr>
          <w:rFonts w:ascii="Times New Roman" w:hAnsi="Times New Roman"/>
          <w:lang w:val="sr-Latn-BA"/>
        </w:rPr>
        <w:t>,</w:t>
      </w:r>
      <w:r w:rsidR="0042679D" w:rsidRPr="009935FF">
        <w:rPr>
          <w:rFonts w:ascii="Times New Roman" w:hAnsi="Times New Roman"/>
          <w:lang w:val="sr-Latn-BA"/>
        </w:rPr>
        <w:t xml:space="preserve"> </w:t>
      </w:r>
      <w:r>
        <w:rPr>
          <w:rFonts w:ascii="Times New Roman" w:hAnsi="Times New Roman"/>
          <w:lang w:val="sr-Latn-BA"/>
        </w:rPr>
        <w:t>намијењен</w:t>
      </w:r>
      <w:r w:rsidR="0042679D" w:rsidRPr="009935FF">
        <w:rPr>
          <w:rFonts w:ascii="Times New Roman" w:hAnsi="Times New Roman"/>
          <w:lang w:val="sr-Latn-BA"/>
        </w:rPr>
        <w:t xml:space="preserve"> </w:t>
      </w:r>
      <w:r>
        <w:rPr>
          <w:rFonts w:ascii="Times New Roman" w:hAnsi="Times New Roman"/>
          <w:lang w:val="sr-Latn-BA"/>
        </w:rPr>
        <w:t>женама</w:t>
      </w:r>
      <w:r w:rsidR="0042679D" w:rsidRPr="009935FF">
        <w:rPr>
          <w:rFonts w:ascii="Times New Roman" w:hAnsi="Times New Roman"/>
          <w:lang w:val="sr-Latn-BA"/>
        </w:rPr>
        <w:t xml:space="preserve"> </w:t>
      </w:r>
      <w:r>
        <w:rPr>
          <w:rFonts w:ascii="Times New Roman" w:hAnsi="Times New Roman"/>
          <w:lang w:val="sr-Latn-BA"/>
        </w:rPr>
        <w:t>угроженим</w:t>
      </w:r>
      <w:r w:rsidR="0042679D" w:rsidRPr="009935FF">
        <w:rPr>
          <w:rFonts w:ascii="Times New Roman" w:hAnsi="Times New Roman"/>
          <w:lang w:val="sr-Latn-BA"/>
        </w:rPr>
        <w:t xml:space="preserve"> </w:t>
      </w:r>
      <w:r>
        <w:rPr>
          <w:rFonts w:ascii="Times New Roman" w:hAnsi="Times New Roman"/>
          <w:lang w:val="sr-Latn-BA"/>
        </w:rPr>
        <w:t>социјалним</w:t>
      </w:r>
      <w:r w:rsidR="0042679D" w:rsidRPr="009935FF">
        <w:rPr>
          <w:rFonts w:ascii="Times New Roman" w:hAnsi="Times New Roman"/>
          <w:lang w:val="sr-Latn-BA"/>
        </w:rPr>
        <w:t xml:space="preserve"> </w:t>
      </w:r>
      <w:r>
        <w:rPr>
          <w:rFonts w:ascii="Times New Roman" w:hAnsi="Times New Roman"/>
          <w:lang w:val="sr-Latn-BA"/>
        </w:rPr>
        <w:t>приликама</w:t>
      </w:r>
      <w:r w:rsidR="0042679D">
        <w:rPr>
          <w:rFonts w:ascii="Times New Roman" w:hAnsi="Times New Roman"/>
          <w:lang w:val="sr-Latn-BA"/>
        </w:rPr>
        <w:t xml:space="preserve"> </w:t>
      </w:r>
      <w:r>
        <w:rPr>
          <w:rFonts w:ascii="Times New Roman" w:hAnsi="Times New Roman"/>
          <w:lang w:val="sr-Latn-BA"/>
        </w:rPr>
        <w:t>и</w:t>
      </w:r>
      <w:r w:rsidR="0042679D">
        <w:rPr>
          <w:rFonts w:ascii="Times New Roman" w:hAnsi="Times New Roman"/>
          <w:lang w:val="sr-Latn-BA"/>
        </w:rPr>
        <w:t xml:space="preserve"> </w:t>
      </w:r>
      <w:r>
        <w:rPr>
          <w:rFonts w:ascii="Times New Roman" w:hAnsi="Times New Roman"/>
          <w:lang w:val="sr-Latn-BA"/>
        </w:rPr>
        <w:t>женама</w:t>
      </w:r>
      <w:r w:rsidR="0042679D">
        <w:rPr>
          <w:rFonts w:ascii="Times New Roman" w:hAnsi="Times New Roman"/>
          <w:lang w:val="sr-Latn-BA"/>
        </w:rPr>
        <w:t xml:space="preserve"> </w:t>
      </w:r>
      <w:r>
        <w:rPr>
          <w:rFonts w:ascii="Times New Roman" w:hAnsi="Times New Roman"/>
          <w:lang w:val="sr-Latn-BA"/>
        </w:rPr>
        <w:t>из</w:t>
      </w:r>
      <w:r w:rsidR="0042679D">
        <w:rPr>
          <w:rFonts w:ascii="Times New Roman" w:hAnsi="Times New Roman"/>
          <w:lang w:val="sr-Latn-BA"/>
        </w:rPr>
        <w:t xml:space="preserve"> </w:t>
      </w:r>
      <w:r>
        <w:rPr>
          <w:rFonts w:ascii="Times New Roman" w:hAnsi="Times New Roman"/>
          <w:lang w:val="sr-Latn-BA"/>
        </w:rPr>
        <w:t>руралних</w:t>
      </w:r>
      <w:r w:rsidR="0042679D">
        <w:rPr>
          <w:rFonts w:ascii="Times New Roman" w:hAnsi="Times New Roman"/>
          <w:lang w:val="sr-Latn-BA"/>
        </w:rPr>
        <w:t xml:space="preserve"> </w:t>
      </w:r>
      <w:r>
        <w:rPr>
          <w:rFonts w:ascii="Times New Roman" w:hAnsi="Times New Roman"/>
          <w:lang w:val="sr-Latn-BA"/>
        </w:rPr>
        <w:t>средина</w:t>
      </w:r>
      <w:r w:rsidR="0042679D">
        <w:rPr>
          <w:rFonts w:ascii="Times New Roman" w:hAnsi="Times New Roman"/>
          <w:lang w:val="sr-Latn-BA"/>
        </w:rPr>
        <w:t xml:space="preserve">, </w:t>
      </w:r>
      <w:r>
        <w:rPr>
          <w:rFonts w:ascii="Times New Roman" w:hAnsi="Times New Roman"/>
          <w:lang w:val="sr-Latn-BA"/>
        </w:rPr>
        <w:t>а</w:t>
      </w:r>
      <w:r w:rsidR="0042679D">
        <w:rPr>
          <w:rFonts w:ascii="Times New Roman" w:hAnsi="Times New Roman"/>
          <w:lang w:val="sr-Latn-BA"/>
        </w:rPr>
        <w:t xml:space="preserve"> </w:t>
      </w:r>
      <w:r>
        <w:rPr>
          <w:rFonts w:ascii="Times New Roman" w:hAnsi="Times New Roman"/>
          <w:lang w:val="sr-Latn-BA"/>
        </w:rPr>
        <w:t>ЦСР</w:t>
      </w:r>
      <w:r w:rsidR="0042679D" w:rsidRPr="008E6B79">
        <w:rPr>
          <w:rFonts w:ascii="Times New Roman" w:hAnsi="Times New Roman"/>
          <w:lang w:val="sr-Latn-BA"/>
        </w:rPr>
        <w:t xml:space="preserve"> </w:t>
      </w:r>
      <w:r>
        <w:rPr>
          <w:rFonts w:ascii="Times New Roman" w:hAnsi="Times New Roman"/>
          <w:lang w:val="sr-Latn-BA"/>
        </w:rPr>
        <w:t>Приједор</w:t>
      </w:r>
      <w:r w:rsidR="0042679D" w:rsidRPr="008E6B79">
        <w:rPr>
          <w:rFonts w:ascii="Times New Roman" w:hAnsi="Times New Roman"/>
          <w:lang w:val="sr-Latn-BA"/>
        </w:rPr>
        <w:t xml:space="preserve"> </w:t>
      </w:r>
      <w:r>
        <w:rPr>
          <w:rFonts w:ascii="Times New Roman" w:hAnsi="Times New Roman"/>
          <w:lang w:val="sr-Latn-BA"/>
        </w:rPr>
        <w:t>је</w:t>
      </w:r>
      <w:r w:rsidR="0042679D" w:rsidRPr="008E6B79">
        <w:rPr>
          <w:rFonts w:ascii="Times New Roman" w:hAnsi="Times New Roman"/>
          <w:lang w:val="sr-Latn-BA"/>
        </w:rPr>
        <w:t xml:space="preserve"> </w:t>
      </w:r>
      <w:r>
        <w:rPr>
          <w:rFonts w:ascii="Times New Roman" w:hAnsi="Times New Roman"/>
          <w:lang w:val="sr-Latn-BA"/>
        </w:rPr>
        <w:t>у</w:t>
      </w:r>
      <w:r w:rsidR="0042679D" w:rsidRPr="008E6B79">
        <w:rPr>
          <w:rFonts w:ascii="Times New Roman" w:hAnsi="Times New Roman"/>
          <w:lang w:val="sr-Latn-BA"/>
        </w:rPr>
        <w:t xml:space="preserve"> </w:t>
      </w:r>
      <w:r>
        <w:rPr>
          <w:rFonts w:ascii="Times New Roman" w:hAnsi="Times New Roman"/>
          <w:lang w:val="sr-Latn-BA"/>
        </w:rPr>
        <w:t>извјештајном</w:t>
      </w:r>
      <w:r w:rsidR="0042679D" w:rsidRPr="008E6B79">
        <w:rPr>
          <w:rFonts w:ascii="Times New Roman" w:hAnsi="Times New Roman"/>
          <w:lang w:val="sr-Latn-BA"/>
        </w:rPr>
        <w:t xml:space="preserve"> </w:t>
      </w:r>
      <w:r>
        <w:rPr>
          <w:rFonts w:ascii="Times New Roman" w:hAnsi="Times New Roman"/>
          <w:lang w:val="sr-Latn-BA"/>
        </w:rPr>
        <w:t>периоду</w:t>
      </w:r>
      <w:r w:rsidR="00622222">
        <w:rPr>
          <w:rFonts w:ascii="Times New Roman" w:hAnsi="Times New Roman"/>
          <w:lang w:val="sr-Latn-BA"/>
        </w:rPr>
        <w:t xml:space="preserve"> </w:t>
      </w:r>
      <w:r>
        <w:rPr>
          <w:rFonts w:ascii="Times New Roman" w:hAnsi="Times New Roman"/>
          <w:lang w:val="sr-Latn-BA"/>
        </w:rPr>
        <w:t>упознао</w:t>
      </w:r>
      <w:r w:rsidR="00622222">
        <w:rPr>
          <w:rFonts w:ascii="Times New Roman" w:hAnsi="Times New Roman"/>
          <w:lang w:val="sr-Latn-BA"/>
        </w:rPr>
        <w:t xml:space="preserve"> </w:t>
      </w:r>
      <w:r>
        <w:rPr>
          <w:rFonts w:ascii="Times New Roman" w:hAnsi="Times New Roman"/>
          <w:lang w:val="sr-Latn-BA"/>
        </w:rPr>
        <w:t>своје</w:t>
      </w:r>
      <w:r w:rsidR="00622222">
        <w:rPr>
          <w:rFonts w:ascii="Times New Roman" w:hAnsi="Times New Roman"/>
          <w:lang w:val="sr-Latn-BA"/>
        </w:rPr>
        <w:t xml:space="preserve"> </w:t>
      </w:r>
      <w:r>
        <w:rPr>
          <w:rFonts w:ascii="Times New Roman" w:hAnsi="Times New Roman"/>
          <w:lang w:val="sr-Latn-BA"/>
        </w:rPr>
        <w:t>странке</w:t>
      </w:r>
      <w:r w:rsidR="00622222">
        <w:rPr>
          <w:rFonts w:ascii="Times New Roman" w:hAnsi="Times New Roman"/>
          <w:lang w:val="sr-Latn-BA"/>
        </w:rPr>
        <w:t xml:space="preserve"> </w:t>
      </w:r>
      <w:r>
        <w:rPr>
          <w:rFonts w:ascii="Times New Roman" w:hAnsi="Times New Roman"/>
          <w:lang w:val="sr-Latn-BA"/>
        </w:rPr>
        <w:t>са</w:t>
      </w:r>
      <w:r w:rsidR="0042679D" w:rsidRPr="008E6B79">
        <w:rPr>
          <w:rFonts w:ascii="Times New Roman" w:hAnsi="Times New Roman"/>
          <w:lang w:val="sr-Latn-BA"/>
        </w:rPr>
        <w:t xml:space="preserve"> </w:t>
      </w:r>
      <w:r>
        <w:rPr>
          <w:rFonts w:ascii="Times New Roman" w:hAnsi="Times New Roman"/>
          <w:lang w:val="sr-Latn-BA"/>
        </w:rPr>
        <w:t>Законом</w:t>
      </w:r>
      <w:r w:rsidR="0042679D" w:rsidRPr="008E6B79">
        <w:rPr>
          <w:rFonts w:ascii="Times New Roman" w:hAnsi="Times New Roman"/>
          <w:lang w:val="sr-Latn-BA"/>
        </w:rPr>
        <w:t xml:space="preserve"> </w:t>
      </w:r>
      <w:r>
        <w:rPr>
          <w:rFonts w:ascii="Times New Roman" w:hAnsi="Times New Roman"/>
          <w:lang w:val="sr-Latn-BA"/>
        </w:rPr>
        <w:t>о</w:t>
      </w:r>
      <w:r w:rsidR="0042679D" w:rsidRPr="008E6B79">
        <w:rPr>
          <w:rFonts w:ascii="Times New Roman" w:hAnsi="Times New Roman"/>
          <w:lang w:val="sr-Latn-BA"/>
        </w:rPr>
        <w:t xml:space="preserve"> </w:t>
      </w:r>
      <w:r>
        <w:rPr>
          <w:rFonts w:ascii="Times New Roman" w:hAnsi="Times New Roman"/>
          <w:lang w:val="sr-Latn-BA"/>
        </w:rPr>
        <w:t>забрани</w:t>
      </w:r>
      <w:r w:rsidR="0042679D" w:rsidRPr="008E6B79">
        <w:rPr>
          <w:rFonts w:ascii="Times New Roman" w:hAnsi="Times New Roman"/>
          <w:lang w:val="sr-Latn-BA"/>
        </w:rPr>
        <w:t xml:space="preserve"> </w:t>
      </w:r>
      <w:r>
        <w:rPr>
          <w:rFonts w:ascii="Times New Roman" w:hAnsi="Times New Roman"/>
          <w:lang w:val="sr-Latn-BA"/>
        </w:rPr>
        <w:t>дискриминације</w:t>
      </w:r>
      <w:r w:rsidR="0042679D" w:rsidRPr="008E6B79">
        <w:rPr>
          <w:rFonts w:ascii="Times New Roman" w:hAnsi="Times New Roman"/>
          <w:lang w:val="sr-Latn-BA"/>
        </w:rPr>
        <w:t xml:space="preserve"> </w:t>
      </w:r>
      <w:r>
        <w:rPr>
          <w:rFonts w:ascii="Times New Roman" w:hAnsi="Times New Roman"/>
          <w:lang w:val="sr-Latn-BA"/>
        </w:rPr>
        <w:t>и</w:t>
      </w:r>
      <w:r w:rsidR="0042679D" w:rsidRPr="008E6B79">
        <w:rPr>
          <w:rFonts w:ascii="Times New Roman" w:hAnsi="Times New Roman"/>
          <w:lang w:val="sr-Latn-BA"/>
        </w:rPr>
        <w:t xml:space="preserve"> </w:t>
      </w:r>
      <w:r>
        <w:rPr>
          <w:rFonts w:ascii="Times New Roman" w:hAnsi="Times New Roman"/>
          <w:lang w:val="sr-Latn-BA"/>
        </w:rPr>
        <w:t>ЗоР</w:t>
      </w:r>
      <w:r w:rsidR="002D5D32">
        <w:rPr>
          <w:rFonts w:ascii="Times New Roman" w:hAnsi="Times New Roman"/>
          <w:lang w:val="sr-Cyrl-BA"/>
        </w:rPr>
        <w:t>П</w:t>
      </w:r>
      <w:r w:rsidR="0042679D" w:rsidRPr="008E6B79">
        <w:rPr>
          <w:rFonts w:ascii="Times New Roman" w:hAnsi="Times New Roman"/>
          <w:lang w:val="sr-Latn-BA"/>
        </w:rPr>
        <w:t xml:space="preserve"> </w:t>
      </w:r>
      <w:r>
        <w:rPr>
          <w:rFonts w:ascii="Times New Roman" w:hAnsi="Times New Roman"/>
          <w:lang w:val="sr-Latn-BA"/>
        </w:rPr>
        <w:t>БиХ</w:t>
      </w:r>
      <w:r w:rsidR="0042679D" w:rsidRPr="008E6B79">
        <w:rPr>
          <w:rFonts w:ascii="Times New Roman" w:hAnsi="Times New Roman"/>
          <w:lang w:val="sr-Latn-BA"/>
        </w:rPr>
        <w:t>.</w:t>
      </w:r>
      <w:r w:rsidR="0042679D">
        <w:rPr>
          <w:rFonts w:ascii="Times New Roman" w:hAnsi="Times New Roman"/>
          <w:lang w:val="sr-Latn-BA"/>
        </w:rPr>
        <w:t xml:space="preserve"> </w:t>
      </w:r>
      <w:r>
        <w:rPr>
          <w:rFonts w:ascii="Times New Roman" w:hAnsi="Times New Roman"/>
          <w:lang w:val="sr-Latn-BA"/>
        </w:rPr>
        <w:t>Поред</w:t>
      </w:r>
      <w:r w:rsidR="0042679D">
        <w:rPr>
          <w:rFonts w:ascii="Times New Roman" w:hAnsi="Times New Roman"/>
          <w:lang w:val="sr-Latn-BA"/>
        </w:rPr>
        <w:t xml:space="preserve"> </w:t>
      </w:r>
      <w:r>
        <w:rPr>
          <w:rFonts w:ascii="Times New Roman" w:hAnsi="Times New Roman"/>
          <w:lang w:val="sr-Latn-BA"/>
        </w:rPr>
        <w:t>тога</w:t>
      </w:r>
      <w:r w:rsidR="0042679D">
        <w:rPr>
          <w:rFonts w:ascii="Times New Roman" w:hAnsi="Times New Roman"/>
          <w:lang w:val="sr-Latn-BA"/>
        </w:rPr>
        <w:t xml:space="preserve">, </w:t>
      </w:r>
      <w:r>
        <w:rPr>
          <w:rFonts w:ascii="Times New Roman" w:hAnsi="Times New Roman"/>
          <w:lang w:val="sr-Latn-BA"/>
        </w:rPr>
        <w:t>Служба</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социјалну</w:t>
      </w:r>
      <w:r w:rsidR="0042679D" w:rsidRPr="00295637">
        <w:rPr>
          <w:rFonts w:ascii="Times New Roman" w:hAnsi="Times New Roman"/>
          <w:lang w:val="sr-Latn-BA"/>
        </w:rPr>
        <w:t xml:space="preserve"> </w:t>
      </w:r>
      <w:r>
        <w:rPr>
          <w:rFonts w:ascii="Times New Roman" w:hAnsi="Times New Roman"/>
          <w:lang w:val="sr-Latn-BA"/>
        </w:rPr>
        <w:t>заштиту</w:t>
      </w:r>
      <w:r w:rsidR="0042679D" w:rsidRPr="00295637">
        <w:rPr>
          <w:rFonts w:ascii="Times New Roman" w:hAnsi="Times New Roman"/>
          <w:lang w:val="sr-Latn-BA"/>
        </w:rPr>
        <w:t xml:space="preserve"> </w:t>
      </w:r>
      <w:r>
        <w:rPr>
          <w:rFonts w:ascii="Times New Roman" w:hAnsi="Times New Roman"/>
          <w:lang w:val="sr-Latn-BA"/>
        </w:rPr>
        <w:t>Оп</w:t>
      </w:r>
      <w:r w:rsidR="002D5D32">
        <w:rPr>
          <w:rFonts w:ascii="Times New Roman" w:hAnsi="Times New Roman"/>
          <w:lang w:val="sr-Cyrl-BA"/>
        </w:rPr>
        <w:t>шт</w:t>
      </w:r>
      <w:r>
        <w:rPr>
          <w:rFonts w:ascii="Times New Roman" w:hAnsi="Times New Roman"/>
          <w:lang w:val="sr-Latn-BA"/>
        </w:rPr>
        <w:t>ине</w:t>
      </w:r>
      <w:r w:rsidR="0042679D" w:rsidRPr="00295637">
        <w:rPr>
          <w:rFonts w:ascii="Times New Roman" w:hAnsi="Times New Roman"/>
          <w:lang w:val="sr-Latn-BA"/>
        </w:rPr>
        <w:t xml:space="preserve"> </w:t>
      </w:r>
      <w:r>
        <w:rPr>
          <w:rFonts w:ascii="Times New Roman" w:hAnsi="Times New Roman"/>
          <w:lang w:val="sr-Latn-BA"/>
        </w:rPr>
        <w:t>Берковићи</w:t>
      </w:r>
      <w:r w:rsidR="0042679D" w:rsidRPr="00295637">
        <w:rPr>
          <w:rFonts w:ascii="Times New Roman" w:hAnsi="Times New Roman"/>
          <w:lang w:val="sr-Latn-BA"/>
        </w:rPr>
        <w:t xml:space="preserve"> </w:t>
      </w:r>
      <w:r w:rsidR="002D5D32">
        <w:rPr>
          <w:rFonts w:ascii="Times New Roman" w:hAnsi="Times New Roman"/>
          <w:lang w:val="sr-Latn-BA"/>
        </w:rPr>
        <w:t xml:space="preserve">је </w:t>
      </w:r>
      <w:r>
        <w:rPr>
          <w:rFonts w:ascii="Times New Roman" w:hAnsi="Times New Roman"/>
          <w:lang w:val="sr-Latn-BA"/>
        </w:rPr>
        <w:t>реализ</w:t>
      </w:r>
      <w:r w:rsidR="002D5D32">
        <w:rPr>
          <w:rFonts w:ascii="Times New Roman" w:hAnsi="Times New Roman"/>
          <w:lang w:val="sr-Cyrl-BA"/>
        </w:rPr>
        <w:t>овала</w:t>
      </w:r>
      <w:r w:rsidR="0042679D" w:rsidRPr="00295637">
        <w:rPr>
          <w:rFonts w:ascii="Times New Roman" w:hAnsi="Times New Roman"/>
          <w:lang w:val="sr-Latn-BA"/>
        </w:rPr>
        <w:t xml:space="preserve"> </w:t>
      </w:r>
      <w:r>
        <w:rPr>
          <w:rFonts w:ascii="Times New Roman" w:hAnsi="Times New Roman"/>
          <w:lang w:val="sr-Latn-BA"/>
        </w:rPr>
        <w:t>кампању</w:t>
      </w:r>
      <w:r w:rsidR="0042679D" w:rsidRPr="00295637">
        <w:rPr>
          <w:rFonts w:ascii="Times New Roman" w:hAnsi="Times New Roman"/>
          <w:lang w:val="sr-Latn-BA"/>
        </w:rPr>
        <w:t xml:space="preserve"> „</w:t>
      </w:r>
      <w:r>
        <w:rPr>
          <w:rFonts w:ascii="Times New Roman" w:hAnsi="Times New Roman"/>
          <w:lang w:val="sr-Latn-BA"/>
        </w:rPr>
        <w:t>Искључимо</w:t>
      </w:r>
      <w:r w:rsidR="0042679D" w:rsidRPr="00295637">
        <w:rPr>
          <w:rFonts w:ascii="Times New Roman" w:hAnsi="Times New Roman"/>
          <w:lang w:val="sr-Latn-BA"/>
        </w:rPr>
        <w:t xml:space="preserve"> </w:t>
      </w:r>
      <w:r>
        <w:rPr>
          <w:rFonts w:ascii="Times New Roman" w:hAnsi="Times New Roman"/>
          <w:lang w:val="sr-Latn-BA"/>
        </w:rPr>
        <w:t>стереотипе</w:t>
      </w:r>
      <w:r w:rsidR="0042679D" w:rsidRPr="00295637">
        <w:rPr>
          <w:rFonts w:ascii="Times New Roman" w:hAnsi="Times New Roman"/>
          <w:lang w:val="sr-Latn-BA"/>
        </w:rPr>
        <w:t xml:space="preserve">“ </w:t>
      </w:r>
      <w:r>
        <w:rPr>
          <w:rFonts w:ascii="Times New Roman" w:hAnsi="Times New Roman"/>
          <w:lang w:val="sr-Latn-BA"/>
        </w:rPr>
        <w:t>путем</w:t>
      </w:r>
      <w:r w:rsidR="0042679D" w:rsidRPr="00295637">
        <w:rPr>
          <w:rFonts w:ascii="Times New Roman" w:hAnsi="Times New Roman"/>
          <w:lang w:val="sr-Latn-BA"/>
        </w:rPr>
        <w:t xml:space="preserve"> </w:t>
      </w:r>
      <w:r>
        <w:rPr>
          <w:rFonts w:ascii="Times New Roman" w:hAnsi="Times New Roman"/>
          <w:lang w:val="sr-Latn-BA"/>
        </w:rPr>
        <w:t>израде</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дијељења</w:t>
      </w:r>
      <w:r w:rsidR="0042679D" w:rsidRPr="00295637">
        <w:rPr>
          <w:rFonts w:ascii="Times New Roman" w:hAnsi="Times New Roman"/>
          <w:lang w:val="sr-Latn-BA"/>
        </w:rPr>
        <w:t xml:space="preserve"> </w:t>
      </w:r>
      <w:r>
        <w:rPr>
          <w:rFonts w:ascii="Times New Roman" w:hAnsi="Times New Roman"/>
          <w:lang w:val="sr-Latn-BA"/>
        </w:rPr>
        <w:t>промо</w:t>
      </w:r>
      <w:r w:rsidR="00622222">
        <w:rPr>
          <w:rFonts w:ascii="Times New Roman" w:hAnsi="Times New Roman"/>
          <w:lang w:val="sr-Latn-BA"/>
        </w:rPr>
        <w:t>-</w:t>
      </w:r>
      <w:r>
        <w:rPr>
          <w:rFonts w:ascii="Times New Roman" w:hAnsi="Times New Roman"/>
          <w:lang w:val="sr-Latn-BA"/>
        </w:rPr>
        <w:t>материјала</w:t>
      </w:r>
      <w:r w:rsidR="0042679D" w:rsidRPr="00295637">
        <w:rPr>
          <w:rFonts w:ascii="Times New Roman" w:hAnsi="Times New Roman"/>
          <w:lang w:val="sr-Latn-BA"/>
        </w:rPr>
        <w:t xml:space="preserve"> (</w:t>
      </w:r>
      <w:r>
        <w:rPr>
          <w:rFonts w:ascii="Times New Roman" w:hAnsi="Times New Roman"/>
          <w:lang w:val="sr-Latn-BA"/>
        </w:rPr>
        <w:t>летака</w:t>
      </w:r>
      <w:r w:rsidR="0042679D" w:rsidRPr="00295637">
        <w:rPr>
          <w:rFonts w:ascii="Times New Roman" w:hAnsi="Times New Roman"/>
          <w:lang w:val="sr-Latn-BA"/>
        </w:rPr>
        <w:t>).</w:t>
      </w:r>
    </w:p>
    <w:p w:rsidR="0042679D" w:rsidRPr="0042679D" w:rsidRDefault="0042679D" w:rsidP="0086268D">
      <w:pPr>
        <w:jc w:val="both"/>
        <w:rPr>
          <w:rStyle w:val="Emphasis"/>
          <w:rFonts w:ascii="Times New Roman" w:hAnsi="Times New Roman"/>
          <w:i w:val="0"/>
          <w:iCs w:val="0"/>
          <w:lang w:val="sr-Latn-BA"/>
        </w:rPr>
      </w:pPr>
    </w:p>
    <w:p w:rsidR="0042679D" w:rsidRPr="002D5D32" w:rsidRDefault="00C6214E" w:rsidP="0086268D">
      <w:pPr>
        <w:pStyle w:val="NormalWeb"/>
        <w:spacing w:before="0" w:beforeAutospacing="0" w:after="0" w:afterAutospacing="0"/>
        <w:jc w:val="both"/>
        <w:textAlignment w:val="baseline"/>
        <w:rPr>
          <w:rStyle w:val="Emphasis"/>
          <w:bdr w:val="none" w:sz="0" w:space="0" w:color="auto" w:frame="1"/>
          <w:lang w:val="sr-Cyrl-BA"/>
        </w:rPr>
      </w:pPr>
      <w:r>
        <w:rPr>
          <w:rStyle w:val="Emphasis"/>
          <w:bdr w:val="none" w:sz="0" w:space="0" w:color="auto" w:frame="1"/>
        </w:rPr>
        <w:t>Род</w:t>
      </w:r>
      <w:r w:rsidR="0042679D" w:rsidRPr="00295637">
        <w:rPr>
          <w:rStyle w:val="Emphasis"/>
          <w:bdr w:val="none" w:sz="0" w:space="0" w:color="auto" w:frame="1"/>
        </w:rPr>
        <w:t xml:space="preserve"> </w:t>
      </w:r>
      <w:r>
        <w:rPr>
          <w:rStyle w:val="Emphasis"/>
          <w:bdr w:val="none" w:sz="0" w:space="0" w:color="auto" w:frame="1"/>
        </w:rPr>
        <w:t>и</w:t>
      </w:r>
      <w:r w:rsidR="0042679D" w:rsidRPr="00295637">
        <w:rPr>
          <w:rStyle w:val="Emphasis"/>
          <w:bdr w:val="none" w:sz="0" w:space="0" w:color="auto" w:frame="1"/>
        </w:rPr>
        <w:t xml:space="preserve"> </w:t>
      </w:r>
      <w:r w:rsidR="002D5D32">
        <w:rPr>
          <w:rStyle w:val="Emphasis"/>
          <w:bdr w:val="none" w:sz="0" w:space="0" w:color="auto" w:frame="1"/>
          <w:lang w:val="sr-Cyrl-BA"/>
        </w:rPr>
        <w:t>безбједност</w:t>
      </w:r>
    </w:p>
    <w:p w:rsidR="0042679D" w:rsidRPr="00295637" w:rsidRDefault="0042679D" w:rsidP="0086268D">
      <w:pPr>
        <w:pStyle w:val="NormalWeb"/>
        <w:spacing w:before="0" w:beforeAutospacing="0" w:after="0" w:afterAutospacing="0"/>
        <w:jc w:val="both"/>
        <w:textAlignment w:val="baseline"/>
        <w:rPr>
          <w:rStyle w:val="Emphasis"/>
          <w:i w:val="0"/>
          <w:bdr w:val="none" w:sz="0" w:space="0" w:color="auto" w:frame="1"/>
        </w:rPr>
      </w:pPr>
    </w:p>
    <w:p w:rsidR="0042679D" w:rsidRPr="00295637" w:rsidRDefault="002D5D32" w:rsidP="0086268D">
      <w:pPr>
        <w:pStyle w:val="NormalWeb"/>
        <w:numPr>
          <w:ilvl w:val="0"/>
          <w:numId w:val="17"/>
        </w:numPr>
        <w:spacing w:before="0" w:beforeAutospacing="0" w:after="0" w:afterAutospacing="0"/>
        <w:jc w:val="both"/>
        <w:textAlignment w:val="baseline"/>
      </w:pPr>
      <w:r>
        <w:rPr>
          <w:lang w:val="sr-Cyrl-BA"/>
        </w:rPr>
        <w:t>Спровођење</w:t>
      </w:r>
      <w:r w:rsidR="0042679D" w:rsidRPr="00295637">
        <w:rPr>
          <w:lang w:val="bs-Latn-BA"/>
        </w:rPr>
        <w:t xml:space="preserve"> </w:t>
      </w:r>
      <w:r w:rsidR="0042679D">
        <w:rPr>
          <w:lang w:val="bs-Latn-BA"/>
        </w:rPr>
        <w:t>„</w:t>
      </w:r>
      <w:r w:rsidR="00C6214E">
        <w:rPr>
          <w:lang w:val="bs-Latn-BA"/>
        </w:rPr>
        <w:t>Агенде</w:t>
      </w:r>
      <w:r w:rsidR="0042679D" w:rsidRPr="00295637">
        <w:rPr>
          <w:lang w:val="bs-Latn-BA"/>
        </w:rPr>
        <w:t xml:space="preserve"> </w:t>
      </w:r>
      <w:r w:rsidR="00C6214E">
        <w:rPr>
          <w:lang w:val="bs-Latn-BA"/>
        </w:rPr>
        <w:t>жене</w:t>
      </w:r>
      <w:r w:rsidR="0042679D" w:rsidRPr="00295637">
        <w:rPr>
          <w:lang w:val="bs-Latn-BA"/>
        </w:rPr>
        <w:t xml:space="preserve">, </w:t>
      </w:r>
      <w:r w:rsidR="00C6214E">
        <w:rPr>
          <w:lang w:val="bs-Latn-BA"/>
        </w:rPr>
        <w:t>мир</w:t>
      </w:r>
      <w:r w:rsidR="0042679D" w:rsidRPr="00295637">
        <w:rPr>
          <w:lang w:val="bs-Latn-BA"/>
        </w:rPr>
        <w:t xml:space="preserve"> </w:t>
      </w:r>
      <w:r w:rsidR="00C6214E">
        <w:rPr>
          <w:lang w:val="bs-Latn-BA"/>
        </w:rPr>
        <w:t>и</w:t>
      </w:r>
      <w:r w:rsidR="0042679D" w:rsidRPr="00295637">
        <w:rPr>
          <w:lang w:val="bs-Latn-BA"/>
        </w:rPr>
        <w:t xml:space="preserve"> </w:t>
      </w:r>
      <w:r>
        <w:rPr>
          <w:lang w:val="sr-Cyrl-BA"/>
        </w:rPr>
        <w:t>безбједност</w:t>
      </w:r>
      <w:r w:rsidR="00622222">
        <w:rPr>
          <w:lang w:val="bs-Latn-BA"/>
        </w:rPr>
        <w:t xml:space="preserve">“ </w:t>
      </w:r>
      <w:r w:rsidR="00C6214E">
        <w:rPr>
          <w:lang w:val="bs-Latn-BA"/>
        </w:rPr>
        <w:t>остаје</w:t>
      </w:r>
      <w:r w:rsidR="00622222">
        <w:rPr>
          <w:lang w:val="bs-Latn-BA"/>
        </w:rPr>
        <w:t xml:space="preserve"> </w:t>
      </w:r>
      <w:r w:rsidR="00C6214E">
        <w:rPr>
          <w:lang w:val="bs-Latn-BA"/>
        </w:rPr>
        <w:t>трајно</w:t>
      </w:r>
      <w:r w:rsidR="00622222">
        <w:rPr>
          <w:lang w:val="bs-Latn-BA"/>
        </w:rPr>
        <w:t xml:space="preserve"> </w:t>
      </w:r>
      <w:r w:rsidR="00C6214E">
        <w:rPr>
          <w:lang w:val="bs-Latn-BA"/>
        </w:rPr>
        <w:t>опредјељење</w:t>
      </w:r>
      <w:r w:rsidR="00622222">
        <w:rPr>
          <w:lang w:val="bs-Latn-BA"/>
        </w:rPr>
        <w:t xml:space="preserve"> </w:t>
      </w:r>
      <w:r w:rsidR="00C6214E">
        <w:rPr>
          <w:lang w:val="bs-Latn-BA"/>
        </w:rPr>
        <w:t>БиХ</w:t>
      </w:r>
      <w:r w:rsidR="0042679D" w:rsidRPr="00295637">
        <w:rPr>
          <w:lang w:val="bs-Latn-BA"/>
        </w:rPr>
        <w:t xml:space="preserve">. </w:t>
      </w:r>
      <w:r w:rsidR="00C6214E">
        <w:rPr>
          <w:lang w:val="bs-Latn-BA"/>
        </w:rPr>
        <w:t>У</w:t>
      </w:r>
      <w:r w:rsidR="0042679D" w:rsidRPr="00295637">
        <w:rPr>
          <w:lang w:val="bs-Latn-BA"/>
        </w:rPr>
        <w:t xml:space="preserve"> </w:t>
      </w:r>
      <w:r w:rsidR="00C6214E">
        <w:rPr>
          <w:lang w:val="bs-Latn-BA"/>
        </w:rPr>
        <w:t>том</w:t>
      </w:r>
      <w:r w:rsidR="0042679D" w:rsidRPr="00295637">
        <w:rPr>
          <w:lang w:val="bs-Latn-BA"/>
        </w:rPr>
        <w:t xml:space="preserve"> </w:t>
      </w:r>
      <w:r w:rsidR="00C6214E">
        <w:rPr>
          <w:lang w:val="bs-Latn-BA"/>
        </w:rPr>
        <w:t>смислу</w:t>
      </w:r>
      <w:r w:rsidR="0042679D">
        <w:rPr>
          <w:lang w:val="bs-Latn-BA"/>
        </w:rPr>
        <w:t>,</w:t>
      </w:r>
      <w:r w:rsidR="0042679D" w:rsidRPr="00984621">
        <w:t xml:space="preserve"> </w:t>
      </w:r>
      <w:r w:rsidR="00C6214E">
        <w:t>АР</w:t>
      </w:r>
      <w:r>
        <w:rPr>
          <w:lang w:val="sr-Cyrl-BA"/>
        </w:rPr>
        <w:t>П</w:t>
      </w:r>
      <w:r w:rsidR="00622222">
        <w:t xml:space="preserve"> </w:t>
      </w:r>
      <w:r w:rsidR="00C6214E">
        <w:t>БиХ</w:t>
      </w:r>
      <w:r w:rsidR="00622222">
        <w:t xml:space="preserve"> </w:t>
      </w:r>
      <w:r w:rsidR="00C6214E">
        <w:t>МЉПИ</w:t>
      </w:r>
      <w:r w:rsidR="00622222">
        <w:t xml:space="preserve"> </w:t>
      </w:r>
      <w:r w:rsidR="00C6214E">
        <w:t>БиХ</w:t>
      </w:r>
      <w:r w:rsidR="0042679D" w:rsidRPr="00295637">
        <w:t xml:space="preserve"> </w:t>
      </w:r>
      <w:r w:rsidR="00C6214E">
        <w:t>је</w:t>
      </w:r>
      <w:r w:rsidR="0042679D" w:rsidRPr="00295637">
        <w:t xml:space="preserve"> </w:t>
      </w:r>
      <w:r w:rsidR="00C6214E">
        <w:t>координи</w:t>
      </w:r>
      <w:r>
        <w:rPr>
          <w:lang w:val="sr-Cyrl-BA"/>
        </w:rPr>
        <w:t>с</w:t>
      </w:r>
      <w:r w:rsidR="00C6214E">
        <w:t>ала</w:t>
      </w:r>
      <w:r w:rsidR="0042679D" w:rsidRPr="00295637">
        <w:t xml:space="preserve"> </w:t>
      </w:r>
      <w:r w:rsidR="00C6214E">
        <w:t>израдом</w:t>
      </w:r>
      <w:r w:rsidR="0042679D" w:rsidRPr="00295637">
        <w:t xml:space="preserve"> </w:t>
      </w:r>
      <w:r w:rsidR="00C6214E">
        <w:t>и</w:t>
      </w:r>
      <w:r w:rsidR="0042679D" w:rsidRPr="00295637">
        <w:t xml:space="preserve"> </w:t>
      </w:r>
      <w:r w:rsidR="00C6214E">
        <w:t>финализ</w:t>
      </w:r>
      <w:r>
        <w:rPr>
          <w:lang w:val="sr-Cyrl-BA"/>
        </w:rPr>
        <w:t>овала</w:t>
      </w:r>
      <w:r w:rsidR="0042679D" w:rsidRPr="00295637">
        <w:rPr>
          <w:lang w:val="bs-Latn-BA"/>
        </w:rPr>
        <w:t xml:space="preserve"> </w:t>
      </w:r>
      <w:r w:rsidR="00C6214E">
        <w:rPr>
          <w:lang w:val="bs-Latn-BA"/>
        </w:rPr>
        <w:t>четврти</w:t>
      </w:r>
      <w:r w:rsidR="00E514F6" w:rsidRPr="00295637">
        <w:rPr>
          <w:lang w:val="bs-Latn-BA"/>
        </w:rPr>
        <w:t xml:space="preserve"> </w:t>
      </w:r>
      <w:r w:rsidR="00C6214E">
        <w:rPr>
          <w:lang w:val="bs-Latn-BA"/>
        </w:rPr>
        <w:t>Акциони</w:t>
      </w:r>
      <w:r w:rsidR="0042679D">
        <w:rPr>
          <w:lang w:val="bs-Latn-BA"/>
        </w:rPr>
        <w:t xml:space="preserve"> </w:t>
      </w:r>
      <w:r w:rsidR="00C6214E">
        <w:rPr>
          <w:lang w:val="bs-Latn-BA"/>
        </w:rPr>
        <w:t>план</w:t>
      </w:r>
      <w:r w:rsidR="0042679D" w:rsidRPr="00295637">
        <w:rPr>
          <w:lang w:val="bs-Latn-BA"/>
        </w:rPr>
        <w:t xml:space="preserve"> </w:t>
      </w:r>
      <w:r w:rsidR="00C6214E">
        <w:rPr>
          <w:lang w:val="bs-Latn-BA"/>
        </w:rPr>
        <w:t>за</w:t>
      </w:r>
      <w:r w:rsidR="0042679D" w:rsidRPr="00295637">
        <w:rPr>
          <w:lang w:val="bs-Latn-BA"/>
        </w:rPr>
        <w:t xml:space="preserve"> </w:t>
      </w:r>
      <w:r>
        <w:rPr>
          <w:lang w:val="sr-Cyrl-BA"/>
        </w:rPr>
        <w:t>спровођење</w:t>
      </w:r>
      <w:r w:rsidR="0042679D" w:rsidRPr="00295637">
        <w:rPr>
          <w:lang w:val="bs-Latn-BA"/>
        </w:rPr>
        <w:t xml:space="preserve"> </w:t>
      </w:r>
      <w:r w:rsidR="00C6214E">
        <w:rPr>
          <w:lang w:val="bs-Latn-BA"/>
        </w:rPr>
        <w:t>Резолуције</w:t>
      </w:r>
      <w:r w:rsidR="0042679D" w:rsidRPr="00295637">
        <w:rPr>
          <w:lang w:val="bs-Latn-BA"/>
        </w:rPr>
        <w:t xml:space="preserve"> 1325 </w:t>
      </w:r>
      <w:r w:rsidR="00C6214E">
        <w:rPr>
          <w:lang w:val="bs-Latn-BA"/>
        </w:rPr>
        <w:t>у</w:t>
      </w:r>
      <w:r w:rsidR="0042679D" w:rsidRPr="00295637">
        <w:rPr>
          <w:lang w:val="bs-Latn-BA"/>
        </w:rPr>
        <w:t xml:space="preserve"> </w:t>
      </w:r>
      <w:r w:rsidR="00C6214E">
        <w:rPr>
          <w:lang w:val="bs-Latn-BA"/>
        </w:rPr>
        <w:t>Босни</w:t>
      </w:r>
      <w:r w:rsidR="0042679D" w:rsidRPr="00295637">
        <w:rPr>
          <w:lang w:val="bs-Latn-BA"/>
        </w:rPr>
        <w:t xml:space="preserve"> </w:t>
      </w:r>
      <w:r w:rsidR="00C6214E">
        <w:rPr>
          <w:lang w:val="bs-Latn-BA"/>
        </w:rPr>
        <w:t>и</w:t>
      </w:r>
      <w:r w:rsidR="0042679D" w:rsidRPr="00295637">
        <w:rPr>
          <w:lang w:val="bs-Latn-BA"/>
        </w:rPr>
        <w:t xml:space="preserve"> </w:t>
      </w:r>
      <w:r w:rsidR="00C6214E">
        <w:rPr>
          <w:lang w:val="bs-Latn-BA"/>
        </w:rPr>
        <w:t>Херцеговини</w:t>
      </w:r>
      <w:r w:rsidR="0042679D" w:rsidRPr="00295637">
        <w:rPr>
          <w:lang w:val="bs-Latn-BA"/>
        </w:rPr>
        <w:t xml:space="preserve"> (</w:t>
      </w:r>
      <w:r w:rsidR="00C6214E">
        <w:rPr>
          <w:lang w:val="bs-Latn-BA"/>
        </w:rPr>
        <w:t>претходни</w:t>
      </w:r>
      <w:r w:rsidR="0042679D" w:rsidRPr="00295637">
        <w:rPr>
          <w:lang w:val="bs-Latn-BA"/>
        </w:rPr>
        <w:t xml:space="preserve"> </w:t>
      </w:r>
      <w:r w:rsidR="00C6214E">
        <w:rPr>
          <w:lang w:val="bs-Latn-BA"/>
        </w:rPr>
        <w:t>Акциони</w:t>
      </w:r>
      <w:r w:rsidR="0042679D" w:rsidRPr="00295637">
        <w:rPr>
          <w:lang w:val="bs-Latn-BA"/>
        </w:rPr>
        <w:t xml:space="preserve"> </w:t>
      </w:r>
      <w:r w:rsidR="00C6214E">
        <w:rPr>
          <w:lang w:val="bs-Latn-BA"/>
        </w:rPr>
        <w:t>план</w:t>
      </w:r>
      <w:r w:rsidR="0042679D" w:rsidRPr="00295637">
        <w:rPr>
          <w:lang w:val="bs-Latn-BA"/>
        </w:rPr>
        <w:t xml:space="preserve"> </w:t>
      </w:r>
      <w:r>
        <w:rPr>
          <w:lang w:val="bs-Latn-BA"/>
        </w:rPr>
        <w:t xml:space="preserve">је </w:t>
      </w:r>
      <w:r w:rsidR="00C6214E">
        <w:rPr>
          <w:lang w:val="bs-Latn-BA"/>
        </w:rPr>
        <w:t>истекао</w:t>
      </w:r>
      <w:r w:rsidR="0042679D" w:rsidRPr="00295637">
        <w:rPr>
          <w:lang w:val="bs-Latn-BA"/>
        </w:rPr>
        <w:t xml:space="preserve"> </w:t>
      </w:r>
      <w:r w:rsidR="00E514F6" w:rsidRPr="00295637">
        <w:rPr>
          <w:lang w:val="bs-Latn-BA"/>
        </w:rPr>
        <w:t>202</w:t>
      </w:r>
      <w:r w:rsidR="00E514F6">
        <w:rPr>
          <w:lang w:val="bs-Latn-BA"/>
        </w:rPr>
        <w:t>2</w:t>
      </w:r>
      <w:r w:rsidR="0042679D" w:rsidRPr="00295637">
        <w:rPr>
          <w:lang w:val="bs-Latn-BA"/>
        </w:rPr>
        <w:t xml:space="preserve">. </w:t>
      </w:r>
      <w:r w:rsidR="00C6214E">
        <w:rPr>
          <w:lang w:val="bs-Latn-BA"/>
        </w:rPr>
        <w:t>године</w:t>
      </w:r>
      <w:r w:rsidR="0042679D" w:rsidRPr="00295637">
        <w:rPr>
          <w:lang w:val="bs-Latn-BA"/>
        </w:rPr>
        <w:t xml:space="preserve">), </w:t>
      </w:r>
      <w:r>
        <w:rPr>
          <w:lang w:val="sr-Cyrl-BA"/>
        </w:rPr>
        <w:t>с</w:t>
      </w:r>
      <w:r w:rsidR="0042679D" w:rsidRPr="00295637">
        <w:rPr>
          <w:lang w:val="bs-Latn-BA"/>
        </w:rPr>
        <w:t xml:space="preserve"> </w:t>
      </w:r>
      <w:r w:rsidR="00C6214E">
        <w:rPr>
          <w:lang w:val="bs-Latn-BA"/>
        </w:rPr>
        <w:t>циљ</w:t>
      </w:r>
      <w:r>
        <w:rPr>
          <w:lang w:val="sr-Cyrl-BA"/>
        </w:rPr>
        <w:t>ем</w:t>
      </w:r>
      <w:r w:rsidR="0042679D" w:rsidRPr="00295637">
        <w:rPr>
          <w:lang w:val="bs-Latn-BA"/>
        </w:rPr>
        <w:t xml:space="preserve"> </w:t>
      </w:r>
      <w:r w:rsidR="00C6214E">
        <w:rPr>
          <w:lang w:val="bs-Latn-BA"/>
        </w:rPr>
        <w:t>унапређења</w:t>
      </w:r>
      <w:r w:rsidR="0042679D" w:rsidRPr="00295637">
        <w:rPr>
          <w:lang w:val="bs-Latn-BA"/>
        </w:rPr>
        <w:t xml:space="preserve"> </w:t>
      </w:r>
      <w:r>
        <w:rPr>
          <w:lang w:val="sr-Cyrl-BA"/>
        </w:rPr>
        <w:t>безбједности</w:t>
      </w:r>
      <w:r w:rsidR="0042679D" w:rsidRPr="00295637">
        <w:rPr>
          <w:lang w:val="bs-Latn-BA"/>
        </w:rPr>
        <w:t xml:space="preserve"> </w:t>
      </w:r>
      <w:r w:rsidR="00C6214E">
        <w:rPr>
          <w:lang w:val="bs-Latn-BA"/>
        </w:rPr>
        <w:t>грађана</w:t>
      </w:r>
      <w:r w:rsidR="0042679D" w:rsidRPr="00295637">
        <w:rPr>
          <w:lang w:val="bs-Latn-BA"/>
        </w:rPr>
        <w:t xml:space="preserve">, </w:t>
      </w:r>
      <w:r w:rsidR="00C6214E">
        <w:rPr>
          <w:lang w:val="bs-Latn-BA"/>
        </w:rPr>
        <w:t>укључујући</w:t>
      </w:r>
      <w:r w:rsidR="0042679D" w:rsidRPr="00295637">
        <w:rPr>
          <w:lang w:val="bs-Latn-BA"/>
        </w:rPr>
        <w:t xml:space="preserve"> </w:t>
      </w:r>
      <w:r w:rsidR="00C6214E">
        <w:rPr>
          <w:lang w:val="bs-Latn-BA"/>
        </w:rPr>
        <w:t>вишеструко</w:t>
      </w:r>
      <w:r w:rsidR="0042679D" w:rsidRPr="00295637">
        <w:rPr>
          <w:lang w:val="bs-Latn-BA"/>
        </w:rPr>
        <w:t xml:space="preserve"> </w:t>
      </w:r>
      <w:r w:rsidR="00C6214E">
        <w:rPr>
          <w:lang w:val="bs-Latn-BA"/>
        </w:rPr>
        <w:t>маргинализ</w:t>
      </w:r>
      <w:r>
        <w:rPr>
          <w:lang w:val="sr-Cyrl-BA"/>
        </w:rPr>
        <w:t>оване</w:t>
      </w:r>
      <w:r w:rsidR="0042679D" w:rsidRPr="00295637">
        <w:rPr>
          <w:lang w:val="bs-Latn-BA"/>
        </w:rPr>
        <w:t xml:space="preserve"> </w:t>
      </w:r>
      <w:r w:rsidR="00C6214E">
        <w:rPr>
          <w:lang w:val="bs-Latn-BA"/>
        </w:rPr>
        <w:t>групе</w:t>
      </w:r>
      <w:r w:rsidR="0042679D" w:rsidRPr="00295637">
        <w:rPr>
          <w:lang w:val="bs-Latn-BA"/>
        </w:rPr>
        <w:t xml:space="preserve"> </w:t>
      </w:r>
      <w:r w:rsidR="00C6214E">
        <w:rPr>
          <w:lang w:val="bs-Latn-BA"/>
        </w:rPr>
        <w:t>у</w:t>
      </w:r>
      <w:r w:rsidR="0042679D" w:rsidRPr="00295637">
        <w:rPr>
          <w:lang w:val="bs-Latn-BA"/>
        </w:rPr>
        <w:t xml:space="preserve"> </w:t>
      </w:r>
      <w:r w:rsidR="00C6214E">
        <w:rPr>
          <w:lang w:val="bs-Latn-BA"/>
        </w:rPr>
        <w:t>БиХ</w:t>
      </w:r>
      <w:r w:rsidR="0042679D" w:rsidRPr="00295637">
        <w:rPr>
          <w:lang w:val="bs-Latn-BA"/>
        </w:rPr>
        <w:t xml:space="preserve">, </w:t>
      </w:r>
      <w:r w:rsidR="00C6214E">
        <w:rPr>
          <w:lang w:val="bs-Latn-BA"/>
        </w:rPr>
        <w:t>кроз</w:t>
      </w:r>
      <w:r w:rsidR="0042679D" w:rsidRPr="00295637">
        <w:rPr>
          <w:lang w:val="bs-Latn-BA"/>
        </w:rPr>
        <w:t xml:space="preserve"> </w:t>
      </w:r>
      <w:r w:rsidR="00C6214E">
        <w:rPr>
          <w:lang w:val="bs-Latn-BA"/>
        </w:rPr>
        <w:t>равноправно</w:t>
      </w:r>
      <w:r w:rsidR="0042679D" w:rsidRPr="00295637">
        <w:rPr>
          <w:lang w:val="bs-Latn-BA"/>
        </w:rPr>
        <w:t xml:space="preserve"> </w:t>
      </w:r>
      <w:r w:rsidR="00C6214E">
        <w:rPr>
          <w:lang w:val="bs-Latn-BA"/>
        </w:rPr>
        <w:t>учешће</w:t>
      </w:r>
      <w:r w:rsidR="0042679D" w:rsidRPr="00295637">
        <w:rPr>
          <w:lang w:val="bs-Latn-BA"/>
        </w:rPr>
        <w:t xml:space="preserve"> </w:t>
      </w:r>
      <w:r w:rsidR="00C6214E">
        <w:rPr>
          <w:lang w:val="bs-Latn-BA"/>
        </w:rPr>
        <w:t>жена</w:t>
      </w:r>
      <w:r w:rsidR="0042679D" w:rsidRPr="00295637">
        <w:rPr>
          <w:lang w:val="bs-Latn-BA"/>
        </w:rPr>
        <w:t xml:space="preserve"> </w:t>
      </w:r>
      <w:r w:rsidR="00C6214E">
        <w:rPr>
          <w:lang w:val="bs-Latn-BA"/>
        </w:rPr>
        <w:t>у</w:t>
      </w:r>
      <w:r w:rsidR="0042679D" w:rsidRPr="00295637">
        <w:rPr>
          <w:lang w:val="bs-Latn-BA"/>
        </w:rPr>
        <w:t xml:space="preserve"> </w:t>
      </w:r>
      <w:r w:rsidR="00C6214E">
        <w:rPr>
          <w:lang w:val="bs-Latn-BA"/>
        </w:rPr>
        <w:t>спречавању</w:t>
      </w:r>
      <w:r w:rsidR="0042679D" w:rsidRPr="00295637">
        <w:rPr>
          <w:lang w:val="bs-Latn-BA"/>
        </w:rPr>
        <w:t xml:space="preserve"> </w:t>
      </w:r>
      <w:r w:rsidR="00C6214E">
        <w:rPr>
          <w:lang w:val="bs-Latn-BA"/>
        </w:rPr>
        <w:t>и</w:t>
      </w:r>
      <w:r w:rsidR="0042679D" w:rsidRPr="00295637">
        <w:rPr>
          <w:lang w:val="bs-Latn-BA"/>
        </w:rPr>
        <w:t xml:space="preserve"> </w:t>
      </w:r>
      <w:r w:rsidR="00C6214E">
        <w:rPr>
          <w:lang w:val="bs-Latn-BA"/>
        </w:rPr>
        <w:t>рјешавању</w:t>
      </w:r>
      <w:r w:rsidR="0042679D" w:rsidRPr="00295637">
        <w:rPr>
          <w:lang w:val="bs-Latn-BA"/>
        </w:rPr>
        <w:t xml:space="preserve"> </w:t>
      </w:r>
      <w:r w:rsidR="00C6214E">
        <w:rPr>
          <w:lang w:val="bs-Latn-BA"/>
        </w:rPr>
        <w:t>сукоба</w:t>
      </w:r>
      <w:r w:rsidR="0042679D" w:rsidRPr="00295637">
        <w:rPr>
          <w:lang w:val="bs-Latn-BA"/>
        </w:rPr>
        <w:t xml:space="preserve">, </w:t>
      </w:r>
      <w:r w:rsidR="00C6214E">
        <w:rPr>
          <w:lang w:val="bs-Latn-BA"/>
        </w:rPr>
        <w:t>те</w:t>
      </w:r>
      <w:r w:rsidR="0042679D" w:rsidRPr="00295637">
        <w:rPr>
          <w:lang w:val="bs-Latn-BA"/>
        </w:rPr>
        <w:t xml:space="preserve"> </w:t>
      </w:r>
      <w:r w:rsidR="00C6214E">
        <w:rPr>
          <w:lang w:val="bs-Latn-BA"/>
        </w:rPr>
        <w:t>изградњи</w:t>
      </w:r>
      <w:r w:rsidR="0042679D" w:rsidRPr="00295637">
        <w:rPr>
          <w:lang w:val="bs-Latn-BA"/>
        </w:rPr>
        <w:t xml:space="preserve"> </w:t>
      </w:r>
      <w:r w:rsidR="00C6214E">
        <w:rPr>
          <w:lang w:val="bs-Latn-BA"/>
        </w:rPr>
        <w:t>и</w:t>
      </w:r>
      <w:r w:rsidR="0042679D" w:rsidRPr="00295637">
        <w:rPr>
          <w:lang w:val="bs-Latn-BA"/>
        </w:rPr>
        <w:t xml:space="preserve"> </w:t>
      </w:r>
      <w:r w:rsidR="00C6214E">
        <w:rPr>
          <w:lang w:val="bs-Latn-BA"/>
        </w:rPr>
        <w:t>очувању</w:t>
      </w:r>
      <w:r w:rsidR="0042679D" w:rsidRPr="00295637">
        <w:rPr>
          <w:lang w:val="bs-Latn-BA"/>
        </w:rPr>
        <w:t xml:space="preserve"> </w:t>
      </w:r>
      <w:r w:rsidR="00C6214E">
        <w:rPr>
          <w:lang w:val="bs-Latn-BA"/>
        </w:rPr>
        <w:t>одрживог</w:t>
      </w:r>
      <w:r w:rsidR="0042679D" w:rsidRPr="00295637">
        <w:rPr>
          <w:lang w:val="bs-Latn-BA"/>
        </w:rPr>
        <w:t xml:space="preserve"> </w:t>
      </w:r>
      <w:r w:rsidR="00C6214E">
        <w:rPr>
          <w:lang w:val="bs-Latn-BA"/>
        </w:rPr>
        <w:t>мира</w:t>
      </w:r>
      <w:r w:rsidR="0042679D" w:rsidRPr="00295637">
        <w:rPr>
          <w:lang w:val="bs-Latn-BA"/>
        </w:rPr>
        <w:t>.</w:t>
      </w:r>
      <w:r w:rsidR="0042679D">
        <w:rPr>
          <w:lang w:val="bs-Latn-BA"/>
        </w:rPr>
        <w:t xml:space="preserve"> </w:t>
      </w:r>
      <w:r w:rsidR="00C6214E">
        <w:t>Међутим</w:t>
      </w:r>
      <w:r w:rsidR="0042679D" w:rsidRPr="00295637">
        <w:t xml:space="preserve">, </w:t>
      </w:r>
      <w:r w:rsidR="00C6214E">
        <w:t>Акциони</w:t>
      </w:r>
      <w:r w:rsidR="0042679D" w:rsidRPr="00295637">
        <w:t xml:space="preserve"> </w:t>
      </w:r>
      <w:r w:rsidR="00C6214E">
        <w:t>план</w:t>
      </w:r>
      <w:r w:rsidR="0042679D" w:rsidRPr="00295637">
        <w:t xml:space="preserve"> </w:t>
      </w:r>
      <w:r w:rsidR="00C6214E">
        <w:t>у</w:t>
      </w:r>
      <w:r w:rsidR="0042679D">
        <w:t xml:space="preserve"> </w:t>
      </w:r>
      <w:r w:rsidR="00C6214E">
        <w:t>извјештајном</w:t>
      </w:r>
      <w:r w:rsidR="0042679D">
        <w:t xml:space="preserve"> </w:t>
      </w:r>
      <w:r w:rsidR="00C6214E">
        <w:t>периоду</w:t>
      </w:r>
      <w:r w:rsidR="0042679D">
        <w:t xml:space="preserve"> </w:t>
      </w:r>
      <w:r w:rsidR="00C6214E">
        <w:t>није</w:t>
      </w:r>
      <w:r w:rsidR="0042679D" w:rsidRPr="00295637">
        <w:t xml:space="preserve"> </w:t>
      </w:r>
      <w:r w:rsidR="00C6214E">
        <w:t>достављен</w:t>
      </w:r>
      <w:r w:rsidR="0042679D" w:rsidRPr="00295637">
        <w:t xml:space="preserve"> </w:t>
      </w:r>
      <w:r w:rsidR="00C6214E">
        <w:t>на</w:t>
      </w:r>
      <w:r w:rsidR="0042679D" w:rsidRPr="00295637">
        <w:t xml:space="preserve"> </w:t>
      </w:r>
      <w:r w:rsidR="00C6214E">
        <w:t>разматрање</w:t>
      </w:r>
      <w:r w:rsidR="0042679D" w:rsidRPr="00295637">
        <w:t xml:space="preserve"> </w:t>
      </w:r>
      <w:r w:rsidR="00C6214E">
        <w:t>и</w:t>
      </w:r>
      <w:r w:rsidR="0042679D" w:rsidRPr="00295637">
        <w:t xml:space="preserve"> </w:t>
      </w:r>
      <w:r w:rsidR="00C6214E">
        <w:t>усвајање</w:t>
      </w:r>
      <w:r w:rsidR="0042679D" w:rsidRPr="00295637">
        <w:t xml:space="preserve"> </w:t>
      </w:r>
      <w:r>
        <w:rPr>
          <w:lang w:val="sr-Cyrl-BA"/>
        </w:rPr>
        <w:t>Савјету</w:t>
      </w:r>
      <w:r w:rsidR="0042679D">
        <w:t xml:space="preserve"> </w:t>
      </w:r>
      <w:r w:rsidR="00C6214E">
        <w:t>министара</w:t>
      </w:r>
      <w:r w:rsidR="0042679D">
        <w:t xml:space="preserve"> </w:t>
      </w:r>
      <w:r w:rsidR="00C6214E">
        <w:t>БиХ</w:t>
      </w:r>
      <w:r w:rsidR="0042679D" w:rsidRPr="00295637">
        <w:t xml:space="preserve"> </w:t>
      </w:r>
      <w:r w:rsidR="00C6214E">
        <w:t>због</w:t>
      </w:r>
      <w:r w:rsidR="0042679D" w:rsidRPr="00295637">
        <w:t xml:space="preserve"> </w:t>
      </w:r>
      <w:r w:rsidR="00C6214E">
        <w:t>настојања</w:t>
      </w:r>
      <w:r w:rsidR="0042679D" w:rsidRPr="00295637">
        <w:t xml:space="preserve"> </w:t>
      </w:r>
      <w:r w:rsidR="00C6214E">
        <w:t>да</w:t>
      </w:r>
      <w:r w:rsidR="0042679D" w:rsidRPr="00295637">
        <w:t xml:space="preserve"> </w:t>
      </w:r>
      <w:r w:rsidR="00C6214E">
        <w:t>се</w:t>
      </w:r>
      <w:r w:rsidR="0042679D" w:rsidRPr="00295637">
        <w:t xml:space="preserve"> </w:t>
      </w:r>
      <w:r w:rsidR="00C6214E">
        <w:t>и</w:t>
      </w:r>
      <w:r w:rsidR="0042679D" w:rsidRPr="00295637">
        <w:t xml:space="preserve"> </w:t>
      </w:r>
      <w:r w:rsidR="00C6214E">
        <w:t>институције</w:t>
      </w:r>
      <w:r w:rsidR="0042679D" w:rsidRPr="00295637">
        <w:t xml:space="preserve"> </w:t>
      </w:r>
      <w:r w:rsidR="00C6214E">
        <w:t>Републике</w:t>
      </w:r>
      <w:r w:rsidR="0042679D" w:rsidRPr="00295637">
        <w:t xml:space="preserve"> </w:t>
      </w:r>
      <w:r w:rsidR="00C6214E">
        <w:t>Српске</w:t>
      </w:r>
      <w:r w:rsidR="0042679D" w:rsidRPr="00295637">
        <w:t xml:space="preserve"> </w:t>
      </w:r>
      <w:r w:rsidR="00C6214E">
        <w:t>укључе</w:t>
      </w:r>
      <w:r w:rsidR="0042679D" w:rsidRPr="00295637">
        <w:t xml:space="preserve"> </w:t>
      </w:r>
      <w:r w:rsidR="00C6214E">
        <w:t>у</w:t>
      </w:r>
      <w:r w:rsidR="0042679D" w:rsidRPr="00295637">
        <w:t xml:space="preserve"> </w:t>
      </w:r>
      <w:r w:rsidR="00C6214E">
        <w:t>израду</w:t>
      </w:r>
      <w:r w:rsidR="0042679D" w:rsidRPr="00295637">
        <w:t xml:space="preserve"> </w:t>
      </w:r>
      <w:r w:rsidR="00C6214E">
        <w:t>и</w:t>
      </w:r>
      <w:r w:rsidR="0042679D" w:rsidRPr="00295637">
        <w:t xml:space="preserve"> </w:t>
      </w:r>
      <w:r>
        <w:rPr>
          <w:lang w:val="sr-Cyrl-BA"/>
        </w:rPr>
        <w:t>спровођење</w:t>
      </w:r>
      <w:r w:rsidR="0042679D" w:rsidRPr="00295637">
        <w:t xml:space="preserve"> </w:t>
      </w:r>
      <w:r w:rsidR="00C6214E">
        <w:t>плана</w:t>
      </w:r>
      <w:r w:rsidR="0042679D" w:rsidRPr="00295637">
        <w:t xml:space="preserve">. </w:t>
      </w:r>
    </w:p>
    <w:p w:rsidR="0042679D" w:rsidRPr="00295637" w:rsidRDefault="0042679D" w:rsidP="0086268D">
      <w:pPr>
        <w:ind w:right="14"/>
        <w:jc w:val="both"/>
        <w:rPr>
          <w:rFonts w:ascii="Times New Roman" w:hAnsi="Times New Roman"/>
          <w:szCs w:val="24"/>
        </w:rPr>
      </w:pPr>
    </w:p>
    <w:p w:rsidR="0042679D" w:rsidRPr="00295637" w:rsidRDefault="00C6214E" w:rsidP="0086268D">
      <w:pPr>
        <w:pStyle w:val="NormalWeb"/>
        <w:numPr>
          <w:ilvl w:val="0"/>
          <w:numId w:val="17"/>
        </w:numPr>
        <w:spacing w:before="0" w:beforeAutospacing="0" w:after="0" w:afterAutospacing="0"/>
        <w:jc w:val="both"/>
        <w:textAlignment w:val="baseline"/>
        <w:rPr>
          <w:i/>
        </w:rPr>
      </w:pPr>
      <w:r>
        <w:rPr>
          <w:rStyle w:val="Emphasis"/>
          <w:i w:val="0"/>
          <w:bdr w:val="none" w:sz="0" w:space="0" w:color="auto" w:frame="1"/>
          <w:lang w:val="hr-HR"/>
        </w:rPr>
        <w:t>Састанак</w:t>
      </w:r>
      <w:r w:rsidR="0042679D" w:rsidRPr="006820FB">
        <w:rPr>
          <w:rStyle w:val="Emphasis"/>
          <w:i w:val="0"/>
          <w:bdr w:val="none" w:sz="0" w:space="0" w:color="auto" w:frame="1"/>
          <w:lang w:val="hr-HR"/>
        </w:rPr>
        <w:t xml:space="preserve"> </w:t>
      </w:r>
      <w:r>
        <w:rPr>
          <w:rStyle w:val="Emphasis"/>
          <w:i w:val="0"/>
          <w:bdr w:val="none" w:sz="0" w:space="0" w:color="auto" w:frame="1"/>
          <w:lang w:val="hr-HR"/>
        </w:rPr>
        <w:t>КО</w:t>
      </w:r>
      <w:r w:rsidR="0042679D" w:rsidRPr="00295637">
        <w:rPr>
          <w:rStyle w:val="Emphasis"/>
          <w:i w:val="0"/>
          <w:bdr w:val="none" w:sz="0" w:space="0" w:color="auto" w:frame="1"/>
        </w:rPr>
        <w:t xml:space="preserve"> </w:t>
      </w:r>
      <w:r>
        <w:rPr>
          <w:rStyle w:val="Emphasis"/>
          <w:i w:val="0"/>
          <w:bdr w:val="none" w:sz="0" w:space="0" w:color="auto" w:frame="1"/>
        </w:rPr>
        <w:t>за</w:t>
      </w:r>
      <w:r w:rsidR="0042679D" w:rsidRPr="00295637">
        <w:rPr>
          <w:rStyle w:val="Emphasis"/>
          <w:i w:val="0"/>
          <w:bdr w:val="none" w:sz="0" w:space="0" w:color="auto" w:frame="1"/>
        </w:rPr>
        <w:t xml:space="preserve"> </w:t>
      </w:r>
      <w:r>
        <w:rPr>
          <w:rStyle w:val="Emphasis"/>
          <w:i w:val="0"/>
          <w:bdr w:val="none" w:sz="0" w:space="0" w:color="auto" w:frame="1"/>
        </w:rPr>
        <w:t>надзор</w:t>
      </w:r>
      <w:r w:rsidR="0042679D" w:rsidRPr="00295637">
        <w:rPr>
          <w:rStyle w:val="Emphasis"/>
          <w:i w:val="0"/>
          <w:bdr w:val="none" w:sz="0" w:space="0" w:color="auto" w:frame="1"/>
        </w:rPr>
        <w:t xml:space="preserve"> </w:t>
      </w:r>
      <w:r>
        <w:rPr>
          <w:rStyle w:val="Emphasis"/>
          <w:i w:val="0"/>
          <w:bdr w:val="none" w:sz="0" w:space="0" w:color="auto" w:frame="1"/>
        </w:rPr>
        <w:t>над</w:t>
      </w:r>
      <w:r w:rsidR="0042679D" w:rsidRPr="00295637">
        <w:rPr>
          <w:rStyle w:val="Emphasis"/>
          <w:i w:val="0"/>
          <w:bdr w:val="none" w:sz="0" w:space="0" w:color="auto" w:frame="1"/>
        </w:rPr>
        <w:t xml:space="preserve"> </w:t>
      </w:r>
      <w:r w:rsidR="002D5D32">
        <w:rPr>
          <w:rStyle w:val="Emphasis"/>
          <w:i w:val="0"/>
          <w:bdr w:val="none" w:sz="0" w:space="0" w:color="auto" w:frame="1"/>
          <w:lang w:val="sr-Cyrl-BA"/>
        </w:rPr>
        <w:t>спровођењем</w:t>
      </w:r>
      <w:r w:rsidR="0042679D" w:rsidRPr="00295637">
        <w:rPr>
          <w:rStyle w:val="Emphasis"/>
          <w:i w:val="0"/>
          <w:bdr w:val="none" w:sz="0" w:space="0" w:color="auto" w:frame="1"/>
        </w:rPr>
        <w:t xml:space="preserve"> </w:t>
      </w:r>
      <w:r>
        <w:rPr>
          <w:rStyle w:val="Emphasis"/>
          <w:i w:val="0"/>
          <w:bdr w:val="none" w:sz="0" w:space="0" w:color="auto" w:frame="1"/>
        </w:rPr>
        <w:t>АП</w:t>
      </w:r>
      <w:r w:rsidR="0042679D" w:rsidRPr="00295637">
        <w:rPr>
          <w:rStyle w:val="Emphasis"/>
          <w:i w:val="0"/>
          <w:bdr w:val="none" w:sz="0" w:space="0" w:color="auto" w:frame="1"/>
        </w:rPr>
        <w:t xml:space="preserve"> </w:t>
      </w:r>
      <w:r w:rsidR="002D5D32" w:rsidRPr="002D5D32">
        <w:rPr>
          <w:i/>
          <w:iCs/>
          <w:bdr w:val="none" w:sz="0" w:space="0" w:color="auto" w:frame="1"/>
          <w:lang w:val="hr-BA"/>
        </w:rPr>
        <w:t>UNSCR</w:t>
      </w:r>
      <w:r w:rsidR="0042679D" w:rsidRPr="00295637">
        <w:rPr>
          <w:rStyle w:val="Emphasis"/>
          <w:i w:val="0"/>
          <w:bdr w:val="none" w:sz="0" w:space="0" w:color="auto" w:frame="1"/>
        </w:rPr>
        <w:t xml:space="preserve"> 1325 </w:t>
      </w:r>
      <w:r>
        <w:rPr>
          <w:rStyle w:val="Emphasis"/>
          <w:i w:val="0"/>
          <w:bdr w:val="none" w:sz="0" w:space="0" w:color="auto" w:frame="1"/>
        </w:rPr>
        <w:t>одржан</w:t>
      </w:r>
      <w:r w:rsidR="0042679D" w:rsidRPr="00295637">
        <w:rPr>
          <w:rStyle w:val="Emphasis"/>
          <w:i w:val="0"/>
          <w:bdr w:val="none" w:sz="0" w:space="0" w:color="auto" w:frame="1"/>
        </w:rPr>
        <w:t xml:space="preserve"> </w:t>
      </w:r>
      <w:r>
        <w:rPr>
          <w:rStyle w:val="Emphasis"/>
          <w:i w:val="0"/>
          <w:bdr w:val="none" w:sz="0" w:space="0" w:color="auto" w:frame="1"/>
        </w:rPr>
        <w:t>је</w:t>
      </w:r>
      <w:r w:rsidR="00622222" w:rsidRPr="00295637">
        <w:rPr>
          <w:rStyle w:val="Emphasis"/>
          <w:i w:val="0"/>
          <w:bdr w:val="none" w:sz="0" w:space="0" w:color="auto" w:frame="1"/>
        </w:rPr>
        <w:t xml:space="preserve"> </w:t>
      </w:r>
      <w:r>
        <w:rPr>
          <w:rStyle w:val="Emphasis"/>
          <w:i w:val="0"/>
          <w:bdr w:val="none" w:sz="0" w:space="0" w:color="auto" w:frame="1"/>
        </w:rPr>
        <w:t>у</w:t>
      </w:r>
      <w:r w:rsidR="0042679D" w:rsidRPr="00295637">
        <w:rPr>
          <w:rStyle w:val="Emphasis"/>
          <w:i w:val="0"/>
          <w:bdr w:val="none" w:sz="0" w:space="0" w:color="auto" w:frame="1"/>
        </w:rPr>
        <w:t xml:space="preserve"> </w:t>
      </w:r>
      <w:r>
        <w:rPr>
          <w:rStyle w:val="Emphasis"/>
          <w:i w:val="0"/>
          <w:bdr w:val="none" w:sz="0" w:space="0" w:color="auto" w:frame="1"/>
        </w:rPr>
        <w:t>децембру</w:t>
      </w:r>
      <w:r w:rsidR="0042679D" w:rsidRPr="00295637">
        <w:rPr>
          <w:rStyle w:val="Emphasis"/>
          <w:i w:val="0"/>
          <w:bdr w:val="none" w:sz="0" w:space="0" w:color="auto" w:frame="1"/>
        </w:rPr>
        <w:t xml:space="preserve"> 2024. </w:t>
      </w:r>
      <w:r>
        <w:rPr>
          <w:rStyle w:val="Emphasis"/>
          <w:i w:val="0"/>
          <w:bdr w:val="none" w:sz="0" w:space="0" w:color="auto" w:frame="1"/>
          <w:lang w:val="hr-HR"/>
        </w:rPr>
        <w:t>године</w:t>
      </w:r>
      <w:r w:rsidR="0042679D" w:rsidRPr="006820FB">
        <w:rPr>
          <w:rStyle w:val="Emphasis"/>
          <w:i w:val="0"/>
          <w:bdr w:val="none" w:sz="0" w:space="0" w:color="auto" w:frame="1"/>
          <w:lang w:val="hr-HR"/>
        </w:rPr>
        <w:t>.</w:t>
      </w:r>
      <w:r w:rsidR="0042679D" w:rsidRPr="00295637">
        <w:rPr>
          <w:rStyle w:val="Emphasis"/>
          <w:i w:val="0"/>
          <w:bdr w:val="none" w:sz="0" w:space="0" w:color="auto" w:frame="1"/>
        </w:rPr>
        <w:t xml:space="preserve"> </w:t>
      </w:r>
      <w:r>
        <w:rPr>
          <w:rStyle w:val="Emphasis"/>
          <w:i w:val="0"/>
          <w:bdr w:val="none" w:sz="0" w:space="0" w:color="auto" w:frame="1"/>
        </w:rPr>
        <w:t>На</w:t>
      </w:r>
      <w:r w:rsidR="0042679D" w:rsidRPr="00295637">
        <w:rPr>
          <w:rStyle w:val="Emphasis"/>
          <w:i w:val="0"/>
          <w:bdr w:val="none" w:sz="0" w:space="0" w:color="auto" w:frame="1"/>
        </w:rPr>
        <w:t xml:space="preserve"> </w:t>
      </w:r>
      <w:r>
        <w:rPr>
          <w:rStyle w:val="Emphasis"/>
          <w:i w:val="0"/>
          <w:bdr w:val="none" w:sz="0" w:space="0" w:color="auto" w:frame="1"/>
        </w:rPr>
        <w:t>састанку</w:t>
      </w:r>
      <w:r w:rsidR="0042679D" w:rsidRPr="00295637">
        <w:rPr>
          <w:rStyle w:val="Emphasis"/>
          <w:i w:val="0"/>
          <w:bdr w:val="none" w:sz="0" w:space="0" w:color="auto" w:frame="1"/>
        </w:rPr>
        <w:t xml:space="preserve"> </w:t>
      </w:r>
      <w:r>
        <w:rPr>
          <w:rStyle w:val="Emphasis"/>
          <w:i w:val="0"/>
          <w:bdr w:val="none" w:sz="0" w:space="0" w:color="auto" w:frame="1"/>
        </w:rPr>
        <w:t>су</w:t>
      </w:r>
      <w:r w:rsidR="0042679D" w:rsidRPr="00295637">
        <w:rPr>
          <w:rStyle w:val="Emphasis"/>
          <w:i w:val="0"/>
          <w:bdr w:val="none" w:sz="0" w:space="0" w:color="auto" w:frame="1"/>
        </w:rPr>
        <w:t xml:space="preserve">, </w:t>
      </w:r>
      <w:r>
        <w:rPr>
          <w:rStyle w:val="Emphasis"/>
          <w:i w:val="0"/>
          <w:bdr w:val="none" w:sz="0" w:space="0" w:color="auto" w:frame="1"/>
        </w:rPr>
        <w:t>поред</w:t>
      </w:r>
      <w:r w:rsidR="0042679D" w:rsidRPr="00295637">
        <w:rPr>
          <w:rStyle w:val="Emphasis"/>
          <w:i w:val="0"/>
          <w:bdr w:val="none" w:sz="0" w:space="0" w:color="auto" w:frame="1"/>
        </w:rPr>
        <w:t xml:space="preserve"> </w:t>
      </w:r>
      <w:r>
        <w:rPr>
          <w:rStyle w:val="Emphasis"/>
          <w:i w:val="0"/>
          <w:bdr w:val="none" w:sz="0" w:space="0" w:color="auto" w:frame="1"/>
        </w:rPr>
        <w:t>осталог</w:t>
      </w:r>
      <w:r w:rsidR="0042679D" w:rsidRPr="00295637">
        <w:rPr>
          <w:rStyle w:val="Emphasis"/>
          <w:i w:val="0"/>
          <w:bdr w:val="none" w:sz="0" w:space="0" w:color="auto" w:frame="1"/>
        </w:rPr>
        <w:t>, </w:t>
      </w:r>
      <w:r>
        <w:rPr>
          <w:rStyle w:val="Emphasis"/>
          <w:i w:val="0"/>
          <w:bdr w:val="none" w:sz="0" w:space="0" w:color="auto" w:frame="1"/>
        </w:rPr>
        <w:t>размијењене</w:t>
      </w:r>
      <w:r w:rsidR="0042679D" w:rsidRPr="00295637">
        <w:rPr>
          <w:rStyle w:val="Emphasis"/>
          <w:i w:val="0"/>
          <w:bdr w:val="none" w:sz="0" w:space="0" w:color="auto" w:frame="1"/>
        </w:rPr>
        <w:t xml:space="preserve"> </w:t>
      </w:r>
      <w:r>
        <w:rPr>
          <w:rStyle w:val="Emphasis"/>
          <w:i w:val="0"/>
          <w:bdr w:val="none" w:sz="0" w:space="0" w:color="auto" w:frame="1"/>
        </w:rPr>
        <w:t>информације</w:t>
      </w:r>
      <w:r w:rsidR="0042679D" w:rsidRPr="00295637">
        <w:rPr>
          <w:rStyle w:val="Emphasis"/>
          <w:i w:val="0"/>
          <w:bdr w:val="none" w:sz="0" w:space="0" w:color="auto" w:frame="1"/>
        </w:rPr>
        <w:t xml:space="preserve"> </w:t>
      </w:r>
      <w:r>
        <w:rPr>
          <w:rStyle w:val="Emphasis"/>
          <w:i w:val="0"/>
          <w:bdr w:val="none" w:sz="0" w:space="0" w:color="auto" w:frame="1"/>
        </w:rPr>
        <w:t>о</w:t>
      </w:r>
      <w:r w:rsidR="0042679D" w:rsidRPr="00295637">
        <w:rPr>
          <w:rStyle w:val="Emphasis"/>
          <w:i w:val="0"/>
          <w:bdr w:val="none" w:sz="0" w:space="0" w:color="auto" w:frame="1"/>
        </w:rPr>
        <w:t xml:space="preserve"> </w:t>
      </w:r>
      <w:r>
        <w:rPr>
          <w:rStyle w:val="Emphasis"/>
          <w:i w:val="0"/>
          <w:bdr w:val="none" w:sz="0" w:space="0" w:color="auto" w:frame="1"/>
        </w:rPr>
        <w:t>статусу</w:t>
      </w:r>
      <w:r w:rsidR="0042679D" w:rsidRPr="00295637">
        <w:rPr>
          <w:rStyle w:val="Emphasis"/>
          <w:i w:val="0"/>
          <w:bdr w:val="none" w:sz="0" w:space="0" w:color="auto" w:frame="1"/>
        </w:rPr>
        <w:t xml:space="preserve"> </w:t>
      </w:r>
      <w:r>
        <w:rPr>
          <w:rStyle w:val="Emphasis"/>
          <w:i w:val="0"/>
          <w:bdr w:val="none" w:sz="0" w:space="0" w:color="auto" w:frame="1"/>
        </w:rPr>
        <w:t>новог</w:t>
      </w:r>
      <w:r w:rsidR="0042679D" w:rsidRPr="00295637">
        <w:rPr>
          <w:rStyle w:val="Emphasis"/>
          <w:i w:val="0"/>
          <w:bdr w:val="none" w:sz="0" w:space="0" w:color="auto" w:frame="1"/>
        </w:rPr>
        <w:t xml:space="preserve"> </w:t>
      </w:r>
      <w:r>
        <w:rPr>
          <w:rStyle w:val="Emphasis"/>
          <w:i w:val="0"/>
          <w:bdr w:val="none" w:sz="0" w:space="0" w:color="auto" w:frame="1"/>
        </w:rPr>
        <w:t>АП</w:t>
      </w:r>
      <w:r w:rsidR="0042679D" w:rsidRPr="00295637">
        <w:rPr>
          <w:rStyle w:val="Emphasis"/>
          <w:i w:val="0"/>
          <w:bdr w:val="none" w:sz="0" w:space="0" w:color="auto" w:frame="1"/>
        </w:rPr>
        <w:t xml:space="preserve"> </w:t>
      </w:r>
      <w:r w:rsidR="002D5D32" w:rsidRPr="002D5D32">
        <w:rPr>
          <w:i/>
          <w:iCs/>
          <w:bdr w:val="none" w:sz="0" w:space="0" w:color="auto" w:frame="1"/>
          <w:lang w:val="hr-BA"/>
        </w:rPr>
        <w:t>UNSCR</w:t>
      </w:r>
      <w:r w:rsidR="0042679D" w:rsidRPr="00295637">
        <w:rPr>
          <w:rStyle w:val="Emphasis"/>
          <w:i w:val="0"/>
          <w:bdr w:val="none" w:sz="0" w:space="0" w:color="auto" w:frame="1"/>
        </w:rPr>
        <w:t xml:space="preserve"> 1325 </w:t>
      </w:r>
      <w:r>
        <w:rPr>
          <w:rStyle w:val="Emphasis"/>
          <w:i w:val="0"/>
          <w:bdr w:val="none" w:sz="0" w:space="0" w:color="auto" w:frame="1"/>
        </w:rPr>
        <w:t>у</w:t>
      </w:r>
      <w:r w:rsidR="0042679D" w:rsidRPr="00295637">
        <w:rPr>
          <w:rStyle w:val="Emphasis"/>
          <w:i w:val="0"/>
          <w:bdr w:val="none" w:sz="0" w:space="0" w:color="auto" w:frame="1"/>
        </w:rPr>
        <w:t xml:space="preserve"> </w:t>
      </w:r>
      <w:r>
        <w:rPr>
          <w:rStyle w:val="Emphasis"/>
          <w:i w:val="0"/>
          <w:bdr w:val="none" w:sz="0" w:space="0" w:color="auto" w:frame="1"/>
        </w:rPr>
        <w:t>БиХ</w:t>
      </w:r>
      <w:r w:rsidR="0042679D" w:rsidRPr="00295637">
        <w:rPr>
          <w:rStyle w:val="Emphasis"/>
          <w:i w:val="0"/>
          <w:bdr w:val="none" w:sz="0" w:space="0" w:color="auto" w:frame="1"/>
        </w:rPr>
        <w:t>, </w:t>
      </w:r>
      <w:r w:rsidR="002D5D32">
        <w:rPr>
          <w:rStyle w:val="Emphasis"/>
          <w:i w:val="0"/>
          <w:bdr w:val="none" w:sz="0" w:space="0" w:color="auto" w:frame="1"/>
          <w:lang w:val="sr-Cyrl-BA"/>
        </w:rPr>
        <w:t>спровођењу</w:t>
      </w:r>
      <w:r w:rsidR="0042679D" w:rsidRPr="00295637">
        <w:rPr>
          <w:rStyle w:val="Emphasis"/>
          <w:i w:val="0"/>
          <w:bdr w:val="none" w:sz="0" w:space="0" w:color="auto" w:frame="1"/>
        </w:rPr>
        <w:t xml:space="preserve"> </w:t>
      </w:r>
      <w:r>
        <w:rPr>
          <w:rStyle w:val="Emphasis"/>
          <w:i w:val="0"/>
          <w:bdr w:val="none" w:sz="0" w:space="0" w:color="auto" w:frame="1"/>
        </w:rPr>
        <w:t>ове</w:t>
      </w:r>
      <w:r w:rsidR="0042679D" w:rsidRPr="00295637">
        <w:rPr>
          <w:rStyle w:val="Emphasis"/>
          <w:i w:val="0"/>
          <w:bdr w:val="none" w:sz="0" w:space="0" w:color="auto" w:frame="1"/>
        </w:rPr>
        <w:t xml:space="preserve"> </w:t>
      </w:r>
      <w:r>
        <w:rPr>
          <w:rStyle w:val="Emphasis"/>
          <w:i w:val="0"/>
          <w:bdr w:val="none" w:sz="0" w:space="0" w:color="auto" w:frame="1"/>
        </w:rPr>
        <w:t>резолуције</w:t>
      </w:r>
      <w:r w:rsidR="0042679D" w:rsidRPr="00295637">
        <w:rPr>
          <w:rStyle w:val="Emphasis"/>
          <w:i w:val="0"/>
          <w:bdr w:val="none" w:sz="0" w:space="0" w:color="auto" w:frame="1"/>
        </w:rPr>
        <w:t xml:space="preserve"> </w:t>
      </w:r>
      <w:r>
        <w:rPr>
          <w:rStyle w:val="Emphasis"/>
          <w:i w:val="0"/>
          <w:bdr w:val="none" w:sz="0" w:space="0" w:color="auto" w:frame="1"/>
        </w:rPr>
        <w:t>у</w:t>
      </w:r>
      <w:r w:rsidR="0042679D" w:rsidRPr="00295637">
        <w:rPr>
          <w:rStyle w:val="Emphasis"/>
          <w:i w:val="0"/>
          <w:bdr w:val="none" w:sz="0" w:space="0" w:color="auto" w:frame="1"/>
        </w:rPr>
        <w:t xml:space="preserve"> </w:t>
      </w:r>
      <w:r>
        <w:rPr>
          <w:rStyle w:val="Emphasis"/>
          <w:i w:val="0"/>
          <w:bdr w:val="none" w:sz="0" w:space="0" w:color="auto" w:frame="1"/>
        </w:rPr>
        <w:t>надлежним</w:t>
      </w:r>
      <w:r w:rsidR="0042679D" w:rsidRPr="00295637">
        <w:rPr>
          <w:rStyle w:val="Emphasis"/>
          <w:i w:val="0"/>
          <w:bdr w:val="none" w:sz="0" w:space="0" w:color="auto" w:frame="1"/>
        </w:rPr>
        <w:t xml:space="preserve"> </w:t>
      </w:r>
      <w:r>
        <w:rPr>
          <w:rStyle w:val="Emphasis"/>
          <w:i w:val="0"/>
          <w:bdr w:val="none" w:sz="0" w:space="0" w:color="auto" w:frame="1"/>
        </w:rPr>
        <w:t>институцијама</w:t>
      </w:r>
      <w:r w:rsidR="0042679D" w:rsidRPr="00295637">
        <w:rPr>
          <w:rStyle w:val="Emphasis"/>
          <w:i w:val="0"/>
          <w:bdr w:val="none" w:sz="0" w:space="0" w:color="auto" w:frame="1"/>
        </w:rPr>
        <w:t xml:space="preserve">, </w:t>
      </w:r>
      <w:r>
        <w:rPr>
          <w:rStyle w:val="Emphasis"/>
          <w:i w:val="0"/>
          <w:bdr w:val="none" w:sz="0" w:space="0" w:color="auto" w:frame="1"/>
        </w:rPr>
        <w:t>те</w:t>
      </w:r>
      <w:r w:rsidR="0042679D" w:rsidRPr="00295637">
        <w:rPr>
          <w:rStyle w:val="Emphasis"/>
          <w:i w:val="0"/>
          <w:bdr w:val="none" w:sz="0" w:space="0" w:color="auto" w:frame="1"/>
        </w:rPr>
        <w:t xml:space="preserve"> </w:t>
      </w:r>
      <w:r>
        <w:rPr>
          <w:rStyle w:val="Emphasis"/>
          <w:i w:val="0"/>
          <w:bdr w:val="none" w:sz="0" w:space="0" w:color="auto" w:frame="1"/>
        </w:rPr>
        <w:t>подршци</w:t>
      </w:r>
      <w:r w:rsidR="0042679D" w:rsidRPr="00295637">
        <w:rPr>
          <w:rStyle w:val="Emphasis"/>
          <w:i w:val="0"/>
          <w:bdr w:val="none" w:sz="0" w:space="0" w:color="auto" w:frame="1"/>
        </w:rPr>
        <w:t xml:space="preserve"> </w:t>
      </w:r>
      <w:r>
        <w:rPr>
          <w:rStyle w:val="Emphasis"/>
          <w:i w:val="0"/>
          <w:bdr w:val="none" w:sz="0" w:space="0" w:color="auto" w:frame="1"/>
        </w:rPr>
        <w:t>УН</w:t>
      </w:r>
      <w:r w:rsidR="0042679D" w:rsidRPr="00295637">
        <w:rPr>
          <w:rStyle w:val="Emphasis"/>
          <w:i w:val="0"/>
          <w:bdr w:val="none" w:sz="0" w:space="0" w:color="auto" w:frame="1"/>
        </w:rPr>
        <w:t>-</w:t>
      </w:r>
      <w:r>
        <w:rPr>
          <w:rStyle w:val="Emphasis"/>
          <w:i w:val="0"/>
          <w:bdr w:val="none" w:sz="0" w:space="0" w:color="auto" w:frame="1"/>
        </w:rPr>
        <w:t>а</w:t>
      </w:r>
      <w:r w:rsidR="0042679D" w:rsidRPr="00295637">
        <w:rPr>
          <w:rStyle w:val="Emphasis"/>
          <w:i w:val="0"/>
          <w:bdr w:val="none" w:sz="0" w:space="0" w:color="auto" w:frame="1"/>
        </w:rPr>
        <w:t xml:space="preserve"> </w:t>
      </w:r>
      <w:r>
        <w:rPr>
          <w:rStyle w:val="Emphasis"/>
          <w:i w:val="0"/>
          <w:bdr w:val="none" w:sz="0" w:space="0" w:color="auto" w:frame="1"/>
        </w:rPr>
        <w:t>у</w:t>
      </w:r>
      <w:r w:rsidR="0042679D" w:rsidRPr="00295637">
        <w:rPr>
          <w:rStyle w:val="Emphasis"/>
          <w:i w:val="0"/>
          <w:bdr w:val="none" w:sz="0" w:space="0" w:color="auto" w:frame="1"/>
        </w:rPr>
        <w:t xml:space="preserve"> </w:t>
      </w:r>
      <w:r>
        <w:rPr>
          <w:rStyle w:val="Emphasis"/>
          <w:i w:val="0"/>
          <w:bdr w:val="none" w:sz="0" w:space="0" w:color="auto" w:frame="1"/>
        </w:rPr>
        <w:t>оквиру</w:t>
      </w:r>
      <w:r w:rsidR="0042679D" w:rsidRPr="00295637">
        <w:rPr>
          <w:rStyle w:val="Emphasis"/>
          <w:i w:val="0"/>
          <w:bdr w:val="none" w:sz="0" w:space="0" w:color="auto" w:frame="1"/>
        </w:rPr>
        <w:t xml:space="preserve"> </w:t>
      </w:r>
      <w:r>
        <w:rPr>
          <w:rStyle w:val="Emphasis"/>
          <w:i w:val="0"/>
          <w:bdr w:val="none" w:sz="0" w:space="0" w:color="auto" w:frame="1"/>
        </w:rPr>
        <w:t>Фонда</w:t>
      </w:r>
      <w:r w:rsidR="0042679D" w:rsidRPr="00295637">
        <w:rPr>
          <w:rStyle w:val="Emphasis"/>
          <w:i w:val="0"/>
          <w:bdr w:val="none" w:sz="0" w:space="0" w:color="auto" w:frame="1"/>
        </w:rPr>
        <w:t xml:space="preserve"> </w:t>
      </w:r>
      <w:r>
        <w:rPr>
          <w:rStyle w:val="Emphasis"/>
          <w:i w:val="0"/>
          <w:bdr w:val="none" w:sz="0" w:space="0" w:color="auto" w:frame="1"/>
        </w:rPr>
        <w:t>за</w:t>
      </w:r>
      <w:r w:rsidR="0042679D" w:rsidRPr="00295637">
        <w:rPr>
          <w:rStyle w:val="Emphasis"/>
          <w:i w:val="0"/>
          <w:bdr w:val="none" w:sz="0" w:space="0" w:color="auto" w:frame="1"/>
        </w:rPr>
        <w:t xml:space="preserve"> </w:t>
      </w:r>
      <w:r>
        <w:rPr>
          <w:rStyle w:val="Emphasis"/>
          <w:i w:val="0"/>
          <w:bdr w:val="none" w:sz="0" w:space="0" w:color="auto" w:frame="1"/>
        </w:rPr>
        <w:t>изградњу</w:t>
      </w:r>
      <w:r w:rsidR="0042679D" w:rsidRPr="00295637">
        <w:rPr>
          <w:rStyle w:val="Emphasis"/>
          <w:i w:val="0"/>
          <w:bdr w:val="none" w:sz="0" w:space="0" w:color="auto" w:frame="1"/>
        </w:rPr>
        <w:t xml:space="preserve"> </w:t>
      </w:r>
      <w:r>
        <w:rPr>
          <w:rStyle w:val="Emphasis"/>
          <w:i w:val="0"/>
          <w:bdr w:val="none" w:sz="0" w:space="0" w:color="auto" w:frame="1"/>
        </w:rPr>
        <w:t>мира</w:t>
      </w:r>
      <w:r w:rsidR="0042679D" w:rsidRPr="00295637">
        <w:rPr>
          <w:rStyle w:val="Emphasis"/>
          <w:i w:val="0"/>
          <w:bdr w:val="none" w:sz="0" w:space="0" w:color="auto" w:frame="1"/>
        </w:rPr>
        <w:t xml:space="preserve"> </w:t>
      </w:r>
      <w:r>
        <w:rPr>
          <w:rStyle w:val="Emphasis"/>
          <w:i w:val="0"/>
          <w:bdr w:val="none" w:sz="0" w:space="0" w:color="auto" w:frame="1"/>
        </w:rPr>
        <w:t>Генералног</w:t>
      </w:r>
      <w:r w:rsidR="00B57739">
        <w:rPr>
          <w:rStyle w:val="Emphasis"/>
          <w:i w:val="0"/>
          <w:bdr w:val="none" w:sz="0" w:space="0" w:color="auto" w:frame="1"/>
        </w:rPr>
        <w:t xml:space="preserve"> </w:t>
      </w:r>
      <w:r>
        <w:rPr>
          <w:rStyle w:val="Emphasis"/>
          <w:i w:val="0"/>
          <w:bdr w:val="none" w:sz="0" w:space="0" w:color="auto" w:frame="1"/>
        </w:rPr>
        <w:t>секретара</w:t>
      </w:r>
      <w:r w:rsidR="0042679D" w:rsidRPr="00295637">
        <w:rPr>
          <w:rStyle w:val="Emphasis"/>
          <w:i w:val="0"/>
          <w:bdr w:val="none" w:sz="0" w:space="0" w:color="auto" w:frame="1"/>
        </w:rPr>
        <w:t xml:space="preserve"> </w:t>
      </w:r>
      <w:r>
        <w:rPr>
          <w:rStyle w:val="Emphasis"/>
          <w:i w:val="0"/>
          <w:bdr w:val="none" w:sz="0" w:space="0" w:color="auto" w:frame="1"/>
        </w:rPr>
        <w:t>УН</w:t>
      </w:r>
      <w:r w:rsidR="0042679D" w:rsidRPr="00295637">
        <w:rPr>
          <w:rStyle w:val="Emphasis"/>
          <w:i w:val="0"/>
          <w:bdr w:val="none" w:sz="0" w:space="0" w:color="auto" w:frame="1"/>
        </w:rPr>
        <w:t>.</w:t>
      </w:r>
      <w:r w:rsidR="0042679D" w:rsidRPr="00295637">
        <w:rPr>
          <w:i/>
        </w:rPr>
        <w:t xml:space="preserve"> </w:t>
      </w:r>
      <w:r>
        <w:rPr>
          <w:rStyle w:val="Emphasis"/>
          <w:i w:val="0"/>
          <w:bdr w:val="none" w:sz="0" w:space="0" w:color="auto" w:frame="1"/>
        </w:rPr>
        <w:t>Разматрани</w:t>
      </w:r>
      <w:r w:rsidR="0042679D" w:rsidRPr="00295637">
        <w:rPr>
          <w:rStyle w:val="Emphasis"/>
          <w:i w:val="0"/>
          <w:bdr w:val="none" w:sz="0" w:space="0" w:color="auto" w:frame="1"/>
        </w:rPr>
        <w:t xml:space="preserve"> </w:t>
      </w:r>
      <w:r>
        <w:rPr>
          <w:rStyle w:val="Emphasis"/>
          <w:i w:val="0"/>
          <w:bdr w:val="none" w:sz="0" w:space="0" w:color="auto" w:frame="1"/>
        </w:rPr>
        <w:t>су</w:t>
      </w:r>
      <w:r w:rsidR="0042679D" w:rsidRPr="00295637">
        <w:rPr>
          <w:rStyle w:val="Emphasis"/>
          <w:i w:val="0"/>
          <w:bdr w:val="none" w:sz="0" w:space="0" w:color="auto" w:frame="1"/>
        </w:rPr>
        <w:t xml:space="preserve"> </w:t>
      </w:r>
      <w:r>
        <w:rPr>
          <w:rStyle w:val="Emphasis"/>
          <w:i w:val="0"/>
          <w:bdr w:val="none" w:sz="0" w:space="0" w:color="auto" w:frame="1"/>
        </w:rPr>
        <w:t>наредни</w:t>
      </w:r>
      <w:r w:rsidR="0042679D" w:rsidRPr="00295637">
        <w:rPr>
          <w:rStyle w:val="Emphasis"/>
          <w:i w:val="0"/>
          <w:bdr w:val="none" w:sz="0" w:space="0" w:color="auto" w:frame="1"/>
        </w:rPr>
        <w:t xml:space="preserve"> </w:t>
      </w:r>
      <w:r>
        <w:rPr>
          <w:rStyle w:val="Emphasis"/>
          <w:i w:val="0"/>
          <w:bdr w:val="none" w:sz="0" w:space="0" w:color="auto" w:frame="1"/>
        </w:rPr>
        <w:t>кораци</w:t>
      </w:r>
      <w:r w:rsidR="0042679D" w:rsidRPr="00295637">
        <w:rPr>
          <w:rStyle w:val="Emphasis"/>
          <w:i w:val="0"/>
          <w:bdr w:val="none" w:sz="0" w:space="0" w:color="auto" w:frame="1"/>
        </w:rPr>
        <w:t xml:space="preserve">, </w:t>
      </w:r>
      <w:r>
        <w:rPr>
          <w:rStyle w:val="Emphasis"/>
          <w:i w:val="0"/>
          <w:bdr w:val="none" w:sz="0" w:space="0" w:color="auto" w:frame="1"/>
        </w:rPr>
        <w:t>укључујући</w:t>
      </w:r>
      <w:r w:rsidR="0042679D" w:rsidRPr="00295637">
        <w:rPr>
          <w:rStyle w:val="Emphasis"/>
          <w:i w:val="0"/>
          <w:bdr w:val="none" w:sz="0" w:space="0" w:color="auto" w:frame="1"/>
        </w:rPr>
        <w:t xml:space="preserve"> </w:t>
      </w:r>
      <w:r>
        <w:rPr>
          <w:rStyle w:val="Emphasis"/>
          <w:i w:val="0"/>
          <w:bdr w:val="none" w:sz="0" w:space="0" w:color="auto" w:frame="1"/>
        </w:rPr>
        <w:t>приступање</w:t>
      </w:r>
      <w:r w:rsidR="0042679D" w:rsidRPr="00295637">
        <w:rPr>
          <w:rStyle w:val="Emphasis"/>
          <w:i w:val="0"/>
          <w:bdr w:val="none" w:sz="0" w:space="0" w:color="auto" w:frame="1"/>
        </w:rPr>
        <w:t xml:space="preserve"> </w:t>
      </w:r>
      <w:r>
        <w:rPr>
          <w:rStyle w:val="Emphasis"/>
          <w:i w:val="0"/>
          <w:bdr w:val="none" w:sz="0" w:space="0" w:color="auto" w:frame="1"/>
        </w:rPr>
        <w:t>БиХ</w:t>
      </w:r>
      <w:r w:rsidR="0042679D" w:rsidRPr="00295637">
        <w:rPr>
          <w:rStyle w:val="Emphasis"/>
          <w:i w:val="0"/>
          <w:bdr w:val="none" w:sz="0" w:space="0" w:color="auto" w:frame="1"/>
        </w:rPr>
        <w:t xml:space="preserve"> </w:t>
      </w:r>
      <w:r>
        <w:rPr>
          <w:rStyle w:val="Emphasis"/>
          <w:i w:val="0"/>
          <w:bdr w:val="none" w:sz="0" w:space="0" w:color="auto" w:frame="1"/>
        </w:rPr>
        <w:t>Глобалном</w:t>
      </w:r>
      <w:r w:rsidR="0042679D" w:rsidRPr="00295637">
        <w:rPr>
          <w:rStyle w:val="Emphasis"/>
          <w:i w:val="0"/>
          <w:bdr w:val="none" w:sz="0" w:space="0" w:color="auto" w:frame="1"/>
        </w:rPr>
        <w:t xml:space="preserve"> </w:t>
      </w:r>
      <w:r>
        <w:rPr>
          <w:rStyle w:val="Emphasis"/>
          <w:i w:val="0"/>
          <w:bdr w:val="none" w:sz="0" w:space="0" w:color="auto" w:frame="1"/>
        </w:rPr>
        <w:t>компакту</w:t>
      </w:r>
      <w:r w:rsidR="0042679D" w:rsidRPr="00295637">
        <w:rPr>
          <w:rStyle w:val="Emphasis"/>
          <w:i w:val="0"/>
          <w:bdr w:val="none" w:sz="0" w:space="0" w:color="auto" w:frame="1"/>
        </w:rPr>
        <w:t xml:space="preserve"> „</w:t>
      </w:r>
      <w:r>
        <w:rPr>
          <w:rStyle w:val="Emphasis"/>
          <w:i w:val="0"/>
          <w:bdr w:val="none" w:sz="0" w:space="0" w:color="auto" w:frame="1"/>
        </w:rPr>
        <w:t>Жене</w:t>
      </w:r>
      <w:r w:rsidR="0042679D" w:rsidRPr="00295637">
        <w:rPr>
          <w:rStyle w:val="Emphasis"/>
          <w:i w:val="0"/>
          <w:bdr w:val="none" w:sz="0" w:space="0" w:color="auto" w:frame="1"/>
        </w:rPr>
        <w:t xml:space="preserve">, </w:t>
      </w:r>
      <w:r>
        <w:rPr>
          <w:rStyle w:val="Emphasis"/>
          <w:i w:val="0"/>
          <w:bdr w:val="none" w:sz="0" w:space="0" w:color="auto" w:frame="1"/>
        </w:rPr>
        <w:t>мир</w:t>
      </w:r>
      <w:r w:rsidR="0042679D" w:rsidRPr="00295637">
        <w:rPr>
          <w:rStyle w:val="Emphasis"/>
          <w:i w:val="0"/>
          <w:bdr w:val="none" w:sz="0" w:space="0" w:color="auto" w:frame="1"/>
        </w:rPr>
        <w:t xml:space="preserve"> </w:t>
      </w:r>
      <w:r>
        <w:rPr>
          <w:rStyle w:val="Emphasis"/>
          <w:i w:val="0"/>
          <w:bdr w:val="none" w:sz="0" w:space="0" w:color="auto" w:frame="1"/>
        </w:rPr>
        <w:t>и</w:t>
      </w:r>
      <w:r w:rsidR="0042679D" w:rsidRPr="00295637">
        <w:rPr>
          <w:rStyle w:val="Emphasis"/>
          <w:i w:val="0"/>
          <w:bdr w:val="none" w:sz="0" w:space="0" w:color="auto" w:frame="1"/>
        </w:rPr>
        <w:t xml:space="preserve"> </w:t>
      </w:r>
      <w:r w:rsidR="002D5D32">
        <w:rPr>
          <w:rStyle w:val="Emphasis"/>
          <w:i w:val="0"/>
          <w:bdr w:val="none" w:sz="0" w:space="0" w:color="auto" w:frame="1"/>
          <w:lang w:val="sr-Cyrl-BA"/>
        </w:rPr>
        <w:t>безбједност</w:t>
      </w:r>
      <w:r w:rsidR="0042679D" w:rsidRPr="00295637">
        <w:rPr>
          <w:rStyle w:val="Emphasis"/>
          <w:i w:val="0"/>
          <w:bdr w:val="none" w:sz="0" w:space="0" w:color="auto" w:frame="1"/>
        </w:rPr>
        <w:t xml:space="preserve"> </w:t>
      </w:r>
      <w:r>
        <w:rPr>
          <w:rStyle w:val="Emphasis"/>
          <w:i w:val="0"/>
          <w:bdr w:val="none" w:sz="0" w:space="0" w:color="auto" w:frame="1"/>
        </w:rPr>
        <w:t>и</w:t>
      </w:r>
      <w:r w:rsidR="0042679D" w:rsidRPr="00295637">
        <w:rPr>
          <w:rStyle w:val="Emphasis"/>
          <w:i w:val="0"/>
          <w:bdr w:val="none" w:sz="0" w:space="0" w:color="auto" w:frame="1"/>
        </w:rPr>
        <w:t xml:space="preserve"> </w:t>
      </w:r>
      <w:r>
        <w:rPr>
          <w:rStyle w:val="Emphasis"/>
          <w:i w:val="0"/>
          <w:bdr w:val="none" w:sz="0" w:space="0" w:color="auto" w:frame="1"/>
        </w:rPr>
        <w:t>хуманитарна</w:t>
      </w:r>
      <w:r w:rsidR="0042679D" w:rsidRPr="00295637">
        <w:rPr>
          <w:rStyle w:val="Emphasis"/>
          <w:i w:val="0"/>
          <w:bdr w:val="none" w:sz="0" w:space="0" w:color="auto" w:frame="1"/>
        </w:rPr>
        <w:t xml:space="preserve"> </w:t>
      </w:r>
      <w:r>
        <w:rPr>
          <w:rStyle w:val="Emphasis"/>
          <w:i w:val="0"/>
          <w:bdr w:val="none" w:sz="0" w:space="0" w:color="auto" w:frame="1"/>
        </w:rPr>
        <w:t>акција</w:t>
      </w:r>
      <w:r w:rsidR="0042679D" w:rsidRPr="00295637">
        <w:rPr>
          <w:rStyle w:val="Emphasis"/>
          <w:i w:val="0"/>
          <w:bdr w:val="none" w:sz="0" w:space="0" w:color="auto" w:frame="1"/>
        </w:rPr>
        <w:t xml:space="preserve">“, </w:t>
      </w:r>
      <w:r>
        <w:rPr>
          <w:rStyle w:val="Emphasis"/>
          <w:i w:val="0"/>
          <w:bdr w:val="none" w:sz="0" w:space="0" w:color="auto" w:frame="1"/>
        </w:rPr>
        <w:t>те</w:t>
      </w:r>
      <w:r w:rsidR="0042679D" w:rsidRPr="00295637">
        <w:rPr>
          <w:rStyle w:val="Emphasis"/>
          <w:i w:val="0"/>
          <w:bdr w:val="none" w:sz="0" w:space="0" w:color="auto" w:frame="1"/>
        </w:rPr>
        <w:t xml:space="preserve"> </w:t>
      </w:r>
      <w:r>
        <w:rPr>
          <w:rStyle w:val="Emphasis"/>
          <w:i w:val="0"/>
          <w:bdr w:val="none" w:sz="0" w:space="0" w:color="auto" w:frame="1"/>
        </w:rPr>
        <w:t>планове</w:t>
      </w:r>
      <w:r w:rsidR="0042679D" w:rsidRPr="00295637">
        <w:rPr>
          <w:rStyle w:val="Emphasis"/>
          <w:i w:val="0"/>
          <w:bdr w:val="none" w:sz="0" w:space="0" w:color="auto" w:frame="1"/>
        </w:rPr>
        <w:t xml:space="preserve"> </w:t>
      </w:r>
      <w:r>
        <w:rPr>
          <w:rStyle w:val="Emphasis"/>
          <w:i w:val="0"/>
          <w:bdr w:val="none" w:sz="0" w:space="0" w:color="auto" w:frame="1"/>
        </w:rPr>
        <w:t>за</w:t>
      </w:r>
      <w:r w:rsidR="0042679D" w:rsidRPr="00295637">
        <w:rPr>
          <w:rStyle w:val="Emphasis"/>
          <w:i w:val="0"/>
          <w:bdr w:val="none" w:sz="0" w:space="0" w:color="auto" w:frame="1"/>
        </w:rPr>
        <w:t xml:space="preserve"> </w:t>
      </w:r>
      <w:r>
        <w:rPr>
          <w:rStyle w:val="Emphasis"/>
          <w:i w:val="0"/>
          <w:bdr w:val="none" w:sz="0" w:space="0" w:color="auto" w:frame="1"/>
        </w:rPr>
        <w:t>обиљежавање</w:t>
      </w:r>
      <w:r w:rsidR="0042679D" w:rsidRPr="00295637">
        <w:rPr>
          <w:rStyle w:val="Emphasis"/>
          <w:i w:val="0"/>
          <w:bdr w:val="none" w:sz="0" w:space="0" w:color="auto" w:frame="1"/>
        </w:rPr>
        <w:t xml:space="preserve"> 25</w:t>
      </w:r>
      <w:r w:rsidR="00622222">
        <w:rPr>
          <w:rStyle w:val="Emphasis"/>
          <w:i w:val="0"/>
          <w:bdr w:val="none" w:sz="0" w:space="0" w:color="auto" w:frame="1"/>
        </w:rPr>
        <w:t xml:space="preserve">. </w:t>
      </w:r>
      <w:r>
        <w:rPr>
          <w:rStyle w:val="Emphasis"/>
          <w:i w:val="0"/>
          <w:bdr w:val="none" w:sz="0" w:space="0" w:color="auto" w:frame="1"/>
        </w:rPr>
        <w:t>годишњице</w:t>
      </w:r>
      <w:r w:rsidR="0042679D" w:rsidRPr="00295637">
        <w:rPr>
          <w:rStyle w:val="Emphasis"/>
          <w:i w:val="0"/>
          <w:bdr w:val="none" w:sz="0" w:space="0" w:color="auto" w:frame="1"/>
        </w:rPr>
        <w:t xml:space="preserve"> </w:t>
      </w:r>
      <w:r w:rsidR="002D5D32" w:rsidRPr="002D5D32">
        <w:rPr>
          <w:i/>
          <w:iCs/>
          <w:bdr w:val="none" w:sz="0" w:space="0" w:color="auto" w:frame="1"/>
          <w:lang w:val="hr-BA"/>
        </w:rPr>
        <w:t>UNSCR</w:t>
      </w:r>
      <w:r w:rsidR="00EB31AF">
        <w:rPr>
          <w:rStyle w:val="Emphasis"/>
          <w:i w:val="0"/>
          <w:bdr w:val="none" w:sz="0" w:space="0" w:color="auto" w:frame="1"/>
        </w:rPr>
        <w:t xml:space="preserve"> 1325</w:t>
      </w:r>
      <w:r w:rsidR="0042679D" w:rsidRPr="00295637">
        <w:rPr>
          <w:rStyle w:val="Emphasis"/>
          <w:i w:val="0"/>
          <w:bdr w:val="none" w:sz="0" w:space="0" w:color="auto" w:frame="1"/>
        </w:rPr>
        <w:t>.</w:t>
      </w:r>
    </w:p>
    <w:p w:rsidR="0042679D" w:rsidRPr="00460B7A" w:rsidRDefault="0042679D" w:rsidP="0086268D">
      <w:pPr>
        <w:pStyle w:val="ListParagraph"/>
        <w:rPr>
          <w:rFonts w:ascii="Times New Roman" w:hAnsi="Times New Roman"/>
          <w:szCs w:val="24"/>
        </w:rPr>
      </w:pPr>
    </w:p>
    <w:p w:rsidR="0042679D" w:rsidRDefault="00C6214E" w:rsidP="0086268D">
      <w:pPr>
        <w:pStyle w:val="ListParagraph"/>
        <w:numPr>
          <w:ilvl w:val="0"/>
          <w:numId w:val="17"/>
        </w:numPr>
        <w:ind w:right="149"/>
        <w:jc w:val="both"/>
        <w:rPr>
          <w:rFonts w:ascii="Times New Roman" w:hAnsi="Times New Roman"/>
          <w:szCs w:val="24"/>
        </w:rPr>
      </w:pPr>
      <w:r>
        <w:rPr>
          <w:rFonts w:ascii="Times New Roman" w:hAnsi="Times New Roman"/>
          <w:szCs w:val="24"/>
        </w:rPr>
        <w:t>ОС</w:t>
      </w:r>
      <w:r w:rsidR="0042679D" w:rsidRPr="00295637">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Pr>
          <w:rFonts w:ascii="Times New Roman" w:hAnsi="Times New Roman"/>
          <w:szCs w:val="24"/>
        </w:rPr>
        <w:t>биљеже</w:t>
      </w:r>
      <w:r w:rsidR="0042679D" w:rsidRPr="00295637">
        <w:rPr>
          <w:rFonts w:ascii="Times New Roman" w:hAnsi="Times New Roman"/>
          <w:szCs w:val="24"/>
        </w:rPr>
        <w:t xml:space="preserve"> </w:t>
      </w:r>
      <w:r>
        <w:rPr>
          <w:rFonts w:ascii="Times New Roman" w:hAnsi="Times New Roman"/>
          <w:szCs w:val="24"/>
        </w:rPr>
        <w:t>позитиван</w:t>
      </w:r>
      <w:r w:rsidR="0042679D" w:rsidRPr="00295637">
        <w:rPr>
          <w:rFonts w:ascii="Times New Roman" w:hAnsi="Times New Roman"/>
          <w:szCs w:val="24"/>
        </w:rPr>
        <w:t xml:space="preserve"> </w:t>
      </w:r>
      <w:r>
        <w:rPr>
          <w:rFonts w:ascii="Times New Roman" w:hAnsi="Times New Roman"/>
          <w:szCs w:val="24"/>
        </w:rPr>
        <w:t>тренд</w:t>
      </w:r>
      <w:r w:rsidR="0042679D" w:rsidRPr="00295637">
        <w:rPr>
          <w:rFonts w:ascii="Times New Roman" w:hAnsi="Times New Roman"/>
          <w:szCs w:val="24"/>
        </w:rPr>
        <w:t xml:space="preserve"> </w:t>
      </w:r>
      <w:r>
        <w:rPr>
          <w:rFonts w:ascii="Times New Roman" w:hAnsi="Times New Roman"/>
          <w:szCs w:val="24"/>
        </w:rPr>
        <w:t>повећања</w:t>
      </w:r>
      <w:r w:rsidR="0042679D" w:rsidRPr="00295637">
        <w:rPr>
          <w:rFonts w:ascii="Times New Roman" w:hAnsi="Times New Roman"/>
          <w:szCs w:val="24"/>
        </w:rPr>
        <w:t xml:space="preserve"> </w:t>
      </w:r>
      <w:r>
        <w:rPr>
          <w:rFonts w:ascii="Times New Roman" w:hAnsi="Times New Roman"/>
          <w:szCs w:val="24"/>
        </w:rPr>
        <w:t>процента</w:t>
      </w:r>
      <w:r w:rsidR="0042679D" w:rsidRPr="00295637">
        <w:rPr>
          <w:rFonts w:ascii="Times New Roman" w:hAnsi="Times New Roman"/>
          <w:szCs w:val="24"/>
        </w:rPr>
        <w:t xml:space="preserve"> </w:t>
      </w:r>
      <w:r>
        <w:rPr>
          <w:rFonts w:ascii="Times New Roman" w:hAnsi="Times New Roman"/>
          <w:szCs w:val="24"/>
        </w:rPr>
        <w:t>жена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свом</w:t>
      </w:r>
      <w:r w:rsidR="0042679D" w:rsidRPr="00295637">
        <w:rPr>
          <w:rFonts w:ascii="Times New Roman" w:hAnsi="Times New Roman"/>
          <w:szCs w:val="24"/>
        </w:rPr>
        <w:t xml:space="preserve"> </w:t>
      </w:r>
      <w:r>
        <w:rPr>
          <w:rFonts w:ascii="Times New Roman" w:hAnsi="Times New Roman"/>
          <w:szCs w:val="24"/>
        </w:rPr>
        <w:t>саставу</w:t>
      </w:r>
      <w:r w:rsidR="0042679D" w:rsidRPr="00295637">
        <w:rPr>
          <w:rFonts w:ascii="Times New Roman" w:hAnsi="Times New Roman"/>
          <w:szCs w:val="24"/>
        </w:rPr>
        <w:t xml:space="preserve">, </w:t>
      </w:r>
      <w:r>
        <w:rPr>
          <w:rFonts w:ascii="Times New Roman" w:hAnsi="Times New Roman"/>
          <w:szCs w:val="24"/>
        </w:rPr>
        <w:t>као</w:t>
      </w:r>
      <w:r w:rsidR="0042679D" w:rsidRPr="00295637">
        <w:rPr>
          <w:rFonts w:ascii="Times New Roman" w:hAnsi="Times New Roman"/>
          <w:szCs w:val="24"/>
        </w:rPr>
        <w:t xml:space="preserve"> </w:t>
      </w:r>
      <w:r>
        <w:rPr>
          <w:rFonts w:ascii="Times New Roman" w:hAnsi="Times New Roman"/>
          <w:szCs w:val="24"/>
        </w:rPr>
        <w:t>резултат</w:t>
      </w:r>
      <w:r w:rsidR="0042679D" w:rsidRPr="00295637">
        <w:rPr>
          <w:rFonts w:ascii="Times New Roman" w:hAnsi="Times New Roman"/>
          <w:szCs w:val="24"/>
        </w:rPr>
        <w:t xml:space="preserve"> </w:t>
      </w:r>
      <w:r>
        <w:rPr>
          <w:rFonts w:ascii="Times New Roman" w:hAnsi="Times New Roman"/>
          <w:szCs w:val="24"/>
        </w:rPr>
        <w:t>примјене</w:t>
      </w:r>
      <w:r w:rsidR="0042679D" w:rsidRPr="00295637">
        <w:rPr>
          <w:rFonts w:ascii="Times New Roman" w:hAnsi="Times New Roman"/>
          <w:szCs w:val="24"/>
        </w:rPr>
        <w:t xml:space="preserve"> </w:t>
      </w:r>
      <w:r>
        <w:rPr>
          <w:rFonts w:ascii="Times New Roman" w:hAnsi="Times New Roman"/>
          <w:szCs w:val="24"/>
        </w:rPr>
        <w:t>Политике</w:t>
      </w:r>
      <w:r w:rsidR="0042679D" w:rsidRPr="00295637">
        <w:rPr>
          <w:rFonts w:ascii="Times New Roman" w:hAnsi="Times New Roman"/>
          <w:szCs w:val="24"/>
        </w:rPr>
        <w:t xml:space="preserve"> </w:t>
      </w:r>
      <w:r>
        <w:rPr>
          <w:rFonts w:ascii="Times New Roman" w:hAnsi="Times New Roman"/>
          <w:szCs w:val="24"/>
        </w:rPr>
        <w:t>родне</w:t>
      </w:r>
      <w:r w:rsidR="0042679D" w:rsidRPr="00295637">
        <w:rPr>
          <w:rFonts w:ascii="Times New Roman" w:hAnsi="Times New Roman"/>
          <w:szCs w:val="24"/>
        </w:rPr>
        <w:t xml:space="preserve"> </w:t>
      </w:r>
      <w:r>
        <w:rPr>
          <w:rFonts w:ascii="Times New Roman" w:hAnsi="Times New Roman"/>
          <w:szCs w:val="24"/>
        </w:rPr>
        <w:t>равноправности</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МО</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ОС</w:t>
      </w:r>
      <w:r w:rsidR="0042679D" w:rsidRPr="00295637">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Pr>
          <w:rFonts w:ascii="Times New Roman" w:hAnsi="Times New Roman"/>
          <w:szCs w:val="24"/>
        </w:rPr>
        <w:t>Проценат</w:t>
      </w:r>
      <w:r w:rsidR="0042679D" w:rsidRPr="00295637">
        <w:rPr>
          <w:rFonts w:ascii="Times New Roman" w:hAnsi="Times New Roman"/>
          <w:szCs w:val="24"/>
        </w:rPr>
        <w:t xml:space="preserve"> </w:t>
      </w:r>
      <w:r>
        <w:rPr>
          <w:rFonts w:ascii="Times New Roman" w:hAnsi="Times New Roman"/>
          <w:szCs w:val="24"/>
        </w:rPr>
        <w:t>жена</w:t>
      </w:r>
      <w:r w:rsidR="0042679D" w:rsidRPr="00295637">
        <w:rPr>
          <w:rFonts w:ascii="Times New Roman" w:hAnsi="Times New Roman"/>
          <w:szCs w:val="24"/>
        </w:rPr>
        <w:t xml:space="preserve"> – </w:t>
      </w:r>
      <w:r>
        <w:rPr>
          <w:rFonts w:ascii="Times New Roman" w:hAnsi="Times New Roman"/>
          <w:szCs w:val="24"/>
        </w:rPr>
        <w:t>професионалних</w:t>
      </w:r>
      <w:r w:rsidR="0042679D" w:rsidRPr="00295637">
        <w:rPr>
          <w:rFonts w:ascii="Times New Roman" w:hAnsi="Times New Roman"/>
          <w:szCs w:val="24"/>
        </w:rPr>
        <w:t xml:space="preserve"> </w:t>
      </w:r>
      <w:r>
        <w:rPr>
          <w:rFonts w:ascii="Times New Roman" w:hAnsi="Times New Roman"/>
          <w:szCs w:val="24"/>
        </w:rPr>
        <w:t>војних</w:t>
      </w:r>
      <w:r w:rsidR="0042679D" w:rsidRPr="00295637">
        <w:rPr>
          <w:rFonts w:ascii="Times New Roman" w:hAnsi="Times New Roman"/>
          <w:szCs w:val="24"/>
        </w:rPr>
        <w:t xml:space="preserve"> </w:t>
      </w:r>
      <w:r>
        <w:rPr>
          <w:rFonts w:ascii="Times New Roman" w:hAnsi="Times New Roman"/>
          <w:szCs w:val="24"/>
        </w:rPr>
        <w:t>лица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категорији</w:t>
      </w:r>
      <w:r w:rsidR="0042679D">
        <w:rPr>
          <w:rFonts w:ascii="Times New Roman" w:hAnsi="Times New Roman"/>
          <w:szCs w:val="24"/>
        </w:rPr>
        <w:t xml:space="preserve"> </w:t>
      </w:r>
      <w:r>
        <w:rPr>
          <w:rFonts w:ascii="Times New Roman" w:hAnsi="Times New Roman"/>
          <w:szCs w:val="24"/>
        </w:rPr>
        <w:t>војника</w:t>
      </w:r>
      <w:r w:rsidR="0042679D">
        <w:rPr>
          <w:rFonts w:ascii="Times New Roman" w:hAnsi="Times New Roman"/>
          <w:szCs w:val="24"/>
        </w:rPr>
        <w:t>/</w:t>
      </w:r>
      <w:r>
        <w:rPr>
          <w:rFonts w:ascii="Times New Roman" w:hAnsi="Times New Roman"/>
          <w:szCs w:val="24"/>
        </w:rPr>
        <w:t>војникиња</w:t>
      </w:r>
      <w:r w:rsidR="0042679D">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1</w:t>
      </w:r>
      <w:r w:rsidR="0042679D">
        <w:rPr>
          <w:rFonts w:ascii="Times New Roman" w:hAnsi="Times New Roman"/>
          <w:szCs w:val="24"/>
        </w:rPr>
        <w:t>3</w:t>
      </w:r>
      <w:r w:rsidR="00622222">
        <w:rPr>
          <w:rFonts w:ascii="Times New Roman" w:hAnsi="Times New Roman"/>
          <w:szCs w:val="24"/>
        </w:rPr>
        <w:t xml:space="preserve"> %</w:t>
      </w:r>
      <w:r w:rsidR="0042679D" w:rsidRPr="00295637">
        <w:rPr>
          <w:rFonts w:ascii="Times New Roman" w:hAnsi="Times New Roman"/>
          <w:szCs w:val="24"/>
        </w:rPr>
        <w:t xml:space="preserve"> (2022. </w:t>
      </w:r>
      <w:r>
        <w:rPr>
          <w:rFonts w:ascii="Times New Roman" w:hAnsi="Times New Roman"/>
          <w:szCs w:val="24"/>
        </w:rPr>
        <w:t>године</w:t>
      </w:r>
      <w:r w:rsidR="0042679D" w:rsidRPr="00295637">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Pr>
          <w:rFonts w:ascii="Times New Roman" w:hAnsi="Times New Roman"/>
          <w:szCs w:val="24"/>
        </w:rPr>
        <w:t>био</w:t>
      </w:r>
      <w:r w:rsidR="0042679D" w:rsidRPr="00295637">
        <w:rPr>
          <w:rFonts w:ascii="Times New Roman" w:hAnsi="Times New Roman"/>
          <w:szCs w:val="24"/>
        </w:rPr>
        <w:t xml:space="preserve"> 10%),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категорији</w:t>
      </w:r>
      <w:r w:rsidR="0042679D" w:rsidRPr="00295637">
        <w:rPr>
          <w:rFonts w:ascii="Times New Roman" w:hAnsi="Times New Roman"/>
          <w:szCs w:val="24"/>
        </w:rPr>
        <w:t xml:space="preserve"> </w:t>
      </w:r>
      <w:r>
        <w:rPr>
          <w:rFonts w:ascii="Times New Roman" w:hAnsi="Times New Roman"/>
          <w:szCs w:val="24"/>
        </w:rPr>
        <w:t>подофицира</w:t>
      </w:r>
      <w:r w:rsidR="0042679D" w:rsidRPr="00295637">
        <w:rPr>
          <w:rFonts w:ascii="Times New Roman" w:hAnsi="Times New Roman"/>
          <w:szCs w:val="24"/>
        </w:rPr>
        <w:t xml:space="preserve"> </w:t>
      </w:r>
      <w:r w:rsidR="0042679D">
        <w:rPr>
          <w:rFonts w:ascii="Times New Roman" w:hAnsi="Times New Roman"/>
          <w:szCs w:val="24"/>
        </w:rPr>
        <w:t>6</w:t>
      </w:r>
      <w:r w:rsidR="0042679D" w:rsidRPr="00295637">
        <w:rPr>
          <w:rFonts w:ascii="Times New Roman" w:hAnsi="Times New Roman"/>
          <w:szCs w:val="24"/>
        </w:rPr>
        <w:t xml:space="preserve"> % (2022. </w:t>
      </w:r>
      <w:r>
        <w:rPr>
          <w:rFonts w:ascii="Times New Roman" w:hAnsi="Times New Roman"/>
          <w:szCs w:val="24"/>
        </w:rPr>
        <w:t>године</w:t>
      </w:r>
      <w:r w:rsidR="0042679D" w:rsidRPr="00295637">
        <w:rPr>
          <w:rFonts w:ascii="Times New Roman" w:hAnsi="Times New Roman"/>
          <w:szCs w:val="24"/>
        </w:rPr>
        <w:t xml:space="preserve"> 4%)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категорији</w:t>
      </w:r>
      <w:r w:rsidR="0042679D" w:rsidRPr="00295637">
        <w:rPr>
          <w:rFonts w:ascii="Times New Roman" w:hAnsi="Times New Roman"/>
          <w:szCs w:val="24"/>
        </w:rPr>
        <w:t xml:space="preserve"> </w:t>
      </w:r>
      <w:r>
        <w:rPr>
          <w:rFonts w:ascii="Times New Roman" w:hAnsi="Times New Roman"/>
          <w:szCs w:val="24"/>
        </w:rPr>
        <w:t>официра</w:t>
      </w:r>
      <w:r w:rsidR="0042679D" w:rsidRPr="00295637">
        <w:rPr>
          <w:rFonts w:ascii="Times New Roman" w:hAnsi="Times New Roman"/>
          <w:szCs w:val="24"/>
        </w:rPr>
        <w:t xml:space="preserve"> </w:t>
      </w:r>
      <w:r>
        <w:rPr>
          <w:rFonts w:ascii="Times New Roman" w:hAnsi="Times New Roman"/>
          <w:szCs w:val="24"/>
        </w:rPr>
        <w:t>износи</w:t>
      </w:r>
      <w:r w:rsidR="0042679D" w:rsidRPr="00295637">
        <w:rPr>
          <w:rFonts w:ascii="Times New Roman" w:hAnsi="Times New Roman"/>
          <w:szCs w:val="24"/>
        </w:rPr>
        <w:t xml:space="preserve"> 9,35 % (2022. </w:t>
      </w:r>
      <w:r>
        <w:rPr>
          <w:rFonts w:ascii="Times New Roman" w:hAnsi="Times New Roman"/>
          <w:szCs w:val="24"/>
        </w:rPr>
        <w:t>године</w:t>
      </w:r>
      <w:r w:rsidR="0042679D" w:rsidRPr="00295637">
        <w:rPr>
          <w:rFonts w:ascii="Times New Roman" w:hAnsi="Times New Roman"/>
          <w:szCs w:val="24"/>
        </w:rPr>
        <w:t xml:space="preserve"> 5%). </w:t>
      </w:r>
      <w:r>
        <w:rPr>
          <w:rFonts w:ascii="Times New Roman" w:hAnsi="Times New Roman"/>
          <w:szCs w:val="24"/>
        </w:rPr>
        <w:t>Такође</w:t>
      </w:r>
      <w:r w:rsidR="0042679D" w:rsidRPr="00295637">
        <w:rPr>
          <w:rFonts w:ascii="Times New Roman" w:hAnsi="Times New Roman"/>
          <w:szCs w:val="24"/>
        </w:rPr>
        <w:t xml:space="preserve">, </w:t>
      </w:r>
      <w:r>
        <w:rPr>
          <w:rFonts w:ascii="Times New Roman" w:hAnsi="Times New Roman"/>
          <w:szCs w:val="24"/>
        </w:rPr>
        <w:t>подаци</w:t>
      </w:r>
      <w:r w:rsidR="0042679D" w:rsidRPr="00295637">
        <w:rPr>
          <w:rFonts w:ascii="Times New Roman" w:hAnsi="Times New Roman"/>
          <w:szCs w:val="24"/>
        </w:rPr>
        <w:t xml:space="preserve"> </w:t>
      </w:r>
      <w:r>
        <w:rPr>
          <w:rFonts w:ascii="Times New Roman" w:hAnsi="Times New Roman"/>
          <w:szCs w:val="24"/>
        </w:rPr>
        <w:t>показују</w:t>
      </w:r>
      <w:r w:rsidR="0042679D" w:rsidRPr="00295637">
        <w:rPr>
          <w:rFonts w:ascii="Times New Roman" w:hAnsi="Times New Roman"/>
          <w:szCs w:val="24"/>
        </w:rPr>
        <w:t xml:space="preserve"> </w:t>
      </w:r>
      <w:r>
        <w:rPr>
          <w:rFonts w:ascii="Times New Roman" w:hAnsi="Times New Roman"/>
          <w:szCs w:val="24"/>
        </w:rPr>
        <w:t>повећање</w:t>
      </w:r>
      <w:r w:rsidR="0042679D" w:rsidRPr="00295637">
        <w:rPr>
          <w:rFonts w:ascii="Times New Roman" w:hAnsi="Times New Roman"/>
          <w:szCs w:val="24"/>
        </w:rPr>
        <w:t xml:space="preserve"> </w:t>
      </w:r>
      <w:r>
        <w:rPr>
          <w:rFonts w:ascii="Times New Roman" w:hAnsi="Times New Roman"/>
          <w:szCs w:val="24"/>
        </w:rPr>
        <w:t>процента</w:t>
      </w:r>
      <w:r w:rsidR="0042679D">
        <w:rPr>
          <w:rFonts w:ascii="Times New Roman" w:hAnsi="Times New Roman"/>
          <w:szCs w:val="24"/>
        </w:rPr>
        <w:t xml:space="preserve"> </w:t>
      </w:r>
      <w:r>
        <w:rPr>
          <w:rFonts w:ascii="Times New Roman" w:hAnsi="Times New Roman"/>
          <w:szCs w:val="24"/>
        </w:rPr>
        <w:t>примљених</w:t>
      </w:r>
      <w:r w:rsidR="0042679D">
        <w:rPr>
          <w:rFonts w:ascii="Times New Roman" w:hAnsi="Times New Roman"/>
          <w:szCs w:val="24"/>
        </w:rPr>
        <w:t xml:space="preserve"> </w:t>
      </w:r>
      <w:r>
        <w:rPr>
          <w:rFonts w:ascii="Times New Roman" w:hAnsi="Times New Roman"/>
          <w:szCs w:val="24"/>
        </w:rPr>
        <w:t>жена</w:t>
      </w:r>
      <w:r w:rsidR="0042679D">
        <w:rPr>
          <w:rFonts w:ascii="Times New Roman" w:hAnsi="Times New Roman"/>
          <w:szCs w:val="24"/>
        </w:rPr>
        <w:t xml:space="preserve"> </w:t>
      </w:r>
      <w:r>
        <w:rPr>
          <w:rFonts w:ascii="Times New Roman" w:hAnsi="Times New Roman"/>
          <w:szCs w:val="24"/>
        </w:rPr>
        <w:t>у</w:t>
      </w:r>
      <w:r w:rsidR="0042679D">
        <w:rPr>
          <w:rFonts w:ascii="Times New Roman" w:hAnsi="Times New Roman"/>
          <w:szCs w:val="24"/>
        </w:rPr>
        <w:t xml:space="preserve"> </w:t>
      </w:r>
      <w:r>
        <w:rPr>
          <w:rFonts w:ascii="Times New Roman" w:hAnsi="Times New Roman"/>
          <w:szCs w:val="24"/>
        </w:rPr>
        <w:t>ОС</w:t>
      </w:r>
      <w:r w:rsidR="0042679D">
        <w:rPr>
          <w:rFonts w:ascii="Times New Roman" w:hAnsi="Times New Roman"/>
          <w:szCs w:val="24"/>
        </w:rPr>
        <w:t xml:space="preserve"> </w:t>
      </w:r>
      <w:r>
        <w:rPr>
          <w:rFonts w:ascii="Times New Roman" w:hAnsi="Times New Roman"/>
          <w:szCs w:val="24"/>
        </w:rPr>
        <w:t>БиХ</w:t>
      </w:r>
      <w:r w:rsidR="0042679D">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годишњем</w:t>
      </w:r>
      <w:r w:rsidR="0042679D" w:rsidRPr="00295637">
        <w:rPr>
          <w:rFonts w:ascii="Times New Roman" w:hAnsi="Times New Roman"/>
          <w:szCs w:val="24"/>
        </w:rPr>
        <w:t xml:space="preserve"> </w:t>
      </w:r>
      <w:r>
        <w:rPr>
          <w:rFonts w:ascii="Times New Roman" w:hAnsi="Times New Roman"/>
          <w:szCs w:val="24"/>
        </w:rPr>
        <w:t>нивоу</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односу</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укупан</w:t>
      </w:r>
      <w:r w:rsidR="0042679D" w:rsidRPr="00295637">
        <w:rPr>
          <w:rFonts w:ascii="Times New Roman" w:hAnsi="Times New Roman"/>
          <w:szCs w:val="24"/>
        </w:rPr>
        <w:t xml:space="preserve"> </w:t>
      </w:r>
      <w:r>
        <w:rPr>
          <w:rFonts w:ascii="Times New Roman" w:hAnsi="Times New Roman"/>
          <w:szCs w:val="24"/>
        </w:rPr>
        <w:t>број</w:t>
      </w:r>
      <w:r w:rsidR="0042679D" w:rsidRPr="00295637">
        <w:rPr>
          <w:rFonts w:ascii="Times New Roman" w:hAnsi="Times New Roman"/>
          <w:szCs w:val="24"/>
        </w:rPr>
        <w:t xml:space="preserve"> </w:t>
      </w:r>
      <w:r>
        <w:rPr>
          <w:rFonts w:ascii="Times New Roman" w:hAnsi="Times New Roman"/>
          <w:szCs w:val="24"/>
        </w:rPr>
        <w:t>примљених</w:t>
      </w:r>
      <w:r w:rsidR="0042679D" w:rsidRPr="00295637">
        <w:rPr>
          <w:rFonts w:ascii="Times New Roman" w:hAnsi="Times New Roman"/>
          <w:szCs w:val="24"/>
        </w:rPr>
        <w:t xml:space="preserve">. </w:t>
      </w:r>
    </w:p>
    <w:p w:rsidR="0042679D" w:rsidRPr="00932723" w:rsidRDefault="0042679D" w:rsidP="0086268D">
      <w:pPr>
        <w:pStyle w:val="ListParagraph"/>
        <w:rPr>
          <w:rFonts w:ascii="Times New Roman" w:hAnsi="Times New Roman"/>
          <w:szCs w:val="24"/>
        </w:rPr>
      </w:pPr>
    </w:p>
    <w:p w:rsidR="0042679D" w:rsidRPr="00932723"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Према</w:t>
      </w:r>
      <w:r w:rsidR="0042679D" w:rsidRPr="00932723">
        <w:rPr>
          <w:rFonts w:ascii="Times New Roman" w:hAnsi="Times New Roman"/>
          <w:szCs w:val="24"/>
          <w:lang w:val="bs-Latn-BA"/>
        </w:rPr>
        <w:t xml:space="preserve"> </w:t>
      </w:r>
      <w:r>
        <w:rPr>
          <w:rFonts w:ascii="Times New Roman" w:hAnsi="Times New Roman"/>
          <w:szCs w:val="24"/>
          <w:lang w:val="bs-Latn-BA"/>
        </w:rPr>
        <w:t>посљедњим</w:t>
      </w:r>
      <w:r w:rsidR="0042679D">
        <w:rPr>
          <w:rFonts w:ascii="Times New Roman" w:hAnsi="Times New Roman"/>
          <w:szCs w:val="24"/>
          <w:lang w:val="bs-Latn-BA"/>
        </w:rPr>
        <w:t xml:space="preserve"> </w:t>
      </w:r>
      <w:r>
        <w:rPr>
          <w:rFonts w:ascii="Times New Roman" w:hAnsi="Times New Roman"/>
          <w:szCs w:val="24"/>
          <w:lang w:val="bs-Latn-BA"/>
        </w:rPr>
        <w:t>доступним</w:t>
      </w:r>
      <w:r w:rsidR="0042679D">
        <w:rPr>
          <w:rFonts w:ascii="Times New Roman" w:hAnsi="Times New Roman"/>
          <w:szCs w:val="24"/>
          <w:lang w:val="bs-Latn-BA"/>
        </w:rPr>
        <w:t xml:space="preserve"> </w:t>
      </w:r>
      <w:r>
        <w:rPr>
          <w:rFonts w:ascii="Times New Roman" w:hAnsi="Times New Roman"/>
          <w:szCs w:val="24"/>
          <w:lang w:val="bs-Latn-BA"/>
        </w:rPr>
        <w:t>подацима</w:t>
      </w:r>
      <w:r w:rsidR="0042679D">
        <w:rPr>
          <w:rFonts w:ascii="Times New Roman" w:hAnsi="Times New Roman"/>
          <w:szCs w:val="24"/>
          <w:lang w:val="bs-Latn-BA"/>
        </w:rPr>
        <w:t xml:space="preserve"> </w:t>
      </w:r>
      <w:r>
        <w:rPr>
          <w:rFonts w:ascii="Times New Roman" w:hAnsi="Times New Roman"/>
          <w:szCs w:val="24"/>
          <w:lang w:val="bs-Latn-BA"/>
        </w:rPr>
        <w:t>за</w:t>
      </w:r>
      <w:r w:rsidR="0042679D">
        <w:rPr>
          <w:rFonts w:ascii="Times New Roman" w:hAnsi="Times New Roman"/>
          <w:szCs w:val="24"/>
          <w:lang w:val="bs-Latn-BA"/>
        </w:rPr>
        <w:t xml:space="preserve"> 2023</w:t>
      </w:r>
      <w:r w:rsidR="00622222">
        <w:rPr>
          <w:rFonts w:ascii="Times New Roman" w:hAnsi="Times New Roman"/>
          <w:szCs w:val="24"/>
          <w:lang w:val="bs-Latn-BA"/>
        </w:rPr>
        <w:t>.</w:t>
      </w:r>
      <w:r w:rsidR="0042679D" w:rsidRPr="00932723">
        <w:rPr>
          <w:rFonts w:ascii="Times New Roman" w:hAnsi="Times New Roman"/>
          <w:szCs w:val="24"/>
          <w:lang w:val="bs-Latn-BA"/>
        </w:rPr>
        <w:t xml:space="preserve"> </w:t>
      </w:r>
      <w:r>
        <w:rPr>
          <w:rFonts w:ascii="Times New Roman" w:hAnsi="Times New Roman"/>
          <w:szCs w:val="24"/>
          <w:lang w:val="bs-Latn-BA"/>
        </w:rPr>
        <w:t>и</w:t>
      </w:r>
      <w:r w:rsidR="0042679D" w:rsidRPr="00932723">
        <w:rPr>
          <w:rFonts w:ascii="Times New Roman" w:hAnsi="Times New Roman"/>
          <w:szCs w:val="24"/>
          <w:lang w:val="bs-Latn-BA"/>
        </w:rPr>
        <w:t xml:space="preserve"> 2024. </w:t>
      </w:r>
      <w:r>
        <w:rPr>
          <w:rFonts w:ascii="Times New Roman" w:hAnsi="Times New Roman"/>
          <w:szCs w:val="24"/>
          <w:lang w:val="bs-Latn-BA"/>
        </w:rPr>
        <w:t>годину</w:t>
      </w:r>
      <w:r w:rsidR="0042679D">
        <w:rPr>
          <w:rFonts w:ascii="Times New Roman" w:hAnsi="Times New Roman"/>
          <w:szCs w:val="24"/>
          <w:lang w:val="bs-Latn-BA"/>
        </w:rPr>
        <w:t>,</w:t>
      </w:r>
      <w:r w:rsidR="0042679D" w:rsidRPr="00932723">
        <w:rPr>
          <w:rFonts w:ascii="Times New Roman" w:hAnsi="Times New Roman"/>
          <w:szCs w:val="24"/>
          <w:lang w:val="bs-Latn-BA"/>
        </w:rPr>
        <w:t xml:space="preserve"> </w:t>
      </w:r>
      <w:r>
        <w:rPr>
          <w:rFonts w:ascii="Times New Roman" w:hAnsi="Times New Roman"/>
          <w:szCs w:val="24"/>
          <w:lang w:val="bs-Latn-BA"/>
        </w:rPr>
        <w:t>просјечна</w:t>
      </w:r>
      <w:r w:rsidR="0042679D" w:rsidRPr="00932723">
        <w:rPr>
          <w:rFonts w:ascii="Times New Roman" w:hAnsi="Times New Roman"/>
          <w:szCs w:val="24"/>
          <w:lang w:val="bs-Latn-BA"/>
        </w:rPr>
        <w:t xml:space="preserve"> </w:t>
      </w:r>
      <w:r>
        <w:rPr>
          <w:rFonts w:ascii="Times New Roman" w:hAnsi="Times New Roman"/>
          <w:bCs/>
          <w:szCs w:val="24"/>
          <w:lang w:val="bs-Latn-BA"/>
        </w:rPr>
        <w:t>заступљеност</w:t>
      </w:r>
      <w:r w:rsidR="0042679D" w:rsidRPr="00932723">
        <w:rPr>
          <w:rFonts w:ascii="Times New Roman" w:hAnsi="Times New Roman"/>
          <w:bCs/>
          <w:szCs w:val="24"/>
          <w:lang w:val="bs-Latn-BA"/>
        </w:rPr>
        <w:t xml:space="preserve"> </w:t>
      </w:r>
      <w:r>
        <w:rPr>
          <w:rFonts w:ascii="Times New Roman" w:hAnsi="Times New Roman"/>
          <w:bCs/>
          <w:szCs w:val="24"/>
          <w:lang w:val="bs-Latn-BA"/>
        </w:rPr>
        <w:t>жена</w:t>
      </w:r>
      <w:r w:rsidR="0042679D" w:rsidRPr="00932723">
        <w:rPr>
          <w:rFonts w:ascii="Times New Roman" w:hAnsi="Times New Roman"/>
          <w:bCs/>
          <w:szCs w:val="24"/>
          <w:lang w:val="bs-Latn-BA"/>
        </w:rPr>
        <w:t xml:space="preserve"> </w:t>
      </w:r>
      <w:r>
        <w:rPr>
          <w:rFonts w:ascii="Times New Roman" w:hAnsi="Times New Roman"/>
          <w:bCs/>
          <w:szCs w:val="24"/>
          <w:lang w:val="bs-Latn-BA"/>
        </w:rPr>
        <w:t>у</w:t>
      </w:r>
      <w:r w:rsidR="0042679D" w:rsidRPr="00932723">
        <w:rPr>
          <w:rFonts w:ascii="Times New Roman" w:hAnsi="Times New Roman"/>
          <w:bCs/>
          <w:szCs w:val="24"/>
          <w:lang w:val="bs-Latn-BA"/>
        </w:rPr>
        <w:t xml:space="preserve"> </w:t>
      </w:r>
      <w:r>
        <w:rPr>
          <w:rFonts w:ascii="Times New Roman" w:hAnsi="Times New Roman"/>
          <w:bCs/>
          <w:szCs w:val="24"/>
          <w:lang w:val="bs-Latn-BA"/>
        </w:rPr>
        <w:t>полицијским</w:t>
      </w:r>
      <w:r w:rsidR="0042679D" w:rsidRPr="00932723">
        <w:rPr>
          <w:rFonts w:ascii="Times New Roman" w:hAnsi="Times New Roman"/>
          <w:bCs/>
          <w:szCs w:val="24"/>
          <w:lang w:val="bs-Latn-BA"/>
        </w:rPr>
        <w:t xml:space="preserve"> </w:t>
      </w:r>
      <w:r>
        <w:rPr>
          <w:rFonts w:ascii="Times New Roman" w:hAnsi="Times New Roman"/>
          <w:bCs/>
          <w:szCs w:val="24"/>
          <w:lang w:val="bs-Latn-BA"/>
        </w:rPr>
        <w:t>структурама</w:t>
      </w:r>
      <w:r w:rsidR="0042679D" w:rsidRPr="00932723">
        <w:rPr>
          <w:rFonts w:ascii="Times New Roman" w:hAnsi="Times New Roman"/>
          <w:bCs/>
          <w:szCs w:val="24"/>
          <w:lang w:val="bs-Latn-BA"/>
        </w:rPr>
        <w:t xml:space="preserve"> </w:t>
      </w:r>
      <w:r>
        <w:rPr>
          <w:rFonts w:ascii="Times New Roman" w:hAnsi="Times New Roman"/>
          <w:bCs/>
          <w:szCs w:val="24"/>
          <w:lang w:val="bs-Latn-BA"/>
        </w:rPr>
        <w:t>на</w:t>
      </w:r>
      <w:r w:rsidR="0042679D" w:rsidRPr="00932723">
        <w:rPr>
          <w:rFonts w:ascii="Times New Roman" w:hAnsi="Times New Roman"/>
          <w:bCs/>
          <w:szCs w:val="24"/>
          <w:lang w:val="bs-Latn-BA"/>
        </w:rPr>
        <w:t xml:space="preserve"> </w:t>
      </w:r>
      <w:r>
        <w:rPr>
          <w:rFonts w:ascii="Times New Roman" w:hAnsi="Times New Roman"/>
          <w:bCs/>
          <w:szCs w:val="24"/>
          <w:lang w:val="bs-Latn-BA"/>
        </w:rPr>
        <w:t>свим</w:t>
      </w:r>
      <w:r w:rsidR="0042679D" w:rsidRPr="00932723">
        <w:rPr>
          <w:rFonts w:ascii="Times New Roman" w:hAnsi="Times New Roman"/>
          <w:bCs/>
          <w:szCs w:val="24"/>
          <w:lang w:val="bs-Latn-BA"/>
        </w:rPr>
        <w:t xml:space="preserve"> </w:t>
      </w:r>
      <w:r>
        <w:rPr>
          <w:rFonts w:ascii="Times New Roman" w:hAnsi="Times New Roman"/>
          <w:bCs/>
          <w:szCs w:val="24"/>
          <w:lang w:val="bs-Latn-BA"/>
        </w:rPr>
        <w:t>нивоима</w:t>
      </w:r>
      <w:r w:rsidR="0042679D" w:rsidRPr="00932723">
        <w:rPr>
          <w:rFonts w:ascii="Times New Roman" w:hAnsi="Times New Roman"/>
          <w:bCs/>
          <w:szCs w:val="24"/>
          <w:lang w:val="bs-Latn-BA"/>
        </w:rPr>
        <w:t xml:space="preserve"> </w:t>
      </w:r>
      <w:r>
        <w:rPr>
          <w:rFonts w:ascii="Times New Roman" w:hAnsi="Times New Roman"/>
          <w:bCs/>
          <w:szCs w:val="24"/>
          <w:lang w:val="bs-Latn-BA"/>
        </w:rPr>
        <w:t>власти</w:t>
      </w:r>
      <w:r w:rsidR="0042679D" w:rsidRPr="00932723">
        <w:rPr>
          <w:rFonts w:ascii="Times New Roman" w:hAnsi="Times New Roman"/>
          <w:bCs/>
          <w:szCs w:val="24"/>
          <w:lang w:val="bs-Latn-BA"/>
        </w:rPr>
        <w:t xml:space="preserve"> </w:t>
      </w:r>
      <w:r>
        <w:rPr>
          <w:rFonts w:ascii="Times New Roman" w:hAnsi="Times New Roman"/>
          <w:bCs/>
          <w:szCs w:val="24"/>
          <w:lang w:val="bs-Latn-BA"/>
        </w:rPr>
        <w:t>у</w:t>
      </w:r>
      <w:r w:rsidR="0042679D" w:rsidRPr="00932723">
        <w:rPr>
          <w:rFonts w:ascii="Times New Roman" w:hAnsi="Times New Roman"/>
          <w:bCs/>
          <w:szCs w:val="24"/>
          <w:lang w:val="bs-Latn-BA"/>
        </w:rPr>
        <w:t xml:space="preserve"> </w:t>
      </w:r>
      <w:r>
        <w:rPr>
          <w:rFonts w:ascii="Times New Roman" w:hAnsi="Times New Roman"/>
          <w:bCs/>
          <w:szCs w:val="24"/>
          <w:lang w:val="bs-Latn-BA"/>
        </w:rPr>
        <w:t>БиХ</w:t>
      </w:r>
      <w:r w:rsidR="0042679D" w:rsidRPr="00932723">
        <w:rPr>
          <w:rFonts w:ascii="Times New Roman" w:hAnsi="Times New Roman"/>
          <w:bCs/>
          <w:szCs w:val="24"/>
          <w:lang w:val="bs-Latn-BA"/>
        </w:rPr>
        <w:t xml:space="preserve"> </w:t>
      </w:r>
      <w:r>
        <w:rPr>
          <w:rFonts w:ascii="Times New Roman" w:hAnsi="Times New Roman"/>
          <w:szCs w:val="24"/>
          <w:lang w:val="bs-Latn-BA"/>
        </w:rPr>
        <w:t>се</w:t>
      </w:r>
      <w:r w:rsidR="0042679D" w:rsidRPr="00932723">
        <w:rPr>
          <w:rFonts w:ascii="Times New Roman" w:hAnsi="Times New Roman"/>
          <w:szCs w:val="24"/>
          <w:lang w:val="bs-Latn-BA"/>
        </w:rPr>
        <w:t xml:space="preserve"> </w:t>
      </w:r>
      <w:r>
        <w:rPr>
          <w:rFonts w:ascii="Times New Roman" w:hAnsi="Times New Roman"/>
          <w:szCs w:val="24"/>
          <w:lang w:val="bs-Latn-BA"/>
        </w:rPr>
        <w:t>повећала</w:t>
      </w:r>
      <w:r w:rsidR="0042679D" w:rsidRPr="00932723">
        <w:rPr>
          <w:rFonts w:ascii="Times New Roman" w:hAnsi="Times New Roman"/>
          <w:szCs w:val="24"/>
          <w:lang w:val="bs-Latn-BA"/>
        </w:rPr>
        <w:t xml:space="preserve"> </w:t>
      </w:r>
      <w:r>
        <w:rPr>
          <w:rFonts w:ascii="Times New Roman" w:hAnsi="Times New Roman"/>
          <w:szCs w:val="24"/>
          <w:lang w:val="bs-Latn-BA"/>
        </w:rPr>
        <w:t>на</w:t>
      </w:r>
      <w:r w:rsidR="0042679D" w:rsidRPr="00932723">
        <w:rPr>
          <w:rFonts w:ascii="Times New Roman" w:hAnsi="Times New Roman"/>
          <w:szCs w:val="24"/>
          <w:lang w:val="bs-Latn-BA"/>
        </w:rPr>
        <w:t xml:space="preserve"> </w:t>
      </w:r>
      <w:r>
        <w:rPr>
          <w:rFonts w:ascii="Times New Roman" w:hAnsi="Times New Roman"/>
          <w:bCs/>
          <w:szCs w:val="24"/>
          <w:lang w:val="bs-Latn-BA"/>
        </w:rPr>
        <w:t>око</w:t>
      </w:r>
      <w:r w:rsidR="0042679D" w:rsidRPr="00932723">
        <w:rPr>
          <w:rFonts w:ascii="Times New Roman" w:hAnsi="Times New Roman"/>
          <w:bCs/>
          <w:szCs w:val="24"/>
          <w:lang w:val="bs-Latn-BA"/>
        </w:rPr>
        <w:t xml:space="preserve"> 11%. </w:t>
      </w:r>
      <w:r>
        <w:rPr>
          <w:rFonts w:ascii="Times New Roman" w:hAnsi="Times New Roman"/>
          <w:szCs w:val="24"/>
          <w:lang w:val="bs-Latn-BA"/>
        </w:rPr>
        <w:t>Жене</w:t>
      </w:r>
      <w:r w:rsidR="0042679D" w:rsidRPr="00932723">
        <w:rPr>
          <w:rFonts w:ascii="Times New Roman" w:hAnsi="Times New Roman"/>
          <w:szCs w:val="24"/>
          <w:lang w:val="bs-Latn-BA"/>
        </w:rPr>
        <w:t xml:space="preserve"> </w:t>
      </w:r>
      <w:r>
        <w:rPr>
          <w:rFonts w:ascii="Times New Roman" w:hAnsi="Times New Roman"/>
          <w:szCs w:val="24"/>
          <w:lang w:val="bs-Latn-BA"/>
        </w:rPr>
        <w:t>су</w:t>
      </w:r>
      <w:r w:rsidR="0042679D" w:rsidRPr="00932723">
        <w:rPr>
          <w:rFonts w:ascii="Times New Roman" w:hAnsi="Times New Roman"/>
          <w:szCs w:val="24"/>
          <w:lang w:val="bs-Latn-BA"/>
        </w:rPr>
        <w:t xml:space="preserve">, </w:t>
      </w:r>
      <w:r>
        <w:rPr>
          <w:rFonts w:ascii="Times New Roman" w:hAnsi="Times New Roman"/>
          <w:szCs w:val="24"/>
          <w:lang w:val="bs-Latn-BA"/>
        </w:rPr>
        <w:t>углавном</w:t>
      </w:r>
      <w:r w:rsidR="0042679D" w:rsidRPr="00932723">
        <w:rPr>
          <w:rFonts w:ascii="Times New Roman" w:hAnsi="Times New Roman"/>
          <w:szCs w:val="24"/>
          <w:lang w:val="bs-Latn-BA"/>
        </w:rPr>
        <w:t xml:space="preserve">, </w:t>
      </w:r>
      <w:r>
        <w:rPr>
          <w:rFonts w:ascii="Times New Roman" w:hAnsi="Times New Roman"/>
          <w:szCs w:val="24"/>
          <w:lang w:val="bs-Latn-BA"/>
        </w:rPr>
        <w:t>на</w:t>
      </w:r>
      <w:r w:rsidR="0042679D" w:rsidRPr="00932723">
        <w:rPr>
          <w:rFonts w:ascii="Times New Roman" w:hAnsi="Times New Roman"/>
          <w:szCs w:val="24"/>
          <w:lang w:val="bs-Latn-BA"/>
        </w:rPr>
        <w:t xml:space="preserve"> </w:t>
      </w:r>
      <w:r>
        <w:rPr>
          <w:rFonts w:ascii="Times New Roman" w:hAnsi="Times New Roman"/>
          <w:szCs w:val="24"/>
          <w:lang w:val="bs-Latn-BA"/>
        </w:rPr>
        <w:t>позицијама</w:t>
      </w:r>
      <w:r w:rsidR="0042679D" w:rsidRPr="00932723">
        <w:rPr>
          <w:rFonts w:ascii="Times New Roman" w:hAnsi="Times New Roman"/>
          <w:szCs w:val="24"/>
          <w:lang w:val="bs-Latn-BA"/>
        </w:rPr>
        <w:t xml:space="preserve"> </w:t>
      </w:r>
      <w:r>
        <w:rPr>
          <w:rFonts w:ascii="Times New Roman" w:hAnsi="Times New Roman"/>
          <w:szCs w:val="24"/>
          <w:lang w:val="bs-Latn-BA"/>
        </w:rPr>
        <w:t>полицајки</w:t>
      </w:r>
      <w:r w:rsidR="0042679D" w:rsidRPr="00932723">
        <w:rPr>
          <w:rFonts w:ascii="Times New Roman" w:hAnsi="Times New Roman"/>
          <w:szCs w:val="24"/>
          <w:lang w:val="bs-Latn-BA"/>
        </w:rPr>
        <w:t xml:space="preserve"> </w:t>
      </w:r>
      <w:r>
        <w:rPr>
          <w:rFonts w:ascii="Times New Roman" w:hAnsi="Times New Roman"/>
          <w:szCs w:val="24"/>
          <w:lang w:val="bs-Latn-BA"/>
        </w:rPr>
        <w:t>и</w:t>
      </w:r>
      <w:r w:rsidR="0042679D" w:rsidRPr="00932723">
        <w:rPr>
          <w:rFonts w:ascii="Times New Roman" w:hAnsi="Times New Roman"/>
          <w:szCs w:val="24"/>
          <w:lang w:val="bs-Latn-BA"/>
        </w:rPr>
        <w:t xml:space="preserve"> </w:t>
      </w:r>
      <w:r>
        <w:rPr>
          <w:rFonts w:ascii="Times New Roman" w:hAnsi="Times New Roman"/>
          <w:szCs w:val="24"/>
          <w:lang w:val="bs-Latn-BA"/>
        </w:rPr>
        <w:t>старијих</w:t>
      </w:r>
      <w:r w:rsidR="0042679D" w:rsidRPr="00932723">
        <w:rPr>
          <w:rFonts w:ascii="Times New Roman" w:hAnsi="Times New Roman"/>
          <w:szCs w:val="24"/>
          <w:lang w:val="bs-Latn-BA"/>
        </w:rPr>
        <w:t xml:space="preserve"> </w:t>
      </w:r>
      <w:r>
        <w:rPr>
          <w:rFonts w:ascii="Times New Roman" w:hAnsi="Times New Roman"/>
          <w:szCs w:val="24"/>
          <w:lang w:val="bs-Latn-BA"/>
        </w:rPr>
        <w:t>полицајки</w:t>
      </w:r>
      <w:r w:rsidR="0042679D" w:rsidRPr="00932723">
        <w:rPr>
          <w:rFonts w:ascii="Times New Roman" w:hAnsi="Times New Roman"/>
          <w:szCs w:val="24"/>
          <w:lang w:val="bs-Latn-BA"/>
        </w:rPr>
        <w:t xml:space="preserve">, </w:t>
      </w:r>
      <w:r>
        <w:rPr>
          <w:rFonts w:ascii="Times New Roman" w:hAnsi="Times New Roman"/>
          <w:szCs w:val="24"/>
          <w:lang w:val="bs-Latn-BA"/>
        </w:rPr>
        <w:t>млађих</w:t>
      </w:r>
      <w:r w:rsidR="0042679D" w:rsidRPr="00932723">
        <w:rPr>
          <w:rFonts w:ascii="Times New Roman" w:hAnsi="Times New Roman"/>
          <w:szCs w:val="24"/>
          <w:lang w:val="bs-Latn-BA"/>
        </w:rPr>
        <w:t xml:space="preserve"> </w:t>
      </w:r>
      <w:r>
        <w:rPr>
          <w:rFonts w:ascii="Times New Roman" w:hAnsi="Times New Roman"/>
          <w:szCs w:val="24"/>
          <w:lang w:val="bs-Latn-BA"/>
        </w:rPr>
        <w:t>инспекторица</w:t>
      </w:r>
      <w:r w:rsidR="0042679D" w:rsidRPr="00932723">
        <w:rPr>
          <w:rFonts w:ascii="Times New Roman" w:hAnsi="Times New Roman"/>
          <w:szCs w:val="24"/>
          <w:lang w:val="bs-Latn-BA"/>
        </w:rPr>
        <w:t xml:space="preserve">, </w:t>
      </w:r>
      <w:r>
        <w:rPr>
          <w:rFonts w:ascii="Times New Roman" w:hAnsi="Times New Roman"/>
          <w:szCs w:val="24"/>
          <w:lang w:val="bs-Latn-BA"/>
        </w:rPr>
        <w:t>инспекторица</w:t>
      </w:r>
      <w:r w:rsidR="0042679D" w:rsidRPr="00932723">
        <w:rPr>
          <w:rFonts w:ascii="Times New Roman" w:hAnsi="Times New Roman"/>
          <w:szCs w:val="24"/>
          <w:lang w:val="bs-Latn-BA"/>
        </w:rPr>
        <w:t xml:space="preserve"> </w:t>
      </w:r>
      <w:r>
        <w:rPr>
          <w:rFonts w:ascii="Times New Roman" w:hAnsi="Times New Roman"/>
          <w:szCs w:val="24"/>
          <w:lang w:val="bs-Latn-BA"/>
        </w:rPr>
        <w:t>и</w:t>
      </w:r>
      <w:r w:rsidR="0042679D" w:rsidRPr="00932723">
        <w:rPr>
          <w:rFonts w:ascii="Times New Roman" w:hAnsi="Times New Roman"/>
          <w:szCs w:val="24"/>
          <w:lang w:val="bs-Latn-BA"/>
        </w:rPr>
        <w:t xml:space="preserve"> </w:t>
      </w:r>
      <w:r>
        <w:rPr>
          <w:rFonts w:ascii="Times New Roman" w:hAnsi="Times New Roman"/>
          <w:szCs w:val="24"/>
          <w:lang w:val="bs-Latn-BA"/>
        </w:rPr>
        <w:t>виших</w:t>
      </w:r>
      <w:r w:rsidR="0042679D" w:rsidRPr="00932723">
        <w:rPr>
          <w:rFonts w:ascii="Times New Roman" w:hAnsi="Times New Roman"/>
          <w:szCs w:val="24"/>
          <w:lang w:val="bs-Latn-BA"/>
        </w:rPr>
        <w:t xml:space="preserve"> </w:t>
      </w:r>
      <w:r>
        <w:rPr>
          <w:rFonts w:ascii="Times New Roman" w:hAnsi="Times New Roman"/>
          <w:szCs w:val="24"/>
          <w:lang w:val="bs-Latn-BA"/>
        </w:rPr>
        <w:t>инспекторица</w:t>
      </w:r>
      <w:r w:rsidR="0042679D" w:rsidRPr="00932723">
        <w:rPr>
          <w:rFonts w:ascii="Times New Roman" w:hAnsi="Times New Roman"/>
          <w:szCs w:val="24"/>
          <w:lang w:val="bs-Latn-BA"/>
        </w:rPr>
        <w:t xml:space="preserve">, </w:t>
      </w:r>
      <w:r>
        <w:rPr>
          <w:rFonts w:ascii="Times New Roman" w:hAnsi="Times New Roman"/>
          <w:szCs w:val="24"/>
          <w:lang w:val="bs-Latn-BA"/>
        </w:rPr>
        <w:t>те</w:t>
      </w:r>
      <w:r w:rsidR="0042679D" w:rsidRPr="00932723">
        <w:rPr>
          <w:rFonts w:ascii="Times New Roman" w:hAnsi="Times New Roman"/>
          <w:szCs w:val="24"/>
          <w:lang w:val="bs-Latn-BA"/>
        </w:rPr>
        <w:t xml:space="preserve"> </w:t>
      </w:r>
      <w:r>
        <w:rPr>
          <w:rFonts w:ascii="Times New Roman" w:hAnsi="Times New Roman"/>
          <w:szCs w:val="24"/>
          <w:lang w:val="bs-Latn-BA"/>
        </w:rPr>
        <w:t>су</w:t>
      </w:r>
      <w:r w:rsidR="0042679D" w:rsidRPr="00932723">
        <w:rPr>
          <w:rFonts w:ascii="Times New Roman" w:hAnsi="Times New Roman"/>
          <w:szCs w:val="24"/>
          <w:lang w:val="bs-Latn-BA"/>
        </w:rPr>
        <w:t xml:space="preserve"> </w:t>
      </w:r>
      <w:r>
        <w:rPr>
          <w:rFonts w:ascii="Times New Roman" w:hAnsi="Times New Roman"/>
          <w:szCs w:val="24"/>
          <w:lang w:val="bs-Latn-BA"/>
        </w:rPr>
        <w:t>и</w:t>
      </w:r>
      <w:r w:rsidR="0042679D" w:rsidRPr="00932723">
        <w:rPr>
          <w:rFonts w:ascii="Times New Roman" w:hAnsi="Times New Roman"/>
          <w:szCs w:val="24"/>
          <w:lang w:val="bs-Latn-BA"/>
        </w:rPr>
        <w:t xml:space="preserve"> </w:t>
      </w:r>
      <w:r>
        <w:rPr>
          <w:rFonts w:ascii="Times New Roman" w:hAnsi="Times New Roman"/>
          <w:szCs w:val="24"/>
          <w:lang w:val="bs-Latn-BA"/>
        </w:rPr>
        <w:t>даље</w:t>
      </w:r>
      <w:r w:rsidR="0042679D" w:rsidRPr="00932723">
        <w:rPr>
          <w:rFonts w:ascii="Times New Roman" w:hAnsi="Times New Roman"/>
          <w:szCs w:val="24"/>
          <w:lang w:val="bs-Latn-BA"/>
        </w:rPr>
        <w:t xml:space="preserve"> </w:t>
      </w:r>
      <w:r>
        <w:rPr>
          <w:rFonts w:ascii="Times New Roman" w:hAnsi="Times New Roman"/>
          <w:szCs w:val="24"/>
          <w:lang w:val="bs-Latn-BA"/>
        </w:rPr>
        <w:t>подзаступљене</w:t>
      </w:r>
      <w:r w:rsidR="0042679D" w:rsidRPr="00932723">
        <w:rPr>
          <w:rFonts w:ascii="Times New Roman" w:hAnsi="Times New Roman"/>
          <w:szCs w:val="24"/>
          <w:lang w:val="bs-Latn-BA"/>
        </w:rPr>
        <w:t xml:space="preserve"> </w:t>
      </w:r>
      <w:r>
        <w:rPr>
          <w:rFonts w:ascii="Times New Roman" w:hAnsi="Times New Roman"/>
          <w:szCs w:val="24"/>
          <w:lang w:val="bs-Latn-BA"/>
        </w:rPr>
        <w:t>у</w:t>
      </w:r>
      <w:r w:rsidR="0042679D" w:rsidRPr="00932723">
        <w:rPr>
          <w:rFonts w:ascii="Times New Roman" w:hAnsi="Times New Roman"/>
          <w:szCs w:val="24"/>
          <w:lang w:val="bs-Latn-BA"/>
        </w:rPr>
        <w:t xml:space="preserve"> </w:t>
      </w:r>
      <w:r>
        <w:rPr>
          <w:rFonts w:ascii="Times New Roman" w:hAnsi="Times New Roman"/>
          <w:szCs w:val="24"/>
          <w:lang w:val="bs-Latn-BA"/>
        </w:rPr>
        <w:t>полицијским</w:t>
      </w:r>
      <w:r w:rsidR="0042679D" w:rsidRPr="00932723">
        <w:rPr>
          <w:rFonts w:ascii="Times New Roman" w:hAnsi="Times New Roman"/>
          <w:szCs w:val="24"/>
          <w:lang w:val="bs-Latn-BA"/>
        </w:rPr>
        <w:t xml:space="preserve"> </w:t>
      </w:r>
      <w:r>
        <w:rPr>
          <w:rFonts w:ascii="Times New Roman" w:hAnsi="Times New Roman"/>
          <w:szCs w:val="24"/>
          <w:lang w:val="bs-Latn-BA"/>
        </w:rPr>
        <w:t>структурама</w:t>
      </w:r>
      <w:r w:rsidR="0042679D" w:rsidRPr="00932723">
        <w:rPr>
          <w:rFonts w:ascii="Times New Roman" w:hAnsi="Times New Roman"/>
          <w:szCs w:val="24"/>
          <w:lang w:val="bs-Latn-BA"/>
        </w:rPr>
        <w:t xml:space="preserve">, </w:t>
      </w:r>
      <w:r>
        <w:rPr>
          <w:rFonts w:ascii="Times New Roman" w:hAnsi="Times New Roman"/>
          <w:szCs w:val="24"/>
          <w:lang w:val="bs-Latn-BA"/>
        </w:rPr>
        <w:t>а</w:t>
      </w:r>
      <w:r w:rsidR="0042679D" w:rsidRPr="00932723">
        <w:rPr>
          <w:rFonts w:ascii="Times New Roman" w:hAnsi="Times New Roman"/>
          <w:szCs w:val="24"/>
          <w:lang w:val="bs-Latn-BA"/>
        </w:rPr>
        <w:t xml:space="preserve"> </w:t>
      </w:r>
      <w:r>
        <w:rPr>
          <w:rFonts w:ascii="Times New Roman" w:hAnsi="Times New Roman"/>
          <w:szCs w:val="24"/>
          <w:lang w:val="bs-Latn-BA"/>
        </w:rPr>
        <w:t>посебно</w:t>
      </w:r>
      <w:r w:rsidR="0042679D" w:rsidRPr="00932723">
        <w:rPr>
          <w:rFonts w:ascii="Times New Roman" w:hAnsi="Times New Roman"/>
          <w:szCs w:val="24"/>
          <w:lang w:val="bs-Latn-BA"/>
        </w:rPr>
        <w:t xml:space="preserve"> </w:t>
      </w:r>
      <w:r>
        <w:rPr>
          <w:rFonts w:ascii="Times New Roman" w:hAnsi="Times New Roman"/>
          <w:szCs w:val="24"/>
          <w:lang w:val="bs-Latn-BA"/>
        </w:rPr>
        <w:t>на</w:t>
      </w:r>
      <w:r w:rsidR="0042679D" w:rsidRPr="00932723">
        <w:rPr>
          <w:rFonts w:ascii="Times New Roman" w:hAnsi="Times New Roman"/>
          <w:szCs w:val="24"/>
          <w:lang w:val="bs-Latn-BA"/>
        </w:rPr>
        <w:t xml:space="preserve"> </w:t>
      </w:r>
      <w:r>
        <w:rPr>
          <w:rFonts w:ascii="Times New Roman" w:hAnsi="Times New Roman"/>
          <w:szCs w:val="24"/>
          <w:lang w:val="bs-Latn-BA"/>
        </w:rPr>
        <w:t>највишим</w:t>
      </w:r>
      <w:r w:rsidR="00622222">
        <w:rPr>
          <w:rFonts w:ascii="Times New Roman" w:hAnsi="Times New Roman"/>
          <w:szCs w:val="24"/>
          <w:lang w:val="bs-Latn-BA"/>
        </w:rPr>
        <w:t xml:space="preserve"> </w:t>
      </w:r>
      <w:r>
        <w:rPr>
          <w:rFonts w:ascii="Times New Roman" w:hAnsi="Times New Roman"/>
          <w:szCs w:val="24"/>
          <w:lang w:val="bs-Latn-BA"/>
        </w:rPr>
        <w:t>руководећим</w:t>
      </w:r>
      <w:r w:rsidR="00622222">
        <w:rPr>
          <w:rFonts w:ascii="Times New Roman" w:hAnsi="Times New Roman"/>
          <w:szCs w:val="24"/>
          <w:lang w:val="bs-Latn-BA"/>
        </w:rPr>
        <w:t xml:space="preserve"> </w:t>
      </w:r>
      <w:r>
        <w:rPr>
          <w:rFonts w:ascii="Times New Roman" w:hAnsi="Times New Roman"/>
          <w:szCs w:val="24"/>
          <w:lang w:val="bs-Latn-BA"/>
        </w:rPr>
        <w:t>позицијама</w:t>
      </w:r>
      <w:r w:rsidR="00622222">
        <w:rPr>
          <w:rFonts w:ascii="Times New Roman" w:hAnsi="Times New Roman"/>
          <w:szCs w:val="24"/>
          <w:lang w:val="bs-Latn-BA"/>
        </w:rPr>
        <w:t xml:space="preserve"> </w:t>
      </w:r>
      <w:r>
        <w:rPr>
          <w:rFonts w:ascii="Times New Roman" w:hAnsi="Times New Roman"/>
          <w:szCs w:val="24"/>
          <w:lang w:val="bs-Latn-BA"/>
        </w:rPr>
        <w:t>са</w:t>
      </w:r>
      <w:r w:rsidR="0042679D" w:rsidRPr="00932723">
        <w:rPr>
          <w:rFonts w:ascii="Times New Roman" w:hAnsi="Times New Roman"/>
          <w:szCs w:val="24"/>
          <w:lang w:val="bs-Latn-BA"/>
        </w:rPr>
        <w:t xml:space="preserve"> </w:t>
      </w:r>
      <w:r>
        <w:rPr>
          <w:rFonts w:ascii="Times New Roman" w:hAnsi="Times New Roman"/>
          <w:szCs w:val="24"/>
          <w:lang w:val="bs-Latn-BA"/>
        </w:rPr>
        <w:t>вишим</w:t>
      </w:r>
      <w:r w:rsidR="0042679D" w:rsidRPr="00932723">
        <w:rPr>
          <w:rFonts w:ascii="Times New Roman" w:hAnsi="Times New Roman"/>
          <w:szCs w:val="24"/>
          <w:lang w:val="bs-Latn-BA"/>
        </w:rPr>
        <w:t xml:space="preserve"> </w:t>
      </w:r>
      <w:r>
        <w:rPr>
          <w:rFonts w:ascii="Times New Roman" w:hAnsi="Times New Roman"/>
          <w:szCs w:val="24"/>
          <w:lang w:val="bs-Latn-BA"/>
        </w:rPr>
        <w:t>чиновима</w:t>
      </w:r>
      <w:r w:rsidR="0042679D" w:rsidRPr="00932723">
        <w:rPr>
          <w:rFonts w:ascii="Times New Roman" w:hAnsi="Times New Roman"/>
          <w:szCs w:val="24"/>
          <w:lang w:val="bs-Latn-BA"/>
        </w:rPr>
        <w:t>.</w:t>
      </w:r>
    </w:p>
    <w:p w:rsidR="0042679D" w:rsidRPr="00932723" w:rsidRDefault="0042679D" w:rsidP="0086268D">
      <w:pPr>
        <w:pStyle w:val="ListParagraph"/>
        <w:rPr>
          <w:rFonts w:ascii="Times New Roman" w:hAnsi="Times New Roman"/>
          <w:lang w:val="sr-Latn-BA"/>
        </w:rPr>
      </w:pPr>
    </w:p>
    <w:p w:rsidR="0042679D" w:rsidRPr="00790C20" w:rsidRDefault="00C6214E" w:rsidP="0086268D">
      <w:pPr>
        <w:pStyle w:val="NormalWeb"/>
        <w:numPr>
          <w:ilvl w:val="0"/>
          <w:numId w:val="17"/>
        </w:numPr>
        <w:spacing w:before="0" w:beforeAutospacing="0" w:after="0" w:afterAutospacing="0"/>
        <w:jc w:val="both"/>
        <w:textAlignment w:val="baseline"/>
      </w:pPr>
      <w:r>
        <w:t>У</w:t>
      </w:r>
      <w:r w:rsidR="0042679D" w:rsidRPr="00460B7A">
        <w:t xml:space="preserve"> </w:t>
      </w:r>
      <w:r>
        <w:t>извјештајном</w:t>
      </w:r>
      <w:r w:rsidR="0042679D" w:rsidRPr="00460B7A">
        <w:t xml:space="preserve"> </w:t>
      </w:r>
      <w:r>
        <w:t>периоду</w:t>
      </w:r>
      <w:r w:rsidR="0042679D" w:rsidRPr="00460B7A">
        <w:t xml:space="preserve"> </w:t>
      </w:r>
      <w:r>
        <w:t>су</w:t>
      </w:r>
      <w:r w:rsidR="00CD0B0D">
        <w:t xml:space="preserve">, </w:t>
      </w:r>
      <w:r>
        <w:t>уз</w:t>
      </w:r>
      <w:r w:rsidR="00CD0B0D">
        <w:t xml:space="preserve"> </w:t>
      </w:r>
      <w:r>
        <w:t>техничку</w:t>
      </w:r>
      <w:r w:rsidR="00CD0B0D">
        <w:t xml:space="preserve"> </w:t>
      </w:r>
      <w:r>
        <w:t>подршку</w:t>
      </w:r>
      <w:r w:rsidR="00622222">
        <w:t xml:space="preserve"> </w:t>
      </w:r>
      <w:r>
        <w:t>и</w:t>
      </w:r>
      <w:r w:rsidR="00622222">
        <w:t xml:space="preserve"> </w:t>
      </w:r>
      <w:r>
        <w:t>савјетодавну</w:t>
      </w:r>
      <w:r w:rsidR="00622222">
        <w:t xml:space="preserve"> </w:t>
      </w:r>
      <w:r>
        <w:t>улогу</w:t>
      </w:r>
      <w:r w:rsidR="00622222">
        <w:t xml:space="preserve"> </w:t>
      </w:r>
      <w:r>
        <w:t>АР</w:t>
      </w:r>
      <w:r w:rsidR="002D5D32">
        <w:rPr>
          <w:lang w:val="sr-Cyrl-BA"/>
        </w:rPr>
        <w:t>П</w:t>
      </w:r>
      <w:r w:rsidR="00622222">
        <w:t xml:space="preserve"> </w:t>
      </w:r>
      <w:r>
        <w:t>БиХ</w:t>
      </w:r>
      <w:r w:rsidR="00622222">
        <w:t xml:space="preserve"> </w:t>
      </w:r>
      <w:r>
        <w:t>МЉПИ</w:t>
      </w:r>
      <w:r w:rsidR="00622222">
        <w:t xml:space="preserve"> </w:t>
      </w:r>
      <w:r>
        <w:t>БиХ</w:t>
      </w:r>
      <w:r w:rsidR="00622222">
        <w:t xml:space="preserve"> </w:t>
      </w:r>
      <w:r>
        <w:t>и</w:t>
      </w:r>
      <w:r w:rsidR="00622222">
        <w:t xml:space="preserve"> </w:t>
      </w:r>
      <w:r>
        <w:t>партнерство</w:t>
      </w:r>
      <w:r w:rsidR="00622222">
        <w:t xml:space="preserve"> </w:t>
      </w:r>
      <w:r>
        <w:t>са</w:t>
      </w:r>
      <w:r w:rsidR="00CD0B0D">
        <w:t xml:space="preserve"> </w:t>
      </w:r>
      <w:r w:rsidR="002D5D32" w:rsidRPr="002D5D32">
        <w:rPr>
          <w:i/>
          <w:lang w:val="hr-BA"/>
        </w:rPr>
        <w:t>UNDP</w:t>
      </w:r>
      <w:r w:rsidR="00622222">
        <w:t>-</w:t>
      </w:r>
      <w:r>
        <w:t>ом</w:t>
      </w:r>
      <w:r w:rsidR="00CD0B0D">
        <w:t xml:space="preserve">, </w:t>
      </w:r>
      <w:r>
        <w:t>почеле</w:t>
      </w:r>
      <w:r w:rsidR="0042679D" w:rsidRPr="00CD0B0D">
        <w:t xml:space="preserve"> </w:t>
      </w:r>
      <w:r>
        <w:t>активности</w:t>
      </w:r>
      <w:r w:rsidR="0042679D" w:rsidRPr="00CD0B0D">
        <w:t xml:space="preserve"> </w:t>
      </w:r>
      <w:r>
        <w:t>на</w:t>
      </w:r>
      <w:r w:rsidR="0042679D" w:rsidRPr="00CD0B0D">
        <w:t xml:space="preserve"> </w:t>
      </w:r>
      <w:r w:rsidR="002D5D32">
        <w:rPr>
          <w:lang w:val="sr-Cyrl-BA"/>
        </w:rPr>
        <w:t>спровођењу</w:t>
      </w:r>
      <w:r w:rsidR="0042679D" w:rsidRPr="00CD0B0D">
        <w:t xml:space="preserve"> </w:t>
      </w:r>
      <w:r>
        <w:t>пројекта</w:t>
      </w:r>
      <w:r w:rsidR="0042679D" w:rsidRPr="00CD0B0D">
        <w:t xml:space="preserve"> “</w:t>
      </w:r>
      <w:r>
        <w:t>Печат</w:t>
      </w:r>
      <w:r w:rsidR="0042679D" w:rsidRPr="00CD0B0D">
        <w:t xml:space="preserve"> </w:t>
      </w:r>
      <w:r>
        <w:t>равноправности</w:t>
      </w:r>
      <w:r w:rsidR="0042679D" w:rsidRPr="00CD0B0D">
        <w:t xml:space="preserve"> </w:t>
      </w:r>
      <w:r>
        <w:t>полова</w:t>
      </w:r>
      <w:r w:rsidR="0042679D" w:rsidRPr="00CD0B0D">
        <w:t xml:space="preserve">” </w:t>
      </w:r>
      <w:r>
        <w:t>у</w:t>
      </w:r>
      <w:r w:rsidR="0042679D" w:rsidRPr="00CD0B0D">
        <w:t xml:space="preserve"> </w:t>
      </w:r>
      <w:r>
        <w:t>М</w:t>
      </w:r>
      <w:r w:rsidR="002D5D32">
        <w:rPr>
          <w:lang w:val="sr-Cyrl-BA"/>
        </w:rPr>
        <w:t>Б</w:t>
      </w:r>
      <w:r w:rsidR="0042679D" w:rsidRPr="00CD0B0D">
        <w:t xml:space="preserve"> </w:t>
      </w:r>
      <w:r>
        <w:t>БиХ</w:t>
      </w:r>
      <w:r w:rsidR="0042679D" w:rsidRPr="00CD0B0D">
        <w:t xml:space="preserve">, </w:t>
      </w:r>
      <w:r>
        <w:t>укључујући</w:t>
      </w:r>
      <w:r w:rsidR="0042679D" w:rsidRPr="00CD0B0D">
        <w:t xml:space="preserve"> </w:t>
      </w:r>
      <w:r>
        <w:t>и</w:t>
      </w:r>
      <w:r w:rsidR="0042679D" w:rsidRPr="00CD0B0D">
        <w:t xml:space="preserve"> </w:t>
      </w:r>
      <w:r>
        <w:t>управне</w:t>
      </w:r>
      <w:r w:rsidR="0042679D" w:rsidRPr="00CD0B0D">
        <w:t xml:space="preserve"> </w:t>
      </w:r>
      <w:r>
        <w:t>организације</w:t>
      </w:r>
      <w:r w:rsidR="0042679D" w:rsidRPr="00CD0B0D">
        <w:t xml:space="preserve"> </w:t>
      </w:r>
      <w:r>
        <w:t>у</w:t>
      </w:r>
      <w:r w:rsidR="0042679D" w:rsidRPr="00CD0B0D">
        <w:t xml:space="preserve"> </w:t>
      </w:r>
      <w:r>
        <w:t>његовом</w:t>
      </w:r>
      <w:r w:rsidR="0042679D" w:rsidRPr="00CD0B0D">
        <w:t xml:space="preserve"> </w:t>
      </w:r>
      <w:r>
        <w:t>саставу</w:t>
      </w:r>
      <w:r w:rsidR="0042679D" w:rsidRPr="00CD0B0D">
        <w:t xml:space="preserve">. </w:t>
      </w:r>
      <w:r>
        <w:t>Овај</w:t>
      </w:r>
      <w:r w:rsidR="00622222">
        <w:t xml:space="preserve"> </w:t>
      </w:r>
      <w:r>
        <w:t>пројекат</w:t>
      </w:r>
      <w:r w:rsidR="00DF3B41" w:rsidRPr="00CD0B0D">
        <w:t xml:space="preserve"> </w:t>
      </w:r>
      <w:r>
        <w:t>доприноси</w:t>
      </w:r>
      <w:r w:rsidR="00DF3B41" w:rsidRPr="00CD0B0D">
        <w:t xml:space="preserve"> </w:t>
      </w:r>
      <w:r>
        <w:t>увођењу</w:t>
      </w:r>
      <w:r w:rsidR="00DF3B41" w:rsidRPr="00CD0B0D">
        <w:t xml:space="preserve"> </w:t>
      </w:r>
      <w:r>
        <w:t>равноправности</w:t>
      </w:r>
      <w:r w:rsidR="00DF3B41" w:rsidRPr="00CD0B0D">
        <w:t xml:space="preserve"> </w:t>
      </w:r>
      <w:r>
        <w:t>полова</w:t>
      </w:r>
      <w:r w:rsidR="00DF3B41" w:rsidRPr="00CD0B0D">
        <w:t xml:space="preserve"> </w:t>
      </w:r>
      <w:r>
        <w:t>у</w:t>
      </w:r>
      <w:r w:rsidR="00DF3B41" w:rsidRPr="00CD0B0D">
        <w:t xml:space="preserve"> </w:t>
      </w:r>
      <w:r>
        <w:t>институције</w:t>
      </w:r>
      <w:r w:rsidR="00DF3B41" w:rsidRPr="00CD0B0D">
        <w:t xml:space="preserve"> </w:t>
      </w:r>
      <w:r>
        <w:t>и</w:t>
      </w:r>
      <w:r w:rsidR="00DF3B41" w:rsidRPr="00CD0B0D">
        <w:t xml:space="preserve"> </w:t>
      </w:r>
      <w:r>
        <w:t>агенције</w:t>
      </w:r>
      <w:r w:rsidR="00DF3B41" w:rsidRPr="00CD0B0D">
        <w:t xml:space="preserve"> </w:t>
      </w:r>
      <w:r>
        <w:t>сектора</w:t>
      </w:r>
      <w:r w:rsidR="00DF3B41" w:rsidRPr="00CD0B0D">
        <w:t xml:space="preserve"> </w:t>
      </w:r>
      <w:r w:rsidR="002D5D32">
        <w:rPr>
          <w:lang w:val="sr-Cyrl-BA"/>
        </w:rPr>
        <w:t>безбједности</w:t>
      </w:r>
      <w:r w:rsidR="00DF3B41" w:rsidRPr="00CD0B0D">
        <w:t>.</w:t>
      </w:r>
    </w:p>
    <w:p w:rsidR="0042679D" w:rsidRPr="00460B7A" w:rsidRDefault="0042679D" w:rsidP="0086268D">
      <w:pPr>
        <w:ind w:right="149"/>
        <w:jc w:val="both"/>
        <w:rPr>
          <w:rFonts w:ascii="Times New Roman" w:hAnsi="Times New Roman"/>
          <w:szCs w:val="24"/>
        </w:rPr>
      </w:pPr>
    </w:p>
    <w:p w:rsidR="0042679D" w:rsidRPr="00295637" w:rsidRDefault="00C6214E" w:rsidP="0086268D">
      <w:pPr>
        <w:pStyle w:val="HTMLPreformatted"/>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rPr>
        <w:t>АР</w:t>
      </w:r>
      <w:r w:rsidR="002D5D32">
        <w:rPr>
          <w:rFonts w:ascii="Times New Roman" w:hAnsi="Times New Roman" w:cs="Times New Roman"/>
          <w:sz w:val="24"/>
          <w:szCs w:val="24"/>
          <w:lang w:val="sr-Cyrl-BA"/>
        </w:rPr>
        <w:t>П</w:t>
      </w:r>
      <w:r w:rsidR="00622222">
        <w:rPr>
          <w:rFonts w:ascii="Times New Roman" w:hAnsi="Times New Roman" w:cs="Times New Roman"/>
          <w:sz w:val="24"/>
          <w:szCs w:val="24"/>
        </w:rPr>
        <w:t xml:space="preserve"> </w:t>
      </w:r>
      <w:r>
        <w:rPr>
          <w:rFonts w:ascii="Times New Roman" w:hAnsi="Times New Roman" w:cs="Times New Roman"/>
          <w:sz w:val="24"/>
          <w:szCs w:val="24"/>
        </w:rPr>
        <w:t>БиХ</w:t>
      </w:r>
      <w:r w:rsidR="00622222">
        <w:rPr>
          <w:rFonts w:ascii="Times New Roman" w:hAnsi="Times New Roman" w:cs="Times New Roman"/>
          <w:sz w:val="24"/>
          <w:szCs w:val="24"/>
        </w:rPr>
        <w:t xml:space="preserve"> </w:t>
      </w:r>
      <w:r>
        <w:rPr>
          <w:rFonts w:ascii="Times New Roman" w:hAnsi="Times New Roman" w:cs="Times New Roman"/>
          <w:sz w:val="24"/>
          <w:szCs w:val="24"/>
        </w:rPr>
        <w:t>МЉПИ</w:t>
      </w:r>
      <w:r w:rsidR="00622222">
        <w:rPr>
          <w:rFonts w:ascii="Times New Roman" w:hAnsi="Times New Roman" w:cs="Times New Roman"/>
          <w:sz w:val="24"/>
          <w:szCs w:val="24"/>
        </w:rPr>
        <w:t xml:space="preserve"> </w:t>
      </w:r>
      <w:r>
        <w:rPr>
          <w:rFonts w:ascii="Times New Roman" w:hAnsi="Times New Roman" w:cs="Times New Roman"/>
          <w:sz w:val="24"/>
          <w:szCs w:val="24"/>
        </w:rPr>
        <w:t>БиХ</w:t>
      </w:r>
      <w:r w:rsidR="0042679D" w:rsidRPr="00295637">
        <w:rPr>
          <w:rFonts w:ascii="Times New Roman" w:hAnsi="Times New Roman" w:cs="Times New Roman"/>
          <w:sz w:val="24"/>
          <w:szCs w:val="24"/>
        </w:rPr>
        <w:t xml:space="preserve"> </w:t>
      </w:r>
      <w:r w:rsidR="005B4F69">
        <w:rPr>
          <w:rFonts w:ascii="Times New Roman" w:hAnsi="Times New Roman" w:cs="Times New Roman"/>
          <w:sz w:val="24"/>
          <w:szCs w:val="24"/>
          <w:lang w:val="sr-Cyrl-BA"/>
        </w:rPr>
        <w:t>с</w:t>
      </w:r>
      <w:r>
        <w:rPr>
          <w:rFonts w:ascii="Times New Roman" w:hAnsi="Times New Roman" w:cs="Times New Roman"/>
          <w:sz w:val="24"/>
          <w:szCs w:val="24"/>
        </w:rPr>
        <w:t>проводи</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пројекат</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Жене</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воде</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на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путу</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мира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и</w:t>
      </w:r>
      <w:r w:rsidR="0042679D" w:rsidRPr="00295637">
        <w:rPr>
          <w:rFonts w:ascii="Times New Roman" w:hAnsi="Times New Roman" w:cs="Times New Roman"/>
          <w:sz w:val="24"/>
          <w:szCs w:val="24"/>
        </w:rPr>
        <w:t xml:space="preserve"> </w:t>
      </w:r>
      <w:r w:rsidR="005B4F69">
        <w:rPr>
          <w:rFonts w:ascii="Times New Roman" w:hAnsi="Times New Roman" w:cs="Times New Roman"/>
          <w:sz w:val="24"/>
          <w:szCs w:val="24"/>
          <w:lang w:val="sr-Cyrl-BA"/>
        </w:rPr>
        <w:t>безбједности</w:t>
      </w:r>
      <w:r w:rsidR="0042679D" w:rsidRPr="00295637">
        <w:rPr>
          <w:rFonts w:ascii="Times New Roman" w:hAnsi="Times New Roman" w:cs="Times New Roman"/>
          <w:sz w:val="24"/>
          <w:szCs w:val="24"/>
        </w:rPr>
        <w:t xml:space="preserve">“ </w:t>
      </w:r>
      <w:r w:rsidR="0042679D">
        <w:rPr>
          <w:rFonts w:ascii="Times New Roman" w:hAnsi="Times New Roman" w:cs="Times New Roman"/>
          <w:sz w:val="24"/>
          <w:szCs w:val="24"/>
        </w:rPr>
        <w:t>(„</w:t>
      </w:r>
      <w:r w:rsidR="005B4F69" w:rsidRPr="005B4F69">
        <w:rPr>
          <w:rFonts w:ascii="Times New Roman" w:hAnsi="Times New Roman" w:cs="Times New Roman"/>
          <w:i/>
          <w:sz w:val="24"/>
          <w:szCs w:val="24"/>
          <w:lang w:val="hr-BA"/>
        </w:rPr>
        <w:t>WPS</w:t>
      </w:r>
      <w:r w:rsidR="0042679D">
        <w:rPr>
          <w:rFonts w:ascii="Times New Roman" w:hAnsi="Times New Roman" w:cs="Times New Roman"/>
          <w:sz w:val="24"/>
          <w:szCs w:val="24"/>
        </w:rPr>
        <w:t xml:space="preserve">“) </w:t>
      </w:r>
      <w:r>
        <w:rPr>
          <w:rFonts w:ascii="Times New Roman" w:hAnsi="Times New Roman" w:cs="Times New Roman"/>
          <w:sz w:val="24"/>
          <w:szCs w:val="24"/>
        </w:rPr>
        <w:t>са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партнерима</w:t>
      </w:r>
      <w:r w:rsidR="0042679D" w:rsidRPr="00295637">
        <w:rPr>
          <w:rFonts w:ascii="Times New Roman" w:hAnsi="Times New Roman" w:cs="Times New Roman"/>
          <w:sz w:val="24"/>
          <w:szCs w:val="24"/>
        </w:rPr>
        <w:t xml:space="preserve"> </w:t>
      </w:r>
      <w:r w:rsidR="005B4F69" w:rsidRPr="005B4F69">
        <w:rPr>
          <w:rFonts w:ascii="Times New Roman" w:hAnsi="Times New Roman" w:cs="Times New Roman"/>
          <w:i/>
          <w:sz w:val="24"/>
          <w:szCs w:val="24"/>
          <w:lang w:val="hr-BA"/>
        </w:rPr>
        <w:t>UN Women</w:t>
      </w:r>
      <w:r w:rsidR="0042679D" w:rsidRPr="00295637">
        <w:rPr>
          <w:rFonts w:ascii="Times New Roman" w:hAnsi="Times New Roman" w:cs="Times New Roman"/>
          <w:sz w:val="24"/>
          <w:szCs w:val="24"/>
        </w:rPr>
        <w:t xml:space="preserve">, </w:t>
      </w:r>
      <w:r w:rsidR="005B4F69" w:rsidRPr="005B4F69">
        <w:rPr>
          <w:rFonts w:ascii="Times New Roman" w:hAnsi="Times New Roman" w:cs="Times New Roman"/>
          <w:i/>
          <w:sz w:val="24"/>
          <w:szCs w:val="24"/>
          <w:lang w:val="hr-BA"/>
        </w:rPr>
        <w:t>IOM</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и</w:t>
      </w:r>
      <w:r w:rsidR="0042679D" w:rsidRPr="00295637">
        <w:rPr>
          <w:rFonts w:ascii="Times New Roman" w:hAnsi="Times New Roman" w:cs="Times New Roman"/>
          <w:sz w:val="24"/>
          <w:szCs w:val="24"/>
        </w:rPr>
        <w:t xml:space="preserve"> </w:t>
      </w:r>
      <w:r w:rsidR="005B4F69" w:rsidRPr="005B4F69">
        <w:rPr>
          <w:rFonts w:ascii="Times New Roman" w:hAnsi="Times New Roman" w:cs="Times New Roman"/>
          <w:i/>
          <w:sz w:val="24"/>
          <w:szCs w:val="24"/>
          <w:lang w:val="hr-BA"/>
        </w:rPr>
        <w:t>UNFPA</w:t>
      </w:r>
      <w:r w:rsidR="0042679D">
        <w:rPr>
          <w:rFonts w:ascii="Times New Roman" w:hAnsi="Times New Roman" w:cs="Times New Roman"/>
          <w:sz w:val="24"/>
          <w:szCs w:val="24"/>
        </w:rPr>
        <w:t>,</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који</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се</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финансира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из</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средстава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Фонда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за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изградњу</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мира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Генералног</w:t>
      </w:r>
      <w:r w:rsidR="009E1570">
        <w:rPr>
          <w:rFonts w:ascii="Times New Roman" w:hAnsi="Times New Roman" w:cs="Times New Roman"/>
          <w:sz w:val="24"/>
          <w:szCs w:val="24"/>
        </w:rPr>
        <w:t xml:space="preserve"> </w:t>
      </w:r>
      <w:r>
        <w:rPr>
          <w:rFonts w:ascii="Times New Roman" w:hAnsi="Times New Roman" w:cs="Times New Roman"/>
          <w:sz w:val="24"/>
          <w:szCs w:val="24"/>
        </w:rPr>
        <w:t>секретара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УН</w:t>
      </w:r>
      <w:r w:rsidR="0042679D" w:rsidRPr="00295637">
        <w:rPr>
          <w:rFonts w:ascii="Times New Roman" w:hAnsi="Times New Roman" w:cs="Times New Roman"/>
          <w:sz w:val="24"/>
          <w:szCs w:val="24"/>
        </w:rPr>
        <w:t>-</w:t>
      </w:r>
      <w:r>
        <w:rPr>
          <w:rFonts w:ascii="Times New Roman" w:hAnsi="Times New Roman" w:cs="Times New Roman"/>
          <w:sz w:val="24"/>
          <w:szCs w:val="24"/>
        </w:rPr>
        <w:t>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за</w:t>
      </w:r>
      <w:r w:rsidR="0042679D" w:rsidRPr="00295637">
        <w:rPr>
          <w:rFonts w:ascii="Times New Roman" w:hAnsi="Times New Roman" w:cs="Times New Roman"/>
          <w:sz w:val="24"/>
          <w:szCs w:val="24"/>
        </w:rPr>
        <w:t xml:space="preserve"> </w:t>
      </w:r>
      <w:r>
        <w:rPr>
          <w:rFonts w:ascii="Times New Roman" w:hAnsi="Times New Roman" w:cs="Times New Roman"/>
          <w:sz w:val="24"/>
          <w:szCs w:val="24"/>
        </w:rPr>
        <w:t>БиХ</w:t>
      </w:r>
      <w:r w:rsidR="0042679D" w:rsidRPr="00295637">
        <w:rPr>
          <w:rFonts w:ascii="Times New Roman" w:hAnsi="Times New Roman" w:cs="Times New Roman"/>
          <w:sz w:val="24"/>
          <w:szCs w:val="24"/>
        </w:rPr>
        <w:t xml:space="preserve">. </w:t>
      </w:r>
      <w:r>
        <w:rPr>
          <w:rStyle w:val="y2iqfc"/>
          <w:rFonts w:ascii="Times New Roman" w:hAnsi="Times New Roman" w:cs="Times New Roman"/>
          <w:sz w:val="24"/>
          <w:szCs w:val="24"/>
          <w:lang w:val="hr-HR"/>
        </w:rPr>
        <w:t>У</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извјештајном</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периоду</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пројекат</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се</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фокусирао</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на</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мапирање</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терена</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и</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идентифи</w:t>
      </w:r>
      <w:r w:rsidR="005B4F69">
        <w:rPr>
          <w:rStyle w:val="y2iqfc"/>
          <w:rFonts w:ascii="Times New Roman" w:hAnsi="Times New Roman" w:cs="Times New Roman"/>
          <w:sz w:val="24"/>
          <w:szCs w:val="24"/>
          <w:lang w:val="sr-Cyrl-BA"/>
        </w:rPr>
        <w:t>ковање</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потенцијалних</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партнера</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у</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локалној</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заједници</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као</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и</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партнерство</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са</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нетрадиционалним</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актерима</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као</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што</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су</w:t>
      </w:r>
      <w:r w:rsidR="0042679D" w:rsidRPr="00295637">
        <w:rPr>
          <w:rStyle w:val="y2iqfc"/>
          <w:rFonts w:ascii="Times New Roman" w:hAnsi="Times New Roman" w:cs="Times New Roman"/>
          <w:sz w:val="24"/>
          <w:szCs w:val="24"/>
          <w:lang w:val="hr-HR"/>
        </w:rPr>
        <w:t xml:space="preserve"> </w:t>
      </w:r>
      <w:r w:rsidR="005B4F69" w:rsidRPr="005B4F69">
        <w:rPr>
          <w:rFonts w:ascii="Times New Roman" w:hAnsi="Times New Roman" w:cs="Times New Roman"/>
          <w:i/>
          <w:sz w:val="24"/>
          <w:szCs w:val="24"/>
          <w:lang w:val="hr-HR"/>
        </w:rPr>
        <w:t>Al Jazeera Balkans</w:t>
      </w:r>
      <w:r w:rsidR="0042679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за</w:t>
      </w:r>
      <w:r w:rsidR="0042679D" w:rsidRPr="00295637">
        <w:rPr>
          <w:rStyle w:val="y2iqfc"/>
          <w:rFonts w:ascii="Times New Roman" w:hAnsi="Times New Roman" w:cs="Times New Roman"/>
          <w:sz w:val="24"/>
          <w:szCs w:val="24"/>
          <w:lang w:val="hr-HR"/>
        </w:rPr>
        <w:t xml:space="preserve"> </w:t>
      </w:r>
      <w:r w:rsidR="005B4F69" w:rsidRPr="005B4F69">
        <w:rPr>
          <w:rFonts w:ascii="Times New Roman" w:hAnsi="Times New Roman" w:cs="Times New Roman"/>
          <w:i/>
          <w:sz w:val="24"/>
          <w:szCs w:val="24"/>
          <w:lang w:val="hr-HR"/>
        </w:rPr>
        <w:t>AJB Docs</w:t>
      </w:r>
      <w:r w:rsidR="005B4F69" w:rsidRPr="005B4F69">
        <w:rPr>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Фестивал</w:t>
      </w:r>
      <w:r w:rsidR="0042679D" w:rsidRPr="00295637">
        <w:rPr>
          <w:rStyle w:val="y2iqfc"/>
          <w:rFonts w:ascii="Times New Roman" w:hAnsi="Times New Roman" w:cs="Times New Roman"/>
          <w:sz w:val="24"/>
          <w:szCs w:val="24"/>
          <w:lang w:val="hr-HR"/>
        </w:rPr>
        <w:t>.</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У</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оквиру</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овог</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заједничког</w:t>
      </w:r>
      <w:r w:rsidR="00622222">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пројекта</w:t>
      </w:r>
      <w:r w:rsidR="00622222">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УН</w:t>
      </w:r>
      <w:r w:rsidR="00622222">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агенција</w:t>
      </w:r>
      <w:r w:rsidR="00622222">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АР</w:t>
      </w:r>
      <w:r w:rsidR="005B4F69">
        <w:rPr>
          <w:rStyle w:val="y2iqfc"/>
          <w:rFonts w:ascii="Times New Roman" w:hAnsi="Times New Roman" w:cs="Times New Roman"/>
          <w:sz w:val="24"/>
          <w:szCs w:val="24"/>
          <w:lang w:val="sr-Cyrl-BA"/>
        </w:rPr>
        <w:t>П</w:t>
      </w:r>
      <w:r w:rsidR="00622222">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БиХ</w:t>
      </w:r>
      <w:r w:rsidR="00622222">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МЉПИ</w:t>
      </w:r>
      <w:r w:rsidR="00622222">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БиХ</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уз</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подршку</w:t>
      </w:r>
      <w:r w:rsidR="00CD0B0D">
        <w:rPr>
          <w:rStyle w:val="y2iqfc"/>
          <w:rFonts w:ascii="Times New Roman" w:hAnsi="Times New Roman" w:cs="Times New Roman"/>
          <w:sz w:val="24"/>
          <w:szCs w:val="24"/>
          <w:lang w:val="hr-HR"/>
        </w:rPr>
        <w:t xml:space="preserve"> </w:t>
      </w:r>
      <w:r w:rsidR="005B4F69" w:rsidRPr="005B4F69">
        <w:rPr>
          <w:rFonts w:ascii="Times New Roman" w:hAnsi="Times New Roman" w:cs="Times New Roman"/>
          <w:i/>
          <w:sz w:val="24"/>
          <w:szCs w:val="24"/>
          <w:lang w:val="hr-BA"/>
        </w:rPr>
        <w:t>UN Women</w:t>
      </w:r>
      <w:r w:rsidR="00CD0B0D">
        <w:rPr>
          <w:rStyle w:val="y2iqfc"/>
          <w:rFonts w:ascii="Times New Roman" w:hAnsi="Times New Roman" w:cs="Times New Roman"/>
          <w:sz w:val="24"/>
          <w:szCs w:val="24"/>
          <w:lang w:val="hr-HR"/>
        </w:rPr>
        <w:t xml:space="preserve">, </w:t>
      </w:r>
      <w:r w:rsidR="005B4F69">
        <w:rPr>
          <w:rStyle w:val="y2iqfc"/>
          <w:rFonts w:ascii="Times New Roman" w:hAnsi="Times New Roman" w:cs="Times New Roman"/>
          <w:sz w:val="24"/>
          <w:szCs w:val="24"/>
          <w:lang w:val="sr-Cyrl-BA"/>
        </w:rPr>
        <w:t>спроводи</w:t>
      </w:r>
      <w:r w:rsidR="00CD0B0D">
        <w:rPr>
          <w:rStyle w:val="y2iqfc"/>
          <w:rFonts w:ascii="Times New Roman" w:hAnsi="Times New Roman" w:cs="Times New Roman"/>
          <w:sz w:val="24"/>
          <w:szCs w:val="24"/>
          <w:lang w:val="hr-HR"/>
        </w:rPr>
        <w:t xml:space="preserve"> </w:t>
      </w:r>
      <w:r w:rsidR="00CD0B0D">
        <w:rPr>
          <w:rFonts w:ascii="Times New Roman" w:hAnsi="Times New Roman" w:cs="Times New Roman"/>
          <w:sz w:val="24"/>
          <w:szCs w:val="24"/>
        </w:rPr>
        <w:t>„</w:t>
      </w:r>
      <w:r w:rsidR="005B4F69" w:rsidRPr="005B4F69">
        <w:rPr>
          <w:rFonts w:ascii="Times New Roman" w:hAnsi="Times New Roman" w:cs="Times New Roman"/>
          <w:i/>
          <w:sz w:val="24"/>
          <w:szCs w:val="24"/>
          <w:lang w:val="hr-BA"/>
        </w:rPr>
        <w:t>WPS</w:t>
      </w:r>
      <w:r w:rsidR="00CD0B0D">
        <w:rPr>
          <w:rFonts w:ascii="Times New Roman" w:hAnsi="Times New Roman" w:cs="Times New Roman"/>
          <w:sz w:val="24"/>
          <w:szCs w:val="24"/>
        </w:rPr>
        <w:t xml:space="preserve">“ </w:t>
      </w:r>
      <w:r>
        <w:rPr>
          <w:rStyle w:val="y2iqfc"/>
          <w:rFonts w:ascii="Times New Roman" w:hAnsi="Times New Roman" w:cs="Times New Roman"/>
          <w:sz w:val="24"/>
          <w:szCs w:val="24"/>
          <w:lang w:val="hr-HR"/>
        </w:rPr>
        <w:t>пројекат</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подршке</w:t>
      </w:r>
      <w:r w:rsidR="00622222">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јачању</w:t>
      </w:r>
      <w:r w:rsidR="00622222">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институција</w:t>
      </w:r>
      <w:r w:rsidR="00622222">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сектора</w:t>
      </w:r>
      <w:r w:rsidR="00622222">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одбране</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и</w:t>
      </w:r>
      <w:r w:rsidR="00CD0B0D">
        <w:rPr>
          <w:rStyle w:val="y2iqfc"/>
          <w:rFonts w:ascii="Times New Roman" w:hAnsi="Times New Roman" w:cs="Times New Roman"/>
          <w:sz w:val="24"/>
          <w:szCs w:val="24"/>
          <w:lang w:val="hr-HR"/>
        </w:rPr>
        <w:t xml:space="preserve"> </w:t>
      </w:r>
      <w:r w:rsidR="005B4F69">
        <w:rPr>
          <w:rStyle w:val="y2iqfc"/>
          <w:rFonts w:ascii="Times New Roman" w:hAnsi="Times New Roman" w:cs="Times New Roman"/>
          <w:sz w:val="24"/>
          <w:szCs w:val="24"/>
          <w:lang w:val="sr-Cyrl-BA"/>
        </w:rPr>
        <w:t>безбједности</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за</w:t>
      </w:r>
      <w:r w:rsidR="00CD0B0D">
        <w:rPr>
          <w:rStyle w:val="y2iqfc"/>
          <w:rFonts w:ascii="Times New Roman" w:hAnsi="Times New Roman" w:cs="Times New Roman"/>
          <w:sz w:val="24"/>
          <w:szCs w:val="24"/>
          <w:lang w:val="hr-HR"/>
        </w:rPr>
        <w:t xml:space="preserve"> </w:t>
      </w:r>
      <w:r w:rsidR="005B4F69">
        <w:rPr>
          <w:rStyle w:val="y2iqfc"/>
          <w:rFonts w:ascii="Times New Roman" w:hAnsi="Times New Roman" w:cs="Times New Roman"/>
          <w:sz w:val="24"/>
          <w:szCs w:val="24"/>
          <w:lang w:val="sr-Cyrl-BA"/>
        </w:rPr>
        <w:t>спровођење</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Резолуције</w:t>
      </w:r>
      <w:r w:rsidR="00CD0B0D">
        <w:rPr>
          <w:rStyle w:val="y2iqfc"/>
          <w:rFonts w:ascii="Times New Roman" w:hAnsi="Times New Roman" w:cs="Times New Roman"/>
          <w:sz w:val="24"/>
          <w:szCs w:val="24"/>
          <w:lang w:val="hr-HR"/>
        </w:rPr>
        <w:t xml:space="preserve"> 1325 </w:t>
      </w:r>
      <w:r w:rsidR="005B4F69">
        <w:rPr>
          <w:rStyle w:val="y2iqfc"/>
          <w:rFonts w:ascii="Times New Roman" w:hAnsi="Times New Roman" w:cs="Times New Roman"/>
          <w:sz w:val="24"/>
          <w:szCs w:val="24"/>
          <w:lang w:val="sr-Cyrl-BA"/>
        </w:rPr>
        <w:t>савјета безбједности</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УН</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у</w:t>
      </w:r>
      <w:r w:rsidR="00CD0B0D">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БиХ</w:t>
      </w:r>
      <w:r w:rsidR="00CD0B0D">
        <w:rPr>
          <w:rStyle w:val="y2iqfc"/>
          <w:rFonts w:ascii="Times New Roman" w:hAnsi="Times New Roman" w:cs="Times New Roman"/>
          <w:sz w:val="24"/>
          <w:szCs w:val="24"/>
          <w:lang w:val="hr-HR"/>
        </w:rPr>
        <w:t>.</w:t>
      </w:r>
    </w:p>
    <w:p w:rsidR="0042679D" w:rsidRPr="008D4EE7" w:rsidRDefault="0042679D" w:rsidP="0086268D">
      <w:pPr>
        <w:pStyle w:val="ListParagraph"/>
        <w:ind w:left="720" w:right="149"/>
        <w:jc w:val="both"/>
        <w:rPr>
          <w:rFonts w:ascii="Times New Roman" w:hAnsi="Times New Roman"/>
          <w:szCs w:val="24"/>
        </w:rPr>
      </w:pPr>
    </w:p>
    <w:p w:rsidR="007D31BE" w:rsidRPr="00622222" w:rsidRDefault="005B4F69" w:rsidP="0086268D">
      <w:pPr>
        <w:pStyle w:val="ListParagraph"/>
        <w:numPr>
          <w:ilvl w:val="0"/>
          <w:numId w:val="17"/>
        </w:numPr>
        <w:ind w:right="14"/>
        <w:jc w:val="both"/>
        <w:rPr>
          <w:rStyle w:val="y2iqfc"/>
          <w:rFonts w:ascii="Times New Roman" w:hAnsi="Times New Roman"/>
        </w:rPr>
      </w:pPr>
      <w:r>
        <w:rPr>
          <w:rStyle w:val="y2iqfc"/>
          <w:rFonts w:ascii="inherit" w:hAnsi="inherit"/>
          <w:szCs w:val="24"/>
          <w:lang w:val="sr-Cyrl-BA"/>
        </w:rPr>
        <w:t>С</w:t>
      </w:r>
      <w:r w:rsidR="00D30E48">
        <w:rPr>
          <w:rStyle w:val="y2iqfc"/>
          <w:rFonts w:ascii="inherit" w:hAnsi="inherit"/>
          <w:szCs w:val="24"/>
        </w:rPr>
        <w:t xml:space="preserve"> </w:t>
      </w:r>
      <w:r w:rsidR="00C6214E">
        <w:rPr>
          <w:rStyle w:val="y2iqfc"/>
          <w:rFonts w:ascii="inherit" w:hAnsi="inherit"/>
          <w:szCs w:val="24"/>
        </w:rPr>
        <w:t>циљ</w:t>
      </w:r>
      <w:r>
        <w:rPr>
          <w:rStyle w:val="y2iqfc"/>
          <w:rFonts w:ascii="inherit" w:hAnsi="inherit"/>
          <w:szCs w:val="24"/>
          <w:lang w:val="sr-Cyrl-BA"/>
        </w:rPr>
        <w:t>ем</w:t>
      </w:r>
      <w:r w:rsidR="00D30E48">
        <w:rPr>
          <w:rStyle w:val="y2iqfc"/>
          <w:rFonts w:ascii="inherit" w:hAnsi="inherit"/>
          <w:szCs w:val="24"/>
        </w:rPr>
        <w:t xml:space="preserve"> </w:t>
      </w:r>
      <w:r w:rsidR="00EB31AF">
        <w:rPr>
          <w:rStyle w:val="y2iqfc"/>
          <w:rFonts w:ascii="inherit" w:hAnsi="inherit"/>
          <w:szCs w:val="24"/>
          <w:lang w:val="bs-Cyrl-BA"/>
        </w:rPr>
        <w:t>јачања</w:t>
      </w:r>
      <w:r w:rsidR="00CD0B0D" w:rsidRPr="00622222">
        <w:rPr>
          <w:rStyle w:val="y2iqfc"/>
          <w:rFonts w:ascii="inherit" w:hAnsi="inherit"/>
          <w:szCs w:val="24"/>
        </w:rPr>
        <w:t xml:space="preserve"> </w:t>
      </w:r>
      <w:r w:rsidR="00C6214E">
        <w:rPr>
          <w:rStyle w:val="y2iqfc"/>
          <w:rFonts w:ascii="inherit" w:hAnsi="inherit"/>
          <w:szCs w:val="24"/>
        </w:rPr>
        <w:t>јавне</w:t>
      </w:r>
      <w:r w:rsidR="00CD0B0D" w:rsidRPr="00622222">
        <w:rPr>
          <w:rStyle w:val="y2iqfc"/>
          <w:rFonts w:ascii="inherit" w:hAnsi="inherit"/>
          <w:szCs w:val="24"/>
        </w:rPr>
        <w:t xml:space="preserve"> </w:t>
      </w:r>
      <w:r w:rsidR="00C6214E">
        <w:rPr>
          <w:rStyle w:val="y2iqfc"/>
          <w:rFonts w:ascii="inherit" w:hAnsi="inherit"/>
          <w:szCs w:val="24"/>
        </w:rPr>
        <w:t>свијести</w:t>
      </w:r>
      <w:r w:rsidR="00CD0B0D" w:rsidRPr="00622222">
        <w:rPr>
          <w:rStyle w:val="y2iqfc"/>
          <w:rFonts w:ascii="inherit" w:hAnsi="inherit"/>
          <w:szCs w:val="24"/>
        </w:rPr>
        <w:t xml:space="preserve"> </w:t>
      </w:r>
      <w:r w:rsidR="00C6214E">
        <w:rPr>
          <w:rStyle w:val="y2iqfc"/>
          <w:rFonts w:ascii="inherit" w:hAnsi="inherit"/>
          <w:szCs w:val="24"/>
        </w:rPr>
        <w:t>о</w:t>
      </w:r>
      <w:r w:rsidR="00CD0B0D" w:rsidRPr="00622222">
        <w:rPr>
          <w:rStyle w:val="y2iqfc"/>
          <w:rFonts w:ascii="inherit" w:hAnsi="inherit"/>
          <w:szCs w:val="24"/>
        </w:rPr>
        <w:t xml:space="preserve"> </w:t>
      </w:r>
      <w:r w:rsidR="00C6214E">
        <w:rPr>
          <w:rStyle w:val="y2iqfc"/>
          <w:rFonts w:ascii="inherit" w:hAnsi="inherit"/>
          <w:szCs w:val="24"/>
        </w:rPr>
        <w:t>доприносу</w:t>
      </w:r>
      <w:r w:rsidR="00CD0B0D" w:rsidRPr="00622222">
        <w:rPr>
          <w:rStyle w:val="y2iqfc"/>
          <w:rFonts w:ascii="inherit" w:hAnsi="inherit"/>
          <w:szCs w:val="24"/>
        </w:rPr>
        <w:t xml:space="preserve"> </w:t>
      </w:r>
      <w:r w:rsidR="00C6214E">
        <w:rPr>
          <w:rStyle w:val="y2iqfc"/>
          <w:rFonts w:ascii="inherit" w:hAnsi="inherit"/>
          <w:szCs w:val="24"/>
        </w:rPr>
        <w:t>жена</w:t>
      </w:r>
      <w:r w:rsidR="00CD0B0D" w:rsidRPr="00622222">
        <w:rPr>
          <w:rStyle w:val="y2iqfc"/>
          <w:rFonts w:ascii="inherit" w:hAnsi="inherit"/>
          <w:szCs w:val="24"/>
        </w:rPr>
        <w:t xml:space="preserve"> </w:t>
      </w:r>
      <w:r w:rsidR="00C6214E">
        <w:rPr>
          <w:rStyle w:val="y2iqfc"/>
          <w:rFonts w:ascii="inherit" w:hAnsi="inherit"/>
          <w:szCs w:val="24"/>
        </w:rPr>
        <w:t>одржавању</w:t>
      </w:r>
      <w:r w:rsidR="00CD0B0D" w:rsidRPr="00622222">
        <w:rPr>
          <w:rStyle w:val="y2iqfc"/>
          <w:rFonts w:ascii="inherit" w:hAnsi="inherit"/>
          <w:szCs w:val="24"/>
        </w:rPr>
        <w:t xml:space="preserve"> </w:t>
      </w:r>
      <w:r w:rsidR="00C6214E">
        <w:rPr>
          <w:rStyle w:val="y2iqfc"/>
          <w:rFonts w:ascii="inherit" w:hAnsi="inherit"/>
          <w:szCs w:val="24"/>
        </w:rPr>
        <w:t>мира</w:t>
      </w:r>
      <w:r w:rsidR="00CD0B0D" w:rsidRPr="00622222">
        <w:rPr>
          <w:rStyle w:val="y2iqfc"/>
          <w:rFonts w:ascii="inherit" w:hAnsi="inherit"/>
          <w:szCs w:val="24"/>
        </w:rPr>
        <w:t xml:space="preserve"> </w:t>
      </w:r>
      <w:r w:rsidR="00C6214E">
        <w:rPr>
          <w:rStyle w:val="y2iqfc"/>
          <w:rFonts w:ascii="inherit" w:hAnsi="inherit"/>
          <w:szCs w:val="24"/>
        </w:rPr>
        <w:t>и</w:t>
      </w:r>
      <w:r w:rsidR="00CD0B0D" w:rsidRPr="00622222">
        <w:rPr>
          <w:rStyle w:val="y2iqfc"/>
          <w:rFonts w:ascii="inherit" w:hAnsi="inherit"/>
          <w:szCs w:val="24"/>
        </w:rPr>
        <w:t xml:space="preserve"> </w:t>
      </w:r>
      <w:r w:rsidR="00C6214E">
        <w:rPr>
          <w:rStyle w:val="y2iqfc"/>
          <w:rFonts w:ascii="inherit" w:hAnsi="inherit"/>
          <w:szCs w:val="24"/>
        </w:rPr>
        <w:t>јачања</w:t>
      </w:r>
      <w:r w:rsidR="00CD0B0D" w:rsidRPr="00622222">
        <w:rPr>
          <w:rStyle w:val="y2iqfc"/>
          <w:rFonts w:ascii="inherit" w:hAnsi="inherit"/>
          <w:szCs w:val="24"/>
        </w:rPr>
        <w:t xml:space="preserve"> </w:t>
      </w:r>
      <w:r w:rsidR="00C6214E">
        <w:rPr>
          <w:rStyle w:val="y2iqfc"/>
          <w:rFonts w:ascii="inherit" w:hAnsi="inherit"/>
          <w:szCs w:val="24"/>
        </w:rPr>
        <w:t>позитивних</w:t>
      </w:r>
      <w:r w:rsidR="00CD0B0D" w:rsidRPr="00622222">
        <w:rPr>
          <w:rStyle w:val="y2iqfc"/>
          <w:rFonts w:ascii="inherit" w:hAnsi="inherit"/>
          <w:szCs w:val="24"/>
        </w:rPr>
        <w:t xml:space="preserve"> </w:t>
      </w:r>
      <w:r w:rsidR="00C6214E">
        <w:rPr>
          <w:rStyle w:val="y2iqfc"/>
          <w:rFonts w:ascii="inherit" w:hAnsi="inherit"/>
          <w:szCs w:val="24"/>
        </w:rPr>
        <w:t>наратива</w:t>
      </w:r>
      <w:r w:rsidR="00CD0B0D" w:rsidRPr="00622222">
        <w:rPr>
          <w:rStyle w:val="y2iqfc"/>
          <w:rFonts w:ascii="inherit" w:hAnsi="inherit"/>
          <w:szCs w:val="24"/>
        </w:rPr>
        <w:t xml:space="preserve">, </w:t>
      </w:r>
      <w:r w:rsidR="00C6214E">
        <w:rPr>
          <w:rStyle w:val="y2iqfc"/>
          <w:rFonts w:ascii="inherit" w:hAnsi="inherit"/>
          <w:szCs w:val="24"/>
        </w:rPr>
        <w:t>М</w:t>
      </w:r>
      <w:r>
        <w:rPr>
          <w:rStyle w:val="y2iqfc"/>
          <w:rFonts w:ascii="inherit" w:hAnsi="inherit"/>
          <w:szCs w:val="24"/>
          <w:lang w:val="sr-Cyrl-BA"/>
        </w:rPr>
        <w:t>С</w:t>
      </w:r>
      <w:r w:rsidR="00C6214E">
        <w:rPr>
          <w:rStyle w:val="y2iqfc"/>
          <w:rFonts w:ascii="inherit" w:hAnsi="inherit"/>
          <w:szCs w:val="24"/>
        </w:rPr>
        <w:t>П</w:t>
      </w:r>
      <w:r w:rsidR="00CD0B0D" w:rsidRPr="00622222">
        <w:rPr>
          <w:rStyle w:val="y2iqfc"/>
          <w:rFonts w:ascii="inherit" w:hAnsi="inherit"/>
          <w:szCs w:val="24"/>
        </w:rPr>
        <w:t xml:space="preserve"> </w:t>
      </w:r>
      <w:r w:rsidR="00C6214E">
        <w:rPr>
          <w:rStyle w:val="y2iqfc"/>
          <w:rFonts w:ascii="inherit" w:hAnsi="inherit"/>
          <w:szCs w:val="24"/>
        </w:rPr>
        <w:t>Б</w:t>
      </w:r>
      <w:r>
        <w:rPr>
          <w:rStyle w:val="y2iqfc"/>
          <w:rFonts w:ascii="inherit" w:hAnsi="inherit"/>
          <w:szCs w:val="24"/>
          <w:lang w:val="sr-Cyrl-BA"/>
        </w:rPr>
        <w:t>и</w:t>
      </w:r>
      <w:r w:rsidR="00C6214E">
        <w:rPr>
          <w:rStyle w:val="y2iqfc"/>
          <w:rFonts w:ascii="inherit" w:hAnsi="inherit"/>
          <w:szCs w:val="24"/>
        </w:rPr>
        <w:t>Х</w:t>
      </w:r>
      <w:r w:rsidR="00CD0B0D" w:rsidRPr="00622222">
        <w:rPr>
          <w:rStyle w:val="y2iqfc"/>
          <w:rFonts w:ascii="inherit" w:hAnsi="inherit"/>
          <w:szCs w:val="24"/>
        </w:rPr>
        <w:t xml:space="preserve"> </w:t>
      </w:r>
      <w:r w:rsidR="00C6214E">
        <w:rPr>
          <w:rStyle w:val="y2iqfc"/>
          <w:rFonts w:ascii="inherit" w:hAnsi="inherit"/>
          <w:szCs w:val="24"/>
        </w:rPr>
        <w:t>и</w:t>
      </w:r>
      <w:r w:rsidR="00CD0B0D" w:rsidRPr="00622222">
        <w:rPr>
          <w:rStyle w:val="y2iqfc"/>
          <w:rFonts w:ascii="inherit" w:hAnsi="inherit"/>
          <w:szCs w:val="24"/>
        </w:rPr>
        <w:t xml:space="preserve"> </w:t>
      </w:r>
      <w:r w:rsidR="00C6214E">
        <w:rPr>
          <w:rStyle w:val="y2iqfc"/>
          <w:rFonts w:ascii="inherit" w:hAnsi="inherit"/>
          <w:szCs w:val="24"/>
        </w:rPr>
        <w:t>УН</w:t>
      </w:r>
      <w:r w:rsidR="00CD0B0D" w:rsidRPr="00622222">
        <w:rPr>
          <w:rStyle w:val="y2iqfc"/>
          <w:rFonts w:ascii="inherit" w:hAnsi="inherit"/>
          <w:szCs w:val="24"/>
        </w:rPr>
        <w:t xml:space="preserve"> </w:t>
      </w:r>
      <w:r w:rsidR="00C6214E">
        <w:rPr>
          <w:rStyle w:val="y2iqfc"/>
          <w:rFonts w:ascii="inherit" w:hAnsi="inherit"/>
          <w:szCs w:val="24"/>
        </w:rPr>
        <w:t>у</w:t>
      </w:r>
      <w:r w:rsidR="00CD0B0D" w:rsidRPr="00622222">
        <w:rPr>
          <w:rStyle w:val="y2iqfc"/>
          <w:rFonts w:ascii="inherit" w:hAnsi="inherit"/>
          <w:szCs w:val="24"/>
        </w:rPr>
        <w:t xml:space="preserve"> </w:t>
      </w:r>
      <w:r w:rsidR="00C6214E">
        <w:rPr>
          <w:rStyle w:val="y2iqfc"/>
          <w:rFonts w:ascii="inherit" w:hAnsi="inherit"/>
          <w:szCs w:val="24"/>
        </w:rPr>
        <w:t>Босни</w:t>
      </w:r>
      <w:r w:rsidR="00CD0B0D" w:rsidRPr="00622222">
        <w:rPr>
          <w:rStyle w:val="y2iqfc"/>
          <w:rFonts w:ascii="inherit" w:hAnsi="inherit"/>
          <w:szCs w:val="24"/>
        </w:rPr>
        <w:t xml:space="preserve"> </w:t>
      </w:r>
      <w:r w:rsidR="00C6214E">
        <w:rPr>
          <w:rStyle w:val="y2iqfc"/>
          <w:rFonts w:ascii="inherit" w:hAnsi="inherit"/>
          <w:szCs w:val="24"/>
        </w:rPr>
        <w:t>и</w:t>
      </w:r>
      <w:r w:rsidR="00CD0B0D" w:rsidRPr="00622222">
        <w:rPr>
          <w:rStyle w:val="y2iqfc"/>
          <w:rFonts w:ascii="inherit" w:hAnsi="inherit"/>
          <w:szCs w:val="24"/>
        </w:rPr>
        <w:t xml:space="preserve"> </w:t>
      </w:r>
      <w:r w:rsidR="00C6214E">
        <w:rPr>
          <w:rStyle w:val="y2iqfc"/>
          <w:rFonts w:ascii="inherit" w:hAnsi="inherit"/>
          <w:szCs w:val="24"/>
        </w:rPr>
        <w:t>Херцеговини</w:t>
      </w:r>
      <w:r w:rsidR="00CD0B0D" w:rsidRPr="00622222">
        <w:rPr>
          <w:rStyle w:val="y2iqfc"/>
          <w:rFonts w:ascii="inherit" w:hAnsi="inherit"/>
          <w:szCs w:val="24"/>
        </w:rPr>
        <w:t xml:space="preserve"> </w:t>
      </w:r>
      <w:r w:rsidR="00C6214E">
        <w:rPr>
          <w:rStyle w:val="y2iqfc"/>
          <w:rFonts w:ascii="inherit" w:hAnsi="inherit"/>
          <w:szCs w:val="24"/>
        </w:rPr>
        <w:t>су</w:t>
      </w:r>
      <w:r w:rsidR="00CD0B0D" w:rsidRPr="00622222">
        <w:rPr>
          <w:rStyle w:val="y2iqfc"/>
          <w:rFonts w:ascii="inherit" w:hAnsi="inherit"/>
          <w:szCs w:val="24"/>
        </w:rPr>
        <w:t xml:space="preserve"> </w:t>
      </w:r>
      <w:r w:rsidR="00C6214E">
        <w:rPr>
          <w:rStyle w:val="y2iqfc"/>
          <w:rFonts w:ascii="inherit" w:hAnsi="inherit"/>
          <w:szCs w:val="24"/>
        </w:rPr>
        <w:t>покренули</w:t>
      </w:r>
      <w:r w:rsidR="00CD0B0D" w:rsidRPr="00622222">
        <w:rPr>
          <w:rStyle w:val="y2iqfc"/>
          <w:rFonts w:ascii="inherit" w:hAnsi="inherit"/>
          <w:szCs w:val="24"/>
        </w:rPr>
        <w:t xml:space="preserve"> </w:t>
      </w:r>
      <w:r w:rsidR="00C6214E">
        <w:rPr>
          <w:rStyle w:val="y2iqfc"/>
          <w:rFonts w:ascii="inherit" w:hAnsi="inherit"/>
          <w:szCs w:val="24"/>
        </w:rPr>
        <w:t>кампању</w:t>
      </w:r>
      <w:r w:rsidR="00CD0B0D" w:rsidRPr="00622222">
        <w:rPr>
          <w:rStyle w:val="y2iqfc"/>
          <w:rFonts w:ascii="inherit" w:hAnsi="inherit"/>
          <w:szCs w:val="24"/>
        </w:rPr>
        <w:t xml:space="preserve"> „12 </w:t>
      </w:r>
      <w:r w:rsidR="00C6214E">
        <w:rPr>
          <w:rStyle w:val="y2iqfc"/>
          <w:rFonts w:ascii="inherit" w:hAnsi="inherit"/>
          <w:szCs w:val="24"/>
        </w:rPr>
        <w:t>дана</w:t>
      </w:r>
      <w:r w:rsidR="00CD0B0D" w:rsidRPr="00622222">
        <w:rPr>
          <w:rStyle w:val="y2iqfc"/>
          <w:rFonts w:ascii="inherit" w:hAnsi="inherit"/>
          <w:szCs w:val="24"/>
        </w:rPr>
        <w:t xml:space="preserve"> </w:t>
      </w:r>
      <w:r w:rsidR="00C6214E">
        <w:rPr>
          <w:rStyle w:val="y2iqfc"/>
          <w:rFonts w:ascii="inherit" w:hAnsi="inherit"/>
          <w:szCs w:val="24"/>
        </w:rPr>
        <w:t>активизма</w:t>
      </w:r>
      <w:r w:rsidR="00CD0B0D" w:rsidRPr="00622222">
        <w:rPr>
          <w:rStyle w:val="y2iqfc"/>
          <w:rFonts w:ascii="inherit" w:hAnsi="inherit"/>
          <w:szCs w:val="24"/>
        </w:rPr>
        <w:t xml:space="preserve"> </w:t>
      </w:r>
      <w:r w:rsidR="00C6214E">
        <w:rPr>
          <w:rStyle w:val="y2iqfc"/>
          <w:rFonts w:ascii="inherit" w:hAnsi="inherit"/>
          <w:szCs w:val="24"/>
        </w:rPr>
        <w:t>за</w:t>
      </w:r>
      <w:r w:rsidR="00CD0B0D" w:rsidRPr="00622222">
        <w:rPr>
          <w:rStyle w:val="y2iqfc"/>
          <w:rFonts w:ascii="inherit" w:hAnsi="inherit"/>
          <w:szCs w:val="24"/>
        </w:rPr>
        <w:t xml:space="preserve"> </w:t>
      </w:r>
      <w:r w:rsidR="00C6214E">
        <w:rPr>
          <w:rStyle w:val="y2iqfc"/>
          <w:rFonts w:ascii="inherit" w:hAnsi="inherit"/>
          <w:szCs w:val="24"/>
        </w:rPr>
        <w:t>мир</w:t>
      </w:r>
      <w:r w:rsidR="00CD0B0D" w:rsidRPr="00622222">
        <w:rPr>
          <w:rStyle w:val="y2iqfc"/>
          <w:rFonts w:ascii="inherit" w:hAnsi="inherit"/>
          <w:szCs w:val="24"/>
        </w:rPr>
        <w:t xml:space="preserve">“ </w:t>
      </w:r>
      <w:r w:rsidR="00C6214E">
        <w:rPr>
          <w:rStyle w:val="y2iqfc"/>
          <w:rFonts w:ascii="inherit" w:hAnsi="inherit"/>
          <w:szCs w:val="24"/>
        </w:rPr>
        <w:t>која</w:t>
      </w:r>
      <w:r w:rsidR="00CD0B0D" w:rsidRPr="00622222">
        <w:rPr>
          <w:rStyle w:val="y2iqfc"/>
          <w:rFonts w:ascii="inherit" w:hAnsi="inherit"/>
          <w:szCs w:val="24"/>
        </w:rPr>
        <w:t xml:space="preserve"> </w:t>
      </w:r>
      <w:r w:rsidR="00C6214E">
        <w:rPr>
          <w:rStyle w:val="y2iqfc"/>
          <w:rFonts w:ascii="inherit" w:hAnsi="inherit"/>
          <w:szCs w:val="24"/>
        </w:rPr>
        <w:t>је</w:t>
      </w:r>
      <w:r w:rsidR="00CD0B0D" w:rsidRPr="00622222">
        <w:rPr>
          <w:rStyle w:val="y2iqfc"/>
          <w:rFonts w:ascii="inherit" w:hAnsi="inherit"/>
          <w:szCs w:val="24"/>
        </w:rPr>
        <w:t xml:space="preserve"> </w:t>
      </w:r>
      <w:r w:rsidR="00C6214E">
        <w:rPr>
          <w:rStyle w:val="y2iqfc"/>
          <w:rFonts w:ascii="inherit" w:hAnsi="inherit"/>
          <w:szCs w:val="24"/>
        </w:rPr>
        <w:t>досегла</w:t>
      </w:r>
      <w:r w:rsidR="00CD0B0D" w:rsidRPr="00622222">
        <w:rPr>
          <w:rStyle w:val="y2iqfc"/>
          <w:rFonts w:ascii="inherit" w:hAnsi="inherit"/>
          <w:szCs w:val="24"/>
        </w:rPr>
        <w:t xml:space="preserve"> </w:t>
      </w:r>
      <w:r w:rsidR="00C6214E">
        <w:rPr>
          <w:rStyle w:val="y2iqfc"/>
          <w:rFonts w:ascii="inherit" w:hAnsi="inherit"/>
          <w:szCs w:val="24"/>
        </w:rPr>
        <w:t>више</w:t>
      </w:r>
      <w:r w:rsidR="00CD0B0D" w:rsidRPr="00622222">
        <w:rPr>
          <w:rStyle w:val="y2iqfc"/>
          <w:rFonts w:ascii="inherit" w:hAnsi="inherit"/>
          <w:szCs w:val="24"/>
        </w:rPr>
        <w:t xml:space="preserve"> </w:t>
      </w:r>
      <w:r w:rsidR="00C6214E">
        <w:rPr>
          <w:rStyle w:val="y2iqfc"/>
          <w:rFonts w:ascii="inherit" w:hAnsi="inherit"/>
          <w:szCs w:val="24"/>
        </w:rPr>
        <w:t>од</w:t>
      </w:r>
      <w:r w:rsidR="00CD0B0D" w:rsidRPr="00622222">
        <w:rPr>
          <w:rStyle w:val="y2iqfc"/>
          <w:rFonts w:ascii="inherit" w:hAnsi="inherit"/>
          <w:szCs w:val="24"/>
        </w:rPr>
        <w:t xml:space="preserve"> 30.000 </w:t>
      </w:r>
      <w:r w:rsidR="00C6214E">
        <w:rPr>
          <w:rStyle w:val="y2iqfc"/>
          <w:rFonts w:ascii="inherit" w:hAnsi="inherit"/>
          <w:szCs w:val="24"/>
        </w:rPr>
        <w:t>лица</w:t>
      </w:r>
      <w:r w:rsidR="00CD0B0D" w:rsidRPr="00622222">
        <w:rPr>
          <w:rStyle w:val="y2iqfc"/>
          <w:rFonts w:ascii="inherit" w:hAnsi="inherit"/>
          <w:szCs w:val="24"/>
        </w:rPr>
        <w:t xml:space="preserve"> </w:t>
      </w:r>
      <w:r w:rsidR="00C6214E">
        <w:rPr>
          <w:rStyle w:val="y2iqfc"/>
          <w:rFonts w:ascii="inherit" w:hAnsi="inherit"/>
          <w:szCs w:val="24"/>
        </w:rPr>
        <w:t>на</w:t>
      </w:r>
      <w:r w:rsidR="00CD0B0D" w:rsidRPr="00622222">
        <w:rPr>
          <w:rStyle w:val="y2iqfc"/>
          <w:rFonts w:ascii="inherit" w:hAnsi="inherit"/>
          <w:szCs w:val="24"/>
        </w:rPr>
        <w:t xml:space="preserve"> </w:t>
      </w:r>
      <w:r w:rsidR="00C6214E">
        <w:rPr>
          <w:rStyle w:val="y2iqfc"/>
          <w:rFonts w:ascii="inherit" w:hAnsi="inherit"/>
          <w:szCs w:val="24"/>
        </w:rPr>
        <w:t>друштвеним</w:t>
      </w:r>
      <w:r w:rsidR="00CD0B0D" w:rsidRPr="00622222">
        <w:rPr>
          <w:rStyle w:val="y2iqfc"/>
          <w:rFonts w:ascii="inherit" w:hAnsi="inherit"/>
          <w:szCs w:val="24"/>
        </w:rPr>
        <w:t xml:space="preserve"> </w:t>
      </w:r>
      <w:r w:rsidR="00C6214E">
        <w:rPr>
          <w:rStyle w:val="y2iqfc"/>
          <w:rFonts w:ascii="inherit" w:hAnsi="inherit"/>
          <w:szCs w:val="24"/>
        </w:rPr>
        <w:t>мрежама</w:t>
      </w:r>
      <w:r w:rsidR="00CD0B0D" w:rsidRPr="00622222">
        <w:rPr>
          <w:rStyle w:val="y2iqfc"/>
          <w:rFonts w:ascii="inherit" w:hAnsi="inherit"/>
          <w:szCs w:val="24"/>
        </w:rPr>
        <w:t xml:space="preserve">. </w:t>
      </w:r>
      <w:r w:rsidR="00C6214E">
        <w:rPr>
          <w:rStyle w:val="y2iqfc"/>
          <w:rFonts w:ascii="inherit" w:hAnsi="inherit"/>
          <w:szCs w:val="24"/>
        </w:rPr>
        <w:t>Два</w:t>
      </w:r>
      <w:r w:rsidR="00CD0B0D" w:rsidRPr="00622222">
        <w:rPr>
          <w:rStyle w:val="y2iqfc"/>
          <w:rFonts w:ascii="inherit" w:hAnsi="inherit"/>
          <w:szCs w:val="24"/>
        </w:rPr>
        <w:t xml:space="preserve"> </w:t>
      </w:r>
      <w:r w:rsidR="00C6214E">
        <w:rPr>
          <w:rStyle w:val="y2iqfc"/>
          <w:rFonts w:ascii="inherit" w:hAnsi="inherit"/>
          <w:szCs w:val="24"/>
        </w:rPr>
        <w:t>подкаста</w:t>
      </w:r>
      <w:r w:rsidR="00CD0B0D" w:rsidRPr="00622222">
        <w:rPr>
          <w:rStyle w:val="y2iqfc"/>
          <w:rFonts w:ascii="inherit" w:hAnsi="inherit"/>
          <w:szCs w:val="24"/>
        </w:rPr>
        <w:t xml:space="preserve"> </w:t>
      </w:r>
      <w:r w:rsidR="00C6214E">
        <w:rPr>
          <w:rStyle w:val="y2iqfc"/>
          <w:rFonts w:ascii="inherit" w:hAnsi="inherit"/>
          <w:szCs w:val="24"/>
        </w:rPr>
        <w:t>допринијела</w:t>
      </w:r>
      <w:r w:rsidR="00D30E48">
        <w:rPr>
          <w:rStyle w:val="y2iqfc"/>
          <w:rFonts w:ascii="inherit" w:hAnsi="inherit"/>
          <w:szCs w:val="24"/>
        </w:rPr>
        <w:t xml:space="preserve"> </w:t>
      </w:r>
      <w:r w:rsidR="00C6214E">
        <w:rPr>
          <w:rStyle w:val="y2iqfc"/>
          <w:rFonts w:ascii="inherit" w:hAnsi="inherit"/>
          <w:szCs w:val="24"/>
        </w:rPr>
        <w:t>су</w:t>
      </w:r>
      <w:r w:rsidR="00D30E48">
        <w:rPr>
          <w:rStyle w:val="y2iqfc"/>
          <w:rFonts w:ascii="inherit" w:hAnsi="inherit"/>
          <w:szCs w:val="24"/>
        </w:rPr>
        <w:t xml:space="preserve"> </w:t>
      </w:r>
      <w:r w:rsidR="00C6214E">
        <w:rPr>
          <w:rStyle w:val="y2iqfc"/>
          <w:rFonts w:ascii="inherit" w:hAnsi="inherit"/>
          <w:szCs w:val="24"/>
        </w:rPr>
        <w:t>ширењу</w:t>
      </w:r>
      <w:r w:rsidR="00D30E48">
        <w:rPr>
          <w:rStyle w:val="y2iqfc"/>
          <w:rFonts w:ascii="inherit" w:hAnsi="inherit"/>
          <w:szCs w:val="24"/>
        </w:rPr>
        <w:t xml:space="preserve"> </w:t>
      </w:r>
      <w:r w:rsidR="00C6214E">
        <w:rPr>
          <w:rStyle w:val="y2iqfc"/>
          <w:rFonts w:ascii="inherit" w:hAnsi="inherit"/>
          <w:szCs w:val="24"/>
        </w:rPr>
        <w:t>свијести</w:t>
      </w:r>
      <w:r w:rsidR="00CD0B0D" w:rsidRPr="00622222">
        <w:rPr>
          <w:rStyle w:val="y2iqfc"/>
          <w:rFonts w:ascii="inherit" w:hAnsi="inherit"/>
          <w:szCs w:val="24"/>
        </w:rPr>
        <w:t xml:space="preserve"> </w:t>
      </w:r>
      <w:r w:rsidR="00C6214E">
        <w:rPr>
          <w:rStyle w:val="y2iqfc"/>
          <w:rFonts w:ascii="inherit" w:hAnsi="inherit"/>
          <w:szCs w:val="24"/>
        </w:rPr>
        <w:t>о</w:t>
      </w:r>
      <w:r w:rsidR="00CD0B0D" w:rsidRPr="00622222">
        <w:rPr>
          <w:rStyle w:val="y2iqfc"/>
          <w:rFonts w:ascii="inherit" w:hAnsi="inherit"/>
          <w:szCs w:val="24"/>
        </w:rPr>
        <w:t xml:space="preserve"> </w:t>
      </w:r>
      <w:r w:rsidR="00C6214E">
        <w:rPr>
          <w:rStyle w:val="y2iqfc"/>
          <w:rFonts w:ascii="inherit" w:hAnsi="inherit"/>
          <w:szCs w:val="24"/>
        </w:rPr>
        <w:t>важности</w:t>
      </w:r>
      <w:r w:rsidR="00CD0B0D" w:rsidRPr="00622222">
        <w:rPr>
          <w:rStyle w:val="y2iqfc"/>
          <w:rFonts w:ascii="inherit" w:hAnsi="inherit"/>
          <w:szCs w:val="24"/>
        </w:rPr>
        <w:t xml:space="preserve"> </w:t>
      </w:r>
      <w:r w:rsidR="00C6214E">
        <w:rPr>
          <w:rStyle w:val="y2iqfc"/>
          <w:rFonts w:ascii="inherit" w:hAnsi="inherit"/>
          <w:szCs w:val="24"/>
        </w:rPr>
        <w:t>агенде</w:t>
      </w:r>
      <w:r w:rsidR="00CD0B0D" w:rsidRPr="00622222">
        <w:rPr>
          <w:rStyle w:val="y2iqfc"/>
          <w:rFonts w:ascii="inherit" w:hAnsi="inherit"/>
          <w:szCs w:val="24"/>
        </w:rPr>
        <w:t xml:space="preserve"> „</w:t>
      </w:r>
      <w:r w:rsidR="00C6214E">
        <w:rPr>
          <w:rStyle w:val="y2iqfc"/>
          <w:rFonts w:ascii="inherit" w:hAnsi="inherit"/>
          <w:szCs w:val="24"/>
        </w:rPr>
        <w:t>Жене</w:t>
      </w:r>
      <w:r w:rsidR="00CD0B0D" w:rsidRPr="00622222">
        <w:rPr>
          <w:rStyle w:val="y2iqfc"/>
          <w:rFonts w:ascii="inherit" w:hAnsi="inherit"/>
          <w:szCs w:val="24"/>
        </w:rPr>
        <w:t xml:space="preserve">, </w:t>
      </w:r>
      <w:r w:rsidR="00C6214E">
        <w:rPr>
          <w:rStyle w:val="y2iqfc"/>
          <w:rFonts w:ascii="inherit" w:hAnsi="inherit"/>
          <w:szCs w:val="24"/>
        </w:rPr>
        <w:t>мир</w:t>
      </w:r>
      <w:r w:rsidR="00CD0B0D" w:rsidRPr="00622222">
        <w:rPr>
          <w:rStyle w:val="y2iqfc"/>
          <w:rFonts w:ascii="inherit" w:hAnsi="inherit"/>
          <w:szCs w:val="24"/>
        </w:rPr>
        <w:t xml:space="preserve"> </w:t>
      </w:r>
      <w:r w:rsidR="00C6214E">
        <w:rPr>
          <w:rStyle w:val="y2iqfc"/>
          <w:rFonts w:ascii="inherit" w:hAnsi="inherit"/>
          <w:szCs w:val="24"/>
        </w:rPr>
        <w:t>и</w:t>
      </w:r>
      <w:r w:rsidR="00CD0B0D" w:rsidRPr="00622222">
        <w:rPr>
          <w:rStyle w:val="y2iqfc"/>
          <w:rFonts w:ascii="inherit" w:hAnsi="inherit"/>
          <w:szCs w:val="24"/>
        </w:rPr>
        <w:t xml:space="preserve"> </w:t>
      </w:r>
      <w:r w:rsidR="00365A25">
        <w:rPr>
          <w:rStyle w:val="y2iqfc"/>
          <w:rFonts w:ascii="inherit" w:hAnsi="inherit"/>
          <w:szCs w:val="24"/>
          <w:lang w:val="sr-Cyrl-BA"/>
        </w:rPr>
        <w:t>безбједност</w:t>
      </w:r>
      <w:r w:rsidR="00CD0B0D" w:rsidRPr="00622222">
        <w:rPr>
          <w:rStyle w:val="y2iqfc"/>
          <w:rFonts w:ascii="inherit" w:hAnsi="inherit"/>
          <w:szCs w:val="24"/>
        </w:rPr>
        <w:t xml:space="preserve">“ </w:t>
      </w:r>
      <w:r w:rsidR="00C6214E">
        <w:rPr>
          <w:rStyle w:val="y2iqfc"/>
          <w:rFonts w:ascii="inherit" w:hAnsi="inherit"/>
          <w:szCs w:val="24"/>
        </w:rPr>
        <w:t>у</w:t>
      </w:r>
      <w:r w:rsidR="00CD0B0D" w:rsidRPr="00622222">
        <w:rPr>
          <w:rStyle w:val="y2iqfc"/>
          <w:rFonts w:ascii="inherit" w:hAnsi="inherit"/>
          <w:szCs w:val="24"/>
        </w:rPr>
        <w:t xml:space="preserve"> </w:t>
      </w:r>
      <w:r w:rsidR="00C6214E">
        <w:rPr>
          <w:rStyle w:val="y2iqfc"/>
          <w:rFonts w:ascii="inherit" w:hAnsi="inherit"/>
          <w:szCs w:val="24"/>
        </w:rPr>
        <w:t>БиХ</w:t>
      </w:r>
      <w:r w:rsidR="00CD0B0D" w:rsidRPr="00622222">
        <w:rPr>
          <w:rStyle w:val="y2iqfc"/>
          <w:rFonts w:ascii="inherit" w:hAnsi="inherit"/>
          <w:szCs w:val="24"/>
        </w:rPr>
        <w:t xml:space="preserve">, </w:t>
      </w:r>
      <w:r w:rsidR="00C6214E">
        <w:rPr>
          <w:rStyle w:val="y2iqfc"/>
          <w:rFonts w:ascii="inherit" w:hAnsi="inherit"/>
          <w:szCs w:val="24"/>
        </w:rPr>
        <w:t>а</w:t>
      </w:r>
      <w:r w:rsidR="00CD0B0D" w:rsidRPr="00622222">
        <w:rPr>
          <w:rStyle w:val="y2iqfc"/>
          <w:rFonts w:ascii="inherit" w:hAnsi="inherit"/>
          <w:szCs w:val="24"/>
        </w:rPr>
        <w:t xml:space="preserve"> </w:t>
      </w:r>
      <w:r w:rsidR="00C6214E">
        <w:rPr>
          <w:rStyle w:val="y2iqfc"/>
          <w:rFonts w:ascii="inherit" w:hAnsi="inherit"/>
          <w:szCs w:val="24"/>
        </w:rPr>
        <w:t>међу</w:t>
      </w:r>
      <w:r w:rsidR="00CD0B0D" w:rsidRPr="00622222">
        <w:rPr>
          <w:rStyle w:val="y2iqfc"/>
          <w:rFonts w:ascii="inherit" w:hAnsi="inherit"/>
          <w:szCs w:val="24"/>
        </w:rPr>
        <w:t xml:space="preserve"> </w:t>
      </w:r>
      <w:r w:rsidR="00C6214E">
        <w:rPr>
          <w:rStyle w:val="y2iqfc"/>
          <w:rFonts w:ascii="inherit" w:hAnsi="inherit"/>
          <w:szCs w:val="24"/>
        </w:rPr>
        <w:t>учесницима</w:t>
      </w:r>
      <w:r w:rsidR="00CD0B0D" w:rsidRPr="00622222">
        <w:rPr>
          <w:rStyle w:val="y2iqfc"/>
          <w:rFonts w:ascii="inherit" w:hAnsi="inherit"/>
          <w:szCs w:val="24"/>
        </w:rPr>
        <w:t xml:space="preserve"> </w:t>
      </w:r>
      <w:r w:rsidR="00C6214E">
        <w:rPr>
          <w:rStyle w:val="y2iqfc"/>
          <w:rFonts w:ascii="inherit" w:hAnsi="inherit"/>
          <w:szCs w:val="24"/>
        </w:rPr>
        <w:t>подкаста</w:t>
      </w:r>
      <w:r w:rsidR="00CD0B0D" w:rsidRPr="00622222">
        <w:rPr>
          <w:rStyle w:val="y2iqfc"/>
          <w:rFonts w:ascii="inherit" w:hAnsi="inherit"/>
          <w:szCs w:val="24"/>
        </w:rPr>
        <w:t xml:space="preserve"> </w:t>
      </w:r>
      <w:r w:rsidR="00C6214E">
        <w:rPr>
          <w:rStyle w:val="y2iqfc"/>
          <w:rFonts w:ascii="inherit" w:hAnsi="inherit"/>
          <w:szCs w:val="24"/>
        </w:rPr>
        <w:t>биле</w:t>
      </w:r>
      <w:r w:rsidR="00CD0B0D" w:rsidRPr="00622222">
        <w:rPr>
          <w:rStyle w:val="y2iqfc"/>
          <w:rFonts w:ascii="inherit" w:hAnsi="inherit"/>
          <w:szCs w:val="24"/>
        </w:rPr>
        <w:t xml:space="preserve"> </w:t>
      </w:r>
      <w:r w:rsidR="00C6214E">
        <w:rPr>
          <w:rStyle w:val="y2iqfc"/>
          <w:rFonts w:ascii="inherit" w:hAnsi="inherit"/>
          <w:szCs w:val="24"/>
        </w:rPr>
        <w:t>су</w:t>
      </w:r>
      <w:r w:rsidR="00A77628" w:rsidRPr="00622222">
        <w:rPr>
          <w:rStyle w:val="y2iqfc"/>
          <w:rFonts w:ascii="inherit" w:hAnsi="inherit"/>
          <w:szCs w:val="24"/>
        </w:rPr>
        <w:t xml:space="preserve"> </w:t>
      </w:r>
      <w:r w:rsidR="00C6214E">
        <w:rPr>
          <w:rStyle w:val="y2iqfc"/>
          <w:rFonts w:ascii="inherit" w:hAnsi="inherit"/>
          <w:szCs w:val="24"/>
        </w:rPr>
        <w:t>и</w:t>
      </w:r>
      <w:r w:rsidR="00CD0B0D" w:rsidRPr="00622222">
        <w:rPr>
          <w:rStyle w:val="y2iqfc"/>
          <w:rFonts w:ascii="inherit" w:hAnsi="inherit"/>
          <w:szCs w:val="24"/>
        </w:rPr>
        <w:t xml:space="preserve"> </w:t>
      </w:r>
      <w:r w:rsidR="00C6214E">
        <w:rPr>
          <w:rStyle w:val="y2iqfc"/>
          <w:rFonts w:ascii="inherit" w:hAnsi="inherit"/>
          <w:szCs w:val="24"/>
        </w:rPr>
        <w:t>Резидентна</w:t>
      </w:r>
      <w:r w:rsidR="00CD0B0D" w:rsidRPr="00622222">
        <w:rPr>
          <w:rStyle w:val="y2iqfc"/>
          <w:rFonts w:ascii="inherit" w:hAnsi="inherit"/>
          <w:szCs w:val="24"/>
        </w:rPr>
        <w:t xml:space="preserve"> </w:t>
      </w:r>
      <w:r w:rsidR="00C6214E">
        <w:rPr>
          <w:rStyle w:val="y2iqfc"/>
          <w:rFonts w:ascii="inherit" w:hAnsi="inherit"/>
          <w:szCs w:val="24"/>
        </w:rPr>
        <w:t>координатор</w:t>
      </w:r>
      <w:r w:rsidR="00365A25">
        <w:rPr>
          <w:rStyle w:val="y2iqfc"/>
          <w:rFonts w:ascii="inherit" w:hAnsi="inherit"/>
          <w:szCs w:val="24"/>
          <w:lang w:val="sr-Cyrl-BA"/>
        </w:rPr>
        <w:t>ка</w:t>
      </w:r>
      <w:r w:rsidR="00CD0B0D" w:rsidRPr="00622222">
        <w:rPr>
          <w:rStyle w:val="y2iqfc"/>
          <w:rFonts w:ascii="inherit" w:hAnsi="inherit"/>
          <w:szCs w:val="24"/>
        </w:rPr>
        <w:t xml:space="preserve"> </w:t>
      </w:r>
      <w:r w:rsidR="00C6214E">
        <w:rPr>
          <w:rStyle w:val="y2iqfc"/>
          <w:rFonts w:ascii="inherit" w:hAnsi="inherit"/>
          <w:szCs w:val="24"/>
        </w:rPr>
        <w:t>УН</w:t>
      </w:r>
      <w:r w:rsidR="00CD0B0D" w:rsidRPr="00622222">
        <w:rPr>
          <w:rStyle w:val="y2iqfc"/>
          <w:rFonts w:ascii="inherit" w:hAnsi="inherit"/>
          <w:szCs w:val="24"/>
        </w:rPr>
        <w:t xml:space="preserve"> </w:t>
      </w:r>
      <w:r w:rsidR="00C6214E">
        <w:rPr>
          <w:rStyle w:val="y2iqfc"/>
          <w:rFonts w:ascii="inherit" w:hAnsi="inherit"/>
          <w:szCs w:val="24"/>
        </w:rPr>
        <w:t>у</w:t>
      </w:r>
      <w:r w:rsidR="00CD0B0D" w:rsidRPr="00622222">
        <w:rPr>
          <w:rStyle w:val="y2iqfc"/>
          <w:rFonts w:ascii="inherit" w:hAnsi="inherit"/>
          <w:szCs w:val="24"/>
        </w:rPr>
        <w:t xml:space="preserve"> </w:t>
      </w:r>
      <w:r w:rsidR="00C6214E">
        <w:rPr>
          <w:rStyle w:val="y2iqfc"/>
          <w:rFonts w:ascii="inherit" w:hAnsi="inherit"/>
          <w:szCs w:val="24"/>
        </w:rPr>
        <w:t>БиХ</w:t>
      </w:r>
      <w:r w:rsidR="00CD0B0D" w:rsidRPr="00622222">
        <w:rPr>
          <w:rStyle w:val="y2iqfc"/>
          <w:rFonts w:ascii="inherit" w:hAnsi="inherit"/>
          <w:szCs w:val="24"/>
        </w:rPr>
        <w:t xml:space="preserve"> </w:t>
      </w:r>
      <w:r w:rsidR="00C6214E">
        <w:rPr>
          <w:rStyle w:val="y2iqfc"/>
          <w:rFonts w:ascii="inherit" w:hAnsi="inherit"/>
          <w:szCs w:val="24"/>
        </w:rPr>
        <w:t>и</w:t>
      </w:r>
      <w:r w:rsidR="00CD0B0D" w:rsidRPr="00622222">
        <w:rPr>
          <w:rStyle w:val="y2iqfc"/>
          <w:rFonts w:ascii="inherit" w:hAnsi="inherit"/>
          <w:szCs w:val="24"/>
        </w:rPr>
        <w:t xml:space="preserve"> </w:t>
      </w:r>
      <w:r w:rsidR="00C6214E">
        <w:rPr>
          <w:rStyle w:val="y2iqfc"/>
          <w:rFonts w:ascii="inherit" w:hAnsi="inherit"/>
          <w:szCs w:val="24"/>
        </w:rPr>
        <w:t>директорица</w:t>
      </w:r>
      <w:r w:rsidR="00CD0B0D" w:rsidRPr="00622222">
        <w:rPr>
          <w:rStyle w:val="y2iqfc"/>
          <w:rFonts w:ascii="inherit" w:hAnsi="inherit"/>
          <w:szCs w:val="24"/>
        </w:rPr>
        <w:t xml:space="preserve"> </w:t>
      </w:r>
      <w:r w:rsidR="00C6214E">
        <w:rPr>
          <w:rStyle w:val="y2iqfc"/>
          <w:rFonts w:ascii="inherit" w:hAnsi="inherit"/>
          <w:szCs w:val="24"/>
        </w:rPr>
        <w:t>АР</w:t>
      </w:r>
      <w:r w:rsidR="00365A25">
        <w:rPr>
          <w:rStyle w:val="y2iqfc"/>
          <w:rFonts w:ascii="inherit" w:hAnsi="inherit"/>
          <w:szCs w:val="24"/>
          <w:lang w:val="sr-Cyrl-BA"/>
        </w:rPr>
        <w:t>П</w:t>
      </w:r>
      <w:r w:rsidR="00A77628">
        <w:rPr>
          <w:rStyle w:val="y2iqfc"/>
          <w:rFonts w:ascii="inherit" w:hAnsi="inherit"/>
          <w:szCs w:val="24"/>
        </w:rPr>
        <w:t xml:space="preserve"> </w:t>
      </w:r>
      <w:r w:rsidR="00C6214E">
        <w:rPr>
          <w:rStyle w:val="y2iqfc"/>
          <w:rFonts w:ascii="inherit" w:hAnsi="inherit"/>
          <w:szCs w:val="24"/>
        </w:rPr>
        <w:t>БиХ</w:t>
      </w:r>
      <w:r w:rsidR="00CD0B0D" w:rsidRPr="00622222">
        <w:rPr>
          <w:rStyle w:val="y2iqfc"/>
          <w:rFonts w:ascii="inherit" w:hAnsi="inherit"/>
          <w:szCs w:val="24"/>
        </w:rPr>
        <w:t xml:space="preserve"> </w:t>
      </w:r>
      <w:r w:rsidR="00C6214E">
        <w:rPr>
          <w:rStyle w:val="y2iqfc"/>
          <w:rFonts w:ascii="inherit" w:hAnsi="inherit"/>
          <w:szCs w:val="24"/>
        </w:rPr>
        <w:t>МЉПИ</w:t>
      </w:r>
      <w:r w:rsidR="008820CB">
        <w:rPr>
          <w:rStyle w:val="y2iqfc"/>
          <w:rFonts w:ascii="inherit" w:hAnsi="inherit"/>
          <w:szCs w:val="24"/>
        </w:rPr>
        <w:t xml:space="preserve"> </w:t>
      </w:r>
      <w:r w:rsidR="00C6214E">
        <w:rPr>
          <w:rStyle w:val="y2iqfc"/>
          <w:rFonts w:ascii="inherit" w:hAnsi="inherit"/>
          <w:szCs w:val="24"/>
        </w:rPr>
        <w:t>БиХ</w:t>
      </w:r>
      <w:r w:rsidR="00A77628">
        <w:rPr>
          <w:rStyle w:val="y2iqfc"/>
          <w:rFonts w:ascii="inherit" w:hAnsi="inherit"/>
          <w:szCs w:val="24"/>
        </w:rPr>
        <w:t>.</w:t>
      </w:r>
    </w:p>
    <w:p w:rsidR="007D31BE" w:rsidRPr="007D31BE" w:rsidRDefault="007D31BE" w:rsidP="0086268D">
      <w:pPr>
        <w:pStyle w:val="ListParagraph"/>
        <w:rPr>
          <w:rFonts w:ascii="Times New Roman" w:hAnsi="Times New Roman"/>
        </w:rPr>
      </w:pPr>
    </w:p>
    <w:p w:rsidR="007D31BE" w:rsidRDefault="00C6214E" w:rsidP="0086268D">
      <w:pPr>
        <w:pStyle w:val="ListParagraph"/>
        <w:numPr>
          <w:ilvl w:val="0"/>
          <w:numId w:val="17"/>
        </w:numPr>
        <w:ind w:right="14"/>
        <w:jc w:val="both"/>
        <w:rPr>
          <w:rFonts w:ascii="Times New Roman" w:hAnsi="Times New Roman"/>
        </w:rPr>
      </w:pPr>
      <w:r>
        <w:rPr>
          <w:rFonts w:ascii="Times New Roman" w:hAnsi="Times New Roman"/>
        </w:rPr>
        <w:t>У</w:t>
      </w:r>
      <w:r w:rsidR="00CD0B0D" w:rsidRPr="007D31BE">
        <w:rPr>
          <w:rFonts w:ascii="Times New Roman" w:hAnsi="Times New Roman"/>
        </w:rPr>
        <w:t xml:space="preserve"> </w:t>
      </w:r>
      <w:r>
        <w:rPr>
          <w:rFonts w:ascii="Times New Roman" w:hAnsi="Times New Roman"/>
        </w:rPr>
        <w:t>новембру</w:t>
      </w:r>
      <w:r w:rsidR="00CD0B0D" w:rsidRPr="007D31BE">
        <w:rPr>
          <w:rFonts w:ascii="Times New Roman" w:hAnsi="Times New Roman"/>
        </w:rPr>
        <w:t xml:space="preserve"> 2024. </w:t>
      </w:r>
      <w:r>
        <w:rPr>
          <w:rFonts w:ascii="Times New Roman" w:hAnsi="Times New Roman"/>
        </w:rPr>
        <w:t>године</w:t>
      </w:r>
      <w:r w:rsidR="009C6ECA">
        <w:rPr>
          <w:rFonts w:ascii="Times New Roman" w:hAnsi="Times New Roman"/>
        </w:rPr>
        <w:t xml:space="preserve"> </w:t>
      </w:r>
      <w:r>
        <w:rPr>
          <w:rFonts w:ascii="Times New Roman" w:hAnsi="Times New Roman"/>
        </w:rPr>
        <w:t>у</w:t>
      </w:r>
      <w:r w:rsidR="009C6ECA">
        <w:rPr>
          <w:rFonts w:ascii="Times New Roman" w:hAnsi="Times New Roman"/>
        </w:rPr>
        <w:t xml:space="preserve"> </w:t>
      </w:r>
      <w:r>
        <w:rPr>
          <w:rFonts w:ascii="Times New Roman" w:hAnsi="Times New Roman"/>
        </w:rPr>
        <w:t>Сарајеву</w:t>
      </w:r>
      <w:r w:rsidR="009C6ECA">
        <w:rPr>
          <w:rFonts w:ascii="Times New Roman" w:hAnsi="Times New Roman"/>
        </w:rPr>
        <w:t xml:space="preserve"> </w:t>
      </w:r>
      <w:r>
        <w:rPr>
          <w:rFonts w:ascii="Times New Roman" w:hAnsi="Times New Roman"/>
        </w:rPr>
        <w:t>је</w:t>
      </w:r>
      <w:r w:rsidR="00400320">
        <w:rPr>
          <w:rFonts w:ascii="Times New Roman" w:hAnsi="Times New Roman"/>
        </w:rPr>
        <w:t xml:space="preserve"> </w:t>
      </w:r>
      <w:r>
        <w:rPr>
          <w:rFonts w:ascii="Times New Roman" w:hAnsi="Times New Roman"/>
        </w:rPr>
        <w:t>одржана</w:t>
      </w:r>
      <w:r w:rsidR="009C6ECA">
        <w:rPr>
          <w:rFonts w:ascii="Times New Roman" w:hAnsi="Times New Roman"/>
        </w:rPr>
        <w:t xml:space="preserve"> „</w:t>
      </w:r>
      <w:r>
        <w:rPr>
          <w:rFonts w:ascii="Times New Roman" w:hAnsi="Times New Roman"/>
        </w:rPr>
        <w:t>Друга</w:t>
      </w:r>
      <w:r w:rsidR="009C6ECA">
        <w:rPr>
          <w:rFonts w:ascii="Times New Roman" w:hAnsi="Times New Roman"/>
        </w:rPr>
        <w:t xml:space="preserve"> </w:t>
      </w:r>
      <w:r>
        <w:rPr>
          <w:rFonts w:ascii="Times New Roman" w:hAnsi="Times New Roman"/>
        </w:rPr>
        <w:t>међународна</w:t>
      </w:r>
      <w:r w:rsidR="00CD0B0D" w:rsidRPr="007D31BE">
        <w:rPr>
          <w:rFonts w:ascii="Times New Roman" w:hAnsi="Times New Roman"/>
        </w:rPr>
        <w:t xml:space="preserve"> </w:t>
      </w:r>
      <w:r>
        <w:rPr>
          <w:rFonts w:ascii="Times New Roman" w:hAnsi="Times New Roman"/>
        </w:rPr>
        <w:t>конференција</w:t>
      </w:r>
      <w:r w:rsidR="00CD0B0D" w:rsidRPr="007D31BE">
        <w:rPr>
          <w:rFonts w:ascii="Times New Roman" w:hAnsi="Times New Roman"/>
        </w:rPr>
        <w:t xml:space="preserve"> </w:t>
      </w:r>
      <w:r>
        <w:rPr>
          <w:rFonts w:ascii="Times New Roman" w:hAnsi="Times New Roman"/>
        </w:rPr>
        <w:t>Мреже</w:t>
      </w:r>
      <w:r w:rsidR="00CD0B0D" w:rsidRPr="007D31BE">
        <w:rPr>
          <w:rFonts w:ascii="Times New Roman" w:hAnsi="Times New Roman"/>
        </w:rPr>
        <w:t xml:space="preserve"> </w:t>
      </w:r>
      <w:r>
        <w:rPr>
          <w:rFonts w:ascii="Times New Roman" w:hAnsi="Times New Roman"/>
        </w:rPr>
        <w:t>начелника</w:t>
      </w:r>
      <w:r w:rsidR="00CD0B0D" w:rsidRPr="007D31BE">
        <w:rPr>
          <w:rFonts w:ascii="Times New Roman" w:hAnsi="Times New Roman"/>
        </w:rPr>
        <w:t xml:space="preserve"> </w:t>
      </w:r>
      <w:r>
        <w:rPr>
          <w:rFonts w:ascii="Times New Roman" w:hAnsi="Times New Roman"/>
        </w:rPr>
        <w:t>заједничких</w:t>
      </w:r>
      <w:r w:rsidR="00CD0B0D" w:rsidRPr="007D31BE">
        <w:rPr>
          <w:rFonts w:ascii="Times New Roman" w:hAnsi="Times New Roman"/>
        </w:rPr>
        <w:t xml:space="preserve"> </w:t>
      </w:r>
      <w:r>
        <w:rPr>
          <w:rFonts w:ascii="Times New Roman" w:hAnsi="Times New Roman"/>
        </w:rPr>
        <w:t>штабова</w:t>
      </w:r>
      <w:r w:rsidR="00CD0B0D" w:rsidRPr="007D31BE">
        <w:rPr>
          <w:rFonts w:ascii="Times New Roman" w:hAnsi="Times New Roman"/>
        </w:rPr>
        <w:t xml:space="preserve"> </w:t>
      </w:r>
      <w:r>
        <w:rPr>
          <w:rFonts w:ascii="Times New Roman" w:hAnsi="Times New Roman"/>
        </w:rPr>
        <w:t>оружаних</w:t>
      </w:r>
      <w:r w:rsidR="00CD0B0D" w:rsidRPr="007D31BE">
        <w:rPr>
          <w:rFonts w:ascii="Times New Roman" w:hAnsi="Times New Roman"/>
        </w:rPr>
        <w:t xml:space="preserve"> </w:t>
      </w:r>
      <w:r>
        <w:rPr>
          <w:rFonts w:ascii="Times New Roman" w:hAnsi="Times New Roman"/>
        </w:rPr>
        <w:t>снага</w:t>
      </w:r>
      <w:r w:rsidR="009C6ECA">
        <w:rPr>
          <w:rFonts w:ascii="Times New Roman" w:hAnsi="Times New Roman"/>
        </w:rPr>
        <w:t xml:space="preserve"> </w:t>
      </w:r>
      <w:r w:rsidR="00CD0B0D" w:rsidRPr="007D31BE">
        <w:rPr>
          <w:rFonts w:ascii="Times New Roman" w:hAnsi="Times New Roman"/>
        </w:rPr>
        <w:t>“</w:t>
      </w:r>
      <w:r>
        <w:rPr>
          <w:rFonts w:ascii="Times New Roman" w:hAnsi="Times New Roman"/>
        </w:rPr>
        <w:t>Жене</w:t>
      </w:r>
      <w:r w:rsidR="00CD0B0D" w:rsidRPr="007D31BE">
        <w:rPr>
          <w:rFonts w:ascii="Times New Roman" w:hAnsi="Times New Roman"/>
        </w:rPr>
        <w:t xml:space="preserve">, </w:t>
      </w:r>
      <w:r>
        <w:rPr>
          <w:rFonts w:ascii="Times New Roman" w:hAnsi="Times New Roman"/>
        </w:rPr>
        <w:t>мир</w:t>
      </w:r>
      <w:r w:rsidR="00CD0B0D" w:rsidRPr="007D31BE">
        <w:rPr>
          <w:rFonts w:ascii="Times New Roman" w:hAnsi="Times New Roman"/>
        </w:rPr>
        <w:t xml:space="preserve"> </w:t>
      </w:r>
      <w:r>
        <w:rPr>
          <w:rFonts w:ascii="Times New Roman" w:hAnsi="Times New Roman"/>
        </w:rPr>
        <w:t>и</w:t>
      </w:r>
      <w:r w:rsidR="00CD0B0D" w:rsidRPr="007D31BE">
        <w:rPr>
          <w:rFonts w:ascii="Times New Roman" w:hAnsi="Times New Roman"/>
        </w:rPr>
        <w:t xml:space="preserve"> </w:t>
      </w:r>
      <w:r w:rsidR="00365A25">
        <w:rPr>
          <w:rFonts w:ascii="Times New Roman" w:hAnsi="Times New Roman"/>
          <w:lang w:val="sr-Cyrl-BA"/>
        </w:rPr>
        <w:t>безбједност</w:t>
      </w:r>
      <w:r w:rsidR="00CD0B0D" w:rsidRPr="007D31BE">
        <w:rPr>
          <w:rFonts w:ascii="Times New Roman" w:hAnsi="Times New Roman"/>
        </w:rPr>
        <w:t xml:space="preserve">“ </w:t>
      </w:r>
      <w:r>
        <w:rPr>
          <w:rFonts w:ascii="Times New Roman" w:hAnsi="Times New Roman"/>
        </w:rPr>
        <w:t>чији</w:t>
      </w:r>
      <w:r w:rsidR="00CD0B0D" w:rsidRPr="007D31BE">
        <w:rPr>
          <w:rFonts w:ascii="Times New Roman" w:hAnsi="Times New Roman"/>
        </w:rPr>
        <w:t xml:space="preserve"> </w:t>
      </w:r>
      <w:r>
        <w:rPr>
          <w:rFonts w:ascii="Times New Roman" w:hAnsi="Times New Roman"/>
        </w:rPr>
        <w:t>су</w:t>
      </w:r>
      <w:r w:rsidR="00CD0B0D" w:rsidRPr="007D31BE">
        <w:rPr>
          <w:rFonts w:ascii="Times New Roman" w:hAnsi="Times New Roman"/>
        </w:rPr>
        <w:t xml:space="preserve"> </w:t>
      </w:r>
      <w:r>
        <w:rPr>
          <w:rFonts w:ascii="Times New Roman" w:hAnsi="Times New Roman"/>
        </w:rPr>
        <w:t>домаћини</w:t>
      </w:r>
      <w:r w:rsidR="00CD0B0D" w:rsidRPr="007D31BE">
        <w:rPr>
          <w:rFonts w:ascii="Times New Roman" w:hAnsi="Times New Roman"/>
        </w:rPr>
        <w:t xml:space="preserve"> </w:t>
      </w:r>
      <w:r>
        <w:rPr>
          <w:rFonts w:ascii="Times New Roman" w:hAnsi="Times New Roman"/>
        </w:rPr>
        <w:t>били</w:t>
      </w:r>
      <w:r w:rsidR="00CD0B0D" w:rsidRPr="007D31BE">
        <w:rPr>
          <w:rFonts w:ascii="Times New Roman" w:hAnsi="Times New Roman"/>
        </w:rPr>
        <w:t xml:space="preserve"> </w:t>
      </w:r>
      <w:r>
        <w:rPr>
          <w:rFonts w:ascii="Times New Roman" w:hAnsi="Times New Roman"/>
        </w:rPr>
        <w:t>Заједнички</w:t>
      </w:r>
      <w:r w:rsidR="00CD0B0D" w:rsidRPr="007D31BE">
        <w:rPr>
          <w:rFonts w:ascii="Times New Roman" w:hAnsi="Times New Roman"/>
        </w:rPr>
        <w:t xml:space="preserve"> </w:t>
      </w:r>
      <w:r>
        <w:rPr>
          <w:rFonts w:ascii="Times New Roman" w:hAnsi="Times New Roman"/>
        </w:rPr>
        <w:t>штаб</w:t>
      </w:r>
      <w:r w:rsidR="00A77628">
        <w:rPr>
          <w:rFonts w:ascii="Times New Roman" w:hAnsi="Times New Roman"/>
        </w:rPr>
        <w:t xml:space="preserve"> </w:t>
      </w:r>
      <w:r>
        <w:rPr>
          <w:rFonts w:ascii="Times New Roman" w:hAnsi="Times New Roman"/>
        </w:rPr>
        <w:t>ОС</w:t>
      </w:r>
      <w:r w:rsidR="00A77628">
        <w:rPr>
          <w:rFonts w:ascii="Times New Roman" w:hAnsi="Times New Roman"/>
        </w:rPr>
        <w:t xml:space="preserve"> </w:t>
      </w:r>
      <w:r>
        <w:rPr>
          <w:rFonts w:ascii="Times New Roman" w:hAnsi="Times New Roman"/>
        </w:rPr>
        <w:t>БиХ</w:t>
      </w:r>
      <w:r w:rsidR="00A77628">
        <w:rPr>
          <w:rFonts w:ascii="Times New Roman" w:hAnsi="Times New Roman"/>
        </w:rPr>
        <w:t xml:space="preserve">, </w:t>
      </w:r>
      <w:r>
        <w:rPr>
          <w:rFonts w:ascii="Times New Roman" w:hAnsi="Times New Roman"/>
        </w:rPr>
        <w:t>у</w:t>
      </w:r>
      <w:r w:rsidR="00A77628">
        <w:rPr>
          <w:rFonts w:ascii="Times New Roman" w:hAnsi="Times New Roman"/>
        </w:rPr>
        <w:t xml:space="preserve"> </w:t>
      </w:r>
      <w:r>
        <w:rPr>
          <w:rFonts w:ascii="Times New Roman" w:hAnsi="Times New Roman"/>
        </w:rPr>
        <w:t>партнерству</w:t>
      </w:r>
      <w:r w:rsidR="00A77628">
        <w:rPr>
          <w:rFonts w:ascii="Times New Roman" w:hAnsi="Times New Roman"/>
        </w:rPr>
        <w:t xml:space="preserve"> </w:t>
      </w:r>
      <w:r>
        <w:rPr>
          <w:rFonts w:ascii="Times New Roman" w:hAnsi="Times New Roman"/>
        </w:rPr>
        <w:t>са</w:t>
      </w:r>
      <w:r w:rsidR="00CD0B0D" w:rsidRPr="007D31BE">
        <w:rPr>
          <w:rFonts w:ascii="Times New Roman" w:hAnsi="Times New Roman"/>
        </w:rPr>
        <w:t xml:space="preserve"> </w:t>
      </w:r>
      <w:r>
        <w:rPr>
          <w:rFonts w:ascii="Times New Roman" w:hAnsi="Times New Roman"/>
        </w:rPr>
        <w:t>Британском</w:t>
      </w:r>
      <w:r w:rsidR="00CD0B0D" w:rsidRPr="007D31BE">
        <w:rPr>
          <w:rFonts w:ascii="Times New Roman" w:hAnsi="Times New Roman"/>
        </w:rPr>
        <w:t xml:space="preserve"> </w:t>
      </w:r>
      <w:r>
        <w:rPr>
          <w:rFonts w:ascii="Times New Roman" w:hAnsi="Times New Roman"/>
        </w:rPr>
        <w:t>амбасадом</w:t>
      </w:r>
      <w:r w:rsidR="00CD0B0D" w:rsidRPr="007D31BE">
        <w:rPr>
          <w:rFonts w:ascii="Times New Roman" w:hAnsi="Times New Roman"/>
        </w:rPr>
        <w:t xml:space="preserve"> </w:t>
      </w:r>
      <w:r>
        <w:rPr>
          <w:rFonts w:ascii="Times New Roman" w:hAnsi="Times New Roman"/>
        </w:rPr>
        <w:t>и</w:t>
      </w:r>
      <w:r w:rsidR="00CD0B0D" w:rsidRPr="007D31BE">
        <w:rPr>
          <w:rFonts w:ascii="Times New Roman" w:hAnsi="Times New Roman"/>
        </w:rPr>
        <w:t xml:space="preserve"> </w:t>
      </w:r>
      <w:r>
        <w:rPr>
          <w:rFonts w:ascii="Times New Roman" w:hAnsi="Times New Roman"/>
        </w:rPr>
        <w:t>иста</w:t>
      </w:r>
      <w:r w:rsidR="00CD0B0D" w:rsidRPr="007D31BE">
        <w:rPr>
          <w:rFonts w:ascii="Times New Roman" w:hAnsi="Times New Roman"/>
        </w:rPr>
        <w:t xml:space="preserve"> </w:t>
      </w:r>
      <w:r>
        <w:rPr>
          <w:rFonts w:ascii="Times New Roman" w:hAnsi="Times New Roman"/>
        </w:rPr>
        <w:t>је</w:t>
      </w:r>
      <w:r w:rsidR="00CD0B0D" w:rsidRPr="007D31BE">
        <w:rPr>
          <w:rFonts w:ascii="Times New Roman" w:hAnsi="Times New Roman"/>
        </w:rPr>
        <w:t xml:space="preserve"> </w:t>
      </w:r>
      <w:r>
        <w:rPr>
          <w:rFonts w:ascii="Times New Roman" w:hAnsi="Times New Roman"/>
        </w:rPr>
        <w:t>резултирала</w:t>
      </w:r>
      <w:r w:rsidR="00CD0B0D" w:rsidRPr="007D31BE">
        <w:rPr>
          <w:rFonts w:ascii="Times New Roman" w:hAnsi="Times New Roman"/>
        </w:rPr>
        <w:t xml:space="preserve"> </w:t>
      </w:r>
      <w:r>
        <w:rPr>
          <w:rFonts w:ascii="Times New Roman" w:hAnsi="Times New Roman"/>
        </w:rPr>
        <w:t>усвајањем</w:t>
      </w:r>
      <w:r w:rsidR="00CD0B0D" w:rsidRPr="007D31BE">
        <w:rPr>
          <w:rFonts w:ascii="Times New Roman" w:hAnsi="Times New Roman"/>
        </w:rPr>
        <w:t xml:space="preserve"> </w:t>
      </w:r>
      <w:r>
        <w:rPr>
          <w:rFonts w:ascii="Times New Roman" w:hAnsi="Times New Roman"/>
        </w:rPr>
        <w:t>конкретних</w:t>
      </w:r>
      <w:r w:rsidR="00CD0B0D" w:rsidRPr="007D31BE">
        <w:rPr>
          <w:rFonts w:ascii="Times New Roman" w:hAnsi="Times New Roman"/>
        </w:rPr>
        <w:t xml:space="preserve"> </w:t>
      </w:r>
      <w:r>
        <w:rPr>
          <w:rFonts w:ascii="Times New Roman" w:hAnsi="Times New Roman"/>
        </w:rPr>
        <w:t>закључака</w:t>
      </w:r>
      <w:r w:rsidR="00CD0B0D" w:rsidRPr="007D31BE">
        <w:rPr>
          <w:rFonts w:ascii="Times New Roman" w:hAnsi="Times New Roman"/>
        </w:rPr>
        <w:t xml:space="preserve"> </w:t>
      </w:r>
      <w:r>
        <w:rPr>
          <w:rFonts w:ascii="Times New Roman" w:hAnsi="Times New Roman"/>
        </w:rPr>
        <w:t>за</w:t>
      </w:r>
      <w:r w:rsidR="00CD0B0D" w:rsidRPr="007D31BE">
        <w:rPr>
          <w:rFonts w:ascii="Times New Roman" w:hAnsi="Times New Roman"/>
        </w:rPr>
        <w:t xml:space="preserve"> </w:t>
      </w:r>
      <w:r>
        <w:rPr>
          <w:rFonts w:ascii="Times New Roman" w:hAnsi="Times New Roman"/>
        </w:rPr>
        <w:t>даљу</w:t>
      </w:r>
      <w:r w:rsidR="00CD0B0D" w:rsidRPr="007D31BE">
        <w:rPr>
          <w:rFonts w:ascii="Times New Roman" w:hAnsi="Times New Roman"/>
        </w:rPr>
        <w:t xml:space="preserve"> </w:t>
      </w:r>
      <w:r>
        <w:rPr>
          <w:rFonts w:ascii="Times New Roman" w:hAnsi="Times New Roman"/>
        </w:rPr>
        <w:t>интеграцију</w:t>
      </w:r>
      <w:r w:rsidR="00A77628">
        <w:rPr>
          <w:rFonts w:ascii="Times New Roman" w:hAnsi="Times New Roman"/>
        </w:rPr>
        <w:t xml:space="preserve"> </w:t>
      </w:r>
      <w:r>
        <w:rPr>
          <w:rFonts w:ascii="Times New Roman" w:hAnsi="Times New Roman"/>
        </w:rPr>
        <w:t>равноправности</w:t>
      </w:r>
      <w:r w:rsidR="00A77628">
        <w:rPr>
          <w:rFonts w:ascii="Times New Roman" w:hAnsi="Times New Roman"/>
        </w:rPr>
        <w:t xml:space="preserve"> </w:t>
      </w:r>
      <w:r>
        <w:rPr>
          <w:rFonts w:ascii="Times New Roman" w:hAnsi="Times New Roman"/>
        </w:rPr>
        <w:t>полова</w:t>
      </w:r>
      <w:r w:rsidR="00A77628">
        <w:rPr>
          <w:rFonts w:ascii="Times New Roman" w:hAnsi="Times New Roman"/>
        </w:rPr>
        <w:t xml:space="preserve"> </w:t>
      </w:r>
      <w:r>
        <w:rPr>
          <w:rFonts w:ascii="Times New Roman" w:hAnsi="Times New Roman"/>
        </w:rPr>
        <w:t>у</w:t>
      </w:r>
      <w:r w:rsidR="00A77628">
        <w:rPr>
          <w:rFonts w:ascii="Times New Roman" w:hAnsi="Times New Roman"/>
        </w:rPr>
        <w:t xml:space="preserve"> </w:t>
      </w:r>
      <w:r>
        <w:rPr>
          <w:rFonts w:ascii="Times New Roman" w:hAnsi="Times New Roman"/>
        </w:rPr>
        <w:t>ОС</w:t>
      </w:r>
      <w:r w:rsidR="00A77628">
        <w:rPr>
          <w:rFonts w:ascii="Times New Roman" w:hAnsi="Times New Roman"/>
        </w:rPr>
        <w:t xml:space="preserve"> </w:t>
      </w:r>
      <w:r>
        <w:rPr>
          <w:rFonts w:ascii="Times New Roman" w:hAnsi="Times New Roman"/>
        </w:rPr>
        <w:t>БиХ</w:t>
      </w:r>
      <w:r w:rsidR="00CD0B0D" w:rsidRPr="007D31BE">
        <w:rPr>
          <w:rFonts w:ascii="Times New Roman" w:hAnsi="Times New Roman"/>
        </w:rPr>
        <w:t xml:space="preserve">. </w:t>
      </w:r>
    </w:p>
    <w:p w:rsidR="007D31BE" w:rsidRPr="007D31BE" w:rsidRDefault="007D31BE" w:rsidP="0086268D">
      <w:pPr>
        <w:pStyle w:val="ListParagraph"/>
        <w:rPr>
          <w:rFonts w:ascii="Times New Roman" w:hAnsi="Times New Roman"/>
          <w:lang w:val="sr-Latn-BA"/>
        </w:rPr>
      </w:pPr>
    </w:p>
    <w:p w:rsidR="0042679D" w:rsidRPr="007D31BE" w:rsidRDefault="00C6214E" w:rsidP="0086268D">
      <w:pPr>
        <w:pStyle w:val="ListParagraph"/>
        <w:numPr>
          <w:ilvl w:val="0"/>
          <w:numId w:val="17"/>
        </w:numPr>
        <w:ind w:right="14"/>
        <w:jc w:val="both"/>
        <w:rPr>
          <w:rFonts w:ascii="Times New Roman" w:hAnsi="Times New Roman"/>
        </w:rPr>
      </w:pPr>
      <w:r>
        <w:rPr>
          <w:rFonts w:ascii="Times New Roman" w:hAnsi="Times New Roman"/>
          <w:lang w:val="sr-Latn-BA"/>
        </w:rPr>
        <w:t>У</w:t>
      </w:r>
      <w:r w:rsidR="0042679D" w:rsidRPr="007D31BE">
        <w:rPr>
          <w:rFonts w:ascii="Times New Roman" w:hAnsi="Times New Roman"/>
          <w:lang w:val="sr-Latn-BA"/>
        </w:rPr>
        <w:t xml:space="preserve"> 2024. </w:t>
      </w:r>
      <w:r>
        <w:rPr>
          <w:rFonts w:ascii="Times New Roman" w:hAnsi="Times New Roman"/>
          <w:lang w:val="sr-Latn-BA"/>
        </w:rPr>
        <w:t>години</w:t>
      </w:r>
      <w:r w:rsidR="0042679D" w:rsidRPr="007D31BE">
        <w:rPr>
          <w:rFonts w:ascii="Times New Roman" w:hAnsi="Times New Roman"/>
          <w:lang w:val="sr-Latn-BA"/>
        </w:rPr>
        <w:t xml:space="preserve">, </w:t>
      </w:r>
      <w:r w:rsidR="00365A25">
        <w:rPr>
          <w:rFonts w:ascii="Times New Roman" w:hAnsi="Times New Roman"/>
          <w:lang w:val="sr-Latn-BA"/>
        </w:rPr>
        <w:t>је</w:t>
      </w:r>
      <w:r w:rsidR="00365A25" w:rsidRPr="007D31BE">
        <w:rPr>
          <w:rFonts w:ascii="Times New Roman" w:hAnsi="Times New Roman"/>
          <w:lang w:val="sr-Cyrl-BA"/>
        </w:rPr>
        <w:t xml:space="preserve"> </w:t>
      </w:r>
      <w:r>
        <w:rPr>
          <w:rFonts w:ascii="Times New Roman" w:hAnsi="Times New Roman"/>
          <w:lang w:val="sr-Latn-BA"/>
        </w:rPr>
        <w:t>о</w:t>
      </w:r>
      <w:r>
        <w:rPr>
          <w:rFonts w:ascii="Times New Roman" w:hAnsi="Times New Roman"/>
          <w:lang w:val="sr-Cyrl-BA"/>
        </w:rPr>
        <w:t>држано</w:t>
      </w:r>
      <w:r w:rsidR="0042679D" w:rsidRPr="007D31BE">
        <w:rPr>
          <w:rFonts w:ascii="Times New Roman" w:hAnsi="Times New Roman"/>
          <w:lang w:val="sr-Cyrl-BA"/>
        </w:rPr>
        <w:t xml:space="preserve"> 46 </w:t>
      </w:r>
      <w:r>
        <w:rPr>
          <w:rFonts w:ascii="Times New Roman" w:hAnsi="Times New Roman"/>
          <w:lang w:val="sr-Cyrl-BA"/>
        </w:rPr>
        <w:t>пром</w:t>
      </w:r>
      <w:r>
        <w:rPr>
          <w:rFonts w:ascii="Times New Roman" w:hAnsi="Times New Roman"/>
          <w:lang w:val="hr-HR"/>
        </w:rPr>
        <w:t>оција</w:t>
      </w:r>
      <w:r w:rsidR="0042679D" w:rsidRPr="007D31BE">
        <w:rPr>
          <w:rFonts w:ascii="Times New Roman" w:hAnsi="Times New Roman"/>
          <w:lang w:val="sr-Cyrl-BA"/>
        </w:rPr>
        <w:t xml:space="preserve"> </w:t>
      </w:r>
      <w:r>
        <w:rPr>
          <w:rFonts w:ascii="Times New Roman" w:hAnsi="Times New Roman"/>
          <w:lang w:val="sr-Cyrl-BA"/>
        </w:rPr>
        <w:t>у</w:t>
      </w:r>
      <w:r w:rsidR="0042679D" w:rsidRPr="007D31BE">
        <w:rPr>
          <w:rFonts w:ascii="Times New Roman" w:hAnsi="Times New Roman"/>
          <w:lang w:val="sr-Cyrl-BA"/>
        </w:rPr>
        <w:t xml:space="preserve"> </w:t>
      </w:r>
      <w:r>
        <w:rPr>
          <w:rFonts w:ascii="Times New Roman" w:hAnsi="Times New Roman"/>
          <w:lang w:val="sr-Cyrl-BA"/>
        </w:rPr>
        <w:t>различитим</w:t>
      </w:r>
      <w:r w:rsidR="0042679D" w:rsidRPr="007D31BE">
        <w:rPr>
          <w:rFonts w:ascii="Times New Roman" w:hAnsi="Times New Roman"/>
          <w:lang w:val="sr-Cyrl-BA"/>
        </w:rPr>
        <w:t xml:space="preserve"> </w:t>
      </w:r>
      <w:r>
        <w:rPr>
          <w:rFonts w:ascii="Times New Roman" w:hAnsi="Times New Roman"/>
          <w:lang w:val="sr-Cyrl-BA"/>
        </w:rPr>
        <w:t>средњим</w:t>
      </w:r>
      <w:r w:rsidR="0042679D" w:rsidRPr="007D31BE">
        <w:rPr>
          <w:rFonts w:ascii="Times New Roman" w:hAnsi="Times New Roman"/>
          <w:lang w:val="sr-Cyrl-BA"/>
        </w:rPr>
        <w:t xml:space="preserve"> </w:t>
      </w:r>
      <w:r>
        <w:rPr>
          <w:rFonts w:ascii="Times New Roman" w:hAnsi="Times New Roman"/>
          <w:lang w:val="sr-Cyrl-BA"/>
        </w:rPr>
        <w:t>школама</w:t>
      </w:r>
      <w:r w:rsidR="0042679D" w:rsidRPr="007D31BE">
        <w:rPr>
          <w:rFonts w:ascii="Times New Roman" w:hAnsi="Times New Roman"/>
          <w:lang w:val="sr-Cyrl-BA"/>
        </w:rPr>
        <w:t xml:space="preserve"> </w:t>
      </w:r>
      <w:r>
        <w:rPr>
          <w:rFonts w:ascii="Times New Roman" w:hAnsi="Times New Roman"/>
          <w:lang w:val="sr-Cyrl-BA"/>
        </w:rPr>
        <w:t>на</w:t>
      </w:r>
      <w:r w:rsidR="0042679D" w:rsidRPr="007D31BE">
        <w:rPr>
          <w:rFonts w:ascii="Times New Roman" w:hAnsi="Times New Roman"/>
          <w:lang w:val="sr-Cyrl-BA"/>
        </w:rPr>
        <w:t xml:space="preserve"> </w:t>
      </w:r>
      <w:r>
        <w:rPr>
          <w:rFonts w:ascii="Times New Roman" w:hAnsi="Times New Roman"/>
          <w:lang w:val="sr-Cyrl-BA"/>
        </w:rPr>
        <w:t>простору</w:t>
      </w:r>
      <w:r w:rsidR="0042679D" w:rsidRPr="007D31BE">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42679D" w:rsidRPr="007D31BE">
        <w:rPr>
          <w:rFonts w:ascii="Times New Roman" w:hAnsi="Times New Roman"/>
          <w:lang w:val="sr-Cyrl-BA"/>
        </w:rPr>
        <w:t xml:space="preserve"> </w:t>
      </w:r>
      <w:r>
        <w:rPr>
          <w:rFonts w:ascii="Times New Roman" w:hAnsi="Times New Roman"/>
          <w:lang w:val="sr-Cyrl-BA"/>
        </w:rPr>
        <w:t>за</w:t>
      </w:r>
      <w:r w:rsidR="0042679D" w:rsidRPr="007D31BE">
        <w:rPr>
          <w:rFonts w:ascii="Times New Roman" w:hAnsi="Times New Roman"/>
          <w:lang w:val="sr-Cyrl-BA"/>
        </w:rPr>
        <w:t xml:space="preserve"> </w:t>
      </w:r>
      <w:r>
        <w:rPr>
          <w:rFonts w:ascii="Times New Roman" w:hAnsi="Times New Roman"/>
          <w:lang w:val="sr-Cyrl-BA"/>
        </w:rPr>
        <w:t>ученике</w:t>
      </w:r>
      <w:r w:rsidR="0042679D" w:rsidRPr="007D31BE">
        <w:rPr>
          <w:rFonts w:ascii="Times New Roman" w:hAnsi="Times New Roman"/>
          <w:lang w:val="sr-Cyrl-BA"/>
        </w:rPr>
        <w:t xml:space="preserve"> </w:t>
      </w:r>
      <w:r>
        <w:rPr>
          <w:rFonts w:ascii="Times New Roman" w:hAnsi="Times New Roman"/>
          <w:lang w:val="sr-Cyrl-BA"/>
        </w:rPr>
        <w:t>других</w:t>
      </w:r>
      <w:r w:rsidR="0042679D" w:rsidRPr="007D31BE">
        <w:rPr>
          <w:rFonts w:ascii="Times New Roman" w:hAnsi="Times New Roman"/>
          <w:lang w:val="sr-Cyrl-BA"/>
        </w:rPr>
        <w:t xml:space="preserve"> </w:t>
      </w:r>
      <w:r>
        <w:rPr>
          <w:rFonts w:ascii="Times New Roman" w:hAnsi="Times New Roman"/>
          <w:lang w:val="sr-Cyrl-BA"/>
        </w:rPr>
        <w:t>разреда</w:t>
      </w:r>
      <w:r w:rsidR="00A77628">
        <w:rPr>
          <w:rFonts w:ascii="Times New Roman" w:hAnsi="Times New Roman"/>
          <w:lang w:val="hr-HR"/>
        </w:rPr>
        <w:t>,</w:t>
      </w:r>
      <w:r w:rsidR="0042679D" w:rsidRPr="007D31BE">
        <w:rPr>
          <w:rFonts w:ascii="Times New Roman" w:hAnsi="Times New Roman"/>
          <w:lang w:val="sr-Cyrl-BA"/>
        </w:rPr>
        <w:t xml:space="preserve"> </w:t>
      </w:r>
      <w:r>
        <w:rPr>
          <w:rFonts w:ascii="Times New Roman" w:hAnsi="Times New Roman"/>
          <w:lang w:val="sr-Cyrl-BA"/>
        </w:rPr>
        <w:t>а</w:t>
      </w:r>
      <w:r w:rsidR="0042679D" w:rsidRPr="007D31BE">
        <w:rPr>
          <w:rFonts w:ascii="Times New Roman" w:hAnsi="Times New Roman"/>
          <w:lang w:val="sr-Cyrl-BA"/>
        </w:rPr>
        <w:t xml:space="preserve"> </w:t>
      </w:r>
      <w:r>
        <w:rPr>
          <w:rFonts w:ascii="Times New Roman" w:hAnsi="Times New Roman"/>
          <w:lang w:val="sr-Cyrl-BA"/>
        </w:rPr>
        <w:t>који</w:t>
      </w:r>
      <w:r w:rsidR="0042679D" w:rsidRPr="007D31BE">
        <w:rPr>
          <w:rFonts w:ascii="Times New Roman" w:hAnsi="Times New Roman"/>
          <w:lang w:val="sr-Cyrl-BA"/>
        </w:rPr>
        <w:t xml:space="preserve"> </w:t>
      </w:r>
      <w:r>
        <w:rPr>
          <w:rFonts w:ascii="Times New Roman" w:hAnsi="Times New Roman"/>
          <w:lang w:val="sr-Cyrl-BA"/>
        </w:rPr>
        <w:t>желе</w:t>
      </w:r>
      <w:r w:rsidR="0042679D" w:rsidRPr="007D31BE">
        <w:rPr>
          <w:rFonts w:ascii="Times New Roman" w:hAnsi="Times New Roman"/>
          <w:lang w:val="sr-Cyrl-BA"/>
        </w:rPr>
        <w:t xml:space="preserve"> </w:t>
      </w:r>
      <w:r>
        <w:rPr>
          <w:rFonts w:ascii="Times New Roman" w:hAnsi="Times New Roman"/>
          <w:lang w:val="sr-Cyrl-BA"/>
        </w:rPr>
        <w:t>да</w:t>
      </w:r>
      <w:r w:rsidR="00A77628">
        <w:rPr>
          <w:rFonts w:ascii="Times New Roman" w:hAnsi="Times New Roman"/>
          <w:lang w:val="hr-HR"/>
        </w:rPr>
        <w:t xml:space="preserve"> </w:t>
      </w:r>
      <w:r>
        <w:rPr>
          <w:rFonts w:ascii="Times New Roman" w:hAnsi="Times New Roman"/>
          <w:lang w:val="hr-HR"/>
        </w:rPr>
        <w:t>се</w:t>
      </w:r>
      <w:r w:rsidR="0042679D" w:rsidRPr="007D31BE">
        <w:rPr>
          <w:rFonts w:ascii="Times New Roman" w:hAnsi="Times New Roman"/>
          <w:lang w:val="sr-Cyrl-BA"/>
        </w:rPr>
        <w:t xml:space="preserve"> </w:t>
      </w:r>
      <w:r>
        <w:rPr>
          <w:rFonts w:ascii="Times New Roman" w:hAnsi="Times New Roman"/>
          <w:lang w:val="sr-Cyrl-BA"/>
        </w:rPr>
        <w:t>упишу</w:t>
      </w:r>
      <w:r w:rsidR="00A77628">
        <w:rPr>
          <w:rFonts w:ascii="Times New Roman" w:hAnsi="Times New Roman"/>
          <w:lang w:val="hr-HR"/>
        </w:rPr>
        <w:t xml:space="preserve"> </w:t>
      </w:r>
      <w:r>
        <w:rPr>
          <w:rFonts w:ascii="Times New Roman" w:hAnsi="Times New Roman"/>
          <w:lang w:val="hr-HR"/>
        </w:rPr>
        <w:t>у</w:t>
      </w:r>
      <w:r w:rsidR="0042679D" w:rsidRPr="007D31BE">
        <w:rPr>
          <w:rFonts w:ascii="Times New Roman" w:hAnsi="Times New Roman"/>
          <w:lang w:val="sr-Cyrl-BA"/>
        </w:rPr>
        <w:t xml:space="preserve"> </w:t>
      </w:r>
      <w:r>
        <w:rPr>
          <w:rFonts w:ascii="Times New Roman" w:hAnsi="Times New Roman"/>
          <w:lang w:val="sr-Cyrl-BA"/>
        </w:rPr>
        <w:t>СШУП</w:t>
      </w:r>
      <w:r w:rsidR="0042679D" w:rsidRPr="007D31BE">
        <w:rPr>
          <w:rFonts w:ascii="Times New Roman" w:hAnsi="Times New Roman"/>
          <w:lang w:val="sr-Cyrl-BA"/>
        </w:rPr>
        <w:t>.</w:t>
      </w:r>
      <w:r w:rsidR="0042679D" w:rsidRPr="007D31BE">
        <w:rPr>
          <w:rFonts w:ascii="Times New Roman" w:hAnsi="Times New Roman"/>
          <w:lang w:val="sr-Latn-BA"/>
        </w:rPr>
        <w:t xml:space="preserve"> </w:t>
      </w:r>
      <w:r>
        <w:rPr>
          <w:rFonts w:ascii="Times New Roman" w:hAnsi="Times New Roman"/>
          <w:lang w:val="sr-Cyrl-BA"/>
        </w:rPr>
        <w:t>Константна</w:t>
      </w:r>
      <w:r w:rsidR="0042679D" w:rsidRPr="007D31BE">
        <w:rPr>
          <w:rFonts w:ascii="Times New Roman" w:hAnsi="Times New Roman"/>
          <w:lang w:val="sr-Cyrl-BA"/>
        </w:rPr>
        <w:t xml:space="preserve"> </w:t>
      </w:r>
      <w:r>
        <w:rPr>
          <w:rFonts w:ascii="Times New Roman" w:hAnsi="Times New Roman"/>
          <w:lang w:val="sr-Cyrl-BA"/>
        </w:rPr>
        <w:t>пром</w:t>
      </w:r>
      <w:r>
        <w:rPr>
          <w:rFonts w:ascii="Times New Roman" w:hAnsi="Times New Roman"/>
          <w:lang w:val="hr-HR"/>
        </w:rPr>
        <w:t>оција</w:t>
      </w:r>
      <w:r w:rsidR="0042679D" w:rsidRPr="007D31BE">
        <w:rPr>
          <w:rFonts w:ascii="Times New Roman" w:hAnsi="Times New Roman"/>
          <w:lang w:val="sr-Cyrl-BA"/>
        </w:rPr>
        <w:t xml:space="preserve"> </w:t>
      </w:r>
      <w:r>
        <w:rPr>
          <w:rFonts w:ascii="Times New Roman" w:hAnsi="Times New Roman"/>
          <w:lang w:val="sr-Cyrl-BA"/>
        </w:rPr>
        <w:t>жена</w:t>
      </w:r>
      <w:r w:rsidR="0042679D" w:rsidRPr="007D31BE">
        <w:rPr>
          <w:rFonts w:ascii="Times New Roman" w:hAnsi="Times New Roman"/>
          <w:lang w:val="sr-Cyrl-BA"/>
        </w:rPr>
        <w:t xml:space="preserve"> </w:t>
      </w:r>
      <w:r>
        <w:rPr>
          <w:rFonts w:ascii="Times New Roman" w:hAnsi="Times New Roman"/>
          <w:lang w:val="sr-Cyrl-BA"/>
        </w:rPr>
        <w:t>у</w:t>
      </w:r>
      <w:r w:rsidR="0042679D" w:rsidRPr="007D31BE">
        <w:rPr>
          <w:rFonts w:ascii="Times New Roman" w:hAnsi="Times New Roman"/>
          <w:lang w:val="sr-Cyrl-BA"/>
        </w:rPr>
        <w:t xml:space="preserve"> </w:t>
      </w:r>
      <w:r>
        <w:rPr>
          <w:rFonts w:ascii="Times New Roman" w:hAnsi="Times New Roman"/>
          <w:lang w:val="sr-Cyrl-BA"/>
        </w:rPr>
        <w:t>полицији</w:t>
      </w:r>
      <w:r w:rsidR="0042679D" w:rsidRPr="007D31BE">
        <w:rPr>
          <w:rFonts w:ascii="Times New Roman" w:hAnsi="Times New Roman"/>
          <w:lang w:val="sr-Cyrl-BA"/>
        </w:rPr>
        <w:t xml:space="preserve"> </w:t>
      </w:r>
      <w:r w:rsidR="00365A25">
        <w:rPr>
          <w:rFonts w:ascii="Times New Roman" w:hAnsi="Times New Roman"/>
          <w:lang w:val="sr-Cyrl-BA"/>
        </w:rPr>
        <w:t xml:space="preserve">се </w:t>
      </w:r>
      <w:r>
        <w:rPr>
          <w:rFonts w:ascii="Times New Roman" w:hAnsi="Times New Roman"/>
          <w:lang w:val="sr-Cyrl-BA"/>
        </w:rPr>
        <w:t>врши</w:t>
      </w:r>
      <w:r w:rsidR="0042679D" w:rsidRPr="007D31BE">
        <w:rPr>
          <w:rFonts w:ascii="Times New Roman" w:hAnsi="Times New Roman"/>
          <w:lang w:val="sr-Cyrl-BA"/>
        </w:rPr>
        <w:t xml:space="preserve"> </w:t>
      </w:r>
      <w:r>
        <w:rPr>
          <w:rFonts w:ascii="Times New Roman" w:hAnsi="Times New Roman"/>
          <w:lang w:val="sr-Cyrl-BA"/>
        </w:rPr>
        <w:t>кроз</w:t>
      </w:r>
      <w:r w:rsidR="0042679D" w:rsidRPr="007D31BE">
        <w:rPr>
          <w:rFonts w:ascii="Times New Roman" w:hAnsi="Times New Roman"/>
          <w:lang w:val="sr-Cyrl-BA"/>
        </w:rPr>
        <w:t xml:space="preserve"> </w:t>
      </w:r>
      <w:r>
        <w:rPr>
          <w:rFonts w:ascii="Times New Roman" w:hAnsi="Times New Roman"/>
          <w:lang w:val="sr-Cyrl-BA"/>
        </w:rPr>
        <w:t>званичне</w:t>
      </w:r>
      <w:r w:rsidR="0042679D" w:rsidRPr="007D31BE">
        <w:rPr>
          <w:rFonts w:ascii="Times New Roman" w:hAnsi="Times New Roman"/>
          <w:lang w:val="sr-Cyrl-BA"/>
        </w:rPr>
        <w:t xml:space="preserve"> </w:t>
      </w:r>
      <w:r>
        <w:rPr>
          <w:rFonts w:ascii="Times New Roman" w:hAnsi="Times New Roman"/>
          <w:lang w:val="sr-Cyrl-BA"/>
        </w:rPr>
        <w:t>странице</w:t>
      </w:r>
      <w:r w:rsidR="0042679D" w:rsidRPr="007D31BE">
        <w:rPr>
          <w:rFonts w:ascii="Times New Roman" w:hAnsi="Times New Roman"/>
          <w:lang w:val="sr-Cyrl-BA"/>
        </w:rPr>
        <w:t xml:space="preserve"> </w:t>
      </w:r>
      <w:r>
        <w:rPr>
          <w:rFonts w:ascii="Times New Roman" w:hAnsi="Times New Roman"/>
          <w:lang w:val="sr-Cyrl-BA"/>
        </w:rPr>
        <w:t>МУП</w:t>
      </w:r>
      <w:r w:rsidR="0042679D" w:rsidRPr="007D31BE">
        <w:rPr>
          <w:rFonts w:ascii="Times New Roman" w:hAnsi="Times New Roman"/>
          <w:lang w:val="sr-Cyrl-BA"/>
        </w:rPr>
        <w:t xml:space="preserve"> </w:t>
      </w:r>
      <w:r>
        <w:rPr>
          <w:rFonts w:ascii="Times New Roman" w:hAnsi="Times New Roman"/>
          <w:lang w:val="sr-Cyrl-BA"/>
        </w:rPr>
        <w:t>РС</w:t>
      </w:r>
      <w:r w:rsidR="0042679D" w:rsidRPr="007D31BE">
        <w:rPr>
          <w:rFonts w:ascii="Times New Roman" w:hAnsi="Times New Roman"/>
          <w:lang w:val="sr-Cyrl-BA"/>
        </w:rPr>
        <w:t xml:space="preserve"> </w:t>
      </w:r>
      <w:r>
        <w:rPr>
          <w:rFonts w:ascii="Times New Roman" w:hAnsi="Times New Roman"/>
          <w:lang w:val="sr-Cyrl-BA"/>
        </w:rPr>
        <w:t>и</w:t>
      </w:r>
      <w:r w:rsidR="0042679D" w:rsidRPr="007D31BE">
        <w:rPr>
          <w:rFonts w:ascii="Times New Roman" w:hAnsi="Times New Roman"/>
          <w:lang w:val="sr-Cyrl-BA"/>
        </w:rPr>
        <w:t xml:space="preserve"> </w:t>
      </w:r>
      <w:r>
        <w:rPr>
          <w:rFonts w:ascii="Times New Roman" w:hAnsi="Times New Roman"/>
          <w:lang w:val="sr-Cyrl-BA"/>
        </w:rPr>
        <w:t>СШУП</w:t>
      </w:r>
      <w:r w:rsidR="0042679D" w:rsidRPr="007D31BE">
        <w:rPr>
          <w:rFonts w:ascii="Times New Roman" w:hAnsi="Times New Roman"/>
          <w:lang w:val="sr-Cyrl-BA"/>
        </w:rPr>
        <w:t xml:space="preserve">, </w:t>
      </w:r>
      <w:r>
        <w:rPr>
          <w:rFonts w:ascii="Times New Roman" w:hAnsi="Times New Roman"/>
          <w:lang w:val="bs-Latn-BA"/>
        </w:rPr>
        <w:t>као</w:t>
      </w:r>
      <w:r w:rsidR="009C6ECA">
        <w:rPr>
          <w:rFonts w:ascii="Times New Roman" w:hAnsi="Times New Roman"/>
          <w:lang w:val="bs-Latn-BA"/>
        </w:rPr>
        <w:t xml:space="preserve"> </w:t>
      </w:r>
      <w:r>
        <w:rPr>
          <w:rFonts w:ascii="Times New Roman" w:hAnsi="Times New Roman"/>
          <w:lang w:val="bs-Latn-BA"/>
        </w:rPr>
        <w:t>и</w:t>
      </w:r>
      <w:r w:rsidR="0042679D" w:rsidRPr="007D31BE">
        <w:rPr>
          <w:rFonts w:ascii="Times New Roman" w:hAnsi="Times New Roman"/>
          <w:lang w:val="sr-Cyrl-BA"/>
        </w:rPr>
        <w:t xml:space="preserve"> </w:t>
      </w:r>
      <w:r>
        <w:rPr>
          <w:rFonts w:ascii="Times New Roman" w:hAnsi="Times New Roman"/>
          <w:lang w:val="sr-Cyrl-BA"/>
        </w:rPr>
        <w:t>кроз</w:t>
      </w:r>
      <w:r w:rsidR="0042679D" w:rsidRPr="007D31BE">
        <w:rPr>
          <w:rFonts w:ascii="Times New Roman" w:hAnsi="Times New Roman"/>
          <w:lang w:val="sr-Cyrl-BA"/>
        </w:rPr>
        <w:t xml:space="preserve"> </w:t>
      </w:r>
      <w:r>
        <w:rPr>
          <w:rFonts w:ascii="Times New Roman" w:hAnsi="Times New Roman"/>
          <w:lang w:val="sr-Cyrl-BA"/>
        </w:rPr>
        <w:t>званичне</w:t>
      </w:r>
      <w:r w:rsidR="0042679D" w:rsidRPr="007D31BE">
        <w:rPr>
          <w:rFonts w:ascii="Times New Roman" w:hAnsi="Times New Roman"/>
          <w:lang w:val="sr-Cyrl-BA"/>
        </w:rPr>
        <w:t xml:space="preserve"> </w:t>
      </w:r>
      <w:r>
        <w:rPr>
          <w:rFonts w:ascii="Times New Roman" w:hAnsi="Times New Roman"/>
          <w:lang w:val="sr-Cyrl-BA"/>
        </w:rPr>
        <w:t>странице</w:t>
      </w:r>
      <w:r w:rsidR="0042679D" w:rsidRPr="007D31BE">
        <w:rPr>
          <w:rFonts w:ascii="Times New Roman" w:hAnsi="Times New Roman"/>
          <w:lang w:val="sr-Cyrl-BA"/>
        </w:rPr>
        <w:t xml:space="preserve"> </w:t>
      </w:r>
      <w:r>
        <w:rPr>
          <w:rFonts w:ascii="Times New Roman" w:hAnsi="Times New Roman"/>
          <w:lang w:val="sr-Cyrl-BA"/>
        </w:rPr>
        <w:t>на</w:t>
      </w:r>
      <w:r w:rsidR="0042679D" w:rsidRPr="007D31BE">
        <w:rPr>
          <w:rFonts w:ascii="Times New Roman" w:hAnsi="Times New Roman"/>
          <w:lang w:val="sr-Cyrl-BA"/>
        </w:rPr>
        <w:t xml:space="preserve"> </w:t>
      </w:r>
      <w:r>
        <w:rPr>
          <w:rFonts w:ascii="Times New Roman" w:hAnsi="Times New Roman"/>
          <w:lang w:val="sr-Cyrl-BA"/>
        </w:rPr>
        <w:t>друштвеним</w:t>
      </w:r>
      <w:r w:rsidR="0042679D" w:rsidRPr="007D31BE">
        <w:rPr>
          <w:rFonts w:ascii="Times New Roman" w:hAnsi="Times New Roman"/>
          <w:lang w:val="sr-Cyrl-BA"/>
        </w:rPr>
        <w:t xml:space="preserve"> </w:t>
      </w:r>
      <w:r>
        <w:rPr>
          <w:rFonts w:ascii="Times New Roman" w:hAnsi="Times New Roman"/>
          <w:lang w:val="sr-Cyrl-BA"/>
        </w:rPr>
        <w:t>мрежама</w:t>
      </w:r>
      <w:r w:rsidR="0042679D" w:rsidRPr="007D31BE">
        <w:rPr>
          <w:rFonts w:ascii="Times New Roman" w:hAnsi="Times New Roman"/>
          <w:lang w:val="sr-Cyrl-BA"/>
        </w:rPr>
        <w:t>.</w:t>
      </w:r>
    </w:p>
    <w:p w:rsidR="0042679D" w:rsidRPr="00FC53DD" w:rsidRDefault="0042679D" w:rsidP="0086268D">
      <w:pPr>
        <w:pStyle w:val="ListParagraph"/>
        <w:rPr>
          <w:rFonts w:ascii="Times New Roman" w:hAnsi="Times New Roman"/>
          <w:lang w:val="sr-Cyrl-BA"/>
        </w:rPr>
      </w:pPr>
    </w:p>
    <w:p w:rsidR="0042679D" w:rsidRPr="00ED5503" w:rsidRDefault="00C6214E" w:rsidP="0086268D">
      <w:pPr>
        <w:pStyle w:val="Default"/>
        <w:numPr>
          <w:ilvl w:val="0"/>
          <w:numId w:val="17"/>
        </w:numPr>
        <w:jc w:val="both"/>
        <w:rPr>
          <w:color w:val="auto"/>
        </w:rPr>
      </w:pPr>
      <w:r>
        <w:rPr>
          <w:color w:val="auto"/>
        </w:rPr>
        <w:t>У</w:t>
      </w:r>
      <w:r w:rsidR="00931930">
        <w:rPr>
          <w:color w:val="auto"/>
        </w:rPr>
        <w:t xml:space="preserve"> </w:t>
      </w:r>
      <w:r>
        <w:rPr>
          <w:color w:val="auto"/>
        </w:rPr>
        <w:t>организацији</w:t>
      </w:r>
      <w:r w:rsidR="00931930">
        <w:rPr>
          <w:color w:val="auto"/>
        </w:rPr>
        <w:t xml:space="preserve"> </w:t>
      </w:r>
      <w:r w:rsidR="00365A25" w:rsidRPr="00365A25">
        <w:rPr>
          <w:i/>
          <w:color w:val="auto"/>
          <w:lang w:val="hr-BA"/>
        </w:rPr>
        <w:t>UNFPA</w:t>
      </w:r>
      <w:r w:rsidR="00931930">
        <w:rPr>
          <w:color w:val="auto"/>
        </w:rPr>
        <w:t xml:space="preserve">, </w:t>
      </w:r>
      <w:r>
        <w:rPr>
          <w:color w:val="auto"/>
        </w:rPr>
        <w:t>у</w:t>
      </w:r>
      <w:r w:rsidR="00931930">
        <w:rPr>
          <w:color w:val="auto"/>
        </w:rPr>
        <w:t xml:space="preserve"> </w:t>
      </w:r>
      <w:r>
        <w:rPr>
          <w:color w:val="auto"/>
        </w:rPr>
        <w:t>Бањој</w:t>
      </w:r>
      <w:r w:rsidR="00A77628">
        <w:rPr>
          <w:color w:val="auto"/>
        </w:rPr>
        <w:t xml:space="preserve"> </w:t>
      </w:r>
      <w:r>
        <w:rPr>
          <w:color w:val="auto"/>
        </w:rPr>
        <w:t>Луци</w:t>
      </w:r>
      <w:r w:rsidR="00A77628">
        <w:rPr>
          <w:color w:val="auto"/>
        </w:rPr>
        <w:t xml:space="preserve"> </w:t>
      </w:r>
      <w:r>
        <w:rPr>
          <w:color w:val="auto"/>
        </w:rPr>
        <w:t>и</w:t>
      </w:r>
      <w:r w:rsidR="00A77628">
        <w:rPr>
          <w:color w:val="auto"/>
        </w:rPr>
        <w:t xml:space="preserve"> </w:t>
      </w:r>
      <w:r>
        <w:rPr>
          <w:color w:val="auto"/>
        </w:rPr>
        <w:t>Сарајеву</w:t>
      </w:r>
      <w:r w:rsidR="00A77628">
        <w:rPr>
          <w:color w:val="auto"/>
        </w:rPr>
        <w:t xml:space="preserve"> </w:t>
      </w:r>
      <w:r w:rsidR="00365A25">
        <w:rPr>
          <w:color w:val="auto"/>
        </w:rPr>
        <w:t xml:space="preserve">су </w:t>
      </w:r>
      <w:r>
        <w:rPr>
          <w:color w:val="auto"/>
        </w:rPr>
        <w:t>организ</w:t>
      </w:r>
      <w:r w:rsidR="00365A25">
        <w:rPr>
          <w:color w:val="auto"/>
          <w:lang w:val="sr-Cyrl-BA"/>
        </w:rPr>
        <w:t>оване</w:t>
      </w:r>
      <w:r w:rsidR="0042679D" w:rsidRPr="00295637">
        <w:rPr>
          <w:color w:val="auto"/>
        </w:rPr>
        <w:t xml:space="preserve"> </w:t>
      </w:r>
      <w:r>
        <w:rPr>
          <w:color w:val="auto"/>
        </w:rPr>
        <w:t>радионице</w:t>
      </w:r>
      <w:r w:rsidR="0042679D" w:rsidRPr="00295637">
        <w:rPr>
          <w:color w:val="auto"/>
        </w:rPr>
        <w:t xml:space="preserve"> </w:t>
      </w:r>
      <w:r>
        <w:rPr>
          <w:color w:val="auto"/>
        </w:rPr>
        <w:t>за</w:t>
      </w:r>
      <w:r w:rsidR="0042679D" w:rsidRPr="00295637">
        <w:rPr>
          <w:color w:val="auto"/>
        </w:rPr>
        <w:t xml:space="preserve"> </w:t>
      </w:r>
      <w:r>
        <w:rPr>
          <w:color w:val="auto"/>
        </w:rPr>
        <w:t>новинаре</w:t>
      </w:r>
      <w:r w:rsidR="0042679D" w:rsidRPr="00295637">
        <w:rPr>
          <w:color w:val="auto"/>
        </w:rPr>
        <w:t xml:space="preserve"> </w:t>
      </w:r>
      <w:r>
        <w:rPr>
          <w:color w:val="auto"/>
        </w:rPr>
        <w:t>усмјерене</w:t>
      </w:r>
      <w:r w:rsidR="0042679D" w:rsidRPr="00295637">
        <w:rPr>
          <w:color w:val="auto"/>
        </w:rPr>
        <w:t xml:space="preserve"> </w:t>
      </w:r>
      <w:r>
        <w:rPr>
          <w:color w:val="auto"/>
        </w:rPr>
        <w:t>на</w:t>
      </w:r>
      <w:r w:rsidR="0042679D" w:rsidRPr="00295637">
        <w:rPr>
          <w:color w:val="auto"/>
        </w:rPr>
        <w:t xml:space="preserve"> </w:t>
      </w:r>
      <w:r>
        <w:rPr>
          <w:color w:val="auto"/>
        </w:rPr>
        <w:t>усавршавање</w:t>
      </w:r>
      <w:r w:rsidR="0042679D" w:rsidRPr="00295637">
        <w:rPr>
          <w:color w:val="auto"/>
        </w:rPr>
        <w:t xml:space="preserve"> </w:t>
      </w:r>
      <w:r>
        <w:rPr>
          <w:color w:val="auto"/>
        </w:rPr>
        <w:t>у</w:t>
      </w:r>
      <w:r w:rsidR="0042679D" w:rsidRPr="00295637">
        <w:rPr>
          <w:color w:val="auto"/>
        </w:rPr>
        <w:t xml:space="preserve"> </w:t>
      </w:r>
      <w:r>
        <w:rPr>
          <w:color w:val="auto"/>
        </w:rPr>
        <w:t>погледу</w:t>
      </w:r>
      <w:r w:rsidR="0042679D" w:rsidRPr="00295637">
        <w:rPr>
          <w:color w:val="auto"/>
        </w:rPr>
        <w:t xml:space="preserve"> </w:t>
      </w:r>
      <w:r>
        <w:rPr>
          <w:color w:val="auto"/>
        </w:rPr>
        <w:t>етичког</w:t>
      </w:r>
      <w:r w:rsidR="0042679D" w:rsidRPr="00295637">
        <w:rPr>
          <w:color w:val="auto"/>
        </w:rPr>
        <w:t xml:space="preserve"> </w:t>
      </w:r>
      <w:r>
        <w:rPr>
          <w:color w:val="auto"/>
        </w:rPr>
        <w:t>извјештавања</w:t>
      </w:r>
      <w:r w:rsidR="0042679D" w:rsidRPr="00295637">
        <w:rPr>
          <w:color w:val="auto"/>
        </w:rPr>
        <w:t xml:space="preserve"> </w:t>
      </w:r>
      <w:r>
        <w:rPr>
          <w:color w:val="auto"/>
        </w:rPr>
        <w:t>о</w:t>
      </w:r>
      <w:r w:rsidR="0042679D" w:rsidRPr="00295637">
        <w:rPr>
          <w:color w:val="auto"/>
        </w:rPr>
        <w:t xml:space="preserve"> </w:t>
      </w:r>
      <w:r>
        <w:rPr>
          <w:color w:val="auto"/>
        </w:rPr>
        <w:t>женама</w:t>
      </w:r>
      <w:r w:rsidR="0042679D" w:rsidRPr="00295637">
        <w:rPr>
          <w:color w:val="auto"/>
        </w:rPr>
        <w:t xml:space="preserve"> </w:t>
      </w:r>
      <w:r>
        <w:rPr>
          <w:color w:val="auto"/>
        </w:rPr>
        <w:t>погођених</w:t>
      </w:r>
      <w:r w:rsidR="0042679D">
        <w:rPr>
          <w:color w:val="auto"/>
        </w:rPr>
        <w:t xml:space="preserve"> </w:t>
      </w:r>
      <w:r>
        <w:rPr>
          <w:color w:val="auto"/>
        </w:rPr>
        <w:t>оружаним</w:t>
      </w:r>
      <w:r w:rsidR="0042679D">
        <w:rPr>
          <w:color w:val="auto"/>
        </w:rPr>
        <w:t xml:space="preserve"> </w:t>
      </w:r>
      <w:r>
        <w:rPr>
          <w:color w:val="auto"/>
        </w:rPr>
        <w:t>сукобом</w:t>
      </w:r>
      <w:r w:rsidR="0042679D">
        <w:rPr>
          <w:color w:val="auto"/>
        </w:rPr>
        <w:t xml:space="preserve"> </w:t>
      </w:r>
      <w:r>
        <w:rPr>
          <w:color w:val="auto"/>
        </w:rPr>
        <w:t>и</w:t>
      </w:r>
      <w:r w:rsidR="0042679D">
        <w:rPr>
          <w:color w:val="auto"/>
        </w:rPr>
        <w:t xml:space="preserve"> </w:t>
      </w:r>
      <w:r>
        <w:rPr>
          <w:color w:val="auto"/>
        </w:rPr>
        <w:t>теми</w:t>
      </w:r>
      <w:r w:rsidR="0042679D">
        <w:rPr>
          <w:color w:val="auto"/>
        </w:rPr>
        <w:t xml:space="preserve"> „</w:t>
      </w:r>
      <w:r>
        <w:rPr>
          <w:color w:val="auto"/>
        </w:rPr>
        <w:t>Жене</w:t>
      </w:r>
      <w:r w:rsidR="0042679D">
        <w:rPr>
          <w:color w:val="auto"/>
        </w:rPr>
        <w:t xml:space="preserve">, </w:t>
      </w:r>
      <w:r>
        <w:rPr>
          <w:color w:val="auto"/>
        </w:rPr>
        <w:t>мир</w:t>
      </w:r>
      <w:r w:rsidR="0042679D">
        <w:rPr>
          <w:color w:val="auto"/>
        </w:rPr>
        <w:t xml:space="preserve"> </w:t>
      </w:r>
      <w:r>
        <w:rPr>
          <w:color w:val="auto"/>
        </w:rPr>
        <w:t>и</w:t>
      </w:r>
      <w:r w:rsidR="0042679D">
        <w:rPr>
          <w:color w:val="auto"/>
        </w:rPr>
        <w:t xml:space="preserve"> </w:t>
      </w:r>
      <w:r w:rsidR="00365A25">
        <w:rPr>
          <w:color w:val="auto"/>
          <w:lang w:val="sr-Cyrl-BA"/>
        </w:rPr>
        <w:t>безбједност</w:t>
      </w:r>
      <w:r w:rsidR="0042679D" w:rsidRPr="00295637">
        <w:rPr>
          <w:color w:val="auto"/>
        </w:rPr>
        <w:t>“.</w:t>
      </w:r>
    </w:p>
    <w:p w:rsidR="0042679D" w:rsidRDefault="0042679D" w:rsidP="0086268D">
      <w:pPr>
        <w:jc w:val="both"/>
        <w:rPr>
          <w:rFonts w:ascii="Times New Roman" w:hAnsi="Times New Roman"/>
          <w:i/>
          <w:szCs w:val="24"/>
        </w:rPr>
      </w:pPr>
    </w:p>
    <w:p w:rsidR="0042679D" w:rsidRPr="00295637" w:rsidRDefault="00C6214E" w:rsidP="0086268D">
      <w:pPr>
        <w:jc w:val="both"/>
        <w:rPr>
          <w:rFonts w:ascii="Times New Roman" w:hAnsi="Times New Roman"/>
          <w:i/>
          <w:szCs w:val="24"/>
        </w:rPr>
      </w:pPr>
      <w:r>
        <w:rPr>
          <w:rFonts w:ascii="Times New Roman" w:hAnsi="Times New Roman"/>
          <w:i/>
          <w:szCs w:val="24"/>
        </w:rPr>
        <w:t>Равноправност</w:t>
      </w:r>
      <w:r w:rsidR="0042679D" w:rsidRPr="00295637">
        <w:rPr>
          <w:rFonts w:ascii="Times New Roman" w:hAnsi="Times New Roman"/>
          <w:i/>
          <w:szCs w:val="24"/>
        </w:rPr>
        <w:t xml:space="preserve"> </w:t>
      </w:r>
      <w:r>
        <w:rPr>
          <w:rFonts w:ascii="Times New Roman" w:hAnsi="Times New Roman"/>
          <w:i/>
          <w:szCs w:val="24"/>
        </w:rPr>
        <w:t>полова</w:t>
      </w:r>
      <w:r w:rsidR="0042679D" w:rsidRPr="00295637">
        <w:rPr>
          <w:rFonts w:ascii="Times New Roman" w:hAnsi="Times New Roman"/>
          <w:i/>
          <w:szCs w:val="24"/>
        </w:rPr>
        <w:t xml:space="preserve"> </w:t>
      </w:r>
      <w:r>
        <w:rPr>
          <w:rFonts w:ascii="Times New Roman" w:hAnsi="Times New Roman"/>
          <w:i/>
          <w:szCs w:val="24"/>
        </w:rPr>
        <w:t>у</w:t>
      </w:r>
      <w:r w:rsidR="0042679D" w:rsidRPr="00295637">
        <w:rPr>
          <w:rFonts w:ascii="Times New Roman" w:hAnsi="Times New Roman"/>
          <w:i/>
          <w:szCs w:val="24"/>
        </w:rPr>
        <w:t xml:space="preserve"> </w:t>
      </w:r>
      <w:r>
        <w:rPr>
          <w:rFonts w:ascii="Times New Roman" w:hAnsi="Times New Roman"/>
          <w:i/>
          <w:szCs w:val="24"/>
        </w:rPr>
        <w:t>контексту</w:t>
      </w:r>
      <w:r w:rsidR="0042679D" w:rsidRPr="00295637">
        <w:rPr>
          <w:rFonts w:ascii="Times New Roman" w:hAnsi="Times New Roman"/>
          <w:i/>
          <w:szCs w:val="24"/>
        </w:rPr>
        <w:t xml:space="preserve"> </w:t>
      </w:r>
      <w:r>
        <w:rPr>
          <w:rFonts w:ascii="Times New Roman" w:hAnsi="Times New Roman"/>
          <w:i/>
          <w:szCs w:val="24"/>
        </w:rPr>
        <w:t>заштите</w:t>
      </w:r>
      <w:r w:rsidR="0042679D" w:rsidRPr="00295637">
        <w:rPr>
          <w:rFonts w:ascii="Times New Roman" w:hAnsi="Times New Roman"/>
          <w:i/>
          <w:szCs w:val="24"/>
        </w:rPr>
        <w:t xml:space="preserve"> </w:t>
      </w:r>
      <w:r w:rsidR="00365A25">
        <w:rPr>
          <w:rFonts w:ascii="Times New Roman" w:hAnsi="Times New Roman"/>
          <w:i/>
          <w:szCs w:val="24"/>
          <w:lang w:val="sr-Cyrl-BA"/>
        </w:rPr>
        <w:t>животне средине</w:t>
      </w:r>
      <w:r w:rsidR="0042679D" w:rsidRPr="00295637">
        <w:rPr>
          <w:rFonts w:ascii="Times New Roman" w:hAnsi="Times New Roman"/>
          <w:i/>
          <w:szCs w:val="24"/>
        </w:rPr>
        <w:t xml:space="preserve"> </w:t>
      </w:r>
      <w:r>
        <w:rPr>
          <w:rFonts w:ascii="Times New Roman" w:hAnsi="Times New Roman"/>
          <w:i/>
          <w:szCs w:val="24"/>
        </w:rPr>
        <w:t>и</w:t>
      </w:r>
      <w:r w:rsidR="0042679D" w:rsidRPr="00295637">
        <w:rPr>
          <w:rFonts w:ascii="Times New Roman" w:hAnsi="Times New Roman"/>
          <w:i/>
          <w:szCs w:val="24"/>
        </w:rPr>
        <w:t xml:space="preserve"> </w:t>
      </w:r>
      <w:r>
        <w:rPr>
          <w:rFonts w:ascii="Times New Roman" w:hAnsi="Times New Roman"/>
          <w:i/>
          <w:szCs w:val="24"/>
        </w:rPr>
        <w:t>климатских</w:t>
      </w:r>
      <w:r w:rsidR="0042679D" w:rsidRPr="00295637">
        <w:rPr>
          <w:rFonts w:ascii="Times New Roman" w:hAnsi="Times New Roman"/>
          <w:i/>
          <w:szCs w:val="24"/>
        </w:rPr>
        <w:t xml:space="preserve"> </w:t>
      </w:r>
      <w:r>
        <w:rPr>
          <w:rFonts w:ascii="Times New Roman" w:hAnsi="Times New Roman"/>
          <w:i/>
          <w:szCs w:val="24"/>
        </w:rPr>
        <w:t>промјена</w:t>
      </w:r>
    </w:p>
    <w:p w:rsidR="0042679D" w:rsidRPr="00295637" w:rsidRDefault="0042679D" w:rsidP="0086268D">
      <w:pPr>
        <w:pStyle w:val="ListParagraph"/>
        <w:rPr>
          <w:rFonts w:ascii="Times New Roman" w:hAnsi="Times New Roman"/>
          <w:szCs w:val="24"/>
        </w:rPr>
      </w:pPr>
    </w:p>
    <w:p w:rsidR="0042679D" w:rsidRPr="00295637" w:rsidRDefault="00C6214E" w:rsidP="0086268D">
      <w:pPr>
        <w:pStyle w:val="ListParagraph"/>
        <w:numPr>
          <w:ilvl w:val="0"/>
          <w:numId w:val="17"/>
        </w:numPr>
        <w:contextualSpacing/>
        <w:jc w:val="both"/>
        <w:rPr>
          <w:rFonts w:ascii="Times New Roman" w:hAnsi="Times New Roman"/>
          <w:szCs w:val="24"/>
          <w:lang w:val="bs-Latn-BA"/>
        </w:rPr>
      </w:pP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извјештајном</w:t>
      </w:r>
      <w:r w:rsidR="0042679D" w:rsidRPr="00295637">
        <w:rPr>
          <w:rFonts w:ascii="Times New Roman" w:hAnsi="Times New Roman"/>
          <w:szCs w:val="24"/>
          <w:lang w:val="bs-Latn-BA"/>
        </w:rPr>
        <w:t xml:space="preserve"> </w:t>
      </w:r>
      <w:r>
        <w:rPr>
          <w:rFonts w:ascii="Times New Roman" w:hAnsi="Times New Roman"/>
          <w:szCs w:val="24"/>
          <w:lang w:val="bs-Latn-BA"/>
        </w:rPr>
        <w:t>периоду</w:t>
      </w:r>
      <w:r w:rsidR="0042679D" w:rsidRPr="00295637">
        <w:rPr>
          <w:rFonts w:ascii="Times New Roman" w:hAnsi="Times New Roman"/>
          <w:szCs w:val="24"/>
          <w:lang w:val="bs-Latn-BA"/>
        </w:rPr>
        <w:t xml:space="preserve">, </w:t>
      </w:r>
      <w:r>
        <w:rPr>
          <w:rFonts w:ascii="Times New Roman" w:hAnsi="Times New Roman"/>
          <w:szCs w:val="24"/>
          <w:lang w:val="bs-Latn-BA"/>
        </w:rPr>
        <w:t>релевантна</w:t>
      </w:r>
      <w:r w:rsidR="0042679D" w:rsidRPr="00295637">
        <w:rPr>
          <w:rFonts w:ascii="Times New Roman" w:hAnsi="Times New Roman"/>
          <w:szCs w:val="24"/>
          <w:lang w:val="bs-Latn-BA"/>
        </w:rPr>
        <w:t xml:space="preserve"> </w:t>
      </w:r>
      <w:r>
        <w:rPr>
          <w:rFonts w:ascii="Times New Roman" w:hAnsi="Times New Roman"/>
          <w:szCs w:val="24"/>
          <w:lang w:val="bs-Latn-BA"/>
        </w:rPr>
        <w:t>министарства</w:t>
      </w:r>
      <w:r w:rsidR="0042679D" w:rsidRPr="00295637">
        <w:rPr>
          <w:rFonts w:ascii="Times New Roman" w:hAnsi="Times New Roman"/>
          <w:szCs w:val="24"/>
          <w:lang w:val="bs-Latn-BA"/>
        </w:rPr>
        <w:t xml:space="preserve"> </w:t>
      </w:r>
      <w:r>
        <w:rPr>
          <w:rFonts w:ascii="Times New Roman" w:hAnsi="Times New Roman"/>
          <w:szCs w:val="24"/>
          <w:lang w:val="bs-Latn-BA"/>
        </w:rPr>
        <w:t>су</w:t>
      </w:r>
      <w:r w:rsidR="0042679D" w:rsidRPr="00295637">
        <w:rPr>
          <w:rFonts w:ascii="Times New Roman" w:hAnsi="Times New Roman"/>
          <w:szCs w:val="24"/>
          <w:lang w:val="bs-Latn-BA"/>
        </w:rPr>
        <w:t xml:space="preserve"> </w:t>
      </w:r>
      <w:r>
        <w:rPr>
          <w:rFonts w:ascii="Times New Roman" w:hAnsi="Times New Roman"/>
          <w:szCs w:val="24"/>
          <w:lang w:val="bs-Latn-BA"/>
        </w:rPr>
        <w:t>интензивирала</w:t>
      </w:r>
      <w:r w:rsidR="0042679D" w:rsidRPr="00295637">
        <w:rPr>
          <w:rFonts w:ascii="Times New Roman" w:hAnsi="Times New Roman"/>
          <w:szCs w:val="24"/>
          <w:lang w:val="bs-Latn-BA"/>
        </w:rPr>
        <w:t xml:space="preserve"> </w:t>
      </w:r>
      <w:r>
        <w:rPr>
          <w:rFonts w:ascii="Times New Roman" w:hAnsi="Times New Roman"/>
          <w:szCs w:val="24"/>
          <w:lang w:val="bs-Latn-BA"/>
        </w:rPr>
        <w:t>интегри</w:t>
      </w:r>
      <w:r w:rsidR="00365A25">
        <w:rPr>
          <w:rFonts w:ascii="Times New Roman" w:hAnsi="Times New Roman"/>
          <w:szCs w:val="24"/>
          <w:lang w:val="sr-Cyrl-BA"/>
        </w:rPr>
        <w:t>с</w:t>
      </w:r>
      <w:r>
        <w:rPr>
          <w:rFonts w:ascii="Times New Roman" w:hAnsi="Times New Roman"/>
          <w:szCs w:val="24"/>
          <w:lang w:val="bs-Latn-BA"/>
        </w:rPr>
        <w:t>ање</w:t>
      </w:r>
      <w:r w:rsidR="0042679D" w:rsidRPr="00295637">
        <w:rPr>
          <w:rFonts w:ascii="Times New Roman" w:hAnsi="Times New Roman"/>
          <w:szCs w:val="24"/>
          <w:lang w:val="bs-Latn-BA"/>
        </w:rPr>
        <w:t xml:space="preserve"> </w:t>
      </w:r>
      <w:r>
        <w:rPr>
          <w:rFonts w:ascii="Times New Roman" w:hAnsi="Times New Roman"/>
          <w:szCs w:val="24"/>
          <w:lang w:val="bs-Latn-BA"/>
        </w:rPr>
        <w:t>перспективе</w:t>
      </w:r>
      <w:r w:rsidR="0042679D"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42679D" w:rsidRPr="00295637">
        <w:rPr>
          <w:rFonts w:ascii="Times New Roman" w:hAnsi="Times New Roman"/>
          <w:szCs w:val="24"/>
          <w:lang w:val="bs-Latn-BA"/>
        </w:rPr>
        <w:t xml:space="preserve"> </w:t>
      </w:r>
      <w:r>
        <w:rPr>
          <w:rFonts w:ascii="Times New Roman" w:hAnsi="Times New Roman"/>
          <w:szCs w:val="24"/>
          <w:lang w:val="bs-Latn-BA"/>
        </w:rPr>
        <w:t>полова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процесе</w:t>
      </w:r>
      <w:r w:rsidR="0042679D" w:rsidRPr="00295637">
        <w:rPr>
          <w:rFonts w:ascii="Times New Roman" w:hAnsi="Times New Roman"/>
          <w:szCs w:val="24"/>
          <w:lang w:val="bs-Latn-BA"/>
        </w:rPr>
        <w:t xml:space="preserve"> </w:t>
      </w:r>
      <w:r>
        <w:rPr>
          <w:rFonts w:ascii="Times New Roman" w:hAnsi="Times New Roman"/>
          <w:szCs w:val="24"/>
          <w:lang w:val="bs-Latn-BA"/>
        </w:rPr>
        <w:t>планирања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доношење</w:t>
      </w:r>
      <w:r w:rsidR="0042679D" w:rsidRPr="00295637">
        <w:rPr>
          <w:rFonts w:ascii="Times New Roman" w:hAnsi="Times New Roman"/>
          <w:szCs w:val="24"/>
          <w:lang w:val="bs-Latn-BA"/>
        </w:rPr>
        <w:t xml:space="preserve"> </w:t>
      </w:r>
      <w:r>
        <w:rPr>
          <w:rFonts w:ascii="Times New Roman" w:hAnsi="Times New Roman"/>
          <w:szCs w:val="24"/>
          <w:lang w:val="bs-Latn-BA"/>
        </w:rPr>
        <w:t>аката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политика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области</w:t>
      </w:r>
      <w:r w:rsidR="0042679D" w:rsidRPr="00295637">
        <w:rPr>
          <w:rFonts w:ascii="Times New Roman" w:hAnsi="Times New Roman"/>
          <w:szCs w:val="24"/>
          <w:lang w:val="bs-Latn-BA"/>
        </w:rPr>
        <w:t xml:space="preserve"> </w:t>
      </w:r>
      <w:r>
        <w:rPr>
          <w:rFonts w:ascii="Times New Roman" w:hAnsi="Times New Roman"/>
          <w:szCs w:val="24"/>
          <w:lang w:val="bs-Latn-BA"/>
        </w:rPr>
        <w:t>заштите</w:t>
      </w:r>
      <w:r w:rsidR="0042679D" w:rsidRPr="00295637">
        <w:rPr>
          <w:rFonts w:ascii="Times New Roman" w:hAnsi="Times New Roman"/>
          <w:szCs w:val="24"/>
          <w:lang w:val="bs-Latn-BA"/>
        </w:rPr>
        <w:t xml:space="preserve"> </w:t>
      </w:r>
      <w:r w:rsidR="00365A25">
        <w:rPr>
          <w:rFonts w:ascii="Times New Roman" w:hAnsi="Times New Roman"/>
          <w:szCs w:val="24"/>
          <w:lang w:val="sr-Cyrl-BA"/>
        </w:rPr>
        <w:t>животне средине</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климатских</w:t>
      </w:r>
      <w:r w:rsidR="0042679D" w:rsidRPr="00295637">
        <w:rPr>
          <w:rFonts w:ascii="Times New Roman" w:hAnsi="Times New Roman"/>
          <w:szCs w:val="24"/>
          <w:lang w:val="bs-Latn-BA"/>
        </w:rPr>
        <w:t xml:space="preserve"> </w:t>
      </w:r>
      <w:r>
        <w:rPr>
          <w:rFonts w:ascii="Times New Roman" w:hAnsi="Times New Roman"/>
          <w:szCs w:val="24"/>
          <w:lang w:val="bs-Latn-BA"/>
        </w:rPr>
        <w:t>промјена</w:t>
      </w:r>
      <w:r w:rsidR="0042679D" w:rsidRPr="00295637">
        <w:rPr>
          <w:rFonts w:ascii="Times New Roman" w:hAnsi="Times New Roman"/>
          <w:szCs w:val="24"/>
          <w:lang w:val="bs-Latn-BA"/>
        </w:rPr>
        <w:t xml:space="preserve">. </w:t>
      </w:r>
      <w:r>
        <w:rPr>
          <w:rFonts w:ascii="Times New Roman" w:hAnsi="Times New Roman"/>
          <w:szCs w:val="24"/>
        </w:rPr>
        <w:t>Рађено</w:t>
      </w:r>
      <w:r w:rsidR="0042679D" w:rsidRPr="00295637">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lang w:val="bs-Latn-BA"/>
        </w:rPr>
        <w:t>унапређењу</w:t>
      </w:r>
      <w:r w:rsidR="0042679D" w:rsidRPr="00295637">
        <w:rPr>
          <w:rFonts w:ascii="Times New Roman" w:hAnsi="Times New Roman"/>
          <w:szCs w:val="24"/>
          <w:lang w:val="bs-Latn-BA"/>
        </w:rPr>
        <w:t xml:space="preserve"> </w:t>
      </w:r>
      <w:r>
        <w:rPr>
          <w:rFonts w:ascii="Times New Roman" w:hAnsi="Times New Roman"/>
          <w:szCs w:val="24"/>
          <w:lang w:val="bs-Latn-BA"/>
        </w:rPr>
        <w:t>система</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прикупљање</w:t>
      </w:r>
      <w:r w:rsidR="0042679D" w:rsidRPr="00295637">
        <w:rPr>
          <w:rFonts w:ascii="Times New Roman" w:hAnsi="Times New Roman"/>
          <w:szCs w:val="24"/>
          <w:lang w:val="bs-Latn-BA"/>
        </w:rPr>
        <w:t xml:space="preserve"> </w:t>
      </w:r>
      <w:r>
        <w:rPr>
          <w:rFonts w:ascii="Times New Roman" w:hAnsi="Times New Roman"/>
          <w:szCs w:val="24"/>
          <w:lang w:val="bs-Latn-BA"/>
        </w:rPr>
        <w:t>родно</w:t>
      </w:r>
      <w:r w:rsidR="0042679D" w:rsidRPr="00295637">
        <w:rPr>
          <w:rFonts w:ascii="Times New Roman" w:hAnsi="Times New Roman"/>
          <w:szCs w:val="24"/>
          <w:lang w:val="bs-Latn-BA"/>
        </w:rPr>
        <w:t xml:space="preserve"> </w:t>
      </w:r>
      <w:r>
        <w:rPr>
          <w:rFonts w:ascii="Times New Roman" w:hAnsi="Times New Roman"/>
          <w:szCs w:val="24"/>
          <w:lang w:val="bs-Latn-BA"/>
        </w:rPr>
        <w:t>осјетљивих</w:t>
      </w:r>
      <w:r w:rsidR="0042679D" w:rsidRPr="00295637">
        <w:rPr>
          <w:rFonts w:ascii="Times New Roman" w:hAnsi="Times New Roman"/>
          <w:szCs w:val="24"/>
          <w:lang w:val="bs-Latn-BA"/>
        </w:rPr>
        <w:t xml:space="preserve"> </w:t>
      </w:r>
      <w:r>
        <w:rPr>
          <w:rFonts w:ascii="Times New Roman" w:hAnsi="Times New Roman"/>
          <w:szCs w:val="24"/>
          <w:lang w:val="bs-Latn-BA"/>
        </w:rPr>
        <w:t>података</w:t>
      </w:r>
      <w:r w:rsidR="0042679D" w:rsidRPr="00295637">
        <w:rPr>
          <w:rFonts w:ascii="Times New Roman" w:hAnsi="Times New Roman"/>
          <w:szCs w:val="24"/>
          <w:lang w:val="bs-Latn-BA"/>
        </w:rPr>
        <w:t xml:space="preserve">, </w:t>
      </w:r>
      <w:r>
        <w:rPr>
          <w:rFonts w:ascii="Times New Roman" w:hAnsi="Times New Roman"/>
          <w:szCs w:val="24"/>
          <w:lang w:val="bs-Latn-BA"/>
        </w:rPr>
        <w:t>квантитативних</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квалитативних</w:t>
      </w:r>
      <w:r w:rsidR="0042679D" w:rsidRPr="00295637">
        <w:rPr>
          <w:rFonts w:ascii="Times New Roman" w:hAnsi="Times New Roman"/>
          <w:szCs w:val="24"/>
          <w:lang w:val="bs-Latn-BA"/>
        </w:rPr>
        <w:t xml:space="preserve"> </w:t>
      </w:r>
      <w:r>
        <w:rPr>
          <w:rFonts w:ascii="Times New Roman" w:hAnsi="Times New Roman"/>
          <w:szCs w:val="24"/>
          <w:lang w:val="bs-Latn-BA"/>
        </w:rPr>
        <w:t>индикатора</w:t>
      </w:r>
      <w:r w:rsidR="0042679D" w:rsidRPr="00295637">
        <w:rPr>
          <w:rFonts w:ascii="Times New Roman" w:hAnsi="Times New Roman"/>
          <w:szCs w:val="24"/>
          <w:lang w:val="bs-Latn-BA"/>
        </w:rPr>
        <w:t xml:space="preserve">, </w:t>
      </w:r>
      <w:r>
        <w:rPr>
          <w:rFonts w:ascii="Times New Roman" w:hAnsi="Times New Roman"/>
          <w:szCs w:val="24"/>
          <w:lang w:val="bs-Latn-BA"/>
        </w:rPr>
        <w:t>те</w:t>
      </w:r>
      <w:r w:rsidR="0042679D" w:rsidRPr="00295637">
        <w:rPr>
          <w:rFonts w:ascii="Times New Roman" w:hAnsi="Times New Roman"/>
          <w:szCs w:val="24"/>
          <w:lang w:val="bs-Latn-BA"/>
        </w:rPr>
        <w:t xml:space="preserve"> </w:t>
      </w:r>
      <w:r>
        <w:rPr>
          <w:rFonts w:ascii="Times New Roman" w:hAnsi="Times New Roman"/>
          <w:szCs w:val="24"/>
          <w:lang w:val="bs-Latn-BA"/>
        </w:rPr>
        <w:t>подизању</w:t>
      </w:r>
      <w:r w:rsidR="0042679D" w:rsidRPr="00295637">
        <w:rPr>
          <w:rFonts w:ascii="Times New Roman" w:hAnsi="Times New Roman"/>
          <w:szCs w:val="24"/>
          <w:lang w:val="bs-Latn-BA"/>
        </w:rPr>
        <w:t xml:space="preserve"> </w:t>
      </w:r>
      <w:r>
        <w:rPr>
          <w:rFonts w:ascii="Times New Roman" w:hAnsi="Times New Roman"/>
          <w:szCs w:val="24"/>
          <w:lang w:val="bs-Latn-BA"/>
        </w:rPr>
        <w:t>свијести</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едукацијама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контексту</w:t>
      </w:r>
      <w:r w:rsidR="0042679D" w:rsidRPr="00295637">
        <w:rPr>
          <w:rFonts w:ascii="Times New Roman" w:hAnsi="Times New Roman"/>
          <w:szCs w:val="24"/>
          <w:lang w:val="bs-Latn-BA"/>
        </w:rPr>
        <w:t xml:space="preserve"> </w:t>
      </w:r>
      <w:r>
        <w:rPr>
          <w:rFonts w:ascii="Times New Roman" w:hAnsi="Times New Roman"/>
          <w:szCs w:val="24"/>
          <w:lang w:val="bs-Latn-BA"/>
        </w:rPr>
        <w:t>климатских</w:t>
      </w:r>
      <w:r w:rsidR="0042679D" w:rsidRPr="00295637">
        <w:rPr>
          <w:rFonts w:ascii="Times New Roman" w:hAnsi="Times New Roman"/>
          <w:szCs w:val="24"/>
          <w:lang w:val="bs-Latn-BA"/>
        </w:rPr>
        <w:t xml:space="preserve"> </w:t>
      </w:r>
      <w:r>
        <w:rPr>
          <w:rFonts w:ascii="Times New Roman" w:hAnsi="Times New Roman"/>
          <w:szCs w:val="24"/>
          <w:lang w:val="bs-Latn-BA"/>
        </w:rPr>
        <w:t>промјена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управљања</w:t>
      </w:r>
      <w:r w:rsidR="0042679D" w:rsidRPr="00295637">
        <w:rPr>
          <w:rFonts w:ascii="Times New Roman" w:hAnsi="Times New Roman"/>
          <w:szCs w:val="24"/>
          <w:lang w:val="bs-Latn-BA"/>
        </w:rPr>
        <w:t xml:space="preserve"> </w:t>
      </w:r>
      <w:r w:rsidR="00365A25">
        <w:rPr>
          <w:rFonts w:ascii="Times New Roman" w:hAnsi="Times New Roman"/>
          <w:szCs w:val="24"/>
          <w:lang w:val="sr-Cyrl-BA"/>
        </w:rPr>
        <w:t>животном средином</w:t>
      </w:r>
      <w:r w:rsidR="0042679D" w:rsidRPr="00295637">
        <w:rPr>
          <w:rFonts w:ascii="Times New Roman" w:hAnsi="Times New Roman"/>
          <w:szCs w:val="24"/>
          <w:lang w:val="bs-Latn-BA"/>
        </w:rPr>
        <w:t>.</w:t>
      </w:r>
    </w:p>
    <w:p w:rsidR="0042679D" w:rsidRPr="00295637" w:rsidRDefault="0042679D" w:rsidP="0086268D">
      <w:pPr>
        <w:pStyle w:val="ListParagraph"/>
        <w:ind w:left="720"/>
        <w:contextualSpacing/>
        <w:jc w:val="both"/>
        <w:rPr>
          <w:rFonts w:ascii="Times New Roman" w:hAnsi="Times New Roman"/>
          <w:szCs w:val="24"/>
          <w:lang w:val="bs-Latn-BA"/>
        </w:rPr>
      </w:pPr>
    </w:p>
    <w:p w:rsidR="0042679D" w:rsidRPr="0009668B" w:rsidRDefault="00C6214E" w:rsidP="0086268D">
      <w:pPr>
        <w:pStyle w:val="ListParagraph"/>
        <w:numPr>
          <w:ilvl w:val="0"/>
          <w:numId w:val="17"/>
        </w:numPr>
        <w:jc w:val="both"/>
        <w:rPr>
          <w:rFonts w:ascii="Times New Roman" w:hAnsi="Times New Roman"/>
          <w:szCs w:val="24"/>
        </w:rPr>
      </w:pPr>
      <w:r>
        <w:rPr>
          <w:rFonts w:ascii="Times New Roman" w:eastAsia="SimSun" w:hAnsi="Times New Roman"/>
          <w:bCs/>
          <w:lang w:val="bs-Latn-BA" w:eastAsia="zh-CN"/>
        </w:rPr>
        <w:t>М</w:t>
      </w:r>
      <w:r w:rsidR="00365A25">
        <w:rPr>
          <w:rFonts w:ascii="Times New Roman" w:eastAsia="SimSun" w:hAnsi="Times New Roman"/>
          <w:bCs/>
          <w:lang w:val="sr-Cyrl-BA" w:eastAsia="zh-CN"/>
        </w:rPr>
        <w:t>С</w:t>
      </w:r>
      <w:r>
        <w:rPr>
          <w:rFonts w:ascii="Times New Roman" w:eastAsia="SimSun" w:hAnsi="Times New Roman"/>
          <w:bCs/>
          <w:lang w:val="bs-Latn-BA" w:eastAsia="zh-CN"/>
        </w:rPr>
        <w:t>ТЕО</w:t>
      </w:r>
      <w:r w:rsidR="0042679D"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интегри</w:t>
      </w:r>
      <w:r w:rsidR="00365A25">
        <w:rPr>
          <w:rFonts w:ascii="Times New Roman" w:eastAsia="SimSun" w:hAnsi="Times New Roman"/>
          <w:bCs/>
          <w:lang w:val="sr-Cyrl-BA" w:eastAsia="zh-CN"/>
        </w:rPr>
        <w:t>ше</w:t>
      </w:r>
      <w:r w:rsidR="0042679D" w:rsidRPr="00295637">
        <w:rPr>
          <w:rFonts w:ascii="Times New Roman" w:eastAsia="SimSun" w:hAnsi="Times New Roman"/>
          <w:bCs/>
          <w:lang w:val="bs-Latn-BA" w:eastAsia="zh-CN"/>
        </w:rPr>
        <w:t xml:space="preserve"> </w:t>
      </w:r>
      <w:r>
        <w:rPr>
          <w:rFonts w:ascii="Times New Roman" w:eastAsia="SimSun" w:hAnsi="Times New Roman"/>
          <w:bCs/>
          <w:lang w:val="sr-Cyrl-BA" w:eastAsia="zh-CN"/>
        </w:rPr>
        <w:t>перспективу</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родне</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политике</w:t>
      </w:r>
      <w:r w:rsidR="0042679D" w:rsidRPr="00295637">
        <w:rPr>
          <w:rFonts w:ascii="Times New Roman" w:eastAsia="SimSun" w:hAnsi="Times New Roman"/>
          <w:bCs/>
          <w:lang w:val="bs-Latn-BA" w:eastAsia="zh-CN"/>
        </w:rPr>
        <w:t>,</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укључујући</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остала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мултидисциплинарна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питања</w:t>
      </w:r>
      <w:r w:rsidR="0042679D"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п</w:t>
      </w:r>
      <w:r>
        <w:rPr>
          <w:rFonts w:ascii="Times New Roman" w:eastAsia="SimSun" w:hAnsi="Times New Roman"/>
          <w:bCs/>
          <w:lang w:val="sr-Cyrl-BA" w:eastAsia="zh-CN"/>
        </w:rPr>
        <w:t>риликом</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развоја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докумената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програма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политика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42679D" w:rsidRPr="00295637">
        <w:rPr>
          <w:rFonts w:ascii="Times New Roman" w:eastAsia="SimSun" w:hAnsi="Times New Roman"/>
          <w:bCs/>
          <w:lang w:val="sr-Cyrl-BA" w:eastAsia="zh-CN"/>
        </w:rPr>
        <w:t xml:space="preserve"> </w:t>
      </w:r>
      <w:r>
        <w:rPr>
          <w:rFonts w:ascii="Times New Roman" w:eastAsia="SimSun" w:hAnsi="Times New Roman"/>
          <w:bCs/>
          <w:lang w:val="hr-HR" w:eastAsia="zh-CN"/>
        </w:rPr>
        <w:t>области</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заштите</w:t>
      </w:r>
      <w:r w:rsidR="0042679D" w:rsidRPr="00295637">
        <w:rPr>
          <w:rFonts w:ascii="Times New Roman" w:eastAsia="SimSun" w:hAnsi="Times New Roman"/>
          <w:bCs/>
          <w:lang w:val="sr-Cyrl-BA" w:eastAsia="zh-CN"/>
        </w:rPr>
        <w:t xml:space="preserve"> </w:t>
      </w:r>
      <w:r w:rsidR="00365A25">
        <w:rPr>
          <w:rFonts w:ascii="Times New Roman" w:eastAsia="SimSun" w:hAnsi="Times New Roman"/>
          <w:bCs/>
          <w:lang w:val="sr-Cyrl-BA" w:eastAsia="zh-CN"/>
        </w:rPr>
        <w:t>животне средине</w:t>
      </w:r>
      <w:r w:rsidR="0042679D"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У</w:t>
      </w:r>
      <w:r w:rsidR="0042679D"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извјештајном</w:t>
      </w:r>
      <w:r w:rsidR="0042679D"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периоду</w:t>
      </w:r>
      <w:r w:rsidR="0042679D"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значајан</w:t>
      </w:r>
      <w:r w:rsidR="00A77628">
        <w:rPr>
          <w:rFonts w:ascii="Times New Roman" w:eastAsia="SimSun" w:hAnsi="Times New Roman"/>
          <w:bCs/>
          <w:lang w:val="bs-Latn-BA" w:eastAsia="zh-CN"/>
        </w:rPr>
        <w:t xml:space="preserve"> </w:t>
      </w:r>
      <w:r>
        <w:rPr>
          <w:rFonts w:ascii="Times New Roman" w:eastAsia="SimSun" w:hAnsi="Times New Roman"/>
          <w:bCs/>
          <w:lang w:val="bs-Latn-BA" w:eastAsia="zh-CN"/>
        </w:rPr>
        <w:t>је</w:t>
      </w:r>
      <w:r w:rsidR="00A77628">
        <w:rPr>
          <w:rFonts w:ascii="Times New Roman" w:eastAsia="SimSun" w:hAnsi="Times New Roman"/>
          <w:bCs/>
          <w:lang w:val="bs-Latn-BA" w:eastAsia="zh-CN"/>
        </w:rPr>
        <w:t xml:space="preserve"> </w:t>
      </w:r>
      <w:r>
        <w:rPr>
          <w:rFonts w:ascii="Times New Roman" w:eastAsia="SimSun" w:hAnsi="Times New Roman"/>
          <w:bCs/>
          <w:lang w:val="bs-Latn-BA" w:eastAsia="zh-CN"/>
        </w:rPr>
        <w:t>стратешки</w:t>
      </w:r>
      <w:r w:rsidR="00A77628">
        <w:rPr>
          <w:rFonts w:ascii="Times New Roman" w:eastAsia="SimSun" w:hAnsi="Times New Roman"/>
          <w:bCs/>
          <w:lang w:val="bs-Latn-BA" w:eastAsia="zh-CN"/>
        </w:rPr>
        <w:t xml:space="preserve"> </w:t>
      </w:r>
      <w:r>
        <w:rPr>
          <w:rFonts w:ascii="Times New Roman" w:eastAsia="SimSun" w:hAnsi="Times New Roman"/>
          <w:bCs/>
          <w:lang w:val="bs-Latn-BA" w:eastAsia="zh-CN"/>
        </w:rPr>
        <w:t>документ</w:t>
      </w:r>
      <w:r w:rsidR="00A77628">
        <w:rPr>
          <w:rFonts w:ascii="Times New Roman" w:eastAsia="SimSun" w:hAnsi="Times New Roman"/>
          <w:bCs/>
          <w:lang w:val="bs-Latn-BA" w:eastAsia="zh-CN"/>
        </w:rPr>
        <w:t xml:space="preserve"> </w:t>
      </w:r>
      <w:r>
        <w:rPr>
          <w:rFonts w:ascii="Times New Roman" w:eastAsia="SimSun" w:hAnsi="Times New Roman"/>
          <w:bCs/>
          <w:lang w:val="bs-Latn-BA" w:eastAsia="zh-CN"/>
        </w:rPr>
        <w:t>Нацрт</w:t>
      </w:r>
      <w:r w:rsidR="00A77628">
        <w:rPr>
          <w:rFonts w:ascii="Times New Roman" w:eastAsia="SimSun" w:hAnsi="Times New Roman"/>
          <w:bCs/>
          <w:lang w:val="bs-Latn-BA" w:eastAsia="zh-CN"/>
        </w:rPr>
        <w:t xml:space="preserve"> </w:t>
      </w:r>
      <w:r>
        <w:rPr>
          <w:rFonts w:ascii="Times New Roman" w:eastAsia="SimSun" w:hAnsi="Times New Roman"/>
          <w:bCs/>
          <w:lang w:val="bs-Latn-BA" w:eastAsia="zh-CN"/>
        </w:rPr>
        <w:t>стратегије</w:t>
      </w:r>
      <w:r w:rsidR="0042679D"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заштите</w:t>
      </w:r>
      <w:r w:rsidR="0042679D" w:rsidRPr="00295637">
        <w:rPr>
          <w:rFonts w:ascii="Times New Roman" w:eastAsia="SimSun" w:hAnsi="Times New Roman"/>
          <w:bCs/>
          <w:lang w:val="bs-Latn-BA" w:eastAsia="zh-CN"/>
        </w:rPr>
        <w:t xml:space="preserve"> </w:t>
      </w:r>
      <w:r w:rsidR="00365A25">
        <w:rPr>
          <w:rFonts w:ascii="Times New Roman" w:eastAsia="SimSun" w:hAnsi="Times New Roman"/>
          <w:bCs/>
          <w:lang w:val="sr-Cyrl-BA" w:eastAsia="zh-CN"/>
        </w:rPr>
        <w:t>животне средине</w:t>
      </w:r>
      <w:r w:rsidR="00035312">
        <w:rPr>
          <w:rFonts w:ascii="Times New Roman" w:eastAsia="SimSun" w:hAnsi="Times New Roman"/>
          <w:bCs/>
          <w:lang w:val="bs-Latn-BA" w:eastAsia="zh-CN"/>
        </w:rPr>
        <w:t xml:space="preserve"> </w:t>
      </w:r>
      <w:r>
        <w:rPr>
          <w:rFonts w:ascii="Times New Roman" w:eastAsia="SimSun" w:hAnsi="Times New Roman"/>
          <w:bCs/>
          <w:lang w:val="bs-Latn-BA" w:eastAsia="zh-CN"/>
        </w:rPr>
        <w:t>БиХ</w:t>
      </w:r>
      <w:r w:rsidR="0042679D" w:rsidRPr="00295637">
        <w:rPr>
          <w:rFonts w:ascii="Times New Roman" w:eastAsia="SimSun" w:hAnsi="Times New Roman"/>
          <w:bCs/>
          <w:lang w:val="bs-Latn-BA" w:eastAsia="zh-CN"/>
        </w:rPr>
        <w:t xml:space="preserve"> 2022</w:t>
      </w:r>
      <w:r w:rsidR="00A77628">
        <w:rPr>
          <w:rFonts w:ascii="Times New Roman" w:eastAsia="SimSun" w:hAnsi="Times New Roman"/>
          <w:bCs/>
          <w:lang w:val="bs-Latn-BA" w:eastAsia="zh-CN"/>
        </w:rPr>
        <w:t>-</w:t>
      </w:r>
      <w:r w:rsidR="0042679D" w:rsidRPr="00295637">
        <w:rPr>
          <w:rFonts w:ascii="Times New Roman" w:eastAsia="SimSun" w:hAnsi="Times New Roman"/>
          <w:bCs/>
          <w:lang w:val="bs-Latn-BA" w:eastAsia="zh-CN"/>
        </w:rPr>
        <w:t>2032</w:t>
      </w:r>
      <w:r w:rsidR="00A77628">
        <w:rPr>
          <w:rFonts w:ascii="Times New Roman" w:eastAsia="SimSun" w:hAnsi="Times New Roman"/>
          <w:bCs/>
          <w:lang w:val="bs-Latn-BA" w:eastAsia="zh-CN"/>
        </w:rPr>
        <w:t>.</w:t>
      </w:r>
      <w:r w:rsidR="0042679D" w:rsidRPr="00295637">
        <w:rPr>
          <w:rFonts w:ascii="Times New Roman" w:eastAsia="SimSun" w:hAnsi="Times New Roman"/>
          <w:bCs/>
          <w:lang w:val="bs-Latn-BA" w:eastAsia="zh-CN"/>
        </w:rPr>
        <w:t xml:space="preserve"> (</w:t>
      </w:r>
      <w:r w:rsidRPr="00365A25">
        <w:rPr>
          <w:rFonts w:ascii="Times New Roman" w:eastAsia="SimSun" w:hAnsi="Times New Roman"/>
          <w:bCs/>
          <w:lang w:val="bs-Latn-BA" w:eastAsia="zh-CN"/>
        </w:rPr>
        <w:t>ЕСАП</w:t>
      </w:r>
      <w:r w:rsidR="0042679D"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БиХ</w:t>
      </w:r>
      <w:r w:rsidR="0042679D" w:rsidRPr="00295637">
        <w:rPr>
          <w:rFonts w:ascii="Times New Roman" w:eastAsia="SimSun" w:hAnsi="Times New Roman"/>
          <w:bCs/>
          <w:lang w:val="bs-Latn-BA" w:eastAsia="zh-CN"/>
        </w:rPr>
        <w:t xml:space="preserve">). </w:t>
      </w:r>
      <w:r>
        <w:rPr>
          <w:rFonts w:ascii="Times New Roman" w:eastAsia="SimSun" w:hAnsi="Times New Roman"/>
          <w:bCs/>
          <w:lang w:val="sr-Cyrl-BA" w:eastAsia="zh-CN"/>
        </w:rPr>
        <w:t>У</w:t>
      </w:r>
      <w:r w:rsidR="00D30E48">
        <w:rPr>
          <w:rFonts w:ascii="Times New Roman" w:eastAsia="SimSun" w:hAnsi="Times New Roman"/>
          <w:bCs/>
          <w:lang w:val="sr-Cyrl-BA" w:eastAsia="zh-CN"/>
        </w:rPr>
        <w:t xml:space="preserve"> </w:t>
      </w:r>
      <w:r>
        <w:rPr>
          <w:rFonts w:ascii="Times New Roman" w:eastAsia="SimSun" w:hAnsi="Times New Roman"/>
          <w:bCs/>
          <w:lang w:val="sr-Cyrl-BA" w:eastAsia="zh-CN"/>
        </w:rPr>
        <w:t>оквиру</w:t>
      </w:r>
      <w:r w:rsidR="00D30E48">
        <w:rPr>
          <w:rFonts w:ascii="Times New Roman" w:eastAsia="SimSun" w:hAnsi="Times New Roman"/>
          <w:bCs/>
          <w:lang w:val="sr-Cyrl-BA" w:eastAsia="zh-CN"/>
        </w:rPr>
        <w:t xml:space="preserve"> </w:t>
      </w:r>
      <w:r>
        <w:rPr>
          <w:rFonts w:ascii="Times New Roman" w:eastAsia="SimSun" w:hAnsi="Times New Roman"/>
          <w:bCs/>
          <w:lang w:val="sr-Cyrl-BA" w:eastAsia="zh-CN"/>
        </w:rPr>
        <w:t>подсектора</w:t>
      </w:r>
      <w:r w:rsidR="00D30E48">
        <w:rPr>
          <w:rFonts w:ascii="Times New Roman" w:eastAsia="SimSun" w:hAnsi="Times New Roman"/>
          <w:bCs/>
          <w:lang w:val="sr-Cyrl-BA" w:eastAsia="zh-CN"/>
        </w:rPr>
        <w:t xml:space="preserve"> „</w:t>
      </w:r>
      <w:r>
        <w:rPr>
          <w:rFonts w:ascii="Times New Roman" w:eastAsia="SimSun" w:hAnsi="Times New Roman"/>
          <w:bCs/>
          <w:lang w:val="sr-Cyrl-BA" w:eastAsia="zh-CN"/>
        </w:rPr>
        <w:t>управљање</w:t>
      </w:r>
      <w:r w:rsidR="0042679D" w:rsidRPr="00295637">
        <w:rPr>
          <w:rFonts w:ascii="Times New Roman" w:eastAsia="SimSun" w:hAnsi="Times New Roman"/>
          <w:bCs/>
          <w:lang w:val="sr-Cyrl-BA" w:eastAsia="zh-CN"/>
        </w:rPr>
        <w:t xml:space="preserve"> </w:t>
      </w:r>
      <w:r w:rsidR="00365A25">
        <w:rPr>
          <w:rFonts w:ascii="Times New Roman" w:eastAsia="SimSun" w:hAnsi="Times New Roman"/>
          <w:bCs/>
          <w:lang w:val="sr-Cyrl-BA" w:eastAsia="zh-CN"/>
        </w:rPr>
        <w:t>животном средином</w:t>
      </w:r>
      <w:r w:rsidR="0042679D" w:rsidRPr="00295637">
        <w:rPr>
          <w:rFonts w:ascii="Times New Roman" w:eastAsia="SimSun" w:hAnsi="Times New Roman"/>
          <w:bCs/>
          <w:lang w:val="sr-Cyrl-BA" w:eastAsia="zh-CN"/>
        </w:rPr>
        <w:t>“</w:t>
      </w:r>
      <w:r w:rsidR="0042679D" w:rsidRPr="00295637">
        <w:rPr>
          <w:rFonts w:ascii="Times New Roman" w:eastAsia="SimSun" w:hAnsi="Times New Roman"/>
          <w:bCs/>
          <w:lang w:val="bs-Latn-BA" w:eastAsia="zh-CN"/>
        </w:rPr>
        <w:t>,</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односно</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хоризонталних</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питања</w:t>
      </w:r>
      <w:r w:rsidR="0042679D" w:rsidRPr="00295637">
        <w:rPr>
          <w:rFonts w:ascii="Times New Roman" w:eastAsia="SimSun" w:hAnsi="Times New Roman"/>
          <w:bCs/>
          <w:lang w:val="bs-Latn-BA" w:eastAsia="zh-CN"/>
        </w:rPr>
        <w:t>,</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дефини</w:t>
      </w:r>
      <w:r w:rsidR="00365A25">
        <w:rPr>
          <w:rFonts w:ascii="Times New Roman" w:eastAsia="SimSun" w:hAnsi="Times New Roman"/>
          <w:bCs/>
          <w:lang w:val="sr-Cyrl-BA" w:eastAsia="zh-CN"/>
        </w:rPr>
        <w:t>с</w:t>
      </w:r>
      <w:r>
        <w:rPr>
          <w:rFonts w:ascii="Times New Roman" w:eastAsia="SimSun" w:hAnsi="Times New Roman"/>
          <w:bCs/>
          <w:lang w:val="sr-Cyrl-BA" w:eastAsia="zh-CN"/>
        </w:rPr>
        <w:t>ан</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је</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приоритет</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Постизање</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висок</w:t>
      </w:r>
      <w:r>
        <w:rPr>
          <w:rFonts w:ascii="Times New Roman" w:eastAsia="SimSun" w:hAnsi="Times New Roman"/>
          <w:bCs/>
          <w:lang w:val="hr-HR" w:eastAsia="zh-CN"/>
        </w:rPr>
        <w:t>ог</w:t>
      </w:r>
      <w:r w:rsidR="0042679D" w:rsidRPr="00295637">
        <w:rPr>
          <w:rFonts w:ascii="Times New Roman" w:eastAsia="SimSun" w:hAnsi="Times New Roman"/>
          <w:bCs/>
          <w:lang w:val="sr-Cyrl-BA" w:eastAsia="zh-CN"/>
        </w:rPr>
        <w:t xml:space="preserve"> </w:t>
      </w:r>
      <w:r>
        <w:rPr>
          <w:rFonts w:ascii="Times New Roman" w:eastAsia="SimSun" w:hAnsi="Times New Roman"/>
          <w:bCs/>
          <w:lang w:val="hr-HR" w:eastAsia="zh-CN"/>
        </w:rPr>
        <w:t>нивоа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међусекторског</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интерсекторског</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дјеловања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интеграције</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јавних</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политика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свим</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сегментима</w:t>
      </w:r>
      <w:r w:rsidR="0042679D" w:rsidRPr="00295637">
        <w:rPr>
          <w:rFonts w:ascii="Times New Roman" w:eastAsia="SimSun" w:hAnsi="Times New Roman"/>
          <w:bCs/>
          <w:lang w:val="sr-Cyrl-BA" w:eastAsia="zh-CN"/>
        </w:rPr>
        <w:t xml:space="preserve"> </w:t>
      </w:r>
      <w:r w:rsidR="00365A25">
        <w:rPr>
          <w:rFonts w:ascii="Times New Roman" w:eastAsia="SimSun" w:hAnsi="Times New Roman"/>
          <w:bCs/>
          <w:lang w:val="sr-Cyrl-BA" w:eastAsia="zh-CN"/>
        </w:rPr>
        <w:t>животне средине</w:t>
      </w:r>
      <w:r w:rsidR="0042679D">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42679D">
        <w:rPr>
          <w:rFonts w:ascii="Times New Roman" w:eastAsia="SimSun" w:hAnsi="Times New Roman"/>
          <w:bCs/>
          <w:lang w:val="sr-Cyrl-BA" w:eastAsia="zh-CN"/>
        </w:rPr>
        <w:t xml:space="preserve"> </w:t>
      </w:r>
      <w:r>
        <w:rPr>
          <w:rFonts w:ascii="Times New Roman" w:eastAsia="SimSun" w:hAnsi="Times New Roman"/>
          <w:bCs/>
          <w:lang w:val="sr-Cyrl-BA" w:eastAsia="zh-CN"/>
        </w:rPr>
        <w:t>оквиру</w:t>
      </w:r>
      <w:r w:rsidR="0042679D">
        <w:rPr>
          <w:rFonts w:ascii="Times New Roman" w:eastAsia="SimSun" w:hAnsi="Times New Roman"/>
          <w:bCs/>
          <w:lang w:val="sr-Cyrl-BA" w:eastAsia="zh-CN"/>
        </w:rPr>
        <w:t xml:space="preserve"> </w:t>
      </w:r>
      <w:r>
        <w:rPr>
          <w:rFonts w:ascii="Times New Roman" w:eastAsia="SimSun" w:hAnsi="Times New Roman"/>
          <w:bCs/>
          <w:lang w:val="sr-Cyrl-BA" w:eastAsia="zh-CN"/>
        </w:rPr>
        <w:t>којег</w:t>
      </w:r>
      <w:r w:rsidR="0042679D">
        <w:rPr>
          <w:rFonts w:ascii="Times New Roman" w:eastAsia="SimSun" w:hAnsi="Times New Roman"/>
          <w:bCs/>
          <w:lang w:val="sr-Cyrl-BA" w:eastAsia="zh-CN"/>
        </w:rPr>
        <w:t xml:space="preserve"> </w:t>
      </w:r>
      <w:r>
        <w:rPr>
          <w:rFonts w:ascii="Times New Roman" w:eastAsia="SimSun" w:hAnsi="Times New Roman"/>
          <w:bCs/>
          <w:lang w:val="sr-Cyrl-BA" w:eastAsia="zh-CN"/>
        </w:rPr>
        <w:t>је</w:t>
      </w:r>
      <w:r w:rsidR="0042679D" w:rsidRPr="00295637">
        <w:rPr>
          <w:rFonts w:ascii="Times New Roman" w:eastAsia="SimSun" w:hAnsi="Times New Roman"/>
          <w:bCs/>
          <w:lang w:val="sr-Cyrl-BA" w:eastAsia="zh-CN"/>
        </w:rPr>
        <w:t xml:space="preserve"> </w:t>
      </w:r>
      <w:r>
        <w:rPr>
          <w:rFonts w:ascii="Times New Roman" w:eastAsia="SimSun" w:hAnsi="Times New Roman"/>
          <w:bCs/>
          <w:lang w:val="bs-Latn-BA" w:eastAsia="zh-CN"/>
        </w:rPr>
        <w:t>п</w:t>
      </w:r>
      <w:r>
        <w:rPr>
          <w:rFonts w:ascii="Times New Roman" w:eastAsia="SimSun" w:hAnsi="Times New Roman"/>
          <w:bCs/>
          <w:lang w:val="sr-Cyrl-BA" w:eastAsia="zh-CN"/>
        </w:rPr>
        <w:t>ланирано</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унапређење</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ст</w:t>
      </w:r>
      <w:r>
        <w:rPr>
          <w:rFonts w:ascii="Times New Roman" w:eastAsia="SimSun" w:hAnsi="Times New Roman"/>
          <w:bCs/>
          <w:lang w:val="hr-HR" w:eastAsia="zh-CN"/>
        </w:rPr>
        <w:t>епена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интеграције</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стандарда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принципа</w:t>
      </w:r>
      <w:r w:rsidR="0042679D" w:rsidRPr="00295637">
        <w:rPr>
          <w:rFonts w:ascii="Times New Roman" w:eastAsia="SimSun" w:hAnsi="Times New Roman"/>
          <w:bCs/>
          <w:lang w:val="sr-Cyrl-BA" w:eastAsia="zh-CN"/>
        </w:rPr>
        <w:t xml:space="preserve"> </w:t>
      </w:r>
      <w:r>
        <w:rPr>
          <w:rFonts w:ascii="Times New Roman" w:hAnsi="Times New Roman"/>
        </w:rPr>
        <w:t>равноправности</w:t>
      </w:r>
      <w:r w:rsidR="0042679D" w:rsidRPr="00295637">
        <w:rPr>
          <w:rFonts w:ascii="Times New Roman" w:hAnsi="Times New Roman"/>
        </w:rPr>
        <w:t xml:space="preserve"> </w:t>
      </w:r>
      <w:r>
        <w:rPr>
          <w:rFonts w:ascii="Times New Roman" w:hAnsi="Times New Roman"/>
        </w:rPr>
        <w:t>полова</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кључне</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политике</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стратегије</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програме</w:t>
      </w:r>
      <w:r w:rsidR="0042679D"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42679D" w:rsidRPr="00295637">
        <w:rPr>
          <w:rFonts w:ascii="Times New Roman" w:eastAsia="SimSun" w:hAnsi="Times New Roman"/>
          <w:bCs/>
          <w:lang w:val="sr-Cyrl-BA" w:eastAsia="zh-CN"/>
        </w:rPr>
        <w:t xml:space="preserve"> </w:t>
      </w:r>
      <w:r>
        <w:rPr>
          <w:rFonts w:ascii="Times New Roman" w:eastAsia="SimSun" w:hAnsi="Times New Roman"/>
          <w:bCs/>
          <w:lang w:val="hr-HR" w:eastAsia="zh-CN"/>
        </w:rPr>
        <w:t>области</w:t>
      </w:r>
      <w:r w:rsidR="00A77628">
        <w:rPr>
          <w:rFonts w:ascii="Times New Roman" w:eastAsia="SimSun" w:hAnsi="Times New Roman"/>
          <w:bCs/>
          <w:lang w:val="hr-HR" w:eastAsia="zh-CN"/>
        </w:rPr>
        <w:t xml:space="preserve"> </w:t>
      </w:r>
      <w:r w:rsidR="00365A25">
        <w:rPr>
          <w:rFonts w:ascii="Times New Roman" w:eastAsia="SimSun" w:hAnsi="Times New Roman"/>
          <w:bCs/>
          <w:lang w:val="sr-Cyrl-BA" w:eastAsia="zh-CN"/>
        </w:rPr>
        <w:t>животне средине</w:t>
      </w:r>
      <w:r w:rsidR="00CD0B0D">
        <w:rPr>
          <w:rFonts w:ascii="Times New Roman" w:eastAsia="SimSun" w:hAnsi="Times New Roman"/>
          <w:bCs/>
          <w:lang w:val="bs-Latn-BA" w:eastAsia="zh-CN"/>
        </w:rPr>
        <w:t>.</w:t>
      </w:r>
    </w:p>
    <w:p w:rsidR="0042679D" w:rsidRPr="0009668B" w:rsidRDefault="0042679D" w:rsidP="0086268D">
      <w:pPr>
        <w:pStyle w:val="ListParagraph"/>
        <w:rPr>
          <w:rFonts w:ascii="Times New Roman" w:hAnsi="Times New Roman"/>
          <w:szCs w:val="24"/>
        </w:rPr>
      </w:pPr>
    </w:p>
    <w:p w:rsidR="0042679D" w:rsidRDefault="00C6214E" w:rsidP="0086268D">
      <w:pPr>
        <w:pStyle w:val="ListParagraph"/>
        <w:numPr>
          <w:ilvl w:val="0"/>
          <w:numId w:val="17"/>
        </w:numPr>
        <w:jc w:val="both"/>
        <w:rPr>
          <w:rFonts w:ascii="Times New Roman" w:hAnsi="Times New Roman"/>
          <w:szCs w:val="24"/>
        </w:rPr>
      </w:pP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оквиру</w:t>
      </w:r>
      <w:r w:rsidR="0042679D" w:rsidRPr="00295637">
        <w:rPr>
          <w:rFonts w:ascii="Times New Roman" w:hAnsi="Times New Roman"/>
          <w:szCs w:val="24"/>
        </w:rPr>
        <w:t xml:space="preserve"> </w:t>
      </w:r>
      <w:r>
        <w:rPr>
          <w:rFonts w:ascii="Times New Roman" w:hAnsi="Times New Roman"/>
          <w:szCs w:val="24"/>
        </w:rPr>
        <w:t>Међународног</w:t>
      </w:r>
      <w:r w:rsidR="0042679D" w:rsidRPr="00295637">
        <w:rPr>
          <w:rFonts w:ascii="Times New Roman" w:hAnsi="Times New Roman"/>
          <w:szCs w:val="24"/>
        </w:rPr>
        <w:t xml:space="preserve"> </w:t>
      </w:r>
      <w:r>
        <w:rPr>
          <w:rFonts w:ascii="Times New Roman" w:hAnsi="Times New Roman"/>
          <w:szCs w:val="24"/>
        </w:rPr>
        <w:t>покрета</w:t>
      </w:r>
      <w:r w:rsidR="0042679D" w:rsidRPr="00295637">
        <w:rPr>
          <w:rFonts w:ascii="Times New Roman" w:hAnsi="Times New Roman"/>
          <w:szCs w:val="24"/>
        </w:rPr>
        <w:t xml:space="preserve"> </w:t>
      </w:r>
      <w:r w:rsidR="009C6ECA">
        <w:rPr>
          <w:rFonts w:ascii="Times New Roman" w:hAnsi="Times New Roman"/>
          <w:szCs w:val="24"/>
        </w:rPr>
        <w:t>„</w:t>
      </w:r>
      <w:r>
        <w:rPr>
          <w:rFonts w:ascii="Times New Roman" w:hAnsi="Times New Roman"/>
          <w:szCs w:val="24"/>
        </w:rPr>
        <w:t>Генерација</w:t>
      </w:r>
      <w:r w:rsidR="0042679D" w:rsidRPr="00295637">
        <w:rPr>
          <w:rFonts w:ascii="Times New Roman" w:hAnsi="Times New Roman"/>
          <w:szCs w:val="24"/>
        </w:rPr>
        <w:t xml:space="preserve"> </w:t>
      </w:r>
      <w:r>
        <w:rPr>
          <w:rFonts w:ascii="Times New Roman" w:hAnsi="Times New Roman"/>
          <w:szCs w:val="24"/>
        </w:rPr>
        <w:t>за</w:t>
      </w:r>
      <w:r w:rsidR="0042679D" w:rsidRPr="00295637">
        <w:rPr>
          <w:rFonts w:ascii="Times New Roman" w:hAnsi="Times New Roman"/>
          <w:szCs w:val="24"/>
        </w:rPr>
        <w:t xml:space="preserve"> </w:t>
      </w:r>
      <w:r>
        <w:rPr>
          <w:rFonts w:ascii="Times New Roman" w:hAnsi="Times New Roman"/>
          <w:szCs w:val="24"/>
        </w:rPr>
        <w:t>равноправност</w:t>
      </w:r>
      <w:r w:rsidR="009C6ECA">
        <w:rPr>
          <w:rFonts w:ascii="Times New Roman" w:hAnsi="Times New Roman"/>
          <w:szCs w:val="24"/>
        </w:rPr>
        <w:t>“</w:t>
      </w:r>
      <w:r w:rsidR="0042679D" w:rsidRPr="00295637">
        <w:rPr>
          <w:rFonts w:ascii="Times New Roman" w:hAnsi="Times New Roman"/>
          <w:szCs w:val="24"/>
        </w:rPr>
        <w:t xml:space="preserve">, </w:t>
      </w:r>
      <w:r>
        <w:rPr>
          <w:rFonts w:ascii="Times New Roman" w:hAnsi="Times New Roman"/>
          <w:szCs w:val="24"/>
        </w:rPr>
        <w:t>чиј</w:t>
      </w:r>
      <w:r w:rsidR="00365A25">
        <w:rPr>
          <w:rFonts w:ascii="Times New Roman" w:hAnsi="Times New Roman"/>
          <w:szCs w:val="24"/>
          <w:lang w:val="sr-Cyrl-BA"/>
        </w:rPr>
        <w:t>и</w:t>
      </w:r>
      <w:r w:rsidR="008A65D0">
        <w:rPr>
          <w:rFonts w:ascii="Times New Roman" w:hAnsi="Times New Roman"/>
          <w:szCs w:val="24"/>
          <w:lang w:val="sr-Cyrl-BA"/>
        </w:rPr>
        <w:t>м</w:t>
      </w:r>
      <w:r w:rsidR="0042679D" w:rsidRPr="00295637">
        <w:rPr>
          <w:rFonts w:ascii="Times New Roman" w:hAnsi="Times New Roman"/>
          <w:szCs w:val="24"/>
        </w:rPr>
        <w:t xml:space="preserve"> </w:t>
      </w:r>
      <w:r w:rsidR="00365A25">
        <w:rPr>
          <w:rFonts w:ascii="Times New Roman" w:hAnsi="Times New Roman"/>
          <w:szCs w:val="24"/>
          <w:lang w:val="sr-Cyrl-BA"/>
        </w:rPr>
        <w:t>спровођењем</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Босни</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Херцеговини</w:t>
      </w:r>
      <w:r w:rsidR="0042679D" w:rsidRPr="00295637">
        <w:rPr>
          <w:rFonts w:ascii="Times New Roman" w:hAnsi="Times New Roman"/>
          <w:szCs w:val="24"/>
        </w:rPr>
        <w:t xml:space="preserve"> </w:t>
      </w:r>
      <w:r>
        <w:rPr>
          <w:rFonts w:ascii="Times New Roman" w:hAnsi="Times New Roman"/>
          <w:szCs w:val="24"/>
        </w:rPr>
        <w:t>заједно</w:t>
      </w:r>
      <w:r w:rsidR="00A77628">
        <w:rPr>
          <w:rFonts w:ascii="Times New Roman" w:hAnsi="Times New Roman"/>
          <w:szCs w:val="24"/>
        </w:rPr>
        <w:t xml:space="preserve"> </w:t>
      </w:r>
      <w:r>
        <w:rPr>
          <w:rFonts w:ascii="Times New Roman" w:hAnsi="Times New Roman"/>
          <w:szCs w:val="24"/>
        </w:rPr>
        <w:t>са</w:t>
      </w:r>
      <w:r w:rsidR="00D30E48">
        <w:rPr>
          <w:rFonts w:ascii="Times New Roman" w:hAnsi="Times New Roman"/>
          <w:szCs w:val="24"/>
        </w:rPr>
        <w:t xml:space="preserve"> </w:t>
      </w:r>
      <w:r>
        <w:rPr>
          <w:rFonts w:ascii="Times New Roman" w:hAnsi="Times New Roman"/>
          <w:szCs w:val="24"/>
        </w:rPr>
        <w:t>УН</w:t>
      </w:r>
      <w:r w:rsidR="00D30E48">
        <w:rPr>
          <w:rFonts w:ascii="Times New Roman" w:hAnsi="Times New Roman"/>
          <w:szCs w:val="24"/>
        </w:rPr>
        <w:t>-</w:t>
      </w:r>
      <w:r>
        <w:rPr>
          <w:rFonts w:ascii="Times New Roman" w:hAnsi="Times New Roman"/>
          <w:szCs w:val="24"/>
        </w:rPr>
        <w:t>агенцијама</w:t>
      </w:r>
      <w:r w:rsidR="00D30E48">
        <w:rPr>
          <w:rFonts w:ascii="Times New Roman" w:hAnsi="Times New Roman"/>
          <w:szCs w:val="24"/>
        </w:rPr>
        <w:t xml:space="preserve"> </w:t>
      </w:r>
      <w:r>
        <w:rPr>
          <w:rFonts w:ascii="Times New Roman" w:hAnsi="Times New Roman"/>
          <w:szCs w:val="24"/>
        </w:rPr>
        <w:t>у</w:t>
      </w:r>
      <w:r w:rsidR="00D30E48">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Pr>
          <w:rFonts w:ascii="Times New Roman" w:hAnsi="Times New Roman"/>
          <w:szCs w:val="24"/>
        </w:rPr>
        <w:t>координи</w:t>
      </w:r>
      <w:r w:rsidR="00960217">
        <w:rPr>
          <w:rFonts w:ascii="Times New Roman" w:hAnsi="Times New Roman"/>
          <w:szCs w:val="24"/>
          <w:lang w:val="sr-Cyrl-BA"/>
        </w:rPr>
        <w:t>ше</w:t>
      </w:r>
      <w:r w:rsidR="0042679D" w:rsidRPr="00295637">
        <w:rPr>
          <w:rFonts w:ascii="Times New Roman" w:hAnsi="Times New Roman"/>
          <w:szCs w:val="24"/>
        </w:rPr>
        <w:t xml:space="preserve"> </w:t>
      </w:r>
      <w:r>
        <w:rPr>
          <w:rFonts w:ascii="Times New Roman" w:hAnsi="Times New Roman"/>
          <w:szCs w:val="24"/>
        </w:rPr>
        <w:t>АР</w:t>
      </w:r>
      <w:r w:rsidR="00960217">
        <w:rPr>
          <w:rFonts w:ascii="Times New Roman" w:hAnsi="Times New Roman"/>
          <w:szCs w:val="24"/>
          <w:lang w:val="sr-Cyrl-BA"/>
        </w:rPr>
        <w:t>П</w:t>
      </w:r>
      <w:r w:rsidR="00A77628">
        <w:rPr>
          <w:rFonts w:ascii="Times New Roman" w:hAnsi="Times New Roman"/>
          <w:szCs w:val="24"/>
        </w:rPr>
        <w:t xml:space="preserve"> </w:t>
      </w:r>
      <w:r>
        <w:rPr>
          <w:rFonts w:ascii="Times New Roman" w:hAnsi="Times New Roman"/>
          <w:szCs w:val="24"/>
        </w:rPr>
        <w:t>БиХ</w:t>
      </w:r>
      <w:r w:rsidR="00A77628">
        <w:rPr>
          <w:rFonts w:ascii="Times New Roman" w:hAnsi="Times New Roman"/>
          <w:szCs w:val="24"/>
        </w:rPr>
        <w:t xml:space="preserve"> </w:t>
      </w:r>
      <w:r>
        <w:rPr>
          <w:rFonts w:ascii="Times New Roman" w:hAnsi="Times New Roman"/>
          <w:szCs w:val="24"/>
        </w:rPr>
        <w:t>МЉПИ</w:t>
      </w:r>
      <w:r w:rsidR="00A77628">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sidR="00960217">
        <w:rPr>
          <w:rFonts w:ascii="Times New Roman" w:hAnsi="Times New Roman"/>
          <w:szCs w:val="24"/>
          <w:lang w:val="sr-Cyrl-BA"/>
        </w:rPr>
        <w:t>спроведене</w:t>
      </w:r>
      <w:r w:rsidR="0042679D" w:rsidRPr="00295637">
        <w:rPr>
          <w:rFonts w:ascii="Times New Roman" w:hAnsi="Times New Roman"/>
          <w:szCs w:val="24"/>
        </w:rPr>
        <w:t xml:space="preserve"> </w:t>
      </w:r>
      <w:r>
        <w:rPr>
          <w:rFonts w:ascii="Times New Roman" w:hAnsi="Times New Roman"/>
          <w:szCs w:val="24"/>
        </w:rPr>
        <w:t>су</w:t>
      </w:r>
      <w:r w:rsidR="0042679D" w:rsidRPr="00295637">
        <w:rPr>
          <w:rFonts w:ascii="Times New Roman" w:hAnsi="Times New Roman"/>
          <w:szCs w:val="24"/>
        </w:rPr>
        <w:t xml:space="preserve"> </w:t>
      </w:r>
      <w:r>
        <w:rPr>
          <w:rFonts w:ascii="Times New Roman" w:hAnsi="Times New Roman"/>
          <w:szCs w:val="24"/>
        </w:rPr>
        <w:t>активности</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оквиру</w:t>
      </w:r>
      <w:r w:rsidR="0042679D" w:rsidRPr="00295637">
        <w:rPr>
          <w:rFonts w:ascii="Times New Roman" w:hAnsi="Times New Roman"/>
          <w:szCs w:val="24"/>
        </w:rPr>
        <w:t xml:space="preserve"> </w:t>
      </w:r>
      <w:r>
        <w:rPr>
          <w:rFonts w:ascii="Times New Roman" w:hAnsi="Times New Roman"/>
          <w:szCs w:val="24"/>
        </w:rPr>
        <w:t>четири</w:t>
      </w:r>
      <w:r w:rsidR="0042679D" w:rsidRPr="00295637">
        <w:rPr>
          <w:rFonts w:ascii="Times New Roman" w:hAnsi="Times New Roman"/>
          <w:szCs w:val="24"/>
        </w:rPr>
        <w:t xml:space="preserve"> </w:t>
      </w:r>
      <w:r>
        <w:rPr>
          <w:rFonts w:ascii="Times New Roman" w:hAnsi="Times New Roman"/>
          <w:szCs w:val="24"/>
        </w:rPr>
        <w:t>акционе</w:t>
      </w:r>
      <w:r w:rsidR="0042679D" w:rsidRPr="00295637">
        <w:rPr>
          <w:rFonts w:ascii="Times New Roman" w:hAnsi="Times New Roman"/>
          <w:szCs w:val="24"/>
        </w:rPr>
        <w:t xml:space="preserve"> </w:t>
      </w:r>
      <w:r>
        <w:rPr>
          <w:rFonts w:ascii="Times New Roman" w:hAnsi="Times New Roman"/>
          <w:szCs w:val="24"/>
        </w:rPr>
        <w:t>коалиције</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то</w:t>
      </w:r>
      <w:r w:rsidR="0042679D" w:rsidRPr="00295637">
        <w:rPr>
          <w:rFonts w:ascii="Times New Roman" w:hAnsi="Times New Roman"/>
          <w:szCs w:val="24"/>
        </w:rPr>
        <w:t xml:space="preserve"> „</w:t>
      </w:r>
      <w:r>
        <w:rPr>
          <w:rFonts w:ascii="Times New Roman" w:hAnsi="Times New Roman"/>
          <w:szCs w:val="24"/>
        </w:rPr>
        <w:t>Сексуално</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репродуктивно</w:t>
      </w:r>
      <w:r w:rsidR="0042679D" w:rsidRPr="00295637">
        <w:rPr>
          <w:rFonts w:ascii="Times New Roman" w:hAnsi="Times New Roman"/>
          <w:szCs w:val="24"/>
        </w:rPr>
        <w:t xml:space="preserve"> </w:t>
      </w:r>
      <w:r>
        <w:rPr>
          <w:rFonts w:ascii="Times New Roman" w:hAnsi="Times New Roman"/>
          <w:szCs w:val="24"/>
        </w:rPr>
        <w:t>здравље</w:t>
      </w:r>
      <w:r w:rsidR="0042679D" w:rsidRPr="00295637">
        <w:rPr>
          <w:rFonts w:ascii="Times New Roman" w:hAnsi="Times New Roman"/>
          <w:szCs w:val="24"/>
        </w:rPr>
        <w:t>“, „</w:t>
      </w:r>
      <w:r>
        <w:rPr>
          <w:rFonts w:ascii="Times New Roman" w:hAnsi="Times New Roman"/>
          <w:szCs w:val="24"/>
        </w:rPr>
        <w:t>Економска</w:t>
      </w:r>
      <w:r w:rsidR="0042679D" w:rsidRPr="00295637">
        <w:rPr>
          <w:rFonts w:ascii="Times New Roman" w:hAnsi="Times New Roman"/>
          <w:szCs w:val="24"/>
        </w:rPr>
        <w:t xml:space="preserve"> </w:t>
      </w:r>
      <w:r>
        <w:rPr>
          <w:rFonts w:ascii="Times New Roman" w:hAnsi="Times New Roman"/>
          <w:szCs w:val="24"/>
        </w:rPr>
        <w:t>права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правда</w:t>
      </w:r>
      <w:r w:rsidR="0042679D" w:rsidRPr="00295637">
        <w:rPr>
          <w:rFonts w:ascii="Times New Roman" w:hAnsi="Times New Roman"/>
          <w:szCs w:val="24"/>
        </w:rPr>
        <w:t>“, „</w:t>
      </w:r>
      <w:r>
        <w:rPr>
          <w:rFonts w:ascii="Times New Roman" w:hAnsi="Times New Roman"/>
          <w:szCs w:val="24"/>
        </w:rPr>
        <w:t>Родно</w:t>
      </w:r>
      <w:r w:rsidR="0042679D" w:rsidRPr="00295637">
        <w:rPr>
          <w:rFonts w:ascii="Times New Roman" w:hAnsi="Times New Roman"/>
          <w:szCs w:val="24"/>
        </w:rPr>
        <w:t xml:space="preserve"> </w:t>
      </w:r>
      <w:r>
        <w:rPr>
          <w:rFonts w:ascii="Times New Roman" w:hAnsi="Times New Roman"/>
          <w:szCs w:val="24"/>
        </w:rPr>
        <w:t>засновано</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сексуално</w:t>
      </w:r>
      <w:r w:rsidR="0042679D" w:rsidRPr="00295637">
        <w:rPr>
          <w:rFonts w:ascii="Times New Roman" w:hAnsi="Times New Roman"/>
          <w:szCs w:val="24"/>
        </w:rPr>
        <w:t xml:space="preserve"> </w:t>
      </w:r>
      <w:r>
        <w:rPr>
          <w:rFonts w:ascii="Times New Roman" w:hAnsi="Times New Roman"/>
          <w:szCs w:val="24"/>
        </w:rPr>
        <w:t>насиље</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Клима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род</w:t>
      </w:r>
      <w:r w:rsidR="0042679D" w:rsidRPr="00295637">
        <w:rPr>
          <w:rFonts w:ascii="Times New Roman" w:hAnsi="Times New Roman"/>
          <w:szCs w:val="24"/>
        </w:rPr>
        <w:t xml:space="preserve">“. </w:t>
      </w:r>
    </w:p>
    <w:p w:rsidR="0042679D" w:rsidRPr="002451EB" w:rsidRDefault="0042679D" w:rsidP="0086268D">
      <w:pPr>
        <w:pStyle w:val="ListParagraph"/>
        <w:rPr>
          <w:rFonts w:ascii="Times New Roman" w:hAnsi="Times New Roman"/>
          <w:szCs w:val="24"/>
        </w:rPr>
      </w:pPr>
    </w:p>
    <w:p w:rsidR="0042679D" w:rsidRPr="002451EB" w:rsidRDefault="00C6214E" w:rsidP="0086268D">
      <w:pPr>
        <w:pStyle w:val="ListParagraph"/>
        <w:numPr>
          <w:ilvl w:val="0"/>
          <w:numId w:val="17"/>
        </w:numPr>
        <w:jc w:val="both"/>
        <w:rPr>
          <w:rFonts w:ascii="Times New Roman" w:hAnsi="Times New Roman"/>
          <w:szCs w:val="24"/>
        </w:rPr>
      </w:pPr>
      <w:r>
        <w:rPr>
          <w:rFonts w:ascii="Times New Roman" w:hAnsi="Times New Roman"/>
          <w:szCs w:val="24"/>
        </w:rPr>
        <w:t>У</w:t>
      </w:r>
      <w:r w:rsidR="0042679D" w:rsidRPr="002451EB">
        <w:rPr>
          <w:rFonts w:ascii="Times New Roman" w:hAnsi="Times New Roman"/>
          <w:szCs w:val="24"/>
        </w:rPr>
        <w:t xml:space="preserve"> </w:t>
      </w:r>
      <w:r>
        <w:rPr>
          <w:rFonts w:ascii="Times New Roman" w:hAnsi="Times New Roman"/>
          <w:szCs w:val="24"/>
        </w:rPr>
        <w:t>извјештајном</w:t>
      </w:r>
      <w:r w:rsidR="0042679D" w:rsidRPr="002451EB">
        <w:rPr>
          <w:rFonts w:ascii="Times New Roman" w:hAnsi="Times New Roman"/>
          <w:szCs w:val="24"/>
        </w:rPr>
        <w:t xml:space="preserve"> </w:t>
      </w:r>
      <w:r>
        <w:rPr>
          <w:rFonts w:ascii="Times New Roman" w:hAnsi="Times New Roman"/>
          <w:szCs w:val="24"/>
        </w:rPr>
        <w:t>периоду</w:t>
      </w:r>
      <w:r w:rsidR="0042679D">
        <w:rPr>
          <w:rFonts w:ascii="Times New Roman" w:hAnsi="Times New Roman"/>
          <w:szCs w:val="24"/>
        </w:rPr>
        <w:t>,</w:t>
      </w:r>
      <w:r w:rsidR="0042679D" w:rsidRPr="002451EB">
        <w:rPr>
          <w:rFonts w:ascii="Times New Roman" w:hAnsi="Times New Roman"/>
          <w:szCs w:val="24"/>
        </w:rPr>
        <w:t xml:space="preserve"> </w:t>
      </w:r>
      <w:r>
        <w:rPr>
          <w:rFonts w:ascii="Times New Roman" w:hAnsi="Times New Roman"/>
          <w:szCs w:val="24"/>
        </w:rPr>
        <w:t>АР</w:t>
      </w:r>
      <w:r w:rsidR="00960217">
        <w:rPr>
          <w:rFonts w:ascii="Times New Roman" w:hAnsi="Times New Roman"/>
          <w:szCs w:val="24"/>
          <w:lang w:val="sr-Cyrl-BA"/>
        </w:rPr>
        <w:t>П</w:t>
      </w:r>
      <w:r w:rsidR="00A77628">
        <w:rPr>
          <w:rFonts w:ascii="Times New Roman" w:hAnsi="Times New Roman"/>
          <w:szCs w:val="24"/>
        </w:rPr>
        <w:t xml:space="preserve"> </w:t>
      </w:r>
      <w:r>
        <w:rPr>
          <w:rFonts w:ascii="Times New Roman" w:hAnsi="Times New Roman"/>
          <w:szCs w:val="24"/>
        </w:rPr>
        <w:t>БиХ</w:t>
      </w:r>
      <w:r w:rsidR="00A77628">
        <w:rPr>
          <w:rFonts w:ascii="Times New Roman" w:hAnsi="Times New Roman"/>
          <w:szCs w:val="24"/>
        </w:rPr>
        <w:t xml:space="preserve"> </w:t>
      </w:r>
      <w:r>
        <w:rPr>
          <w:rFonts w:ascii="Times New Roman" w:hAnsi="Times New Roman"/>
          <w:szCs w:val="24"/>
        </w:rPr>
        <w:t>МЉПИ</w:t>
      </w:r>
      <w:r w:rsidR="00A77628">
        <w:rPr>
          <w:rFonts w:ascii="Times New Roman" w:hAnsi="Times New Roman"/>
          <w:szCs w:val="24"/>
        </w:rPr>
        <w:t xml:space="preserve"> </w:t>
      </w:r>
      <w:r>
        <w:rPr>
          <w:rFonts w:ascii="Times New Roman" w:hAnsi="Times New Roman"/>
          <w:szCs w:val="24"/>
        </w:rPr>
        <w:t>БиХ</w:t>
      </w:r>
      <w:r w:rsidR="00A77628">
        <w:rPr>
          <w:rFonts w:ascii="Times New Roman" w:hAnsi="Times New Roman"/>
          <w:szCs w:val="24"/>
        </w:rPr>
        <w:t xml:space="preserve"> </w:t>
      </w:r>
      <w:r>
        <w:rPr>
          <w:rFonts w:ascii="Times New Roman" w:hAnsi="Times New Roman"/>
          <w:szCs w:val="24"/>
        </w:rPr>
        <w:t>је</w:t>
      </w:r>
      <w:r w:rsidR="00A77628">
        <w:rPr>
          <w:rFonts w:ascii="Times New Roman" w:hAnsi="Times New Roman"/>
          <w:szCs w:val="24"/>
        </w:rPr>
        <w:t xml:space="preserve"> </w:t>
      </w:r>
      <w:r>
        <w:rPr>
          <w:rFonts w:ascii="Times New Roman" w:hAnsi="Times New Roman"/>
          <w:szCs w:val="24"/>
        </w:rPr>
        <w:t>са</w:t>
      </w:r>
      <w:r w:rsidR="0042679D" w:rsidRPr="002451EB">
        <w:rPr>
          <w:rFonts w:ascii="Times New Roman" w:hAnsi="Times New Roman"/>
          <w:szCs w:val="24"/>
        </w:rPr>
        <w:t xml:space="preserve"> </w:t>
      </w:r>
      <w:r w:rsidR="00960217" w:rsidRPr="00960217">
        <w:rPr>
          <w:rFonts w:ascii="Times New Roman" w:hAnsi="Times New Roman"/>
          <w:i/>
          <w:szCs w:val="24"/>
        </w:rPr>
        <w:t>UNDP</w:t>
      </w:r>
      <w:r w:rsidR="0042679D" w:rsidRPr="002451EB">
        <w:rPr>
          <w:rFonts w:ascii="Times New Roman" w:hAnsi="Times New Roman"/>
          <w:szCs w:val="24"/>
        </w:rPr>
        <w:t xml:space="preserve"> </w:t>
      </w:r>
      <w:r w:rsidR="00960217">
        <w:rPr>
          <w:rFonts w:ascii="Times New Roman" w:hAnsi="Times New Roman"/>
          <w:szCs w:val="24"/>
          <w:lang w:val="sr-Cyrl-BA"/>
        </w:rPr>
        <w:t>спроводила</w:t>
      </w:r>
      <w:r w:rsidR="0042679D" w:rsidRPr="002451EB">
        <w:rPr>
          <w:rFonts w:ascii="Times New Roman" w:hAnsi="Times New Roman"/>
          <w:szCs w:val="24"/>
        </w:rPr>
        <w:t xml:space="preserve"> </w:t>
      </w:r>
      <w:r>
        <w:rPr>
          <w:rFonts w:ascii="Times New Roman" w:hAnsi="Times New Roman"/>
          <w:szCs w:val="24"/>
        </w:rPr>
        <w:t>заједничку</w:t>
      </w:r>
      <w:r w:rsidR="0042679D" w:rsidRPr="002451EB">
        <w:rPr>
          <w:rFonts w:ascii="Times New Roman" w:hAnsi="Times New Roman"/>
          <w:szCs w:val="24"/>
        </w:rPr>
        <w:t xml:space="preserve"> </w:t>
      </w:r>
      <w:r>
        <w:rPr>
          <w:rFonts w:ascii="Times New Roman" w:hAnsi="Times New Roman"/>
          <w:szCs w:val="24"/>
        </w:rPr>
        <w:t>иницијативу</w:t>
      </w:r>
      <w:r w:rsidR="0042679D" w:rsidRPr="002451EB">
        <w:rPr>
          <w:rFonts w:ascii="Times New Roman" w:hAnsi="Times New Roman"/>
          <w:szCs w:val="24"/>
        </w:rPr>
        <w:t xml:space="preserve"> „</w:t>
      </w:r>
      <w:r>
        <w:rPr>
          <w:rFonts w:ascii="Times New Roman" w:hAnsi="Times New Roman"/>
          <w:szCs w:val="24"/>
        </w:rPr>
        <w:t>Коалиција</w:t>
      </w:r>
      <w:r w:rsidR="0042679D" w:rsidRPr="002451EB">
        <w:rPr>
          <w:rFonts w:ascii="Times New Roman" w:hAnsi="Times New Roman"/>
          <w:szCs w:val="24"/>
        </w:rPr>
        <w:t xml:space="preserve"> </w:t>
      </w:r>
      <w:r>
        <w:rPr>
          <w:rFonts w:ascii="Times New Roman" w:hAnsi="Times New Roman"/>
          <w:szCs w:val="24"/>
        </w:rPr>
        <w:t>за</w:t>
      </w:r>
      <w:r w:rsidR="0042679D" w:rsidRPr="002451EB">
        <w:rPr>
          <w:rFonts w:ascii="Times New Roman" w:hAnsi="Times New Roman"/>
          <w:szCs w:val="24"/>
        </w:rPr>
        <w:t xml:space="preserve"> </w:t>
      </w:r>
      <w:r>
        <w:rPr>
          <w:rFonts w:ascii="Times New Roman" w:hAnsi="Times New Roman"/>
          <w:szCs w:val="24"/>
        </w:rPr>
        <w:t>род</w:t>
      </w:r>
      <w:r w:rsidR="0042679D" w:rsidRPr="002451EB">
        <w:rPr>
          <w:rFonts w:ascii="Times New Roman" w:hAnsi="Times New Roman"/>
          <w:szCs w:val="24"/>
        </w:rPr>
        <w:t xml:space="preserve"> </w:t>
      </w:r>
      <w:r>
        <w:rPr>
          <w:rFonts w:ascii="Times New Roman" w:hAnsi="Times New Roman"/>
          <w:szCs w:val="24"/>
        </w:rPr>
        <w:t>и</w:t>
      </w:r>
      <w:r w:rsidR="0042679D" w:rsidRPr="002451EB">
        <w:rPr>
          <w:rFonts w:ascii="Times New Roman" w:hAnsi="Times New Roman"/>
          <w:szCs w:val="24"/>
        </w:rPr>
        <w:t xml:space="preserve"> </w:t>
      </w:r>
      <w:r>
        <w:rPr>
          <w:rFonts w:ascii="Times New Roman" w:hAnsi="Times New Roman"/>
          <w:szCs w:val="24"/>
        </w:rPr>
        <w:t>климу</w:t>
      </w:r>
      <w:r w:rsidR="0042679D" w:rsidRPr="002451EB">
        <w:rPr>
          <w:rFonts w:ascii="Times New Roman" w:hAnsi="Times New Roman"/>
          <w:szCs w:val="24"/>
        </w:rPr>
        <w:t>“,</w:t>
      </w:r>
      <w:r w:rsidR="0042679D" w:rsidRPr="002451EB">
        <w:rPr>
          <w:rFonts w:ascii="Times New Roman" w:hAnsi="Times New Roman"/>
        </w:rPr>
        <w:t xml:space="preserve"> </w:t>
      </w:r>
      <w:r>
        <w:rPr>
          <w:rFonts w:ascii="Times New Roman" w:hAnsi="Times New Roman"/>
        </w:rPr>
        <w:t>као</w:t>
      </w:r>
      <w:r w:rsidR="0042679D" w:rsidRPr="002451EB">
        <w:rPr>
          <w:rFonts w:ascii="Times New Roman" w:hAnsi="Times New Roman"/>
        </w:rPr>
        <w:t xml:space="preserve"> </w:t>
      </w:r>
      <w:r>
        <w:rPr>
          <w:rFonts w:ascii="Times New Roman" w:hAnsi="Times New Roman"/>
        </w:rPr>
        <w:t>облик</w:t>
      </w:r>
      <w:r w:rsidR="0042679D" w:rsidRPr="002451EB">
        <w:rPr>
          <w:rFonts w:ascii="Times New Roman" w:hAnsi="Times New Roman"/>
        </w:rPr>
        <w:t xml:space="preserve"> </w:t>
      </w:r>
      <w:r>
        <w:rPr>
          <w:rFonts w:ascii="Times New Roman" w:hAnsi="Times New Roman"/>
        </w:rPr>
        <w:t>партнерства</w:t>
      </w:r>
      <w:r w:rsidR="0042679D" w:rsidRPr="002451EB">
        <w:rPr>
          <w:rFonts w:ascii="Times New Roman" w:hAnsi="Times New Roman"/>
        </w:rPr>
        <w:t xml:space="preserve"> </w:t>
      </w:r>
      <w:r>
        <w:rPr>
          <w:rFonts w:ascii="Times New Roman" w:hAnsi="Times New Roman"/>
        </w:rPr>
        <w:t>које</w:t>
      </w:r>
      <w:r w:rsidR="0042679D" w:rsidRPr="002451EB">
        <w:rPr>
          <w:rFonts w:ascii="Times New Roman" w:hAnsi="Times New Roman"/>
        </w:rPr>
        <w:t xml:space="preserve"> </w:t>
      </w:r>
      <w:r>
        <w:rPr>
          <w:rFonts w:ascii="Times New Roman" w:hAnsi="Times New Roman"/>
        </w:rPr>
        <w:t>повезује</w:t>
      </w:r>
      <w:r w:rsidR="0042679D" w:rsidRPr="002451EB">
        <w:rPr>
          <w:rFonts w:ascii="Times New Roman" w:hAnsi="Times New Roman"/>
        </w:rPr>
        <w:t xml:space="preserve"> </w:t>
      </w:r>
      <w:r>
        <w:rPr>
          <w:rFonts w:ascii="Times New Roman" w:hAnsi="Times New Roman"/>
        </w:rPr>
        <w:t>родну</w:t>
      </w:r>
      <w:r w:rsidR="0042679D" w:rsidRPr="002451EB">
        <w:rPr>
          <w:rFonts w:ascii="Times New Roman" w:hAnsi="Times New Roman"/>
        </w:rPr>
        <w:t xml:space="preserve"> </w:t>
      </w:r>
      <w:r>
        <w:rPr>
          <w:rFonts w:ascii="Times New Roman" w:hAnsi="Times New Roman"/>
        </w:rPr>
        <w:t>равноправност</w:t>
      </w:r>
      <w:r w:rsidR="0042679D" w:rsidRPr="002451EB">
        <w:rPr>
          <w:rFonts w:ascii="Times New Roman" w:hAnsi="Times New Roman"/>
        </w:rPr>
        <w:t xml:space="preserve"> </w:t>
      </w:r>
      <w:r>
        <w:rPr>
          <w:rFonts w:ascii="Times New Roman" w:hAnsi="Times New Roman"/>
        </w:rPr>
        <w:t>и</w:t>
      </w:r>
      <w:r w:rsidR="0042679D" w:rsidRPr="002451EB">
        <w:rPr>
          <w:rFonts w:ascii="Times New Roman" w:hAnsi="Times New Roman"/>
        </w:rPr>
        <w:t xml:space="preserve"> </w:t>
      </w:r>
      <w:r>
        <w:rPr>
          <w:rFonts w:ascii="Times New Roman" w:hAnsi="Times New Roman"/>
        </w:rPr>
        <w:t>климатске</w:t>
      </w:r>
      <w:r w:rsidR="0042679D" w:rsidRPr="002451EB">
        <w:rPr>
          <w:rFonts w:ascii="Times New Roman" w:hAnsi="Times New Roman"/>
        </w:rPr>
        <w:t xml:space="preserve"> </w:t>
      </w:r>
      <w:r>
        <w:rPr>
          <w:rFonts w:ascii="Times New Roman" w:hAnsi="Times New Roman"/>
        </w:rPr>
        <w:t>промјене</w:t>
      </w:r>
      <w:r w:rsidR="0042679D" w:rsidRPr="002451EB">
        <w:rPr>
          <w:rFonts w:ascii="Times New Roman" w:hAnsi="Times New Roman"/>
          <w:szCs w:val="24"/>
        </w:rPr>
        <w:t xml:space="preserve">. </w:t>
      </w:r>
      <w:r>
        <w:rPr>
          <w:rFonts w:ascii="Times New Roman" w:hAnsi="Times New Roman"/>
          <w:szCs w:val="24"/>
        </w:rPr>
        <w:t>Рађено</w:t>
      </w:r>
      <w:r w:rsidR="0042679D" w:rsidRPr="002451EB">
        <w:rPr>
          <w:rFonts w:ascii="Times New Roman" w:hAnsi="Times New Roman"/>
          <w:szCs w:val="24"/>
        </w:rPr>
        <w:t xml:space="preserve"> </w:t>
      </w:r>
      <w:r>
        <w:rPr>
          <w:rFonts w:ascii="Times New Roman" w:hAnsi="Times New Roman"/>
          <w:szCs w:val="24"/>
        </w:rPr>
        <w:t>је</w:t>
      </w:r>
      <w:r w:rsidR="0042679D" w:rsidRPr="002451EB">
        <w:rPr>
          <w:rFonts w:ascii="Times New Roman" w:hAnsi="Times New Roman"/>
          <w:szCs w:val="24"/>
        </w:rPr>
        <w:t xml:space="preserve"> </w:t>
      </w:r>
      <w:r>
        <w:rPr>
          <w:rFonts w:ascii="Times New Roman" w:hAnsi="Times New Roman"/>
          <w:szCs w:val="24"/>
        </w:rPr>
        <w:t>на</w:t>
      </w:r>
      <w:r w:rsidR="0042679D" w:rsidRPr="002451EB">
        <w:rPr>
          <w:rFonts w:ascii="Times New Roman" w:hAnsi="Times New Roman"/>
          <w:szCs w:val="24"/>
        </w:rPr>
        <w:t xml:space="preserve"> </w:t>
      </w:r>
      <w:r>
        <w:rPr>
          <w:rFonts w:ascii="Times New Roman" w:hAnsi="Times New Roman"/>
          <w:szCs w:val="24"/>
          <w:lang w:val="bs-Latn-BA"/>
        </w:rPr>
        <w:t>унапређењу</w:t>
      </w:r>
      <w:r w:rsidR="0042679D" w:rsidRPr="002451EB">
        <w:rPr>
          <w:rFonts w:ascii="Times New Roman" w:hAnsi="Times New Roman"/>
          <w:szCs w:val="24"/>
          <w:lang w:val="bs-Latn-BA"/>
        </w:rPr>
        <w:t xml:space="preserve"> </w:t>
      </w:r>
      <w:r>
        <w:rPr>
          <w:rFonts w:ascii="Times New Roman" w:hAnsi="Times New Roman"/>
          <w:szCs w:val="24"/>
          <w:lang w:val="bs-Latn-BA"/>
        </w:rPr>
        <w:t>система</w:t>
      </w:r>
      <w:r w:rsidR="0042679D" w:rsidRPr="002451EB">
        <w:rPr>
          <w:rFonts w:ascii="Times New Roman" w:hAnsi="Times New Roman"/>
          <w:szCs w:val="24"/>
          <w:lang w:val="bs-Latn-BA"/>
        </w:rPr>
        <w:t xml:space="preserve"> </w:t>
      </w:r>
      <w:r>
        <w:rPr>
          <w:rFonts w:ascii="Times New Roman" w:hAnsi="Times New Roman"/>
          <w:szCs w:val="24"/>
          <w:lang w:val="bs-Latn-BA"/>
        </w:rPr>
        <w:t>за</w:t>
      </w:r>
      <w:r w:rsidR="0042679D" w:rsidRPr="002451EB">
        <w:rPr>
          <w:rFonts w:ascii="Times New Roman" w:hAnsi="Times New Roman"/>
          <w:szCs w:val="24"/>
          <w:lang w:val="bs-Latn-BA"/>
        </w:rPr>
        <w:t xml:space="preserve"> </w:t>
      </w:r>
      <w:r>
        <w:rPr>
          <w:rFonts w:ascii="Times New Roman" w:hAnsi="Times New Roman"/>
          <w:szCs w:val="24"/>
          <w:lang w:val="bs-Latn-BA"/>
        </w:rPr>
        <w:t>прикупљање</w:t>
      </w:r>
      <w:r w:rsidR="0042679D" w:rsidRPr="002451EB">
        <w:rPr>
          <w:rFonts w:ascii="Times New Roman" w:hAnsi="Times New Roman"/>
          <w:szCs w:val="24"/>
          <w:lang w:val="bs-Latn-BA"/>
        </w:rPr>
        <w:t xml:space="preserve"> </w:t>
      </w:r>
      <w:r>
        <w:rPr>
          <w:rFonts w:ascii="Times New Roman" w:hAnsi="Times New Roman"/>
          <w:szCs w:val="24"/>
          <w:lang w:val="bs-Latn-BA"/>
        </w:rPr>
        <w:t>родно</w:t>
      </w:r>
      <w:r w:rsidR="0042679D" w:rsidRPr="002451EB">
        <w:rPr>
          <w:rFonts w:ascii="Times New Roman" w:hAnsi="Times New Roman"/>
          <w:szCs w:val="24"/>
          <w:lang w:val="bs-Latn-BA"/>
        </w:rPr>
        <w:t xml:space="preserve"> </w:t>
      </w:r>
      <w:r>
        <w:rPr>
          <w:rFonts w:ascii="Times New Roman" w:hAnsi="Times New Roman"/>
          <w:szCs w:val="24"/>
          <w:lang w:val="bs-Latn-BA"/>
        </w:rPr>
        <w:t>осјетљивих</w:t>
      </w:r>
      <w:r w:rsidR="0042679D" w:rsidRPr="002451EB">
        <w:rPr>
          <w:rFonts w:ascii="Times New Roman" w:hAnsi="Times New Roman"/>
          <w:szCs w:val="24"/>
          <w:lang w:val="bs-Latn-BA"/>
        </w:rPr>
        <w:t xml:space="preserve"> </w:t>
      </w:r>
      <w:r>
        <w:rPr>
          <w:rFonts w:ascii="Times New Roman" w:hAnsi="Times New Roman"/>
          <w:szCs w:val="24"/>
          <w:lang w:val="bs-Latn-BA"/>
        </w:rPr>
        <w:t>података</w:t>
      </w:r>
      <w:r w:rsidR="0042679D" w:rsidRPr="002451EB">
        <w:rPr>
          <w:rFonts w:ascii="Times New Roman" w:hAnsi="Times New Roman"/>
          <w:szCs w:val="24"/>
          <w:lang w:val="bs-Latn-BA"/>
        </w:rPr>
        <w:t xml:space="preserve">, </w:t>
      </w:r>
      <w:r>
        <w:rPr>
          <w:rFonts w:ascii="Times New Roman" w:hAnsi="Times New Roman"/>
          <w:szCs w:val="24"/>
          <w:lang w:val="bs-Latn-BA"/>
        </w:rPr>
        <w:t>квантитативних</w:t>
      </w:r>
      <w:r w:rsidR="0042679D" w:rsidRPr="002451EB">
        <w:rPr>
          <w:rFonts w:ascii="Times New Roman" w:hAnsi="Times New Roman"/>
          <w:szCs w:val="24"/>
          <w:lang w:val="bs-Latn-BA"/>
        </w:rPr>
        <w:t xml:space="preserve"> </w:t>
      </w:r>
      <w:r>
        <w:rPr>
          <w:rFonts w:ascii="Times New Roman" w:hAnsi="Times New Roman"/>
          <w:szCs w:val="24"/>
          <w:lang w:val="bs-Latn-BA"/>
        </w:rPr>
        <w:t>и</w:t>
      </w:r>
      <w:r w:rsidR="0042679D" w:rsidRPr="002451EB">
        <w:rPr>
          <w:rFonts w:ascii="Times New Roman" w:hAnsi="Times New Roman"/>
          <w:szCs w:val="24"/>
          <w:lang w:val="bs-Latn-BA"/>
        </w:rPr>
        <w:t xml:space="preserve"> </w:t>
      </w:r>
      <w:r>
        <w:rPr>
          <w:rFonts w:ascii="Times New Roman" w:hAnsi="Times New Roman"/>
          <w:szCs w:val="24"/>
          <w:lang w:val="bs-Latn-BA"/>
        </w:rPr>
        <w:t>квалитативних</w:t>
      </w:r>
      <w:r w:rsidR="0042679D" w:rsidRPr="002451EB">
        <w:rPr>
          <w:rFonts w:ascii="Times New Roman" w:hAnsi="Times New Roman"/>
          <w:szCs w:val="24"/>
          <w:lang w:val="bs-Latn-BA"/>
        </w:rPr>
        <w:t xml:space="preserve"> </w:t>
      </w:r>
      <w:r>
        <w:rPr>
          <w:rFonts w:ascii="Times New Roman" w:hAnsi="Times New Roman"/>
          <w:szCs w:val="24"/>
          <w:lang w:val="bs-Latn-BA"/>
        </w:rPr>
        <w:t>индикатора</w:t>
      </w:r>
      <w:r w:rsidR="0042679D" w:rsidRPr="002451EB">
        <w:rPr>
          <w:rFonts w:ascii="Times New Roman" w:hAnsi="Times New Roman"/>
          <w:szCs w:val="24"/>
          <w:lang w:val="bs-Latn-BA"/>
        </w:rPr>
        <w:t xml:space="preserve">, </w:t>
      </w:r>
      <w:r>
        <w:rPr>
          <w:rFonts w:ascii="Times New Roman" w:hAnsi="Times New Roman"/>
          <w:szCs w:val="24"/>
          <w:lang w:val="bs-Latn-BA"/>
        </w:rPr>
        <w:t>те</w:t>
      </w:r>
      <w:r w:rsidR="0042679D" w:rsidRPr="002451EB">
        <w:rPr>
          <w:rFonts w:ascii="Times New Roman" w:hAnsi="Times New Roman"/>
          <w:szCs w:val="24"/>
          <w:lang w:val="bs-Latn-BA"/>
        </w:rPr>
        <w:t xml:space="preserve"> </w:t>
      </w:r>
      <w:r>
        <w:rPr>
          <w:rFonts w:ascii="Times New Roman" w:hAnsi="Times New Roman"/>
          <w:szCs w:val="24"/>
          <w:lang w:val="bs-Latn-BA"/>
        </w:rPr>
        <w:t>подизању</w:t>
      </w:r>
      <w:r w:rsidR="0042679D" w:rsidRPr="002451EB">
        <w:rPr>
          <w:rFonts w:ascii="Times New Roman" w:hAnsi="Times New Roman"/>
          <w:szCs w:val="24"/>
          <w:lang w:val="bs-Latn-BA"/>
        </w:rPr>
        <w:t xml:space="preserve"> </w:t>
      </w:r>
      <w:r>
        <w:rPr>
          <w:rFonts w:ascii="Times New Roman" w:hAnsi="Times New Roman"/>
          <w:szCs w:val="24"/>
          <w:lang w:val="bs-Latn-BA"/>
        </w:rPr>
        <w:t>свијести</w:t>
      </w:r>
      <w:r w:rsidR="0042679D" w:rsidRPr="002451EB">
        <w:rPr>
          <w:rFonts w:ascii="Times New Roman" w:hAnsi="Times New Roman"/>
          <w:szCs w:val="24"/>
          <w:lang w:val="bs-Latn-BA"/>
        </w:rPr>
        <w:t xml:space="preserve"> </w:t>
      </w:r>
      <w:r>
        <w:rPr>
          <w:rFonts w:ascii="Times New Roman" w:hAnsi="Times New Roman"/>
          <w:szCs w:val="24"/>
          <w:lang w:val="bs-Latn-BA"/>
        </w:rPr>
        <w:t>и</w:t>
      </w:r>
      <w:r w:rsidR="0042679D" w:rsidRPr="002451EB">
        <w:rPr>
          <w:rFonts w:ascii="Times New Roman" w:hAnsi="Times New Roman"/>
          <w:szCs w:val="24"/>
          <w:lang w:val="bs-Latn-BA"/>
        </w:rPr>
        <w:t xml:space="preserve"> </w:t>
      </w:r>
      <w:r>
        <w:rPr>
          <w:rFonts w:ascii="Times New Roman" w:hAnsi="Times New Roman"/>
          <w:szCs w:val="24"/>
          <w:lang w:val="bs-Latn-BA"/>
        </w:rPr>
        <w:t>едукацијама</w:t>
      </w:r>
      <w:r w:rsidR="0042679D" w:rsidRPr="002451EB">
        <w:rPr>
          <w:rFonts w:ascii="Times New Roman" w:hAnsi="Times New Roman"/>
          <w:szCs w:val="24"/>
          <w:lang w:val="bs-Latn-BA"/>
        </w:rPr>
        <w:t xml:space="preserve"> </w:t>
      </w:r>
      <w:r>
        <w:rPr>
          <w:rFonts w:ascii="Times New Roman" w:hAnsi="Times New Roman"/>
          <w:szCs w:val="24"/>
          <w:lang w:val="bs-Latn-BA"/>
        </w:rPr>
        <w:t>у</w:t>
      </w:r>
      <w:r w:rsidR="0042679D" w:rsidRPr="002451EB">
        <w:rPr>
          <w:rFonts w:ascii="Times New Roman" w:hAnsi="Times New Roman"/>
          <w:szCs w:val="24"/>
          <w:lang w:val="bs-Latn-BA"/>
        </w:rPr>
        <w:t xml:space="preserve"> </w:t>
      </w:r>
      <w:r>
        <w:rPr>
          <w:rFonts w:ascii="Times New Roman" w:hAnsi="Times New Roman"/>
          <w:szCs w:val="24"/>
          <w:lang w:val="bs-Latn-BA"/>
        </w:rPr>
        <w:t>контексту</w:t>
      </w:r>
      <w:r w:rsidR="0042679D" w:rsidRPr="002451EB">
        <w:rPr>
          <w:rFonts w:ascii="Times New Roman" w:hAnsi="Times New Roman"/>
          <w:szCs w:val="24"/>
          <w:lang w:val="bs-Latn-BA"/>
        </w:rPr>
        <w:t xml:space="preserve"> </w:t>
      </w:r>
      <w:r>
        <w:rPr>
          <w:rFonts w:ascii="Times New Roman" w:hAnsi="Times New Roman"/>
          <w:szCs w:val="24"/>
          <w:lang w:val="bs-Latn-BA"/>
        </w:rPr>
        <w:t>климатских</w:t>
      </w:r>
      <w:r w:rsidR="0042679D" w:rsidRPr="002451EB">
        <w:rPr>
          <w:rFonts w:ascii="Times New Roman" w:hAnsi="Times New Roman"/>
          <w:szCs w:val="24"/>
          <w:lang w:val="bs-Latn-BA"/>
        </w:rPr>
        <w:t xml:space="preserve"> </w:t>
      </w:r>
      <w:r>
        <w:rPr>
          <w:rFonts w:ascii="Times New Roman" w:hAnsi="Times New Roman"/>
          <w:szCs w:val="24"/>
          <w:lang w:val="bs-Latn-BA"/>
        </w:rPr>
        <w:t>промјена</w:t>
      </w:r>
      <w:r w:rsidR="0042679D" w:rsidRPr="002451EB">
        <w:rPr>
          <w:rFonts w:ascii="Times New Roman" w:hAnsi="Times New Roman"/>
          <w:szCs w:val="24"/>
          <w:lang w:val="bs-Latn-BA"/>
        </w:rPr>
        <w:t xml:space="preserve"> </w:t>
      </w:r>
      <w:r>
        <w:rPr>
          <w:rFonts w:ascii="Times New Roman" w:hAnsi="Times New Roman"/>
          <w:szCs w:val="24"/>
          <w:lang w:val="bs-Latn-BA"/>
        </w:rPr>
        <w:t>и</w:t>
      </w:r>
      <w:r w:rsidR="0042679D" w:rsidRPr="002451EB">
        <w:rPr>
          <w:rFonts w:ascii="Times New Roman" w:hAnsi="Times New Roman"/>
          <w:szCs w:val="24"/>
          <w:lang w:val="bs-Latn-BA"/>
        </w:rPr>
        <w:t xml:space="preserve"> </w:t>
      </w:r>
      <w:r>
        <w:rPr>
          <w:rFonts w:ascii="Times New Roman" w:hAnsi="Times New Roman"/>
          <w:szCs w:val="24"/>
          <w:lang w:val="bs-Latn-BA"/>
        </w:rPr>
        <w:t>управљања</w:t>
      </w:r>
      <w:r w:rsidR="0042679D" w:rsidRPr="002451EB">
        <w:rPr>
          <w:rFonts w:ascii="Times New Roman" w:hAnsi="Times New Roman"/>
          <w:szCs w:val="24"/>
          <w:lang w:val="bs-Latn-BA"/>
        </w:rPr>
        <w:t xml:space="preserve"> </w:t>
      </w:r>
      <w:r w:rsidR="00960217">
        <w:rPr>
          <w:rFonts w:ascii="Times New Roman" w:hAnsi="Times New Roman"/>
          <w:szCs w:val="24"/>
          <w:lang w:val="sr-Cyrl-BA"/>
        </w:rPr>
        <w:t>животном средином</w:t>
      </w:r>
      <w:r w:rsidR="0042679D" w:rsidRPr="002451EB">
        <w:rPr>
          <w:rFonts w:ascii="Times New Roman" w:hAnsi="Times New Roman"/>
          <w:szCs w:val="24"/>
          <w:lang w:val="bs-Latn-BA"/>
        </w:rPr>
        <w:t xml:space="preserve">. </w:t>
      </w:r>
    </w:p>
    <w:p w:rsidR="0042679D" w:rsidRPr="002451EB" w:rsidRDefault="0042679D" w:rsidP="0086268D">
      <w:pPr>
        <w:pStyle w:val="ListParagraph"/>
        <w:ind w:left="720"/>
        <w:contextualSpacing/>
        <w:jc w:val="both"/>
        <w:rPr>
          <w:rFonts w:ascii="Times New Roman" w:hAnsi="Times New Roman"/>
          <w:szCs w:val="24"/>
          <w:lang w:val="bs-Latn-BA"/>
        </w:rPr>
      </w:pPr>
    </w:p>
    <w:p w:rsidR="0042679D" w:rsidRPr="0009668B" w:rsidRDefault="00C6214E" w:rsidP="0086268D">
      <w:pPr>
        <w:pStyle w:val="ListParagraph"/>
        <w:numPr>
          <w:ilvl w:val="0"/>
          <w:numId w:val="17"/>
        </w:numPr>
        <w:contextualSpacing/>
        <w:jc w:val="both"/>
        <w:rPr>
          <w:rFonts w:ascii="Times New Roman" w:hAnsi="Times New Roman"/>
          <w:szCs w:val="24"/>
          <w:lang w:val="bs-Latn-BA"/>
        </w:rPr>
      </w:pPr>
      <w:r>
        <w:rPr>
          <w:rFonts w:ascii="Times New Roman" w:hAnsi="Times New Roman"/>
          <w:szCs w:val="24"/>
        </w:rPr>
        <w:t>Учешће</w:t>
      </w:r>
      <w:r w:rsidR="0042679D" w:rsidRPr="00295637">
        <w:rPr>
          <w:rFonts w:ascii="Times New Roman" w:hAnsi="Times New Roman"/>
          <w:szCs w:val="24"/>
        </w:rPr>
        <w:t xml:space="preserve"> </w:t>
      </w:r>
      <w:r>
        <w:rPr>
          <w:rFonts w:ascii="Times New Roman" w:hAnsi="Times New Roman"/>
          <w:szCs w:val="24"/>
        </w:rPr>
        <w:t>представника</w:t>
      </w:r>
      <w:r w:rsidR="0042679D" w:rsidRPr="00295637">
        <w:rPr>
          <w:rFonts w:ascii="Times New Roman" w:hAnsi="Times New Roman"/>
          <w:szCs w:val="24"/>
        </w:rPr>
        <w:t xml:space="preserve"> </w:t>
      </w:r>
      <w:r>
        <w:rPr>
          <w:rFonts w:ascii="Times New Roman" w:hAnsi="Times New Roman"/>
          <w:szCs w:val="24"/>
        </w:rPr>
        <w:t>АР</w:t>
      </w:r>
      <w:r w:rsidR="00960217">
        <w:rPr>
          <w:rFonts w:ascii="Times New Roman" w:hAnsi="Times New Roman"/>
          <w:szCs w:val="24"/>
          <w:lang w:val="sr-Cyrl-BA"/>
        </w:rPr>
        <w:t>П</w:t>
      </w:r>
      <w:r w:rsidR="00A77628">
        <w:rPr>
          <w:rFonts w:ascii="Times New Roman" w:hAnsi="Times New Roman"/>
          <w:szCs w:val="24"/>
        </w:rPr>
        <w:t xml:space="preserve"> </w:t>
      </w:r>
      <w:r>
        <w:rPr>
          <w:rFonts w:ascii="Times New Roman" w:hAnsi="Times New Roman"/>
          <w:szCs w:val="24"/>
        </w:rPr>
        <w:t>БиХ</w:t>
      </w:r>
      <w:r w:rsidR="00A77628">
        <w:rPr>
          <w:rFonts w:ascii="Times New Roman" w:hAnsi="Times New Roman"/>
          <w:szCs w:val="24"/>
        </w:rPr>
        <w:t xml:space="preserve"> </w:t>
      </w:r>
      <w:r>
        <w:rPr>
          <w:rFonts w:ascii="Times New Roman" w:hAnsi="Times New Roman"/>
          <w:szCs w:val="24"/>
        </w:rPr>
        <w:t>МЉПИ</w:t>
      </w:r>
      <w:r w:rsidR="00A77628">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бројним</w:t>
      </w:r>
      <w:r w:rsidR="0042679D" w:rsidRPr="00295637">
        <w:rPr>
          <w:rFonts w:ascii="Times New Roman" w:hAnsi="Times New Roman"/>
          <w:szCs w:val="24"/>
        </w:rPr>
        <w:t xml:space="preserve"> </w:t>
      </w:r>
      <w:r>
        <w:rPr>
          <w:rFonts w:ascii="Times New Roman" w:hAnsi="Times New Roman"/>
          <w:szCs w:val="24"/>
        </w:rPr>
        <w:t>догађајима</w:t>
      </w:r>
      <w:r w:rsidR="0042679D" w:rsidRPr="00295637">
        <w:rPr>
          <w:rFonts w:ascii="Times New Roman" w:hAnsi="Times New Roman"/>
          <w:szCs w:val="24"/>
        </w:rPr>
        <w:t xml:space="preserve"> </w:t>
      </w:r>
      <w:r w:rsidR="00960217">
        <w:rPr>
          <w:rFonts w:ascii="Times New Roman" w:hAnsi="Times New Roman"/>
          <w:szCs w:val="24"/>
        </w:rPr>
        <w:t>је</w:t>
      </w:r>
      <w:r w:rsidR="00960217" w:rsidRPr="00295637">
        <w:rPr>
          <w:rFonts w:ascii="Times New Roman" w:hAnsi="Times New Roman"/>
          <w:szCs w:val="24"/>
        </w:rPr>
        <w:t xml:space="preserve"> </w:t>
      </w:r>
      <w:r>
        <w:rPr>
          <w:rFonts w:ascii="Times New Roman" w:hAnsi="Times New Roman"/>
          <w:szCs w:val="24"/>
        </w:rPr>
        <w:t>дало</w:t>
      </w:r>
      <w:r w:rsidR="00A77628" w:rsidRPr="00295637">
        <w:rPr>
          <w:rFonts w:ascii="Times New Roman" w:hAnsi="Times New Roman"/>
          <w:szCs w:val="24"/>
        </w:rPr>
        <w:t xml:space="preserve"> </w:t>
      </w:r>
      <w:r>
        <w:rPr>
          <w:rFonts w:ascii="Times New Roman" w:hAnsi="Times New Roman"/>
          <w:szCs w:val="24"/>
        </w:rPr>
        <w:t>допринос</w:t>
      </w:r>
      <w:r w:rsidR="0042679D" w:rsidRPr="00295637">
        <w:rPr>
          <w:rFonts w:ascii="Times New Roman" w:hAnsi="Times New Roman"/>
          <w:szCs w:val="24"/>
        </w:rPr>
        <w:t xml:space="preserve"> </w:t>
      </w:r>
      <w:r>
        <w:rPr>
          <w:rFonts w:ascii="Times New Roman" w:hAnsi="Times New Roman"/>
          <w:szCs w:val="24"/>
        </w:rPr>
        <w:t>укључивању</w:t>
      </w:r>
      <w:r w:rsidR="0042679D" w:rsidRPr="00295637">
        <w:rPr>
          <w:rFonts w:ascii="Times New Roman" w:hAnsi="Times New Roman"/>
          <w:szCs w:val="24"/>
        </w:rPr>
        <w:t xml:space="preserve"> </w:t>
      </w:r>
      <w:r>
        <w:rPr>
          <w:rFonts w:ascii="Times New Roman" w:hAnsi="Times New Roman"/>
          <w:szCs w:val="24"/>
        </w:rPr>
        <w:t>теме</w:t>
      </w:r>
      <w:r w:rsidR="0042679D" w:rsidRPr="00295637">
        <w:rPr>
          <w:rFonts w:ascii="Times New Roman" w:hAnsi="Times New Roman"/>
          <w:szCs w:val="24"/>
        </w:rPr>
        <w:t xml:space="preserve"> </w:t>
      </w:r>
      <w:r>
        <w:rPr>
          <w:rFonts w:ascii="Times New Roman" w:hAnsi="Times New Roman"/>
          <w:szCs w:val="24"/>
        </w:rPr>
        <w:t>равноправности</w:t>
      </w:r>
      <w:r w:rsidR="0042679D" w:rsidRPr="00295637">
        <w:rPr>
          <w:rFonts w:ascii="Times New Roman" w:hAnsi="Times New Roman"/>
          <w:szCs w:val="24"/>
        </w:rPr>
        <w:t xml:space="preserve"> </w:t>
      </w:r>
      <w:r>
        <w:rPr>
          <w:rFonts w:ascii="Times New Roman" w:hAnsi="Times New Roman"/>
          <w:szCs w:val="24"/>
        </w:rPr>
        <w:t>полова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областима</w:t>
      </w:r>
      <w:r w:rsidR="0042679D" w:rsidRPr="00295637">
        <w:rPr>
          <w:rFonts w:ascii="Times New Roman" w:hAnsi="Times New Roman"/>
          <w:szCs w:val="24"/>
        </w:rPr>
        <w:t xml:space="preserve"> </w:t>
      </w:r>
      <w:r>
        <w:rPr>
          <w:rFonts w:ascii="Times New Roman" w:hAnsi="Times New Roman"/>
          <w:szCs w:val="24"/>
        </w:rPr>
        <w:t>зелене</w:t>
      </w:r>
      <w:r w:rsidR="0042679D" w:rsidRPr="00295637">
        <w:rPr>
          <w:rFonts w:ascii="Times New Roman" w:hAnsi="Times New Roman"/>
          <w:szCs w:val="24"/>
        </w:rPr>
        <w:t xml:space="preserve"> </w:t>
      </w:r>
      <w:r>
        <w:rPr>
          <w:rFonts w:ascii="Times New Roman" w:hAnsi="Times New Roman"/>
          <w:szCs w:val="24"/>
        </w:rPr>
        <w:t>транзиције</w:t>
      </w:r>
      <w:r w:rsidR="0042679D" w:rsidRPr="00295637">
        <w:rPr>
          <w:rFonts w:ascii="Times New Roman" w:hAnsi="Times New Roman"/>
          <w:szCs w:val="24"/>
        </w:rPr>
        <w:t xml:space="preserve">, </w:t>
      </w:r>
      <w:r>
        <w:rPr>
          <w:rFonts w:ascii="Times New Roman" w:hAnsi="Times New Roman"/>
          <w:szCs w:val="24"/>
        </w:rPr>
        <w:t>управљања</w:t>
      </w:r>
      <w:r w:rsidR="0042679D" w:rsidRPr="00295637">
        <w:rPr>
          <w:rFonts w:ascii="Times New Roman" w:hAnsi="Times New Roman"/>
          <w:szCs w:val="24"/>
        </w:rPr>
        <w:t xml:space="preserve"> </w:t>
      </w:r>
      <w:r>
        <w:rPr>
          <w:rFonts w:ascii="Times New Roman" w:hAnsi="Times New Roman"/>
          <w:szCs w:val="24"/>
        </w:rPr>
        <w:t>микропластиком</w:t>
      </w:r>
      <w:r w:rsidR="0042679D" w:rsidRPr="00295637">
        <w:rPr>
          <w:rFonts w:ascii="Times New Roman" w:hAnsi="Times New Roman"/>
          <w:szCs w:val="24"/>
        </w:rPr>
        <w:t xml:space="preserve">, </w:t>
      </w:r>
      <w:r>
        <w:rPr>
          <w:rFonts w:ascii="Times New Roman" w:hAnsi="Times New Roman"/>
          <w:szCs w:val="24"/>
        </w:rPr>
        <w:t>декарбонизација</w:t>
      </w:r>
      <w:r w:rsidR="0042679D" w:rsidRPr="00295637">
        <w:rPr>
          <w:rFonts w:ascii="Times New Roman" w:hAnsi="Times New Roman"/>
          <w:szCs w:val="24"/>
        </w:rPr>
        <w:t xml:space="preserve">, </w:t>
      </w:r>
      <w:r>
        <w:rPr>
          <w:rFonts w:ascii="Times New Roman" w:hAnsi="Times New Roman"/>
          <w:szCs w:val="24"/>
        </w:rPr>
        <w:t>климатске</w:t>
      </w:r>
      <w:r w:rsidR="0042679D" w:rsidRPr="00295637">
        <w:rPr>
          <w:rFonts w:ascii="Times New Roman" w:hAnsi="Times New Roman"/>
          <w:szCs w:val="24"/>
        </w:rPr>
        <w:t xml:space="preserve"> </w:t>
      </w:r>
      <w:r>
        <w:rPr>
          <w:rFonts w:ascii="Times New Roman" w:hAnsi="Times New Roman"/>
          <w:szCs w:val="24"/>
        </w:rPr>
        <w:t>промјене</w:t>
      </w:r>
      <w:r w:rsidR="0042679D" w:rsidRPr="00295637">
        <w:rPr>
          <w:rFonts w:ascii="Times New Roman" w:hAnsi="Times New Roman"/>
          <w:szCs w:val="24"/>
        </w:rPr>
        <w:t xml:space="preserve">, </w:t>
      </w:r>
      <w:r>
        <w:rPr>
          <w:rFonts w:ascii="Times New Roman" w:hAnsi="Times New Roman"/>
          <w:szCs w:val="24"/>
        </w:rPr>
        <w:t>зелена</w:t>
      </w:r>
      <w:r w:rsidR="0042679D" w:rsidRPr="00295637">
        <w:rPr>
          <w:rFonts w:ascii="Times New Roman" w:hAnsi="Times New Roman"/>
          <w:szCs w:val="24"/>
        </w:rPr>
        <w:t xml:space="preserve"> </w:t>
      </w:r>
      <w:r>
        <w:rPr>
          <w:rFonts w:ascii="Times New Roman" w:hAnsi="Times New Roman"/>
          <w:szCs w:val="24"/>
        </w:rPr>
        <w:t>енергија</w:t>
      </w:r>
      <w:r w:rsidR="0042679D" w:rsidRPr="00295637">
        <w:rPr>
          <w:rFonts w:ascii="Times New Roman" w:hAnsi="Times New Roman"/>
          <w:szCs w:val="24"/>
        </w:rPr>
        <w:t xml:space="preserve">, </w:t>
      </w:r>
      <w:r>
        <w:rPr>
          <w:rFonts w:ascii="Times New Roman" w:hAnsi="Times New Roman"/>
          <w:szCs w:val="24"/>
        </w:rPr>
        <w:t>енергетско</w:t>
      </w:r>
      <w:r w:rsidR="0042679D" w:rsidRPr="00295637">
        <w:rPr>
          <w:rFonts w:ascii="Times New Roman" w:hAnsi="Times New Roman"/>
          <w:szCs w:val="24"/>
        </w:rPr>
        <w:t xml:space="preserve"> </w:t>
      </w:r>
      <w:r>
        <w:rPr>
          <w:rFonts w:ascii="Times New Roman" w:hAnsi="Times New Roman"/>
          <w:szCs w:val="24"/>
        </w:rPr>
        <w:t>сиромаштво</w:t>
      </w:r>
      <w:r w:rsidR="0042679D" w:rsidRPr="00295637">
        <w:rPr>
          <w:rFonts w:ascii="Times New Roman" w:hAnsi="Times New Roman"/>
          <w:szCs w:val="24"/>
        </w:rPr>
        <w:t xml:space="preserve">, </w:t>
      </w:r>
      <w:r>
        <w:rPr>
          <w:rFonts w:ascii="Times New Roman" w:hAnsi="Times New Roman"/>
          <w:szCs w:val="24"/>
        </w:rPr>
        <w:t>еколошка</w:t>
      </w:r>
      <w:r w:rsidR="0042679D" w:rsidRPr="00295637">
        <w:rPr>
          <w:rFonts w:ascii="Times New Roman" w:hAnsi="Times New Roman"/>
          <w:szCs w:val="24"/>
        </w:rPr>
        <w:t xml:space="preserve"> </w:t>
      </w:r>
      <w:r>
        <w:rPr>
          <w:rFonts w:ascii="Times New Roman" w:hAnsi="Times New Roman"/>
          <w:szCs w:val="24"/>
        </w:rPr>
        <w:t>правда</w:t>
      </w:r>
      <w:r w:rsidR="0042679D" w:rsidRPr="00295637">
        <w:rPr>
          <w:rFonts w:ascii="Times New Roman" w:hAnsi="Times New Roman"/>
          <w:szCs w:val="24"/>
        </w:rPr>
        <w:t xml:space="preserve"> </w:t>
      </w:r>
      <w:r>
        <w:rPr>
          <w:rFonts w:ascii="Times New Roman" w:hAnsi="Times New Roman"/>
          <w:szCs w:val="24"/>
        </w:rPr>
        <w:t>итд</w:t>
      </w:r>
      <w:r w:rsidR="0042679D" w:rsidRPr="00295637">
        <w:rPr>
          <w:rFonts w:ascii="Times New Roman" w:hAnsi="Times New Roman"/>
          <w:szCs w:val="24"/>
        </w:rPr>
        <w:t>.</w:t>
      </w:r>
    </w:p>
    <w:p w:rsidR="0042679D" w:rsidRPr="0009668B" w:rsidRDefault="0042679D" w:rsidP="0086268D">
      <w:pPr>
        <w:pStyle w:val="ListParagraph"/>
        <w:rPr>
          <w:rFonts w:ascii="Times New Roman" w:hAnsi="Times New Roman"/>
          <w:lang w:val="sr-Latn-BA"/>
        </w:rPr>
      </w:pPr>
    </w:p>
    <w:p w:rsidR="0042679D" w:rsidRPr="00295637" w:rsidRDefault="00C6214E" w:rsidP="0086268D">
      <w:pPr>
        <w:pStyle w:val="NormalWeb"/>
        <w:numPr>
          <w:ilvl w:val="0"/>
          <w:numId w:val="17"/>
        </w:numPr>
        <w:spacing w:before="0" w:beforeAutospacing="0" w:after="0" w:afterAutospacing="0"/>
        <w:jc w:val="both"/>
        <w:rPr>
          <w:shd w:val="clear" w:color="auto" w:fill="FFFFFF"/>
        </w:rPr>
      </w:pPr>
      <w:r>
        <w:rPr>
          <w:shd w:val="clear" w:color="auto" w:fill="FFFFFF"/>
        </w:rPr>
        <w:t>Растуће</w:t>
      </w:r>
      <w:r w:rsidR="0042679D" w:rsidRPr="00295637">
        <w:rPr>
          <w:shd w:val="clear" w:color="auto" w:fill="FFFFFF"/>
        </w:rPr>
        <w:t xml:space="preserve"> </w:t>
      </w:r>
      <w:r>
        <w:rPr>
          <w:shd w:val="clear" w:color="auto" w:fill="FFFFFF"/>
        </w:rPr>
        <w:t>енергетско</w:t>
      </w:r>
      <w:r w:rsidR="0042679D" w:rsidRPr="00295637">
        <w:rPr>
          <w:shd w:val="clear" w:color="auto" w:fill="FFFFFF"/>
        </w:rPr>
        <w:t xml:space="preserve"> </w:t>
      </w:r>
      <w:r>
        <w:rPr>
          <w:shd w:val="clear" w:color="auto" w:fill="FFFFFF"/>
        </w:rPr>
        <w:t>сиромаштво</w:t>
      </w:r>
      <w:r w:rsidR="0042679D" w:rsidRPr="00295637">
        <w:rPr>
          <w:shd w:val="clear" w:color="auto" w:fill="FFFFFF"/>
        </w:rPr>
        <w:t xml:space="preserve"> </w:t>
      </w:r>
      <w:r>
        <w:rPr>
          <w:shd w:val="clear" w:color="auto" w:fill="FFFFFF"/>
        </w:rPr>
        <w:t>изискује</w:t>
      </w:r>
      <w:r w:rsidR="0042679D" w:rsidRPr="00295637">
        <w:rPr>
          <w:shd w:val="clear" w:color="auto" w:fill="FFFFFF"/>
        </w:rPr>
        <w:t xml:space="preserve"> </w:t>
      </w:r>
      <w:r>
        <w:rPr>
          <w:shd w:val="clear" w:color="auto" w:fill="FFFFFF"/>
        </w:rPr>
        <w:t>дугорочна</w:t>
      </w:r>
      <w:r w:rsidR="0042679D" w:rsidRPr="00295637">
        <w:rPr>
          <w:shd w:val="clear" w:color="auto" w:fill="FFFFFF"/>
        </w:rPr>
        <w:t xml:space="preserve"> </w:t>
      </w:r>
      <w:r>
        <w:rPr>
          <w:shd w:val="clear" w:color="auto" w:fill="FFFFFF"/>
        </w:rPr>
        <w:t>рјешења</w:t>
      </w:r>
      <w:r w:rsidR="0042679D" w:rsidRPr="00295637">
        <w:rPr>
          <w:shd w:val="clear" w:color="auto" w:fill="FFFFFF"/>
        </w:rPr>
        <w:t xml:space="preserve"> </w:t>
      </w:r>
      <w:r>
        <w:rPr>
          <w:shd w:val="clear" w:color="auto" w:fill="FFFFFF"/>
        </w:rPr>
        <w:t>која</w:t>
      </w:r>
      <w:r w:rsidR="0042679D" w:rsidRPr="00295637">
        <w:rPr>
          <w:shd w:val="clear" w:color="auto" w:fill="FFFFFF"/>
        </w:rPr>
        <w:t xml:space="preserve"> </w:t>
      </w:r>
      <w:r>
        <w:rPr>
          <w:shd w:val="clear" w:color="auto" w:fill="FFFFFF"/>
        </w:rPr>
        <w:t>ће</w:t>
      </w:r>
      <w:r w:rsidR="0042679D" w:rsidRPr="00295637">
        <w:rPr>
          <w:shd w:val="clear" w:color="auto" w:fill="FFFFFF"/>
        </w:rPr>
        <w:t xml:space="preserve"> </w:t>
      </w:r>
      <w:r>
        <w:rPr>
          <w:shd w:val="clear" w:color="auto" w:fill="FFFFFF"/>
        </w:rPr>
        <w:t>бити</w:t>
      </w:r>
      <w:r w:rsidR="0042679D" w:rsidRPr="00295637">
        <w:rPr>
          <w:shd w:val="clear" w:color="auto" w:fill="FFFFFF"/>
        </w:rPr>
        <w:t xml:space="preserve"> </w:t>
      </w:r>
      <w:r>
        <w:rPr>
          <w:shd w:val="clear" w:color="auto" w:fill="FFFFFF"/>
        </w:rPr>
        <w:t>заснована</w:t>
      </w:r>
      <w:r w:rsidR="0042679D" w:rsidRPr="00295637">
        <w:rPr>
          <w:shd w:val="clear" w:color="auto" w:fill="FFFFFF"/>
        </w:rPr>
        <w:t xml:space="preserve"> </w:t>
      </w:r>
      <w:r>
        <w:rPr>
          <w:shd w:val="clear" w:color="auto" w:fill="FFFFFF"/>
        </w:rPr>
        <w:t>на</w:t>
      </w:r>
      <w:r w:rsidR="0042679D" w:rsidRPr="00295637">
        <w:rPr>
          <w:shd w:val="clear" w:color="auto" w:fill="FFFFFF"/>
        </w:rPr>
        <w:t xml:space="preserve"> </w:t>
      </w:r>
      <w:r>
        <w:rPr>
          <w:shd w:val="clear" w:color="auto" w:fill="FFFFFF"/>
        </w:rPr>
        <w:t>енергетској</w:t>
      </w:r>
      <w:r w:rsidR="0042679D" w:rsidRPr="00295637">
        <w:rPr>
          <w:shd w:val="clear" w:color="auto" w:fill="FFFFFF"/>
        </w:rPr>
        <w:t xml:space="preserve"> </w:t>
      </w:r>
      <w:r>
        <w:rPr>
          <w:shd w:val="clear" w:color="auto" w:fill="FFFFFF"/>
        </w:rPr>
        <w:t>ефикасности</w:t>
      </w:r>
      <w:r w:rsidR="0042679D" w:rsidRPr="00295637">
        <w:rPr>
          <w:shd w:val="clear" w:color="auto" w:fill="FFFFFF"/>
        </w:rPr>
        <w:t xml:space="preserve"> </w:t>
      </w:r>
      <w:r>
        <w:rPr>
          <w:shd w:val="clear" w:color="auto" w:fill="FFFFFF"/>
        </w:rPr>
        <w:t>и</w:t>
      </w:r>
      <w:r w:rsidR="0042679D" w:rsidRPr="00295637">
        <w:rPr>
          <w:shd w:val="clear" w:color="auto" w:fill="FFFFFF"/>
        </w:rPr>
        <w:t xml:space="preserve"> </w:t>
      </w:r>
      <w:r>
        <w:rPr>
          <w:shd w:val="clear" w:color="auto" w:fill="FFFFFF"/>
        </w:rPr>
        <w:t>заштити</w:t>
      </w:r>
      <w:r w:rsidR="0042679D" w:rsidRPr="00295637">
        <w:rPr>
          <w:shd w:val="clear" w:color="auto" w:fill="FFFFFF"/>
        </w:rPr>
        <w:t xml:space="preserve"> </w:t>
      </w:r>
      <w:r>
        <w:rPr>
          <w:shd w:val="clear" w:color="auto" w:fill="FFFFFF"/>
        </w:rPr>
        <w:t>социјално</w:t>
      </w:r>
      <w:r w:rsidR="0042679D" w:rsidRPr="00295637">
        <w:rPr>
          <w:shd w:val="clear" w:color="auto" w:fill="FFFFFF"/>
        </w:rPr>
        <w:t xml:space="preserve"> </w:t>
      </w:r>
      <w:r>
        <w:rPr>
          <w:shd w:val="clear" w:color="auto" w:fill="FFFFFF"/>
        </w:rPr>
        <w:t>угрожених</w:t>
      </w:r>
      <w:r w:rsidR="0042679D" w:rsidRPr="00295637">
        <w:rPr>
          <w:shd w:val="clear" w:color="auto" w:fill="FFFFFF"/>
        </w:rPr>
        <w:t xml:space="preserve"> </w:t>
      </w:r>
      <w:r>
        <w:rPr>
          <w:shd w:val="clear" w:color="auto" w:fill="FFFFFF"/>
        </w:rPr>
        <w:t>група</w:t>
      </w:r>
      <w:r w:rsidR="0042679D" w:rsidRPr="00295637">
        <w:rPr>
          <w:shd w:val="clear" w:color="auto" w:fill="FFFFFF"/>
        </w:rPr>
        <w:t xml:space="preserve"> </w:t>
      </w:r>
      <w:r>
        <w:rPr>
          <w:shd w:val="clear" w:color="auto" w:fill="FFFFFF"/>
        </w:rPr>
        <w:t>становништва</w:t>
      </w:r>
      <w:r w:rsidR="0042679D" w:rsidRPr="00295637">
        <w:rPr>
          <w:shd w:val="clear" w:color="auto" w:fill="FFFFFF"/>
        </w:rPr>
        <w:t xml:space="preserve">. </w:t>
      </w:r>
      <w:r>
        <w:rPr>
          <w:shd w:val="clear" w:color="auto" w:fill="FFFFFF"/>
        </w:rPr>
        <w:t>АР</w:t>
      </w:r>
      <w:r w:rsidR="00960217">
        <w:rPr>
          <w:shd w:val="clear" w:color="auto" w:fill="FFFFFF"/>
          <w:lang w:val="sr-Cyrl-BA"/>
        </w:rPr>
        <w:t>П</w:t>
      </w:r>
      <w:r w:rsidR="00A77628">
        <w:rPr>
          <w:shd w:val="clear" w:color="auto" w:fill="FFFFFF"/>
        </w:rPr>
        <w:t xml:space="preserve"> </w:t>
      </w:r>
      <w:r>
        <w:rPr>
          <w:shd w:val="clear" w:color="auto" w:fill="FFFFFF"/>
        </w:rPr>
        <w:t>БиХ</w:t>
      </w:r>
      <w:r w:rsidR="00A77628">
        <w:rPr>
          <w:shd w:val="clear" w:color="auto" w:fill="FFFFFF"/>
        </w:rPr>
        <w:t xml:space="preserve"> </w:t>
      </w:r>
      <w:r>
        <w:rPr>
          <w:shd w:val="clear" w:color="auto" w:fill="FFFFFF"/>
        </w:rPr>
        <w:t>МЉПИ</w:t>
      </w:r>
      <w:r w:rsidR="00A77628">
        <w:rPr>
          <w:shd w:val="clear" w:color="auto" w:fill="FFFFFF"/>
        </w:rPr>
        <w:t xml:space="preserve"> </w:t>
      </w:r>
      <w:r>
        <w:rPr>
          <w:shd w:val="clear" w:color="auto" w:fill="FFFFFF"/>
        </w:rPr>
        <w:t>БиХ</w:t>
      </w:r>
      <w:r w:rsidR="0042679D" w:rsidRPr="00295637">
        <w:rPr>
          <w:shd w:val="clear" w:color="auto" w:fill="FFFFFF"/>
        </w:rPr>
        <w:t xml:space="preserve"> </w:t>
      </w:r>
      <w:r>
        <w:rPr>
          <w:shd w:val="clear" w:color="auto" w:fill="FFFFFF"/>
        </w:rPr>
        <w:t>је</w:t>
      </w:r>
      <w:r w:rsidR="0042679D" w:rsidRPr="00295637">
        <w:rPr>
          <w:shd w:val="clear" w:color="auto" w:fill="FFFFFF"/>
        </w:rPr>
        <w:t xml:space="preserve"> </w:t>
      </w:r>
      <w:r>
        <w:rPr>
          <w:shd w:val="clear" w:color="auto" w:fill="FFFFFF"/>
        </w:rPr>
        <w:t>у</w:t>
      </w:r>
      <w:r w:rsidR="0042679D" w:rsidRPr="00295637">
        <w:rPr>
          <w:shd w:val="clear" w:color="auto" w:fill="FFFFFF"/>
        </w:rPr>
        <w:t xml:space="preserve"> </w:t>
      </w:r>
      <w:r>
        <w:rPr>
          <w:shd w:val="clear" w:color="auto" w:fill="FFFFFF"/>
        </w:rPr>
        <w:t>извјештајном</w:t>
      </w:r>
      <w:r w:rsidR="0042679D" w:rsidRPr="00295637">
        <w:rPr>
          <w:shd w:val="clear" w:color="auto" w:fill="FFFFFF"/>
        </w:rPr>
        <w:t xml:space="preserve"> </w:t>
      </w:r>
      <w:r>
        <w:rPr>
          <w:shd w:val="clear" w:color="auto" w:fill="FFFFFF"/>
        </w:rPr>
        <w:t>периоду</w:t>
      </w:r>
      <w:r w:rsidR="0042679D" w:rsidRPr="00295637">
        <w:rPr>
          <w:shd w:val="clear" w:color="auto" w:fill="FFFFFF"/>
        </w:rPr>
        <w:t xml:space="preserve"> </w:t>
      </w:r>
      <w:r>
        <w:rPr>
          <w:shd w:val="clear" w:color="auto" w:fill="FFFFFF"/>
        </w:rPr>
        <w:t>учествовала</w:t>
      </w:r>
      <w:r w:rsidR="0042679D" w:rsidRPr="00295637">
        <w:rPr>
          <w:shd w:val="clear" w:color="auto" w:fill="FFFFFF"/>
        </w:rPr>
        <w:t xml:space="preserve"> </w:t>
      </w:r>
      <w:r>
        <w:rPr>
          <w:shd w:val="clear" w:color="auto" w:fill="FFFFFF"/>
        </w:rPr>
        <w:t>у</w:t>
      </w:r>
      <w:r w:rsidR="0042679D" w:rsidRPr="00295637">
        <w:rPr>
          <w:shd w:val="clear" w:color="auto" w:fill="FFFFFF"/>
        </w:rPr>
        <w:t xml:space="preserve"> </w:t>
      </w:r>
      <w:r>
        <w:rPr>
          <w:shd w:val="clear" w:color="auto" w:fill="FFFFFF"/>
        </w:rPr>
        <w:t>планирању</w:t>
      </w:r>
      <w:r w:rsidR="0042679D" w:rsidRPr="00295637">
        <w:rPr>
          <w:shd w:val="clear" w:color="auto" w:fill="FFFFFF"/>
        </w:rPr>
        <w:t xml:space="preserve"> </w:t>
      </w:r>
      <w:r>
        <w:rPr>
          <w:shd w:val="clear" w:color="auto" w:fill="FFFFFF"/>
        </w:rPr>
        <w:t>и</w:t>
      </w:r>
      <w:r w:rsidR="0042679D" w:rsidRPr="00295637">
        <w:rPr>
          <w:shd w:val="clear" w:color="auto" w:fill="FFFFFF"/>
        </w:rPr>
        <w:t xml:space="preserve"> </w:t>
      </w:r>
      <w:r>
        <w:rPr>
          <w:shd w:val="clear" w:color="auto" w:fill="FFFFFF"/>
        </w:rPr>
        <w:t>консултацијама</w:t>
      </w:r>
      <w:r w:rsidR="00A77628">
        <w:rPr>
          <w:shd w:val="clear" w:color="auto" w:fill="FFFFFF"/>
        </w:rPr>
        <w:t xml:space="preserve"> </w:t>
      </w:r>
      <w:r>
        <w:rPr>
          <w:shd w:val="clear" w:color="auto" w:fill="FFFFFF"/>
        </w:rPr>
        <w:t>са</w:t>
      </w:r>
      <w:r w:rsidR="0042679D" w:rsidRPr="00295637">
        <w:rPr>
          <w:shd w:val="clear" w:color="auto" w:fill="FFFFFF"/>
        </w:rPr>
        <w:t xml:space="preserve"> </w:t>
      </w:r>
      <w:r w:rsidR="00960217" w:rsidRPr="00960217">
        <w:rPr>
          <w:i/>
          <w:shd w:val="clear" w:color="auto" w:fill="FFFFFF"/>
          <w:lang w:val="hr-BA"/>
        </w:rPr>
        <w:t>UNDP</w:t>
      </w:r>
      <w:r w:rsidR="0042679D" w:rsidRPr="00295637">
        <w:rPr>
          <w:shd w:val="clear" w:color="auto" w:fill="FFFFFF"/>
        </w:rPr>
        <w:t xml:space="preserve"> </w:t>
      </w:r>
      <w:r>
        <w:rPr>
          <w:shd w:val="clear" w:color="auto" w:fill="FFFFFF"/>
        </w:rPr>
        <w:t>у</w:t>
      </w:r>
      <w:r w:rsidR="00035312">
        <w:rPr>
          <w:shd w:val="clear" w:color="auto" w:fill="FFFFFF"/>
        </w:rPr>
        <w:t xml:space="preserve"> </w:t>
      </w:r>
      <w:r>
        <w:rPr>
          <w:shd w:val="clear" w:color="auto" w:fill="FFFFFF"/>
        </w:rPr>
        <w:t>вези</w:t>
      </w:r>
      <w:r w:rsidR="00035312">
        <w:rPr>
          <w:shd w:val="clear" w:color="auto" w:fill="FFFFFF"/>
        </w:rPr>
        <w:t xml:space="preserve"> </w:t>
      </w:r>
      <w:r>
        <w:rPr>
          <w:shd w:val="clear" w:color="auto" w:fill="FFFFFF"/>
        </w:rPr>
        <w:t>са</w:t>
      </w:r>
      <w:r w:rsidR="0042679D" w:rsidRPr="00295637">
        <w:rPr>
          <w:shd w:val="clear" w:color="auto" w:fill="FFFFFF"/>
        </w:rPr>
        <w:t xml:space="preserve"> </w:t>
      </w:r>
      <w:r>
        <w:rPr>
          <w:shd w:val="clear" w:color="auto" w:fill="FFFFFF"/>
        </w:rPr>
        <w:t>припремом</w:t>
      </w:r>
      <w:r w:rsidR="0042679D" w:rsidRPr="00295637">
        <w:rPr>
          <w:shd w:val="clear" w:color="auto" w:fill="FFFFFF"/>
        </w:rPr>
        <w:t xml:space="preserve"> </w:t>
      </w:r>
      <w:r>
        <w:rPr>
          <w:shd w:val="clear" w:color="auto" w:fill="FFFFFF"/>
        </w:rPr>
        <w:t>и</w:t>
      </w:r>
      <w:r w:rsidR="0042679D" w:rsidRPr="00295637">
        <w:rPr>
          <w:shd w:val="clear" w:color="auto" w:fill="FFFFFF"/>
        </w:rPr>
        <w:t xml:space="preserve"> </w:t>
      </w:r>
      <w:r>
        <w:rPr>
          <w:shd w:val="clear" w:color="auto" w:fill="FFFFFF"/>
        </w:rPr>
        <w:t>реализацијом</w:t>
      </w:r>
      <w:r w:rsidR="0042679D" w:rsidRPr="00295637">
        <w:rPr>
          <w:shd w:val="clear" w:color="auto" w:fill="FFFFFF"/>
        </w:rPr>
        <w:t xml:space="preserve"> </w:t>
      </w:r>
      <w:r>
        <w:rPr>
          <w:shd w:val="clear" w:color="auto" w:fill="FFFFFF"/>
        </w:rPr>
        <w:t>Зеленог</w:t>
      </w:r>
      <w:r w:rsidR="0042679D" w:rsidRPr="00295637">
        <w:rPr>
          <w:shd w:val="clear" w:color="auto" w:fill="FFFFFF"/>
        </w:rPr>
        <w:t xml:space="preserve"> </w:t>
      </w:r>
      <w:r>
        <w:rPr>
          <w:shd w:val="clear" w:color="auto" w:fill="FFFFFF"/>
        </w:rPr>
        <w:t>транзици</w:t>
      </w:r>
      <w:r w:rsidR="00960217">
        <w:rPr>
          <w:shd w:val="clear" w:color="auto" w:fill="FFFFFF"/>
          <w:lang w:val="sr-Cyrl-BA"/>
        </w:rPr>
        <w:t>оног</w:t>
      </w:r>
      <w:r w:rsidR="0042679D" w:rsidRPr="00295637">
        <w:rPr>
          <w:shd w:val="clear" w:color="auto" w:fill="FFFFFF"/>
        </w:rPr>
        <w:t xml:space="preserve"> </w:t>
      </w:r>
      <w:r>
        <w:rPr>
          <w:shd w:val="clear" w:color="auto" w:fill="FFFFFF"/>
        </w:rPr>
        <w:t>програма</w:t>
      </w:r>
      <w:r w:rsidR="0042679D" w:rsidRPr="00295637">
        <w:rPr>
          <w:shd w:val="clear" w:color="auto" w:fill="FFFFFF"/>
        </w:rPr>
        <w:t xml:space="preserve">. </w:t>
      </w:r>
    </w:p>
    <w:p w:rsidR="0042679D" w:rsidRPr="00F661DB" w:rsidRDefault="0042679D" w:rsidP="0086268D">
      <w:pPr>
        <w:pStyle w:val="ListParagraph"/>
        <w:ind w:left="720"/>
        <w:contextualSpacing/>
        <w:jc w:val="both"/>
        <w:rPr>
          <w:rFonts w:ascii="Times New Roman" w:hAnsi="Times New Roman"/>
          <w:szCs w:val="24"/>
          <w:lang w:val="bs-Latn-BA"/>
        </w:rPr>
      </w:pPr>
    </w:p>
    <w:p w:rsidR="0042679D" w:rsidRPr="002451EB" w:rsidRDefault="00C6214E" w:rsidP="0086268D">
      <w:pPr>
        <w:pStyle w:val="ListParagraph"/>
        <w:numPr>
          <w:ilvl w:val="0"/>
          <w:numId w:val="17"/>
        </w:numPr>
        <w:contextualSpacing/>
        <w:jc w:val="both"/>
        <w:rPr>
          <w:rFonts w:ascii="Times New Roman" w:hAnsi="Times New Roman"/>
          <w:szCs w:val="24"/>
          <w:lang w:val="bs-Latn-BA"/>
        </w:rPr>
      </w:pPr>
      <w:r>
        <w:rPr>
          <w:rFonts w:ascii="Times New Roman" w:hAnsi="Times New Roman"/>
          <w:bCs/>
          <w:lang w:val="bs-Latn-BA"/>
        </w:rPr>
        <w:t>ФМОИТ</w:t>
      </w:r>
      <w:r w:rsidR="0042679D" w:rsidRPr="00295637">
        <w:rPr>
          <w:rFonts w:ascii="Times New Roman" w:hAnsi="Times New Roman"/>
          <w:lang w:val="bs-Latn-BA"/>
        </w:rPr>
        <w:t xml:space="preserve"> </w:t>
      </w:r>
      <w:r>
        <w:rPr>
          <w:rFonts w:ascii="Times New Roman" w:hAnsi="Times New Roman"/>
          <w:lang w:val="bs-Latn-BA"/>
        </w:rPr>
        <w:t>континуирано</w:t>
      </w:r>
      <w:r w:rsidR="0042679D" w:rsidRPr="00295637">
        <w:rPr>
          <w:rFonts w:ascii="Times New Roman" w:hAnsi="Times New Roman"/>
          <w:lang w:val="bs-Latn-BA"/>
        </w:rPr>
        <w:t xml:space="preserve"> </w:t>
      </w:r>
      <w:r>
        <w:rPr>
          <w:rFonts w:ascii="Times New Roman" w:hAnsi="Times New Roman"/>
          <w:lang w:val="bs-Latn-BA"/>
        </w:rPr>
        <w:t>ради</w:t>
      </w:r>
      <w:r w:rsidR="0042679D" w:rsidRPr="00295637">
        <w:rPr>
          <w:rFonts w:ascii="Times New Roman" w:hAnsi="Times New Roman"/>
          <w:lang w:val="bs-Latn-BA"/>
        </w:rPr>
        <w:t xml:space="preserve"> </w:t>
      </w:r>
      <w:r>
        <w:rPr>
          <w:rFonts w:ascii="Times New Roman" w:hAnsi="Times New Roman"/>
          <w:lang w:val="bs-Latn-BA"/>
        </w:rPr>
        <w:t>на</w:t>
      </w:r>
      <w:r w:rsidR="0042679D" w:rsidRPr="00295637">
        <w:rPr>
          <w:rFonts w:ascii="Times New Roman" w:hAnsi="Times New Roman"/>
          <w:lang w:val="bs-Latn-BA"/>
        </w:rPr>
        <w:t xml:space="preserve"> </w:t>
      </w:r>
      <w:r>
        <w:rPr>
          <w:rFonts w:ascii="Times New Roman" w:hAnsi="Times New Roman"/>
          <w:lang w:val="bs-Latn-BA"/>
        </w:rPr>
        <w:t>интеграцији</w:t>
      </w:r>
      <w:r w:rsidR="0042679D" w:rsidRPr="00295637">
        <w:rPr>
          <w:rFonts w:ascii="Times New Roman" w:hAnsi="Times New Roman"/>
          <w:lang w:val="bs-Latn-BA"/>
        </w:rPr>
        <w:t xml:space="preserve"> </w:t>
      </w:r>
      <w:r>
        <w:rPr>
          <w:rFonts w:ascii="Times New Roman" w:hAnsi="Times New Roman"/>
        </w:rPr>
        <w:t>равноправности</w:t>
      </w:r>
      <w:r w:rsidR="0042679D" w:rsidRPr="00295637">
        <w:rPr>
          <w:rFonts w:ascii="Times New Roman" w:hAnsi="Times New Roman"/>
        </w:rPr>
        <w:t xml:space="preserve"> </w:t>
      </w:r>
      <w:r>
        <w:rPr>
          <w:rFonts w:ascii="Times New Roman" w:hAnsi="Times New Roman"/>
        </w:rPr>
        <w:t>полова</w:t>
      </w:r>
      <w:r w:rsidR="0042679D" w:rsidRPr="00295637">
        <w:rPr>
          <w:rFonts w:ascii="Times New Roman" w:hAnsi="Times New Roman"/>
          <w:lang w:val="bs-Latn-BA"/>
        </w:rPr>
        <w:t xml:space="preserve"> </w:t>
      </w:r>
      <w:r>
        <w:rPr>
          <w:rFonts w:ascii="Times New Roman" w:hAnsi="Times New Roman"/>
          <w:lang w:val="bs-Latn-BA"/>
        </w:rPr>
        <w:t>у</w:t>
      </w:r>
      <w:r w:rsidR="0042679D" w:rsidRPr="00295637">
        <w:rPr>
          <w:rFonts w:ascii="Times New Roman" w:hAnsi="Times New Roman"/>
          <w:lang w:val="bs-Latn-BA"/>
        </w:rPr>
        <w:t xml:space="preserve"> </w:t>
      </w:r>
      <w:r>
        <w:rPr>
          <w:rFonts w:ascii="Times New Roman" w:hAnsi="Times New Roman"/>
          <w:lang w:val="bs-Latn-BA"/>
        </w:rPr>
        <w:t>области</w:t>
      </w:r>
      <w:r w:rsidR="0042679D" w:rsidRPr="00295637">
        <w:rPr>
          <w:rFonts w:ascii="Times New Roman" w:hAnsi="Times New Roman"/>
          <w:lang w:val="bs-Latn-BA"/>
        </w:rPr>
        <w:t xml:space="preserve"> </w:t>
      </w:r>
      <w:r>
        <w:rPr>
          <w:rFonts w:ascii="Times New Roman" w:hAnsi="Times New Roman"/>
          <w:lang w:val="bs-Latn-BA"/>
        </w:rPr>
        <w:t>заштите</w:t>
      </w:r>
      <w:r w:rsidR="0042679D" w:rsidRPr="00295637">
        <w:rPr>
          <w:rFonts w:ascii="Times New Roman" w:hAnsi="Times New Roman"/>
          <w:lang w:val="bs-Latn-BA"/>
        </w:rPr>
        <w:t xml:space="preserve"> </w:t>
      </w:r>
      <w:r w:rsidR="00960217">
        <w:rPr>
          <w:rFonts w:ascii="Times New Roman" w:hAnsi="Times New Roman"/>
          <w:lang w:val="sr-Cyrl-BA"/>
        </w:rPr>
        <w:t>животне средине</w:t>
      </w:r>
      <w:r w:rsidR="0042679D" w:rsidRPr="00295637">
        <w:rPr>
          <w:rFonts w:ascii="Times New Roman" w:hAnsi="Times New Roman"/>
          <w:lang w:val="bs-Latn-BA"/>
        </w:rPr>
        <w:t xml:space="preserve"> </w:t>
      </w:r>
      <w:r>
        <w:rPr>
          <w:rFonts w:ascii="Times New Roman" w:hAnsi="Times New Roman"/>
          <w:lang w:val="bs-Latn-BA"/>
        </w:rPr>
        <w:t>и</w:t>
      </w:r>
      <w:r w:rsidR="0042679D" w:rsidRPr="00295637">
        <w:rPr>
          <w:rFonts w:ascii="Times New Roman" w:hAnsi="Times New Roman"/>
          <w:lang w:val="bs-Latn-BA"/>
        </w:rPr>
        <w:t xml:space="preserve"> </w:t>
      </w:r>
      <w:r>
        <w:rPr>
          <w:rFonts w:ascii="Times New Roman" w:hAnsi="Times New Roman"/>
          <w:lang w:val="bs-Latn-BA"/>
        </w:rPr>
        <w:t>климатских</w:t>
      </w:r>
      <w:r w:rsidR="0042679D" w:rsidRPr="00295637">
        <w:rPr>
          <w:rFonts w:ascii="Times New Roman" w:hAnsi="Times New Roman"/>
          <w:lang w:val="bs-Latn-BA"/>
        </w:rPr>
        <w:t xml:space="preserve"> </w:t>
      </w:r>
      <w:r>
        <w:rPr>
          <w:rFonts w:ascii="Times New Roman" w:hAnsi="Times New Roman"/>
          <w:lang w:val="bs-Latn-BA"/>
        </w:rPr>
        <w:t>промјена</w:t>
      </w:r>
      <w:r w:rsidR="0042679D" w:rsidRPr="00295637">
        <w:rPr>
          <w:rFonts w:ascii="Times New Roman" w:hAnsi="Times New Roman"/>
          <w:lang w:val="bs-Latn-BA"/>
        </w:rPr>
        <w:t xml:space="preserve">. </w:t>
      </w:r>
      <w:r>
        <w:rPr>
          <w:rFonts w:ascii="Times New Roman" w:hAnsi="Times New Roman"/>
          <w:lang w:val="bs-Latn-BA"/>
        </w:rPr>
        <w:t>Кроз</w:t>
      </w:r>
      <w:r w:rsidR="0042679D" w:rsidRPr="00295637">
        <w:rPr>
          <w:rFonts w:ascii="Times New Roman" w:hAnsi="Times New Roman"/>
          <w:lang w:val="bs-Latn-BA"/>
        </w:rPr>
        <w:t xml:space="preserve"> </w:t>
      </w:r>
      <w:r>
        <w:rPr>
          <w:rFonts w:ascii="Times New Roman" w:hAnsi="Times New Roman"/>
          <w:bCs/>
          <w:lang w:val="bs-Latn-BA"/>
        </w:rPr>
        <w:t>Федералну</w:t>
      </w:r>
      <w:r w:rsidR="0042679D" w:rsidRPr="00295637">
        <w:rPr>
          <w:rFonts w:ascii="Times New Roman" w:hAnsi="Times New Roman"/>
          <w:bCs/>
          <w:lang w:val="bs-Latn-BA"/>
        </w:rPr>
        <w:t xml:space="preserve"> </w:t>
      </w:r>
      <w:r>
        <w:rPr>
          <w:rFonts w:ascii="Times New Roman" w:hAnsi="Times New Roman"/>
          <w:bCs/>
          <w:lang w:val="bs-Latn-BA"/>
        </w:rPr>
        <w:t>стратегију</w:t>
      </w:r>
      <w:r w:rsidR="0042679D" w:rsidRPr="00295637">
        <w:rPr>
          <w:rFonts w:ascii="Times New Roman" w:hAnsi="Times New Roman"/>
          <w:bCs/>
          <w:lang w:val="bs-Latn-BA"/>
        </w:rPr>
        <w:t xml:space="preserve"> </w:t>
      </w:r>
      <w:r>
        <w:rPr>
          <w:rFonts w:ascii="Times New Roman" w:hAnsi="Times New Roman"/>
          <w:bCs/>
          <w:lang w:val="bs-Latn-BA"/>
        </w:rPr>
        <w:t>заштите</w:t>
      </w:r>
      <w:r w:rsidR="0042679D" w:rsidRPr="00295637">
        <w:rPr>
          <w:rFonts w:ascii="Times New Roman" w:hAnsi="Times New Roman"/>
          <w:bCs/>
          <w:lang w:val="bs-Latn-BA"/>
        </w:rPr>
        <w:t xml:space="preserve"> </w:t>
      </w:r>
      <w:r w:rsidR="00960217">
        <w:rPr>
          <w:rFonts w:ascii="Times New Roman" w:hAnsi="Times New Roman"/>
          <w:bCs/>
          <w:lang w:val="sr-Cyrl-BA"/>
        </w:rPr>
        <w:t>животне средине</w:t>
      </w:r>
      <w:r w:rsidR="0042679D" w:rsidRPr="00295637">
        <w:rPr>
          <w:rFonts w:ascii="Times New Roman" w:hAnsi="Times New Roman"/>
          <w:bCs/>
          <w:lang w:val="bs-Latn-BA"/>
        </w:rPr>
        <w:t xml:space="preserve"> 2030</w:t>
      </w:r>
      <w:r w:rsidR="00A77628">
        <w:rPr>
          <w:rFonts w:ascii="Times New Roman" w:hAnsi="Times New Roman"/>
          <w:bCs/>
          <w:lang w:val="bs-Latn-BA"/>
        </w:rPr>
        <w:t>.</w:t>
      </w:r>
      <w:r w:rsidR="0042679D" w:rsidRPr="00295637">
        <w:rPr>
          <w:rFonts w:ascii="Times New Roman" w:hAnsi="Times New Roman"/>
          <w:bCs/>
          <w:lang w:val="bs-Latn-BA"/>
        </w:rPr>
        <w:t>+,</w:t>
      </w:r>
      <w:r w:rsidR="0042679D" w:rsidRPr="00295637">
        <w:rPr>
          <w:rFonts w:ascii="Times New Roman" w:hAnsi="Times New Roman"/>
          <w:lang w:val="bs-Latn-BA"/>
        </w:rPr>
        <w:t xml:space="preserve"> </w:t>
      </w:r>
      <w:r>
        <w:rPr>
          <w:rFonts w:ascii="Times New Roman" w:hAnsi="Times New Roman"/>
          <w:lang w:val="bs-Latn-BA"/>
        </w:rPr>
        <w:t>Министарство</w:t>
      </w:r>
      <w:r w:rsidR="0042679D" w:rsidRPr="00295637">
        <w:rPr>
          <w:rFonts w:ascii="Times New Roman" w:hAnsi="Times New Roman"/>
          <w:lang w:val="bs-Latn-BA"/>
        </w:rPr>
        <w:t xml:space="preserve"> </w:t>
      </w:r>
      <w:r>
        <w:rPr>
          <w:rFonts w:ascii="Times New Roman" w:hAnsi="Times New Roman"/>
          <w:lang w:val="bs-Latn-BA"/>
        </w:rPr>
        <w:t>је</w:t>
      </w:r>
      <w:r w:rsidR="0042679D" w:rsidRPr="00295637">
        <w:rPr>
          <w:rFonts w:ascii="Times New Roman" w:hAnsi="Times New Roman"/>
          <w:lang w:val="bs-Latn-BA"/>
        </w:rPr>
        <w:t xml:space="preserve"> </w:t>
      </w:r>
      <w:r>
        <w:rPr>
          <w:rFonts w:ascii="Times New Roman" w:hAnsi="Times New Roman"/>
          <w:lang w:val="bs-Latn-BA"/>
        </w:rPr>
        <w:t>о</w:t>
      </w:r>
      <w:r w:rsidR="00960217">
        <w:rPr>
          <w:rFonts w:ascii="Times New Roman" w:hAnsi="Times New Roman"/>
          <w:lang w:val="sr-Cyrl-BA"/>
        </w:rPr>
        <w:t>безбиједило</w:t>
      </w:r>
      <w:r w:rsidR="0042679D" w:rsidRPr="00295637">
        <w:rPr>
          <w:rFonts w:ascii="Times New Roman" w:hAnsi="Times New Roman"/>
          <w:lang w:val="bs-Latn-BA"/>
        </w:rPr>
        <w:t xml:space="preserve"> </w:t>
      </w:r>
      <w:r>
        <w:rPr>
          <w:rFonts w:ascii="Times New Roman" w:hAnsi="Times New Roman"/>
          <w:lang w:val="bs-Latn-BA"/>
        </w:rPr>
        <w:t>укључивање</w:t>
      </w:r>
      <w:r w:rsidR="0042679D" w:rsidRPr="00295637">
        <w:rPr>
          <w:rFonts w:ascii="Times New Roman" w:hAnsi="Times New Roman"/>
          <w:lang w:val="bs-Latn-BA"/>
        </w:rPr>
        <w:t xml:space="preserve"> </w:t>
      </w:r>
      <w:r>
        <w:rPr>
          <w:rFonts w:ascii="Times New Roman" w:hAnsi="Times New Roman"/>
          <w:lang w:val="bs-Latn-BA"/>
        </w:rPr>
        <w:t>родно</w:t>
      </w:r>
      <w:r w:rsidR="0042679D" w:rsidRPr="00295637">
        <w:rPr>
          <w:rFonts w:ascii="Times New Roman" w:hAnsi="Times New Roman"/>
          <w:lang w:val="bs-Latn-BA"/>
        </w:rPr>
        <w:t xml:space="preserve"> </w:t>
      </w:r>
      <w:r>
        <w:rPr>
          <w:rFonts w:ascii="Times New Roman" w:hAnsi="Times New Roman"/>
          <w:lang w:val="bs-Latn-BA"/>
        </w:rPr>
        <w:t>осјетљивих</w:t>
      </w:r>
      <w:r w:rsidR="0042679D" w:rsidRPr="00295637">
        <w:rPr>
          <w:rFonts w:ascii="Times New Roman" w:hAnsi="Times New Roman"/>
          <w:lang w:val="bs-Latn-BA"/>
        </w:rPr>
        <w:t xml:space="preserve"> </w:t>
      </w:r>
      <w:r>
        <w:rPr>
          <w:rFonts w:ascii="Times New Roman" w:hAnsi="Times New Roman"/>
          <w:lang w:val="bs-Latn-BA"/>
        </w:rPr>
        <w:t>група</w:t>
      </w:r>
      <w:r w:rsidR="0042679D" w:rsidRPr="00295637">
        <w:rPr>
          <w:rFonts w:ascii="Times New Roman" w:hAnsi="Times New Roman"/>
          <w:lang w:val="bs-Latn-BA"/>
        </w:rPr>
        <w:t xml:space="preserve"> </w:t>
      </w:r>
      <w:r>
        <w:rPr>
          <w:rFonts w:ascii="Times New Roman" w:hAnsi="Times New Roman"/>
          <w:lang w:val="bs-Latn-BA"/>
        </w:rPr>
        <w:t>у</w:t>
      </w:r>
      <w:r w:rsidR="0042679D" w:rsidRPr="00295637">
        <w:rPr>
          <w:rFonts w:ascii="Times New Roman" w:hAnsi="Times New Roman"/>
          <w:lang w:val="bs-Latn-BA"/>
        </w:rPr>
        <w:t xml:space="preserve"> </w:t>
      </w:r>
      <w:r>
        <w:rPr>
          <w:rFonts w:ascii="Times New Roman" w:hAnsi="Times New Roman"/>
          <w:lang w:val="bs-Latn-BA"/>
        </w:rPr>
        <w:t>процесе</w:t>
      </w:r>
      <w:r w:rsidR="0042679D" w:rsidRPr="00295637">
        <w:rPr>
          <w:rFonts w:ascii="Times New Roman" w:hAnsi="Times New Roman"/>
          <w:lang w:val="bs-Latn-BA"/>
        </w:rPr>
        <w:t xml:space="preserve"> </w:t>
      </w:r>
      <w:r>
        <w:rPr>
          <w:rFonts w:ascii="Times New Roman" w:hAnsi="Times New Roman"/>
          <w:lang w:val="bs-Latn-BA"/>
        </w:rPr>
        <w:t>планирања</w:t>
      </w:r>
      <w:r w:rsidR="0042679D" w:rsidRPr="00295637">
        <w:rPr>
          <w:rFonts w:ascii="Times New Roman" w:hAnsi="Times New Roman"/>
          <w:lang w:val="bs-Latn-BA"/>
        </w:rPr>
        <w:t xml:space="preserve"> </w:t>
      </w:r>
      <w:r>
        <w:rPr>
          <w:rFonts w:ascii="Times New Roman" w:hAnsi="Times New Roman"/>
          <w:lang w:val="bs-Latn-BA"/>
        </w:rPr>
        <w:t>и</w:t>
      </w:r>
      <w:r w:rsidR="0042679D" w:rsidRPr="00295637">
        <w:rPr>
          <w:rFonts w:ascii="Times New Roman" w:hAnsi="Times New Roman"/>
          <w:lang w:val="bs-Latn-BA"/>
        </w:rPr>
        <w:t xml:space="preserve"> </w:t>
      </w:r>
      <w:r>
        <w:rPr>
          <w:rFonts w:ascii="Times New Roman" w:hAnsi="Times New Roman"/>
          <w:lang w:val="bs-Latn-BA"/>
        </w:rPr>
        <w:t>доношења</w:t>
      </w:r>
      <w:r w:rsidR="0042679D" w:rsidRPr="00295637">
        <w:rPr>
          <w:rFonts w:ascii="Times New Roman" w:hAnsi="Times New Roman"/>
          <w:lang w:val="bs-Latn-BA"/>
        </w:rPr>
        <w:t xml:space="preserve"> </w:t>
      </w:r>
      <w:r>
        <w:rPr>
          <w:rFonts w:ascii="Times New Roman" w:hAnsi="Times New Roman"/>
          <w:lang w:val="bs-Latn-BA"/>
        </w:rPr>
        <w:t>политика</w:t>
      </w:r>
      <w:r w:rsidR="0042679D" w:rsidRPr="00295637">
        <w:rPr>
          <w:rFonts w:ascii="Times New Roman" w:hAnsi="Times New Roman"/>
          <w:lang w:val="bs-Latn-BA"/>
        </w:rPr>
        <w:t>.</w:t>
      </w:r>
    </w:p>
    <w:p w:rsidR="0042679D" w:rsidRPr="002451EB" w:rsidRDefault="0042679D" w:rsidP="0086268D">
      <w:pPr>
        <w:pStyle w:val="ListParagraph"/>
        <w:rPr>
          <w:rFonts w:ascii="Times New Roman" w:hAnsi="Times New Roman"/>
          <w:lang w:val="sr-Latn-BA"/>
        </w:rPr>
      </w:pPr>
    </w:p>
    <w:p w:rsidR="009D451D" w:rsidRPr="00A8491A" w:rsidRDefault="00C6214E" w:rsidP="00A8491A">
      <w:pPr>
        <w:pStyle w:val="ListParagraph"/>
        <w:numPr>
          <w:ilvl w:val="0"/>
          <w:numId w:val="17"/>
        </w:numPr>
        <w:jc w:val="both"/>
        <w:rPr>
          <w:rFonts w:ascii="Times New Roman" w:hAnsi="Times New Roman"/>
          <w:lang w:val="sr-Latn-BA"/>
        </w:rPr>
      </w:pPr>
      <w:r>
        <w:rPr>
          <w:rFonts w:ascii="Times New Roman" w:hAnsi="Times New Roman"/>
          <w:lang w:val="sr-Latn-BA"/>
        </w:rPr>
        <w:t>Стратегија</w:t>
      </w:r>
      <w:r w:rsidR="0042679D" w:rsidRPr="00295637">
        <w:rPr>
          <w:rFonts w:ascii="Times New Roman" w:hAnsi="Times New Roman"/>
          <w:lang w:val="sr-Latn-BA"/>
        </w:rPr>
        <w:t xml:space="preserve"> </w:t>
      </w:r>
      <w:r>
        <w:rPr>
          <w:rFonts w:ascii="Times New Roman" w:hAnsi="Times New Roman"/>
          <w:lang w:val="sr-Latn-BA"/>
        </w:rPr>
        <w:t>заштите</w:t>
      </w:r>
      <w:r w:rsidR="0042679D" w:rsidRPr="00295637">
        <w:rPr>
          <w:rFonts w:ascii="Times New Roman" w:hAnsi="Times New Roman"/>
          <w:lang w:val="sr-Latn-BA"/>
        </w:rPr>
        <w:t xml:space="preserve"> </w:t>
      </w:r>
      <w:r w:rsidR="00960217">
        <w:rPr>
          <w:rFonts w:ascii="Times New Roman" w:hAnsi="Times New Roman"/>
          <w:lang w:val="sr-Cyrl-BA"/>
        </w:rPr>
        <w:t>животне средине</w:t>
      </w:r>
      <w:r w:rsidR="0042679D" w:rsidRPr="00295637">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период</w:t>
      </w:r>
      <w:r w:rsidR="0042679D" w:rsidRPr="00295637">
        <w:rPr>
          <w:rFonts w:ascii="Times New Roman" w:hAnsi="Times New Roman"/>
          <w:lang w:val="sr-Latn-BA"/>
        </w:rPr>
        <w:t xml:space="preserve"> 2022-2032.</w:t>
      </w:r>
      <w:r w:rsidR="00035312">
        <w:rPr>
          <w:rFonts w:ascii="Times New Roman" w:hAnsi="Times New Roman"/>
          <w:lang w:val="sr-Latn-BA"/>
        </w:rPr>
        <w:t xml:space="preserve"> </w:t>
      </w:r>
      <w:r>
        <w:rPr>
          <w:rFonts w:ascii="Times New Roman" w:hAnsi="Times New Roman"/>
          <w:lang w:val="sr-Latn-BA"/>
        </w:rPr>
        <w:t>године</w:t>
      </w:r>
      <w:r w:rsidR="0042679D" w:rsidRPr="00295637">
        <w:rPr>
          <w:rFonts w:ascii="Times New Roman" w:hAnsi="Times New Roman"/>
          <w:lang w:val="sr-Latn-BA"/>
        </w:rPr>
        <w:t xml:space="preserve"> </w:t>
      </w:r>
      <w:r>
        <w:rPr>
          <w:rFonts w:ascii="Times New Roman" w:hAnsi="Times New Roman"/>
          <w:lang w:val="sr-Latn-BA"/>
        </w:rPr>
        <w:t>идентифи</w:t>
      </w:r>
      <w:r w:rsidR="00960217">
        <w:rPr>
          <w:rFonts w:ascii="Times New Roman" w:hAnsi="Times New Roman"/>
          <w:lang w:val="sr-Cyrl-BA"/>
        </w:rPr>
        <w:t>ковала</w:t>
      </w:r>
      <w:r w:rsidR="0042679D" w:rsidRPr="00295637">
        <w:rPr>
          <w:rFonts w:ascii="Times New Roman" w:hAnsi="Times New Roman"/>
          <w:lang w:val="sr-Latn-BA"/>
        </w:rPr>
        <w:t xml:space="preserve"> </w:t>
      </w:r>
      <w:r>
        <w:rPr>
          <w:rFonts w:ascii="Times New Roman" w:hAnsi="Times New Roman"/>
          <w:lang w:val="sr-Latn-BA"/>
        </w:rPr>
        <w:t>је</w:t>
      </w:r>
      <w:r w:rsidR="0042679D" w:rsidRPr="00295637">
        <w:rPr>
          <w:rFonts w:ascii="Times New Roman" w:hAnsi="Times New Roman"/>
          <w:lang w:val="sr-Latn-BA"/>
        </w:rPr>
        <w:t xml:space="preserve"> </w:t>
      </w:r>
      <w:r>
        <w:rPr>
          <w:rFonts w:ascii="Times New Roman" w:hAnsi="Times New Roman"/>
          <w:lang w:val="sr-Latn-BA"/>
        </w:rPr>
        <w:t>недовољну</w:t>
      </w:r>
      <w:r w:rsidR="0042679D" w:rsidRPr="00295637">
        <w:rPr>
          <w:rFonts w:ascii="Times New Roman" w:hAnsi="Times New Roman"/>
          <w:lang w:val="sr-Latn-BA"/>
        </w:rPr>
        <w:t xml:space="preserve"> </w:t>
      </w:r>
      <w:r>
        <w:rPr>
          <w:rFonts w:ascii="Times New Roman" w:hAnsi="Times New Roman"/>
          <w:lang w:val="sr-Latn-BA"/>
        </w:rPr>
        <w:t>функционалност</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примјену</w:t>
      </w:r>
      <w:r w:rsidR="0042679D" w:rsidRPr="00295637">
        <w:rPr>
          <w:rFonts w:ascii="Times New Roman" w:hAnsi="Times New Roman"/>
          <w:lang w:val="sr-Latn-BA"/>
        </w:rPr>
        <w:t xml:space="preserve"> </w:t>
      </w:r>
      <w:r>
        <w:rPr>
          <w:rFonts w:ascii="Times New Roman" w:hAnsi="Times New Roman"/>
          <w:lang w:val="sr-Latn-BA"/>
        </w:rPr>
        <w:t>стандарда</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равноправност</w:t>
      </w:r>
      <w:r w:rsidR="0042679D" w:rsidRPr="00295637">
        <w:rPr>
          <w:rFonts w:ascii="Times New Roman" w:hAnsi="Times New Roman"/>
          <w:lang w:val="sr-Latn-BA"/>
        </w:rPr>
        <w:t xml:space="preserve"> </w:t>
      </w:r>
      <w:r>
        <w:rPr>
          <w:rFonts w:ascii="Times New Roman" w:hAnsi="Times New Roman"/>
          <w:lang w:val="sr-Latn-BA"/>
        </w:rPr>
        <w:t>полова</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оквиру</w:t>
      </w:r>
      <w:r w:rsidR="0042679D" w:rsidRPr="00295637">
        <w:rPr>
          <w:rFonts w:ascii="Times New Roman" w:hAnsi="Times New Roman"/>
          <w:lang w:val="sr-Latn-BA"/>
        </w:rPr>
        <w:t xml:space="preserve"> </w:t>
      </w:r>
      <w:r>
        <w:rPr>
          <w:rFonts w:ascii="Times New Roman" w:hAnsi="Times New Roman"/>
          <w:lang w:val="sr-Latn-BA"/>
        </w:rPr>
        <w:t>ове</w:t>
      </w:r>
      <w:r w:rsidR="0042679D" w:rsidRPr="00295637">
        <w:rPr>
          <w:rFonts w:ascii="Times New Roman" w:hAnsi="Times New Roman"/>
          <w:lang w:val="sr-Latn-BA"/>
        </w:rPr>
        <w:t xml:space="preserve"> </w:t>
      </w:r>
      <w:r>
        <w:rPr>
          <w:rFonts w:ascii="Times New Roman" w:hAnsi="Times New Roman"/>
          <w:lang w:val="sr-Latn-BA"/>
        </w:rPr>
        <w:t>области</w:t>
      </w:r>
      <w:r w:rsidR="0042679D" w:rsidRPr="00295637">
        <w:rPr>
          <w:rFonts w:ascii="Times New Roman" w:hAnsi="Times New Roman"/>
          <w:lang w:val="sr-Latn-BA"/>
        </w:rPr>
        <w:t xml:space="preserve">, </w:t>
      </w:r>
      <w:r>
        <w:rPr>
          <w:rFonts w:ascii="Times New Roman" w:hAnsi="Times New Roman"/>
          <w:lang w:val="sr-Latn-BA"/>
        </w:rPr>
        <w:t>те</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стратешке</w:t>
      </w:r>
      <w:r w:rsidR="0042679D" w:rsidRPr="00295637">
        <w:rPr>
          <w:rFonts w:ascii="Times New Roman" w:hAnsi="Times New Roman"/>
          <w:lang w:val="sr-Latn-BA"/>
        </w:rPr>
        <w:t xml:space="preserve"> </w:t>
      </w:r>
      <w:r>
        <w:rPr>
          <w:rFonts w:ascii="Times New Roman" w:hAnsi="Times New Roman"/>
          <w:lang w:val="sr-Latn-BA"/>
        </w:rPr>
        <w:t>циљеве</w:t>
      </w:r>
      <w:r w:rsidR="0042679D" w:rsidRPr="00295637">
        <w:rPr>
          <w:rFonts w:ascii="Times New Roman" w:hAnsi="Times New Roman"/>
          <w:lang w:val="sr-Latn-BA"/>
        </w:rPr>
        <w:t xml:space="preserve">, </w:t>
      </w:r>
      <w:r>
        <w:rPr>
          <w:rFonts w:ascii="Times New Roman" w:hAnsi="Times New Roman"/>
          <w:lang w:val="sr-Latn-BA"/>
        </w:rPr>
        <w:t>приоритете</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индикаторе</w:t>
      </w:r>
      <w:r w:rsidR="0042679D" w:rsidRPr="00295637">
        <w:rPr>
          <w:rFonts w:ascii="Times New Roman" w:hAnsi="Times New Roman"/>
          <w:lang w:val="sr-Latn-BA"/>
        </w:rPr>
        <w:t xml:space="preserve"> </w:t>
      </w:r>
      <w:r>
        <w:rPr>
          <w:rFonts w:ascii="Times New Roman" w:hAnsi="Times New Roman"/>
          <w:lang w:val="sr-Latn-BA"/>
        </w:rPr>
        <w:t>увела</w:t>
      </w:r>
      <w:r w:rsidR="0042679D" w:rsidRPr="00295637">
        <w:rPr>
          <w:rFonts w:ascii="Times New Roman" w:hAnsi="Times New Roman"/>
          <w:lang w:val="sr-Latn-BA"/>
        </w:rPr>
        <w:t xml:space="preserve"> </w:t>
      </w:r>
      <w:r>
        <w:rPr>
          <w:rFonts w:ascii="Times New Roman" w:hAnsi="Times New Roman"/>
          <w:lang w:val="sr-Latn-BA"/>
        </w:rPr>
        <w:t>стандарде</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равноправност</w:t>
      </w:r>
      <w:r w:rsidR="0042679D" w:rsidRPr="00295637">
        <w:rPr>
          <w:rFonts w:ascii="Times New Roman" w:hAnsi="Times New Roman"/>
          <w:lang w:val="sr-Latn-BA"/>
        </w:rPr>
        <w:t xml:space="preserve"> </w:t>
      </w:r>
      <w:r>
        <w:rPr>
          <w:rFonts w:ascii="Times New Roman" w:hAnsi="Times New Roman"/>
          <w:lang w:val="sr-Latn-BA"/>
        </w:rPr>
        <w:t>полова</w:t>
      </w:r>
      <w:r w:rsidR="0042679D" w:rsidRPr="00295637">
        <w:rPr>
          <w:rFonts w:ascii="Times New Roman" w:hAnsi="Times New Roman"/>
          <w:lang w:val="sr-Latn-BA"/>
        </w:rPr>
        <w:t xml:space="preserve">, </w:t>
      </w:r>
      <w:r>
        <w:rPr>
          <w:rFonts w:ascii="Times New Roman" w:hAnsi="Times New Roman"/>
          <w:lang w:val="sr-Latn-BA"/>
        </w:rPr>
        <w:t>као</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привремене</w:t>
      </w:r>
      <w:r w:rsidR="0042679D" w:rsidRPr="00295637">
        <w:rPr>
          <w:rFonts w:ascii="Times New Roman" w:hAnsi="Times New Roman"/>
          <w:lang w:val="sr-Latn-BA"/>
        </w:rPr>
        <w:t xml:space="preserve"> </w:t>
      </w:r>
      <w:r>
        <w:rPr>
          <w:rFonts w:ascii="Times New Roman" w:hAnsi="Times New Roman"/>
          <w:lang w:val="sr-Latn-BA"/>
        </w:rPr>
        <w:t>посебне</w:t>
      </w:r>
      <w:r w:rsidR="0042679D" w:rsidRPr="00295637">
        <w:rPr>
          <w:rFonts w:ascii="Times New Roman" w:hAnsi="Times New Roman"/>
          <w:lang w:val="sr-Latn-BA"/>
        </w:rPr>
        <w:t xml:space="preserve"> </w:t>
      </w:r>
      <w:r>
        <w:rPr>
          <w:rFonts w:ascii="Times New Roman" w:hAnsi="Times New Roman"/>
          <w:lang w:val="sr-Latn-BA"/>
        </w:rPr>
        <w:t>мјере</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веће</w:t>
      </w:r>
      <w:r w:rsidR="0042679D" w:rsidRPr="00295637">
        <w:rPr>
          <w:rFonts w:ascii="Times New Roman" w:hAnsi="Times New Roman"/>
          <w:lang w:val="sr-Latn-BA"/>
        </w:rPr>
        <w:t xml:space="preserve"> </w:t>
      </w:r>
      <w:r>
        <w:rPr>
          <w:rFonts w:ascii="Times New Roman" w:hAnsi="Times New Roman"/>
          <w:lang w:val="sr-Latn-BA"/>
        </w:rPr>
        <w:t>учешће</w:t>
      </w:r>
      <w:r w:rsidR="0042679D" w:rsidRPr="00295637">
        <w:rPr>
          <w:rFonts w:ascii="Times New Roman" w:hAnsi="Times New Roman"/>
          <w:lang w:val="sr-Latn-BA"/>
        </w:rPr>
        <w:t xml:space="preserve"> </w:t>
      </w:r>
      <w:r>
        <w:rPr>
          <w:rFonts w:ascii="Times New Roman" w:hAnsi="Times New Roman"/>
          <w:lang w:val="sr-Latn-BA"/>
        </w:rPr>
        <w:t>жена</w:t>
      </w:r>
      <w:r w:rsidR="0042679D" w:rsidRPr="00295637">
        <w:rPr>
          <w:rFonts w:ascii="Times New Roman" w:hAnsi="Times New Roman"/>
          <w:lang w:val="sr-Latn-BA"/>
        </w:rPr>
        <w:t>.</w:t>
      </w:r>
    </w:p>
    <w:p w:rsidR="0042679D" w:rsidRPr="00960217" w:rsidRDefault="0042679D" w:rsidP="0086268D">
      <w:pPr>
        <w:contextualSpacing/>
        <w:jc w:val="both"/>
        <w:rPr>
          <w:rFonts w:ascii="Times New Roman" w:hAnsi="Times New Roman"/>
          <w:i/>
          <w:szCs w:val="24"/>
          <w:lang w:val="sr-Cyrl-BA"/>
        </w:rPr>
      </w:pPr>
    </w:p>
    <w:p w:rsidR="0042679D" w:rsidRPr="00295637" w:rsidRDefault="00C6214E" w:rsidP="0086268D">
      <w:pPr>
        <w:contextualSpacing/>
        <w:jc w:val="both"/>
        <w:rPr>
          <w:rFonts w:ascii="Times New Roman" w:hAnsi="Times New Roman"/>
          <w:i/>
          <w:szCs w:val="24"/>
          <w:lang w:val="bs-Latn-BA"/>
        </w:rPr>
      </w:pPr>
      <w:r>
        <w:rPr>
          <w:rFonts w:ascii="Times New Roman" w:hAnsi="Times New Roman"/>
          <w:i/>
          <w:lang w:val="bs-Latn-BA"/>
        </w:rPr>
        <w:t>Изградња</w:t>
      </w:r>
      <w:r w:rsidR="0042679D" w:rsidRPr="00295637">
        <w:rPr>
          <w:rFonts w:ascii="Times New Roman" w:hAnsi="Times New Roman"/>
          <w:i/>
          <w:lang w:val="bs-Latn-BA"/>
        </w:rPr>
        <w:t xml:space="preserve"> </w:t>
      </w:r>
      <w:r>
        <w:rPr>
          <w:rFonts w:ascii="Times New Roman" w:hAnsi="Times New Roman"/>
          <w:i/>
          <w:lang w:val="bs-Latn-BA"/>
        </w:rPr>
        <w:t>и</w:t>
      </w:r>
      <w:r w:rsidR="0042679D" w:rsidRPr="00295637">
        <w:rPr>
          <w:rFonts w:ascii="Times New Roman" w:hAnsi="Times New Roman"/>
          <w:i/>
          <w:lang w:val="bs-Latn-BA"/>
        </w:rPr>
        <w:t xml:space="preserve"> </w:t>
      </w:r>
      <w:r>
        <w:rPr>
          <w:rFonts w:ascii="Times New Roman" w:hAnsi="Times New Roman"/>
          <w:i/>
          <w:lang w:val="bs-Latn-BA"/>
        </w:rPr>
        <w:t>јачање</w:t>
      </w:r>
      <w:r w:rsidR="0042679D" w:rsidRPr="00295637">
        <w:rPr>
          <w:rFonts w:ascii="Times New Roman" w:hAnsi="Times New Roman"/>
          <w:i/>
          <w:lang w:val="bs-Latn-BA"/>
        </w:rPr>
        <w:t xml:space="preserve"> </w:t>
      </w:r>
      <w:r>
        <w:rPr>
          <w:rFonts w:ascii="Times New Roman" w:hAnsi="Times New Roman"/>
          <w:i/>
          <w:lang w:val="bs-Latn-BA"/>
        </w:rPr>
        <w:t>система</w:t>
      </w:r>
      <w:r w:rsidR="00D30E48">
        <w:rPr>
          <w:rFonts w:ascii="Times New Roman" w:hAnsi="Times New Roman"/>
          <w:i/>
          <w:lang w:val="bs-Latn-BA"/>
        </w:rPr>
        <w:t xml:space="preserve">, </w:t>
      </w:r>
      <w:r>
        <w:rPr>
          <w:rFonts w:ascii="Times New Roman" w:hAnsi="Times New Roman"/>
          <w:i/>
          <w:lang w:val="bs-Latn-BA"/>
        </w:rPr>
        <w:t>механизама</w:t>
      </w:r>
      <w:r w:rsidR="00D30E48">
        <w:rPr>
          <w:rFonts w:ascii="Times New Roman" w:hAnsi="Times New Roman"/>
          <w:i/>
          <w:lang w:val="bs-Latn-BA"/>
        </w:rPr>
        <w:t xml:space="preserve"> </w:t>
      </w:r>
      <w:r>
        <w:rPr>
          <w:rFonts w:ascii="Times New Roman" w:hAnsi="Times New Roman"/>
          <w:i/>
          <w:lang w:val="bs-Latn-BA"/>
        </w:rPr>
        <w:t>и</w:t>
      </w:r>
      <w:r w:rsidR="00D30E48">
        <w:rPr>
          <w:rFonts w:ascii="Times New Roman" w:hAnsi="Times New Roman"/>
          <w:i/>
          <w:lang w:val="bs-Latn-BA"/>
        </w:rPr>
        <w:t xml:space="preserve"> </w:t>
      </w:r>
      <w:r>
        <w:rPr>
          <w:rFonts w:ascii="Times New Roman" w:hAnsi="Times New Roman"/>
          <w:i/>
          <w:lang w:val="bs-Latn-BA"/>
        </w:rPr>
        <w:t>инструмената</w:t>
      </w:r>
      <w:r w:rsidR="00D30E48">
        <w:rPr>
          <w:rFonts w:ascii="Times New Roman" w:hAnsi="Times New Roman"/>
          <w:i/>
          <w:lang w:val="bs-Latn-BA"/>
        </w:rPr>
        <w:t xml:space="preserve"> </w:t>
      </w:r>
      <w:r>
        <w:rPr>
          <w:rFonts w:ascii="Times New Roman" w:hAnsi="Times New Roman"/>
          <w:i/>
          <w:lang w:val="bs-Latn-BA"/>
        </w:rPr>
        <w:t>за</w:t>
      </w:r>
      <w:r w:rsidR="0042679D" w:rsidRPr="00295637">
        <w:rPr>
          <w:rFonts w:ascii="Times New Roman" w:hAnsi="Times New Roman"/>
          <w:i/>
          <w:lang w:val="bs-Latn-BA"/>
        </w:rPr>
        <w:t xml:space="preserve"> </w:t>
      </w:r>
      <w:r>
        <w:rPr>
          <w:rFonts w:ascii="Times New Roman" w:hAnsi="Times New Roman"/>
          <w:i/>
          <w:lang w:val="bs-Latn-BA"/>
        </w:rPr>
        <w:t>постизање</w:t>
      </w:r>
      <w:r w:rsidR="0042679D" w:rsidRPr="00295637">
        <w:rPr>
          <w:rFonts w:ascii="Times New Roman" w:hAnsi="Times New Roman"/>
          <w:i/>
          <w:lang w:val="bs-Latn-BA"/>
        </w:rPr>
        <w:t xml:space="preserve"> </w:t>
      </w:r>
      <w:r>
        <w:rPr>
          <w:rFonts w:ascii="Times New Roman" w:hAnsi="Times New Roman"/>
          <w:i/>
          <w:lang w:val="bs-Latn-BA"/>
        </w:rPr>
        <w:t>равноправности</w:t>
      </w:r>
      <w:r w:rsidR="0042679D" w:rsidRPr="00295637">
        <w:rPr>
          <w:rFonts w:ascii="Times New Roman" w:hAnsi="Times New Roman"/>
          <w:i/>
          <w:lang w:val="bs-Latn-BA"/>
        </w:rPr>
        <w:t xml:space="preserve"> </w:t>
      </w:r>
      <w:r>
        <w:rPr>
          <w:rFonts w:ascii="Times New Roman" w:hAnsi="Times New Roman"/>
          <w:i/>
          <w:lang w:val="bs-Latn-BA"/>
        </w:rPr>
        <w:t>полова</w:t>
      </w:r>
    </w:p>
    <w:p w:rsidR="0042679D" w:rsidRPr="00295637" w:rsidRDefault="0042679D" w:rsidP="0086268D"/>
    <w:p w:rsidR="0042679D" w:rsidRPr="00295637" w:rsidRDefault="00C6214E" w:rsidP="0086268D">
      <w:pPr>
        <w:pStyle w:val="ListParagraph"/>
        <w:numPr>
          <w:ilvl w:val="0"/>
          <w:numId w:val="26"/>
        </w:numPr>
        <w:jc w:val="both"/>
        <w:rPr>
          <w:rFonts w:ascii="Times New Roman" w:hAnsi="Times New Roman"/>
          <w:szCs w:val="24"/>
          <w:shd w:val="clear" w:color="auto" w:fill="FFFFFF"/>
          <w:lang w:val="en-US"/>
        </w:rPr>
      </w:pPr>
      <w:r>
        <w:rPr>
          <w:rFonts w:ascii="Times New Roman" w:hAnsi="Times New Roman"/>
          <w:szCs w:val="24"/>
          <w:shd w:val="clear" w:color="auto" w:fill="FFFFFF"/>
          <w:lang w:val="en-US"/>
        </w:rPr>
        <w:t>На</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приједлог</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МЉПИ</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42679D" w:rsidRPr="00295637">
        <w:rPr>
          <w:rFonts w:ascii="Times New Roman" w:hAnsi="Times New Roman"/>
          <w:szCs w:val="24"/>
          <w:shd w:val="clear" w:color="auto" w:fill="FFFFFF"/>
          <w:lang w:val="en-US"/>
        </w:rPr>
        <w:t xml:space="preserve">, </w:t>
      </w:r>
      <w:r w:rsidR="00960217">
        <w:rPr>
          <w:rFonts w:ascii="Times New Roman" w:hAnsi="Times New Roman"/>
          <w:szCs w:val="24"/>
          <w:shd w:val="clear" w:color="auto" w:fill="FFFFFF"/>
          <w:lang w:val="sr-Cyrl-BA"/>
        </w:rPr>
        <w:t>С</w:t>
      </w:r>
      <w:r>
        <w:rPr>
          <w:rFonts w:ascii="Times New Roman" w:hAnsi="Times New Roman"/>
          <w:szCs w:val="24"/>
          <w:shd w:val="clear" w:color="auto" w:fill="FFFFFF"/>
          <w:lang w:val="en-US"/>
        </w:rPr>
        <w:t>М</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је</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на</w:t>
      </w:r>
      <w:r w:rsidR="0042679D" w:rsidRPr="00295637">
        <w:rPr>
          <w:rFonts w:ascii="Times New Roman" w:hAnsi="Times New Roman"/>
          <w:szCs w:val="24"/>
          <w:shd w:val="clear" w:color="auto" w:fill="FFFFFF"/>
          <w:lang w:val="en-US"/>
        </w:rPr>
        <w:t xml:space="preserve"> 53. </w:t>
      </w:r>
      <w:r>
        <w:rPr>
          <w:rFonts w:ascii="Times New Roman" w:hAnsi="Times New Roman"/>
          <w:szCs w:val="24"/>
          <w:shd w:val="clear" w:color="auto" w:fill="FFFFFF"/>
          <w:lang w:val="en-US"/>
        </w:rPr>
        <w:t>сједници</w:t>
      </w:r>
      <w:r w:rsidR="0042679D">
        <w:rPr>
          <w:rFonts w:ascii="Times New Roman" w:hAnsi="Times New Roman"/>
          <w:szCs w:val="24"/>
          <w:shd w:val="clear" w:color="auto" w:fill="FFFFFF"/>
          <w:lang w:val="en-US"/>
        </w:rPr>
        <w:t>,</w:t>
      </w:r>
      <w:r w:rsidR="00A77628">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одржаној</w:t>
      </w:r>
      <w:r w:rsidR="00A77628">
        <w:rPr>
          <w:rFonts w:ascii="Times New Roman" w:hAnsi="Times New Roman"/>
          <w:szCs w:val="24"/>
          <w:shd w:val="clear" w:color="auto" w:fill="FFFFFF"/>
          <w:lang w:val="en-US"/>
        </w:rPr>
        <w:t xml:space="preserve"> 27.6.</w:t>
      </w:r>
      <w:r w:rsidR="0042679D" w:rsidRPr="00295637">
        <w:rPr>
          <w:rFonts w:ascii="Times New Roman" w:hAnsi="Times New Roman"/>
          <w:szCs w:val="24"/>
          <w:shd w:val="clear" w:color="auto" w:fill="FFFFFF"/>
          <w:lang w:val="en-US"/>
        </w:rPr>
        <w:t xml:space="preserve">2024. </w:t>
      </w:r>
      <w:r>
        <w:rPr>
          <w:rFonts w:ascii="Times New Roman" w:hAnsi="Times New Roman"/>
          <w:szCs w:val="24"/>
          <w:shd w:val="clear" w:color="auto" w:fill="FFFFFF"/>
          <w:lang w:val="en-US"/>
        </w:rPr>
        <w:t>године</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донио</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Одлуку</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успостављању</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Управног</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одбора</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за</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координацију</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и</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праћење</w:t>
      </w:r>
      <w:r w:rsidR="0042679D" w:rsidRPr="00295637">
        <w:rPr>
          <w:rFonts w:ascii="Times New Roman" w:hAnsi="Times New Roman"/>
          <w:szCs w:val="24"/>
          <w:shd w:val="clear" w:color="auto" w:fill="FFFFFF"/>
          <w:lang w:val="en-US"/>
        </w:rPr>
        <w:t xml:space="preserve"> </w:t>
      </w:r>
      <w:r w:rsidR="00960217">
        <w:rPr>
          <w:rFonts w:ascii="Times New Roman" w:hAnsi="Times New Roman"/>
          <w:szCs w:val="24"/>
          <w:shd w:val="clear" w:color="auto" w:fill="FFFFFF"/>
          <w:lang w:val="sr-Cyrl-BA"/>
        </w:rPr>
        <w:t>спровођења</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ГАП</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за</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период</w:t>
      </w:r>
      <w:r w:rsidR="0042679D" w:rsidRPr="00295637">
        <w:rPr>
          <w:rFonts w:ascii="Times New Roman" w:hAnsi="Times New Roman"/>
          <w:szCs w:val="24"/>
          <w:shd w:val="clear" w:color="auto" w:fill="FFFFFF"/>
          <w:lang w:val="en-US"/>
        </w:rPr>
        <w:t xml:space="preserve"> 2023</w:t>
      </w:r>
      <w:r w:rsidR="00A77628">
        <w:rPr>
          <w:rFonts w:ascii="Times New Roman" w:hAnsi="Times New Roman"/>
          <w:szCs w:val="24"/>
          <w:shd w:val="clear" w:color="auto" w:fill="FFFFFF"/>
          <w:lang w:val="en-US"/>
        </w:rPr>
        <w:t>-</w:t>
      </w:r>
      <w:r w:rsidR="0042679D" w:rsidRPr="00295637">
        <w:rPr>
          <w:rFonts w:ascii="Times New Roman" w:hAnsi="Times New Roman"/>
          <w:szCs w:val="24"/>
          <w:shd w:val="clear" w:color="auto" w:fill="FFFFFF"/>
          <w:lang w:val="en-US"/>
        </w:rPr>
        <w:t xml:space="preserve">2027. </w:t>
      </w:r>
      <w:r>
        <w:rPr>
          <w:rFonts w:ascii="Times New Roman" w:hAnsi="Times New Roman"/>
          <w:szCs w:val="24"/>
          <w:shd w:val="clear" w:color="auto" w:fill="FFFFFF"/>
          <w:lang w:val="en-US"/>
        </w:rPr>
        <w:t>година</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Као</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и</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до</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сада</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Управни</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одбор</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чине</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директорице</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АР</w:t>
      </w:r>
      <w:r w:rsidR="00960217">
        <w:rPr>
          <w:rFonts w:ascii="Times New Roman" w:hAnsi="Times New Roman"/>
          <w:szCs w:val="24"/>
          <w:shd w:val="clear" w:color="auto" w:fill="FFFFFF"/>
          <w:lang w:val="sr-Cyrl-BA"/>
        </w:rPr>
        <w:t>П</w:t>
      </w:r>
      <w:r w:rsidR="00A77628">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A77628">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МЉПИ</w:t>
      </w:r>
      <w:r w:rsidR="00A77628">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и</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ЦЈРП</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РС</w:t>
      </w:r>
      <w:r w:rsidR="0042679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и</w:t>
      </w:r>
      <w:r w:rsidR="00A77628">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директор</w:t>
      </w:r>
      <w:r w:rsidR="00A77628">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ГЦ</w:t>
      </w:r>
      <w:r w:rsidR="00A77628">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ФБиХ</w:t>
      </w:r>
      <w:r w:rsidR="0042679D" w:rsidRPr="00295637">
        <w:rPr>
          <w:rFonts w:ascii="Times New Roman" w:hAnsi="Times New Roman"/>
          <w:szCs w:val="24"/>
          <w:shd w:val="clear" w:color="auto" w:fill="FFFFFF"/>
          <w:lang w:val="en-US"/>
        </w:rPr>
        <w:t>.</w:t>
      </w:r>
    </w:p>
    <w:p w:rsidR="0042679D" w:rsidRPr="00295637" w:rsidRDefault="0042679D" w:rsidP="0086268D">
      <w:pPr>
        <w:jc w:val="both"/>
        <w:rPr>
          <w:rFonts w:ascii="Times New Roman" w:hAnsi="Times New Roman"/>
          <w:szCs w:val="24"/>
          <w:shd w:val="clear" w:color="auto" w:fill="FFFFFF"/>
          <w:lang w:val="en-US"/>
        </w:rPr>
      </w:pPr>
    </w:p>
    <w:p w:rsidR="0042679D" w:rsidRPr="0007074E" w:rsidRDefault="00C6214E" w:rsidP="0086268D">
      <w:pPr>
        <w:pStyle w:val="Normal1"/>
        <w:numPr>
          <w:ilvl w:val="0"/>
          <w:numId w:val="17"/>
        </w:numPr>
        <w:jc w:val="both"/>
        <w:rPr>
          <w:rFonts w:ascii="Times New Roman" w:hAnsi="Times New Roman"/>
        </w:rPr>
      </w:pPr>
      <w:r>
        <w:rPr>
          <w:rFonts w:ascii="Times New Roman" w:hAnsi="Times New Roman"/>
          <w:lang w:val="bs-Latn-BA"/>
        </w:rPr>
        <w:t>Активности</w:t>
      </w:r>
      <w:r w:rsidR="0042679D" w:rsidRPr="00295637">
        <w:rPr>
          <w:rFonts w:ascii="Times New Roman" w:hAnsi="Times New Roman"/>
          <w:lang w:val="bs-Latn-BA"/>
        </w:rPr>
        <w:t xml:space="preserve"> </w:t>
      </w:r>
      <w:r>
        <w:rPr>
          <w:rFonts w:ascii="Times New Roman" w:hAnsi="Times New Roman"/>
          <w:lang w:val="bs-Latn-BA"/>
        </w:rPr>
        <w:t>које</w:t>
      </w:r>
      <w:r w:rsidR="0042679D" w:rsidRPr="00295637">
        <w:rPr>
          <w:rFonts w:ascii="Times New Roman" w:hAnsi="Times New Roman"/>
          <w:lang w:val="bs-Latn-BA"/>
        </w:rPr>
        <w:t xml:space="preserve"> </w:t>
      </w:r>
      <w:r>
        <w:rPr>
          <w:rFonts w:ascii="Times New Roman" w:hAnsi="Times New Roman"/>
          <w:lang w:val="bs-Latn-BA"/>
        </w:rPr>
        <w:t>су</w:t>
      </w:r>
      <w:r w:rsidR="0042679D" w:rsidRPr="00295637">
        <w:rPr>
          <w:rFonts w:ascii="Times New Roman" w:hAnsi="Times New Roman"/>
          <w:lang w:val="bs-Latn-BA"/>
        </w:rPr>
        <w:t xml:space="preserve"> </w:t>
      </w:r>
      <w:r>
        <w:rPr>
          <w:rFonts w:ascii="Times New Roman" w:hAnsi="Times New Roman"/>
          <w:lang w:val="bs-Latn-BA"/>
        </w:rPr>
        <w:t>АР</w:t>
      </w:r>
      <w:r w:rsidR="00960217">
        <w:rPr>
          <w:rFonts w:ascii="Times New Roman" w:hAnsi="Times New Roman"/>
          <w:lang w:val="sr-Cyrl-BA"/>
        </w:rPr>
        <w:t>П</w:t>
      </w:r>
      <w:r w:rsidR="00A77628">
        <w:rPr>
          <w:rFonts w:ascii="Times New Roman" w:hAnsi="Times New Roman"/>
          <w:lang w:val="bs-Latn-BA"/>
        </w:rPr>
        <w:t xml:space="preserve"> </w:t>
      </w:r>
      <w:r>
        <w:rPr>
          <w:rFonts w:ascii="Times New Roman" w:hAnsi="Times New Roman"/>
          <w:lang w:val="bs-Latn-BA"/>
        </w:rPr>
        <w:t>БиХ</w:t>
      </w:r>
      <w:r w:rsidR="00A77628">
        <w:rPr>
          <w:rFonts w:ascii="Times New Roman" w:hAnsi="Times New Roman"/>
          <w:lang w:val="bs-Latn-BA"/>
        </w:rPr>
        <w:t xml:space="preserve"> </w:t>
      </w:r>
      <w:r>
        <w:rPr>
          <w:rFonts w:ascii="Times New Roman" w:hAnsi="Times New Roman"/>
          <w:lang w:val="bs-Latn-BA"/>
        </w:rPr>
        <w:t>МЉПИ</w:t>
      </w:r>
      <w:r w:rsidR="00A77628">
        <w:rPr>
          <w:rFonts w:ascii="Times New Roman" w:hAnsi="Times New Roman"/>
          <w:lang w:val="bs-Latn-BA"/>
        </w:rPr>
        <w:t xml:space="preserve"> </w:t>
      </w:r>
      <w:r>
        <w:rPr>
          <w:rFonts w:ascii="Times New Roman" w:hAnsi="Times New Roman"/>
          <w:lang w:val="bs-Latn-BA"/>
        </w:rPr>
        <w:t>БиХ</w:t>
      </w:r>
      <w:r w:rsidR="0042679D" w:rsidRPr="00295637">
        <w:rPr>
          <w:rFonts w:ascii="Times New Roman" w:hAnsi="Times New Roman"/>
          <w:lang w:val="bs-Latn-BA"/>
        </w:rPr>
        <w:t xml:space="preserve">, </w:t>
      </w:r>
      <w:r>
        <w:rPr>
          <w:rFonts w:ascii="Times New Roman" w:hAnsi="Times New Roman"/>
          <w:lang w:val="bs-Latn-BA"/>
        </w:rPr>
        <w:t>ГЦФБиХ</w:t>
      </w:r>
      <w:r w:rsidR="0042679D" w:rsidRPr="00295637">
        <w:rPr>
          <w:rFonts w:ascii="Times New Roman" w:hAnsi="Times New Roman"/>
          <w:lang w:val="bs-Latn-BA"/>
        </w:rPr>
        <w:t xml:space="preserve"> </w:t>
      </w:r>
      <w:r>
        <w:rPr>
          <w:rFonts w:ascii="Times New Roman" w:hAnsi="Times New Roman"/>
          <w:lang w:val="bs-Latn-BA"/>
        </w:rPr>
        <w:t>и</w:t>
      </w:r>
      <w:r w:rsidR="0042679D" w:rsidRPr="00295637">
        <w:rPr>
          <w:rFonts w:ascii="Times New Roman" w:hAnsi="Times New Roman"/>
          <w:lang w:val="bs-Latn-BA"/>
        </w:rPr>
        <w:t xml:space="preserve"> </w:t>
      </w:r>
      <w:r>
        <w:rPr>
          <w:rFonts w:ascii="Times New Roman" w:hAnsi="Times New Roman"/>
          <w:lang w:val="bs-Latn-BA"/>
        </w:rPr>
        <w:t>ЦЈРП</w:t>
      </w:r>
      <w:r w:rsidR="0042679D" w:rsidRPr="00295637">
        <w:rPr>
          <w:rFonts w:ascii="Times New Roman" w:hAnsi="Times New Roman"/>
          <w:lang w:val="bs-Latn-BA"/>
        </w:rPr>
        <w:t xml:space="preserve"> </w:t>
      </w:r>
      <w:r>
        <w:rPr>
          <w:rFonts w:ascii="Times New Roman" w:hAnsi="Times New Roman"/>
          <w:lang w:val="bs-Latn-BA"/>
        </w:rPr>
        <w:t>РС</w:t>
      </w:r>
      <w:r w:rsidR="0042679D" w:rsidRPr="00295637">
        <w:rPr>
          <w:rFonts w:ascii="Times New Roman" w:hAnsi="Times New Roman"/>
          <w:lang w:val="bs-Latn-BA"/>
        </w:rPr>
        <w:t xml:space="preserve"> </w:t>
      </w:r>
      <w:r>
        <w:rPr>
          <w:rFonts w:ascii="Times New Roman" w:hAnsi="Times New Roman"/>
          <w:lang w:val="bs-Latn-BA"/>
        </w:rPr>
        <w:t>предузимале</w:t>
      </w:r>
      <w:r w:rsidR="0042679D" w:rsidRPr="00295637">
        <w:rPr>
          <w:rFonts w:ascii="Times New Roman" w:hAnsi="Times New Roman"/>
          <w:lang w:val="bs-Latn-BA"/>
        </w:rPr>
        <w:t xml:space="preserve"> </w:t>
      </w:r>
      <w:r w:rsidR="00960217">
        <w:rPr>
          <w:rFonts w:ascii="Times New Roman" w:hAnsi="Times New Roman"/>
          <w:lang w:val="sr-Cyrl-BA"/>
        </w:rPr>
        <w:t>с</w:t>
      </w:r>
      <w:r w:rsidR="0042679D" w:rsidRPr="00295637">
        <w:rPr>
          <w:rFonts w:ascii="Times New Roman" w:hAnsi="Times New Roman"/>
          <w:lang w:val="bs-Latn-BA"/>
        </w:rPr>
        <w:t xml:space="preserve"> </w:t>
      </w:r>
      <w:r>
        <w:rPr>
          <w:rFonts w:ascii="Times New Roman" w:hAnsi="Times New Roman"/>
          <w:lang w:val="bs-Latn-BA"/>
        </w:rPr>
        <w:t>циљ</w:t>
      </w:r>
      <w:r w:rsidR="00960217">
        <w:rPr>
          <w:rFonts w:ascii="Times New Roman" w:hAnsi="Times New Roman"/>
          <w:lang w:val="sr-Cyrl-BA"/>
        </w:rPr>
        <w:t>ем</w:t>
      </w:r>
      <w:r w:rsidR="0042679D" w:rsidRPr="00295637">
        <w:rPr>
          <w:rFonts w:ascii="Times New Roman" w:hAnsi="Times New Roman"/>
          <w:lang w:val="bs-Latn-BA"/>
        </w:rPr>
        <w:t xml:space="preserve"> </w:t>
      </w:r>
      <w:r>
        <w:rPr>
          <w:rFonts w:ascii="Times New Roman" w:hAnsi="Times New Roman"/>
          <w:lang w:val="bs-Latn-BA"/>
        </w:rPr>
        <w:t>континуираног</w:t>
      </w:r>
      <w:r w:rsidR="0042679D" w:rsidRPr="00295637">
        <w:rPr>
          <w:rFonts w:ascii="Times New Roman" w:hAnsi="Times New Roman"/>
          <w:lang w:val="bs-Latn-BA"/>
        </w:rPr>
        <w:t xml:space="preserve"> </w:t>
      </w:r>
      <w:r>
        <w:rPr>
          <w:rFonts w:ascii="Times New Roman" w:hAnsi="Times New Roman"/>
          <w:lang w:val="bs-Latn-BA"/>
        </w:rPr>
        <w:t>дјеловања</w:t>
      </w:r>
      <w:r w:rsidR="0042679D">
        <w:rPr>
          <w:rFonts w:ascii="Times New Roman" w:hAnsi="Times New Roman"/>
          <w:lang w:val="bs-Latn-BA"/>
        </w:rPr>
        <w:t xml:space="preserve"> </w:t>
      </w:r>
      <w:r>
        <w:rPr>
          <w:rFonts w:ascii="Times New Roman" w:hAnsi="Times New Roman"/>
          <w:lang w:val="bs-Latn-BA"/>
        </w:rPr>
        <w:t>кроз</w:t>
      </w:r>
      <w:r w:rsidR="0042679D">
        <w:rPr>
          <w:rFonts w:ascii="Times New Roman" w:hAnsi="Times New Roman"/>
          <w:lang w:val="bs-Latn-BA"/>
        </w:rPr>
        <w:t xml:space="preserve"> </w:t>
      </w:r>
      <w:r>
        <w:rPr>
          <w:rFonts w:ascii="Times New Roman" w:hAnsi="Times New Roman"/>
          <w:lang w:val="bs-Latn-BA"/>
        </w:rPr>
        <w:t>оперативне</w:t>
      </w:r>
      <w:r w:rsidR="0042679D">
        <w:rPr>
          <w:rFonts w:ascii="Times New Roman" w:hAnsi="Times New Roman"/>
          <w:lang w:val="bs-Latn-BA"/>
        </w:rPr>
        <w:t xml:space="preserve"> </w:t>
      </w:r>
      <w:r>
        <w:rPr>
          <w:rFonts w:ascii="Times New Roman" w:hAnsi="Times New Roman"/>
          <w:lang w:val="bs-Latn-BA"/>
        </w:rPr>
        <w:t>планове</w:t>
      </w:r>
      <w:r w:rsidR="0042679D" w:rsidRPr="00295637">
        <w:rPr>
          <w:rFonts w:ascii="Times New Roman" w:hAnsi="Times New Roman"/>
          <w:lang w:val="bs-Latn-BA"/>
        </w:rPr>
        <w:t xml:space="preserve"> </w:t>
      </w:r>
      <w:r>
        <w:rPr>
          <w:rFonts w:ascii="Times New Roman" w:hAnsi="Times New Roman"/>
          <w:lang w:val="bs-Latn-BA"/>
        </w:rPr>
        <w:t>институција</w:t>
      </w:r>
      <w:r w:rsidR="0042679D" w:rsidRPr="00295637">
        <w:rPr>
          <w:rFonts w:ascii="Times New Roman" w:hAnsi="Times New Roman"/>
          <w:lang w:val="bs-Latn-BA"/>
        </w:rPr>
        <w:t xml:space="preserve"> </w:t>
      </w:r>
      <w:r>
        <w:rPr>
          <w:rFonts w:ascii="Times New Roman" w:hAnsi="Times New Roman"/>
          <w:lang w:val="bs-Latn-BA"/>
        </w:rPr>
        <w:t>БиХ</w:t>
      </w:r>
      <w:r w:rsidR="0039301B">
        <w:rPr>
          <w:rFonts w:ascii="Times New Roman" w:hAnsi="Times New Roman"/>
          <w:lang w:val="bs-Latn-BA"/>
        </w:rPr>
        <w:t xml:space="preserve">, </w:t>
      </w:r>
      <w:r>
        <w:rPr>
          <w:rFonts w:ascii="Times New Roman" w:hAnsi="Times New Roman"/>
          <w:lang w:val="bs-Latn-BA"/>
        </w:rPr>
        <w:t>ФБиХ</w:t>
      </w:r>
      <w:r w:rsidR="0042679D" w:rsidRPr="00295637">
        <w:rPr>
          <w:rFonts w:ascii="Times New Roman" w:hAnsi="Times New Roman"/>
          <w:lang w:val="bs-Latn-BA"/>
        </w:rPr>
        <w:t xml:space="preserve">, </w:t>
      </w:r>
      <w:r>
        <w:rPr>
          <w:rFonts w:ascii="Times New Roman" w:hAnsi="Times New Roman"/>
          <w:lang w:val="bs-Latn-BA"/>
        </w:rPr>
        <w:t>РС</w:t>
      </w:r>
      <w:r w:rsidR="0042679D" w:rsidRPr="00295637">
        <w:rPr>
          <w:rFonts w:ascii="Times New Roman" w:hAnsi="Times New Roman"/>
          <w:lang w:val="bs-Latn-BA"/>
        </w:rPr>
        <w:t xml:space="preserve">, </w:t>
      </w:r>
      <w:r>
        <w:rPr>
          <w:rFonts w:ascii="Times New Roman" w:hAnsi="Times New Roman"/>
          <w:lang w:val="bs-Latn-BA"/>
        </w:rPr>
        <w:t>кантона</w:t>
      </w:r>
      <w:r w:rsidR="0042679D" w:rsidRPr="00295637">
        <w:rPr>
          <w:rFonts w:ascii="Times New Roman" w:hAnsi="Times New Roman"/>
          <w:lang w:val="bs-Latn-BA"/>
        </w:rPr>
        <w:t xml:space="preserve"> </w:t>
      </w:r>
      <w:r>
        <w:rPr>
          <w:rFonts w:ascii="Times New Roman" w:hAnsi="Times New Roman"/>
          <w:lang w:val="bs-Latn-BA"/>
        </w:rPr>
        <w:t>и</w:t>
      </w:r>
      <w:r w:rsidR="0042679D" w:rsidRPr="00295637">
        <w:rPr>
          <w:rFonts w:ascii="Times New Roman" w:hAnsi="Times New Roman"/>
          <w:lang w:val="bs-Latn-BA"/>
        </w:rPr>
        <w:t xml:space="preserve"> </w:t>
      </w:r>
      <w:r>
        <w:rPr>
          <w:rFonts w:ascii="Times New Roman" w:hAnsi="Times New Roman"/>
          <w:lang w:val="bs-Latn-BA"/>
        </w:rPr>
        <w:t>оп</w:t>
      </w:r>
      <w:r w:rsidR="00960217">
        <w:rPr>
          <w:rFonts w:ascii="Times New Roman" w:hAnsi="Times New Roman"/>
          <w:lang w:val="sr-Cyrl-BA"/>
        </w:rPr>
        <w:t>шт</w:t>
      </w:r>
      <w:r>
        <w:rPr>
          <w:rFonts w:ascii="Times New Roman" w:hAnsi="Times New Roman"/>
          <w:lang w:val="bs-Latn-BA"/>
        </w:rPr>
        <w:t>ина</w:t>
      </w:r>
      <w:r w:rsidR="0042679D" w:rsidRPr="00295637">
        <w:rPr>
          <w:rFonts w:ascii="Times New Roman" w:hAnsi="Times New Roman"/>
          <w:lang w:val="bs-Latn-BA"/>
        </w:rPr>
        <w:t xml:space="preserve">, </w:t>
      </w:r>
      <w:r>
        <w:rPr>
          <w:rFonts w:ascii="Times New Roman" w:hAnsi="Times New Roman"/>
          <w:lang w:val="bs-Latn-BA"/>
        </w:rPr>
        <w:t>допринијеле</w:t>
      </w:r>
      <w:r w:rsidR="0042679D" w:rsidRPr="00295637">
        <w:rPr>
          <w:rFonts w:ascii="Times New Roman" w:hAnsi="Times New Roman"/>
          <w:lang w:val="bs-Latn-BA"/>
        </w:rPr>
        <w:t xml:space="preserve"> </w:t>
      </w:r>
      <w:r>
        <w:rPr>
          <w:rFonts w:ascii="Times New Roman" w:hAnsi="Times New Roman"/>
          <w:lang w:val="bs-Latn-BA"/>
        </w:rPr>
        <w:t>су</w:t>
      </w:r>
      <w:r w:rsidR="0042679D" w:rsidRPr="00295637">
        <w:rPr>
          <w:rFonts w:ascii="Times New Roman" w:hAnsi="Times New Roman"/>
          <w:lang w:val="bs-Latn-BA"/>
        </w:rPr>
        <w:t xml:space="preserve"> </w:t>
      </w:r>
      <w:r>
        <w:rPr>
          <w:rFonts w:ascii="Times New Roman" w:hAnsi="Times New Roman"/>
          <w:lang w:val="bs-Latn-BA"/>
        </w:rPr>
        <w:t>интегри</w:t>
      </w:r>
      <w:r w:rsidR="00960217">
        <w:rPr>
          <w:rFonts w:ascii="Times New Roman" w:hAnsi="Times New Roman"/>
          <w:lang w:val="sr-Cyrl-BA"/>
        </w:rPr>
        <w:t>с</w:t>
      </w:r>
      <w:r>
        <w:rPr>
          <w:rFonts w:ascii="Times New Roman" w:hAnsi="Times New Roman"/>
          <w:lang w:val="bs-Latn-BA"/>
        </w:rPr>
        <w:t>ању</w:t>
      </w:r>
      <w:r w:rsidR="0042679D" w:rsidRPr="00295637">
        <w:rPr>
          <w:rFonts w:ascii="Times New Roman" w:hAnsi="Times New Roman"/>
          <w:lang w:val="bs-Latn-BA"/>
        </w:rPr>
        <w:t xml:space="preserve"> </w:t>
      </w:r>
      <w:r>
        <w:rPr>
          <w:rFonts w:ascii="Times New Roman" w:hAnsi="Times New Roman"/>
          <w:lang w:val="bs-Latn-BA"/>
        </w:rPr>
        <w:t>гендер</w:t>
      </w:r>
      <w:r w:rsidR="0042679D" w:rsidRPr="00295637">
        <w:rPr>
          <w:rFonts w:ascii="Times New Roman" w:hAnsi="Times New Roman"/>
          <w:lang w:val="bs-Latn-BA"/>
        </w:rPr>
        <w:t xml:space="preserve"> </w:t>
      </w:r>
      <w:r>
        <w:rPr>
          <w:rFonts w:ascii="Times New Roman" w:hAnsi="Times New Roman"/>
          <w:lang w:val="bs-Latn-BA"/>
        </w:rPr>
        <w:t>питања</w:t>
      </w:r>
      <w:r w:rsidR="0042679D" w:rsidRPr="00295637">
        <w:rPr>
          <w:rFonts w:ascii="Times New Roman" w:hAnsi="Times New Roman"/>
          <w:lang w:val="bs-Latn-BA"/>
        </w:rPr>
        <w:t xml:space="preserve"> </w:t>
      </w:r>
      <w:r>
        <w:rPr>
          <w:rFonts w:ascii="Times New Roman" w:hAnsi="Times New Roman"/>
          <w:lang w:val="bs-Latn-BA"/>
        </w:rPr>
        <w:t>у</w:t>
      </w:r>
      <w:r w:rsidR="0042679D" w:rsidRPr="00295637">
        <w:rPr>
          <w:rFonts w:ascii="Times New Roman" w:hAnsi="Times New Roman"/>
          <w:lang w:val="bs-Latn-BA"/>
        </w:rPr>
        <w:t xml:space="preserve"> </w:t>
      </w:r>
      <w:r>
        <w:rPr>
          <w:rFonts w:ascii="Times New Roman" w:hAnsi="Times New Roman"/>
          <w:lang w:val="bs-Latn-BA"/>
        </w:rPr>
        <w:t>програме</w:t>
      </w:r>
      <w:r w:rsidR="0042679D" w:rsidRPr="00295637">
        <w:rPr>
          <w:rFonts w:ascii="Times New Roman" w:hAnsi="Times New Roman"/>
          <w:lang w:val="bs-Latn-BA"/>
        </w:rPr>
        <w:t xml:space="preserve"> </w:t>
      </w:r>
      <w:r>
        <w:rPr>
          <w:rFonts w:ascii="Times New Roman" w:hAnsi="Times New Roman"/>
          <w:lang w:val="bs-Latn-BA"/>
        </w:rPr>
        <w:t>и</w:t>
      </w:r>
      <w:r w:rsidR="0042679D" w:rsidRPr="00295637">
        <w:rPr>
          <w:rFonts w:ascii="Times New Roman" w:hAnsi="Times New Roman"/>
          <w:lang w:val="bs-Latn-BA"/>
        </w:rPr>
        <w:t xml:space="preserve"> </w:t>
      </w:r>
      <w:r>
        <w:rPr>
          <w:rFonts w:ascii="Times New Roman" w:hAnsi="Times New Roman"/>
          <w:lang w:val="bs-Latn-BA"/>
        </w:rPr>
        <w:t>буџете</w:t>
      </w:r>
      <w:r w:rsidR="0042679D" w:rsidRPr="00295637">
        <w:rPr>
          <w:rFonts w:ascii="Times New Roman" w:hAnsi="Times New Roman"/>
          <w:lang w:val="bs-Latn-BA"/>
        </w:rPr>
        <w:t xml:space="preserve"> </w:t>
      </w:r>
      <w:r>
        <w:rPr>
          <w:rFonts w:ascii="Times New Roman" w:hAnsi="Times New Roman"/>
          <w:lang w:val="bs-Latn-BA"/>
        </w:rPr>
        <w:t>институција</w:t>
      </w:r>
      <w:r w:rsidR="0042679D" w:rsidRPr="00295637">
        <w:rPr>
          <w:rFonts w:ascii="Times New Roman" w:hAnsi="Times New Roman"/>
          <w:lang w:val="bs-Latn-BA"/>
        </w:rPr>
        <w:t xml:space="preserve">, </w:t>
      </w:r>
      <w:r>
        <w:rPr>
          <w:rFonts w:ascii="Times New Roman" w:hAnsi="Times New Roman"/>
          <w:lang w:val="bs-Latn-BA"/>
        </w:rPr>
        <w:t>као</w:t>
      </w:r>
      <w:r w:rsidR="0042679D" w:rsidRPr="00295637">
        <w:rPr>
          <w:rFonts w:ascii="Times New Roman" w:hAnsi="Times New Roman"/>
          <w:lang w:val="bs-Latn-BA"/>
        </w:rPr>
        <w:t xml:space="preserve"> </w:t>
      </w:r>
      <w:r>
        <w:rPr>
          <w:rFonts w:ascii="Times New Roman" w:hAnsi="Times New Roman"/>
          <w:lang w:val="bs-Latn-BA"/>
        </w:rPr>
        <w:t>и</w:t>
      </w:r>
      <w:r w:rsidR="0042679D" w:rsidRPr="00295637">
        <w:rPr>
          <w:rFonts w:ascii="Times New Roman" w:hAnsi="Times New Roman"/>
          <w:lang w:val="bs-Latn-BA"/>
        </w:rPr>
        <w:t xml:space="preserve"> </w:t>
      </w:r>
      <w:r>
        <w:rPr>
          <w:rFonts w:ascii="Times New Roman" w:hAnsi="Times New Roman"/>
          <w:lang w:val="bs-Latn-BA"/>
        </w:rPr>
        <w:t>правне</w:t>
      </w:r>
      <w:r w:rsidR="0042679D" w:rsidRPr="00295637">
        <w:rPr>
          <w:rFonts w:ascii="Times New Roman" w:hAnsi="Times New Roman"/>
          <w:lang w:val="bs-Latn-BA"/>
        </w:rPr>
        <w:t xml:space="preserve"> </w:t>
      </w:r>
      <w:r>
        <w:rPr>
          <w:rFonts w:ascii="Times New Roman" w:hAnsi="Times New Roman"/>
          <w:lang w:val="bs-Latn-BA"/>
        </w:rPr>
        <w:t>документе</w:t>
      </w:r>
      <w:r w:rsidR="0042679D" w:rsidRPr="00295637">
        <w:rPr>
          <w:rFonts w:ascii="Times New Roman" w:hAnsi="Times New Roman"/>
          <w:lang w:val="bs-Latn-BA"/>
        </w:rPr>
        <w:t xml:space="preserve">. </w:t>
      </w:r>
      <w:r w:rsidR="00960217">
        <w:rPr>
          <w:rFonts w:ascii="Times New Roman" w:hAnsi="Times New Roman"/>
          <w:lang w:val="sr-Cyrl-BA"/>
        </w:rPr>
        <w:t>Обезбијеђена</w:t>
      </w:r>
      <w:r w:rsidR="0042679D" w:rsidRPr="00295637">
        <w:rPr>
          <w:rFonts w:ascii="Times New Roman" w:hAnsi="Times New Roman"/>
          <w:lang w:val="bs-Latn-BA"/>
        </w:rPr>
        <w:t xml:space="preserve"> </w:t>
      </w:r>
      <w:r>
        <w:rPr>
          <w:rFonts w:ascii="Times New Roman" w:hAnsi="Times New Roman"/>
          <w:lang w:val="bs-Latn-BA"/>
        </w:rPr>
        <w:t>је</w:t>
      </w:r>
      <w:r w:rsidR="0042679D" w:rsidRPr="00295637">
        <w:rPr>
          <w:rFonts w:ascii="Times New Roman" w:hAnsi="Times New Roman"/>
          <w:lang w:val="bs-Latn-BA"/>
        </w:rPr>
        <w:t xml:space="preserve"> </w:t>
      </w:r>
      <w:r>
        <w:rPr>
          <w:rFonts w:ascii="Times New Roman" w:hAnsi="Times New Roman"/>
          <w:lang w:val="bs-Latn-BA"/>
        </w:rPr>
        <w:t>конзистентност</w:t>
      </w:r>
      <w:r w:rsidR="0042679D" w:rsidRPr="00295637">
        <w:rPr>
          <w:rFonts w:ascii="Times New Roman" w:hAnsi="Times New Roman"/>
          <w:lang w:val="bs-Latn-BA"/>
        </w:rPr>
        <w:t xml:space="preserve"> </w:t>
      </w:r>
      <w:r>
        <w:rPr>
          <w:rFonts w:ascii="Times New Roman" w:hAnsi="Times New Roman"/>
          <w:lang w:val="bs-Latn-BA"/>
        </w:rPr>
        <w:t>у</w:t>
      </w:r>
      <w:r w:rsidR="0042679D" w:rsidRPr="00295637">
        <w:rPr>
          <w:rFonts w:ascii="Times New Roman" w:hAnsi="Times New Roman"/>
          <w:lang w:val="bs-Latn-BA"/>
        </w:rPr>
        <w:t xml:space="preserve"> </w:t>
      </w:r>
      <w:r w:rsidR="00960217">
        <w:rPr>
          <w:rFonts w:ascii="Times New Roman" w:hAnsi="Times New Roman"/>
          <w:lang w:val="sr-Cyrl-BA"/>
        </w:rPr>
        <w:t>спровођењу</w:t>
      </w:r>
      <w:r w:rsidR="00D30E48">
        <w:rPr>
          <w:rFonts w:ascii="Times New Roman" w:hAnsi="Times New Roman"/>
          <w:lang w:val="bs-Latn-BA"/>
        </w:rPr>
        <w:t xml:space="preserve"> </w:t>
      </w:r>
      <w:r>
        <w:rPr>
          <w:rFonts w:ascii="Times New Roman" w:hAnsi="Times New Roman"/>
          <w:lang w:val="bs-Latn-BA"/>
        </w:rPr>
        <w:t>циљева</w:t>
      </w:r>
      <w:r w:rsidR="00D30E48">
        <w:rPr>
          <w:rFonts w:ascii="Times New Roman" w:hAnsi="Times New Roman"/>
          <w:lang w:val="bs-Latn-BA"/>
        </w:rPr>
        <w:t xml:space="preserve"> </w:t>
      </w:r>
      <w:r>
        <w:rPr>
          <w:rFonts w:ascii="Times New Roman" w:hAnsi="Times New Roman"/>
          <w:lang w:val="bs-Latn-BA"/>
        </w:rPr>
        <w:t>и</w:t>
      </w:r>
      <w:r w:rsidR="00D30E48">
        <w:rPr>
          <w:rFonts w:ascii="Times New Roman" w:hAnsi="Times New Roman"/>
          <w:lang w:val="bs-Latn-BA"/>
        </w:rPr>
        <w:t xml:space="preserve"> </w:t>
      </w:r>
      <w:r>
        <w:rPr>
          <w:rFonts w:ascii="Times New Roman" w:hAnsi="Times New Roman"/>
          <w:lang w:val="bs-Latn-BA"/>
        </w:rPr>
        <w:t>мјера</w:t>
      </w:r>
      <w:r w:rsidR="00D30E48">
        <w:rPr>
          <w:rFonts w:ascii="Times New Roman" w:hAnsi="Times New Roman"/>
          <w:lang w:val="bs-Latn-BA"/>
        </w:rPr>
        <w:t xml:space="preserve"> </w:t>
      </w:r>
      <w:r>
        <w:rPr>
          <w:rFonts w:ascii="Times New Roman" w:hAnsi="Times New Roman"/>
          <w:lang w:val="bs-Latn-BA"/>
        </w:rPr>
        <w:t>из</w:t>
      </w:r>
      <w:r w:rsidR="00D30E48">
        <w:rPr>
          <w:rFonts w:ascii="Times New Roman" w:hAnsi="Times New Roman"/>
          <w:lang w:val="bs-Latn-BA"/>
        </w:rPr>
        <w:t xml:space="preserve"> </w:t>
      </w:r>
      <w:r>
        <w:rPr>
          <w:rFonts w:ascii="Times New Roman" w:hAnsi="Times New Roman"/>
          <w:lang w:val="bs-Latn-BA"/>
        </w:rPr>
        <w:t>ГАП</w:t>
      </w:r>
      <w:r w:rsidR="00D30E48">
        <w:rPr>
          <w:rFonts w:ascii="Times New Roman" w:hAnsi="Times New Roman"/>
          <w:lang w:val="bs-Latn-BA"/>
        </w:rPr>
        <w:t xml:space="preserve"> </w:t>
      </w:r>
      <w:r>
        <w:rPr>
          <w:rFonts w:ascii="Times New Roman" w:hAnsi="Times New Roman"/>
          <w:lang w:val="bs-Latn-BA"/>
        </w:rPr>
        <w:t>БиХ</w:t>
      </w:r>
      <w:r w:rsidR="00D30E48">
        <w:rPr>
          <w:rFonts w:ascii="Times New Roman" w:hAnsi="Times New Roman"/>
          <w:lang w:val="bs-Latn-BA"/>
        </w:rPr>
        <w:t>,</w:t>
      </w:r>
      <w:r w:rsidR="0042679D" w:rsidRPr="00295637">
        <w:rPr>
          <w:rFonts w:ascii="Times New Roman" w:hAnsi="Times New Roman"/>
          <w:lang w:val="bs-Latn-BA"/>
        </w:rPr>
        <w:t xml:space="preserve"> </w:t>
      </w:r>
      <w:r>
        <w:rPr>
          <w:rFonts w:ascii="Times New Roman" w:hAnsi="Times New Roman"/>
          <w:lang w:val="bs-Latn-BA"/>
        </w:rPr>
        <w:t>те</w:t>
      </w:r>
      <w:r w:rsidR="0042679D" w:rsidRPr="00295637">
        <w:rPr>
          <w:rFonts w:ascii="Times New Roman" w:hAnsi="Times New Roman"/>
          <w:lang w:val="bs-Latn-BA"/>
        </w:rPr>
        <w:t xml:space="preserve"> </w:t>
      </w:r>
      <w:r>
        <w:rPr>
          <w:rFonts w:ascii="Times New Roman" w:hAnsi="Times New Roman"/>
          <w:lang w:val="bs-Latn-BA"/>
        </w:rPr>
        <w:t>приоритета</w:t>
      </w:r>
      <w:r w:rsidR="0042679D" w:rsidRPr="00295637">
        <w:rPr>
          <w:rFonts w:ascii="Times New Roman" w:hAnsi="Times New Roman"/>
          <w:lang w:val="bs-Latn-BA"/>
        </w:rPr>
        <w:t xml:space="preserve"> </w:t>
      </w:r>
      <w:r>
        <w:rPr>
          <w:rFonts w:ascii="Times New Roman" w:hAnsi="Times New Roman"/>
          <w:lang w:val="bs-Latn-BA"/>
        </w:rPr>
        <w:t>које</w:t>
      </w:r>
      <w:r w:rsidR="0042679D" w:rsidRPr="00295637">
        <w:rPr>
          <w:rFonts w:ascii="Times New Roman" w:hAnsi="Times New Roman"/>
          <w:lang w:val="bs-Latn-BA"/>
        </w:rPr>
        <w:t xml:space="preserve"> </w:t>
      </w:r>
      <w:r>
        <w:rPr>
          <w:rFonts w:ascii="Times New Roman" w:hAnsi="Times New Roman"/>
          <w:lang w:val="bs-Latn-BA"/>
        </w:rPr>
        <w:t>захтијева</w:t>
      </w:r>
      <w:r w:rsidR="0042679D" w:rsidRPr="00295637">
        <w:rPr>
          <w:rFonts w:ascii="Times New Roman" w:hAnsi="Times New Roman"/>
          <w:lang w:val="bs-Latn-BA"/>
        </w:rPr>
        <w:t xml:space="preserve"> </w:t>
      </w:r>
      <w:r>
        <w:rPr>
          <w:rFonts w:ascii="Times New Roman" w:hAnsi="Times New Roman"/>
          <w:lang w:val="bs-Latn-BA"/>
        </w:rPr>
        <w:t>хармонизација</w:t>
      </w:r>
      <w:r w:rsidR="0042679D" w:rsidRPr="00295637">
        <w:rPr>
          <w:rFonts w:ascii="Times New Roman" w:hAnsi="Times New Roman"/>
          <w:lang w:val="bs-Latn-BA"/>
        </w:rPr>
        <w:t xml:space="preserve"> </w:t>
      </w:r>
      <w:r>
        <w:rPr>
          <w:rFonts w:ascii="Times New Roman" w:hAnsi="Times New Roman"/>
          <w:lang w:val="bs-Latn-BA"/>
        </w:rPr>
        <w:t>у</w:t>
      </w:r>
      <w:r w:rsidR="0042679D" w:rsidRPr="00295637">
        <w:rPr>
          <w:rFonts w:ascii="Times New Roman" w:hAnsi="Times New Roman"/>
          <w:lang w:val="bs-Latn-BA"/>
        </w:rPr>
        <w:t xml:space="preserve"> </w:t>
      </w:r>
      <w:r>
        <w:rPr>
          <w:rFonts w:ascii="Times New Roman" w:hAnsi="Times New Roman"/>
          <w:lang w:val="bs-Latn-BA"/>
        </w:rPr>
        <w:t>процесу</w:t>
      </w:r>
      <w:r w:rsidR="0042679D" w:rsidRPr="00295637">
        <w:rPr>
          <w:rFonts w:ascii="Times New Roman" w:hAnsi="Times New Roman"/>
          <w:lang w:val="bs-Latn-BA"/>
        </w:rPr>
        <w:t xml:space="preserve"> </w:t>
      </w:r>
      <w:r>
        <w:rPr>
          <w:rFonts w:ascii="Times New Roman" w:hAnsi="Times New Roman"/>
          <w:lang w:val="bs-Latn-BA"/>
        </w:rPr>
        <w:t>ЕУ</w:t>
      </w:r>
      <w:r w:rsidR="0042679D" w:rsidRPr="00295637">
        <w:rPr>
          <w:rFonts w:ascii="Times New Roman" w:hAnsi="Times New Roman"/>
          <w:lang w:val="bs-Latn-BA"/>
        </w:rPr>
        <w:t xml:space="preserve"> </w:t>
      </w:r>
      <w:r>
        <w:rPr>
          <w:rFonts w:ascii="Times New Roman" w:hAnsi="Times New Roman"/>
          <w:lang w:val="bs-Latn-BA"/>
        </w:rPr>
        <w:t>интеграција</w:t>
      </w:r>
      <w:r w:rsidR="0042679D" w:rsidRPr="00295637">
        <w:rPr>
          <w:rFonts w:ascii="Times New Roman" w:hAnsi="Times New Roman"/>
          <w:lang w:val="bs-Latn-BA"/>
        </w:rPr>
        <w:t xml:space="preserve">.   </w:t>
      </w:r>
    </w:p>
    <w:p w:rsidR="0042679D" w:rsidRPr="0007074E" w:rsidRDefault="0042679D" w:rsidP="0086268D">
      <w:pPr>
        <w:pStyle w:val="Normal1"/>
        <w:ind w:left="720"/>
        <w:jc w:val="both"/>
        <w:rPr>
          <w:rFonts w:ascii="Times New Roman" w:hAnsi="Times New Roman"/>
        </w:rPr>
      </w:pPr>
    </w:p>
    <w:p w:rsidR="0042679D" w:rsidRPr="0007074E" w:rsidRDefault="00C6214E" w:rsidP="0086268D">
      <w:pPr>
        <w:pStyle w:val="Normal1"/>
        <w:numPr>
          <w:ilvl w:val="0"/>
          <w:numId w:val="17"/>
        </w:numPr>
        <w:jc w:val="both"/>
        <w:rPr>
          <w:rFonts w:ascii="Times New Roman" w:hAnsi="Times New Roman"/>
        </w:rPr>
      </w:pPr>
      <w:r>
        <w:rPr>
          <w:rFonts w:ascii="Times New Roman" w:hAnsi="Times New Roman"/>
          <w:bCs/>
        </w:rPr>
        <w:t>АР</w:t>
      </w:r>
      <w:r w:rsidR="00960217">
        <w:rPr>
          <w:rFonts w:ascii="Times New Roman" w:hAnsi="Times New Roman"/>
          <w:bCs/>
          <w:lang w:val="sr-Cyrl-BA"/>
        </w:rPr>
        <w:t>П</w:t>
      </w:r>
      <w:r w:rsidR="0039301B">
        <w:rPr>
          <w:rFonts w:ascii="Times New Roman" w:hAnsi="Times New Roman"/>
          <w:bCs/>
        </w:rPr>
        <w:t xml:space="preserve"> </w:t>
      </w:r>
      <w:r>
        <w:rPr>
          <w:rFonts w:ascii="Times New Roman" w:hAnsi="Times New Roman"/>
          <w:bCs/>
        </w:rPr>
        <w:t>БиХ</w:t>
      </w:r>
      <w:r w:rsidR="0039301B">
        <w:rPr>
          <w:rFonts w:ascii="Times New Roman" w:hAnsi="Times New Roman"/>
          <w:bCs/>
        </w:rPr>
        <w:t xml:space="preserve"> </w:t>
      </w:r>
      <w:r>
        <w:rPr>
          <w:rFonts w:ascii="Times New Roman" w:hAnsi="Times New Roman"/>
          <w:bCs/>
        </w:rPr>
        <w:t>МЉПИ</w:t>
      </w:r>
      <w:r w:rsidR="0039301B">
        <w:rPr>
          <w:rFonts w:ascii="Times New Roman" w:hAnsi="Times New Roman"/>
          <w:bCs/>
        </w:rPr>
        <w:t xml:space="preserve"> </w:t>
      </w:r>
      <w:r>
        <w:rPr>
          <w:rFonts w:ascii="Times New Roman" w:hAnsi="Times New Roman"/>
          <w:bCs/>
        </w:rPr>
        <w:t>БиХ</w:t>
      </w:r>
      <w:r w:rsidR="0042679D" w:rsidRPr="0007074E">
        <w:rPr>
          <w:rFonts w:ascii="Times New Roman" w:hAnsi="Times New Roman"/>
          <w:bCs/>
        </w:rPr>
        <w:t xml:space="preserve"> </w:t>
      </w:r>
      <w:r w:rsidR="00960217">
        <w:rPr>
          <w:rFonts w:ascii="Times New Roman" w:hAnsi="Times New Roman"/>
          <w:bCs/>
        </w:rPr>
        <w:t xml:space="preserve">је </w:t>
      </w:r>
      <w:r>
        <w:rPr>
          <w:rFonts w:ascii="Times New Roman" w:hAnsi="Times New Roman"/>
          <w:bCs/>
        </w:rPr>
        <w:t>координи</w:t>
      </w:r>
      <w:r w:rsidR="00960217">
        <w:rPr>
          <w:rFonts w:ascii="Times New Roman" w:hAnsi="Times New Roman"/>
          <w:bCs/>
          <w:lang w:val="sr-Cyrl-BA"/>
        </w:rPr>
        <w:t>с</w:t>
      </w:r>
      <w:r>
        <w:rPr>
          <w:rFonts w:ascii="Times New Roman" w:hAnsi="Times New Roman"/>
          <w:bCs/>
        </w:rPr>
        <w:t>ала</w:t>
      </w:r>
      <w:r w:rsidR="0042679D" w:rsidRPr="0007074E">
        <w:rPr>
          <w:rFonts w:ascii="Times New Roman" w:hAnsi="Times New Roman"/>
          <w:bCs/>
        </w:rPr>
        <w:t xml:space="preserve"> </w:t>
      </w:r>
      <w:r>
        <w:rPr>
          <w:rFonts w:ascii="Times New Roman" w:hAnsi="Times New Roman"/>
          <w:bCs/>
        </w:rPr>
        <w:t>израду</w:t>
      </w:r>
      <w:r w:rsidR="0042679D" w:rsidRPr="0007074E">
        <w:rPr>
          <w:rFonts w:ascii="Times New Roman" w:hAnsi="Times New Roman"/>
          <w:bCs/>
        </w:rPr>
        <w:t xml:space="preserve"> </w:t>
      </w:r>
      <w:r>
        <w:rPr>
          <w:rFonts w:ascii="Times New Roman" w:hAnsi="Times New Roman"/>
          <w:bCs/>
        </w:rPr>
        <w:t>периодичног</w:t>
      </w:r>
      <w:r w:rsidR="0042679D" w:rsidRPr="0007074E">
        <w:rPr>
          <w:rFonts w:ascii="Times New Roman" w:hAnsi="Times New Roman"/>
          <w:bCs/>
        </w:rPr>
        <w:t xml:space="preserve"> </w:t>
      </w:r>
      <w:r>
        <w:rPr>
          <w:rFonts w:ascii="Times New Roman" w:hAnsi="Times New Roman"/>
          <w:bCs/>
        </w:rPr>
        <w:t>извјештаја</w:t>
      </w:r>
      <w:r w:rsidR="0042679D" w:rsidRPr="0007074E">
        <w:rPr>
          <w:rFonts w:ascii="Times New Roman" w:hAnsi="Times New Roman"/>
          <w:bCs/>
        </w:rPr>
        <w:t xml:space="preserve"> </w:t>
      </w:r>
      <w:r>
        <w:rPr>
          <w:rFonts w:ascii="Times New Roman" w:hAnsi="Times New Roman"/>
          <w:bCs/>
        </w:rPr>
        <w:t>о</w:t>
      </w:r>
      <w:r w:rsidR="0042679D" w:rsidRPr="0007074E">
        <w:rPr>
          <w:rFonts w:ascii="Times New Roman" w:hAnsi="Times New Roman"/>
          <w:bCs/>
        </w:rPr>
        <w:t xml:space="preserve"> </w:t>
      </w:r>
      <w:r>
        <w:rPr>
          <w:rFonts w:ascii="Times New Roman" w:hAnsi="Times New Roman"/>
          <w:bCs/>
        </w:rPr>
        <w:t>напретку</w:t>
      </w:r>
      <w:r w:rsidR="0042679D" w:rsidRPr="0007074E">
        <w:rPr>
          <w:rFonts w:ascii="Times New Roman" w:hAnsi="Times New Roman"/>
          <w:bCs/>
        </w:rPr>
        <w:t xml:space="preserve"> </w:t>
      </w:r>
      <w:r>
        <w:rPr>
          <w:rFonts w:ascii="Times New Roman" w:hAnsi="Times New Roman"/>
          <w:bCs/>
        </w:rPr>
        <w:t>БиХ</w:t>
      </w:r>
      <w:r w:rsidR="0042679D" w:rsidRPr="0007074E">
        <w:rPr>
          <w:rFonts w:ascii="Times New Roman" w:hAnsi="Times New Roman"/>
          <w:bCs/>
        </w:rPr>
        <w:t xml:space="preserve"> </w:t>
      </w:r>
      <w:r>
        <w:rPr>
          <w:rFonts w:ascii="Times New Roman" w:hAnsi="Times New Roman"/>
          <w:bCs/>
        </w:rPr>
        <w:t>у</w:t>
      </w:r>
      <w:r w:rsidR="0042679D" w:rsidRPr="0007074E">
        <w:rPr>
          <w:rFonts w:ascii="Times New Roman" w:hAnsi="Times New Roman"/>
          <w:bCs/>
        </w:rPr>
        <w:t xml:space="preserve"> </w:t>
      </w:r>
      <w:r>
        <w:rPr>
          <w:rFonts w:ascii="Times New Roman" w:hAnsi="Times New Roman"/>
          <w:bCs/>
        </w:rPr>
        <w:t>примјени</w:t>
      </w:r>
      <w:r w:rsidR="0042679D" w:rsidRPr="0007074E">
        <w:rPr>
          <w:rFonts w:ascii="Times New Roman" w:hAnsi="Times New Roman"/>
          <w:bCs/>
        </w:rPr>
        <w:t xml:space="preserve"> </w:t>
      </w:r>
      <w:r>
        <w:rPr>
          <w:rFonts w:ascii="Times New Roman" w:hAnsi="Times New Roman"/>
          <w:bCs/>
        </w:rPr>
        <w:t>Пекиншке</w:t>
      </w:r>
      <w:r w:rsidR="0042679D" w:rsidRPr="0007074E">
        <w:rPr>
          <w:rFonts w:ascii="Times New Roman" w:hAnsi="Times New Roman"/>
          <w:bCs/>
        </w:rPr>
        <w:t xml:space="preserve"> </w:t>
      </w:r>
      <w:r>
        <w:rPr>
          <w:rFonts w:ascii="Times New Roman" w:hAnsi="Times New Roman"/>
          <w:bCs/>
        </w:rPr>
        <w:t>декларације</w:t>
      </w:r>
      <w:r w:rsidR="0042679D" w:rsidRPr="0007074E">
        <w:rPr>
          <w:rFonts w:ascii="Times New Roman" w:hAnsi="Times New Roman"/>
          <w:bCs/>
        </w:rPr>
        <w:t xml:space="preserve"> </w:t>
      </w:r>
      <w:r>
        <w:rPr>
          <w:rFonts w:ascii="Times New Roman" w:hAnsi="Times New Roman"/>
          <w:bCs/>
        </w:rPr>
        <w:t>и</w:t>
      </w:r>
      <w:r w:rsidR="00D30E48">
        <w:rPr>
          <w:rFonts w:ascii="Times New Roman" w:hAnsi="Times New Roman"/>
          <w:bCs/>
        </w:rPr>
        <w:t xml:space="preserve"> </w:t>
      </w:r>
      <w:r>
        <w:rPr>
          <w:rFonts w:ascii="Times New Roman" w:hAnsi="Times New Roman"/>
          <w:bCs/>
        </w:rPr>
        <w:t>Платформе</w:t>
      </w:r>
      <w:r w:rsidR="00D30E48">
        <w:rPr>
          <w:rFonts w:ascii="Times New Roman" w:hAnsi="Times New Roman"/>
          <w:bCs/>
        </w:rPr>
        <w:t xml:space="preserve"> </w:t>
      </w:r>
      <w:r>
        <w:rPr>
          <w:rFonts w:ascii="Times New Roman" w:hAnsi="Times New Roman"/>
          <w:bCs/>
        </w:rPr>
        <w:t>за</w:t>
      </w:r>
      <w:r w:rsidR="00D30E48">
        <w:rPr>
          <w:rFonts w:ascii="Times New Roman" w:hAnsi="Times New Roman"/>
          <w:bCs/>
        </w:rPr>
        <w:t xml:space="preserve"> </w:t>
      </w:r>
      <w:r>
        <w:rPr>
          <w:rFonts w:ascii="Times New Roman" w:hAnsi="Times New Roman"/>
          <w:bCs/>
        </w:rPr>
        <w:t>дјеловање</w:t>
      </w:r>
      <w:r w:rsidR="00D30E48">
        <w:rPr>
          <w:rFonts w:ascii="Times New Roman" w:hAnsi="Times New Roman"/>
          <w:bCs/>
        </w:rPr>
        <w:t xml:space="preserve"> </w:t>
      </w:r>
      <w:r>
        <w:rPr>
          <w:rFonts w:ascii="Times New Roman" w:hAnsi="Times New Roman"/>
          <w:bCs/>
        </w:rPr>
        <w:t>у</w:t>
      </w:r>
      <w:r w:rsidR="00D30E48">
        <w:rPr>
          <w:rFonts w:ascii="Times New Roman" w:hAnsi="Times New Roman"/>
          <w:bCs/>
        </w:rPr>
        <w:t xml:space="preserve"> </w:t>
      </w:r>
      <w:r>
        <w:rPr>
          <w:rFonts w:ascii="Times New Roman" w:hAnsi="Times New Roman"/>
          <w:bCs/>
        </w:rPr>
        <w:t>БиХ</w:t>
      </w:r>
      <w:r w:rsidR="0042679D" w:rsidRPr="0007074E">
        <w:rPr>
          <w:rFonts w:ascii="Times New Roman" w:hAnsi="Times New Roman"/>
          <w:bCs/>
        </w:rPr>
        <w:t xml:space="preserve"> </w:t>
      </w:r>
      <w:r>
        <w:rPr>
          <w:rFonts w:ascii="Times New Roman" w:hAnsi="Times New Roman"/>
          <w:bCs/>
        </w:rPr>
        <w:t>у</w:t>
      </w:r>
      <w:r w:rsidR="0042679D" w:rsidRPr="0007074E">
        <w:rPr>
          <w:rFonts w:ascii="Times New Roman" w:hAnsi="Times New Roman"/>
          <w:bCs/>
        </w:rPr>
        <w:t xml:space="preserve"> </w:t>
      </w:r>
      <w:r>
        <w:rPr>
          <w:rFonts w:ascii="Times New Roman" w:hAnsi="Times New Roman"/>
          <w:bCs/>
        </w:rPr>
        <w:t>оквиру</w:t>
      </w:r>
      <w:r w:rsidR="0042679D">
        <w:rPr>
          <w:rFonts w:ascii="Times New Roman" w:hAnsi="Times New Roman"/>
          <w:bCs/>
        </w:rPr>
        <w:t xml:space="preserve"> </w:t>
      </w:r>
      <w:r>
        <w:rPr>
          <w:rFonts w:ascii="Times New Roman" w:hAnsi="Times New Roman"/>
          <w:bCs/>
        </w:rPr>
        <w:t>процеса</w:t>
      </w:r>
      <w:r w:rsidR="0042679D">
        <w:rPr>
          <w:rFonts w:ascii="Times New Roman" w:hAnsi="Times New Roman"/>
          <w:bCs/>
        </w:rPr>
        <w:t xml:space="preserve"> </w:t>
      </w:r>
      <w:r>
        <w:rPr>
          <w:rFonts w:ascii="Times New Roman" w:hAnsi="Times New Roman"/>
          <w:bCs/>
        </w:rPr>
        <w:t>Пекинг</w:t>
      </w:r>
      <w:r w:rsidR="0042679D">
        <w:rPr>
          <w:rFonts w:ascii="Times New Roman" w:hAnsi="Times New Roman"/>
          <w:bCs/>
        </w:rPr>
        <w:t xml:space="preserve"> +30 </w:t>
      </w:r>
      <w:r>
        <w:rPr>
          <w:rFonts w:ascii="Times New Roman" w:hAnsi="Times New Roman"/>
          <w:bCs/>
        </w:rPr>
        <w:t>и</w:t>
      </w:r>
      <w:r w:rsidR="0042679D">
        <w:rPr>
          <w:rFonts w:ascii="Times New Roman" w:hAnsi="Times New Roman"/>
          <w:bCs/>
        </w:rPr>
        <w:t xml:space="preserve"> </w:t>
      </w:r>
      <w:r>
        <w:rPr>
          <w:rFonts w:ascii="Times New Roman" w:hAnsi="Times New Roman"/>
          <w:bCs/>
        </w:rPr>
        <w:t>презент</w:t>
      </w:r>
      <w:r w:rsidR="00960217">
        <w:rPr>
          <w:rFonts w:ascii="Times New Roman" w:hAnsi="Times New Roman"/>
          <w:bCs/>
          <w:lang w:val="sr-Cyrl-BA"/>
        </w:rPr>
        <w:t>овала</w:t>
      </w:r>
      <w:r w:rsidR="0042679D">
        <w:rPr>
          <w:rFonts w:ascii="Times New Roman" w:hAnsi="Times New Roman"/>
          <w:bCs/>
        </w:rPr>
        <w:t xml:space="preserve"> </w:t>
      </w:r>
      <w:r>
        <w:rPr>
          <w:rFonts w:ascii="Times New Roman" w:hAnsi="Times New Roman"/>
          <w:bCs/>
        </w:rPr>
        <w:t>Извјештај</w:t>
      </w:r>
      <w:r w:rsidR="0042679D" w:rsidRPr="0007074E">
        <w:rPr>
          <w:rFonts w:ascii="Times New Roman" w:hAnsi="Times New Roman"/>
          <w:lang w:val="bs-Latn-BA"/>
        </w:rPr>
        <w:t xml:space="preserve"> </w:t>
      </w:r>
      <w:r>
        <w:rPr>
          <w:rFonts w:ascii="Times New Roman" w:hAnsi="Times New Roman"/>
          <w:lang w:val="bs-Latn-BA"/>
        </w:rPr>
        <w:t>на</w:t>
      </w:r>
      <w:r w:rsidR="0042679D" w:rsidRPr="0007074E">
        <w:rPr>
          <w:rFonts w:ascii="Times New Roman" w:hAnsi="Times New Roman"/>
          <w:lang w:val="bs-Latn-BA"/>
        </w:rPr>
        <w:t xml:space="preserve"> </w:t>
      </w:r>
      <w:r>
        <w:rPr>
          <w:rFonts w:ascii="Times New Roman" w:hAnsi="Times New Roman"/>
          <w:lang w:val="bs-Latn-BA"/>
        </w:rPr>
        <w:t>консултативном</w:t>
      </w:r>
      <w:r w:rsidR="0042679D" w:rsidRPr="0007074E">
        <w:rPr>
          <w:rFonts w:ascii="Times New Roman" w:hAnsi="Times New Roman"/>
          <w:lang w:val="bs-Latn-BA"/>
        </w:rPr>
        <w:t xml:space="preserve"> </w:t>
      </w:r>
      <w:r>
        <w:rPr>
          <w:rFonts w:ascii="Times New Roman" w:hAnsi="Times New Roman"/>
          <w:lang w:val="bs-Latn-BA"/>
        </w:rPr>
        <w:t>састанку</w:t>
      </w:r>
      <w:r w:rsidR="0042679D" w:rsidRPr="0007074E">
        <w:rPr>
          <w:rFonts w:ascii="Times New Roman" w:hAnsi="Times New Roman"/>
          <w:lang w:val="bs-Latn-BA"/>
        </w:rPr>
        <w:t xml:space="preserve"> </w:t>
      </w:r>
      <w:r>
        <w:rPr>
          <w:rFonts w:ascii="Times New Roman" w:hAnsi="Times New Roman"/>
          <w:lang w:val="bs-Latn-BA"/>
        </w:rPr>
        <w:t>земаља</w:t>
      </w:r>
      <w:r w:rsidR="0042679D" w:rsidRPr="0007074E">
        <w:rPr>
          <w:rFonts w:ascii="Times New Roman" w:hAnsi="Times New Roman"/>
          <w:lang w:val="bs-Latn-BA"/>
        </w:rPr>
        <w:t xml:space="preserve"> </w:t>
      </w:r>
      <w:r>
        <w:rPr>
          <w:rFonts w:ascii="Times New Roman" w:hAnsi="Times New Roman"/>
          <w:lang w:val="bs-Latn-BA"/>
        </w:rPr>
        <w:t>Западног</w:t>
      </w:r>
      <w:r w:rsidR="0042679D" w:rsidRPr="0007074E">
        <w:rPr>
          <w:rFonts w:ascii="Times New Roman" w:hAnsi="Times New Roman"/>
          <w:lang w:val="bs-Latn-BA"/>
        </w:rPr>
        <w:t xml:space="preserve"> </w:t>
      </w:r>
      <w:r>
        <w:rPr>
          <w:rFonts w:ascii="Times New Roman" w:hAnsi="Times New Roman"/>
          <w:lang w:val="bs-Latn-BA"/>
        </w:rPr>
        <w:t>Балкана</w:t>
      </w:r>
      <w:r w:rsidR="0042679D" w:rsidRPr="0007074E">
        <w:rPr>
          <w:rFonts w:ascii="Times New Roman" w:hAnsi="Times New Roman"/>
          <w:lang w:val="bs-Latn-BA"/>
        </w:rPr>
        <w:t xml:space="preserve"> </w:t>
      </w:r>
      <w:r>
        <w:rPr>
          <w:rFonts w:ascii="Times New Roman" w:hAnsi="Times New Roman"/>
          <w:lang w:val="bs-Latn-BA"/>
        </w:rPr>
        <w:t>у</w:t>
      </w:r>
      <w:r w:rsidR="0042679D" w:rsidRPr="0007074E">
        <w:rPr>
          <w:rFonts w:ascii="Times New Roman" w:hAnsi="Times New Roman"/>
          <w:lang w:val="bs-Latn-BA"/>
        </w:rPr>
        <w:t xml:space="preserve"> </w:t>
      </w:r>
      <w:r>
        <w:rPr>
          <w:rFonts w:ascii="Times New Roman" w:hAnsi="Times New Roman"/>
          <w:lang w:val="bs-Latn-BA"/>
        </w:rPr>
        <w:t>Тирани</w:t>
      </w:r>
      <w:r w:rsidR="0042679D" w:rsidRPr="0007074E">
        <w:rPr>
          <w:rFonts w:ascii="Times New Roman" w:hAnsi="Times New Roman"/>
          <w:lang w:val="bs-Latn-BA"/>
        </w:rPr>
        <w:t xml:space="preserve"> </w:t>
      </w:r>
      <w:r>
        <w:rPr>
          <w:rFonts w:ascii="Times New Roman" w:hAnsi="Times New Roman"/>
          <w:lang w:val="bs-Latn-BA"/>
        </w:rPr>
        <w:t>и</w:t>
      </w:r>
      <w:r w:rsidR="0042679D" w:rsidRPr="0007074E">
        <w:rPr>
          <w:rFonts w:ascii="Times New Roman" w:hAnsi="Times New Roman"/>
          <w:lang w:val="bs-Latn-BA"/>
        </w:rPr>
        <w:t xml:space="preserve"> </w:t>
      </w:r>
      <w:r>
        <w:rPr>
          <w:rFonts w:ascii="Times New Roman" w:hAnsi="Times New Roman"/>
          <w:lang w:val="bs-Latn-BA"/>
        </w:rPr>
        <w:t>на</w:t>
      </w:r>
      <w:r w:rsidR="0042679D" w:rsidRPr="0007074E">
        <w:rPr>
          <w:rFonts w:ascii="Times New Roman" w:hAnsi="Times New Roman"/>
          <w:lang w:val="bs-Latn-BA"/>
        </w:rPr>
        <w:t xml:space="preserve"> </w:t>
      </w:r>
      <w:r>
        <w:rPr>
          <w:rFonts w:ascii="Times New Roman" w:hAnsi="Times New Roman"/>
          <w:lang w:val="bs-Latn-BA"/>
        </w:rPr>
        <w:t>регионалној</w:t>
      </w:r>
      <w:r w:rsidR="0042679D" w:rsidRPr="0007074E">
        <w:rPr>
          <w:rFonts w:ascii="Times New Roman" w:hAnsi="Times New Roman"/>
          <w:lang w:val="bs-Latn-BA"/>
        </w:rPr>
        <w:t xml:space="preserve"> </w:t>
      </w:r>
      <w:r>
        <w:rPr>
          <w:rFonts w:ascii="Times New Roman" w:hAnsi="Times New Roman"/>
          <w:lang w:val="bs-Latn-BA"/>
        </w:rPr>
        <w:t>конференцији</w:t>
      </w:r>
      <w:r w:rsidR="0042679D" w:rsidRPr="0007074E">
        <w:rPr>
          <w:rFonts w:ascii="Times New Roman" w:hAnsi="Times New Roman"/>
          <w:lang w:val="bs-Latn-BA"/>
        </w:rPr>
        <w:t xml:space="preserve"> </w:t>
      </w:r>
      <w:r>
        <w:rPr>
          <w:rFonts w:ascii="Times New Roman" w:hAnsi="Times New Roman"/>
          <w:lang w:val="bs-Latn-BA"/>
        </w:rPr>
        <w:t>на</w:t>
      </w:r>
      <w:r w:rsidR="0042679D" w:rsidRPr="0007074E">
        <w:rPr>
          <w:rFonts w:ascii="Times New Roman" w:hAnsi="Times New Roman"/>
          <w:lang w:val="bs-Latn-BA"/>
        </w:rPr>
        <w:t xml:space="preserve"> </w:t>
      </w:r>
      <w:r>
        <w:rPr>
          <w:rFonts w:ascii="Times New Roman" w:hAnsi="Times New Roman"/>
          <w:lang w:val="bs-Latn-BA"/>
        </w:rPr>
        <w:t>високом</w:t>
      </w:r>
      <w:r w:rsidR="0042679D" w:rsidRPr="0007074E">
        <w:rPr>
          <w:rFonts w:ascii="Times New Roman" w:hAnsi="Times New Roman"/>
          <w:lang w:val="bs-Latn-BA"/>
        </w:rPr>
        <w:t xml:space="preserve"> </w:t>
      </w:r>
      <w:r>
        <w:rPr>
          <w:rFonts w:ascii="Times New Roman" w:hAnsi="Times New Roman"/>
          <w:lang w:val="bs-Latn-BA"/>
        </w:rPr>
        <w:t>нивоу</w:t>
      </w:r>
      <w:r w:rsidR="0042679D" w:rsidRPr="0007074E">
        <w:rPr>
          <w:rFonts w:ascii="Times New Roman" w:hAnsi="Times New Roman"/>
          <w:lang w:val="bs-Latn-BA"/>
        </w:rPr>
        <w:t xml:space="preserve"> </w:t>
      </w:r>
      <w:r w:rsidR="0042679D" w:rsidRPr="0007074E">
        <w:rPr>
          <w:rFonts w:ascii="Times New Roman" w:hAnsi="Times New Roman"/>
        </w:rPr>
        <w:t>„</w:t>
      </w:r>
      <w:r>
        <w:rPr>
          <w:rFonts w:ascii="Times New Roman" w:hAnsi="Times New Roman"/>
        </w:rPr>
        <w:t>Пекинг</w:t>
      </w:r>
      <w:r w:rsidR="0042679D" w:rsidRPr="0007074E">
        <w:rPr>
          <w:rFonts w:ascii="Times New Roman" w:hAnsi="Times New Roman"/>
        </w:rPr>
        <w:t xml:space="preserve"> + 30</w:t>
      </w:r>
      <w:r w:rsidR="0042679D">
        <w:rPr>
          <w:rFonts w:ascii="Times New Roman" w:hAnsi="Times New Roman"/>
        </w:rPr>
        <w:t>“</w:t>
      </w:r>
      <w:r w:rsidR="0042679D" w:rsidRPr="0007074E">
        <w:rPr>
          <w:rFonts w:ascii="Times New Roman" w:hAnsi="Times New Roman"/>
          <w:lang w:val="bs-Latn-BA"/>
        </w:rPr>
        <w:t xml:space="preserve"> </w:t>
      </w:r>
      <w:r>
        <w:rPr>
          <w:rFonts w:ascii="Times New Roman" w:hAnsi="Times New Roman"/>
          <w:lang w:val="bs-Latn-BA"/>
        </w:rPr>
        <w:t>у</w:t>
      </w:r>
      <w:r w:rsidR="0042679D" w:rsidRPr="0007074E">
        <w:rPr>
          <w:rFonts w:ascii="Times New Roman" w:hAnsi="Times New Roman"/>
          <w:lang w:val="bs-Latn-BA"/>
        </w:rPr>
        <w:t xml:space="preserve"> </w:t>
      </w:r>
      <w:r>
        <w:rPr>
          <w:rFonts w:ascii="Times New Roman" w:hAnsi="Times New Roman"/>
          <w:lang w:val="bs-Latn-BA"/>
        </w:rPr>
        <w:t>октобру</w:t>
      </w:r>
      <w:r w:rsidR="00D30E48">
        <w:rPr>
          <w:rFonts w:ascii="Times New Roman" w:hAnsi="Times New Roman"/>
          <w:lang w:val="bs-Latn-BA"/>
        </w:rPr>
        <w:t xml:space="preserve"> </w:t>
      </w:r>
      <w:r>
        <w:rPr>
          <w:rFonts w:ascii="Times New Roman" w:hAnsi="Times New Roman"/>
          <w:lang w:val="bs-Latn-BA"/>
        </w:rPr>
        <w:t>у</w:t>
      </w:r>
      <w:r w:rsidR="00D30E48">
        <w:rPr>
          <w:rFonts w:ascii="Times New Roman" w:hAnsi="Times New Roman"/>
          <w:lang w:val="bs-Latn-BA"/>
        </w:rPr>
        <w:t xml:space="preserve"> </w:t>
      </w:r>
      <w:r>
        <w:rPr>
          <w:rFonts w:ascii="Times New Roman" w:hAnsi="Times New Roman"/>
          <w:lang w:val="bs-Latn-BA"/>
        </w:rPr>
        <w:t>Женеви</w:t>
      </w:r>
      <w:r w:rsidR="00D30E48">
        <w:rPr>
          <w:rFonts w:ascii="Times New Roman" w:hAnsi="Times New Roman"/>
          <w:lang w:val="bs-Latn-BA"/>
        </w:rPr>
        <w:t>.</w:t>
      </w:r>
      <w:r w:rsidR="0042679D" w:rsidRPr="0007074E">
        <w:rPr>
          <w:rFonts w:ascii="Times New Roman" w:hAnsi="Times New Roman"/>
          <w:lang w:val="bs-Latn-BA"/>
        </w:rPr>
        <w:t xml:space="preserve"> </w:t>
      </w:r>
      <w:r>
        <w:rPr>
          <w:rFonts w:ascii="Times New Roman" w:hAnsi="Times New Roman"/>
          <w:lang w:val="bs-Latn-BA"/>
        </w:rPr>
        <w:t>ГЦ</w:t>
      </w:r>
      <w:r w:rsidR="0039301B">
        <w:rPr>
          <w:rFonts w:ascii="Times New Roman" w:hAnsi="Times New Roman"/>
          <w:lang w:val="bs-Latn-BA"/>
        </w:rPr>
        <w:t xml:space="preserve"> </w:t>
      </w:r>
      <w:r>
        <w:rPr>
          <w:rFonts w:ascii="Times New Roman" w:hAnsi="Times New Roman"/>
          <w:lang w:val="bs-Latn-BA"/>
        </w:rPr>
        <w:t>ФБиХ</w:t>
      </w:r>
      <w:r w:rsidR="006B39F9">
        <w:rPr>
          <w:rFonts w:ascii="Times New Roman" w:hAnsi="Times New Roman"/>
          <w:lang w:val="bs-Latn-BA"/>
        </w:rPr>
        <w:t xml:space="preserve"> </w:t>
      </w:r>
      <w:r>
        <w:rPr>
          <w:rFonts w:ascii="Times New Roman" w:hAnsi="Times New Roman"/>
          <w:lang w:val="bs-Latn-BA"/>
        </w:rPr>
        <w:t>је</w:t>
      </w:r>
      <w:r w:rsidR="006B39F9">
        <w:rPr>
          <w:rFonts w:ascii="Times New Roman" w:hAnsi="Times New Roman"/>
          <w:lang w:val="bs-Latn-BA"/>
        </w:rPr>
        <w:t xml:space="preserve"> </w:t>
      </w:r>
      <w:r>
        <w:rPr>
          <w:rFonts w:ascii="Times New Roman" w:hAnsi="Times New Roman"/>
          <w:lang w:val="bs-Latn-BA"/>
        </w:rPr>
        <w:t>коорд</w:t>
      </w:r>
      <w:r w:rsidR="008A65D0">
        <w:rPr>
          <w:rFonts w:ascii="Times New Roman" w:hAnsi="Times New Roman"/>
          <w:lang w:val="bs-Cyrl-BA"/>
        </w:rPr>
        <w:t>и</w:t>
      </w:r>
      <w:r>
        <w:rPr>
          <w:rFonts w:ascii="Times New Roman" w:hAnsi="Times New Roman"/>
          <w:lang w:val="bs-Latn-BA"/>
        </w:rPr>
        <w:t>ни</w:t>
      </w:r>
      <w:r w:rsidR="00960217">
        <w:rPr>
          <w:rFonts w:ascii="Times New Roman" w:hAnsi="Times New Roman"/>
          <w:lang w:val="sr-Cyrl-BA"/>
        </w:rPr>
        <w:t>с</w:t>
      </w:r>
      <w:r>
        <w:rPr>
          <w:rFonts w:ascii="Times New Roman" w:hAnsi="Times New Roman"/>
          <w:lang w:val="bs-Latn-BA"/>
        </w:rPr>
        <w:t>ао</w:t>
      </w:r>
      <w:r w:rsidR="006B39F9">
        <w:rPr>
          <w:rFonts w:ascii="Times New Roman" w:hAnsi="Times New Roman"/>
          <w:lang w:val="bs-Latn-BA"/>
        </w:rPr>
        <w:t xml:space="preserve"> </w:t>
      </w:r>
      <w:r>
        <w:rPr>
          <w:rFonts w:ascii="Times New Roman" w:hAnsi="Times New Roman"/>
          <w:lang w:val="bs-Latn-BA"/>
        </w:rPr>
        <w:t>овим</w:t>
      </w:r>
      <w:r w:rsidR="006B39F9">
        <w:rPr>
          <w:rFonts w:ascii="Times New Roman" w:hAnsi="Times New Roman"/>
          <w:lang w:val="bs-Latn-BA"/>
        </w:rPr>
        <w:t xml:space="preserve"> </w:t>
      </w:r>
      <w:r>
        <w:rPr>
          <w:rFonts w:ascii="Times New Roman" w:hAnsi="Times New Roman"/>
          <w:lang w:val="bs-Latn-BA"/>
        </w:rPr>
        <w:t>процесом</w:t>
      </w:r>
      <w:r w:rsidR="006B39F9">
        <w:rPr>
          <w:rFonts w:ascii="Times New Roman" w:hAnsi="Times New Roman"/>
          <w:lang w:val="bs-Latn-BA"/>
        </w:rPr>
        <w:t xml:space="preserve"> </w:t>
      </w:r>
      <w:r>
        <w:rPr>
          <w:rFonts w:ascii="Times New Roman" w:hAnsi="Times New Roman"/>
          <w:lang w:val="bs-Latn-BA"/>
        </w:rPr>
        <w:t>на</w:t>
      </w:r>
      <w:r w:rsidR="006B39F9">
        <w:rPr>
          <w:rFonts w:ascii="Times New Roman" w:hAnsi="Times New Roman"/>
          <w:lang w:val="bs-Latn-BA"/>
        </w:rPr>
        <w:t xml:space="preserve"> </w:t>
      </w:r>
      <w:r>
        <w:rPr>
          <w:rFonts w:ascii="Times New Roman" w:hAnsi="Times New Roman"/>
          <w:lang w:val="bs-Latn-BA"/>
        </w:rPr>
        <w:t>нивоу</w:t>
      </w:r>
      <w:r w:rsidR="006B39F9">
        <w:rPr>
          <w:rFonts w:ascii="Times New Roman" w:hAnsi="Times New Roman"/>
          <w:lang w:val="bs-Latn-BA"/>
        </w:rPr>
        <w:t xml:space="preserve"> </w:t>
      </w:r>
      <w:r>
        <w:rPr>
          <w:rFonts w:ascii="Times New Roman" w:hAnsi="Times New Roman"/>
          <w:lang w:val="bs-Latn-BA"/>
        </w:rPr>
        <w:t>Федерације</w:t>
      </w:r>
      <w:r w:rsidR="006B39F9">
        <w:rPr>
          <w:rFonts w:ascii="Times New Roman" w:hAnsi="Times New Roman"/>
          <w:lang w:val="bs-Latn-BA"/>
        </w:rPr>
        <w:t xml:space="preserve"> </w:t>
      </w:r>
      <w:r>
        <w:rPr>
          <w:rFonts w:ascii="Times New Roman" w:hAnsi="Times New Roman"/>
          <w:lang w:val="bs-Latn-BA"/>
        </w:rPr>
        <w:t>БиХ</w:t>
      </w:r>
      <w:r w:rsidR="006B39F9">
        <w:rPr>
          <w:rFonts w:ascii="Times New Roman" w:hAnsi="Times New Roman"/>
          <w:lang w:val="bs-Latn-BA"/>
        </w:rPr>
        <w:t xml:space="preserve">, </w:t>
      </w:r>
      <w:r>
        <w:rPr>
          <w:rFonts w:ascii="Times New Roman" w:hAnsi="Times New Roman"/>
          <w:lang w:val="bs-Latn-BA"/>
        </w:rPr>
        <w:t>као</w:t>
      </w:r>
      <w:r w:rsidR="006B39F9">
        <w:rPr>
          <w:rFonts w:ascii="Times New Roman" w:hAnsi="Times New Roman"/>
          <w:lang w:val="bs-Latn-BA"/>
        </w:rPr>
        <w:t xml:space="preserve"> </w:t>
      </w:r>
      <w:r>
        <w:rPr>
          <w:rFonts w:ascii="Times New Roman" w:hAnsi="Times New Roman"/>
          <w:lang w:val="bs-Latn-BA"/>
        </w:rPr>
        <w:t>и</w:t>
      </w:r>
      <w:r w:rsidR="006B39F9">
        <w:rPr>
          <w:rFonts w:ascii="Times New Roman" w:hAnsi="Times New Roman"/>
          <w:lang w:val="bs-Latn-BA"/>
        </w:rPr>
        <w:t xml:space="preserve"> </w:t>
      </w:r>
      <w:r>
        <w:rPr>
          <w:rFonts w:ascii="Times New Roman" w:hAnsi="Times New Roman"/>
          <w:lang w:val="bs-Latn-BA"/>
        </w:rPr>
        <w:t>ЦЈРП</w:t>
      </w:r>
      <w:r w:rsidR="00EA030C">
        <w:rPr>
          <w:rFonts w:ascii="Times New Roman" w:hAnsi="Times New Roman"/>
          <w:lang w:val="bs-Latn-BA"/>
        </w:rPr>
        <w:t xml:space="preserve"> </w:t>
      </w:r>
      <w:r>
        <w:rPr>
          <w:rFonts w:ascii="Times New Roman" w:hAnsi="Times New Roman"/>
          <w:lang w:val="bs-Latn-BA"/>
        </w:rPr>
        <w:t>РС</w:t>
      </w:r>
      <w:r w:rsidR="00A56A2E">
        <w:rPr>
          <w:rFonts w:ascii="Times New Roman" w:hAnsi="Times New Roman"/>
          <w:lang w:val="bs-Latn-BA"/>
        </w:rPr>
        <w:t xml:space="preserve"> </w:t>
      </w:r>
      <w:r>
        <w:rPr>
          <w:rFonts w:ascii="Times New Roman" w:hAnsi="Times New Roman"/>
          <w:lang w:val="bs-Latn-BA"/>
        </w:rPr>
        <w:t>који</w:t>
      </w:r>
      <w:r w:rsidR="006B39F9">
        <w:rPr>
          <w:rFonts w:ascii="Times New Roman" w:hAnsi="Times New Roman"/>
          <w:lang w:val="bs-Latn-BA"/>
        </w:rPr>
        <w:t xml:space="preserve"> </w:t>
      </w:r>
      <w:r>
        <w:rPr>
          <w:rFonts w:ascii="Times New Roman" w:hAnsi="Times New Roman"/>
          <w:lang w:val="bs-Latn-BA"/>
        </w:rPr>
        <w:t>је</w:t>
      </w:r>
      <w:r w:rsidR="00A56A2E">
        <w:rPr>
          <w:rFonts w:ascii="Times New Roman" w:hAnsi="Times New Roman"/>
          <w:lang w:val="bs-Latn-BA"/>
        </w:rPr>
        <w:t xml:space="preserve"> </w:t>
      </w:r>
      <w:r>
        <w:rPr>
          <w:rFonts w:ascii="Times New Roman" w:hAnsi="Times New Roman"/>
          <w:lang w:val="bs-Latn-BA"/>
        </w:rPr>
        <w:t>координи</w:t>
      </w:r>
      <w:r w:rsidR="00960217">
        <w:rPr>
          <w:rFonts w:ascii="Times New Roman" w:hAnsi="Times New Roman"/>
          <w:lang w:val="sr-Cyrl-BA"/>
        </w:rPr>
        <w:t>с</w:t>
      </w:r>
      <w:r>
        <w:rPr>
          <w:rFonts w:ascii="Times New Roman" w:hAnsi="Times New Roman"/>
          <w:lang w:val="bs-Latn-BA"/>
        </w:rPr>
        <w:t>ао</w:t>
      </w:r>
      <w:r w:rsidR="00A56A2E">
        <w:rPr>
          <w:rFonts w:ascii="Times New Roman" w:hAnsi="Times New Roman"/>
          <w:lang w:val="bs-Latn-BA"/>
        </w:rPr>
        <w:t xml:space="preserve"> </w:t>
      </w:r>
      <w:r>
        <w:rPr>
          <w:rFonts w:ascii="Times New Roman" w:hAnsi="Times New Roman"/>
          <w:lang w:val="bs-Latn-BA"/>
        </w:rPr>
        <w:t>овим</w:t>
      </w:r>
      <w:r w:rsidR="00A56A2E">
        <w:rPr>
          <w:rFonts w:ascii="Times New Roman" w:hAnsi="Times New Roman"/>
          <w:lang w:val="bs-Latn-BA"/>
        </w:rPr>
        <w:t xml:space="preserve"> </w:t>
      </w:r>
      <w:r>
        <w:rPr>
          <w:rFonts w:ascii="Times New Roman" w:hAnsi="Times New Roman"/>
          <w:lang w:val="bs-Latn-BA"/>
        </w:rPr>
        <w:t>процесом</w:t>
      </w:r>
      <w:r w:rsidR="00A56A2E">
        <w:rPr>
          <w:rFonts w:ascii="Times New Roman" w:hAnsi="Times New Roman"/>
          <w:lang w:val="bs-Latn-BA"/>
        </w:rPr>
        <w:t xml:space="preserve"> </w:t>
      </w:r>
      <w:r>
        <w:rPr>
          <w:rFonts w:ascii="Times New Roman" w:hAnsi="Times New Roman"/>
          <w:lang w:val="bs-Latn-BA"/>
        </w:rPr>
        <w:t>на</w:t>
      </w:r>
      <w:r w:rsidR="00A56A2E">
        <w:rPr>
          <w:rFonts w:ascii="Times New Roman" w:hAnsi="Times New Roman"/>
          <w:lang w:val="bs-Latn-BA"/>
        </w:rPr>
        <w:t xml:space="preserve"> </w:t>
      </w:r>
      <w:r>
        <w:rPr>
          <w:rFonts w:ascii="Times New Roman" w:hAnsi="Times New Roman"/>
          <w:lang w:val="bs-Latn-BA"/>
        </w:rPr>
        <w:t>нивоу</w:t>
      </w:r>
      <w:r w:rsidR="00A56A2E">
        <w:rPr>
          <w:rFonts w:ascii="Times New Roman" w:hAnsi="Times New Roman"/>
          <w:lang w:val="bs-Latn-BA"/>
        </w:rPr>
        <w:t xml:space="preserve"> </w:t>
      </w:r>
      <w:r>
        <w:rPr>
          <w:rFonts w:ascii="Times New Roman" w:hAnsi="Times New Roman"/>
          <w:lang w:val="bs-Latn-BA"/>
        </w:rPr>
        <w:t>Републике</w:t>
      </w:r>
      <w:r w:rsidR="00A56A2E">
        <w:rPr>
          <w:rFonts w:ascii="Times New Roman" w:hAnsi="Times New Roman"/>
          <w:lang w:val="bs-Latn-BA"/>
        </w:rPr>
        <w:t xml:space="preserve"> </w:t>
      </w:r>
      <w:r>
        <w:rPr>
          <w:rFonts w:ascii="Times New Roman" w:hAnsi="Times New Roman"/>
          <w:lang w:val="bs-Latn-BA"/>
        </w:rPr>
        <w:t>Српске</w:t>
      </w:r>
      <w:r w:rsidR="00A56A2E">
        <w:rPr>
          <w:rFonts w:ascii="Times New Roman" w:hAnsi="Times New Roman"/>
          <w:lang w:val="bs-Latn-BA"/>
        </w:rPr>
        <w:t xml:space="preserve">, </w:t>
      </w:r>
      <w:r>
        <w:rPr>
          <w:rFonts w:ascii="Times New Roman" w:hAnsi="Times New Roman"/>
          <w:lang w:val="bs-Latn-BA"/>
        </w:rPr>
        <w:t>у</w:t>
      </w:r>
      <w:r w:rsidR="00A56A2E">
        <w:rPr>
          <w:rFonts w:ascii="Times New Roman" w:hAnsi="Times New Roman"/>
          <w:lang w:val="bs-Latn-BA"/>
        </w:rPr>
        <w:t xml:space="preserve"> </w:t>
      </w:r>
      <w:r>
        <w:rPr>
          <w:rFonts w:ascii="Times New Roman" w:hAnsi="Times New Roman"/>
          <w:lang w:val="bs-Latn-BA"/>
        </w:rPr>
        <w:t>блиској</w:t>
      </w:r>
      <w:r w:rsidR="00A56A2E">
        <w:rPr>
          <w:rFonts w:ascii="Times New Roman" w:hAnsi="Times New Roman"/>
          <w:lang w:val="bs-Latn-BA"/>
        </w:rPr>
        <w:t xml:space="preserve"> </w:t>
      </w:r>
      <w:r>
        <w:rPr>
          <w:rFonts w:ascii="Times New Roman" w:hAnsi="Times New Roman"/>
          <w:lang w:val="bs-Latn-BA"/>
        </w:rPr>
        <w:t>комуникацији</w:t>
      </w:r>
      <w:r w:rsidR="00A56A2E">
        <w:rPr>
          <w:rFonts w:ascii="Times New Roman" w:hAnsi="Times New Roman"/>
          <w:lang w:val="bs-Latn-BA"/>
        </w:rPr>
        <w:t xml:space="preserve"> </w:t>
      </w:r>
      <w:r>
        <w:rPr>
          <w:rFonts w:ascii="Times New Roman" w:hAnsi="Times New Roman"/>
          <w:lang w:val="bs-Latn-BA"/>
        </w:rPr>
        <w:t>и</w:t>
      </w:r>
      <w:r w:rsidR="00A56A2E">
        <w:rPr>
          <w:rFonts w:ascii="Times New Roman" w:hAnsi="Times New Roman"/>
          <w:lang w:val="bs-Latn-BA"/>
        </w:rPr>
        <w:t xml:space="preserve"> </w:t>
      </w:r>
      <w:r>
        <w:rPr>
          <w:rFonts w:ascii="Times New Roman" w:hAnsi="Times New Roman"/>
          <w:lang w:val="bs-Latn-BA"/>
        </w:rPr>
        <w:t>сарадњи</w:t>
      </w:r>
      <w:r w:rsidR="0039301B">
        <w:rPr>
          <w:rFonts w:ascii="Times New Roman" w:hAnsi="Times New Roman"/>
          <w:lang w:val="bs-Latn-BA"/>
        </w:rPr>
        <w:t xml:space="preserve"> </w:t>
      </w:r>
      <w:r>
        <w:rPr>
          <w:rFonts w:ascii="Times New Roman" w:hAnsi="Times New Roman"/>
          <w:lang w:val="bs-Latn-BA"/>
        </w:rPr>
        <w:t>са</w:t>
      </w:r>
      <w:r w:rsidR="00A56A2E">
        <w:rPr>
          <w:rFonts w:ascii="Times New Roman" w:hAnsi="Times New Roman"/>
          <w:lang w:val="bs-Latn-BA"/>
        </w:rPr>
        <w:t xml:space="preserve"> </w:t>
      </w:r>
      <w:r>
        <w:rPr>
          <w:rFonts w:ascii="Times New Roman" w:hAnsi="Times New Roman"/>
          <w:lang w:val="bs-Latn-BA"/>
        </w:rPr>
        <w:t>институционалним</w:t>
      </w:r>
      <w:r w:rsidR="00A56A2E">
        <w:rPr>
          <w:rFonts w:ascii="Times New Roman" w:hAnsi="Times New Roman"/>
          <w:lang w:val="bs-Latn-BA"/>
        </w:rPr>
        <w:t xml:space="preserve"> </w:t>
      </w:r>
      <w:r>
        <w:rPr>
          <w:rFonts w:ascii="Times New Roman" w:hAnsi="Times New Roman"/>
          <w:lang w:val="bs-Latn-BA"/>
        </w:rPr>
        <w:t>и</w:t>
      </w:r>
      <w:r w:rsidR="00A56A2E">
        <w:rPr>
          <w:rFonts w:ascii="Times New Roman" w:hAnsi="Times New Roman"/>
          <w:lang w:val="bs-Latn-BA"/>
        </w:rPr>
        <w:t xml:space="preserve"> </w:t>
      </w:r>
      <w:r>
        <w:rPr>
          <w:rFonts w:ascii="Times New Roman" w:hAnsi="Times New Roman"/>
          <w:lang w:val="bs-Latn-BA"/>
        </w:rPr>
        <w:t>ванинституционалним</w:t>
      </w:r>
      <w:r w:rsidR="00A56A2E">
        <w:rPr>
          <w:rFonts w:ascii="Times New Roman" w:hAnsi="Times New Roman"/>
          <w:lang w:val="bs-Latn-BA"/>
        </w:rPr>
        <w:t xml:space="preserve"> </w:t>
      </w:r>
      <w:r>
        <w:rPr>
          <w:rFonts w:ascii="Times New Roman" w:hAnsi="Times New Roman"/>
          <w:lang w:val="bs-Latn-BA"/>
        </w:rPr>
        <w:t>партнерима</w:t>
      </w:r>
      <w:r w:rsidR="00A56A2E">
        <w:rPr>
          <w:rFonts w:ascii="Times New Roman" w:hAnsi="Times New Roman"/>
          <w:lang w:val="bs-Latn-BA"/>
        </w:rPr>
        <w:t xml:space="preserve">, </w:t>
      </w:r>
      <w:r>
        <w:rPr>
          <w:rFonts w:ascii="Times New Roman" w:hAnsi="Times New Roman"/>
          <w:lang w:val="bs-Latn-BA"/>
        </w:rPr>
        <w:t>уз</w:t>
      </w:r>
      <w:r w:rsidR="00A56A2E">
        <w:rPr>
          <w:rFonts w:ascii="Times New Roman" w:hAnsi="Times New Roman"/>
          <w:lang w:val="bs-Latn-BA"/>
        </w:rPr>
        <w:t xml:space="preserve"> </w:t>
      </w:r>
      <w:r>
        <w:rPr>
          <w:rFonts w:ascii="Times New Roman" w:hAnsi="Times New Roman"/>
          <w:lang w:val="bs-Latn-BA"/>
        </w:rPr>
        <w:t>представљање</w:t>
      </w:r>
      <w:r w:rsidR="00A56A2E">
        <w:rPr>
          <w:rFonts w:ascii="Times New Roman" w:hAnsi="Times New Roman"/>
          <w:lang w:val="bs-Latn-BA"/>
        </w:rPr>
        <w:t xml:space="preserve"> </w:t>
      </w:r>
      <w:r>
        <w:rPr>
          <w:rFonts w:ascii="Times New Roman" w:hAnsi="Times New Roman"/>
          <w:lang w:val="bs-Latn-BA"/>
        </w:rPr>
        <w:t>постигнућа</w:t>
      </w:r>
      <w:r w:rsidR="00A56A2E">
        <w:rPr>
          <w:rFonts w:ascii="Times New Roman" w:hAnsi="Times New Roman"/>
          <w:lang w:val="bs-Latn-BA"/>
        </w:rPr>
        <w:t xml:space="preserve"> </w:t>
      </w:r>
      <w:r>
        <w:rPr>
          <w:rFonts w:ascii="Times New Roman" w:hAnsi="Times New Roman"/>
          <w:lang w:val="bs-Latn-BA"/>
        </w:rPr>
        <w:t>у</w:t>
      </w:r>
      <w:r w:rsidR="00A56A2E">
        <w:rPr>
          <w:rFonts w:ascii="Times New Roman" w:hAnsi="Times New Roman"/>
          <w:lang w:val="bs-Latn-BA"/>
        </w:rPr>
        <w:t xml:space="preserve"> </w:t>
      </w:r>
      <w:r>
        <w:rPr>
          <w:rFonts w:ascii="Times New Roman" w:hAnsi="Times New Roman"/>
          <w:lang w:val="bs-Latn-BA"/>
        </w:rPr>
        <w:t>примјени</w:t>
      </w:r>
      <w:r w:rsidR="00A56A2E">
        <w:rPr>
          <w:rFonts w:ascii="Times New Roman" w:hAnsi="Times New Roman"/>
          <w:lang w:val="bs-Latn-BA"/>
        </w:rPr>
        <w:t xml:space="preserve"> </w:t>
      </w:r>
      <w:r>
        <w:rPr>
          <w:rFonts w:ascii="Times New Roman" w:hAnsi="Times New Roman"/>
          <w:lang w:val="bs-Latn-BA"/>
        </w:rPr>
        <w:t>Декларације</w:t>
      </w:r>
      <w:r w:rsidR="00A56A2E">
        <w:rPr>
          <w:rFonts w:ascii="Times New Roman" w:hAnsi="Times New Roman"/>
          <w:lang w:val="bs-Latn-BA"/>
        </w:rPr>
        <w:t xml:space="preserve"> </w:t>
      </w:r>
      <w:r>
        <w:rPr>
          <w:rFonts w:ascii="Times New Roman" w:hAnsi="Times New Roman"/>
          <w:lang w:val="bs-Latn-BA"/>
        </w:rPr>
        <w:t>и</w:t>
      </w:r>
      <w:r w:rsidR="00A56A2E">
        <w:rPr>
          <w:rFonts w:ascii="Times New Roman" w:hAnsi="Times New Roman"/>
          <w:lang w:val="bs-Latn-BA"/>
        </w:rPr>
        <w:t xml:space="preserve"> </w:t>
      </w:r>
      <w:r>
        <w:rPr>
          <w:rFonts w:ascii="Times New Roman" w:hAnsi="Times New Roman"/>
          <w:lang w:val="bs-Latn-BA"/>
        </w:rPr>
        <w:t>Платформе</w:t>
      </w:r>
      <w:r w:rsidR="00A56A2E">
        <w:rPr>
          <w:rFonts w:ascii="Times New Roman" w:hAnsi="Times New Roman"/>
          <w:lang w:val="bs-Latn-BA"/>
        </w:rPr>
        <w:t xml:space="preserve"> </w:t>
      </w:r>
      <w:r>
        <w:rPr>
          <w:rFonts w:ascii="Times New Roman" w:hAnsi="Times New Roman"/>
          <w:lang w:val="bs-Latn-BA"/>
        </w:rPr>
        <w:t>за</w:t>
      </w:r>
      <w:r w:rsidR="00A56A2E">
        <w:rPr>
          <w:rFonts w:ascii="Times New Roman" w:hAnsi="Times New Roman"/>
          <w:lang w:val="bs-Latn-BA"/>
        </w:rPr>
        <w:t xml:space="preserve"> </w:t>
      </w:r>
      <w:r>
        <w:rPr>
          <w:rFonts w:ascii="Times New Roman" w:hAnsi="Times New Roman"/>
          <w:lang w:val="bs-Latn-BA"/>
        </w:rPr>
        <w:t>акцију</w:t>
      </w:r>
      <w:r w:rsidR="00A56A2E">
        <w:rPr>
          <w:rFonts w:ascii="Times New Roman" w:hAnsi="Times New Roman"/>
          <w:lang w:val="bs-Latn-BA"/>
        </w:rPr>
        <w:t xml:space="preserve">, </w:t>
      </w:r>
      <w:r>
        <w:rPr>
          <w:rFonts w:ascii="Times New Roman" w:hAnsi="Times New Roman"/>
          <w:lang w:val="bs-Latn-BA"/>
        </w:rPr>
        <w:t>ради</w:t>
      </w:r>
      <w:r w:rsidR="00A56A2E">
        <w:rPr>
          <w:rFonts w:ascii="Times New Roman" w:hAnsi="Times New Roman"/>
          <w:lang w:val="bs-Latn-BA"/>
        </w:rPr>
        <w:t xml:space="preserve"> </w:t>
      </w:r>
      <w:r>
        <w:rPr>
          <w:rFonts w:ascii="Times New Roman" w:hAnsi="Times New Roman"/>
          <w:lang w:val="bs-Latn-BA"/>
        </w:rPr>
        <w:t>подизања</w:t>
      </w:r>
      <w:r w:rsidR="00A56A2E">
        <w:rPr>
          <w:rFonts w:ascii="Times New Roman" w:hAnsi="Times New Roman"/>
          <w:lang w:val="bs-Latn-BA"/>
        </w:rPr>
        <w:t xml:space="preserve"> </w:t>
      </w:r>
      <w:r>
        <w:rPr>
          <w:rFonts w:ascii="Times New Roman" w:hAnsi="Times New Roman"/>
          <w:lang w:val="bs-Latn-BA"/>
        </w:rPr>
        <w:t>институционалне</w:t>
      </w:r>
      <w:r w:rsidR="00A56A2E">
        <w:rPr>
          <w:rFonts w:ascii="Times New Roman" w:hAnsi="Times New Roman"/>
          <w:lang w:val="bs-Latn-BA"/>
        </w:rPr>
        <w:t xml:space="preserve"> </w:t>
      </w:r>
      <w:r>
        <w:rPr>
          <w:rFonts w:ascii="Times New Roman" w:hAnsi="Times New Roman"/>
          <w:lang w:val="bs-Latn-BA"/>
        </w:rPr>
        <w:t>свијести</w:t>
      </w:r>
      <w:r w:rsidR="00A56A2E">
        <w:rPr>
          <w:rFonts w:ascii="Times New Roman" w:hAnsi="Times New Roman"/>
          <w:lang w:val="bs-Latn-BA"/>
        </w:rPr>
        <w:t xml:space="preserve"> </w:t>
      </w:r>
      <w:r>
        <w:rPr>
          <w:rFonts w:ascii="Times New Roman" w:hAnsi="Times New Roman"/>
          <w:lang w:val="bs-Latn-BA"/>
        </w:rPr>
        <w:t>и</w:t>
      </w:r>
      <w:r w:rsidR="00A56A2E">
        <w:rPr>
          <w:rFonts w:ascii="Times New Roman" w:hAnsi="Times New Roman"/>
          <w:lang w:val="bs-Latn-BA"/>
        </w:rPr>
        <w:t xml:space="preserve"> </w:t>
      </w:r>
      <w:r>
        <w:rPr>
          <w:rFonts w:ascii="Times New Roman" w:hAnsi="Times New Roman"/>
          <w:lang w:val="bs-Latn-BA"/>
        </w:rPr>
        <w:t>воље</w:t>
      </w:r>
      <w:r w:rsidR="00A56A2E">
        <w:rPr>
          <w:rFonts w:ascii="Times New Roman" w:hAnsi="Times New Roman"/>
          <w:lang w:val="bs-Latn-BA"/>
        </w:rPr>
        <w:t xml:space="preserve"> </w:t>
      </w:r>
      <w:r>
        <w:rPr>
          <w:rFonts w:ascii="Times New Roman" w:hAnsi="Times New Roman"/>
          <w:lang w:val="bs-Latn-BA"/>
        </w:rPr>
        <w:t>за</w:t>
      </w:r>
      <w:r w:rsidR="00A56A2E">
        <w:rPr>
          <w:rFonts w:ascii="Times New Roman" w:hAnsi="Times New Roman"/>
          <w:lang w:val="bs-Latn-BA"/>
        </w:rPr>
        <w:t xml:space="preserve"> </w:t>
      </w:r>
      <w:r>
        <w:rPr>
          <w:rFonts w:ascii="Times New Roman" w:hAnsi="Times New Roman"/>
          <w:lang w:val="bs-Latn-BA"/>
        </w:rPr>
        <w:t>даљи</w:t>
      </w:r>
      <w:r w:rsidR="00A56A2E">
        <w:rPr>
          <w:rFonts w:ascii="Times New Roman" w:hAnsi="Times New Roman"/>
          <w:lang w:val="bs-Latn-BA"/>
        </w:rPr>
        <w:t xml:space="preserve"> </w:t>
      </w:r>
      <w:r>
        <w:rPr>
          <w:rFonts w:ascii="Times New Roman" w:hAnsi="Times New Roman"/>
          <w:lang w:val="bs-Latn-BA"/>
        </w:rPr>
        <w:t>рад</w:t>
      </w:r>
      <w:r w:rsidR="00A56A2E">
        <w:rPr>
          <w:rFonts w:ascii="Times New Roman" w:hAnsi="Times New Roman"/>
          <w:lang w:val="bs-Latn-BA"/>
        </w:rPr>
        <w:t xml:space="preserve"> </w:t>
      </w:r>
      <w:r>
        <w:rPr>
          <w:rFonts w:ascii="Times New Roman" w:hAnsi="Times New Roman"/>
          <w:lang w:val="bs-Latn-BA"/>
        </w:rPr>
        <w:t>и</w:t>
      </w:r>
      <w:r w:rsidR="00A56A2E">
        <w:rPr>
          <w:rFonts w:ascii="Times New Roman" w:hAnsi="Times New Roman"/>
          <w:lang w:val="bs-Latn-BA"/>
        </w:rPr>
        <w:t xml:space="preserve"> </w:t>
      </w:r>
      <w:r>
        <w:rPr>
          <w:rFonts w:ascii="Times New Roman" w:hAnsi="Times New Roman"/>
          <w:lang w:val="bs-Latn-BA"/>
        </w:rPr>
        <w:t>наставак</w:t>
      </w:r>
      <w:r w:rsidR="00A56A2E">
        <w:rPr>
          <w:rFonts w:ascii="Times New Roman" w:hAnsi="Times New Roman"/>
          <w:lang w:val="bs-Latn-BA"/>
        </w:rPr>
        <w:t xml:space="preserve"> </w:t>
      </w:r>
      <w:r>
        <w:rPr>
          <w:rFonts w:ascii="Times New Roman" w:hAnsi="Times New Roman"/>
          <w:lang w:val="bs-Latn-BA"/>
        </w:rPr>
        <w:t>сарадње</w:t>
      </w:r>
      <w:r w:rsidR="00A56A2E">
        <w:rPr>
          <w:rFonts w:ascii="Times New Roman" w:hAnsi="Times New Roman"/>
          <w:lang w:val="bs-Latn-BA"/>
        </w:rPr>
        <w:t xml:space="preserve"> </w:t>
      </w:r>
      <w:r>
        <w:rPr>
          <w:rFonts w:ascii="Times New Roman" w:hAnsi="Times New Roman"/>
          <w:lang w:val="bs-Latn-BA"/>
        </w:rPr>
        <w:t>на</w:t>
      </w:r>
      <w:r w:rsidR="00A56A2E">
        <w:rPr>
          <w:rFonts w:ascii="Times New Roman" w:hAnsi="Times New Roman"/>
          <w:lang w:val="bs-Latn-BA"/>
        </w:rPr>
        <w:t xml:space="preserve"> </w:t>
      </w:r>
      <w:r>
        <w:rPr>
          <w:rFonts w:ascii="Times New Roman" w:hAnsi="Times New Roman"/>
          <w:lang w:val="bs-Latn-BA"/>
        </w:rPr>
        <w:t>унапређењу</w:t>
      </w:r>
      <w:r w:rsidR="00A56A2E">
        <w:rPr>
          <w:rFonts w:ascii="Times New Roman" w:hAnsi="Times New Roman"/>
          <w:lang w:val="bs-Latn-BA"/>
        </w:rPr>
        <w:t xml:space="preserve"> </w:t>
      </w:r>
      <w:r>
        <w:rPr>
          <w:rFonts w:ascii="Times New Roman" w:hAnsi="Times New Roman"/>
          <w:lang w:val="bs-Latn-BA"/>
        </w:rPr>
        <w:t>равноправности</w:t>
      </w:r>
      <w:r w:rsidR="00A56A2E">
        <w:rPr>
          <w:rFonts w:ascii="Times New Roman" w:hAnsi="Times New Roman"/>
          <w:lang w:val="bs-Latn-BA"/>
        </w:rPr>
        <w:t xml:space="preserve"> </w:t>
      </w:r>
      <w:r>
        <w:rPr>
          <w:rFonts w:ascii="Times New Roman" w:hAnsi="Times New Roman"/>
          <w:lang w:val="bs-Latn-BA"/>
        </w:rPr>
        <w:t>полова</w:t>
      </w:r>
      <w:r w:rsidR="00A56A2E">
        <w:rPr>
          <w:rFonts w:ascii="Times New Roman" w:hAnsi="Times New Roman"/>
          <w:lang w:val="bs-Latn-BA"/>
        </w:rPr>
        <w:t>.</w:t>
      </w:r>
      <w:r w:rsidR="006B39F9">
        <w:rPr>
          <w:rFonts w:ascii="Times New Roman" w:hAnsi="Times New Roman"/>
          <w:lang w:val="bs-Latn-BA"/>
        </w:rPr>
        <w:t xml:space="preserve"> </w:t>
      </w:r>
    </w:p>
    <w:p w:rsidR="0042679D" w:rsidRPr="00295637" w:rsidRDefault="0042679D" w:rsidP="0086268D">
      <w:pPr>
        <w:pStyle w:val="ListParagraph"/>
        <w:rPr>
          <w:rFonts w:ascii="Times New Roman" w:hAnsi="Times New Roman"/>
          <w:szCs w:val="24"/>
          <w:lang w:val="bs-Latn-BA"/>
        </w:rPr>
      </w:pPr>
    </w:p>
    <w:p w:rsidR="0042679D" w:rsidRPr="0007074E" w:rsidRDefault="00C6214E" w:rsidP="0086268D">
      <w:pPr>
        <w:pStyle w:val="ListParagraph"/>
        <w:numPr>
          <w:ilvl w:val="0"/>
          <w:numId w:val="17"/>
        </w:numPr>
        <w:contextualSpacing/>
        <w:jc w:val="both"/>
        <w:rPr>
          <w:rFonts w:ascii="Times New Roman" w:hAnsi="Times New Roman"/>
          <w:szCs w:val="24"/>
          <w:lang w:val="bs-Latn-BA"/>
        </w:rPr>
      </w:pPr>
      <w:r>
        <w:rPr>
          <w:rFonts w:ascii="Times New Roman" w:hAnsi="Times New Roman"/>
          <w:szCs w:val="24"/>
          <w:lang w:val="en-US"/>
        </w:rPr>
        <w:t>Уводним</w:t>
      </w:r>
      <w:r w:rsidR="0042679D" w:rsidRPr="00295637">
        <w:rPr>
          <w:rFonts w:ascii="Times New Roman" w:hAnsi="Times New Roman"/>
          <w:szCs w:val="24"/>
          <w:lang w:val="en-US"/>
        </w:rPr>
        <w:t xml:space="preserve"> </w:t>
      </w:r>
      <w:r>
        <w:rPr>
          <w:rFonts w:ascii="Times New Roman" w:hAnsi="Times New Roman"/>
          <w:szCs w:val="24"/>
          <w:lang w:val="en-US"/>
        </w:rPr>
        <w:t>излагањима</w:t>
      </w:r>
      <w:r w:rsidR="0042679D" w:rsidRPr="00295637">
        <w:rPr>
          <w:rFonts w:ascii="Times New Roman" w:hAnsi="Times New Roman"/>
          <w:szCs w:val="24"/>
          <w:lang w:val="en-US"/>
        </w:rPr>
        <w:t xml:space="preserve">, </w:t>
      </w:r>
      <w:r>
        <w:rPr>
          <w:rFonts w:ascii="Times New Roman" w:hAnsi="Times New Roman"/>
          <w:szCs w:val="24"/>
          <w:lang w:val="en-US"/>
        </w:rPr>
        <w:t>излагањима</w:t>
      </w:r>
      <w:r w:rsidR="0042679D" w:rsidRPr="00295637">
        <w:rPr>
          <w:rFonts w:ascii="Times New Roman" w:hAnsi="Times New Roman"/>
          <w:szCs w:val="24"/>
          <w:lang w:val="en-US"/>
        </w:rPr>
        <w:t xml:space="preserve"> </w:t>
      </w:r>
      <w:r>
        <w:rPr>
          <w:rFonts w:ascii="Times New Roman" w:hAnsi="Times New Roman"/>
          <w:szCs w:val="24"/>
          <w:lang w:val="en-US"/>
        </w:rPr>
        <w:t>у</w:t>
      </w:r>
      <w:r w:rsidR="0042679D" w:rsidRPr="00295637">
        <w:rPr>
          <w:rFonts w:ascii="Times New Roman" w:hAnsi="Times New Roman"/>
          <w:szCs w:val="24"/>
          <w:lang w:val="en-US"/>
        </w:rPr>
        <w:t xml:space="preserve"> </w:t>
      </w:r>
      <w:r>
        <w:rPr>
          <w:rFonts w:ascii="Times New Roman" w:hAnsi="Times New Roman"/>
          <w:szCs w:val="24"/>
          <w:lang w:val="en-US"/>
        </w:rPr>
        <w:t>панелима</w:t>
      </w:r>
      <w:r w:rsidR="0042679D" w:rsidRPr="00295637">
        <w:rPr>
          <w:rFonts w:ascii="Times New Roman" w:hAnsi="Times New Roman"/>
          <w:szCs w:val="24"/>
          <w:lang w:val="en-US"/>
        </w:rPr>
        <w:t xml:space="preserve"> </w:t>
      </w:r>
      <w:r>
        <w:rPr>
          <w:rFonts w:ascii="Times New Roman" w:hAnsi="Times New Roman"/>
          <w:szCs w:val="24"/>
          <w:lang w:val="en-US"/>
        </w:rPr>
        <w:t>и</w:t>
      </w:r>
      <w:r w:rsidR="0042679D" w:rsidRPr="00295637">
        <w:rPr>
          <w:rFonts w:ascii="Times New Roman" w:hAnsi="Times New Roman"/>
          <w:szCs w:val="24"/>
          <w:lang w:val="en-US"/>
        </w:rPr>
        <w:t xml:space="preserve"> </w:t>
      </w:r>
      <w:r>
        <w:rPr>
          <w:rFonts w:ascii="Times New Roman" w:hAnsi="Times New Roman"/>
          <w:szCs w:val="24"/>
          <w:lang w:val="en-US"/>
        </w:rPr>
        <w:t>учешћем</w:t>
      </w:r>
      <w:r w:rsidR="0042679D" w:rsidRPr="00295637">
        <w:rPr>
          <w:rFonts w:ascii="Times New Roman" w:hAnsi="Times New Roman"/>
          <w:szCs w:val="24"/>
          <w:lang w:val="en-US"/>
        </w:rPr>
        <w:t xml:space="preserve"> </w:t>
      </w:r>
      <w:r>
        <w:rPr>
          <w:rFonts w:ascii="Times New Roman" w:hAnsi="Times New Roman"/>
          <w:szCs w:val="24"/>
          <w:lang w:val="en-US"/>
        </w:rPr>
        <w:t>у</w:t>
      </w:r>
      <w:r w:rsidR="0042679D" w:rsidRPr="00295637">
        <w:rPr>
          <w:rFonts w:ascii="Times New Roman" w:hAnsi="Times New Roman"/>
          <w:szCs w:val="24"/>
          <w:lang w:val="en-US"/>
        </w:rPr>
        <w:t xml:space="preserve"> </w:t>
      </w:r>
      <w:r>
        <w:rPr>
          <w:rFonts w:ascii="Times New Roman" w:hAnsi="Times New Roman"/>
          <w:szCs w:val="24"/>
          <w:lang w:val="en-US"/>
        </w:rPr>
        <w:t>дискусији</w:t>
      </w:r>
      <w:r w:rsidR="0042679D" w:rsidRPr="00295637">
        <w:rPr>
          <w:rFonts w:ascii="Times New Roman" w:hAnsi="Times New Roman"/>
          <w:szCs w:val="24"/>
          <w:lang w:val="en-US"/>
        </w:rPr>
        <w:t xml:space="preserve"> </w:t>
      </w:r>
      <w:r>
        <w:rPr>
          <w:rFonts w:ascii="Times New Roman" w:hAnsi="Times New Roman"/>
          <w:szCs w:val="24"/>
          <w:lang w:val="en-US"/>
        </w:rPr>
        <w:t>АР</w:t>
      </w:r>
      <w:r w:rsidR="00960217">
        <w:rPr>
          <w:rFonts w:ascii="Times New Roman" w:hAnsi="Times New Roman"/>
          <w:szCs w:val="24"/>
          <w:lang w:val="sr-Cyrl-BA"/>
        </w:rPr>
        <w:t>П</w:t>
      </w:r>
      <w:r w:rsidR="0042679D" w:rsidRPr="00295637">
        <w:rPr>
          <w:rFonts w:ascii="Times New Roman" w:hAnsi="Times New Roman"/>
          <w:szCs w:val="24"/>
          <w:lang w:val="en-US"/>
        </w:rPr>
        <w:t xml:space="preserve"> </w:t>
      </w:r>
      <w:r>
        <w:rPr>
          <w:rFonts w:ascii="Times New Roman" w:hAnsi="Times New Roman"/>
          <w:szCs w:val="24"/>
          <w:lang w:val="en-US"/>
        </w:rPr>
        <w:t>БиХ</w:t>
      </w:r>
      <w:r w:rsidR="0042679D" w:rsidRPr="00295637">
        <w:rPr>
          <w:rFonts w:ascii="Times New Roman" w:hAnsi="Times New Roman"/>
          <w:szCs w:val="24"/>
          <w:lang w:val="en-US"/>
        </w:rPr>
        <w:t xml:space="preserve"> </w:t>
      </w:r>
      <w:r>
        <w:rPr>
          <w:rFonts w:ascii="Times New Roman" w:hAnsi="Times New Roman"/>
          <w:szCs w:val="24"/>
          <w:lang w:val="en-US"/>
        </w:rPr>
        <w:t>МЉПИ</w:t>
      </w:r>
      <w:r w:rsidR="0042679D" w:rsidRPr="00295637">
        <w:rPr>
          <w:rFonts w:ascii="Times New Roman" w:hAnsi="Times New Roman"/>
          <w:szCs w:val="24"/>
          <w:lang w:val="en-US"/>
        </w:rPr>
        <w:t xml:space="preserve"> </w:t>
      </w:r>
      <w:r>
        <w:rPr>
          <w:rFonts w:ascii="Times New Roman" w:hAnsi="Times New Roman"/>
          <w:szCs w:val="24"/>
          <w:lang w:val="en-US"/>
        </w:rPr>
        <w:t>БиХ</w:t>
      </w:r>
      <w:r w:rsidR="0042679D" w:rsidRPr="00295637">
        <w:rPr>
          <w:rFonts w:ascii="Times New Roman" w:hAnsi="Times New Roman"/>
          <w:szCs w:val="24"/>
          <w:lang w:val="en-US"/>
        </w:rPr>
        <w:t xml:space="preserve"> </w:t>
      </w:r>
      <w:r w:rsidR="00960217">
        <w:rPr>
          <w:rFonts w:ascii="Times New Roman" w:hAnsi="Times New Roman"/>
          <w:szCs w:val="24"/>
          <w:lang w:val="en-US"/>
        </w:rPr>
        <w:t xml:space="preserve">је </w:t>
      </w:r>
      <w:r>
        <w:rPr>
          <w:rFonts w:ascii="Times New Roman" w:hAnsi="Times New Roman"/>
          <w:szCs w:val="24"/>
          <w:lang w:val="en-US"/>
        </w:rPr>
        <w:t>водила</w:t>
      </w:r>
      <w:r w:rsidR="00E321FA">
        <w:rPr>
          <w:rFonts w:ascii="Times New Roman" w:hAnsi="Times New Roman"/>
          <w:szCs w:val="24"/>
          <w:lang w:val="en-US"/>
        </w:rPr>
        <w:t xml:space="preserve"> </w:t>
      </w:r>
      <w:r>
        <w:rPr>
          <w:rFonts w:ascii="Times New Roman" w:hAnsi="Times New Roman"/>
          <w:szCs w:val="24"/>
          <w:lang w:val="en-US"/>
        </w:rPr>
        <w:t>регионалне</w:t>
      </w:r>
      <w:r w:rsidR="00E321FA">
        <w:rPr>
          <w:rFonts w:ascii="Times New Roman" w:hAnsi="Times New Roman"/>
          <w:szCs w:val="24"/>
          <w:lang w:val="en-US"/>
        </w:rPr>
        <w:t xml:space="preserve"> </w:t>
      </w:r>
      <w:r>
        <w:rPr>
          <w:rFonts w:ascii="Times New Roman" w:hAnsi="Times New Roman"/>
          <w:szCs w:val="24"/>
          <w:lang w:val="en-US"/>
        </w:rPr>
        <w:t>консултативне</w:t>
      </w:r>
      <w:r w:rsidR="00E321FA">
        <w:rPr>
          <w:rFonts w:ascii="Times New Roman" w:hAnsi="Times New Roman"/>
          <w:szCs w:val="24"/>
          <w:lang w:val="en-US"/>
        </w:rPr>
        <w:t xml:space="preserve"> </w:t>
      </w:r>
      <w:r>
        <w:rPr>
          <w:rFonts w:ascii="Times New Roman" w:hAnsi="Times New Roman"/>
          <w:szCs w:val="24"/>
          <w:lang w:val="en-US"/>
        </w:rPr>
        <w:t>састанке</w:t>
      </w:r>
      <w:r w:rsidR="00E321FA">
        <w:rPr>
          <w:rFonts w:ascii="Times New Roman" w:hAnsi="Times New Roman"/>
          <w:szCs w:val="24"/>
          <w:lang w:val="en-US"/>
        </w:rPr>
        <w:t xml:space="preserve"> </w:t>
      </w:r>
      <w:r>
        <w:rPr>
          <w:rFonts w:ascii="Times New Roman" w:hAnsi="Times New Roman"/>
          <w:szCs w:val="24"/>
          <w:lang w:val="en-US"/>
        </w:rPr>
        <w:t>и</w:t>
      </w:r>
      <w:r w:rsidR="0042679D" w:rsidRPr="00295637">
        <w:rPr>
          <w:rFonts w:ascii="Times New Roman" w:hAnsi="Times New Roman"/>
          <w:szCs w:val="24"/>
          <w:lang w:val="en-US"/>
        </w:rPr>
        <w:t xml:space="preserve"> </w:t>
      </w:r>
      <w:r>
        <w:rPr>
          <w:rFonts w:ascii="Times New Roman" w:hAnsi="Times New Roman"/>
          <w:szCs w:val="24"/>
          <w:lang w:val="en-US"/>
        </w:rPr>
        <w:t>дала</w:t>
      </w:r>
      <w:r w:rsidR="0042679D" w:rsidRPr="00295637">
        <w:rPr>
          <w:rFonts w:ascii="Times New Roman" w:hAnsi="Times New Roman"/>
          <w:szCs w:val="24"/>
          <w:lang w:val="en-US"/>
        </w:rPr>
        <w:t xml:space="preserve"> </w:t>
      </w:r>
      <w:r>
        <w:rPr>
          <w:rFonts w:ascii="Times New Roman" w:hAnsi="Times New Roman"/>
          <w:szCs w:val="24"/>
          <w:lang w:val="en-US"/>
        </w:rPr>
        <w:t>допринос</w:t>
      </w:r>
      <w:r w:rsidR="0042679D" w:rsidRPr="00295637">
        <w:rPr>
          <w:rFonts w:ascii="Times New Roman" w:hAnsi="Times New Roman"/>
          <w:szCs w:val="24"/>
          <w:lang w:val="en-US"/>
        </w:rPr>
        <w:t xml:space="preserve"> </w:t>
      </w:r>
      <w:r>
        <w:rPr>
          <w:rFonts w:ascii="Times New Roman" w:hAnsi="Times New Roman"/>
          <w:szCs w:val="24"/>
          <w:lang w:val="en-US"/>
        </w:rPr>
        <w:t>реализацији</w:t>
      </w:r>
      <w:r w:rsidR="0042679D" w:rsidRPr="00295637">
        <w:rPr>
          <w:rFonts w:ascii="Times New Roman" w:hAnsi="Times New Roman"/>
          <w:szCs w:val="24"/>
          <w:lang w:val="en-US"/>
        </w:rPr>
        <w:t xml:space="preserve"> </w:t>
      </w:r>
      <w:r>
        <w:rPr>
          <w:rFonts w:ascii="Times New Roman" w:hAnsi="Times New Roman"/>
          <w:szCs w:val="24"/>
          <w:lang w:val="en-US"/>
        </w:rPr>
        <w:t>више</w:t>
      </w:r>
      <w:r w:rsidR="0042679D" w:rsidRPr="00295637">
        <w:rPr>
          <w:rFonts w:ascii="Times New Roman" w:hAnsi="Times New Roman"/>
          <w:szCs w:val="24"/>
          <w:lang w:val="en-US"/>
        </w:rPr>
        <w:t xml:space="preserve"> </w:t>
      </w:r>
      <w:r>
        <w:rPr>
          <w:rFonts w:ascii="Times New Roman" w:hAnsi="Times New Roman"/>
          <w:szCs w:val="24"/>
          <w:lang w:val="en-US"/>
        </w:rPr>
        <w:t>међународних</w:t>
      </w:r>
      <w:r w:rsidR="0042679D" w:rsidRPr="00295637">
        <w:rPr>
          <w:rFonts w:ascii="Times New Roman" w:hAnsi="Times New Roman"/>
          <w:szCs w:val="24"/>
          <w:lang w:val="en-US"/>
        </w:rPr>
        <w:t xml:space="preserve"> </w:t>
      </w:r>
      <w:r>
        <w:rPr>
          <w:rFonts w:ascii="Times New Roman" w:hAnsi="Times New Roman"/>
          <w:szCs w:val="24"/>
          <w:lang w:val="en-US"/>
        </w:rPr>
        <w:t>конференција</w:t>
      </w:r>
      <w:r w:rsidR="0042679D" w:rsidRPr="00295637">
        <w:rPr>
          <w:rFonts w:ascii="Times New Roman" w:hAnsi="Times New Roman"/>
          <w:szCs w:val="24"/>
          <w:lang w:val="en-US"/>
        </w:rPr>
        <w:t xml:space="preserve">, </w:t>
      </w:r>
      <w:r>
        <w:rPr>
          <w:rFonts w:ascii="Times New Roman" w:hAnsi="Times New Roman"/>
          <w:szCs w:val="24"/>
          <w:lang w:val="en-US"/>
        </w:rPr>
        <w:t>укључујући</w:t>
      </w:r>
      <w:r w:rsidR="0042679D">
        <w:rPr>
          <w:rFonts w:ascii="Times New Roman" w:hAnsi="Times New Roman"/>
          <w:szCs w:val="24"/>
          <w:lang w:val="en-US"/>
        </w:rPr>
        <w:t xml:space="preserve"> </w:t>
      </w:r>
      <w:r w:rsidR="0042679D" w:rsidRPr="00295637">
        <w:rPr>
          <w:rFonts w:ascii="Times New Roman" w:hAnsi="Times New Roman"/>
          <w:szCs w:val="24"/>
        </w:rPr>
        <w:t xml:space="preserve">68. </w:t>
      </w:r>
      <w:r>
        <w:rPr>
          <w:rFonts w:ascii="Times New Roman" w:hAnsi="Times New Roman"/>
          <w:szCs w:val="24"/>
        </w:rPr>
        <w:t>засједање</w:t>
      </w:r>
      <w:r w:rsidR="0042679D" w:rsidRPr="00295637">
        <w:rPr>
          <w:rFonts w:ascii="Times New Roman" w:hAnsi="Times New Roman"/>
          <w:szCs w:val="24"/>
        </w:rPr>
        <w:t xml:space="preserve"> </w:t>
      </w:r>
      <w:r>
        <w:rPr>
          <w:rFonts w:ascii="Times New Roman" w:hAnsi="Times New Roman"/>
          <w:szCs w:val="24"/>
        </w:rPr>
        <w:t>Комисије</w:t>
      </w:r>
      <w:r w:rsidR="0042679D" w:rsidRPr="00295637">
        <w:rPr>
          <w:rFonts w:ascii="Times New Roman" w:hAnsi="Times New Roman"/>
          <w:szCs w:val="24"/>
        </w:rPr>
        <w:t xml:space="preserve"> </w:t>
      </w:r>
      <w:r>
        <w:rPr>
          <w:rFonts w:ascii="Times New Roman" w:hAnsi="Times New Roman"/>
          <w:szCs w:val="24"/>
        </w:rPr>
        <w:t>УН</w:t>
      </w:r>
      <w:r w:rsidR="0042679D" w:rsidRPr="00295637">
        <w:rPr>
          <w:rFonts w:ascii="Times New Roman" w:hAnsi="Times New Roman"/>
          <w:szCs w:val="24"/>
        </w:rPr>
        <w:t xml:space="preserve"> </w:t>
      </w:r>
      <w:r>
        <w:rPr>
          <w:rFonts w:ascii="Times New Roman" w:hAnsi="Times New Roman"/>
          <w:szCs w:val="24"/>
        </w:rPr>
        <w:t>за</w:t>
      </w:r>
      <w:r w:rsidR="0042679D" w:rsidRPr="00295637">
        <w:rPr>
          <w:rFonts w:ascii="Times New Roman" w:hAnsi="Times New Roman"/>
          <w:szCs w:val="24"/>
        </w:rPr>
        <w:t xml:space="preserve"> </w:t>
      </w:r>
      <w:r>
        <w:rPr>
          <w:rFonts w:ascii="Times New Roman" w:hAnsi="Times New Roman"/>
          <w:szCs w:val="24"/>
        </w:rPr>
        <w:t>статус</w:t>
      </w:r>
      <w:r w:rsidR="0042679D" w:rsidRPr="00295637">
        <w:rPr>
          <w:rFonts w:ascii="Times New Roman" w:hAnsi="Times New Roman"/>
          <w:szCs w:val="24"/>
        </w:rPr>
        <w:t xml:space="preserve"> </w:t>
      </w:r>
      <w:r>
        <w:rPr>
          <w:rFonts w:ascii="Times New Roman" w:hAnsi="Times New Roman"/>
          <w:szCs w:val="24"/>
        </w:rPr>
        <w:t>жена</w:t>
      </w:r>
      <w:r w:rsidR="0042679D" w:rsidRPr="00295637">
        <w:rPr>
          <w:rFonts w:ascii="Times New Roman" w:hAnsi="Times New Roman"/>
          <w:szCs w:val="24"/>
        </w:rPr>
        <w:t xml:space="preserve"> (</w:t>
      </w:r>
      <w:r>
        <w:rPr>
          <w:rFonts w:ascii="Times New Roman" w:hAnsi="Times New Roman"/>
          <w:szCs w:val="24"/>
        </w:rPr>
        <w:t>Њујорк</w:t>
      </w:r>
      <w:r w:rsidR="0042679D" w:rsidRPr="00295637">
        <w:rPr>
          <w:rFonts w:ascii="Times New Roman" w:hAnsi="Times New Roman"/>
          <w:szCs w:val="24"/>
        </w:rPr>
        <w:t xml:space="preserve">, </w:t>
      </w:r>
      <w:r>
        <w:rPr>
          <w:rFonts w:ascii="Times New Roman" w:hAnsi="Times New Roman"/>
          <w:szCs w:val="24"/>
        </w:rPr>
        <w:t>март</w:t>
      </w:r>
      <w:r w:rsidR="0042679D" w:rsidRPr="00295637">
        <w:rPr>
          <w:rFonts w:ascii="Times New Roman" w:hAnsi="Times New Roman"/>
          <w:szCs w:val="24"/>
        </w:rPr>
        <w:t xml:space="preserve"> 2024</w:t>
      </w:r>
      <w:r w:rsidR="0039301B">
        <w:rPr>
          <w:rFonts w:ascii="Times New Roman" w:hAnsi="Times New Roman"/>
          <w:szCs w:val="24"/>
        </w:rPr>
        <w:t xml:space="preserve">. </w:t>
      </w:r>
      <w:r>
        <w:rPr>
          <w:rFonts w:ascii="Times New Roman" w:hAnsi="Times New Roman"/>
          <w:szCs w:val="24"/>
        </w:rPr>
        <w:t>године</w:t>
      </w:r>
      <w:r w:rsidR="0042679D">
        <w:rPr>
          <w:rFonts w:ascii="Times New Roman" w:hAnsi="Times New Roman"/>
          <w:szCs w:val="24"/>
        </w:rPr>
        <w:t>)</w:t>
      </w:r>
      <w:r w:rsidR="009E4BB8">
        <w:rPr>
          <w:rFonts w:ascii="Times New Roman" w:hAnsi="Times New Roman"/>
          <w:szCs w:val="24"/>
        </w:rPr>
        <w:t xml:space="preserve"> </w:t>
      </w:r>
      <w:r>
        <w:rPr>
          <w:rFonts w:ascii="Times New Roman" w:hAnsi="Times New Roman"/>
          <w:szCs w:val="24"/>
        </w:rPr>
        <w:t>на</w:t>
      </w:r>
      <w:r w:rsidR="009E4BB8">
        <w:rPr>
          <w:rFonts w:ascii="Times New Roman" w:hAnsi="Times New Roman"/>
          <w:szCs w:val="24"/>
        </w:rPr>
        <w:t xml:space="preserve"> </w:t>
      </w:r>
      <w:r>
        <w:rPr>
          <w:rFonts w:ascii="Times New Roman" w:hAnsi="Times New Roman"/>
          <w:szCs w:val="24"/>
        </w:rPr>
        <w:t>којој</w:t>
      </w:r>
      <w:r w:rsidR="009E4BB8">
        <w:rPr>
          <w:rFonts w:ascii="Times New Roman" w:hAnsi="Times New Roman"/>
          <w:szCs w:val="24"/>
        </w:rPr>
        <w:t xml:space="preserve"> </w:t>
      </w:r>
      <w:r>
        <w:rPr>
          <w:rFonts w:ascii="Times New Roman" w:hAnsi="Times New Roman"/>
          <w:szCs w:val="24"/>
        </w:rPr>
        <w:t>је</w:t>
      </w:r>
      <w:r w:rsidR="009E4BB8">
        <w:rPr>
          <w:rFonts w:ascii="Times New Roman" w:hAnsi="Times New Roman"/>
          <w:szCs w:val="24"/>
        </w:rPr>
        <w:t xml:space="preserve"> </w:t>
      </w:r>
      <w:r>
        <w:rPr>
          <w:rFonts w:ascii="Times New Roman" w:hAnsi="Times New Roman"/>
          <w:szCs w:val="24"/>
        </w:rPr>
        <w:t>одржан</w:t>
      </w:r>
      <w:r w:rsidR="009E4BB8">
        <w:rPr>
          <w:rFonts w:ascii="Times New Roman" w:hAnsi="Times New Roman"/>
          <w:szCs w:val="24"/>
        </w:rPr>
        <w:t xml:space="preserve"> </w:t>
      </w:r>
      <w:r>
        <w:rPr>
          <w:rFonts w:ascii="Times New Roman" w:hAnsi="Times New Roman"/>
          <w:szCs w:val="24"/>
        </w:rPr>
        <w:t>и</w:t>
      </w:r>
      <w:r w:rsidR="009E4BB8">
        <w:rPr>
          <w:rFonts w:ascii="Times New Roman" w:hAnsi="Times New Roman"/>
          <w:szCs w:val="24"/>
        </w:rPr>
        <w:t xml:space="preserve"> </w:t>
      </w:r>
      <w:r>
        <w:rPr>
          <w:rFonts w:ascii="Times New Roman" w:hAnsi="Times New Roman"/>
          <w:szCs w:val="24"/>
        </w:rPr>
        <w:t>догађај</w:t>
      </w:r>
      <w:r w:rsidR="009E4BB8">
        <w:rPr>
          <w:rFonts w:ascii="Times New Roman" w:hAnsi="Times New Roman"/>
          <w:szCs w:val="24"/>
        </w:rPr>
        <w:t xml:space="preserve"> </w:t>
      </w:r>
      <w:r>
        <w:rPr>
          <w:rFonts w:ascii="Times New Roman" w:hAnsi="Times New Roman"/>
          <w:szCs w:val="24"/>
        </w:rPr>
        <w:t>на</w:t>
      </w:r>
      <w:r w:rsidR="009E4BB8">
        <w:rPr>
          <w:rFonts w:ascii="Times New Roman" w:hAnsi="Times New Roman"/>
          <w:szCs w:val="24"/>
        </w:rPr>
        <w:t xml:space="preserve"> </w:t>
      </w:r>
      <w:r>
        <w:rPr>
          <w:rFonts w:ascii="Times New Roman" w:hAnsi="Times New Roman"/>
          <w:szCs w:val="24"/>
        </w:rPr>
        <w:t>маргинама</w:t>
      </w:r>
      <w:r w:rsidR="009E4BB8">
        <w:rPr>
          <w:rFonts w:ascii="Times New Roman" w:hAnsi="Times New Roman"/>
          <w:szCs w:val="24"/>
        </w:rPr>
        <w:t xml:space="preserve"> </w:t>
      </w:r>
      <w:r>
        <w:rPr>
          <w:rFonts w:ascii="Times New Roman" w:hAnsi="Times New Roman"/>
          <w:szCs w:val="24"/>
        </w:rPr>
        <w:t>засједања</w:t>
      </w:r>
      <w:r w:rsidR="009E4BB8">
        <w:rPr>
          <w:rFonts w:ascii="Times New Roman" w:hAnsi="Times New Roman"/>
          <w:szCs w:val="24"/>
        </w:rPr>
        <w:t xml:space="preserve"> </w:t>
      </w:r>
      <w:r w:rsidR="009E4BB8">
        <w:rPr>
          <w:rFonts w:ascii="Times New Roman" w:hAnsi="Times New Roman"/>
          <w:i/>
          <w:szCs w:val="24"/>
        </w:rPr>
        <w:t>(</w:t>
      </w:r>
      <w:r w:rsidR="00960217" w:rsidRPr="00960217">
        <w:rPr>
          <w:rFonts w:ascii="Times New Roman" w:hAnsi="Times New Roman"/>
          <w:i/>
          <w:szCs w:val="24"/>
        </w:rPr>
        <w:t>side-event</w:t>
      </w:r>
      <w:r w:rsidR="009E4BB8" w:rsidRPr="00E565DA">
        <w:rPr>
          <w:rFonts w:ascii="Times New Roman" w:hAnsi="Times New Roman"/>
          <w:i/>
          <w:szCs w:val="24"/>
        </w:rPr>
        <w:t>)</w:t>
      </w:r>
      <w:r w:rsidR="009E4BB8">
        <w:rPr>
          <w:rFonts w:ascii="Times New Roman" w:hAnsi="Times New Roman"/>
          <w:szCs w:val="24"/>
        </w:rPr>
        <w:t xml:space="preserve"> </w:t>
      </w:r>
      <w:r>
        <w:rPr>
          <w:rFonts w:ascii="Times New Roman" w:hAnsi="Times New Roman"/>
          <w:szCs w:val="24"/>
        </w:rPr>
        <w:t>на</w:t>
      </w:r>
      <w:r w:rsidR="009E4BB8">
        <w:rPr>
          <w:rFonts w:ascii="Times New Roman" w:hAnsi="Times New Roman"/>
          <w:szCs w:val="24"/>
        </w:rPr>
        <w:t xml:space="preserve"> </w:t>
      </w:r>
      <w:r>
        <w:rPr>
          <w:rFonts w:ascii="Times New Roman" w:hAnsi="Times New Roman"/>
          <w:szCs w:val="24"/>
        </w:rPr>
        <w:t>тему</w:t>
      </w:r>
      <w:r w:rsidR="009E4BB8">
        <w:rPr>
          <w:rFonts w:ascii="Times New Roman" w:hAnsi="Times New Roman"/>
          <w:szCs w:val="24"/>
        </w:rPr>
        <w:t xml:space="preserve"> „</w:t>
      </w:r>
      <w:r>
        <w:rPr>
          <w:rFonts w:ascii="Times New Roman" w:hAnsi="Times New Roman"/>
          <w:szCs w:val="24"/>
        </w:rPr>
        <w:t>Интегри</w:t>
      </w:r>
      <w:r w:rsidR="00960217">
        <w:rPr>
          <w:rFonts w:ascii="Times New Roman" w:hAnsi="Times New Roman"/>
          <w:szCs w:val="24"/>
          <w:lang w:val="sr-Cyrl-BA"/>
        </w:rPr>
        <w:t>с</w:t>
      </w:r>
      <w:r>
        <w:rPr>
          <w:rFonts w:ascii="Times New Roman" w:hAnsi="Times New Roman"/>
          <w:szCs w:val="24"/>
        </w:rPr>
        <w:t>ано</w:t>
      </w:r>
      <w:r w:rsidR="008E6656">
        <w:rPr>
          <w:rFonts w:ascii="Times New Roman" w:hAnsi="Times New Roman"/>
          <w:szCs w:val="24"/>
        </w:rPr>
        <w:t xml:space="preserve"> </w:t>
      </w:r>
      <w:r>
        <w:rPr>
          <w:rFonts w:ascii="Times New Roman" w:hAnsi="Times New Roman"/>
          <w:szCs w:val="24"/>
        </w:rPr>
        <w:t>и</w:t>
      </w:r>
      <w:r w:rsidR="008E6656">
        <w:rPr>
          <w:rFonts w:ascii="Times New Roman" w:hAnsi="Times New Roman"/>
          <w:szCs w:val="24"/>
        </w:rPr>
        <w:t xml:space="preserve"> </w:t>
      </w:r>
      <w:r>
        <w:rPr>
          <w:rFonts w:ascii="Times New Roman" w:hAnsi="Times New Roman"/>
          <w:szCs w:val="24"/>
        </w:rPr>
        <w:t>родно</w:t>
      </w:r>
      <w:r w:rsidR="008E6656">
        <w:rPr>
          <w:rFonts w:ascii="Times New Roman" w:hAnsi="Times New Roman"/>
          <w:szCs w:val="24"/>
        </w:rPr>
        <w:t xml:space="preserve"> </w:t>
      </w:r>
      <w:r>
        <w:rPr>
          <w:rFonts w:ascii="Times New Roman" w:hAnsi="Times New Roman"/>
          <w:szCs w:val="24"/>
        </w:rPr>
        <w:t>одговорно</w:t>
      </w:r>
      <w:r w:rsidR="008E6656">
        <w:rPr>
          <w:rFonts w:ascii="Times New Roman" w:hAnsi="Times New Roman"/>
          <w:szCs w:val="24"/>
        </w:rPr>
        <w:t xml:space="preserve"> </w:t>
      </w:r>
      <w:r>
        <w:rPr>
          <w:rFonts w:ascii="Times New Roman" w:hAnsi="Times New Roman"/>
          <w:szCs w:val="24"/>
        </w:rPr>
        <w:t>финан</w:t>
      </w:r>
      <w:r w:rsidR="00960217">
        <w:rPr>
          <w:rFonts w:ascii="Times New Roman" w:hAnsi="Times New Roman"/>
          <w:szCs w:val="24"/>
          <w:lang w:val="sr-Cyrl-BA"/>
        </w:rPr>
        <w:t>с</w:t>
      </w:r>
      <w:r>
        <w:rPr>
          <w:rFonts w:ascii="Times New Roman" w:hAnsi="Times New Roman"/>
          <w:szCs w:val="24"/>
        </w:rPr>
        <w:t>ирање</w:t>
      </w:r>
      <w:r w:rsidR="008E6656">
        <w:rPr>
          <w:rFonts w:ascii="Times New Roman" w:hAnsi="Times New Roman"/>
          <w:szCs w:val="24"/>
        </w:rPr>
        <w:t xml:space="preserve"> </w:t>
      </w:r>
      <w:r>
        <w:rPr>
          <w:rFonts w:ascii="Times New Roman" w:hAnsi="Times New Roman"/>
          <w:szCs w:val="24"/>
        </w:rPr>
        <w:t>одрживог</w:t>
      </w:r>
      <w:r w:rsidR="008E6656">
        <w:rPr>
          <w:rFonts w:ascii="Times New Roman" w:hAnsi="Times New Roman"/>
          <w:szCs w:val="24"/>
        </w:rPr>
        <w:t xml:space="preserve"> </w:t>
      </w:r>
      <w:r>
        <w:rPr>
          <w:rFonts w:ascii="Times New Roman" w:hAnsi="Times New Roman"/>
          <w:szCs w:val="24"/>
        </w:rPr>
        <w:t>развоја</w:t>
      </w:r>
      <w:r w:rsidR="008E6656">
        <w:rPr>
          <w:rFonts w:ascii="Times New Roman" w:hAnsi="Times New Roman"/>
          <w:szCs w:val="24"/>
        </w:rPr>
        <w:t xml:space="preserve">“, </w:t>
      </w:r>
      <w:r>
        <w:rPr>
          <w:rFonts w:ascii="Times New Roman" w:hAnsi="Times New Roman"/>
          <w:szCs w:val="24"/>
        </w:rPr>
        <w:t>чији</w:t>
      </w:r>
      <w:r w:rsidR="009E4BB8">
        <w:rPr>
          <w:rFonts w:ascii="Times New Roman" w:hAnsi="Times New Roman"/>
          <w:szCs w:val="24"/>
        </w:rPr>
        <w:t xml:space="preserve"> </w:t>
      </w:r>
      <w:r>
        <w:rPr>
          <w:rFonts w:ascii="Times New Roman" w:hAnsi="Times New Roman"/>
          <w:szCs w:val="24"/>
        </w:rPr>
        <w:t>је</w:t>
      </w:r>
      <w:r w:rsidR="009E4BB8">
        <w:rPr>
          <w:rFonts w:ascii="Times New Roman" w:hAnsi="Times New Roman"/>
          <w:szCs w:val="24"/>
        </w:rPr>
        <w:t xml:space="preserve"> </w:t>
      </w:r>
      <w:r>
        <w:rPr>
          <w:rFonts w:ascii="Times New Roman" w:hAnsi="Times New Roman"/>
          <w:szCs w:val="24"/>
        </w:rPr>
        <w:t>домаћин</w:t>
      </w:r>
      <w:r w:rsidR="009E4BB8">
        <w:rPr>
          <w:rFonts w:ascii="Times New Roman" w:hAnsi="Times New Roman"/>
          <w:szCs w:val="24"/>
        </w:rPr>
        <w:t xml:space="preserve"> </w:t>
      </w:r>
      <w:r>
        <w:rPr>
          <w:rFonts w:ascii="Times New Roman" w:hAnsi="Times New Roman"/>
          <w:szCs w:val="24"/>
        </w:rPr>
        <w:t>била</w:t>
      </w:r>
      <w:r w:rsidR="009E4BB8">
        <w:rPr>
          <w:rFonts w:ascii="Times New Roman" w:hAnsi="Times New Roman"/>
          <w:szCs w:val="24"/>
        </w:rPr>
        <w:t xml:space="preserve"> </w:t>
      </w:r>
      <w:r>
        <w:rPr>
          <w:rFonts w:ascii="Times New Roman" w:hAnsi="Times New Roman"/>
          <w:szCs w:val="24"/>
        </w:rPr>
        <w:t>Босна</w:t>
      </w:r>
      <w:r w:rsidR="009E4BB8">
        <w:rPr>
          <w:rFonts w:ascii="Times New Roman" w:hAnsi="Times New Roman"/>
          <w:szCs w:val="24"/>
        </w:rPr>
        <w:t xml:space="preserve"> </w:t>
      </w:r>
      <w:r>
        <w:rPr>
          <w:rFonts w:ascii="Times New Roman" w:hAnsi="Times New Roman"/>
          <w:szCs w:val="24"/>
        </w:rPr>
        <w:t>и</w:t>
      </w:r>
      <w:r w:rsidR="009E4BB8">
        <w:rPr>
          <w:rFonts w:ascii="Times New Roman" w:hAnsi="Times New Roman"/>
          <w:szCs w:val="24"/>
        </w:rPr>
        <w:t xml:space="preserve"> </w:t>
      </w:r>
      <w:r>
        <w:rPr>
          <w:rFonts w:ascii="Times New Roman" w:hAnsi="Times New Roman"/>
          <w:szCs w:val="24"/>
        </w:rPr>
        <w:t>Херцеговина</w:t>
      </w:r>
      <w:r w:rsidR="0042679D">
        <w:rPr>
          <w:rFonts w:ascii="Times New Roman" w:hAnsi="Times New Roman"/>
          <w:szCs w:val="24"/>
        </w:rPr>
        <w:t>.</w:t>
      </w:r>
      <w:r w:rsidR="0042679D" w:rsidRPr="00295637">
        <w:rPr>
          <w:rFonts w:ascii="Times New Roman" w:hAnsi="Times New Roman"/>
          <w:szCs w:val="24"/>
        </w:rPr>
        <w:t xml:space="preserve"> </w:t>
      </w:r>
    </w:p>
    <w:p w:rsidR="0042679D" w:rsidRPr="0007074E" w:rsidRDefault="0042679D" w:rsidP="0086268D">
      <w:pPr>
        <w:pStyle w:val="ListParagraph"/>
        <w:rPr>
          <w:rFonts w:ascii="Times New Roman" w:hAnsi="Times New Roman"/>
          <w:szCs w:val="24"/>
          <w:lang w:val="bs-Latn-BA"/>
        </w:rPr>
      </w:pPr>
    </w:p>
    <w:p w:rsidR="0042679D" w:rsidRPr="00295637" w:rsidRDefault="00C6214E" w:rsidP="0086268D">
      <w:pPr>
        <w:pStyle w:val="ListParagraph"/>
        <w:numPr>
          <w:ilvl w:val="0"/>
          <w:numId w:val="17"/>
        </w:numPr>
        <w:contextualSpacing/>
        <w:jc w:val="both"/>
        <w:rPr>
          <w:rFonts w:ascii="Times New Roman" w:hAnsi="Times New Roman"/>
          <w:szCs w:val="24"/>
          <w:lang w:val="bs-Latn-BA"/>
        </w:rPr>
      </w:pPr>
      <w:r>
        <w:rPr>
          <w:rFonts w:ascii="Times New Roman" w:hAnsi="Times New Roman"/>
          <w:szCs w:val="24"/>
          <w:lang w:val="bs-Latn-BA"/>
        </w:rPr>
        <w:t>АР</w:t>
      </w:r>
      <w:r w:rsidR="00960217">
        <w:rPr>
          <w:rFonts w:ascii="Times New Roman" w:hAnsi="Times New Roman"/>
          <w:szCs w:val="24"/>
          <w:lang w:val="sr-Cyrl-BA"/>
        </w:rPr>
        <w:t>П</w:t>
      </w:r>
      <w:r w:rsidR="0039301B">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 xml:space="preserve"> </w:t>
      </w:r>
      <w:r>
        <w:rPr>
          <w:rFonts w:ascii="Times New Roman" w:hAnsi="Times New Roman"/>
          <w:szCs w:val="24"/>
          <w:lang w:val="bs-Latn-BA"/>
        </w:rPr>
        <w:t>МЉПИ</w:t>
      </w:r>
      <w:r w:rsidR="0039301B">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 xml:space="preserve">, </w:t>
      </w:r>
      <w:r>
        <w:rPr>
          <w:rFonts w:ascii="Times New Roman" w:hAnsi="Times New Roman"/>
          <w:szCs w:val="24"/>
          <w:lang w:val="bs-Latn-BA"/>
        </w:rPr>
        <w:t>ГЦ</w:t>
      </w:r>
      <w:r w:rsidR="0039301B">
        <w:rPr>
          <w:rFonts w:ascii="Times New Roman" w:hAnsi="Times New Roman"/>
          <w:szCs w:val="24"/>
          <w:lang w:val="bs-Latn-BA"/>
        </w:rPr>
        <w:t xml:space="preserve"> </w:t>
      </w:r>
      <w:r>
        <w:rPr>
          <w:rFonts w:ascii="Times New Roman" w:hAnsi="Times New Roman"/>
          <w:szCs w:val="24"/>
          <w:lang w:val="bs-Latn-BA"/>
        </w:rPr>
        <w:t>ФБиХ</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ЦЈРП</w:t>
      </w:r>
      <w:r w:rsidR="0042679D" w:rsidRPr="00295637">
        <w:rPr>
          <w:rFonts w:ascii="Times New Roman" w:hAnsi="Times New Roman"/>
          <w:szCs w:val="24"/>
          <w:lang w:val="bs-Latn-BA"/>
        </w:rPr>
        <w:t xml:space="preserve"> </w:t>
      </w:r>
      <w:r>
        <w:rPr>
          <w:rFonts w:ascii="Times New Roman" w:hAnsi="Times New Roman"/>
          <w:szCs w:val="24"/>
          <w:lang w:val="bs-Latn-BA"/>
        </w:rPr>
        <w:t>РС</w:t>
      </w:r>
      <w:r w:rsidR="0042679D" w:rsidRPr="00295637">
        <w:rPr>
          <w:rFonts w:ascii="Times New Roman" w:hAnsi="Times New Roman"/>
          <w:szCs w:val="24"/>
          <w:lang w:val="bs-Latn-BA"/>
        </w:rPr>
        <w:t xml:space="preserve"> </w:t>
      </w:r>
      <w:r w:rsidR="00960217">
        <w:rPr>
          <w:rFonts w:ascii="Times New Roman" w:hAnsi="Times New Roman"/>
          <w:szCs w:val="24"/>
          <w:lang w:val="bs-Latn-BA"/>
        </w:rPr>
        <w:t xml:space="preserve">су </w:t>
      </w:r>
      <w:r>
        <w:rPr>
          <w:rFonts w:ascii="Times New Roman" w:hAnsi="Times New Roman"/>
          <w:szCs w:val="24"/>
          <w:lang w:val="bs-Latn-BA"/>
        </w:rPr>
        <w:t>дали</w:t>
      </w:r>
      <w:r w:rsidR="0042679D" w:rsidRPr="00295637">
        <w:rPr>
          <w:rFonts w:ascii="Times New Roman" w:hAnsi="Times New Roman"/>
          <w:szCs w:val="24"/>
          <w:lang w:val="bs-Latn-BA"/>
        </w:rPr>
        <w:t xml:space="preserve"> </w:t>
      </w:r>
      <w:r>
        <w:rPr>
          <w:rFonts w:ascii="Times New Roman" w:hAnsi="Times New Roman"/>
          <w:szCs w:val="24"/>
          <w:lang w:val="bs-Latn-BA"/>
        </w:rPr>
        <w:t>мишљење</w:t>
      </w:r>
      <w:r w:rsidR="0042679D" w:rsidRPr="00295637">
        <w:rPr>
          <w:rFonts w:ascii="Times New Roman" w:hAnsi="Times New Roman"/>
          <w:szCs w:val="24"/>
          <w:lang w:val="bs-Latn-BA"/>
        </w:rPr>
        <w:t xml:space="preserve"> </w:t>
      </w:r>
      <w:r>
        <w:rPr>
          <w:rFonts w:ascii="Times New Roman" w:hAnsi="Times New Roman"/>
          <w:szCs w:val="24"/>
          <w:lang w:val="bs-Latn-BA"/>
        </w:rPr>
        <w:t>на</w:t>
      </w:r>
      <w:r w:rsidR="0042679D" w:rsidRPr="00295637">
        <w:rPr>
          <w:rFonts w:ascii="Times New Roman" w:hAnsi="Times New Roman"/>
          <w:szCs w:val="24"/>
          <w:lang w:val="bs-Latn-BA"/>
        </w:rPr>
        <w:t xml:space="preserve"> </w:t>
      </w:r>
      <w:r>
        <w:rPr>
          <w:rFonts w:ascii="Times New Roman" w:hAnsi="Times New Roman"/>
          <w:szCs w:val="24"/>
          <w:lang w:val="bs-Latn-BA"/>
        </w:rPr>
        <w:t>преко</w:t>
      </w:r>
      <w:r w:rsidR="0042679D" w:rsidRPr="00295637">
        <w:rPr>
          <w:rFonts w:ascii="Times New Roman" w:hAnsi="Times New Roman"/>
          <w:szCs w:val="24"/>
          <w:lang w:val="bs-Latn-BA"/>
        </w:rPr>
        <w:t xml:space="preserve"> 70 </w:t>
      </w:r>
      <w:r>
        <w:rPr>
          <w:rFonts w:ascii="Times New Roman" w:hAnsi="Times New Roman"/>
          <w:szCs w:val="24"/>
          <w:lang w:val="bs-Latn-BA"/>
        </w:rPr>
        <w:t>правних</w:t>
      </w:r>
      <w:r w:rsidR="0042679D" w:rsidRPr="00295637">
        <w:rPr>
          <w:rFonts w:ascii="Times New Roman" w:hAnsi="Times New Roman"/>
          <w:szCs w:val="24"/>
          <w:lang w:val="bs-Latn-BA"/>
        </w:rPr>
        <w:t xml:space="preserve"> </w:t>
      </w:r>
      <w:r>
        <w:rPr>
          <w:rFonts w:ascii="Times New Roman" w:hAnsi="Times New Roman"/>
          <w:szCs w:val="24"/>
          <w:lang w:val="bs-Latn-BA"/>
        </w:rPr>
        <w:t>аката</w:t>
      </w:r>
      <w:r w:rsidR="0042679D" w:rsidRPr="00295637">
        <w:rPr>
          <w:rFonts w:ascii="Times New Roman" w:hAnsi="Times New Roman"/>
          <w:szCs w:val="24"/>
          <w:lang w:val="bs-Latn-BA"/>
        </w:rPr>
        <w:t xml:space="preserve"> </w:t>
      </w:r>
      <w:r w:rsidR="00960217">
        <w:rPr>
          <w:rFonts w:ascii="Times New Roman" w:hAnsi="Times New Roman"/>
          <w:szCs w:val="24"/>
          <w:lang w:val="sr-Cyrl-BA"/>
        </w:rPr>
        <w:t>с</w:t>
      </w:r>
      <w:r w:rsidR="0039301B">
        <w:rPr>
          <w:rFonts w:ascii="Times New Roman" w:hAnsi="Times New Roman"/>
          <w:szCs w:val="24"/>
          <w:lang w:val="bs-Latn-BA"/>
        </w:rPr>
        <w:t xml:space="preserve"> </w:t>
      </w:r>
      <w:r>
        <w:rPr>
          <w:rFonts w:ascii="Times New Roman" w:hAnsi="Times New Roman"/>
          <w:szCs w:val="24"/>
          <w:lang w:val="bs-Latn-BA"/>
        </w:rPr>
        <w:t>циљ</w:t>
      </w:r>
      <w:r w:rsidR="00960217">
        <w:rPr>
          <w:rFonts w:ascii="Times New Roman" w:hAnsi="Times New Roman"/>
          <w:szCs w:val="24"/>
          <w:lang w:val="sr-Cyrl-BA"/>
        </w:rPr>
        <w:t>ем</w:t>
      </w:r>
      <w:r w:rsidR="0039301B">
        <w:rPr>
          <w:rFonts w:ascii="Times New Roman" w:hAnsi="Times New Roman"/>
          <w:szCs w:val="24"/>
          <w:lang w:val="bs-Latn-BA"/>
        </w:rPr>
        <w:t xml:space="preserve"> </w:t>
      </w:r>
      <w:r>
        <w:rPr>
          <w:rFonts w:ascii="Times New Roman" w:hAnsi="Times New Roman"/>
          <w:szCs w:val="24"/>
          <w:lang w:val="bs-Latn-BA"/>
        </w:rPr>
        <w:t>њиховог</w:t>
      </w:r>
      <w:r w:rsidR="0039301B">
        <w:rPr>
          <w:rFonts w:ascii="Times New Roman" w:hAnsi="Times New Roman"/>
          <w:szCs w:val="24"/>
          <w:lang w:val="bs-Latn-BA"/>
        </w:rPr>
        <w:t xml:space="preserve"> </w:t>
      </w:r>
      <w:r>
        <w:rPr>
          <w:rFonts w:ascii="Times New Roman" w:hAnsi="Times New Roman"/>
          <w:szCs w:val="24"/>
          <w:lang w:val="bs-Latn-BA"/>
        </w:rPr>
        <w:t>усклађивања</w:t>
      </w:r>
      <w:r w:rsidR="0039301B">
        <w:rPr>
          <w:rFonts w:ascii="Times New Roman" w:hAnsi="Times New Roman"/>
          <w:szCs w:val="24"/>
          <w:lang w:val="bs-Latn-BA"/>
        </w:rPr>
        <w:t xml:space="preserve"> </w:t>
      </w:r>
      <w:r>
        <w:rPr>
          <w:rFonts w:ascii="Times New Roman" w:hAnsi="Times New Roman"/>
          <w:szCs w:val="24"/>
          <w:lang w:val="bs-Latn-BA"/>
        </w:rPr>
        <w:t>с</w:t>
      </w:r>
      <w:r w:rsidR="00960217">
        <w:rPr>
          <w:rFonts w:ascii="Times New Roman" w:hAnsi="Times New Roman"/>
          <w:szCs w:val="24"/>
          <w:lang w:val="sr-Cyrl-BA"/>
        </w:rPr>
        <w:t>а</w:t>
      </w:r>
      <w:r w:rsidR="0039301B">
        <w:rPr>
          <w:rFonts w:ascii="Times New Roman" w:hAnsi="Times New Roman"/>
          <w:szCs w:val="24"/>
          <w:lang w:val="bs-Latn-BA"/>
        </w:rPr>
        <w:t xml:space="preserve"> </w:t>
      </w:r>
      <w:r>
        <w:rPr>
          <w:rFonts w:ascii="Times New Roman" w:hAnsi="Times New Roman"/>
          <w:szCs w:val="24"/>
          <w:lang w:val="bs-Latn-BA"/>
        </w:rPr>
        <w:t>ЗоР</w:t>
      </w:r>
      <w:r w:rsidR="00960217">
        <w:rPr>
          <w:rFonts w:ascii="Times New Roman" w:hAnsi="Times New Roman"/>
          <w:szCs w:val="24"/>
          <w:lang w:val="sr-Cyrl-BA"/>
        </w:rPr>
        <w:t>П</w:t>
      </w:r>
      <w:r w:rsidR="0039301B">
        <w:rPr>
          <w:rFonts w:ascii="Times New Roman" w:hAnsi="Times New Roman"/>
          <w:szCs w:val="24"/>
          <w:lang w:val="bs-Latn-BA"/>
        </w:rPr>
        <w:t>-</w:t>
      </w:r>
      <w:r>
        <w:rPr>
          <w:rFonts w:ascii="Times New Roman" w:hAnsi="Times New Roman"/>
          <w:szCs w:val="24"/>
          <w:lang w:val="bs-Latn-BA"/>
        </w:rPr>
        <w:t>ом</w:t>
      </w:r>
      <w:r w:rsidR="0039301B">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 xml:space="preserve">, </w:t>
      </w:r>
      <w:r>
        <w:rPr>
          <w:rFonts w:ascii="Times New Roman" w:hAnsi="Times New Roman"/>
          <w:szCs w:val="24"/>
          <w:lang w:val="bs-Latn-BA"/>
        </w:rPr>
        <w:t>израдили</w:t>
      </w:r>
      <w:r w:rsidR="0042679D" w:rsidRPr="00295637">
        <w:rPr>
          <w:rFonts w:ascii="Times New Roman" w:hAnsi="Times New Roman"/>
          <w:szCs w:val="24"/>
          <w:lang w:val="bs-Latn-BA"/>
        </w:rPr>
        <w:t xml:space="preserve"> </w:t>
      </w:r>
      <w:r>
        <w:rPr>
          <w:rFonts w:ascii="Times New Roman" w:hAnsi="Times New Roman"/>
          <w:szCs w:val="24"/>
          <w:lang w:val="bs-Latn-BA"/>
        </w:rPr>
        <w:t>близу</w:t>
      </w:r>
      <w:r w:rsidR="0042679D" w:rsidRPr="00295637">
        <w:rPr>
          <w:rFonts w:ascii="Times New Roman" w:hAnsi="Times New Roman"/>
          <w:szCs w:val="24"/>
          <w:lang w:val="bs-Latn-BA"/>
        </w:rPr>
        <w:t xml:space="preserve"> 20 </w:t>
      </w:r>
      <w:r>
        <w:rPr>
          <w:rFonts w:ascii="Times New Roman" w:hAnsi="Times New Roman"/>
          <w:szCs w:val="24"/>
          <w:lang w:val="bs-Latn-BA"/>
        </w:rPr>
        <w:t>извјештаја</w:t>
      </w:r>
      <w:r w:rsidR="0042679D" w:rsidRPr="00295637">
        <w:rPr>
          <w:rFonts w:ascii="Times New Roman" w:hAnsi="Times New Roman"/>
          <w:szCs w:val="24"/>
          <w:lang w:val="bs-Latn-BA"/>
        </w:rPr>
        <w:t xml:space="preserve"> </w:t>
      </w:r>
      <w:r>
        <w:rPr>
          <w:rFonts w:ascii="Times New Roman" w:hAnsi="Times New Roman"/>
          <w:szCs w:val="24"/>
          <w:lang w:val="bs-Latn-BA"/>
        </w:rPr>
        <w:t>према</w:t>
      </w:r>
      <w:r w:rsidR="0042679D" w:rsidRPr="00295637">
        <w:rPr>
          <w:rFonts w:ascii="Times New Roman" w:hAnsi="Times New Roman"/>
          <w:szCs w:val="24"/>
          <w:lang w:val="bs-Latn-BA"/>
        </w:rPr>
        <w:t xml:space="preserve"> </w:t>
      </w:r>
      <w:r>
        <w:rPr>
          <w:rFonts w:ascii="Times New Roman" w:hAnsi="Times New Roman"/>
          <w:szCs w:val="24"/>
          <w:lang w:val="bs-Latn-BA"/>
        </w:rPr>
        <w:t>међународним</w:t>
      </w:r>
      <w:r w:rsidR="0042679D" w:rsidRPr="00295637">
        <w:rPr>
          <w:rFonts w:ascii="Times New Roman" w:hAnsi="Times New Roman"/>
          <w:szCs w:val="24"/>
          <w:lang w:val="bs-Latn-BA"/>
        </w:rPr>
        <w:t xml:space="preserve"> </w:t>
      </w:r>
      <w:r>
        <w:rPr>
          <w:rFonts w:ascii="Times New Roman" w:hAnsi="Times New Roman"/>
          <w:szCs w:val="24"/>
          <w:lang w:val="bs-Latn-BA"/>
        </w:rPr>
        <w:t>органима</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праћење</w:t>
      </w:r>
      <w:r w:rsidR="0042679D" w:rsidRPr="00295637">
        <w:rPr>
          <w:rFonts w:ascii="Times New Roman" w:hAnsi="Times New Roman"/>
          <w:szCs w:val="24"/>
          <w:lang w:val="bs-Latn-BA"/>
        </w:rPr>
        <w:t xml:space="preserve"> </w:t>
      </w:r>
      <w:r w:rsidR="00960217">
        <w:rPr>
          <w:rFonts w:ascii="Times New Roman" w:hAnsi="Times New Roman"/>
          <w:szCs w:val="24"/>
          <w:lang w:val="sr-Cyrl-BA"/>
        </w:rPr>
        <w:t>спровођења</w:t>
      </w:r>
      <w:r w:rsidR="0042679D" w:rsidRPr="00295637">
        <w:rPr>
          <w:rFonts w:ascii="Times New Roman" w:hAnsi="Times New Roman"/>
          <w:szCs w:val="24"/>
          <w:lang w:val="bs-Latn-BA"/>
        </w:rPr>
        <w:t xml:space="preserve"> </w:t>
      </w:r>
      <w:r>
        <w:rPr>
          <w:rFonts w:ascii="Times New Roman" w:hAnsi="Times New Roman"/>
          <w:szCs w:val="24"/>
          <w:lang w:val="bs-Latn-BA"/>
        </w:rPr>
        <w:t>стандарда</w:t>
      </w:r>
      <w:r w:rsidR="0042679D"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42679D" w:rsidRPr="00295637">
        <w:rPr>
          <w:rFonts w:ascii="Times New Roman" w:hAnsi="Times New Roman"/>
          <w:szCs w:val="24"/>
          <w:lang w:val="bs-Latn-BA"/>
        </w:rPr>
        <w:t xml:space="preserve"> </w:t>
      </w:r>
      <w:r>
        <w:rPr>
          <w:rFonts w:ascii="Times New Roman" w:hAnsi="Times New Roman"/>
          <w:szCs w:val="24"/>
          <w:lang w:val="bs-Latn-BA"/>
        </w:rPr>
        <w:t>полова</w:t>
      </w:r>
      <w:r w:rsidR="0042679D" w:rsidRPr="00295637">
        <w:rPr>
          <w:rFonts w:ascii="Times New Roman" w:hAnsi="Times New Roman"/>
          <w:szCs w:val="24"/>
          <w:lang w:val="bs-Latn-BA"/>
        </w:rPr>
        <w:t xml:space="preserve">, </w:t>
      </w:r>
      <w:r>
        <w:rPr>
          <w:rFonts w:ascii="Times New Roman" w:hAnsi="Times New Roman"/>
          <w:szCs w:val="24"/>
          <w:lang w:val="bs-Latn-BA"/>
        </w:rPr>
        <w:t>обрадили</w:t>
      </w:r>
      <w:r w:rsidR="0042679D" w:rsidRPr="00295637">
        <w:rPr>
          <w:rFonts w:ascii="Times New Roman" w:hAnsi="Times New Roman"/>
          <w:szCs w:val="24"/>
          <w:lang w:val="bs-Latn-BA"/>
        </w:rPr>
        <w:t xml:space="preserve"> 10 </w:t>
      </w:r>
      <w:r>
        <w:rPr>
          <w:rFonts w:ascii="Times New Roman" w:hAnsi="Times New Roman"/>
          <w:szCs w:val="24"/>
          <w:lang w:val="bs-Latn-BA"/>
        </w:rPr>
        <w:t>захтјева</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испитивање</w:t>
      </w:r>
      <w:r w:rsidR="0042679D" w:rsidRPr="00295637">
        <w:rPr>
          <w:rFonts w:ascii="Times New Roman" w:hAnsi="Times New Roman"/>
          <w:szCs w:val="24"/>
          <w:lang w:val="bs-Latn-BA"/>
        </w:rPr>
        <w:t xml:space="preserve"> </w:t>
      </w:r>
      <w:r>
        <w:rPr>
          <w:rFonts w:ascii="Times New Roman" w:hAnsi="Times New Roman"/>
          <w:szCs w:val="24"/>
          <w:lang w:val="bs-Latn-BA"/>
        </w:rPr>
        <w:t>повреда</w:t>
      </w:r>
      <w:r w:rsidR="0042679D" w:rsidRPr="00295637">
        <w:rPr>
          <w:rFonts w:ascii="Times New Roman" w:hAnsi="Times New Roman"/>
          <w:szCs w:val="24"/>
          <w:lang w:val="bs-Latn-BA"/>
        </w:rPr>
        <w:t xml:space="preserve"> </w:t>
      </w:r>
      <w:r>
        <w:rPr>
          <w:rFonts w:ascii="Times New Roman" w:hAnsi="Times New Roman"/>
          <w:szCs w:val="24"/>
          <w:lang w:val="bs-Latn-BA"/>
        </w:rPr>
        <w:t>ЗоР</w:t>
      </w:r>
      <w:r w:rsidR="00960217">
        <w:rPr>
          <w:rFonts w:ascii="Times New Roman" w:hAnsi="Times New Roman"/>
          <w:szCs w:val="24"/>
          <w:lang w:val="sr-Cyrl-BA"/>
        </w:rPr>
        <w:t>П</w:t>
      </w:r>
      <w:r w:rsidR="0042679D" w:rsidRPr="00295637">
        <w:rPr>
          <w:rFonts w:ascii="Times New Roman" w:hAnsi="Times New Roman"/>
          <w:szCs w:val="24"/>
          <w:lang w:val="bs-Latn-BA"/>
        </w:rPr>
        <w:t>-</w:t>
      </w:r>
      <w:r>
        <w:rPr>
          <w:rFonts w:ascii="Times New Roman" w:hAnsi="Times New Roman"/>
          <w:szCs w:val="24"/>
          <w:lang w:val="bs-Latn-BA"/>
        </w:rPr>
        <w:t>а</w:t>
      </w:r>
      <w:r w:rsidR="0042679D" w:rsidRPr="00295637">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 xml:space="preserve">, </w:t>
      </w:r>
      <w:r>
        <w:rPr>
          <w:rFonts w:ascii="Times New Roman" w:hAnsi="Times New Roman"/>
          <w:szCs w:val="24"/>
          <w:lang w:val="bs-Latn-BA"/>
        </w:rPr>
        <w:t>те</w:t>
      </w:r>
      <w:r w:rsidR="0042679D" w:rsidRPr="00295637">
        <w:rPr>
          <w:rFonts w:ascii="Times New Roman" w:hAnsi="Times New Roman"/>
          <w:szCs w:val="24"/>
          <w:lang w:val="bs-Latn-BA"/>
        </w:rPr>
        <w:t xml:space="preserve"> </w:t>
      </w:r>
      <w:r>
        <w:rPr>
          <w:rFonts w:ascii="Times New Roman" w:hAnsi="Times New Roman"/>
          <w:szCs w:val="24"/>
          <w:lang w:val="bs-Latn-BA"/>
        </w:rPr>
        <w:t>издали</w:t>
      </w:r>
      <w:r w:rsidR="0042679D" w:rsidRPr="00295637">
        <w:rPr>
          <w:rFonts w:ascii="Times New Roman" w:hAnsi="Times New Roman"/>
          <w:szCs w:val="24"/>
          <w:lang w:val="bs-Latn-BA"/>
        </w:rPr>
        <w:t xml:space="preserve"> </w:t>
      </w:r>
      <w:r>
        <w:rPr>
          <w:rFonts w:ascii="Times New Roman" w:hAnsi="Times New Roman"/>
          <w:szCs w:val="24"/>
          <w:lang w:val="bs-Latn-BA"/>
        </w:rPr>
        <w:t>преко</w:t>
      </w:r>
      <w:r w:rsidR="0042679D" w:rsidRPr="00295637">
        <w:rPr>
          <w:rFonts w:ascii="Times New Roman" w:hAnsi="Times New Roman"/>
          <w:szCs w:val="24"/>
          <w:lang w:val="bs-Latn-BA"/>
        </w:rPr>
        <w:t xml:space="preserve"> 10 </w:t>
      </w:r>
      <w:r>
        <w:rPr>
          <w:rFonts w:ascii="Times New Roman" w:hAnsi="Times New Roman"/>
          <w:szCs w:val="24"/>
          <w:lang w:val="bs-Latn-BA"/>
        </w:rPr>
        <w:t>препорука</w:t>
      </w:r>
      <w:r w:rsidR="0042679D" w:rsidRPr="00295637">
        <w:rPr>
          <w:rFonts w:ascii="Times New Roman" w:hAnsi="Times New Roman"/>
          <w:szCs w:val="24"/>
          <w:lang w:val="bs-Latn-BA"/>
        </w:rPr>
        <w:t xml:space="preserve">, 19 </w:t>
      </w:r>
      <w:r>
        <w:rPr>
          <w:rFonts w:ascii="Times New Roman" w:hAnsi="Times New Roman"/>
          <w:szCs w:val="24"/>
          <w:lang w:val="bs-Latn-BA"/>
        </w:rPr>
        <w:t>коментара</w:t>
      </w:r>
      <w:r w:rsidR="0042679D" w:rsidRPr="00295637">
        <w:rPr>
          <w:rFonts w:ascii="Times New Roman" w:hAnsi="Times New Roman"/>
          <w:szCs w:val="24"/>
          <w:lang w:val="bs-Latn-BA"/>
        </w:rPr>
        <w:t xml:space="preserve">, </w:t>
      </w:r>
      <w:r>
        <w:rPr>
          <w:rFonts w:ascii="Times New Roman" w:hAnsi="Times New Roman"/>
          <w:szCs w:val="24"/>
          <w:lang w:val="bs-Latn-BA"/>
        </w:rPr>
        <w:t>двадесетак</w:t>
      </w:r>
      <w:r w:rsidR="0042679D" w:rsidRPr="00295637">
        <w:rPr>
          <w:rFonts w:ascii="Times New Roman" w:hAnsi="Times New Roman"/>
          <w:szCs w:val="24"/>
          <w:lang w:val="bs-Latn-BA"/>
        </w:rPr>
        <w:t xml:space="preserve"> </w:t>
      </w:r>
      <w:r>
        <w:rPr>
          <w:rFonts w:ascii="Times New Roman" w:hAnsi="Times New Roman"/>
          <w:szCs w:val="24"/>
          <w:lang w:val="bs-Latn-BA"/>
        </w:rPr>
        <w:t>саопштења</w:t>
      </w:r>
      <w:r w:rsidR="0042679D" w:rsidRPr="00295637">
        <w:rPr>
          <w:rFonts w:ascii="Times New Roman" w:hAnsi="Times New Roman"/>
          <w:szCs w:val="24"/>
          <w:lang w:val="bs-Latn-BA"/>
        </w:rPr>
        <w:t xml:space="preserve"> </w:t>
      </w:r>
      <w:r>
        <w:rPr>
          <w:rFonts w:ascii="Times New Roman" w:hAnsi="Times New Roman"/>
          <w:szCs w:val="24"/>
          <w:lang w:val="bs-Latn-BA"/>
        </w:rPr>
        <w:t>за</w:t>
      </w:r>
      <w:r w:rsidR="0042679D" w:rsidRPr="00295637">
        <w:rPr>
          <w:rFonts w:ascii="Times New Roman" w:hAnsi="Times New Roman"/>
          <w:szCs w:val="24"/>
          <w:lang w:val="bs-Latn-BA"/>
        </w:rPr>
        <w:t xml:space="preserve"> </w:t>
      </w:r>
      <w:r>
        <w:rPr>
          <w:rFonts w:ascii="Times New Roman" w:hAnsi="Times New Roman"/>
          <w:szCs w:val="24"/>
          <w:lang w:val="bs-Latn-BA"/>
        </w:rPr>
        <w:t>јавност</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одговора</w:t>
      </w:r>
      <w:r w:rsidR="0042679D" w:rsidRPr="00295637">
        <w:rPr>
          <w:rFonts w:ascii="Times New Roman" w:hAnsi="Times New Roman"/>
          <w:szCs w:val="24"/>
          <w:lang w:val="bs-Latn-BA"/>
        </w:rPr>
        <w:t xml:space="preserve"> </w:t>
      </w:r>
      <w:r>
        <w:rPr>
          <w:rFonts w:ascii="Times New Roman" w:hAnsi="Times New Roman"/>
          <w:szCs w:val="24"/>
          <w:lang w:val="bs-Latn-BA"/>
        </w:rPr>
        <w:t>на</w:t>
      </w:r>
      <w:r w:rsidR="0042679D" w:rsidRPr="00295637">
        <w:rPr>
          <w:rFonts w:ascii="Times New Roman" w:hAnsi="Times New Roman"/>
          <w:szCs w:val="24"/>
          <w:lang w:val="bs-Latn-BA"/>
        </w:rPr>
        <w:t xml:space="preserve"> </w:t>
      </w:r>
      <w:r>
        <w:rPr>
          <w:rFonts w:ascii="Times New Roman" w:hAnsi="Times New Roman"/>
          <w:szCs w:val="24"/>
          <w:lang w:val="bs-Latn-BA"/>
        </w:rPr>
        <w:t>заступничка</w:t>
      </w:r>
      <w:r w:rsidR="0042679D" w:rsidRPr="00295637">
        <w:rPr>
          <w:rFonts w:ascii="Times New Roman" w:hAnsi="Times New Roman"/>
          <w:szCs w:val="24"/>
          <w:lang w:val="bs-Latn-BA"/>
        </w:rPr>
        <w:t xml:space="preserve"> </w:t>
      </w:r>
      <w:r>
        <w:rPr>
          <w:rFonts w:ascii="Times New Roman" w:hAnsi="Times New Roman"/>
          <w:szCs w:val="24"/>
          <w:lang w:val="bs-Latn-BA"/>
        </w:rPr>
        <w:t>питања</w:t>
      </w:r>
      <w:r w:rsidR="0042679D" w:rsidRPr="00295637">
        <w:rPr>
          <w:rFonts w:ascii="Times New Roman" w:hAnsi="Times New Roman"/>
          <w:szCs w:val="24"/>
          <w:lang w:val="bs-Latn-BA"/>
        </w:rPr>
        <w:t xml:space="preserve">. </w:t>
      </w:r>
    </w:p>
    <w:p w:rsidR="0042679D" w:rsidRPr="00295637" w:rsidRDefault="0042679D" w:rsidP="0086268D">
      <w:pPr>
        <w:pStyle w:val="ListParagraph"/>
        <w:rPr>
          <w:rFonts w:ascii="Times New Roman" w:hAnsi="Times New Roman"/>
          <w:szCs w:val="24"/>
          <w:lang w:val="bs-Latn-BA"/>
        </w:rPr>
      </w:pPr>
    </w:p>
    <w:p w:rsidR="0042679D" w:rsidRPr="00A24398" w:rsidRDefault="00C6214E" w:rsidP="0086268D">
      <w:pPr>
        <w:pStyle w:val="ListParagraph"/>
        <w:numPr>
          <w:ilvl w:val="0"/>
          <w:numId w:val="17"/>
        </w:numPr>
        <w:contextualSpacing/>
        <w:jc w:val="both"/>
        <w:rPr>
          <w:rFonts w:ascii="Times New Roman" w:hAnsi="Times New Roman"/>
          <w:szCs w:val="24"/>
          <w:lang w:val="bs-Latn-BA"/>
        </w:rPr>
      </w:pPr>
      <w:r>
        <w:rPr>
          <w:rFonts w:ascii="Times New Roman" w:hAnsi="Times New Roman"/>
          <w:szCs w:val="24"/>
        </w:rPr>
        <w:t>АР</w:t>
      </w:r>
      <w:r w:rsidR="00960217">
        <w:rPr>
          <w:rFonts w:ascii="Times New Roman" w:hAnsi="Times New Roman"/>
          <w:szCs w:val="24"/>
          <w:lang w:val="sr-Cyrl-BA"/>
        </w:rPr>
        <w:t>П</w:t>
      </w:r>
      <w:r w:rsidR="0039301B">
        <w:rPr>
          <w:rFonts w:ascii="Times New Roman" w:hAnsi="Times New Roman"/>
          <w:szCs w:val="24"/>
        </w:rPr>
        <w:t xml:space="preserve"> </w:t>
      </w:r>
      <w:r>
        <w:rPr>
          <w:rFonts w:ascii="Times New Roman" w:hAnsi="Times New Roman"/>
          <w:szCs w:val="24"/>
        </w:rPr>
        <w:t>БиХ</w:t>
      </w:r>
      <w:r w:rsidR="0039301B">
        <w:rPr>
          <w:rFonts w:ascii="Times New Roman" w:hAnsi="Times New Roman"/>
          <w:szCs w:val="24"/>
        </w:rPr>
        <w:t xml:space="preserve"> </w:t>
      </w:r>
      <w:r>
        <w:rPr>
          <w:rFonts w:ascii="Times New Roman" w:hAnsi="Times New Roman"/>
          <w:szCs w:val="24"/>
        </w:rPr>
        <w:t>МЉПИ</w:t>
      </w:r>
      <w:r w:rsidR="0039301B">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Pr>
          <w:rFonts w:ascii="Times New Roman" w:hAnsi="Times New Roman"/>
          <w:szCs w:val="24"/>
        </w:rPr>
        <w:t>уз</w:t>
      </w:r>
      <w:r w:rsidR="0042679D" w:rsidRPr="00295637">
        <w:rPr>
          <w:rFonts w:ascii="Times New Roman" w:hAnsi="Times New Roman"/>
          <w:szCs w:val="24"/>
        </w:rPr>
        <w:t xml:space="preserve"> </w:t>
      </w:r>
      <w:r>
        <w:rPr>
          <w:rFonts w:ascii="Times New Roman" w:hAnsi="Times New Roman"/>
          <w:szCs w:val="24"/>
        </w:rPr>
        <w:t>подршку</w:t>
      </w:r>
      <w:r w:rsidR="0042679D" w:rsidRPr="00295637">
        <w:rPr>
          <w:rFonts w:ascii="Times New Roman" w:hAnsi="Times New Roman"/>
          <w:szCs w:val="24"/>
        </w:rPr>
        <w:t xml:space="preserve"> </w:t>
      </w:r>
      <w:r>
        <w:rPr>
          <w:rFonts w:ascii="Times New Roman" w:hAnsi="Times New Roman"/>
          <w:szCs w:val="24"/>
        </w:rPr>
        <w:t>пројекта</w:t>
      </w:r>
      <w:r w:rsidR="0042679D" w:rsidRPr="00295637">
        <w:rPr>
          <w:rFonts w:ascii="Times New Roman" w:hAnsi="Times New Roman"/>
          <w:szCs w:val="24"/>
        </w:rPr>
        <w:t xml:space="preserve"> </w:t>
      </w:r>
      <w:r w:rsidR="00960217" w:rsidRPr="00960217">
        <w:rPr>
          <w:rFonts w:ascii="Times New Roman" w:hAnsi="Times New Roman"/>
          <w:i/>
          <w:szCs w:val="24"/>
        </w:rPr>
        <w:t>EU4Inclusion</w:t>
      </w:r>
      <w:r w:rsidR="0042679D" w:rsidRPr="00295637">
        <w:rPr>
          <w:rFonts w:ascii="Times New Roman" w:hAnsi="Times New Roman"/>
          <w:szCs w:val="24"/>
        </w:rPr>
        <w:t xml:space="preserve"> </w:t>
      </w:r>
      <w:r>
        <w:rPr>
          <w:rFonts w:ascii="Times New Roman" w:hAnsi="Times New Roman"/>
          <w:szCs w:val="24"/>
        </w:rPr>
        <w:t>реализ</w:t>
      </w:r>
      <w:r w:rsidR="00960217">
        <w:rPr>
          <w:rFonts w:ascii="Times New Roman" w:hAnsi="Times New Roman"/>
          <w:szCs w:val="24"/>
          <w:lang w:val="sr-Cyrl-BA"/>
        </w:rPr>
        <w:t>овала</w:t>
      </w:r>
      <w:r w:rsidR="0042679D" w:rsidRPr="00295637">
        <w:rPr>
          <w:rFonts w:ascii="Times New Roman" w:hAnsi="Times New Roman"/>
          <w:szCs w:val="24"/>
        </w:rPr>
        <w:t xml:space="preserve"> </w:t>
      </w:r>
      <w:r>
        <w:rPr>
          <w:rFonts w:ascii="Times New Roman" w:hAnsi="Times New Roman"/>
          <w:szCs w:val="24"/>
        </w:rPr>
        <w:t>три</w:t>
      </w:r>
      <w:r w:rsidR="0042679D" w:rsidRPr="00295637">
        <w:rPr>
          <w:rFonts w:ascii="Times New Roman" w:hAnsi="Times New Roman"/>
          <w:szCs w:val="24"/>
        </w:rPr>
        <w:t xml:space="preserve"> </w:t>
      </w:r>
      <w:r>
        <w:rPr>
          <w:rFonts w:ascii="Times New Roman" w:hAnsi="Times New Roman"/>
          <w:szCs w:val="24"/>
        </w:rPr>
        <w:t>курикулума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обуке</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форми</w:t>
      </w:r>
      <w:r w:rsidR="0042679D" w:rsidRPr="00295637">
        <w:rPr>
          <w:rFonts w:ascii="Times New Roman" w:hAnsi="Times New Roman"/>
          <w:szCs w:val="24"/>
        </w:rPr>
        <w:t xml:space="preserve"> </w:t>
      </w:r>
      <w:r>
        <w:rPr>
          <w:rFonts w:ascii="Times New Roman" w:hAnsi="Times New Roman"/>
          <w:szCs w:val="24"/>
        </w:rPr>
        <w:t>вебинара</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теме</w:t>
      </w:r>
      <w:r w:rsidR="0042679D" w:rsidRPr="00295637">
        <w:rPr>
          <w:rFonts w:ascii="Times New Roman" w:hAnsi="Times New Roman"/>
          <w:szCs w:val="24"/>
        </w:rPr>
        <w:t xml:space="preserve">: </w:t>
      </w:r>
      <w:r>
        <w:rPr>
          <w:rFonts w:ascii="Times New Roman" w:hAnsi="Times New Roman"/>
          <w:szCs w:val="24"/>
        </w:rPr>
        <w:t>утицај</w:t>
      </w:r>
      <w:r w:rsidR="0042679D" w:rsidRPr="00295637">
        <w:rPr>
          <w:rFonts w:ascii="Times New Roman" w:hAnsi="Times New Roman"/>
          <w:szCs w:val="24"/>
        </w:rPr>
        <w:t xml:space="preserve"> </w:t>
      </w:r>
      <w:r>
        <w:rPr>
          <w:rFonts w:ascii="Times New Roman" w:hAnsi="Times New Roman"/>
          <w:szCs w:val="24"/>
        </w:rPr>
        <w:t>политика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правних</w:t>
      </w:r>
      <w:r w:rsidR="0042679D" w:rsidRPr="00295637">
        <w:rPr>
          <w:rFonts w:ascii="Times New Roman" w:hAnsi="Times New Roman"/>
          <w:szCs w:val="24"/>
        </w:rPr>
        <w:t xml:space="preserve"> </w:t>
      </w:r>
      <w:r>
        <w:rPr>
          <w:rFonts w:ascii="Times New Roman" w:hAnsi="Times New Roman"/>
          <w:szCs w:val="24"/>
        </w:rPr>
        <w:t>прописа</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равноправност</w:t>
      </w:r>
      <w:r w:rsidR="0042679D" w:rsidRPr="00295637">
        <w:rPr>
          <w:rFonts w:ascii="Times New Roman" w:hAnsi="Times New Roman"/>
          <w:szCs w:val="24"/>
        </w:rPr>
        <w:t xml:space="preserve"> </w:t>
      </w:r>
      <w:r>
        <w:rPr>
          <w:rFonts w:ascii="Times New Roman" w:hAnsi="Times New Roman"/>
          <w:szCs w:val="24"/>
        </w:rPr>
        <w:t>полова</w:t>
      </w:r>
      <w:r w:rsidR="0042679D" w:rsidRPr="00295637">
        <w:rPr>
          <w:rFonts w:ascii="Times New Roman" w:hAnsi="Times New Roman"/>
          <w:szCs w:val="24"/>
        </w:rPr>
        <w:t xml:space="preserve"> (</w:t>
      </w:r>
      <w:r w:rsidR="00960217" w:rsidRPr="00960217">
        <w:rPr>
          <w:rFonts w:ascii="Times New Roman" w:hAnsi="Times New Roman"/>
          <w:i/>
          <w:szCs w:val="24"/>
        </w:rPr>
        <w:t>gender-impact assesment</w:t>
      </w:r>
      <w:r w:rsidR="0042679D" w:rsidRPr="00295637">
        <w:rPr>
          <w:rFonts w:ascii="Times New Roman" w:hAnsi="Times New Roman"/>
          <w:szCs w:val="24"/>
        </w:rPr>
        <w:t xml:space="preserve">), </w:t>
      </w:r>
      <w:r>
        <w:rPr>
          <w:rFonts w:ascii="Times New Roman" w:hAnsi="Times New Roman"/>
          <w:szCs w:val="24"/>
        </w:rPr>
        <w:t>препознавање</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превенција</w:t>
      </w:r>
      <w:r w:rsidR="0042679D" w:rsidRPr="00295637">
        <w:rPr>
          <w:rFonts w:ascii="Times New Roman" w:hAnsi="Times New Roman"/>
          <w:szCs w:val="24"/>
        </w:rPr>
        <w:t xml:space="preserve"> </w:t>
      </w:r>
      <w:r>
        <w:rPr>
          <w:rFonts w:ascii="Times New Roman" w:hAnsi="Times New Roman"/>
          <w:szCs w:val="24"/>
        </w:rPr>
        <w:t>узнемиравања</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основу</w:t>
      </w:r>
      <w:r w:rsidR="0042679D" w:rsidRPr="00295637">
        <w:rPr>
          <w:rFonts w:ascii="Times New Roman" w:hAnsi="Times New Roman"/>
          <w:szCs w:val="24"/>
        </w:rPr>
        <w:t xml:space="preserve"> </w:t>
      </w:r>
      <w:r>
        <w:rPr>
          <w:rFonts w:ascii="Times New Roman" w:hAnsi="Times New Roman"/>
          <w:szCs w:val="24"/>
        </w:rPr>
        <w:t>пола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сексуалног</w:t>
      </w:r>
      <w:r w:rsidR="0042679D" w:rsidRPr="00295637">
        <w:rPr>
          <w:rFonts w:ascii="Times New Roman" w:hAnsi="Times New Roman"/>
          <w:szCs w:val="24"/>
        </w:rPr>
        <w:t xml:space="preserve"> </w:t>
      </w:r>
      <w:r>
        <w:rPr>
          <w:rFonts w:ascii="Times New Roman" w:hAnsi="Times New Roman"/>
          <w:szCs w:val="24"/>
        </w:rPr>
        <w:t>узнемиравања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поступање</w:t>
      </w:r>
      <w:r w:rsidR="0042679D" w:rsidRPr="00295637">
        <w:rPr>
          <w:rFonts w:ascii="Times New Roman" w:hAnsi="Times New Roman"/>
          <w:szCs w:val="24"/>
        </w:rPr>
        <w:t xml:space="preserve"> </w:t>
      </w:r>
      <w:r>
        <w:rPr>
          <w:rFonts w:ascii="Times New Roman" w:hAnsi="Times New Roman"/>
          <w:szCs w:val="24"/>
        </w:rPr>
        <w:t>полицијских</w:t>
      </w:r>
      <w:r w:rsidR="0042679D" w:rsidRPr="00295637">
        <w:rPr>
          <w:rFonts w:ascii="Times New Roman" w:hAnsi="Times New Roman"/>
          <w:szCs w:val="24"/>
        </w:rPr>
        <w:t xml:space="preserve"> </w:t>
      </w:r>
      <w:r>
        <w:rPr>
          <w:rFonts w:ascii="Times New Roman" w:hAnsi="Times New Roman"/>
          <w:szCs w:val="24"/>
        </w:rPr>
        <w:t>службеника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случајевима</w:t>
      </w:r>
      <w:r w:rsidR="0042679D" w:rsidRPr="00295637">
        <w:rPr>
          <w:rFonts w:ascii="Times New Roman" w:hAnsi="Times New Roman"/>
          <w:szCs w:val="24"/>
        </w:rPr>
        <w:t xml:space="preserve"> </w:t>
      </w:r>
      <w:r>
        <w:rPr>
          <w:rFonts w:ascii="Times New Roman" w:hAnsi="Times New Roman"/>
          <w:szCs w:val="24"/>
        </w:rPr>
        <w:t>насиља</w:t>
      </w:r>
      <w:r w:rsidR="0042679D" w:rsidRPr="00295637">
        <w:rPr>
          <w:rFonts w:ascii="Times New Roman" w:hAnsi="Times New Roman"/>
          <w:szCs w:val="24"/>
        </w:rPr>
        <w:t xml:space="preserve"> </w:t>
      </w:r>
      <w:r>
        <w:rPr>
          <w:rFonts w:ascii="Times New Roman" w:hAnsi="Times New Roman"/>
          <w:szCs w:val="24"/>
        </w:rPr>
        <w:t>над</w:t>
      </w:r>
      <w:r w:rsidR="0042679D" w:rsidRPr="00295637">
        <w:rPr>
          <w:rFonts w:ascii="Times New Roman" w:hAnsi="Times New Roman"/>
          <w:szCs w:val="24"/>
        </w:rPr>
        <w:t xml:space="preserve"> </w:t>
      </w:r>
      <w:r>
        <w:rPr>
          <w:rFonts w:ascii="Times New Roman" w:hAnsi="Times New Roman"/>
          <w:szCs w:val="24"/>
        </w:rPr>
        <w:t>женама</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насиља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породици</w:t>
      </w:r>
      <w:r w:rsidR="0042679D" w:rsidRPr="00295637">
        <w:rPr>
          <w:rFonts w:ascii="Times New Roman" w:hAnsi="Times New Roman"/>
          <w:szCs w:val="24"/>
        </w:rPr>
        <w:t>.</w:t>
      </w:r>
    </w:p>
    <w:p w:rsidR="0042679D" w:rsidRPr="009C6ECA" w:rsidRDefault="0042679D" w:rsidP="009C6ECA">
      <w:pPr>
        <w:rPr>
          <w:rFonts w:ascii="Times New Roman" w:hAnsi="Times New Roman"/>
          <w:lang w:val="bs-Latn-BA"/>
        </w:rPr>
      </w:pPr>
    </w:p>
    <w:p w:rsidR="0042679D" w:rsidRPr="00B933C4" w:rsidRDefault="00C6214E" w:rsidP="0086268D">
      <w:pPr>
        <w:pStyle w:val="ListParagraph"/>
        <w:numPr>
          <w:ilvl w:val="0"/>
          <w:numId w:val="17"/>
        </w:numPr>
        <w:contextualSpacing/>
        <w:jc w:val="both"/>
        <w:rPr>
          <w:rFonts w:ascii="Times New Roman" w:hAnsi="Times New Roman"/>
          <w:lang w:val="bs-Latn-BA"/>
        </w:rPr>
      </w:pPr>
      <w:r>
        <w:rPr>
          <w:rFonts w:ascii="Times New Roman" w:hAnsi="Times New Roman"/>
          <w:szCs w:val="24"/>
          <w:lang w:val="bs-Latn-BA"/>
        </w:rPr>
        <w:t>АР</w:t>
      </w:r>
      <w:r w:rsidR="00960217">
        <w:rPr>
          <w:rFonts w:ascii="Times New Roman" w:hAnsi="Times New Roman"/>
          <w:szCs w:val="24"/>
          <w:lang w:val="sr-Cyrl-BA"/>
        </w:rPr>
        <w:t>П</w:t>
      </w:r>
      <w:r w:rsidR="0039301B">
        <w:rPr>
          <w:rFonts w:ascii="Times New Roman" w:hAnsi="Times New Roman"/>
          <w:szCs w:val="24"/>
          <w:lang w:val="bs-Latn-BA"/>
        </w:rPr>
        <w:t xml:space="preserve"> </w:t>
      </w:r>
      <w:r>
        <w:rPr>
          <w:rFonts w:ascii="Times New Roman" w:hAnsi="Times New Roman"/>
          <w:szCs w:val="24"/>
          <w:lang w:val="bs-Latn-BA"/>
        </w:rPr>
        <w:t>БиХ</w:t>
      </w:r>
      <w:r w:rsidR="0039301B">
        <w:rPr>
          <w:rFonts w:ascii="Times New Roman" w:hAnsi="Times New Roman"/>
          <w:szCs w:val="24"/>
          <w:lang w:val="bs-Latn-BA"/>
        </w:rPr>
        <w:t xml:space="preserve"> </w:t>
      </w:r>
      <w:r>
        <w:rPr>
          <w:rFonts w:ascii="Times New Roman" w:hAnsi="Times New Roman"/>
          <w:szCs w:val="24"/>
          <w:lang w:val="bs-Latn-BA"/>
        </w:rPr>
        <w:t>МЉПИ</w:t>
      </w:r>
      <w:r w:rsidR="0039301B">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сарадњи</w:t>
      </w:r>
      <w:r w:rsidR="0039301B">
        <w:rPr>
          <w:rFonts w:ascii="Times New Roman" w:hAnsi="Times New Roman"/>
          <w:szCs w:val="24"/>
          <w:lang w:val="bs-Latn-BA"/>
        </w:rPr>
        <w:t xml:space="preserve"> </w:t>
      </w:r>
      <w:r>
        <w:rPr>
          <w:rFonts w:ascii="Times New Roman" w:hAnsi="Times New Roman"/>
          <w:szCs w:val="24"/>
          <w:lang w:val="bs-Latn-BA"/>
        </w:rPr>
        <w:t>са</w:t>
      </w:r>
      <w:r w:rsidR="0042679D" w:rsidRPr="00295637">
        <w:rPr>
          <w:rFonts w:ascii="Times New Roman" w:hAnsi="Times New Roman"/>
          <w:szCs w:val="24"/>
          <w:lang w:val="bs-Latn-BA"/>
        </w:rPr>
        <w:t xml:space="preserve"> </w:t>
      </w:r>
      <w:r w:rsidR="00960217" w:rsidRPr="00960217">
        <w:rPr>
          <w:rFonts w:ascii="Times New Roman" w:hAnsi="Times New Roman"/>
          <w:i/>
          <w:szCs w:val="24"/>
          <w:lang w:val="bs-Latn-BA"/>
        </w:rPr>
        <w:t>UNDP</w:t>
      </w:r>
      <w:r w:rsidR="0039301B">
        <w:rPr>
          <w:rFonts w:ascii="Times New Roman" w:hAnsi="Times New Roman"/>
          <w:szCs w:val="24"/>
          <w:lang w:val="bs-Latn-BA"/>
        </w:rPr>
        <w:t>-</w:t>
      </w:r>
      <w:r>
        <w:rPr>
          <w:rFonts w:ascii="Times New Roman" w:hAnsi="Times New Roman"/>
          <w:szCs w:val="24"/>
          <w:lang w:val="bs-Latn-BA"/>
        </w:rPr>
        <w:t>ом</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априлу</w:t>
      </w:r>
      <w:r w:rsidR="0042679D" w:rsidRPr="00295637">
        <w:rPr>
          <w:rFonts w:ascii="Times New Roman" w:hAnsi="Times New Roman"/>
          <w:szCs w:val="24"/>
          <w:lang w:val="bs-Latn-BA"/>
        </w:rPr>
        <w:t xml:space="preserve"> 2024. </w:t>
      </w:r>
      <w:r>
        <w:rPr>
          <w:rFonts w:ascii="Times New Roman" w:hAnsi="Times New Roman"/>
          <w:szCs w:val="24"/>
          <w:lang w:val="bs-Latn-BA"/>
        </w:rPr>
        <w:t>године</w:t>
      </w:r>
      <w:r w:rsidR="0042679D" w:rsidRPr="00295637">
        <w:rPr>
          <w:rFonts w:ascii="Times New Roman" w:hAnsi="Times New Roman"/>
          <w:szCs w:val="24"/>
          <w:lang w:val="bs-Latn-BA"/>
        </w:rPr>
        <w:t xml:space="preserve"> </w:t>
      </w:r>
      <w:r>
        <w:rPr>
          <w:rFonts w:ascii="Times New Roman" w:hAnsi="Times New Roman"/>
          <w:szCs w:val="24"/>
          <w:lang w:val="bs-Latn-BA"/>
        </w:rPr>
        <w:t>објавила</w:t>
      </w:r>
      <w:r w:rsidR="0042679D" w:rsidRPr="00295637">
        <w:rPr>
          <w:rFonts w:ascii="Times New Roman" w:hAnsi="Times New Roman"/>
          <w:szCs w:val="24"/>
          <w:lang w:val="bs-Latn-BA"/>
        </w:rPr>
        <w:t xml:space="preserve"> „</w:t>
      </w:r>
      <w:r>
        <w:rPr>
          <w:rFonts w:ascii="Times New Roman" w:hAnsi="Times New Roman"/>
          <w:szCs w:val="24"/>
          <w:lang w:val="bs-Latn-BA"/>
        </w:rPr>
        <w:t>Барометар</w:t>
      </w:r>
      <w:r w:rsidR="0042679D" w:rsidRPr="00295637">
        <w:rPr>
          <w:rFonts w:ascii="Times New Roman" w:hAnsi="Times New Roman"/>
          <w:szCs w:val="24"/>
          <w:lang w:val="bs-Latn-BA"/>
        </w:rPr>
        <w:t xml:space="preserve"> </w:t>
      </w:r>
      <w:r>
        <w:rPr>
          <w:rFonts w:ascii="Times New Roman" w:hAnsi="Times New Roman"/>
          <w:szCs w:val="24"/>
          <w:lang w:val="bs-Latn-BA"/>
        </w:rPr>
        <w:t>родне</w:t>
      </w:r>
      <w:r w:rsidR="0042679D"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Босни</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Херцеговини</w:t>
      </w:r>
      <w:r w:rsidR="0042679D" w:rsidRPr="00295637">
        <w:rPr>
          <w:rFonts w:ascii="Times New Roman" w:hAnsi="Times New Roman"/>
          <w:szCs w:val="24"/>
          <w:lang w:val="bs-Latn-BA"/>
        </w:rPr>
        <w:t xml:space="preserve">“, </w:t>
      </w:r>
      <w:r>
        <w:rPr>
          <w:rFonts w:ascii="Times New Roman" w:hAnsi="Times New Roman"/>
        </w:rPr>
        <w:t>свеобухватни</w:t>
      </w:r>
      <w:r w:rsidR="0039301B">
        <w:rPr>
          <w:rFonts w:ascii="Times New Roman" w:hAnsi="Times New Roman"/>
        </w:rPr>
        <w:t xml:space="preserve"> </w:t>
      </w:r>
      <w:r>
        <w:rPr>
          <w:rFonts w:ascii="Times New Roman" w:hAnsi="Times New Roman"/>
        </w:rPr>
        <w:t>истраживачки</w:t>
      </w:r>
      <w:r w:rsidR="0039301B">
        <w:rPr>
          <w:rFonts w:ascii="Times New Roman" w:hAnsi="Times New Roman"/>
        </w:rPr>
        <w:t xml:space="preserve"> </w:t>
      </w:r>
      <w:r>
        <w:rPr>
          <w:rFonts w:ascii="Times New Roman" w:hAnsi="Times New Roman"/>
        </w:rPr>
        <w:t>пројекат</w:t>
      </w:r>
      <w:r w:rsidR="0042679D" w:rsidRPr="00295637">
        <w:rPr>
          <w:rFonts w:ascii="Times New Roman" w:hAnsi="Times New Roman"/>
        </w:rPr>
        <w:t xml:space="preserve"> </w:t>
      </w:r>
      <w:r>
        <w:rPr>
          <w:rFonts w:ascii="Times New Roman" w:hAnsi="Times New Roman"/>
        </w:rPr>
        <w:t>који</w:t>
      </w:r>
      <w:r w:rsidR="0042679D" w:rsidRPr="00295637">
        <w:rPr>
          <w:rFonts w:ascii="Times New Roman" w:hAnsi="Times New Roman"/>
        </w:rPr>
        <w:t xml:space="preserve"> </w:t>
      </w:r>
      <w:r>
        <w:rPr>
          <w:rFonts w:ascii="Times New Roman" w:hAnsi="Times New Roman"/>
        </w:rPr>
        <w:t>истражује</w:t>
      </w:r>
      <w:r w:rsidR="0042679D" w:rsidRPr="00295637">
        <w:rPr>
          <w:rFonts w:ascii="Times New Roman" w:hAnsi="Times New Roman"/>
        </w:rPr>
        <w:t xml:space="preserve"> </w:t>
      </w:r>
      <w:r>
        <w:rPr>
          <w:rFonts w:ascii="Times New Roman" w:hAnsi="Times New Roman"/>
        </w:rPr>
        <w:t>свакодневну</w:t>
      </w:r>
      <w:r w:rsidR="0042679D" w:rsidRPr="00295637">
        <w:rPr>
          <w:rFonts w:ascii="Times New Roman" w:hAnsi="Times New Roman"/>
        </w:rPr>
        <w:t xml:space="preserve"> </w:t>
      </w:r>
      <w:r>
        <w:rPr>
          <w:rFonts w:ascii="Times New Roman" w:hAnsi="Times New Roman"/>
        </w:rPr>
        <w:t>праксу</w:t>
      </w:r>
      <w:r w:rsidR="0042679D" w:rsidRPr="00295637">
        <w:rPr>
          <w:rFonts w:ascii="Times New Roman" w:hAnsi="Times New Roman"/>
        </w:rPr>
        <w:t xml:space="preserve"> </w:t>
      </w:r>
      <w:r>
        <w:rPr>
          <w:rFonts w:ascii="Times New Roman" w:hAnsi="Times New Roman"/>
        </w:rPr>
        <w:t>у</w:t>
      </w:r>
      <w:r w:rsidR="0042679D" w:rsidRPr="00295637">
        <w:rPr>
          <w:rFonts w:ascii="Times New Roman" w:hAnsi="Times New Roman"/>
        </w:rPr>
        <w:t xml:space="preserve"> </w:t>
      </w:r>
      <w:r>
        <w:rPr>
          <w:rFonts w:ascii="Times New Roman" w:hAnsi="Times New Roman"/>
        </w:rPr>
        <w:t>домаћинству</w:t>
      </w:r>
      <w:r w:rsidR="0042679D" w:rsidRPr="00295637">
        <w:rPr>
          <w:rFonts w:ascii="Times New Roman" w:hAnsi="Times New Roman"/>
        </w:rPr>
        <w:t xml:space="preserve"> </w:t>
      </w:r>
      <w:r>
        <w:rPr>
          <w:rFonts w:ascii="Times New Roman" w:hAnsi="Times New Roman"/>
        </w:rPr>
        <w:t>и</w:t>
      </w:r>
      <w:r w:rsidR="0042679D" w:rsidRPr="00295637">
        <w:rPr>
          <w:rFonts w:ascii="Times New Roman" w:hAnsi="Times New Roman"/>
        </w:rPr>
        <w:t xml:space="preserve"> </w:t>
      </w:r>
      <w:r>
        <w:rPr>
          <w:rFonts w:ascii="Times New Roman" w:hAnsi="Times New Roman"/>
        </w:rPr>
        <w:t>подјелу</w:t>
      </w:r>
      <w:r w:rsidR="0042679D" w:rsidRPr="00295637">
        <w:rPr>
          <w:rFonts w:ascii="Times New Roman" w:hAnsi="Times New Roman"/>
        </w:rPr>
        <w:t xml:space="preserve"> </w:t>
      </w:r>
      <w:r>
        <w:rPr>
          <w:rFonts w:ascii="Times New Roman" w:hAnsi="Times New Roman"/>
        </w:rPr>
        <w:t>рада</w:t>
      </w:r>
      <w:r w:rsidR="0042679D" w:rsidRPr="00295637">
        <w:rPr>
          <w:rFonts w:ascii="Times New Roman" w:hAnsi="Times New Roman"/>
        </w:rPr>
        <w:t xml:space="preserve">, </w:t>
      </w:r>
      <w:r>
        <w:rPr>
          <w:rFonts w:ascii="Times New Roman" w:hAnsi="Times New Roman"/>
        </w:rPr>
        <w:t>динамику</w:t>
      </w:r>
      <w:r w:rsidR="0042679D" w:rsidRPr="00295637">
        <w:rPr>
          <w:rFonts w:ascii="Times New Roman" w:hAnsi="Times New Roman"/>
        </w:rPr>
        <w:t xml:space="preserve"> </w:t>
      </w:r>
      <w:r>
        <w:rPr>
          <w:rFonts w:ascii="Times New Roman" w:hAnsi="Times New Roman"/>
        </w:rPr>
        <w:t>моћи</w:t>
      </w:r>
      <w:r w:rsidR="0042679D" w:rsidRPr="00295637">
        <w:rPr>
          <w:rFonts w:ascii="Times New Roman" w:hAnsi="Times New Roman"/>
        </w:rPr>
        <w:t xml:space="preserve">, </w:t>
      </w:r>
      <w:r>
        <w:rPr>
          <w:rFonts w:ascii="Times New Roman" w:hAnsi="Times New Roman"/>
        </w:rPr>
        <w:t>те</w:t>
      </w:r>
      <w:r w:rsidR="0042679D" w:rsidRPr="00295637">
        <w:rPr>
          <w:rFonts w:ascii="Times New Roman" w:hAnsi="Times New Roman"/>
        </w:rPr>
        <w:t xml:space="preserve"> </w:t>
      </w:r>
      <w:r>
        <w:rPr>
          <w:rFonts w:ascii="Times New Roman" w:hAnsi="Times New Roman"/>
        </w:rPr>
        <w:t>сложену</w:t>
      </w:r>
      <w:r w:rsidR="0042679D" w:rsidRPr="00295637">
        <w:rPr>
          <w:rFonts w:ascii="Times New Roman" w:hAnsi="Times New Roman"/>
        </w:rPr>
        <w:t xml:space="preserve"> </w:t>
      </w:r>
      <w:r>
        <w:rPr>
          <w:rFonts w:ascii="Times New Roman" w:hAnsi="Times New Roman"/>
        </w:rPr>
        <w:t>структуру</w:t>
      </w:r>
      <w:r w:rsidR="0042679D" w:rsidRPr="00295637">
        <w:rPr>
          <w:rFonts w:ascii="Times New Roman" w:hAnsi="Times New Roman"/>
        </w:rPr>
        <w:t xml:space="preserve"> </w:t>
      </w:r>
      <w:r>
        <w:rPr>
          <w:rFonts w:ascii="Times New Roman" w:hAnsi="Times New Roman"/>
        </w:rPr>
        <w:t>друштвених</w:t>
      </w:r>
      <w:r w:rsidR="0042679D" w:rsidRPr="00295637">
        <w:rPr>
          <w:rFonts w:ascii="Times New Roman" w:hAnsi="Times New Roman"/>
        </w:rPr>
        <w:t xml:space="preserve"> </w:t>
      </w:r>
      <w:r>
        <w:rPr>
          <w:rFonts w:ascii="Times New Roman" w:hAnsi="Times New Roman"/>
        </w:rPr>
        <w:t>перцепција</w:t>
      </w:r>
      <w:r w:rsidR="0042679D" w:rsidRPr="00295637">
        <w:rPr>
          <w:rFonts w:ascii="Times New Roman" w:hAnsi="Times New Roman"/>
        </w:rPr>
        <w:t xml:space="preserve">, </w:t>
      </w:r>
      <w:r>
        <w:rPr>
          <w:rFonts w:ascii="Times New Roman" w:hAnsi="Times New Roman"/>
        </w:rPr>
        <w:t>а</w:t>
      </w:r>
      <w:r w:rsidR="0042679D" w:rsidRPr="00295637">
        <w:rPr>
          <w:rFonts w:ascii="Times New Roman" w:hAnsi="Times New Roman"/>
        </w:rPr>
        <w:t xml:space="preserve"> </w:t>
      </w:r>
      <w:r>
        <w:rPr>
          <w:rFonts w:ascii="Times New Roman" w:hAnsi="Times New Roman"/>
        </w:rPr>
        <w:t>освјетљава</w:t>
      </w:r>
      <w:r w:rsidR="0042679D" w:rsidRPr="00295637">
        <w:rPr>
          <w:rFonts w:ascii="Times New Roman" w:hAnsi="Times New Roman"/>
        </w:rPr>
        <w:t xml:space="preserve"> </w:t>
      </w:r>
      <w:r>
        <w:rPr>
          <w:rFonts w:ascii="Times New Roman" w:hAnsi="Times New Roman"/>
        </w:rPr>
        <w:t>и</w:t>
      </w:r>
      <w:r w:rsidR="0042679D" w:rsidRPr="00295637">
        <w:rPr>
          <w:rFonts w:ascii="Times New Roman" w:hAnsi="Times New Roman"/>
        </w:rPr>
        <w:t xml:space="preserve"> </w:t>
      </w:r>
      <w:r>
        <w:rPr>
          <w:rFonts w:ascii="Times New Roman" w:hAnsi="Times New Roman"/>
        </w:rPr>
        <w:t>присутне</w:t>
      </w:r>
      <w:r w:rsidR="0042679D" w:rsidRPr="00295637">
        <w:rPr>
          <w:rFonts w:ascii="Times New Roman" w:hAnsi="Times New Roman"/>
        </w:rPr>
        <w:t xml:space="preserve"> </w:t>
      </w:r>
      <w:r>
        <w:rPr>
          <w:rFonts w:ascii="Times New Roman" w:hAnsi="Times New Roman"/>
        </w:rPr>
        <w:t>стереотипе</w:t>
      </w:r>
      <w:r w:rsidR="0042679D" w:rsidRPr="00295637">
        <w:rPr>
          <w:rFonts w:ascii="Times New Roman" w:hAnsi="Times New Roman"/>
        </w:rPr>
        <w:t xml:space="preserve"> </w:t>
      </w:r>
      <w:r>
        <w:rPr>
          <w:rFonts w:ascii="Times New Roman" w:hAnsi="Times New Roman"/>
        </w:rPr>
        <w:t>и</w:t>
      </w:r>
      <w:r w:rsidR="0042679D" w:rsidRPr="00295637">
        <w:rPr>
          <w:rFonts w:ascii="Times New Roman" w:hAnsi="Times New Roman"/>
        </w:rPr>
        <w:t xml:space="preserve"> </w:t>
      </w:r>
      <w:r>
        <w:rPr>
          <w:rFonts w:ascii="Times New Roman" w:hAnsi="Times New Roman"/>
        </w:rPr>
        <w:t>норме</w:t>
      </w:r>
      <w:r w:rsidR="0042679D" w:rsidRPr="00295637">
        <w:rPr>
          <w:rFonts w:ascii="Times New Roman" w:hAnsi="Times New Roman"/>
        </w:rPr>
        <w:t xml:space="preserve"> </w:t>
      </w:r>
      <w:r>
        <w:rPr>
          <w:rFonts w:ascii="Times New Roman" w:hAnsi="Times New Roman"/>
        </w:rPr>
        <w:t>које</w:t>
      </w:r>
      <w:r w:rsidR="0042679D" w:rsidRPr="00295637">
        <w:rPr>
          <w:rFonts w:ascii="Times New Roman" w:hAnsi="Times New Roman"/>
        </w:rPr>
        <w:t xml:space="preserve"> </w:t>
      </w:r>
      <w:r>
        <w:rPr>
          <w:rFonts w:ascii="Times New Roman" w:hAnsi="Times New Roman"/>
        </w:rPr>
        <w:t>обликују</w:t>
      </w:r>
      <w:r w:rsidR="0042679D" w:rsidRPr="00295637">
        <w:rPr>
          <w:rFonts w:ascii="Times New Roman" w:hAnsi="Times New Roman"/>
        </w:rPr>
        <w:t xml:space="preserve"> </w:t>
      </w:r>
      <w:r>
        <w:rPr>
          <w:rFonts w:ascii="Times New Roman" w:hAnsi="Times New Roman"/>
        </w:rPr>
        <w:t>и</w:t>
      </w:r>
      <w:r w:rsidR="0042679D" w:rsidRPr="00295637">
        <w:rPr>
          <w:rFonts w:ascii="Times New Roman" w:hAnsi="Times New Roman"/>
        </w:rPr>
        <w:t xml:space="preserve"> </w:t>
      </w:r>
      <w:r>
        <w:rPr>
          <w:rFonts w:ascii="Times New Roman" w:hAnsi="Times New Roman"/>
        </w:rPr>
        <w:t>утичу</w:t>
      </w:r>
      <w:r w:rsidR="0042679D" w:rsidRPr="00295637">
        <w:rPr>
          <w:rFonts w:ascii="Times New Roman" w:hAnsi="Times New Roman"/>
        </w:rPr>
        <w:t xml:space="preserve"> </w:t>
      </w:r>
      <w:r>
        <w:rPr>
          <w:rFonts w:ascii="Times New Roman" w:hAnsi="Times New Roman"/>
        </w:rPr>
        <w:t>на</w:t>
      </w:r>
      <w:r w:rsidR="0042679D" w:rsidRPr="00295637">
        <w:rPr>
          <w:rFonts w:ascii="Times New Roman" w:hAnsi="Times New Roman"/>
        </w:rPr>
        <w:t xml:space="preserve"> </w:t>
      </w:r>
      <w:r>
        <w:rPr>
          <w:rFonts w:ascii="Times New Roman" w:hAnsi="Times New Roman"/>
        </w:rPr>
        <w:t>животе</w:t>
      </w:r>
      <w:r w:rsidR="0042679D" w:rsidRPr="00295637">
        <w:rPr>
          <w:rFonts w:ascii="Times New Roman" w:hAnsi="Times New Roman"/>
        </w:rPr>
        <w:t xml:space="preserve"> </w:t>
      </w:r>
      <w:r>
        <w:rPr>
          <w:rFonts w:ascii="Times New Roman" w:hAnsi="Times New Roman"/>
        </w:rPr>
        <w:t>жена</w:t>
      </w:r>
      <w:r w:rsidR="0042679D" w:rsidRPr="00295637">
        <w:rPr>
          <w:rFonts w:ascii="Times New Roman" w:hAnsi="Times New Roman"/>
        </w:rPr>
        <w:t xml:space="preserve"> </w:t>
      </w:r>
      <w:r>
        <w:rPr>
          <w:rFonts w:ascii="Times New Roman" w:hAnsi="Times New Roman"/>
        </w:rPr>
        <w:t>и</w:t>
      </w:r>
      <w:r w:rsidR="0042679D" w:rsidRPr="00295637">
        <w:rPr>
          <w:rFonts w:ascii="Times New Roman" w:hAnsi="Times New Roman"/>
        </w:rPr>
        <w:t xml:space="preserve"> </w:t>
      </w:r>
      <w:r>
        <w:rPr>
          <w:rFonts w:ascii="Times New Roman" w:hAnsi="Times New Roman"/>
        </w:rPr>
        <w:t>мушкараца</w:t>
      </w:r>
      <w:r w:rsidR="0042679D" w:rsidRPr="00295637">
        <w:rPr>
          <w:rFonts w:ascii="Times New Roman" w:hAnsi="Times New Roman"/>
        </w:rPr>
        <w:t xml:space="preserve"> </w:t>
      </w:r>
      <w:r>
        <w:rPr>
          <w:rFonts w:ascii="Times New Roman" w:hAnsi="Times New Roman"/>
        </w:rPr>
        <w:t>у</w:t>
      </w:r>
      <w:r w:rsidR="0042679D" w:rsidRPr="00295637">
        <w:rPr>
          <w:rFonts w:ascii="Times New Roman" w:hAnsi="Times New Roman"/>
        </w:rPr>
        <w:t xml:space="preserve"> </w:t>
      </w:r>
      <w:r>
        <w:rPr>
          <w:rFonts w:ascii="Times New Roman" w:hAnsi="Times New Roman"/>
        </w:rPr>
        <w:t>Босни</w:t>
      </w:r>
      <w:r w:rsidR="0042679D" w:rsidRPr="00295637">
        <w:rPr>
          <w:rFonts w:ascii="Times New Roman" w:hAnsi="Times New Roman"/>
        </w:rPr>
        <w:t xml:space="preserve"> </w:t>
      </w:r>
      <w:r>
        <w:rPr>
          <w:rFonts w:ascii="Times New Roman" w:hAnsi="Times New Roman"/>
        </w:rPr>
        <w:t>и</w:t>
      </w:r>
      <w:r w:rsidR="0042679D" w:rsidRPr="00295637">
        <w:rPr>
          <w:rFonts w:ascii="Times New Roman" w:hAnsi="Times New Roman"/>
        </w:rPr>
        <w:t xml:space="preserve"> </w:t>
      </w:r>
      <w:r>
        <w:rPr>
          <w:rFonts w:ascii="Times New Roman" w:hAnsi="Times New Roman"/>
        </w:rPr>
        <w:t>Херцеговини</w:t>
      </w:r>
      <w:r w:rsidR="0042679D" w:rsidRPr="00295637">
        <w:rPr>
          <w:rFonts w:ascii="Times New Roman" w:hAnsi="Times New Roman"/>
        </w:rPr>
        <w:t>.</w:t>
      </w:r>
    </w:p>
    <w:p w:rsidR="0042679D" w:rsidRPr="00B933C4" w:rsidRDefault="0042679D" w:rsidP="0086268D">
      <w:pPr>
        <w:pStyle w:val="ListParagraph"/>
        <w:rPr>
          <w:rFonts w:ascii="Times New Roman" w:hAnsi="Times New Roman"/>
          <w:szCs w:val="24"/>
        </w:rPr>
      </w:pPr>
    </w:p>
    <w:p w:rsidR="0042679D" w:rsidRPr="00B933C4" w:rsidRDefault="00C6214E" w:rsidP="0086268D">
      <w:pPr>
        <w:pStyle w:val="ListParagraph"/>
        <w:numPr>
          <w:ilvl w:val="0"/>
          <w:numId w:val="17"/>
        </w:numPr>
        <w:contextualSpacing/>
        <w:jc w:val="both"/>
        <w:rPr>
          <w:rFonts w:ascii="Times New Roman" w:hAnsi="Times New Roman"/>
          <w:lang w:val="bs-Latn-BA"/>
        </w:rPr>
      </w:pPr>
      <w:r>
        <w:rPr>
          <w:rFonts w:ascii="Times New Roman" w:hAnsi="Times New Roman"/>
          <w:szCs w:val="24"/>
          <w:lang w:val="bs-Latn-BA"/>
        </w:rPr>
        <w:t>Савјетодавним</w:t>
      </w:r>
      <w:r w:rsidR="0042679D" w:rsidRPr="00295637">
        <w:rPr>
          <w:rFonts w:ascii="Times New Roman" w:hAnsi="Times New Roman"/>
          <w:szCs w:val="24"/>
          <w:lang w:val="bs-Latn-BA"/>
        </w:rPr>
        <w:t xml:space="preserve"> </w:t>
      </w:r>
      <w:r>
        <w:rPr>
          <w:rFonts w:ascii="Times New Roman" w:hAnsi="Times New Roman"/>
          <w:szCs w:val="24"/>
          <w:lang w:val="bs-Latn-BA"/>
        </w:rPr>
        <w:t>одбором</w:t>
      </w:r>
      <w:r w:rsidR="0042679D" w:rsidRPr="00295637">
        <w:rPr>
          <w:rFonts w:ascii="Times New Roman" w:hAnsi="Times New Roman"/>
          <w:szCs w:val="24"/>
          <w:lang w:val="bs-Latn-BA"/>
        </w:rPr>
        <w:t xml:space="preserve"> </w:t>
      </w:r>
      <w:r>
        <w:rPr>
          <w:rFonts w:ascii="Times New Roman" w:hAnsi="Times New Roman"/>
          <w:szCs w:val="24"/>
          <w:lang w:val="hr-HR"/>
        </w:rPr>
        <w:t>за</w:t>
      </w:r>
      <w:r w:rsidR="0042679D" w:rsidRPr="00295637">
        <w:rPr>
          <w:rFonts w:ascii="Times New Roman" w:hAnsi="Times New Roman"/>
          <w:szCs w:val="24"/>
          <w:lang w:val="hr-HR"/>
        </w:rPr>
        <w:t xml:space="preserve"> </w:t>
      </w:r>
      <w:r>
        <w:rPr>
          <w:rFonts w:ascii="Times New Roman" w:hAnsi="Times New Roman"/>
          <w:szCs w:val="24"/>
          <w:lang w:val="hr-HR"/>
        </w:rPr>
        <w:t>бранитељ</w:t>
      </w:r>
      <w:r w:rsidR="00960217">
        <w:rPr>
          <w:rFonts w:ascii="Times New Roman" w:hAnsi="Times New Roman"/>
          <w:szCs w:val="24"/>
          <w:lang w:val="sr-Cyrl-BA"/>
        </w:rPr>
        <w:t>ке</w:t>
      </w:r>
      <w:r w:rsidR="0042679D" w:rsidRPr="00295637">
        <w:rPr>
          <w:rFonts w:ascii="Times New Roman" w:hAnsi="Times New Roman"/>
          <w:szCs w:val="24"/>
          <w:lang w:val="hr-HR"/>
        </w:rPr>
        <w:t xml:space="preserve"> </w:t>
      </w:r>
      <w:r>
        <w:rPr>
          <w:rFonts w:ascii="Times New Roman" w:hAnsi="Times New Roman"/>
          <w:szCs w:val="24"/>
          <w:lang w:val="hr-HR"/>
        </w:rPr>
        <w:t>људских</w:t>
      </w:r>
      <w:r w:rsidR="0042679D" w:rsidRPr="00295637">
        <w:rPr>
          <w:rFonts w:ascii="Times New Roman" w:hAnsi="Times New Roman"/>
          <w:szCs w:val="24"/>
          <w:lang w:val="hr-HR"/>
        </w:rPr>
        <w:t xml:space="preserve"> </w:t>
      </w:r>
      <w:r>
        <w:rPr>
          <w:rFonts w:ascii="Times New Roman" w:hAnsi="Times New Roman"/>
          <w:szCs w:val="24"/>
          <w:lang w:val="hr-HR"/>
        </w:rPr>
        <w:t>права</w:t>
      </w:r>
      <w:r w:rsidR="0042679D" w:rsidRPr="00295637">
        <w:rPr>
          <w:rFonts w:ascii="Times New Roman" w:hAnsi="Times New Roman"/>
          <w:szCs w:val="24"/>
          <w:lang w:val="hr-HR"/>
        </w:rPr>
        <w:t xml:space="preserve"> </w:t>
      </w:r>
      <w:r>
        <w:rPr>
          <w:rFonts w:ascii="Times New Roman" w:hAnsi="Times New Roman"/>
          <w:szCs w:val="24"/>
          <w:lang w:val="hr-HR"/>
        </w:rPr>
        <w:t>при</w:t>
      </w:r>
      <w:r w:rsidR="0042679D" w:rsidRPr="00295637">
        <w:rPr>
          <w:rFonts w:ascii="Times New Roman" w:hAnsi="Times New Roman"/>
          <w:szCs w:val="24"/>
          <w:lang w:val="hr-HR"/>
        </w:rPr>
        <w:t xml:space="preserve"> </w:t>
      </w:r>
      <w:r>
        <w:rPr>
          <w:rFonts w:ascii="Times New Roman" w:hAnsi="Times New Roman"/>
          <w:szCs w:val="24"/>
          <w:lang w:val="hr-HR"/>
        </w:rPr>
        <w:t>МЉПИ</w:t>
      </w:r>
      <w:r w:rsidR="0042679D">
        <w:rPr>
          <w:rFonts w:ascii="Times New Roman" w:hAnsi="Times New Roman"/>
          <w:szCs w:val="24"/>
          <w:lang w:val="hr-HR"/>
        </w:rPr>
        <w:t xml:space="preserve"> </w:t>
      </w:r>
      <w:r>
        <w:rPr>
          <w:rFonts w:ascii="Times New Roman" w:hAnsi="Times New Roman"/>
          <w:szCs w:val="24"/>
          <w:lang w:val="hr-HR"/>
        </w:rPr>
        <w:t>БиХ</w:t>
      </w:r>
      <w:r w:rsidR="0042679D">
        <w:rPr>
          <w:rFonts w:ascii="Times New Roman" w:hAnsi="Times New Roman"/>
          <w:szCs w:val="24"/>
          <w:lang w:val="hr-HR"/>
        </w:rPr>
        <w:t xml:space="preserve"> </w:t>
      </w:r>
      <w:r>
        <w:rPr>
          <w:rFonts w:ascii="Times New Roman" w:hAnsi="Times New Roman"/>
          <w:szCs w:val="24"/>
          <w:lang w:val="hr-HR"/>
        </w:rPr>
        <w:t>координи</w:t>
      </w:r>
      <w:r w:rsidR="00960217">
        <w:rPr>
          <w:rFonts w:ascii="Times New Roman" w:hAnsi="Times New Roman"/>
          <w:szCs w:val="24"/>
          <w:lang w:val="sr-Cyrl-BA"/>
        </w:rPr>
        <w:t>ше</w:t>
      </w:r>
      <w:r w:rsidR="0042679D">
        <w:rPr>
          <w:rFonts w:ascii="Times New Roman" w:hAnsi="Times New Roman"/>
          <w:szCs w:val="24"/>
          <w:lang w:val="hr-HR"/>
        </w:rPr>
        <w:t xml:space="preserve"> </w:t>
      </w:r>
      <w:r>
        <w:rPr>
          <w:rFonts w:ascii="Times New Roman" w:hAnsi="Times New Roman"/>
          <w:szCs w:val="24"/>
          <w:lang w:val="bs-Latn-BA"/>
        </w:rPr>
        <w:t>АР</w:t>
      </w:r>
      <w:r w:rsidR="00960217">
        <w:rPr>
          <w:rFonts w:ascii="Times New Roman" w:hAnsi="Times New Roman"/>
          <w:szCs w:val="24"/>
          <w:lang w:val="sr-Cyrl-BA"/>
        </w:rPr>
        <w:t>П</w:t>
      </w:r>
      <w:r w:rsidR="0039301B">
        <w:rPr>
          <w:rFonts w:ascii="Times New Roman" w:hAnsi="Times New Roman"/>
          <w:szCs w:val="24"/>
          <w:lang w:val="bs-Latn-BA"/>
        </w:rPr>
        <w:t xml:space="preserve"> </w:t>
      </w:r>
      <w:r>
        <w:rPr>
          <w:rFonts w:ascii="Times New Roman" w:hAnsi="Times New Roman"/>
          <w:szCs w:val="24"/>
          <w:lang w:val="bs-Latn-BA"/>
        </w:rPr>
        <w:t>БиХ</w:t>
      </w:r>
      <w:r w:rsidR="0039301B">
        <w:rPr>
          <w:rFonts w:ascii="Times New Roman" w:hAnsi="Times New Roman"/>
          <w:szCs w:val="24"/>
          <w:lang w:val="bs-Latn-BA"/>
        </w:rPr>
        <w:t xml:space="preserve"> </w:t>
      </w:r>
      <w:r>
        <w:rPr>
          <w:rFonts w:ascii="Times New Roman" w:hAnsi="Times New Roman"/>
          <w:szCs w:val="24"/>
          <w:lang w:val="bs-Latn-BA"/>
        </w:rPr>
        <w:t>МЉПИ</w:t>
      </w:r>
      <w:r w:rsidR="0039301B">
        <w:rPr>
          <w:rFonts w:ascii="Times New Roman" w:hAnsi="Times New Roman"/>
          <w:szCs w:val="24"/>
          <w:lang w:val="bs-Latn-BA"/>
        </w:rPr>
        <w:t xml:space="preserve"> </w:t>
      </w:r>
      <w:r>
        <w:rPr>
          <w:rFonts w:ascii="Times New Roman" w:hAnsi="Times New Roman"/>
          <w:szCs w:val="24"/>
          <w:lang w:val="bs-Latn-BA"/>
        </w:rPr>
        <w:t>БиХ</w:t>
      </w:r>
      <w:r w:rsidR="0042679D">
        <w:rPr>
          <w:rFonts w:ascii="Times New Roman" w:hAnsi="Times New Roman"/>
          <w:szCs w:val="24"/>
          <w:lang w:val="bs-Latn-BA"/>
        </w:rPr>
        <w:t>.</w:t>
      </w:r>
      <w:r w:rsidR="0042679D" w:rsidRPr="00295637">
        <w:rPr>
          <w:rFonts w:ascii="Times New Roman" w:hAnsi="Times New Roman"/>
          <w:szCs w:val="24"/>
          <w:lang w:val="hr-HR"/>
        </w:rPr>
        <w:t xml:space="preserve"> </w:t>
      </w:r>
      <w:r>
        <w:rPr>
          <w:rFonts w:ascii="Times New Roman" w:hAnsi="Times New Roman"/>
          <w:szCs w:val="24"/>
        </w:rPr>
        <w:t>Осим</w:t>
      </w:r>
      <w:r w:rsidR="0042679D" w:rsidRPr="00295637">
        <w:rPr>
          <w:rFonts w:ascii="Times New Roman" w:hAnsi="Times New Roman"/>
          <w:szCs w:val="24"/>
        </w:rPr>
        <w:t xml:space="preserve"> </w:t>
      </w:r>
      <w:r>
        <w:rPr>
          <w:rFonts w:ascii="Times New Roman" w:hAnsi="Times New Roman"/>
          <w:szCs w:val="24"/>
        </w:rPr>
        <w:t>одржавања</w:t>
      </w:r>
      <w:r w:rsidR="0042679D" w:rsidRPr="00295637">
        <w:rPr>
          <w:rFonts w:ascii="Times New Roman" w:hAnsi="Times New Roman"/>
          <w:szCs w:val="24"/>
        </w:rPr>
        <w:t xml:space="preserve"> </w:t>
      </w:r>
      <w:r>
        <w:rPr>
          <w:rFonts w:ascii="Times New Roman" w:hAnsi="Times New Roman"/>
          <w:szCs w:val="24"/>
        </w:rPr>
        <w:t>редовних</w:t>
      </w:r>
      <w:r w:rsidR="0042679D" w:rsidRPr="00295637">
        <w:rPr>
          <w:rFonts w:ascii="Times New Roman" w:hAnsi="Times New Roman"/>
          <w:szCs w:val="24"/>
        </w:rPr>
        <w:t xml:space="preserve"> </w:t>
      </w:r>
      <w:r>
        <w:rPr>
          <w:rFonts w:ascii="Times New Roman" w:hAnsi="Times New Roman"/>
          <w:szCs w:val="24"/>
        </w:rPr>
        <w:t>састанака</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којима</w:t>
      </w:r>
      <w:r w:rsidR="0042679D" w:rsidRPr="00295637">
        <w:rPr>
          <w:rFonts w:ascii="Times New Roman" w:hAnsi="Times New Roman"/>
          <w:szCs w:val="24"/>
        </w:rPr>
        <w:t xml:space="preserve"> </w:t>
      </w:r>
      <w:r>
        <w:rPr>
          <w:rFonts w:ascii="Times New Roman" w:hAnsi="Times New Roman"/>
          <w:szCs w:val="24"/>
        </w:rPr>
        <w:t>се</w:t>
      </w:r>
      <w:r w:rsidR="0042679D" w:rsidRPr="00295637">
        <w:rPr>
          <w:rFonts w:ascii="Times New Roman" w:hAnsi="Times New Roman"/>
          <w:szCs w:val="24"/>
        </w:rPr>
        <w:t xml:space="preserve"> </w:t>
      </w:r>
      <w:r>
        <w:rPr>
          <w:rFonts w:ascii="Times New Roman" w:hAnsi="Times New Roman"/>
          <w:szCs w:val="24"/>
        </w:rPr>
        <w:t>дискутује</w:t>
      </w:r>
      <w:r w:rsidR="0042679D" w:rsidRPr="00295637">
        <w:rPr>
          <w:rFonts w:ascii="Times New Roman" w:hAnsi="Times New Roman"/>
          <w:szCs w:val="24"/>
        </w:rPr>
        <w:t xml:space="preserve"> </w:t>
      </w:r>
      <w:r>
        <w:rPr>
          <w:rFonts w:ascii="Times New Roman" w:hAnsi="Times New Roman"/>
          <w:szCs w:val="24"/>
        </w:rPr>
        <w:t>о</w:t>
      </w:r>
      <w:r w:rsidR="0042679D" w:rsidRPr="00295637">
        <w:rPr>
          <w:rFonts w:ascii="Times New Roman" w:hAnsi="Times New Roman"/>
          <w:szCs w:val="24"/>
        </w:rPr>
        <w:t xml:space="preserve"> </w:t>
      </w:r>
      <w:r>
        <w:rPr>
          <w:rFonts w:ascii="Times New Roman" w:hAnsi="Times New Roman"/>
          <w:szCs w:val="24"/>
        </w:rPr>
        <w:t>модалитетима</w:t>
      </w:r>
      <w:r w:rsidR="0042679D" w:rsidRPr="00295637">
        <w:rPr>
          <w:rFonts w:ascii="Times New Roman" w:hAnsi="Times New Roman"/>
          <w:szCs w:val="24"/>
        </w:rPr>
        <w:t xml:space="preserve"> </w:t>
      </w:r>
      <w:r>
        <w:rPr>
          <w:rFonts w:ascii="Times New Roman" w:hAnsi="Times New Roman"/>
          <w:szCs w:val="24"/>
        </w:rPr>
        <w:t>координације</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случајевима</w:t>
      </w:r>
      <w:r w:rsidR="0042679D" w:rsidRPr="00295637">
        <w:rPr>
          <w:rFonts w:ascii="Times New Roman" w:hAnsi="Times New Roman"/>
          <w:szCs w:val="24"/>
        </w:rPr>
        <w:t xml:space="preserve"> </w:t>
      </w:r>
      <w:r>
        <w:rPr>
          <w:rFonts w:ascii="Times New Roman" w:hAnsi="Times New Roman"/>
          <w:szCs w:val="24"/>
        </w:rPr>
        <w:t>дискриминације</w:t>
      </w:r>
      <w:r w:rsidR="0042679D" w:rsidRPr="00295637">
        <w:rPr>
          <w:rFonts w:ascii="Times New Roman" w:hAnsi="Times New Roman"/>
          <w:szCs w:val="24"/>
        </w:rPr>
        <w:t xml:space="preserve"> </w:t>
      </w:r>
      <w:r>
        <w:rPr>
          <w:rFonts w:ascii="Times New Roman" w:hAnsi="Times New Roman"/>
          <w:szCs w:val="24"/>
        </w:rPr>
        <w:t>жена</w:t>
      </w:r>
      <w:r w:rsidR="0042679D" w:rsidRPr="00295637">
        <w:rPr>
          <w:rFonts w:ascii="Times New Roman" w:hAnsi="Times New Roman"/>
          <w:szCs w:val="24"/>
        </w:rPr>
        <w:t>-</w:t>
      </w:r>
      <w:r>
        <w:rPr>
          <w:rFonts w:ascii="Times New Roman" w:hAnsi="Times New Roman"/>
          <w:szCs w:val="24"/>
        </w:rPr>
        <w:t>бранитељ</w:t>
      </w:r>
      <w:r w:rsidR="00960217">
        <w:rPr>
          <w:rFonts w:ascii="Times New Roman" w:hAnsi="Times New Roman"/>
          <w:szCs w:val="24"/>
          <w:lang w:val="sr-Cyrl-BA"/>
        </w:rPr>
        <w:t>ки</w:t>
      </w:r>
      <w:r w:rsidR="0042679D" w:rsidRPr="00295637">
        <w:rPr>
          <w:rFonts w:ascii="Times New Roman" w:hAnsi="Times New Roman"/>
          <w:szCs w:val="24"/>
        </w:rPr>
        <w:t xml:space="preserve"> </w:t>
      </w:r>
      <w:r>
        <w:rPr>
          <w:rFonts w:ascii="Times New Roman" w:hAnsi="Times New Roman"/>
          <w:szCs w:val="24"/>
        </w:rPr>
        <w:t>људских</w:t>
      </w:r>
      <w:r w:rsidR="0042679D" w:rsidRPr="00295637">
        <w:rPr>
          <w:rFonts w:ascii="Times New Roman" w:hAnsi="Times New Roman"/>
          <w:szCs w:val="24"/>
        </w:rPr>
        <w:t xml:space="preserve"> </w:t>
      </w:r>
      <w:r>
        <w:rPr>
          <w:rFonts w:ascii="Times New Roman" w:hAnsi="Times New Roman"/>
          <w:szCs w:val="24"/>
        </w:rPr>
        <w:t>права</w:t>
      </w:r>
      <w:r w:rsidR="0042679D" w:rsidRPr="00295637">
        <w:rPr>
          <w:rFonts w:ascii="Times New Roman" w:hAnsi="Times New Roman"/>
          <w:szCs w:val="24"/>
        </w:rPr>
        <w:t xml:space="preserve">, </w:t>
      </w:r>
      <w:r>
        <w:rPr>
          <w:rFonts w:ascii="Times New Roman" w:hAnsi="Times New Roman"/>
          <w:szCs w:val="24"/>
        </w:rPr>
        <w:t>Савјетодавни</w:t>
      </w:r>
      <w:r w:rsidR="0042679D" w:rsidRPr="00295637">
        <w:rPr>
          <w:rFonts w:ascii="Times New Roman" w:hAnsi="Times New Roman"/>
          <w:szCs w:val="24"/>
        </w:rPr>
        <w:t xml:space="preserve"> </w:t>
      </w:r>
      <w:r>
        <w:rPr>
          <w:rFonts w:ascii="Times New Roman" w:hAnsi="Times New Roman"/>
          <w:szCs w:val="24"/>
        </w:rPr>
        <w:t>одбор</w:t>
      </w:r>
      <w:r w:rsidR="0042679D" w:rsidRPr="00295637">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Pr>
          <w:rFonts w:ascii="Times New Roman" w:hAnsi="Times New Roman"/>
          <w:szCs w:val="24"/>
        </w:rPr>
        <w:t>израдио</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усвојио</w:t>
      </w:r>
      <w:r w:rsidR="0042679D" w:rsidRPr="00295637">
        <w:rPr>
          <w:rFonts w:ascii="Times New Roman" w:hAnsi="Times New Roman"/>
          <w:szCs w:val="24"/>
        </w:rPr>
        <w:t xml:space="preserve"> </w:t>
      </w:r>
      <w:r>
        <w:rPr>
          <w:rFonts w:ascii="Times New Roman" w:hAnsi="Times New Roman"/>
          <w:szCs w:val="24"/>
        </w:rPr>
        <w:t>Водич</w:t>
      </w:r>
      <w:r w:rsidR="0042679D" w:rsidRPr="00295637">
        <w:rPr>
          <w:rFonts w:ascii="Times New Roman" w:hAnsi="Times New Roman"/>
          <w:szCs w:val="24"/>
        </w:rPr>
        <w:t xml:space="preserve"> </w:t>
      </w:r>
      <w:r>
        <w:rPr>
          <w:rFonts w:ascii="Times New Roman" w:hAnsi="Times New Roman"/>
          <w:szCs w:val="24"/>
        </w:rPr>
        <w:t>за</w:t>
      </w:r>
      <w:r w:rsidR="0042679D" w:rsidRPr="00295637">
        <w:rPr>
          <w:rFonts w:ascii="Times New Roman" w:hAnsi="Times New Roman"/>
          <w:szCs w:val="24"/>
        </w:rPr>
        <w:t xml:space="preserve"> </w:t>
      </w:r>
      <w:r>
        <w:rPr>
          <w:rFonts w:ascii="Times New Roman" w:hAnsi="Times New Roman"/>
          <w:szCs w:val="24"/>
        </w:rPr>
        <w:t>управљање</w:t>
      </w:r>
      <w:r w:rsidR="0042679D" w:rsidRPr="00295637">
        <w:rPr>
          <w:rFonts w:ascii="Times New Roman" w:hAnsi="Times New Roman"/>
          <w:szCs w:val="24"/>
        </w:rPr>
        <w:t xml:space="preserve"> </w:t>
      </w:r>
      <w:r>
        <w:rPr>
          <w:rFonts w:ascii="Times New Roman" w:hAnsi="Times New Roman"/>
          <w:szCs w:val="24"/>
        </w:rPr>
        <w:t>случајевима</w:t>
      </w:r>
      <w:r w:rsidR="0042679D" w:rsidRPr="00295637">
        <w:rPr>
          <w:rFonts w:ascii="Times New Roman" w:hAnsi="Times New Roman"/>
          <w:szCs w:val="24"/>
        </w:rPr>
        <w:t xml:space="preserve"> </w:t>
      </w:r>
      <w:r>
        <w:rPr>
          <w:rFonts w:ascii="Times New Roman" w:hAnsi="Times New Roman"/>
          <w:szCs w:val="24"/>
        </w:rPr>
        <w:t>кршења</w:t>
      </w:r>
      <w:r w:rsidR="0042679D" w:rsidRPr="00295637">
        <w:rPr>
          <w:rFonts w:ascii="Times New Roman" w:hAnsi="Times New Roman"/>
          <w:szCs w:val="24"/>
        </w:rPr>
        <w:t xml:space="preserve"> </w:t>
      </w:r>
      <w:r>
        <w:rPr>
          <w:rFonts w:ascii="Times New Roman" w:hAnsi="Times New Roman"/>
          <w:szCs w:val="24"/>
        </w:rPr>
        <w:t>права</w:t>
      </w:r>
      <w:r w:rsidR="0042679D" w:rsidRPr="00295637">
        <w:rPr>
          <w:rFonts w:ascii="Times New Roman" w:hAnsi="Times New Roman"/>
          <w:szCs w:val="24"/>
        </w:rPr>
        <w:t xml:space="preserve"> </w:t>
      </w:r>
      <w:r>
        <w:rPr>
          <w:rFonts w:ascii="Times New Roman" w:hAnsi="Times New Roman"/>
          <w:szCs w:val="24"/>
        </w:rPr>
        <w:t>бранитељ</w:t>
      </w:r>
      <w:r w:rsidR="00960217">
        <w:rPr>
          <w:rFonts w:ascii="Times New Roman" w:hAnsi="Times New Roman"/>
          <w:szCs w:val="24"/>
          <w:lang w:val="sr-Cyrl-BA"/>
        </w:rPr>
        <w:t>ки</w:t>
      </w:r>
      <w:r w:rsidR="0042679D" w:rsidRPr="00295637">
        <w:rPr>
          <w:rFonts w:ascii="Times New Roman" w:hAnsi="Times New Roman"/>
          <w:szCs w:val="24"/>
        </w:rPr>
        <w:t xml:space="preserve"> </w:t>
      </w:r>
      <w:r>
        <w:rPr>
          <w:rFonts w:ascii="Times New Roman" w:hAnsi="Times New Roman"/>
          <w:szCs w:val="24"/>
        </w:rPr>
        <w:t>људских</w:t>
      </w:r>
      <w:r w:rsidR="0042679D" w:rsidRPr="00295637">
        <w:rPr>
          <w:rFonts w:ascii="Times New Roman" w:hAnsi="Times New Roman"/>
          <w:szCs w:val="24"/>
        </w:rPr>
        <w:t xml:space="preserve"> </w:t>
      </w:r>
      <w:r>
        <w:rPr>
          <w:rFonts w:ascii="Times New Roman" w:hAnsi="Times New Roman"/>
          <w:szCs w:val="24"/>
        </w:rPr>
        <w:t>права</w:t>
      </w:r>
      <w:r w:rsidR="0042679D" w:rsidRPr="00295637">
        <w:rPr>
          <w:rFonts w:ascii="Times New Roman" w:hAnsi="Times New Roman"/>
          <w:szCs w:val="24"/>
        </w:rPr>
        <w:t xml:space="preserve">. </w:t>
      </w:r>
    </w:p>
    <w:p w:rsidR="0042679D" w:rsidRPr="00541667" w:rsidRDefault="0042679D" w:rsidP="0086268D">
      <w:pPr>
        <w:rPr>
          <w:rFonts w:ascii="Times New Roman" w:hAnsi="Times New Roman"/>
          <w:lang w:val="bs-Latn-BA"/>
        </w:rPr>
      </w:pPr>
    </w:p>
    <w:p w:rsidR="0042679D" w:rsidRPr="00B933C4" w:rsidRDefault="00C6214E" w:rsidP="0086268D">
      <w:pPr>
        <w:pStyle w:val="ListParagraph"/>
        <w:numPr>
          <w:ilvl w:val="0"/>
          <w:numId w:val="17"/>
        </w:numPr>
        <w:contextualSpacing/>
        <w:jc w:val="both"/>
        <w:rPr>
          <w:rFonts w:ascii="Times New Roman" w:hAnsi="Times New Roman"/>
          <w:lang w:val="bs-Latn-BA"/>
        </w:rPr>
      </w:pPr>
      <w:r>
        <w:rPr>
          <w:rFonts w:ascii="Times New Roman" w:hAnsi="Times New Roman"/>
          <w:szCs w:val="24"/>
          <w:lang w:val="bs-Latn-BA"/>
        </w:rPr>
        <w:t>АР</w:t>
      </w:r>
      <w:r w:rsidR="00960217">
        <w:rPr>
          <w:rFonts w:ascii="Times New Roman" w:hAnsi="Times New Roman"/>
          <w:szCs w:val="24"/>
          <w:lang w:val="sr-Cyrl-BA"/>
        </w:rPr>
        <w:t>П</w:t>
      </w:r>
      <w:r w:rsidR="0039301B">
        <w:rPr>
          <w:rFonts w:ascii="Times New Roman" w:hAnsi="Times New Roman"/>
          <w:szCs w:val="24"/>
          <w:lang w:val="bs-Latn-BA"/>
        </w:rPr>
        <w:t xml:space="preserve"> </w:t>
      </w:r>
      <w:r>
        <w:rPr>
          <w:rFonts w:ascii="Times New Roman" w:hAnsi="Times New Roman"/>
          <w:szCs w:val="24"/>
          <w:lang w:val="bs-Latn-BA"/>
        </w:rPr>
        <w:t>БиХ</w:t>
      </w:r>
      <w:r w:rsidR="0039301B">
        <w:rPr>
          <w:rFonts w:ascii="Times New Roman" w:hAnsi="Times New Roman"/>
          <w:szCs w:val="24"/>
          <w:lang w:val="bs-Latn-BA"/>
        </w:rPr>
        <w:t xml:space="preserve"> </w:t>
      </w:r>
      <w:r>
        <w:rPr>
          <w:rFonts w:ascii="Times New Roman" w:hAnsi="Times New Roman"/>
          <w:szCs w:val="24"/>
          <w:lang w:val="bs-Latn-BA"/>
        </w:rPr>
        <w:t>МЉПИ</w:t>
      </w:r>
      <w:r w:rsidR="0039301B">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 xml:space="preserve"> </w:t>
      </w:r>
      <w:r>
        <w:rPr>
          <w:rFonts w:ascii="Times New Roman" w:hAnsi="Times New Roman"/>
          <w:szCs w:val="24"/>
          <w:lang w:val="bs-Latn-BA"/>
        </w:rPr>
        <w:t>је</w:t>
      </w:r>
      <w:r w:rsidR="0042679D" w:rsidRPr="00295637">
        <w:rPr>
          <w:rFonts w:ascii="Times New Roman" w:hAnsi="Times New Roman"/>
          <w:szCs w:val="24"/>
          <w:lang w:val="bs-Latn-BA"/>
        </w:rPr>
        <w:t xml:space="preserve"> </w:t>
      </w:r>
      <w:r>
        <w:rPr>
          <w:rFonts w:ascii="Times New Roman" w:hAnsi="Times New Roman"/>
          <w:szCs w:val="24"/>
          <w:lang w:val="bs-Latn-BA"/>
        </w:rPr>
        <w:t>сарађивала</w:t>
      </w:r>
      <w:r w:rsidR="0039301B">
        <w:rPr>
          <w:rFonts w:ascii="Times New Roman" w:hAnsi="Times New Roman"/>
          <w:szCs w:val="24"/>
          <w:lang w:val="bs-Latn-BA"/>
        </w:rPr>
        <w:t xml:space="preserve"> </w:t>
      </w:r>
      <w:r>
        <w:rPr>
          <w:rFonts w:ascii="Times New Roman" w:hAnsi="Times New Roman"/>
          <w:szCs w:val="24"/>
          <w:lang w:val="bs-Latn-BA"/>
        </w:rPr>
        <w:t>са</w:t>
      </w:r>
      <w:r w:rsidR="0042679D">
        <w:rPr>
          <w:rFonts w:ascii="Times New Roman" w:hAnsi="Times New Roman"/>
          <w:szCs w:val="24"/>
          <w:lang w:val="bs-Latn-BA"/>
        </w:rPr>
        <w:t xml:space="preserve"> </w:t>
      </w:r>
      <w:r>
        <w:rPr>
          <w:rFonts w:ascii="Times New Roman" w:hAnsi="Times New Roman"/>
          <w:szCs w:val="24"/>
          <w:lang w:val="bs-Latn-BA"/>
        </w:rPr>
        <w:t>КОРС</w:t>
      </w:r>
      <w:r w:rsidR="0042679D">
        <w:rPr>
          <w:rFonts w:ascii="Times New Roman" w:hAnsi="Times New Roman"/>
          <w:szCs w:val="24"/>
          <w:lang w:val="bs-Latn-BA"/>
        </w:rPr>
        <w:t xml:space="preserve"> </w:t>
      </w:r>
      <w:r>
        <w:rPr>
          <w:rFonts w:ascii="Times New Roman" w:hAnsi="Times New Roman"/>
          <w:szCs w:val="24"/>
          <w:lang w:val="bs-Latn-BA"/>
        </w:rPr>
        <w:t>ПД</w:t>
      </w:r>
      <w:r w:rsidR="0042679D">
        <w:rPr>
          <w:rFonts w:ascii="Times New Roman" w:hAnsi="Times New Roman"/>
          <w:szCs w:val="24"/>
          <w:lang w:val="bs-Latn-BA"/>
        </w:rPr>
        <w:t xml:space="preserve"> </w:t>
      </w:r>
      <w:r>
        <w:rPr>
          <w:rFonts w:ascii="Times New Roman" w:hAnsi="Times New Roman"/>
          <w:szCs w:val="24"/>
          <w:lang w:val="bs-Latn-BA"/>
        </w:rPr>
        <w:t>ПС</w:t>
      </w:r>
      <w:r w:rsidR="0042679D">
        <w:rPr>
          <w:rFonts w:ascii="Times New Roman" w:hAnsi="Times New Roman"/>
          <w:szCs w:val="24"/>
          <w:lang w:val="bs-Latn-BA"/>
        </w:rPr>
        <w:t xml:space="preserve"> </w:t>
      </w:r>
      <w:r>
        <w:rPr>
          <w:rFonts w:ascii="Times New Roman" w:hAnsi="Times New Roman"/>
          <w:szCs w:val="24"/>
          <w:lang w:val="bs-Latn-BA"/>
        </w:rPr>
        <w:t>БиХ</w:t>
      </w:r>
      <w:r w:rsidR="0042679D">
        <w:rPr>
          <w:rFonts w:ascii="Times New Roman" w:hAnsi="Times New Roman"/>
          <w:szCs w:val="24"/>
          <w:lang w:val="bs-Latn-BA"/>
        </w:rPr>
        <w:t xml:space="preserve"> </w:t>
      </w:r>
      <w:r>
        <w:rPr>
          <w:rFonts w:ascii="Times New Roman" w:hAnsi="Times New Roman"/>
          <w:szCs w:val="24"/>
          <w:lang w:val="bs-Latn-BA"/>
        </w:rPr>
        <w:t>кроз</w:t>
      </w:r>
      <w:r w:rsidR="0042679D">
        <w:rPr>
          <w:rFonts w:ascii="Times New Roman" w:hAnsi="Times New Roman"/>
          <w:szCs w:val="24"/>
          <w:lang w:val="bs-Latn-BA"/>
        </w:rPr>
        <w:t xml:space="preserve"> </w:t>
      </w:r>
      <w:r>
        <w:rPr>
          <w:rFonts w:ascii="Times New Roman" w:hAnsi="Times New Roman"/>
          <w:szCs w:val="24"/>
          <w:lang w:val="bs-Latn-BA"/>
        </w:rPr>
        <w:t>учешће</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раду</w:t>
      </w:r>
      <w:r w:rsidR="0042679D" w:rsidRPr="00295637">
        <w:rPr>
          <w:rFonts w:ascii="Times New Roman" w:hAnsi="Times New Roman"/>
          <w:szCs w:val="24"/>
          <w:lang w:val="bs-Latn-BA"/>
        </w:rPr>
        <w:t xml:space="preserve"> </w:t>
      </w:r>
      <w:r>
        <w:rPr>
          <w:rFonts w:ascii="Times New Roman" w:hAnsi="Times New Roman"/>
          <w:szCs w:val="24"/>
          <w:lang w:val="bs-Latn-BA"/>
        </w:rPr>
        <w:t>редовних</w:t>
      </w:r>
      <w:r w:rsidR="0042679D" w:rsidRPr="00295637">
        <w:rPr>
          <w:rFonts w:ascii="Times New Roman" w:hAnsi="Times New Roman"/>
          <w:szCs w:val="24"/>
          <w:lang w:val="bs-Latn-BA"/>
        </w:rPr>
        <w:t xml:space="preserve"> </w:t>
      </w:r>
      <w:r>
        <w:rPr>
          <w:rFonts w:ascii="Times New Roman" w:hAnsi="Times New Roman"/>
          <w:szCs w:val="24"/>
          <w:lang w:val="bs-Latn-BA"/>
        </w:rPr>
        <w:t>сједница</w:t>
      </w:r>
      <w:r w:rsidR="0042679D">
        <w:rPr>
          <w:rFonts w:ascii="Times New Roman" w:hAnsi="Times New Roman"/>
          <w:szCs w:val="24"/>
          <w:lang w:val="bs-Latn-BA"/>
        </w:rPr>
        <w:t xml:space="preserve">, </w:t>
      </w:r>
      <w:r>
        <w:rPr>
          <w:rFonts w:ascii="Times New Roman" w:hAnsi="Times New Roman"/>
          <w:szCs w:val="24"/>
          <w:lang w:val="bs-Latn-BA"/>
        </w:rPr>
        <w:t>организ</w:t>
      </w:r>
      <w:r w:rsidR="00960217">
        <w:rPr>
          <w:rFonts w:ascii="Times New Roman" w:hAnsi="Times New Roman"/>
          <w:szCs w:val="24"/>
          <w:lang w:val="sr-Cyrl-BA"/>
        </w:rPr>
        <w:t>овањем</w:t>
      </w:r>
      <w:r w:rsidR="0042679D">
        <w:rPr>
          <w:rFonts w:ascii="Times New Roman" w:hAnsi="Times New Roman"/>
          <w:szCs w:val="24"/>
          <w:lang w:val="bs-Latn-BA"/>
        </w:rPr>
        <w:t xml:space="preserve"> </w:t>
      </w:r>
      <w:r>
        <w:rPr>
          <w:rFonts w:ascii="Times New Roman" w:hAnsi="Times New Roman"/>
          <w:szCs w:val="24"/>
          <w:lang w:val="bs-Latn-BA"/>
        </w:rPr>
        <w:t>посебних</w:t>
      </w:r>
      <w:r w:rsidR="0042679D">
        <w:rPr>
          <w:rFonts w:ascii="Times New Roman" w:hAnsi="Times New Roman"/>
          <w:szCs w:val="24"/>
          <w:lang w:val="bs-Latn-BA"/>
        </w:rPr>
        <w:t xml:space="preserve"> </w:t>
      </w:r>
      <w:r>
        <w:rPr>
          <w:rFonts w:ascii="Times New Roman" w:hAnsi="Times New Roman"/>
          <w:szCs w:val="24"/>
          <w:lang w:val="bs-Latn-BA"/>
        </w:rPr>
        <w:t>тематских</w:t>
      </w:r>
      <w:r w:rsidR="0042679D">
        <w:rPr>
          <w:rFonts w:ascii="Times New Roman" w:hAnsi="Times New Roman"/>
          <w:szCs w:val="24"/>
          <w:lang w:val="bs-Latn-BA"/>
        </w:rPr>
        <w:t xml:space="preserve"> </w:t>
      </w:r>
      <w:r>
        <w:rPr>
          <w:rFonts w:ascii="Times New Roman" w:hAnsi="Times New Roman"/>
          <w:szCs w:val="24"/>
          <w:lang w:val="bs-Latn-BA"/>
        </w:rPr>
        <w:t>сједница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пружањем</w:t>
      </w:r>
      <w:r w:rsidR="0042679D" w:rsidRPr="00295637">
        <w:rPr>
          <w:rFonts w:ascii="Times New Roman" w:hAnsi="Times New Roman"/>
          <w:szCs w:val="24"/>
          <w:lang w:val="bs-Latn-BA"/>
        </w:rPr>
        <w:t xml:space="preserve"> </w:t>
      </w:r>
      <w:r>
        <w:rPr>
          <w:rFonts w:ascii="Times New Roman" w:hAnsi="Times New Roman"/>
          <w:szCs w:val="24"/>
          <w:lang w:val="bs-Latn-BA"/>
        </w:rPr>
        <w:t>информација</w:t>
      </w:r>
      <w:r w:rsidR="0042679D" w:rsidRPr="00295637">
        <w:rPr>
          <w:rFonts w:ascii="Times New Roman" w:hAnsi="Times New Roman"/>
          <w:szCs w:val="24"/>
          <w:lang w:val="bs-Latn-BA"/>
        </w:rPr>
        <w:t xml:space="preserve"> </w:t>
      </w:r>
      <w:r>
        <w:rPr>
          <w:rFonts w:ascii="Times New Roman" w:hAnsi="Times New Roman"/>
          <w:szCs w:val="24"/>
          <w:lang w:val="bs-Latn-BA"/>
        </w:rPr>
        <w:t>и</w:t>
      </w:r>
      <w:r w:rsidR="0042679D" w:rsidRPr="00295637">
        <w:rPr>
          <w:rFonts w:ascii="Times New Roman" w:hAnsi="Times New Roman"/>
          <w:szCs w:val="24"/>
          <w:lang w:val="bs-Latn-BA"/>
        </w:rPr>
        <w:t xml:space="preserve"> </w:t>
      </w:r>
      <w:r>
        <w:rPr>
          <w:rFonts w:ascii="Times New Roman" w:hAnsi="Times New Roman"/>
          <w:szCs w:val="24"/>
          <w:lang w:val="bs-Latn-BA"/>
        </w:rPr>
        <w:t>материјала</w:t>
      </w:r>
      <w:r w:rsidR="0042679D" w:rsidRPr="00295637">
        <w:rPr>
          <w:rFonts w:ascii="Times New Roman" w:hAnsi="Times New Roman"/>
          <w:szCs w:val="24"/>
          <w:lang w:val="bs-Latn-BA"/>
        </w:rPr>
        <w:t xml:space="preserve"> </w:t>
      </w:r>
      <w:r>
        <w:rPr>
          <w:rFonts w:ascii="Times New Roman" w:hAnsi="Times New Roman"/>
          <w:szCs w:val="24"/>
          <w:lang w:val="bs-Latn-BA"/>
        </w:rPr>
        <w:t>о</w:t>
      </w:r>
      <w:r w:rsidR="0042679D" w:rsidRPr="00295637">
        <w:rPr>
          <w:rFonts w:ascii="Times New Roman" w:hAnsi="Times New Roman"/>
          <w:szCs w:val="24"/>
          <w:lang w:val="bs-Latn-BA"/>
        </w:rPr>
        <w:t xml:space="preserve"> </w:t>
      </w:r>
      <w:r>
        <w:rPr>
          <w:rFonts w:ascii="Times New Roman" w:hAnsi="Times New Roman"/>
          <w:szCs w:val="24"/>
          <w:lang w:val="bs-Latn-BA"/>
        </w:rPr>
        <w:t>различитим</w:t>
      </w:r>
      <w:r w:rsidR="0042679D" w:rsidRPr="00295637">
        <w:rPr>
          <w:rFonts w:ascii="Times New Roman" w:hAnsi="Times New Roman"/>
          <w:szCs w:val="24"/>
          <w:lang w:val="bs-Latn-BA"/>
        </w:rPr>
        <w:t xml:space="preserve"> </w:t>
      </w:r>
      <w:r>
        <w:rPr>
          <w:rFonts w:ascii="Times New Roman" w:hAnsi="Times New Roman"/>
          <w:szCs w:val="24"/>
          <w:lang w:val="bs-Latn-BA"/>
        </w:rPr>
        <w:t>аспектима</w:t>
      </w:r>
      <w:r w:rsidR="0042679D" w:rsidRPr="00295637">
        <w:rPr>
          <w:rFonts w:ascii="Times New Roman" w:hAnsi="Times New Roman"/>
          <w:szCs w:val="24"/>
          <w:lang w:val="bs-Latn-BA"/>
        </w:rPr>
        <w:t xml:space="preserve"> </w:t>
      </w:r>
      <w:r>
        <w:rPr>
          <w:rFonts w:ascii="Times New Roman" w:hAnsi="Times New Roman"/>
          <w:szCs w:val="24"/>
          <w:lang w:val="bs-Latn-BA"/>
        </w:rPr>
        <w:t>стања</w:t>
      </w:r>
      <w:r w:rsidR="0042679D"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42679D" w:rsidRPr="00295637">
        <w:rPr>
          <w:rFonts w:ascii="Times New Roman" w:hAnsi="Times New Roman"/>
          <w:szCs w:val="24"/>
          <w:lang w:val="bs-Latn-BA"/>
        </w:rPr>
        <w:t xml:space="preserve"> </w:t>
      </w:r>
      <w:r>
        <w:rPr>
          <w:rFonts w:ascii="Times New Roman" w:hAnsi="Times New Roman"/>
          <w:szCs w:val="24"/>
          <w:lang w:val="bs-Latn-BA"/>
        </w:rPr>
        <w:t>полова</w:t>
      </w:r>
      <w:r w:rsidR="0042679D" w:rsidRPr="00295637">
        <w:rPr>
          <w:rFonts w:ascii="Times New Roman" w:hAnsi="Times New Roman"/>
          <w:szCs w:val="24"/>
          <w:lang w:val="bs-Latn-BA"/>
        </w:rPr>
        <w:t xml:space="preserve"> </w:t>
      </w:r>
      <w:r>
        <w:rPr>
          <w:rFonts w:ascii="Times New Roman" w:hAnsi="Times New Roman"/>
          <w:szCs w:val="24"/>
          <w:lang w:val="bs-Latn-BA"/>
        </w:rPr>
        <w:t>у</w:t>
      </w:r>
      <w:r w:rsidR="0042679D" w:rsidRPr="00295637">
        <w:rPr>
          <w:rFonts w:ascii="Times New Roman" w:hAnsi="Times New Roman"/>
          <w:szCs w:val="24"/>
          <w:lang w:val="bs-Latn-BA"/>
        </w:rPr>
        <w:t xml:space="preserve"> </w:t>
      </w:r>
      <w:r>
        <w:rPr>
          <w:rFonts w:ascii="Times New Roman" w:hAnsi="Times New Roman"/>
          <w:szCs w:val="24"/>
          <w:lang w:val="bs-Latn-BA"/>
        </w:rPr>
        <w:t>БиХ</w:t>
      </w:r>
      <w:r w:rsidR="0042679D" w:rsidRPr="00295637">
        <w:rPr>
          <w:rFonts w:ascii="Times New Roman" w:hAnsi="Times New Roman"/>
          <w:szCs w:val="24"/>
          <w:lang w:val="bs-Latn-BA"/>
        </w:rPr>
        <w:t>.</w:t>
      </w:r>
    </w:p>
    <w:p w:rsidR="0042679D" w:rsidRPr="00B933C4" w:rsidRDefault="0042679D" w:rsidP="0086268D">
      <w:pPr>
        <w:pStyle w:val="ListParagraph"/>
        <w:rPr>
          <w:rFonts w:ascii="Times New Roman" w:hAnsi="Times New Roman"/>
          <w:lang w:val="bs-Latn-BA"/>
        </w:rPr>
      </w:pPr>
    </w:p>
    <w:p w:rsidR="0042679D" w:rsidRPr="00B933C4" w:rsidRDefault="00C6214E" w:rsidP="0086268D">
      <w:pPr>
        <w:pStyle w:val="ListParagraph"/>
        <w:numPr>
          <w:ilvl w:val="0"/>
          <w:numId w:val="17"/>
        </w:numPr>
        <w:jc w:val="both"/>
        <w:rPr>
          <w:rStyle w:val="y2iqfc"/>
          <w:rFonts w:ascii="Times New Roman" w:hAnsi="Times New Roman"/>
          <w:szCs w:val="24"/>
          <w:lang w:val="bs-Latn-BA"/>
        </w:rPr>
      </w:pPr>
      <w:r>
        <w:rPr>
          <w:rFonts w:ascii="Times New Roman" w:hAnsi="Times New Roman"/>
          <w:szCs w:val="24"/>
        </w:rPr>
        <w:t>АР</w:t>
      </w:r>
      <w:r w:rsidR="00960217">
        <w:rPr>
          <w:rFonts w:ascii="Times New Roman" w:hAnsi="Times New Roman"/>
          <w:szCs w:val="24"/>
          <w:lang w:val="sr-Cyrl-BA"/>
        </w:rPr>
        <w:t>П</w:t>
      </w:r>
      <w:r w:rsidR="0039301B">
        <w:rPr>
          <w:rFonts w:ascii="Times New Roman" w:hAnsi="Times New Roman"/>
          <w:szCs w:val="24"/>
        </w:rPr>
        <w:t xml:space="preserve"> </w:t>
      </w:r>
      <w:r>
        <w:rPr>
          <w:rFonts w:ascii="Times New Roman" w:hAnsi="Times New Roman"/>
          <w:szCs w:val="24"/>
        </w:rPr>
        <w:t>БиХ</w:t>
      </w:r>
      <w:r w:rsidR="00AA2171">
        <w:rPr>
          <w:rFonts w:ascii="Times New Roman" w:hAnsi="Times New Roman"/>
          <w:szCs w:val="24"/>
        </w:rPr>
        <w:t xml:space="preserve"> </w:t>
      </w:r>
      <w:r>
        <w:rPr>
          <w:rFonts w:ascii="Times New Roman" w:hAnsi="Times New Roman"/>
          <w:szCs w:val="24"/>
        </w:rPr>
        <w:t>МЉПИ</w:t>
      </w:r>
      <w:r w:rsidR="0039301B">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Pr>
          <w:rFonts w:ascii="Times New Roman" w:hAnsi="Times New Roman"/>
          <w:szCs w:val="24"/>
        </w:rPr>
        <w:t>је</w:t>
      </w:r>
      <w:r w:rsidR="0042679D" w:rsidRPr="00295637">
        <w:rPr>
          <w:rFonts w:ascii="Times New Roman" w:hAnsi="Times New Roman"/>
          <w:szCs w:val="24"/>
        </w:rPr>
        <w:t xml:space="preserve"> </w:t>
      </w:r>
      <w:r>
        <w:rPr>
          <w:rFonts w:ascii="Times New Roman" w:hAnsi="Times New Roman"/>
          <w:szCs w:val="24"/>
        </w:rPr>
        <w:t>током</w:t>
      </w:r>
      <w:r w:rsidR="0042679D" w:rsidRPr="00295637">
        <w:rPr>
          <w:rFonts w:ascii="Times New Roman" w:hAnsi="Times New Roman"/>
          <w:szCs w:val="24"/>
        </w:rPr>
        <w:t xml:space="preserve"> 2024. </w:t>
      </w:r>
      <w:r>
        <w:rPr>
          <w:rFonts w:ascii="Times New Roman" w:hAnsi="Times New Roman"/>
          <w:szCs w:val="24"/>
        </w:rPr>
        <w:t>године</w:t>
      </w:r>
      <w:r w:rsidR="0042679D" w:rsidRPr="00295637">
        <w:rPr>
          <w:rFonts w:ascii="Times New Roman" w:hAnsi="Times New Roman"/>
          <w:szCs w:val="24"/>
        </w:rPr>
        <w:t xml:space="preserve"> </w:t>
      </w:r>
      <w:r>
        <w:rPr>
          <w:rFonts w:ascii="Times New Roman" w:hAnsi="Times New Roman"/>
          <w:szCs w:val="24"/>
        </w:rPr>
        <w:t>сарађивала</w:t>
      </w:r>
      <w:r w:rsidR="0039301B">
        <w:rPr>
          <w:rFonts w:ascii="Times New Roman" w:hAnsi="Times New Roman"/>
          <w:szCs w:val="24"/>
        </w:rPr>
        <w:t xml:space="preserve"> </w:t>
      </w:r>
      <w:r>
        <w:rPr>
          <w:rFonts w:ascii="Times New Roman" w:hAnsi="Times New Roman"/>
          <w:szCs w:val="24"/>
        </w:rPr>
        <w:t>са</w:t>
      </w:r>
      <w:r w:rsidR="0042679D" w:rsidRPr="00295637">
        <w:rPr>
          <w:rFonts w:ascii="Times New Roman" w:hAnsi="Times New Roman"/>
          <w:szCs w:val="24"/>
        </w:rPr>
        <w:t xml:space="preserve"> </w:t>
      </w:r>
      <w:r>
        <w:rPr>
          <w:rFonts w:ascii="Times New Roman" w:hAnsi="Times New Roman"/>
          <w:szCs w:val="24"/>
        </w:rPr>
        <w:t>УН</w:t>
      </w:r>
      <w:r w:rsidR="0042679D" w:rsidRPr="00295637">
        <w:rPr>
          <w:rFonts w:ascii="Times New Roman" w:hAnsi="Times New Roman"/>
          <w:szCs w:val="24"/>
        </w:rPr>
        <w:t xml:space="preserve"> </w:t>
      </w:r>
      <w:r>
        <w:rPr>
          <w:rFonts w:ascii="Times New Roman" w:hAnsi="Times New Roman"/>
          <w:szCs w:val="24"/>
        </w:rPr>
        <w:t>агенцијама</w:t>
      </w:r>
      <w:r w:rsidR="0042679D" w:rsidRPr="00295637">
        <w:rPr>
          <w:rFonts w:ascii="Times New Roman" w:hAnsi="Times New Roman"/>
          <w:szCs w:val="24"/>
        </w:rPr>
        <w:t xml:space="preserve"> </w:t>
      </w:r>
      <w:r>
        <w:rPr>
          <w:rFonts w:ascii="Times New Roman" w:hAnsi="Times New Roman"/>
          <w:szCs w:val="24"/>
        </w:rPr>
        <w:t>у</w:t>
      </w:r>
      <w:r w:rsidR="0042679D" w:rsidRPr="00295637">
        <w:rPr>
          <w:rFonts w:ascii="Times New Roman" w:hAnsi="Times New Roman"/>
          <w:szCs w:val="24"/>
        </w:rPr>
        <w:t xml:space="preserve"> </w:t>
      </w:r>
      <w:r>
        <w:rPr>
          <w:rFonts w:ascii="Times New Roman" w:hAnsi="Times New Roman"/>
          <w:szCs w:val="24"/>
        </w:rPr>
        <w:t>БиХ</w:t>
      </w:r>
      <w:r w:rsidR="0042679D" w:rsidRPr="00295637">
        <w:rPr>
          <w:rFonts w:ascii="Times New Roman" w:hAnsi="Times New Roman"/>
          <w:szCs w:val="24"/>
        </w:rPr>
        <w:t xml:space="preserve"> </w:t>
      </w:r>
      <w:r>
        <w:rPr>
          <w:rFonts w:ascii="Times New Roman" w:hAnsi="Times New Roman"/>
          <w:szCs w:val="24"/>
        </w:rPr>
        <w:t>на</w:t>
      </w:r>
      <w:r w:rsidR="0042679D" w:rsidRPr="00295637">
        <w:rPr>
          <w:rFonts w:ascii="Times New Roman" w:hAnsi="Times New Roman"/>
          <w:szCs w:val="24"/>
        </w:rPr>
        <w:t xml:space="preserve"> </w:t>
      </w:r>
      <w:r>
        <w:rPr>
          <w:rFonts w:ascii="Times New Roman" w:hAnsi="Times New Roman"/>
          <w:szCs w:val="24"/>
        </w:rPr>
        <w:t>припреми</w:t>
      </w:r>
      <w:r w:rsidR="0042679D" w:rsidRPr="00295637">
        <w:rPr>
          <w:rFonts w:ascii="Times New Roman" w:hAnsi="Times New Roman"/>
          <w:szCs w:val="24"/>
        </w:rPr>
        <w:t xml:space="preserve"> </w:t>
      </w:r>
      <w:r>
        <w:rPr>
          <w:rFonts w:ascii="Times New Roman" w:hAnsi="Times New Roman"/>
          <w:szCs w:val="24"/>
        </w:rPr>
        <w:t>програмских</w:t>
      </w:r>
      <w:r w:rsidR="0042679D" w:rsidRPr="00295637">
        <w:rPr>
          <w:rFonts w:ascii="Times New Roman" w:hAnsi="Times New Roman"/>
          <w:szCs w:val="24"/>
        </w:rPr>
        <w:t xml:space="preserve"> </w:t>
      </w:r>
      <w:r>
        <w:rPr>
          <w:rFonts w:ascii="Times New Roman" w:hAnsi="Times New Roman"/>
          <w:szCs w:val="24"/>
        </w:rPr>
        <w:t>и</w:t>
      </w:r>
      <w:r w:rsidR="0042679D" w:rsidRPr="00295637">
        <w:rPr>
          <w:rFonts w:ascii="Times New Roman" w:hAnsi="Times New Roman"/>
          <w:szCs w:val="24"/>
        </w:rPr>
        <w:t xml:space="preserve"> </w:t>
      </w:r>
      <w:r>
        <w:rPr>
          <w:rFonts w:ascii="Times New Roman" w:hAnsi="Times New Roman"/>
          <w:szCs w:val="24"/>
        </w:rPr>
        <w:t>материјалних</w:t>
      </w:r>
      <w:r w:rsidR="0042679D" w:rsidRPr="00295637">
        <w:rPr>
          <w:rFonts w:ascii="Times New Roman" w:hAnsi="Times New Roman"/>
          <w:szCs w:val="24"/>
        </w:rPr>
        <w:t xml:space="preserve"> </w:t>
      </w:r>
      <w:r>
        <w:rPr>
          <w:rFonts w:ascii="Times New Roman" w:hAnsi="Times New Roman"/>
          <w:szCs w:val="24"/>
        </w:rPr>
        <w:t>претпоставки</w:t>
      </w:r>
      <w:r w:rsidR="0042679D" w:rsidRPr="00295637">
        <w:rPr>
          <w:rFonts w:ascii="Times New Roman" w:hAnsi="Times New Roman"/>
          <w:szCs w:val="24"/>
        </w:rPr>
        <w:t xml:space="preserve"> </w:t>
      </w:r>
      <w:r>
        <w:rPr>
          <w:rFonts w:ascii="Times New Roman" w:hAnsi="Times New Roman"/>
          <w:szCs w:val="24"/>
        </w:rPr>
        <w:t>за</w:t>
      </w:r>
      <w:r w:rsidR="0042679D" w:rsidRPr="00295637">
        <w:rPr>
          <w:rFonts w:ascii="Times New Roman" w:hAnsi="Times New Roman"/>
          <w:szCs w:val="24"/>
        </w:rPr>
        <w:t xml:space="preserve"> </w:t>
      </w:r>
      <w:r>
        <w:rPr>
          <w:rFonts w:ascii="Times New Roman" w:hAnsi="Times New Roman"/>
          <w:szCs w:val="24"/>
        </w:rPr>
        <w:t>покретање</w:t>
      </w:r>
      <w:r w:rsidR="0042679D" w:rsidRPr="00295637">
        <w:rPr>
          <w:rFonts w:ascii="Times New Roman" w:hAnsi="Times New Roman"/>
          <w:szCs w:val="24"/>
        </w:rPr>
        <w:t xml:space="preserve"> </w:t>
      </w:r>
      <w:r>
        <w:rPr>
          <w:rStyle w:val="y2iqfc"/>
          <w:rFonts w:ascii="Times New Roman" w:hAnsi="Times New Roman"/>
          <w:szCs w:val="24"/>
        </w:rPr>
        <w:t>Акцелератора</w:t>
      </w:r>
      <w:r w:rsidR="00D30E48">
        <w:rPr>
          <w:rStyle w:val="y2iqfc"/>
          <w:rFonts w:ascii="Times New Roman" w:hAnsi="Times New Roman"/>
          <w:szCs w:val="24"/>
        </w:rPr>
        <w:t xml:space="preserve"> </w:t>
      </w:r>
      <w:r>
        <w:rPr>
          <w:rStyle w:val="y2iqfc"/>
          <w:rFonts w:ascii="Times New Roman" w:hAnsi="Times New Roman"/>
          <w:szCs w:val="24"/>
        </w:rPr>
        <w:t>равноправности</w:t>
      </w:r>
      <w:r w:rsidR="00D30E48">
        <w:rPr>
          <w:rStyle w:val="y2iqfc"/>
          <w:rFonts w:ascii="Times New Roman" w:hAnsi="Times New Roman"/>
          <w:szCs w:val="24"/>
        </w:rPr>
        <w:t xml:space="preserve"> </w:t>
      </w:r>
      <w:r>
        <w:rPr>
          <w:rStyle w:val="y2iqfc"/>
          <w:rFonts w:ascii="Times New Roman" w:hAnsi="Times New Roman"/>
          <w:szCs w:val="24"/>
        </w:rPr>
        <w:t>полова</w:t>
      </w:r>
      <w:r w:rsidR="00D30E48">
        <w:rPr>
          <w:rStyle w:val="y2iqfc"/>
          <w:rFonts w:ascii="Times New Roman" w:hAnsi="Times New Roman"/>
          <w:szCs w:val="24"/>
        </w:rPr>
        <w:t xml:space="preserve"> </w:t>
      </w:r>
      <w:r>
        <w:rPr>
          <w:rStyle w:val="y2iqfc"/>
          <w:rFonts w:ascii="Times New Roman" w:hAnsi="Times New Roman"/>
          <w:szCs w:val="24"/>
        </w:rPr>
        <w:t>у</w:t>
      </w:r>
      <w:r w:rsidR="00D30E48">
        <w:rPr>
          <w:rStyle w:val="y2iqfc"/>
          <w:rFonts w:ascii="Times New Roman" w:hAnsi="Times New Roman"/>
          <w:szCs w:val="24"/>
        </w:rPr>
        <w:t xml:space="preserve"> </w:t>
      </w:r>
      <w:r>
        <w:rPr>
          <w:rStyle w:val="y2iqfc"/>
          <w:rFonts w:ascii="Times New Roman" w:hAnsi="Times New Roman"/>
          <w:szCs w:val="24"/>
        </w:rPr>
        <w:t>БиХ</w:t>
      </w:r>
      <w:r w:rsidR="0042679D" w:rsidRPr="0039301B">
        <w:rPr>
          <w:rStyle w:val="y2iqfc"/>
          <w:rFonts w:ascii="Times New Roman" w:hAnsi="Times New Roman"/>
          <w:szCs w:val="24"/>
        </w:rPr>
        <w:t xml:space="preserve"> (</w:t>
      </w:r>
      <w:r w:rsidR="000A7A40" w:rsidRPr="000A7A40">
        <w:rPr>
          <w:rFonts w:ascii="Times New Roman" w:hAnsi="Times New Roman"/>
          <w:i/>
          <w:szCs w:val="24"/>
        </w:rPr>
        <w:t xml:space="preserve">Gender Equality Accelerator </w:t>
      </w:r>
      <w:r w:rsidR="0042679D" w:rsidRPr="0039301B">
        <w:rPr>
          <w:rStyle w:val="y2iqfc"/>
          <w:rFonts w:ascii="Times New Roman" w:hAnsi="Times New Roman"/>
          <w:i/>
          <w:szCs w:val="24"/>
        </w:rPr>
        <w:t>2025</w:t>
      </w:r>
      <w:r w:rsidR="0039301B">
        <w:rPr>
          <w:rStyle w:val="y2iqfc"/>
          <w:rFonts w:ascii="Times New Roman" w:hAnsi="Times New Roman"/>
          <w:i/>
          <w:szCs w:val="24"/>
        </w:rPr>
        <w:t>-</w:t>
      </w:r>
      <w:r w:rsidR="0042679D" w:rsidRPr="0039301B">
        <w:rPr>
          <w:rStyle w:val="y2iqfc"/>
          <w:rFonts w:ascii="Times New Roman" w:hAnsi="Times New Roman"/>
          <w:i/>
          <w:szCs w:val="24"/>
        </w:rPr>
        <w:t>2028</w:t>
      </w:r>
      <w:r w:rsidR="0039301B">
        <w:rPr>
          <w:rStyle w:val="y2iqfc"/>
          <w:rFonts w:ascii="Times New Roman" w:hAnsi="Times New Roman"/>
          <w:i/>
          <w:szCs w:val="24"/>
        </w:rPr>
        <w:t>.</w:t>
      </w:r>
      <w:r w:rsidR="0042679D" w:rsidRPr="0039301B">
        <w:rPr>
          <w:rStyle w:val="y2iqfc"/>
          <w:rFonts w:ascii="Times New Roman" w:hAnsi="Times New Roman"/>
          <w:szCs w:val="24"/>
        </w:rPr>
        <w:t xml:space="preserve">). </w:t>
      </w:r>
      <w:r>
        <w:rPr>
          <w:rStyle w:val="y2iqfc"/>
          <w:rFonts w:ascii="Times New Roman" w:hAnsi="Times New Roman"/>
          <w:szCs w:val="24"/>
        </w:rPr>
        <w:t>Ова</w:t>
      </w:r>
      <w:r w:rsidR="0042679D" w:rsidRPr="0039301B">
        <w:rPr>
          <w:rStyle w:val="y2iqfc"/>
          <w:rFonts w:ascii="Times New Roman" w:hAnsi="Times New Roman"/>
          <w:szCs w:val="24"/>
        </w:rPr>
        <w:t xml:space="preserve"> </w:t>
      </w:r>
      <w:r>
        <w:rPr>
          <w:rStyle w:val="y2iqfc"/>
          <w:rFonts w:ascii="Times New Roman" w:hAnsi="Times New Roman"/>
          <w:szCs w:val="24"/>
        </w:rPr>
        <w:t>кључна</w:t>
      </w:r>
      <w:r w:rsidR="0042679D" w:rsidRPr="0039301B">
        <w:rPr>
          <w:rStyle w:val="y2iqfc"/>
          <w:rFonts w:ascii="Times New Roman" w:hAnsi="Times New Roman"/>
          <w:szCs w:val="24"/>
        </w:rPr>
        <w:t xml:space="preserve"> </w:t>
      </w:r>
      <w:r>
        <w:rPr>
          <w:rStyle w:val="y2iqfc"/>
          <w:rFonts w:ascii="Times New Roman" w:hAnsi="Times New Roman"/>
          <w:szCs w:val="24"/>
        </w:rPr>
        <w:t>заједничка</w:t>
      </w:r>
      <w:r w:rsidR="0042679D" w:rsidRPr="0039301B">
        <w:rPr>
          <w:rStyle w:val="y2iqfc"/>
          <w:rFonts w:ascii="Times New Roman" w:hAnsi="Times New Roman"/>
          <w:szCs w:val="24"/>
        </w:rPr>
        <w:t xml:space="preserve"> </w:t>
      </w:r>
      <w:r>
        <w:rPr>
          <w:rStyle w:val="y2iqfc"/>
          <w:rFonts w:ascii="Times New Roman" w:hAnsi="Times New Roman"/>
          <w:szCs w:val="24"/>
        </w:rPr>
        <w:t>иницијатива</w:t>
      </w:r>
      <w:r w:rsidR="0042679D" w:rsidRPr="0039301B">
        <w:rPr>
          <w:rStyle w:val="y2iqfc"/>
          <w:rFonts w:ascii="Times New Roman" w:hAnsi="Times New Roman"/>
          <w:szCs w:val="24"/>
        </w:rPr>
        <w:t xml:space="preserve"> </w:t>
      </w:r>
      <w:r>
        <w:rPr>
          <w:rStyle w:val="y2iqfc"/>
          <w:rFonts w:ascii="Times New Roman" w:hAnsi="Times New Roman"/>
          <w:szCs w:val="24"/>
        </w:rPr>
        <w:t>УН</w:t>
      </w:r>
      <w:r w:rsidR="0042679D" w:rsidRPr="0039301B">
        <w:rPr>
          <w:rStyle w:val="y2iqfc"/>
          <w:rFonts w:ascii="Times New Roman" w:hAnsi="Times New Roman"/>
          <w:szCs w:val="24"/>
        </w:rPr>
        <w:t xml:space="preserve"> </w:t>
      </w:r>
      <w:r>
        <w:rPr>
          <w:rStyle w:val="y2iqfc"/>
          <w:rFonts w:ascii="Times New Roman" w:hAnsi="Times New Roman"/>
          <w:szCs w:val="24"/>
        </w:rPr>
        <w:t>агенција</w:t>
      </w:r>
      <w:r w:rsidR="0042679D" w:rsidRPr="0039301B">
        <w:rPr>
          <w:rStyle w:val="y2iqfc"/>
          <w:rFonts w:ascii="Times New Roman" w:hAnsi="Times New Roman"/>
          <w:szCs w:val="24"/>
        </w:rPr>
        <w:t xml:space="preserve">, </w:t>
      </w:r>
      <w:r>
        <w:rPr>
          <w:rStyle w:val="y2iqfc"/>
          <w:rFonts w:ascii="Times New Roman" w:hAnsi="Times New Roman"/>
          <w:szCs w:val="24"/>
        </w:rPr>
        <w:t>која</w:t>
      </w:r>
      <w:r w:rsidR="0042679D" w:rsidRPr="0039301B">
        <w:rPr>
          <w:rStyle w:val="y2iqfc"/>
          <w:rFonts w:ascii="Times New Roman" w:hAnsi="Times New Roman"/>
          <w:szCs w:val="24"/>
        </w:rPr>
        <w:t xml:space="preserve"> </w:t>
      </w:r>
      <w:r>
        <w:rPr>
          <w:rStyle w:val="y2iqfc"/>
          <w:rFonts w:ascii="Times New Roman" w:hAnsi="Times New Roman"/>
          <w:szCs w:val="24"/>
        </w:rPr>
        <w:t>обухвата</w:t>
      </w:r>
      <w:r w:rsidR="0042679D" w:rsidRPr="0039301B">
        <w:rPr>
          <w:rStyle w:val="y2iqfc"/>
          <w:rFonts w:ascii="Times New Roman" w:hAnsi="Times New Roman"/>
          <w:szCs w:val="24"/>
        </w:rPr>
        <w:t xml:space="preserve"> </w:t>
      </w:r>
      <w:r w:rsidR="000A7A40" w:rsidRPr="000A7A40">
        <w:rPr>
          <w:rFonts w:ascii="Times New Roman" w:hAnsi="Times New Roman"/>
          <w:i/>
          <w:iCs/>
          <w:szCs w:val="24"/>
        </w:rPr>
        <w:t xml:space="preserve">UN Women, UNFPA, UNICEF </w:t>
      </w:r>
      <w:r w:rsidR="000A7A40" w:rsidRPr="000A7A40">
        <w:rPr>
          <w:rFonts w:ascii="Times New Roman" w:hAnsi="Times New Roman"/>
          <w:iCs/>
          <w:szCs w:val="24"/>
          <w:lang w:val="sr-Cyrl-BA"/>
        </w:rPr>
        <w:t>и</w:t>
      </w:r>
      <w:r w:rsidR="000A7A40" w:rsidRPr="000A7A40">
        <w:rPr>
          <w:rFonts w:ascii="Times New Roman" w:hAnsi="Times New Roman"/>
          <w:i/>
          <w:iCs/>
          <w:szCs w:val="24"/>
        </w:rPr>
        <w:t xml:space="preserve"> UNDP</w:t>
      </w:r>
      <w:r w:rsidR="0039301B">
        <w:rPr>
          <w:rStyle w:val="y2iqfc"/>
          <w:rFonts w:ascii="Times New Roman" w:hAnsi="Times New Roman"/>
          <w:szCs w:val="24"/>
        </w:rPr>
        <w:t xml:space="preserve">, </w:t>
      </w:r>
      <w:r>
        <w:rPr>
          <w:rStyle w:val="y2iqfc"/>
          <w:rFonts w:ascii="Times New Roman" w:hAnsi="Times New Roman"/>
          <w:szCs w:val="24"/>
        </w:rPr>
        <w:t>у</w:t>
      </w:r>
      <w:r w:rsidR="0039301B">
        <w:rPr>
          <w:rStyle w:val="y2iqfc"/>
          <w:rFonts w:ascii="Times New Roman" w:hAnsi="Times New Roman"/>
          <w:szCs w:val="24"/>
        </w:rPr>
        <w:t xml:space="preserve"> </w:t>
      </w:r>
      <w:r>
        <w:rPr>
          <w:rStyle w:val="y2iqfc"/>
          <w:rFonts w:ascii="Times New Roman" w:hAnsi="Times New Roman"/>
          <w:szCs w:val="24"/>
        </w:rPr>
        <w:t>партнерству</w:t>
      </w:r>
      <w:r w:rsidR="0039301B">
        <w:rPr>
          <w:rStyle w:val="y2iqfc"/>
          <w:rFonts w:ascii="Times New Roman" w:hAnsi="Times New Roman"/>
          <w:szCs w:val="24"/>
        </w:rPr>
        <w:t xml:space="preserve"> </w:t>
      </w:r>
      <w:r>
        <w:rPr>
          <w:rStyle w:val="y2iqfc"/>
          <w:rFonts w:ascii="Times New Roman" w:hAnsi="Times New Roman"/>
          <w:szCs w:val="24"/>
        </w:rPr>
        <w:t>са</w:t>
      </w:r>
      <w:r w:rsidR="0042679D" w:rsidRPr="0039301B">
        <w:rPr>
          <w:rStyle w:val="y2iqfc"/>
          <w:rFonts w:ascii="Times New Roman" w:hAnsi="Times New Roman"/>
          <w:szCs w:val="24"/>
        </w:rPr>
        <w:t xml:space="preserve"> </w:t>
      </w:r>
      <w:r>
        <w:rPr>
          <w:rStyle w:val="y2iqfc"/>
          <w:rFonts w:ascii="Times New Roman" w:hAnsi="Times New Roman"/>
          <w:szCs w:val="24"/>
        </w:rPr>
        <w:t>институционалним</w:t>
      </w:r>
      <w:r w:rsidR="0042679D" w:rsidRPr="0039301B">
        <w:rPr>
          <w:rStyle w:val="y2iqfc"/>
          <w:rFonts w:ascii="Times New Roman" w:hAnsi="Times New Roman"/>
          <w:szCs w:val="24"/>
        </w:rPr>
        <w:t xml:space="preserve"> </w:t>
      </w:r>
      <w:r>
        <w:rPr>
          <w:rStyle w:val="y2iqfc"/>
          <w:rFonts w:ascii="Times New Roman" w:hAnsi="Times New Roman"/>
          <w:szCs w:val="24"/>
        </w:rPr>
        <w:t>механизмима</w:t>
      </w:r>
      <w:r w:rsidR="0042679D" w:rsidRPr="0039301B">
        <w:rPr>
          <w:rStyle w:val="y2iqfc"/>
          <w:rFonts w:ascii="Times New Roman" w:hAnsi="Times New Roman"/>
          <w:szCs w:val="24"/>
        </w:rPr>
        <w:t xml:space="preserve"> </w:t>
      </w:r>
      <w:r>
        <w:rPr>
          <w:rStyle w:val="y2iqfc"/>
          <w:rFonts w:ascii="Times New Roman" w:hAnsi="Times New Roman"/>
          <w:szCs w:val="24"/>
        </w:rPr>
        <w:t>за</w:t>
      </w:r>
      <w:r w:rsidR="0042679D" w:rsidRPr="0039301B">
        <w:rPr>
          <w:rStyle w:val="y2iqfc"/>
          <w:rFonts w:ascii="Times New Roman" w:hAnsi="Times New Roman"/>
          <w:szCs w:val="24"/>
        </w:rPr>
        <w:t xml:space="preserve"> </w:t>
      </w:r>
      <w:r>
        <w:rPr>
          <w:rStyle w:val="y2iqfc"/>
          <w:rFonts w:ascii="Times New Roman" w:hAnsi="Times New Roman"/>
          <w:szCs w:val="24"/>
        </w:rPr>
        <w:t>равноправност</w:t>
      </w:r>
      <w:r w:rsidR="0042679D" w:rsidRPr="0039301B">
        <w:rPr>
          <w:rStyle w:val="y2iqfc"/>
          <w:rFonts w:ascii="Times New Roman" w:hAnsi="Times New Roman"/>
          <w:szCs w:val="24"/>
        </w:rPr>
        <w:t xml:space="preserve"> </w:t>
      </w:r>
      <w:r>
        <w:rPr>
          <w:rStyle w:val="y2iqfc"/>
          <w:rFonts w:ascii="Times New Roman" w:hAnsi="Times New Roman"/>
          <w:szCs w:val="24"/>
        </w:rPr>
        <w:t>полова</w:t>
      </w:r>
      <w:r w:rsidR="0042679D" w:rsidRPr="0039301B">
        <w:rPr>
          <w:rStyle w:val="y2iqfc"/>
          <w:rFonts w:ascii="Times New Roman" w:hAnsi="Times New Roman"/>
          <w:szCs w:val="24"/>
        </w:rPr>
        <w:t xml:space="preserve"> </w:t>
      </w:r>
      <w:r>
        <w:rPr>
          <w:rStyle w:val="y2iqfc"/>
          <w:rFonts w:ascii="Times New Roman" w:hAnsi="Times New Roman"/>
          <w:szCs w:val="24"/>
        </w:rPr>
        <w:t>и</w:t>
      </w:r>
      <w:r w:rsidR="0042679D" w:rsidRPr="0039301B">
        <w:rPr>
          <w:rStyle w:val="y2iqfc"/>
          <w:rFonts w:ascii="Times New Roman" w:hAnsi="Times New Roman"/>
          <w:szCs w:val="24"/>
        </w:rPr>
        <w:t xml:space="preserve"> </w:t>
      </w:r>
      <w:r>
        <w:rPr>
          <w:rStyle w:val="y2iqfc"/>
          <w:rFonts w:ascii="Times New Roman" w:hAnsi="Times New Roman"/>
          <w:szCs w:val="24"/>
        </w:rPr>
        <w:t>другим</w:t>
      </w:r>
      <w:r w:rsidR="0042679D" w:rsidRPr="0039301B">
        <w:rPr>
          <w:rStyle w:val="y2iqfc"/>
          <w:rFonts w:ascii="Times New Roman" w:hAnsi="Times New Roman"/>
          <w:szCs w:val="24"/>
        </w:rPr>
        <w:t xml:space="preserve"> </w:t>
      </w:r>
      <w:r>
        <w:rPr>
          <w:rStyle w:val="y2iqfc"/>
          <w:rFonts w:ascii="Times New Roman" w:hAnsi="Times New Roman"/>
          <w:szCs w:val="24"/>
        </w:rPr>
        <w:t>релевантним</w:t>
      </w:r>
      <w:r w:rsidR="0042679D" w:rsidRPr="0039301B">
        <w:rPr>
          <w:rStyle w:val="y2iqfc"/>
          <w:rFonts w:ascii="Times New Roman" w:hAnsi="Times New Roman"/>
          <w:szCs w:val="24"/>
        </w:rPr>
        <w:t xml:space="preserve"> </w:t>
      </w:r>
      <w:r>
        <w:rPr>
          <w:rStyle w:val="y2iqfc"/>
          <w:rFonts w:ascii="Times New Roman" w:hAnsi="Times New Roman"/>
          <w:szCs w:val="24"/>
        </w:rPr>
        <w:t>институцијама</w:t>
      </w:r>
      <w:r w:rsidR="0042679D" w:rsidRPr="0039301B">
        <w:rPr>
          <w:rStyle w:val="y2iqfc"/>
          <w:rFonts w:ascii="Times New Roman" w:hAnsi="Times New Roman"/>
          <w:szCs w:val="24"/>
        </w:rPr>
        <w:t xml:space="preserve"> </w:t>
      </w:r>
      <w:r>
        <w:rPr>
          <w:rStyle w:val="y2iqfc"/>
          <w:rFonts w:ascii="Times New Roman" w:hAnsi="Times New Roman"/>
          <w:szCs w:val="24"/>
        </w:rPr>
        <w:t>у</w:t>
      </w:r>
      <w:r w:rsidR="0042679D" w:rsidRPr="0039301B">
        <w:rPr>
          <w:rStyle w:val="y2iqfc"/>
          <w:rFonts w:ascii="Times New Roman" w:hAnsi="Times New Roman"/>
          <w:szCs w:val="24"/>
        </w:rPr>
        <w:t xml:space="preserve"> </w:t>
      </w:r>
      <w:r>
        <w:rPr>
          <w:rStyle w:val="y2iqfc"/>
          <w:rFonts w:ascii="Times New Roman" w:hAnsi="Times New Roman"/>
          <w:szCs w:val="24"/>
        </w:rPr>
        <w:t>БиХ</w:t>
      </w:r>
      <w:r w:rsidR="0042679D" w:rsidRPr="0039301B">
        <w:rPr>
          <w:rStyle w:val="y2iqfc"/>
          <w:rFonts w:ascii="Times New Roman" w:hAnsi="Times New Roman"/>
          <w:szCs w:val="24"/>
        </w:rPr>
        <w:t xml:space="preserve">, </w:t>
      </w:r>
      <w:r>
        <w:rPr>
          <w:rStyle w:val="y2iqfc"/>
          <w:rFonts w:ascii="Times New Roman" w:hAnsi="Times New Roman"/>
          <w:szCs w:val="24"/>
        </w:rPr>
        <w:t>пружа</w:t>
      </w:r>
      <w:r w:rsidR="0042679D" w:rsidRPr="0039301B">
        <w:rPr>
          <w:rStyle w:val="y2iqfc"/>
          <w:rFonts w:ascii="Times New Roman" w:hAnsi="Times New Roman"/>
          <w:szCs w:val="24"/>
        </w:rPr>
        <w:t xml:space="preserve"> </w:t>
      </w:r>
      <w:r>
        <w:rPr>
          <w:rStyle w:val="y2iqfc"/>
          <w:rFonts w:ascii="Times New Roman" w:hAnsi="Times New Roman"/>
          <w:szCs w:val="24"/>
        </w:rPr>
        <w:t>додатни</w:t>
      </w:r>
      <w:r w:rsidR="0042679D" w:rsidRPr="0039301B">
        <w:rPr>
          <w:rStyle w:val="y2iqfc"/>
          <w:rFonts w:ascii="Times New Roman" w:hAnsi="Times New Roman"/>
          <w:szCs w:val="24"/>
        </w:rPr>
        <w:t xml:space="preserve"> </w:t>
      </w:r>
      <w:r>
        <w:rPr>
          <w:rStyle w:val="y2iqfc"/>
          <w:rFonts w:ascii="Times New Roman" w:hAnsi="Times New Roman"/>
          <w:szCs w:val="24"/>
        </w:rPr>
        <w:t>замах</w:t>
      </w:r>
      <w:r w:rsidR="0042679D" w:rsidRPr="0039301B">
        <w:rPr>
          <w:rStyle w:val="y2iqfc"/>
          <w:rFonts w:ascii="Times New Roman" w:hAnsi="Times New Roman"/>
          <w:szCs w:val="24"/>
        </w:rPr>
        <w:t xml:space="preserve"> </w:t>
      </w:r>
      <w:r>
        <w:rPr>
          <w:rStyle w:val="y2iqfc"/>
          <w:rFonts w:ascii="Times New Roman" w:hAnsi="Times New Roman"/>
          <w:szCs w:val="24"/>
        </w:rPr>
        <w:t>у</w:t>
      </w:r>
      <w:r w:rsidR="0042679D" w:rsidRPr="0039301B">
        <w:rPr>
          <w:rStyle w:val="y2iqfc"/>
          <w:rFonts w:ascii="Times New Roman" w:hAnsi="Times New Roman"/>
          <w:szCs w:val="24"/>
        </w:rPr>
        <w:t xml:space="preserve"> </w:t>
      </w:r>
      <w:r>
        <w:rPr>
          <w:rStyle w:val="y2iqfc"/>
          <w:rFonts w:ascii="Times New Roman" w:hAnsi="Times New Roman"/>
          <w:szCs w:val="24"/>
        </w:rPr>
        <w:t>погледу</w:t>
      </w:r>
      <w:r w:rsidR="0042679D" w:rsidRPr="0039301B">
        <w:rPr>
          <w:rStyle w:val="y2iqfc"/>
          <w:rFonts w:ascii="Times New Roman" w:hAnsi="Times New Roman"/>
          <w:szCs w:val="24"/>
        </w:rPr>
        <w:t xml:space="preserve"> </w:t>
      </w:r>
      <w:r>
        <w:rPr>
          <w:rStyle w:val="y2iqfc"/>
          <w:rFonts w:ascii="Times New Roman" w:hAnsi="Times New Roman"/>
          <w:szCs w:val="24"/>
        </w:rPr>
        <w:t>равноправности</w:t>
      </w:r>
      <w:r w:rsidR="0042679D" w:rsidRPr="0039301B">
        <w:rPr>
          <w:rStyle w:val="y2iqfc"/>
          <w:rFonts w:ascii="Times New Roman" w:hAnsi="Times New Roman"/>
          <w:szCs w:val="24"/>
        </w:rPr>
        <w:t xml:space="preserve"> </w:t>
      </w:r>
      <w:r>
        <w:rPr>
          <w:rStyle w:val="y2iqfc"/>
          <w:rFonts w:ascii="Times New Roman" w:hAnsi="Times New Roman"/>
          <w:szCs w:val="24"/>
        </w:rPr>
        <w:t>полова</w:t>
      </w:r>
      <w:r w:rsidR="0042679D" w:rsidRPr="0039301B">
        <w:rPr>
          <w:rStyle w:val="y2iqfc"/>
          <w:rFonts w:ascii="Times New Roman" w:hAnsi="Times New Roman"/>
          <w:szCs w:val="24"/>
        </w:rPr>
        <w:t xml:space="preserve"> </w:t>
      </w:r>
      <w:r>
        <w:rPr>
          <w:rStyle w:val="y2iqfc"/>
          <w:rFonts w:ascii="Times New Roman" w:hAnsi="Times New Roman"/>
          <w:szCs w:val="24"/>
        </w:rPr>
        <w:t>као</w:t>
      </w:r>
      <w:r w:rsidR="0042679D" w:rsidRPr="0039301B">
        <w:rPr>
          <w:rStyle w:val="y2iqfc"/>
          <w:rFonts w:ascii="Times New Roman" w:hAnsi="Times New Roman"/>
          <w:szCs w:val="24"/>
        </w:rPr>
        <w:t xml:space="preserve"> </w:t>
      </w:r>
      <w:r>
        <w:rPr>
          <w:rStyle w:val="y2iqfc"/>
          <w:rFonts w:ascii="Times New Roman" w:hAnsi="Times New Roman"/>
          <w:szCs w:val="24"/>
        </w:rPr>
        <w:t>једног</w:t>
      </w:r>
      <w:r w:rsidR="0042679D" w:rsidRPr="0039301B">
        <w:rPr>
          <w:rStyle w:val="y2iqfc"/>
          <w:rFonts w:ascii="Times New Roman" w:hAnsi="Times New Roman"/>
          <w:szCs w:val="24"/>
        </w:rPr>
        <w:t xml:space="preserve"> </w:t>
      </w:r>
      <w:r>
        <w:rPr>
          <w:rStyle w:val="y2iqfc"/>
          <w:rFonts w:ascii="Times New Roman" w:hAnsi="Times New Roman"/>
          <w:szCs w:val="24"/>
        </w:rPr>
        <w:t>од</w:t>
      </w:r>
      <w:r w:rsidR="0042679D" w:rsidRPr="0039301B">
        <w:rPr>
          <w:rStyle w:val="y2iqfc"/>
          <w:rFonts w:ascii="Times New Roman" w:hAnsi="Times New Roman"/>
          <w:szCs w:val="24"/>
        </w:rPr>
        <w:t xml:space="preserve"> </w:t>
      </w:r>
      <w:r>
        <w:rPr>
          <w:rStyle w:val="y2iqfc"/>
          <w:rFonts w:ascii="Times New Roman" w:hAnsi="Times New Roman"/>
          <w:szCs w:val="24"/>
        </w:rPr>
        <w:t>основа</w:t>
      </w:r>
      <w:r w:rsidR="0042679D" w:rsidRPr="0039301B">
        <w:rPr>
          <w:rStyle w:val="y2iqfc"/>
          <w:rFonts w:ascii="Times New Roman" w:hAnsi="Times New Roman"/>
          <w:szCs w:val="24"/>
        </w:rPr>
        <w:t xml:space="preserve"> </w:t>
      </w:r>
      <w:r>
        <w:rPr>
          <w:rStyle w:val="y2iqfc"/>
          <w:rFonts w:ascii="Times New Roman" w:hAnsi="Times New Roman"/>
          <w:szCs w:val="24"/>
        </w:rPr>
        <w:t>постизања</w:t>
      </w:r>
      <w:r w:rsidR="0042679D" w:rsidRPr="0039301B">
        <w:rPr>
          <w:rStyle w:val="y2iqfc"/>
          <w:rFonts w:ascii="Times New Roman" w:hAnsi="Times New Roman"/>
          <w:szCs w:val="24"/>
        </w:rPr>
        <w:t xml:space="preserve"> </w:t>
      </w:r>
      <w:r w:rsidR="000A7A40" w:rsidRPr="000A7A40">
        <w:rPr>
          <w:rFonts w:ascii="Times New Roman" w:hAnsi="Times New Roman"/>
          <w:i/>
          <w:szCs w:val="24"/>
        </w:rPr>
        <w:t>SDG</w:t>
      </w:r>
      <w:r w:rsidR="0042679D" w:rsidRPr="0039301B">
        <w:rPr>
          <w:rStyle w:val="y2iqfc"/>
          <w:rFonts w:ascii="Times New Roman" w:hAnsi="Times New Roman"/>
          <w:szCs w:val="24"/>
        </w:rPr>
        <w:t xml:space="preserve"> </w:t>
      </w:r>
      <w:r>
        <w:rPr>
          <w:rStyle w:val="y2iqfc"/>
          <w:rFonts w:ascii="Times New Roman" w:hAnsi="Times New Roman"/>
          <w:szCs w:val="24"/>
        </w:rPr>
        <w:t>УН</w:t>
      </w:r>
      <w:r w:rsidR="0042679D" w:rsidRPr="0039301B">
        <w:rPr>
          <w:rStyle w:val="y2iqfc"/>
          <w:rFonts w:ascii="Times New Roman" w:hAnsi="Times New Roman"/>
          <w:szCs w:val="24"/>
        </w:rPr>
        <w:t>-</w:t>
      </w:r>
      <w:r>
        <w:rPr>
          <w:rStyle w:val="y2iqfc"/>
          <w:rFonts w:ascii="Times New Roman" w:hAnsi="Times New Roman"/>
          <w:szCs w:val="24"/>
        </w:rPr>
        <w:t>а</w:t>
      </w:r>
      <w:r w:rsidR="0042679D" w:rsidRPr="0039301B">
        <w:rPr>
          <w:rStyle w:val="y2iqfc"/>
          <w:rFonts w:ascii="Times New Roman" w:hAnsi="Times New Roman"/>
          <w:szCs w:val="24"/>
        </w:rPr>
        <w:t xml:space="preserve"> </w:t>
      </w:r>
      <w:r>
        <w:rPr>
          <w:rStyle w:val="y2iqfc"/>
          <w:rFonts w:ascii="Times New Roman" w:hAnsi="Times New Roman"/>
          <w:szCs w:val="24"/>
        </w:rPr>
        <w:t>и</w:t>
      </w:r>
      <w:r w:rsidR="0042679D" w:rsidRPr="0039301B">
        <w:rPr>
          <w:rStyle w:val="y2iqfc"/>
          <w:rFonts w:ascii="Times New Roman" w:hAnsi="Times New Roman"/>
          <w:szCs w:val="24"/>
        </w:rPr>
        <w:t xml:space="preserve"> </w:t>
      </w:r>
      <w:r>
        <w:rPr>
          <w:rStyle w:val="y2iqfc"/>
          <w:rFonts w:ascii="Times New Roman" w:hAnsi="Times New Roman"/>
          <w:szCs w:val="24"/>
        </w:rPr>
        <w:t>изградњу</w:t>
      </w:r>
      <w:r w:rsidR="0042679D" w:rsidRPr="0039301B">
        <w:rPr>
          <w:rStyle w:val="y2iqfc"/>
          <w:rFonts w:ascii="Times New Roman" w:hAnsi="Times New Roman"/>
          <w:szCs w:val="24"/>
        </w:rPr>
        <w:t xml:space="preserve"> </w:t>
      </w:r>
      <w:r>
        <w:rPr>
          <w:rStyle w:val="y2iqfc"/>
          <w:rFonts w:ascii="Times New Roman" w:hAnsi="Times New Roman"/>
          <w:szCs w:val="24"/>
        </w:rPr>
        <w:t>инклузивније</w:t>
      </w:r>
      <w:r w:rsidR="0042679D" w:rsidRPr="0039301B">
        <w:rPr>
          <w:rStyle w:val="y2iqfc"/>
          <w:rFonts w:ascii="Times New Roman" w:hAnsi="Times New Roman"/>
          <w:szCs w:val="24"/>
        </w:rPr>
        <w:t xml:space="preserve"> </w:t>
      </w:r>
      <w:r>
        <w:rPr>
          <w:rStyle w:val="y2iqfc"/>
          <w:rFonts w:ascii="Times New Roman" w:hAnsi="Times New Roman"/>
          <w:szCs w:val="24"/>
        </w:rPr>
        <w:t>будућности</w:t>
      </w:r>
      <w:r w:rsidR="0042679D" w:rsidRPr="0039301B">
        <w:rPr>
          <w:rStyle w:val="y2iqfc"/>
          <w:rFonts w:ascii="Times New Roman" w:hAnsi="Times New Roman"/>
          <w:szCs w:val="24"/>
        </w:rPr>
        <w:t xml:space="preserve"> </w:t>
      </w:r>
      <w:r>
        <w:rPr>
          <w:rStyle w:val="y2iqfc"/>
          <w:rFonts w:ascii="Times New Roman" w:hAnsi="Times New Roman"/>
          <w:szCs w:val="24"/>
        </w:rPr>
        <w:t>у</w:t>
      </w:r>
      <w:r w:rsidR="0042679D" w:rsidRPr="0039301B">
        <w:rPr>
          <w:rStyle w:val="y2iqfc"/>
          <w:rFonts w:ascii="Times New Roman" w:hAnsi="Times New Roman"/>
          <w:szCs w:val="24"/>
        </w:rPr>
        <w:t xml:space="preserve"> </w:t>
      </w:r>
      <w:r>
        <w:rPr>
          <w:rStyle w:val="y2iqfc"/>
          <w:rFonts w:ascii="Times New Roman" w:hAnsi="Times New Roman"/>
          <w:szCs w:val="24"/>
        </w:rPr>
        <w:t>нашој</w:t>
      </w:r>
      <w:r w:rsidR="0042679D" w:rsidRPr="0039301B">
        <w:rPr>
          <w:rStyle w:val="y2iqfc"/>
          <w:rFonts w:ascii="Times New Roman" w:hAnsi="Times New Roman"/>
          <w:szCs w:val="24"/>
        </w:rPr>
        <w:t xml:space="preserve"> </w:t>
      </w:r>
      <w:r>
        <w:rPr>
          <w:rStyle w:val="y2iqfc"/>
          <w:rFonts w:ascii="Times New Roman" w:hAnsi="Times New Roman"/>
          <w:szCs w:val="24"/>
        </w:rPr>
        <w:t>земљи</w:t>
      </w:r>
      <w:r w:rsidR="0042679D" w:rsidRPr="0039301B">
        <w:rPr>
          <w:rStyle w:val="y2iqfc"/>
          <w:rFonts w:ascii="Times New Roman" w:hAnsi="Times New Roman"/>
          <w:szCs w:val="24"/>
        </w:rPr>
        <w:t xml:space="preserve">. </w:t>
      </w:r>
      <w:r>
        <w:rPr>
          <w:rStyle w:val="y2iqfc"/>
          <w:rFonts w:ascii="Times New Roman" w:hAnsi="Times New Roman"/>
          <w:szCs w:val="24"/>
        </w:rPr>
        <w:t>Акцелератор</w:t>
      </w:r>
      <w:r w:rsidR="008E6656" w:rsidRPr="0039301B">
        <w:rPr>
          <w:rStyle w:val="y2iqfc"/>
          <w:rFonts w:ascii="Times New Roman" w:hAnsi="Times New Roman"/>
          <w:szCs w:val="24"/>
        </w:rPr>
        <w:t xml:space="preserve"> </w:t>
      </w:r>
      <w:r>
        <w:rPr>
          <w:rStyle w:val="y2iqfc"/>
          <w:rFonts w:ascii="Times New Roman" w:hAnsi="Times New Roman"/>
          <w:szCs w:val="24"/>
        </w:rPr>
        <w:t>равноправности</w:t>
      </w:r>
      <w:r w:rsidR="008E6656" w:rsidRPr="0039301B">
        <w:rPr>
          <w:rStyle w:val="y2iqfc"/>
          <w:rFonts w:ascii="Times New Roman" w:hAnsi="Times New Roman"/>
          <w:szCs w:val="24"/>
        </w:rPr>
        <w:t xml:space="preserve"> </w:t>
      </w:r>
      <w:r>
        <w:rPr>
          <w:rStyle w:val="y2iqfc"/>
          <w:rFonts w:ascii="Times New Roman" w:hAnsi="Times New Roman"/>
          <w:szCs w:val="24"/>
        </w:rPr>
        <w:t>полова</w:t>
      </w:r>
      <w:r w:rsidR="008E6656" w:rsidRPr="0039301B">
        <w:rPr>
          <w:rStyle w:val="y2iqfc"/>
          <w:rFonts w:ascii="Times New Roman" w:hAnsi="Times New Roman"/>
          <w:szCs w:val="24"/>
        </w:rPr>
        <w:t xml:space="preserve"> </w:t>
      </w:r>
      <w:r>
        <w:rPr>
          <w:rStyle w:val="y2iqfc"/>
          <w:rFonts w:ascii="Times New Roman" w:hAnsi="Times New Roman"/>
          <w:szCs w:val="24"/>
        </w:rPr>
        <w:t>доприноси</w:t>
      </w:r>
      <w:r w:rsidR="008E6656" w:rsidRPr="0039301B">
        <w:rPr>
          <w:rStyle w:val="y2iqfc"/>
          <w:rFonts w:ascii="Times New Roman" w:hAnsi="Times New Roman"/>
          <w:szCs w:val="24"/>
        </w:rPr>
        <w:t xml:space="preserve"> </w:t>
      </w:r>
      <w:r w:rsidR="000A7A40">
        <w:rPr>
          <w:rStyle w:val="y2iqfc"/>
          <w:rFonts w:ascii="Times New Roman" w:hAnsi="Times New Roman"/>
          <w:szCs w:val="24"/>
          <w:lang w:val="sr-Cyrl-BA"/>
        </w:rPr>
        <w:t>спровођењу</w:t>
      </w:r>
      <w:r w:rsidR="008E6656" w:rsidRPr="0039301B">
        <w:rPr>
          <w:rStyle w:val="y2iqfc"/>
          <w:rFonts w:ascii="Times New Roman" w:hAnsi="Times New Roman"/>
          <w:szCs w:val="24"/>
        </w:rPr>
        <w:t xml:space="preserve"> </w:t>
      </w:r>
      <w:r>
        <w:rPr>
          <w:rStyle w:val="y2iqfc"/>
          <w:rFonts w:ascii="Times New Roman" w:hAnsi="Times New Roman"/>
          <w:szCs w:val="24"/>
        </w:rPr>
        <w:t>Гендер</w:t>
      </w:r>
      <w:r w:rsidR="008E6656" w:rsidRPr="0039301B">
        <w:rPr>
          <w:rStyle w:val="y2iqfc"/>
          <w:rFonts w:ascii="Times New Roman" w:hAnsi="Times New Roman"/>
          <w:szCs w:val="24"/>
        </w:rPr>
        <w:t xml:space="preserve"> </w:t>
      </w:r>
      <w:r>
        <w:rPr>
          <w:rStyle w:val="y2iqfc"/>
          <w:rFonts w:ascii="Times New Roman" w:hAnsi="Times New Roman"/>
          <w:szCs w:val="24"/>
        </w:rPr>
        <w:t>акционог</w:t>
      </w:r>
      <w:r w:rsidR="00C52DE6">
        <w:rPr>
          <w:rStyle w:val="y2iqfc"/>
          <w:rFonts w:ascii="Times New Roman" w:hAnsi="Times New Roman"/>
          <w:szCs w:val="24"/>
        </w:rPr>
        <w:t xml:space="preserve"> </w:t>
      </w:r>
      <w:r>
        <w:rPr>
          <w:rStyle w:val="y2iqfc"/>
          <w:rFonts w:ascii="Times New Roman" w:hAnsi="Times New Roman"/>
          <w:szCs w:val="24"/>
        </w:rPr>
        <w:t>плана</w:t>
      </w:r>
      <w:r w:rsidR="008E6656" w:rsidRPr="0039301B">
        <w:rPr>
          <w:rStyle w:val="y2iqfc"/>
          <w:rFonts w:ascii="Times New Roman" w:hAnsi="Times New Roman"/>
          <w:szCs w:val="24"/>
        </w:rPr>
        <w:t xml:space="preserve"> 2023-2027</w:t>
      </w:r>
      <w:r w:rsidR="0039301B">
        <w:rPr>
          <w:rStyle w:val="y2iqfc"/>
          <w:rFonts w:ascii="Times New Roman" w:hAnsi="Times New Roman"/>
          <w:szCs w:val="24"/>
        </w:rPr>
        <w:t>.</w:t>
      </w:r>
      <w:r w:rsidR="008E6656" w:rsidRPr="0039301B">
        <w:rPr>
          <w:rStyle w:val="y2iqfc"/>
          <w:rFonts w:ascii="Times New Roman" w:hAnsi="Times New Roman"/>
          <w:szCs w:val="24"/>
        </w:rPr>
        <w:t xml:space="preserve"> </w:t>
      </w:r>
      <w:r>
        <w:rPr>
          <w:rStyle w:val="y2iqfc"/>
          <w:rFonts w:ascii="Times New Roman" w:hAnsi="Times New Roman"/>
          <w:szCs w:val="24"/>
        </w:rPr>
        <w:t>у</w:t>
      </w:r>
      <w:r w:rsidR="008E6656" w:rsidRPr="0039301B">
        <w:rPr>
          <w:rStyle w:val="y2iqfc"/>
          <w:rFonts w:ascii="Times New Roman" w:hAnsi="Times New Roman"/>
          <w:szCs w:val="24"/>
        </w:rPr>
        <w:t xml:space="preserve"> </w:t>
      </w:r>
      <w:r>
        <w:rPr>
          <w:rStyle w:val="y2iqfc"/>
          <w:rFonts w:ascii="Times New Roman" w:hAnsi="Times New Roman"/>
          <w:szCs w:val="24"/>
        </w:rPr>
        <w:t>БиХ</w:t>
      </w:r>
      <w:r w:rsidR="008E6656" w:rsidRPr="0039301B">
        <w:rPr>
          <w:rStyle w:val="y2iqfc"/>
          <w:rFonts w:ascii="Times New Roman" w:hAnsi="Times New Roman"/>
          <w:szCs w:val="24"/>
        </w:rPr>
        <w:t>.</w:t>
      </w:r>
    </w:p>
    <w:p w:rsidR="0042679D" w:rsidRPr="00B933C4" w:rsidRDefault="0042679D" w:rsidP="0086268D">
      <w:pPr>
        <w:pStyle w:val="ListParagraph"/>
        <w:rPr>
          <w:rFonts w:ascii="Times New Roman" w:hAnsi="Times New Roman"/>
          <w:szCs w:val="24"/>
          <w:lang w:val="bs-Latn-BA"/>
        </w:rPr>
      </w:pPr>
    </w:p>
    <w:p w:rsidR="0039796C" w:rsidRPr="00065589" w:rsidRDefault="00C6214E" w:rsidP="0039796C">
      <w:pPr>
        <w:pStyle w:val="ListParagraph"/>
        <w:numPr>
          <w:ilvl w:val="0"/>
          <w:numId w:val="17"/>
        </w:numPr>
        <w:tabs>
          <w:tab w:val="center" w:pos="4703"/>
          <w:tab w:val="right" w:pos="9406"/>
        </w:tabs>
        <w:jc w:val="both"/>
        <w:rPr>
          <w:rFonts w:ascii="Times New Roman" w:hAnsi="Times New Roman"/>
          <w:szCs w:val="24"/>
        </w:rPr>
      </w:pPr>
      <w:r>
        <w:rPr>
          <w:rFonts w:ascii="Times New Roman" w:hAnsi="Times New Roman"/>
          <w:szCs w:val="24"/>
        </w:rPr>
        <w:t>АР</w:t>
      </w:r>
      <w:r w:rsidR="0027046E">
        <w:rPr>
          <w:rFonts w:ascii="Times New Roman" w:hAnsi="Times New Roman"/>
          <w:szCs w:val="24"/>
          <w:lang w:val="sr-Cyrl-BA"/>
        </w:rPr>
        <w:t>П</w:t>
      </w:r>
      <w:r w:rsidR="0039301B">
        <w:rPr>
          <w:rFonts w:ascii="Times New Roman" w:hAnsi="Times New Roman"/>
          <w:szCs w:val="24"/>
        </w:rPr>
        <w:t xml:space="preserve"> </w:t>
      </w:r>
      <w:r>
        <w:rPr>
          <w:rFonts w:ascii="Times New Roman" w:hAnsi="Times New Roman"/>
          <w:szCs w:val="24"/>
        </w:rPr>
        <w:t>БиХ</w:t>
      </w:r>
      <w:r w:rsidR="0039301B">
        <w:rPr>
          <w:rFonts w:ascii="Times New Roman" w:hAnsi="Times New Roman"/>
          <w:szCs w:val="24"/>
        </w:rPr>
        <w:t xml:space="preserve"> </w:t>
      </w:r>
      <w:r>
        <w:rPr>
          <w:rFonts w:ascii="Times New Roman" w:hAnsi="Times New Roman"/>
          <w:szCs w:val="24"/>
        </w:rPr>
        <w:t>МЉПИ</w:t>
      </w:r>
      <w:r w:rsidR="0039301B">
        <w:rPr>
          <w:rFonts w:ascii="Times New Roman" w:hAnsi="Times New Roman"/>
          <w:szCs w:val="24"/>
        </w:rPr>
        <w:t xml:space="preserve"> </w:t>
      </w:r>
      <w:r>
        <w:rPr>
          <w:rFonts w:ascii="Times New Roman" w:hAnsi="Times New Roman"/>
          <w:szCs w:val="24"/>
        </w:rPr>
        <w:t>БиХ</w:t>
      </w:r>
      <w:r w:rsidR="0039796C" w:rsidRPr="00982E91">
        <w:rPr>
          <w:rFonts w:ascii="Times New Roman" w:hAnsi="Times New Roman"/>
          <w:szCs w:val="24"/>
        </w:rPr>
        <w:t xml:space="preserve"> </w:t>
      </w:r>
      <w:r>
        <w:rPr>
          <w:rFonts w:ascii="Times New Roman" w:hAnsi="Times New Roman"/>
          <w:szCs w:val="24"/>
        </w:rPr>
        <w:t>је</w:t>
      </w:r>
      <w:r w:rsidR="0039796C" w:rsidRPr="00982E91">
        <w:rPr>
          <w:rFonts w:ascii="Times New Roman" w:hAnsi="Times New Roman"/>
          <w:szCs w:val="24"/>
        </w:rPr>
        <w:t xml:space="preserve"> </w:t>
      </w:r>
      <w:r>
        <w:rPr>
          <w:rFonts w:ascii="Times New Roman" w:hAnsi="Times New Roman"/>
          <w:szCs w:val="24"/>
        </w:rPr>
        <w:t>сачинила</w:t>
      </w:r>
      <w:r w:rsidR="0039796C" w:rsidRPr="00982E91">
        <w:rPr>
          <w:rFonts w:ascii="Times New Roman" w:hAnsi="Times New Roman"/>
          <w:szCs w:val="24"/>
        </w:rPr>
        <w:t xml:space="preserve"> </w:t>
      </w:r>
      <w:r>
        <w:rPr>
          <w:rFonts w:ascii="Times New Roman" w:hAnsi="Times New Roman"/>
          <w:szCs w:val="24"/>
        </w:rPr>
        <w:t>први</w:t>
      </w:r>
      <w:r w:rsidR="0039796C" w:rsidRPr="00982E91">
        <w:rPr>
          <w:rFonts w:ascii="Times New Roman" w:hAnsi="Times New Roman"/>
          <w:szCs w:val="24"/>
        </w:rPr>
        <w:t xml:space="preserve"> </w:t>
      </w:r>
      <w:r>
        <w:rPr>
          <w:rFonts w:ascii="Times New Roman" w:hAnsi="Times New Roman"/>
          <w:szCs w:val="24"/>
        </w:rPr>
        <w:t>годишњи</w:t>
      </w:r>
      <w:r w:rsidR="0039796C" w:rsidRPr="00982E91">
        <w:rPr>
          <w:rFonts w:ascii="Times New Roman" w:hAnsi="Times New Roman"/>
          <w:szCs w:val="24"/>
        </w:rPr>
        <w:t xml:space="preserve"> </w:t>
      </w:r>
      <w:r>
        <w:rPr>
          <w:rFonts w:ascii="Times New Roman" w:hAnsi="Times New Roman"/>
          <w:szCs w:val="24"/>
        </w:rPr>
        <w:t>извјештај</w:t>
      </w:r>
      <w:r w:rsidR="0039796C" w:rsidRPr="00982E91">
        <w:rPr>
          <w:rFonts w:ascii="Times New Roman" w:hAnsi="Times New Roman"/>
          <w:szCs w:val="24"/>
        </w:rPr>
        <w:t xml:space="preserve"> </w:t>
      </w:r>
      <w:r>
        <w:rPr>
          <w:rFonts w:ascii="Times New Roman" w:hAnsi="Times New Roman"/>
          <w:szCs w:val="24"/>
        </w:rPr>
        <w:t>о</w:t>
      </w:r>
      <w:r w:rsidR="0039796C" w:rsidRPr="00982E91">
        <w:rPr>
          <w:rFonts w:ascii="Times New Roman" w:hAnsi="Times New Roman"/>
          <w:szCs w:val="24"/>
        </w:rPr>
        <w:t xml:space="preserve"> </w:t>
      </w:r>
      <w:r w:rsidR="0027046E">
        <w:rPr>
          <w:rFonts w:ascii="Times New Roman" w:hAnsi="Times New Roman"/>
          <w:szCs w:val="24"/>
          <w:lang w:val="sr-Cyrl-BA"/>
        </w:rPr>
        <w:t>спровођењу</w:t>
      </w:r>
      <w:r w:rsidR="0039796C" w:rsidRPr="00982E91">
        <w:rPr>
          <w:rFonts w:ascii="Times New Roman" w:hAnsi="Times New Roman"/>
          <w:szCs w:val="24"/>
        </w:rPr>
        <w:t xml:space="preserve"> </w:t>
      </w:r>
      <w:r>
        <w:rPr>
          <w:rFonts w:ascii="Times New Roman" w:hAnsi="Times New Roman"/>
          <w:szCs w:val="24"/>
        </w:rPr>
        <w:t>Акционог</w:t>
      </w:r>
      <w:r w:rsidR="0039796C" w:rsidRPr="00982E91">
        <w:rPr>
          <w:rFonts w:ascii="Times New Roman" w:hAnsi="Times New Roman"/>
          <w:szCs w:val="24"/>
        </w:rPr>
        <w:t xml:space="preserve"> </w:t>
      </w:r>
      <w:r>
        <w:rPr>
          <w:rFonts w:ascii="Times New Roman" w:hAnsi="Times New Roman"/>
          <w:szCs w:val="24"/>
        </w:rPr>
        <w:t>плана</w:t>
      </w:r>
      <w:r w:rsidR="0039796C" w:rsidRPr="00982E91">
        <w:rPr>
          <w:rFonts w:ascii="Times New Roman" w:hAnsi="Times New Roman"/>
          <w:szCs w:val="24"/>
        </w:rPr>
        <w:t xml:space="preserve"> </w:t>
      </w:r>
      <w:r>
        <w:rPr>
          <w:rFonts w:ascii="Times New Roman" w:hAnsi="Times New Roman"/>
          <w:szCs w:val="24"/>
        </w:rPr>
        <w:t>за</w:t>
      </w:r>
      <w:r w:rsidR="0039796C" w:rsidRPr="00982E91">
        <w:rPr>
          <w:rFonts w:ascii="Times New Roman" w:hAnsi="Times New Roman"/>
          <w:szCs w:val="24"/>
        </w:rPr>
        <w:t xml:space="preserve"> </w:t>
      </w:r>
      <w:r>
        <w:rPr>
          <w:rFonts w:ascii="Times New Roman" w:hAnsi="Times New Roman"/>
          <w:szCs w:val="24"/>
        </w:rPr>
        <w:t>унапређење</w:t>
      </w:r>
      <w:r w:rsidR="0039796C" w:rsidRPr="00982E91">
        <w:rPr>
          <w:rFonts w:ascii="Times New Roman" w:hAnsi="Times New Roman"/>
          <w:szCs w:val="24"/>
        </w:rPr>
        <w:t xml:space="preserve"> </w:t>
      </w:r>
      <w:r>
        <w:rPr>
          <w:rFonts w:ascii="Times New Roman" w:hAnsi="Times New Roman"/>
          <w:szCs w:val="24"/>
        </w:rPr>
        <w:t>људских</w:t>
      </w:r>
      <w:r w:rsidR="0039796C" w:rsidRPr="00982E91">
        <w:rPr>
          <w:rFonts w:ascii="Times New Roman" w:hAnsi="Times New Roman"/>
          <w:szCs w:val="24"/>
        </w:rPr>
        <w:t xml:space="preserve"> </w:t>
      </w:r>
      <w:r>
        <w:rPr>
          <w:rFonts w:ascii="Times New Roman" w:hAnsi="Times New Roman"/>
          <w:szCs w:val="24"/>
        </w:rPr>
        <w:t>права</w:t>
      </w:r>
      <w:r w:rsidR="0039796C" w:rsidRPr="00982E91">
        <w:rPr>
          <w:rFonts w:ascii="Times New Roman" w:hAnsi="Times New Roman"/>
          <w:szCs w:val="24"/>
        </w:rPr>
        <w:t xml:space="preserve"> </w:t>
      </w:r>
      <w:r>
        <w:rPr>
          <w:rFonts w:ascii="Times New Roman" w:hAnsi="Times New Roman"/>
          <w:szCs w:val="24"/>
        </w:rPr>
        <w:t>и</w:t>
      </w:r>
      <w:r w:rsidR="0039796C" w:rsidRPr="00982E91">
        <w:rPr>
          <w:rFonts w:ascii="Times New Roman" w:hAnsi="Times New Roman"/>
          <w:szCs w:val="24"/>
        </w:rPr>
        <w:t xml:space="preserve"> </w:t>
      </w:r>
      <w:r>
        <w:rPr>
          <w:rFonts w:ascii="Times New Roman" w:hAnsi="Times New Roman"/>
          <w:szCs w:val="24"/>
        </w:rPr>
        <w:t>основних</w:t>
      </w:r>
      <w:r w:rsidR="0039796C" w:rsidRPr="00982E91">
        <w:rPr>
          <w:rFonts w:ascii="Times New Roman" w:hAnsi="Times New Roman"/>
          <w:szCs w:val="24"/>
        </w:rPr>
        <w:t xml:space="preserve"> </w:t>
      </w:r>
      <w:r>
        <w:rPr>
          <w:rFonts w:ascii="Times New Roman" w:hAnsi="Times New Roman"/>
          <w:szCs w:val="24"/>
        </w:rPr>
        <w:t>слобода</w:t>
      </w:r>
      <w:r w:rsidR="0039796C" w:rsidRPr="00982E91">
        <w:rPr>
          <w:rFonts w:ascii="Times New Roman" w:hAnsi="Times New Roman"/>
          <w:szCs w:val="24"/>
        </w:rPr>
        <w:t xml:space="preserve"> </w:t>
      </w:r>
      <w:r>
        <w:rPr>
          <w:rFonts w:ascii="Times New Roman" w:hAnsi="Times New Roman"/>
          <w:szCs w:val="24"/>
        </w:rPr>
        <w:t>ЛГБТИ</w:t>
      </w:r>
      <w:r w:rsidR="0039796C" w:rsidRPr="00982E91">
        <w:rPr>
          <w:rFonts w:ascii="Times New Roman" w:hAnsi="Times New Roman"/>
          <w:szCs w:val="24"/>
        </w:rPr>
        <w:t xml:space="preserve"> </w:t>
      </w:r>
      <w:r>
        <w:rPr>
          <w:rFonts w:ascii="Times New Roman" w:hAnsi="Times New Roman"/>
          <w:szCs w:val="24"/>
        </w:rPr>
        <w:t>лица</w:t>
      </w:r>
      <w:r w:rsidR="0039796C" w:rsidRPr="00982E91">
        <w:rPr>
          <w:rFonts w:ascii="Times New Roman" w:hAnsi="Times New Roman"/>
          <w:szCs w:val="24"/>
        </w:rPr>
        <w:t xml:space="preserve"> </w:t>
      </w:r>
      <w:r>
        <w:rPr>
          <w:rFonts w:ascii="Times New Roman" w:hAnsi="Times New Roman"/>
          <w:szCs w:val="24"/>
        </w:rPr>
        <w:t>у</w:t>
      </w:r>
      <w:r w:rsidR="0039796C" w:rsidRPr="00982E91">
        <w:rPr>
          <w:rFonts w:ascii="Times New Roman" w:hAnsi="Times New Roman"/>
          <w:szCs w:val="24"/>
        </w:rPr>
        <w:t xml:space="preserve"> </w:t>
      </w:r>
      <w:r>
        <w:rPr>
          <w:rFonts w:ascii="Times New Roman" w:hAnsi="Times New Roman"/>
          <w:szCs w:val="24"/>
        </w:rPr>
        <w:t>Босни</w:t>
      </w:r>
      <w:r w:rsidR="0039796C" w:rsidRPr="00982E91">
        <w:rPr>
          <w:rFonts w:ascii="Times New Roman" w:hAnsi="Times New Roman"/>
          <w:szCs w:val="24"/>
        </w:rPr>
        <w:t xml:space="preserve"> </w:t>
      </w:r>
      <w:r>
        <w:rPr>
          <w:rFonts w:ascii="Times New Roman" w:hAnsi="Times New Roman"/>
          <w:szCs w:val="24"/>
        </w:rPr>
        <w:t>и</w:t>
      </w:r>
      <w:r w:rsidR="0039796C" w:rsidRPr="00982E91">
        <w:rPr>
          <w:rFonts w:ascii="Times New Roman" w:hAnsi="Times New Roman"/>
          <w:szCs w:val="24"/>
        </w:rPr>
        <w:t xml:space="preserve"> </w:t>
      </w:r>
      <w:r>
        <w:rPr>
          <w:rFonts w:ascii="Times New Roman" w:hAnsi="Times New Roman"/>
          <w:szCs w:val="24"/>
        </w:rPr>
        <w:t>Херцеговини</w:t>
      </w:r>
      <w:r w:rsidR="0039796C" w:rsidRPr="00982E91">
        <w:rPr>
          <w:rFonts w:ascii="Times New Roman" w:hAnsi="Times New Roman"/>
          <w:szCs w:val="24"/>
        </w:rPr>
        <w:t xml:space="preserve"> </w:t>
      </w:r>
      <w:r>
        <w:rPr>
          <w:rFonts w:ascii="Times New Roman" w:hAnsi="Times New Roman"/>
          <w:szCs w:val="24"/>
        </w:rPr>
        <w:t>за</w:t>
      </w:r>
      <w:r w:rsidR="0039796C" w:rsidRPr="00982E91">
        <w:rPr>
          <w:rFonts w:ascii="Times New Roman" w:hAnsi="Times New Roman"/>
          <w:szCs w:val="24"/>
        </w:rPr>
        <w:t xml:space="preserve"> </w:t>
      </w:r>
      <w:r>
        <w:rPr>
          <w:rFonts w:ascii="Times New Roman" w:hAnsi="Times New Roman"/>
          <w:szCs w:val="24"/>
        </w:rPr>
        <w:t>извјештајни</w:t>
      </w:r>
      <w:r w:rsidR="0039796C" w:rsidRPr="00982E91">
        <w:rPr>
          <w:rFonts w:ascii="Times New Roman" w:hAnsi="Times New Roman"/>
          <w:szCs w:val="24"/>
        </w:rPr>
        <w:t xml:space="preserve"> </w:t>
      </w:r>
      <w:r>
        <w:rPr>
          <w:rFonts w:ascii="Times New Roman" w:hAnsi="Times New Roman"/>
          <w:szCs w:val="24"/>
        </w:rPr>
        <w:t>период</w:t>
      </w:r>
      <w:r w:rsidR="0039796C" w:rsidRPr="00982E91">
        <w:rPr>
          <w:rFonts w:ascii="Times New Roman" w:hAnsi="Times New Roman"/>
          <w:szCs w:val="24"/>
        </w:rPr>
        <w:t xml:space="preserve"> </w:t>
      </w:r>
      <w:r w:rsidR="0027046E">
        <w:rPr>
          <w:rFonts w:ascii="Times New Roman" w:hAnsi="Times New Roman"/>
          <w:szCs w:val="24"/>
        </w:rPr>
        <w:t>јул</w:t>
      </w:r>
      <w:r w:rsidR="0039796C" w:rsidRPr="00982E91">
        <w:rPr>
          <w:rFonts w:ascii="Times New Roman" w:hAnsi="Times New Roman"/>
          <w:szCs w:val="24"/>
        </w:rPr>
        <w:t xml:space="preserve"> 2022</w:t>
      </w:r>
      <w:r w:rsidR="0039301B">
        <w:rPr>
          <w:rFonts w:ascii="Times New Roman" w:hAnsi="Times New Roman"/>
          <w:szCs w:val="24"/>
        </w:rPr>
        <w:t>.</w:t>
      </w:r>
      <w:r w:rsidR="0039796C" w:rsidRPr="00982E91">
        <w:rPr>
          <w:rFonts w:ascii="Times New Roman" w:hAnsi="Times New Roman"/>
          <w:szCs w:val="24"/>
        </w:rPr>
        <w:t xml:space="preserve"> – </w:t>
      </w:r>
      <w:r>
        <w:rPr>
          <w:rFonts w:ascii="Times New Roman" w:hAnsi="Times New Roman"/>
          <w:szCs w:val="24"/>
        </w:rPr>
        <w:t>децембар</w:t>
      </w:r>
      <w:r w:rsidR="0039796C" w:rsidRPr="00982E91">
        <w:rPr>
          <w:rFonts w:ascii="Times New Roman" w:hAnsi="Times New Roman"/>
          <w:szCs w:val="24"/>
        </w:rPr>
        <w:t xml:space="preserve"> 2023. </w:t>
      </w:r>
      <w:r>
        <w:rPr>
          <w:rFonts w:ascii="Times New Roman" w:hAnsi="Times New Roman"/>
          <w:szCs w:val="24"/>
        </w:rPr>
        <w:t>године</w:t>
      </w:r>
      <w:r w:rsidR="0039796C" w:rsidRPr="00982E91">
        <w:rPr>
          <w:rFonts w:ascii="Times New Roman" w:hAnsi="Times New Roman"/>
          <w:szCs w:val="24"/>
        </w:rPr>
        <w:t xml:space="preserve"> </w:t>
      </w:r>
      <w:r>
        <w:rPr>
          <w:rFonts w:ascii="Times New Roman" w:hAnsi="Times New Roman"/>
          <w:szCs w:val="24"/>
        </w:rPr>
        <w:t>који</w:t>
      </w:r>
      <w:r w:rsidR="0039796C" w:rsidRPr="00982E91">
        <w:rPr>
          <w:rFonts w:ascii="Times New Roman" w:hAnsi="Times New Roman"/>
          <w:szCs w:val="24"/>
        </w:rPr>
        <w:t xml:space="preserve"> </w:t>
      </w:r>
      <w:r>
        <w:rPr>
          <w:rFonts w:ascii="Times New Roman" w:hAnsi="Times New Roman"/>
          <w:szCs w:val="24"/>
        </w:rPr>
        <w:t>је</w:t>
      </w:r>
      <w:r w:rsidR="0039796C" w:rsidRPr="00982E91">
        <w:rPr>
          <w:rFonts w:ascii="Times New Roman" w:hAnsi="Times New Roman"/>
          <w:szCs w:val="24"/>
        </w:rPr>
        <w:t xml:space="preserve"> </w:t>
      </w:r>
      <w:r>
        <w:rPr>
          <w:rFonts w:ascii="Times New Roman" w:hAnsi="Times New Roman"/>
          <w:szCs w:val="24"/>
        </w:rPr>
        <w:t>усвојен</w:t>
      </w:r>
      <w:r w:rsidR="0039796C" w:rsidRPr="00982E91">
        <w:rPr>
          <w:rFonts w:ascii="Times New Roman" w:hAnsi="Times New Roman"/>
          <w:szCs w:val="24"/>
        </w:rPr>
        <w:t xml:space="preserve"> </w:t>
      </w:r>
      <w:r>
        <w:rPr>
          <w:rFonts w:ascii="Times New Roman" w:hAnsi="Times New Roman"/>
          <w:szCs w:val="24"/>
        </w:rPr>
        <w:t>на</w:t>
      </w:r>
      <w:r w:rsidR="0039796C" w:rsidRPr="00982E91">
        <w:rPr>
          <w:rFonts w:ascii="Times New Roman" w:hAnsi="Times New Roman"/>
          <w:szCs w:val="24"/>
        </w:rPr>
        <w:t xml:space="preserve"> 61. </w:t>
      </w:r>
      <w:r>
        <w:rPr>
          <w:rFonts w:ascii="Times New Roman" w:hAnsi="Times New Roman"/>
          <w:szCs w:val="24"/>
        </w:rPr>
        <w:t>сједници</w:t>
      </w:r>
      <w:r w:rsidR="0039796C" w:rsidRPr="00982E91">
        <w:rPr>
          <w:rFonts w:ascii="Times New Roman" w:hAnsi="Times New Roman"/>
          <w:szCs w:val="24"/>
        </w:rPr>
        <w:t xml:space="preserve"> </w:t>
      </w:r>
      <w:r w:rsidR="0027046E">
        <w:rPr>
          <w:rFonts w:ascii="Times New Roman" w:hAnsi="Times New Roman"/>
          <w:szCs w:val="24"/>
          <w:lang w:val="sr-Cyrl-BA"/>
        </w:rPr>
        <w:t>Савјета</w:t>
      </w:r>
      <w:r w:rsidR="0039796C" w:rsidRPr="00982E91">
        <w:rPr>
          <w:rFonts w:ascii="Times New Roman" w:hAnsi="Times New Roman"/>
          <w:szCs w:val="24"/>
        </w:rPr>
        <w:t xml:space="preserve"> </w:t>
      </w:r>
      <w:r>
        <w:rPr>
          <w:rFonts w:ascii="Times New Roman" w:hAnsi="Times New Roman"/>
          <w:szCs w:val="24"/>
        </w:rPr>
        <w:t>министара</w:t>
      </w:r>
      <w:r w:rsidR="0039796C" w:rsidRPr="00982E91">
        <w:rPr>
          <w:rFonts w:ascii="Times New Roman" w:hAnsi="Times New Roman"/>
          <w:szCs w:val="24"/>
        </w:rPr>
        <w:t xml:space="preserve"> </w:t>
      </w:r>
      <w:r>
        <w:rPr>
          <w:rFonts w:ascii="Times New Roman" w:hAnsi="Times New Roman"/>
          <w:szCs w:val="24"/>
        </w:rPr>
        <w:t>БиХ</w:t>
      </w:r>
      <w:r w:rsidR="0039796C" w:rsidRPr="00982E91">
        <w:rPr>
          <w:rFonts w:ascii="Times New Roman" w:hAnsi="Times New Roman"/>
          <w:szCs w:val="24"/>
        </w:rPr>
        <w:t xml:space="preserve">, </w:t>
      </w:r>
      <w:r>
        <w:rPr>
          <w:rFonts w:ascii="Times New Roman" w:hAnsi="Times New Roman"/>
          <w:szCs w:val="24"/>
        </w:rPr>
        <w:t>одржаној</w:t>
      </w:r>
      <w:r w:rsidR="0039796C" w:rsidRPr="00982E91">
        <w:rPr>
          <w:rFonts w:ascii="Times New Roman" w:hAnsi="Times New Roman"/>
          <w:szCs w:val="24"/>
        </w:rPr>
        <w:t xml:space="preserve"> </w:t>
      </w:r>
      <w:r>
        <w:rPr>
          <w:rFonts w:ascii="Times New Roman" w:hAnsi="Times New Roman"/>
          <w:szCs w:val="24"/>
        </w:rPr>
        <w:t>октобра</w:t>
      </w:r>
      <w:r w:rsidR="0039796C" w:rsidRPr="00982E91">
        <w:rPr>
          <w:rFonts w:ascii="Times New Roman" w:hAnsi="Times New Roman"/>
          <w:szCs w:val="24"/>
        </w:rPr>
        <w:t xml:space="preserve"> 2024. </w:t>
      </w:r>
      <w:r>
        <w:rPr>
          <w:rFonts w:ascii="Times New Roman" w:hAnsi="Times New Roman"/>
          <w:szCs w:val="24"/>
        </w:rPr>
        <w:t>године</w:t>
      </w:r>
      <w:r w:rsidR="0039796C" w:rsidRPr="00982E91">
        <w:rPr>
          <w:rFonts w:ascii="Times New Roman" w:hAnsi="Times New Roman"/>
          <w:szCs w:val="24"/>
        </w:rPr>
        <w:t xml:space="preserve">. </w:t>
      </w:r>
      <w:r>
        <w:rPr>
          <w:rFonts w:ascii="Times New Roman" w:hAnsi="Times New Roman"/>
          <w:szCs w:val="24"/>
        </w:rPr>
        <w:t>Извјештај</w:t>
      </w:r>
      <w:r w:rsidR="0039796C" w:rsidRPr="00982E91">
        <w:rPr>
          <w:rFonts w:ascii="Times New Roman" w:hAnsi="Times New Roman"/>
          <w:szCs w:val="24"/>
        </w:rPr>
        <w:t xml:space="preserve"> </w:t>
      </w:r>
      <w:r>
        <w:rPr>
          <w:rFonts w:ascii="Times New Roman" w:hAnsi="Times New Roman"/>
          <w:szCs w:val="24"/>
        </w:rPr>
        <w:t>презент</w:t>
      </w:r>
      <w:r w:rsidR="0027046E">
        <w:rPr>
          <w:rFonts w:ascii="Times New Roman" w:hAnsi="Times New Roman"/>
          <w:szCs w:val="24"/>
          <w:lang w:val="sr-Cyrl-BA"/>
        </w:rPr>
        <w:t>ује</w:t>
      </w:r>
      <w:r w:rsidR="0039796C" w:rsidRPr="00982E91">
        <w:rPr>
          <w:rFonts w:ascii="Times New Roman" w:hAnsi="Times New Roman"/>
          <w:szCs w:val="24"/>
        </w:rPr>
        <w:t xml:space="preserve"> </w:t>
      </w:r>
      <w:r>
        <w:rPr>
          <w:rFonts w:ascii="Times New Roman" w:hAnsi="Times New Roman"/>
          <w:szCs w:val="24"/>
        </w:rPr>
        <w:t>најважније</w:t>
      </w:r>
      <w:r w:rsidR="0039796C" w:rsidRPr="00982E91">
        <w:rPr>
          <w:rFonts w:ascii="Times New Roman" w:hAnsi="Times New Roman"/>
          <w:szCs w:val="24"/>
        </w:rPr>
        <w:t xml:space="preserve"> </w:t>
      </w:r>
      <w:r>
        <w:rPr>
          <w:rFonts w:ascii="Times New Roman" w:hAnsi="Times New Roman"/>
          <w:szCs w:val="24"/>
        </w:rPr>
        <w:t>информације</w:t>
      </w:r>
      <w:r w:rsidR="0039796C" w:rsidRPr="00982E91">
        <w:rPr>
          <w:rFonts w:ascii="Times New Roman" w:hAnsi="Times New Roman"/>
          <w:szCs w:val="24"/>
        </w:rPr>
        <w:t xml:space="preserve"> </w:t>
      </w:r>
      <w:r>
        <w:rPr>
          <w:rFonts w:ascii="Times New Roman" w:hAnsi="Times New Roman"/>
          <w:szCs w:val="24"/>
        </w:rPr>
        <w:t>о</w:t>
      </w:r>
      <w:r w:rsidR="0039796C" w:rsidRPr="00982E91">
        <w:rPr>
          <w:rFonts w:ascii="Times New Roman" w:hAnsi="Times New Roman"/>
          <w:szCs w:val="24"/>
        </w:rPr>
        <w:t xml:space="preserve"> </w:t>
      </w:r>
      <w:r>
        <w:rPr>
          <w:rFonts w:ascii="Times New Roman" w:hAnsi="Times New Roman"/>
          <w:szCs w:val="24"/>
        </w:rPr>
        <w:t>активностима</w:t>
      </w:r>
      <w:r w:rsidR="0039796C" w:rsidRPr="00982E91">
        <w:rPr>
          <w:rFonts w:ascii="Times New Roman" w:hAnsi="Times New Roman"/>
          <w:szCs w:val="24"/>
        </w:rPr>
        <w:t xml:space="preserve"> </w:t>
      </w:r>
      <w:r>
        <w:rPr>
          <w:rFonts w:ascii="Times New Roman" w:hAnsi="Times New Roman"/>
          <w:szCs w:val="24"/>
        </w:rPr>
        <w:t>релевантним</w:t>
      </w:r>
      <w:r w:rsidR="0039796C" w:rsidRPr="00982E91">
        <w:rPr>
          <w:rFonts w:ascii="Times New Roman" w:hAnsi="Times New Roman"/>
          <w:szCs w:val="24"/>
        </w:rPr>
        <w:t xml:space="preserve"> </w:t>
      </w:r>
      <w:r>
        <w:rPr>
          <w:rFonts w:ascii="Times New Roman" w:hAnsi="Times New Roman"/>
          <w:szCs w:val="24"/>
        </w:rPr>
        <w:t>за</w:t>
      </w:r>
      <w:r w:rsidR="0039796C" w:rsidRPr="00982E91">
        <w:rPr>
          <w:rFonts w:ascii="Times New Roman" w:hAnsi="Times New Roman"/>
          <w:szCs w:val="24"/>
        </w:rPr>
        <w:t xml:space="preserve"> </w:t>
      </w:r>
      <w:r>
        <w:rPr>
          <w:rFonts w:ascii="Times New Roman" w:hAnsi="Times New Roman"/>
          <w:szCs w:val="24"/>
        </w:rPr>
        <w:t>постизање</w:t>
      </w:r>
      <w:r w:rsidR="0039796C" w:rsidRPr="00982E91">
        <w:rPr>
          <w:rFonts w:ascii="Times New Roman" w:hAnsi="Times New Roman"/>
          <w:szCs w:val="24"/>
        </w:rPr>
        <w:t xml:space="preserve"> </w:t>
      </w:r>
      <w:r>
        <w:rPr>
          <w:rFonts w:ascii="Times New Roman" w:hAnsi="Times New Roman"/>
          <w:szCs w:val="24"/>
        </w:rPr>
        <w:t>оп</w:t>
      </w:r>
      <w:r w:rsidR="0027046E">
        <w:rPr>
          <w:rFonts w:ascii="Times New Roman" w:hAnsi="Times New Roman"/>
          <w:szCs w:val="24"/>
          <w:lang w:val="sr-Cyrl-BA"/>
        </w:rPr>
        <w:t>шт</w:t>
      </w:r>
      <w:r>
        <w:rPr>
          <w:rFonts w:ascii="Times New Roman" w:hAnsi="Times New Roman"/>
          <w:szCs w:val="24"/>
        </w:rPr>
        <w:t>их</w:t>
      </w:r>
      <w:r w:rsidR="0039796C" w:rsidRPr="00982E91">
        <w:rPr>
          <w:rFonts w:ascii="Times New Roman" w:hAnsi="Times New Roman"/>
          <w:szCs w:val="24"/>
        </w:rPr>
        <w:t xml:space="preserve"> </w:t>
      </w:r>
      <w:r>
        <w:rPr>
          <w:rFonts w:ascii="Times New Roman" w:hAnsi="Times New Roman"/>
          <w:szCs w:val="24"/>
        </w:rPr>
        <w:t>и</w:t>
      </w:r>
      <w:r w:rsidR="0039796C" w:rsidRPr="00982E91">
        <w:rPr>
          <w:rFonts w:ascii="Times New Roman" w:hAnsi="Times New Roman"/>
          <w:szCs w:val="24"/>
        </w:rPr>
        <w:t xml:space="preserve"> </w:t>
      </w:r>
      <w:r>
        <w:rPr>
          <w:rFonts w:ascii="Times New Roman" w:hAnsi="Times New Roman"/>
          <w:szCs w:val="24"/>
        </w:rPr>
        <w:t>стратешких</w:t>
      </w:r>
      <w:r w:rsidR="0039796C" w:rsidRPr="00982E91">
        <w:rPr>
          <w:rFonts w:ascii="Times New Roman" w:hAnsi="Times New Roman"/>
          <w:szCs w:val="24"/>
        </w:rPr>
        <w:t xml:space="preserve"> </w:t>
      </w:r>
      <w:r>
        <w:rPr>
          <w:rFonts w:ascii="Times New Roman" w:hAnsi="Times New Roman"/>
          <w:szCs w:val="24"/>
        </w:rPr>
        <w:t>циљева</w:t>
      </w:r>
      <w:r w:rsidR="0039796C" w:rsidRPr="00982E91">
        <w:rPr>
          <w:rFonts w:ascii="Times New Roman" w:hAnsi="Times New Roman"/>
          <w:szCs w:val="24"/>
        </w:rPr>
        <w:t xml:space="preserve"> </w:t>
      </w:r>
      <w:r>
        <w:rPr>
          <w:rFonts w:ascii="Times New Roman" w:hAnsi="Times New Roman"/>
          <w:szCs w:val="24"/>
        </w:rPr>
        <w:t>Акционог</w:t>
      </w:r>
      <w:r w:rsidR="0039796C" w:rsidRPr="00982E91">
        <w:rPr>
          <w:rFonts w:ascii="Times New Roman" w:hAnsi="Times New Roman"/>
          <w:szCs w:val="24"/>
        </w:rPr>
        <w:t xml:space="preserve"> </w:t>
      </w:r>
      <w:r>
        <w:rPr>
          <w:rFonts w:ascii="Times New Roman" w:hAnsi="Times New Roman"/>
          <w:szCs w:val="24"/>
        </w:rPr>
        <w:t>плана</w:t>
      </w:r>
      <w:r w:rsidR="0039796C" w:rsidRPr="00982E91">
        <w:rPr>
          <w:rFonts w:ascii="Times New Roman" w:hAnsi="Times New Roman"/>
          <w:szCs w:val="24"/>
        </w:rPr>
        <w:t xml:space="preserve">, </w:t>
      </w:r>
      <w:r>
        <w:rPr>
          <w:rFonts w:ascii="Times New Roman" w:hAnsi="Times New Roman"/>
          <w:szCs w:val="24"/>
        </w:rPr>
        <w:t>а</w:t>
      </w:r>
      <w:r w:rsidR="0039796C" w:rsidRPr="00982E91">
        <w:rPr>
          <w:rFonts w:ascii="Times New Roman" w:hAnsi="Times New Roman"/>
          <w:szCs w:val="24"/>
        </w:rPr>
        <w:t xml:space="preserve"> </w:t>
      </w:r>
      <w:r>
        <w:rPr>
          <w:rFonts w:ascii="Times New Roman" w:hAnsi="Times New Roman"/>
          <w:szCs w:val="24"/>
        </w:rPr>
        <w:t>АР</w:t>
      </w:r>
      <w:r w:rsidR="0027046E">
        <w:rPr>
          <w:rFonts w:ascii="Times New Roman" w:hAnsi="Times New Roman"/>
          <w:szCs w:val="24"/>
          <w:lang w:val="sr-Cyrl-BA"/>
        </w:rPr>
        <w:t>П</w:t>
      </w:r>
      <w:r w:rsidR="0039301B">
        <w:rPr>
          <w:rFonts w:ascii="Times New Roman" w:hAnsi="Times New Roman"/>
          <w:szCs w:val="24"/>
        </w:rPr>
        <w:t xml:space="preserve"> </w:t>
      </w:r>
      <w:r>
        <w:rPr>
          <w:rFonts w:ascii="Times New Roman" w:hAnsi="Times New Roman"/>
          <w:szCs w:val="24"/>
        </w:rPr>
        <w:t>БиХ</w:t>
      </w:r>
      <w:r w:rsidR="0039301B">
        <w:rPr>
          <w:rFonts w:ascii="Times New Roman" w:hAnsi="Times New Roman"/>
          <w:szCs w:val="24"/>
        </w:rPr>
        <w:t xml:space="preserve"> </w:t>
      </w:r>
      <w:r>
        <w:rPr>
          <w:rFonts w:ascii="Times New Roman" w:hAnsi="Times New Roman"/>
          <w:szCs w:val="24"/>
        </w:rPr>
        <w:t>МЉПИ</w:t>
      </w:r>
      <w:r w:rsidR="0039301B">
        <w:rPr>
          <w:rFonts w:ascii="Times New Roman" w:hAnsi="Times New Roman"/>
          <w:szCs w:val="24"/>
        </w:rPr>
        <w:t xml:space="preserve"> </w:t>
      </w:r>
      <w:r>
        <w:rPr>
          <w:rFonts w:ascii="Times New Roman" w:hAnsi="Times New Roman"/>
          <w:szCs w:val="24"/>
        </w:rPr>
        <w:t>БиХ</w:t>
      </w:r>
      <w:r w:rsidR="0039796C" w:rsidRPr="00982E91">
        <w:rPr>
          <w:rFonts w:ascii="Times New Roman" w:hAnsi="Times New Roman"/>
          <w:szCs w:val="24"/>
        </w:rPr>
        <w:t xml:space="preserve"> </w:t>
      </w:r>
      <w:r>
        <w:rPr>
          <w:rFonts w:ascii="Times New Roman" w:hAnsi="Times New Roman"/>
          <w:szCs w:val="24"/>
        </w:rPr>
        <w:t>је</w:t>
      </w:r>
      <w:r w:rsidR="0039796C" w:rsidRPr="00982E91">
        <w:rPr>
          <w:rFonts w:ascii="Times New Roman" w:hAnsi="Times New Roman"/>
          <w:szCs w:val="24"/>
        </w:rPr>
        <w:t xml:space="preserve"> </w:t>
      </w:r>
      <w:r>
        <w:rPr>
          <w:rFonts w:ascii="Times New Roman" w:hAnsi="Times New Roman"/>
          <w:szCs w:val="24"/>
        </w:rPr>
        <w:t>у</w:t>
      </w:r>
      <w:r w:rsidR="0039796C" w:rsidRPr="00982E91">
        <w:rPr>
          <w:rFonts w:ascii="Times New Roman" w:hAnsi="Times New Roman"/>
          <w:szCs w:val="24"/>
        </w:rPr>
        <w:t xml:space="preserve"> </w:t>
      </w:r>
      <w:r>
        <w:rPr>
          <w:rFonts w:ascii="Times New Roman" w:hAnsi="Times New Roman"/>
          <w:szCs w:val="24"/>
        </w:rPr>
        <w:t>јавности</w:t>
      </w:r>
      <w:r w:rsidR="0039796C" w:rsidRPr="00982E91">
        <w:rPr>
          <w:rFonts w:ascii="Times New Roman" w:hAnsi="Times New Roman"/>
          <w:szCs w:val="24"/>
        </w:rPr>
        <w:t xml:space="preserve"> </w:t>
      </w:r>
      <w:r>
        <w:rPr>
          <w:rFonts w:ascii="Times New Roman" w:hAnsi="Times New Roman"/>
          <w:szCs w:val="24"/>
        </w:rPr>
        <w:t>промови</w:t>
      </w:r>
      <w:r w:rsidR="0027046E">
        <w:rPr>
          <w:rFonts w:ascii="Times New Roman" w:hAnsi="Times New Roman"/>
          <w:szCs w:val="24"/>
          <w:lang w:val="sr-Cyrl-BA"/>
        </w:rPr>
        <w:t>с</w:t>
      </w:r>
      <w:r>
        <w:rPr>
          <w:rFonts w:ascii="Times New Roman" w:hAnsi="Times New Roman"/>
          <w:szCs w:val="24"/>
        </w:rPr>
        <w:t>ала</w:t>
      </w:r>
      <w:r w:rsidR="0039796C" w:rsidRPr="00982E91">
        <w:rPr>
          <w:rFonts w:ascii="Times New Roman" w:hAnsi="Times New Roman"/>
          <w:szCs w:val="24"/>
        </w:rPr>
        <w:t xml:space="preserve"> </w:t>
      </w:r>
      <w:r>
        <w:rPr>
          <w:rFonts w:ascii="Times New Roman" w:hAnsi="Times New Roman"/>
          <w:szCs w:val="24"/>
        </w:rPr>
        <w:t>налазе</w:t>
      </w:r>
      <w:r w:rsidR="0039796C" w:rsidRPr="00982E91">
        <w:rPr>
          <w:rFonts w:ascii="Times New Roman" w:hAnsi="Times New Roman"/>
          <w:szCs w:val="24"/>
        </w:rPr>
        <w:t xml:space="preserve"> </w:t>
      </w:r>
      <w:r>
        <w:rPr>
          <w:rFonts w:ascii="Times New Roman" w:hAnsi="Times New Roman"/>
          <w:szCs w:val="24"/>
        </w:rPr>
        <w:t>извјештаја</w:t>
      </w:r>
      <w:r w:rsidR="0039301B">
        <w:rPr>
          <w:rFonts w:ascii="Times New Roman" w:hAnsi="Times New Roman"/>
          <w:szCs w:val="24"/>
        </w:rPr>
        <w:t xml:space="preserve">, </w:t>
      </w:r>
      <w:r>
        <w:rPr>
          <w:rFonts w:ascii="Times New Roman" w:hAnsi="Times New Roman"/>
          <w:szCs w:val="24"/>
        </w:rPr>
        <w:t>са</w:t>
      </w:r>
      <w:r w:rsidR="0039301B">
        <w:rPr>
          <w:rFonts w:ascii="Times New Roman" w:hAnsi="Times New Roman"/>
          <w:szCs w:val="24"/>
        </w:rPr>
        <w:t xml:space="preserve"> </w:t>
      </w:r>
      <w:r>
        <w:rPr>
          <w:rFonts w:ascii="Times New Roman" w:hAnsi="Times New Roman"/>
          <w:szCs w:val="24"/>
        </w:rPr>
        <w:t>акцентом</w:t>
      </w:r>
      <w:r w:rsidR="0039301B">
        <w:rPr>
          <w:rFonts w:ascii="Times New Roman" w:hAnsi="Times New Roman"/>
          <w:szCs w:val="24"/>
        </w:rPr>
        <w:t xml:space="preserve"> </w:t>
      </w:r>
      <w:r>
        <w:rPr>
          <w:rFonts w:ascii="Times New Roman" w:hAnsi="Times New Roman"/>
          <w:szCs w:val="24"/>
        </w:rPr>
        <w:t>на</w:t>
      </w:r>
      <w:r w:rsidR="0039301B">
        <w:rPr>
          <w:rFonts w:ascii="Times New Roman" w:hAnsi="Times New Roman"/>
          <w:szCs w:val="24"/>
        </w:rPr>
        <w:t xml:space="preserve"> </w:t>
      </w:r>
      <w:r>
        <w:rPr>
          <w:rFonts w:ascii="Times New Roman" w:hAnsi="Times New Roman"/>
          <w:szCs w:val="24"/>
        </w:rPr>
        <w:t>преостале</w:t>
      </w:r>
      <w:r w:rsidR="0039301B">
        <w:rPr>
          <w:rFonts w:ascii="Times New Roman" w:hAnsi="Times New Roman"/>
          <w:szCs w:val="24"/>
        </w:rPr>
        <w:t xml:space="preserve"> </w:t>
      </w:r>
      <w:r>
        <w:rPr>
          <w:rFonts w:ascii="Times New Roman" w:hAnsi="Times New Roman"/>
          <w:szCs w:val="24"/>
        </w:rPr>
        <w:t>обавезе</w:t>
      </w:r>
      <w:r w:rsidR="0039796C" w:rsidRPr="00982E91">
        <w:rPr>
          <w:rFonts w:ascii="Times New Roman" w:hAnsi="Times New Roman"/>
          <w:szCs w:val="24"/>
        </w:rPr>
        <w:t xml:space="preserve"> </w:t>
      </w:r>
      <w:r>
        <w:rPr>
          <w:rFonts w:ascii="Times New Roman" w:hAnsi="Times New Roman"/>
          <w:szCs w:val="24"/>
        </w:rPr>
        <w:t>и</w:t>
      </w:r>
      <w:r w:rsidR="0039796C" w:rsidRPr="00982E91">
        <w:rPr>
          <w:rFonts w:ascii="Times New Roman" w:hAnsi="Times New Roman"/>
          <w:szCs w:val="24"/>
        </w:rPr>
        <w:t xml:space="preserve"> </w:t>
      </w:r>
      <w:r>
        <w:rPr>
          <w:rFonts w:ascii="Times New Roman" w:hAnsi="Times New Roman"/>
          <w:szCs w:val="24"/>
        </w:rPr>
        <w:t>изазове</w:t>
      </w:r>
      <w:r w:rsidR="0039796C" w:rsidRPr="00982E91">
        <w:rPr>
          <w:rFonts w:ascii="Times New Roman" w:hAnsi="Times New Roman"/>
          <w:szCs w:val="24"/>
        </w:rPr>
        <w:t xml:space="preserve"> </w:t>
      </w:r>
      <w:r>
        <w:rPr>
          <w:rFonts w:ascii="Times New Roman" w:hAnsi="Times New Roman"/>
          <w:szCs w:val="24"/>
        </w:rPr>
        <w:t>које</w:t>
      </w:r>
      <w:r w:rsidR="0039796C" w:rsidRPr="00982E91">
        <w:rPr>
          <w:rFonts w:ascii="Times New Roman" w:hAnsi="Times New Roman"/>
          <w:szCs w:val="24"/>
        </w:rPr>
        <w:t xml:space="preserve"> </w:t>
      </w:r>
      <w:r>
        <w:rPr>
          <w:rFonts w:ascii="Times New Roman" w:hAnsi="Times New Roman"/>
          <w:szCs w:val="24"/>
        </w:rPr>
        <w:t>се</w:t>
      </w:r>
      <w:r w:rsidR="0039796C" w:rsidRPr="00982E91">
        <w:rPr>
          <w:rFonts w:ascii="Times New Roman" w:hAnsi="Times New Roman"/>
          <w:szCs w:val="24"/>
        </w:rPr>
        <w:t xml:space="preserve"> </w:t>
      </w:r>
      <w:r>
        <w:rPr>
          <w:rFonts w:ascii="Times New Roman" w:hAnsi="Times New Roman"/>
          <w:szCs w:val="24"/>
        </w:rPr>
        <w:t>тичу</w:t>
      </w:r>
      <w:r w:rsidR="0039796C" w:rsidRPr="00982E91">
        <w:rPr>
          <w:rFonts w:ascii="Times New Roman" w:hAnsi="Times New Roman"/>
          <w:szCs w:val="24"/>
        </w:rPr>
        <w:t xml:space="preserve"> </w:t>
      </w:r>
      <w:r>
        <w:rPr>
          <w:rFonts w:ascii="Times New Roman" w:hAnsi="Times New Roman"/>
          <w:szCs w:val="24"/>
        </w:rPr>
        <w:t>положаја</w:t>
      </w:r>
      <w:r w:rsidR="0039796C" w:rsidRPr="00982E91">
        <w:rPr>
          <w:rFonts w:ascii="Times New Roman" w:hAnsi="Times New Roman"/>
          <w:szCs w:val="24"/>
        </w:rPr>
        <w:t xml:space="preserve"> </w:t>
      </w:r>
      <w:r>
        <w:rPr>
          <w:rFonts w:ascii="Times New Roman" w:hAnsi="Times New Roman"/>
          <w:szCs w:val="24"/>
        </w:rPr>
        <w:t>ЛГБТИ</w:t>
      </w:r>
      <w:r w:rsidR="0039796C" w:rsidRPr="00982E91">
        <w:rPr>
          <w:rFonts w:ascii="Times New Roman" w:hAnsi="Times New Roman"/>
          <w:szCs w:val="24"/>
        </w:rPr>
        <w:t xml:space="preserve"> </w:t>
      </w:r>
      <w:r>
        <w:rPr>
          <w:rFonts w:ascii="Times New Roman" w:hAnsi="Times New Roman"/>
          <w:szCs w:val="24"/>
        </w:rPr>
        <w:t>лица</w:t>
      </w:r>
      <w:r w:rsidR="0039796C" w:rsidRPr="00982E91">
        <w:rPr>
          <w:rFonts w:ascii="Times New Roman" w:hAnsi="Times New Roman"/>
          <w:szCs w:val="24"/>
        </w:rPr>
        <w:t xml:space="preserve"> </w:t>
      </w:r>
      <w:r>
        <w:rPr>
          <w:rFonts w:ascii="Times New Roman" w:hAnsi="Times New Roman"/>
          <w:szCs w:val="24"/>
        </w:rPr>
        <w:t>у</w:t>
      </w:r>
      <w:r w:rsidR="0039796C" w:rsidRPr="00982E91">
        <w:rPr>
          <w:rFonts w:ascii="Times New Roman" w:hAnsi="Times New Roman"/>
          <w:szCs w:val="24"/>
        </w:rPr>
        <w:t xml:space="preserve"> </w:t>
      </w:r>
      <w:r>
        <w:rPr>
          <w:rFonts w:ascii="Times New Roman" w:hAnsi="Times New Roman"/>
          <w:szCs w:val="24"/>
        </w:rPr>
        <w:t>бх</w:t>
      </w:r>
      <w:r w:rsidR="0039796C" w:rsidRPr="00982E91">
        <w:rPr>
          <w:rFonts w:ascii="Times New Roman" w:hAnsi="Times New Roman"/>
          <w:szCs w:val="24"/>
        </w:rPr>
        <w:t xml:space="preserve">. </w:t>
      </w:r>
      <w:r>
        <w:rPr>
          <w:rFonts w:ascii="Times New Roman" w:hAnsi="Times New Roman"/>
          <w:szCs w:val="24"/>
        </w:rPr>
        <w:t>друштву</w:t>
      </w:r>
      <w:r w:rsidR="0039796C" w:rsidRPr="00982E91">
        <w:rPr>
          <w:rFonts w:ascii="Times New Roman" w:hAnsi="Times New Roman"/>
          <w:szCs w:val="24"/>
        </w:rPr>
        <w:t xml:space="preserve">. </w:t>
      </w:r>
    </w:p>
    <w:p w:rsidR="0039796C" w:rsidRDefault="0039796C" w:rsidP="0039796C">
      <w:pPr>
        <w:pStyle w:val="ListParagraph"/>
        <w:ind w:left="720"/>
        <w:jc w:val="both"/>
        <w:rPr>
          <w:rFonts w:ascii="Times New Roman" w:hAnsi="Times New Roman"/>
          <w:szCs w:val="24"/>
          <w:lang w:val="bs-Latn-BA"/>
        </w:rPr>
      </w:pPr>
    </w:p>
    <w:p w:rsidR="0042679D" w:rsidRPr="00740BEE" w:rsidRDefault="00C6214E" w:rsidP="0086268D">
      <w:pPr>
        <w:pStyle w:val="ListParagraph"/>
        <w:numPr>
          <w:ilvl w:val="0"/>
          <w:numId w:val="17"/>
        </w:numPr>
        <w:jc w:val="both"/>
        <w:rPr>
          <w:rFonts w:ascii="Times New Roman" w:hAnsi="Times New Roman"/>
          <w:szCs w:val="24"/>
          <w:lang w:val="bs-Latn-BA"/>
        </w:rPr>
      </w:pPr>
      <w:r>
        <w:rPr>
          <w:rFonts w:ascii="Times New Roman" w:hAnsi="Times New Roman"/>
          <w:szCs w:val="24"/>
          <w:lang w:val="bs-Latn-BA"/>
        </w:rPr>
        <w:t>ГЦ</w:t>
      </w:r>
      <w:r w:rsidR="0039301B" w:rsidRPr="00740BEE">
        <w:rPr>
          <w:rFonts w:ascii="Times New Roman" w:hAnsi="Times New Roman"/>
          <w:szCs w:val="24"/>
          <w:lang w:val="bs-Latn-BA"/>
        </w:rPr>
        <w:t xml:space="preserve"> </w:t>
      </w:r>
      <w:r>
        <w:rPr>
          <w:rFonts w:ascii="Times New Roman" w:hAnsi="Times New Roman"/>
          <w:szCs w:val="24"/>
          <w:lang w:val="bs-Latn-BA"/>
        </w:rPr>
        <w:t>ФБиХ</w:t>
      </w:r>
      <w:r w:rsidR="0042679D" w:rsidRPr="00740BEE">
        <w:rPr>
          <w:rFonts w:ascii="Times New Roman" w:hAnsi="Times New Roman"/>
          <w:szCs w:val="24"/>
          <w:lang w:val="bs-Latn-BA"/>
        </w:rPr>
        <w:t xml:space="preserve"> </w:t>
      </w:r>
      <w:r>
        <w:rPr>
          <w:rFonts w:ascii="Times New Roman" w:hAnsi="Times New Roman"/>
          <w:szCs w:val="24"/>
          <w:lang w:val="bs-Latn-BA"/>
        </w:rPr>
        <w:t>је</w:t>
      </w:r>
      <w:r w:rsidR="0042679D" w:rsidRPr="00740BEE">
        <w:rPr>
          <w:rFonts w:ascii="Times New Roman" w:hAnsi="Times New Roman"/>
          <w:szCs w:val="24"/>
          <w:lang w:val="bs-Latn-BA"/>
        </w:rPr>
        <w:t xml:space="preserve"> </w:t>
      </w:r>
      <w:r>
        <w:rPr>
          <w:rFonts w:ascii="Times New Roman" w:hAnsi="Times New Roman"/>
          <w:szCs w:val="24"/>
          <w:lang w:val="bs-Latn-BA"/>
        </w:rPr>
        <w:t>унапређивао</w:t>
      </w:r>
      <w:r w:rsidR="0042679D" w:rsidRPr="00740BEE">
        <w:rPr>
          <w:rFonts w:ascii="Times New Roman" w:hAnsi="Times New Roman"/>
          <w:szCs w:val="24"/>
          <w:lang w:val="bs-Latn-BA"/>
        </w:rPr>
        <w:t xml:space="preserve"> </w:t>
      </w:r>
      <w:r>
        <w:rPr>
          <w:rFonts w:ascii="Times New Roman" w:hAnsi="Times New Roman"/>
          <w:szCs w:val="24"/>
          <w:lang w:val="bs-Latn-BA"/>
        </w:rPr>
        <w:t>сарадњу</w:t>
      </w:r>
      <w:r w:rsidR="0039301B" w:rsidRPr="00740BEE">
        <w:rPr>
          <w:rFonts w:ascii="Times New Roman" w:hAnsi="Times New Roman"/>
          <w:szCs w:val="24"/>
          <w:lang w:val="bs-Latn-BA"/>
        </w:rPr>
        <w:t xml:space="preserve"> </w:t>
      </w:r>
      <w:r>
        <w:rPr>
          <w:rFonts w:ascii="Times New Roman" w:hAnsi="Times New Roman"/>
          <w:szCs w:val="24"/>
          <w:lang w:val="bs-Latn-BA"/>
        </w:rPr>
        <w:t>са</w:t>
      </w:r>
      <w:r w:rsidR="0042679D" w:rsidRPr="00740BEE">
        <w:rPr>
          <w:rFonts w:ascii="Times New Roman" w:hAnsi="Times New Roman"/>
          <w:szCs w:val="24"/>
          <w:lang w:val="bs-Latn-BA"/>
        </w:rPr>
        <w:t xml:space="preserve"> </w:t>
      </w:r>
      <w:r>
        <w:rPr>
          <w:rFonts w:ascii="Times New Roman" w:hAnsi="Times New Roman"/>
          <w:szCs w:val="24"/>
          <w:lang w:val="bs-Latn-BA"/>
        </w:rPr>
        <w:t>комисијама</w:t>
      </w:r>
      <w:r w:rsidR="0042679D" w:rsidRPr="00740BEE">
        <w:rPr>
          <w:rFonts w:ascii="Times New Roman" w:hAnsi="Times New Roman"/>
          <w:szCs w:val="24"/>
          <w:lang w:val="bs-Latn-BA"/>
        </w:rPr>
        <w:t xml:space="preserve"> </w:t>
      </w:r>
      <w:r>
        <w:rPr>
          <w:rFonts w:ascii="Times New Roman" w:hAnsi="Times New Roman"/>
          <w:szCs w:val="24"/>
          <w:lang w:val="bs-Latn-BA"/>
        </w:rPr>
        <w:t>Парламента</w:t>
      </w:r>
      <w:r w:rsidR="0042679D" w:rsidRPr="00740BEE">
        <w:rPr>
          <w:rFonts w:ascii="Times New Roman" w:hAnsi="Times New Roman"/>
          <w:szCs w:val="24"/>
          <w:lang w:val="bs-Latn-BA"/>
        </w:rPr>
        <w:t xml:space="preserve"> </w:t>
      </w:r>
      <w:r>
        <w:rPr>
          <w:rFonts w:ascii="Times New Roman" w:hAnsi="Times New Roman"/>
          <w:szCs w:val="24"/>
          <w:lang w:val="bs-Latn-BA"/>
        </w:rPr>
        <w:t>ФБиХ</w:t>
      </w:r>
      <w:r w:rsidR="0042679D" w:rsidRPr="00740BEE">
        <w:rPr>
          <w:rFonts w:ascii="Times New Roman" w:hAnsi="Times New Roman"/>
          <w:szCs w:val="24"/>
          <w:lang w:val="bs-Latn-BA"/>
        </w:rPr>
        <w:t xml:space="preserve">, </w:t>
      </w:r>
      <w:r>
        <w:rPr>
          <w:rFonts w:ascii="Times New Roman" w:hAnsi="Times New Roman"/>
          <w:szCs w:val="24"/>
          <w:lang w:val="bs-Latn-BA"/>
        </w:rPr>
        <w:t>те</w:t>
      </w:r>
      <w:r w:rsidR="0042679D" w:rsidRPr="00740BEE">
        <w:rPr>
          <w:rFonts w:ascii="Times New Roman" w:hAnsi="Times New Roman"/>
          <w:szCs w:val="24"/>
          <w:lang w:val="bs-Latn-BA"/>
        </w:rPr>
        <w:t xml:space="preserve"> </w:t>
      </w:r>
      <w:r>
        <w:rPr>
          <w:rFonts w:ascii="Times New Roman" w:hAnsi="Times New Roman"/>
          <w:szCs w:val="24"/>
          <w:lang w:val="bs-Latn-BA"/>
        </w:rPr>
        <w:t>је</w:t>
      </w:r>
      <w:r w:rsidR="0042679D" w:rsidRPr="00740BEE">
        <w:rPr>
          <w:rFonts w:ascii="Times New Roman" w:hAnsi="Times New Roman"/>
          <w:szCs w:val="24"/>
          <w:lang w:val="bs-Latn-BA"/>
        </w:rPr>
        <w:t xml:space="preserve"> </w:t>
      </w:r>
      <w:r>
        <w:rPr>
          <w:rFonts w:ascii="Times New Roman" w:hAnsi="Times New Roman"/>
          <w:szCs w:val="24"/>
          <w:lang w:val="bs-Latn-BA"/>
        </w:rPr>
        <w:t>у</w:t>
      </w:r>
      <w:r w:rsidR="00FD0C6A" w:rsidRPr="00740BEE">
        <w:rPr>
          <w:rFonts w:ascii="Times New Roman" w:hAnsi="Times New Roman"/>
          <w:szCs w:val="24"/>
          <w:lang w:val="bs-Latn-BA"/>
        </w:rPr>
        <w:t xml:space="preserve"> </w:t>
      </w:r>
      <w:r>
        <w:rPr>
          <w:rFonts w:ascii="Times New Roman" w:hAnsi="Times New Roman"/>
          <w:szCs w:val="24"/>
          <w:lang w:val="bs-Latn-BA"/>
        </w:rPr>
        <w:t>сарадњи</w:t>
      </w:r>
      <w:r w:rsidR="00FD0C6A" w:rsidRPr="00740BEE">
        <w:rPr>
          <w:rFonts w:ascii="Times New Roman" w:hAnsi="Times New Roman"/>
          <w:szCs w:val="24"/>
          <w:lang w:val="bs-Latn-BA"/>
        </w:rPr>
        <w:t xml:space="preserve"> </w:t>
      </w:r>
      <w:r>
        <w:rPr>
          <w:rFonts w:ascii="Times New Roman" w:hAnsi="Times New Roman"/>
          <w:szCs w:val="24"/>
          <w:lang w:val="bs-Latn-BA"/>
        </w:rPr>
        <w:t>са</w:t>
      </w:r>
      <w:r w:rsidR="00FD0C6A" w:rsidRPr="00740BEE">
        <w:rPr>
          <w:rFonts w:ascii="Times New Roman" w:hAnsi="Times New Roman"/>
          <w:szCs w:val="24"/>
          <w:lang w:val="bs-Latn-BA"/>
        </w:rPr>
        <w:t xml:space="preserve"> </w:t>
      </w:r>
      <w:r>
        <w:rPr>
          <w:rFonts w:ascii="Times New Roman" w:hAnsi="Times New Roman"/>
          <w:szCs w:val="24"/>
          <w:lang w:val="bs-Latn-BA"/>
        </w:rPr>
        <w:t>федералним</w:t>
      </w:r>
      <w:r w:rsidR="00FD0C6A" w:rsidRPr="00740BEE">
        <w:rPr>
          <w:rFonts w:ascii="Times New Roman" w:hAnsi="Times New Roman"/>
          <w:szCs w:val="24"/>
          <w:lang w:val="bs-Latn-BA"/>
        </w:rPr>
        <w:t xml:space="preserve"> </w:t>
      </w:r>
      <w:r>
        <w:rPr>
          <w:rFonts w:ascii="Times New Roman" w:hAnsi="Times New Roman"/>
          <w:szCs w:val="24"/>
          <w:lang w:val="bs-Latn-BA"/>
        </w:rPr>
        <w:t>институцијама</w:t>
      </w:r>
      <w:r w:rsidR="00FD0C6A" w:rsidRPr="00740BEE">
        <w:rPr>
          <w:rFonts w:ascii="Times New Roman" w:hAnsi="Times New Roman"/>
          <w:szCs w:val="24"/>
          <w:lang w:val="bs-Latn-BA"/>
        </w:rPr>
        <w:t xml:space="preserve">, </w:t>
      </w:r>
      <w:r>
        <w:rPr>
          <w:rFonts w:ascii="Times New Roman" w:hAnsi="Times New Roman"/>
          <w:szCs w:val="24"/>
          <w:lang w:val="bs-Latn-BA"/>
        </w:rPr>
        <w:t>међународним</w:t>
      </w:r>
      <w:r w:rsidR="00FD0C6A" w:rsidRPr="00740BEE">
        <w:rPr>
          <w:rFonts w:ascii="Times New Roman" w:hAnsi="Times New Roman"/>
          <w:szCs w:val="24"/>
          <w:lang w:val="bs-Latn-BA"/>
        </w:rPr>
        <w:t xml:space="preserve"> </w:t>
      </w:r>
      <w:r>
        <w:rPr>
          <w:rFonts w:ascii="Times New Roman" w:hAnsi="Times New Roman"/>
          <w:szCs w:val="24"/>
          <w:lang w:val="bs-Latn-BA"/>
        </w:rPr>
        <w:t>институцијама</w:t>
      </w:r>
      <w:r w:rsidR="00FD0C6A" w:rsidRPr="00740BEE">
        <w:rPr>
          <w:rFonts w:ascii="Times New Roman" w:hAnsi="Times New Roman"/>
          <w:szCs w:val="24"/>
          <w:lang w:val="bs-Latn-BA"/>
        </w:rPr>
        <w:t xml:space="preserve"> </w:t>
      </w:r>
      <w:r>
        <w:rPr>
          <w:rFonts w:ascii="Times New Roman" w:hAnsi="Times New Roman"/>
          <w:szCs w:val="24"/>
          <w:lang w:val="bs-Latn-BA"/>
        </w:rPr>
        <w:t>и</w:t>
      </w:r>
      <w:r w:rsidR="00FD0C6A" w:rsidRPr="00740BEE">
        <w:rPr>
          <w:rFonts w:ascii="Times New Roman" w:hAnsi="Times New Roman"/>
          <w:szCs w:val="24"/>
          <w:lang w:val="bs-Latn-BA"/>
        </w:rPr>
        <w:t xml:space="preserve"> </w:t>
      </w:r>
      <w:r>
        <w:rPr>
          <w:rFonts w:ascii="Times New Roman" w:hAnsi="Times New Roman"/>
          <w:szCs w:val="24"/>
          <w:lang w:val="bs-Latn-BA"/>
        </w:rPr>
        <w:t>организацијама</w:t>
      </w:r>
      <w:r w:rsidR="00FD0C6A" w:rsidRPr="00740BEE">
        <w:rPr>
          <w:rFonts w:ascii="Times New Roman" w:hAnsi="Times New Roman"/>
          <w:szCs w:val="24"/>
          <w:lang w:val="bs-Latn-BA"/>
        </w:rPr>
        <w:t xml:space="preserve"> </w:t>
      </w:r>
      <w:r>
        <w:rPr>
          <w:rFonts w:ascii="Times New Roman" w:hAnsi="Times New Roman"/>
          <w:szCs w:val="24"/>
          <w:lang w:val="bs-Latn-BA"/>
        </w:rPr>
        <w:t>цивилног</w:t>
      </w:r>
      <w:r w:rsidR="00FD0C6A" w:rsidRPr="00740BEE">
        <w:rPr>
          <w:rFonts w:ascii="Times New Roman" w:hAnsi="Times New Roman"/>
          <w:szCs w:val="24"/>
          <w:lang w:val="bs-Latn-BA"/>
        </w:rPr>
        <w:t xml:space="preserve"> </w:t>
      </w:r>
      <w:r>
        <w:rPr>
          <w:rFonts w:ascii="Times New Roman" w:hAnsi="Times New Roman"/>
          <w:szCs w:val="24"/>
          <w:lang w:val="bs-Latn-BA"/>
        </w:rPr>
        <w:t>друштва</w:t>
      </w:r>
      <w:r w:rsidR="00FD0C6A" w:rsidRPr="00740BEE">
        <w:rPr>
          <w:rFonts w:ascii="Times New Roman" w:hAnsi="Times New Roman"/>
          <w:szCs w:val="24"/>
          <w:lang w:val="bs-Latn-BA"/>
        </w:rPr>
        <w:t xml:space="preserve"> </w:t>
      </w:r>
      <w:r>
        <w:rPr>
          <w:rFonts w:ascii="Times New Roman" w:hAnsi="Times New Roman"/>
          <w:szCs w:val="24"/>
          <w:lang w:val="bs-Latn-BA"/>
        </w:rPr>
        <w:t>планирано</w:t>
      </w:r>
      <w:r w:rsidR="0042679D" w:rsidRPr="00740BEE">
        <w:rPr>
          <w:rFonts w:ascii="Times New Roman" w:hAnsi="Times New Roman"/>
          <w:szCs w:val="24"/>
          <w:lang w:val="bs-Latn-BA"/>
        </w:rPr>
        <w:t xml:space="preserve"> </w:t>
      </w:r>
      <w:r>
        <w:rPr>
          <w:rFonts w:ascii="Times New Roman" w:hAnsi="Times New Roman"/>
          <w:szCs w:val="24"/>
          <w:lang w:val="bs-Latn-BA"/>
        </w:rPr>
        <w:t>и</w:t>
      </w:r>
      <w:r w:rsidR="0042679D" w:rsidRPr="00740BEE">
        <w:rPr>
          <w:rFonts w:ascii="Times New Roman" w:hAnsi="Times New Roman"/>
          <w:szCs w:val="24"/>
          <w:lang w:val="bs-Latn-BA"/>
        </w:rPr>
        <w:t xml:space="preserve"> </w:t>
      </w:r>
      <w:r>
        <w:rPr>
          <w:rFonts w:ascii="Times New Roman" w:hAnsi="Times New Roman"/>
          <w:szCs w:val="24"/>
          <w:lang w:val="bs-Latn-BA"/>
        </w:rPr>
        <w:t>одржано</w:t>
      </w:r>
      <w:r w:rsidR="0042679D" w:rsidRPr="00740BEE">
        <w:rPr>
          <w:rFonts w:ascii="Times New Roman" w:hAnsi="Times New Roman"/>
          <w:szCs w:val="24"/>
          <w:lang w:val="bs-Latn-BA"/>
        </w:rPr>
        <w:t xml:space="preserve"> </w:t>
      </w:r>
      <w:r>
        <w:rPr>
          <w:rFonts w:ascii="Times New Roman" w:hAnsi="Times New Roman"/>
          <w:szCs w:val="24"/>
          <w:lang w:val="bs-Latn-BA"/>
        </w:rPr>
        <w:t>шест</w:t>
      </w:r>
      <w:r w:rsidR="0042679D" w:rsidRPr="00740BEE">
        <w:rPr>
          <w:rFonts w:ascii="Times New Roman" w:hAnsi="Times New Roman"/>
          <w:szCs w:val="24"/>
          <w:lang w:val="bs-Latn-BA"/>
        </w:rPr>
        <w:t xml:space="preserve"> </w:t>
      </w:r>
      <w:r>
        <w:rPr>
          <w:rFonts w:ascii="Times New Roman" w:hAnsi="Times New Roman"/>
          <w:szCs w:val="24"/>
          <w:lang w:val="bs-Latn-BA"/>
        </w:rPr>
        <w:t>тематских</w:t>
      </w:r>
      <w:r w:rsidR="0042679D" w:rsidRPr="00740BEE">
        <w:rPr>
          <w:rFonts w:ascii="Times New Roman" w:hAnsi="Times New Roman"/>
          <w:szCs w:val="24"/>
          <w:lang w:val="bs-Latn-BA"/>
        </w:rPr>
        <w:t xml:space="preserve"> </w:t>
      </w:r>
      <w:r>
        <w:rPr>
          <w:rFonts w:ascii="Times New Roman" w:hAnsi="Times New Roman"/>
          <w:szCs w:val="24"/>
          <w:lang w:val="bs-Latn-BA"/>
        </w:rPr>
        <w:t>сједница</w:t>
      </w:r>
      <w:r w:rsidR="0042679D" w:rsidRPr="00740BEE">
        <w:rPr>
          <w:rFonts w:ascii="Times New Roman" w:hAnsi="Times New Roman"/>
          <w:szCs w:val="24"/>
          <w:lang w:val="bs-Latn-BA"/>
        </w:rPr>
        <w:t xml:space="preserve"> </w:t>
      </w:r>
      <w:r w:rsidR="0027046E">
        <w:rPr>
          <w:rFonts w:ascii="Times New Roman" w:hAnsi="Times New Roman"/>
          <w:szCs w:val="24"/>
          <w:lang w:val="sr-Cyrl-BA"/>
        </w:rPr>
        <w:t>с</w:t>
      </w:r>
      <w:r w:rsidR="0042679D" w:rsidRPr="00740BEE">
        <w:rPr>
          <w:rFonts w:ascii="Times New Roman" w:hAnsi="Times New Roman"/>
          <w:szCs w:val="24"/>
          <w:lang w:val="bs-Latn-BA"/>
        </w:rPr>
        <w:t xml:space="preserve"> </w:t>
      </w:r>
      <w:r>
        <w:rPr>
          <w:rFonts w:ascii="Times New Roman" w:hAnsi="Times New Roman"/>
          <w:szCs w:val="24"/>
          <w:lang w:val="bs-Latn-BA"/>
        </w:rPr>
        <w:t>циљ</w:t>
      </w:r>
      <w:r w:rsidR="0027046E">
        <w:rPr>
          <w:rFonts w:ascii="Times New Roman" w:hAnsi="Times New Roman"/>
          <w:szCs w:val="24"/>
          <w:lang w:val="sr-Cyrl-BA"/>
        </w:rPr>
        <w:t>ем</w:t>
      </w:r>
      <w:r w:rsidR="0039301B" w:rsidRPr="00740BEE">
        <w:rPr>
          <w:rFonts w:ascii="Times New Roman" w:hAnsi="Times New Roman"/>
          <w:szCs w:val="24"/>
          <w:lang w:val="bs-Latn-BA"/>
        </w:rPr>
        <w:t xml:space="preserve"> </w:t>
      </w:r>
      <w:r>
        <w:rPr>
          <w:rFonts w:ascii="Times New Roman" w:hAnsi="Times New Roman"/>
          <w:szCs w:val="24"/>
          <w:lang w:val="bs-Latn-BA"/>
        </w:rPr>
        <w:t>услађивања</w:t>
      </w:r>
      <w:r w:rsidR="0039301B" w:rsidRPr="00740BEE">
        <w:rPr>
          <w:rFonts w:ascii="Times New Roman" w:hAnsi="Times New Roman"/>
          <w:szCs w:val="24"/>
          <w:lang w:val="bs-Latn-BA"/>
        </w:rPr>
        <w:t xml:space="preserve"> </w:t>
      </w:r>
      <w:r>
        <w:rPr>
          <w:rFonts w:ascii="Times New Roman" w:hAnsi="Times New Roman"/>
          <w:szCs w:val="24"/>
          <w:lang w:val="bs-Latn-BA"/>
        </w:rPr>
        <w:t>законодавства</w:t>
      </w:r>
      <w:r w:rsidR="0039301B" w:rsidRPr="00740BEE">
        <w:rPr>
          <w:rFonts w:ascii="Times New Roman" w:hAnsi="Times New Roman"/>
          <w:szCs w:val="24"/>
          <w:lang w:val="bs-Latn-BA"/>
        </w:rPr>
        <w:t xml:space="preserve"> </w:t>
      </w:r>
      <w:r>
        <w:rPr>
          <w:rFonts w:ascii="Times New Roman" w:hAnsi="Times New Roman"/>
          <w:szCs w:val="24"/>
          <w:lang w:val="bs-Latn-BA"/>
        </w:rPr>
        <w:t>са</w:t>
      </w:r>
      <w:r w:rsidR="0042679D" w:rsidRPr="00740BEE">
        <w:rPr>
          <w:rFonts w:ascii="Times New Roman" w:hAnsi="Times New Roman"/>
          <w:szCs w:val="24"/>
          <w:lang w:val="bs-Latn-BA"/>
        </w:rPr>
        <w:t xml:space="preserve"> </w:t>
      </w:r>
      <w:r>
        <w:rPr>
          <w:rFonts w:ascii="Times New Roman" w:hAnsi="Times New Roman"/>
          <w:szCs w:val="24"/>
          <w:lang w:val="bs-Latn-BA"/>
        </w:rPr>
        <w:t>међународним</w:t>
      </w:r>
      <w:r w:rsidR="0042679D" w:rsidRPr="00740BEE">
        <w:rPr>
          <w:rFonts w:ascii="Times New Roman" w:hAnsi="Times New Roman"/>
          <w:szCs w:val="24"/>
          <w:lang w:val="bs-Latn-BA"/>
        </w:rPr>
        <w:t xml:space="preserve"> </w:t>
      </w:r>
      <w:r>
        <w:rPr>
          <w:rFonts w:ascii="Times New Roman" w:hAnsi="Times New Roman"/>
          <w:szCs w:val="24"/>
          <w:lang w:val="bs-Latn-BA"/>
        </w:rPr>
        <w:t>стандардима</w:t>
      </w:r>
      <w:r w:rsidR="0042679D" w:rsidRPr="00740BEE">
        <w:rPr>
          <w:rFonts w:ascii="Times New Roman" w:hAnsi="Times New Roman"/>
          <w:szCs w:val="24"/>
          <w:lang w:val="bs-Latn-BA"/>
        </w:rPr>
        <w:t xml:space="preserve">, </w:t>
      </w:r>
      <w:r>
        <w:rPr>
          <w:rFonts w:ascii="Times New Roman" w:hAnsi="Times New Roman"/>
          <w:szCs w:val="24"/>
          <w:lang w:val="bs-Latn-BA"/>
        </w:rPr>
        <w:t>као</w:t>
      </w:r>
      <w:r w:rsidR="0042679D" w:rsidRPr="00740BEE">
        <w:rPr>
          <w:rFonts w:ascii="Times New Roman" w:hAnsi="Times New Roman"/>
          <w:szCs w:val="24"/>
          <w:lang w:val="bs-Latn-BA"/>
        </w:rPr>
        <w:t xml:space="preserve"> </w:t>
      </w:r>
      <w:r>
        <w:rPr>
          <w:rFonts w:ascii="Times New Roman" w:hAnsi="Times New Roman"/>
          <w:szCs w:val="24"/>
          <w:lang w:val="bs-Latn-BA"/>
        </w:rPr>
        <w:t>и</w:t>
      </w:r>
      <w:r w:rsidR="0042679D" w:rsidRPr="00740BEE">
        <w:rPr>
          <w:rFonts w:ascii="Times New Roman" w:hAnsi="Times New Roman"/>
          <w:szCs w:val="24"/>
          <w:lang w:val="bs-Latn-BA"/>
        </w:rPr>
        <w:t xml:space="preserve"> </w:t>
      </w:r>
      <w:r>
        <w:rPr>
          <w:rFonts w:ascii="Times New Roman" w:hAnsi="Times New Roman"/>
          <w:szCs w:val="24"/>
          <w:lang w:val="bs-Latn-BA"/>
        </w:rPr>
        <w:t>доношења</w:t>
      </w:r>
      <w:r w:rsidR="0042679D" w:rsidRPr="00740BEE">
        <w:rPr>
          <w:rFonts w:ascii="Times New Roman" w:hAnsi="Times New Roman"/>
          <w:szCs w:val="24"/>
          <w:lang w:val="bs-Latn-BA"/>
        </w:rPr>
        <w:t xml:space="preserve"> </w:t>
      </w:r>
      <w:r>
        <w:rPr>
          <w:rFonts w:ascii="Times New Roman" w:hAnsi="Times New Roman"/>
          <w:szCs w:val="24"/>
          <w:lang w:val="bs-Latn-BA"/>
        </w:rPr>
        <w:t>конкретних</w:t>
      </w:r>
      <w:r w:rsidR="0042679D" w:rsidRPr="00740BEE">
        <w:rPr>
          <w:rFonts w:ascii="Times New Roman" w:hAnsi="Times New Roman"/>
          <w:szCs w:val="24"/>
          <w:lang w:val="bs-Latn-BA"/>
        </w:rPr>
        <w:t xml:space="preserve"> </w:t>
      </w:r>
      <w:r>
        <w:rPr>
          <w:rFonts w:ascii="Times New Roman" w:hAnsi="Times New Roman"/>
          <w:szCs w:val="24"/>
          <w:lang w:val="bs-Latn-BA"/>
        </w:rPr>
        <w:t>мјера</w:t>
      </w:r>
      <w:r w:rsidR="0042679D" w:rsidRPr="00740BEE">
        <w:rPr>
          <w:rFonts w:ascii="Times New Roman" w:hAnsi="Times New Roman"/>
          <w:szCs w:val="24"/>
          <w:lang w:val="bs-Latn-BA"/>
        </w:rPr>
        <w:t xml:space="preserve"> </w:t>
      </w:r>
      <w:r>
        <w:rPr>
          <w:rFonts w:ascii="Times New Roman" w:hAnsi="Times New Roman"/>
          <w:szCs w:val="24"/>
          <w:lang w:val="bs-Latn-BA"/>
        </w:rPr>
        <w:t>у</w:t>
      </w:r>
      <w:r w:rsidR="0042679D" w:rsidRPr="00740BEE">
        <w:rPr>
          <w:rFonts w:ascii="Times New Roman" w:hAnsi="Times New Roman"/>
          <w:szCs w:val="24"/>
          <w:lang w:val="bs-Latn-BA"/>
        </w:rPr>
        <w:t xml:space="preserve"> </w:t>
      </w:r>
      <w:r>
        <w:rPr>
          <w:rFonts w:ascii="Times New Roman" w:hAnsi="Times New Roman"/>
          <w:szCs w:val="24"/>
          <w:lang w:val="bs-Latn-BA"/>
        </w:rPr>
        <w:t>економији</w:t>
      </w:r>
      <w:r w:rsidR="0042679D" w:rsidRPr="00740BEE">
        <w:rPr>
          <w:rFonts w:ascii="Times New Roman" w:hAnsi="Times New Roman"/>
          <w:szCs w:val="24"/>
          <w:lang w:val="bs-Latn-BA"/>
        </w:rPr>
        <w:t xml:space="preserve"> </w:t>
      </w:r>
      <w:r>
        <w:rPr>
          <w:rFonts w:ascii="Times New Roman" w:hAnsi="Times New Roman"/>
          <w:szCs w:val="24"/>
          <w:lang w:val="bs-Latn-BA"/>
        </w:rPr>
        <w:t>бриге</w:t>
      </w:r>
      <w:r w:rsidR="0042679D" w:rsidRPr="00740BEE">
        <w:rPr>
          <w:rFonts w:ascii="Times New Roman" w:hAnsi="Times New Roman"/>
          <w:szCs w:val="24"/>
          <w:lang w:val="bs-Latn-BA"/>
        </w:rPr>
        <w:t xml:space="preserve">, </w:t>
      </w:r>
      <w:r>
        <w:rPr>
          <w:rFonts w:ascii="Times New Roman" w:hAnsi="Times New Roman"/>
          <w:szCs w:val="24"/>
          <w:lang w:val="bs-Latn-BA"/>
        </w:rPr>
        <w:t>здравству</w:t>
      </w:r>
      <w:r w:rsidR="0042679D" w:rsidRPr="00740BEE">
        <w:rPr>
          <w:rFonts w:ascii="Times New Roman" w:hAnsi="Times New Roman"/>
          <w:szCs w:val="24"/>
          <w:lang w:val="bs-Latn-BA"/>
        </w:rPr>
        <w:t xml:space="preserve">, </w:t>
      </w:r>
      <w:r>
        <w:rPr>
          <w:rFonts w:ascii="Times New Roman" w:hAnsi="Times New Roman"/>
          <w:szCs w:val="24"/>
          <w:lang w:val="bs-Latn-BA"/>
        </w:rPr>
        <w:t>правосуђу</w:t>
      </w:r>
      <w:r w:rsidR="0042679D" w:rsidRPr="00740BEE">
        <w:rPr>
          <w:rFonts w:ascii="Times New Roman" w:hAnsi="Times New Roman"/>
          <w:szCs w:val="24"/>
          <w:lang w:val="bs-Latn-BA"/>
        </w:rPr>
        <w:t xml:space="preserve"> </w:t>
      </w:r>
      <w:r>
        <w:rPr>
          <w:rFonts w:ascii="Times New Roman" w:hAnsi="Times New Roman"/>
          <w:szCs w:val="24"/>
          <w:lang w:val="bs-Latn-BA"/>
        </w:rPr>
        <w:t>у</w:t>
      </w:r>
      <w:r w:rsidR="00740BEE">
        <w:rPr>
          <w:rFonts w:ascii="Times New Roman" w:hAnsi="Times New Roman"/>
          <w:szCs w:val="24"/>
          <w:lang w:val="bs-Latn-BA"/>
        </w:rPr>
        <w:t xml:space="preserve"> </w:t>
      </w:r>
      <w:r>
        <w:rPr>
          <w:rFonts w:ascii="Times New Roman" w:hAnsi="Times New Roman"/>
          <w:szCs w:val="24"/>
          <w:lang w:val="bs-Latn-BA"/>
        </w:rPr>
        <w:t>складу</w:t>
      </w:r>
      <w:r w:rsidR="00740BEE">
        <w:rPr>
          <w:rFonts w:ascii="Times New Roman" w:hAnsi="Times New Roman"/>
          <w:szCs w:val="24"/>
          <w:lang w:val="bs-Latn-BA"/>
        </w:rPr>
        <w:t xml:space="preserve"> </w:t>
      </w:r>
      <w:r>
        <w:rPr>
          <w:rFonts w:ascii="Times New Roman" w:hAnsi="Times New Roman"/>
          <w:szCs w:val="24"/>
          <w:lang w:val="bs-Latn-BA"/>
        </w:rPr>
        <w:t>са</w:t>
      </w:r>
      <w:r w:rsidR="0042679D" w:rsidRPr="00740BEE">
        <w:rPr>
          <w:rFonts w:ascii="Times New Roman" w:hAnsi="Times New Roman"/>
          <w:szCs w:val="24"/>
          <w:lang w:val="bs-Latn-BA"/>
        </w:rPr>
        <w:t xml:space="preserve"> </w:t>
      </w:r>
      <w:r>
        <w:rPr>
          <w:rFonts w:ascii="Times New Roman" w:hAnsi="Times New Roman"/>
          <w:szCs w:val="24"/>
          <w:lang w:val="bs-Latn-BA"/>
        </w:rPr>
        <w:t>ЕУ</w:t>
      </w:r>
      <w:r w:rsidR="0042679D" w:rsidRPr="00740BEE">
        <w:rPr>
          <w:rFonts w:ascii="Times New Roman" w:hAnsi="Times New Roman"/>
          <w:szCs w:val="24"/>
          <w:lang w:val="bs-Latn-BA"/>
        </w:rPr>
        <w:t xml:space="preserve"> </w:t>
      </w:r>
      <w:r>
        <w:rPr>
          <w:rFonts w:ascii="Times New Roman" w:hAnsi="Times New Roman"/>
          <w:szCs w:val="24"/>
          <w:lang w:val="bs-Latn-BA"/>
        </w:rPr>
        <w:t>директивама</w:t>
      </w:r>
      <w:r w:rsidR="0042679D" w:rsidRPr="00740BEE">
        <w:rPr>
          <w:rFonts w:ascii="Times New Roman" w:hAnsi="Times New Roman"/>
          <w:szCs w:val="24"/>
          <w:lang w:val="bs-Latn-BA"/>
        </w:rPr>
        <w:t xml:space="preserve">. </w:t>
      </w:r>
    </w:p>
    <w:p w:rsidR="0042679D" w:rsidRPr="00B933C4" w:rsidRDefault="0042679D" w:rsidP="0086268D">
      <w:pPr>
        <w:jc w:val="both"/>
        <w:rPr>
          <w:rFonts w:ascii="Times New Roman" w:hAnsi="Times New Roman"/>
          <w:szCs w:val="24"/>
          <w:lang w:val="bs-Latn-BA"/>
        </w:rPr>
      </w:pPr>
    </w:p>
    <w:p w:rsidR="0042679D" w:rsidRDefault="00C6214E" w:rsidP="0086268D">
      <w:pPr>
        <w:pStyle w:val="Tekst"/>
        <w:numPr>
          <w:ilvl w:val="0"/>
          <w:numId w:val="17"/>
        </w:numPr>
        <w:spacing w:before="0"/>
        <w:rPr>
          <w:rFonts w:ascii="Times New Roman" w:hAnsi="Times New Roman"/>
          <w:sz w:val="24"/>
          <w:lang w:val="bs-Latn-BA"/>
        </w:rPr>
      </w:pPr>
      <w:r>
        <w:rPr>
          <w:rFonts w:ascii="Times New Roman" w:hAnsi="Times New Roman"/>
          <w:sz w:val="24"/>
          <w:lang w:val="bs-Latn-BA"/>
        </w:rPr>
        <w:t>ГЦ</w:t>
      </w:r>
      <w:r w:rsidR="003F24F7">
        <w:rPr>
          <w:rFonts w:ascii="Times New Roman" w:hAnsi="Times New Roman"/>
          <w:sz w:val="24"/>
          <w:lang w:val="bs-Latn-BA"/>
        </w:rPr>
        <w:t xml:space="preserve"> </w:t>
      </w:r>
      <w:r>
        <w:rPr>
          <w:rFonts w:ascii="Times New Roman" w:hAnsi="Times New Roman"/>
          <w:sz w:val="24"/>
          <w:lang w:val="bs-Latn-BA"/>
        </w:rPr>
        <w:t>ФБиХ</w:t>
      </w:r>
      <w:r w:rsidR="0042679D">
        <w:rPr>
          <w:rFonts w:ascii="Times New Roman" w:hAnsi="Times New Roman"/>
          <w:sz w:val="24"/>
          <w:lang w:val="bs-Latn-BA"/>
        </w:rPr>
        <w:t xml:space="preserve"> </w:t>
      </w:r>
      <w:r>
        <w:rPr>
          <w:rFonts w:ascii="Times New Roman" w:hAnsi="Times New Roman"/>
          <w:sz w:val="24"/>
          <w:lang w:val="bs-Latn-BA"/>
        </w:rPr>
        <w:t>је</w:t>
      </w:r>
      <w:r w:rsidR="0042679D">
        <w:rPr>
          <w:rFonts w:ascii="Times New Roman" w:hAnsi="Times New Roman"/>
          <w:sz w:val="24"/>
          <w:lang w:val="bs-Latn-BA"/>
        </w:rPr>
        <w:t xml:space="preserve">, </w:t>
      </w:r>
      <w:r>
        <w:rPr>
          <w:rFonts w:ascii="Times New Roman" w:hAnsi="Times New Roman"/>
          <w:sz w:val="24"/>
          <w:lang w:val="bs-Latn-BA"/>
        </w:rPr>
        <w:t>уз</w:t>
      </w:r>
      <w:r w:rsidR="0042679D">
        <w:rPr>
          <w:rFonts w:ascii="Times New Roman" w:hAnsi="Times New Roman"/>
          <w:sz w:val="24"/>
          <w:lang w:val="bs-Latn-BA"/>
        </w:rPr>
        <w:t xml:space="preserve"> </w:t>
      </w:r>
      <w:r>
        <w:rPr>
          <w:rFonts w:ascii="Times New Roman" w:hAnsi="Times New Roman"/>
          <w:sz w:val="24"/>
          <w:lang w:val="bs-Latn-BA"/>
        </w:rPr>
        <w:t>подршку</w:t>
      </w:r>
      <w:r w:rsidR="0042679D">
        <w:rPr>
          <w:rFonts w:ascii="Times New Roman" w:hAnsi="Times New Roman"/>
          <w:sz w:val="24"/>
          <w:lang w:val="bs-Latn-BA"/>
        </w:rPr>
        <w:t xml:space="preserve"> </w:t>
      </w:r>
      <w:r>
        <w:rPr>
          <w:rFonts w:ascii="Times New Roman" w:hAnsi="Times New Roman"/>
          <w:sz w:val="24"/>
          <w:lang w:val="bs-Latn-BA"/>
        </w:rPr>
        <w:t>пројекта</w:t>
      </w:r>
      <w:r w:rsidR="0042679D">
        <w:rPr>
          <w:rFonts w:ascii="Times New Roman" w:hAnsi="Times New Roman"/>
          <w:sz w:val="24"/>
          <w:lang w:val="bs-Latn-BA"/>
        </w:rPr>
        <w:t xml:space="preserve"> </w:t>
      </w:r>
      <w:r w:rsidR="0027046E" w:rsidRPr="0027046E">
        <w:rPr>
          <w:rFonts w:ascii="Times New Roman" w:hAnsi="Times New Roman"/>
          <w:i/>
          <w:sz w:val="24"/>
          <w:lang w:val="bs-Latn-BA"/>
        </w:rPr>
        <w:t>EU4Antidiscrimination</w:t>
      </w:r>
      <w:r w:rsidR="0042679D">
        <w:rPr>
          <w:rFonts w:ascii="Times New Roman" w:hAnsi="Times New Roman"/>
          <w:sz w:val="24"/>
          <w:lang w:val="bs-Latn-BA"/>
        </w:rPr>
        <w:t xml:space="preserve">, </w:t>
      </w:r>
      <w:r>
        <w:rPr>
          <w:rFonts w:ascii="Times New Roman" w:hAnsi="Times New Roman"/>
          <w:sz w:val="24"/>
          <w:lang w:val="bs-Latn-BA"/>
        </w:rPr>
        <w:t>реализ</w:t>
      </w:r>
      <w:r w:rsidR="0027046E">
        <w:rPr>
          <w:rFonts w:ascii="Times New Roman" w:hAnsi="Times New Roman"/>
          <w:sz w:val="24"/>
          <w:lang w:val="sr-Cyrl-BA"/>
        </w:rPr>
        <w:t>овао</w:t>
      </w:r>
      <w:r w:rsidR="0042679D">
        <w:rPr>
          <w:rFonts w:ascii="Times New Roman" w:hAnsi="Times New Roman"/>
          <w:sz w:val="24"/>
          <w:lang w:val="bs-Latn-BA"/>
        </w:rPr>
        <w:t xml:space="preserve"> </w:t>
      </w:r>
      <w:r>
        <w:rPr>
          <w:rFonts w:ascii="Times New Roman" w:hAnsi="Times New Roman"/>
          <w:sz w:val="24"/>
          <w:lang w:val="bs-Latn-BA"/>
        </w:rPr>
        <w:t>велики</w:t>
      </w:r>
      <w:r w:rsidR="0042679D">
        <w:rPr>
          <w:rFonts w:ascii="Times New Roman" w:hAnsi="Times New Roman"/>
          <w:sz w:val="24"/>
          <w:lang w:val="bs-Latn-BA"/>
        </w:rPr>
        <w:t xml:space="preserve"> </w:t>
      </w:r>
      <w:r>
        <w:rPr>
          <w:rFonts w:ascii="Times New Roman" w:hAnsi="Times New Roman"/>
          <w:sz w:val="24"/>
          <w:lang w:val="bs-Latn-BA"/>
        </w:rPr>
        <w:t>број</w:t>
      </w:r>
      <w:r w:rsidR="0042679D" w:rsidRPr="00295637">
        <w:rPr>
          <w:rFonts w:ascii="Times New Roman" w:hAnsi="Times New Roman"/>
          <w:sz w:val="24"/>
          <w:lang w:val="bs-Latn-BA"/>
        </w:rPr>
        <w:t xml:space="preserve"> </w:t>
      </w:r>
      <w:r>
        <w:rPr>
          <w:rFonts w:ascii="Times New Roman" w:hAnsi="Times New Roman"/>
          <w:sz w:val="24"/>
          <w:lang w:val="bs-Latn-BA"/>
        </w:rPr>
        <w:t>догађаја</w:t>
      </w:r>
      <w:r w:rsidR="0042679D" w:rsidRPr="00295637">
        <w:rPr>
          <w:rFonts w:ascii="Times New Roman" w:hAnsi="Times New Roman"/>
          <w:sz w:val="24"/>
          <w:lang w:val="bs-Latn-BA"/>
        </w:rPr>
        <w:t xml:space="preserve">, </w:t>
      </w:r>
      <w:r>
        <w:rPr>
          <w:rFonts w:ascii="Times New Roman" w:hAnsi="Times New Roman"/>
          <w:sz w:val="24"/>
          <w:lang w:val="bs-Latn-BA"/>
        </w:rPr>
        <w:t>подржао</w:t>
      </w:r>
      <w:r w:rsidR="0042679D" w:rsidRPr="00295637">
        <w:rPr>
          <w:rFonts w:ascii="Times New Roman" w:hAnsi="Times New Roman"/>
          <w:sz w:val="24"/>
          <w:lang w:val="bs-Latn-BA"/>
        </w:rPr>
        <w:t xml:space="preserve"> 15 </w:t>
      </w:r>
      <w:r>
        <w:rPr>
          <w:rFonts w:ascii="Times New Roman" w:hAnsi="Times New Roman"/>
          <w:sz w:val="24"/>
          <w:lang w:val="bs-Latn-BA"/>
        </w:rPr>
        <w:t>пројеката</w:t>
      </w:r>
      <w:r w:rsidR="0042679D" w:rsidRPr="00295637">
        <w:rPr>
          <w:rFonts w:ascii="Times New Roman" w:hAnsi="Times New Roman"/>
          <w:sz w:val="24"/>
          <w:lang w:val="bs-Latn-BA"/>
        </w:rPr>
        <w:t xml:space="preserve"> </w:t>
      </w:r>
      <w:r>
        <w:rPr>
          <w:rFonts w:ascii="Times New Roman" w:hAnsi="Times New Roman"/>
          <w:sz w:val="24"/>
          <w:lang w:val="bs-Latn-BA"/>
        </w:rPr>
        <w:t>за</w:t>
      </w:r>
      <w:r w:rsidR="0042679D" w:rsidRPr="00295637">
        <w:rPr>
          <w:rFonts w:ascii="Times New Roman" w:hAnsi="Times New Roman"/>
          <w:sz w:val="24"/>
          <w:lang w:val="bs-Latn-BA"/>
        </w:rPr>
        <w:t xml:space="preserve"> </w:t>
      </w:r>
      <w:r>
        <w:rPr>
          <w:rFonts w:ascii="Times New Roman" w:hAnsi="Times New Roman"/>
          <w:sz w:val="24"/>
          <w:lang w:val="bs-Latn-BA"/>
        </w:rPr>
        <w:t>свих</w:t>
      </w:r>
      <w:r w:rsidR="0042679D" w:rsidRPr="00295637">
        <w:rPr>
          <w:rFonts w:ascii="Times New Roman" w:hAnsi="Times New Roman"/>
          <w:sz w:val="24"/>
          <w:lang w:val="bs-Latn-BA"/>
        </w:rPr>
        <w:t xml:space="preserve"> </w:t>
      </w:r>
      <w:r>
        <w:rPr>
          <w:rFonts w:ascii="Times New Roman" w:hAnsi="Times New Roman"/>
          <w:sz w:val="24"/>
          <w:lang w:val="bs-Latn-BA"/>
        </w:rPr>
        <w:t>десет</w:t>
      </w:r>
      <w:r w:rsidR="0042679D" w:rsidRPr="00295637">
        <w:rPr>
          <w:rFonts w:ascii="Times New Roman" w:hAnsi="Times New Roman"/>
          <w:sz w:val="24"/>
          <w:lang w:val="bs-Latn-BA"/>
        </w:rPr>
        <w:t xml:space="preserve"> </w:t>
      </w:r>
      <w:r>
        <w:rPr>
          <w:rFonts w:ascii="Times New Roman" w:hAnsi="Times New Roman"/>
          <w:sz w:val="24"/>
          <w:lang w:val="bs-Latn-BA"/>
        </w:rPr>
        <w:t>кантона</w:t>
      </w:r>
      <w:r w:rsidR="0042679D">
        <w:rPr>
          <w:rFonts w:ascii="Times New Roman" w:hAnsi="Times New Roman"/>
          <w:sz w:val="24"/>
          <w:lang w:val="bs-Latn-BA"/>
        </w:rPr>
        <w:t xml:space="preserve"> </w:t>
      </w:r>
      <w:r>
        <w:rPr>
          <w:rFonts w:ascii="Times New Roman" w:hAnsi="Times New Roman"/>
          <w:sz w:val="24"/>
          <w:lang w:val="bs-Latn-BA"/>
        </w:rPr>
        <w:t>и</w:t>
      </w:r>
      <w:r w:rsidR="0042679D">
        <w:rPr>
          <w:rFonts w:ascii="Times New Roman" w:hAnsi="Times New Roman"/>
          <w:sz w:val="24"/>
          <w:lang w:val="bs-Latn-BA"/>
        </w:rPr>
        <w:t xml:space="preserve"> </w:t>
      </w:r>
      <w:r>
        <w:rPr>
          <w:rFonts w:ascii="Times New Roman" w:hAnsi="Times New Roman"/>
          <w:sz w:val="24"/>
          <w:lang w:val="bs-Latn-BA"/>
        </w:rPr>
        <w:t>пет</w:t>
      </w:r>
      <w:r w:rsidR="0042679D">
        <w:rPr>
          <w:rFonts w:ascii="Times New Roman" w:hAnsi="Times New Roman"/>
          <w:sz w:val="24"/>
          <w:lang w:val="bs-Latn-BA"/>
        </w:rPr>
        <w:t xml:space="preserve"> </w:t>
      </w:r>
      <w:r>
        <w:rPr>
          <w:rFonts w:ascii="Times New Roman" w:hAnsi="Times New Roman"/>
          <w:sz w:val="24"/>
          <w:lang w:val="bs-Latn-BA"/>
        </w:rPr>
        <w:t>одабраних</w:t>
      </w:r>
      <w:r w:rsidR="0042679D">
        <w:rPr>
          <w:rFonts w:ascii="Times New Roman" w:hAnsi="Times New Roman"/>
          <w:sz w:val="24"/>
          <w:lang w:val="bs-Latn-BA"/>
        </w:rPr>
        <w:t xml:space="preserve"> </w:t>
      </w:r>
      <w:r>
        <w:rPr>
          <w:rFonts w:ascii="Times New Roman" w:hAnsi="Times New Roman"/>
          <w:sz w:val="24"/>
          <w:lang w:val="bs-Latn-BA"/>
        </w:rPr>
        <w:t>оп</w:t>
      </w:r>
      <w:r w:rsidR="0027046E">
        <w:rPr>
          <w:rFonts w:ascii="Times New Roman" w:hAnsi="Times New Roman"/>
          <w:sz w:val="24"/>
          <w:lang w:val="sr-Cyrl-BA"/>
        </w:rPr>
        <w:t>шт</w:t>
      </w:r>
      <w:r>
        <w:rPr>
          <w:rFonts w:ascii="Times New Roman" w:hAnsi="Times New Roman"/>
          <w:sz w:val="24"/>
          <w:lang w:val="bs-Latn-BA"/>
        </w:rPr>
        <w:t>ина</w:t>
      </w:r>
      <w:r w:rsidR="0042679D">
        <w:rPr>
          <w:rFonts w:ascii="Times New Roman" w:hAnsi="Times New Roman"/>
          <w:sz w:val="24"/>
          <w:lang w:val="bs-Latn-BA"/>
        </w:rPr>
        <w:t xml:space="preserve">. </w:t>
      </w:r>
      <w:r>
        <w:rPr>
          <w:rFonts w:ascii="Times New Roman" w:hAnsi="Times New Roman"/>
          <w:sz w:val="24"/>
          <w:lang w:val="bs-Latn-BA"/>
        </w:rPr>
        <w:t>ГЦ</w:t>
      </w:r>
      <w:r w:rsidR="003F24F7">
        <w:rPr>
          <w:rFonts w:ascii="Times New Roman" w:hAnsi="Times New Roman"/>
          <w:sz w:val="24"/>
          <w:lang w:val="bs-Latn-BA"/>
        </w:rPr>
        <w:t xml:space="preserve"> </w:t>
      </w:r>
      <w:r>
        <w:rPr>
          <w:rFonts w:ascii="Times New Roman" w:hAnsi="Times New Roman"/>
          <w:sz w:val="24"/>
          <w:lang w:val="bs-Latn-BA"/>
        </w:rPr>
        <w:t>ФБиХ</w:t>
      </w:r>
      <w:r w:rsidR="0042679D" w:rsidRPr="00295637">
        <w:rPr>
          <w:rFonts w:ascii="Times New Roman" w:hAnsi="Times New Roman"/>
          <w:sz w:val="24"/>
          <w:lang w:val="bs-Latn-BA"/>
        </w:rPr>
        <w:t xml:space="preserve"> </w:t>
      </w:r>
      <w:r>
        <w:rPr>
          <w:rFonts w:ascii="Times New Roman" w:hAnsi="Times New Roman"/>
          <w:sz w:val="24"/>
          <w:lang w:val="bs-Latn-BA"/>
        </w:rPr>
        <w:t>иницирао</w:t>
      </w:r>
      <w:r w:rsidR="0042679D" w:rsidRPr="00295637">
        <w:rPr>
          <w:rFonts w:ascii="Times New Roman" w:hAnsi="Times New Roman"/>
          <w:sz w:val="24"/>
          <w:lang w:val="bs-Latn-BA"/>
        </w:rPr>
        <w:t xml:space="preserve"> </w:t>
      </w:r>
      <w:r>
        <w:rPr>
          <w:rFonts w:ascii="Times New Roman" w:hAnsi="Times New Roman"/>
          <w:sz w:val="24"/>
          <w:lang w:val="bs-Latn-BA"/>
        </w:rPr>
        <w:t>је</w:t>
      </w:r>
      <w:r w:rsidR="003F24F7" w:rsidRPr="00295637">
        <w:rPr>
          <w:rFonts w:ascii="Times New Roman" w:hAnsi="Times New Roman"/>
          <w:sz w:val="24"/>
          <w:lang w:val="bs-Latn-BA"/>
        </w:rPr>
        <w:t xml:space="preserve"> </w:t>
      </w:r>
      <w:r>
        <w:rPr>
          <w:rFonts w:ascii="Times New Roman" w:hAnsi="Times New Roman"/>
          <w:sz w:val="24"/>
          <w:lang w:val="bs-Latn-BA"/>
        </w:rPr>
        <w:t>и</w:t>
      </w:r>
      <w:r w:rsidR="0042679D" w:rsidRPr="00295637">
        <w:rPr>
          <w:rFonts w:ascii="Times New Roman" w:hAnsi="Times New Roman"/>
          <w:sz w:val="24"/>
          <w:lang w:val="bs-Latn-BA"/>
        </w:rPr>
        <w:t xml:space="preserve"> </w:t>
      </w:r>
      <w:r>
        <w:rPr>
          <w:rFonts w:ascii="Times New Roman" w:hAnsi="Times New Roman"/>
          <w:sz w:val="24"/>
          <w:lang w:val="bs-Latn-BA"/>
        </w:rPr>
        <w:t>подржао</w:t>
      </w:r>
      <w:r w:rsidR="0042679D" w:rsidRPr="00295637">
        <w:rPr>
          <w:rFonts w:ascii="Times New Roman" w:hAnsi="Times New Roman"/>
          <w:sz w:val="24"/>
          <w:lang w:val="bs-Latn-BA"/>
        </w:rPr>
        <w:t xml:space="preserve"> </w:t>
      </w:r>
      <w:r>
        <w:rPr>
          <w:rFonts w:ascii="Times New Roman" w:hAnsi="Times New Roman"/>
          <w:sz w:val="24"/>
          <w:lang w:val="bs-Latn-BA"/>
        </w:rPr>
        <w:t>континуиран</w:t>
      </w:r>
      <w:r w:rsidR="0027046E">
        <w:rPr>
          <w:rFonts w:ascii="Times New Roman" w:hAnsi="Times New Roman"/>
          <w:sz w:val="24"/>
          <w:lang w:val="sr-Cyrl-BA"/>
        </w:rPr>
        <w:t>о</w:t>
      </w:r>
      <w:r w:rsidR="0042679D" w:rsidRPr="00295637">
        <w:rPr>
          <w:rFonts w:ascii="Times New Roman" w:hAnsi="Times New Roman"/>
          <w:sz w:val="24"/>
          <w:lang w:val="bs-Latn-BA"/>
        </w:rPr>
        <w:t xml:space="preserve"> </w:t>
      </w:r>
      <w:r w:rsidR="0027046E">
        <w:rPr>
          <w:rFonts w:ascii="Times New Roman" w:hAnsi="Times New Roman"/>
          <w:sz w:val="24"/>
          <w:lang w:val="sr-Cyrl-BA"/>
        </w:rPr>
        <w:t>спровођење</w:t>
      </w:r>
      <w:r w:rsidR="0042679D" w:rsidRPr="00295637">
        <w:rPr>
          <w:rFonts w:ascii="Times New Roman" w:hAnsi="Times New Roman"/>
          <w:sz w:val="24"/>
          <w:lang w:val="bs-Latn-BA"/>
        </w:rPr>
        <w:t xml:space="preserve"> </w:t>
      </w:r>
      <w:r>
        <w:rPr>
          <w:rFonts w:ascii="Times New Roman" w:hAnsi="Times New Roman"/>
          <w:sz w:val="24"/>
          <w:lang w:val="bs-Latn-BA"/>
        </w:rPr>
        <w:t>за</w:t>
      </w:r>
      <w:r w:rsidR="0042679D" w:rsidRPr="00295637">
        <w:rPr>
          <w:rFonts w:ascii="Times New Roman" w:hAnsi="Times New Roman"/>
          <w:sz w:val="24"/>
          <w:lang w:val="bs-Latn-BA"/>
        </w:rPr>
        <w:t xml:space="preserve"> </w:t>
      </w:r>
      <w:r>
        <w:rPr>
          <w:rFonts w:ascii="Times New Roman" w:hAnsi="Times New Roman"/>
          <w:bCs/>
          <w:sz w:val="24"/>
          <w:lang w:val="bs-Latn-BA"/>
        </w:rPr>
        <w:t>шест</w:t>
      </w:r>
      <w:r w:rsidR="0042679D" w:rsidRPr="00295637">
        <w:rPr>
          <w:rFonts w:ascii="Times New Roman" w:hAnsi="Times New Roman"/>
          <w:bCs/>
          <w:sz w:val="24"/>
          <w:lang w:val="bs-Latn-BA"/>
        </w:rPr>
        <w:t xml:space="preserve"> </w:t>
      </w:r>
      <w:r>
        <w:rPr>
          <w:rFonts w:ascii="Times New Roman" w:hAnsi="Times New Roman"/>
          <w:bCs/>
          <w:sz w:val="24"/>
          <w:lang w:val="bs-Latn-BA"/>
        </w:rPr>
        <w:t>кантоналних</w:t>
      </w:r>
      <w:r w:rsidR="0042679D" w:rsidRPr="00295637">
        <w:rPr>
          <w:rFonts w:ascii="Times New Roman" w:hAnsi="Times New Roman"/>
          <w:sz w:val="24"/>
          <w:lang w:val="bs-Latn-BA"/>
        </w:rPr>
        <w:t xml:space="preserve"> </w:t>
      </w:r>
      <w:r>
        <w:rPr>
          <w:rFonts w:ascii="Times New Roman" w:hAnsi="Times New Roman"/>
          <w:bCs/>
          <w:sz w:val="24"/>
          <w:lang w:val="bs-Latn-BA"/>
        </w:rPr>
        <w:t>ГАП</w:t>
      </w:r>
      <w:r w:rsidR="0042679D">
        <w:rPr>
          <w:rFonts w:ascii="Times New Roman" w:hAnsi="Times New Roman"/>
          <w:bCs/>
          <w:sz w:val="24"/>
          <w:lang w:val="bs-Latn-BA"/>
        </w:rPr>
        <w:t>-</w:t>
      </w:r>
      <w:r>
        <w:rPr>
          <w:rFonts w:ascii="Times New Roman" w:hAnsi="Times New Roman"/>
          <w:bCs/>
          <w:sz w:val="24"/>
          <w:lang w:val="bs-Latn-BA"/>
        </w:rPr>
        <w:t>ова</w:t>
      </w:r>
      <w:r w:rsidR="0042679D">
        <w:rPr>
          <w:rFonts w:ascii="Times New Roman" w:hAnsi="Times New Roman"/>
          <w:bCs/>
          <w:sz w:val="24"/>
          <w:lang w:val="bs-Latn-BA"/>
        </w:rPr>
        <w:t>,</w:t>
      </w:r>
      <w:r w:rsidR="0042679D" w:rsidRPr="00295637">
        <w:rPr>
          <w:rFonts w:ascii="Times New Roman" w:hAnsi="Times New Roman"/>
          <w:bCs/>
          <w:sz w:val="24"/>
          <w:lang w:val="bs-Latn-BA"/>
        </w:rPr>
        <w:t xml:space="preserve"> </w:t>
      </w:r>
      <w:r>
        <w:rPr>
          <w:rFonts w:ascii="Times New Roman" w:hAnsi="Times New Roman"/>
          <w:bCs/>
          <w:sz w:val="24"/>
          <w:lang w:val="bs-Latn-BA"/>
        </w:rPr>
        <w:t>као</w:t>
      </w:r>
      <w:r w:rsidR="0042679D">
        <w:rPr>
          <w:rFonts w:ascii="Times New Roman" w:hAnsi="Times New Roman"/>
          <w:bCs/>
          <w:sz w:val="24"/>
          <w:lang w:val="bs-Latn-BA"/>
        </w:rPr>
        <w:t xml:space="preserve"> </w:t>
      </w:r>
      <w:r>
        <w:rPr>
          <w:rFonts w:ascii="Times New Roman" w:hAnsi="Times New Roman"/>
          <w:bCs/>
          <w:sz w:val="24"/>
          <w:lang w:val="bs-Latn-BA"/>
        </w:rPr>
        <w:t>и</w:t>
      </w:r>
      <w:r w:rsidR="0042679D">
        <w:rPr>
          <w:rFonts w:ascii="Times New Roman" w:hAnsi="Times New Roman"/>
          <w:bCs/>
          <w:sz w:val="24"/>
          <w:lang w:val="bs-Latn-BA"/>
        </w:rPr>
        <w:t xml:space="preserve"> </w:t>
      </w:r>
      <w:r>
        <w:rPr>
          <w:rFonts w:ascii="Times New Roman" w:hAnsi="Times New Roman"/>
          <w:bCs/>
          <w:sz w:val="24"/>
          <w:lang w:val="bs-Latn-BA"/>
        </w:rPr>
        <w:t>доношење</w:t>
      </w:r>
      <w:r w:rsidR="0042679D">
        <w:rPr>
          <w:rFonts w:ascii="Times New Roman" w:hAnsi="Times New Roman"/>
          <w:bCs/>
          <w:sz w:val="24"/>
          <w:lang w:val="bs-Latn-BA"/>
        </w:rPr>
        <w:t xml:space="preserve"> </w:t>
      </w:r>
      <w:r>
        <w:rPr>
          <w:rFonts w:ascii="Times New Roman" w:hAnsi="Times New Roman"/>
          <w:bCs/>
          <w:sz w:val="24"/>
          <w:lang w:val="bs-Latn-BA"/>
        </w:rPr>
        <w:t>и</w:t>
      </w:r>
      <w:r w:rsidR="0042679D">
        <w:rPr>
          <w:rFonts w:ascii="Times New Roman" w:hAnsi="Times New Roman"/>
          <w:bCs/>
          <w:sz w:val="24"/>
          <w:lang w:val="bs-Latn-BA"/>
        </w:rPr>
        <w:t xml:space="preserve"> </w:t>
      </w:r>
      <w:r w:rsidR="0027046E">
        <w:rPr>
          <w:rFonts w:ascii="Times New Roman" w:hAnsi="Times New Roman"/>
          <w:bCs/>
          <w:sz w:val="24"/>
          <w:lang w:val="sr-Cyrl-BA"/>
        </w:rPr>
        <w:t>спровођење</w:t>
      </w:r>
      <w:r w:rsidR="0042679D" w:rsidRPr="00295637">
        <w:rPr>
          <w:rFonts w:ascii="Times New Roman" w:hAnsi="Times New Roman"/>
          <w:sz w:val="24"/>
          <w:lang w:val="bs-Latn-BA"/>
        </w:rPr>
        <w:t xml:space="preserve"> </w:t>
      </w:r>
      <w:r>
        <w:rPr>
          <w:rFonts w:ascii="Times New Roman" w:hAnsi="Times New Roman"/>
          <w:sz w:val="24"/>
          <w:lang w:val="bs-Latn-BA"/>
        </w:rPr>
        <w:t>новог</w:t>
      </w:r>
      <w:r w:rsidR="0042679D" w:rsidRPr="00295637">
        <w:rPr>
          <w:rFonts w:ascii="Times New Roman" w:hAnsi="Times New Roman"/>
          <w:sz w:val="24"/>
          <w:lang w:val="bs-Latn-BA"/>
        </w:rPr>
        <w:t xml:space="preserve"> </w:t>
      </w:r>
      <w:r>
        <w:rPr>
          <w:rFonts w:ascii="Times New Roman" w:hAnsi="Times New Roman"/>
          <w:bCs/>
          <w:sz w:val="24"/>
          <w:lang w:val="bs-Latn-BA"/>
        </w:rPr>
        <w:t>ГАП</w:t>
      </w:r>
      <w:r w:rsidR="0042679D" w:rsidRPr="00295637">
        <w:rPr>
          <w:rFonts w:ascii="Times New Roman" w:hAnsi="Times New Roman"/>
          <w:bCs/>
          <w:sz w:val="24"/>
          <w:lang w:val="bs-Latn-BA"/>
        </w:rPr>
        <w:t xml:space="preserve"> </w:t>
      </w:r>
      <w:r>
        <w:rPr>
          <w:rFonts w:ascii="Times New Roman" w:hAnsi="Times New Roman"/>
          <w:bCs/>
          <w:sz w:val="24"/>
          <w:lang w:val="bs-Latn-BA"/>
        </w:rPr>
        <w:t>у</w:t>
      </w:r>
      <w:r w:rsidR="0042679D" w:rsidRPr="00295637">
        <w:rPr>
          <w:rFonts w:ascii="Times New Roman" w:hAnsi="Times New Roman"/>
          <w:bCs/>
          <w:sz w:val="24"/>
          <w:lang w:val="bs-Latn-BA"/>
        </w:rPr>
        <w:t xml:space="preserve"> </w:t>
      </w:r>
      <w:r>
        <w:rPr>
          <w:rFonts w:ascii="Times New Roman" w:hAnsi="Times New Roman"/>
          <w:bCs/>
          <w:sz w:val="24"/>
          <w:lang w:val="bs-Latn-BA"/>
        </w:rPr>
        <w:t>Посавском</w:t>
      </w:r>
      <w:r w:rsidR="00740BEE">
        <w:rPr>
          <w:rFonts w:ascii="Times New Roman" w:hAnsi="Times New Roman"/>
          <w:bCs/>
          <w:sz w:val="24"/>
          <w:lang w:val="bs-Latn-BA"/>
        </w:rPr>
        <w:t xml:space="preserve"> </w:t>
      </w:r>
      <w:r>
        <w:rPr>
          <w:rFonts w:ascii="Times New Roman" w:hAnsi="Times New Roman"/>
          <w:bCs/>
          <w:sz w:val="24"/>
          <w:lang w:val="bs-Latn-BA"/>
        </w:rPr>
        <w:t>кантону</w:t>
      </w:r>
      <w:r w:rsidR="0042679D" w:rsidRPr="00295637">
        <w:rPr>
          <w:rFonts w:ascii="Times New Roman" w:hAnsi="Times New Roman"/>
          <w:bCs/>
          <w:sz w:val="24"/>
          <w:lang w:val="bs-Latn-BA"/>
        </w:rPr>
        <w:t xml:space="preserve"> </w:t>
      </w:r>
      <w:r>
        <w:rPr>
          <w:rFonts w:ascii="Times New Roman" w:hAnsi="Times New Roman"/>
          <w:bCs/>
          <w:sz w:val="24"/>
          <w:lang w:val="bs-Latn-BA"/>
        </w:rPr>
        <w:t>за</w:t>
      </w:r>
      <w:r w:rsidR="0042679D" w:rsidRPr="00295637">
        <w:rPr>
          <w:rFonts w:ascii="Times New Roman" w:hAnsi="Times New Roman"/>
          <w:bCs/>
          <w:sz w:val="24"/>
          <w:lang w:val="bs-Latn-BA"/>
        </w:rPr>
        <w:t xml:space="preserve"> </w:t>
      </w:r>
      <w:r>
        <w:rPr>
          <w:rFonts w:ascii="Times New Roman" w:hAnsi="Times New Roman"/>
          <w:bCs/>
          <w:sz w:val="24"/>
          <w:lang w:val="bs-Latn-BA"/>
        </w:rPr>
        <w:t>период</w:t>
      </w:r>
      <w:r w:rsidR="0042679D" w:rsidRPr="00295637">
        <w:rPr>
          <w:rFonts w:ascii="Times New Roman" w:hAnsi="Times New Roman"/>
          <w:bCs/>
          <w:sz w:val="24"/>
          <w:lang w:val="bs-Latn-BA"/>
        </w:rPr>
        <w:t xml:space="preserve"> 2024-2027</w:t>
      </w:r>
      <w:r w:rsidR="003F24F7">
        <w:rPr>
          <w:rFonts w:ascii="Times New Roman" w:hAnsi="Times New Roman"/>
          <w:bCs/>
          <w:sz w:val="24"/>
          <w:lang w:val="bs-Latn-BA"/>
        </w:rPr>
        <w:t>.</w:t>
      </w:r>
      <w:r w:rsidR="0042679D" w:rsidRPr="00295637">
        <w:rPr>
          <w:rFonts w:ascii="Times New Roman" w:hAnsi="Times New Roman"/>
          <w:bCs/>
          <w:sz w:val="24"/>
          <w:lang w:val="bs-Latn-BA"/>
        </w:rPr>
        <w:t xml:space="preserve"> </w:t>
      </w:r>
      <w:r>
        <w:rPr>
          <w:rFonts w:ascii="Times New Roman" w:hAnsi="Times New Roman"/>
          <w:bCs/>
          <w:sz w:val="24"/>
          <w:lang w:val="bs-Latn-BA"/>
        </w:rPr>
        <w:t>година</w:t>
      </w:r>
      <w:r w:rsidR="0042679D" w:rsidRPr="00295637">
        <w:rPr>
          <w:rFonts w:ascii="Times New Roman" w:hAnsi="Times New Roman"/>
          <w:bCs/>
          <w:sz w:val="24"/>
          <w:lang w:val="bs-Latn-BA"/>
        </w:rPr>
        <w:t>.</w:t>
      </w:r>
      <w:r w:rsidR="0042679D" w:rsidRPr="00295637">
        <w:rPr>
          <w:rFonts w:ascii="Times New Roman" w:hAnsi="Times New Roman"/>
          <w:sz w:val="24"/>
          <w:lang w:val="bs-Latn-BA"/>
        </w:rPr>
        <w:t xml:space="preserve">  </w:t>
      </w:r>
    </w:p>
    <w:p w:rsidR="0042679D" w:rsidRPr="00295637" w:rsidRDefault="0042679D" w:rsidP="0086268D">
      <w:pPr>
        <w:pStyle w:val="Tekst"/>
        <w:spacing w:before="0"/>
        <w:rPr>
          <w:rFonts w:ascii="Times New Roman" w:hAnsi="Times New Roman"/>
          <w:sz w:val="24"/>
          <w:lang w:val="bs-Latn-BA"/>
        </w:rPr>
      </w:pPr>
    </w:p>
    <w:p w:rsidR="0042679D" w:rsidRPr="00295637" w:rsidRDefault="00C6214E" w:rsidP="0086268D">
      <w:pPr>
        <w:pStyle w:val="ListParagraph"/>
        <w:numPr>
          <w:ilvl w:val="0"/>
          <w:numId w:val="17"/>
        </w:numPr>
        <w:jc w:val="both"/>
        <w:rPr>
          <w:rFonts w:ascii="Times New Roman" w:hAnsi="Times New Roman"/>
          <w:lang w:val="sr-Latn-BA"/>
        </w:rPr>
      </w:pPr>
      <w:r>
        <w:rPr>
          <w:rFonts w:ascii="Times New Roman" w:hAnsi="Times New Roman"/>
          <w:lang w:val="sr-Latn-BA"/>
        </w:rPr>
        <w:t>ЦЈРП</w:t>
      </w:r>
      <w:r w:rsidR="0042679D" w:rsidRPr="00295637">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 xml:space="preserve"> </w:t>
      </w:r>
      <w:r>
        <w:rPr>
          <w:rFonts w:ascii="Times New Roman" w:hAnsi="Times New Roman"/>
          <w:lang w:val="sr-Latn-BA"/>
        </w:rPr>
        <w:t>је</w:t>
      </w:r>
      <w:r w:rsidR="0042679D" w:rsidRPr="00295637">
        <w:rPr>
          <w:rFonts w:ascii="Times New Roman" w:hAnsi="Times New Roman"/>
          <w:lang w:val="sr-Latn-BA"/>
        </w:rPr>
        <w:t xml:space="preserve"> </w:t>
      </w:r>
      <w:r>
        <w:rPr>
          <w:rFonts w:ascii="Times New Roman" w:hAnsi="Times New Roman"/>
          <w:lang w:val="sr-Latn-BA"/>
        </w:rPr>
        <w:t>о</w:t>
      </w:r>
      <w:r w:rsidR="006018E0">
        <w:rPr>
          <w:rFonts w:ascii="Times New Roman" w:hAnsi="Times New Roman"/>
          <w:lang w:val="sr-Cyrl-BA"/>
        </w:rPr>
        <w:t>безбиједио</w:t>
      </w:r>
      <w:r w:rsidR="0042679D" w:rsidRPr="00295637">
        <w:rPr>
          <w:rFonts w:ascii="Times New Roman" w:hAnsi="Times New Roman"/>
          <w:lang w:val="sr-Latn-BA"/>
        </w:rPr>
        <w:t xml:space="preserve"> </w:t>
      </w:r>
      <w:r>
        <w:rPr>
          <w:rFonts w:ascii="Times New Roman" w:hAnsi="Times New Roman"/>
          <w:lang w:val="sr-Cyrl-BA"/>
        </w:rPr>
        <w:t>по</w:t>
      </w:r>
      <w:r>
        <w:rPr>
          <w:rFonts w:ascii="Times New Roman" w:hAnsi="Times New Roman"/>
          <w:lang w:val="hr-HR"/>
        </w:rPr>
        <w:t>дршку</w:t>
      </w:r>
      <w:r w:rsidR="0042679D" w:rsidRPr="00295637">
        <w:rPr>
          <w:rFonts w:ascii="Times New Roman" w:hAnsi="Times New Roman"/>
          <w:lang w:val="sr-Cyrl-BA"/>
        </w:rPr>
        <w:t xml:space="preserve"> </w:t>
      </w:r>
      <w:r>
        <w:rPr>
          <w:rFonts w:ascii="Times New Roman" w:hAnsi="Times New Roman"/>
          <w:lang w:val="sr-Cyrl-BA"/>
        </w:rPr>
        <w:t>механизмима</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sr-Cyrl-BA"/>
        </w:rPr>
        <w:t>равноправност</w:t>
      </w:r>
      <w:r w:rsidR="0042679D" w:rsidRPr="00295637">
        <w:rPr>
          <w:rFonts w:ascii="Times New Roman" w:hAnsi="Times New Roman"/>
          <w:lang w:val="sr-Cyrl-BA"/>
        </w:rPr>
        <w:t xml:space="preserve"> </w:t>
      </w:r>
      <w:r>
        <w:rPr>
          <w:rFonts w:ascii="Times New Roman" w:hAnsi="Times New Roman"/>
          <w:lang w:val="sr-Cyrl-BA"/>
        </w:rPr>
        <w:t>полова</w:t>
      </w:r>
      <w:r w:rsidR="0042679D" w:rsidRPr="00295637">
        <w:rPr>
          <w:rFonts w:ascii="Times New Roman" w:hAnsi="Times New Roman"/>
          <w:lang w:val="sr-Cyrl-BA"/>
        </w:rPr>
        <w:t xml:space="preserve"> </w:t>
      </w:r>
      <w:r>
        <w:rPr>
          <w:rFonts w:ascii="Times New Roman" w:hAnsi="Times New Roman"/>
          <w:lang w:val="sr-Cyrl-BA"/>
        </w:rPr>
        <w:t>на</w:t>
      </w:r>
      <w:r w:rsidR="0042679D" w:rsidRPr="00295637">
        <w:rPr>
          <w:rFonts w:ascii="Times New Roman" w:hAnsi="Times New Roman"/>
          <w:lang w:val="sr-Cyrl-BA"/>
        </w:rPr>
        <w:t xml:space="preserve"> </w:t>
      </w:r>
      <w:r>
        <w:rPr>
          <w:rFonts w:ascii="Times New Roman" w:hAnsi="Times New Roman"/>
          <w:lang w:val="sr-Cyrl-BA"/>
        </w:rPr>
        <w:t>локално</w:t>
      </w:r>
      <w:r>
        <w:rPr>
          <w:rFonts w:ascii="Times New Roman" w:hAnsi="Times New Roman"/>
          <w:lang w:val="hr-HR"/>
        </w:rPr>
        <w:t>м</w:t>
      </w:r>
      <w:r w:rsidR="0042679D" w:rsidRPr="00295637">
        <w:rPr>
          <w:rFonts w:ascii="Times New Roman" w:hAnsi="Times New Roman"/>
          <w:lang w:val="sr-Cyrl-BA"/>
        </w:rPr>
        <w:t xml:space="preserve"> </w:t>
      </w:r>
      <w:r>
        <w:rPr>
          <w:rFonts w:ascii="Times New Roman" w:hAnsi="Times New Roman"/>
          <w:lang w:val="hr-HR"/>
        </w:rPr>
        <w:t>нивоу</w:t>
      </w:r>
      <w:r w:rsidR="0042679D" w:rsidRPr="00295637">
        <w:rPr>
          <w:rFonts w:ascii="Times New Roman" w:hAnsi="Times New Roman"/>
          <w:lang w:val="sr-Cyrl-BA"/>
        </w:rPr>
        <w:t xml:space="preserve"> </w:t>
      </w:r>
      <w:r>
        <w:rPr>
          <w:rFonts w:ascii="Times New Roman" w:hAnsi="Times New Roman"/>
          <w:lang w:val="sr-Cyrl-BA"/>
        </w:rPr>
        <w:t>власти</w:t>
      </w:r>
      <w:r w:rsidR="0042679D" w:rsidRPr="00295637">
        <w:rPr>
          <w:rFonts w:ascii="Times New Roman" w:hAnsi="Times New Roman"/>
          <w:lang w:val="sr-Cyrl-BA"/>
        </w:rPr>
        <w:t xml:space="preserve"> </w:t>
      </w:r>
      <w:r>
        <w:rPr>
          <w:rFonts w:ascii="Times New Roman" w:hAnsi="Times New Roman"/>
          <w:lang w:val="hr-HR"/>
        </w:rPr>
        <w:t>током</w:t>
      </w:r>
      <w:r w:rsidR="0042679D" w:rsidRPr="00295637">
        <w:rPr>
          <w:rFonts w:ascii="Times New Roman" w:hAnsi="Times New Roman"/>
          <w:lang w:val="sr-Cyrl-BA"/>
        </w:rPr>
        <w:t xml:space="preserve"> </w:t>
      </w:r>
      <w:r>
        <w:rPr>
          <w:rFonts w:ascii="Times New Roman" w:hAnsi="Times New Roman"/>
          <w:lang w:val="sr-Cyrl-BA"/>
        </w:rPr>
        <w:t>цијеле</w:t>
      </w:r>
      <w:r w:rsidR="0042679D" w:rsidRPr="00295637">
        <w:rPr>
          <w:rFonts w:ascii="Times New Roman" w:hAnsi="Times New Roman"/>
          <w:lang w:val="sr-Cyrl-BA"/>
        </w:rPr>
        <w:t xml:space="preserve"> </w:t>
      </w:r>
      <w:r>
        <w:rPr>
          <w:rFonts w:ascii="Times New Roman" w:hAnsi="Times New Roman"/>
          <w:lang w:val="sr-Cyrl-BA"/>
        </w:rPr>
        <w:t>године</w:t>
      </w:r>
      <w:r w:rsidR="0042679D" w:rsidRPr="00295637">
        <w:rPr>
          <w:rFonts w:ascii="Times New Roman" w:hAnsi="Times New Roman"/>
          <w:lang w:val="sr-Cyrl-BA"/>
        </w:rPr>
        <w:t xml:space="preserve"> </w:t>
      </w:r>
      <w:r>
        <w:rPr>
          <w:rFonts w:ascii="Times New Roman" w:hAnsi="Times New Roman"/>
          <w:lang w:val="sr-Cyrl-BA"/>
        </w:rPr>
        <w:t>кроз</w:t>
      </w:r>
      <w:r w:rsidR="0042679D" w:rsidRPr="00295637">
        <w:rPr>
          <w:rFonts w:ascii="Times New Roman" w:hAnsi="Times New Roman"/>
          <w:lang w:val="sr-Cyrl-BA"/>
        </w:rPr>
        <w:t xml:space="preserve"> </w:t>
      </w:r>
      <w:r>
        <w:rPr>
          <w:rFonts w:ascii="Times New Roman" w:hAnsi="Times New Roman"/>
          <w:lang w:val="sr-Cyrl-BA"/>
        </w:rPr>
        <w:t>праћење</w:t>
      </w:r>
      <w:r w:rsidR="0042679D" w:rsidRPr="00295637">
        <w:rPr>
          <w:rFonts w:ascii="Times New Roman" w:hAnsi="Times New Roman"/>
          <w:lang w:val="sr-Cyrl-BA"/>
        </w:rPr>
        <w:t xml:space="preserve"> </w:t>
      </w:r>
      <w:r>
        <w:rPr>
          <w:rFonts w:ascii="Times New Roman" w:hAnsi="Times New Roman"/>
          <w:lang w:val="sr-Cyrl-BA"/>
        </w:rPr>
        <w:t>ст</w:t>
      </w:r>
      <w:r>
        <w:rPr>
          <w:rFonts w:ascii="Times New Roman" w:hAnsi="Times New Roman"/>
          <w:lang w:val="hr-HR"/>
        </w:rPr>
        <w:t>епена</w:t>
      </w:r>
      <w:r w:rsidR="0042679D" w:rsidRPr="00295637">
        <w:rPr>
          <w:rFonts w:ascii="Times New Roman" w:hAnsi="Times New Roman"/>
          <w:lang w:val="sr-Cyrl-BA"/>
        </w:rPr>
        <w:t xml:space="preserve"> </w:t>
      </w:r>
      <w:r>
        <w:rPr>
          <w:rFonts w:ascii="Times New Roman" w:hAnsi="Times New Roman"/>
          <w:lang w:val="sr-Cyrl-BA"/>
        </w:rPr>
        <w:t>реализације</w:t>
      </w:r>
      <w:r w:rsidR="0042679D" w:rsidRPr="00295637">
        <w:rPr>
          <w:rFonts w:ascii="Times New Roman" w:hAnsi="Times New Roman"/>
          <w:lang w:val="sr-Cyrl-BA"/>
        </w:rPr>
        <w:t xml:space="preserve"> </w:t>
      </w:r>
      <w:r>
        <w:rPr>
          <w:rFonts w:ascii="Times New Roman" w:hAnsi="Times New Roman"/>
          <w:lang w:val="sr-Cyrl-BA"/>
        </w:rPr>
        <w:t>активности</w:t>
      </w:r>
      <w:r w:rsidR="0042679D" w:rsidRPr="00295637">
        <w:rPr>
          <w:rFonts w:ascii="Times New Roman" w:hAnsi="Times New Roman"/>
          <w:lang w:val="sr-Cyrl-BA"/>
        </w:rPr>
        <w:t xml:space="preserve"> </w:t>
      </w:r>
      <w:r>
        <w:rPr>
          <w:rFonts w:ascii="Times New Roman" w:hAnsi="Times New Roman"/>
          <w:lang w:val="sr-Cyrl-BA"/>
        </w:rPr>
        <w:t>наведених</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оним</w:t>
      </w:r>
      <w:r w:rsidR="0042679D" w:rsidRPr="00295637">
        <w:rPr>
          <w:rFonts w:ascii="Times New Roman" w:hAnsi="Times New Roman"/>
          <w:lang w:val="sr-Cyrl-BA"/>
        </w:rPr>
        <w:t xml:space="preserve"> </w:t>
      </w:r>
      <w:r>
        <w:rPr>
          <w:rFonts w:ascii="Times New Roman" w:hAnsi="Times New Roman"/>
          <w:lang w:val="sr-Cyrl-BA"/>
        </w:rPr>
        <w:t>плановима</w:t>
      </w:r>
      <w:r w:rsidR="0042679D" w:rsidRPr="00295637">
        <w:rPr>
          <w:rFonts w:ascii="Times New Roman" w:hAnsi="Times New Roman"/>
          <w:lang w:val="sr-Cyrl-BA"/>
        </w:rPr>
        <w:t xml:space="preserve"> </w:t>
      </w:r>
      <w:r>
        <w:rPr>
          <w:rFonts w:ascii="Times New Roman" w:hAnsi="Times New Roman"/>
          <w:lang w:val="sr-Cyrl-BA"/>
        </w:rPr>
        <w:t>ЈЛС</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w:t>
      </w:r>
      <w:r>
        <w:rPr>
          <w:rFonts w:ascii="Times New Roman" w:hAnsi="Times New Roman"/>
          <w:lang w:val="sr-Cyrl-BA"/>
        </w:rPr>
        <w:t>којима</w:t>
      </w:r>
      <w:r w:rsidR="0042679D" w:rsidRPr="00295637">
        <w:rPr>
          <w:rFonts w:ascii="Times New Roman" w:hAnsi="Times New Roman"/>
          <w:lang w:val="sr-Cyrl-BA"/>
        </w:rPr>
        <w:t xml:space="preserve"> </w:t>
      </w:r>
      <w:r>
        <w:rPr>
          <w:rFonts w:ascii="Times New Roman" w:hAnsi="Times New Roman"/>
          <w:lang w:val="sr-Cyrl-BA"/>
        </w:rPr>
        <w:t>је</w:t>
      </w:r>
      <w:r w:rsidR="0042679D" w:rsidRPr="00295637">
        <w:rPr>
          <w:rFonts w:ascii="Times New Roman" w:hAnsi="Times New Roman"/>
          <w:lang w:val="sr-Cyrl-BA"/>
        </w:rPr>
        <w:t xml:space="preserve"> </w:t>
      </w:r>
      <w:r>
        <w:rPr>
          <w:rFonts w:ascii="Times New Roman" w:hAnsi="Times New Roman"/>
          <w:lang w:val="sr-Cyrl-BA"/>
        </w:rPr>
        <w:t>ЦЈРП</w:t>
      </w:r>
      <w:r w:rsidR="0042679D" w:rsidRPr="00295637">
        <w:rPr>
          <w:rFonts w:ascii="Times New Roman" w:hAnsi="Times New Roman"/>
          <w:lang w:val="sr-Latn-BA"/>
        </w:rPr>
        <w:t xml:space="preserve"> </w:t>
      </w:r>
      <w:r>
        <w:rPr>
          <w:rFonts w:ascii="Times New Roman" w:hAnsi="Times New Roman"/>
          <w:lang w:val="sr-Cyrl-BA"/>
        </w:rPr>
        <w:t>РС</w:t>
      </w:r>
      <w:r w:rsidR="0042679D" w:rsidRPr="00295637">
        <w:rPr>
          <w:rFonts w:ascii="Times New Roman" w:hAnsi="Times New Roman"/>
          <w:lang w:val="sr-Cyrl-BA"/>
        </w:rPr>
        <w:t xml:space="preserve"> </w:t>
      </w:r>
      <w:r>
        <w:rPr>
          <w:rFonts w:ascii="Times New Roman" w:hAnsi="Times New Roman"/>
          <w:lang w:val="hr-HR"/>
        </w:rPr>
        <w:t>учествовао</w:t>
      </w:r>
      <w:r w:rsidR="0042679D" w:rsidRPr="00295637">
        <w:rPr>
          <w:rFonts w:ascii="Times New Roman" w:hAnsi="Times New Roman"/>
          <w:lang w:val="sr-Cyrl-BA"/>
        </w:rPr>
        <w:t xml:space="preserve"> </w:t>
      </w:r>
      <w:r>
        <w:rPr>
          <w:rFonts w:ascii="Times New Roman" w:hAnsi="Times New Roman"/>
          <w:lang w:val="sr-Cyrl-BA"/>
        </w:rPr>
        <w:t>путем</w:t>
      </w:r>
      <w:r w:rsidR="0042679D" w:rsidRPr="00295637">
        <w:rPr>
          <w:rFonts w:ascii="Times New Roman" w:hAnsi="Times New Roman"/>
          <w:lang w:val="sr-Cyrl-BA"/>
        </w:rPr>
        <w:t xml:space="preserve"> </w:t>
      </w:r>
      <w:r>
        <w:rPr>
          <w:rFonts w:ascii="Times New Roman" w:hAnsi="Times New Roman"/>
          <w:lang w:val="sr-Cyrl-BA"/>
        </w:rPr>
        <w:t>пружања</w:t>
      </w:r>
      <w:r w:rsidR="0042679D" w:rsidRPr="00295637">
        <w:rPr>
          <w:rFonts w:ascii="Times New Roman" w:hAnsi="Times New Roman"/>
          <w:lang w:val="sr-Cyrl-BA"/>
        </w:rPr>
        <w:t xml:space="preserve"> </w:t>
      </w:r>
      <w:r>
        <w:rPr>
          <w:rFonts w:ascii="Times New Roman" w:hAnsi="Times New Roman"/>
          <w:lang w:val="sr-Cyrl-BA"/>
        </w:rPr>
        <w:t>техничке</w:t>
      </w:r>
      <w:r w:rsidR="0042679D" w:rsidRPr="00295637">
        <w:rPr>
          <w:rFonts w:ascii="Times New Roman" w:hAnsi="Times New Roman"/>
          <w:lang w:val="sr-Cyrl-BA"/>
        </w:rPr>
        <w:t xml:space="preserve"> </w:t>
      </w:r>
      <w:r>
        <w:rPr>
          <w:rFonts w:ascii="Times New Roman" w:hAnsi="Times New Roman"/>
          <w:lang w:val="sr-Cyrl-BA"/>
        </w:rPr>
        <w:t>и</w:t>
      </w:r>
      <w:r w:rsidR="0042679D" w:rsidRPr="00295637">
        <w:rPr>
          <w:rFonts w:ascii="Times New Roman" w:hAnsi="Times New Roman"/>
          <w:lang w:val="sr-Cyrl-BA"/>
        </w:rPr>
        <w:t xml:space="preserve"> </w:t>
      </w:r>
      <w:r>
        <w:rPr>
          <w:rFonts w:ascii="Times New Roman" w:hAnsi="Times New Roman"/>
          <w:lang w:val="sr-Cyrl-BA"/>
        </w:rPr>
        <w:t>савјетодавне</w:t>
      </w:r>
      <w:r w:rsidR="0042679D" w:rsidRPr="00295637">
        <w:rPr>
          <w:rFonts w:ascii="Times New Roman" w:hAnsi="Times New Roman"/>
          <w:lang w:val="sr-Cyrl-BA"/>
        </w:rPr>
        <w:t xml:space="preserve"> </w:t>
      </w:r>
      <w:r>
        <w:rPr>
          <w:rFonts w:ascii="Times New Roman" w:hAnsi="Times New Roman"/>
          <w:lang w:val="sr-Cyrl-BA"/>
        </w:rPr>
        <w:t>п</w:t>
      </w:r>
      <w:r w:rsidR="006018E0">
        <w:rPr>
          <w:rFonts w:ascii="Times New Roman" w:hAnsi="Times New Roman"/>
          <w:lang w:val="sr-Cyrl-BA"/>
        </w:rPr>
        <w:t>о</w:t>
      </w:r>
      <w:r>
        <w:rPr>
          <w:rFonts w:ascii="Times New Roman" w:hAnsi="Times New Roman"/>
          <w:lang w:val="hr-HR"/>
        </w:rPr>
        <w:t>дршке</w:t>
      </w:r>
      <w:r w:rsidR="0042679D" w:rsidRPr="00295637">
        <w:rPr>
          <w:rFonts w:ascii="Times New Roman" w:hAnsi="Times New Roman"/>
          <w:lang w:val="sr-Cyrl-BA"/>
        </w:rPr>
        <w:t xml:space="preserve"> (</w:t>
      </w:r>
      <w:r>
        <w:rPr>
          <w:rFonts w:ascii="Times New Roman" w:hAnsi="Times New Roman"/>
          <w:lang w:val="sr-Cyrl-BA"/>
        </w:rPr>
        <w:t>Модрича</w:t>
      </w:r>
      <w:r w:rsidR="0042679D" w:rsidRPr="00295637">
        <w:rPr>
          <w:rFonts w:ascii="Times New Roman" w:hAnsi="Times New Roman"/>
          <w:lang w:val="sr-Cyrl-BA"/>
        </w:rPr>
        <w:t xml:space="preserve">, </w:t>
      </w:r>
      <w:r>
        <w:rPr>
          <w:rFonts w:ascii="Times New Roman" w:hAnsi="Times New Roman"/>
          <w:lang w:val="sr-Cyrl-BA"/>
        </w:rPr>
        <w:t>Нови</w:t>
      </w:r>
      <w:r w:rsidR="0042679D" w:rsidRPr="00295637">
        <w:rPr>
          <w:rFonts w:ascii="Times New Roman" w:hAnsi="Times New Roman"/>
          <w:lang w:val="sr-Cyrl-BA"/>
        </w:rPr>
        <w:t xml:space="preserve"> </w:t>
      </w:r>
      <w:r>
        <w:rPr>
          <w:rFonts w:ascii="Times New Roman" w:hAnsi="Times New Roman"/>
          <w:lang w:val="sr-Cyrl-BA"/>
        </w:rPr>
        <w:t>Град</w:t>
      </w:r>
      <w:r w:rsidR="0042679D" w:rsidRPr="00295637">
        <w:rPr>
          <w:rFonts w:ascii="Times New Roman" w:hAnsi="Times New Roman"/>
          <w:lang w:val="sr-Cyrl-BA"/>
        </w:rPr>
        <w:t xml:space="preserve">, </w:t>
      </w:r>
      <w:r>
        <w:rPr>
          <w:rFonts w:ascii="Times New Roman" w:hAnsi="Times New Roman"/>
          <w:lang w:val="sr-Cyrl-BA"/>
        </w:rPr>
        <w:t>Градишка</w:t>
      </w:r>
      <w:r w:rsidR="0042679D" w:rsidRPr="00295637">
        <w:rPr>
          <w:rFonts w:ascii="Times New Roman" w:hAnsi="Times New Roman"/>
          <w:lang w:val="sr-Cyrl-BA"/>
        </w:rPr>
        <w:t xml:space="preserve">, </w:t>
      </w:r>
      <w:r>
        <w:rPr>
          <w:rFonts w:ascii="Times New Roman" w:hAnsi="Times New Roman"/>
          <w:lang w:val="sr-Cyrl-BA"/>
        </w:rPr>
        <w:t>Србац</w:t>
      </w:r>
      <w:r w:rsidR="0042679D" w:rsidRPr="00295637">
        <w:rPr>
          <w:rFonts w:ascii="Times New Roman" w:hAnsi="Times New Roman"/>
          <w:lang w:val="sr-Cyrl-BA"/>
        </w:rPr>
        <w:t>)</w:t>
      </w:r>
      <w:r w:rsidR="0042679D" w:rsidRPr="00295637">
        <w:rPr>
          <w:rFonts w:ascii="Times New Roman" w:hAnsi="Times New Roman"/>
          <w:lang w:val="sr-Latn-BA"/>
        </w:rPr>
        <w:t xml:space="preserve">. </w:t>
      </w:r>
      <w:r>
        <w:rPr>
          <w:rFonts w:ascii="Times New Roman" w:hAnsi="Times New Roman"/>
          <w:lang w:val="sr-Cyrl-BA"/>
        </w:rPr>
        <w:t>Одржане</w:t>
      </w:r>
      <w:r w:rsidR="0042679D" w:rsidRPr="00295637">
        <w:rPr>
          <w:rFonts w:ascii="Times New Roman" w:hAnsi="Times New Roman"/>
          <w:lang w:val="sr-Cyrl-BA"/>
        </w:rPr>
        <w:t xml:space="preserve"> </w:t>
      </w:r>
      <w:r>
        <w:rPr>
          <w:rFonts w:ascii="Times New Roman" w:hAnsi="Times New Roman"/>
          <w:lang w:val="sr-Latn-BA"/>
        </w:rPr>
        <w:t>су</w:t>
      </w:r>
      <w:r w:rsidR="0042679D" w:rsidRPr="00295637">
        <w:rPr>
          <w:rFonts w:ascii="Times New Roman" w:hAnsi="Times New Roman"/>
          <w:lang w:val="sr-Latn-BA"/>
        </w:rPr>
        <w:t xml:space="preserve"> </w:t>
      </w:r>
      <w:r>
        <w:rPr>
          <w:rFonts w:ascii="Times New Roman" w:hAnsi="Times New Roman"/>
          <w:lang w:val="sr-Cyrl-BA"/>
        </w:rPr>
        <w:t>едукације</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hr-HR"/>
        </w:rPr>
        <w:t>комисије</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sr-Cyrl-BA"/>
        </w:rPr>
        <w:t>равноправност</w:t>
      </w:r>
      <w:r w:rsidR="0042679D" w:rsidRPr="00295637">
        <w:rPr>
          <w:rFonts w:ascii="Times New Roman" w:hAnsi="Times New Roman"/>
          <w:lang w:val="sr-Cyrl-BA"/>
        </w:rPr>
        <w:t xml:space="preserve"> </w:t>
      </w:r>
      <w:r>
        <w:rPr>
          <w:rFonts w:ascii="Times New Roman" w:hAnsi="Times New Roman"/>
          <w:lang w:val="sr-Cyrl-BA"/>
        </w:rPr>
        <w:t>полова</w:t>
      </w:r>
      <w:r w:rsidR="0042679D">
        <w:rPr>
          <w:rFonts w:ascii="Times New Roman" w:hAnsi="Times New Roman"/>
          <w:lang w:val="bs-Latn-BA"/>
        </w:rPr>
        <w:t xml:space="preserve">, </w:t>
      </w:r>
      <w:r>
        <w:rPr>
          <w:rFonts w:ascii="Times New Roman" w:hAnsi="Times New Roman"/>
          <w:lang w:val="bs-Latn-BA"/>
        </w:rPr>
        <w:t>о</w:t>
      </w:r>
      <w:r>
        <w:rPr>
          <w:rFonts w:ascii="Times New Roman" w:hAnsi="Times New Roman"/>
          <w:lang w:val="sr-Cyrl-BA"/>
        </w:rPr>
        <w:t>држани</w:t>
      </w:r>
      <w:r w:rsidR="0042679D" w:rsidRPr="00295637">
        <w:rPr>
          <w:rFonts w:ascii="Times New Roman" w:hAnsi="Times New Roman"/>
          <w:lang w:val="sr-Cyrl-BA"/>
        </w:rPr>
        <w:t xml:space="preserve"> </w:t>
      </w:r>
      <w:r>
        <w:rPr>
          <w:rFonts w:ascii="Times New Roman" w:hAnsi="Times New Roman"/>
          <w:lang w:val="sr-Cyrl-BA"/>
        </w:rPr>
        <w:t>састанци</w:t>
      </w:r>
      <w:r w:rsidR="0042679D" w:rsidRPr="00295637">
        <w:rPr>
          <w:rFonts w:ascii="Times New Roman" w:hAnsi="Times New Roman"/>
          <w:lang w:val="sr-Cyrl-BA"/>
        </w:rPr>
        <w:t xml:space="preserve"> </w:t>
      </w:r>
      <w:r>
        <w:rPr>
          <w:rFonts w:ascii="Times New Roman" w:hAnsi="Times New Roman"/>
          <w:lang w:val="sr-Cyrl-BA"/>
        </w:rPr>
        <w:t>и</w:t>
      </w:r>
      <w:r w:rsidR="0042679D" w:rsidRPr="00295637">
        <w:rPr>
          <w:rFonts w:ascii="Times New Roman" w:hAnsi="Times New Roman"/>
          <w:lang w:val="sr-Cyrl-BA"/>
        </w:rPr>
        <w:t xml:space="preserve"> </w:t>
      </w:r>
      <w:r>
        <w:rPr>
          <w:rFonts w:ascii="Times New Roman" w:hAnsi="Times New Roman"/>
          <w:lang w:val="bs-Latn-BA"/>
        </w:rPr>
        <w:t>двије</w:t>
      </w:r>
      <w:r w:rsidR="0042679D" w:rsidRPr="00295637">
        <w:rPr>
          <w:rFonts w:ascii="Times New Roman" w:hAnsi="Times New Roman"/>
          <w:lang w:val="sr-Cyrl-BA"/>
        </w:rPr>
        <w:t xml:space="preserve"> </w:t>
      </w:r>
      <w:r>
        <w:rPr>
          <w:rFonts w:ascii="Times New Roman" w:hAnsi="Times New Roman"/>
          <w:lang w:val="sr-Cyrl-BA"/>
        </w:rPr>
        <w:t>обуке</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sr-Cyrl-BA"/>
        </w:rPr>
        <w:t>израду</w:t>
      </w:r>
      <w:r w:rsidR="0042679D" w:rsidRPr="00295637">
        <w:rPr>
          <w:rFonts w:ascii="Times New Roman" w:hAnsi="Times New Roman"/>
          <w:lang w:val="sr-Cyrl-BA"/>
        </w:rPr>
        <w:t xml:space="preserve"> </w:t>
      </w:r>
      <w:r>
        <w:rPr>
          <w:rFonts w:ascii="Times New Roman" w:hAnsi="Times New Roman"/>
          <w:lang w:val="sr-Cyrl-BA"/>
        </w:rPr>
        <w:t>ЛГАП</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16 </w:t>
      </w:r>
      <w:r>
        <w:rPr>
          <w:rFonts w:ascii="Times New Roman" w:hAnsi="Times New Roman"/>
          <w:lang w:val="sr-Cyrl-BA"/>
        </w:rPr>
        <w:t>ЈЛС</w:t>
      </w:r>
      <w:r w:rsidR="0042679D" w:rsidRPr="00295637">
        <w:rPr>
          <w:rFonts w:ascii="Times New Roman" w:hAnsi="Times New Roman"/>
          <w:lang w:val="sr-Cyrl-BA"/>
        </w:rPr>
        <w:t xml:space="preserve"> </w:t>
      </w:r>
      <w:r>
        <w:rPr>
          <w:rFonts w:ascii="Times New Roman" w:hAnsi="Times New Roman"/>
          <w:lang w:val="sr-Cyrl-BA"/>
        </w:rPr>
        <w:t>на</w:t>
      </w:r>
      <w:r w:rsidR="0042679D" w:rsidRPr="00295637">
        <w:rPr>
          <w:rFonts w:ascii="Times New Roman" w:hAnsi="Times New Roman"/>
          <w:lang w:val="sr-Cyrl-BA"/>
        </w:rPr>
        <w:t xml:space="preserve"> </w:t>
      </w:r>
      <w:r>
        <w:rPr>
          <w:rFonts w:ascii="Times New Roman" w:hAnsi="Times New Roman"/>
          <w:lang w:val="sr-Cyrl-BA"/>
        </w:rPr>
        <w:t>позив</w:t>
      </w:r>
      <w:r w:rsidR="0042679D" w:rsidRPr="00295637">
        <w:rPr>
          <w:rFonts w:ascii="Times New Roman" w:hAnsi="Times New Roman"/>
          <w:lang w:val="sr-Cyrl-BA"/>
        </w:rPr>
        <w:t xml:space="preserve"> </w:t>
      </w:r>
      <w:r>
        <w:rPr>
          <w:rFonts w:ascii="Times New Roman" w:hAnsi="Times New Roman"/>
          <w:lang w:val="sr-Cyrl-BA"/>
        </w:rPr>
        <w:t>Савеза</w:t>
      </w:r>
      <w:r w:rsidR="0042679D" w:rsidRPr="00295637">
        <w:rPr>
          <w:rFonts w:ascii="Times New Roman" w:hAnsi="Times New Roman"/>
          <w:lang w:val="sr-Cyrl-BA"/>
        </w:rPr>
        <w:t xml:space="preserve"> </w:t>
      </w:r>
      <w:r>
        <w:rPr>
          <w:rFonts w:ascii="Times New Roman" w:hAnsi="Times New Roman"/>
          <w:lang w:val="sr-Cyrl-BA"/>
        </w:rPr>
        <w:t>оп</w:t>
      </w:r>
      <w:r w:rsidR="001C7169">
        <w:rPr>
          <w:rFonts w:ascii="Times New Roman" w:hAnsi="Times New Roman"/>
          <w:lang w:val="sr-Cyrl-BA"/>
        </w:rPr>
        <w:t>шт</w:t>
      </w:r>
      <w:r>
        <w:rPr>
          <w:rFonts w:ascii="Times New Roman" w:hAnsi="Times New Roman"/>
          <w:lang w:val="sr-Cyrl-BA"/>
        </w:rPr>
        <w:t>ина</w:t>
      </w:r>
      <w:r w:rsidR="0042679D" w:rsidRPr="00295637">
        <w:rPr>
          <w:rFonts w:ascii="Times New Roman" w:hAnsi="Times New Roman"/>
          <w:lang w:val="sr-Cyrl-BA"/>
        </w:rPr>
        <w:t xml:space="preserve"> </w:t>
      </w:r>
      <w:r>
        <w:rPr>
          <w:rFonts w:ascii="Times New Roman" w:hAnsi="Times New Roman"/>
          <w:lang w:val="sr-Cyrl-BA"/>
        </w:rPr>
        <w:t>и</w:t>
      </w:r>
      <w:r w:rsidR="0042679D" w:rsidRPr="00295637">
        <w:rPr>
          <w:rFonts w:ascii="Times New Roman" w:hAnsi="Times New Roman"/>
          <w:lang w:val="sr-Cyrl-BA"/>
        </w:rPr>
        <w:t xml:space="preserve"> </w:t>
      </w:r>
      <w:r>
        <w:rPr>
          <w:rFonts w:ascii="Times New Roman" w:hAnsi="Times New Roman"/>
          <w:lang w:val="sr-Cyrl-BA"/>
        </w:rPr>
        <w:t>градова</w:t>
      </w:r>
      <w:r w:rsidR="0042679D" w:rsidRPr="00295637">
        <w:rPr>
          <w:rFonts w:ascii="Times New Roman" w:hAnsi="Times New Roman"/>
          <w:lang w:val="sr-Cyrl-BA"/>
        </w:rPr>
        <w:t xml:space="preserve"> </w:t>
      </w:r>
      <w:r>
        <w:rPr>
          <w:rFonts w:ascii="Times New Roman" w:hAnsi="Times New Roman"/>
          <w:lang w:val="sr-Cyrl-BA"/>
        </w:rPr>
        <w:t>РС</w:t>
      </w:r>
      <w:r w:rsidR="0042679D" w:rsidRPr="00295637">
        <w:rPr>
          <w:rFonts w:ascii="Times New Roman" w:hAnsi="Times New Roman"/>
          <w:lang w:val="sr-Latn-BA"/>
        </w:rPr>
        <w:t>.</w:t>
      </w:r>
    </w:p>
    <w:p w:rsidR="0042679D" w:rsidRDefault="0042679D" w:rsidP="0086268D">
      <w:pPr>
        <w:pStyle w:val="ListParagraph"/>
        <w:ind w:left="720"/>
        <w:jc w:val="both"/>
        <w:rPr>
          <w:rFonts w:ascii="Times New Roman" w:hAnsi="Times New Roman"/>
          <w:lang w:val="sr-Latn-BA"/>
        </w:rPr>
      </w:pPr>
    </w:p>
    <w:p w:rsidR="00FA2C79" w:rsidRPr="00295637" w:rsidRDefault="00C6214E" w:rsidP="0086268D">
      <w:pPr>
        <w:pStyle w:val="ListParagraph"/>
        <w:numPr>
          <w:ilvl w:val="0"/>
          <w:numId w:val="17"/>
        </w:numPr>
        <w:jc w:val="both"/>
        <w:rPr>
          <w:rFonts w:ascii="Times New Roman" w:hAnsi="Times New Roman"/>
          <w:lang w:val="sr-Cyrl-BA"/>
        </w:rPr>
      </w:pPr>
      <w:r>
        <w:rPr>
          <w:rFonts w:ascii="Times New Roman" w:hAnsi="Times New Roman"/>
          <w:lang w:val="sr-Cyrl-BA"/>
        </w:rPr>
        <w:t>ЦЈРП</w:t>
      </w:r>
      <w:r w:rsidR="00FA2C79" w:rsidRPr="00295637">
        <w:rPr>
          <w:rFonts w:ascii="Times New Roman" w:hAnsi="Times New Roman"/>
          <w:lang w:val="sr-Cyrl-BA"/>
        </w:rPr>
        <w:t xml:space="preserve"> </w:t>
      </w:r>
      <w:r>
        <w:rPr>
          <w:rFonts w:ascii="Times New Roman" w:hAnsi="Times New Roman"/>
          <w:lang w:val="sr-Cyrl-BA"/>
        </w:rPr>
        <w:t>РС</w:t>
      </w:r>
      <w:r w:rsidR="00FA2C79" w:rsidRPr="00295637">
        <w:rPr>
          <w:rFonts w:ascii="Times New Roman" w:hAnsi="Times New Roman"/>
          <w:lang w:val="sr-Cyrl-BA"/>
        </w:rPr>
        <w:t xml:space="preserve"> </w:t>
      </w:r>
      <w:r>
        <w:rPr>
          <w:rFonts w:ascii="Times New Roman" w:hAnsi="Times New Roman"/>
          <w:lang w:val="sr-Cyrl-BA"/>
        </w:rPr>
        <w:t>је</w:t>
      </w:r>
      <w:r w:rsidR="00FA2C79" w:rsidRPr="00295637">
        <w:rPr>
          <w:rFonts w:ascii="Times New Roman" w:hAnsi="Times New Roman"/>
          <w:lang w:val="sr-Cyrl-BA"/>
        </w:rPr>
        <w:t xml:space="preserve"> </w:t>
      </w:r>
      <w:r>
        <w:rPr>
          <w:rFonts w:ascii="Times New Roman" w:hAnsi="Times New Roman"/>
          <w:lang w:val="sr-Cyrl-BA"/>
        </w:rPr>
        <w:t>потписао</w:t>
      </w:r>
      <w:r w:rsidR="00FA2C79" w:rsidRPr="00295637">
        <w:rPr>
          <w:rFonts w:ascii="Times New Roman" w:hAnsi="Times New Roman"/>
          <w:lang w:val="sr-Cyrl-BA"/>
        </w:rPr>
        <w:t xml:space="preserve"> </w:t>
      </w:r>
      <w:r>
        <w:rPr>
          <w:rFonts w:ascii="Times New Roman" w:hAnsi="Times New Roman"/>
          <w:lang w:val="sr-Cyrl-BA"/>
        </w:rPr>
        <w:t>Меморандум</w:t>
      </w:r>
      <w:r w:rsidR="00FA2C79" w:rsidRPr="00295637">
        <w:rPr>
          <w:rFonts w:ascii="Times New Roman" w:hAnsi="Times New Roman"/>
          <w:lang w:val="sr-Cyrl-BA"/>
        </w:rPr>
        <w:t xml:space="preserve"> </w:t>
      </w:r>
      <w:r>
        <w:rPr>
          <w:rFonts w:ascii="Times New Roman" w:hAnsi="Times New Roman"/>
          <w:lang w:val="sr-Cyrl-BA"/>
        </w:rPr>
        <w:t>о</w:t>
      </w:r>
      <w:r w:rsidR="00FA2C79"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Pr>
          <w:rFonts w:ascii="Times New Roman" w:hAnsi="Times New Roman"/>
          <w:lang w:val="sr-Cyrl-BA"/>
        </w:rPr>
        <w:t>радњи</w:t>
      </w:r>
      <w:r w:rsidR="00FA2C79" w:rsidRPr="00295637">
        <w:rPr>
          <w:rFonts w:ascii="Times New Roman" w:hAnsi="Times New Roman"/>
          <w:lang w:val="sr-Cyrl-BA"/>
        </w:rPr>
        <w:t xml:space="preserve"> </w:t>
      </w:r>
      <w:r>
        <w:rPr>
          <w:rFonts w:ascii="Times New Roman" w:hAnsi="Times New Roman"/>
          <w:lang w:val="sr-Cyrl-BA"/>
        </w:rPr>
        <w:t>са</w:t>
      </w:r>
      <w:r w:rsidR="00FA2C79" w:rsidRPr="00295637">
        <w:rPr>
          <w:rFonts w:ascii="Times New Roman" w:hAnsi="Times New Roman"/>
          <w:lang w:val="sr-Cyrl-BA"/>
        </w:rPr>
        <w:t xml:space="preserve"> </w:t>
      </w:r>
      <w:r>
        <w:rPr>
          <w:rFonts w:ascii="Times New Roman" w:hAnsi="Times New Roman"/>
          <w:lang w:val="sr-Cyrl-BA"/>
        </w:rPr>
        <w:t>Савезом</w:t>
      </w:r>
      <w:r w:rsidR="00FA2C79" w:rsidRPr="00295637">
        <w:rPr>
          <w:rFonts w:ascii="Times New Roman" w:hAnsi="Times New Roman"/>
          <w:lang w:val="sr-Cyrl-BA"/>
        </w:rPr>
        <w:t xml:space="preserve"> </w:t>
      </w:r>
      <w:r>
        <w:rPr>
          <w:rFonts w:ascii="Times New Roman" w:hAnsi="Times New Roman"/>
          <w:lang w:val="sr-Cyrl-BA"/>
        </w:rPr>
        <w:t>оп</w:t>
      </w:r>
      <w:r w:rsidR="001C7169">
        <w:rPr>
          <w:rFonts w:ascii="Times New Roman" w:hAnsi="Times New Roman"/>
          <w:lang w:val="sr-Cyrl-BA"/>
        </w:rPr>
        <w:t>шт</w:t>
      </w:r>
      <w:r>
        <w:rPr>
          <w:rFonts w:ascii="Times New Roman" w:hAnsi="Times New Roman"/>
          <w:lang w:val="sr-Cyrl-BA"/>
        </w:rPr>
        <w:t>ина</w:t>
      </w:r>
      <w:r w:rsidR="00FA2C79" w:rsidRPr="00295637">
        <w:rPr>
          <w:rFonts w:ascii="Times New Roman" w:hAnsi="Times New Roman"/>
          <w:lang w:val="sr-Cyrl-BA"/>
        </w:rPr>
        <w:t xml:space="preserve"> </w:t>
      </w:r>
      <w:r>
        <w:rPr>
          <w:rFonts w:ascii="Times New Roman" w:hAnsi="Times New Roman"/>
          <w:lang w:val="sr-Latn-BA"/>
        </w:rPr>
        <w:t>и</w:t>
      </w:r>
      <w:r w:rsidR="00FA2C79" w:rsidRPr="00295637">
        <w:rPr>
          <w:rFonts w:ascii="Times New Roman" w:hAnsi="Times New Roman"/>
          <w:lang w:val="sr-Cyrl-BA"/>
        </w:rPr>
        <w:t xml:space="preserve"> </w:t>
      </w:r>
      <w:r>
        <w:rPr>
          <w:rFonts w:ascii="Times New Roman" w:hAnsi="Times New Roman"/>
          <w:lang w:val="sr-Cyrl-BA"/>
        </w:rPr>
        <w:t>градова</w:t>
      </w:r>
      <w:r w:rsidR="00FA2C79"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FA2C79" w:rsidRPr="00295637">
        <w:rPr>
          <w:rFonts w:ascii="Times New Roman" w:hAnsi="Times New Roman"/>
          <w:lang w:val="sr-Cyrl-BA"/>
        </w:rPr>
        <w:t xml:space="preserve">. </w:t>
      </w:r>
      <w:r>
        <w:rPr>
          <w:rFonts w:ascii="Times New Roman" w:hAnsi="Times New Roman"/>
          <w:lang w:val="sr-Cyrl-BA"/>
        </w:rPr>
        <w:t>ЦЈРП</w:t>
      </w:r>
      <w:r w:rsidR="00FA2C79" w:rsidRPr="00295637">
        <w:rPr>
          <w:rFonts w:ascii="Times New Roman" w:hAnsi="Times New Roman"/>
          <w:lang w:val="sr-Cyrl-BA"/>
        </w:rPr>
        <w:t xml:space="preserve"> </w:t>
      </w:r>
      <w:r>
        <w:rPr>
          <w:rFonts w:ascii="Times New Roman" w:hAnsi="Times New Roman"/>
          <w:lang w:val="sr-Cyrl-BA"/>
        </w:rPr>
        <w:t>РС</w:t>
      </w:r>
      <w:r w:rsidR="00FA2C79" w:rsidRPr="00295637">
        <w:rPr>
          <w:rFonts w:ascii="Times New Roman" w:hAnsi="Times New Roman"/>
          <w:lang w:val="sr-Cyrl-BA"/>
        </w:rPr>
        <w:t xml:space="preserve"> </w:t>
      </w:r>
      <w:r>
        <w:rPr>
          <w:rFonts w:ascii="Times New Roman" w:hAnsi="Times New Roman"/>
          <w:lang w:val="sr-Cyrl-BA"/>
        </w:rPr>
        <w:t>је</w:t>
      </w:r>
      <w:r w:rsidR="00FA2C79" w:rsidRPr="00295637">
        <w:rPr>
          <w:rFonts w:ascii="Times New Roman" w:hAnsi="Times New Roman"/>
          <w:lang w:val="sr-Cyrl-BA"/>
        </w:rPr>
        <w:t xml:space="preserve"> </w:t>
      </w:r>
      <w:r>
        <w:rPr>
          <w:rFonts w:ascii="Times New Roman" w:hAnsi="Times New Roman"/>
          <w:lang w:val="hr-HR"/>
        </w:rPr>
        <w:t>учествовао</w:t>
      </w:r>
      <w:r w:rsidR="00FA2C79" w:rsidRPr="00295637">
        <w:rPr>
          <w:rFonts w:ascii="Times New Roman" w:hAnsi="Times New Roman"/>
          <w:lang w:val="sr-Cyrl-BA"/>
        </w:rPr>
        <w:t xml:space="preserve"> </w:t>
      </w:r>
      <w:r>
        <w:rPr>
          <w:rFonts w:ascii="Times New Roman" w:hAnsi="Times New Roman"/>
          <w:lang w:val="sr-Cyrl-BA"/>
        </w:rPr>
        <w:t>на</w:t>
      </w:r>
      <w:r w:rsidR="00FA2C79" w:rsidRPr="00295637">
        <w:rPr>
          <w:rFonts w:ascii="Times New Roman" w:hAnsi="Times New Roman"/>
          <w:lang w:val="sr-Cyrl-BA"/>
        </w:rPr>
        <w:t xml:space="preserve"> </w:t>
      </w:r>
      <w:r>
        <w:rPr>
          <w:rFonts w:ascii="Times New Roman" w:hAnsi="Times New Roman"/>
          <w:lang w:val="sr-Latn-BA"/>
        </w:rPr>
        <w:t>оснивачком</w:t>
      </w:r>
      <w:r w:rsidR="00FA2C79" w:rsidRPr="00295637">
        <w:rPr>
          <w:rFonts w:ascii="Times New Roman" w:hAnsi="Times New Roman"/>
          <w:lang w:val="sr-Latn-BA"/>
        </w:rPr>
        <w:t xml:space="preserve"> </w:t>
      </w:r>
      <w:r>
        <w:rPr>
          <w:rFonts w:ascii="Times New Roman" w:hAnsi="Times New Roman"/>
          <w:lang w:val="sr-Cyrl-BA"/>
        </w:rPr>
        <w:t>састанку</w:t>
      </w:r>
      <w:r w:rsidR="00FA2C79" w:rsidRPr="00295637">
        <w:rPr>
          <w:rFonts w:ascii="Times New Roman" w:hAnsi="Times New Roman"/>
          <w:lang w:val="sr-Cyrl-BA"/>
        </w:rPr>
        <w:t xml:space="preserve"> </w:t>
      </w:r>
      <w:r>
        <w:rPr>
          <w:rFonts w:ascii="Times New Roman" w:hAnsi="Times New Roman"/>
          <w:lang w:val="sr-Cyrl-BA"/>
        </w:rPr>
        <w:t>Мреже</w:t>
      </w:r>
      <w:r w:rsidR="00FA2C79" w:rsidRPr="00295637">
        <w:rPr>
          <w:rFonts w:ascii="Times New Roman" w:hAnsi="Times New Roman"/>
          <w:lang w:val="sr-Cyrl-BA"/>
        </w:rPr>
        <w:t xml:space="preserve"> </w:t>
      </w:r>
      <w:r>
        <w:rPr>
          <w:rFonts w:ascii="Times New Roman" w:hAnsi="Times New Roman"/>
          <w:lang w:val="sr-Cyrl-BA"/>
        </w:rPr>
        <w:t>за</w:t>
      </w:r>
      <w:r w:rsidR="00FA2C79" w:rsidRPr="00295637">
        <w:rPr>
          <w:rFonts w:ascii="Times New Roman" w:hAnsi="Times New Roman"/>
          <w:lang w:val="sr-Cyrl-BA"/>
        </w:rPr>
        <w:t xml:space="preserve"> </w:t>
      </w:r>
      <w:r>
        <w:rPr>
          <w:rFonts w:ascii="Times New Roman" w:hAnsi="Times New Roman"/>
          <w:lang w:val="sr-Cyrl-BA"/>
        </w:rPr>
        <w:t>родну</w:t>
      </w:r>
      <w:r w:rsidR="00FA2C79" w:rsidRPr="00295637">
        <w:rPr>
          <w:rFonts w:ascii="Times New Roman" w:hAnsi="Times New Roman"/>
          <w:lang w:val="sr-Cyrl-BA"/>
        </w:rPr>
        <w:t xml:space="preserve"> </w:t>
      </w:r>
      <w:r>
        <w:rPr>
          <w:rFonts w:ascii="Times New Roman" w:hAnsi="Times New Roman"/>
          <w:lang w:val="sr-Cyrl-BA"/>
        </w:rPr>
        <w:t>равноправност</w:t>
      </w:r>
      <w:r w:rsidR="00FA2C79" w:rsidRPr="00295637">
        <w:rPr>
          <w:rFonts w:ascii="Times New Roman" w:hAnsi="Times New Roman"/>
          <w:lang w:val="sr-Cyrl-BA"/>
        </w:rPr>
        <w:t xml:space="preserve"> </w:t>
      </w:r>
      <w:r>
        <w:rPr>
          <w:rFonts w:ascii="Times New Roman" w:hAnsi="Times New Roman"/>
          <w:lang w:val="sr-Cyrl-BA"/>
        </w:rPr>
        <w:t>Савеза</w:t>
      </w:r>
      <w:r w:rsidR="00FA2C79" w:rsidRPr="00295637">
        <w:rPr>
          <w:rFonts w:ascii="Times New Roman" w:hAnsi="Times New Roman"/>
          <w:lang w:val="sr-Cyrl-BA"/>
        </w:rPr>
        <w:t xml:space="preserve"> </w:t>
      </w:r>
      <w:r>
        <w:rPr>
          <w:rFonts w:ascii="Times New Roman" w:hAnsi="Times New Roman"/>
          <w:lang w:val="sr-Cyrl-BA"/>
        </w:rPr>
        <w:t>оп</w:t>
      </w:r>
      <w:r w:rsidR="001C7169">
        <w:rPr>
          <w:rFonts w:ascii="Times New Roman" w:hAnsi="Times New Roman"/>
          <w:lang w:val="sr-Cyrl-BA"/>
        </w:rPr>
        <w:t>шт</w:t>
      </w:r>
      <w:r>
        <w:rPr>
          <w:rFonts w:ascii="Times New Roman" w:hAnsi="Times New Roman"/>
          <w:lang w:val="sr-Cyrl-BA"/>
        </w:rPr>
        <w:t>ина</w:t>
      </w:r>
      <w:r w:rsidR="00FA2C79" w:rsidRPr="00295637">
        <w:rPr>
          <w:rFonts w:ascii="Times New Roman" w:hAnsi="Times New Roman"/>
          <w:lang w:val="sr-Cyrl-BA"/>
        </w:rPr>
        <w:t xml:space="preserve"> </w:t>
      </w:r>
      <w:r>
        <w:rPr>
          <w:rFonts w:ascii="Times New Roman" w:hAnsi="Times New Roman"/>
          <w:lang w:val="sr-Cyrl-BA"/>
        </w:rPr>
        <w:t>и</w:t>
      </w:r>
      <w:r w:rsidR="00FA2C79" w:rsidRPr="00295637">
        <w:rPr>
          <w:rFonts w:ascii="Times New Roman" w:hAnsi="Times New Roman"/>
          <w:lang w:val="sr-Cyrl-BA"/>
        </w:rPr>
        <w:t xml:space="preserve"> </w:t>
      </w:r>
      <w:r>
        <w:rPr>
          <w:rFonts w:ascii="Times New Roman" w:hAnsi="Times New Roman"/>
          <w:lang w:val="sr-Cyrl-BA"/>
        </w:rPr>
        <w:t>градова</w:t>
      </w:r>
      <w:r w:rsidR="00FA2C79"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C00CFD">
        <w:rPr>
          <w:rFonts w:ascii="Times New Roman" w:hAnsi="Times New Roman"/>
          <w:lang w:val="bs-Latn-BA"/>
        </w:rPr>
        <w:t xml:space="preserve"> </w:t>
      </w:r>
      <w:r>
        <w:rPr>
          <w:rFonts w:ascii="Times New Roman" w:hAnsi="Times New Roman"/>
          <w:lang w:val="bs-Latn-BA"/>
        </w:rPr>
        <w:t>на</w:t>
      </w:r>
      <w:r w:rsidR="00C00CFD">
        <w:rPr>
          <w:rFonts w:ascii="Times New Roman" w:hAnsi="Times New Roman"/>
          <w:lang w:val="bs-Latn-BA"/>
        </w:rPr>
        <w:t xml:space="preserve"> </w:t>
      </w:r>
      <w:r>
        <w:rPr>
          <w:rFonts w:ascii="Times New Roman" w:hAnsi="Times New Roman"/>
          <w:lang w:val="bs-Latn-BA"/>
        </w:rPr>
        <w:t>којем</w:t>
      </w:r>
      <w:r w:rsidR="00FA2C79" w:rsidRPr="00295637">
        <w:rPr>
          <w:rFonts w:ascii="Times New Roman" w:hAnsi="Times New Roman"/>
          <w:lang w:val="sr-Latn-BA"/>
        </w:rPr>
        <w:t xml:space="preserve"> </w:t>
      </w:r>
      <w:r>
        <w:rPr>
          <w:rFonts w:ascii="Times New Roman" w:hAnsi="Times New Roman"/>
          <w:lang w:val="sr-Latn-BA"/>
        </w:rPr>
        <w:t>се</w:t>
      </w:r>
      <w:r w:rsidR="00FA2C79" w:rsidRPr="00295637">
        <w:rPr>
          <w:rFonts w:ascii="Times New Roman" w:hAnsi="Times New Roman"/>
          <w:lang w:val="sr-Cyrl-BA"/>
        </w:rPr>
        <w:t xml:space="preserve"> </w:t>
      </w:r>
      <w:r>
        <w:rPr>
          <w:rFonts w:ascii="Times New Roman" w:hAnsi="Times New Roman"/>
          <w:lang w:val="sr-Cyrl-BA"/>
        </w:rPr>
        <w:t>разговарало</w:t>
      </w:r>
      <w:r w:rsidR="00FA2C79" w:rsidRPr="00295637">
        <w:rPr>
          <w:rFonts w:ascii="Times New Roman" w:hAnsi="Times New Roman"/>
          <w:lang w:val="sr-Cyrl-BA"/>
        </w:rPr>
        <w:t xml:space="preserve"> </w:t>
      </w:r>
      <w:r>
        <w:rPr>
          <w:rFonts w:ascii="Times New Roman" w:hAnsi="Times New Roman"/>
          <w:lang w:val="sr-Cyrl-BA"/>
        </w:rPr>
        <w:t>о</w:t>
      </w:r>
      <w:r w:rsidR="00FA2C79" w:rsidRPr="00295637">
        <w:rPr>
          <w:rFonts w:ascii="Times New Roman" w:hAnsi="Times New Roman"/>
          <w:lang w:val="sr-Cyrl-BA"/>
        </w:rPr>
        <w:t xml:space="preserve"> </w:t>
      </w:r>
      <w:r>
        <w:rPr>
          <w:rFonts w:ascii="Times New Roman" w:hAnsi="Times New Roman"/>
          <w:lang w:val="sr-Cyrl-BA"/>
        </w:rPr>
        <w:t>значају</w:t>
      </w:r>
      <w:r w:rsidR="00FA2C79" w:rsidRPr="00295637">
        <w:rPr>
          <w:rFonts w:ascii="Times New Roman" w:hAnsi="Times New Roman"/>
          <w:lang w:val="sr-Cyrl-BA"/>
        </w:rPr>
        <w:t xml:space="preserve"> </w:t>
      </w:r>
      <w:r>
        <w:rPr>
          <w:rFonts w:ascii="Times New Roman" w:hAnsi="Times New Roman"/>
          <w:lang w:val="sr-Cyrl-BA"/>
        </w:rPr>
        <w:t>доношења</w:t>
      </w:r>
      <w:r w:rsidR="00FA2C79" w:rsidRPr="00295637">
        <w:rPr>
          <w:rFonts w:ascii="Times New Roman" w:hAnsi="Times New Roman"/>
          <w:lang w:val="sr-Cyrl-BA"/>
        </w:rPr>
        <w:t xml:space="preserve"> </w:t>
      </w:r>
      <w:r>
        <w:rPr>
          <w:rFonts w:ascii="Times New Roman" w:hAnsi="Times New Roman"/>
          <w:lang w:val="sr-Cyrl-BA"/>
        </w:rPr>
        <w:t>локалних</w:t>
      </w:r>
      <w:r w:rsidR="00FA2C79"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оних</w:t>
      </w:r>
      <w:r w:rsidR="00FA2C79" w:rsidRPr="00295637">
        <w:rPr>
          <w:rFonts w:ascii="Times New Roman" w:hAnsi="Times New Roman"/>
          <w:lang w:val="sr-Cyrl-BA"/>
        </w:rPr>
        <w:t xml:space="preserve"> </w:t>
      </w:r>
      <w:r>
        <w:rPr>
          <w:rFonts w:ascii="Times New Roman" w:hAnsi="Times New Roman"/>
          <w:lang w:val="sr-Cyrl-BA"/>
        </w:rPr>
        <w:t>планова</w:t>
      </w:r>
      <w:r w:rsidR="00FA2C79" w:rsidRPr="00295637">
        <w:rPr>
          <w:rFonts w:ascii="Times New Roman" w:hAnsi="Times New Roman"/>
          <w:lang w:val="sr-Cyrl-BA"/>
        </w:rPr>
        <w:t xml:space="preserve"> </w:t>
      </w:r>
      <w:r>
        <w:rPr>
          <w:rFonts w:ascii="Times New Roman" w:hAnsi="Times New Roman"/>
          <w:lang w:val="sr-Cyrl-BA"/>
        </w:rPr>
        <w:t>за</w:t>
      </w:r>
      <w:r w:rsidR="00FA2C79" w:rsidRPr="00295637">
        <w:rPr>
          <w:rFonts w:ascii="Times New Roman" w:hAnsi="Times New Roman"/>
          <w:lang w:val="sr-Cyrl-BA"/>
        </w:rPr>
        <w:t xml:space="preserve"> </w:t>
      </w:r>
      <w:r>
        <w:rPr>
          <w:rFonts w:ascii="Times New Roman" w:hAnsi="Times New Roman"/>
          <w:lang w:val="sr-Cyrl-BA"/>
        </w:rPr>
        <w:t>равноправност</w:t>
      </w:r>
      <w:r w:rsidR="00FA2C79" w:rsidRPr="00295637">
        <w:rPr>
          <w:rFonts w:ascii="Times New Roman" w:hAnsi="Times New Roman"/>
          <w:lang w:val="sr-Cyrl-BA"/>
        </w:rPr>
        <w:t xml:space="preserve"> </w:t>
      </w:r>
      <w:r>
        <w:rPr>
          <w:rFonts w:ascii="Times New Roman" w:hAnsi="Times New Roman"/>
          <w:lang w:val="sr-Cyrl-BA"/>
        </w:rPr>
        <w:t>полова</w:t>
      </w:r>
      <w:r w:rsidR="00FA2C79" w:rsidRPr="00295637">
        <w:rPr>
          <w:rFonts w:ascii="Times New Roman" w:hAnsi="Times New Roman"/>
          <w:lang w:val="sr-Cyrl-BA"/>
        </w:rPr>
        <w:t xml:space="preserve">, </w:t>
      </w:r>
      <w:r>
        <w:rPr>
          <w:rFonts w:ascii="Times New Roman" w:hAnsi="Times New Roman"/>
          <w:lang w:val="sr-Cyrl-BA"/>
        </w:rPr>
        <w:t>представљена</w:t>
      </w:r>
      <w:r w:rsidR="00FA2C79" w:rsidRPr="00295637">
        <w:rPr>
          <w:rFonts w:ascii="Times New Roman" w:hAnsi="Times New Roman"/>
          <w:lang w:val="sr-Cyrl-BA"/>
        </w:rPr>
        <w:t xml:space="preserve"> </w:t>
      </w:r>
      <w:r>
        <w:rPr>
          <w:rFonts w:ascii="Times New Roman" w:hAnsi="Times New Roman"/>
          <w:lang w:val="sr-Cyrl-BA"/>
        </w:rPr>
        <w:t>је</w:t>
      </w:r>
      <w:r w:rsidR="00FA2C79" w:rsidRPr="00295637">
        <w:rPr>
          <w:rFonts w:ascii="Times New Roman" w:hAnsi="Times New Roman"/>
          <w:lang w:val="sr-Cyrl-BA"/>
        </w:rPr>
        <w:t xml:space="preserve"> </w:t>
      </w:r>
      <w:r>
        <w:rPr>
          <w:rFonts w:ascii="Times New Roman" w:hAnsi="Times New Roman"/>
          <w:lang w:val="sr-Cyrl-BA"/>
        </w:rPr>
        <w:t>методологија</w:t>
      </w:r>
      <w:r w:rsidR="00FA2C79" w:rsidRPr="00295637">
        <w:rPr>
          <w:rFonts w:ascii="Times New Roman" w:hAnsi="Times New Roman"/>
          <w:lang w:val="sr-Cyrl-BA"/>
        </w:rPr>
        <w:t xml:space="preserve"> </w:t>
      </w:r>
      <w:r>
        <w:rPr>
          <w:rFonts w:ascii="Times New Roman" w:hAnsi="Times New Roman"/>
          <w:lang w:val="sr-Cyrl-BA"/>
        </w:rPr>
        <w:t>за</w:t>
      </w:r>
      <w:r w:rsidR="00FA2C79" w:rsidRPr="00295637">
        <w:rPr>
          <w:rFonts w:ascii="Times New Roman" w:hAnsi="Times New Roman"/>
          <w:lang w:val="sr-Cyrl-BA"/>
        </w:rPr>
        <w:t xml:space="preserve"> </w:t>
      </w:r>
      <w:r>
        <w:rPr>
          <w:rFonts w:ascii="Times New Roman" w:hAnsi="Times New Roman"/>
          <w:lang w:val="sr-Cyrl-BA"/>
        </w:rPr>
        <w:t>доношење</w:t>
      </w:r>
      <w:r w:rsidR="00FA2C79" w:rsidRPr="00295637">
        <w:rPr>
          <w:rFonts w:ascii="Times New Roman" w:hAnsi="Times New Roman"/>
          <w:lang w:val="sr-Cyrl-BA"/>
        </w:rPr>
        <w:t xml:space="preserve"> </w:t>
      </w:r>
      <w:r>
        <w:rPr>
          <w:rFonts w:ascii="Times New Roman" w:hAnsi="Times New Roman"/>
          <w:lang w:val="sr-Cyrl-BA"/>
        </w:rPr>
        <w:t>јавних</w:t>
      </w:r>
      <w:r w:rsidR="00FA2C79" w:rsidRPr="00295637">
        <w:rPr>
          <w:rFonts w:ascii="Times New Roman" w:hAnsi="Times New Roman"/>
          <w:lang w:val="sr-Cyrl-BA"/>
        </w:rPr>
        <w:t xml:space="preserve"> </w:t>
      </w:r>
      <w:r>
        <w:rPr>
          <w:rFonts w:ascii="Times New Roman" w:hAnsi="Times New Roman"/>
          <w:lang w:val="sr-Cyrl-BA"/>
        </w:rPr>
        <w:t>политика</w:t>
      </w:r>
      <w:r w:rsidR="00FA2C79">
        <w:rPr>
          <w:rFonts w:ascii="Times New Roman" w:hAnsi="Times New Roman"/>
          <w:lang w:val="bs-Latn-BA"/>
        </w:rPr>
        <w:t>.</w:t>
      </w:r>
      <w:r w:rsidR="00FA2C79" w:rsidRPr="00295637">
        <w:rPr>
          <w:rFonts w:ascii="Times New Roman" w:hAnsi="Times New Roman"/>
          <w:lang w:val="sr-Cyrl-BA"/>
        </w:rPr>
        <w:t xml:space="preserve"> </w:t>
      </w:r>
      <w:r>
        <w:rPr>
          <w:rFonts w:ascii="Times New Roman" w:hAnsi="Times New Roman"/>
          <w:lang w:val="sr-Cyrl-BA"/>
        </w:rPr>
        <w:t>Представници</w:t>
      </w:r>
      <w:r w:rsidR="00FA2C79" w:rsidRPr="00295637">
        <w:rPr>
          <w:rFonts w:ascii="Times New Roman" w:hAnsi="Times New Roman"/>
          <w:lang w:val="sr-Cyrl-BA"/>
        </w:rPr>
        <w:t xml:space="preserve"> </w:t>
      </w:r>
      <w:r>
        <w:rPr>
          <w:rFonts w:ascii="Times New Roman" w:hAnsi="Times New Roman"/>
          <w:lang w:val="sr-Latn-BA"/>
        </w:rPr>
        <w:t>СОГ</w:t>
      </w:r>
      <w:r w:rsidR="00FA2C79" w:rsidRPr="00295637">
        <w:rPr>
          <w:rFonts w:ascii="Times New Roman" w:hAnsi="Times New Roman"/>
          <w:lang w:val="sr-Latn-BA"/>
        </w:rPr>
        <w:t xml:space="preserve"> </w:t>
      </w:r>
      <w:r>
        <w:rPr>
          <w:rFonts w:ascii="Times New Roman" w:hAnsi="Times New Roman"/>
          <w:lang w:val="sr-Latn-BA"/>
        </w:rPr>
        <w:t>РС</w:t>
      </w:r>
      <w:r w:rsidR="00FA2C79" w:rsidRPr="00295637">
        <w:rPr>
          <w:rFonts w:ascii="Times New Roman" w:hAnsi="Times New Roman"/>
          <w:lang w:val="sr-Cyrl-BA"/>
        </w:rPr>
        <w:t xml:space="preserve"> </w:t>
      </w:r>
      <w:r>
        <w:rPr>
          <w:rFonts w:ascii="Times New Roman" w:hAnsi="Times New Roman"/>
          <w:lang w:val="sr-Cyrl-BA"/>
        </w:rPr>
        <w:t>и</w:t>
      </w:r>
      <w:r w:rsidR="00FA2C79" w:rsidRPr="00295637">
        <w:rPr>
          <w:rFonts w:ascii="Times New Roman" w:hAnsi="Times New Roman"/>
          <w:lang w:val="sr-Cyrl-BA"/>
        </w:rPr>
        <w:t xml:space="preserve"> </w:t>
      </w:r>
      <w:r>
        <w:rPr>
          <w:rFonts w:ascii="Times New Roman" w:hAnsi="Times New Roman"/>
          <w:lang w:val="sr-Cyrl-BA"/>
        </w:rPr>
        <w:t>јединица</w:t>
      </w:r>
      <w:r w:rsidR="00FA2C79" w:rsidRPr="00295637">
        <w:rPr>
          <w:rFonts w:ascii="Times New Roman" w:hAnsi="Times New Roman"/>
          <w:lang w:val="sr-Cyrl-BA"/>
        </w:rPr>
        <w:t xml:space="preserve"> </w:t>
      </w:r>
      <w:r>
        <w:rPr>
          <w:rFonts w:ascii="Times New Roman" w:hAnsi="Times New Roman"/>
          <w:lang w:val="sr-Cyrl-BA"/>
        </w:rPr>
        <w:t>локалне</w:t>
      </w:r>
      <w:r w:rsidR="00FA2C79" w:rsidRPr="00295637">
        <w:rPr>
          <w:rFonts w:ascii="Times New Roman" w:hAnsi="Times New Roman"/>
          <w:lang w:val="sr-Cyrl-BA"/>
        </w:rPr>
        <w:t xml:space="preserve"> </w:t>
      </w:r>
      <w:r>
        <w:rPr>
          <w:rFonts w:ascii="Times New Roman" w:hAnsi="Times New Roman"/>
          <w:lang w:val="sr-Cyrl-BA"/>
        </w:rPr>
        <w:t>самоуправе</w:t>
      </w:r>
      <w:r w:rsidR="00FA2C79" w:rsidRPr="00295637">
        <w:rPr>
          <w:rFonts w:ascii="Times New Roman" w:hAnsi="Times New Roman"/>
          <w:lang w:val="sr-Cyrl-BA"/>
        </w:rPr>
        <w:t xml:space="preserve"> </w:t>
      </w:r>
      <w:r>
        <w:rPr>
          <w:rFonts w:ascii="Times New Roman" w:hAnsi="Times New Roman"/>
          <w:lang w:val="sr-Cyrl-BA"/>
        </w:rPr>
        <w:t>потписали</w:t>
      </w:r>
      <w:r w:rsidR="00FA2C79" w:rsidRPr="00295637">
        <w:rPr>
          <w:rFonts w:ascii="Times New Roman" w:hAnsi="Times New Roman"/>
          <w:lang w:val="sr-Cyrl-BA"/>
        </w:rPr>
        <w:t xml:space="preserve"> </w:t>
      </w:r>
      <w:r>
        <w:rPr>
          <w:rFonts w:ascii="Times New Roman" w:hAnsi="Times New Roman"/>
          <w:lang w:val="sr-Cyrl-BA"/>
        </w:rPr>
        <w:t>су</w:t>
      </w:r>
      <w:r w:rsidR="00FA2C79" w:rsidRPr="00295637">
        <w:rPr>
          <w:rFonts w:ascii="Times New Roman" w:hAnsi="Times New Roman"/>
          <w:lang w:val="sr-Cyrl-BA"/>
        </w:rPr>
        <w:t xml:space="preserve"> </w:t>
      </w:r>
      <w:r>
        <w:rPr>
          <w:rFonts w:ascii="Times New Roman" w:hAnsi="Times New Roman"/>
          <w:lang w:val="sr-Cyrl-BA"/>
        </w:rPr>
        <w:t>Декларацију</w:t>
      </w:r>
      <w:r w:rsidR="00FA2C79" w:rsidRPr="00295637">
        <w:rPr>
          <w:rFonts w:ascii="Times New Roman" w:hAnsi="Times New Roman"/>
          <w:lang w:val="sr-Cyrl-BA"/>
        </w:rPr>
        <w:t xml:space="preserve"> </w:t>
      </w:r>
      <w:r>
        <w:rPr>
          <w:rFonts w:ascii="Times New Roman" w:hAnsi="Times New Roman"/>
          <w:lang w:val="sr-Cyrl-BA"/>
        </w:rPr>
        <w:t>која</w:t>
      </w:r>
      <w:r w:rsidR="00FA2C79" w:rsidRPr="00295637">
        <w:rPr>
          <w:rFonts w:ascii="Times New Roman" w:hAnsi="Times New Roman"/>
          <w:lang w:val="sr-Cyrl-BA"/>
        </w:rPr>
        <w:t xml:space="preserve"> </w:t>
      </w:r>
      <w:r>
        <w:rPr>
          <w:rFonts w:ascii="Times New Roman" w:hAnsi="Times New Roman"/>
          <w:lang w:val="sr-Cyrl-BA"/>
        </w:rPr>
        <w:t>је</w:t>
      </w:r>
      <w:r w:rsidR="00FA2C79" w:rsidRPr="00295637">
        <w:rPr>
          <w:rFonts w:ascii="Times New Roman" w:hAnsi="Times New Roman"/>
          <w:lang w:val="sr-Cyrl-BA"/>
        </w:rPr>
        <w:t xml:space="preserve"> </w:t>
      </w:r>
      <w:r>
        <w:rPr>
          <w:rFonts w:ascii="Times New Roman" w:hAnsi="Times New Roman"/>
          <w:lang w:val="sr-Cyrl-BA"/>
        </w:rPr>
        <w:t>потврда</w:t>
      </w:r>
      <w:r w:rsidR="00FA2C79" w:rsidRPr="00295637">
        <w:rPr>
          <w:rFonts w:ascii="Times New Roman" w:hAnsi="Times New Roman"/>
          <w:lang w:val="sr-Cyrl-BA"/>
        </w:rPr>
        <w:t xml:space="preserve"> </w:t>
      </w:r>
      <w:r>
        <w:rPr>
          <w:rFonts w:ascii="Times New Roman" w:hAnsi="Times New Roman"/>
          <w:lang w:val="sr-Cyrl-BA"/>
        </w:rPr>
        <w:t>спремности</w:t>
      </w:r>
      <w:r w:rsidR="00FA2C79" w:rsidRPr="00295637">
        <w:rPr>
          <w:rFonts w:ascii="Times New Roman" w:hAnsi="Times New Roman"/>
          <w:lang w:val="sr-Cyrl-BA"/>
        </w:rPr>
        <w:t xml:space="preserve"> </w:t>
      </w:r>
      <w:r>
        <w:rPr>
          <w:rFonts w:ascii="Times New Roman" w:hAnsi="Times New Roman"/>
          <w:lang w:val="sr-Cyrl-BA"/>
        </w:rPr>
        <w:t>ЈЛС</w:t>
      </w:r>
      <w:r w:rsidR="00FA2C79" w:rsidRPr="00295637">
        <w:rPr>
          <w:rFonts w:ascii="Times New Roman" w:hAnsi="Times New Roman"/>
          <w:lang w:val="sr-Cyrl-BA"/>
        </w:rPr>
        <w:t xml:space="preserve"> </w:t>
      </w:r>
      <w:r>
        <w:rPr>
          <w:rFonts w:ascii="Times New Roman" w:hAnsi="Times New Roman"/>
          <w:lang w:val="sr-Cyrl-BA"/>
        </w:rPr>
        <w:t>у</w:t>
      </w:r>
      <w:r w:rsidR="00FA2C79" w:rsidRPr="00295637">
        <w:rPr>
          <w:rFonts w:ascii="Times New Roman" w:hAnsi="Times New Roman"/>
          <w:lang w:val="sr-Cyrl-BA"/>
        </w:rPr>
        <w:t xml:space="preserve"> </w:t>
      </w:r>
      <w:r w:rsidR="001C7169">
        <w:rPr>
          <w:rFonts w:ascii="Times New Roman" w:hAnsi="Times New Roman"/>
          <w:lang w:val="sr-Cyrl-BA"/>
        </w:rPr>
        <w:t>спровођењу</w:t>
      </w:r>
      <w:r w:rsidR="00FA2C79" w:rsidRPr="00295637">
        <w:rPr>
          <w:rFonts w:ascii="Times New Roman" w:hAnsi="Times New Roman"/>
          <w:lang w:val="sr-Cyrl-BA"/>
        </w:rPr>
        <w:t xml:space="preserve"> </w:t>
      </w:r>
      <w:r>
        <w:rPr>
          <w:rFonts w:ascii="Times New Roman" w:hAnsi="Times New Roman"/>
          <w:lang w:val="sr-Cyrl-BA"/>
        </w:rPr>
        <w:t>начела</w:t>
      </w:r>
      <w:r w:rsidR="00FA2C79" w:rsidRPr="00295637">
        <w:rPr>
          <w:rFonts w:ascii="Times New Roman" w:hAnsi="Times New Roman"/>
          <w:lang w:val="sr-Cyrl-BA"/>
        </w:rPr>
        <w:t xml:space="preserve"> </w:t>
      </w:r>
      <w:r>
        <w:rPr>
          <w:rFonts w:ascii="Times New Roman" w:hAnsi="Times New Roman"/>
          <w:lang w:val="sr-Cyrl-BA"/>
        </w:rPr>
        <w:t>равноправности</w:t>
      </w:r>
      <w:r w:rsidR="00FA2C79" w:rsidRPr="00295637">
        <w:rPr>
          <w:rFonts w:ascii="Times New Roman" w:hAnsi="Times New Roman"/>
          <w:lang w:val="sr-Cyrl-BA"/>
        </w:rPr>
        <w:t xml:space="preserve"> </w:t>
      </w:r>
      <w:r>
        <w:rPr>
          <w:rFonts w:ascii="Times New Roman" w:hAnsi="Times New Roman"/>
          <w:lang w:val="sr-Cyrl-BA"/>
        </w:rPr>
        <w:t>на</w:t>
      </w:r>
      <w:r w:rsidR="00FA2C79" w:rsidRPr="00295637">
        <w:rPr>
          <w:rFonts w:ascii="Times New Roman" w:hAnsi="Times New Roman"/>
          <w:lang w:val="sr-Cyrl-BA"/>
        </w:rPr>
        <w:t xml:space="preserve"> </w:t>
      </w:r>
      <w:r>
        <w:rPr>
          <w:rFonts w:ascii="Times New Roman" w:hAnsi="Times New Roman"/>
          <w:lang w:val="sr-Cyrl-BA"/>
        </w:rPr>
        <w:t>локално</w:t>
      </w:r>
      <w:r>
        <w:rPr>
          <w:rFonts w:ascii="Times New Roman" w:hAnsi="Times New Roman"/>
          <w:lang w:val="hr-HR"/>
        </w:rPr>
        <w:t>м</w:t>
      </w:r>
      <w:r w:rsidR="00FA2C79" w:rsidRPr="00295637">
        <w:rPr>
          <w:rFonts w:ascii="Times New Roman" w:hAnsi="Times New Roman"/>
          <w:lang w:val="sr-Cyrl-BA"/>
        </w:rPr>
        <w:t xml:space="preserve"> </w:t>
      </w:r>
      <w:r>
        <w:rPr>
          <w:rFonts w:ascii="Times New Roman" w:hAnsi="Times New Roman"/>
          <w:lang w:val="hr-HR"/>
        </w:rPr>
        <w:t>нивоу</w:t>
      </w:r>
      <w:r w:rsidR="00FA2C79" w:rsidRPr="00295637">
        <w:rPr>
          <w:rFonts w:ascii="Times New Roman" w:hAnsi="Times New Roman"/>
          <w:lang w:val="sr-Cyrl-BA"/>
        </w:rPr>
        <w:t>.</w:t>
      </w:r>
    </w:p>
    <w:p w:rsidR="00FA2C79" w:rsidRDefault="00FA2C79" w:rsidP="0086268D">
      <w:pPr>
        <w:pStyle w:val="ListParagraph"/>
        <w:ind w:left="720"/>
        <w:jc w:val="both"/>
        <w:rPr>
          <w:rFonts w:ascii="Times New Roman" w:hAnsi="Times New Roman"/>
          <w:lang w:val="sr-Latn-BA"/>
        </w:rPr>
      </w:pPr>
    </w:p>
    <w:p w:rsidR="0042679D" w:rsidRPr="00A70E51" w:rsidRDefault="00C6214E" w:rsidP="0086268D">
      <w:pPr>
        <w:pStyle w:val="ListParagraph"/>
        <w:numPr>
          <w:ilvl w:val="0"/>
          <w:numId w:val="17"/>
        </w:numPr>
        <w:jc w:val="both"/>
        <w:rPr>
          <w:rFonts w:ascii="Times New Roman" w:hAnsi="Times New Roman"/>
          <w:lang w:val="sr-Latn-BA"/>
        </w:rPr>
      </w:pPr>
      <w:r>
        <w:rPr>
          <w:rFonts w:ascii="Times New Roman" w:hAnsi="Times New Roman"/>
          <w:lang w:val="sr-Latn-BA"/>
        </w:rPr>
        <w:t>ЦЈРП</w:t>
      </w:r>
      <w:r w:rsidR="0042679D" w:rsidRPr="00295637">
        <w:rPr>
          <w:rFonts w:ascii="Times New Roman" w:hAnsi="Times New Roman"/>
          <w:lang w:val="sr-Latn-BA"/>
        </w:rPr>
        <w:t xml:space="preserve"> </w:t>
      </w:r>
      <w:r>
        <w:rPr>
          <w:rFonts w:ascii="Times New Roman" w:hAnsi="Times New Roman"/>
          <w:lang w:val="sr-Latn-BA"/>
        </w:rPr>
        <w:t>РС</w:t>
      </w:r>
      <w:r w:rsidR="0042679D" w:rsidRPr="00295637">
        <w:rPr>
          <w:rFonts w:ascii="Times New Roman" w:hAnsi="Times New Roman"/>
          <w:lang w:val="sr-Latn-BA"/>
        </w:rPr>
        <w:t xml:space="preserve"> </w:t>
      </w:r>
      <w:r>
        <w:rPr>
          <w:rFonts w:ascii="Times New Roman" w:hAnsi="Times New Roman"/>
          <w:lang w:val="sr-Latn-BA"/>
        </w:rPr>
        <w:t>је</w:t>
      </w:r>
      <w:r w:rsidR="0042679D" w:rsidRPr="00295637">
        <w:rPr>
          <w:rFonts w:ascii="Times New Roman" w:hAnsi="Times New Roman"/>
          <w:lang w:val="sr-Latn-BA"/>
        </w:rPr>
        <w:t xml:space="preserve"> </w:t>
      </w:r>
      <w:r>
        <w:rPr>
          <w:rFonts w:ascii="Times New Roman" w:hAnsi="Times New Roman"/>
          <w:lang w:val="sr-Latn-BA"/>
        </w:rPr>
        <w:t>израдио</w:t>
      </w:r>
      <w:r w:rsidR="0042679D" w:rsidRPr="00295637">
        <w:rPr>
          <w:rFonts w:ascii="Times New Roman" w:hAnsi="Times New Roman"/>
          <w:lang w:val="sr-Latn-BA"/>
        </w:rPr>
        <w:t xml:space="preserve">, </w:t>
      </w:r>
      <w:r>
        <w:rPr>
          <w:rFonts w:ascii="Times New Roman" w:hAnsi="Times New Roman"/>
          <w:lang w:val="sr-Latn-BA"/>
        </w:rPr>
        <w:t>координи</w:t>
      </w:r>
      <w:r w:rsidR="001C7169">
        <w:rPr>
          <w:rFonts w:ascii="Times New Roman" w:hAnsi="Times New Roman"/>
          <w:lang w:val="sr-Cyrl-BA"/>
        </w:rPr>
        <w:t>с</w:t>
      </w:r>
      <w:r>
        <w:rPr>
          <w:rFonts w:ascii="Times New Roman" w:hAnsi="Times New Roman"/>
          <w:lang w:val="sr-Latn-BA"/>
        </w:rPr>
        <w:t>ао</w:t>
      </w:r>
      <w:r w:rsidR="0042679D" w:rsidRPr="00295637">
        <w:rPr>
          <w:rFonts w:ascii="Times New Roman" w:hAnsi="Times New Roman"/>
          <w:lang w:val="sr-Latn-BA"/>
        </w:rPr>
        <w:t xml:space="preserve"> </w:t>
      </w:r>
      <w:r>
        <w:rPr>
          <w:rFonts w:ascii="Times New Roman" w:hAnsi="Times New Roman"/>
          <w:lang w:val="sr-Latn-BA"/>
        </w:rPr>
        <w:t>и</w:t>
      </w:r>
      <w:r w:rsidR="0042679D" w:rsidRPr="00295637">
        <w:rPr>
          <w:rFonts w:ascii="Times New Roman" w:hAnsi="Times New Roman"/>
          <w:lang w:val="sr-Latn-BA"/>
        </w:rPr>
        <w:t xml:space="preserve"> </w:t>
      </w:r>
      <w:r>
        <w:rPr>
          <w:rFonts w:ascii="Times New Roman" w:hAnsi="Times New Roman"/>
          <w:lang w:val="sr-Latn-BA"/>
        </w:rPr>
        <w:t>учествовао</w:t>
      </w:r>
      <w:r w:rsidR="0042679D" w:rsidRPr="00295637">
        <w:rPr>
          <w:rFonts w:ascii="Times New Roman" w:hAnsi="Times New Roman"/>
          <w:lang w:val="sr-Latn-BA"/>
        </w:rPr>
        <w:t xml:space="preserve"> </w:t>
      </w:r>
      <w:r>
        <w:rPr>
          <w:rFonts w:ascii="Times New Roman" w:hAnsi="Times New Roman"/>
          <w:lang w:val="sr-Latn-BA"/>
        </w:rPr>
        <w:t>у</w:t>
      </w:r>
      <w:r w:rsidR="0042679D" w:rsidRPr="00295637">
        <w:rPr>
          <w:rFonts w:ascii="Times New Roman" w:hAnsi="Times New Roman"/>
          <w:lang w:val="sr-Latn-BA"/>
        </w:rPr>
        <w:t xml:space="preserve"> </w:t>
      </w:r>
      <w:r>
        <w:rPr>
          <w:rFonts w:ascii="Times New Roman" w:hAnsi="Times New Roman"/>
          <w:lang w:val="sr-Latn-BA"/>
        </w:rPr>
        <w:t>изради</w:t>
      </w:r>
      <w:r w:rsidR="0042679D" w:rsidRPr="00295637">
        <w:rPr>
          <w:rFonts w:ascii="Times New Roman" w:hAnsi="Times New Roman"/>
          <w:lang w:val="sr-Latn-BA"/>
        </w:rPr>
        <w:t xml:space="preserve"> </w:t>
      </w:r>
      <w:r>
        <w:rPr>
          <w:rFonts w:ascii="Times New Roman" w:hAnsi="Times New Roman"/>
          <w:lang w:val="sr-Latn-BA"/>
        </w:rPr>
        <w:t>сљедећих</w:t>
      </w:r>
      <w:r w:rsidR="0042679D" w:rsidRPr="00295637">
        <w:rPr>
          <w:rFonts w:ascii="Times New Roman" w:hAnsi="Times New Roman"/>
          <w:lang w:val="sr-Latn-BA"/>
        </w:rPr>
        <w:t xml:space="preserve"> </w:t>
      </w:r>
      <w:r>
        <w:rPr>
          <w:rFonts w:ascii="Times New Roman" w:hAnsi="Times New Roman"/>
          <w:lang w:val="sr-Latn-BA"/>
        </w:rPr>
        <w:t>програма</w:t>
      </w:r>
      <w:r w:rsidR="0042679D" w:rsidRPr="00295637">
        <w:rPr>
          <w:rFonts w:ascii="Times New Roman" w:hAnsi="Times New Roman"/>
          <w:lang w:val="sr-Latn-BA"/>
        </w:rPr>
        <w:t xml:space="preserve"> </w:t>
      </w:r>
      <w:r>
        <w:rPr>
          <w:rFonts w:ascii="Times New Roman" w:hAnsi="Times New Roman"/>
          <w:lang w:val="sr-Latn-BA"/>
        </w:rPr>
        <w:t>мјера</w:t>
      </w:r>
      <w:r w:rsidR="0042679D" w:rsidRPr="00295637">
        <w:rPr>
          <w:rFonts w:ascii="Times New Roman" w:hAnsi="Times New Roman"/>
          <w:lang w:val="sr-Latn-BA"/>
        </w:rPr>
        <w:t xml:space="preserve"> </w:t>
      </w:r>
      <w:r>
        <w:rPr>
          <w:rFonts w:ascii="Times New Roman" w:hAnsi="Times New Roman"/>
          <w:lang w:val="sr-Latn-BA"/>
        </w:rPr>
        <w:t>за</w:t>
      </w:r>
      <w:r w:rsidR="0042679D" w:rsidRPr="00295637">
        <w:rPr>
          <w:rFonts w:ascii="Times New Roman" w:hAnsi="Times New Roman"/>
          <w:lang w:val="sr-Latn-BA"/>
        </w:rPr>
        <w:t xml:space="preserve"> </w:t>
      </w:r>
      <w:r>
        <w:rPr>
          <w:rFonts w:ascii="Times New Roman" w:hAnsi="Times New Roman"/>
          <w:lang w:val="sr-Latn-BA"/>
        </w:rPr>
        <w:t>равноправност</w:t>
      </w:r>
      <w:r w:rsidR="0042679D" w:rsidRPr="00295637">
        <w:rPr>
          <w:rFonts w:ascii="Times New Roman" w:hAnsi="Times New Roman"/>
          <w:lang w:val="sr-Latn-BA"/>
        </w:rPr>
        <w:t xml:space="preserve"> </w:t>
      </w:r>
      <w:r>
        <w:rPr>
          <w:rFonts w:ascii="Times New Roman" w:hAnsi="Times New Roman"/>
          <w:lang w:val="sr-Latn-BA"/>
        </w:rPr>
        <w:t>полова</w:t>
      </w:r>
      <w:r w:rsidR="0042679D" w:rsidRPr="00295637">
        <w:rPr>
          <w:rFonts w:ascii="Times New Roman" w:hAnsi="Times New Roman"/>
          <w:lang w:val="sr-Latn-BA"/>
        </w:rPr>
        <w:t xml:space="preserve">: </w:t>
      </w:r>
      <w:r>
        <w:rPr>
          <w:rFonts w:ascii="Times New Roman" w:hAnsi="Times New Roman"/>
          <w:lang w:val="bs-Latn-BA"/>
        </w:rPr>
        <w:t>и</w:t>
      </w:r>
      <w:r>
        <w:rPr>
          <w:rFonts w:ascii="Times New Roman" w:hAnsi="Times New Roman"/>
          <w:lang w:val="sr-Cyrl-BA"/>
        </w:rPr>
        <w:t>зрађен</w:t>
      </w:r>
      <w:r w:rsidR="0042679D"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они</w:t>
      </w:r>
      <w:r w:rsidR="0042679D" w:rsidRPr="00295637">
        <w:rPr>
          <w:rFonts w:ascii="Times New Roman" w:hAnsi="Times New Roman"/>
          <w:lang w:val="sr-Cyrl-BA"/>
        </w:rPr>
        <w:t xml:space="preserve"> </w:t>
      </w:r>
      <w:r>
        <w:rPr>
          <w:rFonts w:ascii="Times New Roman" w:hAnsi="Times New Roman"/>
          <w:lang w:val="sr-Cyrl-BA"/>
        </w:rPr>
        <w:t>план</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sidR="001C7169">
        <w:rPr>
          <w:rFonts w:ascii="Times New Roman" w:hAnsi="Times New Roman"/>
          <w:lang w:val="sr-Cyrl-BA"/>
        </w:rPr>
        <w:t>спровођење</w:t>
      </w:r>
      <w:r w:rsidR="0042679D" w:rsidRPr="00295637">
        <w:rPr>
          <w:rFonts w:ascii="Times New Roman" w:hAnsi="Times New Roman"/>
          <w:lang w:val="sr-Cyrl-BA"/>
        </w:rPr>
        <w:t xml:space="preserve"> </w:t>
      </w:r>
      <w:r>
        <w:rPr>
          <w:rFonts w:ascii="Times New Roman" w:hAnsi="Times New Roman"/>
          <w:lang w:val="sr-Cyrl-BA"/>
        </w:rPr>
        <w:t>препорука</w:t>
      </w:r>
      <w:r w:rsidR="0042679D" w:rsidRPr="00295637">
        <w:rPr>
          <w:rFonts w:ascii="Times New Roman" w:hAnsi="Times New Roman"/>
          <w:lang w:val="sr-Cyrl-BA"/>
        </w:rPr>
        <w:t xml:space="preserve"> </w:t>
      </w:r>
      <w:r>
        <w:rPr>
          <w:rFonts w:ascii="Times New Roman" w:hAnsi="Times New Roman"/>
          <w:lang w:val="sr-Cyrl-BA"/>
        </w:rPr>
        <w:t>Ревизије</w:t>
      </w:r>
      <w:r w:rsidR="0042679D" w:rsidRPr="00295637">
        <w:rPr>
          <w:rFonts w:ascii="Times New Roman" w:hAnsi="Times New Roman"/>
          <w:lang w:val="sr-Cyrl-BA"/>
        </w:rPr>
        <w:t xml:space="preserve"> </w:t>
      </w:r>
      <w:r>
        <w:rPr>
          <w:rFonts w:ascii="Times New Roman" w:hAnsi="Times New Roman"/>
          <w:lang w:val="sr-Cyrl-BA"/>
        </w:rPr>
        <w:t>учинка</w:t>
      </w:r>
      <w:r w:rsidR="0042679D" w:rsidRPr="00295637">
        <w:rPr>
          <w:rFonts w:ascii="Times New Roman" w:hAnsi="Times New Roman"/>
          <w:lang w:val="sr-Cyrl-BA"/>
        </w:rPr>
        <w:t xml:space="preserve"> </w:t>
      </w:r>
      <w:r>
        <w:rPr>
          <w:rFonts w:ascii="Times New Roman" w:hAnsi="Times New Roman"/>
          <w:lang w:val="sr-Cyrl-BA"/>
        </w:rPr>
        <w:t>Главне</w:t>
      </w:r>
      <w:r w:rsidR="0042679D" w:rsidRPr="00295637">
        <w:rPr>
          <w:rFonts w:ascii="Times New Roman" w:hAnsi="Times New Roman"/>
          <w:lang w:val="sr-Cyrl-BA"/>
        </w:rPr>
        <w:t xml:space="preserve"> </w:t>
      </w:r>
      <w:r>
        <w:rPr>
          <w:rFonts w:ascii="Times New Roman" w:hAnsi="Times New Roman"/>
          <w:lang w:val="sr-Cyrl-BA"/>
        </w:rPr>
        <w:t>службе</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sr-Cyrl-BA"/>
        </w:rPr>
        <w:t>ревизију</w:t>
      </w:r>
      <w:r w:rsidR="0042679D" w:rsidRPr="00295637">
        <w:rPr>
          <w:rFonts w:ascii="Times New Roman" w:hAnsi="Times New Roman"/>
          <w:lang w:val="sr-Cyrl-BA"/>
        </w:rPr>
        <w:t xml:space="preserve"> </w:t>
      </w:r>
      <w:r>
        <w:rPr>
          <w:rFonts w:ascii="Times New Roman" w:hAnsi="Times New Roman"/>
          <w:lang w:val="sr-Cyrl-BA"/>
        </w:rPr>
        <w:t>РС</w:t>
      </w:r>
      <w:r w:rsidR="0042679D" w:rsidRPr="00295637">
        <w:rPr>
          <w:rFonts w:ascii="Times New Roman" w:hAnsi="Times New Roman"/>
          <w:lang w:val="sr-Cyrl-BA"/>
        </w:rPr>
        <w:t xml:space="preserve"> </w:t>
      </w:r>
      <w:r>
        <w:rPr>
          <w:rFonts w:ascii="Times New Roman" w:hAnsi="Times New Roman"/>
          <w:lang w:val="sr-Cyrl-BA"/>
        </w:rPr>
        <w:t>и</w:t>
      </w:r>
      <w:r w:rsidR="0042679D" w:rsidRPr="00295637">
        <w:rPr>
          <w:rFonts w:ascii="Times New Roman" w:hAnsi="Times New Roman"/>
          <w:lang w:val="sr-Cyrl-BA"/>
        </w:rPr>
        <w:t xml:space="preserve"> </w:t>
      </w:r>
      <w:r>
        <w:rPr>
          <w:rFonts w:ascii="Times New Roman" w:hAnsi="Times New Roman"/>
          <w:lang w:val="sr-Cyrl-BA"/>
        </w:rPr>
        <w:t>достављен</w:t>
      </w:r>
      <w:r w:rsidR="0042679D" w:rsidRPr="00295637">
        <w:rPr>
          <w:rFonts w:ascii="Times New Roman" w:hAnsi="Times New Roman"/>
          <w:lang w:val="sr-Cyrl-BA"/>
        </w:rPr>
        <w:t xml:space="preserve"> </w:t>
      </w:r>
      <w:r>
        <w:rPr>
          <w:rFonts w:ascii="Times New Roman" w:hAnsi="Times New Roman"/>
          <w:lang w:val="sr-Cyrl-BA"/>
        </w:rPr>
        <w:t>Главној</w:t>
      </w:r>
      <w:r w:rsidR="0042679D" w:rsidRPr="00295637">
        <w:rPr>
          <w:rFonts w:ascii="Times New Roman" w:hAnsi="Times New Roman"/>
          <w:lang w:val="sr-Cyrl-BA"/>
        </w:rPr>
        <w:t xml:space="preserve"> </w:t>
      </w:r>
      <w:r>
        <w:rPr>
          <w:rFonts w:ascii="Times New Roman" w:hAnsi="Times New Roman"/>
          <w:lang w:val="sr-Cyrl-BA"/>
        </w:rPr>
        <w:t>служби</w:t>
      </w:r>
      <w:r w:rsidR="0042679D" w:rsidRPr="00295637">
        <w:rPr>
          <w:rFonts w:ascii="Times New Roman" w:hAnsi="Times New Roman"/>
          <w:lang w:val="sr-Cyrl-BA"/>
        </w:rPr>
        <w:t xml:space="preserve"> </w:t>
      </w:r>
      <w:r>
        <w:rPr>
          <w:rFonts w:ascii="Times New Roman" w:hAnsi="Times New Roman"/>
          <w:lang w:val="sr-Cyrl-BA"/>
        </w:rPr>
        <w:t>на</w:t>
      </w:r>
      <w:r w:rsidR="0042679D" w:rsidRPr="00295637">
        <w:rPr>
          <w:rFonts w:ascii="Times New Roman" w:hAnsi="Times New Roman"/>
          <w:lang w:val="sr-Cyrl-BA"/>
        </w:rPr>
        <w:t xml:space="preserve"> </w:t>
      </w:r>
      <w:r>
        <w:rPr>
          <w:rFonts w:ascii="Times New Roman" w:hAnsi="Times New Roman"/>
          <w:lang w:val="sr-Cyrl-BA"/>
        </w:rPr>
        <w:t>даље</w:t>
      </w:r>
      <w:r w:rsidR="0042679D" w:rsidRPr="00295637">
        <w:rPr>
          <w:rFonts w:ascii="Times New Roman" w:hAnsi="Times New Roman"/>
          <w:lang w:val="sr-Cyrl-BA"/>
        </w:rPr>
        <w:t xml:space="preserve"> </w:t>
      </w:r>
      <w:r>
        <w:rPr>
          <w:rFonts w:ascii="Times New Roman" w:hAnsi="Times New Roman"/>
          <w:lang w:val="sr-Cyrl-BA"/>
        </w:rPr>
        <w:t>поступање</w:t>
      </w:r>
      <w:r w:rsidR="0042679D" w:rsidRPr="00295637">
        <w:rPr>
          <w:rFonts w:ascii="Times New Roman" w:hAnsi="Times New Roman"/>
          <w:lang w:val="sr-Cyrl-BA"/>
        </w:rPr>
        <w:t>);</w:t>
      </w:r>
      <w:r w:rsidR="009036BA">
        <w:rPr>
          <w:rFonts w:ascii="Times New Roman" w:hAnsi="Times New Roman"/>
          <w:lang w:val="bs-Latn-BA"/>
        </w:rPr>
        <w:t xml:space="preserve"> </w:t>
      </w:r>
      <w:r>
        <w:rPr>
          <w:rFonts w:ascii="Times New Roman" w:hAnsi="Times New Roman"/>
          <w:lang w:val="bs-Latn-BA"/>
        </w:rPr>
        <w:t>учешће</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w:t>
      </w:r>
      <w:r>
        <w:rPr>
          <w:rFonts w:ascii="Times New Roman" w:hAnsi="Times New Roman"/>
          <w:lang w:val="sr-Cyrl-BA"/>
        </w:rPr>
        <w:t>изради</w:t>
      </w:r>
      <w:r w:rsidR="0042679D"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оног</w:t>
      </w:r>
      <w:r w:rsidR="0042679D" w:rsidRPr="00295637">
        <w:rPr>
          <w:rFonts w:ascii="Times New Roman" w:hAnsi="Times New Roman"/>
          <w:lang w:val="sr-Cyrl-BA"/>
        </w:rPr>
        <w:t xml:space="preserve"> </w:t>
      </w:r>
      <w:r>
        <w:rPr>
          <w:rFonts w:ascii="Times New Roman" w:hAnsi="Times New Roman"/>
          <w:lang w:val="sr-Cyrl-BA"/>
        </w:rPr>
        <w:t>плана</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2024. </w:t>
      </w:r>
      <w:r>
        <w:rPr>
          <w:rFonts w:ascii="Times New Roman" w:hAnsi="Times New Roman"/>
          <w:lang w:val="sr-Cyrl-BA"/>
        </w:rPr>
        <w:t>годину</w:t>
      </w:r>
      <w:r w:rsidR="0042679D" w:rsidRPr="00295637">
        <w:rPr>
          <w:rFonts w:ascii="Times New Roman" w:hAnsi="Times New Roman"/>
          <w:lang w:val="sr-Cyrl-BA"/>
        </w:rPr>
        <w:t xml:space="preserve"> </w:t>
      </w:r>
      <w:r>
        <w:rPr>
          <w:rFonts w:ascii="Times New Roman" w:hAnsi="Times New Roman"/>
          <w:lang w:val="sr-Cyrl-BA"/>
        </w:rPr>
        <w:t>Стратегије</w:t>
      </w:r>
      <w:r w:rsidR="0042679D" w:rsidRPr="00295637">
        <w:rPr>
          <w:rFonts w:ascii="Times New Roman" w:hAnsi="Times New Roman"/>
          <w:lang w:val="sr-Cyrl-BA"/>
        </w:rPr>
        <w:t xml:space="preserve"> </w:t>
      </w:r>
      <w:r>
        <w:rPr>
          <w:rFonts w:ascii="Times New Roman" w:hAnsi="Times New Roman"/>
          <w:lang w:val="sr-Cyrl-BA"/>
        </w:rPr>
        <w:t>за</w:t>
      </w:r>
      <w:r w:rsidR="0042679D" w:rsidRPr="00295637">
        <w:rPr>
          <w:rFonts w:ascii="Times New Roman" w:hAnsi="Times New Roman"/>
          <w:lang w:val="sr-Cyrl-BA"/>
        </w:rPr>
        <w:t xml:space="preserve"> </w:t>
      </w:r>
      <w:r>
        <w:rPr>
          <w:rFonts w:ascii="Times New Roman" w:hAnsi="Times New Roman"/>
          <w:lang w:val="sr-Cyrl-BA"/>
        </w:rPr>
        <w:t>сузбијање</w:t>
      </w:r>
      <w:r w:rsidR="0042679D" w:rsidRPr="00295637">
        <w:rPr>
          <w:rFonts w:ascii="Times New Roman" w:hAnsi="Times New Roman"/>
          <w:lang w:val="sr-Cyrl-BA"/>
        </w:rPr>
        <w:t xml:space="preserve"> </w:t>
      </w:r>
      <w:r>
        <w:rPr>
          <w:rFonts w:ascii="Times New Roman" w:hAnsi="Times New Roman"/>
          <w:lang w:val="sr-Cyrl-BA"/>
        </w:rPr>
        <w:t>насиља</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w:t>
      </w:r>
      <w:r>
        <w:rPr>
          <w:rFonts w:ascii="Times New Roman" w:hAnsi="Times New Roman"/>
          <w:lang w:val="hr-HR"/>
        </w:rPr>
        <w:t>породици</w:t>
      </w:r>
      <w:r w:rsidR="0042679D" w:rsidRPr="00295637">
        <w:rPr>
          <w:rFonts w:ascii="Times New Roman" w:hAnsi="Times New Roman"/>
          <w:lang w:val="sr-Cyrl-BA"/>
        </w:rPr>
        <w:t>;</w:t>
      </w:r>
      <w:r w:rsidR="0042679D" w:rsidRPr="00295637">
        <w:rPr>
          <w:rFonts w:ascii="Times New Roman" w:hAnsi="Times New Roman"/>
          <w:lang w:val="bs-Latn-BA"/>
        </w:rPr>
        <w:t xml:space="preserve"> </w:t>
      </w:r>
      <w:r>
        <w:rPr>
          <w:rFonts w:ascii="Times New Roman" w:hAnsi="Times New Roman"/>
          <w:lang w:val="bs-Latn-BA"/>
        </w:rPr>
        <w:t>учешће</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w:t>
      </w:r>
      <w:r>
        <w:rPr>
          <w:rFonts w:ascii="Times New Roman" w:hAnsi="Times New Roman"/>
          <w:lang w:val="sr-Cyrl-BA"/>
        </w:rPr>
        <w:t>изради</w:t>
      </w:r>
      <w:r w:rsidR="0042679D" w:rsidRPr="00295637">
        <w:rPr>
          <w:rFonts w:ascii="Times New Roman" w:hAnsi="Times New Roman"/>
          <w:lang w:val="sr-Cyrl-BA"/>
        </w:rPr>
        <w:t xml:space="preserve"> </w:t>
      </w:r>
      <w:r>
        <w:rPr>
          <w:rFonts w:ascii="Times New Roman" w:hAnsi="Times New Roman"/>
          <w:lang w:val="sr-Cyrl-BA"/>
        </w:rPr>
        <w:t>нове</w:t>
      </w:r>
      <w:r w:rsidR="0042679D" w:rsidRPr="00295637">
        <w:rPr>
          <w:rFonts w:ascii="Times New Roman" w:hAnsi="Times New Roman"/>
          <w:lang w:val="sr-Cyrl-BA"/>
        </w:rPr>
        <w:t xml:space="preserve"> </w:t>
      </w:r>
      <w:r>
        <w:rPr>
          <w:rFonts w:ascii="Times New Roman" w:hAnsi="Times New Roman"/>
          <w:lang w:val="sr-Cyrl-BA"/>
        </w:rPr>
        <w:t>Стратегије</w:t>
      </w:r>
      <w:r w:rsidR="0042679D" w:rsidRPr="00295637">
        <w:rPr>
          <w:rFonts w:ascii="Times New Roman" w:hAnsi="Times New Roman"/>
          <w:lang w:val="sr-Cyrl-BA"/>
        </w:rPr>
        <w:t xml:space="preserve"> </w:t>
      </w:r>
      <w:r>
        <w:rPr>
          <w:rFonts w:ascii="Times New Roman" w:hAnsi="Times New Roman"/>
          <w:lang w:val="sr-Cyrl-BA"/>
        </w:rPr>
        <w:t>развоја</w:t>
      </w:r>
      <w:r w:rsidR="0042679D" w:rsidRPr="00295637">
        <w:rPr>
          <w:rFonts w:ascii="Times New Roman" w:hAnsi="Times New Roman"/>
          <w:lang w:val="sr-Cyrl-BA"/>
        </w:rPr>
        <w:t xml:space="preserve"> </w:t>
      </w:r>
      <w:r>
        <w:rPr>
          <w:rFonts w:ascii="Times New Roman" w:hAnsi="Times New Roman"/>
          <w:lang w:val="sr-Cyrl-BA"/>
        </w:rPr>
        <w:t>п</w:t>
      </w:r>
      <w:r>
        <w:rPr>
          <w:rFonts w:ascii="Times New Roman" w:hAnsi="Times New Roman"/>
          <w:lang w:val="hr-HR"/>
        </w:rPr>
        <w:t>ре</w:t>
      </w:r>
      <w:r>
        <w:rPr>
          <w:rFonts w:ascii="Times New Roman" w:hAnsi="Times New Roman"/>
          <w:lang w:val="sr-Cyrl-BA"/>
        </w:rPr>
        <w:t>дузетништва</w:t>
      </w:r>
      <w:r w:rsidR="0042679D" w:rsidRPr="00295637">
        <w:rPr>
          <w:rFonts w:ascii="Times New Roman" w:hAnsi="Times New Roman"/>
          <w:lang w:val="sr-Cyrl-BA"/>
        </w:rPr>
        <w:t xml:space="preserve"> </w:t>
      </w:r>
      <w:r>
        <w:rPr>
          <w:rFonts w:ascii="Times New Roman" w:hAnsi="Times New Roman"/>
          <w:lang w:val="sr-Cyrl-BA"/>
        </w:rPr>
        <w:t>жена</w:t>
      </w:r>
      <w:r w:rsidR="0042679D" w:rsidRPr="00295637">
        <w:rPr>
          <w:rFonts w:ascii="Times New Roman" w:hAnsi="Times New Roman"/>
          <w:lang w:val="sr-Cyrl-BA"/>
        </w:rPr>
        <w:t xml:space="preserve"> </w:t>
      </w:r>
      <w:r>
        <w:rPr>
          <w:rFonts w:ascii="Times New Roman" w:hAnsi="Times New Roman"/>
          <w:lang w:val="sr-Cyrl-BA"/>
        </w:rPr>
        <w:t>у</w:t>
      </w:r>
      <w:r w:rsidR="0042679D" w:rsidRPr="00295637">
        <w:rPr>
          <w:rFonts w:ascii="Times New Roman" w:hAnsi="Times New Roman"/>
          <w:lang w:val="sr-Cyrl-BA"/>
        </w:rPr>
        <w:t xml:space="preserve"> </w:t>
      </w:r>
      <w:r>
        <w:rPr>
          <w:rFonts w:ascii="Times New Roman" w:hAnsi="Times New Roman"/>
          <w:lang w:val="sr-Cyrl-BA"/>
        </w:rPr>
        <w:t>РС</w:t>
      </w:r>
      <w:r w:rsidR="0042679D" w:rsidRPr="00295637">
        <w:rPr>
          <w:rFonts w:ascii="Times New Roman" w:hAnsi="Times New Roman"/>
          <w:lang w:val="sr-Cyrl-BA"/>
        </w:rPr>
        <w:t xml:space="preserve"> 2024-2030. (</w:t>
      </w:r>
      <w:r>
        <w:rPr>
          <w:rFonts w:ascii="Times New Roman" w:hAnsi="Times New Roman"/>
          <w:lang w:val="sr-Cyrl-BA"/>
        </w:rPr>
        <w:t>МПП</w:t>
      </w:r>
      <w:r w:rsidR="0042679D" w:rsidRPr="00295637">
        <w:rPr>
          <w:rFonts w:ascii="Times New Roman" w:hAnsi="Times New Roman"/>
          <w:lang w:val="sr-Cyrl-BA"/>
        </w:rPr>
        <w:t>).</w:t>
      </w:r>
    </w:p>
    <w:p w:rsidR="0042679D" w:rsidRPr="00C00CFD" w:rsidRDefault="0042679D" w:rsidP="00C00CFD">
      <w:pPr>
        <w:jc w:val="both"/>
        <w:rPr>
          <w:rFonts w:ascii="Times New Roman" w:hAnsi="Times New Roman"/>
          <w:lang w:val="bs-Latn-BA"/>
        </w:rPr>
      </w:pPr>
    </w:p>
    <w:p w:rsidR="0042679D" w:rsidRPr="00820915" w:rsidRDefault="00C6214E" w:rsidP="0086268D">
      <w:pPr>
        <w:pStyle w:val="ListParagraph"/>
        <w:numPr>
          <w:ilvl w:val="0"/>
          <w:numId w:val="17"/>
        </w:numPr>
        <w:jc w:val="both"/>
        <w:rPr>
          <w:rFonts w:ascii="Times New Roman" w:eastAsia="Calibri" w:hAnsi="Times New Roman"/>
          <w:b/>
          <w:szCs w:val="24"/>
          <w:lang w:val="bs-Latn-BA"/>
        </w:rPr>
      </w:pPr>
      <w:r>
        <w:rPr>
          <w:rFonts w:ascii="Times New Roman" w:hAnsi="Times New Roman"/>
          <w:lang w:val="bs-Latn-BA"/>
        </w:rPr>
        <w:t>Реализ</w:t>
      </w:r>
      <w:r w:rsidR="001C7169">
        <w:rPr>
          <w:rFonts w:ascii="Times New Roman" w:hAnsi="Times New Roman"/>
          <w:lang w:val="sr-Cyrl-BA"/>
        </w:rPr>
        <w:t>оване</w:t>
      </w:r>
      <w:r w:rsidR="0042679D">
        <w:rPr>
          <w:rFonts w:ascii="Times New Roman" w:hAnsi="Times New Roman"/>
          <w:lang w:val="bs-Latn-BA"/>
        </w:rPr>
        <w:t xml:space="preserve"> </w:t>
      </w:r>
      <w:r>
        <w:rPr>
          <w:rFonts w:ascii="Times New Roman" w:hAnsi="Times New Roman"/>
          <w:lang w:val="bs-Latn-BA"/>
        </w:rPr>
        <w:t>су</w:t>
      </w:r>
      <w:r w:rsidR="0042679D">
        <w:rPr>
          <w:rFonts w:ascii="Times New Roman" w:hAnsi="Times New Roman"/>
          <w:lang w:val="bs-Latn-BA"/>
        </w:rPr>
        <w:t xml:space="preserve"> </w:t>
      </w:r>
      <w:r>
        <w:rPr>
          <w:rFonts w:ascii="Times New Roman" w:hAnsi="Times New Roman"/>
          <w:lang w:val="bs-Latn-BA"/>
        </w:rPr>
        <w:t>бројне</w:t>
      </w:r>
      <w:r w:rsidR="0042679D" w:rsidRPr="00B933C4">
        <w:rPr>
          <w:rFonts w:ascii="Times New Roman" w:hAnsi="Times New Roman"/>
          <w:lang w:val="bs-Latn-BA"/>
        </w:rPr>
        <w:t xml:space="preserve"> </w:t>
      </w:r>
      <w:r>
        <w:rPr>
          <w:rFonts w:ascii="Times New Roman" w:hAnsi="Times New Roman"/>
          <w:lang w:val="bs-Latn-BA"/>
        </w:rPr>
        <w:t>активности</w:t>
      </w:r>
      <w:r w:rsidR="0042679D" w:rsidRPr="00B933C4">
        <w:rPr>
          <w:rFonts w:ascii="Times New Roman" w:hAnsi="Times New Roman"/>
          <w:lang w:val="bs-Latn-BA"/>
        </w:rPr>
        <w:t xml:space="preserve"> </w:t>
      </w:r>
      <w:r>
        <w:rPr>
          <w:rFonts w:ascii="Times New Roman" w:hAnsi="Times New Roman"/>
          <w:lang w:val="bs-Latn-BA"/>
        </w:rPr>
        <w:t>у</w:t>
      </w:r>
      <w:r w:rsidR="0042679D" w:rsidRPr="00B933C4">
        <w:rPr>
          <w:rFonts w:ascii="Times New Roman" w:hAnsi="Times New Roman"/>
          <w:lang w:val="bs-Latn-BA"/>
        </w:rPr>
        <w:t xml:space="preserve"> </w:t>
      </w:r>
      <w:r>
        <w:rPr>
          <w:rFonts w:ascii="Times New Roman" w:hAnsi="Times New Roman"/>
          <w:lang w:val="bs-Latn-BA"/>
        </w:rPr>
        <w:t>сарадњи</w:t>
      </w:r>
      <w:r w:rsidR="003F24F7">
        <w:rPr>
          <w:rFonts w:ascii="Times New Roman" w:hAnsi="Times New Roman"/>
          <w:lang w:val="bs-Latn-BA"/>
        </w:rPr>
        <w:t xml:space="preserve"> </w:t>
      </w:r>
      <w:r>
        <w:rPr>
          <w:rFonts w:ascii="Times New Roman" w:hAnsi="Times New Roman"/>
          <w:lang w:val="bs-Latn-BA"/>
        </w:rPr>
        <w:t>са</w:t>
      </w:r>
      <w:r w:rsidR="0042679D" w:rsidRPr="00B933C4">
        <w:rPr>
          <w:rFonts w:ascii="Times New Roman" w:hAnsi="Times New Roman"/>
          <w:lang w:val="bs-Latn-BA"/>
        </w:rPr>
        <w:t xml:space="preserve"> </w:t>
      </w:r>
      <w:r>
        <w:rPr>
          <w:rFonts w:ascii="Times New Roman" w:hAnsi="Times New Roman"/>
          <w:lang w:val="bs-Latn-BA"/>
        </w:rPr>
        <w:t>међународним</w:t>
      </w:r>
      <w:r w:rsidR="0042679D" w:rsidRPr="00B933C4">
        <w:rPr>
          <w:rFonts w:ascii="Times New Roman" w:hAnsi="Times New Roman"/>
          <w:lang w:val="bs-Latn-BA"/>
        </w:rPr>
        <w:t xml:space="preserve"> </w:t>
      </w:r>
      <w:r>
        <w:rPr>
          <w:rFonts w:ascii="Times New Roman" w:hAnsi="Times New Roman"/>
          <w:lang w:val="bs-Latn-BA"/>
        </w:rPr>
        <w:t>и</w:t>
      </w:r>
      <w:r w:rsidR="0042679D" w:rsidRPr="00B933C4">
        <w:rPr>
          <w:rFonts w:ascii="Times New Roman" w:hAnsi="Times New Roman"/>
          <w:lang w:val="bs-Latn-BA"/>
        </w:rPr>
        <w:t xml:space="preserve"> </w:t>
      </w:r>
      <w:r>
        <w:rPr>
          <w:rFonts w:ascii="Times New Roman" w:hAnsi="Times New Roman"/>
          <w:lang w:val="bs-Latn-BA"/>
        </w:rPr>
        <w:t>домаћим</w:t>
      </w:r>
      <w:r w:rsidR="0042679D" w:rsidRPr="00B933C4">
        <w:rPr>
          <w:rFonts w:ascii="Times New Roman" w:hAnsi="Times New Roman"/>
          <w:lang w:val="bs-Latn-BA"/>
        </w:rPr>
        <w:t xml:space="preserve"> </w:t>
      </w:r>
      <w:r>
        <w:rPr>
          <w:rFonts w:ascii="Times New Roman" w:hAnsi="Times New Roman"/>
          <w:lang w:val="bs-Latn-BA"/>
        </w:rPr>
        <w:t>невладиним</w:t>
      </w:r>
      <w:r w:rsidR="0042679D" w:rsidRPr="00B933C4">
        <w:rPr>
          <w:rFonts w:ascii="Times New Roman" w:hAnsi="Times New Roman"/>
          <w:lang w:val="bs-Latn-BA"/>
        </w:rPr>
        <w:t xml:space="preserve"> </w:t>
      </w:r>
      <w:r>
        <w:rPr>
          <w:rFonts w:ascii="Times New Roman" w:hAnsi="Times New Roman"/>
          <w:lang w:val="bs-Latn-BA"/>
        </w:rPr>
        <w:t>организацијама</w:t>
      </w:r>
      <w:r w:rsidR="0042679D" w:rsidRPr="00B933C4">
        <w:rPr>
          <w:rFonts w:ascii="Times New Roman" w:hAnsi="Times New Roman"/>
          <w:lang w:val="bs-Latn-BA"/>
        </w:rPr>
        <w:t xml:space="preserve">, </w:t>
      </w:r>
      <w:r>
        <w:rPr>
          <w:rFonts w:ascii="Times New Roman" w:hAnsi="Times New Roman"/>
          <w:lang w:val="bs-Latn-BA"/>
        </w:rPr>
        <w:t>а</w:t>
      </w:r>
      <w:r w:rsidR="0042679D" w:rsidRPr="00B933C4">
        <w:rPr>
          <w:rFonts w:ascii="Times New Roman" w:hAnsi="Times New Roman"/>
          <w:lang w:val="bs-Latn-BA"/>
        </w:rPr>
        <w:t xml:space="preserve"> </w:t>
      </w:r>
      <w:r>
        <w:rPr>
          <w:rFonts w:ascii="Times New Roman" w:hAnsi="Times New Roman"/>
          <w:lang w:val="bs-Latn-BA"/>
        </w:rPr>
        <w:t>у</w:t>
      </w:r>
      <w:r w:rsidR="0042679D" w:rsidRPr="00B933C4">
        <w:rPr>
          <w:rFonts w:ascii="Times New Roman" w:hAnsi="Times New Roman"/>
          <w:lang w:val="bs-Latn-BA"/>
        </w:rPr>
        <w:t xml:space="preserve"> </w:t>
      </w:r>
      <w:r>
        <w:rPr>
          <w:rFonts w:ascii="Times New Roman" w:hAnsi="Times New Roman"/>
          <w:lang w:val="bs-Latn-BA"/>
        </w:rPr>
        <w:t>којима</w:t>
      </w:r>
      <w:r w:rsidR="00526761">
        <w:rPr>
          <w:rFonts w:ascii="Times New Roman" w:hAnsi="Times New Roman"/>
          <w:lang w:val="bs-Latn-BA"/>
        </w:rPr>
        <w:t xml:space="preserve"> </w:t>
      </w:r>
      <w:r w:rsidR="001C7169">
        <w:rPr>
          <w:rFonts w:ascii="Times New Roman" w:hAnsi="Times New Roman"/>
          <w:lang w:val="sr-Cyrl-BA"/>
        </w:rPr>
        <w:t>су</w:t>
      </w:r>
      <w:r w:rsidR="00526761">
        <w:rPr>
          <w:rFonts w:ascii="Times New Roman" w:hAnsi="Times New Roman"/>
          <w:lang w:val="bs-Latn-BA"/>
        </w:rPr>
        <w:t xml:space="preserve"> </w:t>
      </w:r>
      <w:r>
        <w:rPr>
          <w:rFonts w:ascii="Times New Roman" w:hAnsi="Times New Roman"/>
          <w:lang w:val="bs-Latn-BA"/>
        </w:rPr>
        <w:t>АР</w:t>
      </w:r>
      <w:r w:rsidR="001C7169">
        <w:rPr>
          <w:rFonts w:ascii="Times New Roman" w:hAnsi="Times New Roman"/>
          <w:lang w:val="sr-Cyrl-BA"/>
        </w:rPr>
        <w:t>П</w:t>
      </w:r>
      <w:r w:rsidR="00526761">
        <w:rPr>
          <w:rFonts w:ascii="Times New Roman" w:hAnsi="Times New Roman"/>
          <w:lang w:val="bs-Latn-BA"/>
        </w:rPr>
        <w:t xml:space="preserve"> </w:t>
      </w:r>
      <w:r>
        <w:rPr>
          <w:rFonts w:ascii="Times New Roman" w:hAnsi="Times New Roman"/>
          <w:lang w:val="bs-Latn-BA"/>
        </w:rPr>
        <w:t>БиХ</w:t>
      </w:r>
      <w:r w:rsidR="003F24F7">
        <w:rPr>
          <w:rFonts w:ascii="Times New Roman" w:hAnsi="Times New Roman"/>
          <w:lang w:val="bs-Latn-BA"/>
        </w:rPr>
        <w:t xml:space="preserve"> </w:t>
      </w:r>
      <w:r>
        <w:rPr>
          <w:rFonts w:ascii="Times New Roman" w:hAnsi="Times New Roman"/>
          <w:lang w:val="bs-Latn-BA"/>
        </w:rPr>
        <w:t>МЉПИ</w:t>
      </w:r>
      <w:r w:rsidR="00526761">
        <w:rPr>
          <w:rFonts w:ascii="Times New Roman" w:hAnsi="Times New Roman"/>
          <w:lang w:val="bs-Latn-BA"/>
        </w:rPr>
        <w:t xml:space="preserve"> </w:t>
      </w:r>
      <w:r>
        <w:rPr>
          <w:rFonts w:ascii="Times New Roman" w:hAnsi="Times New Roman"/>
          <w:lang w:val="bs-Latn-BA"/>
        </w:rPr>
        <w:t>БиХ</w:t>
      </w:r>
      <w:r w:rsidR="003F24F7">
        <w:rPr>
          <w:rFonts w:ascii="Times New Roman" w:hAnsi="Times New Roman"/>
          <w:lang w:val="bs-Latn-BA"/>
        </w:rPr>
        <w:t xml:space="preserve">, </w:t>
      </w:r>
      <w:r>
        <w:rPr>
          <w:rFonts w:ascii="Times New Roman" w:hAnsi="Times New Roman"/>
          <w:lang w:val="bs-Latn-BA"/>
        </w:rPr>
        <w:t>ГЦ</w:t>
      </w:r>
      <w:r w:rsidR="003F24F7">
        <w:rPr>
          <w:rFonts w:ascii="Times New Roman" w:hAnsi="Times New Roman"/>
          <w:lang w:val="bs-Latn-BA"/>
        </w:rPr>
        <w:t xml:space="preserve"> </w:t>
      </w:r>
      <w:r>
        <w:rPr>
          <w:rFonts w:ascii="Times New Roman" w:hAnsi="Times New Roman"/>
          <w:lang w:val="bs-Latn-BA"/>
        </w:rPr>
        <w:t>ФБиХ</w:t>
      </w:r>
      <w:r w:rsidR="0042679D" w:rsidRPr="00B933C4">
        <w:rPr>
          <w:rFonts w:ascii="Times New Roman" w:hAnsi="Times New Roman"/>
          <w:lang w:val="bs-Latn-BA"/>
        </w:rPr>
        <w:t xml:space="preserve"> </w:t>
      </w:r>
      <w:r>
        <w:rPr>
          <w:rFonts w:ascii="Times New Roman" w:hAnsi="Times New Roman"/>
          <w:lang w:val="bs-Latn-BA"/>
        </w:rPr>
        <w:t>и</w:t>
      </w:r>
      <w:r w:rsidR="0042679D" w:rsidRPr="00B933C4">
        <w:rPr>
          <w:rFonts w:ascii="Times New Roman" w:hAnsi="Times New Roman"/>
          <w:lang w:val="bs-Latn-BA"/>
        </w:rPr>
        <w:t xml:space="preserve"> </w:t>
      </w:r>
      <w:r>
        <w:rPr>
          <w:rFonts w:ascii="Times New Roman" w:hAnsi="Times New Roman"/>
          <w:lang w:val="bs-Latn-BA"/>
        </w:rPr>
        <w:t>ЦЈРП</w:t>
      </w:r>
      <w:r w:rsidR="0042679D" w:rsidRPr="00B933C4">
        <w:rPr>
          <w:rFonts w:ascii="Times New Roman" w:hAnsi="Times New Roman"/>
          <w:lang w:val="bs-Latn-BA"/>
        </w:rPr>
        <w:t xml:space="preserve"> </w:t>
      </w:r>
      <w:r>
        <w:rPr>
          <w:rFonts w:ascii="Times New Roman" w:hAnsi="Times New Roman"/>
          <w:lang w:val="bs-Latn-BA"/>
        </w:rPr>
        <w:t>РС</w:t>
      </w:r>
      <w:r w:rsidR="0042679D" w:rsidRPr="00B933C4">
        <w:rPr>
          <w:rFonts w:ascii="Times New Roman" w:hAnsi="Times New Roman"/>
          <w:lang w:val="bs-Latn-BA"/>
        </w:rPr>
        <w:t xml:space="preserve"> </w:t>
      </w:r>
      <w:r>
        <w:rPr>
          <w:rFonts w:ascii="Times New Roman" w:hAnsi="Times New Roman"/>
          <w:lang w:val="bs-Latn-BA"/>
        </w:rPr>
        <w:t>били</w:t>
      </w:r>
      <w:r w:rsidR="0042679D" w:rsidRPr="00B933C4">
        <w:rPr>
          <w:rFonts w:ascii="Times New Roman" w:hAnsi="Times New Roman"/>
          <w:lang w:val="bs-Latn-BA"/>
        </w:rPr>
        <w:t xml:space="preserve"> </w:t>
      </w:r>
      <w:r>
        <w:rPr>
          <w:rFonts w:ascii="Times New Roman" w:hAnsi="Times New Roman"/>
          <w:lang w:val="bs-Latn-BA"/>
        </w:rPr>
        <w:t>иницијатори</w:t>
      </w:r>
      <w:r w:rsidR="0042679D" w:rsidRPr="00B933C4">
        <w:rPr>
          <w:rFonts w:ascii="Times New Roman" w:hAnsi="Times New Roman"/>
          <w:lang w:val="bs-Latn-BA"/>
        </w:rPr>
        <w:t xml:space="preserve"> </w:t>
      </w:r>
      <w:r>
        <w:rPr>
          <w:rFonts w:ascii="Times New Roman" w:hAnsi="Times New Roman"/>
          <w:lang w:val="bs-Latn-BA"/>
        </w:rPr>
        <w:t>или</w:t>
      </w:r>
      <w:r w:rsidR="0042679D" w:rsidRPr="00B933C4">
        <w:rPr>
          <w:rFonts w:ascii="Times New Roman" w:hAnsi="Times New Roman"/>
          <w:lang w:val="bs-Latn-BA"/>
        </w:rPr>
        <w:t xml:space="preserve"> </w:t>
      </w:r>
      <w:r>
        <w:rPr>
          <w:rFonts w:ascii="Times New Roman" w:hAnsi="Times New Roman"/>
          <w:lang w:val="bs-Latn-BA"/>
        </w:rPr>
        <w:t>учесници</w:t>
      </w:r>
      <w:r w:rsidR="0042679D" w:rsidRPr="00B933C4">
        <w:rPr>
          <w:rFonts w:ascii="Times New Roman" w:hAnsi="Times New Roman"/>
          <w:lang w:val="bs-Latn-BA"/>
        </w:rPr>
        <w:t xml:space="preserve">. </w:t>
      </w:r>
      <w:r>
        <w:rPr>
          <w:rFonts w:ascii="Times New Roman" w:hAnsi="Times New Roman"/>
          <w:lang w:val="bs-Latn-BA"/>
        </w:rPr>
        <w:t>Најчешће</w:t>
      </w:r>
      <w:r w:rsidR="0042679D" w:rsidRPr="00B933C4">
        <w:rPr>
          <w:rFonts w:ascii="Times New Roman" w:hAnsi="Times New Roman"/>
          <w:lang w:val="bs-Latn-BA"/>
        </w:rPr>
        <w:t xml:space="preserve"> </w:t>
      </w:r>
      <w:r>
        <w:rPr>
          <w:rFonts w:ascii="Times New Roman" w:hAnsi="Times New Roman"/>
          <w:lang w:val="bs-Latn-BA"/>
        </w:rPr>
        <w:t>теме</w:t>
      </w:r>
      <w:r w:rsidR="0042679D" w:rsidRPr="00B933C4">
        <w:rPr>
          <w:rFonts w:ascii="Times New Roman" w:hAnsi="Times New Roman"/>
          <w:lang w:val="bs-Latn-BA"/>
        </w:rPr>
        <w:t xml:space="preserve"> </w:t>
      </w:r>
      <w:r>
        <w:rPr>
          <w:rFonts w:ascii="Times New Roman" w:hAnsi="Times New Roman"/>
          <w:lang w:val="bs-Latn-BA"/>
        </w:rPr>
        <w:t>су</w:t>
      </w:r>
      <w:r w:rsidR="0042679D" w:rsidRPr="00B933C4">
        <w:rPr>
          <w:rFonts w:ascii="Times New Roman" w:hAnsi="Times New Roman"/>
          <w:lang w:val="bs-Latn-BA"/>
        </w:rPr>
        <w:t xml:space="preserve"> </w:t>
      </w:r>
      <w:r>
        <w:rPr>
          <w:rFonts w:ascii="Times New Roman" w:hAnsi="Times New Roman"/>
          <w:lang w:val="bs-Latn-BA"/>
        </w:rPr>
        <w:t>биле</w:t>
      </w:r>
      <w:r w:rsidR="0042679D" w:rsidRPr="00B933C4">
        <w:rPr>
          <w:rFonts w:ascii="Times New Roman" w:hAnsi="Times New Roman"/>
          <w:lang w:val="bs-Latn-BA"/>
        </w:rPr>
        <w:t xml:space="preserve"> </w:t>
      </w:r>
      <w:r>
        <w:rPr>
          <w:rFonts w:ascii="Times New Roman" w:hAnsi="Times New Roman"/>
          <w:lang w:val="bs-Latn-BA"/>
        </w:rPr>
        <w:t>превенција</w:t>
      </w:r>
      <w:r w:rsidR="0042679D" w:rsidRPr="00B933C4">
        <w:rPr>
          <w:rFonts w:ascii="Times New Roman" w:hAnsi="Times New Roman"/>
          <w:lang w:val="bs-Latn-BA"/>
        </w:rPr>
        <w:t xml:space="preserve"> </w:t>
      </w:r>
      <w:r>
        <w:rPr>
          <w:rFonts w:ascii="Times New Roman" w:hAnsi="Times New Roman"/>
          <w:lang w:val="bs-Latn-BA"/>
        </w:rPr>
        <w:t>свих</w:t>
      </w:r>
      <w:r w:rsidR="0042679D" w:rsidRPr="00B933C4">
        <w:rPr>
          <w:rFonts w:ascii="Times New Roman" w:hAnsi="Times New Roman"/>
          <w:lang w:val="bs-Latn-BA"/>
        </w:rPr>
        <w:t xml:space="preserve"> </w:t>
      </w:r>
      <w:r>
        <w:rPr>
          <w:rFonts w:ascii="Times New Roman" w:hAnsi="Times New Roman"/>
          <w:lang w:val="bs-Latn-BA"/>
        </w:rPr>
        <w:t>облика</w:t>
      </w:r>
      <w:r w:rsidR="0042679D" w:rsidRPr="00B933C4">
        <w:rPr>
          <w:rFonts w:ascii="Times New Roman" w:hAnsi="Times New Roman"/>
          <w:lang w:val="bs-Latn-BA"/>
        </w:rPr>
        <w:t xml:space="preserve"> </w:t>
      </w:r>
      <w:r>
        <w:rPr>
          <w:rFonts w:ascii="Times New Roman" w:hAnsi="Times New Roman"/>
          <w:lang w:val="bs-Latn-BA"/>
        </w:rPr>
        <w:t>насиља</w:t>
      </w:r>
      <w:r w:rsidR="0042679D" w:rsidRPr="00B933C4">
        <w:rPr>
          <w:rFonts w:ascii="Times New Roman" w:hAnsi="Times New Roman"/>
          <w:lang w:val="bs-Latn-BA"/>
        </w:rPr>
        <w:t xml:space="preserve"> </w:t>
      </w:r>
      <w:r>
        <w:rPr>
          <w:rFonts w:ascii="Times New Roman" w:hAnsi="Times New Roman"/>
          <w:lang w:val="bs-Latn-BA"/>
        </w:rPr>
        <w:t>на</w:t>
      </w:r>
      <w:r w:rsidR="0042679D" w:rsidRPr="00B933C4">
        <w:rPr>
          <w:rFonts w:ascii="Times New Roman" w:hAnsi="Times New Roman"/>
          <w:lang w:val="bs-Latn-BA"/>
        </w:rPr>
        <w:t xml:space="preserve"> </w:t>
      </w:r>
      <w:r>
        <w:rPr>
          <w:rFonts w:ascii="Times New Roman" w:hAnsi="Times New Roman"/>
          <w:lang w:val="bs-Latn-BA"/>
        </w:rPr>
        <w:t>основу</w:t>
      </w:r>
      <w:r w:rsidR="0042679D" w:rsidRPr="00B933C4">
        <w:rPr>
          <w:rFonts w:ascii="Times New Roman" w:hAnsi="Times New Roman"/>
          <w:lang w:val="bs-Latn-BA"/>
        </w:rPr>
        <w:t xml:space="preserve"> </w:t>
      </w:r>
      <w:r>
        <w:rPr>
          <w:rFonts w:ascii="Times New Roman" w:hAnsi="Times New Roman"/>
          <w:lang w:val="bs-Latn-BA"/>
        </w:rPr>
        <w:t>пола</w:t>
      </w:r>
      <w:r w:rsidR="0042679D" w:rsidRPr="00B933C4">
        <w:rPr>
          <w:rFonts w:ascii="Times New Roman" w:hAnsi="Times New Roman"/>
          <w:lang w:val="bs-Latn-BA"/>
        </w:rPr>
        <w:t xml:space="preserve">, </w:t>
      </w:r>
      <w:r>
        <w:rPr>
          <w:rFonts w:ascii="Times New Roman" w:hAnsi="Times New Roman"/>
          <w:lang w:val="bs-Latn-BA"/>
        </w:rPr>
        <w:t>предузетништво</w:t>
      </w:r>
      <w:r w:rsidR="0042679D" w:rsidRPr="00B933C4">
        <w:rPr>
          <w:rFonts w:ascii="Times New Roman" w:hAnsi="Times New Roman"/>
          <w:lang w:val="bs-Latn-BA"/>
        </w:rPr>
        <w:t xml:space="preserve"> </w:t>
      </w:r>
      <w:r>
        <w:rPr>
          <w:rFonts w:ascii="Times New Roman" w:hAnsi="Times New Roman"/>
          <w:lang w:val="bs-Latn-BA"/>
        </w:rPr>
        <w:t>и</w:t>
      </w:r>
      <w:r w:rsidR="0042679D" w:rsidRPr="00B933C4">
        <w:rPr>
          <w:rFonts w:ascii="Times New Roman" w:hAnsi="Times New Roman"/>
          <w:lang w:val="bs-Latn-BA"/>
        </w:rPr>
        <w:t xml:space="preserve"> </w:t>
      </w:r>
      <w:r>
        <w:rPr>
          <w:rFonts w:ascii="Times New Roman" w:hAnsi="Times New Roman"/>
          <w:lang w:val="bs-Latn-BA"/>
        </w:rPr>
        <w:t>политичко</w:t>
      </w:r>
      <w:r w:rsidR="0042679D" w:rsidRPr="00B933C4">
        <w:rPr>
          <w:rFonts w:ascii="Times New Roman" w:hAnsi="Times New Roman"/>
          <w:lang w:val="bs-Latn-BA"/>
        </w:rPr>
        <w:t xml:space="preserve"> </w:t>
      </w:r>
      <w:r>
        <w:rPr>
          <w:rFonts w:ascii="Times New Roman" w:hAnsi="Times New Roman"/>
          <w:lang w:val="bs-Latn-BA"/>
        </w:rPr>
        <w:t>учешће</w:t>
      </w:r>
      <w:r w:rsidR="003F24F7">
        <w:rPr>
          <w:rFonts w:ascii="Times New Roman" w:hAnsi="Times New Roman"/>
          <w:lang w:val="bs-Latn-BA"/>
        </w:rPr>
        <w:t>,</w:t>
      </w:r>
      <w:r w:rsidR="0042679D">
        <w:rPr>
          <w:rFonts w:ascii="Times New Roman" w:hAnsi="Times New Roman"/>
          <w:lang w:val="bs-Latn-BA"/>
        </w:rPr>
        <w:t xml:space="preserve"> </w:t>
      </w:r>
      <w:r>
        <w:rPr>
          <w:rFonts w:ascii="Times New Roman" w:hAnsi="Times New Roman"/>
          <w:lang w:val="bs-Latn-BA"/>
        </w:rPr>
        <w:t>а</w:t>
      </w:r>
      <w:r w:rsidR="0042679D">
        <w:rPr>
          <w:rFonts w:ascii="Times New Roman" w:hAnsi="Times New Roman"/>
          <w:lang w:val="bs-Latn-BA"/>
        </w:rPr>
        <w:t xml:space="preserve"> </w:t>
      </w:r>
      <w:r>
        <w:rPr>
          <w:rFonts w:ascii="Times New Roman" w:hAnsi="Times New Roman"/>
          <w:lang w:val="bs-Latn-BA"/>
        </w:rPr>
        <w:t>нису</w:t>
      </w:r>
      <w:r w:rsidR="0042679D" w:rsidRPr="00B933C4">
        <w:rPr>
          <w:rFonts w:ascii="Times New Roman" w:hAnsi="Times New Roman"/>
          <w:lang w:val="bs-Latn-BA"/>
        </w:rPr>
        <w:t xml:space="preserve"> </w:t>
      </w:r>
      <w:r>
        <w:rPr>
          <w:rFonts w:ascii="Times New Roman" w:hAnsi="Times New Roman"/>
          <w:lang w:val="bs-Latn-BA"/>
        </w:rPr>
        <w:t>изостављене</w:t>
      </w:r>
      <w:r w:rsidR="0042679D" w:rsidRPr="00B933C4">
        <w:rPr>
          <w:rFonts w:ascii="Times New Roman" w:hAnsi="Times New Roman"/>
          <w:lang w:val="bs-Latn-BA"/>
        </w:rPr>
        <w:t xml:space="preserve"> </w:t>
      </w:r>
      <w:r>
        <w:rPr>
          <w:rFonts w:ascii="Times New Roman" w:hAnsi="Times New Roman"/>
          <w:lang w:val="bs-Latn-BA"/>
        </w:rPr>
        <w:t>ни</w:t>
      </w:r>
      <w:r w:rsidR="0042679D" w:rsidRPr="00B933C4">
        <w:rPr>
          <w:rFonts w:ascii="Times New Roman" w:hAnsi="Times New Roman"/>
          <w:lang w:val="bs-Latn-BA"/>
        </w:rPr>
        <w:t xml:space="preserve"> </w:t>
      </w:r>
      <w:r>
        <w:rPr>
          <w:rFonts w:ascii="Times New Roman" w:hAnsi="Times New Roman"/>
          <w:lang w:val="bs-Latn-BA"/>
        </w:rPr>
        <w:t>теме</w:t>
      </w:r>
      <w:r w:rsidR="0042679D" w:rsidRPr="00B933C4">
        <w:rPr>
          <w:rFonts w:ascii="Times New Roman" w:hAnsi="Times New Roman"/>
          <w:lang w:val="bs-Latn-BA"/>
        </w:rPr>
        <w:t xml:space="preserve"> </w:t>
      </w:r>
      <w:r>
        <w:rPr>
          <w:rFonts w:ascii="Times New Roman" w:hAnsi="Times New Roman"/>
          <w:lang w:val="bs-Latn-BA"/>
        </w:rPr>
        <w:t>еколошке</w:t>
      </w:r>
      <w:r w:rsidR="0042679D" w:rsidRPr="00B933C4">
        <w:rPr>
          <w:rFonts w:ascii="Times New Roman" w:hAnsi="Times New Roman"/>
          <w:lang w:val="bs-Latn-BA"/>
        </w:rPr>
        <w:t xml:space="preserve"> </w:t>
      </w:r>
      <w:r>
        <w:rPr>
          <w:rFonts w:ascii="Times New Roman" w:hAnsi="Times New Roman"/>
          <w:lang w:val="bs-Latn-BA"/>
        </w:rPr>
        <w:t>правде</w:t>
      </w:r>
      <w:r w:rsidR="0042679D" w:rsidRPr="00B933C4">
        <w:rPr>
          <w:rFonts w:ascii="Times New Roman" w:hAnsi="Times New Roman"/>
          <w:lang w:val="bs-Latn-BA"/>
        </w:rPr>
        <w:t xml:space="preserve">, </w:t>
      </w:r>
      <w:r>
        <w:rPr>
          <w:rFonts w:ascii="Times New Roman" w:hAnsi="Times New Roman"/>
          <w:lang w:val="bs-Latn-BA"/>
        </w:rPr>
        <w:t>зелене</w:t>
      </w:r>
      <w:r w:rsidR="0042679D" w:rsidRPr="00B933C4">
        <w:rPr>
          <w:rFonts w:ascii="Times New Roman" w:hAnsi="Times New Roman"/>
          <w:lang w:val="bs-Latn-BA"/>
        </w:rPr>
        <w:t xml:space="preserve"> </w:t>
      </w:r>
      <w:r>
        <w:rPr>
          <w:rFonts w:ascii="Times New Roman" w:hAnsi="Times New Roman"/>
          <w:lang w:val="bs-Latn-BA"/>
        </w:rPr>
        <w:t>транзиције</w:t>
      </w:r>
      <w:r w:rsidR="0042679D" w:rsidRPr="00B933C4">
        <w:rPr>
          <w:rFonts w:ascii="Times New Roman" w:hAnsi="Times New Roman"/>
          <w:lang w:val="bs-Latn-BA"/>
        </w:rPr>
        <w:t xml:space="preserve">, </w:t>
      </w:r>
      <w:r>
        <w:rPr>
          <w:rFonts w:ascii="Times New Roman" w:hAnsi="Times New Roman"/>
          <w:lang w:val="bs-Latn-BA"/>
        </w:rPr>
        <w:t>енергетског</w:t>
      </w:r>
      <w:r w:rsidR="0042679D" w:rsidRPr="00B933C4">
        <w:rPr>
          <w:rFonts w:ascii="Times New Roman" w:hAnsi="Times New Roman"/>
          <w:lang w:val="bs-Latn-BA"/>
        </w:rPr>
        <w:t xml:space="preserve"> </w:t>
      </w:r>
      <w:r>
        <w:rPr>
          <w:rFonts w:ascii="Times New Roman" w:hAnsi="Times New Roman"/>
          <w:lang w:val="bs-Latn-BA"/>
        </w:rPr>
        <w:t>сиромаштва</w:t>
      </w:r>
      <w:r w:rsidR="0042679D" w:rsidRPr="00B933C4">
        <w:rPr>
          <w:rFonts w:ascii="Times New Roman" w:hAnsi="Times New Roman"/>
          <w:lang w:val="bs-Latn-BA"/>
        </w:rPr>
        <w:t xml:space="preserve"> </w:t>
      </w:r>
      <w:r>
        <w:rPr>
          <w:rFonts w:ascii="Times New Roman" w:hAnsi="Times New Roman"/>
          <w:lang w:val="bs-Latn-BA"/>
        </w:rPr>
        <w:t>као</w:t>
      </w:r>
      <w:r w:rsidR="0042679D" w:rsidRPr="00B933C4">
        <w:rPr>
          <w:rFonts w:ascii="Times New Roman" w:hAnsi="Times New Roman"/>
          <w:lang w:val="bs-Latn-BA"/>
        </w:rPr>
        <w:t xml:space="preserve"> </w:t>
      </w:r>
      <w:r>
        <w:rPr>
          <w:rFonts w:ascii="Times New Roman" w:hAnsi="Times New Roman"/>
          <w:lang w:val="bs-Latn-BA"/>
        </w:rPr>
        <w:t>и</w:t>
      </w:r>
      <w:r w:rsidR="0042679D" w:rsidRPr="00B933C4">
        <w:rPr>
          <w:rFonts w:ascii="Times New Roman" w:hAnsi="Times New Roman"/>
          <w:lang w:val="bs-Latn-BA"/>
        </w:rPr>
        <w:t xml:space="preserve"> </w:t>
      </w:r>
      <w:r>
        <w:rPr>
          <w:rFonts w:ascii="Times New Roman" w:hAnsi="Times New Roman"/>
          <w:lang w:val="bs-Latn-BA"/>
        </w:rPr>
        <w:t>кориш</w:t>
      </w:r>
      <w:r w:rsidR="001C7169">
        <w:rPr>
          <w:rFonts w:ascii="Times New Roman" w:hAnsi="Times New Roman"/>
          <w:lang w:val="sr-Cyrl-BA"/>
        </w:rPr>
        <w:t>ћ</w:t>
      </w:r>
      <w:r>
        <w:rPr>
          <w:rFonts w:ascii="Times New Roman" w:hAnsi="Times New Roman"/>
          <w:lang w:val="bs-Latn-BA"/>
        </w:rPr>
        <w:t>ења</w:t>
      </w:r>
      <w:r w:rsidR="0042679D" w:rsidRPr="00B933C4">
        <w:rPr>
          <w:rFonts w:ascii="Times New Roman" w:hAnsi="Times New Roman"/>
          <w:lang w:val="bs-Latn-BA"/>
        </w:rPr>
        <w:t xml:space="preserve"> </w:t>
      </w:r>
      <w:r>
        <w:rPr>
          <w:rFonts w:ascii="Times New Roman" w:hAnsi="Times New Roman"/>
          <w:lang w:val="bs-Latn-BA"/>
        </w:rPr>
        <w:t>малог</w:t>
      </w:r>
      <w:r w:rsidR="0042679D" w:rsidRPr="00B933C4">
        <w:rPr>
          <w:rFonts w:ascii="Times New Roman" w:hAnsi="Times New Roman"/>
          <w:lang w:val="bs-Latn-BA"/>
        </w:rPr>
        <w:t xml:space="preserve"> </w:t>
      </w:r>
      <w:r>
        <w:rPr>
          <w:rFonts w:ascii="Times New Roman" w:hAnsi="Times New Roman"/>
          <w:lang w:val="bs-Latn-BA"/>
        </w:rPr>
        <w:t>и</w:t>
      </w:r>
      <w:r w:rsidR="0042679D" w:rsidRPr="00B933C4">
        <w:rPr>
          <w:rFonts w:ascii="Times New Roman" w:hAnsi="Times New Roman"/>
          <w:lang w:val="bs-Latn-BA"/>
        </w:rPr>
        <w:t xml:space="preserve"> </w:t>
      </w:r>
      <w:r>
        <w:rPr>
          <w:rFonts w:ascii="Times New Roman" w:hAnsi="Times New Roman"/>
          <w:lang w:val="bs-Latn-BA"/>
        </w:rPr>
        <w:t>лаког</w:t>
      </w:r>
      <w:r w:rsidR="0042679D" w:rsidRPr="00B933C4">
        <w:rPr>
          <w:rFonts w:ascii="Times New Roman" w:hAnsi="Times New Roman"/>
          <w:lang w:val="bs-Latn-BA"/>
        </w:rPr>
        <w:t xml:space="preserve"> </w:t>
      </w:r>
      <w:r>
        <w:rPr>
          <w:rFonts w:ascii="Times New Roman" w:hAnsi="Times New Roman"/>
          <w:lang w:val="bs-Latn-BA"/>
        </w:rPr>
        <w:t>наоружања</w:t>
      </w:r>
      <w:r w:rsidR="0042679D" w:rsidRPr="00B933C4">
        <w:rPr>
          <w:rFonts w:ascii="Times New Roman" w:hAnsi="Times New Roman"/>
          <w:lang w:val="bs-Latn-BA"/>
        </w:rPr>
        <w:t>.</w:t>
      </w:r>
      <w:r w:rsidR="0042679D">
        <w:rPr>
          <w:rFonts w:ascii="Times New Roman" w:hAnsi="Times New Roman"/>
          <w:lang w:val="bs-Latn-BA"/>
        </w:rPr>
        <w:t xml:space="preserve"> </w:t>
      </w:r>
      <w:r w:rsidR="0042679D">
        <w:rPr>
          <w:rFonts w:ascii="Times New Roman" w:hAnsi="Times New Roman"/>
          <w:lang w:val="bs-Latn-BA"/>
        </w:rPr>
        <w:br w:type="page"/>
      </w:r>
    </w:p>
    <w:p w:rsidR="00356C2C" w:rsidRPr="00295637" w:rsidRDefault="00C6214E" w:rsidP="0086268D">
      <w:pPr>
        <w:pStyle w:val="Heading2"/>
        <w:numPr>
          <w:ilvl w:val="0"/>
          <w:numId w:val="0"/>
        </w:numPr>
        <w:spacing w:after="0" w:line="240" w:lineRule="auto"/>
        <w:rPr>
          <w:rFonts w:ascii="Times New Roman" w:hAnsi="Times New Roman" w:cs="Times New Roman"/>
          <w:lang w:val="bs-Latn-BA"/>
        </w:rPr>
      </w:pPr>
      <w:r>
        <w:rPr>
          <w:rFonts w:ascii="Times New Roman" w:hAnsi="Times New Roman" w:cs="Times New Roman"/>
          <w:lang w:val="bs-Latn-BA"/>
        </w:rPr>
        <w:t>СТРАТЕШКИ</w:t>
      </w:r>
      <w:r w:rsidR="00356C2C" w:rsidRPr="00295637">
        <w:rPr>
          <w:rFonts w:ascii="Times New Roman" w:hAnsi="Times New Roman" w:cs="Times New Roman"/>
          <w:lang w:val="bs-Latn-BA"/>
        </w:rPr>
        <w:t xml:space="preserve"> </w:t>
      </w:r>
      <w:r>
        <w:rPr>
          <w:rFonts w:ascii="Times New Roman" w:hAnsi="Times New Roman" w:cs="Times New Roman"/>
          <w:lang w:val="bs-Latn-BA"/>
        </w:rPr>
        <w:t>ЦИЉ</w:t>
      </w:r>
      <w:r w:rsidR="00356C2C" w:rsidRPr="00295637">
        <w:rPr>
          <w:rFonts w:ascii="Times New Roman" w:hAnsi="Times New Roman" w:cs="Times New Roman"/>
          <w:lang w:val="bs-Latn-BA"/>
        </w:rPr>
        <w:t xml:space="preserve"> 1: </w:t>
      </w:r>
      <w:r>
        <w:rPr>
          <w:rFonts w:ascii="Times New Roman" w:hAnsi="Times New Roman" w:cs="Times New Roman"/>
          <w:lang w:val="bs-Latn-BA"/>
        </w:rPr>
        <w:t>Израда</w:t>
      </w:r>
      <w:r w:rsidR="00356C2C" w:rsidRPr="00295637">
        <w:rPr>
          <w:rFonts w:ascii="Times New Roman" w:hAnsi="Times New Roman" w:cs="Times New Roman"/>
          <w:lang w:val="bs-Latn-BA"/>
        </w:rPr>
        <w:t xml:space="preserve">, </w:t>
      </w:r>
      <w:r w:rsidR="00514807">
        <w:rPr>
          <w:rFonts w:ascii="Times New Roman" w:hAnsi="Times New Roman" w:cs="Times New Roman"/>
          <w:lang w:val="sr-Cyrl-BA"/>
        </w:rPr>
        <w:t>спровођење</w:t>
      </w:r>
      <w:r w:rsidR="00356C2C" w:rsidRPr="00295637">
        <w:rPr>
          <w:rFonts w:ascii="Times New Roman" w:hAnsi="Times New Roman" w:cs="Times New Roman"/>
          <w:lang w:val="bs-Latn-BA"/>
        </w:rPr>
        <w:t xml:space="preserve"> </w:t>
      </w:r>
      <w:r>
        <w:rPr>
          <w:rFonts w:ascii="Times New Roman" w:hAnsi="Times New Roman" w:cs="Times New Roman"/>
          <w:lang w:val="bs-Latn-BA"/>
        </w:rPr>
        <w:t>и</w:t>
      </w:r>
      <w:r w:rsidR="00356C2C" w:rsidRPr="00295637">
        <w:rPr>
          <w:rFonts w:ascii="Times New Roman" w:hAnsi="Times New Roman" w:cs="Times New Roman"/>
          <w:lang w:val="bs-Latn-BA"/>
        </w:rPr>
        <w:t xml:space="preserve"> </w:t>
      </w:r>
      <w:r>
        <w:rPr>
          <w:rFonts w:ascii="Times New Roman" w:hAnsi="Times New Roman" w:cs="Times New Roman"/>
          <w:lang w:val="bs-Latn-BA"/>
        </w:rPr>
        <w:t>праћење</w:t>
      </w:r>
      <w:r w:rsidR="00356C2C" w:rsidRPr="00295637">
        <w:rPr>
          <w:rFonts w:ascii="Times New Roman" w:hAnsi="Times New Roman" w:cs="Times New Roman"/>
          <w:lang w:val="bs-Latn-BA"/>
        </w:rPr>
        <w:t xml:space="preserve"> </w:t>
      </w:r>
      <w:r>
        <w:rPr>
          <w:rFonts w:ascii="Times New Roman" w:hAnsi="Times New Roman" w:cs="Times New Roman"/>
          <w:lang w:val="bs-Latn-BA"/>
        </w:rPr>
        <w:t>програма</w:t>
      </w:r>
      <w:r w:rsidR="00356C2C" w:rsidRPr="00295637">
        <w:rPr>
          <w:rFonts w:ascii="Times New Roman" w:hAnsi="Times New Roman" w:cs="Times New Roman"/>
          <w:lang w:val="bs-Latn-BA"/>
        </w:rPr>
        <w:t xml:space="preserve"> </w:t>
      </w:r>
      <w:r>
        <w:rPr>
          <w:rFonts w:ascii="Times New Roman" w:hAnsi="Times New Roman" w:cs="Times New Roman"/>
          <w:lang w:val="bs-Latn-BA"/>
        </w:rPr>
        <w:t>мјера</w:t>
      </w:r>
      <w:r w:rsidR="00356C2C" w:rsidRPr="00295637">
        <w:rPr>
          <w:rFonts w:ascii="Times New Roman" w:hAnsi="Times New Roman" w:cs="Times New Roman"/>
          <w:lang w:val="bs-Latn-BA"/>
        </w:rPr>
        <w:t xml:space="preserve"> </w:t>
      </w:r>
      <w:r>
        <w:rPr>
          <w:rFonts w:ascii="Times New Roman" w:hAnsi="Times New Roman" w:cs="Times New Roman"/>
          <w:lang w:val="bs-Latn-BA"/>
        </w:rPr>
        <w:t>за</w:t>
      </w:r>
      <w:r w:rsidR="00356C2C" w:rsidRPr="00295637">
        <w:rPr>
          <w:rFonts w:ascii="Times New Roman" w:hAnsi="Times New Roman" w:cs="Times New Roman"/>
          <w:lang w:val="bs-Latn-BA"/>
        </w:rPr>
        <w:t xml:space="preserve"> </w:t>
      </w:r>
      <w:r>
        <w:rPr>
          <w:rFonts w:ascii="Times New Roman" w:hAnsi="Times New Roman" w:cs="Times New Roman"/>
          <w:lang w:val="bs-Latn-BA"/>
        </w:rPr>
        <w:t>унапређење</w:t>
      </w:r>
      <w:r w:rsidR="00356C2C" w:rsidRPr="00295637">
        <w:rPr>
          <w:rFonts w:ascii="Times New Roman" w:hAnsi="Times New Roman" w:cs="Times New Roman"/>
          <w:lang w:val="bs-Latn-BA"/>
        </w:rPr>
        <w:t xml:space="preserve"> </w:t>
      </w:r>
      <w:r>
        <w:rPr>
          <w:rFonts w:ascii="Times New Roman" w:hAnsi="Times New Roman" w:cs="Times New Roman"/>
          <w:lang w:val="bs-Latn-BA"/>
        </w:rPr>
        <w:t>равноправности</w:t>
      </w:r>
      <w:r w:rsidR="00356C2C" w:rsidRPr="00295637">
        <w:rPr>
          <w:rFonts w:ascii="Times New Roman" w:hAnsi="Times New Roman" w:cs="Times New Roman"/>
          <w:lang w:val="bs-Latn-BA"/>
        </w:rPr>
        <w:t xml:space="preserve"> </w:t>
      </w:r>
      <w:r>
        <w:rPr>
          <w:rFonts w:ascii="Times New Roman" w:hAnsi="Times New Roman" w:cs="Times New Roman"/>
          <w:lang w:val="bs-Latn-BA"/>
        </w:rPr>
        <w:t>полова</w:t>
      </w:r>
      <w:bookmarkEnd w:id="11"/>
      <w:bookmarkEnd w:id="12"/>
      <w:r w:rsidR="00356C2C" w:rsidRPr="00295637">
        <w:rPr>
          <w:rFonts w:ascii="Times New Roman" w:hAnsi="Times New Roman" w:cs="Times New Roman"/>
          <w:lang w:val="bs-Latn-BA"/>
        </w:rPr>
        <w:t xml:space="preserve"> </w:t>
      </w:r>
      <w:r>
        <w:rPr>
          <w:rFonts w:ascii="Times New Roman" w:hAnsi="Times New Roman" w:cs="Times New Roman"/>
          <w:lang w:val="bs-Latn-BA"/>
        </w:rPr>
        <w:t>у</w:t>
      </w:r>
      <w:r w:rsidR="00356C2C" w:rsidRPr="00295637">
        <w:rPr>
          <w:rFonts w:ascii="Times New Roman" w:hAnsi="Times New Roman" w:cs="Times New Roman"/>
          <w:lang w:val="bs-Latn-BA"/>
        </w:rPr>
        <w:t xml:space="preserve"> </w:t>
      </w:r>
      <w:r>
        <w:rPr>
          <w:rFonts w:ascii="Times New Roman" w:hAnsi="Times New Roman" w:cs="Times New Roman"/>
          <w:lang w:val="bs-Latn-BA"/>
        </w:rPr>
        <w:t>институцијама</w:t>
      </w:r>
      <w:r w:rsidR="00356C2C" w:rsidRPr="00295637">
        <w:rPr>
          <w:rFonts w:ascii="Times New Roman" w:hAnsi="Times New Roman" w:cs="Times New Roman"/>
          <w:lang w:val="bs-Latn-BA"/>
        </w:rPr>
        <w:t xml:space="preserve"> </w:t>
      </w:r>
      <w:r>
        <w:rPr>
          <w:rFonts w:ascii="Times New Roman" w:hAnsi="Times New Roman" w:cs="Times New Roman"/>
          <w:lang w:val="bs-Latn-BA"/>
        </w:rPr>
        <w:t>власти</w:t>
      </w:r>
      <w:r w:rsidR="00356C2C" w:rsidRPr="00295637">
        <w:rPr>
          <w:rFonts w:ascii="Times New Roman" w:hAnsi="Times New Roman" w:cs="Times New Roman"/>
          <w:lang w:val="bs-Latn-BA"/>
        </w:rPr>
        <w:t xml:space="preserve">, </w:t>
      </w:r>
      <w:r>
        <w:rPr>
          <w:rFonts w:ascii="Times New Roman" w:hAnsi="Times New Roman" w:cs="Times New Roman"/>
          <w:lang w:val="bs-Latn-BA"/>
        </w:rPr>
        <w:t>по</w:t>
      </w:r>
      <w:r w:rsidR="00356C2C" w:rsidRPr="00295637">
        <w:rPr>
          <w:rFonts w:ascii="Times New Roman" w:hAnsi="Times New Roman" w:cs="Times New Roman"/>
          <w:lang w:val="bs-Latn-BA"/>
        </w:rPr>
        <w:t xml:space="preserve"> </w:t>
      </w:r>
      <w:r>
        <w:rPr>
          <w:rFonts w:ascii="Times New Roman" w:hAnsi="Times New Roman" w:cs="Times New Roman"/>
          <w:lang w:val="bs-Latn-BA"/>
        </w:rPr>
        <w:t>приоритетним</w:t>
      </w:r>
      <w:r w:rsidR="00356C2C" w:rsidRPr="00295637">
        <w:rPr>
          <w:rFonts w:ascii="Times New Roman" w:hAnsi="Times New Roman" w:cs="Times New Roman"/>
          <w:lang w:val="bs-Latn-BA"/>
        </w:rPr>
        <w:t xml:space="preserve"> </w:t>
      </w:r>
      <w:bookmarkEnd w:id="13"/>
      <w:r>
        <w:rPr>
          <w:rFonts w:ascii="Times New Roman" w:hAnsi="Times New Roman" w:cs="Times New Roman"/>
          <w:lang w:val="bs-Latn-BA"/>
        </w:rPr>
        <w:t>областима</w:t>
      </w:r>
      <w:r w:rsidR="00356C2C" w:rsidRPr="00295637">
        <w:rPr>
          <w:rFonts w:ascii="Times New Roman" w:hAnsi="Times New Roman" w:cs="Times New Roman"/>
          <w:lang w:val="bs-Latn-BA"/>
        </w:rPr>
        <w:t xml:space="preserve"> </w:t>
      </w:r>
    </w:p>
    <w:p w:rsidR="00356C2C" w:rsidRPr="00295637" w:rsidRDefault="00356C2C" w:rsidP="0086268D">
      <w:pPr>
        <w:tabs>
          <w:tab w:val="left" w:pos="284"/>
          <w:tab w:val="left" w:pos="567"/>
          <w:tab w:val="left" w:pos="709"/>
        </w:tabs>
        <w:jc w:val="both"/>
        <w:rPr>
          <w:rFonts w:ascii="Times New Roman" w:eastAsia="Calibri" w:hAnsi="Times New Roman"/>
          <w:b/>
          <w:szCs w:val="24"/>
          <w:lang w:val="bs-Latn-BA"/>
        </w:rPr>
      </w:pPr>
    </w:p>
    <w:p w:rsidR="00505388" w:rsidRPr="00295637" w:rsidRDefault="00C6214E" w:rsidP="0086268D">
      <w:pPr>
        <w:autoSpaceDE w:val="0"/>
        <w:autoSpaceDN w:val="0"/>
        <w:adjustRightInd w:val="0"/>
        <w:jc w:val="both"/>
        <w:rPr>
          <w:rFonts w:ascii="Times New Roman" w:hAnsi="Times New Roman"/>
          <w:szCs w:val="24"/>
          <w:lang w:val="bs-Latn-BA"/>
        </w:rPr>
      </w:pPr>
      <w:bookmarkStart w:id="14" w:name="_Toc332005664"/>
      <w:bookmarkStart w:id="15" w:name="_Toc332010895"/>
      <w:bookmarkStart w:id="16" w:name="_Toc195016591"/>
      <w:r>
        <w:rPr>
          <w:rFonts w:ascii="Times New Roman" w:hAnsi="Times New Roman"/>
          <w:szCs w:val="24"/>
          <w:lang w:val="bs-Latn-BA"/>
        </w:rPr>
        <w:t>Босна</w:t>
      </w:r>
      <w:r w:rsidR="007701C2" w:rsidRPr="00295637">
        <w:rPr>
          <w:rFonts w:ascii="Times New Roman" w:hAnsi="Times New Roman"/>
          <w:szCs w:val="24"/>
          <w:lang w:val="bs-Latn-BA"/>
        </w:rPr>
        <w:t xml:space="preserve"> </w:t>
      </w:r>
      <w:r>
        <w:rPr>
          <w:rFonts w:ascii="Times New Roman" w:hAnsi="Times New Roman"/>
          <w:szCs w:val="24"/>
          <w:lang w:val="bs-Latn-BA"/>
        </w:rPr>
        <w:t>и</w:t>
      </w:r>
      <w:r w:rsidR="007701C2" w:rsidRPr="00295637">
        <w:rPr>
          <w:rFonts w:ascii="Times New Roman" w:hAnsi="Times New Roman"/>
          <w:szCs w:val="24"/>
          <w:lang w:val="bs-Latn-BA"/>
        </w:rPr>
        <w:t xml:space="preserve"> </w:t>
      </w:r>
      <w:r>
        <w:rPr>
          <w:rFonts w:ascii="Times New Roman" w:hAnsi="Times New Roman"/>
          <w:szCs w:val="24"/>
          <w:lang w:val="bs-Latn-BA"/>
        </w:rPr>
        <w:t>Херцеговина</w:t>
      </w:r>
      <w:r w:rsidR="007701C2" w:rsidRPr="00295637">
        <w:rPr>
          <w:rFonts w:ascii="Times New Roman" w:hAnsi="Times New Roman"/>
          <w:szCs w:val="24"/>
          <w:lang w:val="bs-Latn-BA"/>
        </w:rPr>
        <w:t xml:space="preserve"> </w:t>
      </w:r>
      <w:r>
        <w:rPr>
          <w:rFonts w:ascii="Times New Roman" w:hAnsi="Times New Roman"/>
          <w:szCs w:val="24"/>
          <w:lang w:val="bs-Latn-BA"/>
        </w:rPr>
        <w:t>има</w:t>
      </w:r>
      <w:r w:rsidR="007E393E" w:rsidRPr="00295637">
        <w:rPr>
          <w:rFonts w:ascii="Times New Roman" w:hAnsi="Times New Roman"/>
          <w:szCs w:val="24"/>
          <w:lang w:val="bs-Latn-BA"/>
        </w:rPr>
        <w:t xml:space="preserve"> </w:t>
      </w:r>
      <w:r>
        <w:rPr>
          <w:rFonts w:ascii="Times New Roman" w:hAnsi="Times New Roman"/>
          <w:szCs w:val="24"/>
          <w:lang w:val="bs-Latn-BA"/>
        </w:rPr>
        <w:t>континуитет</w:t>
      </w:r>
      <w:r w:rsidR="007E393E" w:rsidRPr="00295637">
        <w:rPr>
          <w:rFonts w:ascii="Times New Roman" w:hAnsi="Times New Roman"/>
          <w:szCs w:val="24"/>
          <w:lang w:val="bs-Latn-BA"/>
        </w:rPr>
        <w:t xml:space="preserve"> </w:t>
      </w:r>
      <w:r>
        <w:rPr>
          <w:rFonts w:ascii="Times New Roman" w:hAnsi="Times New Roman"/>
          <w:szCs w:val="24"/>
          <w:lang w:val="bs-Latn-BA"/>
        </w:rPr>
        <w:t>рада</w:t>
      </w:r>
      <w:r w:rsidR="007E393E" w:rsidRPr="00295637">
        <w:rPr>
          <w:rFonts w:ascii="Times New Roman" w:hAnsi="Times New Roman"/>
          <w:szCs w:val="24"/>
          <w:lang w:val="bs-Latn-BA"/>
        </w:rPr>
        <w:t xml:space="preserve"> </w:t>
      </w:r>
      <w:r>
        <w:rPr>
          <w:rFonts w:ascii="Times New Roman" w:hAnsi="Times New Roman"/>
          <w:szCs w:val="24"/>
          <w:lang w:val="bs-Latn-BA"/>
        </w:rPr>
        <w:t>на</w:t>
      </w:r>
      <w:r w:rsidR="007E393E" w:rsidRPr="00295637">
        <w:rPr>
          <w:rFonts w:ascii="Times New Roman" w:hAnsi="Times New Roman"/>
          <w:szCs w:val="24"/>
          <w:lang w:val="bs-Latn-BA"/>
        </w:rPr>
        <w:t xml:space="preserve"> </w:t>
      </w:r>
      <w:r>
        <w:rPr>
          <w:rFonts w:ascii="Times New Roman" w:hAnsi="Times New Roman"/>
          <w:szCs w:val="24"/>
          <w:lang w:val="bs-Latn-BA"/>
        </w:rPr>
        <w:t>превенцији</w:t>
      </w:r>
      <w:r w:rsidR="007E393E" w:rsidRPr="00295637">
        <w:rPr>
          <w:rFonts w:ascii="Times New Roman" w:hAnsi="Times New Roman"/>
          <w:szCs w:val="24"/>
          <w:lang w:val="bs-Latn-BA"/>
        </w:rPr>
        <w:t xml:space="preserve"> </w:t>
      </w:r>
      <w:r>
        <w:rPr>
          <w:rFonts w:ascii="Times New Roman" w:hAnsi="Times New Roman"/>
          <w:szCs w:val="24"/>
          <w:lang w:val="bs-Latn-BA"/>
        </w:rPr>
        <w:t>насиља</w:t>
      </w:r>
      <w:r w:rsidR="007E393E" w:rsidRPr="00295637">
        <w:rPr>
          <w:rFonts w:ascii="Times New Roman" w:hAnsi="Times New Roman"/>
          <w:szCs w:val="24"/>
          <w:lang w:val="bs-Latn-BA"/>
        </w:rPr>
        <w:t xml:space="preserve">, </w:t>
      </w:r>
      <w:r>
        <w:rPr>
          <w:rFonts w:ascii="Times New Roman" w:hAnsi="Times New Roman"/>
          <w:szCs w:val="24"/>
          <w:lang w:val="bs-Latn-BA"/>
        </w:rPr>
        <w:t>унапређењу</w:t>
      </w:r>
      <w:r w:rsidR="007E393E" w:rsidRPr="00295637">
        <w:rPr>
          <w:rFonts w:ascii="Times New Roman" w:hAnsi="Times New Roman"/>
          <w:szCs w:val="24"/>
          <w:lang w:val="bs-Latn-BA"/>
        </w:rPr>
        <w:t xml:space="preserve"> </w:t>
      </w:r>
      <w:r>
        <w:rPr>
          <w:rFonts w:ascii="Times New Roman" w:hAnsi="Times New Roman"/>
          <w:szCs w:val="24"/>
          <w:lang w:val="bs-Latn-BA"/>
        </w:rPr>
        <w:t>система</w:t>
      </w:r>
      <w:r w:rsidR="007E393E" w:rsidRPr="00295637">
        <w:rPr>
          <w:rFonts w:ascii="Times New Roman" w:hAnsi="Times New Roman"/>
          <w:szCs w:val="24"/>
          <w:lang w:val="bs-Latn-BA"/>
        </w:rPr>
        <w:t xml:space="preserve"> </w:t>
      </w:r>
      <w:r>
        <w:rPr>
          <w:rFonts w:ascii="Times New Roman" w:hAnsi="Times New Roman"/>
          <w:szCs w:val="24"/>
          <w:lang w:val="bs-Latn-BA"/>
        </w:rPr>
        <w:t>дјеловања</w:t>
      </w:r>
      <w:r w:rsidR="007E393E" w:rsidRPr="00295637">
        <w:rPr>
          <w:rFonts w:ascii="Times New Roman" w:hAnsi="Times New Roman"/>
          <w:szCs w:val="24"/>
          <w:lang w:val="bs-Latn-BA"/>
        </w:rPr>
        <w:t xml:space="preserve"> </w:t>
      </w:r>
      <w:r>
        <w:rPr>
          <w:rFonts w:ascii="Times New Roman" w:hAnsi="Times New Roman"/>
          <w:szCs w:val="24"/>
          <w:lang w:val="bs-Latn-BA"/>
        </w:rPr>
        <w:t>и</w:t>
      </w:r>
      <w:r w:rsidR="007E393E" w:rsidRPr="00295637">
        <w:rPr>
          <w:rFonts w:ascii="Times New Roman" w:hAnsi="Times New Roman"/>
          <w:szCs w:val="24"/>
          <w:lang w:val="bs-Latn-BA"/>
        </w:rPr>
        <w:t xml:space="preserve"> </w:t>
      </w:r>
      <w:r>
        <w:rPr>
          <w:rFonts w:ascii="Times New Roman" w:hAnsi="Times New Roman"/>
          <w:szCs w:val="24"/>
          <w:lang w:val="bs-Latn-BA"/>
        </w:rPr>
        <w:t>заштите</w:t>
      </w:r>
      <w:r w:rsidR="007E393E" w:rsidRPr="00295637">
        <w:rPr>
          <w:rFonts w:ascii="Times New Roman" w:hAnsi="Times New Roman"/>
          <w:szCs w:val="24"/>
          <w:lang w:val="bs-Latn-BA"/>
        </w:rPr>
        <w:t xml:space="preserve">, </w:t>
      </w:r>
      <w:r>
        <w:rPr>
          <w:rFonts w:ascii="Times New Roman" w:hAnsi="Times New Roman"/>
          <w:szCs w:val="24"/>
          <w:lang w:val="bs-Latn-BA"/>
        </w:rPr>
        <w:t>те</w:t>
      </w:r>
      <w:r w:rsidR="007E393E" w:rsidRPr="00295637">
        <w:rPr>
          <w:rFonts w:ascii="Times New Roman" w:hAnsi="Times New Roman"/>
          <w:szCs w:val="24"/>
          <w:lang w:val="bs-Latn-BA"/>
        </w:rPr>
        <w:t xml:space="preserve"> </w:t>
      </w:r>
      <w:r>
        <w:rPr>
          <w:rFonts w:ascii="Times New Roman" w:hAnsi="Times New Roman"/>
          <w:szCs w:val="24"/>
          <w:lang w:val="bs-Latn-BA"/>
        </w:rPr>
        <w:t>стратешком</w:t>
      </w:r>
      <w:r w:rsidR="007E393E" w:rsidRPr="00295637">
        <w:rPr>
          <w:rFonts w:ascii="Times New Roman" w:hAnsi="Times New Roman"/>
          <w:szCs w:val="24"/>
          <w:lang w:val="bs-Latn-BA"/>
        </w:rPr>
        <w:t xml:space="preserve"> </w:t>
      </w:r>
      <w:r>
        <w:rPr>
          <w:rFonts w:ascii="Times New Roman" w:hAnsi="Times New Roman"/>
          <w:szCs w:val="24"/>
          <w:lang w:val="bs-Latn-BA"/>
        </w:rPr>
        <w:t>и</w:t>
      </w:r>
      <w:r w:rsidR="007E393E" w:rsidRPr="00295637">
        <w:rPr>
          <w:rFonts w:ascii="Times New Roman" w:hAnsi="Times New Roman"/>
          <w:szCs w:val="24"/>
          <w:lang w:val="bs-Latn-BA"/>
        </w:rPr>
        <w:t xml:space="preserve"> </w:t>
      </w:r>
      <w:r>
        <w:rPr>
          <w:rFonts w:ascii="Times New Roman" w:hAnsi="Times New Roman"/>
          <w:szCs w:val="24"/>
          <w:lang w:val="bs-Latn-BA"/>
        </w:rPr>
        <w:t>свеобухватном</w:t>
      </w:r>
      <w:r w:rsidR="007701C2" w:rsidRPr="00295637">
        <w:rPr>
          <w:rFonts w:ascii="Times New Roman" w:hAnsi="Times New Roman"/>
          <w:szCs w:val="24"/>
          <w:lang w:val="bs-Latn-BA"/>
        </w:rPr>
        <w:t xml:space="preserve"> </w:t>
      </w:r>
      <w:r>
        <w:rPr>
          <w:rFonts w:ascii="Times New Roman" w:hAnsi="Times New Roman"/>
          <w:szCs w:val="24"/>
          <w:lang w:val="bs-Latn-BA"/>
        </w:rPr>
        <w:t>приступу</w:t>
      </w:r>
      <w:r w:rsidR="007701C2" w:rsidRPr="00295637">
        <w:rPr>
          <w:rFonts w:ascii="Times New Roman" w:hAnsi="Times New Roman"/>
          <w:szCs w:val="24"/>
          <w:lang w:val="bs-Latn-BA"/>
        </w:rPr>
        <w:t xml:space="preserve"> </w:t>
      </w:r>
      <w:r>
        <w:rPr>
          <w:rFonts w:ascii="Times New Roman" w:hAnsi="Times New Roman"/>
          <w:szCs w:val="24"/>
          <w:lang w:val="bs-Latn-BA"/>
        </w:rPr>
        <w:t>у</w:t>
      </w:r>
      <w:r w:rsidR="007701C2" w:rsidRPr="00295637">
        <w:rPr>
          <w:rFonts w:ascii="Times New Roman" w:hAnsi="Times New Roman"/>
          <w:szCs w:val="24"/>
          <w:lang w:val="bs-Latn-BA"/>
        </w:rPr>
        <w:t xml:space="preserve"> </w:t>
      </w:r>
      <w:r>
        <w:rPr>
          <w:rFonts w:ascii="Times New Roman" w:hAnsi="Times New Roman"/>
          <w:szCs w:val="24"/>
          <w:lang w:val="bs-Latn-BA"/>
        </w:rPr>
        <w:t>овој</w:t>
      </w:r>
      <w:r w:rsidR="007701C2" w:rsidRPr="00295637">
        <w:rPr>
          <w:rFonts w:ascii="Times New Roman" w:hAnsi="Times New Roman"/>
          <w:szCs w:val="24"/>
          <w:lang w:val="bs-Latn-BA"/>
        </w:rPr>
        <w:t xml:space="preserve"> </w:t>
      </w:r>
      <w:r>
        <w:rPr>
          <w:rFonts w:ascii="Times New Roman" w:hAnsi="Times New Roman"/>
          <w:szCs w:val="24"/>
          <w:lang w:val="bs-Latn-BA"/>
        </w:rPr>
        <w:t>области</w:t>
      </w:r>
      <w:r w:rsidR="007701C2" w:rsidRPr="00295637">
        <w:rPr>
          <w:rFonts w:ascii="Times New Roman" w:hAnsi="Times New Roman"/>
          <w:szCs w:val="24"/>
          <w:lang w:val="bs-Latn-BA"/>
        </w:rPr>
        <w:t xml:space="preserve">, </w:t>
      </w:r>
      <w:r>
        <w:rPr>
          <w:rFonts w:ascii="Times New Roman" w:hAnsi="Times New Roman"/>
          <w:szCs w:val="24"/>
          <w:lang w:val="bs-Latn-BA"/>
        </w:rPr>
        <w:t>што</w:t>
      </w:r>
      <w:r w:rsidR="007E393E" w:rsidRPr="00295637">
        <w:rPr>
          <w:rFonts w:ascii="Times New Roman" w:hAnsi="Times New Roman"/>
          <w:szCs w:val="24"/>
          <w:lang w:val="bs-Latn-BA"/>
        </w:rPr>
        <w:t xml:space="preserve"> </w:t>
      </w:r>
      <w:r>
        <w:rPr>
          <w:rFonts w:ascii="Times New Roman" w:hAnsi="Times New Roman"/>
          <w:szCs w:val="24"/>
          <w:lang w:val="bs-Latn-BA"/>
        </w:rPr>
        <w:t>потврђује</w:t>
      </w:r>
      <w:r w:rsidR="007E393E" w:rsidRPr="00295637">
        <w:rPr>
          <w:rFonts w:ascii="Times New Roman" w:hAnsi="Times New Roman"/>
          <w:szCs w:val="24"/>
          <w:lang w:val="bs-Latn-BA"/>
        </w:rPr>
        <w:t xml:space="preserve"> </w:t>
      </w:r>
      <w:r>
        <w:rPr>
          <w:rFonts w:ascii="Times New Roman" w:hAnsi="Times New Roman"/>
          <w:szCs w:val="24"/>
          <w:lang w:val="bs-Latn-BA"/>
        </w:rPr>
        <w:t>и</w:t>
      </w:r>
      <w:r w:rsidR="007E393E" w:rsidRPr="00295637">
        <w:rPr>
          <w:rFonts w:ascii="Times New Roman" w:hAnsi="Times New Roman"/>
          <w:szCs w:val="24"/>
          <w:lang w:val="bs-Latn-BA"/>
        </w:rPr>
        <w:t xml:space="preserve"> </w:t>
      </w:r>
      <w:r>
        <w:rPr>
          <w:rFonts w:ascii="Times New Roman" w:hAnsi="Times New Roman"/>
          <w:szCs w:val="24"/>
          <w:lang w:val="bs-Latn-BA"/>
        </w:rPr>
        <w:t>прихватање</w:t>
      </w:r>
      <w:r w:rsidR="007E393E" w:rsidRPr="00295637">
        <w:rPr>
          <w:rFonts w:ascii="Times New Roman" w:hAnsi="Times New Roman"/>
          <w:szCs w:val="24"/>
          <w:lang w:val="bs-Latn-BA"/>
        </w:rPr>
        <w:t xml:space="preserve"> </w:t>
      </w:r>
      <w:r>
        <w:rPr>
          <w:rFonts w:ascii="Times New Roman" w:hAnsi="Times New Roman"/>
          <w:szCs w:val="24"/>
          <w:lang w:val="bs-Latn-BA"/>
        </w:rPr>
        <w:t>међународних</w:t>
      </w:r>
      <w:r w:rsidR="007E393E" w:rsidRPr="00295637">
        <w:rPr>
          <w:rFonts w:ascii="Times New Roman" w:hAnsi="Times New Roman"/>
          <w:szCs w:val="24"/>
          <w:lang w:val="bs-Latn-BA"/>
        </w:rPr>
        <w:t xml:space="preserve"> </w:t>
      </w:r>
      <w:r>
        <w:rPr>
          <w:rFonts w:ascii="Times New Roman" w:hAnsi="Times New Roman"/>
          <w:szCs w:val="24"/>
          <w:lang w:val="bs-Latn-BA"/>
        </w:rPr>
        <w:t>стандарда</w:t>
      </w:r>
      <w:r w:rsidR="007E393E" w:rsidRPr="00295637">
        <w:rPr>
          <w:rFonts w:ascii="Times New Roman" w:hAnsi="Times New Roman"/>
          <w:szCs w:val="24"/>
          <w:lang w:val="bs-Latn-BA"/>
        </w:rPr>
        <w:t xml:space="preserve">, </w:t>
      </w:r>
      <w:r>
        <w:rPr>
          <w:rFonts w:ascii="Times New Roman" w:hAnsi="Times New Roman"/>
          <w:szCs w:val="24"/>
          <w:lang w:val="bs-Latn-BA"/>
        </w:rPr>
        <w:t>континуиран</w:t>
      </w:r>
      <w:r w:rsidR="00514807">
        <w:rPr>
          <w:rFonts w:ascii="Times New Roman" w:hAnsi="Times New Roman"/>
          <w:szCs w:val="24"/>
          <w:lang w:val="sr-Cyrl-BA"/>
        </w:rPr>
        <w:t>о</w:t>
      </w:r>
      <w:r w:rsidR="007E393E" w:rsidRPr="00295637">
        <w:rPr>
          <w:rFonts w:ascii="Times New Roman" w:hAnsi="Times New Roman"/>
          <w:szCs w:val="24"/>
          <w:lang w:val="bs-Latn-BA"/>
        </w:rPr>
        <w:t xml:space="preserve"> </w:t>
      </w:r>
      <w:r w:rsidR="00514807">
        <w:rPr>
          <w:rFonts w:ascii="Times New Roman" w:hAnsi="Times New Roman"/>
          <w:szCs w:val="24"/>
          <w:lang w:val="sr-Cyrl-BA"/>
        </w:rPr>
        <w:t>спровођење</w:t>
      </w:r>
      <w:r w:rsidR="007E393E" w:rsidRPr="00295637">
        <w:rPr>
          <w:rFonts w:ascii="Times New Roman" w:hAnsi="Times New Roman"/>
          <w:szCs w:val="24"/>
          <w:lang w:val="bs-Latn-BA"/>
        </w:rPr>
        <w:t xml:space="preserve"> </w:t>
      </w:r>
      <w:r>
        <w:rPr>
          <w:rFonts w:ascii="Times New Roman" w:hAnsi="Times New Roman"/>
          <w:szCs w:val="24"/>
          <w:lang w:val="bs-Latn-BA"/>
        </w:rPr>
        <w:t>домаћег</w:t>
      </w:r>
      <w:r w:rsidR="007E393E" w:rsidRPr="00295637">
        <w:rPr>
          <w:rFonts w:ascii="Times New Roman" w:hAnsi="Times New Roman"/>
          <w:szCs w:val="24"/>
          <w:lang w:val="bs-Latn-BA"/>
        </w:rPr>
        <w:t xml:space="preserve"> </w:t>
      </w:r>
      <w:r>
        <w:rPr>
          <w:rFonts w:ascii="Times New Roman" w:hAnsi="Times New Roman"/>
          <w:szCs w:val="24"/>
          <w:lang w:val="bs-Latn-BA"/>
        </w:rPr>
        <w:t>и</w:t>
      </w:r>
      <w:r w:rsidR="007E393E" w:rsidRPr="00295637">
        <w:rPr>
          <w:rFonts w:ascii="Times New Roman" w:hAnsi="Times New Roman"/>
          <w:szCs w:val="24"/>
          <w:lang w:val="bs-Latn-BA"/>
        </w:rPr>
        <w:t xml:space="preserve"> </w:t>
      </w:r>
      <w:r>
        <w:rPr>
          <w:rFonts w:ascii="Times New Roman" w:hAnsi="Times New Roman"/>
          <w:szCs w:val="24"/>
          <w:lang w:val="bs-Latn-BA"/>
        </w:rPr>
        <w:t>међународног</w:t>
      </w:r>
      <w:r w:rsidR="007E393E" w:rsidRPr="00295637">
        <w:rPr>
          <w:rFonts w:ascii="Times New Roman" w:hAnsi="Times New Roman"/>
          <w:szCs w:val="24"/>
          <w:lang w:val="bs-Latn-BA"/>
        </w:rPr>
        <w:t xml:space="preserve"> </w:t>
      </w:r>
      <w:r>
        <w:rPr>
          <w:rFonts w:ascii="Times New Roman" w:hAnsi="Times New Roman"/>
          <w:szCs w:val="24"/>
          <w:lang w:val="bs-Latn-BA"/>
        </w:rPr>
        <w:t>оквира</w:t>
      </w:r>
      <w:r w:rsidR="007E393E" w:rsidRPr="00295637">
        <w:rPr>
          <w:rFonts w:ascii="Times New Roman" w:hAnsi="Times New Roman"/>
          <w:szCs w:val="24"/>
          <w:lang w:val="bs-Latn-BA"/>
        </w:rPr>
        <w:t xml:space="preserve"> </w:t>
      </w:r>
      <w:r>
        <w:rPr>
          <w:rFonts w:ascii="Times New Roman" w:hAnsi="Times New Roman"/>
          <w:szCs w:val="24"/>
          <w:lang w:val="bs-Latn-BA"/>
        </w:rPr>
        <w:t>кроз</w:t>
      </w:r>
      <w:r w:rsidR="007E393E" w:rsidRPr="00295637">
        <w:rPr>
          <w:rFonts w:ascii="Times New Roman" w:hAnsi="Times New Roman"/>
          <w:szCs w:val="24"/>
          <w:lang w:val="bs-Latn-BA"/>
        </w:rPr>
        <w:t xml:space="preserve"> </w:t>
      </w:r>
      <w:r w:rsidR="00514807">
        <w:rPr>
          <w:rFonts w:ascii="Times New Roman" w:hAnsi="Times New Roman"/>
          <w:szCs w:val="24"/>
          <w:lang w:val="sr-Cyrl-BA"/>
        </w:rPr>
        <w:t>спровођење</w:t>
      </w:r>
      <w:r w:rsidR="003F24F7">
        <w:rPr>
          <w:rFonts w:ascii="Times New Roman" w:hAnsi="Times New Roman"/>
          <w:szCs w:val="24"/>
          <w:lang w:val="bs-Latn-BA"/>
        </w:rPr>
        <w:t xml:space="preserve"> </w:t>
      </w:r>
      <w:r>
        <w:rPr>
          <w:rFonts w:ascii="Times New Roman" w:hAnsi="Times New Roman"/>
          <w:szCs w:val="24"/>
          <w:lang w:val="bs-Latn-BA"/>
        </w:rPr>
        <w:t>стратешких</w:t>
      </w:r>
      <w:r w:rsidR="003F24F7">
        <w:rPr>
          <w:rFonts w:ascii="Times New Roman" w:hAnsi="Times New Roman"/>
          <w:szCs w:val="24"/>
          <w:lang w:val="bs-Latn-BA"/>
        </w:rPr>
        <w:t xml:space="preserve"> </w:t>
      </w:r>
      <w:r>
        <w:rPr>
          <w:rFonts w:ascii="Times New Roman" w:hAnsi="Times New Roman"/>
          <w:szCs w:val="24"/>
          <w:lang w:val="bs-Latn-BA"/>
        </w:rPr>
        <w:t>докумената</w:t>
      </w:r>
      <w:r w:rsidR="003F24F7">
        <w:rPr>
          <w:rFonts w:ascii="Times New Roman" w:hAnsi="Times New Roman"/>
          <w:szCs w:val="24"/>
          <w:lang w:val="bs-Latn-BA"/>
        </w:rPr>
        <w:t xml:space="preserve"> </w:t>
      </w:r>
      <w:r>
        <w:rPr>
          <w:rFonts w:ascii="Times New Roman" w:hAnsi="Times New Roman"/>
          <w:szCs w:val="24"/>
          <w:lang w:val="bs-Latn-BA"/>
        </w:rPr>
        <w:t>у</w:t>
      </w:r>
      <w:r w:rsidR="003F24F7">
        <w:rPr>
          <w:rFonts w:ascii="Times New Roman" w:hAnsi="Times New Roman"/>
          <w:szCs w:val="24"/>
          <w:lang w:val="bs-Latn-BA"/>
        </w:rPr>
        <w:t xml:space="preserve"> </w:t>
      </w:r>
      <w:r>
        <w:rPr>
          <w:rFonts w:ascii="Times New Roman" w:hAnsi="Times New Roman"/>
          <w:szCs w:val="24"/>
          <w:lang w:val="bs-Latn-BA"/>
        </w:rPr>
        <w:t>вези</w:t>
      </w:r>
      <w:r w:rsidR="003F24F7">
        <w:rPr>
          <w:rFonts w:ascii="Times New Roman" w:hAnsi="Times New Roman"/>
          <w:szCs w:val="24"/>
          <w:lang w:val="bs-Latn-BA"/>
        </w:rPr>
        <w:t xml:space="preserve"> </w:t>
      </w:r>
      <w:r>
        <w:rPr>
          <w:rFonts w:ascii="Times New Roman" w:hAnsi="Times New Roman"/>
          <w:szCs w:val="24"/>
          <w:lang w:val="bs-Latn-BA"/>
        </w:rPr>
        <w:t>са</w:t>
      </w:r>
      <w:r w:rsidR="007E393E" w:rsidRPr="00295637">
        <w:rPr>
          <w:rFonts w:ascii="Times New Roman" w:hAnsi="Times New Roman"/>
          <w:szCs w:val="24"/>
          <w:lang w:val="bs-Latn-BA"/>
        </w:rPr>
        <w:t xml:space="preserve"> </w:t>
      </w:r>
      <w:r>
        <w:rPr>
          <w:rFonts w:ascii="Times New Roman" w:hAnsi="Times New Roman"/>
          <w:szCs w:val="24"/>
          <w:lang w:val="bs-Latn-BA"/>
        </w:rPr>
        <w:t>насиљем</w:t>
      </w:r>
      <w:r w:rsidR="007E393E" w:rsidRPr="00295637">
        <w:rPr>
          <w:rFonts w:ascii="Times New Roman" w:hAnsi="Times New Roman"/>
          <w:szCs w:val="24"/>
          <w:lang w:val="bs-Latn-BA"/>
        </w:rPr>
        <w:t xml:space="preserve"> </w:t>
      </w:r>
      <w:r>
        <w:rPr>
          <w:rFonts w:ascii="Times New Roman" w:hAnsi="Times New Roman"/>
          <w:szCs w:val="24"/>
          <w:lang w:val="bs-Latn-BA"/>
        </w:rPr>
        <w:t>над</w:t>
      </w:r>
      <w:r w:rsidR="007E393E" w:rsidRPr="00295637">
        <w:rPr>
          <w:rFonts w:ascii="Times New Roman" w:hAnsi="Times New Roman"/>
          <w:szCs w:val="24"/>
          <w:lang w:val="bs-Latn-BA"/>
        </w:rPr>
        <w:t xml:space="preserve"> </w:t>
      </w:r>
      <w:r>
        <w:rPr>
          <w:rFonts w:ascii="Times New Roman" w:hAnsi="Times New Roman"/>
          <w:szCs w:val="24"/>
          <w:lang w:val="bs-Latn-BA"/>
        </w:rPr>
        <w:t>женама</w:t>
      </w:r>
      <w:r w:rsidR="007E393E" w:rsidRPr="00295637">
        <w:rPr>
          <w:rFonts w:ascii="Times New Roman" w:hAnsi="Times New Roman"/>
          <w:szCs w:val="24"/>
          <w:lang w:val="bs-Latn-BA"/>
        </w:rPr>
        <w:t xml:space="preserve">, </w:t>
      </w:r>
      <w:r>
        <w:rPr>
          <w:rFonts w:ascii="Times New Roman" w:hAnsi="Times New Roman"/>
          <w:szCs w:val="24"/>
          <w:lang w:val="bs-Latn-BA"/>
        </w:rPr>
        <w:t>насиљем</w:t>
      </w:r>
      <w:r w:rsidR="007E393E" w:rsidRPr="00295637">
        <w:rPr>
          <w:rFonts w:ascii="Times New Roman" w:hAnsi="Times New Roman"/>
          <w:szCs w:val="24"/>
          <w:lang w:val="bs-Latn-BA"/>
        </w:rPr>
        <w:t xml:space="preserve"> </w:t>
      </w:r>
      <w:r>
        <w:rPr>
          <w:rFonts w:ascii="Times New Roman" w:hAnsi="Times New Roman"/>
          <w:szCs w:val="24"/>
          <w:lang w:val="bs-Latn-BA"/>
        </w:rPr>
        <w:t>у</w:t>
      </w:r>
      <w:r w:rsidR="007E393E" w:rsidRPr="00295637">
        <w:rPr>
          <w:rFonts w:ascii="Times New Roman" w:hAnsi="Times New Roman"/>
          <w:szCs w:val="24"/>
          <w:lang w:val="bs-Latn-BA"/>
        </w:rPr>
        <w:t xml:space="preserve"> </w:t>
      </w:r>
      <w:r>
        <w:rPr>
          <w:rFonts w:ascii="Times New Roman" w:hAnsi="Times New Roman"/>
          <w:szCs w:val="24"/>
          <w:lang w:val="bs-Latn-BA"/>
        </w:rPr>
        <w:t>породици</w:t>
      </w:r>
      <w:r w:rsidR="007E393E" w:rsidRPr="00295637">
        <w:rPr>
          <w:rFonts w:ascii="Times New Roman" w:hAnsi="Times New Roman"/>
          <w:szCs w:val="24"/>
          <w:lang w:val="bs-Latn-BA"/>
        </w:rPr>
        <w:t xml:space="preserve"> </w:t>
      </w:r>
      <w:r>
        <w:rPr>
          <w:rFonts w:ascii="Times New Roman" w:hAnsi="Times New Roman"/>
          <w:szCs w:val="24"/>
          <w:lang w:val="bs-Latn-BA"/>
        </w:rPr>
        <w:t>и</w:t>
      </w:r>
      <w:r w:rsidR="007E393E" w:rsidRPr="00295637">
        <w:rPr>
          <w:rFonts w:ascii="Times New Roman" w:hAnsi="Times New Roman"/>
          <w:szCs w:val="24"/>
          <w:lang w:val="bs-Latn-BA"/>
        </w:rPr>
        <w:t xml:space="preserve"> </w:t>
      </w:r>
      <w:r>
        <w:rPr>
          <w:rFonts w:ascii="Times New Roman" w:hAnsi="Times New Roman"/>
          <w:szCs w:val="24"/>
          <w:lang w:val="bs-Latn-BA"/>
        </w:rPr>
        <w:t>повезивање</w:t>
      </w:r>
      <w:r w:rsidR="007E393E" w:rsidRPr="00295637">
        <w:rPr>
          <w:rFonts w:ascii="Times New Roman" w:hAnsi="Times New Roman"/>
          <w:szCs w:val="24"/>
          <w:lang w:val="bs-Latn-BA"/>
        </w:rPr>
        <w:t xml:space="preserve"> </w:t>
      </w:r>
      <w:r>
        <w:rPr>
          <w:rFonts w:ascii="Times New Roman" w:hAnsi="Times New Roman"/>
          <w:szCs w:val="24"/>
          <w:lang w:val="bs-Latn-BA"/>
        </w:rPr>
        <w:t>ове</w:t>
      </w:r>
      <w:r w:rsidR="007E393E" w:rsidRPr="00295637">
        <w:rPr>
          <w:rFonts w:ascii="Times New Roman" w:hAnsi="Times New Roman"/>
          <w:szCs w:val="24"/>
          <w:lang w:val="bs-Latn-BA"/>
        </w:rPr>
        <w:t xml:space="preserve"> </w:t>
      </w:r>
      <w:r>
        <w:rPr>
          <w:rFonts w:ascii="Times New Roman" w:hAnsi="Times New Roman"/>
          <w:szCs w:val="24"/>
          <w:lang w:val="bs-Latn-BA"/>
        </w:rPr>
        <w:t>области</w:t>
      </w:r>
      <w:r w:rsidR="003F24F7">
        <w:rPr>
          <w:rFonts w:ascii="Times New Roman" w:hAnsi="Times New Roman"/>
          <w:szCs w:val="24"/>
          <w:lang w:val="bs-Latn-BA"/>
        </w:rPr>
        <w:t xml:space="preserve"> </w:t>
      </w:r>
      <w:r>
        <w:rPr>
          <w:rFonts w:ascii="Times New Roman" w:hAnsi="Times New Roman"/>
          <w:szCs w:val="24"/>
          <w:lang w:val="bs-Latn-BA"/>
        </w:rPr>
        <w:t>са</w:t>
      </w:r>
      <w:r w:rsidR="007E393E" w:rsidRPr="00295637">
        <w:rPr>
          <w:rFonts w:ascii="Times New Roman" w:hAnsi="Times New Roman"/>
          <w:szCs w:val="24"/>
          <w:lang w:val="bs-Latn-BA"/>
        </w:rPr>
        <w:t xml:space="preserve"> </w:t>
      </w:r>
      <w:r>
        <w:rPr>
          <w:rFonts w:ascii="Times New Roman" w:hAnsi="Times New Roman"/>
          <w:szCs w:val="24"/>
          <w:lang w:val="bs-Latn-BA"/>
        </w:rPr>
        <w:t>другим</w:t>
      </w:r>
      <w:r w:rsidR="007E393E" w:rsidRPr="00295637">
        <w:rPr>
          <w:rFonts w:ascii="Times New Roman" w:hAnsi="Times New Roman"/>
          <w:szCs w:val="24"/>
          <w:lang w:val="bs-Latn-BA"/>
        </w:rPr>
        <w:t xml:space="preserve"> </w:t>
      </w:r>
      <w:r>
        <w:rPr>
          <w:rFonts w:ascii="Times New Roman" w:hAnsi="Times New Roman"/>
          <w:szCs w:val="24"/>
          <w:lang w:val="bs-Latn-BA"/>
        </w:rPr>
        <w:t>развојним</w:t>
      </w:r>
      <w:r w:rsidR="007E393E" w:rsidRPr="00295637">
        <w:rPr>
          <w:rFonts w:ascii="Times New Roman" w:hAnsi="Times New Roman"/>
          <w:szCs w:val="24"/>
          <w:lang w:val="bs-Latn-BA"/>
        </w:rPr>
        <w:t xml:space="preserve"> </w:t>
      </w:r>
      <w:r>
        <w:rPr>
          <w:rFonts w:ascii="Times New Roman" w:hAnsi="Times New Roman"/>
          <w:szCs w:val="24"/>
          <w:lang w:val="bs-Latn-BA"/>
        </w:rPr>
        <w:t>процесима</w:t>
      </w:r>
      <w:r w:rsidR="007E393E" w:rsidRPr="00295637">
        <w:rPr>
          <w:rFonts w:ascii="Times New Roman" w:hAnsi="Times New Roman"/>
          <w:szCs w:val="24"/>
          <w:lang w:val="bs-Latn-BA"/>
        </w:rPr>
        <w:t xml:space="preserve">. </w:t>
      </w:r>
      <w:r>
        <w:rPr>
          <w:rFonts w:ascii="Times New Roman" w:hAnsi="Times New Roman"/>
          <w:szCs w:val="24"/>
          <w:lang w:val="bs-Latn-BA"/>
        </w:rPr>
        <w:t>У</w:t>
      </w:r>
      <w:r w:rsidR="00505388" w:rsidRPr="00295637">
        <w:rPr>
          <w:rFonts w:ascii="Times New Roman" w:hAnsi="Times New Roman"/>
          <w:szCs w:val="24"/>
          <w:lang w:val="bs-Latn-BA"/>
        </w:rPr>
        <w:t xml:space="preserve"> </w:t>
      </w:r>
      <w:r>
        <w:rPr>
          <w:rFonts w:ascii="Times New Roman" w:hAnsi="Times New Roman"/>
          <w:szCs w:val="24"/>
          <w:lang w:val="bs-Latn-BA"/>
        </w:rPr>
        <w:t>БиХ</w:t>
      </w:r>
      <w:r w:rsidR="00505388" w:rsidRPr="00295637">
        <w:rPr>
          <w:rFonts w:ascii="Times New Roman" w:hAnsi="Times New Roman"/>
          <w:szCs w:val="24"/>
          <w:lang w:val="bs-Latn-BA"/>
        </w:rPr>
        <w:t xml:space="preserve"> </w:t>
      </w:r>
      <w:r>
        <w:rPr>
          <w:rFonts w:ascii="Times New Roman" w:hAnsi="Times New Roman"/>
          <w:szCs w:val="24"/>
          <w:lang w:val="bs-Latn-BA"/>
        </w:rPr>
        <w:t>тренутно</w:t>
      </w:r>
      <w:r w:rsidR="00505388" w:rsidRPr="00295637">
        <w:rPr>
          <w:rFonts w:ascii="Times New Roman" w:hAnsi="Times New Roman"/>
          <w:szCs w:val="24"/>
          <w:lang w:val="bs-Latn-BA"/>
        </w:rPr>
        <w:t xml:space="preserve"> </w:t>
      </w:r>
      <w:r>
        <w:rPr>
          <w:rFonts w:ascii="Times New Roman" w:hAnsi="Times New Roman"/>
          <w:szCs w:val="24"/>
          <w:lang w:val="bs-Latn-BA"/>
        </w:rPr>
        <w:t>постоји</w:t>
      </w:r>
      <w:r w:rsidR="00505388" w:rsidRPr="00295637">
        <w:rPr>
          <w:rFonts w:ascii="Times New Roman" w:hAnsi="Times New Roman"/>
          <w:szCs w:val="24"/>
          <w:lang w:val="bs-Latn-BA"/>
        </w:rPr>
        <w:t xml:space="preserve"> </w:t>
      </w:r>
      <w:r>
        <w:rPr>
          <w:rFonts w:ascii="Times New Roman" w:hAnsi="Times New Roman"/>
          <w:szCs w:val="24"/>
          <w:lang w:val="bs-Latn-BA"/>
        </w:rPr>
        <w:t>осам</w:t>
      </w:r>
      <w:r w:rsidR="00505388" w:rsidRPr="00295637">
        <w:rPr>
          <w:rFonts w:ascii="Times New Roman" w:hAnsi="Times New Roman"/>
          <w:szCs w:val="24"/>
          <w:lang w:val="bs-Latn-BA"/>
        </w:rPr>
        <w:t xml:space="preserve"> </w:t>
      </w:r>
      <w:r>
        <w:rPr>
          <w:rFonts w:ascii="Times New Roman" w:hAnsi="Times New Roman"/>
          <w:szCs w:val="24"/>
          <w:lang w:val="bs-Latn-BA"/>
        </w:rPr>
        <w:t>сигурних</w:t>
      </w:r>
      <w:r w:rsidR="00505388" w:rsidRPr="00295637">
        <w:rPr>
          <w:rFonts w:ascii="Times New Roman" w:hAnsi="Times New Roman"/>
          <w:szCs w:val="24"/>
          <w:lang w:val="bs-Latn-BA"/>
        </w:rPr>
        <w:t xml:space="preserve"> </w:t>
      </w:r>
      <w:r>
        <w:rPr>
          <w:rFonts w:ascii="Times New Roman" w:hAnsi="Times New Roman"/>
          <w:szCs w:val="24"/>
          <w:lang w:val="bs-Latn-BA"/>
        </w:rPr>
        <w:t>кућа</w:t>
      </w:r>
      <w:r w:rsidR="00505388" w:rsidRPr="00295637">
        <w:rPr>
          <w:rFonts w:ascii="Times New Roman" w:hAnsi="Times New Roman"/>
          <w:szCs w:val="24"/>
          <w:lang w:val="bs-Latn-BA"/>
        </w:rPr>
        <w:t xml:space="preserve"> </w:t>
      </w:r>
      <w:r>
        <w:rPr>
          <w:rFonts w:ascii="Times New Roman" w:hAnsi="Times New Roman"/>
          <w:szCs w:val="24"/>
          <w:lang w:val="bs-Latn-BA"/>
        </w:rPr>
        <w:t>које</w:t>
      </w:r>
      <w:r w:rsidR="00505388" w:rsidRPr="00295637">
        <w:rPr>
          <w:rFonts w:ascii="Times New Roman" w:hAnsi="Times New Roman"/>
          <w:szCs w:val="24"/>
          <w:lang w:val="bs-Latn-BA"/>
        </w:rPr>
        <w:t xml:space="preserve"> </w:t>
      </w:r>
      <w:r>
        <w:rPr>
          <w:rFonts w:ascii="Times New Roman" w:hAnsi="Times New Roman"/>
          <w:szCs w:val="24"/>
          <w:lang w:val="bs-Latn-BA"/>
        </w:rPr>
        <w:t>дјелују</w:t>
      </w:r>
      <w:r w:rsidR="00505388" w:rsidRPr="00295637">
        <w:rPr>
          <w:rFonts w:ascii="Times New Roman" w:hAnsi="Times New Roman"/>
          <w:szCs w:val="24"/>
          <w:lang w:val="bs-Latn-BA"/>
        </w:rPr>
        <w:t xml:space="preserve"> </w:t>
      </w:r>
      <w:r>
        <w:rPr>
          <w:rFonts w:ascii="Times New Roman" w:hAnsi="Times New Roman"/>
          <w:szCs w:val="24"/>
          <w:lang w:val="bs-Latn-BA"/>
        </w:rPr>
        <w:t>унутар</w:t>
      </w:r>
      <w:r w:rsidR="00505388" w:rsidRPr="00295637">
        <w:rPr>
          <w:rFonts w:ascii="Times New Roman" w:hAnsi="Times New Roman"/>
          <w:szCs w:val="24"/>
          <w:lang w:val="bs-Latn-BA"/>
        </w:rPr>
        <w:t xml:space="preserve"> </w:t>
      </w:r>
      <w:r>
        <w:rPr>
          <w:rFonts w:ascii="Times New Roman" w:hAnsi="Times New Roman"/>
          <w:szCs w:val="24"/>
          <w:lang w:val="bs-Latn-BA"/>
        </w:rPr>
        <w:t>невладиних</w:t>
      </w:r>
      <w:r w:rsidR="00505388" w:rsidRPr="00295637">
        <w:rPr>
          <w:rFonts w:ascii="Times New Roman" w:hAnsi="Times New Roman"/>
          <w:szCs w:val="24"/>
          <w:lang w:val="bs-Latn-BA"/>
        </w:rPr>
        <w:t xml:space="preserve"> </w:t>
      </w:r>
      <w:r>
        <w:rPr>
          <w:rFonts w:ascii="Times New Roman" w:hAnsi="Times New Roman"/>
          <w:szCs w:val="24"/>
          <w:lang w:val="bs-Latn-BA"/>
        </w:rPr>
        <w:t>организација</w:t>
      </w:r>
      <w:r w:rsidR="00505388" w:rsidRPr="00295637">
        <w:rPr>
          <w:rFonts w:ascii="Times New Roman" w:hAnsi="Times New Roman"/>
          <w:szCs w:val="24"/>
          <w:lang w:val="bs-Latn-BA"/>
        </w:rPr>
        <w:t xml:space="preserve">, </w:t>
      </w:r>
      <w:r>
        <w:rPr>
          <w:rFonts w:ascii="Times New Roman" w:hAnsi="Times New Roman"/>
          <w:szCs w:val="24"/>
          <w:lang w:val="bs-Latn-BA"/>
        </w:rPr>
        <w:t>са</w:t>
      </w:r>
      <w:r w:rsidR="00505388" w:rsidRPr="00295637">
        <w:rPr>
          <w:rFonts w:ascii="Times New Roman" w:hAnsi="Times New Roman"/>
          <w:szCs w:val="24"/>
          <w:lang w:val="bs-Latn-BA"/>
        </w:rPr>
        <w:t xml:space="preserve"> </w:t>
      </w:r>
      <w:r>
        <w:rPr>
          <w:rFonts w:ascii="Times New Roman" w:hAnsi="Times New Roman"/>
          <w:szCs w:val="24"/>
          <w:lang w:val="bs-Latn-BA"/>
        </w:rPr>
        <w:t>смјештајним</w:t>
      </w:r>
      <w:r w:rsidR="00505388" w:rsidRPr="00295637">
        <w:rPr>
          <w:rFonts w:ascii="Times New Roman" w:hAnsi="Times New Roman"/>
          <w:szCs w:val="24"/>
          <w:lang w:val="bs-Latn-BA"/>
        </w:rPr>
        <w:t xml:space="preserve"> </w:t>
      </w:r>
      <w:r>
        <w:rPr>
          <w:rFonts w:ascii="Times New Roman" w:hAnsi="Times New Roman"/>
          <w:szCs w:val="24"/>
          <w:lang w:val="bs-Latn-BA"/>
        </w:rPr>
        <w:t>капацитетима</w:t>
      </w:r>
      <w:r w:rsidR="00505388" w:rsidRPr="00295637">
        <w:rPr>
          <w:rFonts w:ascii="Times New Roman" w:hAnsi="Times New Roman"/>
          <w:szCs w:val="24"/>
          <w:lang w:val="bs-Latn-BA"/>
        </w:rPr>
        <w:t xml:space="preserve"> </w:t>
      </w:r>
      <w:r>
        <w:rPr>
          <w:rFonts w:ascii="Times New Roman" w:hAnsi="Times New Roman"/>
          <w:szCs w:val="24"/>
          <w:lang w:val="bs-Latn-BA"/>
        </w:rPr>
        <w:t>од</w:t>
      </w:r>
      <w:r w:rsidR="007701C2" w:rsidRPr="00295637">
        <w:rPr>
          <w:rFonts w:ascii="Times New Roman" w:hAnsi="Times New Roman"/>
          <w:szCs w:val="24"/>
          <w:lang w:val="bs-Latn-BA"/>
        </w:rPr>
        <w:t xml:space="preserve"> </w:t>
      </w:r>
      <w:r w:rsidR="00505388" w:rsidRPr="00295637">
        <w:rPr>
          <w:rFonts w:ascii="Times New Roman" w:hAnsi="Times New Roman"/>
          <w:szCs w:val="24"/>
          <w:lang w:val="bs-Latn-BA"/>
        </w:rPr>
        <w:t xml:space="preserve">179 </w:t>
      </w:r>
      <w:r>
        <w:rPr>
          <w:rFonts w:ascii="Times New Roman" w:hAnsi="Times New Roman"/>
          <w:szCs w:val="24"/>
          <w:lang w:val="bs-Latn-BA"/>
        </w:rPr>
        <w:t>кревета</w:t>
      </w:r>
      <w:r w:rsidR="00505388" w:rsidRPr="00295637">
        <w:rPr>
          <w:rFonts w:ascii="Times New Roman" w:hAnsi="Times New Roman"/>
          <w:szCs w:val="24"/>
          <w:lang w:val="bs-Latn-BA"/>
        </w:rPr>
        <w:t xml:space="preserve">. </w:t>
      </w:r>
      <w:r>
        <w:rPr>
          <w:rFonts w:ascii="Times New Roman" w:hAnsi="Times New Roman"/>
          <w:szCs w:val="24"/>
          <w:lang w:val="bs-Latn-BA"/>
        </w:rPr>
        <w:t>Биљежи</w:t>
      </w:r>
      <w:r w:rsidR="00505388" w:rsidRPr="00295637">
        <w:rPr>
          <w:rFonts w:ascii="Times New Roman" w:hAnsi="Times New Roman"/>
          <w:szCs w:val="24"/>
          <w:lang w:val="bs-Latn-BA"/>
        </w:rPr>
        <w:t xml:space="preserve"> </w:t>
      </w:r>
      <w:r>
        <w:rPr>
          <w:rFonts w:ascii="Times New Roman" w:hAnsi="Times New Roman"/>
          <w:szCs w:val="24"/>
          <w:lang w:val="bs-Latn-BA"/>
        </w:rPr>
        <w:t>се</w:t>
      </w:r>
      <w:r w:rsidR="00505388" w:rsidRPr="00295637">
        <w:rPr>
          <w:rFonts w:ascii="Times New Roman" w:hAnsi="Times New Roman"/>
          <w:szCs w:val="24"/>
          <w:lang w:val="bs-Latn-BA"/>
        </w:rPr>
        <w:t xml:space="preserve"> </w:t>
      </w:r>
      <w:r>
        <w:rPr>
          <w:rFonts w:ascii="Times New Roman" w:hAnsi="Times New Roman"/>
          <w:szCs w:val="24"/>
          <w:lang w:val="bs-Latn-BA"/>
        </w:rPr>
        <w:t>континуирани</w:t>
      </w:r>
      <w:r w:rsidR="007701C2" w:rsidRPr="00295637">
        <w:rPr>
          <w:rFonts w:ascii="Times New Roman" w:hAnsi="Times New Roman"/>
          <w:szCs w:val="24"/>
          <w:lang w:val="bs-Latn-BA"/>
        </w:rPr>
        <w:t xml:space="preserve"> </w:t>
      </w:r>
      <w:r>
        <w:rPr>
          <w:rFonts w:ascii="Times New Roman" w:hAnsi="Times New Roman"/>
          <w:szCs w:val="24"/>
          <w:lang w:val="bs-Latn-BA"/>
        </w:rPr>
        <w:t>напредак</w:t>
      </w:r>
      <w:r w:rsidR="00505388" w:rsidRPr="00295637">
        <w:rPr>
          <w:rFonts w:ascii="Times New Roman" w:hAnsi="Times New Roman"/>
          <w:szCs w:val="24"/>
          <w:lang w:val="bs-Latn-BA"/>
        </w:rPr>
        <w:t xml:space="preserve"> </w:t>
      </w:r>
      <w:r>
        <w:rPr>
          <w:rFonts w:ascii="Times New Roman" w:hAnsi="Times New Roman"/>
          <w:szCs w:val="24"/>
          <w:lang w:val="bs-Latn-BA"/>
        </w:rPr>
        <w:t>у</w:t>
      </w:r>
      <w:r w:rsidR="00505388" w:rsidRPr="00295637">
        <w:rPr>
          <w:rFonts w:ascii="Times New Roman" w:hAnsi="Times New Roman"/>
          <w:szCs w:val="24"/>
          <w:lang w:val="bs-Latn-BA"/>
        </w:rPr>
        <w:t xml:space="preserve"> </w:t>
      </w:r>
      <w:r>
        <w:rPr>
          <w:rFonts w:ascii="Times New Roman" w:hAnsi="Times New Roman"/>
          <w:szCs w:val="24"/>
          <w:lang w:val="bs-Latn-BA"/>
        </w:rPr>
        <w:t>процесу</w:t>
      </w:r>
      <w:r w:rsidR="00505388" w:rsidRPr="00295637">
        <w:rPr>
          <w:rFonts w:ascii="Times New Roman" w:hAnsi="Times New Roman"/>
          <w:szCs w:val="24"/>
          <w:lang w:val="bs-Latn-BA"/>
        </w:rPr>
        <w:t xml:space="preserve"> </w:t>
      </w:r>
      <w:r>
        <w:rPr>
          <w:rFonts w:ascii="Times New Roman" w:hAnsi="Times New Roman"/>
          <w:szCs w:val="24"/>
          <w:lang w:val="bs-Latn-BA"/>
        </w:rPr>
        <w:t>усаглашавања</w:t>
      </w:r>
      <w:r w:rsidR="00505388" w:rsidRPr="00295637">
        <w:rPr>
          <w:rFonts w:ascii="Times New Roman" w:hAnsi="Times New Roman"/>
          <w:szCs w:val="24"/>
          <w:lang w:val="bs-Latn-BA"/>
        </w:rPr>
        <w:t xml:space="preserve"> </w:t>
      </w:r>
      <w:r>
        <w:rPr>
          <w:rFonts w:ascii="Times New Roman" w:hAnsi="Times New Roman"/>
          <w:szCs w:val="24"/>
          <w:lang w:val="bs-Latn-BA"/>
        </w:rPr>
        <w:t>закона</w:t>
      </w:r>
      <w:r w:rsidR="00505388" w:rsidRPr="00295637">
        <w:rPr>
          <w:rFonts w:ascii="Times New Roman" w:hAnsi="Times New Roman"/>
          <w:szCs w:val="24"/>
          <w:lang w:val="bs-Latn-BA"/>
        </w:rPr>
        <w:t xml:space="preserve"> </w:t>
      </w:r>
      <w:r>
        <w:rPr>
          <w:rFonts w:ascii="Times New Roman" w:hAnsi="Times New Roman"/>
          <w:szCs w:val="24"/>
          <w:lang w:val="bs-Latn-BA"/>
        </w:rPr>
        <w:t>о</w:t>
      </w:r>
      <w:r w:rsidR="00505388" w:rsidRPr="00295637">
        <w:rPr>
          <w:rFonts w:ascii="Times New Roman" w:hAnsi="Times New Roman"/>
          <w:szCs w:val="24"/>
          <w:lang w:val="bs-Latn-BA"/>
        </w:rPr>
        <w:t xml:space="preserve"> </w:t>
      </w:r>
      <w:r>
        <w:rPr>
          <w:rFonts w:ascii="Times New Roman" w:hAnsi="Times New Roman"/>
          <w:szCs w:val="24"/>
          <w:lang w:val="bs-Latn-BA"/>
        </w:rPr>
        <w:t>заштити</w:t>
      </w:r>
      <w:r w:rsidR="00505388" w:rsidRPr="00295637">
        <w:rPr>
          <w:rFonts w:ascii="Times New Roman" w:hAnsi="Times New Roman"/>
          <w:szCs w:val="24"/>
          <w:lang w:val="bs-Latn-BA"/>
        </w:rPr>
        <w:t xml:space="preserve"> </w:t>
      </w:r>
      <w:r>
        <w:rPr>
          <w:rFonts w:ascii="Times New Roman" w:hAnsi="Times New Roman"/>
          <w:szCs w:val="24"/>
          <w:lang w:val="bs-Latn-BA"/>
        </w:rPr>
        <w:t>од</w:t>
      </w:r>
      <w:r w:rsidR="00505388" w:rsidRPr="00295637">
        <w:rPr>
          <w:rFonts w:ascii="Times New Roman" w:hAnsi="Times New Roman"/>
          <w:szCs w:val="24"/>
          <w:lang w:val="bs-Latn-BA"/>
        </w:rPr>
        <w:t xml:space="preserve"> </w:t>
      </w:r>
      <w:r>
        <w:rPr>
          <w:rFonts w:ascii="Times New Roman" w:hAnsi="Times New Roman"/>
          <w:szCs w:val="24"/>
          <w:lang w:val="bs-Latn-BA"/>
        </w:rPr>
        <w:t>насиља</w:t>
      </w:r>
      <w:r w:rsidR="00505388" w:rsidRPr="00295637">
        <w:rPr>
          <w:rFonts w:ascii="Times New Roman" w:hAnsi="Times New Roman"/>
          <w:szCs w:val="24"/>
          <w:lang w:val="bs-Latn-BA"/>
        </w:rPr>
        <w:t xml:space="preserve"> </w:t>
      </w:r>
      <w:r>
        <w:rPr>
          <w:rFonts w:ascii="Times New Roman" w:hAnsi="Times New Roman"/>
          <w:szCs w:val="24"/>
          <w:lang w:val="bs-Latn-BA"/>
        </w:rPr>
        <w:t>у</w:t>
      </w:r>
      <w:r w:rsidR="00505388" w:rsidRPr="00295637">
        <w:rPr>
          <w:rFonts w:ascii="Times New Roman" w:hAnsi="Times New Roman"/>
          <w:szCs w:val="24"/>
          <w:lang w:val="bs-Latn-BA"/>
        </w:rPr>
        <w:t xml:space="preserve"> </w:t>
      </w:r>
      <w:r>
        <w:rPr>
          <w:rFonts w:ascii="Times New Roman" w:hAnsi="Times New Roman"/>
          <w:szCs w:val="24"/>
          <w:lang w:val="bs-Latn-BA"/>
        </w:rPr>
        <w:t>породици</w:t>
      </w:r>
      <w:r w:rsidR="00505388" w:rsidRPr="00295637">
        <w:rPr>
          <w:rFonts w:ascii="Times New Roman" w:hAnsi="Times New Roman"/>
          <w:szCs w:val="24"/>
          <w:lang w:val="bs-Latn-BA"/>
        </w:rPr>
        <w:t xml:space="preserve"> </w:t>
      </w:r>
      <w:r>
        <w:rPr>
          <w:rFonts w:ascii="Times New Roman" w:hAnsi="Times New Roman"/>
          <w:szCs w:val="24"/>
          <w:lang w:val="bs-Latn-BA"/>
        </w:rPr>
        <w:t>са</w:t>
      </w:r>
      <w:r w:rsidR="00505388" w:rsidRPr="00295637">
        <w:rPr>
          <w:rFonts w:ascii="Times New Roman" w:hAnsi="Times New Roman"/>
          <w:szCs w:val="24"/>
          <w:lang w:val="bs-Latn-BA"/>
        </w:rPr>
        <w:t xml:space="preserve"> </w:t>
      </w:r>
      <w:r>
        <w:rPr>
          <w:rFonts w:ascii="Times New Roman" w:hAnsi="Times New Roman"/>
          <w:szCs w:val="24"/>
          <w:lang w:val="bs-Latn-BA"/>
        </w:rPr>
        <w:t>Истанбулском</w:t>
      </w:r>
      <w:r w:rsidR="00505388" w:rsidRPr="00295637">
        <w:rPr>
          <w:rFonts w:ascii="Times New Roman" w:hAnsi="Times New Roman"/>
          <w:szCs w:val="24"/>
          <w:lang w:val="bs-Latn-BA"/>
        </w:rPr>
        <w:t xml:space="preserve"> </w:t>
      </w:r>
      <w:r>
        <w:rPr>
          <w:rFonts w:ascii="Times New Roman" w:hAnsi="Times New Roman"/>
          <w:szCs w:val="24"/>
          <w:lang w:val="bs-Latn-BA"/>
        </w:rPr>
        <w:t>конвенцијом</w:t>
      </w:r>
      <w:r w:rsidR="00131D7D">
        <w:rPr>
          <w:rFonts w:ascii="Times New Roman" w:hAnsi="Times New Roman"/>
          <w:szCs w:val="24"/>
          <w:lang w:val="bs-Latn-BA"/>
        </w:rPr>
        <w:t>,</w:t>
      </w:r>
      <w:r w:rsidR="00505388" w:rsidRPr="00295637">
        <w:rPr>
          <w:rFonts w:ascii="Times New Roman" w:hAnsi="Times New Roman"/>
          <w:szCs w:val="24"/>
          <w:lang w:val="bs-Latn-BA"/>
        </w:rPr>
        <w:t xml:space="preserve"> </w:t>
      </w:r>
      <w:r>
        <w:rPr>
          <w:rFonts w:ascii="Times New Roman" w:hAnsi="Times New Roman"/>
          <w:szCs w:val="24"/>
          <w:lang w:val="bs-Latn-BA"/>
        </w:rPr>
        <w:t>а</w:t>
      </w:r>
      <w:r w:rsidR="00505388" w:rsidRPr="00295637">
        <w:rPr>
          <w:rFonts w:ascii="Times New Roman" w:hAnsi="Times New Roman"/>
          <w:szCs w:val="24"/>
          <w:lang w:val="bs-Latn-BA"/>
        </w:rPr>
        <w:t xml:space="preserve"> </w:t>
      </w:r>
      <w:r>
        <w:rPr>
          <w:rFonts w:ascii="Times New Roman" w:hAnsi="Times New Roman"/>
          <w:szCs w:val="24"/>
          <w:lang w:val="bs-Latn-BA"/>
        </w:rPr>
        <w:t>јача</w:t>
      </w:r>
      <w:r w:rsidR="00505388" w:rsidRPr="00295637">
        <w:rPr>
          <w:rFonts w:ascii="Times New Roman" w:hAnsi="Times New Roman"/>
          <w:szCs w:val="24"/>
          <w:lang w:val="bs-Latn-BA"/>
        </w:rPr>
        <w:t xml:space="preserve"> </w:t>
      </w:r>
      <w:r>
        <w:rPr>
          <w:rFonts w:ascii="Times New Roman" w:hAnsi="Times New Roman"/>
          <w:szCs w:val="24"/>
          <w:lang w:val="bs-Latn-BA"/>
        </w:rPr>
        <w:t>улога</w:t>
      </w:r>
      <w:r w:rsidR="00505388" w:rsidRPr="00295637">
        <w:rPr>
          <w:rFonts w:ascii="Times New Roman" w:hAnsi="Times New Roman"/>
          <w:szCs w:val="24"/>
          <w:lang w:val="bs-Latn-BA"/>
        </w:rPr>
        <w:t xml:space="preserve"> </w:t>
      </w:r>
      <w:r>
        <w:rPr>
          <w:rFonts w:ascii="Times New Roman" w:hAnsi="Times New Roman"/>
          <w:szCs w:val="24"/>
          <w:lang w:val="bs-Latn-BA"/>
        </w:rPr>
        <w:t>мулти</w:t>
      </w:r>
      <w:r w:rsidR="00505388" w:rsidRPr="00295637">
        <w:rPr>
          <w:rFonts w:ascii="Times New Roman" w:hAnsi="Times New Roman"/>
          <w:szCs w:val="24"/>
          <w:lang w:val="bs-Latn-BA"/>
        </w:rPr>
        <w:t>-</w:t>
      </w:r>
      <w:r>
        <w:rPr>
          <w:rFonts w:ascii="Times New Roman" w:hAnsi="Times New Roman"/>
          <w:szCs w:val="24"/>
          <w:lang w:val="bs-Latn-BA"/>
        </w:rPr>
        <w:t>секторских</w:t>
      </w:r>
      <w:r w:rsidR="00505388" w:rsidRPr="00295637">
        <w:rPr>
          <w:rFonts w:ascii="Times New Roman" w:hAnsi="Times New Roman"/>
          <w:szCs w:val="24"/>
          <w:lang w:val="bs-Latn-BA"/>
        </w:rPr>
        <w:t xml:space="preserve"> </w:t>
      </w:r>
      <w:r>
        <w:rPr>
          <w:rFonts w:ascii="Times New Roman" w:hAnsi="Times New Roman"/>
          <w:szCs w:val="24"/>
          <w:lang w:val="bs-Latn-BA"/>
        </w:rPr>
        <w:t>тимова</w:t>
      </w:r>
      <w:r w:rsidR="00505388" w:rsidRPr="00295637">
        <w:rPr>
          <w:rFonts w:ascii="Times New Roman" w:hAnsi="Times New Roman"/>
          <w:szCs w:val="24"/>
          <w:lang w:val="bs-Latn-BA"/>
        </w:rPr>
        <w:t xml:space="preserve"> </w:t>
      </w:r>
      <w:r>
        <w:rPr>
          <w:rFonts w:ascii="Times New Roman" w:hAnsi="Times New Roman"/>
          <w:szCs w:val="24"/>
          <w:lang w:val="bs-Latn-BA"/>
        </w:rPr>
        <w:t>у</w:t>
      </w:r>
      <w:r w:rsidR="00505388" w:rsidRPr="00295637">
        <w:rPr>
          <w:rFonts w:ascii="Times New Roman" w:hAnsi="Times New Roman"/>
          <w:szCs w:val="24"/>
          <w:lang w:val="bs-Latn-BA"/>
        </w:rPr>
        <w:t xml:space="preserve"> </w:t>
      </w:r>
      <w:r>
        <w:rPr>
          <w:rFonts w:ascii="Times New Roman" w:hAnsi="Times New Roman"/>
          <w:szCs w:val="24"/>
          <w:lang w:val="bs-Latn-BA"/>
        </w:rPr>
        <w:t>превенцији</w:t>
      </w:r>
      <w:r w:rsidR="00505388" w:rsidRPr="00295637">
        <w:rPr>
          <w:rFonts w:ascii="Times New Roman" w:hAnsi="Times New Roman"/>
          <w:szCs w:val="24"/>
          <w:lang w:val="bs-Latn-BA"/>
        </w:rPr>
        <w:t xml:space="preserve"> </w:t>
      </w:r>
      <w:r>
        <w:rPr>
          <w:rFonts w:ascii="Times New Roman" w:hAnsi="Times New Roman"/>
          <w:szCs w:val="24"/>
          <w:lang w:val="bs-Latn-BA"/>
        </w:rPr>
        <w:t>и</w:t>
      </w:r>
      <w:r w:rsidR="00505388" w:rsidRPr="00295637">
        <w:rPr>
          <w:rFonts w:ascii="Times New Roman" w:hAnsi="Times New Roman"/>
          <w:szCs w:val="24"/>
          <w:lang w:val="bs-Latn-BA"/>
        </w:rPr>
        <w:t xml:space="preserve"> </w:t>
      </w:r>
      <w:r>
        <w:rPr>
          <w:rFonts w:ascii="Times New Roman" w:hAnsi="Times New Roman"/>
          <w:szCs w:val="24"/>
          <w:lang w:val="bs-Latn-BA"/>
        </w:rPr>
        <w:t>заштити</w:t>
      </w:r>
      <w:r w:rsidR="00505388" w:rsidRPr="00295637">
        <w:rPr>
          <w:rFonts w:ascii="Times New Roman" w:hAnsi="Times New Roman"/>
          <w:szCs w:val="24"/>
          <w:lang w:val="bs-Latn-BA"/>
        </w:rPr>
        <w:t xml:space="preserve"> </w:t>
      </w:r>
      <w:r>
        <w:rPr>
          <w:rFonts w:ascii="Times New Roman" w:hAnsi="Times New Roman"/>
          <w:szCs w:val="24"/>
          <w:lang w:val="bs-Latn-BA"/>
        </w:rPr>
        <w:t>жртава</w:t>
      </w:r>
      <w:r w:rsidR="00505388" w:rsidRPr="00295637">
        <w:rPr>
          <w:rFonts w:ascii="Times New Roman" w:hAnsi="Times New Roman"/>
          <w:szCs w:val="24"/>
          <w:lang w:val="bs-Latn-BA"/>
        </w:rPr>
        <w:t xml:space="preserve"> </w:t>
      </w:r>
      <w:r>
        <w:rPr>
          <w:rFonts w:ascii="Times New Roman" w:hAnsi="Times New Roman"/>
          <w:szCs w:val="24"/>
          <w:lang w:val="bs-Latn-BA"/>
        </w:rPr>
        <w:t>од</w:t>
      </w:r>
      <w:r w:rsidR="00505388" w:rsidRPr="00295637">
        <w:rPr>
          <w:rFonts w:ascii="Times New Roman" w:hAnsi="Times New Roman"/>
          <w:szCs w:val="24"/>
          <w:lang w:val="bs-Latn-BA"/>
        </w:rPr>
        <w:t xml:space="preserve"> </w:t>
      </w:r>
      <w:r>
        <w:rPr>
          <w:rFonts w:ascii="Times New Roman" w:hAnsi="Times New Roman"/>
          <w:szCs w:val="24"/>
          <w:lang w:val="bs-Latn-BA"/>
        </w:rPr>
        <w:t>насиља</w:t>
      </w:r>
      <w:r w:rsidR="000604B0" w:rsidRPr="00295637">
        <w:rPr>
          <w:rFonts w:ascii="Times New Roman" w:hAnsi="Times New Roman"/>
          <w:szCs w:val="24"/>
          <w:lang w:val="bs-Latn-BA"/>
        </w:rPr>
        <w:t>.</w:t>
      </w:r>
    </w:p>
    <w:p w:rsidR="00505388" w:rsidRPr="00295637" w:rsidRDefault="00505388" w:rsidP="0086268D">
      <w:pPr>
        <w:autoSpaceDE w:val="0"/>
        <w:autoSpaceDN w:val="0"/>
        <w:adjustRightInd w:val="0"/>
        <w:jc w:val="both"/>
        <w:rPr>
          <w:rFonts w:ascii="Times New Roman" w:hAnsi="Times New Roman"/>
          <w:szCs w:val="24"/>
          <w:lang w:val="bs-Latn-BA"/>
        </w:rPr>
      </w:pPr>
    </w:p>
    <w:p w:rsidR="007701C2" w:rsidRPr="00295637" w:rsidRDefault="00C6214E" w:rsidP="0086268D">
      <w:pPr>
        <w:autoSpaceDE w:val="0"/>
        <w:autoSpaceDN w:val="0"/>
        <w:adjustRightInd w:val="0"/>
        <w:jc w:val="both"/>
        <w:rPr>
          <w:rFonts w:ascii="Times New Roman" w:hAnsi="Times New Roman"/>
          <w:szCs w:val="24"/>
          <w:lang w:val="bs-Latn-BA"/>
        </w:rPr>
      </w:pPr>
      <w:r>
        <w:rPr>
          <w:rFonts w:ascii="Times New Roman" w:hAnsi="Times New Roman"/>
          <w:szCs w:val="24"/>
          <w:lang w:val="bs-Latn-BA"/>
        </w:rPr>
        <w:t>Међутим</w:t>
      </w:r>
      <w:r w:rsidR="008E7CDD" w:rsidRPr="009823B2">
        <w:rPr>
          <w:rFonts w:ascii="Times New Roman" w:hAnsi="Times New Roman"/>
          <w:szCs w:val="24"/>
          <w:lang w:val="bs-Latn-BA"/>
        </w:rPr>
        <w:t xml:space="preserve">, </w:t>
      </w:r>
      <w:r>
        <w:rPr>
          <w:rFonts w:ascii="Times New Roman" w:hAnsi="Times New Roman"/>
          <w:szCs w:val="24"/>
          <w:lang w:val="bs-Latn-BA"/>
        </w:rPr>
        <w:t>упркос</w:t>
      </w:r>
      <w:r w:rsidR="008E7CDD" w:rsidRPr="009823B2">
        <w:rPr>
          <w:rFonts w:ascii="Times New Roman" w:hAnsi="Times New Roman"/>
          <w:szCs w:val="24"/>
          <w:lang w:val="bs-Latn-BA"/>
        </w:rPr>
        <w:t xml:space="preserve"> </w:t>
      </w:r>
      <w:r>
        <w:rPr>
          <w:rFonts w:ascii="Times New Roman" w:hAnsi="Times New Roman"/>
          <w:szCs w:val="24"/>
          <w:lang w:val="bs-Latn-BA"/>
        </w:rPr>
        <w:t>свим</w:t>
      </w:r>
      <w:r w:rsidR="008E7CDD" w:rsidRPr="009823B2">
        <w:rPr>
          <w:rFonts w:ascii="Times New Roman" w:hAnsi="Times New Roman"/>
          <w:szCs w:val="24"/>
          <w:lang w:val="bs-Latn-BA"/>
        </w:rPr>
        <w:t xml:space="preserve"> </w:t>
      </w:r>
      <w:r>
        <w:rPr>
          <w:rFonts w:ascii="Times New Roman" w:hAnsi="Times New Roman"/>
          <w:szCs w:val="24"/>
          <w:lang w:val="bs-Latn-BA"/>
        </w:rPr>
        <w:t>активностима</w:t>
      </w:r>
      <w:r w:rsidR="008E7CDD" w:rsidRPr="009823B2">
        <w:rPr>
          <w:rFonts w:ascii="Times New Roman" w:hAnsi="Times New Roman"/>
          <w:szCs w:val="24"/>
          <w:lang w:val="bs-Latn-BA"/>
        </w:rPr>
        <w:t xml:space="preserve"> </w:t>
      </w:r>
      <w:r>
        <w:rPr>
          <w:rFonts w:ascii="Times New Roman" w:hAnsi="Times New Roman"/>
          <w:szCs w:val="24"/>
          <w:lang w:val="bs-Latn-BA"/>
        </w:rPr>
        <w:t>надлежних</w:t>
      </w:r>
      <w:r w:rsidR="008E7CDD" w:rsidRPr="00295637">
        <w:rPr>
          <w:rFonts w:ascii="Times New Roman" w:hAnsi="Times New Roman"/>
          <w:szCs w:val="24"/>
          <w:lang w:val="bs-Latn-BA"/>
        </w:rPr>
        <w:t xml:space="preserve"> </w:t>
      </w:r>
      <w:r>
        <w:rPr>
          <w:rFonts w:ascii="Times New Roman" w:hAnsi="Times New Roman"/>
          <w:szCs w:val="24"/>
          <w:lang w:val="bs-Latn-BA"/>
        </w:rPr>
        <w:t>институција</w:t>
      </w:r>
      <w:r w:rsidR="008E7CDD" w:rsidRPr="00295637">
        <w:rPr>
          <w:rFonts w:ascii="Times New Roman" w:hAnsi="Times New Roman"/>
          <w:szCs w:val="24"/>
          <w:lang w:val="bs-Latn-BA"/>
        </w:rPr>
        <w:t xml:space="preserve"> </w:t>
      </w:r>
      <w:r>
        <w:rPr>
          <w:rFonts w:ascii="Times New Roman" w:hAnsi="Times New Roman"/>
          <w:szCs w:val="24"/>
          <w:lang w:val="bs-Latn-BA"/>
        </w:rPr>
        <w:t>и</w:t>
      </w:r>
      <w:r w:rsidR="00171584" w:rsidRPr="00295637">
        <w:rPr>
          <w:rFonts w:ascii="Times New Roman" w:hAnsi="Times New Roman"/>
          <w:szCs w:val="24"/>
          <w:lang w:val="bs-Latn-BA"/>
        </w:rPr>
        <w:t xml:space="preserve"> </w:t>
      </w:r>
      <w:r>
        <w:rPr>
          <w:rFonts w:ascii="Times New Roman" w:hAnsi="Times New Roman"/>
          <w:szCs w:val="24"/>
          <w:lang w:val="bs-Latn-BA"/>
        </w:rPr>
        <w:t>невладиног</w:t>
      </w:r>
      <w:r w:rsidR="00171584" w:rsidRPr="00295637">
        <w:rPr>
          <w:rFonts w:ascii="Times New Roman" w:hAnsi="Times New Roman"/>
          <w:szCs w:val="24"/>
          <w:lang w:val="bs-Latn-BA"/>
        </w:rPr>
        <w:t xml:space="preserve"> </w:t>
      </w:r>
      <w:r>
        <w:rPr>
          <w:rFonts w:ascii="Times New Roman" w:hAnsi="Times New Roman"/>
          <w:szCs w:val="24"/>
          <w:lang w:val="bs-Latn-BA"/>
        </w:rPr>
        <w:t>сектора</w:t>
      </w:r>
      <w:r w:rsidR="00171584" w:rsidRPr="00295637">
        <w:rPr>
          <w:rFonts w:ascii="Times New Roman" w:hAnsi="Times New Roman"/>
          <w:szCs w:val="24"/>
          <w:lang w:val="bs-Latn-BA"/>
        </w:rPr>
        <w:t xml:space="preserve">, </w:t>
      </w:r>
      <w:r>
        <w:rPr>
          <w:rFonts w:ascii="Times New Roman" w:hAnsi="Times New Roman"/>
          <w:szCs w:val="24"/>
          <w:lang w:val="bs-Latn-BA"/>
        </w:rPr>
        <w:t>насиље</w:t>
      </w:r>
      <w:r w:rsidR="008E7CDD" w:rsidRPr="00295637">
        <w:rPr>
          <w:rFonts w:ascii="Times New Roman" w:hAnsi="Times New Roman"/>
          <w:szCs w:val="24"/>
          <w:lang w:val="bs-Latn-BA"/>
        </w:rPr>
        <w:t xml:space="preserve"> </w:t>
      </w:r>
      <w:r>
        <w:rPr>
          <w:rFonts w:ascii="Times New Roman" w:hAnsi="Times New Roman"/>
          <w:szCs w:val="24"/>
          <w:lang w:val="bs-Latn-BA"/>
        </w:rPr>
        <w:t>над</w:t>
      </w:r>
      <w:r w:rsidR="008E7CDD" w:rsidRPr="00295637">
        <w:rPr>
          <w:rFonts w:ascii="Times New Roman" w:hAnsi="Times New Roman"/>
          <w:szCs w:val="24"/>
          <w:lang w:val="bs-Latn-BA"/>
        </w:rPr>
        <w:t xml:space="preserve"> </w:t>
      </w:r>
      <w:r>
        <w:rPr>
          <w:rFonts w:ascii="Times New Roman" w:hAnsi="Times New Roman"/>
          <w:szCs w:val="24"/>
          <w:lang w:val="bs-Latn-BA"/>
        </w:rPr>
        <w:t>женама</w:t>
      </w:r>
      <w:r w:rsidR="008E7CDD" w:rsidRPr="00295637">
        <w:rPr>
          <w:rFonts w:ascii="Times New Roman" w:hAnsi="Times New Roman"/>
          <w:szCs w:val="24"/>
          <w:lang w:val="bs-Latn-BA"/>
        </w:rPr>
        <w:t xml:space="preserve"> </w:t>
      </w:r>
      <w:r>
        <w:rPr>
          <w:rFonts w:ascii="Times New Roman" w:hAnsi="Times New Roman"/>
          <w:szCs w:val="24"/>
          <w:lang w:val="bs-Latn-BA"/>
        </w:rPr>
        <w:t>и</w:t>
      </w:r>
      <w:r w:rsidR="008E7CDD" w:rsidRPr="00295637">
        <w:rPr>
          <w:rFonts w:ascii="Times New Roman" w:hAnsi="Times New Roman"/>
          <w:szCs w:val="24"/>
          <w:lang w:val="bs-Latn-BA"/>
        </w:rPr>
        <w:t xml:space="preserve"> </w:t>
      </w:r>
      <w:r>
        <w:rPr>
          <w:rFonts w:ascii="Times New Roman" w:hAnsi="Times New Roman"/>
          <w:szCs w:val="24"/>
          <w:lang w:val="bs-Latn-BA"/>
        </w:rPr>
        <w:t>даље</w:t>
      </w:r>
      <w:r w:rsidR="008E7CDD" w:rsidRPr="00295637">
        <w:rPr>
          <w:rFonts w:ascii="Times New Roman" w:hAnsi="Times New Roman"/>
          <w:szCs w:val="24"/>
          <w:lang w:val="bs-Latn-BA"/>
        </w:rPr>
        <w:t xml:space="preserve"> </w:t>
      </w:r>
      <w:r>
        <w:rPr>
          <w:rFonts w:ascii="Times New Roman" w:hAnsi="Times New Roman"/>
          <w:szCs w:val="24"/>
          <w:lang w:val="bs-Latn-BA"/>
        </w:rPr>
        <w:t>представља</w:t>
      </w:r>
      <w:r w:rsidR="008E7CDD" w:rsidRPr="00295637">
        <w:rPr>
          <w:rFonts w:ascii="Times New Roman" w:hAnsi="Times New Roman"/>
          <w:szCs w:val="24"/>
          <w:lang w:val="bs-Latn-BA"/>
        </w:rPr>
        <w:t xml:space="preserve"> </w:t>
      </w:r>
      <w:r>
        <w:rPr>
          <w:rFonts w:ascii="Times New Roman" w:hAnsi="Times New Roman"/>
          <w:szCs w:val="24"/>
          <w:lang w:val="bs-Latn-BA"/>
        </w:rPr>
        <w:t>један</w:t>
      </w:r>
      <w:r w:rsidR="008E7CDD" w:rsidRPr="00295637">
        <w:rPr>
          <w:rFonts w:ascii="Times New Roman" w:hAnsi="Times New Roman"/>
          <w:szCs w:val="24"/>
          <w:lang w:val="bs-Latn-BA"/>
        </w:rPr>
        <w:t xml:space="preserve"> </w:t>
      </w:r>
      <w:r>
        <w:rPr>
          <w:rFonts w:ascii="Times New Roman" w:hAnsi="Times New Roman"/>
          <w:szCs w:val="24"/>
          <w:lang w:val="bs-Latn-BA"/>
        </w:rPr>
        <w:t>од</w:t>
      </w:r>
      <w:r w:rsidR="008E7CDD" w:rsidRPr="00295637">
        <w:rPr>
          <w:rFonts w:ascii="Times New Roman" w:hAnsi="Times New Roman"/>
          <w:szCs w:val="24"/>
          <w:lang w:val="bs-Latn-BA"/>
        </w:rPr>
        <w:t xml:space="preserve"> </w:t>
      </w:r>
      <w:r>
        <w:rPr>
          <w:rFonts w:ascii="Times New Roman" w:hAnsi="Times New Roman"/>
          <w:szCs w:val="24"/>
          <w:lang w:val="bs-Latn-BA"/>
        </w:rPr>
        <w:t>кључних</w:t>
      </w:r>
      <w:r w:rsidR="008E7CDD" w:rsidRPr="00295637">
        <w:rPr>
          <w:rFonts w:ascii="Times New Roman" w:hAnsi="Times New Roman"/>
          <w:szCs w:val="24"/>
          <w:lang w:val="bs-Latn-BA"/>
        </w:rPr>
        <w:t xml:space="preserve"> </w:t>
      </w:r>
      <w:r>
        <w:rPr>
          <w:rFonts w:ascii="Times New Roman" w:hAnsi="Times New Roman"/>
          <w:szCs w:val="24"/>
          <w:lang w:val="bs-Latn-BA"/>
        </w:rPr>
        <w:t>изазова</w:t>
      </w:r>
      <w:r w:rsidR="007701C2" w:rsidRPr="00295637">
        <w:rPr>
          <w:rFonts w:ascii="Times New Roman" w:hAnsi="Times New Roman"/>
          <w:szCs w:val="24"/>
          <w:lang w:val="bs-Latn-BA"/>
        </w:rPr>
        <w:t xml:space="preserve"> </w:t>
      </w:r>
      <w:r>
        <w:rPr>
          <w:rFonts w:ascii="Times New Roman" w:hAnsi="Times New Roman"/>
          <w:szCs w:val="24"/>
          <w:lang w:val="bs-Latn-BA"/>
        </w:rPr>
        <w:t>бх</w:t>
      </w:r>
      <w:r w:rsidR="007701C2" w:rsidRPr="00295637">
        <w:rPr>
          <w:rFonts w:ascii="Times New Roman" w:hAnsi="Times New Roman"/>
          <w:szCs w:val="24"/>
          <w:lang w:val="bs-Latn-BA"/>
        </w:rPr>
        <w:t xml:space="preserve">. </w:t>
      </w:r>
      <w:r>
        <w:rPr>
          <w:rFonts w:ascii="Times New Roman" w:hAnsi="Times New Roman"/>
          <w:szCs w:val="24"/>
          <w:lang w:val="bs-Latn-BA"/>
        </w:rPr>
        <w:t>друштва</w:t>
      </w:r>
      <w:r w:rsidR="008E7CDD" w:rsidRPr="00295637">
        <w:rPr>
          <w:rFonts w:ascii="Times New Roman" w:hAnsi="Times New Roman"/>
          <w:szCs w:val="24"/>
          <w:lang w:val="bs-Latn-BA"/>
        </w:rPr>
        <w:t xml:space="preserve">. </w:t>
      </w:r>
      <w:r>
        <w:rPr>
          <w:rFonts w:ascii="Times New Roman" w:hAnsi="Times New Roman"/>
          <w:szCs w:val="24"/>
          <w:lang w:val="bs-Latn-BA"/>
        </w:rPr>
        <w:t>Истраживања</w:t>
      </w:r>
      <w:r w:rsidR="008E7CDD" w:rsidRPr="00295637">
        <w:rPr>
          <w:rFonts w:ascii="Times New Roman" w:hAnsi="Times New Roman"/>
          <w:szCs w:val="24"/>
          <w:lang w:val="bs-Latn-BA"/>
        </w:rPr>
        <w:t xml:space="preserve"> </w:t>
      </w:r>
      <w:r>
        <w:rPr>
          <w:rFonts w:ascii="Times New Roman" w:hAnsi="Times New Roman"/>
          <w:szCs w:val="24"/>
          <w:lang w:val="bs-Latn-BA"/>
        </w:rPr>
        <w:t>показују</w:t>
      </w:r>
      <w:r w:rsidR="008E7CDD" w:rsidRPr="00295637">
        <w:rPr>
          <w:rFonts w:ascii="Times New Roman" w:hAnsi="Times New Roman"/>
          <w:szCs w:val="24"/>
          <w:lang w:val="bs-Latn-BA"/>
        </w:rPr>
        <w:t xml:space="preserve"> </w:t>
      </w:r>
      <w:r>
        <w:rPr>
          <w:rFonts w:ascii="Times New Roman" w:hAnsi="Times New Roman"/>
          <w:szCs w:val="24"/>
          <w:lang w:val="bs-Latn-BA"/>
        </w:rPr>
        <w:t>да</w:t>
      </w:r>
      <w:r w:rsidR="008E7CDD" w:rsidRPr="00295637">
        <w:rPr>
          <w:rFonts w:ascii="Times New Roman" w:hAnsi="Times New Roman"/>
          <w:szCs w:val="24"/>
          <w:lang w:val="bs-Latn-BA"/>
        </w:rPr>
        <w:t xml:space="preserve"> </w:t>
      </w:r>
      <w:r>
        <w:rPr>
          <w:rFonts w:ascii="Times New Roman" w:hAnsi="Times New Roman"/>
          <w:szCs w:val="24"/>
          <w:lang w:val="bs-Latn-BA"/>
        </w:rPr>
        <w:t>је</w:t>
      </w:r>
      <w:r w:rsidR="007701C2" w:rsidRPr="00295637">
        <w:rPr>
          <w:rFonts w:ascii="Times New Roman" w:hAnsi="Times New Roman"/>
          <w:szCs w:val="24"/>
          <w:lang w:val="bs-Latn-BA"/>
        </w:rPr>
        <w:t xml:space="preserve"> </w:t>
      </w:r>
      <w:r>
        <w:rPr>
          <w:rFonts w:ascii="Times New Roman" w:hAnsi="Times New Roman"/>
          <w:szCs w:val="24"/>
          <w:lang w:val="bs-Latn-BA"/>
        </w:rPr>
        <w:t>готово</w:t>
      </w:r>
      <w:r w:rsidR="008E7CDD" w:rsidRPr="00295637">
        <w:rPr>
          <w:rFonts w:ascii="Times New Roman" w:hAnsi="Times New Roman"/>
          <w:szCs w:val="24"/>
          <w:lang w:val="bs-Latn-BA"/>
        </w:rPr>
        <w:t xml:space="preserve"> </w:t>
      </w:r>
      <w:r>
        <w:rPr>
          <w:rFonts w:ascii="Times New Roman" w:hAnsi="Times New Roman"/>
          <w:szCs w:val="24"/>
          <w:lang w:val="bs-Latn-BA"/>
        </w:rPr>
        <w:t>половина</w:t>
      </w:r>
      <w:r w:rsidR="008E7CDD" w:rsidRPr="00295637">
        <w:rPr>
          <w:rFonts w:ascii="Times New Roman" w:hAnsi="Times New Roman"/>
          <w:szCs w:val="24"/>
          <w:lang w:val="bs-Latn-BA"/>
        </w:rPr>
        <w:t xml:space="preserve"> </w:t>
      </w:r>
      <w:r>
        <w:rPr>
          <w:rFonts w:ascii="Times New Roman" w:hAnsi="Times New Roman"/>
          <w:szCs w:val="24"/>
          <w:lang w:val="bs-Latn-BA"/>
        </w:rPr>
        <w:t>жена</w:t>
      </w:r>
      <w:r w:rsidR="008E7CDD" w:rsidRPr="00295637">
        <w:rPr>
          <w:rFonts w:ascii="Times New Roman" w:hAnsi="Times New Roman"/>
          <w:szCs w:val="24"/>
          <w:lang w:val="bs-Latn-BA"/>
        </w:rPr>
        <w:t xml:space="preserve"> </w:t>
      </w:r>
      <w:r>
        <w:rPr>
          <w:rFonts w:ascii="Times New Roman" w:hAnsi="Times New Roman"/>
          <w:szCs w:val="24"/>
          <w:lang w:val="bs-Latn-BA"/>
        </w:rPr>
        <w:t>у</w:t>
      </w:r>
      <w:r w:rsidR="00820492">
        <w:rPr>
          <w:rFonts w:ascii="Times New Roman" w:hAnsi="Times New Roman"/>
          <w:szCs w:val="24"/>
          <w:lang w:val="bs-Latn-BA"/>
        </w:rPr>
        <w:t xml:space="preserve"> </w:t>
      </w:r>
      <w:r>
        <w:rPr>
          <w:rFonts w:ascii="Times New Roman" w:hAnsi="Times New Roman"/>
          <w:szCs w:val="24"/>
          <w:lang w:val="bs-Latn-BA"/>
        </w:rPr>
        <w:t>БиХ</w:t>
      </w:r>
      <w:r w:rsidR="008E7CDD" w:rsidRPr="00295637">
        <w:rPr>
          <w:rFonts w:ascii="Times New Roman" w:hAnsi="Times New Roman"/>
          <w:szCs w:val="24"/>
          <w:lang w:val="bs-Latn-BA"/>
        </w:rPr>
        <w:t xml:space="preserve"> (48%) </w:t>
      </w:r>
      <w:r>
        <w:rPr>
          <w:rFonts w:ascii="Times New Roman" w:hAnsi="Times New Roman"/>
          <w:szCs w:val="24"/>
          <w:lang w:val="bs-Latn-BA"/>
        </w:rPr>
        <w:t>искусила</w:t>
      </w:r>
      <w:r w:rsidR="008E7CDD" w:rsidRPr="00295637">
        <w:rPr>
          <w:rFonts w:ascii="Times New Roman" w:hAnsi="Times New Roman"/>
          <w:szCs w:val="24"/>
          <w:lang w:val="bs-Latn-BA"/>
        </w:rPr>
        <w:t xml:space="preserve"> </w:t>
      </w:r>
      <w:r>
        <w:rPr>
          <w:rFonts w:ascii="Times New Roman" w:hAnsi="Times New Roman"/>
          <w:szCs w:val="24"/>
          <w:lang w:val="bs-Latn-BA"/>
        </w:rPr>
        <w:t>неки</w:t>
      </w:r>
      <w:r w:rsidR="007B64B9" w:rsidRPr="00295637">
        <w:rPr>
          <w:rFonts w:ascii="Times New Roman" w:hAnsi="Times New Roman"/>
          <w:szCs w:val="24"/>
          <w:lang w:val="bs-Latn-BA"/>
        </w:rPr>
        <w:t xml:space="preserve"> </w:t>
      </w:r>
      <w:r>
        <w:rPr>
          <w:rFonts w:ascii="Times New Roman" w:hAnsi="Times New Roman"/>
          <w:szCs w:val="24"/>
          <w:lang w:val="bs-Latn-BA"/>
        </w:rPr>
        <w:t>облик</w:t>
      </w:r>
      <w:r w:rsidR="007B64B9" w:rsidRPr="00295637">
        <w:rPr>
          <w:rFonts w:ascii="Times New Roman" w:hAnsi="Times New Roman"/>
          <w:szCs w:val="24"/>
          <w:lang w:val="bs-Latn-BA"/>
        </w:rPr>
        <w:t xml:space="preserve"> </w:t>
      </w:r>
      <w:r>
        <w:rPr>
          <w:rFonts w:ascii="Times New Roman" w:hAnsi="Times New Roman"/>
          <w:szCs w:val="24"/>
          <w:lang w:val="bs-Latn-BA"/>
        </w:rPr>
        <w:t>насиља</w:t>
      </w:r>
      <w:r w:rsidR="008E7CDD" w:rsidRPr="00295637">
        <w:rPr>
          <w:rFonts w:ascii="Times New Roman" w:hAnsi="Times New Roman"/>
          <w:szCs w:val="24"/>
          <w:lang w:val="bs-Latn-BA"/>
        </w:rPr>
        <w:t xml:space="preserve">, </w:t>
      </w:r>
      <w:r>
        <w:rPr>
          <w:rFonts w:ascii="Times New Roman" w:hAnsi="Times New Roman"/>
          <w:szCs w:val="24"/>
          <w:lang w:val="bs-Latn-BA"/>
        </w:rPr>
        <w:t>ухођење</w:t>
      </w:r>
      <w:r w:rsidR="008E7CDD" w:rsidRPr="00295637">
        <w:rPr>
          <w:rFonts w:ascii="Times New Roman" w:hAnsi="Times New Roman"/>
          <w:szCs w:val="24"/>
          <w:lang w:val="bs-Latn-BA"/>
        </w:rPr>
        <w:t xml:space="preserve"> </w:t>
      </w:r>
      <w:r>
        <w:rPr>
          <w:rFonts w:ascii="Times New Roman" w:hAnsi="Times New Roman"/>
          <w:szCs w:val="24"/>
          <w:lang w:val="bs-Latn-BA"/>
        </w:rPr>
        <w:t>или</w:t>
      </w:r>
      <w:r w:rsidR="008E7CDD" w:rsidRPr="00295637">
        <w:rPr>
          <w:rFonts w:ascii="Times New Roman" w:hAnsi="Times New Roman"/>
          <w:szCs w:val="24"/>
          <w:lang w:val="bs-Latn-BA"/>
        </w:rPr>
        <w:t xml:space="preserve"> </w:t>
      </w:r>
      <w:r>
        <w:rPr>
          <w:rFonts w:ascii="Times New Roman" w:hAnsi="Times New Roman"/>
          <w:szCs w:val="24"/>
          <w:lang w:val="bs-Latn-BA"/>
        </w:rPr>
        <w:t>сексуално</w:t>
      </w:r>
      <w:r w:rsidR="008E7CDD" w:rsidRPr="00295637">
        <w:rPr>
          <w:rFonts w:ascii="Times New Roman" w:hAnsi="Times New Roman"/>
          <w:szCs w:val="24"/>
          <w:lang w:val="bs-Latn-BA"/>
        </w:rPr>
        <w:t xml:space="preserve"> </w:t>
      </w:r>
      <w:r>
        <w:rPr>
          <w:rFonts w:ascii="Times New Roman" w:hAnsi="Times New Roman"/>
          <w:szCs w:val="24"/>
          <w:lang w:val="bs-Latn-BA"/>
        </w:rPr>
        <w:t>узнемиравање</w:t>
      </w:r>
      <w:r w:rsidR="008E7CDD" w:rsidRPr="00295637">
        <w:rPr>
          <w:rFonts w:ascii="Times New Roman" w:hAnsi="Times New Roman"/>
          <w:szCs w:val="24"/>
          <w:lang w:val="bs-Latn-BA"/>
        </w:rPr>
        <w:t xml:space="preserve">, </w:t>
      </w:r>
      <w:r>
        <w:rPr>
          <w:rFonts w:ascii="Times New Roman" w:hAnsi="Times New Roman"/>
          <w:szCs w:val="24"/>
          <w:lang w:val="bs-Latn-BA"/>
        </w:rPr>
        <w:t>од</w:t>
      </w:r>
      <w:r w:rsidR="008E7CDD" w:rsidRPr="00295637">
        <w:rPr>
          <w:rFonts w:ascii="Times New Roman" w:hAnsi="Times New Roman"/>
          <w:szCs w:val="24"/>
          <w:lang w:val="bs-Latn-BA"/>
        </w:rPr>
        <w:t xml:space="preserve"> </w:t>
      </w:r>
      <w:r>
        <w:rPr>
          <w:rFonts w:ascii="Times New Roman" w:hAnsi="Times New Roman"/>
          <w:szCs w:val="24"/>
          <w:lang w:val="bs-Latn-BA"/>
        </w:rPr>
        <w:t>своје</w:t>
      </w:r>
      <w:r w:rsidR="008E7CDD" w:rsidRPr="00295637">
        <w:rPr>
          <w:rFonts w:ascii="Times New Roman" w:hAnsi="Times New Roman"/>
          <w:szCs w:val="24"/>
          <w:lang w:val="bs-Latn-BA"/>
        </w:rPr>
        <w:t xml:space="preserve"> </w:t>
      </w:r>
      <w:r>
        <w:rPr>
          <w:rFonts w:ascii="Times New Roman" w:hAnsi="Times New Roman"/>
          <w:szCs w:val="24"/>
          <w:lang w:val="bs-Latn-BA"/>
        </w:rPr>
        <w:t>петнаесте</w:t>
      </w:r>
      <w:r w:rsidR="008E7CDD" w:rsidRPr="00295637">
        <w:rPr>
          <w:rFonts w:ascii="Times New Roman" w:hAnsi="Times New Roman"/>
          <w:szCs w:val="24"/>
          <w:lang w:val="bs-Latn-BA"/>
        </w:rPr>
        <w:t xml:space="preserve"> </w:t>
      </w:r>
      <w:r>
        <w:rPr>
          <w:rFonts w:ascii="Times New Roman" w:hAnsi="Times New Roman"/>
          <w:szCs w:val="24"/>
          <w:lang w:val="bs-Latn-BA"/>
        </w:rPr>
        <w:t>године</w:t>
      </w:r>
      <w:r w:rsidR="008E7CDD" w:rsidRPr="00295637">
        <w:rPr>
          <w:rFonts w:ascii="Times New Roman" w:hAnsi="Times New Roman"/>
          <w:szCs w:val="24"/>
          <w:lang w:val="bs-Latn-BA"/>
        </w:rPr>
        <w:t xml:space="preserve">. </w:t>
      </w:r>
      <w:r>
        <w:rPr>
          <w:rFonts w:ascii="Times New Roman" w:hAnsi="Times New Roman"/>
          <w:szCs w:val="24"/>
          <w:lang w:val="bs-Latn-BA"/>
        </w:rPr>
        <w:t>Прецизније</w:t>
      </w:r>
      <w:r w:rsidR="008E7CDD" w:rsidRPr="00295637">
        <w:rPr>
          <w:rFonts w:ascii="Times New Roman" w:hAnsi="Times New Roman"/>
          <w:szCs w:val="24"/>
          <w:lang w:val="bs-Latn-BA"/>
        </w:rPr>
        <w:t xml:space="preserve"> </w:t>
      </w:r>
      <w:r>
        <w:rPr>
          <w:rFonts w:ascii="Times New Roman" w:hAnsi="Times New Roman"/>
          <w:szCs w:val="24"/>
          <w:lang w:val="bs-Latn-BA"/>
        </w:rPr>
        <w:t>речено</w:t>
      </w:r>
      <w:r w:rsidR="008E7CDD" w:rsidRPr="00295637">
        <w:rPr>
          <w:rFonts w:ascii="Times New Roman" w:hAnsi="Times New Roman"/>
          <w:szCs w:val="24"/>
          <w:lang w:val="bs-Latn-BA"/>
        </w:rPr>
        <w:t xml:space="preserve">, </w:t>
      </w:r>
      <w:r>
        <w:rPr>
          <w:rFonts w:ascii="Times New Roman" w:hAnsi="Times New Roman"/>
          <w:szCs w:val="24"/>
          <w:lang w:val="bs-Latn-BA"/>
        </w:rPr>
        <w:t>скоро</w:t>
      </w:r>
      <w:r w:rsidR="008E7CDD" w:rsidRPr="00295637">
        <w:rPr>
          <w:rFonts w:ascii="Times New Roman" w:hAnsi="Times New Roman"/>
          <w:szCs w:val="24"/>
          <w:lang w:val="bs-Latn-BA"/>
        </w:rPr>
        <w:t xml:space="preserve"> </w:t>
      </w:r>
      <w:r>
        <w:rPr>
          <w:rFonts w:ascii="Times New Roman" w:hAnsi="Times New Roman"/>
          <w:szCs w:val="24"/>
          <w:lang w:val="bs-Latn-BA"/>
        </w:rPr>
        <w:t>четири</w:t>
      </w:r>
      <w:r w:rsidR="008E7CDD" w:rsidRPr="00295637">
        <w:rPr>
          <w:rFonts w:ascii="Times New Roman" w:hAnsi="Times New Roman"/>
          <w:szCs w:val="24"/>
          <w:lang w:val="bs-Latn-BA"/>
        </w:rPr>
        <w:t xml:space="preserve"> </w:t>
      </w:r>
      <w:r>
        <w:rPr>
          <w:rFonts w:ascii="Times New Roman" w:hAnsi="Times New Roman"/>
          <w:szCs w:val="24"/>
          <w:lang w:val="bs-Latn-BA"/>
        </w:rPr>
        <w:t>од</w:t>
      </w:r>
      <w:r w:rsidR="008E7CDD" w:rsidRPr="00295637">
        <w:rPr>
          <w:rFonts w:ascii="Times New Roman" w:hAnsi="Times New Roman"/>
          <w:szCs w:val="24"/>
          <w:lang w:val="bs-Latn-BA"/>
        </w:rPr>
        <w:t xml:space="preserve"> </w:t>
      </w:r>
      <w:r>
        <w:rPr>
          <w:rFonts w:ascii="Times New Roman" w:hAnsi="Times New Roman"/>
          <w:szCs w:val="24"/>
          <w:lang w:val="bs-Latn-BA"/>
        </w:rPr>
        <w:t>десет</w:t>
      </w:r>
      <w:r w:rsidR="008E7CDD" w:rsidRPr="00295637">
        <w:rPr>
          <w:rFonts w:ascii="Times New Roman" w:hAnsi="Times New Roman"/>
          <w:szCs w:val="24"/>
          <w:lang w:val="bs-Latn-BA"/>
        </w:rPr>
        <w:t xml:space="preserve"> </w:t>
      </w:r>
      <w:r>
        <w:rPr>
          <w:rFonts w:ascii="Times New Roman" w:hAnsi="Times New Roman"/>
          <w:szCs w:val="24"/>
          <w:lang w:val="bs-Latn-BA"/>
        </w:rPr>
        <w:t>жена</w:t>
      </w:r>
      <w:r w:rsidR="008E7CDD" w:rsidRPr="00295637">
        <w:rPr>
          <w:rFonts w:ascii="Times New Roman" w:hAnsi="Times New Roman"/>
          <w:szCs w:val="24"/>
          <w:lang w:val="bs-Latn-BA"/>
        </w:rPr>
        <w:t xml:space="preserve"> (38%) </w:t>
      </w:r>
      <w:r>
        <w:rPr>
          <w:rFonts w:ascii="Times New Roman" w:hAnsi="Times New Roman"/>
          <w:szCs w:val="24"/>
          <w:lang w:val="bs-Latn-BA"/>
        </w:rPr>
        <w:t>изјавиле</w:t>
      </w:r>
      <w:r w:rsidR="008E7CDD" w:rsidRPr="00295637">
        <w:rPr>
          <w:rFonts w:ascii="Times New Roman" w:hAnsi="Times New Roman"/>
          <w:szCs w:val="24"/>
          <w:lang w:val="bs-Latn-BA"/>
        </w:rPr>
        <w:t xml:space="preserve"> </w:t>
      </w:r>
      <w:r>
        <w:rPr>
          <w:rFonts w:ascii="Times New Roman" w:hAnsi="Times New Roman"/>
          <w:szCs w:val="24"/>
          <w:lang w:val="bs-Latn-BA"/>
        </w:rPr>
        <w:t>су</w:t>
      </w:r>
      <w:r w:rsidR="008E7CDD" w:rsidRPr="00295637">
        <w:rPr>
          <w:rFonts w:ascii="Times New Roman" w:hAnsi="Times New Roman"/>
          <w:szCs w:val="24"/>
          <w:lang w:val="bs-Latn-BA"/>
        </w:rPr>
        <w:t xml:space="preserve"> </w:t>
      </w:r>
      <w:r>
        <w:rPr>
          <w:rFonts w:ascii="Times New Roman" w:hAnsi="Times New Roman"/>
          <w:szCs w:val="24"/>
          <w:lang w:val="bs-Latn-BA"/>
        </w:rPr>
        <w:t>да</w:t>
      </w:r>
      <w:r w:rsidR="008E7CDD" w:rsidRPr="00295637">
        <w:rPr>
          <w:rFonts w:ascii="Times New Roman" w:hAnsi="Times New Roman"/>
          <w:szCs w:val="24"/>
          <w:lang w:val="bs-Latn-BA"/>
        </w:rPr>
        <w:t xml:space="preserve"> </w:t>
      </w:r>
      <w:r>
        <w:rPr>
          <w:rFonts w:ascii="Times New Roman" w:hAnsi="Times New Roman"/>
          <w:szCs w:val="24"/>
          <w:lang w:val="bs-Latn-BA"/>
        </w:rPr>
        <w:t>су</w:t>
      </w:r>
      <w:r w:rsidR="008E7CDD" w:rsidRPr="00295637">
        <w:rPr>
          <w:rFonts w:ascii="Times New Roman" w:hAnsi="Times New Roman"/>
          <w:szCs w:val="24"/>
          <w:lang w:val="bs-Latn-BA"/>
        </w:rPr>
        <w:t xml:space="preserve"> </w:t>
      </w:r>
      <w:r>
        <w:rPr>
          <w:rFonts w:ascii="Times New Roman" w:hAnsi="Times New Roman"/>
          <w:szCs w:val="24"/>
          <w:lang w:val="bs-Latn-BA"/>
        </w:rPr>
        <w:t>искусиле</w:t>
      </w:r>
      <w:r w:rsidR="008E7CDD" w:rsidRPr="00295637">
        <w:rPr>
          <w:rFonts w:ascii="Times New Roman" w:hAnsi="Times New Roman"/>
          <w:szCs w:val="24"/>
          <w:lang w:val="bs-Latn-BA"/>
        </w:rPr>
        <w:t xml:space="preserve"> </w:t>
      </w:r>
      <w:r>
        <w:rPr>
          <w:rFonts w:ascii="Times New Roman" w:hAnsi="Times New Roman"/>
          <w:szCs w:val="24"/>
          <w:lang w:val="bs-Latn-BA"/>
        </w:rPr>
        <w:t>психичко</w:t>
      </w:r>
      <w:r w:rsidR="008E7CDD" w:rsidRPr="00295637">
        <w:rPr>
          <w:rFonts w:ascii="Times New Roman" w:hAnsi="Times New Roman"/>
          <w:szCs w:val="24"/>
          <w:lang w:val="bs-Latn-BA"/>
        </w:rPr>
        <w:t xml:space="preserve">, </w:t>
      </w:r>
      <w:r w:rsidR="00514807">
        <w:rPr>
          <w:rFonts w:ascii="Times New Roman" w:hAnsi="Times New Roman"/>
          <w:szCs w:val="24"/>
          <w:lang w:val="sr-Cyrl-BA"/>
        </w:rPr>
        <w:t>физичко</w:t>
      </w:r>
      <w:r w:rsidR="008E7CDD" w:rsidRPr="00295637">
        <w:rPr>
          <w:rFonts w:ascii="Times New Roman" w:hAnsi="Times New Roman"/>
          <w:szCs w:val="24"/>
          <w:lang w:val="bs-Latn-BA"/>
        </w:rPr>
        <w:t xml:space="preserve"> </w:t>
      </w:r>
      <w:r>
        <w:rPr>
          <w:rFonts w:ascii="Times New Roman" w:hAnsi="Times New Roman"/>
          <w:szCs w:val="24"/>
          <w:lang w:val="bs-Latn-BA"/>
        </w:rPr>
        <w:t>или</w:t>
      </w:r>
      <w:r w:rsidR="008E7CDD" w:rsidRPr="00295637">
        <w:rPr>
          <w:rFonts w:ascii="Times New Roman" w:hAnsi="Times New Roman"/>
          <w:szCs w:val="24"/>
          <w:lang w:val="bs-Latn-BA"/>
        </w:rPr>
        <w:t xml:space="preserve"> </w:t>
      </w:r>
      <w:r>
        <w:rPr>
          <w:rFonts w:ascii="Times New Roman" w:hAnsi="Times New Roman"/>
          <w:szCs w:val="24"/>
          <w:lang w:val="bs-Latn-BA"/>
        </w:rPr>
        <w:t>сексуално</w:t>
      </w:r>
      <w:r w:rsidR="008E7CDD" w:rsidRPr="00295637">
        <w:rPr>
          <w:rFonts w:ascii="Times New Roman" w:hAnsi="Times New Roman"/>
          <w:szCs w:val="24"/>
          <w:lang w:val="bs-Latn-BA"/>
        </w:rPr>
        <w:t xml:space="preserve"> </w:t>
      </w:r>
      <w:r>
        <w:rPr>
          <w:rFonts w:ascii="Times New Roman" w:hAnsi="Times New Roman"/>
          <w:szCs w:val="24"/>
          <w:lang w:val="bs-Latn-BA"/>
        </w:rPr>
        <w:t>насиље</w:t>
      </w:r>
      <w:r w:rsidR="008E7CDD" w:rsidRPr="00295637">
        <w:rPr>
          <w:rFonts w:ascii="Times New Roman" w:hAnsi="Times New Roman"/>
          <w:szCs w:val="24"/>
          <w:lang w:val="bs-Latn-BA"/>
        </w:rPr>
        <w:t xml:space="preserve"> </w:t>
      </w:r>
      <w:r>
        <w:rPr>
          <w:rFonts w:ascii="Times New Roman" w:hAnsi="Times New Roman"/>
          <w:szCs w:val="24"/>
          <w:lang w:val="bs-Latn-BA"/>
        </w:rPr>
        <w:t>од</w:t>
      </w:r>
      <w:r w:rsidR="008E7CDD" w:rsidRPr="00295637">
        <w:rPr>
          <w:rFonts w:ascii="Times New Roman" w:hAnsi="Times New Roman"/>
          <w:szCs w:val="24"/>
          <w:lang w:val="bs-Latn-BA"/>
        </w:rPr>
        <w:t xml:space="preserve"> </w:t>
      </w:r>
      <w:r>
        <w:rPr>
          <w:rFonts w:ascii="Times New Roman" w:hAnsi="Times New Roman"/>
          <w:szCs w:val="24"/>
          <w:lang w:val="bs-Latn-BA"/>
        </w:rPr>
        <w:t>петнаесте</w:t>
      </w:r>
      <w:r w:rsidR="008E7CDD" w:rsidRPr="00295637">
        <w:rPr>
          <w:rFonts w:ascii="Times New Roman" w:hAnsi="Times New Roman"/>
          <w:szCs w:val="24"/>
          <w:lang w:val="bs-Latn-BA"/>
        </w:rPr>
        <w:t xml:space="preserve"> </w:t>
      </w:r>
      <w:r>
        <w:rPr>
          <w:rFonts w:ascii="Times New Roman" w:hAnsi="Times New Roman"/>
          <w:szCs w:val="24"/>
          <w:lang w:val="bs-Latn-BA"/>
        </w:rPr>
        <w:t>године</w:t>
      </w:r>
      <w:r w:rsidR="008E7CDD" w:rsidRPr="00295637">
        <w:rPr>
          <w:rFonts w:ascii="Times New Roman" w:hAnsi="Times New Roman"/>
          <w:szCs w:val="24"/>
          <w:lang w:val="bs-Latn-BA"/>
        </w:rPr>
        <w:t xml:space="preserve">. </w:t>
      </w:r>
    </w:p>
    <w:p w:rsidR="007701C2" w:rsidRPr="00295637" w:rsidRDefault="007701C2" w:rsidP="0086268D">
      <w:pPr>
        <w:autoSpaceDE w:val="0"/>
        <w:autoSpaceDN w:val="0"/>
        <w:adjustRightInd w:val="0"/>
        <w:jc w:val="both"/>
        <w:rPr>
          <w:rFonts w:ascii="Times New Roman" w:hAnsi="Times New Roman"/>
          <w:szCs w:val="24"/>
          <w:lang w:val="bs-Latn-BA"/>
        </w:rPr>
      </w:pPr>
    </w:p>
    <w:p w:rsidR="007701C2" w:rsidRPr="00295637" w:rsidRDefault="00C6214E" w:rsidP="0086268D">
      <w:pPr>
        <w:autoSpaceDE w:val="0"/>
        <w:autoSpaceDN w:val="0"/>
        <w:adjustRightInd w:val="0"/>
        <w:jc w:val="both"/>
        <w:rPr>
          <w:rFonts w:ascii="Times New Roman" w:hAnsi="Times New Roman"/>
          <w:szCs w:val="24"/>
          <w:lang w:val="en-US"/>
        </w:rPr>
      </w:pPr>
      <w:r>
        <w:rPr>
          <w:rFonts w:ascii="Times New Roman" w:hAnsi="Times New Roman"/>
          <w:szCs w:val="24"/>
          <w:lang w:val="bs-Latn-BA"/>
        </w:rPr>
        <w:t>Висок</w:t>
      </w:r>
      <w:r w:rsidR="00820492" w:rsidRPr="00295637">
        <w:rPr>
          <w:rFonts w:ascii="Times New Roman" w:hAnsi="Times New Roman"/>
          <w:szCs w:val="24"/>
          <w:lang w:val="bs-Latn-BA"/>
        </w:rPr>
        <w:t xml:space="preserve"> </w:t>
      </w:r>
      <w:r>
        <w:rPr>
          <w:rFonts w:ascii="Times New Roman" w:hAnsi="Times New Roman"/>
          <w:szCs w:val="24"/>
          <w:lang w:val="bs-Latn-BA"/>
        </w:rPr>
        <w:t>степен</w:t>
      </w:r>
      <w:r w:rsidR="00E1127B">
        <w:rPr>
          <w:rFonts w:ascii="Times New Roman" w:hAnsi="Times New Roman"/>
          <w:szCs w:val="24"/>
          <w:lang w:val="bs-Latn-BA"/>
        </w:rPr>
        <w:t xml:space="preserve"> </w:t>
      </w:r>
      <w:r>
        <w:rPr>
          <w:rFonts w:ascii="Times New Roman" w:hAnsi="Times New Roman"/>
          <w:szCs w:val="24"/>
          <w:lang w:val="bs-Latn-BA"/>
        </w:rPr>
        <w:t>свјесности</w:t>
      </w:r>
      <w:r w:rsidR="00820492" w:rsidRPr="00295637">
        <w:rPr>
          <w:rFonts w:ascii="Times New Roman" w:hAnsi="Times New Roman"/>
          <w:szCs w:val="24"/>
          <w:lang w:val="bs-Latn-BA"/>
        </w:rPr>
        <w:t xml:space="preserve"> </w:t>
      </w:r>
      <w:r>
        <w:rPr>
          <w:rFonts w:ascii="Times New Roman" w:hAnsi="Times New Roman"/>
          <w:szCs w:val="24"/>
          <w:lang w:val="bs-Latn-BA"/>
        </w:rPr>
        <w:t>о</w:t>
      </w:r>
      <w:r w:rsidR="00820492" w:rsidRPr="00295637">
        <w:rPr>
          <w:rFonts w:ascii="Times New Roman" w:hAnsi="Times New Roman"/>
          <w:szCs w:val="24"/>
          <w:lang w:val="bs-Latn-BA"/>
        </w:rPr>
        <w:t xml:space="preserve"> </w:t>
      </w:r>
      <w:r>
        <w:rPr>
          <w:rFonts w:ascii="Times New Roman" w:hAnsi="Times New Roman"/>
          <w:szCs w:val="24"/>
          <w:lang w:val="bs-Latn-BA"/>
        </w:rPr>
        <w:t>проблему</w:t>
      </w:r>
      <w:r w:rsidR="00820492" w:rsidRPr="00295637">
        <w:rPr>
          <w:rFonts w:ascii="Times New Roman" w:hAnsi="Times New Roman"/>
          <w:szCs w:val="24"/>
          <w:lang w:val="bs-Latn-BA"/>
        </w:rPr>
        <w:t xml:space="preserve"> </w:t>
      </w:r>
      <w:r>
        <w:rPr>
          <w:rFonts w:ascii="Times New Roman" w:hAnsi="Times New Roman"/>
          <w:szCs w:val="24"/>
          <w:lang w:val="bs-Latn-BA"/>
        </w:rPr>
        <w:t>насиља</w:t>
      </w:r>
      <w:r w:rsidR="00820492" w:rsidRPr="00295637">
        <w:rPr>
          <w:rFonts w:ascii="Times New Roman" w:hAnsi="Times New Roman"/>
          <w:szCs w:val="24"/>
          <w:lang w:val="bs-Latn-BA"/>
        </w:rPr>
        <w:t xml:space="preserve"> </w:t>
      </w:r>
      <w:r>
        <w:rPr>
          <w:rFonts w:ascii="Times New Roman" w:hAnsi="Times New Roman"/>
          <w:szCs w:val="24"/>
          <w:lang w:val="bs-Latn-BA"/>
        </w:rPr>
        <w:t>у</w:t>
      </w:r>
      <w:r w:rsidR="00820492" w:rsidRPr="00295637">
        <w:rPr>
          <w:rFonts w:ascii="Times New Roman" w:hAnsi="Times New Roman"/>
          <w:szCs w:val="24"/>
          <w:lang w:val="bs-Latn-BA"/>
        </w:rPr>
        <w:t xml:space="preserve"> </w:t>
      </w:r>
      <w:r>
        <w:rPr>
          <w:rFonts w:ascii="Times New Roman" w:hAnsi="Times New Roman"/>
          <w:szCs w:val="24"/>
          <w:lang w:val="bs-Latn-BA"/>
        </w:rPr>
        <w:t>породици</w:t>
      </w:r>
      <w:r w:rsidR="00820492" w:rsidRPr="00295637">
        <w:rPr>
          <w:rFonts w:ascii="Times New Roman" w:hAnsi="Times New Roman"/>
          <w:szCs w:val="24"/>
          <w:lang w:val="bs-Latn-BA"/>
        </w:rPr>
        <w:t xml:space="preserve"> </w:t>
      </w:r>
      <w:r>
        <w:rPr>
          <w:rFonts w:ascii="Times New Roman" w:hAnsi="Times New Roman"/>
          <w:szCs w:val="24"/>
          <w:lang w:val="bs-Latn-BA"/>
        </w:rPr>
        <w:t>изражава</w:t>
      </w:r>
      <w:r w:rsidR="00820492" w:rsidRPr="00295637">
        <w:rPr>
          <w:rFonts w:ascii="Times New Roman" w:hAnsi="Times New Roman"/>
          <w:szCs w:val="24"/>
          <w:lang w:val="bs-Latn-BA"/>
        </w:rPr>
        <w:t xml:space="preserve"> </w:t>
      </w:r>
      <w:r w:rsidR="008E7CDD" w:rsidRPr="00295637">
        <w:rPr>
          <w:rFonts w:ascii="Times New Roman" w:hAnsi="Times New Roman"/>
          <w:szCs w:val="24"/>
          <w:lang w:val="bs-Latn-BA"/>
        </w:rPr>
        <w:t>90%</w:t>
      </w:r>
      <w:r w:rsidR="007701C2" w:rsidRPr="00295637">
        <w:rPr>
          <w:rFonts w:ascii="Times New Roman" w:hAnsi="Times New Roman"/>
          <w:szCs w:val="24"/>
          <w:lang w:val="bs-Latn-BA"/>
        </w:rPr>
        <w:t xml:space="preserve"> </w:t>
      </w:r>
      <w:r>
        <w:rPr>
          <w:rFonts w:ascii="Times New Roman" w:hAnsi="Times New Roman"/>
          <w:szCs w:val="24"/>
          <w:lang w:val="bs-Latn-BA"/>
        </w:rPr>
        <w:t>грађана</w:t>
      </w:r>
      <w:r w:rsidR="00820492">
        <w:rPr>
          <w:rFonts w:ascii="Times New Roman" w:hAnsi="Times New Roman"/>
          <w:szCs w:val="24"/>
          <w:lang w:val="bs-Latn-BA"/>
        </w:rPr>
        <w:t>,</w:t>
      </w:r>
      <w:r w:rsidR="00820492" w:rsidRPr="00295637">
        <w:rPr>
          <w:rFonts w:ascii="Times New Roman" w:hAnsi="Times New Roman"/>
          <w:szCs w:val="24"/>
          <w:lang w:val="bs-Latn-BA"/>
        </w:rPr>
        <w:t xml:space="preserve"> </w:t>
      </w:r>
      <w:r>
        <w:rPr>
          <w:rFonts w:ascii="Times New Roman" w:hAnsi="Times New Roman"/>
          <w:szCs w:val="24"/>
          <w:lang w:val="bs-Latn-BA"/>
        </w:rPr>
        <w:t>а</w:t>
      </w:r>
      <w:r w:rsidR="008E7CDD" w:rsidRPr="00295637">
        <w:rPr>
          <w:rFonts w:ascii="Times New Roman" w:hAnsi="Times New Roman"/>
          <w:szCs w:val="24"/>
          <w:lang w:val="bs-Latn-BA"/>
        </w:rPr>
        <w:t xml:space="preserve"> </w:t>
      </w:r>
      <w:r>
        <w:rPr>
          <w:rFonts w:ascii="Times New Roman" w:hAnsi="Times New Roman"/>
          <w:szCs w:val="24"/>
          <w:lang w:val="bs-Latn-BA"/>
        </w:rPr>
        <w:t>в</w:t>
      </w:r>
      <w:r>
        <w:rPr>
          <w:rFonts w:ascii="Times New Roman" w:hAnsi="Times New Roman"/>
          <w:szCs w:val="24"/>
          <w:lang w:val="en-US"/>
        </w:rPr>
        <w:t>ећина</w:t>
      </w:r>
      <w:r w:rsidR="00691850" w:rsidRPr="00295637">
        <w:rPr>
          <w:rFonts w:ascii="Times New Roman" w:hAnsi="Times New Roman"/>
          <w:szCs w:val="24"/>
          <w:lang w:val="en-US"/>
        </w:rPr>
        <w:t xml:space="preserve"> (88.3% </w:t>
      </w:r>
      <w:r>
        <w:rPr>
          <w:rFonts w:ascii="Times New Roman" w:hAnsi="Times New Roman"/>
          <w:szCs w:val="24"/>
          <w:lang w:val="en-US"/>
        </w:rPr>
        <w:t>жена</w:t>
      </w:r>
      <w:r w:rsidR="00691850" w:rsidRPr="00295637">
        <w:rPr>
          <w:rFonts w:ascii="Times New Roman" w:hAnsi="Times New Roman"/>
          <w:szCs w:val="24"/>
          <w:lang w:val="en-US"/>
        </w:rPr>
        <w:t xml:space="preserve"> </w:t>
      </w:r>
      <w:r>
        <w:rPr>
          <w:rFonts w:ascii="Times New Roman" w:hAnsi="Times New Roman"/>
          <w:szCs w:val="24"/>
          <w:lang w:val="en-US"/>
        </w:rPr>
        <w:t>и</w:t>
      </w:r>
      <w:r w:rsidR="00691850" w:rsidRPr="00295637">
        <w:rPr>
          <w:rFonts w:ascii="Times New Roman" w:hAnsi="Times New Roman"/>
          <w:szCs w:val="24"/>
          <w:lang w:val="en-US"/>
        </w:rPr>
        <w:t xml:space="preserve"> 83.4% </w:t>
      </w:r>
      <w:r>
        <w:rPr>
          <w:rFonts w:ascii="Times New Roman" w:hAnsi="Times New Roman"/>
          <w:szCs w:val="24"/>
          <w:lang w:val="en-US"/>
        </w:rPr>
        <w:t>мушкараца</w:t>
      </w:r>
      <w:r w:rsidR="00691850" w:rsidRPr="00295637">
        <w:rPr>
          <w:rFonts w:ascii="Times New Roman" w:hAnsi="Times New Roman"/>
          <w:szCs w:val="24"/>
          <w:lang w:val="en-US"/>
        </w:rPr>
        <w:t xml:space="preserve">) </w:t>
      </w:r>
      <w:r>
        <w:rPr>
          <w:rFonts w:ascii="Times New Roman" w:hAnsi="Times New Roman"/>
          <w:szCs w:val="24"/>
          <w:lang w:val="en-US"/>
        </w:rPr>
        <w:t>сматра</w:t>
      </w:r>
      <w:r w:rsidR="00691850" w:rsidRPr="00295637">
        <w:rPr>
          <w:rFonts w:ascii="Times New Roman" w:hAnsi="Times New Roman"/>
          <w:szCs w:val="24"/>
          <w:lang w:val="en-US"/>
        </w:rPr>
        <w:t xml:space="preserve"> </w:t>
      </w:r>
      <w:r>
        <w:rPr>
          <w:rFonts w:ascii="Times New Roman" w:hAnsi="Times New Roman"/>
          <w:szCs w:val="24"/>
          <w:lang w:val="en-US"/>
        </w:rPr>
        <w:t>да</w:t>
      </w:r>
      <w:r w:rsidR="00691850" w:rsidRPr="00295637">
        <w:rPr>
          <w:rFonts w:ascii="Times New Roman" w:hAnsi="Times New Roman"/>
          <w:szCs w:val="24"/>
          <w:lang w:val="en-US"/>
        </w:rPr>
        <w:t xml:space="preserve"> </w:t>
      </w:r>
      <w:r>
        <w:rPr>
          <w:rFonts w:ascii="Times New Roman" w:hAnsi="Times New Roman"/>
          <w:szCs w:val="24"/>
          <w:lang w:val="en-US"/>
        </w:rPr>
        <w:t>родно</w:t>
      </w:r>
      <w:r w:rsidR="00691850" w:rsidRPr="00295637">
        <w:rPr>
          <w:rFonts w:ascii="Times New Roman" w:hAnsi="Times New Roman"/>
          <w:szCs w:val="24"/>
          <w:lang w:val="en-US"/>
        </w:rPr>
        <w:t xml:space="preserve"> </w:t>
      </w:r>
      <w:r>
        <w:rPr>
          <w:rFonts w:ascii="Times New Roman" w:hAnsi="Times New Roman"/>
          <w:szCs w:val="24"/>
          <w:lang w:val="en-US"/>
        </w:rPr>
        <w:t>засновано</w:t>
      </w:r>
      <w:r w:rsidR="00691850" w:rsidRPr="00295637">
        <w:rPr>
          <w:rFonts w:ascii="Times New Roman" w:hAnsi="Times New Roman"/>
          <w:szCs w:val="24"/>
          <w:lang w:val="en-US"/>
        </w:rPr>
        <w:t xml:space="preserve"> </w:t>
      </w:r>
      <w:r>
        <w:rPr>
          <w:rFonts w:ascii="Times New Roman" w:hAnsi="Times New Roman"/>
          <w:szCs w:val="24"/>
          <w:lang w:val="en-US"/>
        </w:rPr>
        <w:t>насиље</w:t>
      </w:r>
      <w:r w:rsidR="00691850" w:rsidRPr="00295637">
        <w:rPr>
          <w:rFonts w:ascii="Times New Roman" w:hAnsi="Times New Roman"/>
          <w:szCs w:val="24"/>
          <w:lang w:val="en-US"/>
        </w:rPr>
        <w:t xml:space="preserve"> </w:t>
      </w:r>
      <w:r>
        <w:rPr>
          <w:rFonts w:ascii="Times New Roman" w:hAnsi="Times New Roman"/>
          <w:szCs w:val="24"/>
          <w:lang w:val="en-US"/>
        </w:rPr>
        <w:t>није</w:t>
      </w:r>
      <w:r w:rsidR="00691850" w:rsidRPr="00295637">
        <w:rPr>
          <w:rFonts w:ascii="Times New Roman" w:hAnsi="Times New Roman"/>
          <w:szCs w:val="24"/>
          <w:lang w:val="en-US"/>
        </w:rPr>
        <w:t xml:space="preserve"> </w:t>
      </w:r>
      <w:r>
        <w:rPr>
          <w:rFonts w:ascii="Times New Roman" w:hAnsi="Times New Roman"/>
          <w:szCs w:val="24"/>
          <w:lang w:val="en-US"/>
        </w:rPr>
        <w:t>приватна</w:t>
      </w:r>
      <w:r w:rsidR="00691850" w:rsidRPr="00295637">
        <w:rPr>
          <w:rFonts w:ascii="Times New Roman" w:hAnsi="Times New Roman"/>
          <w:szCs w:val="24"/>
          <w:lang w:val="en-US"/>
        </w:rPr>
        <w:t xml:space="preserve"> </w:t>
      </w:r>
      <w:r>
        <w:rPr>
          <w:rFonts w:ascii="Times New Roman" w:hAnsi="Times New Roman"/>
          <w:szCs w:val="24"/>
          <w:lang w:val="en-US"/>
        </w:rPr>
        <w:t>ствар</w:t>
      </w:r>
      <w:r w:rsidR="00691850" w:rsidRPr="00295637">
        <w:rPr>
          <w:rFonts w:ascii="Times New Roman" w:hAnsi="Times New Roman"/>
          <w:szCs w:val="24"/>
          <w:lang w:val="en-US"/>
        </w:rPr>
        <w:t xml:space="preserve">, </w:t>
      </w:r>
      <w:r>
        <w:rPr>
          <w:rFonts w:ascii="Times New Roman" w:hAnsi="Times New Roman"/>
          <w:szCs w:val="24"/>
          <w:lang w:val="en-US"/>
        </w:rPr>
        <w:t>већ</w:t>
      </w:r>
      <w:r w:rsidR="00691850" w:rsidRPr="00295637">
        <w:rPr>
          <w:rFonts w:ascii="Times New Roman" w:hAnsi="Times New Roman"/>
          <w:szCs w:val="24"/>
          <w:lang w:val="en-US"/>
        </w:rPr>
        <w:t xml:space="preserve"> </w:t>
      </w:r>
      <w:r>
        <w:rPr>
          <w:rFonts w:ascii="Times New Roman" w:hAnsi="Times New Roman"/>
          <w:szCs w:val="24"/>
          <w:lang w:val="en-US"/>
        </w:rPr>
        <w:t>озбиљан</w:t>
      </w:r>
      <w:r w:rsidR="00691850" w:rsidRPr="00295637">
        <w:rPr>
          <w:rFonts w:ascii="Times New Roman" w:hAnsi="Times New Roman"/>
          <w:szCs w:val="24"/>
          <w:lang w:val="en-US"/>
        </w:rPr>
        <w:t xml:space="preserve"> </w:t>
      </w:r>
      <w:r>
        <w:rPr>
          <w:rFonts w:ascii="Times New Roman" w:hAnsi="Times New Roman"/>
          <w:szCs w:val="24"/>
          <w:lang w:val="en-US"/>
        </w:rPr>
        <w:t>друштвени</w:t>
      </w:r>
      <w:r w:rsidR="00691850" w:rsidRPr="00295637">
        <w:rPr>
          <w:rFonts w:ascii="Times New Roman" w:hAnsi="Times New Roman"/>
          <w:szCs w:val="24"/>
          <w:lang w:val="en-US"/>
        </w:rPr>
        <w:t xml:space="preserve">, </w:t>
      </w:r>
      <w:r>
        <w:rPr>
          <w:rFonts w:ascii="Times New Roman" w:hAnsi="Times New Roman"/>
          <w:szCs w:val="24"/>
          <w:lang w:val="en-US"/>
        </w:rPr>
        <w:t>економски</w:t>
      </w:r>
      <w:r w:rsidR="00691850" w:rsidRPr="00295637">
        <w:rPr>
          <w:rFonts w:ascii="Times New Roman" w:hAnsi="Times New Roman"/>
          <w:szCs w:val="24"/>
          <w:lang w:val="en-US"/>
        </w:rPr>
        <w:t xml:space="preserve"> </w:t>
      </w:r>
      <w:r>
        <w:rPr>
          <w:rFonts w:ascii="Times New Roman" w:hAnsi="Times New Roman"/>
          <w:szCs w:val="24"/>
          <w:lang w:val="en-US"/>
        </w:rPr>
        <w:t>и</w:t>
      </w:r>
      <w:r w:rsidR="00691850" w:rsidRPr="00295637">
        <w:rPr>
          <w:rFonts w:ascii="Times New Roman" w:hAnsi="Times New Roman"/>
          <w:szCs w:val="24"/>
          <w:lang w:val="en-US"/>
        </w:rPr>
        <w:t xml:space="preserve"> </w:t>
      </w:r>
      <w:r>
        <w:rPr>
          <w:rFonts w:ascii="Times New Roman" w:hAnsi="Times New Roman"/>
          <w:szCs w:val="24"/>
          <w:lang w:val="en-US"/>
        </w:rPr>
        <w:t>здравствени</w:t>
      </w:r>
      <w:r w:rsidR="00691850" w:rsidRPr="00295637">
        <w:rPr>
          <w:rFonts w:ascii="Times New Roman" w:hAnsi="Times New Roman"/>
          <w:szCs w:val="24"/>
          <w:lang w:val="en-US"/>
        </w:rPr>
        <w:t xml:space="preserve"> </w:t>
      </w:r>
      <w:r>
        <w:rPr>
          <w:rFonts w:ascii="Times New Roman" w:hAnsi="Times New Roman"/>
          <w:szCs w:val="24"/>
          <w:lang w:val="en-US"/>
        </w:rPr>
        <w:t>проблем</w:t>
      </w:r>
      <w:r w:rsidR="008E7CDD" w:rsidRPr="00295637">
        <w:rPr>
          <w:rFonts w:ascii="Times New Roman" w:hAnsi="Times New Roman"/>
          <w:szCs w:val="24"/>
          <w:lang w:val="bs-Latn-BA"/>
        </w:rPr>
        <w:t xml:space="preserve">. </w:t>
      </w:r>
      <w:r>
        <w:rPr>
          <w:rFonts w:ascii="Times New Roman" w:hAnsi="Times New Roman"/>
          <w:szCs w:val="24"/>
          <w:lang w:val="en-US"/>
        </w:rPr>
        <w:t>Већина</w:t>
      </w:r>
      <w:r w:rsidR="008E7CDD" w:rsidRPr="00295637">
        <w:rPr>
          <w:rFonts w:ascii="Times New Roman" w:hAnsi="Times New Roman"/>
          <w:szCs w:val="24"/>
          <w:lang w:val="en-US"/>
        </w:rPr>
        <w:t xml:space="preserve"> </w:t>
      </w:r>
      <w:r>
        <w:rPr>
          <w:rFonts w:ascii="Times New Roman" w:hAnsi="Times New Roman"/>
          <w:szCs w:val="24"/>
          <w:lang w:val="en-US"/>
        </w:rPr>
        <w:t>жена</w:t>
      </w:r>
      <w:r w:rsidR="008E7CDD" w:rsidRPr="00295637">
        <w:rPr>
          <w:rFonts w:ascii="Times New Roman" w:hAnsi="Times New Roman"/>
          <w:szCs w:val="24"/>
          <w:lang w:val="en-US"/>
        </w:rPr>
        <w:t xml:space="preserve"> 79.1% </w:t>
      </w:r>
      <w:r>
        <w:rPr>
          <w:rFonts w:ascii="Times New Roman" w:hAnsi="Times New Roman"/>
          <w:szCs w:val="24"/>
          <w:lang w:val="en-US"/>
        </w:rPr>
        <w:t>и</w:t>
      </w:r>
      <w:r w:rsidR="008E7CDD" w:rsidRPr="00295637">
        <w:rPr>
          <w:rFonts w:ascii="Times New Roman" w:hAnsi="Times New Roman"/>
          <w:szCs w:val="24"/>
          <w:lang w:val="en-US"/>
        </w:rPr>
        <w:t xml:space="preserve"> 77.6% </w:t>
      </w:r>
      <w:r>
        <w:rPr>
          <w:rFonts w:ascii="Times New Roman" w:hAnsi="Times New Roman"/>
          <w:szCs w:val="24"/>
          <w:lang w:val="en-US"/>
        </w:rPr>
        <w:t>мушкараца</w:t>
      </w:r>
      <w:r w:rsidR="008E7CDD" w:rsidRPr="00295637">
        <w:rPr>
          <w:rFonts w:ascii="Times New Roman" w:hAnsi="Times New Roman"/>
          <w:szCs w:val="24"/>
          <w:lang w:val="en-US"/>
        </w:rPr>
        <w:t xml:space="preserve"> </w:t>
      </w:r>
      <w:r>
        <w:rPr>
          <w:rFonts w:ascii="Times New Roman" w:hAnsi="Times New Roman"/>
          <w:szCs w:val="24"/>
          <w:lang w:val="en-US"/>
        </w:rPr>
        <w:t>се</w:t>
      </w:r>
      <w:r w:rsidR="008E7CDD" w:rsidRPr="00295637">
        <w:rPr>
          <w:rFonts w:ascii="Times New Roman" w:hAnsi="Times New Roman"/>
          <w:szCs w:val="24"/>
          <w:lang w:val="en-US"/>
        </w:rPr>
        <w:t xml:space="preserve"> </w:t>
      </w:r>
      <w:r>
        <w:rPr>
          <w:rFonts w:ascii="Times New Roman" w:hAnsi="Times New Roman"/>
          <w:szCs w:val="24"/>
          <w:lang w:val="en-US"/>
        </w:rPr>
        <w:t>слаже</w:t>
      </w:r>
      <w:r w:rsidR="008E7CDD" w:rsidRPr="00295637">
        <w:rPr>
          <w:rFonts w:ascii="Times New Roman" w:hAnsi="Times New Roman"/>
          <w:szCs w:val="24"/>
          <w:lang w:val="en-US"/>
        </w:rPr>
        <w:t xml:space="preserve"> </w:t>
      </w:r>
      <w:r>
        <w:rPr>
          <w:rFonts w:ascii="Times New Roman" w:hAnsi="Times New Roman"/>
          <w:szCs w:val="24"/>
          <w:lang w:val="en-US"/>
        </w:rPr>
        <w:t>да</w:t>
      </w:r>
      <w:r w:rsidR="008E7CDD" w:rsidRPr="00295637">
        <w:rPr>
          <w:rFonts w:ascii="Times New Roman" w:hAnsi="Times New Roman"/>
          <w:szCs w:val="24"/>
          <w:lang w:val="en-US"/>
        </w:rPr>
        <w:t xml:space="preserve"> </w:t>
      </w:r>
      <w:r>
        <w:rPr>
          <w:rFonts w:ascii="Times New Roman" w:hAnsi="Times New Roman"/>
          <w:szCs w:val="24"/>
          <w:lang w:val="en-US"/>
        </w:rPr>
        <w:t>жене</w:t>
      </w:r>
      <w:r w:rsidR="008E7CDD" w:rsidRPr="00295637">
        <w:rPr>
          <w:rFonts w:ascii="Times New Roman" w:hAnsi="Times New Roman"/>
          <w:szCs w:val="24"/>
          <w:lang w:val="en-US"/>
        </w:rPr>
        <w:t xml:space="preserve"> </w:t>
      </w:r>
      <w:r>
        <w:rPr>
          <w:rFonts w:ascii="Times New Roman" w:hAnsi="Times New Roman"/>
          <w:szCs w:val="24"/>
          <w:lang w:val="en-US"/>
        </w:rPr>
        <w:t>нису</w:t>
      </w:r>
      <w:r w:rsidR="008E7CDD" w:rsidRPr="00295637">
        <w:rPr>
          <w:rFonts w:ascii="Times New Roman" w:hAnsi="Times New Roman"/>
          <w:szCs w:val="24"/>
          <w:lang w:val="en-US"/>
        </w:rPr>
        <w:t xml:space="preserve"> </w:t>
      </w:r>
      <w:r>
        <w:rPr>
          <w:rFonts w:ascii="Times New Roman" w:hAnsi="Times New Roman"/>
          <w:szCs w:val="24"/>
          <w:lang w:val="en-US"/>
        </w:rPr>
        <w:t>криве</w:t>
      </w:r>
      <w:r w:rsidR="008E7CDD" w:rsidRPr="00295637">
        <w:rPr>
          <w:rFonts w:ascii="Times New Roman" w:hAnsi="Times New Roman"/>
          <w:szCs w:val="24"/>
          <w:lang w:val="en-US"/>
        </w:rPr>
        <w:t xml:space="preserve"> </w:t>
      </w:r>
      <w:r>
        <w:rPr>
          <w:rFonts w:ascii="Times New Roman" w:hAnsi="Times New Roman"/>
          <w:szCs w:val="24"/>
          <w:lang w:val="en-US"/>
        </w:rPr>
        <w:t>за</w:t>
      </w:r>
      <w:r w:rsidR="008E7CDD" w:rsidRPr="00295637">
        <w:rPr>
          <w:rFonts w:ascii="Times New Roman" w:hAnsi="Times New Roman"/>
          <w:szCs w:val="24"/>
          <w:lang w:val="en-US"/>
        </w:rPr>
        <w:t xml:space="preserve"> </w:t>
      </w:r>
      <w:r>
        <w:rPr>
          <w:rFonts w:ascii="Times New Roman" w:hAnsi="Times New Roman"/>
          <w:szCs w:val="24"/>
          <w:lang w:val="en-US"/>
        </w:rPr>
        <w:t>насиље</w:t>
      </w:r>
      <w:r w:rsidR="008E7CDD" w:rsidRPr="00295637">
        <w:rPr>
          <w:rFonts w:ascii="Times New Roman" w:hAnsi="Times New Roman"/>
          <w:szCs w:val="24"/>
          <w:lang w:val="en-US"/>
        </w:rPr>
        <w:t xml:space="preserve">, </w:t>
      </w:r>
      <w:r>
        <w:rPr>
          <w:rFonts w:ascii="Times New Roman" w:hAnsi="Times New Roman"/>
          <w:szCs w:val="24"/>
          <w:lang w:val="en-US"/>
        </w:rPr>
        <w:t>али</w:t>
      </w:r>
      <w:r w:rsidR="008E7CDD" w:rsidRPr="00295637">
        <w:rPr>
          <w:rFonts w:ascii="Times New Roman" w:hAnsi="Times New Roman"/>
          <w:szCs w:val="24"/>
          <w:lang w:val="en-US"/>
        </w:rPr>
        <w:t xml:space="preserve"> </w:t>
      </w:r>
      <w:r>
        <w:rPr>
          <w:rFonts w:ascii="Times New Roman" w:hAnsi="Times New Roman"/>
          <w:szCs w:val="24"/>
          <w:lang w:val="en-US"/>
        </w:rPr>
        <w:t>скоро</w:t>
      </w:r>
      <w:r w:rsidR="008E7CDD" w:rsidRPr="00295637">
        <w:rPr>
          <w:rFonts w:ascii="Times New Roman" w:hAnsi="Times New Roman"/>
          <w:szCs w:val="24"/>
          <w:lang w:val="en-US"/>
        </w:rPr>
        <w:t xml:space="preserve"> </w:t>
      </w:r>
      <w:r>
        <w:rPr>
          <w:rFonts w:ascii="Times New Roman" w:hAnsi="Times New Roman"/>
          <w:szCs w:val="24"/>
          <w:lang w:val="en-US"/>
        </w:rPr>
        <w:t>четвртина</w:t>
      </w:r>
      <w:r w:rsidR="008E7CDD" w:rsidRPr="00295637">
        <w:rPr>
          <w:rFonts w:ascii="Times New Roman" w:hAnsi="Times New Roman"/>
          <w:szCs w:val="24"/>
          <w:lang w:val="en-US"/>
        </w:rPr>
        <w:t xml:space="preserve"> </w:t>
      </w:r>
      <w:r>
        <w:rPr>
          <w:rFonts w:ascii="Times New Roman" w:hAnsi="Times New Roman"/>
          <w:szCs w:val="24"/>
          <w:lang w:val="en-US"/>
        </w:rPr>
        <w:t>испитаника</w:t>
      </w:r>
      <w:r w:rsidR="008E7CDD" w:rsidRPr="00295637">
        <w:rPr>
          <w:rFonts w:ascii="Times New Roman" w:hAnsi="Times New Roman"/>
          <w:szCs w:val="24"/>
          <w:lang w:val="en-US"/>
        </w:rPr>
        <w:t xml:space="preserve"> </w:t>
      </w:r>
      <w:r>
        <w:rPr>
          <w:rFonts w:ascii="Times New Roman" w:hAnsi="Times New Roman"/>
          <w:szCs w:val="24"/>
          <w:lang w:val="en-US"/>
        </w:rPr>
        <w:t>и</w:t>
      </w:r>
      <w:r w:rsidR="008E7CDD" w:rsidRPr="00295637">
        <w:rPr>
          <w:rFonts w:ascii="Times New Roman" w:hAnsi="Times New Roman"/>
          <w:szCs w:val="24"/>
          <w:lang w:val="en-US"/>
        </w:rPr>
        <w:t xml:space="preserve"> </w:t>
      </w:r>
      <w:r>
        <w:rPr>
          <w:rFonts w:ascii="Times New Roman" w:hAnsi="Times New Roman"/>
          <w:szCs w:val="24"/>
          <w:lang w:val="en-US"/>
        </w:rPr>
        <w:t>испитаница</w:t>
      </w:r>
      <w:r w:rsidR="008E7CDD" w:rsidRPr="00295637">
        <w:rPr>
          <w:rFonts w:ascii="Times New Roman" w:hAnsi="Times New Roman"/>
          <w:szCs w:val="24"/>
          <w:lang w:val="en-US"/>
        </w:rPr>
        <w:t xml:space="preserve"> </w:t>
      </w:r>
      <w:r>
        <w:rPr>
          <w:rFonts w:ascii="Times New Roman" w:hAnsi="Times New Roman"/>
          <w:szCs w:val="24"/>
          <w:lang w:val="en-US"/>
        </w:rPr>
        <w:t>и</w:t>
      </w:r>
      <w:r w:rsidR="008E7CDD" w:rsidRPr="00295637">
        <w:rPr>
          <w:rFonts w:ascii="Times New Roman" w:hAnsi="Times New Roman"/>
          <w:szCs w:val="24"/>
          <w:lang w:val="en-US"/>
        </w:rPr>
        <w:t xml:space="preserve"> </w:t>
      </w:r>
      <w:r>
        <w:rPr>
          <w:rFonts w:ascii="Times New Roman" w:hAnsi="Times New Roman"/>
          <w:szCs w:val="24"/>
          <w:lang w:val="en-US"/>
        </w:rPr>
        <w:t>даље</w:t>
      </w:r>
      <w:r w:rsidR="008E7CDD" w:rsidRPr="00295637">
        <w:rPr>
          <w:rFonts w:ascii="Times New Roman" w:hAnsi="Times New Roman"/>
          <w:szCs w:val="24"/>
          <w:lang w:val="en-US"/>
        </w:rPr>
        <w:t xml:space="preserve"> </w:t>
      </w:r>
      <w:r>
        <w:rPr>
          <w:rFonts w:ascii="Times New Roman" w:hAnsi="Times New Roman"/>
          <w:szCs w:val="24"/>
          <w:lang w:val="en-US"/>
        </w:rPr>
        <w:t>сматра</w:t>
      </w:r>
      <w:r w:rsidR="008E7CDD" w:rsidRPr="00295637">
        <w:rPr>
          <w:rFonts w:ascii="Times New Roman" w:hAnsi="Times New Roman"/>
          <w:szCs w:val="24"/>
          <w:lang w:val="en-US"/>
        </w:rPr>
        <w:t xml:space="preserve"> </w:t>
      </w:r>
      <w:r>
        <w:rPr>
          <w:rFonts w:ascii="Times New Roman" w:hAnsi="Times New Roman"/>
          <w:szCs w:val="24"/>
          <w:lang w:val="en-US"/>
        </w:rPr>
        <w:t>да</w:t>
      </w:r>
      <w:r w:rsidR="008E7CDD" w:rsidRPr="00295637">
        <w:rPr>
          <w:rFonts w:ascii="Times New Roman" w:hAnsi="Times New Roman"/>
          <w:szCs w:val="24"/>
          <w:lang w:val="en-US"/>
        </w:rPr>
        <w:t xml:space="preserve"> </w:t>
      </w:r>
      <w:r>
        <w:rPr>
          <w:rFonts w:ascii="Times New Roman" w:hAnsi="Times New Roman"/>
          <w:szCs w:val="24"/>
          <w:lang w:val="en-US"/>
        </w:rPr>
        <w:t>су</w:t>
      </w:r>
      <w:r w:rsidR="008E7CDD" w:rsidRPr="00295637">
        <w:rPr>
          <w:rFonts w:ascii="Times New Roman" w:hAnsi="Times New Roman"/>
          <w:szCs w:val="24"/>
          <w:lang w:val="en-US"/>
        </w:rPr>
        <w:t xml:space="preserve"> </w:t>
      </w:r>
      <w:r>
        <w:rPr>
          <w:rFonts w:ascii="Times New Roman" w:hAnsi="Times New Roman"/>
          <w:szCs w:val="24"/>
          <w:lang w:val="en-US"/>
        </w:rPr>
        <w:t>за</w:t>
      </w:r>
      <w:r w:rsidR="008E7CDD" w:rsidRPr="00295637">
        <w:rPr>
          <w:rFonts w:ascii="Times New Roman" w:hAnsi="Times New Roman"/>
          <w:szCs w:val="24"/>
          <w:lang w:val="en-US"/>
        </w:rPr>
        <w:t xml:space="preserve"> </w:t>
      </w:r>
      <w:r>
        <w:rPr>
          <w:rFonts w:ascii="Times New Roman" w:hAnsi="Times New Roman"/>
          <w:szCs w:val="24"/>
          <w:lang w:val="en-US"/>
        </w:rPr>
        <w:t>насиље</w:t>
      </w:r>
      <w:r w:rsidR="008E7CDD" w:rsidRPr="00295637">
        <w:rPr>
          <w:rFonts w:ascii="Times New Roman" w:hAnsi="Times New Roman"/>
          <w:szCs w:val="24"/>
          <w:lang w:val="en-US"/>
        </w:rPr>
        <w:t xml:space="preserve"> </w:t>
      </w:r>
      <w:r>
        <w:rPr>
          <w:rFonts w:ascii="Times New Roman" w:hAnsi="Times New Roman"/>
          <w:szCs w:val="24"/>
          <w:lang w:val="en-US"/>
        </w:rPr>
        <w:t>криве</w:t>
      </w:r>
      <w:r w:rsidR="008E7CDD" w:rsidRPr="00295637">
        <w:rPr>
          <w:rFonts w:ascii="Times New Roman" w:hAnsi="Times New Roman"/>
          <w:szCs w:val="24"/>
          <w:lang w:val="en-US"/>
        </w:rPr>
        <w:t xml:space="preserve"> </w:t>
      </w:r>
      <w:r>
        <w:rPr>
          <w:rFonts w:ascii="Times New Roman" w:hAnsi="Times New Roman"/>
          <w:szCs w:val="24"/>
          <w:lang w:val="en-US"/>
        </w:rPr>
        <w:t>саме</w:t>
      </w:r>
      <w:r w:rsidR="008E7CDD" w:rsidRPr="00295637">
        <w:rPr>
          <w:rFonts w:ascii="Times New Roman" w:hAnsi="Times New Roman"/>
          <w:szCs w:val="24"/>
          <w:lang w:val="en-US"/>
        </w:rPr>
        <w:t xml:space="preserve"> </w:t>
      </w:r>
      <w:r>
        <w:rPr>
          <w:rFonts w:ascii="Times New Roman" w:hAnsi="Times New Roman"/>
          <w:szCs w:val="24"/>
          <w:lang w:val="en-US"/>
        </w:rPr>
        <w:t>жене</w:t>
      </w:r>
      <w:r w:rsidR="008E7CDD" w:rsidRPr="00295637">
        <w:rPr>
          <w:rFonts w:ascii="Times New Roman" w:hAnsi="Times New Roman"/>
          <w:szCs w:val="24"/>
          <w:lang w:val="en-US"/>
        </w:rPr>
        <w:t xml:space="preserve"> </w:t>
      </w:r>
      <w:r>
        <w:rPr>
          <w:rFonts w:ascii="Times New Roman" w:hAnsi="Times New Roman"/>
          <w:szCs w:val="24"/>
          <w:lang w:val="en-US"/>
        </w:rPr>
        <w:t>јер</w:t>
      </w:r>
      <w:r w:rsidR="008E7CDD" w:rsidRPr="00295637">
        <w:rPr>
          <w:rFonts w:ascii="Times New Roman" w:hAnsi="Times New Roman"/>
          <w:szCs w:val="24"/>
          <w:lang w:val="en-US"/>
        </w:rPr>
        <w:t xml:space="preserve"> </w:t>
      </w:r>
      <w:r>
        <w:rPr>
          <w:rFonts w:ascii="Times New Roman" w:hAnsi="Times New Roman"/>
          <w:szCs w:val="24"/>
          <w:lang w:val="en-US"/>
        </w:rPr>
        <w:t>превише</w:t>
      </w:r>
      <w:r w:rsidR="008E7CDD" w:rsidRPr="00295637">
        <w:rPr>
          <w:rFonts w:ascii="Times New Roman" w:hAnsi="Times New Roman"/>
          <w:szCs w:val="24"/>
          <w:lang w:val="en-US"/>
        </w:rPr>
        <w:t xml:space="preserve"> </w:t>
      </w:r>
      <w:r>
        <w:rPr>
          <w:rFonts w:ascii="Times New Roman" w:hAnsi="Times New Roman"/>
          <w:szCs w:val="24"/>
          <w:lang w:val="en-US"/>
        </w:rPr>
        <w:t>причају</w:t>
      </w:r>
      <w:r w:rsidR="008E7CDD" w:rsidRPr="00295637">
        <w:rPr>
          <w:rFonts w:ascii="Times New Roman" w:hAnsi="Times New Roman"/>
          <w:szCs w:val="24"/>
          <w:lang w:val="en-US"/>
        </w:rPr>
        <w:t xml:space="preserve"> </w:t>
      </w:r>
      <w:r>
        <w:rPr>
          <w:rFonts w:ascii="Times New Roman" w:hAnsi="Times New Roman"/>
          <w:szCs w:val="24"/>
          <w:lang w:val="en-US"/>
        </w:rPr>
        <w:t>и</w:t>
      </w:r>
      <w:r w:rsidR="008E7CDD" w:rsidRPr="00295637">
        <w:rPr>
          <w:rFonts w:ascii="Times New Roman" w:hAnsi="Times New Roman"/>
          <w:szCs w:val="24"/>
          <w:lang w:val="en-US"/>
        </w:rPr>
        <w:t xml:space="preserve"> </w:t>
      </w:r>
      <w:r>
        <w:rPr>
          <w:rFonts w:ascii="Times New Roman" w:hAnsi="Times New Roman"/>
          <w:szCs w:val="24"/>
          <w:lang w:val="en-US"/>
        </w:rPr>
        <w:t>носе</w:t>
      </w:r>
      <w:r w:rsidR="008E7CDD" w:rsidRPr="00295637">
        <w:rPr>
          <w:rFonts w:ascii="Times New Roman" w:hAnsi="Times New Roman"/>
          <w:szCs w:val="24"/>
          <w:lang w:val="en-US"/>
        </w:rPr>
        <w:t xml:space="preserve"> </w:t>
      </w:r>
      <w:r>
        <w:rPr>
          <w:rFonts w:ascii="Times New Roman" w:hAnsi="Times New Roman"/>
          <w:szCs w:val="24"/>
          <w:lang w:val="en-US"/>
        </w:rPr>
        <w:t>провокативну</w:t>
      </w:r>
      <w:r w:rsidR="008E7CDD" w:rsidRPr="00295637">
        <w:rPr>
          <w:rFonts w:ascii="Times New Roman" w:hAnsi="Times New Roman"/>
          <w:szCs w:val="24"/>
          <w:lang w:val="en-US"/>
        </w:rPr>
        <w:t xml:space="preserve"> </w:t>
      </w:r>
      <w:r>
        <w:rPr>
          <w:rFonts w:ascii="Times New Roman" w:hAnsi="Times New Roman"/>
          <w:szCs w:val="24"/>
          <w:lang w:val="en-US"/>
        </w:rPr>
        <w:t>одјећу</w:t>
      </w:r>
      <w:r w:rsidR="008E7CDD" w:rsidRPr="00295637">
        <w:rPr>
          <w:rFonts w:ascii="Times New Roman" w:hAnsi="Times New Roman"/>
          <w:szCs w:val="24"/>
          <w:lang w:val="en-US"/>
        </w:rPr>
        <w:t xml:space="preserve">. </w:t>
      </w:r>
    </w:p>
    <w:p w:rsidR="007701C2" w:rsidRPr="00295637" w:rsidRDefault="007701C2" w:rsidP="0086268D">
      <w:pPr>
        <w:autoSpaceDE w:val="0"/>
        <w:autoSpaceDN w:val="0"/>
        <w:adjustRightInd w:val="0"/>
        <w:jc w:val="both"/>
        <w:rPr>
          <w:rFonts w:ascii="Times New Roman" w:hAnsi="Times New Roman"/>
          <w:szCs w:val="24"/>
          <w:lang w:val="en-US"/>
        </w:rPr>
      </w:pPr>
    </w:p>
    <w:p w:rsidR="00505388" w:rsidRPr="00295637" w:rsidRDefault="00C6214E" w:rsidP="0086268D">
      <w:pPr>
        <w:autoSpaceDE w:val="0"/>
        <w:autoSpaceDN w:val="0"/>
        <w:adjustRightInd w:val="0"/>
        <w:jc w:val="both"/>
        <w:rPr>
          <w:rFonts w:ascii="Times New Roman" w:hAnsi="Times New Roman"/>
          <w:szCs w:val="24"/>
          <w:lang w:val="en-US"/>
        </w:rPr>
      </w:pPr>
      <w:r>
        <w:rPr>
          <w:rFonts w:ascii="Times New Roman" w:hAnsi="Times New Roman"/>
          <w:szCs w:val="24"/>
          <w:lang w:val="en-US"/>
        </w:rPr>
        <w:t>Као</w:t>
      </w:r>
      <w:r w:rsidR="008E7CDD" w:rsidRPr="00295637">
        <w:rPr>
          <w:rFonts w:ascii="Times New Roman" w:hAnsi="Times New Roman"/>
          <w:szCs w:val="24"/>
          <w:lang w:val="en-US"/>
        </w:rPr>
        <w:t xml:space="preserve"> </w:t>
      </w:r>
      <w:r>
        <w:rPr>
          <w:rFonts w:ascii="Times New Roman" w:hAnsi="Times New Roman"/>
          <w:szCs w:val="24"/>
          <w:lang w:val="en-US"/>
        </w:rPr>
        <w:t>један</w:t>
      </w:r>
      <w:r w:rsidR="008E7CDD" w:rsidRPr="00295637">
        <w:rPr>
          <w:rFonts w:ascii="Times New Roman" w:hAnsi="Times New Roman"/>
          <w:szCs w:val="24"/>
          <w:lang w:val="en-US"/>
        </w:rPr>
        <w:t xml:space="preserve"> </w:t>
      </w:r>
      <w:r>
        <w:rPr>
          <w:rFonts w:ascii="Times New Roman" w:hAnsi="Times New Roman"/>
          <w:szCs w:val="24"/>
          <w:lang w:val="en-US"/>
        </w:rPr>
        <w:t>од</w:t>
      </w:r>
      <w:r w:rsidR="008E7CDD" w:rsidRPr="00295637">
        <w:rPr>
          <w:rFonts w:ascii="Times New Roman" w:hAnsi="Times New Roman"/>
          <w:szCs w:val="24"/>
          <w:lang w:val="en-US"/>
        </w:rPr>
        <w:t xml:space="preserve"> </w:t>
      </w:r>
      <w:r>
        <w:rPr>
          <w:rFonts w:ascii="Times New Roman" w:hAnsi="Times New Roman"/>
          <w:szCs w:val="24"/>
          <w:lang w:val="en-US"/>
        </w:rPr>
        <w:t>кључних</w:t>
      </w:r>
      <w:r w:rsidR="008E7CDD" w:rsidRPr="00295637">
        <w:rPr>
          <w:rFonts w:ascii="Times New Roman" w:hAnsi="Times New Roman"/>
          <w:szCs w:val="24"/>
          <w:lang w:val="en-US"/>
        </w:rPr>
        <w:t xml:space="preserve"> </w:t>
      </w:r>
      <w:r>
        <w:rPr>
          <w:rFonts w:ascii="Times New Roman" w:hAnsi="Times New Roman"/>
          <w:szCs w:val="24"/>
          <w:lang w:val="en-US"/>
        </w:rPr>
        <w:t>проблема</w:t>
      </w:r>
      <w:r w:rsidR="007701C2" w:rsidRPr="00295637">
        <w:rPr>
          <w:rFonts w:ascii="Times New Roman" w:hAnsi="Times New Roman"/>
          <w:szCs w:val="24"/>
          <w:lang w:val="en-US"/>
        </w:rPr>
        <w:t xml:space="preserve">, </w:t>
      </w:r>
      <w:r>
        <w:rPr>
          <w:rFonts w:ascii="Times New Roman" w:hAnsi="Times New Roman"/>
          <w:szCs w:val="24"/>
          <w:lang w:val="en-US"/>
        </w:rPr>
        <w:t>новија</w:t>
      </w:r>
      <w:r w:rsidR="007701C2" w:rsidRPr="00295637">
        <w:rPr>
          <w:rFonts w:ascii="Times New Roman" w:hAnsi="Times New Roman"/>
          <w:szCs w:val="24"/>
          <w:lang w:val="en-US"/>
        </w:rPr>
        <w:t xml:space="preserve"> </w:t>
      </w:r>
      <w:r>
        <w:rPr>
          <w:rFonts w:ascii="Times New Roman" w:hAnsi="Times New Roman"/>
          <w:szCs w:val="24"/>
          <w:lang w:val="en-US"/>
        </w:rPr>
        <w:t>истраживања</w:t>
      </w:r>
      <w:r w:rsidR="008E7CDD" w:rsidRPr="00295637">
        <w:rPr>
          <w:rFonts w:ascii="Times New Roman" w:hAnsi="Times New Roman"/>
          <w:szCs w:val="24"/>
          <w:lang w:val="en-US"/>
        </w:rPr>
        <w:t xml:space="preserve"> </w:t>
      </w:r>
      <w:r>
        <w:rPr>
          <w:rFonts w:ascii="Times New Roman" w:hAnsi="Times New Roman"/>
          <w:szCs w:val="24"/>
          <w:lang w:val="en-US"/>
        </w:rPr>
        <w:t>наводе</w:t>
      </w:r>
      <w:r w:rsidR="008E7CDD" w:rsidRPr="00295637">
        <w:rPr>
          <w:rFonts w:ascii="Times New Roman" w:hAnsi="Times New Roman"/>
          <w:szCs w:val="24"/>
          <w:lang w:val="en-US"/>
        </w:rPr>
        <w:t xml:space="preserve"> </w:t>
      </w:r>
      <w:r>
        <w:rPr>
          <w:rFonts w:ascii="Times New Roman" w:hAnsi="Times New Roman"/>
          <w:szCs w:val="24"/>
          <w:lang w:val="en-US"/>
        </w:rPr>
        <w:t>незадовољавајућ</w:t>
      </w:r>
      <w:r w:rsidR="00514807">
        <w:rPr>
          <w:rFonts w:ascii="Times New Roman" w:hAnsi="Times New Roman"/>
          <w:szCs w:val="24"/>
          <w:lang w:val="sr-Cyrl-BA"/>
        </w:rPr>
        <w:t>е</w:t>
      </w:r>
      <w:r w:rsidR="008E7CDD" w:rsidRPr="00295637">
        <w:rPr>
          <w:rFonts w:ascii="Times New Roman" w:hAnsi="Times New Roman"/>
          <w:szCs w:val="24"/>
          <w:lang w:val="en-US"/>
        </w:rPr>
        <w:t xml:space="preserve"> </w:t>
      </w:r>
      <w:r w:rsidR="00514807">
        <w:rPr>
          <w:rFonts w:ascii="Times New Roman" w:hAnsi="Times New Roman"/>
          <w:szCs w:val="24"/>
          <w:lang w:val="sr-Cyrl-BA"/>
        </w:rPr>
        <w:t>спровођење</w:t>
      </w:r>
      <w:r w:rsidR="008E7CDD" w:rsidRPr="00295637">
        <w:rPr>
          <w:rFonts w:ascii="Times New Roman" w:hAnsi="Times New Roman"/>
          <w:szCs w:val="24"/>
          <w:lang w:val="en-US"/>
        </w:rPr>
        <w:t xml:space="preserve"> </w:t>
      </w:r>
      <w:r>
        <w:rPr>
          <w:rFonts w:ascii="Times New Roman" w:hAnsi="Times New Roman"/>
          <w:szCs w:val="24"/>
          <w:lang w:val="en-US"/>
        </w:rPr>
        <w:t>постојећег</w:t>
      </w:r>
      <w:r w:rsidR="008E7CDD" w:rsidRPr="00295637">
        <w:rPr>
          <w:rFonts w:ascii="Times New Roman" w:hAnsi="Times New Roman"/>
          <w:szCs w:val="24"/>
          <w:lang w:val="en-US"/>
        </w:rPr>
        <w:t xml:space="preserve"> </w:t>
      </w:r>
      <w:r>
        <w:rPr>
          <w:rFonts w:ascii="Times New Roman" w:hAnsi="Times New Roman"/>
          <w:szCs w:val="24"/>
          <w:lang w:val="en-US"/>
        </w:rPr>
        <w:t>законодавства</w:t>
      </w:r>
      <w:r w:rsidR="008E7CDD" w:rsidRPr="00295637">
        <w:rPr>
          <w:rFonts w:ascii="Times New Roman" w:hAnsi="Times New Roman"/>
          <w:szCs w:val="24"/>
          <w:lang w:val="en-US"/>
        </w:rPr>
        <w:t xml:space="preserve"> </w:t>
      </w:r>
      <w:r>
        <w:rPr>
          <w:rFonts w:ascii="Times New Roman" w:hAnsi="Times New Roman"/>
          <w:szCs w:val="24"/>
          <w:lang w:val="en-US"/>
        </w:rPr>
        <w:t>о</w:t>
      </w:r>
      <w:r w:rsidR="008E7CDD" w:rsidRPr="00295637">
        <w:rPr>
          <w:rFonts w:ascii="Times New Roman" w:hAnsi="Times New Roman"/>
          <w:szCs w:val="24"/>
          <w:lang w:val="en-US"/>
        </w:rPr>
        <w:t xml:space="preserve"> </w:t>
      </w:r>
      <w:r>
        <w:rPr>
          <w:rFonts w:ascii="Times New Roman" w:hAnsi="Times New Roman"/>
          <w:szCs w:val="24"/>
          <w:lang w:val="en-US"/>
        </w:rPr>
        <w:t>насиљу</w:t>
      </w:r>
      <w:r w:rsidR="008E7CDD" w:rsidRPr="00295637">
        <w:rPr>
          <w:rFonts w:ascii="Times New Roman" w:hAnsi="Times New Roman"/>
          <w:szCs w:val="24"/>
          <w:lang w:val="en-US"/>
        </w:rPr>
        <w:t xml:space="preserve"> </w:t>
      </w:r>
      <w:r>
        <w:rPr>
          <w:rFonts w:ascii="Times New Roman" w:hAnsi="Times New Roman"/>
          <w:szCs w:val="24"/>
          <w:lang w:val="en-US"/>
        </w:rPr>
        <w:t>у</w:t>
      </w:r>
      <w:r w:rsidR="008E7CDD" w:rsidRPr="00295637">
        <w:rPr>
          <w:rFonts w:ascii="Times New Roman" w:hAnsi="Times New Roman"/>
          <w:szCs w:val="24"/>
          <w:lang w:val="en-US"/>
        </w:rPr>
        <w:t xml:space="preserve"> </w:t>
      </w:r>
      <w:r>
        <w:rPr>
          <w:rFonts w:ascii="Times New Roman" w:hAnsi="Times New Roman"/>
          <w:szCs w:val="24"/>
          <w:lang w:val="en-US"/>
        </w:rPr>
        <w:t>породици</w:t>
      </w:r>
      <w:r w:rsidR="008E7CDD" w:rsidRPr="00295637">
        <w:rPr>
          <w:rFonts w:ascii="Times New Roman" w:hAnsi="Times New Roman"/>
          <w:szCs w:val="24"/>
          <w:lang w:val="en-US"/>
        </w:rPr>
        <w:t xml:space="preserve">, </w:t>
      </w:r>
      <w:r>
        <w:rPr>
          <w:rFonts w:ascii="Times New Roman" w:hAnsi="Times New Roman"/>
          <w:szCs w:val="24"/>
          <w:lang w:val="en-US"/>
        </w:rPr>
        <w:t>недовољну</w:t>
      </w:r>
      <w:r w:rsidR="008E7CDD" w:rsidRPr="00295637">
        <w:rPr>
          <w:rFonts w:ascii="Times New Roman" w:hAnsi="Times New Roman"/>
          <w:szCs w:val="24"/>
          <w:lang w:val="en-US"/>
        </w:rPr>
        <w:t xml:space="preserve"> </w:t>
      </w:r>
      <w:r>
        <w:rPr>
          <w:rFonts w:ascii="Times New Roman" w:hAnsi="Times New Roman"/>
          <w:szCs w:val="24"/>
          <w:lang w:val="en-US"/>
        </w:rPr>
        <w:t>родну</w:t>
      </w:r>
      <w:r w:rsidR="008E7CDD" w:rsidRPr="00295637">
        <w:rPr>
          <w:rFonts w:ascii="Times New Roman" w:hAnsi="Times New Roman"/>
          <w:szCs w:val="24"/>
          <w:lang w:val="en-US"/>
        </w:rPr>
        <w:t xml:space="preserve"> </w:t>
      </w:r>
      <w:r>
        <w:rPr>
          <w:rFonts w:ascii="Times New Roman" w:hAnsi="Times New Roman"/>
          <w:szCs w:val="24"/>
          <w:lang w:val="en-US"/>
        </w:rPr>
        <w:t>осјетљивост</w:t>
      </w:r>
      <w:r w:rsidR="008E7CDD" w:rsidRPr="00295637">
        <w:rPr>
          <w:rFonts w:ascii="Times New Roman" w:hAnsi="Times New Roman"/>
          <w:szCs w:val="24"/>
          <w:lang w:val="en-US"/>
        </w:rPr>
        <w:t xml:space="preserve"> </w:t>
      </w:r>
      <w:r>
        <w:rPr>
          <w:rFonts w:ascii="Times New Roman" w:hAnsi="Times New Roman"/>
          <w:szCs w:val="24"/>
          <w:lang w:val="en-US"/>
        </w:rPr>
        <w:t>полицијских</w:t>
      </w:r>
      <w:r w:rsidR="007701C2" w:rsidRPr="00295637">
        <w:rPr>
          <w:rFonts w:ascii="Times New Roman" w:hAnsi="Times New Roman"/>
          <w:szCs w:val="24"/>
          <w:lang w:val="en-US"/>
        </w:rPr>
        <w:t xml:space="preserve"> </w:t>
      </w:r>
      <w:r>
        <w:rPr>
          <w:rFonts w:ascii="Times New Roman" w:hAnsi="Times New Roman"/>
          <w:szCs w:val="24"/>
          <w:lang w:val="en-US"/>
        </w:rPr>
        <w:t>службеника</w:t>
      </w:r>
      <w:r w:rsidR="00E57C44">
        <w:rPr>
          <w:rFonts w:ascii="Times New Roman" w:hAnsi="Times New Roman"/>
          <w:szCs w:val="24"/>
          <w:lang w:val="en-US"/>
        </w:rPr>
        <w:t xml:space="preserve">. </w:t>
      </w:r>
      <w:r>
        <w:rPr>
          <w:rFonts w:ascii="Times New Roman" w:hAnsi="Times New Roman"/>
          <w:szCs w:val="24"/>
          <w:lang w:val="en-US"/>
        </w:rPr>
        <w:t>Постоји</w:t>
      </w:r>
      <w:r w:rsidR="007701C2" w:rsidRPr="00295637">
        <w:rPr>
          <w:rFonts w:ascii="Times New Roman" w:hAnsi="Times New Roman"/>
          <w:szCs w:val="24"/>
          <w:lang w:val="en-US"/>
        </w:rPr>
        <w:t xml:space="preserve"> </w:t>
      </w:r>
      <w:r>
        <w:rPr>
          <w:rFonts w:ascii="Times New Roman" w:hAnsi="Times New Roman"/>
          <w:szCs w:val="24"/>
          <w:lang w:val="en-US"/>
        </w:rPr>
        <w:t>потреба</w:t>
      </w:r>
      <w:r w:rsidR="008E7CDD" w:rsidRPr="00295637">
        <w:rPr>
          <w:rFonts w:ascii="Times New Roman" w:hAnsi="Times New Roman"/>
          <w:szCs w:val="24"/>
          <w:lang w:val="en-US"/>
        </w:rPr>
        <w:t xml:space="preserve"> </w:t>
      </w:r>
      <w:r>
        <w:rPr>
          <w:rFonts w:ascii="Times New Roman" w:hAnsi="Times New Roman"/>
          <w:szCs w:val="24"/>
          <w:lang w:val="en-US"/>
        </w:rPr>
        <w:t>за</w:t>
      </w:r>
      <w:r w:rsidR="008E7CDD" w:rsidRPr="00295637">
        <w:rPr>
          <w:rFonts w:ascii="Times New Roman" w:hAnsi="Times New Roman"/>
          <w:szCs w:val="24"/>
          <w:lang w:val="en-US"/>
        </w:rPr>
        <w:t xml:space="preserve"> </w:t>
      </w:r>
      <w:r>
        <w:rPr>
          <w:rFonts w:ascii="Times New Roman" w:hAnsi="Times New Roman"/>
          <w:szCs w:val="24"/>
          <w:lang w:val="en-US"/>
        </w:rPr>
        <w:t>континуираном</w:t>
      </w:r>
      <w:r w:rsidR="008E7CDD" w:rsidRPr="00295637">
        <w:rPr>
          <w:rFonts w:ascii="Times New Roman" w:hAnsi="Times New Roman"/>
          <w:szCs w:val="24"/>
          <w:lang w:val="en-US"/>
        </w:rPr>
        <w:t xml:space="preserve"> </w:t>
      </w:r>
      <w:r>
        <w:rPr>
          <w:rFonts w:ascii="Times New Roman" w:hAnsi="Times New Roman"/>
          <w:szCs w:val="24"/>
          <w:lang w:val="en-US"/>
        </w:rPr>
        <w:t>обуком</w:t>
      </w:r>
      <w:r w:rsidR="008E7CDD" w:rsidRPr="00295637">
        <w:rPr>
          <w:rFonts w:ascii="Times New Roman" w:hAnsi="Times New Roman"/>
          <w:szCs w:val="24"/>
          <w:lang w:val="en-US"/>
        </w:rPr>
        <w:t xml:space="preserve"> </w:t>
      </w:r>
      <w:r>
        <w:rPr>
          <w:rFonts w:ascii="Times New Roman" w:hAnsi="Times New Roman"/>
          <w:szCs w:val="24"/>
          <w:lang w:val="en-US"/>
        </w:rPr>
        <w:t>полицајаца</w:t>
      </w:r>
      <w:r w:rsidR="008E7CDD" w:rsidRPr="00295637">
        <w:rPr>
          <w:rFonts w:ascii="Times New Roman" w:hAnsi="Times New Roman"/>
          <w:szCs w:val="24"/>
          <w:lang w:val="en-US"/>
        </w:rPr>
        <w:t xml:space="preserve"> </w:t>
      </w:r>
      <w:r>
        <w:rPr>
          <w:rFonts w:ascii="Times New Roman" w:hAnsi="Times New Roman"/>
          <w:szCs w:val="24"/>
          <w:lang w:val="en-US"/>
        </w:rPr>
        <w:t>да</w:t>
      </w:r>
      <w:r w:rsidR="008E7CDD" w:rsidRPr="00295637">
        <w:rPr>
          <w:rFonts w:ascii="Times New Roman" w:hAnsi="Times New Roman"/>
          <w:szCs w:val="24"/>
          <w:lang w:val="en-US"/>
        </w:rPr>
        <w:t xml:space="preserve"> </w:t>
      </w:r>
      <w:r>
        <w:rPr>
          <w:rFonts w:ascii="Times New Roman" w:hAnsi="Times New Roman"/>
          <w:szCs w:val="24"/>
          <w:lang w:val="en-US"/>
        </w:rPr>
        <w:t>заштите</w:t>
      </w:r>
      <w:r w:rsidR="008E7CDD" w:rsidRPr="00295637">
        <w:rPr>
          <w:rFonts w:ascii="Times New Roman" w:hAnsi="Times New Roman"/>
          <w:szCs w:val="24"/>
          <w:lang w:val="en-US"/>
        </w:rPr>
        <w:t xml:space="preserve"> </w:t>
      </w:r>
      <w:r>
        <w:rPr>
          <w:rFonts w:ascii="Times New Roman" w:hAnsi="Times New Roman"/>
          <w:szCs w:val="24"/>
          <w:lang w:val="en-US"/>
        </w:rPr>
        <w:t>жртве</w:t>
      </w:r>
      <w:r w:rsidR="008E7CDD" w:rsidRPr="00295637">
        <w:rPr>
          <w:rFonts w:ascii="Times New Roman" w:hAnsi="Times New Roman"/>
          <w:szCs w:val="24"/>
          <w:lang w:val="en-US"/>
        </w:rPr>
        <w:t xml:space="preserve">, </w:t>
      </w:r>
      <w:r>
        <w:rPr>
          <w:rFonts w:ascii="Times New Roman" w:hAnsi="Times New Roman"/>
          <w:szCs w:val="24"/>
          <w:lang w:val="en-US"/>
        </w:rPr>
        <w:t>али</w:t>
      </w:r>
      <w:r w:rsidR="008E7CDD" w:rsidRPr="00295637">
        <w:rPr>
          <w:rFonts w:ascii="Times New Roman" w:hAnsi="Times New Roman"/>
          <w:szCs w:val="24"/>
          <w:lang w:val="en-US"/>
        </w:rPr>
        <w:t xml:space="preserve"> </w:t>
      </w:r>
      <w:r>
        <w:rPr>
          <w:rFonts w:ascii="Times New Roman" w:hAnsi="Times New Roman"/>
          <w:szCs w:val="24"/>
          <w:lang w:val="en-US"/>
        </w:rPr>
        <w:t>и</w:t>
      </w:r>
      <w:r w:rsidR="008E7CDD" w:rsidRPr="00295637">
        <w:rPr>
          <w:rFonts w:ascii="Times New Roman" w:hAnsi="Times New Roman"/>
          <w:szCs w:val="24"/>
          <w:lang w:val="en-US"/>
        </w:rPr>
        <w:t xml:space="preserve"> </w:t>
      </w:r>
      <w:r>
        <w:rPr>
          <w:rFonts w:ascii="Times New Roman" w:hAnsi="Times New Roman"/>
          <w:szCs w:val="24"/>
          <w:lang w:val="en-US"/>
        </w:rPr>
        <w:t>систем</w:t>
      </w:r>
      <w:r w:rsidR="008E7CDD" w:rsidRPr="00295637">
        <w:rPr>
          <w:rFonts w:ascii="Times New Roman" w:hAnsi="Times New Roman"/>
          <w:szCs w:val="24"/>
          <w:lang w:val="en-US"/>
        </w:rPr>
        <w:t xml:space="preserve"> </w:t>
      </w:r>
      <w:r>
        <w:rPr>
          <w:rFonts w:ascii="Times New Roman" w:hAnsi="Times New Roman"/>
          <w:szCs w:val="24"/>
          <w:lang w:val="en-US"/>
        </w:rPr>
        <w:t>који</w:t>
      </w:r>
      <w:r w:rsidR="008E7CDD" w:rsidRPr="00295637">
        <w:rPr>
          <w:rFonts w:ascii="Times New Roman" w:hAnsi="Times New Roman"/>
          <w:szCs w:val="24"/>
          <w:lang w:val="en-US"/>
        </w:rPr>
        <w:t xml:space="preserve"> </w:t>
      </w:r>
      <w:r>
        <w:rPr>
          <w:rFonts w:ascii="Times New Roman" w:hAnsi="Times New Roman"/>
          <w:szCs w:val="24"/>
          <w:lang w:val="en-US"/>
        </w:rPr>
        <w:t>и</w:t>
      </w:r>
      <w:r w:rsidR="008E7CDD" w:rsidRPr="00295637">
        <w:rPr>
          <w:rFonts w:ascii="Times New Roman" w:hAnsi="Times New Roman"/>
          <w:szCs w:val="24"/>
          <w:lang w:val="en-US"/>
        </w:rPr>
        <w:t xml:space="preserve"> </w:t>
      </w:r>
      <w:r>
        <w:rPr>
          <w:rFonts w:ascii="Times New Roman" w:hAnsi="Times New Roman"/>
          <w:szCs w:val="24"/>
          <w:lang w:val="en-US"/>
        </w:rPr>
        <w:t>даље</w:t>
      </w:r>
      <w:r w:rsidR="008E7CDD" w:rsidRPr="00295637">
        <w:rPr>
          <w:rFonts w:ascii="Times New Roman" w:hAnsi="Times New Roman"/>
          <w:szCs w:val="24"/>
          <w:lang w:val="en-US"/>
        </w:rPr>
        <w:t xml:space="preserve"> </w:t>
      </w:r>
      <w:r>
        <w:rPr>
          <w:rFonts w:ascii="Times New Roman" w:hAnsi="Times New Roman"/>
          <w:szCs w:val="24"/>
          <w:lang w:val="en-US"/>
        </w:rPr>
        <w:t>треба</w:t>
      </w:r>
      <w:r w:rsidR="008E7CDD" w:rsidRPr="00295637">
        <w:rPr>
          <w:rFonts w:ascii="Times New Roman" w:hAnsi="Times New Roman"/>
          <w:szCs w:val="24"/>
          <w:lang w:val="en-US"/>
        </w:rPr>
        <w:t xml:space="preserve"> </w:t>
      </w:r>
      <w:r>
        <w:rPr>
          <w:rFonts w:ascii="Times New Roman" w:hAnsi="Times New Roman"/>
          <w:szCs w:val="24"/>
          <w:lang w:val="en-US"/>
        </w:rPr>
        <w:t>да</w:t>
      </w:r>
      <w:r w:rsidR="008E7CDD" w:rsidRPr="00295637">
        <w:rPr>
          <w:rFonts w:ascii="Times New Roman" w:hAnsi="Times New Roman"/>
          <w:szCs w:val="24"/>
          <w:lang w:val="en-US"/>
        </w:rPr>
        <w:t xml:space="preserve"> </w:t>
      </w:r>
      <w:r>
        <w:rPr>
          <w:rFonts w:ascii="Times New Roman" w:hAnsi="Times New Roman"/>
          <w:szCs w:val="24"/>
          <w:lang w:val="en-US"/>
        </w:rPr>
        <w:t>помогне</w:t>
      </w:r>
      <w:r w:rsidR="008E7CDD" w:rsidRPr="00295637">
        <w:rPr>
          <w:rFonts w:ascii="Times New Roman" w:hAnsi="Times New Roman"/>
          <w:szCs w:val="24"/>
          <w:lang w:val="en-US"/>
        </w:rPr>
        <w:t xml:space="preserve"> </w:t>
      </w:r>
      <w:r>
        <w:rPr>
          <w:rFonts w:ascii="Times New Roman" w:hAnsi="Times New Roman"/>
          <w:szCs w:val="24"/>
          <w:lang w:val="en-US"/>
        </w:rPr>
        <w:t>женама</w:t>
      </w:r>
      <w:r w:rsidR="008E7CDD" w:rsidRPr="00295637">
        <w:rPr>
          <w:rFonts w:ascii="Times New Roman" w:hAnsi="Times New Roman"/>
          <w:szCs w:val="24"/>
          <w:lang w:val="en-US"/>
        </w:rPr>
        <w:t xml:space="preserve"> </w:t>
      </w:r>
      <w:r>
        <w:rPr>
          <w:rFonts w:ascii="Times New Roman" w:hAnsi="Times New Roman"/>
          <w:szCs w:val="24"/>
          <w:lang w:val="en-US"/>
        </w:rPr>
        <w:t>да</w:t>
      </w:r>
      <w:r w:rsidR="008E7CDD" w:rsidRPr="00295637">
        <w:rPr>
          <w:rFonts w:ascii="Times New Roman" w:hAnsi="Times New Roman"/>
          <w:szCs w:val="24"/>
          <w:lang w:val="en-US"/>
        </w:rPr>
        <w:t xml:space="preserve"> </w:t>
      </w:r>
      <w:r>
        <w:rPr>
          <w:rFonts w:ascii="Times New Roman" w:hAnsi="Times New Roman"/>
          <w:szCs w:val="24"/>
          <w:lang w:val="en-US"/>
        </w:rPr>
        <w:t>остваре</w:t>
      </w:r>
      <w:r w:rsidR="008E7CDD" w:rsidRPr="00295637">
        <w:rPr>
          <w:rFonts w:ascii="Times New Roman" w:hAnsi="Times New Roman"/>
          <w:szCs w:val="24"/>
          <w:lang w:val="en-US"/>
        </w:rPr>
        <w:t xml:space="preserve"> </w:t>
      </w:r>
      <w:r>
        <w:rPr>
          <w:rFonts w:ascii="Times New Roman" w:hAnsi="Times New Roman"/>
          <w:szCs w:val="24"/>
          <w:lang w:val="en-US"/>
        </w:rPr>
        <w:t>своја</w:t>
      </w:r>
      <w:r w:rsidR="008E7CDD" w:rsidRPr="00295637">
        <w:rPr>
          <w:rFonts w:ascii="Times New Roman" w:hAnsi="Times New Roman"/>
          <w:szCs w:val="24"/>
          <w:lang w:val="en-US"/>
        </w:rPr>
        <w:t xml:space="preserve"> </w:t>
      </w:r>
      <w:r>
        <w:rPr>
          <w:rFonts w:ascii="Times New Roman" w:hAnsi="Times New Roman"/>
          <w:szCs w:val="24"/>
          <w:lang w:val="en-US"/>
        </w:rPr>
        <w:t>загарант</w:t>
      </w:r>
      <w:r w:rsidR="00514807">
        <w:rPr>
          <w:rFonts w:ascii="Times New Roman" w:hAnsi="Times New Roman"/>
          <w:szCs w:val="24"/>
          <w:lang w:val="sr-Cyrl-BA"/>
        </w:rPr>
        <w:t>ована</w:t>
      </w:r>
      <w:r w:rsidR="008E7CDD" w:rsidRPr="00295637">
        <w:rPr>
          <w:rFonts w:ascii="Times New Roman" w:hAnsi="Times New Roman"/>
          <w:szCs w:val="24"/>
          <w:lang w:val="en-US"/>
        </w:rPr>
        <w:t xml:space="preserve"> </w:t>
      </w:r>
      <w:r>
        <w:rPr>
          <w:rFonts w:ascii="Times New Roman" w:hAnsi="Times New Roman"/>
          <w:szCs w:val="24"/>
          <w:lang w:val="en-US"/>
        </w:rPr>
        <w:t>права</w:t>
      </w:r>
      <w:r w:rsidR="008E7CDD" w:rsidRPr="00295637">
        <w:rPr>
          <w:rFonts w:ascii="Times New Roman" w:hAnsi="Times New Roman"/>
          <w:szCs w:val="24"/>
          <w:lang w:val="en-US"/>
        </w:rPr>
        <w:t xml:space="preserve">, </w:t>
      </w:r>
      <w:r>
        <w:rPr>
          <w:rFonts w:ascii="Times New Roman" w:hAnsi="Times New Roman"/>
          <w:szCs w:val="24"/>
          <w:lang w:val="en-US"/>
        </w:rPr>
        <w:t>као</w:t>
      </w:r>
      <w:r w:rsidR="008E7CDD" w:rsidRPr="00295637">
        <w:rPr>
          <w:rFonts w:ascii="Times New Roman" w:hAnsi="Times New Roman"/>
          <w:szCs w:val="24"/>
          <w:lang w:val="en-US"/>
        </w:rPr>
        <w:t xml:space="preserve"> </w:t>
      </w:r>
      <w:r>
        <w:rPr>
          <w:rFonts w:ascii="Times New Roman" w:hAnsi="Times New Roman"/>
          <w:szCs w:val="24"/>
          <w:lang w:val="en-US"/>
        </w:rPr>
        <w:t>што</w:t>
      </w:r>
      <w:r w:rsidR="008E7CDD" w:rsidRPr="00295637">
        <w:rPr>
          <w:rFonts w:ascii="Times New Roman" w:hAnsi="Times New Roman"/>
          <w:szCs w:val="24"/>
          <w:lang w:val="en-US"/>
        </w:rPr>
        <w:t xml:space="preserve"> </w:t>
      </w:r>
      <w:r>
        <w:rPr>
          <w:rFonts w:ascii="Times New Roman" w:hAnsi="Times New Roman"/>
          <w:szCs w:val="24"/>
          <w:lang w:val="en-US"/>
        </w:rPr>
        <w:t>је</w:t>
      </w:r>
      <w:r w:rsidR="008E7CDD" w:rsidRPr="00295637">
        <w:rPr>
          <w:rFonts w:ascii="Times New Roman" w:hAnsi="Times New Roman"/>
          <w:szCs w:val="24"/>
          <w:lang w:val="en-US"/>
        </w:rPr>
        <w:t xml:space="preserve"> </w:t>
      </w:r>
      <w:r>
        <w:rPr>
          <w:rFonts w:ascii="Times New Roman" w:hAnsi="Times New Roman"/>
          <w:szCs w:val="24"/>
          <w:lang w:val="en-US"/>
        </w:rPr>
        <w:t>алиментација</w:t>
      </w:r>
      <w:r w:rsidR="008E7CDD" w:rsidRPr="00295637">
        <w:rPr>
          <w:rFonts w:ascii="Times New Roman" w:hAnsi="Times New Roman"/>
          <w:szCs w:val="24"/>
          <w:lang w:val="en-US"/>
        </w:rPr>
        <w:t>.</w:t>
      </w:r>
    </w:p>
    <w:p w:rsidR="008E7CDD" w:rsidRPr="00295637" w:rsidRDefault="008E7CDD" w:rsidP="0086268D">
      <w:pPr>
        <w:rPr>
          <w:rFonts w:ascii="Times New Roman" w:hAnsi="Times New Roman"/>
        </w:rPr>
      </w:pPr>
    </w:p>
    <w:p w:rsidR="00C948D2" w:rsidRPr="00C948D2" w:rsidRDefault="00514807" w:rsidP="00C948D2">
      <w:pPr>
        <w:pStyle w:val="Heading3"/>
        <w:numPr>
          <w:ilvl w:val="0"/>
          <w:numId w:val="0"/>
        </w:numPr>
        <w:spacing w:after="0" w:line="240" w:lineRule="auto"/>
        <w:rPr>
          <w:rFonts w:ascii="Times New Roman" w:hAnsi="Times New Roman" w:cs="Times New Roman"/>
        </w:rPr>
      </w:pPr>
      <w:r>
        <w:rPr>
          <w:rFonts w:ascii="Times New Roman" w:hAnsi="Times New Roman" w:cs="Times New Roman"/>
          <w:color w:val="548DD4" w:themeColor="text2" w:themeTint="99"/>
        </w:rPr>
        <w:t>I</w:t>
      </w:r>
      <w:r w:rsidR="0051777C" w:rsidRPr="0051777C">
        <w:rPr>
          <w:rFonts w:ascii="Times New Roman" w:hAnsi="Times New Roman" w:cs="Times New Roman"/>
          <w:color w:val="548DD4" w:themeColor="text2" w:themeTint="99"/>
        </w:rPr>
        <w:t xml:space="preserve"> 1. </w:t>
      </w:r>
      <w:r w:rsidR="00C6214E">
        <w:rPr>
          <w:rFonts w:ascii="Times New Roman" w:hAnsi="Times New Roman" w:cs="Times New Roman"/>
        </w:rPr>
        <w:t>Спречавање</w:t>
      </w:r>
      <w:r w:rsidR="00356C2C" w:rsidRPr="00295637">
        <w:rPr>
          <w:rFonts w:ascii="Times New Roman" w:hAnsi="Times New Roman" w:cs="Times New Roman"/>
        </w:rPr>
        <w:t xml:space="preserve"> </w:t>
      </w:r>
      <w:r w:rsidR="00C6214E">
        <w:rPr>
          <w:rFonts w:ascii="Times New Roman" w:hAnsi="Times New Roman" w:cs="Times New Roman"/>
        </w:rPr>
        <w:t>и</w:t>
      </w:r>
      <w:r w:rsidR="00356C2C" w:rsidRPr="00295637">
        <w:rPr>
          <w:rFonts w:ascii="Times New Roman" w:hAnsi="Times New Roman" w:cs="Times New Roman"/>
        </w:rPr>
        <w:t xml:space="preserve"> </w:t>
      </w:r>
      <w:r w:rsidR="00C6214E">
        <w:rPr>
          <w:rFonts w:ascii="Times New Roman" w:hAnsi="Times New Roman" w:cs="Times New Roman"/>
        </w:rPr>
        <w:t>сузбијање</w:t>
      </w:r>
      <w:r w:rsidR="00356C2C" w:rsidRPr="00295637">
        <w:rPr>
          <w:rFonts w:ascii="Times New Roman" w:hAnsi="Times New Roman" w:cs="Times New Roman"/>
        </w:rPr>
        <w:t xml:space="preserve"> </w:t>
      </w:r>
      <w:r w:rsidR="00C6214E">
        <w:rPr>
          <w:rFonts w:ascii="Times New Roman" w:hAnsi="Times New Roman" w:cs="Times New Roman"/>
        </w:rPr>
        <w:t>насиља</w:t>
      </w:r>
      <w:r w:rsidR="00356C2C" w:rsidRPr="00295637">
        <w:rPr>
          <w:rFonts w:ascii="Times New Roman" w:hAnsi="Times New Roman" w:cs="Times New Roman"/>
        </w:rPr>
        <w:t xml:space="preserve"> </w:t>
      </w:r>
      <w:r w:rsidR="00C6214E">
        <w:rPr>
          <w:rFonts w:ascii="Times New Roman" w:hAnsi="Times New Roman" w:cs="Times New Roman"/>
        </w:rPr>
        <w:t>по</w:t>
      </w:r>
      <w:r w:rsidR="00356C2C" w:rsidRPr="00295637">
        <w:rPr>
          <w:rFonts w:ascii="Times New Roman" w:hAnsi="Times New Roman" w:cs="Times New Roman"/>
        </w:rPr>
        <w:t xml:space="preserve"> </w:t>
      </w:r>
      <w:r w:rsidR="00C6214E">
        <w:rPr>
          <w:rFonts w:ascii="Times New Roman" w:hAnsi="Times New Roman" w:cs="Times New Roman"/>
        </w:rPr>
        <w:t>основу</w:t>
      </w:r>
      <w:r w:rsidR="00356C2C" w:rsidRPr="00295637">
        <w:rPr>
          <w:rFonts w:ascii="Times New Roman" w:hAnsi="Times New Roman" w:cs="Times New Roman"/>
        </w:rPr>
        <w:t xml:space="preserve"> </w:t>
      </w:r>
      <w:r w:rsidR="00C6214E">
        <w:rPr>
          <w:rFonts w:ascii="Times New Roman" w:hAnsi="Times New Roman" w:cs="Times New Roman"/>
        </w:rPr>
        <w:t>пола</w:t>
      </w:r>
      <w:r w:rsidR="00356C2C" w:rsidRPr="00295637">
        <w:rPr>
          <w:rFonts w:ascii="Times New Roman" w:hAnsi="Times New Roman" w:cs="Times New Roman"/>
        </w:rPr>
        <w:t xml:space="preserve">, </w:t>
      </w:r>
      <w:r w:rsidR="00C6214E">
        <w:rPr>
          <w:rFonts w:ascii="Times New Roman" w:hAnsi="Times New Roman" w:cs="Times New Roman"/>
        </w:rPr>
        <w:t>укључујући</w:t>
      </w:r>
      <w:r w:rsidR="00356C2C" w:rsidRPr="00295637">
        <w:rPr>
          <w:rFonts w:ascii="Times New Roman" w:hAnsi="Times New Roman" w:cs="Times New Roman"/>
        </w:rPr>
        <w:t xml:space="preserve"> </w:t>
      </w:r>
      <w:r w:rsidR="00C6214E">
        <w:rPr>
          <w:rFonts w:ascii="Times New Roman" w:hAnsi="Times New Roman" w:cs="Times New Roman"/>
        </w:rPr>
        <w:t>насиље</w:t>
      </w:r>
      <w:r w:rsidR="00356C2C" w:rsidRPr="00295637">
        <w:rPr>
          <w:rFonts w:ascii="Times New Roman" w:hAnsi="Times New Roman" w:cs="Times New Roman"/>
        </w:rPr>
        <w:t xml:space="preserve"> </w:t>
      </w:r>
      <w:r w:rsidR="00C6214E">
        <w:rPr>
          <w:rFonts w:ascii="Times New Roman" w:hAnsi="Times New Roman" w:cs="Times New Roman"/>
        </w:rPr>
        <w:t>у</w:t>
      </w:r>
      <w:r w:rsidR="00356C2C" w:rsidRPr="00295637">
        <w:rPr>
          <w:rFonts w:ascii="Times New Roman" w:hAnsi="Times New Roman" w:cs="Times New Roman"/>
        </w:rPr>
        <w:t xml:space="preserve"> </w:t>
      </w:r>
      <w:r w:rsidR="00C6214E">
        <w:rPr>
          <w:rFonts w:ascii="Times New Roman" w:hAnsi="Times New Roman" w:cs="Times New Roman"/>
        </w:rPr>
        <w:t>породици</w:t>
      </w:r>
      <w:r w:rsidR="00356C2C" w:rsidRPr="00295637">
        <w:rPr>
          <w:rFonts w:ascii="Times New Roman" w:hAnsi="Times New Roman" w:cs="Times New Roman"/>
        </w:rPr>
        <w:t xml:space="preserve"> </w:t>
      </w:r>
      <w:r w:rsidR="00C6214E">
        <w:rPr>
          <w:rFonts w:ascii="Times New Roman" w:hAnsi="Times New Roman" w:cs="Times New Roman"/>
        </w:rPr>
        <w:t>као</w:t>
      </w:r>
      <w:r w:rsidR="00356C2C" w:rsidRPr="00295637">
        <w:rPr>
          <w:rFonts w:ascii="Times New Roman" w:hAnsi="Times New Roman" w:cs="Times New Roman"/>
        </w:rPr>
        <w:t xml:space="preserve"> </w:t>
      </w:r>
      <w:r w:rsidR="00C6214E">
        <w:rPr>
          <w:rFonts w:ascii="Times New Roman" w:hAnsi="Times New Roman" w:cs="Times New Roman"/>
        </w:rPr>
        <w:t>и</w:t>
      </w:r>
      <w:r w:rsidR="00356C2C" w:rsidRPr="00295637">
        <w:rPr>
          <w:rFonts w:ascii="Times New Roman" w:hAnsi="Times New Roman" w:cs="Times New Roman"/>
        </w:rPr>
        <w:t xml:space="preserve"> </w:t>
      </w:r>
      <w:r w:rsidR="00C6214E">
        <w:rPr>
          <w:rFonts w:ascii="Times New Roman" w:hAnsi="Times New Roman" w:cs="Times New Roman"/>
        </w:rPr>
        <w:t>трговину</w:t>
      </w:r>
      <w:r w:rsidR="00356C2C" w:rsidRPr="00295637">
        <w:rPr>
          <w:rFonts w:ascii="Times New Roman" w:hAnsi="Times New Roman" w:cs="Times New Roman"/>
        </w:rPr>
        <w:t xml:space="preserve"> </w:t>
      </w:r>
      <w:bookmarkEnd w:id="14"/>
      <w:bookmarkEnd w:id="15"/>
      <w:r w:rsidR="00C6214E">
        <w:rPr>
          <w:rFonts w:ascii="Times New Roman" w:hAnsi="Times New Roman" w:cs="Times New Roman"/>
        </w:rPr>
        <w:t>људима</w:t>
      </w:r>
      <w:bookmarkEnd w:id="16"/>
    </w:p>
    <w:p w:rsidR="00356C2C" w:rsidRPr="00295637" w:rsidRDefault="00356C2C" w:rsidP="0086268D">
      <w:pPr>
        <w:tabs>
          <w:tab w:val="right" w:pos="567"/>
          <w:tab w:val="right" w:pos="1134"/>
          <w:tab w:val="right" w:pos="8892"/>
        </w:tabs>
        <w:jc w:val="both"/>
        <w:rPr>
          <w:rFonts w:ascii="Times New Roman" w:hAnsi="Times New Roman"/>
          <w:b/>
          <w:szCs w:val="24"/>
          <w:lang w:val="bs-Latn-BA"/>
        </w:rPr>
      </w:pPr>
    </w:p>
    <w:p w:rsidR="002E1DD0" w:rsidRPr="00C948D2" w:rsidRDefault="00514807" w:rsidP="00A8491A">
      <w:pPr>
        <w:pStyle w:val="Heading3"/>
        <w:numPr>
          <w:ilvl w:val="0"/>
          <w:numId w:val="0"/>
        </w:numPr>
        <w:spacing w:after="0" w:line="240" w:lineRule="auto"/>
        <w:ind w:left="720"/>
        <w:rPr>
          <w:rFonts w:ascii="Times New Roman" w:hAnsi="Times New Roman" w:cs="Times New Roman"/>
          <w:b w:val="0"/>
          <w:lang w:val="bs-Latn-BA"/>
        </w:rPr>
      </w:pPr>
      <w:r>
        <w:rPr>
          <w:rFonts w:ascii="Times New Roman" w:hAnsi="Times New Roman" w:cs="Times New Roman"/>
          <w:b w:val="0"/>
          <w:lang w:val="bs-Latn-BA"/>
        </w:rPr>
        <w:t>I</w:t>
      </w:r>
      <w:r w:rsidR="00D30E48">
        <w:rPr>
          <w:rFonts w:ascii="Times New Roman" w:hAnsi="Times New Roman" w:cs="Times New Roman"/>
          <w:b w:val="0"/>
          <w:lang w:val="bs-Latn-BA"/>
        </w:rPr>
        <w:t xml:space="preserve"> 1.1.</w:t>
      </w:r>
      <w:r w:rsidR="0051777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Увођење</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примјена</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међународних</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домаћих</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стандарда</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820492"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w:t>
      </w:r>
      <w:r w:rsidR="0051777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51777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као</w:t>
      </w:r>
      <w:r w:rsidR="00820492"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обавеза</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које</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директно</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или</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индиректно</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регули</w:t>
      </w:r>
      <w:r>
        <w:rPr>
          <w:rFonts w:ascii="Times New Roman" w:hAnsi="Times New Roman" w:cs="Times New Roman"/>
          <w:b w:val="0"/>
          <w:lang w:val="sr-Cyrl-BA"/>
        </w:rPr>
        <w:t>шу</w:t>
      </w:r>
      <w:r w:rsidR="0051777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спречавање</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сузбијање</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насиља</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основу</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пола</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укључујући</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насиље</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породици</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као</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трговину</w:t>
      </w:r>
      <w:r w:rsidR="00356C2C" w:rsidRPr="00C948D2">
        <w:rPr>
          <w:rFonts w:ascii="Times New Roman" w:hAnsi="Times New Roman" w:cs="Times New Roman"/>
          <w:b w:val="0"/>
          <w:lang w:val="bs-Latn-BA"/>
        </w:rPr>
        <w:t xml:space="preserve"> </w:t>
      </w:r>
      <w:r w:rsidR="00C6214E">
        <w:rPr>
          <w:rFonts w:ascii="Times New Roman" w:hAnsi="Times New Roman" w:cs="Times New Roman"/>
          <w:b w:val="0"/>
          <w:lang w:val="bs-Latn-BA"/>
        </w:rPr>
        <w:t>људима</w:t>
      </w:r>
      <w:r w:rsidR="00356C2C" w:rsidRPr="00C948D2">
        <w:rPr>
          <w:rFonts w:ascii="Times New Roman" w:hAnsi="Times New Roman" w:cs="Times New Roman"/>
          <w:b w:val="0"/>
          <w:lang w:val="bs-Latn-BA"/>
        </w:rPr>
        <w:t>.</w:t>
      </w:r>
    </w:p>
    <w:p w:rsidR="00A8491A" w:rsidRDefault="00A8491A" w:rsidP="0086268D">
      <w:pPr>
        <w:jc w:val="both"/>
        <w:rPr>
          <w:rFonts w:ascii="Times New Roman" w:hAnsi="Times New Roman"/>
          <w:szCs w:val="24"/>
          <w:lang w:val="sr-Cyrl-BA"/>
        </w:rPr>
      </w:pPr>
    </w:p>
    <w:p w:rsidR="006807C8" w:rsidRPr="00295637" w:rsidRDefault="00514807" w:rsidP="0086268D">
      <w:pPr>
        <w:jc w:val="both"/>
        <w:rPr>
          <w:rFonts w:ascii="Times New Roman" w:hAnsi="Times New Roman"/>
          <w:szCs w:val="24"/>
          <w:lang w:val="bs-Latn-BA"/>
        </w:rPr>
      </w:pPr>
      <w:r>
        <w:rPr>
          <w:rFonts w:ascii="Times New Roman" w:hAnsi="Times New Roman"/>
          <w:szCs w:val="24"/>
          <w:lang w:val="sr-Cyrl-BA"/>
        </w:rPr>
        <w:t>Савјет</w:t>
      </w:r>
      <w:r w:rsidR="006807C8" w:rsidRPr="00295637">
        <w:rPr>
          <w:rFonts w:ascii="Times New Roman" w:hAnsi="Times New Roman"/>
          <w:szCs w:val="24"/>
          <w:lang w:val="bs-Latn-BA"/>
        </w:rPr>
        <w:t xml:space="preserve"> </w:t>
      </w:r>
      <w:r w:rsidR="00C6214E">
        <w:rPr>
          <w:rFonts w:ascii="Times New Roman" w:hAnsi="Times New Roman"/>
          <w:szCs w:val="24"/>
          <w:lang w:val="bs-Latn-BA"/>
        </w:rPr>
        <w:t>министара</w:t>
      </w:r>
      <w:r w:rsidR="006807C8" w:rsidRPr="00295637">
        <w:rPr>
          <w:rFonts w:ascii="Times New Roman" w:hAnsi="Times New Roman"/>
          <w:szCs w:val="24"/>
          <w:lang w:val="bs-Latn-BA"/>
        </w:rPr>
        <w:t xml:space="preserve"> </w:t>
      </w:r>
      <w:r w:rsidR="00C6214E">
        <w:rPr>
          <w:rFonts w:ascii="Times New Roman" w:hAnsi="Times New Roman"/>
          <w:szCs w:val="24"/>
          <w:lang w:val="bs-Latn-BA"/>
        </w:rPr>
        <w:t>Босне</w:t>
      </w:r>
      <w:r w:rsidR="006807C8" w:rsidRPr="00295637">
        <w:rPr>
          <w:rFonts w:ascii="Times New Roman" w:hAnsi="Times New Roman"/>
          <w:szCs w:val="24"/>
          <w:lang w:val="bs-Latn-BA"/>
        </w:rPr>
        <w:t xml:space="preserve"> </w:t>
      </w:r>
      <w:r w:rsidR="00C6214E">
        <w:rPr>
          <w:rFonts w:ascii="Times New Roman" w:hAnsi="Times New Roman"/>
          <w:szCs w:val="24"/>
          <w:lang w:val="bs-Latn-BA"/>
        </w:rPr>
        <w:t>и</w:t>
      </w:r>
      <w:r w:rsidR="006807C8" w:rsidRPr="00295637">
        <w:rPr>
          <w:rFonts w:ascii="Times New Roman" w:hAnsi="Times New Roman"/>
          <w:szCs w:val="24"/>
          <w:lang w:val="bs-Latn-BA"/>
        </w:rPr>
        <w:t xml:space="preserve"> </w:t>
      </w:r>
      <w:r w:rsidR="00C6214E">
        <w:rPr>
          <w:rFonts w:ascii="Times New Roman" w:hAnsi="Times New Roman"/>
          <w:szCs w:val="24"/>
          <w:lang w:val="bs-Latn-BA"/>
        </w:rPr>
        <w:t>Херцеговине</w:t>
      </w:r>
      <w:r w:rsidR="006807C8" w:rsidRPr="00295637">
        <w:rPr>
          <w:rFonts w:ascii="Times New Roman" w:hAnsi="Times New Roman"/>
          <w:szCs w:val="24"/>
          <w:lang w:val="bs-Latn-BA"/>
        </w:rPr>
        <w:t xml:space="preserve"> </w:t>
      </w:r>
      <w:r w:rsidR="00C6214E">
        <w:rPr>
          <w:rFonts w:ascii="Times New Roman" w:hAnsi="Times New Roman"/>
          <w:szCs w:val="24"/>
          <w:lang w:val="bs-Latn-BA"/>
        </w:rPr>
        <w:t>је</w:t>
      </w:r>
      <w:r w:rsidR="006807C8" w:rsidRPr="00295637">
        <w:rPr>
          <w:rFonts w:ascii="Times New Roman" w:hAnsi="Times New Roman"/>
          <w:szCs w:val="24"/>
          <w:lang w:val="bs-Latn-BA"/>
        </w:rPr>
        <w:t xml:space="preserve"> </w:t>
      </w:r>
      <w:r w:rsidR="00C6214E">
        <w:rPr>
          <w:rFonts w:ascii="Times New Roman" w:hAnsi="Times New Roman"/>
          <w:szCs w:val="24"/>
          <w:lang w:val="bs-Latn-BA"/>
        </w:rPr>
        <w:t>на</w:t>
      </w:r>
      <w:r w:rsidR="006807C8" w:rsidRPr="00295637">
        <w:rPr>
          <w:rFonts w:ascii="Times New Roman" w:hAnsi="Times New Roman"/>
          <w:szCs w:val="24"/>
          <w:lang w:val="bs-Latn-BA"/>
        </w:rPr>
        <w:t xml:space="preserve"> 66. </w:t>
      </w:r>
      <w:r w:rsidR="00C6214E">
        <w:rPr>
          <w:rFonts w:ascii="Times New Roman" w:hAnsi="Times New Roman"/>
          <w:szCs w:val="24"/>
          <w:lang w:val="bs-Latn-BA"/>
        </w:rPr>
        <w:t>сједници</w:t>
      </w:r>
      <w:r w:rsidR="006807C8" w:rsidRPr="00295637">
        <w:rPr>
          <w:rFonts w:ascii="Times New Roman" w:hAnsi="Times New Roman"/>
          <w:szCs w:val="24"/>
          <w:lang w:val="bs-Latn-BA"/>
        </w:rPr>
        <w:t xml:space="preserve">, </w:t>
      </w:r>
      <w:r w:rsidR="00C6214E">
        <w:rPr>
          <w:rFonts w:ascii="Times New Roman" w:hAnsi="Times New Roman"/>
          <w:szCs w:val="24"/>
          <w:lang w:val="bs-Latn-BA"/>
        </w:rPr>
        <w:t>одржаној</w:t>
      </w:r>
      <w:r w:rsidR="006807C8" w:rsidRPr="00295637">
        <w:rPr>
          <w:rFonts w:ascii="Times New Roman" w:hAnsi="Times New Roman"/>
          <w:szCs w:val="24"/>
          <w:lang w:val="bs-Latn-BA"/>
        </w:rPr>
        <w:t xml:space="preserve"> 17.12.2024. </w:t>
      </w:r>
      <w:r w:rsidR="00C6214E">
        <w:rPr>
          <w:rFonts w:ascii="Times New Roman" w:hAnsi="Times New Roman"/>
          <w:szCs w:val="24"/>
          <w:lang w:val="bs-Latn-BA"/>
        </w:rPr>
        <w:t>године</w:t>
      </w:r>
      <w:r w:rsidR="006807C8" w:rsidRPr="00295637">
        <w:rPr>
          <w:rFonts w:ascii="Times New Roman" w:hAnsi="Times New Roman"/>
          <w:szCs w:val="24"/>
          <w:lang w:val="bs-Latn-BA"/>
        </w:rPr>
        <w:t xml:space="preserve">, </w:t>
      </w:r>
      <w:r w:rsidR="00C6214E">
        <w:rPr>
          <w:rFonts w:ascii="Times New Roman" w:hAnsi="Times New Roman"/>
          <w:szCs w:val="24"/>
          <w:lang w:val="bs-Latn-BA"/>
        </w:rPr>
        <w:t>на</w:t>
      </w:r>
      <w:r w:rsidR="006807C8" w:rsidRPr="00295637">
        <w:rPr>
          <w:rFonts w:ascii="Times New Roman" w:hAnsi="Times New Roman"/>
          <w:szCs w:val="24"/>
          <w:lang w:val="bs-Latn-BA"/>
        </w:rPr>
        <w:t xml:space="preserve"> </w:t>
      </w:r>
      <w:r w:rsidR="00C6214E">
        <w:rPr>
          <w:rFonts w:ascii="Times New Roman" w:hAnsi="Times New Roman"/>
          <w:szCs w:val="24"/>
          <w:lang w:val="bs-Latn-BA"/>
        </w:rPr>
        <w:t>приједлог</w:t>
      </w:r>
      <w:r w:rsidR="006807C8" w:rsidRPr="00295637">
        <w:rPr>
          <w:rFonts w:ascii="Times New Roman" w:hAnsi="Times New Roman"/>
          <w:szCs w:val="24"/>
          <w:lang w:val="bs-Latn-BA"/>
        </w:rPr>
        <w:t xml:space="preserve"> </w:t>
      </w:r>
      <w:r w:rsidR="00C6214E">
        <w:rPr>
          <w:rFonts w:ascii="Times New Roman" w:hAnsi="Times New Roman"/>
          <w:szCs w:val="24"/>
          <w:lang w:val="hr-HR"/>
        </w:rPr>
        <w:t>АР</w:t>
      </w:r>
      <w:r>
        <w:rPr>
          <w:rFonts w:ascii="Times New Roman" w:hAnsi="Times New Roman"/>
          <w:szCs w:val="24"/>
          <w:lang w:val="sr-Cyrl-BA"/>
        </w:rPr>
        <w:t>П</w:t>
      </w:r>
      <w:r w:rsidR="00820492">
        <w:rPr>
          <w:rFonts w:ascii="Times New Roman" w:hAnsi="Times New Roman"/>
          <w:szCs w:val="24"/>
          <w:lang w:val="hr-HR"/>
        </w:rPr>
        <w:t xml:space="preserve"> </w:t>
      </w:r>
      <w:r w:rsidR="00C6214E">
        <w:rPr>
          <w:rFonts w:ascii="Times New Roman" w:hAnsi="Times New Roman"/>
          <w:szCs w:val="24"/>
          <w:lang w:val="hr-HR"/>
        </w:rPr>
        <w:t>БиХ</w:t>
      </w:r>
      <w:r w:rsidR="00820492">
        <w:rPr>
          <w:rFonts w:ascii="Times New Roman" w:hAnsi="Times New Roman"/>
          <w:szCs w:val="24"/>
          <w:lang w:val="hr-HR"/>
        </w:rPr>
        <w:t xml:space="preserve"> </w:t>
      </w:r>
      <w:r w:rsidR="00C6214E">
        <w:rPr>
          <w:rFonts w:ascii="Times New Roman" w:hAnsi="Times New Roman"/>
          <w:szCs w:val="24"/>
          <w:lang w:val="hr-HR"/>
        </w:rPr>
        <w:t>МЉПИ</w:t>
      </w:r>
      <w:r w:rsidR="00820492">
        <w:rPr>
          <w:rFonts w:ascii="Times New Roman" w:hAnsi="Times New Roman"/>
          <w:szCs w:val="24"/>
          <w:lang w:val="hr-HR"/>
        </w:rPr>
        <w:t xml:space="preserve"> </w:t>
      </w:r>
      <w:r w:rsidR="00C6214E">
        <w:rPr>
          <w:rFonts w:ascii="Times New Roman" w:hAnsi="Times New Roman"/>
          <w:szCs w:val="24"/>
          <w:lang w:val="hr-HR"/>
        </w:rPr>
        <w:t>БиХ</w:t>
      </w:r>
      <w:r w:rsidR="006807C8" w:rsidRPr="00295637">
        <w:rPr>
          <w:rFonts w:ascii="Times New Roman" w:hAnsi="Times New Roman"/>
          <w:szCs w:val="24"/>
          <w:lang w:val="hr-HR"/>
        </w:rPr>
        <w:t xml:space="preserve">, </w:t>
      </w:r>
      <w:r w:rsidR="00C6214E">
        <w:rPr>
          <w:rFonts w:ascii="Times New Roman" w:hAnsi="Times New Roman"/>
          <w:szCs w:val="24"/>
          <w:lang w:val="hr-HR"/>
        </w:rPr>
        <w:t>усвојило</w:t>
      </w:r>
      <w:r w:rsidR="006807C8" w:rsidRPr="00295637">
        <w:rPr>
          <w:rFonts w:ascii="Times New Roman" w:hAnsi="Times New Roman"/>
          <w:szCs w:val="24"/>
          <w:lang w:val="hr-HR"/>
        </w:rPr>
        <w:t xml:space="preserve"> </w:t>
      </w:r>
      <w:r w:rsidR="00C6214E">
        <w:rPr>
          <w:rFonts w:ascii="Times New Roman" w:hAnsi="Times New Roman"/>
          <w:szCs w:val="24"/>
          <w:lang w:val="hr-HR"/>
        </w:rPr>
        <w:t>План</w:t>
      </w:r>
      <w:r w:rsidR="006807C8" w:rsidRPr="00295637">
        <w:rPr>
          <w:rFonts w:ascii="Times New Roman" w:hAnsi="Times New Roman"/>
          <w:szCs w:val="24"/>
          <w:lang w:val="hr-HR"/>
        </w:rPr>
        <w:t xml:space="preserve"> </w:t>
      </w:r>
      <w:r w:rsidR="00C6214E">
        <w:rPr>
          <w:rFonts w:ascii="Times New Roman" w:hAnsi="Times New Roman"/>
          <w:szCs w:val="24"/>
          <w:lang w:val="hr-HR"/>
        </w:rPr>
        <w:t>конкретних</w:t>
      </w:r>
      <w:r w:rsidR="006807C8" w:rsidRPr="00295637">
        <w:rPr>
          <w:rFonts w:ascii="Times New Roman" w:hAnsi="Times New Roman"/>
          <w:szCs w:val="24"/>
          <w:lang w:val="hr-HR"/>
        </w:rPr>
        <w:t xml:space="preserve"> </w:t>
      </w:r>
      <w:r w:rsidR="00C6214E">
        <w:rPr>
          <w:rFonts w:ascii="Times New Roman" w:hAnsi="Times New Roman"/>
          <w:szCs w:val="24"/>
          <w:lang w:val="hr-HR"/>
        </w:rPr>
        <w:t>мјера</w:t>
      </w:r>
      <w:r w:rsidR="006807C8" w:rsidRPr="00295637">
        <w:rPr>
          <w:rFonts w:ascii="Times New Roman" w:hAnsi="Times New Roman"/>
          <w:szCs w:val="24"/>
          <w:lang w:val="hr-HR"/>
        </w:rPr>
        <w:t xml:space="preserve"> </w:t>
      </w:r>
      <w:r w:rsidR="00C6214E">
        <w:rPr>
          <w:rFonts w:ascii="Times New Roman" w:hAnsi="Times New Roman"/>
          <w:szCs w:val="24"/>
          <w:lang w:val="hr-HR"/>
        </w:rPr>
        <w:t>за</w:t>
      </w:r>
      <w:r w:rsidR="006807C8" w:rsidRPr="00295637">
        <w:rPr>
          <w:rFonts w:ascii="Times New Roman" w:hAnsi="Times New Roman"/>
          <w:szCs w:val="24"/>
          <w:lang w:val="hr-HR"/>
        </w:rPr>
        <w:t xml:space="preserve"> </w:t>
      </w:r>
      <w:r>
        <w:rPr>
          <w:rFonts w:ascii="Times New Roman" w:hAnsi="Times New Roman"/>
          <w:szCs w:val="24"/>
          <w:lang w:val="sr-Cyrl-BA"/>
        </w:rPr>
        <w:t>спровођење</w:t>
      </w:r>
      <w:r w:rsidR="006807C8" w:rsidRPr="00295637">
        <w:rPr>
          <w:rFonts w:ascii="Times New Roman" w:hAnsi="Times New Roman"/>
          <w:szCs w:val="24"/>
          <w:lang w:val="hr-HR"/>
        </w:rPr>
        <w:t xml:space="preserve"> </w:t>
      </w:r>
      <w:r w:rsidR="00C6214E">
        <w:rPr>
          <w:rFonts w:ascii="Times New Roman" w:hAnsi="Times New Roman"/>
          <w:szCs w:val="24"/>
          <w:lang w:val="hr-HR"/>
        </w:rPr>
        <w:t>Резолуције</w:t>
      </w:r>
      <w:r w:rsidR="006807C8" w:rsidRPr="00295637">
        <w:rPr>
          <w:rFonts w:ascii="Times New Roman" w:hAnsi="Times New Roman"/>
          <w:szCs w:val="24"/>
          <w:lang w:val="hr-HR"/>
        </w:rPr>
        <w:t xml:space="preserve"> </w:t>
      </w:r>
      <w:r w:rsidR="00C6214E">
        <w:rPr>
          <w:rFonts w:ascii="Times New Roman" w:hAnsi="Times New Roman"/>
          <w:szCs w:val="24"/>
          <w:lang w:val="hr-HR"/>
        </w:rPr>
        <w:t>Парламентарне</w:t>
      </w:r>
      <w:r w:rsidR="006807C8" w:rsidRPr="00295637">
        <w:rPr>
          <w:rFonts w:ascii="Times New Roman" w:hAnsi="Times New Roman"/>
          <w:szCs w:val="24"/>
          <w:lang w:val="hr-HR"/>
        </w:rPr>
        <w:t xml:space="preserve"> </w:t>
      </w:r>
      <w:r w:rsidR="00C6214E">
        <w:rPr>
          <w:rFonts w:ascii="Times New Roman" w:hAnsi="Times New Roman"/>
          <w:szCs w:val="24"/>
          <w:lang w:val="hr-HR"/>
        </w:rPr>
        <w:t>скупштине</w:t>
      </w:r>
      <w:r w:rsidR="00FE5A2F" w:rsidRPr="00295637">
        <w:rPr>
          <w:rFonts w:ascii="Times New Roman" w:hAnsi="Times New Roman"/>
          <w:szCs w:val="24"/>
          <w:lang w:val="hr-HR"/>
        </w:rPr>
        <w:t xml:space="preserve"> </w:t>
      </w:r>
      <w:r w:rsidR="00C6214E">
        <w:rPr>
          <w:rFonts w:ascii="Times New Roman" w:hAnsi="Times New Roman"/>
          <w:szCs w:val="24"/>
          <w:lang w:val="hr-HR"/>
        </w:rPr>
        <w:t>БиХ</w:t>
      </w:r>
      <w:r w:rsidR="00FE5A2F" w:rsidRPr="00295637">
        <w:rPr>
          <w:rFonts w:ascii="Times New Roman" w:hAnsi="Times New Roman"/>
          <w:szCs w:val="24"/>
          <w:lang w:val="hr-HR"/>
        </w:rPr>
        <w:t xml:space="preserve"> </w:t>
      </w:r>
      <w:r w:rsidR="00C6214E">
        <w:rPr>
          <w:rFonts w:ascii="Times New Roman" w:hAnsi="Times New Roman"/>
          <w:szCs w:val="24"/>
          <w:lang w:val="hr-HR"/>
        </w:rPr>
        <w:t>о</w:t>
      </w:r>
      <w:r w:rsidR="00FE5A2F" w:rsidRPr="00295637">
        <w:rPr>
          <w:rFonts w:ascii="Times New Roman" w:hAnsi="Times New Roman"/>
          <w:szCs w:val="24"/>
          <w:lang w:val="hr-HR"/>
        </w:rPr>
        <w:t xml:space="preserve"> </w:t>
      </w:r>
      <w:r w:rsidR="00C6214E">
        <w:rPr>
          <w:rFonts w:ascii="Times New Roman" w:hAnsi="Times New Roman"/>
          <w:szCs w:val="24"/>
          <w:lang w:val="hr-HR"/>
        </w:rPr>
        <w:t>спречавању</w:t>
      </w:r>
      <w:r w:rsidR="006807C8" w:rsidRPr="00295637">
        <w:rPr>
          <w:rFonts w:ascii="Times New Roman" w:hAnsi="Times New Roman"/>
          <w:szCs w:val="24"/>
          <w:lang w:val="hr-HR"/>
        </w:rPr>
        <w:t xml:space="preserve"> </w:t>
      </w:r>
      <w:r w:rsidR="00C6214E">
        <w:rPr>
          <w:rFonts w:ascii="Times New Roman" w:hAnsi="Times New Roman"/>
          <w:szCs w:val="24"/>
          <w:lang w:val="hr-HR"/>
        </w:rPr>
        <w:t>насиља</w:t>
      </w:r>
      <w:r w:rsidR="006807C8" w:rsidRPr="00295637">
        <w:rPr>
          <w:rFonts w:ascii="Times New Roman" w:hAnsi="Times New Roman"/>
          <w:szCs w:val="24"/>
          <w:lang w:val="hr-HR"/>
        </w:rPr>
        <w:t xml:space="preserve"> </w:t>
      </w:r>
      <w:r w:rsidR="00C6214E">
        <w:rPr>
          <w:rFonts w:ascii="Times New Roman" w:hAnsi="Times New Roman"/>
          <w:szCs w:val="24"/>
          <w:lang w:val="hr-HR"/>
        </w:rPr>
        <w:t>над</w:t>
      </w:r>
      <w:r w:rsidR="006807C8" w:rsidRPr="00295637">
        <w:rPr>
          <w:rFonts w:ascii="Times New Roman" w:hAnsi="Times New Roman"/>
          <w:szCs w:val="24"/>
          <w:lang w:val="hr-HR"/>
        </w:rPr>
        <w:t xml:space="preserve"> </w:t>
      </w:r>
      <w:r w:rsidR="00C6214E">
        <w:rPr>
          <w:rFonts w:ascii="Times New Roman" w:hAnsi="Times New Roman"/>
          <w:szCs w:val="24"/>
          <w:lang w:val="hr-HR"/>
        </w:rPr>
        <w:t>женама</w:t>
      </w:r>
      <w:r w:rsidR="006807C8" w:rsidRPr="00295637">
        <w:rPr>
          <w:rFonts w:ascii="Times New Roman" w:hAnsi="Times New Roman"/>
          <w:szCs w:val="24"/>
          <w:lang w:val="hr-HR"/>
        </w:rPr>
        <w:t>.</w:t>
      </w:r>
      <w:r w:rsidR="008D6D6F" w:rsidRPr="00295637">
        <w:rPr>
          <w:rFonts w:ascii="Times New Roman" w:hAnsi="Times New Roman"/>
          <w:szCs w:val="24"/>
          <w:lang w:val="hr-HR"/>
        </w:rPr>
        <w:t xml:space="preserve"> </w:t>
      </w:r>
      <w:r w:rsidR="00C6214E">
        <w:rPr>
          <w:rFonts w:ascii="Times New Roman" w:hAnsi="Times New Roman"/>
          <w:szCs w:val="24"/>
          <w:lang w:val="hr-HR"/>
        </w:rPr>
        <w:t>Поменутом</w:t>
      </w:r>
      <w:r w:rsidR="00093812" w:rsidRPr="00295637">
        <w:rPr>
          <w:rFonts w:ascii="Times New Roman" w:hAnsi="Times New Roman"/>
          <w:szCs w:val="24"/>
          <w:lang w:val="hr-HR"/>
        </w:rPr>
        <w:t xml:space="preserve"> </w:t>
      </w:r>
      <w:r w:rsidR="00C6214E">
        <w:rPr>
          <w:rFonts w:ascii="Times New Roman" w:hAnsi="Times New Roman"/>
          <w:szCs w:val="24"/>
          <w:lang w:val="hr-HR"/>
        </w:rPr>
        <w:t>Резолуцијом</w:t>
      </w:r>
      <w:r w:rsidR="00093812" w:rsidRPr="00295637">
        <w:rPr>
          <w:rFonts w:ascii="Times New Roman" w:hAnsi="Times New Roman"/>
          <w:szCs w:val="24"/>
          <w:lang w:val="hr-HR"/>
        </w:rPr>
        <w:t xml:space="preserve">, </w:t>
      </w:r>
      <w:r w:rsidR="00C6214E">
        <w:rPr>
          <w:rFonts w:ascii="Times New Roman" w:hAnsi="Times New Roman"/>
          <w:szCs w:val="24"/>
          <w:lang w:val="hr-HR"/>
        </w:rPr>
        <w:t>усвојеном</w:t>
      </w:r>
      <w:r w:rsidR="00093812" w:rsidRPr="00295637">
        <w:rPr>
          <w:rFonts w:ascii="Times New Roman" w:hAnsi="Times New Roman"/>
          <w:szCs w:val="24"/>
          <w:lang w:val="hr-HR"/>
        </w:rPr>
        <w:t xml:space="preserve"> </w:t>
      </w:r>
      <w:r w:rsidR="00C6214E">
        <w:rPr>
          <w:rFonts w:ascii="Times New Roman" w:hAnsi="Times New Roman"/>
          <w:szCs w:val="24"/>
          <w:lang w:val="hr-HR"/>
        </w:rPr>
        <w:t>крајем</w:t>
      </w:r>
      <w:r w:rsidR="00093812" w:rsidRPr="00295637">
        <w:rPr>
          <w:rFonts w:ascii="Times New Roman" w:hAnsi="Times New Roman"/>
          <w:szCs w:val="24"/>
          <w:lang w:val="hr-HR"/>
        </w:rPr>
        <w:t xml:space="preserve"> 2023. </w:t>
      </w:r>
      <w:r w:rsidR="00C6214E">
        <w:rPr>
          <w:rFonts w:ascii="Times New Roman" w:hAnsi="Times New Roman"/>
          <w:szCs w:val="24"/>
          <w:lang w:val="hr-HR"/>
        </w:rPr>
        <w:t>године</w:t>
      </w:r>
      <w:r w:rsidR="00093812" w:rsidRPr="00295637">
        <w:rPr>
          <w:rFonts w:ascii="Times New Roman" w:hAnsi="Times New Roman"/>
          <w:szCs w:val="24"/>
          <w:lang w:val="hr-HR"/>
        </w:rPr>
        <w:t>,</w:t>
      </w:r>
      <w:r w:rsidR="008D6D6F" w:rsidRPr="00295637">
        <w:rPr>
          <w:rFonts w:ascii="Times New Roman" w:hAnsi="Times New Roman"/>
          <w:szCs w:val="24"/>
          <w:lang w:val="hr-HR"/>
        </w:rPr>
        <w:t xml:space="preserve"> </w:t>
      </w:r>
      <w:r w:rsidR="00C6214E">
        <w:rPr>
          <w:rFonts w:ascii="Times New Roman" w:hAnsi="Times New Roman"/>
          <w:szCs w:val="24"/>
          <w:lang w:val="hr-HR"/>
        </w:rPr>
        <w:t>се</w:t>
      </w:r>
      <w:r w:rsidR="008D6D6F" w:rsidRPr="00295637">
        <w:rPr>
          <w:rFonts w:ascii="Times New Roman" w:hAnsi="Times New Roman"/>
          <w:szCs w:val="24"/>
          <w:lang w:val="hr-HR"/>
        </w:rPr>
        <w:t xml:space="preserve"> </w:t>
      </w:r>
      <w:r w:rsidR="00C6214E">
        <w:rPr>
          <w:rFonts w:ascii="Times New Roman" w:hAnsi="Times New Roman"/>
          <w:szCs w:val="24"/>
          <w:lang w:val="hr-HR"/>
        </w:rPr>
        <w:t>од</w:t>
      </w:r>
      <w:r w:rsidR="008D6D6F" w:rsidRPr="00295637">
        <w:rPr>
          <w:rFonts w:ascii="Times New Roman" w:hAnsi="Times New Roman"/>
          <w:szCs w:val="24"/>
          <w:lang w:val="hr-HR"/>
        </w:rPr>
        <w:t xml:space="preserve"> </w:t>
      </w:r>
      <w:r>
        <w:rPr>
          <w:rFonts w:ascii="Times New Roman" w:hAnsi="Times New Roman"/>
          <w:szCs w:val="24"/>
          <w:shd w:val="clear" w:color="auto" w:fill="FFFFFF"/>
          <w:lang w:val="sr-Cyrl-BA"/>
        </w:rPr>
        <w:t>Савјета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министара</w:t>
      </w:r>
      <w:r w:rsidR="009E54A2"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БиХ</w:t>
      </w:r>
      <w:r w:rsidR="009E54A2"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и</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других</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надлежних</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органа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захтјева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да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у</w:t>
      </w:r>
      <w:r w:rsidR="0051777C">
        <w:rPr>
          <w:rFonts w:ascii="Times New Roman" w:hAnsi="Times New Roman"/>
          <w:szCs w:val="24"/>
          <w:shd w:val="clear" w:color="auto" w:fill="FFFFFF"/>
        </w:rPr>
        <w:t xml:space="preserve"> </w:t>
      </w:r>
      <w:r w:rsidR="00C6214E">
        <w:rPr>
          <w:rFonts w:ascii="Times New Roman" w:hAnsi="Times New Roman"/>
          <w:szCs w:val="24"/>
          <w:shd w:val="clear" w:color="auto" w:fill="FFFFFF"/>
        </w:rPr>
        <w:t>складу</w:t>
      </w:r>
      <w:r w:rsidR="0051777C">
        <w:rPr>
          <w:rFonts w:ascii="Times New Roman" w:hAnsi="Times New Roman"/>
          <w:szCs w:val="24"/>
          <w:shd w:val="clear" w:color="auto" w:fill="FFFFFF"/>
        </w:rPr>
        <w:t xml:space="preserve"> </w:t>
      </w:r>
      <w:r w:rsidR="00C6214E">
        <w:rPr>
          <w:rFonts w:ascii="Times New Roman" w:hAnsi="Times New Roman"/>
          <w:szCs w:val="24"/>
          <w:shd w:val="clear" w:color="auto" w:fill="FFFFFF"/>
        </w:rPr>
        <w:t>са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својим</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надлежностима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приступе</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изради</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докумената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у</w:t>
      </w:r>
      <w:r w:rsidR="0051777C">
        <w:rPr>
          <w:rFonts w:ascii="Times New Roman" w:hAnsi="Times New Roman"/>
          <w:szCs w:val="24"/>
          <w:shd w:val="clear" w:color="auto" w:fill="FFFFFF"/>
        </w:rPr>
        <w:t xml:space="preserve"> </w:t>
      </w:r>
      <w:r w:rsidR="00C6214E">
        <w:rPr>
          <w:rFonts w:ascii="Times New Roman" w:hAnsi="Times New Roman"/>
          <w:szCs w:val="24"/>
          <w:shd w:val="clear" w:color="auto" w:fill="FFFFFF"/>
        </w:rPr>
        <w:t>вези</w:t>
      </w:r>
      <w:r w:rsidR="0051777C">
        <w:rPr>
          <w:rFonts w:ascii="Times New Roman" w:hAnsi="Times New Roman"/>
          <w:szCs w:val="24"/>
          <w:shd w:val="clear" w:color="auto" w:fill="FFFFFF"/>
        </w:rPr>
        <w:t xml:space="preserve"> </w:t>
      </w:r>
      <w:r w:rsidR="00C6214E">
        <w:rPr>
          <w:rFonts w:ascii="Times New Roman" w:hAnsi="Times New Roman"/>
          <w:szCs w:val="24"/>
          <w:shd w:val="clear" w:color="auto" w:fill="FFFFFF"/>
        </w:rPr>
        <w:t>са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дефини</w:t>
      </w:r>
      <w:r>
        <w:rPr>
          <w:rFonts w:ascii="Times New Roman" w:hAnsi="Times New Roman"/>
          <w:szCs w:val="24"/>
          <w:shd w:val="clear" w:color="auto" w:fill="FFFFFF"/>
          <w:lang w:val="sr-Cyrl-BA"/>
        </w:rPr>
        <w:t>с</w:t>
      </w:r>
      <w:r w:rsidR="00C6214E">
        <w:rPr>
          <w:rFonts w:ascii="Times New Roman" w:hAnsi="Times New Roman"/>
          <w:szCs w:val="24"/>
          <w:shd w:val="clear" w:color="auto" w:fill="FFFFFF"/>
        </w:rPr>
        <w:t>ањем</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свеобухватног</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оквира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политика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и</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мјера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за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заштиту</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и</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помоћ</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свим</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жртвама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насиља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над</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женама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узнемиравања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жена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и</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насиља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у</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породици</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на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начин</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да</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се</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у</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потпуности</w:t>
      </w:r>
      <w:r w:rsidR="008D6D6F" w:rsidRPr="00295637">
        <w:rPr>
          <w:rFonts w:ascii="Times New Roman" w:hAnsi="Times New Roman"/>
          <w:szCs w:val="24"/>
          <w:shd w:val="clear" w:color="auto" w:fill="FFFFFF"/>
        </w:rPr>
        <w:t xml:space="preserve"> </w:t>
      </w:r>
      <w:r>
        <w:rPr>
          <w:rFonts w:ascii="Times New Roman" w:hAnsi="Times New Roman"/>
          <w:szCs w:val="24"/>
          <w:shd w:val="clear" w:color="auto" w:fill="FFFFFF"/>
          <w:lang w:val="sr-Cyrl-BA"/>
        </w:rPr>
        <w:t>спроводе</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одредбе</w:t>
      </w:r>
      <w:r w:rsidR="008D6D6F"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Истанбулске</w:t>
      </w:r>
      <w:r w:rsidR="00722728" w:rsidRPr="00295637">
        <w:rPr>
          <w:rFonts w:ascii="Times New Roman" w:hAnsi="Times New Roman"/>
          <w:szCs w:val="24"/>
          <w:shd w:val="clear" w:color="auto" w:fill="FFFFFF"/>
        </w:rPr>
        <w:t xml:space="preserve"> </w:t>
      </w:r>
      <w:r w:rsidR="00C6214E">
        <w:rPr>
          <w:rFonts w:ascii="Times New Roman" w:hAnsi="Times New Roman"/>
          <w:szCs w:val="24"/>
          <w:shd w:val="clear" w:color="auto" w:fill="FFFFFF"/>
        </w:rPr>
        <w:t>конвенције</w:t>
      </w:r>
      <w:r w:rsidR="008D6D6F" w:rsidRPr="00295637">
        <w:rPr>
          <w:rFonts w:ascii="Times New Roman" w:hAnsi="Times New Roman"/>
          <w:szCs w:val="24"/>
          <w:shd w:val="clear" w:color="auto" w:fill="FFFFFF"/>
        </w:rPr>
        <w:t>.</w:t>
      </w:r>
    </w:p>
    <w:p w:rsidR="00190B68" w:rsidRPr="00295637" w:rsidRDefault="00190B68" w:rsidP="0086268D">
      <w:pPr>
        <w:contextualSpacing/>
        <w:jc w:val="both"/>
        <w:rPr>
          <w:rFonts w:ascii="Times New Roman" w:hAnsi="Times New Roman"/>
          <w:bCs/>
          <w:szCs w:val="24"/>
          <w:lang w:val="en-US"/>
        </w:rPr>
      </w:pPr>
    </w:p>
    <w:p w:rsidR="00D77325" w:rsidRPr="00295637" w:rsidRDefault="00C6214E" w:rsidP="0086268D">
      <w:pPr>
        <w:tabs>
          <w:tab w:val="left" w:pos="0"/>
          <w:tab w:val="left" w:pos="630"/>
          <w:tab w:val="left" w:pos="1080"/>
        </w:tabs>
        <w:jc w:val="both"/>
        <w:rPr>
          <w:rFonts w:ascii="Times New Roman" w:hAnsi="Times New Roman"/>
          <w:szCs w:val="24"/>
          <w:lang w:val="hr-HR"/>
        </w:rPr>
      </w:pPr>
      <w:r>
        <w:rPr>
          <w:rFonts w:ascii="Times New Roman" w:hAnsi="Times New Roman"/>
          <w:szCs w:val="24"/>
          <w:lang w:val="hr-HR"/>
        </w:rPr>
        <w:t>Што</w:t>
      </w:r>
      <w:r w:rsidR="006D21E0" w:rsidRPr="00295637">
        <w:rPr>
          <w:rFonts w:ascii="Times New Roman" w:hAnsi="Times New Roman"/>
          <w:szCs w:val="24"/>
          <w:lang w:val="hr-HR"/>
        </w:rPr>
        <w:t xml:space="preserve"> </w:t>
      </w:r>
      <w:r>
        <w:rPr>
          <w:rFonts w:ascii="Times New Roman" w:hAnsi="Times New Roman"/>
          <w:szCs w:val="24"/>
          <w:lang w:val="hr-HR"/>
        </w:rPr>
        <w:t>се</w:t>
      </w:r>
      <w:r w:rsidR="006D21E0" w:rsidRPr="00295637">
        <w:rPr>
          <w:rFonts w:ascii="Times New Roman" w:hAnsi="Times New Roman"/>
          <w:szCs w:val="24"/>
          <w:lang w:val="hr-HR"/>
        </w:rPr>
        <w:t xml:space="preserve"> </w:t>
      </w:r>
      <w:r>
        <w:rPr>
          <w:rFonts w:ascii="Times New Roman" w:hAnsi="Times New Roman"/>
          <w:szCs w:val="24"/>
          <w:lang w:val="hr-HR"/>
        </w:rPr>
        <w:t>тиче</w:t>
      </w:r>
      <w:r w:rsidR="006D21E0" w:rsidRPr="00295637">
        <w:rPr>
          <w:rFonts w:ascii="Times New Roman" w:hAnsi="Times New Roman"/>
          <w:szCs w:val="24"/>
          <w:lang w:val="hr-HR"/>
        </w:rPr>
        <w:t xml:space="preserve"> </w:t>
      </w:r>
      <w:r>
        <w:rPr>
          <w:rFonts w:ascii="Times New Roman" w:hAnsi="Times New Roman"/>
          <w:szCs w:val="24"/>
          <w:lang w:val="hr-HR"/>
        </w:rPr>
        <w:t>активности</w:t>
      </w:r>
      <w:r w:rsidR="006D21E0" w:rsidRPr="00295637">
        <w:rPr>
          <w:rFonts w:ascii="Times New Roman" w:hAnsi="Times New Roman"/>
          <w:szCs w:val="24"/>
          <w:lang w:val="hr-HR"/>
        </w:rPr>
        <w:t xml:space="preserve"> </w:t>
      </w:r>
      <w:r>
        <w:rPr>
          <w:rFonts w:ascii="Times New Roman" w:hAnsi="Times New Roman"/>
          <w:szCs w:val="24"/>
          <w:lang w:val="hr-HR"/>
        </w:rPr>
        <w:t>на</w:t>
      </w:r>
      <w:r w:rsidR="0051777C">
        <w:rPr>
          <w:rFonts w:ascii="Times New Roman" w:hAnsi="Times New Roman"/>
          <w:szCs w:val="24"/>
          <w:lang w:val="hr-HR"/>
        </w:rPr>
        <w:t xml:space="preserve"> </w:t>
      </w:r>
      <w:r>
        <w:rPr>
          <w:rFonts w:ascii="Times New Roman" w:hAnsi="Times New Roman"/>
          <w:szCs w:val="24"/>
          <w:lang w:val="hr-HR"/>
        </w:rPr>
        <w:t>реализацији</w:t>
      </w:r>
      <w:r w:rsidR="0051777C">
        <w:rPr>
          <w:rFonts w:ascii="Times New Roman" w:hAnsi="Times New Roman"/>
          <w:szCs w:val="24"/>
          <w:lang w:val="hr-HR"/>
        </w:rPr>
        <w:t xml:space="preserve"> </w:t>
      </w:r>
      <w:r>
        <w:rPr>
          <w:rFonts w:ascii="Times New Roman" w:hAnsi="Times New Roman"/>
          <w:szCs w:val="24"/>
          <w:lang w:val="hr-HR"/>
        </w:rPr>
        <w:t>препорука</w:t>
      </w:r>
      <w:r w:rsidR="0051777C">
        <w:rPr>
          <w:rFonts w:ascii="Times New Roman" w:hAnsi="Times New Roman"/>
          <w:szCs w:val="24"/>
          <w:lang w:val="hr-HR"/>
        </w:rPr>
        <w:t xml:space="preserve"> </w:t>
      </w:r>
      <w:r w:rsidR="003601A7">
        <w:rPr>
          <w:rFonts w:ascii="Times New Roman" w:hAnsi="Times New Roman"/>
          <w:szCs w:val="24"/>
          <w:lang w:val="sr-Cyrl-BA"/>
        </w:rPr>
        <w:t>К</w:t>
      </w:r>
      <w:r w:rsidR="003601A7">
        <w:rPr>
          <w:rFonts w:ascii="Times New Roman" w:hAnsi="Times New Roman"/>
          <w:szCs w:val="24"/>
          <w:lang w:val="hr-HR"/>
        </w:rPr>
        <w:t xml:space="preserve">омитета </w:t>
      </w:r>
      <w:r>
        <w:rPr>
          <w:rFonts w:ascii="Times New Roman" w:hAnsi="Times New Roman"/>
          <w:szCs w:val="24"/>
          <w:lang w:val="hr-HR"/>
        </w:rPr>
        <w:t>ГРЕВИО</w:t>
      </w:r>
      <w:r w:rsidR="0051777C">
        <w:rPr>
          <w:rFonts w:ascii="Times New Roman" w:hAnsi="Times New Roman"/>
          <w:szCs w:val="24"/>
          <w:lang w:val="hr-HR"/>
        </w:rPr>
        <w:t xml:space="preserve"> </w:t>
      </w:r>
      <w:r w:rsidR="003601A7">
        <w:rPr>
          <w:rFonts w:ascii="Times New Roman" w:hAnsi="Times New Roman"/>
          <w:szCs w:val="24"/>
          <w:lang w:val="sr-Cyrl-BA"/>
        </w:rPr>
        <w:t>Савјета</w:t>
      </w:r>
      <w:r w:rsidR="006D21E0" w:rsidRPr="00295637">
        <w:rPr>
          <w:rFonts w:ascii="Times New Roman" w:hAnsi="Times New Roman"/>
          <w:szCs w:val="24"/>
          <w:lang w:val="hr-HR"/>
        </w:rPr>
        <w:t xml:space="preserve"> </w:t>
      </w:r>
      <w:r>
        <w:rPr>
          <w:rFonts w:ascii="Times New Roman" w:hAnsi="Times New Roman"/>
          <w:szCs w:val="24"/>
          <w:lang w:val="hr-HR"/>
        </w:rPr>
        <w:t>Европе</w:t>
      </w:r>
      <w:r w:rsidR="006D21E0" w:rsidRPr="00295637">
        <w:rPr>
          <w:rFonts w:ascii="Times New Roman" w:hAnsi="Times New Roman"/>
          <w:szCs w:val="24"/>
          <w:lang w:val="hr-HR"/>
        </w:rPr>
        <w:t xml:space="preserve">, </w:t>
      </w:r>
      <w:r>
        <w:rPr>
          <w:rFonts w:ascii="Times New Roman" w:hAnsi="Times New Roman"/>
          <w:szCs w:val="24"/>
          <w:lang w:val="hr-HR"/>
        </w:rPr>
        <w:t>и</w:t>
      </w:r>
      <w:r w:rsidR="006D21E0" w:rsidRPr="00295637">
        <w:rPr>
          <w:rFonts w:ascii="Times New Roman" w:hAnsi="Times New Roman"/>
          <w:szCs w:val="24"/>
          <w:lang w:val="hr-HR"/>
        </w:rPr>
        <w:t xml:space="preserve"> </w:t>
      </w:r>
      <w:r>
        <w:rPr>
          <w:rFonts w:ascii="Times New Roman" w:hAnsi="Times New Roman"/>
          <w:szCs w:val="24"/>
          <w:lang w:val="hr-HR"/>
        </w:rPr>
        <w:t>координације</w:t>
      </w:r>
      <w:r w:rsidR="006D21E0" w:rsidRPr="00295637">
        <w:rPr>
          <w:rFonts w:ascii="Times New Roman" w:hAnsi="Times New Roman"/>
          <w:szCs w:val="24"/>
          <w:lang w:val="hr-HR"/>
        </w:rPr>
        <w:t xml:space="preserve"> </w:t>
      </w:r>
      <w:r>
        <w:rPr>
          <w:rFonts w:ascii="Times New Roman" w:hAnsi="Times New Roman"/>
          <w:szCs w:val="24"/>
          <w:lang w:val="hr-HR"/>
        </w:rPr>
        <w:t>Одбором</w:t>
      </w:r>
      <w:r w:rsidR="006D21E0" w:rsidRPr="00295637">
        <w:rPr>
          <w:rFonts w:ascii="Times New Roman" w:hAnsi="Times New Roman"/>
          <w:szCs w:val="24"/>
          <w:lang w:val="hr-HR"/>
        </w:rPr>
        <w:t xml:space="preserve"> </w:t>
      </w:r>
      <w:r>
        <w:rPr>
          <w:rFonts w:ascii="Times New Roman" w:hAnsi="Times New Roman"/>
          <w:szCs w:val="24"/>
          <w:lang w:val="hr-HR"/>
        </w:rPr>
        <w:t>за</w:t>
      </w:r>
      <w:r w:rsidR="006D21E0" w:rsidRPr="00295637">
        <w:rPr>
          <w:rFonts w:ascii="Times New Roman" w:hAnsi="Times New Roman"/>
          <w:szCs w:val="24"/>
          <w:lang w:val="hr-HR"/>
        </w:rPr>
        <w:t xml:space="preserve"> </w:t>
      </w:r>
      <w:r>
        <w:rPr>
          <w:rFonts w:ascii="Times New Roman" w:hAnsi="Times New Roman"/>
          <w:szCs w:val="24"/>
          <w:lang w:val="hr-HR"/>
        </w:rPr>
        <w:t>праћење</w:t>
      </w:r>
      <w:r w:rsidR="006D21E0" w:rsidRPr="00295637">
        <w:rPr>
          <w:rFonts w:ascii="Times New Roman" w:hAnsi="Times New Roman"/>
          <w:szCs w:val="24"/>
          <w:lang w:val="hr-HR"/>
        </w:rPr>
        <w:t xml:space="preserve"> </w:t>
      </w:r>
      <w:r>
        <w:rPr>
          <w:rFonts w:ascii="Times New Roman" w:hAnsi="Times New Roman"/>
          <w:szCs w:val="24"/>
          <w:lang w:val="hr-HR"/>
        </w:rPr>
        <w:t>и</w:t>
      </w:r>
      <w:r w:rsidR="006D21E0" w:rsidRPr="00295637">
        <w:rPr>
          <w:rFonts w:ascii="Times New Roman" w:hAnsi="Times New Roman"/>
          <w:szCs w:val="24"/>
          <w:lang w:val="hr-HR"/>
        </w:rPr>
        <w:t xml:space="preserve"> </w:t>
      </w:r>
      <w:r>
        <w:rPr>
          <w:rFonts w:ascii="Times New Roman" w:hAnsi="Times New Roman"/>
          <w:szCs w:val="24"/>
          <w:lang w:val="hr-HR"/>
        </w:rPr>
        <w:t>извјештавање</w:t>
      </w:r>
      <w:r w:rsidR="006D21E0" w:rsidRPr="00295637">
        <w:rPr>
          <w:rFonts w:ascii="Times New Roman" w:hAnsi="Times New Roman"/>
          <w:szCs w:val="24"/>
          <w:lang w:val="hr-HR"/>
        </w:rPr>
        <w:t xml:space="preserve"> </w:t>
      </w:r>
      <w:r>
        <w:rPr>
          <w:rFonts w:ascii="Times New Roman" w:hAnsi="Times New Roman"/>
          <w:szCs w:val="24"/>
          <w:lang w:val="hr-HR"/>
        </w:rPr>
        <w:t>по</w:t>
      </w:r>
      <w:r w:rsidR="006D21E0" w:rsidRPr="00295637">
        <w:rPr>
          <w:rFonts w:ascii="Times New Roman" w:hAnsi="Times New Roman"/>
          <w:szCs w:val="24"/>
          <w:lang w:val="hr-HR"/>
        </w:rPr>
        <w:t xml:space="preserve"> </w:t>
      </w:r>
      <w:r>
        <w:rPr>
          <w:rFonts w:ascii="Times New Roman" w:hAnsi="Times New Roman"/>
          <w:szCs w:val="24"/>
          <w:lang w:val="hr-HR"/>
        </w:rPr>
        <w:t>Истанбулској</w:t>
      </w:r>
      <w:r w:rsidR="006D21E0" w:rsidRPr="00295637">
        <w:rPr>
          <w:rFonts w:ascii="Times New Roman" w:hAnsi="Times New Roman"/>
          <w:szCs w:val="24"/>
          <w:lang w:val="hr-HR"/>
        </w:rPr>
        <w:t xml:space="preserve"> </w:t>
      </w:r>
      <w:r>
        <w:rPr>
          <w:rFonts w:ascii="Times New Roman" w:hAnsi="Times New Roman"/>
          <w:szCs w:val="24"/>
          <w:lang w:val="hr-HR"/>
        </w:rPr>
        <w:t>конвенцији</w:t>
      </w:r>
      <w:r w:rsidR="006D21E0" w:rsidRPr="00295637">
        <w:rPr>
          <w:rFonts w:ascii="Times New Roman" w:hAnsi="Times New Roman"/>
          <w:szCs w:val="24"/>
          <w:lang w:val="hr-HR"/>
        </w:rPr>
        <w:t xml:space="preserve"> </w:t>
      </w:r>
      <w:r>
        <w:rPr>
          <w:rFonts w:ascii="Times New Roman" w:hAnsi="Times New Roman"/>
          <w:szCs w:val="24"/>
          <w:lang w:val="hr-HR"/>
        </w:rPr>
        <w:t>и</w:t>
      </w:r>
      <w:r w:rsidR="006D21E0" w:rsidRPr="00295637">
        <w:rPr>
          <w:rFonts w:ascii="Times New Roman" w:hAnsi="Times New Roman"/>
          <w:szCs w:val="24"/>
          <w:lang w:val="hr-HR"/>
        </w:rPr>
        <w:t xml:space="preserve"> </w:t>
      </w:r>
      <w:r>
        <w:rPr>
          <w:rFonts w:ascii="Times New Roman" w:hAnsi="Times New Roman"/>
          <w:szCs w:val="24"/>
          <w:lang w:val="hr-HR"/>
        </w:rPr>
        <w:t>фемициду</w:t>
      </w:r>
      <w:r w:rsidR="006D21E0" w:rsidRPr="00295637">
        <w:rPr>
          <w:rFonts w:ascii="Times New Roman" w:hAnsi="Times New Roman"/>
          <w:szCs w:val="24"/>
          <w:lang w:val="hr-HR"/>
        </w:rPr>
        <w:t xml:space="preserve"> </w:t>
      </w:r>
      <w:r>
        <w:rPr>
          <w:rFonts w:ascii="Times New Roman" w:hAnsi="Times New Roman"/>
          <w:szCs w:val="24"/>
          <w:lang w:val="hr-HR"/>
        </w:rPr>
        <w:t>у</w:t>
      </w:r>
      <w:r w:rsidR="009E54A2" w:rsidRPr="00295637">
        <w:rPr>
          <w:rFonts w:ascii="Times New Roman" w:hAnsi="Times New Roman"/>
          <w:szCs w:val="24"/>
          <w:lang w:val="hr-HR"/>
        </w:rPr>
        <w:t xml:space="preserve"> </w:t>
      </w:r>
      <w:r>
        <w:rPr>
          <w:rFonts w:ascii="Times New Roman" w:hAnsi="Times New Roman"/>
          <w:szCs w:val="24"/>
          <w:lang w:val="hr-HR"/>
        </w:rPr>
        <w:t>БиХ</w:t>
      </w:r>
      <w:r w:rsidR="00F9721C" w:rsidRPr="00295637">
        <w:rPr>
          <w:rFonts w:ascii="Times New Roman" w:hAnsi="Times New Roman"/>
          <w:szCs w:val="24"/>
          <w:lang w:val="hr-HR"/>
        </w:rPr>
        <w:t>,</w:t>
      </w:r>
      <w:r w:rsidR="009E54A2" w:rsidRPr="00295637">
        <w:rPr>
          <w:rFonts w:ascii="Times New Roman" w:hAnsi="Times New Roman"/>
          <w:szCs w:val="24"/>
          <w:lang w:val="hr-HR"/>
        </w:rPr>
        <w:t xml:space="preserve"> </w:t>
      </w:r>
      <w:r>
        <w:rPr>
          <w:rFonts w:ascii="Times New Roman" w:hAnsi="Times New Roman"/>
          <w:szCs w:val="24"/>
          <w:lang w:val="hr-HR"/>
        </w:rPr>
        <w:t>АР</w:t>
      </w:r>
      <w:r w:rsidR="00514807">
        <w:rPr>
          <w:rFonts w:ascii="Times New Roman" w:hAnsi="Times New Roman"/>
          <w:szCs w:val="24"/>
          <w:lang w:val="sr-Cyrl-BA"/>
        </w:rPr>
        <w:t>П</w:t>
      </w:r>
      <w:r w:rsidR="00820492">
        <w:rPr>
          <w:rFonts w:ascii="Times New Roman" w:hAnsi="Times New Roman"/>
          <w:szCs w:val="24"/>
          <w:lang w:val="hr-HR"/>
        </w:rPr>
        <w:t xml:space="preserve"> </w:t>
      </w:r>
      <w:r>
        <w:rPr>
          <w:rFonts w:ascii="Times New Roman" w:hAnsi="Times New Roman"/>
          <w:szCs w:val="24"/>
          <w:lang w:val="hr-HR"/>
        </w:rPr>
        <w:t>БиХ</w:t>
      </w:r>
      <w:r w:rsidR="00AA2171">
        <w:rPr>
          <w:rFonts w:ascii="Times New Roman" w:hAnsi="Times New Roman"/>
          <w:szCs w:val="24"/>
          <w:lang w:val="hr-HR"/>
        </w:rPr>
        <w:t xml:space="preserve"> </w:t>
      </w:r>
      <w:r>
        <w:rPr>
          <w:rFonts w:ascii="Times New Roman" w:hAnsi="Times New Roman"/>
          <w:szCs w:val="24"/>
          <w:lang w:val="hr-HR"/>
        </w:rPr>
        <w:t>МЉПИ</w:t>
      </w:r>
      <w:r w:rsidR="00820492">
        <w:rPr>
          <w:rFonts w:ascii="Times New Roman" w:hAnsi="Times New Roman"/>
          <w:szCs w:val="24"/>
          <w:lang w:val="hr-HR"/>
        </w:rPr>
        <w:t xml:space="preserve"> </w:t>
      </w:r>
      <w:r>
        <w:rPr>
          <w:rFonts w:ascii="Times New Roman" w:hAnsi="Times New Roman"/>
          <w:szCs w:val="24"/>
          <w:lang w:val="hr-HR"/>
        </w:rPr>
        <w:t>БиХ</w:t>
      </w:r>
      <w:r w:rsidR="009E54A2" w:rsidRPr="00295637">
        <w:rPr>
          <w:rFonts w:ascii="Times New Roman" w:hAnsi="Times New Roman"/>
          <w:szCs w:val="24"/>
          <w:lang w:val="hr-HR"/>
        </w:rPr>
        <w:t xml:space="preserve"> </w:t>
      </w:r>
      <w:r>
        <w:rPr>
          <w:rFonts w:ascii="Times New Roman" w:hAnsi="Times New Roman"/>
          <w:szCs w:val="24"/>
          <w:lang w:val="hr-HR"/>
        </w:rPr>
        <w:t>израдила</w:t>
      </w:r>
      <w:r w:rsidR="00D77325" w:rsidRPr="00295637">
        <w:rPr>
          <w:rFonts w:ascii="Times New Roman" w:hAnsi="Times New Roman"/>
          <w:szCs w:val="24"/>
          <w:lang w:val="hr-HR"/>
        </w:rPr>
        <w:t xml:space="preserve"> </w:t>
      </w:r>
      <w:r>
        <w:rPr>
          <w:rFonts w:ascii="Times New Roman" w:hAnsi="Times New Roman"/>
          <w:szCs w:val="24"/>
          <w:lang w:val="hr-HR"/>
        </w:rPr>
        <w:t>је</w:t>
      </w:r>
      <w:r w:rsidR="00820492">
        <w:rPr>
          <w:rFonts w:ascii="Times New Roman" w:hAnsi="Times New Roman"/>
          <w:szCs w:val="24"/>
          <w:lang w:val="hr-HR"/>
        </w:rPr>
        <w:t xml:space="preserve"> </w:t>
      </w:r>
      <w:r>
        <w:rPr>
          <w:rFonts w:ascii="Times New Roman" w:hAnsi="Times New Roman"/>
          <w:szCs w:val="24"/>
          <w:lang w:val="hr-HR"/>
        </w:rPr>
        <w:t>методологију</w:t>
      </w:r>
      <w:r w:rsidR="00E57C44">
        <w:rPr>
          <w:rFonts w:ascii="Times New Roman" w:hAnsi="Times New Roman"/>
          <w:szCs w:val="24"/>
          <w:lang w:val="hr-HR"/>
        </w:rPr>
        <w:t xml:space="preserve"> </w:t>
      </w:r>
      <w:r>
        <w:rPr>
          <w:rFonts w:ascii="Times New Roman" w:hAnsi="Times New Roman"/>
          <w:szCs w:val="24"/>
          <w:lang w:val="hr-HR"/>
        </w:rPr>
        <w:t>и</w:t>
      </w:r>
      <w:r w:rsidR="00E57C44">
        <w:rPr>
          <w:rFonts w:ascii="Times New Roman" w:hAnsi="Times New Roman"/>
          <w:szCs w:val="24"/>
          <w:lang w:val="hr-HR"/>
        </w:rPr>
        <w:t xml:space="preserve"> </w:t>
      </w:r>
      <w:r>
        <w:rPr>
          <w:rFonts w:ascii="Times New Roman" w:hAnsi="Times New Roman"/>
          <w:szCs w:val="24"/>
          <w:lang w:val="hr-HR"/>
        </w:rPr>
        <w:t>формат</w:t>
      </w:r>
      <w:r w:rsidR="00D77325" w:rsidRPr="00295637">
        <w:rPr>
          <w:rFonts w:ascii="Times New Roman" w:hAnsi="Times New Roman"/>
          <w:szCs w:val="24"/>
          <w:lang w:val="hr-HR"/>
        </w:rPr>
        <w:t xml:space="preserve"> </w:t>
      </w:r>
      <w:r>
        <w:rPr>
          <w:rFonts w:ascii="Times New Roman" w:hAnsi="Times New Roman"/>
          <w:szCs w:val="24"/>
          <w:lang w:val="hr-HR"/>
        </w:rPr>
        <w:t>Плана</w:t>
      </w:r>
      <w:r w:rsidR="00D77325" w:rsidRPr="00295637">
        <w:rPr>
          <w:rFonts w:ascii="Times New Roman" w:hAnsi="Times New Roman"/>
          <w:szCs w:val="24"/>
          <w:lang w:val="hr-HR"/>
        </w:rPr>
        <w:t xml:space="preserve"> </w:t>
      </w:r>
      <w:r>
        <w:rPr>
          <w:rFonts w:ascii="Times New Roman" w:hAnsi="Times New Roman"/>
          <w:szCs w:val="24"/>
          <w:lang w:val="hr-HR"/>
        </w:rPr>
        <w:t>мјера</w:t>
      </w:r>
      <w:r w:rsidR="00D77325" w:rsidRPr="00295637">
        <w:rPr>
          <w:rFonts w:ascii="Times New Roman" w:hAnsi="Times New Roman"/>
          <w:szCs w:val="24"/>
          <w:lang w:val="hr-HR"/>
        </w:rPr>
        <w:t xml:space="preserve"> </w:t>
      </w:r>
      <w:r>
        <w:rPr>
          <w:rFonts w:ascii="Times New Roman" w:hAnsi="Times New Roman"/>
          <w:szCs w:val="24"/>
          <w:lang w:val="hr-HR"/>
        </w:rPr>
        <w:t>за</w:t>
      </w:r>
      <w:r w:rsidR="00D77325" w:rsidRPr="00295637">
        <w:rPr>
          <w:rFonts w:ascii="Times New Roman" w:hAnsi="Times New Roman"/>
          <w:szCs w:val="24"/>
          <w:lang w:val="hr-HR"/>
        </w:rPr>
        <w:t xml:space="preserve"> </w:t>
      </w:r>
      <w:r>
        <w:rPr>
          <w:rFonts w:ascii="Times New Roman" w:hAnsi="Times New Roman"/>
          <w:szCs w:val="24"/>
          <w:lang w:val="hr-HR"/>
        </w:rPr>
        <w:t>реализацију</w:t>
      </w:r>
      <w:r w:rsidR="00D77325" w:rsidRPr="00295637">
        <w:rPr>
          <w:rFonts w:ascii="Times New Roman" w:hAnsi="Times New Roman"/>
          <w:szCs w:val="24"/>
          <w:lang w:val="hr-HR"/>
        </w:rPr>
        <w:t xml:space="preserve"> </w:t>
      </w:r>
      <w:r>
        <w:rPr>
          <w:rFonts w:ascii="Times New Roman" w:hAnsi="Times New Roman"/>
          <w:szCs w:val="24"/>
          <w:lang w:val="hr-HR"/>
        </w:rPr>
        <w:t>ГРЕВИО</w:t>
      </w:r>
      <w:r w:rsidR="00D77325" w:rsidRPr="00295637">
        <w:rPr>
          <w:rFonts w:ascii="Times New Roman" w:hAnsi="Times New Roman"/>
          <w:szCs w:val="24"/>
          <w:lang w:val="hr-HR"/>
        </w:rPr>
        <w:t xml:space="preserve"> </w:t>
      </w:r>
      <w:r>
        <w:rPr>
          <w:rFonts w:ascii="Times New Roman" w:hAnsi="Times New Roman"/>
          <w:szCs w:val="24"/>
          <w:lang w:val="hr-HR"/>
        </w:rPr>
        <w:t>препорука</w:t>
      </w:r>
      <w:r w:rsidR="00D77325" w:rsidRPr="00295637">
        <w:rPr>
          <w:rFonts w:ascii="Times New Roman" w:hAnsi="Times New Roman"/>
          <w:szCs w:val="24"/>
          <w:lang w:val="hr-HR"/>
        </w:rPr>
        <w:t xml:space="preserve"> </w:t>
      </w:r>
      <w:r>
        <w:rPr>
          <w:rFonts w:ascii="Times New Roman" w:hAnsi="Times New Roman"/>
          <w:szCs w:val="24"/>
          <w:lang w:val="hr-HR"/>
        </w:rPr>
        <w:t>и</w:t>
      </w:r>
      <w:r w:rsidR="00D77325" w:rsidRPr="00295637">
        <w:rPr>
          <w:rFonts w:ascii="Times New Roman" w:hAnsi="Times New Roman"/>
          <w:szCs w:val="24"/>
          <w:lang w:val="hr-HR"/>
        </w:rPr>
        <w:t xml:space="preserve"> </w:t>
      </w:r>
      <w:r>
        <w:rPr>
          <w:rFonts w:ascii="Times New Roman" w:hAnsi="Times New Roman"/>
          <w:szCs w:val="24"/>
          <w:lang w:val="hr-HR"/>
        </w:rPr>
        <w:t>исти</w:t>
      </w:r>
      <w:r w:rsidR="00D77325" w:rsidRPr="00295637">
        <w:rPr>
          <w:rFonts w:ascii="Times New Roman" w:hAnsi="Times New Roman"/>
          <w:szCs w:val="24"/>
          <w:lang w:val="hr-HR"/>
        </w:rPr>
        <w:t xml:space="preserve"> </w:t>
      </w:r>
      <w:r>
        <w:rPr>
          <w:rFonts w:ascii="Times New Roman" w:hAnsi="Times New Roman"/>
          <w:szCs w:val="24"/>
          <w:lang w:val="hr-HR"/>
        </w:rPr>
        <w:t>доставила</w:t>
      </w:r>
      <w:r w:rsidR="00D77325" w:rsidRPr="00295637">
        <w:rPr>
          <w:rFonts w:ascii="Times New Roman" w:hAnsi="Times New Roman"/>
          <w:szCs w:val="24"/>
          <w:lang w:val="hr-HR"/>
        </w:rPr>
        <w:t xml:space="preserve"> </w:t>
      </w:r>
      <w:r>
        <w:rPr>
          <w:rFonts w:ascii="Times New Roman" w:hAnsi="Times New Roman"/>
          <w:szCs w:val="24"/>
          <w:lang w:val="hr-HR"/>
        </w:rPr>
        <w:t>надлежним</w:t>
      </w:r>
      <w:r w:rsidR="00D77325" w:rsidRPr="00295637">
        <w:rPr>
          <w:rFonts w:ascii="Times New Roman" w:hAnsi="Times New Roman"/>
          <w:szCs w:val="24"/>
          <w:lang w:val="hr-HR"/>
        </w:rPr>
        <w:t xml:space="preserve"> </w:t>
      </w:r>
      <w:r>
        <w:rPr>
          <w:rFonts w:ascii="Times New Roman" w:hAnsi="Times New Roman"/>
          <w:szCs w:val="24"/>
          <w:lang w:val="hr-HR"/>
        </w:rPr>
        <w:t>институцијама</w:t>
      </w:r>
      <w:r w:rsidR="00D77325" w:rsidRPr="00295637">
        <w:rPr>
          <w:rFonts w:ascii="Times New Roman" w:hAnsi="Times New Roman"/>
          <w:szCs w:val="24"/>
          <w:lang w:val="hr-HR"/>
        </w:rPr>
        <w:t xml:space="preserve">. </w:t>
      </w:r>
      <w:r>
        <w:rPr>
          <w:rFonts w:ascii="Times New Roman" w:hAnsi="Times New Roman"/>
          <w:szCs w:val="24"/>
          <w:lang w:val="hr-HR"/>
        </w:rPr>
        <w:t>Одржана</w:t>
      </w:r>
      <w:r w:rsidR="00D77325" w:rsidRPr="00295637">
        <w:rPr>
          <w:rFonts w:ascii="Times New Roman" w:hAnsi="Times New Roman"/>
          <w:szCs w:val="24"/>
          <w:lang w:val="hr-HR"/>
        </w:rPr>
        <w:t xml:space="preserve"> </w:t>
      </w:r>
      <w:r>
        <w:rPr>
          <w:rFonts w:ascii="Times New Roman" w:hAnsi="Times New Roman"/>
          <w:szCs w:val="24"/>
          <w:lang w:val="hr-HR"/>
        </w:rPr>
        <w:t>су</w:t>
      </w:r>
      <w:r w:rsidR="00820492">
        <w:rPr>
          <w:rFonts w:ascii="Times New Roman" w:hAnsi="Times New Roman"/>
          <w:szCs w:val="24"/>
          <w:lang w:val="hr-HR"/>
        </w:rPr>
        <w:t xml:space="preserve"> </w:t>
      </w:r>
      <w:r>
        <w:rPr>
          <w:rFonts w:ascii="Times New Roman" w:hAnsi="Times New Roman"/>
          <w:szCs w:val="24"/>
          <w:lang w:val="hr-HR"/>
        </w:rPr>
        <w:t>три</w:t>
      </w:r>
      <w:r w:rsidR="00820492">
        <w:rPr>
          <w:rFonts w:ascii="Times New Roman" w:hAnsi="Times New Roman"/>
          <w:szCs w:val="24"/>
          <w:lang w:val="hr-HR"/>
        </w:rPr>
        <w:t xml:space="preserve"> </w:t>
      </w:r>
      <w:r>
        <w:rPr>
          <w:rFonts w:ascii="Times New Roman" w:hAnsi="Times New Roman"/>
          <w:szCs w:val="24"/>
          <w:lang w:val="hr-HR"/>
        </w:rPr>
        <w:t>консултативна</w:t>
      </w:r>
      <w:r w:rsidR="00820492">
        <w:rPr>
          <w:rFonts w:ascii="Times New Roman" w:hAnsi="Times New Roman"/>
          <w:szCs w:val="24"/>
          <w:lang w:val="hr-HR"/>
        </w:rPr>
        <w:t xml:space="preserve"> </w:t>
      </w:r>
      <w:r>
        <w:rPr>
          <w:rFonts w:ascii="Times New Roman" w:hAnsi="Times New Roman"/>
          <w:szCs w:val="24"/>
          <w:lang w:val="hr-HR"/>
        </w:rPr>
        <w:t>састанка</w:t>
      </w:r>
      <w:r w:rsidR="00820492">
        <w:rPr>
          <w:rFonts w:ascii="Times New Roman" w:hAnsi="Times New Roman"/>
          <w:szCs w:val="24"/>
          <w:lang w:val="hr-HR"/>
        </w:rPr>
        <w:t xml:space="preserve"> </w:t>
      </w:r>
      <w:r>
        <w:rPr>
          <w:rFonts w:ascii="Times New Roman" w:hAnsi="Times New Roman"/>
          <w:szCs w:val="24"/>
          <w:lang w:val="hr-HR"/>
        </w:rPr>
        <w:t>са</w:t>
      </w:r>
      <w:r w:rsidR="00D77325" w:rsidRPr="00295637">
        <w:rPr>
          <w:rFonts w:ascii="Times New Roman" w:hAnsi="Times New Roman"/>
          <w:szCs w:val="24"/>
          <w:lang w:val="hr-HR"/>
        </w:rPr>
        <w:t xml:space="preserve"> </w:t>
      </w:r>
      <w:r>
        <w:rPr>
          <w:rFonts w:ascii="Times New Roman" w:hAnsi="Times New Roman"/>
          <w:szCs w:val="24"/>
          <w:lang w:val="hr-HR"/>
        </w:rPr>
        <w:t>ресорним</w:t>
      </w:r>
      <w:r w:rsidR="00D77325" w:rsidRPr="00295637">
        <w:rPr>
          <w:rFonts w:ascii="Times New Roman" w:hAnsi="Times New Roman"/>
          <w:szCs w:val="24"/>
          <w:lang w:val="hr-HR"/>
        </w:rPr>
        <w:t xml:space="preserve"> </w:t>
      </w:r>
      <w:r>
        <w:rPr>
          <w:rFonts w:ascii="Times New Roman" w:hAnsi="Times New Roman"/>
          <w:szCs w:val="24"/>
          <w:lang w:val="hr-HR"/>
        </w:rPr>
        <w:t>институцијама</w:t>
      </w:r>
      <w:r w:rsidR="00D77325" w:rsidRPr="00295637">
        <w:rPr>
          <w:rFonts w:ascii="Times New Roman" w:hAnsi="Times New Roman"/>
          <w:szCs w:val="24"/>
          <w:lang w:val="hr-HR"/>
        </w:rPr>
        <w:t xml:space="preserve"> </w:t>
      </w:r>
      <w:r w:rsidR="00514807">
        <w:rPr>
          <w:rFonts w:ascii="Times New Roman" w:hAnsi="Times New Roman"/>
          <w:szCs w:val="24"/>
          <w:lang w:val="sr-Cyrl-BA"/>
        </w:rPr>
        <w:t>с</w:t>
      </w:r>
      <w:r w:rsidR="00D77325" w:rsidRPr="00295637">
        <w:rPr>
          <w:rFonts w:ascii="Times New Roman" w:hAnsi="Times New Roman"/>
          <w:szCs w:val="24"/>
          <w:lang w:val="hr-HR"/>
        </w:rPr>
        <w:t xml:space="preserve"> </w:t>
      </w:r>
      <w:r>
        <w:rPr>
          <w:rFonts w:ascii="Times New Roman" w:hAnsi="Times New Roman"/>
          <w:szCs w:val="24"/>
          <w:lang w:val="hr-HR"/>
        </w:rPr>
        <w:t>циљ</w:t>
      </w:r>
      <w:r w:rsidR="00514807">
        <w:rPr>
          <w:rFonts w:ascii="Times New Roman" w:hAnsi="Times New Roman"/>
          <w:szCs w:val="24"/>
          <w:lang w:val="sr-Cyrl-BA"/>
        </w:rPr>
        <w:t>ем</w:t>
      </w:r>
      <w:r w:rsidR="00D77325" w:rsidRPr="00295637">
        <w:rPr>
          <w:rFonts w:ascii="Times New Roman" w:hAnsi="Times New Roman"/>
          <w:szCs w:val="24"/>
          <w:lang w:val="hr-HR"/>
        </w:rPr>
        <w:t xml:space="preserve"> </w:t>
      </w:r>
      <w:r>
        <w:rPr>
          <w:rFonts w:ascii="Times New Roman" w:hAnsi="Times New Roman"/>
          <w:szCs w:val="24"/>
          <w:lang w:val="hr-HR"/>
        </w:rPr>
        <w:t>подршке</w:t>
      </w:r>
      <w:r w:rsidR="00D77325" w:rsidRPr="00295637">
        <w:rPr>
          <w:rFonts w:ascii="Times New Roman" w:hAnsi="Times New Roman"/>
          <w:szCs w:val="24"/>
          <w:lang w:val="hr-HR"/>
        </w:rPr>
        <w:t xml:space="preserve"> </w:t>
      </w:r>
      <w:r>
        <w:rPr>
          <w:rFonts w:ascii="Times New Roman" w:hAnsi="Times New Roman"/>
          <w:szCs w:val="24"/>
          <w:lang w:val="hr-HR"/>
        </w:rPr>
        <w:t>изради</w:t>
      </w:r>
      <w:r w:rsidR="00D77325" w:rsidRPr="00295637">
        <w:rPr>
          <w:rFonts w:ascii="Times New Roman" w:hAnsi="Times New Roman"/>
          <w:szCs w:val="24"/>
          <w:lang w:val="hr-HR"/>
        </w:rPr>
        <w:t xml:space="preserve"> </w:t>
      </w:r>
      <w:r>
        <w:rPr>
          <w:rFonts w:ascii="Times New Roman" w:hAnsi="Times New Roman"/>
          <w:szCs w:val="24"/>
          <w:lang w:val="hr-HR"/>
        </w:rPr>
        <w:t>и</w:t>
      </w:r>
      <w:r w:rsidR="00D77325" w:rsidRPr="00295637">
        <w:rPr>
          <w:rFonts w:ascii="Times New Roman" w:hAnsi="Times New Roman"/>
          <w:szCs w:val="24"/>
          <w:lang w:val="hr-HR"/>
        </w:rPr>
        <w:t xml:space="preserve"> </w:t>
      </w:r>
      <w:r>
        <w:rPr>
          <w:rFonts w:ascii="Times New Roman" w:hAnsi="Times New Roman"/>
          <w:szCs w:val="24"/>
          <w:lang w:val="hr-HR"/>
        </w:rPr>
        <w:t>реализацији</w:t>
      </w:r>
      <w:r w:rsidR="00D77325" w:rsidRPr="00295637">
        <w:rPr>
          <w:rFonts w:ascii="Times New Roman" w:hAnsi="Times New Roman"/>
          <w:szCs w:val="24"/>
          <w:lang w:val="hr-HR"/>
        </w:rPr>
        <w:t xml:space="preserve"> </w:t>
      </w:r>
      <w:r>
        <w:rPr>
          <w:rFonts w:ascii="Times New Roman" w:hAnsi="Times New Roman"/>
          <w:szCs w:val="24"/>
          <w:lang w:val="hr-HR"/>
        </w:rPr>
        <w:t>плана</w:t>
      </w:r>
      <w:r w:rsidR="00D77325" w:rsidRPr="00295637">
        <w:rPr>
          <w:rFonts w:ascii="Times New Roman" w:hAnsi="Times New Roman"/>
          <w:szCs w:val="24"/>
          <w:lang w:val="hr-HR"/>
        </w:rPr>
        <w:t xml:space="preserve"> </w:t>
      </w:r>
      <w:r>
        <w:rPr>
          <w:rFonts w:ascii="Times New Roman" w:hAnsi="Times New Roman"/>
          <w:szCs w:val="24"/>
          <w:lang w:val="hr-HR"/>
        </w:rPr>
        <w:t>за</w:t>
      </w:r>
      <w:r w:rsidR="00D77325" w:rsidRPr="00295637">
        <w:rPr>
          <w:rFonts w:ascii="Times New Roman" w:hAnsi="Times New Roman"/>
          <w:szCs w:val="24"/>
          <w:lang w:val="hr-HR"/>
        </w:rPr>
        <w:t xml:space="preserve"> </w:t>
      </w:r>
      <w:r w:rsidR="00446FC2">
        <w:rPr>
          <w:rFonts w:ascii="Times New Roman" w:hAnsi="Times New Roman"/>
          <w:szCs w:val="24"/>
          <w:lang w:val="sr-Cyrl-BA"/>
        </w:rPr>
        <w:t>спровођење</w:t>
      </w:r>
      <w:r w:rsidR="00D77325" w:rsidRPr="00295637">
        <w:rPr>
          <w:rFonts w:ascii="Times New Roman" w:hAnsi="Times New Roman"/>
          <w:szCs w:val="24"/>
          <w:lang w:val="hr-HR"/>
        </w:rPr>
        <w:t xml:space="preserve"> </w:t>
      </w:r>
      <w:r>
        <w:rPr>
          <w:rFonts w:ascii="Times New Roman" w:hAnsi="Times New Roman"/>
          <w:szCs w:val="24"/>
          <w:lang w:val="hr-HR"/>
        </w:rPr>
        <w:t>ГРЕВИО</w:t>
      </w:r>
      <w:r w:rsidR="00D77325" w:rsidRPr="00295637">
        <w:rPr>
          <w:rFonts w:ascii="Times New Roman" w:hAnsi="Times New Roman"/>
          <w:szCs w:val="24"/>
          <w:lang w:val="hr-HR"/>
        </w:rPr>
        <w:t xml:space="preserve"> </w:t>
      </w:r>
      <w:r>
        <w:rPr>
          <w:rFonts w:ascii="Times New Roman" w:hAnsi="Times New Roman"/>
          <w:szCs w:val="24"/>
          <w:lang w:val="hr-HR"/>
        </w:rPr>
        <w:t>препорука</w:t>
      </w:r>
      <w:r w:rsidR="00D77325" w:rsidRPr="00295637">
        <w:rPr>
          <w:rFonts w:ascii="Times New Roman" w:hAnsi="Times New Roman"/>
          <w:szCs w:val="24"/>
          <w:lang w:val="hr-HR"/>
        </w:rPr>
        <w:t xml:space="preserve">. </w:t>
      </w:r>
      <w:r>
        <w:rPr>
          <w:rFonts w:ascii="Times New Roman" w:hAnsi="Times New Roman"/>
          <w:szCs w:val="24"/>
          <w:lang w:val="hr-HR"/>
        </w:rPr>
        <w:t>Прикупљени</w:t>
      </w:r>
      <w:r w:rsidR="00D77325" w:rsidRPr="00295637">
        <w:rPr>
          <w:rFonts w:ascii="Times New Roman" w:hAnsi="Times New Roman"/>
          <w:szCs w:val="24"/>
          <w:lang w:val="hr-HR"/>
        </w:rPr>
        <w:t xml:space="preserve"> </w:t>
      </w:r>
      <w:r>
        <w:rPr>
          <w:rFonts w:ascii="Times New Roman" w:hAnsi="Times New Roman"/>
          <w:szCs w:val="24"/>
          <w:lang w:val="hr-HR"/>
        </w:rPr>
        <w:t>су</w:t>
      </w:r>
      <w:r w:rsidR="005536FC">
        <w:rPr>
          <w:rFonts w:ascii="Times New Roman" w:hAnsi="Times New Roman"/>
          <w:szCs w:val="24"/>
          <w:lang w:val="hr-HR"/>
        </w:rPr>
        <w:t xml:space="preserve"> </w:t>
      </w:r>
      <w:r>
        <w:rPr>
          <w:rFonts w:ascii="Times New Roman" w:hAnsi="Times New Roman"/>
          <w:szCs w:val="24"/>
          <w:lang w:val="hr-HR"/>
        </w:rPr>
        <w:t>планови</w:t>
      </w:r>
      <w:r w:rsidR="00D77325" w:rsidRPr="00295637">
        <w:rPr>
          <w:rFonts w:ascii="Times New Roman" w:hAnsi="Times New Roman"/>
          <w:szCs w:val="24"/>
          <w:lang w:val="hr-HR"/>
        </w:rPr>
        <w:t xml:space="preserve"> </w:t>
      </w:r>
      <w:r>
        <w:rPr>
          <w:rFonts w:ascii="Times New Roman" w:hAnsi="Times New Roman"/>
          <w:szCs w:val="24"/>
          <w:lang w:val="hr-HR"/>
        </w:rPr>
        <w:t>мјера</w:t>
      </w:r>
      <w:r w:rsidR="00D77325" w:rsidRPr="00295637">
        <w:rPr>
          <w:rFonts w:ascii="Times New Roman" w:hAnsi="Times New Roman"/>
          <w:szCs w:val="24"/>
          <w:lang w:val="hr-HR"/>
        </w:rPr>
        <w:t xml:space="preserve"> </w:t>
      </w:r>
      <w:r>
        <w:rPr>
          <w:rFonts w:ascii="Times New Roman" w:hAnsi="Times New Roman"/>
          <w:szCs w:val="24"/>
          <w:lang w:val="hr-HR"/>
        </w:rPr>
        <w:t>за</w:t>
      </w:r>
      <w:r w:rsidR="00D77325" w:rsidRPr="00295637">
        <w:rPr>
          <w:rFonts w:ascii="Times New Roman" w:hAnsi="Times New Roman"/>
          <w:szCs w:val="24"/>
          <w:lang w:val="hr-HR"/>
        </w:rPr>
        <w:t xml:space="preserve"> </w:t>
      </w:r>
      <w:r w:rsidR="00446FC2">
        <w:rPr>
          <w:rFonts w:ascii="Times New Roman" w:hAnsi="Times New Roman"/>
          <w:szCs w:val="24"/>
          <w:lang w:val="sr-Cyrl-BA"/>
        </w:rPr>
        <w:t>спровођење</w:t>
      </w:r>
      <w:r w:rsidR="00D77325" w:rsidRPr="00295637">
        <w:rPr>
          <w:rFonts w:ascii="Times New Roman" w:hAnsi="Times New Roman"/>
          <w:szCs w:val="24"/>
          <w:lang w:val="hr-HR"/>
        </w:rPr>
        <w:t xml:space="preserve"> </w:t>
      </w:r>
      <w:r>
        <w:rPr>
          <w:rFonts w:ascii="Times New Roman" w:hAnsi="Times New Roman"/>
          <w:szCs w:val="24"/>
          <w:lang w:val="hr-HR"/>
        </w:rPr>
        <w:t>ГРЕВИО</w:t>
      </w:r>
      <w:r w:rsidR="00D77325" w:rsidRPr="00295637">
        <w:rPr>
          <w:rFonts w:ascii="Times New Roman" w:hAnsi="Times New Roman"/>
          <w:szCs w:val="24"/>
          <w:lang w:val="hr-HR"/>
        </w:rPr>
        <w:t xml:space="preserve"> </w:t>
      </w:r>
      <w:r>
        <w:rPr>
          <w:rFonts w:ascii="Times New Roman" w:hAnsi="Times New Roman"/>
          <w:szCs w:val="24"/>
          <w:lang w:val="hr-HR"/>
        </w:rPr>
        <w:t>препорука</w:t>
      </w:r>
      <w:r w:rsidR="00D77325" w:rsidRPr="00295637">
        <w:rPr>
          <w:rFonts w:ascii="Times New Roman" w:hAnsi="Times New Roman"/>
          <w:szCs w:val="24"/>
          <w:lang w:val="hr-HR"/>
        </w:rPr>
        <w:t xml:space="preserve"> </w:t>
      </w:r>
      <w:r>
        <w:rPr>
          <w:rFonts w:ascii="Times New Roman" w:hAnsi="Times New Roman"/>
          <w:szCs w:val="24"/>
          <w:lang w:val="hr-HR"/>
        </w:rPr>
        <w:t>од</w:t>
      </w:r>
      <w:r w:rsidR="00D77325" w:rsidRPr="00295637">
        <w:rPr>
          <w:rFonts w:ascii="Times New Roman" w:hAnsi="Times New Roman"/>
          <w:szCs w:val="24"/>
          <w:lang w:val="hr-HR"/>
        </w:rPr>
        <w:t xml:space="preserve"> </w:t>
      </w:r>
      <w:r>
        <w:rPr>
          <w:rFonts w:ascii="Times New Roman" w:hAnsi="Times New Roman"/>
          <w:szCs w:val="24"/>
          <w:lang w:val="hr-HR"/>
        </w:rPr>
        <w:t>свих</w:t>
      </w:r>
      <w:r w:rsidR="00D77325" w:rsidRPr="00295637">
        <w:rPr>
          <w:rFonts w:ascii="Times New Roman" w:hAnsi="Times New Roman"/>
          <w:szCs w:val="24"/>
          <w:lang w:val="hr-HR"/>
        </w:rPr>
        <w:t xml:space="preserve"> </w:t>
      </w:r>
      <w:r>
        <w:rPr>
          <w:rFonts w:ascii="Times New Roman" w:hAnsi="Times New Roman"/>
          <w:szCs w:val="24"/>
          <w:lang w:val="hr-HR"/>
        </w:rPr>
        <w:t>надлежних</w:t>
      </w:r>
      <w:r w:rsidR="00D77325" w:rsidRPr="00295637">
        <w:rPr>
          <w:rFonts w:ascii="Times New Roman" w:hAnsi="Times New Roman"/>
          <w:szCs w:val="24"/>
          <w:lang w:val="hr-HR"/>
        </w:rPr>
        <w:t xml:space="preserve"> </w:t>
      </w:r>
      <w:r>
        <w:rPr>
          <w:rFonts w:ascii="Times New Roman" w:hAnsi="Times New Roman"/>
          <w:szCs w:val="24"/>
          <w:lang w:val="hr-HR"/>
        </w:rPr>
        <w:t>институција</w:t>
      </w:r>
      <w:r w:rsidR="00D77325" w:rsidRPr="00295637">
        <w:rPr>
          <w:rFonts w:ascii="Times New Roman" w:hAnsi="Times New Roman"/>
          <w:szCs w:val="24"/>
          <w:lang w:val="hr-HR"/>
        </w:rPr>
        <w:t>.</w:t>
      </w:r>
    </w:p>
    <w:p w:rsidR="001F247B" w:rsidRPr="00295637" w:rsidRDefault="001F247B" w:rsidP="0086268D">
      <w:pPr>
        <w:jc w:val="both"/>
        <w:rPr>
          <w:rFonts w:ascii="Times New Roman" w:hAnsi="Times New Roman"/>
          <w:lang w:val="bs-Latn-BA"/>
        </w:rPr>
      </w:pPr>
    </w:p>
    <w:p w:rsidR="00E03BA1" w:rsidRPr="00295637" w:rsidRDefault="00C6214E" w:rsidP="0086268D">
      <w:pPr>
        <w:pStyle w:val="HTMLPreformatted"/>
        <w:jc w:val="both"/>
        <w:rPr>
          <w:rFonts w:ascii="Times New Roman" w:hAnsi="Times New Roman" w:cs="Times New Roman"/>
          <w:color w:val="1F1F1F"/>
          <w:sz w:val="24"/>
          <w:szCs w:val="24"/>
          <w:lang w:val="en-US"/>
        </w:rPr>
      </w:pPr>
      <w:r>
        <w:rPr>
          <w:rFonts w:ascii="Times New Roman" w:hAnsi="Times New Roman" w:cs="Times New Roman"/>
          <w:sz w:val="24"/>
          <w:szCs w:val="24"/>
        </w:rPr>
        <w:t>АР</w:t>
      </w:r>
      <w:r w:rsidR="00446FC2">
        <w:rPr>
          <w:rFonts w:ascii="Times New Roman" w:hAnsi="Times New Roman" w:cs="Times New Roman"/>
          <w:sz w:val="24"/>
          <w:szCs w:val="24"/>
          <w:lang w:val="sr-Cyrl-BA"/>
        </w:rPr>
        <w:t>П</w:t>
      </w:r>
      <w:r w:rsidR="00820492">
        <w:rPr>
          <w:rFonts w:ascii="Times New Roman" w:hAnsi="Times New Roman" w:cs="Times New Roman"/>
          <w:sz w:val="24"/>
          <w:szCs w:val="24"/>
        </w:rPr>
        <w:t xml:space="preserve"> </w:t>
      </w:r>
      <w:r>
        <w:rPr>
          <w:rFonts w:ascii="Times New Roman" w:hAnsi="Times New Roman" w:cs="Times New Roman"/>
          <w:sz w:val="24"/>
          <w:szCs w:val="24"/>
        </w:rPr>
        <w:t>БиХ</w:t>
      </w:r>
      <w:r w:rsidR="00820492">
        <w:rPr>
          <w:rFonts w:ascii="Times New Roman" w:hAnsi="Times New Roman" w:cs="Times New Roman"/>
          <w:sz w:val="24"/>
          <w:szCs w:val="24"/>
        </w:rPr>
        <w:t xml:space="preserve"> </w:t>
      </w:r>
      <w:r>
        <w:rPr>
          <w:rFonts w:ascii="Times New Roman" w:hAnsi="Times New Roman" w:cs="Times New Roman"/>
          <w:sz w:val="24"/>
          <w:szCs w:val="24"/>
        </w:rPr>
        <w:t>МЉПИ</w:t>
      </w:r>
      <w:r w:rsidR="00820492">
        <w:rPr>
          <w:rFonts w:ascii="Times New Roman" w:hAnsi="Times New Roman" w:cs="Times New Roman"/>
          <w:sz w:val="24"/>
          <w:szCs w:val="24"/>
        </w:rPr>
        <w:t xml:space="preserve"> </w:t>
      </w:r>
      <w:r>
        <w:rPr>
          <w:rFonts w:ascii="Times New Roman" w:hAnsi="Times New Roman" w:cs="Times New Roman"/>
          <w:sz w:val="24"/>
          <w:szCs w:val="24"/>
        </w:rPr>
        <w:t>БиХ</w:t>
      </w:r>
      <w:r w:rsidR="00820492">
        <w:rPr>
          <w:rFonts w:ascii="Times New Roman" w:hAnsi="Times New Roman" w:cs="Times New Roman"/>
          <w:sz w:val="24"/>
          <w:szCs w:val="24"/>
        </w:rPr>
        <w:t xml:space="preserve">, </w:t>
      </w:r>
      <w:r>
        <w:rPr>
          <w:rFonts w:ascii="Times New Roman" w:hAnsi="Times New Roman" w:cs="Times New Roman"/>
          <w:sz w:val="24"/>
          <w:szCs w:val="24"/>
        </w:rPr>
        <w:t>ГЦ</w:t>
      </w:r>
      <w:r w:rsidR="00820492">
        <w:rPr>
          <w:rFonts w:ascii="Times New Roman" w:hAnsi="Times New Roman" w:cs="Times New Roman"/>
          <w:sz w:val="24"/>
          <w:szCs w:val="24"/>
        </w:rPr>
        <w:t xml:space="preserve"> </w:t>
      </w:r>
      <w:r>
        <w:rPr>
          <w:rFonts w:ascii="Times New Roman" w:hAnsi="Times New Roman" w:cs="Times New Roman"/>
          <w:sz w:val="24"/>
          <w:szCs w:val="24"/>
        </w:rPr>
        <w:t>ФБиХ</w:t>
      </w:r>
      <w:r w:rsidR="00EF7D9E">
        <w:rPr>
          <w:rFonts w:ascii="Times New Roman" w:hAnsi="Times New Roman" w:cs="Times New Roman"/>
          <w:sz w:val="24"/>
          <w:szCs w:val="24"/>
        </w:rPr>
        <w:t xml:space="preserve"> </w:t>
      </w:r>
      <w:r>
        <w:rPr>
          <w:rFonts w:ascii="Times New Roman" w:hAnsi="Times New Roman" w:cs="Times New Roman"/>
          <w:sz w:val="24"/>
          <w:szCs w:val="24"/>
        </w:rPr>
        <w:t>и</w:t>
      </w:r>
      <w:r w:rsidR="00EF7D9E">
        <w:rPr>
          <w:rFonts w:ascii="Times New Roman" w:hAnsi="Times New Roman" w:cs="Times New Roman"/>
          <w:sz w:val="24"/>
          <w:szCs w:val="24"/>
        </w:rPr>
        <w:t xml:space="preserve"> </w:t>
      </w:r>
      <w:r>
        <w:rPr>
          <w:rFonts w:ascii="Times New Roman" w:hAnsi="Times New Roman" w:cs="Times New Roman"/>
          <w:sz w:val="24"/>
          <w:szCs w:val="24"/>
        </w:rPr>
        <w:t>ЦЈРП</w:t>
      </w:r>
      <w:r w:rsidR="00EF7D9E">
        <w:rPr>
          <w:rFonts w:ascii="Times New Roman" w:hAnsi="Times New Roman" w:cs="Times New Roman"/>
          <w:sz w:val="24"/>
          <w:szCs w:val="24"/>
        </w:rPr>
        <w:t xml:space="preserve"> </w:t>
      </w:r>
      <w:r>
        <w:rPr>
          <w:rFonts w:ascii="Times New Roman" w:hAnsi="Times New Roman" w:cs="Times New Roman"/>
          <w:sz w:val="24"/>
          <w:szCs w:val="24"/>
        </w:rPr>
        <w:t>РС</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су</w:t>
      </w:r>
      <w:r w:rsidR="00EF7D9E" w:rsidRPr="00295637">
        <w:rPr>
          <w:rFonts w:ascii="Times New Roman" w:hAnsi="Times New Roman" w:cs="Times New Roman"/>
          <w:sz w:val="24"/>
          <w:szCs w:val="24"/>
        </w:rPr>
        <w:t xml:space="preserve"> </w:t>
      </w:r>
      <w:r>
        <w:rPr>
          <w:rFonts w:ascii="Times New Roman" w:hAnsi="Times New Roman" w:cs="Times New Roman"/>
          <w:sz w:val="24"/>
          <w:szCs w:val="24"/>
        </w:rPr>
        <w:t>током</w:t>
      </w:r>
      <w:r w:rsidR="00DF0932" w:rsidRPr="00295637">
        <w:rPr>
          <w:rFonts w:ascii="Times New Roman" w:hAnsi="Times New Roman" w:cs="Times New Roman"/>
          <w:sz w:val="24"/>
          <w:szCs w:val="24"/>
        </w:rPr>
        <w:t xml:space="preserve"> 2024. </w:t>
      </w:r>
      <w:r>
        <w:rPr>
          <w:rFonts w:ascii="Times New Roman" w:hAnsi="Times New Roman" w:cs="Times New Roman"/>
          <w:sz w:val="24"/>
          <w:szCs w:val="24"/>
        </w:rPr>
        <w:t>године</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у</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сарадњи</w:t>
      </w:r>
      <w:r w:rsidR="00820492">
        <w:rPr>
          <w:rFonts w:ascii="Times New Roman" w:hAnsi="Times New Roman" w:cs="Times New Roman"/>
          <w:sz w:val="24"/>
          <w:szCs w:val="24"/>
        </w:rPr>
        <w:t xml:space="preserve"> </w:t>
      </w:r>
      <w:r>
        <w:rPr>
          <w:rFonts w:ascii="Times New Roman" w:hAnsi="Times New Roman" w:cs="Times New Roman"/>
          <w:sz w:val="24"/>
          <w:szCs w:val="24"/>
        </w:rPr>
        <w:t>са</w:t>
      </w:r>
      <w:r w:rsidR="00DF0932" w:rsidRPr="00295637">
        <w:rPr>
          <w:rFonts w:ascii="Times New Roman" w:hAnsi="Times New Roman" w:cs="Times New Roman"/>
          <w:sz w:val="24"/>
          <w:szCs w:val="24"/>
        </w:rPr>
        <w:t xml:space="preserve"> </w:t>
      </w:r>
      <w:r w:rsidR="00446FC2">
        <w:rPr>
          <w:rFonts w:ascii="Times New Roman" w:hAnsi="Times New Roman" w:cs="Times New Roman"/>
          <w:sz w:val="24"/>
          <w:szCs w:val="24"/>
          <w:lang w:val="sr-Cyrl-BA"/>
        </w:rPr>
        <w:t>С</w:t>
      </w:r>
      <w:r>
        <w:rPr>
          <w:rFonts w:ascii="Times New Roman" w:hAnsi="Times New Roman" w:cs="Times New Roman"/>
          <w:sz w:val="24"/>
          <w:szCs w:val="24"/>
        </w:rPr>
        <w:t>Е</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проводили</w:t>
      </w:r>
      <w:r w:rsidR="00820492">
        <w:rPr>
          <w:rFonts w:ascii="Times New Roman" w:hAnsi="Times New Roman" w:cs="Times New Roman"/>
          <w:sz w:val="24"/>
          <w:szCs w:val="24"/>
        </w:rPr>
        <w:t xml:space="preserve"> </w:t>
      </w:r>
      <w:r>
        <w:rPr>
          <w:rFonts w:ascii="Times New Roman" w:hAnsi="Times New Roman" w:cs="Times New Roman"/>
          <w:sz w:val="24"/>
          <w:szCs w:val="24"/>
        </w:rPr>
        <w:t>пројекат</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Дигитално</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и</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сексуално</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насиље</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у</w:t>
      </w:r>
      <w:r w:rsidR="00820492">
        <w:rPr>
          <w:rFonts w:ascii="Times New Roman" w:hAnsi="Times New Roman" w:cs="Times New Roman"/>
          <w:sz w:val="24"/>
          <w:szCs w:val="24"/>
        </w:rPr>
        <w:t xml:space="preserve"> </w:t>
      </w:r>
      <w:r>
        <w:rPr>
          <w:rFonts w:ascii="Times New Roman" w:hAnsi="Times New Roman" w:cs="Times New Roman"/>
          <w:sz w:val="24"/>
          <w:szCs w:val="24"/>
        </w:rPr>
        <w:t>БиХ</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Циљ</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пројекта</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је</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да</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подржи</w:t>
      </w:r>
      <w:r w:rsidR="00DF0932" w:rsidRPr="00295637">
        <w:rPr>
          <w:rFonts w:ascii="Times New Roman" w:hAnsi="Times New Roman" w:cs="Times New Roman"/>
          <w:sz w:val="24"/>
          <w:szCs w:val="24"/>
        </w:rPr>
        <w:t xml:space="preserve"> </w:t>
      </w:r>
      <w:r w:rsidR="00446FC2">
        <w:rPr>
          <w:rFonts w:ascii="Times New Roman" w:hAnsi="Times New Roman" w:cs="Times New Roman"/>
          <w:sz w:val="24"/>
          <w:szCs w:val="24"/>
          <w:lang w:val="sr-Cyrl-BA"/>
        </w:rPr>
        <w:t>спрођење</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препорука</w:t>
      </w:r>
      <w:r w:rsidR="00DF0932" w:rsidRPr="00295637">
        <w:rPr>
          <w:rFonts w:ascii="Times New Roman" w:hAnsi="Times New Roman" w:cs="Times New Roman"/>
          <w:sz w:val="24"/>
          <w:szCs w:val="24"/>
        </w:rPr>
        <w:t xml:space="preserve"> </w:t>
      </w:r>
      <w:r w:rsidR="003601A7">
        <w:rPr>
          <w:rFonts w:ascii="Times New Roman" w:hAnsi="Times New Roman" w:cs="Times New Roman"/>
          <w:sz w:val="24"/>
          <w:szCs w:val="24"/>
          <w:lang w:val="sr-Cyrl-BA"/>
        </w:rPr>
        <w:t>К</w:t>
      </w:r>
      <w:r w:rsidR="003601A7">
        <w:rPr>
          <w:rFonts w:ascii="Times New Roman" w:hAnsi="Times New Roman" w:cs="Times New Roman"/>
          <w:sz w:val="24"/>
          <w:szCs w:val="24"/>
        </w:rPr>
        <w:t xml:space="preserve">омитета </w:t>
      </w:r>
      <w:r>
        <w:rPr>
          <w:rFonts w:ascii="Times New Roman" w:hAnsi="Times New Roman" w:cs="Times New Roman"/>
          <w:sz w:val="24"/>
          <w:szCs w:val="24"/>
        </w:rPr>
        <w:t>ГРЕВИО</w:t>
      </w:r>
      <w:r w:rsidR="00DF0932" w:rsidRPr="00295637">
        <w:rPr>
          <w:rFonts w:ascii="Times New Roman" w:hAnsi="Times New Roman" w:cs="Times New Roman"/>
          <w:sz w:val="24"/>
          <w:szCs w:val="24"/>
        </w:rPr>
        <w:t xml:space="preserve"> </w:t>
      </w:r>
      <w:r w:rsidR="00446FC2">
        <w:rPr>
          <w:rFonts w:ascii="Times New Roman" w:hAnsi="Times New Roman" w:cs="Times New Roman"/>
          <w:sz w:val="24"/>
          <w:szCs w:val="24"/>
          <w:lang w:val="sr-Cyrl-BA"/>
        </w:rPr>
        <w:t>С</w:t>
      </w:r>
      <w:r>
        <w:rPr>
          <w:rFonts w:ascii="Times New Roman" w:hAnsi="Times New Roman" w:cs="Times New Roman"/>
          <w:sz w:val="24"/>
          <w:szCs w:val="24"/>
        </w:rPr>
        <w:t>Е</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за</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БиХ</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и</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Прве</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препоруке</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о</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дигиталном</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насиљу</w:t>
      </w:r>
      <w:r w:rsidR="00DF0932" w:rsidRPr="00295637">
        <w:rPr>
          <w:rFonts w:ascii="Times New Roman" w:hAnsi="Times New Roman" w:cs="Times New Roman"/>
          <w:sz w:val="24"/>
          <w:szCs w:val="24"/>
        </w:rPr>
        <w:t xml:space="preserve"> </w:t>
      </w:r>
      <w:r w:rsidR="003601A7">
        <w:rPr>
          <w:rFonts w:ascii="Times New Roman" w:hAnsi="Times New Roman" w:cs="Times New Roman"/>
          <w:sz w:val="24"/>
          <w:szCs w:val="24"/>
          <w:lang w:val="sr-Cyrl-BA"/>
        </w:rPr>
        <w:t>К</w:t>
      </w:r>
      <w:r w:rsidR="003601A7">
        <w:rPr>
          <w:rFonts w:ascii="Times New Roman" w:hAnsi="Times New Roman" w:cs="Times New Roman"/>
          <w:sz w:val="24"/>
          <w:szCs w:val="24"/>
        </w:rPr>
        <w:t xml:space="preserve">омитета </w:t>
      </w:r>
      <w:r>
        <w:rPr>
          <w:rFonts w:ascii="Times New Roman" w:hAnsi="Times New Roman" w:cs="Times New Roman"/>
          <w:sz w:val="24"/>
          <w:szCs w:val="24"/>
        </w:rPr>
        <w:t>ГРЕВИО</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У</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првој</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фази</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пројекта</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израђена</w:t>
      </w:r>
      <w:r w:rsidR="00DF0932" w:rsidRPr="00295637">
        <w:rPr>
          <w:rFonts w:ascii="Times New Roman" w:hAnsi="Times New Roman" w:cs="Times New Roman"/>
          <w:sz w:val="24"/>
          <w:szCs w:val="24"/>
        </w:rPr>
        <w:t xml:space="preserve"> </w:t>
      </w:r>
      <w:r>
        <w:rPr>
          <w:rFonts w:ascii="Times New Roman" w:hAnsi="Times New Roman" w:cs="Times New Roman"/>
          <w:sz w:val="24"/>
          <w:szCs w:val="24"/>
        </w:rPr>
        <w:t>је</w:t>
      </w:r>
      <w:r w:rsidR="00DF0932" w:rsidRPr="00295637">
        <w:rPr>
          <w:rFonts w:ascii="Times New Roman" w:hAnsi="Times New Roman" w:cs="Times New Roman"/>
          <w:sz w:val="24"/>
          <w:szCs w:val="24"/>
        </w:rPr>
        <w:t xml:space="preserve"> </w:t>
      </w:r>
      <w:r w:rsidR="00E03BA1" w:rsidRPr="00295637">
        <w:rPr>
          <w:rFonts w:ascii="Times New Roman" w:hAnsi="Times New Roman" w:cs="Times New Roman"/>
          <w:sz w:val="24"/>
          <w:szCs w:val="24"/>
        </w:rPr>
        <w:t>„</w:t>
      </w:r>
      <w:r>
        <w:rPr>
          <w:rFonts w:ascii="Times New Roman" w:hAnsi="Times New Roman" w:cs="Times New Roman"/>
          <w:sz w:val="24"/>
          <w:szCs w:val="24"/>
        </w:rPr>
        <w:t>гап</w:t>
      </w:r>
      <w:r w:rsidR="00E03BA1" w:rsidRPr="00820492">
        <w:rPr>
          <w:rFonts w:ascii="Times New Roman" w:hAnsi="Times New Roman" w:cs="Times New Roman"/>
          <w:sz w:val="24"/>
          <w:szCs w:val="24"/>
        </w:rPr>
        <w:t>-</w:t>
      </w:r>
      <w:r>
        <w:rPr>
          <w:rFonts w:ascii="Times New Roman" w:hAnsi="Times New Roman" w:cs="Times New Roman"/>
          <w:sz w:val="24"/>
          <w:szCs w:val="24"/>
        </w:rPr>
        <w:t>анализа</w:t>
      </w:r>
      <w:r w:rsidR="00E03BA1" w:rsidRPr="00820492">
        <w:rPr>
          <w:rFonts w:ascii="Times New Roman" w:hAnsi="Times New Roman" w:cs="Times New Roman"/>
          <w:sz w:val="24"/>
          <w:szCs w:val="24"/>
        </w:rPr>
        <w:t>“</w:t>
      </w:r>
      <w:r w:rsidR="00DF0932" w:rsidRPr="00820492">
        <w:rPr>
          <w:rFonts w:ascii="Times New Roman" w:hAnsi="Times New Roman" w:cs="Times New Roman"/>
          <w:sz w:val="24"/>
          <w:szCs w:val="24"/>
        </w:rPr>
        <w:t xml:space="preserve"> </w:t>
      </w:r>
      <w:r>
        <w:rPr>
          <w:rFonts w:ascii="Times New Roman" w:hAnsi="Times New Roman" w:cs="Times New Roman"/>
          <w:sz w:val="24"/>
          <w:szCs w:val="24"/>
        </w:rPr>
        <w:t>и</w:t>
      </w:r>
      <w:r w:rsidR="00DF0932" w:rsidRPr="00820492">
        <w:rPr>
          <w:rFonts w:ascii="Times New Roman" w:hAnsi="Times New Roman" w:cs="Times New Roman"/>
          <w:sz w:val="24"/>
          <w:szCs w:val="24"/>
        </w:rPr>
        <w:t xml:space="preserve"> </w:t>
      </w:r>
      <w:r>
        <w:rPr>
          <w:rFonts w:ascii="Times New Roman" w:hAnsi="Times New Roman" w:cs="Times New Roman"/>
          <w:sz w:val="24"/>
          <w:szCs w:val="24"/>
        </w:rPr>
        <w:t>дефини</w:t>
      </w:r>
      <w:r w:rsidR="00446FC2">
        <w:rPr>
          <w:rFonts w:ascii="Times New Roman" w:hAnsi="Times New Roman" w:cs="Times New Roman"/>
          <w:sz w:val="24"/>
          <w:szCs w:val="24"/>
          <w:lang w:val="sr-Cyrl-BA"/>
        </w:rPr>
        <w:t>с</w:t>
      </w:r>
      <w:r>
        <w:rPr>
          <w:rFonts w:ascii="Times New Roman" w:hAnsi="Times New Roman" w:cs="Times New Roman"/>
          <w:sz w:val="24"/>
          <w:szCs w:val="24"/>
        </w:rPr>
        <w:t>ане</w:t>
      </w:r>
      <w:r w:rsidR="00DF0932" w:rsidRPr="00820492">
        <w:rPr>
          <w:rFonts w:ascii="Times New Roman" w:hAnsi="Times New Roman" w:cs="Times New Roman"/>
          <w:sz w:val="24"/>
          <w:szCs w:val="24"/>
        </w:rPr>
        <w:t xml:space="preserve"> </w:t>
      </w:r>
      <w:r>
        <w:rPr>
          <w:rFonts w:ascii="Times New Roman" w:hAnsi="Times New Roman" w:cs="Times New Roman"/>
          <w:sz w:val="24"/>
          <w:szCs w:val="24"/>
        </w:rPr>
        <w:t>препоруке</w:t>
      </w:r>
      <w:r w:rsidR="00DF0932" w:rsidRPr="00820492">
        <w:rPr>
          <w:rFonts w:ascii="Times New Roman" w:hAnsi="Times New Roman" w:cs="Times New Roman"/>
          <w:sz w:val="24"/>
          <w:szCs w:val="24"/>
        </w:rPr>
        <w:t xml:space="preserve"> </w:t>
      </w:r>
      <w:r>
        <w:rPr>
          <w:rFonts w:ascii="Times New Roman" w:hAnsi="Times New Roman" w:cs="Times New Roman"/>
          <w:sz w:val="24"/>
          <w:szCs w:val="24"/>
        </w:rPr>
        <w:t>за</w:t>
      </w:r>
      <w:r w:rsidR="00DF0932" w:rsidRPr="00820492">
        <w:rPr>
          <w:rFonts w:ascii="Times New Roman" w:hAnsi="Times New Roman" w:cs="Times New Roman"/>
          <w:sz w:val="24"/>
          <w:szCs w:val="24"/>
        </w:rPr>
        <w:t xml:space="preserve"> </w:t>
      </w:r>
      <w:r>
        <w:rPr>
          <w:rFonts w:ascii="Times New Roman" w:hAnsi="Times New Roman" w:cs="Times New Roman"/>
          <w:sz w:val="24"/>
          <w:szCs w:val="24"/>
        </w:rPr>
        <w:t>унапређење</w:t>
      </w:r>
      <w:r w:rsidR="00DF0932" w:rsidRPr="00820492">
        <w:rPr>
          <w:rFonts w:ascii="Times New Roman" w:hAnsi="Times New Roman" w:cs="Times New Roman"/>
          <w:sz w:val="24"/>
          <w:szCs w:val="24"/>
        </w:rPr>
        <w:t xml:space="preserve"> </w:t>
      </w:r>
      <w:r>
        <w:rPr>
          <w:rFonts w:ascii="Times New Roman" w:hAnsi="Times New Roman" w:cs="Times New Roman"/>
          <w:sz w:val="24"/>
          <w:szCs w:val="24"/>
        </w:rPr>
        <w:t>законодавног</w:t>
      </w:r>
      <w:r w:rsidR="00DF0932" w:rsidRPr="00820492">
        <w:rPr>
          <w:rFonts w:ascii="Times New Roman" w:hAnsi="Times New Roman" w:cs="Times New Roman"/>
          <w:sz w:val="24"/>
          <w:szCs w:val="24"/>
        </w:rPr>
        <w:t xml:space="preserve"> </w:t>
      </w:r>
      <w:r>
        <w:rPr>
          <w:rFonts w:ascii="Times New Roman" w:hAnsi="Times New Roman" w:cs="Times New Roman"/>
          <w:sz w:val="24"/>
          <w:szCs w:val="24"/>
        </w:rPr>
        <w:t>и</w:t>
      </w:r>
      <w:r w:rsidR="00DF0932" w:rsidRPr="00820492">
        <w:rPr>
          <w:rFonts w:ascii="Times New Roman" w:hAnsi="Times New Roman" w:cs="Times New Roman"/>
          <w:sz w:val="24"/>
          <w:szCs w:val="24"/>
        </w:rPr>
        <w:t xml:space="preserve"> </w:t>
      </w:r>
      <w:r>
        <w:rPr>
          <w:rFonts w:ascii="Times New Roman" w:hAnsi="Times New Roman" w:cs="Times New Roman"/>
          <w:sz w:val="24"/>
          <w:szCs w:val="24"/>
        </w:rPr>
        <w:t>институционалног</w:t>
      </w:r>
      <w:r w:rsidR="00DF0932" w:rsidRPr="00820492">
        <w:rPr>
          <w:rFonts w:ascii="Times New Roman" w:hAnsi="Times New Roman" w:cs="Times New Roman"/>
          <w:sz w:val="24"/>
          <w:szCs w:val="24"/>
        </w:rPr>
        <w:t xml:space="preserve"> </w:t>
      </w:r>
      <w:r>
        <w:rPr>
          <w:rFonts w:ascii="Times New Roman" w:hAnsi="Times New Roman" w:cs="Times New Roman"/>
          <w:sz w:val="24"/>
          <w:szCs w:val="24"/>
        </w:rPr>
        <w:t>оквира</w:t>
      </w:r>
      <w:r w:rsidR="00D30E48">
        <w:rPr>
          <w:rFonts w:ascii="Times New Roman" w:hAnsi="Times New Roman" w:cs="Times New Roman"/>
          <w:sz w:val="24"/>
          <w:szCs w:val="24"/>
        </w:rPr>
        <w:t xml:space="preserve"> </w:t>
      </w:r>
      <w:r>
        <w:rPr>
          <w:rFonts w:ascii="Times New Roman" w:hAnsi="Times New Roman" w:cs="Times New Roman"/>
          <w:sz w:val="24"/>
          <w:szCs w:val="24"/>
        </w:rPr>
        <w:t>БиХ</w:t>
      </w:r>
      <w:r w:rsidR="0006181C" w:rsidRPr="00820492">
        <w:rPr>
          <w:rFonts w:ascii="Times New Roman" w:hAnsi="Times New Roman" w:cs="Times New Roman"/>
          <w:sz w:val="24"/>
          <w:szCs w:val="24"/>
        </w:rPr>
        <w:t xml:space="preserve"> </w:t>
      </w:r>
      <w:r>
        <w:rPr>
          <w:rFonts w:ascii="Times New Roman" w:hAnsi="Times New Roman" w:cs="Times New Roman"/>
          <w:sz w:val="24"/>
          <w:szCs w:val="24"/>
        </w:rPr>
        <w:t>по</w:t>
      </w:r>
      <w:r w:rsidR="0006181C" w:rsidRPr="00820492">
        <w:rPr>
          <w:rFonts w:ascii="Times New Roman" w:hAnsi="Times New Roman" w:cs="Times New Roman"/>
          <w:sz w:val="24"/>
          <w:szCs w:val="24"/>
        </w:rPr>
        <w:t xml:space="preserve"> </w:t>
      </w:r>
      <w:r>
        <w:rPr>
          <w:rFonts w:ascii="Times New Roman" w:hAnsi="Times New Roman" w:cs="Times New Roman"/>
          <w:sz w:val="24"/>
          <w:szCs w:val="24"/>
        </w:rPr>
        <w:t>овим</w:t>
      </w:r>
      <w:r w:rsidR="0006181C" w:rsidRPr="00820492">
        <w:rPr>
          <w:rFonts w:ascii="Times New Roman" w:hAnsi="Times New Roman" w:cs="Times New Roman"/>
          <w:sz w:val="24"/>
          <w:szCs w:val="24"/>
        </w:rPr>
        <w:t xml:space="preserve"> </w:t>
      </w:r>
      <w:r>
        <w:rPr>
          <w:rFonts w:ascii="Times New Roman" w:hAnsi="Times New Roman" w:cs="Times New Roman"/>
          <w:sz w:val="24"/>
          <w:szCs w:val="24"/>
        </w:rPr>
        <w:t>питањима</w:t>
      </w:r>
      <w:r w:rsidR="0006181C" w:rsidRPr="00820492">
        <w:rPr>
          <w:rFonts w:ascii="Times New Roman" w:hAnsi="Times New Roman" w:cs="Times New Roman"/>
          <w:sz w:val="24"/>
          <w:szCs w:val="24"/>
        </w:rPr>
        <w:t>.</w:t>
      </w:r>
      <w:r w:rsidR="00DF0932" w:rsidRPr="00820492">
        <w:rPr>
          <w:rFonts w:ascii="Times New Roman" w:hAnsi="Times New Roman" w:cs="Times New Roman"/>
          <w:sz w:val="24"/>
          <w:szCs w:val="24"/>
        </w:rPr>
        <w:t xml:space="preserve"> </w:t>
      </w:r>
      <w:r>
        <w:rPr>
          <w:rStyle w:val="y2iqfc"/>
          <w:rFonts w:ascii="Times New Roman" w:hAnsi="Times New Roman" w:cs="Times New Roman"/>
          <w:sz w:val="24"/>
          <w:szCs w:val="24"/>
        </w:rPr>
        <w:t>Поред</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тога</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организ</w:t>
      </w:r>
      <w:r w:rsidR="00446FC2">
        <w:rPr>
          <w:rStyle w:val="y2iqfc"/>
          <w:rFonts w:ascii="Times New Roman" w:hAnsi="Times New Roman" w:cs="Times New Roman"/>
          <w:sz w:val="24"/>
          <w:szCs w:val="24"/>
          <w:lang w:val="sr-Cyrl-BA"/>
        </w:rPr>
        <w:t>овањем</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бројних</w:t>
      </w:r>
      <w:r w:rsidR="0006181C"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конференција</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округлих</w:t>
      </w:r>
      <w:r w:rsidR="00274D40"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столова</w:t>
      </w:r>
      <w:r w:rsidR="00E03BA1" w:rsidRPr="00820492">
        <w:rPr>
          <w:rStyle w:val="FootnoteReference"/>
          <w:rFonts w:ascii="Times New Roman" w:hAnsi="Times New Roman" w:cs="Times New Roman"/>
          <w:sz w:val="24"/>
          <w:szCs w:val="24"/>
        </w:rPr>
        <w:footnoteReference w:id="2"/>
      </w:r>
      <w:r w:rsidR="00820492"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пројекат</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повећао</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свијест</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међу</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релевантним</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органима</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ГРЕВИО</w:t>
      </w:r>
      <w:r w:rsidR="00E03BA1" w:rsidRPr="00820492">
        <w:rPr>
          <w:rStyle w:val="y2iqfc"/>
          <w:rFonts w:ascii="Times New Roman" w:hAnsi="Times New Roman" w:cs="Times New Roman"/>
          <w:sz w:val="24"/>
          <w:szCs w:val="24"/>
        </w:rPr>
        <w:t xml:space="preserve"> </w:t>
      </w:r>
      <w:r w:rsidR="003601A7">
        <w:rPr>
          <w:rStyle w:val="y2iqfc"/>
          <w:rFonts w:ascii="Times New Roman" w:hAnsi="Times New Roman" w:cs="Times New Roman"/>
          <w:sz w:val="24"/>
          <w:szCs w:val="24"/>
          <w:lang w:val="sr-Cyrl-BA"/>
        </w:rPr>
        <w:t>п</w:t>
      </w:r>
      <w:r>
        <w:rPr>
          <w:rStyle w:val="y2iqfc"/>
          <w:rFonts w:ascii="Times New Roman" w:hAnsi="Times New Roman" w:cs="Times New Roman"/>
          <w:sz w:val="24"/>
          <w:szCs w:val="24"/>
        </w:rPr>
        <w:t>репоруци</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бр</w:t>
      </w:r>
      <w:r w:rsidR="00E03BA1" w:rsidRPr="00820492">
        <w:rPr>
          <w:rStyle w:val="y2iqfc"/>
          <w:rFonts w:ascii="Times New Roman" w:hAnsi="Times New Roman" w:cs="Times New Roman"/>
          <w:sz w:val="24"/>
          <w:szCs w:val="24"/>
        </w:rPr>
        <w:t xml:space="preserve">. 1 </w:t>
      </w:r>
      <w:r>
        <w:rPr>
          <w:rStyle w:val="y2iqfc"/>
          <w:rFonts w:ascii="Times New Roman" w:hAnsi="Times New Roman" w:cs="Times New Roman"/>
          <w:sz w:val="24"/>
          <w:szCs w:val="24"/>
        </w:rPr>
        <w:t>о</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дигиталној</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димензији</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насиља</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над</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женама</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суштинским</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елементима</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различитим</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приступима</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криминализацији</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сексуалног</w:t>
      </w:r>
      <w:r w:rsidR="00E03BA1" w:rsidRPr="00820492">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насиља</w:t>
      </w:r>
      <w:r w:rsidR="00E03BA1" w:rsidRPr="00820492">
        <w:rPr>
          <w:rStyle w:val="y2iqfc"/>
          <w:rFonts w:ascii="Times New Roman" w:hAnsi="Times New Roman" w:cs="Times New Roman"/>
          <w:sz w:val="24"/>
          <w:szCs w:val="24"/>
        </w:rPr>
        <w:t>.</w:t>
      </w:r>
    </w:p>
    <w:p w:rsidR="00104A2C" w:rsidRPr="00295637" w:rsidRDefault="00104A2C" w:rsidP="0086268D">
      <w:pPr>
        <w:contextualSpacing/>
        <w:jc w:val="both"/>
        <w:rPr>
          <w:rFonts w:ascii="Times New Roman" w:hAnsi="Times New Roman"/>
          <w:bCs/>
          <w:color w:val="FF0000"/>
          <w:szCs w:val="24"/>
          <w:lang w:val="en-US"/>
        </w:rPr>
      </w:pPr>
    </w:p>
    <w:p w:rsidR="00190B68" w:rsidRPr="00295637" w:rsidRDefault="00C6214E" w:rsidP="0086268D">
      <w:pPr>
        <w:contextualSpacing/>
        <w:jc w:val="both"/>
        <w:rPr>
          <w:rFonts w:ascii="Times New Roman" w:hAnsi="Times New Roman"/>
          <w:bCs/>
          <w:color w:val="FF0000"/>
          <w:szCs w:val="24"/>
          <w:lang w:val="en-US"/>
        </w:rPr>
      </w:pPr>
      <w:r>
        <w:rPr>
          <w:rFonts w:ascii="Times New Roman" w:hAnsi="Times New Roman"/>
          <w:bCs/>
          <w:szCs w:val="24"/>
          <w:lang w:val="en-US"/>
        </w:rPr>
        <w:t>АР</w:t>
      </w:r>
      <w:r w:rsidR="00446FC2">
        <w:rPr>
          <w:rFonts w:ascii="Times New Roman" w:hAnsi="Times New Roman"/>
          <w:bCs/>
          <w:szCs w:val="24"/>
          <w:lang w:val="sr-Cyrl-BA"/>
        </w:rPr>
        <w:t>П</w:t>
      </w:r>
      <w:r w:rsidR="00820492">
        <w:rPr>
          <w:rFonts w:ascii="Times New Roman" w:hAnsi="Times New Roman"/>
          <w:bCs/>
          <w:szCs w:val="24"/>
          <w:lang w:val="en-US"/>
        </w:rPr>
        <w:t xml:space="preserve"> </w:t>
      </w:r>
      <w:r>
        <w:rPr>
          <w:rFonts w:ascii="Times New Roman" w:hAnsi="Times New Roman"/>
          <w:bCs/>
          <w:szCs w:val="24"/>
          <w:lang w:val="en-US"/>
        </w:rPr>
        <w:t>БиХ</w:t>
      </w:r>
      <w:r w:rsidR="00820492">
        <w:rPr>
          <w:rFonts w:ascii="Times New Roman" w:hAnsi="Times New Roman"/>
          <w:bCs/>
          <w:szCs w:val="24"/>
          <w:lang w:val="en-US"/>
        </w:rPr>
        <w:t xml:space="preserve"> </w:t>
      </w:r>
      <w:r>
        <w:rPr>
          <w:rFonts w:ascii="Times New Roman" w:hAnsi="Times New Roman"/>
          <w:bCs/>
          <w:szCs w:val="24"/>
          <w:lang w:val="en-US"/>
        </w:rPr>
        <w:t>МЉПИ</w:t>
      </w:r>
      <w:r w:rsidR="00820492">
        <w:rPr>
          <w:rFonts w:ascii="Times New Roman" w:hAnsi="Times New Roman"/>
          <w:bCs/>
          <w:szCs w:val="24"/>
          <w:lang w:val="en-US"/>
        </w:rPr>
        <w:t xml:space="preserve"> </w:t>
      </w:r>
      <w:r>
        <w:rPr>
          <w:rFonts w:ascii="Times New Roman" w:hAnsi="Times New Roman"/>
          <w:bCs/>
          <w:szCs w:val="24"/>
          <w:lang w:val="en-US"/>
        </w:rPr>
        <w:t>БиХ</w:t>
      </w:r>
      <w:r w:rsidR="009E54A2" w:rsidRPr="00295637">
        <w:rPr>
          <w:rFonts w:ascii="Times New Roman" w:hAnsi="Times New Roman"/>
          <w:bCs/>
          <w:szCs w:val="24"/>
          <w:lang w:val="en-US"/>
        </w:rPr>
        <w:t xml:space="preserve"> </w:t>
      </w:r>
      <w:r>
        <w:rPr>
          <w:rFonts w:ascii="Times New Roman" w:hAnsi="Times New Roman"/>
          <w:bCs/>
          <w:szCs w:val="24"/>
          <w:lang w:val="en-US"/>
        </w:rPr>
        <w:t>је</w:t>
      </w:r>
      <w:r w:rsidR="00125368" w:rsidRPr="00295637">
        <w:rPr>
          <w:rFonts w:ascii="Times New Roman" w:hAnsi="Times New Roman"/>
          <w:bCs/>
          <w:szCs w:val="24"/>
          <w:lang w:val="en-US"/>
        </w:rPr>
        <w:t xml:space="preserve"> </w:t>
      </w:r>
      <w:r>
        <w:rPr>
          <w:rFonts w:ascii="Times New Roman" w:hAnsi="Times New Roman"/>
          <w:bCs/>
          <w:szCs w:val="24"/>
          <w:lang w:val="en-US"/>
        </w:rPr>
        <w:t>у</w:t>
      </w:r>
      <w:r w:rsidR="00125368" w:rsidRPr="00295637">
        <w:rPr>
          <w:rFonts w:ascii="Times New Roman" w:hAnsi="Times New Roman"/>
          <w:bCs/>
          <w:szCs w:val="24"/>
          <w:lang w:val="en-US"/>
        </w:rPr>
        <w:t xml:space="preserve"> </w:t>
      </w:r>
      <w:r>
        <w:rPr>
          <w:rFonts w:ascii="Times New Roman" w:hAnsi="Times New Roman"/>
          <w:bCs/>
          <w:szCs w:val="24"/>
          <w:lang w:val="en-US"/>
        </w:rPr>
        <w:t>септембру</w:t>
      </w:r>
      <w:r w:rsidR="00125368" w:rsidRPr="00295637">
        <w:rPr>
          <w:rFonts w:ascii="Times New Roman" w:hAnsi="Times New Roman"/>
          <w:bCs/>
          <w:szCs w:val="24"/>
          <w:lang w:val="en-US"/>
        </w:rPr>
        <w:t xml:space="preserve"> 2024. </w:t>
      </w:r>
      <w:r>
        <w:rPr>
          <w:rFonts w:ascii="Times New Roman" w:hAnsi="Times New Roman"/>
          <w:bCs/>
          <w:szCs w:val="24"/>
          <w:lang w:val="en-US"/>
        </w:rPr>
        <w:t>године</w:t>
      </w:r>
      <w:r w:rsidR="00125368" w:rsidRPr="00295637">
        <w:rPr>
          <w:rFonts w:ascii="Times New Roman" w:hAnsi="Times New Roman"/>
          <w:bCs/>
          <w:szCs w:val="24"/>
          <w:lang w:val="en-US"/>
        </w:rPr>
        <w:t xml:space="preserve"> </w:t>
      </w:r>
      <w:r>
        <w:rPr>
          <w:rFonts w:ascii="Times New Roman" w:hAnsi="Times New Roman"/>
          <w:bCs/>
          <w:szCs w:val="24"/>
          <w:lang w:val="en-US"/>
        </w:rPr>
        <w:t>ФМП</w:t>
      </w:r>
      <w:r w:rsidR="00125368" w:rsidRPr="00295637">
        <w:rPr>
          <w:rFonts w:ascii="Times New Roman" w:hAnsi="Times New Roman"/>
          <w:bCs/>
          <w:szCs w:val="24"/>
          <w:lang w:val="en-US"/>
        </w:rPr>
        <w:t xml:space="preserve"> </w:t>
      </w:r>
      <w:r>
        <w:rPr>
          <w:rFonts w:ascii="Times New Roman" w:hAnsi="Times New Roman"/>
          <w:bCs/>
          <w:szCs w:val="24"/>
          <w:lang w:val="en-US"/>
        </w:rPr>
        <w:t>упутила</w:t>
      </w:r>
      <w:r w:rsidR="00125368" w:rsidRPr="00295637">
        <w:rPr>
          <w:rFonts w:ascii="Times New Roman" w:hAnsi="Times New Roman"/>
          <w:bCs/>
          <w:szCs w:val="24"/>
          <w:lang w:val="en-US"/>
        </w:rPr>
        <w:t xml:space="preserve"> </w:t>
      </w:r>
      <w:r>
        <w:rPr>
          <w:rFonts w:ascii="Times New Roman" w:hAnsi="Times New Roman"/>
          <w:bCs/>
          <w:szCs w:val="24"/>
          <w:lang w:val="en-US"/>
        </w:rPr>
        <w:t>приједлоге</w:t>
      </w:r>
      <w:r w:rsidR="00125368" w:rsidRPr="00295637">
        <w:rPr>
          <w:rFonts w:ascii="Times New Roman" w:hAnsi="Times New Roman"/>
          <w:bCs/>
          <w:szCs w:val="24"/>
          <w:lang w:val="en-US"/>
        </w:rPr>
        <w:t xml:space="preserve"> </w:t>
      </w:r>
      <w:r>
        <w:rPr>
          <w:rFonts w:ascii="Times New Roman" w:hAnsi="Times New Roman"/>
          <w:bCs/>
          <w:szCs w:val="24"/>
          <w:lang w:val="en-US"/>
        </w:rPr>
        <w:t>допуна</w:t>
      </w:r>
      <w:r w:rsidR="00125368" w:rsidRPr="00295637">
        <w:rPr>
          <w:rFonts w:ascii="Times New Roman" w:hAnsi="Times New Roman"/>
          <w:bCs/>
          <w:szCs w:val="24"/>
          <w:lang w:val="en-US"/>
        </w:rPr>
        <w:t xml:space="preserve"> </w:t>
      </w:r>
      <w:r>
        <w:rPr>
          <w:rFonts w:ascii="Times New Roman" w:hAnsi="Times New Roman"/>
          <w:bCs/>
          <w:szCs w:val="24"/>
          <w:lang w:val="en-US"/>
        </w:rPr>
        <w:t>нацрта</w:t>
      </w:r>
      <w:r w:rsidR="00125368" w:rsidRPr="00295637">
        <w:rPr>
          <w:rFonts w:ascii="Times New Roman" w:hAnsi="Times New Roman"/>
          <w:bCs/>
          <w:szCs w:val="24"/>
          <w:lang w:val="en-US"/>
        </w:rPr>
        <w:t xml:space="preserve"> </w:t>
      </w:r>
      <w:r>
        <w:rPr>
          <w:rFonts w:ascii="Times New Roman" w:hAnsi="Times New Roman"/>
          <w:bCs/>
          <w:szCs w:val="24"/>
          <w:lang w:val="en-US"/>
        </w:rPr>
        <w:t>новог</w:t>
      </w:r>
      <w:r w:rsidR="00125368" w:rsidRPr="00295637">
        <w:rPr>
          <w:rFonts w:ascii="Times New Roman" w:hAnsi="Times New Roman"/>
          <w:bCs/>
          <w:szCs w:val="24"/>
          <w:lang w:val="en-US"/>
        </w:rPr>
        <w:t xml:space="preserve"> </w:t>
      </w:r>
      <w:r>
        <w:rPr>
          <w:rFonts w:ascii="Times New Roman" w:hAnsi="Times New Roman"/>
          <w:bCs/>
          <w:szCs w:val="24"/>
          <w:lang w:val="en-US"/>
        </w:rPr>
        <w:t>Закона</w:t>
      </w:r>
      <w:r w:rsidR="00125368" w:rsidRPr="00295637">
        <w:rPr>
          <w:rFonts w:ascii="Times New Roman" w:hAnsi="Times New Roman"/>
          <w:bCs/>
          <w:szCs w:val="24"/>
          <w:lang w:val="en-US"/>
        </w:rPr>
        <w:t xml:space="preserve"> </w:t>
      </w:r>
      <w:r>
        <w:rPr>
          <w:rFonts w:ascii="Times New Roman" w:hAnsi="Times New Roman"/>
          <w:bCs/>
          <w:szCs w:val="24"/>
          <w:lang w:val="en-US"/>
        </w:rPr>
        <w:t>о</w:t>
      </w:r>
      <w:r w:rsidR="00125368" w:rsidRPr="00295637">
        <w:rPr>
          <w:rFonts w:ascii="Times New Roman" w:hAnsi="Times New Roman"/>
          <w:bCs/>
          <w:szCs w:val="24"/>
          <w:lang w:val="en-US"/>
        </w:rPr>
        <w:t xml:space="preserve"> </w:t>
      </w:r>
      <w:r>
        <w:rPr>
          <w:rFonts w:ascii="Times New Roman" w:hAnsi="Times New Roman"/>
          <w:bCs/>
          <w:szCs w:val="24"/>
          <w:lang w:val="en-US"/>
        </w:rPr>
        <w:t>заштити</w:t>
      </w:r>
      <w:r w:rsidR="00125368" w:rsidRPr="00295637">
        <w:rPr>
          <w:rFonts w:ascii="Times New Roman" w:hAnsi="Times New Roman"/>
          <w:bCs/>
          <w:szCs w:val="24"/>
          <w:lang w:val="en-US"/>
        </w:rPr>
        <w:t xml:space="preserve"> </w:t>
      </w:r>
      <w:r>
        <w:rPr>
          <w:rFonts w:ascii="Times New Roman" w:hAnsi="Times New Roman"/>
          <w:bCs/>
          <w:szCs w:val="24"/>
          <w:lang w:val="en-US"/>
        </w:rPr>
        <w:t>од</w:t>
      </w:r>
      <w:r w:rsidR="00125368" w:rsidRPr="00295637">
        <w:rPr>
          <w:rFonts w:ascii="Times New Roman" w:hAnsi="Times New Roman"/>
          <w:bCs/>
          <w:szCs w:val="24"/>
          <w:lang w:val="en-US"/>
        </w:rPr>
        <w:t xml:space="preserve"> </w:t>
      </w:r>
      <w:r>
        <w:rPr>
          <w:rFonts w:ascii="Times New Roman" w:hAnsi="Times New Roman"/>
          <w:bCs/>
          <w:szCs w:val="24"/>
          <w:lang w:val="en-US"/>
        </w:rPr>
        <w:t>насиља</w:t>
      </w:r>
      <w:r w:rsidR="00125368" w:rsidRPr="00295637">
        <w:rPr>
          <w:rFonts w:ascii="Times New Roman" w:hAnsi="Times New Roman"/>
          <w:bCs/>
          <w:szCs w:val="24"/>
          <w:lang w:val="en-US"/>
        </w:rPr>
        <w:t xml:space="preserve"> </w:t>
      </w:r>
      <w:r>
        <w:rPr>
          <w:rFonts w:ascii="Times New Roman" w:hAnsi="Times New Roman"/>
          <w:bCs/>
          <w:szCs w:val="24"/>
          <w:lang w:val="en-US"/>
        </w:rPr>
        <w:t>у</w:t>
      </w:r>
      <w:r w:rsidR="00125368" w:rsidRPr="00295637">
        <w:rPr>
          <w:rFonts w:ascii="Times New Roman" w:hAnsi="Times New Roman"/>
          <w:bCs/>
          <w:szCs w:val="24"/>
          <w:lang w:val="en-US"/>
        </w:rPr>
        <w:t xml:space="preserve"> </w:t>
      </w:r>
      <w:r>
        <w:rPr>
          <w:rFonts w:ascii="Times New Roman" w:hAnsi="Times New Roman"/>
          <w:bCs/>
          <w:szCs w:val="24"/>
          <w:lang w:val="en-US"/>
        </w:rPr>
        <w:t>породици</w:t>
      </w:r>
      <w:r w:rsidR="00125368" w:rsidRPr="00295637">
        <w:rPr>
          <w:rFonts w:ascii="Times New Roman" w:hAnsi="Times New Roman"/>
          <w:bCs/>
          <w:szCs w:val="24"/>
          <w:lang w:val="en-US"/>
        </w:rPr>
        <w:t xml:space="preserve"> </w:t>
      </w:r>
      <w:r>
        <w:rPr>
          <w:rFonts w:ascii="Times New Roman" w:hAnsi="Times New Roman"/>
          <w:bCs/>
          <w:szCs w:val="24"/>
          <w:lang w:val="en-US"/>
        </w:rPr>
        <w:t>и</w:t>
      </w:r>
      <w:r w:rsidR="00125368" w:rsidRPr="00295637">
        <w:rPr>
          <w:rFonts w:ascii="Times New Roman" w:hAnsi="Times New Roman"/>
          <w:bCs/>
          <w:szCs w:val="24"/>
          <w:lang w:val="en-US"/>
        </w:rPr>
        <w:t xml:space="preserve"> </w:t>
      </w:r>
      <w:r>
        <w:rPr>
          <w:rFonts w:ascii="Times New Roman" w:hAnsi="Times New Roman"/>
          <w:bCs/>
          <w:szCs w:val="24"/>
          <w:lang w:val="en-US"/>
        </w:rPr>
        <w:t>насиља</w:t>
      </w:r>
      <w:r w:rsidR="00B57061" w:rsidRPr="00295637">
        <w:rPr>
          <w:rFonts w:ascii="Times New Roman" w:hAnsi="Times New Roman"/>
          <w:bCs/>
          <w:szCs w:val="24"/>
          <w:lang w:val="en-US"/>
        </w:rPr>
        <w:t xml:space="preserve"> </w:t>
      </w:r>
      <w:r>
        <w:rPr>
          <w:rFonts w:ascii="Times New Roman" w:hAnsi="Times New Roman"/>
          <w:bCs/>
          <w:szCs w:val="24"/>
          <w:lang w:val="en-US"/>
        </w:rPr>
        <w:t>против</w:t>
      </w:r>
      <w:r w:rsidR="00B57061" w:rsidRPr="00295637">
        <w:rPr>
          <w:rFonts w:ascii="Times New Roman" w:hAnsi="Times New Roman"/>
          <w:bCs/>
          <w:szCs w:val="24"/>
          <w:lang w:val="en-US"/>
        </w:rPr>
        <w:t xml:space="preserve"> </w:t>
      </w:r>
      <w:r>
        <w:rPr>
          <w:rFonts w:ascii="Times New Roman" w:hAnsi="Times New Roman"/>
          <w:bCs/>
          <w:szCs w:val="24"/>
          <w:lang w:val="en-US"/>
        </w:rPr>
        <w:t>жена</w:t>
      </w:r>
      <w:r w:rsidR="00B57061" w:rsidRPr="00295637">
        <w:rPr>
          <w:rFonts w:ascii="Times New Roman" w:hAnsi="Times New Roman"/>
          <w:bCs/>
          <w:szCs w:val="24"/>
          <w:lang w:val="en-US"/>
        </w:rPr>
        <w:t xml:space="preserve"> </w:t>
      </w:r>
      <w:r w:rsidR="00446FC2">
        <w:rPr>
          <w:rFonts w:ascii="Times New Roman" w:hAnsi="Times New Roman"/>
          <w:bCs/>
          <w:szCs w:val="24"/>
          <w:lang w:val="sr-Cyrl-BA"/>
        </w:rPr>
        <w:t>с</w:t>
      </w:r>
      <w:r w:rsidR="00B57061" w:rsidRPr="00295637">
        <w:rPr>
          <w:rFonts w:ascii="Times New Roman" w:hAnsi="Times New Roman"/>
          <w:bCs/>
          <w:szCs w:val="24"/>
          <w:lang w:val="en-US"/>
        </w:rPr>
        <w:t xml:space="preserve"> </w:t>
      </w:r>
      <w:r>
        <w:rPr>
          <w:rFonts w:ascii="Times New Roman" w:hAnsi="Times New Roman"/>
          <w:bCs/>
          <w:szCs w:val="24"/>
          <w:lang w:val="en-US"/>
        </w:rPr>
        <w:t>циљ</w:t>
      </w:r>
      <w:r w:rsidR="00446FC2">
        <w:rPr>
          <w:rFonts w:ascii="Times New Roman" w:hAnsi="Times New Roman"/>
          <w:bCs/>
          <w:szCs w:val="24"/>
          <w:lang w:val="sr-Cyrl-BA"/>
        </w:rPr>
        <w:t>ем</w:t>
      </w:r>
      <w:r w:rsidR="00B57061" w:rsidRPr="00295637">
        <w:rPr>
          <w:rFonts w:ascii="Times New Roman" w:hAnsi="Times New Roman"/>
          <w:bCs/>
          <w:szCs w:val="24"/>
          <w:lang w:val="en-US"/>
        </w:rPr>
        <w:t xml:space="preserve"> </w:t>
      </w:r>
      <w:r>
        <w:rPr>
          <w:rFonts w:ascii="Times New Roman" w:hAnsi="Times New Roman"/>
          <w:bCs/>
          <w:szCs w:val="24"/>
          <w:lang w:val="en-US"/>
        </w:rPr>
        <w:t>усаглашавања</w:t>
      </w:r>
      <w:r w:rsidR="00820492">
        <w:rPr>
          <w:rFonts w:ascii="Times New Roman" w:hAnsi="Times New Roman"/>
          <w:bCs/>
          <w:szCs w:val="24"/>
          <w:lang w:val="en-US"/>
        </w:rPr>
        <w:t xml:space="preserve"> </w:t>
      </w:r>
      <w:r>
        <w:rPr>
          <w:rFonts w:ascii="Times New Roman" w:hAnsi="Times New Roman"/>
          <w:bCs/>
          <w:szCs w:val="24"/>
          <w:lang w:val="en-US"/>
        </w:rPr>
        <w:t>са</w:t>
      </w:r>
      <w:r w:rsidR="00125368" w:rsidRPr="00295637">
        <w:rPr>
          <w:rFonts w:ascii="Times New Roman" w:hAnsi="Times New Roman"/>
          <w:bCs/>
          <w:szCs w:val="24"/>
          <w:lang w:val="en-US"/>
        </w:rPr>
        <w:t xml:space="preserve"> </w:t>
      </w:r>
      <w:r>
        <w:rPr>
          <w:rFonts w:ascii="Times New Roman" w:hAnsi="Times New Roman"/>
          <w:bCs/>
          <w:szCs w:val="24"/>
          <w:lang w:val="en-US"/>
        </w:rPr>
        <w:t>ЗоР</w:t>
      </w:r>
      <w:r w:rsidR="00446FC2">
        <w:rPr>
          <w:rFonts w:ascii="Times New Roman" w:hAnsi="Times New Roman"/>
          <w:bCs/>
          <w:szCs w:val="24"/>
          <w:lang w:val="sr-Cyrl-BA"/>
        </w:rPr>
        <w:t>П</w:t>
      </w:r>
      <w:r w:rsidR="00125368" w:rsidRPr="00295637">
        <w:rPr>
          <w:rFonts w:ascii="Times New Roman" w:hAnsi="Times New Roman"/>
          <w:bCs/>
          <w:szCs w:val="24"/>
          <w:lang w:val="en-US"/>
        </w:rPr>
        <w:t>-</w:t>
      </w:r>
      <w:r>
        <w:rPr>
          <w:rFonts w:ascii="Times New Roman" w:hAnsi="Times New Roman"/>
          <w:bCs/>
          <w:szCs w:val="24"/>
          <w:lang w:val="en-US"/>
        </w:rPr>
        <w:t>ом</w:t>
      </w:r>
      <w:r w:rsidR="00125368" w:rsidRPr="00295637">
        <w:rPr>
          <w:rFonts w:ascii="Times New Roman" w:hAnsi="Times New Roman"/>
          <w:bCs/>
          <w:szCs w:val="24"/>
          <w:lang w:val="en-US"/>
        </w:rPr>
        <w:t xml:space="preserve">, </w:t>
      </w:r>
      <w:r>
        <w:rPr>
          <w:rFonts w:ascii="Times New Roman" w:hAnsi="Times New Roman"/>
          <w:bCs/>
          <w:szCs w:val="24"/>
          <w:lang w:val="en-US"/>
        </w:rPr>
        <w:t>Истанбулском</w:t>
      </w:r>
      <w:r w:rsidR="00125368" w:rsidRPr="00295637">
        <w:rPr>
          <w:rFonts w:ascii="Times New Roman" w:hAnsi="Times New Roman"/>
          <w:bCs/>
          <w:szCs w:val="24"/>
          <w:lang w:val="en-US"/>
        </w:rPr>
        <w:t xml:space="preserve"> </w:t>
      </w:r>
      <w:r>
        <w:rPr>
          <w:rFonts w:ascii="Times New Roman" w:hAnsi="Times New Roman"/>
          <w:bCs/>
          <w:szCs w:val="24"/>
          <w:lang w:val="en-US"/>
        </w:rPr>
        <w:t>конвенцијом</w:t>
      </w:r>
      <w:r w:rsidR="00125368" w:rsidRPr="00295637">
        <w:rPr>
          <w:rFonts w:ascii="Times New Roman" w:hAnsi="Times New Roman"/>
          <w:bCs/>
          <w:szCs w:val="24"/>
          <w:lang w:val="en-US"/>
        </w:rPr>
        <w:t xml:space="preserve"> </w:t>
      </w:r>
      <w:r>
        <w:rPr>
          <w:rFonts w:ascii="Times New Roman" w:hAnsi="Times New Roman"/>
          <w:bCs/>
          <w:szCs w:val="24"/>
          <w:lang w:val="en-US"/>
        </w:rPr>
        <w:t>и</w:t>
      </w:r>
      <w:r w:rsidR="00125368" w:rsidRPr="00295637">
        <w:rPr>
          <w:rFonts w:ascii="Times New Roman" w:hAnsi="Times New Roman"/>
          <w:bCs/>
          <w:szCs w:val="24"/>
          <w:lang w:val="en-US"/>
        </w:rPr>
        <w:t xml:space="preserve"> </w:t>
      </w:r>
      <w:r>
        <w:rPr>
          <w:rFonts w:ascii="Times New Roman" w:hAnsi="Times New Roman"/>
          <w:bCs/>
          <w:szCs w:val="24"/>
          <w:lang w:val="en-US"/>
        </w:rPr>
        <w:t>препорукама</w:t>
      </w:r>
      <w:r w:rsidR="00125368" w:rsidRPr="00295637">
        <w:rPr>
          <w:rFonts w:ascii="Times New Roman" w:hAnsi="Times New Roman"/>
          <w:bCs/>
          <w:szCs w:val="24"/>
          <w:lang w:val="en-US"/>
        </w:rPr>
        <w:t xml:space="preserve"> </w:t>
      </w:r>
      <w:r w:rsidR="003601A7">
        <w:rPr>
          <w:rFonts w:ascii="Times New Roman" w:hAnsi="Times New Roman"/>
          <w:bCs/>
          <w:szCs w:val="24"/>
          <w:lang w:val="sr-Cyrl-BA"/>
        </w:rPr>
        <w:t>К</w:t>
      </w:r>
      <w:r w:rsidR="003601A7">
        <w:rPr>
          <w:rFonts w:ascii="Times New Roman" w:hAnsi="Times New Roman"/>
          <w:bCs/>
          <w:szCs w:val="24"/>
          <w:lang w:val="en-US"/>
        </w:rPr>
        <w:t xml:space="preserve">омитета </w:t>
      </w:r>
      <w:r>
        <w:rPr>
          <w:rFonts w:ascii="Times New Roman" w:hAnsi="Times New Roman"/>
          <w:bCs/>
          <w:szCs w:val="24"/>
          <w:lang w:val="en-US"/>
        </w:rPr>
        <w:t>ГРЕВИО</w:t>
      </w:r>
      <w:r w:rsidR="00125368" w:rsidRPr="00295637">
        <w:rPr>
          <w:rFonts w:ascii="Times New Roman" w:hAnsi="Times New Roman"/>
          <w:bCs/>
          <w:szCs w:val="24"/>
          <w:lang w:val="en-US"/>
        </w:rPr>
        <w:t xml:space="preserve">. </w:t>
      </w:r>
    </w:p>
    <w:p w:rsidR="00190B68" w:rsidRPr="00295637" w:rsidRDefault="00190B68" w:rsidP="0086268D">
      <w:pPr>
        <w:contextualSpacing/>
        <w:jc w:val="both"/>
        <w:rPr>
          <w:rFonts w:ascii="Times New Roman" w:hAnsi="Times New Roman"/>
          <w:szCs w:val="24"/>
        </w:rPr>
      </w:pPr>
    </w:p>
    <w:p w:rsidR="00190B68" w:rsidRPr="00295637" w:rsidRDefault="00446FC2" w:rsidP="0086268D">
      <w:pPr>
        <w:contextualSpacing/>
        <w:jc w:val="both"/>
        <w:rPr>
          <w:rFonts w:ascii="Times New Roman" w:hAnsi="Times New Roman"/>
          <w:szCs w:val="24"/>
          <w:lang w:eastAsia="hr-HR"/>
        </w:rPr>
      </w:pPr>
      <w:r>
        <w:rPr>
          <w:rFonts w:ascii="Times New Roman" w:hAnsi="Times New Roman"/>
          <w:szCs w:val="24"/>
          <w:lang w:val="sr-Cyrl-BA" w:eastAsia="hr-HR"/>
        </w:rPr>
        <w:t>С</w:t>
      </w:r>
      <w:r w:rsidR="008B74A9" w:rsidRPr="00295637">
        <w:rPr>
          <w:rFonts w:ascii="Times New Roman" w:hAnsi="Times New Roman"/>
          <w:szCs w:val="24"/>
          <w:lang w:eastAsia="hr-HR"/>
        </w:rPr>
        <w:t xml:space="preserve"> </w:t>
      </w:r>
      <w:r w:rsidR="00C6214E">
        <w:rPr>
          <w:rFonts w:ascii="Times New Roman" w:hAnsi="Times New Roman"/>
          <w:szCs w:val="24"/>
          <w:lang w:eastAsia="hr-HR"/>
        </w:rPr>
        <w:t>циљ</w:t>
      </w:r>
      <w:r>
        <w:rPr>
          <w:rFonts w:ascii="Times New Roman" w:hAnsi="Times New Roman"/>
          <w:szCs w:val="24"/>
          <w:lang w:val="sr-Cyrl-BA" w:eastAsia="hr-HR"/>
        </w:rPr>
        <w:t>ем</w:t>
      </w:r>
      <w:r w:rsidR="005E11AB" w:rsidRPr="00295637">
        <w:rPr>
          <w:rFonts w:ascii="Times New Roman" w:hAnsi="Times New Roman"/>
          <w:szCs w:val="24"/>
          <w:lang w:eastAsia="hr-HR"/>
        </w:rPr>
        <w:t xml:space="preserve"> </w:t>
      </w:r>
      <w:r w:rsidR="00C6214E">
        <w:rPr>
          <w:rFonts w:ascii="Times New Roman" w:hAnsi="Times New Roman"/>
          <w:szCs w:val="24"/>
          <w:lang w:eastAsia="hr-HR"/>
        </w:rPr>
        <w:t>усклађивања</w:t>
      </w:r>
      <w:r w:rsidR="005E11AB" w:rsidRPr="00295637">
        <w:rPr>
          <w:rFonts w:ascii="Times New Roman" w:hAnsi="Times New Roman"/>
          <w:szCs w:val="24"/>
          <w:lang w:eastAsia="hr-HR"/>
        </w:rPr>
        <w:t xml:space="preserve"> </w:t>
      </w:r>
      <w:r w:rsidR="00C6214E">
        <w:rPr>
          <w:rFonts w:ascii="Times New Roman" w:hAnsi="Times New Roman"/>
          <w:szCs w:val="24"/>
          <w:lang w:eastAsia="hr-HR"/>
        </w:rPr>
        <w:t>Кривичног</w:t>
      </w:r>
      <w:r w:rsidR="008B74A9" w:rsidRPr="00295637">
        <w:rPr>
          <w:rFonts w:ascii="Times New Roman" w:hAnsi="Times New Roman"/>
          <w:szCs w:val="24"/>
          <w:lang w:eastAsia="hr-HR"/>
        </w:rPr>
        <w:t xml:space="preserve"> </w:t>
      </w:r>
      <w:r w:rsidR="00C6214E">
        <w:rPr>
          <w:rFonts w:ascii="Times New Roman" w:hAnsi="Times New Roman"/>
          <w:szCs w:val="24"/>
          <w:lang w:eastAsia="hr-HR"/>
        </w:rPr>
        <w:t>закона</w:t>
      </w:r>
      <w:r w:rsidR="00CA67B7" w:rsidRPr="00295637">
        <w:rPr>
          <w:rFonts w:ascii="Times New Roman" w:hAnsi="Times New Roman"/>
          <w:szCs w:val="24"/>
          <w:lang w:eastAsia="hr-HR"/>
        </w:rPr>
        <w:t xml:space="preserve"> </w:t>
      </w:r>
      <w:r w:rsidR="00C6214E">
        <w:rPr>
          <w:rFonts w:ascii="Times New Roman" w:hAnsi="Times New Roman"/>
          <w:szCs w:val="24"/>
          <w:lang w:eastAsia="hr-HR"/>
        </w:rPr>
        <w:t>БиХ</w:t>
      </w:r>
      <w:r w:rsidR="008B74A9" w:rsidRPr="00295637">
        <w:rPr>
          <w:rFonts w:ascii="Times New Roman" w:hAnsi="Times New Roman"/>
          <w:szCs w:val="24"/>
          <w:lang w:eastAsia="hr-HR"/>
        </w:rPr>
        <w:t xml:space="preserve"> </w:t>
      </w:r>
      <w:r w:rsidR="00C6214E">
        <w:rPr>
          <w:rFonts w:ascii="Times New Roman" w:hAnsi="Times New Roman"/>
          <w:szCs w:val="24"/>
          <w:lang w:eastAsia="hr-HR"/>
        </w:rPr>
        <w:t>са</w:t>
      </w:r>
      <w:r w:rsidR="005E11AB" w:rsidRPr="00295637">
        <w:rPr>
          <w:rFonts w:ascii="Times New Roman" w:hAnsi="Times New Roman"/>
          <w:szCs w:val="24"/>
          <w:lang w:eastAsia="hr-HR"/>
        </w:rPr>
        <w:t xml:space="preserve"> </w:t>
      </w:r>
      <w:r w:rsidR="00C6214E">
        <w:rPr>
          <w:rFonts w:ascii="Times New Roman" w:hAnsi="Times New Roman"/>
          <w:szCs w:val="24"/>
          <w:lang w:eastAsia="hr-HR"/>
        </w:rPr>
        <w:t>Законом</w:t>
      </w:r>
      <w:r w:rsidR="005E11AB" w:rsidRPr="00295637">
        <w:rPr>
          <w:rFonts w:ascii="Times New Roman" w:hAnsi="Times New Roman"/>
          <w:szCs w:val="24"/>
          <w:lang w:eastAsia="hr-HR"/>
        </w:rPr>
        <w:t xml:space="preserve"> </w:t>
      </w:r>
      <w:r w:rsidR="00C6214E">
        <w:rPr>
          <w:rFonts w:ascii="Times New Roman" w:hAnsi="Times New Roman"/>
          <w:szCs w:val="24"/>
          <w:lang w:eastAsia="hr-HR"/>
        </w:rPr>
        <w:t>о</w:t>
      </w:r>
      <w:r w:rsidR="005E11AB" w:rsidRPr="00295637">
        <w:rPr>
          <w:rFonts w:ascii="Times New Roman" w:hAnsi="Times New Roman"/>
          <w:szCs w:val="24"/>
          <w:lang w:eastAsia="hr-HR"/>
        </w:rPr>
        <w:t xml:space="preserve"> </w:t>
      </w:r>
      <w:r w:rsidR="00C6214E">
        <w:rPr>
          <w:rFonts w:ascii="Times New Roman" w:hAnsi="Times New Roman"/>
          <w:szCs w:val="24"/>
          <w:lang w:eastAsia="hr-HR"/>
        </w:rPr>
        <w:t>забрани</w:t>
      </w:r>
      <w:r w:rsidR="005E11AB" w:rsidRPr="00295637">
        <w:rPr>
          <w:rFonts w:ascii="Times New Roman" w:hAnsi="Times New Roman"/>
          <w:szCs w:val="24"/>
          <w:lang w:eastAsia="hr-HR"/>
        </w:rPr>
        <w:t xml:space="preserve"> </w:t>
      </w:r>
      <w:r w:rsidR="00C6214E">
        <w:rPr>
          <w:rFonts w:ascii="Times New Roman" w:hAnsi="Times New Roman"/>
          <w:szCs w:val="24"/>
          <w:lang w:eastAsia="hr-HR"/>
        </w:rPr>
        <w:t>дискриминације</w:t>
      </w:r>
      <w:r w:rsidR="009E54A2" w:rsidRPr="00295637">
        <w:rPr>
          <w:rFonts w:ascii="Times New Roman" w:hAnsi="Times New Roman"/>
          <w:szCs w:val="24"/>
          <w:lang w:eastAsia="hr-HR"/>
        </w:rPr>
        <w:t xml:space="preserve"> </w:t>
      </w:r>
      <w:r w:rsidR="00C6214E">
        <w:rPr>
          <w:rFonts w:ascii="Times New Roman" w:hAnsi="Times New Roman"/>
          <w:szCs w:val="24"/>
          <w:lang w:eastAsia="hr-HR"/>
        </w:rPr>
        <w:t>БиХ</w:t>
      </w:r>
      <w:r w:rsidR="005E11AB" w:rsidRPr="00295637">
        <w:rPr>
          <w:rFonts w:ascii="Times New Roman" w:hAnsi="Times New Roman"/>
          <w:szCs w:val="24"/>
          <w:lang w:eastAsia="hr-HR"/>
        </w:rPr>
        <w:t xml:space="preserve">, </w:t>
      </w:r>
      <w:r w:rsidR="00C6214E">
        <w:rPr>
          <w:rFonts w:ascii="Times New Roman" w:hAnsi="Times New Roman"/>
          <w:szCs w:val="24"/>
          <w:lang w:eastAsia="hr-HR"/>
        </w:rPr>
        <w:t>рјешењем</w:t>
      </w:r>
      <w:r w:rsidR="005E11AB" w:rsidRPr="00295637">
        <w:rPr>
          <w:rFonts w:ascii="Times New Roman" w:hAnsi="Times New Roman"/>
          <w:szCs w:val="24"/>
          <w:lang w:eastAsia="hr-HR"/>
        </w:rPr>
        <w:t xml:space="preserve"> </w:t>
      </w:r>
      <w:r w:rsidR="00C6214E">
        <w:rPr>
          <w:rFonts w:ascii="Times New Roman" w:hAnsi="Times New Roman"/>
          <w:szCs w:val="24"/>
          <w:lang w:eastAsia="hr-HR"/>
        </w:rPr>
        <w:t>МП</w:t>
      </w:r>
      <w:r w:rsidR="00820492">
        <w:rPr>
          <w:rFonts w:ascii="Times New Roman" w:hAnsi="Times New Roman"/>
          <w:szCs w:val="24"/>
          <w:lang w:eastAsia="hr-HR"/>
        </w:rPr>
        <w:t xml:space="preserve"> </w:t>
      </w:r>
      <w:r w:rsidR="00C6214E">
        <w:rPr>
          <w:rFonts w:ascii="Times New Roman" w:hAnsi="Times New Roman"/>
          <w:szCs w:val="24"/>
          <w:lang w:eastAsia="hr-HR"/>
        </w:rPr>
        <w:t>БиХ</w:t>
      </w:r>
      <w:r w:rsidR="005E11AB" w:rsidRPr="00295637">
        <w:rPr>
          <w:rFonts w:ascii="Times New Roman" w:hAnsi="Times New Roman"/>
          <w:szCs w:val="24"/>
          <w:lang w:eastAsia="hr-HR"/>
        </w:rPr>
        <w:t xml:space="preserve"> </w:t>
      </w:r>
      <w:r w:rsidR="00C6214E">
        <w:rPr>
          <w:rFonts w:ascii="Times New Roman" w:hAnsi="Times New Roman"/>
          <w:szCs w:val="24"/>
          <w:lang w:eastAsia="hr-HR"/>
        </w:rPr>
        <w:t>успостављена</w:t>
      </w:r>
      <w:r w:rsidR="005E11AB" w:rsidRPr="00295637">
        <w:rPr>
          <w:rFonts w:ascii="Times New Roman" w:hAnsi="Times New Roman"/>
          <w:szCs w:val="24"/>
          <w:lang w:eastAsia="hr-HR"/>
        </w:rPr>
        <w:t xml:space="preserve"> </w:t>
      </w:r>
      <w:r w:rsidR="00C6214E">
        <w:rPr>
          <w:rFonts w:ascii="Times New Roman" w:hAnsi="Times New Roman"/>
          <w:szCs w:val="24"/>
          <w:lang w:eastAsia="hr-HR"/>
        </w:rPr>
        <w:t>је</w:t>
      </w:r>
      <w:r w:rsidR="00820492" w:rsidRPr="00295637">
        <w:rPr>
          <w:rFonts w:ascii="Times New Roman" w:hAnsi="Times New Roman"/>
          <w:szCs w:val="24"/>
          <w:lang w:eastAsia="hr-HR"/>
        </w:rPr>
        <w:t xml:space="preserve"> </w:t>
      </w:r>
      <w:r w:rsidR="00C6214E">
        <w:rPr>
          <w:rFonts w:ascii="Times New Roman" w:hAnsi="Times New Roman"/>
          <w:szCs w:val="24"/>
          <w:lang w:eastAsia="hr-HR"/>
        </w:rPr>
        <w:t>радна</w:t>
      </w:r>
      <w:r w:rsidR="005E11AB" w:rsidRPr="00295637">
        <w:rPr>
          <w:rFonts w:ascii="Times New Roman" w:hAnsi="Times New Roman"/>
          <w:szCs w:val="24"/>
          <w:lang w:eastAsia="hr-HR"/>
        </w:rPr>
        <w:t xml:space="preserve"> </w:t>
      </w:r>
      <w:r w:rsidR="00C6214E">
        <w:rPr>
          <w:rFonts w:ascii="Times New Roman" w:hAnsi="Times New Roman"/>
          <w:szCs w:val="24"/>
          <w:lang w:eastAsia="hr-HR"/>
        </w:rPr>
        <w:t>група</w:t>
      </w:r>
      <w:r w:rsidR="005E11AB" w:rsidRPr="00295637">
        <w:rPr>
          <w:rFonts w:ascii="Times New Roman" w:hAnsi="Times New Roman"/>
          <w:szCs w:val="24"/>
          <w:lang w:eastAsia="hr-HR"/>
        </w:rPr>
        <w:t xml:space="preserve"> </w:t>
      </w:r>
      <w:r w:rsidR="00C6214E">
        <w:rPr>
          <w:rFonts w:ascii="Times New Roman" w:hAnsi="Times New Roman"/>
          <w:szCs w:val="24"/>
          <w:lang w:eastAsia="hr-HR"/>
        </w:rPr>
        <w:t>за</w:t>
      </w:r>
      <w:r w:rsidR="005E11AB" w:rsidRPr="00295637">
        <w:rPr>
          <w:rFonts w:ascii="Times New Roman" w:hAnsi="Times New Roman"/>
          <w:szCs w:val="24"/>
          <w:lang w:eastAsia="hr-HR"/>
        </w:rPr>
        <w:t xml:space="preserve"> </w:t>
      </w:r>
      <w:r w:rsidR="00C6214E">
        <w:rPr>
          <w:rFonts w:ascii="Times New Roman" w:hAnsi="Times New Roman"/>
          <w:szCs w:val="24"/>
          <w:lang w:eastAsia="hr-HR"/>
        </w:rPr>
        <w:t>изналажење</w:t>
      </w:r>
      <w:r w:rsidR="005E11AB" w:rsidRPr="00295637">
        <w:rPr>
          <w:rFonts w:ascii="Times New Roman" w:hAnsi="Times New Roman"/>
          <w:szCs w:val="24"/>
          <w:lang w:eastAsia="hr-HR"/>
        </w:rPr>
        <w:t xml:space="preserve"> </w:t>
      </w:r>
      <w:r w:rsidR="00C6214E">
        <w:rPr>
          <w:rFonts w:ascii="Times New Roman" w:hAnsi="Times New Roman"/>
          <w:szCs w:val="24"/>
          <w:lang w:eastAsia="hr-HR"/>
        </w:rPr>
        <w:t>адекватних</w:t>
      </w:r>
      <w:r w:rsidR="005E11AB" w:rsidRPr="00295637">
        <w:rPr>
          <w:rFonts w:ascii="Times New Roman" w:hAnsi="Times New Roman"/>
          <w:szCs w:val="24"/>
          <w:lang w:eastAsia="hr-HR"/>
        </w:rPr>
        <w:t xml:space="preserve"> </w:t>
      </w:r>
      <w:r w:rsidR="00C6214E">
        <w:rPr>
          <w:rFonts w:ascii="Times New Roman" w:hAnsi="Times New Roman"/>
          <w:szCs w:val="24"/>
          <w:lang w:eastAsia="hr-HR"/>
        </w:rPr>
        <w:t>рјешења</w:t>
      </w:r>
      <w:r w:rsidR="005E11AB" w:rsidRPr="00295637">
        <w:rPr>
          <w:rFonts w:ascii="Times New Roman" w:hAnsi="Times New Roman"/>
          <w:szCs w:val="24"/>
          <w:lang w:eastAsia="hr-HR"/>
        </w:rPr>
        <w:t xml:space="preserve"> </w:t>
      </w:r>
      <w:r w:rsidR="00C6214E">
        <w:rPr>
          <w:rFonts w:ascii="Times New Roman" w:hAnsi="Times New Roman"/>
          <w:szCs w:val="24"/>
          <w:lang w:eastAsia="hr-HR"/>
        </w:rPr>
        <w:t>којима</w:t>
      </w:r>
      <w:r w:rsidR="005E11AB" w:rsidRPr="00295637">
        <w:rPr>
          <w:rFonts w:ascii="Times New Roman" w:hAnsi="Times New Roman"/>
          <w:szCs w:val="24"/>
          <w:lang w:eastAsia="hr-HR"/>
        </w:rPr>
        <w:t xml:space="preserve"> </w:t>
      </w:r>
      <w:r w:rsidR="00C6214E">
        <w:rPr>
          <w:rFonts w:ascii="Times New Roman" w:hAnsi="Times New Roman"/>
          <w:szCs w:val="24"/>
          <w:lang w:eastAsia="hr-HR"/>
        </w:rPr>
        <w:t>ће</w:t>
      </w:r>
      <w:r w:rsidR="005E11AB" w:rsidRPr="00295637">
        <w:rPr>
          <w:rFonts w:ascii="Times New Roman" w:hAnsi="Times New Roman"/>
          <w:szCs w:val="24"/>
          <w:lang w:eastAsia="hr-HR"/>
        </w:rPr>
        <w:t xml:space="preserve"> </w:t>
      </w:r>
      <w:r w:rsidR="00C6214E">
        <w:rPr>
          <w:rFonts w:ascii="Times New Roman" w:hAnsi="Times New Roman"/>
          <w:szCs w:val="24"/>
          <w:lang w:eastAsia="hr-HR"/>
        </w:rPr>
        <w:t>се</w:t>
      </w:r>
      <w:r w:rsidR="005E11AB" w:rsidRPr="00295637">
        <w:rPr>
          <w:rFonts w:ascii="Times New Roman" w:hAnsi="Times New Roman"/>
          <w:szCs w:val="24"/>
          <w:lang w:eastAsia="hr-HR"/>
        </w:rPr>
        <w:t xml:space="preserve"> </w:t>
      </w:r>
      <w:r w:rsidR="00C6214E">
        <w:rPr>
          <w:rFonts w:ascii="Times New Roman" w:hAnsi="Times New Roman"/>
          <w:szCs w:val="24"/>
          <w:lang w:eastAsia="hr-HR"/>
        </w:rPr>
        <w:t>отклонити</w:t>
      </w:r>
      <w:r w:rsidR="005E11AB" w:rsidRPr="00295637">
        <w:rPr>
          <w:rFonts w:ascii="Times New Roman" w:hAnsi="Times New Roman"/>
          <w:szCs w:val="24"/>
          <w:lang w:eastAsia="hr-HR"/>
        </w:rPr>
        <w:t xml:space="preserve"> </w:t>
      </w:r>
      <w:r w:rsidR="00C6214E">
        <w:rPr>
          <w:rFonts w:ascii="Times New Roman" w:hAnsi="Times New Roman"/>
          <w:szCs w:val="24"/>
          <w:lang w:eastAsia="hr-HR"/>
        </w:rPr>
        <w:t>евентуално</w:t>
      </w:r>
      <w:r w:rsidR="005E11AB" w:rsidRPr="00295637">
        <w:rPr>
          <w:rFonts w:ascii="Times New Roman" w:hAnsi="Times New Roman"/>
          <w:szCs w:val="24"/>
          <w:lang w:eastAsia="hr-HR"/>
        </w:rPr>
        <w:t xml:space="preserve"> </w:t>
      </w:r>
      <w:r w:rsidR="00C6214E">
        <w:rPr>
          <w:rFonts w:ascii="Times New Roman" w:hAnsi="Times New Roman"/>
          <w:szCs w:val="24"/>
          <w:lang w:eastAsia="hr-HR"/>
        </w:rPr>
        <w:t>уочени</w:t>
      </w:r>
      <w:r w:rsidR="005E11AB" w:rsidRPr="00295637">
        <w:rPr>
          <w:rFonts w:ascii="Times New Roman" w:hAnsi="Times New Roman"/>
          <w:szCs w:val="24"/>
          <w:lang w:eastAsia="hr-HR"/>
        </w:rPr>
        <w:t xml:space="preserve"> </w:t>
      </w:r>
      <w:r w:rsidR="00C6214E">
        <w:rPr>
          <w:rFonts w:ascii="Times New Roman" w:hAnsi="Times New Roman"/>
          <w:szCs w:val="24"/>
          <w:lang w:eastAsia="hr-HR"/>
        </w:rPr>
        <w:t>недостаци</w:t>
      </w:r>
      <w:r w:rsidR="005E11AB" w:rsidRPr="00295637">
        <w:rPr>
          <w:rFonts w:ascii="Times New Roman" w:hAnsi="Times New Roman"/>
          <w:szCs w:val="24"/>
          <w:lang w:eastAsia="hr-HR"/>
        </w:rPr>
        <w:t xml:space="preserve"> </w:t>
      </w:r>
      <w:r w:rsidR="00C6214E">
        <w:rPr>
          <w:rFonts w:ascii="Times New Roman" w:hAnsi="Times New Roman"/>
          <w:szCs w:val="24"/>
          <w:lang w:eastAsia="hr-HR"/>
        </w:rPr>
        <w:t>и</w:t>
      </w:r>
      <w:r w:rsidR="005E11AB" w:rsidRPr="00295637">
        <w:rPr>
          <w:rFonts w:ascii="Times New Roman" w:hAnsi="Times New Roman"/>
          <w:szCs w:val="24"/>
          <w:lang w:eastAsia="hr-HR"/>
        </w:rPr>
        <w:t xml:space="preserve"> </w:t>
      </w:r>
      <w:r w:rsidR="00C6214E">
        <w:rPr>
          <w:rFonts w:ascii="Times New Roman" w:hAnsi="Times New Roman"/>
          <w:szCs w:val="24"/>
          <w:lang w:eastAsia="hr-HR"/>
        </w:rPr>
        <w:t>унаприједити</w:t>
      </w:r>
      <w:r w:rsidR="005E11AB" w:rsidRPr="00295637">
        <w:rPr>
          <w:rFonts w:ascii="Times New Roman" w:hAnsi="Times New Roman"/>
          <w:szCs w:val="24"/>
          <w:lang w:eastAsia="hr-HR"/>
        </w:rPr>
        <w:t xml:space="preserve"> </w:t>
      </w:r>
      <w:r w:rsidR="00C6214E">
        <w:rPr>
          <w:rFonts w:ascii="Times New Roman" w:hAnsi="Times New Roman"/>
          <w:szCs w:val="24"/>
          <w:lang w:eastAsia="hr-HR"/>
        </w:rPr>
        <w:t>важеће</w:t>
      </w:r>
      <w:r w:rsidR="005E11AB" w:rsidRPr="00295637">
        <w:rPr>
          <w:rFonts w:ascii="Times New Roman" w:hAnsi="Times New Roman"/>
          <w:szCs w:val="24"/>
          <w:lang w:eastAsia="hr-HR"/>
        </w:rPr>
        <w:t xml:space="preserve"> </w:t>
      </w:r>
      <w:r w:rsidR="00C6214E">
        <w:rPr>
          <w:rFonts w:ascii="Times New Roman" w:hAnsi="Times New Roman"/>
          <w:szCs w:val="24"/>
          <w:lang w:eastAsia="hr-HR"/>
        </w:rPr>
        <w:t>одредбе</w:t>
      </w:r>
      <w:r w:rsidR="005E11AB" w:rsidRPr="00295637">
        <w:rPr>
          <w:rFonts w:ascii="Times New Roman" w:hAnsi="Times New Roman"/>
          <w:szCs w:val="24"/>
          <w:lang w:eastAsia="hr-HR"/>
        </w:rPr>
        <w:t xml:space="preserve"> </w:t>
      </w:r>
      <w:r w:rsidR="00C6214E">
        <w:rPr>
          <w:rFonts w:ascii="Times New Roman" w:hAnsi="Times New Roman"/>
          <w:szCs w:val="24"/>
          <w:lang w:eastAsia="hr-HR"/>
        </w:rPr>
        <w:t>Кривичног</w:t>
      </w:r>
      <w:r w:rsidR="005E11AB" w:rsidRPr="00295637">
        <w:rPr>
          <w:rFonts w:ascii="Times New Roman" w:hAnsi="Times New Roman"/>
          <w:szCs w:val="24"/>
          <w:lang w:eastAsia="hr-HR"/>
        </w:rPr>
        <w:t xml:space="preserve"> </w:t>
      </w:r>
      <w:r w:rsidR="00C6214E">
        <w:rPr>
          <w:rFonts w:ascii="Times New Roman" w:hAnsi="Times New Roman"/>
          <w:szCs w:val="24"/>
          <w:lang w:eastAsia="hr-HR"/>
        </w:rPr>
        <w:t>закона</w:t>
      </w:r>
      <w:r w:rsidR="005E11AB" w:rsidRPr="00295637">
        <w:rPr>
          <w:rFonts w:ascii="Times New Roman" w:hAnsi="Times New Roman"/>
          <w:szCs w:val="24"/>
          <w:lang w:eastAsia="hr-HR"/>
        </w:rPr>
        <w:t xml:space="preserve"> </w:t>
      </w:r>
      <w:r w:rsidR="00C6214E">
        <w:rPr>
          <w:rFonts w:ascii="Times New Roman" w:hAnsi="Times New Roman"/>
          <w:szCs w:val="24"/>
          <w:lang w:eastAsia="hr-HR"/>
        </w:rPr>
        <w:t>БиХ</w:t>
      </w:r>
      <w:r w:rsidR="00190B68" w:rsidRPr="00295637">
        <w:rPr>
          <w:rFonts w:ascii="Times New Roman" w:hAnsi="Times New Roman"/>
          <w:szCs w:val="24"/>
          <w:lang w:eastAsia="hr-HR"/>
        </w:rPr>
        <w:t>.</w:t>
      </w:r>
    </w:p>
    <w:p w:rsidR="00190B68" w:rsidRPr="00295637" w:rsidRDefault="00190B68" w:rsidP="0086268D">
      <w:pPr>
        <w:contextualSpacing/>
        <w:jc w:val="both"/>
        <w:rPr>
          <w:rFonts w:ascii="Times New Roman" w:hAnsi="Times New Roman"/>
          <w:szCs w:val="24"/>
          <w:lang w:eastAsia="hr-HR"/>
        </w:rPr>
      </w:pPr>
    </w:p>
    <w:p w:rsidR="00E9390E" w:rsidRPr="00295637" w:rsidRDefault="00C6214E" w:rsidP="0086268D">
      <w:pPr>
        <w:contextualSpacing/>
        <w:jc w:val="both"/>
        <w:rPr>
          <w:rFonts w:ascii="Times New Roman" w:hAnsi="Times New Roman"/>
          <w:szCs w:val="24"/>
        </w:rPr>
      </w:pPr>
      <w:r>
        <w:rPr>
          <w:rFonts w:ascii="Times New Roman" w:hAnsi="Times New Roman"/>
          <w:szCs w:val="24"/>
          <w:lang w:eastAsia="hr-HR"/>
        </w:rPr>
        <w:t>Активности</w:t>
      </w:r>
      <w:r w:rsidR="00CB31FB" w:rsidRPr="00295637">
        <w:rPr>
          <w:rFonts w:ascii="Times New Roman" w:hAnsi="Times New Roman"/>
          <w:szCs w:val="24"/>
          <w:lang w:eastAsia="hr-HR"/>
        </w:rPr>
        <w:t xml:space="preserve"> </w:t>
      </w:r>
      <w:r>
        <w:rPr>
          <w:rFonts w:ascii="Times New Roman" w:hAnsi="Times New Roman"/>
          <w:szCs w:val="24"/>
        </w:rPr>
        <w:t>СИПА</w:t>
      </w:r>
      <w:r w:rsidR="0046661C">
        <w:rPr>
          <w:rFonts w:ascii="Times New Roman" w:hAnsi="Times New Roman"/>
          <w:szCs w:val="24"/>
        </w:rPr>
        <w:t>-</w:t>
      </w:r>
      <w:r>
        <w:rPr>
          <w:rFonts w:ascii="Times New Roman" w:hAnsi="Times New Roman"/>
          <w:szCs w:val="24"/>
        </w:rPr>
        <w:t>е</w:t>
      </w:r>
      <w:r w:rsidR="00CB31FB" w:rsidRPr="00295637">
        <w:rPr>
          <w:rFonts w:ascii="Times New Roman" w:hAnsi="Times New Roman"/>
          <w:szCs w:val="24"/>
        </w:rPr>
        <w:t xml:space="preserve"> </w:t>
      </w:r>
      <w:r>
        <w:rPr>
          <w:rFonts w:ascii="Times New Roman" w:hAnsi="Times New Roman"/>
          <w:szCs w:val="24"/>
        </w:rPr>
        <w:t>и</w:t>
      </w:r>
      <w:r w:rsidR="00CB31FB" w:rsidRPr="00295637">
        <w:rPr>
          <w:rFonts w:ascii="Times New Roman" w:hAnsi="Times New Roman"/>
          <w:szCs w:val="24"/>
        </w:rPr>
        <w:t xml:space="preserve"> </w:t>
      </w:r>
      <w:r>
        <w:rPr>
          <w:rFonts w:ascii="Times New Roman" w:hAnsi="Times New Roman"/>
          <w:szCs w:val="24"/>
        </w:rPr>
        <w:t>Акциони</w:t>
      </w:r>
      <w:r w:rsidR="00CB31FB" w:rsidRPr="00295637">
        <w:rPr>
          <w:rFonts w:ascii="Times New Roman" w:hAnsi="Times New Roman"/>
          <w:szCs w:val="24"/>
        </w:rPr>
        <w:t xml:space="preserve"> </w:t>
      </w:r>
      <w:r>
        <w:rPr>
          <w:rFonts w:ascii="Times New Roman" w:hAnsi="Times New Roman"/>
          <w:szCs w:val="24"/>
        </w:rPr>
        <w:t>план</w:t>
      </w:r>
      <w:r w:rsidR="00CB31FB" w:rsidRPr="00295637">
        <w:rPr>
          <w:rFonts w:ascii="Times New Roman" w:hAnsi="Times New Roman"/>
          <w:szCs w:val="24"/>
        </w:rPr>
        <w:t xml:space="preserve"> </w:t>
      </w:r>
      <w:r>
        <w:rPr>
          <w:rFonts w:ascii="Times New Roman" w:hAnsi="Times New Roman"/>
          <w:szCs w:val="24"/>
        </w:rPr>
        <w:t>за</w:t>
      </w:r>
      <w:r w:rsidR="00CB31FB" w:rsidRPr="00295637">
        <w:rPr>
          <w:rFonts w:ascii="Times New Roman" w:hAnsi="Times New Roman"/>
          <w:szCs w:val="24"/>
        </w:rPr>
        <w:t xml:space="preserve"> </w:t>
      </w:r>
      <w:r>
        <w:rPr>
          <w:rFonts w:ascii="Times New Roman" w:hAnsi="Times New Roman"/>
          <w:szCs w:val="24"/>
        </w:rPr>
        <w:t>борбу</w:t>
      </w:r>
      <w:r w:rsidR="00CB31FB" w:rsidRPr="00295637">
        <w:rPr>
          <w:rFonts w:ascii="Times New Roman" w:hAnsi="Times New Roman"/>
          <w:szCs w:val="24"/>
        </w:rPr>
        <w:t xml:space="preserve"> </w:t>
      </w:r>
      <w:r>
        <w:rPr>
          <w:rFonts w:ascii="Times New Roman" w:hAnsi="Times New Roman"/>
          <w:szCs w:val="24"/>
        </w:rPr>
        <w:t>против</w:t>
      </w:r>
      <w:r w:rsidR="00CB31FB" w:rsidRPr="00295637">
        <w:rPr>
          <w:rFonts w:ascii="Times New Roman" w:hAnsi="Times New Roman"/>
          <w:szCs w:val="24"/>
        </w:rPr>
        <w:t xml:space="preserve"> </w:t>
      </w:r>
      <w:r>
        <w:rPr>
          <w:rFonts w:ascii="Times New Roman" w:hAnsi="Times New Roman"/>
          <w:szCs w:val="24"/>
        </w:rPr>
        <w:t>трговине</w:t>
      </w:r>
      <w:r w:rsidR="00CB31FB" w:rsidRPr="00295637">
        <w:rPr>
          <w:rFonts w:ascii="Times New Roman" w:hAnsi="Times New Roman"/>
          <w:szCs w:val="24"/>
        </w:rPr>
        <w:t xml:space="preserve"> </w:t>
      </w:r>
      <w:r>
        <w:rPr>
          <w:rFonts w:ascii="Times New Roman" w:hAnsi="Times New Roman"/>
          <w:szCs w:val="24"/>
        </w:rPr>
        <w:t>људима</w:t>
      </w:r>
      <w:r w:rsidR="00CB31FB" w:rsidRPr="00295637">
        <w:rPr>
          <w:rFonts w:ascii="Times New Roman" w:hAnsi="Times New Roman"/>
          <w:szCs w:val="24"/>
        </w:rPr>
        <w:t xml:space="preserve"> </w:t>
      </w:r>
      <w:r>
        <w:rPr>
          <w:rFonts w:ascii="Times New Roman" w:hAnsi="Times New Roman"/>
          <w:szCs w:val="24"/>
        </w:rPr>
        <w:t>у</w:t>
      </w:r>
      <w:r w:rsidR="00CB31FB" w:rsidRPr="00295637">
        <w:rPr>
          <w:rFonts w:ascii="Times New Roman" w:hAnsi="Times New Roman"/>
          <w:szCs w:val="24"/>
        </w:rPr>
        <w:t xml:space="preserve"> </w:t>
      </w:r>
      <w:r>
        <w:rPr>
          <w:rFonts w:ascii="Times New Roman" w:hAnsi="Times New Roman"/>
          <w:szCs w:val="24"/>
        </w:rPr>
        <w:t>БиХ</w:t>
      </w:r>
      <w:r w:rsidR="00CB31FB" w:rsidRPr="00295637">
        <w:rPr>
          <w:rFonts w:ascii="Times New Roman" w:hAnsi="Times New Roman"/>
          <w:szCs w:val="24"/>
        </w:rPr>
        <w:t xml:space="preserve"> </w:t>
      </w:r>
      <w:r>
        <w:rPr>
          <w:rFonts w:ascii="Times New Roman" w:hAnsi="Times New Roman"/>
          <w:szCs w:val="24"/>
          <w:lang w:eastAsia="hr-HR"/>
        </w:rPr>
        <w:t>разматрани</w:t>
      </w:r>
      <w:r w:rsidR="00CB31FB" w:rsidRPr="00295637">
        <w:rPr>
          <w:rFonts w:ascii="Times New Roman" w:hAnsi="Times New Roman"/>
          <w:szCs w:val="24"/>
          <w:lang w:eastAsia="hr-HR"/>
        </w:rPr>
        <w:t xml:space="preserve"> </w:t>
      </w:r>
      <w:r>
        <w:rPr>
          <w:rFonts w:ascii="Times New Roman" w:hAnsi="Times New Roman"/>
          <w:szCs w:val="24"/>
          <w:lang w:eastAsia="hr-HR"/>
        </w:rPr>
        <w:t>су</w:t>
      </w:r>
      <w:r w:rsidR="00CB31FB" w:rsidRPr="00295637">
        <w:rPr>
          <w:rFonts w:ascii="Times New Roman" w:hAnsi="Times New Roman"/>
          <w:szCs w:val="24"/>
          <w:lang w:eastAsia="hr-HR"/>
        </w:rPr>
        <w:t xml:space="preserve"> </w:t>
      </w:r>
      <w:r>
        <w:rPr>
          <w:rFonts w:ascii="Times New Roman" w:hAnsi="Times New Roman"/>
          <w:szCs w:val="24"/>
          <w:lang w:eastAsia="hr-HR"/>
        </w:rPr>
        <w:t>у</w:t>
      </w:r>
      <w:r w:rsidR="00CB31FB" w:rsidRPr="00295637">
        <w:rPr>
          <w:rFonts w:ascii="Times New Roman" w:hAnsi="Times New Roman"/>
          <w:szCs w:val="24"/>
          <w:lang w:eastAsia="hr-HR"/>
        </w:rPr>
        <w:t xml:space="preserve"> </w:t>
      </w:r>
      <w:r>
        <w:rPr>
          <w:rFonts w:ascii="Times New Roman" w:hAnsi="Times New Roman"/>
          <w:szCs w:val="24"/>
          <w:lang w:eastAsia="hr-HR"/>
        </w:rPr>
        <w:t>контексту</w:t>
      </w:r>
      <w:r w:rsidR="00CB31FB" w:rsidRPr="00295637">
        <w:rPr>
          <w:rFonts w:ascii="Times New Roman" w:hAnsi="Times New Roman"/>
          <w:szCs w:val="24"/>
          <w:lang w:eastAsia="hr-HR"/>
        </w:rPr>
        <w:t xml:space="preserve"> </w:t>
      </w:r>
      <w:r>
        <w:rPr>
          <w:rFonts w:ascii="Times New Roman" w:hAnsi="Times New Roman"/>
          <w:szCs w:val="24"/>
          <w:lang w:eastAsia="hr-HR"/>
        </w:rPr>
        <w:t>равноправности</w:t>
      </w:r>
      <w:r w:rsidR="00CB31FB" w:rsidRPr="00295637">
        <w:rPr>
          <w:rFonts w:ascii="Times New Roman" w:hAnsi="Times New Roman"/>
          <w:szCs w:val="24"/>
          <w:lang w:eastAsia="hr-HR"/>
        </w:rPr>
        <w:t xml:space="preserve"> </w:t>
      </w:r>
      <w:r>
        <w:rPr>
          <w:rFonts w:ascii="Times New Roman" w:hAnsi="Times New Roman"/>
          <w:szCs w:val="24"/>
          <w:lang w:eastAsia="hr-HR"/>
        </w:rPr>
        <w:t>полова</w:t>
      </w:r>
      <w:r w:rsidR="00CB31FB" w:rsidRPr="00295637">
        <w:rPr>
          <w:rFonts w:ascii="Times New Roman" w:hAnsi="Times New Roman"/>
          <w:szCs w:val="24"/>
          <w:lang w:eastAsia="hr-HR"/>
        </w:rPr>
        <w:t xml:space="preserve">. </w:t>
      </w:r>
      <w:r>
        <w:rPr>
          <w:rFonts w:ascii="Times New Roman" w:hAnsi="Times New Roman"/>
          <w:szCs w:val="24"/>
          <w:lang w:eastAsia="hr-HR"/>
        </w:rPr>
        <w:t>Предложене</w:t>
      </w:r>
      <w:r w:rsidR="00CB31FB" w:rsidRPr="00295637">
        <w:rPr>
          <w:rFonts w:ascii="Times New Roman" w:hAnsi="Times New Roman"/>
          <w:szCs w:val="24"/>
          <w:lang w:eastAsia="hr-HR"/>
        </w:rPr>
        <w:t xml:space="preserve"> </w:t>
      </w:r>
      <w:r>
        <w:rPr>
          <w:rFonts w:ascii="Times New Roman" w:hAnsi="Times New Roman"/>
          <w:szCs w:val="24"/>
          <w:lang w:eastAsia="hr-HR"/>
        </w:rPr>
        <w:t>мјере</w:t>
      </w:r>
      <w:r w:rsidR="00CB31FB" w:rsidRPr="00295637">
        <w:rPr>
          <w:rFonts w:ascii="Times New Roman" w:hAnsi="Times New Roman"/>
          <w:szCs w:val="24"/>
          <w:lang w:eastAsia="hr-HR"/>
        </w:rPr>
        <w:t xml:space="preserve"> </w:t>
      </w:r>
      <w:r>
        <w:rPr>
          <w:rFonts w:ascii="Times New Roman" w:hAnsi="Times New Roman"/>
          <w:szCs w:val="24"/>
          <w:lang w:eastAsia="hr-HR"/>
        </w:rPr>
        <w:t>интегри</w:t>
      </w:r>
      <w:r w:rsidR="00446FC2">
        <w:rPr>
          <w:rFonts w:ascii="Times New Roman" w:hAnsi="Times New Roman"/>
          <w:szCs w:val="24"/>
          <w:lang w:val="sr-Cyrl-BA" w:eastAsia="hr-HR"/>
        </w:rPr>
        <w:t>с</w:t>
      </w:r>
      <w:r>
        <w:rPr>
          <w:rFonts w:ascii="Times New Roman" w:hAnsi="Times New Roman"/>
          <w:szCs w:val="24"/>
          <w:lang w:eastAsia="hr-HR"/>
        </w:rPr>
        <w:t>ане</w:t>
      </w:r>
      <w:r w:rsidR="00CB31FB" w:rsidRPr="00295637">
        <w:rPr>
          <w:rFonts w:ascii="Times New Roman" w:hAnsi="Times New Roman"/>
          <w:szCs w:val="24"/>
          <w:lang w:eastAsia="hr-HR"/>
        </w:rPr>
        <w:t xml:space="preserve"> </w:t>
      </w:r>
      <w:r>
        <w:rPr>
          <w:rFonts w:ascii="Times New Roman" w:hAnsi="Times New Roman"/>
          <w:szCs w:val="24"/>
          <w:lang w:eastAsia="hr-HR"/>
        </w:rPr>
        <w:t>су</w:t>
      </w:r>
      <w:r w:rsidR="00CB31FB" w:rsidRPr="00295637">
        <w:rPr>
          <w:rFonts w:ascii="Times New Roman" w:hAnsi="Times New Roman"/>
          <w:szCs w:val="24"/>
          <w:lang w:eastAsia="hr-HR"/>
        </w:rPr>
        <w:t xml:space="preserve"> </w:t>
      </w:r>
      <w:r>
        <w:rPr>
          <w:rFonts w:ascii="Times New Roman" w:hAnsi="Times New Roman"/>
          <w:szCs w:val="24"/>
          <w:lang w:eastAsia="hr-HR"/>
        </w:rPr>
        <w:t>у</w:t>
      </w:r>
      <w:r w:rsidR="00CB31FB" w:rsidRPr="00295637">
        <w:rPr>
          <w:rFonts w:ascii="Times New Roman" w:hAnsi="Times New Roman"/>
          <w:szCs w:val="24"/>
          <w:lang w:eastAsia="hr-HR"/>
        </w:rPr>
        <w:t xml:space="preserve"> </w:t>
      </w:r>
      <w:r>
        <w:rPr>
          <w:rFonts w:ascii="Times New Roman" w:hAnsi="Times New Roman"/>
          <w:szCs w:val="24"/>
          <w:lang w:eastAsia="hr-HR"/>
        </w:rPr>
        <w:t>будуће</w:t>
      </w:r>
      <w:r w:rsidR="00CB31FB" w:rsidRPr="00295637">
        <w:rPr>
          <w:rFonts w:ascii="Times New Roman" w:hAnsi="Times New Roman"/>
          <w:szCs w:val="24"/>
          <w:lang w:eastAsia="hr-HR"/>
        </w:rPr>
        <w:t xml:space="preserve"> </w:t>
      </w:r>
      <w:r>
        <w:rPr>
          <w:rFonts w:ascii="Times New Roman" w:hAnsi="Times New Roman"/>
          <w:szCs w:val="24"/>
          <w:lang w:eastAsia="hr-HR"/>
        </w:rPr>
        <w:t>планове</w:t>
      </w:r>
      <w:r w:rsidR="00CB31FB" w:rsidRPr="00295637">
        <w:rPr>
          <w:rFonts w:ascii="Times New Roman" w:hAnsi="Times New Roman"/>
          <w:szCs w:val="24"/>
          <w:lang w:eastAsia="hr-HR"/>
        </w:rPr>
        <w:t xml:space="preserve"> </w:t>
      </w:r>
      <w:r>
        <w:rPr>
          <w:rFonts w:ascii="Times New Roman" w:hAnsi="Times New Roman"/>
          <w:szCs w:val="24"/>
          <w:lang w:eastAsia="hr-HR"/>
        </w:rPr>
        <w:t>дјеловања</w:t>
      </w:r>
      <w:r w:rsidR="00CB31FB" w:rsidRPr="00295637">
        <w:rPr>
          <w:rFonts w:ascii="Times New Roman" w:hAnsi="Times New Roman"/>
          <w:szCs w:val="24"/>
          <w:lang w:eastAsia="hr-HR"/>
        </w:rPr>
        <w:t xml:space="preserve"> </w:t>
      </w:r>
      <w:r>
        <w:rPr>
          <w:rFonts w:ascii="Times New Roman" w:hAnsi="Times New Roman"/>
          <w:szCs w:val="24"/>
          <w:lang w:eastAsia="hr-HR"/>
        </w:rPr>
        <w:t>будући</w:t>
      </w:r>
      <w:r w:rsidR="00CB31FB" w:rsidRPr="00295637">
        <w:rPr>
          <w:rFonts w:ascii="Times New Roman" w:hAnsi="Times New Roman"/>
          <w:szCs w:val="24"/>
          <w:lang w:eastAsia="hr-HR"/>
        </w:rPr>
        <w:t xml:space="preserve"> </w:t>
      </w:r>
      <w:r>
        <w:rPr>
          <w:rFonts w:ascii="Times New Roman" w:hAnsi="Times New Roman"/>
          <w:szCs w:val="24"/>
          <w:lang w:eastAsia="hr-HR"/>
        </w:rPr>
        <w:t>да</w:t>
      </w:r>
      <w:r w:rsidR="00CB31FB" w:rsidRPr="00295637">
        <w:rPr>
          <w:rFonts w:ascii="Times New Roman" w:hAnsi="Times New Roman"/>
          <w:szCs w:val="24"/>
          <w:lang w:eastAsia="hr-HR"/>
        </w:rPr>
        <w:t xml:space="preserve"> </w:t>
      </w:r>
      <w:r>
        <w:rPr>
          <w:rFonts w:ascii="Times New Roman" w:hAnsi="Times New Roman"/>
          <w:szCs w:val="24"/>
          <w:lang w:eastAsia="hr-HR"/>
        </w:rPr>
        <w:t>наведена</w:t>
      </w:r>
      <w:r w:rsidR="00CB31FB" w:rsidRPr="00295637">
        <w:rPr>
          <w:rFonts w:ascii="Times New Roman" w:hAnsi="Times New Roman"/>
          <w:szCs w:val="24"/>
          <w:lang w:eastAsia="hr-HR"/>
        </w:rPr>
        <w:t xml:space="preserve"> </w:t>
      </w:r>
      <w:r>
        <w:rPr>
          <w:rFonts w:ascii="Times New Roman" w:hAnsi="Times New Roman"/>
          <w:szCs w:val="24"/>
          <w:lang w:eastAsia="hr-HR"/>
        </w:rPr>
        <w:t>стратегија</w:t>
      </w:r>
      <w:r w:rsidR="00CB31FB" w:rsidRPr="00295637">
        <w:rPr>
          <w:rFonts w:ascii="Times New Roman" w:hAnsi="Times New Roman"/>
          <w:szCs w:val="24"/>
          <w:lang w:eastAsia="hr-HR"/>
        </w:rPr>
        <w:t xml:space="preserve"> </w:t>
      </w:r>
      <w:r>
        <w:rPr>
          <w:rFonts w:ascii="Times New Roman" w:hAnsi="Times New Roman"/>
          <w:szCs w:val="24"/>
          <w:lang w:eastAsia="hr-HR"/>
        </w:rPr>
        <w:t>у</w:t>
      </w:r>
      <w:r w:rsidR="00CB31FB" w:rsidRPr="00295637">
        <w:rPr>
          <w:rFonts w:ascii="Times New Roman" w:hAnsi="Times New Roman"/>
          <w:szCs w:val="24"/>
          <w:lang w:eastAsia="hr-HR"/>
        </w:rPr>
        <w:t xml:space="preserve"> </w:t>
      </w:r>
      <w:r>
        <w:rPr>
          <w:rFonts w:ascii="Times New Roman" w:hAnsi="Times New Roman"/>
          <w:szCs w:val="24"/>
          <w:lang w:eastAsia="hr-HR"/>
        </w:rPr>
        <w:t>водећим</w:t>
      </w:r>
      <w:r w:rsidR="00CB31FB" w:rsidRPr="00295637">
        <w:rPr>
          <w:rFonts w:ascii="Times New Roman" w:hAnsi="Times New Roman"/>
          <w:szCs w:val="24"/>
          <w:lang w:eastAsia="hr-HR"/>
        </w:rPr>
        <w:t xml:space="preserve"> </w:t>
      </w:r>
      <w:r>
        <w:rPr>
          <w:rFonts w:ascii="Times New Roman" w:hAnsi="Times New Roman"/>
          <w:szCs w:val="24"/>
          <w:lang w:eastAsia="hr-HR"/>
        </w:rPr>
        <w:t>начелима</w:t>
      </w:r>
      <w:r w:rsidR="00CB31FB" w:rsidRPr="00295637">
        <w:rPr>
          <w:rFonts w:ascii="Times New Roman" w:hAnsi="Times New Roman"/>
          <w:szCs w:val="24"/>
          <w:lang w:eastAsia="hr-HR"/>
        </w:rPr>
        <w:t xml:space="preserve"> </w:t>
      </w:r>
      <w:r>
        <w:rPr>
          <w:rFonts w:ascii="Times New Roman" w:hAnsi="Times New Roman"/>
          <w:szCs w:val="24"/>
          <w:lang w:eastAsia="hr-HR"/>
        </w:rPr>
        <w:t>наводи</w:t>
      </w:r>
      <w:r w:rsidR="00CB31FB" w:rsidRPr="00295637">
        <w:rPr>
          <w:rFonts w:ascii="Times New Roman" w:hAnsi="Times New Roman"/>
          <w:szCs w:val="24"/>
          <w:lang w:eastAsia="hr-HR"/>
        </w:rPr>
        <w:t xml:space="preserve"> </w:t>
      </w:r>
      <w:r>
        <w:rPr>
          <w:rFonts w:ascii="Times New Roman" w:hAnsi="Times New Roman"/>
          <w:szCs w:val="24"/>
          <w:lang w:eastAsia="hr-HR"/>
        </w:rPr>
        <w:t>родно</w:t>
      </w:r>
      <w:r w:rsidR="00CB31FB" w:rsidRPr="00295637">
        <w:rPr>
          <w:rFonts w:ascii="Times New Roman" w:hAnsi="Times New Roman"/>
          <w:szCs w:val="24"/>
          <w:lang w:eastAsia="hr-HR"/>
        </w:rPr>
        <w:t xml:space="preserve"> </w:t>
      </w:r>
      <w:r>
        <w:rPr>
          <w:rFonts w:ascii="Times New Roman" w:hAnsi="Times New Roman"/>
          <w:szCs w:val="24"/>
          <w:lang w:eastAsia="bs-Latn-BA"/>
        </w:rPr>
        <w:t>специфични</w:t>
      </w:r>
      <w:r w:rsidR="00CB31FB" w:rsidRPr="00295637">
        <w:rPr>
          <w:rFonts w:ascii="Times New Roman" w:hAnsi="Times New Roman"/>
          <w:szCs w:val="24"/>
          <w:lang w:eastAsia="bs-Latn-BA"/>
        </w:rPr>
        <w:t xml:space="preserve"> </w:t>
      </w:r>
      <w:r>
        <w:rPr>
          <w:rFonts w:ascii="Times New Roman" w:hAnsi="Times New Roman"/>
          <w:szCs w:val="24"/>
          <w:lang w:eastAsia="bs-Latn-BA"/>
        </w:rPr>
        <w:t>приступ</w:t>
      </w:r>
      <w:r w:rsidR="00CB31FB" w:rsidRPr="00295637">
        <w:rPr>
          <w:rFonts w:ascii="Times New Roman" w:hAnsi="Times New Roman"/>
          <w:szCs w:val="24"/>
          <w:lang w:eastAsia="bs-Latn-BA"/>
        </w:rPr>
        <w:t xml:space="preserve">, </w:t>
      </w:r>
      <w:r>
        <w:rPr>
          <w:rFonts w:ascii="Times New Roman" w:hAnsi="Times New Roman"/>
          <w:szCs w:val="24"/>
          <w:lang w:eastAsia="bs-Latn-BA"/>
        </w:rPr>
        <w:t>а</w:t>
      </w:r>
      <w:r w:rsidR="00CB31FB" w:rsidRPr="00295637">
        <w:rPr>
          <w:rFonts w:ascii="Times New Roman" w:hAnsi="Times New Roman"/>
          <w:szCs w:val="24"/>
          <w:lang w:eastAsia="bs-Latn-BA"/>
        </w:rPr>
        <w:t xml:space="preserve"> </w:t>
      </w:r>
      <w:r>
        <w:rPr>
          <w:rFonts w:ascii="Times New Roman" w:hAnsi="Times New Roman"/>
          <w:szCs w:val="24"/>
          <w:lang w:eastAsia="bs-Latn-BA"/>
        </w:rPr>
        <w:t>у</w:t>
      </w:r>
      <w:r w:rsidR="00CB31FB" w:rsidRPr="00295637">
        <w:rPr>
          <w:rFonts w:ascii="Times New Roman" w:hAnsi="Times New Roman"/>
          <w:szCs w:val="24"/>
          <w:lang w:eastAsia="bs-Latn-BA"/>
        </w:rPr>
        <w:t xml:space="preserve"> </w:t>
      </w:r>
      <w:r>
        <w:rPr>
          <w:rFonts w:ascii="Times New Roman" w:hAnsi="Times New Roman"/>
          <w:szCs w:val="24"/>
          <w:lang w:eastAsia="bs-Latn-BA"/>
        </w:rPr>
        <w:t>посебном</w:t>
      </w:r>
      <w:r w:rsidR="00CB31FB" w:rsidRPr="00295637">
        <w:rPr>
          <w:rFonts w:ascii="Times New Roman" w:hAnsi="Times New Roman"/>
          <w:szCs w:val="24"/>
          <w:lang w:eastAsia="bs-Latn-BA"/>
        </w:rPr>
        <w:t xml:space="preserve"> </w:t>
      </w:r>
      <w:r>
        <w:rPr>
          <w:rFonts w:ascii="Times New Roman" w:hAnsi="Times New Roman"/>
          <w:szCs w:val="24"/>
          <w:lang w:eastAsia="bs-Latn-BA"/>
        </w:rPr>
        <w:t>циљу</w:t>
      </w:r>
      <w:r w:rsidR="00CB31FB" w:rsidRPr="00295637">
        <w:rPr>
          <w:rFonts w:ascii="Times New Roman" w:hAnsi="Times New Roman"/>
          <w:szCs w:val="24"/>
          <w:lang w:eastAsia="bs-Latn-BA"/>
        </w:rPr>
        <w:t xml:space="preserve"> 4. „</w:t>
      </w:r>
      <w:r>
        <w:rPr>
          <w:rFonts w:ascii="Times New Roman" w:hAnsi="Times New Roman"/>
          <w:szCs w:val="24"/>
          <w:lang w:eastAsia="bs-Latn-BA"/>
        </w:rPr>
        <w:t>Заштита</w:t>
      </w:r>
      <w:r w:rsidR="00CB31FB" w:rsidRPr="00295637">
        <w:rPr>
          <w:rFonts w:ascii="Times New Roman" w:hAnsi="Times New Roman"/>
          <w:szCs w:val="24"/>
          <w:lang w:eastAsia="bs-Latn-BA"/>
        </w:rPr>
        <w:t xml:space="preserve"> </w:t>
      </w:r>
      <w:r>
        <w:rPr>
          <w:rFonts w:ascii="Times New Roman" w:hAnsi="Times New Roman"/>
          <w:szCs w:val="24"/>
          <w:lang w:eastAsia="bs-Latn-BA"/>
        </w:rPr>
        <w:t>жртава</w:t>
      </w:r>
      <w:r w:rsidR="00CB31FB" w:rsidRPr="00295637">
        <w:rPr>
          <w:rFonts w:ascii="Times New Roman" w:hAnsi="Times New Roman"/>
          <w:szCs w:val="24"/>
          <w:lang w:eastAsia="bs-Latn-BA"/>
        </w:rPr>
        <w:t xml:space="preserve"> </w:t>
      </w:r>
      <w:r>
        <w:rPr>
          <w:rFonts w:ascii="Times New Roman" w:hAnsi="Times New Roman"/>
          <w:szCs w:val="24"/>
          <w:lang w:eastAsia="bs-Latn-BA"/>
        </w:rPr>
        <w:t>трговине</w:t>
      </w:r>
      <w:r w:rsidR="00CB31FB" w:rsidRPr="00295637">
        <w:rPr>
          <w:rFonts w:ascii="Times New Roman" w:hAnsi="Times New Roman"/>
          <w:szCs w:val="24"/>
          <w:lang w:eastAsia="bs-Latn-BA"/>
        </w:rPr>
        <w:t xml:space="preserve"> </w:t>
      </w:r>
      <w:r>
        <w:rPr>
          <w:rFonts w:ascii="Times New Roman" w:hAnsi="Times New Roman"/>
          <w:szCs w:val="24"/>
          <w:lang w:eastAsia="bs-Latn-BA"/>
        </w:rPr>
        <w:t>људима</w:t>
      </w:r>
      <w:r w:rsidR="00CB31FB" w:rsidRPr="00295637">
        <w:rPr>
          <w:rFonts w:ascii="Times New Roman" w:hAnsi="Times New Roman"/>
          <w:szCs w:val="24"/>
          <w:lang w:eastAsia="bs-Latn-BA"/>
        </w:rPr>
        <w:t xml:space="preserve">“ </w:t>
      </w:r>
      <w:r>
        <w:rPr>
          <w:rFonts w:ascii="Times New Roman" w:hAnsi="Times New Roman"/>
          <w:szCs w:val="24"/>
          <w:lang w:eastAsia="bs-Latn-BA"/>
        </w:rPr>
        <w:t>у</w:t>
      </w:r>
      <w:r w:rsidR="00CB31FB" w:rsidRPr="00295637">
        <w:rPr>
          <w:rFonts w:ascii="Times New Roman" w:hAnsi="Times New Roman"/>
          <w:szCs w:val="24"/>
          <w:lang w:eastAsia="bs-Latn-BA"/>
        </w:rPr>
        <w:t xml:space="preserve"> </w:t>
      </w:r>
      <w:r>
        <w:rPr>
          <w:rFonts w:ascii="Times New Roman" w:hAnsi="Times New Roman"/>
          <w:szCs w:val="24"/>
          <w:lang w:eastAsia="bs-Latn-BA"/>
        </w:rPr>
        <w:t>тачки</w:t>
      </w:r>
      <w:r w:rsidR="00CB31FB" w:rsidRPr="00295637">
        <w:rPr>
          <w:rFonts w:ascii="Times New Roman" w:hAnsi="Times New Roman"/>
          <w:szCs w:val="24"/>
          <w:lang w:eastAsia="bs-Latn-BA"/>
        </w:rPr>
        <w:t xml:space="preserve"> 4.3</w:t>
      </w:r>
      <w:r w:rsidR="000F6D36">
        <w:rPr>
          <w:rFonts w:ascii="Times New Roman" w:hAnsi="Times New Roman"/>
          <w:szCs w:val="24"/>
          <w:lang w:eastAsia="bs-Latn-BA"/>
        </w:rPr>
        <w:t>.</w:t>
      </w:r>
      <w:r w:rsidR="00CB31FB" w:rsidRPr="00295637">
        <w:rPr>
          <w:rFonts w:ascii="Times New Roman" w:hAnsi="Times New Roman"/>
          <w:szCs w:val="24"/>
          <w:lang w:eastAsia="bs-Latn-BA"/>
        </w:rPr>
        <w:t xml:space="preserve"> </w:t>
      </w:r>
      <w:r>
        <w:rPr>
          <w:rFonts w:ascii="Times New Roman" w:hAnsi="Times New Roman"/>
          <w:szCs w:val="24"/>
          <w:lang w:eastAsia="bs-Latn-BA"/>
        </w:rPr>
        <w:t>предвиђено</w:t>
      </w:r>
      <w:r w:rsidR="00CB31FB" w:rsidRPr="00295637">
        <w:rPr>
          <w:rFonts w:ascii="Times New Roman" w:hAnsi="Times New Roman"/>
          <w:szCs w:val="24"/>
          <w:lang w:eastAsia="bs-Latn-BA"/>
        </w:rPr>
        <w:t xml:space="preserve"> </w:t>
      </w:r>
      <w:r>
        <w:rPr>
          <w:rFonts w:ascii="Times New Roman" w:hAnsi="Times New Roman"/>
          <w:szCs w:val="24"/>
          <w:lang w:eastAsia="bs-Latn-BA"/>
        </w:rPr>
        <w:t>је</w:t>
      </w:r>
      <w:r w:rsidR="00CB31FB" w:rsidRPr="00295637">
        <w:rPr>
          <w:rFonts w:ascii="Times New Roman" w:hAnsi="Times New Roman"/>
          <w:szCs w:val="24"/>
          <w:lang w:eastAsia="bs-Latn-BA"/>
        </w:rPr>
        <w:t xml:space="preserve"> „</w:t>
      </w:r>
      <w:r>
        <w:rPr>
          <w:rFonts w:ascii="Times New Roman" w:hAnsi="Times New Roman"/>
          <w:szCs w:val="24"/>
          <w:lang w:eastAsia="bs-Latn-BA"/>
        </w:rPr>
        <w:t>О</w:t>
      </w:r>
      <w:r w:rsidR="00446FC2">
        <w:rPr>
          <w:rFonts w:ascii="Times New Roman" w:hAnsi="Times New Roman"/>
          <w:szCs w:val="24"/>
          <w:lang w:val="sr-Cyrl-BA" w:eastAsia="bs-Latn-BA"/>
        </w:rPr>
        <w:t>безбјеђење</w:t>
      </w:r>
      <w:r w:rsidR="00CB31FB" w:rsidRPr="00295637">
        <w:rPr>
          <w:rFonts w:ascii="Times New Roman" w:hAnsi="Times New Roman"/>
          <w:szCs w:val="24"/>
          <w:lang w:eastAsia="bs-Latn-BA"/>
        </w:rPr>
        <w:t xml:space="preserve"> </w:t>
      </w:r>
      <w:r>
        <w:rPr>
          <w:rFonts w:ascii="Times New Roman" w:hAnsi="Times New Roman"/>
          <w:szCs w:val="24"/>
          <w:lang w:eastAsia="bs-Latn-BA"/>
        </w:rPr>
        <w:t>посебне</w:t>
      </w:r>
      <w:r w:rsidR="00CB31FB" w:rsidRPr="00295637">
        <w:rPr>
          <w:rFonts w:ascii="Times New Roman" w:hAnsi="Times New Roman"/>
          <w:szCs w:val="24"/>
          <w:lang w:eastAsia="bs-Latn-BA"/>
        </w:rPr>
        <w:t xml:space="preserve"> </w:t>
      </w:r>
      <w:r>
        <w:rPr>
          <w:rFonts w:ascii="Times New Roman" w:hAnsi="Times New Roman"/>
          <w:szCs w:val="24"/>
          <w:lang w:eastAsia="bs-Latn-BA"/>
        </w:rPr>
        <w:t>заштите</w:t>
      </w:r>
      <w:r w:rsidR="00CB31FB" w:rsidRPr="00295637">
        <w:rPr>
          <w:rFonts w:ascii="Times New Roman" w:hAnsi="Times New Roman"/>
          <w:szCs w:val="24"/>
          <w:lang w:eastAsia="bs-Latn-BA"/>
        </w:rPr>
        <w:t xml:space="preserve"> </w:t>
      </w:r>
      <w:r>
        <w:rPr>
          <w:rFonts w:ascii="Times New Roman" w:hAnsi="Times New Roman"/>
          <w:szCs w:val="24"/>
          <w:lang w:eastAsia="bs-Latn-BA"/>
        </w:rPr>
        <w:t>жена</w:t>
      </w:r>
      <w:r w:rsidR="00CB31FB" w:rsidRPr="00295637">
        <w:rPr>
          <w:rFonts w:ascii="Times New Roman" w:hAnsi="Times New Roman"/>
          <w:szCs w:val="24"/>
          <w:lang w:eastAsia="bs-Latn-BA"/>
        </w:rPr>
        <w:t xml:space="preserve"> </w:t>
      </w:r>
      <w:r>
        <w:rPr>
          <w:rFonts w:ascii="Times New Roman" w:hAnsi="Times New Roman"/>
          <w:szCs w:val="24"/>
          <w:lang w:eastAsia="bs-Latn-BA"/>
        </w:rPr>
        <w:t>жртава</w:t>
      </w:r>
      <w:r w:rsidR="00CB31FB" w:rsidRPr="00295637">
        <w:rPr>
          <w:rFonts w:ascii="Times New Roman" w:hAnsi="Times New Roman"/>
          <w:szCs w:val="24"/>
          <w:lang w:eastAsia="bs-Latn-BA"/>
        </w:rPr>
        <w:t xml:space="preserve"> </w:t>
      </w:r>
      <w:r>
        <w:rPr>
          <w:rFonts w:ascii="Times New Roman" w:hAnsi="Times New Roman"/>
          <w:szCs w:val="24"/>
          <w:lang w:eastAsia="bs-Latn-BA"/>
        </w:rPr>
        <w:t>трговине</w:t>
      </w:r>
      <w:r w:rsidR="00CB31FB" w:rsidRPr="00295637">
        <w:rPr>
          <w:rFonts w:ascii="Times New Roman" w:hAnsi="Times New Roman"/>
          <w:szCs w:val="24"/>
          <w:lang w:eastAsia="bs-Latn-BA"/>
        </w:rPr>
        <w:t xml:space="preserve"> </w:t>
      </w:r>
      <w:r>
        <w:rPr>
          <w:rFonts w:ascii="Times New Roman" w:hAnsi="Times New Roman"/>
          <w:szCs w:val="24"/>
          <w:lang w:eastAsia="bs-Latn-BA"/>
        </w:rPr>
        <w:t>људима</w:t>
      </w:r>
      <w:r w:rsidR="00CB31FB" w:rsidRPr="00295637">
        <w:rPr>
          <w:rFonts w:ascii="Times New Roman" w:hAnsi="Times New Roman"/>
          <w:szCs w:val="24"/>
          <w:lang w:eastAsia="bs-Latn-BA"/>
        </w:rPr>
        <w:t xml:space="preserve">“. </w:t>
      </w:r>
      <w:r>
        <w:rPr>
          <w:rFonts w:ascii="Times New Roman" w:hAnsi="Times New Roman"/>
          <w:szCs w:val="24"/>
        </w:rPr>
        <w:t>Поред</w:t>
      </w:r>
      <w:r w:rsidR="00B57061" w:rsidRPr="00295637">
        <w:rPr>
          <w:rFonts w:ascii="Times New Roman" w:hAnsi="Times New Roman"/>
          <w:szCs w:val="24"/>
        </w:rPr>
        <w:t xml:space="preserve"> </w:t>
      </w:r>
      <w:r>
        <w:rPr>
          <w:rFonts w:ascii="Times New Roman" w:hAnsi="Times New Roman"/>
          <w:szCs w:val="24"/>
        </w:rPr>
        <w:t>тога</w:t>
      </w:r>
      <w:r w:rsidR="00B57061" w:rsidRPr="00295637">
        <w:rPr>
          <w:rFonts w:ascii="Times New Roman" w:hAnsi="Times New Roman"/>
          <w:szCs w:val="24"/>
        </w:rPr>
        <w:t xml:space="preserve">, </w:t>
      </w:r>
      <w:r w:rsidR="00446FC2">
        <w:rPr>
          <w:rFonts w:ascii="Times New Roman" w:hAnsi="Times New Roman"/>
          <w:szCs w:val="24"/>
          <w:lang w:val="sr-Cyrl-BA"/>
        </w:rPr>
        <w:t>с</w:t>
      </w:r>
      <w:r w:rsidR="00E9390E" w:rsidRPr="00295637">
        <w:rPr>
          <w:rFonts w:ascii="Times New Roman" w:hAnsi="Times New Roman"/>
          <w:szCs w:val="24"/>
        </w:rPr>
        <w:t xml:space="preserve"> </w:t>
      </w:r>
      <w:r>
        <w:rPr>
          <w:rFonts w:ascii="Times New Roman" w:hAnsi="Times New Roman"/>
          <w:szCs w:val="24"/>
        </w:rPr>
        <w:t>циљ</w:t>
      </w:r>
      <w:r w:rsidR="00446FC2">
        <w:rPr>
          <w:rFonts w:ascii="Times New Roman" w:hAnsi="Times New Roman"/>
          <w:szCs w:val="24"/>
          <w:lang w:val="sr-Cyrl-BA"/>
        </w:rPr>
        <w:t>ем</w:t>
      </w:r>
      <w:r w:rsidR="00E9390E" w:rsidRPr="00295637">
        <w:rPr>
          <w:rFonts w:ascii="Times New Roman" w:hAnsi="Times New Roman"/>
          <w:szCs w:val="24"/>
        </w:rPr>
        <w:t xml:space="preserve"> </w:t>
      </w:r>
      <w:r>
        <w:rPr>
          <w:rFonts w:ascii="Times New Roman" w:hAnsi="Times New Roman"/>
          <w:szCs w:val="24"/>
        </w:rPr>
        <w:t>интегри</w:t>
      </w:r>
      <w:r w:rsidR="00446FC2">
        <w:rPr>
          <w:rFonts w:ascii="Times New Roman" w:hAnsi="Times New Roman"/>
          <w:szCs w:val="24"/>
          <w:lang w:val="sr-Cyrl-BA"/>
        </w:rPr>
        <w:t>с</w:t>
      </w:r>
      <w:r>
        <w:rPr>
          <w:rFonts w:ascii="Times New Roman" w:hAnsi="Times New Roman"/>
          <w:szCs w:val="24"/>
        </w:rPr>
        <w:t>ања</w:t>
      </w:r>
      <w:r w:rsidR="00E9390E" w:rsidRPr="00295637">
        <w:rPr>
          <w:rFonts w:ascii="Times New Roman" w:hAnsi="Times New Roman"/>
          <w:szCs w:val="24"/>
        </w:rPr>
        <w:t xml:space="preserve"> </w:t>
      </w:r>
      <w:r>
        <w:rPr>
          <w:rFonts w:ascii="Times New Roman" w:hAnsi="Times New Roman"/>
          <w:szCs w:val="24"/>
        </w:rPr>
        <w:t>принципа</w:t>
      </w:r>
      <w:r w:rsidR="00E9390E" w:rsidRPr="00295637">
        <w:rPr>
          <w:rFonts w:ascii="Times New Roman" w:hAnsi="Times New Roman"/>
          <w:szCs w:val="24"/>
        </w:rPr>
        <w:t xml:space="preserve"> </w:t>
      </w:r>
      <w:r>
        <w:rPr>
          <w:rFonts w:ascii="Times New Roman" w:hAnsi="Times New Roman"/>
          <w:szCs w:val="24"/>
        </w:rPr>
        <w:t>равноправности</w:t>
      </w:r>
      <w:r w:rsidR="00E9390E" w:rsidRPr="00295637">
        <w:rPr>
          <w:rFonts w:ascii="Times New Roman" w:hAnsi="Times New Roman"/>
          <w:szCs w:val="24"/>
        </w:rPr>
        <w:t xml:space="preserve"> </w:t>
      </w:r>
      <w:r>
        <w:rPr>
          <w:rFonts w:ascii="Times New Roman" w:hAnsi="Times New Roman"/>
          <w:szCs w:val="24"/>
        </w:rPr>
        <w:t>полова</w:t>
      </w:r>
      <w:r w:rsidR="00E9390E" w:rsidRPr="00295637">
        <w:rPr>
          <w:rFonts w:ascii="Times New Roman" w:hAnsi="Times New Roman"/>
          <w:szCs w:val="24"/>
        </w:rPr>
        <w:t xml:space="preserve"> </w:t>
      </w:r>
      <w:r>
        <w:rPr>
          <w:rFonts w:ascii="Times New Roman" w:hAnsi="Times New Roman"/>
          <w:szCs w:val="24"/>
        </w:rPr>
        <w:t>у</w:t>
      </w:r>
      <w:r w:rsidR="00E9390E" w:rsidRPr="00295637">
        <w:rPr>
          <w:rFonts w:ascii="Times New Roman" w:hAnsi="Times New Roman"/>
          <w:szCs w:val="24"/>
        </w:rPr>
        <w:t xml:space="preserve"> </w:t>
      </w:r>
      <w:r w:rsidR="00446FC2">
        <w:rPr>
          <w:rFonts w:ascii="Times New Roman" w:hAnsi="Times New Roman"/>
          <w:szCs w:val="24"/>
          <w:lang w:val="sr-Cyrl-BA"/>
        </w:rPr>
        <w:t>области дјеловања</w:t>
      </w:r>
      <w:r w:rsidR="00E9390E" w:rsidRPr="00295637">
        <w:rPr>
          <w:rFonts w:ascii="Times New Roman" w:hAnsi="Times New Roman"/>
          <w:szCs w:val="24"/>
        </w:rPr>
        <w:t xml:space="preserve"> </w:t>
      </w:r>
      <w:r>
        <w:rPr>
          <w:rFonts w:ascii="Times New Roman" w:hAnsi="Times New Roman"/>
          <w:szCs w:val="24"/>
        </w:rPr>
        <w:t>рада</w:t>
      </w:r>
      <w:r w:rsidR="00B57061" w:rsidRPr="00295637">
        <w:rPr>
          <w:rFonts w:ascii="Times New Roman" w:hAnsi="Times New Roman"/>
          <w:szCs w:val="24"/>
        </w:rPr>
        <w:t xml:space="preserve"> </w:t>
      </w:r>
      <w:r>
        <w:rPr>
          <w:rFonts w:ascii="Times New Roman" w:hAnsi="Times New Roman"/>
          <w:szCs w:val="24"/>
        </w:rPr>
        <w:t>СИПА</w:t>
      </w:r>
      <w:r w:rsidR="0046661C">
        <w:rPr>
          <w:rFonts w:ascii="Times New Roman" w:hAnsi="Times New Roman"/>
          <w:szCs w:val="24"/>
        </w:rPr>
        <w:t>-</w:t>
      </w:r>
      <w:r>
        <w:rPr>
          <w:rFonts w:ascii="Times New Roman" w:hAnsi="Times New Roman"/>
          <w:szCs w:val="24"/>
        </w:rPr>
        <w:t>е</w:t>
      </w:r>
      <w:r w:rsidR="00E9390E" w:rsidRPr="00295637">
        <w:rPr>
          <w:rFonts w:ascii="Times New Roman" w:hAnsi="Times New Roman"/>
          <w:szCs w:val="24"/>
        </w:rPr>
        <w:t xml:space="preserve">, </w:t>
      </w:r>
      <w:r>
        <w:rPr>
          <w:rFonts w:ascii="Times New Roman" w:hAnsi="Times New Roman"/>
          <w:szCs w:val="24"/>
        </w:rPr>
        <w:t>донесене</w:t>
      </w:r>
      <w:r w:rsidR="00E9390E" w:rsidRPr="00295637">
        <w:rPr>
          <w:rFonts w:ascii="Times New Roman" w:hAnsi="Times New Roman"/>
          <w:szCs w:val="24"/>
        </w:rPr>
        <w:t xml:space="preserve"> </w:t>
      </w:r>
      <w:r>
        <w:rPr>
          <w:rFonts w:ascii="Times New Roman" w:hAnsi="Times New Roman"/>
          <w:szCs w:val="24"/>
        </w:rPr>
        <w:t>су</w:t>
      </w:r>
      <w:r w:rsidR="00E9390E" w:rsidRPr="00295637">
        <w:rPr>
          <w:rFonts w:ascii="Times New Roman" w:hAnsi="Times New Roman"/>
          <w:szCs w:val="24"/>
        </w:rPr>
        <w:t xml:space="preserve"> </w:t>
      </w:r>
      <w:r>
        <w:rPr>
          <w:rFonts w:ascii="Times New Roman" w:hAnsi="Times New Roman"/>
          <w:szCs w:val="24"/>
        </w:rPr>
        <w:t>Смјернице</w:t>
      </w:r>
      <w:r w:rsidR="00E9390E" w:rsidRPr="00295637">
        <w:rPr>
          <w:rFonts w:ascii="Times New Roman" w:hAnsi="Times New Roman"/>
          <w:szCs w:val="24"/>
        </w:rPr>
        <w:t xml:space="preserve"> </w:t>
      </w:r>
      <w:r>
        <w:rPr>
          <w:rFonts w:ascii="Times New Roman" w:hAnsi="Times New Roman"/>
          <w:szCs w:val="24"/>
        </w:rPr>
        <w:t>за</w:t>
      </w:r>
      <w:r w:rsidR="00E9390E" w:rsidRPr="00295637">
        <w:rPr>
          <w:rFonts w:ascii="Times New Roman" w:hAnsi="Times New Roman"/>
          <w:szCs w:val="24"/>
        </w:rPr>
        <w:t xml:space="preserve"> </w:t>
      </w:r>
      <w:r>
        <w:rPr>
          <w:rFonts w:ascii="Times New Roman" w:hAnsi="Times New Roman"/>
          <w:szCs w:val="24"/>
        </w:rPr>
        <w:t>остваривање</w:t>
      </w:r>
      <w:r w:rsidR="00E9390E" w:rsidRPr="00295637">
        <w:rPr>
          <w:rFonts w:ascii="Times New Roman" w:hAnsi="Times New Roman"/>
          <w:szCs w:val="24"/>
        </w:rPr>
        <w:t xml:space="preserve"> </w:t>
      </w:r>
      <w:r>
        <w:rPr>
          <w:rFonts w:ascii="Times New Roman" w:hAnsi="Times New Roman"/>
          <w:szCs w:val="24"/>
        </w:rPr>
        <w:t>равноправности</w:t>
      </w:r>
      <w:r w:rsidR="00E9390E" w:rsidRPr="00295637">
        <w:rPr>
          <w:rFonts w:ascii="Times New Roman" w:hAnsi="Times New Roman"/>
          <w:szCs w:val="24"/>
        </w:rPr>
        <w:t xml:space="preserve"> </w:t>
      </w:r>
      <w:r>
        <w:rPr>
          <w:rFonts w:ascii="Times New Roman" w:hAnsi="Times New Roman"/>
          <w:szCs w:val="24"/>
        </w:rPr>
        <w:t>полова</w:t>
      </w:r>
      <w:r w:rsidR="00E9390E" w:rsidRPr="00295637">
        <w:rPr>
          <w:rFonts w:ascii="Times New Roman" w:hAnsi="Times New Roman"/>
          <w:szCs w:val="24"/>
        </w:rPr>
        <w:t xml:space="preserve"> </w:t>
      </w:r>
      <w:r>
        <w:rPr>
          <w:rFonts w:ascii="Times New Roman" w:hAnsi="Times New Roman"/>
          <w:szCs w:val="24"/>
        </w:rPr>
        <w:t>и</w:t>
      </w:r>
      <w:r w:rsidR="00F548B0" w:rsidRPr="00295637">
        <w:rPr>
          <w:rFonts w:ascii="Times New Roman" w:hAnsi="Times New Roman"/>
          <w:szCs w:val="24"/>
        </w:rPr>
        <w:t xml:space="preserve"> </w:t>
      </w:r>
      <w:r>
        <w:rPr>
          <w:rFonts w:ascii="Times New Roman" w:hAnsi="Times New Roman"/>
          <w:szCs w:val="24"/>
        </w:rPr>
        <w:t>донесена</w:t>
      </w:r>
      <w:r w:rsidR="00F24A6B">
        <w:rPr>
          <w:rFonts w:ascii="Times New Roman" w:hAnsi="Times New Roman"/>
          <w:szCs w:val="24"/>
        </w:rPr>
        <w:t xml:space="preserve"> </w:t>
      </w:r>
      <w:r>
        <w:rPr>
          <w:rFonts w:ascii="Times New Roman" w:hAnsi="Times New Roman"/>
          <w:szCs w:val="24"/>
        </w:rPr>
        <w:t>је</w:t>
      </w:r>
      <w:r w:rsidR="00E9390E" w:rsidRPr="00295637">
        <w:rPr>
          <w:rFonts w:ascii="Times New Roman" w:hAnsi="Times New Roman"/>
          <w:szCs w:val="24"/>
        </w:rPr>
        <w:t xml:space="preserve"> </w:t>
      </w:r>
      <w:r>
        <w:rPr>
          <w:rFonts w:ascii="Times New Roman" w:hAnsi="Times New Roman"/>
          <w:szCs w:val="24"/>
        </w:rPr>
        <w:t>Одлука</w:t>
      </w:r>
      <w:r w:rsidR="00E9390E" w:rsidRPr="00295637">
        <w:rPr>
          <w:rFonts w:ascii="Times New Roman" w:hAnsi="Times New Roman"/>
          <w:szCs w:val="24"/>
        </w:rPr>
        <w:t xml:space="preserve"> </w:t>
      </w:r>
      <w:r>
        <w:rPr>
          <w:rFonts w:ascii="Times New Roman" w:hAnsi="Times New Roman"/>
          <w:szCs w:val="24"/>
        </w:rPr>
        <w:t>о</w:t>
      </w:r>
      <w:r w:rsidR="00E9390E" w:rsidRPr="00295637">
        <w:rPr>
          <w:rFonts w:ascii="Times New Roman" w:hAnsi="Times New Roman"/>
          <w:szCs w:val="24"/>
        </w:rPr>
        <w:t xml:space="preserve"> </w:t>
      </w:r>
      <w:r>
        <w:rPr>
          <w:rFonts w:ascii="Times New Roman" w:hAnsi="Times New Roman"/>
          <w:szCs w:val="24"/>
        </w:rPr>
        <w:t>именовању</w:t>
      </w:r>
      <w:r w:rsidR="00E9390E" w:rsidRPr="00295637">
        <w:rPr>
          <w:rFonts w:ascii="Times New Roman" w:hAnsi="Times New Roman"/>
          <w:szCs w:val="24"/>
        </w:rPr>
        <w:t xml:space="preserve"> </w:t>
      </w:r>
      <w:r>
        <w:rPr>
          <w:rFonts w:ascii="Times New Roman" w:hAnsi="Times New Roman"/>
          <w:szCs w:val="24"/>
        </w:rPr>
        <w:t>савјетника</w:t>
      </w:r>
      <w:r w:rsidR="00E9390E" w:rsidRPr="00295637">
        <w:rPr>
          <w:rFonts w:ascii="Times New Roman" w:hAnsi="Times New Roman"/>
          <w:szCs w:val="24"/>
        </w:rPr>
        <w:t xml:space="preserve"> </w:t>
      </w:r>
      <w:r>
        <w:rPr>
          <w:rFonts w:ascii="Times New Roman" w:hAnsi="Times New Roman"/>
          <w:szCs w:val="24"/>
        </w:rPr>
        <w:t>за</w:t>
      </w:r>
      <w:r w:rsidR="00E9390E" w:rsidRPr="00295637">
        <w:rPr>
          <w:rFonts w:ascii="Times New Roman" w:hAnsi="Times New Roman"/>
          <w:szCs w:val="24"/>
        </w:rPr>
        <w:t xml:space="preserve"> </w:t>
      </w:r>
      <w:r>
        <w:rPr>
          <w:rFonts w:ascii="Times New Roman" w:hAnsi="Times New Roman"/>
          <w:szCs w:val="24"/>
        </w:rPr>
        <w:t>превенцију</w:t>
      </w:r>
      <w:r w:rsidR="00E9390E" w:rsidRPr="00295637">
        <w:rPr>
          <w:rFonts w:ascii="Times New Roman" w:hAnsi="Times New Roman"/>
          <w:szCs w:val="24"/>
        </w:rPr>
        <w:t xml:space="preserve"> </w:t>
      </w:r>
      <w:r>
        <w:rPr>
          <w:rFonts w:ascii="Times New Roman" w:hAnsi="Times New Roman"/>
          <w:szCs w:val="24"/>
        </w:rPr>
        <w:t>сексуалног</w:t>
      </w:r>
      <w:r w:rsidR="00E9390E" w:rsidRPr="00295637">
        <w:rPr>
          <w:rFonts w:ascii="Times New Roman" w:hAnsi="Times New Roman"/>
          <w:szCs w:val="24"/>
        </w:rPr>
        <w:t xml:space="preserve"> </w:t>
      </w:r>
      <w:r>
        <w:rPr>
          <w:rFonts w:ascii="Times New Roman" w:hAnsi="Times New Roman"/>
          <w:szCs w:val="24"/>
        </w:rPr>
        <w:t>узнемиравања</w:t>
      </w:r>
      <w:r w:rsidR="00E9390E" w:rsidRPr="00295637">
        <w:rPr>
          <w:rFonts w:ascii="Times New Roman" w:hAnsi="Times New Roman"/>
          <w:szCs w:val="24"/>
        </w:rPr>
        <w:t xml:space="preserve"> </w:t>
      </w:r>
      <w:r>
        <w:rPr>
          <w:rFonts w:ascii="Times New Roman" w:hAnsi="Times New Roman"/>
          <w:szCs w:val="24"/>
        </w:rPr>
        <w:t>и</w:t>
      </w:r>
      <w:r w:rsidR="00E9390E" w:rsidRPr="00295637">
        <w:rPr>
          <w:rFonts w:ascii="Times New Roman" w:hAnsi="Times New Roman"/>
          <w:szCs w:val="24"/>
        </w:rPr>
        <w:t xml:space="preserve"> </w:t>
      </w:r>
      <w:r>
        <w:rPr>
          <w:rFonts w:ascii="Times New Roman" w:hAnsi="Times New Roman"/>
          <w:szCs w:val="24"/>
        </w:rPr>
        <w:t>узнемиравања</w:t>
      </w:r>
      <w:r w:rsidR="00E9390E" w:rsidRPr="00295637">
        <w:rPr>
          <w:rFonts w:ascii="Times New Roman" w:hAnsi="Times New Roman"/>
          <w:szCs w:val="24"/>
        </w:rPr>
        <w:t xml:space="preserve"> </w:t>
      </w:r>
      <w:r>
        <w:rPr>
          <w:rFonts w:ascii="Times New Roman" w:hAnsi="Times New Roman"/>
          <w:szCs w:val="24"/>
        </w:rPr>
        <w:t>на</w:t>
      </w:r>
      <w:r w:rsidR="00E9390E" w:rsidRPr="00295637">
        <w:rPr>
          <w:rFonts w:ascii="Times New Roman" w:hAnsi="Times New Roman"/>
          <w:szCs w:val="24"/>
        </w:rPr>
        <w:t xml:space="preserve"> </w:t>
      </w:r>
      <w:r>
        <w:rPr>
          <w:rFonts w:ascii="Times New Roman" w:hAnsi="Times New Roman"/>
          <w:szCs w:val="24"/>
        </w:rPr>
        <w:t>основу</w:t>
      </w:r>
      <w:r w:rsidR="00E9390E" w:rsidRPr="00295637">
        <w:rPr>
          <w:rFonts w:ascii="Times New Roman" w:hAnsi="Times New Roman"/>
          <w:szCs w:val="24"/>
        </w:rPr>
        <w:t xml:space="preserve"> </w:t>
      </w:r>
      <w:r>
        <w:rPr>
          <w:rFonts w:ascii="Times New Roman" w:hAnsi="Times New Roman"/>
          <w:szCs w:val="24"/>
        </w:rPr>
        <w:t>пола</w:t>
      </w:r>
      <w:r w:rsidR="00E9390E" w:rsidRPr="00295637">
        <w:rPr>
          <w:rFonts w:ascii="Times New Roman" w:hAnsi="Times New Roman"/>
          <w:szCs w:val="24"/>
        </w:rPr>
        <w:t xml:space="preserve"> </w:t>
      </w:r>
      <w:r>
        <w:rPr>
          <w:rFonts w:ascii="Times New Roman" w:hAnsi="Times New Roman"/>
          <w:szCs w:val="24"/>
        </w:rPr>
        <w:t>у</w:t>
      </w:r>
      <w:r w:rsidR="00E9390E" w:rsidRPr="00295637">
        <w:rPr>
          <w:rFonts w:ascii="Times New Roman" w:hAnsi="Times New Roman"/>
          <w:szCs w:val="24"/>
        </w:rPr>
        <w:t xml:space="preserve"> </w:t>
      </w:r>
      <w:r>
        <w:rPr>
          <w:rFonts w:ascii="Times New Roman" w:hAnsi="Times New Roman"/>
          <w:szCs w:val="24"/>
        </w:rPr>
        <w:t>Државној</w:t>
      </w:r>
      <w:r w:rsidR="00E9390E" w:rsidRPr="00295637">
        <w:rPr>
          <w:rFonts w:ascii="Times New Roman" w:hAnsi="Times New Roman"/>
          <w:szCs w:val="24"/>
        </w:rPr>
        <w:t xml:space="preserve"> </w:t>
      </w:r>
      <w:r>
        <w:rPr>
          <w:rFonts w:ascii="Times New Roman" w:hAnsi="Times New Roman"/>
          <w:szCs w:val="24"/>
        </w:rPr>
        <w:t>агенцији</w:t>
      </w:r>
      <w:r w:rsidR="00E9390E" w:rsidRPr="00295637">
        <w:rPr>
          <w:rFonts w:ascii="Times New Roman" w:hAnsi="Times New Roman"/>
          <w:szCs w:val="24"/>
        </w:rPr>
        <w:t xml:space="preserve"> </w:t>
      </w:r>
      <w:r>
        <w:rPr>
          <w:rFonts w:ascii="Times New Roman" w:hAnsi="Times New Roman"/>
          <w:szCs w:val="24"/>
        </w:rPr>
        <w:t>за</w:t>
      </w:r>
      <w:r w:rsidR="00E9390E" w:rsidRPr="00295637">
        <w:rPr>
          <w:rFonts w:ascii="Times New Roman" w:hAnsi="Times New Roman"/>
          <w:szCs w:val="24"/>
        </w:rPr>
        <w:t xml:space="preserve"> </w:t>
      </w:r>
      <w:r>
        <w:rPr>
          <w:rFonts w:ascii="Times New Roman" w:hAnsi="Times New Roman"/>
          <w:szCs w:val="24"/>
        </w:rPr>
        <w:t>истраге</w:t>
      </w:r>
      <w:r w:rsidR="00E9390E" w:rsidRPr="00295637">
        <w:rPr>
          <w:rFonts w:ascii="Times New Roman" w:hAnsi="Times New Roman"/>
          <w:szCs w:val="24"/>
        </w:rPr>
        <w:t xml:space="preserve"> </w:t>
      </w:r>
      <w:r>
        <w:rPr>
          <w:rFonts w:ascii="Times New Roman" w:hAnsi="Times New Roman"/>
          <w:szCs w:val="24"/>
        </w:rPr>
        <w:t>и</w:t>
      </w:r>
      <w:r w:rsidR="00E9390E" w:rsidRPr="00295637">
        <w:rPr>
          <w:rFonts w:ascii="Times New Roman" w:hAnsi="Times New Roman"/>
          <w:szCs w:val="24"/>
        </w:rPr>
        <w:t xml:space="preserve"> </w:t>
      </w:r>
      <w:r>
        <w:rPr>
          <w:rFonts w:ascii="Times New Roman" w:hAnsi="Times New Roman"/>
          <w:szCs w:val="24"/>
        </w:rPr>
        <w:t>заштиту</w:t>
      </w:r>
      <w:r w:rsidR="00F548B0" w:rsidRPr="00295637">
        <w:rPr>
          <w:rFonts w:ascii="Times New Roman" w:hAnsi="Times New Roman"/>
          <w:szCs w:val="24"/>
        </w:rPr>
        <w:t>.</w:t>
      </w:r>
    </w:p>
    <w:p w:rsidR="00B57061" w:rsidRPr="00295637" w:rsidRDefault="00B57061" w:rsidP="0086268D">
      <w:pPr>
        <w:jc w:val="both"/>
        <w:rPr>
          <w:rFonts w:ascii="Times New Roman" w:hAnsi="Times New Roman"/>
          <w:szCs w:val="24"/>
        </w:rPr>
      </w:pPr>
    </w:p>
    <w:p w:rsidR="00304BE4" w:rsidRPr="00295637" w:rsidRDefault="00C6214E" w:rsidP="0086268D">
      <w:pPr>
        <w:contextualSpacing/>
        <w:jc w:val="both"/>
        <w:rPr>
          <w:rFonts w:ascii="Times New Roman" w:hAnsi="Times New Roman"/>
          <w:noProof/>
          <w:szCs w:val="24"/>
        </w:rPr>
      </w:pPr>
      <w:r>
        <w:rPr>
          <w:rFonts w:ascii="Times New Roman" w:hAnsi="Times New Roman"/>
          <w:noProof/>
          <w:szCs w:val="24"/>
        </w:rPr>
        <w:t>У</w:t>
      </w:r>
      <w:r w:rsidR="00304BE4" w:rsidRPr="00295637">
        <w:rPr>
          <w:rFonts w:ascii="Times New Roman" w:hAnsi="Times New Roman"/>
          <w:noProof/>
          <w:szCs w:val="24"/>
        </w:rPr>
        <w:t xml:space="preserve"> </w:t>
      </w:r>
      <w:r>
        <w:rPr>
          <w:rFonts w:ascii="Times New Roman" w:hAnsi="Times New Roman"/>
          <w:noProof/>
          <w:szCs w:val="24"/>
        </w:rPr>
        <w:t>извјештајном</w:t>
      </w:r>
      <w:r w:rsidR="00304BE4" w:rsidRPr="00295637">
        <w:rPr>
          <w:rFonts w:ascii="Times New Roman" w:hAnsi="Times New Roman"/>
          <w:noProof/>
          <w:szCs w:val="24"/>
        </w:rPr>
        <w:t xml:space="preserve"> </w:t>
      </w:r>
      <w:r>
        <w:rPr>
          <w:rFonts w:ascii="Times New Roman" w:hAnsi="Times New Roman"/>
          <w:noProof/>
          <w:szCs w:val="24"/>
        </w:rPr>
        <w:t>периоду</w:t>
      </w:r>
      <w:r w:rsidR="00304BE4" w:rsidRPr="00295637">
        <w:rPr>
          <w:rFonts w:ascii="Times New Roman" w:hAnsi="Times New Roman"/>
          <w:noProof/>
          <w:szCs w:val="24"/>
        </w:rPr>
        <w:t xml:space="preserve">, </w:t>
      </w:r>
      <w:r>
        <w:rPr>
          <w:rFonts w:ascii="Times New Roman" w:hAnsi="Times New Roman"/>
          <w:noProof/>
          <w:szCs w:val="24"/>
        </w:rPr>
        <w:t>РАК</w:t>
      </w:r>
      <w:r w:rsidR="009E54A2" w:rsidRPr="00295637">
        <w:rPr>
          <w:rFonts w:ascii="Times New Roman" w:hAnsi="Times New Roman"/>
          <w:noProof/>
          <w:szCs w:val="24"/>
        </w:rPr>
        <w:t xml:space="preserve"> </w:t>
      </w:r>
      <w:r>
        <w:rPr>
          <w:rFonts w:ascii="Times New Roman" w:hAnsi="Times New Roman"/>
          <w:noProof/>
          <w:szCs w:val="24"/>
        </w:rPr>
        <w:t>БиХ</w:t>
      </w:r>
      <w:r w:rsidR="009E54A2" w:rsidRPr="00295637">
        <w:rPr>
          <w:rFonts w:ascii="Times New Roman" w:hAnsi="Times New Roman"/>
          <w:noProof/>
          <w:szCs w:val="24"/>
        </w:rPr>
        <w:t xml:space="preserve"> </w:t>
      </w:r>
      <w:r>
        <w:rPr>
          <w:rFonts w:ascii="Times New Roman" w:hAnsi="Times New Roman"/>
          <w:noProof/>
          <w:szCs w:val="24"/>
        </w:rPr>
        <w:t>је</w:t>
      </w:r>
      <w:r w:rsidR="00304BE4" w:rsidRPr="00295637">
        <w:rPr>
          <w:rFonts w:ascii="Times New Roman" w:hAnsi="Times New Roman"/>
          <w:noProof/>
          <w:szCs w:val="24"/>
        </w:rPr>
        <w:t xml:space="preserve"> </w:t>
      </w:r>
      <w:r>
        <w:rPr>
          <w:rFonts w:ascii="Times New Roman" w:hAnsi="Times New Roman"/>
          <w:noProof/>
          <w:szCs w:val="24"/>
        </w:rPr>
        <w:t>финализ</w:t>
      </w:r>
      <w:r w:rsidR="00446FC2">
        <w:rPr>
          <w:rFonts w:ascii="Times New Roman" w:hAnsi="Times New Roman"/>
          <w:noProof/>
          <w:szCs w:val="24"/>
          <w:lang w:val="sr-Cyrl-BA"/>
        </w:rPr>
        <w:t>овала</w:t>
      </w:r>
      <w:r w:rsidR="00304BE4" w:rsidRPr="00295637">
        <w:rPr>
          <w:rFonts w:ascii="Times New Roman" w:hAnsi="Times New Roman"/>
          <w:noProof/>
          <w:szCs w:val="24"/>
        </w:rPr>
        <w:t xml:space="preserve"> </w:t>
      </w:r>
      <w:r>
        <w:rPr>
          <w:rFonts w:ascii="Times New Roman" w:hAnsi="Times New Roman"/>
          <w:noProof/>
          <w:szCs w:val="24"/>
        </w:rPr>
        <w:t>процес</w:t>
      </w:r>
      <w:r w:rsidR="00304BE4" w:rsidRPr="00295637">
        <w:rPr>
          <w:rFonts w:ascii="Times New Roman" w:hAnsi="Times New Roman"/>
          <w:noProof/>
          <w:szCs w:val="24"/>
        </w:rPr>
        <w:t xml:space="preserve"> </w:t>
      </w:r>
      <w:r>
        <w:rPr>
          <w:rFonts w:ascii="Times New Roman" w:hAnsi="Times New Roman"/>
          <w:noProof/>
          <w:szCs w:val="24"/>
        </w:rPr>
        <w:t>хармонизације</w:t>
      </w:r>
      <w:r w:rsidR="00F24A6B">
        <w:rPr>
          <w:rFonts w:ascii="Times New Roman" w:hAnsi="Times New Roman"/>
          <w:noProof/>
          <w:szCs w:val="24"/>
        </w:rPr>
        <w:t xml:space="preserve"> </w:t>
      </w:r>
      <w:r>
        <w:rPr>
          <w:rFonts w:ascii="Times New Roman" w:hAnsi="Times New Roman"/>
          <w:noProof/>
          <w:szCs w:val="24"/>
        </w:rPr>
        <w:t>домаћег</w:t>
      </w:r>
      <w:r w:rsidR="00F24A6B">
        <w:rPr>
          <w:rFonts w:ascii="Times New Roman" w:hAnsi="Times New Roman"/>
          <w:noProof/>
          <w:szCs w:val="24"/>
        </w:rPr>
        <w:t xml:space="preserve"> </w:t>
      </w:r>
      <w:r>
        <w:rPr>
          <w:rFonts w:ascii="Times New Roman" w:hAnsi="Times New Roman"/>
          <w:noProof/>
          <w:szCs w:val="24"/>
        </w:rPr>
        <w:t>регулаторног</w:t>
      </w:r>
      <w:r w:rsidR="00F24A6B">
        <w:rPr>
          <w:rFonts w:ascii="Times New Roman" w:hAnsi="Times New Roman"/>
          <w:noProof/>
          <w:szCs w:val="24"/>
        </w:rPr>
        <w:t xml:space="preserve"> </w:t>
      </w:r>
      <w:r>
        <w:rPr>
          <w:rFonts w:ascii="Times New Roman" w:hAnsi="Times New Roman"/>
          <w:noProof/>
          <w:szCs w:val="24"/>
        </w:rPr>
        <w:t>оквира</w:t>
      </w:r>
      <w:r w:rsidR="00F24A6B">
        <w:rPr>
          <w:rFonts w:ascii="Times New Roman" w:hAnsi="Times New Roman"/>
          <w:noProof/>
          <w:szCs w:val="24"/>
        </w:rPr>
        <w:t xml:space="preserve"> </w:t>
      </w:r>
      <w:r>
        <w:rPr>
          <w:rFonts w:ascii="Times New Roman" w:hAnsi="Times New Roman"/>
          <w:noProof/>
          <w:szCs w:val="24"/>
        </w:rPr>
        <w:t>са</w:t>
      </w:r>
      <w:r w:rsidR="00304BE4" w:rsidRPr="00295637">
        <w:rPr>
          <w:rFonts w:ascii="Times New Roman" w:hAnsi="Times New Roman"/>
          <w:noProof/>
          <w:szCs w:val="24"/>
        </w:rPr>
        <w:t xml:space="preserve"> </w:t>
      </w:r>
      <w:r>
        <w:rPr>
          <w:rFonts w:ascii="Times New Roman" w:hAnsi="Times New Roman"/>
          <w:noProof/>
          <w:szCs w:val="24"/>
        </w:rPr>
        <w:t>ревидираном</w:t>
      </w:r>
      <w:r w:rsidR="00304BE4" w:rsidRPr="00295637">
        <w:rPr>
          <w:rFonts w:ascii="Times New Roman" w:hAnsi="Times New Roman"/>
          <w:noProof/>
          <w:szCs w:val="24"/>
        </w:rPr>
        <w:t xml:space="preserve"> </w:t>
      </w:r>
      <w:r>
        <w:rPr>
          <w:rFonts w:ascii="Times New Roman" w:hAnsi="Times New Roman"/>
          <w:noProof/>
          <w:szCs w:val="24"/>
        </w:rPr>
        <w:t>Директивом</w:t>
      </w:r>
      <w:r w:rsidR="00304BE4" w:rsidRPr="00295637">
        <w:rPr>
          <w:rFonts w:ascii="Times New Roman" w:hAnsi="Times New Roman"/>
          <w:noProof/>
          <w:szCs w:val="24"/>
        </w:rPr>
        <w:t xml:space="preserve"> </w:t>
      </w:r>
      <w:r w:rsidR="00304BE4" w:rsidRPr="00295637">
        <w:rPr>
          <w:rFonts w:ascii="Times New Roman" w:hAnsi="Times New Roman"/>
          <w:noProof/>
          <w:szCs w:val="24"/>
          <w:shd w:val="clear" w:color="auto" w:fill="FFFFFF"/>
        </w:rPr>
        <w:t>2018</w:t>
      </w:r>
      <w:r w:rsidR="00304BE4" w:rsidRPr="00295637">
        <w:rPr>
          <w:rFonts w:ascii="Times New Roman" w:hAnsi="Times New Roman"/>
          <w:b/>
          <w:bCs/>
          <w:noProof/>
          <w:szCs w:val="24"/>
          <w:shd w:val="clear" w:color="auto" w:fill="FFFFFF"/>
        </w:rPr>
        <w:t>/</w:t>
      </w:r>
      <w:r w:rsidR="00304BE4" w:rsidRPr="00295637">
        <w:rPr>
          <w:rFonts w:ascii="Times New Roman" w:hAnsi="Times New Roman"/>
          <w:noProof/>
          <w:szCs w:val="24"/>
          <w:shd w:val="clear" w:color="auto" w:fill="FFFFFF"/>
        </w:rPr>
        <w:t xml:space="preserve">1808 </w:t>
      </w:r>
      <w:r>
        <w:rPr>
          <w:rFonts w:ascii="Times New Roman" w:hAnsi="Times New Roman"/>
          <w:noProof/>
          <w:szCs w:val="24"/>
        </w:rPr>
        <w:t>ЕУ</w:t>
      </w:r>
      <w:r w:rsidR="00304BE4" w:rsidRPr="00295637">
        <w:rPr>
          <w:rFonts w:ascii="Times New Roman" w:hAnsi="Times New Roman"/>
          <w:noProof/>
          <w:szCs w:val="24"/>
        </w:rPr>
        <w:t xml:space="preserve"> </w:t>
      </w:r>
      <w:r>
        <w:rPr>
          <w:rFonts w:ascii="Times New Roman" w:hAnsi="Times New Roman"/>
          <w:noProof/>
          <w:szCs w:val="24"/>
        </w:rPr>
        <w:t>о</w:t>
      </w:r>
      <w:r w:rsidR="00304BE4" w:rsidRPr="00295637">
        <w:rPr>
          <w:rFonts w:ascii="Times New Roman" w:hAnsi="Times New Roman"/>
          <w:noProof/>
          <w:szCs w:val="24"/>
        </w:rPr>
        <w:t xml:space="preserve"> </w:t>
      </w:r>
      <w:r>
        <w:rPr>
          <w:rFonts w:ascii="Times New Roman" w:hAnsi="Times New Roman"/>
          <w:noProof/>
          <w:szCs w:val="24"/>
        </w:rPr>
        <w:t>аудиовизуелним</w:t>
      </w:r>
      <w:r w:rsidR="00304BE4" w:rsidRPr="00295637">
        <w:rPr>
          <w:rFonts w:ascii="Times New Roman" w:hAnsi="Times New Roman"/>
          <w:noProof/>
          <w:szCs w:val="24"/>
        </w:rPr>
        <w:t xml:space="preserve"> </w:t>
      </w:r>
      <w:r>
        <w:rPr>
          <w:rFonts w:ascii="Times New Roman" w:hAnsi="Times New Roman"/>
          <w:noProof/>
          <w:szCs w:val="24"/>
        </w:rPr>
        <w:t>медијским</w:t>
      </w:r>
      <w:r w:rsidR="00304BE4" w:rsidRPr="00295637">
        <w:rPr>
          <w:rFonts w:ascii="Times New Roman" w:hAnsi="Times New Roman"/>
          <w:noProof/>
          <w:szCs w:val="24"/>
        </w:rPr>
        <w:t xml:space="preserve"> </w:t>
      </w:r>
      <w:r>
        <w:rPr>
          <w:rFonts w:ascii="Times New Roman" w:hAnsi="Times New Roman"/>
          <w:noProof/>
          <w:szCs w:val="24"/>
        </w:rPr>
        <w:t>услугама</w:t>
      </w:r>
      <w:r w:rsidR="00304BE4" w:rsidRPr="00295637">
        <w:rPr>
          <w:rFonts w:ascii="Times New Roman" w:hAnsi="Times New Roman"/>
          <w:noProof/>
          <w:szCs w:val="24"/>
        </w:rPr>
        <w:t xml:space="preserve">, </w:t>
      </w:r>
      <w:r w:rsidRPr="00915C04">
        <w:rPr>
          <w:rFonts w:ascii="Times New Roman" w:hAnsi="Times New Roman"/>
          <w:noProof/>
          <w:szCs w:val="24"/>
        </w:rPr>
        <w:t>а</w:t>
      </w:r>
      <w:r w:rsidR="00304BE4" w:rsidRPr="00915C04">
        <w:rPr>
          <w:rFonts w:ascii="Times New Roman" w:hAnsi="Times New Roman"/>
          <w:noProof/>
          <w:szCs w:val="24"/>
        </w:rPr>
        <w:t xml:space="preserve"> </w:t>
      </w:r>
      <w:r w:rsidRPr="00915C04">
        <w:rPr>
          <w:rFonts w:ascii="Times New Roman" w:hAnsi="Times New Roman"/>
          <w:noProof/>
          <w:szCs w:val="24"/>
        </w:rPr>
        <w:t>у</w:t>
      </w:r>
      <w:r w:rsidR="000F6D36" w:rsidRPr="00915C04">
        <w:rPr>
          <w:rFonts w:ascii="Times New Roman" w:hAnsi="Times New Roman"/>
          <w:noProof/>
          <w:szCs w:val="24"/>
        </w:rPr>
        <w:t xml:space="preserve"> </w:t>
      </w:r>
      <w:r w:rsidRPr="00915C04">
        <w:rPr>
          <w:rFonts w:ascii="Times New Roman" w:hAnsi="Times New Roman"/>
          <w:noProof/>
          <w:szCs w:val="24"/>
        </w:rPr>
        <w:t>складу</w:t>
      </w:r>
      <w:r w:rsidR="000F6D36" w:rsidRPr="00915C04">
        <w:rPr>
          <w:rFonts w:ascii="Times New Roman" w:hAnsi="Times New Roman"/>
          <w:noProof/>
          <w:szCs w:val="24"/>
        </w:rPr>
        <w:t xml:space="preserve"> </w:t>
      </w:r>
      <w:r w:rsidRPr="00915C04">
        <w:rPr>
          <w:rFonts w:ascii="Times New Roman" w:hAnsi="Times New Roman"/>
          <w:noProof/>
          <w:szCs w:val="24"/>
        </w:rPr>
        <w:t>са</w:t>
      </w:r>
      <w:r w:rsidR="00F24A6B" w:rsidRPr="00915C04">
        <w:rPr>
          <w:rFonts w:ascii="Times New Roman" w:hAnsi="Times New Roman"/>
          <w:noProof/>
          <w:szCs w:val="24"/>
        </w:rPr>
        <w:t xml:space="preserve"> </w:t>
      </w:r>
      <w:r w:rsidRPr="00915C04">
        <w:rPr>
          <w:rFonts w:ascii="Times New Roman" w:hAnsi="Times New Roman"/>
          <w:noProof/>
          <w:szCs w:val="24"/>
        </w:rPr>
        <w:t>об</w:t>
      </w:r>
      <w:r w:rsidR="00446FC2" w:rsidRPr="00915C04">
        <w:rPr>
          <w:rFonts w:ascii="Times New Roman" w:hAnsi="Times New Roman"/>
          <w:noProof/>
          <w:szCs w:val="24"/>
          <w:lang w:val="sr-Cyrl-BA"/>
        </w:rPr>
        <w:t>а</w:t>
      </w:r>
      <w:r w:rsidRPr="00915C04">
        <w:rPr>
          <w:rFonts w:ascii="Times New Roman" w:hAnsi="Times New Roman"/>
          <w:noProof/>
          <w:szCs w:val="24"/>
        </w:rPr>
        <w:t>везама</w:t>
      </w:r>
      <w:r w:rsidR="00304BE4" w:rsidRPr="00915C04">
        <w:rPr>
          <w:rFonts w:ascii="Times New Roman" w:hAnsi="Times New Roman"/>
          <w:noProof/>
          <w:szCs w:val="24"/>
        </w:rPr>
        <w:t xml:space="preserve"> </w:t>
      </w:r>
      <w:r w:rsidRPr="00915C04">
        <w:rPr>
          <w:rFonts w:ascii="Times New Roman" w:hAnsi="Times New Roman"/>
          <w:noProof/>
          <w:szCs w:val="24"/>
        </w:rPr>
        <w:t>БиХ</w:t>
      </w:r>
      <w:r w:rsidR="00304BE4" w:rsidRPr="00915C04">
        <w:rPr>
          <w:rFonts w:ascii="Times New Roman" w:hAnsi="Times New Roman"/>
          <w:noProof/>
          <w:szCs w:val="24"/>
        </w:rPr>
        <w:t xml:space="preserve"> </w:t>
      </w:r>
      <w:r w:rsidRPr="00915C04">
        <w:rPr>
          <w:rFonts w:ascii="Times New Roman" w:hAnsi="Times New Roman"/>
          <w:noProof/>
          <w:szCs w:val="24"/>
        </w:rPr>
        <w:t>које</w:t>
      </w:r>
      <w:r w:rsidR="00304BE4" w:rsidRPr="00915C04">
        <w:rPr>
          <w:rFonts w:ascii="Times New Roman" w:hAnsi="Times New Roman"/>
          <w:noProof/>
          <w:szCs w:val="24"/>
        </w:rPr>
        <w:t xml:space="preserve"> </w:t>
      </w:r>
      <w:r w:rsidRPr="00915C04">
        <w:rPr>
          <w:rFonts w:ascii="Times New Roman" w:hAnsi="Times New Roman"/>
          <w:noProof/>
          <w:szCs w:val="24"/>
        </w:rPr>
        <w:t>проистичу</w:t>
      </w:r>
      <w:r w:rsidR="00304BE4" w:rsidRPr="00915C04">
        <w:rPr>
          <w:rFonts w:ascii="Times New Roman" w:hAnsi="Times New Roman"/>
          <w:noProof/>
          <w:szCs w:val="24"/>
        </w:rPr>
        <w:t xml:space="preserve"> </w:t>
      </w:r>
      <w:r w:rsidRPr="00915C04">
        <w:rPr>
          <w:rFonts w:ascii="Times New Roman" w:hAnsi="Times New Roman"/>
          <w:noProof/>
          <w:szCs w:val="24"/>
        </w:rPr>
        <w:t>из</w:t>
      </w:r>
      <w:r w:rsidR="00304BE4" w:rsidRPr="00915C04">
        <w:rPr>
          <w:rFonts w:ascii="Times New Roman" w:hAnsi="Times New Roman"/>
          <w:noProof/>
          <w:szCs w:val="24"/>
        </w:rPr>
        <w:t xml:space="preserve"> </w:t>
      </w:r>
      <w:r w:rsidRPr="00915C04">
        <w:rPr>
          <w:rFonts w:ascii="Times New Roman" w:hAnsi="Times New Roman"/>
          <w:noProof/>
          <w:szCs w:val="24"/>
        </w:rPr>
        <w:t>Споразума</w:t>
      </w:r>
      <w:r w:rsidR="00304BE4" w:rsidRPr="00915C04">
        <w:rPr>
          <w:rFonts w:ascii="Times New Roman" w:hAnsi="Times New Roman"/>
          <w:noProof/>
          <w:szCs w:val="24"/>
        </w:rPr>
        <w:t xml:space="preserve"> </w:t>
      </w:r>
      <w:r w:rsidRPr="00915C04">
        <w:rPr>
          <w:rFonts w:ascii="Times New Roman" w:hAnsi="Times New Roman"/>
          <w:noProof/>
          <w:szCs w:val="24"/>
        </w:rPr>
        <w:t>о</w:t>
      </w:r>
      <w:r w:rsidR="00304BE4" w:rsidRPr="00915C04">
        <w:rPr>
          <w:rFonts w:ascii="Times New Roman" w:hAnsi="Times New Roman"/>
          <w:noProof/>
          <w:szCs w:val="24"/>
        </w:rPr>
        <w:t xml:space="preserve"> </w:t>
      </w:r>
      <w:r w:rsidRPr="00915C04">
        <w:rPr>
          <w:rFonts w:ascii="Times New Roman" w:hAnsi="Times New Roman"/>
          <w:noProof/>
          <w:szCs w:val="24"/>
        </w:rPr>
        <w:t>стабилизацији</w:t>
      </w:r>
      <w:r w:rsidR="00304BE4" w:rsidRPr="00915C04">
        <w:rPr>
          <w:rFonts w:ascii="Times New Roman" w:hAnsi="Times New Roman"/>
          <w:noProof/>
          <w:szCs w:val="24"/>
        </w:rPr>
        <w:t xml:space="preserve"> </w:t>
      </w:r>
      <w:r w:rsidRPr="00915C04">
        <w:rPr>
          <w:rFonts w:ascii="Times New Roman" w:hAnsi="Times New Roman"/>
          <w:noProof/>
          <w:szCs w:val="24"/>
        </w:rPr>
        <w:t>и</w:t>
      </w:r>
      <w:r w:rsidR="00304BE4" w:rsidRPr="00915C04">
        <w:rPr>
          <w:rFonts w:ascii="Times New Roman" w:hAnsi="Times New Roman"/>
          <w:noProof/>
          <w:szCs w:val="24"/>
        </w:rPr>
        <w:t xml:space="preserve"> </w:t>
      </w:r>
      <w:r w:rsidRPr="00915C04">
        <w:rPr>
          <w:rFonts w:ascii="Times New Roman" w:hAnsi="Times New Roman"/>
          <w:noProof/>
          <w:szCs w:val="24"/>
        </w:rPr>
        <w:t>придруживању</w:t>
      </w:r>
      <w:r w:rsidR="00F24A6B" w:rsidRPr="00915C04">
        <w:rPr>
          <w:rFonts w:ascii="Times New Roman" w:hAnsi="Times New Roman"/>
          <w:noProof/>
          <w:szCs w:val="24"/>
        </w:rPr>
        <w:t xml:space="preserve">. </w:t>
      </w:r>
      <w:r w:rsidRPr="00915C04">
        <w:rPr>
          <w:rFonts w:ascii="Times New Roman" w:hAnsi="Times New Roman"/>
          <w:noProof/>
          <w:szCs w:val="24"/>
        </w:rPr>
        <w:t>РАК</w:t>
      </w:r>
      <w:r w:rsidR="00F24A6B" w:rsidRPr="00915C04">
        <w:rPr>
          <w:rFonts w:ascii="Times New Roman" w:hAnsi="Times New Roman"/>
          <w:noProof/>
          <w:szCs w:val="24"/>
        </w:rPr>
        <w:t xml:space="preserve"> </w:t>
      </w:r>
      <w:r w:rsidRPr="00915C04">
        <w:rPr>
          <w:rFonts w:ascii="Times New Roman" w:hAnsi="Times New Roman"/>
          <w:noProof/>
          <w:szCs w:val="24"/>
        </w:rPr>
        <w:t>је</w:t>
      </w:r>
      <w:r w:rsidR="00F24A6B" w:rsidRPr="00915C04">
        <w:rPr>
          <w:rFonts w:ascii="Times New Roman" w:hAnsi="Times New Roman"/>
          <w:noProof/>
          <w:szCs w:val="24"/>
        </w:rPr>
        <w:t xml:space="preserve"> </w:t>
      </w:r>
      <w:r w:rsidRPr="00915C04">
        <w:rPr>
          <w:rFonts w:ascii="Times New Roman" w:hAnsi="Times New Roman"/>
          <w:noProof/>
          <w:szCs w:val="24"/>
        </w:rPr>
        <w:t>одржала</w:t>
      </w:r>
      <w:r w:rsidR="00F24A6B" w:rsidRPr="00915C04">
        <w:rPr>
          <w:rFonts w:ascii="Times New Roman" w:hAnsi="Times New Roman"/>
          <w:noProof/>
          <w:szCs w:val="24"/>
        </w:rPr>
        <w:t xml:space="preserve"> </w:t>
      </w:r>
      <w:r w:rsidRPr="00915C04">
        <w:rPr>
          <w:rFonts w:ascii="Times New Roman" w:hAnsi="Times New Roman"/>
          <w:noProof/>
          <w:szCs w:val="24"/>
        </w:rPr>
        <w:t>састанке</w:t>
      </w:r>
      <w:r w:rsidR="00F24A6B" w:rsidRPr="00915C04">
        <w:rPr>
          <w:rFonts w:ascii="Times New Roman" w:hAnsi="Times New Roman"/>
          <w:noProof/>
          <w:szCs w:val="24"/>
        </w:rPr>
        <w:t xml:space="preserve"> </w:t>
      </w:r>
      <w:r w:rsidRPr="00915C04">
        <w:rPr>
          <w:rFonts w:ascii="Times New Roman" w:hAnsi="Times New Roman"/>
          <w:noProof/>
          <w:szCs w:val="24"/>
        </w:rPr>
        <w:t>са</w:t>
      </w:r>
      <w:r w:rsidR="00304BE4" w:rsidRPr="00915C04">
        <w:rPr>
          <w:rFonts w:ascii="Times New Roman" w:hAnsi="Times New Roman"/>
          <w:noProof/>
          <w:szCs w:val="24"/>
        </w:rPr>
        <w:t xml:space="preserve"> </w:t>
      </w:r>
      <w:r w:rsidRPr="00915C04">
        <w:rPr>
          <w:rFonts w:ascii="Times New Roman" w:hAnsi="Times New Roman"/>
          <w:noProof/>
          <w:szCs w:val="24"/>
        </w:rPr>
        <w:t>носиоцима</w:t>
      </w:r>
      <w:r w:rsidR="00304BE4" w:rsidRPr="00915C04">
        <w:rPr>
          <w:rFonts w:ascii="Times New Roman" w:hAnsi="Times New Roman"/>
          <w:noProof/>
          <w:szCs w:val="24"/>
        </w:rPr>
        <w:t xml:space="preserve"> </w:t>
      </w:r>
      <w:r w:rsidRPr="00915C04">
        <w:rPr>
          <w:rFonts w:ascii="Times New Roman" w:hAnsi="Times New Roman"/>
          <w:noProof/>
          <w:szCs w:val="24"/>
        </w:rPr>
        <w:t>дозвола</w:t>
      </w:r>
      <w:r w:rsidR="00304BE4" w:rsidRPr="00915C04">
        <w:rPr>
          <w:rFonts w:ascii="Times New Roman" w:hAnsi="Times New Roman"/>
          <w:noProof/>
          <w:szCs w:val="24"/>
        </w:rPr>
        <w:t xml:space="preserve"> </w:t>
      </w:r>
      <w:r w:rsidRPr="00915C04">
        <w:rPr>
          <w:rFonts w:ascii="Times New Roman" w:hAnsi="Times New Roman"/>
          <w:noProof/>
          <w:szCs w:val="24"/>
        </w:rPr>
        <w:t>у</w:t>
      </w:r>
      <w:r w:rsidR="00304BE4" w:rsidRPr="00915C04">
        <w:rPr>
          <w:rFonts w:ascii="Times New Roman" w:hAnsi="Times New Roman"/>
          <w:noProof/>
          <w:szCs w:val="24"/>
        </w:rPr>
        <w:t xml:space="preserve"> </w:t>
      </w:r>
      <w:r w:rsidRPr="00915C04">
        <w:rPr>
          <w:rFonts w:ascii="Times New Roman" w:hAnsi="Times New Roman"/>
          <w:noProof/>
          <w:szCs w:val="24"/>
        </w:rPr>
        <w:t>Сарајеву</w:t>
      </w:r>
      <w:r w:rsidR="00304BE4" w:rsidRPr="00915C04">
        <w:rPr>
          <w:rFonts w:ascii="Times New Roman" w:hAnsi="Times New Roman"/>
          <w:noProof/>
          <w:szCs w:val="24"/>
        </w:rPr>
        <w:t xml:space="preserve">, </w:t>
      </w:r>
      <w:r w:rsidRPr="00915C04">
        <w:rPr>
          <w:rFonts w:ascii="Times New Roman" w:hAnsi="Times New Roman"/>
          <w:noProof/>
          <w:szCs w:val="24"/>
        </w:rPr>
        <w:t>Мостару</w:t>
      </w:r>
      <w:r w:rsidR="00304BE4" w:rsidRPr="00915C04">
        <w:rPr>
          <w:rFonts w:ascii="Times New Roman" w:hAnsi="Times New Roman"/>
          <w:noProof/>
          <w:szCs w:val="24"/>
        </w:rPr>
        <w:t xml:space="preserve"> </w:t>
      </w:r>
      <w:r w:rsidRPr="00915C04">
        <w:rPr>
          <w:rFonts w:ascii="Times New Roman" w:hAnsi="Times New Roman"/>
          <w:noProof/>
          <w:szCs w:val="24"/>
        </w:rPr>
        <w:t>и</w:t>
      </w:r>
      <w:r w:rsidR="00304BE4" w:rsidRPr="00915C04">
        <w:rPr>
          <w:rFonts w:ascii="Times New Roman" w:hAnsi="Times New Roman"/>
          <w:noProof/>
          <w:szCs w:val="24"/>
        </w:rPr>
        <w:t xml:space="preserve"> </w:t>
      </w:r>
      <w:r w:rsidRPr="00915C04">
        <w:rPr>
          <w:rFonts w:ascii="Times New Roman" w:hAnsi="Times New Roman"/>
          <w:noProof/>
          <w:szCs w:val="24"/>
        </w:rPr>
        <w:t>Бањој</w:t>
      </w:r>
      <w:r w:rsidR="00304BE4" w:rsidRPr="00915C04">
        <w:rPr>
          <w:rFonts w:ascii="Times New Roman" w:hAnsi="Times New Roman"/>
          <w:noProof/>
          <w:szCs w:val="24"/>
        </w:rPr>
        <w:t xml:space="preserve"> </w:t>
      </w:r>
      <w:r w:rsidRPr="00915C04">
        <w:rPr>
          <w:rFonts w:ascii="Times New Roman" w:hAnsi="Times New Roman"/>
          <w:noProof/>
          <w:szCs w:val="24"/>
        </w:rPr>
        <w:t>Луци</w:t>
      </w:r>
      <w:r w:rsidR="00304BE4" w:rsidRPr="00915C04">
        <w:rPr>
          <w:rFonts w:ascii="Times New Roman" w:hAnsi="Times New Roman"/>
          <w:noProof/>
          <w:szCs w:val="24"/>
        </w:rPr>
        <w:t xml:space="preserve"> </w:t>
      </w:r>
      <w:r w:rsidRPr="00915C04">
        <w:rPr>
          <w:rFonts w:ascii="Times New Roman" w:hAnsi="Times New Roman"/>
          <w:noProof/>
          <w:szCs w:val="24"/>
        </w:rPr>
        <w:t>на</w:t>
      </w:r>
      <w:r w:rsidR="00304BE4" w:rsidRPr="00915C04">
        <w:rPr>
          <w:rFonts w:ascii="Times New Roman" w:hAnsi="Times New Roman"/>
          <w:noProof/>
          <w:szCs w:val="24"/>
        </w:rPr>
        <w:t xml:space="preserve"> </w:t>
      </w:r>
      <w:r w:rsidRPr="00915C04">
        <w:rPr>
          <w:rFonts w:ascii="Times New Roman" w:hAnsi="Times New Roman"/>
          <w:noProof/>
          <w:szCs w:val="24"/>
        </w:rPr>
        <w:t>којима</w:t>
      </w:r>
      <w:r w:rsidR="00304BE4" w:rsidRPr="00915C04">
        <w:rPr>
          <w:rFonts w:ascii="Times New Roman" w:hAnsi="Times New Roman"/>
          <w:noProof/>
          <w:szCs w:val="24"/>
        </w:rPr>
        <w:t xml:space="preserve"> </w:t>
      </w:r>
      <w:r w:rsidRPr="00915C04">
        <w:rPr>
          <w:rFonts w:ascii="Times New Roman" w:hAnsi="Times New Roman"/>
          <w:noProof/>
          <w:szCs w:val="24"/>
        </w:rPr>
        <w:t>су</w:t>
      </w:r>
      <w:r w:rsidR="00304BE4" w:rsidRPr="00915C04">
        <w:rPr>
          <w:rFonts w:ascii="Times New Roman" w:hAnsi="Times New Roman"/>
          <w:noProof/>
          <w:szCs w:val="24"/>
        </w:rPr>
        <w:t xml:space="preserve"> </w:t>
      </w:r>
      <w:r w:rsidRPr="00915C04">
        <w:rPr>
          <w:rFonts w:ascii="Times New Roman" w:hAnsi="Times New Roman"/>
          <w:noProof/>
          <w:szCs w:val="24"/>
        </w:rPr>
        <w:t>представљени</w:t>
      </w:r>
      <w:r w:rsidR="00304BE4" w:rsidRPr="00915C04">
        <w:rPr>
          <w:rFonts w:ascii="Times New Roman" w:hAnsi="Times New Roman"/>
          <w:noProof/>
          <w:szCs w:val="24"/>
        </w:rPr>
        <w:t xml:space="preserve"> </w:t>
      </w:r>
      <w:r w:rsidRPr="00915C04">
        <w:rPr>
          <w:rFonts w:ascii="Times New Roman" w:hAnsi="Times New Roman"/>
          <w:noProof/>
          <w:color w:val="000000" w:themeColor="text1"/>
          <w:szCs w:val="24"/>
        </w:rPr>
        <w:t>Кодекс</w:t>
      </w:r>
      <w:r w:rsidR="009D51D9" w:rsidRPr="00915C04">
        <w:rPr>
          <w:rFonts w:ascii="Times New Roman" w:hAnsi="Times New Roman"/>
          <w:noProof/>
          <w:color w:val="000000" w:themeColor="text1"/>
          <w:szCs w:val="24"/>
        </w:rPr>
        <w:t xml:space="preserve"> </w:t>
      </w:r>
      <w:r w:rsidRPr="00915C04">
        <w:rPr>
          <w:rFonts w:ascii="Times New Roman" w:hAnsi="Times New Roman"/>
          <w:noProof/>
          <w:color w:val="000000" w:themeColor="text1"/>
          <w:szCs w:val="24"/>
        </w:rPr>
        <w:t>о</w:t>
      </w:r>
      <w:r w:rsidR="009D51D9" w:rsidRPr="00915C04">
        <w:rPr>
          <w:rFonts w:ascii="Times New Roman" w:hAnsi="Times New Roman"/>
          <w:noProof/>
          <w:color w:val="000000" w:themeColor="text1"/>
          <w:szCs w:val="24"/>
        </w:rPr>
        <w:t xml:space="preserve"> </w:t>
      </w:r>
      <w:r w:rsidRPr="00915C04">
        <w:rPr>
          <w:rFonts w:ascii="Times New Roman" w:hAnsi="Times New Roman"/>
          <w:noProof/>
          <w:color w:val="000000" w:themeColor="text1"/>
          <w:szCs w:val="24"/>
        </w:rPr>
        <w:t>програмским</w:t>
      </w:r>
      <w:r w:rsidR="009D51D9" w:rsidRPr="00915C04">
        <w:rPr>
          <w:rFonts w:ascii="Times New Roman" w:hAnsi="Times New Roman"/>
          <w:noProof/>
          <w:color w:val="000000" w:themeColor="text1"/>
          <w:szCs w:val="24"/>
        </w:rPr>
        <w:t xml:space="preserve"> </w:t>
      </w:r>
      <w:r w:rsidRPr="00915C04">
        <w:rPr>
          <w:rFonts w:ascii="Times New Roman" w:hAnsi="Times New Roman"/>
          <w:noProof/>
          <w:color w:val="000000" w:themeColor="text1"/>
          <w:szCs w:val="24"/>
        </w:rPr>
        <w:t>садржајима</w:t>
      </w:r>
      <w:r w:rsidR="009D51D9" w:rsidRPr="00915C04">
        <w:rPr>
          <w:rFonts w:ascii="Times New Roman" w:hAnsi="Times New Roman"/>
          <w:noProof/>
          <w:color w:val="000000" w:themeColor="text1"/>
          <w:szCs w:val="24"/>
        </w:rPr>
        <w:t xml:space="preserve">, </w:t>
      </w:r>
      <w:r w:rsidRPr="00915C04">
        <w:rPr>
          <w:rFonts w:ascii="Times New Roman" w:hAnsi="Times New Roman"/>
          <w:noProof/>
          <w:color w:val="000000" w:themeColor="text1"/>
          <w:szCs w:val="24"/>
        </w:rPr>
        <w:t>Кодекс</w:t>
      </w:r>
      <w:r w:rsidR="009D51D9" w:rsidRPr="00915C04">
        <w:rPr>
          <w:rFonts w:ascii="Times New Roman" w:hAnsi="Times New Roman"/>
          <w:noProof/>
          <w:color w:val="000000" w:themeColor="text1"/>
          <w:szCs w:val="24"/>
        </w:rPr>
        <w:t xml:space="preserve"> </w:t>
      </w:r>
      <w:r w:rsidRPr="00915C04">
        <w:rPr>
          <w:rFonts w:ascii="Times New Roman" w:hAnsi="Times New Roman"/>
          <w:noProof/>
          <w:color w:val="000000" w:themeColor="text1"/>
          <w:szCs w:val="24"/>
        </w:rPr>
        <w:t>о</w:t>
      </w:r>
      <w:r w:rsidR="009D51D9" w:rsidRPr="00915C04">
        <w:rPr>
          <w:rFonts w:ascii="Times New Roman" w:hAnsi="Times New Roman"/>
          <w:noProof/>
          <w:color w:val="000000" w:themeColor="text1"/>
          <w:szCs w:val="24"/>
        </w:rPr>
        <w:t xml:space="preserve"> </w:t>
      </w:r>
      <w:r w:rsidRPr="00915C04">
        <w:rPr>
          <w:rFonts w:ascii="Times New Roman" w:hAnsi="Times New Roman"/>
          <w:noProof/>
          <w:color w:val="000000" w:themeColor="text1"/>
          <w:szCs w:val="24"/>
        </w:rPr>
        <w:t>комерцијалним</w:t>
      </w:r>
      <w:r w:rsidR="009D51D9" w:rsidRPr="00915C04">
        <w:rPr>
          <w:rFonts w:ascii="Times New Roman" w:hAnsi="Times New Roman"/>
          <w:noProof/>
          <w:color w:val="000000" w:themeColor="text1"/>
          <w:szCs w:val="24"/>
        </w:rPr>
        <w:t xml:space="preserve"> </w:t>
      </w:r>
      <w:r w:rsidRPr="00915C04">
        <w:rPr>
          <w:rFonts w:ascii="Times New Roman" w:hAnsi="Times New Roman"/>
          <w:noProof/>
          <w:color w:val="000000" w:themeColor="text1"/>
          <w:szCs w:val="24"/>
        </w:rPr>
        <w:t>комуникацијама</w:t>
      </w:r>
      <w:r w:rsidR="009D51D9" w:rsidRPr="00915C04">
        <w:rPr>
          <w:rFonts w:ascii="Times New Roman" w:hAnsi="Times New Roman"/>
          <w:noProof/>
          <w:color w:val="000000" w:themeColor="text1"/>
          <w:szCs w:val="24"/>
        </w:rPr>
        <w:t xml:space="preserve"> </w:t>
      </w:r>
      <w:r w:rsidRPr="00915C04">
        <w:rPr>
          <w:rFonts w:ascii="Times New Roman" w:hAnsi="Times New Roman"/>
          <w:noProof/>
          <w:color w:val="000000" w:themeColor="text1"/>
          <w:szCs w:val="24"/>
        </w:rPr>
        <w:t>и</w:t>
      </w:r>
      <w:r w:rsidR="009D51D9" w:rsidRPr="00915C04">
        <w:rPr>
          <w:rFonts w:ascii="Times New Roman" w:hAnsi="Times New Roman"/>
          <w:noProof/>
          <w:color w:val="000000" w:themeColor="text1"/>
          <w:szCs w:val="24"/>
        </w:rPr>
        <w:t xml:space="preserve"> </w:t>
      </w:r>
      <w:r w:rsidRPr="00915C04">
        <w:rPr>
          <w:rFonts w:ascii="Times New Roman" w:hAnsi="Times New Roman"/>
          <w:noProof/>
          <w:color w:val="000000" w:themeColor="text1"/>
          <w:szCs w:val="24"/>
        </w:rPr>
        <w:t>Правила</w:t>
      </w:r>
      <w:r w:rsidR="009D51D9" w:rsidRPr="00295637">
        <w:rPr>
          <w:rFonts w:ascii="Times New Roman" w:hAnsi="Times New Roman"/>
          <w:noProof/>
          <w:color w:val="000000" w:themeColor="text1"/>
          <w:szCs w:val="24"/>
        </w:rPr>
        <w:t xml:space="preserve"> 95/2023 </w:t>
      </w:r>
      <w:r>
        <w:rPr>
          <w:rFonts w:ascii="Times New Roman" w:hAnsi="Times New Roman"/>
          <w:noProof/>
          <w:color w:val="000000" w:themeColor="text1"/>
          <w:szCs w:val="24"/>
        </w:rPr>
        <w:t>о</w:t>
      </w:r>
      <w:r w:rsidR="009D51D9" w:rsidRPr="00295637">
        <w:rPr>
          <w:rFonts w:ascii="Times New Roman" w:hAnsi="Times New Roman"/>
          <w:noProof/>
          <w:color w:val="000000" w:themeColor="text1"/>
          <w:szCs w:val="24"/>
        </w:rPr>
        <w:t xml:space="preserve"> </w:t>
      </w:r>
      <w:r>
        <w:rPr>
          <w:rFonts w:ascii="Times New Roman" w:hAnsi="Times New Roman"/>
          <w:noProof/>
          <w:color w:val="000000" w:themeColor="text1"/>
          <w:szCs w:val="24"/>
        </w:rPr>
        <w:t>пружању</w:t>
      </w:r>
      <w:r w:rsidR="009D51D9" w:rsidRPr="00295637">
        <w:rPr>
          <w:rFonts w:ascii="Times New Roman" w:hAnsi="Times New Roman"/>
          <w:noProof/>
          <w:color w:val="000000" w:themeColor="text1"/>
          <w:szCs w:val="24"/>
        </w:rPr>
        <w:t xml:space="preserve"> </w:t>
      </w:r>
      <w:r>
        <w:rPr>
          <w:rFonts w:ascii="Times New Roman" w:hAnsi="Times New Roman"/>
          <w:noProof/>
          <w:color w:val="000000" w:themeColor="text1"/>
          <w:szCs w:val="24"/>
        </w:rPr>
        <w:t>аудиовизуелних</w:t>
      </w:r>
      <w:r w:rsidR="009D51D9" w:rsidRPr="00295637">
        <w:rPr>
          <w:rFonts w:ascii="Times New Roman" w:hAnsi="Times New Roman"/>
          <w:noProof/>
          <w:color w:val="000000" w:themeColor="text1"/>
          <w:szCs w:val="24"/>
        </w:rPr>
        <w:t xml:space="preserve"> </w:t>
      </w:r>
      <w:r>
        <w:rPr>
          <w:rFonts w:ascii="Times New Roman" w:hAnsi="Times New Roman"/>
          <w:noProof/>
          <w:color w:val="000000" w:themeColor="text1"/>
          <w:szCs w:val="24"/>
        </w:rPr>
        <w:t>медијских</w:t>
      </w:r>
      <w:r w:rsidR="009D51D9" w:rsidRPr="00295637">
        <w:rPr>
          <w:rFonts w:ascii="Times New Roman" w:hAnsi="Times New Roman"/>
          <w:noProof/>
          <w:color w:val="000000" w:themeColor="text1"/>
          <w:szCs w:val="24"/>
        </w:rPr>
        <w:t xml:space="preserve"> </w:t>
      </w:r>
      <w:r>
        <w:rPr>
          <w:rFonts w:ascii="Times New Roman" w:hAnsi="Times New Roman"/>
          <w:noProof/>
          <w:color w:val="000000" w:themeColor="text1"/>
          <w:szCs w:val="24"/>
        </w:rPr>
        <w:t>услуга</w:t>
      </w:r>
      <w:r w:rsidR="009D51D9" w:rsidRPr="00295637">
        <w:rPr>
          <w:rFonts w:ascii="Times New Roman" w:hAnsi="Times New Roman"/>
          <w:noProof/>
          <w:color w:val="000000" w:themeColor="text1"/>
          <w:szCs w:val="24"/>
        </w:rPr>
        <w:t xml:space="preserve"> </w:t>
      </w:r>
      <w:r>
        <w:rPr>
          <w:rFonts w:ascii="Times New Roman" w:hAnsi="Times New Roman"/>
          <w:noProof/>
          <w:color w:val="000000" w:themeColor="text1"/>
          <w:szCs w:val="24"/>
        </w:rPr>
        <w:t>и</w:t>
      </w:r>
      <w:r w:rsidR="009D51D9" w:rsidRPr="00295637">
        <w:rPr>
          <w:rFonts w:ascii="Times New Roman" w:hAnsi="Times New Roman"/>
          <w:noProof/>
          <w:color w:val="000000" w:themeColor="text1"/>
          <w:szCs w:val="24"/>
        </w:rPr>
        <w:t xml:space="preserve"> </w:t>
      </w:r>
      <w:r>
        <w:rPr>
          <w:rFonts w:ascii="Times New Roman" w:hAnsi="Times New Roman"/>
          <w:noProof/>
          <w:color w:val="000000" w:themeColor="text1"/>
          <w:szCs w:val="24"/>
        </w:rPr>
        <w:t>Правило</w:t>
      </w:r>
      <w:r w:rsidR="009D51D9" w:rsidRPr="00295637">
        <w:rPr>
          <w:rFonts w:ascii="Times New Roman" w:hAnsi="Times New Roman"/>
          <w:noProof/>
          <w:color w:val="000000" w:themeColor="text1"/>
          <w:szCs w:val="24"/>
        </w:rPr>
        <w:t xml:space="preserve"> 96/2023 </w:t>
      </w:r>
      <w:r>
        <w:rPr>
          <w:rFonts w:ascii="Times New Roman" w:hAnsi="Times New Roman"/>
          <w:noProof/>
          <w:color w:val="000000" w:themeColor="text1"/>
          <w:szCs w:val="24"/>
        </w:rPr>
        <w:t>о</w:t>
      </w:r>
      <w:r w:rsidR="0046661C">
        <w:rPr>
          <w:rFonts w:ascii="Times New Roman" w:hAnsi="Times New Roman"/>
          <w:noProof/>
          <w:color w:val="000000" w:themeColor="text1"/>
          <w:szCs w:val="24"/>
        </w:rPr>
        <w:t xml:space="preserve"> </w:t>
      </w:r>
      <w:r>
        <w:rPr>
          <w:rFonts w:ascii="Times New Roman" w:hAnsi="Times New Roman"/>
          <w:noProof/>
          <w:color w:val="000000" w:themeColor="text1"/>
          <w:szCs w:val="24"/>
        </w:rPr>
        <w:t>услугама</w:t>
      </w:r>
      <w:r w:rsidR="009D51D9" w:rsidRPr="00295637">
        <w:rPr>
          <w:rFonts w:ascii="Times New Roman" w:hAnsi="Times New Roman"/>
          <w:noProof/>
          <w:color w:val="000000" w:themeColor="text1"/>
          <w:szCs w:val="24"/>
        </w:rPr>
        <w:t xml:space="preserve"> </w:t>
      </w:r>
      <w:r>
        <w:rPr>
          <w:rFonts w:ascii="Times New Roman" w:hAnsi="Times New Roman"/>
          <w:noProof/>
          <w:color w:val="000000" w:themeColor="text1"/>
          <w:szCs w:val="24"/>
        </w:rPr>
        <w:t>платформе</w:t>
      </w:r>
      <w:r w:rsidR="009D51D9" w:rsidRPr="00295637">
        <w:rPr>
          <w:rFonts w:ascii="Times New Roman" w:hAnsi="Times New Roman"/>
          <w:noProof/>
          <w:color w:val="000000" w:themeColor="text1"/>
          <w:szCs w:val="24"/>
        </w:rPr>
        <w:t xml:space="preserve"> </w:t>
      </w:r>
      <w:r>
        <w:rPr>
          <w:rFonts w:ascii="Times New Roman" w:hAnsi="Times New Roman"/>
          <w:noProof/>
          <w:color w:val="000000" w:themeColor="text1"/>
          <w:szCs w:val="24"/>
        </w:rPr>
        <w:t>за</w:t>
      </w:r>
      <w:r w:rsidR="009D51D9" w:rsidRPr="00295637">
        <w:rPr>
          <w:rFonts w:ascii="Times New Roman" w:hAnsi="Times New Roman"/>
          <w:noProof/>
          <w:color w:val="000000" w:themeColor="text1"/>
          <w:szCs w:val="24"/>
        </w:rPr>
        <w:t xml:space="preserve"> </w:t>
      </w:r>
      <w:r>
        <w:rPr>
          <w:rFonts w:ascii="Times New Roman" w:hAnsi="Times New Roman"/>
          <w:noProof/>
          <w:color w:val="000000" w:themeColor="text1"/>
          <w:szCs w:val="24"/>
        </w:rPr>
        <w:t>размјену</w:t>
      </w:r>
      <w:r w:rsidR="000F6D36">
        <w:rPr>
          <w:rFonts w:ascii="Times New Roman" w:hAnsi="Times New Roman"/>
          <w:noProof/>
          <w:color w:val="000000" w:themeColor="text1"/>
          <w:szCs w:val="24"/>
        </w:rPr>
        <w:t xml:space="preserve"> </w:t>
      </w:r>
      <w:r>
        <w:rPr>
          <w:rFonts w:ascii="Times New Roman" w:hAnsi="Times New Roman"/>
          <w:noProof/>
          <w:color w:val="000000" w:themeColor="text1"/>
          <w:szCs w:val="24"/>
        </w:rPr>
        <w:t>видео</w:t>
      </w:r>
      <w:r w:rsidR="000F6D36">
        <w:rPr>
          <w:rFonts w:ascii="Times New Roman" w:hAnsi="Times New Roman"/>
          <w:noProof/>
          <w:color w:val="000000" w:themeColor="text1"/>
          <w:szCs w:val="24"/>
        </w:rPr>
        <w:t xml:space="preserve"> </w:t>
      </w:r>
      <w:r>
        <w:rPr>
          <w:rFonts w:ascii="Times New Roman" w:hAnsi="Times New Roman"/>
          <w:noProof/>
          <w:color w:val="000000" w:themeColor="text1"/>
          <w:szCs w:val="24"/>
        </w:rPr>
        <w:t>записа</w:t>
      </w:r>
      <w:r w:rsidR="00304BE4" w:rsidRPr="00295637">
        <w:rPr>
          <w:rFonts w:ascii="Times New Roman" w:hAnsi="Times New Roman"/>
          <w:noProof/>
          <w:szCs w:val="24"/>
        </w:rPr>
        <w:t xml:space="preserve">. </w:t>
      </w:r>
      <w:r w:rsidR="00915C04">
        <w:rPr>
          <w:rFonts w:ascii="Times New Roman" w:hAnsi="Times New Roman"/>
          <w:noProof/>
          <w:szCs w:val="24"/>
        </w:rPr>
        <w:t>Такође</w:t>
      </w:r>
      <w:r w:rsidR="00304BE4" w:rsidRPr="00295637">
        <w:rPr>
          <w:rFonts w:ascii="Times New Roman" w:hAnsi="Times New Roman"/>
          <w:noProof/>
          <w:szCs w:val="24"/>
        </w:rPr>
        <w:t xml:space="preserve">, </w:t>
      </w:r>
      <w:r>
        <w:rPr>
          <w:rFonts w:ascii="Times New Roman" w:hAnsi="Times New Roman"/>
          <w:noProof/>
          <w:szCs w:val="24"/>
        </w:rPr>
        <w:t>у</w:t>
      </w:r>
      <w:r w:rsidR="00304BE4" w:rsidRPr="00295637">
        <w:rPr>
          <w:rFonts w:ascii="Times New Roman" w:hAnsi="Times New Roman"/>
          <w:noProof/>
          <w:szCs w:val="24"/>
        </w:rPr>
        <w:t xml:space="preserve"> </w:t>
      </w:r>
      <w:r>
        <w:rPr>
          <w:rFonts w:ascii="Times New Roman" w:hAnsi="Times New Roman"/>
          <w:noProof/>
          <w:szCs w:val="24"/>
        </w:rPr>
        <w:t>сврху</w:t>
      </w:r>
      <w:r w:rsidR="00304BE4" w:rsidRPr="00295637">
        <w:rPr>
          <w:rFonts w:ascii="Times New Roman" w:hAnsi="Times New Roman"/>
          <w:noProof/>
          <w:szCs w:val="24"/>
        </w:rPr>
        <w:t xml:space="preserve"> </w:t>
      </w:r>
      <w:r>
        <w:rPr>
          <w:rFonts w:ascii="Times New Roman" w:hAnsi="Times New Roman"/>
          <w:noProof/>
          <w:szCs w:val="24"/>
        </w:rPr>
        <w:t>адекватне</w:t>
      </w:r>
      <w:r w:rsidR="00304BE4" w:rsidRPr="00295637">
        <w:rPr>
          <w:rFonts w:ascii="Times New Roman" w:hAnsi="Times New Roman"/>
          <w:noProof/>
          <w:szCs w:val="24"/>
        </w:rPr>
        <w:t xml:space="preserve"> </w:t>
      </w:r>
      <w:r>
        <w:rPr>
          <w:rFonts w:ascii="Times New Roman" w:hAnsi="Times New Roman"/>
          <w:noProof/>
          <w:szCs w:val="24"/>
        </w:rPr>
        <w:t>примјене</w:t>
      </w:r>
      <w:r w:rsidR="00304BE4" w:rsidRPr="00295637">
        <w:rPr>
          <w:rFonts w:ascii="Times New Roman" w:hAnsi="Times New Roman"/>
          <w:noProof/>
          <w:szCs w:val="24"/>
        </w:rPr>
        <w:t xml:space="preserve"> </w:t>
      </w:r>
      <w:r>
        <w:rPr>
          <w:rFonts w:ascii="Times New Roman" w:hAnsi="Times New Roman"/>
          <w:noProof/>
          <w:szCs w:val="24"/>
        </w:rPr>
        <w:t>подзаконских</w:t>
      </w:r>
      <w:r w:rsidR="00304BE4" w:rsidRPr="00295637">
        <w:rPr>
          <w:rFonts w:ascii="Times New Roman" w:hAnsi="Times New Roman"/>
          <w:noProof/>
          <w:szCs w:val="24"/>
        </w:rPr>
        <w:t xml:space="preserve"> </w:t>
      </w:r>
      <w:r>
        <w:rPr>
          <w:rFonts w:ascii="Times New Roman" w:hAnsi="Times New Roman"/>
          <w:noProof/>
          <w:szCs w:val="24"/>
        </w:rPr>
        <w:t>аката</w:t>
      </w:r>
      <w:r w:rsidR="00304BE4" w:rsidRPr="00295637">
        <w:rPr>
          <w:rFonts w:ascii="Times New Roman" w:hAnsi="Times New Roman"/>
          <w:noProof/>
          <w:szCs w:val="24"/>
        </w:rPr>
        <w:t xml:space="preserve">, </w:t>
      </w:r>
      <w:r>
        <w:rPr>
          <w:rFonts w:ascii="Times New Roman" w:hAnsi="Times New Roman"/>
          <w:noProof/>
          <w:szCs w:val="24"/>
        </w:rPr>
        <w:t>РАК</w:t>
      </w:r>
      <w:r w:rsidR="00304BE4" w:rsidRPr="00295637">
        <w:rPr>
          <w:rFonts w:ascii="Times New Roman" w:hAnsi="Times New Roman"/>
          <w:noProof/>
          <w:szCs w:val="24"/>
        </w:rPr>
        <w:t xml:space="preserve"> </w:t>
      </w:r>
      <w:r>
        <w:rPr>
          <w:rFonts w:ascii="Times New Roman" w:hAnsi="Times New Roman"/>
          <w:noProof/>
          <w:szCs w:val="24"/>
        </w:rPr>
        <w:t>је</w:t>
      </w:r>
      <w:r w:rsidR="00304BE4" w:rsidRPr="00295637">
        <w:rPr>
          <w:rFonts w:ascii="Times New Roman" w:hAnsi="Times New Roman"/>
          <w:noProof/>
          <w:szCs w:val="24"/>
        </w:rPr>
        <w:t xml:space="preserve"> </w:t>
      </w:r>
      <w:r>
        <w:rPr>
          <w:rFonts w:ascii="Times New Roman" w:hAnsi="Times New Roman"/>
          <w:noProof/>
          <w:szCs w:val="24"/>
        </w:rPr>
        <w:t>израдила</w:t>
      </w:r>
      <w:r w:rsidR="00304BE4" w:rsidRPr="00295637">
        <w:rPr>
          <w:rFonts w:ascii="Times New Roman" w:hAnsi="Times New Roman"/>
          <w:noProof/>
          <w:szCs w:val="24"/>
        </w:rPr>
        <w:t xml:space="preserve"> </w:t>
      </w:r>
      <w:r>
        <w:rPr>
          <w:rFonts w:ascii="Times New Roman" w:hAnsi="Times New Roman"/>
          <w:noProof/>
          <w:szCs w:val="24"/>
        </w:rPr>
        <w:t>и</w:t>
      </w:r>
      <w:r w:rsidR="00304BE4" w:rsidRPr="00295637">
        <w:rPr>
          <w:rFonts w:ascii="Times New Roman" w:hAnsi="Times New Roman"/>
          <w:noProof/>
          <w:szCs w:val="24"/>
        </w:rPr>
        <w:t xml:space="preserve"> </w:t>
      </w:r>
      <w:r>
        <w:rPr>
          <w:rFonts w:ascii="Times New Roman" w:hAnsi="Times New Roman"/>
          <w:noProof/>
          <w:szCs w:val="24"/>
        </w:rPr>
        <w:t>објавила</w:t>
      </w:r>
      <w:r w:rsidR="00304BE4" w:rsidRPr="00295637">
        <w:rPr>
          <w:rFonts w:ascii="Times New Roman" w:hAnsi="Times New Roman"/>
          <w:noProof/>
          <w:szCs w:val="24"/>
        </w:rPr>
        <w:t xml:space="preserve"> </w:t>
      </w:r>
      <w:r>
        <w:rPr>
          <w:rFonts w:ascii="Times New Roman" w:hAnsi="Times New Roman"/>
          <w:noProof/>
          <w:szCs w:val="24"/>
        </w:rPr>
        <w:t>сет</w:t>
      </w:r>
      <w:r w:rsidR="00304BE4" w:rsidRPr="00295637">
        <w:rPr>
          <w:rFonts w:ascii="Times New Roman" w:hAnsi="Times New Roman"/>
          <w:noProof/>
          <w:szCs w:val="24"/>
        </w:rPr>
        <w:t xml:space="preserve"> </w:t>
      </w:r>
      <w:r>
        <w:rPr>
          <w:rFonts w:ascii="Times New Roman" w:hAnsi="Times New Roman"/>
          <w:noProof/>
          <w:szCs w:val="24"/>
        </w:rPr>
        <w:t>смјерница</w:t>
      </w:r>
      <w:r w:rsidR="00304BE4" w:rsidRPr="00295637">
        <w:rPr>
          <w:rFonts w:ascii="Times New Roman" w:hAnsi="Times New Roman"/>
          <w:noProof/>
          <w:szCs w:val="24"/>
        </w:rPr>
        <w:t xml:space="preserve"> </w:t>
      </w:r>
      <w:r>
        <w:rPr>
          <w:rFonts w:ascii="Times New Roman" w:hAnsi="Times New Roman"/>
          <w:noProof/>
          <w:szCs w:val="24"/>
        </w:rPr>
        <w:t>за</w:t>
      </w:r>
      <w:r w:rsidR="00304BE4" w:rsidRPr="00295637">
        <w:rPr>
          <w:rFonts w:ascii="Times New Roman" w:hAnsi="Times New Roman"/>
          <w:noProof/>
          <w:szCs w:val="24"/>
        </w:rPr>
        <w:t xml:space="preserve"> </w:t>
      </w:r>
      <w:r>
        <w:rPr>
          <w:rFonts w:ascii="Times New Roman" w:hAnsi="Times New Roman"/>
          <w:noProof/>
          <w:szCs w:val="24"/>
        </w:rPr>
        <w:t>примјену</w:t>
      </w:r>
      <w:r w:rsidR="00304BE4" w:rsidRPr="00295637">
        <w:rPr>
          <w:rFonts w:ascii="Times New Roman" w:hAnsi="Times New Roman"/>
          <w:noProof/>
          <w:szCs w:val="24"/>
        </w:rPr>
        <w:t xml:space="preserve"> </w:t>
      </w:r>
      <w:r>
        <w:rPr>
          <w:rFonts w:ascii="Times New Roman" w:hAnsi="Times New Roman"/>
          <w:noProof/>
          <w:szCs w:val="24"/>
        </w:rPr>
        <w:t>Кодекса</w:t>
      </w:r>
      <w:r w:rsidR="00304BE4" w:rsidRPr="00295637">
        <w:rPr>
          <w:rFonts w:ascii="Times New Roman" w:hAnsi="Times New Roman"/>
          <w:noProof/>
          <w:szCs w:val="24"/>
        </w:rPr>
        <w:t xml:space="preserve"> </w:t>
      </w:r>
      <w:r>
        <w:rPr>
          <w:rFonts w:ascii="Times New Roman" w:hAnsi="Times New Roman"/>
          <w:noProof/>
          <w:szCs w:val="24"/>
        </w:rPr>
        <w:t>и</w:t>
      </w:r>
      <w:r w:rsidR="00304BE4" w:rsidRPr="00295637">
        <w:rPr>
          <w:rFonts w:ascii="Times New Roman" w:hAnsi="Times New Roman"/>
          <w:noProof/>
          <w:szCs w:val="24"/>
        </w:rPr>
        <w:t xml:space="preserve"> </w:t>
      </w:r>
      <w:r w:rsidR="00915C04">
        <w:rPr>
          <w:rFonts w:ascii="Times New Roman" w:hAnsi="Times New Roman"/>
          <w:noProof/>
          <w:szCs w:val="24"/>
          <w:lang w:val="sr-Cyrl-BA"/>
        </w:rPr>
        <w:t>П</w:t>
      </w:r>
      <w:r>
        <w:rPr>
          <w:rFonts w:ascii="Times New Roman" w:hAnsi="Times New Roman"/>
          <w:noProof/>
          <w:szCs w:val="24"/>
        </w:rPr>
        <w:t>равила</w:t>
      </w:r>
      <w:r w:rsidR="00304BE4" w:rsidRPr="00295637">
        <w:rPr>
          <w:rFonts w:ascii="Times New Roman" w:hAnsi="Times New Roman"/>
          <w:noProof/>
          <w:szCs w:val="24"/>
        </w:rPr>
        <w:t xml:space="preserve">, </w:t>
      </w:r>
      <w:r>
        <w:rPr>
          <w:rFonts w:ascii="Times New Roman" w:hAnsi="Times New Roman"/>
          <w:noProof/>
          <w:szCs w:val="24"/>
        </w:rPr>
        <w:t>које</w:t>
      </w:r>
      <w:r w:rsidR="00304BE4" w:rsidRPr="00295637">
        <w:rPr>
          <w:rFonts w:ascii="Times New Roman" w:hAnsi="Times New Roman"/>
          <w:noProof/>
          <w:szCs w:val="24"/>
        </w:rPr>
        <w:t xml:space="preserve"> </w:t>
      </w:r>
      <w:r>
        <w:rPr>
          <w:rFonts w:ascii="Times New Roman" w:hAnsi="Times New Roman"/>
          <w:noProof/>
          <w:szCs w:val="24"/>
        </w:rPr>
        <w:t>су</w:t>
      </w:r>
      <w:r w:rsidR="00304BE4" w:rsidRPr="00295637">
        <w:rPr>
          <w:rFonts w:ascii="Times New Roman" w:hAnsi="Times New Roman"/>
          <w:noProof/>
          <w:szCs w:val="24"/>
        </w:rPr>
        <w:t xml:space="preserve"> </w:t>
      </w:r>
      <w:r>
        <w:rPr>
          <w:rFonts w:ascii="Times New Roman" w:hAnsi="Times New Roman"/>
          <w:noProof/>
          <w:szCs w:val="24"/>
        </w:rPr>
        <w:t>достављене</w:t>
      </w:r>
      <w:r w:rsidR="00304BE4" w:rsidRPr="00295637">
        <w:rPr>
          <w:rFonts w:ascii="Times New Roman" w:hAnsi="Times New Roman"/>
          <w:noProof/>
          <w:szCs w:val="24"/>
        </w:rPr>
        <w:t xml:space="preserve"> </w:t>
      </w:r>
      <w:r>
        <w:rPr>
          <w:rFonts w:ascii="Times New Roman" w:hAnsi="Times New Roman"/>
          <w:noProof/>
          <w:szCs w:val="24"/>
        </w:rPr>
        <w:t>носиоцима</w:t>
      </w:r>
      <w:r w:rsidR="00304BE4" w:rsidRPr="00295637">
        <w:rPr>
          <w:rFonts w:ascii="Times New Roman" w:hAnsi="Times New Roman"/>
          <w:noProof/>
          <w:szCs w:val="24"/>
        </w:rPr>
        <w:t xml:space="preserve"> </w:t>
      </w:r>
      <w:r>
        <w:rPr>
          <w:rFonts w:ascii="Times New Roman" w:hAnsi="Times New Roman"/>
          <w:noProof/>
          <w:szCs w:val="24"/>
        </w:rPr>
        <w:t>дозвола</w:t>
      </w:r>
      <w:r w:rsidR="00304BE4" w:rsidRPr="00295637">
        <w:rPr>
          <w:rFonts w:ascii="Times New Roman" w:hAnsi="Times New Roman"/>
          <w:noProof/>
          <w:szCs w:val="24"/>
        </w:rPr>
        <w:t xml:space="preserve"> </w:t>
      </w:r>
      <w:r>
        <w:rPr>
          <w:rFonts w:ascii="Times New Roman" w:hAnsi="Times New Roman"/>
          <w:noProof/>
          <w:szCs w:val="24"/>
        </w:rPr>
        <w:t>и</w:t>
      </w:r>
      <w:r w:rsidR="00304BE4" w:rsidRPr="00295637">
        <w:rPr>
          <w:rFonts w:ascii="Times New Roman" w:hAnsi="Times New Roman"/>
          <w:noProof/>
          <w:szCs w:val="24"/>
        </w:rPr>
        <w:t xml:space="preserve"> </w:t>
      </w:r>
      <w:r>
        <w:rPr>
          <w:rFonts w:ascii="Times New Roman" w:hAnsi="Times New Roman"/>
          <w:noProof/>
          <w:szCs w:val="24"/>
        </w:rPr>
        <w:t>доступне</w:t>
      </w:r>
      <w:r w:rsidR="00F24A6B">
        <w:rPr>
          <w:rFonts w:ascii="Times New Roman" w:hAnsi="Times New Roman"/>
          <w:noProof/>
          <w:szCs w:val="24"/>
        </w:rPr>
        <w:t xml:space="preserve"> </w:t>
      </w:r>
      <w:r>
        <w:rPr>
          <w:rFonts w:ascii="Times New Roman" w:hAnsi="Times New Roman"/>
          <w:noProof/>
          <w:szCs w:val="24"/>
        </w:rPr>
        <w:t>на</w:t>
      </w:r>
      <w:r w:rsidR="00F24A6B">
        <w:rPr>
          <w:rFonts w:ascii="Times New Roman" w:hAnsi="Times New Roman"/>
          <w:noProof/>
          <w:szCs w:val="24"/>
        </w:rPr>
        <w:t xml:space="preserve"> </w:t>
      </w:r>
      <w:r>
        <w:rPr>
          <w:rFonts w:ascii="Times New Roman" w:hAnsi="Times New Roman"/>
          <w:noProof/>
          <w:szCs w:val="24"/>
        </w:rPr>
        <w:t>званичној</w:t>
      </w:r>
      <w:r w:rsidR="00F24A6B">
        <w:rPr>
          <w:rFonts w:ascii="Times New Roman" w:hAnsi="Times New Roman"/>
          <w:noProof/>
          <w:szCs w:val="24"/>
        </w:rPr>
        <w:t xml:space="preserve"> </w:t>
      </w:r>
      <w:r w:rsidR="00915C04">
        <w:rPr>
          <w:rFonts w:ascii="Times New Roman" w:hAnsi="Times New Roman"/>
          <w:noProof/>
          <w:szCs w:val="24"/>
          <w:lang w:val="sr-Cyrl-BA"/>
        </w:rPr>
        <w:t>веб-</w:t>
      </w:r>
      <w:r>
        <w:rPr>
          <w:rFonts w:ascii="Times New Roman" w:hAnsi="Times New Roman"/>
          <w:noProof/>
          <w:szCs w:val="24"/>
        </w:rPr>
        <w:t>страници</w:t>
      </w:r>
      <w:r w:rsidR="00304BE4" w:rsidRPr="00295637">
        <w:rPr>
          <w:rFonts w:ascii="Times New Roman" w:hAnsi="Times New Roman"/>
          <w:noProof/>
          <w:szCs w:val="24"/>
        </w:rPr>
        <w:t xml:space="preserve"> </w:t>
      </w:r>
      <w:r>
        <w:rPr>
          <w:rFonts w:ascii="Times New Roman" w:hAnsi="Times New Roman"/>
          <w:noProof/>
          <w:szCs w:val="24"/>
        </w:rPr>
        <w:t>Агенције</w:t>
      </w:r>
      <w:r w:rsidR="00304BE4" w:rsidRPr="00295637">
        <w:rPr>
          <w:rFonts w:ascii="Times New Roman" w:hAnsi="Times New Roman"/>
          <w:noProof/>
          <w:szCs w:val="24"/>
        </w:rPr>
        <w:t xml:space="preserve">. </w:t>
      </w:r>
      <w:r>
        <w:rPr>
          <w:rFonts w:ascii="Times New Roman" w:hAnsi="Times New Roman"/>
          <w:noProof/>
          <w:szCs w:val="24"/>
        </w:rPr>
        <w:t>У</w:t>
      </w:r>
      <w:r w:rsidR="00304BE4" w:rsidRPr="00295637">
        <w:rPr>
          <w:rFonts w:ascii="Times New Roman" w:hAnsi="Times New Roman"/>
          <w:noProof/>
          <w:szCs w:val="24"/>
        </w:rPr>
        <w:t xml:space="preserve"> </w:t>
      </w:r>
      <w:r>
        <w:rPr>
          <w:rFonts w:ascii="Times New Roman" w:hAnsi="Times New Roman"/>
          <w:noProof/>
          <w:szCs w:val="24"/>
        </w:rPr>
        <w:t>Смјерницама</w:t>
      </w:r>
      <w:r w:rsidR="00304BE4" w:rsidRPr="00295637">
        <w:rPr>
          <w:rFonts w:ascii="Times New Roman" w:hAnsi="Times New Roman"/>
          <w:noProof/>
          <w:szCs w:val="24"/>
        </w:rPr>
        <w:t xml:space="preserve"> </w:t>
      </w:r>
      <w:r>
        <w:rPr>
          <w:rFonts w:ascii="Times New Roman" w:hAnsi="Times New Roman"/>
          <w:noProof/>
          <w:szCs w:val="24"/>
        </w:rPr>
        <w:t>за</w:t>
      </w:r>
      <w:r w:rsidR="00304BE4" w:rsidRPr="00295637">
        <w:rPr>
          <w:rFonts w:ascii="Times New Roman" w:hAnsi="Times New Roman"/>
          <w:noProof/>
          <w:szCs w:val="24"/>
        </w:rPr>
        <w:t xml:space="preserve"> </w:t>
      </w:r>
      <w:r>
        <w:rPr>
          <w:rFonts w:ascii="Times New Roman" w:hAnsi="Times New Roman"/>
          <w:noProof/>
          <w:szCs w:val="24"/>
        </w:rPr>
        <w:t>примјену</w:t>
      </w:r>
      <w:r w:rsidR="00304BE4" w:rsidRPr="00295637">
        <w:rPr>
          <w:rFonts w:ascii="Times New Roman" w:hAnsi="Times New Roman"/>
          <w:noProof/>
          <w:szCs w:val="24"/>
        </w:rPr>
        <w:t xml:space="preserve"> </w:t>
      </w:r>
      <w:r>
        <w:rPr>
          <w:rFonts w:ascii="Times New Roman" w:hAnsi="Times New Roman"/>
          <w:noProof/>
          <w:szCs w:val="24"/>
        </w:rPr>
        <w:t>Кодекса</w:t>
      </w:r>
      <w:r w:rsidR="00304BE4" w:rsidRPr="00295637">
        <w:rPr>
          <w:rFonts w:ascii="Times New Roman" w:hAnsi="Times New Roman"/>
          <w:noProof/>
          <w:szCs w:val="24"/>
        </w:rPr>
        <w:t xml:space="preserve"> </w:t>
      </w:r>
      <w:r>
        <w:rPr>
          <w:rFonts w:ascii="Times New Roman" w:hAnsi="Times New Roman"/>
          <w:noProof/>
          <w:szCs w:val="24"/>
        </w:rPr>
        <w:t>о</w:t>
      </w:r>
      <w:r w:rsidR="00304BE4" w:rsidRPr="00295637">
        <w:rPr>
          <w:rFonts w:ascii="Times New Roman" w:hAnsi="Times New Roman"/>
          <w:noProof/>
          <w:szCs w:val="24"/>
        </w:rPr>
        <w:t xml:space="preserve"> </w:t>
      </w:r>
      <w:r>
        <w:rPr>
          <w:rFonts w:ascii="Times New Roman" w:hAnsi="Times New Roman"/>
          <w:noProof/>
          <w:szCs w:val="24"/>
        </w:rPr>
        <w:t>програмским</w:t>
      </w:r>
      <w:r w:rsidR="00304BE4" w:rsidRPr="00295637">
        <w:rPr>
          <w:rFonts w:ascii="Times New Roman" w:hAnsi="Times New Roman"/>
          <w:noProof/>
          <w:szCs w:val="24"/>
        </w:rPr>
        <w:t xml:space="preserve"> </w:t>
      </w:r>
      <w:r>
        <w:rPr>
          <w:rFonts w:ascii="Times New Roman" w:hAnsi="Times New Roman"/>
          <w:noProof/>
          <w:szCs w:val="24"/>
        </w:rPr>
        <w:t>садржајима</w:t>
      </w:r>
      <w:r w:rsidR="00304BE4" w:rsidRPr="00295637">
        <w:rPr>
          <w:rFonts w:ascii="Times New Roman" w:hAnsi="Times New Roman"/>
          <w:noProof/>
          <w:szCs w:val="24"/>
        </w:rPr>
        <w:t xml:space="preserve"> </w:t>
      </w:r>
      <w:r>
        <w:rPr>
          <w:rFonts w:ascii="Times New Roman" w:hAnsi="Times New Roman"/>
          <w:noProof/>
          <w:szCs w:val="24"/>
        </w:rPr>
        <w:t>посебан</w:t>
      </w:r>
      <w:r w:rsidR="00304BE4" w:rsidRPr="00295637">
        <w:rPr>
          <w:rFonts w:ascii="Times New Roman" w:hAnsi="Times New Roman"/>
          <w:noProof/>
          <w:szCs w:val="24"/>
        </w:rPr>
        <w:t xml:space="preserve"> </w:t>
      </w:r>
      <w:r>
        <w:rPr>
          <w:rFonts w:ascii="Times New Roman" w:hAnsi="Times New Roman"/>
          <w:noProof/>
          <w:szCs w:val="24"/>
        </w:rPr>
        <w:t>акценат</w:t>
      </w:r>
      <w:r w:rsidR="00304BE4" w:rsidRPr="00295637">
        <w:rPr>
          <w:rFonts w:ascii="Times New Roman" w:hAnsi="Times New Roman"/>
          <w:noProof/>
          <w:szCs w:val="24"/>
        </w:rPr>
        <w:t xml:space="preserve"> </w:t>
      </w:r>
      <w:r>
        <w:rPr>
          <w:rFonts w:ascii="Times New Roman" w:hAnsi="Times New Roman"/>
          <w:noProof/>
          <w:szCs w:val="24"/>
        </w:rPr>
        <w:t>стављен</w:t>
      </w:r>
      <w:r w:rsidR="00304BE4" w:rsidRPr="00295637">
        <w:rPr>
          <w:rFonts w:ascii="Times New Roman" w:hAnsi="Times New Roman"/>
          <w:noProof/>
          <w:szCs w:val="24"/>
        </w:rPr>
        <w:t xml:space="preserve"> </w:t>
      </w:r>
      <w:r>
        <w:rPr>
          <w:rFonts w:ascii="Times New Roman" w:hAnsi="Times New Roman"/>
          <w:noProof/>
          <w:szCs w:val="24"/>
        </w:rPr>
        <w:t>је</w:t>
      </w:r>
      <w:r w:rsidR="00A342FF" w:rsidRPr="00295637">
        <w:rPr>
          <w:rFonts w:ascii="Times New Roman" w:hAnsi="Times New Roman"/>
          <w:noProof/>
          <w:szCs w:val="24"/>
        </w:rPr>
        <w:t xml:space="preserve"> </w:t>
      </w:r>
      <w:r>
        <w:rPr>
          <w:rFonts w:ascii="Times New Roman" w:hAnsi="Times New Roman"/>
          <w:noProof/>
          <w:szCs w:val="24"/>
        </w:rPr>
        <w:t>на</w:t>
      </w:r>
      <w:r w:rsidR="00304BE4" w:rsidRPr="00295637">
        <w:rPr>
          <w:rFonts w:ascii="Times New Roman" w:hAnsi="Times New Roman"/>
          <w:noProof/>
          <w:szCs w:val="24"/>
        </w:rPr>
        <w:t xml:space="preserve"> </w:t>
      </w:r>
      <w:r>
        <w:rPr>
          <w:rFonts w:ascii="Times New Roman" w:hAnsi="Times New Roman"/>
          <w:noProof/>
          <w:szCs w:val="24"/>
        </w:rPr>
        <w:t>тему</w:t>
      </w:r>
      <w:r w:rsidR="00304BE4" w:rsidRPr="00295637">
        <w:rPr>
          <w:rFonts w:ascii="Times New Roman" w:hAnsi="Times New Roman"/>
          <w:noProof/>
          <w:szCs w:val="24"/>
        </w:rPr>
        <w:t xml:space="preserve"> </w:t>
      </w:r>
      <w:r>
        <w:rPr>
          <w:rFonts w:ascii="Times New Roman" w:hAnsi="Times New Roman"/>
          <w:noProof/>
          <w:szCs w:val="24"/>
        </w:rPr>
        <w:t>равноправности</w:t>
      </w:r>
      <w:r w:rsidR="00304BE4" w:rsidRPr="00295637">
        <w:rPr>
          <w:rFonts w:ascii="Times New Roman" w:hAnsi="Times New Roman"/>
          <w:noProof/>
          <w:szCs w:val="24"/>
        </w:rPr>
        <w:t xml:space="preserve"> </w:t>
      </w:r>
      <w:r>
        <w:rPr>
          <w:rFonts w:ascii="Times New Roman" w:hAnsi="Times New Roman"/>
          <w:noProof/>
          <w:szCs w:val="24"/>
        </w:rPr>
        <w:t>полова</w:t>
      </w:r>
      <w:r w:rsidR="007E2ED7" w:rsidRPr="00295637">
        <w:rPr>
          <w:rFonts w:ascii="Times New Roman" w:hAnsi="Times New Roman"/>
          <w:noProof/>
          <w:szCs w:val="24"/>
        </w:rPr>
        <w:t xml:space="preserve"> </w:t>
      </w:r>
      <w:r>
        <w:rPr>
          <w:rFonts w:ascii="Times New Roman" w:hAnsi="Times New Roman"/>
          <w:noProof/>
          <w:szCs w:val="24"/>
        </w:rPr>
        <w:t>и</w:t>
      </w:r>
      <w:r w:rsidR="00304BE4" w:rsidRPr="00295637">
        <w:rPr>
          <w:rFonts w:ascii="Times New Roman" w:hAnsi="Times New Roman"/>
          <w:noProof/>
          <w:szCs w:val="24"/>
        </w:rPr>
        <w:t xml:space="preserve"> </w:t>
      </w:r>
      <w:r>
        <w:rPr>
          <w:rFonts w:ascii="Times New Roman" w:hAnsi="Times New Roman"/>
          <w:noProof/>
          <w:szCs w:val="24"/>
        </w:rPr>
        <w:t>адекватног</w:t>
      </w:r>
      <w:r w:rsidR="00304BE4" w:rsidRPr="00295637">
        <w:rPr>
          <w:rFonts w:ascii="Times New Roman" w:hAnsi="Times New Roman"/>
          <w:noProof/>
          <w:szCs w:val="24"/>
        </w:rPr>
        <w:t xml:space="preserve"> </w:t>
      </w:r>
      <w:r>
        <w:rPr>
          <w:rFonts w:ascii="Times New Roman" w:hAnsi="Times New Roman"/>
          <w:noProof/>
          <w:szCs w:val="24"/>
        </w:rPr>
        <w:t>медијског</w:t>
      </w:r>
      <w:r w:rsidR="00304BE4" w:rsidRPr="00295637">
        <w:rPr>
          <w:rFonts w:ascii="Times New Roman" w:hAnsi="Times New Roman"/>
          <w:noProof/>
          <w:szCs w:val="24"/>
        </w:rPr>
        <w:t xml:space="preserve"> </w:t>
      </w:r>
      <w:r>
        <w:rPr>
          <w:rFonts w:ascii="Times New Roman" w:hAnsi="Times New Roman"/>
          <w:noProof/>
          <w:szCs w:val="24"/>
        </w:rPr>
        <w:t>извјештавања</w:t>
      </w:r>
      <w:r w:rsidR="00304BE4" w:rsidRPr="00295637">
        <w:rPr>
          <w:rFonts w:ascii="Times New Roman" w:hAnsi="Times New Roman"/>
          <w:noProof/>
          <w:szCs w:val="24"/>
        </w:rPr>
        <w:t xml:space="preserve"> </w:t>
      </w:r>
      <w:r>
        <w:rPr>
          <w:rFonts w:ascii="Times New Roman" w:hAnsi="Times New Roman"/>
          <w:noProof/>
          <w:szCs w:val="24"/>
        </w:rPr>
        <w:t>на</w:t>
      </w:r>
      <w:r w:rsidR="00304BE4" w:rsidRPr="00295637">
        <w:rPr>
          <w:rFonts w:ascii="Times New Roman" w:hAnsi="Times New Roman"/>
          <w:noProof/>
          <w:szCs w:val="24"/>
        </w:rPr>
        <w:t xml:space="preserve"> </w:t>
      </w:r>
      <w:r>
        <w:rPr>
          <w:rFonts w:ascii="Times New Roman" w:hAnsi="Times New Roman"/>
          <w:noProof/>
          <w:szCs w:val="24"/>
        </w:rPr>
        <w:t>родно</w:t>
      </w:r>
      <w:r w:rsidR="00F24A6B">
        <w:rPr>
          <w:rFonts w:ascii="Times New Roman" w:hAnsi="Times New Roman"/>
          <w:noProof/>
          <w:szCs w:val="24"/>
        </w:rPr>
        <w:t xml:space="preserve"> </w:t>
      </w:r>
      <w:r>
        <w:rPr>
          <w:rFonts w:ascii="Times New Roman" w:hAnsi="Times New Roman"/>
          <w:noProof/>
          <w:szCs w:val="24"/>
        </w:rPr>
        <w:t>засноване</w:t>
      </w:r>
      <w:r w:rsidR="00304BE4" w:rsidRPr="00295637">
        <w:rPr>
          <w:rFonts w:ascii="Times New Roman" w:hAnsi="Times New Roman"/>
          <w:noProof/>
          <w:szCs w:val="24"/>
        </w:rPr>
        <w:t xml:space="preserve"> </w:t>
      </w:r>
      <w:r>
        <w:rPr>
          <w:rFonts w:ascii="Times New Roman" w:hAnsi="Times New Roman"/>
          <w:noProof/>
          <w:szCs w:val="24"/>
        </w:rPr>
        <w:t>теме</w:t>
      </w:r>
      <w:r w:rsidR="00304BE4" w:rsidRPr="00295637">
        <w:rPr>
          <w:rFonts w:ascii="Times New Roman" w:hAnsi="Times New Roman"/>
          <w:noProof/>
          <w:szCs w:val="24"/>
        </w:rPr>
        <w:t xml:space="preserve">. </w:t>
      </w:r>
    </w:p>
    <w:p w:rsidR="00C142CC" w:rsidRPr="00295637" w:rsidRDefault="00C142CC" w:rsidP="0086268D">
      <w:pPr>
        <w:pStyle w:val="NormalWeb"/>
        <w:spacing w:before="0" w:beforeAutospacing="0" w:after="0" w:afterAutospacing="0"/>
        <w:jc w:val="both"/>
        <w:rPr>
          <w:lang w:val="bs-Latn-BA"/>
        </w:rPr>
      </w:pPr>
    </w:p>
    <w:p w:rsidR="00E9390E" w:rsidRPr="00EF4512" w:rsidRDefault="00C6214E" w:rsidP="0086268D">
      <w:pPr>
        <w:pStyle w:val="NormalWeb"/>
        <w:spacing w:before="0" w:beforeAutospacing="0" w:after="0" w:afterAutospacing="0"/>
        <w:jc w:val="both"/>
        <w:rPr>
          <w:lang w:val="sr-Cyrl-BA"/>
        </w:rPr>
      </w:pPr>
      <w:r>
        <w:rPr>
          <w:lang w:val="bs-Latn-BA"/>
        </w:rPr>
        <w:t>У</w:t>
      </w:r>
      <w:r w:rsidR="00F15BD2" w:rsidRPr="00295637">
        <w:rPr>
          <w:lang w:val="bs-Latn-BA"/>
        </w:rPr>
        <w:t xml:space="preserve"> </w:t>
      </w:r>
      <w:r>
        <w:rPr>
          <w:lang w:val="bs-Latn-BA"/>
        </w:rPr>
        <w:t>Федерацији</w:t>
      </w:r>
      <w:r w:rsidR="00F15BD2" w:rsidRPr="00295637">
        <w:rPr>
          <w:lang w:val="bs-Latn-BA"/>
        </w:rPr>
        <w:t xml:space="preserve"> </w:t>
      </w:r>
      <w:r>
        <w:rPr>
          <w:lang w:val="bs-Latn-BA"/>
        </w:rPr>
        <w:t>БиХ</w:t>
      </w:r>
      <w:r w:rsidR="00F15BD2" w:rsidRPr="00295637">
        <w:rPr>
          <w:lang w:val="bs-Latn-BA"/>
        </w:rPr>
        <w:t xml:space="preserve">, </w:t>
      </w:r>
      <w:r>
        <w:rPr>
          <w:lang w:val="bs-Latn-BA"/>
        </w:rPr>
        <w:t>усвајањем</w:t>
      </w:r>
      <w:r w:rsidR="00D41A15" w:rsidRPr="00295637">
        <w:rPr>
          <w:lang w:val="bs-Latn-BA"/>
        </w:rPr>
        <w:t xml:space="preserve"> </w:t>
      </w:r>
      <w:r>
        <w:rPr>
          <w:lang w:val="bs-Latn-BA"/>
        </w:rPr>
        <w:t>Стратегије</w:t>
      </w:r>
      <w:r w:rsidR="00D41A15" w:rsidRPr="00295637">
        <w:rPr>
          <w:lang w:val="bs-Latn-BA"/>
        </w:rPr>
        <w:t xml:space="preserve"> </w:t>
      </w:r>
      <w:r>
        <w:rPr>
          <w:lang w:val="bs-Latn-BA"/>
        </w:rPr>
        <w:t>за</w:t>
      </w:r>
      <w:r w:rsidR="00D41A15" w:rsidRPr="00295637">
        <w:rPr>
          <w:lang w:val="bs-Latn-BA"/>
        </w:rPr>
        <w:t xml:space="preserve"> </w:t>
      </w:r>
      <w:r>
        <w:rPr>
          <w:lang w:val="bs-Latn-BA"/>
        </w:rPr>
        <w:t>превенцију</w:t>
      </w:r>
      <w:r w:rsidR="00D41A15" w:rsidRPr="00295637">
        <w:rPr>
          <w:lang w:val="bs-Latn-BA"/>
        </w:rPr>
        <w:t xml:space="preserve"> </w:t>
      </w:r>
      <w:r>
        <w:rPr>
          <w:lang w:val="bs-Latn-BA"/>
        </w:rPr>
        <w:t>и</w:t>
      </w:r>
      <w:r w:rsidR="00D41A15" w:rsidRPr="00295637">
        <w:rPr>
          <w:lang w:val="bs-Latn-BA"/>
        </w:rPr>
        <w:t xml:space="preserve"> </w:t>
      </w:r>
      <w:r>
        <w:rPr>
          <w:lang w:val="bs-Latn-BA"/>
        </w:rPr>
        <w:t>борбу</w:t>
      </w:r>
      <w:r w:rsidR="00D41A15" w:rsidRPr="00295637">
        <w:rPr>
          <w:lang w:val="bs-Latn-BA"/>
        </w:rPr>
        <w:t xml:space="preserve"> </w:t>
      </w:r>
      <w:r>
        <w:rPr>
          <w:lang w:val="bs-Latn-BA"/>
        </w:rPr>
        <w:t>против</w:t>
      </w:r>
      <w:r w:rsidR="00D41A15" w:rsidRPr="00295637">
        <w:rPr>
          <w:lang w:val="bs-Latn-BA"/>
        </w:rPr>
        <w:t xml:space="preserve"> </w:t>
      </w:r>
      <w:r>
        <w:rPr>
          <w:lang w:val="bs-Latn-BA"/>
        </w:rPr>
        <w:t>насиља</w:t>
      </w:r>
      <w:r w:rsidR="00D33EA8" w:rsidRPr="00295637">
        <w:rPr>
          <w:lang w:val="bs-Latn-BA"/>
        </w:rPr>
        <w:t xml:space="preserve"> </w:t>
      </w:r>
      <w:r>
        <w:rPr>
          <w:lang w:val="bs-Latn-BA"/>
        </w:rPr>
        <w:t>у</w:t>
      </w:r>
      <w:r w:rsidR="00D33EA8" w:rsidRPr="00295637">
        <w:rPr>
          <w:lang w:val="bs-Latn-BA"/>
        </w:rPr>
        <w:t xml:space="preserve"> </w:t>
      </w:r>
      <w:r>
        <w:rPr>
          <w:lang w:val="bs-Latn-BA"/>
        </w:rPr>
        <w:t>породици</w:t>
      </w:r>
      <w:r w:rsidR="00D33EA8" w:rsidRPr="00295637">
        <w:rPr>
          <w:lang w:val="bs-Latn-BA"/>
        </w:rPr>
        <w:t xml:space="preserve"> (2024</w:t>
      </w:r>
      <w:r w:rsidR="00F24A6B">
        <w:rPr>
          <w:lang w:val="bs-Latn-BA"/>
        </w:rPr>
        <w:t>-</w:t>
      </w:r>
      <w:r w:rsidR="00D33EA8" w:rsidRPr="00295637">
        <w:rPr>
          <w:lang w:val="bs-Latn-BA"/>
        </w:rPr>
        <w:t>2027</w:t>
      </w:r>
      <w:r w:rsidR="00F24A6B">
        <w:rPr>
          <w:lang w:val="bs-Latn-BA"/>
        </w:rPr>
        <w:t xml:space="preserve">. </w:t>
      </w:r>
      <w:r>
        <w:rPr>
          <w:lang w:val="bs-Latn-BA"/>
        </w:rPr>
        <w:t>година</w:t>
      </w:r>
      <w:r w:rsidR="00D41A15" w:rsidRPr="00295637">
        <w:rPr>
          <w:lang w:val="bs-Latn-BA"/>
        </w:rPr>
        <w:t xml:space="preserve">), </w:t>
      </w:r>
      <w:r>
        <w:rPr>
          <w:lang w:val="bs-Latn-BA"/>
        </w:rPr>
        <w:t>створени</w:t>
      </w:r>
      <w:r w:rsidR="00D41A15" w:rsidRPr="00295637">
        <w:rPr>
          <w:lang w:val="bs-Latn-BA"/>
        </w:rPr>
        <w:t xml:space="preserve"> </w:t>
      </w:r>
      <w:r>
        <w:rPr>
          <w:lang w:val="bs-Latn-BA"/>
        </w:rPr>
        <w:t>су</w:t>
      </w:r>
      <w:r w:rsidR="00D41A15" w:rsidRPr="00295637">
        <w:rPr>
          <w:lang w:val="bs-Latn-BA"/>
        </w:rPr>
        <w:t xml:space="preserve"> </w:t>
      </w:r>
      <w:r w:rsidR="001C68B1">
        <w:rPr>
          <w:lang w:val="sr-Cyrl-BA"/>
        </w:rPr>
        <w:t>основи</w:t>
      </w:r>
      <w:r w:rsidR="00D41A15" w:rsidRPr="00295637">
        <w:rPr>
          <w:lang w:val="bs-Latn-BA"/>
        </w:rPr>
        <w:t xml:space="preserve"> </w:t>
      </w:r>
      <w:r>
        <w:rPr>
          <w:lang w:val="bs-Latn-BA"/>
        </w:rPr>
        <w:t>за</w:t>
      </w:r>
      <w:r w:rsidR="00D41A15" w:rsidRPr="00295637">
        <w:rPr>
          <w:lang w:val="bs-Latn-BA"/>
        </w:rPr>
        <w:t xml:space="preserve"> </w:t>
      </w:r>
      <w:r>
        <w:rPr>
          <w:lang w:val="bs-Latn-BA"/>
        </w:rPr>
        <w:t>јачи</w:t>
      </w:r>
      <w:r w:rsidR="00D41A15" w:rsidRPr="00295637">
        <w:rPr>
          <w:lang w:val="bs-Latn-BA"/>
        </w:rPr>
        <w:t xml:space="preserve"> </w:t>
      </w:r>
      <w:r>
        <w:rPr>
          <w:lang w:val="bs-Latn-BA"/>
        </w:rPr>
        <w:t>институционални</w:t>
      </w:r>
      <w:r w:rsidR="00D41A15" w:rsidRPr="00295637">
        <w:rPr>
          <w:lang w:val="bs-Latn-BA"/>
        </w:rPr>
        <w:t xml:space="preserve"> </w:t>
      </w:r>
      <w:r>
        <w:rPr>
          <w:lang w:val="bs-Latn-BA"/>
        </w:rPr>
        <w:t>одговор</w:t>
      </w:r>
      <w:r w:rsidR="00D41A15" w:rsidRPr="00295637">
        <w:rPr>
          <w:lang w:val="bs-Latn-BA"/>
        </w:rPr>
        <w:t xml:space="preserve"> </w:t>
      </w:r>
      <w:r>
        <w:rPr>
          <w:lang w:val="bs-Latn-BA"/>
        </w:rPr>
        <w:t>на</w:t>
      </w:r>
      <w:r w:rsidR="00D41A15" w:rsidRPr="00295637">
        <w:rPr>
          <w:lang w:val="bs-Latn-BA"/>
        </w:rPr>
        <w:t xml:space="preserve"> </w:t>
      </w:r>
      <w:r>
        <w:rPr>
          <w:lang w:val="bs-Latn-BA"/>
        </w:rPr>
        <w:t>овај</w:t>
      </w:r>
      <w:r w:rsidR="00D41A15" w:rsidRPr="00295637">
        <w:rPr>
          <w:lang w:val="bs-Latn-BA"/>
        </w:rPr>
        <w:t xml:space="preserve"> </w:t>
      </w:r>
      <w:r>
        <w:rPr>
          <w:lang w:val="bs-Latn-BA"/>
        </w:rPr>
        <w:t>проблем</w:t>
      </w:r>
      <w:r w:rsidR="00D41A15" w:rsidRPr="00295637">
        <w:rPr>
          <w:lang w:val="bs-Latn-BA"/>
        </w:rPr>
        <w:t xml:space="preserve">. </w:t>
      </w:r>
      <w:r w:rsidR="001C68B1">
        <w:rPr>
          <w:lang w:val="bs-Latn-BA"/>
        </w:rPr>
        <w:t>Такође</w:t>
      </w:r>
      <w:r w:rsidR="00D41A15" w:rsidRPr="00295637">
        <w:rPr>
          <w:lang w:val="bs-Latn-BA"/>
        </w:rPr>
        <w:t xml:space="preserve">, </w:t>
      </w:r>
      <w:r>
        <w:rPr>
          <w:lang w:val="bs-Latn-BA"/>
        </w:rPr>
        <w:t>једногласно</w:t>
      </w:r>
      <w:r w:rsidR="00D41A15" w:rsidRPr="00295637">
        <w:rPr>
          <w:lang w:val="bs-Latn-BA"/>
        </w:rPr>
        <w:t xml:space="preserve"> </w:t>
      </w:r>
      <w:r>
        <w:rPr>
          <w:lang w:val="bs-Latn-BA"/>
        </w:rPr>
        <w:t>је</w:t>
      </w:r>
      <w:r w:rsidR="00D41A15" w:rsidRPr="00295637">
        <w:rPr>
          <w:lang w:val="bs-Latn-BA"/>
        </w:rPr>
        <w:t xml:space="preserve"> </w:t>
      </w:r>
      <w:r>
        <w:rPr>
          <w:lang w:val="bs-Latn-BA"/>
        </w:rPr>
        <w:t>усвојен</w:t>
      </w:r>
      <w:r w:rsidR="00D41A15" w:rsidRPr="00295637">
        <w:rPr>
          <w:lang w:val="bs-Latn-BA"/>
        </w:rPr>
        <w:t xml:space="preserve"> </w:t>
      </w:r>
      <w:r>
        <w:rPr>
          <w:lang w:val="bs-Latn-BA"/>
        </w:rPr>
        <w:t>и</w:t>
      </w:r>
      <w:r w:rsidR="00D41A15" w:rsidRPr="00295637">
        <w:rPr>
          <w:lang w:val="bs-Latn-BA"/>
        </w:rPr>
        <w:t xml:space="preserve"> </w:t>
      </w:r>
      <w:r>
        <w:rPr>
          <w:lang w:val="bs-Latn-BA"/>
        </w:rPr>
        <w:t>нови</w:t>
      </w:r>
      <w:r w:rsidR="00D41A15" w:rsidRPr="00295637">
        <w:rPr>
          <w:lang w:val="bs-Latn-BA"/>
        </w:rPr>
        <w:t xml:space="preserve"> </w:t>
      </w:r>
      <w:r>
        <w:rPr>
          <w:lang w:val="bs-Latn-BA"/>
        </w:rPr>
        <w:t>Закон</w:t>
      </w:r>
      <w:r w:rsidR="00D41A15" w:rsidRPr="00295637">
        <w:rPr>
          <w:lang w:val="bs-Latn-BA"/>
        </w:rPr>
        <w:t xml:space="preserve"> </w:t>
      </w:r>
      <w:r>
        <w:rPr>
          <w:lang w:val="bs-Latn-BA"/>
        </w:rPr>
        <w:t>о</w:t>
      </w:r>
      <w:r w:rsidR="00D41A15" w:rsidRPr="00295637">
        <w:rPr>
          <w:lang w:val="bs-Latn-BA"/>
        </w:rPr>
        <w:t xml:space="preserve"> </w:t>
      </w:r>
      <w:r>
        <w:rPr>
          <w:lang w:val="bs-Latn-BA"/>
        </w:rPr>
        <w:t>заштити</w:t>
      </w:r>
      <w:r w:rsidR="00D41A15" w:rsidRPr="00295637">
        <w:rPr>
          <w:lang w:val="bs-Latn-BA"/>
        </w:rPr>
        <w:t xml:space="preserve"> </w:t>
      </w:r>
      <w:r>
        <w:rPr>
          <w:lang w:val="bs-Latn-BA"/>
        </w:rPr>
        <w:t>од</w:t>
      </w:r>
      <w:r w:rsidR="00D41A15" w:rsidRPr="00295637">
        <w:rPr>
          <w:lang w:val="bs-Latn-BA"/>
        </w:rPr>
        <w:t xml:space="preserve"> </w:t>
      </w:r>
      <w:r>
        <w:rPr>
          <w:lang w:val="bs-Latn-BA"/>
        </w:rPr>
        <w:t>насиља</w:t>
      </w:r>
      <w:r w:rsidR="00D41A15" w:rsidRPr="00295637">
        <w:rPr>
          <w:lang w:val="bs-Latn-BA"/>
        </w:rPr>
        <w:t xml:space="preserve"> </w:t>
      </w:r>
      <w:r>
        <w:rPr>
          <w:lang w:val="bs-Latn-BA"/>
        </w:rPr>
        <w:t>у</w:t>
      </w:r>
      <w:r w:rsidR="00D41A15" w:rsidRPr="00295637">
        <w:rPr>
          <w:lang w:val="bs-Latn-BA"/>
        </w:rPr>
        <w:t xml:space="preserve"> </w:t>
      </w:r>
      <w:r>
        <w:rPr>
          <w:lang w:val="bs-Latn-BA"/>
        </w:rPr>
        <w:t>породици</w:t>
      </w:r>
      <w:r w:rsidR="00D41A15" w:rsidRPr="00295637">
        <w:rPr>
          <w:lang w:val="bs-Latn-BA"/>
        </w:rPr>
        <w:t xml:space="preserve"> </w:t>
      </w:r>
      <w:r>
        <w:rPr>
          <w:lang w:val="bs-Latn-BA"/>
        </w:rPr>
        <w:t>и</w:t>
      </w:r>
      <w:r w:rsidR="00D41A15" w:rsidRPr="00295637">
        <w:rPr>
          <w:lang w:val="bs-Latn-BA"/>
        </w:rPr>
        <w:t xml:space="preserve"> </w:t>
      </w:r>
      <w:r>
        <w:rPr>
          <w:lang w:val="bs-Latn-BA"/>
        </w:rPr>
        <w:t>насиља</w:t>
      </w:r>
      <w:r w:rsidR="00D41A15" w:rsidRPr="00295637">
        <w:rPr>
          <w:lang w:val="bs-Latn-BA"/>
        </w:rPr>
        <w:t xml:space="preserve"> </w:t>
      </w:r>
      <w:r>
        <w:rPr>
          <w:lang w:val="bs-Latn-BA"/>
        </w:rPr>
        <w:t>према</w:t>
      </w:r>
      <w:r w:rsidR="00D41A15" w:rsidRPr="00295637">
        <w:rPr>
          <w:lang w:val="bs-Latn-BA"/>
        </w:rPr>
        <w:t xml:space="preserve"> </w:t>
      </w:r>
      <w:r>
        <w:rPr>
          <w:lang w:val="bs-Latn-BA"/>
        </w:rPr>
        <w:t>женама</w:t>
      </w:r>
      <w:r w:rsidR="00D41A15" w:rsidRPr="00295637">
        <w:rPr>
          <w:lang w:val="bs-Latn-BA"/>
        </w:rPr>
        <w:t xml:space="preserve">, </w:t>
      </w:r>
      <w:r>
        <w:rPr>
          <w:lang w:val="bs-Latn-BA"/>
        </w:rPr>
        <w:t>који</w:t>
      </w:r>
      <w:r w:rsidR="00D41A15" w:rsidRPr="00295637">
        <w:rPr>
          <w:lang w:val="bs-Latn-BA"/>
        </w:rPr>
        <w:t xml:space="preserve"> </w:t>
      </w:r>
      <w:r>
        <w:rPr>
          <w:lang w:val="bs-Latn-BA"/>
        </w:rPr>
        <w:t>о</w:t>
      </w:r>
      <w:r w:rsidR="001C68B1">
        <w:rPr>
          <w:lang w:val="sr-Cyrl-BA"/>
        </w:rPr>
        <w:t>безбјеђује</w:t>
      </w:r>
      <w:r w:rsidR="00D41A15" w:rsidRPr="00295637">
        <w:rPr>
          <w:lang w:val="bs-Latn-BA"/>
        </w:rPr>
        <w:t xml:space="preserve"> </w:t>
      </w:r>
      <w:r>
        <w:rPr>
          <w:lang w:val="bs-Latn-BA"/>
        </w:rPr>
        <w:t>ефикасније</w:t>
      </w:r>
      <w:r w:rsidR="00D41A15" w:rsidRPr="00295637">
        <w:rPr>
          <w:lang w:val="bs-Latn-BA"/>
        </w:rPr>
        <w:t xml:space="preserve"> </w:t>
      </w:r>
      <w:r>
        <w:rPr>
          <w:lang w:val="bs-Latn-BA"/>
        </w:rPr>
        <w:t>механизме</w:t>
      </w:r>
      <w:r w:rsidR="00D41A15" w:rsidRPr="00295637">
        <w:rPr>
          <w:lang w:val="bs-Latn-BA"/>
        </w:rPr>
        <w:t xml:space="preserve"> </w:t>
      </w:r>
      <w:r>
        <w:rPr>
          <w:lang w:val="bs-Latn-BA"/>
        </w:rPr>
        <w:t>заштите</w:t>
      </w:r>
      <w:r w:rsidR="00D41A15" w:rsidRPr="00295637">
        <w:rPr>
          <w:lang w:val="bs-Latn-BA"/>
        </w:rPr>
        <w:t xml:space="preserve"> </w:t>
      </w:r>
      <w:r>
        <w:rPr>
          <w:lang w:val="bs-Latn-BA"/>
        </w:rPr>
        <w:t>и</w:t>
      </w:r>
      <w:r w:rsidR="00D41A15" w:rsidRPr="00295637">
        <w:rPr>
          <w:lang w:val="bs-Latn-BA"/>
        </w:rPr>
        <w:t xml:space="preserve"> </w:t>
      </w:r>
      <w:r>
        <w:rPr>
          <w:lang w:val="bs-Latn-BA"/>
        </w:rPr>
        <w:t>подршке</w:t>
      </w:r>
      <w:r w:rsidR="00D41A15" w:rsidRPr="00295637">
        <w:rPr>
          <w:lang w:val="bs-Latn-BA"/>
        </w:rPr>
        <w:t xml:space="preserve"> </w:t>
      </w:r>
      <w:r>
        <w:rPr>
          <w:lang w:val="bs-Latn-BA"/>
        </w:rPr>
        <w:t>жртвама</w:t>
      </w:r>
      <w:r w:rsidR="00D41A15" w:rsidRPr="00295637">
        <w:rPr>
          <w:lang w:val="bs-Latn-BA"/>
        </w:rPr>
        <w:t xml:space="preserve">. </w:t>
      </w:r>
      <w:r>
        <w:rPr>
          <w:lang w:val="bs-Latn-BA"/>
        </w:rPr>
        <w:t>Повећана</w:t>
      </w:r>
      <w:r w:rsidR="00D41A15" w:rsidRPr="00295637">
        <w:rPr>
          <w:lang w:val="bs-Latn-BA"/>
        </w:rPr>
        <w:t xml:space="preserve"> </w:t>
      </w:r>
      <w:r>
        <w:rPr>
          <w:lang w:val="bs-Latn-BA"/>
        </w:rPr>
        <w:t>су</w:t>
      </w:r>
      <w:r w:rsidR="00D41A15" w:rsidRPr="00295637">
        <w:rPr>
          <w:lang w:val="bs-Latn-BA"/>
        </w:rPr>
        <w:t xml:space="preserve"> </w:t>
      </w:r>
      <w:r>
        <w:rPr>
          <w:lang w:val="bs-Latn-BA"/>
        </w:rPr>
        <w:t>и</w:t>
      </w:r>
      <w:r w:rsidR="00D41A15" w:rsidRPr="00295637">
        <w:rPr>
          <w:lang w:val="bs-Latn-BA"/>
        </w:rPr>
        <w:t xml:space="preserve"> </w:t>
      </w:r>
      <w:r>
        <w:rPr>
          <w:lang w:val="bs-Latn-BA"/>
        </w:rPr>
        <w:t>буџетска</w:t>
      </w:r>
      <w:r w:rsidR="00D41A15" w:rsidRPr="00295637">
        <w:rPr>
          <w:lang w:val="bs-Latn-BA"/>
        </w:rPr>
        <w:t xml:space="preserve"> </w:t>
      </w:r>
      <w:r>
        <w:rPr>
          <w:lang w:val="bs-Latn-BA"/>
        </w:rPr>
        <w:t>издвајања</w:t>
      </w:r>
      <w:r w:rsidR="00D41A15" w:rsidRPr="00295637">
        <w:rPr>
          <w:lang w:val="bs-Latn-BA"/>
        </w:rPr>
        <w:t xml:space="preserve"> </w:t>
      </w:r>
      <w:r>
        <w:rPr>
          <w:lang w:val="bs-Latn-BA"/>
        </w:rPr>
        <w:t>за</w:t>
      </w:r>
      <w:r w:rsidR="00D41A15" w:rsidRPr="00295637">
        <w:rPr>
          <w:lang w:val="bs-Latn-BA"/>
        </w:rPr>
        <w:t xml:space="preserve"> </w:t>
      </w:r>
      <w:r>
        <w:rPr>
          <w:lang w:val="bs-Latn-BA"/>
        </w:rPr>
        <w:t>сигурне</w:t>
      </w:r>
      <w:r w:rsidR="00D41A15" w:rsidRPr="00295637">
        <w:rPr>
          <w:lang w:val="bs-Latn-BA"/>
        </w:rPr>
        <w:t xml:space="preserve"> </w:t>
      </w:r>
      <w:r>
        <w:rPr>
          <w:lang w:val="bs-Latn-BA"/>
        </w:rPr>
        <w:t>куће</w:t>
      </w:r>
      <w:r w:rsidR="00D41A15" w:rsidRPr="00295637">
        <w:rPr>
          <w:lang w:val="bs-Latn-BA"/>
        </w:rPr>
        <w:t xml:space="preserve">, </w:t>
      </w:r>
      <w:r>
        <w:rPr>
          <w:lang w:val="bs-Latn-BA"/>
        </w:rPr>
        <w:t>правну</w:t>
      </w:r>
      <w:r w:rsidR="00D41A15" w:rsidRPr="00295637">
        <w:rPr>
          <w:lang w:val="bs-Latn-BA"/>
        </w:rPr>
        <w:t xml:space="preserve"> </w:t>
      </w:r>
      <w:r>
        <w:rPr>
          <w:lang w:val="bs-Latn-BA"/>
        </w:rPr>
        <w:t>помоћ</w:t>
      </w:r>
      <w:r w:rsidR="00D41A15" w:rsidRPr="00295637">
        <w:rPr>
          <w:lang w:val="bs-Latn-BA"/>
        </w:rPr>
        <w:t xml:space="preserve"> </w:t>
      </w:r>
      <w:r>
        <w:rPr>
          <w:lang w:val="bs-Latn-BA"/>
        </w:rPr>
        <w:t>и</w:t>
      </w:r>
      <w:r w:rsidR="00D41A15" w:rsidRPr="00295637">
        <w:rPr>
          <w:lang w:val="bs-Latn-BA"/>
        </w:rPr>
        <w:t xml:space="preserve"> </w:t>
      </w:r>
      <w:r>
        <w:rPr>
          <w:lang w:val="bs-Latn-BA"/>
        </w:rPr>
        <w:t>хитне</w:t>
      </w:r>
      <w:r w:rsidR="00D41A15" w:rsidRPr="00295637">
        <w:rPr>
          <w:lang w:val="bs-Latn-BA"/>
        </w:rPr>
        <w:t xml:space="preserve"> </w:t>
      </w:r>
      <w:r>
        <w:rPr>
          <w:lang w:val="bs-Latn-BA"/>
        </w:rPr>
        <w:t>интервенције</w:t>
      </w:r>
      <w:r w:rsidR="00D41A15" w:rsidRPr="00295637">
        <w:rPr>
          <w:lang w:val="bs-Latn-BA"/>
        </w:rPr>
        <w:t xml:space="preserve">, </w:t>
      </w:r>
      <w:r>
        <w:rPr>
          <w:lang w:val="bs-Latn-BA"/>
        </w:rPr>
        <w:t>док</w:t>
      </w:r>
      <w:r w:rsidR="00D41A15" w:rsidRPr="00295637">
        <w:rPr>
          <w:lang w:val="bs-Latn-BA"/>
        </w:rPr>
        <w:t xml:space="preserve"> </w:t>
      </w:r>
      <w:r>
        <w:rPr>
          <w:lang w:val="bs-Latn-BA"/>
        </w:rPr>
        <w:t>је</w:t>
      </w:r>
      <w:r w:rsidR="00D41A15" w:rsidRPr="00295637">
        <w:rPr>
          <w:lang w:val="bs-Latn-BA"/>
        </w:rPr>
        <w:t xml:space="preserve"> </w:t>
      </w:r>
      <w:r>
        <w:rPr>
          <w:lang w:val="bs-Latn-BA"/>
        </w:rPr>
        <w:t>за</w:t>
      </w:r>
      <w:r w:rsidR="00D41A15" w:rsidRPr="00295637">
        <w:rPr>
          <w:lang w:val="bs-Latn-BA"/>
        </w:rPr>
        <w:t xml:space="preserve"> </w:t>
      </w:r>
      <w:r>
        <w:rPr>
          <w:lang w:val="bs-Latn-BA"/>
        </w:rPr>
        <w:t>запошљавање</w:t>
      </w:r>
      <w:r w:rsidR="00D41A15" w:rsidRPr="00295637">
        <w:rPr>
          <w:lang w:val="bs-Latn-BA"/>
        </w:rPr>
        <w:t xml:space="preserve"> </w:t>
      </w:r>
      <w:r>
        <w:rPr>
          <w:lang w:val="bs-Latn-BA"/>
        </w:rPr>
        <w:t>рањивих</w:t>
      </w:r>
      <w:r w:rsidR="00D41A15" w:rsidRPr="00295637">
        <w:rPr>
          <w:lang w:val="bs-Latn-BA"/>
        </w:rPr>
        <w:t xml:space="preserve"> </w:t>
      </w:r>
      <w:r>
        <w:rPr>
          <w:lang w:val="bs-Latn-BA"/>
        </w:rPr>
        <w:t>категорија</w:t>
      </w:r>
      <w:r w:rsidR="00D41A15" w:rsidRPr="00295637">
        <w:rPr>
          <w:lang w:val="bs-Latn-BA"/>
        </w:rPr>
        <w:t xml:space="preserve"> - </w:t>
      </w:r>
      <w:r>
        <w:rPr>
          <w:lang w:val="bs-Latn-BA"/>
        </w:rPr>
        <w:t>са</w:t>
      </w:r>
      <w:r w:rsidR="00D41A15" w:rsidRPr="00295637">
        <w:rPr>
          <w:lang w:val="bs-Latn-BA"/>
        </w:rPr>
        <w:t xml:space="preserve"> </w:t>
      </w:r>
      <w:r>
        <w:rPr>
          <w:lang w:val="bs-Latn-BA"/>
        </w:rPr>
        <w:t>посебним</w:t>
      </w:r>
      <w:r w:rsidR="00D41A15" w:rsidRPr="00295637">
        <w:rPr>
          <w:lang w:val="bs-Latn-BA"/>
        </w:rPr>
        <w:t xml:space="preserve"> </w:t>
      </w:r>
      <w:r>
        <w:rPr>
          <w:lang w:val="bs-Latn-BA"/>
        </w:rPr>
        <w:t>фокусом</w:t>
      </w:r>
      <w:r w:rsidR="00D41A15" w:rsidRPr="00295637">
        <w:rPr>
          <w:lang w:val="bs-Latn-BA"/>
        </w:rPr>
        <w:t xml:space="preserve"> </w:t>
      </w:r>
      <w:r>
        <w:rPr>
          <w:lang w:val="bs-Latn-BA"/>
        </w:rPr>
        <w:t>на</w:t>
      </w:r>
      <w:r w:rsidR="00D41A15" w:rsidRPr="00295637">
        <w:rPr>
          <w:lang w:val="bs-Latn-BA"/>
        </w:rPr>
        <w:t xml:space="preserve"> </w:t>
      </w:r>
      <w:r>
        <w:rPr>
          <w:lang w:val="bs-Latn-BA"/>
        </w:rPr>
        <w:t>жене</w:t>
      </w:r>
      <w:r w:rsidR="00D41A15" w:rsidRPr="00295637">
        <w:rPr>
          <w:lang w:val="bs-Latn-BA"/>
        </w:rPr>
        <w:t xml:space="preserve"> - </w:t>
      </w:r>
      <w:r>
        <w:rPr>
          <w:lang w:val="bs-Latn-BA"/>
        </w:rPr>
        <w:t>у</w:t>
      </w:r>
      <w:r w:rsidR="00D41A15" w:rsidRPr="00295637">
        <w:rPr>
          <w:lang w:val="bs-Latn-BA"/>
        </w:rPr>
        <w:t xml:space="preserve"> </w:t>
      </w:r>
      <w:r>
        <w:rPr>
          <w:lang w:val="bs-Latn-BA"/>
        </w:rPr>
        <w:t>буџету</w:t>
      </w:r>
      <w:r w:rsidR="00D41A15" w:rsidRPr="00295637">
        <w:rPr>
          <w:lang w:val="bs-Latn-BA"/>
        </w:rPr>
        <w:t xml:space="preserve"> </w:t>
      </w:r>
      <w:r>
        <w:rPr>
          <w:lang w:val="bs-Latn-BA"/>
        </w:rPr>
        <w:t>за</w:t>
      </w:r>
      <w:r w:rsidR="00D41A15" w:rsidRPr="00295637">
        <w:rPr>
          <w:lang w:val="bs-Latn-BA"/>
        </w:rPr>
        <w:t xml:space="preserve"> 2025. </w:t>
      </w:r>
      <w:r w:rsidR="00EF4512">
        <w:rPr>
          <w:lang w:val="bs-Latn-BA"/>
        </w:rPr>
        <w:t>Г</w:t>
      </w:r>
      <w:r>
        <w:rPr>
          <w:lang w:val="bs-Latn-BA"/>
        </w:rPr>
        <w:t>одину</w:t>
      </w:r>
      <w:r w:rsidR="00EF4512">
        <w:rPr>
          <w:lang w:val="sr-Cyrl-BA"/>
        </w:rPr>
        <w:t xml:space="preserve"> </w:t>
      </w:r>
      <w:r>
        <w:rPr>
          <w:lang w:val="bs-Latn-BA"/>
        </w:rPr>
        <w:t>о</w:t>
      </w:r>
      <w:r w:rsidR="00EF4512">
        <w:rPr>
          <w:lang w:val="sr-Cyrl-BA"/>
        </w:rPr>
        <w:t>безбијеђено</w:t>
      </w:r>
      <w:r w:rsidR="00D41A15" w:rsidRPr="00295637">
        <w:rPr>
          <w:lang w:val="bs-Latn-BA"/>
        </w:rPr>
        <w:t xml:space="preserve"> 28 </w:t>
      </w:r>
      <w:r>
        <w:rPr>
          <w:lang w:val="bs-Latn-BA"/>
        </w:rPr>
        <w:t>милиона</w:t>
      </w:r>
      <w:r w:rsidR="00D41A15" w:rsidRPr="00295637">
        <w:rPr>
          <w:lang w:val="bs-Latn-BA"/>
        </w:rPr>
        <w:t xml:space="preserve"> </w:t>
      </w:r>
      <w:r>
        <w:rPr>
          <w:lang w:val="bs-Latn-BA"/>
        </w:rPr>
        <w:t>КМ</w:t>
      </w:r>
      <w:r w:rsidR="00D41A15" w:rsidRPr="00295637">
        <w:rPr>
          <w:lang w:val="bs-Latn-BA"/>
        </w:rPr>
        <w:t xml:space="preserve">, </w:t>
      </w:r>
      <w:r>
        <w:rPr>
          <w:lang w:val="bs-Latn-BA"/>
        </w:rPr>
        <w:t>од</w:t>
      </w:r>
      <w:r w:rsidR="00D41A15" w:rsidRPr="00295637">
        <w:rPr>
          <w:lang w:val="bs-Latn-BA"/>
        </w:rPr>
        <w:t xml:space="preserve"> </w:t>
      </w:r>
      <w:r>
        <w:rPr>
          <w:lang w:val="bs-Latn-BA"/>
        </w:rPr>
        <w:t>чега</w:t>
      </w:r>
      <w:r w:rsidR="00D41A15" w:rsidRPr="00295637">
        <w:rPr>
          <w:lang w:val="bs-Latn-BA"/>
        </w:rPr>
        <w:t xml:space="preserve"> 1,5 </w:t>
      </w:r>
      <w:r>
        <w:rPr>
          <w:lang w:val="bs-Latn-BA"/>
        </w:rPr>
        <w:t>милиона</w:t>
      </w:r>
      <w:r w:rsidR="00D41A15" w:rsidRPr="00295637">
        <w:rPr>
          <w:lang w:val="bs-Latn-BA"/>
        </w:rPr>
        <w:t xml:space="preserve"> </w:t>
      </w:r>
      <w:r>
        <w:rPr>
          <w:lang w:val="bs-Latn-BA"/>
        </w:rPr>
        <w:t>КМ</w:t>
      </w:r>
      <w:r w:rsidR="00D41A15" w:rsidRPr="00295637">
        <w:rPr>
          <w:lang w:val="bs-Latn-BA"/>
        </w:rPr>
        <w:t xml:space="preserve"> </w:t>
      </w:r>
      <w:r>
        <w:rPr>
          <w:lang w:val="bs-Latn-BA"/>
        </w:rPr>
        <w:t>директно</w:t>
      </w:r>
      <w:r w:rsidR="00D41A15" w:rsidRPr="00295637">
        <w:rPr>
          <w:lang w:val="bs-Latn-BA"/>
        </w:rPr>
        <w:t xml:space="preserve"> </w:t>
      </w:r>
      <w:r>
        <w:rPr>
          <w:lang w:val="bs-Latn-BA"/>
        </w:rPr>
        <w:t>за</w:t>
      </w:r>
      <w:r w:rsidR="00D41A15" w:rsidRPr="00295637">
        <w:rPr>
          <w:lang w:val="bs-Latn-BA"/>
        </w:rPr>
        <w:t xml:space="preserve"> </w:t>
      </w:r>
      <w:r>
        <w:rPr>
          <w:lang w:val="bs-Latn-BA"/>
        </w:rPr>
        <w:t>жене</w:t>
      </w:r>
      <w:r w:rsidR="00D41A15" w:rsidRPr="00295637">
        <w:rPr>
          <w:lang w:val="bs-Latn-BA"/>
        </w:rPr>
        <w:t xml:space="preserve"> </w:t>
      </w:r>
      <w:r>
        <w:rPr>
          <w:lang w:val="bs-Latn-BA"/>
        </w:rPr>
        <w:t>и</w:t>
      </w:r>
      <w:r w:rsidR="00D41A15" w:rsidRPr="00295637">
        <w:rPr>
          <w:lang w:val="bs-Latn-BA"/>
        </w:rPr>
        <w:t xml:space="preserve"> </w:t>
      </w:r>
      <w:r>
        <w:rPr>
          <w:lang w:val="bs-Latn-BA"/>
        </w:rPr>
        <w:t>дјецу</w:t>
      </w:r>
      <w:r w:rsidR="00D41A15" w:rsidRPr="00295637">
        <w:rPr>
          <w:lang w:val="bs-Latn-BA"/>
        </w:rPr>
        <w:t xml:space="preserve"> </w:t>
      </w:r>
      <w:r>
        <w:rPr>
          <w:lang w:val="bs-Latn-BA"/>
        </w:rPr>
        <w:t>жртве</w:t>
      </w:r>
      <w:r w:rsidR="00D41A15" w:rsidRPr="00295637">
        <w:rPr>
          <w:lang w:val="bs-Latn-BA"/>
        </w:rPr>
        <w:t xml:space="preserve"> </w:t>
      </w:r>
      <w:r>
        <w:rPr>
          <w:lang w:val="bs-Latn-BA"/>
        </w:rPr>
        <w:t>родно</w:t>
      </w:r>
      <w:r w:rsidR="00D41A15" w:rsidRPr="00295637">
        <w:rPr>
          <w:lang w:val="bs-Latn-BA"/>
        </w:rPr>
        <w:t xml:space="preserve"> </w:t>
      </w:r>
      <w:r>
        <w:rPr>
          <w:lang w:val="bs-Latn-BA"/>
        </w:rPr>
        <w:t>заснованог</w:t>
      </w:r>
      <w:r w:rsidR="00D41A15" w:rsidRPr="00295637">
        <w:rPr>
          <w:lang w:val="bs-Latn-BA"/>
        </w:rPr>
        <w:t xml:space="preserve"> </w:t>
      </w:r>
      <w:r>
        <w:rPr>
          <w:lang w:val="bs-Latn-BA"/>
        </w:rPr>
        <w:t>насиља</w:t>
      </w:r>
      <w:r w:rsidR="00D41A15" w:rsidRPr="00295637">
        <w:rPr>
          <w:lang w:val="bs-Latn-BA"/>
        </w:rPr>
        <w:t xml:space="preserve">. </w:t>
      </w:r>
    </w:p>
    <w:p w:rsidR="00C142CC" w:rsidRPr="00295637" w:rsidRDefault="00C142CC" w:rsidP="0086268D">
      <w:pPr>
        <w:pStyle w:val="NormalWeb"/>
        <w:spacing w:before="0" w:beforeAutospacing="0" w:after="0" w:afterAutospacing="0"/>
        <w:jc w:val="both"/>
        <w:rPr>
          <w:lang w:val="bs-Latn-BA"/>
        </w:rPr>
      </w:pPr>
    </w:p>
    <w:p w:rsidR="00D41A15" w:rsidRPr="00295637" w:rsidRDefault="00C6214E" w:rsidP="0086268D">
      <w:pPr>
        <w:pStyle w:val="NormalWeb"/>
        <w:spacing w:before="0" w:beforeAutospacing="0" w:after="0" w:afterAutospacing="0"/>
        <w:jc w:val="both"/>
        <w:rPr>
          <w:lang w:val="bs-Latn-BA"/>
        </w:rPr>
      </w:pPr>
      <w:r>
        <w:rPr>
          <w:lang w:val="bs-Latn-BA"/>
        </w:rPr>
        <w:t>Влада</w:t>
      </w:r>
      <w:r w:rsidR="00F24A6B">
        <w:rPr>
          <w:lang w:val="bs-Latn-BA"/>
        </w:rPr>
        <w:t xml:space="preserve"> </w:t>
      </w:r>
      <w:r>
        <w:rPr>
          <w:lang w:val="bs-Latn-BA"/>
        </w:rPr>
        <w:t>ФБиХ</w:t>
      </w:r>
      <w:r w:rsidR="001A7A96" w:rsidRPr="00295637">
        <w:rPr>
          <w:lang w:val="bs-Latn-BA"/>
        </w:rPr>
        <w:t xml:space="preserve"> </w:t>
      </w:r>
      <w:r w:rsidR="00F742CE">
        <w:rPr>
          <w:lang w:val="bs-Latn-BA"/>
        </w:rPr>
        <w:t xml:space="preserve">је </w:t>
      </w:r>
      <w:r>
        <w:rPr>
          <w:lang w:val="bs-Latn-BA"/>
        </w:rPr>
        <w:t>усвојила</w:t>
      </w:r>
      <w:r w:rsidR="001A7A96" w:rsidRPr="00295637">
        <w:rPr>
          <w:lang w:val="bs-Latn-BA"/>
        </w:rPr>
        <w:t xml:space="preserve"> </w:t>
      </w:r>
      <w:r>
        <w:rPr>
          <w:bCs/>
          <w:lang w:val="bs-Latn-BA"/>
        </w:rPr>
        <w:t>Информацију</w:t>
      </w:r>
      <w:r w:rsidR="00D41A15" w:rsidRPr="00295637">
        <w:rPr>
          <w:bCs/>
          <w:lang w:val="bs-Latn-BA"/>
        </w:rPr>
        <w:t xml:space="preserve"> </w:t>
      </w:r>
      <w:r>
        <w:rPr>
          <w:bCs/>
          <w:lang w:val="bs-Latn-BA"/>
        </w:rPr>
        <w:t>о</w:t>
      </w:r>
      <w:r w:rsidR="00D41A15" w:rsidRPr="00295637">
        <w:rPr>
          <w:bCs/>
          <w:lang w:val="bs-Latn-BA"/>
        </w:rPr>
        <w:t xml:space="preserve"> </w:t>
      </w:r>
      <w:r>
        <w:rPr>
          <w:bCs/>
          <w:lang w:val="bs-Latn-BA"/>
        </w:rPr>
        <w:t>Препорукама</w:t>
      </w:r>
      <w:r w:rsidR="00D41A15" w:rsidRPr="00295637">
        <w:rPr>
          <w:bCs/>
          <w:lang w:val="bs-Latn-BA"/>
        </w:rPr>
        <w:t xml:space="preserve"> </w:t>
      </w:r>
      <w:r>
        <w:rPr>
          <w:bCs/>
          <w:lang w:val="bs-Latn-BA"/>
        </w:rPr>
        <w:t>Комитета</w:t>
      </w:r>
      <w:r w:rsidR="00D41A15" w:rsidRPr="00295637">
        <w:rPr>
          <w:bCs/>
          <w:lang w:val="bs-Latn-BA"/>
        </w:rPr>
        <w:t xml:space="preserve"> </w:t>
      </w:r>
      <w:r>
        <w:rPr>
          <w:bCs/>
          <w:lang w:val="bs-Latn-BA"/>
        </w:rPr>
        <w:t>потписница</w:t>
      </w:r>
      <w:r w:rsidR="00D41A15" w:rsidRPr="00295637">
        <w:rPr>
          <w:bCs/>
          <w:lang w:val="bs-Latn-BA"/>
        </w:rPr>
        <w:t xml:space="preserve"> </w:t>
      </w:r>
      <w:r>
        <w:rPr>
          <w:bCs/>
          <w:lang w:val="bs-Latn-BA"/>
        </w:rPr>
        <w:t>Истанбулске</w:t>
      </w:r>
      <w:r w:rsidR="00D41A15" w:rsidRPr="00295637">
        <w:rPr>
          <w:bCs/>
          <w:lang w:val="bs-Latn-BA"/>
        </w:rPr>
        <w:t xml:space="preserve"> </w:t>
      </w:r>
      <w:r>
        <w:rPr>
          <w:bCs/>
          <w:lang w:val="bs-Latn-BA"/>
        </w:rPr>
        <w:t>конвенције</w:t>
      </w:r>
      <w:r w:rsidR="00D41A15" w:rsidRPr="00295637">
        <w:rPr>
          <w:bCs/>
          <w:lang w:val="bs-Latn-BA"/>
        </w:rPr>
        <w:t xml:space="preserve"> </w:t>
      </w:r>
      <w:r>
        <w:rPr>
          <w:bCs/>
          <w:lang w:val="bs-Latn-BA"/>
        </w:rPr>
        <w:t>и</w:t>
      </w:r>
      <w:r w:rsidR="00D41A15" w:rsidRPr="00295637">
        <w:rPr>
          <w:bCs/>
          <w:lang w:val="bs-Latn-BA"/>
        </w:rPr>
        <w:t xml:space="preserve"> </w:t>
      </w:r>
      <w:r>
        <w:rPr>
          <w:bCs/>
          <w:lang w:val="bs-Latn-BA"/>
        </w:rPr>
        <w:t>Извјештају</w:t>
      </w:r>
      <w:r w:rsidR="00D41A15" w:rsidRPr="00295637">
        <w:rPr>
          <w:bCs/>
          <w:lang w:val="bs-Latn-BA"/>
        </w:rPr>
        <w:t xml:space="preserve"> </w:t>
      </w:r>
      <w:r w:rsidR="003601A7">
        <w:rPr>
          <w:bCs/>
          <w:lang w:val="sr-Cyrl-BA"/>
        </w:rPr>
        <w:t>К</w:t>
      </w:r>
      <w:r w:rsidR="003601A7">
        <w:rPr>
          <w:bCs/>
          <w:lang w:val="bs-Latn-BA"/>
        </w:rPr>
        <w:t xml:space="preserve">омитета </w:t>
      </w:r>
      <w:r>
        <w:rPr>
          <w:bCs/>
          <w:lang w:val="bs-Latn-BA"/>
        </w:rPr>
        <w:t>ГРЕВИО</w:t>
      </w:r>
      <w:r w:rsidR="00D41A15" w:rsidRPr="00295637">
        <w:rPr>
          <w:lang w:val="bs-Latn-BA"/>
        </w:rPr>
        <w:t xml:space="preserve">, </w:t>
      </w:r>
      <w:r>
        <w:rPr>
          <w:lang w:val="bs-Latn-BA"/>
        </w:rPr>
        <w:t>те</w:t>
      </w:r>
      <w:r w:rsidR="00D41A15" w:rsidRPr="00295637">
        <w:rPr>
          <w:lang w:val="bs-Latn-BA"/>
        </w:rPr>
        <w:t xml:space="preserve"> </w:t>
      </w:r>
      <w:r>
        <w:rPr>
          <w:lang w:val="bs-Latn-BA"/>
        </w:rPr>
        <w:t>донијела</w:t>
      </w:r>
      <w:r w:rsidR="00D41A15" w:rsidRPr="00295637">
        <w:rPr>
          <w:lang w:val="bs-Latn-BA"/>
        </w:rPr>
        <w:t xml:space="preserve"> </w:t>
      </w:r>
      <w:r>
        <w:rPr>
          <w:bCs/>
          <w:lang w:val="bs-Latn-BA"/>
        </w:rPr>
        <w:t>Рјешење</w:t>
      </w:r>
      <w:r w:rsidR="00F15BD2" w:rsidRPr="00295637">
        <w:rPr>
          <w:bCs/>
          <w:lang w:val="bs-Latn-BA"/>
        </w:rPr>
        <w:t xml:space="preserve"> </w:t>
      </w:r>
      <w:r>
        <w:rPr>
          <w:bCs/>
          <w:lang w:val="bs-Latn-BA"/>
        </w:rPr>
        <w:t>о</w:t>
      </w:r>
      <w:r w:rsidR="00F15BD2" w:rsidRPr="00295637">
        <w:rPr>
          <w:bCs/>
          <w:lang w:val="bs-Latn-BA"/>
        </w:rPr>
        <w:t xml:space="preserve"> </w:t>
      </w:r>
      <w:r>
        <w:rPr>
          <w:bCs/>
          <w:lang w:val="bs-Latn-BA"/>
        </w:rPr>
        <w:t>формирању</w:t>
      </w:r>
      <w:r w:rsidR="00F15BD2" w:rsidRPr="00295637">
        <w:rPr>
          <w:bCs/>
          <w:lang w:val="bs-Latn-BA"/>
        </w:rPr>
        <w:t xml:space="preserve"> </w:t>
      </w:r>
      <w:r>
        <w:rPr>
          <w:bCs/>
          <w:lang w:val="bs-Latn-BA"/>
        </w:rPr>
        <w:t>Координаци</w:t>
      </w:r>
      <w:r w:rsidR="00F742CE">
        <w:rPr>
          <w:bCs/>
          <w:lang w:val="sr-Cyrl-BA"/>
        </w:rPr>
        <w:t>оног</w:t>
      </w:r>
      <w:r w:rsidR="00F15BD2" w:rsidRPr="00295637">
        <w:rPr>
          <w:bCs/>
          <w:lang w:val="bs-Latn-BA"/>
        </w:rPr>
        <w:t xml:space="preserve"> </w:t>
      </w:r>
      <w:r>
        <w:rPr>
          <w:bCs/>
          <w:lang w:val="bs-Latn-BA"/>
        </w:rPr>
        <w:t>органа</w:t>
      </w:r>
      <w:r w:rsidR="00F15BD2" w:rsidRPr="00295637">
        <w:rPr>
          <w:bCs/>
          <w:lang w:val="bs-Latn-BA"/>
        </w:rPr>
        <w:t xml:space="preserve"> </w:t>
      </w:r>
      <w:r>
        <w:rPr>
          <w:bCs/>
          <w:lang w:val="bs-Latn-BA"/>
        </w:rPr>
        <w:t>за</w:t>
      </w:r>
      <w:r w:rsidR="00F15BD2" w:rsidRPr="00295637">
        <w:rPr>
          <w:bCs/>
          <w:lang w:val="bs-Latn-BA"/>
        </w:rPr>
        <w:t xml:space="preserve"> </w:t>
      </w:r>
      <w:r>
        <w:rPr>
          <w:bCs/>
          <w:lang w:val="bs-Latn-BA"/>
        </w:rPr>
        <w:t>праћење</w:t>
      </w:r>
      <w:r w:rsidR="00F15BD2" w:rsidRPr="00295637">
        <w:rPr>
          <w:bCs/>
          <w:lang w:val="bs-Latn-BA"/>
        </w:rPr>
        <w:t xml:space="preserve"> </w:t>
      </w:r>
      <w:r w:rsidR="00F742CE">
        <w:rPr>
          <w:bCs/>
          <w:lang w:val="sr-Cyrl-BA"/>
        </w:rPr>
        <w:t>спровођења</w:t>
      </w:r>
      <w:r w:rsidR="00F15BD2" w:rsidRPr="00295637">
        <w:rPr>
          <w:bCs/>
          <w:lang w:val="bs-Latn-BA"/>
        </w:rPr>
        <w:t xml:space="preserve"> </w:t>
      </w:r>
      <w:r>
        <w:rPr>
          <w:bCs/>
          <w:lang w:val="bs-Latn-BA"/>
        </w:rPr>
        <w:t>Стратегије</w:t>
      </w:r>
      <w:r w:rsidR="00F15BD2" w:rsidRPr="00295637">
        <w:rPr>
          <w:bCs/>
          <w:lang w:val="bs-Latn-BA"/>
        </w:rPr>
        <w:t xml:space="preserve"> </w:t>
      </w:r>
      <w:r>
        <w:rPr>
          <w:bCs/>
          <w:lang w:val="bs-Latn-BA"/>
        </w:rPr>
        <w:t>за</w:t>
      </w:r>
      <w:r w:rsidR="00F15BD2" w:rsidRPr="00295637">
        <w:rPr>
          <w:bCs/>
          <w:lang w:val="bs-Latn-BA"/>
        </w:rPr>
        <w:t xml:space="preserve"> </w:t>
      </w:r>
      <w:r>
        <w:rPr>
          <w:bCs/>
          <w:lang w:val="bs-Latn-BA"/>
        </w:rPr>
        <w:t>превенцију</w:t>
      </w:r>
      <w:r w:rsidR="00F15BD2" w:rsidRPr="00295637">
        <w:rPr>
          <w:bCs/>
          <w:lang w:val="bs-Latn-BA"/>
        </w:rPr>
        <w:t xml:space="preserve"> </w:t>
      </w:r>
      <w:r>
        <w:rPr>
          <w:bCs/>
          <w:lang w:val="bs-Latn-BA"/>
        </w:rPr>
        <w:t>и</w:t>
      </w:r>
      <w:r w:rsidR="00F15BD2" w:rsidRPr="00295637">
        <w:rPr>
          <w:bCs/>
          <w:lang w:val="bs-Latn-BA"/>
        </w:rPr>
        <w:t xml:space="preserve"> </w:t>
      </w:r>
      <w:r>
        <w:rPr>
          <w:bCs/>
          <w:lang w:val="bs-Latn-BA"/>
        </w:rPr>
        <w:t>борбу</w:t>
      </w:r>
      <w:r w:rsidR="00F15BD2" w:rsidRPr="00295637">
        <w:rPr>
          <w:bCs/>
          <w:lang w:val="bs-Latn-BA"/>
        </w:rPr>
        <w:t xml:space="preserve"> </w:t>
      </w:r>
      <w:r>
        <w:rPr>
          <w:bCs/>
          <w:lang w:val="bs-Latn-BA"/>
        </w:rPr>
        <w:t>против</w:t>
      </w:r>
      <w:r w:rsidR="00F15BD2" w:rsidRPr="00295637">
        <w:rPr>
          <w:bCs/>
          <w:lang w:val="bs-Latn-BA"/>
        </w:rPr>
        <w:t xml:space="preserve"> </w:t>
      </w:r>
      <w:r>
        <w:rPr>
          <w:bCs/>
          <w:lang w:val="bs-Latn-BA"/>
        </w:rPr>
        <w:t>насиља</w:t>
      </w:r>
      <w:r w:rsidR="00F15BD2" w:rsidRPr="00295637">
        <w:rPr>
          <w:bCs/>
          <w:lang w:val="bs-Latn-BA"/>
        </w:rPr>
        <w:t xml:space="preserve"> </w:t>
      </w:r>
      <w:r>
        <w:rPr>
          <w:bCs/>
          <w:lang w:val="bs-Latn-BA"/>
        </w:rPr>
        <w:t>у</w:t>
      </w:r>
      <w:r w:rsidR="00F15BD2" w:rsidRPr="00295637">
        <w:rPr>
          <w:bCs/>
          <w:lang w:val="bs-Latn-BA"/>
        </w:rPr>
        <w:t xml:space="preserve"> </w:t>
      </w:r>
      <w:r>
        <w:rPr>
          <w:bCs/>
          <w:lang w:val="bs-Latn-BA"/>
        </w:rPr>
        <w:t>породици</w:t>
      </w:r>
      <w:r w:rsidR="00F15BD2" w:rsidRPr="00295637">
        <w:rPr>
          <w:bCs/>
          <w:lang w:val="bs-Latn-BA"/>
        </w:rPr>
        <w:t xml:space="preserve"> 2024</w:t>
      </w:r>
      <w:r w:rsidR="00F24A6B">
        <w:rPr>
          <w:bCs/>
          <w:lang w:val="bs-Latn-BA"/>
        </w:rPr>
        <w:t>-</w:t>
      </w:r>
      <w:r w:rsidR="00F15BD2" w:rsidRPr="00295637">
        <w:rPr>
          <w:bCs/>
          <w:lang w:val="bs-Latn-BA"/>
        </w:rPr>
        <w:t>2027</w:t>
      </w:r>
      <w:r w:rsidR="00F24A6B">
        <w:rPr>
          <w:bCs/>
          <w:lang w:val="bs-Latn-BA"/>
        </w:rPr>
        <w:t>.</w:t>
      </w:r>
      <w:r w:rsidR="001A7A96" w:rsidRPr="00295637">
        <w:rPr>
          <w:lang w:val="bs-Latn-BA"/>
        </w:rPr>
        <w:t xml:space="preserve"> </w:t>
      </w:r>
      <w:r>
        <w:rPr>
          <w:lang w:val="bs-Latn-BA"/>
        </w:rPr>
        <w:t>које</w:t>
      </w:r>
      <w:r w:rsidR="001A7A96" w:rsidRPr="00295637">
        <w:rPr>
          <w:lang w:val="bs-Latn-BA"/>
        </w:rPr>
        <w:t xml:space="preserve"> </w:t>
      </w:r>
      <w:r>
        <w:rPr>
          <w:lang w:val="bs-Latn-BA"/>
        </w:rPr>
        <w:t>чине</w:t>
      </w:r>
      <w:r w:rsidR="001A7A96" w:rsidRPr="00295637">
        <w:rPr>
          <w:lang w:val="bs-Latn-BA"/>
        </w:rPr>
        <w:t xml:space="preserve"> </w:t>
      </w:r>
      <w:r>
        <w:rPr>
          <w:lang w:val="bs-Latn-BA"/>
        </w:rPr>
        <w:t>представници</w:t>
      </w:r>
      <w:r w:rsidR="001A7A96" w:rsidRPr="00295637">
        <w:rPr>
          <w:lang w:val="bs-Latn-BA"/>
        </w:rPr>
        <w:t xml:space="preserve"> </w:t>
      </w:r>
      <w:r>
        <w:rPr>
          <w:lang w:val="bs-Latn-BA"/>
        </w:rPr>
        <w:t>осам</w:t>
      </w:r>
      <w:r w:rsidR="00F15BD2" w:rsidRPr="00295637">
        <w:rPr>
          <w:lang w:val="bs-Latn-BA"/>
        </w:rPr>
        <w:t xml:space="preserve"> </w:t>
      </w:r>
      <w:r>
        <w:rPr>
          <w:lang w:val="bs-Latn-BA"/>
        </w:rPr>
        <w:t>институција</w:t>
      </w:r>
      <w:r w:rsidR="00F15BD2" w:rsidRPr="00295637">
        <w:rPr>
          <w:lang w:val="bs-Latn-BA"/>
        </w:rPr>
        <w:t xml:space="preserve"> </w:t>
      </w:r>
      <w:r>
        <w:rPr>
          <w:lang w:val="bs-Latn-BA"/>
        </w:rPr>
        <w:t>ФБиХ</w:t>
      </w:r>
      <w:r w:rsidR="001A7A96" w:rsidRPr="00295637">
        <w:rPr>
          <w:lang w:val="bs-Latn-BA"/>
        </w:rPr>
        <w:t>.</w:t>
      </w:r>
      <w:r w:rsidR="00F15BD2" w:rsidRPr="00295637">
        <w:rPr>
          <w:lang w:val="bs-Latn-BA"/>
        </w:rPr>
        <w:t xml:space="preserve"> </w:t>
      </w:r>
      <w:r>
        <w:rPr>
          <w:lang w:val="bs-Latn-BA"/>
        </w:rPr>
        <w:t>ГЦ</w:t>
      </w:r>
      <w:r w:rsidR="00F24A6B">
        <w:rPr>
          <w:lang w:val="bs-Latn-BA"/>
        </w:rPr>
        <w:t xml:space="preserve"> </w:t>
      </w:r>
      <w:r>
        <w:rPr>
          <w:lang w:val="bs-Latn-BA"/>
        </w:rPr>
        <w:t>ФБиХ</w:t>
      </w:r>
      <w:r w:rsidR="00F15BD2" w:rsidRPr="00295637">
        <w:rPr>
          <w:lang w:val="bs-Latn-BA"/>
        </w:rPr>
        <w:t xml:space="preserve"> </w:t>
      </w:r>
      <w:r w:rsidR="00F742CE">
        <w:rPr>
          <w:lang w:val="bs-Latn-BA"/>
        </w:rPr>
        <w:t xml:space="preserve">је </w:t>
      </w:r>
      <w:r>
        <w:rPr>
          <w:lang w:val="bs-Latn-BA"/>
        </w:rPr>
        <w:t>водитељ</w:t>
      </w:r>
      <w:r w:rsidR="00F15BD2" w:rsidRPr="00295637">
        <w:rPr>
          <w:lang w:val="bs-Latn-BA"/>
        </w:rPr>
        <w:t xml:space="preserve"> </w:t>
      </w:r>
      <w:r>
        <w:rPr>
          <w:lang w:val="bs-Latn-BA"/>
        </w:rPr>
        <w:t>овог</w:t>
      </w:r>
      <w:r w:rsidR="00F15BD2" w:rsidRPr="00295637">
        <w:rPr>
          <w:lang w:val="bs-Latn-BA"/>
        </w:rPr>
        <w:t xml:space="preserve"> </w:t>
      </w:r>
      <w:r>
        <w:rPr>
          <w:lang w:val="bs-Latn-BA"/>
        </w:rPr>
        <w:t>процеса</w:t>
      </w:r>
      <w:r w:rsidR="00F15BD2" w:rsidRPr="00295637">
        <w:rPr>
          <w:lang w:val="bs-Latn-BA"/>
        </w:rPr>
        <w:t xml:space="preserve"> </w:t>
      </w:r>
      <w:r>
        <w:rPr>
          <w:lang w:val="bs-Latn-BA"/>
        </w:rPr>
        <w:t>и</w:t>
      </w:r>
      <w:r w:rsidR="001A7A96" w:rsidRPr="00295637">
        <w:rPr>
          <w:lang w:val="bs-Latn-BA"/>
        </w:rPr>
        <w:t xml:space="preserve"> </w:t>
      </w:r>
      <w:r>
        <w:rPr>
          <w:lang w:val="bs-Latn-BA"/>
        </w:rPr>
        <w:t>дужан</w:t>
      </w:r>
      <w:r w:rsidR="00F15BD2" w:rsidRPr="00295637">
        <w:rPr>
          <w:lang w:val="bs-Latn-BA"/>
        </w:rPr>
        <w:t xml:space="preserve"> </w:t>
      </w:r>
      <w:r>
        <w:rPr>
          <w:lang w:val="bs-Latn-BA"/>
        </w:rPr>
        <w:t>је</w:t>
      </w:r>
      <w:r w:rsidR="001A7A96" w:rsidRPr="00295637">
        <w:rPr>
          <w:lang w:val="bs-Latn-BA"/>
        </w:rPr>
        <w:t xml:space="preserve"> </w:t>
      </w:r>
      <w:r>
        <w:rPr>
          <w:lang w:val="bs-Latn-BA"/>
        </w:rPr>
        <w:t>омогућити</w:t>
      </w:r>
      <w:r w:rsidR="00F15BD2" w:rsidRPr="00295637">
        <w:rPr>
          <w:lang w:val="bs-Latn-BA"/>
        </w:rPr>
        <w:t xml:space="preserve"> </w:t>
      </w:r>
      <w:r>
        <w:rPr>
          <w:lang w:val="bs-Latn-BA"/>
        </w:rPr>
        <w:t>пун</w:t>
      </w:r>
      <w:r w:rsidR="00F742CE">
        <w:rPr>
          <w:lang w:val="sr-Cyrl-BA"/>
        </w:rPr>
        <w:t>о</w:t>
      </w:r>
      <w:r w:rsidR="00F15BD2" w:rsidRPr="00295637">
        <w:rPr>
          <w:lang w:val="bs-Latn-BA"/>
        </w:rPr>
        <w:t xml:space="preserve"> </w:t>
      </w:r>
      <w:r w:rsidR="00F742CE">
        <w:rPr>
          <w:lang w:val="sr-Cyrl-BA"/>
        </w:rPr>
        <w:t>спровођење</w:t>
      </w:r>
      <w:r w:rsidR="00F15BD2" w:rsidRPr="00295637">
        <w:rPr>
          <w:lang w:val="bs-Latn-BA"/>
        </w:rPr>
        <w:t xml:space="preserve"> </w:t>
      </w:r>
      <w:r>
        <w:rPr>
          <w:lang w:val="bs-Latn-BA"/>
        </w:rPr>
        <w:t>стандарда</w:t>
      </w:r>
      <w:r w:rsidR="00F15BD2" w:rsidRPr="00295637">
        <w:rPr>
          <w:lang w:val="bs-Latn-BA"/>
        </w:rPr>
        <w:t xml:space="preserve"> </w:t>
      </w:r>
      <w:r>
        <w:rPr>
          <w:lang w:val="bs-Latn-BA"/>
        </w:rPr>
        <w:t>дефини</w:t>
      </w:r>
      <w:r w:rsidR="00F742CE">
        <w:rPr>
          <w:lang w:val="sr-Cyrl-BA"/>
        </w:rPr>
        <w:t>с</w:t>
      </w:r>
      <w:r>
        <w:rPr>
          <w:lang w:val="bs-Latn-BA"/>
        </w:rPr>
        <w:t>аних</w:t>
      </w:r>
      <w:r w:rsidR="00F24A6B">
        <w:rPr>
          <w:lang w:val="bs-Latn-BA"/>
        </w:rPr>
        <w:t xml:space="preserve"> </w:t>
      </w:r>
      <w:r>
        <w:rPr>
          <w:lang w:val="bs-Latn-BA"/>
        </w:rPr>
        <w:t>Стратегијом</w:t>
      </w:r>
      <w:r w:rsidR="00F24A6B">
        <w:rPr>
          <w:lang w:val="bs-Latn-BA"/>
        </w:rPr>
        <w:t xml:space="preserve"> </w:t>
      </w:r>
      <w:r>
        <w:rPr>
          <w:lang w:val="bs-Latn-BA"/>
        </w:rPr>
        <w:t>и</w:t>
      </w:r>
      <w:r w:rsidR="00F24A6B">
        <w:rPr>
          <w:lang w:val="bs-Latn-BA"/>
        </w:rPr>
        <w:t xml:space="preserve"> </w:t>
      </w:r>
      <w:r>
        <w:rPr>
          <w:lang w:val="bs-Latn-BA"/>
        </w:rPr>
        <w:t>обавеза</w:t>
      </w:r>
      <w:r w:rsidR="00F15BD2" w:rsidRPr="00295637">
        <w:rPr>
          <w:lang w:val="bs-Latn-BA"/>
        </w:rPr>
        <w:t xml:space="preserve"> </w:t>
      </w:r>
      <w:r>
        <w:rPr>
          <w:lang w:val="bs-Latn-BA"/>
        </w:rPr>
        <w:t>из</w:t>
      </w:r>
      <w:r w:rsidR="00F15BD2" w:rsidRPr="00295637">
        <w:rPr>
          <w:lang w:val="bs-Latn-BA"/>
        </w:rPr>
        <w:t xml:space="preserve"> </w:t>
      </w:r>
      <w:r>
        <w:rPr>
          <w:lang w:val="bs-Latn-BA"/>
        </w:rPr>
        <w:t>Истанбулске</w:t>
      </w:r>
      <w:r w:rsidR="00F15BD2" w:rsidRPr="00295637">
        <w:rPr>
          <w:lang w:val="bs-Latn-BA"/>
        </w:rPr>
        <w:t xml:space="preserve"> </w:t>
      </w:r>
      <w:r>
        <w:rPr>
          <w:lang w:val="bs-Latn-BA"/>
        </w:rPr>
        <w:t>конвенције</w:t>
      </w:r>
      <w:r w:rsidR="00F15BD2" w:rsidRPr="00295637">
        <w:rPr>
          <w:lang w:val="bs-Latn-BA"/>
        </w:rPr>
        <w:t>.</w:t>
      </w:r>
      <w:r w:rsidR="00D41A15" w:rsidRPr="00295637">
        <w:rPr>
          <w:lang w:val="bs-Latn-BA"/>
        </w:rPr>
        <w:t xml:space="preserve"> </w:t>
      </w:r>
      <w:r>
        <w:rPr>
          <w:lang w:val="bs-Latn-BA"/>
        </w:rPr>
        <w:t>Т</w:t>
      </w:r>
      <w:r w:rsidR="00F742CE">
        <w:rPr>
          <w:lang w:val="bs-Latn-BA"/>
        </w:rPr>
        <w:t>акође</w:t>
      </w:r>
      <w:r w:rsidR="00D41A15" w:rsidRPr="00295637">
        <w:rPr>
          <w:lang w:val="bs-Latn-BA"/>
        </w:rPr>
        <w:t xml:space="preserve">, </w:t>
      </w:r>
      <w:r>
        <w:rPr>
          <w:lang w:val="bs-Latn-BA"/>
        </w:rPr>
        <w:t>прихваћена</w:t>
      </w:r>
      <w:r w:rsidR="00D41A15" w:rsidRPr="00295637">
        <w:rPr>
          <w:lang w:val="bs-Latn-BA"/>
        </w:rPr>
        <w:t xml:space="preserve"> </w:t>
      </w:r>
      <w:r>
        <w:rPr>
          <w:lang w:val="bs-Latn-BA"/>
        </w:rPr>
        <w:t>је</w:t>
      </w:r>
      <w:r w:rsidR="00D41A15" w:rsidRPr="00295637">
        <w:rPr>
          <w:lang w:val="bs-Latn-BA"/>
        </w:rPr>
        <w:t xml:space="preserve"> </w:t>
      </w:r>
      <w:r>
        <w:rPr>
          <w:bCs/>
          <w:lang w:val="bs-Latn-BA"/>
        </w:rPr>
        <w:t>Информација</w:t>
      </w:r>
      <w:r w:rsidR="00D41A15" w:rsidRPr="00295637">
        <w:rPr>
          <w:bCs/>
          <w:lang w:val="bs-Latn-BA"/>
        </w:rPr>
        <w:t xml:space="preserve"> </w:t>
      </w:r>
      <w:r>
        <w:rPr>
          <w:bCs/>
          <w:lang w:val="bs-Latn-BA"/>
        </w:rPr>
        <w:t>о</w:t>
      </w:r>
      <w:r w:rsidR="00D41A15" w:rsidRPr="00295637">
        <w:rPr>
          <w:bCs/>
          <w:lang w:val="bs-Latn-BA"/>
        </w:rPr>
        <w:t xml:space="preserve"> </w:t>
      </w:r>
      <w:r>
        <w:rPr>
          <w:bCs/>
          <w:lang w:val="bs-Latn-BA"/>
        </w:rPr>
        <w:t>раду</w:t>
      </w:r>
      <w:r w:rsidR="00D41A15" w:rsidRPr="00295637">
        <w:rPr>
          <w:bCs/>
          <w:lang w:val="bs-Latn-BA"/>
        </w:rPr>
        <w:t xml:space="preserve"> </w:t>
      </w:r>
      <w:r>
        <w:rPr>
          <w:bCs/>
          <w:lang w:val="bs-Latn-BA"/>
        </w:rPr>
        <w:t>СОС</w:t>
      </w:r>
      <w:r w:rsidR="00D41A15" w:rsidRPr="00295637">
        <w:rPr>
          <w:bCs/>
          <w:lang w:val="bs-Latn-BA"/>
        </w:rPr>
        <w:t xml:space="preserve"> </w:t>
      </w:r>
      <w:r>
        <w:rPr>
          <w:bCs/>
          <w:lang w:val="bs-Latn-BA"/>
        </w:rPr>
        <w:t>телефона</w:t>
      </w:r>
      <w:r w:rsidR="00D41A15" w:rsidRPr="00295637">
        <w:rPr>
          <w:bCs/>
          <w:lang w:val="bs-Latn-BA"/>
        </w:rPr>
        <w:t xml:space="preserve"> 1265</w:t>
      </w:r>
      <w:r w:rsidR="001A7A96" w:rsidRPr="00295637">
        <w:rPr>
          <w:bCs/>
          <w:lang w:val="bs-Latn-BA"/>
        </w:rPr>
        <w:t>,</w:t>
      </w:r>
      <w:r w:rsidR="00D41A15" w:rsidRPr="00295637">
        <w:rPr>
          <w:lang w:val="bs-Latn-BA"/>
        </w:rPr>
        <w:t xml:space="preserve"> </w:t>
      </w:r>
      <w:r>
        <w:rPr>
          <w:lang w:val="bs-Latn-BA"/>
        </w:rPr>
        <w:t>чиме</w:t>
      </w:r>
      <w:r w:rsidR="00D41A15" w:rsidRPr="00295637">
        <w:rPr>
          <w:lang w:val="bs-Latn-BA"/>
        </w:rPr>
        <w:t xml:space="preserve"> </w:t>
      </w:r>
      <w:r>
        <w:rPr>
          <w:lang w:val="bs-Latn-BA"/>
        </w:rPr>
        <w:t>је</w:t>
      </w:r>
      <w:r w:rsidR="00D41A15" w:rsidRPr="00295637">
        <w:rPr>
          <w:lang w:val="bs-Latn-BA"/>
        </w:rPr>
        <w:t xml:space="preserve"> </w:t>
      </w:r>
      <w:r>
        <w:rPr>
          <w:lang w:val="bs-Latn-BA"/>
        </w:rPr>
        <w:t>препозната</w:t>
      </w:r>
      <w:r w:rsidR="00D41A15" w:rsidRPr="00295637">
        <w:rPr>
          <w:lang w:val="bs-Latn-BA"/>
        </w:rPr>
        <w:t xml:space="preserve"> </w:t>
      </w:r>
      <w:r>
        <w:rPr>
          <w:lang w:val="bs-Latn-BA"/>
        </w:rPr>
        <w:t>потреба</w:t>
      </w:r>
      <w:r w:rsidR="00D41A15" w:rsidRPr="00295637">
        <w:rPr>
          <w:lang w:val="bs-Latn-BA"/>
        </w:rPr>
        <w:t xml:space="preserve"> </w:t>
      </w:r>
      <w:r>
        <w:rPr>
          <w:lang w:val="bs-Latn-BA"/>
        </w:rPr>
        <w:t>за</w:t>
      </w:r>
      <w:r w:rsidR="00D41A15" w:rsidRPr="00295637">
        <w:rPr>
          <w:lang w:val="bs-Latn-BA"/>
        </w:rPr>
        <w:t xml:space="preserve"> </w:t>
      </w:r>
      <w:r>
        <w:rPr>
          <w:lang w:val="bs-Latn-BA"/>
        </w:rPr>
        <w:t>законским</w:t>
      </w:r>
      <w:r w:rsidR="00D41A15" w:rsidRPr="00295637">
        <w:rPr>
          <w:lang w:val="bs-Latn-BA"/>
        </w:rPr>
        <w:t xml:space="preserve"> </w:t>
      </w:r>
      <w:r>
        <w:rPr>
          <w:lang w:val="bs-Latn-BA"/>
        </w:rPr>
        <w:t>регули</w:t>
      </w:r>
      <w:r w:rsidR="00F742CE">
        <w:rPr>
          <w:lang w:val="sr-Cyrl-BA"/>
        </w:rPr>
        <w:t>с</w:t>
      </w:r>
      <w:r>
        <w:rPr>
          <w:lang w:val="bs-Latn-BA"/>
        </w:rPr>
        <w:t>ањем</w:t>
      </w:r>
      <w:r w:rsidR="00D41A15" w:rsidRPr="00295637">
        <w:rPr>
          <w:lang w:val="bs-Latn-BA"/>
        </w:rPr>
        <w:t xml:space="preserve"> </w:t>
      </w:r>
      <w:r>
        <w:rPr>
          <w:lang w:val="bs-Latn-BA"/>
        </w:rPr>
        <w:t>рада</w:t>
      </w:r>
      <w:r w:rsidR="00D41A15" w:rsidRPr="00295637">
        <w:rPr>
          <w:lang w:val="bs-Latn-BA"/>
        </w:rPr>
        <w:t xml:space="preserve"> </w:t>
      </w:r>
      <w:r>
        <w:rPr>
          <w:lang w:val="bs-Latn-BA"/>
        </w:rPr>
        <w:t>овог</w:t>
      </w:r>
      <w:r w:rsidR="00D41A15" w:rsidRPr="00295637">
        <w:rPr>
          <w:lang w:val="bs-Latn-BA"/>
        </w:rPr>
        <w:t xml:space="preserve"> </w:t>
      </w:r>
      <w:r>
        <w:rPr>
          <w:lang w:val="bs-Latn-BA"/>
        </w:rPr>
        <w:t>сервиса</w:t>
      </w:r>
      <w:r w:rsidR="00D41A15" w:rsidRPr="00295637">
        <w:rPr>
          <w:lang w:val="bs-Latn-BA"/>
        </w:rPr>
        <w:t xml:space="preserve"> </w:t>
      </w:r>
      <w:r>
        <w:rPr>
          <w:lang w:val="bs-Latn-BA"/>
        </w:rPr>
        <w:t>и</w:t>
      </w:r>
      <w:r w:rsidR="00D41A15" w:rsidRPr="00295637">
        <w:rPr>
          <w:lang w:val="bs-Latn-BA"/>
        </w:rPr>
        <w:t xml:space="preserve"> </w:t>
      </w:r>
      <w:r>
        <w:rPr>
          <w:lang w:val="bs-Latn-BA"/>
        </w:rPr>
        <w:t>његовој</w:t>
      </w:r>
      <w:r w:rsidR="00D41A15" w:rsidRPr="00295637">
        <w:rPr>
          <w:lang w:val="bs-Latn-BA"/>
        </w:rPr>
        <w:t xml:space="preserve"> </w:t>
      </w:r>
      <w:r>
        <w:rPr>
          <w:lang w:val="bs-Latn-BA"/>
        </w:rPr>
        <w:t>одрживости</w:t>
      </w:r>
      <w:r w:rsidR="00D41A15" w:rsidRPr="00295637">
        <w:rPr>
          <w:lang w:val="bs-Latn-BA"/>
        </w:rPr>
        <w:t xml:space="preserve">, </w:t>
      </w:r>
      <w:r>
        <w:rPr>
          <w:lang w:val="bs-Latn-BA"/>
        </w:rPr>
        <w:t>те</w:t>
      </w:r>
      <w:r w:rsidR="00D41A15" w:rsidRPr="00295637">
        <w:rPr>
          <w:lang w:val="bs-Latn-BA"/>
        </w:rPr>
        <w:t xml:space="preserve"> </w:t>
      </w:r>
      <w:r>
        <w:rPr>
          <w:lang w:val="bs-Latn-BA"/>
        </w:rPr>
        <w:t>је</w:t>
      </w:r>
      <w:r w:rsidR="00D41A15" w:rsidRPr="00295637">
        <w:rPr>
          <w:lang w:val="bs-Latn-BA"/>
        </w:rPr>
        <w:t xml:space="preserve"> </w:t>
      </w:r>
      <w:r>
        <w:rPr>
          <w:lang w:val="bs-Latn-BA"/>
        </w:rPr>
        <w:t>ова</w:t>
      </w:r>
      <w:r w:rsidR="00D41A15" w:rsidRPr="00295637">
        <w:rPr>
          <w:lang w:val="bs-Latn-BA"/>
        </w:rPr>
        <w:t xml:space="preserve"> </w:t>
      </w:r>
      <w:r>
        <w:rPr>
          <w:lang w:val="bs-Latn-BA"/>
        </w:rPr>
        <w:t>одредба</w:t>
      </w:r>
      <w:r w:rsidR="00D41A15" w:rsidRPr="00295637">
        <w:rPr>
          <w:lang w:val="bs-Latn-BA"/>
        </w:rPr>
        <w:t xml:space="preserve"> </w:t>
      </w:r>
      <w:r>
        <w:rPr>
          <w:lang w:val="bs-Latn-BA"/>
        </w:rPr>
        <w:t>нашла</w:t>
      </w:r>
      <w:r w:rsidR="00D41A15" w:rsidRPr="00295637">
        <w:rPr>
          <w:lang w:val="bs-Latn-BA"/>
        </w:rPr>
        <w:t xml:space="preserve"> </w:t>
      </w:r>
      <w:r>
        <w:rPr>
          <w:lang w:val="bs-Latn-BA"/>
        </w:rPr>
        <w:t>своје</w:t>
      </w:r>
      <w:r w:rsidR="00D41A15" w:rsidRPr="00295637">
        <w:rPr>
          <w:lang w:val="bs-Latn-BA"/>
        </w:rPr>
        <w:t xml:space="preserve"> </w:t>
      </w:r>
      <w:r>
        <w:rPr>
          <w:lang w:val="bs-Latn-BA"/>
        </w:rPr>
        <w:t>мјесто</w:t>
      </w:r>
      <w:r w:rsidR="00D41A15" w:rsidRPr="00295637">
        <w:rPr>
          <w:lang w:val="bs-Latn-BA"/>
        </w:rPr>
        <w:t xml:space="preserve"> </w:t>
      </w:r>
      <w:r>
        <w:rPr>
          <w:lang w:val="bs-Latn-BA"/>
        </w:rPr>
        <w:t>у</w:t>
      </w:r>
      <w:r w:rsidR="00D41A15" w:rsidRPr="00295637">
        <w:rPr>
          <w:lang w:val="bs-Latn-BA"/>
        </w:rPr>
        <w:t xml:space="preserve"> </w:t>
      </w:r>
      <w:r>
        <w:rPr>
          <w:lang w:val="bs-Latn-BA"/>
        </w:rPr>
        <w:t>новом</w:t>
      </w:r>
      <w:r w:rsidR="00D41A15" w:rsidRPr="00295637">
        <w:rPr>
          <w:lang w:val="bs-Latn-BA"/>
        </w:rPr>
        <w:t xml:space="preserve"> </w:t>
      </w:r>
      <w:r>
        <w:rPr>
          <w:lang w:val="bs-Latn-BA"/>
        </w:rPr>
        <w:t>Закону</w:t>
      </w:r>
      <w:r w:rsidR="00D41A15" w:rsidRPr="00295637">
        <w:rPr>
          <w:lang w:val="bs-Latn-BA"/>
        </w:rPr>
        <w:t xml:space="preserve"> </w:t>
      </w:r>
      <w:r>
        <w:rPr>
          <w:lang w:val="bs-Latn-BA"/>
        </w:rPr>
        <w:t>о</w:t>
      </w:r>
      <w:r w:rsidR="00D41A15" w:rsidRPr="00295637">
        <w:rPr>
          <w:lang w:val="bs-Latn-BA"/>
        </w:rPr>
        <w:t xml:space="preserve"> </w:t>
      </w:r>
      <w:r>
        <w:rPr>
          <w:lang w:val="bs-Latn-BA"/>
        </w:rPr>
        <w:t>заштити</w:t>
      </w:r>
      <w:r w:rsidR="00D41A15" w:rsidRPr="00295637">
        <w:rPr>
          <w:lang w:val="bs-Latn-BA"/>
        </w:rPr>
        <w:t xml:space="preserve"> </w:t>
      </w:r>
      <w:r>
        <w:rPr>
          <w:lang w:val="bs-Latn-BA"/>
        </w:rPr>
        <w:t>од</w:t>
      </w:r>
      <w:r w:rsidR="00D41A15" w:rsidRPr="00295637">
        <w:rPr>
          <w:lang w:val="bs-Latn-BA"/>
        </w:rPr>
        <w:t xml:space="preserve"> </w:t>
      </w:r>
      <w:r>
        <w:rPr>
          <w:lang w:val="bs-Latn-BA"/>
        </w:rPr>
        <w:t>насиља</w:t>
      </w:r>
      <w:r w:rsidR="00D41A15" w:rsidRPr="00295637">
        <w:rPr>
          <w:lang w:val="bs-Latn-BA"/>
        </w:rPr>
        <w:t xml:space="preserve"> </w:t>
      </w:r>
      <w:r>
        <w:rPr>
          <w:lang w:val="bs-Latn-BA"/>
        </w:rPr>
        <w:t>у</w:t>
      </w:r>
      <w:r w:rsidR="00D41A15" w:rsidRPr="00295637">
        <w:rPr>
          <w:lang w:val="bs-Latn-BA"/>
        </w:rPr>
        <w:t xml:space="preserve"> </w:t>
      </w:r>
      <w:r>
        <w:rPr>
          <w:lang w:val="bs-Latn-BA"/>
        </w:rPr>
        <w:t>породици</w:t>
      </w:r>
      <w:r w:rsidR="00D41A15" w:rsidRPr="00295637">
        <w:rPr>
          <w:lang w:val="bs-Latn-BA"/>
        </w:rPr>
        <w:t xml:space="preserve"> </w:t>
      </w:r>
      <w:r>
        <w:rPr>
          <w:lang w:val="bs-Latn-BA"/>
        </w:rPr>
        <w:t>и</w:t>
      </w:r>
      <w:r w:rsidR="00D41A15" w:rsidRPr="00295637">
        <w:rPr>
          <w:lang w:val="bs-Latn-BA"/>
        </w:rPr>
        <w:t xml:space="preserve"> </w:t>
      </w:r>
      <w:r>
        <w:rPr>
          <w:lang w:val="bs-Latn-BA"/>
        </w:rPr>
        <w:t>насиља</w:t>
      </w:r>
      <w:r w:rsidR="00D41A15" w:rsidRPr="00295637">
        <w:rPr>
          <w:lang w:val="bs-Latn-BA"/>
        </w:rPr>
        <w:t xml:space="preserve"> </w:t>
      </w:r>
      <w:r>
        <w:rPr>
          <w:lang w:val="bs-Latn-BA"/>
        </w:rPr>
        <w:t>према</w:t>
      </w:r>
      <w:r w:rsidR="00D41A15" w:rsidRPr="00295637">
        <w:rPr>
          <w:lang w:val="bs-Latn-BA"/>
        </w:rPr>
        <w:t xml:space="preserve"> </w:t>
      </w:r>
      <w:r>
        <w:rPr>
          <w:lang w:val="bs-Latn-BA"/>
        </w:rPr>
        <w:t>женама</w:t>
      </w:r>
      <w:r w:rsidR="00D41A15" w:rsidRPr="00295637">
        <w:rPr>
          <w:lang w:val="bs-Latn-BA"/>
        </w:rPr>
        <w:t xml:space="preserve">. </w:t>
      </w:r>
    </w:p>
    <w:p w:rsidR="00C142CC" w:rsidRPr="00295637" w:rsidRDefault="00C142CC" w:rsidP="0086268D">
      <w:pPr>
        <w:pStyle w:val="NormalWeb"/>
        <w:spacing w:before="0" w:beforeAutospacing="0" w:after="0" w:afterAutospacing="0"/>
        <w:jc w:val="both"/>
        <w:rPr>
          <w:lang w:val="bs-Latn-BA"/>
        </w:rPr>
      </w:pPr>
    </w:p>
    <w:p w:rsidR="00D41A15" w:rsidRPr="00295637" w:rsidRDefault="00C6214E" w:rsidP="0086268D">
      <w:pPr>
        <w:pStyle w:val="NormalWeb"/>
        <w:spacing w:before="0" w:beforeAutospacing="0" w:after="0" w:afterAutospacing="0"/>
        <w:jc w:val="both"/>
        <w:rPr>
          <w:lang w:val="bs-Latn-BA"/>
        </w:rPr>
      </w:pPr>
      <w:r>
        <w:rPr>
          <w:lang w:val="bs-Latn-BA"/>
        </w:rPr>
        <w:t>У</w:t>
      </w:r>
      <w:r w:rsidR="00D41A15" w:rsidRPr="00295637">
        <w:rPr>
          <w:lang w:val="bs-Latn-BA"/>
        </w:rPr>
        <w:t xml:space="preserve"> </w:t>
      </w:r>
      <w:r>
        <w:rPr>
          <w:lang w:val="bs-Latn-BA"/>
        </w:rPr>
        <w:t>сарадњи</w:t>
      </w:r>
      <w:r w:rsidR="001A7A96" w:rsidRPr="00295637">
        <w:rPr>
          <w:lang w:val="bs-Latn-BA"/>
        </w:rPr>
        <w:t xml:space="preserve"> </w:t>
      </w:r>
      <w:r>
        <w:rPr>
          <w:lang w:val="bs-Latn-BA"/>
        </w:rPr>
        <w:t>парламентарних</w:t>
      </w:r>
      <w:r w:rsidR="001A7A96" w:rsidRPr="00295637">
        <w:rPr>
          <w:lang w:val="bs-Latn-BA"/>
        </w:rPr>
        <w:t xml:space="preserve"> </w:t>
      </w:r>
      <w:r>
        <w:rPr>
          <w:lang w:val="bs-Latn-BA"/>
        </w:rPr>
        <w:t>комисија</w:t>
      </w:r>
      <w:r w:rsidR="001A7A96" w:rsidRPr="00295637">
        <w:rPr>
          <w:lang w:val="bs-Latn-BA"/>
        </w:rPr>
        <w:t xml:space="preserve">, </w:t>
      </w:r>
      <w:r>
        <w:rPr>
          <w:lang w:val="bs-Latn-BA"/>
        </w:rPr>
        <w:t>АР</w:t>
      </w:r>
      <w:r w:rsidR="00F742CE">
        <w:rPr>
          <w:lang w:val="sr-Cyrl-BA"/>
        </w:rPr>
        <w:t>П</w:t>
      </w:r>
      <w:r w:rsidR="00630355">
        <w:rPr>
          <w:lang w:val="bs-Latn-BA"/>
        </w:rPr>
        <w:t xml:space="preserve"> </w:t>
      </w:r>
      <w:r>
        <w:rPr>
          <w:lang w:val="bs-Latn-BA"/>
        </w:rPr>
        <w:t>БиХ</w:t>
      </w:r>
      <w:r w:rsidR="00630355">
        <w:rPr>
          <w:lang w:val="bs-Latn-BA"/>
        </w:rPr>
        <w:t xml:space="preserve"> </w:t>
      </w:r>
      <w:r>
        <w:rPr>
          <w:lang w:val="bs-Latn-BA"/>
        </w:rPr>
        <w:t>МЉПИ</w:t>
      </w:r>
      <w:r w:rsidR="00630355">
        <w:rPr>
          <w:lang w:val="bs-Latn-BA"/>
        </w:rPr>
        <w:t xml:space="preserve"> </w:t>
      </w:r>
      <w:r>
        <w:rPr>
          <w:lang w:val="bs-Latn-BA"/>
        </w:rPr>
        <w:t>БиХ</w:t>
      </w:r>
      <w:r w:rsidR="001A7A96" w:rsidRPr="00295637">
        <w:rPr>
          <w:lang w:val="bs-Latn-BA"/>
        </w:rPr>
        <w:t xml:space="preserve">, </w:t>
      </w:r>
      <w:r>
        <w:rPr>
          <w:lang w:val="bs-Latn-BA"/>
        </w:rPr>
        <w:t>ГЦ</w:t>
      </w:r>
      <w:r w:rsidR="00630355">
        <w:rPr>
          <w:lang w:val="bs-Latn-BA"/>
        </w:rPr>
        <w:t xml:space="preserve"> </w:t>
      </w:r>
      <w:r>
        <w:rPr>
          <w:lang w:val="bs-Latn-BA"/>
        </w:rPr>
        <w:t>ФБиХ</w:t>
      </w:r>
      <w:r w:rsidR="00D41A15" w:rsidRPr="00295637">
        <w:rPr>
          <w:lang w:val="bs-Latn-BA"/>
        </w:rPr>
        <w:t xml:space="preserve"> </w:t>
      </w:r>
      <w:r>
        <w:rPr>
          <w:lang w:val="bs-Latn-BA"/>
        </w:rPr>
        <w:t>и</w:t>
      </w:r>
      <w:r w:rsidR="00D41A15" w:rsidRPr="00295637">
        <w:rPr>
          <w:lang w:val="bs-Latn-BA"/>
        </w:rPr>
        <w:t xml:space="preserve"> </w:t>
      </w:r>
      <w:r>
        <w:rPr>
          <w:lang w:val="bs-Latn-BA"/>
        </w:rPr>
        <w:t>Мисије</w:t>
      </w:r>
      <w:r w:rsidR="001A7A96" w:rsidRPr="00295637">
        <w:rPr>
          <w:lang w:val="bs-Latn-BA"/>
        </w:rPr>
        <w:t xml:space="preserve"> </w:t>
      </w:r>
      <w:r w:rsidR="00F742CE">
        <w:rPr>
          <w:lang w:val="sr-Cyrl-BA"/>
        </w:rPr>
        <w:t>ОЕБС</w:t>
      </w:r>
      <w:r w:rsidR="001A7A96" w:rsidRPr="00295637">
        <w:rPr>
          <w:lang w:val="bs-Latn-BA"/>
        </w:rPr>
        <w:t>-</w:t>
      </w:r>
      <w:r>
        <w:rPr>
          <w:lang w:val="bs-Latn-BA"/>
        </w:rPr>
        <w:t>а</w:t>
      </w:r>
      <w:r w:rsidR="001A7A96" w:rsidRPr="00295637">
        <w:rPr>
          <w:lang w:val="bs-Latn-BA"/>
        </w:rPr>
        <w:t xml:space="preserve"> </w:t>
      </w:r>
      <w:r>
        <w:rPr>
          <w:lang w:val="bs-Latn-BA"/>
        </w:rPr>
        <w:t>у</w:t>
      </w:r>
      <w:r w:rsidR="00786EE3" w:rsidRPr="00295637">
        <w:rPr>
          <w:lang w:val="bs-Latn-BA"/>
        </w:rPr>
        <w:t xml:space="preserve"> </w:t>
      </w:r>
      <w:r>
        <w:rPr>
          <w:lang w:val="bs-Latn-BA"/>
        </w:rPr>
        <w:t>БиХ</w:t>
      </w:r>
      <w:r w:rsidR="00D41A15" w:rsidRPr="00295637">
        <w:rPr>
          <w:lang w:val="bs-Latn-BA"/>
        </w:rPr>
        <w:t xml:space="preserve">, </w:t>
      </w:r>
      <w:r>
        <w:rPr>
          <w:lang w:val="bs-Latn-BA"/>
        </w:rPr>
        <w:t>одржане</w:t>
      </w:r>
      <w:r w:rsidR="00D41A15" w:rsidRPr="00295637">
        <w:rPr>
          <w:lang w:val="bs-Latn-BA"/>
        </w:rPr>
        <w:t xml:space="preserve"> </w:t>
      </w:r>
      <w:r>
        <w:rPr>
          <w:lang w:val="bs-Latn-BA"/>
        </w:rPr>
        <w:t>су</w:t>
      </w:r>
      <w:r w:rsidR="00D41A15" w:rsidRPr="00295637">
        <w:rPr>
          <w:lang w:val="bs-Latn-BA"/>
        </w:rPr>
        <w:t xml:space="preserve"> </w:t>
      </w:r>
      <w:r>
        <w:rPr>
          <w:lang w:val="bs-Latn-BA"/>
        </w:rPr>
        <w:t>три</w:t>
      </w:r>
      <w:r w:rsidR="00D41A15" w:rsidRPr="00295637">
        <w:rPr>
          <w:lang w:val="bs-Latn-BA"/>
        </w:rPr>
        <w:t xml:space="preserve"> </w:t>
      </w:r>
      <w:r>
        <w:rPr>
          <w:lang w:val="bs-Latn-BA"/>
        </w:rPr>
        <w:t>тематске</w:t>
      </w:r>
      <w:r w:rsidR="00D41A15" w:rsidRPr="00295637">
        <w:rPr>
          <w:lang w:val="bs-Latn-BA"/>
        </w:rPr>
        <w:t xml:space="preserve"> </w:t>
      </w:r>
      <w:r>
        <w:rPr>
          <w:lang w:val="bs-Latn-BA"/>
        </w:rPr>
        <w:t>сједнице</w:t>
      </w:r>
      <w:r w:rsidR="00D41A15" w:rsidRPr="00295637">
        <w:rPr>
          <w:lang w:val="bs-Latn-BA"/>
        </w:rPr>
        <w:t xml:space="preserve">, </w:t>
      </w:r>
      <w:r>
        <w:rPr>
          <w:lang w:val="bs-Latn-BA"/>
        </w:rPr>
        <w:t>између</w:t>
      </w:r>
      <w:r w:rsidR="00D41A15" w:rsidRPr="00295637">
        <w:rPr>
          <w:lang w:val="bs-Latn-BA"/>
        </w:rPr>
        <w:t xml:space="preserve"> </w:t>
      </w:r>
      <w:r>
        <w:rPr>
          <w:lang w:val="bs-Latn-BA"/>
        </w:rPr>
        <w:t>осталог</w:t>
      </w:r>
      <w:r w:rsidR="00D41A15" w:rsidRPr="00295637">
        <w:rPr>
          <w:lang w:val="bs-Latn-BA"/>
        </w:rPr>
        <w:t xml:space="preserve"> </w:t>
      </w:r>
      <w:r>
        <w:rPr>
          <w:lang w:val="bs-Latn-BA"/>
        </w:rPr>
        <w:t>о</w:t>
      </w:r>
      <w:r w:rsidR="00D41A15" w:rsidRPr="00295637">
        <w:rPr>
          <w:lang w:val="bs-Latn-BA"/>
        </w:rPr>
        <w:t xml:space="preserve"> </w:t>
      </w:r>
      <w:r>
        <w:rPr>
          <w:lang w:val="bs-Latn-BA"/>
        </w:rPr>
        <w:t>Стратегији</w:t>
      </w:r>
      <w:r w:rsidR="00D41A15" w:rsidRPr="00295637">
        <w:rPr>
          <w:lang w:val="bs-Latn-BA"/>
        </w:rPr>
        <w:t xml:space="preserve"> </w:t>
      </w:r>
      <w:r>
        <w:rPr>
          <w:lang w:val="bs-Latn-BA"/>
        </w:rPr>
        <w:t>за</w:t>
      </w:r>
      <w:r w:rsidR="0060400D" w:rsidRPr="00295637">
        <w:rPr>
          <w:lang w:val="bs-Latn-BA"/>
        </w:rPr>
        <w:t xml:space="preserve"> </w:t>
      </w:r>
      <w:r>
        <w:rPr>
          <w:lang w:val="bs-Latn-BA"/>
        </w:rPr>
        <w:t>превенцију</w:t>
      </w:r>
      <w:r w:rsidR="0060400D" w:rsidRPr="00295637">
        <w:rPr>
          <w:lang w:val="bs-Latn-BA"/>
        </w:rPr>
        <w:t xml:space="preserve"> </w:t>
      </w:r>
      <w:r>
        <w:rPr>
          <w:lang w:val="bs-Latn-BA"/>
        </w:rPr>
        <w:t>насиља</w:t>
      </w:r>
      <w:r w:rsidR="0060400D" w:rsidRPr="00295637">
        <w:rPr>
          <w:lang w:val="bs-Latn-BA"/>
        </w:rPr>
        <w:t xml:space="preserve"> </w:t>
      </w:r>
      <w:r>
        <w:rPr>
          <w:lang w:val="bs-Latn-BA"/>
        </w:rPr>
        <w:t>у</w:t>
      </w:r>
      <w:r w:rsidR="0060400D" w:rsidRPr="00295637">
        <w:rPr>
          <w:lang w:val="bs-Latn-BA"/>
        </w:rPr>
        <w:t xml:space="preserve"> </w:t>
      </w:r>
      <w:r>
        <w:rPr>
          <w:lang w:val="bs-Latn-BA"/>
        </w:rPr>
        <w:t>породици</w:t>
      </w:r>
      <w:r w:rsidR="0060400D" w:rsidRPr="00295637">
        <w:rPr>
          <w:lang w:val="bs-Latn-BA"/>
        </w:rPr>
        <w:t>,</w:t>
      </w:r>
      <w:r w:rsidR="00D41A15" w:rsidRPr="00295637">
        <w:rPr>
          <w:lang w:val="bs-Latn-BA"/>
        </w:rPr>
        <w:t xml:space="preserve"> </w:t>
      </w:r>
      <w:r>
        <w:rPr>
          <w:lang w:val="bs-Latn-BA"/>
        </w:rPr>
        <w:t>Истанбулској</w:t>
      </w:r>
      <w:r w:rsidR="00D41A15" w:rsidRPr="00295637">
        <w:rPr>
          <w:lang w:val="bs-Latn-BA"/>
        </w:rPr>
        <w:t xml:space="preserve"> </w:t>
      </w:r>
      <w:r>
        <w:rPr>
          <w:lang w:val="bs-Latn-BA"/>
        </w:rPr>
        <w:t>конвенцији</w:t>
      </w:r>
      <w:r w:rsidR="00D41A15" w:rsidRPr="00295637">
        <w:rPr>
          <w:lang w:val="bs-Latn-BA"/>
        </w:rPr>
        <w:t xml:space="preserve">, </w:t>
      </w:r>
      <w:r>
        <w:rPr>
          <w:lang w:val="bs-Latn-BA"/>
        </w:rPr>
        <w:t>мултисекторском</w:t>
      </w:r>
      <w:r w:rsidR="00D41A15" w:rsidRPr="00295637">
        <w:rPr>
          <w:lang w:val="bs-Latn-BA"/>
        </w:rPr>
        <w:t xml:space="preserve"> </w:t>
      </w:r>
      <w:r>
        <w:rPr>
          <w:lang w:val="bs-Latn-BA"/>
        </w:rPr>
        <w:t>одговору</w:t>
      </w:r>
      <w:r w:rsidR="00D41A15" w:rsidRPr="00295637">
        <w:rPr>
          <w:lang w:val="bs-Latn-BA"/>
        </w:rPr>
        <w:t xml:space="preserve">, </w:t>
      </w:r>
      <w:r>
        <w:rPr>
          <w:lang w:val="bs-Latn-BA"/>
        </w:rPr>
        <w:t>те</w:t>
      </w:r>
      <w:r w:rsidR="00D41A15" w:rsidRPr="00295637">
        <w:rPr>
          <w:lang w:val="bs-Latn-BA"/>
        </w:rPr>
        <w:t xml:space="preserve"> </w:t>
      </w:r>
      <w:r>
        <w:rPr>
          <w:lang w:val="bs-Latn-BA"/>
        </w:rPr>
        <w:t>су</w:t>
      </w:r>
      <w:r w:rsidR="00D41A15" w:rsidRPr="00295637">
        <w:rPr>
          <w:lang w:val="bs-Latn-BA"/>
        </w:rPr>
        <w:t xml:space="preserve"> </w:t>
      </w:r>
      <w:r>
        <w:rPr>
          <w:lang w:val="bs-Latn-BA"/>
        </w:rPr>
        <w:t>донесени</w:t>
      </w:r>
      <w:r w:rsidR="00D41A15" w:rsidRPr="00295637">
        <w:rPr>
          <w:lang w:val="bs-Latn-BA"/>
        </w:rPr>
        <w:t xml:space="preserve"> </w:t>
      </w:r>
      <w:r>
        <w:rPr>
          <w:lang w:val="bs-Latn-BA"/>
        </w:rPr>
        <w:t>закључци</w:t>
      </w:r>
      <w:r w:rsidR="00D41A15" w:rsidRPr="00295637">
        <w:rPr>
          <w:lang w:val="bs-Latn-BA"/>
        </w:rPr>
        <w:t xml:space="preserve"> </w:t>
      </w:r>
      <w:r>
        <w:rPr>
          <w:lang w:val="bs-Latn-BA"/>
        </w:rPr>
        <w:t>који</w:t>
      </w:r>
      <w:r w:rsidR="00D41A15" w:rsidRPr="00295637">
        <w:rPr>
          <w:lang w:val="bs-Latn-BA"/>
        </w:rPr>
        <w:t xml:space="preserve"> </w:t>
      </w:r>
      <w:r>
        <w:rPr>
          <w:lang w:val="bs-Latn-BA"/>
        </w:rPr>
        <w:t>су</w:t>
      </w:r>
      <w:r w:rsidR="00D41A15" w:rsidRPr="00295637">
        <w:rPr>
          <w:lang w:val="bs-Latn-BA"/>
        </w:rPr>
        <w:t xml:space="preserve"> </w:t>
      </w:r>
      <w:r>
        <w:rPr>
          <w:lang w:val="bs-Latn-BA"/>
        </w:rPr>
        <w:t>усвојени</w:t>
      </w:r>
      <w:r w:rsidR="00D41A15" w:rsidRPr="00295637">
        <w:rPr>
          <w:lang w:val="bs-Latn-BA"/>
        </w:rPr>
        <w:t xml:space="preserve"> </w:t>
      </w:r>
      <w:r>
        <w:rPr>
          <w:lang w:val="bs-Latn-BA"/>
        </w:rPr>
        <w:t>од</w:t>
      </w:r>
      <w:r w:rsidR="00D41A15" w:rsidRPr="00295637">
        <w:rPr>
          <w:lang w:val="bs-Latn-BA"/>
        </w:rPr>
        <w:t xml:space="preserve"> </w:t>
      </w:r>
      <w:r>
        <w:rPr>
          <w:lang w:val="bs-Latn-BA"/>
        </w:rPr>
        <w:t>стране</w:t>
      </w:r>
      <w:r w:rsidR="00D41A15" w:rsidRPr="00295637">
        <w:rPr>
          <w:lang w:val="bs-Latn-BA"/>
        </w:rPr>
        <w:t xml:space="preserve"> </w:t>
      </w:r>
      <w:r>
        <w:rPr>
          <w:lang w:val="bs-Latn-BA"/>
        </w:rPr>
        <w:t>оба</w:t>
      </w:r>
      <w:r w:rsidR="00D41A15" w:rsidRPr="00295637">
        <w:rPr>
          <w:lang w:val="bs-Latn-BA"/>
        </w:rPr>
        <w:t xml:space="preserve"> </w:t>
      </w:r>
      <w:r>
        <w:rPr>
          <w:lang w:val="bs-Latn-BA"/>
        </w:rPr>
        <w:t>дома</w:t>
      </w:r>
      <w:r w:rsidR="00D41A15" w:rsidRPr="00295637">
        <w:rPr>
          <w:lang w:val="bs-Latn-BA"/>
        </w:rPr>
        <w:t xml:space="preserve"> </w:t>
      </w:r>
      <w:r>
        <w:rPr>
          <w:lang w:val="bs-Latn-BA"/>
        </w:rPr>
        <w:t>Парламента</w:t>
      </w:r>
      <w:r w:rsidR="00D41A15" w:rsidRPr="00295637">
        <w:rPr>
          <w:lang w:val="bs-Latn-BA"/>
        </w:rPr>
        <w:t xml:space="preserve"> </w:t>
      </w:r>
      <w:r>
        <w:rPr>
          <w:lang w:val="bs-Latn-BA"/>
        </w:rPr>
        <w:t>ФБиХ</w:t>
      </w:r>
      <w:r w:rsidR="00D41A15" w:rsidRPr="00295637">
        <w:rPr>
          <w:lang w:val="bs-Latn-BA"/>
        </w:rPr>
        <w:t xml:space="preserve">. </w:t>
      </w:r>
    </w:p>
    <w:p w:rsidR="00D41A15" w:rsidRPr="00295637" w:rsidRDefault="00D41A15" w:rsidP="0086268D">
      <w:pPr>
        <w:pStyle w:val="NormalWeb"/>
        <w:spacing w:before="0" w:beforeAutospacing="0" w:after="0" w:afterAutospacing="0"/>
        <w:ind w:left="576"/>
        <w:jc w:val="both"/>
        <w:rPr>
          <w:rFonts w:ascii="Gill Sans MT" w:hAnsi="Gill Sans MT"/>
          <w:lang w:val="bs-Latn-BA"/>
        </w:rPr>
      </w:pPr>
    </w:p>
    <w:p w:rsidR="00D41A15" w:rsidRPr="00295637" w:rsidRDefault="00C6214E" w:rsidP="0086268D">
      <w:pPr>
        <w:pStyle w:val="NormalWeb"/>
        <w:spacing w:before="0" w:beforeAutospacing="0" w:after="0" w:afterAutospacing="0"/>
        <w:jc w:val="both"/>
        <w:rPr>
          <w:lang w:val="bs-Latn-BA"/>
        </w:rPr>
      </w:pPr>
      <w:r>
        <w:rPr>
          <w:lang w:val="bs-Latn-BA"/>
        </w:rPr>
        <w:t>ФМУП</w:t>
      </w:r>
      <w:r w:rsidR="00D41A15" w:rsidRPr="00295637">
        <w:rPr>
          <w:lang w:val="bs-Latn-BA"/>
        </w:rPr>
        <w:t xml:space="preserve"> </w:t>
      </w:r>
      <w:r>
        <w:rPr>
          <w:lang w:val="bs-Latn-BA"/>
        </w:rPr>
        <w:t>је</w:t>
      </w:r>
      <w:r w:rsidR="001A7A96" w:rsidRPr="00295637">
        <w:rPr>
          <w:lang w:val="bs-Latn-BA"/>
        </w:rPr>
        <w:t xml:space="preserve"> </w:t>
      </w:r>
      <w:r>
        <w:rPr>
          <w:lang w:val="bs-Latn-BA"/>
        </w:rPr>
        <w:t>донијело</w:t>
      </w:r>
      <w:r w:rsidR="00D41A15" w:rsidRPr="00295637">
        <w:rPr>
          <w:lang w:val="bs-Latn-BA"/>
        </w:rPr>
        <w:t xml:space="preserve"> </w:t>
      </w:r>
      <w:r>
        <w:rPr>
          <w:lang w:val="bs-Latn-BA"/>
        </w:rPr>
        <w:t>измјене</w:t>
      </w:r>
      <w:r w:rsidR="00D41A15" w:rsidRPr="00295637">
        <w:rPr>
          <w:lang w:val="bs-Latn-BA"/>
        </w:rPr>
        <w:t xml:space="preserve"> </w:t>
      </w:r>
      <w:r>
        <w:rPr>
          <w:lang w:val="bs-Latn-BA"/>
        </w:rPr>
        <w:t>и</w:t>
      </w:r>
      <w:r w:rsidR="00D41A15" w:rsidRPr="00295637">
        <w:rPr>
          <w:lang w:val="bs-Latn-BA"/>
        </w:rPr>
        <w:t xml:space="preserve"> </w:t>
      </w:r>
      <w:r>
        <w:rPr>
          <w:lang w:val="bs-Latn-BA"/>
        </w:rPr>
        <w:t>допуне</w:t>
      </w:r>
      <w:r w:rsidR="00D41A15" w:rsidRPr="00295637">
        <w:rPr>
          <w:lang w:val="bs-Latn-BA"/>
        </w:rPr>
        <w:t xml:space="preserve"> </w:t>
      </w:r>
      <w:r>
        <w:rPr>
          <w:lang w:val="bs-Latn-BA"/>
        </w:rPr>
        <w:t>Правилника</w:t>
      </w:r>
      <w:r w:rsidR="00D41A15" w:rsidRPr="00295637">
        <w:rPr>
          <w:lang w:val="bs-Latn-BA"/>
        </w:rPr>
        <w:t xml:space="preserve"> </w:t>
      </w:r>
      <w:r>
        <w:rPr>
          <w:lang w:val="bs-Latn-BA"/>
        </w:rPr>
        <w:t>о</w:t>
      </w:r>
      <w:r w:rsidR="00D41A15" w:rsidRPr="00295637">
        <w:rPr>
          <w:lang w:val="bs-Latn-BA"/>
        </w:rPr>
        <w:t xml:space="preserve"> </w:t>
      </w:r>
      <w:r>
        <w:rPr>
          <w:lang w:val="bs-Latn-BA"/>
        </w:rPr>
        <w:t>начину</w:t>
      </w:r>
      <w:r w:rsidR="00D41A15" w:rsidRPr="00295637">
        <w:rPr>
          <w:lang w:val="bs-Latn-BA"/>
        </w:rPr>
        <w:t xml:space="preserve"> </w:t>
      </w:r>
      <w:r w:rsidR="00F742CE">
        <w:rPr>
          <w:lang w:val="sr-Cyrl-BA"/>
        </w:rPr>
        <w:t>спровођења</w:t>
      </w:r>
      <w:r w:rsidR="00D41A15" w:rsidRPr="00295637">
        <w:rPr>
          <w:lang w:val="bs-Latn-BA"/>
        </w:rPr>
        <w:t xml:space="preserve"> </w:t>
      </w:r>
      <w:r>
        <w:rPr>
          <w:lang w:val="bs-Latn-BA"/>
        </w:rPr>
        <w:t>заштитних</w:t>
      </w:r>
      <w:r w:rsidR="00D41A15" w:rsidRPr="00295637">
        <w:rPr>
          <w:lang w:val="bs-Latn-BA"/>
        </w:rPr>
        <w:t xml:space="preserve"> </w:t>
      </w:r>
      <w:r>
        <w:rPr>
          <w:lang w:val="bs-Latn-BA"/>
        </w:rPr>
        <w:t>мјера</w:t>
      </w:r>
      <w:r w:rsidR="00D41A15" w:rsidRPr="00295637">
        <w:rPr>
          <w:lang w:val="bs-Latn-BA"/>
        </w:rPr>
        <w:t xml:space="preserve"> </w:t>
      </w:r>
      <w:r>
        <w:rPr>
          <w:lang w:val="bs-Latn-BA"/>
        </w:rPr>
        <w:t>за</w:t>
      </w:r>
      <w:r w:rsidR="00D41A15" w:rsidRPr="00295637">
        <w:rPr>
          <w:lang w:val="bs-Latn-BA"/>
        </w:rPr>
        <w:t xml:space="preserve"> </w:t>
      </w:r>
      <w:r>
        <w:rPr>
          <w:lang w:val="bs-Latn-BA"/>
        </w:rPr>
        <w:t>починиоце</w:t>
      </w:r>
      <w:r w:rsidR="00D41A15" w:rsidRPr="00295637">
        <w:rPr>
          <w:lang w:val="bs-Latn-BA"/>
        </w:rPr>
        <w:t xml:space="preserve"> </w:t>
      </w:r>
      <w:r>
        <w:rPr>
          <w:lang w:val="bs-Latn-BA"/>
        </w:rPr>
        <w:t>насиља</w:t>
      </w:r>
      <w:r w:rsidR="00D41A15" w:rsidRPr="00295637">
        <w:rPr>
          <w:lang w:val="bs-Latn-BA"/>
        </w:rPr>
        <w:t xml:space="preserve"> </w:t>
      </w:r>
      <w:r>
        <w:rPr>
          <w:lang w:val="bs-Latn-BA"/>
        </w:rPr>
        <w:t>у</w:t>
      </w:r>
      <w:r w:rsidR="00D41A15" w:rsidRPr="00295637">
        <w:rPr>
          <w:lang w:val="bs-Latn-BA"/>
        </w:rPr>
        <w:t xml:space="preserve"> </w:t>
      </w:r>
      <w:r>
        <w:rPr>
          <w:lang w:val="bs-Latn-BA"/>
        </w:rPr>
        <w:t>породици</w:t>
      </w:r>
      <w:r w:rsidR="00D41A15" w:rsidRPr="00295637">
        <w:rPr>
          <w:lang w:val="bs-Latn-BA"/>
        </w:rPr>
        <w:t xml:space="preserve"> </w:t>
      </w:r>
      <w:r>
        <w:rPr>
          <w:lang w:val="bs-Latn-BA"/>
        </w:rPr>
        <w:t>које</w:t>
      </w:r>
      <w:r w:rsidR="00D41A15" w:rsidRPr="00295637">
        <w:rPr>
          <w:lang w:val="bs-Latn-BA"/>
        </w:rPr>
        <w:t xml:space="preserve"> </w:t>
      </w:r>
      <w:r>
        <w:rPr>
          <w:lang w:val="bs-Latn-BA"/>
        </w:rPr>
        <w:t>су</w:t>
      </w:r>
      <w:r w:rsidR="00D41A15" w:rsidRPr="00295637">
        <w:rPr>
          <w:lang w:val="bs-Latn-BA"/>
        </w:rPr>
        <w:t xml:space="preserve"> </w:t>
      </w:r>
      <w:r>
        <w:rPr>
          <w:lang w:val="bs-Latn-BA"/>
        </w:rPr>
        <w:t>у</w:t>
      </w:r>
      <w:r w:rsidR="00D41A15" w:rsidRPr="00295637">
        <w:rPr>
          <w:lang w:val="bs-Latn-BA"/>
        </w:rPr>
        <w:t xml:space="preserve"> </w:t>
      </w:r>
      <w:r>
        <w:rPr>
          <w:lang w:val="bs-Latn-BA"/>
        </w:rPr>
        <w:t>надлежности</w:t>
      </w:r>
      <w:r w:rsidR="00D41A15" w:rsidRPr="00295637">
        <w:rPr>
          <w:lang w:val="bs-Latn-BA"/>
        </w:rPr>
        <w:t xml:space="preserve"> </w:t>
      </w:r>
      <w:r>
        <w:rPr>
          <w:lang w:val="bs-Latn-BA"/>
        </w:rPr>
        <w:t>полиције</w:t>
      </w:r>
      <w:r w:rsidR="00D41A15" w:rsidRPr="00295637">
        <w:rPr>
          <w:lang w:val="bs-Latn-BA"/>
        </w:rPr>
        <w:t xml:space="preserve"> </w:t>
      </w:r>
      <w:r>
        <w:rPr>
          <w:lang w:val="bs-Latn-BA"/>
        </w:rPr>
        <w:t>којим</w:t>
      </w:r>
      <w:r w:rsidR="00D41A15" w:rsidRPr="00295637">
        <w:rPr>
          <w:lang w:val="bs-Latn-BA"/>
        </w:rPr>
        <w:t xml:space="preserve"> </w:t>
      </w:r>
      <w:r>
        <w:rPr>
          <w:lang w:val="bs-Latn-BA"/>
        </w:rPr>
        <w:t>је</w:t>
      </w:r>
      <w:r w:rsidR="00D41A15" w:rsidRPr="00295637">
        <w:rPr>
          <w:lang w:val="bs-Latn-BA"/>
        </w:rPr>
        <w:t xml:space="preserve"> </w:t>
      </w:r>
      <w:r>
        <w:rPr>
          <w:lang w:val="bs-Latn-BA"/>
        </w:rPr>
        <w:t>обухваћена</w:t>
      </w:r>
      <w:r w:rsidR="00D41A15" w:rsidRPr="00295637">
        <w:rPr>
          <w:lang w:val="bs-Latn-BA"/>
        </w:rPr>
        <w:t xml:space="preserve"> </w:t>
      </w:r>
      <w:r>
        <w:rPr>
          <w:lang w:val="bs-Latn-BA"/>
        </w:rPr>
        <w:t>процјена</w:t>
      </w:r>
      <w:r w:rsidR="00D41A15" w:rsidRPr="00295637">
        <w:rPr>
          <w:lang w:val="bs-Latn-BA"/>
        </w:rPr>
        <w:t xml:space="preserve"> </w:t>
      </w:r>
      <w:r>
        <w:rPr>
          <w:lang w:val="bs-Latn-BA"/>
        </w:rPr>
        <w:t>ризика</w:t>
      </w:r>
      <w:r w:rsidR="00D41A15" w:rsidRPr="00295637">
        <w:rPr>
          <w:lang w:val="bs-Latn-BA"/>
        </w:rPr>
        <w:t>.</w:t>
      </w:r>
    </w:p>
    <w:p w:rsidR="001A7A96" w:rsidRPr="00295637" w:rsidRDefault="001A7A96" w:rsidP="0086268D">
      <w:pPr>
        <w:pStyle w:val="NormalWeb"/>
        <w:spacing w:before="0" w:beforeAutospacing="0" w:after="0" w:afterAutospacing="0"/>
        <w:jc w:val="both"/>
        <w:rPr>
          <w:lang w:val="bs-Latn-BA"/>
        </w:rPr>
      </w:pPr>
    </w:p>
    <w:p w:rsidR="00D41A15" w:rsidRPr="00295637" w:rsidRDefault="00C6214E" w:rsidP="0086268D">
      <w:pPr>
        <w:pStyle w:val="NormalWeb"/>
        <w:spacing w:before="0" w:beforeAutospacing="0" w:after="0" w:afterAutospacing="0"/>
        <w:jc w:val="both"/>
        <w:rPr>
          <w:lang w:val="bs-Latn-BA"/>
        </w:rPr>
      </w:pPr>
      <w:r>
        <w:rPr>
          <w:lang w:val="bs-Latn-BA"/>
        </w:rPr>
        <w:t>ФМП</w:t>
      </w:r>
      <w:r w:rsidR="00D41A15" w:rsidRPr="00295637">
        <w:rPr>
          <w:lang w:val="bs-Latn-BA"/>
        </w:rPr>
        <w:t xml:space="preserve"> </w:t>
      </w:r>
      <w:r>
        <w:rPr>
          <w:lang w:val="bs-Latn-BA"/>
        </w:rPr>
        <w:t>је</w:t>
      </w:r>
      <w:r w:rsidR="007E2ED7" w:rsidRPr="00295637">
        <w:rPr>
          <w:lang w:val="bs-Latn-BA"/>
        </w:rPr>
        <w:t xml:space="preserve"> </w:t>
      </w:r>
      <w:r>
        <w:rPr>
          <w:lang w:val="bs-Latn-BA"/>
        </w:rPr>
        <w:t>покренуло</w:t>
      </w:r>
      <w:r w:rsidR="00D41A15" w:rsidRPr="00295637">
        <w:rPr>
          <w:lang w:val="bs-Latn-BA"/>
        </w:rPr>
        <w:t xml:space="preserve"> </w:t>
      </w:r>
      <w:r>
        <w:rPr>
          <w:lang w:val="bs-Latn-BA"/>
        </w:rPr>
        <w:t>процес</w:t>
      </w:r>
      <w:r w:rsidR="00D41A15" w:rsidRPr="00295637">
        <w:rPr>
          <w:lang w:val="bs-Latn-BA"/>
        </w:rPr>
        <w:t xml:space="preserve"> </w:t>
      </w:r>
      <w:r>
        <w:rPr>
          <w:bCs/>
          <w:lang w:val="bs-Latn-BA"/>
        </w:rPr>
        <w:t>измјена</w:t>
      </w:r>
      <w:r w:rsidR="00D41A15" w:rsidRPr="00295637">
        <w:rPr>
          <w:bCs/>
          <w:lang w:val="bs-Latn-BA"/>
        </w:rPr>
        <w:t xml:space="preserve"> </w:t>
      </w:r>
      <w:r>
        <w:rPr>
          <w:bCs/>
          <w:lang w:val="bs-Latn-BA"/>
        </w:rPr>
        <w:t>и</w:t>
      </w:r>
      <w:r w:rsidR="00D41A15" w:rsidRPr="00295637">
        <w:rPr>
          <w:bCs/>
          <w:lang w:val="bs-Latn-BA"/>
        </w:rPr>
        <w:t xml:space="preserve"> </w:t>
      </w:r>
      <w:r>
        <w:rPr>
          <w:bCs/>
          <w:lang w:val="bs-Latn-BA"/>
        </w:rPr>
        <w:t>допуна</w:t>
      </w:r>
      <w:r w:rsidR="00D41A15" w:rsidRPr="00295637">
        <w:rPr>
          <w:bCs/>
          <w:lang w:val="bs-Latn-BA"/>
        </w:rPr>
        <w:t xml:space="preserve"> </w:t>
      </w:r>
      <w:r>
        <w:rPr>
          <w:bCs/>
          <w:lang w:val="bs-Latn-BA"/>
        </w:rPr>
        <w:t>Кривичног</w:t>
      </w:r>
      <w:r w:rsidR="00D41A15" w:rsidRPr="00295637">
        <w:rPr>
          <w:bCs/>
          <w:lang w:val="bs-Latn-BA"/>
        </w:rPr>
        <w:t xml:space="preserve"> </w:t>
      </w:r>
      <w:r>
        <w:rPr>
          <w:bCs/>
          <w:lang w:val="bs-Latn-BA"/>
        </w:rPr>
        <w:t>закона</w:t>
      </w:r>
      <w:r w:rsidR="00D41A15" w:rsidRPr="00295637">
        <w:rPr>
          <w:bCs/>
          <w:lang w:val="bs-Latn-BA"/>
        </w:rPr>
        <w:t xml:space="preserve"> </w:t>
      </w:r>
      <w:r>
        <w:rPr>
          <w:bCs/>
          <w:lang w:val="bs-Latn-BA"/>
        </w:rPr>
        <w:t>ФБиХ</w:t>
      </w:r>
      <w:r w:rsidR="001A7A96" w:rsidRPr="00295637">
        <w:rPr>
          <w:bCs/>
          <w:lang w:val="bs-Latn-BA"/>
        </w:rPr>
        <w:t>,</w:t>
      </w:r>
      <w:r w:rsidR="004628A4" w:rsidRPr="00295637">
        <w:rPr>
          <w:lang w:val="bs-Latn-BA"/>
        </w:rPr>
        <w:t xml:space="preserve"> </w:t>
      </w:r>
      <w:r>
        <w:rPr>
          <w:lang w:val="bs-Latn-BA"/>
        </w:rPr>
        <w:t>како</w:t>
      </w:r>
      <w:r w:rsidR="004628A4" w:rsidRPr="00295637">
        <w:rPr>
          <w:lang w:val="bs-Latn-BA"/>
        </w:rPr>
        <w:t xml:space="preserve"> </w:t>
      </w:r>
      <w:r>
        <w:rPr>
          <w:lang w:val="bs-Latn-BA"/>
        </w:rPr>
        <w:t>би</w:t>
      </w:r>
      <w:r w:rsidR="004628A4" w:rsidRPr="00295637">
        <w:rPr>
          <w:lang w:val="bs-Latn-BA"/>
        </w:rPr>
        <w:t xml:space="preserve"> </w:t>
      </w:r>
      <w:r>
        <w:rPr>
          <w:lang w:val="bs-Latn-BA"/>
        </w:rPr>
        <w:t>исти</w:t>
      </w:r>
      <w:r w:rsidR="00D41A15" w:rsidRPr="00295637">
        <w:rPr>
          <w:lang w:val="bs-Latn-BA"/>
        </w:rPr>
        <w:t xml:space="preserve"> </w:t>
      </w:r>
      <w:r>
        <w:rPr>
          <w:lang w:val="bs-Latn-BA"/>
        </w:rPr>
        <w:t>био</w:t>
      </w:r>
      <w:r w:rsidR="004628A4" w:rsidRPr="00295637">
        <w:rPr>
          <w:lang w:val="bs-Latn-BA"/>
        </w:rPr>
        <w:t xml:space="preserve"> </w:t>
      </w:r>
      <w:r>
        <w:rPr>
          <w:lang w:val="bs-Latn-BA"/>
        </w:rPr>
        <w:t>усклађен</w:t>
      </w:r>
      <w:r w:rsidR="00630355">
        <w:rPr>
          <w:lang w:val="bs-Latn-BA"/>
        </w:rPr>
        <w:t xml:space="preserve"> </w:t>
      </w:r>
      <w:r>
        <w:rPr>
          <w:lang w:val="bs-Latn-BA"/>
        </w:rPr>
        <w:t>са</w:t>
      </w:r>
      <w:r w:rsidR="00D41A15" w:rsidRPr="00295637">
        <w:rPr>
          <w:lang w:val="bs-Latn-BA"/>
        </w:rPr>
        <w:t xml:space="preserve"> </w:t>
      </w:r>
      <w:r>
        <w:rPr>
          <w:lang w:val="bs-Latn-BA"/>
        </w:rPr>
        <w:t>стандардима</w:t>
      </w:r>
      <w:r w:rsidR="00D41A15" w:rsidRPr="00295637">
        <w:rPr>
          <w:lang w:val="bs-Latn-BA"/>
        </w:rPr>
        <w:t xml:space="preserve"> </w:t>
      </w:r>
      <w:r>
        <w:rPr>
          <w:lang w:val="bs-Latn-BA"/>
        </w:rPr>
        <w:t>Истанбулске</w:t>
      </w:r>
      <w:r w:rsidR="00D41A15" w:rsidRPr="00295637">
        <w:rPr>
          <w:lang w:val="bs-Latn-BA"/>
        </w:rPr>
        <w:t xml:space="preserve"> </w:t>
      </w:r>
      <w:r>
        <w:rPr>
          <w:lang w:val="bs-Latn-BA"/>
        </w:rPr>
        <w:t>конвенције</w:t>
      </w:r>
      <w:r w:rsidR="00D41A15" w:rsidRPr="00295637">
        <w:rPr>
          <w:lang w:val="bs-Latn-BA"/>
        </w:rPr>
        <w:t xml:space="preserve">. </w:t>
      </w:r>
      <w:r>
        <w:rPr>
          <w:lang w:val="bs-Latn-BA"/>
        </w:rPr>
        <w:t>Циљ</w:t>
      </w:r>
      <w:r w:rsidR="00D41A15" w:rsidRPr="00295637">
        <w:rPr>
          <w:lang w:val="bs-Latn-BA"/>
        </w:rPr>
        <w:t xml:space="preserve"> </w:t>
      </w:r>
      <w:r>
        <w:rPr>
          <w:lang w:val="bs-Latn-BA"/>
        </w:rPr>
        <w:t>измјена</w:t>
      </w:r>
      <w:r w:rsidR="00D41A15" w:rsidRPr="00295637">
        <w:rPr>
          <w:lang w:val="bs-Latn-BA"/>
        </w:rPr>
        <w:t xml:space="preserve"> </w:t>
      </w:r>
      <w:r>
        <w:rPr>
          <w:lang w:val="bs-Latn-BA"/>
        </w:rPr>
        <w:t>је</w:t>
      </w:r>
      <w:r w:rsidR="00D41A15" w:rsidRPr="00295637">
        <w:rPr>
          <w:lang w:val="bs-Latn-BA"/>
        </w:rPr>
        <w:t xml:space="preserve"> </w:t>
      </w:r>
      <w:r>
        <w:rPr>
          <w:lang w:val="bs-Latn-BA"/>
        </w:rPr>
        <w:t>успостављање</w:t>
      </w:r>
      <w:r w:rsidR="00D41A15" w:rsidRPr="00295637">
        <w:rPr>
          <w:lang w:val="bs-Latn-BA"/>
        </w:rPr>
        <w:t xml:space="preserve"> </w:t>
      </w:r>
      <w:r>
        <w:rPr>
          <w:lang w:val="bs-Latn-BA"/>
        </w:rPr>
        <w:t>строжих</w:t>
      </w:r>
      <w:r w:rsidR="00D41A15" w:rsidRPr="00295637">
        <w:rPr>
          <w:lang w:val="bs-Latn-BA"/>
        </w:rPr>
        <w:t xml:space="preserve"> </w:t>
      </w:r>
      <w:r>
        <w:rPr>
          <w:lang w:val="bs-Latn-BA"/>
        </w:rPr>
        <w:t>казни</w:t>
      </w:r>
      <w:r w:rsidR="00D41A15" w:rsidRPr="00295637">
        <w:rPr>
          <w:lang w:val="bs-Latn-BA"/>
        </w:rPr>
        <w:t xml:space="preserve"> </w:t>
      </w:r>
      <w:r>
        <w:rPr>
          <w:lang w:val="bs-Latn-BA"/>
        </w:rPr>
        <w:t>за</w:t>
      </w:r>
      <w:r w:rsidR="00D41A15" w:rsidRPr="00295637">
        <w:rPr>
          <w:lang w:val="bs-Latn-BA"/>
        </w:rPr>
        <w:t xml:space="preserve"> </w:t>
      </w:r>
      <w:r>
        <w:rPr>
          <w:lang w:val="bs-Latn-BA"/>
        </w:rPr>
        <w:t>кривична</w:t>
      </w:r>
      <w:r w:rsidR="00D41A15" w:rsidRPr="00295637">
        <w:rPr>
          <w:lang w:val="bs-Latn-BA"/>
        </w:rPr>
        <w:t xml:space="preserve"> </w:t>
      </w:r>
      <w:r>
        <w:rPr>
          <w:lang w:val="bs-Latn-BA"/>
        </w:rPr>
        <w:t>дјела</w:t>
      </w:r>
      <w:r w:rsidR="00D41A15" w:rsidRPr="00295637">
        <w:rPr>
          <w:lang w:val="bs-Latn-BA"/>
        </w:rPr>
        <w:t xml:space="preserve">, </w:t>
      </w:r>
      <w:r>
        <w:rPr>
          <w:lang w:val="bs-Latn-BA"/>
        </w:rPr>
        <w:t>нарочито</w:t>
      </w:r>
      <w:r w:rsidR="00D41A15" w:rsidRPr="00295637">
        <w:rPr>
          <w:lang w:val="bs-Latn-BA"/>
        </w:rPr>
        <w:t xml:space="preserve"> </w:t>
      </w:r>
      <w:r>
        <w:rPr>
          <w:lang w:val="bs-Latn-BA"/>
        </w:rPr>
        <w:t>оних</w:t>
      </w:r>
      <w:r w:rsidR="00D41A15" w:rsidRPr="00295637">
        <w:rPr>
          <w:lang w:val="bs-Latn-BA"/>
        </w:rPr>
        <w:t xml:space="preserve"> </w:t>
      </w:r>
      <w:r>
        <w:rPr>
          <w:lang w:val="bs-Latn-BA"/>
        </w:rPr>
        <w:t>које</w:t>
      </w:r>
      <w:r w:rsidR="00D41A15" w:rsidRPr="00295637">
        <w:rPr>
          <w:lang w:val="bs-Latn-BA"/>
        </w:rPr>
        <w:t xml:space="preserve"> </w:t>
      </w:r>
      <w:r>
        <w:rPr>
          <w:lang w:val="bs-Latn-BA"/>
        </w:rPr>
        <w:t>се</w:t>
      </w:r>
      <w:r w:rsidR="00D41A15" w:rsidRPr="00295637">
        <w:rPr>
          <w:lang w:val="bs-Latn-BA"/>
        </w:rPr>
        <w:t xml:space="preserve"> </w:t>
      </w:r>
      <w:r>
        <w:rPr>
          <w:lang w:val="bs-Latn-BA"/>
        </w:rPr>
        <w:t>односе</w:t>
      </w:r>
      <w:r w:rsidR="00D41A15" w:rsidRPr="00295637">
        <w:rPr>
          <w:lang w:val="bs-Latn-BA"/>
        </w:rPr>
        <w:t xml:space="preserve"> </w:t>
      </w:r>
      <w:r>
        <w:rPr>
          <w:lang w:val="bs-Latn-BA"/>
        </w:rPr>
        <w:t>на</w:t>
      </w:r>
      <w:r w:rsidR="00D41A15" w:rsidRPr="00295637">
        <w:rPr>
          <w:lang w:val="bs-Latn-BA"/>
        </w:rPr>
        <w:t xml:space="preserve"> </w:t>
      </w:r>
      <w:r>
        <w:rPr>
          <w:lang w:val="bs-Latn-BA"/>
        </w:rPr>
        <w:t>родно</w:t>
      </w:r>
      <w:r w:rsidR="00D41A15" w:rsidRPr="00295637">
        <w:rPr>
          <w:lang w:val="bs-Latn-BA"/>
        </w:rPr>
        <w:t xml:space="preserve"> </w:t>
      </w:r>
      <w:r>
        <w:rPr>
          <w:lang w:val="bs-Latn-BA"/>
        </w:rPr>
        <w:t>засновано</w:t>
      </w:r>
      <w:r w:rsidR="00D41A15" w:rsidRPr="00295637">
        <w:rPr>
          <w:lang w:val="bs-Latn-BA"/>
        </w:rPr>
        <w:t xml:space="preserve"> </w:t>
      </w:r>
      <w:r>
        <w:rPr>
          <w:lang w:val="bs-Latn-BA"/>
        </w:rPr>
        <w:t>насиље</w:t>
      </w:r>
      <w:r w:rsidR="00D41A15" w:rsidRPr="00295637">
        <w:rPr>
          <w:lang w:val="bs-Latn-BA"/>
        </w:rPr>
        <w:t xml:space="preserve">. </w:t>
      </w:r>
      <w:r>
        <w:rPr>
          <w:lang w:val="bs-Latn-BA"/>
        </w:rPr>
        <w:t>Предвиђена</w:t>
      </w:r>
      <w:r w:rsidR="00D41A15" w:rsidRPr="00295637">
        <w:rPr>
          <w:lang w:val="bs-Latn-BA"/>
        </w:rPr>
        <w:t xml:space="preserve"> </w:t>
      </w:r>
      <w:r>
        <w:rPr>
          <w:lang w:val="bs-Latn-BA"/>
        </w:rPr>
        <w:t>је</w:t>
      </w:r>
      <w:r w:rsidR="00D41A15" w:rsidRPr="00295637">
        <w:rPr>
          <w:lang w:val="bs-Latn-BA"/>
        </w:rPr>
        <w:t xml:space="preserve"> </w:t>
      </w:r>
      <w:r>
        <w:rPr>
          <w:lang w:val="bs-Latn-BA"/>
        </w:rPr>
        <w:t>и</w:t>
      </w:r>
      <w:r w:rsidR="00D41A15" w:rsidRPr="00295637">
        <w:rPr>
          <w:lang w:val="bs-Latn-BA"/>
        </w:rPr>
        <w:t xml:space="preserve"> </w:t>
      </w:r>
      <w:r>
        <w:rPr>
          <w:lang w:val="bs-Latn-BA"/>
        </w:rPr>
        <w:t>израда</w:t>
      </w:r>
      <w:r w:rsidR="00D41A15" w:rsidRPr="00295637">
        <w:rPr>
          <w:lang w:val="bs-Latn-BA"/>
        </w:rPr>
        <w:t xml:space="preserve"> </w:t>
      </w:r>
      <w:r>
        <w:rPr>
          <w:lang w:val="bs-Latn-BA"/>
        </w:rPr>
        <w:t>новог</w:t>
      </w:r>
      <w:r w:rsidR="00D41A15" w:rsidRPr="00295637">
        <w:rPr>
          <w:lang w:val="bs-Latn-BA"/>
        </w:rPr>
        <w:t xml:space="preserve"> </w:t>
      </w:r>
      <w:r>
        <w:rPr>
          <w:bCs/>
          <w:lang w:val="bs-Latn-BA"/>
        </w:rPr>
        <w:t>Нацрта</w:t>
      </w:r>
      <w:r w:rsidR="00630355">
        <w:rPr>
          <w:bCs/>
          <w:lang w:val="bs-Latn-BA"/>
        </w:rPr>
        <w:t xml:space="preserve"> </w:t>
      </w:r>
      <w:r>
        <w:rPr>
          <w:bCs/>
          <w:lang w:val="bs-Latn-BA"/>
        </w:rPr>
        <w:t>закона</w:t>
      </w:r>
      <w:r w:rsidR="00D41A15" w:rsidRPr="00295637">
        <w:rPr>
          <w:bCs/>
          <w:lang w:val="bs-Latn-BA"/>
        </w:rPr>
        <w:t xml:space="preserve"> </w:t>
      </w:r>
      <w:r>
        <w:rPr>
          <w:bCs/>
          <w:lang w:val="bs-Latn-BA"/>
        </w:rPr>
        <w:t>о</w:t>
      </w:r>
      <w:r w:rsidR="00D41A15" w:rsidRPr="00295637">
        <w:rPr>
          <w:bCs/>
          <w:lang w:val="bs-Latn-BA"/>
        </w:rPr>
        <w:t xml:space="preserve"> </w:t>
      </w:r>
      <w:r>
        <w:rPr>
          <w:bCs/>
          <w:lang w:val="bs-Latn-BA"/>
        </w:rPr>
        <w:t>кривичном</w:t>
      </w:r>
      <w:r w:rsidR="00D41A15" w:rsidRPr="00295637">
        <w:rPr>
          <w:bCs/>
          <w:lang w:val="bs-Latn-BA"/>
        </w:rPr>
        <w:t xml:space="preserve"> </w:t>
      </w:r>
      <w:r>
        <w:rPr>
          <w:bCs/>
          <w:lang w:val="bs-Latn-BA"/>
        </w:rPr>
        <w:t>поступку</w:t>
      </w:r>
      <w:r w:rsidR="00D41A15" w:rsidRPr="00295637">
        <w:rPr>
          <w:bCs/>
          <w:lang w:val="bs-Latn-BA"/>
        </w:rPr>
        <w:t xml:space="preserve"> </w:t>
      </w:r>
      <w:r>
        <w:rPr>
          <w:bCs/>
          <w:lang w:val="bs-Latn-BA"/>
        </w:rPr>
        <w:t>ФБиХ</w:t>
      </w:r>
      <w:r w:rsidR="00630355">
        <w:rPr>
          <w:lang w:val="bs-Latn-BA"/>
        </w:rPr>
        <w:t xml:space="preserve">. </w:t>
      </w:r>
      <w:r>
        <w:rPr>
          <w:lang w:val="bs-Latn-BA"/>
        </w:rPr>
        <w:t>Овај</w:t>
      </w:r>
      <w:r w:rsidR="00630355">
        <w:rPr>
          <w:lang w:val="bs-Latn-BA"/>
        </w:rPr>
        <w:t xml:space="preserve"> </w:t>
      </w:r>
      <w:r>
        <w:rPr>
          <w:lang w:val="bs-Latn-BA"/>
        </w:rPr>
        <w:t>Закон</w:t>
      </w:r>
      <w:r w:rsidR="00D41A15" w:rsidRPr="00295637">
        <w:rPr>
          <w:lang w:val="bs-Latn-BA"/>
        </w:rPr>
        <w:t xml:space="preserve"> </w:t>
      </w:r>
      <w:r w:rsidR="00F742CE">
        <w:rPr>
          <w:lang w:val="bs-Latn-BA"/>
        </w:rPr>
        <w:t xml:space="preserve">ће </w:t>
      </w:r>
      <w:r>
        <w:rPr>
          <w:lang w:val="bs-Latn-BA"/>
        </w:rPr>
        <w:t>бит</w:t>
      </w:r>
      <w:r w:rsidR="00F742CE">
        <w:rPr>
          <w:lang w:val="sr-Cyrl-BA"/>
        </w:rPr>
        <w:t>и</w:t>
      </w:r>
      <w:r w:rsidR="00630355">
        <w:rPr>
          <w:lang w:val="bs-Latn-BA"/>
        </w:rPr>
        <w:t xml:space="preserve"> </w:t>
      </w:r>
      <w:r>
        <w:rPr>
          <w:lang w:val="bs-Latn-BA"/>
        </w:rPr>
        <w:t>усклађен</w:t>
      </w:r>
      <w:r w:rsidR="00D41A15" w:rsidRPr="00295637">
        <w:rPr>
          <w:lang w:val="bs-Latn-BA"/>
        </w:rPr>
        <w:t xml:space="preserve"> </w:t>
      </w:r>
      <w:r>
        <w:rPr>
          <w:lang w:val="bs-Latn-BA"/>
        </w:rPr>
        <w:t>са</w:t>
      </w:r>
      <w:r w:rsidR="00D41A15" w:rsidRPr="00295637">
        <w:rPr>
          <w:lang w:val="bs-Latn-BA"/>
        </w:rPr>
        <w:t xml:space="preserve"> </w:t>
      </w:r>
      <w:r>
        <w:rPr>
          <w:lang w:val="bs-Latn-BA"/>
        </w:rPr>
        <w:t>европском</w:t>
      </w:r>
      <w:r w:rsidR="00D41A15" w:rsidRPr="00295637">
        <w:rPr>
          <w:lang w:val="bs-Latn-BA"/>
        </w:rPr>
        <w:t xml:space="preserve"> </w:t>
      </w:r>
      <w:r>
        <w:rPr>
          <w:lang w:val="bs-Latn-BA"/>
        </w:rPr>
        <w:t>правном</w:t>
      </w:r>
      <w:r w:rsidR="00D41A15" w:rsidRPr="00295637">
        <w:rPr>
          <w:lang w:val="bs-Latn-BA"/>
        </w:rPr>
        <w:t xml:space="preserve"> </w:t>
      </w:r>
      <w:r>
        <w:rPr>
          <w:lang w:val="bs-Latn-BA"/>
        </w:rPr>
        <w:t>тековином</w:t>
      </w:r>
      <w:r w:rsidR="00D41A15" w:rsidRPr="00295637">
        <w:rPr>
          <w:lang w:val="bs-Latn-BA"/>
        </w:rPr>
        <w:t xml:space="preserve"> </w:t>
      </w:r>
      <w:r>
        <w:rPr>
          <w:lang w:val="bs-Latn-BA"/>
        </w:rPr>
        <w:t>и</w:t>
      </w:r>
      <w:r w:rsidR="00D41A15" w:rsidRPr="00295637">
        <w:rPr>
          <w:lang w:val="bs-Latn-BA"/>
        </w:rPr>
        <w:t xml:space="preserve"> </w:t>
      </w:r>
      <w:r>
        <w:rPr>
          <w:lang w:val="bs-Latn-BA"/>
        </w:rPr>
        <w:t>међународним</w:t>
      </w:r>
      <w:r w:rsidR="00D41A15" w:rsidRPr="00295637">
        <w:rPr>
          <w:lang w:val="bs-Latn-BA"/>
        </w:rPr>
        <w:t xml:space="preserve"> </w:t>
      </w:r>
      <w:r>
        <w:rPr>
          <w:lang w:val="bs-Latn-BA"/>
        </w:rPr>
        <w:t>стандардима</w:t>
      </w:r>
      <w:r w:rsidR="00D41A15" w:rsidRPr="00295637">
        <w:rPr>
          <w:lang w:val="bs-Latn-BA"/>
        </w:rPr>
        <w:t xml:space="preserve">, </w:t>
      </w:r>
      <w:r>
        <w:rPr>
          <w:lang w:val="bs-Latn-BA"/>
        </w:rPr>
        <w:t>а</w:t>
      </w:r>
      <w:r w:rsidR="00D41A15" w:rsidRPr="00295637">
        <w:rPr>
          <w:lang w:val="bs-Latn-BA"/>
        </w:rPr>
        <w:t xml:space="preserve"> </w:t>
      </w:r>
      <w:r>
        <w:rPr>
          <w:lang w:val="bs-Latn-BA"/>
        </w:rPr>
        <w:t>кључна</w:t>
      </w:r>
      <w:r w:rsidR="00D41A15" w:rsidRPr="00295637">
        <w:rPr>
          <w:lang w:val="bs-Latn-BA"/>
        </w:rPr>
        <w:t xml:space="preserve"> </w:t>
      </w:r>
      <w:r>
        <w:rPr>
          <w:lang w:val="bs-Latn-BA"/>
        </w:rPr>
        <w:t>измјена</w:t>
      </w:r>
      <w:r w:rsidR="00D41A15" w:rsidRPr="00295637">
        <w:rPr>
          <w:lang w:val="bs-Latn-BA"/>
        </w:rPr>
        <w:t xml:space="preserve"> </w:t>
      </w:r>
      <w:r w:rsidR="00F742CE">
        <w:rPr>
          <w:lang w:val="bs-Latn-BA"/>
        </w:rPr>
        <w:t xml:space="preserve">се </w:t>
      </w:r>
      <w:r>
        <w:rPr>
          <w:lang w:val="bs-Latn-BA"/>
        </w:rPr>
        <w:t>односи</w:t>
      </w:r>
      <w:r w:rsidR="00D41A15" w:rsidRPr="00295637">
        <w:rPr>
          <w:lang w:val="bs-Latn-BA"/>
        </w:rPr>
        <w:t xml:space="preserve"> </w:t>
      </w:r>
      <w:r>
        <w:rPr>
          <w:lang w:val="bs-Latn-BA"/>
        </w:rPr>
        <w:t>на</w:t>
      </w:r>
      <w:r w:rsidR="00D41A15" w:rsidRPr="00295637">
        <w:rPr>
          <w:lang w:val="bs-Latn-BA"/>
        </w:rPr>
        <w:t xml:space="preserve"> </w:t>
      </w:r>
      <w:r>
        <w:rPr>
          <w:lang w:val="bs-Latn-BA"/>
        </w:rPr>
        <w:t>увођење</w:t>
      </w:r>
      <w:r w:rsidR="00D41A15" w:rsidRPr="00295637">
        <w:rPr>
          <w:lang w:val="bs-Latn-BA"/>
        </w:rPr>
        <w:t xml:space="preserve"> </w:t>
      </w:r>
      <w:r>
        <w:rPr>
          <w:lang w:val="bs-Latn-BA"/>
        </w:rPr>
        <w:t>института</w:t>
      </w:r>
      <w:r w:rsidR="00D41A15" w:rsidRPr="00295637">
        <w:rPr>
          <w:lang w:val="bs-Latn-BA"/>
        </w:rPr>
        <w:t xml:space="preserve"> </w:t>
      </w:r>
      <w:r>
        <w:rPr>
          <w:lang w:val="bs-Latn-BA"/>
        </w:rPr>
        <w:t>суђења</w:t>
      </w:r>
      <w:r w:rsidR="00D41A15" w:rsidRPr="00295637">
        <w:rPr>
          <w:lang w:val="bs-Latn-BA"/>
        </w:rPr>
        <w:t xml:space="preserve"> </w:t>
      </w:r>
      <w:r>
        <w:rPr>
          <w:lang w:val="bs-Latn-BA"/>
        </w:rPr>
        <w:t>у</w:t>
      </w:r>
      <w:r w:rsidR="00D41A15" w:rsidRPr="00295637">
        <w:rPr>
          <w:lang w:val="bs-Latn-BA"/>
        </w:rPr>
        <w:t xml:space="preserve"> </w:t>
      </w:r>
      <w:r>
        <w:rPr>
          <w:lang w:val="bs-Latn-BA"/>
        </w:rPr>
        <w:t>одсуству</w:t>
      </w:r>
      <w:r w:rsidR="00D41A15" w:rsidRPr="00295637">
        <w:rPr>
          <w:lang w:val="bs-Latn-BA"/>
        </w:rPr>
        <w:t xml:space="preserve">. </w:t>
      </w:r>
      <w:r>
        <w:rPr>
          <w:lang w:val="bs-Latn-BA"/>
        </w:rPr>
        <w:t>У</w:t>
      </w:r>
      <w:r w:rsidR="00D41A15" w:rsidRPr="00295637">
        <w:rPr>
          <w:lang w:val="bs-Latn-BA"/>
        </w:rPr>
        <w:t xml:space="preserve"> </w:t>
      </w:r>
      <w:r>
        <w:rPr>
          <w:lang w:val="bs-Latn-BA"/>
        </w:rPr>
        <w:t>поступку</w:t>
      </w:r>
      <w:r w:rsidR="00D41A15" w:rsidRPr="00295637">
        <w:rPr>
          <w:lang w:val="bs-Latn-BA"/>
        </w:rPr>
        <w:t xml:space="preserve"> </w:t>
      </w:r>
      <w:r>
        <w:rPr>
          <w:lang w:val="bs-Latn-BA"/>
        </w:rPr>
        <w:t>је</w:t>
      </w:r>
      <w:r w:rsidR="00D41A15" w:rsidRPr="00295637">
        <w:rPr>
          <w:lang w:val="bs-Latn-BA"/>
        </w:rPr>
        <w:t xml:space="preserve"> </w:t>
      </w:r>
      <w:r>
        <w:rPr>
          <w:lang w:val="bs-Latn-BA"/>
        </w:rPr>
        <w:t>израда</w:t>
      </w:r>
      <w:r w:rsidR="00D41A15" w:rsidRPr="00295637">
        <w:rPr>
          <w:lang w:val="bs-Latn-BA"/>
        </w:rPr>
        <w:t xml:space="preserve"> </w:t>
      </w:r>
      <w:r>
        <w:rPr>
          <w:lang w:val="bs-Latn-BA"/>
        </w:rPr>
        <w:t>и</w:t>
      </w:r>
      <w:r w:rsidR="00D41A15" w:rsidRPr="00295637">
        <w:rPr>
          <w:lang w:val="bs-Latn-BA"/>
        </w:rPr>
        <w:t xml:space="preserve"> </w:t>
      </w:r>
      <w:r>
        <w:rPr>
          <w:bCs/>
          <w:lang w:val="bs-Latn-BA"/>
        </w:rPr>
        <w:t>Нацрта</w:t>
      </w:r>
      <w:r w:rsidR="00D41A15" w:rsidRPr="00295637">
        <w:rPr>
          <w:bCs/>
          <w:lang w:val="bs-Latn-BA"/>
        </w:rPr>
        <w:t xml:space="preserve"> </w:t>
      </w:r>
      <w:r>
        <w:rPr>
          <w:bCs/>
          <w:lang w:val="bs-Latn-BA"/>
        </w:rPr>
        <w:t>закона</w:t>
      </w:r>
      <w:r w:rsidR="00D41A15" w:rsidRPr="00295637">
        <w:rPr>
          <w:bCs/>
          <w:lang w:val="bs-Latn-BA"/>
        </w:rPr>
        <w:t xml:space="preserve"> </w:t>
      </w:r>
      <w:r>
        <w:rPr>
          <w:bCs/>
          <w:lang w:val="bs-Latn-BA"/>
        </w:rPr>
        <w:t>о</w:t>
      </w:r>
      <w:r w:rsidR="00D41A15" w:rsidRPr="00295637">
        <w:rPr>
          <w:bCs/>
          <w:lang w:val="bs-Latn-BA"/>
        </w:rPr>
        <w:t xml:space="preserve"> </w:t>
      </w:r>
      <w:r>
        <w:rPr>
          <w:bCs/>
          <w:lang w:val="bs-Latn-BA"/>
        </w:rPr>
        <w:t>измјенама</w:t>
      </w:r>
      <w:r w:rsidR="00D41A15" w:rsidRPr="00295637">
        <w:rPr>
          <w:bCs/>
          <w:lang w:val="bs-Latn-BA"/>
        </w:rPr>
        <w:t xml:space="preserve"> </w:t>
      </w:r>
      <w:r>
        <w:rPr>
          <w:bCs/>
          <w:lang w:val="bs-Latn-BA"/>
        </w:rPr>
        <w:t>и</w:t>
      </w:r>
      <w:r w:rsidR="00D41A15" w:rsidRPr="00295637">
        <w:rPr>
          <w:bCs/>
          <w:lang w:val="bs-Latn-BA"/>
        </w:rPr>
        <w:t xml:space="preserve"> </w:t>
      </w:r>
      <w:r>
        <w:rPr>
          <w:bCs/>
          <w:lang w:val="bs-Latn-BA"/>
        </w:rPr>
        <w:t>допунама</w:t>
      </w:r>
      <w:r w:rsidR="00D41A15" w:rsidRPr="00295637">
        <w:rPr>
          <w:bCs/>
          <w:lang w:val="bs-Latn-BA"/>
        </w:rPr>
        <w:t xml:space="preserve"> </w:t>
      </w:r>
      <w:r>
        <w:rPr>
          <w:bCs/>
          <w:lang w:val="bs-Latn-BA"/>
        </w:rPr>
        <w:t>Породичног</w:t>
      </w:r>
      <w:r w:rsidR="00D41A15" w:rsidRPr="00295637">
        <w:rPr>
          <w:bCs/>
          <w:lang w:val="bs-Latn-BA"/>
        </w:rPr>
        <w:t xml:space="preserve"> </w:t>
      </w:r>
      <w:r>
        <w:rPr>
          <w:bCs/>
          <w:lang w:val="bs-Latn-BA"/>
        </w:rPr>
        <w:t>закона</w:t>
      </w:r>
      <w:r w:rsidR="00D41A15" w:rsidRPr="00295637">
        <w:rPr>
          <w:bCs/>
          <w:lang w:val="bs-Latn-BA"/>
        </w:rPr>
        <w:t xml:space="preserve"> </w:t>
      </w:r>
      <w:r>
        <w:rPr>
          <w:bCs/>
          <w:lang w:val="bs-Latn-BA"/>
        </w:rPr>
        <w:t>ФБиХ</w:t>
      </w:r>
      <w:r w:rsidR="001A7A96" w:rsidRPr="00295637">
        <w:rPr>
          <w:bCs/>
          <w:lang w:val="bs-Latn-BA"/>
        </w:rPr>
        <w:t>,</w:t>
      </w:r>
      <w:r w:rsidR="00D41A15" w:rsidRPr="00295637">
        <w:rPr>
          <w:lang w:val="bs-Latn-BA"/>
        </w:rPr>
        <w:t xml:space="preserve"> </w:t>
      </w:r>
      <w:r>
        <w:rPr>
          <w:lang w:val="bs-Latn-BA"/>
        </w:rPr>
        <w:t>како</w:t>
      </w:r>
      <w:r w:rsidR="00D41A15" w:rsidRPr="00295637">
        <w:rPr>
          <w:lang w:val="bs-Latn-BA"/>
        </w:rPr>
        <w:t xml:space="preserve"> </w:t>
      </w:r>
      <w:r>
        <w:rPr>
          <w:lang w:val="bs-Latn-BA"/>
        </w:rPr>
        <w:t>би</w:t>
      </w:r>
      <w:r w:rsidR="00D41A15" w:rsidRPr="00295637">
        <w:rPr>
          <w:lang w:val="bs-Latn-BA"/>
        </w:rPr>
        <w:t xml:space="preserve"> </w:t>
      </w:r>
      <w:r>
        <w:rPr>
          <w:lang w:val="bs-Latn-BA"/>
        </w:rPr>
        <w:t>се</w:t>
      </w:r>
      <w:r w:rsidR="00D41A15" w:rsidRPr="00295637">
        <w:rPr>
          <w:lang w:val="bs-Latn-BA"/>
        </w:rPr>
        <w:t xml:space="preserve"> </w:t>
      </w:r>
      <w:r>
        <w:rPr>
          <w:lang w:val="bs-Latn-BA"/>
        </w:rPr>
        <w:t>додатно</w:t>
      </w:r>
      <w:r w:rsidR="00D41A15" w:rsidRPr="00295637">
        <w:rPr>
          <w:lang w:val="bs-Latn-BA"/>
        </w:rPr>
        <w:t xml:space="preserve"> </w:t>
      </w:r>
      <w:r>
        <w:rPr>
          <w:lang w:val="bs-Latn-BA"/>
        </w:rPr>
        <w:t>побољшала</w:t>
      </w:r>
      <w:r w:rsidR="00D41A15" w:rsidRPr="00295637">
        <w:rPr>
          <w:lang w:val="bs-Latn-BA"/>
        </w:rPr>
        <w:t xml:space="preserve"> </w:t>
      </w:r>
      <w:r>
        <w:rPr>
          <w:lang w:val="bs-Latn-BA"/>
        </w:rPr>
        <w:t>заштита</w:t>
      </w:r>
      <w:r w:rsidR="00D41A15" w:rsidRPr="00295637">
        <w:rPr>
          <w:lang w:val="bs-Latn-BA"/>
        </w:rPr>
        <w:t xml:space="preserve"> </w:t>
      </w:r>
      <w:r>
        <w:rPr>
          <w:lang w:val="bs-Latn-BA"/>
        </w:rPr>
        <w:t>чланова</w:t>
      </w:r>
      <w:r w:rsidR="00D41A15" w:rsidRPr="00295637">
        <w:rPr>
          <w:lang w:val="bs-Latn-BA"/>
        </w:rPr>
        <w:t xml:space="preserve"> </w:t>
      </w:r>
      <w:r>
        <w:rPr>
          <w:lang w:val="bs-Latn-BA"/>
        </w:rPr>
        <w:t>породице</w:t>
      </w:r>
      <w:r w:rsidR="00D41A15" w:rsidRPr="00295637">
        <w:rPr>
          <w:lang w:val="bs-Latn-BA"/>
        </w:rPr>
        <w:t xml:space="preserve">. </w:t>
      </w:r>
    </w:p>
    <w:p w:rsidR="00677C19" w:rsidRPr="00295637" w:rsidRDefault="00677C19" w:rsidP="0086268D">
      <w:pPr>
        <w:rPr>
          <w:lang w:val="bs-Latn-BA"/>
        </w:rPr>
      </w:pPr>
    </w:p>
    <w:p w:rsidR="00743D0A"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743D0A" w:rsidRPr="00295637">
        <w:rPr>
          <w:rFonts w:ascii="Times New Roman" w:hAnsi="Times New Roman"/>
          <w:lang w:val="sr-Latn-BA"/>
        </w:rPr>
        <w:t xml:space="preserve"> </w:t>
      </w:r>
      <w:r>
        <w:rPr>
          <w:rFonts w:ascii="Times New Roman" w:hAnsi="Times New Roman"/>
          <w:lang w:val="sr-Latn-BA"/>
        </w:rPr>
        <w:t>Републици</w:t>
      </w:r>
      <w:r w:rsidR="00743D0A" w:rsidRPr="00295637">
        <w:rPr>
          <w:rFonts w:ascii="Times New Roman" w:hAnsi="Times New Roman"/>
          <w:lang w:val="sr-Latn-BA"/>
        </w:rPr>
        <w:t xml:space="preserve"> </w:t>
      </w:r>
      <w:r>
        <w:rPr>
          <w:rFonts w:ascii="Times New Roman" w:hAnsi="Times New Roman"/>
          <w:lang w:val="sr-Latn-BA"/>
        </w:rPr>
        <w:t>Српској</w:t>
      </w:r>
      <w:r w:rsidR="00743D0A" w:rsidRPr="00295637">
        <w:rPr>
          <w:rFonts w:ascii="Times New Roman" w:hAnsi="Times New Roman"/>
          <w:lang w:val="sr-Latn-BA"/>
        </w:rPr>
        <w:t xml:space="preserve"> </w:t>
      </w:r>
      <w:r>
        <w:rPr>
          <w:rFonts w:ascii="Times New Roman" w:hAnsi="Times New Roman"/>
          <w:lang w:val="sr-Latn-BA"/>
        </w:rPr>
        <w:t>постигнут</w:t>
      </w:r>
      <w:r w:rsidR="00743D0A" w:rsidRPr="00295637">
        <w:rPr>
          <w:rFonts w:ascii="Times New Roman" w:hAnsi="Times New Roman"/>
          <w:lang w:val="sr-Latn-BA"/>
        </w:rPr>
        <w:t xml:space="preserve"> </w:t>
      </w:r>
      <w:r>
        <w:rPr>
          <w:rFonts w:ascii="Times New Roman" w:hAnsi="Times New Roman"/>
          <w:lang w:val="sr-Latn-BA"/>
        </w:rPr>
        <w:t>је</w:t>
      </w:r>
      <w:r w:rsidR="00743D0A" w:rsidRPr="00295637">
        <w:rPr>
          <w:rFonts w:ascii="Times New Roman" w:hAnsi="Times New Roman"/>
          <w:lang w:val="sr-Latn-BA"/>
        </w:rPr>
        <w:t xml:space="preserve"> </w:t>
      </w:r>
      <w:r>
        <w:rPr>
          <w:rFonts w:ascii="Times New Roman" w:hAnsi="Times New Roman"/>
          <w:lang w:val="sr-Latn-BA"/>
        </w:rPr>
        <w:t>висок</w:t>
      </w:r>
      <w:r w:rsidR="00743D0A" w:rsidRPr="00295637">
        <w:rPr>
          <w:rFonts w:ascii="Times New Roman" w:hAnsi="Times New Roman"/>
          <w:lang w:val="sr-Latn-BA"/>
        </w:rPr>
        <w:t xml:space="preserve"> </w:t>
      </w:r>
      <w:r>
        <w:rPr>
          <w:rFonts w:ascii="Times New Roman" w:hAnsi="Times New Roman"/>
          <w:lang w:val="sr-Latn-BA"/>
        </w:rPr>
        <w:t>степен</w:t>
      </w:r>
      <w:r w:rsidR="00630355">
        <w:rPr>
          <w:rFonts w:ascii="Times New Roman" w:hAnsi="Times New Roman"/>
          <w:lang w:val="sr-Latn-BA"/>
        </w:rPr>
        <w:t xml:space="preserve"> </w:t>
      </w:r>
      <w:r>
        <w:rPr>
          <w:rFonts w:ascii="Times New Roman" w:hAnsi="Times New Roman"/>
          <w:lang w:val="sr-Latn-BA"/>
        </w:rPr>
        <w:t>усклађености</w:t>
      </w:r>
      <w:r w:rsidR="00630355">
        <w:rPr>
          <w:rFonts w:ascii="Times New Roman" w:hAnsi="Times New Roman"/>
          <w:lang w:val="sr-Latn-BA"/>
        </w:rPr>
        <w:t xml:space="preserve"> </w:t>
      </w:r>
      <w:r>
        <w:rPr>
          <w:rFonts w:ascii="Times New Roman" w:hAnsi="Times New Roman"/>
          <w:lang w:val="sr-Latn-BA"/>
        </w:rPr>
        <w:t>правног</w:t>
      </w:r>
      <w:r w:rsidR="00630355">
        <w:rPr>
          <w:rFonts w:ascii="Times New Roman" w:hAnsi="Times New Roman"/>
          <w:lang w:val="sr-Latn-BA"/>
        </w:rPr>
        <w:t xml:space="preserve"> </w:t>
      </w:r>
      <w:r>
        <w:rPr>
          <w:rFonts w:ascii="Times New Roman" w:hAnsi="Times New Roman"/>
          <w:lang w:val="sr-Latn-BA"/>
        </w:rPr>
        <w:t>оквира</w:t>
      </w:r>
      <w:r w:rsidR="00630355">
        <w:rPr>
          <w:rFonts w:ascii="Times New Roman" w:hAnsi="Times New Roman"/>
          <w:lang w:val="sr-Latn-BA"/>
        </w:rPr>
        <w:t xml:space="preserve"> </w:t>
      </w:r>
      <w:r>
        <w:rPr>
          <w:rFonts w:ascii="Times New Roman" w:hAnsi="Times New Roman"/>
          <w:lang w:val="sr-Latn-BA"/>
        </w:rPr>
        <w:t>са</w:t>
      </w:r>
      <w:r w:rsidR="00743D0A" w:rsidRPr="00295637">
        <w:rPr>
          <w:rFonts w:ascii="Times New Roman" w:hAnsi="Times New Roman"/>
          <w:lang w:val="sr-Latn-BA"/>
        </w:rPr>
        <w:t xml:space="preserve"> </w:t>
      </w:r>
      <w:r>
        <w:rPr>
          <w:rFonts w:ascii="Times New Roman" w:hAnsi="Times New Roman"/>
          <w:lang w:val="sr-Latn-BA"/>
        </w:rPr>
        <w:t>стандардима</w:t>
      </w:r>
      <w:r w:rsidR="00743D0A" w:rsidRPr="00295637">
        <w:rPr>
          <w:rFonts w:ascii="Times New Roman" w:hAnsi="Times New Roman"/>
          <w:lang w:val="sr-Latn-BA"/>
        </w:rPr>
        <w:t xml:space="preserve"> </w:t>
      </w:r>
      <w:r>
        <w:rPr>
          <w:rFonts w:ascii="Times New Roman" w:hAnsi="Times New Roman"/>
          <w:lang w:val="sr-Latn-BA"/>
        </w:rPr>
        <w:t>заштите</w:t>
      </w:r>
      <w:r w:rsidR="00743D0A" w:rsidRPr="00295637">
        <w:rPr>
          <w:rFonts w:ascii="Times New Roman" w:hAnsi="Times New Roman"/>
          <w:lang w:val="sr-Latn-BA"/>
        </w:rPr>
        <w:t xml:space="preserve"> </w:t>
      </w:r>
      <w:r>
        <w:rPr>
          <w:rFonts w:ascii="Times New Roman" w:hAnsi="Times New Roman"/>
          <w:lang w:val="sr-Latn-BA"/>
        </w:rPr>
        <w:t>жена</w:t>
      </w:r>
      <w:r w:rsidR="00743D0A" w:rsidRPr="00295637">
        <w:rPr>
          <w:rFonts w:ascii="Times New Roman" w:hAnsi="Times New Roman"/>
          <w:lang w:val="sr-Latn-BA"/>
        </w:rPr>
        <w:t xml:space="preserve"> </w:t>
      </w:r>
      <w:r>
        <w:rPr>
          <w:rFonts w:ascii="Times New Roman" w:hAnsi="Times New Roman"/>
          <w:lang w:val="sr-Latn-BA"/>
        </w:rPr>
        <w:t>од</w:t>
      </w:r>
      <w:r w:rsidR="00743D0A" w:rsidRPr="00295637">
        <w:rPr>
          <w:rFonts w:ascii="Times New Roman" w:hAnsi="Times New Roman"/>
          <w:lang w:val="sr-Latn-BA"/>
        </w:rPr>
        <w:t xml:space="preserve"> </w:t>
      </w:r>
      <w:r>
        <w:rPr>
          <w:rFonts w:ascii="Times New Roman" w:hAnsi="Times New Roman"/>
          <w:lang w:val="sr-Latn-BA"/>
        </w:rPr>
        <w:t>насиља</w:t>
      </w:r>
      <w:r w:rsidR="00743D0A" w:rsidRPr="00295637">
        <w:rPr>
          <w:rFonts w:ascii="Times New Roman" w:hAnsi="Times New Roman"/>
          <w:lang w:val="sr-Latn-BA"/>
        </w:rPr>
        <w:t xml:space="preserve"> </w:t>
      </w:r>
      <w:r>
        <w:rPr>
          <w:rFonts w:ascii="Times New Roman" w:hAnsi="Times New Roman"/>
          <w:lang w:val="sr-Latn-BA"/>
        </w:rPr>
        <w:t>по</w:t>
      </w:r>
      <w:r w:rsidR="00743D0A" w:rsidRPr="00295637">
        <w:rPr>
          <w:rFonts w:ascii="Times New Roman" w:hAnsi="Times New Roman"/>
          <w:lang w:val="sr-Latn-BA"/>
        </w:rPr>
        <w:t xml:space="preserve"> </w:t>
      </w:r>
      <w:r>
        <w:rPr>
          <w:rFonts w:ascii="Times New Roman" w:hAnsi="Times New Roman"/>
          <w:lang w:val="sr-Latn-BA"/>
        </w:rPr>
        <w:t>основу</w:t>
      </w:r>
      <w:r w:rsidR="00743D0A" w:rsidRPr="00295637">
        <w:rPr>
          <w:rFonts w:ascii="Times New Roman" w:hAnsi="Times New Roman"/>
          <w:lang w:val="sr-Latn-BA"/>
        </w:rPr>
        <w:t xml:space="preserve"> </w:t>
      </w:r>
      <w:r>
        <w:rPr>
          <w:rFonts w:ascii="Times New Roman" w:hAnsi="Times New Roman"/>
          <w:lang w:val="sr-Latn-BA"/>
        </w:rPr>
        <w:t>пола</w:t>
      </w:r>
      <w:r w:rsidR="00743D0A" w:rsidRPr="00295637">
        <w:rPr>
          <w:rFonts w:ascii="Times New Roman" w:hAnsi="Times New Roman"/>
          <w:lang w:val="sr-Latn-BA"/>
        </w:rPr>
        <w:t xml:space="preserve"> </w:t>
      </w:r>
      <w:r>
        <w:rPr>
          <w:rFonts w:ascii="Times New Roman" w:hAnsi="Times New Roman"/>
          <w:lang w:val="sr-Latn-BA"/>
        </w:rPr>
        <w:t>и</w:t>
      </w:r>
      <w:r w:rsidR="00743D0A" w:rsidRPr="00295637">
        <w:rPr>
          <w:rFonts w:ascii="Times New Roman" w:hAnsi="Times New Roman"/>
          <w:lang w:val="sr-Latn-BA"/>
        </w:rPr>
        <w:t xml:space="preserve"> </w:t>
      </w:r>
      <w:r>
        <w:rPr>
          <w:rFonts w:ascii="Times New Roman" w:hAnsi="Times New Roman"/>
          <w:lang w:val="sr-Latn-BA"/>
        </w:rPr>
        <w:t>насиља</w:t>
      </w:r>
      <w:r w:rsidR="00743D0A" w:rsidRPr="00295637">
        <w:rPr>
          <w:rFonts w:ascii="Times New Roman" w:hAnsi="Times New Roman"/>
          <w:lang w:val="sr-Latn-BA"/>
        </w:rPr>
        <w:t xml:space="preserve"> </w:t>
      </w:r>
      <w:r>
        <w:rPr>
          <w:rFonts w:ascii="Times New Roman" w:hAnsi="Times New Roman"/>
          <w:lang w:val="sr-Latn-BA"/>
        </w:rPr>
        <w:t>у</w:t>
      </w:r>
      <w:r w:rsidR="00743D0A" w:rsidRPr="00295637">
        <w:rPr>
          <w:rFonts w:ascii="Times New Roman" w:hAnsi="Times New Roman"/>
          <w:lang w:val="sr-Latn-BA"/>
        </w:rPr>
        <w:t xml:space="preserve"> </w:t>
      </w:r>
      <w:r>
        <w:rPr>
          <w:rFonts w:ascii="Times New Roman" w:hAnsi="Times New Roman"/>
          <w:lang w:val="sr-Latn-BA"/>
        </w:rPr>
        <w:t>породици</w:t>
      </w:r>
      <w:r w:rsidR="00743D0A" w:rsidRPr="00295637">
        <w:rPr>
          <w:rFonts w:ascii="Times New Roman" w:hAnsi="Times New Roman"/>
          <w:lang w:val="sr-Latn-BA"/>
        </w:rPr>
        <w:t xml:space="preserve">. </w:t>
      </w:r>
      <w:r>
        <w:rPr>
          <w:rFonts w:ascii="Times New Roman" w:hAnsi="Times New Roman"/>
          <w:lang w:val="sr-Latn-BA"/>
        </w:rPr>
        <w:t>Према</w:t>
      </w:r>
      <w:r w:rsidR="00743D0A" w:rsidRPr="00295637">
        <w:rPr>
          <w:rFonts w:ascii="Times New Roman" w:hAnsi="Times New Roman"/>
          <w:lang w:val="sr-Latn-BA"/>
        </w:rPr>
        <w:t xml:space="preserve"> </w:t>
      </w:r>
      <w:r>
        <w:rPr>
          <w:rFonts w:ascii="Times New Roman" w:hAnsi="Times New Roman"/>
          <w:lang w:val="sr-Latn-BA"/>
        </w:rPr>
        <w:t>методологији</w:t>
      </w:r>
      <w:r w:rsidR="00743D0A" w:rsidRPr="00295637">
        <w:rPr>
          <w:rFonts w:ascii="Times New Roman" w:hAnsi="Times New Roman"/>
          <w:lang w:val="sr-Latn-BA"/>
        </w:rPr>
        <w:t xml:space="preserve"> </w:t>
      </w:r>
      <w:r>
        <w:rPr>
          <w:rFonts w:ascii="Times New Roman" w:hAnsi="Times New Roman"/>
          <w:lang w:val="sr-Latn-BA"/>
        </w:rPr>
        <w:t>УН</w:t>
      </w:r>
      <w:r w:rsidR="00743D0A" w:rsidRPr="00295637">
        <w:rPr>
          <w:rFonts w:ascii="Times New Roman" w:hAnsi="Times New Roman"/>
          <w:lang w:val="sr-Latn-BA"/>
        </w:rPr>
        <w:t xml:space="preserve"> </w:t>
      </w:r>
      <w:r>
        <w:rPr>
          <w:rFonts w:ascii="Times New Roman" w:hAnsi="Times New Roman"/>
          <w:lang w:val="sr-Latn-BA"/>
        </w:rPr>
        <w:t>за</w:t>
      </w:r>
      <w:r w:rsidR="00743D0A" w:rsidRPr="00295637">
        <w:rPr>
          <w:rFonts w:ascii="Times New Roman" w:hAnsi="Times New Roman"/>
          <w:lang w:val="sr-Latn-BA"/>
        </w:rPr>
        <w:t xml:space="preserve"> </w:t>
      </w:r>
      <w:r>
        <w:rPr>
          <w:rFonts w:ascii="Times New Roman" w:hAnsi="Times New Roman"/>
          <w:lang w:val="sr-Latn-BA"/>
        </w:rPr>
        <w:t>Одрживе</w:t>
      </w:r>
      <w:r w:rsidR="00743D0A" w:rsidRPr="00295637">
        <w:rPr>
          <w:rFonts w:ascii="Times New Roman" w:hAnsi="Times New Roman"/>
          <w:lang w:val="sr-Latn-BA"/>
        </w:rPr>
        <w:t xml:space="preserve"> </w:t>
      </w:r>
      <w:r>
        <w:rPr>
          <w:rFonts w:ascii="Times New Roman" w:hAnsi="Times New Roman"/>
          <w:lang w:val="sr-Latn-BA"/>
        </w:rPr>
        <w:t>развојне</w:t>
      </w:r>
      <w:r w:rsidR="00743D0A" w:rsidRPr="00295637">
        <w:rPr>
          <w:rFonts w:ascii="Times New Roman" w:hAnsi="Times New Roman"/>
          <w:lang w:val="sr-Latn-BA"/>
        </w:rPr>
        <w:t xml:space="preserve"> </w:t>
      </w:r>
      <w:r>
        <w:rPr>
          <w:rFonts w:ascii="Times New Roman" w:hAnsi="Times New Roman"/>
          <w:lang w:val="sr-Latn-BA"/>
        </w:rPr>
        <w:t>циљеве</w:t>
      </w:r>
      <w:r w:rsidR="00743D0A" w:rsidRPr="00295637">
        <w:rPr>
          <w:rFonts w:ascii="Times New Roman" w:hAnsi="Times New Roman"/>
          <w:lang w:val="sr-Latn-BA"/>
        </w:rPr>
        <w:t xml:space="preserve">, </w:t>
      </w:r>
      <w:r>
        <w:rPr>
          <w:rFonts w:ascii="Times New Roman" w:hAnsi="Times New Roman"/>
          <w:lang w:val="sr-Latn-BA"/>
        </w:rPr>
        <w:t>проценат</w:t>
      </w:r>
      <w:r w:rsidR="00743D0A" w:rsidRPr="00295637">
        <w:rPr>
          <w:rFonts w:ascii="Times New Roman" w:hAnsi="Times New Roman"/>
          <w:lang w:val="sr-Latn-BA"/>
        </w:rPr>
        <w:t xml:space="preserve"> </w:t>
      </w:r>
      <w:r>
        <w:rPr>
          <w:rFonts w:ascii="Times New Roman" w:hAnsi="Times New Roman"/>
          <w:lang w:val="sr-Latn-BA"/>
        </w:rPr>
        <w:t>постигнућа</w:t>
      </w:r>
      <w:r w:rsidR="00743D0A" w:rsidRPr="00295637">
        <w:rPr>
          <w:rFonts w:ascii="Times New Roman" w:hAnsi="Times New Roman"/>
          <w:lang w:val="sr-Latn-BA"/>
        </w:rPr>
        <w:t xml:space="preserve"> </w:t>
      </w:r>
      <w:r>
        <w:rPr>
          <w:rFonts w:ascii="Times New Roman" w:hAnsi="Times New Roman"/>
          <w:lang w:val="sr-Latn-BA"/>
        </w:rPr>
        <w:t>за</w:t>
      </w:r>
      <w:r w:rsidR="00743D0A" w:rsidRPr="00295637">
        <w:rPr>
          <w:rFonts w:ascii="Times New Roman" w:hAnsi="Times New Roman"/>
          <w:lang w:val="sr-Latn-BA"/>
        </w:rPr>
        <w:t xml:space="preserve"> </w:t>
      </w:r>
      <w:r>
        <w:rPr>
          <w:rFonts w:ascii="Times New Roman" w:hAnsi="Times New Roman"/>
          <w:lang w:val="sr-Latn-BA"/>
        </w:rPr>
        <w:t>п</w:t>
      </w:r>
      <w:r>
        <w:rPr>
          <w:rFonts w:ascii="Times New Roman" w:hAnsi="Times New Roman"/>
          <w:lang w:val="sr-Cyrl-BA"/>
        </w:rPr>
        <w:t>равни</w:t>
      </w:r>
      <w:r w:rsidR="00743D0A" w:rsidRPr="00295637">
        <w:rPr>
          <w:rFonts w:ascii="Times New Roman" w:hAnsi="Times New Roman"/>
          <w:lang w:val="sr-Cyrl-BA"/>
        </w:rPr>
        <w:t xml:space="preserve"> </w:t>
      </w:r>
      <w:r>
        <w:rPr>
          <w:rFonts w:ascii="Times New Roman" w:hAnsi="Times New Roman"/>
          <w:lang w:val="sr-Cyrl-BA"/>
        </w:rPr>
        <w:t>оквир</w:t>
      </w:r>
      <w:r w:rsidR="00743D0A" w:rsidRPr="00295637">
        <w:rPr>
          <w:rFonts w:ascii="Times New Roman" w:hAnsi="Times New Roman"/>
          <w:lang w:val="sr-Latn-BA"/>
        </w:rPr>
        <w:t xml:space="preserve"> </w:t>
      </w:r>
      <w:r>
        <w:rPr>
          <w:rFonts w:ascii="Times New Roman" w:hAnsi="Times New Roman"/>
          <w:lang w:val="sr-Latn-BA"/>
        </w:rPr>
        <w:t>РС</w:t>
      </w:r>
      <w:r w:rsidR="00743D0A" w:rsidRPr="00295637">
        <w:rPr>
          <w:rFonts w:ascii="Times New Roman" w:hAnsi="Times New Roman"/>
          <w:lang w:val="sr-Cyrl-BA"/>
        </w:rPr>
        <w:t xml:space="preserve"> </w:t>
      </w:r>
      <w:r>
        <w:rPr>
          <w:rFonts w:ascii="Times New Roman" w:hAnsi="Times New Roman"/>
          <w:lang w:val="sr-Cyrl-BA"/>
        </w:rPr>
        <w:t>који</w:t>
      </w:r>
      <w:r w:rsidR="00743D0A" w:rsidRPr="00295637">
        <w:rPr>
          <w:rFonts w:ascii="Times New Roman" w:hAnsi="Times New Roman"/>
          <w:lang w:val="sr-Cyrl-BA"/>
        </w:rPr>
        <w:t xml:space="preserve"> </w:t>
      </w:r>
      <w:r>
        <w:rPr>
          <w:rFonts w:ascii="Times New Roman" w:hAnsi="Times New Roman"/>
          <w:lang w:val="sr-Cyrl-BA"/>
        </w:rPr>
        <w:t>промови</w:t>
      </w:r>
      <w:r w:rsidR="00F742CE">
        <w:rPr>
          <w:rFonts w:ascii="Times New Roman" w:hAnsi="Times New Roman"/>
          <w:lang w:val="sr-Cyrl-BA"/>
        </w:rPr>
        <w:t>ше</w:t>
      </w:r>
      <w:r w:rsidR="00630355">
        <w:rPr>
          <w:rFonts w:ascii="Times New Roman" w:hAnsi="Times New Roman"/>
          <w:lang w:val="sr-Cyrl-BA"/>
        </w:rPr>
        <w:t xml:space="preserve">, </w:t>
      </w:r>
      <w:r w:rsidR="00F742CE">
        <w:rPr>
          <w:rFonts w:ascii="Times New Roman" w:hAnsi="Times New Roman"/>
          <w:lang w:val="sr-Cyrl-BA"/>
        </w:rPr>
        <w:t>спроводи</w:t>
      </w:r>
      <w:r w:rsidR="00743D0A" w:rsidRPr="00295637">
        <w:rPr>
          <w:rFonts w:ascii="Times New Roman" w:hAnsi="Times New Roman"/>
          <w:lang w:val="sr-Cyrl-BA"/>
        </w:rPr>
        <w:t xml:space="preserve"> </w:t>
      </w:r>
      <w:r>
        <w:rPr>
          <w:rFonts w:ascii="Times New Roman" w:hAnsi="Times New Roman"/>
          <w:lang w:val="sr-Cyrl-BA"/>
        </w:rPr>
        <w:t>и</w:t>
      </w:r>
      <w:r w:rsidR="00743D0A" w:rsidRPr="00295637">
        <w:rPr>
          <w:rFonts w:ascii="Times New Roman" w:hAnsi="Times New Roman"/>
          <w:lang w:val="sr-Cyrl-BA"/>
        </w:rPr>
        <w:t xml:space="preserve"> </w:t>
      </w:r>
      <w:r>
        <w:rPr>
          <w:rFonts w:ascii="Times New Roman" w:hAnsi="Times New Roman"/>
          <w:lang w:val="sr-Cyrl-BA"/>
        </w:rPr>
        <w:t>прати</w:t>
      </w:r>
      <w:r w:rsidR="00743D0A" w:rsidRPr="00295637">
        <w:rPr>
          <w:rFonts w:ascii="Times New Roman" w:hAnsi="Times New Roman"/>
          <w:lang w:val="sr-Cyrl-BA"/>
        </w:rPr>
        <w:t xml:space="preserve"> </w:t>
      </w:r>
      <w:r>
        <w:rPr>
          <w:rFonts w:ascii="Times New Roman" w:hAnsi="Times New Roman"/>
          <w:lang w:val="sr-Cyrl-BA"/>
        </w:rPr>
        <w:t>равноправност</w:t>
      </w:r>
      <w:r w:rsidR="00743D0A" w:rsidRPr="00295637">
        <w:rPr>
          <w:rFonts w:ascii="Times New Roman" w:hAnsi="Times New Roman"/>
          <w:lang w:val="sr-Cyrl-BA"/>
        </w:rPr>
        <w:t xml:space="preserve"> </w:t>
      </w:r>
      <w:r>
        <w:rPr>
          <w:rFonts w:ascii="Times New Roman" w:hAnsi="Times New Roman"/>
          <w:lang w:val="sr-Cyrl-BA"/>
        </w:rPr>
        <w:t>и</w:t>
      </w:r>
      <w:r w:rsidR="00743D0A" w:rsidRPr="00295637">
        <w:rPr>
          <w:rFonts w:ascii="Times New Roman" w:hAnsi="Times New Roman"/>
          <w:lang w:val="sr-Cyrl-BA"/>
        </w:rPr>
        <w:t xml:space="preserve"> </w:t>
      </w:r>
      <w:r>
        <w:rPr>
          <w:rFonts w:ascii="Times New Roman" w:hAnsi="Times New Roman"/>
          <w:lang w:val="sr-Cyrl-BA"/>
        </w:rPr>
        <w:t>забрану</w:t>
      </w:r>
      <w:r w:rsidR="00743D0A" w:rsidRPr="00295637">
        <w:rPr>
          <w:rFonts w:ascii="Times New Roman" w:hAnsi="Times New Roman"/>
          <w:lang w:val="sr-Cyrl-BA"/>
        </w:rPr>
        <w:t xml:space="preserve"> </w:t>
      </w:r>
      <w:r>
        <w:rPr>
          <w:rFonts w:ascii="Times New Roman" w:hAnsi="Times New Roman"/>
          <w:lang w:val="sr-Cyrl-BA"/>
        </w:rPr>
        <w:t>дискриминације</w:t>
      </w:r>
      <w:r w:rsidR="00743D0A" w:rsidRPr="00295637">
        <w:rPr>
          <w:rFonts w:ascii="Times New Roman" w:hAnsi="Times New Roman"/>
          <w:lang w:val="sr-Cyrl-BA"/>
        </w:rPr>
        <w:t xml:space="preserve"> </w:t>
      </w:r>
      <w:r>
        <w:rPr>
          <w:rFonts w:ascii="Times New Roman" w:hAnsi="Times New Roman"/>
          <w:lang w:val="sr-Cyrl-BA"/>
        </w:rPr>
        <w:t>по</w:t>
      </w:r>
      <w:r w:rsidR="00743D0A" w:rsidRPr="00295637">
        <w:rPr>
          <w:rFonts w:ascii="Times New Roman" w:hAnsi="Times New Roman"/>
          <w:lang w:val="sr-Cyrl-BA"/>
        </w:rPr>
        <w:t xml:space="preserve"> </w:t>
      </w:r>
      <w:r>
        <w:rPr>
          <w:rFonts w:ascii="Times New Roman" w:hAnsi="Times New Roman"/>
          <w:lang w:val="hr-HR"/>
        </w:rPr>
        <w:t>основу</w:t>
      </w:r>
      <w:r w:rsidR="00743D0A" w:rsidRPr="00295637">
        <w:rPr>
          <w:rFonts w:ascii="Times New Roman" w:hAnsi="Times New Roman"/>
          <w:lang w:val="sr-Cyrl-BA"/>
        </w:rPr>
        <w:t xml:space="preserve"> </w:t>
      </w:r>
      <w:r>
        <w:rPr>
          <w:rFonts w:ascii="Times New Roman" w:hAnsi="Times New Roman"/>
          <w:lang w:val="sr-Cyrl-BA"/>
        </w:rPr>
        <w:t>пола</w:t>
      </w:r>
      <w:r w:rsidR="00743D0A" w:rsidRPr="00295637">
        <w:rPr>
          <w:rFonts w:ascii="Times New Roman" w:hAnsi="Times New Roman"/>
          <w:lang w:val="sr-Latn-BA"/>
        </w:rPr>
        <w:t xml:space="preserve">, </w:t>
      </w:r>
      <w:r>
        <w:rPr>
          <w:rFonts w:ascii="Times New Roman" w:hAnsi="Times New Roman"/>
          <w:lang w:val="sr-Cyrl-BA"/>
        </w:rPr>
        <w:t>у</w:t>
      </w:r>
      <w:r w:rsidR="00743D0A" w:rsidRPr="00295637">
        <w:rPr>
          <w:rFonts w:ascii="Times New Roman" w:hAnsi="Times New Roman"/>
          <w:lang w:val="sr-Cyrl-BA"/>
        </w:rPr>
        <w:t xml:space="preserve"> </w:t>
      </w:r>
      <w:r>
        <w:rPr>
          <w:rFonts w:ascii="Times New Roman" w:hAnsi="Times New Roman"/>
          <w:lang w:val="hr-HR"/>
        </w:rPr>
        <w:t>области</w:t>
      </w:r>
      <w:r w:rsidR="00743D0A" w:rsidRPr="00295637">
        <w:rPr>
          <w:rFonts w:ascii="Times New Roman" w:hAnsi="Times New Roman"/>
          <w:lang w:val="sr-Cyrl-BA"/>
        </w:rPr>
        <w:t xml:space="preserve"> </w:t>
      </w:r>
      <w:r>
        <w:rPr>
          <w:rFonts w:ascii="Times New Roman" w:hAnsi="Times New Roman"/>
          <w:lang w:val="sr-Cyrl-BA"/>
        </w:rPr>
        <w:t>спречавања</w:t>
      </w:r>
      <w:r w:rsidR="00743D0A" w:rsidRPr="00295637">
        <w:rPr>
          <w:rFonts w:ascii="Times New Roman" w:hAnsi="Times New Roman"/>
          <w:lang w:val="sr-Cyrl-BA"/>
        </w:rPr>
        <w:t xml:space="preserve"> </w:t>
      </w:r>
      <w:r>
        <w:rPr>
          <w:rFonts w:ascii="Times New Roman" w:hAnsi="Times New Roman"/>
          <w:lang w:val="sr-Cyrl-BA"/>
        </w:rPr>
        <w:t>и</w:t>
      </w:r>
      <w:r w:rsidR="00743D0A" w:rsidRPr="00295637">
        <w:rPr>
          <w:rFonts w:ascii="Times New Roman" w:hAnsi="Times New Roman"/>
          <w:lang w:val="sr-Cyrl-BA"/>
        </w:rPr>
        <w:t xml:space="preserve"> </w:t>
      </w:r>
      <w:r>
        <w:rPr>
          <w:rFonts w:ascii="Times New Roman" w:hAnsi="Times New Roman"/>
          <w:lang w:val="sr-Cyrl-BA"/>
        </w:rPr>
        <w:t>сузбијања</w:t>
      </w:r>
      <w:r w:rsidR="00743D0A" w:rsidRPr="00295637">
        <w:rPr>
          <w:rFonts w:ascii="Times New Roman" w:hAnsi="Times New Roman"/>
          <w:lang w:val="sr-Cyrl-BA"/>
        </w:rPr>
        <w:t xml:space="preserve"> </w:t>
      </w:r>
      <w:r>
        <w:rPr>
          <w:rFonts w:ascii="Times New Roman" w:hAnsi="Times New Roman"/>
          <w:lang w:val="sr-Cyrl-BA"/>
        </w:rPr>
        <w:t>насиља</w:t>
      </w:r>
      <w:r w:rsidR="00743D0A" w:rsidRPr="00295637">
        <w:rPr>
          <w:rFonts w:ascii="Times New Roman" w:hAnsi="Times New Roman"/>
          <w:lang w:val="sr-Cyrl-BA"/>
        </w:rPr>
        <w:t xml:space="preserve"> </w:t>
      </w:r>
      <w:r>
        <w:rPr>
          <w:rFonts w:ascii="Times New Roman" w:hAnsi="Times New Roman"/>
          <w:lang w:val="sr-Cyrl-BA"/>
        </w:rPr>
        <w:t>над</w:t>
      </w:r>
      <w:r w:rsidR="00743D0A" w:rsidRPr="00295637">
        <w:rPr>
          <w:rFonts w:ascii="Times New Roman" w:hAnsi="Times New Roman"/>
          <w:lang w:val="sr-Cyrl-BA"/>
        </w:rPr>
        <w:t xml:space="preserve"> </w:t>
      </w:r>
      <w:r>
        <w:rPr>
          <w:rFonts w:ascii="Times New Roman" w:hAnsi="Times New Roman"/>
          <w:lang w:val="sr-Cyrl-BA"/>
        </w:rPr>
        <w:t>женама</w:t>
      </w:r>
      <w:r w:rsidR="00743D0A" w:rsidRPr="00295637">
        <w:rPr>
          <w:rFonts w:ascii="Times New Roman" w:hAnsi="Times New Roman"/>
          <w:lang w:val="sr-Latn-BA"/>
        </w:rPr>
        <w:t xml:space="preserve"> </w:t>
      </w:r>
      <w:r>
        <w:rPr>
          <w:rFonts w:ascii="Times New Roman" w:hAnsi="Times New Roman"/>
          <w:lang w:val="sr-Latn-BA"/>
        </w:rPr>
        <w:t>износи</w:t>
      </w:r>
      <w:r w:rsidR="00743D0A" w:rsidRPr="00295637">
        <w:rPr>
          <w:rFonts w:ascii="Times New Roman" w:hAnsi="Times New Roman"/>
          <w:lang w:val="sr-Cyrl-BA"/>
        </w:rPr>
        <w:t xml:space="preserve"> 84,6%</w:t>
      </w:r>
      <w:r w:rsidR="00743D0A" w:rsidRPr="00295637">
        <w:rPr>
          <w:rFonts w:ascii="Times New Roman" w:hAnsi="Times New Roman"/>
          <w:lang w:val="sr-Latn-BA"/>
        </w:rPr>
        <w:t>.</w:t>
      </w:r>
    </w:p>
    <w:p w:rsidR="00743D0A" w:rsidRPr="00295637" w:rsidRDefault="00743D0A" w:rsidP="0086268D">
      <w:pPr>
        <w:pStyle w:val="ListParagraph"/>
        <w:ind w:left="0"/>
        <w:jc w:val="both"/>
        <w:rPr>
          <w:rFonts w:ascii="Times New Roman" w:hAnsi="Times New Roman"/>
          <w:lang w:val="sr-Latn-BA"/>
        </w:rPr>
      </w:pPr>
    </w:p>
    <w:p w:rsidR="00743D0A"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743D0A" w:rsidRPr="00295637">
        <w:rPr>
          <w:rFonts w:ascii="Times New Roman" w:hAnsi="Times New Roman"/>
          <w:lang w:val="sr-Latn-BA"/>
        </w:rPr>
        <w:t xml:space="preserve"> 2024. </w:t>
      </w:r>
      <w:r>
        <w:rPr>
          <w:rFonts w:ascii="Times New Roman" w:hAnsi="Times New Roman"/>
          <w:lang w:val="sr-Latn-BA"/>
        </w:rPr>
        <w:t>години</w:t>
      </w:r>
      <w:r w:rsidR="00743D0A" w:rsidRPr="00295637">
        <w:rPr>
          <w:rFonts w:ascii="Times New Roman" w:hAnsi="Times New Roman"/>
          <w:lang w:val="sr-Latn-BA"/>
        </w:rPr>
        <w:t xml:space="preserve"> </w:t>
      </w:r>
      <w:r>
        <w:rPr>
          <w:rFonts w:ascii="Times New Roman" w:hAnsi="Times New Roman"/>
          <w:lang w:val="sr-Latn-BA"/>
        </w:rPr>
        <w:t>је</w:t>
      </w:r>
      <w:r w:rsidR="00331EFD">
        <w:rPr>
          <w:rFonts w:ascii="Times New Roman" w:hAnsi="Times New Roman"/>
          <w:lang w:val="sr-Latn-BA"/>
        </w:rPr>
        <w:t xml:space="preserve"> </w:t>
      </w:r>
      <w:r>
        <w:rPr>
          <w:rFonts w:ascii="Times New Roman" w:hAnsi="Times New Roman"/>
          <w:lang w:val="sr-Latn-BA"/>
        </w:rPr>
        <w:t>у</w:t>
      </w:r>
      <w:r w:rsidR="00743D0A" w:rsidRPr="00295637">
        <w:rPr>
          <w:rFonts w:ascii="Times New Roman" w:hAnsi="Times New Roman"/>
          <w:lang w:val="sr-Latn-BA"/>
        </w:rPr>
        <w:t xml:space="preserve"> </w:t>
      </w:r>
      <w:r>
        <w:rPr>
          <w:rFonts w:ascii="Times New Roman" w:hAnsi="Times New Roman"/>
          <w:lang w:val="sr-Latn-BA"/>
        </w:rPr>
        <w:t>процедури</w:t>
      </w:r>
      <w:r w:rsidR="00743D0A" w:rsidRPr="00295637">
        <w:rPr>
          <w:rFonts w:ascii="Times New Roman" w:hAnsi="Times New Roman"/>
          <w:lang w:val="sr-Latn-BA"/>
        </w:rPr>
        <w:t xml:space="preserve"> </w:t>
      </w:r>
      <w:r>
        <w:rPr>
          <w:rFonts w:ascii="Times New Roman" w:hAnsi="Times New Roman"/>
          <w:lang w:val="sr-Latn-BA"/>
        </w:rPr>
        <w:t>је</w:t>
      </w:r>
      <w:r w:rsidR="00743D0A" w:rsidRPr="00295637">
        <w:rPr>
          <w:rFonts w:ascii="Times New Roman" w:hAnsi="Times New Roman"/>
          <w:lang w:val="sr-Latn-BA"/>
        </w:rPr>
        <w:t xml:space="preserve"> </w:t>
      </w:r>
      <w:r>
        <w:rPr>
          <w:rFonts w:ascii="Times New Roman" w:hAnsi="Times New Roman"/>
          <w:lang w:val="sr-Latn-BA"/>
        </w:rPr>
        <w:t>био</w:t>
      </w:r>
      <w:r w:rsidR="00743D0A" w:rsidRPr="00295637">
        <w:rPr>
          <w:rFonts w:ascii="Times New Roman" w:hAnsi="Times New Roman"/>
          <w:lang w:val="sr-Latn-BA"/>
        </w:rPr>
        <w:t xml:space="preserve"> </w:t>
      </w:r>
      <w:r>
        <w:rPr>
          <w:rFonts w:ascii="Times New Roman" w:hAnsi="Times New Roman"/>
          <w:lang w:val="sr-Latn-BA"/>
        </w:rPr>
        <w:t>нови</w:t>
      </w:r>
      <w:r w:rsidR="00743D0A" w:rsidRPr="00295637">
        <w:rPr>
          <w:rFonts w:ascii="Times New Roman" w:hAnsi="Times New Roman"/>
          <w:lang w:val="sr-Latn-BA"/>
        </w:rPr>
        <w:t xml:space="preserve"> </w:t>
      </w:r>
      <w:r>
        <w:rPr>
          <w:rFonts w:ascii="Times New Roman" w:hAnsi="Times New Roman"/>
          <w:lang w:val="hr-HR"/>
        </w:rPr>
        <w:t>З</w:t>
      </w:r>
      <w:r>
        <w:rPr>
          <w:rFonts w:ascii="Times New Roman" w:hAnsi="Times New Roman"/>
          <w:lang w:val="sr-Cyrl-BA"/>
        </w:rPr>
        <w:t>акон</w:t>
      </w:r>
      <w:r w:rsidR="00743D0A" w:rsidRPr="00295637">
        <w:rPr>
          <w:rFonts w:ascii="Times New Roman" w:hAnsi="Times New Roman"/>
          <w:lang w:val="sr-Cyrl-BA"/>
        </w:rPr>
        <w:t xml:space="preserve"> </w:t>
      </w:r>
      <w:r>
        <w:rPr>
          <w:rFonts w:ascii="Times New Roman" w:hAnsi="Times New Roman"/>
          <w:lang w:val="sr-Cyrl-BA"/>
        </w:rPr>
        <w:t>за</w:t>
      </w:r>
      <w:r w:rsidR="00743D0A" w:rsidRPr="00295637">
        <w:rPr>
          <w:rFonts w:ascii="Times New Roman" w:hAnsi="Times New Roman"/>
          <w:lang w:val="sr-Cyrl-BA"/>
        </w:rPr>
        <w:t xml:space="preserve"> </w:t>
      </w:r>
      <w:r>
        <w:rPr>
          <w:rFonts w:ascii="Times New Roman" w:hAnsi="Times New Roman"/>
          <w:lang w:val="sr-Cyrl-BA"/>
        </w:rPr>
        <w:t>спречавање</w:t>
      </w:r>
      <w:r w:rsidR="00743D0A" w:rsidRPr="00295637">
        <w:rPr>
          <w:rFonts w:ascii="Times New Roman" w:hAnsi="Times New Roman"/>
          <w:lang w:val="sr-Cyrl-BA"/>
        </w:rPr>
        <w:t xml:space="preserve"> </w:t>
      </w:r>
      <w:r>
        <w:rPr>
          <w:rFonts w:ascii="Times New Roman" w:hAnsi="Times New Roman"/>
          <w:lang w:val="sr-Cyrl-BA"/>
        </w:rPr>
        <w:t>и</w:t>
      </w:r>
      <w:r w:rsidR="00743D0A" w:rsidRPr="00295637">
        <w:rPr>
          <w:rFonts w:ascii="Times New Roman" w:hAnsi="Times New Roman"/>
          <w:lang w:val="sr-Cyrl-BA"/>
        </w:rPr>
        <w:t xml:space="preserve"> </w:t>
      </w:r>
      <w:r>
        <w:rPr>
          <w:rFonts w:ascii="Times New Roman" w:hAnsi="Times New Roman"/>
          <w:lang w:val="sr-Cyrl-BA"/>
        </w:rPr>
        <w:t>сузбијање</w:t>
      </w:r>
      <w:r w:rsidR="00743D0A" w:rsidRPr="00295637">
        <w:rPr>
          <w:rFonts w:ascii="Times New Roman" w:hAnsi="Times New Roman"/>
          <w:lang w:val="sr-Cyrl-BA"/>
        </w:rPr>
        <w:t xml:space="preserve"> </w:t>
      </w:r>
      <w:r>
        <w:rPr>
          <w:rFonts w:ascii="Times New Roman" w:hAnsi="Times New Roman"/>
          <w:lang w:val="sr-Cyrl-BA"/>
        </w:rPr>
        <w:t>насиља</w:t>
      </w:r>
      <w:r w:rsidR="00743D0A" w:rsidRPr="00295637">
        <w:rPr>
          <w:rFonts w:ascii="Times New Roman" w:hAnsi="Times New Roman"/>
          <w:lang w:val="sr-Cyrl-BA"/>
        </w:rPr>
        <w:t xml:space="preserve"> </w:t>
      </w:r>
      <w:r>
        <w:rPr>
          <w:rFonts w:ascii="Times New Roman" w:hAnsi="Times New Roman"/>
          <w:lang w:val="sr-Cyrl-BA"/>
        </w:rPr>
        <w:t>у</w:t>
      </w:r>
      <w:r w:rsidR="00743D0A" w:rsidRPr="00295637">
        <w:rPr>
          <w:rFonts w:ascii="Times New Roman" w:hAnsi="Times New Roman"/>
          <w:lang w:val="sr-Cyrl-BA"/>
        </w:rPr>
        <w:t xml:space="preserve"> </w:t>
      </w:r>
      <w:r>
        <w:rPr>
          <w:rFonts w:ascii="Times New Roman" w:hAnsi="Times New Roman"/>
          <w:lang w:val="hr-HR"/>
        </w:rPr>
        <w:t>породици</w:t>
      </w:r>
      <w:r w:rsidR="00743D0A" w:rsidRPr="00295637">
        <w:rPr>
          <w:rFonts w:ascii="Times New Roman" w:hAnsi="Times New Roman"/>
          <w:lang w:val="sr-Cyrl-BA"/>
        </w:rPr>
        <w:t xml:space="preserve"> </w:t>
      </w:r>
      <w:r>
        <w:rPr>
          <w:rFonts w:ascii="Times New Roman" w:hAnsi="Times New Roman"/>
          <w:lang w:val="sr-Cyrl-BA"/>
        </w:rPr>
        <w:t>и</w:t>
      </w:r>
      <w:r w:rsidR="00743D0A" w:rsidRPr="00295637">
        <w:rPr>
          <w:rFonts w:ascii="Times New Roman" w:hAnsi="Times New Roman"/>
          <w:lang w:val="sr-Cyrl-BA"/>
        </w:rPr>
        <w:t xml:space="preserve"> </w:t>
      </w:r>
      <w:r>
        <w:rPr>
          <w:rFonts w:ascii="Times New Roman" w:hAnsi="Times New Roman"/>
          <w:lang w:val="sr-Cyrl-BA"/>
        </w:rPr>
        <w:t>насиља</w:t>
      </w:r>
      <w:r w:rsidR="00743D0A" w:rsidRPr="00295637">
        <w:rPr>
          <w:rFonts w:ascii="Times New Roman" w:hAnsi="Times New Roman"/>
          <w:lang w:val="sr-Cyrl-BA"/>
        </w:rPr>
        <w:t xml:space="preserve"> </w:t>
      </w:r>
      <w:r>
        <w:rPr>
          <w:rFonts w:ascii="Times New Roman" w:hAnsi="Times New Roman"/>
          <w:lang w:val="sr-Cyrl-BA"/>
        </w:rPr>
        <w:t>према</w:t>
      </w:r>
      <w:r w:rsidR="00743D0A" w:rsidRPr="00295637">
        <w:rPr>
          <w:rFonts w:ascii="Times New Roman" w:hAnsi="Times New Roman"/>
          <w:lang w:val="sr-Cyrl-BA"/>
        </w:rPr>
        <w:t xml:space="preserve"> </w:t>
      </w:r>
      <w:r>
        <w:rPr>
          <w:rFonts w:ascii="Times New Roman" w:hAnsi="Times New Roman"/>
          <w:lang w:val="sr-Cyrl-BA"/>
        </w:rPr>
        <w:t>женама</w:t>
      </w:r>
      <w:r w:rsidR="00331EFD">
        <w:rPr>
          <w:rFonts w:ascii="Times New Roman" w:hAnsi="Times New Roman"/>
          <w:lang w:val="bs-Latn-BA"/>
        </w:rPr>
        <w:t xml:space="preserve"> </w:t>
      </w:r>
      <w:r>
        <w:rPr>
          <w:rFonts w:ascii="Times New Roman" w:hAnsi="Times New Roman"/>
          <w:lang w:val="bs-Latn-BA"/>
        </w:rPr>
        <w:t>РС</w:t>
      </w:r>
      <w:r w:rsidR="00743D0A" w:rsidRPr="00295637">
        <w:rPr>
          <w:rFonts w:ascii="Times New Roman" w:hAnsi="Times New Roman"/>
          <w:lang w:val="sr-Cyrl-BA"/>
        </w:rPr>
        <w:t xml:space="preserve">, </w:t>
      </w:r>
      <w:r>
        <w:rPr>
          <w:rFonts w:ascii="Times New Roman" w:hAnsi="Times New Roman"/>
          <w:lang w:val="sr-Cyrl-BA"/>
        </w:rPr>
        <w:t>који</w:t>
      </w:r>
      <w:r w:rsidR="00743D0A" w:rsidRPr="00295637">
        <w:rPr>
          <w:rFonts w:ascii="Times New Roman" w:hAnsi="Times New Roman"/>
          <w:lang w:val="sr-Cyrl-BA"/>
        </w:rPr>
        <w:t xml:space="preserve"> </w:t>
      </w:r>
      <w:r>
        <w:rPr>
          <w:rFonts w:ascii="Times New Roman" w:hAnsi="Times New Roman"/>
          <w:lang w:val="sr-Cyrl-BA"/>
        </w:rPr>
        <w:t>је</w:t>
      </w:r>
      <w:r w:rsidR="00743D0A" w:rsidRPr="00295637">
        <w:rPr>
          <w:rFonts w:ascii="Times New Roman" w:hAnsi="Times New Roman"/>
          <w:lang w:val="sr-Cyrl-BA"/>
        </w:rPr>
        <w:t xml:space="preserve"> </w:t>
      </w:r>
      <w:r>
        <w:rPr>
          <w:rFonts w:ascii="Times New Roman" w:hAnsi="Times New Roman"/>
          <w:lang w:val="sr-Cyrl-BA"/>
        </w:rPr>
        <w:t>повучен</w:t>
      </w:r>
      <w:r w:rsidR="00743D0A" w:rsidRPr="00295637">
        <w:rPr>
          <w:rFonts w:ascii="Times New Roman" w:hAnsi="Times New Roman"/>
          <w:lang w:val="sr-Cyrl-BA"/>
        </w:rPr>
        <w:t xml:space="preserve"> </w:t>
      </w:r>
      <w:r>
        <w:rPr>
          <w:rFonts w:ascii="Times New Roman" w:hAnsi="Times New Roman"/>
          <w:lang w:val="sr-Cyrl-BA"/>
        </w:rPr>
        <w:t>из</w:t>
      </w:r>
      <w:r w:rsidR="00743D0A" w:rsidRPr="00295637">
        <w:rPr>
          <w:rFonts w:ascii="Times New Roman" w:hAnsi="Times New Roman"/>
          <w:lang w:val="sr-Cyrl-BA"/>
        </w:rPr>
        <w:t xml:space="preserve"> </w:t>
      </w:r>
      <w:r>
        <w:rPr>
          <w:rFonts w:ascii="Times New Roman" w:hAnsi="Times New Roman"/>
          <w:lang w:val="sr-Cyrl-BA"/>
        </w:rPr>
        <w:t>процедуре</w:t>
      </w:r>
      <w:r w:rsidR="00743D0A" w:rsidRPr="00295637">
        <w:rPr>
          <w:rFonts w:ascii="Times New Roman" w:hAnsi="Times New Roman"/>
          <w:lang w:val="sr-Cyrl-BA"/>
        </w:rPr>
        <w:t xml:space="preserve"> </w:t>
      </w:r>
      <w:r>
        <w:rPr>
          <w:rFonts w:ascii="Times New Roman" w:hAnsi="Times New Roman"/>
          <w:lang w:val="sr-Cyrl-BA"/>
        </w:rPr>
        <w:t>усљед</w:t>
      </w:r>
      <w:r w:rsidR="00743D0A" w:rsidRPr="00295637">
        <w:rPr>
          <w:rFonts w:ascii="Times New Roman" w:hAnsi="Times New Roman"/>
          <w:lang w:val="sr-Cyrl-BA"/>
        </w:rPr>
        <w:t xml:space="preserve"> </w:t>
      </w:r>
      <w:r>
        <w:rPr>
          <w:rFonts w:ascii="Times New Roman" w:hAnsi="Times New Roman"/>
          <w:lang w:val="sr-Cyrl-BA"/>
        </w:rPr>
        <w:t>притиска</w:t>
      </w:r>
      <w:r w:rsidR="00743D0A" w:rsidRPr="00295637">
        <w:rPr>
          <w:rFonts w:ascii="Times New Roman" w:hAnsi="Times New Roman"/>
          <w:lang w:val="sr-Cyrl-BA"/>
        </w:rPr>
        <w:t xml:space="preserve"> </w:t>
      </w:r>
      <w:r>
        <w:rPr>
          <w:rFonts w:ascii="Times New Roman" w:hAnsi="Times New Roman"/>
          <w:lang w:val="sr-Cyrl-BA"/>
        </w:rPr>
        <w:t>дијела</w:t>
      </w:r>
      <w:r w:rsidR="00743D0A" w:rsidRPr="00295637">
        <w:rPr>
          <w:rFonts w:ascii="Times New Roman" w:hAnsi="Times New Roman"/>
          <w:lang w:val="sr-Cyrl-BA"/>
        </w:rPr>
        <w:t xml:space="preserve"> </w:t>
      </w:r>
      <w:r>
        <w:rPr>
          <w:rFonts w:ascii="Times New Roman" w:hAnsi="Times New Roman"/>
          <w:lang w:val="sr-Cyrl-BA"/>
        </w:rPr>
        <w:t>јавности</w:t>
      </w:r>
      <w:r w:rsidR="00A56A2E">
        <w:rPr>
          <w:rFonts w:ascii="Times New Roman" w:hAnsi="Times New Roman"/>
          <w:lang w:val="sr-Latn-BA"/>
        </w:rPr>
        <w:t>.</w:t>
      </w:r>
      <w:r w:rsidR="00743D0A" w:rsidRPr="00295637">
        <w:rPr>
          <w:rFonts w:ascii="Times New Roman" w:hAnsi="Times New Roman"/>
          <w:lang w:val="sr-Latn-BA"/>
        </w:rPr>
        <w:t xml:space="preserve"> </w:t>
      </w:r>
      <w:r>
        <w:rPr>
          <w:rFonts w:ascii="Times New Roman" w:hAnsi="Times New Roman"/>
          <w:lang w:val="sr-Latn-BA"/>
        </w:rPr>
        <w:t>Међутим</w:t>
      </w:r>
      <w:r w:rsidR="00743D0A" w:rsidRPr="00295637">
        <w:rPr>
          <w:rFonts w:ascii="Times New Roman" w:hAnsi="Times New Roman"/>
          <w:lang w:val="sr-Latn-BA"/>
        </w:rPr>
        <w:t xml:space="preserve">, </w:t>
      </w:r>
      <w:r>
        <w:rPr>
          <w:rFonts w:ascii="Times New Roman" w:hAnsi="Times New Roman"/>
          <w:lang w:val="sr-Latn-BA"/>
        </w:rPr>
        <w:t>важно</w:t>
      </w:r>
      <w:r w:rsidR="00743D0A" w:rsidRPr="00295637">
        <w:rPr>
          <w:rFonts w:ascii="Times New Roman" w:hAnsi="Times New Roman"/>
          <w:lang w:val="sr-Latn-BA"/>
        </w:rPr>
        <w:t xml:space="preserve"> </w:t>
      </w:r>
      <w:r>
        <w:rPr>
          <w:rFonts w:ascii="Times New Roman" w:hAnsi="Times New Roman"/>
          <w:lang w:val="sr-Latn-BA"/>
        </w:rPr>
        <w:t>је</w:t>
      </w:r>
      <w:r w:rsidR="00743D0A" w:rsidRPr="00295637">
        <w:rPr>
          <w:rFonts w:ascii="Times New Roman" w:hAnsi="Times New Roman"/>
          <w:lang w:val="sr-Latn-BA"/>
        </w:rPr>
        <w:t xml:space="preserve"> </w:t>
      </w:r>
      <w:r>
        <w:rPr>
          <w:rFonts w:ascii="Times New Roman" w:hAnsi="Times New Roman"/>
          <w:lang w:val="sr-Latn-BA"/>
        </w:rPr>
        <w:t>констат</w:t>
      </w:r>
      <w:r w:rsidR="00F742CE">
        <w:rPr>
          <w:rFonts w:ascii="Times New Roman" w:hAnsi="Times New Roman"/>
          <w:lang w:val="sr-Cyrl-BA"/>
        </w:rPr>
        <w:t>овати</w:t>
      </w:r>
      <w:r w:rsidR="00743D0A" w:rsidRPr="00295637">
        <w:rPr>
          <w:rFonts w:ascii="Times New Roman" w:hAnsi="Times New Roman"/>
          <w:lang w:val="sr-Latn-BA"/>
        </w:rPr>
        <w:t xml:space="preserve"> </w:t>
      </w:r>
      <w:r>
        <w:rPr>
          <w:rFonts w:ascii="Times New Roman" w:hAnsi="Times New Roman"/>
          <w:lang w:val="sr-Latn-BA"/>
        </w:rPr>
        <w:t>да</w:t>
      </w:r>
      <w:r w:rsidR="00743D0A" w:rsidRPr="00295637">
        <w:rPr>
          <w:rFonts w:ascii="Times New Roman" w:hAnsi="Times New Roman"/>
          <w:lang w:val="sr-Latn-BA"/>
        </w:rPr>
        <w:t xml:space="preserve"> </w:t>
      </w:r>
      <w:r>
        <w:rPr>
          <w:rFonts w:ascii="Times New Roman" w:hAnsi="Times New Roman"/>
          <w:lang w:val="sr-Latn-BA"/>
        </w:rPr>
        <w:t>садашња</w:t>
      </w:r>
      <w:r w:rsidR="00743D0A" w:rsidRPr="00295637">
        <w:rPr>
          <w:rFonts w:ascii="Times New Roman" w:hAnsi="Times New Roman"/>
          <w:lang w:val="sr-Latn-BA"/>
        </w:rPr>
        <w:t xml:space="preserve"> </w:t>
      </w:r>
      <w:r>
        <w:rPr>
          <w:rFonts w:ascii="Times New Roman" w:hAnsi="Times New Roman"/>
          <w:lang w:val="sr-Latn-BA"/>
        </w:rPr>
        <w:t>законска</w:t>
      </w:r>
      <w:r w:rsidR="00743D0A" w:rsidRPr="00295637">
        <w:rPr>
          <w:rFonts w:ascii="Times New Roman" w:hAnsi="Times New Roman"/>
          <w:lang w:val="sr-Latn-BA"/>
        </w:rPr>
        <w:t xml:space="preserve"> </w:t>
      </w:r>
      <w:r>
        <w:rPr>
          <w:rFonts w:ascii="Times New Roman" w:hAnsi="Times New Roman"/>
          <w:lang w:val="sr-Latn-BA"/>
        </w:rPr>
        <w:t>рјешења</w:t>
      </w:r>
      <w:r w:rsidR="00743D0A" w:rsidRPr="00295637">
        <w:rPr>
          <w:rFonts w:ascii="Times New Roman" w:hAnsi="Times New Roman"/>
          <w:lang w:val="sr-Latn-BA"/>
        </w:rPr>
        <w:t xml:space="preserve"> </w:t>
      </w:r>
      <w:r>
        <w:rPr>
          <w:rFonts w:ascii="Times New Roman" w:hAnsi="Times New Roman"/>
          <w:lang w:val="sr-Latn-BA"/>
        </w:rPr>
        <w:t>у</w:t>
      </w:r>
      <w:r w:rsidR="00331EFD">
        <w:rPr>
          <w:rFonts w:ascii="Times New Roman" w:hAnsi="Times New Roman"/>
          <w:lang w:val="sr-Latn-BA"/>
        </w:rPr>
        <w:t xml:space="preserve"> </w:t>
      </w:r>
      <w:r>
        <w:rPr>
          <w:rFonts w:ascii="Times New Roman" w:hAnsi="Times New Roman"/>
          <w:lang w:val="sr-Latn-BA"/>
        </w:rPr>
        <w:t>РС</w:t>
      </w:r>
      <w:r w:rsidR="00331EFD">
        <w:rPr>
          <w:rFonts w:ascii="Times New Roman" w:hAnsi="Times New Roman"/>
          <w:lang w:val="sr-Latn-BA"/>
        </w:rPr>
        <w:t xml:space="preserve"> </w:t>
      </w:r>
      <w:r>
        <w:rPr>
          <w:rFonts w:ascii="Times New Roman" w:hAnsi="Times New Roman"/>
          <w:lang w:val="sr-Latn-BA"/>
        </w:rPr>
        <w:t>о</w:t>
      </w:r>
      <w:r w:rsidR="00F742CE">
        <w:rPr>
          <w:rFonts w:ascii="Times New Roman" w:hAnsi="Times New Roman"/>
          <w:lang w:val="sr-Cyrl-BA"/>
        </w:rPr>
        <w:t>безбјеђују</w:t>
      </w:r>
      <w:r w:rsidR="00743D0A" w:rsidRPr="00295637">
        <w:rPr>
          <w:rFonts w:ascii="Times New Roman" w:hAnsi="Times New Roman"/>
          <w:lang w:val="sr-Latn-BA"/>
        </w:rPr>
        <w:t xml:space="preserve"> </w:t>
      </w:r>
      <w:r>
        <w:rPr>
          <w:rFonts w:ascii="Times New Roman" w:hAnsi="Times New Roman"/>
          <w:lang w:val="sr-Latn-BA"/>
        </w:rPr>
        <w:t>заштиту</w:t>
      </w:r>
      <w:r w:rsidR="00743D0A" w:rsidRPr="00295637">
        <w:rPr>
          <w:rFonts w:ascii="Times New Roman" w:hAnsi="Times New Roman"/>
          <w:lang w:val="sr-Latn-BA"/>
        </w:rPr>
        <w:t xml:space="preserve"> </w:t>
      </w:r>
      <w:r>
        <w:rPr>
          <w:rFonts w:ascii="Times New Roman" w:hAnsi="Times New Roman"/>
          <w:lang w:val="sr-Latn-BA"/>
        </w:rPr>
        <w:t>жртава</w:t>
      </w:r>
      <w:r w:rsidR="00743D0A" w:rsidRPr="00295637">
        <w:rPr>
          <w:rFonts w:ascii="Times New Roman" w:hAnsi="Times New Roman"/>
          <w:lang w:val="sr-Latn-BA"/>
        </w:rPr>
        <w:t xml:space="preserve"> </w:t>
      </w:r>
      <w:r>
        <w:rPr>
          <w:rFonts w:ascii="Times New Roman" w:hAnsi="Times New Roman"/>
          <w:lang w:val="sr-Latn-BA"/>
        </w:rPr>
        <w:t>насиља</w:t>
      </w:r>
      <w:r w:rsidR="00743D0A" w:rsidRPr="00295637">
        <w:rPr>
          <w:rFonts w:ascii="Times New Roman" w:hAnsi="Times New Roman"/>
          <w:lang w:val="sr-Latn-BA"/>
        </w:rPr>
        <w:t xml:space="preserve">, </w:t>
      </w:r>
      <w:r>
        <w:rPr>
          <w:rFonts w:ascii="Times New Roman" w:hAnsi="Times New Roman"/>
          <w:lang w:val="sr-Latn-BA"/>
        </w:rPr>
        <w:t>уз</w:t>
      </w:r>
      <w:r w:rsidR="00743D0A" w:rsidRPr="00295637">
        <w:rPr>
          <w:rFonts w:ascii="Times New Roman" w:hAnsi="Times New Roman"/>
          <w:lang w:val="sr-Latn-BA"/>
        </w:rPr>
        <w:t xml:space="preserve"> </w:t>
      </w:r>
      <w:r>
        <w:rPr>
          <w:rFonts w:ascii="Times New Roman" w:hAnsi="Times New Roman"/>
          <w:lang w:val="sr-Latn-BA"/>
        </w:rPr>
        <w:t>пуну</w:t>
      </w:r>
      <w:r w:rsidR="00743D0A" w:rsidRPr="00295637">
        <w:rPr>
          <w:rFonts w:ascii="Times New Roman" w:hAnsi="Times New Roman"/>
          <w:lang w:val="sr-Latn-BA"/>
        </w:rPr>
        <w:t xml:space="preserve"> </w:t>
      </w:r>
      <w:r>
        <w:rPr>
          <w:rFonts w:ascii="Times New Roman" w:hAnsi="Times New Roman"/>
          <w:lang w:val="sr-Latn-BA"/>
        </w:rPr>
        <w:t>примјену</w:t>
      </w:r>
      <w:r w:rsidR="00743D0A" w:rsidRPr="00295637">
        <w:rPr>
          <w:rFonts w:ascii="Times New Roman" w:hAnsi="Times New Roman"/>
          <w:lang w:val="sr-Latn-BA"/>
        </w:rPr>
        <w:t xml:space="preserve"> </w:t>
      </w:r>
      <w:r>
        <w:rPr>
          <w:rFonts w:ascii="Times New Roman" w:hAnsi="Times New Roman"/>
          <w:lang w:val="sr-Latn-BA"/>
        </w:rPr>
        <w:t>свих</w:t>
      </w:r>
      <w:r w:rsidR="00743D0A" w:rsidRPr="00295637">
        <w:rPr>
          <w:rFonts w:ascii="Times New Roman" w:hAnsi="Times New Roman"/>
          <w:lang w:val="sr-Latn-BA"/>
        </w:rPr>
        <w:t xml:space="preserve"> </w:t>
      </w:r>
      <w:r>
        <w:rPr>
          <w:rFonts w:ascii="Times New Roman" w:hAnsi="Times New Roman"/>
          <w:lang w:val="sr-Latn-BA"/>
        </w:rPr>
        <w:t>прописаних</w:t>
      </w:r>
      <w:r w:rsidR="00743D0A" w:rsidRPr="00295637">
        <w:rPr>
          <w:rFonts w:ascii="Times New Roman" w:hAnsi="Times New Roman"/>
          <w:lang w:val="sr-Latn-BA"/>
        </w:rPr>
        <w:t xml:space="preserve"> </w:t>
      </w:r>
      <w:r>
        <w:rPr>
          <w:rFonts w:ascii="Times New Roman" w:hAnsi="Times New Roman"/>
          <w:lang w:val="sr-Latn-BA"/>
        </w:rPr>
        <w:t>мјера</w:t>
      </w:r>
      <w:r w:rsidR="00743D0A" w:rsidRPr="00295637">
        <w:rPr>
          <w:rFonts w:ascii="Times New Roman" w:hAnsi="Times New Roman"/>
          <w:lang w:val="sr-Latn-BA"/>
        </w:rPr>
        <w:t>.</w:t>
      </w:r>
    </w:p>
    <w:p w:rsidR="00743D0A" w:rsidRPr="00295637" w:rsidRDefault="00743D0A" w:rsidP="0086268D">
      <w:pPr>
        <w:pStyle w:val="ListParagraph"/>
        <w:ind w:left="0"/>
        <w:jc w:val="both"/>
        <w:rPr>
          <w:rFonts w:ascii="Times New Roman" w:hAnsi="Times New Roman"/>
          <w:lang w:val="sr-Latn-BA"/>
        </w:rPr>
      </w:pPr>
    </w:p>
    <w:p w:rsidR="00743D0A" w:rsidRPr="00295637" w:rsidRDefault="00C6214E" w:rsidP="0086268D">
      <w:pPr>
        <w:pStyle w:val="ListParagraph"/>
        <w:ind w:left="0"/>
        <w:jc w:val="both"/>
        <w:rPr>
          <w:rFonts w:ascii="Times New Roman" w:hAnsi="Times New Roman"/>
          <w:lang w:val="sr-Latn-BA"/>
        </w:rPr>
      </w:pPr>
      <w:r>
        <w:rPr>
          <w:rFonts w:ascii="Times New Roman" w:hAnsi="Times New Roman"/>
          <w:szCs w:val="24"/>
        </w:rPr>
        <w:t>Влада</w:t>
      </w:r>
      <w:r w:rsidR="00743D0A" w:rsidRPr="00295637">
        <w:rPr>
          <w:rFonts w:ascii="Times New Roman" w:hAnsi="Times New Roman"/>
          <w:szCs w:val="24"/>
        </w:rPr>
        <w:t xml:space="preserve"> </w:t>
      </w:r>
      <w:r>
        <w:rPr>
          <w:rFonts w:ascii="Times New Roman" w:hAnsi="Times New Roman"/>
          <w:szCs w:val="24"/>
        </w:rPr>
        <w:t>РС</w:t>
      </w:r>
      <w:r w:rsidR="00743D0A" w:rsidRPr="00295637">
        <w:rPr>
          <w:rFonts w:ascii="Times New Roman" w:hAnsi="Times New Roman"/>
          <w:szCs w:val="24"/>
        </w:rPr>
        <w:t xml:space="preserve"> </w:t>
      </w:r>
      <w:r>
        <w:rPr>
          <w:rFonts w:ascii="Times New Roman" w:hAnsi="Times New Roman"/>
          <w:szCs w:val="24"/>
        </w:rPr>
        <w:t>усвојила</w:t>
      </w:r>
      <w:r w:rsidR="00743D0A" w:rsidRPr="00295637">
        <w:rPr>
          <w:rFonts w:ascii="Times New Roman" w:hAnsi="Times New Roman"/>
          <w:szCs w:val="24"/>
        </w:rPr>
        <w:t xml:space="preserve"> </w:t>
      </w:r>
      <w:r>
        <w:rPr>
          <w:rFonts w:ascii="Times New Roman" w:hAnsi="Times New Roman"/>
          <w:szCs w:val="24"/>
        </w:rPr>
        <w:t>је</w:t>
      </w:r>
      <w:r w:rsidR="00630355" w:rsidRPr="00295637">
        <w:rPr>
          <w:rFonts w:ascii="Times New Roman" w:hAnsi="Times New Roman"/>
          <w:szCs w:val="24"/>
        </w:rPr>
        <w:t xml:space="preserve"> </w:t>
      </w:r>
      <w:r>
        <w:rPr>
          <w:rFonts w:ascii="Times New Roman" w:hAnsi="Times New Roman"/>
          <w:szCs w:val="24"/>
        </w:rPr>
        <w:t>Акциони</w:t>
      </w:r>
      <w:r w:rsidR="00743D0A" w:rsidRPr="00295637">
        <w:rPr>
          <w:rFonts w:ascii="Times New Roman" w:hAnsi="Times New Roman"/>
          <w:szCs w:val="24"/>
        </w:rPr>
        <w:t xml:space="preserve"> </w:t>
      </w:r>
      <w:r>
        <w:rPr>
          <w:rFonts w:ascii="Times New Roman" w:hAnsi="Times New Roman"/>
          <w:szCs w:val="24"/>
        </w:rPr>
        <w:t>план</w:t>
      </w:r>
      <w:r w:rsidR="00743D0A" w:rsidRPr="00295637">
        <w:rPr>
          <w:rFonts w:ascii="Times New Roman" w:hAnsi="Times New Roman"/>
          <w:szCs w:val="24"/>
        </w:rPr>
        <w:t xml:space="preserve"> </w:t>
      </w:r>
      <w:r>
        <w:rPr>
          <w:rFonts w:ascii="Times New Roman" w:hAnsi="Times New Roman"/>
          <w:szCs w:val="24"/>
        </w:rPr>
        <w:t>за</w:t>
      </w:r>
      <w:r w:rsidR="00743D0A" w:rsidRPr="00295637">
        <w:rPr>
          <w:rFonts w:ascii="Times New Roman" w:hAnsi="Times New Roman"/>
          <w:szCs w:val="24"/>
        </w:rPr>
        <w:t xml:space="preserve"> </w:t>
      </w:r>
      <w:r w:rsidR="00F742CE">
        <w:rPr>
          <w:rFonts w:ascii="Times New Roman" w:hAnsi="Times New Roman"/>
          <w:szCs w:val="24"/>
          <w:lang w:val="sr-Cyrl-BA"/>
        </w:rPr>
        <w:t>спровођење</w:t>
      </w:r>
      <w:r w:rsidR="00743D0A" w:rsidRPr="00295637">
        <w:rPr>
          <w:rFonts w:ascii="Times New Roman" w:hAnsi="Times New Roman"/>
          <w:szCs w:val="24"/>
        </w:rPr>
        <w:t xml:space="preserve"> </w:t>
      </w:r>
      <w:r>
        <w:rPr>
          <w:rFonts w:ascii="Times New Roman" w:hAnsi="Times New Roman"/>
          <w:szCs w:val="24"/>
        </w:rPr>
        <w:t>препорука</w:t>
      </w:r>
      <w:r w:rsidR="00743D0A" w:rsidRPr="00295637">
        <w:rPr>
          <w:rFonts w:ascii="Times New Roman" w:hAnsi="Times New Roman"/>
          <w:szCs w:val="24"/>
        </w:rPr>
        <w:t xml:space="preserve"> </w:t>
      </w:r>
      <w:r w:rsidR="003601A7">
        <w:rPr>
          <w:rFonts w:ascii="Times New Roman" w:hAnsi="Times New Roman"/>
          <w:szCs w:val="24"/>
          <w:lang w:val="sr-Cyrl-BA"/>
        </w:rPr>
        <w:t>К</w:t>
      </w:r>
      <w:r w:rsidR="003601A7">
        <w:rPr>
          <w:rFonts w:ascii="Times New Roman" w:hAnsi="Times New Roman"/>
          <w:szCs w:val="24"/>
        </w:rPr>
        <w:t xml:space="preserve">омитета </w:t>
      </w:r>
      <w:r>
        <w:rPr>
          <w:rFonts w:ascii="Times New Roman" w:hAnsi="Times New Roman"/>
          <w:szCs w:val="24"/>
        </w:rPr>
        <w:t>ГРЕВИО</w:t>
      </w:r>
      <w:r w:rsidR="00743D0A" w:rsidRPr="00295637">
        <w:rPr>
          <w:rFonts w:ascii="Times New Roman" w:hAnsi="Times New Roman"/>
          <w:szCs w:val="24"/>
        </w:rPr>
        <w:t xml:space="preserve"> </w:t>
      </w:r>
      <w:r>
        <w:rPr>
          <w:rFonts w:ascii="Times New Roman" w:hAnsi="Times New Roman"/>
          <w:szCs w:val="24"/>
        </w:rPr>
        <w:t>у</w:t>
      </w:r>
      <w:r w:rsidR="00743D0A" w:rsidRPr="00295637">
        <w:rPr>
          <w:rFonts w:ascii="Times New Roman" w:hAnsi="Times New Roman"/>
          <w:szCs w:val="24"/>
        </w:rPr>
        <w:t xml:space="preserve"> </w:t>
      </w:r>
      <w:r>
        <w:rPr>
          <w:rFonts w:ascii="Times New Roman" w:hAnsi="Times New Roman"/>
          <w:szCs w:val="24"/>
        </w:rPr>
        <w:t>РС</w:t>
      </w:r>
      <w:r w:rsidR="00743D0A" w:rsidRPr="00295637">
        <w:rPr>
          <w:rFonts w:ascii="Times New Roman" w:hAnsi="Times New Roman"/>
          <w:szCs w:val="24"/>
        </w:rPr>
        <w:t xml:space="preserve"> </w:t>
      </w:r>
      <w:r>
        <w:rPr>
          <w:rFonts w:ascii="Times New Roman" w:hAnsi="Times New Roman"/>
          <w:szCs w:val="24"/>
        </w:rPr>
        <w:t>за</w:t>
      </w:r>
      <w:r w:rsidR="00743D0A" w:rsidRPr="00295637">
        <w:rPr>
          <w:rFonts w:ascii="Times New Roman" w:hAnsi="Times New Roman"/>
          <w:szCs w:val="24"/>
        </w:rPr>
        <w:t xml:space="preserve"> </w:t>
      </w:r>
      <w:r>
        <w:rPr>
          <w:rFonts w:ascii="Times New Roman" w:hAnsi="Times New Roman"/>
          <w:szCs w:val="24"/>
        </w:rPr>
        <w:t>период</w:t>
      </w:r>
      <w:r w:rsidR="00743D0A" w:rsidRPr="00295637">
        <w:rPr>
          <w:rFonts w:ascii="Times New Roman" w:hAnsi="Times New Roman"/>
          <w:szCs w:val="24"/>
        </w:rPr>
        <w:t xml:space="preserve"> 2024-2025. </w:t>
      </w:r>
      <w:r>
        <w:rPr>
          <w:rFonts w:ascii="Times New Roman" w:hAnsi="Times New Roman"/>
          <w:szCs w:val="24"/>
        </w:rPr>
        <w:t>година</w:t>
      </w:r>
      <w:r w:rsidR="00743D0A" w:rsidRPr="00295637">
        <w:rPr>
          <w:rFonts w:ascii="Times New Roman" w:hAnsi="Times New Roman"/>
          <w:szCs w:val="24"/>
        </w:rPr>
        <w:t xml:space="preserve">, </w:t>
      </w:r>
      <w:r>
        <w:rPr>
          <w:rFonts w:ascii="Times New Roman" w:hAnsi="Times New Roman"/>
          <w:szCs w:val="24"/>
        </w:rPr>
        <w:t>чијом</w:t>
      </w:r>
      <w:r w:rsidR="00743D0A" w:rsidRPr="00295637">
        <w:rPr>
          <w:rFonts w:ascii="Times New Roman" w:hAnsi="Times New Roman"/>
          <w:szCs w:val="24"/>
        </w:rPr>
        <w:t xml:space="preserve"> </w:t>
      </w:r>
      <w:r>
        <w:rPr>
          <w:rFonts w:ascii="Times New Roman" w:hAnsi="Times New Roman"/>
          <w:szCs w:val="24"/>
        </w:rPr>
        <w:t>израдом</w:t>
      </w:r>
      <w:r w:rsidR="00743D0A" w:rsidRPr="00295637">
        <w:rPr>
          <w:rFonts w:ascii="Times New Roman" w:hAnsi="Times New Roman"/>
          <w:szCs w:val="24"/>
        </w:rPr>
        <w:t xml:space="preserve"> </w:t>
      </w:r>
      <w:r>
        <w:rPr>
          <w:rFonts w:ascii="Times New Roman" w:hAnsi="Times New Roman"/>
          <w:szCs w:val="24"/>
        </w:rPr>
        <w:t>је</w:t>
      </w:r>
      <w:r w:rsidR="00743D0A" w:rsidRPr="00295637">
        <w:rPr>
          <w:rFonts w:ascii="Times New Roman" w:hAnsi="Times New Roman"/>
          <w:szCs w:val="24"/>
        </w:rPr>
        <w:t xml:space="preserve"> </w:t>
      </w:r>
      <w:r>
        <w:rPr>
          <w:rFonts w:ascii="Times New Roman" w:hAnsi="Times New Roman"/>
          <w:szCs w:val="24"/>
        </w:rPr>
        <w:t>координи</w:t>
      </w:r>
      <w:r w:rsidR="00F742CE">
        <w:rPr>
          <w:rFonts w:ascii="Times New Roman" w:hAnsi="Times New Roman"/>
          <w:szCs w:val="24"/>
          <w:lang w:val="sr-Cyrl-BA"/>
        </w:rPr>
        <w:t>с</w:t>
      </w:r>
      <w:r>
        <w:rPr>
          <w:rFonts w:ascii="Times New Roman" w:hAnsi="Times New Roman"/>
          <w:szCs w:val="24"/>
        </w:rPr>
        <w:t>ао</w:t>
      </w:r>
      <w:r w:rsidR="00743D0A" w:rsidRPr="00295637">
        <w:rPr>
          <w:rFonts w:ascii="Times New Roman" w:hAnsi="Times New Roman"/>
          <w:szCs w:val="24"/>
        </w:rPr>
        <w:t xml:space="preserve"> </w:t>
      </w:r>
      <w:r>
        <w:rPr>
          <w:rFonts w:ascii="Times New Roman" w:hAnsi="Times New Roman"/>
          <w:szCs w:val="24"/>
        </w:rPr>
        <w:t>ЦЈРП</w:t>
      </w:r>
      <w:r w:rsidR="00743D0A" w:rsidRPr="00295637">
        <w:rPr>
          <w:rFonts w:ascii="Times New Roman" w:hAnsi="Times New Roman"/>
          <w:szCs w:val="24"/>
        </w:rPr>
        <w:t xml:space="preserve"> </w:t>
      </w:r>
      <w:r>
        <w:rPr>
          <w:rFonts w:ascii="Times New Roman" w:hAnsi="Times New Roman"/>
          <w:szCs w:val="24"/>
        </w:rPr>
        <w:t>РС</w:t>
      </w:r>
      <w:r w:rsidR="00743D0A" w:rsidRPr="00295637">
        <w:rPr>
          <w:rFonts w:ascii="Times New Roman" w:hAnsi="Times New Roman"/>
          <w:szCs w:val="24"/>
        </w:rPr>
        <w:t xml:space="preserve"> </w:t>
      </w:r>
      <w:r>
        <w:rPr>
          <w:rFonts w:ascii="Times New Roman" w:hAnsi="Times New Roman"/>
          <w:szCs w:val="24"/>
        </w:rPr>
        <w:t>у</w:t>
      </w:r>
      <w:r w:rsidR="00743D0A" w:rsidRPr="00295637">
        <w:rPr>
          <w:rFonts w:ascii="Times New Roman" w:hAnsi="Times New Roman"/>
          <w:szCs w:val="24"/>
        </w:rPr>
        <w:t xml:space="preserve"> </w:t>
      </w:r>
      <w:r>
        <w:rPr>
          <w:rFonts w:ascii="Times New Roman" w:hAnsi="Times New Roman"/>
          <w:szCs w:val="24"/>
        </w:rPr>
        <w:t>сарадњи</w:t>
      </w:r>
      <w:r w:rsidR="00630355">
        <w:rPr>
          <w:rFonts w:ascii="Times New Roman" w:hAnsi="Times New Roman"/>
          <w:szCs w:val="24"/>
        </w:rPr>
        <w:t xml:space="preserve"> </w:t>
      </w:r>
      <w:r>
        <w:rPr>
          <w:rFonts w:ascii="Times New Roman" w:hAnsi="Times New Roman"/>
          <w:szCs w:val="24"/>
        </w:rPr>
        <w:t>са</w:t>
      </w:r>
      <w:r w:rsidR="00743D0A" w:rsidRPr="00295637">
        <w:rPr>
          <w:rFonts w:ascii="Times New Roman" w:hAnsi="Times New Roman"/>
          <w:szCs w:val="24"/>
        </w:rPr>
        <w:t xml:space="preserve"> </w:t>
      </w:r>
      <w:r>
        <w:rPr>
          <w:rFonts w:ascii="Times New Roman" w:hAnsi="Times New Roman"/>
          <w:szCs w:val="24"/>
        </w:rPr>
        <w:t>свим</w:t>
      </w:r>
      <w:r w:rsidR="00743D0A" w:rsidRPr="00295637">
        <w:rPr>
          <w:rFonts w:ascii="Times New Roman" w:hAnsi="Times New Roman"/>
          <w:szCs w:val="24"/>
        </w:rPr>
        <w:t xml:space="preserve"> </w:t>
      </w:r>
      <w:r>
        <w:rPr>
          <w:rFonts w:ascii="Times New Roman" w:hAnsi="Times New Roman"/>
          <w:szCs w:val="24"/>
        </w:rPr>
        <w:t>надлежним</w:t>
      </w:r>
      <w:r w:rsidR="00743D0A" w:rsidRPr="00295637">
        <w:rPr>
          <w:rFonts w:ascii="Times New Roman" w:hAnsi="Times New Roman"/>
          <w:szCs w:val="24"/>
        </w:rPr>
        <w:t xml:space="preserve"> </w:t>
      </w:r>
      <w:r>
        <w:rPr>
          <w:rFonts w:ascii="Times New Roman" w:hAnsi="Times New Roman"/>
          <w:szCs w:val="24"/>
        </w:rPr>
        <w:t>институцијама</w:t>
      </w:r>
      <w:r w:rsidR="00743D0A" w:rsidRPr="00295637">
        <w:rPr>
          <w:rFonts w:ascii="Times New Roman" w:hAnsi="Times New Roman"/>
          <w:szCs w:val="24"/>
        </w:rPr>
        <w:t xml:space="preserve"> </w:t>
      </w:r>
      <w:r>
        <w:rPr>
          <w:rFonts w:ascii="Times New Roman" w:hAnsi="Times New Roman"/>
          <w:szCs w:val="24"/>
        </w:rPr>
        <w:t>и</w:t>
      </w:r>
      <w:r w:rsidR="00743D0A" w:rsidRPr="00295637">
        <w:rPr>
          <w:rFonts w:ascii="Times New Roman" w:hAnsi="Times New Roman"/>
          <w:szCs w:val="24"/>
        </w:rPr>
        <w:t xml:space="preserve"> </w:t>
      </w:r>
      <w:r>
        <w:rPr>
          <w:rFonts w:ascii="Times New Roman" w:hAnsi="Times New Roman"/>
          <w:szCs w:val="24"/>
        </w:rPr>
        <w:t>у</w:t>
      </w:r>
      <w:r w:rsidR="00743D0A" w:rsidRPr="00295637">
        <w:rPr>
          <w:rFonts w:ascii="Times New Roman" w:hAnsi="Times New Roman"/>
          <w:szCs w:val="24"/>
        </w:rPr>
        <w:t xml:space="preserve"> </w:t>
      </w:r>
      <w:r>
        <w:rPr>
          <w:rFonts w:ascii="Times New Roman" w:hAnsi="Times New Roman"/>
          <w:szCs w:val="24"/>
        </w:rPr>
        <w:t>консултацијама</w:t>
      </w:r>
      <w:r w:rsidR="00630355">
        <w:rPr>
          <w:rFonts w:ascii="Times New Roman" w:hAnsi="Times New Roman"/>
          <w:szCs w:val="24"/>
        </w:rPr>
        <w:t xml:space="preserve"> </w:t>
      </w:r>
      <w:r>
        <w:rPr>
          <w:rFonts w:ascii="Times New Roman" w:hAnsi="Times New Roman"/>
          <w:szCs w:val="24"/>
        </w:rPr>
        <w:t>са</w:t>
      </w:r>
      <w:r w:rsidR="00743D0A" w:rsidRPr="00295637">
        <w:rPr>
          <w:rFonts w:ascii="Times New Roman" w:hAnsi="Times New Roman"/>
          <w:szCs w:val="24"/>
        </w:rPr>
        <w:t xml:space="preserve"> </w:t>
      </w:r>
      <w:r>
        <w:rPr>
          <w:rFonts w:ascii="Times New Roman" w:hAnsi="Times New Roman"/>
          <w:szCs w:val="24"/>
        </w:rPr>
        <w:t>установама</w:t>
      </w:r>
      <w:r w:rsidR="00743D0A" w:rsidRPr="00295637">
        <w:rPr>
          <w:rFonts w:ascii="Times New Roman" w:hAnsi="Times New Roman"/>
          <w:szCs w:val="24"/>
        </w:rPr>
        <w:t xml:space="preserve"> </w:t>
      </w:r>
      <w:r>
        <w:rPr>
          <w:rFonts w:ascii="Times New Roman" w:hAnsi="Times New Roman"/>
          <w:szCs w:val="24"/>
        </w:rPr>
        <w:t>и</w:t>
      </w:r>
      <w:r w:rsidR="00743D0A" w:rsidRPr="00295637">
        <w:rPr>
          <w:rFonts w:ascii="Times New Roman" w:hAnsi="Times New Roman"/>
          <w:szCs w:val="24"/>
        </w:rPr>
        <w:t xml:space="preserve"> </w:t>
      </w:r>
      <w:r>
        <w:rPr>
          <w:rFonts w:ascii="Times New Roman" w:hAnsi="Times New Roman"/>
          <w:szCs w:val="24"/>
        </w:rPr>
        <w:t>невладиним</w:t>
      </w:r>
      <w:r w:rsidR="00743D0A" w:rsidRPr="00295637">
        <w:rPr>
          <w:rFonts w:ascii="Times New Roman" w:hAnsi="Times New Roman"/>
          <w:szCs w:val="24"/>
        </w:rPr>
        <w:t xml:space="preserve"> </w:t>
      </w:r>
      <w:r>
        <w:rPr>
          <w:rFonts w:ascii="Times New Roman" w:hAnsi="Times New Roman"/>
          <w:szCs w:val="24"/>
        </w:rPr>
        <w:t>организацијама</w:t>
      </w:r>
      <w:r w:rsidR="00743D0A" w:rsidRPr="00295637">
        <w:rPr>
          <w:rFonts w:ascii="Times New Roman" w:hAnsi="Times New Roman"/>
          <w:szCs w:val="24"/>
        </w:rPr>
        <w:t xml:space="preserve"> </w:t>
      </w:r>
      <w:r>
        <w:rPr>
          <w:rFonts w:ascii="Times New Roman" w:hAnsi="Times New Roman"/>
          <w:szCs w:val="24"/>
        </w:rPr>
        <w:t>које</w:t>
      </w:r>
      <w:r w:rsidR="00743D0A" w:rsidRPr="00295637">
        <w:rPr>
          <w:rFonts w:ascii="Times New Roman" w:hAnsi="Times New Roman"/>
          <w:szCs w:val="24"/>
        </w:rPr>
        <w:t xml:space="preserve"> </w:t>
      </w:r>
      <w:r>
        <w:rPr>
          <w:rFonts w:ascii="Times New Roman" w:hAnsi="Times New Roman"/>
          <w:szCs w:val="24"/>
        </w:rPr>
        <w:t>се</w:t>
      </w:r>
      <w:r w:rsidR="00743D0A" w:rsidRPr="00295637">
        <w:rPr>
          <w:rFonts w:ascii="Times New Roman" w:hAnsi="Times New Roman"/>
          <w:szCs w:val="24"/>
        </w:rPr>
        <w:t xml:space="preserve"> </w:t>
      </w:r>
      <w:r>
        <w:rPr>
          <w:rFonts w:ascii="Times New Roman" w:hAnsi="Times New Roman"/>
          <w:szCs w:val="24"/>
        </w:rPr>
        <w:t>баве</w:t>
      </w:r>
      <w:r w:rsidR="00743D0A" w:rsidRPr="00295637">
        <w:rPr>
          <w:rFonts w:ascii="Times New Roman" w:hAnsi="Times New Roman"/>
          <w:szCs w:val="24"/>
        </w:rPr>
        <w:t xml:space="preserve"> </w:t>
      </w:r>
      <w:r>
        <w:rPr>
          <w:rFonts w:ascii="Times New Roman" w:hAnsi="Times New Roman"/>
          <w:szCs w:val="24"/>
        </w:rPr>
        <w:t>заштитом</w:t>
      </w:r>
      <w:r w:rsidR="00743D0A" w:rsidRPr="00295637">
        <w:rPr>
          <w:rFonts w:ascii="Times New Roman" w:hAnsi="Times New Roman"/>
          <w:szCs w:val="24"/>
        </w:rPr>
        <w:t xml:space="preserve"> </w:t>
      </w:r>
      <w:r>
        <w:rPr>
          <w:rFonts w:ascii="Times New Roman" w:hAnsi="Times New Roman"/>
          <w:szCs w:val="24"/>
        </w:rPr>
        <w:t>жена</w:t>
      </w:r>
      <w:r w:rsidR="00743D0A" w:rsidRPr="00295637">
        <w:rPr>
          <w:rFonts w:ascii="Times New Roman" w:hAnsi="Times New Roman"/>
          <w:szCs w:val="24"/>
        </w:rPr>
        <w:t xml:space="preserve"> </w:t>
      </w:r>
      <w:r>
        <w:rPr>
          <w:rFonts w:ascii="Times New Roman" w:hAnsi="Times New Roman"/>
          <w:szCs w:val="24"/>
        </w:rPr>
        <w:t>жртава</w:t>
      </w:r>
      <w:r w:rsidR="00743D0A" w:rsidRPr="00295637">
        <w:rPr>
          <w:rFonts w:ascii="Times New Roman" w:hAnsi="Times New Roman"/>
          <w:szCs w:val="24"/>
        </w:rPr>
        <w:t xml:space="preserve"> </w:t>
      </w:r>
      <w:r>
        <w:rPr>
          <w:rFonts w:ascii="Times New Roman" w:hAnsi="Times New Roman"/>
          <w:szCs w:val="24"/>
        </w:rPr>
        <w:t>насиља</w:t>
      </w:r>
      <w:r w:rsidR="00743D0A" w:rsidRPr="00295637">
        <w:rPr>
          <w:rFonts w:ascii="Times New Roman" w:hAnsi="Times New Roman"/>
          <w:szCs w:val="24"/>
        </w:rPr>
        <w:t>.</w:t>
      </w:r>
      <w:r w:rsidR="00743D0A" w:rsidRPr="00295637">
        <w:rPr>
          <w:rFonts w:ascii="Times New Roman" w:hAnsi="Times New Roman"/>
          <w:lang w:val="sr-Latn-BA"/>
        </w:rPr>
        <w:t xml:space="preserve"> </w:t>
      </w:r>
      <w:r>
        <w:rPr>
          <w:rFonts w:ascii="Times New Roman" w:hAnsi="Times New Roman"/>
          <w:lang w:val="sr-Latn-BA"/>
        </w:rPr>
        <w:t>ЦЈРП</w:t>
      </w:r>
      <w:r w:rsidR="00743D0A" w:rsidRPr="00295637">
        <w:rPr>
          <w:rFonts w:ascii="Times New Roman" w:hAnsi="Times New Roman"/>
          <w:lang w:val="sr-Latn-BA"/>
        </w:rPr>
        <w:t xml:space="preserve"> </w:t>
      </w:r>
      <w:r>
        <w:rPr>
          <w:rFonts w:ascii="Times New Roman" w:hAnsi="Times New Roman"/>
          <w:lang w:val="sr-Latn-BA"/>
        </w:rPr>
        <w:t>РС</w:t>
      </w:r>
      <w:r w:rsidR="00743D0A" w:rsidRPr="00295637">
        <w:rPr>
          <w:rFonts w:ascii="Times New Roman" w:hAnsi="Times New Roman"/>
          <w:lang w:val="sr-Latn-BA"/>
        </w:rPr>
        <w:t xml:space="preserve"> </w:t>
      </w:r>
      <w:r>
        <w:rPr>
          <w:rFonts w:ascii="Times New Roman" w:hAnsi="Times New Roman"/>
          <w:lang w:val="sr-Latn-BA"/>
        </w:rPr>
        <w:t>је</w:t>
      </w:r>
      <w:r w:rsidR="00743D0A" w:rsidRPr="00295637">
        <w:rPr>
          <w:rFonts w:ascii="Times New Roman" w:hAnsi="Times New Roman"/>
          <w:lang w:val="sr-Latn-BA"/>
        </w:rPr>
        <w:t xml:space="preserve"> </w:t>
      </w:r>
      <w:r>
        <w:rPr>
          <w:rFonts w:ascii="Times New Roman" w:hAnsi="Times New Roman"/>
          <w:lang w:val="sr-Latn-BA"/>
        </w:rPr>
        <w:t>учествовао</w:t>
      </w:r>
      <w:r w:rsidR="00743D0A" w:rsidRPr="00295637">
        <w:rPr>
          <w:rFonts w:ascii="Times New Roman" w:hAnsi="Times New Roman"/>
          <w:lang w:val="sr-Latn-BA"/>
        </w:rPr>
        <w:t xml:space="preserve"> </w:t>
      </w:r>
      <w:r>
        <w:rPr>
          <w:rFonts w:ascii="Times New Roman" w:hAnsi="Times New Roman"/>
          <w:lang w:val="sr-Cyrl-BA"/>
        </w:rPr>
        <w:t>на</w:t>
      </w:r>
      <w:r w:rsidR="00F46DAC">
        <w:rPr>
          <w:rFonts w:ascii="Times New Roman" w:hAnsi="Times New Roman"/>
          <w:lang w:val="sr-Cyrl-BA"/>
        </w:rPr>
        <w:t xml:space="preserve"> </w:t>
      </w:r>
      <w:r>
        <w:rPr>
          <w:rFonts w:ascii="Times New Roman" w:hAnsi="Times New Roman"/>
          <w:lang w:val="hr-HR"/>
        </w:rPr>
        <w:t>т</w:t>
      </w:r>
      <w:r>
        <w:rPr>
          <w:rFonts w:ascii="Times New Roman" w:hAnsi="Times New Roman"/>
          <w:lang w:val="sr-Cyrl-BA"/>
        </w:rPr>
        <w:t>ематском</w:t>
      </w:r>
      <w:r w:rsidR="00743D0A" w:rsidRPr="00295637">
        <w:rPr>
          <w:rFonts w:ascii="Times New Roman" w:hAnsi="Times New Roman"/>
          <w:lang w:val="sr-Cyrl-BA"/>
        </w:rPr>
        <w:t xml:space="preserve"> </w:t>
      </w:r>
      <w:r>
        <w:rPr>
          <w:rFonts w:ascii="Times New Roman" w:hAnsi="Times New Roman"/>
          <w:lang w:val="sr-Cyrl-BA"/>
        </w:rPr>
        <w:t>састанку</w:t>
      </w:r>
      <w:r w:rsidR="00743D0A" w:rsidRPr="00295637">
        <w:rPr>
          <w:rFonts w:ascii="Times New Roman" w:hAnsi="Times New Roman"/>
          <w:lang w:val="sr-Cyrl-BA"/>
        </w:rPr>
        <w:t xml:space="preserve"> </w:t>
      </w:r>
      <w:r>
        <w:rPr>
          <w:rFonts w:ascii="Times New Roman" w:hAnsi="Times New Roman"/>
          <w:lang w:val="sr-Cyrl-BA"/>
        </w:rPr>
        <w:t>Међународне</w:t>
      </w:r>
      <w:r w:rsidR="00743D0A" w:rsidRPr="00295637">
        <w:rPr>
          <w:rFonts w:ascii="Times New Roman" w:hAnsi="Times New Roman"/>
          <w:lang w:val="sr-Cyrl-BA"/>
        </w:rPr>
        <w:t xml:space="preserve"> </w:t>
      </w:r>
      <w:r>
        <w:rPr>
          <w:rFonts w:ascii="Times New Roman" w:hAnsi="Times New Roman"/>
          <w:lang w:val="sr-Cyrl-BA"/>
        </w:rPr>
        <w:t>радне</w:t>
      </w:r>
      <w:r w:rsidR="00743D0A" w:rsidRPr="00295637">
        <w:rPr>
          <w:rFonts w:ascii="Times New Roman" w:hAnsi="Times New Roman"/>
          <w:lang w:val="sr-Cyrl-BA"/>
        </w:rPr>
        <w:t xml:space="preserve"> </w:t>
      </w:r>
      <w:r>
        <w:rPr>
          <w:rFonts w:ascii="Times New Roman" w:hAnsi="Times New Roman"/>
          <w:lang w:val="hr-HR"/>
        </w:rPr>
        <w:t>групе</w:t>
      </w:r>
      <w:r w:rsidR="00743D0A" w:rsidRPr="00295637">
        <w:rPr>
          <w:rFonts w:ascii="Times New Roman" w:hAnsi="Times New Roman"/>
          <w:lang w:val="sr-Cyrl-BA"/>
        </w:rPr>
        <w:t xml:space="preserve"> </w:t>
      </w:r>
      <w:r>
        <w:rPr>
          <w:rFonts w:ascii="Times New Roman" w:hAnsi="Times New Roman"/>
          <w:lang w:val="sr-Cyrl-BA"/>
        </w:rPr>
        <w:t>за</w:t>
      </w:r>
      <w:r w:rsidR="00743D0A" w:rsidRPr="00295637">
        <w:rPr>
          <w:rFonts w:ascii="Times New Roman" w:hAnsi="Times New Roman"/>
          <w:lang w:val="sr-Cyrl-BA"/>
        </w:rPr>
        <w:t xml:space="preserve"> </w:t>
      </w:r>
      <w:r>
        <w:rPr>
          <w:rFonts w:ascii="Times New Roman" w:hAnsi="Times New Roman"/>
          <w:lang w:val="sr-Cyrl-BA"/>
        </w:rPr>
        <w:t>родну</w:t>
      </w:r>
      <w:r w:rsidR="00743D0A" w:rsidRPr="00295637">
        <w:rPr>
          <w:rFonts w:ascii="Times New Roman" w:hAnsi="Times New Roman"/>
          <w:lang w:val="sr-Cyrl-BA"/>
        </w:rPr>
        <w:t xml:space="preserve"> </w:t>
      </w:r>
      <w:r>
        <w:rPr>
          <w:rFonts w:ascii="Times New Roman" w:hAnsi="Times New Roman"/>
          <w:lang w:val="sr-Cyrl-BA"/>
        </w:rPr>
        <w:t>равноправност</w:t>
      </w:r>
      <w:r w:rsidR="00743D0A" w:rsidRPr="00295637">
        <w:rPr>
          <w:rFonts w:ascii="Times New Roman" w:hAnsi="Times New Roman"/>
          <w:lang w:val="sr-Cyrl-BA"/>
        </w:rPr>
        <w:t xml:space="preserve"> </w:t>
      </w:r>
      <w:r w:rsidR="00F742CE">
        <w:rPr>
          <w:rFonts w:ascii="Times New Roman" w:hAnsi="Times New Roman"/>
          <w:lang w:val="sr-Cyrl-BA"/>
        </w:rPr>
        <w:t>С</w:t>
      </w:r>
      <w:r>
        <w:rPr>
          <w:rFonts w:ascii="Times New Roman" w:hAnsi="Times New Roman"/>
          <w:lang w:val="bs-Latn-BA"/>
        </w:rPr>
        <w:t>Е</w:t>
      </w:r>
      <w:r w:rsidR="00743D0A" w:rsidRPr="00295637">
        <w:rPr>
          <w:rFonts w:ascii="Times New Roman" w:hAnsi="Times New Roman"/>
          <w:lang w:val="sr-Cyrl-BA"/>
        </w:rPr>
        <w:t xml:space="preserve"> </w:t>
      </w:r>
      <w:r>
        <w:rPr>
          <w:rFonts w:ascii="Times New Roman" w:hAnsi="Times New Roman"/>
          <w:lang w:val="sr-Cyrl-BA"/>
        </w:rPr>
        <w:t>о</w:t>
      </w:r>
      <w:r w:rsidR="00743D0A" w:rsidRPr="00295637">
        <w:rPr>
          <w:rFonts w:ascii="Times New Roman" w:hAnsi="Times New Roman"/>
          <w:lang w:val="sr-Cyrl-BA"/>
        </w:rPr>
        <w:t xml:space="preserve"> </w:t>
      </w:r>
      <w:r w:rsidR="00F742CE">
        <w:rPr>
          <w:rFonts w:ascii="Times New Roman" w:hAnsi="Times New Roman"/>
          <w:lang w:val="sr-Cyrl-BA"/>
        </w:rPr>
        <w:t>спровођењу</w:t>
      </w:r>
      <w:r w:rsidR="00743D0A" w:rsidRPr="00295637">
        <w:rPr>
          <w:rFonts w:ascii="Times New Roman" w:hAnsi="Times New Roman"/>
          <w:lang w:val="sr-Cyrl-BA"/>
        </w:rPr>
        <w:t xml:space="preserve"> </w:t>
      </w:r>
      <w:r>
        <w:rPr>
          <w:rFonts w:ascii="Times New Roman" w:hAnsi="Times New Roman"/>
          <w:lang w:val="sr-Cyrl-BA"/>
        </w:rPr>
        <w:t>препорука</w:t>
      </w:r>
      <w:r w:rsidR="00743D0A" w:rsidRPr="00295637">
        <w:rPr>
          <w:rFonts w:ascii="Times New Roman" w:hAnsi="Times New Roman"/>
          <w:lang w:val="sr-Cyrl-BA"/>
        </w:rPr>
        <w:t xml:space="preserve"> </w:t>
      </w:r>
      <w:r w:rsidR="003601A7">
        <w:rPr>
          <w:rFonts w:ascii="Times New Roman" w:hAnsi="Times New Roman"/>
          <w:lang w:val="sr-Cyrl-BA"/>
        </w:rPr>
        <w:t xml:space="preserve">Комитета </w:t>
      </w:r>
      <w:r>
        <w:rPr>
          <w:rFonts w:ascii="Times New Roman" w:hAnsi="Times New Roman"/>
          <w:lang w:val="sr-Cyrl-BA"/>
        </w:rPr>
        <w:t>ГРЕВИО</w:t>
      </w:r>
      <w:r w:rsidR="00743D0A" w:rsidRPr="00295637">
        <w:rPr>
          <w:rFonts w:ascii="Times New Roman" w:hAnsi="Times New Roman"/>
          <w:lang w:val="sr-Cyrl-BA"/>
        </w:rPr>
        <w:t>.</w:t>
      </w:r>
    </w:p>
    <w:p w:rsidR="00743D0A" w:rsidRPr="00295637" w:rsidRDefault="00743D0A" w:rsidP="0086268D">
      <w:pPr>
        <w:jc w:val="both"/>
        <w:rPr>
          <w:rFonts w:ascii="Times New Roman" w:hAnsi="Times New Roman"/>
          <w:lang w:val="bs-Latn-BA"/>
        </w:rPr>
      </w:pPr>
    </w:p>
    <w:p w:rsidR="00F079E7" w:rsidRDefault="00C6214E" w:rsidP="0086268D">
      <w:pPr>
        <w:jc w:val="both"/>
        <w:rPr>
          <w:rFonts w:ascii="Times New Roman" w:hAnsi="Times New Roman"/>
          <w:lang w:val="bs-Latn-BA"/>
        </w:rPr>
      </w:pPr>
      <w:r>
        <w:rPr>
          <w:rFonts w:ascii="Times New Roman" w:hAnsi="Times New Roman"/>
          <w:lang w:val="bs-Latn-BA"/>
        </w:rPr>
        <w:t>Скупштина</w:t>
      </w:r>
      <w:r w:rsidR="00304BE4" w:rsidRPr="00295637">
        <w:rPr>
          <w:rFonts w:ascii="Times New Roman" w:hAnsi="Times New Roman"/>
          <w:lang w:val="bs-Latn-BA"/>
        </w:rPr>
        <w:t xml:space="preserve"> </w:t>
      </w:r>
      <w:r>
        <w:rPr>
          <w:rFonts w:ascii="Times New Roman" w:hAnsi="Times New Roman"/>
          <w:lang w:val="bs-Latn-BA"/>
        </w:rPr>
        <w:t>БД</w:t>
      </w:r>
      <w:r w:rsidR="00630355">
        <w:rPr>
          <w:rFonts w:ascii="Times New Roman" w:hAnsi="Times New Roman"/>
          <w:lang w:val="bs-Latn-BA"/>
        </w:rPr>
        <w:t xml:space="preserve"> </w:t>
      </w:r>
      <w:r>
        <w:rPr>
          <w:rFonts w:ascii="Times New Roman" w:hAnsi="Times New Roman"/>
          <w:lang w:val="bs-Latn-BA"/>
        </w:rPr>
        <w:t>БиХ</w:t>
      </w:r>
      <w:r w:rsidR="00304BE4" w:rsidRPr="00295637">
        <w:rPr>
          <w:rFonts w:ascii="Times New Roman" w:hAnsi="Times New Roman"/>
          <w:lang w:val="bs-Latn-BA"/>
        </w:rPr>
        <w:t xml:space="preserve"> </w:t>
      </w:r>
      <w:r>
        <w:rPr>
          <w:rFonts w:ascii="Times New Roman" w:hAnsi="Times New Roman"/>
          <w:lang w:val="bs-Latn-BA"/>
        </w:rPr>
        <w:t>је</w:t>
      </w:r>
      <w:r w:rsidR="00304BE4" w:rsidRPr="00295637">
        <w:rPr>
          <w:rFonts w:ascii="Times New Roman" w:hAnsi="Times New Roman"/>
          <w:lang w:val="bs-Latn-BA"/>
        </w:rPr>
        <w:t xml:space="preserve"> </w:t>
      </w:r>
      <w:r>
        <w:rPr>
          <w:rFonts w:ascii="Times New Roman" w:hAnsi="Times New Roman"/>
          <w:lang w:val="bs-Latn-BA"/>
        </w:rPr>
        <w:t>на</w:t>
      </w:r>
      <w:r w:rsidR="00304BE4" w:rsidRPr="00295637">
        <w:rPr>
          <w:rFonts w:ascii="Times New Roman" w:hAnsi="Times New Roman"/>
          <w:lang w:val="bs-Latn-BA"/>
        </w:rPr>
        <w:t xml:space="preserve"> </w:t>
      </w:r>
      <w:r>
        <w:rPr>
          <w:rFonts w:ascii="Times New Roman" w:hAnsi="Times New Roman"/>
          <w:lang w:val="bs-Latn-BA"/>
        </w:rPr>
        <w:t>приједлог</w:t>
      </w:r>
      <w:r w:rsidR="00304BE4" w:rsidRPr="00295637">
        <w:rPr>
          <w:rFonts w:ascii="Times New Roman" w:hAnsi="Times New Roman"/>
          <w:lang w:val="bs-Latn-BA"/>
        </w:rPr>
        <w:t xml:space="preserve"> </w:t>
      </w:r>
      <w:r>
        <w:rPr>
          <w:rFonts w:ascii="Times New Roman" w:hAnsi="Times New Roman"/>
          <w:lang w:val="bs-Latn-BA"/>
        </w:rPr>
        <w:t>Правосудне</w:t>
      </w:r>
      <w:r w:rsidR="00A744DD" w:rsidRPr="00295637">
        <w:rPr>
          <w:rFonts w:ascii="Times New Roman" w:hAnsi="Times New Roman"/>
          <w:lang w:val="bs-Latn-BA"/>
        </w:rPr>
        <w:t xml:space="preserve"> </w:t>
      </w:r>
      <w:r>
        <w:rPr>
          <w:rFonts w:ascii="Times New Roman" w:hAnsi="Times New Roman"/>
          <w:lang w:val="bs-Latn-BA"/>
        </w:rPr>
        <w:t>комисије</w:t>
      </w:r>
      <w:r w:rsidR="00630355">
        <w:rPr>
          <w:rFonts w:ascii="Times New Roman" w:hAnsi="Times New Roman"/>
          <w:lang w:val="bs-Latn-BA"/>
        </w:rPr>
        <w:t xml:space="preserve"> </w:t>
      </w:r>
      <w:r>
        <w:rPr>
          <w:rFonts w:ascii="Times New Roman" w:hAnsi="Times New Roman"/>
          <w:lang w:val="bs-Latn-BA"/>
        </w:rPr>
        <w:t>Дистрикта</w:t>
      </w:r>
      <w:r w:rsidR="00A744DD" w:rsidRPr="00295637">
        <w:rPr>
          <w:rFonts w:ascii="Times New Roman" w:hAnsi="Times New Roman"/>
          <w:lang w:val="bs-Latn-BA"/>
        </w:rPr>
        <w:t xml:space="preserve"> </w:t>
      </w:r>
      <w:r>
        <w:rPr>
          <w:rFonts w:ascii="Times New Roman" w:hAnsi="Times New Roman"/>
          <w:lang w:val="bs-Latn-BA"/>
        </w:rPr>
        <w:t>усвојила</w:t>
      </w:r>
      <w:r w:rsidR="00A744DD" w:rsidRPr="00295637">
        <w:rPr>
          <w:rFonts w:ascii="Times New Roman" w:hAnsi="Times New Roman"/>
          <w:lang w:val="bs-Latn-BA"/>
        </w:rPr>
        <w:t xml:space="preserve"> </w:t>
      </w:r>
      <w:r>
        <w:rPr>
          <w:rFonts w:ascii="Times New Roman" w:hAnsi="Times New Roman"/>
          <w:lang w:val="bs-Latn-BA"/>
        </w:rPr>
        <w:t>Закон</w:t>
      </w:r>
      <w:r w:rsidR="00304BE4" w:rsidRPr="00295637">
        <w:rPr>
          <w:rFonts w:ascii="Times New Roman" w:hAnsi="Times New Roman"/>
          <w:lang w:val="bs-Latn-BA"/>
        </w:rPr>
        <w:t xml:space="preserve"> </w:t>
      </w:r>
      <w:r>
        <w:rPr>
          <w:rFonts w:ascii="Times New Roman" w:hAnsi="Times New Roman"/>
          <w:lang w:val="bs-Latn-BA"/>
        </w:rPr>
        <w:t>о</w:t>
      </w:r>
      <w:r w:rsidR="00304BE4" w:rsidRPr="00295637">
        <w:rPr>
          <w:rFonts w:ascii="Times New Roman" w:hAnsi="Times New Roman"/>
          <w:lang w:val="bs-Latn-BA"/>
        </w:rPr>
        <w:t xml:space="preserve"> </w:t>
      </w:r>
      <w:r>
        <w:rPr>
          <w:rFonts w:ascii="Times New Roman" w:hAnsi="Times New Roman"/>
          <w:lang w:val="bs-Latn-BA"/>
        </w:rPr>
        <w:t>измјенама</w:t>
      </w:r>
      <w:r w:rsidR="00304BE4" w:rsidRPr="00295637">
        <w:rPr>
          <w:rFonts w:ascii="Times New Roman" w:hAnsi="Times New Roman"/>
          <w:lang w:val="bs-Latn-BA"/>
        </w:rPr>
        <w:t xml:space="preserve"> </w:t>
      </w:r>
      <w:r>
        <w:rPr>
          <w:rFonts w:ascii="Times New Roman" w:hAnsi="Times New Roman"/>
          <w:lang w:val="bs-Latn-BA"/>
        </w:rPr>
        <w:t>и</w:t>
      </w:r>
      <w:r w:rsidR="00304BE4" w:rsidRPr="00295637">
        <w:rPr>
          <w:rFonts w:ascii="Times New Roman" w:hAnsi="Times New Roman"/>
          <w:lang w:val="bs-Latn-BA"/>
        </w:rPr>
        <w:t xml:space="preserve"> </w:t>
      </w:r>
      <w:r>
        <w:rPr>
          <w:rFonts w:ascii="Times New Roman" w:hAnsi="Times New Roman"/>
          <w:lang w:val="bs-Latn-BA"/>
        </w:rPr>
        <w:t>допунама</w:t>
      </w:r>
      <w:r w:rsidR="00630355">
        <w:rPr>
          <w:rFonts w:ascii="Times New Roman" w:hAnsi="Times New Roman"/>
          <w:lang w:val="bs-Latn-BA"/>
        </w:rPr>
        <w:t xml:space="preserve"> </w:t>
      </w:r>
      <w:r>
        <w:rPr>
          <w:rFonts w:ascii="Times New Roman" w:hAnsi="Times New Roman"/>
          <w:lang w:val="bs-Latn-BA"/>
        </w:rPr>
        <w:t>Кривичног</w:t>
      </w:r>
      <w:r w:rsidR="00630355">
        <w:rPr>
          <w:rFonts w:ascii="Times New Roman" w:hAnsi="Times New Roman"/>
          <w:lang w:val="bs-Latn-BA"/>
        </w:rPr>
        <w:t xml:space="preserve"> </w:t>
      </w:r>
      <w:r>
        <w:rPr>
          <w:rFonts w:ascii="Times New Roman" w:hAnsi="Times New Roman"/>
          <w:lang w:val="bs-Latn-BA"/>
        </w:rPr>
        <w:t>закона</w:t>
      </w:r>
      <w:r w:rsidR="00630355">
        <w:rPr>
          <w:rFonts w:ascii="Times New Roman" w:hAnsi="Times New Roman"/>
          <w:lang w:val="bs-Latn-BA"/>
        </w:rPr>
        <w:t xml:space="preserve"> </w:t>
      </w:r>
      <w:r>
        <w:rPr>
          <w:rFonts w:ascii="Times New Roman" w:hAnsi="Times New Roman"/>
          <w:lang w:val="bs-Latn-BA"/>
        </w:rPr>
        <w:t>Брчко</w:t>
      </w:r>
      <w:r w:rsidR="00630355">
        <w:rPr>
          <w:rFonts w:ascii="Times New Roman" w:hAnsi="Times New Roman"/>
          <w:lang w:val="bs-Latn-BA"/>
        </w:rPr>
        <w:t xml:space="preserve"> </w:t>
      </w:r>
      <w:r>
        <w:rPr>
          <w:rFonts w:ascii="Times New Roman" w:hAnsi="Times New Roman"/>
          <w:lang w:val="bs-Latn-BA"/>
        </w:rPr>
        <w:t>Дистрикта</w:t>
      </w:r>
      <w:r w:rsidR="00A744DD" w:rsidRPr="00295637">
        <w:rPr>
          <w:rFonts w:ascii="Times New Roman" w:hAnsi="Times New Roman"/>
          <w:lang w:val="bs-Latn-BA"/>
        </w:rPr>
        <w:t xml:space="preserve"> </w:t>
      </w:r>
      <w:r>
        <w:rPr>
          <w:rFonts w:ascii="Times New Roman" w:hAnsi="Times New Roman"/>
          <w:lang w:val="bs-Latn-BA"/>
        </w:rPr>
        <w:t>БиХ</w:t>
      </w:r>
      <w:r w:rsidR="00304BE4" w:rsidRPr="00295637">
        <w:rPr>
          <w:rFonts w:ascii="Times New Roman" w:hAnsi="Times New Roman"/>
          <w:lang w:val="bs-Latn-BA"/>
        </w:rPr>
        <w:t xml:space="preserve">, </w:t>
      </w:r>
      <w:r>
        <w:rPr>
          <w:rFonts w:ascii="Times New Roman" w:hAnsi="Times New Roman"/>
          <w:lang w:val="bs-Latn-BA"/>
        </w:rPr>
        <w:t>а</w:t>
      </w:r>
      <w:r w:rsidR="00304BE4" w:rsidRPr="00295637">
        <w:rPr>
          <w:rFonts w:ascii="Times New Roman" w:hAnsi="Times New Roman"/>
          <w:lang w:val="bs-Latn-BA"/>
        </w:rPr>
        <w:t xml:space="preserve"> </w:t>
      </w:r>
      <w:r w:rsidR="00F742CE">
        <w:rPr>
          <w:rFonts w:ascii="Times New Roman" w:hAnsi="Times New Roman"/>
          <w:lang w:val="sr-Cyrl-BA"/>
        </w:rPr>
        <w:t>с</w:t>
      </w:r>
      <w:r w:rsidR="00304BE4" w:rsidRPr="00295637">
        <w:rPr>
          <w:rFonts w:ascii="Times New Roman" w:hAnsi="Times New Roman"/>
          <w:lang w:val="bs-Latn-BA"/>
        </w:rPr>
        <w:t xml:space="preserve"> </w:t>
      </w:r>
      <w:r>
        <w:rPr>
          <w:rFonts w:ascii="Times New Roman" w:hAnsi="Times New Roman"/>
          <w:lang w:val="bs-Latn-BA"/>
        </w:rPr>
        <w:t>циљ</w:t>
      </w:r>
      <w:r w:rsidR="00F742CE">
        <w:rPr>
          <w:rFonts w:ascii="Times New Roman" w:hAnsi="Times New Roman"/>
          <w:lang w:val="sr-Cyrl-BA"/>
        </w:rPr>
        <w:t>ем</w:t>
      </w:r>
      <w:r w:rsidR="00304BE4" w:rsidRPr="00295637">
        <w:rPr>
          <w:rFonts w:ascii="Times New Roman" w:hAnsi="Times New Roman"/>
          <w:lang w:val="bs-Latn-BA"/>
        </w:rPr>
        <w:t xml:space="preserve"> </w:t>
      </w:r>
      <w:r w:rsidR="00F742CE">
        <w:rPr>
          <w:rFonts w:ascii="Times New Roman" w:hAnsi="Times New Roman"/>
          <w:lang w:val="sr-Cyrl-BA"/>
        </w:rPr>
        <w:t>спровођења</w:t>
      </w:r>
      <w:r w:rsidR="00304BE4" w:rsidRPr="00295637">
        <w:rPr>
          <w:rFonts w:ascii="Times New Roman" w:hAnsi="Times New Roman"/>
          <w:lang w:val="bs-Latn-BA"/>
        </w:rPr>
        <w:t xml:space="preserve"> </w:t>
      </w:r>
      <w:r>
        <w:rPr>
          <w:rFonts w:ascii="Times New Roman" w:hAnsi="Times New Roman"/>
          <w:lang w:val="bs-Latn-BA"/>
        </w:rPr>
        <w:t>међународних</w:t>
      </w:r>
      <w:r w:rsidR="00304BE4" w:rsidRPr="00295637">
        <w:rPr>
          <w:rFonts w:ascii="Times New Roman" w:hAnsi="Times New Roman"/>
          <w:lang w:val="bs-Latn-BA"/>
        </w:rPr>
        <w:t xml:space="preserve"> </w:t>
      </w:r>
      <w:r>
        <w:rPr>
          <w:rFonts w:ascii="Times New Roman" w:hAnsi="Times New Roman"/>
          <w:lang w:val="bs-Latn-BA"/>
        </w:rPr>
        <w:t>конвенција</w:t>
      </w:r>
      <w:r w:rsidR="00304BE4" w:rsidRPr="00295637">
        <w:rPr>
          <w:rFonts w:ascii="Times New Roman" w:hAnsi="Times New Roman"/>
          <w:lang w:val="bs-Latn-BA"/>
        </w:rPr>
        <w:t xml:space="preserve"> </w:t>
      </w:r>
      <w:r>
        <w:rPr>
          <w:rFonts w:ascii="Times New Roman" w:hAnsi="Times New Roman"/>
          <w:lang w:val="bs-Latn-BA"/>
        </w:rPr>
        <w:t>које</w:t>
      </w:r>
      <w:r w:rsidR="00304BE4" w:rsidRPr="00295637">
        <w:rPr>
          <w:rFonts w:ascii="Times New Roman" w:hAnsi="Times New Roman"/>
          <w:lang w:val="bs-Latn-BA"/>
        </w:rPr>
        <w:t xml:space="preserve"> </w:t>
      </w:r>
      <w:r>
        <w:rPr>
          <w:rFonts w:ascii="Times New Roman" w:hAnsi="Times New Roman"/>
          <w:lang w:val="bs-Latn-BA"/>
        </w:rPr>
        <w:t>је</w:t>
      </w:r>
      <w:r w:rsidR="00304BE4" w:rsidRPr="00295637">
        <w:rPr>
          <w:rFonts w:ascii="Times New Roman" w:hAnsi="Times New Roman"/>
          <w:lang w:val="bs-Latn-BA"/>
        </w:rPr>
        <w:t xml:space="preserve"> </w:t>
      </w:r>
      <w:r>
        <w:rPr>
          <w:rFonts w:ascii="Times New Roman" w:hAnsi="Times New Roman"/>
          <w:lang w:val="bs-Latn-BA"/>
        </w:rPr>
        <w:t>БиХ</w:t>
      </w:r>
      <w:r w:rsidR="00304BE4" w:rsidRPr="00295637">
        <w:rPr>
          <w:rFonts w:ascii="Times New Roman" w:hAnsi="Times New Roman"/>
          <w:lang w:val="bs-Latn-BA"/>
        </w:rPr>
        <w:t xml:space="preserve"> </w:t>
      </w:r>
      <w:r>
        <w:rPr>
          <w:rFonts w:ascii="Times New Roman" w:hAnsi="Times New Roman"/>
          <w:lang w:val="bs-Latn-BA"/>
        </w:rPr>
        <w:t>ратифи</w:t>
      </w:r>
      <w:r w:rsidR="00F742CE">
        <w:rPr>
          <w:rFonts w:ascii="Times New Roman" w:hAnsi="Times New Roman"/>
          <w:lang w:val="sr-Cyrl-BA"/>
        </w:rPr>
        <w:t>ковала</w:t>
      </w:r>
      <w:r w:rsidR="00304BE4" w:rsidRPr="00295637">
        <w:rPr>
          <w:rFonts w:ascii="Times New Roman" w:hAnsi="Times New Roman"/>
          <w:lang w:val="bs-Latn-BA"/>
        </w:rPr>
        <w:t xml:space="preserve"> </w:t>
      </w:r>
      <w:r>
        <w:rPr>
          <w:rFonts w:ascii="Times New Roman" w:hAnsi="Times New Roman"/>
          <w:lang w:val="bs-Latn-BA"/>
        </w:rPr>
        <w:t>укључујући</w:t>
      </w:r>
      <w:r w:rsidR="00A744DD" w:rsidRPr="00295637">
        <w:rPr>
          <w:rFonts w:ascii="Times New Roman" w:hAnsi="Times New Roman"/>
          <w:lang w:val="bs-Latn-BA"/>
        </w:rPr>
        <w:t xml:space="preserve"> </w:t>
      </w:r>
      <w:r>
        <w:rPr>
          <w:rFonts w:ascii="Times New Roman" w:hAnsi="Times New Roman"/>
          <w:lang w:val="bs-Latn-BA"/>
        </w:rPr>
        <w:t>и</w:t>
      </w:r>
      <w:r w:rsidR="00A744DD" w:rsidRPr="00295637">
        <w:rPr>
          <w:rFonts w:ascii="Times New Roman" w:hAnsi="Times New Roman"/>
          <w:lang w:val="bs-Latn-BA"/>
        </w:rPr>
        <w:t xml:space="preserve"> </w:t>
      </w:r>
      <w:r>
        <w:rPr>
          <w:rFonts w:ascii="Times New Roman" w:hAnsi="Times New Roman"/>
          <w:lang w:val="bs-Latn-BA"/>
        </w:rPr>
        <w:t>Истанбулску</w:t>
      </w:r>
      <w:r w:rsidR="00A744DD" w:rsidRPr="00295637">
        <w:rPr>
          <w:rFonts w:ascii="Times New Roman" w:hAnsi="Times New Roman"/>
          <w:lang w:val="bs-Latn-BA"/>
        </w:rPr>
        <w:t xml:space="preserve"> </w:t>
      </w:r>
      <w:r>
        <w:rPr>
          <w:rFonts w:ascii="Times New Roman" w:hAnsi="Times New Roman"/>
          <w:lang w:val="bs-Latn-BA"/>
        </w:rPr>
        <w:t>конвенцију</w:t>
      </w:r>
      <w:r w:rsidR="00A744DD" w:rsidRPr="00295637">
        <w:rPr>
          <w:rFonts w:ascii="Times New Roman" w:hAnsi="Times New Roman"/>
          <w:lang w:val="bs-Latn-BA"/>
        </w:rPr>
        <w:t xml:space="preserve">. </w:t>
      </w:r>
      <w:r>
        <w:rPr>
          <w:rFonts w:ascii="Times New Roman" w:hAnsi="Times New Roman"/>
          <w:lang w:val="bs-Latn-BA"/>
        </w:rPr>
        <w:t>Извршена</w:t>
      </w:r>
      <w:r w:rsidR="00304BE4" w:rsidRPr="00295637">
        <w:rPr>
          <w:rFonts w:ascii="Times New Roman" w:hAnsi="Times New Roman"/>
          <w:lang w:val="bs-Latn-BA"/>
        </w:rPr>
        <w:t xml:space="preserve"> </w:t>
      </w:r>
      <w:r>
        <w:rPr>
          <w:rFonts w:ascii="Times New Roman" w:hAnsi="Times New Roman"/>
          <w:lang w:val="bs-Latn-BA"/>
        </w:rPr>
        <w:t>је</w:t>
      </w:r>
      <w:r w:rsidR="00304BE4" w:rsidRPr="00295637">
        <w:rPr>
          <w:rFonts w:ascii="Times New Roman" w:hAnsi="Times New Roman"/>
          <w:lang w:val="bs-Latn-BA"/>
        </w:rPr>
        <w:t xml:space="preserve"> </w:t>
      </w:r>
      <w:r>
        <w:rPr>
          <w:rFonts w:ascii="Times New Roman" w:hAnsi="Times New Roman"/>
          <w:lang w:val="bs-Latn-BA"/>
        </w:rPr>
        <w:t>анализа</w:t>
      </w:r>
      <w:r w:rsidR="00304BE4" w:rsidRPr="00295637">
        <w:rPr>
          <w:rFonts w:ascii="Times New Roman" w:hAnsi="Times New Roman"/>
          <w:lang w:val="bs-Latn-BA"/>
        </w:rPr>
        <w:t xml:space="preserve"> </w:t>
      </w:r>
      <w:r>
        <w:rPr>
          <w:rFonts w:ascii="Times New Roman" w:hAnsi="Times New Roman"/>
          <w:lang w:val="bs-Latn-BA"/>
        </w:rPr>
        <w:t>након</w:t>
      </w:r>
      <w:r w:rsidR="00304BE4" w:rsidRPr="00295637">
        <w:rPr>
          <w:rFonts w:ascii="Times New Roman" w:hAnsi="Times New Roman"/>
          <w:lang w:val="bs-Latn-BA"/>
        </w:rPr>
        <w:t xml:space="preserve"> </w:t>
      </w:r>
      <w:r>
        <w:rPr>
          <w:rFonts w:ascii="Times New Roman" w:hAnsi="Times New Roman"/>
          <w:lang w:val="bs-Latn-BA"/>
        </w:rPr>
        <w:t>донесених</w:t>
      </w:r>
      <w:r w:rsidR="00304BE4" w:rsidRPr="00295637">
        <w:rPr>
          <w:rFonts w:ascii="Times New Roman" w:hAnsi="Times New Roman"/>
          <w:lang w:val="bs-Latn-BA"/>
        </w:rPr>
        <w:t xml:space="preserve"> </w:t>
      </w:r>
      <w:r>
        <w:rPr>
          <w:rFonts w:ascii="Times New Roman" w:hAnsi="Times New Roman"/>
          <w:lang w:val="bs-Latn-BA"/>
        </w:rPr>
        <w:t>измјена</w:t>
      </w:r>
      <w:r w:rsidR="00304BE4" w:rsidRPr="00295637">
        <w:rPr>
          <w:rFonts w:ascii="Times New Roman" w:hAnsi="Times New Roman"/>
          <w:lang w:val="bs-Latn-BA"/>
        </w:rPr>
        <w:t xml:space="preserve"> </w:t>
      </w:r>
      <w:r>
        <w:rPr>
          <w:rFonts w:ascii="Times New Roman" w:hAnsi="Times New Roman"/>
          <w:lang w:val="bs-Latn-BA"/>
        </w:rPr>
        <w:t>и</w:t>
      </w:r>
      <w:r w:rsidR="00304BE4" w:rsidRPr="00295637">
        <w:rPr>
          <w:rFonts w:ascii="Times New Roman" w:hAnsi="Times New Roman"/>
          <w:lang w:val="bs-Latn-BA"/>
        </w:rPr>
        <w:t xml:space="preserve"> </w:t>
      </w:r>
      <w:r>
        <w:rPr>
          <w:rFonts w:ascii="Times New Roman" w:hAnsi="Times New Roman"/>
          <w:lang w:val="bs-Latn-BA"/>
        </w:rPr>
        <w:t>допуна</w:t>
      </w:r>
      <w:r w:rsidR="00304BE4" w:rsidRPr="00295637">
        <w:rPr>
          <w:rFonts w:ascii="Times New Roman" w:hAnsi="Times New Roman"/>
          <w:lang w:val="bs-Latn-BA"/>
        </w:rPr>
        <w:t xml:space="preserve"> </w:t>
      </w:r>
      <w:r>
        <w:rPr>
          <w:rFonts w:ascii="Times New Roman" w:hAnsi="Times New Roman"/>
          <w:lang w:val="bs-Latn-BA"/>
        </w:rPr>
        <w:t>КЗ</w:t>
      </w:r>
      <w:r w:rsidR="00304BE4" w:rsidRPr="00295637">
        <w:rPr>
          <w:rFonts w:ascii="Times New Roman" w:hAnsi="Times New Roman"/>
          <w:lang w:val="bs-Latn-BA"/>
        </w:rPr>
        <w:t xml:space="preserve"> </w:t>
      </w:r>
      <w:r>
        <w:rPr>
          <w:rFonts w:ascii="Times New Roman" w:hAnsi="Times New Roman"/>
          <w:lang w:val="bs-Latn-BA"/>
        </w:rPr>
        <w:t>БД</w:t>
      </w:r>
      <w:r w:rsidR="009E54A2" w:rsidRPr="00295637">
        <w:rPr>
          <w:rFonts w:ascii="Times New Roman" w:hAnsi="Times New Roman"/>
          <w:lang w:val="bs-Latn-BA"/>
        </w:rPr>
        <w:t xml:space="preserve"> </w:t>
      </w:r>
      <w:r>
        <w:rPr>
          <w:rFonts w:ascii="Times New Roman" w:hAnsi="Times New Roman"/>
          <w:lang w:val="bs-Latn-BA"/>
        </w:rPr>
        <w:t>БиХ</w:t>
      </w:r>
      <w:r w:rsidR="009E54A2" w:rsidRPr="00295637">
        <w:rPr>
          <w:rFonts w:ascii="Times New Roman" w:hAnsi="Times New Roman"/>
          <w:lang w:val="bs-Latn-BA"/>
        </w:rPr>
        <w:t xml:space="preserve"> </w:t>
      </w:r>
      <w:r>
        <w:rPr>
          <w:rFonts w:ascii="Times New Roman" w:hAnsi="Times New Roman"/>
          <w:lang w:val="bs-Latn-BA"/>
        </w:rPr>
        <w:t>и</w:t>
      </w:r>
      <w:r w:rsidR="00A744DD" w:rsidRPr="00295637">
        <w:rPr>
          <w:rFonts w:ascii="Times New Roman" w:hAnsi="Times New Roman"/>
          <w:lang w:val="bs-Latn-BA"/>
        </w:rPr>
        <w:t xml:space="preserve"> </w:t>
      </w:r>
      <w:r w:rsidR="00304BE4" w:rsidRPr="00295637">
        <w:rPr>
          <w:rFonts w:ascii="Times New Roman" w:hAnsi="Times New Roman"/>
          <w:lang w:val="bs-Latn-BA"/>
        </w:rPr>
        <w:t xml:space="preserve">2025. </w:t>
      </w:r>
      <w:r>
        <w:rPr>
          <w:rFonts w:ascii="Times New Roman" w:hAnsi="Times New Roman"/>
          <w:lang w:val="bs-Latn-BA"/>
        </w:rPr>
        <w:t>године</w:t>
      </w:r>
      <w:r w:rsidR="00304BE4" w:rsidRPr="00295637">
        <w:rPr>
          <w:rFonts w:ascii="Times New Roman" w:hAnsi="Times New Roman"/>
          <w:lang w:val="bs-Latn-BA"/>
        </w:rPr>
        <w:t xml:space="preserve"> </w:t>
      </w:r>
      <w:r>
        <w:rPr>
          <w:rFonts w:ascii="Times New Roman" w:hAnsi="Times New Roman"/>
          <w:lang w:val="bs-Latn-BA"/>
        </w:rPr>
        <w:t>ући</w:t>
      </w:r>
      <w:r w:rsidR="00630355" w:rsidRPr="00295637">
        <w:rPr>
          <w:rFonts w:ascii="Times New Roman" w:hAnsi="Times New Roman"/>
          <w:lang w:val="bs-Latn-BA"/>
        </w:rPr>
        <w:t xml:space="preserve"> </w:t>
      </w:r>
      <w:r>
        <w:rPr>
          <w:rFonts w:ascii="Times New Roman" w:hAnsi="Times New Roman"/>
          <w:lang w:val="bs-Latn-BA"/>
        </w:rPr>
        <w:t>ће</w:t>
      </w:r>
      <w:r w:rsidR="00304BE4" w:rsidRPr="00295637">
        <w:rPr>
          <w:rFonts w:ascii="Times New Roman" w:hAnsi="Times New Roman"/>
          <w:lang w:val="bs-Latn-BA"/>
        </w:rPr>
        <w:t xml:space="preserve"> </w:t>
      </w:r>
      <w:r>
        <w:rPr>
          <w:rFonts w:ascii="Times New Roman" w:hAnsi="Times New Roman"/>
          <w:lang w:val="bs-Latn-BA"/>
        </w:rPr>
        <w:t>се</w:t>
      </w:r>
      <w:r w:rsidR="00304BE4" w:rsidRPr="00295637">
        <w:rPr>
          <w:rFonts w:ascii="Times New Roman" w:hAnsi="Times New Roman"/>
          <w:lang w:val="bs-Latn-BA"/>
        </w:rPr>
        <w:t xml:space="preserve"> </w:t>
      </w:r>
      <w:r>
        <w:rPr>
          <w:rFonts w:ascii="Times New Roman" w:hAnsi="Times New Roman"/>
          <w:lang w:val="bs-Latn-BA"/>
        </w:rPr>
        <w:t>у</w:t>
      </w:r>
      <w:r w:rsidR="00304BE4" w:rsidRPr="00295637">
        <w:rPr>
          <w:rFonts w:ascii="Times New Roman" w:hAnsi="Times New Roman"/>
          <w:lang w:val="bs-Latn-BA"/>
        </w:rPr>
        <w:t xml:space="preserve"> </w:t>
      </w:r>
      <w:r>
        <w:rPr>
          <w:rFonts w:ascii="Times New Roman" w:hAnsi="Times New Roman"/>
          <w:lang w:val="bs-Latn-BA"/>
        </w:rPr>
        <w:t>процедуру</w:t>
      </w:r>
      <w:r w:rsidR="00304BE4" w:rsidRPr="00295637">
        <w:rPr>
          <w:rFonts w:ascii="Times New Roman" w:hAnsi="Times New Roman"/>
          <w:lang w:val="bs-Latn-BA"/>
        </w:rPr>
        <w:t xml:space="preserve"> </w:t>
      </w:r>
      <w:r>
        <w:rPr>
          <w:rFonts w:ascii="Times New Roman" w:hAnsi="Times New Roman"/>
          <w:lang w:val="bs-Latn-BA"/>
        </w:rPr>
        <w:t>израде</w:t>
      </w:r>
      <w:r w:rsidR="00304BE4" w:rsidRPr="00295637">
        <w:rPr>
          <w:rFonts w:ascii="Times New Roman" w:hAnsi="Times New Roman"/>
          <w:lang w:val="bs-Latn-BA"/>
        </w:rPr>
        <w:t xml:space="preserve"> </w:t>
      </w:r>
      <w:r>
        <w:rPr>
          <w:rFonts w:ascii="Times New Roman" w:hAnsi="Times New Roman"/>
          <w:lang w:val="bs-Latn-BA"/>
        </w:rPr>
        <w:t>новог</w:t>
      </w:r>
      <w:r w:rsidR="00304BE4" w:rsidRPr="00295637">
        <w:rPr>
          <w:rFonts w:ascii="Times New Roman" w:hAnsi="Times New Roman"/>
          <w:lang w:val="bs-Latn-BA"/>
        </w:rPr>
        <w:t xml:space="preserve"> </w:t>
      </w:r>
      <w:r>
        <w:rPr>
          <w:rFonts w:ascii="Times New Roman" w:hAnsi="Times New Roman"/>
          <w:lang w:val="bs-Latn-BA"/>
        </w:rPr>
        <w:t>Закона</w:t>
      </w:r>
      <w:r w:rsidR="00304BE4" w:rsidRPr="00295637">
        <w:rPr>
          <w:rFonts w:ascii="Times New Roman" w:hAnsi="Times New Roman"/>
          <w:lang w:val="bs-Latn-BA"/>
        </w:rPr>
        <w:t xml:space="preserve"> </w:t>
      </w:r>
      <w:r>
        <w:rPr>
          <w:rFonts w:ascii="Times New Roman" w:hAnsi="Times New Roman"/>
          <w:lang w:val="bs-Latn-BA"/>
        </w:rPr>
        <w:t>о</w:t>
      </w:r>
      <w:r w:rsidR="00304BE4" w:rsidRPr="00295637">
        <w:rPr>
          <w:rFonts w:ascii="Times New Roman" w:hAnsi="Times New Roman"/>
          <w:lang w:val="bs-Latn-BA"/>
        </w:rPr>
        <w:t xml:space="preserve"> </w:t>
      </w:r>
      <w:r>
        <w:rPr>
          <w:rFonts w:ascii="Times New Roman" w:hAnsi="Times New Roman"/>
          <w:lang w:val="bs-Latn-BA"/>
        </w:rPr>
        <w:t>заштити</w:t>
      </w:r>
      <w:r w:rsidR="00304BE4" w:rsidRPr="00295637">
        <w:rPr>
          <w:rFonts w:ascii="Times New Roman" w:hAnsi="Times New Roman"/>
          <w:lang w:val="bs-Latn-BA"/>
        </w:rPr>
        <w:t xml:space="preserve"> </w:t>
      </w:r>
      <w:r>
        <w:rPr>
          <w:rFonts w:ascii="Times New Roman" w:hAnsi="Times New Roman"/>
          <w:lang w:val="bs-Latn-BA"/>
        </w:rPr>
        <w:t>од</w:t>
      </w:r>
      <w:r w:rsidR="00304BE4" w:rsidRPr="00295637">
        <w:rPr>
          <w:rFonts w:ascii="Times New Roman" w:hAnsi="Times New Roman"/>
          <w:lang w:val="bs-Latn-BA"/>
        </w:rPr>
        <w:t xml:space="preserve"> </w:t>
      </w:r>
      <w:r>
        <w:rPr>
          <w:rFonts w:ascii="Times New Roman" w:hAnsi="Times New Roman"/>
          <w:lang w:val="bs-Latn-BA"/>
        </w:rPr>
        <w:t>насиља</w:t>
      </w:r>
      <w:r w:rsidR="00304BE4" w:rsidRPr="00295637">
        <w:rPr>
          <w:rFonts w:ascii="Times New Roman" w:hAnsi="Times New Roman"/>
          <w:lang w:val="bs-Latn-BA"/>
        </w:rPr>
        <w:t xml:space="preserve"> </w:t>
      </w:r>
      <w:r>
        <w:rPr>
          <w:rFonts w:ascii="Times New Roman" w:hAnsi="Times New Roman"/>
          <w:lang w:val="bs-Latn-BA"/>
        </w:rPr>
        <w:t>у</w:t>
      </w:r>
      <w:r w:rsidR="00304BE4" w:rsidRPr="00295637">
        <w:rPr>
          <w:rFonts w:ascii="Times New Roman" w:hAnsi="Times New Roman"/>
          <w:lang w:val="bs-Latn-BA"/>
        </w:rPr>
        <w:t xml:space="preserve"> </w:t>
      </w:r>
      <w:r>
        <w:rPr>
          <w:rFonts w:ascii="Times New Roman" w:hAnsi="Times New Roman"/>
          <w:lang w:val="bs-Latn-BA"/>
        </w:rPr>
        <w:t>породици</w:t>
      </w:r>
      <w:r w:rsidR="00304BE4" w:rsidRPr="00295637">
        <w:rPr>
          <w:rFonts w:ascii="Times New Roman" w:hAnsi="Times New Roman"/>
          <w:lang w:val="bs-Latn-BA"/>
        </w:rPr>
        <w:t xml:space="preserve"> </w:t>
      </w:r>
      <w:r>
        <w:rPr>
          <w:rFonts w:ascii="Times New Roman" w:hAnsi="Times New Roman"/>
          <w:lang w:val="bs-Latn-BA"/>
        </w:rPr>
        <w:t>и</w:t>
      </w:r>
      <w:r w:rsidR="00304BE4" w:rsidRPr="00295637">
        <w:rPr>
          <w:rFonts w:ascii="Times New Roman" w:hAnsi="Times New Roman"/>
          <w:lang w:val="bs-Latn-BA"/>
        </w:rPr>
        <w:t xml:space="preserve"> </w:t>
      </w:r>
      <w:r>
        <w:rPr>
          <w:rFonts w:ascii="Times New Roman" w:hAnsi="Times New Roman"/>
          <w:lang w:val="bs-Latn-BA"/>
        </w:rPr>
        <w:t>насиља</w:t>
      </w:r>
      <w:r w:rsidR="00304BE4" w:rsidRPr="00295637">
        <w:rPr>
          <w:rFonts w:ascii="Times New Roman" w:hAnsi="Times New Roman"/>
          <w:lang w:val="bs-Latn-BA"/>
        </w:rPr>
        <w:t xml:space="preserve"> </w:t>
      </w:r>
      <w:r>
        <w:rPr>
          <w:rFonts w:ascii="Times New Roman" w:hAnsi="Times New Roman"/>
          <w:lang w:val="bs-Latn-BA"/>
        </w:rPr>
        <w:t>према</w:t>
      </w:r>
      <w:r w:rsidR="00304BE4" w:rsidRPr="00295637">
        <w:rPr>
          <w:rFonts w:ascii="Times New Roman" w:hAnsi="Times New Roman"/>
          <w:lang w:val="bs-Latn-BA"/>
        </w:rPr>
        <w:t xml:space="preserve"> </w:t>
      </w:r>
      <w:r>
        <w:rPr>
          <w:rFonts w:ascii="Times New Roman" w:hAnsi="Times New Roman"/>
          <w:lang w:val="bs-Latn-BA"/>
        </w:rPr>
        <w:t>женама</w:t>
      </w:r>
      <w:r w:rsidR="00304BE4" w:rsidRPr="00295637">
        <w:rPr>
          <w:rFonts w:ascii="Times New Roman" w:hAnsi="Times New Roman"/>
          <w:lang w:val="bs-Latn-BA"/>
        </w:rPr>
        <w:t xml:space="preserve"> </w:t>
      </w:r>
      <w:r>
        <w:rPr>
          <w:rFonts w:ascii="Times New Roman" w:hAnsi="Times New Roman"/>
          <w:lang w:val="bs-Latn-BA"/>
        </w:rPr>
        <w:t>БД</w:t>
      </w:r>
      <w:r w:rsidR="00A744DD" w:rsidRPr="00295637">
        <w:rPr>
          <w:rFonts w:ascii="Times New Roman" w:hAnsi="Times New Roman"/>
          <w:lang w:val="bs-Latn-BA"/>
        </w:rPr>
        <w:t xml:space="preserve"> </w:t>
      </w:r>
      <w:r>
        <w:rPr>
          <w:rFonts w:ascii="Times New Roman" w:hAnsi="Times New Roman"/>
          <w:lang w:val="bs-Latn-BA"/>
        </w:rPr>
        <w:t>БиХ</w:t>
      </w:r>
      <w:r w:rsidR="00304BE4" w:rsidRPr="00295637">
        <w:rPr>
          <w:rFonts w:ascii="Times New Roman" w:hAnsi="Times New Roman"/>
          <w:lang w:val="bs-Latn-BA"/>
        </w:rPr>
        <w:t>.</w:t>
      </w:r>
    </w:p>
    <w:p w:rsidR="001E4168" w:rsidRDefault="001E4168" w:rsidP="0086268D">
      <w:pPr>
        <w:jc w:val="both"/>
        <w:rPr>
          <w:rFonts w:ascii="Times New Roman" w:hAnsi="Times New Roman"/>
          <w:lang w:val="bs-Latn-BA"/>
        </w:rPr>
      </w:pPr>
    </w:p>
    <w:p w:rsidR="001E4168" w:rsidRPr="00295637" w:rsidRDefault="00C6214E" w:rsidP="001E4168">
      <w:pPr>
        <w:jc w:val="both"/>
        <w:rPr>
          <w:rStyle w:val="y2iqfc"/>
          <w:rFonts w:ascii="Times New Roman" w:hAnsi="Times New Roman"/>
          <w:lang w:val="bs-Latn-BA"/>
        </w:rPr>
      </w:pPr>
      <w:r>
        <w:rPr>
          <w:rFonts w:ascii="Times New Roman" w:hAnsi="Times New Roman"/>
          <w:lang w:val="bs-Latn-BA"/>
        </w:rPr>
        <w:t>Градоначелник</w:t>
      </w:r>
      <w:r w:rsidR="00630355">
        <w:rPr>
          <w:rFonts w:ascii="Times New Roman" w:hAnsi="Times New Roman"/>
          <w:lang w:val="bs-Latn-BA"/>
        </w:rPr>
        <w:t xml:space="preserve"> </w:t>
      </w:r>
      <w:r>
        <w:rPr>
          <w:rFonts w:ascii="Times New Roman" w:hAnsi="Times New Roman"/>
          <w:lang w:val="bs-Latn-BA"/>
        </w:rPr>
        <w:t>БД</w:t>
      </w:r>
      <w:r w:rsidR="00630355">
        <w:rPr>
          <w:rFonts w:ascii="Times New Roman" w:hAnsi="Times New Roman"/>
          <w:lang w:val="bs-Latn-BA"/>
        </w:rPr>
        <w:t xml:space="preserve"> </w:t>
      </w:r>
      <w:r>
        <w:rPr>
          <w:rFonts w:ascii="Times New Roman" w:hAnsi="Times New Roman"/>
          <w:lang w:val="bs-Latn-BA"/>
        </w:rPr>
        <w:t>БиХ</w:t>
      </w:r>
      <w:r w:rsidR="006A556F">
        <w:rPr>
          <w:rFonts w:ascii="Times New Roman" w:hAnsi="Times New Roman"/>
          <w:lang w:val="bs-Latn-BA"/>
        </w:rPr>
        <w:t xml:space="preserve"> </w:t>
      </w:r>
      <w:r>
        <w:rPr>
          <w:rFonts w:ascii="Times New Roman" w:hAnsi="Times New Roman"/>
          <w:lang w:val="bs-Latn-BA"/>
        </w:rPr>
        <w:t>је</w:t>
      </w:r>
      <w:r w:rsidR="001E4168">
        <w:rPr>
          <w:rFonts w:ascii="Times New Roman" w:hAnsi="Times New Roman"/>
          <w:lang w:val="bs-Latn-BA"/>
        </w:rPr>
        <w:t xml:space="preserve"> </w:t>
      </w:r>
      <w:r>
        <w:rPr>
          <w:rFonts w:ascii="Times New Roman" w:hAnsi="Times New Roman"/>
          <w:lang w:val="bs-Latn-BA"/>
        </w:rPr>
        <w:t>Одлуком</w:t>
      </w:r>
      <w:r w:rsidR="001E4168">
        <w:rPr>
          <w:rFonts w:ascii="Times New Roman" w:hAnsi="Times New Roman"/>
          <w:lang w:val="bs-Latn-BA"/>
        </w:rPr>
        <w:t xml:space="preserve"> </w:t>
      </w:r>
      <w:r>
        <w:rPr>
          <w:rFonts w:ascii="Times New Roman" w:hAnsi="Times New Roman"/>
          <w:lang w:val="bs-Latn-BA"/>
        </w:rPr>
        <w:t>именовао</w:t>
      </w:r>
      <w:r w:rsidR="001E4168">
        <w:rPr>
          <w:rFonts w:ascii="Times New Roman" w:hAnsi="Times New Roman"/>
          <w:lang w:val="bs-Latn-BA"/>
        </w:rPr>
        <w:t xml:space="preserve"> </w:t>
      </w:r>
      <w:r>
        <w:rPr>
          <w:rFonts w:ascii="Times New Roman" w:hAnsi="Times New Roman"/>
          <w:lang w:val="bs-Latn-BA"/>
        </w:rPr>
        <w:t>интерресорну</w:t>
      </w:r>
      <w:r w:rsidR="001E4168">
        <w:rPr>
          <w:rFonts w:ascii="Times New Roman" w:hAnsi="Times New Roman"/>
          <w:lang w:val="bs-Latn-BA"/>
        </w:rPr>
        <w:t xml:space="preserve"> </w:t>
      </w:r>
      <w:r>
        <w:rPr>
          <w:rFonts w:ascii="Times New Roman" w:hAnsi="Times New Roman"/>
          <w:lang w:val="bs-Latn-BA"/>
        </w:rPr>
        <w:t>радну</w:t>
      </w:r>
      <w:r w:rsidR="001E4168">
        <w:rPr>
          <w:rFonts w:ascii="Times New Roman" w:hAnsi="Times New Roman"/>
          <w:lang w:val="bs-Latn-BA"/>
        </w:rPr>
        <w:t xml:space="preserve"> </w:t>
      </w:r>
      <w:r>
        <w:rPr>
          <w:rFonts w:ascii="Times New Roman" w:hAnsi="Times New Roman"/>
          <w:lang w:val="bs-Latn-BA"/>
        </w:rPr>
        <w:t>групу</w:t>
      </w:r>
      <w:r w:rsidR="001E4168">
        <w:rPr>
          <w:rFonts w:ascii="Times New Roman" w:hAnsi="Times New Roman"/>
          <w:lang w:val="bs-Latn-BA"/>
        </w:rPr>
        <w:t xml:space="preserve"> </w:t>
      </w:r>
      <w:r>
        <w:rPr>
          <w:rFonts w:ascii="Times New Roman" w:hAnsi="Times New Roman"/>
          <w:lang w:val="bs-Latn-BA"/>
        </w:rPr>
        <w:t>за</w:t>
      </w:r>
      <w:r w:rsidR="001E4168">
        <w:rPr>
          <w:rFonts w:ascii="Times New Roman" w:hAnsi="Times New Roman"/>
          <w:lang w:val="bs-Latn-BA"/>
        </w:rPr>
        <w:t xml:space="preserve"> </w:t>
      </w:r>
      <w:r>
        <w:rPr>
          <w:rFonts w:ascii="Times New Roman" w:hAnsi="Times New Roman"/>
          <w:lang w:val="bs-Latn-BA"/>
        </w:rPr>
        <w:t>израду</w:t>
      </w:r>
      <w:r w:rsidR="001E4168">
        <w:rPr>
          <w:rFonts w:ascii="Times New Roman" w:hAnsi="Times New Roman"/>
          <w:lang w:val="bs-Latn-BA"/>
        </w:rPr>
        <w:t xml:space="preserve"> </w:t>
      </w:r>
      <w:r>
        <w:rPr>
          <w:rFonts w:ascii="Times New Roman" w:hAnsi="Times New Roman"/>
          <w:lang w:val="bs-Latn-BA"/>
        </w:rPr>
        <w:t>нацрта</w:t>
      </w:r>
      <w:r w:rsidR="001E4168">
        <w:rPr>
          <w:rFonts w:ascii="Times New Roman" w:hAnsi="Times New Roman"/>
          <w:lang w:val="bs-Latn-BA"/>
        </w:rPr>
        <w:t xml:space="preserve"> </w:t>
      </w:r>
      <w:r>
        <w:rPr>
          <w:rFonts w:ascii="Times New Roman" w:hAnsi="Times New Roman"/>
          <w:lang w:val="bs-Latn-BA"/>
        </w:rPr>
        <w:t>Акционог</w:t>
      </w:r>
      <w:r w:rsidR="001E4168">
        <w:rPr>
          <w:rFonts w:ascii="Times New Roman" w:hAnsi="Times New Roman"/>
          <w:lang w:val="bs-Latn-BA"/>
        </w:rPr>
        <w:t xml:space="preserve"> </w:t>
      </w:r>
      <w:r>
        <w:rPr>
          <w:rFonts w:ascii="Times New Roman" w:hAnsi="Times New Roman"/>
          <w:lang w:val="bs-Latn-BA"/>
        </w:rPr>
        <w:t>плана</w:t>
      </w:r>
      <w:r w:rsidR="001E4168">
        <w:rPr>
          <w:rFonts w:ascii="Times New Roman" w:hAnsi="Times New Roman"/>
          <w:lang w:val="bs-Latn-BA"/>
        </w:rPr>
        <w:t xml:space="preserve"> </w:t>
      </w:r>
      <w:r>
        <w:rPr>
          <w:rFonts w:ascii="Times New Roman" w:hAnsi="Times New Roman"/>
          <w:lang w:val="bs-Latn-BA"/>
        </w:rPr>
        <w:t>за</w:t>
      </w:r>
      <w:r w:rsidR="006A556F">
        <w:rPr>
          <w:rFonts w:ascii="Times New Roman" w:hAnsi="Times New Roman"/>
          <w:lang w:val="bs-Latn-BA"/>
        </w:rPr>
        <w:t xml:space="preserve"> </w:t>
      </w:r>
      <w:r w:rsidR="00F742CE">
        <w:rPr>
          <w:rFonts w:ascii="Times New Roman" w:hAnsi="Times New Roman"/>
          <w:lang w:val="sr-Cyrl-BA"/>
        </w:rPr>
        <w:t>спровођење</w:t>
      </w:r>
      <w:r w:rsidR="006A556F">
        <w:rPr>
          <w:rFonts w:ascii="Times New Roman" w:hAnsi="Times New Roman"/>
          <w:lang w:val="bs-Latn-BA"/>
        </w:rPr>
        <w:t xml:space="preserve"> </w:t>
      </w:r>
      <w:r>
        <w:rPr>
          <w:rFonts w:ascii="Times New Roman" w:hAnsi="Times New Roman"/>
          <w:lang w:val="bs-Latn-BA"/>
        </w:rPr>
        <w:t>мјера</w:t>
      </w:r>
      <w:r w:rsidR="006A556F">
        <w:rPr>
          <w:rFonts w:ascii="Times New Roman" w:hAnsi="Times New Roman"/>
          <w:lang w:val="bs-Latn-BA"/>
        </w:rPr>
        <w:t xml:space="preserve"> </w:t>
      </w:r>
      <w:r>
        <w:rPr>
          <w:rFonts w:ascii="Times New Roman" w:hAnsi="Times New Roman"/>
          <w:lang w:val="bs-Latn-BA"/>
        </w:rPr>
        <w:t>ГРЕВИО</w:t>
      </w:r>
      <w:r w:rsidR="001E4168">
        <w:rPr>
          <w:rFonts w:ascii="Times New Roman" w:hAnsi="Times New Roman"/>
          <w:lang w:val="bs-Latn-BA"/>
        </w:rPr>
        <w:t xml:space="preserve"> </w:t>
      </w:r>
      <w:r>
        <w:rPr>
          <w:rFonts w:ascii="Times New Roman" w:hAnsi="Times New Roman"/>
          <w:lang w:val="bs-Latn-BA"/>
        </w:rPr>
        <w:t>у</w:t>
      </w:r>
      <w:r w:rsidR="001E4168">
        <w:rPr>
          <w:rFonts w:ascii="Times New Roman" w:hAnsi="Times New Roman"/>
          <w:lang w:val="bs-Latn-BA"/>
        </w:rPr>
        <w:t xml:space="preserve"> </w:t>
      </w:r>
      <w:r>
        <w:rPr>
          <w:rFonts w:ascii="Times New Roman" w:hAnsi="Times New Roman"/>
          <w:lang w:val="bs-Latn-BA"/>
        </w:rPr>
        <w:t>Дистрикту</w:t>
      </w:r>
      <w:r w:rsidR="001E4168">
        <w:rPr>
          <w:rFonts w:ascii="Times New Roman" w:hAnsi="Times New Roman"/>
          <w:lang w:val="bs-Latn-BA"/>
        </w:rPr>
        <w:t xml:space="preserve">. </w:t>
      </w:r>
      <w:r>
        <w:rPr>
          <w:rFonts w:ascii="Times New Roman" w:hAnsi="Times New Roman"/>
          <w:lang w:val="bs-Latn-BA"/>
        </w:rPr>
        <w:t>Именовани</w:t>
      </w:r>
      <w:r w:rsidR="001E4168">
        <w:rPr>
          <w:rFonts w:ascii="Times New Roman" w:hAnsi="Times New Roman"/>
          <w:lang w:val="bs-Latn-BA"/>
        </w:rPr>
        <w:t xml:space="preserve"> </w:t>
      </w:r>
      <w:r>
        <w:rPr>
          <w:rFonts w:ascii="Times New Roman" w:hAnsi="Times New Roman"/>
          <w:lang w:val="bs-Latn-BA"/>
        </w:rPr>
        <w:t>чланови</w:t>
      </w:r>
      <w:r w:rsidR="001E4168">
        <w:rPr>
          <w:rFonts w:ascii="Times New Roman" w:hAnsi="Times New Roman"/>
          <w:lang w:val="bs-Latn-BA"/>
        </w:rPr>
        <w:t xml:space="preserve"> </w:t>
      </w:r>
      <w:r>
        <w:rPr>
          <w:rFonts w:ascii="Times New Roman" w:hAnsi="Times New Roman"/>
          <w:lang w:val="bs-Latn-BA"/>
        </w:rPr>
        <w:t>интерресорне</w:t>
      </w:r>
      <w:r w:rsidR="001E4168">
        <w:rPr>
          <w:rFonts w:ascii="Times New Roman" w:hAnsi="Times New Roman"/>
          <w:lang w:val="bs-Latn-BA"/>
        </w:rPr>
        <w:t xml:space="preserve"> </w:t>
      </w:r>
      <w:r>
        <w:rPr>
          <w:rFonts w:ascii="Times New Roman" w:hAnsi="Times New Roman"/>
          <w:lang w:val="bs-Latn-BA"/>
        </w:rPr>
        <w:t>радне</w:t>
      </w:r>
      <w:r w:rsidR="001E4168">
        <w:rPr>
          <w:rFonts w:ascii="Times New Roman" w:hAnsi="Times New Roman"/>
          <w:lang w:val="bs-Latn-BA"/>
        </w:rPr>
        <w:t xml:space="preserve"> </w:t>
      </w:r>
      <w:r>
        <w:rPr>
          <w:rFonts w:ascii="Times New Roman" w:hAnsi="Times New Roman"/>
          <w:lang w:val="bs-Latn-BA"/>
        </w:rPr>
        <w:t>групе</w:t>
      </w:r>
      <w:r w:rsidR="001E4168">
        <w:rPr>
          <w:rFonts w:ascii="Times New Roman" w:hAnsi="Times New Roman"/>
          <w:lang w:val="bs-Latn-BA"/>
        </w:rPr>
        <w:t xml:space="preserve"> </w:t>
      </w:r>
      <w:r>
        <w:rPr>
          <w:rFonts w:ascii="Times New Roman" w:hAnsi="Times New Roman"/>
          <w:lang w:val="bs-Latn-BA"/>
        </w:rPr>
        <w:t>су</w:t>
      </w:r>
      <w:r w:rsidR="001E4168">
        <w:rPr>
          <w:rFonts w:ascii="Times New Roman" w:hAnsi="Times New Roman"/>
          <w:lang w:val="bs-Latn-BA"/>
        </w:rPr>
        <w:t xml:space="preserve"> </w:t>
      </w:r>
      <w:r>
        <w:rPr>
          <w:rFonts w:ascii="Times New Roman" w:hAnsi="Times New Roman"/>
          <w:lang w:val="bs-Latn-BA"/>
        </w:rPr>
        <w:t>унутар</w:t>
      </w:r>
      <w:r w:rsidR="001E4168">
        <w:rPr>
          <w:rFonts w:ascii="Times New Roman" w:hAnsi="Times New Roman"/>
          <w:lang w:val="bs-Latn-BA"/>
        </w:rPr>
        <w:t xml:space="preserve"> </w:t>
      </w:r>
      <w:r>
        <w:rPr>
          <w:rFonts w:ascii="Times New Roman" w:hAnsi="Times New Roman"/>
          <w:lang w:val="bs-Latn-BA"/>
        </w:rPr>
        <w:t>органа</w:t>
      </w:r>
      <w:r w:rsidR="001E4168">
        <w:rPr>
          <w:rFonts w:ascii="Times New Roman" w:hAnsi="Times New Roman"/>
          <w:lang w:val="bs-Latn-BA"/>
        </w:rPr>
        <w:t xml:space="preserve"> </w:t>
      </w:r>
      <w:r>
        <w:rPr>
          <w:rFonts w:ascii="Times New Roman" w:hAnsi="Times New Roman"/>
          <w:lang w:val="bs-Latn-BA"/>
        </w:rPr>
        <w:t>јавне</w:t>
      </w:r>
      <w:r w:rsidR="001E4168">
        <w:rPr>
          <w:rFonts w:ascii="Times New Roman" w:hAnsi="Times New Roman"/>
          <w:lang w:val="bs-Latn-BA"/>
        </w:rPr>
        <w:t xml:space="preserve"> </w:t>
      </w:r>
      <w:r>
        <w:rPr>
          <w:rFonts w:ascii="Times New Roman" w:hAnsi="Times New Roman"/>
          <w:lang w:val="bs-Latn-BA"/>
        </w:rPr>
        <w:t>управе</w:t>
      </w:r>
      <w:r w:rsidR="001E4168">
        <w:rPr>
          <w:rFonts w:ascii="Times New Roman" w:hAnsi="Times New Roman"/>
          <w:lang w:val="bs-Latn-BA"/>
        </w:rPr>
        <w:t xml:space="preserve"> </w:t>
      </w:r>
      <w:r>
        <w:rPr>
          <w:rFonts w:ascii="Times New Roman" w:hAnsi="Times New Roman"/>
          <w:lang w:val="bs-Latn-BA"/>
        </w:rPr>
        <w:t>и</w:t>
      </w:r>
      <w:r w:rsidR="001E4168">
        <w:rPr>
          <w:rFonts w:ascii="Times New Roman" w:hAnsi="Times New Roman"/>
          <w:lang w:val="bs-Latn-BA"/>
        </w:rPr>
        <w:t xml:space="preserve"> </w:t>
      </w:r>
      <w:r>
        <w:rPr>
          <w:rFonts w:ascii="Times New Roman" w:hAnsi="Times New Roman"/>
          <w:lang w:val="bs-Latn-BA"/>
        </w:rPr>
        <w:t>институција</w:t>
      </w:r>
      <w:r w:rsidR="001E4168">
        <w:rPr>
          <w:rFonts w:ascii="Times New Roman" w:hAnsi="Times New Roman"/>
          <w:lang w:val="bs-Latn-BA"/>
        </w:rPr>
        <w:t xml:space="preserve"> </w:t>
      </w:r>
      <w:r>
        <w:rPr>
          <w:rFonts w:ascii="Times New Roman" w:hAnsi="Times New Roman"/>
          <w:lang w:val="bs-Latn-BA"/>
        </w:rPr>
        <w:t>БД</w:t>
      </w:r>
      <w:r w:rsidR="00630355">
        <w:rPr>
          <w:rFonts w:ascii="Times New Roman" w:hAnsi="Times New Roman"/>
          <w:lang w:val="bs-Latn-BA"/>
        </w:rPr>
        <w:t xml:space="preserve"> </w:t>
      </w:r>
      <w:r>
        <w:rPr>
          <w:rFonts w:ascii="Times New Roman" w:hAnsi="Times New Roman"/>
          <w:lang w:val="bs-Latn-BA"/>
        </w:rPr>
        <w:t>БиХ</w:t>
      </w:r>
      <w:r w:rsidR="001E4168">
        <w:rPr>
          <w:rFonts w:ascii="Times New Roman" w:hAnsi="Times New Roman"/>
          <w:lang w:val="bs-Latn-BA"/>
        </w:rPr>
        <w:t xml:space="preserve"> </w:t>
      </w:r>
      <w:r>
        <w:rPr>
          <w:rFonts w:ascii="Times New Roman" w:hAnsi="Times New Roman"/>
          <w:lang w:val="bs-Latn-BA"/>
        </w:rPr>
        <w:t>прикупили</w:t>
      </w:r>
      <w:r w:rsidR="001E4168">
        <w:rPr>
          <w:rFonts w:ascii="Times New Roman" w:hAnsi="Times New Roman"/>
          <w:lang w:val="bs-Latn-BA"/>
        </w:rPr>
        <w:t xml:space="preserve"> </w:t>
      </w:r>
      <w:r>
        <w:rPr>
          <w:rFonts w:ascii="Times New Roman" w:hAnsi="Times New Roman"/>
          <w:lang w:val="bs-Latn-BA"/>
        </w:rPr>
        <w:t>све</w:t>
      </w:r>
      <w:r w:rsidR="001E4168">
        <w:rPr>
          <w:rFonts w:ascii="Times New Roman" w:hAnsi="Times New Roman"/>
          <w:lang w:val="bs-Latn-BA"/>
        </w:rPr>
        <w:t xml:space="preserve"> </w:t>
      </w:r>
      <w:r>
        <w:rPr>
          <w:rFonts w:ascii="Times New Roman" w:hAnsi="Times New Roman"/>
          <w:lang w:val="bs-Latn-BA"/>
        </w:rPr>
        <w:t>релевантне</w:t>
      </w:r>
      <w:r w:rsidR="001E4168">
        <w:rPr>
          <w:rFonts w:ascii="Times New Roman" w:hAnsi="Times New Roman"/>
          <w:lang w:val="bs-Latn-BA"/>
        </w:rPr>
        <w:t xml:space="preserve"> </w:t>
      </w:r>
      <w:r>
        <w:rPr>
          <w:rFonts w:ascii="Times New Roman" w:hAnsi="Times New Roman"/>
          <w:lang w:val="bs-Latn-BA"/>
        </w:rPr>
        <w:t>информације</w:t>
      </w:r>
      <w:r w:rsidR="001E4168">
        <w:rPr>
          <w:rFonts w:ascii="Times New Roman" w:hAnsi="Times New Roman"/>
          <w:lang w:val="bs-Latn-BA"/>
        </w:rPr>
        <w:t xml:space="preserve"> </w:t>
      </w:r>
      <w:r>
        <w:rPr>
          <w:rFonts w:ascii="Times New Roman" w:hAnsi="Times New Roman"/>
          <w:lang w:val="bs-Latn-BA"/>
        </w:rPr>
        <w:t>о</w:t>
      </w:r>
      <w:r w:rsidR="001E4168">
        <w:rPr>
          <w:rFonts w:ascii="Times New Roman" w:hAnsi="Times New Roman"/>
          <w:lang w:val="bs-Latn-BA"/>
        </w:rPr>
        <w:t xml:space="preserve"> </w:t>
      </w:r>
      <w:r>
        <w:rPr>
          <w:rFonts w:ascii="Times New Roman" w:hAnsi="Times New Roman"/>
          <w:lang w:val="bs-Latn-BA"/>
        </w:rPr>
        <w:t>законодавном</w:t>
      </w:r>
      <w:r w:rsidR="001E4168">
        <w:rPr>
          <w:rFonts w:ascii="Times New Roman" w:hAnsi="Times New Roman"/>
          <w:lang w:val="bs-Latn-BA"/>
        </w:rPr>
        <w:t xml:space="preserve"> </w:t>
      </w:r>
      <w:r>
        <w:rPr>
          <w:rFonts w:ascii="Times New Roman" w:hAnsi="Times New Roman"/>
          <w:lang w:val="bs-Latn-BA"/>
        </w:rPr>
        <w:t>оквиру</w:t>
      </w:r>
      <w:r w:rsidR="001E4168">
        <w:rPr>
          <w:rFonts w:ascii="Times New Roman" w:hAnsi="Times New Roman"/>
          <w:lang w:val="bs-Latn-BA"/>
        </w:rPr>
        <w:t xml:space="preserve">, </w:t>
      </w:r>
      <w:r>
        <w:rPr>
          <w:rFonts w:ascii="Times New Roman" w:hAnsi="Times New Roman"/>
          <w:lang w:val="bs-Latn-BA"/>
        </w:rPr>
        <w:t>мјерама</w:t>
      </w:r>
      <w:r w:rsidR="001E4168">
        <w:rPr>
          <w:rFonts w:ascii="Times New Roman" w:hAnsi="Times New Roman"/>
          <w:lang w:val="bs-Latn-BA"/>
        </w:rPr>
        <w:t xml:space="preserve"> </w:t>
      </w:r>
      <w:r>
        <w:rPr>
          <w:rFonts w:ascii="Times New Roman" w:hAnsi="Times New Roman"/>
          <w:lang w:val="bs-Latn-BA"/>
        </w:rPr>
        <w:t>и</w:t>
      </w:r>
      <w:r w:rsidR="001E4168">
        <w:rPr>
          <w:rFonts w:ascii="Times New Roman" w:hAnsi="Times New Roman"/>
          <w:lang w:val="bs-Latn-BA"/>
        </w:rPr>
        <w:t xml:space="preserve"> </w:t>
      </w:r>
      <w:r>
        <w:rPr>
          <w:rFonts w:ascii="Times New Roman" w:hAnsi="Times New Roman"/>
          <w:lang w:val="bs-Latn-BA"/>
        </w:rPr>
        <w:t>подацима</w:t>
      </w:r>
      <w:r w:rsidR="001E4168">
        <w:rPr>
          <w:rFonts w:ascii="Times New Roman" w:hAnsi="Times New Roman"/>
          <w:lang w:val="bs-Latn-BA"/>
        </w:rPr>
        <w:t xml:space="preserve"> </w:t>
      </w:r>
      <w:r>
        <w:rPr>
          <w:rFonts w:ascii="Times New Roman" w:hAnsi="Times New Roman"/>
          <w:lang w:val="bs-Latn-BA"/>
        </w:rPr>
        <w:t>за</w:t>
      </w:r>
      <w:r w:rsidR="001E4168">
        <w:rPr>
          <w:rFonts w:ascii="Times New Roman" w:hAnsi="Times New Roman"/>
          <w:lang w:val="bs-Latn-BA"/>
        </w:rPr>
        <w:t xml:space="preserve"> </w:t>
      </w:r>
      <w:r>
        <w:rPr>
          <w:rFonts w:ascii="Times New Roman" w:hAnsi="Times New Roman"/>
          <w:lang w:val="bs-Latn-BA"/>
        </w:rPr>
        <w:t>сваку</w:t>
      </w:r>
      <w:r w:rsidR="001E4168">
        <w:rPr>
          <w:rFonts w:ascii="Times New Roman" w:hAnsi="Times New Roman"/>
          <w:lang w:val="bs-Latn-BA"/>
        </w:rPr>
        <w:t xml:space="preserve"> </w:t>
      </w:r>
      <w:r>
        <w:rPr>
          <w:rFonts w:ascii="Times New Roman" w:hAnsi="Times New Roman"/>
          <w:lang w:val="bs-Latn-BA"/>
        </w:rPr>
        <w:t>мјеру</w:t>
      </w:r>
      <w:r w:rsidR="001E4168">
        <w:rPr>
          <w:rFonts w:ascii="Times New Roman" w:hAnsi="Times New Roman"/>
          <w:lang w:val="bs-Latn-BA"/>
        </w:rPr>
        <w:t xml:space="preserve"> </w:t>
      </w:r>
      <w:r>
        <w:rPr>
          <w:rFonts w:ascii="Times New Roman" w:hAnsi="Times New Roman"/>
          <w:lang w:val="bs-Latn-BA"/>
        </w:rPr>
        <w:t>која</w:t>
      </w:r>
      <w:r w:rsidR="001E4168">
        <w:rPr>
          <w:rFonts w:ascii="Times New Roman" w:hAnsi="Times New Roman"/>
          <w:lang w:val="bs-Latn-BA"/>
        </w:rPr>
        <w:t xml:space="preserve"> </w:t>
      </w:r>
      <w:r>
        <w:rPr>
          <w:rFonts w:ascii="Times New Roman" w:hAnsi="Times New Roman"/>
          <w:lang w:val="bs-Latn-BA"/>
        </w:rPr>
        <w:t>се</w:t>
      </w:r>
      <w:r w:rsidR="001E4168">
        <w:rPr>
          <w:rFonts w:ascii="Times New Roman" w:hAnsi="Times New Roman"/>
          <w:lang w:val="bs-Latn-BA"/>
        </w:rPr>
        <w:t xml:space="preserve"> </w:t>
      </w:r>
      <w:r>
        <w:rPr>
          <w:rFonts w:ascii="Times New Roman" w:hAnsi="Times New Roman"/>
          <w:lang w:val="bs-Latn-BA"/>
        </w:rPr>
        <w:t>налази</w:t>
      </w:r>
      <w:r w:rsidR="001E4168">
        <w:rPr>
          <w:rFonts w:ascii="Times New Roman" w:hAnsi="Times New Roman"/>
          <w:lang w:val="bs-Latn-BA"/>
        </w:rPr>
        <w:t xml:space="preserve"> </w:t>
      </w:r>
      <w:r>
        <w:rPr>
          <w:rFonts w:ascii="Times New Roman" w:hAnsi="Times New Roman"/>
          <w:lang w:val="bs-Latn-BA"/>
        </w:rPr>
        <w:t>у</w:t>
      </w:r>
      <w:r w:rsidR="001E4168">
        <w:rPr>
          <w:rFonts w:ascii="Times New Roman" w:hAnsi="Times New Roman"/>
          <w:lang w:val="bs-Latn-BA"/>
        </w:rPr>
        <w:t xml:space="preserve"> </w:t>
      </w:r>
      <w:r>
        <w:rPr>
          <w:rFonts w:ascii="Times New Roman" w:hAnsi="Times New Roman"/>
          <w:lang w:val="bs-Latn-BA"/>
        </w:rPr>
        <w:t>ГРЕВИО</w:t>
      </w:r>
      <w:r w:rsidR="001E4168">
        <w:rPr>
          <w:rFonts w:ascii="Times New Roman" w:hAnsi="Times New Roman"/>
          <w:lang w:val="bs-Latn-BA"/>
        </w:rPr>
        <w:t xml:space="preserve"> </w:t>
      </w:r>
      <w:r>
        <w:rPr>
          <w:rFonts w:ascii="Times New Roman" w:hAnsi="Times New Roman"/>
          <w:lang w:val="bs-Latn-BA"/>
        </w:rPr>
        <w:t>извјештају</w:t>
      </w:r>
      <w:r w:rsidR="006A556F">
        <w:rPr>
          <w:rFonts w:ascii="Times New Roman" w:hAnsi="Times New Roman"/>
          <w:lang w:val="bs-Latn-BA"/>
        </w:rPr>
        <w:t>,</w:t>
      </w:r>
      <w:r w:rsidR="001E4168">
        <w:rPr>
          <w:rFonts w:ascii="Times New Roman" w:hAnsi="Times New Roman"/>
          <w:lang w:val="bs-Latn-BA"/>
        </w:rPr>
        <w:t xml:space="preserve"> </w:t>
      </w:r>
      <w:r>
        <w:rPr>
          <w:rFonts w:ascii="Times New Roman" w:hAnsi="Times New Roman"/>
          <w:lang w:val="bs-Latn-BA"/>
        </w:rPr>
        <w:t>као</w:t>
      </w:r>
      <w:r w:rsidR="001E4168">
        <w:rPr>
          <w:rFonts w:ascii="Times New Roman" w:hAnsi="Times New Roman"/>
          <w:lang w:val="bs-Latn-BA"/>
        </w:rPr>
        <w:t xml:space="preserve"> </w:t>
      </w:r>
      <w:r>
        <w:rPr>
          <w:rFonts w:ascii="Times New Roman" w:hAnsi="Times New Roman"/>
          <w:lang w:val="bs-Latn-BA"/>
        </w:rPr>
        <w:t>и</w:t>
      </w:r>
      <w:r w:rsidR="001E4168">
        <w:rPr>
          <w:rFonts w:ascii="Times New Roman" w:hAnsi="Times New Roman"/>
          <w:lang w:val="bs-Latn-BA"/>
        </w:rPr>
        <w:t xml:space="preserve"> </w:t>
      </w:r>
      <w:r>
        <w:rPr>
          <w:rFonts w:ascii="Times New Roman" w:hAnsi="Times New Roman"/>
          <w:lang w:val="bs-Latn-BA"/>
        </w:rPr>
        <w:t>активности</w:t>
      </w:r>
      <w:r w:rsidR="006A556F">
        <w:rPr>
          <w:rFonts w:ascii="Times New Roman" w:hAnsi="Times New Roman"/>
          <w:lang w:val="bs-Latn-BA"/>
        </w:rPr>
        <w:t xml:space="preserve"> </w:t>
      </w:r>
      <w:r>
        <w:rPr>
          <w:rFonts w:ascii="Times New Roman" w:hAnsi="Times New Roman"/>
          <w:lang w:val="bs-Latn-BA"/>
        </w:rPr>
        <w:t>и</w:t>
      </w:r>
      <w:r w:rsidR="006A556F">
        <w:rPr>
          <w:rFonts w:ascii="Times New Roman" w:hAnsi="Times New Roman"/>
          <w:lang w:val="bs-Latn-BA"/>
        </w:rPr>
        <w:t xml:space="preserve"> </w:t>
      </w:r>
      <w:r>
        <w:rPr>
          <w:rFonts w:ascii="Times New Roman" w:hAnsi="Times New Roman"/>
          <w:lang w:val="bs-Latn-BA"/>
        </w:rPr>
        <w:t>рокове</w:t>
      </w:r>
      <w:r w:rsidR="006A556F">
        <w:rPr>
          <w:rFonts w:ascii="Times New Roman" w:hAnsi="Times New Roman"/>
          <w:lang w:val="bs-Latn-BA"/>
        </w:rPr>
        <w:t xml:space="preserve"> </w:t>
      </w:r>
      <w:r w:rsidR="00F742CE">
        <w:rPr>
          <w:rFonts w:ascii="Times New Roman" w:hAnsi="Times New Roman"/>
          <w:lang w:val="sr-Cyrl-BA"/>
        </w:rPr>
        <w:t>спровођења</w:t>
      </w:r>
      <w:r w:rsidR="006A556F">
        <w:rPr>
          <w:rFonts w:ascii="Times New Roman" w:hAnsi="Times New Roman"/>
          <w:lang w:val="bs-Latn-BA"/>
        </w:rPr>
        <w:t xml:space="preserve"> </w:t>
      </w:r>
      <w:r>
        <w:rPr>
          <w:rFonts w:ascii="Times New Roman" w:hAnsi="Times New Roman"/>
          <w:lang w:val="bs-Latn-BA"/>
        </w:rPr>
        <w:t>истих</w:t>
      </w:r>
      <w:r w:rsidR="001E4168">
        <w:rPr>
          <w:rFonts w:ascii="Times New Roman" w:hAnsi="Times New Roman"/>
          <w:lang w:val="bs-Latn-BA"/>
        </w:rPr>
        <w:t xml:space="preserve">, </w:t>
      </w:r>
      <w:r>
        <w:rPr>
          <w:rFonts w:ascii="Times New Roman" w:hAnsi="Times New Roman"/>
          <w:lang w:val="bs-Latn-BA"/>
        </w:rPr>
        <w:t>те</w:t>
      </w:r>
      <w:r w:rsidR="001E4168">
        <w:rPr>
          <w:rFonts w:ascii="Times New Roman" w:hAnsi="Times New Roman"/>
          <w:lang w:val="bs-Latn-BA"/>
        </w:rPr>
        <w:t xml:space="preserve"> </w:t>
      </w:r>
      <w:r>
        <w:rPr>
          <w:rFonts w:ascii="Times New Roman" w:hAnsi="Times New Roman"/>
          <w:lang w:val="bs-Latn-BA"/>
        </w:rPr>
        <w:t>уз</w:t>
      </w:r>
      <w:r w:rsidR="001E4168">
        <w:rPr>
          <w:rFonts w:ascii="Times New Roman" w:hAnsi="Times New Roman"/>
          <w:lang w:val="bs-Latn-BA"/>
        </w:rPr>
        <w:t xml:space="preserve"> </w:t>
      </w:r>
      <w:r>
        <w:rPr>
          <w:rFonts w:ascii="Times New Roman" w:hAnsi="Times New Roman"/>
          <w:lang w:val="bs-Latn-BA"/>
        </w:rPr>
        <w:t>помоћ</w:t>
      </w:r>
      <w:r w:rsidR="001E4168">
        <w:rPr>
          <w:rFonts w:ascii="Times New Roman" w:hAnsi="Times New Roman"/>
          <w:lang w:val="bs-Latn-BA"/>
        </w:rPr>
        <w:t xml:space="preserve"> </w:t>
      </w:r>
      <w:r>
        <w:rPr>
          <w:rFonts w:ascii="Times New Roman" w:hAnsi="Times New Roman"/>
          <w:lang w:val="bs-Latn-BA"/>
        </w:rPr>
        <w:t>АР</w:t>
      </w:r>
      <w:r w:rsidR="00F742CE">
        <w:rPr>
          <w:rFonts w:ascii="Times New Roman" w:hAnsi="Times New Roman"/>
          <w:lang w:val="sr-Cyrl-BA"/>
        </w:rPr>
        <w:t>П</w:t>
      </w:r>
      <w:r w:rsidR="00630355">
        <w:rPr>
          <w:rFonts w:ascii="Times New Roman" w:hAnsi="Times New Roman"/>
          <w:lang w:val="bs-Latn-BA"/>
        </w:rPr>
        <w:t xml:space="preserve"> </w:t>
      </w:r>
      <w:r>
        <w:rPr>
          <w:rFonts w:ascii="Times New Roman" w:hAnsi="Times New Roman"/>
          <w:lang w:val="bs-Latn-BA"/>
        </w:rPr>
        <w:t>БиХ</w:t>
      </w:r>
      <w:r w:rsidR="00630355">
        <w:rPr>
          <w:rFonts w:ascii="Times New Roman" w:hAnsi="Times New Roman"/>
          <w:lang w:val="bs-Latn-BA"/>
        </w:rPr>
        <w:t xml:space="preserve"> </w:t>
      </w:r>
      <w:r>
        <w:rPr>
          <w:rFonts w:ascii="Times New Roman" w:hAnsi="Times New Roman"/>
          <w:lang w:val="bs-Latn-BA"/>
        </w:rPr>
        <w:t>МЉПИ</w:t>
      </w:r>
      <w:r w:rsidR="00630355">
        <w:rPr>
          <w:rFonts w:ascii="Times New Roman" w:hAnsi="Times New Roman"/>
          <w:lang w:val="bs-Latn-BA"/>
        </w:rPr>
        <w:t xml:space="preserve"> </w:t>
      </w:r>
      <w:r>
        <w:rPr>
          <w:rFonts w:ascii="Times New Roman" w:hAnsi="Times New Roman"/>
          <w:lang w:val="bs-Latn-BA"/>
        </w:rPr>
        <w:t>БиХ</w:t>
      </w:r>
      <w:r w:rsidR="006A556F">
        <w:rPr>
          <w:rFonts w:ascii="Times New Roman" w:hAnsi="Times New Roman"/>
          <w:lang w:val="bs-Latn-BA"/>
        </w:rPr>
        <w:t xml:space="preserve"> </w:t>
      </w:r>
      <w:r>
        <w:rPr>
          <w:rFonts w:ascii="Times New Roman" w:hAnsi="Times New Roman"/>
          <w:lang w:val="bs-Latn-BA"/>
        </w:rPr>
        <w:t>детаљан</w:t>
      </w:r>
      <w:r w:rsidR="006A556F">
        <w:rPr>
          <w:rFonts w:ascii="Times New Roman" w:hAnsi="Times New Roman"/>
          <w:lang w:val="bs-Latn-BA"/>
        </w:rPr>
        <w:t xml:space="preserve"> </w:t>
      </w:r>
      <w:r>
        <w:rPr>
          <w:rFonts w:ascii="Times New Roman" w:hAnsi="Times New Roman"/>
          <w:lang w:val="bs-Latn-BA"/>
        </w:rPr>
        <w:t>Акциони</w:t>
      </w:r>
      <w:r w:rsidR="006A556F">
        <w:rPr>
          <w:rFonts w:ascii="Times New Roman" w:hAnsi="Times New Roman"/>
          <w:lang w:val="bs-Latn-BA"/>
        </w:rPr>
        <w:t xml:space="preserve"> </w:t>
      </w:r>
      <w:r>
        <w:rPr>
          <w:rFonts w:ascii="Times New Roman" w:hAnsi="Times New Roman"/>
          <w:lang w:val="bs-Latn-BA"/>
        </w:rPr>
        <w:t>план</w:t>
      </w:r>
      <w:r w:rsidR="001E4168">
        <w:rPr>
          <w:rFonts w:ascii="Times New Roman" w:hAnsi="Times New Roman"/>
          <w:lang w:val="bs-Latn-BA"/>
        </w:rPr>
        <w:t xml:space="preserve">. </w:t>
      </w:r>
      <w:r>
        <w:rPr>
          <w:rFonts w:ascii="Times New Roman" w:hAnsi="Times New Roman"/>
          <w:lang w:val="bs-Latn-BA"/>
        </w:rPr>
        <w:t>Процедура</w:t>
      </w:r>
      <w:r w:rsidR="001E4168">
        <w:rPr>
          <w:rFonts w:ascii="Times New Roman" w:hAnsi="Times New Roman"/>
          <w:lang w:val="bs-Latn-BA"/>
        </w:rPr>
        <w:t xml:space="preserve"> </w:t>
      </w:r>
      <w:r>
        <w:rPr>
          <w:rFonts w:ascii="Times New Roman" w:hAnsi="Times New Roman"/>
          <w:lang w:val="bs-Latn-BA"/>
        </w:rPr>
        <w:t>усвајања</w:t>
      </w:r>
      <w:r w:rsidR="001E4168">
        <w:rPr>
          <w:rFonts w:ascii="Times New Roman" w:hAnsi="Times New Roman"/>
          <w:lang w:val="bs-Latn-BA"/>
        </w:rPr>
        <w:t xml:space="preserve"> </w:t>
      </w:r>
      <w:r>
        <w:rPr>
          <w:rFonts w:ascii="Times New Roman" w:hAnsi="Times New Roman"/>
          <w:lang w:val="bs-Latn-BA"/>
        </w:rPr>
        <w:t>Акционог</w:t>
      </w:r>
      <w:r w:rsidR="001E4168">
        <w:rPr>
          <w:rFonts w:ascii="Times New Roman" w:hAnsi="Times New Roman"/>
          <w:lang w:val="bs-Latn-BA"/>
        </w:rPr>
        <w:t xml:space="preserve"> </w:t>
      </w:r>
      <w:r>
        <w:rPr>
          <w:rFonts w:ascii="Times New Roman" w:hAnsi="Times New Roman"/>
          <w:lang w:val="bs-Latn-BA"/>
        </w:rPr>
        <w:t>плана</w:t>
      </w:r>
      <w:r w:rsidR="001E4168">
        <w:rPr>
          <w:rFonts w:ascii="Times New Roman" w:hAnsi="Times New Roman"/>
          <w:lang w:val="bs-Latn-BA"/>
        </w:rPr>
        <w:t xml:space="preserve"> </w:t>
      </w:r>
      <w:r>
        <w:rPr>
          <w:rFonts w:ascii="Times New Roman" w:hAnsi="Times New Roman"/>
          <w:lang w:val="bs-Latn-BA"/>
        </w:rPr>
        <w:t>је</w:t>
      </w:r>
      <w:r w:rsidR="001E4168">
        <w:rPr>
          <w:rFonts w:ascii="Times New Roman" w:hAnsi="Times New Roman"/>
          <w:lang w:val="bs-Latn-BA"/>
        </w:rPr>
        <w:t xml:space="preserve"> </w:t>
      </w:r>
      <w:r>
        <w:rPr>
          <w:rFonts w:ascii="Times New Roman" w:hAnsi="Times New Roman"/>
          <w:lang w:val="bs-Latn-BA"/>
        </w:rPr>
        <w:t>у</w:t>
      </w:r>
      <w:r w:rsidR="001E4168">
        <w:rPr>
          <w:rFonts w:ascii="Times New Roman" w:hAnsi="Times New Roman"/>
          <w:lang w:val="bs-Latn-BA"/>
        </w:rPr>
        <w:t xml:space="preserve"> </w:t>
      </w:r>
      <w:r>
        <w:rPr>
          <w:rFonts w:ascii="Times New Roman" w:hAnsi="Times New Roman"/>
          <w:lang w:val="bs-Latn-BA"/>
        </w:rPr>
        <w:t>току</w:t>
      </w:r>
      <w:r w:rsidR="001E4168">
        <w:rPr>
          <w:rFonts w:ascii="Times New Roman" w:hAnsi="Times New Roman"/>
          <w:lang w:val="bs-Latn-BA"/>
        </w:rPr>
        <w:t>.</w:t>
      </w:r>
    </w:p>
    <w:p w:rsidR="00786EE3" w:rsidRPr="00295637" w:rsidRDefault="00786EE3" w:rsidP="0086268D">
      <w:pPr>
        <w:jc w:val="both"/>
        <w:rPr>
          <w:rFonts w:ascii="Times New Roman" w:hAnsi="Times New Roman"/>
          <w:lang w:val="bs-Latn-BA"/>
        </w:rPr>
      </w:pPr>
    </w:p>
    <w:p w:rsidR="00786EE3" w:rsidRPr="00295637" w:rsidRDefault="00C6214E" w:rsidP="0086268D">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rPr>
        <w:t>Мисија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F742CE">
        <w:rPr>
          <w:rStyle w:val="y2iqfc"/>
          <w:rFonts w:ascii="Times New Roman" w:hAnsi="Times New Roman" w:cs="Times New Roman"/>
          <w:sz w:val="24"/>
          <w:szCs w:val="24"/>
          <w:lang w:val="sr-Cyrl-BA"/>
        </w:rPr>
        <w:t>ЕБС</w:t>
      </w:r>
      <w:r w:rsidR="00786EE3" w:rsidRPr="00295637">
        <w:rPr>
          <w:rStyle w:val="y2iqfc"/>
          <w:rFonts w:ascii="Times New Roman" w:hAnsi="Times New Roman" w:cs="Times New Roman"/>
          <w:sz w:val="24"/>
          <w:szCs w:val="24"/>
        </w:rPr>
        <w:t>-</w:t>
      </w:r>
      <w:r>
        <w:rPr>
          <w:rStyle w:val="y2iqfc"/>
          <w:rFonts w:ascii="Times New Roman" w:hAnsi="Times New Roman" w:cs="Times New Roman"/>
          <w:sz w:val="24"/>
          <w:szCs w:val="24"/>
        </w:rPr>
        <w:t>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Босни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Херцеговини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јулу</w:t>
      </w:r>
      <w:r w:rsidR="00786EE3" w:rsidRPr="00295637">
        <w:rPr>
          <w:rStyle w:val="y2iqfc"/>
          <w:rFonts w:ascii="Times New Roman" w:hAnsi="Times New Roman" w:cs="Times New Roman"/>
          <w:sz w:val="24"/>
          <w:szCs w:val="24"/>
        </w:rPr>
        <w:t xml:space="preserve"> 2024. </w:t>
      </w:r>
      <w:r>
        <w:rPr>
          <w:rStyle w:val="y2iqfc"/>
          <w:rFonts w:ascii="Times New Roman" w:hAnsi="Times New Roman" w:cs="Times New Roman"/>
          <w:sz w:val="24"/>
          <w:szCs w:val="24"/>
        </w:rPr>
        <w:t>године</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организ</w:t>
      </w:r>
      <w:r w:rsidR="00F742CE">
        <w:rPr>
          <w:rStyle w:val="y2iqfc"/>
          <w:rFonts w:ascii="Times New Roman" w:hAnsi="Times New Roman" w:cs="Times New Roman"/>
          <w:sz w:val="24"/>
          <w:szCs w:val="24"/>
          <w:lang w:val="sr-Cyrl-BA"/>
        </w:rPr>
        <w:t>овала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Мултисекторски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консултативни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састанак</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Нацрту</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закона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борби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против</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насиља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породици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насиља</w:t>
      </w:r>
      <w:r w:rsidR="0046522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над</w:t>
      </w:r>
      <w:r w:rsidR="0046522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женама</w:t>
      </w:r>
      <w:r w:rsidR="0046522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46522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Федерацији</w:t>
      </w:r>
      <w:r w:rsidR="0046522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БиХ</w:t>
      </w:r>
      <w:r w:rsidR="0046522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w:t>
      </w:r>
      <w:r w:rsidR="00786EE3" w:rsidRPr="00295637">
        <w:rPr>
          <w:rStyle w:val="y2iqfc"/>
          <w:rFonts w:ascii="Times New Roman" w:hAnsi="Times New Roman" w:cs="Times New Roman"/>
          <w:sz w:val="24"/>
          <w:szCs w:val="24"/>
        </w:rPr>
        <w:t xml:space="preserve"> 20 </w:t>
      </w:r>
      <w:r>
        <w:rPr>
          <w:rStyle w:val="y2iqfc"/>
          <w:rFonts w:ascii="Times New Roman" w:hAnsi="Times New Roman" w:cs="Times New Roman"/>
          <w:sz w:val="24"/>
          <w:szCs w:val="24"/>
        </w:rPr>
        <w:t>практичара</w:t>
      </w:r>
      <w:r w:rsidR="00786EE3" w:rsidRPr="00295637">
        <w:rPr>
          <w:rStyle w:val="y2iqfc"/>
          <w:rFonts w:ascii="Times New Roman" w:hAnsi="Times New Roman" w:cs="Times New Roman"/>
          <w:sz w:val="24"/>
          <w:szCs w:val="24"/>
        </w:rPr>
        <w:t xml:space="preserve"> (13 </w:t>
      </w:r>
      <w:r>
        <w:rPr>
          <w:rStyle w:val="y2iqfc"/>
          <w:rFonts w:ascii="Times New Roman" w:hAnsi="Times New Roman" w:cs="Times New Roman"/>
          <w:sz w:val="24"/>
          <w:szCs w:val="24"/>
        </w:rPr>
        <w:t>жена</w:t>
      </w:r>
      <w:r w:rsidR="00786EE3" w:rsidRPr="00295637">
        <w:rPr>
          <w:rStyle w:val="y2iqfc"/>
          <w:rFonts w:ascii="Times New Roman" w:hAnsi="Times New Roman" w:cs="Times New Roman"/>
          <w:sz w:val="24"/>
          <w:szCs w:val="24"/>
        </w:rPr>
        <w:t xml:space="preserve">, </w:t>
      </w:r>
      <w:r w:rsidR="0046522D">
        <w:rPr>
          <w:rStyle w:val="y2iqfc"/>
          <w:rFonts w:ascii="Times New Roman" w:hAnsi="Times New Roman" w:cs="Times New Roman"/>
          <w:sz w:val="24"/>
          <w:szCs w:val="24"/>
        </w:rPr>
        <w:t>7</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мушкараца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из</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различитих</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сектора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укључујући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правне</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стручњаке</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социјалне</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раднике</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органе</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786EE3" w:rsidRPr="00295637">
        <w:rPr>
          <w:rStyle w:val="y2iqfc"/>
          <w:rFonts w:ascii="Times New Roman" w:hAnsi="Times New Roman" w:cs="Times New Roman"/>
          <w:sz w:val="24"/>
          <w:szCs w:val="24"/>
        </w:rPr>
        <w:t xml:space="preserve"> </w:t>
      </w:r>
      <w:r w:rsidR="00F742CE">
        <w:rPr>
          <w:rStyle w:val="y2iqfc"/>
          <w:rFonts w:ascii="Times New Roman" w:hAnsi="Times New Roman" w:cs="Times New Roman"/>
          <w:sz w:val="24"/>
          <w:szCs w:val="24"/>
          <w:lang w:val="sr-Cyrl-BA"/>
        </w:rPr>
        <w:t>спровођење</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закона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цивилно</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друштво</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Поред</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тога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Мисија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подржала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рад</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комисија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дома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Парламента</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ФБиХ</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одржавању</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три</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тематске</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сесије</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насиљу</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786EE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породици</w:t>
      </w:r>
      <w:r w:rsidR="00786EE3" w:rsidRPr="00295637">
        <w:rPr>
          <w:rStyle w:val="y2iqfc"/>
          <w:rFonts w:ascii="Times New Roman" w:hAnsi="Times New Roman" w:cs="Times New Roman"/>
          <w:sz w:val="24"/>
          <w:szCs w:val="24"/>
        </w:rPr>
        <w:t xml:space="preserve">. </w:t>
      </w:r>
    </w:p>
    <w:p w:rsidR="00786EE3" w:rsidRPr="00295637" w:rsidRDefault="00786EE3" w:rsidP="0086268D">
      <w:pPr>
        <w:jc w:val="both"/>
        <w:rPr>
          <w:rFonts w:ascii="Times New Roman" w:hAnsi="Times New Roman"/>
          <w:lang w:val="bs-Latn-BA"/>
        </w:rPr>
      </w:pPr>
    </w:p>
    <w:p w:rsidR="0008376B" w:rsidRPr="00295637" w:rsidRDefault="00C6214E" w:rsidP="0086268D">
      <w:pPr>
        <w:jc w:val="both"/>
        <w:rPr>
          <w:rFonts w:ascii="Times New Roman" w:hAnsi="Times New Roman"/>
          <w:color w:val="FF0000"/>
          <w:lang w:val="bs-Latn-BA"/>
        </w:rPr>
      </w:pPr>
      <w:r>
        <w:rPr>
          <w:rFonts w:ascii="Times New Roman" w:hAnsi="Times New Roman"/>
          <w:lang w:val="bs-Latn-BA"/>
        </w:rPr>
        <w:t>Што</w:t>
      </w:r>
      <w:r w:rsidR="0008376B" w:rsidRPr="00295637">
        <w:rPr>
          <w:rFonts w:ascii="Times New Roman" w:hAnsi="Times New Roman"/>
          <w:lang w:val="bs-Latn-BA"/>
        </w:rPr>
        <w:t xml:space="preserve"> </w:t>
      </w:r>
      <w:r>
        <w:rPr>
          <w:rFonts w:ascii="Times New Roman" w:hAnsi="Times New Roman"/>
          <w:lang w:val="bs-Latn-BA"/>
        </w:rPr>
        <w:t>се</w:t>
      </w:r>
      <w:r w:rsidR="0008376B" w:rsidRPr="00295637">
        <w:rPr>
          <w:rFonts w:ascii="Times New Roman" w:hAnsi="Times New Roman"/>
          <w:lang w:val="bs-Latn-BA"/>
        </w:rPr>
        <w:t xml:space="preserve"> </w:t>
      </w:r>
      <w:r>
        <w:rPr>
          <w:rFonts w:ascii="Times New Roman" w:hAnsi="Times New Roman"/>
          <w:lang w:val="bs-Latn-BA"/>
        </w:rPr>
        <w:t>тиче</w:t>
      </w:r>
      <w:r w:rsidR="0008376B" w:rsidRPr="00295637">
        <w:rPr>
          <w:rFonts w:ascii="Times New Roman" w:hAnsi="Times New Roman"/>
          <w:lang w:val="bs-Latn-BA"/>
        </w:rPr>
        <w:t xml:space="preserve"> </w:t>
      </w:r>
      <w:r>
        <w:rPr>
          <w:rFonts w:ascii="Times New Roman" w:hAnsi="Times New Roman"/>
          <w:lang w:val="bs-Latn-BA"/>
        </w:rPr>
        <w:t>трговине</w:t>
      </w:r>
      <w:r w:rsidR="0008376B" w:rsidRPr="00295637">
        <w:rPr>
          <w:rFonts w:ascii="Times New Roman" w:hAnsi="Times New Roman"/>
          <w:lang w:val="bs-Latn-BA"/>
        </w:rPr>
        <w:t xml:space="preserve"> </w:t>
      </w:r>
      <w:r>
        <w:rPr>
          <w:rFonts w:ascii="Times New Roman" w:hAnsi="Times New Roman"/>
          <w:lang w:val="bs-Latn-BA"/>
        </w:rPr>
        <w:t>људима</w:t>
      </w:r>
      <w:r w:rsidR="0008376B" w:rsidRPr="00295637">
        <w:rPr>
          <w:rFonts w:ascii="Times New Roman" w:hAnsi="Times New Roman"/>
          <w:lang w:val="bs-Latn-BA"/>
        </w:rPr>
        <w:t xml:space="preserve">, </w:t>
      </w:r>
      <w:r w:rsidR="008A65D0">
        <w:rPr>
          <w:rFonts w:ascii="Times New Roman" w:hAnsi="Times New Roman"/>
          <w:lang w:val="sr-Cyrl-BA"/>
        </w:rPr>
        <w:t>Канцеларија</w:t>
      </w:r>
      <w:r w:rsidR="008A65D0" w:rsidRPr="00295637">
        <w:rPr>
          <w:rFonts w:ascii="Times New Roman" w:hAnsi="Times New Roman"/>
          <w:lang w:val="bs-Latn-BA"/>
        </w:rPr>
        <w:t xml:space="preserve"> </w:t>
      </w:r>
      <w:r w:rsidR="00F742CE">
        <w:rPr>
          <w:rFonts w:ascii="Times New Roman" w:hAnsi="Times New Roman"/>
          <w:lang w:val="sr-Cyrl-BA"/>
        </w:rPr>
        <w:t>С</w:t>
      </w:r>
      <w:r>
        <w:rPr>
          <w:rFonts w:ascii="Times New Roman" w:hAnsi="Times New Roman"/>
          <w:lang w:val="bs-Latn-BA"/>
        </w:rPr>
        <w:t>Е</w:t>
      </w:r>
      <w:r w:rsidR="0088798D" w:rsidRPr="00295637">
        <w:rPr>
          <w:rFonts w:ascii="Times New Roman" w:hAnsi="Times New Roman"/>
          <w:lang w:val="bs-Latn-BA"/>
        </w:rPr>
        <w:t xml:space="preserve"> </w:t>
      </w:r>
      <w:r>
        <w:rPr>
          <w:rFonts w:ascii="Times New Roman" w:hAnsi="Times New Roman"/>
          <w:lang w:val="bs-Latn-BA"/>
        </w:rPr>
        <w:t>у</w:t>
      </w:r>
      <w:r w:rsidR="00E632F7" w:rsidRPr="00295637">
        <w:rPr>
          <w:rFonts w:ascii="Times New Roman" w:hAnsi="Times New Roman"/>
          <w:lang w:val="bs-Latn-BA"/>
        </w:rPr>
        <w:t xml:space="preserve"> </w:t>
      </w:r>
      <w:r>
        <w:rPr>
          <w:rFonts w:ascii="Times New Roman" w:hAnsi="Times New Roman"/>
          <w:lang w:val="bs-Latn-BA"/>
        </w:rPr>
        <w:t>БиХ</w:t>
      </w:r>
      <w:r w:rsidR="00E632F7" w:rsidRPr="00295637">
        <w:rPr>
          <w:rFonts w:ascii="Times New Roman" w:hAnsi="Times New Roman"/>
          <w:lang w:val="bs-Latn-BA"/>
        </w:rPr>
        <w:t xml:space="preserve"> </w:t>
      </w:r>
      <w:r>
        <w:rPr>
          <w:rFonts w:ascii="Times New Roman" w:hAnsi="Times New Roman"/>
          <w:lang w:val="bs-Latn-BA"/>
        </w:rPr>
        <w:t>је</w:t>
      </w:r>
      <w:r w:rsidR="008C29B3" w:rsidRPr="00295637">
        <w:rPr>
          <w:rFonts w:ascii="Times New Roman" w:hAnsi="Times New Roman"/>
          <w:lang w:val="bs-Latn-BA"/>
        </w:rPr>
        <w:t xml:space="preserve"> </w:t>
      </w:r>
      <w:r>
        <w:rPr>
          <w:rFonts w:ascii="Times New Roman" w:hAnsi="Times New Roman"/>
          <w:lang w:val="bs-Latn-BA"/>
        </w:rPr>
        <w:t>у</w:t>
      </w:r>
      <w:r w:rsidR="008C29B3" w:rsidRPr="00295637">
        <w:rPr>
          <w:rFonts w:ascii="Times New Roman" w:hAnsi="Times New Roman"/>
          <w:lang w:val="bs-Latn-BA"/>
        </w:rPr>
        <w:t xml:space="preserve"> </w:t>
      </w:r>
      <w:r>
        <w:rPr>
          <w:rFonts w:ascii="Times New Roman" w:hAnsi="Times New Roman"/>
          <w:lang w:val="bs-Latn-BA"/>
        </w:rPr>
        <w:t>оквиру</w:t>
      </w:r>
      <w:r w:rsidR="008C29B3" w:rsidRPr="00295637">
        <w:rPr>
          <w:rFonts w:ascii="Times New Roman" w:hAnsi="Times New Roman"/>
          <w:lang w:val="bs-Latn-BA"/>
        </w:rPr>
        <w:t xml:space="preserve"> </w:t>
      </w:r>
      <w:r>
        <w:rPr>
          <w:rFonts w:ascii="Times New Roman" w:hAnsi="Times New Roman"/>
          <w:lang w:val="bs-Latn-BA"/>
        </w:rPr>
        <w:t>пројекта</w:t>
      </w:r>
      <w:r w:rsidR="008C29B3" w:rsidRPr="00295637">
        <w:rPr>
          <w:rFonts w:ascii="Times New Roman" w:hAnsi="Times New Roman"/>
          <w:lang w:val="bs-Latn-BA"/>
        </w:rPr>
        <w:t xml:space="preserve"> „</w:t>
      </w:r>
      <w:r>
        <w:rPr>
          <w:rFonts w:ascii="Times New Roman" w:hAnsi="Times New Roman"/>
          <w:lang w:val="bs-Latn-BA"/>
        </w:rPr>
        <w:t>Јачање</w:t>
      </w:r>
      <w:r w:rsidR="008C29B3" w:rsidRPr="00295637">
        <w:rPr>
          <w:rFonts w:ascii="Times New Roman" w:hAnsi="Times New Roman"/>
          <w:lang w:val="bs-Latn-BA"/>
        </w:rPr>
        <w:t xml:space="preserve"> </w:t>
      </w:r>
      <w:r>
        <w:rPr>
          <w:rFonts w:ascii="Times New Roman" w:hAnsi="Times New Roman"/>
          <w:lang w:val="bs-Latn-BA"/>
        </w:rPr>
        <w:t>активности</w:t>
      </w:r>
      <w:r w:rsidR="008C29B3" w:rsidRPr="00295637">
        <w:rPr>
          <w:rFonts w:ascii="Times New Roman" w:hAnsi="Times New Roman"/>
          <w:lang w:val="bs-Latn-BA"/>
        </w:rPr>
        <w:t xml:space="preserve"> </w:t>
      </w:r>
      <w:r>
        <w:rPr>
          <w:rFonts w:ascii="Times New Roman" w:hAnsi="Times New Roman"/>
          <w:lang w:val="bs-Latn-BA"/>
        </w:rPr>
        <w:t>супротстављања</w:t>
      </w:r>
      <w:r w:rsidR="008C29B3" w:rsidRPr="00295637">
        <w:rPr>
          <w:rFonts w:ascii="Times New Roman" w:hAnsi="Times New Roman"/>
          <w:lang w:val="bs-Latn-BA"/>
        </w:rPr>
        <w:t xml:space="preserve"> </w:t>
      </w:r>
      <w:r>
        <w:rPr>
          <w:rFonts w:ascii="Times New Roman" w:hAnsi="Times New Roman"/>
          <w:lang w:val="bs-Latn-BA"/>
        </w:rPr>
        <w:t>трговини</w:t>
      </w:r>
      <w:r w:rsidR="008C29B3" w:rsidRPr="00295637">
        <w:rPr>
          <w:rFonts w:ascii="Times New Roman" w:hAnsi="Times New Roman"/>
          <w:lang w:val="bs-Latn-BA"/>
        </w:rPr>
        <w:t xml:space="preserve"> </w:t>
      </w:r>
      <w:r>
        <w:rPr>
          <w:rFonts w:ascii="Times New Roman" w:hAnsi="Times New Roman"/>
          <w:lang w:val="bs-Latn-BA"/>
        </w:rPr>
        <w:t>људима</w:t>
      </w:r>
      <w:r w:rsidR="008C29B3" w:rsidRPr="00295637">
        <w:rPr>
          <w:rFonts w:ascii="Times New Roman" w:hAnsi="Times New Roman"/>
          <w:lang w:val="bs-Latn-BA"/>
        </w:rPr>
        <w:t xml:space="preserve"> </w:t>
      </w:r>
      <w:r>
        <w:rPr>
          <w:rFonts w:ascii="Times New Roman" w:hAnsi="Times New Roman"/>
          <w:lang w:val="bs-Latn-BA"/>
        </w:rPr>
        <w:t>у</w:t>
      </w:r>
      <w:r w:rsidR="008C29B3" w:rsidRPr="00295637">
        <w:rPr>
          <w:rFonts w:ascii="Times New Roman" w:hAnsi="Times New Roman"/>
          <w:lang w:val="bs-Latn-BA"/>
        </w:rPr>
        <w:t xml:space="preserve"> </w:t>
      </w:r>
      <w:r>
        <w:rPr>
          <w:rFonts w:ascii="Times New Roman" w:hAnsi="Times New Roman"/>
          <w:lang w:val="bs-Latn-BA"/>
        </w:rPr>
        <w:t>Босни</w:t>
      </w:r>
      <w:r w:rsidR="008C29B3" w:rsidRPr="00295637">
        <w:rPr>
          <w:rFonts w:ascii="Times New Roman" w:hAnsi="Times New Roman"/>
          <w:lang w:val="bs-Latn-BA"/>
        </w:rPr>
        <w:t xml:space="preserve"> </w:t>
      </w:r>
      <w:r>
        <w:rPr>
          <w:rFonts w:ascii="Times New Roman" w:hAnsi="Times New Roman"/>
          <w:lang w:val="bs-Latn-BA"/>
        </w:rPr>
        <w:t>и</w:t>
      </w:r>
      <w:r w:rsidR="008C29B3" w:rsidRPr="00295637">
        <w:rPr>
          <w:rFonts w:ascii="Times New Roman" w:hAnsi="Times New Roman"/>
          <w:lang w:val="bs-Latn-BA"/>
        </w:rPr>
        <w:t xml:space="preserve"> </w:t>
      </w:r>
      <w:r>
        <w:rPr>
          <w:rFonts w:ascii="Times New Roman" w:hAnsi="Times New Roman"/>
          <w:lang w:val="bs-Latn-BA"/>
        </w:rPr>
        <w:t>Херцеговини</w:t>
      </w:r>
      <w:r w:rsidR="00E632F7" w:rsidRPr="00295637">
        <w:rPr>
          <w:rFonts w:ascii="Times New Roman" w:hAnsi="Times New Roman"/>
          <w:lang w:val="bs-Latn-BA"/>
        </w:rPr>
        <w:t xml:space="preserve">“ </w:t>
      </w:r>
      <w:r>
        <w:rPr>
          <w:rFonts w:ascii="Times New Roman" w:hAnsi="Times New Roman"/>
          <w:lang w:val="bs-Latn-BA"/>
        </w:rPr>
        <w:t>пружио</w:t>
      </w:r>
      <w:r w:rsidR="008C29B3" w:rsidRPr="00295637">
        <w:rPr>
          <w:rFonts w:ascii="Times New Roman" w:hAnsi="Times New Roman"/>
          <w:lang w:val="bs-Latn-BA"/>
        </w:rPr>
        <w:t xml:space="preserve"> </w:t>
      </w:r>
      <w:r>
        <w:rPr>
          <w:rStyle w:val="y2iqfc"/>
          <w:rFonts w:ascii="Times New Roman" w:hAnsi="Times New Roman"/>
          <w:szCs w:val="24"/>
        </w:rPr>
        <w:t>техничку</w:t>
      </w:r>
      <w:r w:rsidR="0008376B" w:rsidRPr="00295637">
        <w:rPr>
          <w:rStyle w:val="y2iqfc"/>
          <w:rFonts w:ascii="Times New Roman" w:hAnsi="Times New Roman"/>
          <w:szCs w:val="24"/>
        </w:rPr>
        <w:t xml:space="preserve"> </w:t>
      </w:r>
      <w:r>
        <w:rPr>
          <w:rStyle w:val="y2iqfc"/>
          <w:rFonts w:ascii="Times New Roman" w:hAnsi="Times New Roman"/>
          <w:szCs w:val="24"/>
        </w:rPr>
        <w:t>и</w:t>
      </w:r>
      <w:r w:rsidR="0008376B" w:rsidRPr="00295637">
        <w:rPr>
          <w:rStyle w:val="y2iqfc"/>
          <w:rFonts w:ascii="Times New Roman" w:hAnsi="Times New Roman"/>
          <w:szCs w:val="24"/>
        </w:rPr>
        <w:t xml:space="preserve"> </w:t>
      </w:r>
      <w:r>
        <w:rPr>
          <w:rStyle w:val="y2iqfc"/>
          <w:rFonts w:ascii="Times New Roman" w:hAnsi="Times New Roman"/>
          <w:szCs w:val="24"/>
        </w:rPr>
        <w:t>савјетодавну</w:t>
      </w:r>
      <w:r w:rsidR="0008376B" w:rsidRPr="00295637">
        <w:rPr>
          <w:rStyle w:val="y2iqfc"/>
          <w:rFonts w:ascii="Times New Roman" w:hAnsi="Times New Roman"/>
          <w:szCs w:val="24"/>
        </w:rPr>
        <w:t xml:space="preserve"> </w:t>
      </w:r>
      <w:r>
        <w:rPr>
          <w:rStyle w:val="y2iqfc"/>
          <w:rFonts w:ascii="Times New Roman" w:hAnsi="Times New Roman"/>
          <w:szCs w:val="24"/>
        </w:rPr>
        <w:t>подршку</w:t>
      </w:r>
      <w:r w:rsidR="0008376B" w:rsidRPr="00295637">
        <w:rPr>
          <w:rStyle w:val="y2iqfc"/>
          <w:rFonts w:ascii="Times New Roman" w:hAnsi="Times New Roman"/>
          <w:szCs w:val="24"/>
        </w:rPr>
        <w:t xml:space="preserve"> </w:t>
      </w:r>
      <w:r>
        <w:rPr>
          <w:rStyle w:val="y2iqfc"/>
          <w:rFonts w:ascii="Times New Roman" w:hAnsi="Times New Roman"/>
          <w:szCs w:val="24"/>
        </w:rPr>
        <w:t>М</w:t>
      </w:r>
      <w:r w:rsidR="00F742CE">
        <w:rPr>
          <w:rStyle w:val="y2iqfc"/>
          <w:rFonts w:ascii="Times New Roman" w:hAnsi="Times New Roman"/>
          <w:szCs w:val="24"/>
          <w:lang w:val="sr-Cyrl-BA"/>
        </w:rPr>
        <w:t>Б</w:t>
      </w:r>
      <w:r w:rsidR="0046522D">
        <w:rPr>
          <w:rStyle w:val="y2iqfc"/>
          <w:rFonts w:ascii="Times New Roman" w:hAnsi="Times New Roman"/>
          <w:szCs w:val="24"/>
        </w:rPr>
        <w:t xml:space="preserve"> </w:t>
      </w:r>
      <w:r>
        <w:rPr>
          <w:rStyle w:val="y2iqfc"/>
          <w:rFonts w:ascii="Times New Roman" w:hAnsi="Times New Roman"/>
          <w:szCs w:val="24"/>
        </w:rPr>
        <w:t>БиХ</w:t>
      </w:r>
      <w:r w:rsidR="0008376B" w:rsidRPr="00295637">
        <w:rPr>
          <w:rStyle w:val="y2iqfc"/>
          <w:rFonts w:ascii="Times New Roman" w:hAnsi="Times New Roman"/>
          <w:szCs w:val="24"/>
        </w:rPr>
        <w:t xml:space="preserve"> </w:t>
      </w:r>
      <w:r>
        <w:rPr>
          <w:rStyle w:val="y2iqfc"/>
          <w:rFonts w:ascii="Times New Roman" w:hAnsi="Times New Roman"/>
          <w:szCs w:val="24"/>
        </w:rPr>
        <w:t>и</w:t>
      </w:r>
      <w:r w:rsidR="0008376B" w:rsidRPr="00295637">
        <w:rPr>
          <w:rStyle w:val="y2iqfc"/>
          <w:rFonts w:ascii="Times New Roman" w:hAnsi="Times New Roman"/>
          <w:szCs w:val="24"/>
        </w:rPr>
        <w:t xml:space="preserve"> </w:t>
      </w:r>
      <w:r>
        <w:rPr>
          <w:rStyle w:val="y2iqfc"/>
          <w:rFonts w:ascii="Times New Roman" w:hAnsi="Times New Roman"/>
          <w:szCs w:val="24"/>
        </w:rPr>
        <w:t>другим</w:t>
      </w:r>
      <w:r w:rsidR="0008376B" w:rsidRPr="00295637">
        <w:rPr>
          <w:rStyle w:val="y2iqfc"/>
          <w:rFonts w:ascii="Times New Roman" w:hAnsi="Times New Roman"/>
          <w:szCs w:val="24"/>
        </w:rPr>
        <w:t xml:space="preserve"> </w:t>
      </w:r>
      <w:r>
        <w:rPr>
          <w:rStyle w:val="y2iqfc"/>
          <w:rFonts w:ascii="Times New Roman" w:hAnsi="Times New Roman"/>
          <w:szCs w:val="24"/>
        </w:rPr>
        <w:t>институцијама</w:t>
      </w:r>
      <w:r w:rsidR="0008376B" w:rsidRPr="00295637">
        <w:rPr>
          <w:rStyle w:val="y2iqfc"/>
          <w:rFonts w:ascii="Times New Roman" w:hAnsi="Times New Roman"/>
          <w:szCs w:val="24"/>
        </w:rPr>
        <w:t xml:space="preserve"> </w:t>
      </w:r>
      <w:r>
        <w:rPr>
          <w:rStyle w:val="y2iqfc"/>
          <w:rFonts w:ascii="Times New Roman" w:hAnsi="Times New Roman"/>
          <w:szCs w:val="24"/>
        </w:rPr>
        <w:t>у</w:t>
      </w:r>
      <w:r w:rsidR="0008376B" w:rsidRPr="00295637">
        <w:rPr>
          <w:rStyle w:val="y2iqfc"/>
          <w:rFonts w:ascii="Times New Roman" w:hAnsi="Times New Roman"/>
          <w:szCs w:val="24"/>
        </w:rPr>
        <w:t xml:space="preserve"> </w:t>
      </w:r>
      <w:r>
        <w:rPr>
          <w:rStyle w:val="y2iqfc"/>
          <w:rFonts w:ascii="Times New Roman" w:hAnsi="Times New Roman"/>
          <w:szCs w:val="24"/>
        </w:rPr>
        <w:t>интеграцији</w:t>
      </w:r>
      <w:r w:rsidR="00E632F7" w:rsidRPr="00295637">
        <w:rPr>
          <w:rStyle w:val="y2iqfc"/>
          <w:rFonts w:ascii="Times New Roman" w:hAnsi="Times New Roman"/>
          <w:szCs w:val="24"/>
        </w:rPr>
        <w:t xml:space="preserve"> </w:t>
      </w:r>
      <w:r>
        <w:rPr>
          <w:rStyle w:val="y2iqfc"/>
          <w:rFonts w:ascii="Times New Roman" w:hAnsi="Times New Roman"/>
          <w:szCs w:val="24"/>
        </w:rPr>
        <w:t>перспективе</w:t>
      </w:r>
      <w:r w:rsidR="00E632F7" w:rsidRPr="00295637">
        <w:rPr>
          <w:rStyle w:val="y2iqfc"/>
          <w:rFonts w:ascii="Times New Roman" w:hAnsi="Times New Roman"/>
          <w:szCs w:val="24"/>
        </w:rPr>
        <w:t xml:space="preserve"> </w:t>
      </w:r>
      <w:r>
        <w:rPr>
          <w:rStyle w:val="y2iqfc"/>
          <w:rFonts w:ascii="Times New Roman" w:hAnsi="Times New Roman"/>
          <w:szCs w:val="24"/>
        </w:rPr>
        <w:t>равноправности</w:t>
      </w:r>
      <w:r w:rsidR="00E632F7" w:rsidRPr="00295637">
        <w:rPr>
          <w:rStyle w:val="y2iqfc"/>
          <w:rFonts w:ascii="Times New Roman" w:hAnsi="Times New Roman"/>
          <w:szCs w:val="24"/>
        </w:rPr>
        <w:t xml:space="preserve"> </w:t>
      </w:r>
      <w:r>
        <w:rPr>
          <w:rStyle w:val="y2iqfc"/>
          <w:rFonts w:ascii="Times New Roman" w:hAnsi="Times New Roman"/>
          <w:szCs w:val="24"/>
        </w:rPr>
        <w:t>полова</w:t>
      </w:r>
      <w:r w:rsidR="0008376B" w:rsidRPr="00295637">
        <w:rPr>
          <w:rStyle w:val="y2iqfc"/>
          <w:rFonts w:ascii="Times New Roman" w:hAnsi="Times New Roman"/>
          <w:szCs w:val="24"/>
        </w:rPr>
        <w:t xml:space="preserve"> </w:t>
      </w:r>
      <w:r>
        <w:rPr>
          <w:rStyle w:val="y2iqfc"/>
          <w:rFonts w:ascii="Times New Roman" w:hAnsi="Times New Roman"/>
          <w:szCs w:val="24"/>
        </w:rPr>
        <w:t>у</w:t>
      </w:r>
      <w:r w:rsidR="0008376B" w:rsidRPr="00295637">
        <w:rPr>
          <w:rStyle w:val="y2iqfc"/>
          <w:rFonts w:ascii="Times New Roman" w:hAnsi="Times New Roman"/>
          <w:szCs w:val="24"/>
        </w:rPr>
        <w:t xml:space="preserve"> </w:t>
      </w:r>
      <w:r>
        <w:rPr>
          <w:rStyle w:val="y2iqfc"/>
          <w:rFonts w:ascii="Times New Roman" w:hAnsi="Times New Roman"/>
          <w:szCs w:val="24"/>
        </w:rPr>
        <w:t>развој</w:t>
      </w:r>
      <w:r w:rsidR="0008376B" w:rsidRPr="00295637">
        <w:rPr>
          <w:rStyle w:val="y2iqfc"/>
          <w:rFonts w:ascii="Times New Roman" w:hAnsi="Times New Roman"/>
          <w:szCs w:val="24"/>
        </w:rPr>
        <w:t xml:space="preserve"> </w:t>
      </w:r>
      <w:r>
        <w:rPr>
          <w:rStyle w:val="y2iqfc"/>
          <w:rFonts w:ascii="Times New Roman" w:hAnsi="Times New Roman"/>
          <w:szCs w:val="24"/>
        </w:rPr>
        <w:t>политика</w:t>
      </w:r>
      <w:r w:rsidR="0008376B" w:rsidRPr="00295637">
        <w:rPr>
          <w:rStyle w:val="y2iqfc"/>
          <w:rFonts w:ascii="Times New Roman" w:hAnsi="Times New Roman"/>
          <w:szCs w:val="24"/>
        </w:rPr>
        <w:t xml:space="preserve"> </w:t>
      </w:r>
      <w:r>
        <w:rPr>
          <w:rStyle w:val="y2iqfc"/>
          <w:rFonts w:ascii="Times New Roman" w:hAnsi="Times New Roman"/>
          <w:szCs w:val="24"/>
        </w:rPr>
        <w:t>и</w:t>
      </w:r>
      <w:r w:rsidR="0008376B" w:rsidRPr="00295637">
        <w:rPr>
          <w:rStyle w:val="y2iqfc"/>
          <w:rFonts w:ascii="Times New Roman" w:hAnsi="Times New Roman"/>
          <w:szCs w:val="24"/>
        </w:rPr>
        <w:t xml:space="preserve"> </w:t>
      </w:r>
      <w:r>
        <w:rPr>
          <w:rStyle w:val="y2iqfc"/>
          <w:rFonts w:ascii="Times New Roman" w:hAnsi="Times New Roman"/>
          <w:szCs w:val="24"/>
        </w:rPr>
        <w:t>стратегија</w:t>
      </w:r>
      <w:r w:rsidR="0008376B" w:rsidRPr="00295637">
        <w:rPr>
          <w:rStyle w:val="y2iqfc"/>
          <w:rFonts w:ascii="Times New Roman" w:hAnsi="Times New Roman"/>
          <w:szCs w:val="24"/>
        </w:rPr>
        <w:t xml:space="preserve">. </w:t>
      </w:r>
      <w:r>
        <w:rPr>
          <w:rStyle w:val="y2iqfc"/>
          <w:rFonts w:ascii="Times New Roman" w:hAnsi="Times New Roman"/>
          <w:szCs w:val="24"/>
        </w:rPr>
        <w:t>Једно</w:t>
      </w:r>
      <w:r w:rsidR="0008376B" w:rsidRPr="00295637">
        <w:rPr>
          <w:rStyle w:val="y2iqfc"/>
          <w:rFonts w:ascii="Times New Roman" w:hAnsi="Times New Roman"/>
          <w:szCs w:val="24"/>
        </w:rPr>
        <w:t xml:space="preserve"> </w:t>
      </w:r>
      <w:r>
        <w:rPr>
          <w:rStyle w:val="y2iqfc"/>
          <w:rFonts w:ascii="Times New Roman" w:hAnsi="Times New Roman"/>
          <w:szCs w:val="24"/>
        </w:rPr>
        <w:t>од</w:t>
      </w:r>
      <w:r w:rsidR="0008376B" w:rsidRPr="00295637">
        <w:rPr>
          <w:rStyle w:val="y2iqfc"/>
          <w:rFonts w:ascii="Times New Roman" w:hAnsi="Times New Roman"/>
          <w:szCs w:val="24"/>
        </w:rPr>
        <w:t xml:space="preserve"> </w:t>
      </w:r>
      <w:r>
        <w:rPr>
          <w:rStyle w:val="y2iqfc"/>
          <w:rFonts w:ascii="Times New Roman" w:hAnsi="Times New Roman"/>
          <w:szCs w:val="24"/>
        </w:rPr>
        <w:t>кључних</w:t>
      </w:r>
      <w:r w:rsidR="0008376B" w:rsidRPr="00295637">
        <w:rPr>
          <w:rStyle w:val="y2iqfc"/>
          <w:rFonts w:ascii="Times New Roman" w:hAnsi="Times New Roman"/>
          <w:szCs w:val="24"/>
        </w:rPr>
        <w:t xml:space="preserve"> </w:t>
      </w:r>
      <w:r>
        <w:rPr>
          <w:rStyle w:val="y2iqfc"/>
          <w:rFonts w:ascii="Times New Roman" w:hAnsi="Times New Roman"/>
          <w:szCs w:val="24"/>
        </w:rPr>
        <w:t>достигнућа</w:t>
      </w:r>
      <w:r w:rsidR="0008376B" w:rsidRPr="00295637">
        <w:rPr>
          <w:rStyle w:val="y2iqfc"/>
          <w:rFonts w:ascii="Times New Roman" w:hAnsi="Times New Roman"/>
          <w:szCs w:val="24"/>
        </w:rPr>
        <w:t xml:space="preserve"> </w:t>
      </w:r>
      <w:r>
        <w:rPr>
          <w:rStyle w:val="y2iqfc"/>
          <w:rFonts w:ascii="Times New Roman" w:hAnsi="Times New Roman"/>
          <w:szCs w:val="24"/>
        </w:rPr>
        <w:t>пројекта</w:t>
      </w:r>
      <w:r w:rsidR="0008376B" w:rsidRPr="00295637">
        <w:rPr>
          <w:rStyle w:val="y2iqfc"/>
          <w:rFonts w:ascii="Times New Roman" w:hAnsi="Times New Roman"/>
          <w:szCs w:val="24"/>
        </w:rPr>
        <w:t xml:space="preserve"> </w:t>
      </w:r>
      <w:r>
        <w:rPr>
          <w:rStyle w:val="y2iqfc"/>
          <w:rFonts w:ascii="Times New Roman" w:hAnsi="Times New Roman"/>
          <w:szCs w:val="24"/>
        </w:rPr>
        <w:t>била</w:t>
      </w:r>
      <w:r w:rsidR="0008376B" w:rsidRPr="00295637">
        <w:rPr>
          <w:rStyle w:val="y2iqfc"/>
          <w:rFonts w:ascii="Times New Roman" w:hAnsi="Times New Roman"/>
          <w:szCs w:val="24"/>
        </w:rPr>
        <w:t xml:space="preserve"> </w:t>
      </w:r>
      <w:r>
        <w:rPr>
          <w:rStyle w:val="y2iqfc"/>
          <w:rFonts w:ascii="Times New Roman" w:hAnsi="Times New Roman"/>
          <w:szCs w:val="24"/>
        </w:rPr>
        <w:t>је</w:t>
      </w:r>
      <w:r w:rsidR="0008376B" w:rsidRPr="00295637">
        <w:rPr>
          <w:rStyle w:val="y2iqfc"/>
          <w:rFonts w:ascii="Times New Roman" w:hAnsi="Times New Roman"/>
          <w:szCs w:val="24"/>
        </w:rPr>
        <w:t xml:space="preserve"> </w:t>
      </w:r>
      <w:r>
        <w:rPr>
          <w:rStyle w:val="y2iqfc"/>
          <w:rFonts w:ascii="Times New Roman" w:hAnsi="Times New Roman"/>
          <w:szCs w:val="24"/>
        </w:rPr>
        <w:t>интеграција</w:t>
      </w:r>
      <w:r w:rsidR="0008376B" w:rsidRPr="00295637">
        <w:rPr>
          <w:rStyle w:val="y2iqfc"/>
          <w:rFonts w:ascii="Times New Roman" w:hAnsi="Times New Roman"/>
          <w:szCs w:val="24"/>
        </w:rPr>
        <w:t xml:space="preserve"> </w:t>
      </w:r>
      <w:r>
        <w:rPr>
          <w:rStyle w:val="y2iqfc"/>
          <w:rFonts w:ascii="Times New Roman" w:hAnsi="Times New Roman"/>
          <w:szCs w:val="24"/>
        </w:rPr>
        <w:t>родно</w:t>
      </w:r>
      <w:r w:rsidR="0008376B" w:rsidRPr="00295637">
        <w:rPr>
          <w:rStyle w:val="y2iqfc"/>
          <w:rFonts w:ascii="Times New Roman" w:hAnsi="Times New Roman"/>
          <w:szCs w:val="24"/>
        </w:rPr>
        <w:t xml:space="preserve"> </w:t>
      </w:r>
      <w:r>
        <w:rPr>
          <w:rStyle w:val="y2iqfc"/>
          <w:rFonts w:ascii="Times New Roman" w:hAnsi="Times New Roman"/>
          <w:szCs w:val="24"/>
        </w:rPr>
        <w:t>осјетљивог</w:t>
      </w:r>
      <w:r w:rsidR="0008376B" w:rsidRPr="00295637">
        <w:rPr>
          <w:rStyle w:val="y2iqfc"/>
          <w:rFonts w:ascii="Times New Roman" w:hAnsi="Times New Roman"/>
          <w:szCs w:val="24"/>
        </w:rPr>
        <w:t xml:space="preserve"> </w:t>
      </w:r>
      <w:r>
        <w:rPr>
          <w:rStyle w:val="y2iqfc"/>
          <w:rFonts w:ascii="Times New Roman" w:hAnsi="Times New Roman"/>
          <w:szCs w:val="24"/>
        </w:rPr>
        <w:t>приступа</w:t>
      </w:r>
      <w:r w:rsidR="0008376B" w:rsidRPr="00295637">
        <w:rPr>
          <w:rStyle w:val="y2iqfc"/>
          <w:rFonts w:ascii="Times New Roman" w:hAnsi="Times New Roman"/>
          <w:szCs w:val="24"/>
        </w:rPr>
        <w:t xml:space="preserve"> </w:t>
      </w:r>
      <w:r>
        <w:rPr>
          <w:rStyle w:val="y2iqfc"/>
          <w:rFonts w:ascii="Times New Roman" w:hAnsi="Times New Roman"/>
          <w:szCs w:val="24"/>
        </w:rPr>
        <w:t>у</w:t>
      </w:r>
      <w:r w:rsidR="0008376B" w:rsidRPr="00295637">
        <w:rPr>
          <w:rStyle w:val="y2iqfc"/>
          <w:rFonts w:ascii="Times New Roman" w:hAnsi="Times New Roman"/>
          <w:szCs w:val="24"/>
        </w:rPr>
        <w:t xml:space="preserve"> </w:t>
      </w:r>
      <w:r>
        <w:rPr>
          <w:rStyle w:val="y2iqfc"/>
          <w:rFonts w:ascii="Times New Roman" w:hAnsi="Times New Roman"/>
          <w:szCs w:val="24"/>
        </w:rPr>
        <w:t>водеће</w:t>
      </w:r>
      <w:r w:rsidR="0008376B" w:rsidRPr="00295637">
        <w:rPr>
          <w:rStyle w:val="y2iqfc"/>
          <w:rFonts w:ascii="Times New Roman" w:hAnsi="Times New Roman"/>
          <w:szCs w:val="24"/>
        </w:rPr>
        <w:t xml:space="preserve"> </w:t>
      </w:r>
      <w:r>
        <w:rPr>
          <w:rStyle w:val="y2iqfc"/>
          <w:rFonts w:ascii="Times New Roman" w:hAnsi="Times New Roman"/>
          <w:szCs w:val="24"/>
        </w:rPr>
        <w:t>принципе</w:t>
      </w:r>
      <w:r w:rsidR="0008376B" w:rsidRPr="00295637">
        <w:rPr>
          <w:rStyle w:val="y2iqfc"/>
          <w:rFonts w:ascii="Times New Roman" w:hAnsi="Times New Roman"/>
          <w:szCs w:val="24"/>
        </w:rPr>
        <w:t xml:space="preserve"> </w:t>
      </w:r>
      <w:r>
        <w:rPr>
          <w:rStyle w:val="y2iqfc"/>
          <w:rFonts w:ascii="Times New Roman" w:hAnsi="Times New Roman"/>
          <w:szCs w:val="24"/>
        </w:rPr>
        <w:t>Стратегије</w:t>
      </w:r>
      <w:r w:rsidR="0008376B" w:rsidRPr="00295637">
        <w:rPr>
          <w:rStyle w:val="y2iqfc"/>
          <w:rFonts w:ascii="Times New Roman" w:hAnsi="Times New Roman"/>
          <w:szCs w:val="24"/>
        </w:rPr>
        <w:t xml:space="preserve"> </w:t>
      </w:r>
      <w:r>
        <w:rPr>
          <w:rStyle w:val="y2iqfc"/>
          <w:rFonts w:ascii="Times New Roman" w:hAnsi="Times New Roman"/>
          <w:szCs w:val="24"/>
        </w:rPr>
        <w:t>за</w:t>
      </w:r>
      <w:r w:rsidR="0008376B" w:rsidRPr="00295637">
        <w:rPr>
          <w:rStyle w:val="y2iqfc"/>
          <w:rFonts w:ascii="Times New Roman" w:hAnsi="Times New Roman"/>
          <w:szCs w:val="24"/>
        </w:rPr>
        <w:t xml:space="preserve"> </w:t>
      </w:r>
      <w:r>
        <w:rPr>
          <w:rStyle w:val="y2iqfc"/>
          <w:rFonts w:ascii="Times New Roman" w:hAnsi="Times New Roman"/>
          <w:szCs w:val="24"/>
        </w:rPr>
        <w:t>борбу</w:t>
      </w:r>
      <w:r w:rsidR="0008376B" w:rsidRPr="00295637">
        <w:rPr>
          <w:rStyle w:val="y2iqfc"/>
          <w:rFonts w:ascii="Times New Roman" w:hAnsi="Times New Roman"/>
          <w:szCs w:val="24"/>
        </w:rPr>
        <w:t xml:space="preserve"> </w:t>
      </w:r>
      <w:r>
        <w:rPr>
          <w:rStyle w:val="y2iqfc"/>
          <w:rFonts w:ascii="Times New Roman" w:hAnsi="Times New Roman"/>
          <w:szCs w:val="24"/>
        </w:rPr>
        <w:t>против</w:t>
      </w:r>
      <w:r w:rsidR="0008376B" w:rsidRPr="00295637">
        <w:rPr>
          <w:rStyle w:val="y2iqfc"/>
          <w:rFonts w:ascii="Times New Roman" w:hAnsi="Times New Roman"/>
          <w:szCs w:val="24"/>
        </w:rPr>
        <w:t xml:space="preserve"> </w:t>
      </w:r>
      <w:r>
        <w:rPr>
          <w:rStyle w:val="y2iqfc"/>
          <w:rFonts w:ascii="Times New Roman" w:hAnsi="Times New Roman"/>
          <w:szCs w:val="24"/>
        </w:rPr>
        <w:t>трговине</w:t>
      </w:r>
      <w:r w:rsidR="0008376B" w:rsidRPr="00295637">
        <w:rPr>
          <w:rStyle w:val="y2iqfc"/>
          <w:rFonts w:ascii="Times New Roman" w:hAnsi="Times New Roman"/>
          <w:szCs w:val="24"/>
        </w:rPr>
        <w:t xml:space="preserve"> </w:t>
      </w:r>
      <w:r>
        <w:rPr>
          <w:rStyle w:val="y2iqfc"/>
          <w:rFonts w:ascii="Times New Roman" w:hAnsi="Times New Roman"/>
          <w:szCs w:val="24"/>
        </w:rPr>
        <w:t>људима</w:t>
      </w:r>
      <w:r w:rsidR="0008376B" w:rsidRPr="00295637">
        <w:rPr>
          <w:rStyle w:val="y2iqfc"/>
          <w:rFonts w:ascii="Times New Roman" w:hAnsi="Times New Roman"/>
          <w:szCs w:val="24"/>
        </w:rPr>
        <w:t xml:space="preserve"> </w:t>
      </w:r>
      <w:r>
        <w:rPr>
          <w:rStyle w:val="y2iqfc"/>
          <w:rFonts w:ascii="Times New Roman" w:hAnsi="Times New Roman"/>
          <w:szCs w:val="24"/>
        </w:rPr>
        <w:t>у</w:t>
      </w:r>
      <w:r w:rsidR="0008376B" w:rsidRPr="00295637">
        <w:rPr>
          <w:rStyle w:val="y2iqfc"/>
          <w:rFonts w:ascii="Times New Roman" w:hAnsi="Times New Roman"/>
          <w:szCs w:val="24"/>
        </w:rPr>
        <w:t xml:space="preserve"> </w:t>
      </w:r>
      <w:r>
        <w:rPr>
          <w:rStyle w:val="y2iqfc"/>
          <w:rFonts w:ascii="Times New Roman" w:hAnsi="Times New Roman"/>
          <w:szCs w:val="24"/>
        </w:rPr>
        <w:t>Босни</w:t>
      </w:r>
      <w:r w:rsidR="0008376B" w:rsidRPr="00295637">
        <w:rPr>
          <w:rStyle w:val="y2iqfc"/>
          <w:rFonts w:ascii="Times New Roman" w:hAnsi="Times New Roman"/>
          <w:szCs w:val="24"/>
        </w:rPr>
        <w:t xml:space="preserve"> </w:t>
      </w:r>
      <w:r>
        <w:rPr>
          <w:rStyle w:val="y2iqfc"/>
          <w:rFonts w:ascii="Times New Roman" w:hAnsi="Times New Roman"/>
          <w:szCs w:val="24"/>
        </w:rPr>
        <w:t>и</w:t>
      </w:r>
      <w:r w:rsidR="0008376B" w:rsidRPr="00295637">
        <w:rPr>
          <w:rStyle w:val="y2iqfc"/>
          <w:rFonts w:ascii="Times New Roman" w:hAnsi="Times New Roman"/>
          <w:szCs w:val="24"/>
        </w:rPr>
        <w:t xml:space="preserve"> </w:t>
      </w:r>
      <w:r>
        <w:rPr>
          <w:rStyle w:val="y2iqfc"/>
          <w:rFonts w:ascii="Times New Roman" w:hAnsi="Times New Roman"/>
          <w:szCs w:val="24"/>
        </w:rPr>
        <w:t>Херцеговини</w:t>
      </w:r>
      <w:r w:rsidR="0008376B" w:rsidRPr="00295637">
        <w:rPr>
          <w:rStyle w:val="y2iqfc"/>
          <w:rFonts w:ascii="Times New Roman" w:hAnsi="Times New Roman"/>
          <w:szCs w:val="24"/>
        </w:rPr>
        <w:t xml:space="preserve"> (2024–2027</w:t>
      </w:r>
      <w:r w:rsidR="0046522D">
        <w:rPr>
          <w:rStyle w:val="y2iqfc"/>
          <w:rFonts w:ascii="Times New Roman" w:hAnsi="Times New Roman"/>
          <w:szCs w:val="24"/>
        </w:rPr>
        <w:t xml:space="preserve">. </w:t>
      </w:r>
      <w:r>
        <w:rPr>
          <w:rStyle w:val="y2iqfc"/>
          <w:rFonts w:ascii="Times New Roman" w:hAnsi="Times New Roman"/>
          <w:szCs w:val="24"/>
        </w:rPr>
        <w:t>година</w:t>
      </w:r>
      <w:r w:rsidR="0008376B" w:rsidRPr="00295637">
        <w:rPr>
          <w:rStyle w:val="y2iqfc"/>
          <w:rFonts w:ascii="Times New Roman" w:hAnsi="Times New Roman"/>
          <w:szCs w:val="24"/>
        </w:rPr>
        <w:t xml:space="preserve">), </w:t>
      </w:r>
      <w:r>
        <w:rPr>
          <w:rStyle w:val="y2iqfc"/>
          <w:rFonts w:ascii="Times New Roman" w:hAnsi="Times New Roman"/>
          <w:szCs w:val="24"/>
        </w:rPr>
        <w:t>коју</w:t>
      </w:r>
      <w:r w:rsidR="0008376B" w:rsidRPr="00295637">
        <w:rPr>
          <w:rStyle w:val="y2iqfc"/>
          <w:rFonts w:ascii="Times New Roman" w:hAnsi="Times New Roman"/>
          <w:szCs w:val="24"/>
        </w:rPr>
        <w:t xml:space="preserve"> </w:t>
      </w:r>
      <w:r>
        <w:rPr>
          <w:rStyle w:val="y2iqfc"/>
          <w:rFonts w:ascii="Times New Roman" w:hAnsi="Times New Roman"/>
          <w:szCs w:val="24"/>
        </w:rPr>
        <w:t>је</w:t>
      </w:r>
      <w:r w:rsidR="0008376B" w:rsidRPr="00295637">
        <w:rPr>
          <w:rStyle w:val="y2iqfc"/>
          <w:rFonts w:ascii="Times New Roman" w:hAnsi="Times New Roman"/>
          <w:szCs w:val="24"/>
        </w:rPr>
        <w:t xml:space="preserve"> </w:t>
      </w:r>
      <w:r w:rsidR="00F742CE">
        <w:rPr>
          <w:rStyle w:val="y2iqfc"/>
          <w:rFonts w:ascii="Times New Roman" w:hAnsi="Times New Roman"/>
          <w:szCs w:val="24"/>
          <w:lang w:val="sr-Cyrl-BA"/>
        </w:rPr>
        <w:t>С</w:t>
      </w:r>
      <w:r>
        <w:rPr>
          <w:rStyle w:val="y2iqfc"/>
          <w:rFonts w:ascii="Times New Roman" w:hAnsi="Times New Roman"/>
          <w:szCs w:val="24"/>
        </w:rPr>
        <w:t>Е</w:t>
      </w:r>
      <w:r w:rsidR="0008376B" w:rsidRPr="00295637">
        <w:rPr>
          <w:rStyle w:val="y2iqfc"/>
          <w:rFonts w:ascii="Times New Roman" w:hAnsi="Times New Roman"/>
          <w:szCs w:val="24"/>
        </w:rPr>
        <w:t xml:space="preserve"> </w:t>
      </w:r>
      <w:r>
        <w:rPr>
          <w:rStyle w:val="y2iqfc"/>
          <w:rFonts w:ascii="Times New Roman" w:hAnsi="Times New Roman"/>
          <w:szCs w:val="24"/>
        </w:rPr>
        <w:t>БиХ</w:t>
      </w:r>
      <w:r w:rsidR="0008376B" w:rsidRPr="00295637">
        <w:rPr>
          <w:rStyle w:val="y2iqfc"/>
          <w:rFonts w:ascii="Times New Roman" w:hAnsi="Times New Roman"/>
          <w:szCs w:val="24"/>
        </w:rPr>
        <w:t xml:space="preserve"> </w:t>
      </w:r>
      <w:r>
        <w:rPr>
          <w:rStyle w:val="y2iqfc"/>
          <w:rFonts w:ascii="Times New Roman" w:hAnsi="Times New Roman"/>
          <w:szCs w:val="24"/>
        </w:rPr>
        <w:t>усвојио</w:t>
      </w:r>
      <w:r w:rsidR="0008376B" w:rsidRPr="00295637">
        <w:rPr>
          <w:rStyle w:val="y2iqfc"/>
          <w:rFonts w:ascii="Times New Roman" w:hAnsi="Times New Roman"/>
          <w:szCs w:val="24"/>
        </w:rPr>
        <w:t xml:space="preserve"> 23. </w:t>
      </w:r>
      <w:r>
        <w:rPr>
          <w:rStyle w:val="y2iqfc"/>
          <w:rFonts w:ascii="Times New Roman" w:hAnsi="Times New Roman"/>
          <w:szCs w:val="24"/>
        </w:rPr>
        <w:t>октобра</w:t>
      </w:r>
      <w:r w:rsidR="0008376B" w:rsidRPr="00295637">
        <w:rPr>
          <w:rStyle w:val="y2iqfc"/>
          <w:rFonts w:ascii="Times New Roman" w:hAnsi="Times New Roman"/>
          <w:szCs w:val="24"/>
        </w:rPr>
        <w:t xml:space="preserve"> 2024. </w:t>
      </w:r>
      <w:r>
        <w:rPr>
          <w:rStyle w:val="y2iqfc"/>
          <w:rFonts w:ascii="Times New Roman" w:hAnsi="Times New Roman"/>
          <w:szCs w:val="24"/>
        </w:rPr>
        <w:t>године</w:t>
      </w:r>
      <w:r w:rsidR="0008376B" w:rsidRPr="00295637">
        <w:rPr>
          <w:rStyle w:val="y2iqfc"/>
          <w:rFonts w:ascii="Times New Roman" w:hAnsi="Times New Roman"/>
          <w:szCs w:val="24"/>
        </w:rPr>
        <w:t xml:space="preserve">. </w:t>
      </w:r>
    </w:p>
    <w:p w:rsidR="00E632F7" w:rsidRPr="00295637" w:rsidRDefault="00E632F7" w:rsidP="0086268D">
      <w:pPr>
        <w:jc w:val="both"/>
        <w:rPr>
          <w:color w:val="FF0000"/>
        </w:rPr>
      </w:pPr>
    </w:p>
    <w:p w:rsidR="00E632F7" w:rsidRPr="0046522D" w:rsidRDefault="00C6214E" w:rsidP="0086268D">
      <w:pPr>
        <w:pStyle w:val="HTMLPreformatted"/>
        <w:jc w:val="both"/>
        <w:rPr>
          <w:rFonts w:ascii="inherit" w:hAnsi="inherit"/>
          <w:sz w:val="24"/>
          <w:szCs w:val="24"/>
          <w:lang w:val="en-US"/>
        </w:rPr>
      </w:pPr>
      <w:r>
        <w:rPr>
          <w:rStyle w:val="y2iqfc"/>
          <w:rFonts w:ascii="inherit" w:hAnsi="inherit"/>
          <w:sz w:val="24"/>
          <w:szCs w:val="24"/>
        </w:rPr>
        <w:t>Поред</w:t>
      </w:r>
      <w:r w:rsidR="00E632F7" w:rsidRPr="0046522D">
        <w:rPr>
          <w:rStyle w:val="y2iqfc"/>
          <w:rFonts w:ascii="inherit" w:hAnsi="inherit"/>
          <w:sz w:val="24"/>
          <w:szCs w:val="24"/>
        </w:rPr>
        <w:t xml:space="preserve"> </w:t>
      </w:r>
      <w:r>
        <w:rPr>
          <w:rStyle w:val="y2iqfc"/>
          <w:rFonts w:ascii="inherit" w:hAnsi="inherit"/>
          <w:sz w:val="24"/>
          <w:szCs w:val="24"/>
        </w:rPr>
        <w:t>тога</w:t>
      </w:r>
      <w:r w:rsidR="00E632F7" w:rsidRPr="0046522D">
        <w:rPr>
          <w:rStyle w:val="y2iqfc"/>
          <w:rFonts w:ascii="inherit" w:hAnsi="inherit"/>
          <w:sz w:val="24"/>
          <w:szCs w:val="24"/>
        </w:rPr>
        <w:t xml:space="preserve">, </w:t>
      </w:r>
      <w:r w:rsidR="00F742CE">
        <w:rPr>
          <w:rStyle w:val="y2iqfc"/>
          <w:rFonts w:ascii="inherit" w:hAnsi="inherit"/>
          <w:sz w:val="24"/>
          <w:szCs w:val="24"/>
          <w:lang w:val="sr-Cyrl-BA"/>
        </w:rPr>
        <w:t>Савјет</w:t>
      </w:r>
      <w:r w:rsidR="00E632F7" w:rsidRPr="0046522D">
        <w:rPr>
          <w:rStyle w:val="y2iqfc"/>
          <w:rFonts w:ascii="inherit" w:hAnsi="inherit"/>
          <w:sz w:val="24"/>
          <w:szCs w:val="24"/>
        </w:rPr>
        <w:t xml:space="preserve"> </w:t>
      </w:r>
      <w:r>
        <w:rPr>
          <w:rStyle w:val="y2iqfc"/>
          <w:rFonts w:ascii="inherit" w:hAnsi="inherit"/>
          <w:sz w:val="24"/>
          <w:szCs w:val="24"/>
        </w:rPr>
        <w:t>Европе</w:t>
      </w:r>
      <w:r w:rsidR="00E632F7" w:rsidRPr="0046522D">
        <w:rPr>
          <w:rStyle w:val="y2iqfc"/>
          <w:rFonts w:ascii="inherit" w:hAnsi="inherit"/>
          <w:sz w:val="24"/>
          <w:szCs w:val="24"/>
        </w:rPr>
        <w:t xml:space="preserve"> </w:t>
      </w:r>
      <w:r>
        <w:rPr>
          <w:rStyle w:val="y2iqfc"/>
          <w:rFonts w:ascii="inherit" w:hAnsi="inherit"/>
          <w:sz w:val="24"/>
          <w:szCs w:val="24"/>
        </w:rPr>
        <w:t>се</w:t>
      </w:r>
      <w:r w:rsidR="0046522D" w:rsidRPr="0046522D">
        <w:rPr>
          <w:rStyle w:val="y2iqfc"/>
          <w:rFonts w:ascii="inherit" w:hAnsi="inherit"/>
          <w:sz w:val="24"/>
          <w:szCs w:val="24"/>
        </w:rPr>
        <w:t xml:space="preserve"> </w:t>
      </w:r>
      <w:r w:rsidR="008A65D0">
        <w:rPr>
          <w:rStyle w:val="y2iqfc"/>
          <w:rFonts w:ascii="inherit" w:hAnsi="inherit"/>
          <w:sz w:val="24"/>
          <w:szCs w:val="24"/>
        </w:rPr>
        <w:t>залагало</w:t>
      </w:r>
      <w:r w:rsidR="008A65D0" w:rsidRPr="0046522D">
        <w:rPr>
          <w:rStyle w:val="y2iqfc"/>
          <w:rFonts w:ascii="inherit" w:hAnsi="inherit"/>
          <w:sz w:val="24"/>
          <w:szCs w:val="24"/>
        </w:rPr>
        <w:t xml:space="preserve"> </w:t>
      </w:r>
      <w:r>
        <w:rPr>
          <w:rStyle w:val="y2iqfc"/>
          <w:rFonts w:ascii="inherit" w:hAnsi="inherit"/>
          <w:sz w:val="24"/>
          <w:szCs w:val="24"/>
        </w:rPr>
        <w:t>за</w:t>
      </w:r>
      <w:r w:rsidR="00E632F7" w:rsidRPr="0046522D">
        <w:rPr>
          <w:rStyle w:val="y2iqfc"/>
          <w:rFonts w:ascii="inherit" w:hAnsi="inherit"/>
          <w:sz w:val="24"/>
          <w:szCs w:val="24"/>
        </w:rPr>
        <w:t xml:space="preserve"> </w:t>
      </w:r>
      <w:r>
        <w:rPr>
          <w:rStyle w:val="y2iqfc"/>
          <w:rFonts w:ascii="inherit" w:hAnsi="inherit"/>
          <w:sz w:val="24"/>
          <w:szCs w:val="24"/>
        </w:rPr>
        <w:t>родно</w:t>
      </w:r>
      <w:r w:rsidR="00E632F7" w:rsidRPr="0046522D">
        <w:rPr>
          <w:rStyle w:val="y2iqfc"/>
          <w:rFonts w:ascii="inherit" w:hAnsi="inherit"/>
          <w:sz w:val="24"/>
          <w:szCs w:val="24"/>
        </w:rPr>
        <w:t xml:space="preserve"> </w:t>
      </w:r>
      <w:r>
        <w:rPr>
          <w:rStyle w:val="y2iqfc"/>
          <w:rFonts w:ascii="inherit" w:hAnsi="inherit"/>
          <w:sz w:val="24"/>
          <w:szCs w:val="24"/>
        </w:rPr>
        <w:t>осјетљиве</w:t>
      </w:r>
      <w:r w:rsidR="00E632F7" w:rsidRPr="0046522D">
        <w:rPr>
          <w:rStyle w:val="y2iqfc"/>
          <w:rFonts w:ascii="inherit" w:hAnsi="inherit"/>
          <w:sz w:val="24"/>
          <w:szCs w:val="24"/>
        </w:rPr>
        <w:t xml:space="preserve"> </w:t>
      </w:r>
      <w:r>
        <w:rPr>
          <w:rStyle w:val="y2iqfc"/>
          <w:rFonts w:ascii="inherit" w:hAnsi="inherit"/>
          <w:sz w:val="24"/>
          <w:szCs w:val="24"/>
        </w:rPr>
        <w:t>мјере</w:t>
      </w:r>
      <w:r w:rsidR="00E632F7" w:rsidRPr="0046522D">
        <w:rPr>
          <w:rStyle w:val="y2iqfc"/>
          <w:rFonts w:ascii="inherit" w:hAnsi="inherit"/>
          <w:sz w:val="24"/>
          <w:szCs w:val="24"/>
        </w:rPr>
        <w:t xml:space="preserve"> </w:t>
      </w:r>
      <w:r>
        <w:rPr>
          <w:rStyle w:val="y2iqfc"/>
          <w:rFonts w:ascii="inherit" w:hAnsi="inherit"/>
          <w:sz w:val="24"/>
          <w:szCs w:val="24"/>
        </w:rPr>
        <w:t>у</w:t>
      </w:r>
      <w:r w:rsidR="00E632F7" w:rsidRPr="0046522D">
        <w:rPr>
          <w:rStyle w:val="y2iqfc"/>
          <w:rFonts w:ascii="inherit" w:hAnsi="inherit"/>
          <w:sz w:val="24"/>
          <w:szCs w:val="24"/>
        </w:rPr>
        <w:t xml:space="preserve"> </w:t>
      </w:r>
      <w:r>
        <w:rPr>
          <w:rStyle w:val="y2iqfc"/>
          <w:rFonts w:ascii="inherit" w:hAnsi="inherit"/>
          <w:sz w:val="24"/>
          <w:szCs w:val="24"/>
        </w:rPr>
        <w:t>ентитетским</w:t>
      </w:r>
      <w:r w:rsidR="00E632F7" w:rsidRPr="0046522D">
        <w:rPr>
          <w:rStyle w:val="y2iqfc"/>
          <w:rFonts w:ascii="inherit" w:hAnsi="inherit"/>
          <w:sz w:val="24"/>
          <w:szCs w:val="24"/>
        </w:rPr>
        <w:t xml:space="preserve"> </w:t>
      </w:r>
      <w:r>
        <w:rPr>
          <w:rStyle w:val="y2iqfc"/>
          <w:rFonts w:ascii="inherit" w:hAnsi="inherit"/>
          <w:sz w:val="24"/>
          <w:szCs w:val="24"/>
        </w:rPr>
        <w:t>и</w:t>
      </w:r>
      <w:r w:rsidR="00E632F7" w:rsidRPr="0046522D">
        <w:rPr>
          <w:rStyle w:val="y2iqfc"/>
          <w:rFonts w:ascii="inherit" w:hAnsi="inherit"/>
          <w:sz w:val="24"/>
          <w:szCs w:val="24"/>
        </w:rPr>
        <w:t xml:space="preserve"> </w:t>
      </w:r>
      <w:r>
        <w:rPr>
          <w:rStyle w:val="y2iqfc"/>
          <w:rFonts w:ascii="inherit" w:hAnsi="inherit"/>
          <w:sz w:val="24"/>
          <w:szCs w:val="24"/>
        </w:rPr>
        <w:t>локалним</w:t>
      </w:r>
      <w:r w:rsidR="00E632F7" w:rsidRPr="0046522D">
        <w:rPr>
          <w:rStyle w:val="y2iqfc"/>
          <w:rFonts w:ascii="inherit" w:hAnsi="inherit"/>
          <w:sz w:val="24"/>
          <w:szCs w:val="24"/>
        </w:rPr>
        <w:t xml:space="preserve"> </w:t>
      </w:r>
      <w:r>
        <w:rPr>
          <w:rStyle w:val="y2iqfc"/>
          <w:rFonts w:ascii="inherit" w:hAnsi="inherit"/>
          <w:sz w:val="24"/>
          <w:szCs w:val="24"/>
        </w:rPr>
        <w:t>акционим</w:t>
      </w:r>
      <w:r w:rsidR="00E632F7" w:rsidRPr="0046522D">
        <w:rPr>
          <w:rStyle w:val="y2iqfc"/>
          <w:rFonts w:ascii="inherit" w:hAnsi="inherit"/>
          <w:sz w:val="24"/>
          <w:szCs w:val="24"/>
        </w:rPr>
        <w:t xml:space="preserve"> </w:t>
      </w:r>
      <w:r>
        <w:rPr>
          <w:rStyle w:val="y2iqfc"/>
          <w:rFonts w:ascii="inherit" w:hAnsi="inherit"/>
          <w:sz w:val="24"/>
          <w:szCs w:val="24"/>
        </w:rPr>
        <w:t>плановима</w:t>
      </w:r>
      <w:r w:rsidR="00E632F7" w:rsidRPr="0046522D">
        <w:rPr>
          <w:rStyle w:val="y2iqfc"/>
          <w:rFonts w:ascii="inherit" w:hAnsi="inherit"/>
          <w:sz w:val="24"/>
          <w:szCs w:val="24"/>
        </w:rPr>
        <w:t xml:space="preserve"> </w:t>
      </w:r>
      <w:r>
        <w:rPr>
          <w:rStyle w:val="y2iqfc"/>
          <w:rFonts w:ascii="inherit" w:hAnsi="inherit"/>
          <w:sz w:val="24"/>
          <w:szCs w:val="24"/>
        </w:rPr>
        <w:t>за</w:t>
      </w:r>
      <w:r w:rsidR="00E632F7" w:rsidRPr="0046522D">
        <w:rPr>
          <w:rStyle w:val="y2iqfc"/>
          <w:rFonts w:ascii="inherit" w:hAnsi="inherit"/>
          <w:sz w:val="24"/>
          <w:szCs w:val="24"/>
        </w:rPr>
        <w:t xml:space="preserve"> </w:t>
      </w:r>
      <w:r>
        <w:rPr>
          <w:rStyle w:val="y2iqfc"/>
          <w:rFonts w:ascii="inherit" w:hAnsi="inherit"/>
          <w:sz w:val="24"/>
          <w:szCs w:val="24"/>
        </w:rPr>
        <w:t>борбу</w:t>
      </w:r>
      <w:r w:rsidR="00E632F7" w:rsidRPr="0046522D">
        <w:rPr>
          <w:rStyle w:val="y2iqfc"/>
          <w:rFonts w:ascii="inherit" w:hAnsi="inherit"/>
          <w:sz w:val="24"/>
          <w:szCs w:val="24"/>
        </w:rPr>
        <w:t xml:space="preserve"> </w:t>
      </w:r>
      <w:r>
        <w:rPr>
          <w:rStyle w:val="y2iqfc"/>
          <w:rFonts w:ascii="inherit" w:hAnsi="inherit"/>
          <w:sz w:val="24"/>
          <w:szCs w:val="24"/>
        </w:rPr>
        <w:t>против</w:t>
      </w:r>
      <w:r w:rsidR="00E632F7" w:rsidRPr="0046522D">
        <w:rPr>
          <w:rStyle w:val="y2iqfc"/>
          <w:rFonts w:ascii="inherit" w:hAnsi="inherit"/>
          <w:sz w:val="24"/>
          <w:szCs w:val="24"/>
        </w:rPr>
        <w:t xml:space="preserve"> </w:t>
      </w:r>
      <w:r>
        <w:rPr>
          <w:rStyle w:val="y2iqfc"/>
          <w:rFonts w:ascii="inherit" w:hAnsi="inherit"/>
          <w:sz w:val="24"/>
          <w:szCs w:val="24"/>
        </w:rPr>
        <w:t>трговине</w:t>
      </w:r>
      <w:r w:rsidR="00E632F7" w:rsidRPr="0046522D">
        <w:rPr>
          <w:rStyle w:val="y2iqfc"/>
          <w:rFonts w:ascii="inherit" w:hAnsi="inherit"/>
          <w:sz w:val="24"/>
          <w:szCs w:val="24"/>
        </w:rPr>
        <w:t xml:space="preserve"> </w:t>
      </w:r>
      <w:r>
        <w:rPr>
          <w:rStyle w:val="y2iqfc"/>
          <w:rFonts w:ascii="inherit" w:hAnsi="inherit"/>
          <w:sz w:val="24"/>
          <w:szCs w:val="24"/>
        </w:rPr>
        <w:t>људима</w:t>
      </w:r>
      <w:r w:rsidR="00E632F7" w:rsidRPr="0046522D">
        <w:rPr>
          <w:rStyle w:val="y2iqfc"/>
          <w:rFonts w:ascii="inherit" w:hAnsi="inherit"/>
          <w:sz w:val="24"/>
          <w:szCs w:val="24"/>
        </w:rPr>
        <w:t xml:space="preserve"> </w:t>
      </w:r>
      <w:r>
        <w:rPr>
          <w:rStyle w:val="y2iqfc"/>
          <w:rFonts w:ascii="inherit" w:hAnsi="inherit"/>
          <w:sz w:val="24"/>
          <w:szCs w:val="24"/>
        </w:rPr>
        <w:t>и</w:t>
      </w:r>
      <w:r w:rsidR="00E632F7" w:rsidRPr="0046522D">
        <w:rPr>
          <w:rStyle w:val="y2iqfc"/>
          <w:rFonts w:ascii="inherit" w:hAnsi="inherit"/>
          <w:sz w:val="24"/>
          <w:szCs w:val="24"/>
        </w:rPr>
        <w:t xml:space="preserve"> </w:t>
      </w:r>
      <w:r>
        <w:rPr>
          <w:rStyle w:val="y2iqfc"/>
          <w:rFonts w:ascii="inherit" w:hAnsi="inherit"/>
          <w:sz w:val="24"/>
          <w:szCs w:val="24"/>
        </w:rPr>
        <w:t>укључио</w:t>
      </w:r>
      <w:r w:rsidR="00E632F7" w:rsidRPr="0046522D">
        <w:rPr>
          <w:rStyle w:val="y2iqfc"/>
          <w:rFonts w:ascii="inherit" w:hAnsi="inherit"/>
          <w:sz w:val="24"/>
          <w:szCs w:val="24"/>
        </w:rPr>
        <w:t xml:space="preserve"> </w:t>
      </w:r>
      <w:r>
        <w:rPr>
          <w:rStyle w:val="y2iqfc"/>
          <w:rFonts w:ascii="inherit" w:hAnsi="inherit"/>
          <w:sz w:val="24"/>
          <w:szCs w:val="24"/>
        </w:rPr>
        <w:t>кључне</w:t>
      </w:r>
      <w:r w:rsidR="00E632F7" w:rsidRPr="0046522D">
        <w:rPr>
          <w:rStyle w:val="y2iqfc"/>
          <w:rFonts w:ascii="inherit" w:hAnsi="inherit"/>
          <w:sz w:val="24"/>
          <w:szCs w:val="24"/>
        </w:rPr>
        <w:t xml:space="preserve"> </w:t>
      </w:r>
      <w:r>
        <w:rPr>
          <w:rStyle w:val="y2iqfc"/>
          <w:rFonts w:ascii="inherit" w:hAnsi="inherit"/>
          <w:sz w:val="24"/>
          <w:szCs w:val="24"/>
        </w:rPr>
        <w:t>заинтерес</w:t>
      </w:r>
      <w:r w:rsidR="00F742CE">
        <w:rPr>
          <w:rStyle w:val="y2iqfc"/>
          <w:rFonts w:ascii="inherit" w:hAnsi="inherit"/>
          <w:sz w:val="24"/>
          <w:szCs w:val="24"/>
          <w:lang w:val="sr-Cyrl-BA"/>
        </w:rPr>
        <w:t>оване</w:t>
      </w:r>
      <w:r w:rsidR="00E632F7" w:rsidRPr="0046522D">
        <w:rPr>
          <w:rStyle w:val="y2iqfc"/>
          <w:rFonts w:ascii="inherit" w:hAnsi="inherit"/>
          <w:sz w:val="24"/>
          <w:szCs w:val="24"/>
        </w:rPr>
        <w:t xml:space="preserve"> </w:t>
      </w:r>
      <w:r>
        <w:rPr>
          <w:rStyle w:val="y2iqfc"/>
          <w:rFonts w:ascii="inherit" w:hAnsi="inherit"/>
          <w:sz w:val="24"/>
          <w:szCs w:val="24"/>
        </w:rPr>
        <w:t>стране</w:t>
      </w:r>
      <w:r w:rsidR="00E632F7" w:rsidRPr="0046522D">
        <w:rPr>
          <w:rStyle w:val="y2iqfc"/>
          <w:rFonts w:ascii="inherit" w:hAnsi="inherit"/>
          <w:sz w:val="24"/>
          <w:szCs w:val="24"/>
        </w:rPr>
        <w:t xml:space="preserve"> </w:t>
      </w:r>
      <w:r>
        <w:rPr>
          <w:rStyle w:val="y2iqfc"/>
          <w:rFonts w:ascii="inherit" w:hAnsi="inherit"/>
          <w:sz w:val="24"/>
          <w:szCs w:val="24"/>
        </w:rPr>
        <w:t>у</w:t>
      </w:r>
      <w:r w:rsidR="00E632F7" w:rsidRPr="0046522D">
        <w:rPr>
          <w:rStyle w:val="y2iqfc"/>
          <w:rFonts w:ascii="inherit" w:hAnsi="inherit"/>
          <w:sz w:val="24"/>
          <w:szCs w:val="24"/>
        </w:rPr>
        <w:t xml:space="preserve"> </w:t>
      </w:r>
      <w:r>
        <w:rPr>
          <w:rStyle w:val="y2iqfc"/>
          <w:rFonts w:ascii="inherit" w:hAnsi="inherit"/>
          <w:sz w:val="24"/>
          <w:szCs w:val="24"/>
        </w:rPr>
        <w:t>дискусије</w:t>
      </w:r>
      <w:r w:rsidR="00E632F7" w:rsidRPr="0046522D">
        <w:rPr>
          <w:rStyle w:val="y2iqfc"/>
          <w:rFonts w:ascii="inherit" w:hAnsi="inherit"/>
          <w:sz w:val="24"/>
          <w:szCs w:val="24"/>
        </w:rPr>
        <w:t xml:space="preserve"> </w:t>
      </w:r>
      <w:r>
        <w:rPr>
          <w:rStyle w:val="y2iqfc"/>
          <w:rFonts w:ascii="inherit" w:hAnsi="inherit"/>
          <w:sz w:val="24"/>
          <w:szCs w:val="24"/>
        </w:rPr>
        <w:t>о</w:t>
      </w:r>
      <w:r w:rsidR="00E632F7" w:rsidRPr="0046522D">
        <w:rPr>
          <w:rStyle w:val="y2iqfc"/>
          <w:rFonts w:ascii="inherit" w:hAnsi="inherit"/>
          <w:sz w:val="24"/>
          <w:szCs w:val="24"/>
        </w:rPr>
        <w:t xml:space="preserve"> </w:t>
      </w:r>
      <w:r>
        <w:rPr>
          <w:rStyle w:val="y2iqfc"/>
          <w:rFonts w:ascii="inherit" w:hAnsi="inherit"/>
          <w:sz w:val="24"/>
          <w:szCs w:val="24"/>
        </w:rPr>
        <w:t>политикама</w:t>
      </w:r>
      <w:r w:rsidR="00E632F7" w:rsidRPr="0046522D">
        <w:rPr>
          <w:rStyle w:val="y2iqfc"/>
          <w:rFonts w:ascii="inherit" w:hAnsi="inherit"/>
          <w:sz w:val="24"/>
          <w:szCs w:val="24"/>
        </w:rPr>
        <w:t xml:space="preserve">. </w:t>
      </w:r>
      <w:r>
        <w:rPr>
          <w:rStyle w:val="y2iqfc"/>
          <w:rFonts w:ascii="inherit" w:hAnsi="inherit"/>
          <w:sz w:val="24"/>
          <w:szCs w:val="24"/>
        </w:rPr>
        <w:t>Конкретно</w:t>
      </w:r>
      <w:r w:rsidR="00E632F7" w:rsidRPr="0046522D">
        <w:rPr>
          <w:rStyle w:val="y2iqfc"/>
          <w:rFonts w:ascii="inherit" w:hAnsi="inherit"/>
          <w:sz w:val="24"/>
          <w:szCs w:val="24"/>
        </w:rPr>
        <w:t xml:space="preserve">, </w:t>
      </w:r>
      <w:r>
        <w:rPr>
          <w:rStyle w:val="y2iqfc"/>
          <w:rFonts w:ascii="inherit" w:hAnsi="inherit"/>
          <w:sz w:val="24"/>
          <w:szCs w:val="24"/>
        </w:rPr>
        <w:t>смјернице</w:t>
      </w:r>
      <w:r w:rsidR="00E632F7" w:rsidRPr="0046522D">
        <w:rPr>
          <w:rStyle w:val="y2iqfc"/>
          <w:rFonts w:ascii="inherit" w:hAnsi="inherit"/>
          <w:sz w:val="24"/>
          <w:szCs w:val="24"/>
        </w:rPr>
        <w:t xml:space="preserve">, </w:t>
      </w:r>
      <w:r>
        <w:rPr>
          <w:rStyle w:val="y2iqfc"/>
          <w:rFonts w:ascii="inherit" w:hAnsi="inherit"/>
          <w:sz w:val="24"/>
          <w:szCs w:val="24"/>
        </w:rPr>
        <w:t>развијене</w:t>
      </w:r>
      <w:r w:rsidR="00E632F7" w:rsidRPr="0046522D">
        <w:rPr>
          <w:rStyle w:val="y2iqfc"/>
          <w:rFonts w:ascii="inherit" w:hAnsi="inherit"/>
          <w:sz w:val="24"/>
          <w:szCs w:val="24"/>
        </w:rPr>
        <w:t xml:space="preserve"> </w:t>
      </w:r>
      <w:r>
        <w:rPr>
          <w:rStyle w:val="y2iqfc"/>
          <w:rFonts w:ascii="inherit" w:hAnsi="inherit"/>
          <w:sz w:val="24"/>
          <w:szCs w:val="24"/>
        </w:rPr>
        <w:t>током</w:t>
      </w:r>
      <w:r w:rsidR="00E632F7" w:rsidRPr="0046522D">
        <w:rPr>
          <w:rStyle w:val="y2iqfc"/>
          <w:rFonts w:ascii="inherit" w:hAnsi="inherit"/>
          <w:sz w:val="24"/>
          <w:szCs w:val="24"/>
        </w:rPr>
        <w:t xml:space="preserve"> </w:t>
      </w:r>
      <w:r>
        <w:rPr>
          <w:rStyle w:val="y2iqfc"/>
          <w:rFonts w:ascii="inherit" w:hAnsi="inherit"/>
          <w:sz w:val="24"/>
          <w:szCs w:val="24"/>
        </w:rPr>
        <w:t>претходног</w:t>
      </w:r>
      <w:r w:rsidR="00E632F7" w:rsidRPr="0046522D">
        <w:rPr>
          <w:rStyle w:val="y2iqfc"/>
          <w:rFonts w:ascii="inherit" w:hAnsi="inherit"/>
          <w:sz w:val="24"/>
          <w:szCs w:val="24"/>
        </w:rPr>
        <w:t xml:space="preserve"> </w:t>
      </w:r>
      <w:r>
        <w:rPr>
          <w:rStyle w:val="y2iqfc"/>
          <w:rFonts w:ascii="inherit" w:hAnsi="inherit"/>
          <w:sz w:val="24"/>
          <w:szCs w:val="24"/>
        </w:rPr>
        <w:t>пројекта</w:t>
      </w:r>
      <w:r w:rsidR="00E632F7" w:rsidRPr="0046522D">
        <w:rPr>
          <w:rStyle w:val="y2iqfc"/>
          <w:rFonts w:ascii="inherit" w:hAnsi="inherit"/>
          <w:sz w:val="24"/>
          <w:szCs w:val="24"/>
        </w:rPr>
        <w:t xml:space="preserve"> </w:t>
      </w:r>
      <w:r>
        <w:rPr>
          <w:rStyle w:val="y2iqfc"/>
          <w:rFonts w:ascii="inherit" w:hAnsi="inherit"/>
          <w:sz w:val="24"/>
          <w:szCs w:val="24"/>
        </w:rPr>
        <w:t>за</w:t>
      </w:r>
      <w:r w:rsidR="00E632F7" w:rsidRPr="0046522D">
        <w:rPr>
          <w:rStyle w:val="y2iqfc"/>
          <w:rFonts w:ascii="inherit" w:hAnsi="inherit"/>
          <w:sz w:val="24"/>
          <w:szCs w:val="24"/>
        </w:rPr>
        <w:t xml:space="preserve"> </w:t>
      </w:r>
      <w:r>
        <w:rPr>
          <w:rStyle w:val="y2iqfc"/>
          <w:rFonts w:ascii="inherit" w:hAnsi="inherit"/>
          <w:sz w:val="24"/>
          <w:szCs w:val="24"/>
        </w:rPr>
        <w:t>борбу</w:t>
      </w:r>
      <w:r w:rsidR="00E632F7" w:rsidRPr="0046522D">
        <w:rPr>
          <w:rStyle w:val="y2iqfc"/>
          <w:rFonts w:ascii="inherit" w:hAnsi="inherit"/>
          <w:sz w:val="24"/>
          <w:szCs w:val="24"/>
        </w:rPr>
        <w:t xml:space="preserve"> </w:t>
      </w:r>
      <w:r>
        <w:rPr>
          <w:rStyle w:val="y2iqfc"/>
          <w:rFonts w:ascii="inherit" w:hAnsi="inherit"/>
          <w:sz w:val="24"/>
          <w:szCs w:val="24"/>
        </w:rPr>
        <w:t>против</w:t>
      </w:r>
      <w:r w:rsidR="00E632F7" w:rsidRPr="0046522D">
        <w:rPr>
          <w:rStyle w:val="y2iqfc"/>
          <w:rFonts w:ascii="inherit" w:hAnsi="inherit"/>
          <w:sz w:val="24"/>
          <w:szCs w:val="24"/>
        </w:rPr>
        <w:t xml:space="preserve"> </w:t>
      </w:r>
      <w:r>
        <w:rPr>
          <w:rStyle w:val="y2iqfc"/>
          <w:rFonts w:ascii="inherit" w:hAnsi="inherit"/>
          <w:sz w:val="24"/>
          <w:szCs w:val="24"/>
        </w:rPr>
        <w:t>трговине</w:t>
      </w:r>
      <w:r w:rsidR="00E632F7" w:rsidRPr="0046522D">
        <w:rPr>
          <w:rStyle w:val="y2iqfc"/>
          <w:rFonts w:ascii="inherit" w:hAnsi="inherit"/>
          <w:sz w:val="24"/>
          <w:szCs w:val="24"/>
        </w:rPr>
        <w:t xml:space="preserve"> </w:t>
      </w:r>
      <w:r>
        <w:rPr>
          <w:rStyle w:val="y2iqfc"/>
          <w:rFonts w:ascii="inherit" w:hAnsi="inherit"/>
          <w:sz w:val="24"/>
          <w:szCs w:val="24"/>
        </w:rPr>
        <w:t>људима</w:t>
      </w:r>
      <w:r w:rsidR="00E632F7" w:rsidRPr="0046522D">
        <w:rPr>
          <w:rStyle w:val="y2iqfc"/>
          <w:rFonts w:ascii="inherit" w:hAnsi="inherit"/>
          <w:sz w:val="24"/>
          <w:szCs w:val="24"/>
        </w:rPr>
        <w:t xml:space="preserve">, </w:t>
      </w:r>
      <w:r>
        <w:rPr>
          <w:rStyle w:val="y2iqfc"/>
          <w:rFonts w:ascii="inherit" w:hAnsi="inherit"/>
          <w:sz w:val="24"/>
          <w:szCs w:val="24"/>
        </w:rPr>
        <w:t>примијењене</w:t>
      </w:r>
      <w:r w:rsidR="00E632F7" w:rsidRPr="0046522D">
        <w:rPr>
          <w:rStyle w:val="y2iqfc"/>
          <w:rFonts w:ascii="inherit" w:hAnsi="inherit"/>
          <w:sz w:val="24"/>
          <w:szCs w:val="24"/>
        </w:rPr>
        <w:t xml:space="preserve"> </w:t>
      </w:r>
      <w:r>
        <w:rPr>
          <w:rStyle w:val="y2iqfc"/>
          <w:rFonts w:ascii="inherit" w:hAnsi="inherit"/>
          <w:sz w:val="24"/>
          <w:szCs w:val="24"/>
        </w:rPr>
        <w:t>су</w:t>
      </w:r>
      <w:r w:rsidR="00E632F7" w:rsidRPr="0046522D">
        <w:rPr>
          <w:rStyle w:val="y2iqfc"/>
          <w:rFonts w:ascii="inherit" w:hAnsi="inherit"/>
          <w:sz w:val="24"/>
          <w:szCs w:val="24"/>
        </w:rPr>
        <w:t xml:space="preserve"> </w:t>
      </w:r>
      <w:r>
        <w:rPr>
          <w:rStyle w:val="y2iqfc"/>
          <w:rFonts w:ascii="inherit" w:hAnsi="inherit"/>
          <w:sz w:val="24"/>
          <w:szCs w:val="24"/>
        </w:rPr>
        <w:t>у</w:t>
      </w:r>
      <w:r w:rsidR="00E632F7" w:rsidRPr="0046522D">
        <w:rPr>
          <w:rStyle w:val="y2iqfc"/>
          <w:rFonts w:ascii="inherit" w:hAnsi="inherit"/>
          <w:sz w:val="24"/>
          <w:szCs w:val="24"/>
        </w:rPr>
        <w:t xml:space="preserve"> </w:t>
      </w:r>
      <w:r>
        <w:rPr>
          <w:rStyle w:val="y2iqfc"/>
          <w:rFonts w:ascii="inherit" w:hAnsi="inherit"/>
          <w:sz w:val="24"/>
          <w:szCs w:val="24"/>
        </w:rPr>
        <w:t>изради</w:t>
      </w:r>
      <w:r w:rsidR="00E632F7" w:rsidRPr="0046522D">
        <w:rPr>
          <w:rStyle w:val="y2iqfc"/>
          <w:rFonts w:ascii="inherit" w:hAnsi="inherit"/>
          <w:sz w:val="24"/>
          <w:szCs w:val="24"/>
        </w:rPr>
        <w:t xml:space="preserve"> </w:t>
      </w:r>
      <w:r>
        <w:rPr>
          <w:rStyle w:val="y2iqfc"/>
          <w:rFonts w:ascii="inherit" w:hAnsi="inherit"/>
          <w:sz w:val="24"/>
          <w:szCs w:val="24"/>
        </w:rPr>
        <w:t>Акционог</w:t>
      </w:r>
      <w:r w:rsidR="00E632F7" w:rsidRPr="0046522D">
        <w:rPr>
          <w:rStyle w:val="y2iqfc"/>
          <w:rFonts w:ascii="inherit" w:hAnsi="inherit"/>
          <w:sz w:val="24"/>
          <w:szCs w:val="24"/>
        </w:rPr>
        <w:t xml:space="preserve"> </w:t>
      </w:r>
      <w:r>
        <w:rPr>
          <w:rStyle w:val="y2iqfc"/>
          <w:rFonts w:ascii="inherit" w:hAnsi="inherit"/>
          <w:sz w:val="24"/>
          <w:szCs w:val="24"/>
        </w:rPr>
        <w:t>плана</w:t>
      </w:r>
      <w:r w:rsidR="00E632F7" w:rsidRPr="0046522D">
        <w:rPr>
          <w:rStyle w:val="y2iqfc"/>
          <w:rFonts w:ascii="inherit" w:hAnsi="inherit"/>
          <w:sz w:val="24"/>
          <w:szCs w:val="24"/>
        </w:rPr>
        <w:t xml:space="preserve"> </w:t>
      </w:r>
      <w:r>
        <w:rPr>
          <w:rStyle w:val="y2iqfc"/>
          <w:rFonts w:ascii="inherit" w:hAnsi="inherit"/>
          <w:sz w:val="24"/>
          <w:szCs w:val="24"/>
        </w:rPr>
        <w:t>за</w:t>
      </w:r>
      <w:r w:rsidR="00E632F7" w:rsidRPr="0046522D">
        <w:rPr>
          <w:rStyle w:val="y2iqfc"/>
          <w:rFonts w:ascii="inherit" w:hAnsi="inherit"/>
          <w:sz w:val="24"/>
          <w:szCs w:val="24"/>
        </w:rPr>
        <w:t xml:space="preserve"> </w:t>
      </w:r>
      <w:r>
        <w:rPr>
          <w:rStyle w:val="y2iqfc"/>
          <w:rFonts w:ascii="inherit" w:hAnsi="inherit"/>
          <w:sz w:val="24"/>
          <w:szCs w:val="24"/>
        </w:rPr>
        <w:t>борбу</w:t>
      </w:r>
      <w:r w:rsidR="00E632F7" w:rsidRPr="0046522D">
        <w:rPr>
          <w:rStyle w:val="y2iqfc"/>
          <w:rFonts w:ascii="inherit" w:hAnsi="inherit"/>
          <w:sz w:val="24"/>
          <w:szCs w:val="24"/>
        </w:rPr>
        <w:t xml:space="preserve"> </w:t>
      </w:r>
      <w:r>
        <w:rPr>
          <w:rStyle w:val="y2iqfc"/>
          <w:rFonts w:ascii="inherit" w:hAnsi="inherit"/>
          <w:sz w:val="24"/>
          <w:szCs w:val="24"/>
        </w:rPr>
        <w:t>против</w:t>
      </w:r>
      <w:r w:rsidR="00E632F7" w:rsidRPr="0046522D">
        <w:rPr>
          <w:rStyle w:val="y2iqfc"/>
          <w:rFonts w:ascii="inherit" w:hAnsi="inherit"/>
          <w:sz w:val="24"/>
          <w:szCs w:val="24"/>
        </w:rPr>
        <w:t xml:space="preserve"> </w:t>
      </w:r>
      <w:r>
        <w:rPr>
          <w:rStyle w:val="y2iqfc"/>
          <w:rFonts w:ascii="inherit" w:hAnsi="inherit"/>
          <w:sz w:val="24"/>
          <w:szCs w:val="24"/>
        </w:rPr>
        <w:t>трговине</w:t>
      </w:r>
      <w:r w:rsidR="00E632F7" w:rsidRPr="0046522D">
        <w:rPr>
          <w:rStyle w:val="y2iqfc"/>
          <w:rFonts w:ascii="inherit" w:hAnsi="inherit"/>
          <w:sz w:val="24"/>
          <w:szCs w:val="24"/>
        </w:rPr>
        <w:t xml:space="preserve"> </w:t>
      </w:r>
      <w:r>
        <w:rPr>
          <w:rStyle w:val="y2iqfc"/>
          <w:rFonts w:ascii="inherit" w:hAnsi="inherit"/>
          <w:sz w:val="24"/>
          <w:szCs w:val="24"/>
        </w:rPr>
        <w:t>људима</w:t>
      </w:r>
      <w:r w:rsidR="00E632F7" w:rsidRPr="0046522D">
        <w:rPr>
          <w:rStyle w:val="y2iqfc"/>
          <w:rFonts w:ascii="inherit" w:hAnsi="inherit"/>
          <w:sz w:val="24"/>
          <w:szCs w:val="24"/>
        </w:rPr>
        <w:t xml:space="preserve"> </w:t>
      </w:r>
      <w:r>
        <w:rPr>
          <w:rStyle w:val="y2iqfc"/>
          <w:rFonts w:ascii="inherit" w:hAnsi="inherit"/>
          <w:sz w:val="24"/>
          <w:szCs w:val="24"/>
        </w:rPr>
        <w:t>у</w:t>
      </w:r>
      <w:r w:rsidR="00E632F7" w:rsidRPr="0046522D">
        <w:rPr>
          <w:rStyle w:val="y2iqfc"/>
          <w:rFonts w:ascii="inherit" w:hAnsi="inherit"/>
          <w:sz w:val="24"/>
          <w:szCs w:val="24"/>
        </w:rPr>
        <w:t xml:space="preserve"> </w:t>
      </w:r>
      <w:r>
        <w:rPr>
          <w:rStyle w:val="y2iqfc"/>
          <w:rFonts w:ascii="inherit" w:hAnsi="inherit"/>
          <w:sz w:val="24"/>
          <w:szCs w:val="24"/>
        </w:rPr>
        <w:t>Републици</w:t>
      </w:r>
      <w:r w:rsidR="00E632F7" w:rsidRPr="0046522D">
        <w:rPr>
          <w:rStyle w:val="y2iqfc"/>
          <w:rFonts w:ascii="inherit" w:hAnsi="inherit"/>
          <w:sz w:val="24"/>
          <w:szCs w:val="24"/>
        </w:rPr>
        <w:t xml:space="preserve"> </w:t>
      </w:r>
      <w:r>
        <w:rPr>
          <w:rStyle w:val="y2iqfc"/>
          <w:rFonts w:ascii="inherit" w:hAnsi="inherit"/>
          <w:sz w:val="24"/>
          <w:szCs w:val="24"/>
        </w:rPr>
        <w:t>Српској</w:t>
      </w:r>
      <w:r w:rsidR="00E632F7" w:rsidRPr="0046522D">
        <w:rPr>
          <w:rStyle w:val="y2iqfc"/>
          <w:rFonts w:ascii="inherit" w:hAnsi="inherit"/>
          <w:sz w:val="24"/>
          <w:szCs w:val="24"/>
        </w:rPr>
        <w:t xml:space="preserve">, </w:t>
      </w:r>
      <w:r>
        <w:rPr>
          <w:rStyle w:val="y2iqfc"/>
          <w:rFonts w:ascii="inherit" w:hAnsi="inherit"/>
          <w:sz w:val="24"/>
          <w:szCs w:val="24"/>
        </w:rPr>
        <w:t>који</w:t>
      </w:r>
      <w:r w:rsidR="00E632F7" w:rsidRPr="0046522D">
        <w:rPr>
          <w:rStyle w:val="y2iqfc"/>
          <w:rFonts w:ascii="inherit" w:hAnsi="inherit"/>
          <w:sz w:val="24"/>
          <w:szCs w:val="24"/>
        </w:rPr>
        <w:t xml:space="preserve"> </w:t>
      </w:r>
      <w:r>
        <w:rPr>
          <w:rStyle w:val="y2iqfc"/>
          <w:rFonts w:ascii="inherit" w:hAnsi="inherit"/>
          <w:sz w:val="24"/>
          <w:szCs w:val="24"/>
        </w:rPr>
        <w:t>је</w:t>
      </w:r>
      <w:r w:rsidR="00E632F7" w:rsidRPr="0046522D">
        <w:rPr>
          <w:rStyle w:val="y2iqfc"/>
          <w:rFonts w:ascii="inherit" w:hAnsi="inherit"/>
          <w:sz w:val="24"/>
          <w:szCs w:val="24"/>
        </w:rPr>
        <w:t xml:space="preserve"> 12. </w:t>
      </w:r>
      <w:r>
        <w:rPr>
          <w:rStyle w:val="y2iqfc"/>
          <w:rFonts w:ascii="inherit" w:hAnsi="inherit"/>
          <w:sz w:val="24"/>
          <w:szCs w:val="24"/>
        </w:rPr>
        <w:t>децембра</w:t>
      </w:r>
      <w:r w:rsidR="00E632F7" w:rsidRPr="0046522D">
        <w:rPr>
          <w:rStyle w:val="y2iqfc"/>
          <w:rFonts w:ascii="inherit" w:hAnsi="inherit"/>
          <w:sz w:val="24"/>
          <w:szCs w:val="24"/>
        </w:rPr>
        <w:t xml:space="preserve"> 2024. </w:t>
      </w:r>
      <w:r>
        <w:rPr>
          <w:rStyle w:val="y2iqfc"/>
          <w:rFonts w:ascii="inherit" w:hAnsi="inherit"/>
          <w:sz w:val="24"/>
          <w:szCs w:val="24"/>
        </w:rPr>
        <w:t>године</w:t>
      </w:r>
      <w:r w:rsidR="00E632F7" w:rsidRPr="0046522D">
        <w:rPr>
          <w:rStyle w:val="y2iqfc"/>
          <w:rFonts w:ascii="inherit" w:hAnsi="inherit"/>
          <w:sz w:val="24"/>
          <w:szCs w:val="24"/>
        </w:rPr>
        <w:t xml:space="preserve"> </w:t>
      </w:r>
      <w:r>
        <w:rPr>
          <w:rStyle w:val="y2iqfc"/>
          <w:rFonts w:ascii="inherit" w:hAnsi="inherit"/>
          <w:sz w:val="24"/>
          <w:szCs w:val="24"/>
        </w:rPr>
        <w:t>усвојила</w:t>
      </w:r>
      <w:r w:rsidR="00E632F7" w:rsidRPr="0046522D">
        <w:rPr>
          <w:rStyle w:val="y2iqfc"/>
          <w:rFonts w:ascii="inherit" w:hAnsi="inherit"/>
          <w:sz w:val="24"/>
          <w:szCs w:val="24"/>
        </w:rPr>
        <w:t xml:space="preserve"> </w:t>
      </w:r>
      <w:r>
        <w:rPr>
          <w:rStyle w:val="y2iqfc"/>
          <w:rFonts w:ascii="inherit" w:hAnsi="inherit"/>
          <w:sz w:val="24"/>
          <w:szCs w:val="24"/>
        </w:rPr>
        <w:t>Влада</w:t>
      </w:r>
      <w:r w:rsidR="00E632F7" w:rsidRPr="0046522D">
        <w:rPr>
          <w:rStyle w:val="y2iqfc"/>
          <w:rFonts w:ascii="inherit" w:hAnsi="inherit"/>
          <w:sz w:val="24"/>
          <w:szCs w:val="24"/>
        </w:rPr>
        <w:t xml:space="preserve"> </w:t>
      </w:r>
      <w:r>
        <w:rPr>
          <w:rStyle w:val="y2iqfc"/>
          <w:rFonts w:ascii="inherit" w:hAnsi="inherit"/>
          <w:sz w:val="24"/>
          <w:szCs w:val="24"/>
        </w:rPr>
        <w:t>РС</w:t>
      </w:r>
      <w:r w:rsidR="00E632F7" w:rsidRPr="0046522D">
        <w:rPr>
          <w:rStyle w:val="y2iqfc"/>
          <w:rFonts w:ascii="inherit" w:hAnsi="inherit"/>
          <w:sz w:val="24"/>
          <w:szCs w:val="24"/>
        </w:rPr>
        <w:t>.</w:t>
      </w:r>
    </w:p>
    <w:p w:rsidR="00422394" w:rsidRPr="00295637" w:rsidRDefault="00422394" w:rsidP="0086268D">
      <w:pPr>
        <w:rPr>
          <w:lang w:val="bs-Latn-BA"/>
        </w:rPr>
      </w:pPr>
    </w:p>
    <w:p w:rsidR="00356C2C" w:rsidRPr="00295637" w:rsidRDefault="00F742CE" w:rsidP="00C948D2">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 1.</w:t>
      </w:r>
      <w:r w:rsidR="00C948D2">
        <w:rPr>
          <w:rFonts w:ascii="Times New Roman" w:hAnsi="Times New Roman"/>
          <w:szCs w:val="24"/>
          <w:lang w:val="bs-Latn-BA"/>
        </w:rPr>
        <w:t xml:space="preserve">2. </w:t>
      </w:r>
      <w:r w:rsidR="00C6214E">
        <w:rPr>
          <w:rFonts w:ascii="Times New Roman" w:hAnsi="Times New Roman"/>
          <w:szCs w:val="24"/>
          <w:lang w:val="bs-Latn-BA"/>
        </w:rPr>
        <w:t>Редовно</w:t>
      </w:r>
      <w:r w:rsidR="00356C2C" w:rsidRPr="00295637">
        <w:rPr>
          <w:rFonts w:ascii="Times New Roman" w:hAnsi="Times New Roman"/>
          <w:szCs w:val="24"/>
          <w:lang w:val="bs-Latn-BA"/>
        </w:rPr>
        <w:t xml:space="preserve"> </w:t>
      </w:r>
      <w:r w:rsidR="00C6214E">
        <w:rPr>
          <w:rFonts w:ascii="Times New Roman" w:hAnsi="Times New Roman"/>
          <w:szCs w:val="24"/>
          <w:lang w:val="bs-Latn-BA"/>
        </w:rPr>
        <w:t>систематско</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прикупљање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анализа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објављивање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података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информација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врстама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обиму</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основу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предузетим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насиље</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породици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као</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трговини</w:t>
      </w:r>
      <w:r w:rsidR="00356C2C" w:rsidRPr="00295637">
        <w:rPr>
          <w:rFonts w:ascii="Times New Roman" w:hAnsi="Times New Roman"/>
          <w:szCs w:val="24"/>
          <w:lang w:val="bs-Latn-BA"/>
        </w:rPr>
        <w:t xml:space="preserve"> </w:t>
      </w:r>
      <w:r w:rsidR="00C6214E">
        <w:rPr>
          <w:rFonts w:ascii="Times New Roman" w:hAnsi="Times New Roman"/>
          <w:szCs w:val="24"/>
          <w:lang w:val="bs-Latn-BA"/>
        </w:rPr>
        <w:t>људима</w:t>
      </w:r>
      <w:r w:rsidR="00A92736" w:rsidRPr="00295637">
        <w:rPr>
          <w:rFonts w:ascii="Times New Roman" w:hAnsi="Times New Roman"/>
          <w:szCs w:val="24"/>
          <w:lang w:val="bs-Latn-BA"/>
        </w:rPr>
        <w:t>.</w:t>
      </w:r>
    </w:p>
    <w:p w:rsidR="00C142CC" w:rsidRPr="00295637" w:rsidRDefault="00C142CC" w:rsidP="0086268D">
      <w:pPr>
        <w:tabs>
          <w:tab w:val="left" w:pos="0"/>
          <w:tab w:val="left" w:pos="630"/>
          <w:tab w:val="left" w:pos="1080"/>
        </w:tabs>
        <w:jc w:val="both"/>
        <w:rPr>
          <w:rFonts w:ascii="Times New Roman" w:hAnsi="Times New Roman"/>
          <w:szCs w:val="24"/>
          <w:lang w:val="bs-Latn-BA"/>
        </w:rPr>
      </w:pPr>
    </w:p>
    <w:p w:rsidR="001E0C55" w:rsidRPr="00295637" w:rsidRDefault="00C6214E" w:rsidP="0086268D">
      <w:pPr>
        <w:tabs>
          <w:tab w:val="left" w:pos="0"/>
          <w:tab w:val="left" w:pos="630"/>
          <w:tab w:val="left" w:pos="1080"/>
        </w:tabs>
        <w:jc w:val="both"/>
        <w:rPr>
          <w:rFonts w:ascii="Times New Roman" w:hAnsi="Times New Roman"/>
          <w:szCs w:val="24"/>
          <w:lang w:val="bs-Latn-BA"/>
        </w:rPr>
      </w:pPr>
      <w:r>
        <w:rPr>
          <w:rFonts w:ascii="Times New Roman" w:hAnsi="Times New Roman"/>
          <w:szCs w:val="24"/>
          <w:lang w:val="bs-Latn-BA"/>
        </w:rPr>
        <w:t>Када</w:t>
      </w:r>
      <w:r w:rsidR="007C5005" w:rsidRPr="00295637">
        <w:rPr>
          <w:rFonts w:ascii="Times New Roman" w:hAnsi="Times New Roman"/>
          <w:szCs w:val="24"/>
          <w:lang w:val="bs-Latn-BA"/>
        </w:rPr>
        <w:t xml:space="preserve"> </w:t>
      </w:r>
      <w:r>
        <w:rPr>
          <w:rFonts w:ascii="Times New Roman" w:hAnsi="Times New Roman"/>
          <w:szCs w:val="24"/>
          <w:lang w:val="bs-Latn-BA"/>
        </w:rPr>
        <w:t>су</w:t>
      </w:r>
      <w:r w:rsidR="007C5005" w:rsidRPr="00295637">
        <w:rPr>
          <w:rFonts w:ascii="Times New Roman" w:hAnsi="Times New Roman"/>
          <w:szCs w:val="24"/>
          <w:lang w:val="bs-Latn-BA"/>
        </w:rPr>
        <w:t xml:space="preserve"> </w:t>
      </w:r>
      <w:r>
        <w:rPr>
          <w:rFonts w:ascii="Times New Roman" w:hAnsi="Times New Roman"/>
          <w:szCs w:val="24"/>
          <w:lang w:val="bs-Latn-BA"/>
        </w:rPr>
        <w:t>у</w:t>
      </w:r>
      <w:r w:rsidR="007C5005" w:rsidRPr="00295637">
        <w:rPr>
          <w:rFonts w:ascii="Times New Roman" w:hAnsi="Times New Roman"/>
          <w:szCs w:val="24"/>
          <w:lang w:val="bs-Latn-BA"/>
        </w:rPr>
        <w:t xml:space="preserve"> </w:t>
      </w:r>
      <w:r>
        <w:rPr>
          <w:rFonts w:ascii="Times New Roman" w:hAnsi="Times New Roman"/>
          <w:szCs w:val="24"/>
          <w:lang w:val="bs-Latn-BA"/>
        </w:rPr>
        <w:t>питању</w:t>
      </w:r>
      <w:r w:rsidR="007C5005" w:rsidRPr="00295637">
        <w:rPr>
          <w:rFonts w:ascii="Times New Roman" w:hAnsi="Times New Roman"/>
          <w:szCs w:val="24"/>
          <w:lang w:val="bs-Latn-BA"/>
        </w:rPr>
        <w:t xml:space="preserve"> </w:t>
      </w:r>
      <w:r>
        <w:rPr>
          <w:rFonts w:ascii="Times New Roman" w:hAnsi="Times New Roman"/>
          <w:szCs w:val="24"/>
          <w:lang w:val="bs-Latn-BA"/>
        </w:rPr>
        <w:t>мјере</w:t>
      </w:r>
      <w:r w:rsidR="007C5005" w:rsidRPr="00295637">
        <w:rPr>
          <w:rFonts w:ascii="Times New Roman" w:hAnsi="Times New Roman"/>
          <w:szCs w:val="24"/>
          <w:lang w:val="bs-Latn-BA"/>
        </w:rPr>
        <w:t xml:space="preserve"> </w:t>
      </w:r>
      <w:r>
        <w:rPr>
          <w:rFonts w:ascii="Times New Roman" w:hAnsi="Times New Roman"/>
          <w:szCs w:val="24"/>
          <w:lang w:val="bs-Latn-BA"/>
        </w:rPr>
        <w:t>које</w:t>
      </w:r>
      <w:r w:rsidR="007C5005" w:rsidRPr="00295637">
        <w:rPr>
          <w:rFonts w:ascii="Times New Roman" w:hAnsi="Times New Roman"/>
          <w:szCs w:val="24"/>
          <w:lang w:val="bs-Latn-BA"/>
        </w:rPr>
        <w:t xml:space="preserve"> </w:t>
      </w:r>
      <w:r>
        <w:rPr>
          <w:rFonts w:ascii="Times New Roman" w:hAnsi="Times New Roman"/>
          <w:szCs w:val="24"/>
          <w:lang w:val="bs-Latn-BA"/>
        </w:rPr>
        <w:t>о</w:t>
      </w:r>
      <w:r w:rsidR="00F742CE">
        <w:rPr>
          <w:rFonts w:ascii="Times New Roman" w:hAnsi="Times New Roman"/>
          <w:szCs w:val="24"/>
          <w:lang w:val="bs-Latn-BA"/>
        </w:rPr>
        <w:t>bezbjeđuju</w:t>
      </w:r>
      <w:r w:rsidR="007C5005" w:rsidRPr="00295637">
        <w:rPr>
          <w:rFonts w:ascii="Times New Roman" w:hAnsi="Times New Roman"/>
          <w:szCs w:val="24"/>
          <w:lang w:val="bs-Latn-BA"/>
        </w:rPr>
        <w:t xml:space="preserve"> </w:t>
      </w:r>
      <w:r>
        <w:rPr>
          <w:rFonts w:ascii="Times New Roman" w:hAnsi="Times New Roman"/>
          <w:szCs w:val="24"/>
          <w:lang w:val="bs-Latn-BA"/>
        </w:rPr>
        <w:t>вођење</w:t>
      </w:r>
      <w:r w:rsidR="007C5005" w:rsidRPr="00295637">
        <w:rPr>
          <w:rFonts w:ascii="Times New Roman" w:hAnsi="Times New Roman"/>
          <w:szCs w:val="24"/>
          <w:lang w:val="bs-Latn-BA"/>
        </w:rPr>
        <w:t xml:space="preserve"> </w:t>
      </w:r>
      <w:r>
        <w:rPr>
          <w:rFonts w:ascii="Times New Roman" w:hAnsi="Times New Roman"/>
          <w:szCs w:val="24"/>
          <w:lang w:val="bs-Latn-BA"/>
        </w:rPr>
        <w:t>родно</w:t>
      </w:r>
      <w:r w:rsidR="007C5005" w:rsidRPr="00295637">
        <w:rPr>
          <w:rFonts w:ascii="Times New Roman" w:hAnsi="Times New Roman"/>
          <w:szCs w:val="24"/>
          <w:lang w:val="bs-Latn-BA"/>
        </w:rPr>
        <w:t xml:space="preserve"> </w:t>
      </w:r>
      <w:r>
        <w:rPr>
          <w:rFonts w:ascii="Times New Roman" w:hAnsi="Times New Roman"/>
          <w:szCs w:val="24"/>
          <w:lang w:val="bs-Latn-BA"/>
        </w:rPr>
        <w:t>осјетљиве</w:t>
      </w:r>
      <w:r w:rsidR="007C5005" w:rsidRPr="00295637">
        <w:rPr>
          <w:rFonts w:ascii="Times New Roman" w:hAnsi="Times New Roman"/>
          <w:szCs w:val="24"/>
          <w:lang w:val="bs-Latn-BA"/>
        </w:rPr>
        <w:t xml:space="preserve"> </w:t>
      </w:r>
      <w:r>
        <w:rPr>
          <w:rFonts w:ascii="Times New Roman" w:hAnsi="Times New Roman"/>
          <w:szCs w:val="24"/>
          <w:lang w:val="bs-Latn-BA"/>
        </w:rPr>
        <w:t>статистике</w:t>
      </w:r>
      <w:r w:rsidR="007C5005" w:rsidRPr="00295637">
        <w:rPr>
          <w:rFonts w:ascii="Times New Roman" w:hAnsi="Times New Roman"/>
          <w:szCs w:val="24"/>
          <w:lang w:val="bs-Latn-BA"/>
        </w:rPr>
        <w:t xml:space="preserve">, </w:t>
      </w:r>
      <w:r>
        <w:rPr>
          <w:rFonts w:ascii="Times New Roman" w:hAnsi="Times New Roman"/>
          <w:szCs w:val="24"/>
          <w:lang w:val="bs-Latn-BA"/>
        </w:rPr>
        <w:t>у</w:t>
      </w:r>
      <w:r w:rsidR="00C948D2">
        <w:rPr>
          <w:rFonts w:ascii="Times New Roman" w:hAnsi="Times New Roman"/>
          <w:szCs w:val="24"/>
          <w:lang w:val="bs-Latn-BA"/>
        </w:rPr>
        <w:t xml:space="preserve"> </w:t>
      </w:r>
      <w:r>
        <w:rPr>
          <w:rFonts w:ascii="Times New Roman" w:hAnsi="Times New Roman"/>
          <w:szCs w:val="24"/>
          <w:lang w:val="bs-Latn-BA"/>
        </w:rPr>
        <w:t>складу</w:t>
      </w:r>
      <w:r w:rsidR="00C948D2">
        <w:rPr>
          <w:rFonts w:ascii="Times New Roman" w:hAnsi="Times New Roman"/>
          <w:szCs w:val="24"/>
          <w:lang w:val="bs-Latn-BA"/>
        </w:rPr>
        <w:t xml:space="preserve"> </w:t>
      </w:r>
      <w:r>
        <w:rPr>
          <w:rFonts w:ascii="Times New Roman" w:hAnsi="Times New Roman"/>
          <w:szCs w:val="24"/>
          <w:lang w:val="bs-Latn-BA"/>
        </w:rPr>
        <w:t>са</w:t>
      </w:r>
      <w:r w:rsidR="007C5005" w:rsidRPr="00295637">
        <w:rPr>
          <w:rFonts w:ascii="Times New Roman" w:hAnsi="Times New Roman"/>
          <w:szCs w:val="24"/>
          <w:lang w:val="bs-Latn-BA"/>
        </w:rPr>
        <w:t xml:space="preserve"> </w:t>
      </w:r>
      <w:r>
        <w:rPr>
          <w:rFonts w:ascii="Times New Roman" w:hAnsi="Times New Roman"/>
          <w:szCs w:val="24"/>
          <w:lang w:val="bs-Latn-BA"/>
        </w:rPr>
        <w:t>приједлогом</w:t>
      </w:r>
      <w:r w:rsidR="007C5005" w:rsidRPr="00295637">
        <w:rPr>
          <w:rFonts w:ascii="Times New Roman" w:hAnsi="Times New Roman"/>
          <w:szCs w:val="24"/>
          <w:lang w:val="bs-Latn-BA"/>
        </w:rPr>
        <w:t xml:space="preserve"> </w:t>
      </w:r>
      <w:r>
        <w:rPr>
          <w:rFonts w:ascii="Times New Roman" w:hAnsi="Times New Roman"/>
          <w:szCs w:val="24"/>
          <w:lang w:val="bs-Latn-BA"/>
        </w:rPr>
        <w:t>ГП</w:t>
      </w:r>
      <w:r w:rsidR="004A01F0" w:rsidRPr="00295637">
        <w:rPr>
          <w:rFonts w:ascii="Times New Roman" w:hAnsi="Times New Roman"/>
          <w:szCs w:val="24"/>
          <w:lang w:val="bs-Latn-BA"/>
        </w:rPr>
        <w:t xml:space="preserve"> </w:t>
      </w:r>
      <w:r>
        <w:rPr>
          <w:rFonts w:ascii="Times New Roman" w:hAnsi="Times New Roman"/>
          <w:szCs w:val="24"/>
          <w:lang w:val="bs-Latn-BA"/>
        </w:rPr>
        <w:t>БиХ</w:t>
      </w:r>
      <w:r w:rsidR="007C5005" w:rsidRPr="00295637">
        <w:rPr>
          <w:rFonts w:ascii="Times New Roman" w:hAnsi="Times New Roman"/>
          <w:szCs w:val="24"/>
          <w:lang w:val="bs-Latn-BA"/>
        </w:rPr>
        <w:t xml:space="preserve">, </w:t>
      </w:r>
      <w:r>
        <w:rPr>
          <w:rFonts w:ascii="Times New Roman" w:hAnsi="Times New Roman"/>
          <w:szCs w:val="24"/>
          <w:lang w:val="bs-Latn-BA"/>
        </w:rPr>
        <w:t>извршена</w:t>
      </w:r>
      <w:r w:rsidR="007C5005" w:rsidRPr="00295637">
        <w:rPr>
          <w:rFonts w:ascii="Times New Roman" w:hAnsi="Times New Roman"/>
          <w:szCs w:val="24"/>
          <w:lang w:val="bs-Latn-BA"/>
        </w:rPr>
        <w:t xml:space="preserve"> </w:t>
      </w:r>
      <w:r>
        <w:rPr>
          <w:rFonts w:ascii="Times New Roman" w:hAnsi="Times New Roman"/>
          <w:szCs w:val="24"/>
          <w:lang w:val="bs-Latn-BA"/>
        </w:rPr>
        <w:t>је</w:t>
      </w:r>
      <w:r w:rsidR="007C5005" w:rsidRPr="00295637">
        <w:rPr>
          <w:rFonts w:ascii="Times New Roman" w:hAnsi="Times New Roman"/>
          <w:szCs w:val="24"/>
          <w:lang w:val="bs-Latn-BA"/>
        </w:rPr>
        <w:t xml:space="preserve"> </w:t>
      </w:r>
      <w:r>
        <w:rPr>
          <w:rFonts w:ascii="Times New Roman" w:hAnsi="Times New Roman"/>
          <w:szCs w:val="24"/>
          <w:lang w:val="bs-Latn-BA"/>
        </w:rPr>
        <w:t>надоградња</w:t>
      </w:r>
      <w:r w:rsidR="007C5005" w:rsidRPr="00295637">
        <w:rPr>
          <w:rFonts w:ascii="Times New Roman" w:hAnsi="Times New Roman"/>
          <w:szCs w:val="24"/>
          <w:lang w:val="bs-Latn-BA"/>
        </w:rPr>
        <w:t xml:space="preserve"> </w:t>
      </w:r>
      <w:r>
        <w:rPr>
          <w:rFonts w:ascii="Times New Roman" w:hAnsi="Times New Roman"/>
          <w:szCs w:val="24"/>
          <w:lang w:val="bs-Latn-BA"/>
        </w:rPr>
        <w:t>система</w:t>
      </w:r>
      <w:r w:rsidR="007C5005" w:rsidRPr="00295637">
        <w:rPr>
          <w:rFonts w:ascii="Times New Roman" w:hAnsi="Times New Roman"/>
          <w:szCs w:val="24"/>
          <w:lang w:val="bs-Latn-BA"/>
        </w:rPr>
        <w:t xml:space="preserve"> </w:t>
      </w:r>
      <w:r>
        <w:rPr>
          <w:rFonts w:ascii="Times New Roman" w:hAnsi="Times New Roman"/>
          <w:szCs w:val="24"/>
          <w:lang w:val="bs-Latn-BA"/>
        </w:rPr>
        <w:t>Централне</w:t>
      </w:r>
      <w:r w:rsidR="007C5005" w:rsidRPr="00295637">
        <w:rPr>
          <w:rFonts w:ascii="Times New Roman" w:hAnsi="Times New Roman"/>
          <w:szCs w:val="24"/>
          <w:lang w:val="bs-Latn-BA"/>
        </w:rPr>
        <w:t xml:space="preserve"> </w:t>
      </w:r>
      <w:r>
        <w:rPr>
          <w:rFonts w:ascii="Times New Roman" w:hAnsi="Times New Roman"/>
          <w:szCs w:val="24"/>
          <w:lang w:val="bs-Latn-BA"/>
        </w:rPr>
        <w:t>евиденције</w:t>
      </w:r>
      <w:r w:rsidR="007C5005" w:rsidRPr="00295637">
        <w:rPr>
          <w:rFonts w:ascii="Times New Roman" w:hAnsi="Times New Roman"/>
          <w:szCs w:val="24"/>
          <w:lang w:val="bs-Latn-BA"/>
        </w:rPr>
        <w:t xml:space="preserve"> </w:t>
      </w:r>
      <w:r>
        <w:rPr>
          <w:rFonts w:ascii="Times New Roman" w:hAnsi="Times New Roman"/>
          <w:szCs w:val="24"/>
          <w:lang w:val="bs-Latn-BA"/>
        </w:rPr>
        <w:t>података</w:t>
      </w:r>
      <w:r w:rsidR="007C5005" w:rsidRPr="00295637">
        <w:rPr>
          <w:rFonts w:ascii="Times New Roman" w:hAnsi="Times New Roman"/>
          <w:szCs w:val="24"/>
          <w:lang w:val="bs-Latn-BA"/>
        </w:rPr>
        <w:t xml:space="preserve"> </w:t>
      </w:r>
      <w:r>
        <w:rPr>
          <w:rFonts w:ascii="Times New Roman" w:hAnsi="Times New Roman"/>
          <w:szCs w:val="24"/>
          <w:lang w:val="bs-Latn-BA"/>
        </w:rPr>
        <w:t>запослених</w:t>
      </w:r>
      <w:r w:rsidR="007C5005" w:rsidRPr="00295637">
        <w:rPr>
          <w:rFonts w:ascii="Times New Roman" w:hAnsi="Times New Roman"/>
          <w:szCs w:val="24"/>
          <w:lang w:val="bs-Latn-BA"/>
        </w:rPr>
        <w:t xml:space="preserve"> </w:t>
      </w:r>
      <w:r>
        <w:rPr>
          <w:rFonts w:ascii="Times New Roman" w:hAnsi="Times New Roman"/>
          <w:szCs w:val="24"/>
          <w:lang w:val="bs-Latn-BA"/>
        </w:rPr>
        <w:t>у</w:t>
      </w:r>
      <w:r w:rsidR="007C5005" w:rsidRPr="00295637">
        <w:rPr>
          <w:rFonts w:ascii="Times New Roman" w:hAnsi="Times New Roman"/>
          <w:szCs w:val="24"/>
          <w:lang w:val="bs-Latn-BA"/>
        </w:rPr>
        <w:t xml:space="preserve"> </w:t>
      </w:r>
      <w:r>
        <w:rPr>
          <w:rFonts w:ascii="Times New Roman" w:hAnsi="Times New Roman"/>
          <w:szCs w:val="24"/>
          <w:lang w:val="bs-Latn-BA"/>
        </w:rPr>
        <w:t>полицијским</w:t>
      </w:r>
      <w:r w:rsidR="007C5005" w:rsidRPr="00295637">
        <w:rPr>
          <w:rFonts w:ascii="Times New Roman" w:hAnsi="Times New Roman"/>
          <w:szCs w:val="24"/>
          <w:lang w:val="bs-Latn-BA"/>
        </w:rPr>
        <w:t xml:space="preserve"> </w:t>
      </w:r>
      <w:r>
        <w:rPr>
          <w:rFonts w:ascii="Times New Roman" w:hAnsi="Times New Roman"/>
          <w:szCs w:val="24"/>
          <w:lang w:val="bs-Latn-BA"/>
        </w:rPr>
        <w:t>органима</w:t>
      </w:r>
      <w:r w:rsidR="00C948D2">
        <w:rPr>
          <w:rFonts w:ascii="Times New Roman" w:hAnsi="Times New Roman"/>
          <w:szCs w:val="24"/>
          <w:lang w:val="bs-Latn-BA"/>
        </w:rPr>
        <w:t xml:space="preserve"> </w:t>
      </w:r>
      <w:r>
        <w:rPr>
          <w:rFonts w:ascii="Times New Roman" w:hAnsi="Times New Roman"/>
          <w:szCs w:val="24"/>
          <w:lang w:val="bs-Latn-BA"/>
        </w:rPr>
        <w:t>БиХ</w:t>
      </w:r>
      <w:r w:rsidR="007C5005" w:rsidRPr="00295637">
        <w:rPr>
          <w:rFonts w:ascii="Times New Roman" w:hAnsi="Times New Roman"/>
          <w:szCs w:val="24"/>
          <w:lang w:val="bs-Latn-BA"/>
        </w:rPr>
        <w:t xml:space="preserve">, </w:t>
      </w:r>
      <w:r>
        <w:rPr>
          <w:rFonts w:ascii="Times New Roman" w:hAnsi="Times New Roman"/>
          <w:szCs w:val="24"/>
          <w:lang w:val="bs-Latn-BA"/>
        </w:rPr>
        <w:t>на</w:t>
      </w:r>
      <w:r w:rsidR="007C5005" w:rsidRPr="00295637">
        <w:rPr>
          <w:rFonts w:ascii="Times New Roman" w:hAnsi="Times New Roman"/>
          <w:szCs w:val="24"/>
          <w:lang w:val="bs-Latn-BA"/>
        </w:rPr>
        <w:t xml:space="preserve"> </w:t>
      </w:r>
      <w:r>
        <w:rPr>
          <w:rFonts w:ascii="Times New Roman" w:hAnsi="Times New Roman"/>
          <w:szCs w:val="24"/>
          <w:lang w:val="bs-Latn-BA"/>
        </w:rPr>
        <w:t>начин</w:t>
      </w:r>
      <w:r w:rsidR="007C5005" w:rsidRPr="00295637">
        <w:rPr>
          <w:rFonts w:ascii="Times New Roman" w:hAnsi="Times New Roman"/>
          <w:szCs w:val="24"/>
          <w:lang w:val="bs-Latn-BA"/>
        </w:rPr>
        <w:t xml:space="preserve"> </w:t>
      </w:r>
      <w:r>
        <w:rPr>
          <w:rFonts w:ascii="Times New Roman" w:hAnsi="Times New Roman"/>
          <w:szCs w:val="24"/>
          <w:lang w:val="bs-Latn-BA"/>
        </w:rPr>
        <w:t>да</w:t>
      </w:r>
      <w:r w:rsidR="007C5005" w:rsidRPr="00295637">
        <w:rPr>
          <w:rFonts w:ascii="Times New Roman" w:hAnsi="Times New Roman"/>
          <w:szCs w:val="24"/>
          <w:lang w:val="bs-Latn-BA"/>
        </w:rPr>
        <w:t xml:space="preserve"> </w:t>
      </w:r>
      <w:r>
        <w:rPr>
          <w:rFonts w:ascii="Times New Roman" w:hAnsi="Times New Roman"/>
          <w:szCs w:val="24"/>
          <w:lang w:val="bs-Latn-BA"/>
        </w:rPr>
        <w:t>су</w:t>
      </w:r>
      <w:r w:rsidR="007C5005" w:rsidRPr="00295637">
        <w:rPr>
          <w:rFonts w:ascii="Times New Roman" w:hAnsi="Times New Roman"/>
          <w:szCs w:val="24"/>
          <w:lang w:val="bs-Latn-BA"/>
        </w:rPr>
        <w:t xml:space="preserve"> </w:t>
      </w:r>
      <w:r>
        <w:rPr>
          <w:rFonts w:ascii="Times New Roman" w:hAnsi="Times New Roman"/>
          <w:szCs w:val="24"/>
          <w:lang w:val="bs-Latn-BA"/>
        </w:rPr>
        <w:t>креирана</w:t>
      </w:r>
      <w:r w:rsidR="007C5005" w:rsidRPr="00295637">
        <w:rPr>
          <w:rFonts w:ascii="Times New Roman" w:hAnsi="Times New Roman"/>
          <w:szCs w:val="24"/>
          <w:lang w:val="bs-Latn-BA"/>
        </w:rPr>
        <w:t xml:space="preserve"> </w:t>
      </w:r>
      <w:r>
        <w:rPr>
          <w:rFonts w:ascii="Times New Roman" w:hAnsi="Times New Roman"/>
          <w:szCs w:val="24"/>
          <w:lang w:val="bs-Latn-BA"/>
        </w:rPr>
        <w:t>четири</w:t>
      </w:r>
      <w:r w:rsidR="007C5005" w:rsidRPr="00295637">
        <w:rPr>
          <w:rFonts w:ascii="Times New Roman" w:hAnsi="Times New Roman"/>
          <w:szCs w:val="24"/>
          <w:lang w:val="bs-Latn-BA"/>
        </w:rPr>
        <w:t xml:space="preserve"> </w:t>
      </w:r>
      <w:r>
        <w:rPr>
          <w:rFonts w:ascii="Times New Roman" w:hAnsi="Times New Roman"/>
          <w:szCs w:val="24"/>
          <w:lang w:val="bs-Latn-BA"/>
        </w:rPr>
        <w:t>нова</w:t>
      </w:r>
      <w:r w:rsidR="007C5005" w:rsidRPr="00295637">
        <w:rPr>
          <w:rFonts w:ascii="Times New Roman" w:hAnsi="Times New Roman"/>
          <w:szCs w:val="24"/>
          <w:lang w:val="bs-Latn-BA"/>
        </w:rPr>
        <w:t xml:space="preserve"> </w:t>
      </w:r>
      <w:r>
        <w:rPr>
          <w:rFonts w:ascii="Times New Roman" w:hAnsi="Times New Roman"/>
          <w:szCs w:val="24"/>
          <w:lang w:val="bs-Latn-BA"/>
        </w:rPr>
        <w:t>параметарска</w:t>
      </w:r>
      <w:r w:rsidR="007C5005" w:rsidRPr="00295637">
        <w:rPr>
          <w:rFonts w:ascii="Times New Roman" w:hAnsi="Times New Roman"/>
          <w:szCs w:val="24"/>
          <w:lang w:val="bs-Latn-BA"/>
        </w:rPr>
        <w:t xml:space="preserve"> </w:t>
      </w:r>
      <w:r>
        <w:rPr>
          <w:rFonts w:ascii="Times New Roman" w:hAnsi="Times New Roman"/>
          <w:szCs w:val="24"/>
          <w:lang w:val="bs-Latn-BA"/>
        </w:rPr>
        <w:t>извјештаја</w:t>
      </w:r>
      <w:r w:rsidR="007C5005" w:rsidRPr="00295637">
        <w:rPr>
          <w:rFonts w:ascii="Times New Roman" w:hAnsi="Times New Roman"/>
          <w:szCs w:val="24"/>
          <w:lang w:val="bs-Latn-BA"/>
        </w:rPr>
        <w:t xml:space="preserve"> </w:t>
      </w:r>
      <w:r>
        <w:rPr>
          <w:rFonts w:ascii="Times New Roman" w:hAnsi="Times New Roman"/>
          <w:szCs w:val="24"/>
          <w:lang w:val="bs-Latn-BA"/>
        </w:rPr>
        <w:t>који</w:t>
      </w:r>
      <w:r w:rsidR="007C5005" w:rsidRPr="00295637">
        <w:rPr>
          <w:rFonts w:ascii="Times New Roman" w:hAnsi="Times New Roman"/>
          <w:szCs w:val="24"/>
          <w:lang w:val="bs-Latn-BA"/>
        </w:rPr>
        <w:t xml:space="preserve"> </w:t>
      </w:r>
      <w:r>
        <w:rPr>
          <w:rFonts w:ascii="Times New Roman" w:hAnsi="Times New Roman"/>
          <w:szCs w:val="24"/>
          <w:lang w:val="bs-Latn-BA"/>
        </w:rPr>
        <w:t>су</w:t>
      </w:r>
      <w:r w:rsidR="007C5005" w:rsidRPr="00295637">
        <w:rPr>
          <w:rFonts w:ascii="Times New Roman" w:hAnsi="Times New Roman"/>
          <w:szCs w:val="24"/>
          <w:lang w:val="bs-Latn-BA"/>
        </w:rPr>
        <w:t xml:space="preserve"> </w:t>
      </w:r>
      <w:r>
        <w:rPr>
          <w:rFonts w:ascii="Times New Roman" w:hAnsi="Times New Roman"/>
          <w:szCs w:val="24"/>
          <w:lang w:val="bs-Latn-BA"/>
        </w:rPr>
        <w:t>разврстани</w:t>
      </w:r>
      <w:r w:rsidR="007C5005" w:rsidRPr="00295637">
        <w:rPr>
          <w:rFonts w:ascii="Times New Roman" w:hAnsi="Times New Roman"/>
          <w:szCs w:val="24"/>
          <w:lang w:val="bs-Latn-BA"/>
        </w:rPr>
        <w:t xml:space="preserve"> </w:t>
      </w:r>
      <w:r>
        <w:rPr>
          <w:rFonts w:ascii="Times New Roman" w:hAnsi="Times New Roman"/>
          <w:szCs w:val="24"/>
          <w:lang w:val="bs-Latn-BA"/>
        </w:rPr>
        <w:t>по</w:t>
      </w:r>
      <w:r w:rsidR="007C5005" w:rsidRPr="00295637">
        <w:rPr>
          <w:rFonts w:ascii="Times New Roman" w:hAnsi="Times New Roman"/>
          <w:szCs w:val="24"/>
          <w:lang w:val="bs-Latn-BA"/>
        </w:rPr>
        <w:t xml:space="preserve"> </w:t>
      </w:r>
      <w:r>
        <w:rPr>
          <w:rFonts w:ascii="Times New Roman" w:hAnsi="Times New Roman"/>
          <w:szCs w:val="24"/>
          <w:lang w:val="bs-Latn-BA"/>
        </w:rPr>
        <w:t>полу</w:t>
      </w:r>
      <w:r w:rsidR="007C5005" w:rsidRPr="00295637">
        <w:rPr>
          <w:rFonts w:ascii="Times New Roman" w:hAnsi="Times New Roman"/>
          <w:szCs w:val="24"/>
          <w:lang w:val="bs-Latn-BA"/>
        </w:rPr>
        <w:t xml:space="preserve">. </w:t>
      </w:r>
    </w:p>
    <w:p w:rsidR="00C142CC" w:rsidRPr="00295637" w:rsidRDefault="00C142CC" w:rsidP="0086268D">
      <w:pPr>
        <w:tabs>
          <w:tab w:val="left" w:pos="0"/>
          <w:tab w:val="left" w:pos="630"/>
          <w:tab w:val="left" w:pos="1080"/>
        </w:tabs>
        <w:jc w:val="both"/>
        <w:rPr>
          <w:rFonts w:ascii="Times New Roman" w:hAnsi="Times New Roman"/>
          <w:lang w:val="bs-Latn-BA"/>
        </w:rPr>
      </w:pPr>
    </w:p>
    <w:p w:rsidR="00D41A15" w:rsidRPr="00295637" w:rsidRDefault="00C6214E" w:rsidP="0086268D">
      <w:pPr>
        <w:tabs>
          <w:tab w:val="left" w:pos="0"/>
          <w:tab w:val="left" w:pos="630"/>
          <w:tab w:val="left" w:pos="1080"/>
        </w:tabs>
        <w:jc w:val="both"/>
        <w:rPr>
          <w:rFonts w:ascii="Times New Roman" w:hAnsi="Times New Roman"/>
          <w:lang w:val="bs-Latn-BA"/>
        </w:rPr>
      </w:pPr>
      <w:r>
        <w:rPr>
          <w:rFonts w:ascii="Times New Roman" w:hAnsi="Times New Roman"/>
          <w:lang w:val="bs-Latn-BA"/>
        </w:rPr>
        <w:t>У</w:t>
      </w:r>
      <w:r w:rsidR="00D41A15" w:rsidRPr="00295637">
        <w:rPr>
          <w:rFonts w:ascii="Times New Roman" w:hAnsi="Times New Roman"/>
          <w:lang w:val="bs-Latn-BA"/>
        </w:rPr>
        <w:t xml:space="preserve"> </w:t>
      </w:r>
      <w:r>
        <w:rPr>
          <w:rFonts w:ascii="Times New Roman" w:hAnsi="Times New Roman"/>
          <w:lang w:val="bs-Latn-BA"/>
        </w:rPr>
        <w:t>Закону</w:t>
      </w:r>
      <w:r w:rsidR="00D41A15" w:rsidRPr="00295637">
        <w:rPr>
          <w:rFonts w:ascii="Times New Roman" w:hAnsi="Times New Roman"/>
          <w:lang w:val="bs-Latn-BA"/>
        </w:rPr>
        <w:t xml:space="preserve"> </w:t>
      </w:r>
      <w:r>
        <w:rPr>
          <w:rFonts w:ascii="Times New Roman" w:hAnsi="Times New Roman"/>
          <w:lang w:val="bs-Latn-BA"/>
        </w:rPr>
        <w:t>о</w:t>
      </w:r>
      <w:r w:rsidR="00D41A15" w:rsidRPr="00295637">
        <w:rPr>
          <w:rFonts w:ascii="Times New Roman" w:hAnsi="Times New Roman"/>
          <w:lang w:val="bs-Latn-BA"/>
        </w:rPr>
        <w:t xml:space="preserve"> </w:t>
      </w:r>
      <w:r>
        <w:rPr>
          <w:rFonts w:ascii="Times New Roman" w:hAnsi="Times New Roman"/>
          <w:lang w:val="bs-Latn-BA"/>
        </w:rPr>
        <w:t>заштити</w:t>
      </w:r>
      <w:r w:rsidR="00D41A15" w:rsidRPr="00295637">
        <w:rPr>
          <w:rFonts w:ascii="Times New Roman" w:hAnsi="Times New Roman"/>
          <w:lang w:val="bs-Latn-BA"/>
        </w:rPr>
        <w:t xml:space="preserve"> </w:t>
      </w:r>
      <w:r>
        <w:rPr>
          <w:rFonts w:ascii="Times New Roman" w:hAnsi="Times New Roman"/>
          <w:lang w:val="bs-Latn-BA"/>
        </w:rPr>
        <w:t>од</w:t>
      </w:r>
      <w:r w:rsidR="00D41A15" w:rsidRPr="00295637">
        <w:rPr>
          <w:rFonts w:ascii="Times New Roman" w:hAnsi="Times New Roman"/>
          <w:lang w:val="bs-Latn-BA"/>
        </w:rPr>
        <w:t xml:space="preserve"> </w:t>
      </w:r>
      <w:r>
        <w:rPr>
          <w:rFonts w:ascii="Times New Roman" w:hAnsi="Times New Roman"/>
          <w:lang w:val="bs-Latn-BA"/>
        </w:rPr>
        <w:t>насиља</w:t>
      </w:r>
      <w:r w:rsidR="00D41A15" w:rsidRPr="00295637">
        <w:rPr>
          <w:rFonts w:ascii="Times New Roman" w:hAnsi="Times New Roman"/>
          <w:lang w:val="bs-Latn-BA"/>
        </w:rPr>
        <w:t xml:space="preserve"> </w:t>
      </w:r>
      <w:r>
        <w:rPr>
          <w:rFonts w:ascii="Times New Roman" w:hAnsi="Times New Roman"/>
          <w:lang w:val="bs-Latn-BA"/>
        </w:rPr>
        <w:t>у</w:t>
      </w:r>
      <w:r w:rsidR="00D41A15" w:rsidRPr="00295637">
        <w:rPr>
          <w:rFonts w:ascii="Times New Roman" w:hAnsi="Times New Roman"/>
          <w:lang w:val="bs-Latn-BA"/>
        </w:rPr>
        <w:t xml:space="preserve"> </w:t>
      </w:r>
      <w:r>
        <w:rPr>
          <w:rFonts w:ascii="Times New Roman" w:hAnsi="Times New Roman"/>
          <w:lang w:val="bs-Latn-BA"/>
        </w:rPr>
        <w:t>породици</w:t>
      </w:r>
      <w:r w:rsidR="00D41A15" w:rsidRPr="00295637">
        <w:rPr>
          <w:rFonts w:ascii="Times New Roman" w:hAnsi="Times New Roman"/>
          <w:lang w:val="bs-Latn-BA"/>
        </w:rPr>
        <w:t xml:space="preserve"> </w:t>
      </w:r>
      <w:r>
        <w:rPr>
          <w:rFonts w:ascii="Times New Roman" w:hAnsi="Times New Roman"/>
          <w:lang w:val="bs-Latn-BA"/>
        </w:rPr>
        <w:t>и</w:t>
      </w:r>
      <w:r w:rsidR="00D41A15" w:rsidRPr="00295637">
        <w:rPr>
          <w:rFonts w:ascii="Times New Roman" w:hAnsi="Times New Roman"/>
          <w:lang w:val="bs-Latn-BA"/>
        </w:rPr>
        <w:t xml:space="preserve"> </w:t>
      </w:r>
      <w:r>
        <w:rPr>
          <w:rFonts w:ascii="Times New Roman" w:hAnsi="Times New Roman"/>
          <w:lang w:val="bs-Latn-BA"/>
        </w:rPr>
        <w:t>насиља</w:t>
      </w:r>
      <w:r w:rsidR="00D41A15" w:rsidRPr="00295637">
        <w:rPr>
          <w:rFonts w:ascii="Times New Roman" w:hAnsi="Times New Roman"/>
          <w:lang w:val="bs-Latn-BA"/>
        </w:rPr>
        <w:t xml:space="preserve"> </w:t>
      </w:r>
      <w:r>
        <w:rPr>
          <w:rFonts w:ascii="Times New Roman" w:hAnsi="Times New Roman"/>
          <w:lang w:val="bs-Latn-BA"/>
        </w:rPr>
        <w:t>над</w:t>
      </w:r>
      <w:r w:rsidR="00D41A15" w:rsidRPr="00295637">
        <w:rPr>
          <w:rFonts w:ascii="Times New Roman" w:hAnsi="Times New Roman"/>
          <w:lang w:val="bs-Latn-BA"/>
        </w:rPr>
        <w:t xml:space="preserve"> </w:t>
      </w:r>
      <w:r>
        <w:rPr>
          <w:rFonts w:ascii="Times New Roman" w:hAnsi="Times New Roman"/>
          <w:lang w:val="bs-Latn-BA"/>
        </w:rPr>
        <w:t>женама</w:t>
      </w:r>
      <w:r w:rsidR="00D41A15" w:rsidRPr="00295637">
        <w:rPr>
          <w:rFonts w:ascii="Times New Roman" w:hAnsi="Times New Roman"/>
          <w:lang w:val="bs-Latn-BA"/>
        </w:rPr>
        <w:t xml:space="preserve"> </w:t>
      </w:r>
      <w:r>
        <w:rPr>
          <w:rFonts w:ascii="Times New Roman" w:hAnsi="Times New Roman"/>
          <w:lang w:val="bs-Latn-BA"/>
        </w:rPr>
        <w:t>ФБиХ</w:t>
      </w:r>
      <w:r w:rsidR="004628A4" w:rsidRPr="00295637">
        <w:rPr>
          <w:rFonts w:ascii="Times New Roman" w:hAnsi="Times New Roman"/>
          <w:lang w:val="bs-Latn-BA"/>
        </w:rPr>
        <w:t xml:space="preserve"> </w:t>
      </w:r>
      <w:r>
        <w:rPr>
          <w:rFonts w:ascii="Times New Roman" w:hAnsi="Times New Roman"/>
          <w:lang w:val="bs-Latn-BA"/>
        </w:rPr>
        <w:t>дефини</w:t>
      </w:r>
      <w:r w:rsidR="008A65D0">
        <w:rPr>
          <w:rFonts w:ascii="Times New Roman" w:hAnsi="Times New Roman"/>
          <w:lang w:val="bs-Cyrl-BA"/>
        </w:rPr>
        <w:t>с</w:t>
      </w:r>
      <w:r>
        <w:rPr>
          <w:rFonts w:ascii="Times New Roman" w:hAnsi="Times New Roman"/>
          <w:lang w:val="bs-Latn-BA"/>
        </w:rPr>
        <w:t>ана</w:t>
      </w:r>
      <w:r w:rsidR="0046522D">
        <w:rPr>
          <w:rFonts w:ascii="Times New Roman" w:hAnsi="Times New Roman"/>
          <w:lang w:val="bs-Latn-BA"/>
        </w:rPr>
        <w:t xml:space="preserve"> </w:t>
      </w:r>
      <w:r>
        <w:rPr>
          <w:rFonts w:ascii="Times New Roman" w:hAnsi="Times New Roman"/>
          <w:lang w:val="bs-Latn-BA"/>
        </w:rPr>
        <w:t>је</w:t>
      </w:r>
      <w:r w:rsidR="0046522D">
        <w:rPr>
          <w:rFonts w:ascii="Times New Roman" w:hAnsi="Times New Roman"/>
          <w:lang w:val="bs-Latn-BA"/>
        </w:rPr>
        <w:t xml:space="preserve"> </w:t>
      </w:r>
      <w:r>
        <w:rPr>
          <w:rFonts w:ascii="Times New Roman" w:hAnsi="Times New Roman"/>
          <w:lang w:val="bs-Latn-BA"/>
        </w:rPr>
        <w:t>обавеза</w:t>
      </w:r>
      <w:r w:rsidR="00D41A15" w:rsidRPr="00295637">
        <w:rPr>
          <w:rFonts w:ascii="Times New Roman" w:hAnsi="Times New Roman"/>
          <w:lang w:val="bs-Latn-BA"/>
        </w:rPr>
        <w:t xml:space="preserve"> </w:t>
      </w:r>
      <w:r>
        <w:rPr>
          <w:rFonts w:ascii="Times New Roman" w:hAnsi="Times New Roman"/>
          <w:lang w:val="bs-Latn-BA"/>
        </w:rPr>
        <w:t>вођења</w:t>
      </w:r>
      <w:r w:rsidR="00D41A15" w:rsidRPr="00295637">
        <w:rPr>
          <w:rFonts w:ascii="Times New Roman" w:hAnsi="Times New Roman"/>
          <w:lang w:val="bs-Latn-BA"/>
        </w:rPr>
        <w:t xml:space="preserve"> </w:t>
      </w:r>
      <w:r>
        <w:rPr>
          <w:rFonts w:ascii="Times New Roman" w:hAnsi="Times New Roman"/>
          <w:lang w:val="bs-Latn-BA"/>
        </w:rPr>
        <w:t>евиденција</w:t>
      </w:r>
      <w:r w:rsidR="00D41A15" w:rsidRPr="00295637">
        <w:rPr>
          <w:rFonts w:ascii="Times New Roman" w:hAnsi="Times New Roman"/>
          <w:lang w:val="bs-Latn-BA"/>
        </w:rPr>
        <w:t xml:space="preserve"> </w:t>
      </w:r>
      <w:r>
        <w:rPr>
          <w:rFonts w:ascii="Times New Roman" w:hAnsi="Times New Roman"/>
          <w:lang w:val="bs-Latn-BA"/>
        </w:rPr>
        <w:t>и</w:t>
      </w:r>
      <w:r w:rsidR="00D41A15" w:rsidRPr="00295637">
        <w:rPr>
          <w:rFonts w:ascii="Times New Roman" w:hAnsi="Times New Roman"/>
          <w:lang w:val="bs-Latn-BA"/>
        </w:rPr>
        <w:t xml:space="preserve"> </w:t>
      </w:r>
      <w:r>
        <w:rPr>
          <w:rFonts w:ascii="Times New Roman" w:hAnsi="Times New Roman"/>
          <w:lang w:val="bs-Latn-BA"/>
        </w:rPr>
        <w:t>извјештавања</w:t>
      </w:r>
      <w:r w:rsidR="00D41A15" w:rsidRPr="00295637">
        <w:rPr>
          <w:rFonts w:ascii="Times New Roman" w:hAnsi="Times New Roman"/>
          <w:lang w:val="bs-Latn-BA"/>
        </w:rPr>
        <w:t xml:space="preserve"> </w:t>
      </w:r>
      <w:r>
        <w:rPr>
          <w:rFonts w:ascii="Times New Roman" w:hAnsi="Times New Roman"/>
          <w:lang w:val="bs-Latn-BA"/>
        </w:rPr>
        <w:t>свих</w:t>
      </w:r>
      <w:r w:rsidR="00D41A15" w:rsidRPr="00295637">
        <w:rPr>
          <w:rFonts w:ascii="Times New Roman" w:hAnsi="Times New Roman"/>
          <w:lang w:val="bs-Latn-BA"/>
        </w:rPr>
        <w:t xml:space="preserve"> </w:t>
      </w:r>
      <w:r>
        <w:rPr>
          <w:rFonts w:ascii="Times New Roman" w:hAnsi="Times New Roman"/>
          <w:lang w:val="bs-Latn-BA"/>
        </w:rPr>
        <w:t>надлежних</w:t>
      </w:r>
      <w:r w:rsidR="00D41A15" w:rsidRPr="00295637">
        <w:rPr>
          <w:rFonts w:ascii="Times New Roman" w:hAnsi="Times New Roman"/>
          <w:lang w:val="bs-Latn-BA"/>
        </w:rPr>
        <w:t xml:space="preserve"> </w:t>
      </w:r>
      <w:r>
        <w:rPr>
          <w:rFonts w:ascii="Times New Roman" w:hAnsi="Times New Roman"/>
          <w:lang w:val="bs-Latn-BA"/>
        </w:rPr>
        <w:t>институција</w:t>
      </w:r>
      <w:r w:rsidR="00D41A15" w:rsidRPr="00295637">
        <w:rPr>
          <w:rFonts w:ascii="Times New Roman" w:hAnsi="Times New Roman"/>
          <w:lang w:val="bs-Latn-BA"/>
        </w:rPr>
        <w:t xml:space="preserve">, </w:t>
      </w:r>
      <w:r>
        <w:rPr>
          <w:rFonts w:ascii="Times New Roman" w:hAnsi="Times New Roman"/>
          <w:lang w:val="bs-Latn-BA"/>
        </w:rPr>
        <w:t>те</w:t>
      </w:r>
      <w:r w:rsidR="00D41A15" w:rsidRPr="00295637">
        <w:rPr>
          <w:rFonts w:ascii="Times New Roman" w:hAnsi="Times New Roman"/>
          <w:lang w:val="bs-Latn-BA"/>
        </w:rPr>
        <w:t xml:space="preserve"> </w:t>
      </w:r>
      <w:r>
        <w:rPr>
          <w:rFonts w:ascii="Times New Roman" w:hAnsi="Times New Roman"/>
          <w:lang w:val="bs-Latn-BA"/>
        </w:rPr>
        <w:t>је</w:t>
      </w:r>
      <w:r w:rsidR="00D41A15" w:rsidRPr="00295637">
        <w:rPr>
          <w:rFonts w:ascii="Times New Roman" w:hAnsi="Times New Roman"/>
          <w:lang w:val="bs-Latn-BA"/>
        </w:rPr>
        <w:t xml:space="preserve"> </w:t>
      </w:r>
      <w:r>
        <w:rPr>
          <w:rFonts w:ascii="Times New Roman" w:hAnsi="Times New Roman"/>
          <w:lang w:val="bs-Latn-BA"/>
        </w:rPr>
        <w:t>дефини</w:t>
      </w:r>
      <w:r w:rsidR="008A65D0">
        <w:rPr>
          <w:rFonts w:ascii="Times New Roman" w:hAnsi="Times New Roman"/>
          <w:lang w:val="bs-Cyrl-BA"/>
        </w:rPr>
        <w:t>с</w:t>
      </w:r>
      <w:r>
        <w:rPr>
          <w:rFonts w:ascii="Times New Roman" w:hAnsi="Times New Roman"/>
          <w:lang w:val="bs-Latn-BA"/>
        </w:rPr>
        <w:t>ано</w:t>
      </w:r>
      <w:r w:rsidR="00D41A15" w:rsidRPr="00295637">
        <w:rPr>
          <w:rFonts w:ascii="Times New Roman" w:hAnsi="Times New Roman"/>
          <w:lang w:val="bs-Latn-BA"/>
        </w:rPr>
        <w:t xml:space="preserve"> </w:t>
      </w:r>
      <w:r>
        <w:rPr>
          <w:rFonts w:ascii="Times New Roman" w:hAnsi="Times New Roman"/>
          <w:lang w:val="bs-Latn-BA"/>
        </w:rPr>
        <w:t>да</w:t>
      </w:r>
      <w:r w:rsidR="00D41A15" w:rsidRPr="00295637">
        <w:rPr>
          <w:rFonts w:ascii="Times New Roman" w:hAnsi="Times New Roman"/>
          <w:lang w:val="bs-Latn-BA"/>
        </w:rPr>
        <w:t xml:space="preserve"> </w:t>
      </w:r>
      <w:r>
        <w:rPr>
          <w:rFonts w:ascii="Times New Roman" w:hAnsi="Times New Roman"/>
          <w:lang w:val="bs-Latn-BA"/>
        </w:rPr>
        <w:t>се</w:t>
      </w:r>
      <w:r w:rsidR="00D41A15" w:rsidRPr="00295637">
        <w:rPr>
          <w:rFonts w:ascii="Times New Roman" w:hAnsi="Times New Roman"/>
          <w:lang w:val="bs-Latn-BA"/>
        </w:rPr>
        <w:t xml:space="preserve"> </w:t>
      </w:r>
      <w:r>
        <w:rPr>
          <w:rFonts w:ascii="Times New Roman" w:hAnsi="Times New Roman"/>
          <w:lang w:val="bs-Latn-BA"/>
        </w:rPr>
        <w:t>обједињени</w:t>
      </w:r>
      <w:r w:rsidR="00D41A15" w:rsidRPr="00295637">
        <w:rPr>
          <w:rFonts w:ascii="Times New Roman" w:hAnsi="Times New Roman"/>
          <w:lang w:val="bs-Latn-BA"/>
        </w:rPr>
        <w:t xml:space="preserve"> </w:t>
      </w:r>
      <w:r>
        <w:rPr>
          <w:rFonts w:ascii="Times New Roman" w:hAnsi="Times New Roman"/>
          <w:lang w:val="bs-Latn-BA"/>
        </w:rPr>
        <w:t>подаци</w:t>
      </w:r>
      <w:r w:rsidR="00D41A15" w:rsidRPr="00295637">
        <w:rPr>
          <w:rFonts w:ascii="Times New Roman" w:hAnsi="Times New Roman"/>
          <w:lang w:val="bs-Latn-BA"/>
        </w:rPr>
        <w:t xml:space="preserve"> </w:t>
      </w:r>
      <w:r>
        <w:rPr>
          <w:rFonts w:ascii="Times New Roman" w:hAnsi="Times New Roman"/>
          <w:lang w:val="bs-Latn-BA"/>
        </w:rPr>
        <w:t>достављају</w:t>
      </w:r>
      <w:r w:rsidR="00D41A15" w:rsidRPr="00295637">
        <w:rPr>
          <w:rFonts w:ascii="Times New Roman" w:hAnsi="Times New Roman"/>
          <w:lang w:val="bs-Latn-BA"/>
        </w:rPr>
        <w:t xml:space="preserve"> </w:t>
      </w:r>
      <w:r>
        <w:rPr>
          <w:rFonts w:ascii="Times New Roman" w:hAnsi="Times New Roman"/>
          <w:lang w:val="bs-Latn-BA"/>
        </w:rPr>
        <w:t>ГЦ</w:t>
      </w:r>
      <w:r w:rsidR="0046522D">
        <w:rPr>
          <w:rFonts w:ascii="Times New Roman" w:hAnsi="Times New Roman"/>
          <w:lang w:val="bs-Latn-BA"/>
        </w:rPr>
        <w:t xml:space="preserve"> </w:t>
      </w:r>
      <w:r>
        <w:rPr>
          <w:rFonts w:ascii="Times New Roman" w:hAnsi="Times New Roman"/>
          <w:lang w:val="bs-Latn-BA"/>
        </w:rPr>
        <w:t>ФБиХ</w:t>
      </w:r>
      <w:r w:rsidR="00D41A15" w:rsidRPr="00295637">
        <w:rPr>
          <w:rFonts w:ascii="Times New Roman" w:hAnsi="Times New Roman"/>
          <w:lang w:val="bs-Latn-BA"/>
        </w:rPr>
        <w:t xml:space="preserve">, </w:t>
      </w:r>
      <w:r>
        <w:rPr>
          <w:rFonts w:ascii="Times New Roman" w:hAnsi="Times New Roman"/>
          <w:lang w:val="bs-Latn-BA"/>
        </w:rPr>
        <w:t>ФМУП</w:t>
      </w:r>
      <w:r w:rsidR="00D41A15" w:rsidRPr="00295637">
        <w:rPr>
          <w:rFonts w:ascii="Times New Roman" w:hAnsi="Times New Roman"/>
          <w:lang w:val="bs-Latn-BA"/>
        </w:rPr>
        <w:t xml:space="preserve">, </w:t>
      </w:r>
      <w:r>
        <w:rPr>
          <w:rFonts w:ascii="Times New Roman" w:hAnsi="Times New Roman"/>
          <w:lang w:val="bs-Latn-BA"/>
        </w:rPr>
        <w:t>ФЗЗС</w:t>
      </w:r>
      <w:r w:rsidR="00D41A15" w:rsidRPr="00295637">
        <w:rPr>
          <w:rFonts w:ascii="Times New Roman" w:hAnsi="Times New Roman"/>
          <w:lang w:val="bs-Latn-BA"/>
        </w:rPr>
        <w:t xml:space="preserve">, </w:t>
      </w:r>
      <w:r>
        <w:rPr>
          <w:rFonts w:ascii="Times New Roman" w:hAnsi="Times New Roman"/>
          <w:lang w:val="bs-Latn-BA"/>
        </w:rPr>
        <w:t>као</w:t>
      </w:r>
      <w:r w:rsidR="00D41A15" w:rsidRPr="00295637">
        <w:rPr>
          <w:rFonts w:ascii="Times New Roman" w:hAnsi="Times New Roman"/>
          <w:lang w:val="bs-Latn-BA"/>
        </w:rPr>
        <w:t xml:space="preserve"> </w:t>
      </w:r>
      <w:r>
        <w:rPr>
          <w:rFonts w:ascii="Times New Roman" w:hAnsi="Times New Roman"/>
          <w:lang w:val="bs-Latn-BA"/>
        </w:rPr>
        <w:t>и</w:t>
      </w:r>
      <w:r w:rsidR="00D41A15" w:rsidRPr="00295637">
        <w:rPr>
          <w:rFonts w:ascii="Times New Roman" w:hAnsi="Times New Roman"/>
          <w:lang w:val="bs-Latn-BA"/>
        </w:rPr>
        <w:t xml:space="preserve"> </w:t>
      </w:r>
      <w:r>
        <w:rPr>
          <w:rFonts w:ascii="Times New Roman" w:hAnsi="Times New Roman"/>
          <w:lang w:val="bs-Latn-BA"/>
        </w:rPr>
        <w:t>Комисији</w:t>
      </w:r>
      <w:r w:rsidR="00D41A15" w:rsidRPr="00295637">
        <w:rPr>
          <w:rFonts w:ascii="Times New Roman" w:hAnsi="Times New Roman"/>
          <w:lang w:val="bs-Latn-BA"/>
        </w:rPr>
        <w:t xml:space="preserve"> </w:t>
      </w:r>
      <w:r>
        <w:rPr>
          <w:rFonts w:ascii="Times New Roman" w:hAnsi="Times New Roman"/>
          <w:lang w:val="bs-Latn-BA"/>
        </w:rPr>
        <w:t>за</w:t>
      </w:r>
      <w:r w:rsidR="00D41A15" w:rsidRPr="00295637">
        <w:rPr>
          <w:rFonts w:ascii="Times New Roman" w:hAnsi="Times New Roman"/>
          <w:lang w:val="bs-Latn-BA"/>
        </w:rPr>
        <w:t xml:space="preserve"> </w:t>
      </w:r>
      <w:r>
        <w:rPr>
          <w:rFonts w:ascii="Times New Roman" w:hAnsi="Times New Roman"/>
          <w:lang w:val="bs-Latn-BA"/>
        </w:rPr>
        <w:t>праћење</w:t>
      </w:r>
      <w:r w:rsidR="00D41A15" w:rsidRPr="00295637">
        <w:rPr>
          <w:rFonts w:ascii="Times New Roman" w:hAnsi="Times New Roman"/>
          <w:lang w:val="bs-Latn-BA"/>
        </w:rPr>
        <w:t xml:space="preserve"> </w:t>
      </w:r>
      <w:r>
        <w:rPr>
          <w:rFonts w:ascii="Times New Roman" w:hAnsi="Times New Roman"/>
          <w:lang w:val="bs-Latn-BA"/>
        </w:rPr>
        <w:t>закона</w:t>
      </w:r>
      <w:r w:rsidR="00D41A15" w:rsidRPr="00295637">
        <w:rPr>
          <w:rFonts w:ascii="Times New Roman" w:hAnsi="Times New Roman"/>
          <w:lang w:val="bs-Latn-BA"/>
        </w:rPr>
        <w:t>.</w:t>
      </w:r>
    </w:p>
    <w:p w:rsidR="00D62F29" w:rsidRPr="00295637" w:rsidRDefault="00D62F29" w:rsidP="0086268D">
      <w:pPr>
        <w:pStyle w:val="ListParagraph"/>
        <w:ind w:left="0"/>
        <w:jc w:val="both"/>
        <w:rPr>
          <w:rFonts w:ascii="Times New Roman" w:hAnsi="Times New Roman"/>
          <w:lang w:val="sr-Latn-BA"/>
        </w:rPr>
      </w:pPr>
    </w:p>
    <w:p w:rsidR="001741CA"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1741CA" w:rsidRPr="00295637">
        <w:rPr>
          <w:rFonts w:ascii="Times New Roman" w:hAnsi="Times New Roman"/>
          <w:lang w:val="sr-Latn-BA"/>
        </w:rPr>
        <w:t xml:space="preserve"> </w:t>
      </w:r>
      <w:r>
        <w:rPr>
          <w:rFonts w:ascii="Times New Roman" w:hAnsi="Times New Roman"/>
          <w:lang w:val="sr-Latn-BA"/>
        </w:rPr>
        <w:t>РС</w:t>
      </w:r>
      <w:r w:rsidR="001741CA" w:rsidRPr="00295637">
        <w:rPr>
          <w:rFonts w:ascii="Times New Roman" w:hAnsi="Times New Roman"/>
          <w:lang w:val="sr-Latn-BA"/>
        </w:rPr>
        <w:t xml:space="preserve"> </w:t>
      </w:r>
      <w:r w:rsidR="00C9019F">
        <w:rPr>
          <w:rFonts w:ascii="Times New Roman" w:hAnsi="Times New Roman"/>
          <w:lang w:val="sr-Latn-BA"/>
        </w:rPr>
        <w:t xml:space="preserve">су </w:t>
      </w:r>
      <w:r>
        <w:rPr>
          <w:rFonts w:ascii="Times New Roman" w:hAnsi="Times New Roman"/>
          <w:lang w:val="sr-Latn-BA"/>
        </w:rPr>
        <w:t>прикупљени</w:t>
      </w:r>
      <w:r w:rsidR="001741CA" w:rsidRPr="00295637">
        <w:rPr>
          <w:rFonts w:ascii="Times New Roman" w:hAnsi="Times New Roman"/>
          <w:lang w:val="sr-Latn-BA"/>
        </w:rPr>
        <w:t xml:space="preserve"> </w:t>
      </w:r>
      <w:r>
        <w:rPr>
          <w:rFonts w:ascii="Times New Roman" w:hAnsi="Times New Roman"/>
          <w:lang w:val="sr-Latn-BA"/>
        </w:rPr>
        <w:t>подаци</w:t>
      </w:r>
      <w:r w:rsidR="001741CA" w:rsidRPr="00295637">
        <w:rPr>
          <w:rFonts w:ascii="Times New Roman" w:hAnsi="Times New Roman"/>
          <w:lang w:val="sr-Latn-BA"/>
        </w:rPr>
        <w:t xml:space="preserve"> </w:t>
      </w:r>
      <w:r>
        <w:rPr>
          <w:rFonts w:ascii="Times New Roman" w:hAnsi="Times New Roman"/>
          <w:lang w:val="sr-Latn-BA"/>
        </w:rPr>
        <w:t>о</w:t>
      </w:r>
      <w:r w:rsidR="001741CA" w:rsidRPr="00295637">
        <w:rPr>
          <w:rFonts w:ascii="Times New Roman" w:hAnsi="Times New Roman"/>
          <w:lang w:val="sr-Latn-BA"/>
        </w:rPr>
        <w:t xml:space="preserve"> </w:t>
      </w:r>
      <w:r>
        <w:rPr>
          <w:rFonts w:ascii="Times New Roman" w:hAnsi="Times New Roman"/>
          <w:lang w:val="sr-Latn-BA"/>
        </w:rPr>
        <w:t>насиљу</w:t>
      </w:r>
      <w:r w:rsidR="001741CA" w:rsidRPr="00295637">
        <w:rPr>
          <w:rFonts w:ascii="Times New Roman" w:hAnsi="Times New Roman"/>
          <w:lang w:val="sr-Latn-BA"/>
        </w:rPr>
        <w:t xml:space="preserve"> </w:t>
      </w:r>
      <w:r>
        <w:rPr>
          <w:rFonts w:ascii="Times New Roman" w:hAnsi="Times New Roman"/>
          <w:lang w:val="sr-Latn-BA"/>
        </w:rPr>
        <w:t>над</w:t>
      </w:r>
      <w:r w:rsidR="001741CA" w:rsidRPr="00295637">
        <w:rPr>
          <w:rFonts w:ascii="Times New Roman" w:hAnsi="Times New Roman"/>
          <w:lang w:val="sr-Latn-BA"/>
        </w:rPr>
        <w:t xml:space="preserve"> </w:t>
      </w:r>
      <w:r>
        <w:rPr>
          <w:rFonts w:ascii="Times New Roman" w:hAnsi="Times New Roman"/>
          <w:lang w:val="sr-Latn-BA"/>
        </w:rPr>
        <w:t>женама</w:t>
      </w:r>
      <w:r w:rsidR="001741CA" w:rsidRPr="00295637">
        <w:rPr>
          <w:rFonts w:ascii="Times New Roman" w:hAnsi="Times New Roman"/>
          <w:lang w:val="sr-Latn-BA"/>
        </w:rPr>
        <w:t xml:space="preserve"> </w:t>
      </w:r>
      <w:r>
        <w:rPr>
          <w:rFonts w:ascii="Times New Roman" w:hAnsi="Times New Roman"/>
          <w:lang w:val="sr-Latn-BA"/>
        </w:rPr>
        <w:t>и</w:t>
      </w:r>
      <w:r w:rsidR="001741CA" w:rsidRPr="00295637">
        <w:rPr>
          <w:rFonts w:ascii="Times New Roman" w:hAnsi="Times New Roman"/>
          <w:lang w:val="sr-Latn-BA"/>
        </w:rPr>
        <w:t xml:space="preserve"> </w:t>
      </w:r>
      <w:r>
        <w:rPr>
          <w:rFonts w:ascii="Times New Roman" w:hAnsi="Times New Roman"/>
          <w:lang w:val="sr-Latn-BA"/>
        </w:rPr>
        <w:t>фемициду</w:t>
      </w:r>
      <w:r w:rsidR="001741CA" w:rsidRPr="00295637">
        <w:rPr>
          <w:rFonts w:ascii="Times New Roman" w:hAnsi="Times New Roman"/>
          <w:lang w:val="sr-Latn-BA"/>
        </w:rPr>
        <w:t xml:space="preserve"> </w:t>
      </w:r>
      <w:r>
        <w:rPr>
          <w:rFonts w:ascii="Times New Roman" w:hAnsi="Times New Roman"/>
          <w:lang w:val="sr-Latn-BA"/>
        </w:rPr>
        <w:t>од</w:t>
      </w:r>
      <w:r w:rsidR="001741CA" w:rsidRPr="00295637">
        <w:rPr>
          <w:rFonts w:ascii="Times New Roman" w:hAnsi="Times New Roman"/>
          <w:lang w:val="sr-Latn-BA"/>
        </w:rPr>
        <w:t xml:space="preserve"> </w:t>
      </w:r>
      <w:r>
        <w:rPr>
          <w:rFonts w:ascii="Times New Roman" w:hAnsi="Times New Roman"/>
          <w:lang w:val="sr-Latn-BA"/>
        </w:rPr>
        <w:t>субјеката</w:t>
      </w:r>
      <w:r w:rsidR="001741CA" w:rsidRPr="00295637">
        <w:rPr>
          <w:rFonts w:ascii="Times New Roman" w:hAnsi="Times New Roman"/>
          <w:lang w:val="sr-Latn-BA"/>
        </w:rPr>
        <w:t xml:space="preserve"> </w:t>
      </w:r>
      <w:r>
        <w:rPr>
          <w:rFonts w:ascii="Times New Roman" w:hAnsi="Times New Roman"/>
          <w:lang w:val="sr-Latn-BA"/>
        </w:rPr>
        <w:t>заштите</w:t>
      </w:r>
      <w:r w:rsidR="001741CA" w:rsidRPr="00295637">
        <w:rPr>
          <w:rFonts w:ascii="Times New Roman" w:hAnsi="Times New Roman"/>
          <w:lang w:val="sr-Latn-BA"/>
        </w:rPr>
        <w:t xml:space="preserve"> </w:t>
      </w:r>
      <w:r>
        <w:rPr>
          <w:rFonts w:ascii="Times New Roman" w:hAnsi="Times New Roman"/>
          <w:lang w:val="sr-Latn-BA"/>
        </w:rPr>
        <w:t>за</w:t>
      </w:r>
      <w:r w:rsidR="001741CA" w:rsidRPr="00295637">
        <w:rPr>
          <w:rFonts w:ascii="Times New Roman" w:hAnsi="Times New Roman"/>
          <w:lang w:val="sr-Latn-BA"/>
        </w:rPr>
        <w:t xml:space="preserve"> </w:t>
      </w:r>
      <w:r>
        <w:rPr>
          <w:rFonts w:ascii="Times New Roman" w:hAnsi="Times New Roman"/>
          <w:lang w:val="sr-Latn-BA"/>
        </w:rPr>
        <w:t>потребе</w:t>
      </w:r>
      <w:r w:rsidR="001741CA" w:rsidRPr="00295637">
        <w:rPr>
          <w:rFonts w:ascii="Times New Roman" w:hAnsi="Times New Roman"/>
          <w:lang w:val="sr-Latn-BA"/>
        </w:rPr>
        <w:t xml:space="preserve"> </w:t>
      </w:r>
      <w:r>
        <w:rPr>
          <w:rFonts w:ascii="Times New Roman" w:hAnsi="Times New Roman"/>
          <w:lang w:val="sr-Latn-BA"/>
        </w:rPr>
        <w:t>кампања</w:t>
      </w:r>
      <w:r w:rsidR="001741CA" w:rsidRPr="00295637">
        <w:rPr>
          <w:rFonts w:ascii="Times New Roman" w:hAnsi="Times New Roman"/>
          <w:lang w:val="sr-Latn-BA"/>
        </w:rPr>
        <w:t xml:space="preserve"> </w:t>
      </w:r>
      <w:r>
        <w:rPr>
          <w:rFonts w:ascii="Times New Roman" w:hAnsi="Times New Roman"/>
          <w:lang w:val="sr-Latn-BA"/>
        </w:rPr>
        <w:t>и</w:t>
      </w:r>
      <w:r w:rsidR="001741CA" w:rsidRPr="00295637">
        <w:rPr>
          <w:rFonts w:ascii="Times New Roman" w:hAnsi="Times New Roman"/>
          <w:lang w:val="sr-Latn-BA"/>
        </w:rPr>
        <w:t xml:space="preserve"> </w:t>
      </w:r>
      <w:r>
        <w:rPr>
          <w:rFonts w:ascii="Times New Roman" w:hAnsi="Times New Roman"/>
          <w:lang w:val="sr-Latn-BA"/>
        </w:rPr>
        <w:t>израђена</w:t>
      </w:r>
      <w:r w:rsidR="001741CA" w:rsidRPr="00295637">
        <w:rPr>
          <w:rFonts w:ascii="Times New Roman" w:hAnsi="Times New Roman"/>
          <w:lang w:val="sr-Latn-BA"/>
        </w:rPr>
        <w:t xml:space="preserve"> </w:t>
      </w:r>
      <w:r>
        <w:rPr>
          <w:rFonts w:ascii="Times New Roman" w:hAnsi="Times New Roman"/>
          <w:lang w:val="sr-Latn-BA"/>
        </w:rPr>
        <w:t>је</w:t>
      </w:r>
      <w:r w:rsidR="001741CA" w:rsidRPr="00295637">
        <w:rPr>
          <w:rFonts w:ascii="Times New Roman" w:hAnsi="Times New Roman"/>
          <w:lang w:val="sr-Latn-BA"/>
        </w:rPr>
        <w:t xml:space="preserve"> </w:t>
      </w:r>
      <w:r>
        <w:rPr>
          <w:rFonts w:ascii="Times New Roman" w:hAnsi="Times New Roman"/>
          <w:lang w:val="sr-Latn-BA"/>
        </w:rPr>
        <w:t>анализа</w:t>
      </w:r>
      <w:r w:rsidR="001741CA" w:rsidRPr="00295637">
        <w:rPr>
          <w:rFonts w:ascii="Times New Roman" w:hAnsi="Times New Roman"/>
          <w:lang w:val="sr-Latn-BA"/>
        </w:rPr>
        <w:t xml:space="preserve"> </w:t>
      </w:r>
      <w:r>
        <w:rPr>
          <w:rFonts w:ascii="Times New Roman" w:hAnsi="Times New Roman"/>
          <w:lang w:val="sr-Latn-BA"/>
        </w:rPr>
        <w:t>и</w:t>
      </w:r>
      <w:r w:rsidR="001741CA" w:rsidRPr="00295637">
        <w:rPr>
          <w:rFonts w:ascii="Times New Roman" w:hAnsi="Times New Roman"/>
          <w:lang w:val="sr-Latn-BA"/>
        </w:rPr>
        <w:t xml:space="preserve"> </w:t>
      </w:r>
      <w:r>
        <w:rPr>
          <w:rFonts w:ascii="Times New Roman" w:hAnsi="Times New Roman"/>
          <w:lang w:val="sr-Latn-BA"/>
        </w:rPr>
        <w:t>мониторинг</w:t>
      </w:r>
      <w:r w:rsidR="001741CA" w:rsidRPr="00295637">
        <w:rPr>
          <w:rFonts w:ascii="Times New Roman" w:hAnsi="Times New Roman"/>
          <w:lang w:val="sr-Latn-BA"/>
        </w:rPr>
        <w:t xml:space="preserve"> </w:t>
      </w:r>
      <w:r>
        <w:rPr>
          <w:rFonts w:ascii="Times New Roman" w:hAnsi="Times New Roman"/>
          <w:lang w:val="sr-Latn-BA"/>
        </w:rPr>
        <w:t>медијског</w:t>
      </w:r>
      <w:r w:rsidR="001741CA" w:rsidRPr="00295637">
        <w:rPr>
          <w:rFonts w:ascii="Times New Roman" w:hAnsi="Times New Roman"/>
          <w:lang w:val="sr-Latn-BA"/>
        </w:rPr>
        <w:t xml:space="preserve"> </w:t>
      </w:r>
      <w:r>
        <w:rPr>
          <w:rFonts w:ascii="Times New Roman" w:hAnsi="Times New Roman"/>
          <w:lang w:val="sr-Latn-BA"/>
        </w:rPr>
        <w:t>извјештавања</w:t>
      </w:r>
      <w:r w:rsidR="001741CA" w:rsidRPr="00295637">
        <w:rPr>
          <w:rFonts w:ascii="Times New Roman" w:hAnsi="Times New Roman"/>
          <w:lang w:val="sr-Latn-BA"/>
        </w:rPr>
        <w:t xml:space="preserve"> </w:t>
      </w:r>
      <w:r>
        <w:rPr>
          <w:rFonts w:ascii="Times New Roman" w:hAnsi="Times New Roman"/>
          <w:lang w:val="sr-Latn-BA"/>
        </w:rPr>
        <w:t>о</w:t>
      </w:r>
      <w:r w:rsidR="001741CA" w:rsidRPr="00295637">
        <w:rPr>
          <w:rFonts w:ascii="Times New Roman" w:hAnsi="Times New Roman"/>
          <w:lang w:val="sr-Latn-BA"/>
        </w:rPr>
        <w:t xml:space="preserve"> </w:t>
      </w:r>
      <w:r>
        <w:rPr>
          <w:rFonts w:ascii="Times New Roman" w:hAnsi="Times New Roman"/>
          <w:lang w:val="sr-Latn-BA"/>
        </w:rPr>
        <w:t>родно</w:t>
      </w:r>
      <w:r w:rsidR="001741CA" w:rsidRPr="00295637">
        <w:rPr>
          <w:rFonts w:ascii="Times New Roman" w:hAnsi="Times New Roman"/>
          <w:lang w:val="sr-Latn-BA"/>
        </w:rPr>
        <w:t xml:space="preserve"> </w:t>
      </w:r>
      <w:r>
        <w:rPr>
          <w:rFonts w:ascii="Times New Roman" w:hAnsi="Times New Roman"/>
          <w:lang w:val="sr-Latn-BA"/>
        </w:rPr>
        <w:t>заснованом</w:t>
      </w:r>
      <w:r w:rsidR="001741CA" w:rsidRPr="00295637">
        <w:rPr>
          <w:rFonts w:ascii="Times New Roman" w:hAnsi="Times New Roman"/>
          <w:lang w:val="sr-Latn-BA"/>
        </w:rPr>
        <w:t xml:space="preserve"> </w:t>
      </w:r>
      <w:r>
        <w:rPr>
          <w:rFonts w:ascii="Times New Roman" w:hAnsi="Times New Roman"/>
          <w:lang w:val="sr-Latn-BA"/>
        </w:rPr>
        <w:t>насиљу</w:t>
      </w:r>
      <w:r w:rsidR="001741CA" w:rsidRPr="00295637">
        <w:rPr>
          <w:rFonts w:ascii="Times New Roman" w:hAnsi="Times New Roman"/>
          <w:lang w:val="sr-Latn-BA"/>
        </w:rPr>
        <w:t>.</w:t>
      </w:r>
    </w:p>
    <w:p w:rsidR="00C142CC" w:rsidRPr="00295637" w:rsidRDefault="00C142CC" w:rsidP="0086268D">
      <w:pPr>
        <w:tabs>
          <w:tab w:val="left" w:pos="284"/>
          <w:tab w:val="left" w:pos="630"/>
          <w:tab w:val="left" w:pos="1080"/>
        </w:tabs>
        <w:jc w:val="both"/>
        <w:rPr>
          <w:rFonts w:ascii="Times New Roman" w:hAnsi="Times New Roman"/>
          <w:szCs w:val="24"/>
          <w:lang w:val="bs-Latn-BA"/>
        </w:rPr>
      </w:pPr>
    </w:p>
    <w:p w:rsidR="00356C2C" w:rsidRPr="00295637" w:rsidRDefault="00C9019F" w:rsidP="00785039">
      <w:pPr>
        <w:tabs>
          <w:tab w:val="left" w:pos="284"/>
          <w:tab w:val="left" w:pos="630"/>
          <w:tab w:val="left" w:pos="1080"/>
        </w:tabs>
        <w:ind w:left="900"/>
        <w:jc w:val="both"/>
        <w:rPr>
          <w:rFonts w:ascii="Times New Roman" w:hAnsi="Times New Roman"/>
          <w:szCs w:val="24"/>
        </w:rPr>
      </w:pPr>
      <w:r>
        <w:rPr>
          <w:rFonts w:ascii="Times New Roman" w:hAnsi="Times New Roman"/>
          <w:szCs w:val="24"/>
          <w:lang w:val="hr-HR"/>
        </w:rPr>
        <w:t>I</w:t>
      </w:r>
      <w:r w:rsidR="00785039">
        <w:rPr>
          <w:rFonts w:ascii="Times New Roman" w:hAnsi="Times New Roman"/>
          <w:szCs w:val="24"/>
          <w:lang w:val="bs-Latn-BA"/>
        </w:rPr>
        <w:t xml:space="preserve"> 1.3. </w:t>
      </w:r>
      <w:r w:rsidR="00C6214E">
        <w:rPr>
          <w:rFonts w:ascii="Times New Roman" w:hAnsi="Times New Roman"/>
          <w:szCs w:val="24"/>
          <w:lang w:val="bs-Latn-BA"/>
        </w:rPr>
        <w:t>Успостав</w:t>
      </w:r>
      <w:r>
        <w:rPr>
          <w:rFonts w:ascii="Times New Roman" w:hAnsi="Times New Roman"/>
          <w:szCs w:val="24"/>
          <w:lang w:val="sr-Cyrl-BA"/>
        </w:rPr>
        <w:t>љање</w:t>
      </w:r>
      <w:r w:rsidR="00305971" w:rsidRPr="00295637">
        <w:rPr>
          <w:rFonts w:ascii="Times New Roman" w:hAnsi="Times New Roman"/>
          <w:szCs w:val="24"/>
          <w:lang w:val="bs-Latn-BA"/>
        </w:rPr>
        <w:t xml:space="preserve"> </w:t>
      </w:r>
      <w:r w:rsidR="00C6214E">
        <w:rPr>
          <w:rFonts w:ascii="Times New Roman" w:hAnsi="Times New Roman"/>
          <w:szCs w:val="24"/>
          <w:lang w:val="bs-Latn-BA"/>
        </w:rPr>
        <w:t>ефикасног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система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заштите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превенције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основу</w:t>
      </w:r>
      <w:r w:rsidR="00785039">
        <w:rPr>
          <w:rFonts w:ascii="Times New Roman" w:hAnsi="Times New Roman"/>
          <w:szCs w:val="24"/>
          <w:lang w:val="bs-Latn-BA"/>
        </w:rPr>
        <w:t xml:space="preserve"> </w:t>
      </w:r>
      <w:r w:rsidR="00C6214E">
        <w:rPr>
          <w:rFonts w:ascii="Times New Roman" w:hAnsi="Times New Roman"/>
          <w:szCs w:val="24"/>
          <w:lang w:val="bs-Latn-BA"/>
        </w:rPr>
        <w:t>пола</w:t>
      </w:r>
      <w:r w:rsidR="00785039">
        <w:rPr>
          <w:rFonts w:ascii="Times New Roman" w:hAnsi="Times New Roman"/>
          <w:szCs w:val="24"/>
          <w:lang w:val="bs-Latn-BA"/>
        </w:rPr>
        <w:t>,</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као</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превенције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кажњавања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трговине</w:t>
      </w:r>
      <w:r w:rsidR="00356C2C" w:rsidRPr="00295637">
        <w:rPr>
          <w:rFonts w:ascii="Times New Roman" w:hAnsi="Times New Roman"/>
          <w:szCs w:val="24"/>
          <w:lang w:val="bs-Latn-BA"/>
        </w:rPr>
        <w:t xml:space="preserve"> </w:t>
      </w:r>
      <w:r w:rsidR="00C6214E">
        <w:rPr>
          <w:rFonts w:ascii="Times New Roman" w:hAnsi="Times New Roman"/>
          <w:szCs w:val="24"/>
          <w:lang w:val="bs-Latn-BA"/>
        </w:rPr>
        <w:t>људима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нарочито</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дјеце</w:t>
      </w:r>
      <w:r w:rsidR="00356C2C" w:rsidRPr="00295637">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заштиту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потенцијалних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стварних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жртава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њихову</w:t>
      </w:r>
      <w:r w:rsidR="00356C2C" w:rsidRPr="00295637">
        <w:rPr>
          <w:rFonts w:ascii="Times New Roman" w:hAnsi="Times New Roman"/>
          <w:szCs w:val="24"/>
          <w:lang w:val="bs-Latn-BA"/>
        </w:rPr>
        <w:t xml:space="preserve"> </w:t>
      </w:r>
      <w:r w:rsidR="00C6214E">
        <w:rPr>
          <w:rFonts w:ascii="Times New Roman" w:hAnsi="Times New Roman"/>
          <w:szCs w:val="24"/>
          <w:lang w:val="bs-Latn-BA"/>
        </w:rPr>
        <w:t>рехабилитацију</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судско</w:t>
      </w:r>
      <w:r w:rsidR="00356C2C" w:rsidRPr="00295637">
        <w:rPr>
          <w:rFonts w:ascii="Times New Roman" w:hAnsi="Times New Roman"/>
          <w:szCs w:val="24"/>
          <w:lang w:val="bs-Latn-BA"/>
        </w:rPr>
        <w:t xml:space="preserve"> </w:t>
      </w:r>
      <w:r w:rsidR="00C6214E">
        <w:rPr>
          <w:rFonts w:ascii="Times New Roman" w:hAnsi="Times New Roman"/>
          <w:szCs w:val="24"/>
          <w:lang w:val="bs-Latn-BA"/>
        </w:rPr>
        <w:t>гоњење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починилаца</w:t>
      </w:r>
      <w:r w:rsidR="00356C2C" w:rsidRPr="00295637">
        <w:rPr>
          <w:rFonts w:ascii="Times New Roman" w:hAnsi="Times New Roman"/>
          <w:szCs w:val="24"/>
        </w:rPr>
        <w:t xml:space="preserve"> </w:t>
      </w:r>
      <w:r w:rsidR="00C6214E">
        <w:rPr>
          <w:rFonts w:ascii="Times New Roman" w:hAnsi="Times New Roman"/>
          <w:szCs w:val="24"/>
        </w:rPr>
        <w:t>и</w:t>
      </w:r>
      <w:r w:rsidR="00356C2C" w:rsidRPr="00295637">
        <w:rPr>
          <w:rFonts w:ascii="Times New Roman" w:hAnsi="Times New Roman"/>
          <w:szCs w:val="24"/>
        </w:rPr>
        <w:t xml:space="preserve"> </w:t>
      </w:r>
      <w:r w:rsidR="00C6214E">
        <w:rPr>
          <w:rFonts w:ascii="Times New Roman" w:hAnsi="Times New Roman"/>
          <w:szCs w:val="24"/>
        </w:rPr>
        <w:t>свака</w:t>
      </w:r>
      <w:r w:rsidR="00356C2C" w:rsidRPr="00295637">
        <w:rPr>
          <w:rFonts w:ascii="Times New Roman" w:hAnsi="Times New Roman"/>
          <w:szCs w:val="24"/>
        </w:rPr>
        <w:t xml:space="preserve"> </w:t>
      </w:r>
      <w:r w:rsidR="00C6214E">
        <w:rPr>
          <w:rFonts w:ascii="Times New Roman" w:hAnsi="Times New Roman"/>
          <w:szCs w:val="24"/>
        </w:rPr>
        <w:t>друга</w:t>
      </w:r>
      <w:r w:rsidR="00356C2C" w:rsidRPr="00295637">
        <w:rPr>
          <w:rFonts w:ascii="Times New Roman" w:hAnsi="Times New Roman"/>
          <w:szCs w:val="24"/>
        </w:rPr>
        <w:t xml:space="preserve"> </w:t>
      </w:r>
      <w:r w:rsidR="00C6214E">
        <w:rPr>
          <w:rFonts w:ascii="Times New Roman" w:hAnsi="Times New Roman"/>
          <w:szCs w:val="24"/>
        </w:rPr>
        <w:t>околност</w:t>
      </w:r>
      <w:r w:rsidR="00356C2C" w:rsidRPr="00295637">
        <w:rPr>
          <w:rFonts w:ascii="Times New Roman" w:hAnsi="Times New Roman"/>
          <w:szCs w:val="24"/>
        </w:rPr>
        <w:t xml:space="preserve"> </w:t>
      </w:r>
      <w:r w:rsidR="00C6214E">
        <w:rPr>
          <w:rFonts w:ascii="Times New Roman" w:hAnsi="Times New Roman"/>
          <w:szCs w:val="24"/>
        </w:rPr>
        <w:t>која</w:t>
      </w:r>
      <w:r w:rsidR="00356C2C" w:rsidRPr="00295637">
        <w:rPr>
          <w:rFonts w:ascii="Times New Roman" w:hAnsi="Times New Roman"/>
          <w:szCs w:val="24"/>
        </w:rPr>
        <w:t xml:space="preserve"> </w:t>
      </w:r>
      <w:r w:rsidR="00C6214E">
        <w:rPr>
          <w:rFonts w:ascii="Times New Roman" w:hAnsi="Times New Roman"/>
          <w:szCs w:val="24"/>
        </w:rPr>
        <w:t>има</w:t>
      </w:r>
      <w:r w:rsidR="00356C2C" w:rsidRPr="00295637">
        <w:rPr>
          <w:rFonts w:ascii="Times New Roman" w:hAnsi="Times New Roman"/>
          <w:szCs w:val="24"/>
        </w:rPr>
        <w:t xml:space="preserve"> </w:t>
      </w:r>
      <w:r w:rsidR="00C6214E">
        <w:rPr>
          <w:rFonts w:ascii="Times New Roman" w:hAnsi="Times New Roman"/>
          <w:szCs w:val="24"/>
        </w:rPr>
        <w:t>за</w:t>
      </w:r>
      <w:r w:rsidR="00356C2C" w:rsidRPr="00295637">
        <w:rPr>
          <w:rFonts w:ascii="Times New Roman" w:hAnsi="Times New Roman"/>
          <w:szCs w:val="24"/>
        </w:rPr>
        <w:t xml:space="preserve"> </w:t>
      </w:r>
      <w:r w:rsidR="00C6214E">
        <w:rPr>
          <w:rFonts w:ascii="Times New Roman" w:hAnsi="Times New Roman"/>
          <w:szCs w:val="24"/>
        </w:rPr>
        <w:t>посљедицу</w:t>
      </w:r>
      <w:r w:rsidR="00356C2C" w:rsidRPr="00295637">
        <w:rPr>
          <w:rFonts w:ascii="Times New Roman" w:hAnsi="Times New Roman"/>
          <w:szCs w:val="24"/>
        </w:rPr>
        <w:t xml:space="preserve"> </w:t>
      </w:r>
      <w:r w:rsidR="00C6214E">
        <w:rPr>
          <w:rFonts w:ascii="Times New Roman" w:hAnsi="Times New Roman"/>
          <w:szCs w:val="24"/>
        </w:rPr>
        <w:t>да</w:t>
      </w:r>
      <w:r w:rsidR="00356C2C" w:rsidRPr="00295637">
        <w:rPr>
          <w:rFonts w:ascii="Times New Roman" w:hAnsi="Times New Roman"/>
          <w:szCs w:val="24"/>
        </w:rPr>
        <w:t xml:space="preserve"> </w:t>
      </w:r>
      <w:r w:rsidR="00C6214E">
        <w:rPr>
          <w:rFonts w:ascii="Times New Roman" w:hAnsi="Times New Roman"/>
          <w:szCs w:val="24"/>
        </w:rPr>
        <w:t>било</w:t>
      </w:r>
      <w:r w:rsidR="00356C2C" w:rsidRPr="00295637">
        <w:rPr>
          <w:rFonts w:ascii="Times New Roman" w:hAnsi="Times New Roman"/>
          <w:szCs w:val="24"/>
        </w:rPr>
        <w:t xml:space="preserve"> </w:t>
      </w:r>
      <w:r w:rsidR="00C6214E">
        <w:rPr>
          <w:rFonts w:ascii="Times New Roman" w:hAnsi="Times New Roman"/>
          <w:szCs w:val="24"/>
        </w:rPr>
        <w:t>којем</w:t>
      </w:r>
      <w:r w:rsidR="00356C2C" w:rsidRPr="00295637">
        <w:rPr>
          <w:rFonts w:ascii="Times New Roman" w:hAnsi="Times New Roman"/>
          <w:szCs w:val="24"/>
        </w:rPr>
        <w:t xml:space="preserve"> </w:t>
      </w:r>
      <w:r w:rsidR="00C6214E">
        <w:rPr>
          <w:rFonts w:ascii="Times New Roman" w:hAnsi="Times New Roman"/>
          <w:szCs w:val="24"/>
        </w:rPr>
        <w:t>лицу</w:t>
      </w:r>
      <w:r w:rsidR="00356C2C" w:rsidRPr="00295637">
        <w:rPr>
          <w:rFonts w:ascii="Times New Roman" w:hAnsi="Times New Roman"/>
          <w:szCs w:val="24"/>
        </w:rPr>
        <w:t xml:space="preserve"> </w:t>
      </w:r>
      <w:r w:rsidR="00C6214E">
        <w:rPr>
          <w:rFonts w:ascii="Times New Roman" w:hAnsi="Times New Roman"/>
          <w:szCs w:val="24"/>
        </w:rPr>
        <w:t>онемогући</w:t>
      </w:r>
      <w:r w:rsidR="00356C2C" w:rsidRPr="00295637">
        <w:rPr>
          <w:rFonts w:ascii="Times New Roman" w:hAnsi="Times New Roman"/>
          <w:szCs w:val="24"/>
        </w:rPr>
        <w:t xml:space="preserve"> </w:t>
      </w:r>
      <w:r w:rsidR="00C6214E">
        <w:rPr>
          <w:rFonts w:ascii="Times New Roman" w:hAnsi="Times New Roman"/>
          <w:szCs w:val="24"/>
        </w:rPr>
        <w:t>или</w:t>
      </w:r>
      <w:r w:rsidR="00356C2C" w:rsidRPr="00295637">
        <w:rPr>
          <w:rFonts w:ascii="Times New Roman" w:hAnsi="Times New Roman"/>
          <w:szCs w:val="24"/>
        </w:rPr>
        <w:t xml:space="preserve"> </w:t>
      </w:r>
      <w:r w:rsidR="00C6214E">
        <w:rPr>
          <w:rFonts w:ascii="Times New Roman" w:hAnsi="Times New Roman"/>
          <w:szCs w:val="24"/>
        </w:rPr>
        <w:t>угрожава</w:t>
      </w:r>
      <w:r w:rsidR="00356C2C" w:rsidRPr="00295637">
        <w:rPr>
          <w:rFonts w:ascii="Times New Roman" w:hAnsi="Times New Roman"/>
          <w:szCs w:val="24"/>
        </w:rPr>
        <w:t xml:space="preserve"> </w:t>
      </w:r>
      <w:r w:rsidR="00C6214E">
        <w:rPr>
          <w:rFonts w:ascii="Times New Roman" w:hAnsi="Times New Roman"/>
          <w:szCs w:val="24"/>
        </w:rPr>
        <w:t>признавање</w:t>
      </w:r>
      <w:r w:rsidR="00356C2C" w:rsidRPr="00295637">
        <w:rPr>
          <w:rFonts w:ascii="Times New Roman" w:hAnsi="Times New Roman"/>
          <w:szCs w:val="24"/>
        </w:rPr>
        <w:t xml:space="preserve">, </w:t>
      </w:r>
      <w:r w:rsidR="00C6214E">
        <w:rPr>
          <w:rFonts w:ascii="Times New Roman" w:hAnsi="Times New Roman"/>
          <w:szCs w:val="24"/>
        </w:rPr>
        <w:t>уживање</w:t>
      </w:r>
      <w:r w:rsidR="00356C2C" w:rsidRPr="00295637">
        <w:rPr>
          <w:rFonts w:ascii="Times New Roman" w:hAnsi="Times New Roman"/>
          <w:szCs w:val="24"/>
        </w:rPr>
        <w:t xml:space="preserve"> </w:t>
      </w:r>
      <w:r w:rsidR="00C6214E">
        <w:rPr>
          <w:rFonts w:ascii="Times New Roman" w:hAnsi="Times New Roman"/>
          <w:szCs w:val="24"/>
        </w:rPr>
        <w:t>или</w:t>
      </w:r>
      <w:r w:rsidR="00356C2C" w:rsidRPr="00295637">
        <w:rPr>
          <w:rFonts w:ascii="Times New Roman" w:hAnsi="Times New Roman"/>
          <w:szCs w:val="24"/>
        </w:rPr>
        <w:t xml:space="preserve"> </w:t>
      </w:r>
      <w:r w:rsidR="00C6214E">
        <w:rPr>
          <w:rFonts w:ascii="Times New Roman" w:hAnsi="Times New Roman"/>
          <w:szCs w:val="24"/>
        </w:rPr>
        <w:t>остваривање</w:t>
      </w:r>
      <w:r w:rsidR="00356C2C" w:rsidRPr="00295637">
        <w:rPr>
          <w:rFonts w:ascii="Times New Roman" w:hAnsi="Times New Roman"/>
          <w:szCs w:val="24"/>
        </w:rPr>
        <w:t xml:space="preserve"> </w:t>
      </w:r>
      <w:r w:rsidR="00C6214E">
        <w:rPr>
          <w:rFonts w:ascii="Times New Roman" w:hAnsi="Times New Roman"/>
          <w:szCs w:val="24"/>
        </w:rPr>
        <w:t>права</w:t>
      </w:r>
      <w:r w:rsidR="00356C2C" w:rsidRPr="00295637">
        <w:rPr>
          <w:rFonts w:ascii="Times New Roman" w:hAnsi="Times New Roman"/>
          <w:szCs w:val="24"/>
        </w:rPr>
        <w:t xml:space="preserve"> </w:t>
      </w:r>
      <w:r w:rsidR="00C6214E">
        <w:rPr>
          <w:rFonts w:ascii="Times New Roman" w:hAnsi="Times New Roman"/>
          <w:szCs w:val="24"/>
        </w:rPr>
        <w:t>на</w:t>
      </w:r>
      <w:r w:rsidR="00356C2C" w:rsidRPr="00295637">
        <w:rPr>
          <w:rFonts w:ascii="Times New Roman" w:hAnsi="Times New Roman"/>
          <w:szCs w:val="24"/>
        </w:rPr>
        <w:t xml:space="preserve"> </w:t>
      </w:r>
      <w:r w:rsidR="00C6214E">
        <w:rPr>
          <w:rFonts w:ascii="Times New Roman" w:hAnsi="Times New Roman"/>
          <w:szCs w:val="24"/>
        </w:rPr>
        <w:t>равноправном</w:t>
      </w:r>
      <w:r w:rsidR="00356C2C" w:rsidRPr="00295637">
        <w:rPr>
          <w:rFonts w:ascii="Times New Roman" w:hAnsi="Times New Roman"/>
          <w:szCs w:val="24"/>
        </w:rPr>
        <w:t xml:space="preserve"> </w:t>
      </w:r>
      <w:r w:rsidR="00C6214E">
        <w:rPr>
          <w:rFonts w:ascii="Times New Roman" w:hAnsi="Times New Roman"/>
          <w:szCs w:val="24"/>
        </w:rPr>
        <w:t>основу</w:t>
      </w:r>
      <w:r w:rsidR="00356C2C" w:rsidRPr="00295637">
        <w:rPr>
          <w:rFonts w:ascii="Times New Roman" w:hAnsi="Times New Roman"/>
          <w:szCs w:val="24"/>
        </w:rPr>
        <w:t>.</w:t>
      </w:r>
    </w:p>
    <w:p w:rsidR="00C142CC" w:rsidRPr="00295637" w:rsidRDefault="00C142CC" w:rsidP="0086268D">
      <w:pPr>
        <w:jc w:val="both"/>
        <w:rPr>
          <w:rFonts w:ascii="Times New Roman" w:hAnsi="Times New Roman"/>
          <w:szCs w:val="24"/>
        </w:rPr>
      </w:pPr>
    </w:p>
    <w:p w:rsidR="00DC7250" w:rsidRDefault="00C6214E" w:rsidP="0086268D">
      <w:pPr>
        <w:jc w:val="both"/>
        <w:rPr>
          <w:rFonts w:ascii="Times New Roman" w:hAnsi="Times New Roman"/>
          <w:szCs w:val="24"/>
        </w:rPr>
      </w:pPr>
      <w:r>
        <w:rPr>
          <w:rFonts w:ascii="Times New Roman" w:hAnsi="Times New Roman"/>
          <w:szCs w:val="24"/>
        </w:rPr>
        <w:t>АР</w:t>
      </w:r>
      <w:r w:rsidR="00C9019F">
        <w:rPr>
          <w:rFonts w:ascii="Times New Roman" w:hAnsi="Times New Roman"/>
          <w:szCs w:val="24"/>
          <w:lang w:val="sr-Cyrl-BA"/>
        </w:rPr>
        <w:t>П</w:t>
      </w:r>
      <w:r w:rsidR="0046522D">
        <w:rPr>
          <w:rFonts w:ascii="Times New Roman" w:hAnsi="Times New Roman"/>
          <w:szCs w:val="24"/>
        </w:rPr>
        <w:t xml:space="preserve"> </w:t>
      </w:r>
      <w:r>
        <w:rPr>
          <w:rFonts w:ascii="Times New Roman" w:hAnsi="Times New Roman"/>
          <w:szCs w:val="24"/>
        </w:rPr>
        <w:t>БиХ</w:t>
      </w:r>
      <w:r w:rsidR="0046522D">
        <w:rPr>
          <w:rFonts w:ascii="Times New Roman" w:hAnsi="Times New Roman"/>
          <w:szCs w:val="24"/>
        </w:rPr>
        <w:t xml:space="preserve"> </w:t>
      </w:r>
      <w:r>
        <w:rPr>
          <w:rFonts w:ascii="Times New Roman" w:hAnsi="Times New Roman"/>
          <w:szCs w:val="24"/>
        </w:rPr>
        <w:t>МЉПИ</w:t>
      </w:r>
      <w:r w:rsidR="0046522D">
        <w:rPr>
          <w:rFonts w:ascii="Times New Roman" w:hAnsi="Times New Roman"/>
          <w:szCs w:val="24"/>
        </w:rPr>
        <w:t xml:space="preserve"> </w:t>
      </w:r>
      <w:r>
        <w:rPr>
          <w:rFonts w:ascii="Times New Roman" w:hAnsi="Times New Roman"/>
          <w:szCs w:val="24"/>
        </w:rPr>
        <w:t>БиХ</w:t>
      </w:r>
      <w:r w:rsidR="000D5CC8" w:rsidRPr="00295637">
        <w:rPr>
          <w:rFonts w:ascii="Times New Roman" w:hAnsi="Times New Roman"/>
          <w:szCs w:val="24"/>
        </w:rPr>
        <w:t xml:space="preserve"> </w:t>
      </w:r>
      <w:r w:rsidR="00C9019F">
        <w:rPr>
          <w:rFonts w:ascii="Times New Roman" w:hAnsi="Times New Roman"/>
          <w:szCs w:val="24"/>
        </w:rPr>
        <w:t xml:space="preserve">је </w:t>
      </w:r>
      <w:r>
        <w:rPr>
          <w:rFonts w:ascii="Times New Roman" w:hAnsi="Times New Roman"/>
          <w:szCs w:val="24"/>
        </w:rPr>
        <w:t>о</w:t>
      </w:r>
      <w:r w:rsidR="00C9019F">
        <w:rPr>
          <w:rFonts w:ascii="Times New Roman" w:hAnsi="Times New Roman"/>
          <w:szCs w:val="24"/>
          <w:lang w:val="sr-Cyrl-BA"/>
        </w:rPr>
        <w:t>безбиједила</w:t>
      </w:r>
      <w:r w:rsidR="0046522D">
        <w:rPr>
          <w:rFonts w:ascii="Times New Roman" w:hAnsi="Times New Roman"/>
          <w:szCs w:val="24"/>
        </w:rPr>
        <w:t xml:space="preserve"> </w:t>
      </w:r>
      <w:r>
        <w:rPr>
          <w:rFonts w:ascii="Times New Roman" w:hAnsi="Times New Roman"/>
          <w:szCs w:val="24"/>
        </w:rPr>
        <w:t>континуирано</w:t>
      </w:r>
      <w:r w:rsidR="000D5CC8" w:rsidRPr="00295637">
        <w:rPr>
          <w:rFonts w:ascii="Times New Roman" w:hAnsi="Times New Roman"/>
          <w:szCs w:val="24"/>
        </w:rPr>
        <w:t xml:space="preserve"> </w:t>
      </w:r>
      <w:r>
        <w:rPr>
          <w:rFonts w:ascii="Times New Roman" w:hAnsi="Times New Roman"/>
          <w:szCs w:val="24"/>
        </w:rPr>
        <w:t>годшње</w:t>
      </w:r>
      <w:r w:rsidR="0061716B">
        <w:rPr>
          <w:rFonts w:ascii="Times New Roman" w:hAnsi="Times New Roman"/>
          <w:szCs w:val="24"/>
        </w:rPr>
        <w:t xml:space="preserve"> </w:t>
      </w:r>
      <w:r>
        <w:rPr>
          <w:rFonts w:ascii="Times New Roman" w:hAnsi="Times New Roman"/>
          <w:szCs w:val="24"/>
        </w:rPr>
        <w:t>финансирање</w:t>
      </w:r>
      <w:r w:rsidR="000D5CC8" w:rsidRPr="00295637">
        <w:rPr>
          <w:rFonts w:ascii="Times New Roman" w:hAnsi="Times New Roman"/>
          <w:szCs w:val="24"/>
        </w:rPr>
        <w:t xml:space="preserve"> „</w:t>
      </w:r>
      <w:r>
        <w:rPr>
          <w:rFonts w:ascii="Times New Roman" w:hAnsi="Times New Roman"/>
          <w:szCs w:val="24"/>
        </w:rPr>
        <w:t>хладног</w:t>
      </w:r>
      <w:r w:rsidR="000D5CC8" w:rsidRPr="00295637">
        <w:rPr>
          <w:rFonts w:ascii="Times New Roman" w:hAnsi="Times New Roman"/>
          <w:szCs w:val="24"/>
        </w:rPr>
        <w:t xml:space="preserve"> </w:t>
      </w:r>
      <w:r>
        <w:rPr>
          <w:rFonts w:ascii="Times New Roman" w:hAnsi="Times New Roman"/>
          <w:szCs w:val="24"/>
        </w:rPr>
        <w:t>погона</w:t>
      </w:r>
      <w:r w:rsidR="000D5CC8" w:rsidRPr="00295637">
        <w:rPr>
          <w:rFonts w:ascii="Times New Roman" w:hAnsi="Times New Roman"/>
          <w:szCs w:val="24"/>
        </w:rPr>
        <w:t xml:space="preserve">“ </w:t>
      </w:r>
      <w:r>
        <w:rPr>
          <w:rFonts w:ascii="Times New Roman" w:hAnsi="Times New Roman"/>
          <w:szCs w:val="24"/>
        </w:rPr>
        <w:t>за</w:t>
      </w:r>
      <w:r w:rsidR="000D5CC8" w:rsidRPr="00295637">
        <w:rPr>
          <w:rFonts w:ascii="Times New Roman" w:hAnsi="Times New Roman"/>
          <w:szCs w:val="24"/>
        </w:rPr>
        <w:t xml:space="preserve"> </w:t>
      </w:r>
      <w:r>
        <w:rPr>
          <w:rFonts w:ascii="Times New Roman" w:hAnsi="Times New Roman"/>
          <w:szCs w:val="24"/>
        </w:rPr>
        <w:t>осам</w:t>
      </w:r>
      <w:r w:rsidR="000D5CC8" w:rsidRPr="00295637">
        <w:rPr>
          <w:rFonts w:ascii="Times New Roman" w:hAnsi="Times New Roman"/>
          <w:szCs w:val="24"/>
        </w:rPr>
        <w:t xml:space="preserve"> </w:t>
      </w:r>
      <w:r>
        <w:rPr>
          <w:rFonts w:ascii="Times New Roman" w:hAnsi="Times New Roman"/>
          <w:szCs w:val="24"/>
        </w:rPr>
        <w:t>сигурних</w:t>
      </w:r>
      <w:r w:rsidR="000D5CC8" w:rsidRPr="00295637">
        <w:rPr>
          <w:rFonts w:ascii="Times New Roman" w:hAnsi="Times New Roman"/>
          <w:szCs w:val="24"/>
        </w:rPr>
        <w:t xml:space="preserve"> </w:t>
      </w:r>
      <w:r>
        <w:rPr>
          <w:rFonts w:ascii="Times New Roman" w:hAnsi="Times New Roman"/>
          <w:szCs w:val="24"/>
        </w:rPr>
        <w:t>кућа</w:t>
      </w:r>
      <w:r w:rsidR="000D5CC8" w:rsidRPr="00295637">
        <w:rPr>
          <w:rFonts w:ascii="Times New Roman" w:hAnsi="Times New Roman"/>
          <w:szCs w:val="24"/>
        </w:rPr>
        <w:t xml:space="preserve"> </w:t>
      </w:r>
      <w:r>
        <w:rPr>
          <w:rFonts w:ascii="Times New Roman" w:hAnsi="Times New Roman"/>
          <w:szCs w:val="24"/>
        </w:rPr>
        <w:t>за</w:t>
      </w:r>
      <w:r w:rsidR="000D5CC8" w:rsidRPr="00295637">
        <w:rPr>
          <w:rFonts w:ascii="Times New Roman" w:hAnsi="Times New Roman"/>
          <w:szCs w:val="24"/>
        </w:rPr>
        <w:t xml:space="preserve"> </w:t>
      </w:r>
      <w:r>
        <w:rPr>
          <w:rFonts w:ascii="Times New Roman" w:hAnsi="Times New Roman"/>
          <w:szCs w:val="24"/>
        </w:rPr>
        <w:t>смјештај</w:t>
      </w:r>
      <w:r w:rsidR="000D5CC8" w:rsidRPr="00295637">
        <w:rPr>
          <w:rFonts w:ascii="Times New Roman" w:hAnsi="Times New Roman"/>
          <w:szCs w:val="24"/>
        </w:rPr>
        <w:t xml:space="preserve"> </w:t>
      </w:r>
      <w:r>
        <w:rPr>
          <w:rFonts w:ascii="Times New Roman" w:hAnsi="Times New Roman"/>
          <w:szCs w:val="24"/>
        </w:rPr>
        <w:t>жена</w:t>
      </w:r>
      <w:r w:rsidR="000D5CC8" w:rsidRPr="00295637">
        <w:rPr>
          <w:rFonts w:ascii="Times New Roman" w:hAnsi="Times New Roman"/>
          <w:szCs w:val="24"/>
        </w:rPr>
        <w:t xml:space="preserve"> </w:t>
      </w:r>
      <w:r>
        <w:rPr>
          <w:rFonts w:ascii="Times New Roman" w:hAnsi="Times New Roman"/>
          <w:szCs w:val="24"/>
        </w:rPr>
        <w:t>жртава</w:t>
      </w:r>
      <w:r w:rsidR="000D5CC8" w:rsidRPr="00295637">
        <w:rPr>
          <w:rFonts w:ascii="Times New Roman" w:hAnsi="Times New Roman"/>
          <w:szCs w:val="24"/>
        </w:rPr>
        <w:t xml:space="preserve"> </w:t>
      </w:r>
      <w:r>
        <w:rPr>
          <w:rFonts w:ascii="Times New Roman" w:hAnsi="Times New Roman"/>
          <w:szCs w:val="24"/>
        </w:rPr>
        <w:t>насиља</w:t>
      </w:r>
      <w:r w:rsidR="000D5CC8" w:rsidRPr="00295637">
        <w:rPr>
          <w:rFonts w:ascii="Times New Roman" w:hAnsi="Times New Roman"/>
          <w:szCs w:val="24"/>
        </w:rPr>
        <w:t xml:space="preserve"> </w:t>
      </w:r>
      <w:r>
        <w:rPr>
          <w:rFonts w:ascii="Times New Roman" w:hAnsi="Times New Roman"/>
          <w:szCs w:val="24"/>
        </w:rPr>
        <w:t>у</w:t>
      </w:r>
      <w:r w:rsidR="000D5CC8" w:rsidRPr="00295637">
        <w:rPr>
          <w:rFonts w:ascii="Times New Roman" w:hAnsi="Times New Roman"/>
          <w:szCs w:val="24"/>
        </w:rPr>
        <w:t xml:space="preserve"> </w:t>
      </w:r>
      <w:r>
        <w:rPr>
          <w:rFonts w:ascii="Times New Roman" w:hAnsi="Times New Roman"/>
          <w:szCs w:val="24"/>
        </w:rPr>
        <w:t>породици</w:t>
      </w:r>
      <w:r w:rsidR="004628A4" w:rsidRPr="00295637">
        <w:rPr>
          <w:rFonts w:ascii="Times New Roman" w:hAnsi="Times New Roman"/>
          <w:szCs w:val="24"/>
        </w:rPr>
        <w:t xml:space="preserve"> </w:t>
      </w:r>
      <w:r>
        <w:rPr>
          <w:rFonts w:ascii="Times New Roman" w:hAnsi="Times New Roman"/>
          <w:szCs w:val="24"/>
        </w:rPr>
        <w:t>које</w:t>
      </w:r>
      <w:r w:rsidR="004628A4" w:rsidRPr="00295637">
        <w:rPr>
          <w:rFonts w:ascii="Times New Roman" w:hAnsi="Times New Roman"/>
          <w:szCs w:val="24"/>
        </w:rPr>
        <w:t xml:space="preserve"> </w:t>
      </w:r>
      <w:r>
        <w:rPr>
          <w:rFonts w:ascii="Times New Roman" w:hAnsi="Times New Roman"/>
          <w:szCs w:val="24"/>
        </w:rPr>
        <w:t>дјелују</w:t>
      </w:r>
      <w:r w:rsidR="000D5CC8" w:rsidRPr="00295637">
        <w:rPr>
          <w:rFonts w:ascii="Times New Roman" w:hAnsi="Times New Roman"/>
          <w:szCs w:val="24"/>
        </w:rPr>
        <w:t xml:space="preserve"> </w:t>
      </w:r>
      <w:r>
        <w:rPr>
          <w:rFonts w:ascii="Times New Roman" w:hAnsi="Times New Roman"/>
          <w:szCs w:val="24"/>
        </w:rPr>
        <w:t>у</w:t>
      </w:r>
      <w:r w:rsidR="000D5CC8" w:rsidRPr="00295637">
        <w:rPr>
          <w:rFonts w:ascii="Times New Roman" w:hAnsi="Times New Roman"/>
          <w:szCs w:val="24"/>
        </w:rPr>
        <w:t xml:space="preserve"> </w:t>
      </w:r>
      <w:r>
        <w:rPr>
          <w:rFonts w:ascii="Times New Roman" w:hAnsi="Times New Roman"/>
          <w:szCs w:val="24"/>
        </w:rPr>
        <w:t>оквиру</w:t>
      </w:r>
      <w:r w:rsidR="000D5CC8" w:rsidRPr="00295637">
        <w:rPr>
          <w:rFonts w:ascii="Times New Roman" w:hAnsi="Times New Roman"/>
          <w:szCs w:val="24"/>
        </w:rPr>
        <w:t xml:space="preserve"> </w:t>
      </w:r>
      <w:r>
        <w:rPr>
          <w:rFonts w:ascii="Times New Roman" w:hAnsi="Times New Roman"/>
          <w:szCs w:val="24"/>
        </w:rPr>
        <w:t>невладиних</w:t>
      </w:r>
      <w:r w:rsidR="000D5CC8" w:rsidRPr="00295637">
        <w:rPr>
          <w:rFonts w:ascii="Times New Roman" w:hAnsi="Times New Roman"/>
          <w:szCs w:val="24"/>
        </w:rPr>
        <w:t xml:space="preserve"> </w:t>
      </w:r>
      <w:r>
        <w:rPr>
          <w:rFonts w:ascii="Times New Roman" w:hAnsi="Times New Roman"/>
          <w:szCs w:val="24"/>
        </w:rPr>
        <w:t>организација</w:t>
      </w:r>
      <w:r w:rsidR="000D5CC8" w:rsidRPr="00295637">
        <w:rPr>
          <w:rFonts w:ascii="Times New Roman" w:hAnsi="Times New Roman"/>
          <w:szCs w:val="24"/>
        </w:rPr>
        <w:t xml:space="preserve">. </w:t>
      </w:r>
      <w:r>
        <w:rPr>
          <w:rFonts w:ascii="Times New Roman" w:hAnsi="Times New Roman"/>
          <w:szCs w:val="24"/>
        </w:rPr>
        <w:t>Одлука</w:t>
      </w:r>
      <w:r w:rsidR="000D5CC8" w:rsidRPr="00295637">
        <w:rPr>
          <w:rFonts w:ascii="Times New Roman" w:hAnsi="Times New Roman"/>
          <w:szCs w:val="24"/>
        </w:rPr>
        <w:t xml:space="preserve"> </w:t>
      </w:r>
      <w:r>
        <w:rPr>
          <w:rFonts w:ascii="Times New Roman" w:hAnsi="Times New Roman"/>
          <w:szCs w:val="24"/>
        </w:rPr>
        <w:t>о</w:t>
      </w:r>
      <w:r w:rsidR="000D5CC8" w:rsidRPr="00295637">
        <w:rPr>
          <w:rFonts w:ascii="Times New Roman" w:hAnsi="Times New Roman"/>
          <w:szCs w:val="24"/>
        </w:rPr>
        <w:t xml:space="preserve"> </w:t>
      </w:r>
      <w:r>
        <w:rPr>
          <w:rFonts w:ascii="Times New Roman" w:hAnsi="Times New Roman"/>
          <w:szCs w:val="24"/>
        </w:rPr>
        <w:t>додјели</w:t>
      </w:r>
      <w:r w:rsidR="000D5CC8" w:rsidRPr="00295637">
        <w:rPr>
          <w:rFonts w:ascii="Times New Roman" w:hAnsi="Times New Roman"/>
          <w:szCs w:val="24"/>
        </w:rPr>
        <w:t xml:space="preserve"> </w:t>
      </w:r>
      <w:r>
        <w:rPr>
          <w:rFonts w:ascii="Times New Roman" w:hAnsi="Times New Roman"/>
          <w:szCs w:val="24"/>
        </w:rPr>
        <w:t>грант</w:t>
      </w:r>
      <w:r w:rsidR="000D5CC8" w:rsidRPr="00295637">
        <w:rPr>
          <w:rFonts w:ascii="Times New Roman" w:hAnsi="Times New Roman"/>
          <w:szCs w:val="24"/>
        </w:rPr>
        <w:t xml:space="preserve"> </w:t>
      </w:r>
      <w:r>
        <w:rPr>
          <w:rFonts w:ascii="Times New Roman" w:hAnsi="Times New Roman"/>
          <w:szCs w:val="24"/>
        </w:rPr>
        <w:t>средстава</w:t>
      </w:r>
      <w:r w:rsidR="000D5CC8" w:rsidRPr="00295637">
        <w:rPr>
          <w:rFonts w:ascii="Times New Roman" w:hAnsi="Times New Roman"/>
          <w:szCs w:val="24"/>
        </w:rPr>
        <w:t xml:space="preserve"> </w:t>
      </w:r>
      <w:r>
        <w:rPr>
          <w:rFonts w:ascii="Times New Roman" w:hAnsi="Times New Roman"/>
          <w:szCs w:val="24"/>
        </w:rPr>
        <w:t>невладиним</w:t>
      </w:r>
      <w:r w:rsidR="000D5CC8" w:rsidRPr="00295637">
        <w:rPr>
          <w:rFonts w:ascii="Times New Roman" w:hAnsi="Times New Roman"/>
          <w:szCs w:val="24"/>
        </w:rPr>
        <w:t xml:space="preserve"> </w:t>
      </w:r>
      <w:r>
        <w:rPr>
          <w:rFonts w:ascii="Times New Roman" w:hAnsi="Times New Roman"/>
          <w:szCs w:val="24"/>
        </w:rPr>
        <w:t>организацијама</w:t>
      </w:r>
      <w:r w:rsidR="004628A4" w:rsidRPr="00295637">
        <w:rPr>
          <w:rFonts w:ascii="Times New Roman" w:hAnsi="Times New Roman"/>
          <w:szCs w:val="24"/>
        </w:rPr>
        <w:t xml:space="preserve"> </w:t>
      </w:r>
      <w:r w:rsidR="000D5CC8" w:rsidRPr="00295637">
        <w:rPr>
          <w:rFonts w:ascii="Times New Roman" w:hAnsi="Times New Roman"/>
          <w:szCs w:val="24"/>
        </w:rPr>
        <w:t>„</w:t>
      </w:r>
      <w:r>
        <w:rPr>
          <w:rFonts w:ascii="Times New Roman" w:hAnsi="Times New Roman"/>
          <w:szCs w:val="24"/>
        </w:rPr>
        <w:t>Фондација</w:t>
      </w:r>
      <w:r w:rsidR="000D5CC8" w:rsidRPr="00295637">
        <w:rPr>
          <w:rFonts w:ascii="Times New Roman" w:hAnsi="Times New Roman"/>
          <w:szCs w:val="24"/>
        </w:rPr>
        <w:t xml:space="preserve"> </w:t>
      </w:r>
      <w:r>
        <w:rPr>
          <w:rFonts w:ascii="Times New Roman" w:hAnsi="Times New Roman"/>
          <w:szCs w:val="24"/>
        </w:rPr>
        <w:t>локалне</w:t>
      </w:r>
      <w:r w:rsidR="000D5CC8" w:rsidRPr="00295637">
        <w:rPr>
          <w:rFonts w:ascii="Times New Roman" w:hAnsi="Times New Roman"/>
          <w:szCs w:val="24"/>
        </w:rPr>
        <w:t xml:space="preserve"> </w:t>
      </w:r>
      <w:r>
        <w:rPr>
          <w:rFonts w:ascii="Times New Roman" w:hAnsi="Times New Roman"/>
          <w:szCs w:val="24"/>
        </w:rPr>
        <w:t>демократије</w:t>
      </w:r>
      <w:r w:rsidR="000D5CC8" w:rsidRPr="00295637">
        <w:rPr>
          <w:rFonts w:ascii="Times New Roman" w:hAnsi="Times New Roman"/>
          <w:szCs w:val="24"/>
        </w:rPr>
        <w:t xml:space="preserve">“ </w:t>
      </w:r>
      <w:r>
        <w:rPr>
          <w:rFonts w:ascii="Times New Roman" w:hAnsi="Times New Roman"/>
          <w:szCs w:val="24"/>
        </w:rPr>
        <w:t>Сарајево</w:t>
      </w:r>
      <w:r w:rsidR="000D5CC8" w:rsidRPr="00295637">
        <w:rPr>
          <w:rFonts w:ascii="Times New Roman" w:hAnsi="Times New Roman"/>
          <w:szCs w:val="24"/>
        </w:rPr>
        <w:t>, „</w:t>
      </w:r>
      <w:r>
        <w:rPr>
          <w:rFonts w:ascii="Times New Roman" w:hAnsi="Times New Roman"/>
          <w:szCs w:val="24"/>
        </w:rPr>
        <w:t>Медица</w:t>
      </w:r>
      <w:r w:rsidR="000D5CC8" w:rsidRPr="00295637">
        <w:rPr>
          <w:rFonts w:ascii="Times New Roman" w:hAnsi="Times New Roman"/>
          <w:szCs w:val="24"/>
        </w:rPr>
        <w:t xml:space="preserve">“ </w:t>
      </w:r>
      <w:r>
        <w:rPr>
          <w:rFonts w:ascii="Times New Roman" w:hAnsi="Times New Roman"/>
          <w:szCs w:val="24"/>
        </w:rPr>
        <w:t>Зеница</w:t>
      </w:r>
      <w:r w:rsidR="000D5CC8" w:rsidRPr="00295637">
        <w:rPr>
          <w:rFonts w:ascii="Times New Roman" w:hAnsi="Times New Roman"/>
          <w:szCs w:val="24"/>
        </w:rPr>
        <w:t>, „</w:t>
      </w:r>
      <w:r>
        <w:rPr>
          <w:rFonts w:ascii="Times New Roman" w:hAnsi="Times New Roman"/>
          <w:szCs w:val="24"/>
        </w:rPr>
        <w:t>Удружене</w:t>
      </w:r>
      <w:r w:rsidR="000D5CC8" w:rsidRPr="00295637">
        <w:rPr>
          <w:rFonts w:ascii="Times New Roman" w:hAnsi="Times New Roman"/>
          <w:szCs w:val="24"/>
        </w:rPr>
        <w:t xml:space="preserve"> </w:t>
      </w:r>
      <w:r>
        <w:rPr>
          <w:rFonts w:ascii="Times New Roman" w:hAnsi="Times New Roman"/>
          <w:szCs w:val="24"/>
        </w:rPr>
        <w:t>жене</w:t>
      </w:r>
      <w:r w:rsidR="000D5CC8" w:rsidRPr="00295637">
        <w:rPr>
          <w:rFonts w:ascii="Times New Roman" w:hAnsi="Times New Roman"/>
          <w:szCs w:val="24"/>
        </w:rPr>
        <w:t xml:space="preserve">“ </w:t>
      </w:r>
      <w:r>
        <w:rPr>
          <w:rFonts w:ascii="Times New Roman" w:hAnsi="Times New Roman"/>
          <w:szCs w:val="24"/>
        </w:rPr>
        <w:t>Бања</w:t>
      </w:r>
      <w:r w:rsidR="000D5CC8" w:rsidRPr="00295637">
        <w:rPr>
          <w:rFonts w:ascii="Times New Roman" w:hAnsi="Times New Roman"/>
          <w:szCs w:val="24"/>
        </w:rPr>
        <w:t xml:space="preserve"> </w:t>
      </w:r>
      <w:r>
        <w:rPr>
          <w:rFonts w:ascii="Times New Roman" w:hAnsi="Times New Roman"/>
          <w:szCs w:val="24"/>
        </w:rPr>
        <w:t>Лука</w:t>
      </w:r>
      <w:r w:rsidR="000D5CC8" w:rsidRPr="00295637">
        <w:rPr>
          <w:rFonts w:ascii="Times New Roman" w:hAnsi="Times New Roman"/>
          <w:szCs w:val="24"/>
        </w:rPr>
        <w:t>, „</w:t>
      </w:r>
      <w:r>
        <w:rPr>
          <w:rFonts w:ascii="Times New Roman" w:hAnsi="Times New Roman"/>
          <w:szCs w:val="24"/>
        </w:rPr>
        <w:t>Будућност</w:t>
      </w:r>
      <w:r w:rsidR="000D5CC8" w:rsidRPr="00295637">
        <w:rPr>
          <w:rFonts w:ascii="Times New Roman" w:hAnsi="Times New Roman"/>
          <w:szCs w:val="24"/>
        </w:rPr>
        <w:t xml:space="preserve">“ </w:t>
      </w:r>
      <w:r>
        <w:rPr>
          <w:rFonts w:ascii="Times New Roman" w:hAnsi="Times New Roman"/>
          <w:szCs w:val="24"/>
        </w:rPr>
        <w:t>Модрича</w:t>
      </w:r>
      <w:r w:rsidR="0046522D">
        <w:rPr>
          <w:rFonts w:ascii="Times New Roman" w:hAnsi="Times New Roman"/>
          <w:szCs w:val="24"/>
        </w:rPr>
        <w:t>, „</w:t>
      </w:r>
      <w:r>
        <w:rPr>
          <w:rFonts w:ascii="Times New Roman" w:hAnsi="Times New Roman"/>
          <w:szCs w:val="24"/>
        </w:rPr>
        <w:t>Жене</w:t>
      </w:r>
      <w:r w:rsidR="0046522D">
        <w:rPr>
          <w:rFonts w:ascii="Times New Roman" w:hAnsi="Times New Roman"/>
          <w:szCs w:val="24"/>
        </w:rPr>
        <w:t xml:space="preserve"> </w:t>
      </w:r>
      <w:r>
        <w:rPr>
          <w:rFonts w:ascii="Times New Roman" w:hAnsi="Times New Roman"/>
          <w:szCs w:val="24"/>
        </w:rPr>
        <w:t>са</w:t>
      </w:r>
      <w:r w:rsidR="000D5CC8" w:rsidRPr="00295637">
        <w:rPr>
          <w:rFonts w:ascii="Times New Roman" w:hAnsi="Times New Roman"/>
          <w:szCs w:val="24"/>
        </w:rPr>
        <w:t xml:space="preserve"> </w:t>
      </w:r>
      <w:r>
        <w:rPr>
          <w:rFonts w:ascii="Times New Roman" w:hAnsi="Times New Roman"/>
          <w:szCs w:val="24"/>
        </w:rPr>
        <w:t>Уне</w:t>
      </w:r>
      <w:r w:rsidR="000D5CC8" w:rsidRPr="00295637">
        <w:rPr>
          <w:rFonts w:ascii="Times New Roman" w:hAnsi="Times New Roman"/>
          <w:szCs w:val="24"/>
        </w:rPr>
        <w:t>“</w:t>
      </w:r>
      <w:r w:rsidR="009E54A2" w:rsidRPr="00295637">
        <w:rPr>
          <w:rFonts w:ascii="Times New Roman" w:hAnsi="Times New Roman"/>
          <w:szCs w:val="24"/>
        </w:rPr>
        <w:t xml:space="preserve"> </w:t>
      </w:r>
      <w:r>
        <w:rPr>
          <w:rFonts w:ascii="Times New Roman" w:hAnsi="Times New Roman"/>
          <w:szCs w:val="24"/>
        </w:rPr>
        <w:t>Бихаћ</w:t>
      </w:r>
      <w:r w:rsidR="000D5CC8" w:rsidRPr="00295637">
        <w:rPr>
          <w:rFonts w:ascii="Times New Roman" w:hAnsi="Times New Roman"/>
          <w:szCs w:val="24"/>
        </w:rPr>
        <w:t>, „</w:t>
      </w:r>
      <w:r>
        <w:rPr>
          <w:rFonts w:ascii="Times New Roman" w:hAnsi="Times New Roman"/>
          <w:szCs w:val="24"/>
        </w:rPr>
        <w:t>Виве</w:t>
      </w:r>
      <w:r w:rsidR="000D5CC8" w:rsidRPr="00295637">
        <w:rPr>
          <w:rFonts w:ascii="Times New Roman" w:hAnsi="Times New Roman"/>
          <w:szCs w:val="24"/>
        </w:rPr>
        <w:t xml:space="preserve"> </w:t>
      </w:r>
      <w:r>
        <w:rPr>
          <w:rFonts w:ascii="Times New Roman" w:hAnsi="Times New Roman"/>
          <w:szCs w:val="24"/>
        </w:rPr>
        <w:t>жене</w:t>
      </w:r>
      <w:r w:rsidR="000D5CC8" w:rsidRPr="00295637">
        <w:rPr>
          <w:rFonts w:ascii="Times New Roman" w:hAnsi="Times New Roman"/>
          <w:szCs w:val="24"/>
        </w:rPr>
        <w:t xml:space="preserve">“ </w:t>
      </w:r>
      <w:r>
        <w:rPr>
          <w:rFonts w:ascii="Times New Roman" w:hAnsi="Times New Roman"/>
          <w:szCs w:val="24"/>
        </w:rPr>
        <w:t>Тузла</w:t>
      </w:r>
      <w:r w:rsidR="000D5CC8" w:rsidRPr="00295637">
        <w:rPr>
          <w:rFonts w:ascii="Times New Roman" w:hAnsi="Times New Roman"/>
          <w:szCs w:val="24"/>
        </w:rPr>
        <w:t>, „</w:t>
      </w:r>
      <w:r>
        <w:rPr>
          <w:rFonts w:ascii="Times New Roman" w:hAnsi="Times New Roman"/>
          <w:szCs w:val="24"/>
        </w:rPr>
        <w:t>Лара</w:t>
      </w:r>
      <w:r w:rsidR="004628A4" w:rsidRPr="00295637">
        <w:rPr>
          <w:rFonts w:ascii="Times New Roman" w:hAnsi="Times New Roman"/>
          <w:szCs w:val="24"/>
        </w:rPr>
        <w:t xml:space="preserve">“ </w:t>
      </w:r>
      <w:r>
        <w:rPr>
          <w:rFonts w:ascii="Times New Roman" w:hAnsi="Times New Roman"/>
          <w:szCs w:val="24"/>
        </w:rPr>
        <w:t>Бијељина</w:t>
      </w:r>
      <w:r w:rsidR="004628A4" w:rsidRPr="00295637">
        <w:rPr>
          <w:rFonts w:ascii="Times New Roman" w:hAnsi="Times New Roman"/>
          <w:szCs w:val="24"/>
        </w:rPr>
        <w:t>, „</w:t>
      </w:r>
      <w:r>
        <w:rPr>
          <w:rFonts w:ascii="Times New Roman" w:hAnsi="Times New Roman"/>
          <w:szCs w:val="24"/>
        </w:rPr>
        <w:t>Жена</w:t>
      </w:r>
      <w:r w:rsidR="0046522D">
        <w:rPr>
          <w:rFonts w:ascii="Times New Roman" w:hAnsi="Times New Roman"/>
          <w:szCs w:val="24"/>
        </w:rPr>
        <w:t xml:space="preserve"> </w:t>
      </w:r>
      <w:r>
        <w:rPr>
          <w:rFonts w:ascii="Times New Roman" w:hAnsi="Times New Roman"/>
          <w:szCs w:val="24"/>
        </w:rPr>
        <w:t>БиХ</w:t>
      </w:r>
      <w:r w:rsidR="004628A4" w:rsidRPr="00295637">
        <w:rPr>
          <w:rFonts w:ascii="Times New Roman" w:hAnsi="Times New Roman"/>
          <w:szCs w:val="24"/>
        </w:rPr>
        <w:t xml:space="preserve">“ </w:t>
      </w:r>
      <w:r>
        <w:rPr>
          <w:rFonts w:ascii="Times New Roman" w:hAnsi="Times New Roman"/>
          <w:szCs w:val="24"/>
        </w:rPr>
        <w:t>Мостар</w:t>
      </w:r>
      <w:r w:rsidR="000D5CC8" w:rsidRPr="00295637">
        <w:rPr>
          <w:rFonts w:ascii="Times New Roman" w:hAnsi="Times New Roman"/>
          <w:szCs w:val="24"/>
        </w:rPr>
        <w:t xml:space="preserve"> </w:t>
      </w:r>
      <w:r>
        <w:rPr>
          <w:rFonts w:ascii="Times New Roman" w:hAnsi="Times New Roman"/>
          <w:szCs w:val="24"/>
        </w:rPr>
        <w:t>реализ</w:t>
      </w:r>
      <w:r w:rsidR="00C9019F">
        <w:rPr>
          <w:rFonts w:ascii="Times New Roman" w:hAnsi="Times New Roman"/>
          <w:szCs w:val="24"/>
          <w:lang w:val="sr-Cyrl-BA"/>
        </w:rPr>
        <w:t>ована</w:t>
      </w:r>
      <w:r w:rsidR="000D5CC8" w:rsidRPr="00295637">
        <w:rPr>
          <w:rFonts w:ascii="Times New Roman" w:hAnsi="Times New Roman"/>
          <w:szCs w:val="24"/>
        </w:rPr>
        <w:t xml:space="preserve"> </w:t>
      </w:r>
      <w:r>
        <w:rPr>
          <w:rFonts w:ascii="Times New Roman" w:hAnsi="Times New Roman"/>
          <w:szCs w:val="24"/>
        </w:rPr>
        <w:t>је</w:t>
      </w:r>
      <w:r w:rsidR="0046522D" w:rsidRPr="00295637">
        <w:rPr>
          <w:rFonts w:ascii="Times New Roman" w:hAnsi="Times New Roman"/>
          <w:szCs w:val="24"/>
        </w:rPr>
        <w:t xml:space="preserve"> </w:t>
      </w:r>
      <w:r>
        <w:rPr>
          <w:rFonts w:ascii="Times New Roman" w:hAnsi="Times New Roman"/>
          <w:szCs w:val="24"/>
        </w:rPr>
        <w:t>потписивањем</w:t>
      </w:r>
      <w:r w:rsidR="000D5CC8" w:rsidRPr="00295637">
        <w:rPr>
          <w:rFonts w:ascii="Times New Roman" w:hAnsi="Times New Roman"/>
          <w:szCs w:val="24"/>
        </w:rPr>
        <w:t xml:space="preserve"> </w:t>
      </w:r>
      <w:r>
        <w:rPr>
          <w:rFonts w:ascii="Times New Roman" w:hAnsi="Times New Roman"/>
          <w:szCs w:val="24"/>
        </w:rPr>
        <w:t>уговора</w:t>
      </w:r>
      <w:r w:rsidR="000D5CC8" w:rsidRPr="00295637">
        <w:rPr>
          <w:rFonts w:ascii="Times New Roman" w:hAnsi="Times New Roman"/>
          <w:szCs w:val="24"/>
        </w:rPr>
        <w:t xml:space="preserve"> </w:t>
      </w:r>
      <w:r>
        <w:rPr>
          <w:rFonts w:ascii="Times New Roman" w:hAnsi="Times New Roman"/>
          <w:szCs w:val="24"/>
        </w:rPr>
        <w:t>о</w:t>
      </w:r>
      <w:r w:rsidR="000D5CC8" w:rsidRPr="00295637">
        <w:rPr>
          <w:rFonts w:ascii="Times New Roman" w:hAnsi="Times New Roman"/>
          <w:szCs w:val="24"/>
        </w:rPr>
        <w:t xml:space="preserve"> </w:t>
      </w:r>
      <w:r>
        <w:rPr>
          <w:rFonts w:ascii="Times New Roman" w:hAnsi="Times New Roman"/>
          <w:szCs w:val="24"/>
        </w:rPr>
        <w:t>сарадњи</w:t>
      </w:r>
      <w:r w:rsidR="0046522D">
        <w:rPr>
          <w:rFonts w:ascii="Times New Roman" w:hAnsi="Times New Roman"/>
          <w:szCs w:val="24"/>
        </w:rPr>
        <w:t xml:space="preserve"> 16.9.</w:t>
      </w:r>
      <w:r w:rsidR="000D5CC8" w:rsidRPr="00295637">
        <w:rPr>
          <w:rFonts w:ascii="Times New Roman" w:hAnsi="Times New Roman"/>
          <w:szCs w:val="24"/>
        </w:rPr>
        <w:t>2024.</w:t>
      </w:r>
      <w:r w:rsidR="0046522D">
        <w:rPr>
          <w:rFonts w:ascii="Times New Roman" w:hAnsi="Times New Roman"/>
          <w:szCs w:val="24"/>
        </w:rPr>
        <w:t xml:space="preserve"> </w:t>
      </w:r>
      <w:r>
        <w:rPr>
          <w:rFonts w:ascii="Times New Roman" w:hAnsi="Times New Roman"/>
          <w:szCs w:val="24"/>
        </w:rPr>
        <w:t>године</w:t>
      </w:r>
      <w:r w:rsidR="000D5CC8" w:rsidRPr="00295637">
        <w:rPr>
          <w:rFonts w:ascii="Times New Roman" w:hAnsi="Times New Roman"/>
          <w:szCs w:val="24"/>
        </w:rPr>
        <w:t xml:space="preserve">. </w:t>
      </w:r>
      <w:r>
        <w:rPr>
          <w:rFonts w:ascii="Times New Roman" w:hAnsi="Times New Roman"/>
          <w:szCs w:val="24"/>
        </w:rPr>
        <w:t>Реализација</w:t>
      </w:r>
      <w:r w:rsidR="00B575BA">
        <w:rPr>
          <w:rFonts w:ascii="Times New Roman" w:hAnsi="Times New Roman"/>
          <w:szCs w:val="24"/>
        </w:rPr>
        <w:t xml:space="preserve"> </w:t>
      </w:r>
      <w:r>
        <w:rPr>
          <w:rFonts w:ascii="Times New Roman" w:hAnsi="Times New Roman"/>
          <w:szCs w:val="24"/>
        </w:rPr>
        <w:t>је</w:t>
      </w:r>
      <w:r w:rsidR="00B575BA">
        <w:rPr>
          <w:rFonts w:ascii="Times New Roman" w:hAnsi="Times New Roman"/>
          <w:szCs w:val="24"/>
        </w:rPr>
        <w:t xml:space="preserve"> </w:t>
      </w:r>
      <w:r>
        <w:rPr>
          <w:rFonts w:ascii="Times New Roman" w:hAnsi="Times New Roman"/>
          <w:szCs w:val="24"/>
        </w:rPr>
        <w:t>завршена</w:t>
      </w:r>
      <w:r w:rsidR="000D5CC8" w:rsidRPr="00295637">
        <w:rPr>
          <w:rFonts w:ascii="Times New Roman" w:hAnsi="Times New Roman"/>
          <w:szCs w:val="24"/>
        </w:rPr>
        <w:t xml:space="preserve"> 28.2.2025.</w:t>
      </w:r>
      <w:r w:rsidR="004628A4" w:rsidRPr="00295637">
        <w:rPr>
          <w:rFonts w:ascii="Times New Roman" w:hAnsi="Times New Roman"/>
          <w:szCs w:val="24"/>
        </w:rPr>
        <w:t xml:space="preserve"> </w:t>
      </w:r>
      <w:r>
        <w:rPr>
          <w:rFonts w:ascii="Times New Roman" w:hAnsi="Times New Roman"/>
          <w:szCs w:val="24"/>
        </w:rPr>
        <w:t>године</w:t>
      </w:r>
      <w:r w:rsidR="000D5CC8" w:rsidRPr="00295637">
        <w:rPr>
          <w:rFonts w:ascii="Times New Roman" w:hAnsi="Times New Roman"/>
          <w:szCs w:val="24"/>
        </w:rPr>
        <w:t xml:space="preserve">. </w:t>
      </w:r>
      <w:r>
        <w:rPr>
          <w:rFonts w:ascii="Times New Roman" w:hAnsi="Times New Roman"/>
          <w:szCs w:val="24"/>
        </w:rPr>
        <w:t>У</w:t>
      </w:r>
      <w:r w:rsidR="004651BA" w:rsidRPr="00295637">
        <w:rPr>
          <w:rFonts w:ascii="Times New Roman" w:hAnsi="Times New Roman"/>
          <w:szCs w:val="24"/>
        </w:rPr>
        <w:t xml:space="preserve"> </w:t>
      </w:r>
      <w:r>
        <w:rPr>
          <w:rFonts w:ascii="Times New Roman" w:hAnsi="Times New Roman"/>
          <w:szCs w:val="24"/>
        </w:rPr>
        <w:t>приједлог</w:t>
      </w:r>
      <w:r w:rsidR="004651BA" w:rsidRPr="00295637">
        <w:rPr>
          <w:rFonts w:ascii="Times New Roman" w:hAnsi="Times New Roman"/>
          <w:szCs w:val="24"/>
        </w:rPr>
        <w:t xml:space="preserve"> </w:t>
      </w:r>
      <w:r>
        <w:rPr>
          <w:rFonts w:ascii="Times New Roman" w:hAnsi="Times New Roman"/>
          <w:szCs w:val="24"/>
        </w:rPr>
        <w:t>буџета</w:t>
      </w:r>
      <w:r w:rsidR="004651BA" w:rsidRPr="00295637">
        <w:rPr>
          <w:rFonts w:ascii="Times New Roman" w:hAnsi="Times New Roman"/>
          <w:szCs w:val="24"/>
        </w:rPr>
        <w:t xml:space="preserve"> </w:t>
      </w:r>
      <w:r>
        <w:rPr>
          <w:rFonts w:ascii="Times New Roman" w:hAnsi="Times New Roman"/>
          <w:szCs w:val="24"/>
        </w:rPr>
        <w:t>за</w:t>
      </w:r>
      <w:r w:rsidR="004651BA" w:rsidRPr="00295637">
        <w:rPr>
          <w:rFonts w:ascii="Times New Roman" w:hAnsi="Times New Roman"/>
          <w:szCs w:val="24"/>
        </w:rPr>
        <w:t xml:space="preserve"> 2025. </w:t>
      </w:r>
      <w:r>
        <w:rPr>
          <w:rFonts w:ascii="Times New Roman" w:hAnsi="Times New Roman"/>
          <w:szCs w:val="24"/>
        </w:rPr>
        <w:t>годину</w:t>
      </w:r>
      <w:r w:rsidR="004651BA" w:rsidRPr="00295637">
        <w:rPr>
          <w:rFonts w:ascii="Times New Roman" w:hAnsi="Times New Roman"/>
          <w:szCs w:val="24"/>
        </w:rPr>
        <w:t xml:space="preserve"> </w:t>
      </w:r>
      <w:r>
        <w:rPr>
          <w:rFonts w:ascii="Times New Roman" w:hAnsi="Times New Roman"/>
          <w:szCs w:val="24"/>
        </w:rPr>
        <w:t>уврштена</w:t>
      </w:r>
      <w:r w:rsidR="004651BA" w:rsidRPr="00295637">
        <w:rPr>
          <w:rFonts w:ascii="Times New Roman" w:hAnsi="Times New Roman"/>
          <w:szCs w:val="24"/>
        </w:rPr>
        <w:t xml:space="preserve"> </w:t>
      </w:r>
      <w:r>
        <w:rPr>
          <w:rFonts w:ascii="Times New Roman" w:hAnsi="Times New Roman"/>
          <w:szCs w:val="24"/>
        </w:rPr>
        <w:t>је</w:t>
      </w:r>
      <w:r w:rsidR="004651BA" w:rsidRPr="00295637">
        <w:rPr>
          <w:rFonts w:ascii="Times New Roman" w:hAnsi="Times New Roman"/>
          <w:szCs w:val="24"/>
        </w:rPr>
        <w:t xml:space="preserve"> </w:t>
      </w:r>
      <w:r>
        <w:rPr>
          <w:rFonts w:ascii="Times New Roman" w:hAnsi="Times New Roman"/>
          <w:szCs w:val="24"/>
        </w:rPr>
        <w:t>и</w:t>
      </w:r>
      <w:r w:rsidR="004651BA" w:rsidRPr="00295637">
        <w:rPr>
          <w:rFonts w:ascii="Times New Roman" w:hAnsi="Times New Roman"/>
          <w:szCs w:val="24"/>
        </w:rPr>
        <w:t xml:space="preserve"> </w:t>
      </w:r>
      <w:r>
        <w:rPr>
          <w:rFonts w:ascii="Times New Roman" w:hAnsi="Times New Roman"/>
          <w:szCs w:val="24"/>
        </w:rPr>
        <w:t>ставка</w:t>
      </w:r>
      <w:r w:rsidR="004651BA" w:rsidRPr="00295637">
        <w:rPr>
          <w:rFonts w:ascii="Times New Roman" w:hAnsi="Times New Roman"/>
          <w:szCs w:val="24"/>
        </w:rPr>
        <w:t xml:space="preserve"> </w:t>
      </w:r>
      <w:r>
        <w:rPr>
          <w:rFonts w:ascii="Times New Roman" w:hAnsi="Times New Roman"/>
          <w:szCs w:val="24"/>
        </w:rPr>
        <w:t>финансирања</w:t>
      </w:r>
      <w:r w:rsidR="004651BA" w:rsidRPr="00295637">
        <w:rPr>
          <w:rFonts w:ascii="Times New Roman" w:hAnsi="Times New Roman"/>
          <w:szCs w:val="24"/>
        </w:rPr>
        <w:t xml:space="preserve"> „</w:t>
      </w:r>
      <w:r>
        <w:rPr>
          <w:rFonts w:ascii="Times New Roman" w:hAnsi="Times New Roman"/>
          <w:szCs w:val="24"/>
        </w:rPr>
        <w:t>хладног</w:t>
      </w:r>
      <w:r w:rsidR="004651BA" w:rsidRPr="00295637">
        <w:rPr>
          <w:rFonts w:ascii="Times New Roman" w:hAnsi="Times New Roman"/>
          <w:szCs w:val="24"/>
        </w:rPr>
        <w:t xml:space="preserve"> </w:t>
      </w:r>
      <w:r>
        <w:rPr>
          <w:rFonts w:ascii="Times New Roman" w:hAnsi="Times New Roman"/>
          <w:szCs w:val="24"/>
        </w:rPr>
        <w:t>погона</w:t>
      </w:r>
      <w:r w:rsidR="004651BA" w:rsidRPr="00295637">
        <w:rPr>
          <w:rFonts w:ascii="Times New Roman" w:hAnsi="Times New Roman"/>
          <w:szCs w:val="24"/>
        </w:rPr>
        <w:t xml:space="preserve">“ </w:t>
      </w:r>
      <w:r>
        <w:rPr>
          <w:rFonts w:ascii="Times New Roman" w:hAnsi="Times New Roman"/>
          <w:szCs w:val="24"/>
        </w:rPr>
        <w:t>и</w:t>
      </w:r>
      <w:r w:rsidR="00DC7250" w:rsidRPr="00295637">
        <w:rPr>
          <w:rFonts w:ascii="Times New Roman" w:hAnsi="Times New Roman"/>
          <w:szCs w:val="24"/>
        </w:rPr>
        <w:t xml:space="preserve"> </w:t>
      </w:r>
      <w:r>
        <w:rPr>
          <w:rFonts w:ascii="Times New Roman" w:hAnsi="Times New Roman"/>
          <w:szCs w:val="24"/>
        </w:rPr>
        <w:t>првог</w:t>
      </w:r>
      <w:r w:rsidR="004651BA" w:rsidRPr="00295637">
        <w:rPr>
          <w:rFonts w:ascii="Times New Roman" w:hAnsi="Times New Roman"/>
          <w:szCs w:val="24"/>
        </w:rPr>
        <w:t xml:space="preserve"> </w:t>
      </w:r>
      <w:r>
        <w:rPr>
          <w:rFonts w:ascii="Times New Roman" w:hAnsi="Times New Roman"/>
          <w:szCs w:val="24"/>
        </w:rPr>
        <w:t>склоништа</w:t>
      </w:r>
      <w:r w:rsidR="004651BA" w:rsidRPr="00295637">
        <w:rPr>
          <w:rFonts w:ascii="Times New Roman" w:hAnsi="Times New Roman"/>
          <w:szCs w:val="24"/>
        </w:rPr>
        <w:t>/</w:t>
      </w:r>
      <w:r>
        <w:rPr>
          <w:rFonts w:ascii="Times New Roman" w:hAnsi="Times New Roman"/>
          <w:szCs w:val="24"/>
        </w:rPr>
        <w:t>сигурне</w:t>
      </w:r>
      <w:r w:rsidR="004651BA" w:rsidRPr="00295637">
        <w:rPr>
          <w:rFonts w:ascii="Times New Roman" w:hAnsi="Times New Roman"/>
          <w:szCs w:val="24"/>
        </w:rPr>
        <w:t xml:space="preserve"> </w:t>
      </w:r>
      <w:r>
        <w:rPr>
          <w:rFonts w:ascii="Times New Roman" w:hAnsi="Times New Roman"/>
          <w:szCs w:val="24"/>
        </w:rPr>
        <w:t>куће</w:t>
      </w:r>
      <w:r w:rsidR="004651BA" w:rsidRPr="00295637">
        <w:rPr>
          <w:rFonts w:ascii="Times New Roman" w:hAnsi="Times New Roman"/>
          <w:szCs w:val="24"/>
        </w:rPr>
        <w:t xml:space="preserve"> </w:t>
      </w:r>
      <w:r>
        <w:rPr>
          <w:rFonts w:ascii="Times New Roman" w:hAnsi="Times New Roman"/>
          <w:szCs w:val="24"/>
        </w:rPr>
        <w:t>за</w:t>
      </w:r>
      <w:r w:rsidR="004651BA" w:rsidRPr="00295637">
        <w:rPr>
          <w:rFonts w:ascii="Times New Roman" w:hAnsi="Times New Roman"/>
          <w:szCs w:val="24"/>
        </w:rPr>
        <w:t xml:space="preserve"> </w:t>
      </w:r>
      <w:r>
        <w:rPr>
          <w:rFonts w:ascii="Times New Roman" w:hAnsi="Times New Roman"/>
          <w:szCs w:val="24"/>
        </w:rPr>
        <w:t>ЛГБТИ</w:t>
      </w:r>
      <w:r w:rsidR="004651BA" w:rsidRPr="00295637">
        <w:rPr>
          <w:rFonts w:ascii="Times New Roman" w:hAnsi="Times New Roman"/>
          <w:szCs w:val="24"/>
        </w:rPr>
        <w:t xml:space="preserve"> </w:t>
      </w:r>
      <w:r>
        <w:rPr>
          <w:rFonts w:ascii="Times New Roman" w:hAnsi="Times New Roman"/>
          <w:szCs w:val="24"/>
        </w:rPr>
        <w:t>лица</w:t>
      </w:r>
      <w:r w:rsidR="004651BA" w:rsidRPr="00295637">
        <w:rPr>
          <w:rFonts w:ascii="Times New Roman" w:hAnsi="Times New Roman"/>
          <w:szCs w:val="24"/>
        </w:rPr>
        <w:t xml:space="preserve"> </w:t>
      </w:r>
      <w:r>
        <w:rPr>
          <w:rFonts w:ascii="Times New Roman" w:hAnsi="Times New Roman"/>
          <w:szCs w:val="24"/>
        </w:rPr>
        <w:t>која</w:t>
      </w:r>
      <w:r w:rsidR="004651BA" w:rsidRPr="00295637">
        <w:rPr>
          <w:rFonts w:ascii="Times New Roman" w:hAnsi="Times New Roman"/>
          <w:szCs w:val="24"/>
        </w:rPr>
        <w:t xml:space="preserve"> </w:t>
      </w:r>
      <w:r>
        <w:rPr>
          <w:rFonts w:ascii="Times New Roman" w:hAnsi="Times New Roman"/>
          <w:szCs w:val="24"/>
        </w:rPr>
        <w:t>је</w:t>
      </w:r>
      <w:r w:rsidR="004651BA" w:rsidRPr="00295637">
        <w:rPr>
          <w:rFonts w:ascii="Times New Roman" w:hAnsi="Times New Roman"/>
          <w:szCs w:val="24"/>
        </w:rPr>
        <w:t xml:space="preserve"> </w:t>
      </w:r>
      <w:r>
        <w:rPr>
          <w:rFonts w:ascii="Times New Roman" w:hAnsi="Times New Roman"/>
          <w:szCs w:val="24"/>
        </w:rPr>
        <w:t>у</w:t>
      </w:r>
      <w:r w:rsidR="004651BA" w:rsidRPr="00295637">
        <w:rPr>
          <w:rFonts w:ascii="Times New Roman" w:hAnsi="Times New Roman"/>
          <w:szCs w:val="24"/>
        </w:rPr>
        <w:t xml:space="preserve"> </w:t>
      </w:r>
      <w:r>
        <w:rPr>
          <w:rFonts w:ascii="Times New Roman" w:hAnsi="Times New Roman"/>
          <w:szCs w:val="24"/>
        </w:rPr>
        <w:t>марту</w:t>
      </w:r>
      <w:r w:rsidR="004651BA" w:rsidRPr="00295637">
        <w:rPr>
          <w:rFonts w:ascii="Times New Roman" w:hAnsi="Times New Roman"/>
          <w:szCs w:val="24"/>
        </w:rPr>
        <w:t xml:space="preserve"> 2024. </w:t>
      </w:r>
      <w:r>
        <w:rPr>
          <w:rFonts w:ascii="Times New Roman" w:hAnsi="Times New Roman"/>
          <w:szCs w:val="24"/>
        </w:rPr>
        <w:t>године</w:t>
      </w:r>
      <w:r w:rsidR="004651BA" w:rsidRPr="00295637">
        <w:rPr>
          <w:rFonts w:ascii="Times New Roman" w:hAnsi="Times New Roman"/>
          <w:szCs w:val="24"/>
        </w:rPr>
        <w:t xml:space="preserve"> </w:t>
      </w:r>
      <w:r>
        <w:rPr>
          <w:rFonts w:ascii="Times New Roman" w:hAnsi="Times New Roman"/>
          <w:szCs w:val="24"/>
        </w:rPr>
        <w:t>основана</w:t>
      </w:r>
      <w:r w:rsidR="004651BA" w:rsidRPr="00295637">
        <w:rPr>
          <w:rFonts w:ascii="Times New Roman" w:hAnsi="Times New Roman"/>
          <w:szCs w:val="24"/>
        </w:rPr>
        <w:t xml:space="preserve"> </w:t>
      </w:r>
      <w:r>
        <w:rPr>
          <w:rFonts w:ascii="Times New Roman" w:hAnsi="Times New Roman"/>
          <w:szCs w:val="24"/>
        </w:rPr>
        <w:t>у</w:t>
      </w:r>
      <w:r w:rsidR="004651BA" w:rsidRPr="00295637">
        <w:rPr>
          <w:rFonts w:ascii="Times New Roman" w:hAnsi="Times New Roman"/>
          <w:szCs w:val="24"/>
        </w:rPr>
        <w:t xml:space="preserve"> </w:t>
      </w:r>
      <w:r>
        <w:rPr>
          <w:rFonts w:ascii="Times New Roman" w:hAnsi="Times New Roman"/>
          <w:szCs w:val="24"/>
        </w:rPr>
        <w:t>Сарајеву</w:t>
      </w:r>
      <w:r w:rsidR="004651BA" w:rsidRPr="00295637">
        <w:rPr>
          <w:rFonts w:ascii="Times New Roman" w:hAnsi="Times New Roman"/>
          <w:szCs w:val="24"/>
        </w:rPr>
        <w:t xml:space="preserve"> </w:t>
      </w:r>
      <w:r>
        <w:rPr>
          <w:rFonts w:ascii="Times New Roman" w:hAnsi="Times New Roman"/>
          <w:szCs w:val="24"/>
        </w:rPr>
        <w:t>и</w:t>
      </w:r>
      <w:r w:rsidR="004651BA" w:rsidRPr="00295637">
        <w:rPr>
          <w:rFonts w:ascii="Times New Roman" w:hAnsi="Times New Roman"/>
          <w:szCs w:val="24"/>
        </w:rPr>
        <w:t xml:space="preserve"> </w:t>
      </w:r>
      <w:r>
        <w:rPr>
          <w:rFonts w:ascii="Times New Roman" w:hAnsi="Times New Roman"/>
          <w:szCs w:val="24"/>
        </w:rPr>
        <w:t>коју</w:t>
      </w:r>
      <w:r w:rsidR="004651BA" w:rsidRPr="00295637">
        <w:rPr>
          <w:rFonts w:ascii="Times New Roman" w:hAnsi="Times New Roman"/>
          <w:szCs w:val="24"/>
        </w:rPr>
        <w:t xml:space="preserve"> </w:t>
      </w:r>
      <w:r>
        <w:rPr>
          <w:rFonts w:ascii="Times New Roman" w:hAnsi="Times New Roman"/>
          <w:szCs w:val="24"/>
        </w:rPr>
        <w:t>води</w:t>
      </w:r>
      <w:r w:rsidR="004651BA" w:rsidRPr="00295637">
        <w:rPr>
          <w:rFonts w:ascii="Times New Roman" w:hAnsi="Times New Roman"/>
          <w:szCs w:val="24"/>
        </w:rPr>
        <w:t xml:space="preserve"> </w:t>
      </w:r>
      <w:r>
        <w:rPr>
          <w:rFonts w:ascii="Times New Roman" w:hAnsi="Times New Roman"/>
          <w:szCs w:val="24"/>
        </w:rPr>
        <w:t>Фондација</w:t>
      </w:r>
      <w:r w:rsidR="004651BA" w:rsidRPr="00295637">
        <w:rPr>
          <w:rFonts w:ascii="Times New Roman" w:hAnsi="Times New Roman"/>
          <w:szCs w:val="24"/>
        </w:rPr>
        <w:t xml:space="preserve"> „</w:t>
      </w:r>
      <w:r>
        <w:rPr>
          <w:rFonts w:ascii="Times New Roman" w:hAnsi="Times New Roman"/>
          <w:szCs w:val="24"/>
        </w:rPr>
        <w:t>Крила</w:t>
      </w:r>
      <w:r w:rsidR="004651BA" w:rsidRPr="00295637">
        <w:rPr>
          <w:rFonts w:ascii="Times New Roman" w:hAnsi="Times New Roman"/>
          <w:szCs w:val="24"/>
        </w:rPr>
        <w:t xml:space="preserve"> </w:t>
      </w:r>
      <w:r>
        <w:rPr>
          <w:rFonts w:ascii="Times New Roman" w:hAnsi="Times New Roman"/>
          <w:szCs w:val="24"/>
        </w:rPr>
        <w:t>наде</w:t>
      </w:r>
      <w:r w:rsidR="00B01105" w:rsidRPr="00295637">
        <w:rPr>
          <w:rFonts w:ascii="Times New Roman" w:hAnsi="Times New Roman"/>
          <w:szCs w:val="24"/>
        </w:rPr>
        <w:t>“</w:t>
      </w:r>
      <w:r w:rsidR="00A31796">
        <w:rPr>
          <w:rFonts w:ascii="Times New Roman" w:hAnsi="Times New Roman"/>
          <w:szCs w:val="24"/>
        </w:rPr>
        <w:t xml:space="preserve"> </w:t>
      </w:r>
      <w:r>
        <w:rPr>
          <w:rFonts w:ascii="Times New Roman" w:hAnsi="Times New Roman"/>
          <w:szCs w:val="24"/>
        </w:rPr>
        <w:t>Сарајево</w:t>
      </w:r>
      <w:r w:rsidR="004651BA" w:rsidRPr="00295637">
        <w:rPr>
          <w:rFonts w:ascii="Times New Roman" w:hAnsi="Times New Roman"/>
          <w:szCs w:val="24"/>
        </w:rPr>
        <w:t xml:space="preserve">. </w:t>
      </w:r>
    </w:p>
    <w:p w:rsidR="008D6F09" w:rsidRPr="00295637" w:rsidRDefault="008D6F09" w:rsidP="0086268D">
      <w:pPr>
        <w:jc w:val="both"/>
        <w:rPr>
          <w:rFonts w:ascii="Times New Roman" w:hAnsi="Times New Roman"/>
          <w:szCs w:val="24"/>
        </w:rPr>
      </w:pPr>
    </w:p>
    <w:p w:rsidR="00595320" w:rsidRDefault="00C6214E" w:rsidP="0086268D">
      <w:pPr>
        <w:jc w:val="both"/>
        <w:rPr>
          <w:rFonts w:ascii="Times New Roman" w:hAnsi="Times New Roman"/>
          <w:color w:val="000000"/>
        </w:rPr>
      </w:pPr>
      <w:r>
        <w:rPr>
          <w:rFonts w:ascii="Times New Roman" w:hAnsi="Times New Roman"/>
          <w:color w:val="000000"/>
          <w:lang w:val="bs-Latn-BA"/>
        </w:rPr>
        <w:t>М</w:t>
      </w:r>
      <w:r w:rsidR="00C9019F">
        <w:rPr>
          <w:rFonts w:ascii="Times New Roman" w:hAnsi="Times New Roman"/>
          <w:color w:val="000000"/>
          <w:lang w:val="sr-Cyrl-BA"/>
        </w:rPr>
        <w:t>Б</w:t>
      </w:r>
      <w:r w:rsidR="00CE1ADD" w:rsidRPr="00295637">
        <w:rPr>
          <w:rFonts w:ascii="Times New Roman" w:hAnsi="Times New Roman"/>
          <w:color w:val="000000"/>
          <w:lang w:val="bs-Latn-BA"/>
        </w:rPr>
        <w:t xml:space="preserve"> </w:t>
      </w:r>
      <w:r>
        <w:rPr>
          <w:rFonts w:ascii="Times New Roman" w:hAnsi="Times New Roman"/>
          <w:color w:val="000000"/>
          <w:lang w:val="bs-Latn-BA"/>
        </w:rPr>
        <w:t>БиХ</w:t>
      </w:r>
      <w:r w:rsidR="00595320" w:rsidRPr="00295637">
        <w:rPr>
          <w:rFonts w:ascii="Times New Roman" w:hAnsi="Times New Roman"/>
          <w:color w:val="000000"/>
          <w:lang w:val="bs-Latn-BA"/>
        </w:rPr>
        <w:t xml:space="preserve"> </w:t>
      </w:r>
      <w:r>
        <w:rPr>
          <w:rFonts w:ascii="Times New Roman" w:hAnsi="Times New Roman"/>
          <w:color w:val="000000"/>
          <w:lang w:val="bs-Latn-BA"/>
        </w:rPr>
        <w:t>сваке</w:t>
      </w:r>
      <w:r w:rsidR="00595320" w:rsidRPr="00295637">
        <w:rPr>
          <w:rFonts w:ascii="Times New Roman" w:hAnsi="Times New Roman"/>
          <w:color w:val="000000"/>
          <w:lang w:val="bs-Latn-BA"/>
        </w:rPr>
        <w:t xml:space="preserve"> </w:t>
      </w:r>
      <w:r>
        <w:rPr>
          <w:rFonts w:ascii="Times New Roman" w:hAnsi="Times New Roman"/>
          <w:color w:val="000000"/>
          <w:lang w:val="bs-Latn-BA"/>
        </w:rPr>
        <w:t>године</w:t>
      </w:r>
      <w:r w:rsidR="00595320" w:rsidRPr="00295637">
        <w:rPr>
          <w:rFonts w:ascii="Times New Roman" w:hAnsi="Times New Roman"/>
          <w:color w:val="000000"/>
          <w:lang w:val="bs-Latn-BA"/>
        </w:rPr>
        <w:t xml:space="preserve"> </w:t>
      </w:r>
      <w:r>
        <w:rPr>
          <w:rFonts w:ascii="Times New Roman" w:hAnsi="Times New Roman"/>
          <w:color w:val="000000"/>
          <w:lang w:val="bs-Latn-BA"/>
        </w:rPr>
        <w:t>у</w:t>
      </w:r>
      <w:r w:rsidR="00595320" w:rsidRPr="00295637">
        <w:rPr>
          <w:rFonts w:ascii="Times New Roman" w:hAnsi="Times New Roman"/>
          <w:color w:val="000000"/>
          <w:lang w:val="bs-Latn-BA"/>
        </w:rPr>
        <w:t xml:space="preserve"> </w:t>
      </w:r>
      <w:r>
        <w:rPr>
          <w:rFonts w:ascii="Times New Roman" w:hAnsi="Times New Roman"/>
          <w:color w:val="000000"/>
          <w:lang w:val="bs-Latn-BA"/>
        </w:rPr>
        <w:t>оквиру</w:t>
      </w:r>
      <w:r w:rsidR="00595320" w:rsidRPr="00295637">
        <w:rPr>
          <w:rFonts w:ascii="Times New Roman" w:hAnsi="Times New Roman"/>
          <w:color w:val="000000"/>
          <w:lang w:val="bs-Latn-BA"/>
        </w:rPr>
        <w:t xml:space="preserve"> </w:t>
      </w:r>
      <w:r>
        <w:rPr>
          <w:rFonts w:ascii="Times New Roman" w:hAnsi="Times New Roman"/>
          <w:color w:val="000000"/>
          <w:lang w:val="bs-Latn-BA"/>
        </w:rPr>
        <w:t>свог</w:t>
      </w:r>
      <w:r w:rsidR="00595320" w:rsidRPr="00295637">
        <w:rPr>
          <w:rFonts w:ascii="Times New Roman" w:hAnsi="Times New Roman"/>
          <w:color w:val="000000"/>
          <w:lang w:val="bs-Latn-BA"/>
        </w:rPr>
        <w:t xml:space="preserve"> </w:t>
      </w:r>
      <w:r>
        <w:rPr>
          <w:rFonts w:ascii="Times New Roman" w:hAnsi="Times New Roman"/>
          <w:color w:val="000000"/>
          <w:lang w:val="bs-Latn-BA"/>
        </w:rPr>
        <w:t>буџета</w:t>
      </w:r>
      <w:r w:rsidR="00595320" w:rsidRPr="00295637">
        <w:rPr>
          <w:rFonts w:ascii="Times New Roman" w:hAnsi="Times New Roman"/>
          <w:color w:val="000000"/>
          <w:lang w:val="bs-Latn-BA"/>
        </w:rPr>
        <w:t xml:space="preserve"> </w:t>
      </w:r>
      <w:r>
        <w:rPr>
          <w:rFonts w:ascii="Times New Roman" w:hAnsi="Times New Roman"/>
          <w:color w:val="000000"/>
          <w:lang w:val="bs-Latn-BA"/>
        </w:rPr>
        <w:t>планира</w:t>
      </w:r>
      <w:r w:rsidR="00595320" w:rsidRPr="00295637">
        <w:rPr>
          <w:rFonts w:ascii="Times New Roman" w:hAnsi="Times New Roman"/>
          <w:color w:val="000000"/>
          <w:lang w:val="bs-Latn-BA"/>
        </w:rPr>
        <w:t xml:space="preserve"> </w:t>
      </w:r>
      <w:r>
        <w:rPr>
          <w:rFonts w:ascii="Times New Roman" w:hAnsi="Times New Roman"/>
          <w:color w:val="000000"/>
          <w:lang w:val="bs-Latn-BA"/>
        </w:rPr>
        <w:t>средства</w:t>
      </w:r>
      <w:r w:rsidR="00595320" w:rsidRPr="00295637">
        <w:rPr>
          <w:rFonts w:ascii="Times New Roman" w:hAnsi="Times New Roman"/>
          <w:color w:val="000000"/>
          <w:lang w:val="bs-Latn-BA"/>
        </w:rPr>
        <w:t xml:space="preserve"> </w:t>
      </w:r>
      <w:r>
        <w:rPr>
          <w:rFonts w:ascii="Times New Roman" w:hAnsi="Times New Roman"/>
          <w:color w:val="000000"/>
          <w:lang w:val="bs-Latn-BA"/>
        </w:rPr>
        <w:t>за</w:t>
      </w:r>
      <w:r w:rsidR="00595320" w:rsidRPr="00295637">
        <w:rPr>
          <w:rFonts w:ascii="Times New Roman" w:hAnsi="Times New Roman"/>
          <w:color w:val="000000"/>
          <w:lang w:val="bs-Latn-BA"/>
        </w:rPr>
        <w:t xml:space="preserve"> </w:t>
      </w:r>
      <w:r>
        <w:rPr>
          <w:rFonts w:ascii="Times New Roman" w:hAnsi="Times New Roman"/>
          <w:color w:val="000000"/>
          <w:lang w:val="bs-Latn-BA"/>
        </w:rPr>
        <w:t>невладине</w:t>
      </w:r>
      <w:r w:rsidR="00595320" w:rsidRPr="00295637">
        <w:rPr>
          <w:rFonts w:ascii="Times New Roman" w:hAnsi="Times New Roman"/>
          <w:color w:val="000000"/>
          <w:lang w:val="bs-Latn-BA"/>
        </w:rPr>
        <w:t xml:space="preserve"> </w:t>
      </w:r>
      <w:r>
        <w:rPr>
          <w:rFonts w:ascii="Times New Roman" w:hAnsi="Times New Roman"/>
          <w:color w:val="000000"/>
          <w:lang w:val="bs-Latn-BA"/>
        </w:rPr>
        <w:t>организације</w:t>
      </w:r>
      <w:r w:rsidR="00595320" w:rsidRPr="00295637">
        <w:rPr>
          <w:rFonts w:ascii="Times New Roman" w:hAnsi="Times New Roman"/>
          <w:color w:val="000000"/>
          <w:lang w:val="bs-Latn-BA"/>
        </w:rPr>
        <w:t xml:space="preserve"> </w:t>
      </w:r>
      <w:r>
        <w:rPr>
          <w:rFonts w:ascii="Times New Roman" w:hAnsi="Times New Roman"/>
          <w:color w:val="000000"/>
          <w:lang w:val="bs-Latn-BA"/>
        </w:rPr>
        <w:t>које</w:t>
      </w:r>
      <w:r w:rsidR="00595320" w:rsidRPr="00295637">
        <w:rPr>
          <w:rFonts w:ascii="Times New Roman" w:hAnsi="Times New Roman"/>
          <w:color w:val="000000"/>
          <w:lang w:val="bs-Latn-BA"/>
        </w:rPr>
        <w:t xml:space="preserve"> </w:t>
      </w:r>
      <w:r>
        <w:rPr>
          <w:rFonts w:ascii="Times New Roman" w:hAnsi="Times New Roman"/>
          <w:color w:val="000000"/>
          <w:lang w:val="bs-Latn-BA"/>
        </w:rPr>
        <w:t>у</w:t>
      </w:r>
      <w:r w:rsidR="00595320" w:rsidRPr="00295637">
        <w:rPr>
          <w:rFonts w:ascii="Times New Roman" w:hAnsi="Times New Roman"/>
          <w:color w:val="000000"/>
          <w:lang w:val="bs-Latn-BA"/>
        </w:rPr>
        <w:t xml:space="preserve"> </w:t>
      </w:r>
      <w:r>
        <w:rPr>
          <w:rFonts w:ascii="Times New Roman" w:hAnsi="Times New Roman"/>
          <w:color w:val="000000"/>
          <w:lang w:val="bs-Latn-BA"/>
        </w:rPr>
        <w:t>свом</w:t>
      </w:r>
      <w:r w:rsidR="00595320" w:rsidRPr="00295637">
        <w:rPr>
          <w:rFonts w:ascii="Times New Roman" w:hAnsi="Times New Roman"/>
          <w:color w:val="000000"/>
          <w:lang w:val="bs-Latn-BA"/>
        </w:rPr>
        <w:t xml:space="preserve"> </w:t>
      </w:r>
      <w:r>
        <w:rPr>
          <w:rFonts w:ascii="Times New Roman" w:hAnsi="Times New Roman"/>
          <w:color w:val="000000"/>
          <w:lang w:val="bs-Latn-BA"/>
        </w:rPr>
        <w:t>капацитету</w:t>
      </w:r>
      <w:r w:rsidR="00595320" w:rsidRPr="00295637">
        <w:rPr>
          <w:rFonts w:ascii="Times New Roman" w:hAnsi="Times New Roman"/>
          <w:color w:val="000000"/>
          <w:lang w:val="bs-Latn-BA"/>
        </w:rPr>
        <w:t xml:space="preserve"> </w:t>
      </w:r>
      <w:r>
        <w:rPr>
          <w:rFonts w:ascii="Times New Roman" w:hAnsi="Times New Roman"/>
          <w:color w:val="000000"/>
          <w:lang w:val="bs-Latn-BA"/>
        </w:rPr>
        <w:t>посједују</w:t>
      </w:r>
      <w:r w:rsidR="00595320" w:rsidRPr="00295637">
        <w:rPr>
          <w:rFonts w:ascii="Times New Roman" w:hAnsi="Times New Roman"/>
          <w:color w:val="000000"/>
          <w:lang w:val="bs-Latn-BA"/>
        </w:rPr>
        <w:t xml:space="preserve"> </w:t>
      </w:r>
      <w:r>
        <w:rPr>
          <w:rFonts w:ascii="Times New Roman" w:hAnsi="Times New Roman"/>
          <w:color w:val="000000"/>
          <w:lang w:val="bs-Latn-BA"/>
        </w:rPr>
        <w:t>склоништа</w:t>
      </w:r>
      <w:r w:rsidR="00595320" w:rsidRPr="00295637">
        <w:rPr>
          <w:rFonts w:ascii="Times New Roman" w:hAnsi="Times New Roman"/>
          <w:color w:val="000000"/>
          <w:lang w:val="bs-Latn-BA"/>
        </w:rPr>
        <w:t xml:space="preserve"> </w:t>
      </w:r>
      <w:r>
        <w:rPr>
          <w:rFonts w:ascii="Times New Roman" w:hAnsi="Times New Roman"/>
          <w:color w:val="000000"/>
          <w:lang w:val="bs-Latn-BA"/>
        </w:rPr>
        <w:t>за</w:t>
      </w:r>
      <w:r w:rsidR="00595320" w:rsidRPr="00295637">
        <w:rPr>
          <w:rFonts w:ascii="Times New Roman" w:hAnsi="Times New Roman"/>
          <w:color w:val="000000"/>
          <w:lang w:val="bs-Latn-BA"/>
        </w:rPr>
        <w:t xml:space="preserve"> </w:t>
      </w:r>
      <w:r>
        <w:rPr>
          <w:rFonts w:ascii="Times New Roman" w:hAnsi="Times New Roman"/>
          <w:color w:val="000000"/>
          <w:lang w:val="bs-Latn-BA"/>
        </w:rPr>
        <w:t>смјештај</w:t>
      </w:r>
      <w:r w:rsidR="00595320" w:rsidRPr="00295637">
        <w:rPr>
          <w:rFonts w:ascii="Times New Roman" w:hAnsi="Times New Roman"/>
          <w:color w:val="000000"/>
          <w:lang w:val="bs-Latn-BA"/>
        </w:rPr>
        <w:t xml:space="preserve"> </w:t>
      </w:r>
      <w:r>
        <w:rPr>
          <w:rFonts w:ascii="Times New Roman" w:hAnsi="Times New Roman"/>
          <w:color w:val="000000"/>
          <w:lang w:val="bs-Latn-BA"/>
        </w:rPr>
        <w:t>и</w:t>
      </w:r>
      <w:r w:rsidR="00595320" w:rsidRPr="00295637">
        <w:rPr>
          <w:rFonts w:ascii="Times New Roman" w:hAnsi="Times New Roman"/>
          <w:color w:val="000000"/>
          <w:lang w:val="bs-Latn-BA"/>
        </w:rPr>
        <w:t xml:space="preserve"> </w:t>
      </w:r>
      <w:r>
        <w:rPr>
          <w:rFonts w:ascii="Times New Roman" w:hAnsi="Times New Roman"/>
          <w:color w:val="000000"/>
          <w:lang w:val="bs-Latn-BA"/>
        </w:rPr>
        <w:t>помоћ</w:t>
      </w:r>
      <w:r w:rsidR="00595320" w:rsidRPr="00295637">
        <w:rPr>
          <w:rFonts w:ascii="Times New Roman" w:hAnsi="Times New Roman"/>
          <w:color w:val="000000"/>
          <w:lang w:val="bs-Latn-BA"/>
        </w:rPr>
        <w:t xml:space="preserve"> </w:t>
      </w:r>
      <w:r>
        <w:rPr>
          <w:rFonts w:ascii="Times New Roman" w:hAnsi="Times New Roman"/>
          <w:color w:val="000000"/>
          <w:lang w:val="bs-Latn-BA"/>
        </w:rPr>
        <w:t>жртвама</w:t>
      </w:r>
      <w:r w:rsidR="00595320" w:rsidRPr="00295637">
        <w:rPr>
          <w:rFonts w:ascii="Times New Roman" w:hAnsi="Times New Roman"/>
          <w:color w:val="000000"/>
          <w:lang w:val="bs-Latn-BA"/>
        </w:rPr>
        <w:t xml:space="preserve"> </w:t>
      </w:r>
      <w:r>
        <w:rPr>
          <w:rFonts w:ascii="Times New Roman" w:hAnsi="Times New Roman"/>
          <w:color w:val="000000"/>
          <w:lang w:val="bs-Latn-BA"/>
        </w:rPr>
        <w:t>трговине</w:t>
      </w:r>
      <w:r w:rsidR="00595320" w:rsidRPr="00295637">
        <w:rPr>
          <w:rFonts w:ascii="Times New Roman" w:hAnsi="Times New Roman"/>
          <w:color w:val="000000"/>
          <w:lang w:val="bs-Latn-BA"/>
        </w:rPr>
        <w:t xml:space="preserve"> </w:t>
      </w:r>
      <w:r>
        <w:rPr>
          <w:rFonts w:ascii="Times New Roman" w:hAnsi="Times New Roman"/>
          <w:color w:val="000000"/>
          <w:lang w:val="bs-Latn-BA"/>
        </w:rPr>
        <w:t>људима</w:t>
      </w:r>
      <w:r w:rsidR="00595320" w:rsidRPr="00295637">
        <w:rPr>
          <w:rFonts w:ascii="Times New Roman" w:hAnsi="Times New Roman"/>
          <w:color w:val="000000"/>
          <w:lang w:val="bs-Latn-BA"/>
        </w:rPr>
        <w:t xml:space="preserve">. </w:t>
      </w:r>
      <w:r>
        <w:rPr>
          <w:rFonts w:ascii="Times New Roman" w:hAnsi="Times New Roman"/>
          <w:color w:val="000000"/>
          <w:lang w:val="bs-Latn-BA"/>
        </w:rPr>
        <w:t>Укупан</w:t>
      </w:r>
      <w:r w:rsidR="00524CFA" w:rsidRPr="00295637">
        <w:rPr>
          <w:rFonts w:ascii="Times New Roman" w:hAnsi="Times New Roman"/>
          <w:color w:val="000000"/>
          <w:lang w:val="bs-Latn-BA"/>
        </w:rPr>
        <w:t xml:space="preserve"> </w:t>
      </w:r>
      <w:r>
        <w:rPr>
          <w:rFonts w:ascii="Times New Roman" w:hAnsi="Times New Roman"/>
          <w:color w:val="000000"/>
          <w:lang w:val="bs-Latn-BA"/>
        </w:rPr>
        <w:t>капацитет</w:t>
      </w:r>
      <w:r w:rsidR="00524CFA" w:rsidRPr="00295637">
        <w:rPr>
          <w:rFonts w:ascii="Times New Roman" w:hAnsi="Times New Roman"/>
          <w:color w:val="000000"/>
          <w:lang w:val="bs-Latn-BA"/>
        </w:rPr>
        <w:t xml:space="preserve"> </w:t>
      </w:r>
      <w:r>
        <w:rPr>
          <w:rFonts w:ascii="Times New Roman" w:hAnsi="Times New Roman"/>
          <w:color w:val="000000"/>
          <w:lang w:val="bs-Latn-BA"/>
        </w:rPr>
        <w:t>за</w:t>
      </w:r>
      <w:r w:rsidR="00524CFA" w:rsidRPr="00295637">
        <w:rPr>
          <w:rFonts w:ascii="Times New Roman" w:hAnsi="Times New Roman"/>
          <w:color w:val="000000"/>
          <w:lang w:val="bs-Latn-BA"/>
        </w:rPr>
        <w:t xml:space="preserve"> </w:t>
      </w:r>
      <w:r>
        <w:rPr>
          <w:rFonts w:ascii="Times New Roman" w:hAnsi="Times New Roman"/>
          <w:color w:val="000000"/>
          <w:lang w:val="bs-Latn-BA"/>
        </w:rPr>
        <w:t>смјештај</w:t>
      </w:r>
      <w:r w:rsidR="00524CFA" w:rsidRPr="00295637">
        <w:rPr>
          <w:rFonts w:ascii="Times New Roman" w:hAnsi="Times New Roman"/>
          <w:color w:val="000000"/>
          <w:lang w:val="bs-Latn-BA"/>
        </w:rPr>
        <w:t xml:space="preserve"> </w:t>
      </w:r>
      <w:r>
        <w:rPr>
          <w:rFonts w:ascii="Times New Roman" w:hAnsi="Times New Roman"/>
          <w:color w:val="000000"/>
          <w:lang w:val="bs-Latn-BA"/>
        </w:rPr>
        <w:t>жртава</w:t>
      </w:r>
      <w:r w:rsidR="00524CFA" w:rsidRPr="00295637">
        <w:rPr>
          <w:rFonts w:ascii="Times New Roman" w:hAnsi="Times New Roman"/>
          <w:color w:val="000000"/>
          <w:lang w:val="bs-Latn-BA"/>
        </w:rPr>
        <w:t xml:space="preserve"> </w:t>
      </w:r>
      <w:r>
        <w:rPr>
          <w:rFonts w:ascii="Times New Roman" w:hAnsi="Times New Roman"/>
          <w:color w:val="000000"/>
          <w:lang w:val="bs-Latn-BA"/>
        </w:rPr>
        <w:t>трговине</w:t>
      </w:r>
      <w:r w:rsidR="00524CFA" w:rsidRPr="00295637">
        <w:rPr>
          <w:rFonts w:ascii="Times New Roman" w:hAnsi="Times New Roman"/>
          <w:color w:val="000000"/>
          <w:lang w:val="bs-Latn-BA"/>
        </w:rPr>
        <w:t xml:space="preserve"> </w:t>
      </w:r>
      <w:r>
        <w:rPr>
          <w:rFonts w:ascii="Times New Roman" w:hAnsi="Times New Roman"/>
          <w:color w:val="000000"/>
          <w:lang w:val="bs-Latn-BA"/>
        </w:rPr>
        <w:t>људима</w:t>
      </w:r>
      <w:r w:rsidR="00524CFA" w:rsidRPr="00295637">
        <w:rPr>
          <w:rFonts w:ascii="Times New Roman" w:hAnsi="Times New Roman"/>
          <w:color w:val="000000"/>
          <w:lang w:val="bs-Latn-BA"/>
        </w:rPr>
        <w:t xml:space="preserve"> </w:t>
      </w:r>
      <w:r>
        <w:rPr>
          <w:rFonts w:ascii="Times New Roman" w:hAnsi="Times New Roman"/>
          <w:color w:val="000000"/>
          <w:lang w:val="bs-Latn-BA"/>
        </w:rPr>
        <w:t>у</w:t>
      </w:r>
      <w:r w:rsidR="00524CFA" w:rsidRPr="00295637">
        <w:rPr>
          <w:rFonts w:ascii="Times New Roman" w:hAnsi="Times New Roman"/>
          <w:color w:val="000000"/>
          <w:lang w:val="bs-Latn-BA"/>
        </w:rPr>
        <w:t xml:space="preserve"> 2024</w:t>
      </w:r>
      <w:r w:rsidR="00B01105" w:rsidRPr="00295637">
        <w:rPr>
          <w:rFonts w:ascii="Times New Roman" w:hAnsi="Times New Roman"/>
          <w:color w:val="000000"/>
          <w:lang w:val="bs-Latn-BA"/>
        </w:rPr>
        <w:t>.</w:t>
      </w:r>
      <w:r w:rsidR="00524CFA" w:rsidRPr="00295637">
        <w:rPr>
          <w:rFonts w:ascii="Times New Roman" w:hAnsi="Times New Roman"/>
          <w:color w:val="000000"/>
          <w:lang w:val="bs-Latn-BA"/>
        </w:rPr>
        <w:t xml:space="preserve"> </w:t>
      </w:r>
      <w:r>
        <w:rPr>
          <w:rFonts w:ascii="Times New Roman" w:hAnsi="Times New Roman"/>
          <w:color w:val="000000"/>
          <w:lang w:val="bs-Latn-BA"/>
        </w:rPr>
        <w:t>години</w:t>
      </w:r>
      <w:r w:rsidR="00524CFA" w:rsidRPr="00295637">
        <w:rPr>
          <w:rFonts w:ascii="Times New Roman" w:hAnsi="Times New Roman"/>
          <w:color w:val="000000"/>
          <w:lang w:val="bs-Latn-BA"/>
        </w:rPr>
        <w:t xml:space="preserve"> </w:t>
      </w:r>
      <w:r>
        <w:rPr>
          <w:rFonts w:ascii="Times New Roman" w:hAnsi="Times New Roman"/>
          <w:color w:val="000000"/>
          <w:lang w:val="bs-Latn-BA"/>
        </w:rPr>
        <w:t>у</w:t>
      </w:r>
      <w:r w:rsidR="00524CFA" w:rsidRPr="00295637">
        <w:rPr>
          <w:rFonts w:ascii="Times New Roman" w:hAnsi="Times New Roman"/>
          <w:color w:val="000000"/>
          <w:lang w:val="bs-Latn-BA"/>
        </w:rPr>
        <w:t xml:space="preserve"> </w:t>
      </w:r>
      <w:r>
        <w:rPr>
          <w:rFonts w:ascii="Times New Roman" w:hAnsi="Times New Roman"/>
          <w:color w:val="000000"/>
          <w:lang w:val="bs-Latn-BA"/>
        </w:rPr>
        <w:t>четири</w:t>
      </w:r>
      <w:r w:rsidR="00524CFA" w:rsidRPr="00295637">
        <w:rPr>
          <w:rFonts w:ascii="Times New Roman" w:hAnsi="Times New Roman"/>
          <w:color w:val="000000"/>
          <w:lang w:val="bs-Latn-BA"/>
        </w:rPr>
        <w:t xml:space="preserve"> </w:t>
      </w:r>
      <w:r>
        <w:rPr>
          <w:rFonts w:ascii="Times New Roman" w:hAnsi="Times New Roman"/>
          <w:color w:val="000000"/>
          <w:lang w:val="bs-Latn-BA"/>
        </w:rPr>
        <w:t>невладине</w:t>
      </w:r>
      <w:r w:rsidR="00524CFA" w:rsidRPr="00295637">
        <w:rPr>
          <w:rFonts w:ascii="Times New Roman" w:hAnsi="Times New Roman"/>
          <w:color w:val="000000"/>
          <w:lang w:val="bs-Latn-BA"/>
        </w:rPr>
        <w:t xml:space="preserve"> </w:t>
      </w:r>
      <w:r>
        <w:rPr>
          <w:rFonts w:ascii="Times New Roman" w:hAnsi="Times New Roman"/>
          <w:color w:val="000000"/>
          <w:lang w:val="bs-Latn-BA"/>
        </w:rPr>
        <w:t>организације</w:t>
      </w:r>
      <w:r w:rsidR="00524CFA" w:rsidRPr="00295637">
        <w:rPr>
          <w:rFonts w:ascii="Times New Roman" w:hAnsi="Times New Roman"/>
          <w:color w:val="000000"/>
          <w:lang w:val="bs-Latn-BA"/>
        </w:rPr>
        <w:t xml:space="preserve"> </w:t>
      </w:r>
      <w:r>
        <w:rPr>
          <w:rFonts w:ascii="Times New Roman" w:hAnsi="Times New Roman"/>
          <w:color w:val="000000"/>
          <w:lang w:val="bs-Latn-BA"/>
        </w:rPr>
        <w:t>био</w:t>
      </w:r>
      <w:r w:rsidR="00524CFA" w:rsidRPr="00295637">
        <w:rPr>
          <w:rFonts w:ascii="Times New Roman" w:hAnsi="Times New Roman"/>
          <w:color w:val="000000"/>
          <w:lang w:val="bs-Latn-BA"/>
        </w:rPr>
        <w:t xml:space="preserve"> </w:t>
      </w:r>
      <w:r>
        <w:rPr>
          <w:rFonts w:ascii="Times New Roman" w:hAnsi="Times New Roman"/>
          <w:color w:val="000000"/>
          <w:lang w:val="bs-Latn-BA"/>
        </w:rPr>
        <w:t>је</w:t>
      </w:r>
      <w:r w:rsidR="00B575BA" w:rsidRPr="00295637">
        <w:rPr>
          <w:rFonts w:ascii="Times New Roman" w:hAnsi="Times New Roman"/>
          <w:color w:val="000000"/>
          <w:lang w:val="bs-Latn-BA"/>
        </w:rPr>
        <w:t xml:space="preserve"> </w:t>
      </w:r>
      <w:r w:rsidR="00524CFA" w:rsidRPr="00295637">
        <w:rPr>
          <w:rFonts w:ascii="Times New Roman" w:hAnsi="Times New Roman"/>
          <w:color w:val="000000"/>
          <w:lang w:val="bs-Latn-BA"/>
        </w:rPr>
        <w:t xml:space="preserve">65 </w:t>
      </w:r>
      <w:r>
        <w:rPr>
          <w:rFonts w:ascii="Times New Roman" w:hAnsi="Times New Roman"/>
          <w:color w:val="000000"/>
          <w:lang w:val="bs-Latn-BA"/>
        </w:rPr>
        <w:t>кревета</w:t>
      </w:r>
      <w:r w:rsidR="00524CFA" w:rsidRPr="00295637">
        <w:rPr>
          <w:rFonts w:ascii="Times New Roman" w:hAnsi="Times New Roman"/>
          <w:color w:val="000000"/>
          <w:lang w:val="bs-Latn-BA"/>
        </w:rPr>
        <w:t xml:space="preserve">. </w:t>
      </w:r>
      <w:r>
        <w:rPr>
          <w:rFonts w:ascii="Times New Roman" w:hAnsi="Times New Roman"/>
          <w:color w:val="000000"/>
          <w:lang w:val="bs-Latn-BA"/>
        </w:rPr>
        <w:t>У</w:t>
      </w:r>
      <w:r w:rsidR="00595320" w:rsidRPr="00295637">
        <w:rPr>
          <w:rFonts w:ascii="Times New Roman" w:hAnsi="Times New Roman"/>
          <w:color w:val="000000"/>
          <w:lang w:val="bs-Latn-BA"/>
        </w:rPr>
        <w:t xml:space="preserve"> 2024.</w:t>
      </w:r>
      <w:r w:rsidR="00ED0EA8" w:rsidRPr="00295637">
        <w:rPr>
          <w:rFonts w:ascii="Times New Roman" w:hAnsi="Times New Roman"/>
          <w:color w:val="000000"/>
          <w:lang w:val="bs-Latn-BA"/>
        </w:rPr>
        <w:t xml:space="preserve"> </w:t>
      </w:r>
      <w:r>
        <w:rPr>
          <w:rFonts w:ascii="Times New Roman" w:hAnsi="Times New Roman"/>
          <w:color w:val="000000"/>
          <w:lang w:val="bs-Latn-BA"/>
        </w:rPr>
        <w:t>години</w:t>
      </w:r>
      <w:r w:rsidR="00AB01B0">
        <w:rPr>
          <w:rFonts w:ascii="Times New Roman" w:hAnsi="Times New Roman"/>
          <w:color w:val="000000"/>
          <w:lang w:val="bs-Latn-BA"/>
        </w:rPr>
        <w:t xml:space="preserve"> </w:t>
      </w:r>
      <w:r>
        <w:rPr>
          <w:rFonts w:ascii="Times New Roman" w:hAnsi="Times New Roman"/>
          <w:color w:val="000000"/>
          <w:lang w:val="bs-Latn-BA"/>
        </w:rPr>
        <w:t>тај</w:t>
      </w:r>
      <w:r w:rsidR="00AB01B0">
        <w:rPr>
          <w:rFonts w:ascii="Times New Roman" w:hAnsi="Times New Roman"/>
          <w:color w:val="000000"/>
          <w:lang w:val="bs-Latn-BA"/>
        </w:rPr>
        <w:t xml:space="preserve"> </w:t>
      </w:r>
      <w:r>
        <w:rPr>
          <w:rFonts w:ascii="Times New Roman" w:hAnsi="Times New Roman"/>
          <w:color w:val="000000"/>
          <w:lang w:val="bs-Latn-BA"/>
        </w:rPr>
        <w:t>износ</w:t>
      </w:r>
      <w:r w:rsidR="00AB01B0">
        <w:rPr>
          <w:rFonts w:ascii="Times New Roman" w:hAnsi="Times New Roman"/>
          <w:color w:val="000000"/>
          <w:lang w:val="bs-Latn-BA"/>
        </w:rPr>
        <w:t xml:space="preserve"> </w:t>
      </w:r>
      <w:r>
        <w:rPr>
          <w:rFonts w:ascii="Times New Roman" w:hAnsi="Times New Roman"/>
          <w:color w:val="000000"/>
          <w:lang w:val="bs-Latn-BA"/>
        </w:rPr>
        <w:t>је</w:t>
      </w:r>
      <w:r w:rsidR="00AB01B0">
        <w:rPr>
          <w:rFonts w:ascii="Times New Roman" w:hAnsi="Times New Roman"/>
          <w:color w:val="000000"/>
          <w:lang w:val="bs-Latn-BA"/>
        </w:rPr>
        <w:t xml:space="preserve"> </w:t>
      </w:r>
      <w:r>
        <w:rPr>
          <w:rFonts w:ascii="Times New Roman" w:hAnsi="Times New Roman"/>
          <w:color w:val="000000"/>
          <w:lang w:val="bs-Latn-BA"/>
        </w:rPr>
        <w:t>био</w:t>
      </w:r>
      <w:r w:rsidR="00AB01B0">
        <w:rPr>
          <w:rFonts w:ascii="Times New Roman" w:hAnsi="Times New Roman"/>
          <w:color w:val="000000"/>
          <w:lang w:val="bs-Latn-BA"/>
        </w:rPr>
        <w:t xml:space="preserve"> 210.000 </w:t>
      </w:r>
      <w:r>
        <w:rPr>
          <w:rFonts w:ascii="Times New Roman" w:hAnsi="Times New Roman"/>
          <w:color w:val="000000"/>
          <w:lang w:val="bs-Latn-BA"/>
        </w:rPr>
        <w:t>КМ</w:t>
      </w:r>
      <w:r w:rsidR="00595320" w:rsidRPr="00295637">
        <w:rPr>
          <w:rFonts w:ascii="Times New Roman" w:hAnsi="Times New Roman"/>
          <w:color w:val="000000"/>
          <w:lang w:val="bs-Latn-BA"/>
        </w:rPr>
        <w:t xml:space="preserve">, </w:t>
      </w:r>
      <w:r>
        <w:rPr>
          <w:rFonts w:ascii="Times New Roman" w:hAnsi="Times New Roman"/>
          <w:color w:val="000000"/>
          <w:lang w:val="bs-Latn-BA"/>
        </w:rPr>
        <w:t>те</w:t>
      </w:r>
      <w:r w:rsidR="00595320" w:rsidRPr="00295637">
        <w:rPr>
          <w:rFonts w:ascii="Times New Roman" w:hAnsi="Times New Roman"/>
          <w:color w:val="000000"/>
          <w:lang w:val="bs-Latn-BA"/>
        </w:rPr>
        <w:t xml:space="preserve"> </w:t>
      </w:r>
      <w:r>
        <w:rPr>
          <w:rFonts w:ascii="Times New Roman" w:hAnsi="Times New Roman"/>
          <w:color w:val="000000"/>
          <w:lang w:val="bs-Latn-BA"/>
        </w:rPr>
        <w:t>је</w:t>
      </w:r>
      <w:r w:rsidR="00595320" w:rsidRPr="00295637">
        <w:rPr>
          <w:rFonts w:ascii="Times New Roman" w:hAnsi="Times New Roman"/>
          <w:color w:val="000000"/>
          <w:lang w:val="bs-Latn-BA"/>
        </w:rPr>
        <w:t xml:space="preserve"> </w:t>
      </w:r>
      <w:r>
        <w:rPr>
          <w:rFonts w:ascii="Times New Roman" w:hAnsi="Times New Roman"/>
          <w:color w:val="000000"/>
          <w:lang w:val="bs-Latn-BA"/>
        </w:rPr>
        <w:t>на</w:t>
      </w:r>
      <w:r w:rsidR="00595320" w:rsidRPr="00295637">
        <w:rPr>
          <w:rFonts w:ascii="Times New Roman" w:hAnsi="Times New Roman"/>
          <w:color w:val="000000"/>
          <w:lang w:val="bs-Latn-BA"/>
        </w:rPr>
        <w:t xml:space="preserve"> </w:t>
      </w:r>
      <w:r>
        <w:rPr>
          <w:rFonts w:ascii="Times New Roman" w:hAnsi="Times New Roman"/>
          <w:color w:val="000000"/>
          <w:lang w:val="bs-Latn-BA"/>
        </w:rPr>
        <w:t>основу</w:t>
      </w:r>
      <w:r w:rsidR="00595320" w:rsidRPr="00295637">
        <w:rPr>
          <w:rFonts w:ascii="Times New Roman" w:hAnsi="Times New Roman"/>
          <w:color w:val="000000"/>
          <w:lang w:val="bs-Latn-BA"/>
        </w:rPr>
        <w:t xml:space="preserve"> </w:t>
      </w:r>
      <w:r>
        <w:rPr>
          <w:rFonts w:ascii="Times New Roman" w:hAnsi="Times New Roman"/>
          <w:color w:val="000000"/>
          <w:lang w:val="bs-Latn-BA"/>
        </w:rPr>
        <w:t>поднесених</w:t>
      </w:r>
      <w:r w:rsidR="00595320" w:rsidRPr="00295637">
        <w:rPr>
          <w:rFonts w:ascii="Times New Roman" w:hAnsi="Times New Roman"/>
          <w:color w:val="000000"/>
          <w:lang w:val="bs-Latn-BA"/>
        </w:rPr>
        <w:t xml:space="preserve"> </w:t>
      </w:r>
      <w:r>
        <w:rPr>
          <w:rFonts w:ascii="Times New Roman" w:hAnsi="Times New Roman"/>
          <w:color w:val="000000"/>
          <w:lang w:val="bs-Latn-BA"/>
        </w:rPr>
        <w:t>извјештаја</w:t>
      </w:r>
      <w:r w:rsidR="00595320" w:rsidRPr="00295637">
        <w:rPr>
          <w:rFonts w:ascii="Times New Roman" w:hAnsi="Times New Roman"/>
          <w:color w:val="000000"/>
          <w:lang w:val="bs-Latn-BA"/>
        </w:rPr>
        <w:t xml:space="preserve"> </w:t>
      </w:r>
      <w:r>
        <w:rPr>
          <w:rFonts w:ascii="Times New Roman" w:hAnsi="Times New Roman"/>
          <w:color w:val="000000"/>
          <w:lang w:val="bs-Latn-BA"/>
        </w:rPr>
        <w:t>и</w:t>
      </w:r>
      <w:r w:rsidR="00595320" w:rsidRPr="00295637">
        <w:rPr>
          <w:rFonts w:ascii="Times New Roman" w:hAnsi="Times New Roman"/>
          <w:color w:val="000000"/>
          <w:lang w:val="bs-Latn-BA"/>
        </w:rPr>
        <w:t xml:space="preserve"> </w:t>
      </w:r>
      <w:r>
        <w:rPr>
          <w:rFonts w:ascii="Times New Roman" w:hAnsi="Times New Roman"/>
          <w:color w:val="000000"/>
          <w:lang w:val="bs-Latn-BA"/>
        </w:rPr>
        <w:t>броја</w:t>
      </w:r>
      <w:r w:rsidR="00595320" w:rsidRPr="00295637">
        <w:rPr>
          <w:rFonts w:ascii="Times New Roman" w:hAnsi="Times New Roman"/>
          <w:color w:val="000000"/>
          <w:lang w:val="bs-Latn-BA"/>
        </w:rPr>
        <w:t xml:space="preserve"> </w:t>
      </w:r>
      <w:r>
        <w:rPr>
          <w:rFonts w:ascii="Times New Roman" w:hAnsi="Times New Roman"/>
          <w:color w:val="000000"/>
          <w:lang w:val="bs-Latn-BA"/>
        </w:rPr>
        <w:t>жртава</w:t>
      </w:r>
      <w:r w:rsidR="00595320" w:rsidRPr="00295637">
        <w:rPr>
          <w:rFonts w:ascii="Times New Roman" w:hAnsi="Times New Roman"/>
          <w:color w:val="000000"/>
          <w:lang w:val="bs-Latn-BA"/>
        </w:rPr>
        <w:t xml:space="preserve"> </w:t>
      </w:r>
      <w:r>
        <w:rPr>
          <w:rFonts w:ascii="Times New Roman" w:hAnsi="Times New Roman"/>
          <w:color w:val="000000"/>
          <w:lang w:val="bs-Latn-BA"/>
        </w:rPr>
        <w:t>трговине</w:t>
      </w:r>
      <w:r w:rsidR="00595320" w:rsidRPr="00295637">
        <w:rPr>
          <w:rFonts w:ascii="Times New Roman" w:hAnsi="Times New Roman"/>
          <w:color w:val="000000"/>
          <w:lang w:val="bs-Latn-BA"/>
        </w:rPr>
        <w:t xml:space="preserve"> </w:t>
      </w:r>
      <w:r>
        <w:rPr>
          <w:rFonts w:ascii="Times New Roman" w:hAnsi="Times New Roman"/>
          <w:color w:val="000000"/>
          <w:lang w:val="bs-Latn-BA"/>
        </w:rPr>
        <w:t>људима</w:t>
      </w:r>
      <w:r w:rsidR="00595320" w:rsidRPr="00295637">
        <w:rPr>
          <w:rFonts w:ascii="Times New Roman" w:hAnsi="Times New Roman"/>
          <w:color w:val="000000"/>
          <w:lang w:val="bs-Latn-BA"/>
        </w:rPr>
        <w:t xml:space="preserve"> </w:t>
      </w:r>
      <w:r>
        <w:rPr>
          <w:rFonts w:ascii="Times New Roman" w:hAnsi="Times New Roman"/>
          <w:color w:val="000000"/>
          <w:lang w:val="bs-Latn-BA"/>
        </w:rPr>
        <w:t>које</w:t>
      </w:r>
      <w:r w:rsidR="00595320" w:rsidRPr="00295637">
        <w:rPr>
          <w:rFonts w:ascii="Times New Roman" w:hAnsi="Times New Roman"/>
          <w:color w:val="000000"/>
          <w:lang w:val="bs-Latn-BA"/>
        </w:rPr>
        <w:t xml:space="preserve"> </w:t>
      </w:r>
      <w:r>
        <w:rPr>
          <w:rFonts w:ascii="Times New Roman" w:hAnsi="Times New Roman"/>
          <w:color w:val="000000"/>
          <w:lang w:val="bs-Latn-BA"/>
        </w:rPr>
        <w:t>су</w:t>
      </w:r>
      <w:r w:rsidR="00595320" w:rsidRPr="00295637">
        <w:rPr>
          <w:rFonts w:ascii="Times New Roman" w:hAnsi="Times New Roman"/>
          <w:color w:val="000000"/>
          <w:lang w:val="bs-Latn-BA"/>
        </w:rPr>
        <w:t xml:space="preserve"> </w:t>
      </w:r>
      <w:r>
        <w:rPr>
          <w:rFonts w:ascii="Times New Roman" w:hAnsi="Times New Roman"/>
          <w:color w:val="000000"/>
          <w:lang w:val="bs-Latn-BA"/>
        </w:rPr>
        <w:t>боравиле</w:t>
      </w:r>
      <w:r w:rsidR="00595320" w:rsidRPr="00295637">
        <w:rPr>
          <w:rFonts w:ascii="Times New Roman" w:hAnsi="Times New Roman"/>
          <w:color w:val="000000"/>
          <w:lang w:val="bs-Latn-BA"/>
        </w:rPr>
        <w:t xml:space="preserve"> </w:t>
      </w:r>
      <w:r>
        <w:rPr>
          <w:rFonts w:ascii="Times New Roman" w:hAnsi="Times New Roman"/>
          <w:color w:val="000000"/>
          <w:lang w:val="bs-Latn-BA"/>
        </w:rPr>
        <w:t>у</w:t>
      </w:r>
      <w:r w:rsidR="00595320" w:rsidRPr="00295637">
        <w:rPr>
          <w:rFonts w:ascii="Times New Roman" w:hAnsi="Times New Roman"/>
          <w:color w:val="000000"/>
          <w:lang w:val="bs-Latn-BA"/>
        </w:rPr>
        <w:t xml:space="preserve"> </w:t>
      </w:r>
      <w:r>
        <w:rPr>
          <w:rFonts w:ascii="Times New Roman" w:hAnsi="Times New Roman"/>
          <w:color w:val="000000"/>
          <w:lang w:val="bs-Latn-BA"/>
        </w:rPr>
        <w:t>склоништима</w:t>
      </w:r>
      <w:r w:rsidR="00595320" w:rsidRPr="00295637">
        <w:rPr>
          <w:rFonts w:ascii="Times New Roman" w:hAnsi="Times New Roman"/>
          <w:color w:val="000000"/>
          <w:lang w:val="bs-Latn-BA"/>
        </w:rPr>
        <w:t xml:space="preserve">, </w:t>
      </w:r>
      <w:r>
        <w:rPr>
          <w:rFonts w:ascii="Times New Roman" w:hAnsi="Times New Roman"/>
          <w:color w:val="000000"/>
          <w:lang w:val="bs-Latn-BA"/>
        </w:rPr>
        <w:t>те</w:t>
      </w:r>
      <w:r w:rsidR="00595320" w:rsidRPr="00295637">
        <w:rPr>
          <w:rFonts w:ascii="Times New Roman" w:hAnsi="Times New Roman"/>
          <w:color w:val="000000"/>
          <w:lang w:val="bs-Latn-BA"/>
        </w:rPr>
        <w:t xml:space="preserve"> </w:t>
      </w:r>
      <w:r>
        <w:rPr>
          <w:rFonts w:ascii="Times New Roman" w:hAnsi="Times New Roman"/>
          <w:color w:val="000000"/>
          <w:lang w:val="bs-Latn-BA"/>
        </w:rPr>
        <w:t>броја</w:t>
      </w:r>
      <w:r w:rsidR="00595320" w:rsidRPr="00295637">
        <w:rPr>
          <w:rFonts w:ascii="Times New Roman" w:hAnsi="Times New Roman"/>
          <w:color w:val="000000"/>
          <w:lang w:val="bs-Latn-BA"/>
        </w:rPr>
        <w:t xml:space="preserve"> </w:t>
      </w:r>
      <w:r>
        <w:rPr>
          <w:rFonts w:ascii="Times New Roman" w:hAnsi="Times New Roman"/>
          <w:color w:val="000000"/>
          <w:lang w:val="bs-Latn-BA"/>
        </w:rPr>
        <w:t>корисничких</w:t>
      </w:r>
      <w:r w:rsidR="00595320" w:rsidRPr="00295637">
        <w:rPr>
          <w:rFonts w:ascii="Times New Roman" w:hAnsi="Times New Roman"/>
          <w:color w:val="000000"/>
          <w:lang w:val="bs-Latn-BA"/>
        </w:rPr>
        <w:t xml:space="preserve"> </w:t>
      </w:r>
      <w:r>
        <w:rPr>
          <w:rFonts w:ascii="Times New Roman" w:hAnsi="Times New Roman"/>
          <w:color w:val="000000"/>
          <w:lang w:val="bs-Latn-BA"/>
        </w:rPr>
        <w:t>дана</w:t>
      </w:r>
      <w:r w:rsidR="00595320" w:rsidRPr="00295637">
        <w:rPr>
          <w:rFonts w:ascii="Times New Roman" w:hAnsi="Times New Roman"/>
          <w:color w:val="000000"/>
          <w:lang w:val="bs-Latn-BA"/>
        </w:rPr>
        <w:t xml:space="preserve"> </w:t>
      </w:r>
      <w:r>
        <w:rPr>
          <w:rFonts w:ascii="Times New Roman" w:hAnsi="Times New Roman"/>
          <w:color w:val="000000"/>
          <w:lang w:val="bs-Latn-BA"/>
        </w:rPr>
        <w:t>према</w:t>
      </w:r>
      <w:r w:rsidR="00595320" w:rsidRPr="00295637">
        <w:rPr>
          <w:rFonts w:ascii="Times New Roman" w:hAnsi="Times New Roman"/>
          <w:color w:val="000000"/>
          <w:lang w:val="bs-Latn-BA"/>
        </w:rPr>
        <w:t xml:space="preserve"> </w:t>
      </w:r>
      <w:r>
        <w:rPr>
          <w:rFonts w:ascii="Times New Roman" w:hAnsi="Times New Roman"/>
          <w:color w:val="000000"/>
          <w:lang w:val="bs-Latn-BA"/>
        </w:rPr>
        <w:t>невладиним</w:t>
      </w:r>
      <w:r w:rsidR="00595320" w:rsidRPr="00295637">
        <w:rPr>
          <w:rFonts w:ascii="Times New Roman" w:hAnsi="Times New Roman"/>
          <w:color w:val="000000"/>
          <w:lang w:val="bs-Latn-BA"/>
        </w:rPr>
        <w:t xml:space="preserve"> </w:t>
      </w:r>
      <w:r>
        <w:rPr>
          <w:rFonts w:ascii="Times New Roman" w:hAnsi="Times New Roman"/>
          <w:color w:val="000000"/>
          <w:lang w:val="bs-Latn-BA"/>
        </w:rPr>
        <w:t>организацијама</w:t>
      </w:r>
      <w:r w:rsidR="00595320" w:rsidRPr="00295637">
        <w:rPr>
          <w:rFonts w:ascii="Times New Roman" w:hAnsi="Times New Roman"/>
          <w:color w:val="000000"/>
          <w:lang w:val="bs-Latn-BA"/>
        </w:rPr>
        <w:t xml:space="preserve"> </w:t>
      </w:r>
      <w:r>
        <w:rPr>
          <w:rFonts w:ascii="Times New Roman" w:hAnsi="Times New Roman"/>
          <w:color w:val="000000"/>
          <w:lang w:val="bs-Latn-BA"/>
        </w:rPr>
        <w:t>исплаћено</w:t>
      </w:r>
      <w:r w:rsidR="00595320" w:rsidRPr="00295637">
        <w:rPr>
          <w:rFonts w:ascii="Times New Roman" w:hAnsi="Times New Roman"/>
          <w:color w:val="000000"/>
          <w:lang w:val="bs-Latn-BA"/>
        </w:rPr>
        <w:t xml:space="preserve"> </w:t>
      </w:r>
      <w:r>
        <w:rPr>
          <w:rFonts w:ascii="Times New Roman" w:hAnsi="Times New Roman"/>
          <w:color w:val="000000"/>
          <w:lang w:val="bs-Latn-BA"/>
        </w:rPr>
        <w:t>укупно</w:t>
      </w:r>
      <w:r w:rsidR="00595320" w:rsidRPr="00295637">
        <w:rPr>
          <w:rFonts w:ascii="Times New Roman" w:hAnsi="Times New Roman"/>
          <w:color w:val="000000"/>
          <w:lang w:val="bs-Latn-BA"/>
        </w:rPr>
        <w:t> </w:t>
      </w:r>
      <w:r w:rsidR="00595320" w:rsidRPr="00295637">
        <w:rPr>
          <w:rFonts w:ascii="Times New Roman" w:hAnsi="Times New Roman"/>
          <w:color w:val="000000"/>
        </w:rPr>
        <w:t>209.980,82</w:t>
      </w:r>
      <w:r w:rsidR="00AB01B0">
        <w:rPr>
          <w:rFonts w:ascii="Times New Roman" w:hAnsi="Times New Roman"/>
          <w:color w:val="000000"/>
        </w:rPr>
        <w:t xml:space="preserve"> </w:t>
      </w:r>
      <w:r>
        <w:rPr>
          <w:rFonts w:ascii="Times New Roman" w:hAnsi="Times New Roman"/>
          <w:color w:val="000000"/>
        </w:rPr>
        <w:t>КМ</w:t>
      </w:r>
      <w:r w:rsidR="00595320" w:rsidRPr="00295637">
        <w:rPr>
          <w:rFonts w:ascii="Times New Roman" w:hAnsi="Times New Roman"/>
          <w:color w:val="000000"/>
        </w:rPr>
        <w:t>.</w:t>
      </w:r>
    </w:p>
    <w:p w:rsidR="008D6F09" w:rsidRPr="00295637" w:rsidRDefault="008D6F09" w:rsidP="0086268D">
      <w:pPr>
        <w:jc w:val="both"/>
        <w:rPr>
          <w:rFonts w:ascii="Times New Roman" w:hAnsi="Times New Roman"/>
          <w:color w:val="000000"/>
          <w:lang w:val="en-US"/>
        </w:rPr>
      </w:pPr>
    </w:p>
    <w:p w:rsidR="00DC7250" w:rsidRPr="00295637" w:rsidRDefault="00C6214E" w:rsidP="0086268D">
      <w:pPr>
        <w:jc w:val="both"/>
        <w:rPr>
          <w:rFonts w:ascii="Times New Roman" w:hAnsi="Times New Roman"/>
          <w:szCs w:val="24"/>
        </w:rPr>
      </w:pPr>
      <w:r>
        <w:rPr>
          <w:rFonts w:ascii="Times New Roman" w:hAnsi="Times New Roman"/>
          <w:szCs w:val="24"/>
        </w:rPr>
        <w:t>Одлуком</w:t>
      </w:r>
      <w:r w:rsidR="008D24A7" w:rsidRPr="00295637">
        <w:rPr>
          <w:rFonts w:ascii="Times New Roman" w:hAnsi="Times New Roman"/>
          <w:szCs w:val="24"/>
        </w:rPr>
        <w:t xml:space="preserve"> </w:t>
      </w:r>
      <w:r>
        <w:rPr>
          <w:rFonts w:ascii="Times New Roman" w:hAnsi="Times New Roman"/>
          <w:szCs w:val="24"/>
        </w:rPr>
        <w:t>Директора</w:t>
      </w:r>
      <w:r w:rsidR="00DC7250" w:rsidRPr="00295637">
        <w:rPr>
          <w:rFonts w:ascii="Times New Roman" w:hAnsi="Times New Roman"/>
          <w:szCs w:val="24"/>
        </w:rPr>
        <w:t xml:space="preserve"> </w:t>
      </w:r>
      <w:r>
        <w:rPr>
          <w:rFonts w:ascii="Times New Roman" w:hAnsi="Times New Roman"/>
          <w:szCs w:val="24"/>
        </w:rPr>
        <w:t>СИПА</w:t>
      </w:r>
      <w:r w:rsidR="00722668">
        <w:rPr>
          <w:rFonts w:ascii="Times New Roman" w:hAnsi="Times New Roman"/>
          <w:szCs w:val="24"/>
        </w:rPr>
        <w:t>-</w:t>
      </w:r>
      <w:r>
        <w:rPr>
          <w:rFonts w:ascii="Times New Roman" w:hAnsi="Times New Roman"/>
          <w:szCs w:val="24"/>
        </w:rPr>
        <w:t>е</w:t>
      </w:r>
      <w:r w:rsidR="006B7ED1" w:rsidRPr="00295637">
        <w:rPr>
          <w:rFonts w:ascii="Times New Roman" w:hAnsi="Times New Roman"/>
          <w:szCs w:val="24"/>
        </w:rPr>
        <w:t>,</w:t>
      </w:r>
      <w:r w:rsidR="008D24A7" w:rsidRPr="00295637">
        <w:rPr>
          <w:rFonts w:ascii="Times New Roman" w:hAnsi="Times New Roman"/>
          <w:szCs w:val="24"/>
        </w:rPr>
        <w:t xml:space="preserve"> </w:t>
      </w:r>
      <w:r>
        <w:rPr>
          <w:rFonts w:ascii="Times New Roman" w:hAnsi="Times New Roman"/>
          <w:szCs w:val="24"/>
        </w:rPr>
        <w:t>формиран</w:t>
      </w:r>
      <w:r w:rsidR="008D24A7" w:rsidRPr="00295637">
        <w:rPr>
          <w:rFonts w:ascii="Times New Roman" w:hAnsi="Times New Roman"/>
          <w:szCs w:val="24"/>
        </w:rPr>
        <w:t xml:space="preserve"> </w:t>
      </w:r>
      <w:r>
        <w:rPr>
          <w:rFonts w:ascii="Times New Roman" w:hAnsi="Times New Roman"/>
          <w:szCs w:val="24"/>
        </w:rPr>
        <w:t>је</w:t>
      </w:r>
      <w:r w:rsidR="008D24A7" w:rsidRPr="00295637">
        <w:rPr>
          <w:rFonts w:ascii="Times New Roman" w:hAnsi="Times New Roman"/>
          <w:szCs w:val="24"/>
        </w:rPr>
        <w:t xml:space="preserve"> </w:t>
      </w:r>
      <w:r>
        <w:rPr>
          <w:rFonts w:ascii="Times New Roman" w:hAnsi="Times New Roman"/>
          <w:szCs w:val="24"/>
        </w:rPr>
        <w:t>Оперативно</w:t>
      </w:r>
      <w:r w:rsidR="008D24A7" w:rsidRPr="00295637">
        <w:rPr>
          <w:rFonts w:ascii="Times New Roman" w:hAnsi="Times New Roman"/>
          <w:szCs w:val="24"/>
        </w:rPr>
        <w:t xml:space="preserve"> </w:t>
      </w:r>
      <w:r>
        <w:rPr>
          <w:rFonts w:ascii="Times New Roman" w:hAnsi="Times New Roman"/>
          <w:szCs w:val="24"/>
        </w:rPr>
        <w:t>истражни</w:t>
      </w:r>
      <w:r w:rsidR="008D24A7" w:rsidRPr="00295637">
        <w:rPr>
          <w:rFonts w:ascii="Times New Roman" w:hAnsi="Times New Roman"/>
          <w:szCs w:val="24"/>
        </w:rPr>
        <w:t xml:space="preserve"> </w:t>
      </w:r>
      <w:r>
        <w:rPr>
          <w:rFonts w:ascii="Times New Roman" w:hAnsi="Times New Roman"/>
          <w:szCs w:val="24"/>
        </w:rPr>
        <w:t>тим</w:t>
      </w:r>
      <w:r w:rsidR="008D24A7" w:rsidRPr="00295637">
        <w:rPr>
          <w:rFonts w:ascii="Times New Roman" w:hAnsi="Times New Roman"/>
          <w:szCs w:val="24"/>
        </w:rPr>
        <w:t xml:space="preserve"> </w:t>
      </w:r>
      <w:r w:rsidR="008D24A7" w:rsidRPr="00295637">
        <w:rPr>
          <w:rFonts w:ascii="Times New Roman" w:hAnsi="Times New Roman"/>
          <w:bCs/>
          <w:szCs w:val="24"/>
        </w:rPr>
        <w:t>„</w:t>
      </w:r>
      <w:r>
        <w:rPr>
          <w:rFonts w:ascii="Times New Roman" w:hAnsi="Times New Roman"/>
          <w:bCs/>
          <w:szCs w:val="24"/>
        </w:rPr>
        <w:t>Исток</w:t>
      </w:r>
      <w:r w:rsidR="008D24A7" w:rsidRPr="00295637">
        <w:rPr>
          <w:rFonts w:ascii="Times New Roman" w:hAnsi="Times New Roman"/>
          <w:bCs/>
          <w:szCs w:val="24"/>
        </w:rPr>
        <w:t xml:space="preserve">“, </w:t>
      </w:r>
      <w:r>
        <w:rPr>
          <w:rFonts w:ascii="Times New Roman" w:hAnsi="Times New Roman"/>
          <w:bCs/>
          <w:szCs w:val="24"/>
        </w:rPr>
        <w:t>чији</w:t>
      </w:r>
      <w:r w:rsidR="008D24A7" w:rsidRPr="00295637">
        <w:rPr>
          <w:rFonts w:ascii="Times New Roman" w:hAnsi="Times New Roman"/>
          <w:bCs/>
          <w:szCs w:val="24"/>
        </w:rPr>
        <w:t xml:space="preserve"> </w:t>
      </w:r>
      <w:r>
        <w:rPr>
          <w:rFonts w:ascii="Times New Roman" w:hAnsi="Times New Roman"/>
          <w:bCs/>
          <w:szCs w:val="24"/>
        </w:rPr>
        <w:t>припадници</w:t>
      </w:r>
      <w:r w:rsidR="008D24A7" w:rsidRPr="00295637">
        <w:rPr>
          <w:rFonts w:ascii="Times New Roman" w:hAnsi="Times New Roman"/>
          <w:bCs/>
          <w:szCs w:val="24"/>
        </w:rPr>
        <w:t xml:space="preserve"> (26 </w:t>
      </w:r>
      <w:r>
        <w:rPr>
          <w:rFonts w:ascii="Times New Roman" w:hAnsi="Times New Roman"/>
          <w:bCs/>
          <w:szCs w:val="24"/>
        </w:rPr>
        <w:t>мушкараца</w:t>
      </w:r>
      <w:r w:rsidR="008D24A7" w:rsidRPr="00295637">
        <w:rPr>
          <w:rFonts w:ascii="Times New Roman" w:hAnsi="Times New Roman"/>
          <w:bCs/>
          <w:szCs w:val="24"/>
        </w:rPr>
        <w:t xml:space="preserve"> </w:t>
      </w:r>
      <w:r>
        <w:rPr>
          <w:rFonts w:ascii="Times New Roman" w:hAnsi="Times New Roman"/>
          <w:bCs/>
          <w:szCs w:val="24"/>
        </w:rPr>
        <w:t>и</w:t>
      </w:r>
      <w:r w:rsidR="008D24A7" w:rsidRPr="00295637">
        <w:rPr>
          <w:rFonts w:ascii="Times New Roman" w:hAnsi="Times New Roman"/>
          <w:bCs/>
          <w:szCs w:val="24"/>
        </w:rPr>
        <w:t xml:space="preserve"> 8 </w:t>
      </w:r>
      <w:r>
        <w:rPr>
          <w:rFonts w:ascii="Times New Roman" w:hAnsi="Times New Roman"/>
          <w:bCs/>
          <w:szCs w:val="24"/>
        </w:rPr>
        <w:t>жена</w:t>
      </w:r>
      <w:r w:rsidR="008D24A7" w:rsidRPr="00295637">
        <w:rPr>
          <w:rFonts w:ascii="Times New Roman" w:hAnsi="Times New Roman"/>
          <w:bCs/>
          <w:szCs w:val="24"/>
        </w:rPr>
        <w:t xml:space="preserve">) </w:t>
      </w:r>
      <w:r>
        <w:rPr>
          <w:rFonts w:ascii="Times New Roman" w:hAnsi="Times New Roman"/>
          <w:bCs/>
          <w:szCs w:val="24"/>
        </w:rPr>
        <w:t>активно</w:t>
      </w:r>
      <w:r w:rsidR="008D24A7" w:rsidRPr="00295637">
        <w:rPr>
          <w:rFonts w:ascii="Times New Roman" w:hAnsi="Times New Roman"/>
          <w:bCs/>
          <w:szCs w:val="24"/>
        </w:rPr>
        <w:t xml:space="preserve"> </w:t>
      </w:r>
      <w:r>
        <w:rPr>
          <w:rFonts w:ascii="Times New Roman" w:hAnsi="Times New Roman"/>
          <w:bCs/>
          <w:szCs w:val="24"/>
        </w:rPr>
        <w:t>учествују</w:t>
      </w:r>
      <w:r w:rsidR="008D24A7" w:rsidRPr="00295637">
        <w:rPr>
          <w:rFonts w:ascii="Times New Roman" w:hAnsi="Times New Roman"/>
          <w:bCs/>
          <w:szCs w:val="24"/>
        </w:rPr>
        <w:t xml:space="preserve"> </w:t>
      </w:r>
      <w:r>
        <w:rPr>
          <w:rFonts w:ascii="Times New Roman" w:hAnsi="Times New Roman"/>
          <w:bCs/>
          <w:szCs w:val="24"/>
        </w:rPr>
        <w:t>у</w:t>
      </w:r>
      <w:r w:rsidR="008D24A7" w:rsidRPr="00295637">
        <w:rPr>
          <w:rFonts w:ascii="Times New Roman" w:hAnsi="Times New Roman"/>
          <w:bCs/>
          <w:szCs w:val="24"/>
        </w:rPr>
        <w:t xml:space="preserve"> </w:t>
      </w:r>
      <w:r w:rsidR="00C9019F">
        <w:rPr>
          <w:rFonts w:ascii="Times New Roman" w:hAnsi="Times New Roman"/>
          <w:bCs/>
          <w:szCs w:val="24"/>
          <w:lang w:val="sr-Cyrl-BA"/>
        </w:rPr>
        <w:t>спровођењу</w:t>
      </w:r>
      <w:r w:rsidR="008D24A7" w:rsidRPr="00295637">
        <w:rPr>
          <w:rFonts w:ascii="Times New Roman" w:hAnsi="Times New Roman"/>
          <w:bCs/>
          <w:szCs w:val="24"/>
        </w:rPr>
        <w:t xml:space="preserve"> </w:t>
      </w:r>
      <w:r>
        <w:rPr>
          <w:rFonts w:ascii="Times New Roman" w:hAnsi="Times New Roman"/>
          <w:bCs/>
          <w:szCs w:val="24"/>
        </w:rPr>
        <w:t>истрага</w:t>
      </w:r>
      <w:r w:rsidR="008D24A7" w:rsidRPr="00295637">
        <w:rPr>
          <w:rFonts w:ascii="Times New Roman" w:hAnsi="Times New Roman"/>
          <w:bCs/>
          <w:szCs w:val="24"/>
        </w:rPr>
        <w:t xml:space="preserve"> </w:t>
      </w:r>
      <w:r>
        <w:rPr>
          <w:rFonts w:ascii="Times New Roman" w:hAnsi="Times New Roman"/>
          <w:bCs/>
          <w:szCs w:val="24"/>
        </w:rPr>
        <w:t>и</w:t>
      </w:r>
      <w:r w:rsidR="008D24A7" w:rsidRPr="00295637">
        <w:rPr>
          <w:rFonts w:ascii="Times New Roman" w:hAnsi="Times New Roman"/>
          <w:bCs/>
          <w:szCs w:val="24"/>
        </w:rPr>
        <w:t xml:space="preserve"> </w:t>
      </w:r>
      <w:r>
        <w:rPr>
          <w:rFonts w:ascii="Times New Roman" w:hAnsi="Times New Roman"/>
          <w:bCs/>
          <w:szCs w:val="24"/>
        </w:rPr>
        <w:t>предузимању</w:t>
      </w:r>
      <w:r w:rsidR="008D24A7" w:rsidRPr="00295637">
        <w:rPr>
          <w:rFonts w:ascii="Times New Roman" w:hAnsi="Times New Roman"/>
          <w:bCs/>
          <w:szCs w:val="24"/>
        </w:rPr>
        <w:t xml:space="preserve"> </w:t>
      </w:r>
      <w:r>
        <w:rPr>
          <w:rFonts w:ascii="Times New Roman" w:hAnsi="Times New Roman"/>
          <w:bCs/>
          <w:szCs w:val="24"/>
        </w:rPr>
        <w:t>превентивних</w:t>
      </w:r>
      <w:r w:rsidR="008D24A7" w:rsidRPr="00295637">
        <w:rPr>
          <w:rFonts w:ascii="Times New Roman" w:hAnsi="Times New Roman"/>
          <w:bCs/>
          <w:szCs w:val="24"/>
        </w:rPr>
        <w:t xml:space="preserve"> </w:t>
      </w:r>
      <w:r>
        <w:rPr>
          <w:rFonts w:ascii="Times New Roman" w:hAnsi="Times New Roman"/>
          <w:bCs/>
          <w:szCs w:val="24"/>
        </w:rPr>
        <w:t>активности</w:t>
      </w:r>
      <w:r w:rsidR="008D24A7" w:rsidRPr="00295637">
        <w:rPr>
          <w:rFonts w:ascii="Times New Roman" w:hAnsi="Times New Roman"/>
          <w:bCs/>
          <w:szCs w:val="24"/>
        </w:rPr>
        <w:t xml:space="preserve"> </w:t>
      </w:r>
      <w:r>
        <w:rPr>
          <w:rFonts w:ascii="Times New Roman" w:hAnsi="Times New Roman"/>
          <w:bCs/>
          <w:szCs w:val="24"/>
        </w:rPr>
        <w:t>у</w:t>
      </w:r>
      <w:r w:rsidR="008D24A7" w:rsidRPr="00295637">
        <w:rPr>
          <w:rFonts w:ascii="Times New Roman" w:hAnsi="Times New Roman"/>
          <w:bCs/>
          <w:szCs w:val="24"/>
        </w:rPr>
        <w:t xml:space="preserve"> </w:t>
      </w:r>
      <w:r>
        <w:rPr>
          <w:rFonts w:ascii="Times New Roman" w:hAnsi="Times New Roman"/>
          <w:bCs/>
          <w:szCs w:val="24"/>
        </w:rPr>
        <w:t>контексту</w:t>
      </w:r>
      <w:r w:rsidR="008D24A7" w:rsidRPr="00295637">
        <w:rPr>
          <w:rFonts w:ascii="Times New Roman" w:hAnsi="Times New Roman"/>
          <w:bCs/>
          <w:szCs w:val="24"/>
        </w:rPr>
        <w:t xml:space="preserve"> </w:t>
      </w:r>
      <w:r w:rsidR="00C9019F">
        <w:rPr>
          <w:rFonts w:ascii="Times New Roman" w:hAnsi="Times New Roman"/>
          <w:bCs/>
          <w:szCs w:val="24"/>
          <w:lang w:val="sr-Cyrl-BA"/>
        </w:rPr>
        <w:t>безбједносних</w:t>
      </w:r>
      <w:r w:rsidR="008D24A7" w:rsidRPr="00295637">
        <w:rPr>
          <w:rFonts w:ascii="Times New Roman" w:hAnsi="Times New Roman"/>
          <w:bCs/>
          <w:szCs w:val="24"/>
        </w:rPr>
        <w:t xml:space="preserve"> </w:t>
      </w:r>
      <w:r>
        <w:rPr>
          <w:rFonts w:ascii="Times New Roman" w:hAnsi="Times New Roman"/>
          <w:bCs/>
          <w:szCs w:val="24"/>
        </w:rPr>
        <w:t>изазова</w:t>
      </w:r>
      <w:r w:rsidR="008D24A7" w:rsidRPr="00295637">
        <w:rPr>
          <w:rFonts w:ascii="Times New Roman" w:hAnsi="Times New Roman"/>
          <w:bCs/>
          <w:szCs w:val="24"/>
        </w:rPr>
        <w:t xml:space="preserve"> </w:t>
      </w:r>
      <w:r>
        <w:rPr>
          <w:rFonts w:ascii="Times New Roman" w:hAnsi="Times New Roman"/>
          <w:bCs/>
          <w:szCs w:val="24"/>
        </w:rPr>
        <w:t>који</w:t>
      </w:r>
      <w:r w:rsidR="008D24A7" w:rsidRPr="00295637">
        <w:rPr>
          <w:rFonts w:ascii="Times New Roman" w:hAnsi="Times New Roman"/>
          <w:bCs/>
          <w:szCs w:val="24"/>
        </w:rPr>
        <w:t xml:space="preserve"> </w:t>
      </w:r>
      <w:r>
        <w:rPr>
          <w:rFonts w:ascii="Times New Roman" w:hAnsi="Times New Roman"/>
          <w:bCs/>
          <w:szCs w:val="24"/>
        </w:rPr>
        <w:t>прате</w:t>
      </w:r>
      <w:r w:rsidR="008D24A7" w:rsidRPr="00295637">
        <w:rPr>
          <w:rFonts w:ascii="Times New Roman" w:hAnsi="Times New Roman"/>
          <w:bCs/>
          <w:szCs w:val="24"/>
        </w:rPr>
        <w:t xml:space="preserve"> </w:t>
      </w:r>
      <w:r>
        <w:rPr>
          <w:rFonts w:ascii="Times New Roman" w:hAnsi="Times New Roman"/>
          <w:bCs/>
          <w:szCs w:val="24"/>
        </w:rPr>
        <w:t>мјешовите</w:t>
      </w:r>
      <w:r w:rsidR="008D24A7" w:rsidRPr="00295637">
        <w:rPr>
          <w:rFonts w:ascii="Times New Roman" w:hAnsi="Times New Roman"/>
          <w:bCs/>
          <w:szCs w:val="24"/>
        </w:rPr>
        <w:t xml:space="preserve"> </w:t>
      </w:r>
      <w:r>
        <w:rPr>
          <w:rFonts w:ascii="Times New Roman" w:hAnsi="Times New Roman"/>
          <w:bCs/>
          <w:szCs w:val="24"/>
        </w:rPr>
        <w:t>миграције</w:t>
      </w:r>
      <w:r w:rsidR="008D24A7" w:rsidRPr="00295637">
        <w:rPr>
          <w:rFonts w:ascii="Times New Roman" w:hAnsi="Times New Roman"/>
          <w:bCs/>
          <w:szCs w:val="24"/>
        </w:rPr>
        <w:t xml:space="preserve">. </w:t>
      </w:r>
      <w:r>
        <w:rPr>
          <w:rFonts w:ascii="Times New Roman" w:hAnsi="Times New Roman"/>
          <w:bCs/>
          <w:szCs w:val="24"/>
        </w:rPr>
        <w:t>Остварује</w:t>
      </w:r>
      <w:r w:rsidR="008D24A7" w:rsidRPr="00295637">
        <w:rPr>
          <w:rFonts w:ascii="Times New Roman" w:hAnsi="Times New Roman"/>
          <w:bCs/>
          <w:szCs w:val="24"/>
        </w:rPr>
        <w:t xml:space="preserve"> </w:t>
      </w:r>
      <w:r>
        <w:rPr>
          <w:rFonts w:ascii="Times New Roman" w:hAnsi="Times New Roman"/>
          <w:bCs/>
          <w:szCs w:val="24"/>
        </w:rPr>
        <w:t>се</w:t>
      </w:r>
      <w:r w:rsidR="008D24A7" w:rsidRPr="00295637">
        <w:rPr>
          <w:rFonts w:ascii="Times New Roman" w:hAnsi="Times New Roman"/>
          <w:bCs/>
          <w:szCs w:val="24"/>
        </w:rPr>
        <w:t xml:space="preserve"> </w:t>
      </w:r>
      <w:r>
        <w:rPr>
          <w:rFonts w:ascii="Times New Roman" w:hAnsi="Times New Roman"/>
          <w:bCs/>
          <w:szCs w:val="24"/>
        </w:rPr>
        <w:t>међународна</w:t>
      </w:r>
      <w:r w:rsidR="008D24A7" w:rsidRPr="00295637">
        <w:rPr>
          <w:rFonts w:ascii="Times New Roman" w:hAnsi="Times New Roman"/>
          <w:bCs/>
          <w:szCs w:val="24"/>
        </w:rPr>
        <w:t xml:space="preserve"> </w:t>
      </w:r>
      <w:r>
        <w:rPr>
          <w:rFonts w:ascii="Times New Roman" w:hAnsi="Times New Roman"/>
          <w:bCs/>
          <w:szCs w:val="24"/>
        </w:rPr>
        <w:t>оперативна</w:t>
      </w:r>
      <w:r w:rsidR="008D24A7" w:rsidRPr="00295637">
        <w:rPr>
          <w:rFonts w:ascii="Times New Roman" w:hAnsi="Times New Roman"/>
          <w:bCs/>
          <w:szCs w:val="24"/>
        </w:rPr>
        <w:t xml:space="preserve"> </w:t>
      </w:r>
      <w:r>
        <w:rPr>
          <w:rFonts w:ascii="Times New Roman" w:hAnsi="Times New Roman"/>
          <w:bCs/>
          <w:szCs w:val="24"/>
        </w:rPr>
        <w:t>сарадња</w:t>
      </w:r>
      <w:r w:rsidR="008D24A7" w:rsidRPr="00295637">
        <w:rPr>
          <w:rFonts w:ascii="Times New Roman" w:hAnsi="Times New Roman"/>
          <w:bCs/>
          <w:szCs w:val="24"/>
        </w:rPr>
        <w:t xml:space="preserve">, </w:t>
      </w:r>
      <w:r>
        <w:rPr>
          <w:rFonts w:ascii="Times New Roman" w:hAnsi="Times New Roman"/>
          <w:bCs/>
          <w:szCs w:val="24"/>
        </w:rPr>
        <w:t>као</w:t>
      </w:r>
      <w:r w:rsidR="008D24A7" w:rsidRPr="00295637">
        <w:rPr>
          <w:rFonts w:ascii="Times New Roman" w:hAnsi="Times New Roman"/>
          <w:bCs/>
          <w:szCs w:val="24"/>
        </w:rPr>
        <w:t xml:space="preserve"> </w:t>
      </w:r>
      <w:r>
        <w:rPr>
          <w:rFonts w:ascii="Times New Roman" w:hAnsi="Times New Roman"/>
          <w:bCs/>
          <w:szCs w:val="24"/>
        </w:rPr>
        <w:t>и</w:t>
      </w:r>
      <w:r w:rsidR="008D24A7" w:rsidRPr="00295637">
        <w:rPr>
          <w:rFonts w:ascii="Times New Roman" w:hAnsi="Times New Roman"/>
          <w:bCs/>
          <w:szCs w:val="24"/>
        </w:rPr>
        <w:t xml:space="preserve"> </w:t>
      </w:r>
      <w:r>
        <w:rPr>
          <w:rFonts w:ascii="Times New Roman" w:hAnsi="Times New Roman"/>
          <w:bCs/>
          <w:szCs w:val="24"/>
        </w:rPr>
        <w:t>континуирана</w:t>
      </w:r>
      <w:r w:rsidR="008D24A7" w:rsidRPr="00295637">
        <w:rPr>
          <w:rFonts w:ascii="Times New Roman" w:hAnsi="Times New Roman"/>
          <w:bCs/>
          <w:szCs w:val="24"/>
        </w:rPr>
        <w:t xml:space="preserve"> </w:t>
      </w:r>
      <w:r>
        <w:rPr>
          <w:rFonts w:ascii="Times New Roman" w:hAnsi="Times New Roman"/>
          <w:bCs/>
          <w:szCs w:val="24"/>
        </w:rPr>
        <w:t>сарадња</w:t>
      </w:r>
      <w:r w:rsidR="00B575BA">
        <w:rPr>
          <w:rFonts w:ascii="Times New Roman" w:hAnsi="Times New Roman"/>
          <w:bCs/>
          <w:szCs w:val="24"/>
        </w:rPr>
        <w:t xml:space="preserve"> </w:t>
      </w:r>
      <w:r>
        <w:rPr>
          <w:rFonts w:ascii="Times New Roman" w:hAnsi="Times New Roman"/>
          <w:bCs/>
          <w:szCs w:val="24"/>
        </w:rPr>
        <w:t>са</w:t>
      </w:r>
      <w:r w:rsidR="008D24A7" w:rsidRPr="00295637">
        <w:rPr>
          <w:rFonts w:ascii="Times New Roman" w:hAnsi="Times New Roman"/>
          <w:bCs/>
          <w:szCs w:val="24"/>
        </w:rPr>
        <w:t xml:space="preserve"> </w:t>
      </w:r>
      <w:r>
        <w:rPr>
          <w:rFonts w:ascii="Times New Roman" w:hAnsi="Times New Roman"/>
          <w:bCs/>
          <w:szCs w:val="24"/>
        </w:rPr>
        <w:t>невладиним</w:t>
      </w:r>
      <w:r w:rsidR="008D24A7" w:rsidRPr="00295637">
        <w:rPr>
          <w:rFonts w:ascii="Times New Roman" w:hAnsi="Times New Roman"/>
          <w:bCs/>
          <w:szCs w:val="24"/>
        </w:rPr>
        <w:t xml:space="preserve"> </w:t>
      </w:r>
      <w:r>
        <w:rPr>
          <w:rFonts w:ascii="Times New Roman" w:hAnsi="Times New Roman"/>
          <w:bCs/>
          <w:szCs w:val="24"/>
        </w:rPr>
        <w:t>сектором</w:t>
      </w:r>
      <w:r w:rsidR="008D24A7" w:rsidRPr="00295637">
        <w:rPr>
          <w:rFonts w:ascii="Times New Roman" w:hAnsi="Times New Roman"/>
          <w:bCs/>
          <w:szCs w:val="24"/>
        </w:rPr>
        <w:t xml:space="preserve"> </w:t>
      </w:r>
      <w:r>
        <w:rPr>
          <w:rFonts w:ascii="Times New Roman" w:hAnsi="Times New Roman"/>
          <w:bCs/>
          <w:szCs w:val="24"/>
        </w:rPr>
        <w:t>и</w:t>
      </w:r>
      <w:r w:rsidR="008D24A7" w:rsidRPr="00295637">
        <w:rPr>
          <w:rFonts w:ascii="Times New Roman" w:hAnsi="Times New Roman"/>
          <w:bCs/>
          <w:szCs w:val="24"/>
        </w:rPr>
        <w:t xml:space="preserve"> </w:t>
      </w:r>
      <w:r>
        <w:rPr>
          <w:rFonts w:ascii="Times New Roman" w:hAnsi="Times New Roman"/>
          <w:bCs/>
          <w:szCs w:val="24"/>
        </w:rPr>
        <w:t>међународним</w:t>
      </w:r>
      <w:r w:rsidR="008D24A7" w:rsidRPr="00295637">
        <w:rPr>
          <w:rFonts w:ascii="Times New Roman" w:hAnsi="Times New Roman"/>
          <w:bCs/>
          <w:szCs w:val="24"/>
        </w:rPr>
        <w:t xml:space="preserve"> </w:t>
      </w:r>
      <w:r>
        <w:rPr>
          <w:rFonts w:ascii="Times New Roman" w:hAnsi="Times New Roman"/>
          <w:bCs/>
          <w:szCs w:val="24"/>
        </w:rPr>
        <w:t>организацијама</w:t>
      </w:r>
      <w:r w:rsidR="008D24A7" w:rsidRPr="00295637">
        <w:rPr>
          <w:rFonts w:ascii="Times New Roman" w:hAnsi="Times New Roman"/>
          <w:bCs/>
          <w:szCs w:val="24"/>
        </w:rPr>
        <w:t xml:space="preserve"> </w:t>
      </w:r>
      <w:r>
        <w:rPr>
          <w:rFonts w:ascii="Times New Roman" w:hAnsi="Times New Roman"/>
          <w:bCs/>
          <w:szCs w:val="24"/>
        </w:rPr>
        <w:t>у</w:t>
      </w:r>
      <w:r w:rsidR="008D24A7" w:rsidRPr="00295637">
        <w:rPr>
          <w:rFonts w:ascii="Times New Roman" w:hAnsi="Times New Roman"/>
          <w:bCs/>
          <w:szCs w:val="24"/>
        </w:rPr>
        <w:t xml:space="preserve"> </w:t>
      </w:r>
      <w:r>
        <w:rPr>
          <w:rFonts w:ascii="Times New Roman" w:hAnsi="Times New Roman"/>
          <w:bCs/>
          <w:szCs w:val="24"/>
        </w:rPr>
        <w:t>прихватним</w:t>
      </w:r>
      <w:r w:rsidR="008D24A7" w:rsidRPr="00295637">
        <w:rPr>
          <w:rFonts w:ascii="Times New Roman" w:hAnsi="Times New Roman"/>
          <w:bCs/>
          <w:szCs w:val="24"/>
        </w:rPr>
        <w:t xml:space="preserve"> </w:t>
      </w:r>
      <w:r>
        <w:rPr>
          <w:rFonts w:ascii="Times New Roman" w:hAnsi="Times New Roman"/>
          <w:bCs/>
          <w:szCs w:val="24"/>
        </w:rPr>
        <w:t>миграци</w:t>
      </w:r>
      <w:r w:rsidR="00C9019F">
        <w:rPr>
          <w:rFonts w:ascii="Times New Roman" w:hAnsi="Times New Roman"/>
          <w:bCs/>
          <w:szCs w:val="24"/>
          <w:lang w:val="sr-Cyrl-BA"/>
        </w:rPr>
        <w:t>оним</w:t>
      </w:r>
      <w:r w:rsidR="008D24A7" w:rsidRPr="00295637">
        <w:rPr>
          <w:rFonts w:ascii="Times New Roman" w:hAnsi="Times New Roman"/>
          <w:bCs/>
          <w:szCs w:val="24"/>
        </w:rPr>
        <w:t xml:space="preserve"> </w:t>
      </w:r>
      <w:r>
        <w:rPr>
          <w:rFonts w:ascii="Times New Roman" w:hAnsi="Times New Roman"/>
          <w:bCs/>
          <w:szCs w:val="24"/>
        </w:rPr>
        <w:t>центрима</w:t>
      </w:r>
      <w:r w:rsidR="008D24A7" w:rsidRPr="00295637">
        <w:rPr>
          <w:rFonts w:ascii="Times New Roman" w:hAnsi="Times New Roman"/>
          <w:bCs/>
          <w:szCs w:val="24"/>
        </w:rPr>
        <w:t xml:space="preserve">, </w:t>
      </w:r>
      <w:r>
        <w:rPr>
          <w:rFonts w:ascii="Times New Roman" w:hAnsi="Times New Roman"/>
          <w:bCs/>
          <w:szCs w:val="24"/>
        </w:rPr>
        <w:t>у</w:t>
      </w:r>
      <w:r w:rsidR="008D24A7" w:rsidRPr="00295637">
        <w:rPr>
          <w:rFonts w:ascii="Times New Roman" w:hAnsi="Times New Roman"/>
          <w:bCs/>
          <w:szCs w:val="24"/>
        </w:rPr>
        <w:t xml:space="preserve"> </w:t>
      </w:r>
      <w:r>
        <w:rPr>
          <w:rFonts w:ascii="Times New Roman" w:hAnsi="Times New Roman"/>
          <w:bCs/>
          <w:szCs w:val="24"/>
        </w:rPr>
        <w:t>којима</w:t>
      </w:r>
      <w:r w:rsidR="008D24A7" w:rsidRPr="00295637">
        <w:rPr>
          <w:rFonts w:ascii="Times New Roman" w:hAnsi="Times New Roman"/>
          <w:bCs/>
          <w:szCs w:val="24"/>
        </w:rPr>
        <w:t xml:space="preserve"> </w:t>
      </w:r>
      <w:r>
        <w:rPr>
          <w:rFonts w:ascii="Times New Roman" w:hAnsi="Times New Roman"/>
          <w:bCs/>
          <w:szCs w:val="24"/>
        </w:rPr>
        <w:t>су</w:t>
      </w:r>
      <w:r w:rsidR="008D24A7" w:rsidRPr="00295637">
        <w:rPr>
          <w:rFonts w:ascii="Times New Roman" w:hAnsi="Times New Roman"/>
          <w:bCs/>
          <w:szCs w:val="24"/>
        </w:rPr>
        <w:t xml:space="preserve"> </w:t>
      </w:r>
      <w:r>
        <w:rPr>
          <w:rFonts w:ascii="Times New Roman" w:hAnsi="Times New Roman"/>
          <w:bCs/>
          <w:szCs w:val="24"/>
        </w:rPr>
        <w:t>смјештене</w:t>
      </w:r>
      <w:r w:rsidR="008D24A7" w:rsidRPr="00295637">
        <w:rPr>
          <w:rFonts w:ascii="Times New Roman" w:hAnsi="Times New Roman"/>
          <w:bCs/>
          <w:szCs w:val="24"/>
        </w:rPr>
        <w:t xml:space="preserve"> </w:t>
      </w:r>
      <w:r>
        <w:rPr>
          <w:rFonts w:ascii="Times New Roman" w:hAnsi="Times New Roman"/>
          <w:bCs/>
          <w:szCs w:val="24"/>
        </w:rPr>
        <w:t>породице</w:t>
      </w:r>
      <w:r w:rsidR="00B575BA">
        <w:rPr>
          <w:rFonts w:ascii="Times New Roman" w:hAnsi="Times New Roman"/>
          <w:bCs/>
          <w:szCs w:val="24"/>
        </w:rPr>
        <w:t xml:space="preserve"> </w:t>
      </w:r>
      <w:r>
        <w:rPr>
          <w:rFonts w:ascii="Times New Roman" w:hAnsi="Times New Roman"/>
          <w:bCs/>
          <w:szCs w:val="24"/>
        </w:rPr>
        <w:t>са</w:t>
      </w:r>
      <w:r w:rsidR="008D24A7" w:rsidRPr="00295637">
        <w:rPr>
          <w:rFonts w:ascii="Times New Roman" w:hAnsi="Times New Roman"/>
          <w:bCs/>
          <w:szCs w:val="24"/>
        </w:rPr>
        <w:t xml:space="preserve"> </w:t>
      </w:r>
      <w:r>
        <w:rPr>
          <w:rFonts w:ascii="Times New Roman" w:hAnsi="Times New Roman"/>
          <w:bCs/>
          <w:szCs w:val="24"/>
        </w:rPr>
        <w:t>дјецом</w:t>
      </w:r>
      <w:r w:rsidR="008D24A7" w:rsidRPr="00295637">
        <w:rPr>
          <w:rFonts w:ascii="Times New Roman" w:hAnsi="Times New Roman"/>
          <w:bCs/>
          <w:szCs w:val="24"/>
        </w:rPr>
        <w:t xml:space="preserve">, </w:t>
      </w:r>
      <w:r w:rsidR="00C9019F">
        <w:rPr>
          <w:rFonts w:ascii="Times New Roman" w:hAnsi="Times New Roman"/>
          <w:bCs/>
          <w:szCs w:val="24"/>
          <w:lang w:val="sr-Cyrl-BA"/>
        </w:rPr>
        <w:t>с</w:t>
      </w:r>
      <w:r w:rsidR="008D24A7" w:rsidRPr="00295637">
        <w:rPr>
          <w:rFonts w:ascii="Times New Roman" w:hAnsi="Times New Roman"/>
          <w:bCs/>
          <w:szCs w:val="24"/>
        </w:rPr>
        <w:t xml:space="preserve"> </w:t>
      </w:r>
      <w:r>
        <w:rPr>
          <w:rFonts w:ascii="Times New Roman" w:hAnsi="Times New Roman"/>
          <w:bCs/>
          <w:szCs w:val="24"/>
        </w:rPr>
        <w:t>циљ</w:t>
      </w:r>
      <w:r w:rsidR="00C9019F">
        <w:rPr>
          <w:rFonts w:ascii="Times New Roman" w:hAnsi="Times New Roman"/>
          <w:bCs/>
          <w:szCs w:val="24"/>
          <w:lang w:val="sr-Cyrl-BA"/>
        </w:rPr>
        <w:t>ем</w:t>
      </w:r>
      <w:r w:rsidR="008D24A7" w:rsidRPr="00295637">
        <w:rPr>
          <w:rFonts w:ascii="Times New Roman" w:hAnsi="Times New Roman"/>
          <w:bCs/>
          <w:szCs w:val="24"/>
        </w:rPr>
        <w:t xml:space="preserve"> </w:t>
      </w:r>
      <w:r>
        <w:rPr>
          <w:rFonts w:ascii="Times New Roman" w:hAnsi="Times New Roman"/>
          <w:bCs/>
          <w:szCs w:val="24"/>
        </w:rPr>
        <w:t>јачања</w:t>
      </w:r>
      <w:r w:rsidR="008D24A7" w:rsidRPr="00295637">
        <w:rPr>
          <w:rFonts w:ascii="Times New Roman" w:hAnsi="Times New Roman"/>
          <w:bCs/>
          <w:szCs w:val="24"/>
        </w:rPr>
        <w:t xml:space="preserve"> </w:t>
      </w:r>
      <w:r>
        <w:rPr>
          <w:rFonts w:ascii="Times New Roman" w:hAnsi="Times New Roman"/>
          <w:bCs/>
          <w:szCs w:val="24"/>
        </w:rPr>
        <w:t>повјерења</w:t>
      </w:r>
      <w:r w:rsidR="008D24A7" w:rsidRPr="00295637">
        <w:rPr>
          <w:rFonts w:ascii="Times New Roman" w:hAnsi="Times New Roman"/>
          <w:bCs/>
          <w:szCs w:val="24"/>
        </w:rPr>
        <w:t xml:space="preserve"> </w:t>
      </w:r>
      <w:r>
        <w:rPr>
          <w:rFonts w:ascii="Times New Roman" w:hAnsi="Times New Roman"/>
          <w:bCs/>
          <w:szCs w:val="24"/>
        </w:rPr>
        <w:t>евентуалних</w:t>
      </w:r>
      <w:r w:rsidR="008D24A7" w:rsidRPr="00295637">
        <w:rPr>
          <w:rFonts w:ascii="Times New Roman" w:hAnsi="Times New Roman"/>
          <w:bCs/>
          <w:szCs w:val="24"/>
        </w:rPr>
        <w:t xml:space="preserve"> </w:t>
      </w:r>
      <w:r>
        <w:rPr>
          <w:rFonts w:ascii="Times New Roman" w:hAnsi="Times New Roman"/>
          <w:bCs/>
          <w:szCs w:val="24"/>
        </w:rPr>
        <w:t>жртава</w:t>
      </w:r>
      <w:r w:rsidR="008D24A7" w:rsidRPr="00295637">
        <w:rPr>
          <w:rFonts w:ascii="Times New Roman" w:hAnsi="Times New Roman"/>
          <w:bCs/>
          <w:szCs w:val="24"/>
        </w:rPr>
        <w:t xml:space="preserve"> </w:t>
      </w:r>
      <w:r>
        <w:rPr>
          <w:rFonts w:ascii="Times New Roman" w:hAnsi="Times New Roman"/>
          <w:bCs/>
          <w:szCs w:val="24"/>
        </w:rPr>
        <w:t>у</w:t>
      </w:r>
      <w:r w:rsidR="008D24A7" w:rsidRPr="00295637">
        <w:rPr>
          <w:rFonts w:ascii="Times New Roman" w:hAnsi="Times New Roman"/>
          <w:bCs/>
          <w:szCs w:val="24"/>
        </w:rPr>
        <w:t xml:space="preserve"> </w:t>
      </w:r>
      <w:r>
        <w:rPr>
          <w:rFonts w:ascii="Times New Roman" w:hAnsi="Times New Roman"/>
          <w:bCs/>
          <w:szCs w:val="24"/>
        </w:rPr>
        <w:t>агенције</w:t>
      </w:r>
      <w:r w:rsidR="008D24A7" w:rsidRPr="00295637">
        <w:rPr>
          <w:rFonts w:ascii="Times New Roman" w:hAnsi="Times New Roman"/>
          <w:bCs/>
          <w:szCs w:val="24"/>
        </w:rPr>
        <w:t xml:space="preserve"> </w:t>
      </w:r>
      <w:r>
        <w:rPr>
          <w:rFonts w:ascii="Times New Roman" w:hAnsi="Times New Roman"/>
          <w:bCs/>
          <w:szCs w:val="24"/>
        </w:rPr>
        <w:t>за</w:t>
      </w:r>
      <w:r w:rsidR="008D24A7" w:rsidRPr="00295637">
        <w:rPr>
          <w:rFonts w:ascii="Times New Roman" w:hAnsi="Times New Roman"/>
          <w:bCs/>
          <w:szCs w:val="24"/>
        </w:rPr>
        <w:t xml:space="preserve"> </w:t>
      </w:r>
      <w:r w:rsidR="00C9019F">
        <w:rPr>
          <w:rFonts w:ascii="Times New Roman" w:hAnsi="Times New Roman"/>
          <w:bCs/>
          <w:szCs w:val="24"/>
          <w:lang w:val="sr-Cyrl-BA"/>
        </w:rPr>
        <w:t>спровођење</w:t>
      </w:r>
      <w:r w:rsidR="008D24A7" w:rsidRPr="00295637">
        <w:rPr>
          <w:rFonts w:ascii="Times New Roman" w:hAnsi="Times New Roman"/>
          <w:bCs/>
          <w:szCs w:val="24"/>
        </w:rPr>
        <w:t xml:space="preserve"> </w:t>
      </w:r>
      <w:r>
        <w:rPr>
          <w:rFonts w:ascii="Times New Roman" w:hAnsi="Times New Roman"/>
          <w:bCs/>
          <w:szCs w:val="24"/>
        </w:rPr>
        <w:t>закона</w:t>
      </w:r>
      <w:r w:rsidR="008D24A7" w:rsidRPr="00295637">
        <w:rPr>
          <w:rFonts w:ascii="Times New Roman" w:hAnsi="Times New Roman"/>
          <w:bCs/>
          <w:szCs w:val="24"/>
        </w:rPr>
        <w:t>.</w:t>
      </w:r>
    </w:p>
    <w:p w:rsidR="00DD46D1" w:rsidRPr="00295637" w:rsidRDefault="00DD46D1" w:rsidP="0086268D">
      <w:pPr>
        <w:jc w:val="both"/>
        <w:rPr>
          <w:rFonts w:ascii="Times New Roman" w:hAnsi="Times New Roman"/>
          <w:szCs w:val="24"/>
        </w:rPr>
      </w:pPr>
    </w:p>
    <w:p w:rsidR="00D772C9" w:rsidRPr="00295637" w:rsidRDefault="00C6214E" w:rsidP="0086268D">
      <w:pPr>
        <w:jc w:val="both"/>
        <w:rPr>
          <w:rFonts w:ascii="Times New Roman" w:hAnsi="Times New Roman"/>
          <w:szCs w:val="24"/>
        </w:rPr>
      </w:pPr>
      <w:r>
        <w:rPr>
          <w:rFonts w:ascii="Times New Roman" w:hAnsi="Times New Roman"/>
          <w:szCs w:val="24"/>
        </w:rPr>
        <w:t>У</w:t>
      </w:r>
      <w:r w:rsidR="000D5CC8" w:rsidRPr="00295637">
        <w:rPr>
          <w:rFonts w:ascii="Times New Roman" w:hAnsi="Times New Roman"/>
          <w:szCs w:val="24"/>
        </w:rPr>
        <w:t xml:space="preserve"> </w:t>
      </w:r>
      <w:r>
        <w:rPr>
          <w:rFonts w:ascii="Times New Roman" w:hAnsi="Times New Roman"/>
          <w:szCs w:val="24"/>
        </w:rPr>
        <w:t>извјештајном</w:t>
      </w:r>
      <w:r w:rsidR="000D5CC8" w:rsidRPr="00295637">
        <w:rPr>
          <w:rFonts w:ascii="Times New Roman" w:hAnsi="Times New Roman"/>
          <w:szCs w:val="24"/>
        </w:rPr>
        <w:t xml:space="preserve"> </w:t>
      </w:r>
      <w:r>
        <w:rPr>
          <w:rFonts w:ascii="Times New Roman" w:hAnsi="Times New Roman"/>
          <w:szCs w:val="24"/>
        </w:rPr>
        <w:t>периоду</w:t>
      </w:r>
      <w:r w:rsidR="000D5CC8" w:rsidRPr="00295637">
        <w:rPr>
          <w:rFonts w:ascii="Times New Roman" w:hAnsi="Times New Roman"/>
          <w:szCs w:val="24"/>
        </w:rPr>
        <w:t xml:space="preserve"> </w:t>
      </w:r>
      <w:r>
        <w:rPr>
          <w:rFonts w:ascii="Times New Roman" w:hAnsi="Times New Roman"/>
          <w:szCs w:val="24"/>
        </w:rPr>
        <w:t>отворена</w:t>
      </w:r>
      <w:r w:rsidR="000D5CC8" w:rsidRPr="00295637">
        <w:rPr>
          <w:rFonts w:ascii="Times New Roman" w:hAnsi="Times New Roman"/>
          <w:szCs w:val="24"/>
        </w:rPr>
        <w:t xml:space="preserve"> </w:t>
      </w:r>
      <w:r>
        <w:rPr>
          <w:rFonts w:ascii="Times New Roman" w:hAnsi="Times New Roman"/>
          <w:szCs w:val="24"/>
        </w:rPr>
        <w:t>је</w:t>
      </w:r>
      <w:r w:rsidR="000D5CC8" w:rsidRPr="00295637">
        <w:rPr>
          <w:rFonts w:ascii="Times New Roman" w:hAnsi="Times New Roman"/>
          <w:szCs w:val="24"/>
        </w:rPr>
        <w:t xml:space="preserve"> „</w:t>
      </w:r>
      <w:r>
        <w:rPr>
          <w:rFonts w:ascii="Times New Roman" w:hAnsi="Times New Roman"/>
          <w:szCs w:val="24"/>
        </w:rPr>
        <w:t>сигурна</w:t>
      </w:r>
      <w:r w:rsidR="000D5CC8" w:rsidRPr="00295637">
        <w:rPr>
          <w:rFonts w:ascii="Times New Roman" w:hAnsi="Times New Roman"/>
          <w:szCs w:val="24"/>
        </w:rPr>
        <w:t xml:space="preserve"> </w:t>
      </w:r>
      <w:r>
        <w:rPr>
          <w:rFonts w:ascii="Times New Roman" w:hAnsi="Times New Roman"/>
          <w:szCs w:val="24"/>
        </w:rPr>
        <w:t>кућа</w:t>
      </w:r>
      <w:r w:rsidR="000D5CC8" w:rsidRPr="00295637">
        <w:rPr>
          <w:rFonts w:ascii="Times New Roman" w:hAnsi="Times New Roman"/>
          <w:szCs w:val="24"/>
        </w:rPr>
        <w:t xml:space="preserve">“ </w:t>
      </w:r>
      <w:r>
        <w:rPr>
          <w:rFonts w:ascii="Times New Roman" w:hAnsi="Times New Roman"/>
          <w:szCs w:val="24"/>
        </w:rPr>
        <w:t>за</w:t>
      </w:r>
      <w:r w:rsidR="000D5CC8" w:rsidRPr="00295637">
        <w:rPr>
          <w:rFonts w:ascii="Times New Roman" w:hAnsi="Times New Roman"/>
          <w:szCs w:val="24"/>
        </w:rPr>
        <w:t xml:space="preserve"> </w:t>
      </w:r>
      <w:r>
        <w:rPr>
          <w:rFonts w:ascii="Times New Roman" w:hAnsi="Times New Roman"/>
          <w:szCs w:val="24"/>
        </w:rPr>
        <w:t>прихват</w:t>
      </w:r>
      <w:r w:rsidR="000D5CC8" w:rsidRPr="00295637">
        <w:rPr>
          <w:rFonts w:ascii="Times New Roman" w:hAnsi="Times New Roman"/>
          <w:szCs w:val="24"/>
        </w:rPr>
        <w:t xml:space="preserve"> </w:t>
      </w:r>
      <w:r>
        <w:rPr>
          <w:rFonts w:ascii="Times New Roman" w:hAnsi="Times New Roman"/>
          <w:szCs w:val="24"/>
        </w:rPr>
        <w:t>малољетника</w:t>
      </w:r>
      <w:r w:rsidR="000D5CC8" w:rsidRPr="00295637">
        <w:rPr>
          <w:rFonts w:ascii="Times New Roman" w:hAnsi="Times New Roman"/>
          <w:szCs w:val="24"/>
        </w:rPr>
        <w:t xml:space="preserve"> </w:t>
      </w:r>
      <w:r>
        <w:rPr>
          <w:rFonts w:ascii="Times New Roman" w:hAnsi="Times New Roman"/>
          <w:szCs w:val="24"/>
        </w:rPr>
        <w:t>без</w:t>
      </w:r>
      <w:r w:rsidR="000D5CC8" w:rsidRPr="00295637">
        <w:rPr>
          <w:rFonts w:ascii="Times New Roman" w:hAnsi="Times New Roman"/>
          <w:szCs w:val="24"/>
        </w:rPr>
        <w:t xml:space="preserve"> </w:t>
      </w:r>
      <w:r>
        <w:rPr>
          <w:rFonts w:ascii="Times New Roman" w:hAnsi="Times New Roman"/>
          <w:szCs w:val="24"/>
        </w:rPr>
        <w:t>пратње</w:t>
      </w:r>
      <w:r w:rsidR="000D5CC8" w:rsidRPr="00295637">
        <w:rPr>
          <w:rFonts w:ascii="Times New Roman" w:hAnsi="Times New Roman"/>
          <w:szCs w:val="24"/>
        </w:rPr>
        <w:t xml:space="preserve"> – </w:t>
      </w:r>
      <w:r>
        <w:rPr>
          <w:rFonts w:ascii="Times New Roman" w:hAnsi="Times New Roman"/>
          <w:szCs w:val="24"/>
        </w:rPr>
        <w:t>тражилаца</w:t>
      </w:r>
      <w:r w:rsidR="000D5CC8" w:rsidRPr="00295637">
        <w:rPr>
          <w:rFonts w:ascii="Times New Roman" w:hAnsi="Times New Roman"/>
          <w:szCs w:val="24"/>
        </w:rPr>
        <w:t xml:space="preserve"> </w:t>
      </w:r>
      <w:r>
        <w:rPr>
          <w:rFonts w:ascii="Times New Roman" w:hAnsi="Times New Roman"/>
          <w:szCs w:val="24"/>
        </w:rPr>
        <w:t>азила</w:t>
      </w:r>
      <w:r w:rsidR="00F86A60" w:rsidRPr="00295637">
        <w:rPr>
          <w:rFonts w:ascii="Times New Roman" w:hAnsi="Times New Roman"/>
          <w:szCs w:val="24"/>
        </w:rPr>
        <w:t xml:space="preserve"> </w:t>
      </w:r>
      <w:r>
        <w:rPr>
          <w:rFonts w:ascii="Times New Roman" w:hAnsi="Times New Roman"/>
          <w:szCs w:val="24"/>
        </w:rPr>
        <w:t>у</w:t>
      </w:r>
      <w:r w:rsidR="009E54A2" w:rsidRPr="00295637">
        <w:rPr>
          <w:rFonts w:ascii="Times New Roman" w:hAnsi="Times New Roman"/>
          <w:szCs w:val="24"/>
        </w:rPr>
        <w:t xml:space="preserve"> </w:t>
      </w:r>
      <w:r>
        <w:rPr>
          <w:rFonts w:ascii="Times New Roman" w:hAnsi="Times New Roman"/>
          <w:szCs w:val="24"/>
        </w:rPr>
        <w:t>Бихаћу</w:t>
      </w:r>
      <w:r w:rsidR="000D5CC8" w:rsidRPr="00295637">
        <w:rPr>
          <w:rFonts w:ascii="Times New Roman" w:hAnsi="Times New Roman"/>
          <w:szCs w:val="24"/>
        </w:rPr>
        <w:t xml:space="preserve">, </w:t>
      </w:r>
      <w:r>
        <w:rPr>
          <w:rFonts w:ascii="Times New Roman" w:hAnsi="Times New Roman"/>
          <w:szCs w:val="24"/>
        </w:rPr>
        <w:t>тако</w:t>
      </w:r>
      <w:r w:rsidR="00F86A60" w:rsidRPr="00295637">
        <w:rPr>
          <w:rFonts w:ascii="Times New Roman" w:hAnsi="Times New Roman"/>
          <w:szCs w:val="24"/>
        </w:rPr>
        <w:t xml:space="preserve"> </w:t>
      </w:r>
      <w:r>
        <w:rPr>
          <w:rFonts w:ascii="Times New Roman" w:hAnsi="Times New Roman"/>
          <w:szCs w:val="24"/>
        </w:rPr>
        <w:t>да</w:t>
      </w:r>
      <w:r w:rsidR="00D772C9" w:rsidRPr="00295637">
        <w:rPr>
          <w:rFonts w:ascii="Times New Roman" w:hAnsi="Times New Roman"/>
          <w:szCs w:val="24"/>
        </w:rPr>
        <w:t>,</w:t>
      </w:r>
      <w:r w:rsidR="000D5CC8" w:rsidRPr="00295637">
        <w:rPr>
          <w:rFonts w:ascii="Times New Roman" w:hAnsi="Times New Roman"/>
          <w:szCs w:val="24"/>
        </w:rPr>
        <w:t xml:space="preserve"> </w:t>
      </w:r>
      <w:r>
        <w:rPr>
          <w:rFonts w:ascii="Times New Roman" w:hAnsi="Times New Roman"/>
          <w:szCs w:val="24"/>
        </w:rPr>
        <w:t>уз</w:t>
      </w:r>
      <w:r w:rsidR="000D5CC8" w:rsidRPr="00295637">
        <w:rPr>
          <w:rFonts w:ascii="Times New Roman" w:hAnsi="Times New Roman"/>
          <w:szCs w:val="24"/>
        </w:rPr>
        <w:t xml:space="preserve"> „</w:t>
      </w:r>
      <w:r>
        <w:rPr>
          <w:rFonts w:ascii="Times New Roman" w:hAnsi="Times New Roman"/>
          <w:szCs w:val="24"/>
        </w:rPr>
        <w:t>сигурну</w:t>
      </w:r>
      <w:r w:rsidR="000D5CC8" w:rsidRPr="00295637">
        <w:rPr>
          <w:rFonts w:ascii="Times New Roman" w:hAnsi="Times New Roman"/>
          <w:szCs w:val="24"/>
        </w:rPr>
        <w:t xml:space="preserve"> </w:t>
      </w:r>
      <w:r>
        <w:rPr>
          <w:rFonts w:ascii="Times New Roman" w:hAnsi="Times New Roman"/>
          <w:szCs w:val="24"/>
        </w:rPr>
        <w:t>кућу</w:t>
      </w:r>
      <w:r w:rsidR="000D5CC8" w:rsidRPr="00295637">
        <w:rPr>
          <w:rFonts w:ascii="Times New Roman" w:hAnsi="Times New Roman"/>
          <w:szCs w:val="24"/>
        </w:rPr>
        <w:t xml:space="preserve">“ </w:t>
      </w:r>
      <w:r>
        <w:rPr>
          <w:rFonts w:ascii="Times New Roman" w:hAnsi="Times New Roman"/>
          <w:szCs w:val="24"/>
        </w:rPr>
        <w:t>у</w:t>
      </w:r>
      <w:r w:rsidR="000D5CC8" w:rsidRPr="00295637">
        <w:rPr>
          <w:rFonts w:ascii="Times New Roman" w:hAnsi="Times New Roman"/>
          <w:szCs w:val="24"/>
        </w:rPr>
        <w:t xml:space="preserve"> </w:t>
      </w:r>
      <w:r>
        <w:rPr>
          <w:rFonts w:ascii="Times New Roman" w:hAnsi="Times New Roman"/>
          <w:szCs w:val="24"/>
        </w:rPr>
        <w:t>Сарајеву</w:t>
      </w:r>
      <w:r w:rsidR="00D772C9" w:rsidRPr="00295637">
        <w:rPr>
          <w:rFonts w:ascii="Times New Roman" w:hAnsi="Times New Roman"/>
          <w:szCs w:val="24"/>
        </w:rPr>
        <w:t>,</w:t>
      </w:r>
      <w:r w:rsidR="000D5CC8" w:rsidRPr="00295637">
        <w:rPr>
          <w:rFonts w:ascii="Times New Roman" w:hAnsi="Times New Roman"/>
          <w:szCs w:val="24"/>
        </w:rPr>
        <w:t xml:space="preserve"> </w:t>
      </w:r>
      <w:r>
        <w:rPr>
          <w:rFonts w:ascii="Times New Roman" w:hAnsi="Times New Roman"/>
          <w:szCs w:val="24"/>
        </w:rPr>
        <w:t>сада</w:t>
      </w:r>
      <w:r w:rsidR="000D5CC8" w:rsidRPr="00295637">
        <w:rPr>
          <w:rFonts w:ascii="Times New Roman" w:hAnsi="Times New Roman"/>
          <w:szCs w:val="24"/>
        </w:rPr>
        <w:t xml:space="preserve"> </w:t>
      </w:r>
      <w:r>
        <w:rPr>
          <w:rFonts w:ascii="Times New Roman" w:hAnsi="Times New Roman"/>
          <w:szCs w:val="24"/>
        </w:rPr>
        <w:t>имамо</w:t>
      </w:r>
      <w:r w:rsidR="000D5CC8" w:rsidRPr="00295637">
        <w:rPr>
          <w:rFonts w:ascii="Times New Roman" w:hAnsi="Times New Roman"/>
          <w:szCs w:val="24"/>
        </w:rPr>
        <w:t xml:space="preserve"> </w:t>
      </w:r>
      <w:r>
        <w:rPr>
          <w:rFonts w:ascii="Times New Roman" w:hAnsi="Times New Roman"/>
          <w:szCs w:val="24"/>
        </w:rPr>
        <w:t>два</w:t>
      </w:r>
      <w:r w:rsidR="000D5CC8" w:rsidRPr="00295637">
        <w:rPr>
          <w:rFonts w:ascii="Times New Roman" w:hAnsi="Times New Roman"/>
          <w:szCs w:val="24"/>
        </w:rPr>
        <w:t xml:space="preserve"> </w:t>
      </w:r>
      <w:r>
        <w:rPr>
          <w:rFonts w:ascii="Times New Roman" w:hAnsi="Times New Roman"/>
          <w:szCs w:val="24"/>
        </w:rPr>
        <w:t>оваква</w:t>
      </w:r>
      <w:r w:rsidR="000D5CC8" w:rsidRPr="00295637">
        <w:rPr>
          <w:rFonts w:ascii="Times New Roman" w:hAnsi="Times New Roman"/>
          <w:szCs w:val="24"/>
        </w:rPr>
        <w:t xml:space="preserve"> </w:t>
      </w:r>
      <w:r>
        <w:rPr>
          <w:rFonts w:ascii="Times New Roman" w:hAnsi="Times New Roman"/>
          <w:szCs w:val="24"/>
        </w:rPr>
        <w:t>центра</w:t>
      </w:r>
      <w:r w:rsidR="000D5CC8" w:rsidRPr="00295637">
        <w:rPr>
          <w:rFonts w:ascii="Times New Roman" w:hAnsi="Times New Roman"/>
          <w:szCs w:val="24"/>
        </w:rPr>
        <w:t xml:space="preserve"> </w:t>
      </w:r>
      <w:r>
        <w:rPr>
          <w:rFonts w:ascii="Times New Roman" w:hAnsi="Times New Roman"/>
          <w:szCs w:val="24"/>
        </w:rPr>
        <w:t>за</w:t>
      </w:r>
      <w:r w:rsidR="008A2D61" w:rsidRPr="00295637">
        <w:rPr>
          <w:rFonts w:ascii="Times New Roman" w:hAnsi="Times New Roman"/>
          <w:szCs w:val="24"/>
        </w:rPr>
        <w:t xml:space="preserve"> </w:t>
      </w:r>
      <w:r>
        <w:rPr>
          <w:rFonts w:ascii="Times New Roman" w:hAnsi="Times New Roman"/>
          <w:szCs w:val="24"/>
        </w:rPr>
        <w:t>прихват</w:t>
      </w:r>
      <w:r w:rsidR="008A2D61" w:rsidRPr="00295637">
        <w:rPr>
          <w:rFonts w:ascii="Times New Roman" w:hAnsi="Times New Roman"/>
          <w:szCs w:val="24"/>
        </w:rPr>
        <w:t xml:space="preserve"> </w:t>
      </w:r>
      <w:r>
        <w:rPr>
          <w:rFonts w:ascii="Times New Roman" w:hAnsi="Times New Roman"/>
          <w:szCs w:val="24"/>
        </w:rPr>
        <w:t>и</w:t>
      </w:r>
      <w:r w:rsidR="008A2D61" w:rsidRPr="00295637">
        <w:rPr>
          <w:rFonts w:ascii="Times New Roman" w:hAnsi="Times New Roman"/>
          <w:szCs w:val="24"/>
        </w:rPr>
        <w:t xml:space="preserve"> </w:t>
      </w:r>
      <w:r>
        <w:rPr>
          <w:rFonts w:ascii="Times New Roman" w:hAnsi="Times New Roman"/>
          <w:szCs w:val="24"/>
        </w:rPr>
        <w:t>заштиту</w:t>
      </w:r>
      <w:r w:rsidR="000D5CC8" w:rsidRPr="00295637">
        <w:rPr>
          <w:rFonts w:ascii="Times New Roman" w:hAnsi="Times New Roman"/>
          <w:szCs w:val="24"/>
        </w:rPr>
        <w:t xml:space="preserve"> </w:t>
      </w:r>
      <w:r>
        <w:rPr>
          <w:rFonts w:ascii="Times New Roman" w:hAnsi="Times New Roman"/>
          <w:szCs w:val="24"/>
        </w:rPr>
        <w:t>најугроженије</w:t>
      </w:r>
      <w:r w:rsidR="000D5CC8" w:rsidRPr="00295637">
        <w:rPr>
          <w:rFonts w:ascii="Times New Roman" w:hAnsi="Times New Roman"/>
          <w:szCs w:val="24"/>
        </w:rPr>
        <w:t xml:space="preserve"> </w:t>
      </w:r>
      <w:r>
        <w:rPr>
          <w:rFonts w:ascii="Times New Roman" w:hAnsi="Times New Roman"/>
          <w:szCs w:val="24"/>
        </w:rPr>
        <w:t>категорије</w:t>
      </w:r>
      <w:r w:rsidR="000D5CC8" w:rsidRPr="00295637">
        <w:rPr>
          <w:rFonts w:ascii="Times New Roman" w:hAnsi="Times New Roman"/>
          <w:szCs w:val="24"/>
        </w:rPr>
        <w:t xml:space="preserve"> </w:t>
      </w:r>
      <w:r>
        <w:rPr>
          <w:rFonts w:ascii="Times New Roman" w:hAnsi="Times New Roman"/>
          <w:szCs w:val="24"/>
        </w:rPr>
        <w:t>миграната</w:t>
      </w:r>
      <w:r w:rsidR="000D5CC8" w:rsidRPr="00295637">
        <w:rPr>
          <w:rFonts w:ascii="Times New Roman" w:hAnsi="Times New Roman"/>
          <w:szCs w:val="24"/>
        </w:rPr>
        <w:t xml:space="preserve"> </w:t>
      </w:r>
      <w:r>
        <w:rPr>
          <w:rFonts w:ascii="Times New Roman" w:hAnsi="Times New Roman"/>
          <w:szCs w:val="24"/>
        </w:rPr>
        <w:t>у</w:t>
      </w:r>
      <w:r w:rsidR="008D6F09">
        <w:rPr>
          <w:rFonts w:ascii="Times New Roman" w:hAnsi="Times New Roman"/>
          <w:szCs w:val="24"/>
        </w:rPr>
        <w:t xml:space="preserve"> </w:t>
      </w:r>
      <w:r>
        <w:rPr>
          <w:rFonts w:ascii="Times New Roman" w:hAnsi="Times New Roman"/>
          <w:szCs w:val="24"/>
        </w:rPr>
        <w:t>БиХ</w:t>
      </w:r>
      <w:r w:rsidR="000D5CC8" w:rsidRPr="00295637">
        <w:rPr>
          <w:rFonts w:ascii="Times New Roman" w:hAnsi="Times New Roman"/>
          <w:szCs w:val="24"/>
        </w:rPr>
        <w:t xml:space="preserve">. </w:t>
      </w:r>
    </w:p>
    <w:p w:rsidR="00D772C9" w:rsidRPr="00295637" w:rsidRDefault="00D772C9" w:rsidP="0086268D">
      <w:pPr>
        <w:jc w:val="both"/>
        <w:rPr>
          <w:rFonts w:ascii="Times New Roman" w:hAnsi="Times New Roman"/>
          <w:szCs w:val="24"/>
        </w:rPr>
      </w:pPr>
    </w:p>
    <w:p w:rsidR="00D772C9" w:rsidRPr="00295637" w:rsidRDefault="00C6214E" w:rsidP="0086268D">
      <w:pPr>
        <w:jc w:val="both"/>
        <w:rPr>
          <w:rFonts w:ascii="Times New Roman" w:hAnsi="Times New Roman"/>
          <w:szCs w:val="24"/>
        </w:rPr>
      </w:pPr>
      <w:r>
        <w:rPr>
          <w:rFonts w:ascii="Times New Roman" w:hAnsi="Times New Roman"/>
          <w:szCs w:val="24"/>
        </w:rPr>
        <w:t>У</w:t>
      </w:r>
      <w:r w:rsidR="00815D7A">
        <w:rPr>
          <w:rFonts w:ascii="Times New Roman" w:hAnsi="Times New Roman"/>
          <w:szCs w:val="24"/>
        </w:rPr>
        <w:t xml:space="preserve"> </w:t>
      </w:r>
      <w:r>
        <w:rPr>
          <w:rFonts w:ascii="Times New Roman" w:hAnsi="Times New Roman"/>
          <w:szCs w:val="24"/>
        </w:rPr>
        <w:t>вези</w:t>
      </w:r>
      <w:r w:rsidR="00815D7A">
        <w:rPr>
          <w:rFonts w:ascii="Times New Roman" w:hAnsi="Times New Roman"/>
          <w:szCs w:val="24"/>
        </w:rPr>
        <w:t xml:space="preserve"> </w:t>
      </w:r>
      <w:r>
        <w:rPr>
          <w:rFonts w:ascii="Times New Roman" w:hAnsi="Times New Roman"/>
          <w:szCs w:val="24"/>
        </w:rPr>
        <w:t>са</w:t>
      </w:r>
      <w:r w:rsidR="001E0C55" w:rsidRPr="00295637">
        <w:rPr>
          <w:rFonts w:ascii="Times New Roman" w:hAnsi="Times New Roman"/>
          <w:szCs w:val="24"/>
        </w:rPr>
        <w:t xml:space="preserve"> </w:t>
      </w:r>
      <w:r>
        <w:rPr>
          <w:rFonts w:ascii="Times New Roman" w:hAnsi="Times New Roman"/>
          <w:szCs w:val="24"/>
        </w:rPr>
        <w:t>активностима</w:t>
      </w:r>
      <w:r w:rsidR="001E0C55" w:rsidRPr="00295637">
        <w:rPr>
          <w:rFonts w:ascii="Times New Roman" w:hAnsi="Times New Roman"/>
          <w:szCs w:val="24"/>
        </w:rPr>
        <w:t xml:space="preserve"> </w:t>
      </w:r>
      <w:r>
        <w:rPr>
          <w:rFonts w:ascii="Times New Roman" w:hAnsi="Times New Roman"/>
          <w:szCs w:val="24"/>
        </w:rPr>
        <w:t>препознавања</w:t>
      </w:r>
      <w:r w:rsidR="001E0C55" w:rsidRPr="00295637">
        <w:rPr>
          <w:rFonts w:ascii="Times New Roman" w:hAnsi="Times New Roman"/>
          <w:szCs w:val="24"/>
        </w:rPr>
        <w:t xml:space="preserve"> </w:t>
      </w:r>
      <w:r>
        <w:rPr>
          <w:rFonts w:ascii="Times New Roman" w:hAnsi="Times New Roman"/>
          <w:szCs w:val="24"/>
        </w:rPr>
        <w:t>и</w:t>
      </w:r>
      <w:r w:rsidR="001E0C55" w:rsidRPr="00295637">
        <w:rPr>
          <w:rFonts w:ascii="Times New Roman" w:hAnsi="Times New Roman"/>
          <w:szCs w:val="24"/>
        </w:rPr>
        <w:t xml:space="preserve"> </w:t>
      </w:r>
      <w:r>
        <w:rPr>
          <w:rFonts w:ascii="Times New Roman" w:hAnsi="Times New Roman"/>
          <w:szCs w:val="24"/>
        </w:rPr>
        <w:t>спречавања</w:t>
      </w:r>
      <w:r w:rsidR="001E0C55" w:rsidRPr="00295637">
        <w:rPr>
          <w:rFonts w:ascii="Times New Roman" w:hAnsi="Times New Roman"/>
          <w:szCs w:val="24"/>
        </w:rPr>
        <w:t xml:space="preserve"> </w:t>
      </w:r>
      <w:r>
        <w:rPr>
          <w:rFonts w:ascii="Times New Roman" w:hAnsi="Times New Roman"/>
          <w:szCs w:val="24"/>
        </w:rPr>
        <w:t>родно</w:t>
      </w:r>
      <w:r w:rsidR="001E0C55" w:rsidRPr="00295637">
        <w:rPr>
          <w:rFonts w:ascii="Times New Roman" w:hAnsi="Times New Roman"/>
          <w:szCs w:val="24"/>
        </w:rPr>
        <w:t xml:space="preserve"> </w:t>
      </w:r>
      <w:r>
        <w:rPr>
          <w:rFonts w:ascii="Times New Roman" w:hAnsi="Times New Roman"/>
          <w:szCs w:val="24"/>
        </w:rPr>
        <w:t>заснованог</w:t>
      </w:r>
      <w:r w:rsidR="001E0C55" w:rsidRPr="00295637">
        <w:rPr>
          <w:rFonts w:ascii="Times New Roman" w:hAnsi="Times New Roman"/>
          <w:szCs w:val="24"/>
        </w:rPr>
        <w:t xml:space="preserve"> </w:t>
      </w:r>
      <w:r>
        <w:rPr>
          <w:rFonts w:ascii="Times New Roman" w:hAnsi="Times New Roman"/>
          <w:szCs w:val="24"/>
        </w:rPr>
        <w:t>насиља</w:t>
      </w:r>
      <w:r w:rsidR="001E0C55" w:rsidRPr="00295637">
        <w:rPr>
          <w:rFonts w:ascii="Times New Roman" w:hAnsi="Times New Roman"/>
          <w:szCs w:val="24"/>
        </w:rPr>
        <w:t xml:space="preserve"> </w:t>
      </w:r>
      <w:r>
        <w:rPr>
          <w:rFonts w:ascii="Times New Roman" w:hAnsi="Times New Roman"/>
          <w:szCs w:val="24"/>
        </w:rPr>
        <w:t>у</w:t>
      </w:r>
      <w:r w:rsidR="001E0C55" w:rsidRPr="00295637">
        <w:rPr>
          <w:rFonts w:ascii="Times New Roman" w:hAnsi="Times New Roman"/>
          <w:szCs w:val="24"/>
        </w:rPr>
        <w:t xml:space="preserve"> </w:t>
      </w:r>
      <w:r>
        <w:rPr>
          <w:rFonts w:ascii="Times New Roman" w:hAnsi="Times New Roman"/>
          <w:szCs w:val="24"/>
        </w:rPr>
        <w:t>привременим</w:t>
      </w:r>
      <w:r w:rsidR="001E0C55" w:rsidRPr="00295637">
        <w:rPr>
          <w:rFonts w:ascii="Times New Roman" w:hAnsi="Times New Roman"/>
          <w:szCs w:val="24"/>
        </w:rPr>
        <w:t xml:space="preserve"> </w:t>
      </w:r>
      <w:r>
        <w:rPr>
          <w:rFonts w:ascii="Times New Roman" w:hAnsi="Times New Roman"/>
          <w:szCs w:val="24"/>
        </w:rPr>
        <w:t>прихватним</w:t>
      </w:r>
      <w:r w:rsidR="001E0C55" w:rsidRPr="00295637">
        <w:rPr>
          <w:rFonts w:ascii="Times New Roman" w:hAnsi="Times New Roman"/>
          <w:szCs w:val="24"/>
        </w:rPr>
        <w:t xml:space="preserve"> </w:t>
      </w:r>
      <w:r>
        <w:rPr>
          <w:rFonts w:ascii="Times New Roman" w:hAnsi="Times New Roman"/>
          <w:szCs w:val="24"/>
        </w:rPr>
        <w:t>центрима</w:t>
      </w:r>
      <w:r w:rsidR="001E0C55" w:rsidRPr="00295637">
        <w:rPr>
          <w:rFonts w:ascii="Times New Roman" w:hAnsi="Times New Roman"/>
          <w:szCs w:val="24"/>
        </w:rPr>
        <w:t xml:space="preserve"> </w:t>
      </w:r>
      <w:r>
        <w:rPr>
          <w:rFonts w:ascii="Times New Roman" w:hAnsi="Times New Roman"/>
          <w:szCs w:val="24"/>
        </w:rPr>
        <w:t>за</w:t>
      </w:r>
      <w:r w:rsidR="001E0C55" w:rsidRPr="00295637">
        <w:rPr>
          <w:rFonts w:ascii="Times New Roman" w:hAnsi="Times New Roman"/>
          <w:szCs w:val="24"/>
        </w:rPr>
        <w:t xml:space="preserve"> </w:t>
      </w:r>
      <w:r>
        <w:rPr>
          <w:rFonts w:ascii="Times New Roman" w:hAnsi="Times New Roman"/>
          <w:szCs w:val="24"/>
        </w:rPr>
        <w:t>лица</w:t>
      </w:r>
      <w:r w:rsidR="001E0C55" w:rsidRPr="00295637">
        <w:rPr>
          <w:rFonts w:ascii="Times New Roman" w:hAnsi="Times New Roman"/>
          <w:szCs w:val="24"/>
        </w:rPr>
        <w:t xml:space="preserve"> </w:t>
      </w:r>
      <w:r>
        <w:rPr>
          <w:rFonts w:ascii="Times New Roman" w:hAnsi="Times New Roman"/>
          <w:szCs w:val="24"/>
        </w:rPr>
        <w:t>у</w:t>
      </w:r>
      <w:r w:rsidR="001E0C55" w:rsidRPr="00295637">
        <w:rPr>
          <w:rFonts w:ascii="Times New Roman" w:hAnsi="Times New Roman"/>
          <w:szCs w:val="24"/>
        </w:rPr>
        <w:t xml:space="preserve"> </w:t>
      </w:r>
      <w:r>
        <w:rPr>
          <w:rFonts w:ascii="Times New Roman" w:hAnsi="Times New Roman"/>
          <w:szCs w:val="24"/>
        </w:rPr>
        <w:t>покрету</w:t>
      </w:r>
      <w:r w:rsidR="001E0C55" w:rsidRPr="00295637">
        <w:rPr>
          <w:rFonts w:ascii="Times New Roman" w:hAnsi="Times New Roman"/>
          <w:szCs w:val="24"/>
        </w:rPr>
        <w:t xml:space="preserve">, </w:t>
      </w:r>
      <w:r>
        <w:rPr>
          <w:rFonts w:ascii="Times New Roman" w:hAnsi="Times New Roman"/>
          <w:szCs w:val="24"/>
        </w:rPr>
        <w:t>партнер</w:t>
      </w:r>
      <w:r w:rsidR="001E0C55" w:rsidRPr="00295637">
        <w:rPr>
          <w:rFonts w:ascii="Times New Roman" w:hAnsi="Times New Roman"/>
          <w:szCs w:val="24"/>
        </w:rPr>
        <w:t xml:space="preserve"> </w:t>
      </w:r>
      <w:r>
        <w:rPr>
          <w:rFonts w:ascii="Times New Roman" w:hAnsi="Times New Roman"/>
          <w:szCs w:val="24"/>
        </w:rPr>
        <w:t>Службе</w:t>
      </w:r>
      <w:r w:rsidR="001E0C55" w:rsidRPr="00295637">
        <w:rPr>
          <w:rFonts w:ascii="Times New Roman" w:hAnsi="Times New Roman"/>
          <w:szCs w:val="24"/>
        </w:rPr>
        <w:t xml:space="preserve"> </w:t>
      </w:r>
      <w:r>
        <w:rPr>
          <w:rFonts w:ascii="Times New Roman" w:hAnsi="Times New Roman"/>
          <w:szCs w:val="24"/>
        </w:rPr>
        <w:t>за</w:t>
      </w:r>
      <w:r w:rsidR="001E0C55" w:rsidRPr="00295637">
        <w:rPr>
          <w:rFonts w:ascii="Times New Roman" w:hAnsi="Times New Roman"/>
          <w:szCs w:val="24"/>
        </w:rPr>
        <w:t xml:space="preserve"> </w:t>
      </w:r>
      <w:r w:rsidRPr="00C9019F">
        <w:rPr>
          <w:rFonts w:ascii="Times New Roman" w:hAnsi="Times New Roman"/>
          <w:szCs w:val="24"/>
        </w:rPr>
        <w:t>послове</w:t>
      </w:r>
      <w:r w:rsidR="001E0C55" w:rsidRPr="00C9019F">
        <w:rPr>
          <w:rFonts w:ascii="Times New Roman" w:hAnsi="Times New Roman"/>
          <w:szCs w:val="24"/>
        </w:rPr>
        <w:t xml:space="preserve"> </w:t>
      </w:r>
      <w:r w:rsidRPr="00C9019F">
        <w:rPr>
          <w:rFonts w:ascii="Times New Roman" w:hAnsi="Times New Roman"/>
          <w:szCs w:val="24"/>
        </w:rPr>
        <w:t>са</w:t>
      </w:r>
      <w:r w:rsidR="001E0C55" w:rsidRPr="00C9019F">
        <w:rPr>
          <w:rFonts w:ascii="Times New Roman" w:hAnsi="Times New Roman"/>
          <w:szCs w:val="24"/>
        </w:rPr>
        <w:t xml:space="preserve"> </w:t>
      </w:r>
      <w:r w:rsidRPr="00C9019F">
        <w:rPr>
          <w:rFonts w:ascii="Times New Roman" w:hAnsi="Times New Roman"/>
          <w:szCs w:val="24"/>
        </w:rPr>
        <w:t>странцима</w:t>
      </w:r>
      <w:r w:rsidR="001E0C55" w:rsidRPr="00C9019F">
        <w:rPr>
          <w:rFonts w:ascii="Times New Roman" w:hAnsi="Times New Roman"/>
          <w:szCs w:val="24"/>
        </w:rPr>
        <w:t xml:space="preserve"> </w:t>
      </w:r>
      <w:r w:rsidRPr="00C9019F">
        <w:rPr>
          <w:rFonts w:ascii="Times New Roman" w:hAnsi="Times New Roman"/>
          <w:szCs w:val="24"/>
        </w:rPr>
        <w:t>при</w:t>
      </w:r>
      <w:r w:rsidR="000D5CC8" w:rsidRPr="00C9019F">
        <w:rPr>
          <w:rFonts w:ascii="Times New Roman" w:hAnsi="Times New Roman"/>
          <w:szCs w:val="24"/>
        </w:rPr>
        <w:t xml:space="preserve"> </w:t>
      </w:r>
      <w:r w:rsidRPr="00C9019F">
        <w:rPr>
          <w:rFonts w:ascii="Times New Roman" w:hAnsi="Times New Roman"/>
          <w:szCs w:val="24"/>
        </w:rPr>
        <w:t>М</w:t>
      </w:r>
      <w:r w:rsidR="00C9019F" w:rsidRPr="00C9019F">
        <w:rPr>
          <w:rFonts w:ascii="Times New Roman" w:hAnsi="Times New Roman"/>
          <w:szCs w:val="24"/>
          <w:lang w:val="sr-Cyrl-BA"/>
        </w:rPr>
        <w:t>Б</w:t>
      </w:r>
      <w:r w:rsidR="009E54A2" w:rsidRPr="00C9019F">
        <w:rPr>
          <w:rFonts w:ascii="Times New Roman" w:hAnsi="Times New Roman"/>
          <w:szCs w:val="24"/>
        </w:rPr>
        <w:t xml:space="preserve"> </w:t>
      </w:r>
      <w:r w:rsidRPr="00C9019F">
        <w:rPr>
          <w:rFonts w:ascii="Times New Roman" w:hAnsi="Times New Roman"/>
          <w:szCs w:val="24"/>
        </w:rPr>
        <w:t>БиХ</w:t>
      </w:r>
      <w:r w:rsidR="000D5CC8" w:rsidRPr="00C9019F">
        <w:rPr>
          <w:rFonts w:ascii="Times New Roman" w:hAnsi="Times New Roman"/>
          <w:szCs w:val="24"/>
        </w:rPr>
        <w:t xml:space="preserve"> </w:t>
      </w:r>
      <w:r w:rsidRPr="00C9019F">
        <w:rPr>
          <w:rFonts w:ascii="Times New Roman" w:hAnsi="Times New Roman"/>
          <w:szCs w:val="24"/>
        </w:rPr>
        <w:t>је</w:t>
      </w:r>
      <w:r w:rsidR="001E0C55" w:rsidRPr="00C9019F">
        <w:rPr>
          <w:rFonts w:ascii="Times New Roman" w:hAnsi="Times New Roman"/>
          <w:szCs w:val="24"/>
        </w:rPr>
        <w:t xml:space="preserve"> </w:t>
      </w:r>
      <w:r w:rsidRPr="00C9019F">
        <w:rPr>
          <w:rFonts w:ascii="Times New Roman" w:hAnsi="Times New Roman"/>
          <w:szCs w:val="24"/>
        </w:rPr>
        <w:t>организација</w:t>
      </w:r>
      <w:r w:rsidR="001E0C55" w:rsidRPr="00C9019F">
        <w:rPr>
          <w:rFonts w:ascii="Times New Roman" w:hAnsi="Times New Roman"/>
          <w:szCs w:val="24"/>
        </w:rPr>
        <w:t xml:space="preserve"> </w:t>
      </w:r>
      <w:r w:rsidR="00C9019F" w:rsidRPr="00C9019F">
        <w:rPr>
          <w:rFonts w:ascii="Times New Roman" w:hAnsi="Times New Roman"/>
          <w:i/>
          <w:szCs w:val="24"/>
        </w:rPr>
        <w:t>UNFPA</w:t>
      </w:r>
      <w:r w:rsidR="001E0C55" w:rsidRPr="00C9019F">
        <w:rPr>
          <w:rFonts w:ascii="Times New Roman" w:hAnsi="Times New Roman"/>
          <w:szCs w:val="24"/>
        </w:rPr>
        <w:t xml:space="preserve"> </w:t>
      </w:r>
      <w:r w:rsidRPr="00C9019F">
        <w:rPr>
          <w:rFonts w:ascii="Times New Roman" w:hAnsi="Times New Roman"/>
          <w:szCs w:val="24"/>
        </w:rPr>
        <w:t>која</w:t>
      </w:r>
      <w:r w:rsidR="001E0C55" w:rsidRPr="00C9019F">
        <w:rPr>
          <w:rFonts w:ascii="Times New Roman" w:hAnsi="Times New Roman"/>
          <w:szCs w:val="24"/>
        </w:rPr>
        <w:t xml:space="preserve"> </w:t>
      </w:r>
      <w:r w:rsidRPr="00C9019F">
        <w:rPr>
          <w:rFonts w:ascii="Times New Roman" w:hAnsi="Times New Roman"/>
          <w:szCs w:val="24"/>
        </w:rPr>
        <w:t>ове</w:t>
      </w:r>
      <w:r w:rsidR="001E0C55" w:rsidRPr="00C9019F">
        <w:rPr>
          <w:rFonts w:ascii="Times New Roman" w:hAnsi="Times New Roman"/>
          <w:szCs w:val="24"/>
        </w:rPr>
        <w:t xml:space="preserve"> </w:t>
      </w:r>
      <w:r w:rsidRPr="00C9019F">
        <w:rPr>
          <w:rFonts w:ascii="Times New Roman" w:hAnsi="Times New Roman"/>
          <w:szCs w:val="24"/>
        </w:rPr>
        <w:t>активности</w:t>
      </w:r>
      <w:r w:rsidR="001E0C55" w:rsidRPr="00C9019F">
        <w:rPr>
          <w:rFonts w:ascii="Times New Roman" w:hAnsi="Times New Roman"/>
          <w:szCs w:val="24"/>
        </w:rPr>
        <w:t xml:space="preserve"> </w:t>
      </w:r>
      <w:r w:rsidRPr="00C9019F">
        <w:rPr>
          <w:rFonts w:ascii="Times New Roman" w:hAnsi="Times New Roman"/>
          <w:szCs w:val="24"/>
        </w:rPr>
        <w:t>континуирано</w:t>
      </w:r>
      <w:r w:rsidR="001E0C55" w:rsidRPr="00C9019F">
        <w:rPr>
          <w:rFonts w:ascii="Times New Roman" w:hAnsi="Times New Roman"/>
          <w:szCs w:val="24"/>
        </w:rPr>
        <w:t xml:space="preserve"> </w:t>
      </w:r>
      <w:r w:rsidR="00C9019F">
        <w:rPr>
          <w:rFonts w:ascii="Times New Roman" w:hAnsi="Times New Roman"/>
          <w:szCs w:val="24"/>
          <w:lang w:val="sr-Cyrl-BA"/>
        </w:rPr>
        <w:t>спроводи</w:t>
      </w:r>
      <w:r w:rsidR="001E0C55" w:rsidRPr="00C9019F">
        <w:rPr>
          <w:rFonts w:ascii="Times New Roman" w:hAnsi="Times New Roman"/>
          <w:szCs w:val="24"/>
        </w:rPr>
        <w:t>.</w:t>
      </w:r>
    </w:p>
    <w:p w:rsidR="00D772C9" w:rsidRPr="00295637" w:rsidRDefault="00D772C9" w:rsidP="0086268D">
      <w:pPr>
        <w:jc w:val="both"/>
        <w:rPr>
          <w:rFonts w:ascii="Times New Roman" w:hAnsi="Times New Roman"/>
          <w:szCs w:val="24"/>
        </w:rPr>
      </w:pPr>
    </w:p>
    <w:p w:rsidR="00C645D2" w:rsidRPr="00295637" w:rsidRDefault="00C9019F" w:rsidP="0086268D">
      <w:pPr>
        <w:jc w:val="both"/>
        <w:rPr>
          <w:rFonts w:ascii="Times New Roman" w:hAnsi="Times New Roman"/>
          <w:szCs w:val="24"/>
        </w:rPr>
      </w:pPr>
      <w:r>
        <w:rPr>
          <w:rFonts w:ascii="Times New Roman" w:hAnsi="Times New Roman"/>
          <w:szCs w:val="24"/>
          <w:lang w:val="sr-Cyrl-BA"/>
        </w:rPr>
        <w:t>Канцеларија</w:t>
      </w:r>
      <w:r w:rsidR="00D772C9" w:rsidRPr="00295637">
        <w:rPr>
          <w:rFonts w:ascii="Times New Roman" w:hAnsi="Times New Roman"/>
          <w:szCs w:val="24"/>
        </w:rPr>
        <w:t xml:space="preserve"> </w:t>
      </w:r>
      <w:r w:rsidR="00C6214E">
        <w:rPr>
          <w:rFonts w:ascii="Times New Roman" w:hAnsi="Times New Roman"/>
          <w:szCs w:val="24"/>
        </w:rPr>
        <w:t>за</w:t>
      </w:r>
      <w:r w:rsidR="00D772C9" w:rsidRPr="00295637">
        <w:rPr>
          <w:rFonts w:ascii="Times New Roman" w:hAnsi="Times New Roman"/>
          <w:szCs w:val="24"/>
        </w:rPr>
        <w:t xml:space="preserve"> </w:t>
      </w:r>
      <w:r w:rsidR="00C6214E">
        <w:rPr>
          <w:rFonts w:ascii="Times New Roman" w:hAnsi="Times New Roman"/>
          <w:szCs w:val="24"/>
        </w:rPr>
        <w:t>пружање</w:t>
      </w:r>
      <w:r w:rsidR="00D772C9" w:rsidRPr="00295637">
        <w:rPr>
          <w:rFonts w:ascii="Times New Roman" w:hAnsi="Times New Roman"/>
          <w:szCs w:val="24"/>
        </w:rPr>
        <w:t xml:space="preserve"> </w:t>
      </w:r>
      <w:r w:rsidR="00C6214E">
        <w:rPr>
          <w:rFonts w:ascii="Times New Roman" w:hAnsi="Times New Roman"/>
          <w:szCs w:val="24"/>
        </w:rPr>
        <w:t>бесплатне</w:t>
      </w:r>
      <w:r w:rsidR="00D772C9" w:rsidRPr="00295637">
        <w:rPr>
          <w:rFonts w:ascii="Times New Roman" w:hAnsi="Times New Roman"/>
          <w:szCs w:val="24"/>
        </w:rPr>
        <w:t xml:space="preserve"> </w:t>
      </w:r>
      <w:r w:rsidR="00C6214E">
        <w:rPr>
          <w:rFonts w:ascii="Times New Roman" w:hAnsi="Times New Roman"/>
          <w:szCs w:val="24"/>
        </w:rPr>
        <w:t>правне</w:t>
      </w:r>
      <w:r w:rsidR="00D772C9" w:rsidRPr="00295637">
        <w:rPr>
          <w:rFonts w:ascii="Times New Roman" w:hAnsi="Times New Roman"/>
          <w:szCs w:val="24"/>
        </w:rPr>
        <w:t xml:space="preserve"> </w:t>
      </w:r>
      <w:r w:rsidR="00C6214E">
        <w:rPr>
          <w:rFonts w:ascii="Times New Roman" w:hAnsi="Times New Roman"/>
          <w:szCs w:val="24"/>
        </w:rPr>
        <w:t>помоћ</w:t>
      </w:r>
      <w:r w:rsidR="00D772C9" w:rsidRPr="00295637">
        <w:rPr>
          <w:rFonts w:ascii="Times New Roman" w:hAnsi="Times New Roman"/>
          <w:szCs w:val="24"/>
        </w:rPr>
        <w:t xml:space="preserve"> </w:t>
      </w:r>
      <w:r w:rsidR="00C6214E">
        <w:rPr>
          <w:rFonts w:ascii="Times New Roman" w:hAnsi="Times New Roman"/>
          <w:szCs w:val="24"/>
        </w:rPr>
        <w:t>при</w:t>
      </w:r>
      <w:r w:rsidR="00D772C9" w:rsidRPr="00295637">
        <w:rPr>
          <w:rFonts w:ascii="Times New Roman" w:hAnsi="Times New Roman"/>
          <w:szCs w:val="24"/>
        </w:rPr>
        <w:t xml:space="preserve"> </w:t>
      </w:r>
      <w:r w:rsidR="00C6214E">
        <w:rPr>
          <w:rFonts w:ascii="Times New Roman" w:hAnsi="Times New Roman"/>
          <w:szCs w:val="24"/>
        </w:rPr>
        <w:t>МП</w:t>
      </w:r>
      <w:r w:rsidR="008D6F09">
        <w:rPr>
          <w:rFonts w:ascii="Times New Roman" w:hAnsi="Times New Roman"/>
          <w:szCs w:val="24"/>
        </w:rPr>
        <w:t xml:space="preserve"> </w:t>
      </w:r>
      <w:r w:rsidR="00C6214E">
        <w:rPr>
          <w:rFonts w:ascii="Times New Roman" w:hAnsi="Times New Roman"/>
          <w:szCs w:val="24"/>
        </w:rPr>
        <w:t>БиХ</w:t>
      </w:r>
      <w:r w:rsidR="00D772C9" w:rsidRPr="00295637">
        <w:rPr>
          <w:rFonts w:ascii="Times New Roman" w:hAnsi="Times New Roman"/>
          <w:szCs w:val="24"/>
        </w:rPr>
        <w:t xml:space="preserve"> </w:t>
      </w:r>
      <w:r w:rsidR="00C6214E">
        <w:rPr>
          <w:rFonts w:ascii="Times New Roman" w:hAnsi="Times New Roman"/>
          <w:szCs w:val="24"/>
        </w:rPr>
        <w:t>је</w:t>
      </w:r>
      <w:r w:rsidR="00D772C9" w:rsidRPr="00295637">
        <w:rPr>
          <w:rFonts w:ascii="Times New Roman" w:hAnsi="Times New Roman"/>
          <w:szCs w:val="24"/>
        </w:rPr>
        <w:t xml:space="preserve"> </w:t>
      </w:r>
      <w:r w:rsidR="00C6214E">
        <w:rPr>
          <w:rFonts w:ascii="Times New Roman" w:hAnsi="Times New Roman"/>
          <w:szCs w:val="24"/>
        </w:rPr>
        <w:t>у</w:t>
      </w:r>
      <w:r w:rsidR="00D772C9" w:rsidRPr="00295637">
        <w:rPr>
          <w:rFonts w:ascii="Times New Roman" w:hAnsi="Times New Roman"/>
          <w:szCs w:val="24"/>
        </w:rPr>
        <w:t xml:space="preserve"> </w:t>
      </w:r>
      <w:r w:rsidR="00C6214E">
        <w:rPr>
          <w:rFonts w:ascii="Times New Roman" w:hAnsi="Times New Roman"/>
          <w:szCs w:val="24"/>
        </w:rPr>
        <w:t>извјештајном</w:t>
      </w:r>
      <w:r w:rsidR="00D772C9" w:rsidRPr="00295637">
        <w:rPr>
          <w:rFonts w:ascii="Times New Roman" w:hAnsi="Times New Roman"/>
          <w:szCs w:val="24"/>
        </w:rPr>
        <w:t xml:space="preserve"> </w:t>
      </w:r>
      <w:r w:rsidR="00C6214E">
        <w:rPr>
          <w:rFonts w:ascii="Times New Roman" w:hAnsi="Times New Roman"/>
          <w:szCs w:val="24"/>
        </w:rPr>
        <w:t>периоду</w:t>
      </w:r>
      <w:r w:rsidR="00D772C9" w:rsidRPr="00295637">
        <w:rPr>
          <w:rFonts w:ascii="Times New Roman" w:hAnsi="Times New Roman"/>
          <w:szCs w:val="24"/>
        </w:rPr>
        <w:t xml:space="preserve"> </w:t>
      </w:r>
      <w:r w:rsidR="00C6214E">
        <w:rPr>
          <w:rFonts w:ascii="Times New Roman" w:hAnsi="Times New Roman"/>
          <w:szCs w:val="24"/>
        </w:rPr>
        <w:t>додатно</w:t>
      </w:r>
      <w:r w:rsidR="00D772C9" w:rsidRPr="00295637">
        <w:rPr>
          <w:rFonts w:ascii="Times New Roman" w:hAnsi="Times New Roman"/>
          <w:szCs w:val="24"/>
        </w:rPr>
        <w:t xml:space="preserve"> </w:t>
      </w:r>
      <w:r w:rsidR="00C6214E">
        <w:rPr>
          <w:rFonts w:ascii="Times New Roman" w:hAnsi="Times New Roman"/>
          <w:szCs w:val="24"/>
        </w:rPr>
        <w:t>ојачан</w:t>
      </w:r>
      <w:r>
        <w:rPr>
          <w:rFonts w:ascii="Times New Roman" w:hAnsi="Times New Roman"/>
          <w:szCs w:val="24"/>
          <w:lang w:val="sr-Cyrl-BA"/>
        </w:rPr>
        <w:t>а</w:t>
      </w:r>
      <w:r w:rsidR="00D772C9" w:rsidRPr="00295637">
        <w:rPr>
          <w:rFonts w:ascii="Times New Roman" w:hAnsi="Times New Roman"/>
          <w:szCs w:val="24"/>
        </w:rPr>
        <w:t xml:space="preserve"> </w:t>
      </w:r>
      <w:r w:rsidR="00C6214E">
        <w:rPr>
          <w:rFonts w:ascii="Times New Roman" w:hAnsi="Times New Roman"/>
          <w:szCs w:val="24"/>
        </w:rPr>
        <w:t>адекватним</w:t>
      </w:r>
      <w:r w:rsidR="00D772C9" w:rsidRPr="00295637">
        <w:rPr>
          <w:rFonts w:ascii="Times New Roman" w:hAnsi="Times New Roman"/>
          <w:szCs w:val="24"/>
        </w:rPr>
        <w:t xml:space="preserve"> </w:t>
      </w:r>
      <w:r w:rsidR="00C6214E">
        <w:rPr>
          <w:rFonts w:ascii="Times New Roman" w:hAnsi="Times New Roman"/>
          <w:szCs w:val="24"/>
        </w:rPr>
        <w:t>ресурсима</w:t>
      </w:r>
      <w:r w:rsidR="00D772C9" w:rsidRPr="00295637">
        <w:rPr>
          <w:rFonts w:ascii="Times New Roman" w:hAnsi="Times New Roman"/>
          <w:szCs w:val="24"/>
        </w:rPr>
        <w:t xml:space="preserve">, </w:t>
      </w:r>
      <w:r w:rsidR="00C6214E">
        <w:rPr>
          <w:rFonts w:ascii="Times New Roman" w:hAnsi="Times New Roman"/>
          <w:szCs w:val="24"/>
        </w:rPr>
        <w:t>и</w:t>
      </w:r>
      <w:r w:rsidR="00D772C9" w:rsidRPr="00295637">
        <w:rPr>
          <w:rFonts w:ascii="Times New Roman" w:hAnsi="Times New Roman"/>
          <w:szCs w:val="24"/>
        </w:rPr>
        <w:t xml:space="preserve"> </w:t>
      </w:r>
      <w:r w:rsidR="00C6214E">
        <w:rPr>
          <w:rFonts w:ascii="Times New Roman" w:hAnsi="Times New Roman"/>
          <w:szCs w:val="24"/>
        </w:rPr>
        <w:t>има</w:t>
      </w:r>
      <w:r w:rsidR="00D772C9" w:rsidRPr="00295637">
        <w:rPr>
          <w:rFonts w:ascii="Times New Roman" w:hAnsi="Times New Roman"/>
          <w:szCs w:val="24"/>
        </w:rPr>
        <w:t xml:space="preserve"> </w:t>
      </w:r>
      <w:r w:rsidR="00C6214E">
        <w:rPr>
          <w:rFonts w:ascii="Times New Roman" w:hAnsi="Times New Roman"/>
          <w:szCs w:val="24"/>
        </w:rPr>
        <w:t>адекватне</w:t>
      </w:r>
      <w:r w:rsidR="00D772C9" w:rsidRPr="00295637">
        <w:rPr>
          <w:rFonts w:ascii="Times New Roman" w:hAnsi="Times New Roman"/>
          <w:szCs w:val="24"/>
        </w:rPr>
        <w:t xml:space="preserve"> </w:t>
      </w:r>
      <w:r w:rsidR="00C6214E">
        <w:rPr>
          <w:rFonts w:ascii="Times New Roman" w:hAnsi="Times New Roman"/>
          <w:szCs w:val="24"/>
        </w:rPr>
        <w:t>људске</w:t>
      </w:r>
      <w:r w:rsidR="00D772C9" w:rsidRPr="00295637">
        <w:rPr>
          <w:rFonts w:ascii="Times New Roman" w:hAnsi="Times New Roman"/>
          <w:szCs w:val="24"/>
        </w:rPr>
        <w:t xml:space="preserve"> </w:t>
      </w:r>
      <w:r w:rsidR="00C6214E">
        <w:rPr>
          <w:rFonts w:ascii="Times New Roman" w:hAnsi="Times New Roman"/>
          <w:szCs w:val="24"/>
        </w:rPr>
        <w:t>капацитете</w:t>
      </w:r>
      <w:r w:rsidR="00D772C9" w:rsidRPr="00295637">
        <w:rPr>
          <w:rFonts w:ascii="Times New Roman" w:hAnsi="Times New Roman"/>
          <w:szCs w:val="24"/>
        </w:rPr>
        <w:t xml:space="preserve"> </w:t>
      </w:r>
      <w:r w:rsidR="00C6214E">
        <w:rPr>
          <w:rFonts w:ascii="Times New Roman" w:hAnsi="Times New Roman"/>
          <w:szCs w:val="24"/>
        </w:rPr>
        <w:t>да</w:t>
      </w:r>
      <w:r w:rsidR="00D772C9" w:rsidRPr="00295637">
        <w:rPr>
          <w:rFonts w:ascii="Times New Roman" w:hAnsi="Times New Roman"/>
          <w:szCs w:val="24"/>
        </w:rPr>
        <w:t xml:space="preserve"> </w:t>
      </w:r>
      <w:r w:rsidR="00C6214E">
        <w:rPr>
          <w:rFonts w:ascii="Times New Roman" w:hAnsi="Times New Roman"/>
          <w:szCs w:val="24"/>
        </w:rPr>
        <w:t>може</w:t>
      </w:r>
      <w:r w:rsidR="00D772C9" w:rsidRPr="00295637">
        <w:rPr>
          <w:rFonts w:ascii="Times New Roman" w:hAnsi="Times New Roman"/>
          <w:szCs w:val="24"/>
        </w:rPr>
        <w:t xml:space="preserve"> </w:t>
      </w:r>
      <w:r w:rsidR="00C6214E">
        <w:rPr>
          <w:rFonts w:ascii="Times New Roman" w:hAnsi="Times New Roman"/>
          <w:szCs w:val="24"/>
        </w:rPr>
        <w:t>пружати</w:t>
      </w:r>
      <w:r w:rsidR="00D772C9" w:rsidRPr="00295637">
        <w:rPr>
          <w:rFonts w:ascii="Times New Roman" w:hAnsi="Times New Roman"/>
          <w:szCs w:val="24"/>
        </w:rPr>
        <w:t xml:space="preserve"> </w:t>
      </w:r>
      <w:r w:rsidR="00C6214E">
        <w:rPr>
          <w:rFonts w:ascii="Times New Roman" w:hAnsi="Times New Roman"/>
          <w:szCs w:val="24"/>
        </w:rPr>
        <w:t>бесплатну</w:t>
      </w:r>
      <w:r w:rsidR="00B40255" w:rsidRPr="00295637">
        <w:rPr>
          <w:rFonts w:ascii="Times New Roman" w:hAnsi="Times New Roman"/>
          <w:szCs w:val="24"/>
        </w:rPr>
        <w:t xml:space="preserve"> </w:t>
      </w:r>
      <w:r w:rsidR="00C6214E">
        <w:rPr>
          <w:rFonts w:ascii="Times New Roman" w:hAnsi="Times New Roman"/>
          <w:szCs w:val="24"/>
        </w:rPr>
        <w:t>правну</w:t>
      </w:r>
      <w:r w:rsidR="00B40255" w:rsidRPr="00295637">
        <w:rPr>
          <w:rFonts w:ascii="Times New Roman" w:hAnsi="Times New Roman"/>
          <w:szCs w:val="24"/>
        </w:rPr>
        <w:t xml:space="preserve"> </w:t>
      </w:r>
      <w:r w:rsidR="00C6214E">
        <w:rPr>
          <w:rFonts w:ascii="Times New Roman" w:hAnsi="Times New Roman"/>
          <w:szCs w:val="24"/>
        </w:rPr>
        <w:t>помоћ</w:t>
      </w:r>
      <w:r w:rsidR="00B40255" w:rsidRPr="00295637">
        <w:rPr>
          <w:rFonts w:ascii="Times New Roman" w:hAnsi="Times New Roman"/>
          <w:szCs w:val="24"/>
        </w:rPr>
        <w:t xml:space="preserve"> </w:t>
      </w:r>
      <w:r w:rsidR="00C6214E">
        <w:rPr>
          <w:rFonts w:ascii="Times New Roman" w:hAnsi="Times New Roman"/>
          <w:szCs w:val="24"/>
        </w:rPr>
        <w:t>у</w:t>
      </w:r>
      <w:r w:rsidR="00815D7A">
        <w:rPr>
          <w:rFonts w:ascii="Times New Roman" w:hAnsi="Times New Roman"/>
          <w:szCs w:val="24"/>
        </w:rPr>
        <w:t xml:space="preserve"> </w:t>
      </w:r>
      <w:r w:rsidR="00C6214E">
        <w:rPr>
          <w:rFonts w:ascii="Times New Roman" w:hAnsi="Times New Roman"/>
          <w:szCs w:val="24"/>
        </w:rPr>
        <w:t>складу</w:t>
      </w:r>
      <w:r w:rsidR="00815D7A">
        <w:rPr>
          <w:rFonts w:ascii="Times New Roman" w:hAnsi="Times New Roman"/>
          <w:szCs w:val="24"/>
        </w:rPr>
        <w:t xml:space="preserve"> </w:t>
      </w:r>
      <w:r w:rsidR="00C6214E">
        <w:rPr>
          <w:rFonts w:ascii="Times New Roman" w:hAnsi="Times New Roman"/>
          <w:szCs w:val="24"/>
        </w:rPr>
        <w:t>са</w:t>
      </w:r>
      <w:r w:rsidR="00B40255" w:rsidRPr="00295637">
        <w:rPr>
          <w:rFonts w:ascii="Times New Roman" w:hAnsi="Times New Roman"/>
          <w:szCs w:val="24"/>
        </w:rPr>
        <w:t xml:space="preserve"> </w:t>
      </w:r>
      <w:r w:rsidR="00C6214E">
        <w:rPr>
          <w:rFonts w:ascii="Times New Roman" w:hAnsi="Times New Roman"/>
          <w:szCs w:val="24"/>
        </w:rPr>
        <w:t>Законом</w:t>
      </w:r>
      <w:r w:rsidR="00D772C9" w:rsidRPr="00295637">
        <w:rPr>
          <w:rFonts w:ascii="Times New Roman" w:hAnsi="Times New Roman"/>
          <w:szCs w:val="24"/>
        </w:rPr>
        <w:t xml:space="preserve">. </w:t>
      </w:r>
    </w:p>
    <w:p w:rsidR="00C645D2" w:rsidRPr="00295637" w:rsidRDefault="00C645D2" w:rsidP="0086268D">
      <w:pPr>
        <w:jc w:val="both"/>
        <w:rPr>
          <w:rFonts w:ascii="Times New Roman" w:hAnsi="Times New Roman"/>
          <w:szCs w:val="24"/>
        </w:rPr>
      </w:pPr>
    </w:p>
    <w:p w:rsidR="00305971" w:rsidRPr="00295637" w:rsidRDefault="00C6214E" w:rsidP="0086268D">
      <w:pPr>
        <w:jc w:val="both"/>
        <w:rPr>
          <w:rFonts w:ascii="Times New Roman" w:hAnsi="Times New Roman"/>
          <w:lang w:val="bs-Latn-BA"/>
        </w:rPr>
      </w:pPr>
      <w:r>
        <w:rPr>
          <w:rFonts w:ascii="Times New Roman" w:hAnsi="Times New Roman"/>
          <w:lang w:val="bs-Latn-BA"/>
        </w:rPr>
        <w:t>ФМП</w:t>
      </w:r>
      <w:r w:rsidR="00B575BA">
        <w:rPr>
          <w:rFonts w:ascii="Times New Roman" w:hAnsi="Times New Roman"/>
          <w:lang w:val="bs-Latn-BA"/>
        </w:rPr>
        <w:t xml:space="preserve"> </w:t>
      </w:r>
      <w:r>
        <w:rPr>
          <w:rFonts w:ascii="Times New Roman" w:hAnsi="Times New Roman"/>
          <w:lang w:val="bs-Latn-BA"/>
        </w:rPr>
        <w:t>координи</w:t>
      </w:r>
      <w:r w:rsidR="00C9019F">
        <w:rPr>
          <w:rFonts w:ascii="Times New Roman" w:hAnsi="Times New Roman"/>
          <w:lang w:val="sr-Cyrl-BA"/>
        </w:rPr>
        <w:t>ше</w:t>
      </w:r>
      <w:r w:rsidR="00B575BA">
        <w:rPr>
          <w:rFonts w:ascii="Times New Roman" w:hAnsi="Times New Roman"/>
          <w:lang w:val="bs-Latn-BA"/>
        </w:rPr>
        <w:t xml:space="preserve"> </w:t>
      </w:r>
      <w:r>
        <w:rPr>
          <w:rFonts w:ascii="Times New Roman" w:hAnsi="Times New Roman"/>
          <w:lang w:val="bs-Latn-BA"/>
        </w:rPr>
        <w:t>активности</w:t>
      </w:r>
      <w:r w:rsidR="00B575BA">
        <w:rPr>
          <w:rFonts w:ascii="Times New Roman" w:hAnsi="Times New Roman"/>
          <w:lang w:val="bs-Latn-BA"/>
        </w:rPr>
        <w:t xml:space="preserve"> </w:t>
      </w:r>
      <w:r>
        <w:rPr>
          <w:rFonts w:ascii="Times New Roman" w:hAnsi="Times New Roman"/>
          <w:lang w:val="bs-Latn-BA"/>
        </w:rPr>
        <w:t>са</w:t>
      </w:r>
      <w:r w:rsidR="00305971" w:rsidRPr="00295637">
        <w:rPr>
          <w:rFonts w:ascii="Times New Roman" w:hAnsi="Times New Roman"/>
          <w:lang w:val="bs-Latn-BA"/>
        </w:rPr>
        <w:t xml:space="preserve"> </w:t>
      </w:r>
      <w:r>
        <w:rPr>
          <w:rFonts w:ascii="Times New Roman" w:hAnsi="Times New Roman"/>
          <w:lang w:val="bs-Latn-BA"/>
        </w:rPr>
        <w:t>кантонима</w:t>
      </w:r>
      <w:r w:rsidR="00305971" w:rsidRPr="00295637">
        <w:rPr>
          <w:rFonts w:ascii="Times New Roman" w:hAnsi="Times New Roman"/>
          <w:lang w:val="bs-Latn-BA"/>
        </w:rPr>
        <w:t xml:space="preserve"> </w:t>
      </w:r>
      <w:r w:rsidR="00C9019F">
        <w:rPr>
          <w:rFonts w:ascii="Times New Roman" w:hAnsi="Times New Roman"/>
          <w:lang w:val="sr-Cyrl-BA"/>
        </w:rPr>
        <w:t>с</w:t>
      </w:r>
      <w:r w:rsidR="00305971" w:rsidRPr="00295637">
        <w:rPr>
          <w:rFonts w:ascii="Times New Roman" w:hAnsi="Times New Roman"/>
          <w:lang w:val="bs-Latn-BA"/>
        </w:rPr>
        <w:t xml:space="preserve"> </w:t>
      </w:r>
      <w:r>
        <w:rPr>
          <w:rFonts w:ascii="Times New Roman" w:hAnsi="Times New Roman"/>
          <w:lang w:val="bs-Latn-BA"/>
        </w:rPr>
        <w:t>циљ</w:t>
      </w:r>
      <w:r w:rsidR="00C9019F">
        <w:rPr>
          <w:rFonts w:ascii="Times New Roman" w:hAnsi="Times New Roman"/>
          <w:lang w:val="sr-Cyrl-BA"/>
        </w:rPr>
        <w:t>ем</w:t>
      </w:r>
      <w:r w:rsidR="00305971" w:rsidRPr="00295637">
        <w:rPr>
          <w:rFonts w:ascii="Times New Roman" w:hAnsi="Times New Roman"/>
          <w:lang w:val="bs-Latn-BA"/>
        </w:rPr>
        <w:t xml:space="preserve"> </w:t>
      </w:r>
      <w:r>
        <w:rPr>
          <w:rFonts w:ascii="Times New Roman" w:hAnsi="Times New Roman"/>
          <w:lang w:val="bs-Latn-BA"/>
        </w:rPr>
        <w:t>унапређења</w:t>
      </w:r>
      <w:r w:rsidR="00305971" w:rsidRPr="00295637">
        <w:rPr>
          <w:rFonts w:ascii="Times New Roman" w:hAnsi="Times New Roman"/>
          <w:lang w:val="bs-Latn-BA"/>
        </w:rPr>
        <w:t xml:space="preserve"> </w:t>
      </w:r>
      <w:r>
        <w:rPr>
          <w:rFonts w:ascii="Times New Roman" w:hAnsi="Times New Roman"/>
          <w:lang w:val="bs-Latn-BA"/>
        </w:rPr>
        <w:t>система</w:t>
      </w:r>
      <w:r w:rsidR="00305971" w:rsidRPr="00295637">
        <w:rPr>
          <w:rFonts w:ascii="Times New Roman" w:hAnsi="Times New Roman"/>
          <w:lang w:val="bs-Latn-BA"/>
        </w:rPr>
        <w:t xml:space="preserve"> </w:t>
      </w:r>
      <w:r>
        <w:rPr>
          <w:rFonts w:ascii="Times New Roman" w:hAnsi="Times New Roman"/>
          <w:lang w:val="bs-Latn-BA"/>
        </w:rPr>
        <w:t>бесплатне</w:t>
      </w:r>
      <w:r w:rsidR="00305971" w:rsidRPr="00295637">
        <w:rPr>
          <w:rFonts w:ascii="Times New Roman" w:hAnsi="Times New Roman"/>
          <w:lang w:val="bs-Latn-BA"/>
        </w:rPr>
        <w:t xml:space="preserve"> </w:t>
      </w:r>
      <w:r>
        <w:rPr>
          <w:rFonts w:ascii="Times New Roman" w:hAnsi="Times New Roman"/>
          <w:lang w:val="bs-Latn-BA"/>
        </w:rPr>
        <w:t>правне</w:t>
      </w:r>
      <w:r w:rsidR="00305971" w:rsidRPr="00295637">
        <w:rPr>
          <w:rFonts w:ascii="Times New Roman" w:hAnsi="Times New Roman"/>
          <w:lang w:val="bs-Latn-BA"/>
        </w:rPr>
        <w:t xml:space="preserve"> </w:t>
      </w:r>
      <w:r>
        <w:rPr>
          <w:rFonts w:ascii="Times New Roman" w:hAnsi="Times New Roman"/>
          <w:lang w:val="bs-Latn-BA"/>
        </w:rPr>
        <w:t>помоћи</w:t>
      </w:r>
      <w:r w:rsidR="00305971" w:rsidRPr="00295637">
        <w:rPr>
          <w:rFonts w:ascii="Times New Roman" w:hAnsi="Times New Roman"/>
          <w:lang w:val="bs-Latn-BA"/>
        </w:rPr>
        <w:t xml:space="preserve">. </w:t>
      </w:r>
      <w:r>
        <w:rPr>
          <w:rFonts w:ascii="Times New Roman" w:hAnsi="Times New Roman"/>
          <w:lang w:val="bs-Latn-BA"/>
        </w:rPr>
        <w:t>Циљ</w:t>
      </w:r>
      <w:r w:rsidR="00305971" w:rsidRPr="00295637">
        <w:rPr>
          <w:rFonts w:ascii="Times New Roman" w:hAnsi="Times New Roman"/>
          <w:lang w:val="bs-Latn-BA"/>
        </w:rPr>
        <w:t xml:space="preserve"> </w:t>
      </w:r>
      <w:r>
        <w:rPr>
          <w:rFonts w:ascii="Times New Roman" w:hAnsi="Times New Roman"/>
          <w:lang w:val="bs-Latn-BA"/>
        </w:rPr>
        <w:t>је</w:t>
      </w:r>
      <w:r w:rsidR="00305971" w:rsidRPr="00295637">
        <w:rPr>
          <w:rFonts w:ascii="Times New Roman" w:hAnsi="Times New Roman"/>
          <w:lang w:val="bs-Latn-BA"/>
        </w:rPr>
        <w:t xml:space="preserve"> </w:t>
      </w:r>
      <w:r>
        <w:rPr>
          <w:rFonts w:ascii="Times New Roman" w:hAnsi="Times New Roman"/>
          <w:lang w:val="bs-Latn-BA"/>
        </w:rPr>
        <w:t>о</w:t>
      </w:r>
      <w:r w:rsidR="00C9019F">
        <w:rPr>
          <w:rFonts w:ascii="Times New Roman" w:hAnsi="Times New Roman"/>
          <w:lang w:val="sr-Cyrl-BA"/>
        </w:rPr>
        <w:t>безбиједити</w:t>
      </w:r>
      <w:r w:rsidR="00305971" w:rsidRPr="00295637">
        <w:rPr>
          <w:rFonts w:ascii="Times New Roman" w:hAnsi="Times New Roman"/>
          <w:lang w:val="bs-Latn-BA"/>
        </w:rPr>
        <w:t xml:space="preserve"> </w:t>
      </w:r>
      <w:r>
        <w:rPr>
          <w:rFonts w:ascii="Times New Roman" w:hAnsi="Times New Roman"/>
          <w:lang w:val="bs-Latn-BA"/>
        </w:rPr>
        <w:t>да</w:t>
      </w:r>
      <w:r w:rsidR="00305971" w:rsidRPr="00295637">
        <w:rPr>
          <w:rFonts w:ascii="Times New Roman" w:hAnsi="Times New Roman"/>
          <w:lang w:val="bs-Latn-BA"/>
        </w:rPr>
        <w:t xml:space="preserve"> </w:t>
      </w:r>
      <w:r>
        <w:rPr>
          <w:rFonts w:ascii="Times New Roman" w:hAnsi="Times New Roman"/>
          <w:lang w:val="bs-Latn-BA"/>
        </w:rPr>
        <w:t>бесплатна</w:t>
      </w:r>
      <w:r w:rsidR="00305971" w:rsidRPr="00295637">
        <w:rPr>
          <w:rFonts w:ascii="Times New Roman" w:hAnsi="Times New Roman"/>
          <w:lang w:val="bs-Latn-BA"/>
        </w:rPr>
        <w:t xml:space="preserve"> </w:t>
      </w:r>
      <w:r>
        <w:rPr>
          <w:rFonts w:ascii="Times New Roman" w:hAnsi="Times New Roman"/>
          <w:lang w:val="bs-Latn-BA"/>
        </w:rPr>
        <w:t>правна</w:t>
      </w:r>
      <w:r w:rsidR="00305971" w:rsidRPr="00295637">
        <w:rPr>
          <w:rFonts w:ascii="Times New Roman" w:hAnsi="Times New Roman"/>
          <w:lang w:val="bs-Latn-BA"/>
        </w:rPr>
        <w:t xml:space="preserve"> </w:t>
      </w:r>
      <w:r>
        <w:rPr>
          <w:rFonts w:ascii="Times New Roman" w:hAnsi="Times New Roman"/>
          <w:lang w:val="bs-Latn-BA"/>
        </w:rPr>
        <w:t>помоћ</w:t>
      </w:r>
      <w:r w:rsidR="00305971" w:rsidRPr="00295637">
        <w:rPr>
          <w:rFonts w:ascii="Times New Roman" w:hAnsi="Times New Roman"/>
          <w:lang w:val="bs-Latn-BA"/>
        </w:rPr>
        <w:t xml:space="preserve"> </w:t>
      </w:r>
      <w:r>
        <w:rPr>
          <w:rFonts w:ascii="Times New Roman" w:hAnsi="Times New Roman"/>
          <w:lang w:val="bs-Latn-BA"/>
        </w:rPr>
        <w:t>буде</w:t>
      </w:r>
      <w:r w:rsidR="00305971" w:rsidRPr="00295637">
        <w:rPr>
          <w:rFonts w:ascii="Times New Roman" w:hAnsi="Times New Roman"/>
          <w:lang w:val="bs-Latn-BA"/>
        </w:rPr>
        <w:t xml:space="preserve"> </w:t>
      </w:r>
      <w:r>
        <w:rPr>
          <w:rFonts w:ascii="Times New Roman" w:hAnsi="Times New Roman"/>
          <w:lang w:val="bs-Latn-BA"/>
        </w:rPr>
        <w:t>доступна</w:t>
      </w:r>
      <w:r w:rsidR="00305971" w:rsidRPr="00295637">
        <w:rPr>
          <w:rFonts w:ascii="Times New Roman" w:hAnsi="Times New Roman"/>
          <w:lang w:val="bs-Latn-BA"/>
        </w:rPr>
        <w:t xml:space="preserve"> </w:t>
      </w:r>
      <w:r>
        <w:rPr>
          <w:rFonts w:ascii="Times New Roman" w:hAnsi="Times New Roman"/>
          <w:lang w:val="bs-Latn-BA"/>
        </w:rPr>
        <w:t>свим</w:t>
      </w:r>
      <w:r w:rsidR="00305971" w:rsidRPr="00295637">
        <w:rPr>
          <w:rFonts w:ascii="Times New Roman" w:hAnsi="Times New Roman"/>
          <w:lang w:val="bs-Latn-BA"/>
        </w:rPr>
        <w:t xml:space="preserve"> </w:t>
      </w:r>
      <w:r>
        <w:rPr>
          <w:rFonts w:ascii="Times New Roman" w:hAnsi="Times New Roman"/>
          <w:lang w:val="bs-Latn-BA"/>
        </w:rPr>
        <w:t>рањивим</w:t>
      </w:r>
      <w:r w:rsidR="00305971" w:rsidRPr="00295637">
        <w:rPr>
          <w:rFonts w:ascii="Times New Roman" w:hAnsi="Times New Roman"/>
          <w:lang w:val="bs-Latn-BA"/>
        </w:rPr>
        <w:t xml:space="preserve"> </w:t>
      </w:r>
      <w:r>
        <w:rPr>
          <w:rFonts w:ascii="Times New Roman" w:hAnsi="Times New Roman"/>
          <w:lang w:val="bs-Latn-BA"/>
        </w:rPr>
        <w:t>грађанима</w:t>
      </w:r>
      <w:r w:rsidR="00305971" w:rsidRPr="00295637">
        <w:rPr>
          <w:rFonts w:ascii="Times New Roman" w:hAnsi="Times New Roman"/>
          <w:lang w:val="bs-Latn-BA"/>
        </w:rPr>
        <w:t xml:space="preserve">, </w:t>
      </w:r>
      <w:r>
        <w:rPr>
          <w:rFonts w:ascii="Times New Roman" w:hAnsi="Times New Roman"/>
          <w:lang w:val="bs-Latn-BA"/>
        </w:rPr>
        <w:t>укључујући</w:t>
      </w:r>
      <w:r w:rsidR="00305971" w:rsidRPr="00295637">
        <w:rPr>
          <w:rFonts w:ascii="Times New Roman" w:hAnsi="Times New Roman"/>
          <w:lang w:val="bs-Latn-BA"/>
        </w:rPr>
        <w:t xml:space="preserve"> </w:t>
      </w:r>
      <w:r>
        <w:rPr>
          <w:rFonts w:ascii="Times New Roman" w:hAnsi="Times New Roman"/>
          <w:lang w:val="bs-Latn-BA"/>
        </w:rPr>
        <w:t>жртве</w:t>
      </w:r>
      <w:r w:rsidR="00305971" w:rsidRPr="00295637">
        <w:rPr>
          <w:rFonts w:ascii="Times New Roman" w:hAnsi="Times New Roman"/>
          <w:lang w:val="bs-Latn-BA"/>
        </w:rPr>
        <w:t xml:space="preserve"> </w:t>
      </w:r>
      <w:r>
        <w:rPr>
          <w:rFonts w:ascii="Times New Roman" w:hAnsi="Times New Roman"/>
          <w:lang w:val="bs-Latn-BA"/>
        </w:rPr>
        <w:t>ратног</w:t>
      </w:r>
      <w:r w:rsidR="00305971" w:rsidRPr="00295637">
        <w:rPr>
          <w:rFonts w:ascii="Times New Roman" w:hAnsi="Times New Roman"/>
          <w:lang w:val="bs-Latn-BA"/>
        </w:rPr>
        <w:t xml:space="preserve"> </w:t>
      </w:r>
      <w:r>
        <w:rPr>
          <w:rFonts w:ascii="Times New Roman" w:hAnsi="Times New Roman"/>
          <w:lang w:val="bs-Latn-BA"/>
        </w:rPr>
        <w:t>сексуалног</w:t>
      </w:r>
      <w:r w:rsidR="00305971" w:rsidRPr="00295637">
        <w:rPr>
          <w:rFonts w:ascii="Times New Roman" w:hAnsi="Times New Roman"/>
          <w:lang w:val="bs-Latn-BA"/>
        </w:rPr>
        <w:t xml:space="preserve"> </w:t>
      </w:r>
      <w:r>
        <w:rPr>
          <w:rFonts w:ascii="Times New Roman" w:hAnsi="Times New Roman"/>
          <w:lang w:val="bs-Latn-BA"/>
        </w:rPr>
        <w:t>насиља</w:t>
      </w:r>
      <w:r w:rsidR="00305971" w:rsidRPr="00295637">
        <w:rPr>
          <w:rFonts w:ascii="Times New Roman" w:hAnsi="Times New Roman"/>
          <w:lang w:val="bs-Latn-BA"/>
        </w:rPr>
        <w:t xml:space="preserve">. </w:t>
      </w:r>
      <w:r>
        <w:rPr>
          <w:rFonts w:ascii="Times New Roman" w:hAnsi="Times New Roman"/>
          <w:lang w:val="bs-Latn-BA"/>
        </w:rPr>
        <w:t>Право</w:t>
      </w:r>
      <w:r w:rsidR="00305971" w:rsidRPr="00295637">
        <w:rPr>
          <w:rFonts w:ascii="Times New Roman" w:hAnsi="Times New Roman"/>
          <w:lang w:val="bs-Latn-BA"/>
        </w:rPr>
        <w:t xml:space="preserve"> </w:t>
      </w:r>
      <w:r>
        <w:rPr>
          <w:rFonts w:ascii="Times New Roman" w:hAnsi="Times New Roman"/>
          <w:lang w:val="bs-Latn-BA"/>
        </w:rPr>
        <w:t>на</w:t>
      </w:r>
      <w:r w:rsidR="00305971" w:rsidRPr="00295637">
        <w:rPr>
          <w:rFonts w:ascii="Times New Roman" w:hAnsi="Times New Roman"/>
          <w:lang w:val="bs-Latn-BA"/>
        </w:rPr>
        <w:t xml:space="preserve"> </w:t>
      </w:r>
      <w:r>
        <w:rPr>
          <w:rFonts w:ascii="Times New Roman" w:hAnsi="Times New Roman"/>
          <w:lang w:val="bs-Latn-BA"/>
        </w:rPr>
        <w:t>бесплатну</w:t>
      </w:r>
      <w:r w:rsidR="00305971" w:rsidRPr="00295637">
        <w:rPr>
          <w:rFonts w:ascii="Times New Roman" w:hAnsi="Times New Roman"/>
          <w:lang w:val="bs-Latn-BA"/>
        </w:rPr>
        <w:t xml:space="preserve"> </w:t>
      </w:r>
      <w:r>
        <w:rPr>
          <w:rFonts w:ascii="Times New Roman" w:hAnsi="Times New Roman"/>
          <w:lang w:val="bs-Latn-BA"/>
        </w:rPr>
        <w:t>правну</w:t>
      </w:r>
      <w:r w:rsidR="00305971" w:rsidRPr="00295637">
        <w:rPr>
          <w:rFonts w:ascii="Times New Roman" w:hAnsi="Times New Roman"/>
          <w:lang w:val="bs-Latn-BA"/>
        </w:rPr>
        <w:t xml:space="preserve"> </w:t>
      </w:r>
      <w:r>
        <w:rPr>
          <w:rFonts w:ascii="Times New Roman" w:hAnsi="Times New Roman"/>
          <w:lang w:val="bs-Latn-BA"/>
        </w:rPr>
        <w:t>помоћ</w:t>
      </w:r>
      <w:r w:rsidR="00305971" w:rsidRPr="00295637">
        <w:rPr>
          <w:rFonts w:ascii="Times New Roman" w:hAnsi="Times New Roman"/>
          <w:lang w:val="bs-Latn-BA"/>
        </w:rPr>
        <w:t xml:space="preserve"> </w:t>
      </w:r>
      <w:r>
        <w:rPr>
          <w:rFonts w:ascii="Times New Roman" w:hAnsi="Times New Roman"/>
          <w:lang w:val="bs-Latn-BA"/>
        </w:rPr>
        <w:t>регули</w:t>
      </w:r>
      <w:r w:rsidR="00C9019F">
        <w:rPr>
          <w:rFonts w:ascii="Times New Roman" w:hAnsi="Times New Roman"/>
          <w:lang w:val="sr-Cyrl-BA"/>
        </w:rPr>
        <w:t>с</w:t>
      </w:r>
      <w:r>
        <w:rPr>
          <w:rFonts w:ascii="Times New Roman" w:hAnsi="Times New Roman"/>
          <w:lang w:val="bs-Latn-BA"/>
        </w:rPr>
        <w:t>ано</w:t>
      </w:r>
      <w:r w:rsidR="00305971" w:rsidRPr="00295637">
        <w:rPr>
          <w:rFonts w:ascii="Times New Roman" w:hAnsi="Times New Roman"/>
          <w:lang w:val="bs-Latn-BA"/>
        </w:rPr>
        <w:t xml:space="preserve"> </w:t>
      </w:r>
      <w:r>
        <w:rPr>
          <w:rFonts w:ascii="Times New Roman" w:hAnsi="Times New Roman"/>
          <w:lang w:val="bs-Latn-BA"/>
        </w:rPr>
        <w:t>је</w:t>
      </w:r>
      <w:r w:rsidR="00305971" w:rsidRPr="00295637">
        <w:rPr>
          <w:rFonts w:ascii="Times New Roman" w:hAnsi="Times New Roman"/>
          <w:lang w:val="bs-Latn-BA"/>
        </w:rPr>
        <w:t xml:space="preserve"> </w:t>
      </w:r>
      <w:r>
        <w:rPr>
          <w:rFonts w:ascii="Times New Roman" w:hAnsi="Times New Roman"/>
          <w:lang w:val="bs-Latn-BA"/>
        </w:rPr>
        <w:t>кантоналним</w:t>
      </w:r>
      <w:r w:rsidR="00305971" w:rsidRPr="00295637">
        <w:rPr>
          <w:rFonts w:ascii="Times New Roman" w:hAnsi="Times New Roman"/>
          <w:lang w:val="bs-Latn-BA"/>
        </w:rPr>
        <w:t xml:space="preserve"> </w:t>
      </w:r>
      <w:r>
        <w:rPr>
          <w:rFonts w:ascii="Times New Roman" w:hAnsi="Times New Roman"/>
          <w:lang w:val="bs-Latn-BA"/>
        </w:rPr>
        <w:t>прописима</w:t>
      </w:r>
      <w:r w:rsidR="00305971" w:rsidRPr="00295637">
        <w:rPr>
          <w:rFonts w:ascii="Times New Roman" w:hAnsi="Times New Roman"/>
          <w:lang w:val="bs-Latn-BA"/>
        </w:rPr>
        <w:t xml:space="preserve">, </w:t>
      </w:r>
      <w:r>
        <w:rPr>
          <w:rFonts w:ascii="Times New Roman" w:hAnsi="Times New Roman"/>
          <w:lang w:val="bs-Latn-BA"/>
        </w:rPr>
        <w:t>те</w:t>
      </w:r>
      <w:r w:rsidR="00305971" w:rsidRPr="00295637">
        <w:rPr>
          <w:rFonts w:ascii="Times New Roman" w:hAnsi="Times New Roman"/>
          <w:lang w:val="bs-Latn-BA"/>
        </w:rPr>
        <w:t xml:space="preserve"> </w:t>
      </w:r>
      <w:r>
        <w:rPr>
          <w:rFonts w:ascii="Times New Roman" w:hAnsi="Times New Roman"/>
          <w:lang w:val="bs-Latn-BA"/>
        </w:rPr>
        <w:t>су</w:t>
      </w:r>
      <w:r w:rsidR="00305971" w:rsidRPr="00295637">
        <w:rPr>
          <w:rFonts w:ascii="Times New Roman" w:hAnsi="Times New Roman"/>
          <w:lang w:val="bs-Latn-BA"/>
        </w:rPr>
        <w:t xml:space="preserve"> </w:t>
      </w:r>
      <w:r>
        <w:rPr>
          <w:rFonts w:ascii="Times New Roman" w:hAnsi="Times New Roman"/>
          <w:lang w:val="bs-Latn-BA"/>
        </w:rPr>
        <w:t>потребне</w:t>
      </w:r>
      <w:r w:rsidR="00305971" w:rsidRPr="00295637">
        <w:rPr>
          <w:rFonts w:ascii="Times New Roman" w:hAnsi="Times New Roman"/>
          <w:lang w:val="bs-Latn-BA"/>
        </w:rPr>
        <w:t xml:space="preserve"> </w:t>
      </w:r>
      <w:r>
        <w:rPr>
          <w:rFonts w:ascii="Times New Roman" w:hAnsi="Times New Roman"/>
          <w:lang w:val="bs-Latn-BA"/>
        </w:rPr>
        <w:t>интервенције</w:t>
      </w:r>
      <w:r w:rsidR="00305971" w:rsidRPr="00295637">
        <w:rPr>
          <w:rFonts w:ascii="Times New Roman" w:hAnsi="Times New Roman"/>
          <w:lang w:val="bs-Latn-BA"/>
        </w:rPr>
        <w:t xml:space="preserve"> </w:t>
      </w:r>
      <w:r>
        <w:rPr>
          <w:rFonts w:ascii="Times New Roman" w:hAnsi="Times New Roman"/>
          <w:lang w:val="bs-Latn-BA"/>
        </w:rPr>
        <w:t>како</w:t>
      </w:r>
      <w:r w:rsidR="00305971" w:rsidRPr="00295637">
        <w:rPr>
          <w:rFonts w:ascii="Times New Roman" w:hAnsi="Times New Roman"/>
          <w:lang w:val="bs-Latn-BA"/>
        </w:rPr>
        <w:t xml:space="preserve"> </w:t>
      </w:r>
      <w:r>
        <w:rPr>
          <w:rFonts w:ascii="Times New Roman" w:hAnsi="Times New Roman"/>
          <w:lang w:val="bs-Latn-BA"/>
        </w:rPr>
        <w:t>би</w:t>
      </w:r>
      <w:r w:rsidR="00305971" w:rsidRPr="00295637">
        <w:rPr>
          <w:rFonts w:ascii="Times New Roman" w:hAnsi="Times New Roman"/>
          <w:lang w:val="bs-Latn-BA"/>
        </w:rPr>
        <w:t xml:space="preserve"> </w:t>
      </w:r>
      <w:r>
        <w:rPr>
          <w:rFonts w:ascii="Times New Roman" w:hAnsi="Times New Roman"/>
          <w:lang w:val="bs-Latn-BA"/>
        </w:rPr>
        <w:t>се</w:t>
      </w:r>
      <w:r w:rsidR="00305971" w:rsidRPr="00295637">
        <w:rPr>
          <w:rFonts w:ascii="Times New Roman" w:hAnsi="Times New Roman"/>
          <w:lang w:val="bs-Latn-BA"/>
        </w:rPr>
        <w:t xml:space="preserve"> </w:t>
      </w:r>
      <w:r>
        <w:rPr>
          <w:rFonts w:ascii="Times New Roman" w:hAnsi="Times New Roman"/>
          <w:lang w:val="bs-Latn-BA"/>
        </w:rPr>
        <w:t>ово</w:t>
      </w:r>
      <w:r w:rsidR="00305971" w:rsidRPr="00295637">
        <w:rPr>
          <w:rFonts w:ascii="Times New Roman" w:hAnsi="Times New Roman"/>
          <w:lang w:val="bs-Latn-BA"/>
        </w:rPr>
        <w:t xml:space="preserve"> </w:t>
      </w:r>
      <w:r>
        <w:rPr>
          <w:rFonts w:ascii="Times New Roman" w:hAnsi="Times New Roman"/>
          <w:lang w:val="bs-Latn-BA"/>
        </w:rPr>
        <w:t>право</w:t>
      </w:r>
      <w:r w:rsidR="00305971" w:rsidRPr="00295637">
        <w:rPr>
          <w:rFonts w:ascii="Times New Roman" w:hAnsi="Times New Roman"/>
          <w:lang w:val="bs-Latn-BA"/>
        </w:rPr>
        <w:t xml:space="preserve"> </w:t>
      </w:r>
      <w:r>
        <w:rPr>
          <w:rFonts w:ascii="Times New Roman" w:hAnsi="Times New Roman"/>
          <w:lang w:val="bs-Latn-BA"/>
        </w:rPr>
        <w:t>уједначило</w:t>
      </w:r>
      <w:r w:rsidR="00305971" w:rsidRPr="00295637">
        <w:rPr>
          <w:rFonts w:ascii="Times New Roman" w:hAnsi="Times New Roman"/>
          <w:lang w:val="bs-Latn-BA"/>
        </w:rPr>
        <w:t xml:space="preserve"> </w:t>
      </w:r>
      <w:r>
        <w:rPr>
          <w:rFonts w:ascii="Times New Roman" w:hAnsi="Times New Roman"/>
          <w:lang w:val="bs-Latn-BA"/>
        </w:rPr>
        <w:t>на</w:t>
      </w:r>
      <w:r w:rsidR="00305971" w:rsidRPr="00295637">
        <w:rPr>
          <w:rFonts w:ascii="Times New Roman" w:hAnsi="Times New Roman"/>
          <w:lang w:val="bs-Latn-BA"/>
        </w:rPr>
        <w:t xml:space="preserve"> </w:t>
      </w:r>
      <w:r>
        <w:rPr>
          <w:rFonts w:ascii="Times New Roman" w:hAnsi="Times New Roman"/>
          <w:lang w:val="bs-Latn-BA"/>
        </w:rPr>
        <w:t>цијелој</w:t>
      </w:r>
      <w:r w:rsidR="00305971" w:rsidRPr="00295637">
        <w:rPr>
          <w:rFonts w:ascii="Times New Roman" w:hAnsi="Times New Roman"/>
          <w:lang w:val="bs-Latn-BA"/>
        </w:rPr>
        <w:t xml:space="preserve"> </w:t>
      </w:r>
      <w:r>
        <w:rPr>
          <w:rFonts w:ascii="Times New Roman" w:hAnsi="Times New Roman"/>
          <w:lang w:val="bs-Latn-BA"/>
        </w:rPr>
        <w:t>територији</w:t>
      </w:r>
      <w:r w:rsidR="00305971" w:rsidRPr="00295637">
        <w:rPr>
          <w:rFonts w:ascii="Times New Roman" w:hAnsi="Times New Roman"/>
          <w:lang w:val="bs-Latn-BA"/>
        </w:rPr>
        <w:t xml:space="preserve"> </w:t>
      </w:r>
      <w:r>
        <w:rPr>
          <w:rFonts w:ascii="Times New Roman" w:hAnsi="Times New Roman"/>
          <w:lang w:val="bs-Latn-BA"/>
        </w:rPr>
        <w:t>ФБиХ</w:t>
      </w:r>
      <w:r w:rsidR="00305971" w:rsidRPr="00295637">
        <w:rPr>
          <w:rFonts w:ascii="Times New Roman" w:hAnsi="Times New Roman"/>
          <w:lang w:val="bs-Latn-BA"/>
        </w:rPr>
        <w:t>.</w:t>
      </w:r>
    </w:p>
    <w:p w:rsidR="00C142CC" w:rsidRPr="00295637" w:rsidRDefault="00C142CC" w:rsidP="0086268D">
      <w:pPr>
        <w:jc w:val="both"/>
        <w:rPr>
          <w:rFonts w:ascii="Times New Roman" w:hAnsi="Times New Roman"/>
          <w:szCs w:val="24"/>
        </w:rPr>
      </w:pPr>
    </w:p>
    <w:p w:rsidR="00D41A15" w:rsidRPr="00295637" w:rsidRDefault="00C6214E" w:rsidP="0086268D">
      <w:pPr>
        <w:pStyle w:val="NormalWeb"/>
        <w:spacing w:before="0" w:beforeAutospacing="0" w:after="0" w:afterAutospacing="0"/>
        <w:jc w:val="both"/>
        <w:rPr>
          <w:rFonts w:ascii="Gill Sans MT" w:hAnsi="Gill Sans MT"/>
          <w:lang w:val="bs-Latn-BA"/>
        </w:rPr>
      </w:pPr>
      <w:r>
        <w:rPr>
          <w:lang w:val="bs-Latn-BA"/>
        </w:rPr>
        <w:t>ФМРСП</w:t>
      </w:r>
      <w:r w:rsidR="00D41A15" w:rsidRPr="00295637">
        <w:rPr>
          <w:lang w:val="bs-Latn-BA"/>
        </w:rPr>
        <w:t xml:space="preserve"> </w:t>
      </w:r>
      <w:r>
        <w:rPr>
          <w:lang w:val="bs-Latn-BA"/>
        </w:rPr>
        <w:t>о</w:t>
      </w:r>
      <w:r w:rsidR="00C9019F">
        <w:rPr>
          <w:lang w:val="sr-Cyrl-BA"/>
        </w:rPr>
        <w:t>безбиједило</w:t>
      </w:r>
      <w:r w:rsidR="00D41A15" w:rsidRPr="00295637">
        <w:rPr>
          <w:lang w:val="bs-Latn-BA"/>
        </w:rPr>
        <w:t xml:space="preserve"> </w:t>
      </w:r>
      <w:r>
        <w:rPr>
          <w:lang w:val="bs-Latn-BA"/>
        </w:rPr>
        <w:t>је</w:t>
      </w:r>
      <w:r w:rsidR="00B575BA" w:rsidRPr="00295637">
        <w:rPr>
          <w:lang w:val="bs-Latn-BA"/>
        </w:rPr>
        <w:t xml:space="preserve"> </w:t>
      </w:r>
      <w:r>
        <w:rPr>
          <w:lang w:val="bs-Latn-BA"/>
        </w:rPr>
        <w:t>финансијска</w:t>
      </w:r>
      <w:r w:rsidR="00D41A15" w:rsidRPr="00295637">
        <w:rPr>
          <w:lang w:val="bs-Latn-BA"/>
        </w:rPr>
        <w:t xml:space="preserve"> </w:t>
      </w:r>
      <w:r>
        <w:rPr>
          <w:lang w:val="bs-Latn-BA"/>
        </w:rPr>
        <w:t>средства</w:t>
      </w:r>
      <w:r w:rsidR="00D41A15" w:rsidRPr="00295637">
        <w:rPr>
          <w:lang w:val="bs-Latn-BA"/>
        </w:rPr>
        <w:t xml:space="preserve"> </w:t>
      </w:r>
      <w:r>
        <w:rPr>
          <w:lang w:val="bs-Latn-BA"/>
        </w:rPr>
        <w:t>за</w:t>
      </w:r>
      <w:r w:rsidR="00D41A15" w:rsidRPr="00295637">
        <w:rPr>
          <w:lang w:val="bs-Latn-BA"/>
        </w:rPr>
        <w:t xml:space="preserve"> </w:t>
      </w:r>
      <w:r>
        <w:rPr>
          <w:lang w:val="bs-Latn-BA"/>
        </w:rPr>
        <w:t>сигурне</w:t>
      </w:r>
      <w:r w:rsidR="00D41A15" w:rsidRPr="00295637">
        <w:rPr>
          <w:lang w:val="bs-Latn-BA"/>
        </w:rPr>
        <w:t xml:space="preserve"> </w:t>
      </w:r>
      <w:r>
        <w:rPr>
          <w:lang w:val="bs-Latn-BA"/>
        </w:rPr>
        <w:t>куће</w:t>
      </w:r>
      <w:r w:rsidR="00D41A15" w:rsidRPr="00295637">
        <w:rPr>
          <w:lang w:val="bs-Latn-BA"/>
        </w:rPr>
        <w:t xml:space="preserve"> </w:t>
      </w:r>
      <w:r>
        <w:rPr>
          <w:lang w:val="bs-Latn-BA"/>
        </w:rPr>
        <w:t>у</w:t>
      </w:r>
      <w:r w:rsidR="00D41A15" w:rsidRPr="00295637">
        <w:rPr>
          <w:lang w:val="bs-Latn-BA"/>
        </w:rPr>
        <w:t xml:space="preserve"> </w:t>
      </w:r>
      <w:r>
        <w:rPr>
          <w:lang w:val="bs-Latn-BA"/>
        </w:rPr>
        <w:t>ФБиХ</w:t>
      </w:r>
      <w:r w:rsidR="00D41A15" w:rsidRPr="00295637">
        <w:rPr>
          <w:lang w:val="bs-Latn-BA"/>
        </w:rPr>
        <w:t xml:space="preserve">, </w:t>
      </w:r>
      <w:r>
        <w:rPr>
          <w:lang w:val="bs-Latn-BA"/>
        </w:rPr>
        <w:t>у</w:t>
      </w:r>
      <w:r w:rsidR="00815D7A">
        <w:rPr>
          <w:lang w:val="bs-Latn-BA"/>
        </w:rPr>
        <w:t xml:space="preserve"> </w:t>
      </w:r>
      <w:r>
        <w:rPr>
          <w:lang w:val="bs-Latn-BA"/>
        </w:rPr>
        <w:t>складу</w:t>
      </w:r>
      <w:r w:rsidR="00815D7A">
        <w:rPr>
          <w:lang w:val="bs-Latn-BA"/>
        </w:rPr>
        <w:t xml:space="preserve"> </w:t>
      </w:r>
      <w:r>
        <w:rPr>
          <w:lang w:val="bs-Latn-BA"/>
        </w:rPr>
        <w:t>са</w:t>
      </w:r>
      <w:r w:rsidR="00D41A15" w:rsidRPr="00295637">
        <w:rPr>
          <w:lang w:val="bs-Latn-BA"/>
        </w:rPr>
        <w:t xml:space="preserve"> </w:t>
      </w:r>
      <w:r>
        <w:rPr>
          <w:lang w:val="bs-Latn-BA"/>
        </w:rPr>
        <w:t>Законом</w:t>
      </w:r>
      <w:r w:rsidR="00D41A15" w:rsidRPr="00295637">
        <w:rPr>
          <w:lang w:val="bs-Latn-BA"/>
        </w:rPr>
        <w:t xml:space="preserve"> </w:t>
      </w:r>
      <w:r>
        <w:rPr>
          <w:lang w:val="bs-Latn-BA"/>
        </w:rPr>
        <w:t>о</w:t>
      </w:r>
      <w:r w:rsidR="00D41A15" w:rsidRPr="00295637">
        <w:rPr>
          <w:lang w:val="bs-Latn-BA"/>
        </w:rPr>
        <w:t xml:space="preserve"> </w:t>
      </w:r>
      <w:r>
        <w:rPr>
          <w:lang w:val="bs-Latn-BA"/>
        </w:rPr>
        <w:t>заштити</w:t>
      </w:r>
      <w:r w:rsidR="00D41A15" w:rsidRPr="00295637">
        <w:rPr>
          <w:lang w:val="bs-Latn-BA"/>
        </w:rPr>
        <w:t xml:space="preserve"> </w:t>
      </w:r>
      <w:r>
        <w:rPr>
          <w:lang w:val="bs-Latn-BA"/>
        </w:rPr>
        <w:t>од</w:t>
      </w:r>
      <w:r w:rsidR="00D41A15" w:rsidRPr="00295637">
        <w:rPr>
          <w:lang w:val="bs-Latn-BA"/>
        </w:rPr>
        <w:t xml:space="preserve"> </w:t>
      </w:r>
      <w:r>
        <w:rPr>
          <w:lang w:val="bs-Latn-BA"/>
        </w:rPr>
        <w:t>насиља</w:t>
      </w:r>
      <w:r w:rsidR="00D41A15" w:rsidRPr="00295637">
        <w:rPr>
          <w:lang w:val="bs-Latn-BA"/>
        </w:rPr>
        <w:t xml:space="preserve"> </w:t>
      </w:r>
      <w:r>
        <w:rPr>
          <w:lang w:val="bs-Latn-BA"/>
        </w:rPr>
        <w:t>у</w:t>
      </w:r>
      <w:r w:rsidR="00D41A15" w:rsidRPr="00295637">
        <w:rPr>
          <w:lang w:val="bs-Latn-BA"/>
        </w:rPr>
        <w:t xml:space="preserve"> </w:t>
      </w:r>
      <w:r>
        <w:rPr>
          <w:lang w:val="bs-Latn-BA"/>
        </w:rPr>
        <w:t>породици</w:t>
      </w:r>
      <w:r w:rsidR="00D41A15" w:rsidRPr="00295637">
        <w:rPr>
          <w:lang w:val="bs-Latn-BA"/>
        </w:rPr>
        <w:t xml:space="preserve">. </w:t>
      </w:r>
      <w:r>
        <w:rPr>
          <w:lang w:val="bs-Latn-BA"/>
        </w:rPr>
        <w:t>О</w:t>
      </w:r>
      <w:r w:rsidR="00C9019F">
        <w:rPr>
          <w:lang w:val="sr-Cyrl-BA"/>
        </w:rPr>
        <w:t>безбјеђено</w:t>
      </w:r>
      <w:r w:rsidR="00D41A15" w:rsidRPr="00295637">
        <w:rPr>
          <w:lang w:val="bs-Latn-BA"/>
        </w:rPr>
        <w:t xml:space="preserve"> </w:t>
      </w:r>
      <w:r>
        <w:rPr>
          <w:lang w:val="bs-Latn-BA"/>
        </w:rPr>
        <w:t>је</w:t>
      </w:r>
      <w:r w:rsidR="00D41A15" w:rsidRPr="00295637">
        <w:rPr>
          <w:lang w:val="bs-Latn-BA"/>
        </w:rPr>
        <w:t xml:space="preserve"> 1.000.000 </w:t>
      </w:r>
      <w:r>
        <w:rPr>
          <w:lang w:val="bs-Latn-BA"/>
        </w:rPr>
        <w:t>КМ</w:t>
      </w:r>
      <w:r w:rsidR="00D41A15" w:rsidRPr="00295637">
        <w:rPr>
          <w:lang w:val="bs-Latn-BA"/>
        </w:rPr>
        <w:t xml:space="preserve"> </w:t>
      </w:r>
      <w:r>
        <w:rPr>
          <w:lang w:val="bs-Latn-BA"/>
        </w:rPr>
        <w:t>за</w:t>
      </w:r>
      <w:r w:rsidR="00D41A15" w:rsidRPr="00295637">
        <w:rPr>
          <w:lang w:val="bs-Latn-BA"/>
        </w:rPr>
        <w:t xml:space="preserve"> </w:t>
      </w:r>
      <w:r>
        <w:rPr>
          <w:lang w:val="bs-Latn-BA"/>
        </w:rPr>
        <w:t>подршку</w:t>
      </w:r>
      <w:r w:rsidR="00D41A15" w:rsidRPr="00295637">
        <w:rPr>
          <w:lang w:val="bs-Latn-BA"/>
        </w:rPr>
        <w:t xml:space="preserve"> </w:t>
      </w:r>
      <w:r>
        <w:rPr>
          <w:lang w:val="bs-Latn-BA"/>
        </w:rPr>
        <w:t>сигурним</w:t>
      </w:r>
      <w:r w:rsidR="00D41A15" w:rsidRPr="00295637">
        <w:rPr>
          <w:lang w:val="bs-Latn-BA"/>
        </w:rPr>
        <w:t xml:space="preserve"> </w:t>
      </w:r>
      <w:r>
        <w:rPr>
          <w:lang w:val="bs-Latn-BA"/>
        </w:rPr>
        <w:t>кућама</w:t>
      </w:r>
      <w:r w:rsidR="00D41A15" w:rsidRPr="00295637">
        <w:rPr>
          <w:lang w:val="bs-Latn-BA"/>
        </w:rPr>
        <w:t xml:space="preserve"> </w:t>
      </w:r>
      <w:r>
        <w:rPr>
          <w:lang w:val="bs-Latn-BA"/>
        </w:rPr>
        <w:t>које</w:t>
      </w:r>
      <w:r w:rsidR="00D41A15" w:rsidRPr="00295637">
        <w:rPr>
          <w:lang w:val="bs-Latn-BA"/>
        </w:rPr>
        <w:t xml:space="preserve"> </w:t>
      </w:r>
      <w:r>
        <w:rPr>
          <w:lang w:val="bs-Latn-BA"/>
        </w:rPr>
        <w:t>пружају</w:t>
      </w:r>
      <w:r w:rsidR="00D41A15" w:rsidRPr="00295637">
        <w:rPr>
          <w:lang w:val="bs-Latn-BA"/>
        </w:rPr>
        <w:t xml:space="preserve"> </w:t>
      </w:r>
      <w:r>
        <w:rPr>
          <w:lang w:val="bs-Latn-BA"/>
        </w:rPr>
        <w:t>привремени</w:t>
      </w:r>
      <w:r w:rsidR="00D41A15" w:rsidRPr="00295637">
        <w:rPr>
          <w:lang w:val="bs-Latn-BA"/>
        </w:rPr>
        <w:t xml:space="preserve"> </w:t>
      </w:r>
      <w:r>
        <w:rPr>
          <w:lang w:val="bs-Latn-BA"/>
        </w:rPr>
        <w:t>смјештај</w:t>
      </w:r>
      <w:r w:rsidR="00D41A15" w:rsidRPr="00295637">
        <w:rPr>
          <w:lang w:val="bs-Latn-BA"/>
        </w:rPr>
        <w:t xml:space="preserve"> </w:t>
      </w:r>
      <w:r>
        <w:rPr>
          <w:lang w:val="bs-Latn-BA"/>
        </w:rPr>
        <w:t>жртвама</w:t>
      </w:r>
      <w:r w:rsidR="00D41A15" w:rsidRPr="00295637">
        <w:rPr>
          <w:lang w:val="bs-Latn-BA"/>
        </w:rPr>
        <w:t xml:space="preserve"> </w:t>
      </w:r>
      <w:r>
        <w:rPr>
          <w:lang w:val="bs-Latn-BA"/>
        </w:rPr>
        <w:t>породичног</w:t>
      </w:r>
      <w:r w:rsidR="00D41A15" w:rsidRPr="00295637">
        <w:rPr>
          <w:lang w:val="bs-Latn-BA"/>
        </w:rPr>
        <w:t xml:space="preserve"> </w:t>
      </w:r>
      <w:r>
        <w:rPr>
          <w:lang w:val="bs-Latn-BA"/>
        </w:rPr>
        <w:t>насиља</w:t>
      </w:r>
      <w:r w:rsidR="00D41A15" w:rsidRPr="00295637">
        <w:rPr>
          <w:lang w:val="bs-Latn-BA"/>
        </w:rPr>
        <w:t xml:space="preserve">. </w:t>
      </w:r>
      <w:r>
        <w:rPr>
          <w:lang w:val="bs-Latn-BA"/>
        </w:rPr>
        <w:t>Ова</w:t>
      </w:r>
      <w:r w:rsidR="00D41A15" w:rsidRPr="00295637">
        <w:rPr>
          <w:lang w:val="bs-Latn-BA"/>
        </w:rPr>
        <w:t xml:space="preserve"> </w:t>
      </w:r>
      <w:r>
        <w:rPr>
          <w:lang w:val="bs-Latn-BA"/>
        </w:rPr>
        <w:t>средства</w:t>
      </w:r>
      <w:r w:rsidR="00D41A15" w:rsidRPr="00295637">
        <w:rPr>
          <w:lang w:val="bs-Latn-BA"/>
        </w:rPr>
        <w:t xml:space="preserve"> </w:t>
      </w:r>
      <w:r>
        <w:rPr>
          <w:lang w:val="bs-Latn-BA"/>
        </w:rPr>
        <w:t>омогућила</w:t>
      </w:r>
      <w:r w:rsidR="00D41A15" w:rsidRPr="00295637">
        <w:rPr>
          <w:lang w:val="bs-Latn-BA"/>
        </w:rPr>
        <w:t xml:space="preserve"> </w:t>
      </w:r>
      <w:r>
        <w:rPr>
          <w:lang w:val="bs-Latn-BA"/>
        </w:rPr>
        <w:t>су</w:t>
      </w:r>
      <w:r w:rsidR="00D41A15" w:rsidRPr="00295637">
        <w:rPr>
          <w:lang w:val="bs-Latn-BA"/>
        </w:rPr>
        <w:t xml:space="preserve"> </w:t>
      </w:r>
      <w:r>
        <w:rPr>
          <w:lang w:val="bs-Latn-BA"/>
        </w:rPr>
        <w:t>континуитет</w:t>
      </w:r>
      <w:r w:rsidR="00D41A15" w:rsidRPr="00295637">
        <w:rPr>
          <w:lang w:val="bs-Latn-BA"/>
        </w:rPr>
        <w:t xml:space="preserve"> </w:t>
      </w:r>
      <w:r>
        <w:rPr>
          <w:lang w:val="bs-Latn-BA"/>
        </w:rPr>
        <w:t>рада</w:t>
      </w:r>
      <w:r w:rsidR="00D41A15" w:rsidRPr="00295637">
        <w:rPr>
          <w:lang w:val="bs-Latn-BA"/>
        </w:rPr>
        <w:t xml:space="preserve"> </w:t>
      </w:r>
      <w:r>
        <w:rPr>
          <w:lang w:val="bs-Latn-BA"/>
        </w:rPr>
        <w:t>сигурних</w:t>
      </w:r>
      <w:r w:rsidR="00D41A15" w:rsidRPr="00295637">
        <w:rPr>
          <w:lang w:val="bs-Latn-BA"/>
        </w:rPr>
        <w:t xml:space="preserve"> </w:t>
      </w:r>
      <w:r>
        <w:rPr>
          <w:lang w:val="bs-Latn-BA"/>
        </w:rPr>
        <w:t>кућа</w:t>
      </w:r>
      <w:r w:rsidR="00D41A15" w:rsidRPr="00295637">
        <w:rPr>
          <w:lang w:val="bs-Latn-BA"/>
        </w:rPr>
        <w:t xml:space="preserve"> </w:t>
      </w:r>
      <w:r>
        <w:rPr>
          <w:lang w:val="bs-Latn-BA"/>
        </w:rPr>
        <w:t>и</w:t>
      </w:r>
      <w:r w:rsidR="00D41A15" w:rsidRPr="00295637">
        <w:rPr>
          <w:lang w:val="bs-Latn-BA"/>
        </w:rPr>
        <w:t xml:space="preserve"> </w:t>
      </w:r>
      <w:r>
        <w:rPr>
          <w:lang w:val="bs-Latn-BA"/>
        </w:rPr>
        <w:t>унапређење</w:t>
      </w:r>
      <w:r w:rsidR="00D41A15" w:rsidRPr="00295637">
        <w:rPr>
          <w:lang w:val="bs-Latn-BA"/>
        </w:rPr>
        <w:t xml:space="preserve"> </w:t>
      </w:r>
      <w:r>
        <w:rPr>
          <w:lang w:val="bs-Latn-BA"/>
        </w:rPr>
        <w:t>услова</w:t>
      </w:r>
      <w:r w:rsidR="00D41A15" w:rsidRPr="00295637">
        <w:rPr>
          <w:lang w:val="bs-Latn-BA"/>
        </w:rPr>
        <w:t xml:space="preserve"> </w:t>
      </w:r>
      <w:r>
        <w:rPr>
          <w:lang w:val="bs-Latn-BA"/>
        </w:rPr>
        <w:t>за</w:t>
      </w:r>
      <w:r w:rsidR="00D41A15" w:rsidRPr="00295637">
        <w:rPr>
          <w:lang w:val="bs-Latn-BA"/>
        </w:rPr>
        <w:t xml:space="preserve"> </w:t>
      </w:r>
      <w:r>
        <w:rPr>
          <w:lang w:val="bs-Latn-BA"/>
        </w:rPr>
        <w:t>пружање</w:t>
      </w:r>
      <w:r w:rsidR="00D41A15" w:rsidRPr="00295637">
        <w:rPr>
          <w:lang w:val="bs-Latn-BA"/>
        </w:rPr>
        <w:t xml:space="preserve"> </w:t>
      </w:r>
      <w:r>
        <w:rPr>
          <w:lang w:val="bs-Latn-BA"/>
        </w:rPr>
        <w:t>адекватне</w:t>
      </w:r>
      <w:r w:rsidR="00D41A15" w:rsidRPr="00295637">
        <w:rPr>
          <w:lang w:val="bs-Latn-BA"/>
        </w:rPr>
        <w:t xml:space="preserve"> </w:t>
      </w:r>
      <w:r>
        <w:rPr>
          <w:lang w:val="bs-Latn-BA"/>
        </w:rPr>
        <w:t>заштите</w:t>
      </w:r>
      <w:r w:rsidR="00D41A15" w:rsidRPr="00295637">
        <w:rPr>
          <w:lang w:val="bs-Latn-BA"/>
        </w:rPr>
        <w:t xml:space="preserve"> </w:t>
      </w:r>
      <w:r>
        <w:rPr>
          <w:lang w:val="bs-Latn-BA"/>
        </w:rPr>
        <w:t>и</w:t>
      </w:r>
      <w:r w:rsidR="00D41A15" w:rsidRPr="00295637">
        <w:rPr>
          <w:lang w:val="bs-Latn-BA"/>
        </w:rPr>
        <w:t xml:space="preserve"> </w:t>
      </w:r>
      <w:r>
        <w:rPr>
          <w:lang w:val="bs-Latn-BA"/>
        </w:rPr>
        <w:t>подршке</w:t>
      </w:r>
      <w:r w:rsidR="00D41A15" w:rsidRPr="00295637">
        <w:rPr>
          <w:lang w:val="bs-Latn-BA"/>
        </w:rPr>
        <w:t xml:space="preserve"> </w:t>
      </w:r>
      <w:r>
        <w:rPr>
          <w:lang w:val="bs-Latn-BA"/>
        </w:rPr>
        <w:t>жртвама</w:t>
      </w:r>
      <w:r w:rsidR="00D41A15" w:rsidRPr="00295637">
        <w:rPr>
          <w:lang w:val="bs-Latn-BA"/>
        </w:rPr>
        <w:t xml:space="preserve">. </w:t>
      </w:r>
      <w:r>
        <w:rPr>
          <w:lang w:val="bs-Latn-BA"/>
        </w:rPr>
        <w:t>У</w:t>
      </w:r>
      <w:r w:rsidR="00815D7A">
        <w:rPr>
          <w:lang w:val="bs-Latn-BA"/>
        </w:rPr>
        <w:t xml:space="preserve"> </w:t>
      </w:r>
      <w:r>
        <w:rPr>
          <w:lang w:val="bs-Latn-BA"/>
        </w:rPr>
        <w:t>складу</w:t>
      </w:r>
      <w:r w:rsidR="00815D7A">
        <w:rPr>
          <w:lang w:val="bs-Latn-BA"/>
        </w:rPr>
        <w:t xml:space="preserve"> </w:t>
      </w:r>
      <w:r>
        <w:rPr>
          <w:lang w:val="bs-Latn-BA"/>
        </w:rPr>
        <w:t>са</w:t>
      </w:r>
      <w:r w:rsidR="00D41A15" w:rsidRPr="00295637">
        <w:rPr>
          <w:lang w:val="bs-Latn-BA"/>
        </w:rPr>
        <w:t xml:space="preserve"> </w:t>
      </w:r>
      <w:r>
        <w:rPr>
          <w:lang w:val="bs-Latn-BA"/>
        </w:rPr>
        <w:t>програмским</w:t>
      </w:r>
      <w:r w:rsidR="00D41A15" w:rsidRPr="00295637">
        <w:rPr>
          <w:lang w:val="bs-Latn-BA"/>
        </w:rPr>
        <w:t xml:space="preserve"> </w:t>
      </w:r>
      <w:r>
        <w:rPr>
          <w:lang w:val="bs-Latn-BA"/>
        </w:rPr>
        <w:t>критериј</w:t>
      </w:r>
      <w:r w:rsidR="00C9019F">
        <w:rPr>
          <w:lang w:val="sr-Cyrl-BA"/>
        </w:rPr>
        <w:t>умима</w:t>
      </w:r>
      <w:r w:rsidR="00D41A15" w:rsidRPr="00295637">
        <w:rPr>
          <w:lang w:val="bs-Latn-BA"/>
        </w:rPr>
        <w:t xml:space="preserve">, </w:t>
      </w:r>
      <w:r>
        <w:rPr>
          <w:lang w:val="bs-Latn-BA"/>
        </w:rPr>
        <w:t>средства</w:t>
      </w:r>
      <w:r w:rsidR="00D41A15" w:rsidRPr="00295637">
        <w:rPr>
          <w:lang w:val="bs-Latn-BA"/>
        </w:rPr>
        <w:t xml:space="preserve"> </w:t>
      </w:r>
      <w:r>
        <w:rPr>
          <w:lang w:val="bs-Latn-BA"/>
        </w:rPr>
        <w:t>су</w:t>
      </w:r>
      <w:r w:rsidR="00D41A15" w:rsidRPr="00295637">
        <w:rPr>
          <w:lang w:val="bs-Latn-BA"/>
        </w:rPr>
        <w:t xml:space="preserve"> </w:t>
      </w:r>
      <w:r>
        <w:rPr>
          <w:lang w:val="bs-Latn-BA"/>
        </w:rPr>
        <w:t>распоређена</w:t>
      </w:r>
      <w:r w:rsidR="00D41A15" w:rsidRPr="00295637">
        <w:rPr>
          <w:lang w:val="bs-Latn-BA"/>
        </w:rPr>
        <w:t xml:space="preserve"> </w:t>
      </w:r>
      <w:r>
        <w:rPr>
          <w:lang w:val="bs-Latn-BA"/>
        </w:rPr>
        <w:t>сигурним</w:t>
      </w:r>
      <w:r w:rsidR="00D41A15" w:rsidRPr="00295637">
        <w:rPr>
          <w:lang w:val="bs-Latn-BA"/>
        </w:rPr>
        <w:t xml:space="preserve"> </w:t>
      </w:r>
      <w:r>
        <w:rPr>
          <w:lang w:val="bs-Latn-BA"/>
        </w:rPr>
        <w:t>кућама</w:t>
      </w:r>
      <w:r w:rsidR="00D41A15" w:rsidRPr="00295637">
        <w:rPr>
          <w:lang w:val="bs-Latn-BA"/>
        </w:rPr>
        <w:t xml:space="preserve"> </w:t>
      </w:r>
      <w:r>
        <w:rPr>
          <w:lang w:val="bs-Latn-BA"/>
        </w:rPr>
        <w:t>које</w:t>
      </w:r>
      <w:r w:rsidR="00D41A15" w:rsidRPr="00295637">
        <w:rPr>
          <w:lang w:val="bs-Latn-BA"/>
        </w:rPr>
        <w:t xml:space="preserve"> </w:t>
      </w:r>
      <w:r>
        <w:rPr>
          <w:lang w:val="bs-Latn-BA"/>
        </w:rPr>
        <w:t>пружају</w:t>
      </w:r>
      <w:r w:rsidR="00D41A15" w:rsidRPr="00295637">
        <w:rPr>
          <w:lang w:val="bs-Latn-BA"/>
        </w:rPr>
        <w:t xml:space="preserve"> </w:t>
      </w:r>
      <w:r>
        <w:rPr>
          <w:lang w:val="bs-Latn-BA"/>
        </w:rPr>
        <w:t>смјештај</w:t>
      </w:r>
      <w:r w:rsidR="00D41A15" w:rsidRPr="00295637">
        <w:rPr>
          <w:lang w:val="bs-Latn-BA"/>
        </w:rPr>
        <w:t xml:space="preserve">, </w:t>
      </w:r>
      <w:r>
        <w:rPr>
          <w:lang w:val="bs-Latn-BA"/>
        </w:rPr>
        <w:t>психосоцијалну</w:t>
      </w:r>
      <w:r w:rsidR="00D41A15" w:rsidRPr="00295637">
        <w:rPr>
          <w:lang w:val="bs-Latn-BA"/>
        </w:rPr>
        <w:t xml:space="preserve"> </w:t>
      </w:r>
      <w:r>
        <w:rPr>
          <w:lang w:val="bs-Latn-BA"/>
        </w:rPr>
        <w:t>подршку</w:t>
      </w:r>
      <w:r w:rsidR="00D41A15" w:rsidRPr="00295637">
        <w:rPr>
          <w:lang w:val="bs-Latn-BA"/>
        </w:rPr>
        <w:t xml:space="preserve">, </w:t>
      </w:r>
      <w:r>
        <w:rPr>
          <w:lang w:val="bs-Latn-BA"/>
        </w:rPr>
        <w:t>правну</w:t>
      </w:r>
      <w:r w:rsidR="00D41A15" w:rsidRPr="00295637">
        <w:rPr>
          <w:lang w:val="bs-Latn-BA"/>
        </w:rPr>
        <w:t xml:space="preserve"> </w:t>
      </w:r>
      <w:r>
        <w:rPr>
          <w:lang w:val="bs-Latn-BA"/>
        </w:rPr>
        <w:t>помоћ</w:t>
      </w:r>
      <w:r w:rsidR="00D41A15" w:rsidRPr="00295637">
        <w:rPr>
          <w:lang w:val="bs-Latn-BA"/>
        </w:rPr>
        <w:t xml:space="preserve"> </w:t>
      </w:r>
      <w:r>
        <w:rPr>
          <w:lang w:val="bs-Latn-BA"/>
        </w:rPr>
        <w:t>и</w:t>
      </w:r>
      <w:r w:rsidR="00D41A15" w:rsidRPr="00295637">
        <w:rPr>
          <w:lang w:val="bs-Latn-BA"/>
        </w:rPr>
        <w:t xml:space="preserve"> </w:t>
      </w:r>
      <w:r>
        <w:rPr>
          <w:lang w:val="bs-Latn-BA"/>
        </w:rPr>
        <w:t>друге</w:t>
      </w:r>
      <w:r w:rsidR="00D41A15" w:rsidRPr="00295637">
        <w:rPr>
          <w:lang w:val="bs-Latn-BA"/>
        </w:rPr>
        <w:t xml:space="preserve"> </w:t>
      </w:r>
      <w:r>
        <w:rPr>
          <w:lang w:val="bs-Latn-BA"/>
        </w:rPr>
        <w:t>услуге</w:t>
      </w:r>
      <w:r w:rsidR="00D41A15" w:rsidRPr="00295637">
        <w:rPr>
          <w:lang w:val="bs-Latn-BA"/>
        </w:rPr>
        <w:t xml:space="preserve"> </w:t>
      </w:r>
      <w:r>
        <w:rPr>
          <w:lang w:val="bs-Latn-BA"/>
        </w:rPr>
        <w:t>жртвама</w:t>
      </w:r>
      <w:r w:rsidR="00D41A15" w:rsidRPr="00295637">
        <w:rPr>
          <w:lang w:val="bs-Latn-BA"/>
        </w:rPr>
        <w:t xml:space="preserve"> </w:t>
      </w:r>
      <w:r>
        <w:rPr>
          <w:lang w:val="bs-Latn-BA"/>
        </w:rPr>
        <w:t>насиља</w:t>
      </w:r>
      <w:r w:rsidR="00D41A15" w:rsidRPr="00295637">
        <w:rPr>
          <w:lang w:val="bs-Latn-BA"/>
        </w:rPr>
        <w:t xml:space="preserve">. </w:t>
      </w:r>
      <w:r>
        <w:rPr>
          <w:lang w:val="bs-Latn-BA"/>
        </w:rPr>
        <w:t>О</w:t>
      </w:r>
      <w:r w:rsidR="00C9019F">
        <w:rPr>
          <w:lang w:val="sr-Cyrl-BA"/>
        </w:rPr>
        <w:t>безбијеђена</w:t>
      </w:r>
      <w:r w:rsidR="00D41A15" w:rsidRPr="00295637">
        <w:rPr>
          <w:lang w:val="bs-Latn-BA"/>
        </w:rPr>
        <w:t xml:space="preserve"> </w:t>
      </w:r>
      <w:r>
        <w:rPr>
          <w:lang w:val="bs-Latn-BA"/>
        </w:rPr>
        <w:t>су</w:t>
      </w:r>
      <w:r w:rsidR="00D41A15" w:rsidRPr="00295637">
        <w:rPr>
          <w:lang w:val="bs-Latn-BA"/>
        </w:rPr>
        <w:t xml:space="preserve"> </w:t>
      </w:r>
      <w:r>
        <w:rPr>
          <w:lang w:val="bs-Latn-BA"/>
        </w:rPr>
        <w:t>средства</w:t>
      </w:r>
      <w:r w:rsidR="00D41A15" w:rsidRPr="00295637">
        <w:rPr>
          <w:lang w:val="bs-Latn-BA"/>
        </w:rPr>
        <w:t xml:space="preserve"> </w:t>
      </w:r>
      <w:r>
        <w:rPr>
          <w:lang w:val="bs-Latn-BA"/>
        </w:rPr>
        <w:t>за</w:t>
      </w:r>
      <w:r w:rsidR="00D41A15" w:rsidRPr="00295637">
        <w:rPr>
          <w:lang w:val="bs-Latn-BA"/>
        </w:rPr>
        <w:t xml:space="preserve"> </w:t>
      </w:r>
      <w:r>
        <w:rPr>
          <w:lang w:val="bs-Latn-BA"/>
        </w:rPr>
        <w:t>покривање</w:t>
      </w:r>
      <w:r w:rsidR="00D41A15" w:rsidRPr="00295637">
        <w:rPr>
          <w:lang w:val="bs-Latn-BA"/>
        </w:rPr>
        <w:t xml:space="preserve"> </w:t>
      </w:r>
      <w:r>
        <w:rPr>
          <w:lang w:val="bs-Latn-BA"/>
        </w:rPr>
        <w:t>трошкова</w:t>
      </w:r>
      <w:r w:rsidR="00D41A15" w:rsidRPr="00295637">
        <w:rPr>
          <w:lang w:val="bs-Latn-BA"/>
        </w:rPr>
        <w:t xml:space="preserve"> </w:t>
      </w:r>
      <w:r>
        <w:rPr>
          <w:lang w:val="bs-Latn-BA"/>
        </w:rPr>
        <w:t>смјештаја</w:t>
      </w:r>
      <w:r w:rsidR="00D41A15" w:rsidRPr="00295637">
        <w:rPr>
          <w:lang w:val="bs-Latn-BA"/>
        </w:rPr>
        <w:t xml:space="preserve">, </w:t>
      </w:r>
      <w:r>
        <w:rPr>
          <w:lang w:val="bs-Latn-BA"/>
        </w:rPr>
        <w:t>прехране</w:t>
      </w:r>
      <w:r w:rsidR="00D41A15" w:rsidRPr="00295637">
        <w:rPr>
          <w:lang w:val="bs-Latn-BA"/>
        </w:rPr>
        <w:t xml:space="preserve">, </w:t>
      </w:r>
      <w:r>
        <w:rPr>
          <w:lang w:val="bs-Latn-BA"/>
        </w:rPr>
        <w:t>медицинске</w:t>
      </w:r>
      <w:r w:rsidR="00D41A15" w:rsidRPr="00295637">
        <w:rPr>
          <w:lang w:val="bs-Latn-BA"/>
        </w:rPr>
        <w:t xml:space="preserve"> </w:t>
      </w:r>
      <w:r>
        <w:rPr>
          <w:lang w:val="bs-Latn-BA"/>
        </w:rPr>
        <w:t>помоћи</w:t>
      </w:r>
      <w:r w:rsidR="00D41A15" w:rsidRPr="00295637">
        <w:rPr>
          <w:lang w:val="bs-Latn-BA"/>
        </w:rPr>
        <w:t xml:space="preserve">, </w:t>
      </w:r>
      <w:r>
        <w:rPr>
          <w:lang w:val="bs-Latn-BA"/>
        </w:rPr>
        <w:t>психолошке</w:t>
      </w:r>
      <w:r w:rsidR="00D41A15" w:rsidRPr="00295637">
        <w:rPr>
          <w:lang w:val="bs-Latn-BA"/>
        </w:rPr>
        <w:t xml:space="preserve"> </w:t>
      </w:r>
      <w:r>
        <w:rPr>
          <w:lang w:val="bs-Latn-BA"/>
        </w:rPr>
        <w:t>подршке</w:t>
      </w:r>
      <w:r w:rsidR="00D41A15" w:rsidRPr="00295637">
        <w:rPr>
          <w:lang w:val="bs-Latn-BA"/>
        </w:rPr>
        <w:t xml:space="preserve"> </w:t>
      </w:r>
      <w:r>
        <w:rPr>
          <w:lang w:val="bs-Latn-BA"/>
        </w:rPr>
        <w:t>и</w:t>
      </w:r>
      <w:r w:rsidR="00D41A15" w:rsidRPr="00295637">
        <w:rPr>
          <w:lang w:val="bs-Latn-BA"/>
        </w:rPr>
        <w:t xml:space="preserve"> </w:t>
      </w:r>
      <w:r>
        <w:rPr>
          <w:lang w:val="bs-Latn-BA"/>
        </w:rPr>
        <w:t>других</w:t>
      </w:r>
      <w:r w:rsidR="00D41A15" w:rsidRPr="00295637">
        <w:rPr>
          <w:lang w:val="bs-Latn-BA"/>
        </w:rPr>
        <w:t xml:space="preserve"> </w:t>
      </w:r>
      <w:r>
        <w:rPr>
          <w:lang w:val="bs-Latn-BA"/>
        </w:rPr>
        <w:t>неопходних</w:t>
      </w:r>
      <w:r w:rsidR="00D41A15" w:rsidRPr="00295637">
        <w:rPr>
          <w:lang w:val="bs-Latn-BA"/>
        </w:rPr>
        <w:t xml:space="preserve"> </w:t>
      </w:r>
      <w:r>
        <w:rPr>
          <w:lang w:val="bs-Latn-BA"/>
        </w:rPr>
        <w:t>услуга</w:t>
      </w:r>
      <w:r w:rsidR="00D41A15" w:rsidRPr="00295637">
        <w:rPr>
          <w:lang w:val="bs-Latn-BA"/>
        </w:rPr>
        <w:t>.</w:t>
      </w:r>
    </w:p>
    <w:p w:rsidR="00C142CC" w:rsidRPr="00295637" w:rsidRDefault="00C142CC" w:rsidP="0086268D">
      <w:pPr>
        <w:tabs>
          <w:tab w:val="left" w:pos="284"/>
          <w:tab w:val="left" w:pos="630"/>
          <w:tab w:val="left" w:pos="1080"/>
        </w:tabs>
        <w:jc w:val="both"/>
        <w:rPr>
          <w:rFonts w:ascii="Times New Roman" w:hAnsi="Times New Roman"/>
          <w:szCs w:val="24"/>
        </w:rPr>
      </w:pPr>
    </w:p>
    <w:p w:rsidR="001741CA" w:rsidRPr="00295637" w:rsidRDefault="00C6214E" w:rsidP="0086268D">
      <w:pPr>
        <w:pStyle w:val="ListParagraph"/>
        <w:ind w:left="0"/>
        <w:jc w:val="both"/>
        <w:rPr>
          <w:rFonts w:ascii="Times New Roman" w:hAnsi="Times New Roman"/>
          <w:lang w:val="sr-Latn-BA"/>
        </w:rPr>
      </w:pPr>
      <w:r>
        <w:rPr>
          <w:rFonts w:ascii="Times New Roman" w:hAnsi="Times New Roman"/>
          <w:lang w:val="sr-Cyrl-BA"/>
        </w:rPr>
        <w:t>ЦЈРП</w:t>
      </w:r>
      <w:r w:rsidR="001741CA" w:rsidRPr="00295637">
        <w:rPr>
          <w:rFonts w:ascii="Times New Roman" w:hAnsi="Times New Roman"/>
          <w:lang w:val="sr-Cyrl-BA"/>
        </w:rPr>
        <w:t xml:space="preserve"> </w:t>
      </w:r>
      <w:r>
        <w:rPr>
          <w:rFonts w:ascii="Times New Roman" w:hAnsi="Times New Roman"/>
          <w:lang w:val="sr-Cyrl-BA"/>
        </w:rPr>
        <w:t>РС</w:t>
      </w:r>
      <w:r w:rsidR="001741CA" w:rsidRPr="00295637">
        <w:rPr>
          <w:rFonts w:ascii="Times New Roman" w:hAnsi="Times New Roman"/>
          <w:lang w:val="sr-Cyrl-BA"/>
        </w:rPr>
        <w:t xml:space="preserve"> </w:t>
      </w:r>
      <w:r>
        <w:rPr>
          <w:rFonts w:ascii="Times New Roman" w:hAnsi="Times New Roman"/>
          <w:lang w:val="hr-HR"/>
        </w:rPr>
        <w:t>учествовао</w:t>
      </w:r>
      <w:r w:rsidR="00815D7A">
        <w:rPr>
          <w:rFonts w:ascii="Times New Roman" w:hAnsi="Times New Roman"/>
          <w:lang w:val="hr-HR"/>
        </w:rPr>
        <w:t xml:space="preserve"> </w:t>
      </w:r>
      <w:r>
        <w:rPr>
          <w:rFonts w:ascii="Times New Roman" w:hAnsi="Times New Roman"/>
          <w:lang w:val="sr-Latn-BA"/>
        </w:rPr>
        <w:t>је</w:t>
      </w:r>
      <w:r w:rsidR="001741CA" w:rsidRPr="00295637">
        <w:rPr>
          <w:rFonts w:ascii="Times New Roman" w:hAnsi="Times New Roman"/>
          <w:lang w:val="sr-Latn-BA"/>
        </w:rPr>
        <w:t xml:space="preserve"> </w:t>
      </w:r>
      <w:r>
        <w:rPr>
          <w:rFonts w:ascii="Times New Roman" w:hAnsi="Times New Roman"/>
          <w:lang w:val="sr-Latn-BA"/>
        </w:rPr>
        <w:t>у</w:t>
      </w:r>
      <w:r w:rsidR="001741CA" w:rsidRPr="00295637">
        <w:rPr>
          <w:rFonts w:ascii="Times New Roman" w:hAnsi="Times New Roman"/>
          <w:lang w:val="sr-Latn-BA"/>
        </w:rPr>
        <w:t xml:space="preserve"> </w:t>
      </w:r>
      <w:r>
        <w:rPr>
          <w:rFonts w:ascii="Times New Roman" w:hAnsi="Times New Roman"/>
          <w:lang w:val="sr-Cyrl-BA"/>
        </w:rPr>
        <w:t>изради</w:t>
      </w:r>
      <w:r w:rsidR="001741CA"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таја</w:t>
      </w:r>
      <w:r w:rsidR="001741CA" w:rsidRPr="00295637">
        <w:rPr>
          <w:rFonts w:ascii="Times New Roman" w:hAnsi="Times New Roman"/>
          <w:lang w:val="sr-Cyrl-BA"/>
        </w:rPr>
        <w:t xml:space="preserve"> </w:t>
      </w:r>
      <w:r>
        <w:rPr>
          <w:rFonts w:ascii="Times New Roman" w:hAnsi="Times New Roman"/>
          <w:lang w:val="sr-Cyrl-BA"/>
        </w:rPr>
        <w:t>о</w:t>
      </w:r>
      <w:r w:rsidR="001741CA" w:rsidRPr="00295637">
        <w:rPr>
          <w:rFonts w:ascii="Times New Roman" w:hAnsi="Times New Roman"/>
          <w:lang w:val="sr-Cyrl-BA"/>
        </w:rPr>
        <w:t xml:space="preserve"> </w:t>
      </w:r>
      <w:r w:rsidR="00C9019F">
        <w:rPr>
          <w:rFonts w:ascii="Times New Roman" w:hAnsi="Times New Roman"/>
          <w:lang w:val="sr-Cyrl-BA"/>
        </w:rPr>
        <w:t>спровођењу</w:t>
      </w:r>
      <w:r w:rsidR="001741CA"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оног</w:t>
      </w:r>
      <w:r w:rsidR="001741CA" w:rsidRPr="00295637">
        <w:rPr>
          <w:rFonts w:ascii="Times New Roman" w:hAnsi="Times New Roman"/>
          <w:lang w:val="sr-Cyrl-BA"/>
        </w:rPr>
        <w:t xml:space="preserve"> </w:t>
      </w:r>
      <w:r>
        <w:rPr>
          <w:rFonts w:ascii="Times New Roman" w:hAnsi="Times New Roman"/>
          <w:lang w:val="sr-Cyrl-BA"/>
        </w:rPr>
        <w:t>плана</w:t>
      </w:r>
      <w:r w:rsidR="001741CA" w:rsidRPr="00295637">
        <w:rPr>
          <w:rFonts w:ascii="Times New Roman" w:hAnsi="Times New Roman"/>
          <w:lang w:val="sr-Cyrl-BA"/>
        </w:rPr>
        <w:t xml:space="preserve"> </w:t>
      </w:r>
      <w:r>
        <w:rPr>
          <w:rFonts w:ascii="Times New Roman" w:hAnsi="Times New Roman"/>
          <w:lang w:val="sr-Cyrl-BA"/>
        </w:rPr>
        <w:t>Стратегије</w:t>
      </w:r>
      <w:r w:rsidR="001741CA" w:rsidRPr="00295637">
        <w:rPr>
          <w:rFonts w:ascii="Times New Roman" w:hAnsi="Times New Roman"/>
          <w:lang w:val="sr-Cyrl-BA"/>
        </w:rPr>
        <w:t xml:space="preserve"> </w:t>
      </w:r>
      <w:r>
        <w:rPr>
          <w:rFonts w:ascii="Times New Roman" w:hAnsi="Times New Roman"/>
          <w:lang w:val="sr-Cyrl-BA"/>
        </w:rPr>
        <w:t>за</w:t>
      </w:r>
      <w:r w:rsidR="001741CA" w:rsidRPr="00295637">
        <w:rPr>
          <w:rFonts w:ascii="Times New Roman" w:hAnsi="Times New Roman"/>
          <w:lang w:val="sr-Cyrl-BA"/>
        </w:rPr>
        <w:t xml:space="preserve"> </w:t>
      </w:r>
      <w:r>
        <w:rPr>
          <w:rFonts w:ascii="Times New Roman" w:hAnsi="Times New Roman"/>
          <w:lang w:val="sr-Cyrl-BA"/>
        </w:rPr>
        <w:t>сузбијање</w:t>
      </w:r>
      <w:r w:rsidR="001741CA" w:rsidRPr="00295637">
        <w:rPr>
          <w:rFonts w:ascii="Times New Roman" w:hAnsi="Times New Roman"/>
          <w:lang w:val="sr-Cyrl-BA"/>
        </w:rPr>
        <w:t xml:space="preserve"> </w:t>
      </w:r>
      <w:r>
        <w:rPr>
          <w:rFonts w:ascii="Times New Roman" w:hAnsi="Times New Roman"/>
          <w:lang w:val="sr-Cyrl-BA"/>
        </w:rPr>
        <w:t>насиља</w:t>
      </w:r>
      <w:r w:rsidR="001741CA" w:rsidRPr="00295637">
        <w:rPr>
          <w:rFonts w:ascii="Times New Roman" w:hAnsi="Times New Roman"/>
          <w:lang w:val="sr-Cyrl-BA"/>
        </w:rPr>
        <w:t xml:space="preserve"> </w:t>
      </w:r>
      <w:r>
        <w:rPr>
          <w:rFonts w:ascii="Times New Roman" w:hAnsi="Times New Roman"/>
          <w:lang w:val="sr-Cyrl-BA"/>
        </w:rPr>
        <w:t>у</w:t>
      </w:r>
      <w:r w:rsidR="001741CA" w:rsidRPr="00295637">
        <w:rPr>
          <w:rFonts w:ascii="Times New Roman" w:hAnsi="Times New Roman"/>
          <w:lang w:val="sr-Cyrl-BA"/>
        </w:rPr>
        <w:t xml:space="preserve"> </w:t>
      </w:r>
      <w:r>
        <w:rPr>
          <w:rFonts w:ascii="Times New Roman" w:hAnsi="Times New Roman"/>
          <w:lang w:val="hr-HR"/>
        </w:rPr>
        <w:t>породици</w:t>
      </w:r>
      <w:r w:rsidR="001741CA" w:rsidRPr="00295637">
        <w:rPr>
          <w:rFonts w:ascii="Times New Roman" w:hAnsi="Times New Roman"/>
          <w:lang w:val="sr-Cyrl-BA"/>
        </w:rPr>
        <w:t xml:space="preserve"> </w:t>
      </w:r>
      <w:r>
        <w:rPr>
          <w:rFonts w:ascii="Times New Roman" w:hAnsi="Times New Roman"/>
          <w:lang w:val="bs-Latn-BA"/>
        </w:rPr>
        <w:t>РС</w:t>
      </w:r>
      <w:r w:rsidR="0087110C" w:rsidRPr="00295637">
        <w:rPr>
          <w:rFonts w:ascii="Times New Roman" w:hAnsi="Times New Roman"/>
          <w:lang w:val="bs-Latn-BA"/>
        </w:rPr>
        <w:t xml:space="preserve"> </w:t>
      </w:r>
      <w:r>
        <w:rPr>
          <w:rFonts w:ascii="Times New Roman" w:hAnsi="Times New Roman"/>
          <w:lang w:val="sr-Cyrl-BA"/>
        </w:rPr>
        <w:t>за</w:t>
      </w:r>
      <w:r w:rsidR="001741CA" w:rsidRPr="00295637">
        <w:rPr>
          <w:rFonts w:ascii="Times New Roman" w:hAnsi="Times New Roman"/>
          <w:lang w:val="sr-Cyrl-BA"/>
        </w:rPr>
        <w:t xml:space="preserve"> 2023. </w:t>
      </w:r>
      <w:r>
        <w:rPr>
          <w:rFonts w:ascii="Times New Roman" w:hAnsi="Times New Roman"/>
          <w:lang w:val="sr-Cyrl-BA"/>
        </w:rPr>
        <w:t>годину</w:t>
      </w:r>
      <w:r w:rsidR="001741CA" w:rsidRPr="00295637">
        <w:rPr>
          <w:rFonts w:ascii="Times New Roman" w:hAnsi="Times New Roman"/>
          <w:lang w:val="sr-Cyrl-BA"/>
        </w:rPr>
        <w:t xml:space="preserve"> </w:t>
      </w:r>
      <w:r>
        <w:rPr>
          <w:rFonts w:ascii="Times New Roman" w:hAnsi="Times New Roman"/>
          <w:lang w:val="sr-Cyrl-BA"/>
        </w:rPr>
        <w:t>и</w:t>
      </w:r>
      <w:r w:rsidR="001741CA"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оног</w:t>
      </w:r>
      <w:r w:rsidR="001741CA" w:rsidRPr="00295637">
        <w:rPr>
          <w:rFonts w:ascii="Times New Roman" w:hAnsi="Times New Roman"/>
          <w:lang w:val="sr-Cyrl-BA"/>
        </w:rPr>
        <w:t xml:space="preserve"> </w:t>
      </w:r>
      <w:r>
        <w:rPr>
          <w:rFonts w:ascii="Times New Roman" w:hAnsi="Times New Roman"/>
          <w:lang w:val="sr-Cyrl-BA"/>
        </w:rPr>
        <w:t>плана</w:t>
      </w:r>
      <w:r w:rsidR="001741CA" w:rsidRPr="00295637">
        <w:rPr>
          <w:rFonts w:ascii="Times New Roman" w:hAnsi="Times New Roman"/>
          <w:lang w:val="sr-Cyrl-BA"/>
        </w:rPr>
        <w:t xml:space="preserve"> </w:t>
      </w:r>
      <w:r>
        <w:rPr>
          <w:rFonts w:ascii="Times New Roman" w:hAnsi="Times New Roman"/>
          <w:lang w:val="sr-Cyrl-BA"/>
        </w:rPr>
        <w:t>за</w:t>
      </w:r>
      <w:r w:rsidR="001741CA" w:rsidRPr="00295637">
        <w:rPr>
          <w:rFonts w:ascii="Times New Roman" w:hAnsi="Times New Roman"/>
          <w:lang w:val="sr-Cyrl-BA"/>
        </w:rPr>
        <w:t xml:space="preserve"> 2024. </w:t>
      </w:r>
      <w:r>
        <w:rPr>
          <w:rFonts w:ascii="Times New Roman" w:hAnsi="Times New Roman"/>
          <w:lang w:val="sr-Cyrl-BA"/>
        </w:rPr>
        <w:t>годину</w:t>
      </w:r>
      <w:r w:rsidR="001741CA" w:rsidRPr="00295637">
        <w:rPr>
          <w:rFonts w:ascii="Times New Roman" w:hAnsi="Times New Roman"/>
          <w:lang w:val="sr-Cyrl-BA"/>
        </w:rPr>
        <w:t xml:space="preserve"> </w:t>
      </w:r>
      <w:r>
        <w:rPr>
          <w:rFonts w:ascii="Times New Roman" w:hAnsi="Times New Roman"/>
          <w:lang w:val="sr-Cyrl-BA"/>
        </w:rPr>
        <w:t>за</w:t>
      </w:r>
      <w:r w:rsidR="001741CA" w:rsidRPr="00295637">
        <w:rPr>
          <w:rFonts w:ascii="Times New Roman" w:hAnsi="Times New Roman"/>
          <w:lang w:val="sr-Cyrl-BA"/>
        </w:rPr>
        <w:t xml:space="preserve"> </w:t>
      </w:r>
      <w:r w:rsidR="00C9019F">
        <w:rPr>
          <w:rFonts w:ascii="Times New Roman" w:hAnsi="Times New Roman"/>
          <w:lang w:val="sr-Cyrl-BA"/>
        </w:rPr>
        <w:t>спровођење</w:t>
      </w:r>
      <w:r w:rsidR="001741CA" w:rsidRPr="00295637">
        <w:rPr>
          <w:rFonts w:ascii="Times New Roman" w:hAnsi="Times New Roman"/>
          <w:lang w:val="sr-Cyrl-BA"/>
        </w:rPr>
        <w:t xml:space="preserve"> </w:t>
      </w:r>
      <w:r>
        <w:rPr>
          <w:rFonts w:ascii="Times New Roman" w:hAnsi="Times New Roman"/>
          <w:lang w:val="sr-Cyrl-BA"/>
        </w:rPr>
        <w:t>Стратегије</w:t>
      </w:r>
      <w:r w:rsidR="001741CA" w:rsidRPr="00295637">
        <w:rPr>
          <w:rFonts w:ascii="Times New Roman" w:hAnsi="Times New Roman"/>
          <w:lang w:val="sr-Cyrl-BA"/>
        </w:rPr>
        <w:t xml:space="preserve"> </w:t>
      </w:r>
      <w:r>
        <w:rPr>
          <w:rFonts w:ascii="Times New Roman" w:hAnsi="Times New Roman"/>
          <w:lang w:val="sr-Cyrl-BA"/>
        </w:rPr>
        <w:t>за</w:t>
      </w:r>
      <w:r w:rsidR="001741CA" w:rsidRPr="00295637">
        <w:rPr>
          <w:rFonts w:ascii="Times New Roman" w:hAnsi="Times New Roman"/>
          <w:lang w:val="sr-Cyrl-BA"/>
        </w:rPr>
        <w:t xml:space="preserve"> </w:t>
      </w:r>
      <w:r>
        <w:rPr>
          <w:rFonts w:ascii="Times New Roman" w:hAnsi="Times New Roman"/>
          <w:lang w:val="sr-Cyrl-BA"/>
        </w:rPr>
        <w:t>сузбијање</w:t>
      </w:r>
      <w:r w:rsidR="001741CA" w:rsidRPr="00295637">
        <w:rPr>
          <w:rFonts w:ascii="Times New Roman" w:hAnsi="Times New Roman"/>
          <w:lang w:val="sr-Cyrl-BA"/>
        </w:rPr>
        <w:t xml:space="preserve"> </w:t>
      </w:r>
      <w:r>
        <w:rPr>
          <w:rFonts w:ascii="Times New Roman" w:hAnsi="Times New Roman"/>
          <w:lang w:val="sr-Cyrl-BA"/>
        </w:rPr>
        <w:t>насиља</w:t>
      </w:r>
      <w:r w:rsidR="001741CA" w:rsidRPr="00295637">
        <w:rPr>
          <w:rFonts w:ascii="Times New Roman" w:hAnsi="Times New Roman"/>
          <w:lang w:val="sr-Cyrl-BA"/>
        </w:rPr>
        <w:t xml:space="preserve"> </w:t>
      </w:r>
      <w:r>
        <w:rPr>
          <w:rFonts w:ascii="Times New Roman" w:hAnsi="Times New Roman"/>
          <w:lang w:val="sr-Cyrl-BA"/>
        </w:rPr>
        <w:t>у</w:t>
      </w:r>
      <w:r w:rsidR="001741CA" w:rsidRPr="00295637">
        <w:rPr>
          <w:rFonts w:ascii="Times New Roman" w:hAnsi="Times New Roman"/>
          <w:lang w:val="sr-Cyrl-BA"/>
        </w:rPr>
        <w:t xml:space="preserve"> </w:t>
      </w:r>
      <w:r>
        <w:rPr>
          <w:rFonts w:ascii="Times New Roman" w:hAnsi="Times New Roman"/>
          <w:lang w:val="hr-HR"/>
        </w:rPr>
        <w:t>породици</w:t>
      </w:r>
      <w:r w:rsidR="001741CA" w:rsidRPr="00295637">
        <w:rPr>
          <w:rFonts w:ascii="Times New Roman" w:hAnsi="Times New Roman"/>
          <w:lang w:val="sr-Cyrl-BA"/>
        </w:rPr>
        <w:t xml:space="preserve"> </w:t>
      </w:r>
      <w:r>
        <w:rPr>
          <w:rFonts w:ascii="Times New Roman" w:hAnsi="Times New Roman"/>
          <w:lang w:val="bs-Latn-BA"/>
        </w:rPr>
        <w:t>РС</w:t>
      </w:r>
      <w:r w:rsidR="0087110C" w:rsidRPr="00295637">
        <w:rPr>
          <w:rFonts w:ascii="Times New Roman" w:hAnsi="Times New Roman"/>
          <w:lang w:val="bs-Latn-BA"/>
        </w:rPr>
        <w:t xml:space="preserve"> </w:t>
      </w:r>
      <w:r w:rsidR="001741CA" w:rsidRPr="00295637">
        <w:rPr>
          <w:rFonts w:ascii="Times New Roman" w:hAnsi="Times New Roman"/>
          <w:lang w:val="sr-Cyrl-BA"/>
        </w:rPr>
        <w:t>2020-2024.</w:t>
      </w:r>
      <w:r w:rsidR="00B575BA">
        <w:rPr>
          <w:rFonts w:ascii="Times New Roman" w:hAnsi="Times New Roman"/>
          <w:lang w:val="hr-HR"/>
        </w:rPr>
        <w:t xml:space="preserve"> </w:t>
      </w:r>
      <w:r>
        <w:rPr>
          <w:rFonts w:ascii="Times New Roman" w:hAnsi="Times New Roman"/>
          <w:lang w:val="hr-HR"/>
        </w:rPr>
        <w:t>година</w:t>
      </w:r>
      <w:r w:rsidR="00B575BA">
        <w:rPr>
          <w:rFonts w:ascii="Times New Roman" w:hAnsi="Times New Roman"/>
          <w:lang w:val="hr-HR"/>
        </w:rPr>
        <w:t>.</w:t>
      </w:r>
      <w:r w:rsidR="001741CA" w:rsidRPr="00295637">
        <w:rPr>
          <w:rFonts w:ascii="Times New Roman" w:hAnsi="Times New Roman"/>
          <w:lang w:val="sr-Latn-BA"/>
        </w:rPr>
        <w:t xml:space="preserve"> </w:t>
      </w:r>
      <w:r>
        <w:rPr>
          <w:rFonts w:ascii="Times New Roman" w:hAnsi="Times New Roman"/>
          <w:lang w:val="sr-Latn-BA"/>
        </w:rPr>
        <w:t>У</w:t>
      </w:r>
      <w:r w:rsidR="001741CA" w:rsidRPr="00295637">
        <w:rPr>
          <w:rFonts w:ascii="Times New Roman" w:hAnsi="Times New Roman"/>
          <w:lang w:val="sr-Latn-BA"/>
        </w:rPr>
        <w:t xml:space="preserve"> </w:t>
      </w:r>
      <w:r>
        <w:rPr>
          <w:rFonts w:ascii="Times New Roman" w:hAnsi="Times New Roman"/>
          <w:lang w:val="sr-Latn-BA"/>
        </w:rPr>
        <w:t>оквиру</w:t>
      </w:r>
      <w:r w:rsidR="001741CA" w:rsidRPr="00295637">
        <w:rPr>
          <w:rFonts w:ascii="Times New Roman" w:hAnsi="Times New Roman"/>
          <w:lang w:val="sr-Latn-BA"/>
        </w:rPr>
        <w:t xml:space="preserve"> </w:t>
      </w:r>
      <w:r>
        <w:rPr>
          <w:rFonts w:ascii="Times New Roman" w:hAnsi="Times New Roman"/>
          <w:lang w:val="sr-Latn-BA"/>
        </w:rPr>
        <w:t>реализације</w:t>
      </w:r>
      <w:r w:rsidR="001741CA" w:rsidRPr="00295637">
        <w:rPr>
          <w:rFonts w:ascii="Times New Roman" w:hAnsi="Times New Roman"/>
          <w:lang w:val="sr-Latn-BA"/>
        </w:rPr>
        <w:t xml:space="preserve"> </w:t>
      </w:r>
      <w:r>
        <w:rPr>
          <w:rFonts w:ascii="Times New Roman" w:hAnsi="Times New Roman"/>
          <w:lang w:val="sr-Latn-BA"/>
        </w:rPr>
        <w:t>плана</w:t>
      </w:r>
      <w:r w:rsidR="001741CA" w:rsidRPr="00295637">
        <w:rPr>
          <w:rFonts w:ascii="Times New Roman" w:hAnsi="Times New Roman"/>
          <w:lang w:val="sr-Latn-BA"/>
        </w:rPr>
        <w:t xml:space="preserve"> </w:t>
      </w:r>
      <w:r>
        <w:rPr>
          <w:rFonts w:ascii="Times New Roman" w:hAnsi="Times New Roman"/>
          <w:lang w:val="sr-Latn-BA"/>
        </w:rPr>
        <w:t>пружао</w:t>
      </w:r>
      <w:r w:rsidR="001741CA" w:rsidRPr="00295637">
        <w:rPr>
          <w:rFonts w:ascii="Times New Roman" w:hAnsi="Times New Roman"/>
          <w:lang w:val="sr-Latn-BA"/>
        </w:rPr>
        <w:t xml:space="preserve"> </w:t>
      </w:r>
      <w:r>
        <w:rPr>
          <w:rFonts w:ascii="Times New Roman" w:hAnsi="Times New Roman"/>
          <w:lang w:val="sr-Latn-BA"/>
        </w:rPr>
        <w:t>је</w:t>
      </w:r>
      <w:r w:rsidR="001741CA" w:rsidRPr="00295637">
        <w:rPr>
          <w:rFonts w:ascii="Times New Roman" w:hAnsi="Times New Roman"/>
          <w:lang w:val="sr-Latn-BA"/>
        </w:rPr>
        <w:t xml:space="preserve"> </w:t>
      </w:r>
      <w:r>
        <w:rPr>
          <w:rFonts w:ascii="Times New Roman" w:hAnsi="Times New Roman"/>
          <w:lang w:val="sr-Latn-BA"/>
        </w:rPr>
        <w:t>с</w:t>
      </w:r>
      <w:r>
        <w:rPr>
          <w:rFonts w:ascii="Times New Roman" w:hAnsi="Times New Roman"/>
          <w:lang w:val="sr-Cyrl-BA"/>
        </w:rPr>
        <w:t>тручн</w:t>
      </w:r>
      <w:r>
        <w:rPr>
          <w:rFonts w:ascii="Times New Roman" w:hAnsi="Times New Roman"/>
          <w:lang w:val="sr-Latn-BA"/>
        </w:rPr>
        <w:t>у</w:t>
      </w:r>
      <w:r w:rsidR="001741CA"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дршку</w:t>
      </w:r>
      <w:r w:rsidR="001741CA" w:rsidRPr="00295637">
        <w:rPr>
          <w:rFonts w:ascii="Times New Roman" w:hAnsi="Times New Roman"/>
          <w:lang w:val="sr-Latn-BA"/>
        </w:rPr>
        <w:t xml:space="preserve"> </w:t>
      </w:r>
      <w:r>
        <w:rPr>
          <w:rFonts w:ascii="Times New Roman" w:hAnsi="Times New Roman"/>
          <w:lang w:val="sr-Latn-BA"/>
        </w:rPr>
        <w:t>за</w:t>
      </w:r>
      <w:r w:rsidR="001741CA" w:rsidRPr="00295637">
        <w:rPr>
          <w:rFonts w:ascii="Times New Roman" w:hAnsi="Times New Roman"/>
          <w:lang w:val="sr-Latn-BA"/>
        </w:rPr>
        <w:t xml:space="preserve"> </w:t>
      </w:r>
      <w:r>
        <w:rPr>
          <w:rFonts w:ascii="Times New Roman" w:hAnsi="Times New Roman"/>
          <w:lang w:val="sr-Latn-BA"/>
        </w:rPr>
        <w:t>пет</w:t>
      </w:r>
      <w:r w:rsidR="001741CA" w:rsidRPr="00295637">
        <w:rPr>
          <w:rFonts w:ascii="Times New Roman" w:hAnsi="Times New Roman"/>
          <w:lang w:val="sr-Latn-BA"/>
        </w:rPr>
        <w:t xml:space="preserve"> </w:t>
      </w:r>
      <w:r>
        <w:rPr>
          <w:rFonts w:ascii="Times New Roman" w:hAnsi="Times New Roman"/>
          <w:lang w:val="sr-Latn-BA"/>
        </w:rPr>
        <w:t>јединица</w:t>
      </w:r>
      <w:r w:rsidR="001741CA" w:rsidRPr="00295637">
        <w:rPr>
          <w:rFonts w:ascii="Times New Roman" w:hAnsi="Times New Roman"/>
          <w:lang w:val="sr-Latn-BA"/>
        </w:rPr>
        <w:t xml:space="preserve"> </w:t>
      </w:r>
      <w:r>
        <w:rPr>
          <w:rFonts w:ascii="Times New Roman" w:hAnsi="Times New Roman"/>
          <w:lang w:val="sr-Latn-BA"/>
        </w:rPr>
        <w:t>локалне</w:t>
      </w:r>
      <w:r w:rsidR="001741CA" w:rsidRPr="00295637">
        <w:rPr>
          <w:rFonts w:ascii="Times New Roman" w:hAnsi="Times New Roman"/>
          <w:lang w:val="sr-Latn-BA"/>
        </w:rPr>
        <w:t xml:space="preserve"> </w:t>
      </w:r>
      <w:r>
        <w:rPr>
          <w:rFonts w:ascii="Times New Roman" w:hAnsi="Times New Roman"/>
          <w:lang w:val="sr-Latn-BA"/>
        </w:rPr>
        <w:t>самоуправе</w:t>
      </w:r>
      <w:r w:rsidR="001741CA" w:rsidRPr="00295637">
        <w:rPr>
          <w:rFonts w:ascii="Times New Roman" w:hAnsi="Times New Roman"/>
          <w:lang w:val="sr-Cyrl-BA"/>
        </w:rPr>
        <w:t xml:space="preserve"> </w:t>
      </w:r>
      <w:r>
        <w:rPr>
          <w:rFonts w:ascii="Times New Roman" w:hAnsi="Times New Roman"/>
          <w:lang w:val="sr-Cyrl-BA"/>
        </w:rPr>
        <w:t>у</w:t>
      </w:r>
      <w:r w:rsidR="001741CA" w:rsidRPr="00295637">
        <w:rPr>
          <w:rFonts w:ascii="Times New Roman" w:hAnsi="Times New Roman"/>
          <w:lang w:val="sr-Cyrl-BA"/>
        </w:rPr>
        <w:t xml:space="preserve"> </w:t>
      </w:r>
      <w:r>
        <w:rPr>
          <w:rFonts w:ascii="Times New Roman" w:hAnsi="Times New Roman"/>
          <w:lang w:val="sr-Cyrl-BA"/>
        </w:rPr>
        <w:t>процесу</w:t>
      </w:r>
      <w:r w:rsidR="001741CA" w:rsidRPr="00295637">
        <w:rPr>
          <w:rFonts w:ascii="Times New Roman" w:hAnsi="Times New Roman"/>
          <w:lang w:val="sr-Cyrl-BA"/>
        </w:rPr>
        <w:t xml:space="preserve"> </w:t>
      </w:r>
      <w:r>
        <w:rPr>
          <w:rFonts w:ascii="Times New Roman" w:hAnsi="Times New Roman"/>
          <w:lang w:val="sr-Cyrl-BA"/>
        </w:rPr>
        <w:t>израде</w:t>
      </w:r>
      <w:r w:rsidR="001741CA" w:rsidRPr="00295637">
        <w:rPr>
          <w:rFonts w:ascii="Times New Roman" w:hAnsi="Times New Roman"/>
          <w:lang w:val="sr-Cyrl-BA"/>
        </w:rPr>
        <w:t xml:space="preserve"> </w:t>
      </w:r>
      <w:r>
        <w:rPr>
          <w:rFonts w:ascii="Times New Roman" w:hAnsi="Times New Roman"/>
          <w:lang w:val="sr-Cyrl-BA"/>
        </w:rPr>
        <w:t>и</w:t>
      </w:r>
      <w:r w:rsidR="001741CA" w:rsidRPr="00295637">
        <w:rPr>
          <w:rFonts w:ascii="Times New Roman" w:hAnsi="Times New Roman"/>
          <w:lang w:val="sr-Cyrl-BA"/>
        </w:rPr>
        <w:t xml:space="preserve"> </w:t>
      </w:r>
      <w:r>
        <w:rPr>
          <w:rFonts w:ascii="Times New Roman" w:hAnsi="Times New Roman"/>
          <w:lang w:val="sr-Cyrl-BA"/>
        </w:rPr>
        <w:t>усвајања</w:t>
      </w:r>
      <w:r w:rsidR="001741CA" w:rsidRPr="00295637">
        <w:rPr>
          <w:rFonts w:ascii="Times New Roman" w:hAnsi="Times New Roman"/>
          <w:lang w:val="sr-Cyrl-BA"/>
        </w:rPr>
        <w:t xml:space="preserve"> </w:t>
      </w:r>
      <w:r>
        <w:rPr>
          <w:rFonts w:ascii="Times New Roman" w:hAnsi="Times New Roman"/>
          <w:lang w:val="sr-Cyrl-BA"/>
        </w:rPr>
        <w:t>локалних</w:t>
      </w:r>
      <w:r w:rsidR="001741CA" w:rsidRPr="00295637">
        <w:rPr>
          <w:rFonts w:ascii="Times New Roman" w:hAnsi="Times New Roman"/>
          <w:lang w:val="sr-Cyrl-BA"/>
        </w:rPr>
        <w:t xml:space="preserve"> </w:t>
      </w:r>
      <w:r>
        <w:rPr>
          <w:rFonts w:ascii="Times New Roman" w:hAnsi="Times New Roman"/>
          <w:lang w:val="sr-Cyrl-BA"/>
        </w:rPr>
        <w:t>протокола</w:t>
      </w:r>
      <w:r w:rsidR="001741CA" w:rsidRPr="00295637">
        <w:rPr>
          <w:rFonts w:ascii="Times New Roman" w:hAnsi="Times New Roman"/>
          <w:lang w:val="sr-Cyrl-BA"/>
        </w:rPr>
        <w:t xml:space="preserve"> </w:t>
      </w:r>
      <w:r>
        <w:rPr>
          <w:rFonts w:ascii="Times New Roman" w:hAnsi="Times New Roman"/>
          <w:lang w:val="sr-Cyrl-BA"/>
        </w:rPr>
        <w:t>о</w:t>
      </w:r>
      <w:r w:rsidR="001741CA" w:rsidRPr="00295637">
        <w:rPr>
          <w:rFonts w:ascii="Times New Roman" w:hAnsi="Times New Roman"/>
          <w:lang w:val="sr-Cyrl-BA"/>
        </w:rPr>
        <w:t xml:space="preserve"> </w:t>
      </w:r>
      <w:r>
        <w:rPr>
          <w:rFonts w:ascii="Times New Roman" w:hAnsi="Times New Roman"/>
          <w:lang w:val="sr-Cyrl-BA"/>
        </w:rPr>
        <w:t>поступању</w:t>
      </w:r>
      <w:r w:rsidR="001741CA" w:rsidRPr="00295637">
        <w:rPr>
          <w:rFonts w:ascii="Times New Roman" w:hAnsi="Times New Roman"/>
          <w:lang w:val="sr-Cyrl-BA"/>
        </w:rPr>
        <w:t xml:space="preserve"> </w:t>
      </w:r>
      <w:r>
        <w:rPr>
          <w:rFonts w:ascii="Times New Roman" w:hAnsi="Times New Roman"/>
          <w:lang w:val="sr-Cyrl-BA"/>
        </w:rPr>
        <w:t>и</w:t>
      </w:r>
      <w:r w:rsidR="001741CA"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Pr>
          <w:rFonts w:ascii="Times New Roman" w:hAnsi="Times New Roman"/>
          <w:lang w:val="sr-Cyrl-BA"/>
        </w:rPr>
        <w:t>радњи</w:t>
      </w:r>
      <w:r w:rsidR="001741CA" w:rsidRPr="00295637">
        <w:rPr>
          <w:rFonts w:ascii="Times New Roman" w:hAnsi="Times New Roman"/>
          <w:lang w:val="sr-Cyrl-BA"/>
        </w:rPr>
        <w:t xml:space="preserve"> </w:t>
      </w:r>
      <w:r>
        <w:rPr>
          <w:rFonts w:ascii="Times New Roman" w:hAnsi="Times New Roman"/>
          <w:lang w:val="sr-Cyrl-BA"/>
        </w:rPr>
        <w:t>у</w:t>
      </w:r>
      <w:r w:rsidR="001741CA" w:rsidRPr="00295637">
        <w:rPr>
          <w:rFonts w:ascii="Times New Roman" w:hAnsi="Times New Roman"/>
          <w:lang w:val="sr-Cyrl-BA"/>
        </w:rPr>
        <w:t xml:space="preserve"> </w:t>
      </w:r>
      <w:r>
        <w:rPr>
          <w:rFonts w:ascii="Times New Roman" w:hAnsi="Times New Roman"/>
          <w:lang w:val="sr-Cyrl-BA"/>
        </w:rPr>
        <w:t>случајевима</w:t>
      </w:r>
      <w:r w:rsidR="001741CA" w:rsidRPr="00295637">
        <w:rPr>
          <w:rFonts w:ascii="Times New Roman" w:hAnsi="Times New Roman"/>
          <w:lang w:val="sr-Cyrl-BA"/>
        </w:rPr>
        <w:t xml:space="preserve"> </w:t>
      </w:r>
      <w:r>
        <w:rPr>
          <w:rFonts w:ascii="Times New Roman" w:hAnsi="Times New Roman"/>
          <w:lang w:val="sr-Cyrl-BA"/>
        </w:rPr>
        <w:t>насиља</w:t>
      </w:r>
      <w:r w:rsidR="001741CA" w:rsidRPr="00295637">
        <w:rPr>
          <w:rFonts w:ascii="Times New Roman" w:hAnsi="Times New Roman"/>
          <w:lang w:val="sr-Cyrl-BA"/>
        </w:rPr>
        <w:t xml:space="preserve"> </w:t>
      </w:r>
      <w:r>
        <w:rPr>
          <w:rFonts w:ascii="Times New Roman" w:hAnsi="Times New Roman"/>
          <w:lang w:val="sr-Cyrl-BA"/>
        </w:rPr>
        <w:t>у</w:t>
      </w:r>
      <w:r w:rsidR="001741CA" w:rsidRPr="00295637">
        <w:rPr>
          <w:rFonts w:ascii="Times New Roman" w:hAnsi="Times New Roman"/>
          <w:lang w:val="sr-Cyrl-BA"/>
        </w:rPr>
        <w:t xml:space="preserve"> </w:t>
      </w:r>
      <w:r>
        <w:rPr>
          <w:rFonts w:ascii="Times New Roman" w:hAnsi="Times New Roman"/>
          <w:lang w:val="hr-HR"/>
        </w:rPr>
        <w:t>породици</w:t>
      </w:r>
      <w:r w:rsidR="001741CA" w:rsidRPr="00295637">
        <w:rPr>
          <w:rFonts w:ascii="Times New Roman" w:hAnsi="Times New Roman"/>
          <w:lang w:val="sr-Latn-BA"/>
        </w:rPr>
        <w:t>.</w:t>
      </w:r>
    </w:p>
    <w:p w:rsidR="001741CA" w:rsidRPr="00295637" w:rsidRDefault="001741CA" w:rsidP="0086268D">
      <w:pPr>
        <w:pStyle w:val="ListParagraph"/>
        <w:ind w:left="0"/>
        <w:jc w:val="both"/>
        <w:rPr>
          <w:rFonts w:ascii="Times New Roman" w:hAnsi="Times New Roman"/>
          <w:lang w:val="sr-Latn-BA"/>
        </w:rPr>
      </w:pPr>
    </w:p>
    <w:p w:rsidR="001741CA"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1741CA" w:rsidRPr="00295637">
        <w:rPr>
          <w:rFonts w:ascii="Times New Roman" w:hAnsi="Times New Roman"/>
          <w:lang w:val="sr-Latn-BA"/>
        </w:rPr>
        <w:t xml:space="preserve"> </w:t>
      </w:r>
      <w:r>
        <w:rPr>
          <w:rFonts w:ascii="Times New Roman" w:hAnsi="Times New Roman"/>
          <w:lang w:val="sr-Latn-BA"/>
        </w:rPr>
        <w:t>Републици</w:t>
      </w:r>
      <w:r w:rsidR="001741CA" w:rsidRPr="00295637">
        <w:rPr>
          <w:rFonts w:ascii="Times New Roman" w:hAnsi="Times New Roman"/>
          <w:lang w:val="sr-Latn-BA"/>
        </w:rPr>
        <w:t xml:space="preserve"> </w:t>
      </w:r>
      <w:r>
        <w:rPr>
          <w:rFonts w:ascii="Times New Roman" w:hAnsi="Times New Roman"/>
          <w:lang w:val="sr-Latn-BA"/>
        </w:rPr>
        <w:t>Српској</w:t>
      </w:r>
      <w:r w:rsidR="001741CA" w:rsidRPr="00295637">
        <w:rPr>
          <w:rFonts w:ascii="Times New Roman" w:hAnsi="Times New Roman"/>
          <w:lang w:val="sr-Latn-BA"/>
        </w:rPr>
        <w:t xml:space="preserve"> </w:t>
      </w:r>
      <w:r>
        <w:rPr>
          <w:rFonts w:ascii="Times New Roman" w:hAnsi="Times New Roman"/>
          <w:lang w:val="sr-Latn-BA"/>
        </w:rPr>
        <w:t>успостављен</w:t>
      </w:r>
      <w:r w:rsidR="001741CA" w:rsidRPr="00295637">
        <w:rPr>
          <w:rFonts w:ascii="Times New Roman" w:hAnsi="Times New Roman"/>
          <w:lang w:val="sr-Latn-BA"/>
        </w:rPr>
        <w:t xml:space="preserve"> </w:t>
      </w:r>
      <w:r>
        <w:rPr>
          <w:rFonts w:ascii="Times New Roman" w:hAnsi="Times New Roman"/>
          <w:lang w:val="sr-Latn-BA"/>
        </w:rPr>
        <w:t>је</w:t>
      </w:r>
      <w:r w:rsidR="001741CA" w:rsidRPr="00295637">
        <w:rPr>
          <w:rFonts w:ascii="Times New Roman" w:hAnsi="Times New Roman"/>
          <w:lang w:val="sr-Latn-BA"/>
        </w:rPr>
        <w:t xml:space="preserve"> </w:t>
      </w:r>
      <w:r>
        <w:rPr>
          <w:rFonts w:ascii="Times New Roman" w:hAnsi="Times New Roman"/>
          <w:lang w:val="sr-Latn-BA"/>
        </w:rPr>
        <w:t>систем</w:t>
      </w:r>
      <w:r w:rsidR="001741CA" w:rsidRPr="00295637">
        <w:rPr>
          <w:rFonts w:ascii="Times New Roman" w:hAnsi="Times New Roman"/>
          <w:lang w:val="sr-Latn-BA"/>
        </w:rPr>
        <w:t xml:space="preserve"> </w:t>
      </w:r>
      <w:r>
        <w:rPr>
          <w:rFonts w:ascii="Times New Roman" w:hAnsi="Times New Roman"/>
          <w:lang w:val="sr-Latn-BA"/>
        </w:rPr>
        <w:t>хитног</w:t>
      </w:r>
      <w:r w:rsidR="001741CA" w:rsidRPr="00295637">
        <w:rPr>
          <w:rFonts w:ascii="Times New Roman" w:hAnsi="Times New Roman"/>
          <w:lang w:val="sr-Latn-BA"/>
        </w:rPr>
        <w:t xml:space="preserve"> </w:t>
      </w:r>
      <w:r>
        <w:rPr>
          <w:rFonts w:ascii="Times New Roman" w:hAnsi="Times New Roman"/>
          <w:lang w:val="sr-Latn-BA"/>
        </w:rPr>
        <w:t>обавјештавања</w:t>
      </w:r>
      <w:r w:rsidR="001741CA" w:rsidRPr="00295637">
        <w:rPr>
          <w:rFonts w:ascii="Times New Roman" w:hAnsi="Times New Roman"/>
          <w:lang w:val="sr-Latn-BA"/>
        </w:rPr>
        <w:t xml:space="preserve"> </w:t>
      </w:r>
      <w:r>
        <w:rPr>
          <w:rFonts w:ascii="Times New Roman" w:hAnsi="Times New Roman"/>
          <w:lang w:val="sr-Latn-BA"/>
        </w:rPr>
        <w:t>јавности</w:t>
      </w:r>
      <w:r w:rsidR="001741CA" w:rsidRPr="00295637">
        <w:rPr>
          <w:rFonts w:ascii="Times New Roman" w:hAnsi="Times New Roman"/>
          <w:lang w:val="sr-Latn-BA"/>
        </w:rPr>
        <w:t xml:space="preserve"> </w:t>
      </w:r>
      <w:r>
        <w:rPr>
          <w:rFonts w:ascii="Times New Roman" w:hAnsi="Times New Roman"/>
          <w:lang w:val="sr-Latn-BA"/>
        </w:rPr>
        <w:t>у</w:t>
      </w:r>
      <w:r w:rsidR="001741CA" w:rsidRPr="00295637">
        <w:rPr>
          <w:rFonts w:ascii="Times New Roman" w:hAnsi="Times New Roman"/>
          <w:lang w:val="sr-Latn-BA"/>
        </w:rPr>
        <w:t xml:space="preserve"> </w:t>
      </w:r>
      <w:r>
        <w:rPr>
          <w:rFonts w:ascii="Times New Roman" w:hAnsi="Times New Roman"/>
          <w:lang w:val="sr-Latn-BA"/>
        </w:rPr>
        <w:t>случају</w:t>
      </w:r>
      <w:r w:rsidR="001741CA" w:rsidRPr="00295637">
        <w:rPr>
          <w:rFonts w:ascii="Times New Roman" w:hAnsi="Times New Roman"/>
          <w:lang w:val="sr-Latn-BA"/>
        </w:rPr>
        <w:t xml:space="preserve"> </w:t>
      </w:r>
      <w:r>
        <w:rPr>
          <w:rFonts w:ascii="Times New Roman" w:hAnsi="Times New Roman"/>
          <w:lang w:val="sr-Latn-BA"/>
        </w:rPr>
        <w:t>нестанка</w:t>
      </w:r>
      <w:r w:rsidR="001741CA" w:rsidRPr="00295637">
        <w:rPr>
          <w:rFonts w:ascii="Times New Roman" w:hAnsi="Times New Roman"/>
          <w:lang w:val="sr-Latn-BA"/>
        </w:rPr>
        <w:t xml:space="preserve"> </w:t>
      </w:r>
      <w:r>
        <w:rPr>
          <w:rFonts w:ascii="Times New Roman" w:hAnsi="Times New Roman"/>
          <w:lang w:val="sr-Latn-BA"/>
        </w:rPr>
        <w:t>малољетног</w:t>
      </w:r>
      <w:r w:rsidR="001741CA" w:rsidRPr="00295637">
        <w:rPr>
          <w:rFonts w:ascii="Times New Roman" w:hAnsi="Times New Roman"/>
          <w:lang w:val="sr-Latn-BA"/>
        </w:rPr>
        <w:t xml:space="preserve"> </w:t>
      </w:r>
      <w:r>
        <w:rPr>
          <w:rFonts w:ascii="Times New Roman" w:hAnsi="Times New Roman"/>
          <w:lang w:val="sr-Latn-BA"/>
        </w:rPr>
        <w:t>лица</w:t>
      </w:r>
      <w:r w:rsidR="001741CA" w:rsidRPr="00295637">
        <w:rPr>
          <w:rFonts w:ascii="Times New Roman" w:hAnsi="Times New Roman"/>
          <w:lang w:val="sr-Latn-BA"/>
        </w:rPr>
        <w:t xml:space="preserve"> „</w:t>
      </w:r>
      <w:r>
        <w:rPr>
          <w:rFonts w:ascii="Times New Roman" w:hAnsi="Times New Roman"/>
          <w:lang w:val="sr-Latn-BA"/>
        </w:rPr>
        <w:t>Пронађи</w:t>
      </w:r>
      <w:r w:rsidR="001741CA" w:rsidRPr="00295637">
        <w:rPr>
          <w:rFonts w:ascii="Times New Roman" w:hAnsi="Times New Roman"/>
          <w:lang w:val="sr-Latn-BA"/>
        </w:rPr>
        <w:t xml:space="preserve"> </w:t>
      </w:r>
      <w:r>
        <w:rPr>
          <w:rFonts w:ascii="Times New Roman" w:hAnsi="Times New Roman"/>
          <w:lang w:val="sr-Latn-BA"/>
        </w:rPr>
        <w:t>ме</w:t>
      </w:r>
      <w:r w:rsidR="001741CA" w:rsidRPr="00295637">
        <w:rPr>
          <w:rFonts w:ascii="Times New Roman" w:hAnsi="Times New Roman"/>
          <w:lang w:val="sr-Latn-BA"/>
        </w:rPr>
        <w:t>“.</w:t>
      </w:r>
    </w:p>
    <w:p w:rsidR="001741CA" w:rsidRPr="00295637" w:rsidRDefault="001741CA" w:rsidP="0086268D">
      <w:pPr>
        <w:tabs>
          <w:tab w:val="left" w:pos="284"/>
          <w:tab w:val="left" w:pos="630"/>
          <w:tab w:val="left" w:pos="1080"/>
        </w:tabs>
        <w:jc w:val="both"/>
        <w:rPr>
          <w:rFonts w:ascii="Times New Roman" w:hAnsi="Times New Roman"/>
          <w:szCs w:val="24"/>
        </w:rPr>
      </w:pPr>
    </w:p>
    <w:p w:rsidR="00A66E5B" w:rsidRPr="00295637" w:rsidRDefault="00C6214E" w:rsidP="0086268D">
      <w:pPr>
        <w:tabs>
          <w:tab w:val="left" w:pos="284"/>
          <w:tab w:val="left" w:pos="630"/>
          <w:tab w:val="left" w:pos="1080"/>
        </w:tabs>
        <w:jc w:val="both"/>
        <w:rPr>
          <w:rFonts w:ascii="Times New Roman" w:hAnsi="Times New Roman"/>
          <w:szCs w:val="24"/>
        </w:rPr>
      </w:pPr>
      <w:r>
        <w:rPr>
          <w:rFonts w:ascii="Times New Roman" w:hAnsi="Times New Roman"/>
          <w:szCs w:val="24"/>
        </w:rPr>
        <w:t>Полиција</w:t>
      </w:r>
      <w:r w:rsidR="00053DEF" w:rsidRPr="00295637">
        <w:rPr>
          <w:rFonts w:ascii="Times New Roman" w:hAnsi="Times New Roman"/>
          <w:szCs w:val="24"/>
        </w:rPr>
        <w:t xml:space="preserve"> </w:t>
      </w:r>
      <w:r>
        <w:rPr>
          <w:rFonts w:ascii="Times New Roman" w:hAnsi="Times New Roman"/>
          <w:szCs w:val="24"/>
        </w:rPr>
        <w:t>БД</w:t>
      </w:r>
      <w:r w:rsidR="00B575BA">
        <w:rPr>
          <w:rFonts w:ascii="Times New Roman" w:hAnsi="Times New Roman"/>
          <w:szCs w:val="24"/>
        </w:rPr>
        <w:t xml:space="preserve"> </w:t>
      </w:r>
      <w:r>
        <w:rPr>
          <w:rFonts w:ascii="Times New Roman" w:hAnsi="Times New Roman"/>
          <w:szCs w:val="24"/>
        </w:rPr>
        <w:t>БиХ</w:t>
      </w:r>
      <w:r w:rsidR="00053DEF" w:rsidRPr="00295637">
        <w:rPr>
          <w:rFonts w:ascii="Times New Roman" w:hAnsi="Times New Roman"/>
          <w:szCs w:val="24"/>
        </w:rPr>
        <w:t xml:space="preserve"> </w:t>
      </w:r>
      <w:r w:rsidR="00C9019F">
        <w:rPr>
          <w:rFonts w:ascii="Times New Roman" w:hAnsi="Times New Roman"/>
          <w:szCs w:val="24"/>
        </w:rPr>
        <w:t xml:space="preserve">је </w:t>
      </w:r>
      <w:r>
        <w:rPr>
          <w:rFonts w:ascii="Times New Roman" w:hAnsi="Times New Roman"/>
          <w:szCs w:val="24"/>
        </w:rPr>
        <w:t>опредијељена</w:t>
      </w:r>
      <w:r w:rsidR="00053DEF" w:rsidRPr="00295637">
        <w:rPr>
          <w:rFonts w:ascii="Times New Roman" w:hAnsi="Times New Roman"/>
          <w:szCs w:val="24"/>
        </w:rPr>
        <w:t xml:space="preserve"> </w:t>
      </w:r>
      <w:r>
        <w:rPr>
          <w:rFonts w:ascii="Times New Roman" w:hAnsi="Times New Roman"/>
          <w:szCs w:val="24"/>
        </w:rPr>
        <w:t>за</w:t>
      </w:r>
      <w:r w:rsidR="00053DEF" w:rsidRPr="00295637">
        <w:rPr>
          <w:rFonts w:ascii="Times New Roman" w:hAnsi="Times New Roman"/>
          <w:szCs w:val="24"/>
        </w:rPr>
        <w:t xml:space="preserve"> </w:t>
      </w:r>
      <w:r>
        <w:rPr>
          <w:rFonts w:ascii="Times New Roman" w:hAnsi="Times New Roman"/>
          <w:szCs w:val="24"/>
        </w:rPr>
        <w:t>ефикасан</w:t>
      </w:r>
      <w:r w:rsidR="00053DEF" w:rsidRPr="00295637">
        <w:rPr>
          <w:rFonts w:ascii="Times New Roman" w:hAnsi="Times New Roman"/>
          <w:szCs w:val="24"/>
        </w:rPr>
        <w:t xml:space="preserve"> </w:t>
      </w:r>
      <w:r>
        <w:rPr>
          <w:rFonts w:ascii="Times New Roman" w:hAnsi="Times New Roman"/>
          <w:szCs w:val="24"/>
        </w:rPr>
        <w:t>и</w:t>
      </w:r>
      <w:r w:rsidR="00053DEF" w:rsidRPr="00295637">
        <w:rPr>
          <w:rFonts w:ascii="Times New Roman" w:hAnsi="Times New Roman"/>
          <w:szCs w:val="24"/>
        </w:rPr>
        <w:t xml:space="preserve"> </w:t>
      </w:r>
      <w:r>
        <w:rPr>
          <w:rFonts w:ascii="Times New Roman" w:hAnsi="Times New Roman"/>
          <w:szCs w:val="24"/>
        </w:rPr>
        <w:t>свеобухватан</w:t>
      </w:r>
      <w:r w:rsidR="00053DEF" w:rsidRPr="00295637">
        <w:rPr>
          <w:rFonts w:ascii="Times New Roman" w:hAnsi="Times New Roman"/>
          <w:szCs w:val="24"/>
        </w:rPr>
        <w:t xml:space="preserve"> </w:t>
      </w:r>
      <w:r>
        <w:rPr>
          <w:rFonts w:ascii="Times New Roman" w:hAnsi="Times New Roman"/>
          <w:szCs w:val="24"/>
        </w:rPr>
        <w:t>приступ</w:t>
      </w:r>
      <w:r w:rsidR="00053DEF" w:rsidRPr="00295637">
        <w:rPr>
          <w:rFonts w:ascii="Times New Roman" w:hAnsi="Times New Roman"/>
          <w:szCs w:val="24"/>
        </w:rPr>
        <w:t xml:space="preserve"> </w:t>
      </w:r>
      <w:r>
        <w:rPr>
          <w:rFonts w:ascii="Times New Roman" w:hAnsi="Times New Roman"/>
          <w:szCs w:val="24"/>
        </w:rPr>
        <w:t>проблематици</w:t>
      </w:r>
      <w:r w:rsidR="00053DEF" w:rsidRPr="00295637">
        <w:rPr>
          <w:rFonts w:ascii="Times New Roman" w:hAnsi="Times New Roman"/>
          <w:szCs w:val="24"/>
        </w:rPr>
        <w:t xml:space="preserve"> </w:t>
      </w:r>
      <w:r>
        <w:rPr>
          <w:rFonts w:ascii="Times New Roman" w:hAnsi="Times New Roman"/>
          <w:szCs w:val="24"/>
        </w:rPr>
        <w:t>родно</w:t>
      </w:r>
      <w:r w:rsidR="00053DEF" w:rsidRPr="00295637">
        <w:rPr>
          <w:rFonts w:ascii="Times New Roman" w:hAnsi="Times New Roman"/>
          <w:szCs w:val="24"/>
        </w:rPr>
        <w:t xml:space="preserve"> </w:t>
      </w:r>
      <w:r>
        <w:rPr>
          <w:rFonts w:ascii="Times New Roman" w:hAnsi="Times New Roman"/>
          <w:szCs w:val="24"/>
        </w:rPr>
        <w:t>заснованог</w:t>
      </w:r>
      <w:r w:rsidR="00B575BA">
        <w:rPr>
          <w:rFonts w:ascii="Times New Roman" w:hAnsi="Times New Roman"/>
          <w:szCs w:val="24"/>
        </w:rPr>
        <w:t xml:space="preserve"> </w:t>
      </w:r>
      <w:r>
        <w:rPr>
          <w:rFonts w:ascii="Times New Roman" w:hAnsi="Times New Roman"/>
          <w:szCs w:val="24"/>
        </w:rPr>
        <w:t>насиља</w:t>
      </w:r>
      <w:r w:rsidR="00B575BA">
        <w:rPr>
          <w:rFonts w:ascii="Times New Roman" w:hAnsi="Times New Roman"/>
          <w:szCs w:val="24"/>
        </w:rPr>
        <w:t xml:space="preserve"> </w:t>
      </w:r>
      <w:r>
        <w:rPr>
          <w:rFonts w:ascii="Times New Roman" w:hAnsi="Times New Roman"/>
          <w:szCs w:val="24"/>
        </w:rPr>
        <w:t>и</w:t>
      </w:r>
      <w:r w:rsidR="00B575BA">
        <w:rPr>
          <w:rFonts w:ascii="Times New Roman" w:hAnsi="Times New Roman"/>
          <w:szCs w:val="24"/>
        </w:rPr>
        <w:t xml:space="preserve"> </w:t>
      </w:r>
      <w:r>
        <w:rPr>
          <w:rFonts w:ascii="Times New Roman" w:hAnsi="Times New Roman"/>
          <w:szCs w:val="24"/>
        </w:rPr>
        <w:t>располаже</w:t>
      </w:r>
      <w:r w:rsidR="00B575BA">
        <w:rPr>
          <w:rFonts w:ascii="Times New Roman" w:hAnsi="Times New Roman"/>
          <w:szCs w:val="24"/>
        </w:rPr>
        <w:t xml:space="preserve"> </w:t>
      </w:r>
      <w:r>
        <w:rPr>
          <w:rFonts w:ascii="Times New Roman" w:hAnsi="Times New Roman"/>
          <w:szCs w:val="24"/>
        </w:rPr>
        <w:t>са</w:t>
      </w:r>
      <w:r w:rsidR="00053DEF" w:rsidRPr="00295637">
        <w:rPr>
          <w:rFonts w:ascii="Times New Roman" w:hAnsi="Times New Roman"/>
          <w:szCs w:val="24"/>
        </w:rPr>
        <w:t xml:space="preserve"> </w:t>
      </w:r>
      <w:r>
        <w:rPr>
          <w:rFonts w:ascii="Times New Roman" w:hAnsi="Times New Roman"/>
          <w:szCs w:val="24"/>
        </w:rPr>
        <w:t>неопходним</w:t>
      </w:r>
      <w:r w:rsidR="00053DEF" w:rsidRPr="00295637">
        <w:rPr>
          <w:rFonts w:ascii="Times New Roman" w:hAnsi="Times New Roman"/>
          <w:szCs w:val="24"/>
        </w:rPr>
        <w:t xml:space="preserve"> </w:t>
      </w:r>
      <w:r>
        <w:rPr>
          <w:rFonts w:ascii="Times New Roman" w:hAnsi="Times New Roman"/>
          <w:szCs w:val="24"/>
        </w:rPr>
        <w:t>кадровским</w:t>
      </w:r>
      <w:r w:rsidR="00053DEF" w:rsidRPr="00295637">
        <w:rPr>
          <w:rFonts w:ascii="Times New Roman" w:hAnsi="Times New Roman"/>
          <w:szCs w:val="24"/>
        </w:rPr>
        <w:t xml:space="preserve"> </w:t>
      </w:r>
      <w:r>
        <w:rPr>
          <w:rFonts w:ascii="Times New Roman" w:hAnsi="Times New Roman"/>
          <w:szCs w:val="24"/>
        </w:rPr>
        <w:t>и</w:t>
      </w:r>
      <w:r w:rsidR="00053DEF" w:rsidRPr="00295637">
        <w:rPr>
          <w:rFonts w:ascii="Times New Roman" w:hAnsi="Times New Roman"/>
          <w:szCs w:val="24"/>
        </w:rPr>
        <w:t xml:space="preserve"> </w:t>
      </w:r>
      <w:r>
        <w:rPr>
          <w:rFonts w:ascii="Times New Roman" w:hAnsi="Times New Roman"/>
          <w:szCs w:val="24"/>
        </w:rPr>
        <w:t>материјално</w:t>
      </w:r>
      <w:r w:rsidR="00053DEF" w:rsidRPr="00295637">
        <w:rPr>
          <w:rFonts w:ascii="Times New Roman" w:hAnsi="Times New Roman"/>
          <w:szCs w:val="24"/>
        </w:rPr>
        <w:t xml:space="preserve"> </w:t>
      </w:r>
      <w:r>
        <w:rPr>
          <w:rFonts w:ascii="Times New Roman" w:hAnsi="Times New Roman"/>
          <w:szCs w:val="24"/>
        </w:rPr>
        <w:t>техничким</w:t>
      </w:r>
      <w:r w:rsidR="00053DEF" w:rsidRPr="00295637">
        <w:rPr>
          <w:rFonts w:ascii="Times New Roman" w:hAnsi="Times New Roman"/>
          <w:szCs w:val="24"/>
        </w:rPr>
        <w:t xml:space="preserve"> </w:t>
      </w:r>
      <w:r>
        <w:rPr>
          <w:rFonts w:ascii="Times New Roman" w:hAnsi="Times New Roman"/>
          <w:szCs w:val="24"/>
        </w:rPr>
        <w:t>капацитетима</w:t>
      </w:r>
      <w:r w:rsidR="00053DEF" w:rsidRPr="00295637">
        <w:rPr>
          <w:rFonts w:ascii="Times New Roman" w:hAnsi="Times New Roman"/>
          <w:szCs w:val="24"/>
        </w:rPr>
        <w:t xml:space="preserve">. </w:t>
      </w:r>
      <w:r>
        <w:rPr>
          <w:rFonts w:ascii="Times New Roman" w:hAnsi="Times New Roman"/>
          <w:szCs w:val="24"/>
        </w:rPr>
        <w:t>У</w:t>
      </w:r>
      <w:r w:rsidR="006E7ACA" w:rsidRPr="00295637">
        <w:rPr>
          <w:rFonts w:ascii="Times New Roman" w:hAnsi="Times New Roman"/>
          <w:szCs w:val="24"/>
        </w:rPr>
        <w:t xml:space="preserve"> </w:t>
      </w:r>
      <w:r>
        <w:rPr>
          <w:rFonts w:ascii="Times New Roman" w:hAnsi="Times New Roman"/>
          <w:szCs w:val="24"/>
        </w:rPr>
        <w:t>извјештајном</w:t>
      </w:r>
      <w:r w:rsidR="006E7ACA" w:rsidRPr="00295637">
        <w:rPr>
          <w:rFonts w:ascii="Times New Roman" w:hAnsi="Times New Roman"/>
          <w:szCs w:val="24"/>
        </w:rPr>
        <w:t xml:space="preserve"> </w:t>
      </w:r>
      <w:r>
        <w:rPr>
          <w:rFonts w:ascii="Times New Roman" w:hAnsi="Times New Roman"/>
          <w:szCs w:val="24"/>
        </w:rPr>
        <w:t>периоду</w:t>
      </w:r>
      <w:r w:rsidR="006E7ACA" w:rsidRPr="00295637">
        <w:rPr>
          <w:rFonts w:ascii="Times New Roman" w:hAnsi="Times New Roman"/>
          <w:szCs w:val="24"/>
        </w:rPr>
        <w:t xml:space="preserve"> </w:t>
      </w:r>
      <w:r>
        <w:rPr>
          <w:rFonts w:ascii="Times New Roman" w:hAnsi="Times New Roman"/>
          <w:szCs w:val="24"/>
        </w:rPr>
        <w:t>Јединици</w:t>
      </w:r>
      <w:r w:rsidR="006E7ACA" w:rsidRPr="00295637">
        <w:rPr>
          <w:rFonts w:ascii="Times New Roman" w:hAnsi="Times New Roman"/>
          <w:szCs w:val="24"/>
        </w:rPr>
        <w:t xml:space="preserve"> </w:t>
      </w:r>
      <w:r>
        <w:rPr>
          <w:rFonts w:ascii="Times New Roman" w:hAnsi="Times New Roman"/>
          <w:szCs w:val="24"/>
        </w:rPr>
        <w:t>оп</w:t>
      </w:r>
      <w:r w:rsidR="00C9019F">
        <w:rPr>
          <w:rFonts w:ascii="Times New Roman" w:hAnsi="Times New Roman"/>
          <w:szCs w:val="24"/>
          <w:lang w:val="sr-Cyrl-BA"/>
        </w:rPr>
        <w:t>шт</w:t>
      </w:r>
      <w:r>
        <w:rPr>
          <w:rFonts w:ascii="Times New Roman" w:hAnsi="Times New Roman"/>
          <w:szCs w:val="24"/>
        </w:rPr>
        <w:t>е</w:t>
      </w:r>
      <w:r w:rsidR="00B575BA">
        <w:rPr>
          <w:rFonts w:ascii="Times New Roman" w:hAnsi="Times New Roman"/>
          <w:szCs w:val="24"/>
        </w:rPr>
        <w:t xml:space="preserve"> </w:t>
      </w:r>
      <w:r>
        <w:rPr>
          <w:rFonts w:ascii="Times New Roman" w:hAnsi="Times New Roman"/>
          <w:szCs w:val="24"/>
        </w:rPr>
        <w:t>полиције</w:t>
      </w:r>
      <w:r w:rsidR="00B575BA">
        <w:rPr>
          <w:rFonts w:ascii="Times New Roman" w:hAnsi="Times New Roman"/>
          <w:szCs w:val="24"/>
        </w:rPr>
        <w:t xml:space="preserve"> </w:t>
      </w:r>
      <w:r>
        <w:rPr>
          <w:rFonts w:ascii="Times New Roman" w:hAnsi="Times New Roman"/>
          <w:szCs w:val="24"/>
        </w:rPr>
        <w:t>Брчко</w:t>
      </w:r>
      <w:r w:rsidR="00B575BA">
        <w:rPr>
          <w:rFonts w:ascii="Times New Roman" w:hAnsi="Times New Roman"/>
          <w:szCs w:val="24"/>
        </w:rPr>
        <w:t xml:space="preserve"> </w:t>
      </w:r>
      <w:r>
        <w:rPr>
          <w:rFonts w:ascii="Times New Roman" w:hAnsi="Times New Roman"/>
          <w:szCs w:val="24"/>
        </w:rPr>
        <w:t>Дистрикта</w:t>
      </w:r>
      <w:r w:rsidR="006E7ACA" w:rsidRPr="00295637">
        <w:rPr>
          <w:rFonts w:ascii="Times New Roman" w:hAnsi="Times New Roman"/>
          <w:szCs w:val="24"/>
        </w:rPr>
        <w:t xml:space="preserve"> </w:t>
      </w:r>
      <w:r>
        <w:rPr>
          <w:rFonts w:ascii="Times New Roman" w:hAnsi="Times New Roman"/>
          <w:szCs w:val="24"/>
        </w:rPr>
        <w:t>пријављено</w:t>
      </w:r>
      <w:r w:rsidR="006E7ACA" w:rsidRPr="00295637">
        <w:rPr>
          <w:rFonts w:ascii="Times New Roman" w:hAnsi="Times New Roman"/>
          <w:szCs w:val="24"/>
        </w:rPr>
        <w:t xml:space="preserve"> </w:t>
      </w:r>
      <w:r>
        <w:rPr>
          <w:rFonts w:ascii="Times New Roman" w:hAnsi="Times New Roman"/>
          <w:szCs w:val="24"/>
        </w:rPr>
        <w:t>је</w:t>
      </w:r>
      <w:r w:rsidR="006E7ACA" w:rsidRPr="00295637">
        <w:rPr>
          <w:rFonts w:ascii="Times New Roman" w:hAnsi="Times New Roman"/>
          <w:szCs w:val="24"/>
        </w:rPr>
        <w:t xml:space="preserve"> </w:t>
      </w:r>
      <w:r>
        <w:rPr>
          <w:rFonts w:ascii="Times New Roman" w:hAnsi="Times New Roman"/>
          <w:szCs w:val="24"/>
        </w:rPr>
        <w:t>и</w:t>
      </w:r>
      <w:r w:rsidR="006E7ACA" w:rsidRPr="00295637">
        <w:rPr>
          <w:rFonts w:ascii="Times New Roman" w:hAnsi="Times New Roman"/>
          <w:szCs w:val="24"/>
        </w:rPr>
        <w:t xml:space="preserve"> </w:t>
      </w:r>
      <w:r>
        <w:rPr>
          <w:rFonts w:ascii="Times New Roman" w:hAnsi="Times New Roman"/>
          <w:szCs w:val="24"/>
        </w:rPr>
        <w:t>ријешено</w:t>
      </w:r>
      <w:r w:rsidR="006E7ACA" w:rsidRPr="00295637">
        <w:rPr>
          <w:rFonts w:ascii="Times New Roman" w:hAnsi="Times New Roman"/>
          <w:szCs w:val="24"/>
        </w:rPr>
        <w:t xml:space="preserve"> 28 </w:t>
      </w:r>
      <w:r>
        <w:rPr>
          <w:rFonts w:ascii="Times New Roman" w:hAnsi="Times New Roman"/>
          <w:szCs w:val="24"/>
        </w:rPr>
        <w:t>кривичних</w:t>
      </w:r>
      <w:r w:rsidR="006E7ACA" w:rsidRPr="00295637">
        <w:rPr>
          <w:rFonts w:ascii="Times New Roman" w:hAnsi="Times New Roman"/>
          <w:szCs w:val="24"/>
        </w:rPr>
        <w:t xml:space="preserve"> </w:t>
      </w:r>
      <w:r>
        <w:rPr>
          <w:rFonts w:ascii="Times New Roman" w:hAnsi="Times New Roman"/>
          <w:szCs w:val="24"/>
        </w:rPr>
        <w:t>дјела</w:t>
      </w:r>
      <w:r w:rsidR="006E7ACA" w:rsidRPr="00295637">
        <w:rPr>
          <w:rFonts w:ascii="Times New Roman" w:hAnsi="Times New Roman"/>
          <w:szCs w:val="24"/>
        </w:rPr>
        <w:t xml:space="preserve"> </w:t>
      </w:r>
      <w:r>
        <w:rPr>
          <w:rFonts w:ascii="Times New Roman" w:hAnsi="Times New Roman"/>
          <w:szCs w:val="24"/>
        </w:rPr>
        <w:t>и</w:t>
      </w:r>
      <w:r w:rsidR="006E7ACA" w:rsidRPr="00295637">
        <w:rPr>
          <w:rFonts w:ascii="Times New Roman" w:hAnsi="Times New Roman"/>
          <w:szCs w:val="24"/>
        </w:rPr>
        <w:t xml:space="preserve"> </w:t>
      </w:r>
      <w:r>
        <w:rPr>
          <w:rFonts w:ascii="Times New Roman" w:hAnsi="Times New Roman"/>
          <w:szCs w:val="24"/>
        </w:rPr>
        <w:t>изречено</w:t>
      </w:r>
      <w:r w:rsidR="006E7ACA" w:rsidRPr="00295637">
        <w:rPr>
          <w:rFonts w:ascii="Times New Roman" w:hAnsi="Times New Roman"/>
          <w:szCs w:val="24"/>
        </w:rPr>
        <w:t xml:space="preserve"> </w:t>
      </w:r>
      <w:r>
        <w:rPr>
          <w:rFonts w:ascii="Times New Roman" w:hAnsi="Times New Roman"/>
          <w:szCs w:val="24"/>
        </w:rPr>
        <w:t>седам</w:t>
      </w:r>
      <w:r w:rsidR="00053DEF" w:rsidRPr="00295637">
        <w:rPr>
          <w:rFonts w:ascii="Times New Roman" w:hAnsi="Times New Roman"/>
          <w:szCs w:val="24"/>
        </w:rPr>
        <w:t xml:space="preserve"> </w:t>
      </w:r>
      <w:r>
        <w:rPr>
          <w:rFonts w:ascii="Times New Roman" w:hAnsi="Times New Roman"/>
          <w:szCs w:val="24"/>
        </w:rPr>
        <w:t>хитних</w:t>
      </w:r>
      <w:r w:rsidR="00053DEF" w:rsidRPr="00295637">
        <w:rPr>
          <w:rFonts w:ascii="Times New Roman" w:hAnsi="Times New Roman"/>
          <w:szCs w:val="24"/>
        </w:rPr>
        <w:t xml:space="preserve"> </w:t>
      </w:r>
      <w:r>
        <w:rPr>
          <w:rFonts w:ascii="Times New Roman" w:hAnsi="Times New Roman"/>
          <w:szCs w:val="24"/>
        </w:rPr>
        <w:t>мјера</w:t>
      </w:r>
      <w:r w:rsidR="00053DEF" w:rsidRPr="00295637">
        <w:rPr>
          <w:rFonts w:ascii="Times New Roman" w:hAnsi="Times New Roman"/>
          <w:szCs w:val="24"/>
        </w:rPr>
        <w:t xml:space="preserve"> </w:t>
      </w:r>
      <w:r>
        <w:rPr>
          <w:rFonts w:ascii="Times New Roman" w:hAnsi="Times New Roman"/>
          <w:szCs w:val="24"/>
        </w:rPr>
        <w:t>заштите</w:t>
      </w:r>
      <w:r w:rsidR="00053DEF" w:rsidRPr="00295637">
        <w:rPr>
          <w:rFonts w:ascii="Times New Roman" w:hAnsi="Times New Roman"/>
          <w:szCs w:val="24"/>
        </w:rPr>
        <w:t xml:space="preserve">. </w:t>
      </w:r>
    </w:p>
    <w:p w:rsidR="00C645D2" w:rsidRPr="00295637" w:rsidRDefault="00C645D2" w:rsidP="0086268D">
      <w:pPr>
        <w:tabs>
          <w:tab w:val="left" w:pos="284"/>
          <w:tab w:val="left" w:pos="630"/>
          <w:tab w:val="left" w:pos="1080"/>
        </w:tabs>
        <w:jc w:val="both"/>
        <w:rPr>
          <w:rFonts w:ascii="Times New Roman" w:hAnsi="Times New Roman"/>
          <w:color w:val="FF0000"/>
          <w:szCs w:val="24"/>
        </w:rPr>
      </w:pPr>
    </w:p>
    <w:p w:rsidR="0031051F" w:rsidRPr="00B575BA" w:rsidRDefault="00C6214E" w:rsidP="0086268D">
      <w:pPr>
        <w:pStyle w:val="HTMLPreformatted"/>
        <w:jc w:val="both"/>
        <w:rPr>
          <w:rStyle w:val="y2iqfc"/>
          <w:rFonts w:ascii="inherit" w:hAnsi="inherit"/>
          <w:sz w:val="24"/>
          <w:szCs w:val="24"/>
        </w:rPr>
      </w:pPr>
      <w:r>
        <w:rPr>
          <w:rStyle w:val="y2iqfc"/>
          <w:rFonts w:ascii="inherit" w:hAnsi="inherit"/>
          <w:sz w:val="24"/>
          <w:szCs w:val="24"/>
        </w:rPr>
        <w:t>Мисија</w:t>
      </w:r>
      <w:r w:rsidR="006E724F" w:rsidRPr="00B575BA">
        <w:rPr>
          <w:rStyle w:val="y2iqfc"/>
          <w:rFonts w:ascii="inherit" w:hAnsi="inherit"/>
          <w:sz w:val="24"/>
          <w:szCs w:val="24"/>
        </w:rPr>
        <w:t xml:space="preserve"> </w:t>
      </w:r>
      <w:r>
        <w:rPr>
          <w:rStyle w:val="y2iqfc"/>
          <w:rFonts w:ascii="inherit" w:hAnsi="inherit"/>
          <w:sz w:val="24"/>
          <w:szCs w:val="24"/>
        </w:rPr>
        <w:t>О</w:t>
      </w:r>
      <w:r w:rsidR="00C9019F">
        <w:rPr>
          <w:rStyle w:val="y2iqfc"/>
          <w:rFonts w:ascii="inherit" w:hAnsi="inherit"/>
          <w:sz w:val="24"/>
          <w:szCs w:val="24"/>
          <w:lang w:val="sr-Cyrl-BA"/>
        </w:rPr>
        <w:t>ЕБС</w:t>
      </w:r>
      <w:r w:rsidR="006E724F" w:rsidRPr="00B575BA">
        <w:rPr>
          <w:rStyle w:val="y2iqfc"/>
          <w:rFonts w:ascii="inherit" w:hAnsi="inherit"/>
          <w:sz w:val="24"/>
          <w:szCs w:val="24"/>
        </w:rPr>
        <w:t>-</w:t>
      </w:r>
      <w:r>
        <w:rPr>
          <w:rStyle w:val="y2iqfc"/>
          <w:rFonts w:ascii="inherit" w:hAnsi="inherit"/>
          <w:sz w:val="24"/>
          <w:szCs w:val="24"/>
        </w:rPr>
        <w:t>а</w:t>
      </w:r>
      <w:r w:rsidR="006E724F" w:rsidRPr="00B575BA">
        <w:rPr>
          <w:rStyle w:val="y2iqfc"/>
          <w:rFonts w:ascii="inherit" w:hAnsi="inherit"/>
          <w:sz w:val="24"/>
          <w:szCs w:val="24"/>
        </w:rPr>
        <w:t xml:space="preserve"> </w:t>
      </w:r>
      <w:r>
        <w:rPr>
          <w:rStyle w:val="y2iqfc"/>
          <w:rFonts w:ascii="inherit" w:hAnsi="inherit"/>
          <w:sz w:val="24"/>
          <w:szCs w:val="24"/>
        </w:rPr>
        <w:t>у</w:t>
      </w:r>
      <w:r w:rsidR="006E724F" w:rsidRPr="00B575BA">
        <w:rPr>
          <w:rStyle w:val="y2iqfc"/>
          <w:rFonts w:ascii="inherit" w:hAnsi="inherit"/>
          <w:sz w:val="24"/>
          <w:szCs w:val="24"/>
        </w:rPr>
        <w:t xml:space="preserve"> </w:t>
      </w:r>
      <w:r>
        <w:rPr>
          <w:rStyle w:val="y2iqfc"/>
          <w:rFonts w:ascii="inherit" w:hAnsi="inherit"/>
          <w:sz w:val="24"/>
          <w:szCs w:val="24"/>
        </w:rPr>
        <w:t>Босни</w:t>
      </w:r>
      <w:r w:rsidR="006E724F" w:rsidRPr="00B575BA">
        <w:rPr>
          <w:rStyle w:val="y2iqfc"/>
          <w:rFonts w:ascii="inherit" w:hAnsi="inherit"/>
          <w:sz w:val="24"/>
          <w:szCs w:val="24"/>
        </w:rPr>
        <w:t xml:space="preserve"> </w:t>
      </w:r>
      <w:r>
        <w:rPr>
          <w:rStyle w:val="y2iqfc"/>
          <w:rFonts w:ascii="inherit" w:hAnsi="inherit"/>
          <w:sz w:val="24"/>
          <w:szCs w:val="24"/>
        </w:rPr>
        <w:t>и</w:t>
      </w:r>
      <w:r w:rsidR="006E724F" w:rsidRPr="00B575BA">
        <w:rPr>
          <w:rStyle w:val="y2iqfc"/>
          <w:rFonts w:ascii="inherit" w:hAnsi="inherit"/>
          <w:sz w:val="24"/>
          <w:szCs w:val="24"/>
        </w:rPr>
        <w:t xml:space="preserve"> </w:t>
      </w:r>
      <w:r>
        <w:rPr>
          <w:rStyle w:val="y2iqfc"/>
          <w:rFonts w:ascii="inherit" w:hAnsi="inherit"/>
          <w:sz w:val="24"/>
          <w:szCs w:val="24"/>
        </w:rPr>
        <w:t>Херцеговини</w:t>
      </w:r>
      <w:r w:rsidR="006E724F" w:rsidRPr="00B575BA">
        <w:rPr>
          <w:rStyle w:val="y2iqfc"/>
          <w:rFonts w:ascii="inherit" w:hAnsi="inherit"/>
          <w:sz w:val="24"/>
          <w:szCs w:val="24"/>
        </w:rPr>
        <w:t xml:space="preserve"> </w:t>
      </w:r>
      <w:r w:rsidR="00C9019F">
        <w:rPr>
          <w:rStyle w:val="y2iqfc"/>
          <w:rFonts w:ascii="inherit" w:hAnsi="inherit"/>
          <w:sz w:val="24"/>
          <w:szCs w:val="24"/>
        </w:rPr>
        <w:t xml:space="preserve">је </w:t>
      </w:r>
      <w:r>
        <w:rPr>
          <w:rStyle w:val="y2iqfc"/>
          <w:rFonts w:ascii="inherit" w:hAnsi="inherit"/>
          <w:sz w:val="24"/>
          <w:szCs w:val="24"/>
        </w:rPr>
        <w:t>подржала</w:t>
      </w:r>
      <w:r w:rsidR="006E724F" w:rsidRPr="00B575BA">
        <w:rPr>
          <w:rStyle w:val="y2iqfc"/>
          <w:rFonts w:ascii="inherit" w:hAnsi="inherit"/>
          <w:sz w:val="24"/>
          <w:szCs w:val="24"/>
        </w:rPr>
        <w:t xml:space="preserve"> </w:t>
      </w:r>
      <w:r>
        <w:rPr>
          <w:rStyle w:val="y2iqfc"/>
          <w:rFonts w:ascii="inherit" w:hAnsi="inherit"/>
          <w:sz w:val="24"/>
          <w:szCs w:val="24"/>
        </w:rPr>
        <w:t>организацију</w:t>
      </w:r>
      <w:r w:rsidR="006E724F" w:rsidRPr="00B575BA">
        <w:rPr>
          <w:rStyle w:val="y2iqfc"/>
          <w:rFonts w:ascii="inherit" w:hAnsi="inherit"/>
          <w:sz w:val="24"/>
          <w:szCs w:val="24"/>
        </w:rPr>
        <w:t xml:space="preserve"> </w:t>
      </w:r>
      <w:r>
        <w:rPr>
          <w:rStyle w:val="y2iqfc"/>
          <w:rFonts w:ascii="inherit" w:hAnsi="inherit"/>
          <w:sz w:val="24"/>
          <w:szCs w:val="24"/>
        </w:rPr>
        <w:t>већег</w:t>
      </w:r>
      <w:r w:rsidR="006B203E" w:rsidRPr="00B575BA">
        <w:rPr>
          <w:rStyle w:val="y2iqfc"/>
          <w:rFonts w:ascii="inherit" w:hAnsi="inherit"/>
          <w:sz w:val="24"/>
          <w:szCs w:val="24"/>
        </w:rPr>
        <w:t xml:space="preserve"> </w:t>
      </w:r>
      <w:r>
        <w:rPr>
          <w:rStyle w:val="y2iqfc"/>
          <w:rFonts w:ascii="inherit" w:hAnsi="inherit"/>
          <w:sz w:val="24"/>
          <w:szCs w:val="24"/>
        </w:rPr>
        <w:t>броја</w:t>
      </w:r>
      <w:r w:rsidR="006E724F" w:rsidRPr="00B575BA">
        <w:rPr>
          <w:rStyle w:val="y2iqfc"/>
          <w:rFonts w:ascii="inherit" w:hAnsi="inherit"/>
          <w:sz w:val="24"/>
          <w:szCs w:val="24"/>
        </w:rPr>
        <w:t xml:space="preserve"> </w:t>
      </w:r>
      <w:r>
        <w:rPr>
          <w:rStyle w:val="y2iqfc"/>
          <w:rFonts w:ascii="inherit" w:hAnsi="inherit"/>
          <w:sz w:val="24"/>
          <w:szCs w:val="24"/>
        </w:rPr>
        <w:t>мултисекторских</w:t>
      </w:r>
      <w:r w:rsidR="006E724F" w:rsidRPr="00B575BA">
        <w:rPr>
          <w:rStyle w:val="y2iqfc"/>
          <w:rFonts w:ascii="inherit" w:hAnsi="inherit"/>
          <w:sz w:val="24"/>
          <w:szCs w:val="24"/>
        </w:rPr>
        <w:t xml:space="preserve"> </w:t>
      </w:r>
      <w:r>
        <w:rPr>
          <w:rStyle w:val="y2iqfc"/>
          <w:rFonts w:ascii="inherit" w:hAnsi="inherit"/>
          <w:sz w:val="24"/>
          <w:szCs w:val="24"/>
        </w:rPr>
        <w:t>координаци</w:t>
      </w:r>
      <w:r w:rsidR="00C9019F">
        <w:rPr>
          <w:rStyle w:val="y2iqfc"/>
          <w:rFonts w:ascii="inherit" w:hAnsi="inherit"/>
          <w:sz w:val="24"/>
          <w:szCs w:val="24"/>
          <w:lang w:val="sr-Cyrl-BA"/>
        </w:rPr>
        <w:t>оних</w:t>
      </w:r>
      <w:r w:rsidR="006E724F" w:rsidRPr="00B575BA">
        <w:rPr>
          <w:rStyle w:val="y2iqfc"/>
          <w:rFonts w:ascii="inherit" w:hAnsi="inherit"/>
          <w:sz w:val="24"/>
          <w:szCs w:val="24"/>
        </w:rPr>
        <w:t xml:space="preserve"> </w:t>
      </w:r>
      <w:r>
        <w:rPr>
          <w:rStyle w:val="y2iqfc"/>
          <w:rFonts w:ascii="inherit" w:hAnsi="inherit"/>
          <w:sz w:val="24"/>
          <w:szCs w:val="24"/>
        </w:rPr>
        <w:t>састанака</w:t>
      </w:r>
      <w:r w:rsidR="006E724F" w:rsidRPr="00B575BA">
        <w:rPr>
          <w:rStyle w:val="y2iqfc"/>
          <w:rFonts w:ascii="inherit" w:hAnsi="inherit"/>
          <w:sz w:val="24"/>
          <w:szCs w:val="24"/>
        </w:rPr>
        <w:t xml:space="preserve"> </w:t>
      </w:r>
      <w:r>
        <w:rPr>
          <w:rStyle w:val="y2iqfc"/>
          <w:rFonts w:ascii="inherit" w:hAnsi="inherit"/>
          <w:sz w:val="24"/>
          <w:szCs w:val="24"/>
        </w:rPr>
        <w:t>и</w:t>
      </w:r>
      <w:r w:rsidR="006E724F" w:rsidRPr="00B575BA">
        <w:rPr>
          <w:rStyle w:val="y2iqfc"/>
          <w:rFonts w:ascii="inherit" w:hAnsi="inherit"/>
          <w:sz w:val="24"/>
          <w:szCs w:val="24"/>
        </w:rPr>
        <w:t xml:space="preserve"> </w:t>
      </w:r>
      <w:r>
        <w:rPr>
          <w:rStyle w:val="y2iqfc"/>
          <w:rFonts w:ascii="inherit" w:hAnsi="inherit"/>
          <w:sz w:val="24"/>
          <w:szCs w:val="24"/>
        </w:rPr>
        <w:t>радионица</w:t>
      </w:r>
      <w:r w:rsidR="006E724F" w:rsidRPr="00B575BA">
        <w:rPr>
          <w:rStyle w:val="y2iqfc"/>
          <w:rFonts w:ascii="inherit" w:hAnsi="inherit"/>
          <w:sz w:val="24"/>
          <w:szCs w:val="24"/>
        </w:rPr>
        <w:t xml:space="preserve">. </w:t>
      </w:r>
      <w:r w:rsidR="00C9019F">
        <w:rPr>
          <w:rStyle w:val="y2iqfc"/>
          <w:rFonts w:ascii="inherit" w:hAnsi="inherit"/>
          <w:sz w:val="24"/>
          <w:szCs w:val="24"/>
        </w:rPr>
        <w:t>Координаци</w:t>
      </w:r>
      <w:r w:rsidR="00C9019F">
        <w:rPr>
          <w:rStyle w:val="y2iqfc"/>
          <w:rFonts w:ascii="inherit" w:hAnsi="inherit"/>
          <w:sz w:val="24"/>
          <w:szCs w:val="24"/>
          <w:lang w:val="sr-Cyrl-BA"/>
        </w:rPr>
        <w:t>они</w:t>
      </w:r>
      <w:r w:rsidR="006E724F" w:rsidRPr="00B575BA">
        <w:rPr>
          <w:rStyle w:val="y2iqfc"/>
          <w:rFonts w:ascii="inherit" w:hAnsi="inherit"/>
          <w:sz w:val="24"/>
          <w:szCs w:val="24"/>
        </w:rPr>
        <w:t xml:space="preserve"> </w:t>
      </w:r>
      <w:r>
        <w:rPr>
          <w:rStyle w:val="y2iqfc"/>
          <w:rFonts w:ascii="inherit" w:hAnsi="inherit"/>
          <w:sz w:val="24"/>
          <w:szCs w:val="24"/>
        </w:rPr>
        <w:t>органи</w:t>
      </w:r>
      <w:r w:rsidR="006E724F" w:rsidRPr="00B575BA">
        <w:rPr>
          <w:rStyle w:val="y2iqfc"/>
          <w:rFonts w:ascii="inherit" w:hAnsi="inherit"/>
          <w:sz w:val="24"/>
          <w:szCs w:val="24"/>
        </w:rPr>
        <w:t xml:space="preserve"> </w:t>
      </w:r>
      <w:r>
        <w:rPr>
          <w:rStyle w:val="y2iqfc"/>
          <w:rFonts w:ascii="inherit" w:hAnsi="inherit"/>
          <w:sz w:val="24"/>
          <w:szCs w:val="24"/>
        </w:rPr>
        <w:t>КС</w:t>
      </w:r>
      <w:r w:rsidR="006E724F" w:rsidRPr="00B575BA">
        <w:rPr>
          <w:rStyle w:val="y2iqfc"/>
          <w:rFonts w:ascii="inherit" w:hAnsi="inherit"/>
          <w:sz w:val="24"/>
          <w:szCs w:val="24"/>
        </w:rPr>
        <w:t xml:space="preserve"> </w:t>
      </w:r>
      <w:r>
        <w:rPr>
          <w:rStyle w:val="y2iqfc"/>
          <w:rFonts w:ascii="inherit" w:hAnsi="inherit"/>
          <w:sz w:val="24"/>
          <w:szCs w:val="24"/>
        </w:rPr>
        <w:t>и</w:t>
      </w:r>
      <w:r w:rsidR="006E724F" w:rsidRPr="00B575BA">
        <w:rPr>
          <w:rStyle w:val="y2iqfc"/>
          <w:rFonts w:ascii="inherit" w:hAnsi="inherit"/>
          <w:sz w:val="24"/>
          <w:szCs w:val="24"/>
        </w:rPr>
        <w:t xml:space="preserve"> </w:t>
      </w:r>
      <w:r>
        <w:rPr>
          <w:rStyle w:val="y2iqfc"/>
          <w:rFonts w:ascii="inherit" w:hAnsi="inherit"/>
          <w:sz w:val="24"/>
          <w:szCs w:val="24"/>
        </w:rPr>
        <w:t>БПК</w:t>
      </w:r>
      <w:r w:rsidR="006E724F" w:rsidRPr="00B575BA">
        <w:rPr>
          <w:rStyle w:val="y2iqfc"/>
          <w:rFonts w:ascii="inherit" w:hAnsi="inherit"/>
          <w:sz w:val="24"/>
          <w:szCs w:val="24"/>
        </w:rPr>
        <w:t xml:space="preserve"> </w:t>
      </w:r>
      <w:r>
        <w:rPr>
          <w:rStyle w:val="y2iqfc"/>
          <w:rFonts w:ascii="inherit" w:hAnsi="inherit"/>
          <w:sz w:val="24"/>
          <w:szCs w:val="24"/>
        </w:rPr>
        <w:t>састал</w:t>
      </w:r>
      <w:r w:rsidR="00C9019F">
        <w:rPr>
          <w:rStyle w:val="y2iqfc"/>
          <w:rFonts w:ascii="inherit" w:hAnsi="inherit"/>
          <w:sz w:val="24"/>
          <w:szCs w:val="24"/>
          <w:lang w:val="sr-Cyrl-BA"/>
        </w:rPr>
        <w:t>и</w:t>
      </w:r>
      <w:r w:rsidR="006E724F" w:rsidRPr="00B575BA">
        <w:rPr>
          <w:rStyle w:val="y2iqfc"/>
          <w:rFonts w:ascii="inherit" w:hAnsi="inherit"/>
          <w:sz w:val="24"/>
          <w:szCs w:val="24"/>
        </w:rPr>
        <w:t xml:space="preserve"> </w:t>
      </w:r>
      <w:r>
        <w:rPr>
          <w:rStyle w:val="y2iqfc"/>
          <w:rFonts w:ascii="inherit" w:hAnsi="inherit"/>
          <w:sz w:val="24"/>
          <w:szCs w:val="24"/>
        </w:rPr>
        <w:t>су</w:t>
      </w:r>
      <w:r w:rsidR="006E724F" w:rsidRPr="00B575BA">
        <w:rPr>
          <w:rStyle w:val="y2iqfc"/>
          <w:rFonts w:ascii="inherit" w:hAnsi="inherit"/>
          <w:sz w:val="24"/>
          <w:szCs w:val="24"/>
        </w:rPr>
        <w:t xml:space="preserve"> </w:t>
      </w:r>
      <w:r>
        <w:rPr>
          <w:rStyle w:val="y2iqfc"/>
          <w:rFonts w:ascii="inherit" w:hAnsi="inherit"/>
          <w:sz w:val="24"/>
          <w:szCs w:val="24"/>
        </w:rPr>
        <w:t>се</w:t>
      </w:r>
      <w:r w:rsidR="006E724F" w:rsidRPr="00B575BA">
        <w:rPr>
          <w:rStyle w:val="y2iqfc"/>
          <w:rFonts w:ascii="inherit" w:hAnsi="inherit"/>
          <w:sz w:val="24"/>
          <w:szCs w:val="24"/>
        </w:rPr>
        <w:t xml:space="preserve"> </w:t>
      </w:r>
      <w:r>
        <w:rPr>
          <w:rStyle w:val="y2iqfc"/>
          <w:rFonts w:ascii="inherit" w:hAnsi="inherit"/>
          <w:sz w:val="24"/>
          <w:szCs w:val="24"/>
        </w:rPr>
        <w:t>како</w:t>
      </w:r>
      <w:r w:rsidR="006E724F" w:rsidRPr="00B575BA">
        <w:rPr>
          <w:rStyle w:val="y2iqfc"/>
          <w:rFonts w:ascii="inherit" w:hAnsi="inherit"/>
          <w:sz w:val="24"/>
          <w:szCs w:val="24"/>
        </w:rPr>
        <w:t xml:space="preserve"> </w:t>
      </w:r>
      <w:r>
        <w:rPr>
          <w:rStyle w:val="y2iqfc"/>
          <w:rFonts w:ascii="inherit" w:hAnsi="inherit"/>
          <w:sz w:val="24"/>
          <w:szCs w:val="24"/>
        </w:rPr>
        <w:t>би</w:t>
      </w:r>
      <w:r w:rsidR="006E724F" w:rsidRPr="00B575BA">
        <w:rPr>
          <w:rStyle w:val="y2iqfc"/>
          <w:rFonts w:ascii="inherit" w:hAnsi="inherit"/>
          <w:sz w:val="24"/>
          <w:szCs w:val="24"/>
        </w:rPr>
        <w:t xml:space="preserve"> </w:t>
      </w:r>
      <w:r>
        <w:rPr>
          <w:rStyle w:val="y2iqfc"/>
          <w:rFonts w:ascii="inherit" w:hAnsi="inherit"/>
          <w:sz w:val="24"/>
          <w:szCs w:val="24"/>
        </w:rPr>
        <w:t>размијенил</w:t>
      </w:r>
      <w:r w:rsidR="00C9019F">
        <w:rPr>
          <w:rStyle w:val="y2iqfc"/>
          <w:rFonts w:ascii="inherit" w:hAnsi="inherit"/>
          <w:sz w:val="24"/>
          <w:szCs w:val="24"/>
          <w:lang w:val="sr-Cyrl-BA"/>
        </w:rPr>
        <w:t>и</w:t>
      </w:r>
      <w:r w:rsidR="006E724F" w:rsidRPr="00B575BA">
        <w:rPr>
          <w:rStyle w:val="y2iqfc"/>
          <w:rFonts w:ascii="inherit" w:hAnsi="inherit"/>
          <w:sz w:val="24"/>
          <w:szCs w:val="24"/>
        </w:rPr>
        <w:t xml:space="preserve"> </w:t>
      </w:r>
      <w:r>
        <w:rPr>
          <w:rStyle w:val="y2iqfc"/>
          <w:rFonts w:ascii="inherit" w:hAnsi="inherit"/>
          <w:sz w:val="24"/>
          <w:szCs w:val="24"/>
        </w:rPr>
        <w:t>добре</w:t>
      </w:r>
      <w:r w:rsidR="006E724F" w:rsidRPr="00B575BA">
        <w:rPr>
          <w:rStyle w:val="y2iqfc"/>
          <w:rFonts w:ascii="inherit" w:hAnsi="inherit"/>
          <w:sz w:val="24"/>
          <w:szCs w:val="24"/>
        </w:rPr>
        <w:t xml:space="preserve"> </w:t>
      </w:r>
      <w:r>
        <w:rPr>
          <w:rStyle w:val="y2iqfc"/>
          <w:rFonts w:ascii="inherit" w:hAnsi="inherit"/>
          <w:sz w:val="24"/>
          <w:szCs w:val="24"/>
        </w:rPr>
        <w:t>праксе</w:t>
      </w:r>
      <w:r w:rsidR="006E724F" w:rsidRPr="00B575BA">
        <w:rPr>
          <w:rStyle w:val="y2iqfc"/>
          <w:rFonts w:ascii="inherit" w:hAnsi="inherit"/>
          <w:sz w:val="24"/>
          <w:szCs w:val="24"/>
        </w:rPr>
        <w:t xml:space="preserve"> </w:t>
      </w:r>
      <w:r>
        <w:rPr>
          <w:rStyle w:val="y2iqfc"/>
          <w:rFonts w:ascii="inherit" w:hAnsi="inherit"/>
          <w:sz w:val="24"/>
          <w:szCs w:val="24"/>
        </w:rPr>
        <w:t>у</w:t>
      </w:r>
      <w:r w:rsidR="006E724F" w:rsidRPr="00B575BA">
        <w:rPr>
          <w:rStyle w:val="y2iqfc"/>
          <w:rFonts w:ascii="inherit" w:hAnsi="inherit"/>
          <w:sz w:val="24"/>
          <w:szCs w:val="24"/>
        </w:rPr>
        <w:t xml:space="preserve"> </w:t>
      </w:r>
      <w:r>
        <w:rPr>
          <w:rStyle w:val="y2iqfc"/>
          <w:rFonts w:ascii="inherit" w:hAnsi="inherit"/>
          <w:sz w:val="24"/>
          <w:szCs w:val="24"/>
        </w:rPr>
        <w:t>реаг</w:t>
      </w:r>
      <w:r w:rsidR="00C9019F">
        <w:rPr>
          <w:rStyle w:val="y2iqfc"/>
          <w:rFonts w:ascii="inherit" w:hAnsi="inherit"/>
          <w:sz w:val="24"/>
          <w:szCs w:val="24"/>
          <w:lang w:val="sr-Cyrl-BA"/>
        </w:rPr>
        <w:t>овању</w:t>
      </w:r>
      <w:r w:rsidR="006E724F" w:rsidRPr="00B575BA">
        <w:rPr>
          <w:rStyle w:val="y2iqfc"/>
          <w:rFonts w:ascii="inherit" w:hAnsi="inherit"/>
          <w:sz w:val="24"/>
          <w:szCs w:val="24"/>
        </w:rPr>
        <w:t xml:space="preserve"> </w:t>
      </w:r>
      <w:r>
        <w:rPr>
          <w:rStyle w:val="y2iqfc"/>
          <w:rFonts w:ascii="inherit" w:hAnsi="inherit"/>
          <w:sz w:val="24"/>
          <w:szCs w:val="24"/>
        </w:rPr>
        <w:t>на</w:t>
      </w:r>
      <w:r w:rsidR="006E724F" w:rsidRPr="00B575BA">
        <w:rPr>
          <w:rStyle w:val="y2iqfc"/>
          <w:rFonts w:ascii="inherit" w:hAnsi="inherit"/>
          <w:sz w:val="24"/>
          <w:szCs w:val="24"/>
        </w:rPr>
        <w:t xml:space="preserve"> </w:t>
      </w:r>
      <w:r>
        <w:rPr>
          <w:rStyle w:val="y2iqfc"/>
          <w:rFonts w:ascii="inherit" w:hAnsi="inherit"/>
          <w:sz w:val="24"/>
          <w:szCs w:val="24"/>
        </w:rPr>
        <w:t>случајеве</w:t>
      </w:r>
      <w:r w:rsidR="006E724F" w:rsidRPr="00B575BA">
        <w:rPr>
          <w:rStyle w:val="y2iqfc"/>
          <w:rFonts w:ascii="inherit" w:hAnsi="inherit"/>
          <w:sz w:val="24"/>
          <w:szCs w:val="24"/>
        </w:rPr>
        <w:t xml:space="preserve"> </w:t>
      </w:r>
      <w:r>
        <w:rPr>
          <w:rStyle w:val="y2iqfc"/>
          <w:rFonts w:ascii="inherit" w:hAnsi="inherit"/>
          <w:sz w:val="24"/>
          <w:szCs w:val="24"/>
        </w:rPr>
        <w:t>насиља</w:t>
      </w:r>
      <w:r w:rsidR="006E724F" w:rsidRPr="00B575BA">
        <w:rPr>
          <w:rStyle w:val="y2iqfc"/>
          <w:rFonts w:ascii="inherit" w:hAnsi="inherit"/>
          <w:sz w:val="24"/>
          <w:szCs w:val="24"/>
        </w:rPr>
        <w:t xml:space="preserve"> </w:t>
      </w:r>
      <w:r>
        <w:rPr>
          <w:rStyle w:val="y2iqfc"/>
          <w:rFonts w:ascii="inherit" w:hAnsi="inherit"/>
          <w:sz w:val="24"/>
          <w:szCs w:val="24"/>
        </w:rPr>
        <w:t>у</w:t>
      </w:r>
      <w:r w:rsidR="006E724F" w:rsidRPr="00B575BA">
        <w:rPr>
          <w:rStyle w:val="y2iqfc"/>
          <w:rFonts w:ascii="inherit" w:hAnsi="inherit"/>
          <w:sz w:val="24"/>
          <w:szCs w:val="24"/>
        </w:rPr>
        <w:t xml:space="preserve"> </w:t>
      </w:r>
      <w:r>
        <w:rPr>
          <w:rStyle w:val="y2iqfc"/>
          <w:rFonts w:ascii="inherit" w:hAnsi="inherit"/>
          <w:sz w:val="24"/>
          <w:szCs w:val="24"/>
        </w:rPr>
        <w:t>породици</w:t>
      </w:r>
      <w:r w:rsidR="006E724F" w:rsidRPr="00B575BA">
        <w:rPr>
          <w:rStyle w:val="y2iqfc"/>
          <w:rFonts w:ascii="inherit" w:hAnsi="inherit"/>
          <w:sz w:val="24"/>
          <w:szCs w:val="24"/>
        </w:rPr>
        <w:t xml:space="preserve"> </w:t>
      </w:r>
      <w:r>
        <w:rPr>
          <w:rStyle w:val="y2iqfc"/>
          <w:rFonts w:ascii="inherit" w:hAnsi="inherit"/>
          <w:sz w:val="24"/>
          <w:szCs w:val="24"/>
        </w:rPr>
        <w:t>и</w:t>
      </w:r>
      <w:r w:rsidR="006E724F" w:rsidRPr="00B575BA">
        <w:rPr>
          <w:rStyle w:val="y2iqfc"/>
          <w:rFonts w:ascii="inherit" w:hAnsi="inherit"/>
          <w:sz w:val="24"/>
          <w:szCs w:val="24"/>
        </w:rPr>
        <w:t xml:space="preserve"> </w:t>
      </w:r>
      <w:r>
        <w:rPr>
          <w:rStyle w:val="y2iqfc"/>
          <w:rFonts w:ascii="inherit" w:hAnsi="inherit"/>
          <w:sz w:val="24"/>
          <w:szCs w:val="24"/>
        </w:rPr>
        <w:t>унаприједил</w:t>
      </w:r>
      <w:r w:rsidR="00C9019F">
        <w:rPr>
          <w:rStyle w:val="y2iqfc"/>
          <w:rFonts w:ascii="inherit" w:hAnsi="inherit"/>
          <w:sz w:val="24"/>
          <w:szCs w:val="24"/>
          <w:lang w:val="sr-Cyrl-BA"/>
        </w:rPr>
        <w:t>и</w:t>
      </w:r>
      <w:r w:rsidR="006E724F" w:rsidRPr="00B575BA">
        <w:rPr>
          <w:rStyle w:val="y2iqfc"/>
          <w:rFonts w:ascii="inherit" w:hAnsi="inherit"/>
          <w:sz w:val="24"/>
          <w:szCs w:val="24"/>
        </w:rPr>
        <w:t xml:space="preserve"> </w:t>
      </w:r>
      <w:r>
        <w:rPr>
          <w:rStyle w:val="y2iqfc"/>
          <w:rFonts w:ascii="inherit" w:hAnsi="inherit"/>
          <w:sz w:val="24"/>
          <w:szCs w:val="24"/>
        </w:rPr>
        <w:t>сарадњу</w:t>
      </w:r>
      <w:r w:rsidR="006E724F" w:rsidRPr="00B575BA">
        <w:rPr>
          <w:rStyle w:val="y2iqfc"/>
          <w:rFonts w:ascii="inherit" w:hAnsi="inherit"/>
          <w:sz w:val="24"/>
          <w:szCs w:val="24"/>
        </w:rPr>
        <w:t xml:space="preserve"> </w:t>
      </w:r>
      <w:r>
        <w:rPr>
          <w:rStyle w:val="y2iqfc"/>
          <w:rFonts w:ascii="inherit" w:hAnsi="inherit"/>
          <w:sz w:val="24"/>
          <w:szCs w:val="24"/>
        </w:rPr>
        <w:t>између</w:t>
      </w:r>
      <w:r w:rsidR="006E724F" w:rsidRPr="00B575BA">
        <w:rPr>
          <w:rStyle w:val="y2iqfc"/>
          <w:rFonts w:ascii="inherit" w:hAnsi="inherit"/>
          <w:sz w:val="24"/>
          <w:szCs w:val="24"/>
        </w:rPr>
        <w:t xml:space="preserve"> </w:t>
      </w:r>
      <w:r>
        <w:rPr>
          <w:rStyle w:val="y2iqfc"/>
          <w:rFonts w:ascii="inherit" w:hAnsi="inherit"/>
          <w:sz w:val="24"/>
          <w:szCs w:val="24"/>
        </w:rPr>
        <w:t>два</w:t>
      </w:r>
      <w:r w:rsidR="006E724F" w:rsidRPr="00B575BA">
        <w:rPr>
          <w:rStyle w:val="y2iqfc"/>
          <w:rFonts w:ascii="inherit" w:hAnsi="inherit"/>
          <w:sz w:val="24"/>
          <w:szCs w:val="24"/>
        </w:rPr>
        <w:t xml:space="preserve"> </w:t>
      </w:r>
      <w:r>
        <w:rPr>
          <w:rStyle w:val="y2iqfc"/>
          <w:rFonts w:ascii="inherit" w:hAnsi="inherit"/>
          <w:sz w:val="24"/>
          <w:szCs w:val="24"/>
        </w:rPr>
        <w:t>координаци</w:t>
      </w:r>
      <w:r w:rsidR="00C9019F">
        <w:rPr>
          <w:rStyle w:val="y2iqfc"/>
          <w:rFonts w:ascii="inherit" w:hAnsi="inherit"/>
          <w:sz w:val="24"/>
          <w:szCs w:val="24"/>
          <w:lang w:val="sr-Cyrl-BA"/>
        </w:rPr>
        <w:t>она</w:t>
      </w:r>
      <w:r w:rsidR="006E724F" w:rsidRPr="00B575BA">
        <w:rPr>
          <w:rStyle w:val="y2iqfc"/>
          <w:rFonts w:ascii="inherit" w:hAnsi="inherit"/>
          <w:sz w:val="24"/>
          <w:szCs w:val="24"/>
        </w:rPr>
        <w:t xml:space="preserve"> </w:t>
      </w:r>
      <w:r>
        <w:rPr>
          <w:rStyle w:val="y2iqfc"/>
          <w:rFonts w:ascii="inherit" w:hAnsi="inherit"/>
          <w:sz w:val="24"/>
          <w:szCs w:val="24"/>
        </w:rPr>
        <w:t>органа</w:t>
      </w:r>
      <w:r w:rsidR="006E724F" w:rsidRPr="00B575BA">
        <w:rPr>
          <w:rStyle w:val="y2iqfc"/>
          <w:rFonts w:ascii="inherit" w:hAnsi="inherit"/>
          <w:sz w:val="24"/>
          <w:szCs w:val="24"/>
        </w:rPr>
        <w:t xml:space="preserve"> </w:t>
      </w:r>
      <w:r>
        <w:rPr>
          <w:rStyle w:val="y2iqfc"/>
          <w:rFonts w:ascii="inherit" w:hAnsi="inherit"/>
          <w:sz w:val="24"/>
          <w:szCs w:val="24"/>
        </w:rPr>
        <w:t>у</w:t>
      </w:r>
      <w:r w:rsidR="00815D7A">
        <w:rPr>
          <w:rStyle w:val="y2iqfc"/>
          <w:rFonts w:ascii="inherit" w:hAnsi="inherit"/>
          <w:sz w:val="24"/>
          <w:szCs w:val="24"/>
        </w:rPr>
        <w:t xml:space="preserve"> </w:t>
      </w:r>
      <w:r>
        <w:rPr>
          <w:rStyle w:val="y2iqfc"/>
          <w:rFonts w:ascii="inherit" w:hAnsi="inherit"/>
          <w:sz w:val="24"/>
          <w:szCs w:val="24"/>
        </w:rPr>
        <w:t>заштити</w:t>
      </w:r>
      <w:r w:rsidR="00815D7A">
        <w:rPr>
          <w:rStyle w:val="y2iqfc"/>
          <w:rFonts w:ascii="inherit" w:hAnsi="inherit"/>
          <w:sz w:val="24"/>
          <w:szCs w:val="24"/>
        </w:rPr>
        <w:t xml:space="preserve"> </w:t>
      </w:r>
      <w:r>
        <w:rPr>
          <w:rStyle w:val="y2iqfc"/>
          <w:rFonts w:ascii="inherit" w:hAnsi="inherit"/>
          <w:sz w:val="24"/>
          <w:szCs w:val="24"/>
        </w:rPr>
        <w:t>жртава</w:t>
      </w:r>
      <w:r w:rsidR="00815D7A">
        <w:rPr>
          <w:rStyle w:val="y2iqfc"/>
          <w:rFonts w:ascii="inherit" w:hAnsi="inherit"/>
          <w:sz w:val="24"/>
          <w:szCs w:val="24"/>
        </w:rPr>
        <w:t xml:space="preserve"> </w:t>
      </w:r>
      <w:r>
        <w:rPr>
          <w:rStyle w:val="y2iqfc"/>
          <w:rFonts w:ascii="inherit" w:hAnsi="inherit"/>
          <w:sz w:val="24"/>
          <w:szCs w:val="24"/>
        </w:rPr>
        <w:t>и</w:t>
      </w:r>
      <w:r w:rsidR="00815D7A">
        <w:rPr>
          <w:rStyle w:val="y2iqfc"/>
          <w:rFonts w:ascii="inherit" w:hAnsi="inherit"/>
          <w:sz w:val="24"/>
          <w:szCs w:val="24"/>
        </w:rPr>
        <w:t xml:space="preserve"> </w:t>
      </w:r>
      <w:r>
        <w:rPr>
          <w:rStyle w:val="y2iqfc"/>
          <w:rFonts w:ascii="inherit" w:hAnsi="inherit"/>
          <w:sz w:val="24"/>
          <w:szCs w:val="24"/>
        </w:rPr>
        <w:t>смјештају</w:t>
      </w:r>
      <w:r w:rsidR="00815D7A">
        <w:rPr>
          <w:rStyle w:val="y2iqfc"/>
          <w:rFonts w:ascii="inherit" w:hAnsi="inherit"/>
          <w:sz w:val="24"/>
          <w:szCs w:val="24"/>
        </w:rPr>
        <w:t xml:space="preserve"> </w:t>
      </w:r>
      <w:r>
        <w:rPr>
          <w:rStyle w:val="y2iqfc"/>
          <w:rFonts w:ascii="inherit" w:hAnsi="inherit"/>
          <w:sz w:val="24"/>
          <w:szCs w:val="24"/>
        </w:rPr>
        <w:t>у</w:t>
      </w:r>
      <w:r w:rsidR="00815D7A">
        <w:rPr>
          <w:rStyle w:val="y2iqfc"/>
          <w:rFonts w:ascii="inherit" w:hAnsi="inherit"/>
          <w:sz w:val="24"/>
          <w:szCs w:val="24"/>
        </w:rPr>
        <w:t xml:space="preserve"> </w:t>
      </w:r>
      <w:r>
        <w:rPr>
          <w:rStyle w:val="y2iqfc"/>
          <w:rFonts w:ascii="inherit" w:hAnsi="inherit"/>
          <w:sz w:val="24"/>
          <w:szCs w:val="24"/>
        </w:rPr>
        <w:t>сигурну</w:t>
      </w:r>
      <w:r w:rsidR="006E724F" w:rsidRPr="00B575BA">
        <w:rPr>
          <w:rStyle w:val="y2iqfc"/>
          <w:rFonts w:ascii="inherit" w:hAnsi="inherit"/>
          <w:sz w:val="24"/>
          <w:szCs w:val="24"/>
        </w:rPr>
        <w:t xml:space="preserve"> </w:t>
      </w:r>
      <w:r>
        <w:rPr>
          <w:rStyle w:val="y2iqfc"/>
          <w:rFonts w:ascii="inherit" w:hAnsi="inherit"/>
          <w:sz w:val="24"/>
          <w:szCs w:val="24"/>
        </w:rPr>
        <w:t>кућу</w:t>
      </w:r>
      <w:r w:rsidR="006E724F" w:rsidRPr="00B575BA">
        <w:rPr>
          <w:rStyle w:val="y2iqfc"/>
          <w:rFonts w:ascii="inherit" w:hAnsi="inherit"/>
          <w:sz w:val="24"/>
          <w:szCs w:val="24"/>
        </w:rPr>
        <w:t xml:space="preserve">. </w:t>
      </w:r>
      <w:r>
        <w:rPr>
          <w:rStyle w:val="y2iqfc"/>
          <w:rFonts w:ascii="inherit" w:hAnsi="inherit"/>
          <w:sz w:val="24"/>
          <w:szCs w:val="24"/>
        </w:rPr>
        <w:t>Мисија</w:t>
      </w:r>
      <w:r w:rsidR="006E724F" w:rsidRPr="00B575BA">
        <w:rPr>
          <w:rStyle w:val="y2iqfc"/>
          <w:rFonts w:ascii="inherit" w:hAnsi="inherit"/>
          <w:sz w:val="24"/>
          <w:szCs w:val="24"/>
        </w:rPr>
        <w:t xml:space="preserve"> </w:t>
      </w:r>
      <w:r>
        <w:rPr>
          <w:rStyle w:val="y2iqfc"/>
          <w:rFonts w:ascii="inherit" w:hAnsi="inherit"/>
          <w:sz w:val="24"/>
          <w:szCs w:val="24"/>
        </w:rPr>
        <w:t>О</w:t>
      </w:r>
      <w:r w:rsidR="00C9019F">
        <w:rPr>
          <w:rStyle w:val="y2iqfc"/>
          <w:rFonts w:ascii="inherit" w:hAnsi="inherit"/>
          <w:sz w:val="24"/>
          <w:szCs w:val="24"/>
          <w:lang w:val="sr-Cyrl-BA"/>
        </w:rPr>
        <w:t>ЕБС</w:t>
      </w:r>
      <w:r w:rsidR="006E724F" w:rsidRPr="00B575BA">
        <w:rPr>
          <w:rStyle w:val="y2iqfc"/>
          <w:rFonts w:ascii="inherit" w:hAnsi="inherit"/>
          <w:sz w:val="24"/>
          <w:szCs w:val="24"/>
        </w:rPr>
        <w:t>-</w:t>
      </w:r>
      <w:r>
        <w:rPr>
          <w:rStyle w:val="y2iqfc"/>
          <w:rFonts w:ascii="inherit" w:hAnsi="inherit"/>
          <w:sz w:val="24"/>
          <w:szCs w:val="24"/>
        </w:rPr>
        <w:t>а</w:t>
      </w:r>
      <w:r w:rsidR="006E724F" w:rsidRPr="00B575BA">
        <w:rPr>
          <w:rStyle w:val="y2iqfc"/>
          <w:rFonts w:ascii="inherit" w:hAnsi="inherit"/>
          <w:sz w:val="24"/>
          <w:szCs w:val="24"/>
        </w:rPr>
        <w:t xml:space="preserve"> </w:t>
      </w:r>
      <w:r w:rsidR="00C9019F">
        <w:rPr>
          <w:rStyle w:val="y2iqfc"/>
          <w:rFonts w:ascii="inherit" w:hAnsi="inherit"/>
          <w:sz w:val="24"/>
          <w:szCs w:val="24"/>
        </w:rPr>
        <w:t xml:space="preserve">је </w:t>
      </w:r>
      <w:r>
        <w:rPr>
          <w:rStyle w:val="y2iqfc"/>
          <w:rFonts w:ascii="inherit" w:hAnsi="inherit"/>
          <w:sz w:val="24"/>
          <w:szCs w:val="24"/>
        </w:rPr>
        <w:t>подржала</w:t>
      </w:r>
      <w:r w:rsidR="006E724F" w:rsidRPr="00B575BA">
        <w:rPr>
          <w:rStyle w:val="y2iqfc"/>
          <w:rFonts w:ascii="inherit" w:hAnsi="inherit"/>
          <w:sz w:val="24"/>
          <w:szCs w:val="24"/>
        </w:rPr>
        <w:t xml:space="preserve"> </w:t>
      </w:r>
      <w:r>
        <w:rPr>
          <w:rStyle w:val="y2iqfc"/>
          <w:rFonts w:ascii="inherit" w:hAnsi="inherit"/>
          <w:sz w:val="24"/>
          <w:szCs w:val="24"/>
        </w:rPr>
        <w:t>организацију</w:t>
      </w:r>
      <w:r w:rsidR="006E724F" w:rsidRPr="00B575BA">
        <w:rPr>
          <w:rStyle w:val="y2iqfc"/>
          <w:rFonts w:ascii="inherit" w:hAnsi="inherit"/>
          <w:sz w:val="24"/>
          <w:szCs w:val="24"/>
        </w:rPr>
        <w:t xml:space="preserve"> </w:t>
      </w:r>
      <w:r>
        <w:rPr>
          <w:rStyle w:val="y2iqfc"/>
          <w:rFonts w:ascii="inherit" w:hAnsi="inherit"/>
          <w:sz w:val="24"/>
          <w:szCs w:val="24"/>
        </w:rPr>
        <w:t>састанка</w:t>
      </w:r>
      <w:r w:rsidR="006863E4" w:rsidRPr="00B575BA">
        <w:rPr>
          <w:rStyle w:val="y2iqfc"/>
          <w:rFonts w:ascii="inherit" w:hAnsi="inherit"/>
          <w:sz w:val="24"/>
          <w:szCs w:val="24"/>
        </w:rPr>
        <w:t xml:space="preserve"> </w:t>
      </w:r>
      <w:r>
        <w:rPr>
          <w:rStyle w:val="y2iqfc"/>
          <w:rFonts w:ascii="inherit" w:hAnsi="inherit"/>
          <w:sz w:val="24"/>
          <w:szCs w:val="24"/>
        </w:rPr>
        <w:t>мултисекторских</w:t>
      </w:r>
      <w:r w:rsidR="006863E4" w:rsidRPr="00B575BA">
        <w:rPr>
          <w:rStyle w:val="y2iqfc"/>
          <w:rFonts w:ascii="inherit" w:hAnsi="inherit"/>
          <w:sz w:val="24"/>
          <w:szCs w:val="24"/>
        </w:rPr>
        <w:t xml:space="preserve"> </w:t>
      </w:r>
      <w:r>
        <w:rPr>
          <w:rStyle w:val="y2iqfc"/>
          <w:rFonts w:ascii="inherit" w:hAnsi="inherit"/>
          <w:sz w:val="24"/>
          <w:szCs w:val="24"/>
        </w:rPr>
        <w:t>тимова</w:t>
      </w:r>
      <w:r w:rsidR="006E724F" w:rsidRPr="00B575BA">
        <w:rPr>
          <w:rStyle w:val="y2iqfc"/>
          <w:rFonts w:ascii="inherit" w:hAnsi="inherit"/>
          <w:sz w:val="24"/>
          <w:szCs w:val="24"/>
        </w:rPr>
        <w:t xml:space="preserve"> </w:t>
      </w:r>
      <w:r>
        <w:rPr>
          <w:rStyle w:val="y2iqfc"/>
          <w:rFonts w:ascii="inherit" w:hAnsi="inherit"/>
          <w:sz w:val="24"/>
          <w:szCs w:val="24"/>
        </w:rPr>
        <w:t>за</w:t>
      </w:r>
      <w:r w:rsidR="006E724F" w:rsidRPr="00B575BA">
        <w:rPr>
          <w:rStyle w:val="y2iqfc"/>
          <w:rFonts w:ascii="inherit" w:hAnsi="inherit"/>
          <w:sz w:val="24"/>
          <w:szCs w:val="24"/>
        </w:rPr>
        <w:t xml:space="preserve"> </w:t>
      </w:r>
      <w:r>
        <w:rPr>
          <w:rStyle w:val="y2iqfc"/>
          <w:rFonts w:ascii="inherit" w:hAnsi="inherit"/>
          <w:sz w:val="24"/>
          <w:szCs w:val="24"/>
        </w:rPr>
        <w:t>превенцију</w:t>
      </w:r>
      <w:r w:rsidR="006E724F" w:rsidRPr="00B575BA">
        <w:rPr>
          <w:rStyle w:val="y2iqfc"/>
          <w:rFonts w:ascii="inherit" w:hAnsi="inherit"/>
          <w:sz w:val="24"/>
          <w:szCs w:val="24"/>
        </w:rPr>
        <w:t xml:space="preserve"> </w:t>
      </w:r>
      <w:r>
        <w:rPr>
          <w:rStyle w:val="y2iqfc"/>
          <w:rFonts w:ascii="inherit" w:hAnsi="inherit"/>
          <w:sz w:val="24"/>
          <w:szCs w:val="24"/>
        </w:rPr>
        <w:t>и</w:t>
      </w:r>
      <w:r w:rsidR="006E724F" w:rsidRPr="00B575BA">
        <w:rPr>
          <w:rStyle w:val="y2iqfc"/>
          <w:rFonts w:ascii="inherit" w:hAnsi="inherit"/>
          <w:sz w:val="24"/>
          <w:szCs w:val="24"/>
        </w:rPr>
        <w:t xml:space="preserve"> </w:t>
      </w:r>
      <w:r>
        <w:rPr>
          <w:rStyle w:val="y2iqfc"/>
          <w:rFonts w:ascii="inherit" w:hAnsi="inherit"/>
          <w:sz w:val="24"/>
          <w:szCs w:val="24"/>
        </w:rPr>
        <w:t>борбу</w:t>
      </w:r>
      <w:r w:rsidR="006E724F" w:rsidRPr="00B575BA">
        <w:rPr>
          <w:rStyle w:val="y2iqfc"/>
          <w:rFonts w:ascii="inherit" w:hAnsi="inherit"/>
          <w:sz w:val="24"/>
          <w:szCs w:val="24"/>
        </w:rPr>
        <w:t xml:space="preserve"> </w:t>
      </w:r>
      <w:r>
        <w:rPr>
          <w:rStyle w:val="y2iqfc"/>
          <w:rFonts w:ascii="inherit" w:hAnsi="inherit"/>
          <w:sz w:val="24"/>
          <w:szCs w:val="24"/>
        </w:rPr>
        <w:t>против</w:t>
      </w:r>
      <w:r w:rsidR="006E724F" w:rsidRPr="00B575BA">
        <w:rPr>
          <w:rStyle w:val="y2iqfc"/>
          <w:rFonts w:ascii="inherit" w:hAnsi="inherit"/>
          <w:sz w:val="24"/>
          <w:szCs w:val="24"/>
        </w:rPr>
        <w:t xml:space="preserve"> </w:t>
      </w:r>
      <w:r>
        <w:rPr>
          <w:rStyle w:val="y2iqfc"/>
          <w:rFonts w:ascii="inherit" w:hAnsi="inherit"/>
          <w:sz w:val="24"/>
          <w:szCs w:val="24"/>
        </w:rPr>
        <w:t>родно</w:t>
      </w:r>
      <w:r w:rsidR="0069252A" w:rsidRPr="00B575BA">
        <w:rPr>
          <w:rStyle w:val="y2iqfc"/>
          <w:rFonts w:ascii="inherit" w:hAnsi="inherit"/>
          <w:sz w:val="24"/>
          <w:szCs w:val="24"/>
        </w:rPr>
        <w:t xml:space="preserve"> </w:t>
      </w:r>
      <w:r>
        <w:rPr>
          <w:rStyle w:val="y2iqfc"/>
          <w:rFonts w:ascii="inherit" w:hAnsi="inherit"/>
          <w:sz w:val="24"/>
          <w:szCs w:val="24"/>
        </w:rPr>
        <w:t>заснованог</w:t>
      </w:r>
      <w:r w:rsidR="0069252A" w:rsidRPr="00B575BA">
        <w:rPr>
          <w:rStyle w:val="y2iqfc"/>
          <w:rFonts w:ascii="inherit" w:hAnsi="inherit"/>
          <w:sz w:val="24"/>
          <w:szCs w:val="24"/>
        </w:rPr>
        <w:t xml:space="preserve"> </w:t>
      </w:r>
      <w:r>
        <w:rPr>
          <w:rStyle w:val="y2iqfc"/>
          <w:rFonts w:ascii="inherit" w:hAnsi="inherit"/>
          <w:sz w:val="24"/>
          <w:szCs w:val="24"/>
        </w:rPr>
        <w:t>насиља</w:t>
      </w:r>
      <w:r w:rsidR="006E724F" w:rsidRPr="00B575BA">
        <w:rPr>
          <w:rStyle w:val="y2iqfc"/>
          <w:rFonts w:ascii="inherit" w:hAnsi="inherit"/>
          <w:sz w:val="24"/>
          <w:szCs w:val="24"/>
        </w:rPr>
        <w:t xml:space="preserve"> </w:t>
      </w:r>
      <w:r>
        <w:rPr>
          <w:rStyle w:val="y2iqfc"/>
          <w:rFonts w:ascii="inherit" w:hAnsi="inherit"/>
          <w:sz w:val="24"/>
          <w:szCs w:val="24"/>
        </w:rPr>
        <w:t>из</w:t>
      </w:r>
      <w:r w:rsidR="006E724F" w:rsidRPr="00B575BA">
        <w:rPr>
          <w:rStyle w:val="y2iqfc"/>
          <w:rFonts w:ascii="inherit" w:hAnsi="inherit"/>
          <w:sz w:val="24"/>
          <w:szCs w:val="24"/>
        </w:rPr>
        <w:t xml:space="preserve"> </w:t>
      </w:r>
      <w:r>
        <w:rPr>
          <w:rStyle w:val="y2iqfc"/>
          <w:rFonts w:ascii="inherit" w:hAnsi="inherit"/>
          <w:sz w:val="24"/>
          <w:szCs w:val="24"/>
        </w:rPr>
        <w:t>Средњобосанског</w:t>
      </w:r>
      <w:r w:rsidR="006E724F" w:rsidRPr="00B575BA">
        <w:rPr>
          <w:rStyle w:val="y2iqfc"/>
          <w:rFonts w:ascii="inherit" w:hAnsi="inherit"/>
          <w:sz w:val="24"/>
          <w:szCs w:val="24"/>
        </w:rPr>
        <w:t xml:space="preserve"> </w:t>
      </w:r>
      <w:r>
        <w:rPr>
          <w:rStyle w:val="y2iqfc"/>
          <w:rFonts w:ascii="inherit" w:hAnsi="inherit"/>
          <w:sz w:val="24"/>
          <w:szCs w:val="24"/>
        </w:rPr>
        <w:t>кантона</w:t>
      </w:r>
      <w:r w:rsidR="0069252A" w:rsidRPr="00B575BA">
        <w:rPr>
          <w:rStyle w:val="y2iqfc"/>
          <w:rFonts w:ascii="inherit" w:hAnsi="inherit"/>
          <w:sz w:val="24"/>
          <w:szCs w:val="24"/>
        </w:rPr>
        <w:t xml:space="preserve"> </w:t>
      </w:r>
      <w:r>
        <w:rPr>
          <w:rStyle w:val="y2iqfc"/>
          <w:rFonts w:ascii="inherit" w:hAnsi="inherit"/>
          <w:sz w:val="24"/>
          <w:szCs w:val="24"/>
        </w:rPr>
        <w:t>и</w:t>
      </w:r>
      <w:r w:rsidR="006E724F" w:rsidRPr="00B575BA">
        <w:rPr>
          <w:rStyle w:val="y2iqfc"/>
          <w:rFonts w:ascii="inherit" w:hAnsi="inherit"/>
          <w:sz w:val="24"/>
          <w:szCs w:val="24"/>
        </w:rPr>
        <w:t xml:space="preserve"> </w:t>
      </w:r>
      <w:r>
        <w:rPr>
          <w:rStyle w:val="y2iqfc"/>
          <w:rFonts w:ascii="inherit" w:hAnsi="inherit"/>
          <w:sz w:val="24"/>
          <w:szCs w:val="24"/>
        </w:rPr>
        <w:t>пружила</w:t>
      </w:r>
      <w:r w:rsidR="006E724F" w:rsidRPr="00B575BA">
        <w:rPr>
          <w:rStyle w:val="y2iqfc"/>
          <w:rFonts w:ascii="inherit" w:hAnsi="inherit"/>
          <w:sz w:val="24"/>
          <w:szCs w:val="24"/>
        </w:rPr>
        <w:t xml:space="preserve"> </w:t>
      </w:r>
      <w:r>
        <w:rPr>
          <w:rStyle w:val="y2iqfc"/>
          <w:rFonts w:ascii="inherit" w:hAnsi="inherit"/>
          <w:sz w:val="24"/>
          <w:szCs w:val="24"/>
        </w:rPr>
        <w:t>подршку</w:t>
      </w:r>
      <w:r w:rsidR="006E724F" w:rsidRPr="00B575BA">
        <w:rPr>
          <w:rStyle w:val="y2iqfc"/>
          <w:rFonts w:ascii="inherit" w:hAnsi="inherit"/>
          <w:sz w:val="24"/>
          <w:szCs w:val="24"/>
        </w:rPr>
        <w:t xml:space="preserve"> </w:t>
      </w:r>
      <w:r>
        <w:rPr>
          <w:rStyle w:val="y2iqfc"/>
          <w:rFonts w:ascii="inherit" w:hAnsi="inherit"/>
          <w:sz w:val="24"/>
          <w:szCs w:val="24"/>
        </w:rPr>
        <w:t>Координаци</w:t>
      </w:r>
      <w:r w:rsidR="00C9019F">
        <w:rPr>
          <w:rStyle w:val="y2iqfc"/>
          <w:rFonts w:ascii="inherit" w:hAnsi="inherit"/>
          <w:sz w:val="24"/>
          <w:szCs w:val="24"/>
          <w:lang w:val="sr-Cyrl-BA"/>
        </w:rPr>
        <w:t>оном</w:t>
      </w:r>
      <w:r w:rsidR="006E724F" w:rsidRPr="00B575BA">
        <w:rPr>
          <w:rStyle w:val="y2iqfc"/>
          <w:rFonts w:ascii="inherit" w:hAnsi="inherit"/>
          <w:sz w:val="24"/>
          <w:szCs w:val="24"/>
        </w:rPr>
        <w:t xml:space="preserve"> </w:t>
      </w:r>
      <w:r>
        <w:rPr>
          <w:rStyle w:val="y2iqfc"/>
          <w:rFonts w:ascii="inherit" w:hAnsi="inherit"/>
          <w:sz w:val="24"/>
          <w:szCs w:val="24"/>
        </w:rPr>
        <w:t>органу</w:t>
      </w:r>
      <w:r w:rsidR="006E724F" w:rsidRPr="00B575BA">
        <w:rPr>
          <w:rStyle w:val="y2iqfc"/>
          <w:rFonts w:ascii="inherit" w:hAnsi="inherit"/>
          <w:sz w:val="24"/>
          <w:szCs w:val="24"/>
        </w:rPr>
        <w:t xml:space="preserve"> </w:t>
      </w:r>
      <w:r>
        <w:rPr>
          <w:rStyle w:val="y2iqfc"/>
          <w:rFonts w:ascii="inherit" w:hAnsi="inherit"/>
          <w:sz w:val="24"/>
          <w:szCs w:val="24"/>
        </w:rPr>
        <w:t>Кантона</w:t>
      </w:r>
      <w:r w:rsidR="006E724F" w:rsidRPr="00B575BA">
        <w:rPr>
          <w:rStyle w:val="y2iqfc"/>
          <w:rFonts w:ascii="inherit" w:hAnsi="inherit"/>
          <w:sz w:val="24"/>
          <w:szCs w:val="24"/>
        </w:rPr>
        <w:t xml:space="preserve"> 10 </w:t>
      </w:r>
      <w:r>
        <w:rPr>
          <w:rStyle w:val="y2iqfc"/>
          <w:rFonts w:ascii="inherit" w:hAnsi="inherit"/>
          <w:sz w:val="24"/>
          <w:szCs w:val="24"/>
        </w:rPr>
        <w:t>у</w:t>
      </w:r>
      <w:r w:rsidR="006E724F" w:rsidRPr="00B575BA">
        <w:rPr>
          <w:rStyle w:val="y2iqfc"/>
          <w:rFonts w:ascii="inherit" w:hAnsi="inherit"/>
          <w:sz w:val="24"/>
          <w:szCs w:val="24"/>
        </w:rPr>
        <w:t xml:space="preserve"> </w:t>
      </w:r>
      <w:r>
        <w:rPr>
          <w:rStyle w:val="y2iqfc"/>
          <w:rFonts w:ascii="inherit" w:hAnsi="inherit"/>
          <w:sz w:val="24"/>
          <w:szCs w:val="24"/>
        </w:rPr>
        <w:t>развоју</w:t>
      </w:r>
      <w:r w:rsidR="006E724F" w:rsidRPr="00B575BA">
        <w:rPr>
          <w:rStyle w:val="y2iqfc"/>
          <w:rFonts w:ascii="inherit" w:hAnsi="inherit"/>
          <w:sz w:val="24"/>
          <w:szCs w:val="24"/>
        </w:rPr>
        <w:t xml:space="preserve"> </w:t>
      </w:r>
      <w:r>
        <w:rPr>
          <w:rStyle w:val="y2iqfc"/>
          <w:rFonts w:ascii="inherit" w:hAnsi="inherit"/>
          <w:sz w:val="24"/>
          <w:szCs w:val="24"/>
        </w:rPr>
        <w:t>двогодишњег</w:t>
      </w:r>
      <w:r w:rsidR="006E724F" w:rsidRPr="00B575BA">
        <w:rPr>
          <w:rStyle w:val="y2iqfc"/>
          <w:rFonts w:ascii="inherit" w:hAnsi="inherit"/>
          <w:sz w:val="24"/>
          <w:szCs w:val="24"/>
        </w:rPr>
        <w:t xml:space="preserve"> </w:t>
      </w:r>
      <w:r>
        <w:rPr>
          <w:rStyle w:val="y2iqfc"/>
          <w:rFonts w:ascii="inherit" w:hAnsi="inherit"/>
          <w:sz w:val="24"/>
          <w:szCs w:val="24"/>
        </w:rPr>
        <w:t>Програма</w:t>
      </w:r>
      <w:r w:rsidR="006E724F" w:rsidRPr="00B575BA">
        <w:rPr>
          <w:rStyle w:val="y2iqfc"/>
          <w:rFonts w:ascii="inherit" w:hAnsi="inherit"/>
          <w:sz w:val="24"/>
          <w:szCs w:val="24"/>
        </w:rPr>
        <w:t xml:space="preserve"> </w:t>
      </w:r>
      <w:r>
        <w:rPr>
          <w:rStyle w:val="y2iqfc"/>
          <w:rFonts w:ascii="inherit" w:hAnsi="inherit"/>
          <w:sz w:val="24"/>
          <w:szCs w:val="24"/>
        </w:rPr>
        <w:t>мјера</w:t>
      </w:r>
      <w:r w:rsidR="006E724F" w:rsidRPr="00B575BA">
        <w:rPr>
          <w:rStyle w:val="y2iqfc"/>
          <w:rFonts w:ascii="inherit" w:hAnsi="inherit"/>
          <w:sz w:val="24"/>
          <w:szCs w:val="24"/>
        </w:rPr>
        <w:t xml:space="preserve"> </w:t>
      </w:r>
      <w:r>
        <w:rPr>
          <w:rStyle w:val="y2iqfc"/>
          <w:rFonts w:ascii="inherit" w:hAnsi="inherit"/>
          <w:sz w:val="24"/>
          <w:szCs w:val="24"/>
        </w:rPr>
        <w:t>за</w:t>
      </w:r>
      <w:r w:rsidR="006E724F" w:rsidRPr="00B575BA">
        <w:rPr>
          <w:rStyle w:val="y2iqfc"/>
          <w:rFonts w:ascii="inherit" w:hAnsi="inherit"/>
          <w:sz w:val="24"/>
          <w:szCs w:val="24"/>
        </w:rPr>
        <w:t xml:space="preserve"> </w:t>
      </w:r>
      <w:r>
        <w:rPr>
          <w:rStyle w:val="y2iqfc"/>
          <w:rFonts w:ascii="inherit" w:hAnsi="inherit"/>
          <w:sz w:val="24"/>
          <w:szCs w:val="24"/>
        </w:rPr>
        <w:t>борбу</w:t>
      </w:r>
      <w:r w:rsidR="006E724F" w:rsidRPr="00B575BA">
        <w:rPr>
          <w:rStyle w:val="y2iqfc"/>
          <w:rFonts w:ascii="inherit" w:hAnsi="inherit"/>
          <w:sz w:val="24"/>
          <w:szCs w:val="24"/>
        </w:rPr>
        <w:t xml:space="preserve"> </w:t>
      </w:r>
      <w:r>
        <w:rPr>
          <w:rStyle w:val="y2iqfc"/>
          <w:rFonts w:ascii="inherit" w:hAnsi="inherit"/>
          <w:sz w:val="24"/>
          <w:szCs w:val="24"/>
        </w:rPr>
        <w:t>против</w:t>
      </w:r>
      <w:r w:rsidR="006E724F" w:rsidRPr="00B575BA">
        <w:rPr>
          <w:rStyle w:val="y2iqfc"/>
          <w:rFonts w:ascii="inherit" w:hAnsi="inherit"/>
          <w:sz w:val="24"/>
          <w:szCs w:val="24"/>
        </w:rPr>
        <w:t xml:space="preserve"> </w:t>
      </w:r>
      <w:r>
        <w:rPr>
          <w:rStyle w:val="y2iqfc"/>
          <w:rFonts w:ascii="inherit" w:hAnsi="inherit"/>
          <w:sz w:val="24"/>
          <w:szCs w:val="24"/>
        </w:rPr>
        <w:t>насиља</w:t>
      </w:r>
      <w:r w:rsidR="006E724F" w:rsidRPr="00B575BA">
        <w:rPr>
          <w:rStyle w:val="y2iqfc"/>
          <w:rFonts w:ascii="inherit" w:hAnsi="inherit"/>
          <w:sz w:val="24"/>
          <w:szCs w:val="24"/>
        </w:rPr>
        <w:t xml:space="preserve"> </w:t>
      </w:r>
      <w:r>
        <w:rPr>
          <w:rStyle w:val="y2iqfc"/>
          <w:rFonts w:ascii="inherit" w:hAnsi="inherit"/>
          <w:sz w:val="24"/>
          <w:szCs w:val="24"/>
        </w:rPr>
        <w:t>у</w:t>
      </w:r>
      <w:r w:rsidR="006E724F" w:rsidRPr="00B575BA">
        <w:rPr>
          <w:rStyle w:val="y2iqfc"/>
          <w:rFonts w:ascii="inherit" w:hAnsi="inherit"/>
          <w:sz w:val="24"/>
          <w:szCs w:val="24"/>
        </w:rPr>
        <w:t xml:space="preserve"> </w:t>
      </w:r>
      <w:r>
        <w:rPr>
          <w:rStyle w:val="y2iqfc"/>
          <w:rFonts w:ascii="inherit" w:hAnsi="inherit"/>
          <w:sz w:val="24"/>
          <w:szCs w:val="24"/>
        </w:rPr>
        <w:t>породици</w:t>
      </w:r>
      <w:r w:rsidR="006E724F" w:rsidRPr="00B575BA">
        <w:rPr>
          <w:rStyle w:val="y2iqfc"/>
          <w:rFonts w:ascii="inherit" w:hAnsi="inherit"/>
          <w:sz w:val="24"/>
          <w:szCs w:val="24"/>
        </w:rPr>
        <w:t xml:space="preserve">. </w:t>
      </w:r>
      <w:r w:rsidR="00C9019F">
        <w:rPr>
          <w:rStyle w:val="y2iqfc"/>
          <w:rFonts w:ascii="inherit" w:hAnsi="inherit"/>
          <w:sz w:val="24"/>
          <w:szCs w:val="24"/>
        </w:rPr>
        <w:t>Такође</w:t>
      </w:r>
      <w:r w:rsidR="0069252A" w:rsidRPr="00B575BA">
        <w:rPr>
          <w:rStyle w:val="y2iqfc"/>
          <w:rFonts w:ascii="inherit" w:hAnsi="inherit"/>
          <w:sz w:val="24"/>
          <w:szCs w:val="24"/>
        </w:rPr>
        <w:t xml:space="preserve">, </w:t>
      </w:r>
      <w:r>
        <w:rPr>
          <w:rStyle w:val="y2iqfc"/>
          <w:rFonts w:ascii="inherit" w:hAnsi="inherit"/>
          <w:sz w:val="24"/>
          <w:szCs w:val="24"/>
        </w:rPr>
        <w:t>Мисија</w:t>
      </w:r>
      <w:r w:rsidR="006E724F" w:rsidRPr="00B575BA">
        <w:rPr>
          <w:rStyle w:val="y2iqfc"/>
          <w:rFonts w:ascii="inherit" w:hAnsi="inherit"/>
          <w:sz w:val="24"/>
          <w:szCs w:val="24"/>
        </w:rPr>
        <w:t xml:space="preserve"> </w:t>
      </w:r>
      <w:r>
        <w:rPr>
          <w:rStyle w:val="y2iqfc"/>
          <w:rFonts w:ascii="inherit" w:hAnsi="inherit"/>
          <w:sz w:val="24"/>
          <w:szCs w:val="24"/>
        </w:rPr>
        <w:t>је</w:t>
      </w:r>
      <w:r w:rsidR="006E724F" w:rsidRPr="00B575BA">
        <w:rPr>
          <w:rStyle w:val="y2iqfc"/>
          <w:rFonts w:ascii="inherit" w:hAnsi="inherit"/>
          <w:sz w:val="24"/>
          <w:szCs w:val="24"/>
        </w:rPr>
        <w:t xml:space="preserve"> </w:t>
      </w:r>
      <w:r>
        <w:rPr>
          <w:rStyle w:val="y2iqfc"/>
          <w:rFonts w:ascii="inherit" w:hAnsi="inherit"/>
          <w:sz w:val="24"/>
          <w:szCs w:val="24"/>
        </w:rPr>
        <w:t>подржала</w:t>
      </w:r>
      <w:r w:rsidR="006E724F" w:rsidRPr="00B575BA">
        <w:rPr>
          <w:rStyle w:val="y2iqfc"/>
          <w:rFonts w:ascii="inherit" w:hAnsi="inherit"/>
          <w:sz w:val="24"/>
          <w:szCs w:val="24"/>
        </w:rPr>
        <w:t xml:space="preserve"> </w:t>
      </w:r>
      <w:r>
        <w:rPr>
          <w:rStyle w:val="y2iqfc"/>
          <w:rFonts w:ascii="inherit" w:hAnsi="inherit"/>
          <w:sz w:val="24"/>
          <w:szCs w:val="24"/>
        </w:rPr>
        <w:t>радионицу</w:t>
      </w:r>
      <w:r w:rsidR="006E724F" w:rsidRPr="00B575BA">
        <w:rPr>
          <w:rStyle w:val="y2iqfc"/>
          <w:rFonts w:ascii="inherit" w:hAnsi="inherit"/>
          <w:sz w:val="24"/>
          <w:szCs w:val="24"/>
        </w:rPr>
        <w:t xml:space="preserve"> </w:t>
      </w:r>
      <w:r>
        <w:rPr>
          <w:rStyle w:val="y2iqfc"/>
          <w:rFonts w:ascii="inherit" w:hAnsi="inherit"/>
          <w:sz w:val="24"/>
          <w:szCs w:val="24"/>
        </w:rPr>
        <w:t>за</w:t>
      </w:r>
      <w:r w:rsidR="006E724F" w:rsidRPr="00B575BA">
        <w:rPr>
          <w:rStyle w:val="y2iqfc"/>
          <w:rFonts w:ascii="inherit" w:hAnsi="inherit"/>
          <w:sz w:val="24"/>
          <w:szCs w:val="24"/>
        </w:rPr>
        <w:t xml:space="preserve"> </w:t>
      </w:r>
      <w:r>
        <w:rPr>
          <w:rStyle w:val="y2iqfc"/>
          <w:rFonts w:ascii="inherit" w:hAnsi="inherit"/>
          <w:sz w:val="24"/>
          <w:szCs w:val="24"/>
        </w:rPr>
        <w:t>финализацију</w:t>
      </w:r>
      <w:r w:rsidR="006E724F" w:rsidRPr="00B575BA">
        <w:rPr>
          <w:rStyle w:val="y2iqfc"/>
          <w:rFonts w:ascii="inherit" w:hAnsi="inherit"/>
          <w:sz w:val="24"/>
          <w:szCs w:val="24"/>
        </w:rPr>
        <w:t xml:space="preserve"> </w:t>
      </w:r>
      <w:r>
        <w:rPr>
          <w:rStyle w:val="y2iqfc"/>
          <w:rFonts w:ascii="inherit" w:hAnsi="inherit"/>
          <w:sz w:val="24"/>
          <w:szCs w:val="24"/>
        </w:rPr>
        <w:t>Акционог</w:t>
      </w:r>
      <w:r w:rsidR="006E724F" w:rsidRPr="00B575BA">
        <w:rPr>
          <w:rStyle w:val="y2iqfc"/>
          <w:rFonts w:ascii="inherit" w:hAnsi="inherit"/>
          <w:sz w:val="24"/>
          <w:szCs w:val="24"/>
        </w:rPr>
        <w:t xml:space="preserve"> </w:t>
      </w:r>
      <w:r>
        <w:rPr>
          <w:rStyle w:val="y2iqfc"/>
          <w:rFonts w:ascii="inherit" w:hAnsi="inherit"/>
          <w:sz w:val="24"/>
          <w:szCs w:val="24"/>
        </w:rPr>
        <w:t>плана</w:t>
      </w:r>
      <w:r w:rsidR="006E724F" w:rsidRPr="00B575BA">
        <w:rPr>
          <w:rStyle w:val="y2iqfc"/>
          <w:rFonts w:ascii="inherit" w:hAnsi="inherit"/>
          <w:sz w:val="24"/>
          <w:szCs w:val="24"/>
        </w:rPr>
        <w:t xml:space="preserve"> </w:t>
      </w:r>
      <w:r>
        <w:rPr>
          <w:rStyle w:val="y2iqfc"/>
          <w:rFonts w:ascii="inherit" w:hAnsi="inherit"/>
          <w:sz w:val="24"/>
          <w:szCs w:val="24"/>
        </w:rPr>
        <w:t>у</w:t>
      </w:r>
      <w:r w:rsidR="006E724F" w:rsidRPr="00B575BA">
        <w:rPr>
          <w:rStyle w:val="y2iqfc"/>
          <w:rFonts w:ascii="inherit" w:hAnsi="inherit"/>
          <w:sz w:val="24"/>
          <w:szCs w:val="24"/>
        </w:rPr>
        <w:t xml:space="preserve"> </w:t>
      </w:r>
      <w:r>
        <w:rPr>
          <w:rStyle w:val="y2iqfc"/>
          <w:rFonts w:ascii="inherit" w:hAnsi="inherit"/>
          <w:sz w:val="24"/>
          <w:szCs w:val="24"/>
        </w:rPr>
        <w:t>Тузланском</w:t>
      </w:r>
      <w:r w:rsidR="006E724F" w:rsidRPr="00B575BA">
        <w:rPr>
          <w:rStyle w:val="y2iqfc"/>
          <w:rFonts w:ascii="inherit" w:hAnsi="inherit"/>
          <w:sz w:val="24"/>
          <w:szCs w:val="24"/>
        </w:rPr>
        <w:t xml:space="preserve"> </w:t>
      </w:r>
      <w:r>
        <w:rPr>
          <w:rStyle w:val="y2iqfc"/>
          <w:rFonts w:ascii="inherit" w:hAnsi="inherit"/>
          <w:sz w:val="24"/>
          <w:szCs w:val="24"/>
        </w:rPr>
        <w:t>кантону</w:t>
      </w:r>
      <w:r w:rsidR="006E724F" w:rsidRPr="00B575BA">
        <w:rPr>
          <w:rStyle w:val="y2iqfc"/>
          <w:rFonts w:ascii="inherit" w:hAnsi="inherit"/>
          <w:sz w:val="24"/>
          <w:szCs w:val="24"/>
        </w:rPr>
        <w:t xml:space="preserve">. </w:t>
      </w:r>
      <w:r>
        <w:rPr>
          <w:rStyle w:val="y2iqfc"/>
          <w:rFonts w:ascii="inherit" w:hAnsi="inherit"/>
          <w:sz w:val="24"/>
          <w:szCs w:val="24"/>
        </w:rPr>
        <w:t>Процес</w:t>
      </w:r>
      <w:r w:rsidR="006E724F" w:rsidRPr="00B575BA">
        <w:rPr>
          <w:rStyle w:val="y2iqfc"/>
          <w:rFonts w:ascii="inherit" w:hAnsi="inherit"/>
          <w:sz w:val="24"/>
          <w:szCs w:val="24"/>
        </w:rPr>
        <w:t xml:space="preserve"> </w:t>
      </w:r>
      <w:r>
        <w:rPr>
          <w:rStyle w:val="y2iqfc"/>
          <w:rFonts w:ascii="inherit" w:hAnsi="inherit"/>
          <w:sz w:val="24"/>
          <w:szCs w:val="24"/>
        </w:rPr>
        <w:t>води</w:t>
      </w:r>
      <w:r w:rsidR="006E724F" w:rsidRPr="00B575BA">
        <w:rPr>
          <w:rStyle w:val="y2iqfc"/>
          <w:rFonts w:ascii="inherit" w:hAnsi="inherit"/>
          <w:sz w:val="24"/>
          <w:szCs w:val="24"/>
        </w:rPr>
        <w:t xml:space="preserve"> </w:t>
      </w:r>
      <w:r>
        <w:rPr>
          <w:rStyle w:val="y2iqfc"/>
          <w:rFonts w:ascii="inherit" w:hAnsi="inherit"/>
          <w:sz w:val="24"/>
          <w:szCs w:val="24"/>
        </w:rPr>
        <w:t>мултисекторски</w:t>
      </w:r>
      <w:r w:rsidR="006E724F" w:rsidRPr="00B575BA">
        <w:rPr>
          <w:rStyle w:val="y2iqfc"/>
          <w:rFonts w:ascii="inherit" w:hAnsi="inherit"/>
          <w:sz w:val="24"/>
          <w:szCs w:val="24"/>
        </w:rPr>
        <w:t xml:space="preserve"> </w:t>
      </w:r>
      <w:r>
        <w:rPr>
          <w:rStyle w:val="y2iqfc"/>
          <w:rFonts w:ascii="inherit" w:hAnsi="inherit"/>
          <w:sz w:val="24"/>
          <w:szCs w:val="24"/>
        </w:rPr>
        <w:t>координаци</w:t>
      </w:r>
      <w:r w:rsidR="00C9019F">
        <w:rPr>
          <w:rStyle w:val="y2iqfc"/>
          <w:rFonts w:ascii="inherit" w:hAnsi="inherit"/>
          <w:sz w:val="24"/>
          <w:szCs w:val="24"/>
          <w:lang w:val="sr-Cyrl-BA"/>
        </w:rPr>
        <w:t>они</w:t>
      </w:r>
      <w:r w:rsidR="006E724F" w:rsidRPr="00B575BA">
        <w:rPr>
          <w:rStyle w:val="y2iqfc"/>
          <w:rFonts w:ascii="inherit" w:hAnsi="inherit"/>
          <w:sz w:val="24"/>
          <w:szCs w:val="24"/>
        </w:rPr>
        <w:t xml:space="preserve"> </w:t>
      </w:r>
      <w:r>
        <w:rPr>
          <w:rStyle w:val="y2iqfc"/>
          <w:rFonts w:ascii="inherit" w:hAnsi="inherit"/>
          <w:sz w:val="24"/>
          <w:szCs w:val="24"/>
        </w:rPr>
        <w:t>орган</w:t>
      </w:r>
      <w:r w:rsidR="006E724F" w:rsidRPr="00B575BA">
        <w:rPr>
          <w:rStyle w:val="y2iqfc"/>
          <w:rFonts w:ascii="inherit" w:hAnsi="inherit"/>
          <w:sz w:val="24"/>
          <w:szCs w:val="24"/>
        </w:rPr>
        <w:t xml:space="preserve"> </w:t>
      </w:r>
      <w:r>
        <w:rPr>
          <w:rStyle w:val="y2iqfc"/>
          <w:rFonts w:ascii="inherit" w:hAnsi="inherit"/>
          <w:sz w:val="24"/>
          <w:szCs w:val="24"/>
        </w:rPr>
        <w:t>на</w:t>
      </w:r>
      <w:r w:rsidR="006E724F" w:rsidRPr="00B575BA">
        <w:rPr>
          <w:rStyle w:val="y2iqfc"/>
          <w:rFonts w:ascii="inherit" w:hAnsi="inherit"/>
          <w:sz w:val="24"/>
          <w:szCs w:val="24"/>
        </w:rPr>
        <w:t xml:space="preserve"> </w:t>
      </w:r>
      <w:r>
        <w:rPr>
          <w:rStyle w:val="y2iqfc"/>
          <w:rFonts w:ascii="inherit" w:hAnsi="inherit"/>
          <w:sz w:val="24"/>
          <w:szCs w:val="24"/>
        </w:rPr>
        <w:t>челу</w:t>
      </w:r>
      <w:r w:rsidR="006E724F" w:rsidRPr="00B575BA">
        <w:rPr>
          <w:rStyle w:val="y2iqfc"/>
          <w:rFonts w:ascii="inherit" w:hAnsi="inherit"/>
          <w:sz w:val="24"/>
          <w:szCs w:val="24"/>
        </w:rPr>
        <w:t xml:space="preserve"> </w:t>
      </w:r>
      <w:r>
        <w:rPr>
          <w:rStyle w:val="y2iqfc"/>
          <w:rFonts w:ascii="inherit" w:hAnsi="inherit"/>
          <w:sz w:val="24"/>
          <w:szCs w:val="24"/>
        </w:rPr>
        <w:t>са</w:t>
      </w:r>
      <w:r w:rsidR="006E724F" w:rsidRPr="00B575BA">
        <w:rPr>
          <w:rStyle w:val="y2iqfc"/>
          <w:rFonts w:ascii="inherit" w:hAnsi="inherit"/>
          <w:sz w:val="24"/>
          <w:szCs w:val="24"/>
        </w:rPr>
        <w:t xml:space="preserve"> </w:t>
      </w:r>
      <w:r>
        <w:rPr>
          <w:rStyle w:val="y2iqfc"/>
          <w:rFonts w:ascii="inherit" w:hAnsi="inherit"/>
          <w:sz w:val="24"/>
          <w:szCs w:val="24"/>
        </w:rPr>
        <w:t>представником</w:t>
      </w:r>
      <w:r w:rsidR="006E724F" w:rsidRPr="00B575BA">
        <w:rPr>
          <w:rStyle w:val="y2iqfc"/>
          <w:rFonts w:ascii="inherit" w:hAnsi="inherit"/>
          <w:sz w:val="24"/>
          <w:szCs w:val="24"/>
        </w:rPr>
        <w:t xml:space="preserve"> </w:t>
      </w:r>
      <w:r>
        <w:rPr>
          <w:rStyle w:val="y2iqfc"/>
          <w:rFonts w:ascii="inherit" w:hAnsi="inherit"/>
          <w:sz w:val="24"/>
          <w:szCs w:val="24"/>
        </w:rPr>
        <w:t>Министарства</w:t>
      </w:r>
      <w:r w:rsidR="006E724F" w:rsidRPr="00B575BA">
        <w:rPr>
          <w:rStyle w:val="y2iqfc"/>
          <w:rFonts w:ascii="inherit" w:hAnsi="inherit"/>
          <w:sz w:val="24"/>
          <w:szCs w:val="24"/>
        </w:rPr>
        <w:t xml:space="preserve"> </w:t>
      </w:r>
      <w:r>
        <w:rPr>
          <w:rStyle w:val="y2iqfc"/>
          <w:rFonts w:ascii="inherit" w:hAnsi="inherit"/>
          <w:sz w:val="24"/>
          <w:szCs w:val="24"/>
        </w:rPr>
        <w:t>рада</w:t>
      </w:r>
      <w:r w:rsidR="006E724F" w:rsidRPr="00B575BA">
        <w:rPr>
          <w:rStyle w:val="y2iqfc"/>
          <w:rFonts w:ascii="inherit" w:hAnsi="inherit"/>
          <w:sz w:val="24"/>
          <w:szCs w:val="24"/>
        </w:rPr>
        <w:t xml:space="preserve">, </w:t>
      </w:r>
      <w:r>
        <w:rPr>
          <w:rStyle w:val="y2iqfc"/>
          <w:rFonts w:ascii="inherit" w:hAnsi="inherit"/>
          <w:sz w:val="24"/>
          <w:szCs w:val="24"/>
        </w:rPr>
        <w:t>социјалне</w:t>
      </w:r>
      <w:r w:rsidR="006E724F" w:rsidRPr="00B575BA">
        <w:rPr>
          <w:rStyle w:val="y2iqfc"/>
          <w:rFonts w:ascii="inherit" w:hAnsi="inherit"/>
          <w:sz w:val="24"/>
          <w:szCs w:val="24"/>
        </w:rPr>
        <w:t xml:space="preserve"> </w:t>
      </w:r>
      <w:r>
        <w:rPr>
          <w:rStyle w:val="y2iqfc"/>
          <w:rFonts w:ascii="inherit" w:hAnsi="inherit"/>
          <w:sz w:val="24"/>
          <w:szCs w:val="24"/>
        </w:rPr>
        <w:t>заштите</w:t>
      </w:r>
      <w:r w:rsidR="006E724F" w:rsidRPr="00B575BA">
        <w:rPr>
          <w:rStyle w:val="y2iqfc"/>
          <w:rFonts w:ascii="inherit" w:hAnsi="inherit"/>
          <w:sz w:val="24"/>
          <w:szCs w:val="24"/>
        </w:rPr>
        <w:t xml:space="preserve"> </w:t>
      </w:r>
      <w:r>
        <w:rPr>
          <w:rStyle w:val="y2iqfc"/>
          <w:rFonts w:ascii="inherit" w:hAnsi="inherit"/>
          <w:sz w:val="24"/>
          <w:szCs w:val="24"/>
        </w:rPr>
        <w:t>и</w:t>
      </w:r>
      <w:r w:rsidR="006E724F" w:rsidRPr="00B575BA">
        <w:rPr>
          <w:rStyle w:val="y2iqfc"/>
          <w:rFonts w:ascii="inherit" w:hAnsi="inherit"/>
          <w:sz w:val="24"/>
          <w:szCs w:val="24"/>
        </w:rPr>
        <w:t xml:space="preserve"> </w:t>
      </w:r>
      <w:r>
        <w:rPr>
          <w:rStyle w:val="y2iqfc"/>
          <w:rFonts w:ascii="inherit" w:hAnsi="inherit"/>
          <w:sz w:val="24"/>
          <w:szCs w:val="24"/>
        </w:rPr>
        <w:t>повратка</w:t>
      </w:r>
      <w:r w:rsidR="006E724F" w:rsidRPr="00B575BA">
        <w:rPr>
          <w:rStyle w:val="y2iqfc"/>
          <w:rFonts w:ascii="inherit" w:hAnsi="inherit"/>
          <w:sz w:val="24"/>
          <w:szCs w:val="24"/>
        </w:rPr>
        <w:t xml:space="preserve">, </w:t>
      </w:r>
      <w:r>
        <w:rPr>
          <w:rStyle w:val="y2iqfc"/>
          <w:rFonts w:ascii="inherit" w:hAnsi="inherit"/>
          <w:sz w:val="24"/>
          <w:szCs w:val="24"/>
        </w:rPr>
        <w:t>а</w:t>
      </w:r>
      <w:r w:rsidR="006E724F" w:rsidRPr="00B575BA">
        <w:rPr>
          <w:rStyle w:val="y2iqfc"/>
          <w:rFonts w:ascii="inherit" w:hAnsi="inherit"/>
          <w:sz w:val="24"/>
          <w:szCs w:val="24"/>
        </w:rPr>
        <w:t xml:space="preserve"> </w:t>
      </w:r>
      <w:r w:rsidR="00C9019F">
        <w:rPr>
          <w:rStyle w:val="y2iqfc"/>
          <w:rFonts w:ascii="inherit" w:hAnsi="inherit"/>
          <w:sz w:val="24"/>
          <w:szCs w:val="24"/>
          <w:lang w:val="sr-Cyrl-BA"/>
        </w:rPr>
        <w:t>спроводи</w:t>
      </w:r>
      <w:r w:rsidR="006E724F" w:rsidRPr="00B575BA">
        <w:rPr>
          <w:rStyle w:val="y2iqfc"/>
          <w:rFonts w:ascii="inherit" w:hAnsi="inherit"/>
          <w:sz w:val="24"/>
          <w:szCs w:val="24"/>
        </w:rPr>
        <w:t xml:space="preserve"> </w:t>
      </w:r>
      <w:r>
        <w:rPr>
          <w:rStyle w:val="y2iqfc"/>
          <w:rFonts w:ascii="inherit" w:hAnsi="inherit"/>
          <w:sz w:val="24"/>
          <w:szCs w:val="24"/>
        </w:rPr>
        <w:t>се</w:t>
      </w:r>
      <w:r w:rsidR="006E724F" w:rsidRPr="00B575BA">
        <w:rPr>
          <w:rStyle w:val="y2iqfc"/>
          <w:rFonts w:ascii="inherit" w:hAnsi="inherit"/>
          <w:sz w:val="24"/>
          <w:szCs w:val="24"/>
        </w:rPr>
        <w:t xml:space="preserve"> </w:t>
      </w:r>
      <w:r>
        <w:rPr>
          <w:rStyle w:val="y2iqfc"/>
          <w:rFonts w:ascii="inherit" w:hAnsi="inherit"/>
          <w:sz w:val="24"/>
          <w:szCs w:val="24"/>
        </w:rPr>
        <w:t>под</w:t>
      </w:r>
      <w:r w:rsidR="006E724F" w:rsidRPr="00B575BA">
        <w:rPr>
          <w:rStyle w:val="y2iqfc"/>
          <w:rFonts w:ascii="inherit" w:hAnsi="inherit"/>
          <w:sz w:val="24"/>
          <w:szCs w:val="24"/>
        </w:rPr>
        <w:t xml:space="preserve"> </w:t>
      </w:r>
      <w:r>
        <w:rPr>
          <w:rStyle w:val="y2iqfc"/>
          <w:rFonts w:ascii="inherit" w:hAnsi="inherit"/>
          <w:sz w:val="24"/>
          <w:szCs w:val="24"/>
        </w:rPr>
        <w:t>вођством</w:t>
      </w:r>
      <w:r w:rsidR="006E724F" w:rsidRPr="00B575BA">
        <w:rPr>
          <w:rStyle w:val="y2iqfc"/>
          <w:rFonts w:ascii="inherit" w:hAnsi="inherit"/>
          <w:sz w:val="24"/>
          <w:szCs w:val="24"/>
        </w:rPr>
        <w:t xml:space="preserve"> </w:t>
      </w:r>
      <w:r>
        <w:rPr>
          <w:rStyle w:val="y2iqfc"/>
          <w:rFonts w:ascii="inherit" w:hAnsi="inherit"/>
          <w:sz w:val="24"/>
          <w:szCs w:val="24"/>
        </w:rPr>
        <w:t>ГЦ</w:t>
      </w:r>
      <w:r w:rsidR="00E778AA">
        <w:rPr>
          <w:rStyle w:val="y2iqfc"/>
          <w:rFonts w:ascii="inherit" w:hAnsi="inherit"/>
          <w:sz w:val="24"/>
          <w:szCs w:val="24"/>
        </w:rPr>
        <w:t xml:space="preserve"> </w:t>
      </w:r>
      <w:r>
        <w:rPr>
          <w:rStyle w:val="y2iqfc"/>
          <w:rFonts w:ascii="inherit" w:hAnsi="inherit"/>
          <w:sz w:val="24"/>
          <w:szCs w:val="24"/>
        </w:rPr>
        <w:t>ФБиХ</w:t>
      </w:r>
      <w:r w:rsidR="006E724F" w:rsidRPr="00B575BA">
        <w:rPr>
          <w:rStyle w:val="y2iqfc"/>
          <w:rFonts w:ascii="inherit" w:hAnsi="inherit"/>
          <w:sz w:val="24"/>
          <w:szCs w:val="24"/>
        </w:rPr>
        <w:t>.</w:t>
      </w:r>
    </w:p>
    <w:p w:rsidR="0031051F" w:rsidRPr="00B575BA" w:rsidRDefault="0031051F" w:rsidP="0086268D">
      <w:pPr>
        <w:pStyle w:val="HTMLPreformatted"/>
        <w:jc w:val="both"/>
        <w:rPr>
          <w:rStyle w:val="y2iqfc"/>
          <w:rFonts w:ascii="inherit" w:hAnsi="inherit"/>
          <w:sz w:val="24"/>
          <w:szCs w:val="24"/>
        </w:rPr>
      </w:pPr>
    </w:p>
    <w:p w:rsidR="00E6233D" w:rsidRPr="00B575BA" w:rsidRDefault="00C6214E" w:rsidP="0086268D">
      <w:pPr>
        <w:pStyle w:val="HTMLPreformatted"/>
        <w:jc w:val="both"/>
        <w:rPr>
          <w:rFonts w:ascii="Times New Roman" w:hAnsi="Times New Roman"/>
          <w:sz w:val="24"/>
          <w:szCs w:val="24"/>
          <w:shd w:val="clear" w:color="auto" w:fill="F8F9FA"/>
        </w:rPr>
      </w:pPr>
      <w:r>
        <w:rPr>
          <w:rFonts w:ascii="Times New Roman" w:hAnsi="Times New Roman"/>
          <w:sz w:val="24"/>
          <w:szCs w:val="24"/>
        </w:rPr>
        <w:t>Уз</w:t>
      </w:r>
      <w:r w:rsidR="006E724F" w:rsidRPr="00B575BA">
        <w:rPr>
          <w:rFonts w:ascii="Times New Roman" w:hAnsi="Times New Roman"/>
          <w:sz w:val="24"/>
          <w:szCs w:val="24"/>
        </w:rPr>
        <w:t xml:space="preserve"> </w:t>
      </w:r>
      <w:r>
        <w:rPr>
          <w:rFonts w:ascii="Times New Roman" w:hAnsi="Times New Roman"/>
          <w:sz w:val="24"/>
          <w:szCs w:val="24"/>
        </w:rPr>
        <w:t>подршку</w:t>
      </w:r>
      <w:r w:rsidR="006E724F" w:rsidRPr="00B575BA">
        <w:rPr>
          <w:rFonts w:ascii="Times New Roman" w:hAnsi="Times New Roman"/>
          <w:sz w:val="24"/>
          <w:szCs w:val="24"/>
        </w:rPr>
        <w:t xml:space="preserve"> </w:t>
      </w:r>
      <w:r w:rsidR="00C9019F" w:rsidRPr="00C9019F">
        <w:rPr>
          <w:rFonts w:ascii="Times New Roman" w:hAnsi="Times New Roman"/>
          <w:i/>
          <w:sz w:val="24"/>
          <w:szCs w:val="24"/>
          <w:lang w:val="hr-BA"/>
        </w:rPr>
        <w:t>SIDA</w:t>
      </w:r>
      <w:r w:rsidR="00E10D5B" w:rsidRPr="00B575BA">
        <w:rPr>
          <w:rFonts w:ascii="Times New Roman" w:hAnsi="Times New Roman"/>
          <w:sz w:val="24"/>
          <w:szCs w:val="24"/>
        </w:rPr>
        <w:t>-</w:t>
      </w:r>
      <w:r>
        <w:rPr>
          <w:rFonts w:ascii="Times New Roman" w:hAnsi="Times New Roman"/>
          <w:sz w:val="24"/>
          <w:szCs w:val="24"/>
        </w:rPr>
        <w:t>е</w:t>
      </w:r>
      <w:r w:rsidR="006E724F" w:rsidRPr="00B575BA">
        <w:rPr>
          <w:rFonts w:ascii="Times New Roman" w:hAnsi="Times New Roman"/>
          <w:sz w:val="24"/>
          <w:szCs w:val="24"/>
        </w:rPr>
        <w:t xml:space="preserve">, </w:t>
      </w:r>
      <w:r>
        <w:rPr>
          <w:rFonts w:ascii="Times New Roman" w:hAnsi="Times New Roman"/>
          <w:sz w:val="24"/>
          <w:szCs w:val="24"/>
        </w:rPr>
        <w:t>иновације</w:t>
      </w:r>
      <w:r w:rsidR="006E724F" w:rsidRPr="00B575BA">
        <w:rPr>
          <w:rFonts w:ascii="Times New Roman" w:hAnsi="Times New Roman"/>
          <w:sz w:val="24"/>
          <w:szCs w:val="24"/>
        </w:rPr>
        <w:t xml:space="preserve"> </w:t>
      </w:r>
      <w:r>
        <w:rPr>
          <w:rFonts w:ascii="Times New Roman" w:hAnsi="Times New Roman"/>
          <w:sz w:val="24"/>
          <w:szCs w:val="24"/>
        </w:rPr>
        <w:t>попут</w:t>
      </w:r>
      <w:r w:rsidR="006E724F" w:rsidRPr="00B575BA">
        <w:rPr>
          <w:rFonts w:ascii="Times New Roman" w:hAnsi="Times New Roman"/>
          <w:sz w:val="24"/>
          <w:szCs w:val="24"/>
        </w:rPr>
        <w:t xml:space="preserve"> </w:t>
      </w:r>
      <w:r>
        <w:rPr>
          <w:rFonts w:ascii="Times New Roman" w:hAnsi="Times New Roman"/>
          <w:sz w:val="24"/>
          <w:szCs w:val="24"/>
        </w:rPr>
        <w:t>стандардиз</w:t>
      </w:r>
      <w:r w:rsidR="00C9019F">
        <w:rPr>
          <w:rFonts w:ascii="Times New Roman" w:hAnsi="Times New Roman"/>
          <w:sz w:val="24"/>
          <w:szCs w:val="24"/>
          <w:lang w:val="sr-Cyrl-BA"/>
        </w:rPr>
        <w:t>ованих</w:t>
      </w:r>
      <w:r w:rsidR="006E724F" w:rsidRPr="00B575BA">
        <w:rPr>
          <w:rFonts w:ascii="Times New Roman" w:hAnsi="Times New Roman"/>
          <w:sz w:val="24"/>
          <w:szCs w:val="24"/>
        </w:rPr>
        <w:t xml:space="preserve"> </w:t>
      </w:r>
      <w:r>
        <w:rPr>
          <w:rFonts w:ascii="Times New Roman" w:hAnsi="Times New Roman"/>
          <w:sz w:val="24"/>
          <w:szCs w:val="24"/>
        </w:rPr>
        <w:t>оперативних</w:t>
      </w:r>
      <w:r w:rsidR="006E724F" w:rsidRPr="00B575BA">
        <w:rPr>
          <w:rFonts w:ascii="Times New Roman" w:hAnsi="Times New Roman"/>
          <w:sz w:val="24"/>
          <w:szCs w:val="24"/>
        </w:rPr>
        <w:t xml:space="preserve"> </w:t>
      </w:r>
      <w:r>
        <w:rPr>
          <w:rFonts w:ascii="Times New Roman" w:hAnsi="Times New Roman"/>
          <w:sz w:val="24"/>
          <w:szCs w:val="24"/>
        </w:rPr>
        <w:t>процедура</w:t>
      </w:r>
      <w:r w:rsidR="006E724F" w:rsidRPr="00B575BA">
        <w:rPr>
          <w:rFonts w:ascii="Times New Roman" w:hAnsi="Times New Roman"/>
          <w:sz w:val="24"/>
          <w:szCs w:val="24"/>
        </w:rPr>
        <w:t xml:space="preserve"> </w:t>
      </w:r>
      <w:r>
        <w:rPr>
          <w:rFonts w:ascii="Times New Roman" w:hAnsi="Times New Roman"/>
          <w:sz w:val="24"/>
          <w:szCs w:val="24"/>
        </w:rPr>
        <w:t>и</w:t>
      </w:r>
      <w:r w:rsidR="006E724F" w:rsidRPr="00B575BA">
        <w:rPr>
          <w:rFonts w:ascii="Times New Roman" w:hAnsi="Times New Roman"/>
          <w:sz w:val="24"/>
          <w:szCs w:val="24"/>
        </w:rPr>
        <w:t xml:space="preserve"> </w:t>
      </w:r>
      <w:r>
        <w:rPr>
          <w:rFonts w:ascii="Times New Roman" w:hAnsi="Times New Roman"/>
          <w:sz w:val="24"/>
          <w:szCs w:val="24"/>
        </w:rPr>
        <w:t>софтверске</w:t>
      </w:r>
      <w:r w:rsidR="006E724F" w:rsidRPr="00B575BA">
        <w:rPr>
          <w:rFonts w:ascii="Times New Roman" w:hAnsi="Times New Roman"/>
          <w:sz w:val="24"/>
          <w:szCs w:val="24"/>
        </w:rPr>
        <w:t xml:space="preserve"> </w:t>
      </w:r>
      <w:r>
        <w:rPr>
          <w:rFonts w:ascii="Times New Roman" w:hAnsi="Times New Roman"/>
          <w:sz w:val="24"/>
          <w:szCs w:val="24"/>
        </w:rPr>
        <w:t>базе</w:t>
      </w:r>
      <w:r w:rsidR="006E724F" w:rsidRPr="00B575BA">
        <w:rPr>
          <w:rFonts w:ascii="Times New Roman" w:hAnsi="Times New Roman"/>
          <w:sz w:val="24"/>
          <w:szCs w:val="24"/>
        </w:rPr>
        <w:t xml:space="preserve"> </w:t>
      </w:r>
      <w:r>
        <w:rPr>
          <w:rFonts w:ascii="Times New Roman" w:hAnsi="Times New Roman"/>
          <w:sz w:val="24"/>
          <w:szCs w:val="24"/>
        </w:rPr>
        <w:t>података</w:t>
      </w:r>
      <w:r w:rsidR="006E724F" w:rsidRPr="00B575BA">
        <w:rPr>
          <w:rFonts w:ascii="Times New Roman" w:hAnsi="Times New Roman"/>
          <w:sz w:val="24"/>
          <w:szCs w:val="24"/>
        </w:rPr>
        <w:t xml:space="preserve"> </w:t>
      </w:r>
      <w:r>
        <w:rPr>
          <w:rFonts w:ascii="Times New Roman" w:hAnsi="Times New Roman"/>
          <w:sz w:val="24"/>
          <w:szCs w:val="24"/>
        </w:rPr>
        <w:t>за</w:t>
      </w:r>
      <w:r w:rsidR="006E724F" w:rsidRPr="00B575BA">
        <w:rPr>
          <w:rFonts w:ascii="Times New Roman" w:hAnsi="Times New Roman"/>
          <w:sz w:val="24"/>
          <w:szCs w:val="24"/>
        </w:rPr>
        <w:t xml:space="preserve"> </w:t>
      </w:r>
      <w:r>
        <w:rPr>
          <w:rFonts w:ascii="Times New Roman" w:hAnsi="Times New Roman"/>
          <w:sz w:val="24"/>
          <w:szCs w:val="24"/>
        </w:rPr>
        <w:t>сигурне</w:t>
      </w:r>
      <w:r w:rsidR="006E724F" w:rsidRPr="00B575BA">
        <w:rPr>
          <w:rFonts w:ascii="Times New Roman" w:hAnsi="Times New Roman"/>
          <w:sz w:val="24"/>
          <w:szCs w:val="24"/>
        </w:rPr>
        <w:t xml:space="preserve"> </w:t>
      </w:r>
      <w:r>
        <w:rPr>
          <w:rFonts w:ascii="Times New Roman" w:hAnsi="Times New Roman"/>
          <w:sz w:val="24"/>
          <w:szCs w:val="24"/>
        </w:rPr>
        <w:t>куће</w:t>
      </w:r>
      <w:r w:rsidR="006E724F" w:rsidRPr="00B575BA">
        <w:rPr>
          <w:rFonts w:ascii="Times New Roman" w:hAnsi="Times New Roman"/>
          <w:sz w:val="24"/>
          <w:szCs w:val="24"/>
        </w:rPr>
        <w:t xml:space="preserve"> </w:t>
      </w:r>
      <w:r>
        <w:rPr>
          <w:rFonts w:ascii="Times New Roman" w:hAnsi="Times New Roman"/>
          <w:sz w:val="24"/>
          <w:szCs w:val="24"/>
        </w:rPr>
        <w:t>побољшале</w:t>
      </w:r>
      <w:r w:rsidR="006E724F" w:rsidRPr="00B575BA">
        <w:rPr>
          <w:rFonts w:ascii="Times New Roman" w:hAnsi="Times New Roman"/>
          <w:sz w:val="24"/>
          <w:szCs w:val="24"/>
        </w:rPr>
        <w:t xml:space="preserve"> </w:t>
      </w:r>
      <w:r>
        <w:rPr>
          <w:rFonts w:ascii="Times New Roman" w:hAnsi="Times New Roman"/>
          <w:sz w:val="24"/>
          <w:szCs w:val="24"/>
        </w:rPr>
        <w:t>су</w:t>
      </w:r>
      <w:r w:rsidR="006E724F" w:rsidRPr="00B575BA">
        <w:rPr>
          <w:rFonts w:ascii="Times New Roman" w:hAnsi="Times New Roman"/>
          <w:sz w:val="24"/>
          <w:szCs w:val="24"/>
        </w:rPr>
        <w:t xml:space="preserve"> </w:t>
      </w:r>
      <w:r>
        <w:rPr>
          <w:rFonts w:ascii="Times New Roman" w:hAnsi="Times New Roman"/>
          <w:sz w:val="24"/>
          <w:szCs w:val="24"/>
        </w:rPr>
        <w:t>координацију</w:t>
      </w:r>
      <w:r w:rsidR="006E724F" w:rsidRPr="00B575BA">
        <w:rPr>
          <w:rFonts w:ascii="Times New Roman" w:hAnsi="Times New Roman"/>
          <w:sz w:val="24"/>
          <w:szCs w:val="24"/>
        </w:rPr>
        <w:t xml:space="preserve"> </w:t>
      </w:r>
      <w:r>
        <w:rPr>
          <w:rFonts w:ascii="Times New Roman" w:hAnsi="Times New Roman"/>
          <w:sz w:val="24"/>
          <w:szCs w:val="24"/>
        </w:rPr>
        <w:t>и</w:t>
      </w:r>
      <w:r w:rsidR="006E724F" w:rsidRPr="00B575BA">
        <w:rPr>
          <w:rFonts w:ascii="Times New Roman" w:hAnsi="Times New Roman"/>
          <w:sz w:val="24"/>
          <w:szCs w:val="24"/>
        </w:rPr>
        <w:t xml:space="preserve"> </w:t>
      </w:r>
      <w:r>
        <w:rPr>
          <w:rFonts w:ascii="Times New Roman" w:hAnsi="Times New Roman"/>
          <w:sz w:val="24"/>
          <w:szCs w:val="24"/>
        </w:rPr>
        <w:t>ефикасност</w:t>
      </w:r>
      <w:r w:rsidR="006E724F" w:rsidRPr="00B575BA">
        <w:rPr>
          <w:rFonts w:ascii="Times New Roman" w:hAnsi="Times New Roman"/>
          <w:sz w:val="24"/>
          <w:szCs w:val="24"/>
        </w:rPr>
        <w:t xml:space="preserve"> </w:t>
      </w:r>
      <w:r>
        <w:rPr>
          <w:rFonts w:ascii="Times New Roman" w:hAnsi="Times New Roman"/>
          <w:sz w:val="24"/>
          <w:szCs w:val="24"/>
        </w:rPr>
        <w:t>у</w:t>
      </w:r>
      <w:r w:rsidR="006E724F" w:rsidRPr="00B575BA">
        <w:rPr>
          <w:rFonts w:ascii="Times New Roman" w:hAnsi="Times New Roman"/>
          <w:sz w:val="24"/>
          <w:szCs w:val="24"/>
        </w:rPr>
        <w:t xml:space="preserve"> </w:t>
      </w:r>
      <w:r>
        <w:rPr>
          <w:rFonts w:ascii="Times New Roman" w:hAnsi="Times New Roman"/>
          <w:sz w:val="24"/>
          <w:szCs w:val="24"/>
        </w:rPr>
        <w:t>подршци</w:t>
      </w:r>
      <w:r w:rsidR="00535B0D">
        <w:rPr>
          <w:rFonts w:ascii="Times New Roman" w:hAnsi="Times New Roman"/>
          <w:sz w:val="24"/>
          <w:szCs w:val="24"/>
        </w:rPr>
        <w:t xml:space="preserve"> </w:t>
      </w:r>
      <w:r>
        <w:rPr>
          <w:rFonts w:ascii="Times New Roman" w:hAnsi="Times New Roman"/>
          <w:sz w:val="24"/>
          <w:szCs w:val="24"/>
        </w:rPr>
        <w:t>жртвама</w:t>
      </w:r>
      <w:r w:rsidR="000B6F07" w:rsidRPr="00B575BA">
        <w:rPr>
          <w:rFonts w:ascii="Times New Roman" w:hAnsi="Times New Roman"/>
          <w:sz w:val="24"/>
          <w:szCs w:val="24"/>
        </w:rPr>
        <w:t xml:space="preserve"> </w:t>
      </w:r>
      <w:r>
        <w:rPr>
          <w:rFonts w:ascii="Times New Roman" w:hAnsi="Times New Roman"/>
          <w:sz w:val="24"/>
          <w:szCs w:val="24"/>
        </w:rPr>
        <w:t>родно</w:t>
      </w:r>
      <w:r w:rsidR="000B6F07" w:rsidRPr="00B575BA">
        <w:rPr>
          <w:rFonts w:ascii="Times New Roman" w:hAnsi="Times New Roman"/>
          <w:sz w:val="24"/>
          <w:szCs w:val="24"/>
        </w:rPr>
        <w:t xml:space="preserve"> </w:t>
      </w:r>
      <w:r>
        <w:rPr>
          <w:rFonts w:ascii="Times New Roman" w:hAnsi="Times New Roman"/>
          <w:sz w:val="24"/>
          <w:szCs w:val="24"/>
        </w:rPr>
        <w:t>заснованог</w:t>
      </w:r>
      <w:r w:rsidR="000B6F07" w:rsidRPr="00B575BA">
        <w:rPr>
          <w:rFonts w:ascii="Times New Roman" w:hAnsi="Times New Roman"/>
          <w:sz w:val="24"/>
          <w:szCs w:val="24"/>
        </w:rPr>
        <w:t xml:space="preserve"> </w:t>
      </w:r>
      <w:r>
        <w:rPr>
          <w:rFonts w:ascii="Times New Roman" w:hAnsi="Times New Roman"/>
          <w:sz w:val="24"/>
          <w:szCs w:val="24"/>
        </w:rPr>
        <w:t>насиља</w:t>
      </w:r>
      <w:r w:rsidR="006E724F" w:rsidRPr="00B575BA">
        <w:rPr>
          <w:rFonts w:ascii="Times New Roman" w:hAnsi="Times New Roman"/>
          <w:sz w:val="24"/>
          <w:szCs w:val="24"/>
        </w:rPr>
        <w:t>.</w:t>
      </w:r>
    </w:p>
    <w:p w:rsidR="002F3811" w:rsidRPr="00295637" w:rsidRDefault="002F3811" w:rsidP="0086268D">
      <w:pPr>
        <w:pStyle w:val="HTMLPreformatted"/>
        <w:jc w:val="both"/>
        <w:rPr>
          <w:rFonts w:ascii="inherit" w:hAnsi="inherit"/>
          <w:color w:val="1F1F1F"/>
          <w:sz w:val="24"/>
          <w:szCs w:val="24"/>
        </w:rPr>
      </w:pPr>
    </w:p>
    <w:p w:rsidR="008D24A7" w:rsidRPr="00295637" w:rsidRDefault="00161F22" w:rsidP="00535B0D">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535B0D">
        <w:rPr>
          <w:rFonts w:ascii="Times New Roman" w:hAnsi="Times New Roman"/>
          <w:szCs w:val="24"/>
          <w:lang w:val="bs-Latn-BA"/>
        </w:rPr>
        <w:t xml:space="preserve"> 1.4.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подршка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истраживањима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размјерама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аспектима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проблема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основу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пола</w:t>
      </w:r>
      <w:r w:rsidR="00356C2C" w:rsidRPr="00295637">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насиље</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породици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као</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трговину</w:t>
      </w:r>
      <w:r w:rsidR="00356C2C" w:rsidRPr="00295637">
        <w:rPr>
          <w:rFonts w:ascii="Times New Roman" w:hAnsi="Times New Roman"/>
          <w:szCs w:val="24"/>
          <w:lang w:val="bs-Latn-BA"/>
        </w:rPr>
        <w:t xml:space="preserve"> </w:t>
      </w:r>
      <w:r w:rsidR="00C6214E">
        <w:rPr>
          <w:rFonts w:ascii="Times New Roman" w:hAnsi="Times New Roman"/>
          <w:szCs w:val="24"/>
          <w:lang w:val="bs-Latn-BA"/>
        </w:rPr>
        <w:t>људима</w:t>
      </w:r>
      <w:r w:rsidR="00356C2C" w:rsidRPr="00295637">
        <w:rPr>
          <w:rFonts w:ascii="Times New Roman" w:hAnsi="Times New Roman"/>
          <w:szCs w:val="24"/>
          <w:lang w:val="bs-Latn-BA"/>
        </w:rPr>
        <w:t xml:space="preserve">. </w:t>
      </w:r>
    </w:p>
    <w:p w:rsidR="00C142CC" w:rsidRPr="00295637" w:rsidRDefault="00C142CC" w:rsidP="0086268D">
      <w:pPr>
        <w:jc w:val="both"/>
        <w:rPr>
          <w:rFonts w:ascii="Times New Roman" w:hAnsi="Times New Roman"/>
          <w:szCs w:val="24"/>
          <w:lang w:val="hr-HR"/>
        </w:rPr>
      </w:pPr>
    </w:p>
    <w:p w:rsidR="0024227B" w:rsidRPr="00295637" w:rsidRDefault="00C6214E" w:rsidP="0086268D">
      <w:pPr>
        <w:jc w:val="both"/>
        <w:rPr>
          <w:rFonts w:ascii="Times New Roman" w:hAnsi="Times New Roman"/>
        </w:rPr>
      </w:pPr>
      <w:r>
        <w:rPr>
          <w:rFonts w:ascii="Times New Roman" w:hAnsi="Times New Roman"/>
          <w:szCs w:val="24"/>
          <w:lang w:val="hr-HR"/>
        </w:rPr>
        <w:t>АР</w:t>
      </w:r>
      <w:r w:rsidR="00701567">
        <w:rPr>
          <w:rFonts w:ascii="Times New Roman" w:hAnsi="Times New Roman"/>
          <w:szCs w:val="24"/>
          <w:lang w:val="sr-Cyrl-BA"/>
        </w:rPr>
        <w:t>П</w:t>
      </w:r>
      <w:r w:rsidR="00E778AA">
        <w:rPr>
          <w:rFonts w:ascii="Times New Roman" w:hAnsi="Times New Roman"/>
          <w:szCs w:val="24"/>
          <w:lang w:val="hr-HR"/>
        </w:rPr>
        <w:t xml:space="preserve"> </w:t>
      </w:r>
      <w:r>
        <w:rPr>
          <w:rFonts w:ascii="Times New Roman" w:hAnsi="Times New Roman"/>
          <w:szCs w:val="24"/>
          <w:lang w:val="hr-HR"/>
        </w:rPr>
        <w:t>БиХ</w:t>
      </w:r>
      <w:r w:rsidR="00AA2171">
        <w:rPr>
          <w:rFonts w:ascii="Times New Roman" w:hAnsi="Times New Roman"/>
          <w:szCs w:val="24"/>
          <w:lang w:val="hr-HR"/>
        </w:rPr>
        <w:t xml:space="preserve"> </w:t>
      </w:r>
      <w:r>
        <w:rPr>
          <w:rFonts w:ascii="Times New Roman" w:hAnsi="Times New Roman"/>
          <w:szCs w:val="24"/>
          <w:lang w:val="hr-HR"/>
        </w:rPr>
        <w:t>МЉПИ</w:t>
      </w:r>
      <w:r w:rsidR="00E778AA">
        <w:rPr>
          <w:rFonts w:ascii="Times New Roman" w:hAnsi="Times New Roman"/>
          <w:szCs w:val="24"/>
          <w:lang w:val="hr-HR"/>
        </w:rPr>
        <w:t xml:space="preserve"> </w:t>
      </w:r>
      <w:r>
        <w:rPr>
          <w:rFonts w:ascii="Times New Roman" w:hAnsi="Times New Roman"/>
          <w:szCs w:val="24"/>
          <w:lang w:val="hr-HR"/>
        </w:rPr>
        <w:t>БиХ</w:t>
      </w:r>
      <w:r w:rsidR="0060400D" w:rsidRPr="00295637">
        <w:rPr>
          <w:rFonts w:ascii="Times New Roman" w:hAnsi="Times New Roman"/>
          <w:szCs w:val="24"/>
          <w:lang w:val="hr-HR"/>
        </w:rPr>
        <w:t xml:space="preserve"> </w:t>
      </w:r>
      <w:r>
        <w:rPr>
          <w:rFonts w:ascii="Times New Roman" w:hAnsi="Times New Roman"/>
          <w:szCs w:val="24"/>
          <w:lang w:val="hr-HR"/>
        </w:rPr>
        <w:t>је</w:t>
      </w:r>
      <w:r w:rsidR="0060400D" w:rsidRPr="00295637">
        <w:rPr>
          <w:rFonts w:ascii="Times New Roman" w:hAnsi="Times New Roman"/>
          <w:szCs w:val="24"/>
          <w:lang w:val="hr-HR"/>
        </w:rPr>
        <w:t xml:space="preserve">, </w:t>
      </w:r>
      <w:r>
        <w:rPr>
          <w:rFonts w:ascii="Times New Roman" w:hAnsi="Times New Roman"/>
          <w:szCs w:val="24"/>
          <w:lang w:val="hr-HR"/>
        </w:rPr>
        <w:t>уз</w:t>
      </w:r>
      <w:r w:rsidR="00896762" w:rsidRPr="00295637">
        <w:rPr>
          <w:rFonts w:ascii="Times New Roman" w:hAnsi="Times New Roman"/>
          <w:szCs w:val="24"/>
          <w:lang w:val="hr-HR"/>
        </w:rPr>
        <w:t xml:space="preserve"> </w:t>
      </w:r>
      <w:r>
        <w:rPr>
          <w:rFonts w:ascii="Times New Roman" w:hAnsi="Times New Roman"/>
          <w:szCs w:val="24"/>
          <w:lang w:val="hr-HR"/>
        </w:rPr>
        <w:t>техничку</w:t>
      </w:r>
      <w:r w:rsidR="00896762" w:rsidRPr="00295637">
        <w:rPr>
          <w:rFonts w:ascii="Times New Roman" w:hAnsi="Times New Roman"/>
          <w:szCs w:val="24"/>
          <w:lang w:val="hr-HR"/>
        </w:rPr>
        <w:t xml:space="preserve"> </w:t>
      </w:r>
      <w:r>
        <w:rPr>
          <w:rFonts w:ascii="Times New Roman" w:hAnsi="Times New Roman"/>
          <w:szCs w:val="24"/>
          <w:lang w:val="hr-HR"/>
        </w:rPr>
        <w:t>подршку</w:t>
      </w:r>
      <w:r w:rsidR="00896762" w:rsidRPr="00295637">
        <w:rPr>
          <w:rFonts w:ascii="Times New Roman" w:hAnsi="Times New Roman"/>
          <w:szCs w:val="24"/>
          <w:lang w:val="hr-HR"/>
        </w:rPr>
        <w:t xml:space="preserve"> </w:t>
      </w:r>
      <w:r w:rsidR="00701567">
        <w:rPr>
          <w:rFonts w:ascii="Times New Roman" w:hAnsi="Times New Roman"/>
          <w:szCs w:val="24"/>
          <w:lang w:val="sr-Cyrl-BA"/>
        </w:rPr>
        <w:t>Савјета</w:t>
      </w:r>
      <w:r w:rsidR="00896762" w:rsidRPr="00295637">
        <w:rPr>
          <w:rFonts w:ascii="Times New Roman" w:hAnsi="Times New Roman"/>
          <w:szCs w:val="24"/>
          <w:lang w:val="hr-HR"/>
        </w:rPr>
        <w:t xml:space="preserve"> </w:t>
      </w:r>
      <w:r>
        <w:rPr>
          <w:rFonts w:ascii="Times New Roman" w:hAnsi="Times New Roman"/>
          <w:szCs w:val="24"/>
          <w:lang w:val="hr-HR"/>
        </w:rPr>
        <w:t>Европе</w:t>
      </w:r>
      <w:r w:rsidR="00BF3471" w:rsidRPr="00295637">
        <w:rPr>
          <w:rFonts w:ascii="Times New Roman" w:hAnsi="Times New Roman"/>
          <w:szCs w:val="24"/>
          <w:lang w:val="hr-HR"/>
        </w:rPr>
        <w:t>,</w:t>
      </w:r>
      <w:r w:rsidR="0060400D" w:rsidRPr="00295637">
        <w:rPr>
          <w:rFonts w:ascii="Times New Roman" w:hAnsi="Times New Roman"/>
          <w:szCs w:val="24"/>
          <w:lang w:val="hr-HR"/>
        </w:rPr>
        <w:t xml:space="preserve"> </w:t>
      </w:r>
      <w:r>
        <w:rPr>
          <w:rFonts w:ascii="Times New Roman" w:hAnsi="Times New Roman"/>
          <w:szCs w:val="24"/>
          <w:lang w:val="hr-HR"/>
        </w:rPr>
        <w:t>реализ</w:t>
      </w:r>
      <w:r w:rsidR="00701567">
        <w:rPr>
          <w:rFonts w:ascii="Times New Roman" w:hAnsi="Times New Roman"/>
          <w:szCs w:val="24"/>
          <w:lang w:val="sr-Cyrl-BA"/>
        </w:rPr>
        <w:t>овала</w:t>
      </w:r>
      <w:r w:rsidR="00F44F53" w:rsidRPr="00295637">
        <w:rPr>
          <w:rFonts w:ascii="Times New Roman" w:hAnsi="Times New Roman"/>
          <w:szCs w:val="24"/>
          <w:lang w:val="hr-HR"/>
        </w:rPr>
        <w:t xml:space="preserve"> „</w:t>
      </w:r>
      <w:r>
        <w:rPr>
          <w:rFonts w:ascii="Times New Roman" w:hAnsi="Times New Roman"/>
          <w:szCs w:val="24"/>
          <w:lang w:val="hr-HR"/>
        </w:rPr>
        <w:t>гап</w:t>
      </w:r>
      <w:r w:rsidR="0060400D" w:rsidRPr="00295637">
        <w:rPr>
          <w:rFonts w:ascii="Times New Roman" w:hAnsi="Times New Roman"/>
          <w:szCs w:val="24"/>
          <w:lang w:val="hr-HR"/>
        </w:rPr>
        <w:t xml:space="preserve">“ </w:t>
      </w:r>
      <w:r>
        <w:rPr>
          <w:rFonts w:ascii="Times New Roman" w:hAnsi="Times New Roman"/>
          <w:szCs w:val="24"/>
          <w:lang w:val="hr-HR"/>
        </w:rPr>
        <w:t>анализу</w:t>
      </w:r>
      <w:r w:rsidR="0060400D" w:rsidRPr="00295637">
        <w:rPr>
          <w:rFonts w:ascii="Times New Roman" w:hAnsi="Times New Roman"/>
          <w:szCs w:val="24"/>
          <w:lang w:val="hr-HR"/>
        </w:rPr>
        <w:t xml:space="preserve"> </w:t>
      </w:r>
      <w:r>
        <w:rPr>
          <w:rFonts w:ascii="Times New Roman" w:hAnsi="Times New Roman"/>
          <w:szCs w:val="24"/>
          <w:lang w:val="hr-HR"/>
        </w:rPr>
        <w:t>законодавног</w:t>
      </w:r>
      <w:r w:rsidR="0060400D" w:rsidRPr="00295637">
        <w:rPr>
          <w:rFonts w:ascii="Times New Roman" w:hAnsi="Times New Roman"/>
          <w:szCs w:val="24"/>
          <w:lang w:val="hr-HR"/>
        </w:rPr>
        <w:t xml:space="preserve"> </w:t>
      </w:r>
      <w:r>
        <w:rPr>
          <w:rFonts w:ascii="Times New Roman" w:hAnsi="Times New Roman"/>
          <w:szCs w:val="24"/>
          <w:lang w:val="hr-HR"/>
        </w:rPr>
        <w:t>и</w:t>
      </w:r>
      <w:r w:rsidR="0060400D" w:rsidRPr="00295637">
        <w:rPr>
          <w:rFonts w:ascii="Times New Roman" w:hAnsi="Times New Roman"/>
          <w:szCs w:val="24"/>
          <w:lang w:val="hr-HR"/>
        </w:rPr>
        <w:t xml:space="preserve"> </w:t>
      </w:r>
      <w:r>
        <w:rPr>
          <w:rFonts w:ascii="Times New Roman" w:hAnsi="Times New Roman"/>
          <w:szCs w:val="24"/>
          <w:lang w:val="hr-HR"/>
        </w:rPr>
        <w:t>институционалног</w:t>
      </w:r>
      <w:r w:rsidR="0060400D" w:rsidRPr="00295637">
        <w:rPr>
          <w:rFonts w:ascii="Times New Roman" w:hAnsi="Times New Roman"/>
          <w:szCs w:val="24"/>
          <w:lang w:val="hr-HR"/>
        </w:rPr>
        <w:t xml:space="preserve"> </w:t>
      </w:r>
      <w:r>
        <w:rPr>
          <w:rFonts w:ascii="Times New Roman" w:hAnsi="Times New Roman"/>
          <w:szCs w:val="24"/>
          <w:lang w:val="hr-HR"/>
        </w:rPr>
        <w:t>оквира</w:t>
      </w:r>
      <w:r w:rsidR="0060400D" w:rsidRPr="00295637">
        <w:rPr>
          <w:rFonts w:ascii="Times New Roman" w:hAnsi="Times New Roman"/>
          <w:szCs w:val="24"/>
          <w:lang w:val="hr-HR"/>
        </w:rPr>
        <w:t xml:space="preserve"> </w:t>
      </w:r>
      <w:r>
        <w:rPr>
          <w:rFonts w:ascii="Times New Roman" w:hAnsi="Times New Roman"/>
          <w:szCs w:val="24"/>
          <w:lang w:val="hr-HR"/>
        </w:rPr>
        <w:t>за</w:t>
      </w:r>
      <w:r w:rsidR="0060400D" w:rsidRPr="00295637">
        <w:rPr>
          <w:rFonts w:ascii="Times New Roman" w:hAnsi="Times New Roman"/>
          <w:szCs w:val="24"/>
          <w:lang w:val="hr-HR"/>
        </w:rPr>
        <w:t xml:space="preserve"> </w:t>
      </w:r>
      <w:r>
        <w:rPr>
          <w:rFonts w:ascii="Times New Roman" w:hAnsi="Times New Roman"/>
          <w:szCs w:val="24"/>
          <w:lang w:val="hr-HR"/>
        </w:rPr>
        <w:t>превенцију</w:t>
      </w:r>
      <w:r w:rsidR="0060400D" w:rsidRPr="00295637">
        <w:rPr>
          <w:rFonts w:ascii="Times New Roman" w:hAnsi="Times New Roman"/>
          <w:szCs w:val="24"/>
          <w:lang w:val="hr-HR"/>
        </w:rPr>
        <w:t xml:space="preserve">, </w:t>
      </w:r>
      <w:r>
        <w:rPr>
          <w:rFonts w:ascii="Times New Roman" w:hAnsi="Times New Roman"/>
          <w:szCs w:val="24"/>
          <w:lang w:val="hr-HR"/>
        </w:rPr>
        <w:t>заштиту</w:t>
      </w:r>
      <w:r w:rsidR="0060400D" w:rsidRPr="00295637">
        <w:rPr>
          <w:rFonts w:ascii="Times New Roman" w:hAnsi="Times New Roman"/>
          <w:szCs w:val="24"/>
          <w:lang w:val="hr-HR"/>
        </w:rPr>
        <w:t xml:space="preserve"> </w:t>
      </w:r>
      <w:r>
        <w:rPr>
          <w:rFonts w:ascii="Times New Roman" w:hAnsi="Times New Roman"/>
          <w:szCs w:val="24"/>
          <w:lang w:val="hr-HR"/>
        </w:rPr>
        <w:t>жртве</w:t>
      </w:r>
      <w:r w:rsidR="0060400D" w:rsidRPr="00295637">
        <w:rPr>
          <w:rFonts w:ascii="Times New Roman" w:hAnsi="Times New Roman"/>
          <w:szCs w:val="24"/>
          <w:lang w:val="hr-HR"/>
        </w:rPr>
        <w:t xml:space="preserve"> </w:t>
      </w:r>
      <w:r>
        <w:rPr>
          <w:rFonts w:ascii="Times New Roman" w:hAnsi="Times New Roman"/>
          <w:szCs w:val="24"/>
          <w:lang w:val="hr-HR"/>
        </w:rPr>
        <w:t>и</w:t>
      </w:r>
      <w:r w:rsidR="0060400D" w:rsidRPr="00295637">
        <w:rPr>
          <w:rFonts w:ascii="Times New Roman" w:hAnsi="Times New Roman"/>
          <w:szCs w:val="24"/>
          <w:lang w:val="hr-HR"/>
        </w:rPr>
        <w:t xml:space="preserve"> </w:t>
      </w:r>
      <w:r>
        <w:rPr>
          <w:rFonts w:ascii="Times New Roman" w:hAnsi="Times New Roman"/>
          <w:szCs w:val="24"/>
          <w:lang w:val="hr-HR"/>
        </w:rPr>
        <w:t>процесуирање</w:t>
      </w:r>
      <w:r w:rsidR="0060400D" w:rsidRPr="00295637">
        <w:rPr>
          <w:rFonts w:ascii="Times New Roman" w:hAnsi="Times New Roman"/>
          <w:szCs w:val="24"/>
          <w:lang w:val="hr-HR"/>
        </w:rPr>
        <w:t xml:space="preserve"> </w:t>
      </w:r>
      <w:r>
        <w:rPr>
          <w:rFonts w:ascii="Times New Roman" w:hAnsi="Times New Roman"/>
          <w:szCs w:val="24"/>
          <w:lang w:val="hr-HR"/>
        </w:rPr>
        <w:t>починилаца</w:t>
      </w:r>
      <w:r w:rsidR="0060400D" w:rsidRPr="00295637">
        <w:rPr>
          <w:rFonts w:ascii="Times New Roman" w:hAnsi="Times New Roman"/>
          <w:szCs w:val="24"/>
          <w:lang w:val="hr-HR"/>
        </w:rPr>
        <w:t xml:space="preserve"> </w:t>
      </w:r>
      <w:r>
        <w:rPr>
          <w:rFonts w:ascii="Times New Roman" w:hAnsi="Times New Roman"/>
          <w:szCs w:val="24"/>
          <w:lang w:val="hr-HR"/>
        </w:rPr>
        <w:t>у</w:t>
      </w:r>
      <w:r w:rsidR="0060400D" w:rsidRPr="00295637">
        <w:rPr>
          <w:rFonts w:ascii="Times New Roman" w:hAnsi="Times New Roman"/>
          <w:szCs w:val="24"/>
          <w:lang w:val="hr-HR"/>
        </w:rPr>
        <w:t xml:space="preserve"> </w:t>
      </w:r>
      <w:r>
        <w:rPr>
          <w:rFonts w:ascii="Times New Roman" w:hAnsi="Times New Roman"/>
          <w:szCs w:val="24"/>
          <w:lang w:val="hr-HR"/>
        </w:rPr>
        <w:t>случајевима</w:t>
      </w:r>
      <w:r w:rsidR="0060400D" w:rsidRPr="00295637">
        <w:rPr>
          <w:rFonts w:ascii="Times New Roman" w:hAnsi="Times New Roman"/>
          <w:szCs w:val="24"/>
          <w:lang w:val="hr-HR"/>
        </w:rPr>
        <w:t xml:space="preserve"> </w:t>
      </w:r>
      <w:r>
        <w:rPr>
          <w:rFonts w:ascii="Times New Roman" w:hAnsi="Times New Roman"/>
          <w:szCs w:val="24"/>
          <w:lang w:val="hr-HR"/>
        </w:rPr>
        <w:t>силовања</w:t>
      </w:r>
      <w:r w:rsidR="0060400D" w:rsidRPr="00295637">
        <w:rPr>
          <w:rFonts w:ascii="Times New Roman" w:hAnsi="Times New Roman"/>
          <w:szCs w:val="24"/>
          <w:lang w:val="hr-HR"/>
        </w:rPr>
        <w:t xml:space="preserve"> </w:t>
      </w:r>
      <w:r>
        <w:rPr>
          <w:rFonts w:ascii="Times New Roman" w:hAnsi="Times New Roman"/>
          <w:szCs w:val="24"/>
          <w:lang w:val="hr-HR"/>
        </w:rPr>
        <w:t>и</w:t>
      </w:r>
      <w:r w:rsidR="0060400D" w:rsidRPr="00295637">
        <w:rPr>
          <w:rFonts w:ascii="Times New Roman" w:hAnsi="Times New Roman"/>
          <w:szCs w:val="24"/>
          <w:lang w:val="hr-HR"/>
        </w:rPr>
        <w:t xml:space="preserve"> </w:t>
      </w:r>
      <w:r>
        <w:rPr>
          <w:rFonts w:ascii="Times New Roman" w:hAnsi="Times New Roman"/>
          <w:szCs w:val="24"/>
          <w:lang w:val="hr-HR"/>
        </w:rPr>
        <w:t>дигитално</w:t>
      </w:r>
      <w:r w:rsidR="0060400D" w:rsidRPr="00295637">
        <w:rPr>
          <w:rFonts w:ascii="Times New Roman" w:hAnsi="Times New Roman"/>
          <w:szCs w:val="24"/>
          <w:lang w:val="hr-HR"/>
        </w:rPr>
        <w:t xml:space="preserve"> </w:t>
      </w:r>
      <w:r>
        <w:rPr>
          <w:rFonts w:ascii="Times New Roman" w:hAnsi="Times New Roman"/>
          <w:szCs w:val="24"/>
          <w:lang w:val="hr-HR"/>
        </w:rPr>
        <w:t>потпомогнутог</w:t>
      </w:r>
      <w:r w:rsidR="0060400D" w:rsidRPr="00295637">
        <w:rPr>
          <w:rFonts w:ascii="Times New Roman" w:hAnsi="Times New Roman"/>
          <w:szCs w:val="24"/>
          <w:lang w:val="hr-HR"/>
        </w:rPr>
        <w:t xml:space="preserve"> </w:t>
      </w:r>
      <w:r>
        <w:rPr>
          <w:rFonts w:ascii="Times New Roman" w:hAnsi="Times New Roman"/>
          <w:szCs w:val="24"/>
          <w:lang w:val="hr-HR"/>
        </w:rPr>
        <w:t>насиља</w:t>
      </w:r>
      <w:r w:rsidR="0060400D" w:rsidRPr="00295637">
        <w:rPr>
          <w:rFonts w:ascii="Times New Roman" w:hAnsi="Times New Roman"/>
          <w:szCs w:val="24"/>
          <w:lang w:val="hr-HR"/>
        </w:rPr>
        <w:t xml:space="preserve"> </w:t>
      </w:r>
      <w:r>
        <w:rPr>
          <w:rFonts w:ascii="Times New Roman" w:hAnsi="Times New Roman"/>
          <w:szCs w:val="24"/>
          <w:lang w:val="hr-HR"/>
        </w:rPr>
        <w:t>над</w:t>
      </w:r>
      <w:r w:rsidR="0060400D" w:rsidRPr="00295637">
        <w:rPr>
          <w:rFonts w:ascii="Times New Roman" w:hAnsi="Times New Roman"/>
          <w:szCs w:val="24"/>
          <w:lang w:val="hr-HR"/>
        </w:rPr>
        <w:t xml:space="preserve"> </w:t>
      </w:r>
      <w:r>
        <w:rPr>
          <w:rFonts w:ascii="Times New Roman" w:hAnsi="Times New Roman"/>
          <w:szCs w:val="24"/>
          <w:lang w:val="hr-HR"/>
        </w:rPr>
        <w:t>женама</w:t>
      </w:r>
      <w:r w:rsidR="0095258D" w:rsidRPr="00295637">
        <w:rPr>
          <w:rFonts w:ascii="Times New Roman" w:hAnsi="Times New Roman"/>
          <w:szCs w:val="24"/>
          <w:lang w:val="hr-HR"/>
        </w:rPr>
        <w:t>.</w:t>
      </w:r>
      <w:r w:rsidR="007705F5" w:rsidRPr="00295637">
        <w:rPr>
          <w:rFonts w:ascii="Times New Roman" w:hAnsi="Times New Roman"/>
        </w:rPr>
        <w:t xml:space="preserve"> </w:t>
      </w:r>
    </w:p>
    <w:p w:rsidR="0024227B" w:rsidRPr="00295637" w:rsidRDefault="0024227B" w:rsidP="0086268D">
      <w:pPr>
        <w:jc w:val="both"/>
        <w:rPr>
          <w:rFonts w:ascii="Times New Roman" w:hAnsi="Times New Roman"/>
        </w:rPr>
      </w:pPr>
    </w:p>
    <w:p w:rsidR="007705F5" w:rsidRPr="00E778AA" w:rsidRDefault="00701567" w:rsidP="0086268D">
      <w:pPr>
        <w:jc w:val="both"/>
        <w:rPr>
          <w:rFonts w:ascii="Times New Roman" w:hAnsi="Times New Roman"/>
        </w:rPr>
      </w:pPr>
      <w:r>
        <w:rPr>
          <w:rFonts w:ascii="Times New Roman" w:hAnsi="Times New Roman"/>
        </w:rPr>
        <w:t>Такође</w:t>
      </w:r>
      <w:r w:rsidR="007705F5" w:rsidRPr="00E778AA">
        <w:rPr>
          <w:rFonts w:ascii="Times New Roman" w:hAnsi="Times New Roman"/>
        </w:rPr>
        <w:t xml:space="preserve">, </w:t>
      </w:r>
      <w:r w:rsidR="00C6214E">
        <w:rPr>
          <w:rFonts w:ascii="Times New Roman" w:hAnsi="Times New Roman"/>
        </w:rPr>
        <w:t>у</w:t>
      </w:r>
      <w:r w:rsidR="007705F5" w:rsidRPr="00E778AA">
        <w:rPr>
          <w:rFonts w:ascii="Times New Roman" w:hAnsi="Times New Roman"/>
        </w:rPr>
        <w:t xml:space="preserve"> </w:t>
      </w:r>
      <w:r w:rsidR="00C6214E">
        <w:rPr>
          <w:rFonts w:ascii="Times New Roman" w:hAnsi="Times New Roman"/>
        </w:rPr>
        <w:t>октобру</w:t>
      </w:r>
      <w:r w:rsidR="007705F5" w:rsidRPr="00E778AA">
        <w:rPr>
          <w:rFonts w:ascii="Times New Roman" w:hAnsi="Times New Roman"/>
        </w:rPr>
        <w:t xml:space="preserve"> 2024. </w:t>
      </w:r>
      <w:r w:rsidR="00C6214E">
        <w:rPr>
          <w:rFonts w:ascii="Times New Roman" w:hAnsi="Times New Roman"/>
        </w:rPr>
        <w:t>године</w:t>
      </w:r>
      <w:r w:rsidR="007705F5" w:rsidRPr="00E778AA">
        <w:rPr>
          <w:rFonts w:ascii="Times New Roman" w:hAnsi="Times New Roman"/>
        </w:rPr>
        <w:t xml:space="preserve"> </w:t>
      </w:r>
      <w:r w:rsidR="00C6214E">
        <w:rPr>
          <w:rFonts w:ascii="Times New Roman" w:hAnsi="Times New Roman"/>
        </w:rPr>
        <w:t>организ</w:t>
      </w:r>
      <w:r>
        <w:rPr>
          <w:rFonts w:ascii="Times New Roman" w:hAnsi="Times New Roman"/>
          <w:lang w:val="sr-Cyrl-BA"/>
        </w:rPr>
        <w:t>ована</w:t>
      </w:r>
      <w:r w:rsidR="007705F5" w:rsidRPr="00E778AA">
        <w:rPr>
          <w:rFonts w:ascii="Times New Roman" w:hAnsi="Times New Roman"/>
        </w:rPr>
        <w:t xml:space="preserve"> </w:t>
      </w:r>
      <w:r w:rsidR="00C6214E">
        <w:rPr>
          <w:rFonts w:ascii="Times New Roman" w:hAnsi="Times New Roman"/>
        </w:rPr>
        <w:t>је</w:t>
      </w:r>
      <w:r w:rsidR="007705F5" w:rsidRPr="00E778AA">
        <w:rPr>
          <w:rFonts w:ascii="Times New Roman" w:hAnsi="Times New Roman"/>
        </w:rPr>
        <w:t xml:space="preserve"> </w:t>
      </w:r>
      <w:r w:rsidR="00C6214E">
        <w:rPr>
          <w:rFonts w:ascii="Times New Roman" w:hAnsi="Times New Roman"/>
        </w:rPr>
        <w:t>конференција</w:t>
      </w:r>
      <w:r w:rsidR="007705F5" w:rsidRPr="00E778AA">
        <w:rPr>
          <w:rFonts w:ascii="Times New Roman" w:hAnsi="Times New Roman"/>
        </w:rPr>
        <w:t xml:space="preserve"> </w:t>
      </w:r>
      <w:r w:rsidR="00C6214E">
        <w:rPr>
          <w:rFonts w:ascii="Times New Roman" w:hAnsi="Times New Roman"/>
        </w:rPr>
        <w:t>на</w:t>
      </w:r>
      <w:r w:rsidR="007705F5" w:rsidRPr="00E778AA">
        <w:rPr>
          <w:rFonts w:ascii="Times New Roman" w:hAnsi="Times New Roman"/>
        </w:rPr>
        <w:t xml:space="preserve"> </w:t>
      </w:r>
      <w:r w:rsidR="00C6214E">
        <w:rPr>
          <w:rFonts w:ascii="Times New Roman" w:hAnsi="Times New Roman"/>
        </w:rPr>
        <w:t>којој</w:t>
      </w:r>
      <w:r w:rsidR="007705F5" w:rsidRPr="00E778AA">
        <w:rPr>
          <w:rFonts w:ascii="Times New Roman" w:hAnsi="Times New Roman"/>
        </w:rPr>
        <w:t xml:space="preserve"> </w:t>
      </w:r>
      <w:r w:rsidR="00C6214E">
        <w:rPr>
          <w:rFonts w:ascii="Times New Roman" w:hAnsi="Times New Roman"/>
        </w:rPr>
        <w:t>су</w:t>
      </w:r>
      <w:r w:rsidR="007705F5" w:rsidRPr="00E778AA">
        <w:rPr>
          <w:rFonts w:ascii="Times New Roman" w:hAnsi="Times New Roman"/>
        </w:rPr>
        <w:t xml:space="preserve"> </w:t>
      </w:r>
      <w:r w:rsidR="00C6214E">
        <w:rPr>
          <w:rFonts w:ascii="Times New Roman" w:hAnsi="Times New Roman"/>
        </w:rPr>
        <w:t>представљени</w:t>
      </w:r>
      <w:r w:rsidR="007705F5" w:rsidRPr="00E778AA">
        <w:rPr>
          <w:rFonts w:ascii="Times New Roman" w:hAnsi="Times New Roman"/>
        </w:rPr>
        <w:t xml:space="preserve"> </w:t>
      </w:r>
      <w:r w:rsidR="00C6214E">
        <w:rPr>
          <w:rFonts w:ascii="Times New Roman" w:hAnsi="Times New Roman"/>
        </w:rPr>
        <w:t>примјери</w:t>
      </w:r>
      <w:r w:rsidR="007705F5" w:rsidRPr="00E778AA">
        <w:rPr>
          <w:rFonts w:ascii="Times New Roman" w:hAnsi="Times New Roman"/>
        </w:rPr>
        <w:t xml:space="preserve"> </w:t>
      </w:r>
      <w:r w:rsidR="00C6214E">
        <w:rPr>
          <w:rFonts w:ascii="Times New Roman" w:hAnsi="Times New Roman"/>
        </w:rPr>
        <w:t>добрих</w:t>
      </w:r>
      <w:r w:rsidR="007705F5" w:rsidRPr="00E778AA">
        <w:rPr>
          <w:rFonts w:ascii="Times New Roman" w:hAnsi="Times New Roman"/>
        </w:rPr>
        <w:t xml:space="preserve"> </w:t>
      </w:r>
      <w:r w:rsidR="00C6214E">
        <w:rPr>
          <w:rFonts w:ascii="Times New Roman" w:hAnsi="Times New Roman"/>
        </w:rPr>
        <w:t>пракси</w:t>
      </w:r>
      <w:r w:rsidR="007705F5" w:rsidRPr="00E778AA">
        <w:rPr>
          <w:rFonts w:ascii="Times New Roman" w:hAnsi="Times New Roman"/>
        </w:rPr>
        <w:t xml:space="preserve"> </w:t>
      </w:r>
      <w:r w:rsidR="00C6214E">
        <w:rPr>
          <w:rFonts w:ascii="Times New Roman" w:hAnsi="Times New Roman"/>
        </w:rPr>
        <w:t>из</w:t>
      </w:r>
      <w:r w:rsidR="007705F5" w:rsidRPr="00E778AA">
        <w:rPr>
          <w:rFonts w:ascii="Times New Roman" w:hAnsi="Times New Roman"/>
        </w:rPr>
        <w:t xml:space="preserve"> </w:t>
      </w:r>
      <w:r w:rsidR="00C6214E">
        <w:rPr>
          <w:rFonts w:ascii="Times New Roman" w:hAnsi="Times New Roman"/>
        </w:rPr>
        <w:t>различитих</w:t>
      </w:r>
      <w:r w:rsidR="007705F5" w:rsidRPr="00E778AA">
        <w:rPr>
          <w:rFonts w:ascii="Times New Roman" w:hAnsi="Times New Roman"/>
        </w:rPr>
        <w:t xml:space="preserve"> </w:t>
      </w:r>
      <w:r w:rsidR="00C6214E">
        <w:rPr>
          <w:rFonts w:ascii="Times New Roman" w:hAnsi="Times New Roman"/>
        </w:rPr>
        <w:t>земаља</w:t>
      </w:r>
      <w:r w:rsidR="007705F5" w:rsidRPr="00E778AA">
        <w:rPr>
          <w:rFonts w:ascii="Times New Roman" w:hAnsi="Times New Roman"/>
        </w:rPr>
        <w:t xml:space="preserve"> </w:t>
      </w:r>
      <w:r w:rsidR="00C6214E">
        <w:rPr>
          <w:rFonts w:ascii="Times New Roman" w:hAnsi="Times New Roman"/>
        </w:rPr>
        <w:t>чланица</w:t>
      </w:r>
      <w:r w:rsidR="007705F5" w:rsidRPr="00E778AA">
        <w:rPr>
          <w:rFonts w:ascii="Times New Roman" w:hAnsi="Times New Roman"/>
        </w:rPr>
        <w:t xml:space="preserve"> </w:t>
      </w:r>
      <w:r>
        <w:rPr>
          <w:rFonts w:ascii="Times New Roman" w:hAnsi="Times New Roman"/>
          <w:lang w:val="sr-Cyrl-BA"/>
        </w:rPr>
        <w:t>Савјета</w:t>
      </w:r>
      <w:r w:rsidR="007705F5" w:rsidRPr="00E778AA">
        <w:rPr>
          <w:rFonts w:ascii="Times New Roman" w:hAnsi="Times New Roman"/>
        </w:rPr>
        <w:t xml:space="preserve"> </w:t>
      </w:r>
      <w:r w:rsidR="00C6214E">
        <w:rPr>
          <w:rFonts w:ascii="Times New Roman" w:hAnsi="Times New Roman"/>
        </w:rPr>
        <w:t>Европе</w:t>
      </w:r>
      <w:r w:rsidR="00C5568C" w:rsidRPr="00E778AA">
        <w:rPr>
          <w:rFonts w:ascii="Times New Roman" w:hAnsi="Times New Roman"/>
        </w:rPr>
        <w:t xml:space="preserve"> </w:t>
      </w:r>
      <w:r w:rsidR="00C6214E">
        <w:rPr>
          <w:rFonts w:ascii="Times New Roman" w:hAnsi="Times New Roman"/>
          <w:szCs w:val="24"/>
        </w:rPr>
        <w:t>и</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размијењена</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искуства</w:t>
      </w:r>
      <w:r w:rsidR="00E778AA"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у</w:t>
      </w:r>
      <w:r w:rsidR="00E778AA"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вези</w:t>
      </w:r>
      <w:r w:rsidR="00E778AA"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са</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увођењем</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правне</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дефиниције</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сексуалног</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насиља</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засноване</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на</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одсуству</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слободно</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датог</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пристанка</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у</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кривичном</w:t>
      </w:r>
      <w:r w:rsidR="00C5568C"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законодавству</w:t>
      </w:r>
      <w:r w:rsidR="00C5568C" w:rsidRPr="00E778AA">
        <w:rPr>
          <w:rFonts w:ascii="Times New Roman" w:hAnsi="Times New Roman"/>
          <w:szCs w:val="24"/>
          <w:shd w:val="clear" w:color="auto" w:fill="FFFFFF"/>
        </w:rPr>
        <w:t>.</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Истакнута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је</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важност</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потпуне</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интеграције</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појма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одсуства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слободно</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датог</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пристанка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у</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правну</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дефиницију</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силовања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и</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других</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облика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сексуалног</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насиља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наглашавајући</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потенцијал</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ове</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правне</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реформе</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за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побољшање</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ефикасности</w:t>
      </w:r>
      <w:r w:rsidR="00AD673D" w:rsidRPr="00E778AA">
        <w:rPr>
          <w:rFonts w:ascii="Times New Roman" w:hAnsi="Times New Roman"/>
          <w:szCs w:val="24"/>
          <w:shd w:val="clear" w:color="auto" w:fill="FFFFFF"/>
        </w:rPr>
        <w:t xml:space="preserve"> </w:t>
      </w:r>
      <w:r>
        <w:rPr>
          <w:rFonts w:ascii="Times New Roman" w:hAnsi="Times New Roman"/>
          <w:szCs w:val="24"/>
          <w:shd w:val="clear" w:color="auto" w:fill="FFFFFF"/>
          <w:lang w:val="sr-Cyrl-BA"/>
        </w:rPr>
        <w:t>спровођења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закона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и</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правосудних</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одговора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на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таква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дјела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Очекује</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се</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да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ће</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ова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промјена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повећати</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број</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пријава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и</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осуђујућих</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пресуда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за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дјела</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сексуалног</w:t>
      </w:r>
      <w:r w:rsidR="00AD673D" w:rsidRPr="00E778AA">
        <w:rPr>
          <w:rFonts w:ascii="Times New Roman" w:hAnsi="Times New Roman"/>
          <w:szCs w:val="24"/>
          <w:shd w:val="clear" w:color="auto" w:fill="FFFFFF"/>
        </w:rPr>
        <w:t xml:space="preserve"> </w:t>
      </w:r>
      <w:r w:rsidR="00C6214E">
        <w:rPr>
          <w:rFonts w:ascii="Times New Roman" w:hAnsi="Times New Roman"/>
          <w:szCs w:val="24"/>
          <w:shd w:val="clear" w:color="auto" w:fill="FFFFFF"/>
        </w:rPr>
        <w:t>насиља</w:t>
      </w:r>
      <w:r w:rsidR="00AD673D" w:rsidRPr="00E778AA">
        <w:rPr>
          <w:rFonts w:cs="Arial"/>
          <w:szCs w:val="24"/>
          <w:shd w:val="clear" w:color="auto" w:fill="FFFFFF"/>
        </w:rPr>
        <w:t>.</w:t>
      </w:r>
    </w:p>
    <w:p w:rsidR="0060400D" w:rsidRPr="00295637" w:rsidRDefault="0060400D" w:rsidP="0086268D">
      <w:pPr>
        <w:ind w:left="576"/>
        <w:jc w:val="both"/>
        <w:rPr>
          <w:rFonts w:ascii="Times New Roman" w:hAnsi="Times New Roman"/>
          <w:szCs w:val="24"/>
          <w:lang w:val="hr-HR"/>
        </w:rPr>
      </w:pPr>
    </w:p>
    <w:p w:rsidR="00D41A15" w:rsidRPr="00295637" w:rsidRDefault="00C6214E" w:rsidP="0086268D">
      <w:pPr>
        <w:jc w:val="both"/>
        <w:rPr>
          <w:rFonts w:ascii="Times New Roman" w:hAnsi="Times New Roman"/>
          <w:szCs w:val="24"/>
          <w:lang w:val="bs-Latn-BA"/>
        </w:rPr>
      </w:pPr>
      <w:r>
        <w:rPr>
          <w:rFonts w:ascii="Times New Roman" w:hAnsi="Times New Roman"/>
          <w:szCs w:val="24"/>
          <w:lang w:val="bs-Latn-BA"/>
        </w:rPr>
        <w:t>Промови</w:t>
      </w:r>
      <w:r w:rsidR="00701567">
        <w:rPr>
          <w:rFonts w:ascii="Times New Roman" w:hAnsi="Times New Roman"/>
          <w:szCs w:val="24"/>
          <w:lang w:val="sr-Cyrl-BA"/>
        </w:rPr>
        <w:t>с</w:t>
      </w:r>
      <w:r>
        <w:rPr>
          <w:rFonts w:ascii="Times New Roman" w:hAnsi="Times New Roman"/>
          <w:szCs w:val="24"/>
          <w:lang w:val="bs-Latn-BA"/>
        </w:rPr>
        <w:t>ана</w:t>
      </w:r>
      <w:r w:rsidR="00D41A15" w:rsidRPr="00295637">
        <w:rPr>
          <w:rFonts w:ascii="Times New Roman" w:hAnsi="Times New Roman"/>
          <w:szCs w:val="24"/>
          <w:lang w:val="bs-Latn-BA"/>
        </w:rPr>
        <w:t xml:space="preserve"> </w:t>
      </w:r>
      <w:r>
        <w:rPr>
          <w:rFonts w:ascii="Times New Roman" w:hAnsi="Times New Roman"/>
          <w:szCs w:val="24"/>
          <w:lang w:val="bs-Latn-BA"/>
        </w:rPr>
        <w:t>је</w:t>
      </w:r>
      <w:r w:rsidR="00B40255" w:rsidRPr="00295637">
        <w:rPr>
          <w:rFonts w:ascii="Times New Roman" w:hAnsi="Times New Roman"/>
          <w:szCs w:val="24"/>
          <w:lang w:val="bs-Latn-BA"/>
        </w:rPr>
        <w:t xml:space="preserve"> </w:t>
      </w:r>
      <w:r>
        <w:rPr>
          <w:rFonts w:ascii="Times New Roman" w:hAnsi="Times New Roman"/>
          <w:szCs w:val="24"/>
          <w:lang w:val="bs-Latn-BA"/>
        </w:rPr>
        <w:t>Студија</w:t>
      </w:r>
      <w:r w:rsidR="00D41A15" w:rsidRPr="00295637">
        <w:rPr>
          <w:rFonts w:ascii="Times New Roman" w:hAnsi="Times New Roman"/>
          <w:szCs w:val="24"/>
          <w:lang w:val="bs-Latn-BA"/>
        </w:rPr>
        <w:t xml:space="preserve"> „</w:t>
      </w:r>
      <w:r>
        <w:rPr>
          <w:rFonts w:ascii="Times New Roman" w:hAnsi="Times New Roman"/>
          <w:bCs/>
          <w:szCs w:val="24"/>
          <w:lang w:val="bs-Latn-BA"/>
        </w:rPr>
        <w:t>Насиље</w:t>
      </w:r>
      <w:r w:rsidR="00D41A15" w:rsidRPr="00295637">
        <w:rPr>
          <w:rFonts w:ascii="Times New Roman" w:hAnsi="Times New Roman"/>
          <w:bCs/>
          <w:szCs w:val="24"/>
          <w:lang w:val="bs-Latn-BA"/>
        </w:rPr>
        <w:t xml:space="preserve"> </w:t>
      </w:r>
      <w:r>
        <w:rPr>
          <w:rFonts w:ascii="Times New Roman" w:hAnsi="Times New Roman"/>
          <w:bCs/>
          <w:szCs w:val="24"/>
          <w:lang w:val="bs-Latn-BA"/>
        </w:rPr>
        <w:t>у</w:t>
      </w:r>
      <w:r w:rsidR="00D41A15" w:rsidRPr="00295637">
        <w:rPr>
          <w:rFonts w:ascii="Times New Roman" w:hAnsi="Times New Roman"/>
          <w:bCs/>
          <w:szCs w:val="24"/>
          <w:lang w:val="bs-Latn-BA"/>
        </w:rPr>
        <w:t xml:space="preserve"> </w:t>
      </w:r>
      <w:r>
        <w:rPr>
          <w:rFonts w:ascii="Times New Roman" w:hAnsi="Times New Roman"/>
          <w:bCs/>
          <w:szCs w:val="24"/>
          <w:lang w:val="bs-Latn-BA"/>
        </w:rPr>
        <w:t>породици</w:t>
      </w:r>
      <w:r w:rsidR="00D41A15" w:rsidRPr="00295637">
        <w:rPr>
          <w:rFonts w:ascii="Times New Roman" w:hAnsi="Times New Roman"/>
          <w:bCs/>
          <w:szCs w:val="24"/>
          <w:lang w:val="bs-Latn-BA"/>
        </w:rPr>
        <w:t xml:space="preserve"> </w:t>
      </w:r>
      <w:r>
        <w:rPr>
          <w:rFonts w:ascii="Times New Roman" w:hAnsi="Times New Roman"/>
          <w:bCs/>
          <w:szCs w:val="24"/>
          <w:lang w:val="bs-Latn-BA"/>
        </w:rPr>
        <w:t>и</w:t>
      </w:r>
      <w:r w:rsidR="00D41A15" w:rsidRPr="00295637">
        <w:rPr>
          <w:rFonts w:ascii="Times New Roman" w:hAnsi="Times New Roman"/>
          <w:bCs/>
          <w:szCs w:val="24"/>
          <w:lang w:val="bs-Latn-BA"/>
        </w:rPr>
        <w:t xml:space="preserve"> </w:t>
      </w:r>
      <w:r>
        <w:rPr>
          <w:rFonts w:ascii="Times New Roman" w:hAnsi="Times New Roman"/>
          <w:bCs/>
          <w:szCs w:val="24"/>
          <w:lang w:val="bs-Latn-BA"/>
        </w:rPr>
        <w:t>родно</w:t>
      </w:r>
      <w:r w:rsidR="00D41A15" w:rsidRPr="00295637">
        <w:rPr>
          <w:rFonts w:ascii="Times New Roman" w:hAnsi="Times New Roman"/>
          <w:bCs/>
          <w:szCs w:val="24"/>
          <w:lang w:val="bs-Latn-BA"/>
        </w:rPr>
        <w:t xml:space="preserve"> </w:t>
      </w:r>
      <w:r>
        <w:rPr>
          <w:rFonts w:ascii="Times New Roman" w:hAnsi="Times New Roman"/>
          <w:bCs/>
          <w:szCs w:val="24"/>
          <w:lang w:val="bs-Latn-BA"/>
        </w:rPr>
        <w:t>засновано</w:t>
      </w:r>
      <w:r w:rsidR="00D41A15" w:rsidRPr="00295637">
        <w:rPr>
          <w:rFonts w:ascii="Times New Roman" w:hAnsi="Times New Roman"/>
          <w:bCs/>
          <w:szCs w:val="24"/>
          <w:lang w:val="bs-Latn-BA"/>
        </w:rPr>
        <w:t xml:space="preserve"> </w:t>
      </w:r>
      <w:r>
        <w:rPr>
          <w:rFonts w:ascii="Times New Roman" w:hAnsi="Times New Roman"/>
          <w:bCs/>
          <w:szCs w:val="24"/>
          <w:lang w:val="bs-Latn-BA"/>
        </w:rPr>
        <w:t>насиље</w:t>
      </w:r>
      <w:r w:rsidR="00D41A15" w:rsidRPr="00295637">
        <w:rPr>
          <w:rFonts w:ascii="Times New Roman" w:hAnsi="Times New Roman"/>
          <w:bCs/>
          <w:szCs w:val="24"/>
          <w:lang w:val="bs-Latn-BA"/>
        </w:rPr>
        <w:t xml:space="preserve"> </w:t>
      </w:r>
      <w:r>
        <w:rPr>
          <w:rFonts w:ascii="Times New Roman" w:hAnsi="Times New Roman"/>
          <w:bCs/>
          <w:szCs w:val="24"/>
          <w:lang w:val="bs-Latn-BA"/>
        </w:rPr>
        <w:t>у</w:t>
      </w:r>
      <w:r w:rsidR="00D41A15" w:rsidRPr="00295637">
        <w:rPr>
          <w:rFonts w:ascii="Times New Roman" w:hAnsi="Times New Roman"/>
          <w:bCs/>
          <w:szCs w:val="24"/>
          <w:lang w:val="bs-Latn-BA"/>
        </w:rPr>
        <w:t xml:space="preserve"> </w:t>
      </w:r>
      <w:r>
        <w:rPr>
          <w:rFonts w:ascii="Times New Roman" w:hAnsi="Times New Roman"/>
          <w:bCs/>
          <w:szCs w:val="24"/>
          <w:lang w:val="bs-Latn-BA"/>
        </w:rPr>
        <w:t>високом</w:t>
      </w:r>
      <w:r w:rsidR="00D41A15" w:rsidRPr="00295637">
        <w:rPr>
          <w:rFonts w:ascii="Times New Roman" w:hAnsi="Times New Roman"/>
          <w:bCs/>
          <w:szCs w:val="24"/>
          <w:lang w:val="bs-Latn-BA"/>
        </w:rPr>
        <w:t xml:space="preserve"> </w:t>
      </w:r>
      <w:r>
        <w:rPr>
          <w:rFonts w:ascii="Times New Roman" w:hAnsi="Times New Roman"/>
          <w:bCs/>
          <w:szCs w:val="24"/>
          <w:lang w:val="bs-Latn-BA"/>
        </w:rPr>
        <w:t>образовању</w:t>
      </w:r>
      <w:r w:rsidR="00D41A15" w:rsidRPr="00295637">
        <w:rPr>
          <w:rFonts w:ascii="Times New Roman" w:hAnsi="Times New Roman"/>
          <w:bCs/>
          <w:szCs w:val="24"/>
          <w:lang w:val="bs-Latn-BA"/>
        </w:rPr>
        <w:t xml:space="preserve">: </w:t>
      </w:r>
      <w:r>
        <w:rPr>
          <w:rFonts w:ascii="Times New Roman" w:hAnsi="Times New Roman"/>
          <w:bCs/>
          <w:szCs w:val="24"/>
          <w:lang w:val="bs-Latn-BA"/>
        </w:rPr>
        <w:t>између</w:t>
      </w:r>
      <w:r w:rsidR="00D41A15" w:rsidRPr="00295637">
        <w:rPr>
          <w:rFonts w:ascii="Times New Roman" w:hAnsi="Times New Roman"/>
          <w:bCs/>
          <w:szCs w:val="24"/>
          <w:lang w:val="bs-Latn-BA"/>
        </w:rPr>
        <w:t xml:space="preserve"> </w:t>
      </w:r>
      <w:r>
        <w:rPr>
          <w:rFonts w:ascii="Times New Roman" w:hAnsi="Times New Roman"/>
          <w:bCs/>
          <w:szCs w:val="24"/>
          <w:lang w:val="bs-Latn-BA"/>
        </w:rPr>
        <w:t>теорије</w:t>
      </w:r>
      <w:r w:rsidR="00D41A15" w:rsidRPr="00295637">
        <w:rPr>
          <w:rFonts w:ascii="Times New Roman" w:hAnsi="Times New Roman"/>
          <w:bCs/>
          <w:szCs w:val="24"/>
          <w:lang w:val="bs-Latn-BA"/>
        </w:rPr>
        <w:t xml:space="preserve"> </w:t>
      </w:r>
      <w:r>
        <w:rPr>
          <w:rFonts w:ascii="Times New Roman" w:hAnsi="Times New Roman"/>
          <w:bCs/>
          <w:szCs w:val="24"/>
          <w:lang w:val="bs-Latn-BA"/>
        </w:rPr>
        <w:t>и</w:t>
      </w:r>
      <w:r w:rsidR="00D41A15" w:rsidRPr="00295637">
        <w:rPr>
          <w:rFonts w:ascii="Times New Roman" w:hAnsi="Times New Roman"/>
          <w:bCs/>
          <w:szCs w:val="24"/>
          <w:lang w:val="bs-Latn-BA"/>
        </w:rPr>
        <w:t xml:space="preserve"> </w:t>
      </w:r>
      <w:r>
        <w:rPr>
          <w:rFonts w:ascii="Times New Roman" w:hAnsi="Times New Roman"/>
          <w:bCs/>
          <w:szCs w:val="24"/>
          <w:lang w:val="bs-Latn-BA"/>
        </w:rPr>
        <w:t>праксе</w:t>
      </w:r>
      <w:r w:rsidR="00D41A15" w:rsidRPr="00295637">
        <w:rPr>
          <w:rFonts w:ascii="Times New Roman" w:hAnsi="Times New Roman"/>
          <w:szCs w:val="24"/>
          <w:lang w:val="bs-Latn-BA"/>
        </w:rPr>
        <w:t xml:space="preserve">“, </w:t>
      </w:r>
      <w:r>
        <w:rPr>
          <w:rFonts w:ascii="Times New Roman" w:hAnsi="Times New Roman"/>
          <w:szCs w:val="24"/>
          <w:lang w:val="bs-Latn-BA"/>
        </w:rPr>
        <w:t>у</w:t>
      </w:r>
      <w:r w:rsidR="00D41A15" w:rsidRPr="00295637">
        <w:rPr>
          <w:rFonts w:ascii="Times New Roman" w:hAnsi="Times New Roman"/>
          <w:szCs w:val="24"/>
          <w:lang w:val="bs-Latn-BA"/>
        </w:rPr>
        <w:t xml:space="preserve"> </w:t>
      </w:r>
      <w:r>
        <w:rPr>
          <w:rFonts w:ascii="Times New Roman" w:hAnsi="Times New Roman"/>
          <w:szCs w:val="24"/>
          <w:lang w:val="bs-Latn-BA"/>
        </w:rPr>
        <w:t>реализацији</w:t>
      </w:r>
      <w:r w:rsidR="00D41A15" w:rsidRPr="00295637">
        <w:rPr>
          <w:rFonts w:ascii="Times New Roman" w:hAnsi="Times New Roman"/>
          <w:szCs w:val="24"/>
          <w:lang w:val="bs-Latn-BA"/>
        </w:rPr>
        <w:t xml:space="preserve"> </w:t>
      </w:r>
      <w:r>
        <w:rPr>
          <w:rFonts w:ascii="Times New Roman" w:hAnsi="Times New Roman"/>
          <w:szCs w:val="24"/>
          <w:lang w:val="bs-Latn-BA"/>
        </w:rPr>
        <w:t>Факултета</w:t>
      </w:r>
      <w:r w:rsidR="00D41A15" w:rsidRPr="00295637">
        <w:rPr>
          <w:rFonts w:ascii="Times New Roman" w:hAnsi="Times New Roman"/>
          <w:szCs w:val="24"/>
          <w:lang w:val="bs-Latn-BA"/>
        </w:rPr>
        <w:t xml:space="preserve"> </w:t>
      </w:r>
      <w:r>
        <w:rPr>
          <w:rFonts w:ascii="Times New Roman" w:hAnsi="Times New Roman"/>
          <w:szCs w:val="24"/>
          <w:lang w:val="bs-Latn-BA"/>
        </w:rPr>
        <w:t>политичких</w:t>
      </w:r>
      <w:r w:rsidR="00D41A15" w:rsidRPr="00295637">
        <w:rPr>
          <w:rFonts w:ascii="Times New Roman" w:hAnsi="Times New Roman"/>
          <w:szCs w:val="24"/>
          <w:lang w:val="bs-Latn-BA"/>
        </w:rPr>
        <w:t xml:space="preserve"> </w:t>
      </w:r>
      <w:r>
        <w:rPr>
          <w:rFonts w:ascii="Times New Roman" w:hAnsi="Times New Roman"/>
          <w:szCs w:val="24"/>
          <w:lang w:val="bs-Latn-BA"/>
        </w:rPr>
        <w:t>наука</w:t>
      </w:r>
      <w:r w:rsidR="00D41A15" w:rsidRPr="00295637">
        <w:rPr>
          <w:rFonts w:ascii="Times New Roman" w:hAnsi="Times New Roman"/>
          <w:szCs w:val="24"/>
          <w:lang w:val="bs-Latn-BA"/>
        </w:rPr>
        <w:t xml:space="preserve"> </w:t>
      </w:r>
      <w:r>
        <w:rPr>
          <w:rFonts w:ascii="Times New Roman" w:hAnsi="Times New Roman"/>
          <w:szCs w:val="24"/>
          <w:lang w:val="bs-Latn-BA"/>
        </w:rPr>
        <w:t>УНСА</w:t>
      </w:r>
      <w:r w:rsidR="00D41A15" w:rsidRPr="00295637">
        <w:rPr>
          <w:rFonts w:ascii="Times New Roman" w:hAnsi="Times New Roman"/>
          <w:szCs w:val="24"/>
          <w:lang w:val="bs-Latn-BA"/>
        </w:rPr>
        <w:t xml:space="preserve"> – </w:t>
      </w:r>
      <w:r>
        <w:rPr>
          <w:rFonts w:ascii="Times New Roman" w:hAnsi="Times New Roman"/>
          <w:szCs w:val="24"/>
          <w:lang w:val="bs-Latn-BA"/>
        </w:rPr>
        <w:t>Института</w:t>
      </w:r>
      <w:r w:rsidR="00D41A15" w:rsidRPr="00295637">
        <w:rPr>
          <w:rFonts w:ascii="Times New Roman" w:hAnsi="Times New Roman"/>
          <w:szCs w:val="24"/>
          <w:lang w:val="bs-Latn-BA"/>
        </w:rPr>
        <w:t xml:space="preserve"> </w:t>
      </w:r>
      <w:r>
        <w:rPr>
          <w:rFonts w:ascii="Times New Roman" w:hAnsi="Times New Roman"/>
          <w:szCs w:val="24"/>
          <w:lang w:val="bs-Latn-BA"/>
        </w:rPr>
        <w:t>за</w:t>
      </w:r>
      <w:r w:rsidR="00D41A15" w:rsidRPr="00295637">
        <w:rPr>
          <w:rFonts w:ascii="Times New Roman" w:hAnsi="Times New Roman"/>
          <w:szCs w:val="24"/>
          <w:lang w:val="bs-Latn-BA"/>
        </w:rPr>
        <w:t xml:space="preserve"> </w:t>
      </w:r>
      <w:r>
        <w:rPr>
          <w:rFonts w:ascii="Times New Roman" w:hAnsi="Times New Roman"/>
          <w:szCs w:val="24"/>
          <w:lang w:val="bs-Latn-BA"/>
        </w:rPr>
        <w:t>друштвена</w:t>
      </w:r>
      <w:r w:rsidR="00D41A15" w:rsidRPr="00295637">
        <w:rPr>
          <w:rFonts w:ascii="Times New Roman" w:hAnsi="Times New Roman"/>
          <w:szCs w:val="24"/>
          <w:lang w:val="bs-Latn-BA"/>
        </w:rPr>
        <w:t xml:space="preserve"> </w:t>
      </w:r>
      <w:r>
        <w:rPr>
          <w:rFonts w:ascii="Times New Roman" w:hAnsi="Times New Roman"/>
          <w:szCs w:val="24"/>
          <w:lang w:val="bs-Latn-BA"/>
        </w:rPr>
        <w:t>истраживања</w:t>
      </w:r>
      <w:r w:rsidR="00D41A15" w:rsidRPr="00295637">
        <w:rPr>
          <w:rFonts w:ascii="Times New Roman" w:hAnsi="Times New Roman"/>
          <w:szCs w:val="24"/>
          <w:lang w:val="bs-Latn-BA"/>
        </w:rPr>
        <w:t xml:space="preserve"> </w:t>
      </w:r>
      <w:r>
        <w:rPr>
          <w:rFonts w:ascii="Times New Roman" w:hAnsi="Times New Roman"/>
          <w:szCs w:val="24"/>
          <w:lang w:val="bs-Latn-BA"/>
        </w:rPr>
        <w:t>и</w:t>
      </w:r>
      <w:r w:rsidR="00D41A15" w:rsidRPr="00295637">
        <w:rPr>
          <w:rFonts w:ascii="Times New Roman" w:hAnsi="Times New Roman"/>
          <w:szCs w:val="24"/>
          <w:lang w:val="bs-Latn-BA"/>
        </w:rPr>
        <w:t xml:space="preserve"> </w:t>
      </w:r>
      <w:r>
        <w:rPr>
          <w:rFonts w:ascii="Times New Roman" w:hAnsi="Times New Roman"/>
          <w:szCs w:val="24"/>
          <w:lang w:val="bs-Latn-BA"/>
        </w:rPr>
        <w:t>које</w:t>
      </w:r>
      <w:r w:rsidR="00D41A15" w:rsidRPr="00295637">
        <w:rPr>
          <w:rFonts w:ascii="Times New Roman" w:hAnsi="Times New Roman"/>
          <w:szCs w:val="24"/>
          <w:lang w:val="bs-Latn-BA"/>
        </w:rPr>
        <w:t xml:space="preserve"> </w:t>
      </w:r>
      <w:r>
        <w:rPr>
          <w:rFonts w:ascii="Times New Roman" w:hAnsi="Times New Roman"/>
          <w:szCs w:val="24"/>
          <w:lang w:val="bs-Latn-BA"/>
        </w:rPr>
        <w:t>је</w:t>
      </w:r>
      <w:r w:rsidR="00D41A15" w:rsidRPr="00295637">
        <w:rPr>
          <w:rFonts w:ascii="Times New Roman" w:hAnsi="Times New Roman"/>
          <w:szCs w:val="24"/>
          <w:lang w:val="bs-Latn-BA"/>
        </w:rPr>
        <w:t xml:space="preserve"> </w:t>
      </w:r>
      <w:r>
        <w:rPr>
          <w:rFonts w:ascii="Times New Roman" w:hAnsi="Times New Roman"/>
          <w:szCs w:val="24"/>
          <w:lang w:val="bs-Latn-BA"/>
        </w:rPr>
        <w:t>подржано</w:t>
      </w:r>
      <w:r w:rsidR="00D41A15" w:rsidRPr="00295637">
        <w:rPr>
          <w:rFonts w:ascii="Times New Roman" w:hAnsi="Times New Roman"/>
          <w:szCs w:val="24"/>
          <w:lang w:val="bs-Latn-BA"/>
        </w:rPr>
        <w:t xml:space="preserve"> </w:t>
      </w:r>
      <w:r>
        <w:rPr>
          <w:rFonts w:ascii="Times New Roman" w:hAnsi="Times New Roman"/>
          <w:szCs w:val="24"/>
          <w:lang w:val="bs-Latn-BA"/>
        </w:rPr>
        <w:t>од</w:t>
      </w:r>
      <w:r w:rsidR="00D41A15" w:rsidRPr="00295637">
        <w:rPr>
          <w:rFonts w:ascii="Times New Roman" w:hAnsi="Times New Roman"/>
          <w:szCs w:val="24"/>
          <w:lang w:val="bs-Latn-BA"/>
        </w:rPr>
        <w:t xml:space="preserve"> </w:t>
      </w:r>
      <w:r>
        <w:rPr>
          <w:rFonts w:ascii="Times New Roman" w:hAnsi="Times New Roman"/>
          <w:szCs w:val="24"/>
          <w:lang w:val="bs-Latn-BA"/>
        </w:rPr>
        <w:t>стране</w:t>
      </w:r>
      <w:r w:rsidR="00D41A15" w:rsidRPr="00295637">
        <w:rPr>
          <w:rFonts w:ascii="Times New Roman" w:hAnsi="Times New Roman"/>
          <w:szCs w:val="24"/>
          <w:lang w:val="bs-Latn-BA"/>
        </w:rPr>
        <w:t xml:space="preserve"> </w:t>
      </w:r>
      <w:r>
        <w:rPr>
          <w:rFonts w:ascii="Times New Roman" w:hAnsi="Times New Roman"/>
          <w:szCs w:val="24"/>
          <w:lang w:val="bs-Latn-BA"/>
        </w:rPr>
        <w:t>ГЦ</w:t>
      </w:r>
      <w:r w:rsidR="001B4958" w:rsidRPr="00295637">
        <w:rPr>
          <w:rFonts w:ascii="Times New Roman" w:hAnsi="Times New Roman"/>
          <w:szCs w:val="24"/>
          <w:lang w:val="bs-Latn-BA"/>
        </w:rPr>
        <w:t xml:space="preserve"> </w:t>
      </w:r>
      <w:r>
        <w:rPr>
          <w:rFonts w:ascii="Times New Roman" w:hAnsi="Times New Roman"/>
          <w:szCs w:val="24"/>
          <w:lang w:val="bs-Latn-BA"/>
        </w:rPr>
        <w:t>ФБиХ</w:t>
      </w:r>
      <w:r w:rsidR="00D41A15" w:rsidRPr="00295637">
        <w:rPr>
          <w:rFonts w:ascii="Times New Roman" w:hAnsi="Times New Roman"/>
          <w:szCs w:val="24"/>
          <w:lang w:val="bs-Latn-BA"/>
        </w:rPr>
        <w:t xml:space="preserve"> </w:t>
      </w:r>
      <w:r>
        <w:rPr>
          <w:rFonts w:ascii="Times New Roman" w:hAnsi="Times New Roman"/>
          <w:szCs w:val="24"/>
          <w:lang w:val="bs-Latn-BA"/>
        </w:rPr>
        <w:t>у</w:t>
      </w:r>
      <w:r w:rsidR="00B40255" w:rsidRPr="00295637">
        <w:rPr>
          <w:rFonts w:ascii="Times New Roman" w:hAnsi="Times New Roman"/>
          <w:szCs w:val="24"/>
          <w:lang w:val="bs-Latn-BA"/>
        </w:rPr>
        <w:t xml:space="preserve"> </w:t>
      </w:r>
      <w:r>
        <w:rPr>
          <w:rFonts w:ascii="Times New Roman" w:hAnsi="Times New Roman"/>
          <w:szCs w:val="24"/>
          <w:lang w:val="bs-Latn-BA"/>
        </w:rPr>
        <w:t>оквиру</w:t>
      </w:r>
      <w:r w:rsidR="00D41A15" w:rsidRPr="00295637">
        <w:rPr>
          <w:rFonts w:ascii="Times New Roman" w:hAnsi="Times New Roman"/>
          <w:szCs w:val="24"/>
          <w:lang w:val="bs-Latn-BA"/>
        </w:rPr>
        <w:t xml:space="preserve"> </w:t>
      </w:r>
      <w:r>
        <w:rPr>
          <w:rFonts w:ascii="Times New Roman" w:hAnsi="Times New Roman"/>
          <w:szCs w:val="24"/>
          <w:lang w:val="bs-Latn-BA"/>
        </w:rPr>
        <w:t>ФИГАП</w:t>
      </w:r>
      <w:r w:rsidR="00D41A15" w:rsidRPr="00295637">
        <w:rPr>
          <w:rFonts w:ascii="Times New Roman" w:hAnsi="Times New Roman"/>
          <w:szCs w:val="24"/>
          <w:lang w:val="bs-Latn-BA"/>
        </w:rPr>
        <w:t xml:space="preserve"> </w:t>
      </w:r>
      <w:r>
        <w:rPr>
          <w:rFonts w:ascii="Times New Roman" w:hAnsi="Times New Roman"/>
          <w:szCs w:val="24"/>
          <w:lang w:val="bs-Latn-BA"/>
        </w:rPr>
        <w:t>програма</w:t>
      </w:r>
      <w:r w:rsidR="00D41A15" w:rsidRPr="00295637">
        <w:rPr>
          <w:rFonts w:ascii="Times New Roman" w:hAnsi="Times New Roman"/>
          <w:szCs w:val="24"/>
          <w:lang w:val="bs-Latn-BA"/>
        </w:rPr>
        <w:t xml:space="preserve">. </w:t>
      </w:r>
      <w:r>
        <w:rPr>
          <w:rFonts w:ascii="Times New Roman" w:hAnsi="Times New Roman"/>
          <w:szCs w:val="24"/>
          <w:lang w:val="bs-Latn-BA"/>
        </w:rPr>
        <w:t>Студија</w:t>
      </w:r>
      <w:r w:rsidR="00D41A15" w:rsidRPr="00295637">
        <w:rPr>
          <w:rFonts w:ascii="Times New Roman" w:hAnsi="Times New Roman"/>
          <w:szCs w:val="24"/>
          <w:lang w:val="bs-Latn-BA"/>
        </w:rPr>
        <w:t xml:space="preserve"> </w:t>
      </w:r>
      <w:r>
        <w:rPr>
          <w:rFonts w:ascii="Times New Roman" w:hAnsi="Times New Roman"/>
          <w:szCs w:val="24"/>
          <w:lang w:val="bs-Latn-BA"/>
        </w:rPr>
        <w:t>даје</w:t>
      </w:r>
      <w:r w:rsidR="00D41A15" w:rsidRPr="00295637">
        <w:rPr>
          <w:rFonts w:ascii="Times New Roman" w:hAnsi="Times New Roman"/>
          <w:szCs w:val="24"/>
          <w:lang w:val="bs-Latn-BA"/>
        </w:rPr>
        <w:t xml:space="preserve"> </w:t>
      </w:r>
      <w:r>
        <w:rPr>
          <w:rFonts w:ascii="Times New Roman" w:hAnsi="Times New Roman"/>
          <w:szCs w:val="24"/>
          <w:lang w:val="bs-Latn-BA"/>
        </w:rPr>
        <w:t>увид</w:t>
      </w:r>
      <w:r w:rsidR="00D41A15" w:rsidRPr="00295637">
        <w:rPr>
          <w:rFonts w:ascii="Times New Roman" w:hAnsi="Times New Roman"/>
          <w:szCs w:val="24"/>
          <w:lang w:val="bs-Latn-BA"/>
        </w:rPr>
        <w:t xml:space="preserve"> </w:t>
      </w:r>
      <w:r>
        <w:rPr>
          <w:rFonts w:ascii="Times New Roman" w:hAnsi="Times New Roman"/>
          <w:szCs w:val="24"/>
          <w:lang w:val="bs-Latn-BA"/>
        </w:rPr>
        <w:t>у</w:t>
      </w:r>
      <w:r w:rsidR="00D41A15" w:rsidRPr="00295637">
        <w:rPr>
          <w:rFonts w:ascii="Times New Roman" w:hAnsi="Times New Roman"/>
          <w:szCs w:val="24"/>
          <w:lang w:val="bs-Latn-BA"/>
        </w:rPr>
        <w:t xml:space="preserve"> </w:t>
      </w:r>
      <w:r>
        <w:rPr>
          <w:rFonts w:ascii="Times New Roman" w:hAnsi="Times New Roman"/>
          <w:szCs w:val="24"/>
          <w:lang w:val="bs-Latn-BA"/>
        </w:rPr>
        <w:t>садржаје</w:t>
      </w:r>
      <w:r w:rsidR="00D41A15" w:rsidRPr="00295637">
        <w:rPr>
          <w:rFonts w:ascii="Times New Roman" w:hAnsi="Times New Roman"/>
          <w:szCs w:val="24"/>
          <w:lang w:val="bs-Latn-BA"/>
        </w:rPr>
        <w:t xml:space="preserve"> </w:t>
      </w:r>
      <w:r>
        <w:rPr>
          <w:rFonts w:ascii="Times New Roman" w:hAnsi="Times New Roman"/>
          <w:szCs w:val="24"/>
          <w:lang w:val="bs-Latn-BA"/>
        </w:rPr>
        <w:t>наставних</w:t>
      </w:r>
      <w:r w:rsidR="00D41A15" w:rsidRPr="00295637">
        <w:rPr>
          <w:rFonts w:ascii="Times New Roman" w:hAnsi="Times New Roman"/>
          <w:szCs w:val="24"/>
          <w:lang w:val="bs-Latn-BA"/>
        </w:rPr>
        <w:t xml:space="preserve"> </w:t>
      </w:r>
      <w:r>
        <w:rPr>
          <w:rFonts w:ascii="Times New Roman" w:hAnsi="Times New Roman"/>
          <w:szCs w:val="24"/>
          <w:lang w:val="bs-Latn-BA"/>
        </w:rPr>
        <w:t>планова</w:t>
      </w:r>
      <w:r w:rsidR="00D41A15" w:rsidRPr="00295637">
        <w:rPr>
          <w:rFonts w:ascii="Times New Roman" w:hAnsi="Times New Roman"/>
          <w:szCs w:val="24"/>
          <w:lang w:val="bs-Latn-BA"/>
        </w:rPr>
        <w:t xml:space="preserve"> </w:t>
      </w:r>
      <w:r>
        <w:rPr>
          <w:rFonts w:ascii="Times New Roman" w:hAnsi="Times New Roman"/>
          <w:szCs w:val="24"/>
          <w:lang w:val="bs-Latn-BA"/>
        </w:rPr>
        <w:t>и</w:t>
      </w:r>
      <w:r w:rsidR="00D41A15" w:rsidRPr="00295637">
        <w:rPr>
          <w:rFonts w:ascii="Times New Roman" w:hAnsi="Times New Roman"/>
          <w:szCs w:val="24"/>
          <w:lang w:val="bs-Latn-BA"/>
        </w:rPr>
        <w:t xml:space="preserve"> </w:t>
      </w:r>
      <w:r>
        <w:rPr>
          <w:rFonts w:ascii="Times New Roman" w:hAnsi="Times New Roman"/>
          <w:szCs w:val="24"/>
          <w:lang w:val="bs-Latn-BA"/>
        </w:rPr>
        <w:t>програма</w:t>
      </w:r>
      <w:r w:rsidR="00D41A15" w:rsidRPr="00295637">
        <w:rPr>
          <w:rFonts w:ascii="Times New Roman" w:hAnsi="Times New Roman"/>
          <w:szCs w:val="24"/>
          <w:lang w:val="bs-Latn-BA"/>
        </w:rPr>
        <w:t xml:space="preserve"> </w:t>
      </w:r>
      <w:r>
        <w:rPr>
          <w:rFonts w:ascii="Times New Roman" w:hAnsi="Times New Roman"/>
          <w:szCs w:val="24"/>
          <w:lang w:val="bs-Latn-BA"/>
        </w:rPr>
        <w:t>на</w:t>
      </w:r>
      <w:r w:rsidR="00D41A15" w:rsidRPr="00295637">
        <w:rPr>
          <w:rFonts w:ascii="Times New Roman" w:hAnsi="Times New Roman"/>
          <w:szCs w:val="24"/>
          <w:lang w:val="bs-Latn-BA"/>
        </w:rPr>
        <w:t xml:space="preserve"> </w:t>
      </w:r>
      <w:r>
        <w:rPr>
          <w:rFonts w:ascii="Times New Roman" w:hAnsi="Times New Roman"/>
          <w:szCs w:val="24"/>
          <w:lang w:val="bs-Latn-BA"/>
        </w:rPr>
        <w:t>свим</w:t>
      </w:r>
      <w:r w:rsidR="00D41A15" w:rsidRPr="00295637">
        <w:rPr>
          <w:rFonts w:ascii="Times New Roman" w:hAnsi="Times New Roman"/>
          <w:szCs w:val="24"/>
          <w:lang w:val="bs-Latn-BA"/>
        </w:rPr>
        <w:t xml:space="preserve"> </w:t>
      </w:r>
      <w:r>
        <w:rPr>
          <w:rFonts w:ascii="Times New Roman" w:hAnsi="Times New Roman"/>
          <w:szCs w:val="24"/>
          <w:lang w:val="bs-Latn-BA"/>
        </w:rPr>
        <w:t>факултетима</w:t>
      </w:r>
      <w:r w:rsidR="00D41A15" w:rsidRPr="00295637">
        <w:rPr>
          <w:rFonts w:ascii="Times New Roman" w:hAnsi="Times New Roman"/>
          <w:szCs w:val="24"/>
          <w:lang w:val="bs-Latn-BA"/>
        </w:rPr>
        <w:t xml:space="preserve"> </w:t>
      </w:r>
      <w:r>
        <w:rPr>
          <w:rFonts w:ascii="Times New Roman" w:hAnsi="Times New Roman"/>
          <w:szCs w:val="24"/>
          <w:lang w:val="bs-Latn-BA"/>
        </w:rPr>
        <w:t>УНСА</w:t>
      </w:r>
      <w:r w:rsidR="00D41A15" w:rsidRPr="00295637">
        <w:rPr>
          <w:rFonts w:ascii="Times New Roman" w:hAnsi="Times New Roman"/>
          <w:szCs w:val="24"/>
          <w:lang w:val="bs-Latn-BA"/>
        </w:rPr>
        <w:t xml:space="preserve"> </w:t>
      </w:r>
      <w:r>
        <w:rPr>
          <w:rFonts w:ascii="Times New Roman" w:hAnsi="Times New Roman"/>
          <w:szCs w:val="24"/>
          <w:lang w:val="bs-Latn-BA"/>
        </w:rPr>
        <w:t>по</w:t>
      </w:r>
      <w:r w:rsidR="00D41A15" w:rsidRPr="00295637">
        <w:rPr>
          <w:rFonts w:ascii="Times New Roman" w:hAnsi="Times New Roman"/>
          <w:szCs w:val="24"/>
          <w:lang w:val="bs-Latn-BA"/>
        </w:rPr>
        <w:t xml:space="preserve"> </w:t>
      </w:r>
      <w:r>
        <w:rPr>
          <w:rFonts w:ascii="Times New Roman" w:hAnsi="Times New Roman"/>
          <w:szCs w:val="24"/>
          <w:lang w:val="bs-Latn-BA"/>
        </w:rPr>
        <w:t>питању</w:t>
      </w:r>
      <w:r w:rsidR="00D41A15" w:rsidRPr="00295637">
        <w:rPr>
          <w:rFonts w:ascii="Times New Roman" w:hAnsi="Times New Roman"/>
          <w:szCs w:val="24"/>
          <w:lang w:val="bs-Latn-BA"/>
        </w:rPr>
        <w:t xml:space="preserve"> </w:t>
      </w:r>
      <w:r>
        <w:rPr>
          <w:rFonts w:ascii="Times New Roman" w:hAnsi="Times New Roman"/>
          <w:szCs w:val="24"/>
          <w:lang w:val="bs-Latn-BA"/>
        </w:rPr>
        <w:t>насиља</w:t>
      </w:r>
      <w:r w:rsidR="00D41A15" w:rsidRPr="00295637">
        <w:rPr>
          <w:rFonts w:ascii="Times New Roman" w:hAnsi="Times New Roman"/>
          <w:szCs w:val="24"/>
          <w:lang w:val="bs-Latn-BA"/>
        </w:rPr>
        <w:t xml:space="preserve"> </w:t>
      </w:r>
      <w:r>
        <w:rPr>
          <w:rFonts w:ascii="Times New Roman" w:hAnsi="Times New Roman"/>
          <w:szCs w:val="24"/>
          <w:lang w:val="bs-Latn-BA"/>
        </w:rPr>
        <w:t>у</w:t>
      </w:r>
      <w:r w:rsidR="00D41A15" w:rsidRPr="00295637">
        <w:rPr>
          <w:rFonts w:ascii="Times New Roman" w:hAnsi="Times New Roman"/>
          <w:szCs w:val="24"/>
          <w:lang w:val="bs-Latn-BA"/>
        </w:rPr>
        <w:t xml:space="preserve"> </w:t>
      </w:r>
      <w:r>
        <w:rPr>
          <w:rFonts w:ascii="Times New Roman" w:hAnsi="Times New Roman"/>
          <w:szCs w:val="24"/>
          <w:lang w:val="bs-Latn-BA"/>
        </w:rPr>
        <w:t>породици</w:t>
      </w:r>
      <w:r w:rsidR="00D41A15" w:rsidRPr="00295637">
        <w:rPr>
          <w:rFonts w:ascii="Times New Roman" w:hAnsi="Times New Roman"/>
          <w:szCs w:val="24"/>
          <w:lang w:val="bs-Latn-BA"/>
        </w:rPr>
        <w:t xml:space="preserve"> </w:t>
      </w:r>
      <w:r>
        <w:rPr>
          <w:rFonts w:ascii="Times New Roman" w:hAnsi="Times New Roman"/>
          <w:szCs w:val="24"/>
          <w:lang w:val="bs-Latn-BA"/>
        </w:rPr>
        <w:t>и</w:t>
      </w:r>
      <w:r w:rsidR="00D41A15"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D41A15" w:rsidRPr="00295637">
        <w:rPr>
          <w:rFonts w:ascii="Times New Roman" w:hAnsi="Times New Roman"/>
          <w:szCs w:val="24"/>
          <w:lang w:val="bs-Latn-BA"/>
        </w:rPr>
        <w:t xml:space="preserve"> </w:t>
      </w:r>
      <w:r>
        <w:rPr>
          <w:rFonts w:ascii="Times New Roman" w:hAnsi="Times New Roman"/>
          <w:szCs w:val="24"/>
          <w:lang w:val="bs-Latn-BA"/>
        </w:rPr>
        <w:t>полова</w:t>
      </w:r>
      <w:r w:rsidR="00D41A15" w:rsidRPr="00295637">
        <w:rPr>
          <w:rFonts w:ascii="Times New Roman" w:hAnsi="Times New Roman"/>
          <w:szCs w:val="24"/>
          <w:lang w:val="bs-Latn-BA"/>
        </w:rPr>
        <w:t xml:space="preserve">. </w:t>
      </w:r>
      <w:r w:rsidR="00701567">
        <w:rPr>
          <w:rFonts w:ascii="Times New Roman" w:hAnsi="Times New Roman"/>
          <w:szCs w:val="24"/>
          <w:lang w:val="bs-Latn-BA"/>
        </w:rPr>
        <w:t>Такође</w:t>
      </w:r>
      <w:r w:rsidR="00D41A15" w:rsidRPr="00295637">
        <w:rPr>
          <w:rFonts w:ascii="Times New Roman" w:hAnsi="Times New Roman"/>
          <w:szCs w:val="24"/>
          <w:lang w:val="bs-Latn-BA"/>
        </w:rPr>
        <w:t xml:space="preserve">, </w:t>
      </w:r>
      <w:r>
        <w:rPr>
          <w:rFonts w:ascii="Times New Roman" w:hAnsi="Times New Roman"/>
          <w:szCs w:val="24"/>
          <w:lang w:val="bs-Latn-BA"/>
        </w:rPr>
        <w:t>студија</w:t>
      </w:r>
      <w:r w:rsidR="00D41A15" w:rsidRPr="00295637">
        <w:rPr>
          <w:rFonts w:ascii="Times New Roman" w:hAnsi="Times New Roman"/>
          <w:szCs w:val="24"/>
          <w:lang w:val="bs-Latn-BA"/>
        </w:rPr>
        <w:t xml:space="preserve"> </w:t>
      </w:r>
      <w:r>
        <w:rPr>
          <w:rFonts w:ascii="Times New Roman" w:hAnsi="Times New Roman"/>
          <w:szCs w:val="24"/>
          <w:lang w:val="bs-Latn-BA"/>
        </w:rPr>
        <w:t>садржи</w:t>
      </w:r>
      <w:r w:rsidR="00D41A15" w:rsidRPr="00295637">
        <w:rPr>
          <w:rFonts w:ascii="Times New Roman" w:hAnsi="Times New Roman"/>
          <w:szCs w:val="24"/>
          <w:lang w:val="bs-Latn-BA"/>
        </w:rPr>
        <w:t xml:space="preserve"> </w:t>
      </w:r>
      <w:r>
        <w:rPr>
          <w:rFonts w:ascii="Times New Roman" w:hAnsi="Times New Roman"/>
          <w:szCs w:val="24"/>
          <w:lang w:val="bs-Latn-BA"/>
        </w:rPr>
        <w:t>мјерења</w:t>
      </w:r>
      <w:r w:rsidR="00D41A15" w:rsidRPr="00295637">
        <w:rPr>
          <w:rFonts w:ascii="Times New Roman" w:hAnsi="Times New Roman"/>
          <w:szCs w:val="24"/>
          <w:lang w:val="bs-Latn-BA"/>
        </w:rPr>
        <w:t xml:space="preserve"> </w:t>
      </w:r>
      <w:r>
        <w:rPr>
          <w:rFonts w:ascii="Times New Roman" w:hAnsi="Times New Roman"/>
          <w:szCs w:val="24"/>
          <w:lang w:val="bs-Latn-BA"/>
        </w:rPr>
        <w:t>ставова</w:t>
      </w:r>
      <w:r w:rsidR="00D41A15" w:rsidRPr="00295637">
        <w:rPr>
          <w:rFonts w:ascii="Times New Roman" w:hAnsi="Times New Roman"/>
          <w:szCs w:val="24"/>
          <w:lang w:val="bs-Latn-BA"/>
        </w:rPr>
        <w:t xml:space="preserve"> </w:t>
      </w:r>
      <w:r>
        <w:rPr>
          <w:rFonts w:ascii="Times New Roman" w:hAnsi="Times New Roman"/>
          <w:szCs w:val="24"/>
          <w:lang w:val="bs-Latn-BA"/>
        </w:rPr>
        <w:t>наставног</w:t>
      </w:r>
      <w:r w:rsidR="00D41A15" w:rsidRPr="00295637">
        <w:rPr>
          <w:rFonts w:ascii="Times New Roman" w:hAnsi="Times New Roman"/>
          <w:szCs w:val="24"/>
          <w:lang w:val="bs-Latn-BA"/>
        </w:rPr>
        <w:t xml:space="preserve"> </w:t>
      </w:r>
      <w:r>
        <w:rPr>
          <w:rFonts w:ascii="Times New Roman" w:hAnsi="Times New Roman"/>
          <w:szCs w:val="24"/>
          <w:lang w:val="bs-Latn-BA"/>
        </w:rPr>
        <w:t>особља</w:t>
      </w:r>
      <w:r w:rsidR="00D41A15" w:rsidRPr="00295637">
        <w:rPr>
          <w:rFonts w:ascii="Times New Roman" w:hAnsi="Times New Roman"/>
          <w:szCs w:val="24"/>
          <w:lang w:val="bs-Latn-BA"/>
        </w:rPr>
        <w:t xml:space="preserve">, </w:t>
      </w:r>
      <w:r>
        <w:rPr>
          <w:rFonts w:ascii="Times New Roman" w:hAnsi="Times New Roman"/>
          <w:szCs w:val="24"/>
          <w:lang w:val="bs-Latn-BA"/>
        </w:rPr>
        <w:t>као</w:t>
      </w:r>
      <w:r w:rsidR="00D41A15" w:rsidRPr="00295637">
        <w:rPr>
          <w:rFonts w:ascii="Times New Roman" w:hAnsi="Times New Roman"/>
          <w:szCs w:val="24"/>
          <w:lang w:val="bs-Latn-BA"/>
        </w:rPr>
        <w:t xml:space="preserve"> </w:t>
      </w:r>
      <w:r>
        <w:rPr>
          <w:rFonts w:ascii="Times New Roman" w:hAnsi="Times New Roman"/>
          <w:szCs w:val="24"/>
          <w:lang w:val="bs-Latn-BA"/>
        </w:rPr>
        <w:t>и</w:t>
      </w:r>
      <w:r w:rsidR="00D41A15" w:rsidRPr="00295637">
        <w:rPr>
          <w:rFonts w:ascii="Times New Roman" w:hAnsi="Times New Roman"/>
          <w:szCs w:val="24"/>
          <w:lang w:val="bs-Latn-BA"/>
        </w:rPr>
        <w:t xml:space="preserve"> </w:t>
      </w:r>
      <w:r>
        <w:rPr>
          <w:rFonts w:ascii="Times New Roman" w:hAnsi="Times New Roman"/>
          <w:szCs w:val="24"/>
          <w:lang w:val="bs-Latn-BA"/>
        </w:rPr>
        <w:t>студената</w:t>
      </w:r>
      <w:r w:rsidR="00D41A15" w:rsidRPr="00295637">
        <w:rPr>
          <w:rFonts w:ascii="Times New Roman" w:hAnsi="Times New Roman"/>
          <w:szCs w:val="24"/>
          <w:lang w:val="bs-Latn-BA"/>
        </w:rPr>
        <w:t>/</w:t>
      </w:r>
      <w:r>
        <w:rPr>
          <w:rFonts w:ascii="Times New Roman" w:hAnsi="Times New Roman"/>
          <w:szCs w:val="24"/>
          <w:lang w:val="bs-Latn-BA"/>
        </w:rPr>
        <w:t>ица</w:t>
      </w:r>
      <w:r w:rsidR="00D41A15" w:rsidRPr="00295637">
        <w:rPr>
          <w:rFonts w:ascii="Times New Roman" w:hAnsi="Times New Roman"/>
          <w:szCs w:val="24"/>
          <w:lang w:val="bs-Latn-BA"/>
        </w:rPr>
        <w:t xml:space="preserve"> </w:t>
      </w:r>
      <w:r>
        <w:rPr>
          <w:rFonts w:ascii="Times New Roman" w:hAnsi="Times New Roman"/>
          <w:szCs w:val="24"/>
          <w:lang w:val="bs-Latn-BA"/>
        </w:rPr>
        <w:t>о</w:t>
      </w:r>
      <w:r w:rsidR="00D41A15" w:rsidRPr="00295637">
        <w:rPr>
          <w:rFonts w:ascii="Times New Roman" w:hAnsi="Times New Roman"/>
          <w:szCs w:val="24"/>
          <w:lang w:val="bs-Latn-BA"/>
        </w:rPr>
        <w:t xml:space="preserve"> </w:t>
      </w:r>
      <w:r>
        <w:rPr>
          <w:rFonts w:ascii="Times New Roman" w:hAnsi="Times New Roman"/>
          <w:szCs w:val="24"/>
          <w:lang w:val="bs-Latn-BA"/>
        </w:rPr>
        <w:t>питањима</w:t>
      </w:r>
      <w:r w:rsidR="00D41A15" w:rsidRPr="00295637">
        <w:rPr>
          <w:rFonts w:ascii="Times New Roman" w:hAnsi="Times New Roman"/>
          <w:szCs w:val="24"/>
          <w:lang w:val="bs-Latn-BA"/>
        </w:rPr>
        <w:t xml:space="preserve"> </w:t>
      </w:r>
      <w:r>
        <w:rPr>
          <w:rFonts w:ascii="Times New Roman" w:hAnsi="Times New Roman"/>
          <w:szCs w:val="24"/>
          <w:lang w:val="bs-Latn-BA"/>
        </w:rPr>
        <w:t>насиља</w:t>
      </w:r>
      <w:r w:rsidR="00D41A15" w:rsidRPr="00295637">
        <w:rPr>
          <w:rFonts w:ascii="Times New Roman" w:hAnsi="Times New Roman"/>
          <w:szCs w:val="24"/>
          <w:lang w:val="bs-Latn-BA"/>
        </w:rPr>
        <w:t xml:space="preserve"> </w:t>
      </w:r>
      <w:r>
        <w:rPr>
          <w:rFonts w:ascii="Times New Roman" w:hAnsi="Times New Roman"/>
          <w:szCs w:val="24"/>
          <w:lang w:val="bs-Latn-BA"/>
        </w:rPr>
        <w:t>у</w:t>
      </w:r>
      <w:r w:rsidR="00D41A15" w:rsidRPr="00295637">
        <w:rPr>
          <w:rFonts w:ascii="Times New Roman" w:hAnsi="Times New Roman"/>
          <w:szCs w:val="24"/>
          <w:lang w:val="bs-Latn-BA"/>
        </w:rPr>
        <w:t xml:space="preserve"> </w:t>
      </w:r>
      <w:r>
        <w:rPr>
          <w:rFonts w:ascii="Times New Roman" w:hAnsi="Times New Roman"/>
          <w:szCs w:val="24"/>
          <w:lang w:val="bs-Latn-BA"/>
        </w:rPr>
        <w:t>породици</w:t>
      </w:r>
      <w:r w:rsidR="00D41A15" w:rsidRPr="00295637">
        <w:rPr>
          <w:rFonts w:ascii="Times New Roman" w:hAnsi="Times New Roman"/>
          <w:szCs w:val="24"/>
          <w:lang w:val="bs-Latn-BA"/>
        </w:rPr>
        <w:t xml:space="preserve"> </w:t>
      </w:r>
      <w:r>
        <w:rPr>
          <w:rFonts w:ascii="Times New Roman" w:hAnsi="Times New Roman"/>
          <w:szCs w:val="24"/>
          <w:lang w:val="bs-Latn-BA"/>
        </w:rPr>
        <w:t>и</w:t>
      </w:r>
      <w:r w:rsidR="00D41A15"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D41A15" w:rsidRPr="00295637">
        <w:rPr>
          <w:rFonts w:ascii="Times New Roman" w:hAnsi="Times New Roman"/>
          <w:szCs w:val="24"/>
          <w:lang w:val="bs-Latn-BA"/>
        </w:rPr>
        <w:t xml:space="preserve"> </w:t>
      </w:r>
      <w:r>
        <w:rPr>
          <w:rFonts w:ascii="Times New Roman" w:hAnsi="Times New Roman"/>
          <w:szCs w:val="24"/>
          <w:lang w:val="bs-Latn-BA"/>
        </w:rPr>
        <w:t>полова</w:t>
      </w:r>
      <w:r w:rsidR="00D41A15" w:rsidRPr="00295637">
        <w:rPr>
          <w:rFonts w:ascii="Times New Roman" w:hAnsi="Times New Roman"/>
          <w:szCs w:val="24"/>
          <w:lang w:val="bs-Latn-BA"/>
        </w:rPr>
        <w:t>.</w:t>
      </w:r>
    </w:p>
    <w:p w:rsidR="00D41A15" w:rsidRPr="00295637" w:rsidRDefault="00D41A15" w:rsidP="0086268D">
      <w:pPr>
        <w:ind w:left="576"/>
        <w:jc w:val="both"/>
        <w:rPr>
          <w:rFonts w:ascii="Times New Roman" w:hAnsi="Times New Roman"/>
          <w:szCs w:val="24"/>
          <w:lang w:val="bs-Latn-BA"/>
        </w:rPr>
      </w:pPr>
    </w:p>
    <w:p w:rsidR="008609AA"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Статистички</w:t>
      </w:r>
      <w:r w:rsidR="008609AA" w:rsidRPr="00295637">
        <w:rPr>
          <w:rFonts w:ascii="Times New Roman" w:hAnsi="Times New Roman"/>
          <w:lang w:val="sr-Latn-BA"/>
        </w:rPr>
        <w:t xml:space="preserve"> </w:t>
      </w:r>
      <w:r>
        <w:rPr>
          <w:rFonts w:ascii="Times New Roman" w:hAnsi="Times New Roman"/>
          <w:lang w:val="sr-Latn-BA"/>
        </w:rPr>
        <w:t>билтени</w:t>
      </w:r>
      <w:r w:rsidR="008609AA" w:rsidRPr="00295637">
        <w:rPr>
          <w:rFonts w:ascii="Times New Roman" w:hAnsi="Times New Roman"/>
          <w:lang w:val="sr-Latn-BA"/>
        </w:rPr>
        <w:t xml:space="preserve"> </w:t>
      </w:r>
      <w:r w:rsidR="00E04D0A">
        <w:rPr>
          <w:rFonts w:ascii="Times New Roman" w:hAnsi="Times New Roman"/>
          <w:lang w:val="sr-Latn-BA"/>
        </w:rPr>
        <w:t>„</w:t>
      </w:r>
      <w:r>
        <w:rPr>
          <w:rFonts w:ascii="Times New Roman" w:hAnsi="Times New Roman"/>
          <w:lang w:val="sr-Latn-BA"/>
        </w:rPr>
        <w:t>Жене</w:t>
      </w:r>
      <w:r w:rsidR="00E04D0A">
        <w:rPr>
          <w:rFonts w:ascii="Times New Roman" w:hAnsi="Times New Roman"/>
          <w:lang w:val="sr-Latn-BA"/>
        </w:rPr>
        <w:t xml:space="preserve"> </w:t>
      </w:r>
      <w:r>
        <w:rPr>
          <w:rFonts w:ascii="Times New Roman" w:hAnsi="Times New Roman"/>
          <w:lang w:val="sr-Latn-BA"/>
        </w:rPr>
        <w:t>и</w:t>
      </w:r>
      <w:r w:rsidR="00E04D0A">
        <w:rPr>
          <w:rFonts w:ascii="Times New Roman" w:hAnsi="Times New Roman"/>
          <w:lang w:val="sr-Latn-BA"/>
        </w:rPr>
        <w:t xml:space="preserve"> </w:t>
      </w:r>
      <w:r>
        <w:rPr>
          <w:rFonts w:ascii="Times New Roman" w:hAnsi="Times New Roman"/>
          <w:lang w:val="sr-Latn-BA"/>
        </w:rPr>
        <w:t>мушкарци</w:t>
      </w:r>
      <w:r w:rsidR="00E04D0A">
        <w:rPr>
          <w:rFonts w:ascii="Times New Roman" w:hAnsi="Times New Roman"/>
          <w:lang w:val="sr-Latn-BA"/>
        </w:rPr>
        <w:t xml:space="preserve">“, </w:t>
      </w:r>
      <w:r>
        <w:rPr>
          <w:rFonts w:ascii="Times New Roman" w:hAnsi="Times New Roman"/>
          <w:lang w:val="sr-Latn-BA"/>
        </w:rPr>
        <w:t>који</w:t>
      </w:r>
      <w:r w:rsidR="00E04D0A">
        <w:rPr>
          <w:rFonts w:ascii="Times New Roman" w:hAnsi="Times New Roman"/>
          <w:lang w:val="sr-Latn-BA"/>
        </w:rPr>
        <w:t xml:space="preserve"> </w:t>
      </w:r>
      <w:r>
        <w:rPr>
          <w:rFonts w:ascii="Times New Roman" w:hAnsi="Times New Roman"/>
          <w:lang w:val="sr-Latn-BA"/>
        </w:rPr>
        <w:t>се</w:t>
      </w:r>
      <w:r w:rsidR="00E04D0A">
        <w:rPr>
          <w:rFonts w:ascii="Times New Roman" w:hAnsi="Times New Roman"/>
          <w:lang w:val="sr-Latn-BA"/>
        </w:rPr>
        <w:t xml:space="preserve"> </w:t>
      </w:r>
      <w:r>
        <w:rPr>
          <w:rFonts w:ascii="Times New Roman" w:hAnsi="Times New Roman"/>
          <w:lang w:val="sr-Latn-BA"/>
        </w:rPr>
        <w:t>објављују</w:t>
      </w:r>
      <w:r w:rsidR="00E04D0A">
        <w:rPr>
          <w:rFonts w:ascii="Times New Roman" w:hAnsi="Times New Roman"/>
          <w:lang w:val="sr-Latn-BA"/>
        </w:rPr>
        <w:t xml:space="preserve"> </w:t>
      </w:r>
      <w:r>
        <w:rPr>
          <w:rFonts w:ascii="Times New Roman" w:hAnsi="Times New Roman"/>
          <w:lang w:val="sr-Latn-BA"/>
        </w:rPr>
        <w:t>за</w:t>
      </w:r>
      <w:r w:rsidR="00E04D0A">
        <w:rPr>
          <w:rFonts w:ascii="Times New Roman" w:hAnsi="Times New Roman"/>
          <w:lang w:val="sr-Latn-BA"/>
        </w:rPr>
        <w:t xml:space="preserve"> </w:t>
      </w:r>
      <w:r>
        <w:rPr>
          <w:rFonts w:ascii="Times New Roman" w:hAnsi="Times New Roman"/>
          <w:lang w:val="sr-Latn-BA"/>
        </w:rPr>
        <w:t>БиХ</w:t>
      </w:r>
      <w:r w:rsidR="00E778AA">
        <w:rPr>
          <w:rFonts w:ascii="Times New Roman" w:hAnsi="Times New Roman"/>
          <w:lang w:val="sr-Latn-BA"/>
        </w:rPr>
        <w:t xml:space="preserve">, </w:t>
      </w:r>
      <w:r>
        <w:rPr>
          <w:rFonts w:ascii="Times New Roman" w:hAnsi="Times New Roman"/>
          <w:lang w:val="sr-Latn-BA"/>
        </w:rPr>
        <w:t>ФБиХ</w:t>
      </w:r>
      <w:r w:rsidR="00E04D0A">
        <w:rPr>
          <w:rFonts w:ascii="Times New Roman" w:hAnsi="Times New Roman"/>
          <w:lang w:val="sr-Latn-BA"/>
        </w:rPr>
        <w:t xml:space="preserve"> </w:t>
      </w:r>
      <w:r>
        <w:rPr>
          <w:rFonts w:ascii="Times New Roman" w:hAnsi="Times New Roman"/>
          <w:lang w:val="sr-Latn-BA"/>
        </w:rPr>
        <w:t>и</w:t>
      </w:r>
      <w:r w:rsidR="00E04D0A">
        <w:rPr>
          <w:rFonts w:ascii="Times New Roman" w:hAnsi="Times New Roman"/>
          <w:lang w:val="sr-Latn-BA"/>
        </w:rPr>
        <w:t xml:space="preserve"> </w:t>
      </w:r>
      <w:r>
        <w:rPr>
          <w:rFonts w:ascii="Times New Roman" w:hAnsi="Times New Roman"/>
          <w:lang w:val="sr-Latn-BA"/>
        </w:rPr>
        <w:t>РС</w:t>
      </w:r>
      <w:r w:rsidR="008609AA" w:rsidRPr="00295637">
        <w:rPr>
          <w:rFonts w:ascii="Times New Roman" w:hAnsi="Times New Roman"/>
          <w:lang w:val="sr-Latn-BA"/>
        </w:rPr>
        <w:t xml:space="preserve">, </w:t>
      </w:r>
      <w:r>
        <w:rPr>
          <w:rFonts w:ascii="Times New Roman" w:hAnsi="Times New Roman"/>
          <w:lang w:val="sr-Latn-BA"/>
        </w:rPr>
        <w:t>у</w:t>
      </w:r>
      <w:r w:rsidR="008609AA" w:rsidRPr="00295637">
        <w:rPr>
          <w:rFonts w:ascii="Times New Roman" w:hAnsi="Times New Roman"/>
          <w:lang w:val="sr-Latn-BA"/>
        </w:rPr>
        <w:t xml:space="preserve"> </w:t>
      </w:r>
      <w:r>
        <w:rPr>
          <w:rFonts w:ascii="Times New Roman" w:hAnsi="Times New Roman"/>
          <w:lang w:val="sr-Latn-BA"/>
        </w:rPr>
        <w:t>поглављу</w:t>
      </w:r>
      <w:r w:rsidR="008609AA" w:rsidRPr="00295637">
        <w:rPr>
          <w:rFonts w:ascii="Times New Roman" w:hAnsi="Times New Roman"/>
          <w:lang w:val="sr-Latn-BA"/>
        </w:rPr>
        <w:t xml:space="preserve"> „</w:t>
      </w:r>
      <w:r>
        <w:rPr>
          <w:rFonts w:ascii="Times New Roman" w:hAnsi="Times New Roman"/>
          <w:lang w:val="sr-Latn-BA"/>
        </w:rPr>
        <w:t>Насиље</w:t>
      </w:r>
      <w:r w:rsidR="008609AA" w:rsidRPr="00295637">
        <w:rPr>
          <w:rFonts w:ascii="Times New Roman" w:hAnsi="Times New Roman"/>
          <w:lang w:val="sr-Latn-BA"/>
        </w:rPr>
        <w:t xml:space="preserve"> </w:t>
      </w:r>
      <w:r>
        <w:rPr>
          <w:rFonts w:ascii="Times New Roman" w:hAnsi="Times New Roman"/>
          <w:lang w:val="sr-Latn-BA"/>
        </w:rPr>
        <w:t>и</w:t>
      </w:r>
      <w:r w:rsidR="008609AA" w:rsidRPr="00295637">
        <w:rPr>
          <w:rFonts w:ascii="Times New Roman" w:hAnsi="Times New Roman"/>
          <w:lang w:val="sr-Latn-BA"/>
        </w:rPr>
        <w:t xml:space="preserve"> </w:t>
      </w:r>
      <w:r>
        <w:rPr>
          <w:rFonts w:ascii="Times New Roman" w:hAnsi="Times New Roman"/>
          <w:lang w:val="sr-Latn-BA"/>
        </w:rPr>
        <w:t>криминалитет</w:t>
      </w:r>
      <w:r w:rsidR="008609AA" w:rsidRPr="00295637">
        <w:rPr>
          <w:rFonts w:ascii="Times New Roman" w:hAnsi="Times New Roman"/>
          <w:lang w:val="sr-Latn-BA"/>
        </w:rPr>
        <w:t xml:space="preserve">“, </w:t>
      </w:r>
      <w:r>
        <w:rPr>
          <w:rFonts w:ascii="Times New Roman" w:hAnsi="Times New Roman"/>
          <w:lang w:val="sr-Latn-BA"/>
        </w:rPr>
        <w:t>сваке</w:t>
      </w:r>
      <w:r w:rsidR="008609AA" w:rsidRPr="00295637">
        <w:rPr>
          <w:rFonts w:ascii="Times New Roman" w:hAnsi="Times New Roman"/>
          <w:lang w:val="sr-Latn-BA"/>
        </w:rPr>
        <w:t xml:space="preserve"> </w:t>
      </w:r>
      <w:r>
        <w:rPr>
          <w:rFonts w:ascii="Times New Roman" w:hAnsi="Times New Roman"/>
          <w:lang w:val="sr-Latn-BA"/>
        </w:rPr>
        <w:t>двије</w:t>
      </w:r>
      <w:r w:rsidR="008609AA" w:rsidRPr="00295637">
        <w:rPr>
          <w:rFonts w:ascii="Times New Roman" w:hAnsi="Times New Roman"/>
          <w:lang w:val="sr-Latn-BA"/>
        </w:rPr>
        <w:t xml:space="preserve"> </w:t>
      </w:r>
      <w:r>
        <w:rPr>
          <w:rFonts w:ascii="Times New Roman" w:hAnsi="Times New Roman"/>
          <w:lang w:val="sr-Latn-BA"/>
        </w:rPr>
        <w:t>године</w:t>
      </w:r>
      <w:r w:rsidR="008609AA" w:rsidRPr="00295637">
        <w:rPr>
          <w:rFonts w:ascii="Times New Roman" w:hAnsi="Times New Roman"/>
          <w:lang w:val="sr-Latn-BA"/>
        </w:rPr>
        <w:t xml:space="preserve"> </w:t>
      </w:r>
      <w:r>
        <w:rPr>
          <w:rFonts w:ascii="Times New Roman" w:hAnsi="Times New Roman"/>
          <w:lang w:val="sr-Latn-BA"/>
        </w:rPr>
        <w:t>публи</w:t>
      </w:r>
      <w:r w:rsidR="00701567">
        <w:rPr>
          <w:rFonts w:ascii="Times New Roman" w:hAnsi="Times New Roman"/>
          <w:lang w:val="sr-Cyrl-BA"/>
        </w:rPr>
        <w:t>кује</w:t>
      </w:r>
      <w:r w:rsidR="008609AA" w:rsidRPr="00295637">
        <w:rPr>
          <w:rFonts w:ascii="Times New Roman" w:hAnsi="Times New Roman"/>
          <w:lang w:val="sr-Latn-BA"/>
        </w:rPr>
        <w:t xml:space="preserve"> </w:t>
      </w:r>
      <w:r>
        <w:rPr>
          <w:rFonts w:ascii="Times New Roman" w:hAnsi="Times New Roman"/>
          <w:lang w:val="sr-Latn-BA"/>
        </w:rPr>
        <w:t>податке</w:t>
      </w:r>
      <w:r w:rsidR="008609AA" w:rsidRPr="00295637">
        <w:rPr>
          <w:rFonts w:ascii="Times New Roman" w:hAnsi="Times New Roman"/>
          <w:lang w:val="sr-Latn-BA"/>
        </w:rPr>
        <w:t xml:space="preserve"> </w:t>
      </w:r>
      <w:r>
        <w:rPr>
          <w:rFonts w:ascii="Times New Roman" w:hAnsi="Times New Roman"/>
          <w:lang w:val="sr-Latn-BA"/>
        </w:rPr>
        <w:t>разврстане</w:t>
      </w:r>
      <w:r w:rsidR="008609AA" w:rsidRPr="00295637">
        <w:rPr>
          <w:rFonts w:ascii="Times New Roman" w:hAnsi="Times New Roman"/>
          <w:lang w:val="sr-Latn-BA"/>
        </w:rPr>
        <w:t xml:space="preserve"> </w:t>
      </w:r>
      <w:r>
        <w:rPr>
          <w:rFonts w:ascii="Times New Roman" w:hAnsi="Times New Roman"/>
          <w:lang w:val="sr-Latn-BA"/>
        </w:rPr>
        <w:t>по</w:t>
      </w:r>
      <w:r w:rsidR="008609AA" w:rsidRPr="00295637">
        <w:rPr>
          <w:rFonts w:ascii="Times New Roman" w:hAnsi="Times New Roman"/>
          <w:lang w:val="sr-Latn-BA"/>
        </w:rPr>
        <w:t xml:space="preserve"> </w:t>
      </w:r>
      <w:r>
        <w:rPr>
          <w:rFonts w:ascii="Times New Roman" w:hAnsi="Times New Roman"/>
          <w:lang w:val="sr-Latn-BA"/>
        </w:rPr>
        <w:t>полу</w:t>
      </w:r>
      <w:r w:rsidR="008609AA" w:rsidRPr="00295637">
        <w:rPr>
          <w:rFonts w:ascii="Times New Roman" w:hAnsi="Times New Roman"/>
          <w:lang w:val="sr-Latn-BA"/>
        </w:rPr>
        <w:t xml:space="preserve"> </w:t>
      </w:r>
      <w:r>
        <w:rPr>
          <w:rFonts w:ascii="Times New Roman" w:hAnsi="Times New Roman"/>
          <w:lang w:val="sr-Latn-BA"/>
        </w:rPr>
        <w:t>о</w:t>
      </w:r>
      <w:r w:rsidR="008609AA" w:rsidRPr="00295637">
        <w:rPr>
          <w:rFonts w:ascii="Times New Roman" w:hAnsi="Times New Roman"/>
          <w:lang w:val="sr-Latn-BA"/>
        </w:rPr>
        <w:t>:</w:t>
      </w:r>
      <w:r w:rsidR="0087110C" w:rsidRPr="00295637">
        <w:rPr>
          <w:rFonts w:ascii="Times New Roman" w:hAnsi="Times New Roman"/>
          <w:lang w:val="sr-Latn-BA"/>
        </w:rPr>
        <w:t xml:space="preserve"> </w:t>
      </w:r>
      <w:r>
        <w:rPr>
          <w:rFonts w:ascii="Times New Roman" w:hAnsi="Times New Roman"/>
          <w:lang w:val="sr-Latn-BA"/>
        </w:rPr>
        <w:t>пријављеним</w:t>
      </w:r>
      <w:r w:rsidR="008609AA" w:rsidRPr="00295637">
        <w:rPr>
          <w:rFonts w:ascii="Times New Roman" w:hAnsi="Times New Roman"/>
          <w:lang w:val="sr-Latn-BA"/>
        </w:rPr>
        <w:t xml:space="preserve"> </w:t>
      </w:r>
      <w:r>
        <w:rPr>
          <w:rFonts w:ascii="Times New Roman" w:hAnsi="Times New Roman"/>
          <w:lang w:val="sr-Latn-BA"/>
        </w:rPr>
        <w:t>кривичним</w:t>
      </w:r>
      <w:r w:rsidR="008609AA" w:rsidRPr="00295637">
        <w:rPr>
          <w:rFonts w:ascii="Times New Roman" w:hAnsi="Times New Roman"/>
          <w:lang w:val="sr-Latn-BA"/>
        </w:rPr>
        <w:t xml:space="preserve"> </w:t>
      </w:r>
      <w:r>
        <w:rPr>
          <w:rFonts w:ascii="Times New Roman" w:hAnsi="Times New Roman"/>
          <w:lang w:val="sr-Latn-BA"/>
        </w:rPr>
        <w:t>дјелима</w:t>
      </w:r>
      <w:r w:rsidR="008609AA" w:rsidRPr="00295637">
        <w:rPr>
          <w:rFonts w:ascii="Times New Roman" w:hAnsi="Times New Roman"/>
          <w:lang w:val="sr-Latn-BA"/>
        </w:rPr>
        <w:t>,</w:t>
      </w:r>
      <w:r w:rsidR="0087110C" w:rsidRPr="00295637">
        <w:rPr>
          <w:rFonts w:ascii="Times New Roman" w:hAnsi="Times New Roman"/>
          <w:lang w:val="sr-Latn-BA"/>
        </w:rPr>
        <w:t xml:space="preserve"> </w:t>
      </w:r>
      <w:r>
        <w:rPr>
          <w:rFonts w:ascii="Times New Roman" w:hAnsi="Times New Roman"/>
          <w:lang w:val="sr-Latn-BA"/>
        </w:rPr>
        <w:t>процесуираним</w:t>
      </w:r>
      <w:r w:rsidR="008609AA" w:rsidRPr="00295637">
        <w:rPr>
          <w:rFonts w:ascii="Times New Roman" w:hAnsi="Times New Roman"/>
          <w:lang w:val="sr-Latn-BA"/>
        </w:rPr>
        <w:t xml:space="preserve"> </w:t>
      </w:r>
      <w:r>
        <w:rPr>
          <w:rFonts w:ascii="Times New Roman" w:hAnsi="Times New Roman"/>
          <w:lang w:val="sr-Latn-BA"/>
        </w:rPr>
        <w:t>починиоцима</w:t>
      </w:r>
      <w:r w:rsidR="008609AA" w:rsidRPr="00295637">
        <w:rPr>
          <w:rFonts w:ascii="Times New Roman" w:hAnsi="Times New Roman"/>
          <w:lang w:val="sr-Latn-BA"/>
        </w:rPr>
        <w:t xml:space="preserve"> </w:t>
      </w:r>
      <w:r>
        <w:rPr>
          <w:rFonts w:ascii="Times New Roman" w:hAnsi="Times New Roman"/>
          <w:lang w:val="sr-Latn-BA"/>
        </w:rPr>
        <w:t>кривичних</w:t>
      </w:r>
      <w:r w:rsidR="008609AA" w:rsidRPr="00295637">
        <w:rPr>
          <w:rFonts w:ascii="Times New Roman" w:hAnsi="Times New Roman"/>
          <w:lang w:val="sr-Latn-BA"/>
        </w:rPr>
        <w:t xml:space="preserve"> </w:t>
      </w:r>
      <w:r>
        <w:rPr>
          <w:rFonts w:ascii="Times New Roman" w:hAnsi="Times New Roman"/>
          <w:lang w:val="sr-Latn-BA"/>
        </w:rPr>
        <w:t>дјела</w:t>
      </w:r>
      <w:r w:rsidR="008609AA" w:rsidRPr="00295637">
        <w:rPr>
          <w:rFonts w:ascii="Times New Roman" w:hAnsi="Times New Roman"/>
          <w:lang w:val="sr-Latn-BA"/>
        </w:rPr>
        <w:t>,</w:t>
      </w:r>
      <w:r w:rsidR="0087110C" w:rsidRPr="00295637">
        <w:rPr>
          <w:rFonts w:ascii="Times New Roman" w:hAnsi="Times New Roman"/>
          <w:lang w:val="sr-Latn-BA"/>
        </w:rPr>
        <w:t xml:space="preserve"> </w:t>
      </w:r>
      <w:r>
        <w:rPr>
          <w:rFonts w:ascii="Times New Roman" w:hAnsi="Times New Roman"/>
          <w:lang w:val="sr-Latn-BA"/>
        </w:rPr>
        <w:t>стопи</w:t>
      </w:r>
      <w:r w:rsidR="008609AA" w:rsidRPr="00295637">
        <w:rPr>
          <w:rFonts w:ascii="Times New Roman" w:hAnsi="Times New Roman"/>
          <w:lang w:val="sr-Latn-BA"/>
        </w:rPr>
        <w:t xml:space="preserve"> </w:t>
      </w:r>
      <w:r>
        <w:rPr>
          <w:rFonts w:ascii="Times New Roman" w:hAnsi="Times New Roman"/>
          <w:lang w:val="sr-Latn-BA"/>
        </w:rPr>
        <w:t>распрострањености</w:t>
      </w:r>
      <w:r w:rsidR="008609AA" w:rsidRPr="00295637">
        <w:rPr>
          <w:rFonts w:ascii="Times New Roman" w:hAnsi="Times New Roman"/>
          <w:lang w:val="sr-Latn-BA"/>
        </w:rPr>
        <w:t xml:space="preserve"> </w:t>
      </w:r>
      <w:r>
        <w:rPr>
          <w:rFonts w:ascii="Times New Roman" w:hAnsi="Times New Roman"/>
          <w:lang w:val="sr-Latn-BA"/>
        </w:rPr>
        <w:t>насиља</w:t>
      </w:r>
      <w:r w:rsidR="008609AA" w:rsidRPr="00295637">
        <w:rPr>
          <w:rFonts w:ascii="Times New Roman" w:hAnsi="Times New Roman"/>
          <w:lang w:val="sr-Latn-BA"/>
        </w:rPr>
        <w:t xml:space="preserve"> </w:t>
      </w:r>
      <w:r>
        <w:rPr>
          <w:rFonts w:ascii="Times New Roman" w:hAnsi="Times New Roman"/>
          <w:lang w:val="sr-Latn-BA"/>
        </w:rPr>
        <w:t>над</w:t>
      </w:r>
      <w:r w:rsidR="008609AA" w:rsidRPr="00295637">
        <w:rPr>
          <w:rFonts w:ascii="Times New Roman" w:hAnsi="Times New Roman"/>
          <w:lang w:val="sr-Latn-BA"/>
        </w:rPr>
        <w:t xml:space="preserve"> </w:t>
      </w:r>
      <w:r>
        <w:rPr>
          <w:rFonts w:ascii="Times New Roman" w:hAnsi="Times New Roman"/>
          <w:lang w:val="sr-Latn-BA"/>
        </w:rPr>
        <w:t>женама</w:t>
      </w:r>
      <w:r w:rsidR="008609AA" w:rsidRPr="00295637">
        <w:rPr>
          <w:rFonts w:ascii="Times New Roman" w:hAnsi="Times New Roman"/>
          <w:lang w:val="sr-Latn-BA"/>
        </w:rPr>
        <w:t>,</w:t>
      </w:r>
      <w:r w:rsidR="0087110C" w:rsidRPr="00295637">
        <w:rPr>
          <w:rFonts w:ascii="Times New Roman" w:hAnsi="Times New Roman"/>
          <w:lang w:val="sr-Latn-BA"/>
        </w:rPr>
        <w:t xml:space="preserve"> </w:t>
      </w:r>
      <w:r>
        <w:rPr>
          <w:rFonts w:ascii="Times New Roman" w:hAnsi="Times New Roman"/>
          <w:lang w:val="sr-Latn-BA"/>
        </w:rPr>
        <w:t>прегледу</w:t>
      </w:r>
      <w:r w:rsidR="008609AA" w:rsidRPr="00295637">
        <w:rPr>
          <w:rFonts w:ascii="Times New Roman" w:hAnsi="Times New Roman"/>
          <w:lang w:val="sr-Latn-BA"/>
        </w:rPr>
        <w:t xml:space="preserve"> </w:t>
      </w:r>
      <w:r>
        <w:rPr>
          <w:rFonts w:ascii="Times New Roman" w:hAnsi="Times New Roman"/>
          <w:lang w:val="sr-Latn-BA"/>
        </w:rPr>
        <w:t>броја</w:t>
      </w:r>
      <w:r w:rsidR="008609AA" w:rsidRPr="00295637">
        <w:rPr>
          <w:rFonts w:ascii="Times New Roman" w:hAnsi="Times New Roman"/>
          <w:lang w:val="sr-Latn-BA"/>
        </w:rPr>
        <w:t xml:space="preserve"> </w:t>
      </w:r>
      <w:r>
        <w:rPr>
          <w:rFonts w:ascii="Times New Roman" w:hAnsi="Times New Roman"/>
          <w:lang w:val="sr-Latn-BA"/>
        </w:rPr>
        <w:t>пријављених</w:t>
      </w:r>
      <w:r w:rsidR="008609AA" w:rsidRPr="00295637">
        <w:rPr>
          <w:rFonts w:ascii="Times New Roman" w:hAnsi="Times New Roman"/>
          <w:lang w:val="sr-Latn-BA"/>
        </w:rPr>
        <w:t xml:space="preserve"> </w:t>
      </w:r>
      <w:r>
        <w:rPr>
          <w:rFonts w:ascii="Times New Roman" w:hAnsi="Times New Roman"/>
          <w:lang w:val="sr-Latn-BA"/>
        </w:rPr>
        <w:t>жртава</w:t>
      </w:r>
      <w:r w:rsidR="008609AA" w:rsidRPr="00295637">
        <w:rPr>
          <w:rFonts w:ascii="Times New Roman" w:hAnsi="Times New Roman"/>
          <w:lang w:val="sr-Latn-BA"/>
        </w:rPr>
        <w:t xml:space="preserve"> </w:t>
      </w:r>
      <w:r>
        <w:rPr>
          <w:rFonts w:ascii="Times New Roman" w:hAnsi="Times New Roman"/>
          <w:lang w:val="sr-Latn-BA"/>
        </w:rPr>
        <w:t>на</w:t>
      </w:r>
      <w:r w:rsidR="008609AA" w:rsidRPr="00295637">
        <w:rPr>
          <w:rFonts w:ascii="Times New Roman" w:hAnsi="Times New Roman"/>
          <w:lang w:val="sr-Latn-BA"/>
        </w:rPr>
        <w:t xml:space="preserve"> </w:t>
      </w:r>
      <w:r>
        <w:rPr>
          <w:rFonts w:ascii="Times New Roman" w:hAnsi="Times New Roman"/>
          <w:lang w:val="sr-Latn-BA"/>
        </w:rPr>
        <w:t>СОС</w:t>
      </w:r>
      <w:r w:rsidR="008609AA" w:rsidRPr="00295637">
        <w:rPr>
          <w:rFonts w:ascii="Times New Roman" w:hAnsi="Times New Roman"/>
          <w:lang w:val="sr-Latn-BA"/>
        </w:rPr>
        <w:t xml:space="preserve"> </w:t>
      </w:r>
      <w:r>
        <w:rPr>
          <w:rFonts w:ascii="Times New Roman" w:hAnsi="Times New Roman"/>
          <w:lang w:val="sr-Latn-BA"/>
        </w:rPr>
        <w:t>телефонима</w:t>
      </w:r>
      <w:r w:rsidR="008609AA" w:rsidRPr="00295637">
        <w:rPr>
          <w:rFonts w:ascii="Times New Roman" w:hAnsi="Times New Roman"/>
          <w:lang w:val="sr-Latn-BA"/>
        </w:rPr>
        <w:t xml:space="preserve"> </w:t>
      </w:r>
      <w:r>
        <w:rPr>
          <w:rFonts w:ascii="Times New Roman" w:hAnsi="Times New Roman"/>
          <w:lang w:val="sr-Latn-BA"/>
        </w:rPr>
        <w:t>и</w:t>
      </w:r>
      <w:r w:rsidR="0087110C" w:rsidRPr="00295637">
        <w:rPr>
          <w:rFonts w:ascii="Times New Roman" w:hAnsi="Times New Roman"/>
          <w:lang w:val="sr-Latn-BA"/>
        </w:rPr>
        <w:t xml:space="preserve"> </w:t>
      </w:r>
      <w:r>
        <w:rPr>
          <w:rFonts w:ascii="Times New Roman" w:hAnsi="Times New Roman"/>
          <w:lang w:val="sr-Latn-BA"/>
        </w:rPr>
        <w:t>лицима</w:t>
      </w:r>
      <w:r w:rsidR="008609AA" w:rsidRPr="00295637">
        <w:rPr>
          <w:rFonts w:ascii="Times New Roman" w:hAnsi="Times New Roman"/>
          <w:lang w:val="sr-Latn-BA"/>
        </w:rPr>
        <w:t xml:space="preserve"> </w:t>
      </w:r>
      <w:r>
        <w:rPr>
          <w:rFonts w:ascii="Times New Roman" w:hAnsi="Times New Roman"/>
          <w:lang w:val="sr-Latn-BA"/>
        </w:rPr>
        <w:t>смјештеним</w:t>
      </w:r>
      <w:r w:rsidR="008609AA" w:rsidRPr="00295637">
        <w:rPr>
          <w:rFonts w:ascii="Times New Roman" w:hAnsi="Times New Roman"/>
          <w:lang w:val="sr-Latn-BA"/>
        </w:rPr>
        <w:t xml:space="preserve"> </w:t>
      </w:r>
      <w:r>
        <w:rPr>
          <w:rFonts w:ascii="Times New Roman" w:hAnsi="Times New Roman"/>
          <w:lang w:val="sr-Latn-BA"/>
        </w:rPr>
        <w:t>у</w:t>
      </w:r>
      <w:r w:rsidR="008609AA" w:rsidRPr="00295637">
        <w:rPr>
          <w:rFonts w:ascii="Times New Roman" w:hAnsi="Times New Roman"/>
          <w:lang w:val="sr-Latn-BA"/>
        </w:rPr>
        <w:t xml:space="preserve"> </w:t>
      </w:r>
      <w:r>
        <w:rPr>
          <w:rFonts w:ascii="Times New Roman" w:hAnsi="Times New Roman"/>
          <w:lang w:val="sr-Latn-BA"/>
        </w:rPr>
        <w:t>сигурним</w:t>
      </w:r>
      <w:r w:rsidR="008609AA" w:rsidRPr="00295637">
        <w:rPr>
          <w:rFonts w:ascii="Times New Roman" w:hAnsi="Times New Roman"/>
          <w:lang w:val="sr-Latn-BA"/>
        </w:rPr>
        <w:t xml:space="preserve"> </w:t>
      </w:r>
      <w:r>
        <w:rPr>
          <w:rFonts w:ascii="Times New Roman" w:hAnsi="Times New Roman"/>
          <w:lang w:val="sr-Latn-BA"/>
        </w:rPr>
        <w:t>кућама</w:t>
      </w:r>
      <w:r w:rsidR="008609AA" w:rsidRPr="00295637">
        <w:rPr>
          <w:rFonts w:ascii="Times New Roman" w:hAnsi="Times New Roman"/>
          <w:lang w:val="sr-Latn-BA"/>
        </w:rPr>
        <w:t>.</w:t>
      </w:r>
    </w:p>
    <w:p w:rsidR="008609AA" w:rsidRPr="00295637" w:rsidRDefault="008609AA" w:rsidP="0086268D">
      <w:pPr>
        <w:pStyle w:val="ListParagraph"/>
        <w:ind w:left="0"/>
        <w:jc w:val="both"/>
        <w:rPr>
          <w:rFonts w:ascii="Times New Roman" w:hAnsi="Times New Roman"/>
          <w:lang w:val="sr-Latn-BA"/>
        </w:rPr>
      </w:pPr>
    </w:p>
    <w:p w:rsidR="008609AA" w:rsidRPr="00295637" w:rsidRDefault="00C6214E" w:rsidP="0086268D">
      <w:pPr>
        <w:jc w:val="both"/>
        <w:rPr>
          <w:rFonts w:ascii="Times New Roman" w:hAnsi="Times New Roman"/>
          <w:lang w:val="sr-Latn-BA"/>
        </w:rPr>
      </w:pPr>
      <w:r>
        <w:rPr>
          <w:rFonts w:ascii="Times New Roman" w:hAnsi="Times New Roman"/>
          <w:lang w:val="sr-Latn-BA"/>
        </w:rPr>
        <w:t>МПОС</w:t>
      </w:r>
      <w:r w:rsidR="0087110C" w:rsidRPr="00295637">
        <w:rPr>
          <w:rFonts w:ascii="Times New Roman" w:hAnsi="Times New Roman"/>
          <w:lang w:val="sr-Latn-BA"/>
        </w:rPr>
        <w:t xml:space="preserve"> </w:t>
      </w:r>
      <w:r>
        <w:rPr>
          <w:rFonts w:ascii="Times New Roman" w:hAnsi="Times New Roman"/>
          <w:lang w:val="sr-Latn-BA"/>
        </w:rPr>
        <w:t>РС</w:t>
      </w:r>
      <w:r w:rsidR="008609AA" w:rsidRPr="00295637">
        <w:rPr>
          <w:rFonts w:ascii="Times New Roman" w:hAnsi="Times New Roman"/>
          <w:lang w:val="sr-Latn-BA"/>
        </w:rPr>
        <w:t xml:space="preserve">, </w:t>
      </w:r>
      <w:r>
        <w:rPr>
          <w:rFonts w:ascii="Times New Roman" w:hAnsi="Times New Roman"/>
          <w:lang w:val="sr-Latn-BA"/>
        </w:rPr>
        <w:t>у</w:t>
      </w:r>
      <w:r w:rsidR="00535B0D">
        <w:rPr>
          <w:rFonts w:ascii="Times New Roman" w:hAnsi="Times New Roman"/>
          <w:lang w:val="sr-Latn-BA"/>
        </w:rPr>
        <w:t xml:space="preserve"> </w:t>
      </w:r>
      <w:r>
        <w:rPr>
          <w:rFonts w:ascii="Times New Roman" w:hAnsi="Times New Roman"/>
          <w:lang w:val="sr-Latn-BA"/>
        </w:rPr>
        <w:t>складу</w:t>
      </w:r>
      <w:r w:rsidR="00535B0D">
        <w:rPr>
          <w:rFonts w:ascii="Times New Roman" w:hAnsi="Times New Roman"/>
          <w:lang w:val="sr-Latn-BA"/>
        </w:rPr>
        <w:t xml:space="preserve"> </w:t>
      </w:r>
      <w:r>
        <w:rPr>
          <w:rFonts w:ascii="Times New Roman" w:hAnsi="Times New Roman"/>
          <w:lang w:val="sr-Latn-BA"/>
        </w:rPr>
        <w:t>са</w:t>
      </w:r>
      <w:r w:rsidR="00E778AA">
        <w:rPr>
          <w:rFonts w:ascii="Times New Roman" w:hAnsi="Times New Roman"/>
          <w:lang w:val="sr-Latn-BA"/>
        </w:rPr>
        <w:t xml:space="preserve"> </w:t>
      </w:r>
      <w:r>
        <w:rPr>
          <w:rFonts w:ascii="Times New Roman" w:hAnsi="Times New Roman"/>
          <w:lang w:val="sr-Latn-BA"/>
        </w:rPr>
        <w:t>обвезама</w:t>
      </w:r>
      <w:r w:rsidR="008609AA" w:rsidRPr="00295637">
        <w:rPr>
          <w:rFonts w:ascii="Times New Roman" w:hAnsi="Times New Roman"/>
          <w:lang w:val="sr-Latn-BA"/>
        </w:rPr>
        <w:t xml:space="preserve"> </w:t>
      </w:r>
      <w:r>
        <w:rPr>
          <w:rFonts w:ascii="Times New Roman" w:hAnsi="Times New Roman"/>
          <w:lang w:val="sr-Latn-BA"/>
        </w:rPr>
        <w:t>према</w:t>
      </w:r>
      <w:r w:rsidR="008609AA" w:rsidRPr="00295637">
        <w:rPr>
          <w:rFonts w:ascii="Times New Roman" w:hAnsi="Times New Roman"/>
          <w:lang w:val="sr-Latn-BA"/>
        </w:rPr>
        <w:t xml:space="preserve"> </w:t>
      </w:r>
      <w:r>
        <w:rPr>
          <w:rFonts w:ascii="Times New Roman" w:hAnsi="Times New Roman"/>
          <w:lang w:val="sr-Latn-BA"/>
        </w:rPr>
        <w:t>Закону</w:t>
      </w:r>
      <w:r w:rsidR="008609AA" w:rsidRPr="00295637">
        <w:rPr>
          <w:rFonts w:ascii="Times New Roman" w:hAnsi="Times New Roman"/>
          <w:lang w:val="sr-Latn-BA"/>
        </w:rPr>
        <w:t xml:space="preserve"> </w:t>
      </w:r>
      <w:r>
        <w:rPr>
          <w:rFonts w:ascii="Times New Roman" w:hAnsi="Times New Roman"/>
          <w:lang w:val="sr-Latn-BA"/>
        </w:rPr>
        <w:t>о</w:t>
      </w:r>
      <w:r w:rsidR="008609AA" w:rsidRPr="00295637">
        <w:rPr>
          <w:rFonts w:ascii="Times New Roman" w:hAnsi="Times New Roman"/>
          <w:lang w:val="sr-Latn-BA"/>
        </w:rPr>
        <w:t xml:space="preserve"> </w:t>
      </w:r>
      <w:r>
        <w:rPr>
          <w:rFonts w:ascii="Times New Roman" w:hAnsi="Times New Roman"/>
          <w:lang w:val="sr-Latn-BA"/>
        </w:rPr>
        <w:t>заштити</w:t>
      </w:r>
      <w:r w:rsidR="008609AA" w:rsidRPr="00295637">
        <w:rPr>
          <w:rFonts w:ascii="Times New Roman" w:hAnsi="Times New Roman"/>
          <w:lang w:val="sr-Latn-BA"/>
        </w:rPr>
        <w:t xml:space="preserve"> </w:t>
      </w:r>
      <w:r>
        <w:rPr>
          <w:rFonts w:ascii="Times New Roman" w:hAnsi="Times New Roman"/>
          <w:lang w:val="sr-Latn-BA"/>
        </w:rPr>
        <w:t>од</w:t>
      </w:r>
      <w:r w:rsidR="008609AA" w:rsidRPr="00295637">
        <w:rPr>
          <w:rFonts w:ascii="Times New Roman" w:hAnsi="Times New Roman"/>
          <w:lang w:val="sr-Latn-BA"/>
        </w:rPr>
        <w:t xml:space="preserve"> </w:t>
      </w:r>
      <w:r>
        <w:rPr>
          <w:rFonts w:ascii="Times New Roman" w:hAnsi="Times New Roman"/>
          <w:lang w:val="sr-Latn-BA"/>
        </w:rPr>
        <w:t>насиља</w:t>
      </w:r>
      <w:r w:rsidR="008609AA" w:rsidRPr="00295637">
        <w:rPr>
          <w:rFonts w:ascii="Times New Roman" w:hAnsi="Times New Roman"/>
          <w:lang w:val="sr-Latn-BA"/>
        </w:rPr>
        <w:t xml:space="preserve"> </w:t>
      </w:r>
      <w:r>
        <w:rPr>
          <w:rFonts w:ascii="Times New Roman" w:hAnsi="Times New Roman"/>
          <w:lang w:val="sr-Latn-BA"/>
        </w:rPr>
        <w:t>у</w:t>
      </w:r>
      <w:r w:rsidR="008609AA" w:rsidRPr="00295637">
        <w:rPr>
          <w:rFonts w:ascii="Times New Roman" w:hAnsi="Times New Roman"/>
          <w:lang w:val="sr-Latn-BA"/>
        </w:rPr>
        <w:t xml:space="preserve"> </w:t>
      </w:r>
      <w:r>
        <w:rPr>
          <w:rFonts w:ascii="Times New Roman" w:hAnsi="Times New Roman"/>
          <w:lang w:val="sr-Latn-BA"/>
        </w:rPr>
        <w:t>породици</w:t>
      </w:r>
      <w:r w:rsidR="0086156D">
        <w:rPr>
          <w:rFonts w:ascii="Times New Roman" w:hAnsi="Times New Roman"/>
          <w:lang w:val="sr-Latn-BA"/>
        </w:rPr>
        <w:t xml:space="preserve"> </w:t>
      </w:r>
      <w:r>
        <w:rPr>
          <w:rFonts w:ascii="Times New Roman" w:hAnsi="Times New Roman"/>
          <w:lang w:val="sr-Latn-BA"/>
        </w:rPr>
        <w:t>РС</w:t>
      </w:r>
      <w:r w:rsidR="008609AA" w:rsidRPr="00295637">
        <w:rPr>
          <w:rFonts w:ascii="Times New Roman" w:hAnsi="Times New Roman"/>
          <w:lang w:val="sr-Latn-BA"/>
        </w:rPr>
        <w:t xml:space="preserve">, </w:t>
      </w:r>
      <w:r>
        <w:rPr>
          <w:rFonts w:ascii="Times New Roman" w:hAnsi="Times New Roman"/>
          <w:lang w:val="sr-Latn-BA"/>
        </w:rPr>
        <w:t>редовно</w:t>
      </w:r>
      <w:r w:rsidR="008609AA" w:rsidRPr="00295637">
        <w:rPr>
          <w:rFonts w:ascii="Times New Roman" w:hAnsi="Times New Roman"/>
          <w:lang w:val="sr-Latn-BA"/>
        </w:rPr>
        <w:t xml:space="preserve"> </w:t>
      </w:r>
      <w:r>
        <w:rPr>
          <w:rFonts w:ascii="Times New Roman" w:hAnsi="Times New Roman"/>
          <w:lang w:val="sr-Latn-BA"/>
        </w:rPr>
        <w:t>објављује</w:t>
      </w:r>
      <w:r w:rsidR="008609AA" w:rsidRPr="00295637">
        <w:rPr>
          <w:rFonts w:ascii="Times New Roman" w:hAnsi="Times New Roman"/>
          <w:lang w:val="sr-Latn-BA"/>
        </w:rPr>
        <w:t xml:space="preserve"> </w:t>
      </w:r>
      <w:r>
        <w:rPr>
          <w:rFonts w:ascii="Times New Roman" w:hAnsi="Times New Roman"/>
          <w:lang w:val="sr-Latn-BA"/>
        </w:rPr>
        <w:t>шестомјесечне</w:t>
      </w:r>
      <w:r w:rsidR="008609AA" w:rsidRPr="00295637">
        <w:rPr>
          <w:rFonts w:ascii="Times New Roman" w:hAnsi="Times New Roman"/>
          <w:lang w:val="sr-Latn-BA"/>
        </w:rPr>
        <w:t xml:space="preserve"> </w:t>
      </w:r>
      <w:r>
        <w:rPr>
          <w:rFonts w:ascii="Times New Roman" w:hAnsi="Times New Roman"/>
          <w:lang w:val="sr-Latn-BA"/>
        </w:rPr>
        <w:t>податке</w:t>
      </w:r>
      <w:r w:rsidR="008609AA" w:rsidRPr="00295637">
        <w:rPr>
          <w:rFonts w:ascii="Times New Roman" w:hAnsi="Times New Roman"/>
          <w:lang w:val="sr-Latn-BA"/>
        </w:rPr>
        <w:t xml:space="preserve"> </w:t>
      </w:r>
      <w:r>
        <w:rPr>
          <w:rFonts w:ascii="Times New Roman" w:hAnsi="Times New Roman"/>
          <w:lang w:val="sr-Latn-BA"/>
        </w:rPr>
        <w:t>о</w:t>
      </w:r>
      <w:r w:rsidR="008609AA" w:rsidRPr="00295637">
        <w:rPr>
          <w:rFonts w:ascii="Times New Roman" w:hAnsi="Times New Roman"/>
          <w:lang w:val="sr-Latn-BA"/>
        </w:rPr>
        <w:t xml:space="preserve"> </w:t>
      </w:r>
      <w:r>
        <w:rPr>
          <w:rFonts w:ascii="Times New Roman" w:hAnsi="Times New Roman"/>
          <w:lang w:val="sr-Latn-BA"/>
        </w:rPr>
        <w:t>насиљу</w:t>
      </w:r>
      <w:r w:rsidR="008609AA" w:rsidRPr="00295637">
        <w:rPr>
          <w:rFonts w:ascii="Times New Roman" w:hAnsi="Times New Roman"/>
          <w:lang w:val="sr-Latn-BA"/>
        </w:rPr>
        <w:t xml:space="preserve"> </w:t>
      </w:r>
      <w:r>
        <w:rPr>
          <w:rFonts w:ascii="Times New Roman" w:hAnsi="Times New Roman"/>
          <w:lang w:val="sr-Latn-BA"/>
        </w:rPr>
        <w:t>у</w:t>
      </w:r>
      <w:r w:rsidR="008609AA" w:rsidRPr="00295637">
        <w:rPr>
          <w:rFonts w:ascii="Times New Roman" w:hAnsi="Times New Roman"/>
          <w:lang w:val="sr-Latn-BA"/>
        </w:rPr>
        <w:t xml:space="preserve"> </w:t>
      </w:r>
      <w:r>
        <w:rPr>
          <w:rFonts w:ascii="Times New Roman" w:hAnsi="Times New Roman"/>
          <w:lang w:val="sr-Latn-BA"/>
        </w:rPr>
        <w:t>породици</w:t>
      </w:r>
      <w:r w:rsidR="008609AA" w:rsidRPr="00295637">
        <w:rPr>
          <w:rFonts w:ascii="Times New Roman" w:hAnsi="Times New Roman"/>
          <w:lang w:val="sr-Latn-BA"/>
        </w:rPr>
        <w:t xml:space="preserve">, </w:t>
      </w:r>
      <w:r>
        <w:rPr>
          <w:rFonts w:ascii="Times New Roman" w:hAnsi="Times New Roman"/>
          <w:lang w:val="sr-Latn-BA"/>
        </w:rPr>
        <w:t>прикупљене</w:t>
      </w:r>
      <w:r w:rsidR="008609AA" w:rsidRPr="00295637">
        <w:rPr>
          <w:rFonts w:ascii="Times New Roman" w:hAnsi="Times New Roman"/>
          <w:lang w:val="sr-Latn-BA"/>
        </w:rPr>
        <w:t xml:space="preserve"> </w:t>
      </w:r>
      <w:r>
        <w:rPr>
          <w:rFonts w:ascii="Times New Roman" w:hAnsi="Times New Roman"/>
          <w:lang w:val="sr-Latn-BA"/>
        </w:rPr>
        <w:t>од</w:t>
      </w:r>
      <w:r w:rsidR="008609AA" w:rsidRPr="00295637">
        <w:rPr>
          <w:rFonts w:ascii="Times New Roman" w:hAnsi="Times New Roman"/>
          <w:lang w:val="sr-Latn-BA"/>
        </w:rPr>
        <w:t xml:space="preserve"> </w:t>
      </w:r>
      <w:r>
        <w:rPr>
          <w:rFonts w:ascii="Times New Roman" w:hAnsi="Times New Roman"/>
          <w:lang w:val="sr-Latn-BA"/>
        </w:rPr>
        <w:t>субјеката</w:t>
      </w:r>
      <w:r w:rsidR="008609AA" w:rsidRPr="00295637">
        <w:rPr>
          <w:rFonts w:ascii="Times New Roman" w:hAnsi="Times New Roman"/>
          <w:lang w:val="sr-Latn-BA"/>
        </w:rPr>
        <w:t xml:space="preserve"> </w:t>
      </w:r>
      <w:r>
        <w:rPr>
          <w:rFonts w:ascii="Times New Roman" w:hAnsi="Times New Roman"/>
          <w:lang w:val="sr-Latn-BA"/>
        </w:rPr>
        <w:t>заштите</w:t>
      </w:r>
      <w:r w:rsidR="008609AA" w:rsidRPr="00295637">
        <w:rPr>
          <w:rFonts w:ascii="Times New Roman" w:hAnsi="Times New Roman"/>
          <w:lang w:val="sr-Latn-BA"/>
        </w:rPr>
        <w:t xml:space="preserve">. </w:t>
      </w:r>
      <w:r>
        <w:rPr>
          <w:rFonts w:ascii="Times New Roman" w:hAnsi="Times New Roman"/>
          <w:lang w:val="sr-Latn-BA"/>
        </w:rPr>
        <w:t>У</w:t>
      </w:r>
      <w:r w:rsidR="008609AA" w:rsidRPr="00295637">
        <w:rPr>
          <w:rFonts w:ascii="Times New Roman" w:hAnsi="Times New Roman"/>
          <w:lang w:val="sr-Latn-BA"/>
        </w:rPr>
        <w:t xml:space="preserve"> 2024. </w:t>
      </w:r>
      <w:r>
        <w:rPr>
          <w:rFonts w:ascii="Times New Roman" w:hAnsi="Times New Roman"/>
          <w:lang w:val="sr-Latn-BA"/>
        </w:rPr>
        <w:t>години</w:t>
      </w:r>
      <w:r w:rsidR="008609AA" w:rsidRPr="00295637">
        <w:rPr>
          <w:rFonts w:ascii="Times New Roman" w:hAnsi="Times New Roman"/>
          <w:lang w:val="sr-Latn-BA"/>
        </w:rPr>
        <w:t xml:space="preserve">, </w:t>
      </w:r>
      <w:r>
        <w:rPr>
          <w:rFonts w:ascii="Times New Roman" w:hAnsi="Times New Roman"/>
          <w:lang w:val="sr-Latn-BA"/>
        </w:rPr>
        <w:t>објављени</w:t>
      </w:r>
      <w:r w:rsidR="008609AA" w:rsidRPr="00295637">
        <w:rPr>
          <w:rFonts w:ascii="Times New Roman" w:hAnsi="Times New Roman"/>
          <w:lang w:val="sr-Latn-BA"/>
        </w:rPr>
        <w:t xml:space="preserve"> </w:t>
      </w:r>
      <w:r>
        <w:rPr>
          <w:rFonts w:ascii="Times New Roman" w:hAnsi="Times New Roman"/>
          <w:lang w:val="sr-Latn-BA"/>
        </w:rPr>
        <w:t>су</w:t>
      </w:r>
      <w:r w:rsidR="008609AA" w:rsidRPr="00295637">
        <w:rPr>
          <w:rFonts w:ascii="Times New Roman" w:hAnsi="Times New Roman"/>
          <w:lang w:val="sr-Latn-BA"/>
        </w:rPr>
        <w:t xml:space="preserve"> </w:t>
      </w:r>
      <w:r>
        <w:rPr>
          <w:rFonts w:ascii="Times New Roman" w:hAnsi="Times New Roman"/>
          <w:lang w:val="sr-Latn-BA"/>
        </w:rPr>
        <w:t>подаци</w:t>
      </w:r>
      <w:r w:rsidR="008609AA" w:rsidRPr="00295637">
        <w:rPr>
          <w:rFonts w:ascii="Times New Roman" w:hAnsi="Times New Roman"/>
          <w:lang w:val="sr-Latn-BA"/>
        </w:rPr>
        <w:t xml:space="preserve"> </w:t>
      </w:r>
      <w:r>
        <w:rPr>
          <w:rFonts w:ascii="Times New Roman" w:hAnsi="Times New Roman"/>
          <w:lang w:val="sr-Latn-BA"/>
        </w:rPr>
        <w:t>субјеката</w:t>
      </w:r>
      <w:r w:rsidR="008609AA" w:rsidRPr="00295637">
        <w:rPr>
          <w:rFonts w:ascii="Times New Roman" w:hAnsi="Times New Roman"/>
          <w:lang w:val="sr-Latn-BA"/>
        </w:rPr>
        <w:t xml:space="preserve"> </w:t>
      </w:r>
      <w:r>
        <w:rPr>
          <w:rFonts w:ascii="Times New Roman" w:hAnsi="Times New Roman"/>
          <w:lang w:val="sr-Latn-BA"/>
        </w:rPr>
        <w:t>заштите</w:t>
      </w:r>
      <w:r w:rsidR="008609AA" w:rsidRPr="00295637">
        <w:rPr>
          <w:rFonts w:ascii="Times New Roman" w:hAnsi="Times New Roman"/>
          <w:lang w:val="sr-Latn-BA"/>
        </w:rPr>
        <w:t xml:space="preserve"> </w:t>
      </w:r>
      <w:r>
        <w:rPr>
          <w:rFonts w:ascii="Times New Roman" w:hAnsi="Times New Roman"/>
          <w:lang w:val="sr-Latn-BA"/>
        </w:rPr>
        <w:t>за</w:t>
      </w:r>
      <w:r w:rsidR="008609AA" w:rsidRPr="00295637">
        <w:rPr>
          <w:rFonts w:ascii="Times New Roman" w:hAnsi="Times New Roman"/>
          <w:lang w:val="sr-Latn-BA"/>
        </w:rPr>
        <w:t xml:space="preserve"> </w:t>
      </w:r>
      <w:r>
        <w:rPr>
          <w:rFonts w:ascii="Times New Roman" w:hAnsi="Times New Roman"/>
          <w:lang w:val="sr-Latn-BA"/>
        </w:rPr>
        <w:t>период</w:t>
      </w:r>
      <w:r w:rsidR="008609AA" w:rsidRPr="00295637">
        <w:rPr>
          <w:rFonts w:ascii="Times New Roman" w:hAnsi="Times New Roman"/>
          <w:lang w:val="sr-Latn-BA"/>
        </w:rPr>
        <w:t xml:space="preserve"> </w:t>
      </w:r>
      <w:r>
        <w:rPr>
          <w:rFonts w:ascii="Times New Roman" w:hAnsi="Times New Roman"/>
          <w:lang w:val="sr-Latn-BA"/>
        </w:rPr>
        <w:t>јануар</w:t>
      </w:r>
      <w:r w:rsidR="008609AA" w:rsidRPr="00295637">
        <w:rPr>
          <w:rFonts w:ascii="Times New Roman" w:hAnsi="Times New Roman"/>
          <w:lang w:val="sr-Latn-BA"/>
        </w:rPr>
        <w:t>-</w:t>
      </w:r>
      <w:r w:rsidR="00701567">
        <w:rPr>
          <w:rFonts w:ascii="Times New Roman" w:hAnsi="Times New Roman"/>
          <w:lang w:val="sr-Latn-BA"/>
        </w:rPr>
        <w:t>јун</w:t>
      </w:r>
      <w:r w:rsidR="008609AA" w:rsidRPr="00295637">
        <w:rPr>
          <w:rFonts w:ascii="Times New Roman" w:hAnsi="Times New Roman"/>
          <w:lang w:val="sr-Latn-BA"/>
        </w:rPr>
        <w:t xml:space="preserve"> </w:t>
      </w:r>
      <w:r>
        <w:rPr>
          <w:rFonts w:ascii="Times New Roman" w:hAnsi="Times New Roman"/>
          <w:lang w:val="sr-Latn-BA"/>
        </w:rPr>
        <w:t>и</w:t>
      </w:r>
      <w:r w:rsidR="008609AA" w:rsidRPr="00295637">
        <w:rPr>
          <w:rFonts w:ascii="Times New Roman" w:hAnsi="Times New Roman"/>
          <w:lang w:val="sr-Latn-BA"/>
        </w:rPr>
        <w:t xml:space="preserve"> </w:t>
      </w:r>
      <w:r w:rsidR="00701567">
        <w:rPr>
          <w:rFonts w:ascii="Times New Roman" w:hAnsi="Times New Roman"/>
          <w:lang w:val="sr-Latn-BA"/>
        </w:rPr>
        <w:t>јул</w:t>
      </w:r>
      <w:r w:rsidR="008609AA" w:rsidRPr="00295637">
        <w:rPr>
          <w:rFonts w:ascii="Times New Roman" w:hAnsi="Times New Roman"/>
          <w:lang w:val="sr-Latn-BA"/>
        </w:rPr>
        <w:t>-</w:t>
      </w:r>
      <w:r>
        <w:rPr>
          <w:rFonts w:ascii="Times New Roman" w:hAnsi="Times New Roman"/>
          <w:lang w:val="sr-Latn-BA"/>
        </w:rPr>
        <w:t>децембар</w:t>
      </w:r>
      <w:r w:rsidR="008609AA" w:rsidRPr="00295637">
        <w:rPr>
          <w:rFonts w:ascii="Times New Roman" w:hAnsi="Times New Roman"/>
          <w:lang w:val="sr-Latn-BA"/>
        </w:rPr>
        <w:t>.</w:t>
      </w:r>
    </w:p>
    <w:p w:rsidR="008609AA" w:rsidRPr="00295637" w:rsidRDefault="008609AA" w:rsidP="0086268D">
      <w:pPr>
        <w:jc w:val="both"/>
        <w:rPr>
          <w:rFonts w:ascii="Times New Roman" w:hAnsi="Times New Roman"/>
          <w:lang w:val="sr-Latn-BA"/>
        </w:rPr>
      </w:pPr>
    </w:p>
    <w:p w:rsidR="00C142CC" w:rsidRPr="00295637" w:rsidRDefault="00C6214E" w:rsidP="0086268D">
      <w:pPr>
        <w:jc w:val="both"/>
        <w:rPr>
          <w:rFonts w:ascii="Times New Roman" w:hAnsi="Times New Roman"/>
          <w:szCs w:val="24"/>
          <w:lang w:val="bs-Latn-BA"/>
        </w:rPr>
      </w:pPr>
      <w:r>
        <w:rPr>
          <w:rFonts w:ascii="Times New Roman" w:hAnsi="Times New Roman"/>
          <w:szCs w:val="24"/>
          <w:lang w:val="bs-Latn-BA"/>
        </w:rPr>
        <w:t>Информативни</w:t>
      </w:r>
      <w:r w:rsidR="00E778AA">
        <w:rPr>
          <w:rFonts w:ascii="Times New Roman" w:hAnsi="Times New Roman"/>
          <w:szCs w:val="24"/>
          <w:lang w:val="bs-Latn-BA"/>
        </w:rPr>
        <w:t xml:space="preserve"> </w:t>
      </w:r>
      <w:r>
        <w:rPr>
          <w:rFonts w:ascii="Times New Roman" w:hAnsi="Times New Roman"/>
          <w:szCs w:val="24"/>
          <w:lang w:val="bs-Latn-BA"/>
        </w:rPr>
        <w:t>центар</w:t>
      </w:r>
      <w:r w:rsidR="00E778AA">
        <w:rPr>
          <w:rFonts w:ascii="Times New Roman" w:hAnsi="Times New Roman"/>
          <w:szCs w:val="24"/>
          <w:lang w:val="bs-Latn-BA"/>
        </w:rPr>
        <w:t xml:space="preserve"> </w:t>
      </w:r>
      <w:r>
        <w:rPr>
          <w:rFonts w:ascii="Times New Roman" w:hAnsi="Times New Roman"/>
          <w:szCs w:val="24"/>
          <w:lang w:val="bs-Latn-BA"/>
        </w:rPr>
        <w:t>за</w:t>
      </w:r>
      <w:r w:rsidR="00E778AA">
        <w:rPr>
          <w:rFonts w:ascii="Times New Roman" w:hAnsi="Times New Roman"/>
          <w:szCs w:val="24"/>
          <w:lang w:val="bs-Latn-BA"/>
        </w:rPr>
        <w:t xml:space="preserve"> </w:t>
      </w:r>
      <w:r>
        <w:rPr>
          <w:rFonts w:ascii="Times New Roman" w:hAnsi="Times New Roman"/>
          <w:szCs w:val="24"/>
          <w:lang w:val="bs-Latn-BA"/>
        </w:rPr>
        <w:t>лица</w:t>
      </w:r>
      <w:r w:rsidR="00E778AA">
        <w:rPr>
          <w:rFonts w:ascii="Times New Roman" w:hAnsi="Times New Roman"/>
          <w:szCs w:val="24"/>
          <w:lang w:val="bs-Latn-BA"/>
        </w:rPr>
        <w:t xml:space="preserve"> </w:t>
      </w:r>
      <w:r>
        <w:rPr>
          <w:rFonts w:ascii="Times New Roman" w:hAnsi="Times New Roman"/>
          <w:szCs w:val="24"/>
          <w:lang w:val="bs-Latn-BA"/>
        </w:rPr>
        <w:t>са</w:t>
      </w:r>
      <w:r w:rsidR="00D41A15" w:rsidRPr="00295637">
        <w:rPr>
          <w:rFonts w:ascii="Times New Roman" w:hAnsi="Times New Roman"/>
          <w:szCs w:val="24"/>
          <w:lang w:val="bs-Latn-BA"/>
        </w:rPr>
        <w:t xml:space="preserve"> </w:t>
      </w:r>
      <w:r>
        <w:rPr>
          <w:rFonts w:ascii="Times New Roman" w:hAnsi="Times New Roman"/>
          <w:szCs w:val="24"/>
          <w:lang w:val="bs-Latn-BA"/>
        </w:rPr>
        <w:t>инвалидитетом</w:t>
      </w:r>
      <w:r w:rsidR="00D41A15" w:rsidRPr="00295637">
        <w:rPr>
          <w:rFonts w:ascii="Times New Roman" w:hAnsi="Times New Roman"/>
          <w:szCs w:val="24"/>
          <w:lang w:val="bs-Latn-BA"/>
        </w:rPr>
        <w:t xml:space="preserve"> „</w:t>
      </w:r>
      <w:r>
        <w:rPr>
          <w:rFonts w:ascii="Times New Roman" w:hAnsi="Times New Roman"/>
          <w:szCs w:val="24"/>
          <w:lang w:val="bs-Latn-BA"/>
        </w:rPr>
        <w:t>Лотос</w:t>
      </w:r>
      <w:r w:rsidR="00D41A15" w:rsidRPr="00295637">
        <w:rPr>
          <w:rFonts w:ascii="Times New Roman" w:hAnsi="Times New Roman"/>
          <w:szCs w:val="24"/>
          <w:lang w:val="bs-Latn-BA"/>
        </w:rPr>
        <w:t xml:space="preserve">“ </w:t>
      </w:r>
      <w:r>
        <w:rPr>
          <w:rFonts w:ascii="Times New Roman" w:hAnsi="Times New Roman"/>
          <w:szCs w:val="24"/>
          <w:lang w:val="bs-Latn-BA"/>
        </w:rPr>
        <w:t>Тузла</w:t>
      </w:r>
      <w:r w:rsidR="00D41A15" w:rsidRPr="00295637">
        <w:rPr>
          <w:rFonts w:ascii="Times New Roman" w:hAnsi="Times New Roman"/>
          <w:szCs w:val="24"/>
          <w:lang w:val="bs-Latn-BA"/>
        </w:rPr>
        <w:t xml:space="preserve"> </w:t>
      </w:r>
      <w:r>
        <w:rPr>
          <w:rFonts w:ascii="Times New Roman" w:hAnsi="Times New Roman"/>
          <w:szCs w:val="24"/>
          <w:lang w:val="bs-Latn-BA"/>
        </w:rPr>
        <w:t>је</w:t>
      </w:r>
      <w:r w:rsidR="00D41A15" w:rsidRPr="00295637">
        <w:rPr>
          <w:rFonts w:ascii="Times New Roman" w:hAnsi="Times New Roman"/>
          <w:szCs w:val="24"/>
          <w:lang w:val="bs-Latn-BA"/>
        </w:rPr>
        <w:t xml:space="preserve"> </w:t>
      </w:r>
      <w:r>
        <w:rPr>
          <w:rFonts w:ascii="Times New Roman" w:hAnsi="Times New Roman"/>
          <w:szCs w:val="24"/>
          <w:lang w:val="bs-Latn-BA"/>
        </w:rPr>
        <w:t>у</w:t>
      </w:r>
      <w:r w:rsidR="00D41A15" w:rsidRPr="00295637">
        <w:rPr>
          <w:rFonts w:ascii="Times New Roman" w:hAnsi="Times New Roman"/>
          <w:szCs w:val="24"/>
          <w:lang w:val="bs-Latn-BA"/>
        </w:rPr>
        <w:t xml:space="preserve"> 2024. </w:t>
      </w:r>
      <w:r>
        <w:rPr>
          <w:rFonts w:ascii="Times New Roman" w:hAnsi="Times New Roman"/>
          <w:szCs w:val="24"/>
          <w:lang w:val="bs-Latn-BA"/>
        </w:rPr>
        <w:t>години</w:t>
      </w:r>
      <w:r w:rsidR="00D41A15" w:rsidRPr="00295637">
        <w:rPr>
          <w:rFonts w:ascii="Times New Roman" w:hAnsi="Times New Roman"/>
          <w:szCs w:val="24"/>
          <w:lang w:val="bs-Latn-BA"/>
        </w:rPr>
        <w:t xml:space="preserve"> </w:t>
      </w:r>
      <w:r>
        <w:rPr>
          <w:rFonts w:ascii="Times New Roman" w:hAnsi="Times New Roman"/>
          <w:szCs w:val="24"/>
          <w:lang w:val="bs-Latn-BA"/>
        </w:rPr>
        <w:t>издао</w:t>
      </w:r>
      <w:r w:rsidR="00D41A15" w:rsidRPr="00295637">
        <w:rPr>
          <w:rFonts w:ascii="Times New Roman" w:hAnsi="Times New Roman"/>
          <w:szCs w:val="24"/>
          <w:lang w:val="bs-Latn-BA"/>
        </w:rPr>
        <w:t xml:space="preserve"> </w:t>
      </w:r>
      <w:r>
        <w:rPr>
          <w:rFonts w:ascii="Times New Roman" w:hAnsi="Times New Roman"/>
          <w:szCs w:val="24"/>
          <w:lang w:val="bs-Latn-BA"/>
        </w:rPr>
        <w:t>Извјештај</w:t>
      </w:r>
      <w:r w:rsidR="00D41A15" w:rsidRPr="00295637">
        <w:rPr>
          <w:rFonts w:ascii="Times New Roman" w:hAnsi="Times New Roman"/>
          <w:szCs w:val="24"/>
          <w:lang w:val="bs-Latn-BA"/>
        </w:rPr>
        <w:t xml:space="preserve"> „</w:t>
      </w:r>
      <w:r>
        <w:rPr>
          <w:rFonts w:ascii="Times New Roman" w:hAnsi="Times New Roman"/>
          <w:bCs/>
          <w:szCs w:val="24"/>
          <w:lang w:val="bs-Latn-BA"/>
        </w:rPr>
        <w:t>Мапирање</w:t>
      </w:r>
      <w:r w:rsidR="00E778AA">
        <w:rPr>
          <w:rFonts w:ascii="Times New Roman" w:hAnsi="Times New Roman"/>
          <w:bCs/>
          <w:szCs w:val="24"/>
          <w:lang w:val="bs-Latn-BA"/>
        </w:rPr>
        <w:t xml:space="preserve"> </w:t>
      </w:r>
      <w:r>
        <w:rPr>
          <w:rFonts w:ascii="Times New Roman" w:hAnsi="Times New Roman"/>
          <w:bCs/>
          <w:szCs w:val="24"/>
          <w:lang w:val="bs-Latn-BA"/>
        </w:rPr>
        <w:t>приступачних</w:t>
      </w:r>
      <w:r w:rsidR="00E778AA">
        <w:rPr>
          <w:rFonts w:ascii="Times New Roman" w:hAnsi="Times New Roman"/>
          <w:bCs/>
          <w:szCs w:val="24"/>
          <w:lang w:val="bs-Latn-BA"/>
        </w:rPr>
        <w:t xml:space="preserve"> </w:t>
      </w:r>
      <w:r>
        <w:rPr>
          <w:rFonts w:ascii="Times New Roman" w:hAnsi="Times New Roman"/>
          <w:bCs/>
          <w:szCs w:val="24"/>
          <w:lang w:val="bs-Latn-BA"/>
        </w:rPr>
        <w:t>услуга</w:t>
      </w:r>
      <w:r w:rsidR="00E778AA">
        <w:rPr>
          <w:rFonts w:ascii="Times New Roman" w:hAnsi="Times New Roman"/>
          <w:bCs/>
          <w:szCs w:val="24"/>
          <w:lang w:val="bs-Latn-BA"/>
        </w:rPr>
        <w:t xml:space="preserve"> </w:t>
      </w:r>
      <w:r>
        <w:rPr>
          <w:rFonts w:ascii="Times New Roman" w:hAnsi="Times New Roman"/>
          <w:bCs/>
          <w:szCs w:val="24"/>
          <w:lang w:val="bs-Latn-BA"/>
        </w:rPr>
        <w:t>за</w:t>
      </w:r>
      <w:r w:rsidR="00E778AA">
        <w:rPr>
          <w:rFonts w:ascii="Times New Roman" w:hAnsi="Times New Roman"/>
          <w:bCs/>
          <w:szCs w:val="24"/>
          <w:lang w:val="bs-Latn-BA"/>
        </w:rPr>
        <w:t xml:space="preserve"> </w:t>
      </w:r>
      <w:r>
        <w:rPr>
          <w:rFonts w:ascii="Times New Roman" w:hAnsi="Times New Roman"/>
          <w:bCs/>
          <w:szCs w:val="24"/>
          <w:lang w:val="bs-Latn-BA"/>
        </w:rPr>
        <w:t>жене</w:t>
      </w:r>
      <w:r w:rsidR="00E778AA">
        <w:rPr>
          <w:rFonts w:ascii="Times New Roman" w:hAnsi="Times New Roman"/>
          <w:bCs/>
          <w:szCs w:val="24"/>
          <w:lang w:val="bs-Latn-BA"/>
        </w:rPr>
        <w:t xml:space="preserve"> </w:t>
      </w:r>
      <w:r>
        <w:rPr>
          <w:rFonts w:ascii="Times New Roman" w:hAnsi="Times New Roman"/>
          <w:bCs/>
          <w:szCs w:val="24"/>
          <w:lang w:val="bs-Latn-BA"/>
        </w:rPr>
        <w:t>са</w:t>
      </w:r>
      <w:r w:rsidR="00D41A15" w:rsidRPr="00295637">
        <w:rPr>
          <w:rFonts w:ascii="Times New Roman" w:hAnsi="Times New Roman"/>
          <w:bCs/>
          <w:szCs w:val="24"/>
          <w:lang w:val="bs-Latn-BA"/>
        </w:rPr>
        <w:t xml:space="preserve"> </w:t>
      </w:r>
      <w:r>
        <w:rPr>
          <w:rFonts w:ascii="Times New Roman" w:hAnsi="Times New Roman"/>
          <w:bCs/>
          <w:szCs w:val="24"/>
          <w:lang w:val="bs-Latn-BA"/>
        </w:rPr>
        <w:t>инвалидитетом</w:t>
      </w:r>
      <w:r w:rsidR="00D41A15" w:rsidRPr="00295637">
        <w:rPr>
          <w:rFonts w:ascii="Times New Roman" w:hAnsi="Times New Roman"/>
          <w:bCs/>
          <w:szCs w:val="24"/>
          <w:lang w:val="bs-Latn-BA"/>
        </w:rPr>
        <w:t xml:space="preserve"> </w:t>
      </w:r>
      <w:r>
        <w:rPr>
          <w:rFonts w:ascii="Times New Roman" w:hAnsi="Times New Roman"/>
          <w:bCs/>
          <w:szCs w:val="24"/>
          <w:lang w:val="bs-Latn-BA"/>
        </w:rPr>
        <w:t>у</w:t>
      </w:r>
      <w:r w:rsidR="00D41A15" w:rsidRPr="00295637">
        <w:rPr>
          <w:rFonts w:ascii="Times New Roman" w:hAnsi="Times New Roman"/>
          <w:bCs/>
          <w:szCs w:val="24"/>
          <w:lang w:val="bs-Latn-BA"/>
        </w:rPr>
        <w:t xml:space="preserve"> </w:t>
      </w:r>
      <w:r>
        <w:rPr>
          <w:rFonts w:ascii="Times New Roman" w:hAnsi="Times New Roman"/>
          <w:bCs/>
          <w:szCs w:val="24"/>
          <w:lang w:val="bs-Latn-BA"/>
        </w:rPr>
        <w:t>процесу</w:t>
      </w:r>
      <w:r w:rsidR="00D41A15" w:rsidRPr="00295637">
        <w:rPr>
          <w:rFonts w:ascii="Times New Roman" w:hAnsi="Times New Roman"/>
          <w:bCs/>
          <w:szCs w:val="24"/>
          <w:lang w:val="bs-Latn-BA"/>
        </w:rPr>
        <w:t xml:space="preserve"> </w:t>
      </w:r>
      <w:r>
        <w:rPr>
          <w:rFonts w:ascii="Times New Roman" w:hAnsi="Times New Roman"/>
          <w:bCs/>
          <w:szCs w:val="24"/>
          <w:lang w:val="bs-Latn-BA"/>
        </w:rPr>
        <w:t>заштите</w:t>
      </w:r>
      <w:r w:rsidR="00D41A15" w:rsidRPr="00295637">
        <w:rPr>
          <w:rFonts w:ascii="Times New Roman" w:hAnsi="Times New Roman"/>
          <w:bCs/>
          <w:szCs w:val="24"/>
          <w:lang w:val="bs-Latn-BA"/>
        </w:rPr>
        <w:t xml:space="preserve"> </w:t>
      </w:r>
      <w:r>
        <w:rPr>
          <w:rFonts w:ascii="Times New Roman" w:hAnsi="Times New Roman"/>
          <w:bCs/>
          <w:szCs w:val="24"/>
          <w:lang w:val="bs-Latn-BA"/>
        </w:rPr>
        <w:t>од</w:t>
      </w:r>
      <w:r w:rsidR="00D41A15" w:rsidRPr="00295637">
        <w:rPr>
          <w:rFonts w:ascii="Times New Roman" w:hAnsi="Times New Roman"/>
          <w:bCs/>
          <w:szCs w:val="24"/>
          <w:lang w:val="bs-Latn-BA"/>
        </w:rPr>
        <w:t xml:space="preserve"> </w:t>
      </w:r>
      <w:r>
        <w:rPr>
          <w:rFonts w:ascii="Times New Roman" w:hAnsi="Times New Roman"/>
          <w:bCs/>
          <w:szCs w:val="24"/>
          <w:lang w:val="bs-Latn-BA"/>
        </w:rPr>
        <w:t>родно</w:t>
      </w:r>
      <w:r w:rsidR="00E778AA">
        <w:rPr>
          <w:rFonts w:ascii="Times New Roman" w:hAnsi="Times New Roman"/>
          <w:bCs/>
          <w:szCs w:val="24"/>
          <w:lang w:val="bs-Latn-BA"/>
        </w:rPr>
        <w:t xml:space="preserve"> </w:t>
      </w:r>
      <w:r>
        <w:rPr>
          <w:rFonts w:ascii="Times New Roman" w:hAnsi="Times New Roman"/>
          <w:bCs/>
          <w:szCs w:val="24"/>
          <w:lang w:val="bs-Latn-BA"/>
        </w:rPr>
        <w:t>заснованог</w:t>
      </w:r>
      <w:r w:rsidR="00D41A15" w:rsidRPr="00295637">
        <w:rPr>
          <w:rFonts w:ascii="Times New Roman" w:hAnsi="Times New Roman"/>
          <w:bCs/>
          <w:szCs w:val="24"/>
          <w:lang w:val="bs-Latn-BA"/>
        </w:rPr>
        <w:t xml:space="preserve"> </w:t>
      </w:r>
      <w:r>
        <w:rPr>
          <w:rFonts w:ascii="Times New Roman" w:hAnsi="Times New Roman"/>
          <w:bCs/>
          <w:szCs w:val="24"/>
          <w:lang w:val="bs-Latn-BA"/>
        </w:rPr>
        <w:t>насиља</w:t>
      </w:r>
      <w:r w:rsidR="00D41A15" w:rsidRPr="00295637">
        <w:rPr>
          <w:rFonts w:ascii="Times New Roman" w:hAnsi="Times New Roman"/>
          <w:bCs/>
          <w:szCs w:val="24"/>
          <w:lang w:val="bs-Latn-BA"/>
        </w:rPr>
        <w:t xml:space="preserve"> </w:t>
      </w:r>
      <w:r>
        <w:rPr>
          <w:rFonts w:ascii="Times New Roman" w:hAnsi="Times New Roman"/>
          <w:bCs/>
          <w:szCs w:val="24"/>
          <w:lang w:val="bs-Latn-BA"/>
        </w:rPr>
        <w:t>у</w:t>
      </w:r>
      <w:r w:rsidR="009E54A2" w:rsidRPr="00295637">
        <w:rPr>
          <w:rFonts w:ascii="Times New Roman" w:hAnsi="Times New Roman"/>
          <w:bCs/>
          <w:szCs w:val="24"/>
          <w:lang w:val="bs-Latn-BA"/>
        </w:rPr>
        <w:t xml:space="preserve"> </w:t>
      </w:r>
      <w:r>
        <w:rPr>
          <w:rFonts w:ascii="Times New Roman" w:hAnsi="Times New Roman"/>
          <w:bCs/>
          <w:szCs w:val="24"/>
          <w:lang w:val="bs-Latn-BA"/>
        </w:rPr>
        <w:t>БиХ</w:t>
      </w:r>
      <w:r w:rsidR="009E54A2" w:rsidRPr="00295637">
        <w:rPr>
          <w:rFonts w:ascii="Times New Roman" w:hAnsi="Times New Roman"/>
          <w:bCs/>
          <w:szCs w:val="24"/>
          <w:lang w:val="bs-Latn-BA"/>
        </w:rPr>
        <w:t xml:space="preserve"> </w:t>
      </w:r>
      <w:r w:rsidR="00D41A15" w:rsidRPr="00295637">
        <w:rPr>
          <w:rFonts w:ascii="Times New Roman" w:hAnsi="Times New Roman"/>
          <w:szCs w:val="24"/>
          <w:lang w:val="bs-Latn-BA"/>
        </w:rPr>
        <w:t xml:space="preserve">“ </w:t>
      </w:r>
      <w:r>
        <w:rPr>
          <w:rFonts w:ascii="Times New Roman" w:hAnsi="Times New Roman"/>
          <w:szCs w:val="24"/>
          <w:lang w:val="bs-Latn-BA"/>
        </w:rPr>
        <w:t>у</w:t>
      </w:r>
      <w:r w:rsidR="00D41A15" w:rsidRPr="00295637">
        <w:rPr>
          <w:rFonts w:ascii="Times New Roman" w:hAnsi="Times New Roman"/>
          <w:szCs w:val="24"/>
          <w:lang w:val="bs-Latn-BA"/>
        </w:rPr>
        <w:t xml:space="preserve"> </w:t>
      </w:r>
      <w:r>
        <w:rPr>
          <w:rFonts w:ascii="Times New Roman" w:hAnsi="Times New Roman"/>
          <w:szCs w:val="24"/>
          <w:lang w:val="bs-Latn-BA"/>
        </w:rPr>
        <w:t>оквиру</w:t>
      </w:r>
      <w:r w:rsidR="00D41A15" w:rsidRPr="00295637">
        <w:rPr>
          <w:rFonts w:ascii="Times New Roman" w:hAnsi="Times New Roman"/>
          <w:szCs w:val="24"/>
          <w:lang w:val="bs-Latn-BA"/>
        </w:rPr>
        <w:t xml:space="preserve"> </w:t>
      </w:r>
      <w:r>
        <w:rPr>
          <w:rFonts w:ascii="Times New Roman" w:hAnsi="Times New Roman"/>
          <w:szCs w:val="24"/>
          <w:lang w:val="bs-Latn-BA"/>
        </w:rPr>
        <w:t>пројекта</w:t>
      </w:r>
      <w:r w:rsidR="00D41A15" w:rsidRPr="00295637">
        <w:rPr>
          <w:rFonts w:ascii="Times New Roman" w:hAnsi="Times New Roman"/>
          <w:szCs w:val="24"/>
          <w:lang w:val="bs-Latn-BA"/>
        </w:rPr>
        <w:t xml:space="preserve"> „</w:t>
      </w:r>
      <w:r>
        <w:rPr>
          <w:rFonts w:ascii="Times New Roman" w:hAnsi="Times New Roman"/>
          <w:bCs/>
          <w:szCs w:val="24"/>
          <w:lang w:val="bs-Latn-BA"/>
        </w:rPr>
        <w:t>Укључивање</w:t>
      </w:r>
      <w:r w:rsidR="00D41A15" w:rsidRPr="00295637">
        <w:rPr>
          <w:rFonts w:ascii="Times New Roman" w:hAnsi="Times New Roman"/>
          <w:bCs/>
          <w:szCs w:val="24"/>
          <w:lang w:val="bs-Latn-BA"/>
        </w:rPr>
        <w:t xml:space="preserve"> </w:t>
      </w:r>
      <w:r>
        <w:rPr>
          <w:rFonts w:ascii="Times New Roman" w:hAnsi="Times New Roman"/>
          <w:bCs/>
          <w:szCs w:val="24"/>
          <w:lang w:val="bs-Latn-BA"/>
        </w:rPr>
        <w:t>питања</w:t>
      </w:r>
      <w:r w:rsidR="00D41A15" w:rsidRPr="00295637">
        <w:rPr>
          <w:rFonts w:ascii="Times New Roman" w:hAnsi="Times New Roman"/>
          <w:bCs/>
          <w:szCs w:val="24"/>
          <w:lang w:val="bs-Latn-BA"/>
        </w:rPr>
        <w:t xml:space="preserve"> </w:t>
      </w:r>
      <w:r>
        <w:rPr>
          <w:rFonts w:ascii="Times New Roman" w:hAnsi="Times New Roman"/>
          <w:bCs/>
          <w:szCs w:val="24"/>
          <w:lang w:val="bs-Latn-BA"/>
        </w:rPr>
        <w:t>инвалидности</w:t>
      </w:r>
      <w:r w:rsidR="00D41A15" w:rsidRPr="00295637">
        <w:rPr>
          <w:rFonts w:ascii="Times New Roman" w:hAnsi="Times New Roman"/>
          <w:bCs/>
          <w:szCs w:val="24"/>
          <w:lang w:val="bs-Latn-BA"/>
        </w:rPr>
        <w:t xml:space="preserve"> </w:t>
      </w:r>
      <w:r>
        <w:rPr>
          <w:rFonts w:ascii="Times New Roman" w:hAnsi="Times New Roman"/>
          <w:bCs/>
          <w:szCs w:val="24"/>
          <w:lang w:val="bs-Latn-BA"/>
        </w:rPr>
        <w:t>у</w:t>
      </w:r>
      <w:r w:rsidR="00D41A15" w:rsidRPr="00295637">
        <w:rPr>
          <w:rFonts w:ascii="Times New Roman" w:hAnsi="Times New Roman"/>
          <w:bCs/>
          <w:szCs w:val="24"/>
          <w:lang w:val="bs-Latn-BA"/>
        </w:rPr>
        <w:t xml:space="preserve"> </w:t>
      </w:r>
      <w:r>
        <w:rPr>
          <w:rFonts w:ascii="Times New Roman" w:hAnsi="Times New Roman"/>
          <w:bCs/>
          <w:szCs w:val="24"/>
          <w:lang w:val="bs-Latn-BA"/>
        </w:rPr>
        <w:t>акције</w:t>
      </w:r>
      <w:r w:rsidR="00D41A15" w:rsidRPr="00295637">
        <w:rPr>
          <w:rFonts w:ascii="Times New Roman" w:hAnsi="Times New Roman"/>
          <w:bCs/>
          <w:szCs w:val="24"/>
          <w:lang w:val="bs-Latn-BA"/>
        </w:rPr>
        <w:t xml:space="preserve"> </w:t>
      </w:r>
      <w:r>
        <w:rPr>
          <w:rFonts w:ascii="Times New Roman" w:hAnsi="Times New Roman"/>
          <w:bCs/>
          <w:szCs w:val="24"/>
          <w:lang w:val="bs-Latn-BA"/>
        </w:rPr>
        <w:t>за</w:t>
      </w:r>
      <w:r w:rsidR="00D41A15" w:rsidRPr="00295637">
        <w:rPr>
          <w:rFonts w:ascii="Times New Roman" w:hAnsi="Times New Roman"/>
          <w:bCs/>
          <w:szCs w:val="24"/>
          <w:lang w:val="bs-Latn-BA"/>
        </w:rPr>
        <w:t xml:space="preserve"> </w:t>
      </w:r>
      <w:r>
        <w:rPr>
          <w:rFonts w:ascii="Times New Roman" w:hAnsi="Times New Roman"/>
          <w:bCs/>
          <w:szCs w:val="24"/>
          <w:lang w:val="bs-Latn-BA"/>
        </w:rPr>
        <w:t>родну</w:t>
      </w:r>
      <w:r w:rsidR="00D41A15" w:rsidRPr="00295637">
        <w:rPr>
          <w:rFonts w:ascii="Times New Roman" w:hAnsi="Times New Roman"/>
          <w:bCs/>
          <w:szCs w:val="24"/>
          <w:lang w:val="bs-Latn-BA"/>
        </w:rPr>
        <w:t xml:space="preserve"> </w:t>
      </w:r>
      <w:r>
        <w:rPr>
          <w:rFonts w:ascii="Times New Roman" w:hAnsi="Times New Roman"/>
          <w:bCs/>
          <w:szCs w:val="24"/>
          <w:lang w:val="bs-Latn-BA"/>
        </w:rPr>
        <w:t>равноправност</w:t>
      </w:r>
      <w:r w:rsidR="00D41A15" w:rsidRPr="00295637">
        <w:rPr>
          <w:rFonts w:ascii="Times New Roman" w:hAnsi="Times New Roman"/>
          <w:bCs/>
          <w:szCs w:val="24"/>
          <w:lang w:val="bs-Latn-BA"/>
        </w:rPr>
        <w:t xml:space="preserve"> </w:t>
      </w:r>
      <w:r>
        <w:rPr>
          <w:rFonts w:ascii="Times New Roman" w:hAnsi="Times New Roman"/>
          <w:bCs/>
          <w:szCs w:val="24"/>
          <w:lang w:val="bs-Latn-BA"/>
        </w:rPr>
        <w:t>у</w:t>
      </w:r>
      <w:r w:rsidR="00535B0D">
        <w:rPr>
          <w:rFonts w:ascii="Times New Roman" w:hAnsi="Times New Roman"/>
          <w:bCs/>
          <w:szCs w:val="24"/>
          <w:lang w:val="bs-Latn-BA"/>
        </w:rPr>
        <w:t xml:space="preserve"> </w:t>
      </w:r>
      <w:r>
        <w:rPr>
          <w:rFonts w:ascii="Times New Roman" w:hAnsi="Times New Roman"/>
          <w:bCs/>
          <w:szCs w:val="24"/>
          <w:lang w:val="bs-Latn-BA"/>
        </w:rPr>
        <w:t>БиХ</w:t>
      </w:r>
      <w:r w:rsidR="00D41A15" w:rsidRPr="00295637">
        <w:rPr>
          <w:rFonts w:ascii="Times New Roman" w:hAnsi="Times New Roman"/>
          <w:szCs w:val="24"/>
          <w:lang w:val="bs-Latn-BA"/>
        </w:rPr>
        <w:t xml:space="preserve">“ </w:t>
      </w:r>
      <w:r w:rsidR="00701567">
        <w:rPr>
          <w:rFonts w:ascii="Times New Roman" w:hAnsi="Times New Roman"/>
          <w:szCs w:val="24"/>
          <w:lang w:val="sr-Cyrl-BA"/>
        </w:rPr>
        <w:t>с</w:t>
      </w:r>
      <w:r w:rsidR="00D41A15" w:rsidRPr="00295637">
        <w:rPr>
          <w:rFonts w:ascii="Times New Roman" w:hAnsi="Times New Roman"/>
          <w:szCs w:val="24"/>
          <w:lang w:val="bs-Latn-BA"/>
        </w:rPr>
        <w:t xml:space="preserve"> </w:t>
      </w:r>
      <w:r>
        <w:rPr>
          <w:rFonts w:ascii="Times New Roman" w:hAnsi="Times New Roman"/>
          <w:szCs w:val="24"/>
          <w:lang w:val="bs-Latn-BA"/>
        </w:rPr>
        <w:t>циљ</w:t>
      </w:r>
      <w:r w:rsidR="00701567">
        <w:rPr>
          <w:rFonts w:ascii="Times New Roman" w:hAnsi="Times New Roman"/>
          <w:szCs w:val="24"/>
          <w:lang w:val="sr-Cyrl-BA"/>
        </w:rPr>
        <w:t>ем</w:t>
      </w:r>
      <w:r w:rsidR="00D41A15" w:rsidRPr="00295637">
        <w:rPr>
          <w:rFonts w:ascii="Times New Roman" w:hAnsi="Times New Roman"/>
          <w:szCs w:val="24"/>
          <w:lang w:val="bs-Latn-BA"/>
        </w:rPr>
        <w:t xml:space="preserve"> </w:t>
      </w:r>
      <w:r>
        <w:rPr>
          <w:rFonts w:ascii="Times New Roman" w:hAnsi="Times New Roman"/>
          <w:szCs w:val="24"/>
          <w:lang w:val="bs-Latn-BA"/>
        </w:rPr>
        <w:t>анализе</w:t>
      </w:r>
      <w:r w:rsidR="00D41A15" w:rsidRPr="00295637">
        <w:rPr>
          <w:rFonts w:ascii="Times New Roman" w:hAnsi="Times New Roman"/>
          <w:szCs w:val="24"/>
          <w:lang w:val="bs-Latn-BA"/>
        </w:rPr>
        <w:t xml:space="preserve"> </w:t>
      </w:r>
      <w:r>
        <w:rPr>
          <w:rFonts w:ascii="Times New Roman" w:hAnsi="Times New Roman"/>
          <w:szCs w:val="24"/>
          <w:lang w:val="bs-Latn-BA"/>
        </w:rPr>
        <w:t>приступачности</w:t>
      </w:r>
      <w:r w:rsidR="00E778AA">
        <w:rPr>
          <w:rFonts w:ascii="Times New Roman" w:hAnsi="Times New Roman"/>
          <w:szCs w:val="24"/>
          <w:lang w:val="bs-Latn-BA"/>
        </w:rPr>
        <w:t xml:space="preserve"> </w:t>
      </w:r>
      <w:r>
        <w:rPr>
          <w:rFonts w:ascii="Times New Roman" w:hAnsi="Times New Roman"/>
          <w:szCs w:val="24"/>
          <w:lang w:val="bs-Latn-BA"/>
        </w:rPr>
        <w:t>услуга</w:t>
      </w:r>
      <w:r w:rsidR="00E778AA">
        <w:rPr>
          <w:rFonts w:ascii="Times New Roman" w:hAnsi="Times New Roman"/>
          <w:szCs w:val="24"/>
          <w:lang w:val="bs-Latn-BA"/>
        </w:rPr>
        <w:t xml:space="preserve"> </w:t>
      </w:r>
      <w:r>
        <w:rPr>
          <w:rFonts w:ascii="Times New Roman" w:hAnsi="Times New Roman"/>
          <w:szCs w:val="24"/>
          <w:lang w:val="bs-Latn-BA"/>
        </w:rPr>
        <w:t>за</w:t>
      </w:r>
      <w:r w:rsidR="00E778AA">
        <w:rPr>
          <w:rFonts w:ascii="Times New Roman" w:hAnsi="Times New Roman"/>
          <w:szCs w:val="24"/>
          <w:lang w:val="bs-Latn-BA"/>
        </w:rPr>
        <w:t xml:space="preserve"> </w:t>
      </w:r>
      <w:r>
        <w:rPr>
          <w:rFonts w:ascii="Times New Roman" w:hAnsi="Times New Roman"/>
          <w:szCs w:val="24"/>
          <w:lang w:val="bs-Latn-BA"/>
        </w:rPr>
        <w:t>жене</w:t>
      </w:r>
      <w:r w:rsidR="00E778AA">
        <w:rPr>
          <w:rFonts w:ascii="Times New Roman" w:hAnsi="Times New Roman"/>
          <w:szCs w:val="24"/>
          <w:lang w:val="bs-Latn-BA"/>
        </w:rPr>
        <w:t xml:space="preserve"> </w:t>
      </w:r>
      <w:r>
        <w:rPr>
          <w:rFonts w:ascii="Times New Roman" w:hAnsi="Times New Roman"/>
          <w:szCs w:val="24"/>
          <w:lang w:val="bs-Latn-BA"/>
        </w:rPr>
        <w:t>са</w:t>
      </w:r>
      <w:r w:rsidR="00D41A15" w:rsidRPr="00295637">
        <w:rPr>
          <w:rFonts w:ascii="Times New Roman" w:hAnsi="Times New Roman"/>
          <w:szCs w:val="24"/>
          <w:lang w:val="bs-Latn-BA"/>
        </w:rPr>
        <w:t xml:space="preserve"> </w:t>
      </w:r>
      <w:r>
        <w:rPr>
          <w:rFonts w:ascii="Times New Roman" w:hAnsi="Times New Roman"/>
          <w:szCs w:val="24"/>
          <w:lang w:val="bs-Latn-BA"/>
        </w:rPr>
        <w:t>инвалидитетом</w:t>
      </w:r>
      <w:r w:rsidR="00D41A15" w:rsidRPr="00295637">
        <w:rPr>
          <w:rFonts w:ascii="Times New Roman" w:hAnsi="Times New Roman"/>
          <w:szCs w:val="24"/>
          <w:lang w:val="bs-Latn-BA"/>
        </w:rPr>
        <w:t xml:space="preserve"> </w:t>
      </w:r>
      <w:r>
        <w:rPr>
          <w:rFonts w:ascii="Times New Roman" w:hAnsi="Times New Roman"/>
          <w:szCs w:val="24"/>
          <w:lang w:val="bs-Latn-BA"/>
        </w:rPr>
        <w:t>које</w:t>
      </w:r>
      <w:r w:rsidR="00D41A15" w:rsidRPr="00295637">
        <w:rPr>
          <w:rFonts w:ascii="Times New Roman" w:hAnsi="Times New Roman"/>
          <w:szCs w:val="24"/>
          <w:lang w:val="bs-Latn-BA"/>
        </w:rPr>
        <w:t xml:space="preserve"> </w:t>
      </w:r>
      <w:r>
        <w:rPr>
          <w:rFonts w:ascii="Times New Roman" w:hAnsi="Times New Roman"/>
          <w:szCs w:val="24"/>
          <w:lang w:val="bs-Latn-BA"/>
        </w:rPr>
        <w:t>пружају</w:t>
      </w:r>
      <w:r w:rsidR="00D41A15" w:rsidRPr="00295637">
        <w:rPr>
          <w:rFonts w:ascii="Times New Roman" w:hAnsi="Times New Roman"/>
          <w:szCs w:val="24"/>
          <w:lang w:val="bs-Latn-BA"/>
        </w:rPr>
        <w:t xml:space="preserve"> </w:t>
      </w:r>
      <w:r>
        <w:rPr>
          <w:rFonts w:ascii="Times New Roman" w:hAnsi="Times New Roman"/>
          <w:szCs w:val="24"/>
          <w:lang w:val="bs-Latn-BA"/>
        </w:rPr>
        <w:t>организације</w:t>
      </w:r>
      <w:r w:rsidR="00D41A15" w:rsidRPr="00295637">
        <w:rPr>
          <w:rFonts w:ascii="Times New Roman" w:hAnsi="Times New Roman"/>
          <w:szCs w:val="24"/>
          <w:lang w:val="bs-Latn-BA"/>
        </w:rPr>
        <w:t xml:space="preserve"> </w:t>
      </w:r>
      <w:r>
        <w:rPr>
          <w:rFonts w:ascii="Times New Roman" w:hAnsi="Times New Roman"/>
          <w:szCs w:val="24"/>
          <w:lang w:val="bs-Latn-BA"/>
        </w:rPr>
        <w:t>и</w:t>
      </w:r>
      <w:r w:rsidR="00D41A15" w:rsidRPr="00295637">
        <w:rPr>
          <w:rFonts w:ascii="Times New Roman" w:hAnsi="Times New Roman"/>
          <w:szCs w:val="24"/>
          <w:lang w:val="bs-Latn-BA"/>
        </w:rPr>
        <w:t xml:space="preserve"> </w:t>
      </w:r>
      <w:r>
        <w:rPr>
          <w:rFonts w:ascii="Times New Roman" w:hAnsi="Times New Roman"/>
          <w:szCs w:val="24"/>
          <w:lang w:val="bs-Latn-BA"/>
        </w:rPr>
        <w:t>институције</w:t>
      </w:r>
      <w:r w:rsidR="00D41A15" w:rsidRPr="00295637">
        <w:rPr>
          <w:rFonts w:ascii="Times New Roman" w:hAnsi="Times New Roman"/>
          <w:szCs w:val="24"/>
          <w:lang w:val="bs-Latn-BA"/>
        </w:rPr>
        <w:t xml:space="preserve"> </w:t>
      </w:r>
      <w:r>
        <w:rPr>
          <w:rFonts w:ascii="Times New Roman" w:hAnsi="Times New Roman"/>
          <w:szCs w:val="24"/>
          <w:lang w:val="bs-Latn-BA"/>
        </w:rPr>
        <w:t>у</w:t>
      </w:r>
      <w:r w:rsidR="00D41A15" w:rsidRPr="00295637">
        <w:rPr>
          <w:rFonts w:ascii="Times New Roman" w:hAnsi="Times New Roman"/>
          <w:szCs w:val="24"/>
          <w:lang w:val="bs-Latn-BA"/>
        </w:rPr>
        <w:t xml:space="preserve"> </w:t>
      </w:r>
      <w:r>
        <w:rPr>
          <w:rFonts w:ascii="Times New Roman" w:hAnsi="Times New Roman"/>
          <w:szCs w:val="24"/>
          <w:lang w:val="bs-Latn-BA"/>
        </w:rPr>
        <w:t>процесу</w:t>
      </w:r>
      <w:r w:rsidR="00D41A15" w:rsidRPr="00295637">
        <w:rPr>
          <w:rFonts w:ascii="Times New Roman" w:hAnsi="Times New Roman"/>
          <w:szCs w:val="24"/>
          <w:lang w:val="bs-Latn-BA"/>
        </w:rPr>
        <w:t xml:space="preserve"> </w:t>
      </w:r>
      <w:r>
        <w:rPr>
          <w:rFonts w:ascii="Times New Roman" w:hAnsi="Times New Roman"/>
          <w:szCs w:val="24"/>
          <w:lang w:val="bs-Latn-BA"/>
        </w:rPr>
        <w:t>заштите</w:t>
      </w:r>
      <w:r w:rsidR="00D41A15" w:rsidRPr="00295637">
        <w:rPr>
          <w:rFonts w:ascii="Times New Roman" w:hAnsi="Times New Roman"/>
          <w:szCs w:val="24"/>
          <w:lang w:val="bs-Latn-BA"/>
        </w:rPr>
        <w:t xml:space="preserve"> </w:t>
      </w:r>
      <w:r>
        <w:rPr>
          <w:rFonts w:ascii="Times New Roman" w:hAnsi="Times New Roman"/>
          <w:szCs w:val="24"/>
          <w:lang w:val="bs-Latn-BA"/>
        </w:rPr>
        <w:t>од</w:t>
      </w:r>
      <w:r w:rsidR="00D41A15" w:rsidRPr="00295637">
        <w:rPr>
          <w:rFonts w:ascii="Times New Roman" w:hAnsi="Times New Roman"/>
          <w:szCs w:val="24"/>
          <w:lang w:val="bs-Latn-BA"/>
        </w:rPr>
        <w:t xml:space="preserve"> </w:t>
      </w:r>
      <w:r>
        <w:rPr>
          <w:rFonts w:ascii="Times New Roman" w:hAnsi="Times New Roman"/>
          <w:szCs w:val="24"/>
          <w:lang w:val="bs-Latn-BA"/>
        </w:rPr>
        <w:t>родно</w:t>
      </w:r>
      <w:r w:rsidR="00D41A15" w:rsidRPr="00295637">
        <w:rPr>
          <w:rFonts w:ascii="Times New Roman" w:hAnsi="Times New Roman"/>
          <w:szCs w:val="24"/>
          <w:lang w:val="bs-Latn-BA"/>
        </w:rPr>
        <w:t xml:space="preserve"> </w:t>
      </w:r>
      <w:r>
        <w:rPr>
          <w:rFonts w:ascii="Times New Roman" w:hAnsi="Times New Roman"/>
          <w:szCs w:val="24"/>
          <w:lang w:val="bs-Latn-BA"/>
        </w:rPr>
        <w:t>заснованог</w:t>
      </w:r>
      <w:r w:rsidR="00D41A15" w:rsidRPr="00295637">
        <w:rPr>
          <w:rFonts w:ascii="Times New Roman" w:hAnsi="Times New Roman"/>
          <w:szCs w:val="24"/>
          <w:lang w:val="bs-Latn-BA"/>
        </w:rPr>
        <w:t xml:space="preserve"> </w:t>
      </w:r>
      <w:r>
        <w:rPr>
          <w:rFonts w:ascii="Times New Roman" w:hAnsi="Times New Roman"/>
          <w:szCs w:val="24"/>
          <w:lang w:val="bs-Latn-BA"/>
        </w:rPr>
        <w:t>насиља</w:t>
      </w:r>
      <w:r w:rsidR="00D41A15" w:rsidRPr="00295637">
        <w:rPr>
          <w:rFonts w:ascii="Times New Roman" w:hAnsi="Times New Roman"/>
          <w:szCs w:val="24"/>
          <w:lang w:val="bs-Latn-BA"/>
        </w:rPr>
        <w:t>.</w:t>
      </w:r>
    </w:p>
    <w:p w:rsidR="005B06B4" w:rsidRPr="00295637" w:rsidRDefault="005B06B4" w:rsidP="0086268D">
      <w:pPr>
        <w:jc w:val="both"/>
        <w:rPr>
          <w:rFonts w:ascii="Times New Roman" w:hAnsi="Times New Roman"/>
          <w:szCs w:val="24"/>
          <w:lang w:val="bs-Latn-BA"/>
        </w:rPr>
      </w:pPr>
    </w:p>
    <w:p w:rsidR="00452CCB" w:rsidRPr="00E778AA" w:rsidRDefault="00C6214E" w:rsidP="0086268D">
      <w:pPr>
        <w:pStyle w:val="HTMLPreformatted"/>
        <w:jc w:val="both"/>
        <w:rPr>
          <w:rFonts w:ascii="inherit" w:hAnsi="inherit"/>
          <w:sz w:val="24"/>
          <w:szCs w:val="24"/>
        </w:rPr>
      </w:pPr>
      <w:r>
        <w:rPr>
          <w:rStyle w:val="y2iqfc"/>
          <w:rFonts w:ascii="inherit" w:hAnsi="inherit"/>
          <w:sz w:val="24"/>
          <w:szCs w:val="24"/>
        </w:rPr>
        <w:t>Мисија</w:t>
      </w:r>
      <w:r w:rsidR="00452CCB" w:rsidRPr="00E778AA">
        <w:rPr>
          <w:rStyle w:val="y2iqfc"/>
          <w:rFonts w:ascii="inherit" w:hAnsi="inherit"/>
          <w:sz w:val="24"/>
          <w:szCs w:val="24"/>
        </w:rPr>
        <w:t xml:space="preserve"> </w:t>
      </w:r>
      <w:r>
        <w:rPr>
          <w:rStyle w:val="y2iqfc"/>
          <w:rFonts w:ascii="inherit" w:hAnsi="inherit"/>
          <w:sz w:val="24"/>
          <w:szCs w:val="24"/>
        </w:rPr>
        <w:t>О</w:t>
      </w:r>
      <w:r w:rsidR="00701567">
        <w:rPr>
          <w:rStyle w:val="y2iqfc"/>
          <w:rFonts w:ascii="inherit" w:hAnsi="inherit"/>
          <w:sz w:val="24"/>
          <w:szCs w:val="24"/>
          <w:lang w:val="sr-Cyrl-BA"/>
        </w:rPr>
        <w:t>ЕБС</w:t>
      </w:r>
      <w:r w:rsidR="00452CCB" w:rsidRPr="00E778AA">
        <w:rPr>
          <w:rStyle w:val="y2iqfc"/>
          <w:rFonts w:ascii="inherit" w:hAnsi="inherit"/>
          <w:sz w:val="24"/>
          <w:szCs w:val="24"/>
        </w:rPr>
        <w:t>-</w:t>
      </w:r>
      <w:r>
        <w:rPr>
          <w:rStyle w:val="y2iqfc"/>
          <w:rFonts w:ascii="inherit" w:hAnsi="inherit"/>
          <w:sz w:val="24"/>
          <w:szCs w:val="24"/>
        </w:rPr>
        <w:t>а</w:t>
      </w:r>
      <w:r w:rsidR="00452CCB" w:rsidRPr="00E778AA">
        <w:rPr>
          <w:rStyle w:val="y2iqfc"/>
          <w:rFonts w:ascii="inherit" w:hAnsi="inherit"/>
          <w:sz w:val="24"/>
          <w:szCs w:val="24"/>
        </w:rPr>
        <w:t xml:space="preserve"> </w:t>
      </w:r>
      <w:r w:rsidR="00701567">
        <w:rPr>
          <w:rStyle w:val="y2iqfc"/>
          <w:rFonts w:ascii="inherit" w:hAnsi="inherit"/>
          <w:sz w:val="24"/>
          <w:szCs w:val="24"/>
        </w:rPr>
        <w:t xml:space="preserve">је </w:t>
      </w:r>
      <w:r>
        <w:rPr>
          <w:rStyle w:val="y2iqfc"/>
          <w:rFonts w:ascii="inherit" w:hAnsi="inherit"/>
          <w:sz w:val="24"/>
          <w:szCs w:val="24"/>
        </w:rPr>
        <w:t>наставила</w:t>
      </w:r>
      <w:r w:rsidR="00452CCB" w:rsidRPr="00E778AA">
        <w:rPr>
          <w:rStyle w:val="y2iqfc"/>
          <w:rFonts w:ascii="inherit" w:hAnsi="inherit"/>
          <w:sz w:val="24"/>
          <w:szCs w:val="24"/>
        </w:rPr>
        <w:t xml:space="preserve"> </w:t>
      </w:r>
      <w:r>
        <w:rPr>
          <w:rStyle w:val="y2iqfc"/>
          <w:rFonts w:ascii="inherit" w:hAnsi="inherit"/>
          <w:sz w:val="24"/>
          <w:szCs w:val="24"/>
        </w:rPr>
        <w:t>пратити</w:t>
      </w:r>
      <w:r w:rsidR="00452CCB" w:rsidRPr="00E778AA">
        <w:rPr>
          <w:rStyle w:val="y2iqfc"/>
          <w:rFonts w:ascii="inherit" w:hAnsi="inherit"/>
          <w:sz w:val="24"/>
          <w:szCs w:val="24"/>
        </w:rPr>
        <w:t xml:space="preserve"> </w:t>
      </w:r>
      <w:r>
        <w:rPr>
          <w:rStyle w:val="y2iqfc"/>
          <w:rFonts w:ascii="inherit" w:hAnsi="inherit"/>
          <w:sz w:val="24"/>
          <w:szCs w:val="24"/>
        </w:rPr>
        <w:t>случајеве</w:t>
      </w:r>
      <w:r w:rsidR="00452CCB" w:rsidRPr="00E778AA">
        <w:rPr>
          <w:rStyle w:val="y2iqfc"/>
          <w:rFonts w:ascii="inherit" w:hAnsi="inherit"/>
          <w:sz w:val="24"/>
          <w:szCs w:val="24"/>
        </w:rPr>
        <w:t xml:space="preserve"> </w:t>
      </w:r>
      <w:r>
        <w:rPr>
          <w:rStyle w:val="y2iqfc"/>
          <w:rFonts w:ascii="inherit" w:hAnsi="inherit"/>
          <w:sz w:val="24"/>
          <w:szCs w:val="24"/>
        </w:rPr>
        <w:t>родно</w:t>
      </w:r>
      <w:r w:rsidR="00452CCB" w:rsidRPr="00E778AA">
        <w:rPr>
          <w:rStyle w:val="y2iqfc"/>
          <w:rFonts w:ascii="inherit" w:hAnsi="inherit"/>
          <w:sz w:val="24"/>
          <w:szCs w:val="24"/>
        </w:rPr>
        <w:t xml:space="preserve"> </w:t>
      </w:r>
      <w:r>
        <w:rPr>
          <w:rStyle w:val="y2iqfc"/>
          <w:rFonts w:ascii="inherit" w:hAnsi="inherit"/>
          <w:sz w:val="24"/>
          <w:szCs w:val="24"/>
        </w:rPr>
        <w:t>заснованог</w:t>
      </w:r>
      <w:r w:rsidR="00452CCB" w:rsidRPr="00E778AA">
        <w:rPr>
          <w:rStyle w:val="y2iqfc"/>
          <w:rFonts w:ascii="inherit" w:hAnsi="inherit"/>
          <w:sz w:val="24"/>
          <w:szCs w:val="24"/>
        </w:rPr>
        <w:t xml:space="preserve"> </w:t>
      </w:r>
      <w:r>
        <w:rPr>
          <w:rStyle w:val="y2iqfc"/>
          <w:rFonts w:ascii="inherit" w:hAnsi="inherit"/>
          <w:sz w:val="24"/>
          <w:szCs w:val="24"/>
        </w:rPr>
        <w:t>насиља</w:t>
      </w:r>
      <w:r w:rsidR="00452CCB" w:rsidRPr="00E778AA">
        <w:rPr>
          <w:rStyle w:val="y2iqfc"/>
          <w:rFonts w:ascii="inherit" w:hAnsi="inherit"/>
          <w:sz w:val="24"/>
          <w:szCs w:val="24"/>
        </w:rPr>
        <w:t xml:space="preserve"> </w:t>
      </w:r>
      <w:r>
        <w:rPr>
          <w:rStyle w:val="y2iqfc"/>
          <w:rFonts w:ascii="inherit" w:hAnsi="inherit"/>
          <w:sz w:val="24"/>
          <w:szCs w:val="24"/>
        </w:rPr>
        <w:t>и</w:t>
      </w:r>
      <w:r w:rsidR="00452CCB" w:rsidRPr="00E778AA">
        <w:rPr>
          <w:rStyle w:val="y2iqfc"/>
          <w:rFonts w:ascii="inherit" w:hAnsi="inherit"/>
          <w:sz w:val="24"/>
          <w:szCs w:val="24"/>
        </w:rPr>
        <w:t xml:space="preserve"> </w:t>
      </w:r>
      <w:r>
        <w:rPr>
          <w:rStyle w:val="y2iqfc"/>
          <w:rFonts w:ascii="inherit" w:hAnsi="inherit"/>
          <w:sz w:val="24"/>
          <w:szCs w:val="24"/>
        </w:rPr>
        <w:t>насиља</w:t>
      </w:r>
      <w:r w:rsidR="00452CCB" w:rsidRPr="00E778AA">
        <w:rPr>
          <w:rStyle w:val="y2iqfc"/>
          <w:rFonts w:ascii="inherit" w:hAnsi="inherit"/>
          <w:sz w:val="24"/>
          <w:szCs w:val="24"/>
        </w:rPr>
        <w:t xml:space="preserve"> </w:t>
      </w:r>
      <w:r>
        <w:rPr>
          <w:rStyle w:val="y2iqfc"/>
          <w:rFonts w:ascii="inherit" w:hAnsi="inherit"/>
          <w:sz w:val="24"/>
          <w:szCs w:val="24"/>
        </w:rPr>
        <w:t>у</w:t>
      </w:r>
      <w:r w:rsidR="00452CCB" w:rsidRPr="00E778AA">
        <w:rPr>
          <w:rStyle w:val="y2iqfc"/>
          <w:rFonts w:ascii="inherit" w:hAnsi="inherit"/>
          <w:sz w:val="24"/>
          <w:szCs w:val="24"/>
        </w:rPr>
        <w:t xml:space="preserve"> </w:t>
      </w:r>
      <w:r>
        <w:rPr>
          <w:rStyle w:val="y2iqfc"/>
          <w:rFonts w:ascii="inherit" w:hAnsi="inherit"/>
          <w:sz w:val="24"/>
          <w:szCs w:val="24"/>
        </w:rPr>
        <w:t>породици</w:t>
      </w:r>
      <w:r w:rsidR="00E778AA">
        <w:rPr>
          <w:rStyle w:val="y2iqfc"/>
          <w:rFonts w:ascii="inherit" w:hAnsi="inherit"/>
          <w:sz w:val="24"/>
          <w:szCs w:val="24"/>
        </w:rPr>
        <w:t xml:space="preserve">, </w:t>
      </w:r>
      <w:r>
        <w:rPr>
          <w:rStyle w:val="y2iqfc"/>
          <w:rFonts w:ascii="inherit" w:hAnsi="inherit"/>
          <w:sz w:val="24"/>
          <w:szCs w:val="24"/>
        </w:rPr>
        <w:t>са</w:t>
      </w:r>
      <w:r w:rsidR="00452CCB" w:rsidRPr="00E778AA">
        <w:rPr>
          <w:rStyle w:val="y2iqfc"/>
          <w:rFonts w:ascii="inherit" w:hAnsi="inherit"/>
          <w:sz w:val="24"/>
          <w:szCs w:val="24"/>
        </w:rPr>
        <w:t xml:space="preserve"> </w:t>
      </w:r>
      <w:r>
        <w:rPr>
          <w:rStyle w:val="y2iqfc"/>
          <w:rFonts w:ascii="inherit" w:hAnsi="inherit"/>
          <w:sz w:val="24"/>
          <w:szCs w:val="24"/>
        </w:rPr>
        <w:t>укупно</w:t>
      </w:r>
      <w:r w:rsidR="00452CCB" w:rsidRPr="00E778AA">
        <w:rPr>
          <w:rStyle w:val="y2iqfc"/>
          <w:rFonts w:ascii="inherit" w:hAnsi="inherit"/>
          <w:sz w:val="24"/>
          <w:szCs w:val="24"/>
        </w:rPr>
        <w:t xml:space="preserve"> 89 </w:t>
      </w:r>
      <w:r>
        <w:rPr>
          <w:rStyle w:val="y2iqfc"/>
          <w:rFonts w:ascii="inherit" w:hAnsi="inherit"/>
          <w:sz w:val="24"/>
          <w:szCs w:val="24"/>
        </w:rPr>
        <w:t>случајева</w:t>
      </w:r>
      <w:r w:rsidR="00452CCB" w:rsidRPr="00E778AA">
        <w:rPr>
          <w:rStyle w:val="y2iqfc"/>
          <w:rFonts w:ascii="inherit" w:hAnsi="inherit"/>
          <w:sz w:val="24"/>
          <w:szCs w:val="24"/>
        </w:rPr>
        <w:t xml:space="preserve"> </w:t>
      </w:r>
      <w:r>
        <w:rPr>
          <w:rStyle w:val="y2iqfc"/>
          <w:rFonts w:ascii="inherit" w:hAnsi="inherit"/>
          <w:sz w:val="24"/>
          <w:szCs w:val="24"/>
        </w:rPr>
        <w:t>праћених</w:t>
      </w:r>
      <w:r w:rsidR="00452CCB" w:rsidRPr="00E778AA">
        <w:rPr>
          <w:rStyle w:val="y2iqfc"/>
          <w:rFonts w:ascii="inherit" w:hAnsi="inherit"/>
          <w:sz w:val="24"/>
          <w:szCs w:val="24"/>
        </w:rPr>
        <w:t xml:space="preserve"> </w:t>
      </w:r>
      <w:r>
        <w:rPr>
          <w:rStyle w:val="y2iqfc"/>
          <w:rFonts w:ascii="inherit" w:hAnsi="inherit"/>
          <w:sz w:val="24"/>
          <w:szCs w:val="24"/>
        </w:rPr>
        <w:t>у</w:t>
      </w:r>
      <w:r w:rsidR="00452CCB" w:rsidRPr="00E778AA">
        <w:rPr>
          <w:rStyle w:val="y2iqfc"/>
          <w:rFonts w:ascii="inherit" w:hAnsi="inherit"/>
          <w:sz w:val="24"/>
          <w:szCs w:val="24"/>
        </w:rPr>
        <w:t xml:space="preserve"> 2024. </w:t>
      </w:r>
      <w:r>
        <w:rPr>
          <w:rStyle w:val="y2iqfc"/>
          <w:rFonts w:ascii="inherit" w:hAnsi="inherit"/>
          <w:sz w:val="24"/>
          <w:szCs w:val="24"/>
        </w:rPr>
        <w:t>години</w:t>
      </w:r>
      <w:r w:rsidR="00452CCB" w:rsidRPr="00E778AA">
        <w:rPr>
          <w:rStyle w:val="y2iqfc"/>
          <w:rFonts w:ascii="inherit" w:hAnsi="inherit"/>
          <w:sz w:val="24"/>
          <w:szCs w:val="24"/>
        </w:rPr>
        <w:t xml:space="preserve">, </w:t>
      </w:r>
      <w:r>
        <w:rPr>
          <w:rStyle w:val="y2iqfc"/>
          <w:rFonts w:ascii="inherit" w:hAnsi="inherit"/>
          <w:sz w:val="24"/>
          <w:szCs w:val="24"/>
        </w:rPr>
        <w:t>у</w:t>
      </w:r>
      <w:r w:rsidR="002715EF">
        <w:rPr>
          <w:rStyle w:val="y2iqfc"/>
          <w:rFonts w:ascii="inherit" w:hAnsi="inherit"/>
          <w:sz w:val="24"/>
          <w:szCs w:val="24"/>
        </w:rPr>
        <w:t xml:space="preserve"> </w:t>
      </w:r>
      <w:r>
        <w:rPr>
          <w:rStyle w:val="y2iqfc"/>
          <w:rFonts w:ascii="inherit" w:hAnsi="inherit"/>
          <w:sz w:val="24"/>
          <w:szCs w:val="24"/>
        </w:rPr>
        <w:t>складу</w:t>
      </w:r>
      <w:r w:rsidR="002715EF">
        <w:rPr>
          <w:rStyle w:val="y2iqfc"/>
          <w:rFonts w:ascii="inherit" w:hAnsi="inherit"/>
          <w:sz w:val="24"/>
          <w:szCs w:val="24"/>
        </w:rPr>
        <w:t xml:space="preserve"> </w:t>
      </w:r>
      <w:r>
        <w:rPr>
          <w:rStyle w:val="y2iqfc"/>
          <w:rFonts w:ascii="inherit" w:hAnsi="inherit"/>
          <w:sz w:val="24"/>
          <w:szCs w:val="24"/>
        </w:rPr>
        <w:t>са</w:t>
      </w:r>
      <w:r w:rsidR="00452CCB" w:rsidRPr="00E778AA">
        <w:rPr>
          <w:rStyle w:val="y2iqfc"/>
          <w:rFonts w:ascii="inherit" w:hAnsi="inherit"/>
          <w:sz w:val="24"/>
          <w:szCs w:val="24"/>
        </w:rPr>
        <w:t xml:space="preserve"> </w:t>
      </w:r>
      <w:r>
        <w:rPr>
          <w:rStyle w:val="y2iqfc"/>
          <w:rFonts w:ascii="inherit" w:hAnsi="inherit"/>
          <w:sz w:val="24"/>
          <w:szCs w:val="24"/>
        </w:rPr>
        <w:t>Смјерницама</w:t>
      </w:r>
      <w:r w:rsidR="00452CCB" w:rsidRPr="00E778AA">
        <w:rPr>
          <w:rStyle w:val="y2iqfc"/>
          <w:rFonts w:ascii="inherit" w:hAnsi="inherit"/>
          <w:sz w:val="24"/>
          <w:szCs w:val="24"/>
        </w:rPr>
        <w:t xml:space="preserve"> </w:t>
      </w:r>
      <w:r>
        <w:rPr>
          <w:rStyle w:val="y2iqfc"/>
          <w:rFonts w:ascii="inherit" w:hAnsi="inherit"/>
          <w:sz w:val="24"/>
          <w:szCs w:val="24"/>
        </w:rPr>
        <w:t>за</w:t>
      </w:r>
      <w:r w:rsidR="00452CCB" w:rsidRPr="00E778AA">
        <w:rPr>
          <w:rStyle w:val="y2iqfc"/>
          <w:rFonts w:ascii="inherit" w:hAnsi="inherit"/>
          <w:sz w:val="24"/>
          <w:szCs w:val="24"/>
        </w:rPr>
        <w:t xml:space="preserve"> </w:t>
      </w:r>
      <w:r>
        <w:rPr>
          <w:rStyle w:val="y2iqfc"/>
          <w:rFonts w:ascii="inherit" w:hAnsi="inherit"/>
          <w:sz w:val="24"/>
          <w:szCs w:val="24"/>
        </w:rPr>
        <w:t>праћење</w:t>
      </w:r>
      <w:r w:rsidR="00452CCB" w:rsidRPr="00E778AA">
        <w:rPr>
          <w:rStyle w:val="y2iqfc"/>
          <w:rFonts w:ascii="inherit" w:hAnsi="inherit"/>
          <w:sz w:val="24"/>
          <w:szCs w:val="24"/>
        </w:rPr>
        <w:t xml:space="preserve"> </w:t>
      </w:r>
      <w:r>
        <w:rPr>
          <w:rStyle w:val="y2iqfc"/>
          <w:rFonts w:ascii="inherit" w:hAnsi="inherit"/>
          <w:sz w:val="24"/>
          <w:szCs w:val="24"/>
        </w:rPr>
        <w:t>суђења</w:t>
      </w:r>
      <w:r w:rsidR="00452CCB" w:rsidRPr="00E778AA">
        <w:rPr>
          <w:rStyle w:val="y2iqfc"/>
          <w:rFonts w:ascii="inherit" w:hAnsi="inherit"/>
          <w:sz w:val="24"/>
          <w:szCs w:val="24"/>
        </w:rPr>
        <w:t xml:space="preserve"> </w:t>
      </w:r>
      <w:r>
        <w:rPr>
          <w:rStyle w:val="y2iqfc"/>
          <w:rFonts w:ascii="inherit" w:hAnsi="inherit"/>
          <w:sz w:val="24"/>
          <w:szCs w:val="24"/>
        </w:rPr>
        <w:t>за</w:t>
      </w:r>
      <w:r w:rsidR="00452CCB" w:rsidRPr="00E778AA">
        <w:rPr>
          <w:rStyle w:val="y2iqfc"/>
          <w:rFonts w:ascii="inherit" w:hAnsi="inherit"/>
          <w:sz w:val="24"/>
          <w:szCs w:val="24"/>
        </w:rPr>
        <w:t xml:space="preserve"> </w:t>
      </w:r>
      <w:r>
        <w:rPr>
          <w:rStyle w:val="y2iqfc"/>
          <w:rFonts w:ascii="inherit" w:hAnsi="inherit"/>
          <w:sz w:val="24"/>
          <w:szCs w:val="24"/>
        </w:rPr>
        <w:t>случајеве</w:t>
      </w:r>
      <w:r w:rsidR="00452CCB" w:rsidRPr="00E778AA">
        <w:rPr>
          <w:rStyle w:val="y2iqfc"/>
          <w:rFonts w:ascii="inherit" w:hAnsi="inherit"/>
          <w:sz w:val="24"/>
          <w:szCs w:val="24"/>
        </w:rPr>
        <w:t xml:space="preserve"> </w:t>
      </w:r>
      <w:r>
        <w:rPr>
          <w:rStyle w:val="y2iqfc"/>
          <w:rFonts w:ascii="inherit" w:hAnsi="inherit"/>
          <w:sz w:val="24"/>
          <w:szCs w:val="24"/>
        </w:rPr>
        <w:t>насиља</w:t>
      </w:r>
      <w:r w:rsidR="00452CCB" w:rsidRPr="00E778AA">
        <w:rPr>
          <w:rStyle w:val="y2iqfc"/>
          <w:rFonts w:ascii="inherit" w:hAnsi="inherit"/>
          <w:sz w:val="24"/>
          <w:szCs w:val="24"/>
        </w:rPr>
        <w:t xml:space="preserve"> </w:t>
      </w:r>
      <w:r>
        <w:rPr>
          <w:rStyle w:val="y2iqfc"/>
          <w:rFonts w:ascii="inherit" w:hAnsi="inherit"/>
          <w:sz w:val="24"/>
          <w:szCs w:val="24"/>
        </w:rPr>
        <w:t>у</w:t>
      </w:r>
      <w:r w:rsidR="00452CCB" w:rsidRPr="00E778AA">
        <w:rPr>
          <w:rStyle w:val="y2iqfc"/>
          <w:rFonts w:ascii="inherit" w:hAnsi="inherit"/>
          <w:sz w:val="24"/>
          <w:szCs w:val="24"/>
        </w:rPr>
        <w:t xml:space="preserve"> </w:t>
      </w:r>
      <w:r>
        <w:rPr>
          <w:rStyle w:val="y2iqfc"/>
          <w:rFonts w:ascii="inherit" w:hAnsi="inherit"/>
          <w:sz w:val="24"/>
          <w:szCs w:val="24"/>
        </w:rPr>
        <w:t>породици</w:t>
      </w:r>
      <w:r w:rsidR="00452CCB" w:rsidRPr="00E778AA">
        <w:rPr>
          <w:rStyle w:val="y2iqfc"/>
          <w:rFonts w:ascii="inherit" w:hAnsi="inherit"/>
          <w:sz w:val="24"/>
          <w:szCs w:val="24"/>
        </w:rPr>
        <w:t xml:space="preserve"> </w:t>
      </w:r>
      <w:r>
        <w:rPr>
          <w:rStyle w:val="y2iqfc"/>
          <w:rFonts w:ascii="inherit" w:hAnsi="inherit"/>
          <w:sz w:val="24"/>
          <w:szCs w:val="24"/>
        </w:rPr>
        <w:t>из</w:t>
      </w:r>
      <w:r w:rsidR="00452CCB" w:rsidRPr="00E778AA">
        <w:rPr>
          <w:rStyle w:val="y2iqfc"/>
          <w:rFonts w:ascii="inherit" w:hAnsi="inherit"/>
          <w:sz w:val="24"/>
          <w:szCs w:val="24"/>
        </w:rPr>
        <w:t xml:space="preserve"> 2022. </w:t>
      </w:r>
      <w:r>
        <w:rPr>
          <w:rStyle w:val="y2iqfc"/>
          <w:rFonts w:ascii="inherit" w:hAnsi="inherit"/>
          <w:sz w:val="24"/>
          <w:szCs w:val="24"/>
        </w:rPr>
        <w:t>године</w:t>
      </w:r>
      <w:r w:rsidR="00452CCB" w:rsidRPr="00E778AA">
        <w:rPr>
          <w:rStyle w:val="y2iqfc"/>
          <w:rFonts w:ascii="inherit" w:hAnsi="inherit"/>
          <w:sz w:val="24"/>
          <w:szCs w:val="24"/>
        </w:rPr>
        <w:t xml:space="preserve">. </w:t>
      </w:r>
      <w:r>
        <w:rPr>
          <w:rStyle w:val="y2iqfc"/>
          <w:rFonts w:ascii="inherit" w:hAnsi="inherit"/>
          <w:sz w:val="24"/>
          <w:szCs w:val="24"/>
        </w:rPr>
        <w:t>Праћење</w:t>
      </w:r>
      <w:r w:rsidR="00E778AA">
        <w:rPr>
          <w:rStyle w:val="y2iqfc"/>
          <w:rFonts w:ascii="inherit" w:hAnsi="inherit"/>
          <w:sz w:val="24"/>
          <w:szCs w:val="24"/>
        </w:rPr>
        <w:t xml:space="preserve"> </w:t>
      </w:r>
      <w:r>
        <w:rPr>
          <w:rStyle w:val="y2iqfc"/>
          <w:rFonts w:ascii="inherit" w:hAnsi="inherit"/>
          <w:sz w:val="24"/>
          <w:szCs w:val="24"/>
        </w:rPr>
        <w:t>се</w:t>
      </w:r>
      <w:r w:rsidR="00E778AA">
        <w:rPr>
          <w:rStyle w:val="y2iqfc"/>
          <w:rFonts w:ascii="inherit" w:hAnsi="inherit"/>
          <w:sz w:val="24"/>
          <w:szCs w:val="24"/>
        </w:rPr>
        <w:t xml:space="preserve"> </w:t>
      </w:r>
      <w:r>
        <w:rPr>
          <w:rStyle w:val="y2iqfc"/>
          <w:rFonts w:ascii="inherit" w:hAnsi="inherit"/>
          <w:sz w:val="24"/>
          <w:szCs w:val="24"/>
        </w:rPr>
        <w:t>фокусирало</w:t>
      </w:r>
      <w:r w:rsidR="00E778AA">
        <w:rPr>
          <w:rStyle w:val="y2iqfc"/>
          <w:rFonts w:ascii="inherit" w:hAnsi="inherit"/>
          <w:sz w:val="24"/>
          <w:szCs w:val="24"/>
        </w:rPr>
        <w:t xml:space="preserve"> </w:t>
      </w:r>
      <w:r>
        <w:rPr>
          <w:rStyle w:val="y2iqfc"/>
          <w:rFonts w:ascii="inherit" w:hAnsi="inherit"/>
          <w:sz w:val="24"/>
          <w:szCs w:val="24"/>
        </w:rPr>
        <w:t>на</w:t>
      </w:r>
      <w:r w:rsidR="00E778AA">
        <w:rPr>
          <w:rStyle w:val="y2iqfc"/>
          <w:rFonts w:ascii="inherit" w:hAnsi="inherit"/>
          <w:sz w:val="24"/>
          <w:szCs w:val="24"/>
        </w:rPr>
        <w:t xml:space="preserve"> </w:t>
      </w:r>
      <w:r>
        <w:rPr>
          <w:rStyle w:val="y2iqfc"/>
          <w:rFonts w:ascii="inherit" w:hAnsi="inherit"/>
          <w:sz w:val="24"/>
          <w:szCs w:val="24"/>
        </w:rPr>
        <w:t>поступање</w:t>
      </w:r>
      <w:r w:rsidR="00E778AA">
        <w:rPr>
          <w:rStyle w:val="y2iqfc"/>
          <w:rFonts w:ascii="inherit" w:hAnsi="inherit"/>
          <w:sz w:val="24"/>
          <w:szCs w:val="24"/>
        </w:rPr>
        <w:t xml:space="preserve"> </w:t>
      </w:r>
      <w:r>
        <w:rPr>
          <w:rStyle w:val="y2iqfc"/>
          <w:rFonts w:ascii="inherit" w:hAnsi="inherit"/>
          <w:sz w:val="24"/>
          <w:szCs w:val="24"/>
        </w:rPr>
        <w:t>са</w:t>
      </w:r>
      <w:r w:rsidR="00452CCB" w:rsidRPr="00E778AA">
        <w:rPr>
          <w:rStyle w:val="y2iqfc"/>
          <w:rFonts w:ascii="inherit" w:hAnsi="inherit"/>
          <w:sz w:val="24"/>
          <w:szCs w:val="24"/>
        </w:rPr>
        <w:t xml:space="preserve"> </w:t>
      </w:r>
      <w:r>
        <w:rPr>
          <w:rStyle w:val="y2iqfc"/>
          <w:rFonts w:ascii="inherit" w:hAnsi="inherit"/>
          <w:sz w:val="24"/>
          <w:szCs w:val="24"/>
        </w:rPr>
        <w:t>жртвама</w:t>
      </w:r>
      <w:r w:rsidR="00452CCB" w:rsidRPr="00E778AA">
        <w:rPr>
          <w:rStyle w:val="y2iqfc"/>
          <w:rFonts w:ascii="inherit" w:hAnsi="inherit"/>
          <w:sz w:val="24"/>
          <w:szCs w:val="24"/>
        </w:rPr>
        <w:t xml:space="preserve"> </w:t>
      </w:r>
      <w:r>
        <w:rPr>
          <w:rStyle w:val="y2iqfc"/>
          <w:rFonts w:ascii="inherit" w:hAnsi="inherit"/>
          <w:sz w:val="24"/>
          <w:szCs w:val="24"/>
        </w:rPr>
        <w:t>и</w:t>
      </w:r>
      <w:r w:rsidR="00452CCB" w:rsidRPr="00E778AA">
        <w:rPr>
          <w:rStyle w:val="y2iqfc"/>
          <w:rFonts w:ascii="inherit" w:hAnsi="inherit"/>
          <w:sz w:val="24"/>
          <w:szCs w:val="24"/>
        </w:rPr>
        <w:t xml:space="preserve"> </w:t>
      </w:r>
      <w:r>
        <w:rPr>
          <w:rStyle w:val="y2iqfc"/>
          <w:rFonts w:ascii="inherit" w:hAnsi="inherit"/>
          <w:sz w:val="24"/>
          <w:szCs w:val="24"/>
        </w:rPr>
        <w:t>преживјелима</w:t>
      </w:r>
      <w:r w:rsidR="00452CCB" w:rsidRPr="00E778AA">
        <w:rPr>
          <w:rStyle w:val="y2iqfc"/>
          <w:rFonts w:ascii="inherit" w:hAnsi="inherit"/>
          <w:sz w:val="24"/>
          <w:szCs w:val="24"/>
        </w:rPr>
        <w:t xml:space="preserve"> </w:t>
      </w:r>
      <w:r>
        <w:rPr>
          <w:rStyle w:val="y2iqfc"/>
          <w:rFonts w:ascii="inherit" w:hAnsi="inherit"/>
          <w:sz w:val="24"/>
          <w:szCs w:val="24"/>
        </w:rPr>
        <w:t>током</w:t>
      </w:r>
      <w:r w:rsidR="00452CCB" w:rsidRPr="00E778AA">
        <w:rPr>
          <w:rStyle w:val="y2iqfc"/>
          <w:rFonts w:ascii="inherit" w:hAnsi="inherit"/>
          <w:sz w:val="24"/>
          <w:szCs w:val="24"/>
        </w:rPr>
        <w:t xml:space="preserve"> </w:t>
      </w:r>
      <w:r>
        <w:rPr>
          <w:rStyle w:val="y2iqfc"/>
          <w:rFonts w:ascii="inherit" w:hAnsi="inherit"/>
          <w:sz w:val="24"/>
          <w:szCs w:val="24"/>
        </w:rPr>
        <w:t>цијелог</w:t>
      </w:r>
      <w:r w:rsidR="00452CCB" w:rsidRPr="00E778AA">
        <w:rPr>
          <w:rStyle w:val="y2iqfc"/>
          <w:rFonts w:ascii="inherit" w:hAnsi="inherit"/>
          <w:sz w:val="24"/>
          <w:szCs w:val="24"/>
        </w:rPr>
        <w:t xml:space="preserve"> </w:t>
      </w:r>
      <w:r>
        <w:rPr>
          <w:rStyle w:val="y2iqfc"/>
          <w:rFonts w:ascii="inherit" w:hAnsi="inherit"/>
          <w:sz w:val="24"/>
          <w:szCs w:val="24"/>
        </w:rPr>
        <w:t>правног</w:t>
      </w:r>
      <w:r w:rsidR="00452CCB" w:rsidRPr="00E778AA">
        <w:rPr>
          <w:rStyle w:val="y2iqfc"/>
          <w:rFonts w:ascii="inherit" w:hAnsi="inherit"/>
          <w:sz w:val="24"/>
          <w:szCs w:val="24"/>
        </w:rPr>
        <w:t xml:space="preserve"> </w:t>
      </w:r>
      <w:r>
        <w:rPr>
          <w:rStyle w:val="y2iqfc"/>
          <w:rFonts w:ascii="inherit" w:hAnsi="inherit"/>
          <w:sz w:val="24"/>
          <w:szCs w:val="24"/>
        </w:rPr>
        <w:t>процеса</w:t>
      </w:r>
      <w:r w:rsidR="00452CCB" w:rsidRPr="00E778AA">
        <w:rPr>
          <w:rStyle w:val="y2iqfc"/>
          <w:rFonts w:ascii="inherit" w:hAnsi="inherit"/>
          <w:sz w:val="24"/>
          <w:szCs w:val="24"/>
        </w:rPr>
        <w:t xml:space="preserve"> </w:t>
      </w:r>
      <w:r>
        <w:rPr>
          <w:rStyle w:val="y2iqfc"/>
          <w:rFonts w:ascii="inherit" w:hAnsi="inherit"/>
          <w:sz w:val="24"/>
          <w:szCs w:val="24"/>
        </w:rPr>
        <w:t>и</w:t>
      </w:r>
      <w:r w:rsidR="00452CCB" w:rsidRPr="00E778AA">
        <w:rPr>
          <w:rStyle w:val="y2iqfc"/>
          <w:rFonts w:ascii="inherit" w:hAnsi="inherit"/>
          <w:sz w:val="24"/>
          <w:szCs w:val="24"/>
        </w:rPr>
        <w:t xml:space="preserve"> </w:t>
      </w:r>
      <w:r>
        <w:rPr>
          <w:rStyle w:val="y2iqfc"/>
          <w:rFonts w:ascii="inherit" w:hAnsi="inherit"/>
          <w:sz w:val="24"/>
          <w:szCs w:val="24"/>
        </w:rPr>
        <w:t>укључивало</w:t>
      </w:r>
      <w:r w:rsidR="00452CCB" w:rsidRPr="00E778AA">
        <w:rPr>
          <w:rStyle w:val="y2iqfc"/>
          <w:rFonts w:ascii="inherit" w:hAnsi="inherit"/>
          <w:sz w:val="24"/>
          <w:szCs w:val="24"/>
        </w:rPr>
        <w:t xml:space="preserve"> </w:t>
      </w:r>
      <w:r>
        <w:rPr>
          <w:rStyle w:val="y2iqfc"/>
          <w:rFonts w:ascii="inherit" w:hAnsi="inherit"/>
          <w:sz w:val="24"/>
          <w:szCs w:val="24"/>
        </w:rPr>
        <w:t>је</w:t>
      </w:r>
      <w:r w:rsidR="00452CCB" w:rsidRPr="00E778AA">
        <w:rPr>
          <w:rStyle w:val="y2iqfc"/>
          <w:rFonts w:ascii="inherit" w:hAnsi="inherit"/>
          <w:sz w:val="24"/>
          <w:szCs w:val="24"/>
        </w:rPr>
        <w:t xml:space="preserve"> </w:t>
      </w:r>
      <w:r>
        <w:rPr>
          <w:rStyle w:val="y2iqfc"/>
          <w:rFonts w:ascii="inherit" w:hAnsi="inherit"/>
          <w:sz w:val="24"/>
          <w:szCs w:val="24"/>
        </w:rPr>
        <w:t>преглед</w:t>
      </w:r>
      <w:r w:rsidR="00452CCB" w:rsidRPr="00E778AA">
        <w:rPr>
          <w:rStyle w:val="y2iqfc"/>
          <w:rFonts w:ascii="inherit" w:hAnsi="inherit"/>
          <w:sz w:val="24"/>
          <w:szCs w:val="24"/>
        </w:rPr>
        <w:t xml:space="preserve"> </w:t>
      </w:r>
      <w:r>
        <w:rPr>
          <w:rStyle w:val="y2iqfc"/>
          <w:rFonts w:ascii="inherit" w:hAnsi="inherit"/>
          <w:sz w:val="24"/>
          <w:szCs w:val="24"/>
        </w:rPr>
        <w:t>правних</w:t>
      </w:r>
      <w:r w:rsidR="00452CCB" w:rsidRPr="00E778AA">
        <w:rPr>
          <w:rStyle w:val="y2iqfc"/>
          <w:rFonts w:ascii="inherit" w:hAnsi="inherit"/>
          <w:sz w:val="24"/>
          <w:szCs w:val="24"/>
        </w:rPr>
        <w:t xml:space="preserve"> </w:t>
      </w:r>
      <w:r>
        <w:rPr>
          <w:rStyle w:val="y2iqfc"/>
          <w:rFonts w:ascii="inherit" w:hAnsi="inherit"/>
          <w:sz w:val="24"/>
          <w:szCs w:val="24"/>
        </w:rPr>
        <w:t>аката</w:t>
      </w:r>
      <w:r w:rsidR="00452CCB" w:rsidRPr="00E778AA">
        <w:rPr>
          <w:rStyle w:val="y2iqfc"/>
          <w:rFonts w:ascii="inherit" w:hAnsi="inherit"/>
          <w:sz w:val="24"/>
          <w:szCs w:val="24"/>
        </w:rPr>
        <w:t xml:space="preserve">, </w:t>
      </w:r>
      <w:r>
        <w:rPr>
          <w:rStyle w:val="y2iqfc"/>
          <w:rFonts w:ascii="inherit" w:hAnsi="inherit"/>
          <w:sz w:val="24"/>
          <w:szCs w:val="24"/>
        </w:rPr>
        <w:t>лично</w:t>
      </w:r>
      <w:r w:rsidR="00452CCB" w:rsidRPr="00E778AA">
        <w:rPr>
          <w:rStyle w:val="y2iqfc"/>
          <w:rFonts w:ascii="inherit" w:hAnsi="inherit"/>
          <w:sz w:val="24"/>
          <w:szCs w:val="24"/>
        </w:rPr>
        <w:t xml:space="preserve"> </w:t>
      </w:r>
      <w:r>
        <w:rPr>
          <w:rStyle w:val="y2iqfc"/>
          <w:rFonts w:ascii="inherit" w:hAnsi="inherit"/>
          <w:sz w:val="24"/>
          <w:szCs w:val="24"/>
        </w:rPr>
        <w:t>присуство</w:t>
      </w:r>
      <w:r w:rsidR="00452CCB" w:rsidRPr="00E778AA">
        <w:rPr>
          <w:rStyle w:val="y2iqfc"/>
          <w:rFonts w:ascii="inherit" w:hAnsi="inherit"/>
          <w:sz w:val="24"/>
          <w:szCs w:val="24"/>
        </w:rPr>
        <w:t xml:space="preserve"> </w:t>
      </w:r>
      <w:r>
        <w:rPr>
          <w:rStyle w:val="y2iqfc"/>
          <w:rFonts w:ascii="inherit" w:hAnsi="inherit"/>
          <w:sz w:val="24"/>
          <w:szCs w:val="24"/>
        </w:rPr>
        <w:t>на</w:t>
      </w:r>
      <w:r w:rsidR="00452CCB" w:rsidRPr="00E778AA">
        <w:rPr>
          <w:rStyle w:val="y2iqfc"/>
          <w:rFonts w:ascii="inherit" w:hAnsi="inherit"/>
          <w:sz w:val="24"/>
          <w:szCs w:val="24"/>
        </w:rPr>
        <w:t xml:space="preserve"> </w:t>
      </w:r>
      <w:r>
        <w:rPr>
          <w:rStyle w:val="y2iqfc"/>
          <w:rFonts w:ascii="inherit" w:hAnsi="inherit"/>
          <w:sz w:val="24"/>
          <w:szCs w:val="24"/>
        </w:rPr>
        <w:t>рочиштима</w:t>
      </w:r>
      <w:r w:rsidR="00452CCB" w:rsidRPr="00E778AA">
        <w:rPr>
          <w:rStyle w:val="y2iqfc"/>
          <w:rFonts w:ascii="inherit" w:hAnsi="inherit"/>
          <w:sz w:val="24"/>
          <w:szCs w:val="24"/>
        </w:rPr>
        <w:t xml:space="preserve"> </w:t>
      </w:r>
      <w:r>
        <w:rPr>
          <w:rStyle w:val="y2iqfc"/>
          <w:rFonts w:ascii="inherit" w:hAnsi="inherit"/>
          <w:sz w:val="24"/>
          <w:szCs w:val="24"/>
        </w:rPr>
        <w:t>и</w:t>
      </w:r>
      <w:r w:rsidR="00452CCB" w:rsidRPr="00E778AA">
        <w:rPr>
          <w:rStyle w:val="y2iqfc"/>
          <w:rFonts w:ascii="inherit" w:hAnsi="inherit"/>
          <w:sz w:val="24"/>
          <w:szCs w:val="24"/>
        </w:rPr>
        <w:t xml:space="preserve"> </w:t>
      </w:r>
      <w:r>
        <w:rPr>
          <w:rStyle w:val="y2iqfc"/>
          <w:rFonts w:ascii="inherit" w:hAnsi="inherit"/>
          <w:sz w:val="24"/>
          <w:szCs w:val="24"/>
        </w:rPr>
        <w:t>детаљне</w:t>
      </w:r>
      <w:r w:rsidR="00452CCB" w:rsidRPr="00E778AA">
        <w:rPr>
          <w:rStyle w:val="y2iqfc"/>
          <w:rFonts w:ascii="inherit" w:hAnsi="inherit"/>
          <w:sz w:val="24"/>
          <w:szCs w:val="24"/>
        </w:rPr>
        <w:t xml:space="preserve"> </w:t>
      </w:r>
      <w:r>
        <w:rPr>
          <w:rStyle w:val="y2iqfc"/>
          <w:rFonts w:ascii="inherit" w:hAnsi="inherit"/>
          <w:sz w:val="24"/>
          <w:szCs w:val="24"/>
        </w:rPr>
        <w:t>прегледе</w:t>
      </w:r>
      <w:r w:rsidR="00452CCB" w:rsidRPr="00E778AA">
        <w:rPr>
          <w:rStyle w:val="y2iqfc"/>
          <w:rFonts w:ascii="inherit" w:hAnsi="inherit"/>
          <w:sz w:val="24"/>
          <w:szCs w:val="24"/>
        </w:rPr>
        <w:t xml:space="preserve"> </w:t>
      </w:r>
      <w:r>
        <w:rPr>
          <w:rStyle w:val="y2iqfc"/>
          <w:rFonts w:ascii="inherit" w:hAnsi="inherit"/>
          <w:sz w:val="24"/>
          <w:szCs w:val="24"/>
        </w:rPr>
        <w:t>списа</w:t>
      </w:r>
      <w:r w:rsidR="00452CCB" w:rsidRPr="00E778AA">
        <w:rPr>
          <w:rStyle w:val="y2iqfc"/>
          <w:rFonts w:ascii="inherit" w:hAnsi="inherit"/>
          <w:sz w:val="24"/>
          <w:szCs w:val="24"/>
        </w:rPr>
        <w:t xml:space="preserve"> </w:t>
      </w:r>
      <w:r>
        <w:rPr>
          <w:rStyle w:val="y2iqfc"/>
          <w:rFonts w:ascii="inherit" w:hAnsi="inherit"/>
          <w:sz w:val="24"/>
          <w:szCs w:val="24"/>
        </w:rPr>
        <w:t>предмета</w:t>
      </w:r>
      <w:r w:rsidR="00452CCB" w:rsidRPr="00E778AA">
        <w:rPr>
          <w:rStyle w:val="y2iqfc"/>
          <w:rFonts w:ascii="inherit" w:hAnsi="inherit"/>
          <w:sz w:val="24"/>
          <w:szCs w:val="24"/>
        </w:rPr>
        <w:t xml:space="preserve">. </w:t>
      </w:r>
      <w:r>
        <w:rPr>
          <w:rStyle w:val="y2iqfc"/>
          <w:rFonts w:ascii="inherit" w:hAnsi="inherit"/>
          <w:sz w:val="24"/>
          <w:szCs w:val="24"/>
        </w:rPr>
        <w:t>На</w:t>
      </w:r>
      <w:r w:rsidR="00452CCB" w:rsidRPr="00E778AA">
        <w:rPr>
          <w:rStyle w:val="y2iqfc"/>
          <w:rFonts w:ascii="inherit" w:hAnsi="inherit"/>
          <w:sz w:val="24"/>
          <w:szCs w:val="24"/>
        </w:rPr>
        <w:t xml:space="preserve"> </w:t>
      </w:r>
      <w:r>
        <w:rPr>
          <w:rStyle w:val="y2iqfc"/>
          <w:rFonts w:ascii="inherit" w:hAnsi="inherit"/>
          <w:sz w:val="24"/>
          <w:szCs w:val="24"/>
        </w:rPr>
        <w:t>основу</w:t>
      </w:r>
      <w:r w:rsidR="00452CCB" w:rsidRPr="00E778AA">
        <w:rPr>
          <w:rStyle w:val="y2iqfc"/>
          <w:rFonts w:ascii="inherit" w:hAnsi="inherit"/>
          <w:sz w:val="24"/>
          <w:szCs w:val="24"/>
        </w:rPr>
        <w:t xml:space="preserve"> </w:t>
      </w:r>
      <w:r>
        <w:rPr>
          <w:rStyle w:val="y2iqfc"/>
          <w:rFonts w:ascii="inherit" w:hAnsi="inherit"/>
          <w:sz w:val="24"/>
          <w:szCs w:val="24"/>
        </w:rPr>
        <w:t>прикупљених</w:t>
      </w:r>
      <w:r w:rsidR="00452CCB" w:rsidRPr="00E778AA">
        <w:rPr>
          <w:rStyle w:val="y2iqfc"/>
          <w:rFonts w:ascii="inherit" w:hAnsi="inherit"/>
          <w:sz w:val="24"/>
          <w:szCs w:val="24"/>
        </w:rPr>
        <w:t xml:space="preserve"> </w:t>
      </w:r>
      <w:r>
        <w:rPr>
          <w:rStyle w:val="y2iqfc"/>
          <w:rFonts w:ascii="inherit" w:hAnsi="inherit"/>
          <w:sz w:val="24"/>
          <w:szCs w:val="24"/>
        </w:rPr>
        <w:t>података</w:t>
      </w:r>
      <w:r w:rsidR="00452CCB" w:rsidRPr="00E778AA">
        <w:rPr>
          <w:rStyle w:val="y2iqfc"/>
          <w:rFonts w:ascii="inherit" w:hAnsi="inherit"/>
          <w:sz w:val="24"/>
          <w:szCs w:val="24"/>
        </w:rPr>
        <w:t xml:space="preserve"> </w:t>
      </w:r>
      <w:r>
        <w:rPr>
          <w:rStyle w:val="y2iqfc"/>
          <w:rFonts w:ascii="inherit" w:hAnsi="inherit"/>
          <w:sz w:val="24"/>
          <w:szCs w:val="24"/>
        </w:rPr>
        <w:t>праћења</w:t>
      </w:r>
      <w:r w:rsidR="00452CCB" w:rsidRPr="00E778AA">
        <w:rPr>
          <w:rStyle w:val="y2iqfc"/>
          <w:rFonts w:ascii="inherit" w:hAnsi="inherit"/>
          <w:sz w:val="24"/>
          <w:szCs w:val="24"/>
        </w:rPr>
        <w:t xml:space="preserve">, </w:t>
      </w:r>
      <w:r>
        <w:rPr>
          <w:rStyle w:val="y2iqfc"/>
          <w:rFonts w:ascii="inherit" w:hAnsi="inherit"/>
          <w:sz w:val="24"/>
          <w:szCs w:val="24"/>
        </w:rPr>
        <w:t>идентифици</w:t>
      </w:r>
      <w:r w:rsidR="00701567">
        <w:rPr>
          <w:rStyle w:val="y2iqfc"/>
          <w:rFonts w:ascii="inherit" w:hAnsi="inherit"/>
          <w:sz w:val="24"/>
          <w:szCs w:val="24"/>
          <w:lang w:val="sr-Cyrl-BA"/>
        </w:rPr>
        <w:t>ковани</w:t>
      </w:r>
      <w:r w:rsidR="00DA76EC" w:rsidRPr="00E778AA">
        <w:rPr>
          <w:rStyle w:val="y2iqfc"/>
          <w:rFonts w:ascii="inherit" w:hAnsi="inherit"/>
          <w:sz w:val="24"/>
          <w:szCs w:val="24"/>
        </w:rPr>
        <w:t xml:space="preserve"> </w:t>
      </w:r>
      <w:r>
        <w:rPr>
          <w:rStyle w:val="y2iqfc"/>
          <w:rFonts w:ascii="inherit" w:hAnsi="inherit"/>
          <w:sz w:val="24"/>
          <w:szCs w:val="24"/>
        </w:rPr>
        <w:t>су</w:t>
      </w:r>
      <w:r w:rsidR="00452CCB" w:rsidRPr="00E778AA">
        <w:rPr>
          <w:rStyle w:val="y2iqfc"/>
          <w:rFonts w:ascii="inherit" w:hAnsi="inherit"/>
          <w:sz w:val="24"/>
          <w:szCs w:val="24"/>
        </w:rPr>
        <w:t xml:space="preserve"> </w:t>
      </w:r>
      <w:r>
        <w:rPr>
          <w:rStyle w:val="y2iqfc"/>
          <w:rFonts w:ascii="inherit" w:hAnsi="inherit"/>
          <w:sz w:val="24"/>
          <w:szCs w:val="24"/>
        </w:rPr>
        <w:t>кључни</w:t>
      </w:r>
      <w:r w:rsidR="00DA76EC" w:rsidRPr="00E778AA">
        <w:rPr>
          <w:rStyle w:val="y2iqfc"/>
          <w:rFonts w:ascii="inherit" w:hAnsi="inherit"/>
          <w:sz w:val="24"/>
          <w:szCs w:val="24"/>
        </w:rPr>
        <w:t xml:space="preserve"> </w:t>
      </w:r>
      <w:r w:rsidR="00452CCB" w:rsidRPr="00E778AA">
        <w:rPr>
          <w:rStyle w:val="y2iqfc"/>
          <w:rFonts w:ascii="inherit" w:hAnsi="inherit"/>
          <w:sz w:val="24"/>
          <w:szCs w:val="24"/>
        </w:rPr>
        <w:t xml:space="preserve"> </w:t>
      </w:r>
      <w:r>
        <w:rPr>
          <w:rStyle w:val="y2iqfc"/>
          <w:rFonts w:ascii="inherit" w:hAnsi="inherit"/>
          <w:sz w:val="24"/>
          <w:szCs w:val="24"/>
        </w:rPr>
        <w:t>недостаци</w:t>
      </w:r>
      <w:r w:rsidR="00452CCB" w:rsidRPr="00E778AA">
        <w:rPr>
          <w:rStyle w:val="y2iqfc"/>
          <w:rFonts w:ascii="inherit" w:hAnsi="inherit"/>
          <w:sz w:val="24"/>
          <w:szCs w:val="24"/>
        </w:rPr>
        <w:t xml:space="preserve"> </w:t>
      </w:r>
      <w:r>
        <w:rPr>
          <w:rStyle w:val="y2iqfc"/>
          <w:rFonts w:ascii="inherit" w:hAnsi="inherit"/>
          <w:sz w:val="24"/>
          <w:szCs w:val="24"/>
        </w:rPr>
        <w:t>у</w:t>
      </w:r>
      <w:r w:rsidR="00452CCB" w:rsidRPr="00E778AA">
        <w:rPr>
          <w:rStyle w:val="y2iqfc"/>
          <w:rFonts w:ascii="inherit" w:hAnsi="inherit"/>
          <w:sz w:val="24"/>
          <w:szCs w:val="24"/>
        </w:rPr>
        <w:t xml:space="preserve"> </w:t>
      </w:r>
      <w:r>
        <w:rPr>
          <w:rStyle w:val="y2iqfc"/>
          <w:rFonts w:ascii="inherit" w:hAnsi="inherit"/>
          <w:sz w:val="24"/>
          <w:szCs w:val="24"/>
        </w:rPr>
        <w:t>обради</w:t>
      </w:r>
      <w:r w:rsidR="00452CCB" w:rsidRPr="00E778AA">
        <w:rPr>
          <w:rStyle w:val="y2iqfc"/>
          <w:rFonts w:ascii="inherit" w:hAnsi="inherit"/>
          <w:sz w:val="24"/>
          <w:szCs w:val="24"/>
        </w:rPr>
        <w:t xml:space="preserve"> </w:t>
      </w:r>
      <w:r>
        <w:rPr>
          <w:rStyle w:val="y2iqfc"/>
          <w:rFonts w:ascii="inherit" w:hAnsi="inherit"/>
          <w:sz w:val="24"/>
          <w:szCs w:val="24"/>
        </w:rPr>
        <w:t>случајева</w:t>
      </w:r>
      <w:r w:rsidR="00452CCB" w:rsidRPr="00E778AA">
        <w:rPr>
          <w:rStyle w:val="y2iqfc"/>
          <w:rFonts w:ascii="inherit" w:hAnsi="inherit"/>
          <w:sz w:val="24"/>
          <w:szCs w:val="24"/>
        </w:rPr>
        <w:t xml:space="preserve"> </w:t>
      </w:r>
      <w:r>
        <w:rPr>
          <w:rStyle w:val="y2iqfc"/>
          <w:rFonts w:ascii="inherit" w:hAnsi="inherit"/>
          <w:sz w:val="24"/>
          <w:szCs w:val="24"/>
        </w:rPr>
        <w:t>насиља</w:t>
      </w:r>
      <w:r w:rsidR="00452CCB" w:rsidRPr="00E778AA">
        <w:rPr>
          <w:rStyle w:val="y2iqfc"/>
          <w:rFonts w:ascii="inherit" w:hAnsi="inherit"/>
          <w:sz w:val="24"/>
          <w:szCs w:val="24"/>
        </w:rPr>
        <w:t xml:space="preserve"> </w:t>
      </w:r>
      <w:r>
        <w:rPr>
          <w:rStyle w:val="y2iqfc"/>
          <w:rFonts w:ascii="inherit" w:hAnsi="inherit"/>
          <w:sz w:val="24"/>
          <w:szCs w:val="24"/>
        </w:rPr>
        <w:t>у</w:t>
      </w:r>
      <w:r w:rsidR="00452CCB" w:rsidRPr="00E778AA">
        <w:rPr>
          <w:rStyle w:val="y2iqfc"/>
          <w:rFonts w:ascii="inherit" w:hAnsi="inherit"/>
          <w:sz w:val="24"/>
          <w:szCs w:val="24"/>
        </w:rPr>
        <w:t xml:space="preserve"> </w:t>
      </w:r>
      <w:r>
        <w:rPr>
          <w:rStyle w:val="y2iqfc"/>
          <w:rFonts w:ascii="inherit" w:hAnsi="inherit"/>
          <w:sz w:val="24"/>
          <w:szCs w:val="24"/>
        </w:rPr>
        <w:t>породици</w:t>
      </w:r>
      <w:r w:rsidR="00452CCB" w:rsidRPr="00E778AA">
        <w:rPr>
          <w:rStyle w:val="y2iqfc"/>
          <w:rFonts w:ascii="inherit" w:hAnsi="inherit"/>
          <w:sz w:val="24"/>
          <w:szCs w:val="24"/>
        </w:rPr>
        <w:t xml:space="preserve">, </w:t>
      </w:r>
      <w:r>
        <w:rPr>
          <w:rStyle w:val="y2iqfc"/>
          <w:rFonts w:ascii="inherit" w:hAnsi="inherit"/>
          <w:sz w:val="24"/>
          <w:szCs w:val="24"/>
        </w:rPr>
        <w:t>као</w:t>
      </w:r>
      <w:r w:rsidR="00452CCB" w:rsidRPr="00E778AA">
        <w:rPr>
          <w:rStyle w:val="y2iqfc"/>
          <w:rFonts w:ascii="inherit" w:hAnsi="inherit"/>
          <w:sz w:val="24"/>
          <w:szCs w:val="24"/>
        </w:rPr>
        <w:t xml:space="preserve"> </w:t>
      </w:r>
      <w:r>
        <w:rPr>
          <w:rStyle w:val="y2iqfc"/>
          <w:rFonts w:ascii="inherit" w:hAnsi="inherit"/>
          <w:sz w:val="24"/>
          <w:szCs w:val="24"/>
        </w:rPr>
        <w:t>што</w:t>
      </w:r>
      <w:r w:rsidR="00452CCB" w:rsidRPr="00E778AA">
        <w:rPr>
          <w:rStyle w:val="y2iqfc"/>
          <w:rFonts w:ascii="inherit" w:hAnsi="inherit"/>
          <w:sz w:val="24"/>
          <w:szCs w:val="24"/>
        </w:rPr>
        <w:t xml:space="preserve"> </w:t>
      </w:r>
      <w:r>
        <w:rPr>
          <w:rStyle w:val="y2iqfc"/>
          <w:rFonts w:ascii="inherit" w:hAnsi="inherit"/>
          <w:sz w:val="24"/>
          <w:szCs w:val="24"/>
        </w:rPr>
        <w:t>су</w:t>
      </w:r>
      <w:r w:rsidR="00452CCB" w:rsidRPr="00E778AA">
        <w:rPr>
          <w:rStyle w:val="y2iqfc"/>
          <w:rFonts w:ascii="inherit" w:hAnsi="inherit"/>
          <w:sz w:val="24"/>
          <w:szCs w:val="24"/>
        </w:rPr>
        <w:t xml:space="preserve"> </w:t>
      </w:r>
      <w:r>
        <w:rPr>
          <w:rStyle w:val="y2iqfc"/>
          <w:rFonts w:ascii="inherit" w:hAnsi="inherit"/>
          <w:sz w:val="24"/>
          <w:szCs w:val="24"/>
        </w:rPr>
        <w:t>нпр</w:t>
      </w:r>
      <w:r w:rsidR="00DA76EC" w:rsidRPr="00E778AA">
        <w:rPr>
          <w:rStyle w:val="y2iqfc"/>
          <w:rFonts w:ascii="inherit" w:hAnsi="inherit"/>
          <w:sz w:val="24"/>
          <w:szCs w:val="24"/>
        </w:rPr>
        <w:t xml:space="preserve">. </w:t>
      </w:r>
      <w:r>
        <w:rPr>
          <w:rStyle w:val="y2iqfc"/>
          <w:rFonts w:ascii="inherit" w:hAnsi="inherit"/>
          <w:sz w:val="24"/>
          <w:szCs w:val="24"/>
        </w:rPr>
        <w:t>одсуство</w:t>
      </w:r>
      <w:r w:rsidR="00452CCB" w:rsidRPr="00E778AA">
        <w:rPr>
          <w:rStyle w:val="y2iqfc"/>
          <w:rFonts w:ascii="inherit" w:hAnsi="inherit"/>
          <w:sz w:val="24"/>
          <w:szCs w:val="24"/>
        </w:rPr>
        <w:t xml:space="preserve"> </w:t>
      </w:r>
      <w:r>
        <w:rPr>
          <w:rStyle w:val="y2iqfc"/>
          <w:rFonts w:ascii="inherit" w:hAnsi="inherit"/>
          <w:sz w:val="24"/>
          <w:szCs w:val="24"/>
        </w:rPr>
        <w:t>приступа</w:t>
      </w:r>
      <w:r w:rsidR="00452CCB" w:rsidRPr="00E778AA">
        <w:rPr>
          <w:rStyle w:val="y2iqfc"/>
          <w:rFonts w:ascii="inherit" w:hAnsi="inherit"/>
          <w:sz w:val="24"/>
          <w:szCs w:val="24"/>
        </w:rPr>
        <w:t xml:space="preserve"> </w:t>
      </w:r>
      <w:r>
        <w:rPr>
          <w:rStyle w:val="y2iqfc"/>
          <w:rFonts w:ascii="inherit" w:hAnsi="inherit"/>
          <w:sz w:val="24"/>
          <w:szCs w:val="24"/>
        </w:rPr>
        <w:t>усмјереног</w:t>
      </w:r>
      <w:r w:rsidR="00452CCB" w:rsidRPr="00E778AA">
        <w:rPr>
          <w:rStyle w:val="y2iqfc"/>
          <w:rFonts w:ascii="inherit" w:hAnsi="inherit"/>
          <w:sz w:val="24"/>
          <w:szCs w:val="24"/>
        </w:rPr>
        <w:t xml:space="preserve"> </w:t>
      </w:r>
      <w:r>
        <w:rPr>
          <w:rStyle w:val="y2iqfc"/>
          <w:rFonts w:ascii="inherit" w:hAnsi="inherit"/>
          <w:sz w:val="24"/>
          <w:szCs w:val="24"/>
        </w:rPr>
        <w:t>на</w:t>
      </w:r>
      <w:r w:rsidR="00452CCB" w:rsidRPr="00E778AA">
        <w:rPr>
          <w:rStyle w:val="y2iqfc"/>
          <w:rFonts w:ascii="inherit" w:hAnsi="inherit"/>
          <w:sz w:val="24"/>
          <w:szCs w:val="24"/>
        </w:rPr>
        <w:t xml:space="preserve"> </w:t>
      </w:r>
      <w:r>
        <w:rPr>
          <w:rStyle w:val="y2iqfc"/>
          <w:rFonts w:ascii="inherit" w:hAnsi="inherit"/>
          <w:sz w:val="24"/>
          <w:szCs w:val="24"/>
        </w:rPr>
        <w:t>жртву</w:t>
      </w:r>
      <w:r w:rsidR="00452CCB" w:rsidRPr="00E778AA">
        <w:rPr>
          <w:rStyle w:val="y2iqfc"/>
          <w:rFonts w:ascii="inherit" w:hAnsi="inherit"/>
          <w:sz w:val="24"/>
          <w:szCs w:val="24"/>
        </w:rPr>
        <w:t xml:space="preserve">, </w:t>
      </w:r>
      <w:r>
        <w:rPr>
          <w:rStyle w:val="y2iqfc"/>
          <w:rFonts w:ascii="inherit" w:hAnsi="inherit"/>
          <w:sz w:val="24"/>
          <w:szCs w:val="24"/>
        </w:rPr>
        <w:t>мањкаве</w:t>
      </w:r>
      <w:r w:rsidR="00452CCB" w:rsidRPr="00E778AA">
        <w:rPr>
          <w:rStyle w:val="y2iqfc"/>
          <w:rFonts w:ascii="inherit" w:hAnsi="inherit"/>
          <w:sz w:val="24"/>
          <w:szCs w:val="24"/>
        </w:rPr>
        <w:t xml:space="preserve"> </w:t>
      </w:r>
      <w:r>
        <w:rPr>
          <w:rStyle w:val="y2iqfc"/>
          <w:rFonts w:ascii="inherit" w:hAnsi="inherit"/>
          <w:sz w:val="24"/>
          <w:szCs w:val="24"/>
        </w:rPr>
        <w:t>истраге</w:t>
      </w:r>
      <w:r w:rsidR="00452CCB" w:rsidRPr="00E778AA">
        <w:rPr>
          <w:rStyle w:val="y2iqfc"/>
          <w:rFonts w:ascii="inherit" w:hAnsi="inherit"/>
          <w:sz w:val="24"/>
          <w:szCs w:val="24"/>
        </w:rPr>
        <w:t xml:space="preserve"> </w:t>
      </w:r>
      <w:r>
        <w:rPr>
          <w:rStyle w:val="y2iqfc"/>
          <w:rFonts w:ascii="inherit" w:hAnsi="inherit"/>
          <w:sz w:val="24"/>
          <w:szCs w:val="24"/>
        </w:rPr>
        <w:t>и</w:t>
      </w:r>
      <w:r w:rsidR="00452CCB" w:rsidRPr="00E778AA">
        <w:rPr>
          <w:rStyle w:val="y2iqfc"/>
          <w:rFonts w:ascii="inherit" w:hAnsi="inherit"/>
          <w:sz w:val="24"/>
          <w:szCs w:val="24"/>
        </w:rPr>
        <w:t xml:space="preserve"> </w:t>
      </w:r>
      <w:r>
        <w:rPr>
          <w:rStyle w:val="y2iqfc"/>
          <w:rFonts w:ascii="inherit" w:hAnsi="inherit"/>
          <w:sz w:val="24"/>
          <w:szCs w:val="24"/>
        </w:rPr>
        <w:t>претјерано</w:t>
      </w:r>
      <w:r w:rsidR="00452CCB" w:rsidRPr="00E778AA">
        <w:rPr>
          <w:rStyle w:val="y2iqfc"/>
          <w:rFonts w:ascii="inherit" w:hAnsi="inherit"/>
          <w:sz w:val="24"/>
          <w:szCs w:val="24"/>
        </w:rPr>
        <w:t xml:space="preserve"> </w:t>
      </w:r>
      <w:r>
        <w:rPr>
          <w:rStyle w:val="y2iqfc"/>
          <w:rFonts w:ascii="inherit" w:hAnsi="inherit"/>
          <w:sz w:val="24"/>
          <w:szCs w:val="24"/>
        </w:rPr>
        <w:t>ослањање</w:t>
      </w:r>
      <w:r w:rsidR="00452CCB" w:rsidRPr="00E778AA">
        <w:rPr>
          <w:rStyle w:val="y2iqfc"/>
          <w:rFonts w:ascii="inherit" w:hAnsi="inherit"/>
          <w:sz w:val="24"/>
          <w:szCs w:val="24"/>
        </w:rPr>
        <w:t xml:space="preserve"> </w:t>
      </w:r>
      <w:r>
        <w:rPr>
          <w:rStyle w:val="y2iqfc"/>
          <w:rFonts w:ascii="inherit" w:hAnsi="inherit"/>
          <w:sz w:val="24"/>
          <w:szCs w:val="24"/>
        </w:rPr>
        <w:t>на</w:t>
      </w:r>
      <w:r w:rsidR="00452CCB" w:rsidRPr="00E778AA">
        <w:rPr>
          <w:rStyle w:val="y2iqfc"/>
          <w:rFonts w:ascii="inherit" w:hAnsi="inherit"/>
          <w:sz w:val="24"/>
          <w:szCs w:val="24"/>
        </w:rPr>
        <w:t xml:space="preserve"> </w:t>
      </w:r>
      <w:r>
        <w:rPr>
          <w:rStyle w:val="y2iqfc"/>
          <w:rFonts w:ascii="inherit" w:hAnsi="inherit"/>
          <w:sz w:val="24"/>
          <w:szCs w:val="24"/>
        </w:rPr>
        <w:t>привилег</w:t>
      </w:r>
      <w:r w:rsidR="00701567">
        <w:rPr>
          <w:rStyle w:val="y2iqfc"/>
          <w:rFonts w:ascii="inherit" w:hAnsi="inherit"/>
          <w:sz w:val="24"/>
          <w:szCs w:val="24"/>
          <w:lang w:val="sr-Cyrl-BA"/>
        </w:rPr>
        <w:t>ована</w:t>
      </w:r>
      <w:r w:rsidR="00452CCB" w:rsidRPr="00E778AA">
        <w:rPr>
          <w:rStyle w:val="y2iqfc"/>
          <w:rFonts w:ascii="inherit" w:hAnsi="inherit"/>
          <w:sz w:val="24"/>
          <w:szCs w:val="24"/>
        </w:rPr>
        <w:t xml:space="preserve"> </w:t>
      </w:r>
      <w:r>
        <w:rPr>
          <w:rStyle w:val="y2iqfc"/>
          <w:rFonts w:ascii="inherit" w:hAnsi="inherit"/>
          <w:sz w:val="24"/>
          <w:szCs w:val="24"/>
        </w:rPr>
        <w:t>свједочења</w:t>
      </w:r>
      <w:r w:rsidR="00452CCB" w:rsidRPr="00E778AA">
        <w:rPr>
          <w:rStyle w:val="y2iqfc"/>
          <w:rFonts w:ascii="inherit" w:hAnsi="inherit"/>
          <w:sz w:val="24"/>
          <w:szCs w:val="24"/>
        </w:rPr>
        <w:t xml:space="preserve"> </w:t>
      </w:r>
      <w:r>
        <w:rPr>
          <w:rStyle w:val="y2iqfc"/>
          <w:rFonts w:ascii="inherit" w:hAnsi="inherit"/>
          <w:sz w:val="24"/>
          <w:szCs w:val="24"/>
        </w:rPr>
        <w:t>жртава</w:t>
      </w:r>
      <w:r w:rsidR="00452CCB" w:rsidRPr="00E778AA">
        <w:rPr>
          <w:rStyle w:val="y2iqfc"/>
          <w:rFonts w:ascii="inherit" w:hAnsi="inherit"/>
          <w:sz w:val="24"/>
          <w:szCs w:val="24"/>
        </w:rPr>
        <w:t>/</w:t>
      </w:r>
      <w:r>
        <w:rPr>
          <w:rStyle w:val="y2iqfc"/>
          <w:rFonts w:ascii="inherit" w:hAnsi="inherit"/>
          <w:sz w:val="24"/>
          <w:szCs w:val="24"/>
        </w:rPr>
        <w:t>свједока</w:t>
      </w:r>
      <w:r w:rsidR="00452CCB" w:rsidRPr="00E778AA">
        <w:rPr>
          <w:rStyle w:val="y2iqfc"/>
          <w:rFonts w:ascii="inherit" w:hAnsi="inherit"/>
          <w:sz w:val="24"/>
          <w:szCs w:val="24"/>
        </w:rPr>
        <w:t>.</w:t>
      </w:r>
    </w:p>
    <w:p w:rsidR="00452CCB" w:rsidRPr="00E778AA" w:rsidRDefault="00452CCB" w:rsidP="0086268D">
      <w:pPr>
        <w:pStyle w:val="Default"/>
        <w:rPr>
          <w:color w:val="auto"/>
          <w:sz w:val="23"/>
          <w:szCs w:val="23"/>
        </w:rPr>
      </w:pPr>
    </w:p>
    <w:p w:rsidR="00543449" w:rsidRPr="00E778AA" w:rsidRDefault="00C6214E" w:rsidP="0086268D">
      <w:pPr>
        <w:pStyle w:val="HTMLPreformatted"/>
        <w:jc w:val="both"/>
        <w:rPr>
          <w:rStyle w:val="y2iqfc"/>
          <w:rFonts w:ascii="Times New Roman" w:hAnsi="Times New Roman" w:cs="Times New Roman"/>
          <w:sz w:val="24"/>
          <w:szCs w:val="24"/>
        </w:rPr>
      </w:pPr>
      <w:r>
        <w:rPr>
          <w:rStyle w:val="y2iqfc"/>
          <w:rFonts w:ascii="Times New Roman" w:hAnsi="Times New Roman" w:cs="Times New Roman"/>
          <w:sz w:val="24"/>
          <w:szCs w:val="24"/>
        </w:rPr>
        <w:t>Уз</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подршку</w:t>
      </w:r>
      <w:r w:rsidR="00543449" w:rsidRPr="00E778AA">
        <w:rPr>
          <w:rStyle w:val="y2iqfc"/>
          <w:rFonts w:ascii="Times New Roman" w:hAnsi="Times New Roman" w:cs="Times New Roman"/>
          <w:sz w:val="24"/>
          <w:szCs w:val="24"/>
        </w:rPr>
        <w:t xml:space="preserve"> </w:t>
      </w:r>
      <w:r w:rsidR="00701567" w:rsidRPr="00701567">
        <w:rPr>
          <w:rFonts w:ascii="Times New Roman" w:hAnsi="Times New Roman" w:cs="Times New Roman"/>
          <w:i/>
          <w:sz w:val="24"/>
          <w:szCs w:val="24"/>
          <w:lang w:val="hr-BA"/>
        </w:rPr>
        <w:t xml:space="preserve">UN Women </w:t>
      </w:r>
      <w:r>
        <w:rPr>
          <w:rStyle w:val="y2iqfc"/>
          <w:rFonts w:ascii="Times New Roman" w:hAnsi="Times New Roman" w:cs="Times New Roman"/>
          <w:sz w:val="24"/>
          <w:szCs w:val="24"/>
        </w:rPr>
        <w:t>и</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уз</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финансијску</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подршку</w:t>
      </w:r>
      <w:r w:rsidR="00543449" w:rsidRPr="00E778AA">
        <w:rPr>
          <w:rStyle w:val="y2iqfc"/>
          <w:rFonts w:ascii="Times New Roman" w:hAnsi="Times New Roman" w:cs="Times New Roman"/>
          <w:sz w:val="24"/>
          <w:szCs w:val="24"/>
        </w:rPr>
        <w:t xml:space="preserve"> </w:t>
      </w:r>
      <w:r w:rsidR="00701567" w:rsidRPr="00701567">
        <w:rPr>
          <w:rFonts w:ascii="Times New Roman" w:hAnsi="Times New Roman" w:cs="Times New Roman"/>
          <w:i/>
          <w:sz w:val="24"/>
          <w:szCs w:val="24"/>
          <w:lang w:val="hr-BA"/>
        </w:rPr>
        <w:t>SIDA</w:t>
      </w:r>
      <w:r w:rsidR="00FE1A88" w:rsidRPr="00E778AA">
        <w:rPr>
          <w:rStyle w:val="y2iqfc"/>
          <w:rFonts w:ascii="Times New Roman" w:hAnsi="Times New Roman" w:cs="Times New Roman"/>
          <w:sz w:val="24"/>
          <w:szCs w:val="24"/>
        </w:rPr>
        <w:t>-</w:t>
      </w:r>
      <w:r>
        <w:rPr>
          <w:rStyle w:val="y2iqfc"/>
          <w:rFonts w:ascii="Times New Roman" w:hAnsi="Times New Roman" w:cs="Times New Roman"/>
          <w:sz w:val="24"/>
          <w:szCs w:val="24"/>
        </w:rPr>
        <w:t>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израђен</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Стратешки</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план</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Мреже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Ромкиња</w:t>
      </w:r>
      <w:r w:rsidR="00543449" w:rsidRPr="00E778AA">
        <w:rPr>
          <w:rStyle w:val="y2iqfc"/>
          <w:rFonts w:ascii="Times New Roman" w:hAnsi="Times New Roman" w:cs="Times New Roman"/>
          <w:sz w:val="24"/>
          <w:szCs w:val="24"/>
        </w:rPr>
        <w:t xml:space="preserve"> 2024</w:t>
      </w:r>
      <w:r w:rsidR="00E778AA">
        <w:rPr>
          <w:rStyle w:val="y2iqfc"/>
          <w:rFonts w:ascii="Times New Roman" w:hAnsi="Times New Roman" w:cs="Times New Roman"/>
          <w:sz w:val="24"/>
          <w:szCs w:val="24"/>
        </w:rPr>
        <w:t>-</w:t>
      </w:r>
      <w:r w:rsidR="00543449" w:rsidRPr="00E778AA">
        <w:rPr>
          <w:rStyle w:val="y2iqfc"/>
          <w:rFonts w:ascii="Times New Roman" w:hAnsi="Times New Roman" w:cs="Times New Roman"/>
          <w:sz w:val="24"/>
          <w:szCs w:val="24"/>
        </w:rPr>
        <w:t>2027</w:t>
      </w:r>
      <w:r w:rsid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година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усмјерен</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оснаживање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Ромкиња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успостављањем</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кључних</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приоритета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акција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јачање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одговора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насиље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породици</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укључујући</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психичко</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емоционално</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економско</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543449" w:rsidRPr="00E778AA">
        <w:rPr>
          <w:rStyle w:val="y2iqfc"/>
          <w:rFonts w:ascii="Times New Roman" w:hAnsi="Times New Roman" w:cs="Times New Roman"/>
          <w:sz w:val="24"/>
          <w:szCs w:val="24"/>
        </w:rPr>
        <w:t xml:space="preserve"> </w:t>
      </w:r>
      <w:r w:rsidR="00701567">
        <w:rPr>
          <w:rStyle w:val="y2iqfc"/>
          <w:rFonts w:ascii="Times New Roman" w:hAnsi="Times New Roman" w:cs="Times New Roman"/>
          <w:sz w:val="24"/>
          <w:szCs w:val="24"/>
          <w:lang w:val="sr-Cyrl-BA"/>
        </w:rPr>
        <w:t>физичко</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злостављање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Њиме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утврђују</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специфичне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акције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Мреже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јачање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правне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заштите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као</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што</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су</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забране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приласка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склоништа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хитне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случајеве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омогућавајући</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женама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да</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боље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заштите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траже</w:t>
      </w:r>
      <w:r w:rsidR="00543449" w:rsidRPr="00E778A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правду</w:t>
      </w:r>
      <w:r w:rsidR="00543449" w:rsidRPr="00E778AA">
        <w:rPr>
          <w:rStyle w:val="y2iqfc"/>
          <w:rFonts w:ascii="Times New Roman" w:hAnsi="Times New Roman" w:cs="Times New Roman"/>
          <w:sz w:val="24"/>
          <w:szCs w:val="24"/>
        </w:rPr>
        <w:t>.</w:t>
      </w:r>
    </w:p>
    <w:p w:rsidR="0031051F" w:rsidRPr="00E778AA" w:rsidRDefault="0031051F" w:rsidP="0086268D">
      <w:pPr>
        <w:pStyle w:val="HTMLPreformatted"/>
        <w:jc w:val="both"/>
        <w:rPr>
          <w:rStyle w:val="y2iqfc"/>
          <w:rFonts w:ascii="Times New Roman" w:hAnsi="Times New Roman" w:cs="Times New Roman"/>
          <w:sz w:val="24"/>
          <w:szCs w:val="24"/>
        </w:rPr>
      </w:pPr>
    </w:p>
    <w:p w:rsidR="00E6233D" w:rsidRPr="00E778AA" w:rsidRDefault="00701567" w:rsidP="0086268D">
      <w:pPr>
        <w:pStyle w:val="HTMLPreformatted"/>
        <w:jc w:val="both"/>
        <w:rPr>
          <w:rFonts w:ascii="inherit" w:hAnsi="inherit"/>
          <w:sz w:val="24"/>
          <w:szCs w:val="24"/>
        </w:rPr>
      </w:pPr>
      <w:r w:rsidRPr="00701567">
        <w:rPr>
          <w:rFonts w:ascii="inherit" w:hAnsi="inherit"/>
          <w:i/>
          <w:iCs/>
          <w:sz w:val="24"/>
          <w:szCs w:val="24"/>
          <w:lang w:val="hr-BA"/>
        </w:rPr>
        <w:t xml:space="preserve">UN Women </w:t>
      </w:r>
      <w:r w:rsidR="00C6214E">
        <w:rPr>
          <w:rStyle w:val="y2iqfc"/>
          <w:rFonts w:ascii="inherit" w:hAnsi="inherit"/>
          <w:sz w:val="24"/>
          <w:szCs w:val="24"/>
        </w:rPr>
        <w:t>је</w:t>
      </w:r>
      <w:r w:rsidR="006B203E" w:rsidRPr="00E778AA">
        <w:rPr>
          <w:rStyle w:val="y2iqfc"/>
          <w:rFonts w:ascii="inherit" w:hAnsi="inherit"/>
          <w:sz w:val="24"/>
          <w:szCs w:val="24"/>
        </w:rPr>
        <w:t xml:space="preserve"> </w:t>
      </w:r>
      <w:r w:rsidR="00C6214E">
        <w:rPr>
          <w:rStyle w:val="y2iqfc"/>
          <w:rFonts w:ascii="inherit" w:hAnsi="inherit"/>
          <w:sz w:val="24"/>
          <w:szCs w:val="24"/>
        </w:rPr>
        <w:t>провела</w:t>
      </w:r>
      <w:r w:rsidR="006B203E" w:rsidRPr="00E778AA">
        <w:rPr>
          <w:rStyle w:val="y2iqfc"/>
          <w:rFonts w:ascii="inherit" w:hAnsi="inherit"/>
          <w:sz w:val="24"/>
          <w:szCs w:val="24"/>
        </w:rPr>
        <w:t xml:space="preserve"> </w:t>
      </w:r>
      <w:r w:rsidR="00C6214E">
        <w:rPr>
          <w:rStyle w:val="y2iqfc"/>
          <w:rFonts w:ascii="inherit" w:hAnsi="inherit"/>
          <w:sz w:val="24"/>
          <w:szCs w:val="24"/>
        </w:rPr>
        <w:t>дубинску</w:t>
      </w:r>
      <w:r w:rsidR="006B203E" w:rsidRPr="00E778AA">
        <w:rPr>
          <w:rStyle w:val="y2iqfc"/>
          <w:rFonts w:ascii="inherit" w:hAnsi="inherit"/>
          <w:sz w:val="24"/>
          <w:szCs w:val="24"/>
        </w:rPr>
        <w:t xml:space="preserve"> </w:t>
      </w:r>
      <w:r w:rsidR="00C6214E">
        <w:rPr>
          <w:rStyle w:val="y2iqfc"/>
          <w:rFonts w:ascii="inherit" w:hAnsi="inherit"/>
          <w:sz w:val="24"/>
          <w:szCs w:val="24"/>
        </w:rPr>
        <w:t>анализу</w:t>
      </w:r>
      <w:r w:rsidR="006B203E" w:rsidRPr="00E778AA">
        <w:rPr>
          <w:rStyle w:val="y2iqfc"/>
          <w:rFonts w:ascii="inherit" w:hAnsi="inherit"/>
          <w:sz w:val="24"/>
          <w:szCs w:val="24"/>
        </w:rPr>
        <w:t xml:space="preserve"> </w:t>
      </w:r>
      <w:r w:rsidR="00C6214E">
        <w:rPr>
          <w:rStyle w:val="y2iqfc"/>
          <w:rFonts w:ascii="inherit" w:hAnsi="inherit"/>
          <w:sz w:val="24"/>
          <w:szCs w:val="24"/>
        </w:rPr>
        <w:t>мултисекторских</w:t>
      </w:r>
      <w:r w:rsidR="00E6233D" w:rsidRPr="00E778AA">
        <w:rPr>
          <w:rStyle w:val="y2iqfc"/>
          <w:rFonts w:ascii="inherit" w:hAnsi="inherit"/>
          <w:sz w:val="24"/>
          <w:szCs w:val="24"/>
        </w:rPr>
        <w:t xml:space="preserve"> </w:t>
      </w:r>
      <w:r w:rsidR="00C6214E">
        <w:rPr>
          <w:rStyle w:val="y2iqfc"/>
          <w:rFonts w:ascii="inherit" w:hAnsi="inherit"/>
          <w:sz w:val="24"/>
          <w:szCs w:val="24"/>
        </w:rPr>
        <w:t>тимова</w:t>
      </w:r>
      <w:r w:rsidR="00E6233D" w:rsidRPr="00E778AA">
        <w:rPr>
          <w:rStyle w:val="y2iqfc"/>
          <w:rFonts w:ascii="inherit" w:hAnsi="inherit"/>
          <w:sz w:val="24"/>
          <w:szCs w:val="24"/>
        </w:rPr>
        <w:t xml:space="preserve"> </w:t>
      </w:r>
      <w:r w:rsidR="00C6214E">
        <w:rPr>
          <w:rStyle w:val="y2iqfc"/>
          <w:rFonts w:ascii="inherit" w:hAnsi="inherit"/>
          <w:sz w:val="24"/>
          <w:szCs w:val="24"/>
        </w:rPr>
        <w:t>који</w:t>
      </w:r>
      <w:r w:rsidR="00E6233D" w:rsidRPr="00E778AA">
        <w:rPr>
          <w:rStyle w:val="y2iqfc"/>
          <w:rFonts w:ascii="inherit" w:hAnsi="inherit"/>
          <w:sz w:val="24"/>
          <w:szCs w:val="24"/>
        </w:rPr>
        <w:t xml:space="preserve"> </w:t>
      </w:r>
      <w:r w:rsidR="00C6214E">
        <w:rPr>
          <w:rStyle w:val="y2iqfc"/>
          <w:rFonts w:ascii="inherit" w:hAnsi="inherit"/>
          <w:sz w:val="24"/>
          <w:szCs w:val="24"/>
        </w:rPr>
        <w:t>су</w:t>
      </w:r>
      <w:r w:rsidR="00E6233D" w:rsidRPr="00E778AA">
        <w:rPr>
          <w:rStyle w:val="y2iqfc"/>
          <w:rFonts w:ascii="inherit" w:hAnsi="inherit"/>
          <w:sz w:val="24"/>
          <w:szCs w:val="24"/>
        </w:rPr>
        <w:t xml:space="preserve"> </w:t>
      </w:r>
      <w:r w:rsidR="00C6214E">
        <w:rPr>
          <w:rStyle w:val="y2iqfc"/>
          <w:rFonts w:ascii="inherit" w:hAnsi="inherit"/>
          <w:sz w:val="24"/>
          <w:szCs w:val="24"/>
        </w:rPr>
        <w:t>кључне</w:t>
      </w:r>
      <w:r w:rsidR="00E6233D" w:rsidRPr="00E778AA">
        <w:rPr>
          <w:rStyle w:val="y2iqfc"/>
          <w:rFonts w:ascii="inherit" w:hAnsi="inherit"/>
          <w:sz w:val="24"/>
          <w:szCs w:val="24"/>
        </w:rPr>
        <w:t xml:space="preserve"> </w:t>
      </w:r>
      <w:r w:rsidR="00C6214E">
        <w:rPr>
          <w:rStyle w:val="y2iqfc"/>
          <w:rFonts w:ascii="inherit" w:hAnsi="inherit"/>
          <w:sz w:val="24"/>
          <w:szCs w:val="24"/>
        </w:rPr>
        <w:t>структуре</w:t>
      </w:r>
      <w:r w:rsidR="00E6233D" w:rsidRPr="00E778AA">
        <w:rPr>
          <w:rStyle w:val="y2iqfc"/>
          <w:rFonts w:ascii="inherit" w:hAnsi="inherit"/>
          <w:sz w:val="24"/>
          <w:szCs w:val="24"/>
        </w:rPr>
        <w:t xml:space="preserve"> </w:t>
      </w:r>
      <w:r w:rsidR="00C6214E">
        <w:rPr>
          <w:rStyle w:val="y2iqfc"/>
          <w:rFonts w:ascii="inherit" w:hAnsi="inherit"/>
          <w:sz w:val="24"/>
          <w:szCs w:val="24"/>
        </w:rPr>
        <w:t>за</w:t>
      </w:r>
      <w:r w:rsidR="00E6233D" w:rsidRPr="00E778AA">
        <w:rPr>
          <w:rStyle w:val="y2iqfc"/>
          <w:rFonts w:ascii="inherit" w:hAnsi="inherit"/>
          <w:sz w:val="24"/>
          <w:szCs w:val="24"/>
        </w:rPr>
        <w:t xml:space="preserve"> </w:t>
      </w:r>
      <w:r w:rsidR="00C6214E">
        <w:rPr>
          <w:rStyle w:val="y2iqfc"/>
          <w:rFonts w:ascii="inherit" w:hAnsi="inherit"/>
          <w:sz w:val="24"/>
          <w:szCs w:val="24"/>
        </w:rPr>
        <w:t>рјешавање</w:t>
      </w:r>
      <w:r w:rsidR="00E6233D" w:rsidRPr="00E778AA">
        <w:rPr>
          <w:rStyle w:val="y2iqfc"/>
          <w:rFonts w:ascii="inherit" w:hAnsi="inherit"/>
          <w:sz w:val="24"/>
          <w:szCs w:val="24"/>
        </w:rPr>
        <w:t xml:space="preserve"> </w:t>
      </w:r>
      <w:r w:rsidR="00C6214E">
        <w:rPr>
          <w:rStyle w:val="y2iqfc"/>
          <w:rFonts w:ascii="inherit" w:hAnsi="inherit"/>
          <w:sz w:val="24"/>
          <w:szCs w:val="24"/>
        </w:rPr>
        <w:t>насиља</w:t>
      </w:r>
      <w:r w:rsidR="00E6233D" w:rsidRPr="00E778AA">
        <w:rPr>
          <w:rStyle w:val="y2iqfc"/>
          <w:rFonts w:ascii="inherit" w:hAnsi="inherit"/>
          <w:sz w:val="24"/>
          <w:szCs w:val="24"/>
        </w:rPr>
        <w:t xml:space="preserve"> </w:t>
      </w:r>
      <w:r w:rsidR="00C6214E">
        <w:rPr>
          <w:rStyle w:val="y2iqfc"/>
          <w:rFonts w:ascii="inherit" w:hAnsi="inherit"/>
          <w:sz w:val="24"/>
          <w:szCs w:val="24"/>
        </w:rPr>
        <w:t>у</w:t>
      </w:r>
      <w:r w:rsidR="00E6233D" w:rsidRPr="00E778AA">
        <w:rPr>
          <w:rStyle w:val="y2iqfc"/>
          <w:rFonts w:ascii="inherit" w:hAnsi="inherit"/>
          <w:sz w:val="24"/>
          <w:szCs w:val="24"/>
        </w:rPr>
        <w:t xml:space="preserve"> </w:t>
      </w:r>
      <w:r w:rsidR="00C6214E">
        <w:rPr>
          <w:rStyle w:val="y2iqfc"/>
          <w:rFonts w:ascii="inherit" w:hAnsi="inherit"/>
          <w:sz w:val="24"/>
          <w:szCs w:val="24"/>
        </w:rPr>
        <w:t>породици</w:t>
      </w:r>
      <w:r w:rsidR="00E6233D" w:rsidRPr="00E778AA">
        <w:rPr>
          <w:rStyle w:val="y2iqfc"/>
          <w:rFonts w:ascii="inherit" w:hAnsi="inherit"/>
          <w:sz w:val="24"/>
          <w:szCs w:val="24"/>
        </w:rPr>
        <w:t xml:space="preserve"> </w:t>
      </w:r>
      <w:r w:rsidR="00C6214E">
        <w:rPr>
          <w:rStyle w:val="y2iqfc"/>
          <w:rFonts w:ascii="inherit" w:hAnsi="inherit"/>
          <w:sz w:val="24"/>
          <w:szCs w:val="24"/>
        </w:rPr>
        <w:t>у</w:t>
      </w:r>
      <w:r w:rsidR="00E6233D" w:rsidRPr="00E778AA">
        <w:rPr>
          <w:rStyle w:val="y2iqfc"/>
          <w:rFonts w:ascii="inherit" w:hAnsi="inherit"/>
          <w:sz w:val="24"/>
          <w:szCs w:val="24"/>
        </w:rPr>
        <w:t xml:space="preserve"> </w:t>
      </w:r>
      <w:r w:rsidR="00C6214E">
        <w:rPr>
          <w:rStyle w:val="y2iqfc"/>
          <w:rFonts w:ascii="inherit" w:hAnsi="inherit"/>
          <w:sz w:val="24"/>
          <w:szCs w:val="24"/>
        </w:rPr>
        <w:t>Босни</w:t>
      </w:r>
      <w:r w:rsidR="00E6233D" w:rsidRPr="00E778AA">
        <w:rPr>
          <w:rStyle w:val="y2iqfc"/>
          <w:rFonts w:ascii="inherit" w:hAnsi="inherit"/>
          <w:sz w:val="24"/>
          <w:szCs w:val="24"/>
        </w:rPr>
        <w:t xml:space="preserve"> </w:t>
      </w:r>
      <w:r w:rsidR="00C6214E">
        <w:rPr>
          <w:rStyle w:val="y2iqfc"/>
          <w:rFonts w:ascii="inherit" w:hAnsi="inherit"/>
          <w:sz w:val="24"/>
          <w:szCs w:val="24"/>
        </w:rPr>
        <w:t>и</w:t>
      </w:r>
      <w:r w:rsidR="00E6233D" w:rsidRPr="00E778AA">
        <w:rPr>
          <w:rStyle w:val="y2iqfc"/>
          <w:rFonts w:ascii="inherit" w:hAnsi="inherit"/>
          <w:sz w:val="24"/>
          <w:szCs w:val="24"/>
        </w:rPr>
        <w:t xml:space="preserve"> </w:t>
      </w:r>
      <w:r w:rsidR="00C6214E">
        <w:rPr>
          <w:rStyle w:val="y2iqfc"/>
          <w:rFonts w:ascii="inherit" w:hAnsi="inherit"/>
          <w:sz w:val="24"/>
          <w:szCs w:val="24"/>
        </w:rPr>
        <w:t>Херцеговини</w:t>
      </w:r>
      <w:r w:rsidR="00E6233D" w:rsidRPr="00E778AA">
        <w:rPr>
          <w:rStyle w:val="y2iqfc"/>
          <w:rFonts w:ascii="inherit" w:hAnsi="inherit"/>
          <w:sz w:val="24"/>
          <w:szCs w:val="24"/>
        </w:rPr>
        <w:t xml:space="preserve">. </w:t>
      </w:r>
      <w:r w:rsidR="00C6214E">
        <w:rPr>
          <w:rStyle w:val="y2iqfc"/>
          <w:rFonts w:ascii="inherit" w:hAnsi="inherit"/>
          <w:sz w:val="24"/>
          <w:szCs w:val="24"/>
        </w:rPr>
        <w:t>Налази</w:t>
      </w:r>
      <w:r w:rsidR="00E6233D" w:rsidRPr="00E778AA">
        <w:rPr>
          <w:rStyle w:val="y2iqfc"/>
          <w:rFonts w:ascii="inherit" w:hAnsi="inherit"/>
          <w:sz w:val="24"/>
          <w:szCs w:val="24"/>
        </w:rPr>
        <w:t xml:space="preserve"> </w:t>
      </w:r>
      <w:r w:rsidR="00C6214E">
        <w:rPr>
          <w:rStyle w:val="y2iqfc"/>
          <w:rFonts w:ascii="inherit" w:hAnsi="inherit"/>
          <w:sz w:val="24"/>
          <w:szCs w:val="24"/>
        </w:rPr>
        <w:t>су</w:t>
      </w:r>
      <w:r w:rsidR="00E6233D" w:rsidRPr="00E778AA">
        <w:rPr>
          <w:rStyle w:val="y2iqfc"/>
          <w:rFonts w:ascii="inherit" w:hAnsi="inherit"/>
          <w:sz w:val="24"/>
          <w:szCs w:val="24"/>
        </w:rPr>
        <w:t xml:space="preserve"> </w:t>
      </w:r>
      <w:r w:rsidR="00C6214E">
        <w:rPr>
          <w:rStyle w:val="y2iqfc"/>
          <w:rFonts w:ascii="inherit" w:hAnsi="inherit"/>
          <w:sz w:val="24"/>
          <w:szCs w:val="24"/>
        </w:rPr>
        <w:t>обједињени</w:t>
      </w:r>
      <w:r w:rsidR="00E6233D" w:rsidRPr="00E778AA">
        <w:rPr>
          <w:rStyle w:val="y2iqfc"/>
          <w:rFonts w:ascii="inherit" w:hAnsi="inherit"/>
          <w:sz w:val="24"/>
          <w:szCs w:val="24"/>
        </w:rPr>
        <w:t xml:space="preserve"> </w:t>
      </w:r>
      <w:r w:rsidR="00C6214E">
        <w:rPr>
          <w:rStyle w:val="y2iqfc"/>
          <w:rFonts w:ascii="inherit" w:hAnsi="inherit"/>
          <w:sz w:val="24"/>
          <w:szCs w:val="24"/>
        </w:rPr>
        <w:t>у</w:t>
      </w:r>
      <w:r w:rsidR="00E6233D" w:rsidRPr="00E778AA">
        <w:rPr>
          <w:rStyle w:val="y2iqfc"/>
          <w:rFonts w:ascii="inherit" w:hAnsi="inherit"/>
          <w:sz w:val="24"/>
          <w:szCs w:val="24"/>
        </w:rPr>
        <w:t xml:space="preserve"> </w:t>
      </w:r>
      <w:r w:rsidR="00C6214E">
        <w:rPr>
          <w:rStyle w:val="y2iqfc"/>
          <w:rFonts w:ascii="inherit" w:hAnsi="inherit"/>
          <w:sz w:val="24"/>
          <w:szCs w:val="24"/>
        </w:rPr>
        <w:t>извјештају</w:t>
      </w:r>
      <w:r w:rsidR="00E778AA">
        <w:rPr>
          <w:rStyle w:val="y2iqfc"/>
          <w:rFonts w:ascii="inherit" w:hAnsi="inherit"/>
          <w:sz w:val="24"/>
          <w:szCs w:val="24"/>
        </w:rPr>
        <w:t xml:space="preserve"> </w:t>
      </w:r>
      <w:r w:rsidR="00C6214E">
        <w:rPr>
          <w:rStyle w:val="y2iqfc"/>
          <w:rFonts w:ascii="inherit" w:hAnsi="inherit"/>
          <w:sz w:val="24"/>
          <w:szCs w:val="24"/>
        </w:rPr>
        <w:t>под</w:t>
      </w:r>
      <w:r w:rsidR="00E778AA">
        <w:rPr>
          <w:rStyle w:val="y2iqfc"/>
          <w:rFonts w:ascii="inherit" w:hAnsi="inherit"/>
          <w:sz w:val="24"/>
          <w:szCs w:val="24"/>
        </w:rPr>
        <w:t xml:space="preserve"> </w:t>
      </w:r>
      <w:r w:rsidR="00C6214E">
        <w:rPr>
          <w:rStyle w:val="y2iqfc"/>
          <w:rFonts w:ascii="inherit" w:hAnsi="inherit"/>
          <w:sz w:val="24"/>
          <w:szCs w:val="24"/>
        </w:rPr>
        <w:t>називом</w:t>
      </w:r>
      <w:r w:rsidR="00E778AA">
        <w:rPr>
          <w:rStyle w:val="y2iqfc"/>
          <w:rFonts w:ascii="inherit" w:hAnsi="inherit"/>
          <w:sz w:val="24"/>
          <w:szCs w:val="24"/>
        </w:rPr>
        <w:t xml:space="preserve"> „</w:t>
      </w:r>
      <w:r w:rsidR="00C6214E">
        <w:rPr>
          <w:rStyle w:val="y2iqfc"/>
          <w:rFonts w:ascii="inherit" w:hAnsi="inherit"/>
          <w:sz w:val="24"/>
          <w:szCs w:val="24"/>
        </w:rPr>
        <w:t>Мултисекторски</w:t>
      </w:r>
      <w:r w:rsidR="00E6233D" w:rsidRPr="00E778AA">
        <w:rPr>
          <w:rStyle w:val="y2iqfc"/>
          <w:rFonts w:ascii="inherit" w:hAnsi="inherit"/>
          <w:sz w:val="24"/>
          <w:szCs w:val="24"/>
        </w:rPr>
        <w:t xml:space="preserve"> </w:t>
      </w:r>
      <w:r w:rsidR="00C6214E">
        <w:rPr>
          <w:rStyle w:val="y2iqfc"/>
          <w:rFonts w:ascii="inherit" w:hAnsi="inherit"/>
          <w:sz w:val="24"/>
          <w:szCs w:val="24"/>
        </w:rPr>
        <w:t>координаци</w:t>
      </w:r>
      <w:r>
        <w:rPr>
          <w:rStyle w:val="y2iqfc"/>
          <w:rFonts w:ascii="inherit" w:hAnsi="inherit"/>
          <w:sz w:val="24"/>
          <w:szCs w:val="24"/>
          <w:lang w:val="sr-Cyrl-BA"/>
        </w:rPr>
        <w:t>они</w:t>
      </w:r>
      <w:r w:rsidR="00E6233D" w:rsidRPr="00E778AA">
        <w:rPr>
          <w:rStyle w:val="y2iqfc"/>
          <w:rFonts w:ascii="inherit" w:hAnsi="inherit"/>
          <w:sz w:val="24"/>
          <w:szCs w:val="24"/>
        </w:rPr>
        <w:t xml:space="preserve"> </w:t>
      </w:r>
      <w:r w:rsidR="00C6214E">
        <w:rPr>
          <w:rStyle w:val="y2iqfc"/>
          <w:rFonts w:ascii="inherit" w:hAnsi="inherit"/>
          <w:sz w:val="24"/>
          <w:szCs w:val="24"/>
        </w:rPr>
        <w:t>органи</w:t>
      </w:r>
      <w:r w:rsidR="00E6233D" w:rsidRPr="00E778AA">
        <w:rPr>
          <w:rStyle w:val="y2iqfc"/>
          <w:rFonts w:ascii="inherit" w:hAnsi="inherit"/>
          <w:sz w:val="24"/>
          <w:szCs w:val="24"/>
        </w:rPr>
        <w:t xml:space="preserve"> </w:t>
      </w:r>
      <w:r w:rsidR="00C6214E">
        <w:rPr>
          <w:rStyle w:val="y2iqfc"/>
          <w:rFonts w:ascii="inherit" w:hAnsi="inherit"/>
          <w:sz w:val="24"/>
          <w:szCs w:val="24"/>
        </w:rPr>
        <w:t>за</w:t>
      </w:r>
      <w:r w:rsidR="00E6233D" w:rsidRPr="00E778AA">
        <w:rPr>
          <w:rStyle w:val="y2iqfc"/>
          <w:rFonts w:ascii="inherit" w:hAnsi="inherit"/>
          <w:sz w:val="24"/>
          <w:szCs w:val="24"/>
        </w:rPr>
        <w:t xml:space="preserve"> </w:t>
      </w:r>
      <w:r w:rsidR="00C6214E">
        <w:rPr>
          <w:rStyle w:val="y2iqfc"/>
          <w:rFonts w:ascii="inherit" w:hAnsi="inherit"/>
          <w:sz w:val="24"/>
          <w:szCs w:val="24"/>
        </w:rPr>
        <w:t>насиље</w:t>
      </w:r>
      <w:r w:rsidR="00E6233D" w:rsidRPr="00E778AA">
        <w:rPr>
          <w:rStyle w:val="y2iqfc"/>
          <w:rFonts w:ascii="inherit" w:hAnsi="inherit"/>
          <w:sz w:val="24"/>
          <w:szCs w:val="24"/>
        </w:rPr>
        <w:t xml:space="preserve"> </w:t>
      </w:r>
      <w:r w:rsidR="00C6214E">
        <w:rPr>
          <w:rStyle w:val="y2iqfc"/>
          <w:rFonts w:ascii="inherit" w:hAnsi="inherit"/>
          <w:sz w:val="24"/>
          <w:szCs w:val="24"/>
        </w:rPr>
        <w:t>у</w:t>
      </w:r>
      <w:r w:rsidR="00E6233D" w:rsidRPr="00E778AA">
        <w:rPr>
          <w:rStyle w:val="y2iqfc"/>
          <w:rFonts w:ascii="inherit" w:hAnsi="inherit"/>
          <w:sz w:val="24"/>
          <w:szCs w:val="24"/>
        </w:rPr>
        <w:t xml:space="preserve"> </w:t>
      </w:r>
      <w:r w:rsidR="00C6214E">
        <w:rPr>
          <w:rStyle w:val="y2iqfc"/>
          <w:rFonts w:ascii="inherit" w:hAnsi="inherit"/>
          <w:sz w:val="24"/>
          <w:szCs w:val="24"/>
        </w:rPr>
        <w:t>породици</w:t>
      </w:r>
      <w:r w:rsidR="002715EF">
        <w:rPr>
          <w:rStyle w:val="y2iqfc"/>
          <w:rFonts w:ascii="inherit" w:hAnsi="inherit"/>
          <w:sz w:val="24"/>
          <w:szCs w:val="24"/>
        </w:rPr>
        <w:t xml:space="preserve"> </w:t>
      </w:r>
      <w:r w:rsidR="00C6214E">
        <w:rPr>
          <w:rStyle w:val="y2iqfc"/>
          <w:rFonts w:ascii="inherit" w:hAnsi="inherit"/>
          <w:sz w:val="24"/>
          <w:szCs w:val="24"/>
        </w:rPr>
        <w:t>широм</w:t>
      </w:r>
      <w:r w:rsidR="002715EF">
        <w:rPr>
          <w:rStyle w:val="y2iqfc"/>
          <w:rFonts w:ascii="inherit" w:hAnsi="inherit"/>
          <w:sz w:val="24"/>
          <w:szCs w:val="24"/>
        </w:rPr>
        <w:t xml:space="preserve"> </w:t>
      </w:r>
      <w:r w:rsidR="00C6214E">
        <w:rPr>
          <w:rStyle w:val="y2iqfc"/>
          <w:rFonts w:ascii="inherit" w:hAnsi="inherit"/>
          <w:sz w:val="24"/>
          <w:szCs w:val="24"/>
        </w:rPr>
        <w:t>Б</w:t>
      </w:r>
      <w:r>
        <w:rPr>
          <w:rStyle w:val="y2iqfc"/>
          <w:rFonts w:ascii="inherit" w:hAnsi="inherit"/>
          <w:sz w:val="24"/>
          <w:szCs w:val="24"/>
          <w:lang w:val="sr-Cyrl-BA"/>
        </w:rPr>
        <w:t>и</w:t>
      </w:r>
      <w:r w:rsidR="00C6214E">
        <w:rPr>
          <w:rStyle w:val="y2iqfc"/>
          <w:rFonts w:ascii="inherit" w:hAnsi="inherit"/>
          <w:sz w:val="24"/>
          <w:szCs w:val="24"/>
        </w:rPr>
        <w:t>Х</w:t>
      </w:r>
      <w:r w:rsidR="002715EF">
        <w:rPr>
          <w:rStyle w:val="y2iqfc"/>
          <w:rFonts w:ascii="inherit" w:hAnsi="inherit"/>
          <w:sz w:val="24"/>
          <w:szCs w:val="24"/>
        </w:rPr>
        <w:t>“</w:t>
      </w:r>
      <w:r w:rsidR="00E6233D" w:rsidRPr="00E778AA">
        <w:rPr>
          <w:rStyle w:val="y2iqfc"/>
          <w:rFonts w:ascii="inherit" w:hAnsi="inherit"/>
          <w:sz w:val="24"/>
          <w:szCs w:val="24"/>
        </w:rPr>
        <w:t xml:space="preserve">, </w:t>
      </w:r>
      <w:r w:rsidR="00C6214E">
        <w:rPr>
          <w:rStyle w:val="y2iqfc"/>
          <w:rFonts w:ascii="inherit" w:hAnsi="inherit"/>
          <w:sz w:val="24"/>
          <w:szCs w:val="24"/>
        </w:rPr>
        <w:t>који</w:t>
      </w:r>
      <w:r w:rsidR="00E6233D" w:rsidRPr="00E778AA">
        <w:rPr>
          <w:rStyle w:val="y2iqfc"/>
          <w:rFonts w:ascii="inherit" w:hAnsi="inherit"/>
          <w:sz w:val="24"/>
          <w:szCs w:val="24"/>
        </w:rPr>
        <w:t xml:space="preserve"> </w:t>
      </w:r>
      <w:r w:rsidR="00C6214E">
        <w:rPr>
          <w:rStyle w:val="y2iqfc"/>
          <w:rFonts w:ascii="inherit" w:hAnsi="inherit"/>
          <w:sz w:val="24"/>
          <w:szCs w:val="24"/>
        </w:rPr>
        <w:t>пружа</w:t>
      </w:r>
      <w:r w:rsidR="00E6233D" w:rsidRPr="00E778AA">
        <w:rPr>
          <w:rStyle w:val="y2iqfc"/>
          <w:rFonts w:ascii="inherit" w:hAnsi="inherit"/>
          <w:sz w:val="24"/>
          <w:szCs w:val="24"/>
        </w:rPr>
        <w:t xml:space="preserve"> </w:t>
      </w:r>
      <w:r w:rsidR="00C6214E">
        <w:rPr>
          <w:rStyle w:val="y2iqfc"/>
          <w:rFonts w:ascii="inherit" w:hAnsi="inherit"/>
          <w:sz w:val="24"/>
          <w:szCs w:val="24"/>
        </w:rPr>
        <w:t>детаљну</w:t>
      </w:r>
      <w:r w:rsidR="00E6233D" w:rsidRPr="00E778AA">
        <w:rPr>
          <w:rStyle w:val="y2iqfc"/>
          <w:rFonts w:ascii="inherit" w:hAnsi="inherit"/>
          <w:sz w:val="24"/>
          <w:szCs w:val="24"/>
        </w:rPr>
        <w:t xml:space="preserve"> </w:t>
      </w:r>
      <w:r w:rsidR="00C6214E">
        <w:rPr>
          <w:rStyle w:val="y2iqfc"/>
          <w:rFonts w:ascii="inherit" w:hAnsi="inherit"/>
          <w:sz w:val="24"/>
          <w:szCs w:val="24"/>
        </w:rPr>
        <w:t>евалуацију</w:t>
      </w:r>
      <w:r w:rsidR="00E6233D" w:rsidRPr="00E778AA">
        <w:rPr>
          <w:rStyle w:val="y2iqfc"/>
          <w:rFonts w:ascii="inherit" w:hAnsi="inherit"/>
          <w:sz w:val="24"/>
          <w:szCs w:val="24"/>
        </w:rPr>
        <w:t xml:space="preserve"> </w:t>
      </w:r>
      <w:r w:rsidR="00C6214E">
        <w:rPr>
          <w:rStyle w:val="y2iqfc"/>
          <w:rFonts w:ascii="inherit" w:hAnsi="inherit"/>
          <w:sz w:val="24"/>
          <w:szCs w:val="24"/>
        </w:rPr>
        <w:t>правних</w:t>
      </w:r>
      <w:r w:rsidR="00E6233D" w:rsidRPr="00E778AA">
        <w:rPr>
          <w:rStyle w:val="y2iqfc"/>
          <w:rFonts w:ascii="inherit" w:hAnsi="inherit"/>
          <w:sz w:val="24"/>
          <w:szCs w:val="24"/>
        </w:rPr>
        <w:t xml:space="preserve"> </w:t>
      </w:r>
      <w:r w:rsidR="00C6214E">
        <w:rPr>
          <w:rStyle w:val="y2iqfc"/>
          <w:rFonts w:ascii="inherit" w:hAnsi="inherit"/>
          <w:sz w:val="24"/>
          <w:szCs w:val="24"/>
        </w:rPr>
        <w:t>оквира</w:t>
      </w:r>
      <w:r w:rsidR="00E6233D" w:rsidRPr="00E778AA">
        <w:rPr>
          <w:rStyle w:val="y2iqfc"/>
          <w:rFonts w:ascii="inherit" w:hAnsi="inherit"/>
          <w:sz w:val="24"/>
          <w:szCs w:val="24"/>
        </w:rPr>
        <w:t xml:space="preserve">, </w:t>
      </w:r>
      <w:r w:rsidR="00C6214E">
        <w:rPr>
          <w:rStyle w:val="y2iqfc"/>
          <w:rFonts w:ascii="inherit" w:hAnsi="inherit"/>
          <w:sz w:val="24"/>
          <w:szCs w:val="24"/>
        </w:rPr>
        <w:t>оперативних</w:t>
      </w:r>
      <w:r w:rsidR="00E6233D" w:rsidRPr="00E778AA">
        <w:rPr>
          <w:rStyle w:val="y2iqfc"/>
          <w:rFonts w:ascii="inherit" w:hAnsi="inherit"/>
          <w:sz w:val="24"/>
          <w:szCs w:val="24"/>
        </w:rPr>
        <w:t xml:space="preserve"> </w:t>
      </w:r>
      <w:r w:rsidR="00C6214E">
        <w:rPr>
          <w:rStyle w:val="y2iqfc"/>
          <w:rFonts w:ascii="inherit" w:hAnsi="inherit"/>
          <w:sz w:val="24"/>
          <w:szCs w:val="24"/>
        </w:rPr>
        <w:t>пракси</w:t>
      </w:r>
      <w:r w:rsidR="00E6233D" w:rsidRPr="00E778AA">
        <w:rPr>
          <w:rStyle w:val="y2iqfc"/>
          <w:rFonts w:ascii="inherit" w:hAnsi="inherit"/>
          <w:sz w:val="24"/>
          <w:szCs w:val="24"/>
        </w:rPr>
        <w:t xml:space="preserve"> </w:t>
      </w:r>
      <w:r w:rsidR="00C6214E">
        <w:rPr>
          <w:rStyle w:val="y2iqfc"/>
          <w:rFonts w:ascii="inherit" w:hAnsi="inherit"/>
          <w:sz w:val="24"/>
          <w:szCs w:val="24"/>
        </w:rPr>
        <w:t>и</w:t>
      </w:r>
      <w:r w:rsidR="00E6233D" w:rsidRPr="00E778AA">
        <w:rPr>
          <w:rStyle w:val="y2iqfc"/>
          <w:rFonts w:ascii="inherit" w:hAnsi="inherit"/>
          <w:sz w:val="24"/>
          <w:szCs w:val="24"/>
        </w:rPr>
        <w:t xml:space="preserve"> </w:t>
      </w:r>
      <w:r w:rsidR="00C6214E">
        <w:rPr>
          <w:rStyle w:val="y2iqfc"/>
          <w:rFonts w:ascii="inherit" w:hAnsi="inherit"/>
          <w:sz w:val="24"/>
          <w:szCs w:val="24"/>
        </w:rPr>
        <w:t>достигнућа</w:t>
      </w:r>
      <w:r w:rsidR="00E6233D" w:rsidRPr="00E778AA">
        <w:rPr>
          <w:rStyle w:val="y2iqfc"/>
          <w:rFonts w:ascii="inherit" w:hAnsi="inherit"/>
          <w:sz w:val="24"/>
          <w:szCs w:val="24"/>
        </w:rPr>
        <w:t xml:space="preserve"> </w:t>
      </w:r>
      <w:r w:rsidR="00C6214E">
        <w:rPr>
          <w:rStyle w:val="y2iqfc"/>
          <w:rFonts w:ascii="inherit" w:hAnsi="inherit"/>
          <w:sz w:val="24"/>
          <w:szCs w:val="24"/>
        </w:rPr>
        <w:t>ових</w:t>
      </w:r>
      <w:r w:rsidR="00E6233D" w:rsidRPr="00E778AA">
        <w:rPr>
          <w:rStyle w:val="y2iqfc"/>
          <w:rFonts w:ascii="inherit" w:hAnsi="inherit"/>
          <w:sz w:val="24"/>
          <w:szCs w:val="24"/>
        </w:rPr>
        <w:t xml:space="preserve"> </w:t>
      </w:r>
      <w:r w:rsidR="00C6214E">
        <w:rPr>
          <w:rStyle w:val="y2iqfc"/>
          <w:rFonts w:ascii="inherit" w:hAnsi="inherit"/>
          <w:sz w:val="24"/>
          <w:szCs w:val="24"/>
        </w:rPr>
        <w:t>координаци</w:t>
      </w:r>
      <w:r>
        <w:rPr>
          <w:rStyle w:val="y2iqfc"/>
          <w:rFonts w:ascii="inherit" w:hAnsi="inherit"/>
          <w:sz w:val="24"/>
          <w:szCs w:val="24"/>
          <w:lang w:val="sr-Cyrl-BA"/>
        </w:rPr>
        <w:t>оних</w:t>
      </w:r>
      <w:r w:rsidR="00E6233D" w:rsidRPr="00E778AA">
        <w:rPr>
          <w:rStyle w:val="y2iqfc"/>
          <w:rFonts w:ascii="inherit" w:hAnsi="inherit"/>
          <w:sz w:val="24"/>
          <w:szCs w:val="24"/>
        </w:rPr>
        <w:t xml:space="preserve"> </w:t>
      </w:r>
      <w:r w:rsidR="00C6214E">
        <w:rPr>
          <w:rStyle w:val="y2iqfc"/>
          <w:rFonts w:ascii="inherit" w:hAnsi="inherit"/>
          <w:sz w:val="24"/>
          <w:szCs w:val="24"/>
        </w:rPr>
        <w:t>органа</w:t>
      </w:r>
      <w:r w:rsidR="00E6233D" w:rsidRPr="00E778AA">
        <w:rPr>
          <w:rStyle w:val="y2iqfc"/>
          <w:rFonts w:ascii="inherit" w:hAnsi="inherit"/>
          <w:sz w:val="24"/>
          <w:szCs w:val="24"/>
        </w:rPr>
        <w:t>.</w:t>
      </w:r>
      <w:r w:rsidR="0075107B" w:rsidRPr="00E778AA">
        <w:rPr>
          <w:rStyle w:val="y2iqfc"/>
          <w:rFonts w:ascii="inherit" w:hAnsi="inherit"/>
          <w:sz w:val="24"/>
          <w:szCs w:val="24"/>
        </w:rPr>
        <w:t xml:space="preserve"> </w:t>
      </w:r>
      <w:r w:rsidR="00C6214E">
        <w:rPr>
          <w:rStyle w:val="y2iqfc"/>
          <w:rFonts w:ascii="inherit" w:hAnsi="inherit"/>
          <w:sz w:val="24"/>
          <w:szCs w:val="24"/>
        </w:rPr>
        <w:t>Извјештај</w:t>
      </w:r>
      <w:r w:rsidR="00E6233D" w:rsidRPr="00E778AA">
        <w:rPr>
          <w:rStyle w:val="y2iqfc"/>
          <w:rFonts w:ascii="inherit" w:hAnsi="inherit"/>
          <w:sz w:val="24"/>
          <w:szCs w:val="24"/>
        </w:rPr>
        <w:t xml:space="preserve"> </w:t>
      </w:r>
      <w:r w:rsidR="00C6214E">
        <w:rPr>
          <w:rStyle w:val="y2iqfc"/>
          <w:rFonts w:ascii="inherit" w:hAnsi="inherit"/>
          <w:sz w:val="24"/>
          <w:szCs w:val="24"/>
        </w:rPr>
        <w:t>је</w:t>
      </w:r>
      <w:r w:rsidR="00E6233D" w:rsidRPr="00E778AA">
        <w:rPr>
          <w:rStyle w:val="y2iqfc"/>
          <w:rFonts w:ascii="inherit" w:hAnsi="inherit"/>
          <w:sz w:val="24"/>
          <w:szCs w:val="24"/>
        </w:rPr>
        <w:t xml:space="preserve"> </w:t>
      </w:r>
      <w:r w:rsidR="00C6214E">
        <w:rPr>
          <w:rStyle w:val="y2iqfc"/>
          <w:rFonts w:ascii="inherit" w:hAnsi="inherit"/>
          <w:sz w:val="24"/>
          <w:szCs w:val="24"/>
        </w:rPr>
        <w:t>идентифи</w:t>
      </w:r>
      <w:r>
        <w:rPr>
          <w:rStyle w:val="y2iqfc"/>
          <w:rFonts w:ascii="inherit" w:hAnsi="inherit"/>
          <w:sz w:val="24"/>
          <w:szCs w:val="24"/>
          <w:lang w:val="sr-Cyrl-BA"/>
        </w:rPr>
        <w:t>ковао</w:t>
      </w:r>
      <w:r w:rsidR="00E6233D" w:rsidRPr="00E778AA">
        <w:rPr>
          <w:rStyle w:val="y2iqfc"/>
          <w:rFonts w:ascii="inherit" w:hAnsi="inherit"/>
          <w:sz w:val="24"/>
          <w:szCs w:val="24"/>
        </w:rPr>
        <w:t xml:space="preserve"> </w:t>
      </w:r>
      <w:r w:rsidR="00C6214E">
        <w:rPr>
          <w:rStyle w:val="y2iqfc"/>
          <w:rFonts w:ascii="inherit" w:hAnsi="inherit"/>
          <w:sz w:val="24"/>
          <w:szCs w:val="24"/>
        </w:rPr>
        <w:t>значајне</w:t>
      </w:r>
      <w:r w:rsidR="00E6233D" w:rsidRPr="00E778AA">
        <w:rPr>
          <w:rStyle w:val="y2iqfc"/>
          <w:rFonts w:ascii="inherit" w:hAnsi="inherit"/>
          <w:sz w:val="24"/>
          <w:szCs w:val="24"/>
        </w:rPr>
        <w:t xml:space="preserve"> </w:t>
      </w:r>
      <w:r w:rsidR="00C6214E">
        <w:rPr>
          <w:rStyle w:val="y2iqfc"/>
          <w:rFonts w:ascii="inherit" w:hAnsi="inherit"/>
          <w:sz w:val="24"/>
          <w:szCs w:val="24"/>
        </w:rPr>
        <w:t>недостатке</w:t>
      </w:r>
      <w:r w:rsidR="00E6233D" w:rsidRPr="00E778AA">
        <w:rPr>
          <w:rStyle w:val="y2iqfc"/>
          <w:rFonts w:ascii="inherit" w:hAnsi="inherit"/>
          <w:sz w:val="24"/>
          <w:szCs w:val="24"/>
        </w:rPr>
        <w:t xml:space="preserve"> </w:t>
      </w:r>
      <w:r w:rsidR="00C6214E">
        <w:rPr>
          <w:rStyle w:val="y2iqfc"/>
          <w:rFonts w:ascii="inherit" w:hAnsi="inherit"/>
          <w:sz w:val="24"/>
          <w:szCs w:val="24"/>
        </w:rPr>
        <w:t>у</w:t>
      </w:r>
      <w:r w:rsidR="00E6233D" w:rsidRPr="00E778AA">
        <w:rPr>
          <w:rStyle w:val="y2iqfc"/>
          <w:rFonts w:ascii="inherit" w:hAnsi="inherit"/>
          <w:sz w:val="24"/>
          <w:szCs w:val="24"/>
        </w:rPr>
        <w:t xml:space="preserve"> </w:t>
      </w:r>
      <w:r w:rsidR="00C6214E">
        <w:rPr>
          <w:rStyle w:val="y2iqfc"/>
          <w:rFonts w:ascii="inherit" w:hAnsi="inherit"/>
          <w:sz w:val="24"/>
          <w:szCs w:val="24"/>
        </w:rPr>
        <w:t>постојећим</w:t>
      </w:r>
      <w:r w:rsidR="00E6233D" w:rsidRPr="00E778AA">
        <w:rPr>
          <w:rStyle w:val="y2iqfc"/>
          <w:rFonts w:ascii="inherit" w:hAnsi="inherit"/>
          <w:sz w:val="24"/>
          <w:szCs w:val="24"/>
        </w:rPr>
        <w:t xml:space="preserve"> </w:t>
      </w:r>
      <w:r w:rsidR="00C6214E">
        <w:rPr>
          <w:rStyle w:val="y2iqfc"/>
          <w:rFonts w:ascii="inherit" w:hAnsi="inherit"/>
          <w:sz w:val="24"/>
          <w:szCs w:val="24"/>
        </w:rPr>
        <w:t>структурама</w:t>
      </w:r>
      <w:r w:rsidR="00E6233D" w:rsidRPr="00E778AA">
        <w:rPr>
          <w:rStyle w:val="y2iqfc"/>
          <w:rFonts w:ascii="inherit" w:hAnsi="inherit"/>
          <w:sz w:val="24"/>
          <w:szCs w:val="24"/>
        </w:rPr>
        <w:t xml:space="preserve">, </w:t>
      </w:r>
      <w:r w:rsidR="00C6214E">
        <w:rPr>
          <w:rStyle w:val="y2iqfc"/>
          <w:rFonts w:ascii="inherit" w:hAnsi="inherit"/>
          <w:sz w:val="24"/>
          <w:szCs w:val="24"/>
        </w:rPr>
        <w:t>као</w:t>
      </w:r>
      <w:r w:rsidR="00E6233D" w:rsidRPr="00E778AA">
        <w:rPr>
          <w:rStyle w:val="y2iqfc"/>
          <w:rFonts w:ascii="inherit" w:hAnsi="inherit"/>
          <w:sz w:val="24"/>
          <w:szCs w:val="24"/>
        </w:rPr>
        <w:t xml:space="preserve"> </w:t>
      </w:r>
      <w:r w:rsidR="00C6214E">
        <w:rPr>
          <w:rStyle w:val="y2iqfc"/>
          <w:rFonts w:ascii="inherit" w:hAnsi="inherit"/>
          <w:sz w:val="24"/>
          <w:szCs w:val="24"/>
        </w:rPr>
        <w:t>што</w:t>
      </w:r>
      <w:r w:rsidR="00E6233D" w:rsidRPr="00E778AA">
        <w:rPr>
          <w:rStyle w:val="y2iqfc"/>
          <w:rFonts w:ascii="inherit" w:hAnsi="inherit"/>
          <w:sz w:val="24"/>
          <w:szCs w:val="24"/>
        </w:rPr>
        <w:t xml:space="preserve"> </w:t>
      </w:r>
      <w:r w:rsidR="00C6214E">
        <w:rPr>
          <w:rStyle w:val="y2iqfc"/>
          <w:rFonts w:ascii="inherit" w:hAnsi="inherit"/>
          <w:sz w:val="24"/>
          <w:szCs w:val="24"/>
        </w:rPr>
        <w:t>су</w:t>
      </w:r>
      <w:r w:rsidR="00E6233D" w:rsidRPr="00E778AA">
        <w:rPr>
          <w:rStyle w:val="y2iqfc"/>
          <w:rFonts w:ascii="inherit" w:hAnsi="inherit"/>
          <w:sz w:val="24"/>
          <w:szCs w:val="24"/>
        </w:rPr>
        <w:t xml:space="preserve"> </w:t>
      </w:r>
      <w:r w:rsidR="00C6214E">
        <w:rPr>
          <w:rStyle w:val="y2iqfc"/>
          <w:rFonts w:ascii="inherit" w:hAnsi="inherit"/>
          <w:sz w:val="24"/>
          <w:szCs w:val="24"/>
        </w:rPr>
        <w:t>недосљедна</w:t>
      </w:r>
      <w:r w:rsidR="00E6233D" w:rsidRPr="00E778AA">
        <w:rPr>
          <w:rStyle w:val="y2iqfc"/>
          <w:rFonts w:ascii="inherit" w:hAnsi="inherit"/>
          <w:sz w:val="24"/>
          <w:szCs w:val="24"/>
        </w:rPr>
        <w:t xml:space="preserve"> </w:t>
      </w:r>
      <w:r w:rsidR="00C6214E">
        <w:rPr>
          <w:rStyle w:val="y2iqfc"/>
          <w:rFonts w:ascii="inherit" w:hAnsi="inherit"/>
          <w:sz w:val="24"/>
          <w:szCs w:val="24"/>
        </w:rPr>
        <w:t>сарадња</w:t>
      </w:r>
      <w:r w:rsidR="00E6233D" w:rsidRPr="00E778AA">
        <w:rPr>
          <w:rStyle w:val="y2iqfc"/>
          <w:rFonts w:ascii="inherit" w:hAnsi="inherit"/>
          <w:sz w:val="24"/>
          <w:szCs w:val="24"/>
        </w:rPr>
        <w:t xml:space="preserve"> </w:t>
      </w:r>
      <w:r w:rsidR="00C6214E">
        <w:rPr>
          <w:rStyle w:val="y2iqfc"/>
          <w:rFonts w:ascii="inherit" w:hAnsi="inherit"/>
          <w:sz w:val="24"/>
          <w:szCs w:val="24"/>
        </w:rPr>
        <w:t>између</w:t>
      </w:r>
      <w:r w:rsidR="00E6233D" w:rsidRPr="00E778AA">
        <w:rPr>
          <w:rStyle w:val="y2iqfc"/>
          <w:rFonts w:ascii="inherit" w:hAnsi="inherit"/>
          <w:sz w:val="24"/>
          <w:szCs w:val="24"/>
        </w:rPr>
        <w:t xml:space="preserve"> </w:t>
      </w:r>
      <w:r w:rsidR="00C6214E">
        <w:rPr>
          <w:rStyle w:val="y2iqfc"/>
          <w:rFonts w:ascii="inherit" w:hAnsi="inherit"/>
          <w:sz w:val="24"/>
          <w:szCs w:val="24"/>
        </w:rPr>
        <w:t>релевантних</w:t>
      </w:r>
      <w:r w:rsidR="0075107B" w:rsidRPr="00E778AA">
        <w:rPr>
          <w:rStyle w:val="y2iqfc"/>
          <w:rFonts w:ascii="inherit" w:hAnsi="inherit"/>
          <w:sz w:val="24"/>
          <w:szCs w:val="24"/>
        </w:rPr>
        <w:t xml:space="preserve"> </w:t>
      </w:r>
      <w:r w:rsidR="00C6214E">
        <w:rPr>
          <w:rStyle w:val="y2iqfc"/>
          <w:rFonts w:ascii="inherit" w:hAnsi="inherit"/>
          <w:sz w:val="24"/>
          <w:szCs w:val="24"/>
        </w:rPr>
        <w:t>актера</w:t>
      </w:r>
      <w:r w:rsidR="00E6233D" w:rsidRPr="00E778AA">
        <w:rPr>
          <w:rStyle w:val="y2iqfc"/>
          <w:rFonts w:ascii="inherit" w:hAnsi="inherit"/>
          <w:sz w:val="24"/>
          <w:szCs w:val="24"/>
        </w:rPr>
        <w:t xml:space="preserve">, </w:t>
      </w:r>
      <w:r w:rsidR="00C6214E">
        <w:rPr>
          <w:rStyle w:val="y2iqfc"/>
          <w:rFonts w:ascii="inherit" w:hAnsi="inherit"/>
          <w:sz w:val="24"/>
          <w:szCs w:val="24"/>
        </w:rPr>
        <w:t>недостатак</w:t>
      </w:r>
      <w:r w:rsidR="00E6233D" w:rsidRPr="00E778AA">
        <w:rPr>
          <w:rStyle w:val="y2iqfc"/>
          <w:rFonts w:ascii="inherit" w:hAnsi="inherit"/>
          <w:sz w:val="24"/>
          <w:szCs w:val="24"/>
        </w:rPr>
        <w:t xml:space="preserve"> </w:t>
      </w:r>
      <w:r w:rsidR="00C6214E">
        <w:rPr>
          <w:rStyle w:val="y2iqfc"/>
          <w:rFonts w:ascii="inherit" w:hAnsi="inherit"/>
          <w:sz w:val="24"/>
          <w:szCs w:val="24"/>
        </w:rPr>
        <w:t>стандардиз</w:t>
      </w:r>
      <w:r w:rsidR="00A65D3C">
        <w:rPr>
          <w:rStyle w:val="y2iqfc"/>
          <w:rFonts w:ascii="inherit" w:hAnsi="inherit"/>
          <w:sz w:val="24"/>
          <w:szCs w:val="24"/>
          <w:lang w:val="sr-Cyrl-BA"/>
        </w:rPr>
        <w:t>ованих</w:t>
      </w:r>
      <w:r w:rsidR="00E6233D" w:rsidRPr="00E778AA">
        <w:rPr>
          <w:rStyle w:val="y2iqfc"/>
          <w:rFonts w:ascii="inherit" w:hAnsi="inherit"/>
          <w:sz w:val="24"/>
          <w:szCs w:val="24"/>
        </w:rPr>
        <w:t xml:space="preserve"> </w:t>
      </w:r>
      <w:r w:rsidR="00C6214E">
        <w:rPr>
          <w:rStyle w:val="y2iqfc"/>
          <w:rFonts w:ascii="inherit" w:hAnsi="inherit"/>
          <w:sz w:val="24"/>
          <w:szCs w:val="24"/>
        </w:rPr>
        <w:t>пракси</w:t>
      </w:r>
      <w:r w:rsidR="00E6233D" w:rsidRPr="00E778AA">
        <w:rPr>
          <w:rStyle w:val="y2iqfc"/>
          <w:rFonts w:ascii="inherit" w:hAnsi="inherit"/>
          <w:sz w:val="24"/>
          <w:szCs w:val="24"/>
        </w:rPr>
        <w:t xml:space="preserve"> </w:t>
      </w:r>
      <w:r w:rsidR="00C6214E">
        <w:rPr>
          <w:rStyle w:val="y2iqfc"/>
          <w:rFonts w:ascii="inherit" w:hAnsi="inherit"/>
          <w:sz w:val="24"/>
          <w:szCs w:val="24"/>
        </w:rPr>
        <w:t>у</w:t>
      </w:r>
      <w:r w:rsidR="00E6233D" w:rsidRPr="00E778AA">
        <w:rPr>
          <w:rStyle w:val="y2iqfc"/>
          <w:rFonts w:ascii="inherit" w:hAnsi="inherit"/>
          <w:sz w:val="24"/>
          <w:szCs w:val="24"/>
        </w:rPr>
        <w:t xml:space="preserve"> </w:t>
      </w:r>
      <w:r w:rsidR="00C6214E">
        <w:rPr>
          <w:rStyle w:val="y2iqfc"/>
          <w:rFonts w:ascii="inherit" w:hAnsi="inherit"/>
          <w:sz w:val="24"/>
          <w:szCs w:val="24"/>
        </w:rPr>
        <w:t>оп</w:t>
      </w:r>
      <w:r w:rsidR="00A65D3C">
        <w:rPr>
          <w:rStyle w:val="y2iqfc"/>
          <w:rFonts w:ascii="inherit" w:hAnsi="inherit"/>
          <w:sz w:val="24"/>
          <w:szCs w:val="24"/>
          <w:lang w:val="sr-Cyrl-BA"/>
        </w:rPr>
        <w:t>шт</w:t>
      </w:r>
      <w:r w:rsidR="00C6214E">
        <w:rPr>
          <w:rStyle w:val="y2iqfc"/>
          <w:rFonts w:ascii="inherit" w:hAnsi="inherit"/>
          <w:sz w:val="24"/>
          <w:szCs w:val="24"/>
        </w:rPr>
        <w:t>инама</w:t>
      </w:r>
      <w:r w:rsidR="00E6233D" w:rsidRPr="00E778AA">
        <w:rPr>
          <w:rStyle w:val="y2iqfc"/>
          <w:rFonts w:ascii="inherit" w:hAnsi="inherit"/>
          <w:sz w:val="24"/>
          <w:szCs w:val="24"/>
        </w:rPr>
        <w:t xml:space="preserve"> </w:t>
      </w:r>
      <w:r w:rsidR="00C6214E">
        <w:rPr>
          <w:rStyle w:val="y2iqfc"/>
          <w:rFonts w:ascii="inherit" w:hAnsi="inherit"/>
          <w:sz w:val="24"/>
          <w:szCs w:val="24"/>
        </w:rPr>
        <w:t>и</w:t>
      </w:r>
      <w:r w:rsidR="00E6233D" w:rsidRPr="00E778AA">
        <w:rPr>
          <w:rStyle w:val="y2iqfc"/>
          <w:rFonts w:ascii="inherit" w:hAnsi="inherit"/>
          <w:sz w:val="24"/>
          <w:szCs w:val="24"/>
        </w:rPr>
        <w:t xml:space="preserve"> </w:t>
      </w:r>
      <w:r w:rsidR="00C6214E">
        <w:rPr>
          <w:rStyle w:val="y2iqfc"/>
          <w:rFonts w:ascii="inherit" w:hAnsi="inherit"/>
          <w:sz w:val="24"/>
          <w:szCs w:val="24"/>
        </w:rPr>
        <w:t>недовољни</w:t>
      </w:r>
      <w:r w:rsidR="00E6233D" w:rsidRPr="00E778AA">
        <w:rPr>
          <w:rStyle w:val="y2iqfc"/>
          <w:rFonts w:ascii="inherit" w:hAnsi="inherit"/>
          <w:sz w:val="24"/>
          <w:szCs w:val="24"/>
        </w:rPr>
        <w:t xml:space="preserve"> </w:t>
      </w:r>
      <w:r w:rsidR="00C6214E">
        <w:rPr>
          <w:rStyle w:val="y2iqfc"/>
          <w:rFonts w:ascii="inherit" w:hAnsi="inherit"/>
          <w:sz w:val="24"/>
          <w:szCs w:val="24"/>
        </w:rPr>
        <w:t>ресурси</w:t>
      </w:r>
      <w:r w:rsidR="00E6233D" w:rsidRPr="00E778AA">
        <w:rPr>
          <w:rStyle w:val="y2iqfc"/>
          <w:rFonts w:ascii="inherit" w:hAnsi="inherit"/>
          <w:sz w:val="24"/>
          <w:szCs w:val="24"/>
        </w:rPr>
        <w:t>.</w:t>
      </w:r>
    </w:p>
    <w:p w:rsidR="007B72D3" w:rsidRPr="00E778AA" w:rsidRDefault="007B72D3" w:rsidP="0086268D">
      <w:pPr>
        <w:pStyle w:val="Default"/>
        <w:rPr>
          <w:color w:val="auto"/>
          <w:sz w:val="23"/>
          <w:szCs w:val="23"/>
        </w:rPr>
      </w:pPr>
    </w:p>
    <w:p w:rsidR="00356C2C" w:rsidRPr="00E778AA" w:rsidRDefault="00A65D3C" w:rsidP="001B1C76">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1B1C76">
        <w:rPr>
          <w:rFonts w:ascii="Times New Roman" w:hAnsi="Times New Roman"/>
          <w:szCs w:val="24"/>
          <w:lang w:val="bs-Latn-BA"/>
        </w:rPr>
        <w:t xml:space="preserve"> 1.5. </w:t>
      </w:r>
      <w:r>
        <w:rPr>
          <w:rFonts w:ascii="Times New Roman" w:hAnsi="Times New Roman"/>
          <w:szCs w:val="24"/>
          <w:lang w:val="sr-Cyrl-BA"/>
        </w:rPr>
        <w:t>Спровођење</w:t>
      </w:r>
      <w:r w:rsidR="00356C2C" w:rsidRPr="00E778AA">
        <w:rPr>
          <w:rFonts w:ascii="Times New Roman" w:hAnsi="Times New Roman"/>
          <w:szCs w:val="24"/>
          <w:lang w:val="bs-Latn-BA"/>
        </w:rPr>
        <w:t xml:space="preserve"> </w:t>
      </w:r>
      <w:r w:rsidR="00C6214E">
        <w:rPr>
          <w:rFonts w:ascii="Times New Roman" w:hAnsi="Times New Roman"/>
          <w:szCs w:val="24"/>
          <w:lang w:val="bs-Latn-BA"/>
        </w:rPr>
        <w:t>едукаци</w:t>
      </w:r>
      <w:r>
        <w:rPr>
          <w:rFonts w:ascii="Times New Roman" w:hAnsi="Times New Roman"/>
          <w:szCs w:val="24"/>
          <w:lang w:val="sr-Cyrl-BA"/>
        </w:rPr>
        <w:t>оних</w:t>
      </w:r>
      <w:r w:rsidR="00356C2C" w:rsidRPr="00E778AA">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E778AA">
        <w:rPr>
          <w:rFonts w:ascii="Times New Roman" w:hAnsi="Times New Roman"/>
          <w:szCs w:val="24"/>
          <w:lang w:val="bs-Latn-BA"/>
        </w:rPr>
        <w:t xml:space="preserve"> </w:t>
      </w:r>
      <w:r w:rsidR="00C6214E">
        <w:rPr>
          <w:rFonts w:ascii="Times New Roman" w:hAnsi="Times New Roman"/>
          <w:szCs w:val="24"/>
          <w:lang w:val="bs-Latn-BA"/>
        </w:rPr>
        <w:t>за</w:t>
      </w:r>
      <w:r w:rsidR="00356C2C" w:rsidRPr="00E778AA">
        <w:rPr>
          <w:rFonts w:ascii="Times New Roman" w:hAnsi="Times New Roman"/>
          <w:szCs w:val="24"/>
          <w:lang w:val="bs-Latn-BA"/>
        </w:rPr>
        <w:t xml:space="preserve"> </w:t>
      </w:r>
      <w:r w:rsidR="00C6214E">
        <w:rPr>
          <w:rFonts w:ascii="Times New Roman" w:hAnsi="Times New Roman"/>
          <w:szCs w:val="24"/>
          <w:lang w:val="bs-Latn-BA"/>
        </w:rPr>
        <w:t>професионалце</w:t>
      </w:r>
      <w:r w:rsidR="00356C2C" w:rsidRPr="00E778AA">
        <w:rPr>
          <w:rFonts w:ascii="Times New Roman" w:hAnsi="Times New Roman"/>
          <w:szCs w:val="24"/>
          <w:lang w:val="bs-Latn-BA"/>
        </w:rPr>
        <w:t xml:space="preserve">, </w:t>
      </w:r>
      <w:r w:rsidR="00C6214E">
        <w:rPr>
          <w:rFonts w:ascii="Times New Roman" w:hAnsi="Times New Roman"/>
          <w:szCs w:val="24"/>
          <w:lang w:val="bs-Latn-BA"/>
        </w:rPr>
        <w:t>пружаоце</w:t>
      </w:r>
      <w:r w:rsidR="00356C2C" w:rsidRPr="00E778AA">
        <w:rPr>
          <w:rFonts w:ascii="Times New Roman" w:hAnsi="Times New Roman"/>
          <w:szCs w:val="24"/>
          <w:lang w:val="bs-Latn-BA"/>
        </w:rPr>
        <w:t xml:space="preserve"> </w:t>
      </w:r>
      <w:r w:rsidR="00C6214E">
        <w:rPr>
          <w:rFonts w:ascii="Times New Roman" w:hAnsi="Times New Roman"/>
          <w:szCs w:val="24"/>
          <w:lang w:val="bs-Latn-BA"/>
        </w:rPr>
        <w:t>услуга</w:t>
      </w:r>
      <w:r w:rsidR="00356C2C" w:rsidRPr="00E778AA">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E778AA">
        <w:rPr>
          <w:rFonts w:ascii="Times New Roman" w:hAnsi="Times New Roman"/>
          <w:szCs w:val="24"/>
          <w:lang w:val="bs-Latn-BA"/>
        </w:rPr>
        <w:t xml:space="preserve"> </w:t>
      </w:r>
      <w:r w:rsidR="00C6214E">
        <w:rPr>
          <w:rFonts w:ascii="Times New Roman" w:hAnsi="Times New Roman"/>
          <w:szCs w:val="24"/>
          <w:lang w:val="bs-Latn-BA"/>
        </w:rPr>
        <w:t>и</w:t>
      </w:r>
      <w:r w:rsidR="00356C2C" w:rsidRPr="00E778AA">
        <w:rPr>
          <w:rFonts w:ascii="Times New Roman" w:hAnsi="Times New Roman"/>
          <w:szCs w:val="24"/>
          <w:lang w:val="bs-Latn-BA"/>
        </w:rPr>
        <w:t xml:space="preserve"> </w:t>
      </w:r>
      <w:r w:rsidR="00C6214E">
        <w:rPr>
          <w:rFonts w:ascii="Times New Roman" w:hAnsi="Times New Roman"/>
          <w:szCs w:val="24"/>
          <w:lang w:val="bs-Latn-BA"/>
        </w:rPr>
        <w:t>посебне</w:t>
      </w:r>
      <w:r w:rsidR="00356C2C" w:rsidRPr="00E778AA">
        <w:rPr>
          <w:rFonts w:ascii="Times New Roman" w:hAnsi="Times New Roman"/>
          <w:szCs w:val="24"/>
          <w:lang w:val="bs-Latn-BA"/>
        </w:rPr>
        <w:t xml:space="preserve"> </w:t>
      </w:r>
      <w:r w:rsidR="00C6214E">
        <w:rPr>
          <w:rFonts w:ascii="Times New Roman" w:hAnsi="Times New Roman"/>
          <w:szCs w:val="24"/>
          <w:lang w:val="bs-Latn-BA"/>
        </w:rPr>
        <w:t>обуке</w:t>
      </w:r>
      <w:r w:rsidR="00356C2C" w:rsidRPr="00E778AA">
        <w:rPr>
          <w:rFonts w:ascii="Times New Roman" w:hAnsi="Times New Roman"/>
          <w:szCs w:val="24"/>
          <w:lang w:val="bs-Latn-BA"/>
        </w:rPr>
        <w:t xml:space="preserve"> </w:t>
      </w:r>
      <w:r w:rsidR="00C6214E">
        <w:rPr>
          <w:rFonts w:ascii="Times New Roman" w:hAnsi="Times New Roman"/>
          <w:szCs w:val="24"/>
          <w:lang w:val="bs-Latn-BA"/>
        </w:rPr>
        <w:t>за</w:t>
      </w:r>
      <w:r w:rsidR="00356C2C" w:rsidRPr="00E778AA">
        <w:rPr>
          <w:rFonts w:ascii="Times New Roman" w:hAnsi="Times New Roman"/>
          <w:szCs w:val="24"/>
          <w:lang w:val="bs-Latn-BA"/>
        </w:rPr>
        <w:t xml:space="preserve"> </w:t>
      </w:r>
      <w:r w:rsidR="00C6214E">
        <w:rPr>
          <w:rFonts w:ascii="Times New Roman" w:hAnsi="Times New Roman"/>
          <w:szCs w:val="24"/>
          <w:lang w:val="bs-Latn-BA"/>
        </w:rPr>
        <w:t>превенцију</w:t>
      </w:r>
      <w:r w:rsidR="00356C2C" w:rsidRPr="00E778AA">
        <w:rPr>
          <w:rFonts w:ascii="Times New Roman" w:hAnsi="Times New Roman"/>
          <w:szCs w:val="24"/>
          <w:lang w:val="bs-Latn-BA"/>
        </w:rPr>
        <w:t xml:space="preserve"> </w:t>
      </w:r>
      <w:r w:rsidR="00C6214E">
        <w:rPr>
          <w:rFonts w:ascii="Times New Roman" w:hAnsi="Times New Roman"/>
          <w:szCs w:val="24"/>
          <w:lang w:val="bs-Latn-BA"/>
        </w:rPr>
        <w:t>и</w:t>
      </w:r>
      <w:r w:rsidR="00356C2C" w:rsidRPr="00E778AA">
        <w:rPr>
          <w:rFonts w:ascii="Times New Roman" w:hAnsi="Times New Roman"/>
          <w:szCs w:val="24"/>
          <w:lang w:val="bs-Latn-BA"/>
        </w:rPr>
        <w:t xml:space="preserve"> </w:t>
      </w:r>
      <w:r w:rsidR="00C6214E">
        <w:rPr>
          <w:rFonts w:ascii="Times New Roman" w:hAnsi="Times New Roman"/>
          <w:szCs w:val="24"/>
          <w:lang w:val="bs-Latn-BA"/>
        </w:rPr>
        <w:t>сузбијање</w:t>
      </w:r>
      <w:r w:rsidR="00356C2C" w:rsidRPr="00E778AA">
        <w:rPr>
          <w:rFonts w:ascii="Times New Roman" w:hAnsi="Times New Roman"/>
          <w:szCs w:val="24"/>
          <w:lang w:val="bs-Latn-BA"/>
        </w:rPr>
        <w:t xml:space="preserve"> </w:t>
      </w:r>
      <w:r w:rsidR="00C6214E">
        <w:rPr>
          <w:rFonts w:ascii="Times New Roman" w:hAnsi="Times New Roman"/>
          <w:szCs w:val="24"/>
          <w:lang w:val="bs-Latn-BA"/>
        </w:rPr>
        <w:t>насиља</w:t>
      </w:r>
      <w:r w:rsidR="00356C2C" w:rsidRPr="00E778AA">
        <w:rPr>
          <w:rFonts w:ascii="Times New Roman" w:hAnsi="Times New Roman"/>
          <w:szCs w:val="24"/>
          <w:lang w:val="bs-Latn-BA"/>
        </w:rPr>
        <w:t xml:space="preserve"> </w:t>
      </w:r>
      <w:r w:rsidR="00C6214E">
        <w:rPr>
          <w:rFonts w:ascii="Times New Roman" w:hAnsi="Times New Roman"/>
          <w:szCs w:val="24"/>
          <w:lang w:val="bs-Latn-BA"/>
        </w:rPr>
        <w:t>на</w:t>
      </w:r>
      <w:r w:rsidR="00356C2C" w:rsidRPr="00E778AA">
        <w:rPr>
          <w:rFonts w:ascii="Times New Roman" w:hAnsi="Times New Roman"/>
          <w:szCs w:val="24"/>
          <w:lang w:val="bs-Latn-BA"/>
        </w:rPr>
        <w:t xml:space="preserve"> </w:t>
      </w:r>
      <w:r w:rsidR="00C6214E">
        <w:rPr>
          <w:rFonts w:ascii="Times New Roman" w:hAnsi="Times New Roman"/>
          <w:szCs w:val="24"/>
          <w:lang w:val="bs-Latn-BA"/>
        </w:rPr>
        <w:t>основу</w:t>
      </w:r>
      <w:r w:rsidR="00356C2C" w:rsidRPr="00E778AA">
        <w:rPr>
          <w:rFonts w:ascii="Times New Roman" w:hAnsi="Times New Roman"/>
          <w:szCs w:val="24"/>
          <w:lang w:val="bs-Latn-BA"/>
        </w:rPr>
        <w:t xml:space="preserve"> </w:t>
      </w:r>
      <w:r w:rsidR="00C6214E">
        <w:rPr>
          <w:rFonts w:ascii="Times New Roman" w:hAnsi="Times New Roman"/>
          <w:szCs w:val="24"/>
          <w:lang w:val="bs-Latn-BA"/>
        </w:rPr>
        <w:t>пола</w:t>
      </w:r>
      <w:r w:rsidR="00356C2C" w:rsidRPr="00E778AA">
        <w:rPr>
          <w:rFonts w:ascii="Times New Roman" w:hAnsi="Times New Roman"/>
          <w:szCs w:val="24"/>
          <w:lang w:val="bs-Latn-BA"/>
        </w:rPr>
        <w:t xml:space="preserve"> </w:t>
      </w:r>
      <w:r w:rsidR="00C6214E">
        <w:rPr>
          <w:rFonts w:ascii="Times New Roman" w:hAnsi="Times New Roman"/>
          <w:szCs w:val="24"/>
          <w:lang w:val="bs-Latn-BA"/>
        </w:rPr>
        <w:t>и</w:t>
      </w:r>
      <w:r w:rsidR="00356C2C" w:rsidRPr="00E778AA">
        <w:rPr>
          <w:rFonts w:ascii="Times New Roman" w:hAnsi="Times New Roman"/>
          <w:szCs w:val="24"/>
          <w:lang w:val="bs-Latn-BA"/>
        </w:rPr>
        <w:t xml:space="preserve"> </w:t>
      </w:r>
      <w:r w:rsidR="00C6214E">
        <w:rPr>
          <w:rFonts w:ascii="Times New Roman" w:hAnsi="Times New Roman"/>
          <w:szCs w:val="24"/>
          <w:lang w:val="bs-Latn-BA"/>
        </w:rPr>
        <w:t>трговине</w:t>
      </w:r>
      <w:r w:rsidR="00356C2C" w:rsidRPr="00E778AA">
        <w:rPr>
          <w:rFonts w:ascii="Times New Roman" w:hAnsi="Times New Roman"/>
          <w:szCs w:val="24"/>
          <w:lang w:val="bs-Latn-BA"/>
        </w:rPr>
        <w:t xml:space="preserve"> </w:t>
      </w:r>
      <w:r w:rsidR="00C6214E">
        <w:rPr>
          <w:rFonts w:ascii="Times New Roman" w:hAnsi="Times New Roman"/>
          <w:szCs w:val="24"/>
          <w:lang w:val="bs-Latn-BA"/>
        </w:rPr>
        <w:t>људима</w:t>
      </w:r>
      <w:r w:rsidR="00356C2C" w:rsidRPr="00E778AA">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E778AA">
        <w:rPr>
          <w:rFonts w:ascii="Times New Roman" w:hAnsi="Times New Roman"/>
          <w:szCs w:val="24"/>
          <w:lang w:val="bs-Latn-BA"/>
        </w:rPr>
        <w:t xml:space="preserve"> </w:t>
      </w:r>
      <w:r w:rsidR="00C6214E">
        <w:rPr>
          <w:rFonts w:ascii="Times New Roman" w:hAnsi="Times New Roman"/>
          <w:szCs w:val="24"/>
          <w:lang w:val="bs-Latn-BA"/>
        </w:rPr>
        <w:t>идентифи</w:t>
      </w:r>
      <w:r>
        <w:rPr>
          <w:rFonts w:ascii="Times New Roman" w:hAnsi="Times New Roman"/>
          <w:szCs w:val="24"/>
          <w:lang w:val="sr-Cyrl-BA"/>
        </w:rPr>
        <w:t>ковање</w:t>
      </w:r>
      <w:r w:rsidR="00356C2C" w:rsidRPr="00E778AA">
        <w:rPr>
          <w:rFonts w:ascii="Times New Roman" w:hAnsi="Times New Roman"/>
          <w:szCs w:val="24"/>
          <w:lang w:val="bs-Latn-BA"/>
        </w:rPr>
        <w:t xml:space="preserve"> </w:t>
      </w:r>
      <w:r w:rsidR="00C6214E">
        <w:rPr>
          <w:rFonts w:ascii="Times New Roman" w:hAnsi="Times New Roman"/>
          <w:szCs w:val="24"/>
          <w:lang w:val="bs-Latn-BA"/>
        </w:rPr>
        <w:t>и</w:t>
      </w:r>
      <w:r w:rsidR="00356C2C" w:rsidRPr="00E778AA">
        <w:rPr>
          <w:rFonts w:ascii="Times New Roman" w:hAnsi="Times New Roman"/>
          <w:szCs w:val="24"/>
          <w:lang w:val="bs-Latn-BA"/>
        </w:rPr>
        <w:t xml:space="preserve"> </w:t>
      </w:r>
      <w:r w:rsidR="00C6214E">
        <w:rPr>
          <w:rFonts w:ascii="Times New Roman" w:hAnsi="Times New Roman"/>
          <w:szCs w:val="24"/>
          <w:lang w:val="bs-Latn-BA"/>
        </w:rPr>
        <w:t>помоћ</w:t>
      </w:r>
      <w:r w:rsidR="00356C2C" w:rsidRPr="00E778AA">
        <w:rPr>
          <w:rFonts w:ascii="Times New Roman" w:hAnsi="Times New Roman"/>
          <w:szCs w:val="24"/>
          <w:lang w:val="bs-Latn-BA"/>
        </w:rPr>
        <w:t xml:space="preserve"> </w:t>
      </w:r>
      <w:r w:rsidR="00C6214E">
        <w:rPr>
          <w:rFonts w:ascii="Times New Roman" w:hAnsi="Times New Roman"/>
          <w:szCs w:val="24"/>
          <w:lang w:val="bs-Latn-BA"/>
        </w:rPr>
        <w:t>жртвама</w:t>
      </w:r>
      <w:r w:rsidR="00356C2C" w:rsidRPr="00E778AA">
        <w:rPr>
          <w:rFonts w:ascii="Times New Roman" w:hAnsi="Times New Roman"/>
          <w:szCs w:val="24"/>
          <w:lang w:val="bs-Latn-BA"/>
        </w:rPr>
        <w:t xml:space="preserve">, </w:t>
      </w:r>
      <w:r w:rsidR="00C6214E">
        <w:rPr>
          <w:rFonts w:ascii="Times New Roman" w:hAnsi="Times New Roman"/>
          <w:szCs w:val="24"/>
          <w:lang w:val="bs-Latn-BA"/>
        </w:rPr>
        <w:t>те</w:t>
      </w:r>
      <w:r w:rsidR="00356C2C" w:rsidRPr="00E778AA">
        <w:rPr>
          <w:rFonts w:ascii="Times New Roman" w:hAnsi="Times New Roman"/>
          <w:szCs w:val="24"/>
          <w:lang w:val="bs-Latn-BA"/>
        </w:rPr>
        <w:t xml:space="preserve"> </w:t>
      </w:r>
      <w:r w:rsidR="00C6214E">
        <w:rPr>
          <w:rFonts w:ascii="Times New Roman" w:hAnsi="Times New Roman"/>
          <w:szCs w:val="24"/>
          <w:lang w:val="bs-Latn-BA"/>
        </w:rPr>
        <w:t>заштиту</w:t>
      </w:r>
      <w:r w:rsidR="00356C2C" w:rsidRPr="00E778AA">
        <w:rPr>
          <w:rFonts w:ascii="Times New Roman" w:hAnsi="Times New Roman"/>
          <w:szCs w:val="24"/>
          <w:lang w:val="bs-Latn-BA"/>
        </w:rPr>
        <w:t xml:space="preserve"> </w:t>
      </w:r>
      <w:r w:rsidR="00C6214E">
        <w:rPr>
          <w:rFonts w:ascii="Times New Roman" w:hAnsi="Times New Roman"/>
          <w:szCs w:val="24"/>
          <w:lang w:val="bs-Latn-BA"/>
        </w:rPr>
        <w:t>њихових</w:t>
      </w:r>
      <w:r w:rsidR="00356C2C" w:rsidRPr="00E778AA">
        <w:rPr>
          <w:rFonts w:ascii="Times New Roman" w:hAnsi="Times New Roman"/>
          <w:szCs w:val="24"/>
          <w:lang w:val="bs-Latn-BA"/>
        </w:rPr>
        <w:t xml:space="preserve"> </w:t>
      </w:r>
      <w:r w:rsidR="00C6214E">
        <w:rPr>
          <w:rFonts w:ascii="Times New Roman" w:hAnsi="Times New Roman"/>
          <w:szCs w:val="24"/>
          <w:lang w:val="bs-Latn-BA"/>
        </w:rPr>
        <w:t>људских</w:t>
      </w:r>
      <w:r w:rsidR="00356C2C" w:rsidRPr="00E778AA">
        <w:rPr>
          <w:rFonts w:ascii="Times New Roman" w:hAnsi="Times New Roman"/>
          <w:szCs w:val="24"/>
          <w:lang w:val="bs-Latn-BA"/>
        </w:rPr>
        <w:t xml:space="preserve"> </w:t>
      </w:r>
      <w:r w:rsidR="00C6214E">
        <w:rPr>
          <w:rFonts w:ascii="Times New Roman" w:hAnsi="Times New Roman"/>
          <w:szCs w:val="24"/>
          <w:lang w:val="bs-Latn-BA"/>
        </w:rPr>
        <w:t>права</w:t>
      </w:r>
      <w:r w:rsidR="00356C2C" w:rsidRPr="00E778AA">
        <w:rPr>
          <w:rFonts w:ascii="Times New Roman" w:hAnsi="Times New Roman"/>
          <w:szCs w:val="24"/>
          <w:lang w:val="bs-Latn-BA"/>
        </w:rPr>
        <w:t>.</w:t>
      </w:r>
    </w:p>
    <w:p w:rsidR="00C142CC" w:rsidRPr="00E778AA" w:rsidRDefault="00C142CC" w:rsidP="0086268D">
      <w:pPr>
        <w:tabs>
          <w:tab w:val="center" w:pos="4703"/>
          <w:tab w:val="right" w:pos="9406"/>
        </w:tabs>
        <w:jc w:val="both"/>
        <w:rPr>
          <w:rFonts w:ascii="Times New Roman" w:hAnsi="Times New Roman"/>
          <w:szCs w:val="24"/>
        </w:rPr>
      </w:pPr>
    </w:p>
    <w:p w:rsidR="00F772F2" w:rsidRPr="00295637" w:rsidRDefault="00C6214E" w:rsidP="0086268D">
      <w:pPr>
        <w:tabs>
          <w:tab w:val="center" w:pos="4703"/>
          <w:tab w:val="right" w:pos="9406"/>
        </w:tabs>
        <w:jc w:val="both"/>
        <w:rPr>
          <w:rFonts w:ascii="Times New Roman" w:hAnsi="Times New Roman"/>
          <w:szCs w:val="24"/>
        </w:rPr>
      </w:pPr>
      <w:r>
        <w:rPr>
          <w:rFonts w:ascii="Times New Roman" w:hAnsi="Times New Roman"/>
          <w:szCs w:val="24"/>
        </w:rPr>
        <w:t>АР</w:t>
      </w:r>
      <w:r w:rsidR="00A65D3C">
        <w:rPr>
          <w:rFonts w:ascii="Times New Roman" w:hAnsi="Times New Roman"/>
          <w:szCs w:val="24"/>
          <w:lang w:val="sr-Cyrl-BA"/>
        </w:rPr>
        <w:t>П</w:t>
      </w:r>
      <w:r w:rsidR="00815DF9">
        <w:rPr>
          <w:rFonts w:ascii="Times New Roman" w:hAnsi="Times New Roman"/>
          <w:szCs w:val="24"/>
        </w:rPr>
        <w:t xml:space="preserve"> </w:t>
      </w:r>
      <w:r>
        <w:rPr>
          <w:rFonts w:ascii="Times New Roman" w:hAnsi="Times New Roman"/>
          <w:szCs w:val="24"/>
        </w:rPr>
        <w:t>БиХ</w:t>
      </w:r>
      <w:r w:rsidR="00F772F2" w:rsidRPr="00295637">
        <w:rPr>
          <w:rFonts w:ascii="Times New Roman" w:hAnsi="Times New Roman"/>
          <w:szCs w:val="24"/>
        </w:rPr>
        <w:t xml:space="preserve"> </w:t>
      </w:r>
      <w:r>
        <w:rPr>
          <w:rFonts w:ascii="Times New Roman" w:hAnsi="Times New Roman"/>
          <w:szCs w:val="24"/>
        </w:rPr>
        <w:t>МЉПИ</w:t>
      </w:r>
      <w:r w:rsidR="00815DF9">
        <w:rPr>
          <w:rFonts w:ascii="Times New Roman" w:hAnsi="Times New Roman"/>
          <w:szCs w:val="24"/>
        </w:rPr>
        <w:t xml:space="preserve"> </w:t>
      </w:r>
      <w:r>
        <w:rPr>
          <w:rFonts w:ascii="Times New Roman" w:hAnsi="Times New Roman"/>
          <w:szCs w:val="24"/>
        </w:rPr>
        <w:t>БиХ</w:t>
      </w:r>
      <w:r w:rsidR="00F772F2" w:rsidRPr="00295637">
        <w:rPr>
          <w:rFonts w:ascii="Times New Roman" w:hAnsi="Times New Roman"/>
          <w:szCs w:val="24"/>
        </w:rPr>
        <w:t xml:space="preserve"> </w:t>
      </w:r>
      <w:r w:rsidR="00A65D3C">
        <w:rPr>
          <w:rFonts w:ascii="Times New Roman" w:hAnsi="Times New Roman"/>
          <w:szCs w:val="24"/>
        </w:rPr>
        <w:t xml:space="preserve">је </w:t>
      </w:r>
      <w:r>
        <w:rPr>
          <w:rFonts w:ascii="Times New Roman" w:hAnsi="Times New Roman"/>
          <w:szCs w:val="24"/>
        </w:rPr>
        <w:t>израдила</w:t>
      </w:r>
      <w:r w:rsidR="00F772F2" w:rsidRPr="00295637">
        <w:rPr>
          <w:rFonts w:ascii="Times New Roman" w:hAnsi="Times New Roman"/>
          <w:szCs w:val="24"/>
        </w:rPr>
        <w:t xml:space="preserve"> </w:t>
      </w:r>
      <w:r>
        <w:rPr>
          <w:rFonts w:ascii="Times New Roman" w:hAnsi="Times New Roman"/>
          <w:szCs w:val="24"/>
        </w:rPr>
        <w:t>курикулум</w:t>
      </w:r>
      <w:r w:rsidR="00F772F2" w:rsidRPr="00295637">
        <w:rPr>
          <w:rFonts w:ascii="Times New Roman" w:hAnsi="Times New Roman"/>
          <w:szCs w:val="24"/>
        </w:rPr>
        <w:t xml:space="preserve"> </w:t>
      </w:r>
      <w:r>
        <w:rPr>
          <w:rFonts w:ascii="Times New Roman" w:hAnsi="Times New Roman"/>
          <w:szCs w:val="24"/>
        </w:rPr>
        <w:t>и</w:t>
      </w:r>
      <w:r w:rsidR="00F772F2" w:rsidRPr="00295637">
        <w:rPr>
          <w:rFonts w:ascii="Times New Roman" w:hAnsi="Times New Roman"/>
          <w:szCs w:val="24"/>
        </w:rPr>
        <w:t xml:space="preserve"> </w:t>
      </w:r>
      <w:r>
        <w:rPr>
          <w:rFonts w:ascii="Times New Roman" w:hAnsi="Times New Roman"/>
          <w:szCs w:val="24"/>
        </w:rPr>
        <w:t>вебинар</w:t>
      </w:r>
      <w:r w:rsidR="00F772F2" w:rsidRPr="00295637">
        <w:rPr>
          <w:rFonts w:ascii="Times New Roman" w:hAnsi="Times New Roman"/>
          <w:szCs w:val="24"/>
        </w:rPr>
        <w:t xml:space="preserve"> </w:t>
      </w:r>
      <w:r>
        <w:rPr>
          <w:rFonts w:ascii="Times New Roman" w:hAnsi="Times New Roman"/>
          <w:szCs w:val="24"/>
        </w:rPr>
        <w:t>на</w:t>
      </w:r>
      <w:r w:rsidR="00F772F2" w:rsidRPr="00295637">
        <w:rPr>
          <w:rFonts w:ascii="Times New Roman" w:hAnsi="Times New Roman"/>
          <w:szCs w:val="24"/>
        </w:rPr>
        <w:t xml:space="preserve"> </w:t>
      </w:r>
      <w:r>
        <w:rPr>
          <w:rFonts w:ascii="Times New Roman" w:hAnsi="Times New Roman"/>
          <w:szCs w:val="24"/>
        </w:rPr>
        <w:t>тему</w:t>
      </w:r>
      <w:r w:rsidR="00F772F2" w:rsidRPr="00295637">
        <w:rPr>
          <w:rFonts w:ascii="Times New Roman" w:hAnsi="Times New Roman"/>
          <w:szCs w:val="24"/>
        </w:rPr>
        <w:t xml:space="preserve"> </w:t>
      </w:r>
      <w:r>
        <w:rPr>
          <w:rFonts w:ascii="Times New Roman" w:hAnsi="Times New Roman"/>
          <w:szCs w:val="24"/>
        </w:rPr>
        <w:t>поступања</w:t>
      </w:r>
      <w:r w:rsidR="00F772F2" w:rsidRPr="00295637">
        <w:rPr>
          <w:rFonts w:ascii="Times New Roman" w:hAnsi="Times New Roman"/>
          <w:szCs w:val="24"/>
        </w:rPr>
        <w:t xml:space="preserve"> </w:t>
      </w:r>
      <w:r>
        <w:rPr>
          <w:rFonts w:ascii="Times New Roman" w:hAnsi="Times New Roman"/>
          <w:szCs w:val="24"/>
        </w:rPr>
        <w:t>полицијских</w:t>
      </w:r>
      <w:r w:rsidR="00F772F2" w:rsidRPr="00295637">
        <w:rPr>
          <w:rFonts w:ascii="Times New Roman" w:hAnsi="Times New Roman"/>
          <w:szCs w:val="24"/>
        </w:rPr>
        <w:t xml:space="preserve"> </w:t>
      </w:r>
      <w:r>
        <w:rPr>
          <w:rFonts w:ascii="Times New Roman" w:hAnsi="Times New Roman"/>
          <w:szCs w:val="24"/>
        </w:rPr>
        <w:t>службеника</w:t>
      </w:r>
      <w:r w:rsidR="00F772F2" w:rsidRPr="00295637">
        <w:rPr>
          <w:rFonts w:ascii="Times New Roman" w:hAnsi="Times New Roman"/>
          <w:szCs w:val="24"/>
        </w:rPr>
        <w:t xml:space="preserve"> </w:t>
      </w:r>
      <w:r>
        <w:rPr>
          <w:rFonts w:ascii="Times New Roman" w:hAnsi="Times New Roman"/>
          <w:szCs w:val="24"/>
        </w:rPr>
        <w:t>у</w:t>
      </w:r>
      <w:r w:rsidR="00F772F2" w:rsidRPr="00295637">
        <w:rPr>
          <w:rFonts w:ascii="Times New Roman" w:hAnsi="Times New Roman"/>
          <w:szCs w:val="24"/>
        </w:rPr>
        <w:t xml:space="preserve"> </w:t>
      </w:r>
      <w:r>
        <w:rPr>
          <w:rFonts w:ascii="Times New Roman" w:hAnsi="Times New Roman"/>
          <w:szCs w:val="24"/>
        </w:rPr>
        <w:t>случајевима</w:t>
      </w:r>
      <w:r w:rsidR="00F772F2" w:rsidRPr="00295637">
        <w:rPr>
          <w:rFonts w:ascii="Times New Roman" w:hAnsi="Times New Roman"/>
          <w:szCs w:val="24"/>
        </w:rPr>
        <w:t xml:space="preserve"> </w:t>
      </w:r>
      <w:r>
        <w:rPr>
          <w:rFonts w:ascii="Times New Roman" w:hAnsi="Times New Roman"/>
          <w:szCs w:val="24"/>
        </w:rPr>
        <w:t>родно</w:t>
      </w:r>
      <w:r w:rsidR="00F772F2" w:rsidRPr="00295637">
        <w:rPr>
          <w:rFonts w:ascii="Times New Roman" w:hAnsi="Times New Roman"/>
          <w:szCs w:val="24"/>
        </w:rPr>
        <w:t xml:space="preserve"> </w:t>
      </w:r>
      <w:r>
        <w:rPr>
          <w:rFonts w:ascii="Times New Roman" w:hAnsi="Times New Roman"/>
          <w:szCs w:val="24"/>
        </w:rPr>
        <w:t>заснованог</w:t>
      </w:r>
      <w:r w:rsidR="00F772F2" w:rsidRPr="00295637">
        <w:rPr>
          <w:rFonts w:ascii="Times New Roman" w:hAnsi="Times New Roman"/>
          <w:szCs w:val="24"/>
        </w:rPr>
        <w:t xml:space="preserve"> </w:t>
      </w:r>
      <w:r>
        <w:rPr>
          <w:rFonts w:ascii="Times New Roman" w:hAnsi="Times New Roman"/>
          <w:szCs w:val="24"/>
        </w:rPr>
        <w:t>насиља</w:t>
      </w:r>
      <w:r w:rsidR="00F772F2" w:rsidRPr="00295637">
        <w:rPr>
          <w:rFonts w:ascii="Times New Roman" w:hAnsi="Times New Roman"/>
          <w:szCs w:val="24"/>
        </w:rPr>
        <w:t xml:space="preserve">. </w:t>
      </w:r>
      <w:r>
        <w:rPr>
          <w:rFonts w:ascii="Times New Roman" w:hAnsi="Times New Roman"/>
          <w:szCs w:val="24"/>
        </w:rPr>
        <w:t>Шездесетоминутни</w:t>
      </w:r>
      <w:r w:rsidR="001B1C76">
        <w:rPr>
          <w:rFonts w:ascii="Times New Roman" w:hAnsi="Times New Roman"/>
          <w:szCs w:val="24"/>
        </w:rPr>
        <w:t xml:space="preserve"> </w:t>
      </w:r>
      <w:r>
        <w:rPr>
          <w:rFonts w:ascii="Times New Roman" w:hAnsi="Times New Roman"/>
          <w:szCs w:val="24"/>
        </w:rPr>
        <w:t>онл</w:t>
      </w:r>
      <w:r w:rsidR="00A65D3C">
        <w:rPr>
          <w:rFonts w:ascii="Times New Roman" w:hAnsi="Times New Roman"/>
          <w:szCs w:val="24"/>
          <w:lang w:val="sr-Cyrl-BA"/>
        </w:rPr>
        <w:t>ајн</w:t>
      </w:r>
      <w:r w:rsidR="00F772F2" w:rsidRPr="00295637">
        <w:rPr>
          <w:rFonts w:ascii="Times New Roman" w:hAnsi="Times New Roman"/>
          <w:szCs w:val="24"/>
        </w:rPr>
        <w:t xml:space="preserve"> </w:t>
      </w:r>
      <w:r>
        <w:rPr>
          <w:rFonts w:ascii="Times New Roman" w:hAnsi="Times New Roman"/>
          <w:szCs w:val="24"/>
        </w:rPr>
        <w:t>курс</w:t>
      </w:r>
      <w:r w:rsidR="00F772F2" w:rsidRPr="00295637">
        <w:rPr>
          <w:rFonts w:ascii="Times New Roman" w:hAnsi="Times New Roman"/>
          <w:szCs w:val="24"/>
        </w:rPr>
        <w:t xml:space="preserve"> </w:t>
      </w:r>
      <w:r w:rsidR="00A65D3C">
        <w:rPr>
          <w:rFonts w:ascii="Times New Roman" w:hAnsi="Times New Roman"/>
          <w:szCs w:val="24"/>
        </w:rPr>
        <w:t>омогући</w:t>
      </w:r>
      <w:r>
        <w:rPr>
          <w:rFonts w:ascii="Times New Roman" w:hAnsi="Times New Roman"/>
          <w:szCs w:val="24"/>
        </w:rPr>
        <w:t>ће</w:t>
      </w:r>
      <w:r w:rsidR="00815DF9" w:rsidRPr="00295637">
        <w:rPr>
          <w:rFonts w:ascii="Times New Roman" w:hAnsi="Times New Roman"/>
          <w:szCs w:val="24"/>
        </w:rPr>
        <w:t xml:space="preserve"> </w:t>
      </w:r>
      <w:r>
        <w:rPr>
          <w:rFonts w:ascii="Times New Roman" w:hAnsi="Times New Roman"/>
          <w:szCs w:val="24"/>
        </w:rPr>
        <w:t>професионалцима</w:t>
      </w:r>
      <w:r w:rsidR="00F772F2" w:rsidRPr="00295637">
        <w:rPr>
          <w:rFonts w:ascii="Times New Roman" w:hAnsi="Times New Roman"/>
          <w:szCs w:val="24"/>
        </w:rPr>
        <w:t xml:space="preserve">, </w:t>
      </w:r>
      <w:r>
        <w:rPr>
          <w:rFonts w:ascii="Times New Roman" w:hAnsi="Times New Roman"/>
          <w:szCs w:val="24"/>
        </w:rPr>
        <w:t>али</w:t>
      </w:r>
      <w:r w:rsidR="00F772F2" w:rsidRPr="00295637">
        <w:rPr>
          <w:rFonts w:ascii="Times New Roman" w:hAnsi="Times New Roman"/>
          <w:szCs w:val="24"/>
        </w:rPr>
        <w:t xml:space="preserve"> </w:t>
      </w:r>
      <w:r>
        <w:rPr>
          <w:rFonts w:ascii="Times New Roman" w:hAnsi="Times New Roman"/>
          <w:szCs w:val="24"/>
        </w:rPr>
        <w:t>и</w:t>
      </w:r>
      <w:r w:rsidR="00F772F2" w:rsidRPr="00295637">
        <w:rPr>
          <w:rFonts w:ascii="Times New Roman" w:hAnsi="Times New Roman"/>
          <w:szCs w:val="24"/>
        </w:rPr>
        <w:t xml:space="preserve"> </w:t>
      </w:r>
      <w:r>
        <w:rPr>
          <w:rFonts w:ascii="Times New Roman" w:hAnsi="Times New Roman"/>
          <w:szCs w:val="24"/>
        </w:rPr>
        <w:t>широј</w:t>
      </w:r>
      <w:r w:rsidR="00F772F2" w:rsidRPr="00295637">
        <w:rPr>
          <w:rFonts w:ascii="Times New Roman" w:hAnsi="Times New Roman"/>
          <w:szCs w:val="24"/>
        </w:rPr>
        <w:t xml:space="preserve"> </w:t>
      </w:r>
      <w:r>
        <w:rPr>
          <w:rFonts w:ascii="Times New Roman" w:hAnsi="Times New Roman"/>
          <w:szCs w:val="24"/>
        </w:rPr>
        <w:t>јавности</w:t>
      </w:r>
      <w:r w:rsidR="004628A4" w:rsidRPr="00295637">
        <w:rPr>
          <w:rFonts w:ascii="Times New Roman" w:hAnsi="Times New Roman"/>
          <w:szCs w:val="24"/>
        </w:rPr>
        <w:t>,</w:t>
      </w:r>
      <w:r w:rsidR="00F772F2" w:rsidRPr="00295637">
        <w:rPr>
          <w:rFonts w:ascii="Times New Roman" w:hAnsi="Times New Roman"/>
          <w:szCs w:val="24"/>
        </w:rPr>
        <w:t xml:space="preserve"> </w:t>
      </w:r>
      <w:r>
        <w:rPr>
          <w:rFonts w:ascii="Times New Roman" w:hAnsi="Times New Roman"/>
          <w:szCs w:val="24"/>
        </w:rPr>
        <w:t>увид</w:t>
      </w:r>
      <w:r w:rsidR="00F772F2" w:rsidRPr="00295637">
        <w:rPr>
          <w:rFonts w:ascii="Times New Roman" w:hAnsi="Times New Roman"/>
          <w:szCs w:val="24"/>
        </w:rPr>
        <w:t xml:space="preserve"> </w:t>
      </w:r>
      <w:r>
        <w:rPr>
          <w:rFonts w:ascii="Times New Roman" w:hAnsi="Times New Roman"/>
          <w:szCs w:val="24"/>
        </w:rPr>
        <w:t>у</w:t>
      </w:r>
      <w:r w:rsidR="00F772F2" w:rsidRPr="00295637">
        <w:rPr>
          <w:rFonts w:ascii="Times New Roman" w:hAnsi="Times New Roman"/>
          <w:szCs w:val="24"/>
        </w:rPr>
        <w:t xml:space="preserve"> </w:t>
      </w:r>
      <w:r>
        <w:rPr>
          <w:rFonts w:ascii="Times New Roman" w:hAnsi="Times New Roman"/>
          <w:szCs w:val="24"/>
        </w:rPr>
        <w:t>одредбе</w:t>
      </w:r>
      <w:r w:rsidR="00F772F2" w:rsidRPr="00295637">
        <w:rPr>
          <w:rFonts w:ascii="Times New Roman" w:hAnsi="Times New Roman"/>
          <w:szCs w:val="24"/>
        </w:rPr>
        <w:t xml:space="preserve"> </w:t>
      </w:r>
      <w:r>
        <w:rPr>
          <w:rFonts w:ascii="Times New Roman" w:hAnsi="Times New Roman"/>
          <w:szCs w:val="24"/>
        </w:rPr>
        <w:t>Истанбулске</w:t>
      </w:r>
      <w:r w:rsidR="00F772F2" w:rsidRPr="00295637">
        <w:rPr>
          <w:rFonts w:ascii="Times New Roman" w:hAnsi="Times New Roman"/>
          <w:szCs w:val="24"/>
        </w:rPr>
        <w:t xml:space="preserve"> </w:t>
      </w:r>
      <w:r>
        <w:rPr>
          <w:rFonts w:ascii="Times New Roman" w:hAnsi="Times New Roman"/>
          <w:szCs w:val="24"/>
        </w:rPr>
        <w:t>конвенције</w:t>
      </w:r>
      <w:r w:rsidR="00F07FCD" w:rsidRPr="00295637">
        <w:rPr>
          <w:rFonts w:ascii="Times New Roman" w:hAnsi="Times New Roman"/>
          <w:szCs w:val="24"/>
        </w:rPr>
        <w:t>,</w:t>
      </w:r>
      <w:r w:rsidR="006B203E">
        <w:rPr>
          <w:rFonts w:ascii="Times New Roman" w:hAnsi="Times New Roman"/>
          <w:szCs w:val="24"/>
        </w:rPr>
        <w:t xml:space="preserve"> </w:t>
      </w:r>
      <w:r>
        <w:rPr>
          <w:rFonts w:ascii="Times New Roman" w:hAnsi="Times New Roman"/>
          <w:szCs w:val="24"/>
        </w:rPr>
        <w:t>као</w:t>
      </w:r>
      <w:r w:rsidR="006B203E">
        <w:rPr>
          <w:rFonts w:ascii="Times New Roman" w:hAnsi="Times New Roman"/>
          <w:szCs w:val="24"/>
        </w:rPr>
        <w:t xml:space="preserve"> </w:t>
      </w:r>
      <w:r>
        <w:rPr>
          <w:rFonts w:ascii="Times New Roman" w:hAnsi="Times New Roman"/>
          <w:szCs w:val="24"/>
        </w:rPr>
        <w:t>и</w:t>
      </w:r>
      <w:r w:rsidR="006B203E">
        <w:rPr>
          <w:rFonts w:ascii="Times New Roman" w:hAnsi="Times New Roman"/>
          <w:szCs w:val="24"/>
        </w:rPr>
        <w:t xml:space="preserve"> </w:t>
      </w:r>
      <w:r>
        <w:rPr>
          <w:rFonts w:ascii="Times New Roman" w:hAnsi="Times New Roman"/>
          <w:szCs w:val="24"/>
        </w:rPr>
        <w:t>практичне</w:t>
      </w:r>
      <w:r w:rsidR="006B203E">
        <w:rPr>
          <w:rFonts w:ascii="Times New Roman" w:hAnsi="Times New Roman"/>
          <w:szCs w:val="24"/>
        </w:rPr>
        <w:t xml:space="preserve"> </w:t>
      </w:r>
      <w:r>
        <w:rPr>
          <w:rFonts w:ascii="Times New Roman" w:hAnsi="Times New Roman"/>
          <w:szCs w:val="24"/>
        </w:rPr>
        <w:t>аспекте</w:t>
      </w:r>
      <w:r w:rsidR="00F772F2" w:rsidRPr="00295637">
        <w:rPr>
          <w:rFonts w:ascii="Times New Roman" w:hAnsi="Times New Roman"/>
          <w:szCs w:val="24"/>
        </w:rPr>
        <w:t xml:space="preserve"> </w:t>
      </w:r>
      <w:r>
        <w:rPr>
          <w:rFonts w:ascii="Times New Roman" w:hAnsi="Times New Roman"/>
          <w:szCs w:val="24"/>
        </w:rPr>
        <w:t>ефикасније</w:t>
      </w:r>
      <w:r w:rsidR="00F772F2" w:rsidRPr="00295637">
        <w:rPr>
          <w:rFonts w:ascii="Times New Roman" w:hAnsi="Times New Roman"/>
          <w:szCs w:val="24"/>
        </w:rPr>
        <w:t xml:space="preserve"> </w:t>
      </w:r>
      <w:r>
        <w:rPr>
          <w:rFonts w:ascii="Times New Roman" w:hAnsi="Times New Roman"/>
          <w:szCs w:val="24"/>
        </w:rPr>
        <w:t>превенције</w:t>
      </w:r>
      <w:r w:rsidR="00F772F2" w:rsidRPr="00295637">
        <w:rPr>
          <w:rFonts w:ascii="Times New Roman" w:hAnsi="Times New Roman"/>
          <w:szCs w:val="24"/>
        </w:rPr>
        <w:t xml:space="preserve"> </w:t>
      </w:r>
      <w:r>
        <w:rPr>
          <w:rFonts w:ascii="Times New Roman" w:hAnsi="Times New Roman"/>
          <w:szCs w:val="24"/>
        </w:rPr>
        <w:t>и</w:t>
      </w:r>
      <w:r w:rsidR="00F772F2" w:rsidRPr="00295637">
        <w:rPr>
          <w:rFonts w:ascii="Times New Roman" w:hAnsi="Times New Roman"/>
          <w:szCs w:val="24"/>
        </w:rPr>
        <w:t xml:space="preserve"> </w:t>
      </w:r>
      <w:r>
        <w:rPr>
          <w:rFonts w:ascii="Times New Roman" w:hAnsi="Times New Roman"/>
          <w:szCs w:val="24"/>
        </w:rPr>
        <w:t>поступања</w:t>
      </w:r>
      <w:r w:rsidR="00F772F2" w:rsidRPr="00295637">
        <w:rPr>
          <w:rFonts w:ascii="Times New Roman" w:hAnsi="Times New Roman"/>
          <w:szCs w:val="24"/>
        </w:rPr>
        <w:t xml:space="preserve"> </w:t>
      </w:r>
      <w:r>
        <w:rPr>
          <w:rFonts w:ascii="Times New Roman" w:hAnsi="Times New Roman"/>
          <w:szCs w:val="24"/>
        </w:rPr>
        <w:t>у</w:t>
      </w:r>
      <w:r w:rsidR="00F772F2" w:rsidRPr="00295637">
        <w:rPr>
          <w:rFonts w:ascii="Times New Roman" w:hAnsi="Times New Roman"/>
          <w:szCs w:val="24"/>
        </w:rPr>
        <w:t xml:space="preserve"> </w:t>
      </w:r>
      <w:r>
        <w:rPr>
          <w:rFonts w:ascii="Times New Roman" w:hAnsi="Times New Roman"/>
          <w:szCs w:val="24"/>
        </w:rPr>
        <w:t>случајевима</w:t>
      </w:r>
      <w:r w:rsidR="00F772F2" w:rsidRPr="00295637">
        <w:rPr>
          <w:rFonts w:ascii="Times New Roman" w:hAnsi="Times New Roman"/>
          <w:szCs w:val="24"/>
        </w:rPr>
        <w:t xml:space="preserve"> </w:t>
      </w:r>
      <w:r>
        <w:rPr>
          <w:rFonts w:ascii="Times New Roman" w:hAnsi="Times New Roman"/>
          <w:szCs w:val="24"/>
        </w:rPr>
        <w:t>насиља</w:t>
      </w:r>
      <w:r w:rsidR="00F772F2" w:rsidRPr="00295637">
        <w:rPr>
          <w:rFonts w:ascii="Times New Roman" w:hAnsi="Times New Roman"/>
          <w:szCs w:val="24"/>
        </w:rPr>
        <w:t xml:space="preserve"> </w:t>
      </w:r>
      <w:r>
        <w:rPr>
          <w:rFonts w:ascii="Times New Roman" w:hAnsi="Times New Roman"/>
          <w:szCs w:val="24"/>
        </w:rPr>
        <w:t>над</w:t>
      </w:r>
      <w:r w:rsidR="00F772F2" w:rsidRPr="00295637">
        <w:rPr>
          <w:rFonts w:ascii="Times New Roman" w:hAnsi="Times New Roman"/>
          <w:szCs w:val="24"/>
        </w:rPr>
        <w:t xml:space="preserve"> </w:t>
      </w:r>
      <w:r>
        <w:rPr>
          <w:rFonts w:ascii="Times New Roman" w:hAnsi="Times New Roman"/>
          <w:szCs w:val="24"/>
        </w:rPr>
        <w:t>женама</w:t>
      </w:r>
      <w:r w:rsidR="00F772F2" w:rsidRPr="00295637">
        <w:rPr>
          <w:rFonts w:ascii="Times New Roman" w:hAnsi="Times New Roman"/>
          <w:szCs w:val="24"/>
        </w:rPr>
        <w:t xml:space="preserve"> </w:t>
      </w:r>
      <w:r>
        <w:rPr>
          <w:rFonts w:ascii="Times New Roman" w:hAnsi="Times New Roman"/>
          <w:szCs w:val="24"/>
        </w:rPr>
        <w:t>и</w:t>
      </w:r>
      <w:r w:rsidR="00F772F2" w:rsidRPr="00295637">
        <w:rPr>
          <w:rFonts w:ascii="Times New Roman" w:hAnsi="Times New Roman"/>
          <w:szCs w:val="24"/>
        </w:rPr>
        <w:t xml:space="preserve"> </w:t>
      </w:r>
      <w:r>
        <w:rPr>
          <w:rFonts w:ascii="Times New Roman" w:hAnsi="Times New Roman"/>
          <w:szCs w:val="24"/>
        </w:rPr>
        <w:t>насиља</w:t>
      </w:r>
      <w:r w:rsidR="00F772F2" w:rsidRPr="00295637">
        <w:rPr>
          <w:rFonts w:ascii="Times New Roman" w:hAnsi="Times New Roman"/>
          <w:szCs w:val="24"/>
        </w:rPr>
        <w:t xml:space="preserve"> </w:t>
      </w:r>
      <w:r>
        <w:rPr>
          <w:rFonts w:ascii="Times New Roman" w:hAnsi="Times New Roman"/>
          <w:szCs w:val="24"/>
        </w:rPr>
        <w:t>у</w:t>
      </w:r>
      <w:r w:rsidR="00F772F2" w:rsidRPr="00295637">
        <w:rPr>
          <w:rFonts w:ascii="Times New Roman" w:hAnsi="Times New Roman"/>
          <w:szCs w:val="24"/>
        </w:rPr>
        <w:t xml:space="preserve"> </w:t>
      </w:r>
      <w:r>
        <w:rPr>
          <w:rFonts w:ascii="Times New Roman" w:hAnsi="Times New Roman"/>
          <w:szCs w:val="24"/>
        </w:rPr>
        <w:t>породици</w:t>
      </w:r>
      <w:r w:rsidR="00F772F2" w:rsidRPr="00295637">
        <w:rPr>
          <w:rFonts w:ascii="Times New Roman" w:hAnsi="Times New Roman"/>
          <w:szCs w:val="24"/>
        </w:rPr>
        <w:t xml:space="preserve">. </w:t>
      </w:r>
      <w:r>
        <w:rPr>
          <w:rFonts w:ascii="Times New Roman" w:hAnsi="Times New Roman"/>
          <w:szCs w:val="24"/>
        </w:rPr>
        <w:t>Почетком</w:t>
      </w:r>
      <w:r w:rsidR="00F07FCD" w:rsidRPr="00295637">
        <w:rPr>
          <w:rFonts w:ascii="Times New Roman" w:hAnsi="Times New Roman"/>
          <w:szCs w:val="24"/>
        </w:rPr>
        <w:t xml:space="preserve"> </w:t>
      </w:r>
      <w:r>
        <w:rPr>
          <w:rFonts w:ascii="Times New Roman" w:hAnsi="Times New Roman"/>
          <w:szCs w:val="24"/>
        </w:rPr>
        <w:t>сљедећег</w:t>
      </w:r>
      <w:r w:rsidR="00F07FCD" w:rsidRPr="00295637">
        <w:rPr>
          <w:rFonts w:ascii="Times New Roman" w:hAnsi="Times New Roman"/>
          <w:szCs w:val="24"/>
        </w:rPr>
        <w:t xml:space="preserve"> </w:t>
      </w:r>
      <w:r>
        <w:rPr>
          <w:rFonts w:ascii="Times New Roman" w:hAnsi="Times New Roman"/>
          <w:szCs w:val="24"/>
        </w:rPr>
        <w:t>извјештајног</w:t>
      </w:r>
      <w:r w:rsidR="00F07FCD" w:rsidRPr="00295637">
        <w:rPr>
          <w:rFonts w:ascii="Times New Roman" w:hAnsi="Times New Roman"/>
          <w:szCs w:val="24"/>
        </w:rPr>
        <w:t xml:space="preserve"> </w:t>
      </w:r>
      <w:r>
        <w:rPr>
          <w:rFonts w:ascii="Times New Roman" w:hAnsi="Times New Roman"/>
          <w:szCs w:val="24"/>
        </w:rPr>
        <w:t>периода</w:t>
      </w:r>
      <w:r w:rsidR="00F07FCD" w:rsidRPr="00295637">
        <w:rPr>
          <w:rFonts w:ascii="Times New Roman" w:hAnsi="Times New Roman"/>
          <w:szCs w:val="24"/>
        </w:rPr>
        <w:t xml:space="preserve"> </w:t>
      </w:r>
      <w:r>
        <w:rPr>
          <w:rFonts w:ascii="Times New Roman" w:hAnsi="Times New Roman"/>
          <w:szCs w:val="24"/>
        </w:rPr>
        <w:t>очекује</w:t>
      </w:r>
      <w:r w:rsidR="004628A4" w:rsidRPr="00295637">
        <w:rPr>
          <w:rFonts w:ascii="Times New Roman" w:hAnsi="Times New Roman"/>
          <w:szCs w:val="24"/>
        </w:rPr>
        <w:t xml:space="preserve"> </w:t>
      </w:r>
      <w:r>
        <w:rPr>
          <w:rFonts w:ascii="Times New Roman" w:hAnsi="Times New Roman"/>
          <w:szCs w:val="24"/>
        </w:rPr>
        <w:t>се</w:t>
      </w:r>
      <w:r w:rsidR="00815DF9" w:rsidRPr="00295637">
        <w:rPr>
          <w:rFonts w:ascii="Times New Roman" w:hAnsi="Times New Roman"/>
          <w:szCs w:val="24"/>
        </w:rPr>
        <w:t xml:space="preserve"> </w:t>
      </w:r>
      <w:r>
        <w:rPr>
          <w:rFonts w:ascii="Times New Roman" w:hAnsi="Times New Roman"/>
          <w:szCs w:val="24"/>
        </w:rPr>
        <w:t>да</w:t>
      </w:r>
      <w:r w:rsidR="004628A4" w:rsidRPr="00295637">
        <w:rPr>
          <w:rFonts w:ascii="Times New Roman" w:hAnsi="Times New Roman"/>
          <w:szCs w:val="24"/>
        </w:rPr>
        <w:t xml:space="preserve"> </w:t>
      </w:r>
      <w:r>
        <w:rPr>
          <w:rFonts w:ascii="Times New Roman" w:hAnsi="Times New Roman"/>
          <w:szCs w:val="24"/>
        </w:rPr>
        <w:t>ће</w:t>
      </w:r>
      <w:r w:rsidR="004628A4" w:rsidRPr="00295637">
        <w:rPr>
          <w:rFonts w:ascii="Times New Roman" w:hAnsi="Times New Roman"/>
          <w:szCs w:val="24"/>
        </w:rPr>
        <w:t xml:space="preserve"> </w:t>
      </w:r>
      <w:r>
        <w:rPr>
          <w:rFonts w:ascii="Times New Roman" w:hAnsi="Times New Roman"/>
          <w:szCs w:val="24"/>
        </w:rPr>
        <w:t>бити</w:t>
      </w:r>
      <w:r w:rsidR="004628A4" w:rsidRPr="00295637">
        <w:rPr>
          <w:rFonts w:ascii="Times New Roman" w:hAnsi="Times New Roman"/>
          <w:szCs w:val="24"/>
        </w:rPr>
        <w:t xml:space="preserve"> </w:t>
      </w:r>
      <w:r>
        <w:rPr>
          <w:rFonts w:ascii="Times New Roman" w:hAnsi="Times New Roman"/>
          <w:szCs w:val="24"/>
        </w:rPr>
        <w:t>реализ</w:t>
      </w:r>
      <w:r w:rsidR="00A65D3C">
        <w:rPr>
          <w:rFonts w:ascii="Times New Roman" w:hAnsi="Times New Roman"/>
          <w:szCs w:val="24"/>
          <w:lang w:val="sr-Cyrl-BA"/>
        </w:rPr>
        <w:t>оване</w:t>
      </w:r>
      <w:r w:rsidR="004628A4" w:rsidRPr="00295637">
        <w:rPr>
          <w:rFonts w:ascii="Times New Roman" w:hAnsi="Times New Roman"/>
          <w:szCs w:val="24"/>
        </w:rPr>
        <w:t xml:space="preserve"> </w:t>
      </w:r>
      <w:r>
        <w:rPr>
          <w:rFonts w:ascii="Times New Roman" w:hAnsi="Times New Roman"/>
          <w:szCs w:val="24"/>
        </w:rPr>
        <w:t>техничке</w:t>
      </w:r>
      <w:r w:rsidR="00F07FCD" w:rsidRPr="00295637">
        <w:rPr>
          <w:rFonts w:ascii="Times New Roman" w:hAnsi="Times New Roman"/>
          <w:szCs w:val="24"/>
        </w:rPr>
        <w:t xml:space="preserve"> </w:t>
      </w:r>
      <w:r>
        <w:rPr>
          <w:rFonts w:ascii="Times New Roman" w:hAnsi="Times New Roman"/>
          <w:szCs w:val="24"/>
        </w:rPr>
        <w:t>претпоставке</w:t>
      </w:r>
      <w:r w:rsidR="00F07FCD" w:rsidRPr="00295637">
        <w:rPr>
          <w:rFonts w:ascii="Times New Roman" w:hAnsi="Times New Roman"/>
          <w:szCs w:val="24"/>
        </w:rPr>
        <w:t xml:space="preserve"> </w:t>
      </w:r>
      <w:r>
        <w:rPr>
          <w:rFonts w:ascii="Times New Roman" w:hAnsi="Times New Roman"/>
          <w:szCs w:val="24"/>
        </w:rPr>
        <w:t>постављања</w:t>
      </w:r>
      <w:r w:rsidR="00F07FCD" w:rsidRPr="00295637">
        <w:rPr>
          <w:rFonts w:ascii="Times New Roman" w:hAnsi="Times New Roman"/>
          <w:szCs w:val="24"/>
        </w:rPr>
        <w:t xml:space="preserve"> </w:t>
      </w:r>
      <w:r>
        <w:rPr>
          <w:rFonts w:ascii="Times New Roman" w:hAnsi="Times New Roman"/>
          <w:szCs w:val="24"/>
        </w:rPr>
        <w:t>курса</w:t>
      </w:r>
      <w:r w:rsidR="00F07FCD" w:rsidRPr="00295637">
        <w:rPr>
          <w:rFonts w:ascii="Times New Roman" w:hAnsi="Times New Roman"/>
          <w:szCs w:val="24"/>
        </w:rPr>
        <w:t xml:space="preserve"> </w:t>
      </w:r>
      <w:r>
        <w:rPr>
          <w:rFonts w:ascii="Times New Roman" w:hAnsi="Times New Roman"/>
          <w:szCs w:val="24"/>
        </w:rPr>
        <w:t>на</w:t>
      </w:r>
      <w:r w:rsidR="00F07FCD" w:rsidRPr="00295637">
        <w:rPr>
          <w:rFonts w:ascii="Times New Roman" w:hAnsi="Times New Roman"/>
          <w:szCs w:val="24"/>
        </w:rPr>
        <w:t xml:space="preserve"> </w:t>
      </w:r>
      <w:r>
        <w:rPr>
          <w:rFonts w:ascii="Times New Roman" w:hAnsi="Times New Roman"/>
          <w:szCs w:val="24"/>
        </w:rPr>
        <w:t>ЛМС</w:t>
      </w:r>
      <w:r w:rsidR="00F07FCD" w:rsidRPr="00295637">
        <w:rPr>
          <w:rFonts w:ascii="Times New Roman" w:hAnsi="Times New Roman"/>
          <w:szCs w:val="24"/>
        </w:rPr>
        <w:t xml:space="preserve"> </w:t>
      </w:r>
      <w:r>
        <w:rPr>
          <w:rFonts w:ascii="Times New Roman" w:hAnsi="Times New Roman"/>
          <w:szCs w:val="24"/>
        </w:rPr>
        <w:t>тренинг</w:t>
      </w:r>
      <w:r w:rsidR="00F07FCD" w:rsidRPr="00295637">
        <w:rPr>
          <w:rFonts w:ascii="Times New Roman" w:hAnsi="Times New Roman"/>
          <w:szCs w:val="24"/>
        </w:rPr>
        <w:t xml:space="preserve"> </w:t>
      </w:r>
      <w:r>
        <w:rPr>
          <w:rFonts w:ascii="Times New Roman" w:hAnsi="Times New Roman"/>
          <w:szCs w:val="24"/>
        </w:rPr>
        <w:t>платформу</w:t>
      </w:r>
      <w:r w:rsidR="00F07FCD" w:rsidRPr="00295637">
        <w:rPr>
          <w:rFonts w:ascii="Times New Roman" w:hAnsi="Times New Roman"/>
          <w:szCs w:val="24"/>
        </w:rPr>
        <w:t xml:space="preserve"> </w:t>
      </w:r>
      <w:r>
        <w:rPr>
          <w:rFonts w:ascii="Times New Roman" w:hAnsi="Times New Roman"/>
          <w:szCs w:val="24"/>
        </w:rPr>
        <w:t>АР</w:t>
      </w:r>
      <w:r w:rsidR="00A65D3C">
        <w:rPr>
          <w:rFonts w:ascii="Times New Roman" w:hAnsi="Times New Roman"/>
          <w:szCs w:val="24"/>
          <w:lang w:val="sr-Cyrl-BA"/>
        </w:rPr>
        <w:t>П</w:t>
      </w:r>
      <w:r w:rsidR="00815DF9">
        <w:rPr>
          <w:rFonts w:ascii="Times New Roman" w:hAnsi="Times New Roman"/>
          <w:szCs w:val="24"/>
        </w:rPr>
        <w:t xml:space="preserve"> </w:t>
      </w:r>
      <w:r>
        <w:rPr>
          <w:rFonts w:ascii="Times New Roman" w:hAnsi="Times New Roman"/>
          <w:szCs w:val="24"/>
        </w:rPr>
        <w:t>БиХ</w:t>
      </w:r>
      <w:r w:rsidR="00815DF9">
        <w:rPr>
          <w:rFonts w:ascii="Times New Roman" w:hAnsi="Times New Roman"/>
          <w:szCs w:val="24"/>
        </w:rPr>
        <w:t xml:space="preserve"> </w:t>
      </w:r>
      <w:r>
        <w:rPr>
          <w:rFonts w:ascii="Times New Roman" w:hAnsi="Times New Roman"/>
          <w:szCs w:val="24"/>
        </w:rPr>
        <w:t>МЉПИ</w:t>
      </w:r>
      <w:r w:rsidR="00815DF9">
        <w:rPr>
          <w:rFonts w:ascii="Times New Roman" w:hAnsi="Times New Roman"/>
          <w:szCs w:val="24"/>
        </w:rPr>
        <w:t xml:space="preserve"> </w:t>
      </w:r>
      <w:r>
        <w:rPr>
          <w:rFonts w:ascii="Times New Roman" w:hAnsi="Times New Roman"/>
          <w:szCs w:val="24"/>
        </w:rPr>
        <w:t>БиХ</w:t>
      </w:r>
      <w:r w:rsidR="009E54A2" w:rsidRPr="00295637">
        <w:rPr>
          <w:rFonts w:ascii="Times New Roman" w:hAnsi="Times New Roman"/>
          <w:szCs w:val="24"/>
        </w:rPr>
        <w:t xml:space="preserve"> </w:t>
      </w:r>
      <w:r w:rsidR="00F07FCD" w:rsidRPr="00295637">
        <w:rPr>
          <w:rFonts w:ascii="Times New Roman" w:hAnsi="Times New Roman"/>
          <w:szCs w:val="24"/>
        </w:rPr>
        <w:t xml:space="preserve">. </w:t>
      </w:r>
    </w:p>
    <w:p w:rsidR="00F772F2" w:rsidRPr="00295637" w:rsidRDefault="00F772F2" w:rsidP="0086268D">
      <w:pPr>
        <w:tabs>
          <w:tab w:val="center" w:pos="4703"/>
          <w:tab w:val="right" w:pos="9406"/>
        </w:tabs>
        <w:jc w:val="both"/>
        <w:rPr>
          <w:rFonts w:ascii="Times New Roman" w:hAnsi="Times New Roman"/>
          <w:szCs w:val="24"/>
        </w:rPr>
      </w:pPr>
    </w:p>
    <w:p w:rsidR="00CF2CED" w:rsidRPr="00295637" w:rsidRDefault="00C6214E" w:rsidP="0086268D">
      <w:pPr>
        <w:tabs>
          <w:tab w:val="center" w:pos="4703"/>
          <w:tab w:val="right" w:pos="9406"/>
        </w:tabs>
        <w:jc w:val="both"/>
      </w:pPr>
      <w:r>
        <w:rPr>
          <w:rFonts w:ascii="Times New Roman" w:hAnsi="Times New Roman"/>
          <w:szCs w:val="24"/>
        </w:rPr>
        <w:t>Уз</w:t>
      </w:r>
      <w:r w:rsidR="00780ABC" w:rsidRPr="00295637">
        <w:rPr>
          <w:rFonts w:ascii="Times New Roman" w:hAnsi="Times New Roman"/>
          <w:szCs w:val="24"/>
        </w:rPr>
        <w:t xml:space="preserve"> </w:t>
      </w:r>
      <w:r>
        <w:rPr>
          <w:rFonts w:ascii="Times New Roman" w:hAnsi="Times New Roman"/>
          <w:szCs w:val="24"/>
        </w:rPr>
        <w:t>подршку</w:t>
      </w:r>
      <w:r w:rsidR="00780ABC" w:rsidRPr="00295637">
        <w:rPr>
          <w:rFonts w:ascii="Times New Roman" w:hAnsi="Times New Roman"/>
          <w:szCs w:val="24"/>
        </w:rPr>
        <w:t xml:space="preserve"> </w:t>
      </w:r>
      <w:r w:rsidR="00A65D3C">
        <w:rPr>
          <w:rFonts w:ascii="Times New Roman" w:hAnsi="Times New Roman"/>
          <w:szCs w:val="24"/>
          <w:lang w:val="sr-Cyrl-BA"/>
        </w:rPr>
        <w:t>Савјета</w:t>
      </w:r>
      <w:r w:rsidR="00780ABC" w:rsidRPr="00295637">
        <w:rPr>
          <w:rFonts w:ascii="Times New Roman" w:hAnsi="Times New Roman"/>
          <w:szCs w:val="24"/>
        </w:rPr>
        <w:t xml:space="preserve"> </w:t>
      </w:r>
      <w:r>
        <w:rPr>
          <w:rFonts w:ascii="Times New Roman" w:hAnsi="Times New Roman"/>
          <w:szCs w:val="24"/>
        </w:rPr>
        <w:t>Европе</w:t>
      </w:r>
      <w:r w:rsidR="00780ABC" w:rsidRPr="00295637">
        <w:rPr>
          <w:rFonts w:ascii="Times New Roman" w:hAnsi="Times New Roman"/>
          <w:szCs w:val="24"/>
        </w:rPr>
        <w:t xml:space="preserve">, </w:t>
      </w:r>
      <w:r>
        <w:rPr>
          <w:rFonts w:ascii="Times New Roman" w:hAnsi="Times New Roman"/>
          <w:szCs w:val="24"/>
        </w:rPr>
        <w:t>АР</w:t>
      </w:r>
      <w:r w:rsidR="00A65D3C">
        <w:rPr>
          <w:rFonts w:ascii="Times New Roman" w:hAnsi="Times New Roman"/>
          <w:szCs w:val="24"/>
          <w:lang w:val="sr-Cyrl-BA"/>
        </w:rPr>
        <w:t>П</w:t>
      </w:r>
      <w:r w:rsidR="009E54A2" w:rsidRPr="00295637">
        <w:rPr>
          <w:rFonts w:ascii="Times New Roman" w:hAnsi="Times New Roman"/>
          <w:szCs w:val="24"/>
        </w:rPr>
        <w:t xml:space="preserve"> </w:t>
      </w:r>
      <w:r>
        <w:rPr>
          <w:rFonts w:ascii="Times New Roman" w:hAnsi="Times New Roman"/>
          <w:szCs w:val="24"/>
        </w:rPr>
        <w:t>БиХ</w:t>
      </w:r>
      <w:r w:rsidR="009E54A2" w:rsidRPr="00295637">
        <w:rPr>
          <w:rFonts w:ascii="Times New Roman" w:hAnsi="Times New Roman"/>
          <w:szCs w:val="24"/>
        </w:rPr>
        <w:t xml:space="preserve"> </w:t>
      </w:r>
      <w:r>
        <w:rPr>
          <w:rFonts w:ascii="Times New Roman" w:hAnsi="Times New Roman"/>
          <w:szCs w:val="24"/>
        </w:rPr>
        <w:t>МЉПИ</w:t>
      </w:r>
      <w:r w:rsidR="00780ABC" w:rsidRPr="00295637">
        <w:rPr>
          <w:rFonts w:ascii="Times New Roman" w:hAnsi="Times New Roman"/>
          <w:szCs w:val="24"/>
        </w:rPr>
        <w:t xml:space="preserve"> </w:t>
      </w:r>
      <w:r>
        <w:rPr>
          <w:rFonts w:ascii="Times New Roman" w:hAnsi="Times New Roman"/>
          <w:szCs w:val="24"/>
        </w:rPr>
        <w:t>БиХ</w:t>
      </w:r>
      <w:r w:rsidR="00780ABC" w:rsidRPr="00295637">
        <w:rPr>
          <w:rFonts w:ascii="Times New Roman" w:hAnsi="Times New Roman"/>
          <w:szCs w:val="24"/>
        </w:rPr>
        <w:t xml:space="preserve"> </w:t>
      </w:r>
      <w:r w:rsidR="00A65D3C">
        <w:rPr>
          <w:rFonts w:ascii="Times New Roman" w:hAnsi="Times New Roman"/>
          <w:szCs w:val="24"/>
        </w:rPr>
        <w:t xml:space="preserve">је </w:t>
      </w:r>
      <w:r>
        <w:rPr>
          <w:rFonts w:ascii="Times New Roman" w:hAnsi="Times New Roman"/>
          <w:szCs w:val="24"/>
        </w:rPr>
        <w:t>одржала</w:t>
      </w:r>
      <w:r w:rsidR="00815DF9">
        <w:rPr>
          <w:rFonts w:ascii="Times New Roman" w:hAnsi="Times New Roman"/>
          <w:szCs w:val="24"/>
        </w:rPr>
        <w:t xml:space="preserve"> </w:t>
      </w:r>
      <w:r>
        <w:rPr>
          <w:rFonts w:ascii="Times New Roman" w:hAnsi="Times New Roman"/>
          <w:szCs w:val="24"/>
          <w:lang w:val="hr-HR"/>
        </w:rPr>
        <w:t>двије</w:t>
      </w:r>
      <w:r w:rsidR="00780ABC" w:rsidRPr="00295637">
        <w:rPr>
          <w:rFonts w:ascii="Times New Roman" w:hAnsi="Times New Roman"/>
          <w:szCs w:val="24"/>
          <w:lang w:val="hr-HR"/>
        </w:rPr>
        <w:t xml:space="preserve"> </w:t>
      </w:r>
      <w:r>
        <w:rPr>
          <w:rFonts w:ascii="Times New Roman" w:hAnsi="Times New Roman"/>
          <w:szCs w:val="24"/>
          <w:lang w:val="hr-HR"/>
        </w:rPr>
        <w:t>радионице</w:t>
      </w:r>
      <w:r w:rsidR="00780ABC" w:rsidRPr="00295637">
        <w:rPr>
          <w:rFonts w:ascii="Times New Roman" w:hAnsi="Times New Roman"/>
          <w:szCs w:val="24"/>
          <w:lang w:val="hr-HR"/>
        </w:rPr>
        <w:t xml:space="preserve"> </w:t>
      </w:r>
      <w:r>
        <w:rPr>
          <w:rFonts w:ascii="Times New Roman" w:hAnsi="Times New Roman"/>
          <w:szCs w:val="24"/>
          <w:lang w:val="hr-HR"/>
        </w:rPr>
        <w:t>на</w:t>
      </w:r>
      <w:r w:rsidR="00780ABC" w:rsidRPr="00295637">
        <w:rPr>
          <w:rFonts w:ascii="Times New Roman" w:hAnsi="Times New Roman"/>
          <w:szCs w:val="24"/>
          <w:lang w:val="hr-HR"/>
        </w:rPr>
        <w:t xml:space="preserve"> </w:t>
      </w:r>
      <w:r>
        <w:rPr>
          <w:rFonts w:ascii="Times New Roman" w:hAnsi="Times New Roman"/>
          <w:szCs w:val="24"/>
          <w:lang w:val="hr-HR"/>
        </w:rPr>
        <w:t>тему</w:t>
      </w:r>
      <w:r w:rsidR="00780ABC" w:rsidRPr="00295637">
        <w:rPr>
          <w:rFonts w:ascii="Times New Roman" w:hAnsi="Times New Roman"/>
          <w:szCs w:val="24"/>
          <w:lang w:val="hr-HR"/>
        </w:rPr>
        <w:t xml:space="preserve"> </w:t>
      </w:r>
      <w:r w:rsidR="00A65D3C">
        <w:rPr>
          <w:rFonts w:ascii="Times New Roman" w:hAnsi="Times New Roman"/>
          <w:szCs w:val="24"/>
          <w:lang w:val="sr-Cyrl-BA"/>
        </w:rPr>
        <w:t>спровођења</w:t>
      </w:r>
      <w:r w:rsidR="00780ABC" w:rsidRPr="00295637">
        <w:rPr>
          <w:rFonts w:ascii="Times New Roman" w:hAnsi="Times New Roman"/>
          <w:szCs w:val="24"/>
          <w:lang w:val="hr-HR"/>
        </w:rPr>
        <w:t xml:space="preserve"> </w:t>
      </w:r>
      <w:r>
        <w:rPr>
          <w:rFonts w:ascii="Times New Roman" w:hAnsi="Times New Roman"/>
          <w:szCs w:val="24"/>
          <w:lang w:val="hr-HR"/>
        </w:rPr>
        <w:t>ГРЕВИО</w:t>
      </w:r>
      <w:r w:rsidR="00780ABC" w:rsidRPr="00295637">
        <w:rPr>
          <w:rFonts w:ascii="Times New Roman" w:hAnsi="Times New Roman"/>
          <w:szCs w:val="24"/>
          <w:lang w:val="hr-HR"/>
        </w:rPr>
        <w:t xml:space="preserve"> </w:t>
      </w:r>
      <w:r>
        <w:rPr>
          <w:rFonts w:ascii="Times New Roman" w:hAnsi="Times New Roman"/>
          <w:szCs w:val="24"/>
          <w:lang w:val="hr-HR"/>
        </w:rPr>
        <w:t>препорука</w:t>
      </w:r>
      <w:r w:rsidR="00780ABC" w:rsidRPr="00295637">
        <w:rPr>
          <w:rFonts w:ascii="Times New Roman" w:hAnsi="Times New Roman"/>
          <w:szCs w:val="24"/>
          <w:lang w:val="hr-HR"/>
        </w:rPr>
        <w:t xml:space="preserve"> </w:t>
      </w:r>
      <w:r>
        <w:rPr>
          <w:rFonts w:ascii="Times New Roman" w:hAnsi="Times New Roman"/>
          <w:szCs w:val="24"/>
          <w:lang w:val="hr-HR"/>
        </w:rPr>
        <w:t>за</w:t>
      </w:r>
      <w:r w:rsidR="00780ABC" w:rsidRPr="00295637">
        <w:rPr>
          <w:rFonts w:ascii="Times New Roman" w:hAnsi="Times New Roman"/>
          <w:szCs w:val="24"/>
          <w:lang w:val="hr-HR"/>
        </w:rPr>
        <w:t xml:space="preserve"> </w:t>
      </w:r>
      <w:r>
        <w:rPr>
          <w:rFonts w:ascii="Times New Roman" w:hAnsi="Times New Roman"/>
          <w:szCs w:val="24"/>
          <w:lang w:val="hr-HR"/>
        </w:rPr>
        <w:t>Босну</w:t>
      </w:r>
      <w:r w:rsidR="00780ABC" w:rsidRPr="00295637">
        <w:rPr>
          <w:rFonts w:ascii="Times New Roman" w:hAnsi="Times New Roman"/>
          <w:szCs w:val="24"/>
          <w:lang w:val="hr-HR"/>
        </w:rPr>
        <w:t xml:space="preserve"> </w:t>
      </w:r>
      <w:r>
        <w:rPr>
          <w:rFonts w:ascii="Times New Roman" w:hAnsi="Times New Roman"/>
          <w:szCs w:val="24"/>
          <w:lang w:val="hr-HR"/>
        </w:rPr>
        <w:t>и</w:t>
      </w:r>
      <w:r w:rsidR="00780ABC" w:rsidRPr="00295637">
        <w:rPr>
          <w:rFonts w:ascii="Times New Roman" w:hAnsi="Times New Roman"/>
          <w:szCs w:val="24"/>
          <w:lang w:val="hr-HR"/>
        </w:rPr>
        <w:t xml:space="preserve"> </w:t>
      </w:r>
      <w:r>
        <w:rPr>
          <w:rFonts w:ascii="Times New Roman" w:hAnsi="Times New Roman"/>
          <w:szCs w:val="24"/>
          <w:lang w:val="hr-HR"/>
        </w:rPr>
        <w:t>Херцеговину</w:t>
      </w:r>
      <w:r w:rsidR="00780ABC" w:rsidRPr="00295637">
        <w:rPr>
          <w:rFonts w:ascii="Times New Roman" w:hAnsi="Times New Roman"/>
          <w:szCs w:val="24"/>
        </w:rPr>
        <w:t xml:space="preserve">. </w:t>
      </w:r>
      <w:r>
        <w:rPr>
          <w:rFonts w:ascii="Times New Roman" w:hAnsi="Times New Roman"/>
          <w:szCs w:val="24"/>
        </w:rPr>
        <w:t>Поред</w:t>
      </w:r>
      <w:r w:rsidR="002345F7" w:rsidRPr="00295637">
        <w:rPr>
          <w:rFonts w:ascii="Times New Roman" w:hAnsi="Times New Roman"/>
          <w:szCs w:val="24"/>
        </w:rPr>
        <w:t xml:space="preserve"> </w:t>
      </w:r>
      <w:r>
        <w:rPr>
          <w:rFonts w:ascii="Times New Roman" w:hAnsi="Times New Roman"/>
          <w:szCs w:val="24"/>
        </w:rPr>
        <w:t>тога</w:t>
      </w:r>
      <w:r w:rsidR="00815DF9">
        <w:rPr>
          <w:rFonts w:ascii="Times New Roman" w:hAnsi="Times New Roman"/>
          <w:szCs w:val="24"/>
          <w:lang w:val="hr-HR"/>
        </w:rPr>
        <w:t xml:space="preserve"> </w:t>
      </w:r>
      <w:r>
        <w:rPr>
          <w:rFonts w:ascii="Times New Roman" w:hAnsi="Times New Roman"/>
          <w:szCs w:val="24"/>
          <w:lang w:val="hr-HR"/>
        </w:rPr>
        <w:t>уз</w:t>
      </w:r>
      <w:r w:rsidR="00815DF9">
        <w:rPr>
          <w:rFonts w:ascii="Times New Roman" w:hAnsi="Times New Roman"/>
          <w:szCs w:val="24"/>
          <w:lang w:val="hr-HR"/>
        </w:rPr>
        <w:t xml:space="preserve"> </w:t>
      </w:r>
      <w:r>
        <w:rPr>
          <w:rFonts w:ascii="Times New Roman" w:hAnsi="Times New Roman"/>
          <w:szCs w:val="24"/>
          <w:lang w:val="hr-HR"/>
        </w:rPr>
        <w:t>подршку</w:t>
      </w:r>
      <w:r w:rsidR="00EA1BED" w:rsidRPr="00295637">
        <w:rPr>
          <w:rFonts w:ascii="Times New Roman" w:hAnsi="Times New Roman"/>
          <w:szCs w:val="24"/>
          <w:lang w:val="hr-HR"/>
        </w:rPr>
        <w:t xml:space="preserve"> </w:t>
      </w:r>
      <w:r>
        <w:rPr>
          <w:rFonts w:ascii="Times New Roman" w:hAnsi="Times New Roman"/>
          <w:szCs w:val="24"/>
          <w:lang w:val="hr-HR"/>
        </w:rPr>
        <w:t>О</w:t>
      </w:r>
      <w:r w:rsidR="00A65D3C">
        <w:rPr>
          <w:rFonts w:ascii="Times New Roman" w:hAnsi="Times New Roman"/>
          <w:szCs w:val="24"/>
          <w:lang w:val="sr-Cyrl-BA"/>
        </w:rPr>
        <w:t>ЕБС</w:t>
      </w:r>
      <w:r w:rsidR="007A293E" w:rsidRPr="00295637">
        <w:rPr>
          <w:rFonts w:ascii="Times New Roman" w:hAnsi="Times New Roman"/>
          <w:szCs w:val="24"/>
          <w:lang w:val="hr-HR"/>
        </w:rPr>
        <w:t>-</w:t>
      </w:r>
      <w:r>
        <w:rPr>
          <w:rFonts w:ascii="Times New Roman" w:hAnsi="Times New Roman"/>
          <w:szCs w:val="24"/>
          <w:lang w:val="hr-HR"/>
        </w:rPr>
        <w:t>а</w:t>
      </w:r>
      <w:r w:rsidR="00780ABC" w:rsidRPr="00295637">
        <w:rPr>
          <w:rFonts w:ascii="Times New Roman" w:hAnsi="Times New Roman"/>
          <w:szCs w:val="24"/>
          <w:lang w:val="hr-HR"/>
        </w:rPr>
        <w:t>,</w:t>
      </w:r>
      <w:r w:rsidR="007A293E" w:rsidRPr="00295637">
        <w:rPr>
          <w:rFonts w:ascii="Times New Roman" w:hAnsi="Times New Roman"/>
          <w:szCs w:val="24"/>
          <w:lang w:val="hr-HR"/>
        </w:rPr>
        <w:t xml:space="preserve"> </w:t>
      </w:r>
      <w:r>
        <w:rPr>
          <w:rFonts w:ascii="Times New Roman" w:hAnsi="Times New Roman"/>
          <w:szCs w:val="24"/>
          <w:lang w:val="hr-HR"/>
        </w:rPr>
        <w:t>одржана</w:t>
      </w:r>
      <w:r w:rsidR="00B87E5E">
        <w:rPr>
          <w:rFonts w:ascii="Times New Roman" w:hAnsi="Times New Roman"/>
          <w:szCs w:val="24"/>
          <w:lang w:val="hr-HR"/>
        </w:rPr>
        <w:t xml:space="preserve"> </w:t>
      </w:r>
      <w:r>
        <w:rPr>
          <w:rFonts w:ascii="Times New Roman" w:hAnsi="Times New Roman"/>
          <w:szCs w:val="24"/>
          <w:lang w:val="hr-HR"/>
        </w:rPr>
        <w:t>су</w:t>
      </w:r>
      <w:r w:rsidR="004F2109" w:rsidRPr="00295637">
        <w:rPr>
          <w:rFonts w:ascii="Times New Roman" w:hAnsi="Times New Roman"/>
          <w:szCs w:val="24"/>
          <w:lang w:val="hr-HR"/>
        </w:rPr>
        <w:t xml:space="preserve"> </w:t>
      </w:r>
      <w:r>
        <w:rPr>
          <w:rFonts w:ascii="Times New Roman" w:hAnsi="Times New Roman"/>
          <w:szCs w:val="24"/>
          <w:lang w:val="hr-HR"/>
        </w:rPr>
        <w:t>три</w:t>
      </w:r>
      <w:r w:rsidR="004F2109" w:rsidRPr="00295637">
        <w:rPr>
          <w:rFonts w:ascii="Times New Roman" w:hAnsi="Times New Roman"/>
          <w:szCs w:val="24"/>
          <w:lang w:val="hr-HR"/>
        </w:rPr>
        <w:t xml:space="preserve"> </w:t>
      </w:r>
      <w:r>
        <w:rPr>
          <w:rFonts w:ascii="Times New Roman" w:hAnsi="Times New Roman"/>
          <w:szCs w:val="24"/>
          <w:lang w:val="hr-HR"/>
        </w:rPr>
        <w:t>округла</w:t>
      </w:r>
      <w:r w:rsidR="004F2109" w:rsidRPr="00295637">
        <w:rPr>
          <w:rFonts w:ascii="Times New Roman" w:hAnsi="Times New Roman"/>
          <w:szCs w:val="24"/>
          <w:lang w:val="hr-HR"/>
        </w:rPr>
        <w:t xml:space="preserve"> </w:t>
      </w:r>
      <w:r>
        <w:rPr>
          <w:rFonts w:ascii="Times New Roman" w:hAnsi="Times New Roman"/>
          <w:szCs w:val="24"/>
          <w:lang w:val="hr-HR"/>
        </w:rPr>
        <w:t>стола</w:t>
      </w:r>
      <w:r w:rsidR="004F2109" w:rsidRPr="00295637">
        <w:rPr>
          <w:rFonts w:ascii="Times New Roman" w:hAnsi="Times New Roman"/>
          <w:szCs w:val="24"/>
          <w:lang w:val="hr-HR"/>
        </w:rPr>
        <w:t xml:space="preserve"> </w:t>
      </w:r>
      <w:r>
        <w:rPr>
          <w:rFonts w:ascii="Times New Roman" w:hAnsi="Times New Roman"/>
          <w:szCs w:val="24"/>
          <w:lang w:val="hr-HR"/>
        </w:rPr>
        <w:t>и</w:t>
      </w:r>
      <w:r w:rsidR="004F2109" w:rsidRPr="00295637">
        <w:rPr>
          <w:rFonts w:ascii="Times New Roman" w:hAnsi="Times New Roman"/>
          <w:szCs w:val="24"/>
          <w:lang w:val="hr-HR"/>
        </w:rPr>
        <w:t xml:space="preserve"> </w:t>
      </w:r>
      <w:r>
        <w:rPr>
          <w:rFonts w:ascii="Times New Roman" w:hAnsi="Times New Roman"/>
          <w:szCs w:val="24"/>
          <w:lang w:val="hr-HR"/>
        </w:rPr>
        <w:t>састанци</w:t>
      </w:r>
      <w:r w:rsidR="0091074E" w:rsidRPr="00295637">
        <w:rPr>
          <w:rFonts w:ascii="Times New Roman" w:hAnsi="Times New Roman"/>
          <w:szCs w:val="24"/>
          <w:lang w:val="hr-HR"/>
        </w:rPr>
        <w:t xml:space="preserve"> </w:t>
      </w:r>
      <w:r>
        <w:rPr>
          <w:rFonts w:ascii="Times New Roman" w:hAnsi="Times New Roman"/>
          <w:szCs w:val="24"/>
          <w:lang w:val="hr-HR"/>
        </w:rPr>
        <w:t>са</w:t>
      </w:r>
      <w:r w:rsidR="00EA1BED" w:rsidRPr="00295637">
        <w:rPr>
          <w:rFonts w:ascii="Times New Roman" w:hAnsi="Times New Roman"/>
          <w:szCs w:val="24"/>
          <w:lang w:val="hr-HR"/>
        </w:rPr>
        <w:t xml:space="preserve"> </w:t>
      </w:r>
      <w:r>
        <w:rPr>
          <w:rFonts w:ascii="Times New Roman" w:hAnsi="Times New Roman"/>
          <w:szCs w:val="24"/>
          <w:lang w:val="hr-HR"/>
        </w:rPr>
        <w:t>представницима</w:t>
      </w:r>
      <w:r w:rsidR="00EA1BED" w:rsidRPr="00295637">
        <w:rPr>
          <w:rFonts w:ascii="Times New Roman" w:hAnsi="Times New Roman"/>
          <w:szCs w:val="24"/>
          <w:lang w:val="hr-HR"/>
        </w:rPr>
        <w:t xml:space="preserve"> </w:t>
      </w:r>
      <w:r>
        <w:rPr>
          <w:rFonts w:ascii="Times New Roman" w:hAnsi="Times New Roman"/>
          <w:szCs w:val="24"/>
          <w:lang w:val="hr-HR"/>
        </w:rPr>
        <w:t>ресорних</w:t>
      </w:r>
      <w:r w:rsidR="00EA1BED" w:rsidRPr="00295637">
        <w:rPr>
          <w:rFonts w:ascii="Times New Roman" w:hAnsi="Times New Roman"/>
          <w:szCs w:val="24"/>
          <w:lang w:val="hr-HR"/>
        </w:rPr>
        <w:t xml:space="preserve"> </w:t>
      </w:r>
      <w:r>
        <w:rPr>
          <w:rFonts w:ascii="Times New Roman" w:hAnsi="Times New Roman"/>
          <w:szCs w:val="24"/>
          <w:lang w:val="hr-HR"/>
        </w:rPr>
        <w:t>институција</w:t>
      </w:r>
      <w:r w:rsidR="00EA1BED" w:rsidRPr="00295637">
        <w:rPr>
          <w:rFonts w:ascii="Times New Roman" w:hAnsi="Times New Roman"/>
          <w:szCs w:val="24"/>
          <w:lang w:val="hr-HR"/>
        </w:rPr>
        <w:t xml:space="preserve"> </w:t>
      </w:r>
      <w:r>
        <w:rPr>
          <w:rFonts w:ascii="Times New Roman" w:hAnsi="Times New Roman"/>
          <w:szCs w:val="24"/>
          <w:lang w:val="hr-HR"/>
        </w:rPr>
        <w:t>извршне</w:t>
      </w:r>
      <w:r w:rsidR="00EA1BED" w:rsidRPr="00295637">
        <w:rPr>
          <w:rFonts w:ascii="Times New Roman" w:hAnsi="Times New Roman"/>
          <w:szCs w:val="24"/>
          <w:lang w:val="hr-HR"/>
        </w:rPr>
        <w:t xml:space="preserve"> </w:t>
      </w:r>
      <w:r>
        <w:rPr>
          <w:rFonts w:ascii="Times New Roman" w:hAnsi="Times New Roman"/>
          <w:szCs w:val="24"/>
          <w:lang w:val="hr-HR"/>
        </w:rPr>
        <w:t>и</w:t>
      </w:r>
      <w:r w:rsidR="00EA1BED" w:rsidRPr="00295637">
        <w:rPr>
          <w:rFonts w:ascii="Times New Roman" w:hAnsi="Times New Roman"/>
          <w:szCs w:val="24"/>
          <w:lang w:val="hr-HR"/>
        </w:rPr>
        <w:t xml:space="preserve"> </w:t>
      </w:r>
      <w:r>
        <w:rPr>
          <w:rFonts w:ascii="Times New Roman" w:hAnsi="Times New Roman"/>
          <w:szCs w:val="24"/>
          <w:lang w:val="hr-HR"/>
        </w:rPr>
        <w:t>законодавне</w:t>
      </w:r>
      <w:r w:rsidR="00EA1BED" w:rsidRPr="00295637">
        <w:rPr>
          <w:rFonts w:ascii="Times New Roman" w:hAnsi="Times New Roman"/>
          <w:szCs w:val="24"/>
          <w:lang w:val="hr-HR"/>
        </w:rPr>
        <w:t xml:space="preserve"> </w:t>
      </w:r>
      <w:r>
        <w:rPr>
          <w:rFonts w:ascii="Times New Roman" w:hAnsi="Times New Roman"/>
          <w:szCs w:val="24"/>
          <w:lang w:val="hr-HR"/>
        </w:rPr>
        <w:t>власти</w:t>
      </w:r>
      <w:r w:rsidR="00EA1BED" w:rsidRPr="00295637">
        <w:rPr>
          <w:rFonts w:ascii="Times New Roman" w:hAnsi="Times New Roman"/>
          <w:szCs w:val="24"/>
          <w:lang w:val="hr-HR"/>
        </w:rPr>
        <w:t xml:space="preserve"> </w:t>
      </w:r>
      <w:r>
        <w:rPr>
          <w:rFonts w:ascii="Times New Roman" w:hAnsi="Times New Roman"/>
          <w:szCs w:val="24"/>
          <w:lang w:val="hr-HR"/>
        </w:rPr>
        <w:t>у</w:t>
      </w:r>
      <w:r w:rsidR="004B54B0">
        <w:rPr>
          <w:rFonts w:ascii="Times New Roman" w:hAnsi="Times New Roman"/>
          <w:szCs w:val="24"/>
          <w:lang w:val="hr-HR"/>
        </w:rPr>
        <w:t xml:space="preserve"> </w:t>
      </w:r>
      <w:r>
        <w:rPr>
          <w:rFonts w:ascii="Times New Roman" w:hAnsi="Times New Roman"/>
          <w:szCs w:val="24"/>
          <w:lang w:val="hr-HR"/>
        </w:rPr>
        <w:t>вези</w:t>
      </w:r>
      <w:r w:rsidR="004B54B0">
        <w:rPr>
          <w:rFonts w:ascii="Times New Roman" w:hAnsi="Times New Roman"/>
          <w:szCs w:val="24"/>
          <w:lang w:val="hr-HR"/>
        </w:rPr>
        <w:t xml:space="preserve"> </w:t>
      </w:r>
      <w:r>
        <w:rPr>
          <w:rFonts w:ascii="Times New Roman" w:hAnsi="Times New Roman"/>
          <w:szCs w:val="24"/>
          <w:lang w:val="hr-HR"/>
        </w:rPr>
        <w:t>са</w:t>
      </w:r>
      <w:r w:rsidR="00815DF9">
        <w:rPr>
          <w:rFonts w:ascii="Times New Roman" w:hAnsi="Times New Roman"/>
          <w:szCs w:val="24"/>
          <w:lang w:val="hr-HR"/>
        </w:rPr>
        <w:t xml:space="preserve"> </w:t>
      </w:r>
      <w:r>
        <w:rPr>
          <w:rFonts w:ascii="Times New Roman" w:hAnsi="Times New Roman"/>
          <w:szCs w:val="24"/>
          <w:lang w:val="hr-HR"/>
        </w:rPr>
        <w:t>превенцијом</w:t>
      </w:r>
      <w:r w:rsidR="00EA1BED" w:rsidRPr="00295637">
        <w:rPr>
          <w:rFonts w:ascii="Times New Roman" w:hAnsi="Times New Roman"/>
          <w:szCs w:val="24"/>
          <w:lang w:val="hr-HR"/>
        </w:rPr>
        <w:t xml:space="preserve"> </w:t>
      </w:r>
      <w:r>
        <w:rPr>
          <w:rFonts w:ascii="Times New Roman" w:hAnsi="Times New Roman"/>
          <w:szCs w:val="24"/>
          <w:lang w:val="hr-HR"/>
        </w:rPr>
        <w:t>фемицида</w:t>
      </w:r>
      <w:r w:rsidR="00EA1BED" w:rsidRPr="00295637">
        <w:rPr>
          <w:rFonts w:ascii="Times New Roman" w:hAnsi="Times New Roman"/>
          <w:szCs w:val="24"/>
          <w:lang w:val="hr-HR"/>
        </w:rPr>
        <w:t xml:space="preserve"> </w:t>
      </w:r>
      <w:r>
        <w:rPr>
          <w:rFonts w:ascii="Times New Roman" w:hAnsi="Times New Roman"/>
          <w:szCs w:val="24"/>
          <w:lang w:val="hr-HR"/>
        </w:rPr>
        <w:t>и</w:t>
      </w:r>
      <w:r w:rsidR="00EA1BED" w:rsidRPr="00295637">
        <w:rPr>
          <w:rFonts w:ascii="Times New Roman" w:hAnsi="Times New Roman"/>
          <w:szCs w:val="24"/>
          <w:lang w:val="hr-HR"/>
        </w:rPr>
        <w:t xml:space="preserve"> </w:t>
      </w:r>
      <w:r>
        <w:rPr>
          <w:rFonts w:ascii="Times New Roman" w:hAnsi="Times New Roman"/>
          <w:szCs w:val="24"/>
          <w:lang w:val="hr-HR"/>
        </w:rPr>
        <w:t>поступања</w:t>
      </w:r>
      <w:r w:rsidR="00EA1BED" w:rsidRPr="00295637">
        <w:rPr>
          <w:rFonts w:ascii="Times New Roman" w:hAnsi="Times New Roman"/>
          <w:szCs w:val="24"/>
          <w:lang w:val="hr-HR"/>
        </w:rPr>
        <w:t xml:space="preserve"> </w:t>
      </w:r>
      <w:r>
        <w:rPr>
          <w:rFonts w:ascii="Times New Roman" w:hAnsi="Times New Roman"/>
          <w:szCs w:val="24"/>
          <w:lang w:val="hr-HR"/>
        </w:rPr>
        <w:t>полицијских</w:t>
      </w:r>
      <w:r w:rsidR="00EA1BED" w:rsidRPr="00295637">
        <w:rPr>
          <w:rFonts w:ascii="Times New Roman" w:hAnsi="Times New Roman"/>
          <w:szCs w:val="24"/>
          <w:lang w:val="hr-HR"/>
        </w:rPr>
        <w:t xml:space="preserve"> </w:t>
      </w:r>
      <w:r>
        <w:rPr>
          <w:rFonts w:ascii="Times New Roman" w:hAnsi="Times New Roman"/>
          <w:szCs w:val="24"/>
          <w:lang w:val="hr-HR"/>
        </w:rPr>
        <w:t>органа</w:t>
      </w:r>
      <w:r w:rsidR="00EA1BED" w:rsidRPr="00295637">
        <w:rPr>
          <w:rFonts w:ascii="Times New Roman" w:hAnsi="Times New Roman"/>
          <w:szCs w:val="24"/>
          <w:lang w:val="hr-HR"/>
        </w:rPr>
        <w:t xml:space="preserve"> </w:t>
      </w:r>
      <w:r>
        <w:rPr>
          <w:rFonts w:ascii="Times New Roman" w:hAnsi="Times New Roman"/>
          <w:szCs w:val="24"/>
          <w:lang w:val="hr-HR"/>
        </w:rPr>
        <w:t>и</w:t>
      </w:r>
      <w:r w:rsidR="00EA1BED" w:rsidRPr="00295637">
        <w:rPr>
          <w:rFonts w:ascii="Times New Roman" w:hAnsi="Times New Roman"/>
          <w:szCs w:val="24"/>
          <w:lang w:val="hr-HR"/>
        </w:rPr>
        <w:t xml:space="preserve"> </w:t>
      </w:r>
      <w:r>
        <w:rPr>
          <w:rFonts w:ascii="Times New Roman" w:hAnsi="Times New Roman"/>
          <w:szCs w:val="24"/>
          <w:lang w:val="hr-HR"/>
        </w:rPr>
        <w:t>правосуђа</w:t>
      </w:r>
      <w:r w:rsidR="00EA1BED" w:rsidRPr="00295637">
        <w:rPr>
          <w:rFonts w:ascii="Times New Roman" w:hAnsi="Times New Roman"/>
          <w:szCs w:val="24"/>
          <w:lang w:val="hr-HR"/>
        </w:rPr>
        <w:t xml:space="preserve"> </w:t>
      </w:r>
      <w:r>
        <w:rPr>
          <w:rFonts w:ascii="Times New Roman" w:hAnsi="Times New Roman"/>
          <w:szCs w:val="24"/>
          <w:lang w:val="hr-HR"/>
        </w:rPr>
        <w:t>у</w:t>
      </w:r>
      <w:r w:rsidR="00EA1BED" w:rsidRPr="00295637">
        <w:rPr>
          <w:rFonts w:ascii="Times New Roman" w:hAnsi="Times New Roman"/>
          <w:szCs w:val="24"/>
          <w:lang w:val="hr-HR"/>
        </w:rPr>
        <w:t xml:space="preserve"> </w:t>
      </w:r>
      <w:r>
        <w:rPr>
          <w:rFonts w:ascii="Times New Roman" w:hAnsi="Times New Roman"/>
          <w:szCs w:val="24"/>
          <w:lang w:val="hr-HR"/>
        </w:rPr>
        <w:t>предметима</w:t>
      </w:r>
      <w:r w:rsidR="00EA1BED" w:rsidRPr="00295637">
        <w:rPr>
          <w:rFonts w:ascii="Times New Roman" w:hAnsi="Times New Roman"/>
          <w:szCs w:val="24"/>
          <w:lang w:val="hr-HR"/>
        </w:rPr>
        <w:t xml:space="preserve"> </w:t>
      </w:r>
      <w:r>
        <w:rPr>
          <w:rFonts w:ascii="Times New Roman" w:hAnsi="Times New Roman"/>
          <w:szCs w:val="24"/>
          <w:lang w:val="hr-HR"/>
        </w:rPr>
        <w:t>насиља</w:t>
      </w:r>
      <w:r w:rsidR="00EA1BED" w:rsidRPr="00295637">
        <w:rPr>
          <w:rFonts w:ascii="Times New Roman" w:hAnsi="Times New Roman"/>
          <w:szCs w:val="24"/>
          <w:lang w:val="hr-HR"/>
        </w:rPr>
        <w:t xml:space="preserve"> </w:t>
      </w:r>
      <w:r>
        <w:rPr>
          <w:rFonts w:ascii="Times New Roman" w:hAnsi="Times New Roman"/>
          <w:szCs w:val="24"/>
          <w:lang w:val="hr-HR"/>
        </w:rPr>
        <w:t>над</w:t>
      </w:r>
      <w:r w:rsidR="00EA1BED" w:rsidRPr="00295637">
        <w:rPr>
          <w:rFonts w:ascii="Times New Roman" w:hAnsi="Times New Roman"/>
          <w:szCs w:val="24"/>
          <w:lang w:val="hr-HR"/>
        </w:rPr>
        <w:t xml:space="preserve"> </w:t>
      </w:r>
      <w:r>
        <w:rPr>
          <w:rFonts w:ascii="Times New Roman" w:hAnsi="Times New Roman"/>
          <w:szCs w:val="24"/>
          <w:lang w:val="hr-HR"/>
        </w:rPr>
        <w:t>женама</w:t>
      </w:r>
      <w:r w:rsidR="00780ABC" w:rsidRPr="00295637">
        <w:t>.</w:t>
      </w:r>
    </w:p>
    <w:p w:rsidR="00CF2CED" w:rsidRPr="00295637" w:rsidRDefault="00CF2CED" w:rsidP="0086268D">
      <w:pPr>
        <w:tabs>
          <w:tab w:val="center" w:pos="4703"/>
          <w:tab w:val="right" w:pos="9406"/>
        </w:tabs>
        <w:jc w:val="both"/>
      </w:pPr>
    </w:p>
    <w:p w:rsidR="008D24A7" w:rsidRPr="00295637" w:rsidRDefault="00C6214E" w:rsidP="0086268D">
      <w:pPr>
        <w:tabs>
          <w:tab w:val="center" w:pos="4703"/>
          <w:tab w:val="right" w:pos="9406"/>
        </w:tabs>
        <w:jc w:val="both"/>
        <w:rPr>
          <w:rFonts w:ascii="Times New Roman" w:hAnsi="Times New Roman"/>
          <w:szCs w:val="24"/>
          <w:lang w:val="bs-Latn-BA"/>
        </w:rPr>
      </w:pP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извјештајном</w:t>
      </w:r>
      <w:r w:rsidR="008D24A7" w:rsidRPr="00295637">
        <w:rPr>
          <w:rFonts w:ascii="Times New Roman" w:hAnsi="Times New Roman"/>
          <w:szCs w:val="24"/>
          <w:lang w:val="bs-Latn-BA"/>
        </w:rPr>
        <w:t xml:space="preserve"> </w:t>
      </w:r>
      <w:r>
        <w:rPr>
          <w:rFonts w:ascii="Times New Roman" w:hAnsi="Times New Roman"/>
          <w:szCs w:val="24"/>
          <w:lang w:val="bs-Latn-BA"/>
        </w:rPr>
        <w:t>периоду</w:t>
      </w:r>
      <w:r w:rsidR="00B5593C" w:rsidRPr="00295637">
        <w:rPr>
          <w:rFonts w:ascii="Times New Roman" w:hAnsi="Times New Roman"/>
          <w:szCs w:val="24"/>
          <w:lang w:val="bs-Latn-BA"/>
        </w:rPr>
        <w:t>,</w:t>
      </w:r>
      <w:r w:rsidR="008D24A7" w:rsidRPr="00295637">
        <w:rPr>
          <w:rFonts w:ascii="Times New Roman" w:hAnsi="Times New Roman"/>
          <w:szCs w:val="24"/>
          <w:lang w:val="bs-Latn-BA"/>
        </w:rPr>
        <w:t xml:space="preserve"> </w:t>
      </w:r>
      <w:r>
        <w:rPr>
          <w:rFonts w:ascii="Times New Roman" w:hAnsi="Times New Roman"/>
          <w:szCs w:val="24"/>
          <w:lang w:val="bs-Latn-BA"/>
        </w:rPr>
        <w:t>АДС</w:t>
      </w:r>
      <w:r w:rsidR="006B203E">
        <w:rPr>
          <w:rFonts w:ascii="Times New Roman" w:hAnsi="Times New Roman"/>
          <w:szCs w:val="24"/>
          <w:lang w:val="bs-Latn-BA"/>
        </w:rPr>
        <w:t xml:space="preserve"> </w:t>
      </w:r>
      <w:r>
        <w:rPr>
          <w:rFonts w:ascii="Times New Roman" w:hAnsi="Times New Roman"/>
          <w:szCs w:val="24"/>
          <w:lang w:val="bs-Latn-BA"/>
        </w:rPr>
        <w:t>БиХ</w:t>
      </w:r>
      <w:r w:rsidR="008D24A7" w:rsidRPr="00295637">
        <w:rPr>
          <w:rFonts w:ascii="Times New Roman" w:hAnsi="Times New Roman"/>
          <w:szCs w:val="24"/>
          <w:lang w:val="bs-Latn-BA"/>
        </w:rPr>
        <w:t xml:space="preserve"> </w:t>
      </w:r>
      <w:r w:rsidR="00A65D3C">
        <w:rPr>
          <w:rFonts w:ascii="Times New Roman" w:hAnsi="Times New Roman"/>
          <w:szCs w:val="24"/>
          <w:lang w:val="bs-Latn-BA"/>
        </w:rPr>
        <w:t xml:space="preserve">је </w:t>
      </w:r>
      <w:r>
        <w:rPr>
          <w:rFonts w:ascii="Times New Roman" w:hAnsi="Times New Roman"/>
          <w:szCs w:val="24"/>
          <w:lang w:val="bs-Latn-BA"/>
        </w:rPr>
        <w:t>провела</w:t>
      </w:r>
      <w:r w:rsidR="008D24A7" w:rsidRPr="00295637">
        <w:rPr>
          <w:rFonts w:ascii="Times New Roman" w:hAnsi="Times New Roman"/>
          <w:szCs w:val="24"/>
          <w:lang w:val="bs-Latn-BA"/>
        </w:rPr>
        <w:t xml:space="preserve"> </w:t>
      </w:r>
      <w:r>
        <w:rPr>
          <w:rFonts w:ascii="Times New Roman" w:hAnsi="Times New Roman"/>
          <w:szCs w:val="24"/>
          <w:lang w:val="bs-Latn-BA"/>
        </w:rPr>
        <w:t>обуку</w:t>
      </w:r>
      <w:r w:rsidR="008D24A7" w:rsidRPr="00295637">
        <w:rPr>
          <w:rFonts w:ascii="Times New Roman" w:hAnsi="Times New Roman"/>
          <w:szCs w:val="24"/>
          <w:lang w:val="bs-Latn-BA"/>
        </w:rPr>
        <w:t xml:space="preserve"> </w:t>
      </w:r>
      <w:r>
        <w:rPr>
          <w:rFonts w:ascii="Times New Roman" w:hAnsi="Times New Roman"/>
          <w:szCs w:val="24"/>
          <w:lang w:val="bs-Latn-BA"/>
        </w:rPr>
        <w:t>на</w:t>
      </w:r>
      <w:r w:rsidR="008D24A7" w:rsidRPr="00295637">
        <w:rPr>
          <w:rFonts w:ascii="Times New Roman" w:hAnsi="Times New Roman"/>
          <w:szCs w:val="24"/>
          <w:lang w:val="bs-Latn-BA"/>
        </w:rPr>
        <w:t xml:space="preserve"> </w:t>
      </w:r>
      <w:r>
        <w:rPr>
          <w:rFonts w:ascii="Times New Roman" w:hAnsi="Times New Roman"/>
          <w:szCs w:val="24"/>
          <w:lang w:val="bs-Latn-BA"/>
        </w:rPr>
        <w:t>тему</w:t>
      </w:r>
      <w:r w:rsidR="008D24A7" w:rsidRPr="00295637">
        <w:rPr>
          <w:rFonts w:ascii="Times New Roman" w:hAnsi="Times New Roman"/>
          <w:szCs w:val="24"/>
          <w:lang w:val="bs-Latn-BA"/>
        </w:rPr>
        <w:t xml:space="preserve"> „</w:t>
      </w:r>
      <w:r>
        <w:rPr>
          <w:rFonts w:ascii="Times New Roman" w:hAnsi="Times New Roman"/>
          <w:szCs w:val="24"/>
          <w:lang w:val="bs-Latn-BA"/>
        </w:rPr>
        <w:t>Препознавање</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над</w:t>
      </w:r>
      <w:r w:rsidR="008D24A7" w:rsidRPr="00295637">
        <w:rPr>
          <w:rFonts w:ascii="Times New Roman" w:hAnsi="Times New Roman"/>
          <w:szCs w:val="24"/>
          <w:lang w:val="bs-Latn-BA"/>
        </w:rPr>
        <w:t xml:space="preserve"> </w:t>
      </w:r>
      <w:r>
        <w:rPr>
          <w:rFonts w:ascii="Times New Roman" w:hAnsi="Times New Roman"/>
          <w:szCs w:val="24"/>
          <w:lang w:val="bs-Latn-BA"/>
        </w:rPr>
        <w:t>женама</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породици</w:t>
      </w:r>
      <w:r w:rsidR="00815DF9">
        <w:rPr>
          <w:rFonts w:ascii="Times New Roman" w:hAnsi="Times New Roman"/>
          <w:szCs w:val="24"/>
          <w:lang w:val="bs-Latn-BA"/>
        </w:rPr>
        <w:t xml:space="preserve"> </w:t>
      </w:r>
      <w:r>
        <w:rPr>
          <w:rFonts w:ascii="Times New Roman" w:hAnsi="Times New Roman"/>
          <w:szCs w:val="24"/>
          <w:lang w:val="bs-Latn-BA"/>
        </w:rPr>
        <w:t>и</w:t>
      </w:r>
      <w:r w:rsidR="00815DF9">
        <w:rPr>
          <w:rFonts w:ascii="Times New Roman" w:hAnsi="Times New Roman"/>
          <w:szCs w:val="24"/>
          <w:lang w:val="bs-Latn-BA"/>
        </w:rPr>
        <w:t xml:space="preserve"> </w:t>
      </w:r>
      <w:r>
        <w:rPr>
          <w:rFonts w:ascii="Times New Roman" w:hAnsi="Times New Roman"/>
          <w:szCs w:val="24"/>
          <w:lang w:val="bs-Latn-BA"/>
        </w:rPr>
        <w:t>обавеза</w:t>
      </w:r>
      <w:r w:rsidR="008D24A7" w:rsidRPr="00295637">
        <w:rPr>
          <w:rFonts w:ascii="Times New Roman" w:hAnsi="Times New Roman"/>
          <w:szCs w:val="24"/>
          <w:lang w:val="bs-Latn-BA"/>
        </w:rPr>
        <w:t xml:space="preserve"> </w:t>
      </w:r>
      <w:r>
        <w:rPr>
          <w:rFonts w:ascii="Times New Roman" w:hAnsi="Times New Roman"/>
          <w:szCs w:val="24"/>
          <w:lang w:val="bs-Latn-BA"/>
        </w:rPr>
        <w:t>пријављивања</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а</w:t>
      </w:r>
      <w:r w:rsidR="00B5593C" w:rsidRPr="00295637">
        <w:rPr>
          <w:rFonts w:ascii="Times New Roman" w:hAnsi="Times New Roman"/>
          <w:szCs w:val="24"/>
          <w:lang w:val="bs-Latn-BA"/>
        </w:rPr>
        <w:t xml:space="preserve"> </w:t>
      </w:r>
      <w:r>
        <w:rPr>
          <w:rFonts w:ascii="Times New Roman" w:hAnsi="Times New Roman"/>
          <w:szCs w:val="24"/>
          <w:lang w:val="bs-Latn-BA"/>
        </w:rPr>
        <w:t>учествовало</w:t>
      </w:r>
      <w:r w:rsidR="00B5593C" w:rsidRPr="00295637">
        <w:rPr>
          <w:rFonts w:ascii="Times New Roman" w:hAnsi="Times New Roman"/>
          <w:szCs w:val="24"/>
          <w:lang w:val="bs-Latn-BA"/>
        </w:rPr>
        <w:t xml:space="preserve"> </w:t>
      </w:r>
      <w:r>
        <w:rPr>
          <w:rFonts w:ascii="Times New Roman" w:hAnsi="Times New Roman"/>
          <w:szCs w:val="24"/>
          <w:lang w:val="bs-Latn-BA"/>
        </w:rPr>
        <w:t>је</w:t>
      </w:r>
      <w:r w:rsidR="00B5593C" w:rsidRPr="00295637">
        <w:rPr>
          <w:rFonts w:ascii="Times New Roman" w:hAnsi="Times New Roman"/>
          <w:szCs w:val="24"/>
          <w:lang w:val="bs-Latn-BA"/>
        </w:rPr>
        <w:t xml:space="preserve"> 16 </w:t>
      </w:r>
      <w:r>
        <w:rPr>
          <w:rFonts w:ascii="Times New Roman" w:hAnsi="Times New Roman"/>
          <w:szCs w:val="24"/>
          <w:lang w:val="bs-Latn-BA"/>
        </w:rPr>
        <w:t>полазника</w:t>
      </w:r>
      <w:r w:rsidR="00B5593C" w:rsidRPr="00295637">
        <w:rPr>
          <w:rFonts w:ascii="Times New Roman" w:hAnsi="Times New Roman"/>
          <w:szCs w:val="24"/>
          <w:lang w:val="bs-Latn-BA"/>
        </w:rPr>
        <w:t>/</w:t>
      </w:r>
      <w:r>
        <w:rPr>
          <w:rFonts w:ascii="Times New Roman" w:hAnsi="Times New Roman"/>
          <w:szCs w:val="24"/>
          <w:lang w:val="bs-Latn-BA"/>
        </w:rPr>
        <w:t>ца</w:t>
      </w:r>
      <w:r w:rsidR="008D24A7" w:rsidRPr="00295637">
        <w:rPr>
          <w:rFonts w:ascii="Times New Roman" w:hAnsi="Times New Roman"/>
          <w:szCs w:val="24"/>
          <w:lang w:val="bs-Latn-BA"/>
        </w:rPr>
        <w:t xml:space="preserve">. </w:t>
      </w:r>
      <w:r>
        <w:rPr>
          <w:rFonts w:ascii="Times New Roman" w:hAnsi="Times New Roman"/>
          <w:szCs w:val="24"/>
          <w:lang w:val="bs-Latn-BA"/>
        </w:rPr>
        <w:t>Поменуту</w:t>
      </w:r>
      <w:r w:rsidR="006E51B7">
        <w:rPr>
          <w:rFonts w:ascii="Times New Roman" w:hAnsi="Times New Roman"/>
          <w:szCs w:val="24"/>
          <w:lang w:val="bs-Latn-BA"/>
        </w:rPr>
        <w:t xml:space="preserve"> </w:t>
      </w:r>
      <w:r>
        <w:rPr>
          <w:rFonts w:ascii="Times New Roman" w:hAnsi="Times New Roman"/>
          <w:szCs w:val="24"/>
          <w:lang w:val="bs-Latn-BA"/>
        </w:rPr>
        <w:t>обуку</w:t>
      </w:r>
      <w:r w:rsidR="006B203E">
        <w:rPr>
          <w:rFonts w:ascii="Times New Roman" w:hAnsi="Times New Roman"/>
          <w:szCs w:val="24"/>
          <w:lang w:val="bs-Latn-BA"/>
        </w:rPr>
        <w:t xml:space="preserve"> </w:t>
      </w:r>
      <w:r>
        <w:rPr>
          <w:rFonts w:ascii="Times New Roman" w:hAnsi="Times New Roman"/>
          <w:szCs w:val="24"/>
          <w:lang w:val="bs-Latn-BA"/>
        </w:rPr>
        <w:t>одржала</w:t>
      </w:r>
      <w:r w:rsidR="00815DF9">
        <w:rPr>
          <w:rFonts w:ascii="Times New Roman" w:hAnsi="Times New Roman"/>
          <w:szCs w:val="24"/>
          <w:lang w:val="bs-Latn-BA"/>
        </w:rPr>
        <w:t xml:space="preserve"> </w:t>
      </w:r>
      <w:r>
        <w:rPr>
          <w:rFonts w:ascii="Times New Roman" w:hAnsi="Times New Roman"/>
          <w:szCs w:val="24"/>
          <w:lang w:val="bs-Latn-BA"/>
        </w:rPr>
        <w:t>је</w:t>
      </w:r>
      <w:r w:rsidR="004B54B0">
        <w:rPr>
          <w:rFonts w:ascii="Times New Roman" w:hAnsi="Times New Roman"/>
          <w:szCs w:val="24"/>
          <w:lang w:val="bs-Latn-BA"/>
        </w:rPr>
        <w:t xml:space="preserve"> </w:t>
      </w:r>
      <w:r>
        <w:rPr>
          <w:rFonts w:ascii="Times New Roman" w:hAnsi="Times New Roman"/>
          <w:szCs w:val="24"/>
          <w:lang w:val="bs-Latn-BA"/>
        </w:rPr>
        <w:t>АР</w:t>
      </w:r>
      <w:r w:rsidR="00A65D3C">
        <w:rPr>
          <w:rFonts w:ascii="Times New Roman" w:hAnsi="Times New Roman"/>
          <w:szCs w:val="24"/>
          <w:lang w:val="sr-Cyrl-BA"/>
        </w:rPr>
        <w:t>П</w:t>
      </w:r>
      <w:r w:rsidR="00815DF9">
        <w:rPr>
          <w:rFonts w:ascii="Times New Roman" w:hAnsi="Times New Roman"/>
          <w:szCs w:val="24"/>
          <w:lang w:val="bs-Latn-BA"/>
        </w:rPr>
        <w:t xml:space="preserve"> </w:t>
      </w:r>
      <w:r>
        <w:rPr>
          <w:rFonts w:ascii="Times New Roman" w:hAnsi="Times New Roman"/>
          <w:szCs w:val="24"/>
          <w:lang w:val="bs-Latn-BA"/>
        </w:rPr>
        <w:t>БиХ</w:t>
      </w:r>
      <w:r w:rsidR="00815DF9">
        <w:rPr>
          <w:rFonts w:ascii="Times New Roman" w:hAnsi="Times New Roman"/>
          <w:szCs w:val="24"/>
          <w:lang w:val="bs-Latn-BA"/>
        </w:rPr>
        <w:t xml:space="preserve"> </w:t>
      </w:r>
      <w:r>
        <w:rPr>
          <w:rFonts w:ascii="Times New Roman" w:hAnsi="Times New Roman"/>
          <w:szCs w:val="24"/>
          <w:lang w:val="bs-Latn-BA"/>
        </w:rPr>
        <w:t>МЉПИ</w:t>
      </w:r>
      <w:r w:rsidR="00815DF9">
        <w:rPr>
          <w:rFonts w:ascii="Times New Roman" w:hAnsi="Times New Roman"/>
          <w:szCs w:val="24"/>
          <w:lang w:val="bs-Latn-BA"/>
        </w:rPr>
        <w:t xml:space="preserve"> </w:t>
      </w:r>
      <w:r>
        <w:rPr>
          <w:rFonts w:ascii="Times New Roman" w:hAnsi="Times New Roman"/>
          <w:szCs w:val="24"/>
          <w:lang w:val="bs-Latn-BA"/>
        </w:rPr>
        <w:t>БиХ</w:t>
      </w:r>
      <w:r w:rsidR="006B203E">
        <w:rPr>
          <w:rFonts w:ascii="Times New Roman" w:hAnsi="Times New Roman"/>
          <w:szCs w:val="24"/>
          <w:lang w:val="bs-Latn-BA"/>
        </w:rPr>
        <w:t xml:space="preserve">. </w:t>
      </w:r>
      <w:r>
        <w:rPr>
          <w:rFonts w:ascii="Times New Roman" w:hAnsi="Times New Roman"/>
          <w:szCs w:val="24"/>
          <w:lang w:val="bs-Latn-BA"/>
        </w:rPr>
        <w:t>Обука</w:t>
      </w:r>
      <w:r w:rsidR="008D24A7" w:rsidRPr="00295637">
        <w:rPr>
          <w:rFonts w:ascii="Times New Roman" w:hAnsi="Times New Roman"/>
          <w:szCs w:val="24"/>
          <w:lang w:val="bs-Latn-BA"/>
        </w:rPr>
        <w:t xml:space="preserve"> </w:t>
      </w:r>
      <w:r>
        <w:rPr>
          <w:rFonts w:ascii="Times New Roman" w:hAnsi="Times New Roman"/>
          <w:szCs w:val="24"/>
          <w:lang w:val="bs-Latn-BA"/>
        </w:rPr>
        <w:t>је</w:t>
      </w:r>
      <w:r w:rsidR="008D24A7" w:rsidRPr="00295637">
        <w:rPr>
          <w:rFonts w:ascii="Times New Roman" w:hAnsi="Times New Roman"/>
          <w:szCs w:val="24"/>
          <w:lang w:val="bs-Latn-BA"/>
        </w:rPr>
        <w:t xml:space="preserve"> </w:t>
      </w:r>
      <w:r>
        <w:rPr>
          <w:rFonts w:ascii="Times New Roman" w:hAnsi="Times New Roman"/>
          <w:szCs w:val="24"/>
          <w:lang w:val="bs-Latn-BA"/>
        </w:rPr>
        <w:t>уврштена</w:t>
      </w:r>
      <w:r w:rsidR="008D24A7" w:rsidRPr="00295637">
        <w:rPr>
          <w:rFonts w:ascii="Times New Roman" w:hAnsi="Times New Roman"/>
          <w:szCs w:val="24"/>
          <w:lang w:val="bs-Latn-BA"/>
        </w:rPr>
        <w:t xml:space="preserve"> </w:t>
      </w:r>
      <w:r>
        <w:rPr>
          <w:rFonts w:ascii="Times New Roman" w:hAnsi="Times New Roman"/>
          <w:szCs w:val="24"/>
          <w:lang w:val="bs-Latn-BA"/>
        </w:rPr>
        <w:t>и</w:t>
      </w:r>
      <w:r w:rsidR="00B5593C"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Приједлог</w:t>
      </w:r>
      <w:r w:rsidR="008D24A7" w:rsidRPr="00295637">
        <w:rPr>
          <w:rFonts w:ascii="Times New Roman" w:hAnsi="Times New Roman"/>
          <w:szCs w:val="24"/>
          <w:lang w:val="bs-Latn-BA"/>
        </w:rPr>
        <w:t xml:space="preserve"> </w:t>
      </w:r>
      <w:r>
        <w:rPr>
          <w:rFonts w:ascii="Times New Roman" w:hAnsi="Times New Roman"/>
          <w:szCs w:val="24"/>
          <w:lang w:val="bs-Latn-BA"/>
        </w:rPr>
        <w:t>плана</w:t>
      </w:r>
      <w:r w:rsidR="008D24A7" w:rsidRPr="00295637">
        <w:rPr>
          <w:rFonts w:ascii="Times New Roman" w:hAnsi="Times New Roman"/>
          <w:szCs w:val="24"/>
          <w:lang w:val="bs-Latn-BA"/>
        </w:rPr>
        <w:t xml:space="preserve"> </w:t>
      </w:r>
      <w:r>
        <w:rPr>
          <w:rFonts w:ascii="Times New Roman" w:hAnsi="Times New Roman"/>
          <w:szCs w:val="24"/>
          <w:lang w:val="bs-Latn-BA"/>
        </w:rPr>
        <w:t>обука</w:t>
      </w:r>
      <w:r w:rsidR="008D24A7" w:rsidRPr="00295637">
        <w:rPr>
          <w:rFonts w:ascii="Times New Roman" w:hAnsi="Times New Roman"/>
          <w:szCs w:val="24"/>
          <w:lang w:val="bs-Latn-BA"/>
        </w:rPr>
        <w:t xml:space="preserve"> </w:t>
      </w:r>
      <w:r>
        <w:rPr>
          <w:rFonts w:ascii="Times New Roman" w:hAnsi="Times New Roman"/>
          <w:szCs w:val="24"/>
          <w:lang w:val="bs-Latn-BA"/>
        </w:rPr>
        <w:t>АДС</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9E54A2" w:rsidRPr="00295637">
        <w:rPr>
          <w:rFonts w:ascii="Times New Roman" w:hAnsi="Times New Roman"/>
          <w:szCs w:val="24"/>
          <w:lang w:val="bs-Latn-BA"/>
        </w:rPr>
        <w:t xml:space="preserve"> </w:t>
      </w:r>
      <w:r>
        <w:rPr>
          <w:rFonts w:ascii="Times New Roman" w:hAnsi="Times New Roman"/>
          <w:szCs w:val="24"/>
          <w:lang w:val="bs-Latn-BA"/>
        </w:rPr>
        <w:t>за</w:t>
      </w:r>
      <w:r w:rsidR="008D24A7" w:rsidRPr="00295637">
        <w:rPr>
          <w:rFonts w:ascii="Times New Roman" w:hAnsi="Times New Roman"/>
          <w:szCs w:val="24"/>
          <w:lang w:val="bs-Latn-BA"/>
        </w:rPr>
        <w:t xml:space="preserve"> 2025. </w:t>
      </w:r>
      <w:r>
        <w:rPr>
          <w:rFonts w:ascii="Times New Roman" w:hAnsi="Times New Roman"/>
          <w:szCs w:val="24"/>
          <w:lang w:val="bs-Latn-BA"/>
        </w:rPr>
        <w:t>годину</w:t>
      </w:r>
      <w:r w:rsidR="008D24A7" w:rsidRPr="00295637">
        <w:rPr>
          <w:rFonts w:ascii="Times New Roman" w:hAnsi="Times New Roman"/>
          <w:szCs w:val="24"/>
          <w:lang w:val="bs-Latn-BA"/>
        </w:rPr>
        <w:t xml:space="preserve">. </w:t>
      </w:r>
      <w:r w:rsidR="00A65D3C">
        <w:rPr>
          <w:rFonts w:ascii="Times New Roman" w:hAnsi="Times New Roman"/>
          <w:szCs w:val="24"/>
          <w:lang w:val="bs-Latn-BA"/>
        </w:rPr>
        <w:t>Такође</w:t>
      </w:r>
      <w:r w:rsidR="00B5593C" w:rsidRPr="00295637">
        <w:rPr>
          <w:rFonts w:ascii="Times New Roman" w:hAnsi="Times New Roman"/>
          <w:szCs w:val="24"/>
          <w:lang w:val="bs-Latn-BA"/>
        </w:rPr>
        <w:t xml:space="preserve">, </w:t>
      </w:r>
      <w:r>
        <w:rPr>
          <w:rFonts w:ascii="Times New Roman" w:hAnsi="Times New Roman"/>
          <w:szCs w:val="24"/>
          <w:lang w:val="bs-Latn-BA"/>
        </w:rPr>
        <w:t>АДС</w:t>
      </w:r>
      <w:r w:rsidR="006E51B7">
        <w:rPr>
          <w:rFonts w:ascii="Times New Roman" w:hAnsi="Times New Roman"/>
          <w:szCs w:val="24"/>
          <w:lang w:val="bs-Latn-BA"/>
        </w:rPr>
        <w:t xml:space="preserve"> </w:t>
      </w:r>
      <w:r>
        <w:rPr>
          <w:rFonts w:ascii="Times New Roman" w:hAnsi="Times New Roman"/>
          <w:szCs w:val="24"/>
          <w:lang w:val="bs-Latn-BA"/>
        </w:rPr>
        <w:t>БиХ</w:t>
      </w:r>
      <w:r w:rsidR="00815DF9">
        <w:rPr>
          <w:rFonts w:ascii="Times New Roman" w:hAnsi="Times New Roman"/>
          <w:szCs w:val="24"/>
          <w:lang w:val="bs-Latn-BA"/>
        </w:rPr>
        <w:t xml:space="preserve"> </w:t>
      </w:r>
      <w:r>
        <w:rPr>
          <w:rFonts w:ascii="Times New Roman" w:hAnsi="Times New Roman"/>
          <w:szCs w:val="24"/>
          <w:lang w:val="bs-Latn-BA"/>
        </w:rPr>
        <w:t>је</w:t>
      </w:r>
      <w:r w:rsidR="00815DF9">
        <w:rPr>
          <w:rFonts w:ascii="Times New Roman" w:hAnsi="Times New Roman"/>
          <w:szCs w:val="24"/>
          <w:lang w:val="bs-Latn-BA"/>
        </w:rPr>
        <w:t xml:space="preserve"> </w:t>
      </w:r>
      <w:r>
        <w:rPr>
          <w:rFonts w:ascii="Times New Roman" w:hAnsi="Times New Roman"/>
          <w:szCs w:val="24"/>
          <w:lang w:val="bs-Latn-BA"/>
        </w:rPr>
        <w:t>у</w:t>
      </w:r>
      <w:r w:rsidR="00815DF9">
        <w:rPr>
          <w:rFonts w:ascii="Times New Roman" w:hAnsi="Times New Roman"/>
          <w:szCs w:val="24"/>
          <w:lang w:val="bs-Latn-BA"/>
        </w:rPr>
        <w:t xml:space="preserve"> </w:t>
      </w:r>
      <w:r>
        <w:rPr>
          <w:rFonts w:ascii="Times New Roman" w:hAnsi="Times New Roman"/>
          <w:szCs w:val="24"/>
          <w:lang w:val="bs-Latn-BA"/>
        </w:rPr>
        <w:t>обавезујућу</w:t>
      </w:r>
      <w:r w:rsidR="008D24A7" w:rsidRPr="00295637">
        <w:rPr>
          <w:rFonts w:ascii="Times New Roman" w:hAnsi="Times New Roman"/>
          <w:szCs w:val="24"/>
          <w:lang w:val="bs-Latn-BA"/>
        </w:rPr>
        <w:t xml:space="preserve"> </w:t>
      </w:r>
      <w:r>
        <w:rPr>
          <w:rFonts w:ascii="Times New Roman" w:hAnsi="Times New Roman"/>
          <w:szCs w:val="24"/>
          <w:lang w:val="bs-Latn-BA"/>
        </w:rPr>
        <w:t>Обуку</w:t>
      </w:r>
      <w:r w:rsidR="008D24A7" w:rsidRPr="00295637">
        <w:rPr>
          <w:rFonts w:ascii="Times New Roman" w:hAnsi="Times New Roman"/>
          <w:szCs w:val="24"/>
          <w:lang w:val="bs-Latn-BA"/>
        </w:rPr>
        <w:t xml:space="preserve"> </w:t>
      </w:r>
      <w:r>
        <w:rPr>
          <w:rFonts w:ascii="Times New Roman" w:hAnsi="Times New Roman"/>
          <w:szCs w:val="24"/>
          <w:lang w:val="bs-Latn-BA"/>
        </w:rPr>
        <w:t>за</w:t>
      </w:r>
      <w:r w:rsidR="008D24A7" w:rsidRPr="00295637">
        <w:rPr>
          <w:rFonts w:ascii="Times New Roman" w:hAnsi="Times New Roman"/>
          <w:szCs w:val="24"/>
          <w:lang w:val="bs-Latn-BA"/>
        </w:rPr>
        <w:t xml:space="preserve"> </w:t>
      </w:r>
      <w:r>
        <w:rPr>
          <w:rFonts w:ascii="Times New Roman" w:hAnsi="Times New Roman"/>
          <w:szCs w:val="24"/>
          <w:lang w:val="bs-Latn-BA"/>
        </w:rPr>
        <w:t>новозапослене</w:t>
      </w:r>
      <w:r w:rsidR="008D24A7" w:rsidRPr="00295637">
        <w:rPr>
          <w:rFonts w:ascii="Times New Roman" w:hAnsi="Times New Roman"/>
          <w:szCs w:val="24"/>
          <w:lang w:val="bs-Latn-BA"/>
        </w:rPr>
        <w:t xml:space="preserve"> </w:t>
      </w:r>
      <w:r>
        <w:rPr>
          <w:rFonts w:ascii="Times New Roman" w:hAnsi="Times New Roman"/>
          <w:szCs w:val="24"/>
          <w:lang w:val="bs-Latn-BA"/>
        </w:rPr>
        <w:t>државне</w:t>
      </w:r>
      <w:r w:rsidR="008D24A7" w:rsidRPr="00295637">
        <w:rPr>
          <w:rFonts w:ascii="Times New Roman" w:hAnsi="Times New Roman"/>
          <w:szCs w:val="24"/>
          <w:lang w:val="bs-Latn-BA"/>
        </w:rPr>
        <w:t xml:space="preserve"> </w:t>
      </w:r>
      <w:r>
        <w:rPr>
          <w:rFonts w:ascii="Times New Roman" w:hAnsi="Times New Roman"/>
          <w:szCs w:val="24"/>
          <w:lang w:val="bs-Latn-BA"/>
        </w:rPr>
        <w:t>службенике</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институцијама</w:t>
      </w:r>
      <w:r w:rsidR="008D24A7" w:rsidRPr="00295637">
        <w:rPr>
          <w:rFonts w:ascii="Times New Roman" w:hAnsi="Times New Roman"/>
          <w:szCs w:val="24"/>
          <w:lang w:val="bs-Latn-BA"/>
        </w:rPr>
        <w:t xml:space="preserve"> </w:t>
      </w:r>
      <w:r>
        <w:rPr>
          <w:rFonts w:ascii="Times New Roman" w:hAnsi="Times New Roman"/>
          <w:szCs w:val="24"/>
          <w:lang w:val="bs-Latn-BA"/>
        </w:rPr>
        <w:t>БиХ</w:t>
      </w:r>
      <w:r w:rsidR="008D24A7" w:rsidRPr="00295637">
        <w:rPr>
          <w:rFonts w:ascii="Times New Roman" w:hAnsi="Times New Roman"/>
          <w:szCs w:val="24"/>
          <w:lang w:val="bs-Latn-BA"/>
        </w:rPr>
        <w:t xml:space="preserve">, </w:t>
      </w:r>
      <w:r>
        <w:rPr>
          <w:rFonts w:ascii="Times New Roman" w:hAnsi="Times New Roman"/>
          <w:szCs w:val="24"/>
          <w:lang w:val="bs-Latn-BA"/>
        </w:rPr>
        <w:t>прописане</w:t>
      </w:r>
      <w:r w:rsidR="008D24A7" w:rsidRPr="00295637">
        <w:rPr>
          <w:rFonts w:ascii="Times New Roman" w:hAnsi="Times New Roman"/>
          <w:szCs w:val="24"/>
          <w:lang w:val="bs-Latn-BA"/>
        </w:rPr>
        <w:t xml:space="preserve"> </w:t>
      </w:r>
      <w:r>
        <w:rPr>
          <w:rFonts w:ascii="Times New Roman" w:hAnsi="Times New Roman"/>
          <w:szCs w:val="24"/>
          <w:lang w:val="bs-Latn-BA"/>
        </w:rPr>
        <w:t>Одлуком</w:t>
      </w:r>
      <w:r w:rsidR="008D24A7" w:rsidRPr="00295637">
        <w:rPr>
          <w:rFonts w:ascii="Times New Roman" w:hAnsi="Times New Roman"/>
          <w:szCs w:val="24"/>
          <w:lang w:val="bs-Latn-BA"/>
        </w:rPr>
        <w:t xml:space="preserve"> </w:t>
      </w:r>
      <w:r w:rsidR="00A65D3C">
        <w:rPr>
          <w:rFonts w:ascii="Times New Roman" w:hAnsi="Times New Roman"/>
          <w:szCs w:val="24"/>
          <w:lang w:val="sr-Cyrl-BA"/>
        </w:rPr>
        <w:t>Савјета</w:t>
      </w:r>
      <w:r w:rsidR="008D24A7" w:rsidRPr="00295637">
        <w:rPr>
          <w:rFonts w:ascii="Times New Roman" w:hAnsi="Times New Roman"/>
          <w:szCs w:val="24"/>
          <w:lang w:val="bs-Latn-BA"/>
        </w:rPr>
        <w:t xml:space="preserve"> </w:t>
      </w:r>
      <w:r>
        <w:rPr>
          <w:rFonts w:ascii="Times New Roman" w:hAnsi="Times New Roman"/>
          <w:szCs w:val="24"/>
          <w:lang w:val="bs-Latn-BA"/>
        </w:rPr>
        <w:t>министара</w:t>
      </w:r>
      <w:r w:rsidR="008D24A7" w:rsidRPr="00295637">
        <w:rPr>
          <w:rFonts w:ascii="Times New Roman" w:hAnsi="Times New Roman"/>
          <w:szCs w:val="24"/>
          <w:lang w:val="bs-Latn-BA"/>
        </w:rPr>
        <w:t xml:space="preserve"> </w:t>
      </w:r>
      <w:r>
        <w:rPr>
          <w:rFonts w:ascii="Times New Roman" w:hAnsi="Times New Roman"/>
          <w:szCs w:val="24"/>
          <w:lang w:val="bs-Latn-BA"/>
        </w:rPr>
        <w:t>БиХ</w:t>
      </w:r>
      <w:r w:rsidR="008D24A7" w:rsidRPr="00295637">
        <w:rPr>
          <w:rFonts w:ascii="Times New Roman" w:hAnsi="Times New Roman"/>
          <w:szCs w:val="24"/>
          <w:lang w:val="bs-Latn-BA"/>
        </w:rPr>
        <w:t xml:space="preserve">, </w:t>
      </w:r>
      <w:r>
        <w:rPr>
          <w:rFonts w:ascii="Times New Roman" w:hAnsi="Times New Roman"/>
          <w:szCs w:val="24"/>
          <w:lang w:val="bs-Latn-BA"/>
        </w:rPr>
        <w:t>уврстила</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модул</w:t>
      </w:r>
      <w:r w:rsidR="008D24A7" w:rsidRPr="00295637">
        <w:rPr>
          <w:rFonts w:ascii="Times New Roman" w:hAnsi="Times New Roman"/>
          <w:szCs w:val="24"/>
          <w:lang w:val="bs-Latn-BA"/>
        </w:rPr>
        <w:t xml:space="preserve"> „</w:t>
      </w:r>
      <w:r>
        <w:rPr>
          <w:rFonts w:ascii="Times New Roman" w:hAnsi="Times New Roman"/>
          <w:szCs w:val="24"/>
          <w:lang w:val="bs-Latn-BA"/>
        </w:rPr>
        <w:t>Укључивање</w:t>
      </w:r>
      <w:r w:rsidR="008D24A7" w:rsidRPr="00295637">
        <w:rPr>
          <w:rFonts w:ascii="Times New Roman" w:hAnsi="Times New Roman"/>
          <w:szCs w:val="24"/>
          <w:lang w:val="bs-Latn-BA"/>
        </w:rPr>
        <w:t xml:space="preserve"> </w:t>
      </w:r>
      <w:r>
        <w:rPr>
          <w:rFonts w:ascii="Times New Roman" w:hAnsi="Times New Roman"/>
          <w:szCs w:val="24"/>
          <w:lang w:val="bs-Latn-BA"/>
        </w:rPr>
        <w:t>принципа</w:t>
      </w:r>
      <w:r w:rsidR="008D24A7"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8D24A7" w:rsidRPr="00295637">
        <w:rPr>
          <w:rFonts w:ascii="Times New Roman" w:hAnsi="Times New Roman"/>
          <w:szCs w:val="24"/>
          <w:lang w:val="bs-Latn-BA"/>
        </w:rPr>
        <w:t xml:space="preserve"> </w:t>
      </w:r>
      <w:r>
        <w:rPr>
          <w:rFonts w:ascii="Times New Roman" w:hAnsi="Times New Roman"/>
          <w:szCs w:val="24"/>
          <w:lang w:val="bs-Latn-BA"/>
        </w:rPr>
        <w:t>полова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државној</w:t>
      </w:r>
      <w:r w:rsidR="008D24A7" w:rsidRPr="00295637">
        <w:rPr>
          <w:rFonts w:ascii="Times New Roman" w:hAnsi="Times New Roman"/>
          <w:szCs w:val="24"/>
          <w:lang w:val="bs-Latn-BA"/>
        </w:rPr>
        <w:t xml:space="preserve"> </w:t>
      </w:r>
      <w:r>
        <w:rPr>
          <w:rFonts w:ascii="Times New Roman" w:hAnsi="Times New Roman"/>
          <w:szCs w:val="24"/>
          <w:lang w:val="bs-Latn-BA"/>
        </w:rPr>
        <w:t>служби</w:t>
      </w:r>
      <w:r w:rsidR="008D24A7" w:rsidRPr="00295637">
        <w:rPr>
          <w:rFonts w:ascii="Times New Roman" w:hAnsi="Times New Roman"/>
          <w:szCs w:val="24"/>
          <w:lang w:val="bs-Latn-BA"/>
        </w:rPr>
        <w:t xml:space="preserve">“. </w:t>
      </w:r>
      <w:r>
        <w:rPr>
          <w:rFonts w:ascii="Times New Roman" w:hAnsi="Times New Roman"/>
          <w:szCs w:val="24"/>
          <w:lang w:val="bs-Latn-BA"/>
        </w:rPr>
        <w:t>На</w:t>
      </w:r>
      <w:r w:rsidR="008D24A7" w:rsidRPr="00295637">
        <w:rPr>
          <w:rFonts w:ascii="Times New Roman" w:hAnsi="Times New Roman"/>
          <w:szCs w:val="24"/>
          <w:lang w:val="bs-Latn-BA"/>
        </w:rPr>
        <w:t xml:space="preserve"> </w:t>
      </w:r>
      <w:r>
        <w:rPr>
          <w:rFonts w:ascii="Times New Roman" w:hAnsi="Times New Roman"/>
          <w:szCs w:val="24"/>
          <w:lang w:val="bs-Latn-BA"/>
        </w:rPr>
        <w:t>овај</w:t>
      </w:r>
      <w:r w:rsidR="008D24A7" w:rsidRPr="00295637">
        <w:rPr>
          <w:rFonts w:ascii="Times New Roman" w:hAnsi="Times New Roman"/>
          <w:szCs w:val="24"/>
          <w:lang w:val="bs-Latn-BA"/>
        </w:rPr>
        <w:t xml:space="preserve"> </w:t>
      </w:r>
      <w:r>
        <w:rPr>
          <w:rFonts w:ascii="Times New Roman" w:hAnsi="Times New Roman"/>
          <w:szCs w:val="24"/>
          <w:lang w:val="bs-Latn-BA"/>
        </w:rPr>
        <w:t>начин</w:t>
      </w:r>
      <w:r w:rsidR="008D24A7" w:rsidRPr="00295637">
        <w:rPr>
          <w:rFonts w:ascii="Times New Roman" w:hAnsi="Times New Roman"/>
          <w:szCs w:val="24"/>
          <w:lang w:val="bs-Latn-BA"/>
        </w:rPr>
        <w:t xml:space="preserve"> </w:t>
      </w:r>
      <w:r>
        <w:rPr>
          <w:rFonts w:ascii="Times New Roman" w:hAnsi="Times New Roman"/>
          <w:szCs w:val="24"/>
          <w:lang w:val="bs-Latn-BA"/>
        </w:rPr>
        <w:t>се</w:t>
      </w:r>
      <w:r w:rsidR="008D24A7" w:rsidRPr="00295637">
        <w:rPr>
          <w:rFonts w:ascii="Times New Roman" w:hAnsi="Times New Roman"/>
          <w:szCs w:val="24"/>
          <w:lang w:val="bs-Latn-BA"/>
        </w:rPr>
        <w:t xml:space="preserve"> </w:t>
      </w:r>
      <w:r>
        <w:rPr>
          <w:rFonts w:ascii="Times New Roman" w:hAnsi="Times New Roman"/>
          <w:szCs w:val="24"/>
          <w:lang w:val="bs-Latn-BA"/>
        </w:rPr>
        <w:t>сви</w:t>
      </w:r>
      <w:r w:rsidR="008D24A7" w:rsidRPr="00295637">
        <w:rPr>
          <w:rFonts w:ascii="Times New Roman" w:hAnsi="Times New Roman"/>
          <w:szCs w:val="24"/>
          <w:lang w:val="bs-Latn-BA"/>
        </w:rPr>
        <w:t xml:space="preserve"> </w:t>
      </w:r>
      <w:r>
        <w:rPr>
          <w:rFonts w:ascii="Times New Roman" w:hAnsi="Times New Roman"/>
          <w:szCs w:val="24"/>
          <w:lang w:val="bs-Latn-BA"/>
        </w:rPr>
        <w:t>новозапослени</w:t>
      </w:r>
      <w:r w:rsidR="008D24A7" w:rsidRPr="00295637">
        <w:rPr>
          <w:rFonts w:ascii="Times New Roman" w:hAnsi="Times New Roman"/>
          <w:szCs w:val="24"/>
          <w:lang w:val="bs-Latn-BA"/>
        </w:rPr>
        <w:t xml:space="preserve"> </w:t>
      </w:r>
      <w:r>
        <w:rPr>
          <w:rFonts w:ascii="Times New Roman" w:hAnsi="Times New Roman"/>
          <w:szCs w:val="24"/>
          <w:lang w:val="bs-Latn-BA"/>
        </w:rPr>
        <w:t>државни</w:t>
      </w:r>
      <w:r w:rsidR="008D24A7" w:rsidRPr="00295637">
        <w:rPr>
          <w:rFonts w:ascii="Times New Roman" w:hAnsi="Times New Roman"/>
          <w:szCs w:val="24"/>
          <w:lang w:val="bs-Latn-BA"/>
        </w:rPr>
        <w:t xml:space="preserve"> </w:t>
      </w:r>
      <w:r>
        <w:rPr>
          <w:rFonts w:ascii="Times New Roman" w:hAnsi="Times New Roman"/>
          <w:szCs w:val="24"/>
          <w:lang w:val="bs-Latn-BA"/>
        </w:rPr>
        <w:t>службеници</w:t>
      </w:r>
      <w:r w:rsidR="008D24A7" w:rsidRPr="00295637">
        <w:rPr>
          <w:rFonts w:ascii="Times New Roman" w:hAnsi="Times New Roman"/>
          <w:szCs w:val="24"/>
          <w:lang w:val="bs-Latn-BA"/>
        </w:rPr>
        <w:t xml:space="preserve"> </w:t>
      </w:r>
      <w:r>
        <w:rPr>
          <w:rFonts w:ascii="Times New Roman" w:hAnsi="Times New Roman"/>
          <w:szCs w:val="24"/>
          <w:lang w:val="bs-Latn-BA"/>
        </w:rPr>
        <w:t>упознају</w:t>
      </w:r>
      <w:r w:rsidR="008D24A7" w:rsidRPr="00295637">
        <w:rPr>
          <w:rFonts w:ascii="Times New Roman" w:hAnsi="Times New Roman"/>
          <w:szCs w:val="24"/>
          <w:lang w:val="bs-Latn-BA"/>
        </w:rPr>
        <w:t xml:space="preserve"> </w:t>
      </w:r>
      <w:r>
        <w:rPr>
          <w:rFonts w:ascii="Times New Roman" w:hAnsi="Times New Roman"/>
          <w:szCs w:val="24"/>
          <w:lang w:val="bs-Latn-BA"/>
        </w:rPr>
        <w:t>са</w:t>
      </w:r>
      <w:r w:rsidR="008D24A7" w:rsidRPr="00295637">
        <w:rPr>
          <w:rFonts w:ascii="Times New Roman" w:hAnsi="Times New Roman"/>
          <w:szCs w:val="24"/>
          <w:lang w:val="bs-Latn-BA"/>
        </w:rPr>
        <w:t xml:space="preserve"> </w:t>
      </w:r>
      <w:r>
        <w:rPr>
          <w:rFonts w:ascii="Times New Roman" w:hAnsi="Times New Roman"/>
          <w:szCs w:val="24"/>
          <w:lang w:val="bs-Latn-BA"/>
        </w:rPr>
        <w:t>свим</w:t>
      </w:r>
      <w:r w:rsidR="008D24A7" w:rsidRPr="00295637">
        <w:rPr>
          <w:rFonts w:ascii="Times New Roman" w:hAnsi="Times New Roman"/>
          <w:szCs w:val="24"/>
          <w:lang w:val="bs-Latn-BA"/>
        </w:rPr>
        <w:t xml:space="preserve"> </w:t>
      </w:r>
      <w:r>
        <w:rPr>
          <w:rFonts w:ascii="Times New Roman" w:hAnsi="Times New Roman"/>
          <w:szCs w:val="24"/>
          <w:lang w:val="bs-Latn-BA"/>
        </w:rPr>
        <w:t>битним</w:t>
      </w:r>
      <w:r w:rsidR="008D24A7" w:rsidRPr="00295637">
        <w:rPr>
          <w:rFonts w:ascii="Times New Roman" w:hAnsi="Times New Roman"/>
          <w:szCs w:val="24"/>
          <w:lang w:val="bs-Latn-BA"/>
        </w:rPr>
        <w:t xml:space="preserve"> </w:t>
      </w:r>
      <w:r>
        <w:rPr>
          <w:rFonts w:ascii="Times New Roman" w:hAnsi="Times New Roman"/>
          <w:szCs w:val="24"/>
          <w:lang w:val="bs-Latn-BA"/>
        </w:rPr>
        <w:t>сегментима</w:t>
      </w:r>
      <w:r w:rsidR="008D24A7" w:rsidRPr="00295637">
        <w:rPr>
          <w:rFonts w:ascii="Times New Roman" w:hAnsi="Times New Roman"/>
          <w:szCs w:val="24"/>
          <w:lang w:val="bs-Latn-BA"/>
        </w:rPr>
        <w:t xml:space="preserve"> </w:t>
      </w:r>
      <w:r>
        <w:rPr>
          <w:rFonts w:ascii="Times New Roman" w:hAnsi="Times New Roman"/>
          <w:szCs w:val="24"/>
          <w:lang w:val="bs-Latn-BA"/>
        </w:rPr>
        <w:t>ове</w:t>
      </w:r>
      <w:r w:rsidR="008D24A7" w:rsidRPr="00295637">
        <w:rPr>
          <w:rFonts w:ascii="Times New Roman" w:hAnsi="Times New Roman"/>
          <w:szCs w:val="24"/>
          <w:lang w:val="bs-Latn-BA"/>
        </w:rPr>
        <w:t xml:space="preserve"> </w:t>
      </w:r>
      <w:r>
        <w:rPr>
          <w:rFonts w:ascii="Times New Roman" w:hAnsi="Times New Roman"/>
          <w:szCs w:val="24"/>
          <w:lang w:val="bs-Latn-BA"/>
        </w:rPr>
        <w:t>области</w:t>
      </w:r>
      <w:r w:rsidR="008D24A7" w:rsidRPr="00295637">
        <w:rPr>
          <w:rFonts w:ascii="Times New Roman" w:hAnsi="Times New Roman"/>
          <w:szCs w:val="24"/>
          <w:lang w:val="bs-Latn-BA"/>
        </w:rPr>
        <w:t xml:space="preserve"> (</w:t>
      </w:r>
      <w:r>
        <w:rPr>
          <w:rFonts w:ascii="Times New Roman" w:hAnsi="Times New Roman"/>
          <w:szCs w:val="24"/>
          <w:lang w:val="bs-Latn-BA"/>
        </w:rPr>
        <w:t>домаћи</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међународни</w:t>
      </w:r>
      <w:r w:rsidR="008D24A7" w:rsidRPr="00295637">
        <w:rPr>
          <w:rFonts w:ascii="Times New Roman" w:hAnsi="Times New Roman"/>
          <w:szCs w:val="24"/>
          <w:lang w:val="bs-Latn-BA"/>
        </w:rPr>
        <w:t xml:space="preserve"> </w:t>
      </w:r>
      <w:r>
        <w:rPr>
          <w:rFonts w:ascii="Times New Roman" w:hAnsi="Times New Roman"/>
          <w:szCs w:val="24"/>
          <w:lang w:val="bs-Latn-BA"/>
        </w:rPr>
        <w:t>прописи</w:t>
      </w:r>
      <w:r w:rsidR="008D24A7" w:rsidRPr="00295637">
        <w:rPr>
          <w:rFonts w:ascii="Times New Roman" w:hAnsi="Times New Roman"/>
          <w:szCs w:val="24"/>
          <w:lang w:val="bs-Latn-BA"/>
        </w:rPr>
        <w:t xml:space="preserve"> </w:t>
      </w:r>
      <w:r>
        <w:rPr>
          <w:rFonts w:ascii="Times New Roman" w:hAnsi="Times New Roman"/>
          <w:szCs w:val="24"/>
          <w:lang w:val="bs-Latn-BA"/>
        </w:rPr>
        <w:t>који</w:t>
      </w:r>
      <w:r w:rsidR="008D24A7" w:rsidRPr="00295637">
        <w:rPr>
          <w:rFonts w:ascii="Times New Roman" w:hAnsi="Times New Roman"/>
          <w:szCs w:val="24"/>
          <w:lang w:val="bs-Latn-BA"/>
        </w:rPr>
        <w:t xml:space="preserve"> </w:t>
      </w:r>
      <w:r>
        <w:rPr>
          <w:rFonts w:ascii="Times New Roman" w:hAnsi="Times New Roman"/>
          <w:szCs w:val="24"/>
          <w:lang w:val="bs-Latn-BA"/>
        </w:rPr>
        <w:t>уређују</w:t>
      </w:r>
      <w:r w:rsidR="008D24A7" w:rsidRPr="00295637">
        <w:rPr>
          <w:rFonts w:ascii="Times New Roman" w:hAnsi="Times New Roman"/>
          <w:szCs w:val="24"/>
          <w:lang w:val="bs-Latn-BA"/>
        </w:rPr>
        <w:t xml:space="preserve"> </w:t>
      </w:r>
      <w:r>
        <w:rPr>
          <w:rFonts w:ascii="Times New Roman" w:hAnsi="Times New Roman"/>
          <w:szCs w:val="24"/>
          <w:lang w:val="bs-Latn-BA"/>
        </w:rPr>
        <w:t>ову</w:t>
      </w:r>
      <w:r w:rsidR="001F2BA1" w:rsidRPr="00295637">
        <w:rPr>
          <w:rFonts w:ascii="Times New Roman" w:hAnsi="Times New Roman"/>
          <w:szCs w:val="24"/>
          <w:lang w:val="bs-Latn-BA"/>
        </w:rPr>
        <w:t xml:space="preserve"> </w:t>
      </w:r>
      <w:r>
        <w:rPr>
          <w:rFonts w:ascii="Times New Roman" w:hAnsi="Times New Roman"/>
          <w:szCs w:val="24"/>
          <w:lang w:val="bs-Latn-BA"/>
        </w:rPr>
        <w:t>област</w:t>
      </w:r>
      <w:r w:rsidR="001F2BA1" w:rsidRPr="00295637">
        <w:rPr>
          <w:rFonts w:ascii="Times New Roman" w:hAnsi="Times New Roman"/>
          <w:szCs w:val="24"/>
          <w:lang w:val="bs-Latn-BA"/>
        </w:rPr>
        <w:t xml:space="preserve"> </w:t>
      </w:r>
      <w:r>
        <w:rPr>
          <w:rFonts w:ascii="Times New Roman" w:hAnsi="Times New Roman"/>
          <w:szCs w:val="24"/>
          <w:lang w:val="bs-Latn-BA"/>
        </w:rPr>
        <w:t>и</w:t>
      </w:r>
      <w:r w:rsidR="001F2BA1" w:rsidRPr="00295637">
        <w:rPr>
          <w:rFonts w:ascii="Times New Roman" w:hAnsi="Times New Roman"/>
          <w:szCs w:val="24"/>
          <w:lang w:val="bs-Latn-BA"/>
        </w:rPr>
        <w:t xml:space="preserve"> </w:t>
      </w:r>
      <w:r>
        <w:rPr>
          <w:rFonts w:ascii="Times New Roman" w:hAnsi="Times New Roman"/>
          <w:szCs w:val="24"/>
          <w:lang w:val="bs-Latn-BA"/>
        </w:rPr>
        <w:t>обавезе</w:t>
      </w:r>
      <w:r w:rsidR="001F2BA1" w:rsidRPr="00295637">
        <w:rPr>
          <w:rFonts w:ascii="Times New Roman" w:hAnsi="Times New Roman"/>
          <w:szCs w:val="24"/>
          <w:lang w:val="bs-Latn-BA"/>
        </w:rPr>
        <w:t xml:space="preserve"> </w:t>
      </w:r>
      <w:r>
        <w:rPr>
          <w:rFonts w:ascii="Times New Roman" w:hAnsi="Times New Roman"/>
          <w:szCs w:val="24"/>
          <w:lang w:val="bs-Latn-BA"/>
        </w:rPr>
        <w:t>поступања</w:t>
      </w:r>
      <w:r w:rsidR="008D24A7" w:rsidRPr="00295637">
        <w:rPr>
          <w:rFonts w:ascii="Times New Roman" w:hAnsi="Times New Roman"/>
          <w:szCs w:val="24"/>
          <w:lang w:val="bs-Latn-BA"/>
        </w:rPr>
        <w:t xml:space="preserve"> </w:t>
      </w:r>
      <w:r>
        <w:rPr>
          <w:rFonts w:ascii="Times New Roman" w:hAnsi="Times New Roman"/>
          <w:szCs w:val="24"/>
          <w:lang w:val="bs-Latn-BA"/>
        </w:rPr>
        <w:t>институција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Босни</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Херцеговини</w:t>
      </w:r>
      <w:r w:rsidR="004F2109" w:rsidRPr="00295637">
        <w:rPr>
          <w:rFonts w:ascii="Times New Roman" w:hAnsi="Times New Roman"/>
          <w:szCs w:val="24"/>
          <w:lang w:val="bs-Latn-BA"/>
        </w:rPr>
        <w:t xml:space="preserve">; </w:t>
      </w:r>
      <w:r>
        <w:rPr>
          <w:rFonts w:ascii="Times New Roman" w:hAnsi="Times New Roman"/>
          <w:szCs w:val="24"/>
          <w:lang w:val="bs-Latn-BA"/>
        </w:rPr>
        <w:t>гендер</w:t>
      </w:r>
      <w:r w:rsidR="004F2109" w:rsidRPr="00295637">
        <w:rPr>
          <w:rFonts w:ascii="Times New Roman" w:hAnsi="Times New Roman"/>
          <w:szCs w:val="24"/>
          <w:lang w:val="bs-Latn-BA"/>
        </w:rPr>
        <w:t xml:space="preserve"> </w:t>
      </w:r>
      <w:r>
        <w:rPr>
          <w:rFonts w:ascii="Times New Roman" w:hAnsi="Times New Roman"/>
          <w:szCs w:val="24"/>
          <w:lang w:val="bs-Latn-BA"/>
        </w:rPr>
        <w:t>институционални</w:t>
      </w:r>
      <w:r w:rsidR="008D24A7" w:rsidRPr="00295637">
        <w:rPr>
          <w:rFonts w:ascii="Times New Roman" w:hAnsi="Times New Roman"/>
          <w:szCs w:val="24"/>
          <w:lang w:val="bs-Latn-BA"/>
        </w:rPr>
        <w:t xml:space="preserve"> </w:t>
      </w:r>
      <w:r>
        <w:rPr>
          <w:rFonts w:ascii="Times New Roman" w:hAnsi="Times New Roman"/>
          <w:szCs w:val="24"/>
          <w:lang w:val="bs-Latn-BA"/>
        </w:rPr>
        <w:t>механизми</w:t>
      </w:r>
      <w:r w:rsidR="008D24A7" w:rsidRPr="00295637">
        <w:rPr>
          <w:rFonts w:ascii="Times New Roman" w:hAnsi="Times New Roman"/>
          <w:szCs w:val="24"/>
          <w:lang w:val="bs-Latn-BA"/>
        </w:rPr>
        <w:t xml:space="preserve">; </w:t>
      </w:r>
      <w:r>
        <w:rPr>
          <w:rFonts w:ascii="Times New Roman" w:hAnsi="Times New Roman"/>
          <w:szCs w:val="24"/>
          <w:lang w:val="bs-Latn-BA"/>
        </w:rPr>
        <w:t>ГАП</w:t>
      </w:r>
      <w:r w:rsidR="008E13D8" w:rsidRPr="00295637">
        <w:rPr>
          <w:rFonts w:ascii="Times New Roman" w:hAnsi="Times New Roman"/>
          <w:szCs w:val="24"/>
          <w:lang w:val="bs-Latn-BA"/>
        </w:rPr>
        <w:t xml:space="preserve"> </w:t>
      </w:r>
      <w:r>
        <w:rPr>
          <w:rFonts w:ascii="Times New Roman" w:hAnsi="Times New Roman"/>
          <w:szCs w:val="24"/>
          <w:lang w:val="bs-Latn-BA"/>
        </w:rPr>
        <w:t>БиХ</w:t>
      </w:r>
      <w:r w:rsidR="008D24A7" w:rsidRPr="00295637">
        <w:rPr>
          <w:rFonts w:ascii="Times New Roman" w:hAnsi="Times New Roman"/>
          <w:szCs w:val="24"/>
          <w:lang w:val="bs-Latn-BA"/>
        </w:rPr>
        <w:t xml:space="preserve">; </w:t>
      </w:r>
      <w:r>
        <w:rPr>
          <w:rFonts w:ascii="Times New Roman" w:hAnsi="Times New Roman"/>
          <w:szCs w:val="24"/>
          <w:lang w:val="bs-Latn-BA"/>
        </w:rPr>
        <w:t>пол</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род</w:t>
      </w:r>
      <w:r w:rsidR="008D24A7" w:rsidRPr="00295637">
        <w:rPr>
          <w:rFonts w:ascii="Times New Roman" w:hAnsi="Times New Roman"/>
          <w:szCs w:val="24"/>
          <w:lang w:val="bs-Latn-BA"/>
        </w:rPr>
        <w:t xml:space="preserve">; </w:t>
      </w:r>
      <w:r>
        <w:rPr>
          <w:rFonts w:ascii="Times New Roman" w:hAnsi="Times New Roman"/>
          <w:szCs w:val="24"/>
          <w:lang w:val="bs-Latn-BA"/>
        </w:rPr>
        <w:t>дискриминација</w:t>
      </w:r>
      <w:r w:rsidR="008D24A7" w:rsidRPr="00295637">
        <w:rPr>
          <w:rFonts w:ascii="Times New Roman" w:hAnsi="Times New Roman"/>
          <w:szCs w:val="24"/>
          <w:lang w:val="bs-Latn-BA"/>
        </w:rPr>
        <w:t xml:space="preserve">; </w:t>
      </w:r>
      <w:r>
        <w:rPr>
          <w:rFonts w:ascii="Times New Roman" w:hAnsi="Times New Roman"/>
          <w:szCs w:val="24"/>
          <w:lang w:val="bs-Latn-BA"/>
        </w:rPr>
        <w:t>насиље</w:t>
      </w:r>
      <w:r w:rsidR="008D24A7" w:rsidRPr="00295637">
        <w:rPr>
          <w:rFonts w:ascii="Times New Roman" w:hAnsi="Times New Roman"/>
          <w:szCs w:val="24"/>
          <w:lang w:val="bs-Latn-BA"/>
        </w:rPr>
        <w:t xml:space="preserve">; </w:t>
      </w:r>
      <w:r>
        <w:rPr>
          <w:rFonts w:ascii="Times New Roman" w:hAnsi="Times New Roman"/>
          <w:szCs w:val="24"/>
          <w:lang w:val="bs-Latn-BA"/>
        </w:rPr>
        <w:t>циљеви</w:t>
      </w:r>
      <w:r w:rsidR="008D24A7"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8D24A7" w:rsidRPr="00295637">
        <w:rPr>
          <w:rFonts w:ascii="Times New Roman" w:hAnsi="Times New Roman"/>
          <w:szCs w:val="24"/>
          <w:lang w:val="bs-Latn-BA"/>
        </w:rPr>
        <w:t xml:space="preserve"> </w:t>
      </w:r>
      <w:r>
        <w:rPr>
          <w:rFonts w:ascii="Times New Roman" w:hAnsi="Times New Roman"/>
          <w:szCs w:val="24"/>
          <w:lang w:val="bs-Latn-BA"/>
        </w:rPr>
        <w:t>полова</w:t>
      </w:r>
      <w:r w:rsidR="008D24A7" w:rsidRPr="00295637">
        <w:rPr>
          <w:rFonts w:ascii="Times New Roman" w:hAnsi="Times New Roman"/>
          <w:szCs w:val="24"/>
          <w:lang w:val="bs-Latn-BA"/>
        </w:rPr>
        <w:t xml:space="preserve">; </w:t>
      </w:r>
      <w:r>
        <w:rPr>
          <w:rFonts w:ascii="Times New Roman" w:hAnsi="Times New Roman"/>
          <w:szCs w:val="24"/>
          <w:lang w:val="bs-Latn-BA"/>
        </w:rPr>
        <w:t>политике</w:t>
      </w:r>
      <w:r w:rsidR="00795239"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795239" w:rsidRPr="00295637">
        <w:rPr>
          <w:rFonts w:ascii="Times New Roman" w:hAnsi="Times New Roman"/>
          <w:szCs w:val="24"/>
          <w:lang w:val="bs-Latn-BA"/>
        </w:rPr>
        <w:t xml:space="preserve"> </w:t>
      </w:r>
      <w:r>
        <w:rPr>
          <w:rFonts w:ascii="Times New Roman" w:hAnsi="Times New Roman"/>
          <w:szCs w:val="24"/>
          <w:lang w:val="bs-Latn-BA"/>
        </w:rPr>
        <w:t>полова</w:t>
      </w:r>
      <w:r w:rsidR="008D24A7" w:rsidRPr="00295637">
        <w:rPr>
          <w:rFonts w:ascii="Times New Roman" w:hAnsi="Times New Roman"/>
          <w:szCs w:val="24"/>
          <w:lang w:val="bs-Latn-BA"/>
        </w:rPr>
        <w:t xml:space="preserve">). </w:t>
      </w:r>
    </w:p>
    <w:p w:rsidR="008D24A7" w:rsidRPr="00295637" w:rsidRDefault="008D24A7" w:rsidP="0086268D">
      <w:pPr>
        <w:tabs>
          <w:tab w:val="center" w:pos="4703"/>
          <w:tab w:val="right" w:pos="9406"/>
        </w:tabs>
        <w:jc w:val="both"/>
      </w:pPr>
    </w:p>
    <w:p w:rsidR="00947F33" w:rsidRPr="00295637" w:rsidRDefault="00C6214E" w:rsidP="0086268D">
      <w:pPr>
        <w:tabs>
          <w:tab w:val="center" w:pos="4703"/>
          <w:tab w:val="right" w:pos="9406"/>
        </w:tabs>
        <w:jc w:val="both"/>
      </w:pPr>
      <w:r>
        <w:rPr>
          <w:rFonts w:ascii="Times New Roman" w:hAnsi="Times New Roman"/>
          <w:color w:val="000000"/>
        </w:rPr>
        <w:t>Обуке</w:t>
      </w:r>
      <w:r w:rsidR="00947F33" w:rsidRPr="00295637">
        <w:rPr>
          <w:rFonts w:ascii="Times New Roman" w:hAnsi="Times New Roman"/>
          <w:color w:val="000000"/>
        </w:rPr>
        <w:t xml:space="preserve"> </w:t>
      </w:r>
      <w:r>
        <w:rPr>
          <w:rFonts w:ascii="Times New Roman" w:hAnsi="Times New Roman"/>
          <w:color w:val="000000"/>
        </w:rPr>
        <w:t>на</w:t>
      </w:r>
      <w:r w:rsidR="00947F33" w:rsidRPr="00295637">
        <w:rPr>
          <w:rFonts w:ascii="Times New Roman" w:hAnsi="Times New Roman"/>
          <w:color w:val="000000"/>
        </w:rPr>
        <w:t xml:space="preserve"> </w:t>
      </w:r>
      <w:r>
        <w:rPr>
          <w:rFonts w:ascii="Times New Roman" w:hAnsi="Times New Roman"/>
          <w:color w:val="000000"/>
        </w:rPr>
        <w:t>тему</w:t>
      </w:r>
      <w:r w:rsidR="00947F33" w:rsidRPr="00295637">
        <w:rPr>
          <w:rFonts w:ascii="Times New Roman" w:hAnsi="Times New Roman"/>
          <w:color w:val="000000"/>
        </w:rPr>
        <w:t xml:space="preserve"> </w:t>
      </w:r>
      <w:r>
        <w:rPr>
          <w:rFonts w:ascii="Times New Roman" w:hAnsi="Times New Roman"/>
          <w:color w:val="000000"/>
        </w:rPr>
        <w:t>борбе</w:t>
      </w:r>
      <w:r w:rsidR="00947F33" w:rsidRPr="00295637">
        <w:rPr>
          <w:rFonts w:ascii="Times New Roman" w:hAnsi="Times New Roman"/>
          <w:color w:val="000000"/>
        </w:rPr>
        <w:t xml:space="preserve"> </w:t>
      </w:r>
      <w:r>
        <w:rPr>
          <w:rFonts w:ascii="Times New Roman" w:hAnsi="Times New Roman"/>
          <w:color w:val="000000"/>
        </w:rPr>
        <w:t>против</w:t>
      </w:r>
      <w:r w:rsidR="00947F33" w:rsidRPr="00295637">
        <w:rPr>
          <w:rFonts w:ascii="Times New Roman" w:hAnsi="Times New Roman"/>
          <w:color w:val="000000"/>
        </w:rPr>
        <w:t xml:space="preserve"> </w:t>
      </w:r>
      <w:r>
        <w:rPr>
          <w:rFonts w:ascii="Times New Roman" w:hAnsi="Times New Roman"/>
          <w:color w:val="000000"/>
        </w:rPr>
        <w:t>трговине</w:t>
      </w:r>
      <w:r w:rsidR="00947F33" w:rsidRPr="00295637">
        <w:rPr>
          <w:rFonts w:ascii="Times New Roman" w:hAnsi="Times New Roman"/>
          <w:color w:val="000000"/>
        </w:rPr>
        <w:t xml:space="preserve"> </w:t>
      </w:r>
      <w:r>
        <w:rPr>
          <w:rFonts w:ascii="Times New Roman" w:hAnsi="Times New Roman"/>
          <w:color w:val="000000"/>
        </w:rPr>
        <w:t>људима</w:t>
      </w:r>
      <w:r w:rsidR="00947F33" w:rsidRPr="00295637">
        <w:rPr>
          <w:rFonts w:ascii="Times New Roman" w:hAnsi="Times New Roman"/>
          <w:color w:val="000000"/>
        </w:rPr>
        <w:t xml:space="preserve"> </w:t>
      </w:r>
      <w:r>
        <w:rPr>
          <w:rFonts w:ascii="Times New Roman" w:hAnsi="Times New Roman"/>
          <w:color w:val="000000"/>
        </w:rPr>
        <w:t>се</w:t>
      </w:r>
      <w:r w:rsidR="00947F33" w:rsidRPr="00295637">
        <w:rPr>
          <w:rFonts w:ascii="Times New Roman" w:hAnsi="Times New Roman"/>
          <w:color w:val="000000"/>
        </w:rPr>
        <w:t xml:space="preserve"> </w:t>
      </w:r>
      <w:r>
        <w:rPr>
          <w:rFonts w:ascii="Times New Roman" w:hAnsi="Times New Roman"/>
          <w:color w:val="000000"/>
        </w:rPr>
        <w:t>контиунирано</w:t>
      </w:r>
      <w:r w:rsidR="00947F33" w:rsidRPr="00295637">
        <w:rPr>
          <w:rFonts w:ascii="Times New Roman" w:hAnsi="Times New Roman"/>
          <w:color w:val="000000"/>
        </w:rPr>
        <w:t xml:space="preserve"> </w:t>
      </w:r>
      <w:r>
        <w:rPr>
          <w:rFonts w:ascii="Times New Roman" w:hAnsi="Times New Roman"/>
          <w:color w:val="000000"/>
        </w:rPr>
        <w:t>проводе</w:t>
      </w:r>
      <w:r w:rsidR="00947F33" w:rsidRPr="00295637">
        <w:rPr>
          <w:rFonts w:ascii="Times New Roman" w:hAnsi="Times New Roman"/>
          <w:color w:val="000000"/>
        </w:rPr>
        <w:t xml:space="preserve"> </w:t>
      </w:r>
      <w:r>
        <w:rPr>
          <w:rFonts w:ascii="Times New Roman" w:hAnsi="Times New Roman"/>
          <w:color w:val="000000"/>
        </w:rPr>
        <w:t>у</w:t>
      </w:r>
      <w:r w:rsidR="00947F33" w:rsidRPr="00295637">
        <w:rPr>
          <w:rFonts w:ascii="Times New Roman" w:hAnsi="Times New Roman"/>
          <w:color w:val="000000"/>
        </w:rPr>
        <w:t xml:space="preserve"> </w:t>
      </w:r>
      <w:r>
        <w:rPr>
          <w:rFonts w:ascii="Times New Roman" w:hAnsi="Times New Roman"/>
          <w:color w:val="000000"/>
        </w:rPr>
        <w:t>М</w:t>
      </w:r>
      <w:r w:rsidR="00A65D3C">
        <w:rPr>
          <w:rFonts w:ascii="Times New Roman" w:hAnsi="Times New Roman"/>
          <w:color w:val="000000"/>
          <w:lang w:val="sr-Cyrl-BA"/>
        </w:rPr>
        <w:t>Б</w:t>
      </w:r>
      <w:r w:rsidR="009E54A2" w:rsidRPr="00295637">
        <w:rPr>
          <w:rFonts w:ascii="Times New Roman" w:hAnsi="Times New Roman"/>
          <w:color w:val="000000"/>
        </w:rPr>
        <w:t xml:space="preserve"> </w:t>
      </w:r>
      <w:r>
        <w:rPr>
          <w:rFonts w:ascii="Times New Roman" w:hAnsi="Times New Roman"/>
          <w:color w:val="000000"/>
        </w:rPr>
        <w:t>БиХ</w:t>
      </w:r>
      <w:r w:rsidR="00947F33" w:rsidRPr="00295637">
        <w:rPr>
          <w:rFonts w:ascii="Times New Roman" w:hAnsi="Times New Roman"/>
          <w:color w:val="000000"/>
        </w:rPr>
        <w:t xml:space="preserve">, </w:t>
      </w:r>
      <w:r>
        <w:rPr>
          <w:rFonts w:ascii="Times New Roman" w:hAnsi="Times New Roman"/>
          <w:color w:val="000000"/>
        </w:rPr>
        <w:t>те</w:t>
      </w:r>
      <w:r w:rsidR="00947F33" w:rsidRPr="00295637">
        <w:rPr>
          <w:rFonts w:ascii="Times New Roman" w:hAnsi="Times New Roman"/>
          <w:color w:val="000000"/>
        </w:rPr>
        <w:t xml:space="preserve"> </w:t>
      </w:r>
      <w:r>
        <w:rPr>
          <w:rFonts w:ascii="Times New Roman" w:hAnsi="Times New Roman"/>
          <w:color w:val="000000"/>
        </w:rPr>
        <w:t>су</w:t>
      </w:r>
      <w:r w:rsidR="00947F33" w:rsidRPr="00295637">
        <w:rPr>
          <w:rFonts w:ascii="Times New Roman" w:hAnsi="Times New Roman"/>
          <w:color w:val="000000"/>
        </w:rPr>
        <w:t xml:space="preserve"> </w:t>
      </w:r>
      <w:r>
        <w:rPr>
          <w:rFonts w:ascii="Times New Roman" w:hAnsi="Times New Roman"/>
          <w:color w:val="000000"/>
        </w:rPr>
        <w:t>обухваћени</w:t>
      </w:r>
      <w:r w:rsidR="00947F33" w:rsidRPr="00295637">
        <w:rPr>
          <w:rFonts w:ascii="Times New Roman" w:hAnsi="Times New Roman"/>
          <w:color w:val="000000"/>
        </w:rPr>
        <w:t xml:space="preserve"> </w:t>
      </w:r>
      <w:r>
        <w:rPr>
          <w:rFonts w:ascii="Times New Roman" w:hAnsi="Times New Roman"/>
          <w:color w:val="000000"/>
        </w:rPr>
        <w:t>сви</w:t>
      </w:r>
      <w:r w:rsidR="00947F33" w:rsidRPr="00295637">
        <w:rPr>
          <w:rFonts w:ascii="Times New Roman" w:hAnsi="Times New Roman"/>
          <w:color w:val="000000"/>
        </w:rPr>
        <w:t xml:space="preserve"> </w:t>
      </w:r>
      <w:r>
        <w:rPr>
          <w:rFonts w:ascii="Times New Roman" w:hAnsi="Times New Roman"/>
          <w:color w:val="000000"/>
        </w:rPr>
        <w:t>актери</w:t>
      </w:r>
      <w:r w:rsidR="00947F33" w:rsidRPr="00295637">
        <w:rPr>
          <w:rFonts w:ascii="Times New Roman" w:hAnsi="Times New Roman"/>
          <w:color w:val="000000"/>
        </w:rPr>
        <w:t xml:space="preserve"> </w:t>
      </w:r>
      <w:r>
        <w:rPr>
          <w:rFonts w:ascii="Times New Roman" w:hAnsi="Times New Roman"/>
          <w:color w:val="000000"/>
        </w:rPr>
        <w:t>који</w:t>
      </w:r>
      <w:r w:rsidR="00947F33" w:rsidRPr="00295637">
        <w:rPr>
          <w:rFonts w:ascii="Times New Roman" w:hAnsi="Times New Roman"/>
          <w:color w:val="000000"/>
        </w:rPr>
        <w:t xml:space="preserve"> </w:t>
      </w:r>
      <w:r>
        <w:rPr>
          <w:rFonts w:ascii="Times New Roman" w:hAnsi="Times New Roman"/>
          <w:color w:val="000000"/>
        </w:rPr>
        <w:t>се</w:t>
      </w:r>
      <w:r w:rsidR="00947F33" w:rsidRPr="00295637">
        <w:rPr>
          <w:rFonts w:ascii="Times New Roman" w:hAnsi="Times New Roman"/>
          <w:color w:val="000000"/>
        </w:rPr>
        <w:t xml:space="preserve"> </w:t>
      </w:r>
      <w:r>
        <w:rPr>
          <w:rFonts w:ascii="Times New Roman" w:hAnsi="Times New Roman"/>
          <w:color w:val="000000"/>
        </w:rPr>
        <w:t>током</w:t>
      </w:r>
      <w:r w:rsidR="00947F33" w:rsidRPr="00295637">
        <w:rPr>
          <w:rFonts w:ascii="Times New Roman" w:hAnsi="Times New Roman"/>
          <w:color w:val="000000"/>
        </w:rPr>
        <w:t xml:space="preserve"> </w:t>
      </w:r>
      <w:r>
        <w:rPr>
          <w:rFonts w:ascii="Times New Roman" w:hAnsi="Times New Roman"/>
          <w:color w:val="000000"/>
        </w:rPr>
        <w:t>свог</w:t>
      </w:r>
      <w:r w:rsidR="00947F33" w:rsidRPr="00295637">
        <w:rPr>
          <w:rFonts w:ascii="Times New Roman" w:hAnsi="Times New Roman"/>
          <w:color w:val="000000"/>
        </w:rPr>
        <w:t xml:space="preserve"> </w:t>
      </w:r>
      <w:r>
        <w:rPr>
          <w:rFonts w:ascii="Times New Roman" w:hAnsi="Times New Roman"/>
          <w:color w:val="000000"/>
        </w:rPr>
        <w:t>рада</w:t>
      </w:r>
      <w:r w:rsidR="00947F33" w:rsidRPr="00295637">
        <w:rPr>
          <w:rFonts w:ascii="Times New Roman" w:hAnsi="Times New Roman"/>
          <w:color w:val="000000"/>
        </w:rPr>
        <w:t xml:space="preserve"> </w:t>
      </w:r>
      <w:r>
        <w:rPr>
          <w:rFonts w:ascii="Times New Roman" w:hAnsi="Times New Roman"/>
          <w:color w:val="000000"/>
        </w:rPr>
        <w:t>могу</w:t>
      </w:r>
      <w:r w:rsidR="00947F33" w:rsidRPr="00295637">
        <w:rPr>
          <w:rFonts w:ascii="Times New Roman" w:hAnsi="Times New Roman"/>
          <w:color w:val="000000"/>
        </w:rPr>
        <w:t xml:space="preserve"> </w:t>
      </w:r>
      <w:r>
        <w:rPr>
          <w:rFonts w:ascii="Times New Roman" w:hAnsi="Times New Roman"/>
          <w:color w:val="000000"/>
        </w:rPr>
        <w:t>сусрести</w:t>
      </w:r>
      <w:r w:rsidR="00947F33" w:rsidRPr="00295637">
        <w:rPr>
          <w:rFonts w:ascii="Times New Roman" w:hAnsi="Times New Roman"/>
          <w:color w:val="000000"/>
        </w:rPr>
        <w:t xml:space="preserve"> </w:t>
      </w:r>
      <w:r>
        <w:rPr>
          <w:rFonts w:ascii="Times New Roman" w:hAnsi="Times New Roman"/>
          <w:color w:val="000000"/>
        </w:rPr>
        <w:t>са</w:t>
      </w:r>
      <w:r w:rsidR="00947F33" w:rsidRPr="00295637">
        <w:rPr>
          <w:rFonts w:ascii="Times New Roman" w:hAnsi="Times New Roman"/>
          <w:color w:val="000000"/>
        </w:rPr>
        <w:t xml:space="preserve"> </w:t>
      </w:r>
      <w:r>
        <w:rPr>
          <w:rFonts w:ascii="Times New Roman" w:hAnsi="Times New Roman"/>
          <w:color w:val="000000"/>
        </w:rPr>
        <w:t>случајевима</w:t>
      </w:r>
      <w:r w:rsidR="00947F33" w:rsidRPr="00295637">
        <w:rPr>
          <w:rFonts w:ascii="Times New Roman" w:hAnsi="Times New Roman"/>
          <w:color w:val="000000"/>
        </w:rPr>
        <w:t xml:space="preserve"> </w:t>
      </w:r>
      <w:r>
        <w:rPr>
          <w:rFonts w:ascii="Times New Roman" w:hAnsi="Times New Roman"/>
          <w:color w:val="000000"/>
        </w:rPr>
        <w:t>трговине</w:t>
      </w:r>
      <w:r w:rsidR="00947F33" w:rsidRPr="00295637">
        <w:rPr>
          <w:rFonts w:ascii="Times New Roman" w:hAnsi="Times New Roman"/>
          <w:color w:val="000000"/>
        </w:rPr>
        <w:t xml:space="preserve"> </w:t>
      </w:r>
      <w:r>
        <w:rPr>
          <w:rFonts w:ascii="Times New Roman" w:hAnsi="Times New Roman"/>
          <w:color w:val="000000"/>
        </w:rPr>
        <w:t>људима</w:t>
      </w:r>
      <w:r w:rsidR="00947F33" w:rsidRPr="00295637">
        <w:rPr>
          <w:rFonts w:ascii="Times New Roman" w:hAnsi="Times New Roman"/>
          <w:color w:val="000000"/>
        </w:rPr>
        <w:t xml:space="preserve"> </w:t>
      </w:r>
      <w:r>
        <w:rPr>
          <w:rFonts w:ascii="Times New Roman" w:hAnsi="Times New Roman"/>
          <w:color w:val="000000"/>
        </w:rPr>
        <w:t>у</w:t>
      </w:r>
      <w:r w:rsidR="00947F33" w:rsidRPr="00295637">
        <w:rPr>
          <w:rFonts w:ascii="Times New Roman" w:hAnsi="Times New Roman"/>
          <w:color w:val="000000"/>
        </w:rPr>
        <w:t xml:space="preserve"> </w:t>
      </w:r>
      <w:r>
        <w:rPr>
          <w:rFonts w:ascii="Times New Roman" w:hAnsi="Times New Roman"/>
          <w:color w:val="000000"/>
        </w:rPr>
        <w:t>БиХ</w:t>
      </w:r>
      <w:r w:rsidR="00947F33" w:rsidRPr="00295637">
        <w:rPr>
          <w:rFonts w:ascii="Times New Roman" w:hAnsi="Times New Roman"/>
          <w:color w:val="000000"/>
        </w:rPr>
        <w:t>.</w:t>
      </w:r>
    </w:p>
    <w:p w:rsidR="00947F33" w:rsidRPr="00295637" w:rsidRDefault="00947F33" w:rsidP="0086268D">
      <w:pPr>
        <w:tabs>
          <w:tab w:val="center" w:pos="4703"/>
          <w:tab w:val="right" w:pos="9406"/>
        </w:tabs>
        <w:jc w:val="both"/>
        <w:rPr>
          <w:rFonts w:ascii="Times New Roman" w:hAnsi="Times New Roman"/>
        </w:rPr>
      </w:pPr>
    </w:p>
    <w:p w:rsidR="004F5806" w:rsidRPr="00295637" w:rsidRDefault="00C6214E" w:rsidP="0086268D">
      <w:pPr>
        <w:tabs>
          <w:tab w:val="center" w:pos="4703"/>
          <w:tab w:val="right" w:pos="9406"/>
        </w:tabs>
        <w:jc w:val="both"/>
        <w:rPr>
          <w:rFonts w:ascii="Times New Roman" w:hAnsi="Times New Roman"/>
        </w:rPr>
      </w:pPr>
      <w:r>
        <w:rPr>
          <w:rFonts w:ascii="Times New Roman" w:hAnsi="Times New Roman"/>
        </w:rPr>
        <w:t>Представници</w:t>
      </w:r>
      <w:r w:rsidR="004F5806" w:rsidRPr="00295637">
        <w:rPr>
          <w:rFonts w:ascii="Times New Roman" w:hAnsi="Times New Roman"/>
        </w:rPr>
        <w:t xml:space="preserve"> </w:t>
      </w:r>
      <w:r>
        <w:rPr>
          <w:rFonts w:ascii="Times New Roman" w:hAnsi="Times New Roman"/>
        </w:rPr>
        <w:t>ГП</w:t>
      </w:r>
      <w:r w:rsidR="008E13D8" w:rsidRPr="00295637">
        <w:rPr>
          <w:rFonts w:ascii="Times New Roman" w:hAnsi="Times New Roman"/>
        </w:rPr>
        <w:t xml:space="preserve"> </w:t>
      </w:r>
      <w:r>
        <w:rPr>
          <w:rFonts w:ascii="Times New Roman" w:hAnsi="Times New Roman"/>
        </w:rPr>
        <w:t>БиХ</w:t>
      </w:r>
      <w:r w:rsidR="008E13D8" w:rsidRPr="00295637">
        <w:rPr>
          <w:rFonts w:ascii="Times New Roman" w:hAnsi="Times New Roman"/>
        </w:rPr>
        <w:t xml:space="preserve"> </w:t>
      </w:r>
      <w:r w:rsidR="00A65D3C">
        <w:rPr>
          <w:rFonts w:ascii="Times New Roman" w:hAnsi="Times New Roman"/>
        </w:rPr>
        <w:t xml:space="preserve">су </w:t>
      </w:r>
      <w:r>
        <w:rPr>
          <w:rFonts w:ascii="Times New Roman" w:hAnsi="Times New Roman"/>
        </w:rPr>
        <w:t>присуствовали</w:t>
      </w:r>
      <w:r w:rsidR="004F5806" w:rsidRPr="00295637">
        <w:rPr>
          <w:rFonts w:ascii="Times New Roman" w:hAnsi="Times New Roman"/>
        </w:rPr>
        <w:t xml:space="preserve"> </w:t>
      </w:r>
      <w:r>
        <w:rPr>
          <w:rFonts w:ascii="Times New Roman" w:hAnsi="Times New Roman"/>
        </w:rPr>
        <w:t>састанцима</w:t>
      </w:r>
      <w:r w:rsidR="004F5806" w:rsidRPr="00295637">
        <w:rPr>
          <w:rFonts w:ascii="Times New Roman" w:hAnsi="Times New Roman"/>
        </w:rPr>
        <w:t xml:space="preserve">, </w:t>
      </w:r>
      <w:r>
        <w:rPr>
          <w:rFonts w:ascii="Times New Roman" w:hAnsi="Times New Roman"/>
        </w:rPr>
        <w:t>округлим</w:t>
      </w:r>
      <w:r w:rsidR="004F5806" w:rsidRPr="00295637">
        <w:rPr>
          <w:rFonts w:ascii="Times New Roman" w:hAnsi="Times New Roman"/>
        </w:rPr>
        <w:t xml:space="preserve"> </w:t>
      </w:r>
      <w:r>
        <w:rPr>
          <w:rFonts w:ascii="Times New Roman" w:hAnsi="Times New Roman"/>
        </w:rPr>
        <w:t>столовима</w:t>
      </w:r>
      <w:r w:rsidR="004F5806" w:rsidRPr="00295637">
        <w:rPr>
          <w:rFonts w:ascii="Times New Roman" w:hAnsi="Times New Roman"/>
        </w:rPr>
        <w:t xml:space="preserve"> </w:t>
      </w:r>
      <w:r>
        <w:rPr>
          <w:rFonts w:ascii="Times New Roman" w:hAnsi="Times New Roman"/>
        </w:rPr>
        <w:t>које</w:t>
      </w:r>
      <w:r w:rsidR="004F5806" w:rsidRPr="00295637">
        <w:rPr>
          <w:rFonts w:ascii="Times New Roman" w:hAnsi="Times New Roman"/>
        </w:rPr>
        <w:t xml:space="preserve"> </w:t>
      </w:r>
      <w:r>
        <w:rPr>
          <w:rFonts w:ascii="Times New Roman" w:hAnsi="Times New Roman"/>
        </w:rPr>
        <w:t>су</w:t>
      </w:r>
      <w:r w:rsidR="004F5806" w:rsidRPr="00295637">
        <w:rPr>
          <w:rFonts w:ascii="Times New Roman" w:hAnsi="Times New Roman"/>
        </w:rPr>
        <w:t xml:space="preserve"> </w:t>
      </w:r>
      <w:r>
        <w:rPr>
          <w:rFonts w:ascii="Times New Roman" w:hAnsi="Times New Roman"/>
        </w:rPr>
        <w:t>организ</w:t>
      </w:r>
      <w:r w:rsidR="00A65D3C">
        <w:rPr>
          <w:rFonts w:ascii="Times New Roman" w:hAnsi="Times New Roman"/>
          <w:lang w:val="sr-Cyrl-BA"/>
        </w:rPr>
        <w:t>овале</w:t>
      </w:r>
      <w:r w:rsidR="004F5806" w:rsidRPr="00295637">
        <w:rPr>
          <w:rFonts w:ascii="Times New Roman" w:hAnsi="Times New Roman"/>
        </w:rPr>
        <w:t xml:space="preserve"> </w:t>
      </w:r>
      <w:r>
        <w:rPr>
          <w:rFonts w:ascii="Times New Roman" w:hAnsi="Times New Roman"/>
        </w:rPr>
        <w:t>медународне</w:t>
      </w:r>
      <w:r w:rsidR="004F5806" w:rsidRPr="00295637">
        <w:rPr>
          <w:rFonts w:ascii="Times New Roman" w:hAnsi="Times New Roman"/>
        </w:rPr>
        <w:t xml:space="preserve"> </w:t>
      </w:r>
      <w:r>
        <w:rPr>
          <w:rFonts w:ascii="Times New Roman" w:hAnsi="Times New Roman"/>
        </w:rPr>
        <w:t>организације</w:t>
      </w:r>
      <w:r w:rsidR="000E4728" w:rsidRPr="00295637">
        <w:rPr>
          <w:rFonts w:ascii="Times New Roman" w:hAnsi="Times New Roman"/>
        </w:rPr>
        <w:t xml:space="preserve">, </w:t>
      </w:r>
      <w:r>
        <w:rPr>
          <w:rFonts w:ascii="Times New Roman" w:hAnsi="Times New Roman"/>
        </w:rPr>
        <w:t>учествовали</w:t>
      </w:r>
      <w:r w:rsidR="000E4728" w:rsidRPr="00295637">
        <w:rPr>
          <w:rFonts w:ascii="Times New Roman" w:hAnsi="Times New Roman"/>
        </w:rPr>
        <w:t xml:space="preserve"> </w:t>
      </w:r>
      <w:r>
        <w:rPr>
          <w:rFonts w:ascii="Times New Roman" w:hAnsi="Times New Roman"/>
        </w:rPr>
        <w:t>су</w:t>
      </w:r>
      <w:r w:rsidR="000E4728" w:rsidRPr="00295637">
        <w:rPr>
          <w:rFonts w:ascii="Times New Roman" w:hAnsi="Times New Roman"/>
        </w:rPr>
        <w:t xml:space="preserve"> </w:t>
      </w:r>
      <w:r>
        <w:rPr>
          <w:rFonts w:ascii="Times New Roman" w:hAnsi="Times New Roman"/>
        </w:rPr>
        <w:t>у</w:t>
      </w:r>
      <w:r w:rsidR="000E4728" w:rsidRPr="00295637">
        <w:rPr>
          <w:rFonts w:ascii="Times New Roman" w:hAnsi="Times New Roman"/>
        </w:rPr>
        <w:t xml:space="preserve"> </w:t>
      </w:r>
      <w:r>
        <w:rPr>
          <w:rFonts w:ascii="Times New Roman" w:hAnsi="Times New Roman"/>
        </w:rPr>
        <w:t>заједничким</w:t>
      </w:r>
      <w:r w:rsidR="004F5806" w:rsidRPr="00295637">
        <w:rPr>
          <w:rFonts w:ascii="Times New Roman" w:hAnsi="Times New Roman"/>
        </w:rPr>
        <w:t xml:space="preserve"> </w:t>
      </w:r>
      <w:r>
        <w:rPr>
          <w:rFonts w:ascii="Times New Roman" w:hAnsi="Times New Roman"/>
        </w:rPr>
        <w:t>активностима</w:t>
      </w:r>
      <w:r w:rsidR="004F5806" w:rsidRPr="00295637">
        <w:rPr>
          <w:rFonts w:ascii="Times New Roman" w:hAnsi="Times New Roman"/>
        </w:rPr>
        <w:t xml:space="preserve"> </w:t>
      </w:r>
      <w:r>
        <w:rPr>
          <w:rFonts w:ascii="Times New Roman" w:hAnsi="Times New Roman"/>
        </w:rPr>
        <w:t>у</w:t>
      </w:r>
      <w:r w:rsidR="004B54B0">
        <w:rPr>
          <w:rFonts w:ascii="Times New Roman" w:hAnsi="Times New Roman"/>
        </w:rPr>
        <w:t xml:space="preserve"> </w:t>
      </w:r>
      <w:r>
        <w:rPr>
          <w:rFonts w:ascii="Times New Roman" w:hAnsi="Times New Roman"/>
        </w:rPr>
        <w:t>вези</w:t>
      </w:r>
      <w:r w:rsidR="004B54B0">
        <w:rPr>
          <w:rFonts w:ascii="Times New Roman" w:hAnsi="Times New Roman"/>
        </w:rPr>
        <w:t xml:space="preserve"> </w:t>
      </w:r>
      <w:r>
        <w:rPr>
          <w:rFonts w:ascii="Times New Roman" w:hAnsi="Times New Roman"/>
        </w:rPr>
        <w:t>са</w:t>
      </w:r>
      <w:r w:rsidR="004F5806" w:rsidRPr="00295637">
        <w:rPr>
          <w:rFonts w:ascii="Times New Roman" w:hAnsi="Times New Roman"/>
        </w:rPr>
        <w:t xml:space="preserve"> </w:t>
      </w:r>
      <w:r>
        <w:rPr>
          <w:rFonts w:ascii="Times New Roman" w:hAnsi="Times New Roman"/>
        </w:rPr>
        <w:t>борбом</w:t>
      </w:r>
      <w:r w:rsidR="004F5806" w:rsidRPr="00295637">
        <w:rPr>
          <w:rFonts w:ascii="Times New Roman" w:hAnsi="Times New Roman"/>
        </w:rPr>
        <w:t xml:space="preserve"> </w:t>
      </w:r>
      <w:r>
        <w:rPr>
          <w:rFonts w:ascii="Times New Roman" w:hAnsi="Times New Roman"/>
        </w:rPr>
        <w:t>против</w:t>
      </w:r>
      <w:r w:rsidR="000E4728" w:rsidRPr="00295637">
        <w:rPr>
          <w:rFonts w:ascii="Times New Roman" w:hAnsi="Times New Roman"/>
        </w:rPr>
        <w:t xml:space="preserve"> </w:t>
      </w:r>
      <w:r>
        <w:rPr>
          <w:rFonts w:ascii="Times New Roman" w:hAnsi="Times New Roman"/>
        </w:rPr>
        <w:t>трговине</w:t>
      </w:r>
      <w:r w:rsidR="002345F7" w:rsidRPr="00295637">
        <w:rPr>
          <w:rFonts w:ascii="Times New Roman" w:hAnsi="Times New Roman"/>
        </w:rPr>
        <w:t xml:space="preserve"> </w:t>
      </w:r>
      <w:r>
        <w:rPr>
          <w:rFonts w:ascii="Times New Roman" w:hAnsi="Times New Roman"/>
        </w:rPr>
        <w:t>људима</w:t>
      </w:r>
      <w:r w:rsidR="002345F7" w:rsidRPr="00295637">
        <w:rPr>
          <w:rFonts w:ascii="Times New Roman" w:hAnsi="Times New Roman"/>
        </w:rPr>
        <w:t xml:space="preserve"> </w:t>
      </w:r>
      <w:r>
        <w:rPr>
          <w:rFonts w:ascii="Times New Roman" w:hAnsi="Times New Roman"/>
        </w:rPr>
        <w:t>и</w:t>
      </w:r>
      <w:r w:rsidR="002345F7" w:rsidRPr="00295637">
        <w:rPr>
          <w:rFonts w:ascii="Times New Roman" w:hAnsi="Times New Roman"/>
        </w:rPr>
        <w:t xml:space="preserve"> </w:t>
      </w:r>
      <w:r>
        <w:rPr>
          <w:rFonts w:ascii="Times New Roman" w:hAnsi="Times New Roman"/>
        </w:rPr>
        <w:t>кријумчарењем</w:t>
      </w:r>
      <w:r w:rsidR="004F5806" w:rsidRPr="00295637">
        <w:rPr>
          <w:rFonts w:ascii="Times New Roman" w:hAnsi="Times New Roman"/>
        </w:rPr>
        <w:t xml:space="preserve"> </w:t>
      </w:r>
      <w:r>
        <w:rPr>
          <w:rFonts w:ascii="Times New Roman" w:hAnsi="Times New Roman"/>
        </w:rPr>
        <w:t>миграната</w:t>
      </w:r>
      <w:r w:rsidR="004F5806" w:rsidRPr="00295637">
        <w:rPr>
          <w:rFonts w:ascii="Times New Roman" w:hAnsi="Times New Roman"/>
        </w:rPr>
        <w:t xml:space="preserve">. </w:t>
      </w:r>
      <w:r>
        <w:rPr>
          <w:rFonts w:ascii="Times New Roman" w:hAnsi="Times New Roman"/>
        </w:rPr>
        <w:t>Полицијски</w:t>
      </w:r>
      <w:r w:rsidR="004F5806" w:rsidRPr="00295637">
        <w:rPr>
          <w:rFonts w:ascii="Times New Roman" w:hAnsi="Times New Roman"/>
        </w:rPr>
        <w:t xml:space="preserve"> </w:t>
      </w:r>
      <w:r>
        <w:rPr>
          <w:rFonts w:ascii="Times New Roman" w:hAnsi="Times New Roman"/>
        </w:rPr>
        <w:t>службеници</w:t>
      </w:r>
      <w:r w:rsidR="004F5806" w:rsidRPr="00295637">
        <w:rPr>
          <w:rFonts w:ascii="Times New Roman" w:hAnsi="Times New Roman"/>
        </w:rPr>
        <w:t xml:space="preserve"> </w:t>
      </w:r>
      <w:r>
        <w:rPr>
          <w:rFonts w:ascii="Times New Roman" w:hAnsi="Times New Roman"/>
        </w:rPr>
        <w:t>ГП</w:t>
      </w:r>
      <w:r w:rsidR="009E54A2" w:rsidRPr="00295637">
        <w:rPr>
          <w:rFonts w:ascii="Times New Roman" w:hAnsi="Times New Roman"/>
        </w:rPr>
        <w:t xml:space="preserve"> </w:t>
      </w:r>
      <w:r>
        <w:rPr>
          <w:rFonts w:ascii="Times New Roman" w:hAnsi="Times New Roman"/>
        </w:rPr>
        <w:t>БиХ</w:t>
      </w:r>
      <w:r w:rsidR="00815DF9">
        <w:rPr>
          <w:rFonts w:ascii="Times New Roman" w:hAnsi="Times New Roman"/>
        </w:rPr>
        <w:t xml:space="preserve">, </w:t>
      </w:r>
      <w:r>
        <w:rPr>
          <w:rFonts w:ascii="Times New Roman" w:hAnsi="Times New Roman"/>
        </w:rPr>
        <w:t>њих</w:t>
      </w:r>
      <w:r w:rsidR="00815DF9">
        <w:rPr>
          <w:rFonts w:ascii="Times New Roman" w:hAnsi="Times New Roman"/>
        </w:rPr>
        <w:t xml:space="preserve"> 38,</w:t>
      </w:r>
      <w:r w:rsidR="009E54A2" w:rsidRPr="00295637">
        <w:rPr>
          <w:rFonts w:ascii="Times New Roman" w:hAnsi="Times New Roman"/>
        </w:rPr>
        <w:t xml:space="preserve"> </w:t>
      </w:r>
      <w:r>
        <w:rPr>
          <w:rFonts w:ascii="Times New Roman" w:hAnsi="Times New Roman"/>
        </w:rPr>
        <w:t>учествовали</w:t>
      </w:r>
      <w:r w:rsidR="004F5806" w:rsidRPr="00295637">
        <w:rPr>
          <w:rFonts w:ascii="Times New Roman" w:hAnsi="Times New Roman"/>
        </w:rPr>
        <w:t xml:space="preserve"> </w:t>
      </w:r>
      <w:r>
        <w:rPr>
          <w:rFonts w:ascii="Times New Roman" w:hAnsi="Times New Roman"/>
        </w:rPr>
        <w:t>су</w:t>
      </w:r>
      <w:r w:rsidR="004F5806" w:rsidRPr="00295637">
        <w:rPr>
          <w:rFonts w:ascii="Times New Roman" w:hAnsi="Times New Roman"/>
        </w:rPr>
        <w:t xml:space="preserve"> </w:t>
      </w:r>
      <w:r>
        <w:rPr>
          <w:rFonts w:ascii="Times New Roman" w:hAnsi="Times New Roman"/>
        </w:rPr>
        <w:t>на</w:t>
      </w:r>
      <w:r w:rsidR="00A54382" w:rsidRPr="00295637">
        <w:rPr>
          <w:rFonts w:ascii="Times New Roman" w:hAnsi="Times New Roman"/>
        </w:rPr>
        <w:t xml:space="preserve"> </w:t>
      </w:r>
      <w:r>
        <w:rPr>
          <w:rFonts w:ascii="Times New Roman" w:hAnsi="Times New Roman"/>
        </w:rPr>
        <w:t>обукама</w:t>
      </w:r>
      <w:r w:rsidR="00A54382" w:rsidRPr="00295637">
        <w:rPr>
          <w:rFonts w:ascii="Times New Roman" w:hAnsi="Times New Roman"/>
        </w:rPr>
        <w:t xml:space="preserve"> </w:t>
      </w:r>
      <w:r>
        <w:rPr>
          <w:rFonts w:ascii="Times New Roman" w:hAnsi="Times New Roman"/>
        </w:rPr>
        <w:t>у</w:t>
      </w:r>
      <w:r w:rsidR="004B54B0">
        <w:rPr>
          <w:rFonts w:ascii="Times New Roman" w:hAnsi="Times New Roman"/>
        </w:rPr>
        <w:t xml:space="preserve"> </w:t>
      </w:r>
      <w:r>
        <w:rPr>
          <w:rFonts w:ascii="Times New Roman" w:hAnsi="Times New Roman"/>
        </w:rPr>
        <w:t>вези</w:t>
      </w:r>
      <w:r w:rsidR="004B54B0">
        <w:rPr>
          <w:rFonts w:ascii="Times New Roman" w:hAnsi="Times New Roman"/>
        </w:rPr>
        <w:t xml:space="preserve"> </w:t>
      </w:r>
      <w:r>
        <w:rPr>
          <w:rFonts w:ascii="Times New Roman" w:hAnsi="Times New Roman"/>
        </w:rPr>
        <w:t>са</w:t>
      </w:r>
      <w:r w:rsidR="00A54382" w:rsidRPr="00295637">
        <w:rPr>
          <w:rFonts w:ascii="Times New Roman" w:hAnsi="Times New Roman"/>
        </w:rPr>
        <w:t xml:space="preserve"> </w:t>
      </w:r>
      <w:r>
        <w:rPr>
          <w:rFonts w:ascii="Times New Roman" w:hAnsi="Times New Roman"/>
        </w:rPr>
        <w:t>темом</w:t>
      </w:r>
      <w:r w:rsidR="00A54382" w:rsidRPr="00295637">
        <w:rPr>
          <w:rFonts w:ascii="Times New Roman" w:hAnsi="Times New Roman"/>
        </w:rPr>
        <w:t xml:space="preserve"> </w:t>
      </w:r>
      <w:r>
        <w:rPr>
          <w:rFonts w:ascii="Times New Roman" w:hAnsi="Times New Roman"/>
        </w:rPr>
        <w:t>кријумчарења</w:t>
      </w:r>
      <w:r w:rsidR="004F5806" w:rsidRPr="00295637">
        <w:rPr>
          <w:rFonts w:ascii="Times New Roman" w:hAnsi="Times New Roman"/>
        </w:rPr>
        <w:t xml:space="preserve"> </w:t>
      </w:r>
      <w:r>
        <w:rPr>
          <w:rFonts w:ascii="Times New Roman" w:hAnsi="Times New Roman"/>
        </w:rPr>
        <w:t>и</w:t>
      </w:r>
      <w:r w:rsidR="004F5806" w:rsidRPr="00295637">
        <w:rPr>
          <w:rFonts w:ascii="Times New Roman" w:hAnsi="Times New Roman"/>
        </w:rPr>
        <w:t xml:space="preserve"> </w:t>
      </w:r>
      <w:r>
        <w:rPr>
          <w:rFonts w:ascii="Times New Roman" w:hAnsi="Times New Roman"/>
        </w:rPr>
        <w:t>трговине</w:t>
      </w:r>
      <w:r w:rsidR="004F5806" w:rsidRPr="00295637">
        <w:rPr>
          <w:rFonts w:ascii="Times New Roman" w:hAnsi="Times New Roman"/>
        </w:rPr>
        <w:t xml:space="preserve"> </w:t>
      </w:r>
      <w:r>
        <w:rPr>
          <w:rFonts w:ascii="Times New Roman" w:hAnsi="Times New Roman"/>
        </w:rPr>
        <w:t>људима</w:t>
      </w:r>
      <w:r w:rsidR="004F5806" w:rsidRPr="00295637">
        <w:rPr>
          <w:rFonts w:ascii="Times New Roman" w:hAnsi="Times New Roman"/>
        </w:rPr>
        <w:t xml:space="preserve">, </w:t>
      </w:r>
      <w:r>
        <w:rPr>
          <w:rFonts w:ascii="Times New Roman" w:hAnsi="Times New Roman"/>
        </w:rPr>
        <w:t>што</w:t>
      </w:r>
      <w:r w:rsidR="004F5806" w:rsidRPr="00295637">
        <w:rPr>
          <w:rFonts w:ascii="Times New Roman" w:hAnsi="Times New Roman"/>
        </w:rPr>
        <w:t xml:space="preserve"> </w:t>
      </w:r>
      <w:r>
        <w:rPr>
          <w:rFonts w:ascii="Times New Roman" w:hAnsi="Times New Roman"/>
        </w:rPr>
        <w:t>је</w:t>
      </w:r>
      <w:r w:rsidR="004F5806" w:rsidRPr="00295637">
        <w:rPr>
          <w:rFonts w:ascii="Times New Roman" w:hAnsi="Times New Roman"/>
        </w:rPr>
        <w:t xml:space="preserve"> </w:t>
      </w:r>
      <w:r>
        <w:rPr>
          <w:rFonts w:ascii="Times New Roman" w:hAnsi="Times New Roman"/>
        </w:rPr>
        <w:t>допринијело</w:t>
      </w:r>
      <w:r w:rsidR="002345F7" w:rsidRPr="00295637">
        <w:rPr>
          <w:rFonts w:ascii="Times New Roman" w:hAnsi="Times New Roman"/>
        </w:rPr>
        <w:t xml:space="preserve"> </w:t>
      </w:r>
      <w:r>
        <w:rPr>
          <w:rFonts w:ascii="Times New Roman" w:hAnsi="Times New Roman"/>
        </w:rPr>
        <w:t>јачању</w:t>
      </w:r>
      <w:r w:rsidR="002345F7" w:rsidRPr="00295637">
        <w:rPr>
          <w:rFonts w:ascii="Times New Roman" w:hAnsi="Times New Roman"/>
        </w:rPr>
        <w:t xml:space="preserve"> </w:t>
      </w:r>
      <w:r>
        <w:rPr>
          <w:rFonts w:ascii="Times New Roman" w:hAnsi="Times New Roman"/>
        </w:rPr>
        <w:t>стручних</w:t>
      </w:r>
      <w:r w:rsidR="002345F7" w:rsidRPr="00295637">
        <w:rPr>
          <w:rFonts w:ascii="Times New Roman" w:hAnsi="Times New Roman"/>
        </w:rPr>
        <w:t xml:space="preserve"> </w:t>
      </w:r>
      <w:r>
        <w:rPr>
          <w:rFonts w:ascii="Times New Roman" w:hAnsi="Times New Roman"/>
        </w:rPr>
        <w:t>тимова</w:t>
      </w:r>
      <w:r w:rsidR="002345F7" w:rsidRPr="00295637">
        <w:rPr>
          <w:rFonts w:ascii="Times New Roman" w:hAnsi="Times New Roman"/>
        </w:rPr>
        <w:t xml:space="preserve"> </w:t>
      </w:r>
      <w:r>
        <w:rPr>
          <w:rFonts w:ascii="Times New Roman" w:hAnsi="Times New Roman"/>
        </w:rPr>
        <w:t>за</w:t>
      </w:r>
      <w:r w:rsidR="002345F7" w:rsidRPr="00295637">
        <w:rPr>
          <w:rFonts w:ascii="Times New Roman" w:hAnsi="Times New Roman"/>
        </w:rPr>
        <w:t xml:space="preserve"> </w:t>
      </w:r>
      <w:r>
        <w:rPr>
          <w:rFonts w:ascii="Times New Roman" w:hAnsi="Times New Roman"/>
        </w:rPr>
        <w:t>истраживање</w:t>
      </w:r>
      <w:r w:rsidR="002345F7" w:rsidRPr="00295637">
        <w:rPr>
          <w:rFonts w:ascii="Times New Roman" w:hAnsi="Times New Roman"/>
        </w:rPr>
        <w:t xml:space="preserve"> </w:t>
      </w:r>
      <w:r>
        <w:rPr>
          <w:rFonts w:ascii="Times New Roman" w:hAnsi="Times New Roman"/>
        </w:rPr>
        <w:t>кривичних</w:t>
      </w:r>
      <w:r w:rsidR="004F5806" w:rsidRPr="00295637">
        <w:rPr>
          <w:rFonts w:ascii="Times New Roman" w:hAnsi="Times New Roman"/>
        </w:rPr>
        <w:t xml:space="preserve"> </w:t>
      </w:r>
      <w:r>
        <w:rPr>
          <w:rFonts w:ascii="Times New Roman" w:hAnsi="Times New Roman"/>
        </w:rPr>
        <w:t>дјела</w:t>
      </w:r>
      <w:r w:rsidR="004F5806" w:rsidRPr="00295637">
        <w:rPr>
          <w:rFonts w:ascii="Times New Roman" w:hAnsi="Times New Roman"/>
        </w:rPr>
        <w:t xml:space="preserve"> </w:t>
      </w:r>
      <w:r>
        <w:rPr>
          <w:rFonts w:ascii="Times New Roman" w:hAnsi="Times New Roman"/>
        </w:rPr>
        <w:t>трговине</w:t>
      </w:r>
      <w:r w:rsidR="004F5806" w:rsidRPr="00295637">
        <w:rPr>
          <w:rFonts w:ascii="Times New Roman" w:hAnsi="Times New Roman"/>
        </w:rPr>
        <w:t xml:space="preserve"> </w:t>
      </w:r>
      <w:r>
        <w:rPr>
          <w:rFonts w:ascii="Times New Roman" w:hAnsi="Times New Roman"/>
        </w:rPr>
        <w:t>људима</w:t>
      </w:r>
      <w:r w:rsidR="002345F7" w:rsidRPr="00295637">
        <w:rPr>
          <w:rFonts w:ascii="Times New Roman" w:hAnsi="Times New Roman"/>
        </w:rPr>
        <w:t xml:space="preserve"> </w:t>
      </w:r>
      <w:r>
        <w:rPr>
          <w:rFonts w:ascii="Times New Roman" w:hAnsi="Times New Roman"/>
        </w:rPr>
        <w:t>и</w:t>
      </w:r>
      <w:r w:rsidR="004F5806" w:rsidRPr="00295637">
        <w:rPr>
          <w:rFonts w:ascii="Times New Roman" w:hAnsi="Times New Roman"/>
        </w:rPr>
        <w:t xml:space="preserve"> </w:t>
      </w:r>
      <w:r>
        <w:rPr>
          <w:rFonts w:ascii="Times New Roman" w:hAnsi="Times New Roman"/>
        </w:rPr>
        <w:t>сузбијању</w:t>
      </w:r>
      <w:r w:rsidR="004F5806" w:rsidRPr="00295637">
        <w:rPr>
          <w:rFonts w:ascii="Times New Roman" w:hAnsi="Times New Roman"/>
        </w:rPr>
        <w:t xml:space="preserve"> </w:t>
      </w:r>
      <w:r>
        <w:rPr>
          <w:rFonts w:ascii="Times New Roman" w:hAnsi="Times New Roman"/>
        </w:rPr>
        <w:t>стигме</w:t>
      </w:r>
      <w:r w:rsidR="004F5806" w:rsidRPr="00295637">
        <w:rPr>
          <w:rFonts w:ascii="Times New Roman" w:hAnsi="Times New Roman"/>
        </w:rPr>
        <w:t xml:space="preserve"> </w:t>
      </w:r>
      <w:r>
        <w:rPr>
          <w:rFonts w:ascii="Times New Roman" w:hAnsi="Times New Roman"/>
        </w:rPr>
        <w:t>о</w:t>
      </w:r>
      <w:r w:rsidR="004F5806" w:rsidRPr="00295637">
        <w:rPr>
          <w:rFonts w:ascii="Times New Roman" w:hAnsi="Times New Roman"/>
        </w:rPr>
        <w:t xml:space="preserve"> </w:t>
      </w:r>
      <w:r>
        <w:rPr>
          <w:rFonts w:ascii="Times New Roman" w:hAnsi="Times New Roman"/>
        </w:rPr>
        <w:t>вишеструко</w:t>
      </w:r>
      <w:r w:rsidR="004F5806" w:rsidRPr="00295637">
        <w:rPr>
          <w:rFonts w:ascii="Times New Roman" w:hAnsi="Times New Roman"/>
        </w:rPr>
        <w:t xml:space="preserve"> </w:t>
      </w:r>
      <w:r>
        <w:rPr>
          <w:rFonts w:ascii="Times New Roman" w:hAnsi="Times New Roman"/>
        </w:rPr>
        <w:t>маргинализ</w:t>
      </w:r>
      <w:r w:rsidR="00A65D3C">
        <w:rPr>
          <w:rFonts w:ascii="Times New Roman" w:hAnsi="Times New Roman"/>
          <w:lang w:val="sr-Cyrl-BA"/>
        </w:rPr>
        <w:t>ованим</w:t>
      </w:r>
      <w:r w:rsidR="004F5806" w:rsidRPr="00295637">
        <w:rPr>
          <w:rFonts w:ascii="Times New Roman" w:hAnsi="Times New Roman"/>
        </w:rPr>
        <w:t xml:space="preserve"> </w:t>
      </w:r>
      <w:r>
        <w:rPr>
          <w:rFonts w:ascii="Times New Roman" w:hAnsi="Times New Roman"/>
        </w:rPr>
        <w:t>групама</w:t>
      </w:r>
      <w:r w:rsidR="004F5806" w:rsidRPr="00295637">
        <w:rPr>
          <w:rFonts w:ascii="Times New Roman" w:hAnsi="Times New Roman"/>
        </w:rPr>
        <w:t xml:space="preserve"> </w:t>
      </w:r>
      <w:r>
        <w:rPr>
          <w:rFonts w:ascii="Times New Roman" w:hAnsi="Times New Roman"/>
        </w:rPr>
        <w:t>које</w:t>
      </w:r>
      <w:r w:rsidR="004F5806" w:rsidRPr="00295637">
        <w:rPr>
          <w:rFonts w:ascii="Times New Roman" w:hAnsi="Times New Roman"/>
        </w:rPr>
        <w:t xml:space="preserve"> </w:t>
      </w:r>
      <w:r>
        <w:rPr>
          <w:rFonts w:ascii="Times New Roman" w:hAnsi="Times New Roman"/>
        </w:rPr>
        <w:t>су</w:t>
      </w:r>
      <w:r w:rsidR="004F5806" w:rsidRPr="00295637">
        <w:rPr>
          <w:rFonts w:ascii="Times New Roman" w:hAnsi="Times New Roman"/>
        </w:rPr>
        <w:t xml:space="preserve"> </w:t>
      </w:r>
      <w:r>
        <w:rPr>
          <w:rFonts w:ascii="Times New Roman" w:hAnsi="Times New Roman"/>
        </w:rPr>
        <w:t>у</w:t>
      </w:r>
      <w:r w:rsidR="004F5806" w:rsidRPr="00295637">
        <w:rPr>
          <w:rFonts w:ascii="Times New Roman" w:hAnsi="Times New Roman"/>
        </w:rPr>
        <w:t xml:space="preserve"> </w:t>
      </w:r>
      <w:r>
        <w:rPr>
          <w:rFonts w:ascii="Times New Roman" w:hAnsi="Times New Roman"/>
        </w:rPr>
        <w:t>ризику</w:t>
      </w:r>
      <w:r w:rsidR="004F5806" w:rsidRPr="00295637">
        <w:rPr>
          <w:rFonts w:ascii="Times New Roman" w:hAnsi="Times New Roman"/>
        </w:rPr>
        <w:t xml:space="preserve"> </w:t>
      </w:r>
      <w:r>
        <w:rPr>
          <w:rFonts w:ascii="Times New Roman" w:hAnsi="Times New Roman"/>
        </w:rPr>
        <w:t>од</w:t>
      </w:r>
      <w:r w:rsidR="009E4D64" w:rsidRPr="00295637">
        <w:rPr>
          <w:rFonts w:ascii="Times New Roman" w:hAnsi="Times New Roman"/>
        </w:rPr>
        <w:t xml:space="preserve"> </w:t>
      </w:r>
      <w:r>
        <w:rPr>
          <w:rFonts w:ascii="Times New Roman" w:hAnsi="Times New Roman"/>
        </w:rPr>
        <w:t>родно</w:t>
      </w:r>
      <w:r w:rsidR="009E4D64" w:rsidRPr="00295637">
        <w:rPr>
          <w:rFonts w:ascii="Times New Roman" w:hAnsi="Times New Roman"/>
        </w:rPr>
        <w:t xml:space="preserve"> </w:t>
      </w:r>
      <w:r>
        <w:rPr>
          <w:rFonts w:ascii="Times New Roman" w:hAnsi="Times New Roman"/>
        </w:rPr>
        <w:t>заснованог</w:t>
      </w:r>
      <w:r w:rsidR="009E4D64" w:rsidRPr="00295637">
        <w:rPr>
          <w:rFonts w:ascii="Times New Roman" w:hAnsi="Times New Roman"/>
        </w:rPr>
        <w:t xml:space="preserve"> </w:t>
      </w:r>
      <w:r>
        <w:rPr>
          <w:rFonts w:ascii="Times New Roman" w:hAnsi="Times New Roman"/>
        </w:rPr>
        <w:t>насиља</w:t>
      </w:r>
      <w:r w:rsidR="009E4D64" w:rsidRPr="00295637">
        <w:rPr>
          <w:rFonts w:ascii="Times New Roman" w:hAnsi="Times New Roman"/>
        </w:rPr>
        <w:t xml:space="preserve"> </w:t>
      </w:r>
      <w:r>
        <w:rPr>
          <w:rFonts w:ascii="Times New Roman" w:hAnsi="Times New Roman"/>
        </w:rPr>
        <w:t>укључујући</w:t>
      </w:r>
      <w:r w:rsidR="004F5806" w:rsidRPr="00295637">
        <w:rPr>
          <w:rFonts w:ascii="Times New Roman" w:hAnsi="Times New Roman"/>
        </w:rPr>
        <w:t xml:space="preserve"> </w:t>
      </w:r>
      <w:r>
        <w:rPr>
          <w:rFonts w:ascii="Times New Roman" w:hAnsi="Times New Roman"/>
        </w:rPr>
        <w:t>трговину</w:t>
      </w:r>
      <w:r w:rsidR="004F5806" w:rsidRPr="00295637">
        <w:rPr>
          <w:rFonts w:ascii="Times New Roman" w:hAnsi="Times New Roman"/>
        </w:rPr>
        <w:t xml:space="preserve"> </w:t>
      </w:r>
      <w:r>
        <w:rPr>
          <w:rFonts w:ascii="Times New Roman" w:hAnsi="Times New Roman"/>
        </w:rPr>
        <w:t>људима</w:t>
      </w:r>
      <w:r w:rsidR="00A54382" w:rsidRPr="00295637">
        <w:rPr>
          <w:rFonts w:ascii="Times New Roman" w:hAnsi="Times New Roman"/>
        </w:rPr>
        <w:t>.</w:t>
      </w:r>
    </w:p>
    <w:p w:rsidR="009E4D64" w:rsidRPr="00295637" w:rsidRDefault="009E4D64" w:rsidP="0086268D">
      <w:pPr>
        <w:jc w:val="both"/>
        <w:rPr>
          <w:rFonts w:ascii="Times New Roman" w:hAnsi="Times New Roman"/>
          <w:szCs w:val="24"/>
        </w:rPr>
      </w:pPr>
    </w:p>
    <w:p w:rsidR="002B7DEA" w:rsidRPr="00295637" w:rsidRDefault="00C6214E" w:rsidP="0086268D">
      <w:pPr>
        <w:jc w:val="both"/>
        <w:rPr>
          <w:rFonts w:ascii="Times New Roman" w:hAnsi="Times New Roman"/>
          <w:szCs w:val="24"/>
        </w:rPr>
      </w:pPr>
      <w:r>
        <w:rPr>
          <w:rFonts w:ascii="Times New Roman" w:hAnsi="Times New Roman"/>
          <w:szCs w:val="24"/>
          <w:lang w:eastAsia="hr-HR"/>
        </w:rPr>
        <w:t>У</w:t>
      </w:r>
      <w:r w:rsidR="00CB31FB" w:rsidRPr="00295637">
        <w:rPr>
          <w:rFonts w:ascii="Times New Roman" w:hAnsi="Times New Roman"/>
          <w:szCs w:val="24"/>
          <w:lang w:eastAsia="hr-HR"/>
        </w:rPr>
        <w:t xml:space="preserve"> </w:t>
      </w:r>
      <w:r>
        <w:rPr>
          <w:rFonts w:ascii="Times New Roman" w:hAnsi="Times New Roman"/>
          <w:szCs w:val="24"/>
          <w:lang w:eastAsia="hr-HR"/>
        </w:rPr>
        <w:t>извјештајном</w:t>
      </w:r>
      <w:r w:rsidR="00CB31FB" w:rsidRPr="00295637">
        <w:rPr>
          <w:rFonts w:ascii="Times New Roman" w:hAnsi="Times New Roman"/>
          <w:szCs w:val="24"/>
          <w:lang w:eastAsia="hr-HR"/>
        </w:rPr>
        <w:t xml:space="preserve"> </w:t>
      </w:r>
      <w:r>
        <w:rPr>
          <w:rFonts w:ascii="Times New Roman" w:hAnsi="Times New Roman"/>
          <w:szCs w:val="24"/>
          <w:lang w:eastAsia="hr-HR"/>
        </w:rPr>
        <w:t>периоду</w:t>
      </w:r>
      <w:r w:rsidR="00CB31FB" w:rsidRPr="00295637">
        <w:rPr>
          <w:rFonts w:ascii="Times New Roman" w:hAnsi="Times New Roman"/>
          <w:szCs w:val="24"/>
          <w:lang w:eastAsia="hr-HR"/>
        </w:rPr>
        <w:t xml:space="preserve"> </w:t>
      </w:r>
      <w:r w:rsidR="00A65D3C">
        <w:rPr>
          <w:rFonts w:ascii="Times New Roman" w:hAnsi="Times New Roman"/>
          <w:szCs w:val="24"/>
          <w:lang w:eastAsia="hr-HR"/>
        </w:rPr>
        <w:t xml:space="preserve">је </w:t>
      </w:r>
      <w:r>
        <w:rPr>
          <w:rFonts w:ascii="Times New Roman" w:hAnsi="Times New Roman"/>
          <w:szCs w:val="24"/>
          <w:lang w:eastAsia="hr-HR"/>
        </w:rPr>
        <w:t>одржано</w:t>
      </w:r>
      <w:r w:rsidR="00CB31FB" w:rsidRPr="00295637">
        <w:rPr>
          <w:rFonts w:ascii="Times New Roman" w:hAnsi="Times New Roman"/>
          <w:szCs w:val="24"/>
          <w:lang w:eastAsia="hr-HR"/>
        </w:rPr>
        <w:t xml:space="preserve"> </w:t>
      </w:r>
      <w:r>
        <w:rPr>
          <w:rFonts w:ascii="Times New Roman" w:hAnsi="Times New Roman"/>
          <w:szCs w:val="24"/>
          <w:lang w:eastAsia="hr-HR"/>
        </w:rPr>
        <w:t>на</w:t>
      </w:r>
      <w:r w:rsidR="00CB31FB" w:rsidRPr="00295637">
        <w:rPr>
          <w:rFonts w:ascii="Times New Roman" w:hAnsi="Times New Roman"/>
          <w:szCs w:val="24"/>
          <w:lang w:eastAsia="hr-HR"/>
        </w:rPr>
        <w:t xml:space="preserve"> </w:t>
      </w:r>
      <w:r>
        <w:rPr>
          <w:rFonts w:ascii="Times New Roman" w:hAnsi="Times New Roman"/>
          <w:szCs w:val="24"/>
          <w:lang w:eastAsia="hr-HR"/>
        </w:rPr>
        <w:t>десетине</w:t>
      </w:r>
      <w:r w:rsidR="00CB31FB" w:rsidRPr="00295637">
        <w:rPr>
          <w:rFonts w:ascii="Times New Roman" w:hAnsi="Times New Roman"/>
          <w:szCs w:val="24"/>
          <w:lang w:eastAsia="hr-HR"/>
        </w:rPr>
        <w:t xml:space="preserve"> </w:t>
      </w:r>
      <w:r>
        <w:rPr>
          <w:rFonts w:ascii="Times New Roman" w:hAnsi="Times New Roman"/>
          <w:szCs w:val="24"/>
          <w:lang w:eastAsia="hr-HR"/>
        </w:rPr>
        <w:t>обука</w:t>
      </w:r>
      <w:r w:rsidR="00CB31FB" w:rsidRPr="00295637">
        <w:rPr>
          <w:rFonts w:ascii="Times New Roman" w:hAnsi="Times New Roman"/>
          <w:szCs w:val="24"/>
          <w:lang w:eastAsia="hr-HR"/>
        </w:rPr>
        <w:t xml:space="preserve"> </w:t>
      </w:r>
      <w:r>
        <w:rPr>
          <w:rFonts w:ascii="Times New Roman" w:hAnsi="Times New Roman"/>
          <w:szCs w:val="24"/>
          <w:lang w:eastAsia="hr-HR"/>
        </w:rPr>
        <w:t>из</w:t>
      </w:r>
      <w:r w:rsidR="00CB31FB" w:rsidRPr="00295637">
        <w:rPr>
          <w:rFonts w:ascii="Times New Roman" w:hAnsi="Times New Roman"/>
          <w:szCs w:val="24"/>
          <w:lang w:eastAsia="hr-HR"/>
        </w:rPr>
        <w:t xml:space="preserve"> </w:t>
      </w:r>
      <w:r>
        <w:rPr>
          <w:rFonts w:ascii="Times New Roman" w:hAnsi="Times New Roman"/>
          <w:szCs w:val="24"/>
          <w:lang w:eastAsia="hr-HR"/>
        </w:rPr>
        <w:t>ових</w:t>
      </w:r>
      <w:r w:rsidR="00CB31FB" w:rsidRPr="00295637">
        <w:rPr>
          <w:rFonts w:ascii="Times New Roman" w:hAnsi="Times New Roman"/>
          <w:szCs w:val="24"/>
          <w:lang w:eastAsia="hr-HR"/>
        </w:rPr>
        <w:t xml:space="preserve"> </w:t>
      </w:r>
      <w:r>
        <w:rPr>
          <w:rFonts w:ascii="Times New Roman" w:hAnsi="Times New Roman"/>
          <w:szCs w:val="24"/>
          <w:lang w:eastAsia="hr-HR"/>
        </w:rPr>
        <w:t>области</w:t>
      </w:r>
      <w:r w:rsidR="00CB31FB" w:rsidRPr="00295637">
        <w:rPr>
          <w:rFonts w:ascii="Times New Roman" w:hAnsi="Times New Roman"/>
          <w:szCs w:val="24"/>
          <w:lang w:eastAsia="hr-HR"/>
        </w:rPr>
        <w:t xml:space="preserve"> </w:t>
      </w:r>
      <w:r>
        <w:rPr>
          <w:rFonts w:ascii="Times New Roman" w:hAnsi="Times New Roman"/>
          <w:szCs w:val="24"/>
          <w:lang w:eastAsia="hr-HR"/>
        </w:rPr>
        <w:t>за</w:t>
      </w:r>
      <w:r w:rsidR="00CB31FB" w:rsidRPr="00295637">
        <w:rPr>
          <w:rFonts w:ascii="Times New Roman" w:hAnsi="Times New Roman"/>
          <w:szCs w:val="24"/>
          <w:lang w:eastAsia="hr-HR"/>
        </w:rPr>
        <w:t xml:space="preserve"> </w:t>
      </w:r>
      <w:r>
        <w:rPr>
          <w:rFonts w:ascii="Times New Roman" w:hAnsi="Times New Roman"/>
          <w:szCs w:val="24"/>
          <w:lang w:eastAsia="hr-HR"/>
        </w:rPr>
        <w:t>службенике</w:t>
      </w:r>
      <w:r w:rsidR="00CB31FB" w:rsidRPr="00295637">
        <w:rPr>
          <w:rFonts w:ascii="Times New Roman" w:hAnsi="Times New Roman"/>
          <w:szCs w:val="24"/>
          <w:lang w:eastAsia="hr-HR"/>
        </w:rPr>
        <w:t xml:space="preserve"> </w:t>
      </w:r>
      <w:r>
        <w:rPr>
          <w:rFonts w:ascii="Times New Roman" w:hAnsi="Times New Roman"/>
          <w:szCs w:val="24"/>
          <w:lang w:eastAsia="hr-HR"/>
        </w:rPr>
        <w:t>СИПА</w:t>
      </w:r>
      <w:r w:rsidR="00CB31FB" w:rsidRPr="00295637">
        <w:rPr>
          <w:rFonts w:ascii="Times New Roman" w:hAnsi="Times New Roman"/>
          <w:szCs w:val="24"/>
          <w:lang w:eastAsia="hr-HR"/>
        </w:rPr>
        <w:t>-</w:t>
      </w:r>
      <w:r>
        <w:rPr>
          <w:rFonts w:ascii="Times New Roman" w:hAnsi="Times New Roman"/>
          <w:szCs w:val="24"/>
          <w:lang w:eastAsia="hr-HR"/>
        </w:rPr>
        <w:t>е</w:t>
      </w:r>
      <w:r w:rsidR="00CB31FB" w:rsidRPr="00295637">
        <w:rPr>
          <w:rFonts w:ascii="Times New Roman" w:hAnsi="Times New Roman"/>
          <w:szCs w:val="24"/>
          <w:lang w:eastAsia="hr-HR"/>
        </w:rPr>
        <w:t xml:space="preserve">, </w:t>
      </w:r>
      <w:r>
        <w:rPr>
          <w:rFonts w:ascii="Times New Roman" w:hAnsi="Times New Roman"/>
          <w:szCs w:val="24"/>
          <w:lang w:eastAsia="hr-HR"/>
        </w:rPr>
        <w:t>а</w:t>
      </w:r>
      <w:r w:rsidR="00CB31FB" w:rsidRPr="00295637">
        <w:rPr>
          <w:rFonts w:ascii="Times New Roman" w:hAnsi="Times New Roman"/>
          <w:szCs w:val="24"/>
          <w:lang w:eastAsia="hr-HR"/>
        </w:rPr>
        <w:t xml:space="preserve"> </w:t>
      </w:r>
      <w:r>
        <w:rPr>
          <w:rFonts w:ascii="Times New Roman" w:hAnsi="Times New Roman"/>
          <w:szCs w:val="24"/>
          <w:lang w:eastAsia="hr-HR"/>
        </w:rPr>
        <w:t>планиране</w:t>
      </w:r>
      <w:r w:rsidR="00CB31FB" w:rsidRPr="00295637">
        <w:rPr>
          <w:rFonts w:ascii="Times New Roman" w:hAnsi="Times New Roman"/>
          <w:szCs w:val="24"/>
          <w:lang w:eastAsia="hr-HR"/>
        </w:rPr>
        <w:t xml:space="preserve"> </w:t>
      </w:r>
      <w:r>
        <w:rPr>
          <w:rFonts w:ascii="Times New Roman" w:hAnsi="Times New Roman"/>
          <w:szCs w:val="24"/>
          <w:lang w:eastAsia="hr-HR"/>
        </w:rPr>
        <w:t>су</w:t>
      </w:r>
      <w:r w:rsidR="00CB31FB" w:rsidRPr="00295637">
        <w:rPr>
          <w:rFonts w:ascii="Times New Roman" w:hAnsi="Times New Roman"/>
          <w:szCs w:val="24"/>
          <w:lang w:eastAsia="hr-HR"/>
        </w:rPr>
        <w:t xml:space="preserve"> </w:t>
      </w:r>
      <w:r w:rsidR="00A65D3C">
        <w:rPr>
          <w:rFonts w:ascii="Times New Roman" w:hAnsi="Times New Roman"/>
          <w:szCs w:val="24"/>
          <w:lang w:eastAsia="hr-HR"/>
        </w:rPr>
        <w:t>такође</w:t>
      </w:r>
      <w:r w:rsidR="00CB31FB" w:rsidRPr="00295637">
        <w:rPr>
          <w:rFonts w:ascii="Times New Roman" w:hAnsi="Times New Roman"/>
          <w:szCs w:val="24"/>
          <w:lang w:eastAsia="hr-HR"/>
        </w:rPr>
        <w:t xml:space="preserve"> </w:t>
      </w:r>
      <w:r>
        <w:rPr>
          <w:rFonts w:ascii="Times New Roman" w:hAnsi="Times New Roman"/>
          <w:szCs w:val="24"/>
          <w:lang w:eastAsia="hr-HR"/>
        </w:rPr>
        <w:t>и</w:t>
      </w:r>
      <w:r w:rsidR="00CB31FB" w:rsidRPr="00295637">
        <w:rPr>
          <w:rFonts w:ascii="Times New Roman" w:hAnsi="Times New Roman"/>
          <w:szCs w:val="24"/>
          <w:lang w:eastAsia="hr-HR"/>
        </w:rPr>
        <w:t xml:space="preserve"> </w:t>
      </w:r>
      <w:r>
        <w:rPr>
          <w:rFonts w:ascii="Times New Roman" w:hAnsi="Times New Roman"/>
          <w:szCs w:val="24"/>
          <w:lang w:eastAsia="hr-HR"/>
        </w:rPr>
        <w:t>у</w:t>
      </w:r>
      <w:r w:rsidR="00CB31FB" w:rsidRPr="00295637">
        <w:rPr>
          <w:rFonts w:ascii="Times New Roman" w:hAnsi="Times New Roman"/>
          <w:szCs w:val="24"/>
          <w:lang w:eastAsia="hr-HR"/>
        </w:rPr>
        <w:t xml:space="preserve"> </w:t>
      </w:r>
      <w:r>
        <w:rPr>
          <w:rFonts w:ascii="Times New Roman" w:hAnsi="Times New Roman"/>
          <w:szCs w:val="24"/>
          <w:lang w:eastAsia="hr-HR"/>
        </w:rPr>
        <w:t>Плану</w:t>
      </w:r>
      <w:r w:rsidR="00CB31FB" w:rsidRPr="00295637">
        <w:rPr>
          <w:rFonts w:ascii="Times New Roman" w:hAnsi="Times New Roman"/>
          <w:szCs w:val="24"/>
          <w:lang w:eastAsia="hr-HR"/>
        </w:rPr>
        <w:t xml:space="preserve"> </w:t>
      </w:r>
      <w:r>
        <w:rPr>
          <w:rFonts w:ascii="Times New Roman" w:hAnsi="Times New Roman"/>
          <w:szCs w:val="24"/>
          <w:lang w:eastAsia="hr-HR"/>
        </w:rPr>
        <w:t>обука</w:t>
      </w:r>
      <w:r w:rsidR="00CB31FB" w:rsidRPr="00295637">
        <w:rPr>
          <w:rFonts w:ascii="Times New Roman" w:hAnsi="Times New Roman"/>
          <w:szCs w:val="24"/>
          <w:lang w:eastAsia="hr-HR"/>
        </w:rPr>
        <w:t xml:space="preserve"> </w:t>
      </w:r>
      <w:r>
        <w:rPr>
          <w:rFonts w:ascii="Times New Roman" w:hAnsi="Times New Roman"/>
          <w:szCs w:val="24"/>
          <w:lang w:eastAsia="hr-HR"/>
        </w:rPr>
        <w:t>СИПА</w:t>
      </w:r>
      <w:r w:rsidR="00CB31FB" w:rsidRPr="00295637">
        <w:rPr>
          <w:rFonts w:ascii="Times New Roman" w:hAnsi="Times New Roman"/>
          <w:szCs w:val="24"/>
          <w:lang w:eastAsia="hr-HR"/>
        </w:rPr>
        <w:t>-</w:t>
      </w:r>
      <w:r>
        <w:rPr>
          <w:rFonts w:ascii="Times New Roman" w:hAnsi="Times New Roman"/>
          <w:szCs w:val="24"/>
          <w:lang w:eastAsia="hr-HR"/>
        </w:rPr>
        <w:t>е</w:t>
      </w:r>
      <w:r w:rsidR="00CB31FB" w:rsidRPr="00295637">
        <w:rPr>
          <w:rFonts w:ascii="Times New Roman" w:hAnsi="Times New Roman"/>
          <w:szCs w:val="24"/>
          <w:lang w:eastAsia="hr-HR"/>
        </w:rPr>
        <w:t xml:space="preserve"> </w:t>
      </w:r>
      <w:r>
        <w:rPr>
          <w:rFonts w:ascii="Times New Roman" w:hAnsi="Times New Roman"/>
          <w:szCs w:val="24"/>
          <w:lang w:eastAsia="hr-HR"/>
        </w:rPr>
        <w:t>за</w:t>
      </w:r>
      <w:r w:rsidR="00CB31FB" w:rsidRPr="00295637">
        <w:rPr>
          <w:rFonts w:ascii="Times New Roman" w:hAnsi="Times New Roman"/>
          <w:szCs w:val="24"/>
          <w:lang w:eastAsia="hr-HR"/>
        </w:rPr>
        <w:t xml:space="preserve"> 2025.</w:t>
      </w:r>
      <w:r w:rsidR="00954C7B">
        <w:rPr>
          <w:rFonts w:ascii="Times New Roman" w:hAnsi="Times New Roman"/>
          <w:szCs w:val="24"/>
          <w:lang w:eastAsia="hr-HR"/>
        </w:rPr>
        <w:t xml:space="preserve"> </w:t>
      </w:r>
      <w:r>
        <w:rPr>
          <w:rFonts w:ascii="Times New Roman" w:hAnsi="Times New Roman"/>
          <w:szCs w:val="24"/>
          <w:lang w:eastAsia="hr-HR"/>
        </w:rPr>
        <w:t>годину</w:t>
      </w:r>
      <w:r w:rsidR="00CB31FB" w:rsidRPr="00295637">
        <w:rPr>
          <w:rFonts w:ascii="Times New Roman" w:hAnsi="Times New Roman"/>
          <w:szCs w:val="24"/>
          <w:lang w:eastAsia="hr-HR"/>
        </w:rPr>
        <w:t>.</w:t>
      </w:r>
      <w:r w:rsidR="00F6203D" w:rsidRPr="00295637">
        <w:rPr>
          <w:rFonts w:ascii="Times New Roman" w:hAnsi="Times New Roman"/>
          <w:szCs w:val="24"/>
        </w:rPr>
        <w:t xml:space="preserve"> </w:t>
      </w:r>
      <w:r>
        <w:rPr>
          <w:rFonts w:ascii="Times New Roman" w:hAnsi="Times New Roman"/>
          <w:szCs w:val="24"/>
          <w:lang w:eastAsia="hr-HR"/>
        </w:rPr>
        <w:t>Јачање</w:t>
      </w:r>
      <w:r w:rsidR="00F6203D" w:rsidRPr="00295637">
        <w:rPr>
          <w:rFonts w:ascii="Times New Roman" w:hAnsi="Times New Roman"/>
          <w:szCs w:val="24"/>
          <w:lang w:eastAsia="hr-HR"/>
        </w:rPr>
        <w:t xml:space="preserve"> </w:t>
      </w:r>
      <w:r>
        <w:rPr>
          <w:rFonts w:ascii="Times New Roman" w:hAnsi="Times New Roman"/>
          <w:szCs w:val="24"/>
          <w:lang w:eastAsia="hr-HR"/>
        </w:rPr>
        <w:t>капацитета</w:t>
      </w:r>
      <w:r w:rsidR="00F6203D" w:rsidRPr="00295637">
        <w:rPr>
          <w:rFonts w:ascii="Times New Roman" w:hAnsi="Times New Roman"/>
          <w:szCs w:val="24"/>
          <w:lang w:eastAsia="hr-HR"/>
        </w:rPr>
        <w:t xml:space="preserve"> </w:t>
      </w:r>
      <w:r>
        <w:rPr>
          <w:rFonts w:ascii="Times New Roman" w:hAnsi="Times New Roman"/>
          <w:szCs w:val="24"/>
          <w:lang w:eastAsia="hr-HR"/>
        </w:rPr>
        <w:t>стручних</w:t>
      </w:r>
      <w:r w:rsidR="00F6203D" w:rsidRPr="00295637">
        <w:rPr>
          <w:rFonts w:ascii="Times New Roman" w:hAnsi="Times New Roman"/>
          <w:szCs w:val="24"/>
          <w:lang w:eastAsia="hr-HR"/>
        </w:rPr>
        <w:t xml:space="preserve"> </w:t>
      </w:r>
      <w:r>
        <w:rPr>
          <w:rFonts w:ascii="Times New Roman" w:hAnsi="Times New Roman"/>
          <w:szCs w:val="24"/>
          <w:lang w:eastAsia="hr-HR"/>
        </w:rPr>
        <w:t>тимова</w:t>
      </w:r>
      <w:r w:rsidR="00F6203D" w:rsidRPr="00295637">
        <w:rPr>
          <w:rFonts w:ascii="Times New Roman" w:hAnsi="Times New Roman"/>
          <w:szCs w:val="24"/>
          <w:lang w:eastAsia="hr-HR"/>
        </w:rPr>
        <w:t xml:space="preserve"> </w:t>
      </w:r>
      <w:r>
        <w:rPr>
          <w:rFonts w:ascii="Times New Roman" w:hAnsi="Times New Roman"/>
          <w:szCs w:val="24"/>
        </w:rPr>
        <w:t>за</w:t>
      </w:r>
      <w:r w:rsidR="00F6203D" w:rsidRPr="00295637">
        <w:rPr>
          <w:rFonts w:ascii="Times New Roman" w:hAnsi="Times New Roman"/>
          <w:szCs w:val="24"/>
        </w:rPr>
        <w:t xml:space="preserve"> </w:t>
      </w:r>
      <w:r>
        <w:rPr>
          <w:rFonts w:ascii="Times New Roman" w:hAnsi="Times New Roman"/>
          <w:szCs w:val="24"/>
        </w:rPr>
        <w:t>истраживање</w:t>
      </w:r>
      <w:r w:rsidR="00F6203D" w:rsidRPr="00295637">
        <w:rPr>
          <w:rFonts w:ascii="Times New Roman" w:hAnsi="Times New Roman"/>
          <w:szCs w:val="24"/>
        </w:rPr>
        <w:t xml:space="preserve"> </w:t>
      </w:r>
      <w:r>
        <w:rPr>
          <w:rFonts w:ascii="Times New Roman" w:hAnsi="Times New Roman"/>
          <w:szCs w:val="24"/>
        </w:rPr>
        <w:t>кривичних</w:t>
      </w:r>
      <w:r w:rsidR="00F6203D" w:rsidRPr="00295637">
        <w:rPr>
          <w:rFonts w:ascii="Times New Roman" w:hAnsi="Times New Roman"/>
          <w:szCs w:val="24"/>
        </w:rPr>
        <w:t xml:space="preserve"> </w:t>
      </w:r>
      <w:r>
        <w:rPr>
          <w:rFonts w:ascii="Times New Roman" w:hAnsi="Times New Roman"/>
          <w:szCs w:val="24"/>
        </w:rPr>
        <w:t>дјела</w:t>
      </w:r>
      <w:r w:rsidR="00F6203D" w:rsidRPr="00295637">
        <w:rPr>
          <w:rFonts w:ascii="Times New Roman" w:hAnsi="Times New Roman"/>
          <w:szCs w:val="24"/>
        </w:rPr>
        <w:t xml:space="preserve"> </w:t>
      </w:r>
      <w:r>
        <w:rPr>
          <w:rFonts w:ascii="Times New Roman" w:hAnsi="Times New Roman"/>
          <w:szCs w:val="24"/>
        </w:rPr>
        <w:t>трговине</w:t>
      </w:r>
      <w:r w:rsidR="00F6203D" w:rsidRPr="00295637">
        <w:rPr>
          <w:rFonts w:ascii="Times New Roman" w:hAnsi="Times New Roman"/>
          <w:szCs w:val="24"/>
        </w:rPr>
        <w:t xml:space="preserve"> </w:t>
      </w:r>
      <w:r>
        <w:rPr>
          <w:rFonts w:ascii="Times New Roman" w:hAnsi="Times New Roman"/>
          <w:szCs w:val="24"/>
        </w:rPr>
        <w:t>људима</w:t>
      </w:r>
      <w:r w:rsidR="00F6203D" w:rsidRPr="00295637">
        <w:rPr>
          <w:rFonts w:ascii="Times New Roman" w:hAnsi="Times New Roman"/>
          <w:szCs w:val="24"/>
          <w:lang w:eastAsia="hr-HR"/>
        </w:rPr>
        <w:t xml:space="preserve"> </w:t>
      </w:r>
      <w:r>
        <w:rPr>
          <w:rFonts w:ascii="Times New Roman" w:hAnsi="Times New Roman"/>
          <w:szCs w:val="24"/>
          <w:lang w:eastAsia="hr-HR"/>
        </w:rPr>
        <w:t>препознато</w:t>
      </w:r>
      <w:r w:rsidR="00F6203D" w:rsidRPr="00295637">
        <w:rPr>
          <w:rFonts w:ascii="Times New Roman" w:hAnsi="Times New Roman"/>
          <w:szCs w:val="24"/>
          <w:lang w:eastAsia="hr-HR"/>
        </w:rPr>
        <w:t xml:space="preserve"> </w:t>
      </w:r>
      <w:r>
        <w:rPr>
          <w:rFonts w:ascii="Times New Roman" w:hAnsi="Times New Roman"/>
          <w:szCs w:val="24"/>
          <w:lang w:eastAsia="hr-HR"/>
        </w:rPr>
        <w:t>је</w:t>
      </w:r>
      <w:r w:rsidR="00F6203D" w:rsidRPr="00295637">
        <w:rPr>
          <w:rFonts w:ascii="Times New Roman" w:hAnsi="Times New Roman"/>
          <w:szCs w:val="24"/>
          <w:lang w:eastAsia="hr-HR"/>
        </w:rPr>
        <w:t xml:space="preserve"> </w:t>
      </w:r>
      <w:r>
        <w:rPr>
          <w:rFonts w:ascii="Times New Roman" w:hAnsi="Times New Roman"/>
          <w:szCs w:val="24"/>
          <w:lang w:eastAsia="hr-HR"/>
        </w:rPr>
        <w:t>као</w:t>
      </w:r>
      <w:r w:rsidR="00F6203D" w:rsidRPr="00295637">
        <w:rPr>
          <w:rFonts w:ascii="Times New Roman" w:hAnsi="Times New Roman"/>
          <w:szCs w:val="24"/>
          <w:lang w:eastAsia="hr-HR"/>
        </w:rPr>
        <w:t xml:space="preserve"> </w:t>
      </w:r>
      <w:r>
        <w:rPr>
          <w:rFonts w:ascii="Times New Roman" w:hAnsi="Times New Roman"/>
          <w:szCs w:val="24"/>
          <w:lang w:eastAsia="hr-HR"/>
        </w:rPr>
        <w:t>приоритет</w:t>
      </w:r>
      <w:r w:rsidR="00F6203D" w:rsidRPr="00295637">
        <w:rPr>
          <w:rFonts w:ascii="Times New Roman" w:hAnsi="Times New Roman"/>
          <w:szCs w:val="24"/>
          <w:lang w:eastAsia="hr-HR"/>
        </w:rPr>
        <w:t xml:space="preserve"> </w:t>
      </w:r>
      <w:r>
        <w:rPr>
          <w:rFonts w:ascii="Times New Roman" w:hAnsi="Times New Roman"/>
          <w:szCs w:val="24"/>
          <w:lang w:eastAsia="hr-HR"/>
        </w:rPr>
        <w:t>СИПА</w:t>
      </w:r>
      <w:r w:rsidR="00CB76E6">
        <w:rPr>
          <w:rFonts w:ascii="Times New Roman" w:hAnsi="Times New Roman"/>
          <w:szCs w:val="24"/>
          <w:lang w:eastAsia="hr-HR"/>
        </w:rPr>
        <w:t>-</w:t>
      </w:r>
      <w:r>
        <w:rPr>
          <w:rFonts w:ascii="Times New Roman" w:hAnsi="Times New Roman"/>
          <w:szCs w:val="24"/>
          <w:lang w:eastAsia="hr-HR"/>
        </w:rPr>
        <w:t>е</w:t>
      </w:r>
      <w:r w:rsidR="00F6203D" w:rsidRPr="00295637">
        <w:rPr>
          <w:rFonts w:ascii="Times New Roman" w:hAnsi="Times New Roman"/>
          <w:szCs w:val="24"/>
          <w:lang w:eastAsia="hr-HR"/>
        </w:rPr>
        <w:t xml:space="preserve">, </w:t>
      </w:r>
      <w:r>
        <w:rPr>
          <w:rFonts w:ascii="Times New Roman" w:hAnsi="Times New Roman"/>
          <w:szCs w:val="24"/>
          <w:lang w:eastAsia="hr-HR"/>
        </w:rPr>
        <w:t>те</w:t>
      </w:r>
      <w:r w:rsidR="00F6203D" w:rsidRPr="00295637">
        <w:rPr>
          <w:rFonts w:ascii="Times New Roman" w:hAnsi="Times New Roman"/>
          <w:szCs w:val="24"/>
          <w:lang w:eastAsia="hr-HR"/>
        </w:rPr>
        <w:t xml:space="preserve"> </w:t>
      </w:r>
      <w:r>
        <w:rPr>
          <w:rFonts w:ascii="Times New Roman" w:hAnsi="Times New Roman"/>
          <w:szCs w:val="24"/>
          <w:lang w:eastAsia="hr-HR"/>
        </w:rPr>
        <w:t>су</w:t>
      </w:r>
      <w:r w:rsidR="00F6203D" w:rsidRPr="00295637">
        <w:rPr>
          <w:rFonts w:ascii="Times New Roman" w:hAnsi="Times New Roman"/>
          <w:szCs w:val="24"/>
          <w:lang w:eastAsia="hr-HR"/>
        </w:rPr>
        <w:t xml:space="preserve"> </w:t>
      </w:r>
      <w:r>
        <w:rPr>
          <w:rFonts w:ascii="Times New Roman" w:hAnsi="Times New Roman"/>
          <w:szCs w:val="24"/>
          <w:lang w:eastAsia="hr-HR"/>
        </w:rPr>
        <w:t>размотрене</w:t>
      </w:r>
      <w:r w:rsidR="00F6203D" w:rsidRPr="00295637">
        <w:rPr>
          <w:rFonts w:ascii="Times New Roman" w:hAnsi="Times New Roman"/>
          <w:szCs w:val="24"/>
          <w:lang w:eastAsia="hr-HR"/>
        </w:rPr>
        <w:t xml:space="preserve"> </w:t>
      </w:r>
      <w:r>
        <w:rPr>
          <w:rFonts w:ascii="Times New Roman" w:hAnsi="Times New Roman"/>
          <w:szCs w:val="24"/>
          <w:lang w:eastAsia="hr-HR"/>
        </w:rPr>
        <w:t>потребе</w:t>
      </w:r>
      <w:r w:rsidR="00F6203D" w:rsidRPr="00295637">
        <w:rPr>
          <w:rFonts w:ascii="Times New Roman" w:hAnsi="Times New Roman"/>
          <w:szCs w:val="24"/>
          <w:lang w:eastAsia="hr-HR"/>
        </w:rPr>
        <w:t xml:space="preserve"> </w:t>
      </w:r>
      <w:r>
        <w:rPr>
          <w:rFonts w:ascii="Times New Roman" w:hAnsi="Times New Roman"/>
          <w:szCs w:val="24"/>
          <w:lang w:eastAsia="hr-HR"/>
        </w:rPr>
        <w:t>за</w:t>
      </w:r>
      <w:r w:rsidR="00F6203D" w:rsidRPr="00295637">
        <w:rPr>
          <w:rFonts w:ascii="Times New Roman" w:hAnsi="Times New Roman"/>
          <w:szCs w:val="24"/>
          <w:lang w:eastAsia="hr-HR"/>
        </w:rPr>
        <w:t xml:space="preserve"> </w:t>
      </w:r>
      <w:r>
        <w:rPr>
          <w:rFonts w:ascii="Times New Roman" w:hAnsi="Times New Roman"/>
          <w:szCs w:val="24"/>
          <w:lang w:eastAsia="hr-HR"/>
        </w:rPr>
        <w:t>додатним</w:t>
      </w:r>
      <w:r w:rsidR="00F6203D" w:rsidRPr="00295637">
        <w:rPr>
          <w:rFonts w:ascii="Times New Roman" w:hAnsi="Times New Roman"/>
          <w:szCs w:val="24"/>
          <w:lang w:eastAsia="hr-HR"/>
        </w:rPr>
        <w:t xml:space="preserve"> </w:t>
      </w:r>
      <w:r>
        <w:rPr>
          <w:rFonts w:ascii="Times New Roman" w:hAnsi="Times New Roman"/>
          <w:szCs w:val="24"/>
          <w:lang w:eastAsia="hr-HR"/>
        </w:rPr>
        <w:t>профилима</w:t>
      </w:r>
      <w:r w:rsidR="00F6203D" w:rsidRPr="00295637">
        <w:rPr>
          <w:rFonts w:ascii="Times New Roman" w:hAnsi="Times New Roman"/>
          <w:szCs w:val="24"/>
          <w:lang w:eastAsia="hr-HR"/>
        </w:rPr>
        <w:t xml:space="preserve"> </w:t>
      </w:r>
      <w:r>
        <w:rPr>
          <w:rFonts w:ascii="Times New Roman" w:hAnsi="Times New Roman"/>
          <w:szCs w:val="24"/>
          <w:lang w:eastAsia="hr-HR"/>
        </w:rPr>
        <w:t>и</w:t>
      </w:r>
      <w:r w:rsidR="00F6203D" w:rsidRPr="00295637">
        <w:rPr>
          <w:rFonts w:ascii="Times New Roman" w:hAnsi="Times New Roman"/>
          <w:szCs w:val="24"/>
          <w:lang w:eastAsia="hr-HR"/>
        </w:rPr>
        <w:t xml:space="preserve"> </w:t>
      </w:r>
      <w:r>
        <w:rPr>
          <w:rFonts w:ascii="Times New Roman" w:hAnsi="Times New Roman"/>
          <w:szCs w:val="24"/>
          <w:lang w:eastAsia="hr-HR"/>
        </w:rPr>
        <w:t>обукама</w:t>
      </w:r>
      <w:r w:rsidR="00F6203D" w:rsidRPr="00295637">
        <w:rPr>
          <w:rFonts w:ascii="Times New Roman" w:hAnsi="Times New Roman"/>
          <w:szCs w:val="24"/>
          <w:lang w:eastAsia="hr-HR"/>
        </w:rPr>
        <w:t xml:space="preserve"> </w:t>
      </w:r>
      <w:r>
        <w:rPr>
          <w:rFonts w:ascii="Times New Roman" w:hAnsi="Times New Roman"/>
          <w:szCs w:val="24"/>
          <w:lang w:eastAsia="hr-HR"/>
        </w:rPr>
        <w:t>истражилаца</w:t>
      </w:r>
      <w:r w:rsidR="00F6203D" w:rsidRPr="00295637">
        <w:rPr>
          <w:rFonts w:ascii="Times New Roman" w:hAnsi="Times New Roman"/>
          <w:szCs w:val="24"/>
          <w:lang w:eastAsia="hr-HR"/>
        </w:rPr>
        <w:t xml:space="preserve">. </w:t>
      </w:r>
      <w:r>
        <w:rPr>
          <w:rFonts w:ascii="Times New Roman" w:hAnsi="Times New Roman"/>
          <w:szCs w:val="24"/>
          <w:lang w:eastAsia="hr-HR"/>
        </w:rPr>
        <w:t>Наставља</w:t>
      </w:r>
      <w:r w:rsidR="00F6203D" w:rsidRPr="00295637">
        <w:rPr>
          <w:rFonts w:ascii="Times New Roman" w:hAnsi="Times New Roman"/>
          <w:szCs w:val="24"/>
          <w:lang w:eastAsia="hr-HR"/>
        </w:rPr>
        <w:t xml:space="preserve"> </w:t>
      </w:r>
      <w:r>
        <w:rPr>
          <w:rFonts w:ascii="Times New Roman" w:hAnsi="Times New Roman"/>
          <w:szCs w:val="24"/>
          <w:lang w:eastAsia="hr-HR"/>
        </w:rPr>
        <w:t>се</w:t>
      </w:r>
      <w:r w:rsidR="00F6203D" w:rsidRPr="00295637">
        <w:rPr>
          <w:rFonts w:ascii="Times New Roman" w:hAnsi="Times New Roman"/>
          <w:szCs w:val="24"/>
          <w:lang w:eastAsia="hr-HR"/>
        </w:rPr>
        <w:t xml:space="preserve"> </w:t>
      </w:r>
      <w:r>
        <w:rPr>
          <w:rFonts w:ascii="Times New Roman" w:hAnsi="Times New Roman"/>
          <w:szCs w:val="24"/>
          <w:lang w:eastAsia="hr-HR"/>
        </w:rPr>
        <w:t>рад</w:t>
      </w:r>
      <w:r w:rsidR="00F6203D" w:rsidRPr="00295637">
        <w:rPr>
          <w:rFonts w:ascii="Times New Roman" w:hAnsi="Times New Roman"/>
          <w:szCs w:val="24"/>
          <w:lang w:eastAsia="hr-HR"/>
        </w:rPr>
        <w:t xml:space="preserve"> </w:t>
      </w:r>
      <w:r>
        <w:rPr>
          <w:rFonts w:ascii="Times New Roman" w:hAnsi="Times New Roman"/>
          <w:szCs w:val="24"/>
          <w:lang w:eastAsia="hr-HR"/>
        </w:rPr>
        <w:t>на</w:t>
      </w:r>
      <w:r w:rsidR="00F6203D" w:rsidRPr="00295637">
        <w:rPr>
          <w:rFonts w:ascii="Times New Roman" w:hAnsi="Times New Roman"/>
          <w:szCs w:val="24"/>
          <w:lang w:eastAsia="hr-HR"/>
        </w:rPr>
        <w:t xml:space="preserve"> </w:t>
      </w:r>
      <w:r>
        <w:rPr>
          <w:rFonts w:ascii="Times New Roman" w:hAnsi="Times New Roman"/>
          <w:szCs w:val="24"/>
          <w:lang w:eastAsia="hr-HR"/>
        </w:rPr>
        <w:t>о</w:t>
      </w:r>
      <w:r w:rsidR="00A65D3C">
        <w:rPr>
          <w:rFonts w:ascii="Times New Roman" w:hAnsi="Times New Roman"/>
          <w:szCs w:val="24"/>
          <w:lang w:val="sr-Cyrl-BA" w:eastAsia="hr-HR"/>
        </w:rPr>
        <w:t>безбјеђивању</w:t>
      </w:r>
      <w:r w:rsidR="00F6203D" w:rsidRPr="00295637">
        <w:rPr>
          <w:rFonts w:ascii="Times New Roman" w:hAnsi="Times New Roman"/>
          <w:szCs w:val="24"/>
          <w:lang w:eastAsia="hr-HR"/>
        </w:rPr>
        <w:t xml:space="preserve"> </w:t>
      </w:r>
      <w:r>
        <w:rPr>
          <w:rFonts w:ascii="Times New Roman" w:hAnsi="Times New Roman"/>
          <w:szCs w:val="24"/>
          <w:lang w:eastAsia="hr-HR"/>
        </w:rPr>
        <w:t>адекватних</w:t>
      </w:r>
      <w:r w:rsidR="00F6203D" w:rsidRPr="00295637">
        <w:rPr>
          <w:rFonts w:ascii="Times New Roman" w:hAnsi="Times New Roman"/>
          <w:szCs w:val="24"/>
          <w:lang w:eastAsia="hr-HR"/>
        </w:rPr>
        <w:t xml:space="preserve"> </w:t>
      </w:r>
      <w:r>
        <w:rPr>
          <w:rFonts w:ascii="Times New Roman" w:hAnsi="Times New Roman"/>
          <w:szCs w:val="24"/>
          <w:lang w:eastAsia="hr-HR"/>
        </w:rPr>
        <w:t>ресурса</w:t>
      </w:r>
      <w:r w:rsidR="00F6203D" w:rsidRPr="00295637">
        <w:rPr>
          <w:rFonts w:ascii="Times New Roman" w:hAnsi="Times New Roman"/>
          <w:szCs w:val="24"/>
          <w:lang w:eastAsia="hr-HR"/>
        </w:rPr>
        <w:t xml:space="preserve"> </w:t>
      </w:r>
      <w:r>
        <w:rPr>
          <w:rFonts w:ascii="Times New Roman" w:hAnsi="Times New Roman"/>
          <w:szCs w:val="24"/>
          <w:lang w:eastAsia="hr-HR"/>
        </w:rPr>
        <w:t>за</w:t>
      </w:r>
      <w:r w:rsidR="00F6203D" w:rsidRPr="00295637">
        <w:rPr>
          <w:rFonts w:ascii="Times New Roman" w:hAnsi="Times New Roman"/>
          <w:szCs w:val="24"/>
          <w:lang w:eastAsia="hr-HR"/>
        </w:rPr>
        <w:t xml:space="preserve"> </w:t>
      </w:r>
      <w:r w:rsidR="00A65D3C">
        <w:rPr>
          <w:rFonts w:ascii="Times New Roman" w:hAnsi="Times New Roman"/>
          <w:szCs w:val="24"/>
          <w:lang w:val="sr-Cyrl-BA" w:eastAsia="hr-HR"/>
        </w:rPr>
        <w:t>спровођење</w:t>
      </w:r>
      <w:r w:rsidR="00F6203D" w:rsidRPr="00295637">
        <w:rPr>
          <w:rFonts w:ascii="Times New Roman" w:hAnsi="Times New Roman"/>
          <w:szCs w:val="24"/>
          <w:lang w:eastAsia="hr-HR"/>
        </w:rPr>
        <w:t xml:space="preserve"> </w:t>
      </w:r>
      <w:r>
        <w:rPr>
          <w:rFonts w:ascii="Times New Roman" w:hAnsi="Times New Roman"/>
          <w:szCs w:val="24"/>
          <w:lang w:eastAsia="hr-HR"/>
        </w:rPr>
        <w:t>ових</w:t>
      </w:r>
      <w:r w:rsidR="00F6203D" w:rsidRPr="00295637">
        <w:rPr>
          <w:rFonts w:ascii="Times New Roman" w:hAnsi="Times New Roman"/>
          <w:szCs w:val="24"/>
          <w:lang w:eastAsia="hr-HR"/>
        </w:rPr>
        <w:t xml:space="preserve"> </w:t>
      </w:r>
      <w:r>
        <w:rPr>
          <w:rFonts w:ascii="Times New Roman" w:hAnsi="Times New Roman"/>
          <w:szCs w:val="24"/>
          <w:lang w:eastAsia="hr-HR"/>
        </w:rPr>
        <w:t>мјера</w:t>
      </w:r>
      <w:r w:rsidR="00F6203D" w:rsidRPr="00295637">
        <w:rPr>
          <w:rFonts w:ascii="Times New Roman" w:hAnsi="Times New Roman"/>
          <w:szCs w:val="24"/>
          <w:lang w:eastAsia="hr-HR"/>
        </w:rPr>
        <w:t xml:space="preserve">. </w:t>
      </w:r>
      <w:r>
        <w:rPr>
          <w:rFonts w:ascii="Times New Roman" w:hAnsi="Times New Roman"/>
          <w:szCs w:val="24"/>
        </w:rPr>
        <w:t>Континуирано</w:t>
      </w:r>
      <w:r w:rsidR="002B7DEA" w:rsidRPr="00295637">
        <w:rPr>
          <w:rFonts w:ascii="Times New Roman" w:hAnsi="Times New Roman"/>
          <w:szCs w:val="24"/>
        </w:rPr>
        <w:t xml:space="preserve"> </w:t>
      </w:r>
      <w:r>
        <w:rPr>
          <w:rFonts w:ascii="Times New Roman" w:hAnsi="Times New Roman"/>
          <w:szCs w:val="24"/>
        </w:rPr>
        <w:t>се</w:t>
      </w:r>
      <w:r w:rsidR="002B7DEA" w:rsidRPr="00295637">
        <w:rPr>
          <w:rFonts w:ascii="Times New Roman" w:hAnsi="Times New Roman"/>
          <w:szCs w:val="24"/>
        </w:rPr>
        <w:t xml:space="preserve"> </w:t>
      </w:r>
      <w:r>
        <w:rPr>
          <w:rFonts w:ascii="Times New Roman" w:hAnsi="Times New Roman"/>
          <w:szCs w:val="24"/>
        </w:rPr>
        <w:t>проводе</w:t>
      </w:r>
      <w:r w:rsidR="002B7DEA" w:rsidRPr="00295637">
        <w:rPr>
          <w:rFonts w:ascii="Times New Roman" w:hAnsi="Times New Roman"/>
          <w:szCs w:val="24"/>
        </w:rPr>
        <w:t xml:space="preserve"> </w:t>
      </w:r>
      <w:r>
        <w:rPr>
          <w:rFonts w:ascii="Times New Roman" w:hAnsi="Times New Roman"/>
          <w:szCs w:val="24"/>
        </w:rPr>
        <w:t>активности</w:t>
      </w:r>
      <w:r w:rsidR="002B7DEA" w:rsidRPr="00295637">
        <w:rPr>
          <w:rFonts w:ascii="Times New Roman" w:hAnsi="Times New Roman"/>
          <w:szCs w:val="24"/>
        </w:rPr>
        <w:t xml:space="preserve"> </w:t>
      </w:r>
      <w:r>
        <w:rPr>
          <w:rFonts w:ascii="Times New Roman" w:hAnsi="Times New Roman"/>
          <w:szCs w:val="24"/>
        </w:rPr>
        <w:t>подизања</w:t>
      </w:r>
      <w:r w:rsidR="002B7DEA" w:rsidRPr="00295637">
        <w:rPr>
          <w:rFonts w:ascii="Times New Roman" w:hAnsi="Times New Roman"/>
          <w:szCs w:val="24"/>
        </w:rPr>
        <w:t xml:space="preserve"> </w:t>
      </w:r>
      <w:r>
        <w:rPr>
          <w:rFonts w:ascii="Times New Roman" w:hAnsi="Times New Roman"/>
          <w:szCs w:val="24"/>
        </w:rPr>
        <w:t>свијести</w:t>
      </w:r>
      <w:r w:rsidR="002B7DEA" w:rsidRPr="00295637">
        <w:rPr>
          <w:rFonts w:ascii="Times New Roman" w:hAnsi="Times New Roman"/>
          <w:szCs w:val="24"/>
        </w:rPr>
        <w:t xml:space="preserve"> </w:t>
      </w:r>
      <w:r>
        <w:rPr>
          <w:rFonts w:ascii="Times New Roman" w:hAnsi="Times New Roman"/>
          <w:szCs w:val="24"/>
        </w:rPr>
        <w:t>и</w:t>
      </w:r>
      <w:r w:rsidR="002B7DEA" w:rsidRPr="00295637">
        <w:rPr>
          <w:rFonts w:ascii="Times New Roman" w:hAnsi="Times New Roman"/>
          <w:szCs w:val="24"/>
        </w:rPr>
        <w:t xml:space="preserve"> </w:t>
      </w:r>
      <w:r>
        <w:rPr>
          <w:rFonts w:ascii="Times New Roman" w:hAnsi="Times New Roman"/>
          <w:szCs w:val="24"/>
        </w:rPr>
        <w:t>едукације</w:t>
      </w:r>
      <w:r w:rsidR="002B7DEA" w:rsidRPr="00295637">
        <w:rPr>
          <w:rFonts w:ascii="Times New Roman" w:hAnsi="Times New Roman"/>
          <w:szCs w:val="24"/>
        </w:rPr>
        <w:t xml:space="preserve"> </w:t>
      </w:r>
      <w:r>
        <w:rPr>
          <w:rFonts w:ascii="Times New Roman" w:hAnsi="Times New Roman"/>
          <w:szCs w:val="24"/>
        </w:rPr>
        <w:t>стручњака</w:t>
      </w:r>
      <w:r w:rsidR="002B7DEA" w:rsidRPr="00295637">
        <w:rPr>
          <w:rFonts w:ascii="Times New Roman" w:hAnsi="Times New Roman"/>
          <w:szCs w:val="24"/>
        </w:rPr>
        <w:t xml:space="preserve"> </w:t>
      </w:r>
      <w:r>
        <w:rPr>
          <w:rFonts w:ascii="Times New Roman" w:hAnsi="Times New Roman"/>
          <w:szCs w:val="24"/>
        </w:rPr>
        <w:t>који</w:t>
      </w:r>
      <w:r w:rsidR="002B7DEA" w:rsidRPr="00295637">
        <w:rPr>
          <w:rFonts w:ascii="Times New Roman" w:hAnsi="Times New Roman"/>
          <w:szCs w:val="24"/>
        </w:rPr>
        <w:t xml:space="preserve"> </w:t>
      </w:r>
      <w:r>
        <w:rPr>
          <w:rFonts w:ascii="Times New Roman" w:hAnsi="Times New Roman"/>
          <w:szCs w:val="24"/>
        </w:rPr>
        <w:t>раде</w:t>
      </w:r>
      <w:r w:rsidR="002B7DEA" w:rsidRPr="00295637">
        <w:rPr>
          <w:rFonts w:ascii="Times New Roman" w:hAnsi="Times New Roman"/>
          <w:szCs w:val="24"/>
        </w:rPr>
        <w:t xml:space="preserve"> </w:t>
      </w:r>
      <w:r>
        <w:rPr>
          <w:rFonts w:ascii="Times New Roman" w:hAnsi="Times New Roman"/>
          <w:szCs w:val="24"/>
        </w:rPr>
        <w:t>на</w:t>
      </w:r>
      <w:r w:rsidR="002B7DEA" w:rsidRPr="00295637">
        <w:rPr>
          <w:rFonts w:ascii="Times New Roman" w:hAnsi="Times New Roman"/>
          <w:szCs w:val="24"/>
        </w:rPr>
        <w:t xml:space="preserve"> </w:t>
      </w:r>
      <w:r>
        <w:rPr>
          <w:rFonts w:ascii="Times New Roman" w:hAnsi="Times New Roman"/>
          <w:szCs w:val="24"/>
        </w:rPr>
        <w:t>питањима</w:t>
      </w:r>
      <w:r w:rsidR="002B7DEA" w:rsidRPr="00295637">
        <w:rPr>
          <w:rFonts w:ascii="Times New Roman" w:hAnsi="Times New Roman"/>
          <w:szCs w:val="24"/>
        </w:rPr>
        <w:t xml:space="preserve"> </w:t>
      </w:r>
      <w:r>
        <w:rPr>
          <w:rFonts w:ascii="Times New Roman" w:hAnsi="Times New Roman"/>
          <w:szCs w:val="24"/>
        </w:rPr>
        <w:t>трговине</w:t>
      </w:r>
      <w:r w:rsidR="002B7DEA" w:rsidRPr="00295637">
        <w:rPr>
          <w:rFonts w:ascii="Times New Roman" w:hAnsi="Times New Roman"/>
          <w:szCs w:val="24"/>
        </w:rPr>
        <w:t xml:space="preserve"> </w:t>
      </w:r>
      <w:r>
        <w:rPr>
          <w:rFonts w:ascii="Times New Roman" w:hAnsi="Times New Roman"/>
          <w:szCs w:val="24"/>
        </w:rPr>
        <w:t>људима</w:t>
      </w:r>
      <w:r w:rsidR="002B7DEA" w:rsidRPr="00295637">
        <w:rPr>
          <w:rFonts w:ascii="Times New Roman" w:hAnsi="Times New Roman"/>
          <w:szCs w:val="24"/>
        </w:rPr>
        <w:t xml:space="preserve">. </w:t>
      </w:r>
      <w:r>
        <w:rPr>
          <w:rFonts w:ascii="Times New Roman" w:hAnsi="Times New Roman"/>
          <w:szCs w:val="24"/>
        </w:rPr>
        <w:t>Ове</w:t>
      </w:r>
      <w:r w:rsidR="002B7DEA" w:rsidRPr="00295637">
        <w:rPr>
          <w:rFonts w:ascii="Times New Roman" w:hAnsi="Times New Roman"/>
          <w:szCs w:val="24"/>
        </w:rPr>
        <w:t xml:space="preserve"> </w:t>
      </w:r>
      <w:r>
        <w:rPr>
          <w:rFonts w:ascii="Times New Roman" w:hAnsi="Times New Roman"/>
          <w:szCs w:val="24"/>
        </w:rPr>
        <w:t>активности</w:t>
      </w:r>
      <w:r w:rsidR="002B7DEA" w:rsidRPr="00295637">
        <w:rPr>
          <w:rFonts w:ascii="Times New Roman" w:hAnsi="Times New Roman"/>
          <w:szCs w:val="24"/>
        </w:rPr>
        <w:t xml:space="preserve"> </w:t>
      </w:r>
      <w:r>
        <w:rPr>
          <w:rFonts w:ascii="Times New Roman" w:hAnsi="Times New Roman"/>
          <w:szCs w:val="24"/>
        </w:rPr>
        <w:t>подржавају</w:t>
      </w:r>
      <w:r w:rsidR="002B7DEA" w:rsidRPr="00295637">
        <w:rPr>
          <w:rFonts w:ascii="Times New Roman" w:hAnsi="Times New Roman"/>
          <w:szCs w:val="24"/>
        </w:rPr>
        <w:t xml:space="preserve"> </w:t>
      </w:r>
      <w:r>
        <w:rPr>
          <w:rFonts w:ascii="Times New Roman" w:hAnsi="Times New Roman"/>
          <w:szCs w:val="24"/>
        </w:rPr>
        <w:t>међународне</w:t>
      </w:r>
      <w:r w:rsidR="00DC2955">
        <w:rPr>
          <w:rFonts w:ascii="Times New Roman" w:hAnsi="Times New Roman"/>
          <w:szCs w:val="24"/>
        </w:rPr>
        <w:t xml:space="preserve"> </w:t>
      </w:r>
      <w:r>
        <w:rPr>
          <w:rFonts w:ascii="Times New Roman" w:hAnsi="Times New Roman"/>
          <w:szCs w:val="24"/>
        </w:rPr>
        <w:t>организације</w:t>
      </w:r>
      <w:r w:rsidR="00DC2955">
        <w:rPr>
          <w:rFonts w:ascii="Times New Roman" w:hAnsi="Times New Roman"/>
          <w:szCs w:val="24"/>
        </w:rPr>
        <w:t xml:space="preserve"> </w:t>
      </w:r>
      <w:r>
        <w:rPr>
          <w:rFonts w:ascii="Times New Roman" w:hAnsi="Times New Roman"/>
          <w:szCs w:val="24"/>
        </w:rPr>
        <w:t>у</w:t>
      </w:r>
      <w:r w:rsidR="00DC2955">
        <w:rPr>
          <w:rFonts w:ascii="Times New Roman" w:hAnsi="Times New Roman"/>
          <w:szCs w:val="24"/>
        </w:rPr>
        <w:t xml:space="preserve"> </w:t>
      </w:r>
      <w:r>
        <w:rPr>
          <w:rFonts w:ascii="Times New Roman" w:hAnsi="Times New Roman"/>
          <w:szCs w:val="24"/>
        </w:rPr>
        <w:t>координацији</w:t>
      </w:r>
      <w:r w:rsidR="00DC2955">
        <w:rPr>
          <w:rFonts w:ascii="Times New Roman" w:hAnsi="Times New Roman"/>
          <w:szCs w:val="24"/>
        </w:rPr>
        <w:t xml:space="preserve"> </w:t>
      </w:r>
      <w:r>
        <w:rPr>
          <w:rFonts w:ascii="Times New Roman" w:hAnsi="Times New Roman"/>
          <w:szCs w:val="24"/>
        </w:rPr>
        <w:t>са</w:t>
      </w:r>
      <w:r w:rsidR="002B7DEA" w:rsidRPr="00295637">
        <w:rPr>
          <w:rFonts w:ascii="Times New Roman" w:hAnsi="Times New Roman"/>
          <w:szCs w:val="24"/>
        </w:rPr>
        <w:t xml:space="preserve"> </w:t>
      </w:r>
      <w:r>
        <w:rPr>
          <w:rFonts w:ascii="Times New Roman" w:hAnsi="Times New Roman"/>
          <w:szCs w:val="24"/>
        </w:rPr>
        <w:t>М</w:t>
      </w:r>
      <w:r w:rsidR="00A65D3C">
        <w:rPr>
          <w:rFonts w:ascii="Times New Roman" w:hAnsi="Times New Roman"/>
          <w:szCs w:val="24"/>
          <w:lang w:val="sr-Cyrl-BA"/>
        </w:rPr>
        <w:t>Б</w:t>
      </w:r>
      <w:r w:rsidR="009E54A2" w:rsidRPr="00295637">
        <w:rPr>
          <w:rFonts w:ascii="Times New Roman" w:hAnsi="Times New Roman"/>
          <w:szCs w:val="24"/>
        </w:rPr>
        <w:t xml:space="preserve"> </w:t>
      </w:r>
      <w:r>
        <w:rPr>
          <w:rFonts w:ascii="Times New Roman" w:hAnsi="Times New Roman"/>
          <w:szCs w:val="24"/>
        </w:rPr>
        <w:t>БиХ</w:t>
      </w:r>
      <w:r w:rsidR="009E54A2" w:rsidRPr="00295637">
        <w:rPr>
          <w:rFonts w:ascii="Times New Roman" w:hAnsi="Times New Roman"/>
          <w:szCs w:val="24"/>
        </w:rPr>
        <w:t xml:space="preserve"> </w:t>
      </w:r>
      <w:r>
        <w:rPr>
          <w:rFonts w:ascii="Times New Roman" w:hAnsi="Times New Roman"/>
          <w:szCs w:val="24"/>
        </w:rPr>
        <w:t>и</w:t>
      </w:r>
      <w:r w:rsidR="002B7DEA" w:rsidRPr="00295637">
        <w:rPr>
          <w:rFonts w:ascii="Times New Roman" w:hAnsi="Times New Roman"/>
          <w:szCs w:val="24"/>
        </w:rPr>
        <w:t xml:space="preserve"> </w:t>
      </w:r>
      <w:r>
        <w:rPr>
          <w:rFonts w:ascii="Times New Roman" w:hAnsi="Times New Roman"/>
          <w:szCs w:val="24"/>
        </w:rPr>
        <w:t>другим</w:t>
      </w:r>
      <w:r w:rsidR="002B7DEA" w:rsidRPr="00295637">
        <w:rPr>
          <w:rFonts w:ascii="Times New Roman" w:hAnsi="Times New Roman"/>
          <w:szCs w:val="24"/>
        </w:rPr>
        <w:t xml:space="preserve"> </w:t>
      </w:r>
      <w:r>
        <w:rPr>
          <w:rFonts w:ascii="Times New Roman" w:hAnsi="Times New Roman"/>
          <w:szCs w:val="24"/>
        </w:rPr>
        <w:t>надлежним</w:t>
      </w:r>
      <w:r w:rsidR="002B7DEA" w:rsidRPr="00295637">
        <w:rPr>
          <w:rFonts w:ascii="Times New Roman" w:hAnsi="Times New Roman"/>
          <w:szCs w:val="24"/>
        </w:rPr>
        <w:t xml:space="preserve"> </w:t>
      </w:r>
      <w:r>
        <w:rPr>
          <w:rFonts w:ascii="Times New Roman" w:hAnsi="Times New Roman"/>
          <w:szCs w:val="24"/>
        </w:rPr>
        <w:t>институцијама</w:t>
      </w:r>
      <w:r w:rsidR="002B7DEA" w:rsidRPr="00295637">
        <w:rPr>
          <w:rFonts w:ascii="Times New Roman" w:hAnsi="Times New Roman"/>
          <w:szCs w:val="24"/>
        </w:rPr>
        <w:t xml:space="preserve"> </w:t>
      </w:r>
      <w:r>
        <w:rPr>
          <w:rFonts w:ascii="Times New Roman" w:hAnsi="Times New Roman"/>
          <w:szCs w:val="24"/>
        </w:rPr>
        <w:t>и</w:t>
      </w:r>
      <w:r w:rsidR="002B7DEA" w:rsidRPr="00295637">
        <w:rPr>
          <w:rFonts w:ascii="Times New Roman" w:hAnsi="Times New Roman"/>
          <w:szCs w:val="24"/>
        </w:rPr>
        <w:t xml:space="preserve"> </w:t>
      </w:r>
      <w:r>
        <w:rPr>
          <w:rFonts w:ascii="Times New Roman" w:hAnsi="Times New Roman"/>
          <w:szCs w:val="24"/>
        </w:rPr>
        <w:t>агенцијама</w:t>
      </w:r>
      <w:r w:rsidR="002B7DEA" w:rsidRPr="00295637">
        <w:rPr>
          <w:rFonts w:ascii="Times New Roman" w:hAnsi="Times New Roman"/>
          <w:szCs w:val="24"/>
        </w:rPr>
        <w:t xml:space="preserve">. </w:t>
      </w:r>
      <w:r w:rsidR="00A65D3C">
        <w:rPr>
          <w:rFonts w:ascii="Times New Roman" w:hAnsi="Times New Roman"/>
          <w:szCs w:val="24"/>
        </w:rPr>
        <w:t>Такође</w:t>
      </w:r>
      <w:r w:rsidR="002B7DEA" w:rsidRPr="00295637">
        <w:rPr>
          <w:rFonts w:ascii="Times New Roman" w:hAnsi="Times New Roman"/>
          <w:szCs w:val="24"/>
        </w:rPr>
        <w:t xml:space="preserve">, </w:t>
      </w:r>
      <w:r>
        <w:rPr>
          <w:rFonts w:ascii="Times New Roman" w:hAnsi="Times New Roman"/>
          <w:szCs w:val="24"/>
        </w:rPr>
        <w:t>у</w:t>
      </w:r>
      <w:r w:rsidR="002B7DEA" w:rsidRPr="00295637">
        <w:rPr>
          <w:rFonts w:ascii="Times New Roman" w:hAnsi="Times New Roman"/>
          <w:szCs w:val="24"/>
        </w:rPr>
        <w:t xml:space="preserve"> </w:t>
      </w:r>
      <w:r>
        <w:rPr>
          <w:rFonts w:ascii="Times New Roman" w:hAnsi="Times New Roman"/>
          <w:szCs w:val="24"/>
        </w:rPr>
        <w:t>годишњем</w:t>
      </w:r>
      <w:r w:rsidR="002B7DEA" w:rsidRPr="00295637">
        <w:rPr>
          <w:rFonts w:ascii="Times New Roman" w:hAnsi="Times New Roman"/>
          <w:szCs w:val="24"/>
        </w:rPr>
        <w:t xml:space="preserve"> </w:t>
      </w:r>
      <w:r>
        <w:rPr>
          <w:rFonts w:ascii="Times New Roman" w:hAnsi="Times New Roman"/>
          <w:szCs w:val="24"/>
        </w:rPr>
        <w:t>П</w:t>
      </w:r>
      <w:r>
        <w:rPr>
          <w:rFonts w:ascii="Times New Roman" w:hAnsi="Times New Roman"/>
          <w:szCs w:val="24"/>
          <w:lang w:eastAsia="hr-HR"/>
        </w:rPr>
        <w:t>лану</w:t>
      </w:r>
      <w:r w:rsidR="002B7DEA" w:rsidRPr="00295637">
        <w:rPr>
          <w:rFonts w:ascii="Times New Roman" w:hAnsi="Times New Roman"/>
          <w:szCs w:val="24"/>
          <w:lang w:eastAsia="hr-HR"/>
        </w:rPr>
        <w:t xml:space="preserve"> </w:t>
      </w:r>
      <w:r>
        <w:rPr>
          <w:rFonts w:ascii="Times New Roman" w:hAnsi="Times New Roman"/>
          <w:szCs w:val="24"/>
          <w:lang w:eastAsia="hr-HR"/>
        </w:rPr>
        <w:t>обука</w:t>
      </w:r>
      <w:r w:rsidR="002B7DEA" w:rsidRPr="00295637">
        <w:rPr>
          <w:rFonts w:ascii="Times New Roman" w:hAnsi="Times New Roman"/>
          <w:szCs w:val="24"/>
          <w:lang w:eastAsia="hr-HR"/>
        </w:rPr>
        <w:t xml:space="preserve"> </w:t>
      </w:r>
      <w:r>
        <w:rPr>
          <w:rFonts w:ascii="Times New Roman" w:hAnsi="Times New Roman"/>
          <w:szCs w:val="24"/>
          <w:lang w:eastAsia="hr-HR"/>
        </w:rPr>
        <w:t>СИПА</w:t>
      </w:r>
      <w:r w:rsidR="002B7DEA" w:rsidRPr="00295637">
        <w:rPr>
          <w:rFonts w:ascii="Times New Roman" w:hAnsi="Times New Roman"/>
          <w:szCs w:val="24"/>
          <w:lang w:eastAsia="hr-HR"/>
        </w:rPr>
        <w:t>-</w:t>
      </w:r>
      <w:r>
        <w:rPr>
          <w:rFonts w:ascii="Times New Roman" w:hAnsi="Times New Roman"/>
          <w:szCs w:val="24"/>
          <w:lang w:eastAsia="hr-HR"/>
        </w:rPr>
        <w:t>е</w:t>
      </w:r>
      <w:r w:rsidR="002B7DEA" w:rsidRPr="00295637">
        <w:rPr>
          <w:rFonts w:ascii="Times New Roman" w:hAnsi="Times New Roman"/>
          <w:szCs w:val="24"/>
          <w:lang w:eastAsia="hr-HR"/>
        </w:rPr>
        <w:t xml:space="preserve"> </w:t>
      </w:r>
      <w:r>
        <w:rPr>
          <w:rFonts w:ascii="Times New Roman" w:hAnsi="Times New Roman"/>
          <w:szCs w:val="24"/>
          <w:lang w:eastAsia="hr-HR"/>
        </w:rPr>
        <w:t>планиран</w:t>
      </w:r>
      <w:r w:rsidR="00A65D3C">
        <w:rPr>
          <w:rFonts w:ascii="Times New Roman" w:hAnsi="Times New Roman"/>
          <w:szCs w:val="24"/>
          <w:lang w:val="sr-Cyrl-BA" w:eastAsia="hr-HR"/>
        </w:rPr>
        <w:t>о</w:t>
      </w:r>
      <w:r w:rsidR="002B7DEA" w:rsidRPr="00295637">
        <w:rPr>
          <w:rFonts w:ascii="Times New Roman" w:hAnsi="Times New Roman"/>
          <w:szCs w:val="24"/>
          <w:lang w:eastAsia="hr-HR"/>
        </w:rPr>
        <w:t xml:space="preserve"> </w:t>
      </w:r>
      <w:r>
        <w:rPr>
          <w:rFonts w:ascii="Times New Roman" w:hAnsi="Times New Roman"/>
          <w:szCs w:val="24"/>
          <w:lang w:eastAsia="hr-HR"/>
        </w:rPr>
        <w:t>је</w:t>
      </w:r>
      <w:r w:rsidR="002B7DEA" w:rsidRPr="00295637">
        <w:rPr>
          <w:rFonts w:ascii="Times New Roman" w:hAnsi="Times New Roman"/>
          <w:szCs w:val="24"/>
          <w:lang w:eastAsia="hr-HR"/>
        </w:rPr>
        <w:t xml:space="preserve"> </w:t>
      </w:r>
      <w:r w:rsidR="00A65D3C">
        <w:rPr>
          <w:rFonts w:ascii="Times New Roman" w:hAnsi="Times New Roman"/>
          <w:szCs w:val="24"/>
          <w:lang w:val="sr-Cyrl-BA" w:eastAsia="hr-HR"/>
        </w:rPr>
        <w:t>спровођење</w:t>
      </w:r>
      <w:r w:rsidR="002B7DEA" w:rsidRPr="00295637">
        <w:rPr>
          <w:rFonts w:ascii="Times New Roman" w:hAnsi="Times New Roman"/>
          <w:szCs w:val="24"/>
          <w:lang w:eastAsia="hr-HR"/>
        </w:rPr>
        <w:t xml:space="preserve"> </w:t>
      </w:r>
      <w:r>
        <w:rPr>
          <w:rFonts w:ascii="Times New Roman" w:hAnsi="Times New Roman"/>
          <w:szCs w:val="24"/>
          <w:lang w:eastAsia="hr-HR"/>
        </w:rPr>
        <w:t>ове</w:t>
      </w:r>
      <w:r w:rsidR="002B7DEA" w:rsidRPr="00295637">
        <w:rPr>
          <w:rFonts w:ascii="Times New Roman" w:hAnsi="Times New Roman"/>
          <w:szCs w:val="24"/>
          <w:lang w:eastAsia="hr-HR"/>
        </w:rPr>
        <w:t xml:space="preserve"> </w:t>
      </w:r>
      <w:r>
        <w:rPr>
          <w:rFonts w:ascii="Times New Roman" w:hAnsi="Times New Roman"/>
          <w:szCs w:val="24"/>
          <w:lang w:eastAsia="hr-HR"/>
        </w:rPr>
        <w:t>врсте</w:t>
      </w:r>
      <w:r w:rsidR="002B7DEA" w:rsidRPr="00295637">
        <w:rPr>
          <w:rFonts w:ascii="Times New Roman" w:hAnsi="Times New Roman"/>
          <w:szCs w:val="24"/>
          <w:lang w:eastAsia="hr-HR"/>
        </w:rPr>
        <w:t xml:space="preserve"> </w:t>
      </w:r>
      <w:r>
        <w:rPr>
          <w:rFonts w:ascii="Times New Roman" w:hAnsi="Times New Roman"/>
          <w:szCs w:val="24"/>
          <w:lang w:eastAsia="hr-HR"/>
        </w:rPr>
        <w:t>обука</w:t>
      </w:r>
      <w:r w:rsidR="002B7DEA" w:rsidRPr="00295637">
        <w:rPr>
          <w:rFonts w:ascii="Times New Roman" w:hAnsi="Times New Roman"/>
          <w:szCs w:val="24"/>
          <w:lang w:eastAsia="hr-HR"/>
        </w:rPr>
        <w:t xml:space="preserve">, </w:t>
      </w:r>
      <w:r>
        <w:rPr>
          <w:rFonts w:ascii="Times New Roman" w:hAnsi="Times New Roman"/>
          <w:szCs w:val="24"/>
          <w:lang w:eastAsia="hr-HR"/>
        </w:rPr>
        <w:t>у</w:t>
      </w:r>
      <w:r w:rsidR="005266D8">
        <w:rPr>
          <w:rFonts w:ascii="Times New Roman" w:hAnsi="Times New Roman"/>
          <w:szCs w:val="24"/>
          <w:lang w:eastAsia="hr-HR"/>
        </w:rPr>
        <w:t xml:space="preserve"> </w:t>
      </w:r>
      <w:r>
        <w:rPr>
          <w:rFonts w:ascii="Times New Roman" w:hAnsi="Times New Roman"/>
          <w:szCs w:val="24"/>
          <w:lang w:eastAsia="hr-HR"/>
        </w:rPr>
        <w:t>складу</w:t>
      </w:r>
      <w:r w:rsidR="005266D8">
        <w:rPr>
          <w:rFonts w:ascii="Times New Roman" w:hAnsi="Times New Roman"/>
          <w:szCs w:val="24"/>
          <w:lang w:eastAsia="hr-HR"/>
        </w:rPr>
        <w:t xml:space="preserve"> </w:t>
      </w:r>
      <w:r>
        <w:rPr>
          <w:rFonts w:ascii="Times New Roman" w:hAnsi="Times New Roman"/>
          <w:szCs w:val="24"/>
          <w:lang w:eastAsia="hr-HR"/>
        </w:rPr>
        <w:t>са</w:t>
      </w:r>
      <w:r w:rsidR="002B7DEA" w:rsidRPr="00295637">
        <w:rPr>
          <w:rFonts w:ascii="Times New Roman" w:hAnsi="Times New Roman"/>
          <w:szCs w:val="24"/>
          <w:lang w:eastAsia="hr-HR"/>
        </w:rPr>
        <w:t xml:space="preserve"> </w:t>
      </w:r>
      <w:r>
        <w:rPr>
          <w:rFonts w:ascii="Times New Roman" w:hAnsi="Times New Roman"/>
          <w:szCs w:val="24"/>
          <w:lang w:eastAsia="hr-HR"/>
        </w:rPr>
        <w:t>приједлозима</w:t>
      </w:r>
      <w:r w:rsidR="002B7DEA" w:rsidRPr="00295637">
        <w:rPr>
          <w:rFonts w:ascii="Times New Roman" w:hAnsi="Times New Roman"/>
          <w:szCs w:val="24"/>
          <w:lang w:eastAsia="hr-HR"/>
        </w:rPr>
        <w:t xml:space="preserve"> </w:t>
      </w:r>
      <w:r>
        <w:rPr>
          <w:rFonts w:ascii="Times New Roman" w:hAnsi="Times New Roman"/>
          <w:szCs w:val="24"/>
          <w:lang w:eastAsia="hr-HR"/>
        </w:rPr>
        <w:t>организаци</w:t>
      </w:r>
      <w:r w:rsidR="00A65D3C">
        <w:rPr>
          <w:rFonts w:ascii="Times New Roman" w:hAnsi="Times New Roman"/>
          <w:szCs w:val="24"/>
          <w:lang w:val="sr-Cyrl-BA" w:eastAsia="hr-HR"/>
        </w:rPr>
        <w:t>оних</w:t>
      </w:r>
      <w:r w:rsidR="002B7DEA" w:rsidRPr="00295637">
        <w:rPr>
          <w:rFonts w:ascii="Times New Roman" w:hAnsi="Times New Roman"/>
          <w:szCs w:val="24"/>
          <w:lang w:eastAsia="hr-HR"/>
        </w:rPr>
        <w:t xml:space="preserve"> </w:t>
      </w:r>
      <w:r>
        <w:rPr>
          <w:rFonts w:ascii="Times New Roman" w:hAnsi="Times New Roman"/>
          <w:szCs w:val="24"/>
          <w:lang w:eastAsia="hr-HR"/>
        </w:rPr>
        <w:t>јединица</w:t>
      </w:r>
      <w:r w:rsidR="002B7DEA" w:rsidRPr="00295637">
        <w:rPr>
          <w:rFonts w:ascii="Times New Roman" w:hAnsi="Times New Roman"/>
          <w:szCs w:val="24"/>
          <w:lang w:eastAsia="hr-HR"/>
        </w:rPr>
        <w:t>.</w:t>
      </w:r>
    </w:p>
    <w:p w:rsidR="008D24A7" w:rsidRPr="00295637" w:rsidRDefault="008D24A7" w:rsidP="0086268D">
      <w:pPr>
        <w:pStyle w:val="CommentText"/>
        <w:jc w:val="both"/>
        <w:rPr>
          <w:rFonts w:asciiTheme="minorHAnsi" w:hAnsiTheme="minorHAnsi" w:cstheme="minorHAnsi"/>
          <w:b/>
          <w:bCs/>
          <w:szCs w:val="24"/>
          <w:lang w:val="en-US"/>
        </w:rPr>
      </w:pPr>
    </w:p>
    <w:p w:rsidR="008D24A7" w:rsidRPr="006820FB" w:rsidRDefault="00C6214E" w:rsidP="0086268D">
      <w:pPr>
        <w:pStyle w:val="CommentText"/>
        <w:jc w:val="both"/>
        <w:rPr>
          <w:rFonts w:ascii="Times New Roman" w:hAnsi="Times New Roman"/>
          <w:sz w:val="24"/>
          <w:szCs w:val="24"/>
          <w:lang w:val="hr-HR"/>
        </w:rPr>
      </w:pPr>
      <w:r>
        <w:rPr>
          <w:rFonts w:ascii="Times New Roman" w:hAnsi="Times New Roman"/>
          <w:bCs/>
          <w:sz w:val="24"/>
          <w:szCs w:val="24"/>
          <w:lang w:val="hr-HR"/>
        </w:rPr>
        <w:t>У</w:t>
      </w:r>
      <w:r w:rsidR="005266D8">
        <w:rPr>
          <w:rFonts w:ascii="Times New Roman" w:hAnsi="Times New Roman"/>
          <w:bCs/>
          <w:sz w:val="24"/>
          <w:szCs w:val="24"/>
          <w:lang w:val="hr-HR"/>
        </w:rPr>
        <w:t xml:space="preserve"> </w:t>
      </w:r>
      <w:r>
        <w:rPr>
          <w:rFonts w:ascii="Times New Roman" w:hAnsi="Times New Roman"/>
          <w:bCs/>
          <w:sz w:val="24"/>
          <w:szCs w:val="24"/>
          <w:lang w:val="hr-HR"/>
        </w:rPr>
        <w:t>вези</w:t>
      </w:r>
      <w:r w:rsidR="005266D8">
        <w:rPr>
          <w:rFonts w:ascii="Times New Roman" w:hAnsi="Times New Roman"/>
          <w:bCs/>
          <w:sz w:val="24"/>
          <w:szCs w:val="24"/>
          <w:lang w:val="hr-HR"/>
        </w:rPr>
        <w:t xml:space="preserve"> </w:t>
      </w:r>
      <w:r>
        <w:rPr>
          <w:rFonts w:ascii="Times New Roman" w:hAnsi="Times New Roman"/>
          <w:bCs/>
          <w:sz w:val="24"/>
          <w:szCs w:val="24"/>
          <w:lang w:val="hr-HR"/>
        </w:rPr>
        <w:t>са</w:t>
      </w:r>
      <w:r w:rsidR="005266D8">
        <w:rPr>
          <w:rFonts w:ascii="Times New Roman" w:hAnsi="Times New Roman"/>
          <w:bCs/>
          <w:sz w:val="24"/>
          <w:szCs w:val="24"/>
          <w:lang w:val="hr-HR"/>
        </w:rPr>
        <w:t xml:space="preserve"> </w:t>
      </w:r>
      <w:r>
        <w:rPr>
          <w:rFonts w:ascii="Times New Roman" w:hAnsi="Times New Roman"/>
          <w:bCs/>
          <w:sz w:val="24"/>
          <w:szCs w:val="24"/>
          <w:lang w:val="hr-HR"/>
        </w:rPr>
        <w:t>обуком</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носилаца</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правосудне</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дужности</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у</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области</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дискриминације</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и</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злочинима</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почињеним</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из</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мржње</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према</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припадницима</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маргинализованих</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група</w:t>
      </w:r>
      <w:r w:rsidR="008D24A7" w:rsidRPr="006820FB">
        <w:rPr>
          <w:rFonts w:ascii="Times New Roman" w:hAnsi="Times New Roman"/>
          <w:bCs/>
          <w:sz w:val="24"/>
          <w:szCs w:val="24"/>
          <w:lang w:val="hr-HR"/>
        </w:rPr>
        <w:t xml:space="preserve">, </w:t>
      </w:r>
      <w:r>
        <w:rPr>
          <w:rFonts w:ascii="Times New Roman" w:hAnsi="Times New Roman"/>
          <w:sz w:val="24"/>
          <w:szCs w:val="24"/>
          <w:lang w:val="hr-HR"/>
        </w:rPr>
        <w:t>обука</w:t>
      </w:r>
      <w:r w:rsidR="008D24A7" w:rsidRPr="006820FB">
        <w:rPr>
          <w:rFonts w:ascii="Times New Roman" w:hAnsi="Times New Roman"/>
          <w:sz w:val="24"/>
          <w:szCs w:val="24"/>
          <w:lang w:val="hr-HR"/>
        </w:rPr>
        <w:t xml:space="preserve"> </w:t>
      </w:r>
      <w:r>
        <w:rPr>
          <w:rFonts w:ascii="Times New Roman" w:hAnsi="Times New Roman"/>
          <w:sz w:val="24"/>
          <w:szCs w:val="24"/>
          <w:lang w:val="hr-HR"/>
        </w:rPr>
        <w:t>је</w:t>
      </w:r>
      <w:r w:rsidR="008D24A7" w:rsidRPr="006820FB">
        <w:rPr>
          <w:rFonts w:ascii="Times New Roman" w:hAnsi="Times New Roman"/>
          <w:sz w:val="24"/>
          <w:szCs w:val="24"/>
          <w:lang w:val="hr-HR"/>
        </w:rPr>
        <w:t xml:space="preserve"> </w:t>
      </w:r>
      <w:r>
        <w:rPr>
          <w:rFonts w:ascii="Times New Roman" w:hAnsi="Times New Roman"/>
          <w:sz w:val="24"/>
          <w:szCs w:val="24"/>
          <w:lang w:val="hr-HR"/>
        </w:rPr>
        <w:t>предвиђена</w:t>
      </w:r>
      <w:r w:rsidR="008D24A7" w:rsidRPr="006820FB">
        <w:rPr>
          <w:rFonts w:ascii="Times New Roman" w:hAnsi="Times New Roman"/>
          <w:sz w:val="24"/>
          <w:szCs w:val="24"/>
          <w:lang w:val="hr-HR"/>
        </w:rPr>
        <w:t xml:space="preserve"> </w:t>
      </w:r>
      <w:r>
        <w:rPr>
          <w:rFonts w:ascii="Times New Roman" w:hAnsi="Times New Roman"/>
          <w:sz w:val="24"/>
          <w:szCs w:val="24"/>
          <w:lang w:val="hr-HR"/>
        </w:rPr>
        <w:t>програмима</w:t>
      </w:r>
      <w:r w:rsidR="008D24A7" w:rsidRPr="006820FB">
        <w:rPr>
          <w:rFonts w:ascii="Times New Roman" w:hAnsi="Times New Roman"/>
          <w:sz w:val="24"/>
          <w:szCs w:val="24"/>
          <w:lang w:val="hr-HR"/>
        </w:rPr>
        <w:t xml:space="preserve"> </w:t>
      </w:r>
      <w:r>
        <w:rPr>
          <w:rFonts w:ascii="Times New Roman" w:hAnsi="Times New Roman"/>
          <w:sz w:val="24"/>
          <w:szCs w:val="24"/>
          <w:lang w:val="hr-HR"/>
        </w:rPr>
        <w:t>ентитетских</w:t>
      </w:r>
      <w:r w:rsidR="008D24A7" w:rsidRPr="006820FB">
        <w:rPr>
          <w:rFonts w:ascii="Times New Roman" w:hAnsi="Times New Roman"/>
          <w:sz w:val="24"/>
          <w:szCs w:val="24"/>
          <w:lang w:val="hr-HR"/>
        </w:rPr>
        <w:t xml:space="preserve"> </w:t>
      </w:r>
      <w:r w:rsidRPr="00D8279B">
        <w:rPr>
          <w:rFonts w:ascii="Times New Roman" w:hAnsi="Times New Roman"/>
          <w:sz w:val="24"/>
          <w:szCs w:val="24"/>
          <w:lang w:val="hr-HR"/>
        </w:rPr>
        <w:t>ЦЕСТ</w:t>
      </w:r>
      <w:r w:rsidR="008D24A7" w:rsidRPr="00D8279B">
        <w:rPr>
          <w:rFonts w:ascii="Times New Roman" w:hAnsi="Times New Roman"/>
          <w:sz w:val="24"/>
          <w:szCs w:val="24"/>
          <w:lang w:val="hr-HR"/>
        </w:rPr>
        <w:t>-</w:t>
      </w:r>
      <w:r w:rsidRPr="00D8279B">
        <w:rPr>
          <w:rFonts w:ascii="Times New Roman" w:hAnsi="Times New Roman"/>
          <w:sz w:val="24"/>
          <w:szCs w:val="24"/>
          <w:lang w:val="hr-HR"/>
        </w:rPr>
        <w:t>ова</w:t>
      </w:r>
      <w:r w:rsidR="008D24A7" w:rsidRPr="00D8279B">
        <w:rPr>
          <w:rFonts w:ascii="Times New Roman" w:hAnsi="Times New Roman"/>
          <w:sz w:val="24"/>
          <w:szCs w:val="24"/>
          <w:lang w:val="hr-HR"/>
        </w:rPr>
        <w:t>.</w:t>
      </w:r>
      <w:r w:rsidR="008D24A7" w:rsidRPr="006820FB">
        <w:rPr>
          <w:rFonts w:ascii="Times New Roman" w:hAnsi="Times New Roman"/>
          <w:sz w:val="24"/>
          <w:szCs w:val="24"/>
          <w:lang w:val="hr-HR"/>
        </w:rPr>
        <w:t xml:space="preserve"> </w:t>
      </w:r>
      <w:r>
        <w:rPr>
          <w:rFonts w:ascii="Times New Roman" w:hAnsi="Times New Roman"/>
          <w:sz w:val="24"/>
          <w:szCs w:val="24"/>
          <w:lang w:val="hr-HR"/>
        </w:rPr>
        <w:t>На</w:t>
      </w:r>
      <w:r w:rsidR="008D24A7" w:rsidRPr="006820FB">
        <w:rPr>
          <w:rFonts w:ascii="Times New Roman" w:hAnsi="Times New Roman"/>
          <w:sz w:val="24"/>
          <w:szCs w:val="24"/>
          <w:lang w:val="hr-HR"/>
        </w:rPr>
        <w:t xml:space="preserve"> </w:t>
      </w:r>
      <w:r>
        <w:rPr>
          <w:rFonts w:ascii="Times New Roman" w:hAnsi="Times New Roman"/>
          <w:sz w:val="24"/>
          <w:szCs w:val="24"/>
          <w:lang w:val="hr-HR"/>
        </w:rPr>
        <w:t>примјер</w:t>
      </w:r>
      <w:r w:rsidR="008D24A7" w:rsidRPr="006820FB">
        <w:rPr>
          <w:rFonts w:ascii="Times New Roman" w:hAnsi="Times New Roman"/>
          <w:sz w:val="24"/>
          <w:szCs w:val="24"/>
          <w:lang w:val="hr-HR"/>
        </w:rPr>
        <w:t xml:space="preserve">, </w:t>
      </w:r>
      <w:r>
        <w:rPr>
          <w:rFonts w:ascii="Times New Roman" w:hAnsi="Times New Roman"/>
          <w:bCs/>
          <w:sz w:val="24"/>
          <w:szCs w:val="24"/>
          <w:lang w:val="hr-HR"/>
        </w:rPr>
        <w:t>ЦЕСТ</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ФБиХ</w:t>
      </w:r>
      <w:r w:rsidR="008D24A7" w:rsidRPr="006820FB">
        <w:rPr>
          <w:rFonts w:ascii="Times New Roman" w:hAnsi="Times New Roman"/>
          <w:sz w:val="24"/>
          <w:szCs w:val="24"/>
          <w:lang w:val="hr-HR"/>
        </w:rPr>
        <w:t xml:space="preserve"> </w:t>
      </w:r>
      <w:r>
        <w:rPr>
          <w:rFonts w:ascii="Times New Roman" w:hAnsi="Times New Roman"/>
          <w:sz w:val="24"/>
          <w:szCs w:val="24"/>
          <w:lang w:val="hr-HR"/>
        </w:rPr>
        <w:t>реализ</w:t>
      </w:r>
      <w:r w:rsidR="00D8279B">
        <w:rPr>
          <w:rFonts w:ascii="Times New Roman" w:hAnsi="Times New Roman"/>
          <w:sz w:val="24"/>
          <w:szCs w:val="24"/>
          <w:lang w:val="sr-Cyrl-BA"/>
        </w:rPr>
        <w:t>ује</w:t>
      </w:r>
      <w:r w:rsidR="008D24A7" w:rsidRPr="006820FB">
        <w:rPr>
          <w:rFonts w:ascii="Times New Roman" w:hAnsi="Times New Roman"/>
          <w:sz w:val="24"/>
          <w:szCs w:val="24"/>
          <w:lang w:val="hr-HR"/>
        </w:rPr>
        <w:t xml:space="preserve"> </w:t>
      </w:r>
      <w:r>
        <w:rPr>
          <w:rFonts w:ascii="Times New Roman" w:hAnsi="Times New Roman"/>
          <w:sz w:val="24"/>
          <w:szCs w:val="24"/>
          <w:lang w:val="hr-HR"/>
        </w:rPr>
        <w:t>три</w:t>
      </w:r>
      <w:r w:rsidR="008D24A7" w:rsidRPr="006820FB">
        <w:rPr>
          <w:rFonts w:ascii="Times New Roman" w:hAnsi="Times New Roman"/>
          <w:sz w:val="24"/>
          <w:szCs w:val="24"/>
          <w:lang w:val="hr-HR"/>
        </w:rPr>
        <w:t xml:space="preserve"> </w:t>
      </w:r>
      <w:r>
        <w:rPr>
          <w:rFonts w:ascii="Times New Roman" w:hAnsi="Times New Roman"/>
          <w:sz w:val="24"/>
          <w:szCs w:val="24"/>
          <w:lang w:val="hr-HR"/>
        </w:rPr>
        <w:t>програма</w:t>
      </w:r>
      <w:r w:rsidR="008D24A7" w:rsidRPr="006820FB">
        <w:rPr>
          <w:rFonts w:ascii="Times New Roman" w:hAnsi="Times New Roman"/>
          <w:sz w:val="24"/>
          <w:szCs w:val="24"/>
          <w:lang w:val="hr-HR"/>
        </w:rPr>
        <w:t xml:space="preserve"> </w:t>
      </w:r>
      <w:r>
        <w:rPr>
          <w:rFonts w:ascii="Times New Roman" w:hAnsi="Times New Roman"/>
          <w:sz w:val="24"/>
          <w:szCs w:val="24"/>
          <w:lang w:val="hr-HR"/>
        </w:rPr>
        <w:t>едукације</w:t>
      </w:r>
      <w:r w:rsidR="008D24A7" w:rsidRPr="006820FB">
        <w:rPr>
          <w:rFonts w:ascii="Times New Roman" w:hAnsi="Times New Roman"/>
          <w:sz w:val="24"/>
          <w:szCs w:val="24"/>
          <w:lang w:val="hr-HR"/>
        </w:rPr>
        <w:t xml:space="preserve">, </w:t>
      </w:r>
      <w:r>
        <w:rPr>
          <w:rFonts w:ascii="Times New Roman" w:hAnsi="Times New Roman"/>
          <w:sz w:val="24"/>
          <w:szCs w:val="24"/>
          <w:lang w:val="hr-HR"/>
        </w:rPr>
        <w:t>за</w:t>
      </w:r>
      <w:r w:rsidR="008D24A7" w:rsidRPr="006820FB">
        <w:rPr>
          <w:rFonts w:ascii="Times New Roman" w:hAnsi="Times New Roman"/>
          <w:sz w:val="24"/>
          <w:szCs w:val="24"/>
          <w:lang w:val="hr-HR"/>
        </w:rPr>
        <w:t xml:space="preserve"> </w:t>
      </w:r>
      <w:r>
        <w:rPr>
          <w:rFonts w:ascii="Times New Roman" w:hAnsi="Times New Roman"/>
          <w:sz w:val="24"/>
          <w:szCs w:val="24"/>
          <w:lang w:val="hr-HR"/>
        </w:rPr>
        <w:t>различите</w:t>
      </w:r>
      <w:r w:rsidR="008D24A7" w:rsidRPr="006820FB">
        <w:rPr>
          <w:rFonts w:ascii="Times New Roman" w:hAnsi="Times New Roman"/>
          <w:sz w:val="24"/>
          <w:szCs w:val="24"/>
          <w:lang w:val="hr-HR"/>
        </w:rPr>
        <w:t xml:space="preserve"> </w:t>
      </w:r>
      <w:r>
        <w:rPr>
          <w:rFonts w:ascii="Times New Roman" w:hAnsi="Times New Roman"/>
          <w:sz w:val="24"/>
          <w:szCs w:val="24"/>
          <w:lang w:val="hr-HR"/>
        </w:rPr>
        <w:t>циљне</w:t>
      </w:r>
      <w:r w:rsidR="008D24A7" w:rsidRPr="006820FB">
        <w:rPr>
          <w:rFonts w:ascii="Times New Roman" w:hAnsi="Times New Roman"/>
          <w:sz w:val="24"/>
          <w:szCs w:val="24"/>
          <w:lang w:val="hr-HR"/>
        </w:rPr>
        <w:t xml:space="preserve"> </w:t>
      </w:r>
      <w:r>
        <w:rPr>
          <w:rFonts w:ascii="Times New Roman" w:hAnsi="Times New Roman"/>
          <w:sz w:val="24"/>
          <w:szCs w:val="24"/>
          <w:lang w:val="hr-HR"/>
        </w:rPr>
        <w:t>групе</w:t>
      </w:r>
      <w:r w:rsidR="008D24A7" w:rsidRPr="006820FB">
        <w:rPr>
          <w:rFonts w:ascii="Times New Roman" w:hAnsi="Times New Roman"/>
          <w:sz w:val="24"/>
          <w:szCs w:val="24"/>
          <w:lang w:val="hr-HR"/>
        </w:rPr>
        <w:t xml:space="preserve"> </w:t>
      </w:r>
      <w:r>
        <w:rPr>
          <w:rFonts w:ascii="Times New Roman" w:hAnsi="Times New Roman"/>
          <w:sz w:val="24"/>
          <w:szCs w:val="24"/>
          <w:lang w:val="hr-HR"/>
        </w:rPr>
        <w:t>и</w:t>
      </w:r>
      <w:r w:rsidR="008D24A7" w:rsidRPr="006820FB">
        <w:rPr>
          <w:rFonts w:ascii="Times New Roman" w:hAnsi="Times New Roman"/>
          <w:sz w:val="24"/>
          <w:szCs w:val="24"/>
          <w:lang w:val="hr-HR"/>
        </w:rPr>
        <w:t xml:space="preserve"> </w:t>
      </w:r>
      <w:r>
        <w:rPr>
          <w:rFonts w:ascii="Times New Roman" w:hAnsi="Times New Roman"/>
          <w:sz w:val="24"/>
          <w:szCs w:val="24"/>
          <w:lang w:val="hr-HR"/>
        </w:rPr>
        <w:t>нивое</w:t>
      </w:r>
      <w:r w:rsidR="008D24A7" w:rsidRPr="006820FB">
        <w:rPr>
          <w:rFonts w:ascii="Times New Roman" w:hAnsi="Times New Roman"/>
          <w:sz w:val="24"/>
          <w:szCs w:val="24"/>
          <w:lang w:val="hr-HR"/>
        </w:rPr>
        <w:t xml:space="preserve">, </w:t>
      </w:r>
      <w:r>
        <w:rPr>
          <w:rFonts w:ascii="Times New Roman" w:hAnsi="Times New Roman"/>
          <w:sz w:val="24"/>
          <w:szCs w:val="24"/>
          <w:lang w:val="hr-HR"/>
        </w:rPr>
        <w:t>као</w:t>
      </w:r>
      <w:r w:rsidR="008D24A7" w:rsidRPr="006820FB">
        <w:rPr>
          <w:rFonts w:ascii="Times New Roman" w:hAnsi="Times New Roman"/>
          <w:sz w:val="24"/>
          <w:szCs w:val="24"/>
          <w:lang w:val="hr-HR"/>
        </w:rPr>
        <w:t xml:space="preserve"> </w:t>
      </w:r>
      <w:r>
        <w:rPr>
          <w:rFonts w:ascii="Times New Roman" w:hAnsi="Times New Roman"/>
          <w:sz w:val="24"/>
          <w:szCs w:val="24"/>
          <w:lang w:val="hr-HR"/>
        </w:rPr>
        <w:t>и</w:t>
      </w:r>
      <w:r w:rsidR="008D24A7" w:rsidRPr="006820FB">
        <w:rPr>
          <w:rFonts w:ascii="Times New Roman" w:hAnsi="Times New Roman"/>
          <w:sz w:val="24"/>
          <w:szCs w:val="24"/>
          <w:lang w:val="hr-HR"/>
        </w:rPr>
        <w:t xml:space="preserve"> </w:t>
      </w:r>
      <w:r>
        <w:rPr>
          <w:rFonts w:ascii="Times New Roman" w:hAnsi="Times New Roman"/>
          <w:sz w:val="24"/>
          <w:szCs w:val="24"/>
          <w:lang w:val="hr-HR"/>
        </w:rPr>
        <w:t>један</w:t>
      </w:r>
      <w:r w:rsidR="008D24A7" w:rsidRPr="006820FB">
        <w:rPr>
          <w:rFonts w:ascii="Times New Roman" w:hAnsi="Times New Roman"/>
          <w:sz w:val="24"/>
          <w:szCs w:val="24"/>
          <w:lang w:val="hr-HR"/>
        </w:rPr>
        <w:t xml:space="preserve"> </w:t>
      </w:r>
      <w:r>
        <w:rPr>
          <w:rFonts w:ascii="Times New Roman" w:hAnsi="Times New Roman"/>
          <w:sz w:val="24"/>
          <w:szCs w:val="24"/>
          <w:lang w:val="hr-HR"/>
        </w:rPr>
        <w:t>онл</w:t>
      </w:r>
      <w:r w:rsidR="00D8279B">
        <w:rPr>
          <w:rFonts w:ascii="Times New Roman" w:hAnsi="Times New Roman"/>
          <w:sz w:val="24"/>
          <w:szCs w:val="24"/>
          <w:lang w:val="sr-Cyrl-BA"/>
        </w:rPr>
        <w:t>ајн</w:t>
      </w:r>
      <w:r w:rsidR="008D24A7" w:rsidRPr="006820FB">
        <w:rPr>
          <w:rFonts w:ascii="Times New Roman" w:hAnsi="Times New Roman"/>
          <w:sz w:val="24"/>
          <w:szCs w:val="24"/>
          <w:lang w:val="hr-HR"/>
        </w:rPr>
        <w:t xml:space="preserve"> </w:t>
      </w:r>
      <w:r>
        <w:rPr>
          <w:rFonts w:ascii="Times New Roman" w:hAnsi="Times New Roman"/>
          <w:sz w:val="24"/>
          <w:szCs w:val="24"/>
          <w:lang w:val="hr-HR"/>
        </w:rPr>
        <w:t>модул</w:t>
      </w:r>
      <w:r w:rsidR="008D24A7" w:rsidRPr="006820FB">
        <w:rPr>
          <w:rFonts w:ascii="Times New Roman" w:hAnsi="Times New Roman"/>
          <w:sz w:val="24"/>
          <w:szCs w:val="24"/>
          <w:lang w:val="hr-HR"/>
        </w:rPr>
        <w:t xml:space="preserve"> </w:t>
      </w:r>
      <w:r>
        <w:rPr>
          <w:rFonts w:ascii="Times New Roman" w:hAnsi="Times New Roman"/>
          <w:sz w:val="24"/>
          <w:szCs w:val="24"/>
          <w:lang w:val="hr-HR"/>
        </w:rPr>
        <w:t>обуке</w:t>
      </w:r>
      <w:r w:rsidR="008D24A7" w:rsidRPr="006820FB">
        <w:rPr>
          <w:rFonts w:ascii="Times New Roman" w:hAnsi="Times New Roman"/>
          <w:sz w:val="24"/>
          <w:szCs w:val="24"/>
          <w:lang w:val="hr-HR"/>
        </w:rPr>
        <w:t xml:space="preserve">. </w:t>
      </w:r>
      <w:r>
        <w:rPr>
          <w:rFonts w:ascii="Times New Roman" w:hAnsi="Times New Roman"/>
          <w:sz w:val="24"/>
          <w:szCs w:val="24"/>
          <w:lang w:val="hr-HR"/>
        </w:rPr>
        <w:t>Према</w:t>
      </w:r>
      <w:r w:rsidR="008D24A7" w:rsidRPr="006820FB">
        <w:rPr>
          <w:rFonts w:ascii="Times New Roman" w:hAnsi="Times New Roman"/>
          <w:sz w:val="24"/>
          <w:szCs w:val="24"/>
          <w:lang w:val="hr-HR"/>
        </w:rPr>
        <w:t xml:space="preserve"> </w:t>
      </w:r>
      <w:r>
        <w:rPr>
          <w:rFonts w:ascii="Times New Roman" w:hAnsi="Times New Roman"/>
          <w:sz w:val="24"/>
          <w:szCs w:val="24"/>
          <w:lang w:val="hr-HR"/>
        </w:rPr>
        <w:t>свим</w:t>
      </w:r>
      <w:r w:rsidR="008D24A7" w:rsidRPr="006820FB">
        <w:rPr>
          <w:rFonts w:ascii="Times New Roman" w:hAnsi="Times New Roman"/>
          <w:sz w:val="24"/>
          <w:szCs w:val="24"/>
          <w:lang w:val="hr-HR"/>
        </w:rPr>
        <w:t xml:space="preserve"> </w:t>
      </w:r>
      <w:r>
        <w:rPr>
          <w:rFonts w:ascii="Times New Roman" w:hAnsi="Times New Roman"/>
          <w:sz w:val="24"/>
          <w:szCs w:val="24"/>
          <w:lang w:val="hr-HR"/>
        </w:rPr>
        <w:t>програмима</w:t>
      </w:r>
      <w:r w:rsidR="008D24A7" w:rsidRPr="006820FB">
        <w:rPr>
          <w:rFonts w:ascii="Times New Roman" w:hAnsi="Times New Roman"/>
          <w:sz w:val="24"/>
          <w:szCs w:val="24"/>
          <w:lang w:val="hr-HR"/>
        </w:rPr>
        <w:t xml:space="preserve"> </w:t>
      </w:r>
      <w:r>
        <w:rPr>
          <w:rFonts w:ascii="Times New Roman" w:hAnsi="Times New Roman"/>
          <w:sz w:val="24"/>
          <w:szCs w:val="24"/>
          <w:lang w:val="hr-HR"/>
        </w:rPr>
        <w:t>едукације</w:t>
      </w:r>
      <w:r w:rsidR="008D24A7" w:rsidRPr="006820FB">
        <w:rPr>
          <w:rFonts w:ascii="Times New Roman" w:hAnsi="Times New Roman"/>
          <w:sz w:val="24"/>
          <w:szCs w:val="24"/>
          <w:lang w:val="hr-HR"/>
        </w:rPr>
        <w:t xml:space="preserve"> </w:t>
      </w:r>
      <w:r>
        <w:rPr>
          <w:rFonts w:ascii="Times New Roman" w:hAnsi="Times New Roman"/>
          <w:sz w:val="24"/>
          <w:szCs w:val="24"/>
          <w:lang w:val="hr-HR"/>
        </w:rPr>
        <w:t>носилаца</w:t>
      </w:r>
      <w:r w:rsidR="008D24A7" w:rsidRPr="006820FB">
        <w:rPr>
          <w:rFonts w:ascii="Times New Roman" w:hAnsi="Times New Roman"/>
          <w:sz w:val="24"/>
          <w:szCs w:val="24"/>
          <w:lang w:val="hr-HR"/>
        </w:rPr>
        <w:t xml:space="preserve"> </w:t>
      </w:r>
      <w:r>
        <w:rPr>
          <w:rFonts w:ascii="Times New Roman" w:hAnsi="Times New Roman"/>
          <w:sz w:val="24"/>
          <w:szCs w:val="24"/>
          <w:lang w:val="hr-HR"/>
        </w:rPr>
        <w:t>правосудних</w:t>
      </w:r>
      <w:r w:rsidR="008D24A7" w:rsidRPr="006820FB">
        <w:rPr>
          <w:rFonts w:ascii="Times New Roman" w:hAnsi="Times New Roman"/>
          <w:sz w:val="24"/>
          <w:szCs w:val="24"/>
          <w:lang w:val="hr-HR"/>
        </w:rPr>
        <w:t xml:space="preserve"> </w:t>
      </w:r>
      <w:r>
        <w:rPr>
          <w:rFonts w:ascii="Times New Roman" w:hAnsi="Times New Roman"/>
          <w:sz w:val="24"/>
          <w:szCs w:val="24"/>
          <w:lang w:val="hr-HR"/>
        </w:rPr>
        <w:t>функција</w:t>
      </w:r>
      <w:r w:rsidR="008D24A7" w:rsidRPr="006820FB">
        <w:rPr>
          <w:rFonts w:ascii="Times New Roman" w:hAnsi="Times New Roman"/>
          <w:sz w:val="24"/>
          <w:szCs w:val="24"/>
          <w:lang w:val="hr-HR"/>
        </w:rPr>
        <w:t xml:space="preserve">, </w:t>
      </w:r>
      <w:r>
        <w:rPr>
          <w:rFonts w:ascii="Times New Roman" w:hAnsi="Times New Roman"/>
          <w:sz w:val="24"/>
          <w:szCs w:val="24"/>
          <w:lang w:val="hr-HR"/>
        </w:rPr>
        <w:t>током</w:t>
      </w:r>
      <w:r w:rsidR="008D24A7" w:rsidRPr="006820FB">
        <w:rPr>
          <w:rFonts w:ascii="Times New Roman" w:hAnsi="Times New Roman"/>
          <w:sz w:val="24"/>
          <w:szCs w:val="24"/>
          <w:lang w:val="hr-HR"/>
        </w:rPr>
        <w:t xml:space="preserve"> 2024. </w:t>
      </w:r>
      <w:r>
        <w:rPr>
          <w:rFonts w:ascii="Times New Roman" w:hAnsi="Times New Roman"/>
          <w:sz w:val="24"/>
          <w:szCs w:val="24"/>
          <w:lang w:val="hr-HR"/>
        </w:rPr>
        <w:t>године</w:t>
      </w:r>
      <w:r w:rsidR="008D24A7" w:rsidRPr="006820FB">
        <w:rPr>
          <w:rFonts w:ascii="Times New Roman" w:hAnsi="Times New Roman"/>
          <w:sz w:val="24"/>
          <w:szCs w:val="24"/>
          <w:lang w:val="hr-HR"/>
        </w:rPr>
        <w:t xml:space="preserve"> </w:t>
      </w:r>
      <w:r>
        <w:rPr>
          <w:rFonts w:ascii="Times New Roman" w:hAnsi="Times New Roman"/>
          <w:sz w:val="24"/>
          <w:szCs w:val="24"/>
          <w:lang w:val="hr-HR"/>
        </w:rPr>
        <w:t>проведено</w:t>
      </w:r>
      <w:r w:rsidR="008D24A7" w:rsidRPr="006820FB">
        <w:rPr>
          <w:rFonts w:ascii="Times New Roman" w:hAnsi="Times New Roman"/>
          <w:sz w:val="24"/>
          <w:szCs w:val="24"/>
          <w:lang w:val="hr-HR"/>
        </w:rPr>
        <w:t xml:space="preserve"> </w:t>
      </w:r>
      <w:r>
        <w:rPr>
          <w:rFonts w:ascii="Times New Roman" w:hAnsi="Times New Roman"/>
          <w:sz w:val="24"/>
          <w:szCs w:val="24"/>
          <w:lang w:val="hr-HR"/>
        </w:rPr>
        <w:t>је</w:t>
      </w:r>
      <w:r w:rsidR="008D24A7" w:rsidRPr="006820FB">
        <w:rPr>
          <w:rFonts w:ascii="Times New Roman" w:hAnsi="Times New Roman"/>
          <w:sz w:val="24"/>
          <w:szCs w:val="24"/>
          <w:lang w:val="hr-HR"/>
        </w:rPr>
        <w:t xml:space="preserve"> </w:t>
      </w:r>
      <w:r>
        <w:rPr>
          <w:rFonts w:ascii="Times New Roman" w:hAnsi="Times New Roman"/>
          <w:sz w:val="24"/>
          <w:szCs w:val="24"/>
          <w:lang w:val="hr-HR"/>
        </w:rPr>
        <w:t>укупно</w:t>
      </w:r>
      <w:r w:rsidR="008D24A7" w:rsidRPr="006820FB">
        <w:rPr>
          <w:rFonts w:ascii="Times New Roman" w:hAnsi="Times New Roman"/>
          <w:sz w:val="24"/>
          <w:szCs w:val="24"/>
          <w:lang w:val="hr-HR"/>
        </w:rPr>
        <w:t xml:space="preserve"> 18 </w:t>
      </w:r>
      <w:r>
        <w:rPr>
          <w:rFonts w:ascii="Times New Roman" w:hAnsi="Times New Roman"/>
          <w:sz w:val="24"/>
          <w:szCs w:val="24"/>
          <w:lang w:val="hr-HR"/>
        </w:rPr>
        <w:t>обука</w:t>
      </w:r>
      <w:r w:rsidR="00DC2955">
        <w:rPr>
          <w:rFonts w:ascii="Times New Roman" w:hAnsi="Times New Roman"/>
          <w:sz w:val="24"/>
          <w:szCs w:val="24"/>
          <w:lang w:val="hr-HR"/>
        </w:rPr>
        <w:t xml:space="preserve"> </w:t>
      </w:r>
      <w:r>
        <w:rPr>
          <w:rFonts w:ascii="Times New Roman" w:hAnsi="Times New Roman"/>
          <w:sz w:val="24"/>
          <w:szCs w:val="24"/>
          <w:lang w:val="hr-HR"/>
        </w:rPr>
        <w:t>на</w:t>
      </w:r>
      <w:r w:rsidR="00DC2955">
        <w:rPr>
          <w:rFonts w:ascii="Times New Roman" w:hAnsi="Times New Roman"/>
          <w:sz w:val="24"/>
          <w:szCs w:val="24"/>
          <w:lang w:val="hr-HR"/>
        </w:rPr>
        <w:t xml:space="preserve"> </w:t>
      </w:r>
      <w:r>
        <w:rPr>
          <w:rFonts w:ascii="Times New Roman" w:hAnsi="Times New Roman"/>
          <w:sz w:val="24"/>
          <w:szCs w:val="24"/>
          <w:lang w:val="hr-HR"/>
        </w:rPr>
        <w:t>којима</w:t>
      </w:r>
      <w:r w:rsidR="00DC2955">
        <w:rPr>
          <w:rFonts w:ascii="Times New Roman" w:hAnsi="Times New Roman"/>
          <w:sz w:val="24"/>
          <w:szCs w:val="24"/>
          <w:lang w:val="hr-HR"/>
        </w:rPr>
        <w:t xml:space="preserve"> </w:t>
      </w:r>
      <w:r>
        <w:rPr>
          <w:rFonts w:ascii="Times New Roman" w:hAnsi="Times New Roman"/>
          <w:sz w:val="24"/>
          <w:szCs w:val="24"/>
          <w:lang w:val="hr-HR"/>
        </w:rPr>
        <w:t>је</w:t>
      </w:r>
      <w:r w:rsidR="00DC2955">
        <w:rPr>
          <w:rFonts w:ascii="Times New Roman" w:hAnsi="Times New Roman"/>
          <w:sz w:val="24"/>
          <w:szCs w:val="24"/>
          <w:lang w:val="hr-HR"/>
        </w:rPr>
        <w:t xml:space="preserve"> </w:t>
      </w:r>
      <w:r>
        <w:rPr>
          <w:rFonts w:ascii="Times New Roman" w:hAnsi="Times New Roman"/>
          <w:sz w:val="24"/>
          <w:szCs w:val="24"/>
          <w:lang w:val="hr-HR"/>
        </w:rPr>
        <w:t>присуствовало</w:t>
      </w:r>
      <w:r w:rsidR="008D24A7" w:rsidRPr="006820FB">
        <w:rPr>
          <w:rFonts w:ascii="Times New Roman" w:hAnsi="Times New Roman"/>
          <w:sz w:val="24"/>
          <w:szCs w:val="24"/>
          <w:lang w:val="hr-HR"/>
        </w:rPr>
        <w:t xml:space="preserve"> 900 </w:t>
      </w:r>
      <w:r>
        <w:rPr>
          <w:rFonts w:ascii="Times New Roman" w:hAnsi="Times New Roman"/>
          <w:sz w:val="24"/>
          <w:szCs w:val="24"/>
          <w:lang w:val="hr-HR"/>
        </w:rPr>
        <w:t>лица</w:t>
      </w:r>
      <w:r w:rsidR="008D24A7" w:rsidRPr="006820FB">
        <w:rPr>
          <w:rFonts w:ascii="Times New Roman" w:hAnsi="Times New Roman"/>
          <w:sz w:val="24"/>
          <w:szCs w:val="24"/>
          <w:lang w:val="hr-HR"/>
        </w:rPr>
        <w:t xml:space="preserve"> (36% </w:t>
      </w:r>
      <w:r>
        <w:rPr>
          <w:rFonts w:ascii="Times New Roman" w:hAnsi="Times New Roman"/>
          <w:sz w:val="24"/>
          <w:szCs w:val="24"/>
          <w:lang w:val="hr-HR"/>
        </w:rPr>
        <w:t>жена</w:t>
      </w:r>
      <w:r w:rsidR="008D24A7" w:rsidRPr="006820FB">
        <w:rPr>
          <w:rFonts w:ascii="Times New Roman" w:hAnsi="Times New Roman"/>
          <w:sz w:val="24"/>
          <w:szCs w:val="24"/>
          <w:lang w:val="hr-HR"/>
        </w:rPr>
        <w:t xml:space="preserve"> </w:t>
      </w:r>
      <w:r>
        <w:rPr>
          <w:rFonts w:ascii="Times New Roman" w:hAnsi="Times New Roman"/>
          <w:sz w:val="24"/>
          <w:szCs w:val="24"/>
          <w:lang w:val="hr-HR"/>
        </w:rPr>
        <w:t>и</w:t>
      </w:r>
      <w:r w:rsidR="008D24A7" w:rsidRPr="006820FB">
        <w:rPr>
          <w:rFonts w:ascii="Times New Roman" w:hAnsi="Times New Roman"/>
          <w:sz w:val="24"/>
          <w:szCs w:val="24"/>
          <w:lang w:val="hr-HR"/>
        </w:rPr>
        <w:t xml:space="preserve"> 64% </w:t>
      </w:r>
      <w:r>
        <w:rPr>
          <w:rFonts w:ascii="Times New Roman" w:hAnsi="Times New Roman"/>
          <w:sz w:val="24"/>
          <w:szCs w:val="24"/>
          <w:lang w:val="hr-HR"/>
        </w:rPr>
        <w:t>мушкараца</w:t>
      </w:r>
      <w:r w:rsidR="008D24A7" w:rsidRPr="006820FB">
        <w:rPr>
          <w:rFonts w:ascii="Times New Roman" w:hAnsi="Times New Roman"/>
          <w:sz w:val="24"/>
          <w:szCs w:val="24"/>
          <w:lang w:val="hr-HR"/>
        </w:rPr>
        <w:t xml:space="preserve">). </w:t>
      </w:r>
      <w:r>
        <w:rPr>
          <w:rFonts w:ascii="Times New Roman" w:hAnsi="Times New Roman"/>
          <w:bCs/>
          <w:sz w:val="24"/>
          <w:szCs w:val="24"/>
          <w:lang w:val="hr-HR"/>
        </w:rPr>
        <w:t>У</w:t>
      </w:r>
      <w:r w:rsidR="0011114D">
        <w:rPr>
          <w:rFonts w:ascii="Times New Roman" w:hAnsi="Times New Roman"/>
          <w:bCs/>
          <w:sz w:val="24"/>
          <w:szCs w:val="24"/>
          <w:lang w:val="hr-HR"/>
        </w:rPr>
        <w:t xml:space="preserve"> </w:t>
      </w:r>
      <w:r>
        <w:rPr>
          <w:rFonts w:ascii="Times New Roman" w:hAnsi="Times New Roman"/>
          <w:bCs/>
          <w:sz w:val="24"/>
          <w:szCs w:val="24"/>
          <w:lang w:val="hr-HR"/>
        </w:rPr>
        <w:t>вези</w:t>
      </w:r>
      <w:r w:rsidR="0011114D">
        <w:rPr>
          <w:rFonts w:ascii="Times New Roman" w:hAnsi="Times New Roman"/>
          <w:bCs/>
          <w:sz w:val="24"/>
          <w:szCs w:val="24"/>
          <w:lang w:val="hr-HR"/>
        </w:rPr>
        <w:t xml:space="preserve"> </w:t>
      </w:r>
      <w:r>
        <w:rPr>
          <w:rFonts w:ascii="Times New Roman" w:hAnsi="Times New Roman"/>
          <w:bCs/>
          <w:sz w:val="24"/>
          <w:szCs w:val="24"/>
          <w:lang w:val="hr-HR"/>
        </w:rPr>
        <w:t>са</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заједничком</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обуком</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за</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судије</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тужиоце</w:t>
      </w:r>
      <w:r w:rsidR="00DC2955">
        <w:rPr>
          <w:rFonts w:ascii="Times New Roman" w:hAnsi="Times New Roman"/>
          <w:bCs/>
          <w:sz w:val="24"/>
          <w:szCs w:val="24"/>
          <w:lang w:val="hr-HR"/>
        </w:rPr>
        <w:t xml:space="preserve">, </w:t>
      </w:r>
      <w:r>
        <w:rPr>
          <w:rFonts w:ascii="Times New Roman" w:hAnsi="Times New Roman"/>
          <w:bCs/>
          <w:sz w:val="24"/>
          <w:szCs w:val="24"/>
          <w:lang w:val="hr-HR"/>
        </w:rPr>
        <w:t>полицијске</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службенике</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и</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друге</w:t>
      </w:r>
      <w:r w:rsidR="00DC2955">
        <w:rPr>
          <w:rFonts w:ascii="Times New Roman" w:hAnsi="Times New Roman"/>
          <w:bCs/>
          <w:sz w:val="24"/>
          <w:szCs w:val="24"/>
          <w:lang w:val="hr-HR"/>
        </w:rPr>
        <w:t xml:space="preserve"> </w:t>
      </w:r>
      <w:r>
        <w:rPr>
          <w:rFonts w:ascii="Times New Roman" w:hAnsi="Times New Roman"/>
          <w:bCs/>
          <w:sz w:val="24"/>
          <w:szCs w:val="24"/>
          <w:lang w:val="hr-HR"/>
        </w:rPr>
        <w:t>службенике</w:t>
      </w:r>
      <w:r w:rsidR="00DC2955">
        <w:rPr>
          <w:rFonts w:ascii="Times New Roman" w:hAnsi="Times New Roman"/>
          <w:bCs/>
          <w:sz w:val="24"/>
          <w:szCs w:val="24"/>
          <w:lang w:val="hr-HR"/>
        </w:rPr>
        <w:t xml:space="preserve"> </w:t>
      </w:r>
      <w:r>
        <w:rPr>
          <w:rFonts w:ascii="Times New Roman" w:hAnsi="Times New Roman"/>
          <w:bCs/>
          <w:sz w:val="24"/>
          <w:szCs w:val="24"/>
          <w:lang w:val="hr-HR"/>
        </w:rPr>
        <w:t>за</w:t>
      </w:r>
      <w:r w:rsidR="00DC2955">
        <w:rPr>
          <w:rFonts w:ascii="Times New Roman" w:hAnsi="Times New Roman"/>
          <w:bCs/>
          <w:sz w:val="24"/>
          <w:szCs w:val="24"/>
          <w:lang w:val="hr-HR"/>
        </w:rPr>
        <w:t xml:space="preserve"> </w:t>
      </w:r>
      <w:r w:rsidR="00D8279B">
        <w:rPr>
          <w:rFonts w:ascii="Times New Roman" w:hAnsi="Times New Roman"/>
          <w:bCs/>
          <w:sz w:val="24"/>
          <w:szCs w:val="24"/>
          <w:lang w:val="sr-Cyrl-BA"/>
        </w:rPr>
        <w:t>спровођење</w:t>
      </w:r>
      <w:r w:rsidR="00DC2955">
        <w:rPr>
          <w:rFonts w:ascii="Times New Roman" w:hAnsi="Times New Roman"/>
          <w:bCs/>
          <w:sz w:val="24"/>
          <w:szCs w:val="24"/>
          <w:lang w:val="hr-HR"/>
        </w:rPr>
        <w:t xml:space="preserve"> </w:t>
      </w:r>
      <w:r>
        <w:rPr>
          <w:rFonts w:ascii="Times New Roman" w:hAnsi="Times New Roman"/>
          <w:bCs/>
          <w:sz w:val="24"/>
          <w:szCs w:val="24"/>
          <w:lang w:val="hr-HR"/>
        </w:rPr>
        <w:t>закона</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о</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јединственој</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примјени</w:t>
      </w:r>
      <w:r w:rsidR="008D24A7" w:rsidRPr="006820FB">
        <w:rPr>
          <w:rFonts w:ascii="Times New Roman" w:hAnsi="Times New Roman"/>
          <w:sz w:val="24"/>
          <w:szCs w:val="24"/>
          <w:lang w:val="hr-HR"/>
        </w:rPr>
        <w:t xml:space="preserve"> </w:t>
      </w:r>
      <w:r>
        <w:rPr>
          <w:rFonts w:ascii="Times New Roman" w:hAnsi="Times New Roman"/>
          <w:bCs/>
          <w:sz w:val="24"/>
          <w:szCs w:val="24"/>
          <w:lang w:val="hr-HR"/>
        </w:rPr>
        <w:t>постојећег</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правног</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оквира</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укључујући</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прописе</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о</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заштити</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од</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насиља</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у</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породици</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и</w:t>
      </w:r>
      <w:r w:rsidR="008D24A7" w:rsidRPr="006820FB">
        <w:rPr>
          <w:rFonts w:ascii="Times New Roman" w:hAnsi="Times New Roman"/>
          <w:sz w:val="24"/>
          <w:szCs w:val="24"/>
          <w:lang w:val="hr-HR"/>
        </w:rPr>
        <w:t xml:space="preserve"> </w:t>
      </w:r>
      <w:r>
        <w:rPr>
          <w:rFonts w:ascii="Times New Roman" w:hAnsi="Times New Roman"/>
          <w:bCs/>
          <w:sz w:val="24"/>
          <w:szCs w:val="24"/>
          <w:lang w:val="hr-HR"/>
        </w:rPr>
        <w:t>родним</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стереотипима</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сексуалном</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насиљу</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и</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узнемиравању</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те</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прописе</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о</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заштити</w:t>
      </w:r>
      <w:r w:rsidR="008D24A7" w:rsidRPr="006820FB">
        <w:rPr>
          <w:rFonts w:ascii="Times New Roman" w:hAnsi="Times New Roman"/>
          <w:sz w:val="24"/>
          <w:szCs w:val="24"/>
          <w:lang w:val="hr-HR"/>
        </w:rPr>
        <w:t xml:space="preserve"> </w:t>
      </w:r>
      <w:r>
        <w:rPr>
          <w:rFonts w:ascii="Times New Roman" w:hAnsi="Times New Roman"/>
          <w:bCs/>
          <w:sz w:val="24"/>
          <w:szCs w:val="24"/>
          <w:lang w:val="hr-HR"/>
        </w:rPr>
        <w:t>жртава</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трговине</w:t>
      </w:r>
      <w:r w:rsidR="008D24A7" w:rsidRPr="006820FB">
        <w:rPr>
          <w:rFonts w:ascii="Times New Roman" w:hAnsi="Times New Roman"/>
          <w:bCs/>
          <w:sz w:val="24"/>
          <w:szCs w:val="24"/>
          <w:lang w:val="hr-HR"/>
        </w:rPr>
        <w:t xml:space="preserve"> </w:t>
      </w:r>
      <w:r>
        <w:rPr>
          <w:rFonts w:ascii="Times New Roman" w:hAnsi="Times New Roman"/>
          <w:bCs/>
          <w:sz w:val="24"/>
          <w:szCs w:val="24"/>
          <w:lang w:val="hr-HR"/>
        </w:rPr>
        <w:t>људима</w:t>
      </w:r>
      <w:r w:rsidR="008D24A7" w:rsidRPr="006820FB">
        <w:rPr>
          <w:rFonts w:ascii="Times New Roman" w:hAnsi="Times New Roman"/>
          <w:bCs/>
          <w:sz w:val="24"/>
          <w:szCs w:val="24"/>
          <w:lang w:val="hr-HR"/>
        </w:rPr>
        <w:t xml:space="preserve"> </w:t>
      </w:r>
      <w:r>
        <w:rPr>
          <w:rFonts w:ascii="Times New Roman" w:hAnsi="Times New Roman"/>
          <w:sz w:val="24"/>
          <w:szCs w:val="24"/>
          <w:lang w:val="hr-HR"/>
        </w:rPr>
        <w:t>је</w:t>
      </w:r>
      <w:r w:rsidR="008D24A7" w:rsidRPr="006820FB">
        <w:rPr>
          <w:rFonts w:ascii="Times New Roman" w:hAnsi="Times New Roman"/>
          <w:sz w:val="24"/>
          <w:szCs w:val="24"/>
          <w:lang w:val="hr-HR"/>
        </w:rPr>
        <w:t xml:space="preserve"> </w:t>
      </w:r>
      <w:r>
        <w:rPr>
          <w:rFonts w:ascii="Times New Roman" w:hAnsi="Times New Roman"/>
          <w:sz w:val="24"/>
          <w:szCs w:val="24"/>
          <w:lang w:val="hr-HR"/>
        </w:rPr>
        <w:t>да</w:t>
      </w:r>
      <w:r w:rsidR="008D24A7" w:rsidRPr="006820FB">
        <w:rPr>
          <w:rFonts w:ascii="Times New Roman" w:hAnsi="Times New Roman"/>
          <w:sz w:val="24"/>
          <w:szCs w:val="24"/>
          <w:lang w:val="hr-HR"/>
        </w:rPr>
        <w:t xml:space="preserve"> </w:t>
      </w:r>
      <w:r>
        <w:rPr>
          <w:rFonts w:ascii="Times New Roman" w:hAnsi="Times New Roman"/>
          <w:sz w:val="24"/>
          <w:szCs w:val="24"/>
          <w:lang w:val="hr-HR"/>
        </w:rPr>
        <w:t>ће</w:t>
      </w:r>
      <w:r w:rsidR="008D24A7" w:rsidRPr="006820FB">
        <w:rPr>
          <w:rFonts w:ascii="Times New Roman" w:hAnsi="Times New Roman"/>
          <w:sz w:val="24"/>
          <w:szCs w:val="24"/>
          <w:lang w:val="hr-HR"/>
        </w:rPr>
        <w:t xml:space="preserve"> </w:t>
      </w:r>
      <w:r>
        <w:rPr>
          <w:rFonts w:ascii="Times New Roman" w:hAnsi="Times New Roman"/>
          <w:sz w:val="24"/>
          <w:szCs w:val="24"/>
          <w:lang w:val="hr-HR"/>
        </w:rPr>
        <w:t>мјера</w:t>
      </w:r>
      <w:r w:rsidR="008D24A7" w:rsidRPr="006820FB">
        <w:rPr>
          <w:rFonts w:ascii="Times New Roman" w:hAnsi="Times New Roman"/>
          <w:sz w:val="24"/>
          <w:szCs w:val="24"/>
          <w:lang w:val="hr-HR"/>
        </w:rPr>
        <w:t xml:space="preserve"> </w:t>
      </w:r>
      <w:r>
        <w:rPr>
          <w:rFonts w:ascii="Times New Roman" w:hAnsi="Times New Roman"/>
          <w:sz w:val="24"/>
          <w:szCs w:val="24"/>
          <w:lang w:val="hr-HR"/>
        </w:rPr>
        <w:t>бити</w:t>
      </w:r>
      <w:r w:rsidR="008D24A7" w:rsidRPr="006820FB">
        <w:rPr>
          <w:rFonts w:ascii="Times New Roman" w:hAnsi="Times New Roman"/>
          <w:sz w:val="24"/>
          <w:szCs w:val="24"/>
          <w:lang w:val="hr-HR"/>
        </w:rPr>
        <w:t xml:space="preserve"> </w:t>
      </w:r>
      <w:r>
        <w:rPr>
          <w:rFonts w:ascii="Times New Roman" w:hAnsi="Times New Roman"/>
          <w:sz w:val="24"/>
          <w:szCs w:val="24"/>
          <w:lang w:val="hr-HR"/>
        </w:rPr>
        <w:t>узета</w:t>
      </w:r>
      <w:r w:rsidR="008D24A7" w:rsidRPr="006820FB">
        <w:rPr>
          <w:rFonts w:ascii="Times New Roman" w:hAnsi="Times New Roman"/>
          <w:sz w:val="24"/>
          <w:szCs w:val="24"/>
          <w:lang w:val="hr-HR"/>
        </w:rPr>
        <w:t xml:space="preserve"> </w:t>
      </w:r>
      <w:r>
        <w:rPr>
          <w:rFonts w:ascii="Times New Roman" w:hAnsi="Times New Roman"/>
          <w:sz w:val="24"/>
          <w:szCs w:val="24"/>
          <w:lang w:val="hr-HR"/>
        </w:rPr>
        <w:t>у</w:t>
      </w:r>
      <w:r w:rsidR="008D24A7" w:rsidRPr="006820FB">
        <w:rPr>
          <w:rFonts w:ascii="Times New Roman" w:hAnsi="Times New Roman"/>
          <w:sz w:val="24"/>
          <w:szCs w:val="24"/>
          <w:lang w:val="hr-HR"/>
        </w:rPr>
        <w:t xml:space="preserve"> </w:t>
      </w:r>
      <w:r>
        <w:rPr>
          <w:rFonts w:ascii="Times New Roman" w:hAnsi="Times New Roman"/>
          <w:sz w:val="24"/>
          <w:szCs w:val="24"/>
          <w:lang w:val="hr-HR"/>
        </w:rPr>
        <w:t>обзир</w:t>
      </w:r>
      <w:r w:rsidR="008D24A7" w:rsidRPr="006820FB">
        <w:rPr>
          <w:rFonts w:ascii="Times New Roman" w:hAnsi="Times New Roman"/>
          <w:sz w:val="24"/>
          <w:szCs w:val="24"/>
          <w:lang w:val="hr-HR"/>
        </w:rPr>
        <w:t xml:space="preserve"> </w:t>
      </w:r>
      <w:r>
        <w:rPr>
          <w:rFonts w:ascii="Times New Roman" w:hAnsi="Times New Roman"/>
          <w:sz w:val="24"/>
          <w:szCs w:val="24"/>
          <w:lang w:val="hr-HR"/>
        </w:rPr>
        <w:t>приликом</w:t>
      </w:r>
      <w:r w:rsidR="008D24A7" w:rsidRPr="006820FB">
        <w:rPr>
          <w:rFonts w:ascii="Times New Roman" w:hAnsi="Times New Roman"/>
          <w:sz w:val="24"/>
          <w:szCs w:val="24"/>
          <w:lang w:val="hr-HR"/>
        </w:rPr>
        <w:t xml:space="preserve"> </w:t>
      </w:r>
      <w:r>
        <w:rPr>
          <w:rFonts w:ascii="Times New Roman" w:hAnsi="Times New Roman"/>
          <w:sz w:val="24"/>
          <w:szCs w:val="24"/>
          <w:lang w:val="hr-HR"/>
        </w:rPr>
        <w:t>програмирања</w:t>
      </w:r>
      <w:r w:rsidR="008D24A7" w:rsidRPr="006820FB">
        <w:rPr>
          <w:rFonts w:ascii="Times New Roman" w:hAnsi="Times New Roman"/>
          <w:sz w:val="24"/>
          <w:szCs w:val="24"/>
          <w:lang w:val="hr-HR"/>
        </w:rPr>
        <w:t xml:space="preserve"> </w:t>
      </w:r>
      <w:r>
        <w:rPr>
          <w:rFonts w:ascii="Times New Roman" w:hAnsi="Times New Roman"/>
          <w:sz w:val="24"/>
          <w:szCs w:val="24"/>
          <w:lang w:val="hr-HR"/>
        </w:rPr>
        <w:t>обука</w:t>
      </w:r>
      <w:r w:rsidR="008D24A7" w:rsidRPr="006820FB">
        <w:rPr>
          <w:rFonts w:ascii="Times New Roman" w:hAnsi="Times New Roman"/>
          <w:sz w:val="24"/>
          <w:szCs w:val="24"/>
          <w:lang w:val="hr-HR"/>
        </w:rPr>
        <w:t xml:space="preserve"> </w:t>
      </w:r>
      <w:r>
        <w:rPr>
          <w:rFonts w:ascii="Times New Roman" w:hAnsi="Times New Roman"/>
          <w:sz w:val="24"/>
          <w:szCs w:val="24"/>
          <w:lang w:val="hr-HR"/>
        </w:rPr>
        <w:t>судија</w:t>
      </w:r>
      <w:r w:rsidR="008D24A7" w:rsidRPr="006820FB">
        <w:rPr>
          <w:rFonts w:ascii="Times New Roman" w:hAnsi="Times New Roman"/>
          <w:sz w:val="24"/>
          <w:szCs w:val="24"/>
          <w:lang w:val="hr-HR"/>
        </w:rPr>
        <w:t xml:space="preserve"> </w:t>
      </w:r>
      <w:r>
        <w:rPr>
          <w:rFonts w:ascii="Times New Roman" w:hAnsi="Times New Roman"/>
          <w:sz w:val="24"/>
          <w:szCs w:val="24"/>
          <w:lang w:val="hr-HR"/>
        </w:rPr>
        <w:t>и</w:t>
      </w:r>
      <w:r w:rsidR="008D24A7" w:rsidRPr="006820FB">
        <w:rPr>
          <w:rFonts w:ascii="Times New Roman" w:hAnsi="Times New Roman"/>
          <w:sz w:val="24"/>
          <w:szCs w:val="24"/>
          <w:lang w:val="hr-HR"/>
        </w:rPr>
        <w:t xml:space="preserve"> </w:t>
      </w:r>
      <w:r>
        <w:rPr>
          <w:rFonts w:ascii="Times New Roman" w:hAnsi="Times New Roman"/>
          <w:sz w:val="24"/>
          <w:szCs w:val="24"/>
          <w:lang w:val="hr-HR"/>
        </w:rPr>
        <w:t>тужилаца</w:t>
      </w:r>
      <w:r w:rsidR="008D24A7" w:rsidRPr="006820FB">
        <w:rPr>
          <w:rFonts w:ascii="Times New Roman" w:hAnsi="Times New Roman"/>
          <w:bCs/>
          <w:sz w:val="24"/>
          <w:szCs w:val="24"/>
          <w:lang w:val="hr-HR"/>
        </w:rPr>
        <w:t xml:space="preserve"> </w:t>
      </w:r>
      <w:r>
        <w:rPr>
          <w:rFonts w:ascii="Times New Roman" w:hAnsi="Times New Roman"/>
          <w:sz w:val="24"/>
          <w:szCs w:val="24"/>
          <w:lang w:val="hr-HR"/>
        </w:rPr>
        <w:t>у</w:t>
      </w:r>
      <w:r w:rsidR="008D24A7" w:rsidRPr="006820FB">
        <w:rPr>
          <w:rFonts w:ascii="Times New Roman" w:hAnsi="Times New Roman"/>
          <w:sz w:val="24"/>
          <w:szCs w:val="24"/>
          <w:lang w:val="hr-HR"/>
        </w:rPr>
        <w:t xml:space="preserve"> 2025. </w:t>
      </w:r>
      <w:r>
        <w:rPr>
          <w:rFonts w:ascii="Times New Roman" w:hAnsi="Times New Roman"/>
          <w:sz w:val="24"/>
          <w:szCs w:val="24"/>
          <w:lang w:val="hr-HR"/>
        </w:rPr>
        <w:t>години</w:t>
      </w:r>
      <w:r w:rsidR="008D24A7" w:rsidRPr="006820FB">
        <w:rPr>
          <w:rFonts w:ascii="Times New Roman" w:hAnsi="Times New Roman"/>
          <w:sz w:val="24"/>
          <w:szCs w:val="24"/>
          <w:lang w:val="hr-HR"/>
        </w:rPr>
        <w:t xml:space="preserve">, </w:t>
      </w:r>
      <w:r>
        <w:rPr>
          <w:rFonts w:ascii="Times New Roman" w:hAnsi="Times New Roman"/>
          <w:sz w:val="24"/>
          <w:szCs w:val="24"/>
          <w:lang w:val="hr-HR"/>
        </w:rPr>
        <w:t>те</w:t>
      </w:r>
      <w:r w:rsidR="009E4D64" w:rsidRPr="006820FB">
        <w:rPr>
          <w:rFonts w:ascii="Times New Roman" w:hAnsi="Times New Roman"/>
          <w:sz w:val="24"/>
          <w:szCs w:val="24"/>
          <w:lang w:val="hr-HR"/>
        </w:rPr>
        <w:t xml:space="preserve"> </w:t>
      </w:r>
      <w:r>
        <w:rPr>
          <w:rFonts w:ascii="Times New Roman" w:hAnsi="Times New Roman"/>
          <w:sz w:val="24"/>
          <w:szCs w:val="24"/>
          <w:lang w:val="hr-HR"/>
        </w:rPr>
        <w:t>ће</w:t>
      </w:r>
      <w:r w:rsidR="008D24A7" w:rsidRPr="006820FB">
        <w:rPr>
          <w:rFonts w:ascii="Times New Roman" w:hAnsi="Times New Roman"/>
          <w:sz w:val="24"/>
          <w:szCs w:val="24"/>
          <w:lang w:val="hr-HR"/>
        </w:rPr>
        <w:t xml:space="preserve"> </w:t>
      </w:r>
      <w:r>
        <w:rPr>
          <w:rFonts w:ascii="Times New Roman" w:hAnsi="Times New Roman"/>
          <w:sz w:val="24"/>
          <w:szCs w:val="24"/>
          <w:lang w:val="hr-HR"/>
        </w:rPr>
        <w:t>бити</w:t>
      </w:r>
      <w:r w:rsidR="008D24A7" w:rsidRPr="006820FB">
        <w:rPr>
          <w:rFonts w:ascii="Times New Roman" w:hAnsi="Times New Roman"/>
          <w:sz w:val="24"/>
          <w:szCs w:val="24"/>
          <w:lang w:val="hr-HR"/>
        </w:rPr>
        <w:t xml:space="preserve"> </w:t>
      </w:r>
      <w:r>
        <w:rPr>
          <w:rFonts w:ascii="Times New Roman" w:hAnsi="Times New Roman"/>
          <w:sz w:val="24"/>
          <w:szCs w:val="24"/>
          <w:lang w:val="hr-HR"/>
        </w:rPr>
        <w:t>дио</w:t>
      </w:r>
      <w:r w:rsidR="008D24A7" w:rsidRPr="006820FB">
        <w:rPr>
          <w:rFonts w:ascii="Times New Roman" w:hAnsi="Times New Roman"/>
          <w:sz w:val="24"/>
          <w:szCs w:val="24"/>
          <w:lang w:val="hr-HR"/>
        </w:rPr>
        <w:t xml:space="preserve"> </w:t>
      </w:r>
      <w:r>
        <w:rPr>
          <w:rFonts w:ascii="Times New Roman" w:hAnsi="Times New Roman"/>
          <w:sz w:val="24"/>
          <w:szCs w:val="24"/>
          <w:lang w:val="hr-HR"/>
        </w:rPr>
        <w:t>дневног</w:t>
      </w:r>
      <w:r w:rsidR="008D24A7" w:rsidRPr="006820FB">
        <w:rPr>
          <w:rFonts w:ascii="Times New Roman" w:hAnsi="Times New Roman"/>
          <w:sz w:val="24"/>
          <w:szCs w:val="24"/>
          <w:lang w:val="hr-HR"/>
        </w:rPr>
        <w:t xml:space="preserve"> </w:t>
      </w:r>
      <w:r>
        <w:rPr>
          <w:rFonts w:ascii="Times New Roman" w:hAnsi="Times New Roman"/>
          <w:sz w:val="24"/>
          <w:szCs w:val="24"/>
          <w:lang w:val="hr-HR"/>
        </w:rPr>
        <w:t>реда</w:t>
      </w:r>
      <w:r w:rsidR="008D24A7" w:rsidRPr="006820FB">
        <w:rPr>
          <w:rFonts w:ascii="Times New Roman" w:hAnsi="Times New Roman"/>
          <w:sz w:val="24"/>
          <w:szCs w:val="24"/>
          <w:lang w:val="hr-HR"/>
        </w:rPr>
        <w:t xml:space="preserve"> </w:t>
      </w:r>
      <w:r>
        <w:rPr>
          <w:rFonts w:ascii="Times New Roman" w:hAnsi="Times New Roman"/>
          <w:sz w:val="24"/>
          <w:szCs w:val="24"/>
          <w:lang w:val="hr-HR"/>
        </w:rPr>
        <w:t>састанка</w:t>
      </w:r>
      <w:r w:rsidR="008D24A7" w:rsidRPr="006820FB">
        <w:rPr>
          <w:rFonts w:ascii="Times New Roman" w:hAnsi="Times New Roman"/>
          <w:sz w:val="24"/>
          <w:szCs w:val="24"/>
          <w:lang w:val="hr-HR"/>
        </w:rPr>
        <w:t xml:space="preserve"> </w:t>
      </w:r>
      <w:r>
        <w:rPr>
          <w:rFonts w:ascii="Times New Roman" w:hAnsi="Times New Roman"/>
          <w:sz w:val="24"/>
          <w:szCs w:val="24"/>
          <w:lang w:val="hr-HR"/>
        </w:rPr>
        <w:t>Сталне</w:t>
      </w:r>
      <w:r w:rsidR="008D24A7" w:rsidRPr="006820FB">
        <w:rPr>
          <w:rFonts w:ascii="Times New Roman" w:hAnsi="Times New Roman"/>
          <w:sz w:val="24"/>
          <w:szCs w:val="24"/>
          <w:lang w:val="hr-HR"/>
        </w:rPr>
        <w:t xml:space="preserve"> </w:t>
      </w:r>
      <w:r>
        <w:rPr>
          <w:rFonts w:ascii="Times New Roman" w:hAnsi="Times New Roman"/>
          <w:sz w:val="24"/>
          <w:szCs w:val="24"/>
          <w:lang w:val="hr-HR"/>
        </w:rPr>
        <w:t>комисије</w:t>
      </w:r>
      <w:r w:rsidR="008D24A7" w:rsidRPr="006820FB">
        <w:rPr>
          <w:rFonts w:ascii="Times New Roman" w:hAnsi="Times New Roman"/>
          <w:sz w:val="24"/>
          <w:szCs w:val="24"/>
          <w:lang w:val="hr-HR"/>
        </w:rPr>
        <w:t xml:space="preserve"> </w:t>
      </w:r>
      <w:r>
        <w:rPr>
          <w:rFonts w:ascii="Times New Roman" w:hAnsi="Times New Roman"/>
          <w:sz w:val="24"/>
          <w:szCs w:val="24"/>
          <w:lang w:val="hr-HR"/>
        </w:rPr>
        <w:t>за</w:t>
      </w:r>
      <w:r w:rsidR="008D24A7" w:rsidRPr="006820FB">
        <w:rPr>
          <w:rFonts w:ascii="Times New Roman" w:hAnsi="Times New Roman"/>
          <w:sz w:val="24"/>
          <w:szCs w:val="24"/>
          <w:lang w:val="hr-HR"/>
        </w:rPr>
        <w:t xml:space="preserve"> </w:t>
      </w:r>
      <w:r>
        <w:rPr>
          <w:rFonts w:ascii="Times New Roman" w:hAnsi="Times New Roman"/>
          <w:sz w:val="24"/>
          <w:szCs w:val="24"/>
          <w:lang w:val="hr-HR"/>
        </w:rPr>
        <w:t>едукацију</w:t>
      </w:r>
      <w:r w:rsidR="008D24A7" w:rsidRPr="006820FB">
        <w:rPr>
          <w:rFonts w:ascii="Times New Roman" w:hAnsi="Times New Roman"/>
          <w:sz w:val="24"/>
          <w:szCs w:val="24"/>
          <w:lang w:val="hr-HR"/>
        </w:rPr>
        <w:t xml:space="preserve"> </w:t>
      </w:r>
      <w:r>
        <w:rPr>
          <w:rFonts w:ascii="Times New Roman" w:hAnsi="Times New Roman"/>
          <w:sz w:val="24"/>
          <w:szCs w:val="24"/>
          <w:lang w:val="hr-HR"/>
        </w:rPr>
        <w:t>и</w:t>
      </w:r>
      <w:r w:rsidR="008D24A7" w:rsidRPr="006820FB">
        <w:rPr>
          <w:rFonts w:ascii="Times New Roman" w:hAnsi="Times New Roman"/>
          <w:sz w:val="24"/>
          <w:szCs w:val="24"/>
          <w:lang w:val="hr-HR"/>
        </w:rPr>
        <w:t xml:space="preserve"> </w:t>
      </w:r>
      <w:r>
        <w:rPr>
          <w:rFonts w:ascii="Times New Roman" w:hAnsi="Times New Roman"/>
          <w:sz w:val="24"/>
          <w:szCs w:val="24"/>
          <w:lang w:val="hr-HR"/>
        </w:rPr>
        <w:t>судску</w:t>
      </w:r>
      <w:r w:rsidR="008D24A7" w:rsidRPr="006820FB">
        <w:rPr>
          <w:rFonts w:ascii="Times New Roman" w:hAnsi="Times New Roman"/>
          <w:sz w:val="24"/>
          <w:szCs w:val="24"/>
          <w:lang w:val="hr-HR"/>
        </w:rPr>
        <w:t xml:space="preserve"> </w:t>
      </w:r>
      <w:r>
        <w:rPr>
          <w:rFonts w:ascii="Times New Roman" w:hAnsi="Times New Roman"/>
          <w:sz w:val="24"/>
          <w:szCs w:val="24"/>
          <w:lang w:val="hr-HR"/>
        </w:rPr>
        <w:t>документацију</w:t>
      </w:r>
      <w:r w:rsidR="008D24A7" w:rsidRPr="006820FB">
        <w:rPr>
          <w:rFonts w:ascii="Times New Roman" w:hAnsi="Times New Roman"/>
          <w:sz w:val="24"/>
          <w:szCs w:val="24"/>
          <w:lang w:val="hr-HR"/>
        </w:rPr>
        <w:t xml:space="preserve">, </w:t>
      </w:r>
      <w:r>
        <w:rPr>
          <w:rFonts w:ascii="Times New Roman" w:hAnsi="Times New Roman"/>
          <w:sz w:val="24"/>
          <w:szCs w:val="24"/>
          <w:lang w:val="hr-HR"/>
        </w:rPr>
        <w:t>центара</w:t>
      </w:r>
      <w:r w:rsidR="008D24A7" w:rsidRPr="006820FB">
        <w:rPr>
          <w:rFonts w:ascii="Times New Roman" w:hAnsi="Times New Roman"/>
          <w:sz w:val="24"/>
          <w:szCs w:val="24"/>
          <w:lang w:val="hr-HR"/>
        </w:rPr>
        <w:t xml:space="preserve"> </w:t>
      </w:r>
      <w:r>
        <w:rPr>
          <w:rFonts w:ascii="Times New Roman" w:hAnsi="Times New Roman"/>
          <w:sz w:val="24"/>
          <w:szCs w:val="24"/>
          <w:lang w:val="hr-HR"/>
        </w:rPr>
        <w:t>за</w:t>
      </w:r>
      <w:r w:rsidR="008D24A7" w:rsidRPr="006820FB">
        <w:rPr>
          <w:rFonts w:ascii="Times New Roman" w:hAnsi="Times New Roman"/>
          <w:sz w:val="24"/>
          <w:szCs w:val="24"/>
          <w:lang w:val="hr-HR"/>
        </w:rPr>
        <w:t xml:space="preserve"> </w:t>
      </w:r>
      <w:r>
        <w:rPr>
          <w:rFonts w:ascii="Times New Roman" w:hAnsi="Times New Roman"/>
          <w:sz w:val="24"/>
          <w:szCs w:val="24"/>
          <w:lang w:val="hr-HR"/>
        </w:rPr>
        <w:t>едукацију</w:t>
      </w:r>
      <w:r w:rsidR="008D24A7" w:rsidRPr="006820FB">
        <w:rPr>
          <w:rFonts w:ascii="Times New Roman" w:hAnsi="Times New Roman"/>
          <w:sz w:val="24"/>
          <w:szCs w:val="24"/>
          <w:lang w:val="hr-HR"/>
        </w:rPr>
        <w:t xml:space="preserve"> </w:t>
      </w:r>
      <w:r>
        <w:rPr>
          <w:rFonts w:ascii="Times New Roman" w:hAnsi="Times New Roman"/>
          <w:sz w:val="24"/>
          <w:szCs w:val="24"/>
          <w:lang w:val="hr-HR"/>
        </w:rPr>
        <w:t>судија</w:t>
      </w:r>
      <w:r w:rsidR="008D24A7" w:rsidRPr="006820FB">
        <w:rPr>
          <w:rFonts w:ascii="Times New Roman" w:hAnsi="Times New Roman"/>
          <w:sz w:val="24"/>
          <w:szCs w:val="24"/>
          <w:lang w:val="hr-HR"/>
        </w:rPr>
        <w:t xml:space="preserve"> </w:t>
      </w:r>
      <w:r>
        <w:rPr>
          <w:rFonts w:ascii="Times New Roman" w:hAnsi="Times New Roman"/>
          <w:sz w:val="24"/>
          <w:szCs w:val="24"/>
          <w:lang w:val="hr-HR"/>
        </w:rPr>
        <w:t>и</w:t>
      </w:r>
      <w:r w:rsidR="008D24A7" w:rsidRPr="006820FB">
        <w:rPr>
          <w:rFonts w:ascii="Times New Roman" w:hAnsi="Times New Roman"/>
          <w:sz w:val="24"/>
          <w:szCs w:val="24"/>
          <w:lang w:val="hr-HR"/>
        </w:rPr>
        <w:t xml:space="preserve"> </w:t>
      </w:r>
      <w:r>
        <w:rPr>
          <w:rFonts w:ascii="Times New Roman" w:hAnsi="Times New Roman"/>
          <w:sz w:val="24"/>
          <w:szCs w:val="24"/>
          <w:lang w:val="hr-HR"/>
        </w:rPr>
        <w:t>тужилаца</w:t>
      </w:r>
      <w:r w:rsidR="008D24A7" w:rsidRPr="006820FB">
        <w:rPr>
          <w:rFonts w:ascii="Times New Roman" w:hAnsi="Times New Roman"/>
          <w:sz w:val="24"/>
          <w:szCs w:val="24"/>
          <w:lang w:val="hr-HR"/>
        </w:rPr>
        <w:t xml:space="preserve"> </w:t>
      </w:r>
      <w:r>
        <w:rPr>
          <w:rFonts w:ascii="Times New Roman" w:hAnsi="Times New Roman"/>
          <w:sz w:val="24"/>
          <w:szCs w:val="24"/>
          <w:lang w:val="hr-HR"/>
        </w:rPr>
        <w:t>и</w:t>
      </w:r>
      <w:r w:rsidR="008D24A7" w:rsidRPr="006820FB">
        <w:rPr>
          <w:rFonts w:ascii="Times New Roman" w:hAnsi="Times New Roman"/>
          <w:sz w:val="24"/>
          <w:szCs w:val="24"/>
          <w:lang w:val="hr-HR"/>
        </w:rPr>
        <w:t xml:space="preserve"> </w:t>
      </w:r>
      <w:r>
        <w:rPr>
          <w:rFonts w:ascii="Times New Roman" w:hAnsi="Times New Roman"/>
          <w:sz w:val="24"/>
          <w:szCs w:val="24"/>
          <w:lang w:val="hr-HR"/>
        </w:rPr>
        <w:t>Правосудне</w:t>
      </w:r>
      <w:r w:rsidR="008D24A7" w:rsidRPr="006820FB">
        <w:rPr>
          <w:rFonts w:ascii="Times New Roman" w:hAnsi="Times New Roman"/>
          <w:sz w:val="24"/>
          <w:szCs w:val="24"/>
          <w:lang w:val="hr-HR"/>
        </w:rPr>
        <w:t xml:space="preserve"> </w:t>
      </w:r>
      <w:r>
        <w:rPr>
          <w:rFonts w:ascii="Times New Roman" w:hAnsi="Times New Roman"/>
          <w:sz w:val="24"/>
          <w:szCs w:val="24"/>
          <w:lang w:val="hr-HR"/>
        </w:rPr>
        <w:t>комисије</w:t>
      </w:r>
      <w:r w:rsidR="008D24A7" w:rsidRPr="006820FB">
        <w:rPr>
          <w:rFonts w:ascii="Times New Roman" w:hAnsi="Times New Roman"/>
          <w:sz w:val="24"/>
          <w:szCs w:val="24"/>
          <w:lang w:val="hr-HR"/>
        </w:rPr>
        <w:t xml:space="preserve"> </w:t>
      </w:r>
      <w:r>
        <w:rPr>
          <w:rFonts w:ascii="Times New Roman" w:hAnsi="Times New Roman"/>
          <w:sz w:val="24"/>
          <w:szCs w:val="24"/>
          <w:lang w:val="hr-HR"/>
        </w:rPr>
        <w:t>БД</w:t>
      </w:r>
      <w:r w:rsidR="009E54A2" w:rsidRPr="006820FB">
        <w:rPr>
          <w:rFonts w:ascii="Times New Roman" w:hAnsi="Times New Roman"/>
          <w:sz w:val="24"/>
          <w:szCs w:val="24"/>
          <w:lang w:val="hr-HR"/>
        </w:rPr>
        <w:t xml:space="preserve"> </w:t>
      </w:r>
      <w:r>
        <w:rPr>
          <w:rFonts w:ascii="Times New Roman" w:hAnsi="Times New Roman"/>
          <w:sz w:val="24"/>
          <w:szCs w:val="24"/>
          <w:lang w:val="hr-HR"/>
        </w:rPr>
        <w:t>БиХ</w:t>
      </w:r>
      <w:r w:rsidR="00BB210C">
        <w:rPr>
          <w:rFonts w:ascii="Times New Roman" w:hAnsi="Times New Roman"/>
          <w:sz w:val="24"/>
          <w:szCs w:val="24"/>
          <w:lang w:val="hr-HR"/>
        </w:rPr>
        <w:t>.</w:t>
      </w:r>
    </w:p>
    <w:p w:rsidR="008D24A7" w:rsidRPr="00295637" w:rsidRDefault="008D24A7" w:rsidP="0086268D">
      <w:pPr>
        <w:pStyle w:val="CommentText"/>
        <w:ind w:left="720"/>
        <w:jc w:val="both"/>
        <w:rPr>
          <w:rFonts w:asciiTheme="minorHAnsi" w:hAnsiTheme="minorHAnsi" w:cstheme="minorHAnsi"/>
          <w:sz w:val="24"/>
          <w:szCs w:val="24"/>
        </w:rPr>
      </w:pPr>
    </w:p>
    <w:p w:rsidR="008D24A7" w:rsidRPr="00295637" w:rsidRDefault="00C6214E" w:rsidP="0086268D">
      <w:pPr>
        <w:tabs>
          <w:tab w:val="left" w:pos="1080"/>
        </w:tabs>
        <w:jc w:val="both"/>
        <w:rPr>
          <w:rFonts w:ascii="Times New Roman" w:hAnsi="Times New Roman"/>
          <w:strike/>
          <w:szCs w:val="24"/>
          <w:lang w:val="bs-Latn-BA"/>
        </w:rPr>
      </w:pP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Закону</w:t>
      </w:r>
      <w:r w:rsidR="008D24A7" w:rsidRPr="00295637">
        <w:rPr>
          <w:rFonts w:ascii="Times New Roman" w:hAnsi="Times New Roman"/>
          <w:szCs w:val="24"/>
          <w:lang w:val="bs-Latn-BA"/>
        </w:rPr>
        <w:t xml:space="preserve"> </w:t>
      </w:r>
      <w:r>
        <w:rPr>
          <w:rFonts w:ascii="Times New Roman" w:hAnsi="Times New Roman"/>
          <w:szCs w:val="24"/>
          <w:lang w:val="bs-Latn-BA"/>
        </w:rPr>
        <w:t>о</w:t>
      </w:r>
      <w:r w:rsidR="008D24A7" w:rsidRPr="00295637">
        <w:rPr>
          <w:rFonts w:ascii="Times New Roman" w:hAnsi="Times New Roman"/>
          <w:szCs w:val="24"/>
          <w:lang w:val="bs-Latn-BA"/>
        </w:rPr>
        <w:t xml:space="preserve"> </w:t>
      </w:r>
      <w:r>
        <w:rPr>
          <w:rFonts w:ascii="Times New Roman" w:hAnsi="Times New Roman"/>
          <w:szCs w:val="24"/>
          <w:lang w:val="bs-Latn-BA"/>
        </w:rPr>
        <w:t>заштити</w:t>
      </w:r>
      <w:r w:rsidR="008D24A7" w:rsidRPr="00295637">
        <w:rPr>
          <w:rFonts w:ascii="Times New Roman" w:hAnsi="Times New Roman"/>
          <w:szCs w:val="24"/>
          <w:lang w:val="bs-Latn-BA"/>
        </w:rPr>
        <w:t xml:space="preserve"> </w:t>
      </w:r>
      <w:r>
        <w:rPr>
          <w:rFonts w:ascii="Times New Roman" w:hAnsi="Times New Roman"/>
          <w:szCs w:val="24"/>
          <w:lang w:val="bs-Latn-BA"/>
        </w:rPr>
        <w:t>од</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породици</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према</w:t>
      </w:r>
      <w:r w:rsidR="008D24A7" w:rsidRPr="00295637">
        <w:rPr>
          <w:rFonts w:ascii="Times New Roman" w:hAnsi="Times New Roman"/>
          <w:szCs w:val="24"/>
          <w:lang w:val="bs-Latn-BA"/>
        </w:rPr>
        <w:t xml:space="preserve"> </w:t>
      </w:r>
      <w:r>
        <w:rPr>
          <w:rFonts w:ascii="Times New Roman" w:hAnsi="Times New Roman"/>
          <w:szCs w:val="24"/>
          <w:lang w:val="bs-Latn-BA"/>
        </w:rPr>
        <w:t>женама</w:t>
      </w:r>
      <w:r w:rsidR="008D24A7" w:rsidRPr="00295637">
        <w:rPr>
          <w:rFonts w:ascii="Times New Roman" w:hAnsi="Times New Roman"/>
          <w:szCs w:val="24"/>
          <w:lang w:val="bs-Latn-BA"/>
        </w:rPr>
        <w:t xml:space="preserve"> </w:t>
      </w:r>
      <w:r>
        <w:rPr>
          <w:rFonts w:ascii="Times New Roman" w:hAnsi="Times New Roman"/>
          <w:szCs w:val="24"/>
          <w:lang w:val="bs-Latn-BA"/>
        </w:rPr>
        <w:t>ФБиХ</w:t>
      </w:r>
      <w:r w:rsidR="00FE6F70" w:rsidRPr="00295637">
        <w:rPr>
          <w:rFonts w:ascii="Times New Roman" w:hAnsi="Times New Roman"/>
          <w:szCs w:val="24"/>
          <w:lang w:val="bs-Latn-BA"/>
        </w:rPr>
        <w:t xml:space="preserve"> </w:t>
      </w:r>
      <w:r>
        <w:rPr>
          <w:rFonts w:ascii="Times New Roman" w:hAnsi="Times New Roman"/>
          <w:szCs w:val="24"/>
          <w:lang w:val="bs-Latn-BA"/>
        </w:rPr>
        <w:t>дефини</w:t>
      </w:r>
      <w:r w:rsidR="00D8279B">
        <w:rPr>
          <w:rFonts w:ascii="Times New Roman" w:hAnsi="Times New Roman"/>
          <w:szCs w:val="24"/>
          <w:lang w:val="sr-Cyrl-BA"/>
        </w:rPr>
        <w:t>с</w:t>
      </w:r>
      <w:r>
        <w:rPr>
          <w:rFonts w:ascii="Times New Roman" w:hAnsi="Times New Roman"/>
          <w:szCs w:val="24"/>
          <w:lang w:val="bs-Latn-BA"/>
        </w:rPr>
        <w:t>ана</w:t>
      </w:r>
      <w:r w:rsidR="00DC2955">
        <w:rPr>
          <w:rFonts w:ascii="Times New Roman" w:hAnsi="Times New Roman"/>
          <w:szCs w:val="24"/>
          <w:lang w:val="bs-Latn-BA"/>
        </w:rPr>
        <w:t xml:space="preserve"> </w:t>
      </w:r>
      <w:r>
        <w:rPr>
          <w:rFonts w:ascii="Times New Roman" w:hAnsi="Times New Roman"/>
          <w:szCs w:val="24"/>
          <w:lang w:val="bs-Latn-BA"/>
        </w:rPr>
        <w:t>је</w:t>
      </w:r>
      <w:r w:rsidR="00DC2955">
        <w:rPr>
          <w:rFonts w:ascii="Times New Roman" w:hAnsi="Times New Roman"/>
          <w:szCs w:val="24"/>
          <w:lang w:val="bs-Latn-BA"/>
        </w:rPr>
        <w:t xml:space="preserve"> </w:t>
      </w:r>
      <w:r>
        <w:rPr>
          <w:rFonts w:ascii="Times New Roman" w:hAnsi="Times New Roman"/>
          <w:szCs w:val="24"/>
          <w:lang w:val="bs-Latn-BA"/>
        </w:rPr>
        <w:t>одредба</w:t>
      </w:r>
      <w:r w:rsidR="00DC2955">
        <w:rPr>
          <w:rFonts w:ascii="Times New Roman" w:hAnsi="Times New Roman"/>
          <w:szCs w:val="24"/>
          <w:lang w:val="bs-Latn-BA"/>
        </w:rPr>
        <w:t xml:space="preserve"> </w:t>
      </w:r>
      <w:r>
        <w:rPr>
          <w:rFonts w:ascii="Times New Roman" w:hAnsi="Times New Roman"/>
          <w:szCs w:val="24"/>
          <w:lang w:val="bs-Latn-BA"/>
        </w:rPr>
        <w:t>обавезног</w:t>
      </w:r>
      <w:r w:rsidR="008D24A7" w:rsidRPr="00295637">
        <w:rPr>
          <w:rFonts w:ascii="Times New Roman" w:hAnsi="Times New Roman"/>
          <w:szCs w:val="24"/>
          <w:lang w:val="bs-Latn-BA"/>
        </w:rPr>
        <w:t xml:space="preserve"> </w:t>
      </w:r>
      <w:r>
        <w:rPr>
          <w:rFonts w:ascii="Times New Roman" w:hAnsi="Times New Roman"/>
          <w:szCs w:val="24"/>
          <w:lang w:val="bs-Latn-BA"/>
        </w:rPr>
        <w:t>стручног</w:t>
      </w:r>
      <w:r w:rsidR="008D24A7" w:rsidRPr="00295637">
        <w:rPr>
          <w:rFonts w:ascii="Times New Roman" w:hAnsi="Times New Roman"/>
          <w:szCs w:val="24"/>
          <w:lang w:val="bs-Latn-BA"/>
        </w:rPr>
        <w:t xml:space="preserve"> </w:t>
      </w:r>
      <w:r>
        <w:rPr>
          <w:rFonts w:ascii="Times New Roman" w:hAnsi="Times New Roman"/>
          <w:szCs w:val="24"/>
          <w:lang w:val="bs-Latn-BA"/>
        </w:rPr>
        <w:t>усавршавања</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оспособљавања</w:t>
      </w:r>
      <w:r w:rsidR="008D24A7" w:rsidRPr="00295637">
        <w:rPr>
          <w:rFonts w:ascii="Times New Roman" w:hAnsi="Times New Roman"/>
          <w:szCs w:val="24"/>
          <w:lang w:val="bs-Latn-BA"/>
        </w:rPr>
        <w:t xml:space="preserve">. </w:t>
      </w:r>
      <w:r w:rsidR="00D8279B">
        <w:rPr>
          <w:rFonts w:ascii="Times New Roman" w:hAnsi="Times New Roman"/>
          <w:szCs w:val="24"/>
          <w:lang w:val="bs-Latn-BA"/>
        </w:rPr>
        <w:t>Такође</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оквиру</w:t>
      </w:r>
      <w:r w:rsidR="008D24A7" w:rsidRPr="00295637">
        <w:rPr>
          <w:rFonts w:ascii="Times New Roman" w:hAnsi="Times New Roman"/>
          <w:szCs w:val="24"/>
          <w:lang w:val="bs-Latn-BA"/>
        </w:rPr>
        <w:t xml:space="preserve"> </w:t>
      </w:r>
      <w:r>
        <w:rPr>
          <w:rFonts w:ascii="Times New Roman" w:hAnsi="Times New Roman"/>
          <w:szCs w:val="24"/>
          <w:lang w:val="bs-Latn-BA"/>
        </w:rPr>
        <w:t>Стратегије</w:t>
      </w:r>
      <w:r w:rsidR="008D24A7" w:rsidRPr="00295637">
        <w:rPr>
          <w:rFonts w:ascii="Times New Roman" w:hAnsi="Times New Roman"/>
          <w:szCs w:val="24"/>
          <w:lang w:val="bs-Latn-BA"/>
        </w:rPr>
        <w:t xml:space="preserve"> </w:t>
      </w:r>
      <w:r>
        <w:rPr>
          <w:rFonts w:ascii="Times New Roman" w:hAnsi="Times New Roman"/>
          <w:szCs w:val="24"/>
          <w:lang w:val="bs-Latn-BA"/>
        </w:rPr>
        <w:t>за</w:t>
      </w:r>
      <w:r w:rsidR="008D24A7" w:rsidRPr="00295637">
        <w:rPr>
          <w:rFonts w:ascii="Times New Roman" w:hAnsi="Times New Roman"/>
          <w:szCs w:val="24"/>
          <w:lang w:val="bs-Latn-BA"/>
        </w:rPr>
        <w:t xml:space="preserve"> </w:t>
      </w:r>
      <w:r>
        <w:rPr>
          <w:rFonts w:ascii="Times New Roman" w:hAnsi="Times New Roman"/>
          <w:szCs w:val="24"/>
          <w:lang w:val="bs-Latn-BA"/>
        </w:rPr>
        <w:t>превенцију</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борбу</w:t>
      </w:r>
      <w:r w:rsidR="008D24A7" w:rsidRPr="00295637">
        <w:rPr>
          <w:rFonts w:ascii="Times New Roman" w:hAnsi="Times New Roman"/>
          <w:szCs w:val="24"/>
          <w:lang w:val="bs-Latn-BA"/>
        </w:rPr>
        <w:t xml:space="preserve"> </w:t>
      </w:r>
      <w:r>
        <w:rPr>
          <w:rFonts w:ascii="Times New Roman" w:hAnsi="Times New Roman"/>
          <w:szCs w:val="24"/>
          <w:lang w:val="bs-Latn-BA"/>
        </w:rPr>
        <w:t>против</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породици</w:t>
      </w:r>
      <w:r w:rsidR="008D24A7" w:rsidRPr="00295637">
        <w:rPr>
          <w:rFonts w:ascii="Times New Roman" w:hAnsi="Times New Roman"/>
          <w:szCs w:val="24"/>
          <w:lang w:val="bs-Latn-BA"/>
        </w:rPr>
        <w:t xml:space="preserve"> </w:t>
      </w:r>
      <w:r>
        <w:rPr>
          <w:rFonts w:ascii="Times New Roman" w:hAnsi="Times New Roman"/>
          <w:szCs w:val="24"/>
          <w:lang w:val="bs-Latn-BA"/>
        </w:rPr>
        <w:t>надлежне</w:t>
      </w:r>
      <w:r w:rsidR="008D24A7" w:rsidRPr="00295637">
        <w:rPr>
          <w:rFonts w:ascii="Times New Roman" w:hAnsi="Times New Roman"/>
          <w:szCs w:val="24"/>
          <w:lang w:val="bs-Latn-BA"/>
        </w:rPr>
        <w:t xml:space="preserve"> </w:t>
      </w:r>
      <w:r>
        <w:rPr>
          <w:rFonts w:ascii="Times New Roman" w:hAnsi="Times New Roman"/>
          <w:szCs w:val="24"/>
          <w:lang w:val="bs-Latn-BA"/>
        </w:rPr>
        <w:t>институције</w:t>
      </w:r>
      <w:r w:rsidR="008D24A7" w:rsidRPr="00295637">
        <w:rPr>
          <w:rFonts w:ascii="Times New Roman" w:hAnsi="Times New Roman"/>
          <w:szCs w:val="24"/>
          <w:lang w:val="bs-Latn-BA"/>
        </w:rPr>
        <w:t xml:space="preserve"> </w:t>
      </w:r>
      <w:r>
        <w:rPr>
          <w:rFonts w:ascii="Times New Roman" w:hAnsi="Times New Roman"/>
          <w:szCs w:val="24"/>
          <w:lang w:val="bs-Latn-BA"/>
        </w:rPr>
        <w:t>дефини</w:t>
      </w:r>
      <w:r w:rsidR="00D8279B">
        <w:rPr>
          <w:rFonts w:ascii="Times New Roman" w:hAnsi="Times New Roman"/>
          <w:szCs w:val="24"/>
          <w:lang w:val="sr-Cyrl-BA"/>
        </w:rPr>
        <w:t>с</w:t>
      </w:r>
      <w:r>
        <w:rPr>
          <w:rFonts w:ascii="Times New Roman" w:hAnsi="Times New Roman"/>
          <w:szCs w:val="24"/>
          <w:lang w:val="bs-Latn-BA"/>
        </w:rPr>
        <w:t>але</w:t>
      </w:r>
      <w:r w:rsidR="008D24A7" w:rsidRPr="00295637">
        <w:rPr>
          <w:rFonts w:ascii="Times New Roman" w:hAnsi="Times New Roman"/>
          <w:szCs w:val="24"/>
          <w:lang w:val="bs-Latn-BA"/>
        </w:rPr>
        <w:t xml:space="preserve"> </w:t>
      </w:r>
      <w:r>
        <w:rPr>
          <w:rFonts w:ascii="Times New Roman" w:hAnsi="Times New Roman"/>
          <w:szCs w:val="24"/>
          <w:lang w:val="bs-Latn-BA"/>
        </w:rPr>
        <w:t>су</w:t>
      </w:r>
      <w:r w:rsidR="008D24A7" w:rsidRPr="00295637">
        <w:rPr>
          <w:rFonts w:ascii="Times New Roman" w:hAnsi="Times New Roman"/>
          <w:szCs w:val="24"/>
          <w:lang w:val="bs-Latn-BA"/>
        </w:rPr>
        <w:t xml:space="preserve"> </w:t>
      </w:r>
      <w:r>
        <w:rPr>
          <w:rFonts w:ascii="Times New Roman" w:hAnsi="Times New Roman"/>
          <w:szCs w:val="24"/>
          <w:lang w:val="bs-Latn-BA"/>
        </w:rPr>
        <w:t>посебне</w:t>
      </w:r>
      <w:r w:rsidR="008D24A7" w:rsidRPr="00295637">
        <w:rPr>
          <w:rFonts w:ascii="Times New Roman" w:hAnsi="Times New Roman"/>
          <w:szCs w:val="24"/>
          <w:lang w:val="bs-Latn-BA"/>
        </w:rPr>
        <w:t xml:space="preserve"> </w:t>
      </w:r>
      <w:r>
        <w:rPr>
          <w:rFonts w:ascii="Times New Roman" w:hAnsi="Times New Roman"/>
          <w:szCs w:val="24"/>
          <w:lang w:val="bs-Latn-BA"/>
        </w:rPr>
        <w:t>прогаме</w:t>
      </w:r>
      <w:r w:rsidR="008D24A7" w:rsidRPr="00295637">
        <w:rPr>
          <w:rFonts w:ascii="Times New Roman" w:hAnsi="Times New Roman"/>
          <w:szCs w:val="24"/>
          <w:lang w:val="bs-Latn-BA"/>
        </w:rPr>
        <w:t xml:space="preserve"> </w:t>
      </w:r>
      <w:r>
        <w:rPr>
          <w:rFonts w:ascii="Times New Roman" w:hAnsi="Times New Roman"/>
          <w:szCs w:val="24"/>
          <w:lang w:val="bs-Latn-BA"/>
        </w:rPr>
        <w:t>едукације</w:t>
      </w:r>
      <w:r w:rsidR="00DC2955">
        <w:rPr>
          <w:rFonts w:ascii="Times New Roman" w:hAnsi="Times New Roman"/>
          <w:szCs w:val="24"/>
          <w:lang w:val="bs-Latn-BA"/>
        </w:rPr>
        <w:t>.</w:t>
      </w:r>
    </w:p>
    <w:p w:rsidR="00FE6F70" w:rsidRPr="00295637" w:rsidRDefault="00FE6F70" w:rsidP="0086268D">
      <w:pPr>
        <w:tabs>
          <w:tab w:val="left" w:pos="1080"/>
        </w:tabs>
        <w:jc w:val="both"/>
        <w:rPr>
          <w:rFonts w:ascii="Times New Roman" w:hAnsi="Times New Roman"/>
          <w:szCs w:val="24"/>
          <w:lang w:val="bs-Latn-BA"/>
        </w:rPr>
      </w:pPr>
    </w:p>
    <w:p w:rsidR="008D24A7" w:rsidRPr="00295637" w:rsidRDefault="00C6214E" w:rsidP="0086268D">
      <w:pPr>
        <w:tabs>
          <w:tab w:val="left" w:pos="1080"/>
        </w:tabs>
        <w:jc w:val="both"/>
        <w:rPr>
          <w:rFonts w:ascii="Times New Roman" w:hAnsi="Times New Roman"/>
          <w:szCs w:val="24"/>
          <w:lang w:val="bs-Latn-BA"/>
        </w:rPr>
      </w:pPr>
      <w:r>
        <w:rPr>
          <w:rFonts w:ascii="Times New Roman" w:hAnsi="Times New Roman"/>
          <w:szCs w:val="24"/>
          <w:lang w:val="bs-Latn-BA"/>
        </w:rPr>
        <w:t>ФМРСП</w:t>
      </w:r>
      <w:r w:rsidR="008D24A7" w:rsidRPr="00295637">
        <w:rPr>
          <w:rFonts w:ascii="Times New Roman" w:hAnsi="Times New Roman"/>
          <w:szCs w:val="24"/>
          <w:lang w:val="bs-Latn-BA"/>
        </w:rPr>
        <w:t xml:space="preserve"> </w:t>
      </w:r>
      <w:r>
        <w:rPr>
          <w:rFonts w:ascii="Times New Roman" w:hAnsi="Times New Roman"/>
          <w:szCs w:val="24"/>
          <w:lang w:val="bs-Latn-BA"/>
        </w:rPr>
        <w:t>израдило</w:t>
      </w:r>
      <w:r w:rsidR="008D24A7" w:rsidRPr="00295637">
        <w:rPr>
          <w:rFonts w:ascii="Times New Roman" w:hAnsi="Times New Roman"/>
          <w:szCs w:val="24"/>
          <w:lang w:val="bs-Latn-BA"/>
        </w:rPr>
        <w:t xml:space="preserve"> </w:t>
      </w:r>
      <w:r>
        <w:rPr>
          <w:rFonts w:ascii="Times New Roman" w:hAnsi="Times New Roman"/>
          <w:szCs w:val="24"/>
          <w:lang w:val="bs-Latn-BA"/>
        </w:rPr>
        <w:t>је</w:t>
      </w:r>
      <w:r w:rsidR="00DC2955"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Програм</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обуке</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стручних</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радника</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у</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систему</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социјалне</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и</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дјечије</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заштите</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у</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области</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заштите</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од</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насиља</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у</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породици</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и</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родно</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заснованог</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насиља</w:t>
      </w:r>
      <w:r w:rsidR="00CF5B16" w:rsidRPr="00295637">
        <w:rPr>
          <w:rStyle w:val="Strong"/>
          <w:rFonts w:ascii="Times New Roman" w:hAnsi="Times New Roman"/>
          <w:b w:val="0"/>
          <w:szCs w:val="24"/>
          <w:lang w:val="bs-Latn-BA"/>
        </w:rPr>
        <w:t>,</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што</w:t>
      </w:r>
      <w:r w:rsidR="008D24A7"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представља</w:t>
      </w:r>
      <w:r w:rsidR="008D24A7" w:rsidRPr="00295637">
        <w:rPr>
          <w:rFonts w:ascii="Times New Roman" w:hAnsi="Times New Roman"/>
          <w:szCs w:val="24"/>
          <w:lang w:val="bs-Latn-BA"/>
        </w:rPr>
        <w:t xml:space="preserve"> </w:t>
      </w:r>
      <w:r>
        <w:rPr>
          <w:rFonts w:ascii="Times New Roman" w:hAnsi="Times New Roman"/>
          <w:szCs w:val="24"/>
          <w:lang w:val="bs-Latn-BA"/>
        </w:rPr>
        <w:t>важан</w:t>
      </w:r>
      <w:r w:rsidR="008D24A7" w:rsidRPr="00295637">
        <w:rPr>
          <w:rFonts w:ascii="Times New Roman" w:hAnsi="Times New Roman"/>
          <w:szCs w:val="24"/>
          <w:lang w:val="bs-Latn-BA"/>
        </w:rPr>
        <w:t xml:space="preserve"> </w:t>
      </w:r>
      <w:r>
        <w:rPr>
          <w:rFonts w:ascii="Times New Roman" w:hAnsi="Times New Roman"/>
          <w:szCs w:val="24"/>
          <w:lang w:val="bs-Latn-BA"/>
        </w:rPr>
        <w:t>корак</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јачању</w:t>
      </w:r>
      <w:r w:rsidR="008D24A7" w:rsidRPr="00295637">
        <w:rPr>
          <w:rFonts w:ascii="Times New Roman" w:hAnsi="Times New Roman"/>
          <w:szCs w:val="24"/>
          <w:lang w:val="bs-Latn-BA"/>
        </w:rPr>
        <w:t xml:space="preserve"> </w:t>
      </w:r>
      <w:r>
        <w:rPr>
          <w:rFonts w:ascii="Times New Roman" w:hAnsi="Times New Roman"/>
          <w:szCs w:val="24"/>
          <w:lang w:val="bs-Latn-BA"/>
        </w:rPr>
        <w:t>институционалних</w:t>
      </w:r>
      <w:r w:rsidR="008D24A7" w:rsidRPr="00295637">
        <w:rPr>
          <w:rFonts w:ascii="Times New Roman" w:hAnsi="Times New Roman"/>
          <w:szCs w:val="24"/>
          <w:lang w:val="bs-Latn-BA"/>
        </w:rPr>
        <w:t xml:space="preserve"> </w:t>
      </w:r>
      <w:r>
        <w:rPr>
          <w:rFonts w:ascii="Times New Roman" w:hAnsi="Times New Roman"/>
          <w:szCs w:val="24"/>
          <w:lang w:val="bs-Latn-BA"/>
        </w:rPr>
        <w:t>капацитета</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о</w:t>
      </w:r>
      <w:r w:rsidR="00D8279B">
        <w:rPr>
          <w:rFonts w:ascii="Times New Roman" w:hAnsi="Times New Roman"/>
          <w:szCs w:val="24"/>
          <w:lang w:val="sr-Cyrl-BA"/>
        </w:rPr>
        <w:t>безбјеђењу</w:t>
      </w:r>
      <w:r w:rsidR="008D24A7" w:rsidRPr="00295637">
        <w:rPr>
          <w:rFonts w:ascii="Times New Roman" w:hAnsi="Times New Roman"/>
          <w:szCs w:val="24"/>
          <w:lang w:val="bs-Latn-BA"/>
        </w:rPr>
        <w:t xml:space="preserve"> </w:t>
      </w:r>
      <w:r>
        <w:rPr>
          <w:rFonts w:ascii="Times New Roman" w:hAnsi="Times New Roman"/>
          <w:szCs w:val="24"/>
          <w:lang w:val="bs-Latn-BA"/>
        </w:rPr>
        <w:t>стандардиз</w:t>
      </w:r>
      <w:r w:rsidR="00D8279B">
        <w:rPr>
          <w:rFonts w:ascii="Times New Roman" w:hAnsi="Times New Roman"/>
          <w:szCs w:val="24"/>
          <w:lang w:val="sr-Cyrl-BA"/>
        </w:rPr>
        <w:t>ованог</w:t>
      </w:r>
      <w:r w:rsidR="00DC2955">
        <w:rPr>
          <w:rFonts w:ascii="Times New Roman" w:hAnsi="Times New Roman"/>
          <w:szCs w:val="24"/>
          <w:lang w:val="bs-Latn-BA"/>
        </w:rPr>
        <w:t xml:space="preserve"> </w:t>
      </w:r>
      <w:r>
        <w:rPr>
          <w:rFonts w:ascii="Times New Roman" w:hAnsi="Times New Roman"/>
          <w:szCs w:val="24"/>
          <w:lang w:val="bs-Latn-BA"/>
        </w:rPr>
        <w:t>приступа</w:t>
      </w:r>
      <w:r w:rsidR="00DC2955">
        <w:rPr>
          <w:rFonts w:ascii="Times New Roman" w:hAnsi="Times New Roman"/>
          <w:szCs w:val="24"/>
          <w:lang w:val="bs-Latn-BA"/>
        </w:rPr>
        <w:t xml:space="preserve"> </w:t>
      </w:r>
      <w:r>
        <w:rPr>
          <w:rFonts w:ascii="Times New Roman" w:hAnsi="Times New Roman"/>
          <w:szCs w:val="24"/>
          <w:lang w:val="bs-Latn-BA"/>
        </w:rPr>
        <w:t>у</w:t>
      </w:r>
      <w:r w:rsidR="00DC2955">
        <w:rPr>
          <w:rFonts w:ascii="Times New Roman" w:hAnsi="Times New Roman"/>
          <w:szCs w:val="24"/>
          <w:lang w:val="bs-Latn-BA"/>
        </w:rPr>
        <w:t xml:space="preserve"> </w:t>
      </w:r>
      <w:r>
        <w:rPr>
          <w:rFonts w:ascii="Times New Roman" w:hAnsi="Times New Roman"/>
          <w:szCs w:val="24"/>
          <w:lang w:val="bs-Latn-BA"/>
        </w:rPr>
        <w:t>раду</w:t>
      </w:r>
      <w:r w:rsidR="00DC2955">
        <w:rPr>
          <w:rFonts w:ascii="Times New Roman" w:hAnsi="Times New Roman"/>
          <w:szCs w:val="24"/>
          <w:lang w:val="bs-Latn-BA"/>
        </w:rPr>
        <w:t xml:space="preserve"> </w:t>
      </w:r>
      <w:r>
        <w:rPr>
          <w:rFonts w:ascii="Times New Roman" w:hAnsi="Times New Roman"/>
          <w:szCs w:val="24"/>
          <w:lang w:val="bs-Latn-BA"/>
        </w:rPr>
        <w:t>са</w:t>
      </w:r>
      <w:r w:rsidR="008D24A7" w:rsidRPr="00295637">
        <w:rPr>
          <w:rFonts w:ascii="Times New Roman" w:hAnsi="Times New Roman"/>
          <w:szCs w:val="24"/>
          <w:lang w:val="bs-Latn-BA"/>
        </w:rPr>
        <w:t xml:space="preserve"> </w:t>
      </w:r>
      <w:r>
        <w:rPr>
          <w:rFonts w:ascii="Times New Roman" w:hAnsi="Times New Roman"/>
          <w:szCs w:val="24"/>
          <w:lang w:val="bs-Latn-BA"/>
        </w:rPr>
        <w:t>жртвама</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породици</w:t>
      </w:r>
      <w:r w:rsidR="00D30E48">
        <w:rPr>
          <w:rFonts w:ascii="Times New Roman" w:hAnsi="Times New Roman"/>
          <w:szCs w:val="24"/>
          <w:lang w:val="bs-Latn-BA"/>
        </w:rPr>
        <w:t>.</w:t>
      </w:r>
      <w:r w:rsidR="008D24A7" w:rsidRPr="00295637">
        <w:rPr>
          <w:rFonts w:ascii="Times New Roman" w:hAnsi="Times New Roman"/>
          <w:szCs w:val="24"/>
          <w:lang w:val="bs-Latn-BA"/>
        </w:rPr>
        <w:t xml:space="preserve"> </w:t>
      </w:r>
      <w:r>
        <w:rPr>
          <w:rFonts w:ascii="Times New Roman" w:hAnsi="Times New Roman"/>
          <w:szCs w:val="24"/>
          <w:lang w:val="bs-Latn-BA"/>
        </w:rPr>
        <w:t>Организ</w:t>
      </w:r>
      <w:r w:rsidR="00D8279B">
        <w:rPr>
          <w:rFonts w:ascii="Times New Roman" w:hAnsi="Times New Roman"/>
          <w:szCs w:val="24"/>
          <w:lang w:val="sr-Cyrl-BA"/>
        </w:rPr>
        <w:t>ован</w:t>
      </w:r>
      <w:r w:rsidR="008D24A7" w:rsidRPr="00295637">
        <w:rPr>
          <w:rFonts w:ascii="Times New Roman" w:hAnsi="Times New Roman"/>
          <w:szCs w:val="24"/>
          <w:lang w:val="bs-Latn-BA"/>
        </w:rPr>
        <w:t xml:space="preserve"> </w:t>
      </w:r>
      <w:r>
        <w:rPr>
          <w:rFonts w:ascii="Times New Roman" w:hAnsi="Times New Roman"/>
          <w:szCs w:val="24"/>
          <w:lang w:val="bs-Latn-BA"/>
        </w:rPr>
        <w:t>је</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проведен</w:t>
      </w:r>
      <w:r w:rsidR="008D24A7" w:rsidRPr="00295637">
        <w:rPr>
          <w:rFonts w:ascii="Times New Roman" w:hAnsi="Times New Roman"/>
          <w:szCs w:val="24"/>
          <w:lang w:val="bs-Latn-BA"/>
        </w:rPr>
        <w:t xml:space="preserve"> </w:t>
      </w:r>
      <w:r>
        <w:rPr>
          <w:rFonts w:ascii="Times New Roman" w:hAnsi="Times New Roman"/>
          <w:szCs w:val="24"/>
          <w:lang w:val="bs-Latn-BA"/>
        </w:rPr>
        <w:t>први</w:t>
      </w:r>
      <w:r w:rsidR="008D24A7" w:rsidRPr="00295637">
        <w:rPr>
          <w:rFonts w:ascii="Times New Roman" w:hAnsi="Times New Roman"/>
          <w:szCs w:val="24"/>
          <w:lang w:val="bs-Latn-BA"/>
        </w:rPr>
        <w:t xml:space="preserve"> </w:t>
      </w:r>
      <w:r>
        <w:rPr>
          <w:rFonts w:ascii="Times New Roman" w:hAnsi="Times New Roman"/>
          <w:szCs w:val="24"/>
          <w:lang w:val="bs-Latn-BA"/>
        </w:rPr>
        <w:t>циклус</w:t>
      </w:r>
      <w:r w:rsidR="008D24A7" w:rsidRPr="00295637">
        <w:rPr>
          <w:rFonts w:ascii="Times New Roman" w:hAnsi="Times New Roman"/>
          <w:szCs w:val="24"/>
          <w:lang w:val="bs-Latn-BA"/>
        </w:rPr>
        <w:t xml:space="preserve"> </w:t>
      </w:r>
      <w:r>
        <w:rPr>
          <w:rFonts w:ascii="Times New Roman" w:hAnsi="Times New Roman"/>
          <w:szCs w:val="24"/>
          <w:lang w:val="bs-Latn-BA"/>
        </w:rPr>
        <w:t>едукације</w:t>
      </w:r>
      <w:r w:rsidR="008D24A7" w:rsidRPr="00295637">
        <w:rPr>
          <w:rFonts w:ascii="Times New Roman" w:hAnsi="Times New Roman"/>
          <w:szCs w:val="24"/>
          <w:lang w:val="bs-Latn-BA"/>
        </w:rPr>
        <w:t xml:space="preserve"> </w:t>
      </w:r>
      <w:r>
        <w:rPr>
          <w:rFonts w:ascii="Times New Roman" w:hAnsi="Times New Roman"/>
          <w:szCs w:val="24"/>
          <w:lang w:val="bs-Latn-BA"/>
        </w:rPr>
        <w:t>за</w:t>
      </w:r>
      <w:r w:rsidR="008D24A7" w:rsidRPr="00295637">
        <w:rPr>
          <w:rFonts w:ascii="Times New Roman" w:hAnsi="Times New Roman"/>
          <w:szCs w:val="24"/>
          <w:lang w:val="bs-Latn-BA"/>
        </w:rPr>
        <w:t xml:space="preserve"> </w:t>
      </w:r>
      <w:r>
        <w:rPr>
          <w:rFonts w:ascii="Times New Roman" w:hAnsi="Times New Roman"/>
          <w:szCs w:val="24"/>
          <w:lang w:val="bs-Latn-BA"/>
        </w:rPr>
        <w:t>стручне</w:t>
      </w:r>
      <w:r w:rsidR="008D24A7" w:rsidRPr="00295637">
        <w:rPr>
          <w:rFonts w:ascii="Times New Roman" w:hAnsi="Times New Roman"/>
          <w:szCs w:val="24"/>
          <w:lang w:val="bs-Latn-BA"/>
        </w:rPr>
        <w:t xml:space="preserve"> </w:t>
      </w:r>
      <w:r>
        <w:rPr>
          <w:rFonts w:ascii="Times New Roman" w:hAnsi="Times New Roman"/>
          <w:szCs w:val="24"/>
          <w:lang w:val="bs-Latn-BA"/>
        </w:rPr>
        <w:t>раднике</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центрима</w:t>
      </w:r>
      <w:r w:rsidR="008D24A7" w:rsidRPr="00295637">
        <w:rPr>
          <w:rFonts w:ascii="Times New Roman" w:hAnsi="Times New Roman"/>
          <w:szCs w:val="24"/>
          <w:lang w:val="bs-Latn-BA"/>
        </w:rPr>
        <w:t xml:space="preserve"> </w:t>
      </w:r>
      <w:r>
        <w:rPr>
          <w:rFonts w:ascii="Times New Roman" w:hAnsi="Times New Roman"/>
          <w:szCs w:val="24"/>
          <w:lang w:val="bs-Latn-BA"/>
        </w:rPr>
        <w:t>за</w:t>
      </w:r>
      <w:r w:rsidR="008D24A7" w:rsidRPr="00295637">
        <w:rPr>
          <w:rFonts w:ascii="Times New Roman" w:hAnsi="Times New Roman"/>
          <w:szCs w:val="24"/>
          <w:lang w:val="bs-Latn-BA"/>
        </w:rPr>
        <w:t xml:space="preserve"> </w:t>
      </w:r>
      <w:r>
        <w:rPr>
          <w:rFonts w:ascii="Times New Roman" w:hAnsi="Times New Roman"/>
          <w:szCs w:val="24"/>
          <w:lang w:val="bs-Latn-BA"/>
        </w:rPr>
        <w:t>социјални</w:t>
      </w:r>
      <w:r w:rsidR="008D24A7" w:rsidRPr="00295637">
        <w:rPr>
          <w:rFonts w:ascii="Times New Roman" w:hAnsi="Times New Roman"/>
          <w:szCs w:val="24"/>
          <w:lang w:val="bs-Latn-BA"/>
        </w:rPr>
        <w:t xml:space="preserve"> </w:t>
      </w:r>
      <w:r>
        <w:rPr>
          <w:rFonts w:ascii="Times New Roman" w:hAnsi="Times New Roman"/>
          <w:szCs w:val="24"/>
          <w:lang w:val="bs-Latn-BA"/>
        </w:rPr>
        <w:t>рад</w:t>
      </w:r>
      <w:r w:rsidR="008D24A7" w:rsidRPr="00295637">
        <w:rPr>
          <w:rFonts w:ascii="Times New Roman" w:hAnsi="Times New Roman"/>
          <w:szCs w:val="24"/>
          <w:lang w:val="bs-Latn-BA"/>
        </w:rPr>
        <w:t xml:space="preserve">, </w:t>
      </w:r>
      <w:r>
        <w:rPr>
          <w:rFonts w:ascii="Times New Roman" w:hAnsi="Times New Roman"/>
          <w:szCs w:val="24"/>
          <w:lang w:val="bs-Latn-BA"/>
        </w:rPr>
        <w:t>оп</w:t>
      </w:r>
      <w:r w:rsidR="00D8279B">
        <w:rPr>
          <w:rFonts w:ascii="Times New Roman" w:hAnsi="Times New Roman"/>
          <w:szCs w:val="24"/>
          <w:lang w:val="sr-Cyrl-BA"/>
        </w:rPr>
        <w:t>шт</w:t>
      </w:r>
      <w:r>
        <w:rPr>
          <w:rFonts w:ascii="Times New Roman" w:hAnsi="Times New Roman"/>
          <w:szCs w:val="24"/>
          <w:lang w:val="bs-Latn-BA"/>
        </w:rPr>
        <w:t>инским</w:t>
      </w:r>
      <w:r w:rsidR="008D24A7" w:rsidRPr="00295637">
        <w:rPr>
          <w:rFonts w:ascii="Times New Roman" w:hAnsi="Times New Roman"/>
          <w:szCs w:val="24"/>
          <w:lang w:val="bs-Latn-BA"/>
        </w:rPr>
        <w:t xml:space="preserve"> </w:t>
      </w:r>
      <w:r>
        <w:rPr>
          <w:rFonts w:ascii="Times New Roman" w:hAnsi="Times New Roman"/>
          <w:szCs w:val="24"/>
          <w:lang w:val="bs-Latn-BA"/>
        </w:rPr>
        <w:t>службама</w:t>
      </w:r>
      <w:r w:rsidR="008D24A7" w:rsidRPr="00295637">
        <w:rPr>
          <w:rFonts w:ascii="Times New Roman" w:hAnsi="Times New Roman"/>
          <w:szCs w:val="24"/>
          <w:lang w:val="bs-Latn-BA"/>
        </w:rPr>
        <w:t xml:space="preserve"> </w:t>
      </w:r>
      <w:r>
        <w:rPr>
          <w:rFonts w:ascii="Times New Roman" w:hAnsi="Times New Roman"/>
          <w:szCs w:val="24"/>
          <w:lang w:val="bs-Latn-BA"/>
        </w:rPr>
        <w:t>социјалне</w:t>
      </w:r>
      <w:r w:rsidR="008D24A7" w:rsidRPr="00295637">
        <w:rPr>
          <w:rFonts w:ascii="Times New Roman" w:hAnsi="Times New Roman"/>
          <w:szCs w:val="24"/>
          <w:lang w:val="bs-Latn-BA"/>
        </w:rPr>
        <w:t xml:space="preserve"> </w:t>
      </w:r>
      <w:r>
        <w:rPr>
          <w:rFonts w:ascii="Times New Roman" w:hAnsi="Times New Roman"/>
          <w:szCs w:val="24"/>
          <w:lang w:val="bs-Latn-BA"/>
        </w:rPr>
        <w:t>заштите</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другим</w:t>
      </w:r>
      <w:r w:rsidR="008D24A7" w:rsidRPr="00295637">
        <w:rPr>
          <w:rFonts w:ascii="Times New Roman" w:hAnsi="Times New Roman"/>
          <w:szCs w:val="24"/>
          <w:lang w:val="bs-Latn-BA"/>
        </w:rPr>
        <w:t xml:space="preserve"> </w:t>
      </w:r>
      <w:r>
        <w:rPr>
          <w:rFonts w:ascii="Times New Roman" w:hAnsi="Times New Roman"/>
          <w:szCs w:val="24"/>
          <w:lang w:val="bs-Latn-BA"/>
        </w:rPr>
        <w:t>релевантним</w:t>
      </w:r>
      <w:r w:rsidR="008D24A7" w:rsidRPr="00295637">
        <w:rPr>
          <w:rFonts w:ascii="Times New Roman" w:hAnsi="Times New Roman"/>
          <w:szCs w:val="24"/>
          <w:lang w:val="bs-Latn-BA"/>
        </w:rPr>
        <w:t xml:space="preserve"> </w:t>
      </w:r>
      <w:r>
        <w:rPr>
          <w:rFonts w:ascii="Times New Roman" w:hAnsi="Times New Roman"/>
          <w:szCs w:val="24"/>
          <w:lang w:val="bs-Latn-BA"/>
        </w:rPr>
        <w:t>институцијама</w:t>
      </w:r>
      <w:r w:rsidR="008D24A7" w:rsidRPr="00295637">
        <w:rPr>
          <w:rFonts w:ascii="Times New Roman" w:hAnsi="Times New Roman"/>
          <w:szCs w:val="24"/>
          <w:lang w:val="bs-Latn-BA"/>
        </w:rPr>
        <w:t xml:space="preserve">. </w:t>
      </w:r>
      <w:r>
        <w:rPr>
          <w:rFonts w:ascii="Times New Roman" w:hAnsi="Times New Roman"/>
          <w:szCs w:val="24"/>
          <w:lang w:val="bs-Latn-BA"/>
        </w:rPr>
        <w:t>Едукација</w:t>
      </w:r>
      <w:r w:rsidR="008D24A7" w:rsidRPr="00295637">
        <w:rPr>
          <w:rFonts w:ascii="Times New Roman" w:hAnsi="Times New Roman"/>
          <w:szCs w:val="24"/>
          <w:lang w:val="bs-Latn-BA"/>
        </w:rPr>
        <w:t xml:space="preserve"> </w:t>
      </w:r>
      <w:r>
        <w:rPr>
          <w:rFonts w:ascii="Times New Roman" w:hAnsi="Times New Roman"/>
          <w:szCs w:val="24"/>
          <w:lang w:val="bs-Latn-BA"/>
        </w:rPr>
        <w:t>је</w:t>
      </w:r>
      <w:r w:rsidR="008D24A7" w:rsidRPr="00295637">
        <w:rPr>
          <w:rFonts w:ascii="Times New Roman" w:hAnsi="Times New Roman"/>
          <w:szCs w:val="24"/>
          <w:lang w:val="bs-Latn-BA"/>
        </w:rPr>
        <w:t xml:space="preserve"> </w:t>
      </w:r>
      <w:r>
        <w:rPr>
          <w:rFonts w:ascii="Times New Roman" w:hAnsi="Times New Roman"/>
          <w:szCs w:val="24"/>
          <w:lang w:val="bs-Latn-BA"/>
        </w:rPr>
        <w:t>реализ</w:t>
      </w:r>
      <w:r w:rsidR="00D8279B">
        <w:rPr>
          <w:rFonts w:ascii="Times New Roman" w:hAnsi="Times New Roman"/>
          <w:szCs w:val="24"/>
          <w:lang w:val="sr-Cyrl-BA"/>
        </w:rPr>
        <w:t>ована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сарадњи</w:t>
      </w:r>
      <w:r w:rsidR="008D24A7" w:rsidRPr="00295637">
        <w:rPr>
          <w:rFonts w:ascii="Times New Roman" w:hAnsi="Times New Roman"/>
          <w:szCs w:val="24"/>
          <w:lang w:val="bs-Latn-BA"/>
        </w:rPr>
        <w:t xml:space="preserve"> </w:t>
      </w:r>
      <w:r>
        <w:rPr>
          <w:rFonts w:ascii="Times New Roman" w:hAnsi="Times New Roman"/>
          <w:szCs w:val="24"/>
          <w:lang w:val="bs-Latn-BA"/>
        </w:rPr>
        <w:t>са</w:t>
      </w:r>
      <w:r w:rsidR="008D24A7" w:rsidRPr="00295637">
        <w:rPr>
          <w:rFonts w:ascii="Times New Roman" w:hAnsi="Times New Roman"/>
          <w:szCs w:val="24"/>
          <w:lang w:val="bs-Latn-BA"/>
        </w:rPr>
        <w:t xml:space="preserve"> </w:t>
      </w:r>
      <w:r>
        <w:rPr>
          <w:rFonts w:ascii="Times New Roman" w:hAnsi="Times New Roman"/>
          <w:bCs/>
          <w:szCs w:val="24"/>
          <w:lang w:val="bs-Latn-BA"/>
        </w:rPr>
        <w:t>Савезом</w:t>
      </w:r>
      <w:r w:rsidR="008D24A7" w:rsidRPr="00295637">
        <w:rPr>
          <w:rFonts w:ascii="Times New Roman" w:hAnsi="Times New Roman"/>
          <w:bCs/>
          <w:szCs w:val="24"/>
          <w:lang w:val="bs-Latn-BA"/>
        </w:rPr>
        <w:t xml:space="preserve"> </w:t>
      </w:r>
      <w:r>
        <w:rPr>
          <w:rFonts w:ascii="Times New Roman" w:hAnsi="Times New Roman"/>
          <w:bCs/>
          <w:szCs w:val="24"/>
          <w:lang w:val="bs-Latn-BA"/>
        </w:rPr>
        <w:t>социјалних</w:t>
      </w:r>
      <w:r w:rsidR="008D24A7" w:rsidRPr="00295637">
        <w:rPr>
          <w:rFonts w:ascii="Times New Roman" w:hAnsi="Times New Roman"/>
          <w:bCs/>
          <w:szCs w:val="24"/>
          <w:lang w:val="bs-Latn-BA"/>
        </w:rPr>
        <w:t xml:space="preserve"> </w:t>
      </w:r>
      <w:r>
        <w:rPr>
          <w:rFonts w:ascii="Times New Roman" w:hAnsi="Times New Roman"/>
          <w:bCs/>
          <w:szCs w:val="24"/>
          <w:lang w:val="bs-Latn-BA"/>
        </w:rPr>
        <w:t>радника</w:t>
      </w:r>
      <w:r w:rsidR="008D24A7" w:rsidRPr="00295637">
        <w:rPr>
          <w:rFonts w:ascii="Times New Roman" w:hAnsi="Times New Roman"/>
          <w:bCs/>
          <w:szCs w:val="24"/>
          <w:lang w:val="bs-Latn-BA"/>
        </w:rPr>
        <w:t xml:space="preserve"> </w:t>
      </w:r>
      <w:r>
        <w:rPr>
          <w:rFonts w:ascii="Times New Roman" w:hAnsi="Times New Roman"/>
          <w:bCs/>
          <w:szCs w:val="24"/>
          <w:lang w:val="bs-Latn-BA"/>
        </w:rPr>
        <w:t>ФБиХ</w:t>
      </w:r>
      <w:r w:rsidR="008D24A7" w:rsidRPr="00295637">
        <w:rPr>
          <w:rFonts w:ascii="Times New Roman" w:hAnsi="Times New Roman"/>
          <w:bCs/>
          <w:szCs w:val="24"/>
          <w:lang w:val="bs-Latn-BA"/>
        </w:rPr>
        <w:t xml:space="preserve"> </w:t>
      </w:r>
      <w:r>
        <w:rPr>
          <w:rFonts w:ascii="Times New Roman" w:hAnsi="Times New Roman"/>
          <w:bCs/>
          <w:szCs w:val="24"/>
          <w:lang w:val="bs-Latn-BA"/>
        </w:rPr>
        <w:t>и</w:t>
      </w:r>
      <w:r w:rsidR="008D24A7" w:rsidRPr="00295637">
        <w:rPr>
          <w:rFonts w:ascii="Times New Roman" w:hAnsi="Times New Roman"/>
          <w:bCs/>
          <w:szCs w:val="24"/>
          <w:lang w:val="bs-Latn-BA"/>
        </w:rPr>
        <w:t xml:space="preserve"> </w:t>
      </w:r>
      <w:r>
        <w:rPr>
          <w:rFonts w:ascii="Times New Roman" w:hAnsi="Times New Roman"/>
          <w:bCs/>
          <w:szCs w:val="24"/>
          <w:lang w:val="bs-Latn-BA"/>
        </w:rPr>
        <w:t>ГЦ</w:t>
      </w:r>
      <w:r w:rsidR="00DC2955">
        <w:rPr>
          <w:rFonts w:ascii="Times New Roman" w:hAnsi="Times New Roman"/>
          <w:bCs/>
          <w:szCs w:val="24"/>
          <w:lang w:val="bs-Latn-BA"/>
        </w:rPr>
        <w:t xml:space="preserve"> </w:t>
      </w:r>
      <w:r>
        <w:rPr>
          <w:rFonts w:ascii="Times New Roman" w:hAnsi="Times New Roman"/>
          <w:bCs/>
          <w:szCs w:val="24"/>
          <w:lang w:val="bs-Latn-BA"/>
        </w:rPr>
        <w:t>ФБиХ</w:t>
      </w:r>
      <w:r w:rsidR="008D24A7" w:rsidRPr="00295637">
        <w:rPr>
          <w:rFonts w:ascii="Times New Roman" w:hAnsi="Times New Roman"/>
          <w:szCs w:val="24"/>
          <w:lang w:val="bs-Latn-BA"/>
        </w:rPr>
        <w:t xml:space="preserve">. </w:t>
      </w:r>
      <w:r>
        <w:rPr>
          <w:rFonts w:ascii="Times New Roman" w:hAnsi="Times New Roman"/>
          <w:szCs w:val="24"/>
          <w:lang w:val="bs-Latn-BA"/>
        </w:rPr>
        <w:t>Кантонална</w:t>
      </w:r>
      <w:r w:rsidR="008D24A7" w:rsidRPr="00295637">
        <w:rPr>
          <w:rFonts w:ascii="Times New Roman" w:hAnsi="Times New Roman"/>
          <w:szCs w:val="24"/>
          <w:lang w:val="bs-Latn-BA"/>
        </w:rPr>
        <w:t xml:space="preserve"> </w:t>
      </w:r>
      <w:r>
        <w:rPr>
          <w:rFonts w:ascii="Times New Roman" w:hAnsi="Times New Roman"/>
          <w:szCs w:val="24"/>
          <w:lang w:val="bs-Latn-BA"/>
        </w:rPr>
        <w:t>министарства</w:t>
      </w:r>
      <w:r w:rsidR="008D24A7" w:rsidRPr="00295637">
        <w:rPr>
          <w:rFonts w:ascii="Times New Roman" w:hAnsi="Times New Roman"/>
          <w:szCs w:val="24"/>
          <w:lang w:val="bs-Latn-BA"/>
        </w:rPr>
        <w:t xml:space="preserve"> </w:t>
      </w:r>
      <w:r>
        <w:rPr>
          <w:rFonts w:ascii="Times New Roman" w:hAnsi="Times New Roman"/>
          <w:szCs w:val="24"/>
          <w:lang w:val="bs-Latn-BA"/>
        </w:rPr>
        <w:t>надлежна</w:t>
      </w:r>
      <w:r w:rsidR="008D24A7" w:rsidRPr="00295637">
        <w:rPr>
          <w:rFonts w:ascii="Times New Roman" w:hAnsi="Times New Roman"/>
          <w:szCs w:val="24"/>
          <w:lang w:val="bs-Latn-BA"/>
        </w:rPr>
        <w:t xml:space="preserve"> </w:t>
      </w:r>
      <w:r>
        <w:rPr>
          <w:rFonts w:ascii="Times New Roman" w:hAnsi="Times New Roman"/>
          <w:szCs w:val="24"/>
          <w:lang w:val="bs-Latn-BA"/>
        </w:rPr>
        <w:t>за</w:t>
      </w:r>
      <w:r w:rsidR="008D24A7" w:rsidRPr="00295637">
        <w:rPr>
          <w:rFonts w:ascii="Times New Roman" w:hAnsi="Times New Roman"/>
          <w:szCs w:val="24"/>
          <w:lang w:val="bs-Latn-BA"/>
        </w:rPr>
        <w:t xml:space="preserve"> </w:t>
      </w:r>
      <w:r>
        <w:rPr>
          <w:rFonts w:ascii="Times New Roman" w:hAnsi="Times New Roman"/>
          <w:szCs w:val="24"/>
          <w:lang w:val="bs-Latn-BA"/>
        </w:rPr>
        <w:t>област</w:t>
      </w:r>
      <w:r w:rsidR="00DC2955">
        <w:rPr>
          <w:rFonts w:ascii="Times New Roman" w:hAnsi="Times New Roman"/>
          <w:szCs w:val="24"/>
          <w:lang w:val="bs-Latn-BA"/>
        </w:rPr>
        <w:t xml:space="preserve"> </w:t>
      </w:r>
      <w:r>
        <w:rPr>
          <w:rFonts w:ascii="Times New Roman" w:hAnsi="Times New Roman"/>
          <w:szCs w:val="24"/>
          <w:lang w:val="bs-Latn-BA"/>
        </w:rPr>
        <w:t>социјалне</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дјечије</w:t>
      </w:r>
      <w:r w:rsidR="008D24A7" w:rsidRPr="00295637">
        <w:rPr>
          <w:rFonts w:ascii="Times New Roman" w:hAnsi="Times New Roman"/>
          <w:szCs w:val="24"/>
          <w:lang w:val="bs-Latn-BA"/>
        </w:rPr>
        <w:t xml:space="preserve"> </w:t>
      </w:r>
      <w:r>
        <w:rPr>
          <w:rFonts w:ascii="Times New Roman" w:hAnsi="Times New Roman"/>
          <w:szCs w:val="24"/>
          <w:lang w:val="bs-Latn-BA"/>
        </w:rPr>
        <w:t>заштите</w:t>
      </w:r>
      <w:r w:rsidR="008D24A7" w:rsidRPr="00295637">
        <w:rPr>
          <w:rFonts w:ascii="Times New Roman" w:hAnsi="Times New Roman"/>
          <w:szCs w:val="24"/>
          <w:lang w:val="bs-Latn-BA"/>
        </w:rPr>
        <w:t xml:space="preserve">, </w:t>
      </w:r>
      <w:r>
        <w:rPr>
          <w:rFonts w:ascii="Times New Roman" w:hAnsi="Times New Roman"/>
          <w:szCs w:val="24"/>
          <w:lang w:val="bs-Latn-BA"/>
        </w:rPr>
        <w:t>као</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друге</w:t>
      </w:r>
      <w:r w:rsidR="008D24A7" w:rsidRPr="00295637">
        <w:rPr>
          <w:rFonts w:ascii="Times New Roman" w:hAnsi="Times New Roman"/>
          <w:szCs w:val="24"/>
          <w:lang w:val="bs-Latn-BA"/>
        </w:rPr>
        <w:t xml:space="preserve"> </w:t>
      </w:r>
      <w:r>
        <w:rPr>
          <w:rFonts w:ascii="Times New Roman" w:hAnsi="Times New Roman"/>
          <w:szCs w:val="24"/>
          <w:lang w:val="bs-Latn-BA"/>
        </w:rPr>
        <w:t>владине</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невладине</w:t>
      </w:r>
      <w:r w:rsidR="008D24A7" w:rsidRPr="00295637">
        <w:rPr>
          <w:rFonts w:ascii="Times New Roman" w:hAnsi="Times New Roman"/>
          <w:szCs w:val="24"/>
          <w:lang w:val="bs-Latn-BA"/>
        </w:rPr>
        <w:t xml:space="preserve"> </w:t>
      </w:r>
      <w:r>
        <w:rPr>
          <w:rFonts w:ascii="Times New Roman" w:hAnsi="Times New Roman"/>
          <w:szCs w:val="24"/>
          <w:lang w:val="bs-Latn-BA"/>
        </w:rPr>
        <w:t>организације</w:t>
      </w:r>
      <w:r w:rsidR="008D24A7" w:rsidRPr="00295637">
        <w:rPr>
          <w:rFonts w:ascii="Times New Roman" w:hAnsi="Times New Roman"/>
          <w:szCs w:val="24"/>
          <w:lang w:val="bs-Latn-BA"/>
        </w:rPr>
        <w:t xml:space="preserve">, </w:t>
      </w:r>
      <w:r>
        <w:rPr>
          <w:rFonts w:ascii="Times New Roman" w:hAnsi="Times New Roman"/>
          <w:szCs w:val="24"/>
          <w:lang w:val="bs-Latn-BA"/>
        </w:rPr>
        <w:t>активно</w:t>
      </w:r>
      <w:r w:rsidR="008D24A7" w:rsidRPr="00295637">
        <w:rPr>
          <w:rFonts w:ascii="Times New Roman" w:hAnsi="Times New Roman"/>
          <w:szCs w:val="24"/>
          <w:lang w:val="bs-Latn-BA"/>
        </w:rPr>
        <w:t xml:space="preserve"> </w:t>
      </w:r>
      <w:r>
        <w:rPr>
          <w:rFonts w:ascii="Times New Roman" w:hAnsi="Times New Roman"/>
          <w:szCs w:val="24"/>
          <w:lang w:val="bs-Latn-BA"/>
        </w:rPr>
        <w:t>су</w:t>
      </w:r>
      <w:r w:rsidR="008D24A7" w:rsidRPr="00295637">
        <w:rPr>
          <w:rFonts w:ascii="Times New Roman" w:hAnsi="Times New Roman"/>
          <w:szCs w:val="24"/>
          <w:lang w:val="bs-Latn-BA"/>
        </w:rPr>
        <w:t xml:space="preserve"> </w:t>
      </w:r>
      <w:r>
        <w:rPr>
          <w:rFonts w:ascii="Times New Roman" w:hAnsi="Times New Roman"/>
          <w:szCs w:val="24"/>
          <w:lang w:val="bs-Latn-BA"/>
        </w:rPr>
        <w:t>учествовале</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организацији</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sidR="00D8279B">
        <w:rPr>
          <w:rFonts w:ascii="Times New Roman" w:hAnsi="Times New Roman"/>
          <w:szCs w:val="24"/>
          <w:lang w:val="sr-Cyrl-BA"/>
        </w:rPr>
        <w:t>спровођењу</w:t>
      </w:r>
      <w:r w:rsidR="008D24A7" w:rsidRPr="00295637">
        <w:rPr>
          <w:rFonts w:ascii="Times New Roman" w:hAnsi="Times New Roman"/>
          <w:szCs w:val="24"/>
          <w:lang w:val="bs-Latn-BA"/>
        </w:rPr>
        <w:t xml:space="preserve"> </w:t>
      </w:r>
      <w:r>
        <w:rPr>
          <w:rFonts w:ascii="Times New Roman" w:hAnsi="Times New Roman"/>
          <w:szCs w:val="24"/>
          <w:lang w:val="bs-Latn-BA"/>
        </w:rPr>
        <w:t>обука</w:t>
      </w:r>
      <w:r w:rsidR="008D24A7" w:rsidRPr="00295637">
        <w:rPr>
          <w:rFonts w:ascii="Times New Roman" w:hAnsi="Times New Roman"/>
          <w:szCs w:val="24"/>
          <w:lang w:val="bs-Latn-BA"/>
        </w:rPr>
        <w:t xml:space="preserve">, </w:t>
      </w:r>
      <w:r>
        <w:rPr>
          <w:rFonts w:ascii="Times New Roman" w:hAnsi="Times New Roman"/>
          <w:szCs w:val="24"/>
          <w:lang w:val="bs-Latn-BA"/>
        </w:rPr>
        <w:t>чиме</w:t>
      </w:r>
      <w:r w:rsidR="008D24A7" w:rsidRPr="00295637">
        <w:rPr>
          <w:rFonts w:ascii="Times New Roman" w:hAnsi="Times New Roman"/>
          <w:szCs w:val="24"/>
          <w:lang w:val="bs-Latn-BA"/>
        </w:rPr>
        <w:t xml:space="preserve"> </w:t>
      </w:r>
      <w:r>
        <w:rPr>
          <w:rFonts w:ascii="Times New Roman" w:hAnsi="Times New Roman"/>
          <w:szCs w:val="24"/>
          <w:lang w:val="bs-Latn-BA"/>
        </w:rPr>
        <w:t>је</w:t>
      </w:r>
      <w:r w:rsidR="008D24A7" w:rsidRPr="00295637">
        <w:rPr>
          <w:rFonts w:ascii="Times New Roman" w:hAnsi="Times New Roman"/>
          <w:szCs w:val="24"/>
          <w:lang w:val="bs-Latn-BA"/>
        </w:rPr>
        <w:t xml:space="preserve"> </w:t>
      </w:r>
      <w:r>
        <w:rPr>
          <w:rFonts w:ascii="Times New Roman" w:hAnsi="Times New Roman"/>
          <w:szCs w:val="24"/>
          <w:lang w:val="bs-Latn-BA"/>
        </w:rPr>
        <w:t>унапријеђена</w:t>
      </w:r>
      <w:r w:rsidR="008D24A7" w:rsidRPr="00295637">
        <w:rPr>
          <w:rFonts w:ascii="Times New Roman" w:hAnsi="Times New Roman"/>
          <w:szCs w:val="24"/>
          <w:lang w:val="bs-Latn-BA"/>
        </w:rPr>
        <w:t xml:space="preserve"> </w:t>
      </w:r>
      <w:r>
        <w:rPr>
          <w:rFonts w:ascii="Times New Roman" w:hAnsi="Times New Roman"/>
          <w:szCs w:val="24"/>
          <w:lang w:val="bs-Latn-BA"/>
        </w:rPr>
        <w:t>стручна</w:t>
      </w:r>
      <w:r w:rsidR="008D24A7" w:rsidRPr="00295637">
        <w:rPr>
          <w:rFonts w:ascii="Times New Roman" w:hAnsi="Times New Roman"/>
          <w:szCs w:val="24"/>
          <w:lang w:val="bs-Latn-BA"/>
        </w:rPr>
        <w:t xml:space="preserve"> </w:t>
      </w:r>
      <w:r>
        <w:rPr>
          <w:rFonts w:ascii="Times New Roman" w:hAnsi="Times New Roman"/>
          <w:szCs w:val="24"/>
          <w:lang w:val="bs-Latn-BA"/>
        </w:rPr>
        <w:t>оспособљеност</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ефикасност</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поступању</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случајевима</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породици</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родно</w:t>
      </w:r>
      <w:r w:rsidR="008D24A7" w:rsidRPr="00295637">
        <w:rPr>
          <w:rFonts w:ascii="Times New Roman" w:hAnsi="Times New Roman"/>
          <w:szCs w:val="24"/>
          <w:lang w:val="bs-Latn-BA"/>
        </w:rPr>
        <w:t xml:space="preserve"> </w:t>
      </w:r>
      <w:r>
        <w:rPr>
          <w:rFonts w:ascii="Times New Roman" w:hAnsi="Times New Roman"/>
          <w:szCs w:val="24"/>
          <w:lang w:val="bs-Latn-BA"/>
        </w:rPr>
        <w:t>заснованог</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w:t>
      </w:r>
    </w:p>
    <w:p w:rsidR="008D24A7" w:rsidRPr="00295637" w:rsidRDefault="008D24A7" w:rsidP="0086268D">
      <w:pPr>
        <w:tabs>
          <w:tab w:val="left" w:pos="1080"/>
        </w:tabs>
        <w:ind w:left="576"/>
        <w:jc w:val="both"/>
        <w:rPr>
          <w:rFonts w:ascii="Times New Roman" w:hAnsi="Times New Roman"/>
          <w:szCs w:val="24"/>
          <w:lang w:val="bs-Latn-BA"/>
        </w:rPr>
      </w:pPr>
    </w:p>
    <w:p w:rsidR="008D24A7" w:rsidRPr="00295637" w:rsidRDefault="00C6214E" w:rsidP="0086268D">
      <w:pPr>
        <w:tabs>
          <w:tab w:val="left" w:pos="1080"/>
        </w:tabs>
        <w:jc w:val="both"/>
        <w:rPr>
          <w:rFonts w:ascii="Times New Roman" w:hAnsi="Times New Roman"/>
          <w:szCs w:val="24"/>
          <w:lang w:val="bs-Latn-BA"/>
        </w:rPr>
      </w:pPr>
      <w:r>
        <w:rPr>
          <w:rFonts w:ascii="Times New Roman" w:hAnsi="Times New Roman"/>
          <w:szCs w:val="24"/>
          <w:lang w:val="bs-Latn-BA"/>
        </w:rPr>
        <w:t>Када</w:t>
      </w:r>
      <w:r w:rsidR="008D24A7" w:rsidRPr="00295637">
        <w:rPr>
          <w:rFonts w:ascii="Times New Roman" w:hAnsi="Times New Roman"/>
          <w:szCs w:val="24"/>
          <w:lang w:val="bs-Latn-BA"/>
        </w:rPr>
        <w:t xml:space="preserve"> </w:t>
      </w:r>
      <w:r>
        <w:rPr>
          <w:rFonts w:ascii="Times New Roman" w:hAnsi="Times New Roman"/>
          <w:szCs w:val="24"/>
          <w:lang w:val="bs-Latn-BA"/>
        </w:rPr>
        <w:t>су</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питању</w:t>
      </w:r>
      <w:r w:rsidR="008D24A7" w:rsidRPr="00295637">
        <w:rPr>
          <w:rFonts w:ascii="Times New Roman" w:hAnsi="Times New Roman"/>
          <w:szCs w:val="24"/>
          <w:lang w:val="bs-Latn-BA"/>
        </w:rPr>
        <w:t xml:space="preserve"> </w:t>
      </w:r>
      <w:r>
        <w:rPr>
          <w:rFonts w:ascii="Times New Roman" w:hAnsi="Times New Roman"/>
          <w:szCs w:val="24"/>
          <w:lang w:val="bs-Latn-BA"/>
        </w:rPr>
        <w:t>едукације</w:t>
      </w:r>
      <w:r w:rsidR="008D24A7" w:rsidRPr="00295637">
        <w:rPr>
          <w:rFonts w:ascii="Times New Roman" w:hAnsi="Times New Roman"/>
          <w:szCs w:val="24"/>
          <w:lang w:val="bs-Latn-BA"/>
        </w:rPr>
        <w:t xml:space="preserve"> </w:t>
      </w:r>
      <w:r>
        <w:rPr>
          <w:rFonts w:ascii="Times New Roman" w:hAnsi="Times New Roman"/>
          <w:szCs w:val="24"/>
          <w:lang w:val="bs-Latn-BA"/>
        </w:rPr>
        <w:t>државних</w:t>
      </w:r>
      <w:r w:rsidR="008D24A7" w:rsidRPr="00295637">
        <w:rPr>
          <w:rFonts w:ascii="Times New Roman" w:hAnsi="Times New Roman"/>
          <w:szCs w:val="24"/>
          <w:lang w:val="bs-Latn-BA"/>
        </w:rPr>
        <w:t xml:space="preserve"> </w:t>
      </w:r>
      <w:r>
        <w:rPr>
          <w:rFonts w:ascii="Times New Roman" w:hAnsi="Times New Roman"/>
          <w:szCs w:val="24"/>
          <w:lang w:val="bs-Latn-BA"/>
        </w:rPr>
        <w:t>службеника</w:t>
      </w:r>
      <w:r w:rsidR="008D24A7" w:rsidRPr="00295637">
        <w:rPr>
          <w:rFonts w:ascii="Times New Roman" w:hAnsi="Times New Roman"/>
          <w:szCs w:val="24"/>
          <w:lang w:val="bs-Latn-BA"/>
        </w:rPr>
        <w:t xml:space="preserve"> </w:t>
      </w:r>
      <w:r>
        <w:rPr>
          <w:rFonts w:ascii="Times New Roman" w:hAnsi="Times New Roman"/>
          <w:szCs w:val="24"/>
          <w:lang w:val="bs-Latn-BA"/>
        </w:rPr>
        <w:t>који</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свом</w:t>
      </w:r>
      <w:r w:rsidR="008D24A7" w:rsidRPr="00295637">
        <w:rPr>
          <w:rFonts w:ascii="Times New Roman" w:hAnsi="Times New Roman"/>
          <w:szCs w:val="24"/>
          <w:lang w:val="bs-Latn-BA"/>
        </w:rPr>
        <w:t xml:space="preserve"> </w:t>
      </w:r>
      <w:r>
        <w:rPr>
          <w:rFonts w:ascii="Times New Roman" w:hAnsi="Times New Roman"/>
          <w:szCs w:val="24"/>
          <w:lang w:val="bs-Latn-BA"/>
        </w:rPr>
        <w:t>раду</w:t>
      </w:r>
      <w:r w:rsidR="008D24A7" w:rsidRPr="00295637">
        <w:rPr>
          <w:rFonts w:ascii="Times New Roman" w:hAnsi="Times New Roman"/>
          <w:szCs w:val="24"/>
          <w:lang w:val="bs-Latn-BA"/>
        </w:rPr>
        <w:t xml:space="preserve"> </w:t>
      </w:r>
      <w:r>
        <w:rPr>
          <w:rFonts w:ascii="Times New Roman" w:hAnsi="Times New Roman"/>
          <w:szCs w:val="24"/>
          <w:lang w:val="bs-Latn-BA"/>
        </w:rPr>
        <w:t>примјењују</w:t>
      </w:r>
      <w:r w:rsidR="008D24A7" w:rsidRPr="00295637">
        <w:rPr>
          <w:rFonts w:ascii="Times New Roman" w:hAnsi="Times New Roman"/>
          <w:szCs w:val="24"/>
          <w:lang w:val="bs-Latn-BA"/>
        </w:rPr>
        <w:t xml:space="preserve"> </w:t>
      </w:r>
      <w:r>
        <w:rPr>
          <w:rFonts w:ascii="Times New Roman" w:hAnsi="Times New Roman"/>
          <w:szCs w:val="24"/>
          <w:lang w:val="bs-Latn-BA"/>
        </w:rPr>
        <w:t>прописе</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области</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породици</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над</w:t>
      </w:r>
      <w:r w:rsidR="008D24A7" w:rsidRPr="00295637">
        <w:rPr>
          <w:rFonts w:ascii="Times New Roman" w:hAnsi="Times New Roman"/>
          <w:szCs w:val="24"/>
          <w:lang w:val="bs-Latn-BA"/>
        </w:rPr>
        <w:t xml:space="preserve"> </w:t>
      </w:r>
      <w:r>
        <w:rPr>
          <w:rFonts w:ascii="Times New Roman" w:hAnsi="Times New Roman"/>
          <w:szCs w:val="24"/>
          <w:lang w:val="bs-Latn-BA"/>
        </w:rPr>
        <w:t>женама</w:t>
      </w:r>
      <w:r w:rsidR="008D24A7" w:rsidRPr="00295637">
        <w:rPr>
          <w:rFonts w:ascii="Times New Roman" w:hAnsi="Times New Roman"/>
          <w:szCs w:val="24"/>
          <w:lang w:val="bs-Latn-BA"/>
        </w:rPr>
        <w:t xml:space="preserve">, </w:t>
      </w:r>
      <w:r>
        <w:rPr>
          <w:rFonts w:ascii="Times New Roman" w:hAnsi="Times New Roman"/>
          <w:szCs w:val="24"/>
          <w:lang w:val="bs-Latn-BA"/>
        </w:rPr>
        <w:t>успостављен</w:t>
      </w:r>
      <w:r w:rsidR="008D24A7" w:rsidRPr="00295637">
        <w:rPr>
          <w:rFonts w:ascii="Times New Roman" w:hAnsi="Times New Roman"/>
          <w:szCs w:val="24"/>
          <w:lang w:val="bs-Latn-BA"/>
        </w:rPr>
        <w:t xml:space="preserve"> </w:t>
      </w:r>
      <w:r>
        <w:rPr>
          <w:rFonts w:ascii="Times New Roman" w:hAnsi="Times New Roman"/>
          <w:szCs w:val="24"/>
          <w:lang w:val="bs-Latn-BA"/>
        </w:rPr>
        <w:t>је</w:t>
      </w:r>
      <w:r w:rsidR="008D24A7" w:rsidRPr="00295637">
        <w:rPr>
          <w:rFonts w:ascii="Times New Roman" w:hAnsi="Times New Roman"/>
          <w:szCs w:val="24"/>
          <w:lang w:val="bs-Latn-BA"/>
        </w:rPr>
        <w:t xml:space="preserve"> </w:t>
      </w:r>
      <w:r>
        <w:rPr>
          <w:rFonts w:ascii="Times New Roman" w:hAnsi="Times New Roman"/>
          <w:szCs w:val="24"/>
          <w:lang w:val="bs-Latn-BA"/>
        </w:rPr>
        <w:t>систем</w:t>
      </w:r>
      <w:r w:rsidR="008D24A7" w:rsidRPr="00295637">
        <w:rPr>
          <w:rFonts w:ascii="Times New Roman" w:hAnsi="Times New Roman"/>
          <w:szCs w:val="24"/>
          <w:lang w:val="bs-Latn-BA"/>
        </w:rPr>
        <w:t xml:space="preserve"> </w:t>
      </w:r>
      <w:r>
        <w:rPr>
          <w:rFonts w:ascii="Times New Roman" w:hAnsi="Times New Roman"/>
          <w:szCs w:val="24"/>
          <w:lang w:val="bs-Latn-BA"/>
        </w:rPr>
        <w:t>стручног</w:t>
      </w:r>
      <w:r w:rsidR="008D24A7" w:rsidRPr="00295637">
        <w:rPr>
          <w:rFonts w:ascii="Times New Roman" w:hAnsi="Times New Roman"/>
          <w:szCs w:val="24"/>
          <w:lang w:val="bs-Latn-BA"/>
        </w:rPr>
        <w:t xml:space="preserve"> </w:t>
      </w:r>
      <w:r>
        <w:rPr>
          <w:rFonts w:ascii="Times New Roman" w:hAnsi="Times New Roman"/>
          <w:szCs w:val="24"/>
          <w:lang w:val="bs-Latn-BA"/>
        </w:rPr>
        <w:t>усавршавања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оквиру</w:t>
      </w:r>
      <w:r w:rsidR="008D24A7" w:rsidRPr="00295637">
        <w:rPr>
          <w:rFonts w:ascii="Times New Roman" w:hAnsi="Times New Roman"/>
          <w:szCs w:val="24"/>
          <w:lang w:val="bs-Latn-BA"/>
        </w:rPr>
        <w:t xml:space="preserve"> </w:t>
      </w:r>
      <w:r>
        <w:rPr>
          <w:rFonts w:ascii="Times New Roman" w:hAnsi="Times New Roman"/>
          <w:szCs w:val="24"/>
          <w:lang w:val="bs-Latn-BA"/>
        </w:rPr>
        <w:t>АДС</w:t>
      </w:r>
      <w:r w:rsidR="008D24A7" w:rsidRPr="00295637">
        <w:rPr>
          <w:rFonts w:ascii="Times New Roman" w:hAnsi="Times New Roman"/>
          <w:szCs w:val="24"/>
          <w:lang w:val="bs-Latn-BA"/>
        </w:rPr>
        <w:t xml:space="preserve"> </w:t>
      </w:r>
      <w:r>
        <w:rPr>
          <w:rFonts w:ascii="Times New Roman" w:hAnsi="Times New Roman"/>
          <w:szCs w:val="24"/>
          <w:lang w:val="bs-Latn-BA"/>
        </w:rPr>
        <w:t>ФБиХ</w:t>
      </w:r>
      <w:r w:rsidR="008D24A7" w:rsidRPr="00295637">
        <w:rPr>
          <w:rFonts w:ascii="Times New Roman" w:hAnsi="Times New Roman"/>
          <w:szCs w:val="24"/>
          <w:lang w:val="bs-Latn-BA"/>
        </w:rPr>
        <w:t xml:space="preserve">, </w:t>
      </w:r>
      <w:r>
        <w:rPr>
          <w:rFonts w:ascii="Times New Roman" w:hAnsi="Times New Roman"/>
          <w:szCs w:val="24"/>
          <w:lang w:val="bs-Latn-BA"/>
        </w:rPr>
        <w:t>те</w:t>
      </w:r>
      <w:r w:rsidR="008D24A7" w:rsidRPr="00295637">
        <w:rPr>
          <w:rFonts w:ascii="Times New Roman" w:hAnsi="Times New Roman"/>
          <w:szCs w:val="24"/>
          <w:lang w:val="bs-Latn-BA"/>
        </w:rPr>
        <w:t xml:space="preserve"> </w:t>
      </w:r>
      <w:r>
        <w:rPr>
          <w:rFonts w:ascii="Times New Roman" w:hAnsi="Times New Roman"/>
          <w:szCs w:val="24"/>
          <w:lang w:val="bs-Latn-BA"/>
        </w:rPr>
        <w:t>су</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Програму</w:t>
      </w:r>
      <w:r w:rsidR="008D24A7" w:rsidRPr="00295637">
        <w:rPr>
          <w:rFonts w:ascii="Times New Roman" w:hAnsi="Times New Roman"/>
          <w:szCs w:val="24"/>
          <w:lang w:val="bs-Latn-BA"/>
        </w:rPr>
        <w:t xml:space="preserve"> </w:t>
      </w:r>
      <w:r>
        <w:rPr>
          <w:rFonts w:ascii="Times New Roman" w:hAnsi="Times New Roman"/>
          <w:szCs w:val="24"/>
          <w:lang w:val="bs-Latn-BA"/>
        </w:rPr>
        <w:t>стручног</w:t>
      </w:r>
      <w:r w:rsidR="008D24A7" w:rsidRPr="00295637">
        <w:rPr>
          <w:rFonts w:ascii="Times New Roman" w:hAnsi="Times New Roman"/>
          <w:szCs w:val="24"/>
          <w:lang w:val="bs-Latn-BA"/>
        </w:rPr>
        <w:t xml:space="preserve"> </w:t>
      </w:r>
      <w:r>
        <w:rPr>
          <w:rFonts w:ascii="Times New Roman" w:hAnsi="Times New Roman"/>
          <w:szCs w:val="24"/>
          <w:lang w:val="bs-Latn-BA"/>
        </w:rPr>
        <w:t>усавршавања</w:t>
      </w:r>
      <w:r w:rsidR="008D24A7" w:rsidRPr="00295637">
        <w:rPr>
          <w:rFonts w:ascii="Times New Roman" w:hAnsi="Times New Roman"/>
          <w:szCs w:val="24"/>
          <w:lang w:val="bs-Latn-BA"/>
        </w:rPr>
        <w:t xml:space="preserve"> </w:t>
      </w:r>
      <w:r>
        <w:rPr>
          <w:rFonts w:ascii="Times New Roman" w:hAnsi="Times New Roman"/>
          <w:szCs w:val="24"/>
          <w:lang w:val="bs-Latn-BA"/>
        </w:rPr>
        <w:t>планиране</w:t>
      </w:r>
      <w:r w:rsidR="008D24A7" w:rsidRPr="00295637">
        <w:rPr>
          <w:rFonts w:ascii="Times New Roman" w:hAnsi="Times New Roman"/>
          <w:szCs w:val="24"/>
          <w:lang w:val="bs-Latn-BA"/>
        </w:rPr>
        <w:t xml:space="preserve"> </w:t>
      </w:r>
      <w:r>
        <w:rPr>
          <w:rFonts w:ascii="Times New Roman" w:hAnsi="Times New Roman"/>
          <w:szCs w:val="24"/>
          <w:lang w:val="bs-Latn-BA"/>
        </w:rPr>
        <w:t>три</w:t>
      </w:r>
      <w:r w:rsidR="008D24A7" w:rsidRPr="00295637">
        <w:rPr>
          <w:rFonts w:ascii="Times New Roman" w:hAnsi="Times New Roman"/>
          <w:szCs w:val="24"/>
          <w:lang w:val="bs-Latn-BA"/>
        </w:rPr>
        <w:t xml:space="preserve"> </w:t>
      </w:r>
      <w:r>
        <w:rPr>
          <w:rFonts w:ascii="Times New Roman" w:hAnsi="Times New Roman"/>
          <w:szCs w:val="24"/>
          <w:lang w:val="bs-Latn-BA"/>
        </w:rPr>
        <w:t>теме</w:t>
      </w:r>
      <w:r w:rsidR="008D24A7" w:rsidRPr="00295637">
        <w:rPr>
          <w:rFonts w:ascii="Times New Roman" w:hAnsi="Times New Roman"/>
          <w:szCs w:val="24"/>
          <w:lang w:val="bs-Latn-BA"/>
        </w:rPr>
        <w:t xml:space="preserve">: </w:t>
      </w:r>
      <w:r>
        <w:rPr>
          <w:rFonts w:ascii="Times New Roman" w:hAnsi="Times New Roman"/>
          <w:bCs/>
          <w:szCs w:val="24"/>
          <w:lang w:val="bs-Latn-BA"/>
        </w:rPr>
        <w:t>Корупција</w:t>
      </w:r>
      <w:r w:rsidR="008D24A7" w:rsidRPr="00295637">
        <w:rPr>
          <w:rFonts w:ascii="Times New Roman" w:hAnsi="Times New Roman"/>
          <w:bCs/>
          <w:szCs w:val="24"/>
          <w:lang w:val="bs-Latn-BA"/>
        </w:rPr>
        <w:t xml:space="preserve"> </w:t>
      </w:r>
      <w:r>
        <w:rPr>
          <w:rFonts w:ascii="Times New Roman" w:hAnsi="Times New Roman"/>
          <w:bCs/>
          <w:szCs w:val="24"/>
          <w:lang w:val="bs-Latn-BA"/>
        </w:rPr>
        <w:t>и</w:t>
      </w:r>
      <w:r w:rsidR="008D24A7" w:rsidRPr="00295637">
        <w:rPr>
          <w:rFonts w:ascii="Times New Roman" w:hAnsi="Times New Roman"/>
          <w:bCs/>
          <w:szCs w:val="24"/>
          <w:lang w:val="bs-Latn-BA"/>
        </w:rPr>
        <w:t xml:space="preserve"> </w:t>
      </w:r>
      <w:r>
        <w:rPr>
          <w:rFonts w:ascii="Times New Roman" w:hAnsi="Times New Roman"/>
          <w:bCs/>
          <w:szCs w:val="24"/>
          <w:lang w:val="bs-Latn-BA"/>
        </w:rPr>
        <w:t>родно</w:t>
      </w:r>
      <w:r w:rsidR="008D24A7" w:rsidRPr="00295637">
        <w:rPr>
          <w:rFonts w:ascii="Times New Roman" w:hAnsi="Times New Roman"/>
          <w:bCs/>
          <w:szCs w:val="24"/>
          <w:lang w:val="bs-Latn-BA"/>
        </w:rPr>
        <w:t xml:space="preserve"> </w:t>
      </w:r>
      <w:r>
        <w:rPr>
          <w:rFonts w:ascii="Times New Roman" w:hAnsi="Times New Roman"/>
          <w:bCs/>
          <w:szCs w:val="24"/>
          <w:lang w:val="bs-Latn-BA"/>
        </w:rPr>
        <w:t>засновано</w:t>
      </w:r>
      <w:r w:rsidR="008D24A7" w:rsidRPr="00295637">
        <w:rPr>
          <w:rFonts w:ascii="Times New Roman" w:hAnsi="Times New Roman"/>
          <w:bCs/>
          <w:szCs w:val="24"/>
          <w:lang w:val="bs-Latn-BA"/>
        </w:rPr>
        <w:t xml:space="preserve"> </w:t>
      </w:r>
      <w:r>
        <w:rPr>
          <w:rFonts w:ascii="Times New Roman" w:hAnsi="Times New Roman"/>
          <w:bCs/>
          <w:szCs w:val="24"/>
          <w:lang w:val="bs-Latn-BA"/>
        </w:rPr>
        <w:t>насиље</w:t>
      </w:r>
      <w:r w:rsidR="008D24A7" w:rsidRPr="00295637">
        <w:rPr>
          <w:rFonts w:ascii="Times New Roman" w:hAnsi="Times New Roman"/>
          <w:bCs/>
          <w:szCs w:val="24"/>
          <w:lang w:val="bs-Latn-BA"/>
        </w:rPr>
        <w:t xml:space="preserve">, </w:t>
      </w:r>
      <w:r>
        <w:rPr>
          <w:rFonts w:ascii="Times New Roman" w:hAnsi="Times New Roman"/>
          <w:bCs/>
          <w:szCs w:val="24"/>
          <w:lang w:val="bs-Latn-BA"/>
        </w:rPr>
        <w:t>Равноправност</w:t>
      </w:r>
      <w:r w:rsidR="008D24A7" w:rsidRPr="00295637">
        <w:rPr>
          <w:rFonts w:ascii="Times New Roman" w:hAnsi="Times New Roman"/>
          <w:bCs/>
          <w:szCs w:val="24"/>
          <w:lang w:val="bs-Latn-BA"/>
        </w:rPr>
        <w:t xml:space="preserve"> </w:t>
      </w:r>
      <w:r>
        <w:rPr>
          <w:rFonts w:ascii="Times New Roman" w:hAnsi="Times New Roman"/>
          <w:bCs/>
          <w:szCs w:val="24"/>
          <w:lang w:val="bs-Latn-BA"/>
        </w:rPr>
        <w:t>полова</w:t>
      </w:r>
      <w:r w:rsidR="008D24A7" w:rsidRPr="00295637">
        <w:rPr>
          <w:rFonts w:ascii="Times New Roman" w:hAnsi="Times New Roman"/>
          <w:bCs/>
          <w:szCs w:val="24"/>
          <w:lang w:val="bs-Latn-BA"/>
        </w:rPr>
        <w:t xml:space="preserve"> </w:t>
      </w:r>
      <w:r>
        <w:rPr>
          <w:rFonts w:ascii="Times New Roman" w:hAnsi="Times New Roman"/>
          <w:bCs/>
          <w:szCs w:val="24"/>
          <w:lang w:val="bs-Latn-BA"/>
        </w:rPr>
        <w:t>и</w:t>
      </w:r>
      <w:r w:rsidR="008D24A7" w:rsidRPr="00295637">
        <w:rPr>
          <w:rFonts w:ascii="Times New Roman" w:hAnsi="Times New Roman"/>
          <w:bCs/>
          <w:szCs w:val="24"/>
          <w:lang w:val="bs-Latn-BA"/>
        </w:rPr>
        <w:t xml:space="preserve"> </w:t>
      </w:r>
      <w:r>
        <w:rPr>
          <w:rFonts w:ascii="Times New Roman" w:hAnsi="Times New Roman"/>
          <w:bCs/>
          <w:szCs w:val="24"/>
          <w:lang w:val="bs-Latn-BA"/>
        </w:rPr>
        <w:t>дискриминација</w:t>
      </w:r>
      <w:r w:rsidR="008D24A7" w:rsidRPr="00295637">
        <w:rPr>
          <w:rFonts w:ascii="Times New Roman" w:hAnsi="Times New Roman"/>
          <w:bCs/>
          <w:szCs w:val="24"/>
          <w:lang w:val="bs-Latn-BA"/>
        </w:rPr>
        <w:t xml:space="preserve"> </w:t>
      </w:r>
      <w:r>
        <w:rPr>
          <w:rFonts w:ascii="Times New Roman" w:hAnsi="Times New Roman"/>
          <w:bCs/>
          <w:szCs w:val="24"/>
          <w:lang w:val="bs-Latn-BA"/>
        </w:rPr>
        <w:t>по</w:t>
      </w:r>
      <w:r w:rsidR="008D24A7" w:rsidRPr="00295637">
        <w:rPr>
          <w:rFonts w:ascii="Times New Roman" w:hAnsi="Times New Roman"/>
          <w:bCs/>
          <w:szCs w:val="24"/>
          <w:lang w:val="bs-Latn-BA"/>
        </w:rPr>
        <w:t xml:space="preserve"> </w:t>
      </w:r>
      <w:r>
        <w:rPr>
          <w:rFonts w:ascii="Times New Roman" w:hAnsi="Times New Roman"/>
          <w:bCs/>
          <w:szCs w:val="24"/>
          <w:lang w:val="bs-Latn-BA"/>
        </w:rPr>
        <w:t>основу</w:t>
      </w:r>
      <w:r w:rsidR="008D24A7" w:rsidRPr="00295637">
        <w:rPr>
          <w:rFonts w:ascii="Times New Roman" w:hAnsi="Times New Roman"/>
          <w:bCs/>
          <w:szCs w:val="24"/>
          <w:lang w:val="bs-Latn-BA"/>
        </w:rPr>
        <w:t xml:space="preserve"> </w:t>
      </w:r>
      <w:r>
        <w:rPr>
          <w:rFonts w:ascii="Times New Roman" w:hAnsi="Times New Roman"/>
          <w:bCs/>
          <w:szCs w:val="24"/>
          <w:lang w:val="bs-Latn-BA"/>
        </w:rPr>
        <w:t>пола</w:t>
      </w:r>
      <w:r w:rsidR="008D24A7" w:rsidRPr="00295637">
        <w:rPr>
          <w:rFonts w:ascii="Times New Roman" w:hAnsi="Times New Roman"/>
          <w:bCs/>
          <w:szCs w:val="24"/>
          <w:lang w:val="bs-Latn-BA"/>
        </w:rPr>
        <w:t xml:space="preserve"> </w:t>
      </w:r>
      <w:r>
        <w:rPr>
          <w:rFonts w:ascii="Times New Roman" w:hAnsi="Times New Roman"/>
          <w:bCs/>
          <w:szCs w:val="24"/>
          <w:lang w:val="bs-Latn-BA"/>
        </w:rPr>
        <w:t>и</w:t>
      </w:r>
      <w:r w:rsidR="008D24A7" w:rsidRPr="00295637">
        <w:rPr>
          <w:rFonts w:ascii="Times New Roman" w:hAnsi="Times New Roman"/>
          <w:bCs/>
          <w:szCs w:val="24"/>
          <w:lang w:val="bs-Latn-BA"/>
        </w:rPr>
        <w:t xml:space="preserve"> </w:t>
      </w:r>
      <w:r>
        <w:rPr>
          <w:rFonts w:ascii="Times New Roman" w:hAnsi="Times New Roman"/>
          <w:bCs/>
          <w:szCs w:val="24"/>
          <w:lang w:val="bs-Latn-BA"/>
        </w:rPr>
        <w:t>Примјена</w:t>
      </w:r>
      <w:r w:rsidR="008D24A7" w:rsidRPr="00295637">
        <w:rPr>
          <w:rFonts w:ascii="Times New Roman" w:hAnsi="Times New Roman"/>
          <w:bCs/>
          <w:szCs w:val="24"/>
          <w:lang w:val="bs-Latn-BA"/>
        </w:rPr>
        <w:t xml:space="preserve"> </w:t>
      </w:r>
      <w:r>
        <w:rPr>
          <w:rFonts w:ascii="Times New Roman" w:hAnsi="Times New Roman"/>
          <w:bCs/>
          <w:szCs w:val="24"/>
          <w:lang w:val="bs-Latn-BA"/>
        </w:rPr>
        <w:t>прописа</w:t>
      </w:r>
      <w:r w:rsidR="008D24A7" w:rsidRPr="00295637">
        <w:rPr>
          <w:rFonts w:ascii="Times New Roman" w:hAnsi="Times New Roman"/>
          <w:bCs/>
          <w:szCs w:val="24"/>
          <w:lang w:val="bs-Latn-BA"/>
        </w:rPr>
        <w:t xml:space="preserve"> </w:t>
      </w:r>
      <w:r>
        <w:rPr>
          <w:rFonts w:ascii="Times New Roman" w:hAnsi="Times New Roman"/>
          <w:bCs/>
          <w:szCs w:val="24"/>
          <w:lang w:val="bs-Latn-BA"/>
        </w:rPr>
        <w:t>у</w:t>
      </w:r>
      <w:r w:rsidR="008D24A7" w:rsidRPr="00295637">
        <w:rPr>
          <w:rFonts w:ascii="Times New Roman" w:hAnsi="Times New Roman"/>
          <w:bCs/>
          <w:szCs w:val="24"/>
          <w:lang w:val="bs-Latn-BA"/>
        </w:rPr>
        <w:t xml:space="preserve"> </w:t>
      </w:r>
      <w:r>
        <w:rPr>
          <w:rFonts w:ascii="Times New Roman" w:hAnsi="Times New Roman"/>
          <w:bCs/>
          <w:szCs w:val="24"/>
          <w:lang w:val="bs-Latn-BA"/>
        </w:rPr>
        <w:t>области</w:t>
      </w:r>
      <w:r w:rsidR="0011114D">
        <w:rPr>
          <w:rFonts w:ascii="Times New Roman" w:hAnsi="Times New Roman"/>
          <w:bCs/>
          <w:szCs w:val="24"/>
          <w:lang w:val="bs-Latn-BA"/>
        </w:rPr>
        <w:t xml:space="preserve"> </w:t>
      </w:r>
      <w:r>
        <w:rPr>
          <w:rFonts w:ascii="Times New Roman" w:hAnsi="Times New Roman"/>
          <w:bCs/>
          <w:szCs w:val="24"/>
          <w:lang w:val="bs-Latn-BA"/>
        </w:rPr>
        <w:t>насиља</w:t>
      </w:r>
      <w:r w:rsidR="008D24A7" w:rsidRPr="00295637">
        <w:rPr>
          <w:rFonts w:ascii="Times New Roman" w:hAnsi="Times New Roman"/>
          <w:bCs/>
          <w:szCs w:val="24"/>
          <w:lang w:val="bs-Latn-BA"/>
        </w:rPr>
        <w:t xml:space="preserve"> </w:t>
      </w:r>
      <w:r>
        <w:rPr>
          <w:rFonts w:ascii="Times New Roman" w:hAnsi="Times New Roman"/>
          <w:bCs/>
          <w:szCs w:val="24"/>
          <w:lang w:val="bs-Latn-BA"/>
        </w:rPr>
        <w:t>у</w:t>
      </w:r>
      <w:r w:rsidR="008D24A7" w:rsidRPr="00295637">
        <w:rPr>
          <w:rFonts w:ascii="Times New Roman" w:hAnsi="Times New Roman"/>
          <w:bCs/>
          <w:szCs w:val="24"/>
          <w:lang w:val="bs-Latn-BA"/>
        </w:rPr>
        <w:t xml:space="preserve"> </w:t>
      </w:r>
      <w:r>
        <w:rPr>
          <w:rFonts w:ascii="Times New Roman" w:hAnsi="Times New Roman"/>
          <w:bCs/>
          <w:szCs w:val="24"/>
          <w:lang w:val="bs-Latn-BA"/>
        </w:rPr>
        <w:t>породици</w:t>
      </w:r>
      <w:r w:rsidR="008D24A7" w:rsidRPr="00295637">
        <w:rPr>
          <w:rFonts w:ascii="Times New Roman" w:hAnsi="Times New Roman"/>
          <w:bCs/>
          <w:szCs w:val="24"/>
          <w:lang w:val="bs-Latn-BA"/>
        </w:rPr>
        <w:t xml:space="preserve"> </w:t>
      </w:r>
      <w:r>
        <w:rPr>
          <w:rFonts w:ascii="Times New Roman" w:hAnsi="Times New Roman"/>
          <w:bCs/>
          <w:szCs w:val="24"/>
          <w:lang w:val="bs-Latn-BA"/>
        </w:rPr>
        <w:t>и</w:t>
      </w:r>
      <w:r w:rsidR="008D24A7" w:rsidRPr="00295637">
        <w:rPr>
          <w:rFonts w:ascii="Times New Roman" w:hAnsi="Times New Roman"/>
          <w:bCs/>
          <w:szCs w:val="24"/>
          <w:lang w:val="bs-Latn-BA"/>
        </w:rPr>
        <w:t xml:space="preserve"> </w:t>
      </w:r>
      <w:r>
        <w:rPr>
          <w:rFonts w:ascii="Times New Roman" w:hAnsi="Times New Roman"/>
          <w:bCs/>
          <w:szCs w:val="24"/>
          <w:lang w:val="bs-Latn-BA"/>
        </w:rPr>
        <w:t>насиља</w:t>
      </w:r>
      <w:r w:rsidR="008D24A7" w:rsidRPr="00295637">
        <w:rPr>
          <w:rFonts w:ascii="Times New Roman" w:hAnsi="Times New Roman"/>
          <w:bCs/>
          <w:szCs w:val="24"/>
          <w:lang w:val="bs-Latn-BA"/>
        </w:rPr>
        <w:t xml:space="preserve"> </w:t>
      </w:r>
      <w:r>
        <w:rPr>
          <w:rFonts w:ascii="Times New Roman" w:hAnsi="Times New Roman"/>
          <w:bCs/>
          <w:szCs w:val="24"/>
          <w:lang w:val="bs-Latn-BA"/>
        </w:rPr>
        <w:t>над</w:t>
      </w:r>
      <w:r w:rsidR="008D24A7" w:rsidRPr="00295637">
        <w:rPr>
          <w:rFonts w:ascii="Times New Roman" w:hAnsi="Times New Roman"/>
          <w:bCs/>
          <w:szCs w:val="24"/>
          <w:lang w:val="bs-Latn-BA"/>
        </w:rPr>
        <w:t xml:space="preserve"> </w:t>
      </w:r>
      <w:r>
        <w:rPr>
          <w:rFonts w:ascii="Times New Roman" w:hAnsi="Times New Roman"/>
          <w:bCs/>
          <w:szCs w:val="24"/>
          <w:lang w:val="bs-Latn-BA"/>
        </w:rPr>
        <w:t>женама</w:t>
      </w:r>
      <w:r w:rsidR="008D24A7" w:rsidRPr="00295637">
        <w:rPr>
          <w:rFonts w:ascii="Times New Roman" w:hAnsi="Times New Roman"/>
          <w:szCs w:val="24"/>
          <w:lang w:val="bs-Latn-BA"/>
        </w:rPr>
        <w:t xml:space="preserve">. </w:t>
      </w:r>
      <w:r>
        <w:rPr>
          <w:rFonts w:ascii="Times New Roman" w:hAnsi="Times New Roman"/>
          <w:szCs w:val="24"/>
          <w:lang w:val="bs-Latn-BA"/>
        </w:rPr>
        <w:t>Током</w:t>
      </w:r>
      <w:r w:rsidR="008D24A7" w:rsidRPr="00295637">
        <w:rPr>
          <w:rFonts w:ascii="Times New Roman" w:hAnsi="Times New Roman"/>
          <w:szCs w:val="24"/>
          <w:lang w:val="bs-Latn-BA"/>
        </w:rPr>
        <w:t xml:space="preserve"> 2024. </w:t>
      </w:r>
      <w:r>
        <w:rPr>
          <w:rFonts w:ascii="Times New Roman" w:hAnsi="Times New Roman"/>
          <w:szCs w:val="24"/>
          <w:lang w:val="bs-Latn-BA"/>
        </w:rPr>
        <w:t>године</w:t>
      </w:r>
      <w:r w:rsidR="008D24A7" w:rsidRPr="00295637">
        <w:rPr>
          <w:rFonts w:ascii="Times New Roman" w:hAnsi="Times New Roman"/>
          <w:szCs w:val="24"/>
          <w:lang w:val="bs-Latn-BA"/>
        </w:rPr>
        <w:t xml:space="preserve"> </w:t>
      </w:r>
      <w:r>
        <w:rPr>
          <w:rFonts w:ascii="Times New Roman" w:hAnsi="Times New Roman"/>
          <w:szCs w:val="24"/>
          <w:lang w:val="bs-Latn-BA"/>
        </w:rPr>
        <w:t>реализ</w:t>
      </w:r>
      <w:r w:rsidR="00D8279B">
        <w:rPr>
          <w:rFonts w:ascii="Times New Roman" w:hAnsi="Times New Roman"/>
          <w:szCs w:val="24"/>
          <w:lang w:val="sr-Cyrl-BA"/>
        </w:rPr>
        <w:t>ована</w:t>
      </w:r>
      <w:r w:rsidR="008D24A7" w:rsidRPr="00295637">
        <w:rPr>
          <w:rFonts w:ascii="Times New Roman" w:hAnsi="Times New Roman"/>
          <w:szCs w:val="24"/>
          <w:lang w:val="bs-Latn-BA"/>
        </w:rPr>
        <w:t xml:space="preserve"> </w:t>
      </w:r>
      <w:r>
        <w:rPr>
          <w:rFonts w:ascii="Times New Roman" w:hAnsi="Times New Roman"/>
          <w:szCs w:val="24"/>
          <w:lang w:val="bs-Latn-BA"/>
        </w:rPr>
        <w:t>су</w:t>
      </w:r>
      <w:r w:rsidR="009E4D64" w:rsidRPr="00295637">
        <w:rPr>
          <w:rFonts w:ascii="Times New Roman" w:hAnsi="Times New Roman"/>
          <w:szCs w:val="24"/>
          <w:lang w:val="bs-Latn-BA"/>
        </w:rPr>
        <w:t xml:space="preserve"> </w:t>
      </w:r>
      <w:r>
        <w:rPr>
          <w:rFonts w:ascii="Times New Roman" w:hAnsi="Times New Roman"/>
          <w:szCs w:val="24"/>
          <w:lang w:val="bs-Latn-BA"/>
        </w:rPr>
        <w:t>три</w:t>
      </w:r>
      <w:r w:rsidR="008D24A7" w:rsidRPr="00295637">
        <w:rPr>
          <w:rFonts w:ascii="Times New Roman" w:hAnsi="Times New Roman"/>
          <w:szCs w:val="24"/>
          <w:lang w:val="bs-Latn-BA"/>
        </w:rPr>
        <w:t xml:space="preserve"> </w:t>
      </w:r>
      <w:r>
        <w:rPr>
          <w:rFonts w:ascii="Times New Roman" w:hAnsi="Times New Roman"/>
          <w:szCs w:val="24"/>
          <w:lang w:val="bs-Latn-BA"/>
        </w:rPr>
        <w:t>једнодневна</w:t>
      </w:r>
      <w:r w:rsidR="008D24A7" w:rsidRPr="00295637">
        <w:rPr>
          <w:rFonts w:ascii="Times New Roman" w:hAnsi="Times New Roman"/>
          <w:szCs w:val="24"/>
          <w:lang w:val="bs-Latn-BA"/>
        </w:rPr>
        <w:t xml:space="preserve"> </w:t>
      </w:r>
      <w:r>
        <w:rPr>
          <w:rFonts w:ascii="Times New Roman" w:hAnsi="Times New Roman"/>
          <w:szCs w:val="24"/>
          <w:lang w:val="bs-Latn-BA"/>
        </w:rPr>
        <w:t>програма</w:t>
      </w:r>
      <w:r w:rsidR="008D24A7" w:rsidRPr="00295637">
        <w:rPr>
          <w:rFonts w:ascii="Times New Roman" w:hAnsi="Times New Roman"/>
          <w:szCs w:val="24"/>
          <w:lang w:val="bs-Latn-BA"/>
        </w:rPr>
        <w:t xml:space="preserve"> </w:t>
      </w:r>
      <w:r>
        <w:rPr>
          <w:rFonts w:ascii="Times New Roman" w:hAnsi="Times New Roman"/>
          <w:szCs w:val="24"/>
          <w:lang w:val="bs-Latn-BA"/>
        </w:rPr>
        <w:t>за</w:t>
      </w:r>
      <w:r w:rsidR="008D24A7" w:rsidRPr="00295637">
        <w:rPr>
          <w:rFonts w:ascii="Times New Roman" w:hAnsi="Times New Roman"/>
          <w:szCs w:val="24"/>
          <w:lang w:val="bs-Latn-BA"/>
        </w:rPr>
        <w:t xml:space="preserve"> </w:t>
      </w:r>
      <w:r>
        <w:rPr>
          <w:rFonts w:ascii="Times New Roman" w:hAnsi="Times New Roman"/>
          <w:szCs w:val="24"/>
          <w:lang w:val="bs-Latn-BA"/>
        </w:rPr>
        <w:t>укупно</w:t>
      </w:r>
      <w:r w:rsidR="008D24A7" w:rsidRPr="00295637">
        <w:rPr>
          <w:rFonts w:ascii="Times New Roman" w:hAnsi="Times New Roman"/>
          <w:szCs w:val="24"/>
          <w:lang w:val="bs-Latn-BA"/>
        </w:rPr>
        <w:t xml:space="preserve"> 75 </w:t>
      </w:r>
      <w:r>
        <w:rPr>
          <w:rFonts w:ascii="Times New Roman" w:hAnsi="Times New Roman"/>
          <w:szCs w:val="24"/>
          <w:lang w:val="bs-Latn-BA"/>
        </w:rPr>
        <w:t>учесника</w:t>
      </w:r>
      <w:r w:rsidR="008D24A7" w:rsidRPr="00295637">
        <w:rPr>
          <w:rFonts w:ascii="Times New Roman" w:hAnsi="Times New Roman"/>
          <w:szCs w:val="24"/>
          <w:lang w:val="bs-Latn-BA"/>
        </w:rPr>
        <w:t xml:space="preserve">. </w:t>
      </w:r>
    </w:p>
    <w:p w:rsidR="008D24A7" w:rsidRPr="00295637" w:rsidRDefault="008D24A7" w:rsidP="0086268D">
      <w:pPr>
        <w:tabs>
          <w:tab w:val="left" w:pos="1080"/>
        </w:tabs>
        <w:ind w:left="576"/>
        <w:jc w:val="both"/>
        <w:rPr>
          <w:rFonts w:ascii="Times New Roman" w:hAnsi="Times New Roman"/>
          <w:szCs w:val="24"/>
          <w:lang w:val="bs-Latn-BA"/>
        </w:rPr>
      </w:pPr>
    </w:p>
    <w:p w:rsidR="00CF5B16" w:rsidRPr="00295637" w:rsidRDefault="00C6214E" w:rsidP="0086268D">
      <w:pPr>
        <w:tabs>
          <w:tab w:val="left" w:pos="1080"/>
        </w:tabs>
        <w:jc w:val="both"/>
        <w:rPr>
          <w:rFonts w:ascii="Times New Roman" w:hAnsi="Times New Roman"/>
          <w:szCs w:val="24"/>
          <w:lang w:val="bs-Latn-BA"/>
        </w:rPr>
      </w:pPr>
      <w:r>
        <w:rPr>
          <w:rFonts w:ascii="Times New Roman" w:hAnsi="Times New Roman"/>
          <w:szCs w:val="24"/>
          <w:lang w:val="bs-Latn-BA"/>
        </w:rPr>
        <w:t>ФМЗ</w:t>
      </w:r>
      <w:r w:rsidR="009E4D64" w:rsidRPr="00295637">
        <w:rPr>
          <w:rFonts w:ascii="Times New Roman" w:hAnsi="Times New Roman"/>
          <w:szCs w:val="24"/>
          <w:lang w:val="bs-Latn-BA"/>
        </w:rPr>
        <w:t xml:space="preserve"> </w:t>
      </w:r>
      <w:r>
        <w:rPr>
          <w:rFonts w:ascii="Times New Roman" w:hAnsi="Times New Roman"/>
          <w:szCs w:val="24"/>
          <w:lang w:val="bs-Latn-BA"/>
        </w:rPr>
        <w:t>проводи</w:t>
      </w:r>
      <w:r w:rsidR="009E4D64" w:rsidRPr="00295637">
        <w:rPr>
          <w:rFonts w:ascii="Times New Roman" w:hAnsi="Times New Roman"/>
          <w:szCs w:val="24"/>
          <w:lang w:val="bs-Latn-BA"/>
        </w:rPr>
        <w:t xml:space="preserve"> </w:t>
      </w:r>
      <w:r>
        <w:rPr>
          <w:rFonts w:ascii="Times New Roman" w:hAnsi="Times New Roman"/>
          <w:szCs w:val="24"/>
          <w:lang w:val="bs-Latn-BA"/>
        </w:rPr>
        <w:t>три</w:t>
      </w:r>
      <w:r w:rsidR="009E4D64" w:rsidRPr="00295637">
        <w:rPr>
          <w:rFonts w:ascii="Times New Roman" w:hAnsi="Times New Roman"/>
          <w:szCs w:val="24"/>
          <w:lang w:val="bs-Latn-BA"/>
        </w:rPr>
        <w:t xml:space="preserve"> </w:t>
      </w:r>
      <w:r>
        <w:rPr>
          <w:rFonts w:ascii="Times New Roman" w:hAnsi="Times New Roman"/>
          <w:szCs w:val="24"/>
          <w:lang w:val="bs-Latn-BA"/>
        </w:rPr>
        <w:t>програма</w:t>
      </w:r>
      <w:r w:rsidR="009E4D64" w:rsidRPr="00295637">
        <w:rPr>
          <w:rFonts w:ascii="Times New Roman" w:hAnsi="Times New Roman"/>
          <w:szCs w:val="24"/>
          <w:lang w:val="bs-Latn-BA"/>
        </w:rPr>
        <w:t xml:space="preserve"> </w:t>
      </w:r>
      <w:r>
        <w:rPr>
          <w:rFonts w:ascii="Times New Roman" w:hAnsi="Times New Roman"/>
          <w:szCs w:val="24"/>
          <w:lang w:val="bs-Latn-BA"/>
        </w:rPr>
        <w:t>едукације</w:t>
      </w:r>
      <w:r w:rsidR="008D24A7" w:rsidRPr="00295637">
        <w:rPr>
          <w:rFonts w:ascii="Times New Roman" w:hAnsi="Times New Roman"/>
          <w:szCs w:val="24"/>
          <w:lang w:val="bs-Latn-BA"/>
        </w:rPr>
        <w:t xml:space="preserve"> </w:t>
      </w:r>
      <w:r>
        <w:rPr>
          <w:rFonts w:ascii="Times New Roman" w:hAnsi="Times New Roman"/>
          <w:szCs w:val="24"/>
          <w:lang w:val="bs-Latn-BA"/>
        </w:rPr>
        <w:t>радника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систему</w:t>
      </w:r>
      <w:r w:rsidR="008D24A7" w:rsidRPr="00295637">
        <w:rPr>
          <w:rFonts w:ascii="Times New Roman" w:hAnsi="Times New Roman"/>
          <w:szCs w:val="24"/>
          <w:lang w:val="bs-Latn-BA"/>
        </w:rPr>
        <w:t xml:space="preserve"> </w:t>
      </w:r>
      <w:r>
        <w:rPr>
          <w:rFonts w:ascii="Times New Roman" w:hAnsi="Times New Roman"/>
          <w:szCs w:val="24"/>
          <w:lang w:val="bs-Latn-BA"/>
        </w:rPr>
        <w:t>здравства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којима</w:t>
      </w:r>
      <w:r w:rsidR="008D24A7" w:rsidRPr="00295637">
        <w:rPr>
          <w:rFonts w:ascii="Times New Roman" w:hAnsi="Times New Roman"/>
          <w:szCs w:val="24"/>
          <w:lang w:val="bs-Latn-BA"/>
        </w:rPr>
        <w:t xml:space="preserve"> </w:t>
      </w:r>
      <w:r>
        <w:rPr>
          <w:rFonts w:ascii="Times New Roman" w:hAnsi="Times New Roman"/>
          <w:szCs w:val="24"/>
          <w:lang w:val="bs-Latn-BA"/>
        </w:rPr>
        <w:t>је</w:t>
      </w:r>
      <w:r w:rsidR="008D24A7" w:rsidRPr="00295637">
        <w:rPr>
          <w:rFonts w:ascii="Times New Roman" w:hAnsi="Times New Roman"/>
          <w:szCs w:val="24"/>
          <w:lang w:val="bs-Latn-BA"/>
        </w:rPr>
        <w:t xml:space="preserve"> </w:t>
      </w:r>
      <w:r>
        <w:rPr>
          <w:rFonts w:ascii="Times New Roman" w:hAnsi="Times New Roman"/>
          <w:szCs w:val="24"/>
          <w:lang w:val="bs-Latn-BA"/>
        </w:rPr>
        <w:t>обухваћена</w:t>
      </w:r>
      <w:r w:rsidR="008D24A7" w:rsidRPr="00295637">
        <w:rPr>
          <w:rFonts w:ascii="Times New Roman" w:hAnsi="Times New Roman"/>
          <w:szCs w:val="24"/>
          <w:lang w:val="bs-Latn-BA"/>
        </w:rPr>
        <w:t xml:space="preserve"> </w:t>
      </w:r>
      <w:r>
        <w:rPr>
          <w:rFonts w:ascii="Times New Roman" w:hAnsi="Times New Roman"/>
          <w:szCs w:val="24"/>
          <w:lang w:val="bs-Latn-BA"/>
        </w:rPr>
        <w:t>тема</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у</w:t>
      </w:r>
      <w:r w:rsidR="008D24A7" w:rsidRPr="00295637">
        <w:rPr>
          <w:rFonts w:ascii="Times New Roman" w:hAnsi="Times New Roman"/>
          <w:szCs w:val="24"/>
          <w:lang w:val="bs-Latn-BA"/>
        </w:rPr>
        <w:t xml:space="preserve"> </w:t>
      </w:r>
      <w:r>
        <w:rPr>
          <w:rFonts w:ascii="Times New Roman" w:hAnsi="Times New Roman"/>
          <w:szCs w:val="24"/>
          <w:lang w:val="bs-Latn-BA"/>
        </w:rPr>
        <w:t>породици</w:t>
      </w:r>
      <w:r w:rsidR="008D24A7" w:rsidRPr="00295637">
        <w:rPr>
          <w:rFonts w:ascii="Times New Roman" w:hAnsi="Times New Roman"/>
          <w:szCs w:val="24"/>
          <w:lang w:val="bs-Latn-BA"/>
        </w:rPr>
        <w:t xml:space="preserve">, </w:t>
      </w:r>
      <w:r>
        <w:rPr>
          <w:rFonts w:ascii="Times New Roman" w:hAnsi="Times New Roman"/>
          <w:szCs w:val="24"/>
          <w:lang w:val="bs-Latn-BA"/>
        </w:rPr>
        <w:t>насиља</w:t>
      </w:r>
      <w:r w:rsidR="008D24A7" w:rsidRPr="00295637">
        <w:rPr>
          <w:rFonts w:ascii="Times New Roman" w:hAnsi="Times New Roman"/>
          <w:szCs w:val="24"/>
          <w:lang w:val="bs-Latn-BA"/>
        </w:rPr>
        <w:t xml:space="preserve"> </w:t>
      </w:r>
      <w:r>
        <w:rPr>
          <w:rFonts w:ascii="Times New Roman" w:hAnsi="Times New Roman"/>
          <w:szCs w:val="24"/>
          <w:lang w:val="bs-Latn-BA"/>
        </w:rPr>
        <w:t>над</w:t>
      </w:r>
      <w:r w:rsidR="008D24A7" w:rsidRPr="00295637">
        <w:rPr>
          <w:rFonts w:ascii="Times New Roman" w:hAnsi="Times New Roman"/>
          <w:szCs w:val="24"/>
          <w:lang w:val="bs-Latn-BA"/>
        </w:rPr>
        <w:t xml:space="preserve"> </w:t>
      </w:r>
      <w:r>
        <w:rPr>
          <w:rFonts w:ascii="Times New Roman" w:hAnsi="Times New Roman"/>
          <w:szCs w:val="24"/>
          <w:lang w:val="bs-Latn-BA"/>
        </w:rPr>
        <w:t>женама</w:t>
      </w:r>
      <w:r w:rsidR="008D24A7"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8D24A7" w:rsidRPr="00295637">
        <w:rPr>
          <w:rFonts w:ascii="Times New Roman" w:hAnsi="Times New Roman"/>
          <w:szCs w:val="24"/>
          <w:lang w:val="bs-Latn-BA"/>
        </w:rPr>
        <w:t xml:space="preserve"> </w:t>
      </w:r>
      <w:r>
        <w:rPr>
          <w:rFonts w:ascii="Times New Roman" w:hAnsi="Times New Roman"/>
          <w:szCs w:val="24"/>
          <w:lang w:val="bs-Latn-BA"/>
        </w:rPr>
        <w:t>полова</w:t>
      </w:r>
      <w:r w:rsidR="008D24A7" w:rsidRPr="00295637">
        <w:rPr>
          <w:rFonts w:ascii="Times New Roman" w:hAnsi="Times New Roman"/>
          <w:szCs w:val="24"/>
          <w:lang w:val="bs-Latn-BA"/>
        </w:rPr>
        <w:t xml:space="preserve">. </w:t>
      </w:r>
      <w:r>
        <w:rPr>
          <w:rFonts w:ascii="Times New Roman" w:hAnsi="Times New Roman"/>
          <w:szCs w:val="24"/>
          <w:lang w:val="bs-Latn-BA"/>
        </w:rPr>
        <w:t>ФМУП</w:t>
      </w:r>
      <w:r w:rsidR="00F04EB9" w:rsidRPr="00295637">
        <w:rPr>
          <w:rFonts w:ascii="Times New Roman" w:hAnsi="Times New Roman"/>
          <w:szCs w:val="24"/>
          <w:lang w:val="bs-Latn-BA"/>
        </w:rPr>
        <w:t xml:space="preserve"> </w:t>
      </w:r>
      <w:r>
        <w:rPr>
          <w:rFonts w:ascii="Times New Roman" w:hAnsi="Times New Roman"/>
          <w:szCs w:val="24"/>
          <w:lang w:val="bs-Latn-BA"/>
        </w:rPr>
        <w:t>је</w:t>
      </w:r>
      <w:r w:rsidR="008D24A7" w:rsidRPr="00295637">
        <w:rPr>
          <w:rFonts w:ascii="Times New Roman" w:hAnsi="Times New Roman"/>
          <w:szCs w:val="24"/>
          <w:lang w:val="bs-Latn-BA"/>
        </w:rPr>
        <w:t xml:space="preserve"> </w:t>
      </w:r>
      <w:r>
        <w:rPr>
          <w:rFonts w:ascii="Times New Roman" w:hAnsi="Times New Roman"/>
          <w:szCs w:val="24"/>
          <w:lang w:val="bs-Latn-BA"/>
        </w:rPr>
        <w:t>на</w:t>
      </w:r>
      <w:r w:rsidR="008D24A7" w:rsidRPr="00295637">
        <w:rPr>
          <w:rFonts w:ascii="Times New Roman" w:hAnsi="Times New Roman"/>
          <w:szCs w:val="24"/>
          <w:lang w:val="bs-Latn-BA"/>
        </w:rPr>
        <w:t xml:space="preserve"> </w:t>
      </w:r>
      <w:r>
        <w:rPr>
          <w:rFonts w:ascii="Times New Roman" w:hAnsi="Times New Roman"/>
          <w:bCs/>
          <w:szCs w:val="24"/>
          <w:lang w:val="bs-Latn-BA"/>
        </w:rPr>
        <w:t>Полицијској</w:t>
      </w:r>
      <w:r w:rsidR="008D24A7" w:rsidRPr="00295637">
        <w:rPr>
          <w:rFonts w:ascii="Times New Roman" w:hAnsi="Times New Roman"/>
          <w:bCs/>
          <w:szCs w:val="24"/>
          <w:lang w:val="bs-Latn-BA"/>
        </w:rPr>
        <w:t xml:space="preserve"> </w:t>
      </w:r>
      <w:r>
        <w:rPr>
          <w:rFonts w:ascii="Times New Roman" w:hAnsi="Times New Roman"/>
          <w:bCs/>
          <w:szCs w:val="24"/>
          <w:lang w:val="bs-Latn-BA"/>
        </w:rPr>
        <w:t>академији</w:t>
      </w:r>
      <w:r w:rsidR="008D24A7" w:rsidRPr="00295637">
        <w:rPr>
          <w:rFonts w:ascii="Times New Roman" w:hAnsi="Times New Roman"/>
          <w:szCs w:val="24"/>
          <w:lang w:val="bs-Latn-BA"/>
        </w:rPr>
        <w:t xml:space="preserve"> </w:t>
      </w:r>
      <w:r>
        <w:rPr>
          <w:rFonts w:ascii="Times New Roman" w:hAnsi="Times New Roman"/>
          <w:szCs w:val="24"/>
          <w:lang w:val="bs-Latn-BA"/>
        </w:rPr>
        <w:t>од</w:t>
      </w:r>
      <w:r w:rsidR="008D24A7" w:rsidRPr="00295637">
        <w:rPr>
          <w:rFonts w:ascii="Times New Roman" w:hAnsi="Times New Roman"/>
          <w:szCs w:val="24"/>
          <w:lang w:val="bs-Latn-BA"/>
        </w:rPr>
        <w:t xml:space="preserve"> </w:t>
      </w:r>
      <w:r>
        <w:rPr>
          <w:rFonts w:ascii="Times New Roman" w:hAnsi="Times New Roman"/>
          <w:szCs w:val="24"/>
          <w:lang w:val="bs-Latn-BA"/>
        </w:rPr>
        <w:t>новембра</w:t>
      </w:r>
      <w:r w:rsidR="008D24A7" w:rsidRPr="00295637">
        <w:rPr>
          <w:rFonts w:ascii="Times New Roman" w:hAnsi="Times New Roman"/>
          <w:szCs w:val="24"/>
          <w:lang w:val="bs-Latn-BA"/>
        </w:rPr>
        <w:t xml:space="preserve"> 2024. </w:t>
      </w:r>
      <w:r>
        <w:rPr>
          <w:rFonts w:ascii="Times New Roman" w:hAnsi="Times New Roman"/>
          <w:szCs w:val="24"/>
          <w:lang w:val="bs-Latn-BA"/>
        </w:rPr>
        <w:t>године</w:t>
      </w:r>
      <w:r w:rsidR="008D24A7" w:rsidRPr="00295637">
        <w:rPr>
          <w:rFonts w:ascii="Times New Roman" w:hAnsi="Times New Roman"/>
          <w:szCs w:val="24"/>
          <w:lang w:val="bs-Latn-BA"/>
        </w:rPr>
        <w:t xml:space="preserve"> </w:t>
      </w:r>
      <w:r>
        <w:rPr>
          <w:rFonts w:ascii="Times New Roman" w:hAnsi="Times New Roman"/>
          <w:szCs w:val="24"/>
          <w:lang w:val="bs-Latn-BA"/>
        </w:rPr>
        <w:t>увео</w:t>
      </w:r>
      <w:r w:rsidR="008D24A7" w:rsidRPr="00295637">
        <w:rPr>
          <w:rFonts w:ascii="Times New Roman" w:hAnsi="Times New Roman"/>
          <w:szCs w:val="24"/>
          <w:lang w:val="bs-Latn-BA"/>
        </w:rPr>
        <w:t xml:space="preserve"> </w:t>
      </w:r>
      <w:r>
        <w:rPr>
          <w:rFonts w:ascii="Times New Roman" w:hAnsi="Times New Roman"/>
          <w:szCs w:val="24"/>
          <w:lang w:val="bs-Latn-BA"/>
        </w:rPr>
        <w:t>нови</w:t>
      </w:r>
      <w:r w:rsidR="008D24A7" w:rsidRPr="00295637">
        <w:rPr>
          <w:rFonts w:ascii="Times New Roman" w:hAnsi="Times New Roman"/>
          <w:szCs w:val="24"/>
          <w:lang w:val="bs-Latn-BA"/>
        </w:rPr>
        <w:t xml:space="preserve"> </w:t>
      </w:r>
      <w:r>
        <w:rPr>
          <w:rFonts w:ascii="Times New Roman" w:hAnsi="Times New Roman"/>
          <w:szCs w:val="24"/>
          <w:lang w:val="bs-Latn-BA"/>
        </w:rPr>
        <w:t>наставни</w:t>
      </w:r>
      <w:r w:rsidR="008D24A7" w:rsidRPr="00295637">
        <w:rPr>
          <w:rFonts w:ascii="Times New Roman" w:hAnsi="Times New Roman"/>
          <w:szCs w:val="24"/>
          <w:lang w:val="bs-Latn-BA"/>
        </w:rPr>
        <w:t xml:space="preserve"> </w:t>
      </w:r>
      <w:r>
        <w:rPr>
          <w:rFonts w:ascii="Times New Roman" w:hAnsi="Times New Roman"/>
          <w:szCs w:val="24"/>
          <w:lang w:val="bs-Latn-BA"/>
        </w:rPr>
        <w:t>предмет</w:t>
      </w:r>
      <w:r w:rsidR="008D24A7" w:rsidRPr="00295637">
        <w:rPr>
          <w:rFonts w:ascii="Times New Roman" w:hAnsi="Times New Roman"/>
          <w:szCs w:val="24"/>
          <w:lang w:val="bs-Latn-BA"/>
        </w:rPr>
        <w:t xml:space="preserve"> </w:t>
      </w:r>
      <w:r>
        <w:rPr>
          <w:rFonts w:ascii="Times New Roman" w:hAnsi="Times New Roman"/>
          <w:szCs w:val="24"/>
          <w:lang w:val="bs-Latn-BA"/>
        </w:rPr>
        <w:t>под</w:t>
      </w:r>
      <w:r w:rsidR="008D24A7" w:rsidRPr="00295637">
        <w:rPr>
          <w:rFonts w:ascii="Times New Roman" w:hAnsi="Times New Roman"/>
          <w:szCs w:val="24"/>
          <w:lang w:val="bs-Latn-BA"/>
        </w:rPr>
        <w:t xml:space="preserve"> </w:t>
      </w:r>
      <w:r>
        <w:rPr>
          <w:rFonts w:ascii="Times New Roman" w:hAnsi="Times New Roman"/>
          <w:szCs w:val="24"/>
          <w:lang w:val="bs-Latn-BA"/>
        </w:rPr>
        <w:t>називом</w:t>
      </w:r>
      <w:r w:rsidR="008D24A7" w:rsidRPr="00295637">
        <w:rPr>
          <w:rFonts w:ascii="Times New Roman" w:hAnsi="Times New Roman"/>
          <w:szCs w:val="24"/>
          <w:lang w:val="bs-Latn-BA"/>
        </w:rPr>
        <w:t xml:space="preserve"> „</w:t>
      </w:r>
      <w:r>
        <w:rPr>
          <w:rFonts w:ascii="Times New Roman" w:hAnsi="Times New Roman"/>
          <w:bCs/>
          <w:szCs w:val="24"/>
          <w:lang w:val="bs-Latn-BA"/>
        </w:rPr>
        <w:t>Насиље</w:t>
      </w:r>
      <w:r w:rsidR="008D24A7" w:rsidRPr="00295637">
        <w:rPr>
          <w:rFonts w:ascii="Times New Roman" w:hAnsi="Times New Roman"/>
          <w:bCs/>
          <w:szCs w:val="24"/>
          <w:lang w:val="bs-Latn-BA"/>
        </w:rPr>
        <w:t xml:space="preserve"> </w:t>
      </w:r>
      <w:r>
        <w:rPr>
          <w:rFonts w:ascii="Times New Roman" w:hAnsi="Times New Roman"/>
          <w:bCs/>
          <w:szCs w:val="24"/>
          <w:lang w:val="bs-Latn-BA"/>
        </w:rPr>
        <w:t>у</w:t>
      </w:r>
      <w:r w:rsidR="008D24A7" w:rsidRPr="00295637">
        <w:rPr>
          <w:rFonts w:ascii="Times New Roman" w:hAnsi="Times New Roman"/>
          <w:bCs/>
          <w:szCs w:val="24"/>
          <w:lang w:val="bs-Latn-BA"/>
        </w:rPr>
        <w:t xml:space="preserve"> </w:t>
      </w:r>
      <w:r>
        <w:rPr>
          <w:rFonts w:ascii="Times New Roman" w:hAnsi="Times New Roman"/>
          <w:bCs/>
          <w:szCs w:val="24"/>
          <w:lang w:val="bs-Latn-BA"/>
        </w:rPr>
        <w:t>породици</w:t>
      </w:r>
      <w:r w:rsidR="008D24A7" w:rsidRPr="00295637">
        <w:rPr>
          <w:rFonts w:ascii="Times New Roman" w:hAnsi="Times New Roman"/>
          <w:bCs/>
          <w:szCs w:val="24"/>
          <w:lang w:val="bs-Latn-BA"/>
        </w:rPr>
        <w:t xml:space="preserve">, </w:t>
      </w:r>
      <w:r>
        <w:rPr>
          <w:rFonts w:ascii="Times New Roman" w:hAnsi="Times New Roman"/>
          <w:bCs/>
          <w:szCs w:val="24"/>
          <w:lang w:val="bs-Latn-BA"/>
        </w:rPr>
        <w:t>малољетничка</w:t>
      </w:r>
      <w:r w:rsidR="008D24A7" w:rsidRPr="00295637">
        <w:rPr>
          <w:rFonts w:ascii="Times New Roman" w:hAnsi="Times New Roman"/>
          <w:bCs/>
          <w:szCs w:val="24"/>
          <w:lang w:val="bs-Latn-BA"/>
        </w:rPr>
        <w:t xml:space="preserve"> </w:t>
      </w:r>
      <w:r>
        <w:rPr>
          <w:rFonts w:ascii="Times New Roman" w:hAnsi="Times New Roman"/>
          <w:bCs/>
          <w:szCs w:val="24"/>
          <w:lang w:val="bs-Latn-BA"/>
        </w:rPr>
        <w:t>делинквенција</w:t>
      </w:r>
      <w:r w:rsidR="008D24A7" w:rsidRPr="00295637">
        <w:rPr>
          <w:rFonts w:ascii="Times New Roman" w:hAnsi="Times New Roman"/>
          <w:bCs/>
          <w:szCs w:val="24"/>
          <w:lang w:val="bs-Latn-BA"/>
        </w:rPr>
        <w:t xml:space="preserve"> </w:t>
      </w:r>
      <w:r>
        <w:rPr>
          <w:rFonts w:ascii="Times New Roman" w:hAnsi="Times New Roman"/>
          <w:bCs/>
          <w:szCs w:val="24"/>
          <w:lang w:val="bs-Latn-BA"/>
        </w:rPr>
        <w:t>и</w:t>
      </w:r>
      <w:r w:rsidR="008D24A7" w:rsidRPr="00295637">
        <w:rPr>
          <w:rFonts w:ascii="Times New Roman" w:hAnsi="Times New Roman"/>
          <w:bCs/>
          <w:szCs w:val="24"/>
          <w:lang w:val="bs-Latn-BA"/>
        </w:rPr>
        <w:t xml:space="preserve"> </w:t>
      </w:r>
      <w:r>
        <w:rPr>
          <w:rFonts w:ascii="Times New Roman" w:hAnsi="Times New Roman"/>
          <w:bCs/>
          <w:szCs w:val="24"/>
          <w:lang w:val="bs-Latn-BA"/>
        </w:rPr>
        <w:t>родно</w:t>
      </w:r>
      <w:r w:rsidR="008D24A7" w:rsidRPr="00295637">
        <w:rPr>
          <w:rFonts w:ascii="Times New Roman" w:hAnsi="Times New Roman"/>
          <w:bCs/>
          <w:szCs w:val="24"/>
          <w:lang w:val="bs-Latn-BA"/>
        </w:rPr>
        <w:t xml:space="preserve"> </w:t>
      </w:r>
      <w:r>
        <w:rPr>
          <w:rFonts w:ascii="Times New Roman" w:hAnsi="Times New Roman"/>
          <w:bCs/>
          <w:szCs w:val="24"/>
          <w:lang w:val="bs-Latn-BA"/>
        </w:rPr>
        <w:t>засновано</w:t>
      </w:r>
      <w:r w:rsidR="008D24A7" w:rsidRPr="00295637">
        <w:rPr>
          <w:rFonts w:ascii="Times New Roman" w:hAnsi="Times New Roman"/>
          <w:bCs/>
          <w:szCs w:val="24"/>
          <w:lang w:val="bs-Latn-BA"/>
        </w:rPr>
        <w:t xml:space="preserve"> </w:t>
      </w:r>
      <w:r>
        <w:rPr>
          <w:rFonts w:ascii="Times New Roman" w:hAnsi="Times New Roman"/>
          <w:bCs/>
          <w:szCs w:val="24"/>
          <w:lang w:val="bs-Latn-BA"/>
        </w:rPr>
        <w:t>насиље</w:t>
      </w:r>
      <w:r w:rsidR="008D24A7" w:rsidRPr="00295637">
        <w:rPr>
          <w:rFonts w:ascii="Times New Roman" w:hAnsi="Times New Roman"/>
          <w:bCs/>
          <w:szCs w:val="24"/>
          <w:lang w:val="bs-Latn-BA"/>
        </w:rPr>
        <w:t xml:space="preserve">“. </w:t>
      </w:r>
      <w:r>
        <w:rPr>
          <w:rFonts w:ascii="Times New Roman" w:hAnsi="Times New Roman"/>
          <w:szCs w:val="24"/>
          <w:lang w:val="bs-Latn-BA"/>
        </w:rPr>
        <w:t>У</w:t>
      </w:r>
      <w:r w:rsidR="008E2F8D" w:rsidRPr="00295637">
        <w:rPr>
          <w:rFonts w:ascii="Times New Roman" w:hAnsi="Times New Roman"/>
          <w:szCs w:val="24"/>
          <w:lang w:val="bs-Latn-BA"/>
        </w:rPr>
        <w:t xml:space="preserve"> </w:t>
      </w:r>
      <w:r>
        <w:rPr>
          <w:rFonts w:ascii="Times New Roman" w:hAnsi="Times New Roman"/>
          <w:szCs w:val="24"/>
          <w:lang w:val="bs-Latn-BA"/>
        </w:rPr>
        <w:t>оквиру</w:t>
      </w:r>
      <w:r w:rsidR="008E2F8D" w:rsidRPr="00295637">
        <w:rPr>
          <w:rFonts w:ascii="Times New Roman" w:hAnsi="Times New Roman"/>
          <w:szCs w:val="24"/>
          <w:lang w:val="bs-Latn-BA"/>
        </w:rPr>
        <w:t xml:space="preserve"> </w:t>
      </w:r>
      <w:r>
        <w:rPr>
          <w:rFonts w:ascii="Times New Roman" w:hAnsi="Times New Roman"/>
          <w:szCs w:val="24"/>
          <w:lang w:val="bs-Latn-BA"/>
        </w:rPr>
        <w:t>седам</w:t>
      </w:r>
      <w:r w:rsidR="008D24A7" w:rsidRPr="00295637">
        <w:rPr>
          <w:rFonts w:ascii="Times New Roman" w:hAnsi="Times New Roman"/>
          <w:szCs w:val="24"/>
          <w:lang w:val="bs-Latn-BA"/>
        </w:rPr>
        <w:t xml:space="preserve"> </w:t>
      </w:r>
      <w:r>
        <w:rPr>
          <w:rFonts w:ascii="Times New Roman" w:hAnsi="Times New Roman"/>
          <w:szCs w:val="24"/>
          <w:lang w:val="bs-Latn-BA"/>
        </w:rPr>
        <w:t>програма</w:t>
      </w:r>
      <w:r w:rsidR="008D24A7" w:rsidRPr="00295637">
        <w:rPr>
          <w:rFonts w:ascii="Times New Roman" w:hAnsi="Times New Roman"/>
          <w:szCs w:val="24"/>
          <w:lang w:val="bs-Latn-BA"/>
        </w:rPr>
        <w:t xml:space="preserve"> </w:t>
      </w:r>
      <w:r>
        <w:rPr>
          <w:rFonts w:ascii="Times New Roman" w:hAnsi="Times New Roman"/>
          <w:szCs w:val="24"/>
          <w:lang w:val="bs-Latn-BA"/>
        </w:rPr>
        <w:t>реализ</w:t>
      </w:r>
      <w:r w:rsidR="00D8279B">
        <w:rPr>
          <w:rFonts w:ascii="Times New Roman" w:hAnsi="Times New Roman"/>
          <w:szCs w:val="24"/>
          <w:lang w:val="sr-Cyrl-BA"/>
        </w:rPr>
        <w:t>овано</w:t>
      </w:r>
      <w:r w:rsidR="008D24A7" w:rsidRPr="00295637">
        <w:rPr>
          <w:rFonts w:ascii="Times New Roman" w:hAnsi="Times New Roman"/>
          <w:szCs w:val="24"/>
          <w:lang w:val="bs-Latn-BA"/>
        </w:rPr>
        <w:t xml:space="preserve"> </w:t>
      </w:r>
      <w:r>
        <w:rPr>
          <w:rFonts w:ascii="Times New Roman" w:hAnsi="Times New Roman"/>
          <w:szCs w:val="24"/>
          <w:lang w:val="bs-Latn-BA"/>
        </w:rPr>
        <w:t>је</w:t>
      </w:r>
      <w:r w:rsidR="008D24A7" w:rsidRPr="00295637">
        <w:rPr>
          <w:rFonts w:ascii="Times New Roman" w:hAnsi="Times New Roman"/>
          <w:szCs w:val="24"/>
          <w:lang w:val="bs-Latn-BA"/>
        </w:rPr>
        <w:t xml:space="preserve"> 13 </w:t>
      </w:r>
      <w:r>
        <w:rPr>
          <w:rFonts w:ascii="Times New Roman" w:hAnsi="Times New Roman"/>
          <w:szCs w:val="24"/>
          <w:lang w:val="bs-Latn-BA"/>
        </w:rPr>
        <w:t>обука</w:t>
      </w:r>
      <w:r w:rsidR="008D24A7" w:rsidRPr="00295637">
        <w:rPr>
          <w:rFonts w:ascii="Times New Roman" w:hAnsi="Times New Roman"/>
          <w:szCs w:val="24"/>
          <w:lang w:val="bs-Latn-BA"/>
        </w:rPr>
        <w:t xml:space="preserve"> </w:t>
      </w:r>
      <w:r>
        <w:rPr>
          <w:rFonts w:ascii="Times New Roman" w:hAnsi="Times New Roman"/>
          <w:szCs w:val="24"/>
          <w:lang w:val="bs-Latn-BA"/>
        </w:rPr>
        <w:t>на</w:t>
      </w:r>
      <w:r w:rsidR="008D24A7" w:rsidRPr="00295637">
        <w:rPr>
          <w:rFonts w:ascii="Times New Roman" w:hAnsi="Times New Roman"/>
          <w:szCs w:val="24"/>
          <w:lang w:val="bs-Latn-BA"/>
        </w:rPr>
        <w:t xml:space="preserve"> </w:t>
      </w:r>
      <w:r>
        <w:rPr>
          <w:rFonts w:ascii="Times New Roman" w:hAnsi="Times New Roman"/>
          <w:szCs w:val="24"/>
          <w:lang w:val="bs-Latn-BA"/>
        </w:rPr>
        <w:t>којима</w:t>
      </w:r>
      <w:r w:rsidR="008D24A7" w:rsidRPr="00295637">
        <w:rPr>
          <w:rFonts w:ascii="Times New Roman" w:hAnsi="Times New Roman"/>
          <w:szCs w:val="24"/>
          <w:lang w:val="bs-Latn-BA"/>
        </w:rPr>
        <w:t xml:space="preserve"> </w:t>
      </w:r>
      <w:r>
        <w:rPr>
          <w:rFonts w:ascii="Times New Roman" w:hAnsi="Times New Roman"/>
          <w:szCs w:val="24"/>
          <w:lang w:val="bs-Latn-BA"/>
        </w:rPr>
        <w:t>је</w:t>
      </w:r>
      <w:r w:rsidR="008D24A7" w:rsidRPr="00295637">
        <w:rPr>
          <w:rFonts w:ascii="Times New Roman" w:hAnsi="Times New Roman"/>
          <w:szCs w:val="24"/>
          <w:lang w:val="bs-Latn-BA"/>
        </w:rPr>
        <w:t xml:space="preserve"> </w:t>
      </w:r>
      <w:r>
        <w:rPr>
          <w:rFonts w:ascii="Times New Roman" w:hAnsi="Times New Roman"/>
          <w:szCs w:val="24"/>
          <w:lang w:val="bs-Latn-BA"/>
        </w:rPr>
        <w:t>присуствовало</w:t>
      </w:r>
      <w:r w:rsidR="008D24A7" w:rsidRPr="00295637">
        <w:rPr>
          <w:rFonts w:ascii="Times New Roman" w:hAnsi="Times New Roman"/>
          <w:szCs w:val="24"/>
          <w:lang w:val="bs-Latn-BA"/>
        </w:rPr>
        <w:t xml:space="preserve"> 651 </w:t>
      </w:r>
      <w:r>
        <w:rPr>
          <w:rFonts w:ascii="Times New Roman" w:hAnsi="Times New Roman"/>
          <w:szCs w:val="24"/>
          <w:lang w:val="bs-Latn-BA"/>
        </w:rPr>
        <w:t>полазника</w:t>
      </w:r>
      <w:r w:rsidR="008D24A7" w:rsidRPr="00295637">
        <w:rPr>
          <w:rFonts w:ascii="Times New Roman" w:hAnsi="Times New Roman"/>
          <w:szCs w:val="24"/>
          <w:lang w:val="bs-Latn-BA"/>
        </w:rPr>
        <w:t xml:space="preserve"> (89% </w:t>
      </w:r>
      <w:r>
        <w:rPr>
          <w:rFonts w:ascii="Times New Roman" w:hAnsi="Times New Roman"/>
          <w:szCs w:val="24"/>
          <w:lang w:val="bs-Latn-BA"/>
        </w:rPr>
        <w:t>мушкараца</w:t>
      </w:r>
      <w:r w:rsidR="008D24A7" w:rsidRPr="00295637">
        <w:rPr>
          <w:rFonts w:ascii="Times New Roman" w:hAnsi="Times New Roman"/>
          <w:szCs w:val="24"/>
          <w:lang w:val="bs-Latn-BA"/>
        </w:rPr>
        <w:t xml:space="preserve"> </w:t>
      </w:r>
      <w:r>
        <w:rPr>
          <w:rFonts w:ascii="Times New Roman" w:hAnsi="Times New Roman"/>
          <w:szCs w:val="24"/>
          <w:lang w:val="bs-Latn-BA"/>
        </w:rPr>
        <w:t>и</w:t>
      </w:r>
      <w:r w:rsidR="008D24A7" w:rsidRPr="00295637">
        <w:rPr>
          <w:rFonts w:ascii="Times New Roman" w:hAnsi="Times New Roman"/>
          <w:szCs w:val="24"/>
          <w:lang w:val="bs-Latn-BA"/>
        </w:rPr>
        <w:t xml:space="preserve"> 11% </w:t>
      </w:r>
      <w:r>
        <w:rPr>
          <w:rFonts w:ascii="Times New Roman" w:hAnsi="Times New Roman"/>
          <w:szCs w:val="24"/>
          <w:lang w:val="bs-Latn-BA"/>
        </w:rPr>
        <w:t>жена</w:t>
      </w:r>
      <w:r w:rsidR="008D24A7" w:rsidRPr="00295637">
        <w:rPr>
          <w:rFonts w:ascii="Times New Roman" w:hAnsi="Times New Roman"/>
          <w:szCs w:val="24"/>
          <w:lang w:val="bs-Latn-BA"/>
        </w:rPr>
        <w:t xml:space="preserve">). </w:t>
      </w:r>
    </w:p>
    <w:p w:rsidR="00CF5B16" w:rsidRPr="00295637" w:rsidRDefault="00CF5B16" w:rsidP="0086268D">
      <w:pPr>
        <w:tabs>
          <w:tab w:val="left" w:pos="1080"/>
        </w:tabs>
        <w:jc w:val="both"/>
        <w:rPr>
          <w:rFonts w:ascii="Times New Roman" w:hAnsi="Times New Roman"/>
          <w:szCs w:val="24"/>
          <w:lang w:val="bs-Latn-BA"/>
        </w:rPr>
      </w:pPr>
    </w:p>
    <w:p w:rsidR="00C14482"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Републици</w:t>
      </w:r>
      <w:r w:rsidR="00C14482" w:rsidRPr="00295637">
        <w:rPr>
          <w:rFonts w:ascii="Times New Roman" w:hAnsi="Times New Roman"/>
          <w:lang w:val="sr-Latn-BA"/>
        </w:rPr>
        <w:t xml:space="preserve"> </w:t>
      </w:r>
      <w:r>
        <w:rPr>
          <w:rFonts w:ascii="Times New Roman" w:hAnsi="Times New Roman"/>
          <w:lang w:val="sr-Latn-BA"/>
        </w:rPr>
        <w:t>Српској</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континуитету</w:t>
      </w:r>
      <w:r w:rsidR="00C14482" w:rsidRPr="00295637">
        <w:rPr>
          <w:rFonts w:ascii="Times New Roman" w:hAnsi="Times New Roman"/>
          <w:lang w:val="sr-Latn-BA"/>
        </w:rPr>
        <w:t xml:space="preserve"> </w:t>
      </w:r>
      <w:r>
        <w:rPr>
          <w:rFonts w:ascii="Times New Roman" w:hAnsi="Times New Roman"/>
          <w:lang w:val="sr-Latn-BA"/>
        </w:rPr>
        <w:t>се</w:t>
      </w:r>
      <w:r w:rsidR="00C14482" w:rsidRPr="00295637">
        <w:rPr>
          <w:rFonts w:ascii="Times New Roman" w:hAnsi="Times New Roman"/>
          <w:lang w:val="sr-Latn-BA"/>
        </w:rPr>
        <w:t xml:space="preserve"> </w:t>
      </w:r>
      <w:r w:rsidR="00D8279B">
        <w:rPr>
          <w:rFonts w:ascii="Times New Roman" w:hAnsi="Times New Roman"/>
          <w:lang w:val="sr-Cyrl-BA"/>
        </w:rPr>
        <w:t>с</w:t>
      </w:r>
      <w:r>
        <w:rPr>
          <w:rFonts w:ascii="Times New Roman" w:hAnsi="Times New Roman"/>
          <w:lang w:val="sr-Latn-BA"/>
        </w:rPr>
        <w:t>проводе</w:t>
      </w:r>
      <w:r w:rsidR="00C14482" w:rsidRPr="00295637">
        <w:rPr>
          <w:rFonts w:ascii="Times New Roman" w:hAnsi="Times New Roman"/>
          <w:lang w:val="sr-Latn-BA"/>
        </w:rPr>
        <w:t xml:space="preserve"> </w:t>
      </w:r>
      <w:r>
        <w:rPr>
          <w:rFonts w:ascii="Times New Roman" w:hAnsi="Times New Roman"/>
          <w:lang w:val="sr-Latn-BA"/>
        </w:rPr>
        <w:t>специјалистичке</w:t>
      </w:r>
      <w:r w:rsidR="00C14482" w:rsidRPr="00295637">
        <w:rPr>
          <w:rFonts w:ascii="Times New Roman" w:hAnsi="Times New Roman"/>
          <w:lang w:val="sr-Latn-BA"/>
        </w:rPr>
        <w:t xml:space="preserve"> </w:t>
      </w:r>
      <w:r>
        <w:rPr>
          <w:rFonts w:ascii="Times New Roman" w:hAnsi="Times New Roman"/>
          <w:lang w:val="sr-Latn-BA"/>
        </w:rPr>
        <w:t>обуке</w:t>
      </w:r>
      <w:r w:rsidR="00C14482" w:rsidRPr="00295637">
        <w:rPr>
          <w:rFonts w:ascii="Times New Roman" w:hAnsi="Times New Roman"/>
          <w:lang w:val="sr-Latn-BA"/>
        </w:rPr>
        <w:t xml:space="preserve"> </w:t>
      </w:r>
      <w:r>
        <w:rPr>
          <w:rFonts w:ascii="Times New Roman" w:hAnsi="Times New Roman"/>
          <w:lang w:val="sr-Latn-BA"/>
        </w:rPr>
        <w:t>полицијских</w:t>
      </w:r>
      <w:r w:rsidR="00C14482" w:rsidRPr="00295637">
        <w:rPr>
          <w:rFonts w:ascii="Times New Roman" w:hAnsi="Times New Roman"/>
          <w:lang w:val="sr-Latn-BA"/>
        </w:rPr>
        <w:t xml:space="preserve"> </w:t>
      </w:r>
      <w:r>
        <w:rPr>
          <w:rFonts w:ascii="Times New Roman" w:hAnsi="Times New Roman"/>
          <w:lang w:val="sr-Latn-BA"/>
        </w:rPr>
        <w:t>службеника</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поступање</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случајевима</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породици</w:t>
      </w:r>
      <w:r w:rsidR="00470069">
        <w:rPr>
          <w:rFonts w:ascii="Times New Roman" w:hAnsi="Times New Roman"/>
          <w:lang w:val="sr-Latn-BA"/>
        </w:rPr>
        <w:t xml:space="preserve">, </w:t>
      </w:r>
      <w:r>
        <w:rPr>
          <w:rFonts w:ascii="Times New Roman" w:hAnsi="Times New Roman"/>
          <w:lang w:val="sr-Latn-BA"/>
        </w:rPr>
        <w:t>са</w:t>
      </w:r>
      <w:r w:rsidR="00C14482" w:rsidRPr="00295637">
        <w:rPr>
          <w:rFonts w:ascii="Times New Roman" w:hAnsi="Times New Roman"/>
          <w:lang w:val="sr-Latn-BA"/>
        </w:rPr>
        <w:t xml:space="preserve"> </w:t>
      </w:r>
      <w:r>
        <w:rPr>
          <w:rFonts w:ascii="Times New Roman" w:hAnsi="Times New Roman"/>
          <w:lang w:val="sr-Latn-BA"/>
        </w:rPr>
        <w:t>посебном</w:t>
      </w:r>
      <w:r w:rsidR="00C14482" w:rsidRPr="00295637">
        <w:rPr>
          <w:rFonts w:ascii="Times New Roman" w:hAnsi="Times New Roman"/>
          <w:lang w:val="sr-Latn-BA"/>
        </w:rPr>
        <w:t xml:space="preserve"> </w:t>
      </w:r>
      <w:r>
        <w:rPr>
          <w:rFonts w:ascii="Times New Roman" w:hAnsi="Times New Roman"/>
          <w:lang w:val="sr-Latn-BA"/>
        </w:rPr>
        <w:t>пажњом</w:t>
      </w:r>
      <w:r w:rsidR="00C14482" w:rsidRPr="00295637">
        <w:rPr>
          <w:rFonts w:ascii="Times New Roman" w:hAnsi="Times New Roman"/>
          <w:lang w:val="sr-Latn-BA"/>
        </w:rPr>
        <w:t xml:space="preserve"> </w:t>
      </w:r>
      <w:r>
        <w:rPr>
          <w:rFonts w:ascii="Times New Roman" w:hAnsi="Times New Roman"/>
          <w:lang w:val="sr-Latn-BA"/>
        </w:rPr>
        <w:t>на</w:t>
      </w:r>
      <w:r w:rsidR="00C14482" w:rsidRPr="00295637">
        <w:rPr>
          <w:rFonts w:ascii="Times New Roman" w:hAnsi="Times New Roman"/>
          <w:lang w:val="sr-Latn-BA"/>
        </w:rPr>
        <w:t xml:space="preserve"> </w:t>
      </w:r>
      <w:r>
        <w:rPr>
          <w:rFonts w:ascii="Times New Roman" w:hAnsi="Times New Roman"/>
          <w:lang w:val="sr-Latn-BA"/>
        </w:rPr>
        <w:t>вршење</w:t>
      </w:r>
      <w:r w:rsidR="00C14482" w:rsidRPr="00295637">
        <w:rPr>
          <w:rFonts w:ascii="Times New Roman" w:hAnsi="Times New Roman"/>
          <w:lang w:val="sr-Latn-BA"/>
        </w:rPr>
        <w:t xml:space="preserve"> </w:t>
      </w:r>
      <w:r>
        <w:rPr>
          <w:rFonts w:ascii="Times New Roman" w:hAnsi="Times New Roman"/>
          <w:lang w:val="sr-Latn-BA"/>
        </w:rPr>
        <w:t>процјене</w:t>
      </w:r>
      <w:r w:rsidR="00C14482" w:rsidRPr="00295637">
        <w:rPr>
          <w:rFonts w:ascii="Times New Roman" w:hAnsi="Times New Roman"/>
          <w:lang w:val="sr-Latn-BA"/>
        </w:rPr>
        <w:t xml:space="preserve"> </w:t>
      </w:r>
      <w:r>
        <w:rPr>
          <w:rFonts w:ascii="Times New Roman" w:hAnsi="Times New Roman"/>
          <w:lang w:val="sr-Latn-BA"/>
        </w:rPr>
        <w:t>ризика</w:t>
      </w:r>
      <w:r w:rsidR="00C14482" w:rsidRPr="00295637">
        <w:rPr>
          <w:rFonts w:ascii="Times New Roman" w:hAnsi="Times New Roman"/>
          <w:lang w:val="sr-Latn-BA"/>
        </w:rPr>
        <w:t xml:space="preserve"> </w:t>
      </w:r>
      <w:r>
        <w:rPr>
          <w:rFonts w:ascii="Times New Roman" w:hAnsi="Times New Roman"/>
          <w:lang w:val="sr-Latn-BA"/>
        </w:rPr>
        <w:t>код</w:t>
      </w:r>
      <w:r w:rsidR="00C14482" w:rsidRPr="00295637">
        <w:rPr>
          <w:rFonts w:ascii="Times New Roman" w:hAnsi="Times New Roman"/>
          <w:lang w:val="sr-Latn-BA"/>
        </w:rPr>
        <w:t xml:space="preserve"> </w:t>
      </w:r>
      <w:r>
        <w:rPr>
          <w:rFonts w:ascii="Times New Roman" w:hAnsi="Times New Roman"/>
          <w:lang w:val="sr-Latn-BA"/>
        </w:rPr>
        <w:t>починилаца</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породици</w:t>
      </w:r>
      <w:r w:rsidR="00C14482" w:rsidRPr="00295637">
        <w:rPr>
          <w:rFonts w:ascii="Times New Roman" w:hAnsi="Times New Roman"/>
          <w:lang w:val="sr-Latn-BA"/>
        </w:rPr>
        <w:t xml:space="preserve"> </w:t>
      </w:r>
      <w:r>
        <w:rPr>
          <w:rFonts w:ascii="Times New Roman" w:hAnsi="Times New Roman"/>
          <w:lang w:val="sr-Latn-BA"/>
        </w:rPr>
        <w:t>од</w:t>
      </w:r>
      <w:r w:rsidR="00C14482" w:rsidRPr="00295637">
        <w:rPr>
          <w:rFonts w:ascii="Times New Roman" w:hAnsi="Times New Roman"/>
          <w:lang w:val="sr-Latn-BA"/>
        </w:rPr>
        <w:t xml:space="preserve"> </w:t>
      </w:r>
      <w:r>
        <w:rPr>
          <w:rFonts w:ascii="Times New Roman" w:hAnsi="Times New Roman"/>
          <w:lang w:val="sr-Latn-BA"/>
        </w:rPr>
        <w:t>стране</w:t>
      </w:r>
      <w:r w:rsidR="00C14482" w:rsidRPr="00295637">
        <w:rPr>
          <w:rFonts w:ascii="Times New Roman" w:hAnsi="Times New Roman"/>
          <w:lang w:val="sr-Latn-BA"/>
        </w:rPr>
        <w:t xml:space="preserve"> </w:t>
      </w:r>
      <w:r>
        <w:rPr>
          <w:rFonts w:ascii="Times New Roman" w:hAnsi="Times New Roman"/>
          <w:lang w:val="sr-Latn-BA"/>
        </w:rPr>
        <w:t>полицијских</w:t>
      </w:r>
      <w:r w:rsidR="00C14482" w:rsidRPr="00295637">
        <w:rPr>
          <w:rFonts w:ascii="Times New Roman" w:hAnsi="Times New Roman"/>
          <w:lang w:val="sr-Latn-BA"/>
        </w:rPr>
        <w:t xml:space="preserve"> </w:t>
      </w:r>
      <w:r>
        <w:rPr>
          <w:rFonts w:ascii="Times New Roman" w:hAnsi="Times New Roman"/>
          <w:lang w:val="sr-Latn-BA"/>
        </w:rPr>
        <w:t>службеника</w:t>
      </w:r>
      <w:r w:rsidR="00C14482" w:rsidRPr="00295637">
        <w:rPr>
          <w:rFonts w:ascii="Times New Roman" w:hAnsi="Times New Roman"/>
          <w:lang w:val="sr-Latn-BA"/>
        </w:rPr>
        <w:t xml:space="preserve">. </w:t>
      </w:r>
      <w:r>
        <w:rPr>
          <w:rFonts w:ascii="Times New Roman" w:hAnsi="Times New Roman"/>
          <w:lang w:val="sr-Latn-BA"/>
        </w:rPr>
        <w:t>Полицијски</w:t>
      </w:r>
      <w:r w:rsidR="00C14482" w:rsidRPr="00295637">
        <w:rPr>
          <w:rFonts w:ascii="Times New Roman" w:hAnsi="Times New Roman"/>
          <w:lang w:val="sr-Latn-BA"/>
        </w:rPr>
        <w:t xml:space="preserve"> </w:t>
      </w:r>
      <w:r>
        <w:rPr>
          <w:rFonts w:ascii="Times New Roman" w:hAnsi="Times New Roman"/>
          <w:lang w:val="sr-Latn-BA"/>
        </w:rPr>
        <w:t>службеници</w:t>
      </w:r>
      <w:r w:rsidR="00C14482" w:rsidRPr="00295637">
        <w:rPr>
          <w:rFonts w:ascii="Times New Roman" w:hAnsi="Times New Roman"/>
          <w:lang w:val="sr-Latn-BA"/>
        </w:rPr>
        <w:t xml:space="preserve"> </w:t>
      </w:r>
      <w:r>
        <w:rPr>
          <w:rFonts w:ascii="Times New Roman" w:hAnsi="Times New Roman"/>
          <w:lang w:val="sr-Latn-BA"/>
        </w:rPr>
        <w:t>су</w:t>
      </w:r>
      <w:r w:rsidR="00C14482" w:rsidRPr="00295637">
        <w:rPr>
          <w:rFonts w:ascii="Times New Roman" w:hAnsi="Times New Roman"/>
          <w:lang w:val="sr-Latn-BA"/>
        </w:rPr>
        <w:t xml:space="preserve"> </w:t>
      </w:r>
      <w:r>
        <w:rPr>
          <w:rFonts w:ascii="Times New Roman" w:hAnsi="Times New Roman"/>
          <w:lang w:val="sr-Latn-BA"/>
        </w:rPr>
        <w:t>похађали</w:t>
      </w:r>
      <w:r w:rsidR="00C14482" w:rsidRPr="00295637">
        <w:rPr>
          <w:rFonts w:ascii="Times New Roman" w:hAnsi="Times New Roman"/>
          <w:lang w:val="sr-Latn-BA"/>
        </w:rPr>
        <w:t xml:space="preserve"> </w:t>
      </w:r>
      <w:r>
        <w:rPr>
          <w:rFonts w:ascii="Times New Roman" w:hAnsi="Times New Roman"/>
          <w:lang w:val="sr-Latn-BA"/>
        </w:rPr>
        <w:t>обуке</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јачање</w:t>
      </w:r>
      <w:r w:rsidR="00C14482" w:rsidRPr="00295637">
        <w:rPr>
          <w:rFonts w:ascii="Times New Roman" w:hAnsi="Times New Roman"/>
          <w:lang w:val="sr-Latn-BA"/>
        </w:rPr>
        <w:t xml:space="preserve"> </w:t>
      </w:r>
      <w:r>
        <w:rPr>
          <w:rFonts w:ascii="Times New Roman" w:hAnsi="Times New Roman"/>
          <w:lang w:val="sr-Latn-BA"/>
        </w:rPr>
        <w:t>механизама</w:t>
      </w:r>
      <w:r w:rsidR="00C14482" w:rsidRPr="00295637">
        <w:rPr>
          <w:rFonts w:ascii="Times New Roman" w:hAnsi="Times New Roman"/>
          <w:lang w:val="sr-Latn-BA"/>
        </w:rPr>
        <w:t xml:space="preserve"> </w:t>
      </w:r>
      <w:r>
        <w:rPr>
          <w:rFonts w:ascii="Times New Roman" w:hAnsi="Times New Roman"/>
          <w:lang w:val="sr-Latn-BA"/>
        </w:rPr>
        <w:t>подршке</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борбу</w:t>
      </w:r>
      <w:r w:rsidR="00C14482" w:rsidRPr="00295637">
        <w:rPr>
          <w:rFonts w:ascii="Times New Roman" w:hAnsi="Times New Roman"/>
          <w:lang w:val="sr-Latn-BA"/>
        </w:rPr>
        <w:t xml:space="preserve"> </w:t>
      </w:r>
      <w:r>
        <w:rPr>
          <w:rFonts w:ascii="Times New Roman" w:hAnsi="Times New Roman"/>
          <w:lang w:val="sr-Latn-BA"/>
        </w:rPr>
        <w:t>против</w:t>
      </w:r>
      <w:r w:rsidR="00C14482" w:rsidRPr="00295637">
        <w:rPr>
          <w:rFonts w:ascii="Times New Roman" w:hAnsi="Times New Roman"/>
          <w:lang w:val="sr-Latn-BA"/>
        </w:rPr>
        <w:t xml:space="preserve"> </w:t>
      </w:r>
      <w:r>
        <w:rPr>
          <w:rFonts w:ascii="Times New Roman" w:hAnsi="Times New Roman"/>
          <w:lang w:val="sr-Latn-BA"/>
        </w:rPr>
        <w:t>сексуалне</w:t>
      </w:r>
      <w:r w:rsidR="00C14482" w:rsidRPr="00295637">
        <w:rPr>
          <w:rFonts w:ascii="Times New Roman" w:hAnsi="Times New Roman"/>
          <w:lang w:val="sr-Latn-BA"/>
        </w:rPr>
        <w:t xml:space="preserve"> </w:t>
      </w:r>
      <w:r>
        <w:rPr>
          <w:rFonts w:ascii="Times New Roman" w:hAnsi="Times New Roman"/>
          <w:lang w:val="sr-Latn-BA"/>
        </w:rPr>
        <w:t>изнуде</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поступању</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случајевима</w:t>
      </w:r>
      <w:r w:rsidR="00C14482" w:rsidRPr="00295637">
        <w:rPr>
          <w:rFonts w:ascii="Times New Roman" w:hAnsi="Times New Roman"/>
          <w:lang w:val="sr-Latn-BA"/>
        </w:rPr>
        <w:t xml:space="preserve"> </w:t>
      </w:r>
      <w:r>
        <w:rPr>
          <w:rFonts w:ascii="Times New Roman" w:hAnsi="Times New Roman"/>
          <w:lang w:val="sr-Latn-BA"/>
        </w:rPr>
        <w:t>сексуалног</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p>
    <w:p w:rsidR="00C14482" w:rsidRPr="00295637" w:rsidRDefault="00C14482" w:rsidP="0086268D">
      <w:pPr>
        <w:pStyle w:val="ListParagraph"/>
        <w:ind w:left="0"/>
        <w:jc w:val="both"/>
        <w:rPr>
          <w:rFonts w:ascii="Times New Roman" w:hAnsi="Times New Roman"/>
          <w:lang w:val="sr-Latn-BA"/>
        </w:rPr>
      </w:pPr>
    </w:p>
    <w:p w:rsidR="00C14482"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Субјекти</w:t>
      </w:r>
      <w:r w:rsidR="00C14482" w:rsidRPr="00295637">
        <w:rPr>
          <w:rFonts w:ascii="Times New Roman" w:hAnsi="Times New Roman"/>
          <w:lang w:val="sr-Latn-BA"/>
        </w:rPr>
        <w:t xml:space="preserve"> </w:t>
      </w:r>
      <w:r>
        <w:rPr>
          <w:rFonts w:ascii="Times New Roman" w:hAnsi="Times New Roman"/>
          <w:lang w:val="sr-Latn-BA"/>
        </w:rPr>
        <w:t>заштите</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РС</w:t>
      </w:r>
      <w:r w:rsidR="00C14482" w:rsidRPr="00295637">
        <w:rPr>
          <w:rFonts w:ascii="Times New Roman" w:hAnsi="Times New Roman"/>
          <w:lang w:val="sr-Latn-BA"/>
        </w:rPr>
        <w:t xml:space="preserve"> (</w:t>
      </w:r>
      <w:r>
        <w:rPr>
          <w:rFonts w:ascii="Times New Roman" w:hAnsi="Times New Roman"/>
          <w:lang w:val="sr-Latn-BA"/>
        </w:rPr>
        <w:t>полиција</w:t>
      </w:r>
      <w:r w:rsidR="00C14482" w:rsidRPr="00295637">
        <w:rPr>
          <w:rFonts w:ascii="Times New Roman" w:hAnsi="Times New Roman"/>
          <w:lang w:val="sr-Latn-BA"/>
        </w:rPr>
        <w:t xml:space="preserve">, </w:t>
      </w:r>
      <w:r>
        <w:rPr>
          <w:rFonts w:ascii="Times New Roman" w:hAnsi="Times New Roman"/>
          <w:lang w:val="sr-Latn-BA"/>
        </w:rPr>
        <w:t>центри</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социјални</w:t>
      </w:r>
      <w:r w:rsidR="00C14482" w:rsidRPr="00295637">
        <w:rPr>
          <w:rFonts w:ascii="Times New Roman" w:hAnsi="Times New Roman"/>
          <w:lang w:val="sr-Latn-BA"/>
        </w:rPr>
        <w:t xml:space="preserve"> </w:t>
      </w:r>
      <w:r>
        <w:rPr>
          <w:rFonts w:ascii="Times New Roman" w:hAnsi="Times New Roman"/>
          <w:lang w:val="sr-Latn-BA"/>
        </w:rPr>
        <w:t>рад</w:t>
      </w:r>
      <w:r w:rsidR="00C14482" w:rsidRPr="00295637">
        <w:rPr>
          <w:rFonts w:ascii="Times New Roman" w:hAnsi="Times New Roman"/>
          <w:lang w:val="sr-Latn-BA"/>
        </w:rPr>
        <w:t xml:space="preserve">, </w:t>
      </w:r>
      <w:r>
        <w:rPr>
          <w:rFonts w:ascii="Times New Roman" w:hAnsi="Times New Roman"/>
          <w:lang w:val="sr-Latn-BA"/>
        </w:rPr>
        <w:t>здравствене</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образовне</w:t>
      </w:r>
      <w:r w:rsidR="00C14482" w:rsidRPr="00295637">
        <w:rPr>
          <w:rFonts w:ascii="Times New Roman" w:hAnsi="Times New Roman"/>
          <w:lang w:val="sr-Latn-BA"/>
        </w:rPr>
        <w:t xml:space="preserve"> </w:t>
      </w:r>
      <w:r>
        <w:rPr>
          <w:rFonts w:ascii="Times New Roman" w:hAnsi="Times New Roman"/>
          <w:lang w:val="sr-Latn-BA"/>
        </w:rPr>
        <w:t>установе</w:t>
      </w:r>
      <w:r w:rsidR="00C14482" w:rsidRPr="00295637">
        <w:rPr>
          <w:rFonts w:ascii="Times New Roman" w:hAnsi="Times New Roman"/>
          <w:lang w:val="sr-Latn-BA"/>
        </w:rPr>
        <w:t xml:space="preserve">, </w:t>
      </w:r>
      <w:r>
        <w:rPr>
          <w:rFonts w:ascii="Times New Roman" w:hAnsi="Times New Roman"/>
          <w:lang w:val="sr-Latn-BA"/>
        </w:rPr>
        <w:t>судије</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тужиоци</w:t>
      </w:r>
      <w:r w:rsidR="00C14482" w:rsidRPr="00295637">
        <w:rPr>
          <w:rFonts w:ascii="Times New Roman" w:hAnsi="Times New Roman"/>
          <w:lang w:val="sr-Latn-BA"/>
        </w:rPr>
        <w:t xml:space="preserve">), </w:t>
      </w:r>
      <w:r>
        <w:rPr>
          <w:rFonts w:ascii="Times New Roman" w:hAnsi="Times New Roman"/>
          <w:lang w:val="sr-Latn-BA"/>
        </w:rPr>
        <w:t>укључујући</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женске</w:t>
      </w:r>
      <w:r w:rsidR="00C14482" w:rsidRPr="00295637">
        <w:rPr>
          <w:rFonts w:ascii="Times New Roman" w:hAnsi="Times New Roman"/>
          <w:lang w:val="sr-Latn-BA"/>
        </w:rPr>
        <w:t xml:space="preserve"> </w:t>
      </w:r>
      <w:r>
        <w:rPr>
          <w:rFonts w:ascii="Times New Roman" w:hAnsi="Times New Roman"/>
          <w:lang w:val="sr-Latn-BA"/>
        </w:rPr>
        <w:t>невладине</w:t>
      </w:r>
      <w:r w:rsidR="00C14482" w:rsidRPr="00295637">
        <w:rPr>
          <w:rFonts w:ascii="Times New Roman" w:hAnsi="Times New Roman"/>
          <w:lang w:val="sr-Latn-BA"/>
        </w:rPr>
        <w:t xml:space="preserve"> </w:t>
      </w:r>
      <w:r>
        <w:rPr>
          <w:rFonts w:ascii="Times New Roman" w:hAnsi="Times New Roman"/>
          <w:lang w:val="sr-Latn-BA"/>
        </w:rPr>
        <w:t>организације</w:t>
      </w:r>
      <w:r w:rsidR="00C14482" w:rsidRPr="00295637">
        <w:rPr>
          <w:rFonts w:ascii="Times New Roman" w:hAnsi="Times New Roman"/>
          <w:lang w:val="sr-Latn-BA"/>
        </w:rPr>
        <w:t xml:space="preserve"> </w:t>
      </w:r>
      <w:r>
        <w:rPr>
          <w:rFonts w:ascii="Times New Roman" w:hAnsi="Times New Roman"/>
          <w:lang w:val="sr-Latn-BA"/>
        </w:rPr>
        <w:t>које</w:t>
      </w:r>
      <w:r w:rsidR="00C14482" w:rsidRPr="00295637">
        <w:rPr>
          <w:rFonts w:ascii="Times New Roman" w:hAnsi="Times New Roman"/>
          <w:lang w:val="sr-Latn-BA"/>
        </w:rPr>
        <w:t xml:space="preserve"> </w:t>
      </w:r>
      <w:r>
        <w:rPr>
          <w:rFonts w:ascii="Times New Roman" w:hAnsi="Times New Roman"/>
          <w:lang w:val="sr-Latn-BA"/>
        </w:rPr>
        <w:t>се</w:t>
      </w:r>
      <w:r w:rsidR="00C14482" w:rsidRPr="00295637">
        <w:rPr>
          <w:rFonts w:ascii="Times New Roman" w:hAnsi="Times New Roman"/>
          <w:lang w:val="sr-Latn-BA"/>
        </w:rPr>
        <w:t xml:space="preserve"> </w:t>
      </w:r>
      <w:r>
        <w:rPr>
          <w:rFonts w:ascii="Times New Roman" w:hAnsi="Times New Roman"/>
          <w:lang w:val="sr-Latn-BA"/>
        </w:rPr>
        <w:t>баве</w:t>
      </w:r>
      <w:r w:rsidR="00C14482" w:rsidRPr="00295637">
        <w:rPr>
          <w:rFonts w:ascii="Times New Roman" w:hAnsi="Times New Roman"/>
          <w:lang w:val="sr-Latn-BA"/>
        </w:rPr>
        <w:t xml:space="preserve"> </w:t>
      </w:r>
      <w:r>
        <w:rPr>
          <w:rFonts w:ascii="Times New Roman" w:hAnsi="Times New Roman"/>
          <w:lang w:val="sr-Latn-BA"/>
        </w:rPr>
        <w:t>заштитом</w:t>
      </w:r>
      <w:r w:rsidR="00C14482" w:rsidRPr="00295637">
        <w:rPr>
          <w:rFonts w:ascii="Times New Roman" w:hAnsi="Times New Roman"/>
          <w:lang w:val="sr-Latn-BA"/>
        </w:rPr>
        <w:t xml:space="preserve"> </w:t>
      </w:r>
      <w:r>
        <w:rPr>
          <w:rFonts w:ascii="Times New Roman" w:hAnsi="Times New Roman"/>
          <w:lang w:val="sr-Latn-BA"/>
        </w:rPr>
        <w:t>жена</w:t>
      </w:r>
      <w:r w:rsidR="00C14482" w:rsidRPr="00295637">
        <w:rPr>
          <w:rFonts w:ascii="Times New Roman" w:hAnsi="Times New Roman"/>
          <w:lang w:val="sr-Latn-BA"/>
        </w:rPr>
        <w:t xml:space="preserve"> </w:t>
      </w:r>
      <w:r>
        <w:rPr>
          <w:rFonts w:ascii="Times New Roman" w:hAnsi="Times New Roman"/>
          <w:lang w:val="sr-Latn-BA"/>
        </w:rPr>
        <w:t>од</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учествовали</w:t>
      </w:r>
      <w:r w:rsidR="00C14482" w:rsidRPr="00295637">
        <w:rPr>
          <w:rFonts w:ascii="Times New Roman" w:hAnsi="Times New Roman"/>
          <w:lang w:val="sr-Latn-BA"/>
        </w:rPr>
        <w:t xml:space="preserve"> </w:t>
      </w:r>
      <w:r>
        <w:rPr>
          <w:rFonts w:ascii="Times New Roman" w:hAnsi="Times New Roman"/>
          <w:lang w:val="sr-Latn-BA"/>
        </w:rPr>
        <w:t>су</w:t>
      </w:r>
      <w:r w:rsidR="00C14482" w:rsidRPr="00295637">
        <w:rPr>
          <w:rFonts w:ascii="Times New Roman" w:hAnsi="Times New Roman"/>
          <w:lang w:val="sr-Latn-BA"/>
        </w:rPr>
        <w:t xml:space="preserve"> </w:t>
      </w:r>
      <w:r>
        <w:rPr>
          <w:rFonts w:ascii="Times New Roman" w:hAnsi="Times New Roman"/>
          <w:lang w:val="sr-Latn-BA"/>
        </w:rPr>
        <w:t>на</w:t>
      </w:r>
      <w:r w:rsidR="00C14482" w:rsidRPr="00295637">
        <w:rPr>
          <w:rFonts w:ascii="Times New Roman" w:hAnsi="Times New Roman"/>
          <w:lang w:val="sr-Latn-BA"/>
        </w:rPr>
        <w:t xml:space="preserve"> </w:t>
      </w:r>
      <w:r>
        <w:rPr>
          <w:rFonts w:ascii="Times New Roman" w:hAnsi="Times New Roman"/>
          <w:lang w:val="sr-Latn-BA"/>
        </w:rPr>
        <w:t>предавањима</w:t>
      </w:r>
      <w:r w:rsidR="00C14482" w:rsidRPr="00295637">
        <w:rPr>
          <w:rFonts w:ascii="Times New Roman" w:hAnsi="Times New Roman"/>
          <w:lang w:val="sr-Latn-BA"/>
        </w:rPr>
        <w:t xml:space="preserve">, </w:t>
      </w:r>
      <w:r>
        <w:rPr>
          <w:rFonts w:ascii="Times New Roman" w:hAnsi="Times New Roman"/>
          <w:lang w:val="sr-Latn-BA"/>
        </w:rPr>
        <w:t>обукама</w:t>
      </w:r>
      <w:r w:rsidR="00C14482" w:rsidRPr="00295637">
        <w:rPr>
          <w:rFonts w:ascii="Times New Roman" w:hAnsi="Times New Roman"/>
          <w:lang w:val="sr-Latn-BA"/>
        </w:rPr>
        <w:t xml:space="preserve">, </w:t>
      </w:r>
      <w:r>
        <w:rPr>
          <w:rFonts w:ascii="Times New Roman" w:hAnsi="Times New Roman"/>
          <w:lang w:val="sr-Latn-BA"/>
        </w:rPr>
        <w:t>семинарима</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радионицама</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међународним</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домаћим</w:t>
      </w:r>
      <w:r w:rsidR="00C14482" w:rsidRPr="00295637">
        <w:rPr>
          <w:rFonts w:ascii="Times New Roman" w:hAnsi="Times New Roman"/>
          <w:lang w:val="sr-Latn-BA"/>
        </w:rPr>
        <w:t xml:space="preserve"> </w:t>
      </w:r>
      <w:r>
        <w:rPr>
          <w:rFonts w:ascii="Times New Roman" w:hAnsi="Times New Roman"/>
          <w:lang w:val="sr-Latn-BA"/>
        </w:rPr>
        <w:t>стандардима</w:t>
      </w:r>
      <w:r w:rsidR="00C14482" w:rsidRPr="00295637">
        <w:rPr>
          <w:rFonts w:ascii="Times New Roman" w:hAnsi="Times New Roman"/>
          <w:lang w:val="sr-Latn-BA"/>
        </w:rPr>
        <w:t xml:space="preserve"> </w:t>
      </w:r>
      <w:r>
        <w:rPr>
          <w:rFonts w:ascii="Times New Roman" w:hAnsi="Times New Roman"/>
          <w:lang w:val="sr-Latn-BA"/>
        </w:rPr>
        <w:t>информи</w:t>
      </w:r>
      <w:r w:rsidR="00D8279B">
        <w:rPr>
          <w:rFonts w:ascii="Times New Roman" w:hAnsi="Times New Roman"/>
          <w:lang w:val="sr-Cyrl-BA"/>
        </w:rPr>
        <w:t>с</w:t>
      </w:r>
      <w:r>
        <w:rPr>
          <w:rFonts w:ascii="Times New Roman" w:hAnsi="Times New Roman"/>
          <w:lang w:val="sr-Latn-BA"/>
        </w:rPr>
        <w:t>ања</w:t>
      </w:r>
      <w:r w:rsidR="00C14482" w:rsidRPr="00295637">
        <w:rPr>
          <w:rFonts w:ascii="Times New Roman" w:hAnsi="Times New Roman"/>
          <w:lang w:val="sr-Latn-BA"/>
        </w:rPr>
        <w:t xml:space="preserve"> </w:t>
      </w:r>
      <w:r>
        <w:rPr>
          <w:rFonts w:ascii="Times New Roman" w:hAnsi="Times New Roman"/>
          <w:lang w:val="sr-Latn-BA"/>
        </w:rPr>
        <w:t>жртава</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породици</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њихово</w:t>
      </w:r>
      <w:r w:rsidR="00D8279B">
        <w:rPr>
          <w:rFonts w:ascii="Times New Roman" w:hAnsi="Times New Roman"/>
          <w:lang w:val="sr-Cyrl-BA"/>
        </w:rPr>
        <w:t>м</w:t>
      </w:r>
      <w:r w:rsidR="00C14482" w:rsidRPr="00295637">
        <w:rPr>
          <w:rFonts w:ascii="Times New Roman" w:hAnsi="Times New Roman"/>
          <w:lang w:val="sr-Latn-BA"/>
        </w:rPr>
        <w:t xml:space="preserve"> </w:t>
      </w:r>
      <w:r w:rsidR="00D8279B">
        <w:rPr>
          <w:rFonts w:ascii="Times New Roman" w:hAnsi="Times New Roman"/>
          <w:lang w:val="sr-Cyrl-BA"/>
        </w:rPr>
        <w:t>спровођењ</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пракси</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институционалним</w:t>
      </w:r>
      <w:r w:rsidR="00C14482" w:rsidRPr="00295637">
        <w:rPr>
          <w:rFonts w:ascii="Times New Roman" w:hAnsi="Times New Roman"/>
          <w:lang w:val="sr-Latn-BA"/>
        </w:rPr>
        <w:t xml:space="preserve"> </w:t>
      </w:r>
      <w:r>
        <w:rPr>
          <w:rFonts w:ascii="Times New Roman" w:hAnsi="Times New Roman"/>
          <w:lang w:val="sr-Latn-BA"/>
        </w:rPr>
        <w:t>механизмима</w:t>
      </w:r>
      <w:r w:rsidR="00C14482" w:rsidRPr="00295637">
        <w:rPr>
          <w:rFonts w:ascii="Times New Roman" w:hAnsi="Times New Roman"/>
          <w:lang w:val="sr-Latn-BA"/>
        </w:rPr>
        <w:t xml:space="preserve"> </w:t>
      </w:r>
      <w:r>
        <w:rPr>
          <w:rFonts w:ascii="Times New Roman" w:hAnsi="Times New Roman"/>
          <w:lang w:val="sr-Latn-BA"/>
        </w:rPr>
        <w:t>пружања</w:t>
      </w:r>
      <w:r w:rsidR="00C14482" w:rsidRPr="00295637">
        <w:rPr>
          <w:rFonts w:ascii="Times New Roman" w:hAnsi="Times New Roman"/>
          <w:lang w:val="sr-Latn-BA"/>
        </w:rPr>
        <w:t xml:space="preserve"> </w:t>
      </w:r>
      <w:r>
        <w:rPr>
          <w:rFonts w:ascii="Times New Roman" w:hAnsi="Times New Roman"/>
          <w:lang w:val="sr-Latn-BA"/>
        </w:rPr>
        <w:t>заштите</w:t>
      </w:r>
      <w:r w:rsidR="00C14482" w:rsidRPr="00295637">
        <w:rPr>
          <w:rFonts w:ascii="Times New Roman" w:hAnsi="Times New Roman"/>
          <w:lang w:val="sr-Latn-BA"/>
        </w:rPr>
        <w:t xml:space="preserve"> </w:t>
      </w:r>
      <w:r>
        <w:rPr>
          <w:rFonts w:ascii="Times New Roman" w:hAnsi="Times New Roman"/>
          <w:lang w:val="sr-Latn-BA"/>
        </w:rPr>
        <w:t>женама</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дјеци</w:t>
      </w:r>
      <w:r w:rsidR="00C14482" w:rsidRPr="00295637">
        <w:rPr>
          <w:rFonts w:ascii="Times New Roman" w:hAnsi="Times New Roman"/>
          <w:lang w:val="sr-Latn-BA"/>
        </w:rPr>
        <w:t xml:space="preserve"> </w:t>
      </w:r>
      <w:r>
        <w:rPr>
          <w:rFonts w:ascii="Times New Roman" w:hAnsi="Times New Roman"/>
          <w:lang w:val="sr-Latn-BA"/>
        </w:rPr>
        <w:t>жртвама</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породици</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насиљу</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породици</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породичној</w:t>
      </w:r>
      <w:r w:rsidR="00C14482" w:rsidRPr="00295637">
        <w:rPr>
          <w:rFonts w:ascii="Times New Roman" w:hAnsi="Times New Roman"/>
          <w:lang w:val="sr-Latn-BA"/>
        </w:rPr>
        <w:t xml:space="preserve"> </w:t>
      </w:r>
      <w:r>
        <w:rPr>
          <w:rFonts w:ascii="Times New Roman" w:hAnsi="Times New Roman"/>
          <w:lang w:val="sr-Latn-BA"/>
        </w:rPr>
        <w:t>заједници</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јачању</w:t>
      </w:r>
      <w:r w:rsidR="00C14482" w:rsidRPr="00295637">
        <w:rPr>
          <w:rFonts w:ascii="Times New Roman" w:hAnsi="Times New Roman"/>
          <w:lang w:val="sr-Latn-BA"/>
        </w:rPr>
        <w:t xml:space="preserve"> </w:t>
      </w:r>
      <w:r>
        <w:rPr>
          <w:rFonts w:ascii="Times New Roman" w:hAnsi="Times New Roman"/>
          <w:lang w:val="sr-Latn-BA"/>
        </w:rPr>
        <w:t>капацитета</w:t>
      </w:r>
      <w:r w:rsidR="00C14482" w:rsidRPr="00295637">
        <w:rPr>
          <w:rFonts w:ascii="Times New Roman" w:hAnsi="Times New Roman"/>
          <w:lang w:val="sr-Latn-BA"/>
        </w:rPr>
        <w:t xml:space="preserve"> </w:t>
      </w:r>
      <w:r>
        <w:rPr>
          <w:rFonts w:ascii="Times New Roman" w:hAnsi="Times New Roman"/>
          <w:lang w:val="sr-Latn-BA"/>
        </w:rPr>
        <w:t>правосуђа</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сузбијање</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по</w:t>
      </w:r>
      <w:r w:rsidR="00C14482" w:rsidRPr="00295637">
        <w:rPr>
          <w:rFonts w:ascii="Times New Roman" w:hAnsi="Times New Roman"/>
          <w:lang w:val="sr-Latn-BA"/>
        </w:rPr>
        <w:t xml:space="preserve"> </w:t>
      </w:r>
      <w:r>
        <w:rPr>
          <w:rFonts w:ascii="Times New Roman" w:hAnsi="Times New Roman"/>
          <w:lang w:val="sr-Latn-BA"/>
        </w:rPr>
        <w:t>основу</w:t>
      </w:r>
      <w:r w:rsidR="00C14482" w:rsidRPr="00295637">
        <w:rPr>
          <w:rFonts w:ascii="Times New Roman" w:hAnsi="Times New Roman"/>
          <w:lang w:val="sr-Latn-BA"/>
        </w:rPr>
        <w:t xml:space="preserve"> </w:t>
      </w:r>
      <w:r>
        <w:rPr>
          <w:rFonts w:ascii="Times New Roman" w:hAnsi="Times New Roman"/>
          <w:lang w:val="sr-Latn-BA"/>
        </w:rPr>
        <w:t>пола</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насиљу</w:t>
      </w:r>
      <w:r w:rsidR="00C14482" w:rsidRPr="00295637">
        <w:rPr>
          <w:rFonts w:ascii="Times New Roman" w:hAnsi="Times New Roman"/>
          <w:lang w:val="sr-Latn-BA"/>
        </w:rPr>
        <w:t xml:space="preserve"> </w:t>
      </w:r>
      <w:r>
        <w:rPr>
          <w:rFonts w:ascii="Times New Roman" w:hAnsi="Times New Roman"/>
          <w:lang w:val="sr-Latn-BA"/>
        </w:rPr>
        <w:t>на</w:t>
      </w:r>
      <w:r w:rsidR="00C14482" w:rsidRPr="00295637">
        <w:rPr>
          <w:rFonts w:ascii="Times New Roman" w:hAnsi="Times New Roman"/>
          <w:lang w:val="sr-Latn-BA"/>
        </w:rPr>
        <w:t xml:space="preserve"> </w:t>
      </w:r>
      <w:r>
        <w:rPr>
          <w:rFonts w:ascii="Times New Roman" w:hAnsi="Times New Roman"/>
          <w:lang w:val="sr-Latn-BA"/>
        </w:rPr>
        <w:t>интернету</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злоупотреби</w:t>
      </w:r>
      <w:r w:rsidR="00C14482" w:rsidRPr="00295637">
        <w:rPr>
          <w:rFonts w:ascii="Times New Roman" w:hAnsi="Times New Roman"/>
          <w:lang w:val="sr-Latn-BA"/>
        </w:rPr>
        <w:t xml:space="preserve"> </w:t>
      </w:r>
      <w:r>
        <w:rPr>
          <w:rFonts w:ascii="Times New Roman" w:hAnsi="Times New Roman"/>
          <w:lang w:val="sr-Latn-BA"/>
        </w:rPr>
        <w:t>друштвених</w:t>
      </w:r>
      <w:r w:rsidR="00C14482" w:rsidRPr="00295637">
        <w:rPr>
          <w:rFonts w:ascii="Times New Roman" w:hAnsi="Times New Roman"/>
          <w:lang w:val="sr-Latn-BA"/>
        </w:rPr>
        <w:t xml:space="preserve"> </w:t>
      </w:r>
      <w:r>
        <w:rPr>
          <w:rFonts w:ascii="Times New Roman" w:hAnsi="Times New Roman"/>
          <w:lang w:val="sr-Latn-BA"/>
        </w:rPr>
        <w:t>мрежа</w:t>
      </w:r>
      <w:r w:rsidR="00C14482" w:rsidRPr="00295637">
        <w:rPr>
          <w:rFonts w:ascii="Times New Roman" w:hAnsi="Times New Roman"/>
          <w:lang w:val="sr-Latn-BA"/>
        </w:rPr>
        <w:t xml:space="preserve">, </w:t>
      </w:r>
      <w:r w:rsidR="00D8279B">
        <w:rPr>
          <w:rFonts w:ascii="Times New Roman" w:hAnsi="Times New Roman"/>
          <w:lang w:val="sr-Cyrl-BA"/>
        </w:rPr>
        <w:t>безбједности</w:t>
      </w:r>
      <w:r w:rsidR="00C14482" w:rsidRPr="00295637">
        <w:rPr>
          <w:rFonts w:ascii="Times New Roman" w:hAnsi="Times New Roman"/>
          <w:lang w:val="sr-Latn-BA"/>
        </w:rPr>
        <w:t xml:space="preserve"> </w:t>
      </w:r>
      <w:r>
        <w:rPr>
          <w:rFonts w:ascii="Times New Roman" w:hAnsi="Times New Roman"/>
          <w:lang w:val="sr-Latn-BA"/>
        </w:rPr>
        <w:t>на</w:t>
      </w:r>
      <w:r w:rsidR="00C14482" w:rsidRPr="00295637">
        <w:rPr>
          <w:rFonts w:ascii="Times New Roman" w:hAnsi="Times New Roman"/>
          <w:lang w:val="sr-Latn-BA"/>
        </w:rPr>
        <w:t xml:space="preserve"> </w:t>
      </w:r>
      <w:r>
        <w:rPr>
          <w:rFonts w:ascii="Times New Roman" w:hAnsi="Times New Roman"/>
          <w:lang w:val="sr-Latn-BA"/>
        </w:rPr>
        <w:t>интернету</w:t>
      </w:r>
      <w:r w:rsidR="00C14482" w:rsidRPr="00295637">
        <w:rPr>
          <w:rFonts w:ascii="Times New Roman" w:hAnsi="Times New Roman"/>
          <w:lang w:val="sr-Latn-BA"/>
        </w:rPr>
        <w:t xml:space="preserve">, </w:t>
      </w:r>
      <w:r>
        <w:rPr>
          <w:rFonts w:ascii="Times New Roman" w:hAnsi="Times New Roman"/>
          <w:lang w:val="sr-Latn-BA"/>
        </w:rPr>
        <w:t>превенцији</w:t>
      </w:r>
      <w:r w:rsidR="00C14482" w:rsidRPr="00295637">
        <w:rPr>
          <w:rFonts w:ascii="Times New Roman" w:hAnsi="Times New Roman"/>
          <w:lang w:val="sr-Latn-BA"/>
        </w:rPr>
        <w:t xml:space="preserve"> </w:t>
      </w:r>
      <w:r>
        <w:rPr>
          <w:rFonts w:ascii="Times New Roman" w:hAnsi="Times New Roman"/>
          <w:lang w:val="sr-Latn-BA"/>
        </w:rPr>
        <w:t>вршњачког</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насиљу</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породици</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превенцији</w:t>
      </w:r>
      <w:r w:rsidR="00C14482" w:rsidRPr="00295637">
        <w:rPr>
          <w:rFonts w:ascii="Times New Roman" w:hAnsi="Times New Roman"/>
          <w:lang w:val="sr-Latn-BA"/>
        </w:rPr>
        <w:t xml:space="preserve"> </w:t>
      </w:r>
      <w:r>
        <w:rPr>
          <w:rFonts w:ascii="Times New Roman" w:hAnsi="Times New Roman"/>
          <w:lang w:val="sr-Latn-BA"/>
        </w:rPr>
        <w:t>малољетничке</w:t>
      </w:r>
      <w:r w:rsidR="00C14482" w:rsidRPr="00295637">
        <w:rPr>
          <w:rFonts w:ascii="Times New Roman" w:hAnsi="Times New Roman"/>
          <w:lang w:val="sr-Latn-BA"/>
        </w:rPr>
        <w:t xml:space="preserve"> </w:t>
      </w:r>
      <w:r>
        <w:rPr>
          <w:rFonts w:ascii="Times New Roman" w:hAnsi="Times New Roman"/>
          <w:lang w:val="sr-Latn-BA"/>
        </w:rPr>
        <w:t>делинквенције</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вршњачког</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изрицању</w:t>
      </w:r>
      <w:r w:rsidR="00C14482" w:rsidRPr="00295637">
        <w:rPr>
          <w:rFonts w:ascii="Times New Roman" w:hAnsi="Times New Roman"/>
          <w:lang w:val="sr-Latn-BA"/>
        </w:rPr>
        <w:t xml:space="preserve"> </w:t>
      </w:r>
      <w:r>
        <w:rPr>
          <w:rFonts w:ascii="Times New Roman" w:hAnsi="Times New Roman"/>
          <w:lang w:val="sr-Latn-BA"/>
        </w:rPr>
        <w:t>хитних</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заштитних</w:t>
      </w:r>
      <w:r w:rsidR="00C14482" w:rsidRPr="00295637">
        <w:rPr>
          <w:rFonts w:ascii="Times New Roman" w:hAnsi="Times New Roman"/>
          <w:lang w:val="sr-Latn-BA"/>
        </w:rPr>
        <w:t xml:space="preserve"> </w:t>
      </w:r>
      <w:r>
        <w:rPr>
          <w:rFonts w:ascii="Times New Roman" w:hAnsi="Times New Roman"/>
          <w:lang w:val="sr-Latn-BA"/>
        </w:rPr>
        <w:t>мјера</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истраге</w:t>
      </w:r>
      <w:r w:rsidR="00C14482" w:rsidRPr="00295637">
        <w:rPr>
          <w:rFonts w:ascii="Times New Roman" w:hAnsi="Times New Roman"/>
          <w:lang w:val="sr-Latn-BA"/>
        </w:rPr>
        <w:t xml:space="preserve"> </w:t>
      </w:r>
      <w:r>
        <w:rPr>
          <w:rFonts w:ascii="Times New Roman" w:hAnsi="Times New Roman"/>
          <w:lang w:val="sr-Latn-BA"/>
        </w:rPr>
        <w:t>кривичних</w:t>
      </w:r>
      <w:r w:rsidR="00C14482" w:rsidRPr="00295637">
        <w:rPr>
          <w:rFonts w:ascii="Times New Roman" w:hAnsi="Times New Roman"/>
          <w:lang w:val="sr-Latn-BA"/>
        </w:rPr>
        <w:t xml:space="preserve"> </w:t>
      </w:r>
      <w:r>
        <w:rPr>
          <w:rFonts w:ascii="Times New Roman" w:hAnsi="Times New Roman"/>
          <w:lang w:val="sr-Latn-BA"/>
        </w:rPr>
        <w:t>дјела</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породици</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усклађивању</w:t>
      </w:r>
      <w:r w:rsidR="00C14482" w:rsidRPr="00295637">
        <w:rPr>
          <w:rFonts w:ascii="Times New Roman" w:hAnsi="Times New Roman"/>
          <w:lang w:val="sr-Latn-BA"/>
        </w:rPr>
        <w:t xml:space="preserve"> </w:t>
      </w:r>
      <w:r>
        <w:rPr>
          <w:rFonts w:ascii="Times New Roman" w:hAnsi="Times New Roman"/>
          <w:lang w:val="sr-Latn-BA"/>
        </w:rPr>
        <w:t>законских</w:t>
      </w:r>
      <w:r w:rsidR="00C14482" w:rsidRPr="00295637">
        <w:rPr>
          <w:rFonts w:ascii="Times New Roman" w:hAnsi="Times New Roman"/>
          <w:lang w:val="sr-Latn-BA"/>
        </w:rPr>
        <w:t xml:space="preserve"> </w:t>
      </w:r>
      <w:r>
        <w:rPr>
          <w:rFonts w:ascii="Times New Roman" w:hAnsi="Times New Roman"/>
          <w:lang w:val="sr-Latn-BA"/>
        </w:rPr>
        <w:t>одредби</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пракси</w:t>
      </w:r>
      <w:r w:rsidR="00C14482" w:rsidRPr="00295637">
        <w:rPr>
          <w:rFonts w:ascii="Times New Roman" w:hAnsi="Times New Roman"/>
          <w:lang w:val="sr-Latn-BA"/>
        </w:rPr>
        <w:t xml:space="preserve"> </w:t>
      </w:r>
      <w:r>
        <w:rPr>
          <w:rFonts w:ascii="Times New Roman" w:hAnsi="Times New Roman"/>
          <w:lang w:val="sr-Latn-BA"/>
        </w:rPr>
        <w:t>са</w:t>
      </w:r>
      <w:r w:rsidR="00C14482" w:rsidRPr="00295637">
        <w:rPr>
          <w:rFonts w:ascii="Times New Roman" w:hAnsi="Times New Roman"/>
          <w:lang w:val="sr-Latn-BA"/>
        </w:rPr>
        <w:t xml:space="preserve"> </w:t>
      </w:r>
      <w:r>
        <w:rPr>
          <w:rFonts w:ascii="Times New Roman" w:hAnsi="Times New Roman"/>
          <w:lang w:val="sr-Latn-BA"/>
        </w:rPr>
        <w:t>стандардима</w:t>
      </w:r>
      <w:r w:rsidR="00C14482" w:rsidRPr="00295637">
        <w:rPr>
          <w:rFonts w:ascii="Times New Roman" w:hAnsi="Times New Roman"/>
          <w:lang w:val="sr-Latn-BA"/>
        </w:rPr>
        <w:t xml:space="preserve"> </w:t>
      </w:r>
      <w:r>
        <w:rPr>
          <w:rFonts w:ascii="Times New Roman" w:hAnsi="Times New Roman"/>
          <w:lang w:val="sr-Latn-BA"/>
        </w:rPr>
        <w:t>Истанбулске</w:t>
      </w:r>
      <w:r w:rsidR="00C14482" w:rsidRPr="00295637">
        <w:rPr>
          <w:rFonts w:ascii="Times New Roman" w:hAnsi="Times New Roman"/>
          <w:lang w:val="sr-Latn-BA"/>
        </w:rPr>
        <w:t xml:space="preserve"> </w:t>
      </w:r>
      <w:r>
        <w:rPr>
          <w:rFonts w:ascii="Times New Roman" w:hAnsi="Times New Roman"/>
          <w:lang w:val="sr-Latn-BA"/>
        </w:rPr>
        <w:t>конвенције</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смјерницама</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процјену</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одговор</w:t>
      </w:r>
      <w:r w:rsidR="00C14482" w:rsidRPr="00295637">
        <w:rPr>
          <w:rFonts w:ascii="Times New Roman" w:hAnsi="Times New Roman"/>
          <w:lang w:val="sr-Latn-BA"/>
        </w:rPr>
        <w:t xml:space="preserve"> </w:t>
      </w:r>
      <w:r>
        <w:rPr>
          <w:rFonts w:ascii="Times New Roman" w:hAnsi="Times New Roman"/>
          <w:lang w:val="sr-Latn-BA"/>
        </w:rPr>
        <w:t>на</w:t>
      </w:r>
      <w:r w:rsidR="00C14482" w:rsidRPr="00295637">
        <w:rPr>
          <w:rFonts w:ascii="Times New Roman" w:hAnsi="Times New Roman"/>
          <w:lang w:val="sr-Latn-BA"/>
        </w:rPr>
        <w:t xml:space="preserve"> </w:t>
      </w:r>
      <w:r>
        <w:rPr>
          <w:rFonts w:ascii="Times New Roman" w:hAnsi="Times New Roman"/>
          <w:lang w:val="sr-Latn-BA"/>
        </w:rPr>
        <w:t>ризике</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вези</w:t>
      </w:r>
      <w:r w:rsidR="00C14482" w:rsidRPr="00295637">
        <w:rPr>
          <w:rFonts w:ascii="Times New Roman" w:hAnsi="Times New Roman"/>
          <w:lang w:val="sr-Latn-BA"/>
        </w:rPr>
        <w:t xml:space="preserve"> </w:t>
      </w:r>
      <w:r>
        <w:rPr>
          <w:rFonts w:ascii="Times New Roman" w:hAnsi="Times New Roman"/>
          <w:lang w:val="sr-Latn-BA"/>
        </w:rPr>
        <w:t>са</w:t>
      </w:r>
      <w:r w:rsidR="00C14482" w:rsidRPr="00295637">
        <w:rPr>
          <w:rFonts w:ascii="Times New Roman" w:hAnsi="Times New Roman"/>
          <w:lang w:val="sr-Latn-BA"/>
        </w:rPr>
        <w:t xml:space="preserve"> </w:t>
      </w:r>
      <w:r>
        <w:rPr>
          <w:rFonts w:ascii="Times New Roman" w:hAnsi="Times New Roman"/>
          <w:lang w:val="sr-Latn-BA"/>
        </w:rPr>
        <w:t>злоупотребом</w:t>
      </w:r>
      <w:r w:rsidR="00C14482" w:rsidRPr="00295637">
        <w:rPr>
          <w:rFonts w:ascii="Times New Roman" w:hAnsi="Times New Roman"/>
          <w:lang w:val="sr-Latn-BA"/>
        </w:rPr>
        <w:t xml:space="preserve"> </w:t>
      </w:r>
      <w:r>
        <w:rPr>
          <w:rFonts w:ascii="Times New Roman" w:hAnsi="Times New Roman"/>
          <w:lang w:val="sr-Latn-BA"/>
        </w:rPr>
        <w:t>ватреног</w:t>
      </w:r>
      <w:r w:rsidR="00C14482" w:rsidRPr="00295637">
        <w:rPr>
          <w:rFonts w:ascii="Times New Roman" w:hAnsi="Times New Roman"/>
          <w:lang w:val="sr-Latn-BA"/>
        </w:rPr>
        <w:t xml:space="preserve"> </w:t>
      </w:r>
      <w:r>
        <w:rPr>
          <w:rFonts w:ascii="Times New Roman" w:hAnsi="Times New Roman"/>
          <w:lang w:val="sr-Latn-BA"/>
        </w:rPr>
        <w:t>оружја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насиљу</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породици</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откривању</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гоњењу</w:t>
      </w:r>
      <w:r w:rsidR="00C14482" w:rsidRPr="00295637">
        <w:rPr>
          <w:rFonts w:ascii="Times New Roman" w:hAnsi="Times New Roman"/>
          <w:lang w:val="sr-Latn-BA"/>
        </w:rPr>
        <w:t xml:space="preserve"> </w:t>
      </w:r>
      <w:r>
        <w:rPr>
          <w:rFonts w:ascii="Times New Roman" w:hAnsi="Times New Roman"/>
          <w:lang w:val="sr-Latn-BA"/>
        </w:rPr>
        <w:t>починилаца</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по</w:t>
      </w:r>
      <w:r w:rsidR="00C14482" w:rsidRPr="00295637">
        <w:rPr>
          <w:rFonts w:ascii="Times New Roman" w:hAnsi="Times New Roman"/>
          <w:lang w:val="sr-Latn-BA"/>
        </w:rPr>
        <w:t xml:space="preserve"> </w:t>
      </w:r>
      <w:r>
        <w:rPr>
          <w:rFonts w:ascii="Times New Roman" w:hAnsi="Times New Roman"/>
          <w:lang w:val="sr-Latn-BA"/>
        </w:rPr>
        <w:t>основу</w:t>
      </w:r>
      <w:r w:rsidR="000F7324">
        <w:rPr>
          <w:rFonts w:ascii="Times New Roman" w:hAnsi="Times New Roman"/>
          <w:lang w:val="sr-Latn-BA"/>
        </w:rPr>
        <w:t xml:space="preserve"> </w:t>
      </w:r>
      <w:r>
        <w:rPr>
          <w:rFonts w:ascii="Times New Roman" w:hAnsi="Times New Roman"/>
          <w:lang w:val="sr-Latn-BA"/>
        </w:rPr>
        <w:t>пола</w:t>
      </w:r>
      <w:r w:rsidR="000F7324">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међународним</w:t>
      </w:r>
      <w:r w:rsidR="00C14482" w:rsidRPr="00295637">
        <w:rPr>
          <w:rFonts w:ascii="Times New Roman" w:hAnsi="Times New Roman"/>
          <w:lang w:val="sr-Latn-BA"/>
        </w:rPr>
        <w:t xml:space="preserve"> </w:t>
      </w:r>
      <w:r>
        <w:rPr>
          <w:rFonts w:ascii="Times New Roman" w:hAnsi="Times New Roman"/>
          <w:lang w:val="sr-Latn-BA"/>
        </w:rPr>
        <w:t>стандардима</w:t>
      </w:r>
      <w:r w:rsidR="00C14482" w:rsidRPr="00295637">
        <w:rPr>
          <w:rFonts w:ascii="Times New Roman" w:hAnsi="Times New Roman"/>
          <w:lang w:val="sr-Latn-BA"/>
        </w:rPr>
        <w:t xml:space="preserve">, </w:t>
      </w:r>
      <w:r>
        <w:rPr>
          <w:rFonts w:ascii="Times New Roman" w:hAnsi="Times New Roman"/>
          <w:lang w:val="sr-Latn-BA"/>
        </w:rPr>
        <w:t>новим</w:t>
      </w:r>
      <w:r w:rsidR="00C14482" w:rsidRPr="00295637">
        <w:rPr>
          <w:rFonts w:ascii="Times New Roman" w:hAnsi="Times New Roman"/>
          <w:lang w:val="sr-Latn-BA"/>
        </w:rPr>
        <w:t xml:space="preserve"> </w:t>
      </w:r>
      <w:r>
        <w:rPr>
          <w:rFonts w:ascii="Times New Roman" w:hAnsi="Times New Roman"/>
          <w:lang w:val="sr-Latn-BA"/>
        </w:rPr>
        <w:t>кривичноправним</w:t>
      </w:r>
      <w:r w:rsidR="00C14482" w:rsidRPr="00295637">
        <w:rPr>
          <w:rFonts w:ascii="Times New Roman" w:hAnsi="Times New Roman"/>
          <w:lang w:val="sr-Latn-BA"/>
        </w:rPr>
        <w:t xml:space="preserve"> </w:t>
      </w:r>
      <w:r>
        <w:rPr>
          <w:rFonts w:ascii="Times New Roman" w:hAnsi="Times New Roman"/>
          <w:lang w:val="sr-Latn-BA"/>
        </w:rPr>
        <w:t>рјешењима</w:t>
      </w:r>
      <w:r w:rsidR="00C14482" w:rsidRPr="00295637">
        <w:rPr>
          <w:rFonts w:ascii="Times New Roman" w:hAnsi="Times New Roman"/>
          <w:lang w:val="sr-Latn-BA"/>
        </w:rPr>
        <w:t xml:space="preserve">, </w:t>
      </w:r>
      <w:r>
        <w:rPr>
          <w:rFonts w:ascii="Times New Roman" w:hAnsi="Times New Roman"/>
          <w:lang w:val="sr-Latn-BA"/>
        </w:rPr>
        <w:t>постојећим</w:t>
      </w:r>
      <w:r w:rsidR="00C14482" w:rsidRPr="00295637">
        <w:rPr>
          <w:rFonts w:ascii="Times New Roman" w:hAnsi="Times New Roman"/>
          <w:lang w:val="sr-Latn-BA"/>
        </w:rPr>
        <w:t xml:space="preserve"> </w:t>
      </w:r>
      <w:r>
        <w:rPr>
          <w:rFonts w:ascii="Times New Roman" w:hAnsi="Times New Roman"/>
          <w:lang w:val="sr-Latn-BA"/>
        </w:rPr>
        <w:t>праксама</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преосталим</w:t>
      </w:r>
      <w:r w:rsidR="00C14482" w:rsidRPr="00295637">
        <w:rPr>
          <w:rFonts w:ascii="Times New Roman" w:hAnsi="Times New Roman"/>
          <w:lang w:val="sr-Latn-BA"/>
        </w:rPr>
        <w:t xml:space="preserve"> </w:t>
      </w:r>
      <w:r>
        <w:rPr>
          <w:rFonts w:ascii="Times New Roman" w:hAnsi="Times New Roman"/>
          <w:lang w:val="sr-Latn-BA"/>
        </w:rPr>
        <w:t>изазовима</w:t>
      </w:r>
      <w:r w:rsidR="00C14482" w:rsidRPr="00295637">
        <w:rPr>
          <w:rFonts w:ascii="Times New Roman" w:hAnsi="Times New Roman"/>
          <w:lang w:val="sr-Latn-BA"/>
        </w:rPr>
        <w:t xml:space="preserve">, </w:t>
      </w:r>
      <w:r>
        <w:rPr>
          <w:rFonts w:ascii="Times New Roman" w:hAnsi="Times New Roman"/>
          <w:lang w:val="sr-Latn-BA"/>
        </w:rPr>
        <w:t>о</w:t>
      </w:r>
      <w:r w:rsidR="00C14482" w:rsidRPr="00295637">
        <w:rPr>
          <w:rFonts w:ascii="Times New Roman" w:hAnsi="Times New Roman"/>
          <w:lang w:val="sr-Latn-BA"/>
        </w:rPr>
        <w:t xml:space="preserve"> </w:t>
      </w:r>
      <w:r>
        <w:rPr>
          <w:rFonts w:ascii="Times New Roman" w:hAnsi="Times New Roman"/>
          <w:lang w:val="sr-Latn-BA"/>
        </w:rPr>
        <w:t>основима</w:t>
      </w:r>
      <w:r w:rsidR="00C14482" w:rsidRPr="00295637">
        <w:rPr>
          <w:rFonts w:ascii="Times New Roman" w:hAnsi="Times New Roman"/>
          <w:lang w:val="sr-Latn-BA"/>
        </w:rPr>
        <w:t xml:space="preserve"> </w:t>
      </w:r>
      <w:r>
        <w:rPr>
          <w:rFonts w:ascii="Times New Roman" w:hAnsi="Times New Roman"/>
          <w:lang w:val="sr-Latn-BA"/>
        </w:rPr>
        <w:t>андрагогије</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едукацију</w:t>
      </w:r>
      <w:r w:rsidR="00C14482" w:rsidRPr="00295637">
        <w:rPr>
          <w:rFonts w:ascii="Times New Roman" w:hAnsi="Times New Roman"/>
          <w:lang w:val="sr-Latn-BA"/>
        </w:rPr>
        <w:t xml:space="preserve"> </w:t>
      </w:r>
      <w:r>
        <w:rPr>
          <w:rFonts w:ascii="Times New Roman" w:hAnsi="Times New Roman"/>
          <w:lang w:val="sr-Latn-BA"/>
        </w:rPr>
        <w:t>едукатора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области</w:t>
      </w:r>
      <w:r w:rsidR="00C14482" w:rsidRPr="00295637">
        <w:rPr>
          <w:rFonts w:ascii="Times New Roman" w:hAnsi="Times New Roman"/>
          <w:lang w:val="sr-Latn-BA"/>
        </w:rPr>
        <w:t xml:space="preserve"> </w:t>
      </w:r>
      <w:r>
        <w:rPr>
          <w:rFonts w:ascii="Times New Roman" w:hAnsi="Times New Roman"/>
          <w:lang w:val="sr-Latn-BA"/>
        </w:rPr>
        <w:t>одговора</w:t>
      </w:r>
      <w:r w:rsidR="00C14482" w:rsidRPr="00295637">
        <w:rPr>
          <w:rFonts w:ascii="Times New Roman" w:hAnsi="Times New Roman"/>
          <w:lang w:val="sr-Latn-BA"/>
        </w:rPr>
        <w:t xml:space="preserve"> </w:t>
      </w:r>
      <w:r>
        <w:rPr>
          <w:rFonts w:ascii="Times New Roman" w:hAnsi="Times New Roman"/>
          <w:lang w:val="sr-Latn-BA"/>
        </w:rPr>
        <w:t>пружалаца</w:t>
      </w:r>
      <w:r w:rsidR="00C14482" w:rsidRPr="00295637">
        <w:rPr>
          <w:rFonts w:ascii="Times New Roman" w:hAnsi="Times New Roman"/>
          <w:lang w:val="sr-Latn-BA"/>
        </w:rPr>
        <w:t xml:space="preserve"> </w:t>
      </w:r>
      <w:r>
        <w:rPr>
          <w:rFonts w:ascii="Times New Roman" w:hAnsi="Times New Roman"/>
          <w:lang w:val="sr-Latn-BA"/>
        </w:rPr>
        <w:t>здравствених</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психосоцијалних</w:t>
      </w:r>
      <w:r w:rsidR="00C14482" w:rsidRPr="00295637">
        <w:rPr>
          <w:rFonts w:ascii="Times New Roman" w:hAnsi="Times New Roman"/>
          <w:lang w:val="sr-Latn-BA"/>
        </w:rPr>
        <w:t xml:space="preserve"> </w:t>
      </w:r>
      <w:r>
        <w:rPr>
          <w:rFonts w:ascii="Times New Roman" w:hAnsi="Times New Roman"/>
          <w:lang w:val="sr-Latn-BA"/>
        </w:rPr>
        <w:t>услуга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РС</w:t>
      </w:r>
      <w:r w:rsidR="00C14482" w:rsidRPr="00295637">
        <w:rPr>
          <w:rFonts w:ascii="Times New Roman" w:hAnsi="Times New Roman"/>
          <w:lang w:val="sr-Latn-BA"/>
        </w:rPr>
        <w:t xml:space="preserve"> </w:t>
      </w:r>
      <w:r>
        <w:rPr>
          <w:rFonts w:ascii="Times New Roman" w:hAnsi="Times New Roman"/>
          <w:lang w:val="sr-Latn-BA"/>
        </w:rPr>
        <w:t>на</w:t>
      </w:r>
      <w:r w:rsidR="00C14482" w:rsidRPr="00295637">
        <w:rPr>
          <w:rFonts w:ascii="Times New Roman" w:hAnsi="Times New Roman"/>
          <w:lang w:val="sr-Latn-BA"/>
        </w:rPr>
        <w:t xml:space="preserve"> </w:t>
      </w:r>
      <w:r>
        <w:rPr>
          <w:rFonts w:ascii="Times New Roman" w:hAnsi="Times New Roman"/>
          <w:lang w:val="sr-Latn-BA"/>
        </w:rPr>
        <w:t>насиље</w:t>
      </w:r>
      <w:r w:rsidR="00C14482" w:rsidRPr="00295637">
        <w:rPr>
          <w:rFonts w:ascii="Times New Roman" w:hAnsi="Times New Roman"/>
          <w:lang w:val="sr-Latn-BA"/>
        </w:rPr>
        <w:t xml:space="preserve"> </w:t>
      </w:r>
      <w:r>
        <w:rPr>
          <w:rFonts w:ascii="Times New Roman" w:hAnsi="Times New Roman"/>
          <w:lang w:val="sr-Latn-BA"/>
        </w:rPr>
        <w:t>по</w:t>
      </w:r>
      <w:r w:rsidR="00C14482" w:rsidRPr="00295637">
        <w:rPr>
          <w:rFonts w:ascii="Times New Roman" w:hAnsi="Times New Roman"/>
          <w:lang w:val="sr-Latn-BA"/>
        </w:rPr>
        <w:t xml:space="preserve"> </w:t>
      </w:r>
      <w:r>
        <w:rPr>
          <w:rFonts w:ascii="Times New Roman" w:hAnsi="Times New Roman"/>
          <w:lang w:val="sr-Latn-BA"/>
        </w:rPr>
        <w:t>основу</w:t>
      </w:r>
      <w:r w:rsidR="00C14482" w:rsidRPr="00295637">
        <w:rPr>
          <w:rFonts w:ascii="Times New Roman" w:hAnsi="Times New Roman"/>
          <w:lang w:val="sr-Latn-BA"/>
        </w:rPr>
        <w:t xml:space="preserve"> </w:t>
      </w:r>
      <w:r>
        <w:rPr>
          <w:rFonts w:ascii="Times New Roman" w:hAnsi="Times New Roman"/>
          <w:lang w:val="sr-Latn-BA"/>
        </w:rPr>
        <w:t>пола</w:t>
      </w:r>
      <w:r w:rsidR="00C14482" w:rsidRPr="00295637">
        <w:rPr>
          <w:rFonts w:ascii="Times New Roman" w:hAnsi="Times New Roman"/>
          <w:lang w:val="sr-Latn-BA"/>
        </w:rPr>
        <w:t xml:space="preserve">. </w:t>
      </w:r>
      <w:r>
        <w:rPr>
          <w:rFonts w:ascii="Times New Roman" w:hAnsi="Times New Roman"/>
          <w:lang w:val="sr-Latn-BA"/>
        </w:rPr>
        <w:t>Међу</w:t>
      </w:r>
      <w:r w:rsidR="00C14482" w:rsidRPr="00295637">
        <w:rPr>
          <w:rFonts w:ascii="Times New Roman" w:hAnsi="Times New Roman"/>
          <w:lang w:val="sr-Latn-BA"/>
        </w:rPr>
        <w:t xml:space="preserve"> </w:t>
      </w:r>
      <w:r>
        <w:rPr>
          <w:rFonts w:ascii="Times New Roman" w:hAnsi="Times New Roman"/>
          <w:lang w:val="sr-Latn-BA"/>
        </w:rPr>
        <w:t>темама</w:t>
      </w:r>
      <w:r w:rsidR="00C14482" w:rsidRPr="00295637">
        <w:rPr>
          <w:rFonts w:ascii="Times New Roman" w:hAnsi="Times New Roman"/>
          <w:lang w:val="sr-Latn-BA"/>
        </w:rPr>
        <w:t xml:space="preserve"> </w:t>
      </w:r>
      <w:r>
        <w:rPr>
          <w:rFonts w:ascii="Times New Roman" w:hAnsi="Times New Roman"/>
          <w:lang w:val="sr-Latn-BA"/>
        </w:rPr>
        <w:t>обука</w:t>
      </w:r>
      <w:r w:rsidR="00C14482" w:rsidRPr="00295637">
        <w:rPr>
          <w:rFonts w:ascii="Times New Roman" w:hAnsi="Times New Roman"/>
          <w:lang w:val="sr-Latn-BA"/>
        </w:rPr>
        <w:t xml:space="preserve">, </w:t>
      </w:r>
      <w:r>
        <w:rPr>
          <w:rFonts w:ascii="Times New Roman" w:hAnsi="Times New Roman"/>
          <w:lang w:val="sr-Latn-BA"/>
        </w:rPr>
        <w:t>посебна</w:t>
      </w:r>
      <w:r w:rsidR="00C14482" w:rsidRPr="00295637">
        <w:rPr>
          <w:rFonts w:ascii="Times New Roman" w:hAnsi="Times New Roman"/>
          <w:lang w:val="sr-Latn-BA"/>
        </w:rPr>
        <w:t xml:space="preserve"> </w:t>
      </w:r>
      <w:r>
        <w:rPr>
          <w:rFonts w:ascii="Times New Roman" w:hAnsi="Times New Roman"/>
          <w:lang w:val="sr-Latn-BA"/>
        </w:rPr>
        <w:t>тема</w:t>
      </w:r>
      <w:r w:rsidR="00C14482" w:rsidRPr="00295637">
        <w:rPr>
          <w:rFonts w:ascii="Times New Roman" w:hAnsi="Times New Roman"/>
          <w:lang w:val="sr-Latn-BA"/>
        </w:rPr>
        <w:t xml:space="preserve"> </w:t>
      </w:r>
      <w:r>
        <w:rPr>
          <w:rFonts w:ascii="Times New Roman" w:hAnsi="Times New Roman"/>
          <w:lang w:val="sr-Latn-BA"/>
        </w:rPr>
        <w:t>био</w:t>
      </w:r>
      <w:r w:rsidR="00C14482" w:rsidRPr="00295637">
        <w:rPr>
          <w:rFonts w:ascii="Times New Roman" w:hAnsi="Times New Roman"/>
          <w:lang w:val="sr-Latn-BA"/>
        </w:rPr>
        <w:t xml:space="preserve"> </w:t>
      </w:r>
      <w:r>
        <w:rPr>
          <w:rFonts w:ascii="Times New Roman" w:hAnsi="Times New Roman"/>
          <w:lang w:val="sr-Latn-BA"/>
        </w:rPr>
        <w:t>је</w:t>
      </w:r>
      <w:r w:rsidR="00C14482" w:rsidRPr="00295637">
        <w:rPr>
          <w:rFonts w:ascii="Times New Roman" w:hAnsi="Times New Roman"/>
          <w:lang w:val="sr-Latn-BA"/>
        </w:rPr>
        <w:t xml:space="preserve"> </w:t>
      </w:r>
      <w:r>
        <w:rPr>
          <w:rFonts w:ascii="Times New Roman" w:hAnsi="Times New Roman"/>
          <w:lang w:val="sr-Latn-BA"/>
        </w:rPr>
        <w:t>фемицид</w:t>
      </w:r>
      <w:r w:rsidR="00C14482" w:rsidRPr="00295637">
        <w:rPr>
          <w:rFonts w:ascii="Times New Roman" w:hAnsi="Times New Roman"/>
          <w:lang w:val="sr-Latn-BA"/>
        </w:rPr>
        <w:t xml:space="preserve"> </w:t>
      </w:r>
      <w:r>
        <w:rPr>
          <w:rFonts w:ascii="Times New Roman" w:hAnsi="Times New Roman"/>
          <w:lang w:val="sr-Latn-BA"/>
        </w:rPr>
        <w:t>као</w:t>
      </w:r>
      <w:r w:rsidR="00C14482" w:rsidRPr="00295637">
        <w:rPr>
          <w:rFonts w:ascii="Times New Roman" w:hAnsi="Times New Roman"/>
          <w:lang w:val="sr-Latn-BA"/>
        </w:rPr>
        <w:t xml:space="preserve"> </w:t>
      </w:r>
      <w:r>
        <w:rPr>
          <w:rFonts w:ascii="Times New Roman" w:hAnsi="Times New Roman"/>
          <w:lang w:val="sr-Latn-BA"/>
        </w:rPr>
        <w:t>најтежи</w:t>
      </w:r>
      <w:r w:rsidR="00C14482" w:rsidRPr="00295637">
        <w:rPr>
          <w:rFonts w:ascii="Times New Roman" w:hAnsi="Times New Roman"/>
          <w:lang w:val="sr-Latn-BA"/>
        </w:rPr>
        <w:t xml:space="preserve"> </w:t>
      </w:r>
      <w:r>
        <w:rPr>
          <w:rFonts w:ascii="Times New Roman" w:hAnsi="Times New Roman"/>
          <w:lang w:val="sr-Latn-BA"/>
        </w:rPr>
        <w:t>облик</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над</w:t>
      </w:r>
      <w:r w:rsidR="00C14482" w:rsidRPr="00295637">
        <w:rPr>
          <w:rFonts w:ascii="Times New Roman" w:hAnsi="Times New Roman"/>
          <w:lang w:val="sr-Latn-BA"/>
        </w:rPr>
        <w:t xml:space="preserve"> </w:t>
      </w:r>
      <w:r>
        <w:rPr>
          <w:rFonts w:ascii="Times New Roman" w:hAnsi="Times New Roman"/>
          <w:lang w:val="sr-Latn-BA"/>
        </w:rPr>
        <w:t>женама</w:t>
      </w:r>
      <w:r w:rsidR="00C14482" w:rsidRPr="00295637">
        <w:rPr>
          <w:rFonts w:ascii="Times New Roman" w:hAnsi="Times New Roman"/>
          <w:lang w:val="sr-Latn-BA"/>
        </w:rPr>
        <w:t>.</w:t>
      </w:r>
    </w:p>
    <w:p w:rsidR="00C14482" w:rsidRPr="00295637" w:rsidRDefault="00C14482" w:rsidP="0086268D">
      <w:pPr>
        <w:pStyle w:val="ListParagraph"/>
        <w:ind w:left="0"/>
        <w:jc w:val="both"/>
        <w:rPr>
          <w:rFonts w:ascii="Times New Roman" w:hAnsi="Times New Roman"/>
          <w:lang w:val="sr-Latn-BA"/>
        </w:rPr>
      </w:pPr>
    </w:p>
    <w:p w:rsidR="00C14482"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Поред</w:t>
      </w:r>
      <w:r w:rsidR="00C14482" w:rsidRPr="00295637">
        <w:rPr>
          <w:rFonts w:ascii="Times New Roman" w:hAnsi="Times New Roman"/>
          <w:lang w:val="sr-Latn-BA"/>
        </w:rPr>
        <w:t xml:space="preserve"> </w:t>
      </w:r>
      <w:r>
        <w:rPr>
          <w:rFonts w:ascii="Times New Roman" w:hAnsi="Times New Roman"/>
          <w:lang w:val="sr-Latn-BA"/>
        </w:rPr>
        <w:t>одржаних</w:t>
      </w:r>
      <w:r w:rsidR="00C14482" w:rsidRPr="00295637">
        <w:rPr>
          <w:rFonts w:ascii="Times New Roman" w:hAnsi="Times New Roman"/>
          <w:lang w:val="sr-Latn-BA"/>
        </w:rPr>
        <w:t xml:space="preserve"> </w:t>
      </w:r>
      <w:r>
        <w:rPr>
          <w:rFonts w:ascii="Times New Roman" w:hAnsi="Times New Roman"/>
          <w:lang w:val="sr-Latn-BA"/>
        </w:rPr>
        <w:t>обука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2024. </w:t>
      </w:r>
      <w:r>
        <w:rPr>
          <w:rFonts w:ascii="Times New Roman" w:hAnsi="Times New Roman"/>
          <w:lang w:val="sr-Latn-BA"/>
        </w:rPr>
        <w:t>години</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РС</w:t>
      </w:r>
      <w:r w:rsidR="00C14482" w:rsidRPr="00295637">
        <w:rPr>
          <w:rFonts w:ascii="Times New Roman" w:hAnsi="Times New Roman"/>
          <w:lang w:val="sr-Latn-BA"/>
        </w:rPr>
        <w:t xml:space="preserve"> </w:t>
      </w:r>
      <w:r w:rsidR="00D8279B">
        <w:rPr>
          <w:rFonts w:ascii="Times New Roman" w:hAnsi="Times New Roman"/>
          <w:lang w:val="sr-Latn-BA"/>
        </w:rPr>
        <w:t xml:space="preserve">су </w:t>
      </w:r>
      <w:r>
        <w:rPr>
          <w:rFonts w:ascii="Times New Roman" w:hAnsi="Times New Roman"/>
          <w:lang w:val="sr-Latn-BA"/>
        </w:rPr>
        <w:t>израђени</w:t>
      </w:r>
      <w:r w:rsidR="00C14482" w:rsidRPr="00295637">
        <w:rPr>
          <w:rFonts w:ascii="Times New Roman" w:hAnsi="Times New Roman"/>
          <w:lang w:val="sr-Latn-BA"/>
        </w:rPr>
        <w:t xml:space="preserve"> </w:t>
      </w:r>
      <w:r>
        <w:rPr>
          <w:rFonts w:ascii="Times New Roman" w:hAnsi="Times New Roman"/>
          <w:lang w:val="sr-Latn-BA"/>
        </w:rPr>
        <w:t>едука</w:t>
      </w:r>
      <w:r w:rsidR="00D8279B">
        <w:rPr>
          <w:rFonts w:ascii="Times New Roman" w:hAnsi="Times New Roman"/>
          <w:lang w:val="sr-Cyrl-BA"/>
        </w:rPr>
        <w:t>тивни</w:t>
      </w:r>
      <w:r w:rsidR="00C14482" w:rsidRPr="00295637">
        <w:rPr>
          <w:rFonts w:ascii="Times New Roman" w:hAnsi="Times New Roman"/>
          <w:lang w:val="sr-Latn-BA"/>
        </w:rPr>
        <w:t xml:space="preserve"> </w:t>
      </w:r>
      <w:r>
        <w:rPr>
          <w:rFonts w:ascii="Times New Roman" w:hAnsi="Times New Roman"/>
          <w:lang w:val="sr-Latn-BA"/>
        </w:rPr>
        <w:t>материјали</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запосленике</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субјектима</w:t>
      </w:r>
      <w:r w:rsidR="00C14482" w:rsidRPr="00295637">
        <w:rPr>
          <w:rFonts w:ascii="Times New Roman" w:hAnsi="Times New Roman"/>
          <w:lang w:val="sr-Latn-BA"/>
        </w:rPr>
        <w:t xml:space="preserve"> </w:t>
      </w:r>
      <w:r>
        <w:rPr>
          <w:rFonts w:ascii="Times New Roman" w:hAnsi="Times New Roman"/>
          <w:lang w:val="sr-Latn-BA"/>
        </w:rPr>
        <w:t>заштите</w:t>
      </w:r>
      <w:r w:rsidR="00C14482" w:rsidRPr="00295637">
        <w:rPr>
          <w:rFonts w:ascii="Times New Roman" w:hAnsi="Times New Roman"/>
          <w:lang w:val="sr-Latn-BA"/>
        </w:rPr>
        <w:t xml:space="preserve">: </w:t>
      </w:r>
      <w:r>
        <w:rPr>
          <w:rFonts w:ascii="Times New Roman" w:hAnsi="Times New Roman"/>
          <w:lang w:val="sr-Latn-BA"/>
        </w:rPr>
        <w:t>водич</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полицијске</w:t>
      </w:r>
      <w:r w:rsidR="00C14482" w:rsidRPr="00295637">
        <w:rPr>
          <w:rFonts w:ascii="Times New Roman" w:hAnsi="Times New Roman"/>
          <w:lang w:val="sr-Latn-BA"/>
        </w:rPr>
        <w:t xml:space="preserve"> </w:t>
      </w:r>
      <w:r>
        <w:rPr>
          <w:rFonts w:ascii="Times New Roman" w:hAnsi="Times New Roman"/>
          <w:lang w:val="sr-Latn-BA"/>
        </w:rPr>
        <w:t>службенике</w:t>
      </w:r>
      <w:r w:rsidR="00C14482" w:rsidRPr="00295637">
        <w:rPr>
          <w:rFonts w:ascii="Times New Roman" w:hAnsi="Times New Roman"/>
          <w:lang w:val="sr-Latn-BA"/>
        </w:rPr>
        <w:t xml:space="preserve"> „</w:t>
      </w:r>
      <w:r>
        <w:rPr>
          <w:rFonts w:ascii="Times New Roman" w:hAnsi="Times New Roman"/>
          <w:lang w:val="sr-Latn-BA"/>
        </w:rPr>
        <w:t>Поступање</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случајевима</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породици</w:t>
      </w:r>
      <w:r w:rsidR="00C14482" w:rsidRPr="00295637">
        <w:rPr>
          <w:rFonts w:ascii="Times New Roman" w:hAnsi="Times New Roman"/>
          <w:lang w:val="sr-Latn-BA"/>
        </w:rPr>
        <w:t xml:space="preserve">“, </w:t>
      </w:r>
      <w:r>
        <w:rPr>
          <w:rFonts w:ascii="Times New Roman" w:hAnsi="Times New Roman"/>
          <w:lang w:val="sr-Latn-BA"/>
        </w:rPr>
        <w:t>ресурсни</w:t>
      </w:r>
      <w:r w:rsidR="00C14482" w:rsidRPr="00295637">
        <w:rPr>
          <w:rFonts w:ascii="Times New Roman" w:hAnsi="Times New Roman"/>
          <w:lang w:val="sr-Latn-BA"/>
        </w:rPr>
        <w:t xml:space="preserve"> </w:t>
      </w:r>
      <w:r>
        <w:rPr>
          <w:rFonts w:ascii="Times New Roman" w:hAnsi="Times New Roman"/>
          <w:lang w:val="sr-Latn-BA"/>
        </w:rPr>
        <w:t>пакет</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информи</w:t>
      </w:r>
      <w:r w:rsidR="00D8279B">
        <w:rPr>
          <w:rFonts w:ascii="Times New Roman" w:hAnsi="Times New Roman"/>
          <w:lang w:val="sr-Cyrl-BA"/>
        </w:rPr>
        <w:t>с</w:t>
      </w:r>
      <w:r>
        <w:rPr>
          <w:rFonts w:ascii="Times New Roman" w:hAnsi="Times New Roman"/>
          <w:lang w:val="sr-Latn-BA"/>
        </w:rPr>
        <w:t>ање</w:t>
      </w:r>
      <w:r w:rsidR="00C14482" w:rsidRPr="00295637">
        <w:rPr>
          <w:rFonts w:ascii="Times New Roman" w:hAnsi="Times New Roman"/>
          <w:lang w:val="sr-Latn-BA"/>
        </w:rPr>
        <w:t xml:space="preserve"> </w:t>
      </w:r>
      <w:r>
        <w:rPr>
          <w:rFonts w:ascii="Times New Roman" w:hAnsi="Times New Roman"/>
          <w:lang w:val="sr-Latn-BA"/>
        </w:rPr>
        <w:t>жртава</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sidRPr="00D8279B">
        <w:rPr>
          <w:rFonts w:ascii="Times New Roman" w:hAnsi="Times New Roman"/>
          <w:iCs/>
          <w:lang w:val="sr-Latn-BA"/>
        </w:rPr>
        <w:t>полиц</w:t>
      </w:r>
      <w:r w:rsidR="00D8279B">
        <w:rPr>
          <w:rFonts w:ascii="Times New Roman" w:hAnsi="Times New Roman"/>
          <w:iCs/>
          <w:lang w:val="sr-Cyrl-BA"/>
        </w:rPr>
        <w:t>ијски</w:t>
      </w:r>
      <w:r w:rsidR="00470069">
        <w:rPr>
          <w:rFonts w:ascii="Times New Roman" w:hAnsi="Times New Roman"/>
          <w:lang w:val="sr-Latn-BA"/>
        </w:rPr>
        <w:t xml:space="preserve"> </w:t>
      </w:r>
      <w:r>
        <w:rPr>
          <w:rFonts w:ascii="Times New Roman" w:hAnsi="Times New Roman"/>
          <w:lang w:val="sr-Latn-BA"/>
        </w:rPr>
        <w:t>документ</w:t>
      </w:r>
      <w:r w:rsidR="00470069">
        <w:rPr>
          <w:rFonts w:ascii="Times New Roman" w:hAnsi="Times New Roman"/>
          <w:lang w:val="sr-Latn-BA"/>
        </w:rPr>
        <w:t xml:space="preserve"> </w:t>
      </w:r>
      <w:r>
        <w:rPr>
          <w:rFonts w:ascii="Times New Roman" w:hAnsi="Times New Roman"/>
          <w:lang w:val="sr-Latn-BA"/>
        </w:rPr>
        <w:t>са</w:t>
      </w:r>
      <w:r w:rsidR="00C14482" w:rsidRPr="00295637">
        <w:rPr>
          <w:rFonts w:ascii="Times New Roman" w:hAnsi="Times New Roman"/>
          <w:lang w:val="sr-Latn-BA"/>
        </w:rPr>
        <w:t xml:space="preserve"> </w:t>
      </w:r>
      <w:r>
        <w:rPr>
          <w:rFonts w:ascii="Times New Roman" w:hAnsi="Times New Roman"/>
          <w:lang w:val="sr-Latn-BA"/>
        </w:rPr>
        <w:t>анализом</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препорукама</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унапређење</w:t>
      </w:r>
      <w:r w:rsidR="00C14482" w:rsidRPr="00295637">
        <w:rPr>
          <w:rFonts w:ascii="Times New Roman" w:hAnsi="Times New Roman"/>
          <w:lang w:val="sr-Latn-BA"/>
        </w:rPr>
        <w:t xml:space="preserve"> </w:t>
      </w:r>
      <w:r>
        <w:rPr>
          <w:rFonts w:ascii="Times New Roman" w:hAnsi="Times New Roman"/>
          <w:lang w:val="sr-Latn-BA"/>
        </w:rPr>
        <w:t>законодавних</w:t>
      </w:r>
      <w:r w:rsidR="00C14482" w:rsidRPr="00295637">
        <w:rPr>
          <w:rFonts w:ascii="Times New Roman" w:hAnsi="Times New Roman"/>
          <w:lang w:val="sr-Latn-BA"/>
        </w:rPr>
        <w:t xml:space="preserve"> </w:t>
      </w:r>
      <w:r>
        <w:rPr>
          <w:rFonts w:ascii="Times New Roman" w:hAnsi="Times New Roman"/>
          <w:lang w:val="sr-Latn-BA"/>
        </w:rPr>
        <w:t>политика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области</w:t>
      </w:r>
      <w:r w:rsidR="00C14482" w:rsidRPr="00295637">
        <w:rPr>
          <w:rFonts w:ascii="Times New Roman" w:hAnsi="Times New Roman"/>
          <w:lang w:val="sr-Latn-BA"/>
        </w:rPr>
        <w:t xml:space="preserve"> </w:t>
      </w:r>
      <w:r>
        <w:rPr>
          <w:rFonts w:ascii="Times New Roman" w:hAnsi="Times New Roman"/>
          <w:lang w:val="sr-Latn-BA"/>
        </w:rPr>
        <w:t>заштите</w:t>
      </w:r>
      <w:r w:rsidR="00C14482" w:rsidRPr="00295637">
        <w:rPr>
          <w:rFonts w:ascii="Times New Roman" w:hAnsi="Times New Roman"/>
          <w:lang w:val="sr-Latn-BA"/>
        </w:rPr>
        <w:t xml:space="preserve"> </w:t>
      </w:r>
      <w:r>
        <w:rPr>
          <w:rFonts w:ascii="Times New Roman" w:hAnsi="Times New Roman"/>
          <w:lang w:val="sr-Latn-BA"/>
        </w:rPr>
        <w:t>од</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породици</w:t>
      </w:r>
      <w:r w:rsidR="00C14482" w:rsidRPr="00295637">
        <w:rPr>
          <w:rFonts w:ascii="Times New Roman" w:hAnsi="Times New Roman"/>
          <w:lang w:val="sr-Latn-BA"/>
        </w:rPr>
        <w:t xml:space="preserve">, </w:t>
      </w:r>
      <w:r>
        <w:rPr>
          <w:rFonts w:ascii="Times New Roman" w:hAnsi="Times New Roman"/>
          <w:lang w:val="sr-Latn-BA"/>
        </w:rPr>
        <w:t>приручник</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плакат</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поступање</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случајевима</w:t>
      </w:r>
      <w:r w:rsidR="00C14482" w:rsidRPr="00295637">
        <w:rPr>
          <w:rFonts w:ascii="Times New Roman" w:hAnsi="Times New Roman"/>
          <w:lang w:val="sr-Latn-BA"/>
        </w:rPr>
        <w:t xml:space="preserve"> </w:t>
      </w:r>
      <w:r>
        <w:rPr>
          <w:rFonts w:ascii="Times New Roman" w:hAnsi="Times New Roman"/>
          <w:lang w:val="sr-Latn-BA"/>
        </w:rPr>
        <w:t>насиља</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породици</w:t>
      </w:r>
      <w:r w:rsidR="00C14482" w:rsidRPr="00295637">
        <w:rPr>
          <w:rFonts w:ascii="Times New Roman" w:hAnsi="Times New Roman"/>
          <w:lang w:val="sr-Latn-BA"/>
        </w:rPr>
        <w:t>.</w:t>
      </w:r>
    </w:p>
    <w:p w:rsidR="00C14482" w:rsidRPr="00295637" w:rsidRDefault="00C14482" w:rsidP="0086268D">
      <w:pPr>
        <w:pStyle w:val="ListParagraph"/>
        <w:ind w:left="0"/>
        <w:jc w:val="both"/>
        <w:rPr>
          <w:rFonts w:ascii="Times New Roman" w:hAnsi="Times New Roman"/>
          <w:lang w:val="sr-Latn-BA"/>
        </w:rPr>
      </w:pPr>
    </w:p>
    <w:p w:rsidR="00C14482" w:rsidRPr="00295637" w:rsidRDefault="00C6214E" w:rsidP="0086268D">
      <w:pPr>
        <w:pStyle w:val="ListParagraph"/>
        <w:ind w:left="0"/>
        <w:jc w:val="both"/>
        <w:rPr>
          <w:rFonts w:ascii="Times New Roman" w:hAnsi="Times New Roman"/>
        </w:rPr>
      </w:pP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РС</w:t>
      </w:r>
      <w:r w:rsidR="0087110C" w:rsidRPr="00295637">
        <w:rPr>
          <w:rFonts w:ascii="Times New Roman" w:hAnsi="Times New Roman"/>
          <w:lang w:val="sr-Latn-BA"/>
        </w:rPr>
        <w:t xml:space="preserve"> </w:t>
      </w:r>
      <w:r>
        <w:rPr>
          <w:rFonts w:ascii="Times New Roman" w:hAnsi="Times New Roman"/>
          <w:lang w:val="sr-Latn-BA"/>
        </w:rPr>
        <w:t>је</w:t>
      </w:r>
      <w:r w:rsidR="00C14482" w:rsidRPr="00295637">
        <w:rPr>
          <w:rFonts w:ascii="Times New Roman" w:hAnsi="Times New Roman"/>
          <w:lang w:val="sr-Latn-BA"/>
        </w:rPr>
        <w:t xml:space="preserve">, </w:t>
      </w: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сарадњи</w:t>
      </w:r>
      <w:r w:rsidR="00C14482" w:rsidRPr="00295637">
        <w:rPr>
          <w:rFonts w:ascii="Times New Roman" w:hAnsi="Times New Roman"/>
          <w:lang w:val="sr-Latn-BA"/>
        </w:rPr>
        <w:t xml:space="preserve"> </w:t>
      </w:r>
      <w:r>
        <w:rPr>
          <w:rFonts w:ascii="Times New Roman" w:hAnsi="Times New Roman"/>
          <w:lang w:val="sr-Latn-BA"/>
        </w:rPr>
        <w:t>НВО</w:t>
      </w:r>
      <w:r w:rsidR="00C14482" w:rsidRPr="00295637">
        <w:rPr>
          <w:rFonts w:ascii="Times New Roman" w:hAnsi="Times New Roman"/>
          <w:lang w:val="sr-Latn-BA"/>
        </w:rPr>
        <w:t xml:space="preserve"> </w:t>
      </w:r>
      <w:r>
        <w:rPr>
          <w:rFonts w:ascii="Times New Roman" w:hAnsi="Times New Roman"/>
          <w:lang w:val="sr-Latn-BA"/>
        </w:rPr>
        <w:t>сектора</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судија</w:t>
      </w:r>
      <w:r w:rsidR="0087110C" w:rsidRPr="00295637">
        <w:rPr>
          <w:rFonts w:ascii="Times New Roman" w:hAnsi="Times New Roman"/>
          <w:lang w:val="sr-Latn-BA"/>
        </w:rPr>
        <w:t xml:space="preserve">, </w:t>
      </w:r>
      <w:r>
        <w:rPr>
          <w:rFonts w:ascii="Times New Roman" w:hAnsi="Times New Roman"/>
          <w:lang w:val="sr-Latn-BA"/>
        </w:rPr>
        <w:t>израђен</w:t>
      </w:r>
      <w:r w:rsidR="00C14482" w:rsidRPr="00295637">
        <w:rPr>
          <w:rFonts w:ascii="Times New Roman" w:hAnsi="Times New Roman"/>
          <w:lang w:val="sr-Latn-BA"/>
        </w:rPr>
        <w:t xml:space="preserve"> </w:t>
      </w:r>
      <w:r>
        <w:rPr>
          <w:rFonts w:ascii="Times New Roman" w:hAnsi="Times New Roman"/>
          <w:lang w:val="sr-Latn-BA"/>
        </w:rPr>
        <w:t>едукаци</w:t>
      </w:r>
      <w:r w:rsidR="00D8279B">
        <w:rPr>
          <w:rFonts w:ascii="Times New Roman" w:hAnsi="Times New Roman"/>
          <w:lang w:val="sr-Cyrl-BA"/>
        </w:rPr>
        <w:t>они</w:t>
      </w:r>
      <w:r w:rsidR="00C14482" w:rsidRPr="00295637">
        <w:rPr>
          <w:rFonts w:ascii="Times New Roman" w:hAnsi="Times New Roman"/>
          <w:lang w:val="sr-Latn-BA"/>
        </w:rPr>
        <w:t xml:space="preserve"> </w:t>
      </w:r>
      <w:r>
        <w:rPr>
          <w:rFonts w:ascii="Times New Roman" w:hAnsi="Times New Roman"/>
          <w:lang w:val="sr-Latn-BA"/>
        </w:rPr>
        <w:t>модул</w:t>
      </w:r>
      <w:r w:rsidR="00C14482" w:rsidRPr="00295637">
        <w:rPr>
          <w:rFonts w:ascii="Times New Roman" w:hAnsi="Times New Roman"/>
          <w:lang w:val="sr-Latn-BA"/>
        </w:rPr>
        <w:t xml:space="preserve"> </w:t>
      </w:r>
      <w:r>
        <w:rPr>
          <w:rFonts w:ascii="Times New Roman" w:hAnsi="Times New Roman"/>
          <w:lang w:val="sr-Latn-BA"/>
        </w:rPr>
        <w:t>за</w:t>
      </w:r>
      <w:r w:rsidR="00C14482" w:rsidRPr="00295637">
        <w:rPr>
          <w:rFonts w:ascii="Times New Roman" w:hAnsi="Times New Roman"/>
          <w:lang w:val="sr-Latn-BA"/>
        </w:rPr>
        <w:t xml:space="preserve"> </w:t>
      </w:r>
      <w:r>
        <w:rPr>
          <w:rFonts w:ascii="Times New Roman" w:hAnsi="Times New Roman"/>
          <w:lang w:val="sr-Latn-BA"/>
        </w:rPr>
        <w:t>судије</w:t>
      </w:r>
      <w:r w:rsidR="00C14482" w:rsidRPr="00295637">
        <w:rPr>
          <w:rFonts w:ascii="Times New Roman" w:hAnsi="Times New Roman"/>
          <w:lang w:val="sr-Latn-BA"/>
        </w:rPr>
        <w:t xml:space="preserve"> </w:t>
      </w:r>
      <w:r>
        <w:rPr>
          <w:rFonts w:ascii="Times New Roman" w:hAnsi="Times New Roman"/>
          <w:lang w:val="sr-Latn-BA"/>
        </w:rPr>
        <w:t>и</w:t>
      </w:r>
      <w:r w:rsidR="00C14482" w:rsidRPr="00295637">
        <w:rPr>
          <w:rFonts w:ascii="Times New Roman" w:hAnsi="Times New Roman"/>
          <w:lang w:val="sr-Latn-BA"/>
        </w:rPr>
        <w:t xml:space="preserve"> </w:t>
      </w:r>
      <w:r>
        <w:rPr>
          <w:rFonts w:ascii="Times New Roman" w:hAnsi="Times New Roman"/>
          <w:lang w:val="sr-Latn-BA"/>
        </w:rPr>
        <w:t>тужи</w:t>
      </w:r>
      <w:r w:rsidR="00D8279B">
        <w:rPr>
          <w:rFonts w:ascii="Times New Roman" w:hAnsi="Times New Roman"/>
          <w:lang w:val="sr-Cyrl-BA"/>
        </w:rPr>
        <w:t>оце</w:t>
      </w:r>
      <w:r w:rsidR="00C14482" w:rsidRPr="00295637">
        <w:rPr>
          <w:rFonts w:ascii="Times New Roman" w:hAnsi="Times New Roman"/>
          <w:lang w:val="sr-Latn-BA"/>
        </w:rPr>
        <w:t xml:space="preserve"> </w:t>
      </w:r>
      <w:r w:rsidR="00C14482" w:rsidRPr="00295637">
        <w:rPr>
          <w:rFonts w:ascii="Times New Roman" w:hAnsi="Times New Roman"/>
        </w:rPr>
        <w:t>„</w:t>
      </w:r>
      <w:r>
        <w:rPr>
          <w:rFonts w:ascii="Times New Roman" w:hAnsi="Times New Roman"/>
        </w:rPr>
        <w:t>Нови</w:t>
      </w:r>
      <w:r w:rsidR="00C14482" w:rsidRPr="00295637">
        <w:rPr>
          <w:rFonts w:ascii="Times New Roman" w:hAnsi="Times New Roman"/>
        </w:rPr>
        <w:t xml:space="preserve"> </w:t>
      </w:r>
      <w:r>
        <w:rPr>
          <w:rFonts w:ascii="Times New Roman" w:hAnsi="Times New Roman"/>
        </w:rPr>
        <w:t>концепт</w:t>
      </w:r>
      <w:r w:rsidR="00C14482" w:rsidRPr="00295637">
        <w:rPr>
          <w:rFonts w:ascii="Times New Roman" w:hAnsi="Times New Roman"/>
        </w:rPr>
        <w:t xml:space="preserve"> </w:t>
      </w:r>
      <w:r>
        <w:rPr>
          <w:rFonts w:ascii="Times New Roman" w:hAnsi="Times New Roman"/>
        </w:rPr>
        <w:t>кривичног</w:t>
      </w:r>
      <w:r w:rsidR="00C14482" w:rsidRPr="00295637">
        <w:rPr>
          <w:rFonts w:ascii="Times New Roman" w:hAnsi="Times New Roman"/>
        </w:rPr>
        <w:t xml:space="preserve"> </w:t>
      </w:r>
      <w:r>
        <w:rPr>
          <w:rFonts w:ascii="Times New Roman" w:hAnsi="Times New Roman"/>
        </w:rPr>
        <w:t>дјела</w:t>
      </w:r>
      <w:r w:rsidR="00C14482" w:rsidRPr="00295637">
        <w:rPr>
          <w:rFonts w:ascii="Times New Roman" w:hAnsi="Times New Roman"/>
        </w:rPr>
        <w:t xml:space="preserve"> </w:t>
      </w:r>
      <w:r>
        <w:rPr>
          <w:rFonts w:ascii="Times New Roman" w:hAnsi="Times New Roman"/>
        </w:rPr>
        <w:t>силовања</w:t>
      </w:r>
      <w:r w:rsidR="00C14482" w:rsidRPr="00295637">
        <w:rPr>
          <w:rFonts w:ascii="Times New Roman" w:hAnsi="Times New Roman"/>
        </w:rPr>
        <w:t xml:space="preserve"> - </w:t>
      </w:r>
      <w:r>
        <w:rPr>
          <w:rFonts w:ascii="Times New Roman" w:hAnsi="Times New Roman"/>
        </w:rPr>
        <w:t>Модул</w:t>
      </w:r>
      <w:r w:rsidR="00C14482" w:rsidRPr="00295637">
        <w:rPr>
          <w:rFonts w:ascii="Times New Roman" w:hAnsi="Times New Roman"/>
        </w:rPr>
        <w:t xml:space="preserve"> </w:t>
      </w:r>
      <w:r>
        <w:rPr>
          <w:rFonts w:ascii="Times New Roman" w:hAnsi="Times New Roman"/>
        </w:rPr>
        <w:t>за</w:t>
      </w:r>
      <w:r w:rsidR="00C14482" w:rsidRPr="00295637">
        <w:rPr>
          <w:rFonts w:ascii="Times New Roman" w:hAnsi="Times New Roman"/>
        </w:rPr>
        <w:t xml:space="preserve"> </w:t>
      </w:r>
      <w:r>
        <w:rPr>
          <w:rFonts w:ascii="Times New Roman" w:hAnsi="Times New Roman"/>
        </w:rPr>
        <w:t>обуку</w:t>
      </w:r>
      <w:r w:rsidR="00C14482" w:rsidRPr="00295637">
        <w:rPr>
          <w:rFonts w:ascii="Times New Roman" w:hAnsi="Times New Roman"/>
        </w:rPr>
        <w:t xml:space="preserve"> </w:t>
      </w:r>
      <w:r>
        <w:rPr>
          <w:rFonts w:ascii="Times New Roman" w:hAnsi="Times New Roman"/>
        </w:rPr>
        <w:t>професионалаца</w:t>
      </w:r>
      <w:r w:rsidR="00C14482" w:rsidRPr="00295637">
        <w:rPr>
          <w:rFonts w:ascii="Times New Roman" w:hAnsi="Times New Roman"/>
        </w:rPr>
        <w:t xml:space="preserve"> </w:t>
      </w:r>
      <w:r>
        <w:rPr>
          <w:rFonts w:ascii="Times New Roman" w:hAnsi="Times New Roman"/>
        </w:rPr>
        <w:t>и</w:t>
      </w:r>
      <w:r w:rsidR="00C14482" w:rsidRPr="00295637">
        <w:rPr>
          <w:rFonts w:ascii="Times New Roman" w:hAnsi="Times New Roman"/>
        </w:rPr>
        <w:t xml:space="preserve"> </w:t>
      </w:r>
      <w:r>
        <w:rPr>
          <w:rFonts w:ascii="Times New Roman" w:hAnsi="Times New Roman"/>
        </w:rPr>
        <w:t>професионалки</w:t>
      </w:r>
      <w:r w:rsidR="00C14482" w:rsidRPr="00295637">
        <w:rPr>
          <w:rFonts w:ascii="Times New Roman" w:hAnsi="Times New Roman"/>
        </w:rPr>
        <w:t xml:space="preserve"> </w:t>
      </w:r>
      <w:r>
        <w:rPr>
          <w:rFonts w:ascii="Times New Roman" w:hAnsi="Times New Roman"/>
        </w:rPr>
        <w:t>у</w:t>
      </w:r>
      <w:r w:rsidR="00C14482" w:rsidRPr="00295637">
        <w:rPr>
          <w:rFonts w:ascii="Times New Roman" w:hAnsi="Times New Roman"/>
        </w:rPr>
        <w:t xml:space="preserve"> </w:t>
      </w:r>
      <w:r>
        <w:rPr>
          <w:rFonts w:ascii="Times New Roman" w:hAnsi="Times New Roman"/>
        </w:rPr>
        <w:t>правосудној</w:t>
      </w:r>
      <w:r w:rsidR="00C14482" w:rsidRPr="00295637">
        <w:rPr>
          <w:rFonts w:ascii="Times New Roman" w:hAnsi="Times New Roman"/>
        </w:rPr>
        <w:t xml:space="preserve"> </w:t>
      </w:r>
      <w:r>
        <w:rPr>
          <w:rFonts w:ascii="Times New Roman" w:hAnsi="Times New Roman"/>
        </w:rPr>
        <w:t>заједници</w:t>
      </w:r>
      <w:r w:rsidR="00C14482" w:rsidRPr="00295637">
        <w:rPr>
          <w:rFonts w:ascii="Times New Roman" w:hAnsi="Times New Roman"/>
        </w:rPr>
        <w:t xml:space="preserve">” </w:t>
      </w:r>
      <w:r>
        <w:rPr>
          <w:rFonts w:ascii="Times New Roman" w:hAnsi="Times New Roman"/>
        </w:rPr>
        <w:t>која</w:t>
      </w:r>
      <w:r w:rsidR="00C14482" w:rsidRPr="00295637">
        <w:rPr>
          <w:rFonts w:ascii="Times New Roman" w:hAnsi="Times New Roman"/>
        </w:rPr>
        <w:t xml:space="preserve"> </w:t>
      </w:r>
      <w:r>
        <w:rPr>
          <w:rFonts w:ascii="Times New Roman" w:hAnsi="Times New Roman"/>
        </w:rPr>
        <w:t>обухвата</w:t>
      </w:r>
      <w:r w:rsidR="00C14482" w:rsidRPr="00295637">
        <w:rPr>
          <w:rFonts w:ascii="Times New Roman" w:hAnsi="Times New Roman"/>
        </w:rPr>
        <w:t xml:space="preserve"> </w:t>
      </w:r>
      <w:r>
        <w:rPr>
          <w:rFonts w:ascii="Times New Roman" w:hAnsi="Times New Roman"/>
        </w:rPr>
        <w:t>теоријска</w:t>
      </w:r>
      <w:r w:rsidR="00C14482" w:rsidRPr="00295637">
        <w:rPr>
          <w:rFonts w:ascii="Times New Roman" w:hAnsi="Times New Roman"/>
        </w:rPr>
        <w:t xml:space="preserve"> </w:t>
      </w:r>
      <w:r>
        <w:rPr>
          <w:rFonts w:ascii="Times New Roman" w:hAnsi="Times New Roman"/>
        </w:rPr>
        <w:t>разматрања</w:t>
      </w:r>
      <w:r w:rsidR="00C14482" w:rsidRPr="00295637">
        <w:rPr>
          <w:rFonts w:ascii="Times New Roman" w:hAnsi="Times New Roman"/>
        </w:rPr>
        <w:t xml:space="preserve"> </w:t>
      </w:r>
      <w:r>
        <w:rPr>
          <w:rFonts w:ascii="Times New Roman" w:hAnsi="Times New Roman"/>
        </w:rPr>
        <w:t>о</w:t>
      </w:r>
      <w:r w:rsidR="00C14482" w:rsidRPr="00295637">
        <w:rPr>
          <w:rFonts w:ascii="Times New Roman" w:hAnsi="Times New Roman"/>
        </w:rPr>
        <w:t xml:space="preserve"> </w:t>
      </w:r>
      <w:r>
        <w:rPr>
          <w:rFonts w:ascii="Times New Roman" w:hAnsi="Times New Roman"/>
        </w:rPr>
        <w:t>родно</w:t>
      </w:r>
      <w:r w:rsidR="00C14482" w:rsidRPr="00295637">
        <w:rPr>
          <w:rFonts w:ascii="Times New Roman" w:hAnsi="Times New Roman"/>
        </w:rPr>
        <w:t xml:space="preserve"> </w:t>
      </w:r>
      <w:r>
        <w:rPr>
          <w:rFonts w:ascii="Times New Roman" w:hAnsi="Times New Roman"/>
        </w:rPr>
        <w:t>заснованом</w:t>
      </w:r>
      <w:r w:rsidR="00C14482" w:rsidRPr="00295637">
        <w:rPr>
          <w:rFonts w:ascii="Times New Roman" w:hAnsi="Times New Roman"/>
        </w:rPr>
        <w:t xml:space="preserve"> </w:t>
      </w:r>
      <w:r>
        <w:rPr>
          <w:rFonts w:ascii="Times New Roman" w:hAnsi="Times New Roman"/>
        </w:rPr>
        <w:t>насиљу</w:t>
      </w:r>
      <w:r w:rsidR="00C14482" w:rsidRPr="00295637">
        <w:rPr>
          <w:rFonts w:ascii="Times New Roman" w:hAnsi="Times New Roman"/>
        </w:rPr>
        <w:t xml:space="preserve">, </w:t>
      </w:r>
      <w:r>
        <w:rPr>
          <w:rFonts w:ascii="Times New Roman" w:hAnsi="Times New Roman"/>
        </w:rPr>
        <w:t>међународном</w:t>
      </w:r>
      <w:r w:rsidR="00C14482" w:rsidRPr="00295637">
        <w:rPr>
          <w:rFonts w:ascii="Times New Roman" w:hAnsi="Times New Roman"/>
        </w:rPr>
        <w:t xml:space="preserve"> </w:t>
      </w:r>
      <w:r>
        <w:rPr>
          <w:rFonts w:ascii="Times New Roman" w:hAnsi="Times New Roman"/>
        </w:rPr>
        <w:t>дефини</w:t>
      </w:r>
      <w:r w:rsidR="00D8279B">
        <w:rPr>
          <w:rFonts w:ascii="Times New Roman" w:hAnsi="Times New Roman"/>
          <w:lang w:val="sr-Cyrl-BA"/>
        </w:rPr>
        <w:t>с</w:t>
      </w:r>
      <w:r>
        <w:rPr>
          <w:rFonts w:ascii="Times New Roman" w:hAnsi="Times New Roman"/>
        </w:rPr>
        <w:t>ању</w:t>
      </w:r>
      <w:r w:rsidR="00C14482" w:rsidRPr="00295637">
        <w:rPr>
          <w:rFonts w:ascii="Times New Roman" w:hAnsi="Times New Roman"/>
        </w:rPr>
        <w:t xml:space="preserve"> </w:t>
      </w:r>
      <w:r>
        <w:rPr>
          <w:rFonts w:ascii="Times New Roman" w:hAnsi="Times New Roman"/>
        </w:rPr>
        <w:t>сексуалног</w:t>
      </w:r>
      <w:r w:rsidR="00C14482" w:rsidRPr="00295637">
        <w:rPr>
          <w:rFonts w:ascii="Times New Roman" w:hAnsi="Times New Roman"/>
        </w:rPr>
        <w:t xml:space="preserve"> </w:t>
      </w:r>
      <w:r>
        <w:rPr>
          <w:rFonts w:ascii="Times New Roman" w:hAnsi="Times New Roman"/>
        </w:rPr>
        <w:t>насиља</w:t>
      </w:r>
      <w:r w:rsidR="00C14482" w:rsidRPr="00295637">
        <w:rPr>
          <w:rFonts w:ascii="Times New Roman" w:hAnsi="Times New Roman"/>
        </w:rPr>
        <w:t xml:space="preserve">, </w:t>
      </w:r>
      <w:r>
        <w:rPr>
          <w:rFonts w:ascii="Times New Roman" w:hAnsi="Times New Roman"/>
        </w:rPr>
        <w:t>укључујући</w:t>
      </w:r>
      <w:r w:rsidR="00470069">
        <w:rPr>
          <w:rFonts w:ascii="Times New Roman" w:hAnsi="Times New Roman"/>
        </w:rPr>
        <w:t xml:space="preserve"> </w:t>
      </w:r>
      <w:r>
        <w:rPr>
          <w:rFonts w:ascii="Times New Roman" w:hAnsi="Times New Roman"/>
        </w:rPr>
        <w:t>и</w:t>
      </w:r>
      <w:r w:rsidR="00470069">
        <w:rPr>
          <w:rFonts w:ascii="Times New Roman" w:hAnsi="Times New Roman"/>
        </w:rPr>
        <w:t xml:space="preserve"> </w:t>
      </w:r>
      <w:r>
        <w:rPr>
          <w:rFonts w:ascii="Times New Roman" w:hAnsi="Times New Roman"/>
        </w:rPr>
        <w:t>силовање</w:t>
      </w:r>
      <w:r w:rsidR="00470069">
        <w:rPr>
          <w:rFonts w:ascii="Times New Roman" w:hAnsi="Times New Roman"/>
        </w:rPr>
        <w:t xml:space="preserve">, </w:t>
      </w:r>
      <w:r>
        <w:rPr>
          <w:rFonts w:ascii="Times New Roman" w:hAnsi="Times New Roman"/>
        </w:rPr>
        <w:t>као</w:t>
      </w:r>
      <w:r w:rsidR="00470069">
        <w:rPr>
          <w:rFonts w:ascii="Times New Roman" w:hAnsi="Times New Roman"/>
        </w:rPr>
        <w:t xml:space="preserve"> </w:t>
      </w:r>
      <w:r>
        <w:rPr>
          <w:rFonts w:ascii="Times New Roman" w:hAnsi="Times New Roman"/>
        </w:rPr>
        <w:t>и</w:t>
      </w:r>
      <w:r w:rsidR="00470069">
        <w:rPr>
          <w:rFonts w:ascii="Times New Roman" w:hAnsi="Times New Roman"/>
        </w:rPr>
        <w:t xml:space="preserve"> </w:t>
      </w:r>
      <w:r>
        <w:rPr>
          <w:rFonts w:ascii="Times New Roman" w:hAnsi="Times New Roman"/>
        </w:rPr>
        <w:t>обавезе</w:t>
      </w:r>
      <w:r w:rsidR="00C14482" w:rsidRPr="00295637">
        <w:rPr>
          <w:rFonts w:ascii="Times New Roman" w:hAnsi="Times New Roman"/>
        </w:rPr>
        <w:t xml:space="preserve"> </w:t>
      </w:r>
      <w:r>
        <w:rPr>
          <w:rFonts w:ascii="Times New Roman" w:hAnsi="Times New Roman"/>
        </w:rPr>
        <w:t>БиХ</w:t>
      </w:r>
      <w:r w:rsidR="00C14482" w:rsidRPr="00295637">
        <w:rPr>
          <w:rFonts w:ascii="Times New Roman" w:hAnsi="Times New Roman"/>
        </w:rPr>
        <w:t xml:space="preserve"> </w:t>
      </w:r>
      <w:r>
        <w:rPr>
          <w:rFonts w:ascii="Times New Roman" w:hAnsi="Times New Roman"/>
        </w:rPr>
        <w:t>које</w:t>
      </w:r>
      <w:r w:rsidR="00C14482" w:rsidRPr="00295637">
        <w:rPr>
          <w:rFonts w:ascii="Times New Roman" w:hAnsi="Times New Roman"/>
        </w:rPr>
        <w:t xml:space="preserve"> </w:t>
      </w:r>
      <w:r>
        <w:rPr>
          <w:rFonts w:ascii="Times New Roman" w:hAnsi="Times New Roman"/>
        </w:rPr>
        <w:t>су</w:t>
      </w:r>
      <w:r w:rsidR="00C14482" w:rsidRPr="00295637">
        <w:rPr>
          <w:rFonts w:ascii="Times New Roman" w:hAnsi="Times New Roman"/>
        </w:rPr>
        <w:t xml:space="preserve"> </w:t>
      </w:r>
      <w:r>
        <w:rPr>
          <w:rFonts w:ascii="Times New Roman" w:hAnsi="Times New Roman"/>
        </w:rPr>
        <w:t>произашле</w:t>
      </w:r>
      <w:r w:rsidR="00C14482" w:rsidRPr="00295637">
        <w:rPr>
          <w:rFonts w:ascii="Times New Roman" w:hAnsi="Times New Roman"/>
        </w:rPr>
        <w:t xml:space="preserve"> </w:t>
      </w:r>
      <w:r>
        <w:rPr>
          <w:rFonts w:ascii="Times New Roman" w:hAnsi="Times New Roman"/>
        </w:rPr>
        <w:t>потписивањем</w:t>
      </w:r>
      <w:r w:rsidR="00C14482" w:rsidRPr="00295637">
        <w:rPr>
          <w:rFonts w:ascii="Times New Roman" w:hAnsi="Times New Roman"/>
        </w:rPr>
        <w:t xml:space="preserve"> </w:t>
      </w:r>
      <w:r>
        <w:rPr>
          <w:rFonts w:ascii="Times New Roman" w:hAnsi="Times New Roman"/>
        </w:rPr>
        <w:t>Истанбулске</w:t>
      </w:r>
      <w:r w:rsidR="00C14482" w:rsidRPr="00295637">
        <w:rPr>
          <w:rFonts w:ascii="Times New Roman" w:hAnsi="Times New Roman"/>
        </w:rPr>
        <w:t xml:space="preserve"> </w:t>
      </w:r>
      <w:r>
        <w:rPr>
          <w:rFonts w:ascii="Times New Roman" w:hAnsi="Times New Roman"/>
        </w:rPr>
        <w:t>конвенције</w:t>
      </w:r>
      <w:r w:rsidR="00C14482" w:rsidRPr="00295637">
        <w:rPr>
          <w:rFonts w:ascii="Times New Roman" w:hAnsi="Times New Roman"/>
        </w:rPr>
        <w:t xml:space="preserve">, </w:t>
      </w:r>
      <w:r>
        <w:rPr>
          <w:rFonts w:ascii="Times New Roman" w:hAnsi="Times New Roman"/>
        </w:rPr>
        <w:t>а</w:t>
      </w:r>
      <w:r w:rsidR="00C14482" w:rsidRPr="00295637">
        <w:rPr>
          <w:rFonts w:ascii="Times New Roman" w:hAnsi="Times New Roman"/>
        </w:rPr>
        <w:t xml:space="preserve"> </w:t>
      </w:r>
      <w:r>
        <w:rPr>
          <w:rFonts w:ascii="Times New Roman" w:hAnsi="Times New Roman"/>
        </w:rPr>
        <w:t>које</w:t>
      </w:r>
      <w:r w:rsidR="00C14482" w:rsidRPr="00295637">
        <w:rPr>
          <w:rFonts w:ascii="Times New Roman" w:hAnsi="Times New Roman"/>
        </w:rPr>
        <w:t xml:space="preserve"> </w:t>
      </w:r>
      <w:r>
        <w:rPr>
          <w:rFonts w:ascii="Times New Roman" w:hAnsi="Times New Roman"/>
        </w:rPr>
        <w:t>се</w:t>
      </w:r>
      <w:r w:rsidR="00C14482" w:rsidRPr="00295637">
        <w:rPr>
          <w:rFonts w:ascii="Times New Roman" w:hAnsi="Times New Roman"/>
        </w:rPr>
        <w:t xml:space="preserve"> </w:t>
      </w:r>
      <w:r>
        <w:rPr>
          <w:rFonts w:ascii="Times New Roman" w:hAnsi="Times New Roman"/>
        </w:rPr>
        <w:t>тичу</w:t>
      </w:r>
      <w:r w:rsidR="00C14482" w:rsidRPr="00295637">
        <w:rPr>
          <w:rFonts w:ascii="Times New Roman" w:hAnsi="Times New Roman"/>
        </w:rPr>
        <w:t xml:space="preserve"> </w:t>
      </w:r>
      <w:r>
        <w:rPr>
          <w:rFonts w:ascii="Times New Roman" w:hAnsi="Times New Roman"/>
        </w:rPr>
        <w:t>нормирања</w:t>
      </w:r>
      <w:r w:rsidR="00C14482" w:rsidRPr="00295637">
        <w:rPr>
          <w:rFonts w:ascii="Times New Roman" w:hAnsi="Times New Roman"/>
        </w:rPr>
        <w:t xml:space="preserve"> </w:t>
      </w:r>
      <w:r>
        <w:rPr>
          <w:rFonts w:ascii="Times New Roman" w:hAnsi="Times New Roman"/>
        </w:rPr>
        <w:t>и</w:t>
      </w:r>
      <w:r w:rsidR="00C14482" w:rsidRPr="00295637">
        <w:rPr>
          <w:rFonts w:ascii="Times New Roman" w:hAnsi="Times New Roman"/>
        </w:rPr>
        <w:t xml:space="preserve"> </w:t>
      </w:r>
      <w:r>
        <w:rPr>
          <w:rFonts w:ascii="Times New Roman" w:hAnsi="Times New Roman"/>
        </w:rPr>
        <w:t>примјене</w:t>
      </w:r>
      <w:r w:rsidR="00C14482" w:rsidRPr="00295637">
        <w:rPr>
          <w:rFonts w:ascii="Times New Roman" w:hAnsi="Times New Roman"/>
        </w:rPr>
        <w:t xml:space="preserve"> </w:t>
      </w:r>
      <w:r>
        <w:rPr>
          <w:rFonts w:ascii="Times New Roman" w:hAnsi="Times New Roman"/>
        </w:rPr>
        <w:t>кривичног</w:t>
      </w:r>
      <w:r w:rsidR="00C14482" w:rsidRPr="00295637">
        <w:rPr>
          <w:rFonts w:ascii="Times New Roman" w:hAnsi="Times New Roman"/>
        </w:rPr>
        <w:t xml:space="preserve"> </w:t>
      </w:r>
      <w:r>
        <w:rPr>
          <w:rFonts w:ascii="Times New Roman" w:hAnsi="Times New Roman"/>
        </w:rPr>
        <w:t>дјела</w:t>
      </w:r>
      <w:r w:rsidR="00C14482" w:rsidRPr="00295637">
        <w:rPr>
          <w:rFonts w:ascii="Times New Roman" w:hAnsi="Times New Roman"/>
        </w:rPr>
        <w:t xml:space="preserve"> </w:t>
      </w:r>
      <w:r>
        <w:rPr>
          <w:rFonts w:ascii="Times New Roman" w:hAnsi="Times New Roman"/>
        </w:rPr>
        <w:t>силовања</w:t>
      </w:r>
      <w:r w:rsidR="00C14482" w:rsidRPr="00295637">
        <w:rPr>
          <w:rFonts w:ascii="Times New Roman" w:hAnsi="Times New Roman"/>
        </w:rPr>
        <w:t xml:space="preserve">. </w:t>
      </w:r>
      <w:r>
        <w:rPr>
          <w:rFonts w:ascii="Times New Roman" w:hAnsi="Times New Roman"/>
        </w:rPr>
        <w:t>Публикација</w:t>
      </w:r>
      <w:r w:rsidR="00C14482" w:rsidRPr="00295637">
        <w:rPr>
          <w:rFonts w:ascii="Times New Roman" w:hAnsi="Times New Roman"/>
        </w:rPr>
        <w:t xml:space="preserve"> </w:t>
      </w:r>
      <w:r>
        <w:rPr>
          <w:rFonts w:ascii="Times New Roman" w:hAnsi="Times New Roman"/>
        </w:rPr>
        <w:t>садржи</w:t>
      </w:r>
      <w:r w:rsidR="00C14482" w:rsidRPr="00295637">
        <w:rPr>
          <w:rFonts w:ascii="Times New Roman" w:hAnsi="Times New Roman"/>
        </w:rPr>
        <w:t xml:space="preserve"> </w:t>
      </w:r>
      <w:r>
        <w:rPr>
          <w:rFonts w:ascii="Times New Roman" w:hAnsi="Times New Roman"/>
        </w:rPr>
        <w:t>примјере</w:t>
      </w:r>
      <w:r w:rsidR="00470069">
        <w:rPr>
          <w:rFonts w:ascii="Times New Roman" w:hAnsi="Times New Roman"/>
        </w:rPr>
        <w:t xml:space="preserve"> </w:t>
      </w:r>
      <w:r>
        <w:rPr>
          <w:rFonts w:ascii="Times New Roman" w:hAnsi="Times New Roman"/>
        </w:rPr>
        <w:t>из</w:t>
      </w:r>
      <w:r w:rsidR="00470069">
        <w:rPr>
          <w:rFonts w:ascii="Times New Roman" w:hAnsi="Times New Roman"/>
        </w:rPr>
        <w:t xml:space="preserve"> </w:t>
      </w:r>
      <w:r>
        <w:rPr>
          <w:rFonts w:ascii="Times New Roman" w:hAnsi="Times New Roman"/>
        </w:rPr>
        <w:t>судске</w:t>
      </w:r>
      <w:r w:rsidR="00470069">
        <w:rPr>
          <w:rFonts w:ascii="Times New Roman" w:hAnsi="Times New Roman"/>
        </w:rPr>
        <w:t xml:space="preserve"> </w:t>
      </w:r>
      <w:r>
        <w:rPr>
          <w:rFonts w:ascii="Times New Roman" w:hAnsi="Times New Roman"/>
        </w:rPr>
        <w:t>праксе</w:t>
      </w:r>
      <w:r w:rsidR="00470069">
        <w:rPr>
          <w:rFonts w:ascii="Times New Roman" w:hAnsi="Times New Roman"/>
        </w:rPr>
        <w:t xml:space="preserve"> </w:t>
      </w:r>
      <w:r>
        <w:rPr>
          <w:rFonts w:ascii="Times New Roman" w:hAnsi="Times New Roman"/>
        </w:rPr>
        <w:t>у</w:t>
      </w:r>
      <w:r w:rsidR="00470069">
        <w:rPr>
          <w:rFonts w:ascii="Times New Roman" w:hAnsi="Times New Roman"/>
        </w:rPr>
        <w:t xml:space="preserve"> </w:t>
      </w:r>
      <w:r>
        <w:rPr>
          <w:rFonts w:ascii="Times New Roman" w:hAnsi="Times New Roman"/>
        </w:rPr>
        <w:t>вези</w:t>
      </w:r>
      <w:r w:rsidR="00470069">
        <w:rPr>
          <w:rFonts w:ascii="Times New Roman" w:hAnsi="Times New Roman"/>
        </w:rPr>
        <w:t xml:space="preserve"> </w:t>
      </w:r>
      <w:r>
        <w:rPr>
          <w:rFonts w:ascii="Times New Roman" w:hAnsi="Times New Roman"/>
        </w:rPr>
        <w:t>са</w:t>
      </w:r>
      <w:r w:rsidR="00C14482" w:rsidRPr="00295637">
        <w:rPr>
          <w:rFonts w:ascii="Times New Roman" w:hAnsi="Times New Roman"/>
        </w:rPr>
        <w:t xml:space="preserve"> </w:t>
      </w:r>
      <w:r>
        <w:rPr>
          <w:rFonts w:ascii="Times New Roman" w:hAnsi="Times New Roman"/>
        </w:rPr>
        <w:t>тумачењем</w:t>
      </w:r>
      <w:r w:rsidR="00C14482" w:rsidRPr="00295637">
        <w:rPr>
          <w:rFonts w:ascii="Times New Roman" w:hAnsi="Times New Roman"/>
        </w:rPr>
        <w:t xml:space="preserve"> </w:t>
      </w:r>
      <w:r>
        <w:rPr>
          <w:rFonts w:ascii="Times New Roman" w:hAnsi="Times New Roman"/>
        </w:rPr>
        <w:t>појединих</w:t>
      </w:r>
      <w:r w:rsidR="00C14482" w:rsidRPr="00295637">
        <w:rPr>
          <w:rFonts w:ascii="Times New Roman" w:hAnsi="Times New Roman"/>
        </w:rPr>
        <w:t xml:space="preserve"> </w:t>
      </w:r>
      <w:r>
        <w:rPr>
          <w:rFonts w:ascii="Times New Roman" w:hAnsi="Times New Roman"/>
        </w:rPr>
        <w:t>елемената</w:t>
      </w:r>
      <w:r w:rsidR="00C14482" w:rsidRPr="00295637">
        <w:rPr>
          <w:rFonts w:ascii="Times New Roman" w:hAnsi="Times New Roman"/>
        </w:rPr>
        <w:t xml:space="preserve"> </w:t>
      </w:r>
      <w:r>
        <w:rPr>
          <w:rFonts w:ascii="Times New Roman" w:hAnsi="Times New Roman"/>
        </w:rPr>
        <w:t>кривичног</w:t>
      </w:r>
      <w:r w:rsidR="00C14482" w:rsidRPr="00295637">
        <w:rPr>
          <w:rFonts w:ascii="Times New Roman" w:hAnsi="Times New Roman"/>
        </w:rPr>
        <w:t xml:space="preserve"> </w:t>
      </w:r>
      <w:r>
        <w:rPr>
          <w:rFonts w:ascii="Times New Roman" w:hAnsi="Times New Roman"/>
        </w:rPr>
        <w:t>дјела</w:t>
      </w:r>
      <w:r w:rsidR="00C14482" w:rsidRPr="00295637">
        <w:rPr>
          <w:rFonts w:ascii="Times New Roman" w:hAnsi="Times New Roman"/>
        </w:rPr>
        <w:t xml:space="preserve"> </w:t>
      </w:r>
      <w:r>
        <w:rPr>
          <w:rFonts w:ascii="Times New Roman" w:hAnsi="Times New Roman"/>
        </w:rPr>
        <w:t>силовања</w:t>
      </w:r>
      <w:r w:rsidR="00C14482" w:rsidRPr="00295637">
        <w:rPr>
          <w:rFonts w:ascii="Times New Roman" w:hAnsi="Times New Roman"/>
        </w:rPr>
        <w:t xml:space="preserve"> </w:t>
      </w:r>
      <w:r>
        <w:rPr>
          <w:rFonts w:ascii="Times New Roman" w:hAnsi="Times New Roman"/>
        </w:rPr>
        <w:t>указујући</w:t>
      </w:r>
      <w:r w:rsidR="00C14482" w:rsidRPr="00295637">
        <w:rPr>
          <w:rFonts w:ascii="Times New Roman" w:hAnsi="Times New Roman"/>
        </w:rPr>
        <w:t xml:space="preserve"> </w:t>
      </w:r>
      <w:r>
        <w:rPr>
          <w:rFonts w:ascii="Times New Roman" w:hAnsi="Times New Roman"/>
        </w:rPr>
        <w:t>на</w:t>
      </w:r>
      <w:r w:rsidR="00C14482" w:rsidRPr="00295637">
        <w:rPr>
          <w:rFonts w:ascii="Times New Roman" w:hAnsi="Times New Roman"/>
        </w:rPr>
        <w:t xml:space="preserve"> </w:t>
      </w:r>
      <w:r>
        <w:rPr>
          <w:rFonts w:ascii="Times New Roman" w:hAnsi="Times New Roman"/>
        </w:rPr>
        <w:t>примјере</w:t>
      </w:r>
      <w:r w:rsidR="00C14482" w:rsidRPr="00295637">
        <w:rPr>
          <w:rFonts w:ascii="Times New Roman" w:hAnsi="Times New Roman"/>
        </w:rPr>
        <w:t xml:space="preserve"> </w:t>
      </w:r>
      <w:r>
        <w:rPr>
          <w:rFonts w:ascii="Times New Roman" w:hAnsi="Times New Roman"/>
        </w:rPr>
        <w:t>неадекватне</w:t>
      </w:r>
      <w:r w:rsidR="00C14482" w:rsidRPr="00295637">
        <w:rPr>
          <w:rFonts w:ascii="Times New Roman" w:hAnsi="Times New Roman"/>
        </w:rPr>
        <w:t xml:space="preserve"> </w:t>
      </w:r>
      <w:r>
        <w:rPr>
          <w:rFonts w:ascii="Times New Roman" w:hAnsi="Times New Roman"/>
        </w:rPr>
        <w:t>и</w:t>
      </w:r>
      <w:r w:rsidR="00C14482" w:rsidRPr="00295637">
        <w:rPr>
          <w:rFonts w:ascii="Times New Roman" w:hAnsi="Times New Roman"/>
        </w:rPr>
        <w:t xml:space="preserve"> </w:t>
      </w:r>
      <w:r>
        <w:rPr>
          <w:rFonts w:ascii="Times New Roman" w:hAnsi="Times New Roman"/>
        </w:rPr>
        <w:t>адекватне</w:t>
      </w:r>
      <w:r w:rsidR="00C14482" w:rsidRPr="00295637">
        <w:rPr>
          <w:rFonts w:ascii="Times New Roman" w:hAnsi="Times New Roman"/>
        </w:rPr>
        <w:t xml:space="preserve"> </w:t>
      </w:r>
      <w:r>
        <w:rPr>
          <w:rFonts w:ascii="Times New Roman" w:hAnsi="Times New Roman"/>
        </w:rPr>
        <w:t>судске</w:t>
      </w:r>
      <w:r w:rsidR="00C14482" w:rsidRPr="00295637">
        <w:rPr>
          <w:rFonts w:ascii="Times New Roman" w:hAnsi="Times New Roman"/>
        </w:rPr>
        <w:t xml:space="preserve"> </w:t>
      </w:r>
      <w:r>
        <w:rPr>
          <w:rFonts w:ascii="Times New Roman" w:hAnsi="Times New Roman"/>
        </w:rPr>
        <w:t>праксе</w:t>
      </w:r>
      <w:r w:rsidR="00C14482" w:rsidRPr="00295637">
        <w:rPr>
          <w:rFonts w:ascii="Times New Roman" w:hAnsi="Times New Roman"/>
        </w:rPr>
        <w:t xml:space="preserve"> </w:t>
      </w:r>
      <w:r>
        <w:rPr>
          <w:rFonts w:ascii="Times New Roman" w:hAnsi="Times New Roman"/>
        </w:rPr>
        <w:t>и</w:t>
      </w:r>
      <w:r w:rsidR="00C14482" w:rsidRPr="00295637">
        <w:rPr>
          <w:rFonts w:ascii="Times New Roman" w:hAnsi="Times New Roman"/>
        </w:rPr>
        <w:t xml:space="preserve"> </w:t>
      </w:r>
      <w:r>
        <w:rPr>
          <w:rFonts w:ascii="Times New Roman" w:hAnsi="Times New Roman"/>
        </w:rPr>
        <w:t>дајући</w:t>
      </w:r>
      <w:r w:rsidR="00C14482" w:rsidRPr="00295637">
        <w:rPr>
          <w:rFonts w:ascii="Times New Roman" w:hAnsi="Times New Roman"/>
        </w:rPr>
        <w:t xml:space="preserve"> </w:t>
      </w:r>
      <w:r>
        <w:rPr>
          <w:rFonts w:ascii="Times New Roman" w:hAnsi="Times New Roman"/>
        </w:rPr>
        <w:t>примат</w:t>
      </w:r>
      <w:r w:rsidR="00C14482" w:rsidRPr="00295637">
        <w:rPr>
          <w:rFonts w:ascii="Times New Roman" w:hAnsi="Times New Roman"/>
        </w:rPr>
        <w:t xml:space="preserve"> </w:t>
      </w:r>
      <w:r>
        <w:rPr>
          <w:rFonts w:ascii="Times New Roman" w:hAnsi="Times New Roman"/>
        </w:rPr>
        <w:t>тумачењу</w:t>
      </w:r>
      <w:r w:rsidR="00C14482" w:rsidRPr="00295637">
        <w:rPr>
          <w:rFonts w:ascii="Times New Roman" w:hAnsi="Times New Roman"/>
        </w:rPr>
        <w:t xml:space="preserve"> </w:t>
      </w:r>
      <w:r>
        <w:rPr>
          <w:rFonts w:ascii="Times New Roman" w:hAnsi="Times New Roman"/>
        </w:rPr>
        <w:t>елемента</w:t>
      </w:r>
      <w:r w:rsidR="00C14482" w:rsidRPr="00295637">
        <w:rPr>
          <w:rFonts w:ascii="Times New Roman" w:hAnsi="Times New Roman"/>
        </w:rPr>
        <w:t xml:space="preserve"> </w:t>
      </w:r>
      <w:r>
        <w:rPr>
          <w:rFonts w:ascii="Times New Roman" w:hAnsi="Times New Roman"/>
        </w:rPr>
        <w:t>принуде</w:t>
      </w:r>
      <w:r w:rsidR="00C14482" w:rsidRPr="00295637">
        <w:rPr>
          <w:rFonts w:ascii="Times New Roman" w:hAnsi="Times New Roman"/>
        </w:rPr>
        <w:t xml:space="preserve"> </w:t>
      </w:r>
      <w:r>
        <w:rPr>
          <w:rFonts w:ascii="Times New Roman" w:hAnsi="Times New Roman"/>
        </w:rPr>
        <w:t>у</w:t>
      </w:r>
      <w:r w:rsidR="00C14482" w:rsidRPr="00295637">
        <w:rPr>
          <w:rFonts w:ascii="Times New Roman" w:hAnsi="Times New Roman"/>
        </w:rPr>
        <w:t xml:space="preserve"> </w:t>
      </w:r>
      <w:r>
        <w:rPr>
          <w:rFonts w:ascii="Times New Roman" w:hAnsi="Times New Roman"/>
        </w:rPr>
        <w:t>контексту</w:t>
      </w:r>
      <w:r w:rsidR="00C14482" w:rsidRPr="00295637">
        <w:rPr>
          <w:rFonts w:ascii="Times New Roman" w:hAnsi="Times New Roman"/>
        </w:rPr>
        <w:t xml:space="preserve"> </w:t>
      </w:r>
      <w:r>
        <w:rPr>
          <w:rFonts w:ascii="Times New Roman" w:hAnsi="Times New Roman"/>
        </w:rPr>
        <w:t>међународних</w:t>
      </w:r>
      <w:r w:rsidR="00C14482" w:rsidRPr="00295637">
        <w:rPr>
          <w:rFonts w:ascii="Times New Roman" w:hAnsi="Times New Roman"/>
        </w:rPr>
        <w:t xml:space="preserve"> </w:t>
      </w:r>
      <w:r>
        <w:rPr>
          <w:rFonts w:ascii="Times New Roman" w:hAnsi="Times New Roman"/>
        </w:rPr>
        <w:t>стандарда</w:t>
      </w:r>
      <w:r w:rsidR="00C14482" w:rsidRPr="00295637">
        <w:rPr>
          <w:rFonts w:ascii="Times New Roman" w:hAnsi="Times New Roman"/>
        </w:rPr>
        <w:t xml:space="preserve"> </w:t>
      </w:r>
      <w:r>
        <w:rPr>
          <w:rFonts w:ascii="Times New Roman" w:hAnsi="Times New Roman"/>
        </w:rPr>
        <w:t>и</w:t>
      </w:r>
      <w:r w:rsidR="00C14482" w:rsidRPr="00295637">
        <w:rPr>
          <w:rFonts w:ascii="Times New Roman" w:hAnsi="Times New Roman"/>
        </w:rPr>
        <w:t xml:space="preserve"> </w:t>
      </w:r>
      <w:r>
        <w:rPr>
          <w:rFonts w:ascii="Times New Roman" w:hAnsi="Times New Roman"/>
        </w:rPr>
        <w:t>тенденција</w:t>
      </w:r>
      <w:r w:rsidR="00C14482" w:rsidRPr="00295637">
        <w:rPr>
          <w:rFonts w:ascii="Times New Roman" w:hAnsi="Times New Roman"/>
        </w:rPr>
        <w:t xml:space="preserve"> </w:t>
      </w:r>
      <w:r>
        <w:rPr>
          <w:rFonts w:ascii="Times New Roman" w:hAnsi="Times New Roman"/>
        </w:rPr>
        <w:t>у</w:t>
      </w:r>
      <w:r w:rsidR="00C14482" w:rsidRPr="00295637">
        <w:rPr>
          <w:rFonts w:ascii="Times New Roman" w:hAnsi="Times New Roman"/>
        </w:rPr>
        <w:t xml:space="preserve"> </w:t>
      </w:r>
      <w:r>
        <w:rPr>
          <w:rFonts w:ascii="Times New Roman" w:hAnsi="Times New Roman"/>
        </w:rPr>
        <w:t>овој</w:t>
      </w:r>
      <w:r w:rsidR="00C14482" w:rsidRPr="00295637">
        <w:rPr>
          <w:rFonts w:ascii="Times New Roman" w:hAnsi="Times New Roman"/>
        </w:rPr>
        <w:t xml:space="preserve"> </w:t>
      </w:r>
      <w:r>
        <w:rPr>
          <w:rFonts w:ascii="Times New Roman" w:hAnsi="Times New Roman"/>
        </w:rPr>
        <w:t>области</w:t>
      </w:r>
      <w:r w:rsidR="00C14482" w:rsidRPr="00295637">
        <w:rPr>
          <w:rFonts w:ascii="Times New Roman" w:hAnsi="Times New Roman"/>
        </w:rPr>
        <w:t xml:space="preserve">. </w:t>
      </w:r>
      <w:r>
        <w:rPr>
          <w:rFonts w:ascii="Times New Roman" w:hAnsi="Times New Roman"/>
        </w:rPr>
        <w:t>Значајна</w:t>
      </w:r>
      <w:r w:rsidR="00C14482" w:rsidRPr="00295637">
        <w:rPr>
          <w:rFonts w:ascii="Times New Roman" w:hAnsi="Times New Roman"/>
        </w:rPr>
        <w:t xml:space="preserve"> </w:t>
      </w:r>
      <w:r>
        <w:rPr>
          <w:rFonts w:ascii="Times New Roman" w:hAnsi="Times New Roman"/>
        </w:rPr>
        <w:t>пажња</w:t>
      </w:r>
      <w:r w:rsidR="00C14482" w:rsidRPr="00295637">
        <w:rPr>
          <w:rFonts w:ascii="Times New Roman" w:hAnsi="Times New Roman"/>
        </w:rPr>
        <w:t xml:space="preserve"> </w:t>
      </w:r>
      <w:r>
        <w:rPr>
          <w:rFonts w:ascii="Times New Roman" w:hAnsi="Times New Roman"/>
        </w:rPr>
        <w:t>посвећена</w:t>
      </w:r>
      <w:r w:rsidR="00C14482" w:rsidRPr="00295637">
        <w:rPr>
          <w:rFonts w:ascii="Times New Roman" w:hAnsi="Times New Roman"/>
        </w:rPr>
        <w:t xml:space="preserve"> </w:t>
      </w:r>
      <w:r>
        <w:rPr>
          <w:rFonts w:ascii="Times New Roman" w:hAnsi="Times New Roman"/>
        </w:rPr>
        <w:t>је</w:t>
      </w:r>
      <w:r w:rsidR="0021087F" w:rsidRPr="00295637">
        <w:rPr>
          <w:rFonts w:ascii="Times New Roman" w:hAnsi="Times New Roman"/>
        </w:rPr>
        <w:t xml:space="preserve"> </w:t>
      </w:r>
      <w:r>
        <w:rPr>
          <w:rFonts w:ascii="Times New Roman" w:hAnsi="Times New Roman"/>
        </w:rPr>
        <w:t>и</w:t>
      </w:r>
      <w:r w:rsidR="00C14482" w:rsidRPr="00295637">
        <w:rPr>
          <w:rFonts w:ascii="Times New Roman" w:hAnsi="Times New Roman"/>
        </w:rPr>
        <w:t xml:space="preserve"> </w:t>
      </w:r>
      <w:r>
        <w:rPr>
          <w:rFonts w:ascii="Times New Roman" w:hAnsi="Times New Roman"/>
        </w:rPr>
        <w:t>одмјеравању</w:t>
      </w:r>
      <w:r w:rsidR="00C14482" w:rsidRPr="00295637">
        <w:rPr>
          <w:rFonts w:ascii="Times New Roman" w:hAnsi="Times New Roman"/>
        </w:rPr>
        <w:t xml:space="preserve"> </w:t>
      </w:r>
      <w:r>
        <w:rPr>
          <w:rFonts w:ascii="Times New Roman" w:hAnsi="Times New Roman"/>
        </w:rPr>
        <w:t>казне</w:t>
      </w:r>
      <w:r w:rsidR="00C14482" w:rsidRPr="00295637">
        <w:rPr>
          <w:rFonts w:ascii="Times New Roman" w:hAnsi="Times New Roman"/>
        </w:rPr>
        <w:t xml:space="preserve">, </w:t>
      </w:r>
      <w:r>
        <w:rPr>
          <w:rFonts w:ascii="Times New Roman" w:hAnsi="Times New Roman"/>
        </w:rPr>
        <w:t>те</w:t>
      </w:r>
      <w:r w:rsidR="00C14482" w:rsidRPr="00295637">
        <w:rPr>
          <w:rFonts w:ascii="Times New Roman" w:hAnsi="Times New Roman"/>
        </w:rPr>
        <w:t xml:space="preserve"> </w:t>
      </w:r>
      <w:r>
        <w:rPr>
          <w:rFonts w:ascii="Times New Roman" w:hAnsi="Times New Roman"/>
        </w:rPr>
        <w:t>психолошкој</w:t>
      </w:r>
      <w:r w:rsidR="00C14482" w:rsidRPr="00295637">
        <w:rPr>
          <w:rFonts w:ascii="Times New Roman" w:hAnsi="Times New Roman"/>
        </w:rPr>
        <w:t xml:space="preserve"> </w:t>
      </w:r>
      <w:r>
        <w:rPr>
          <w:rFonts w:ascii="Times New Roman" w:hAnsi="Times New Roman"/>
        </w:rPr>
        <w:t>трауми</w:t>
      </w:r>
      <w:r w:rsidR="00C14482" w:rsidRPr="00295637">
        <w:rPr>
          <w:rFonts w:ascii="Times New Roman" w:hAnsi="Times New Roman"/>
        </w:rPr>
        <w:t xml:space="preserve"> </w:t>
      </w:r>
      <w:r>
        <w:rPr>
          <w:rFonts w:ascii="Times New Roman" w:hAnsi="Times New Roman"/>
        </w:rPr>
        <w:t>силовања</w:t>
      </w:r>
      <w:r w:rsidR="00C14482" w:rsidRPr="00295637">
        <w:rPr>
          <w:rFonts w:ascii="Times New Roman" w:hAnsi="Times New Roman"/>
        </w:rPr>
        <w:t xml:space="preserve"> </w:t>
      </w:r>
      <w:r w:rsidR="00D8279B">
        <w:rPr>
          <w:rFonts w:ascii="Times New Roman" w:hAnsi="Times New Roman"/>
          <w:lang w:val="sr-Cyrl-BA"/>
        </w:rPr>
        <w:t>с</w:t>
      </w:r>
      <w:r w:rsidR="00C14482" w:rsidRPr="00295637">
        <w:rPr>
          <w:rFonts w:ascii="Times New Roman" w:hAnsi="Times New Roman"/>
        </w:rPr>
        <w:t xml:space="preserve"> </w:t>
      </w:r>
      <w:r>
        <w:rPr>
          <w:rFonts w:ascii="Times New Roman" w:hAnsi="Times New Roman"/>
        </w:rPr>
        <w:t>циљ</w:t>
      </w:r>
      <w:r w:rsidR="00D8279B">
        <w:rPr>
          <w:rFonts w:ascii="Times New Roman" w:hAnsi="Times New Roman"/>
          <w:lang w:val="sr-Cyrl-BA"/>
        </w:rPr>
        <w:t>ем</w:t>
      </w:r>
      <w:r w:rsidR="00C14482" w:rsidRPr="00295637">
        <w:rPr>
          <w:rFonts w:ascii="Times New Roman" w:hAnsi="Times New Roman"/>
        </w:rPr>
        <w:t xml:space="preserve"> </w:t>
      </w:r>
      <w:r>
        <w:rPr>
          <w:rFonts w:ascii="Times New Roman" w:hAnsi="Times New Roman"/>
        </w:rPr>
        <w:t>да</w:t>
      </w:r>
      <w:r w:rsidR="00C14482" w:rsidRPr="00295637">
        <w:rPr>
          <w:rFonts w:ascii="Times New Roman" w:hAnsi="Times New Roman"/>
        </w:rPr>
        <w:t xml:space="preserve"> </w:t>
      </w:r>
      <w:r>
        <w:rPr>
          <w:rFonts w:ascii="Times New Roman" w:hAnsi="Times New Roman"/>
        </w:rPr>
        <w:t>се</w:t>
      </w:r>
      <w:r w:rsidR="00C14482" w:rsidRPr="00295637">
        <w:rPr>
          <w:rFonts w:ascii="Times New Roman" w:hAnsi="Times New Roman"/>
        </w:rPr>
        <w:t xml:space="preserve"> </w:t>
      </w:r>
      <w:r>
        <w:rPr>
          <w:rFonts w:ascii="Times New Roman" w:hAnsi="Times New Roman"/>
        </w:rPr>
        <w:t>представницима</w:t>
      </w:r>
      <w:r w:rsidR="00C14482" w:rsidRPr="00295637">
        <w:rPr>
          <w:rFonts w:ascii="Times New Roman" w:hAnsi="Times New Roman"/>
        </w:rPr>
        <w:t xml:space="preserve"> </w:t>
      </w:r>
      <w:r>
        <w:rPr>
          <w:rFonts w:ascii="Times New Roman" w:hAnsi="Times New Roman"/>
        </w:rPr>
        <w:t>правосудне</w:t>
      </w:r>
      <w:r w:rsidR="00C14482" w:rsidRPr="00295637">
        <w:rPr>
          <w:rFonts w:ascii="Times New Roman" w:hAnsi="Times New Roman"/>
        </w:rPr>
        <w:t xml:space="preserve"> </w:t>
      </w:r>
      <w:r>
        <w:rPr>
          <w:rFonts w:ascii="Times New Roman" w:hAnsi="Times New Roman"/>
        </w:rPr>
        <w:t>заједнице</w:t>
      </w:r>
      <w:r w:rsidR="00C14482" w:rsidRPr="00295637">
        <w:rPr>
          <w:rFonts w:ascii="Times New Roman" w:hAnsi="Times New Roman"/>
        </w:rPr>
        <w:t xml:space="preserve"> </w:t>
      </w:r>
      <w:r>
        <w:rPr>
          <w:rFonts w:ascii="Times New Roman" w:hAnsi="Times New Roman"/>
        </w:rPr>
        <w:t>приближе</w:t>
      </w:r>
      <w:r w:rsidR="00C14482" w:rsidRPr="00295637">
        <w:rPr>
          <w:rFonts w:ascii="Times New Roman" w:hAnsi="Times New Roman"/>
        </w:rPr>
        <w:t xml:space="preserve"> </w:t>
      </w:r>
      <w:r>
        <w:rPr>
          <w:rFonts w:ascii="Times New Roman" w:hAnsi="Times New Roman"/>
        </w:rPr>
        <w:t>негативне</w:t>
      </w:r>
      <w:r w:rsidR="00C14482" w:rsidRPr="00295637">
        <w:rPr>
          <w:rFonts w:ascii="Times New Roman" w:hAnsi="Times New Roman"/>
        </w:rPr>
        <w:t xml:space="preserve"> </w:t>
      </w:r>
      <w:r>
        <w:rPr>
          <w:rFonts w:ascii="Times New Roman" w:hAnsi="Times New Roman"/>
        </w:rPr>
        <w:t>посљедице</w:t>
      </w:r>
      <w:r w:rsidR="00C14482" w:rsidRPr="00295637">
        <w:rPr>
          <w:rFonts w:ascii="Times New Roman" w:hAnsi="Times New Roman"/>
        </w:rPr>
        <w:t xml:space="preserve"> </w:t>
      </w:r>
      <w:r>
        <w:rPr>
          <w:rFonts w:ascii="Times New Roman" w:hAnsi="Times New Roman"/>
        </w:rPr>
        <w:t>које</w:t>
      </w:r>
      <w:r w:rsidR="00C14482" w:rsidRPr="00295637">
        <w:rPr>
          <w:rFonts w:ascii="Times New Roman" w:hAnsi="Times New Roman"/>
        </w:rPr>
        <w:t xml:space="preserve"> </w:t>
      </w:r>
      <w:r>
        <w:rPr>
          <w:rFonts w:ascii="Times New Roman" w:hAnsi="Times New Roman"/>
        </w:rPr>
        <w:t>ово</w:t>
      </w:r>
      <w:r w:rsidR="00C14482" w:rsidRPr="00295637">
        <w:rPr>
          <w:rFonts w:ascii="Times New Roman" w:hAnsi="Times New Roman"/>
        </w:rPr>
        <w:t xml:space="preserve"> </w:t>
      </w:r>
      <w:r>
        <w:rPr>
          <w:rFonts w:ascii="Times New Roman" w:hAnsi="Times New Roman"/>
        </w:rPr>
        <w:t>кривично</w:t>
      </w:r>
      <w:r w:rsidR="00C14482" w:rsidRPr="00295637">
        <w:rPr>
          <w:rFonts w:ascii="Times New Roman" w:hAnsi="Times New Roman"/>
        </w:rPr>
        <w:t xml:space="preserve"> </w:t>
      </w:r>
      <w:r>
        <w:rPr>
          <w:rFonts w:ascii="Times New Roman" w:hAnsi="Times New Roman"/>
        </w:rPr>
        <w:t>дјело</w:t>
      </w:r>
      <w:r w:rsidR="00C14482" w:rsidRPr="00295637">
        <w:rPr>
          <w:rFonts w:ascii="Times New Roman" w:hAnsi="Times New Roman"/>
        </w:rPr>
        <w:t xml:space="preserve"> </w:t>
      </w:r>
      <w:r>
        <w:rPr>
          <w:rFonts w:ascii="Times New Roman" w:hAnsi="Times New Roman"/>
        </w:rPr>
        <w:t>проузрокује</w:t>
      </w:r>
      <w:r w:rsidR="00C14482" w:rsidRPr="00295637">
        <w:rPr>
          <w:rFonts w:ascii="Times New Roman" w:hAnsi="Times New Roman"/>
        </w:rPr>
        <w:t xml:space="preserve"> </w:t>
      </w:r>
      <w:r>
        <w:rPr>
          <w:rFonts w:ascii="Times New Roman" w:hAnsi="Times New Roman"/>
        </w:rPr>
        <w:t>у</w:t>
      </w:r>
      <w:r w:rsidR="00C14482" w:rsidRPr="00295637">
        <w:rPr>
          <w:rFonts w:ascii="Times New Roman" w:hAnsi="Times New Roman"/>
        </w:rPr>
        <w:t xml:space="preserve"> </w:t>
      </w:r>
      <w:r>
        <w:rPr>
          <w:rFonts w:ascii="Times New Roman" w:hAnsi="Times New Roman"/>
        </w:rPr>
        <w:t>каснијем</w:t>
      </w:r>
      <w:r w:rsidR="00C14482" w:rsidRPr="00295637">
        <w:rPr>
          <w:rFonts w:ascii="Times New Roman" w:hAnsi="Times New Roman"/>
        </w:rPr>
        <w:t xml:space="preserve"> </w:t>
      </w:r>
      <w:r>
        <w:rPr>
          <w:rFonts w:ascii="Times New Roman" w:hAnsi="Times New Roman"/>
        </w:rPr>
        <w:t>животу</w:t>
      </w:r>
      <w:r w:rsidR="00C14482" w:rsidRPr="00295637">
        <w:rPr>
          <w:rFonts w:ascii="Times New Roman" w:hAnsi="Times New Roman"/>
        </w:rPr>
        <w:t xml:space="preserve"> </w:t>
      </w:r>
      <w:r>
        <w:rPr>
          <w:rFonts w:ascii="Times New Roman" w:hAnsi="Times New Roman"/>
        </w:rPr>
        <w:t>жртве</w:t>
      </w:r>
      <w:r w:rsidR="00C14482" w:rsidRPr="00295637">
        <w:rPr>
          <w:rFonts w:ascii="Times New Roman" w:hAnsi="Times New Roman"/>
        </w:rPr>
        <w:t xml:space="preserve">. </w:t>
      </w:r>
      <w:r>
        <w:rPr>
          <w:rFonts w:ascii="Times New Roman" w:hAnsi="Times New Roman"/>
        </w:rPr>
        <w:t>Циљ</w:t>
      </w:r>
      <w:r w:rsidR="00C14482" w:rsidRPr="00295637">
        <w:rPr>
          <w:rFonts w:ascii="Times New Roman" w:hAnsi="Times New Roman"/>
        </w:rPr>
        <w:t xml:space="preserve"> </w:t>
      </w:r>
      <w:r>
        <w:rPr>
          <w:rFonts w:ascii="Times New Roman" w:hAnsi="Times New Roman"/>
        </w:rPr>
        <w:t>ове</w:t>
      </w:r>
      <w:r w:rsidR="00C14482" w:rsidRPr="00295637">
        <w:rPr>
          <w:rFonts w:ascii="Times New Roman" w:hAnsi="Times New Roman"/>
        </w:rPr>
        <w:t xml:space="preserve"> </w:t>
      </w:r>
      <w:r>
        <w:rPr>
          <w:rFonts w:ascii="Times New Roman" w:hAnsi="Times New Roman"/>
        </w:rPr>
        <w:t>едукације</w:t>
      </w:r>
      <w:r w:rsidR="00C14482" w:rsidRPr="00295637">
        <w:rPr>
          <w:rFonts w:ascii="Times New Roman" w:hAnsi="Times New Roman"/>
        </w:rPr>
        <w:t xml:space="preserve"> </w:t>
      </w:r>
      <w:r>
        <w:rPr>
          <w:rFonts w:ascii="Times New Roman" w:hAnsi="Times New Roman"/>
        </w:rPr>
        <w:t>јесте</w:t>
      </w:r>
      <w:r w:rsidR="00C14482" w:rsidRPr="00295637">
        <w:rPr>
          <w:rFonts w:ascii="Times New Roman" w:hAnsi="Times New Roman"/>
        </w:rPr>
        <w:t xml:space="preserve"> </w:t>
      </w:r>
      <w:r>
        <w:rPr>
          <w:rFonts w:ascii="Times New Roman" w:hAnsi="Times New Roman"/>
        </w:rPr>
        <w:t>да</w:t>
      </w:r>
      <w:r w:rsidR="00C14482" w:rsidRPr="00295637">
        <w:rPr>
          <w:rFonts w:ascii="Times New Roman" w:hAnsi="Times New Roman"/>
        </w:rPr>
        <w:t xml:space="preserve"> </w:t>
      </w:r>
      <w:r>
        <w:rPr>
          <w:rFonts w:ascii="Times New Roman" w:hAnsi="Times New Roman"/>
        </w:rPr>
        <w:t>се</w:t>
      </w:r>
      <w:r w:rsidR="00470069">
        <w:rPr>
          <w:rFonts w:ascii="Times New Roman" w:hAnsi="Times New Roman"/>
        </w:rPr>
        <w:t xml:space="preserve"> </w:t>
      </w:r>
      <w:r>
        <w:rPr>
          <w:rFonts w:ascii="Times New Roman" w:hAnsi="Times New Roman"/>
        </w:rPr>
        <w:t>правосудна</w:t>
      </w:r>
      <w:r w:rsidR="00470069">
        <w:rPr>
          <w:rFonts w:ascii="Times New Roman" w:hAnsi="Times New Roman"/>
        </w:rPr>
        <w:t xml:space="preserve"> </w:t>
      </w:r>
      <w:r>
        <w:rPr>
          <w:rFonts w:ascii="Times New Roman" w:hAnsi="Times New Roman"/>
        </w:rPr>
        <w:t>заједница</w:t>
      </w:r>
      <w:r w:rsidR="00470069">
        <w:rPr>
          <w:rFonts w:ascii="Times New Roman" w:hAnsi="Times New Roman"/>
        </w:rPr>
        <w:t xml:space="preserve"> </w:t>
      </w:r>
      <w:r>
        <w:rPr>
          <w:rFonts w:ascii="Times New Roman" w:hAnsi="Times New Roman"/>
        </w:rPr>
        <w:t>упозна</w:t>
      </w:r>
      <w:r w:rsidR="00470069">
        <w:rPr>
          <w:rFonts w:ascii="Times New Roman" w:hAnsi="Times New Roman"/>
        </w:rPr>
        <w:t xml:space="preserve"> </w:t>
      </w:r>
      <w:r>
        <w:rPr>
          <w:rFonts w:ascii="Times New Roman" w:hAnsi="Times New Roman"/>
        </w:rPr>
        <w:t>са</w:t>
      </w:r>
      <w:r w:rsidR="00C14482" w:rsidRPr="00295637">
        <w:rPr>
          <w:rFonts w:ascii="Times New Roman" w:hAnsi="Times New Roman"/>
        </w:rPr>
        <w:t xml:space="preserve"> </w:t>
      </w:r>
      <w:r>
        <w:rPr>
          <w:rFonts w:ascii="Times New Roman" w:hAnsi="Times New Roman"/>
        </w:rPr>
        <w:t>новим</w:t>
      </w:r>
      <w:r w:rsidR="00C14482" w:rsidRPr="00295637">
        <w:rPr>
          <w:rFonts w:ascii="Times New Roman" w:hAnsi="Times New Roman"/>
        </w:rPr>
        <w:t xml:space="preserve"> </w:t>
      </w:r>
      <w:r>
        <w:rPr>
          <w:rFonts w:ascii="Times New Roman" w:hAnsi="Times New Roman"/>
        </w:rPr>
        <w:t>рјешењима</w:t>
      </w:r>
      <w:r w:rsidR="00C14482" w:rsidRPr="00295637">
        <w:rPr>
          <w:rFonts w:ascii="Times New Roman" w:hAnsi="Times New Roman"/>
        </w:rPr>
        <w:t xml:space="preserve"> </w:t>
      </w:r>
      <w:r>
        <w:rPr>
          <w:rFonts w:ascii="Times New Roman" w:hAnsi="Times New Roman"/>
        </w:rPr>
        <w:t>у</w:t>
      </w:r>
      <w:r w:rsidR="00C14482" w:rsidRPr="00295637">
        <w:rPr>
          <w:rFonts w:ascii="Times New Roman" w:hAnsi="Times New Roman"/>
        </w:rPr>
        <w:t xml:space="preserve"> </w:t>
      </w:r>
      <w:r>
        <w:rPr>
          <w:rFonts w:ascii="Times New Roman" w:hAnsi="Times New Roman"/>
        </w:rPr>
        <w:t>упоредном</w:t>
      </w:r>
      <w:r w:rsidR="00C14482" w:rsidRPr="00295637">
        <w:rPr>
          <w:rFonts w:ascii="Times New Roman" w:hAnsi="Times New Roman"/>
        </w:rPr>
        <w:t xml:space="preserve"> </w:t>
      </w:r>
      <w:r>
        <w:rPr>
          <w:rFonts w:ascii="Times New Roman" w:hAnsi="Times New Roman"/>
        </w:rPr>
        <w:t>и</w:t>
      </w:r>
      <w:r w:rsidR="00C14482" w:rsidRPr="00295637">
        <w:rPr>
          <w:rFonts w:ascii="Times New Roman" w:hAnsi="Times New Roman"/>
        </w:rPr>
        <w:t xml:space="preserve"> </w:t>
      </w:r>
      <w:r>
        <w:rPr>
          <w:rFonts w:ascii="Times New Roman" w:hAnsi="Times New Roman"/>
        </w:rPr>
        <w:t>националном</w:t>
      </w:r>
      <w:r w:rsidR="00C14482" w:rsidRPr="00295637">
        <w:rPr>
          <w:rFonts w:ascii="Times New Roman" w:hAnsi="Times New Roman"/>
        </w:rPr>
        <w:t xml:space="preserve"> </w:t>
      </w:r>
      <w:r>
        <w:rPr>
          <w:rFonts w:ascii="Times New Roman" w:hAnsi="Times New Roman"/>
        </w:rPr>
        <w:t>законодавству</w:t>
      </w:r>
      <w:r w:rsidR="00C14482" w:rsidRPr="00295637">
        <w:rPr>
          <w:rFonts w:ascii="Times New Roman" w:hAnsi="Times New Roman"/>
        </w:rPr>
        <w:t xml:space="preserve"> </w:t>
      </w:r>
      <w:r>
        <w:rPr>
          <w:rFonts w:ascii="Times New Roman" w:hAnsi="Times New Roman"/>
        </w:rPr>
        <w:t>у</w:t>
      </w:r>
      <w:r w:rsidR="00C14482" w:rsidRPr="00295637">
        <w:rPr>
          <w:rFonts w:ascii="Times New Roman" w:hAnsi="Times New Roman"/>
        </w:rPr>
        <w:t xml:space="preserve"> </w:t>
      </w:r>
      <w:r>
        <w:rPr>
          <w:rFonts w:ascii="Times New Roman" w:hAnsi="Times New Roman"/>
        </w:rPr>
        <w:t>погледу</w:t>
      </w:r>
      <w:r w:rsidR="00C14482" w:rsidRPr="00295637">
        <w:rPr>
          <w:rFonts w:ascii="Times New Roman" w:hAnsi="Times New Roman"/>
        </w:rPr>
        <w:t xml:space="preserve"> </w:t>
      </w:r>
      <w:r>
        <w:rPr>
          <w:rFonts w:ascii="Times New Roman" w:hAnsi="Times New Roman"/>
        </w:rPr>
        <w:t>законске</w:t>
      </w:r>
      <w:r w:rsidR="00C14482" w:rsidRPr="00295637">
        <w:rPr>
          <w:rFonts w:ascii="Times New Roman" w:hAnsi="Times New Roman"/>
        </w:rPr>
        <w:t xml:space="preserve"> </w:t>
      </w:r>
      <w:r>
        <w:rPr>
          <w:rFonts w:ascii="Times New Roman" w:hAnsi="Times New Roman"/>
        </w:rPr>
        <w:t>дефиниције</w:t>
      </w:r>
      <w:r w:rsidR="00C14482" w:rsidRPr="00295637">
        <w:rPr>
          <w:rFonts w:ascii="Times New Roman" w:hAnsi="Times New Roman"/>
        </w:rPr>
        <w:t xml:space="preserve"> </w:t>
      </w:r>
      <w:r>
        <w:rPr>
          <w:rFonts w:ascii="Times New Roman" w:hAnsi="Times New Roman"/>
        </w:rPr>
        <w:t>кривичног</w:t>
      </w:r>
      <w:r w:rsidR="00C14482" w:rsidRPr="00295637">
        <w:rPr>
          <w:rFonts w:ascii="Times New Roman" w:hAnsi="Times New Roman"/>
        </w:rPr>
        <w:t xml:space="preserve"> </w:t>
      </w:r>
      <w:r>
        <w:rPr>
          <w:rFonts w:ascii="Times New Roman" w:hAnsi="Times New Roman"/>
        </w:rPr>
        <w:t>дјела</w:t>
      </w:r>
      <w:r w:rsidR="00C14482" w:rsidRPr="00295637">
        <w:rPr>
          <w:rFonts w:ascii="Times New Roman" w:hAnsi="Times New Roman"/>
        </w:rPr>
        <w:t xml:space="preserve"> </w:t>
      </w:r>
      <w:r>
        <w:rPr>
          <w:rFonts w:ascii="Times New Roman" w:hAnsi="Times New Roman"/>
        </w:rPr>
        <w:t>силовања</w:t>
      </w:r>
      <w:r w:rsidR="00C14482" w:rsidRPr="00295637">
        <w:rPr>
          <w:rFonts w:ascii="Times New Roman" w:hAnsi="Times New Roman"/>
        </w:rPr>
        <w:t xml:space="preserve"> </w:t>
      </w:r>
      <w:r>
        <w:rPr>
          <w:rFonts w:ascii="Times New Roman" w:hAnsi="Times New Roman"/>
        </w:rPr>
        <w:t>и</w:t>
      </w:r>
      <w:r w:rsidR="00C14482" w:rsidRPr="00295637">
        <w:rPr>
          <w:rFonts w:ascii="Times New Roman" w:hAnsi="Times New Roman"/>
        </w:rPr>
        <w:t xml:space="preserve"> </w:t>
      </w:r>
      <w:r>
        <w:rPr>
          <w:rFonts w:ascii="Times New Roman" w:hAnsi="Times New Roman"/>
        </w:rPr>
        <w:t>новим</w:t>
      </w:r>
      <w:r w:rsidR="00C14482" w:rsidRPr="00295637">
        <w:rPr>
          <w:rFonts w:ascii="Times New Roman" w:hAnsi="Times New Roman"/>
        </w:rPr>
        <w:t xml:space="preserve"> </w:t>
      </w:r>
      <w:r>
        <w:rPr>
          <w:rFonts w:ascii="Times New Roman" w:hAnsi="Times New Roman"/>
        </w:rPr>
        <w:t>критериј</w:t>
      </w:r>
      <w:r w:rsidR="00D8279B">
        <w:rPr>
          <w:rFonts w:ascii="Times New Roman" w:hAnsi="Times New Roman"/>
          <w:lang w:val="sr-Cyrl-BA"/>
        </w:rPr>
        <w:t>умима</w:t>
      </w:r>
      <w:r w:rsidR="00C14482" w:rsidRPr="00295637">
        <w:rPr>
          <w:rFonts w:ascii="Times New Roman" w:hAnsi="Times New Roman"/>
        </w:rPr>
        <w:t xml:space="preserve"> </w:t>
      </w:r>
      <w:r>
        <w:rPr>
          <w:rFonts w:ascii="Times New Roman" w:hAnsi="Times New Roman"/>
        </w:rPr>
        <w:t>у</w:t>
      </w:r>
      <w:r w:rsidR="00C14482" w:rsidRPr="00295637">
        <w:rPr>
          <w:rFonts w:ascii="Times New Roman" w:hAnsi="Times New Roman"/>
        </w:rPr>
        <w:t xml:space="preserve"> </w:t>
      </w:r>
      <w:r>
        <w:rPr>
          <w:rFonts w:ascii="Times New Roman" w:hAnsi="Times New Roman"/>
        </w:rPr>
        <w:t>тумачењу</w:t>
      </w:r>
      <w:r w:rsidR="00C14482" w:rsidRPr="00295637">
        <w:rPr>
          <w:rFonts w:ascii="Times New Roman" w:hAnsi="Times New Roman"/>
        </w:rPr>
        <w:t xml:space="preserve"> </w:t>
      </w:r>
      <w:r>
        <w:rPr>
          <w:rFonts w:ascii="Times New Roman" w:hAnsi="Times New Roman"/>
        </w:rPr>
        <w:t>и</w:t>
      </w:r>
      <w:r w:rsidR="00C14482" w:rsidRPr="00295637">
        <w:rPr>
          <w:rFonts w:ascii="Times New Roman" w:hAnsi="Times New Roman"/>
        </w:rPr>
        <w:t xml:space="preserve"> </w:t>
      </w:r>
      <w:r>
        <w:rPr>
          <w:rFonts w:ascii="Times New Roman" w:hAnsi="Times New Roman"/>
        </w:rPr>
        <w:t>примјени</w:t>
      </w:r>
      <w:r w:rsidR="00C14482" w:rsidRPr="00295637">
        <w:rPr>
          <w:rFonts w:ascii="Times New Roman" w:hAnsi="Times New Roman"/>
        </w:rPr>
        <w:t xml:space="preserve"> </w:t>
      </w:r>
      <w:r>
        <w:rPr>
          <w:rFonts w:ascii="Times New Roman" w:hAnsi="Times New Roman"/>
        </w:rPr>
        <w:t>истих</w:t>
      </w:r>
      <w:r w:rsidR="00C14482" w:rsidRPr="00295637">
        <w:rPr>
          <w:rFonts w:ascii="Times New Roman" w:hAnsi="Times New Roman"/>
        </w:rPr>
        <w:t xml:space="preserve"> </w:t>
      </w:r>
      <w:r>
        <w:rPr>
          <w:rFonts w:ascii="Times New Roman" w:hAnsi="Times New Roman"/>
        </w:rPr>
        <w:t>у</w:t>
      </w:r>
      <w:r w:rsidR="00C14482" w:rsidRPr="00295637">
        <w:rPr>
          <w:rFonts w:ascii="Times New Roman" w:hAnsi="Times New Roman"/>
        </w:rPr>
        <w:t xml:space="preserve"> </w:t>
      </w:r>
      <w:r>
        <w:rPr>
          <w:rFonts w:ascii="Times New Roman" w:hAnsi="Times New Roman"/>
        </w:rPr>
        <w:t>судској</w:t>
      </w:r>
      <w:r w:rsidR="00C14482" w:rsidRPr="00295637">
        <w:rPr>
          <w:rFonts w:ascii="Times New Roman" w:hAnsi="Times New Roman"/>
        </w:rPr>
        <w:t xml:space="preserve"> </w:t>
      </w:r>
      <w:r>
        <w:rPr>
          <w:rFonts w:ascii="Times New Roman" w:hAnsi="Times New Roman"/>
        </w:rPr>
        <w:t>пракси</w:t>
      </w:r>
      <w:r w:rsidR="00C14482" w:rsidRPr="00295637">
        <w:rPr>
          <w:rFonts w:ascii="Times New Roman" w:hAnsi="Times New Roman"/>
        </w:rPr>
        <w:t>.</w:t>
      </w:r>
    </w:p>
    <w:p w:rsidR="00C14482" w:rsidRPr="00295637" w:rsidRDefault="00C14482" w:rsidP="0086268D">
      <w:pPr>
        <w:tabs>
          <w:tab w:val="left" w:pos="1080"/>
        </w:tabs>
        <w:jc w:val="both"/>
        <w:rPr>
          <w:rFonts w:ascii="Times New Roman" w:hAnsi="Times New Roman"/>
          <w:szCs w:val="24"/>
          <w:lang w:val="bs-Latn-BA"/>
        </w:rPr>
      </w:pPr>
    </w:p>
    <w:p w:rsidR="00A92736" w:rsidRPr="00295637" w:rsidRDefault="00C6214E" w:rsidP="0086268D">
      <w:pPr>
        <w:tabs>
          <w:tab w:val="left" w:pos="1080"/>
        </w:tabs>
        <w:jc w:val="both"/>
        <w:rPr>
          <w:rFonts w:ascii="Times New Roman" w:hAnsi="Times New Roman"/>
          <w:szCs w:val="24"/>
          <w:lang w:val="bs-Latn-BA"/>
        </w:rPr>
      </w:pPr>
      <w:r>
        <w:rPr>
          <w:rFonts w:ascii="Times New Roman" w:hAnsi="Times New Roman"/>
          <w:szCs w:val="24"/>
          <w:lang w:val="bs-Latn-BA"/>
        </w:rPr>
        <w:t>У</w:t>
      </w:r>
      <w:r w:rsidR="006E7ACA" w:rsidRPr="00295637">
        <w:rPr>
          <w:rFonts w:ascii="Times New Roman" w:hAnsi="Times New Roman"/>
          <w:szCs w:val="24"/>
          <w:lang w:val="bs-Latn-BA"/>
        </w:rPr>
        <w:t xml:space="preserve"> </w:t>
      </w:r>
      <w:r>
        <w:rPr>
          <w:rFonts w:ascii="Times New Roman" w:hAnsi="Times New Roman"/>
          <w:szCs w:val="24"/>
          <w:lang w:val="bs-Latn-BA"/>
        </w:rPr>
        <w:t>Брчко</w:t>
      </w:r>
      <w:r w:rsidR="00470069">
        <w:rPr>
          <w:rFonts w:ascii="Times New Roman" w:hAnsi="Times New Roman"/>
          <w:szCs w:val="24"/>
          <w:lang w:val="bs-Latn-BA"/>
        </w:rPr>
        <w:t xml:space="preserve"> </w:t>
      </w:r>
      <w:r>
        <w:rPr>
          <w:rFonts w:ascii="Times New Roman" w:hAnsi="Times New Roman"/>
          <w:szCs w:val="24"/>
          <w:lang w:val="bs-Latn-BA"/>
        </w:rPr>
        <w:t>Дистрикту</w:t>
      </w:r>
      <w:r w:rsidR="00470069">
        <w:rPr>
          <w:rFonts w:ascii="Times New Roman" w:hAnsi="Times New Roman"/>
          <w:szCs w:val="24"/>
          <w:lang w:val="bs-Latn-BA"/>
        </w:rPr>
        <w:t xml:space="preserve"> </w:t>
      </w:r>
      <w:r>
        <w:rPr>
          <w:rFonts w:ascii="Times New Roman" w:hAnsi="Times New Roman"/>
          <w:szCs w:val="24"/>
          <w:lang w:val="bs-Latn-BA"/>
        </w:rPr>
        <w:t>БиХ</w:t>
      </w:r>
      <w:r w:rsidR="006E7ACA" w:rsidRPr="00295637">
        <w:rPr>
          <w:rFonts w:ascii="Times New Roman" w:hAnsi="Times New Roman"/>
          <w:szCs w:val="24"/>
          <w:lang w:val="bs-Latn-BA"/>
        </w:rPr>
        <w:t xml:space="preserve"> </w:t>
      </w:r>
      <w:r>
        <w:rPr>
          <w:rFonts w:ascii="Times New Roman" w:hAnsi="Times New Roman"/>
          <w:szCs w:val="24"/>
          <w:lang w:val="bs-Latn-BA"/>
        </w:rPr>
        <w:t>је</w:t>
      </w:r>
      <w:r w:rsidR="006E7ACA" w:rsidRPr="00295637">
        <w:rPr>
          <w:rFonts w:ascii="Times New Roman" w:hAnsi="Times New Roman"/>
          <w:szCs w:val="24"/>
          <w:lang w:val="bs-Latn-BA"/>
        </w:rPr>
        <w:t xml:space="preserve"> </w:t>
      </w:r>
      <w:r>
        <w:rPr>
          <w:rFonts w:ascii="Times New Roman" w:hAnsi="Times New Roman"/>
          <w:szCs w:val="24"/>
          <w:lang w:val="bs-Latn-BA"/>
        </w:rPr>
        <w:t>у</w:t>
      </w:r>
      <w:r w:rsidR="006E7ACA" w:rsidRPr="00295637">
        <w:rPr>
          <w:rFonts w:ascii="Times New Roman" w:hAnsi="Times New Roman"/>
          <w:szCs w:val="24"/>
          <w:lang w:val="bs-Latn-BA"/>
        </w:rPr>
        <w:t xml:space="preserve"> </w:t>
      </w:r>
      <w:r>
        <w:rPr>
          <w:rFonts w:ascii="Times New Roman" w:hAnsi="Times New Roman"/>
          <w:szCs w:val="24"/>
          <w:lang w:val="bs-Latn-BA"/>
        </w:rPr>
        <w:t>октобру</w:t>
      </w:r>
      <w:r w:rsidR="006E7ACA" w:rsidRPr="00295637">
        <w:rPr>
          <w:rFonts w:ascii="Times New Roman" w:hAnsi="Times New Roman"/>
          <w:szCs w:val="24"/>
          <w:lang w:val="bs-Latn-BA"/>
        </w:rPr>
        <w:t xml:space="preserve"> 2024. </w:t>
      </w:r>
      <w:r>
        <w:rPr>
          <w:rFonts w:ascii="Times New Roman" w:hAnsi="Times New Roman"/>
          <w:szCs w:val="24"/>
          <w:lang w:val="bs-Latn-BA"/>
        </w:rPr>
        <w:t>године</w:t>
      </w:r>
      <w:r w:rsidR="006E7ACA" w:rsidRPr="00295637">
        <w:rPr>
          <w:rFonts w:ascii="Times New Roman" w:hAnsi="Times New Roman"/>
          <w:szCs w:val="24"/>
          <w:lang w:val="bs-Latn-BA"/>
        </w:rPr>
        <w:t xml:space="preserve"> </w:t>
      </w:r>
      <w:r>
        <w:rPr>
          <w:rFonts w:ascii="Times New Roman" w:hAnsi="Times New Roman"/>
          <w:szCs w:val="24"/>
          <w:lang w:val="bs-Latn-BA"/>
        </w:rPr>
        <w:t>одржана</w:t>
      </w:r>
      <w:r w:rsidR="006E7ACA" w:rsidRPr="00295637">
        <w:rPr>
          <w:rFonts w:ascii="Times New Roman" w:hAnsi="Times New Roman"/>
          <w:szCs w:val="24"/>
          <w:lang w:val="bs-Latn-BA"/>
        </w:rPr>
        <w:t xml:space="preserve"> </w:t>
      </w:r>
      <w:r>
        <w:rPr>
          <w:rFonts w:ascii="Times New Roman" w:hAnsi="Times New Roman"/>
          <w:szCs w:val="24"/>
          <w:lang w:val="bs-Latn-BA"/>
        </w:rPr>
        <w:t>обука</w:t>
      </w:r>
      <w:r w:rsidR="006E7ACA" w:rsidRPr="00295637">
        <w:rPr>
          <w:rFonts w:ascii="Times New Roman" w:hAnsi="Times New Roman"/>
          <w:szCs w:val="24"/>
          <w:lang w:val="bs-Latn-BA"/>
        </w:rPr>
        <w:t xml:space="preserve"> „</w:t>
      </w:r>
      <w:r>
        <w:rPr>
          <w:rFonts w:ascii="Times New Roman" w:hAnsi="Times New Roman"/>
          <w:szCs w:val="24"/>
          <w:lang w:val="bs-Latn-BA"/>
        </w:rPr>
        <w:t>Мултидисциплинарна</w:t>
      </w:r>
      <w:r w:rsidR="006E7ACA" w:rsidRPr="00295637">
        <w:rPr>
          <w:rFonts w:ascii="Times New Roman" w:hAnsi="Times New Roman"/>
          <w:szCs w:val="24"/>
          <w:lang w:val="bs-Latn-BA"/>
        </w:rPr>
        <w:t xml:space="preserve"> </w:t>
      </w:r>
      <w:r>
        <w:rPr>
          <w:rFonts w:ascii="Times New Roman" w:hAnsi="Times New Roman"/>
          <w:szCs w:val="24"/>
          <w:lang w:val="bs-Latn-BA"/>
        </w:rPr>
        <w:t>обука</w:t>
      </w:r>
      <w:r w:rsidR="006E7ACA" w:rsidRPr="00295637">
        <w:rPr>
          <w:rFonts w:ascii="Times New Roman" w:hAnsi="Times New Roman"/>
          <w:szCs w:val="24"/>
          <w:lang w:val="bs-Latn-BA"/>
        </w:rPr>
        <w:t xml:space="preserve"> </w:t>
      </w:r>
      <w:r>
        <w:rPr>
          <w:rFonts w:ascii="Times New Roman" w:hAnsi="Times New Roman"/>
          <w:szCs w:val="24"/>
          <w:lang w:val="bs-Latn-BA"/>
        </w:rPr>
        <w:t>о</w:t>
      </w:r>
      <w:r w:rsidR="006E7ACA" w:rsidRPr="00295637">
        <w:rPr>
          <w:rFonts w:ascii="Times New Roman" w:hAnsi="Times New Roman"/>
          <w:szCs w:val="24"/>
          <w:lang w:val="bs-Latn-BA"/>
        </w:rPr>
        <w:t xml:space="preserve"> </w:t>
      </w:r>
      <w:r>
        <w:rPr>
          <w:rFonts w:ascii="Times New Roman" w:hAnsi="Times New Roman"/>
          <w:szCs w:val="24"/>
          <w:lang w:val="bs-Latn-BA"/>
        </w:rPr>
        <w:t>насиљу</w:t>
      </w:r>
      <w:r w:rsidR="006E7ACA" w:rsidRPr="00295637">
        <w:rPr>
          <w:rFonts w:ascii="Times New Roman" w:hAnsi="Times New Roman"/>
          <w:szCs w:val="24"/>
          <w:lang w:val="bs-Latn-BA"/>
        </w:rPr>
        <w:t xml:space="preserve"> </w:t>
      </w:r>
      <w:r>
        <w:rPr>
          <w:rFonts w:ascii="Times New Roman" w:hAnsi="Times New Roman"/>
          <w:szCs w:val="24"/>
          <w:lang w:val="bs-Latn-BA"/>
        </w:rPr>
        <w:t>у</w:t>
      </w:r>
      <w:r w:rsidR="006E7ACA" w:rsidRPr="00295637">
        <w:rPr>
          <w:rFonts w:ascii="Times New Roman" w:hAnsi="Times New Roman"/>
          <w:szCs w:val="24"/>
          <w:lang w:val="bs-Latn-BA"/>
        </w:rPr>
        <w:t xml:space="preserve"> </w:t>
      </w:r>
      <w:r>
        <w:rPr>
          <w:rFonts w:ascii="Times New Roman" w:hAnsi="Times New Roman"/>
          <w:szCs w:val="24"/>
          <w:lang w:val="bs-Latn-BA"/>
        </w:rPr>
        <w:t>породици</w:t>
      </w:r>
      <w:r w:rsidR="006E7ACA" w:rsidRPr="00295637">
        <w:rPr>
          <w:rFonts w:ascii="Times New Roman" w:hAnsi="Times New Roman"/>
          <w:szCs w:val="24"/>
          <w:lang w:val="bs-Latn-BA"/>
        </w:rPr>
        <w:t xml:space="preserve"> </w:t>
      </w:r>
      <w:r>
        <w:rPr>
          <w:rFonts w:ascii="Times New Roman" w:hAnsi="Times New Roman"/>
          <w:szCs w:val="24"/>
          <w:lang w:val="bs-Latn-BA"/>
        </w:rPr>
        <w:t>и</w:t>
      </w:r>
      <w:r w:rsidR="006E7ACA" w:rsidRPr="00295637">
        <w:rPr>
          <w:rFonts w:ascii="Times New Roman" w:hAnsi="Times New Roman"/>
          <w:szCs w:val="24"/>
          <w:lang w:val="bs-Latn-BA"/>
        </w:rPr>
        <w:t xml:space="preserve"> </w:t>
      </w:r>
      <w:r>
        <w:rPr>
          <w:rFonts w:ascii="Times New Roman" w:hAnsi="Times New Roman"/>
          <w:szCs w:val="24"/>
          <w:lang w:val="bs-Latn-BA"/>
        </w:rPr>
        <w:t>родно</w:t>
      </w:r>
      <w:r w:rsidR="00470069">
        <w:rPr>
          <w:rFonts w:ascii="Times New Roman" w:hAnsi="Times New Roman"/>
          <w:szCs w:val="24"/>
          <w:lang w:val="bs-Latn-BA"/>
        </w:rPr>
        <w:t xml:space="preserve"> </w:t>
      </w:r>
      <w:r>
        <w:rPr>
          <w:rFonts w:ascii="Times New Roman" w:hAnsi="Times New Roman"/>
          <w:szCs w:val="24"/>
          <w:lang w:val="bs-Latn-BA"/>
        </w:rPr>
        <w:t>заснованом</w:t>
      </w:r>
      <w:r w:rsidR="006E7ACA" w:rsidRPr="00295637">
        <w:rPr>
          <w:rFonts w:ascii="Times New Roman" w:hAnsi="Times New Roman"/>
          <w:szCs w:val="24"/>
          <w:lang w:val="bs-Latn-BA"/>
        </w:rPr>
        <w:t xml:space="preserve"> </w:t>
      </w:r>
      <w:r>
        <w:rPr>
          <w:rFonts w:ascii="Times New Roman" w:hAnsi="Times New Roman"/>
          <w:szCs w:val="24"/>
          <w:lang w:val="bs-Latn-BA"/>
        </w:rPr>
        <w:t>насиљу</w:t>
      </w:r>
      <w:r w:rsidR="006E7ACA" w:rsidRPr="00295637">
        <w:rPr>
          <w:rFonts w:ascii="Times New Roman" w:hAnsi="Times New Roman"/>
          <w:szCs w:val="24"/>
          <w:lang w:val="bs-Latn-BA"/>
        </w:rPr>
        <w:t xml:space="preserve">“ </w:t>
      </w:r>
      <w:r>
        <w:rPr>
          <w:rFonts w:ascii="Times New Roman" w:hAnsi="Times New Roman"/>
          <w:szCs w:val="24"/>
          <w:lang w:val="bs-Latn-BA"/>
        </w:rPr>
        <w:t>за</w:t>
      </w:r>
      <w:r w:rsidR="006E7ACA" w:rsidRPr="00295637">
        <w:rPr>
          <w:rFonts w:ascii="Times New Roman" w:hAnsi="Times New Roman"/>
          <w:szCs w:val="24"/>
          <w:lang w:val="bs-Latn-BA"/>
        </w:rPr>
        <w:t xml:space="preserve"> 33 </w:t>
      </w:r>
      <w:r>
        <w:rPr>
          <w:rFonts w:ascii="Times New Roman" w:hAnsi="Times New Roman"/>
          <w:szCs w:val="24"/>
          <w:lang w:val="bs-Latn-BA"/>
        </w:rPr>
        <w:t>овлаш</w:t>
      </w:r>
      <w:r w:rsidR="00D8279B">
        <w:rPr>
          <w:rFonts w:ascii="Times New Roman" w:hAnsi="Times New Roman"/>
          <w:szCs w:val="24"/>
          <w:lang w:val="sr-Cyrl-BA"/>
        </w:rPr>
        <w:t>ћ</w:t>
      </w:r>
      <w:r>
        <w:rPr>
          <w:rFonts w:ascii="Times New Roman" w:hAnsi="Times New Roman"/>
          <w:szCs w:val="24"/>
          <w:lang w:val="bs-Latn-BA"/>
        </w:rPr>
        <w:t>ена</w:t>
      </w:r>
      <w:r w:rsidR="006E7ACA" w:rsidRPr="00295637">
        <w:rPr>
          <w:rFonts w:ascii="Times New Roman" w:hAnsi="Times New Roman"/>
          <w:szCs w:val="24"/>
          <w:lang w:val="bs-Latn-BA"/>
        </w:rPr>
        <w:t xml:space="preserve"> </w:t>
      </w:r>
      <w:r>
        <w:rPr>
          <w:rFonts w:ascii="Times New Roman" w:hAnsi="Times New Roman"/>
          <w:szCs w:val="24"/>
          <w:lang w:val="bs-Latn-BA"/>
        </w:rPr>
        <w:t>службена</w:t>
      </w:r>
      <w:r w:rsidR="006E7ACA" w:rsidRPr="00295637">
        <w:rPr>
          <w:rFonts w:ascii="Times New Roman" w:hAnsi="Times New Roman"/>
          <w:szCs w:val="24"/>
          <w:lang w:val="bs-Latn-BA"/>
        </w:rPr>
        <w:t xml:space="preserve"> </w:t>
      </w:r>
      <w:r>
        <w:rPr>
          <w:rFonts w:ascii="Times New Roman" w:hAnsi="Times New Roman"/>
          <w:szCs w:val="24"/>
          <w:lang w:val="bs-Latn-BA"/>
        </w:rPr>
        <w:t>лица</w:t>
      </w:r>
      <w:r w:rsidR="00A916B1" w:rsidRPr="00295637">
        <w:rPr>
          <w:rFonts w:ascii="Times New Roman" w:hAnsi="Times New Roman"/>
          <w:szCs w:val="24"/>
          <w:lang w:val="bs-Latn-BA"/>
        </w:rPr>
        <w:t xml:space="preserve"> </w:t>
      </w:r>
      <w:r>
        <w:rPr>
          <w:rFonts w:ascii="Times New Roman" w:hAnsi="Times New Roman"/>
          <w:szCs w:val="24"/>
          <w:lang w:val="bs-Latn-BA"/>
        </w:rPr>
        <w:t>и</w:t>
      </w:r>
      <w:r w:rsidR="00A916B1" w:rsidRPr="00295637">
        <w:rPr>
          <w:rFonts w:ascii="Times New Roman" w:hAnsi="Times New Roman"/>
          <w:szCs w:val="24"/>
          <w:lang w:val="bs-Latn-BA"/>
        </w:rPr>
        <w:t xml:space="preserve"> </w:t>
      </w:r>
      <w:r>
        <w:rPr>
          <w:rFonts w:ascii="Times New Roman" w:hAnsi="Times New Roman"/>
          <w:szCs w:val="24"/>
          <w:lang w:val="bs-Latn-BA"/>
        </w:rPr>
        <w:t>једног</w:t>
      </w:r>
      <w:r w:rsidR="00A916B1" w:rsidRPr="00295637">
        <w:rPr>
          <w:rFonts w:ascii="Times New Roman" w:hAnsi="Times New Roman"/>
          <w:szCs w:val="24"/>
          <w:lang w:val="bs-Latn-BA"/>
        </w:rPr>
        <w:t xml:space="preserve"> </w:t>
      </w:r>
      <w:r>
        <w:rPr>
          <w:rFonts w:ascii="Times New Roman" w:hAnsi="Times New Roman"/>
          <w:szCs w:val="24"/>
          <w:lang w:val="bs-Latn-BA"/>
        </w:rPr>
        <w:t>службеника</w:t>
      </w:r>
      <w:r w:rsidR="00A916B1" w:rsidRPr="00295637">
        <w:rPr>
          <w:rFonts w:ascii="Times New Roman" w:hAnsi="Times New Roman"/>
          <w:szCs w:val="24"/>
          <w:lang w:val="bs-Latn-BA"/>
        </w:rPr>
        <w:t>-</w:t>
      </w:r>
      <w:r>
        <w:rPr>
          <w:rFonts w:ascii="Times New Roman" w:hAnsi="Times New Roman"/>
          <w:szCs w:val="24"/>
          <w:lang w:val="bs-Latn-BA"/>
        </w:rPr>
        <w:t>психолога</w:t>
      </w:r>
      <w:r w:rsidR="00A916B1" w:rsidRPr="00295637">
        <w:rPr>
          <w:rFonts w:ascii="Times New Roman" w:hAnsi="Times New Roman"/>
          <w:szCs w:val="24"/>
          <w:lang w:val="bs-Latn-BA"/>
        </w:rPr>
        <w:t xml:space="preserve">, </w:t>
      </w:r>
      <w:r>
        <w:rPr>
          <w:rFonts w:ascii="Times New Roman" w:hAnsi="Times New Roman"/>
          <w:szCs w:val="24"/>
          <w:lang w:val="bs-Latn-BA"/>
        </w:rPr>
        <w:t>онл</w:t>
      </w:r>
      <w:r w:rsidR="00D8279B">
        <w:rPr>
          <w:rFonts w:ascii="Times New Roman" w:hAnsi="Times New Roman"/>
          <w:szCs w:val="24"/>
          <w:lang w:val="sr-Cyrl-BA"/>
        </w:rPr>
        <w:t>ајн</w:t>
      </w:r>
      <w:r w:rsidR="00A916B1" w:rsidRPr="00295637">
        <w:rPr>
          <w:rFonts w:ascii="Times New Roman" w:hAnsi="Times New Roman"/>
          <w:szCs w:val="24"/>
          <w:lang w:val="bs-Latn-BA"/>
        </w:rPr>
        <w:t xml:space="preserve"> </w:t>
      </w:r>
      <w:r>
        <w:rPr>
          <w:rFonts w:ascii="Times New Roman" w:hAnsi="Times New Roman"/>
          <w:szCs w:val="24"/>
          <w:lang w:val="bs-Latn-BA"/>
        </w:rPr>
        <w:t>радионица</w:t>
      </w:r>
      <w:r w:rsidR="00A916B1" w:rsidRPr="00295637">
        <w:rPr>
          <w:rFonts w:ascii="Times New Roman" w:hAnsi="Times New Roman"/>
          <w:szCs w:val="24"/>
          <w:lang w:val="bs-Latn-BA"/>
        </w:rPr>
        <w:t xml:space="preserve"> „</w:t>
      </w:r>
      <w:r>
        <w:rPr>
          <w:rFonts w:ascii="Times New Roman" w:hAnsi="Times New Roman"/>
          <w:szCs w:val="24"/>
          <w:lang w:val="bs-Latn-BA"/>
        </w:rPr>
        <w:t>Подршка</w:t>
      </w:r>
      <w:r w:rsidR="00A916B1" w:rsidRPr="00295637">
        <w:rPr>
          <w:rFonts w:ascii="Times New Roman" w:hAnsi="Times New Roman"/>
          <w:szCs w:val="24"/>
          <w:lang w:val="bs-Latn-BA"/>
        </w:rPr>
        <w:t xml:space="preserve"> </w:t>
      </w:r>
      <w:r>
        <w:rPr>
          <w:rFonts w:ascii="Times New Roman" w:hAnsi="Times New Roman"/>
          <w:szCs w:val="24"/>
          <w:lang w:val="bs-Latn-BA"/>
        </w:rPr>
        <w:t>истраживању</w:t>
      </w:r>
      <w:r w:rsidR="00A916B1" w:rsidRPr="00295637">
        <w:rPr>
          <w:rFonts w:ascii="Times New Roman" w:hAnsi="Times New Roman"/>
          <w:szCs w:val="24"/>
          <w:lang w:val="bs-Latn-BA"/>
        </w:rPr>
        <w:t xml:space="preserve"> </w:t>
      </w:r>
      <w:r>
        <w:rPr>
          <w:rFonts w:ascii="Times New Roman" w:hAnsi="Times New Roman"/>
          <w:szCs w:val="24"/>
          <w:lang w:val="bs-Latn-BA"/>
        </w:rPr>
        <w:t>и</w:t>
      </w:r>
      <w:r w:rsidR="00A916B1" w:rsidRPr="00295637">
        <w:rPr>
          <w:rFonts w:ascii="Times New Roman" w:hAnsi="Times New Roman"/>
          <w:szCs w:val="24"/>
          <w:lang w:val="bs-Latn-BA"/>
        </w:rPr>
        <w:t xml:space="preserve"> </w:t>
      </w:r>
      <w:r>
        <w:rPr>
          <w:rFonts w:ascii="Times New Roman" w:hAnsi="Times New Roman"/>
          <w:szCs w:val="24"/>
          <w:lang w:val="bs-Latn-BA"/>
        </w:rPr>
        <w:t>прикупљање</w:t>
      </w:r>
      <w:r w:rsidR="00A916B1" w:rsidRPr="00295637">
        <w:rPr>
          <w:rFonts w:ascii="Times New Roman" w:hAnsi="Times New Roman"/>
          <w:szCs w:val="24"/>
          <w:lang w:val="bs-Latn-BA"/>
        </w:rPr>
        <w:t xml:space="preserve"> </w:t>
      </w:r>
      <w:r>
        <w:rPr>
          <w:rFonts w:ascii="Times New Roman" w:hAnsi="Times New Roman"/>
          <w:szCs w:val="24"/>
          <w:lang w:val="bs-Latn-BA"/>
        </w:rPr>
        <w:t>података</w:t>
      </w:r>
      <w:r w:rsidR="00A916B1" w:rsidRPr="00295637">
        <w:rPr>
          <w:rFonts w:ascii="Times New Roman" w:hAnsi="Times New Roman"/>
          <w:szCs w:val="24"/>
          <w:lang w:val="bs-Latn-BA"/>
        </w:rPr>
        <w:t>“</w:t>
      </w:r>
      <w:r w:rsidR="00CF5B16" w:rsidRPr="00295637">
        <w:rPr>
          <w:rFonts w:ascii="Times New Roman" w:hAnsi="Times New Roman"/>
          <w:szCs w:val="24"/>
          <w:lang w:val="bs-Latn-BA"/>
        </w:rPr>
        <w:t>.</w:t>
      </w:r>
    </w:p>
    <w:p w:rsidR="00A666E6" w:rsidRPr="00295637" w:rsidRDefault="00A666E6" w:rsidP="0086268D">
      <w:pPr>
        <w:autoSpaceDE w:val="0"/>
        <w:autoSpaceDN w:val="0"/>
        <w:adjustRightInd w:val="0"/>
        <w:contextualSpacing/>
        <w:rPr>
          <w:rFonts w:ascii="Times New Roman" w:hAnsi="Times New Roman"/>
          <w:szCs w:val="24"/>
          <w:lang w:val="bs-Latn-BA"/>
        </w:rPr>
      </w:pPr>
    </w:p>
    <w:p w:rsidR="004669BB" w:rsidRPr="00295637" w:rsidRDefault="00C6214E" w:rsidP="0086268D">
      <w:pPr>
        <w:pStyle w:val="HTMLPreformatted"/>
        <w:jc w:val="both"/>
        <w:rPr>
          <w:rFonts w:ascii="Times New Roman" w:hAnsi="Times New Roman" w:cs="Times New Roman"/>
          <w:sz w:val="24"/>
          <w:szCs w:val="24"/>
          <w:lang w:val="en-US"/>
        </w:rPr>
      </w:pPr>
      <w:r>
        <w:rPr>
          <w:rFonts w:ascii="Times New Roman" w:hAnsi="Times New Roman" w:cs="Times New Roman"/>
          <w:sz w:val="24"/>
          <w:szCs w:val="24"/>
        </w:rPr>
        <w:t>У</w:t>
      </w:r>
      <w:r w:rsidR="0076416F" w:rsidRPr="00295637">
        <w:rPr>
          <w:rFonts w:ascii="Times New Roman" w:hAnsi="Times New Roman" w:cs="Times New Roman"/>
          <w:sz w:val="24"/>
          <w:szCs w:val="24"/>
        </w:rPr>
        <w:t xml:space="preserve"> </w:t>
      </w:r>
      <w:r>
        <w:rPr>
          <w:rFonts w:ascii="Times New Roman" w:hAnsi="Times New Roman" w:cs="Times New Roman"/>
          <w:sz w:val="24"/>
          <w:szCs w:val="24"/>
        </w:rPr>
        <w:t>извјештајном</w:t>
      </w:r>
      <w:r w:rsidR="0076416F" w:rsidRPr="00295637">
        <w:rPr>
          <w:rFonts w:ascii="Times New Roman" w:hAnsi="Times New Roman" w:cs="Times New Roman"/>
          <w:sz w:val="24"/>
          <w:szCs w:val="24"/>
        </w:rPr>
        <w:t xml:space="preserve"> </w:t>
      </w:r>
      <w:r>
        <w:rPr>
          <w:rFonts w:ascii="Times New Roman" w:hAnsi="Times New Roman" w:cs="Times New Roman"/>
          <w:sz w:val="24"/>
          <w:szCs w:val="24"/>
        </w:rPr>
        <w:t>периоду</w:t>
      </w:r>
      <w:r w:rsidR="0076416F" w:rsidRPr="00295637">
        <w:rPr>
          <w:rFonts w:ascii="Times New Roman" w:hAnsi="Times New Roman" w:cs="Times New Roman"/>
          <w:sz w:val="24"/>
          <w:szCs w:val="24"/>
        </w:rPr>
        <w:t xml:space="preserve">, </w:t>
      </w:r>
      <w:r>
        <w:rPr>
          <w:rFonts w:ascii="Times New Roman" w:hAnsi="Times New Roman" w:cs="Times New Roman"/>
          <w:sz w:val="24"/>
          <w:szCs w:val="24"/>
        </w:rPr>
        <w:t>Мисија</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О</w:t>
      </w:r>
      <w:r w:rsidR="00D8279B">
        <w:rPr>
          <w:rFonts w:ascii="Times New Roman" w:hAnsi="Times New Roman" w:cs="Times New Roman"/>
          <w:sz w:val="24"/>
          <w:szCs w:val="24"/>
          <w:lang w:val="sr-Cyrl-BA"/>
        </w:rPr>
        <w:t>ЕБС</w:t>
      </w:r>
      <w:r w:rsidR="0076416F" w:rsidRPr="00DF0056">
        <w:rPr>
          <w:rFonts w:ascii="Times New Roman" w:hAnsi="Times New Roman" w:cs="Times New Roman"/>
          <w:sz w:val="24"/>
          <w:szCs w:val="24"/>
        </w:rPr>
        <w:t>-</w:t>
      </w:r>
      <w:r>
        <w:rPr>
          <w:rFonts w:ascii="Times New Roman" w:hAnsi="Times New Roman" w:cs="Times New Roman"/>
          <w:sz w:val="24"/>
          <w:szCs w:val="24"/>
        </w:rPr>
        <w:t>а</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у</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БиХ</w:t>
      </w:r>
      <w:r w:rsidR="0076416F" w:rsidRPr="00DF0056">
        <w:rPr>
          <w:rFonts w:ascii="Times New Roman" w:hAnsi="Times New Roman" w:cs="Times New Roman"/>
          <w:sz w:val="24"/>
          <w:szCs w:val="24"/>
        </w:rPr>
        <w:t xml:space="preserve"> </w:t>
      </w:r>
      <w:r w:rsidR="00D8279B">
        <w:rPr>
          <w:rFonts w:ascii="Times New Roman" w:hAnsi="Times New Roman" w:cs="Times New Roman"/>
          <w:sz w:val="24"/>
          <w:szCs w:val="24"/>
        </w:rPr>
        <w:t xml:space="preserve">је </w:t>
      </w:r>
      <w:r>
        <w:rPr>
          <w:rFonts w:ascii="Times New Roman" w:hAnsi="Times New Roman" w:cs="Times New Roman"/>
          <w:sz w:val="24"/>
          <w:szCs w:val="24"/>
        </w:rPr>
        <w:t>наставила</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градити</w:t>
      </w:r>
      <w:r w:rsidR="00470069">
        <w:rPr>
          <w:rFonts w:ascii="Times New Roman" w:hAnsi="Times New Roman" w:cs="Times New Roman"/>
          <w:sz w:val="24"/>
          <w:szCs w:val="24"/>
        </w:rPr>
        <w:t xml:space="preserve"> </w:t>
      </w:r>
      <w:r>
        <w:rPr>
          <w:rFonts w:ascii="Times New Roman" w:hAnsi="Times New Roman" w:cs="Times New Roman"/>
          <w:sz w:val="24"/>
          <w:szCs w:val="24"/>
        </w:rPr>
        <w:t>и</w:t>
      </w:r>
      <w:r w:rsidR="00470069">
        <w:rPr>
          <w:rFonts w:ascii="Times New Roman" w:hAnsi="Times New Roman" w:cs="Times New Roman"/>
          <w:sz w:val="24"/>
          <w:szCs w:val="24"/>
        </w:rPr>
        <w:t xml:space="preserve"> </w:t>
      </w:r>
      <w:r>
        <w:rPr>
          <w:rFonts w:ascii="Times New Roman" w:hAnsi="Times New Roman" w:cs="Times New Roman"/>
          <w:sz w:val="24"/>
          <w:szCs w:val="24"/>
        </w:rPr>
        <w:t>јачати</w:t>
      </w:r>
      <w:r w:rsidR="00470069">
        <w:rPr>
          <w:rFonts w:ascii="Times New Roman" w:hAnsi="Times New Roman" w:cs="Times New Roman"/>
          <w:sz w:val="24"/>
          <w:szCs w:val="24"/>
        </w:rPr>
        <w:t xml:space="preserve"> </w:t>
      </w:r>
      <w:r>
        <w:rPr>
          <w:rFonts w:ascii="Times New Roman" w:hAnsi="Times New Roman" w:cs="Times New Roman"/>
          <w:sz w:val="24"/>
          <w:szCs w:val="24"/>
        </w:rPr>
        <w:t>партнерство</w:t>
      </w:r>
      <w:r w:rsidR="00470069">
        <w:rPr>
          <w:rFonts w:ascii="Times New Roman" w:hAnsi="Times New Roman" w:cs="Times New Roman"/>
          <w:sz w:val="24"/>
          <w:szCs w:val="24"/>
        </w:rPr>
        <w:t xml:space="preserve"> </w:t>
      </w:r>
      <w:r>
        <w:rPr>
          <w:rFonts w:ascii="Times New Roman" w:hAnsi="Times New Roman" w:cs="Times New Roman"/>
          <w:sz w:val="24"/>
          <w:szCs w:val="24"/>
        </w:rPr>
        <w:t>са</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и</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међу</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кључним</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институцијама</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посебно</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институцијама</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за</w:t>
      </w:r>
      <w:r w:rsidR="0076416F" w:rsidRPr="00DF0056">
        <w:rPr>
          <w:rFonts w:ascii="Times New Roman" w:hAnsi="Times New Roman" w:cs="Times New Roman"/>
          <w:sz w:val="24"/>
          <w:szCs w:val="24"/>
        </w:rPr>
        <w:t xml:space="preserve"> </w:t>
      </w:r>
      <w:r w:rsidR="00D8279B">
        <w:rPr>
          <w:rFonts w:ascii="Times New Roman" w:hAnsi="Times New Roman" w:cs="Times New Roman"/>
          <w:sz w:val="24"/>
          <w:szCs w:val="24"/>
          <w:lang w:val="sr-Cyrl-BA"/>
        </w:rPr>
        <w:t>спровођење</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закона</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законодавцима</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и</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доносиоцима</w:t>
      </w:r>
      <w:r w:rsidR="0076416F" w:rsidRPr="00DF0056">
        <w:rPr>
          <w:rFonts w:ascii="Times New Roman" w:hAnsi="Times New Roman" w:cs="Times New Roman"/>
          <w:sz w:val="24"/>
          <w:szCs w:val="24"/>
        </w:rPr>
        <w:t xml:space="preserve"> </w:t>
      </w:r>
      <w:r>
        <w:rPr>
          <w:rFonts w:ascii="Times New Roman" w:hAnsi="Times New Roman" w:cs="Times New Roman"/>
          <w:sz w:val="24"/>
          <w:szCs w:val="24"/>
        </w:rPr>
        <w:t>одлука</w:t>
      </w:r>
      <w:r w:rsidR="0076416F" w:rsidRPr="00DF0056">
        <w:rPr>
          <w:rFonts w:ascii="Times New Roman" w:hAnsi="Times New Roman" w:cs="Times New Roman"/>
          <w:sz w:val="24"/>
          <w:szCs w:val="24"/>
        </w:rPr>
        <w:t>.</w:t>
      </w:r>
      <w:r w:rsidR="0076416F" w:rsidRPr="00295637">
        <w:rPr>
          <w:rFonts w:ascii="Times New Roman" w:hAnsi="Times New Roman" w:cs="Times New Roman"/>
          <w:sz w:val="24"/>
          <w:szCs w:val="24"/>
          <w:shd w:val="clear" w:color="auto" w:fill="F8F9FA"/>
        </w:rPr>
        <w:t xml:space="preserve"> </w:t>
      </w:r>
      <w:r>
        <w:rPr>
          <w:rStyle w:val="y2iqfc"/>
          <w:rFonts w:ascii="Times New Roman" w:hAnsi="Times New Roman" w:cs="Times New Roman"/>
          <w:sz w:val="24"/>
          <w:szCs w:val="24"/>
        </w:rPr>
        <w:t>Мисија</w:t>
      </w:r>
      <w:r w:rsidR="0076416F"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76416F"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организ</w:t>
      </w:r>
      <w:r w:rsidR="00D8279B">
        <w:rPr>
          <w:rStyle w:val="y2iqfc"/>
          <w:rFonts w:ascii="Times New Roman" w:hAnsi="Times New Roman" w:cs="Times New Roman"/>
          <w:sz w:val="24"/>
          <w:szCs w:val="24"/>
          <w:lang w:val="sr-Cyrl-BA"/>
        </w:rPr>
        <w:t>овала</w:t>
      </w:r>
      <w:r w:rsidR="0076416F"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Трећу</w:t>
      </w:r>
      <w:r w:rsidR="0076416F"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ревизијску</w:t>
      </w:r>
      <w:r w:rsidR="0076416F"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конференцију</w:t>
      </w:r>
      <w:r w:rsidR="0076416F"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76416F"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родно</w:t>
      </w:r>
      <w:r w:rsidR="0076416F"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заснованом</w:t>
      </w:r>
      <w:r w:rsidR="0076416F"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насиљу</w:t>
      </w:r>
      <w:r w:rsidR="0076416F" w:rsidRPr="00295637">
        <w:rPr>
          <w:rStyle w:val="y2iqfc"/>
          <w:rFonts w:ascii="Times New Roman" w:hAnsi="Times New Roman" w:cs="Times New Roman"/>
          <w:sz w:val="24"/>
          <w:szCs w:val="24"/>
        </w:rPr>
        <w:t xml:space="preserve">, </w:t>
      </w:r>
      <w:r>
        <w:rPr>
          <w:rFonts w:ascii="Times New Roman" w:hAnsi="Times New Roman" w:cs="Times New Roman"/>
          <w:sz w:val="24"/>
          <w:szCs w:val="24"/>
        </w:rPr>
        <w:t>као</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и</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координаци</w:t>
      </w:r>
      <w:r w:rsidR="00D8279B">
        <w:rPr>
          <w:rFonts w:ascii="Times New Roman" w:hAnsi="Times New Roman" w:cs="Times New Roman"/>
          <w:sz w:val="24"/>
          <w:szCs w:val="24"/>
          <w:lang w:val="sr-Cyrl-BA"/>
        </w:rPr>
        <w:t>оне</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састанке</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на</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нивоу</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ФМУП</w:t>
      </w:r>
      <w:r w:rsidR="00BF4875" w:rsidRPr="00295637">
        <w:rPr>
          <w:rFonts w:ascii="Times New Roman" w:hAnsi="Times New Roman" w:cs="Times New Roman"/>
          <w:sz w:val="24"/>
          <w:szCs w:val="24"/>
        </w:rPr>
        <w:t>-</w:t>
      </w:r>
      <w:r>
        <w:rPr>
          <w:rFonts w:ascii="Times New Roman" w:hAnsi="Times New Roman" w:cs="Times New Roman"/>
          <w:sz w:val="24"/>
          <w:szCs w:val="24"/>
        </w:rPr>
        <w:t>а</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и</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кантоналних</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МУП</w:t>
      </w:r>
      <w:r w:rsidR="00BF4875" w:rsidRPr="00295637">
        <w:rPr>
          <w:rFonts w:ascii="Times New Roman" w:hAnsi="Times New Roman" w:cs="Times New Roman"/>
          <w:sz w:val="24"/>
          <w:szCs w:val="24"/>
        </w:rPr>
        <w:t>-</w:t>
      </w:r>
      <w:r>
        <w:rPr>
          <w:rFonts w:ascii="Times New Roman" w:hAnsi="Times New Roman" w:cs="Times New Roman"/>
          <w:sz w:val="24"/>
          <w:szCs w:val="24"/>
        </w:rPr>
        <w:t>ова</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у</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РС</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као</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и</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БД</w:t>
      </w:r>
      <w:r w:rsidR="00E37371" w:rsidRPr="00295637">
        <w:rPr>
          <w:rFonts w:ascii="Times New Roman" w:hAnsi="Times New Roman" w:cs="Times New Roman"/>
          <w:sz w:val="24"/>
          <w:szCs w:val="24"/>
        </w:rPr>
        <w:t xml:space="preserve"> </w:t>
      </w:r>
      <w:r>
        <w:rPr>
          <w:rFonts w:ascii="Times New Roman" w:hAnsi="Times New Roman" w:cs="Times New Roman"/>
          <w:sz w:val="24"/>
          <w:szCs w:val="24"/>
        </w:rPr>
        <w:t>БиХ</w:t>
      </w:r>
      <w:r w:rsidR="001E405D" w:rsidRPr="00295637">
        <w:rPr>
          <w:rFonts w:ascii="Times New Roman" w:hAnsi="Times New Roman" w:cs="Times New Roman"/>
          <w:sz w:val="24"/>
          <w:szCs w:val="24"/>
        </w:rPr>
        <w:t>,</w:t>
      </w:r>
      <w:r w:rsidR="00BF4875" w:rsidRPr="00295637">
        <w:rPr>
          <w:rFonts w:ascii="Times New Roman" w:hAnsi="Times New Roman" w:cs="Times New Roman"/>
          <w:sz w:val="24"/>
          <w:szCs w:val="24"/>
        </w:rPr>
        <w:t xml:space="preserve"> </w:t>
      </w:r>
      <w:r w:rsidR="00D8279B">
        <w:rPr>
          <w:rFonts w:ascii="Times New Roman" w:hAnsi="Times New Roman" w:cs="Times New Roman"/>
          <w:sz w:val="24"/>
          <w:szCs w:val="24"/>
          <w:lang w:val="sr-Cyrl-BA"/>
        </w:rPr>
        <w:t>с</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циљ</w:t>
      </w:r>
      <w:r w:rsidR="00D8279B">
        <w:rPr>
          <w:rFonts w:ascii="Times New Roman" w:hAnsi="Times New Roman" w:cs="Times New Roman"/>
          <w:sz w:val="24"/>
          <w:szCs w:val="24"/>
          <w:lang w:val="sr-Cyrl-BA"/>
        </w:rPr>
        <w:t>ем</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јачања</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полицијског</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одговора</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на</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родно</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засновано</w:t>
      </w:r>
      <w:r w:rsidR="00BF4875" w:rsidRPr="00295637">
        <w:rPr>
          <w:rFonts w:ascii="Times New Roman" w:hAnsi="Times New Roman" w:cs="Times New Roman"/>
          <w:sz w:val="24"/>
          <w:szCs w:val="24"/>
        </w:rPr>
        <w:t xml:space="preserve"> </w:t>
      </w:r>
      <w:r>
        <w:rPr>
          <w:rFonts w:ascii="Times New Roman" w:hAnsi="Times New Roman" w:cs="Times New Roman"/>
          <w:sz w:val="24"/>
          <w:szCs w:val="24"/>
        </w:rPr>
        <w:t>насиље</w:t>
      </w:r>
      <w:r w:rsidR="00BF4875" w:rsidRPr="00295637">
        <w:rPr>
          <w:rFonts w:ascii="Times New Roman" w:hAnsi="Times New Roman" w:cs="Times New Roman"/>
          <w:sz w:val="24"/>
          <w:szCs w:val="24"/>
        </w:rPr>
        <w:t xml:space="preserve">. </w:t>
      </w:r>
    </w:p>
    <w:p w:rsidR="00A666E6" w:rsidRPr="00295637" w:rsidRDefault="00A666E6" w:rsidP="0086268D">
      <w:pPr>
        <w:autoSpaceDE w:val="0"/>
        <w:autoSpaceDN w:val="0"/>
        <w:adjustRightInd w:val="0"/>
        <w:contextualSpacing/>
        <w:rPr>
          <w:rFonts w:ascii="Calibri" w:hAnsi="Calibri" w:cs="Calibri"/>
          <w:szCs w:val="24"/>
          <w:lang w:val="en-US"/>
        </w:rPr>
      </w:pPr>
    </w:p>
    <w:p w:rsidR="0076416F" w:rsidRPr="00295637" w:rsidRDefault="00C6214E" w:rsidP="0086268D">
      <w:pPr>
        <w:pStyle w:val="HTMLPreformatted"/>
        <w:jc w:val="both"/>
        <w:rPr>
          <w:rFonts w:ascii="inherit" w:hAnsi="inherit"/>
          <w:sz w:val="24"/>
          <w:szCs w:val="24"/>
          <w:lang w:val="en-US"/>
        </w:rPr>
      </w:pPr>
      <w:r>
        <w:rPr>
          <w:rStyle w:val="y2iqfc"/>
          <w:rFonts w:ascii="inherit" w:hAnsi="inherit"/>
          <w:sz w:val="24"/>
          <w:szCs w:val="24"/>
        </w:rPr>
        <w:t>Уз</w:t>
      </w:r>
      <w:r w:rsidR="0076416F" w:rsidRPr="00295637">
        <w:rPr>
          <w:rStyle w:val="y2iqfc"/>
          <w:rFonts w:ascii="inherit" w:hAnsi="inherit"/>
          <w:sz w:val="24"/>
          <w:szCs w:val="24"/>
        </w:rPr>
        <w:t xml:space="preserve"> </w:t>
      </w:r>
      <w:r>
        <w:rPr>
          <w:rStyle w:val="y2iqfc"/>
          <w:rFonts w:ascii="inherit" w:hAnsi="inherit"/>
          <w:sz w:val="24"/>
          <w:szCs w:val="24"/>
        </w:rPr>
        <w:t>подршку</w:t>
      </w:r>
      <w:r w:rsidR="0076416F" w:rsidRPr="00295637">
        <w:rPr>
          <w:rStyle w:val="y2iqfc"/>
          <w:rFonts w:ascii="inherit" w:hAnsi="inherit"/>
          <w:sz w:val="24"/>
          <w:szCs w:val="24"/>
        </w:rPr>
        <w:t xml:space="preserve"> </w:t>
      </w:r>
      <w:r w:rsidR="00D8279B" w:rsidRPr="00D8279B">
        <w:rPr>
          <w:rFonts w:ascii="inherit" w:hAnsi="inherit"/>
          <w:i/>
          <w:sz w:val="24"/>
          <w:szCs w:val="24"/>
          <w:lang w:val="hr-BA"/>
        </w:rPr>
        <w:t>SIDA</w:t>
      </w:r>
      <w:r w:rsidR="001E3F68">
        <w:rPr>
          <w:rStyle w:val="y2iqfc"/>
          <w:rFonts w:ascii="inherit" w:hAnsi="inherit"/>
          <w:sz w:val="24"/>
          <w:szCs w:val="24"/>
        </w:rPr>
        <w:t>-</w:t>
      </w:r>
      <w:r>
        <w:rPr>
          <w:rStyle w:val="y2iqfc"/>
          <w:rFonts w:ascii="inherit" w:hAnsi="inherit"/>
          <w:sz w:val="24"/>
          <w:szCs w:val="24"/>
        </w:rPr>
        <w:t>е</w:t>
      </w:r>
      <w:r w:rsidR="0076416F" w:rsidRPr="00295637">
        <w:rPr>
          <w:rStyle w:val="y2iqfc"/>
          <w:rFonts w:ascii="inherit" w:hAnsi="inherit"/>
          <w:sz w:val="24"/>
          <w:szCs w:val="24"/>
        </w:rPr>
        <w:t xml:space="preserve"> </w:t>
      </w:r>
      <w:r>
        <w:rPr>
          <w:rStyle w:val="y2iqfc"/>
          <w:rFonts w:ascii="inherit" w:hAnsi="inherit"/>
          <w:sz w:val="24"/>
          <w:szCs w:val="24"/>
        </w:rPr>
        <w:t>и</w:t>
      </w:r>
      <w:r w:rsidR="0076416F" w:rsidRPr="00295637">
        <w:rPr>
          <w:rStyle w:val="y2iqfc"/>
          <w:rFonts w:ascii="inherit" w:hAnsi="inherit"/>
          <w:sz w:val="24"/>
          <w:szCs w:val="24"/>
        </w:rPr>
        <w:t xml:space="preserve"> </w:t>
      </w:r>
      <w:r w:rsidR="00D8279B" w:rsidRPr="00D8279B">
        <w:rPr>
          <w:rFonts w:ascii="inherit" w:hAnsi="inherit"/>
          <w:i/>
          <w:iCs/>
          <w:sz w:val="24"/>
          <w:szCs w:val="24"/>
          <w:lang w:val="hr-BA"/>
        </w:rPr>
        <w:t>UN Women</w:t>
      </w:r>
      <w:r w:rsidR="0076416F" w:rsidRPr="00295637">
        <w:rPr>
          <w:rStyle w:val="y2iqfc"/>
          <w:rFonts w:ascii="inherit" w:hAnsi="inherit"/>
          <w:sz w:val="24"/>
          <w:szCs w:val="24"/>
        </w:rPr>
        <w:t xml:space="preserve">, </w:t>
      </w:r>
      <w:r>
        <w:rPr>
          <w:rStyle w:val="y2iqfc"/>
          <w:rFonts w:ascii="inherit" w:hAnsi="inherit"/>
          <w:sz w:val="24"/>
          <w:szCs w:val="24"/>
        </w:rPr>
        <w:t>више</w:t>
      </w:r>
      <w:r w:rsidR="0076416F" w:rsidRPr="00295637">
        <w:rPr>
          <w:rStyle w:val="y2iqfc"/>
          <w:rFonts w:ascii="inherit" w:hAnsi="inherit"/>
          <w:sz w:val="24"/>
          <w:szCs w:val="24"/>
        </w:rPr>
        <w:t xml:space="preserve"> </w:t>
      </w:r>
      <w:r>
        <w:rPr>
          <w:rStyle w:val="y2iqfc"/>
          <w:rFonts w:ascii="inherit" w:hAnsi="inherit"/>
          <w:sz w:val="24"/>
          <w:szCs w:val="24"/>
        </w:rPr>
        <w:t>од</w:t>
      </w:r>
      <w:r w:rsidR="0076416F" w:rsidRPr="00295637">
        <w:rPr>
          <w:rStyle w:val="y2iqfc"/>
          <w:rFonts w:ascii="inherit" w:hAnsi="inherit"/>
          <w:sz w:val="24"/>
          <w:szCs w:val="24"/>
        </w:rPr>
        <w:t xml:space="preserve"> 400 </w:t>
      </w:r>
      <w:r>
        <w:rPr>
          <w:rStyle w:val="y2iqfc"/>
          <w:rFonts w:ascii="inherit" w:hAnsi="inherit"/>
          <w:sz w:val="24"/>
          <w:szCs w:val="24"/>
        </w:rPr>
        <w:t>пружалаца</w:t>
      </w:r>
      <w:r w:rsidR="0076416F" w:rsidRPr="00295637">
        <w:rPr>
          <w:rStyle w:val="y2iqfc"/>
          <w:rFonts w:ascii="inherit" w:hAnsi="inherit"/>
          <w:sz w:val="24"/>
          <w:szCs w:val="24"/>
        </w:rPr>
        <w:t xml:space="preserve"> </w:t>
      </w:r>
      <w:r>
        <w:rPr>
          <w:rStyle w:val="y2iqfc"/>
          <w:rFonts w:ascii="inherit" w:hAnsi="inherit"/>
          <w:sz w:val="24"/>
          <w:szCs w:val="24"/>
        </w:rPr>
        <w:t>услуга</w:t>
      </w:r>
      <w:r w:rsidR="0076416F" w:rsidRPr="00295637">
        <w:rPr>
          <w:rStyle w:val="y2iqfc"/>
          <w:rFonts w:ascii="inherit" w:hAnsi="inherit"/>
          <w:sz w:val="24"/>
          <w:szCs w:val="24"/>
        </w:rPr>
        <w:t xml:space="preserve"> </w:t>
      </w:r>
      <w:r>
        <w:rPr>
          <w:rStyle w:val="y2iqfc"/>
          <w:rFonts w:ascii="inherit" w:hAnsi="inherit"/>
          <w:sz w:val="24"/>
          <w:szCs w:val="24"/>
        </w:rPr>
        <w:t>из</w:t>
      </w:r>
      <w:r w:rsidR="0076416F" w:rsidRPr="00295637">
        <w:rPr>
          <w:rStyle w:val="y2iqfc"/>
          <w:rFonts w:ascii="inherit" w:hAnsi="inherit"/>
          <w:sz w:val="24"/>
          <w:szCs w:val="24"/>
        </w:rPr>
        <w:t xml:space="preserve"> 30 </w:t>
      </w:r>
      <w:r>
        <w:rPr>
          <w:rStyle w:val="y2iqfc"/>
          <w:rFonts w:ascii="inherit" w:hAnsi="inherit"/>
          <w:sz w:val="24"/>
          <w:szCs w:val="24"/>
        </w:rPr>
        <w:t>институција</w:t>
      </w:r>
      <w:r w:rsidR="0076416F" w:rsidRPr="00295637">
        <w:rPr>
          <w:rStyle w:val="y2iqfc"/>
          <w:rFonts w:ascii="inherit" w:hAnsi="inherit"/>
          <w:sz w:val="24"/>
          <w:szCs w:val="24"/>
        </w:rPr>
        <w:t xml:space="preserve"> </w:t>
      </w:r>
      <w:r>
        <w:rPr>
          <w:rStyle w:val="y2iqfc"/>
          <w:rFonts w:ascii="inherit" w:hAnsi="inherit"/>
          <w:sz w:val="24"/>
          <w:szCs w:val="24"/>
        </w:rPr>
        <w:t>унаприједило</w:t>
      </w:r>
      <w:r w:rsidR="0076416F" w:rsidRPr="00295637">
        <w:rPr>
          <w:rStyle w:val="y2iqfc"/>
          <w:rFonts w:ascii="inherit" w:hAnsi="inherit"/>
          <w:sz w:val="24"/>
          <w:szCs w:val="24"/>
        </w:rPr>
        <w:t xml:space="preserve"> </w:t>
      </w:r>
      <w:r>
        <w:rPr>
          <w:rStyle w:val="y2iqfc"/>
          <w:rFonts w:ascii="inherit" w:hAnsi="inherit"/>
          <w:sz w:val="24"/>
          <w:szCs w:val="24"/>
        </w:rPr>
        <w:t>је</w:t>
      </w:r>
      <w:r w:rsidR="0076416F" w:rsidRPr="00295637">
        <w:rPr>
          <w:rStyle w:val="y2iqfc"/>
          <w:rFonts w:ascii="inherit" w:hAnsi="inherit"/>
          <w:sz w:val="24"/>
          <w:szCs w:val="24"/>
        </w:rPr>
        <w:t xml:space="preserve"> </w:t>
      </w:r>
      <w:r>
        <w:rPr>
          <w:rStyle w:val="y2iqfc"/>
          <w:rFonts w:ascii="inherit" w:hAnsi="inherit"/>
          <w:sz w:val="24"/>
          <w:szCs w:val="24"/>
        </w:rPr>
        <w:t>своје</w:t>
      </w:r>
      <w:r w:rsidR="0076416F" w:rsidRPr="00295637">
        <w:rPr>
          <w:rStyle w:val="y2iqfc"/>
          <w:rFonts w:ascii="inherit" w:hAnsi="inherit"/>
          <w:sz w:val="24"/>
          <w:szCs w:val="24"/>
        </w:rPr>
        <w:t xml:space="preserve"> </w:t>
      </w:r>
      <w:r>
        <w:rPr>
          <w:rStyle w:val="y2iqfc"/>
          <w:rFonts w:ascii="inherit" w:hAnsi="inherit"/>
          <w:sz w:val="24"/>
          <w:szCs w:val="24"/>
        </w:rPr>
        <w:t>капацитете</w:t>
      </w:r>
      <w:r w:rsidR="0076416F" w:rsidRPr="00295637">
        <w:rPr>
          <w:rStyle w:val="y2iqfc"/>
          <w:rFonts w:ascii="inherit" w:hAnsi="inherit"/>
          <w:sz w:val="24"/>
          <w:szCs w:val="24"/>
        </w:rPr>
        <w:t xml:space="preserve"> </w:t>
      </w:r>
      <w:r>
        <w:rPr>
          <w:rStyle w:val="y2iqfc"/>
          <w:rFonts w:ascii="inherit" w:hAnsi="inherit"/>
          <w:sz w:val="24"/>
          <w:szCs w:val="24"/>
        </w:rPr>
        <w:t>за</w:t>
      </w:r>
      <w:r w:rsidR="0076416F" w:rsidRPr="00295637">
        <w:rPr>
          <w:rStyle w:val="y2iqfc"/>
          <w:rFonts w:ascii="inherit" w:hAnsi="inherit"/>
          <w:sz w:val="24"/>
          <w:szCs w:val="24"/>
        </w:rPr>
        <w:t xml:space="preserve"> </w:t>
      </w:r>
      <w:r>
        <w:rPr>
          <w:rStyle w:val="y2iqfc"/>
          <w:rFonts w:ascii="inherit" w:hAnsi="inherit"/>
          <w:sz w:val="24"/>
          <w:szCs w:val="24"/>
        </w:rPr>
        <w:t>пружање</w:t>
      </w:r>
      <w:r w:rsidR="0076416F" w:rsidRPr="00295637">
        <w:rPr>
          <w:rStyle w:val="y2iqfc"/>
          <w:rFonts w:ascii="inherit" w:hAnsi="inherit"/>
          <w:sz w:val="24"/>
          <w:szCs w:val="24"/>
        </w:rPr>
        <w:t xml:space="preserve"> </w:t>
      </w:r>
      <w:r>
        <w:rPr>
          <w:rStyle w:val="y2iqfc"/>
          <w:rFonts w:ascii="inherit" w:hAnsi="inherit"/>
          <w:sz w:val="24"/>
          <w:szCs w:val="24"/>
        </w:rPr>
        <w:t>услуга</w:t>
      </w:r>
      <w:r w:rsidR="0076416F" w:rsidRPr="00295637">
        <w:rPr>
          <w:rStyle w:val="y2iqfc"/>
          <w:rFonts w:ascii="inherit" w:hAnsi="inherit"/>
          <w:sz w:val="24"/>
          <w:szCs w:val="24"/>
        </w:rPr>
        <w:t xml:space="preserve"> </w:t>
      </w:r>
      <w:r>
        <w:rPr>
          <w:rStyle w:val="y2iqfc"/>
          <w:rFonts w:ascii="inherit" w:hAnsi="inherit"/>
          <w:sz w:val="24"/>
          <w:szCs w:val="24"/>
        </w:rPr>
        <w:t>усмјерених</w:t>
      </w:r>
      <w:r w:rsidR="0076416F" w:rsidRPr="00295637">
        <w:rPr>
          <w:rStyle w:val="y2iqfc"/>
          <w:rFonts w:ascii="inherit" w:hAnsi="inherit"/>
          <w:sz w:val="24"/>
          <w:szCs w:val="24"/>
        </w:rPr>
        <w:t xml:space="preserve"> </w:t>
      </w:r>
      <w:r>
        <w:rPr>
          <w:rStyle w:val="y2iqfc"/>
          <w:rFonts w:ascii="inherit" w:hAnsi="inherit"/>
          <w:sz w:val="24"/>
          <w:szCs w:val="24"/>
        </w:rPr>
        <w:t>на</w:t>
      </w:r>
      <w:r w:rsidR="0076416F" w:rsidRPr="00295637">
        <w:rPr>
          <w:rStyle w:val="y2iqfc"/>
          <w:rFonts w:ascii="inherit" w:hAnsi="inherit"/>
          <w:sz w:val="24"/>
          <w:szCs w:val="24"/>
        </w:rPr>
        <w:t xml:space="preserve"> </w:t>
      </w:r>
      <w:r>
        <w:rPr>
          <w:rStyle w:val="y2iqfc"/>
          <w:rFonts w:ascii="inherit" w:hAnsi="inherit"/>
          <w:sz w:val="24"/>
          <w:szCs w:val="24"/>
        </w:rPr>
        <w:t>жртве</w:t>
      </w:r>
      <w:r w:rsidR="0076416F" w:rsidRPr="00295637">
        <w:rPr>
          <w:rStyle w:val="y2iqfc"/>
          <w:rFonts w:ascii="inherit" w:hAnsi="inherit"/>
          <w:sz w:val="24"/>
          <w:szCs w:val="24"/>
        </w:rPr>
        <w:t xml:space="preserve">. </w:t>
      </w:r>
      <w:r>
        <w:rPr>
          <w:rStyle w:val="y2iqfc"/>
          <w:rFonts w:ascii="inherit" w:hAnsi="inherit"/>
          <w:sz w:val="24"/>
          <w:szCs w:val="24"/>
        </w:rPr>
        <w:t>Пет</w:t>
      </w:r>
      <w:r w:rsidR="0076416F" w:rsidRPr="00295637">
        <w:rPr>
          <w:rStyle w:val="y2iqfc"/>
          <w:rFonts w:ascii="inherit" w:hAnsi="inherit"/>
          <w:sz w:val="24"/>
          <w:szCs w:val="24"/>
        </w:rPr>
        <w:t xml:space="preserve"> </w:t>
      </w:r>
      <w:r>
        <w:rPr>
          <w:rStyle w:val="y2iqfc"/>
          <w:rFonts w:ascii="inherit" w:hAnsi="inherit"/>
          <w:sz w:val="24"/>
          <w:szCs w:val="24"/>
        </w:rPr>
        <w:t>кантоналних</w:t>
      </w:r>
      <w:r w:rsidR="0076416F" w:rsidRPr="00295637">
        <w:rPr>
          <w:rStyle w:val="y2iqfc"/>
          <w:rFonts w:ascii="inherit" w:hAnsi="inherit"/>
          <w:sz w:val="24"/>
          <w:szCs w:val="24"/>
        </w:rPr>
        <w:t xml:space="preserve"> </w:t>
      </w:r>
      <w:r>
        <w:rPr>
          <w:rStyle w:val="y2iqfc"/>
          <w:rFonts w:ascii="inherit" w:hAnsi="inherit"/>
          <w:sz w:val="24"/>
          <w:szCs w:val="24"/>
        </w:rPr>
        <w:t>министарстава</w:t>
      </w:r>
      <w:r w:rsidR="0076416F" w:rsidRPr="00295637">
        <w:rPr>
          <w:rStyle w:val="y2iqfc"/>
          <w:rFonts w:ascii="inherit" w:hAnsi="inherit"/>
          <w:sz w:val="24"/>
          <w:szCs w:val="24"/>
        </w:rPr>
        <w:t xml:space="preserve"> </w:t>
      </w:r>
      <w:r>
        <w:rPr>
          <w:rStyle w:val="y2iqfc"/>
          <w:rFonts w:ascii="inherit" w:hAnsi="inherit"/>
          <w:sz w:val="24"/>
          <w:szCs w:val="24"/>
        </w:rPr>
        <w:t>унутрашњих</w:t>
      </w:r>
      <w:r w:rsidR="0076416F" w:rsidRPr="00295637">
        <w:rPr>
          <w:rStyle w:val="y2iqfc"/>
          <w:rFonts w:ascii="inherit" w:hAnsi="inherit"/>
          <w:sz w:val="24"/>
          <w:szCs w:val="24"/>
        </w:rPr>
        <w:t xml:space="preserve"> </w:t>
      </w:r>
      <w:r>
        <w:rPr>
          <w:rStyle w:val="y2iqfc"/>
          <w:rFonts w:ascii="inherit" w:hAnsi="inherit"/>
          <w:sz w:val="24"/>
          <w:szCs w:val="24"/>
        </w:rPr>
        <w:t>послова</w:t>
      </w:r>
      <w:r w:rsidR="0076416F" w:rsidRPr="00295637">
        <w:rPr>
          <w:rStyle w:val="y2iqfc"/>
          <w:rFonts w:ascii="inherit" w:hAnsi="inherit"/>
          <w:sz w:val="24"/>
          <w:szCs w:val="24"/>
        </w:rPr>
        <w:t xml:space="preserve"> </w:t>
      </w:r>
      <w:r>
        <w:rPr>
          <w:rStyle w:val="y2iqfc"/>
          <w:rFonts w:ascii="inherit" w:hAnsi="inherit"/>
          <w:sz w:val="24"/>
          <w:szCs w:val="24"/>
        </w:rPr>
        <w:t>у</w:t>
      </w:r>
      <w:r w:rsidR="0076416F" w:rsidRPr="00295637">
        <w:rPr>
          <w:rStyle w:val="y2iqfc"/>
          <w:rFonts w:ascii="inherit" w:hAnsi="inherit"/>
          <w:sz w:val="24"/>
          <w:szCs w:val="24"/>
        </w:rPr>
        <w:t xml:space="preserve"> </w:t>
      </w:r>
      <w:r>
        <w:rPr>
          <w:rStyle w:val="y2iqfc"/>
          <w:rFonts w:ascii="inherit" w:hAnsi="inherit"/>
          <w:sz w:val="24"/>
          <w:szCs w:val="24"/>
        </w:rPr>
        <w:t>ФБиХ</w:t>
      </w:r>
      <w:r w:rsidR="0076416F" w:rsidRPr="00295637">
        <w:rPr>
          <w:rStyle w:val="y2iqfc"/>
          <w:rFonts w:ascii="inherit" w:hAnsi="inherit"/>
          <w:sz w:val="24"/>
          <w:szCs w:val="24"/>
        </w:rPr>
        <w:t xml:space="preserve"> </w:t>
      </w:r>
      <w:r>
        <w:rPr>
          <w:rStyle w:val="y2iqfc"/>
          <w:rFonts w:ascii="inherit" w:hAnsi="inherit"/>
          <w:sz w:val="24"/>
          <w:szCs w:val="24"/>
        </w:rPr>
        <w:t>ревиди</w:t>
      </w:r>
      <w:r w:rsidR="00D8279B">
        <w:rPr>
          <w:rStyle w:val="y2iqfc"/>
          <w:rFonts w:ascii="inherit" w:hAnsi="inherit"/>
          <w:sz w:val="24"/>
          <w:szCs w:val="24"/>
          <w:lang w:val="sr-Cyrl-BA"/>
        </w:rPr>
        <w:t>с</w:t>
      </w:r>
      <w:r>
        <w:rPr>
          <w:rStyle w:val="y2iqfc"/>
          <w:rFonts w:ascii="inherit" w:hAnsi="inherit"/>
          <w:sz w:val="24"/>
          <w:szCs w:val="24"/>
        </w:rPr>
        <w:t>ало</w:t>
      </w:r>
      <w:r w:rsidR="0076416F" w:rsidRPr="00295637">
        <w:rPr>
          <w:rStyle w:val="y2iqfc"/>
          <w:rFonts w:ascii="inherit" w:hAnsi="inherit"/>
          <w:sz w:val="24"/>
          <w:szCs w:val="24"/>
        </w:rPr>
        <w:t xml:space="preserve"> </w:t>
      </w:r>
      <w:r>
        <w:rPr>
          <w:rStyle w:val="y2iqfc"/>
          <w:rFonts w:ascii="inherit" w:hAnsi="inherit"/>
          <w:sz w:val="24"/>
          <w:szCs w:val="24"/>
        </w:rPr>
        <w:t>је</w:t>
      </w:r>
      <w:r w:rsidR="0076416F" w:rsidRPr="00295637">
        <w:rPr>
          <w:rStyle w:val="y2iqfc"/>
          <w:rFonts w:ascii="inherit" w:hAnsi="inherit"/>
          <w:sz w:val="24"/>
          <w:szCs w:val="24"/>
        </w:rPr>
        <w:t xml:space="preserve"> </w:t>
      </w:r>
      <w:r>
        <w:rPr>
          <w:rStyle w:val="y2iqfc"/>
          <w:rFonts w:ascii="inherit" w:hAnsi="inherit"/>
          <w:sz w:val="24"/>
          <w:szCs w:val="24"/>
        </w:rPr>
        <w:t>интерне</w:t>
      </w:r>
      <w:r w:rsidR="0076416F" w:rsidRPr="00295637">
        <w:rPr>
          <w:rStyle w:val="y2iqfc"/>
          <w:rFonts w:ascii="inherit" w:hAnsi="inherit"/>
          <w:sz w:val="24"/>
          <w:szCs w:val="24"/>
        </w:rPr>
        <w:t xml:space="preserve"> </w:t>
      </w:r>
      <w:r>
        <w:rPr>
          <w:rStyle w:val="y2iqfc"/>
          <w:rFonts w:ascii="inherit" w:hAnsi="inherit"/>
          <w:sz w:val="24"/>
          <w:szCs w:val="24"/>
        </w:rPr>
        <w:t>протоколе</w:t>
      </w:r>
      <w:r w:rsidR="0076416F" w:rsidRPr="00295637">
        <w:rPr>
          <w:rStyle w:val="y2iqfc"/>
          <w:rFonts w:ascii="inherit" w:hAnsi="inherit"/>
          <w:sz w:val="24"/>
          <w:szCs w:val="24"/>
        </w:rPr>
        <w:t xml:space="preserve"> </w:t>
      </w:r>
      <w:r>
        <w:rPr>
          <w:rStyle w:val="y2iqfc"/>
          <w:rFonts w:ascii="inherit" w:hAnsi="inherit"/>
          <w:sz w:val="24"/>
          <w:szCs w:val="24"/>
        </w:rPr>
        <w:t>како</w:t>
      </w:r>
      <w:r w:rsidR="0076416F" w:rsidRPr="00295637">
        <w:rPr>
          <w:rStyle w:val="y2iqfc"/>
          <w:rFonts w:ascii="inherit" w:hAnsi="inherit"/>
          <w:sz w:val="24"/>
          <w:szCs w:val="24"/>
        </w:rPr>
        <w:t xml:space="preserve"> </w:t>
      </w:r>
      <w:r>
        <w:rPr>
          <w:rStyle w:val="y2iqfc"/>
          <w:rFonts w:ascii="inherit" w:hAnsi="inherit"/>
          <w:sz w:val="24"/>
          <w:szCs w:val="24"/>
        </w:rPr>
        <w:t>би</w:t>
      </w:r>
      <w:r w:rsidR="0076416F" w:rsidRPr="00295637">
        <w:rPr>
          <w:rStyle w:val="y2iqfc"/>
          <w:rFonts w:ascii="inherit" w:hAnsi="inherit"/>
          <w:sz w:val="24"/>
          <w:szCs w:val="24"/>
        </w:rPr>
        <w:t xml:space="preserve"> </w:t>
      </w:r>
      <w:r>
        <w:rPr>
          <w:rStyle w:val="y2iqfc"/>
          <w:rFonts w:ascii="inherit" w:hAnsi="inherit"/>
          <w:sz w:val="24"/>
          <w:szCs w:val="24"/>
        </w:rPr>
        <w:t>побољшали</w:t>
      </w:r>
      <w:r w:rsidR="0076416F" w:rsidRPr="00295637">
        <w:rPr>
          <w:rStyle w:val="y2iqfc"/>
          <w:rFonts w:ascii="inherit" w:hAnsi="inherit"/>
          <w:sz w:val="24"/>
          <w:szCs w:val="24"/>
        </w:rPr>
        <w:t xml:space="preserve"> </w:t>
      </w:r>
      <w:r>
        <w:rPr>
          <w:rStyle w:val="y2iqfc"/>
          <w:rFonts w:ascii="inherit" w:hAnsi="inherit"/>
          <w:sz w:val="24"/>
          <w:szCs w:val="24"/>
        </w:rPr>
        <w:t>свој</w:t>
      </w:r>
      <w:r w:rsidR="0076416F" w:rsidRPr="00295637">
        <w:rPr>
          <w:rStyle w:val="y2iqfc"/>
          <w:rFonts w:ascii="inherit" w:hAnsi="inherit"/>
          <w:sz w:val="24"/>
          <w:szCs w:val="24"/>
        </w:rPr>
        <w:t xml:space="preserve"> </w:t>
      </w:r>
      <w:r>
        <w:rPr>
          <w:rStyle w:val="y2iqfc"/>
          <w:rFonts w:ascii="inherit" w:hAnsi="inherit"/>
          <w:sz w:val="24"/>
          <w:szCs w:val="24"/>
        </w:rPr>
        <w:t>одговор</w:t>
      </w:r>
      <w:r w:rsidR="0076416F" w:rsidRPr="00295637">
        <w:rPr>
          <w:rStyle w:val="y2iqfc"/>
          <w:rFonts w:ascii="inherit" w:hAnsi="inherit"/>
          <w:sz w:val="24"/>
          <w:szCs w:val="24"/>
        </w:rPr>
        <w:t xml:space="preserve"> </w:t>
      </w:r>
      <w:r>
        <w:rPr>
          <w:rStyle w:val="y2iqfc"/>
          <w:rFonts w:ascii="inherit" w:hAnsi="inherit"/>
          <w:sz w:val="24"/>
          <w:szCs w:val="24"/>
        </w:rPr>
        <w:t>на</w:t>
      </w:r>
      <w:r w:rsidR="0076416F" w:rsidRPr="00295637">
        <w:rPr>
          <w:rStyle w:val="y2iqfc"/>
          <w:rFonts w:ascii="inherit" w:hAnsi="inherit"/>
          <w:sz w:val="24"/>
          <w:szCs w:val="24"/>
        </w:rPr>
        <w:t xml:space="preserve"> </w:t>
      </w:r>
      <w:r>
        <w:rPr>
          <w:rStyle w:val="y2iqfc"/>
          <w:rFonts w:ascii="inherit" w:hAnsi="inherit"/>
          <w:sz w:val="24"/>
          <w:szCs w:val="24"/>
        </w:rPr>
        <w:t>насиље</w:t>
      </w:r>
      <w:r w:rsidR="0076416F" w:rsidRPr="00295637">
        <w:rPr>
          <w:rStyle w:val="y2iqfc"/>
          <w:rFonts w:ascii="inherit" w:hAnsi="inherit"/>
          <w:sz w:val="24"/>
          <w:szCs w:val="24"/>
        </w:rPr>
        <w:t xml:space="preserve"> </w:t>
      </w:r>
      <w:r>
        <w:rPr>
          <w:rStyle w:val="y2iqfc"/>
          <w:rFonts w:ascii="inherit" w:hAnsi="inherit"/>
          <w:sz w:val="24"/>
          <w:szCs w:val="24"/>
        </w:rPr>
        <w:t>у</w:t>
      </w:r>
      <w:r w:rsidR="0076416F" w:rsidRPr="00295637">
        <w:rPr>
          <w:rStyle w:val="y2iqfc"/>
          <w:rFonts w:ascii="inherit" w:hAnsi="inherit"/>
          <w:sz w:val="24"/>
          <w:szCs w:val="24"/>
        </w:rPr>
        <w:t xml:space="preserve"> </w:t>
      </w:r>
      <w:r>
        <w:rPr>
          <w:rStyle w:val="y2iqfc"/>
          <w:rFonts w:ascii="inherit" w:hAnsi="inherit"/>
          <w:sz w:val="24"/>
          <w:szCs w:val="24"/>
        </w:rPr>
        <w:t>породици</w:t>
      </w:r>
      <w:r w:rsidR="0076416F" w:rsidRPr="00295637">
        <w:rPr>
          <w:rStyle w:val="y2iqfc"/>
          <w:rFonts w:ascii="inherit" w:hAnsi="inherit"/>
          <w:sz w:val="24"/>
          <w:szCs w:val="24"/>
        </w:rPr>
        <w:t xml:space="preserve">, </w:t>
      </w:r>
      <w:r>
        <w:rPr>
          <w:rStyle w:val="y2iqfc"/>
          <w:rFonts w:ascii="inherit" w:hAnsi="inherit"/>
          <w:sz w:val="24"/>
          <w:szCs w:val="24"/>
        </w:rPr>
        <w:t>Полицијска</w:t>
      </w:r>
      <w:r w:rsidR="0076416F" w:rsidRPr="00295637">
        <w:rPr>
          <w:rStyle w:val="y2iqfc"/>
          <w:rFonts w:ascii="inherit" w:hAnsi="inherit"/>
          <w:sz w:val="24"/>
          <w:szCs w:val="24"/>
        </w:rPr>
        <w:t xml:space="preserve"> </w:t>
      </w:r>
      <w:r>
        <w:rPr>
          <w:rStyle w:val="y2iqfc"/>
          <w:rFonts w:ascii="inherit" w:hAnsi="inherit"/>
          <w:sz w:val="24"/>
          <w:szCs w:val="24"/>
        </w:rPr>
        <w:t>академија</w:t>
      </w:r>
      <w:r w:rsidR="0076416F" w:rsidRPr="00295637">
        <w:rPr>
          <w:rStyle w:val="y2iqfc"/>
          <w:rFonts w:ascii="inherit" w:hAnsi="inherit"/>
          <w:sz w:val="24"/>
          <w:szCs w:val="24"/>
        </w:rPr>
        <w:t xml:space="preserve"> </w:t>
      </w:r>
      <w:r>
        <w:rPr>
          <w:rStyle w:val="y2iqfc"/>
          <w:rFonts w:ascii="inherit" w:hAnsi="inherit"/>
          <w:sz w:val="24"/>
          <w:szCs w:val="24"/>
        </w:rPr>
        <w:t>ФБиХ</w:t>
      </w:r>
      <w:r w:rsidR="0076416F" w:rsidRPr="00295637">
        <w:rPr>
          <w:rStyle w:val="y2iqfc"/>
          <w:rFonts w:ascii="inherit" w:hAnsi="inherit"/>
          <w:sz w:val="24"/>
          <w:szCs w:val="24"/>
        </w:rPr>
        <w:t xml:space="preserve"> </w:t>
      </w:r>
      <w:r>
        <w:rPr>
          <w:rStyle w:val="y2iqfc"/>
          <w:rFonts w:ascii="inherit" w:hAnsi="inherit"/>
          <w:sz w:val="24"/>
          <w:szCs w:val="24"/>
        </w:rPr>
        <w:t>интегри</w:t>
      </w:r>
      <w:r w:rsidR="00D8279B">
        <w:rPr>
          <w:rStyle w:val="y2iqfc"/>
          <w:rFonts w:ascii="inherit" w:hAnsi="inherit"/>
          <w:sz w:val="24"/>
          <w:szCs w:val="24"/>
          <w:lang w:val="sr-Cyrl-BA"/>
        </w:rPr>
        <w:t>с</w:t>
      </w:r>
      <w:r>
        <w:rPr>
          <w:rStyle w:val="y2iqfc"/>
          <w:rFonts w:ascii="inherit" w:hAnsi="inherit"/>
          <w:sz w:val="24"/>
          <w:szCs w:val="24"/>
        </w:rPr>
        <w:t>ала</w:t>
      </w:r>
      <w:r w:rsidR="0076416F" w:rsidRPr="00295637">
        <w:rPr>
          <w:rStyle w:val="y2iqfc"/>
          <w:rFonts w:ascii="inherit" w:hAnsi="inherit"/>
          <w:sz w:val="24"/>
          <w:szCs w:val="24"/>
        </w:rPr>
        <w:t xml:space="preserve"> </w:t>
      </w:r>
      <w:r>
        <w:rPr>
          <w:rStyle w:val="y2iqfc"/>
          <w:rFonts w:ascii="inherit" w:hAnsi="inherit"/>
          <w:sz w:val="24"/>
          <w:szCs w:val="24"/>
        </w:rPr>
        <w:t>је</w:t>
      </w:r>
      <w:r w:rsidR="0076416F" w:rsidRPr="00295637">
        <w:rPr>
          <w:rStyle w:val="y2iqfc"/>
          <w:rFonts w:ascii="inherit" w:hAnsi="inherit"/>
          <w:sz w:val="24"/>
          <w:szCs w:val="24"/>
        </w:rPr>
        <w:t xml:space="preserve"> </w:t>
      </w:r>
      <w:r>
        <w:rPr>
          <w:rStyle w:val="y2iqfc"/>
          <w:rFonts w:ascii="inherit" w:hAnsi="inherit"/>
          <w:sz w:val="24"/>
          <w:szCs w:val="24"/>
        </w:rPr>
        <w:t>теме</w:t>
      </w:r>
      <w:r w:rsidR="0076416F" w:rsidRPr="00295637">
        <w:rPr>
          <w:rStyle w:val="y2iqfc"/>
          <w:rFonts w:ascii="inherit" w:hAnsi="inherit"/>
          <w:sz w:val="24"/>
          <w:szCs w:val="24"/>
        </w:rPr>
        <w:t xml:space="preserve"> </w:t>
      </w:r>
      <w:r>
        <w:rPr>
          <w:rStyle w:val="y2iqfc"/>
          <w:rFonts w:ascii="inherit" w:hAnsi="inherit"/>
          <w:sz w:val="24"/>
          <w:szCs w:val="24"/>
        </w:rPr>
        <w:t>насиља</w:t>
      </w:r>
      <w:r w:rsidR="0076416F" w:rsidRPr="00295637">
        <w:rPr>
          <w:rStyle w:val="y2iqfc"/>
          <w:rFonts w:ascii="inherit" w:hAnsi="inherit"/>
          <w:sz w:val="24"/>
          <w:szCs w:val="24"/>
        </w:rPr>
        <w:t xml:space="preserve"> </w:t>
      </w:r>
      <w:r>
        <w:rPr>
          <w:rStyle w:val="y2iqfc"/>
          <w:rFonts w:ascii="inherit" w:hAnsi="inherit"/>
          <w:sz w:val="24"/>
          <w:szCs w:val="24"/>
        </w:rPr>
        <w:t>у</w:t>
      </w:r>
      <w:r w:rsidR="0076416F" w:rsidRPr="00295637">
        <w:rPr>
          <w:rStyle w:val="y2iqfc"/>
          <w:rFonts w:ascii="inherit" w:hAnsi="inherit"/>
          <w:sz w:val="24"/>
          <w:szCs w:val="24"/>
        </w:rPr>
        <w:t xml:space="preserve"> </w:t>
      </w:r>
      <w:r>
        <w:rPr>
          <w:rStyle w:val="y2iqfc"/>
          <w:rFonts w:ascii="inherit" w:hAnsi="inherit"/>
          <w:sz w:val="24"/>
          <w:szCs w:val="24"/>
        </w:rPr>
        <w:t>породици</w:t>
      </w:r>
      <w:r w:rsidR="0076416F" w:rsidRPr="00295637">
        <w:rPr>
          <w:rStyle w:val="y2iqfc"/>
          <w:rFonts w:ascii="inherit" w:hAnsi="inherit"/>
          <w:sz w:val="24"/>
          <w:szCs w:val="24"/>
        </w:rPr>
        <w:t xml:space="preserve"> </w:t>
      </w:r>
      <w:r>
        <w:rPr>
          <w:rStyle w:val="y2iqfc"/>
          <w:rFonts w:ascii="inherit" w:hAnsi="inherit"/>
          <w:sz w:val="24"/>
          <w:szCs w:val="24"/>
        </w:rPr>
        <w:t>у</w:t>
      </w:r>
      <w:r w:rsidR="0076416F" w:rsidRPr="00295637">
        <w:rPr>
          <w:rStyle w:val="y2iqfc"/>
          <w:rFonts w:ascii="inherit" w:hAnsi="inherit"/>
          <w:sz w:val="24"/>
          <w:szCs w:val="24"/>
        </w:rPr>
        <w:t xml:space="preserve"> </w:t>
      </w:r>
      <w:r>
        <w:rPr>
          <w:rStyle w:val="y2iqfc"/>
          <w:rFonts w:ascii="inherit" w:hAnsi="inherit"/>
          <w:sz w:val="24"/>
          <w:szCs w:val="24"/>
        </w:rPr>
        <w:t>свој</w:t>
      </w:r>
      <w:r w:rsidR="0076416F" w:rsidRPr="00295637">
        <w:rPr>
          <w:rStyle w:val="y2iqfc"/>
          <w:rFonts w:ascii="inherit" w:hAnsi="inherit"/>
          <w:sz w:val="24"/>
          <w:szCs w:val="24"/>
        </w:rPr>
        <w:t xml:space="preserve"> </w:t>
      </w:r>
      <w:r>
        <w:rPr>
          <w:rStyle w:val="y2iqfc"/>
          <w:rFonts w:ascii="inherit" w:hAnsi="inherit"/>
          <w:sz w:val="24"/>
          <w:szCs w:val="24"/>
        </w:rPr>
        <w:t>наставни</w:t>
      </w:r>
      <w:r w:rsidR="0076416F" w:rsidRPr="00295637">
        <w:rPr>
          <w:rStyle w:val="y2iqfc"/>
          <w:rFonts w:ascii="inherit" w:hAnsi="inherit"/>
          <w:sz w:val="24"/>
          <w:szCs w:val="24"/>
        </w:rPr>
        <w:t xml:space="preserve"> </w:t>
      </w:r>
      <w:r>
        <w:rPr>
          <w:rStyle w:val="y2iqfc"/>
          <w:rFonts w:ascii="inherit" w:hAnsi="inherit"/>
          <w:sz w:val="24"/>
          <w:szCs w:val="24"/>
        </w:rPr>
        <w:t>план</w:t>
      </w:r>
      <w:r w:rsidR="0076416F" w:rsidRPr="00295637">
        <w:rPr>
          <w:rStyle w:val="y2iqfc"/>
          <w:rFonts w:ascii="inherit" w:hAnsi="inherit"/>
          <w:sz w:val="24"/>
          <w:szCs w:val="24"/>
        </w:rPr>
        <w:t xml:space="preserve"> </w:t>
      </w:r>
      <w:r>
        <w:rPr>
          <w:rStyle w:val="y2iqfc"/>
          <w:rFonts w:ascii="inherit" w:hAnsi="inherit"/>
          <w:sz w:val="24"/>
          <w:szCs w:val="24"/>
        </w:rPr>
        <w:t>и</w:t>
      </w:r>
      <w:r w:rsidR="0076416F" w:rsidRPr="00295637">
        <w:rPr>
          <w:rStyle w:val="y2iqfc"/>
          <w:rFonts w:ascii="inherit" w:hAnsi="inherit"/>
          <w:sz w:val="24"/>
          <w:szCs w:val="24"/>
        </w:rPr>
        <w:t xml:space="preserve"> </w:t>
      </w:r>
      <w:r>
        <w:rPr>
          <w:rStyle w:val="y2iqfc"/>
          <w:rFonts w:ascii="inherit" w:hAnsi="inherit"/>
          <w:sz w:val="24"/>
          <w:szCs w:val="24"/>
        </w:rPr>
        <w:t>програм</w:t>
      </w:r>
      <w:r w:rsidR="0076416F" w:rsidRPr="00295637">
        <w:rPr>
          <w:rStyle w:val="y2iqfc"/>
          <w:rFonts w:ascii="inherit" w:hAnsi="inherit"/>
          <w:sz w:val="24"/>
          <w:szCs w:val="24"/>
        </w:rPr>
        <w:t xml:space="preserve"> </w:t>
      </w:r>
      <w:r>
        <w:rPr>
          <w:rStyle w:val="y2iqfc"/>
          <w:rFonts w:ascii="inherit" w:hAnsi="inherit"/>
          <w:sz w:val="24"/>
          <w:szCs w:val="24"/>
        </w:rPr>
        <w:t>за</w:t>
      </w:r>
      <w:r w:rsidR="0076416F" w:rsidRPr="00295637">
        <w:rPr>
          <w:rStyle w:val="y2iqfc"/>
          <w:rFonts w:ascii="inherit" w:hAnsi="inherit"/>
          <w:sz w:val="24"/>
          <w:szCs w:val="24"/>
        </w:rPr>
        <w:t xml:space="preserve"> </w:t>
      </w:r>
      <w:r>
        <w:rPr>
          <w:rStyle w:val="y2iqfc"/>
          <w:rFonts w:ascii="inherit" w:hAnsi="inherit"/>
          <w:sz w:val="24"/>
          <w:szCs w:val="24"/>
        </w:rPr>
        <w:t>кадете</w:t>
      </w:r>
      <w:r w:rsidR="0076416F" w:rsidRPr="00295637">
        <w:rPr>
          <w:rStyle w:val="y2iqfc"/>
          <w:rFonts w:ascii="inherit" w:hAnsi="inherit"/>
          <w:sz w:val="24"/>
          <w:szCs w:val="24"/>
        </w:rPr>
        <w:t xml:space="preserve">. </w:t>
      </w:r>
      <w:r>
        <w:rPr>
          <w:rStyle w:val="y2iqfc"/>
          <w:rFonts w:ascii="inherit" w:hAnsi="inherit"/>
          <w:sz w:val="24"/>
          <w:szCs w:val="24"/>
        </w:rPr>
        <w:t>Поред</w:t>
      </w:r>
      <w:r w:rsidR="0076416F" w:rsidRPr="00295637">
        <w:rPr>
          <w:rStyle w:val="y2iqfc"/>
          <w:rFonts w:ascii="inherit" w:hAnsi="inherit"/>
          <w:sz w:val="24"/>
          <w:szCs w:val="24"/>
        </w:rPr>
        <w:t xml:space="preserve"> </w:t>
      </w:r>
      <w:r>
        <w:rPr>
          <w:rStyle w:val="y2iqfc"/>
          <w:rFonts w:ascii="inherit" w:hAnsi="inherit"/>
          <w:sz w:val="24"/>
          <w:szCs w:val="24"/>
        </w:rPr>
        <w:t>тога</w:t>
      </w:r>
      <w:r w:rsidR="0076416F" w:rsidRPr="00295637">
        <w:rPr>
          <w:rStyle w:val="y2iqfc"/>
          <w:rFonts w:ascii="inherit" w:hAnsi="inherit"/>
          <w:sz w:val="24"/>
          <w:szCs w:val="24"/>
        </w:rPr>
        <w:t xml:space="preserve">, 60 </w:t>
      </w:r>
      <w:r>
        <w:rPr>
          <w:rStyle w:val="y2iqfc"/>
          <w:rFonts w:ascii="inherit" w:hAnsi="inherit"/>
          <w:sz w:val="24"/>
          <w:szCs w:val="24"/>
        </w:rPr>
        <w:t>корисника</w:t>
      </w:r>
      <w:r w:rsidR="0076416F" w:rsidRPr="00295637">
        <w:rPr>
          <w:rStyle w:val="y2iqfc"/>
          <w:rFonts w:ascii="inherit" w:hAnsi="inherit"/>
          <w:sz w:val="24"/>
          <w:szCs w:val="24"/>
        </w:rPr>
        <w:t xml:space="preserve"> </w:t>
      </w:r>
      <w:r>
        <w:rPr>
          <w:rStyle w:val="y2iqfc"/>
          <w:rFonts w:ascii="inherit" w:hAnsi="inherit"/>
          <w:sz w:val="24"/>
          <w:szCs w:val="24"/>
        </w:rPr>
        <w:t>из</w:t>
      </w:r>
      <w:r w:rsidR="0076416F" w:rsidRPr="00295637">
        <w:rPr>
          <w:rStyle w:val="y2iqfc"/>
          <w:rFonts w:ascii="inherit" w:hAnsi="inherit"/>
          <w:sz w:val="24"/>
          <w:szCs w:val="24"/>
        </w:rPr>
        <w:t xml:space="preserve"> </w:t>
      </w:r>
      <w:r>
        <w:rPr>
          <w:rStyle w:val="y2iqfc"/>
          <w:rFonts w:ascii="inherit" w:hAnsi="inherit"/>
          <w:sz w:val="24"/>
          <w:szCs w:val="24"/>
        </w:rPr>
        <w:t>владиних</w:t>
      </w:r>
      <w:r w:rsidR="0076416F" w:rsidRPr="00295637">
        <w:rPr>
          <w:rStyle w:val="y2iqfc"/>
          <w:rFonts w:ascii="inherit" w:hAnsi="inherit"/>
          <w:sz w:val="24"/>
          <w:szCs w:val="24"/>
        </w:rPr>
        <w:t xml:space="preserve"> </w:t>
      </w:r>
      <w:r>
        <w:rPr>
          <w:rStyle w:val="y2iqfc"/>
          <w:rFonts w:ascii="inherit" w:hAnsi="inherit"/>
          <w:sz w:val="24"/>
          <w:szCs w:val="24"/>
        </w:rPr>
        <w:t>и</w:t>
      </w:r>
      <w:r w:rsidR="0076416F" w:rsidRPr="00295637">
        <w:rPr>
          <w:rStyle w:val="y2iqfc"/>
          <w:rFonts w:ascii="inherit" w:hAnsi="inherit"/>
          <w:sz w:val="24"/>
          <w:szCs w:val="24"/>
        </w:rPr>
        <w:t xml:space="preserve"> </w:t>
      </w:r>
      <w:r>
        <w:rPr>
          <w:rStyle w:val="y2iqfc"/>
          <w:rFonts w:ascii="inherit" w:hAnsi="inherit"/>
          <w:sz w:val="24"/>
          <w:szCs w:val="24"/>
        </w:rPr>
        <w:t>невладиних</w:t>
      </w:r>
      <w:r w:rsidR="0076416F" w:rsidRPr="00295637">
        <w:rPr>
          <w:rStyle w:val="y2iqfc"/>
          <w:rFonts w:ascii="inherit" w:hAnsi="inherit"/>
          <w:sz w:val="24"/>
          <w:szCs w:val="24"/>
        </w:rPr>
        <w:t xml:space="preserve"> </w:t>
      </w:r>
      <w:r>
        <w:rPr>
          <w:rStyle w:val="y2iqfc"/>
          <w:rFonts w:ascii="inherit" w:hAnsi="inherit"/>
          <w:sz w:val="24"/>
          <w:szCs w:val="24"/>
        </w:rPr>
        <w:t>партнера</w:t>
      </w:r>
      <w:r w:rsidR="0076416F" w:rsidRPr="00295637">
        <w:rPr>
          <w:rStyle w:val="y2iqfc"/>
          <w:rFonts w:ascii="inherit" w:hAnsi="inherit"/>
          <w:sz w:val="24"/>
          <w:szCs w:val="24"/>
        </w:rPr>
        <w:t xml:space="preserve"> </w:t>
      </w:r>
      <w:r>
        <w:rPr>
          <w:rStyle w:val="y2iqfc"/>
          <w:rFonts w:ascii="inherit" w:hAnsi="inherit"/>
          <w:sz w:val="24"/>
          <w:szCs w:val="24"/>
        </w:rPr>
        <w:t>унаприједило</w:t>
      </w:r>
      <w:r w:rsidR="0076416F" w:rsidRPr="00295637">
        <w:rPr>
          <w:rStyle w:val="y2iqfc"/>
          <w:rFonts w:ascii="inherit" w:hAnsi="inherit"/>
          <w:sz w:val="24"/>
          <w:szCs w:val="24"/>
        </w:rPr>
        <w:t xml:space="preserve"> </w:t>
      </w:r>
      <w:r>
        <w:rPr>
          <w:rStyle w:val="y2iqfc"/>
          <w:rFonts w:ascii="inherit" w:hAnsi="inherit"/>
          <w:sz w:val="24"/>
          <w:szCs w:val="24"/>
        </w:rPr>
        <w:t>је</w:t>
      </w:r>
      <w:r w:rsidR="0076416F" w:rsidRPr="00295637">
        <w:rPr>
          <w:rStyle w:val="y2iqfc"/>
          <w:rFonts w:ascii="inherit" w:hAnsi="inherit"/>
          <w:sz w:val="24"/>
          <w:szCs w:val="24"/>
        </w:rPr>
        <w:t xml:space="preserve"> </w:t>
      </w:r>
      <w:r>
        <w:rPr>
          <w:rStyle w:val="y2iqfc"/>
          <w:rFonts w:ascii="inherit" w:hAnsi="inherit"/>
          <w:sz w:val="24"/>
          <w:szCs w:val="24"/>
        </w:rPr>
        <w:t>своје</w:t>
      </w:r>
      <w:r w:rsidR="0076416F" w:rsidRPr="00295637">
        <w:rPr>
          <w:rStyle w:val="y2iqfc"/>
          <w:rFonts w:ascii="inherit" w:hAnsi="inherit"/>
          <w:sz w:val="24"/>
          <w:szCs w:val="24"/>
        </w:rPr>
        <w:t xml:space="preserve"> </w:t>
      </w:r>
      <w:r>
        <w:rPr>
          <w:rStyle w:val="y2iqfc"/>
          <w:rFonts w:ascii="inherit" w:hAnsi="inherit"/>
          <w:sz w:val="24"/>
          <w:szCs w:val="24"/>
        </w:rPr>
        <w:t>способности</w:t>
      </w:r>
      <w:r w:rsidR="0076416F" w:rsidRPr="00295637">
        <w:rPr>
          <w:rStyle w:val="y2iqfc"/>
          <w:rFonts w:ascii="inherit" w:hAnsi="inherit"/>
          <w:sz w:val="24"/>
          <w:szCs w:val="24"/>
        </w:rPr>
        <w:t xml:space="preserve"> </w:t>
      </w:r>
      <w:r>
        <w:rPr>
          <w:rStyle w:val="y2iqfc"/>
          <w:rFonts w:ascii="inherit" w:hAnsi="inherit"/>
          <w:sz w:val="24"/>
          <w:szCs w:val="24"/>
        </w:rPr>
        <w:t>за</w:t>
      </w:r>
      <w:r w:rsidR="0076416F" w:rsidRPr="00295637">
        <w:rPr>
          <w:rStyle w:val="y2iqfc"/>
          <w:rFonts w:ascii="inherit" w:hAnsi="inherit"/>
          <w:sz w:val="24"/>
          <w:szCs w:val="24"/>
        </w:rPr>
        <w:t xml:space="preserve"> </w:t>
      </w:r>
      <w:r>
        <w:rPr>
          <w:rStyle w:val="y2iqfc"/>
          <w:rFonts w:ascii="inherit" w:hAnsi="inherit"/>
          <w:sz w:val="24"/>
          <w:szCs w:val="24"/>
        </w:rPr>
        <w:t>рјешавање</w:t>
      </w:r>
      <w:r w:rsidR="0076416F" w:rsidRPr="00295637">
        <w:rPr>
          <w:rStyle w:val="y2iqfc"/>
          <w:rFonts w:ascii="inherit" w:hAnsi="inherit"/>
          <w:sz w:val="24"/>
          <w:szCs w:val="24"/>
        </w:rPr>
        <w:t xml:space="preserve"> </w:t>
      </w:r>
      <w:r>
        <w:rPr>
          <w:rStyle w:val="y2iqfc"/>
          <w:rFonts w:ascii="inherit" w:hAnsi="inherit"/>
          <w:sz w:val="24"/>
          <w:szCs w:val="24"/>
        </w:rPr>
        <w:t>насиља</w:t>
      </w:r>
      <w:r w:rsidR="0076416F" w:rsidRPr="00295637">
        <w:rPr>
          <w:rStyle w:val="y2iqfc"/>
          <w:rFonts w:ascii="inherit" w:hAnsi="inherit"/>
          <w:sz w:val="24"/>
          <w:szCs w:val="24"/>
        </w:rPr>
        <w:t xml:space="preserve"> </w:t>
      </w:r>
      <w:r>
        <w:rPr>
          <w:rStyle w:val="y2iqfc"/>
          <w:rFonts w:ascii="inherit" w:hAnsi="inherit"/>
          <w:sz w:val="24"/>
          <w:szCs w:val="24"/>
        </w:rPr>
        <w:t>над</w:t>
      </w:r>
      <w:r w:rsidR="0076416F" w:rsidRPr="00295637">
        <w:rPr>
          <w:rStyle w:val="y2iqfc"/>
          <w:rFonts w:ascii="inherit" w:hAnsi="inherit"/>
          <w:sz w:val="24"/>
          <w:szCs w:val="24"/>
        </w:rPr>
        <w:t xml:space="preserve"> </w:t>
      </w:r>
      <w:r>
        <w:rPr>
          <w:rStyle w:val="y2iqfc"/>
          <w:rFonts w:ascii="inherit" w:hAnsi="inherit"/>
          <w:sz w:val="24"/>
          <w:szCs w:val="24"/>
        </w:rPr>
        <w:t>женама</w:t>
      </w:r>
      <w:r w:rsidR="0076416F" w:rsidRPr="00295637">
        <w:rPr>
          <w:rStyle w:val="y2iqfc"/>
          <w:rFonts w:ascii="inherit" w:hAnsi="inherit"/>
          <w:sz w:val="24"/>
          <w:szCs w:val="24"/>
        </w:rPr>
        <w:t xml:space="preserve"> </w:t>
      </w:r>
      <w:r>
        <w:rPr>
          <w:rStyle w:val="y2iqfc"/>
          <w:rFonts w:ascii="inherit" w:hAnsi="inherit"/>
          <w:sz w:val="24"/>
          <w:szCs w:val="24"/>
        </w:rPr>
        <w:t>у</w:t>
      </w:r>
      <w:r w:rsidR="0076416F" w:rsidRPr="00295637">
        <w:rPr>
          <w:rStyle w:val="y2iqfc"/>
          <w:rFonts w:ascii="inherit" w:hAnsi="inherit"/>
          <w:sz w:val="24"/>
          <w:szCs w:val="24"/>
        </w:rPr>
        <w:t xml:space="preserve"> </w:t>
      </w:r>
      <w:r>
        <w:rPr>
          <w:rStyle w:val="y2iqfc"/>
          <w:rFonts w:ascii="inherit" w:hAnsi="inherit"/>
          <w:sz w:val="24"/>
          <w:szCs w:val="24"/>
        </w:rPr>
        <w:t>БиХ</w:t>
      </w:r>
      <w:r w:rsidR="0076416F" w:rsidRPr="00295637">
        <w:rPr>
          <w:rStyle w:val="y2iqfc"/>
          <w:rFonts w:ascii="inherit" w:hAnsi="inherit"/>
          <w:sz w:val="24"/>
          <w:szCs w:val="24"/>
        </w:rPr>
        <w:t xml:space="preserve">, </w:t>
      </w:r>
      <w:r>
        <w:rPr>
          <w:rStyle w:val="y2iqfc"/>
          <w:rFonts w:ascii="inherit" w:hAnsi="inherit"/>
          <w:sz w:val="24"/>
          <w:szCs w:val="24"/>
        </w:rPr>
        <w:t>путем</w:t>
      </w:r>
      <w:r w:rsidR="0076416F" w:rsidRPr="00295637">
        <w:rPr>
          <w:rStyle w:val="y2iqfc"/>
          <w:rFonts w:ascii="inherit" w:hAnsi="inherit"/>
          <w:sz w:val="24"/>
          <w:szCs w:val="24"/>
        </w:rPr>
        <w:t xml:space="preserve"> </w:t>
      </w:r>
      <w:r>
        <w:rPr>
          <w:rStyle w:val="y2iqfc"/>
          <w:rFonts w:ascii="inherit" w:hAnsi="inherit"/>
          <w:sz w:val="24"/>
          <w:szCs w:val="24"/>
        </w:rPr>
        <w:t>Радионице</w:t>
      </w:r>
      <w:r w:rsidR="0076416F" w:rsidRPr="00295637">
        <w:rPr>
          <w:rStyle w:val="y2iqfc"/>
          <w:rFonts w:ascii="inherit" w:hAnsi="inherit"/>
          <w:sz w:val="24"/>
          <w:szCs w:val="24"/>
        </w:rPr>
        <w:t xml:space="preserve"> </w:t>
      </w:r>
      <w:r>
        <w:rPr>
          <w:rStyle w:val="y2iqfc"/>
          <w:rFonts w:ascii="inherit" w:hAnsi="inherit"/>
          <w:sz w:val="24"/>
          <w:szCs w:val="24"/>
        </w:rPr>
        <w:t>о</w:t>
      </w:r>
      <w:r w:rsidR="0076416F" w:rsidRPr="00295637">
        <w:rPr>
          <w:rStyle w:val="y2iqfc"/>
          <w:rFonts w:ascii="inherit" w:hAnsi="inherit"/>
          <w:sz w:val="24"/>
          <w:szCs w:val="24"/>
        </w:rPr>
        <w:t xml:space="preserve"> </w:t>
      </w:r>
      <w:r>
        <w:rPr>
          <w:rStyle w:val="y2iqfc"/>
          <w:rFonts w:ascii="inherit" w:hAnsi="inherit"/>
          <w:sz w:val="24"/>
          <w:szCs w:val="24"/>
        </w:rPr>
        <w:t>стању</w:t>
      </w:r>
      <w:r w:rsidR="0076416F" w:rsidRPr="00295637">
        <w:rPr>
          <w:rStyle w:val="y2iqfc"/>
          <w:rFonts w:ascii="inherit" w:hAnsi="inherit"/>
          <w:sz w:val="24"/>
          <w:szCs w:val="24"/>
        </w:rPr>
        <w:t xml:space="preserve"> </w:t>
      </w:r>
      <w:r>
        <w:rPr>
          <w:rStyle w:val="y2iqfc"/>
          <w:rFonts w:ascii="inherit" w:hAnsi="inherit"/>
          <w:sz w:val="24"/>
          <w:szCs w:val="24"/>
        </w:rPr>
        <w:t>насиља</w:t>
      </w:r>
      <w:r w:rsidR="0076416F" w:rsidRPr="00295637">
        <w:rPr>
          <w:rStyle w:val="y2iqfc"/>
          <w:rFonts w:ascii="inherit" w:hAnsi="inherit"/>
          <w:sz w:val="24"/>
          <w:szCs w:val="24"/>
        </w:rPr>
        <w:t xml:space="preserve"> </w:t>
      </w:r>
      <w:r>
        <w:rPr>
          <w:rStyle w:val="y2iqfc"/>
          <w:rFonts w:ascii="inherit" w:hAnsi="inherit"/>
          <w:sz w:val="24"/>
          <w:szCs w:val="24"/>
        </w:rPr>
        <w:t>над</w:t>
      </w:r>
      <w:r w:rsidR="0076416F" w:rsidRPr="00295637">
        <w:rPr>
          <w:rStyle w:val="y2iqfc"/>
          <w:rFonts w:ascii="inherit" w:hAnsi="inherit"/>
          <w:sz w:val="24"/>
          <w:szCs w:val="24"/>
        </w:rPr>
        <w:t xml:space="preserve"> </w:t>
      </w:r>
      <w:r>
        <w:rPr>
          <w:rStyle w:val="y2iqfc"/>
          <w:rFonts w:ascii="inherit" w:hAnsi="inherit"/>
          <w:sz w:val="24"/>
          <w:szCs w:val="24"/>
        </w:rPr>
        <w:t>женама</w:t>
      </w:r>
      <w:r w:rsidR="0076416F" w:rsidRPr="00295637">
        <w:rPr>
          <w:rStyle w:val="y2iqfc"/>
          <w:rFonts w:ascii="inherit" w:hAnsi="inherit"/>
          <w:sz w:val="24"/>
          <w:szCs w:val="24"/>
        </w:rPr>
        <w:t xml:space="preserve"> </w:t>
      </w:r>
      <w:r>
        <w:rPr>
          <w:rStyle w:val="y2iqfc"/>
          <w:rFonts w:ascii="inherit" w:hAnsi="inherit"/>
          <w:sz w:val="24"/>
          <w:szCs w:val="24"/>
        </w:rPr>
        <w:t>коју</w:t>
      </w:r>
      <w:r w:rsidR="0076416F" w:rsidRPr="00295637">
        <w:rPr>
          <w:rStyle w:val="y2iqfc"/>
          <w:rFonts w:ascii="inherit" w:hAnsi="inherit"/>
          <w:sz w:val="24"/>
          <w:szCs w:val="24"/>
        </w:rPr>
        <w:t xml:space="preserve"> </w:t>
      </w:r>
      <w:r>
        <w:rPr>
          <w:rStyle w:val="y2iqfc"/>
          <w:rFonts w:ascii="inherit" w:hAnsi="inherit"/>
          <w:sz w:val="24"/>
          <w:szCs w:val="24"/>
        </w:rPr>
        <w:t>је</w:t>
      </w:r>
      <w:r w:rsidR="0076416F" w:rsidRPr="00295637">
        <w:rPr>
          <w:rStyle w:val="y2iqfc"/>
          <w:rFonts w:ascii="inherit" w:hAnsi="inherit"/>
          <w:sz w:val="24"/>
          <w:szCs w:val="24"/>
        </w:rPr>
        <w:t xml:space="preserve"> </w:t>
      </w:r>
      <w:r>
        <w:rPr>
          <w:rStyle w:val="y2iqfc"/>
          <w:rFonts w:ascii="inherit" w:hAnsi="inherit"/>
          <w:sz w:val="24"/>
          <w:szCs w:val="24"/>
        </w:rPr>
        <w:t>организ</w:t>
      </w:r>
      <w:r w:rsidR="00D8279B">
        <w:rPr>
          <w:rStyle w:val="y2iqfc"/>
          <w:rFonts w:ascii="inherit" w:hAnsi="inherit"/>
          <w:sz w:val="24"/>
          <w:szCs w:val="24"/>
          <w:lang w:val="sr-Cyrl-BA"/>
        </w:rPr>
        <w:t>овао</w:t>
      </w:r>
      <w:r w:rsidR="0076416F" w:rsidRPr="00295637">
        <w:rPr>
          <w:rStyle w:val="y2iqfc"/>
          <w:rFonts w:ascii="inherit" w:hAnsi="inherit"/>
          <w:sz w:val="24"/>
          <w:szCs w:val="24"/>
        </w:rPr>
        <w:t xml:space="preserve"> </w:t>
      </w:r>
      <w:r w:rsidR="00D8279B" w:rsidRPr="00D8279B">
        <w:rPr>
          <w:rFonts w:ascii="inherit" w:hAnsi="inherit"/>
          <w:i/>
          <w:iCs/>
          <w:sz w:val="24"/>
          <w:szCs w:val="24"/>
          <w:lang w:val="hr-BA"/>
        </w:rPr>
        <w:t xml:space="preserve">UN Women </w:t>
      </w:r>
      <w:r>
        <w:rPr>
          <w:rStyle w:val="y2iqfc"/>
          <w:rFonts w:ascii="inherit" w:hAnsi="inherit"/>
          <w:sz w:val="24"/>
          <w:szCs w:val="24"/>
        </w:rPr>
        <w:t>у</w:t>
      </w:r>
      <w:r w:rsidR="0076416F" w:rsidRPr="00295637">
        <w:rPr>
          <w:rStyle w:val="y2iqfc"/>
          <w:rFonts w:ascii="inherit" w:hAnsi="inherit"/>
          <w:sz w:val="24"/>
          <w:szCs w:val="24"/>
        </w:rPr>
        <w:t xml:space="preserve"> </w:t>
      </w:r>
      <w:r>
        <w:rPr>
          <w:rStyle w:val="y2iqfc"/>
          <w:rFonts w:ascii="inherit" w:hAnsi="inherit"/>
          <w:sz w:val="24"/>
          <w:szCs w:val="24"/>
        </w:rPr>
        <w:t>фебруару</w:t>
      </w:r>
      <w:r w:rsidR="0076416F" w:rsidRPr="00295637">
        <w:rPr>
          <w:rStyle w:val="y2iqfc"/>
          <w:rFonts w:ascii="inherit" w:hAnsi="inherit"/>
          <w:sz w:val="24"/>
          <w:szCs w:val="24"/>
        </w:rPr>
        <w:t xml:space="preserve"> 2024. </w:t>
      </w:r>
      <w:r>
        <w:rPr>
          <w:rStyle w:val="y2iqfc"/>
          <w:rFonts w:ascii="inherit" w:hAnsi="inherit"/>
          <w:sz w:val="24"/>
          <w:szCs w:val="24"/>
        </w:rPr>
        <w:t>године</w:t>
      </w:r>
      <w:r w:rsidR="0076416F" w:rsidRPr="00295637">
        <w:rPr>
          <w:rStyle w:val="y2iqfc"/>
          <w:rFonts w:ascii="inherit" w:hAnsi="inherit"/>
          <w:sz w:val="24"/>
          <w:szCs w:val="24"/>
        </w:rPr>
        <w:t>.</w:t>
      </w:r>
    </w:p>
    <w:p w:rsidR="003E1F89" w:rsidRPr="00295637" w:rsidRDefault="003E1F89" w:rsidP="0086268D">
      <w:pPr>
        <w:pStyle w:val="Default"/>
      </w:pPr>
    </w:p>
    <w:p w:rsidR="00855CD7" w:rsidRPr="00F175F6" w:rsidRDefault="00C6214E" w:rsidP="006E51B7">
      <w:pPr>
        <w:pStyle w:val="HTMLPreformatted"/>
        <w:jc w:val="both"/>
        <w:rPr>
          <w:rStyle w:val="y2iqfc"/>
          <w:rFonts w:ascii="inherit" w:hAnsi="inherit"/>
          <w:sz w:val="24"/>
          <w:szCs w:val="24"/>
        </w:rPr>
      </w:pPr>
      <w:r>
        <w:rPr>
          <w:rStyle w:val="y2iqfc"/>
          <w:rFonts w:ascii="inherit" w:hAnsi="inherit"/>
          <w:sz w:val="24"/>
          <w:szCs w:val="24"/>
        </w:rPr>
        <w:t>Уз</w:t>
      </w:r>
      <w:r w:rsidR="00EA30EE" w:rsidRPr="00F175F6">
        <w:rPr>
          <w:rStyle w:val="y2iqfc"/>
          <w:rFonts w:ascii="inherit" w:hAnsi="inherit"/>
          <w:sz w:val="24"/>
          <w:szCs w:val="24"/>
        </w:rPr>
        <w:t xml:space="preserve"> </w:t>
      </w:r>
      <w:r>
        <w:rPr>
          <w:rStyle w:val="y2iqfc"/>
          <w:rFonts w:ascii="inherit" w:hAnsi="inherit"/>
          <w:sz w:val="24"/>
          <w:szCs w:val="24"/>
        </w:rPr>
        <w:t>подршку</w:t>
      </w:r>
      <w:r w:rsidR="00EA30EE" w:rsidRPr="00F175F6">
        <w:rPr>
          <w:rStyle w:val="y2iqfc"/>
          <w:rFonts w:ascii="inherit" w:hAnsi="inherit"/>
          <w:sz w:val="24"/>
          <w:szCs w:val="24"/>
        </w:rPr>
        <w:t xml:space="preserve"> </w:t>
      </w:r>
      <w:r w:rsidR="00D8279B" w:rsidRPr="00D8279B">
        <w:rPr>
          <w:rFonts w:ascii="inherit" w:hAnsi="inherit"/>
          <w:i/>
          <w:sz w:val="24"/>
          <w:szCs w:val="24"/>
          <w:lang w:val="hr-BA"/>
        </w:rPr>
        <w:t>UNFPA</w:t>
      </w:r>
      <w:r w:rsidR="00EA30EE" w:rsidRPr="00D8279B">
        <w:rPr>
          <w:rStyle w:val="y2iqfc"/>
          <w:rFonts w:ascii="inherit" w:hAnsi="inherit"/>
          <w:sz w:val="24"/>
          <w:szCs w:val="24"/>
        </w:rPr>
        <w:t>,</w:t>
      </w:r>
      <w:r w:rsidR="00EA30EE" w:rsidRPr="00F175F6">
        <w:rPr>
          <w:rStyle w:val="y2iqfc"/>
          <w:rFonts w:ascii="inherit" w:hAnsi="inherit"/>
          <w:sz w:val="24"/>
          <w:szCs w:val="24"/>
        </w:rPr>
        <w:t xml:space="preserve"> </w:t>
      </w:r>
      <w:r>
        <w:rPr>
          <w:rStyle w:val="y2iqfc"/>
          <w:rFonts w:ascii="inherit" w:hAnsi="inherit"/>
          <w:sz w:val="24"/>
          <w:szCs w:val="24"/>
        </w:rPr>
        <w:t>у</w:t>
      </w:r>
      <w:r w:rsidR="00EA30EE" w:rsidRPr="00F175F6">
        <w:rPr>
          <w:rStyle w:val="y2iqfc"/>
          <w:rFonts w:ascii="inherit" w:hAnsi="inherit"/>
          <w:sz w:val="24"/>
          <w:szCs w:val="24"/>
        </w:rPr>
        <w:t xml:space="preserve"> </w:t>
      </w:r>
      <w:r>
        <w:rPr>
          <w:rStyle w:val="y2iqfc"/>
          <w:rFonts w:ascii="inherit" w:hAnsi="inherit"/>
          <w:sz w:val="24"/>
          <w:szCs w:val="24"/>
        </w:rPr>
        <w:t>ФБиХ</w:t>
      </w:r>
      <w:r w:rsidR="00EA30EE" w:rsidRPr="00F175F6">
        <w:rPr>
          <w:rStyle w:val="y2iqfc"/>
          <w:rFonts w:ascii="inherit" w:hAnsi="inherit"/>
          <w:sz w:val="24"/>
          <w:szCs w:val="24"/>
        </w:rPr>
        <w:t xml:space="preserve"> </w:t>
      </w:r>
      <w:r>
        <w:rPr>
          <w:rStyle w:val="y2iqfc"/>
          <w:rFonts w:ascii="inherit" w:hAnsi="inherit"/>
          <w:sz w:val="24"/>
          <w:szCs w:val="24"/>
        </w:rPr>
        <w:t>су</w:t>
      </w:r>
      <w:r w:rsidR="00EA30EE" w:rsidRPr="00F175F6">
        <w:rPr>
          <w:rStyle w:val="y2iqfc"/>
          <w:rFonts w:ascii="inherit" w:hAnsi="inherit"/>
          <w:sz w:val="24"/>
          <w:szCs w:val="24"/>
        </w:rPr>
        <w:t xml:space="preserve"> 42 </w:t>
      </w:r>
      <w:r>
        <w:rPr>
          <w:rStyle w:val="y2iqfc"/>
          <w:rFonts w:ascii="inherit" w:hAnsi="inherit"/>
          <w:sz w:val="24"/>
          <w:szCs w:val="24"/>
        </w:rPr>
        <w:t>здравствена</w:t>
      </w:r>
      <w:r w:rsidR="00EA30EE" w:rsidRPr="00F175F6">
        <w:rPr>
          <w:rStyle w:val="y2iqfc"/>
          <w:rFonts w:ascii="inherit" w:hAnsi="inherit"/>
          <w:sz w:val="24"/>
          <w:szCs w:val="24"/>
        </w:rPr>
        <w:t xml:space="preserve"> </w:t>
      </w:r>
      <w:r>
        <w:rPr>
          <w:rStyle w:val="y2iqfc"/>
          <w:rFonts w:ascii="inherit" w:hAnsi="inherit"/>
          <w:sz w:val="24"/>
          <w:szCs w:val="24"/>
        </w:rPr>
        <w:t>радника</w:t>
      </w:r>
      <w:r w:rsidR="00EA30EE" w:rsidRPr="00F175F6">
        <w:rPr>
          <w:rStyle w:val="y2iqfc"/>
          <w:rFonts w:ascii="inherit" w:hAnsi="inherit"/>
          <w:sz w:val="24"/>
          <w:szCs w:val="24"/>
        </w:rPr>
        <w:t>/</w:t>
      </w:r>
      <w:r>
        <w:rPr>
          <w:rStyle w:val="y2iqfc"/>
          <w:rFonts w:ascii="inherit" w:hAnsi="inherit"/>
          <w:sz w:val="24"/>
          <w:szCs w:val="24"/>
        </w:rPr>
        <w:t>раднице</w:t>
      </w:r>
      <w:r w:rsidR="00EA30EE" w:rsidRPr="00F175F6">
        <w:rPr>
          <w:rStyle w:val="y2iqfc"/>
          <w:rFonts w:ascii="inherit" w:hAnsi="inherit"/>
          <w:sz w:val="24"/>
          <w:szCs w:val="24"/>
        </w:rPr>
        <w:t xml:space="preserve"> (34 </w:t>
      </w:r>
      <w:r>
        <w:rPr>
          <w:rStyle w:val="y2iqfc"/>
          <w:rFonts w:ascii="inherit" w:hAnsi="inherit"/>
          <w:sz w:val="24"/>
          <w:szCs w:val="24"/>
        </w:rPr>
        <w:t>жене</w:t>
      </w:r>
      <w:r w:rsidR="00EA30EE" w:rsidRPr="00F175F6">
        <w:rPr>
          <w:rStyle w:val="y2iqfc"/>
          <w:rFonts w:ascii="inherit" w:hAnsi="inherit"/>
          <w:sz w:val="24"/>
          <w:szCs w:val="24"/>
        </w:rPr>
        <w:t xml:space="preserve">, 8 </w:t>
      </w:r>
      <w:r>
        <w:rPr>
          <w:rStyle w:val="y2iqfc"/>
          <w:rFonts w:ascii="inherit" w:hAnsi="inherit"/>
          <w:sz w:val="24"/>
          <w:szCs w:val="24"/>
        </w:rPr>
        <w:t>мушкараца</w:t>
      </w:r>
      <w:r w:rsidR="00EA30EE" w:rsidRPr="00F175F6">
        <w:rPr>
          <w:rStyle w:val="y2iqfc"/>
          <w:rFonts w:ascii="inherit" w:hAnsi="inherit"/>
          <w:sz w:val="24"/>
          <w:szCs w:val="24"/>
        </w:rPr>
        <w:t xml:space="preserve">) </w:t>
      </w:r>
      <w:r>
        <w:rPr>
          <w:rStyle w:val="y2iqfc"/>
          <w:rFonts w:ascii="inherit" w:hAnsi="inherit"/>
          <w:sz w:val="24"/>
          <w:szCs w:val="24"/>
        </w:rPr>
        <w:t>за</w:t>
      </w:r>
      <w:r w:rsidR="00EA30EE" w:rsidRPr="00F175F6">
        <w:rPr>
          <w:rStyle w:val="y2iqfc"/>
          <w:rFonts w:ascii="inherit" w:hAnsi="inherit"/>
          <w:sz w:val="24"/>
          <w:szCs w:val="24"/>
        </w:rPr>
        <w:t xml:space="preserve"> </w:t>
      </w:r>
      <w:r>
        <w:rPr>
          <w:rStyle w:val="y2iqfc"/>
          <w:rFonts w:ascii="inherit" w:hAnsi="inherit"/>
          <w:sz w:val="24"/>
          <w:szCs w:val="24"/>
        </w:rPr>
        <w:t>пружање</w:t>
      </w:r>
      <w:r w:rsidR="00EA30EE" w:rsidRPr="00F175F6">
        <w:rPr>
          <w:rStyle w:val="y2iqfc"/>
          <w:rFonts w:ascii="inherit" w:hAnsi="inherit"/>
          <w:sz w:val="24"/>
          <w:szCs w:val="24"/>
        </w:rPr>
        <w:t xml:space="preserve"> </w:t>
      </w:r>
      <w:r>
        <w:rPr>
          <w:rStyle w:val="y2iqfc"/>
          <w:rFonts w:ascii="inherit" w:hAnsi="inherit"/>
          <w:sz w:val="24"/>
          <w:szCs w:val="24"/>
        </w:rPr>
        <w:t>подршке</w:t>
      </w:r>
      <w:r w:rsidR="00EA30EE" w:rsidRPr="00F175F6">
        <w:rPr>
          <w:rStyle w:val="y2iqfc"/>
          <w:rFonts w:ascii="inherit" w:hAnsi="inherit"/>
          <w:sz w:val="24"/>
          <w:szCs w:val="24"/>
        </w:rPr>
        <w:t xml:space="preserve"> </w:t>
      </w:r>
      <w:r>
        <w:rPr>
          <w:rStyle w:val="y2iqfc"/>
          <w:rFonts w:ascii="inherit" w:hAnsi="inherit"/>
          <w:sz w:val="24"/>
          <w:szCs w:val="24"/>
        </w:rPr>
        <w:t>жртвама</w:t>
      </w:r>
      <w:r w:rsidR="00EA30EE" w:rsidRPr="00F175F6">
        <w:rPr>
          <w:rStyle w:val="y2iqfc"/>
          <w:rFonts w:ascii="inherit" w:hAnsi="inherit"/>
          <w:sz w:val="24"/>
          <w:szCs w:val="24"/>
        </w:rPr>
        <w:t xml:space="preserve"> </w:t>
      </w:r>
      <w:r>
        <w:rPr>
          <w:rStyle w:val="y2iqfc"/>
          <w:rFonts w:ascii="inherit" w:hAnsi="inherit"/>
          <w:sz w:val="24"/>
          <w:szCs w:val="24"/>
        </w:rPr>
        <w:t>родно</w:t>
      </w:r>
      <w:r w:rsidR="00EA30EE" w:rsidRPr="00F175F6">
        <w:rPr>
          <w:rStyle w:val="y2iqfc"/>
          <w:rFonts w:ascii="inherit" w:hAnsi="inherit"/>
          <w:sz w:val="24"/>
          <w:szCs w:val="24"/>
        </w:rPr>
        <w:t xml:space="preserve"> </w:t>
      </w:r>
      <w:r>
        <w:rPr>
          <w:rStyle w:val="y2iqfc"/>
          <w:rFonts w:ascii="inherit" w:hAnsi="inherit"/>
          <w:sz w:val="24"/>
          <w:szCs w:val="24"/>
        </w:rPr>
        <w:t>заснованог</w:t>
      </w:r>
      <w:r w:rsidR="00EA30EE" w:rsidRPr="00F175F6">
        <w:rPr>
          <w:rStyle w:val="y2iqfc"/>
          <w:rFonts w:ascii="inherit" w:hAnsi="inherit"/>
          <w:sz w:val="24"/>
          <w:szCs w:val="24"/>
        </w:rPr>
        <w:t xml:space="preserve"> </w:t>
      </w:r>
      <w:r>
        <w:rPr>
          <w:rStyle w:val="y2iqfc"/>
          <w:rFonts w:ascii="inherit" w:hAnsi="inherit"/>
          <w:sz w:val="24"/>
          <w:szCs w:val="24"/>
        </w:rPr>
        <w:t>насиља</w:t>
      </w:r>
      <w:r w:rsidR="00EA30EE" w:rsidRPr="00F175F6">
        <w:rPr>
          <w:rStyle w:val="y2iqfc"/>
          <w:rFonts w:ascii="inherit" w:hAnsi="inherit"/>
          <w:sz w:val="24"/>
          <w:szCs w:val="24"/>
        </w:rPr>
        <w:t xml:space="preserve"> </w:t>
      </w:r>
      <w:r>
        <w:rPr>
          <w:rStyle w:val="y2iqfc"/>
          <w:rFonts w:ascii="inherit" w:hAnsi="inherit"/>
          <w:sz w:val="24"/>
          <w:szCs w:val="24"/>
        </w:rPr>
        <w:t>заснованог</w:t>
      </w:r>
      <w:r w:rsidR="00EA30EE" w:rsidRPr="00F175F6">
        <w:rPr>
          <w:rStyle w:val="y2iqfc"/>
          <w:rFonts w:ascii="inherit" w:hAnsi="inherit"/>
          <w:sz w:val="24"/>
          <w:szCs w:val="24"/>
        </w:rPr>
        <w:t xml:space="preserve"> </w:t>
      </w:r>
      <w:r>
        <w:rPr>
          <w:rStyle w:val="y2iqfc"/>
          <w:rFonts w:ascii="inherit" w:hAnsi="inherit"/>
          <w:sz w:val="24"/>
          <w:szCs w:val="24"/>
        </w:rPr>
        <w:t>на</w:t>
      </w:r>
      <w:r w:rsidR="00EA30EE" w:rsidRPr="00F175F6">
        <w:rPr>
          <w:rStyle w:val="y2iqfc"/>
          <w:rFonts w:ascii="inherit" w:hAnsi="inherit"/>
          <w:sz w:val="24"/>
          <w:szCs w:val="24"/>
        </w:rPr>
        <w:t xml:space="preserve"> </w:t>
      </w:r>
      <w:r>
        <w:rPr>
          <w:rStyle w:val="y2iqfc"/>
          <w:rFonts w:ascii="inherit" w:hAnsi="inherit"/>
          <w:sz w:val="24"/>
          <w:szCs w:val="24"/>
        </w:rPr>
        <w:t>трауми</w:t>
      </w:r>
      <w:r w:rsidR="00EA30EE" w:rsidRPr="00F175F6">
        <w:rPr>
          <w:rStyle w:val="y2iqfc"/>
          <w:rFonts w:ascii="inherit" w:hAnsi="inherit"/>
          <w:sz w:val="24"/>
          <w:szCs w:val="24"/>
        </w:rPr>
        <w:t xml:space="preserve">, </w:t>
      </w:r>
      <w:r>
        <w:rPr>
          <w:rStyle w:val="y2iqfc"/>
          <w:rFonts w:ascii="inherit" w:hAnsi="inherit"/>
          <w:sz w:val="24"/>
          <w:szCs w:val="24"/>
        </w:rPr>
        <w:t>а</w:t>
      </w:r>
      <w:r w:rsidR="00EA30EE" w:rsidRPr="00F175F6">
        <w:rPr>
          <w:rStyle w:val="y2iqfc"/>
          <w:rFonts w:ascii="inherit" w:hAnsi="inherit"/>
          <w:sz w:val="24"/>
          <w:szCs w:val="24"/>
        </w:rPr>
        <w:t xml:space="preserve"> </w:t>
      </w:r>
      <w:r>
        <w:rPr>
          <w:rStyle w:val="y2iqfc"/>
          <w:rFonts w:ascii="inherit" w:hAnsi="inherit"/>
          <w:sz w:val="24"/>
          <w:szCs w:val="24"/>
        </w:rPr>
        <w:t>у</w:t>
      </w:r>
      <w:r w:rsidR="00EA30EE" w:rsidRPr="00F175F6">
        <w:rPr>
          <w:rStyle w:val="y2iqfc"/>
          <w:rFonts w:ascii="inherit" w:hAnsi="inherit"/>
          <w:sz w:val="24"/>
          <w:szCs w:val="24"/>
        </w:rPr>
        <w:t xml:space="preserve"> </w:t>
      </w:r>
      <w:r>
        <w:rPr>
          <w:rStyle w:val="y2iqfc"/>
          <w:rFonts w:ascii="inherit" w:hAnsi="inherit"/>
          <w:sz w:val="24"/>
          <w:szCs w:val="24"/>
        </w:rPr>
        <w:t>РС</w:t>
      </w:r>
      <w:r w:rsidR="00EA30EE" w:rsidRPr="00F175F6">
        <w:rPr>
          <w:rStyle w:val="y2iqfc"/>
          <w:rFonts w:ascii="inherit" w:hAnsi="inherit"/>
          <w:sz w:val="24"/>
          <w:szCs w:val="24"/>
        </w:rPr>
        <w:t xml:space="preserve">, 13 </w:t>
      </w:r>
      <w:r>
        <w:rPr>
          <w:rStyle w:val="y2iqfc"/>
          <w:rFonts w:ascii="inherit" w:hAnsi="inherit"/>
          <w:sz w:val="24"/>
          <w:szCs w:val="24"/>
        </w:rPr>
        <w:t>мултидисциплинарних</w:t>
      </w:r>
      <w:r w:rsidR="00EA30EE" w:rsidRPr="00F175F6">
        <w:rPr>
          <w:rStyle w:val="y2iqfc"/>
          <w:rFonts w:ascii="inherit" w:hAnsi="inherit"/>
          <w:sz w:val="24"/>
          <w:szCs w:val="24"/>
        </w:rPr>
        <w:t xml:space="preserve"> </w:t>
      </w:r>
      <w:r>
        <w:rPr>
          <w:rStyle w:val="y2iqfc"/>
          <w:rFonts w:ascii="inherit" w:hAnsi="inherit"/>
          <w:sz w:val="24"/>
          <w:szCs w:val="24"/>
        </w:rPr>
        <w:t>стручњака</w:t>
      </w:r>
      <w:r w:rsidR="00EA30EE" w:rsidRPr="00F175F6">
        <w:rPr>
          <w:rStyle w:val="y2iqfc"/>
          <w:rFonts w:ascii="inherit" w:hAnsi="inherit"/>
          <w:sz w:val="24"/>
          <w:szCs w:val="24"/>
        </w:rPr>
        <w:t xml:space="preserve"> </w:t>
      </w:r>
      <w:r>
        <w:rPr>
          <w:rStyle w:val="y2iqfc"/>
          <w:rFonts w:ascii="inherit" w:hAnsi="inherit"/>
          <w:sz w:val="24"/>
          <w:szCs w:val="24"/>
        </w:rPr>
        <w:t>завршило</w:t>
      </w:r>
      <w:r w:rsidR="00EA30EE" w:rsidRPr="00F175F6">
        <w:rPr>
          <w:rStyle w:val="y2iqfc"/>
          <w:rFonts w:ascii="inherit" w:hAnsi="inherit"/>
          <w:sz w:val="24"/>
          <w:szCs w:val="24"/>
        </w:rPr>
        <w:t xml:space="preserve"> </w:t>
      </w:r>
      <w:r>
        <w:rPr>
          <w:rStyle w:val="y2iqfc"/>
          <w:rFonts w:ascii="inherit" w:hAnsi="inherit"/>
          <w:sz w:val="24"/>
          <w:szCs w:val="24"/>
        </w:rPr>
        <w:t>је</w:t>
      </w:r>
      <w:r w:rsidR="00EA30EE" w:rsidRPr="00F175F6">
        <w:rPr>
          <w:rStyle w:val="y2iqfc"/>
          <w:rFonts w:ascii="inherit" w:hAnsi="inherit"/>
          <w:sz w:val="24"/>
          <w:szCs w:val="24"/>
        </w:rPr>
        <w:t xml:space="preserve"> </w:t>
      </w:r>
      <w:r>
        <w:rPr>
          <w:rStyle w:val="y2iqfc"/>
          <w:rFonts w:ascii="inherit" w:hAnsi="inherit"/>
          <w:sz w:val="24"/>
          <w:szCs w:val="24"/>
        </w:rPr>
        <w:t>прилагођени</w:t>
      </w:r>
      <w:r w:rsidR="00EA30EE" w:rsidRPr="00F175F6">
        <w:rPr>
          <w:rStyle w:val="y2iqfc"/>
          <w:rFonts w:ascii="inherit" w:hAnsi="inherit"/>
          <w:sz w:val="24"/>
          <w:szCs w:val="24"/>
        </w:rPr>
        <w:t xml:space="preserve"> </w:t>
      </w:r>
      <w:r>
        <w:rPr>
          <w:rStyle w:val="y2iqfc"/>
          <w:rFonts w:ascii="inherit" w:hAnsi="inherit"/>
          <w:sz w:val="24"/>
          <w:szCs w:val="24"/>
        </w:rPr>
        <w:t>програм</w:t>
      </w:r>
      <w:r w:rsidR="00EA30EE" w:rsidRPr="00F175F6">
        <w:rPr>
          <w:rStyle w:val="y2iqfc"/>
          <w:rFonts w:ascii="inherit" w:hAnsi="inherit"/>
          <w:sz w:val="24"/>
          <w:szCs w:val="24"/>
        </w:rPr>
        <w:t xml:space="preserve"> </w:t>
      </w:r>
      <w:r>
        <w:rPr>
          <w:rStyle w:val="y2iqfc"/>
          <w:rFonts w:ascii="inherit" w:hAnsi="inherit"/>
          <w:sz w:val="24"/>
          <w:szCs w:val="24"/>
        </w:rPr>
        <w:t>обуке</w:t>
      </w:r>
      <w:r w:rsidR="00EA30EE" w:rsidRPr="00F175F6">
        <w:rPr>
          <w:rStyle w:val="y2iqfc"/>
          <w:rFonts w:ascii="inherit" w:hAnsi="inherit"/>
          <w:sz w:val="24"/>
          <w:szCs w:val="24"/>
        </w:rPr>
        <w:t xml:space="preserve"> </w:t>
      </w:r>
      <w:r>
        <w:rPr>
          <w:rStyle w:val="y2iqfc"/>
          <w:rFonts w:ascii="inherit" w:hAnsi="inherit"/>
          <w:sz w:val="24"/>
          <w:szCs w:val="24"/>
        </w:rPr>
        <w:t>тренера</w:t>
      </w:r>
      <w:r w:rsidR="00EA30EE" w:rsidRPr="00F175F6">
        <w:rPr>
          <w:rStyle w:val="y2iqfc"/>
          <w:rFonts w:ascii="inherit" w:hAnsi="inherit"/>
          <w:sz w:val="24"/>
          <w:szCs w:val="24"/>
        </w:rPr>
        <w:t xml:space="preserve">, </w:t>
      </w:r>
      <w:r>
        <w:rPr>
          <w:rStyle w:val="y2iqfc"/>
          <w:rFonts w:ascii="inherit" w:hAnsi="inherit"/>
          <w:sz w:val="24"/>
          <w:szCs w:val="24"/>
        </w:rPr>
        <w:t>значајно</w:t>
      </w:r>
      <w:r w:rsidR="00EA30EE" w:rsidRPr="00F175F6">
        <w:rPr>
          <w:rStyle w:val="y2iqfc"/>
          <w:rFonts w:ascii="inherit" w:hAnsi="inherit"/>
          <w:sz w:val="24"/>
          <w:szCs w:val="24"/>
        </w:rPr>
        <w:t xml:space="preserve"> </w:t>
      </w:r>
      <w:r>
        <w:rPr>
          <w:rStyle w:val="y2iqfc"/>
          <w:rFonts w:ascii="inherit" w:hAnsi="inherit"/>
          <w:sz w:val="24"/>
          <w:szCs w:val="24"/>
        </w:rPr>
        <w:t>побољшавајући</w:t>
      </w:r>
      <w:r w:rsidR="00EA30EE" w:rsidRPr="00F175F6">
        <w:rPr>
          <w:rStyle w:val="y2iqfc"/>
          <w:rFonts w:ascii="inherit" w:hAnsi="inherit"/>
          <w:sz w:val="24"/>
          <w:szCs w:val="24"/>
        </w:rPr>
        <w:t xml:space="preserve"> </w:t>
      </w:r>
      <w:r>
        <w:rPr>
          <w:rStyle w:val="y2iqfc"/>
          <w:rFonts w:ascii="inherit" w:hAnsi="inherit"/>
          <w:sz w:val="24"/>
          <w:szCs w:val="24"/>
        </w:rPr>
        <w:t>инфраструктуру</w:t>
      </w:r>
      <w:r w:rsidR="00EA30EE" w:rsidRPr="00F175F6">
        <w:rPr>
          <w:rStyle w:val="y2iqfc"/>
          <w:rFonts w:ascii="inherit" w:hAnsi="inherit"/>
          <w:sz w:val="24"/>
          <w:szCs w:val="24"/>
        </w:rPr>
        <w:t xml:space="preserve"> </w:t>
      </w:r>
      <w:r>
        <w:rPr>
          <w:rStyle w:val="y2iqfc"/>
          <w:rFonts w:ascii="inherit" w:hAnsi="inherit"/>
          <w:sz w:val="24"/>
          <w:szCs w:val="24"/>
        </w:rPr>
        <w:t>за</w:t>
      </w:r>
      <w:r w:rsidR="00EA30EE" w:rsidRPr="00F175F6">
        <w:rPr>
          <w:rStyle w:val="y2iqfc"/>
          <w:rFonts w:ascii="inherit" w:hAnsi="inherit"/>
          <w:sz w:val="24"/>
          <w:szCs w:val="24"/>
        </w:rPr>
        <w:t xml:space="preserve"> </w:t>
      </w:r>
      <w:r>
        <w:rPr>
          <w:rStyle w:val="y2iqfc"/>
          <w:rFonts w:ascii="inherit" w:hAnsi="inherit"/>
          <w:sz w:val="24"/>
          <w:szCs w:val="24"/>
        </w:rPr>
        <w:t>одговор</w:t>
      </w:r>
      <w:r w:rsidR="00EA30EE" w:rsidRPr="00F175F6">
        <w:rPr>
          <w:rStyle w:val="y2iqfc"/>
          <w:rFonts w:ascii="inherit" w:hAnsi="inherit"/>
          <w:sz w:val="24"/>
          <w:szCs w:val="24"/>
        </w:rPr>
        <w:t xml:space="preserve">. </w:t>
      </w:r>
      <w:r w:rsidR="00D8279B" w:rsidRPr="00D8279B">
        <w:rPr>
          <w:rFonts w:ascii="inherit" w:hAnsi="inherit"/>
          <w:i/>
          <w:sz w:val="24"/>
          <w:szCs w:val="24"/>
          <w:lang w:val="hr-BA"/>
        </w:rPr>
        <w:t>UNFPA</w:t>
      </w:r>
      <w:r w:rsidR="00EA30EE" w:rsidRPr="00F175F6">
        <w:rPr>
          <w:rStyle w:val="y2iqfc"/>
          <w:rFonts w:ascii="inherit" w:hAnsi="inherit"/>
          <w:sz w:val="24"/>
          <w:szCs w:val="24"/>
        </w:rPr>
        <w:t xml:space="preserve"> </w:t>
      </w:r>
      <w:r>
        <w:rPr>
          <w:rStyle w:val="y2iqfc"/>
          <w:rFonts w:ascii="inherit" w:hAnsi="inherit"/>
          <w:sz w:val="24"/>
          <w:szCs w:val="24"/>
        </w:rPr>
        <w:t>је</w:t>
      </w:r>
      <w:r w:rsidR="00EA30EE" w:rsidRPr="00F175F6">
        <w:rPr>
          <w:rStyle w:val="y2iqfc"/>
          <w:rFonts w:ascii="inherit" w:hAnsi="inherit"/>
          <w:sz w:val="24"/>
          <w:szCs w:val="24"/>
        </w:rPr>
        <w:t xml:space="preserve"> </w:t>
      </w:r>
      <w:r>
        <w:rPr>
          <w:rStyle w:val="y2iqfc"/>
          <w:rFonts w:ascii="inherit" w:hAnsi="inherit"/>
          <w:sz w:val="24"/>
          <w:szCs w:val="24"/>
        </w:rPr>
        <w:t>одржавао</w:t>
      </w:r>
      <w:r w:rsidR="00EA30EE" w:rsidRPr="00F175F6">
        <w:rPr>
          <w:rStyle w:val="y2iqfc"/>
          <w:rFonts w:ascii="inherit" w:hAnsi="inherit"/>
          <w:sz w:val="24"/>
          <w:szCs w:val="24"/>
        </w:rPr>
        <w:t xml:space="preserve"> </w:t>
      </w:r>
      <w:r>
        <w:rPr>
          <w:rStyle w:val="y2iqfc"/>
          <w:rFonts w:ascii="inherit" w:hAnsi="inherit"/>
          <w:sz w:val="24"/>
          <w:szCs w:val="24"/>
        </w:rPr>
        <w:t>директно</w:t>
      </w:r>
      <w:r w:rsidR="00EA30EE" w:rsidRPr="00F175F6">
        <w:rPr>
          <w:rStyle w:val="y2iqfc"/>
          <w:rFonts w:ascii="inherit" w:hAnsi="inherit"/>
          <w:sz w:val="24"/>
          <w:szCs w:val="24"/>
        </w:rPr>
        <w:t xml:space="preserve"> </w:t>
      </w:r>
      <w:r>
        <w:rPr>
          <w:rStyle w:val="y2iqfc"/>
          <w:rFonts w:ascii="inherit" w:hAnsi="inherit"/>
          <w:sz w:val="24"/>
          <w:szCs w:val="24"/>
        </w:rPr>
        <w:t>пружање</w:t>
      </w:r>
      <w:r w:rsidR="00EA30EE" w:rsidRPr="00F175F6">
        <w:rPr>
          <w:rStyle w:val="y2iqfc"/>
          <w:rFonts w:ascii="inherit" w:hAnsi="inherit"/>
          <w:sz w:val="24"/>
          <w:szCs w:val="24"/>
        </w:rPr>
        <w:t xml:space="preserve"> </w:t>
      </w:r>
      <w:r>
        <w:rPr>
          <w:rStyle w:val="y2iqfc"/>
          <w:rFonts w:ascii="inherit" w:hAnsi="inherit"/>
          <w:sz w:val="24"/>
          <w:szCs w:val="24"/>
        </w:rPr>
        <w:t>услуга</w:t>
      </w:r>
      <w:r w:rsidR="00EA30EE" w:rsidRPr="00F175F6">
        <w:rPr>
          <w:rStyle w:val="y2iqfc"/>
          <w:rFonts w:ascii="inherit" w:hAnsi="inherit"/>
          <w:sz w:val="24"/>
          <w:szCs w:val="24"/>
        </w:rPr>
        <w:t xml:space="preserve"> </w:t>
      </w:r>
      <w:r>
        <w:rPr>
          <w:rStyle w:val="y2iqfc"/>
          <w:rFonts w:ascii="inherit" w:hAnsi="inherit"/>
          <w:sz w:val="24"/>
          <w:szCs w:val="24"/>
        </w:rPr>
        <w:t>у</w:t>
      </w:r>
      <w:r w:rsidR="00EA30EE" w:rsidRPr="00F175F6">
        <w:rPr>
          <w:rStyle w:val="y2iqfc"/>
          <w:rFonts w:ascii="inherit" w:hAnsi="inherit"/>
          <w:sz w:val="24"/>
          <w:szCs w:val="24"/>
        </w:rPr>
        <w:t xml:space="preserve"> </w:t>
      </w:r>
      <w:r>
        <w:rPr>
          <w:rStyle w:val="y2iqfc"/>
          <w:rFonts w:ascii="inherit" w:hAnsi="inherit"/>
          <w:sz w:val="24"/>
          <w:szCs w:val="24"/>
        </w:rPr>
        <w:t>четири</w:t>
      </w:r>
      <w:r w:rsidR="00EA30EE" w:rsidRPr="00F175F6">
        <w:rPr>
          <w:rStyle w:val="y2iqfc"/>
          <w:rFonts w:ascii="inherit" w:hAnsi="inherit"/>
          <w:sz w:val="24"/>
          <w:szCs w:val="24"/>
        </w:rPr>
        <w:t xml:space="preserve"> </w:t>
      </w:r>
      <w:r>
        <w:rPr>
          <w:rStyle w:val="y2iqfc"/>
          <w:rFonts w:ascii="inherit" w:hAnsi="inherit"/>
          <w:sz w:val="24"/>
          <w:szCs w:val="24"/>
        </w:rPr>
        <w:t>привремена</w:t>
      </w:r>
      <w:r w:rsidR="00EA30EE" w:rsidRPr="00F175F6">
        <w:rPr>
          <w:rStyle w:val="y2iqfc"/>
          <w:rFonts w:ascii="inherit" w:hAnsi="inherit"/>
          <w:sz w:val="24"/>
          <w:szCs w:val="24"/>
        </w:rPr>
        <w:t xml:space="preserve"> </w:t>
      </w:r>
      <w:r>
        <w:rPr>
          <w:rStyle w:val="y2iqfc"/>
          <w:rFonts w:ascii="inherit" w:hAnsi="inherit"/>
          <w:sz w:val="24"/>
          <w:szCs w:val="24"/>
        </w:rPr>
        <w:t>прихватна</w:t>
      </w:r>
      <w:r w:rsidR="00EA30EE" w:rsidRPr="00F175F6">
        <w:rPr>
          <w:rStyle w:val="y2iqfc"/>
          <w:rFonts w:ascii="inherit" w:hAnsi="inherit"/>
          <w:sz w:val="24"/>
          <w:szCs w:val="24"/>
        </w:rPr>
        <w:t xml:space="preserve"> </w:t>
      </w:r>
      <w:r>
        <w:rPr>
          <w:rStyle w:val="y2iqfc"/>
          <w:rFonts w:ascii="inherit" w:hAnsi="inherit"/>
          <w:sz w:val="24"/>
          <w:szCs w:val="24"/>
        </w:rPr>
        <w:t>центра</w:t>
      </w:r>
      <w:r w:rsidR="00EA30EE" w:rsidRPr="00F175F6">
        <w:rPr>
          <w:rStyle w:val="y2iqfc"/>
          <w:rFonts w:ascii="inherit" w:hAnsi="inherit"/>
          <w:sz w:val="24"/>
          <w:szCs w:val="24"/>
        </w:rPr>
        <w:t xml:space="preserve"> (</w:t>
      </w:r>
      <w:r>
        <w:rPr>
          <w:rStyle w:val="y2iqfc"/>
          <w:rFonts w:ascii="inherit" w:hAnsi="inherit"/>
          <w:sz w:val="24"/>
          <w:szCs w:val="24"/>
        </w:rPr>
        <w:t>ПРЦ</w:t>
      </w:r>
      <w:r w:rsidR="00EA30EE" w:rsidRPr="00F175F6">
        <w:rPr>
          <w:rStyle w:val="y2iqfc"/>
          <w:rFonts w:ascii="inherit" w:hAnsi="inherit"/>
          <w:sz w:val="24"/>
          <w:szCs w:val="24"/>
        </w:rPr>
        <w:t xml:space="preserve">), </w:t>
      </w:r>
      <w:r>
        <w:rPr>
          <w:rStyle w:val="y2iqfc"/>
          <w:rFonts w:ascii="inherit" w:hAnsi="inherit"/>
          <w:sz w:val="24"/>
          <w:szCs w:val="24"/>
        </w:rPr>
        <w:t>путем</w:t>
      </w:r>
      <w:r w:rsidR="00A2789E" w:rsidRPr="00F175F6">
        <w:rPr>
          <w:rStyle w:val="y2iqfc"/>
          <w:rFonts w:ascii="inherit" w:hAnsi="inherit"/>
          <w:sz w:val="24"/>
          <w:szCs w:val="24"/>
        </w:rPr>
        <w:t xml:space="preserve"> </w:t>
      </w:r>
      <w:r>
        <w:rPr>
          <w:rStyle w:val="y2iqfc"/>
          <w:rFonts w:ascii="inherit" w:hAnsi="inherit"/>
          <w:sz w:val="24"/>
          <w:szCs w:val="24"/>
        </w:rPr>
        <w:t>функциони</w:t>
      </w:r>
      <w:r w:rsidR="006E324C">
        <w:rPr>
          <w:rStyle w:val="y2iqfc"/>
          <w:rFonts w:ascii="inherit" w:hAnsi="inherit"/>
          <w:sz w:val="24"/>
          <w:szCs w:val="24"/>
          <w:lang w:val="sr-Cyrl-BA"/>
        </w:rPr>
        <w:t>с</w:t>
      </w:r>
      <w:r>
        <w:rPr>
          <w:rStyle w:val="y2iqfc"/>
          <w:rFonts w:ascii="inherit" w:hAnsi="inherit"/>
          <w:sz w:val="24"/>
          <w:szCs w:val="24"/>
        </w:rPr>
        <w:t>ања</w:t>
      </w:r>
      <w:r w:rsidR="00EA30EE" w:rsidRPr="00F175F6">
        <w:rPr>
          <w:rStyle w:val="y2iqfc"/>
          <w:rFonts w:ascii="inherit" w:hAnsi="inherit"/>
          <w:sz w:val="24"/>
          <w:szCs w:val="24"/>
        </w:rPr>
        <w:t xml:space="preserve"> </w:t>
      </w:r>
      <w:r>
        <w:rPr>
          <w:rStyle w:val="y2iqfc"/>
          <w:rFonts w:ascii="inherit" w:hAnsi="inherit"/>
          <w:sz w:val="24"/>
          <w:szCs w:val="24"/>
        </w:rPr>
        <w:t>два</w:t>
      </w:r>
      <w:r w:rsidR="00EA30EE" w:rsidRPr="00F175F6">
        <w:rPr>
          <w:rStyle w:val="y2iqfc"/>
          <w:rFonts w:ascii="inherit" w:hAnsi="inherit"/>
          <w:sz w:val="24"/>
          <w:szCs w:val="24"/>
        </w:rPr>
        <w:t xml:space="preserve"> </w:t>
      </w:r>
      <w:r>
        <w:rPr>
          <w:rStyle w:val="y2iqfc"/>
          <w:rFonts w:ascii="inherit" w:hAnsi="inherit"/>
          <w:sz w:val="24"/>
          <w:szCs w:val="24"/>
        </w:rPr>
        <w:t>центра</w:t>
      </w:r>
      <w:r w:rsidR="00EA30EE" w:rsidRPr="00F175F6">
        <w:rPr>
          <w:rStyle w:val="y2iqfc"/>
          <w:rFonts w:ascii="inherit" w:hAnsi="inherit"/>
          <w:sz w:val="24"/>
          <w:szCs w:val="24"/>
        </w:rPr>
        <w:t xml:space="preserve"> </w:t>
      </w:r>
      <w:r>
        <w:rPr>
          <w:rStyle w:val="y2iqfc"/>
          <w:rFonts w:ascii="inherit" w:hAnsi="inherit"/>
          <w:sz w:val="24"/>
          <w:szCs w:val="24"/>
        </w:rPr>
        <w:t>за</w:t>
      </w:r>
      <w:r w:rsidR="00EA30EE" w:rsidRPr="00F175F6">
        <w:rPr>
          <w:rStyle w:val="y2iqfc"/>
          <w:rFonts w:ascii="inherit" w:hAnsi="inherit"/>
          <w:sz w:val="24"/>
          <w:szCs w:val="24"/>
        </w:rPr>
        <w:t xml:space="preserve"> </w:t>
      </w:r>
      <w:r>
        <w:rPr>
          <w:rStyle w:val="y2iqfc"/>
          <w:rFonts w:ascii="inherit" w:hAnsi="inherit"/>
          <w:sz w:val="24"/>
          <w:szCs w:val="24"/>
        </w:rPr>
        <w:t>жене</w:t>
      </w:r>
      <w:r w:rsidR="00EA30EE" w:rsidRPr="00F175F6">
        <w:rPr>
          <w:rStyle w:val="y2iqfc"/>
          <w:rFonts w:ascii="inherit" w:hAnsi="inherit"/>
          <w:sz w:val="24"/>
          <w:szCs w:val="24"/>
        </w:rPr>
        <w:t xml:space="preserve"> </w:t>
      </w:r>
      <w:r>
        <w:rPr>
          <w:rStyle w:val="y2iqfc"/>
          <w:rFonts w:ascii="inherit" w:hAnsi="inherit"/>
          <w:sz w:val="24"/>
          <w:szCs w:val="24"/>
        </w:rPr>
        <w:t>и</w:t>
      </w:r>
      <w:r w:rsidR="00EA30EE" w:rsidRPr="00F175F6">
        <w:rPr>
          <w:rStyle w:val="y2iqfc"/>
          <w:rFonts w:ascii="inherit" w:hAnsi="inherit"/>
          <w:sz w:val="24"/>
          <w:szCs w:val="24"/>
        </w:rPr>
        <w:t xml:space="preserve"> </w:t>
      </w:r>
      <w:r>
        <w:rPr>
          <w:rStyle w:val="y2iqfc"/>
          <w:rFonts w:ascii="inherit" w:hAnsi="inherit"/>
          <w:sz w:val="24"/>
          <w:szCs w:val="24"/>
        </w:rPr>
        <w:t>дјевојчице</w:t>
      </w:r>
      <w:r w:rsidR="00EA30EE" w:rsidRPr="00F175F6">
        <w:rPr>
          <w:rStyle w:val="y2iqfc"/>
          <w:rFonts w:ascii="inherit" w:hAnsi="inherit"/>
          <w:sz w:val="24"/>
          <w:szCs w:val="24"/>
        </w:rPr>
        <w:t xml:space="preserve"> </w:t>
      </w:r>
      <w:r>
        <w:rPr>
          <w:rStyle w:val="y2iqfc"/>
          <w:rFonts w:ascii="inherit" w:hAnsi="inherit"/>
          <w:sz w:val="24"/>
          <w:szCs w:val="24"/>
        </w:rPr>
        <w:t>и</w:t>
      </w:r>
      <w:r w:rsidR="00EA30EE" w:rsidRPr="00F175F6">
        <w:rPr>
          <w:rStyle w:val="y2iqfc"/>
          <w:rFonts w:ascii="inherit" w:hAnsi="inherit"/>
          <w:sz w:val="24"/>
          <w:szCs w:val="24"/>
        </w:rPr>
        <w:t xml:space="preserve"> </w:t>
      </w:r>
      <w:r>
        <w:rPr>
          <w:rStyle w:val="y2iqfc"/>
          <w:rFonts w:ascii="inherit" w:hAnsi="inherit"/>
          <w:sz w:val="24"/>
          <w:szCs w:val="24"/>
        </w:rPr>
        <w:t>два</w:t>
      </w:r>
      <w:r w:rsidR="00EA30EE" w:rsidRPr="00F175F6">
        <w:rPr>
          <w:rStyle w:val="y2iqfc"/>
          <w:rFonts w:ascii="inherit" w:hAnsi="inherit"/>
          <w:sz w:val="24"/>
          <w:szCs w:val="24"/>
        </w:rPr>
        <w:t xml:space="preserve"> </w:t>
      </w:r>
      <w:r>
        <w:rPr>
          <w:rStyle w:val="y2iqfc"/>
          <w:rFonts w:ascii="inherit" w:hAnsi="inherit"/>
          <w:sz w:val="24"/>
          <w:szCs w:val="24"/>
        </w:rPr>
        <w:t>центра</w:t>
      </w:r>
      <w:r w:rsidR="00EA30EE" w:rsidRPr="00F175F6">
        <w:rPr>
          <w:rStyle w:val="y2iqfc"/>
          <w:rFonts w:ascii="inherit" w:hAnsi="inherit"/>
          <w:sz w:val="24"/>
          <w:szCs w:val="24"/>
        </w:rPr>
        <w:t xml:space="preserve"> </w:t>
      </w:r>
      <w:r>
        <w:rPr>
          <w:rStyle w:val="y2iqfc"/>
          <w:rFonts w:ascii="inherit" w:hAnsi="inherit"/>
          <w:sz w:val="24"/>
          <w:szCs w:val="24"/>
        </w:rPr>
        <w:t>за</w:t>
      </w:r>
      <w:r w:rsidR="00EA30EE" w:rsidRPr="00F175F6">
        <w:rPr>
          <w:rStyle w:val="y2iqfc"/>
          <w:rFonts w:ascii="inherit" w:hAnsi="inherit"/>
          <w:sz w:val="24"/>
          <w:szCs w:val="24"/>
        </w:rPr>
        <w:t xml:space="preserve"> </w:t>
      </w:r>
      <w:r>
        <w:rPr>
          <w:rStyle w:val="y2iqfc"/>
          <w:rFonts w:ascii="inherit" w:hAnsi="inherit"/>
          <w:sz w:val="24"/>
          <w:szCs w:val="24"/>
        </w:rPr>
        <w:t>дјечаке</w:t>
      </w:r>
      <w:r w:rsidR="00EA30EE" w:rsidRPr="00F175F6">
        <w:rPr>
          <w:rStyle w:val="y2iqfc"/>
          <w:rFonts w:ascii="inherit" w:hAnsi="inherit"/>
          <w:sz w:val="24"/>
          <w:szCs w:val="24"/>
        </w:rPr>
        <w:t xml:space="preserve"> </w:t>
      </w:r>
      <w:r>
        <w:rPr>
          <w:rStyle w:val="y2iqfc"/>
          <w:rFonts w:ascii="inherit" w:hAnsi="inherit"/>
          <w:sz w:val="24"/>
          <w:szCs w:val="24"/>
        </w:rPr>
        <w:t>и</w:t>
      </w:r>
      <w:r w:rsidR="00EA30EE" w:rsidRPr="00F175F6">
        <w:rPr>
          <w:rStyle w:val="y2iqfc"/>
          <w:rFonts w:ascii="inherit" w:hAnsi="inherit"/>
          <w:sz w:val="24"/>
          <w:szCs w:val="24"/>
        </w:rPr>
        <w:t xml:space="preserve"> </w:t>
      </w:r>
      <w:r>
        <w:rPr>
          <w:rStyle w:val="y2iqfc"/>
          <w:rFonts w:ascii="inherit" w:hAnsi="inherit"/>
          <w:sz w:val="24"/>
          <w:szCs w:val="24"/>
        </w:rPr>
        <w:t>младиће</w:t>
      </w:r>
      <w:r w:rsidR="00EA30EE" w:rsidRPr="00F175F6">
        <w:rPr>
          <w:rStyle w:val="y2iqfc"/>
          <w:rFonts w:ascii="inherit" w:hAnsi="inherit"/>
          <w:sz w:val="24"/>
          <w:szCs w:val="24"/>
        </w:rPr>
        <w:t xml:space="preserve">. </w:t>
      </w:r>
      <w:r>
        <w:rPr>
          <w:rStyle w:val="y2iqfc"/>
          <w:rFonts w:ascii="inherit" w:hAnsi="inherit"/>
          <w:sz w:val="24"/>
          <w:szCs w:val="24"/>
        </w:rPr>
        <w:t>Ови</w:t>
      </w:r>
      <w:r w:rsidR="00EA30EE" w:rsidRPr="00F175F6">
        <w:rPr>
          <w:rStyle w:val="y2iqfc"/>
          <w:rFonts w:ascii="inherit" w:hAnsi="inherit"/>
          <w:sz w:val="24"/>
          <w:szCs w:val="24"/>
        </w:rPr>
        <w:t xml:space="preserve"> </w:t>
      </w:r>
      <w:r>
        <w:rPr>
          <w:rStyle w:val="y2iqfc"/>
          <w:rFonts w:ascii="inherit" w:hAnsi="inherit"/>
          <w:sz w:val="24"/>
          <w:szCs w:val="24"/>
        </w:rPr>
        <w:t>простори</w:t>
      </w:r>
      <w:r w:rsidR="00EA30EE" w:rsidRPr="00F175F6">
        <w:rPr>
          <w:rStyle w:val="y2iqfc"/>
          <w:rFonts w:ascii="inherit" w:hAnsi="inherit"/>
          <w:sz w:val="24"/>
          <w:szCs w:val="24"/>
        </w:rPr>
        <w:t xml:space="preserve"> </w:t>
      </w:r>
      <w:r>
        <w:rPr>
          <w:rStyle w:val="y2iqfc"/>
          <w:rFonts w:ascii="inherit" w:hAnsi="inherit"/>
          <w:sz w:val="24"/>
          <w:szCs w:val="24"/>
        </w:rPr>
        <w:t>су</w:t>
      </w:r>
      <w:r w:rsidR="00EA30EE" w:rsidRPr="00F175F6">
        <w:rPr>
          <w:rStyle w:val="y2iqfc"/>
          <w:rFonts w:ascii="inherit" w:hAnsi="inherit"/>
          <w:sz w:val="24"/>
          <w:szCs w:val="24"/>
        </w:rPr>
        <w:t xml:space="preserve"> </w:t>
      </w:r>
      <w:r>
        <w:rPr>
          <w:rStyle w:val="y2iqfc"/>
          <w:rFonts w:ascii="inherit" w:hAnsi="inherit"/>
          <w:sz w:val="24"/>
          <w:szCs w:val="24"/>
        </w:rPr>
        <w:t>нудили</w:t>
      </w:r>
      <w:r w:rsidR="00EA30EE" w:rsidRPr="00F175F6">
        <w:rPr>
          <w:rStyle w:val="y2iqfc"/>
          <w:rFonts w:ascii="inherit" w:hAnsi="inherit"/>
          <w:sz w:val="24"/>
          <w:szCs w:val="24"/>
        </w:rPr>
        <w:t xml:space="preserve"> </w:t>
      </w:r>
      <w:r>
        <w:rPr>
          <w:rStyle w:val="y2iqfc"/>
          <w:rFonts w:ascii="inherit" w:hAnsi="inherit"/>
          <w:sz w:val="24"/>
          <w:szCs w:val="24"/>
        </w:rPr>
        <w:t>заштиту</w:t>
      </w:r>
      <w:r w:rsidR="00EA30EE" w:rsidRPr="00F175F6">
        <w:rPr>
          <w:rStyle w:val="y2iqfc"/>
          <w:rFonts w:ascii="inherit" w:hAnsi="inherit"/>
          <w:sz w:val="24"/>
          <w:szCs w:val="24"/>
        </w:rPr>
        <w:t xml:space="preserve">, </w:t>
      </w:r>
      <w:r>
        <w:rPr>
          <w:rStyle w:val="y2iqfc"/>
          <w:rFonts w:ascii="inherit" w:hAnsi="inherit"/>
          <w:sz w:val="24"/>
          <w:szCs w:val="24"/>
        </w:rPr>
        <w:t>психосоцијалну</w:t>
      </w:r>
      <w:r w:rsidR="00A2789E" w:rsidRPr="00F175F6">
        <w:rPr>
          <w:rStyle w:val="y2iqfc"/>
          <w:rFonts w:ascii="inherit" w:hAnsi="inherit"/>
          <w:sz w:val="24"/>
          <w:szCs w:val="24"/>
        </w:rPr>
        <w:t xml:space="preserve"> </w:t>
      </w:r>
      <w:r>
        <w:rPr>
          <w:rStyle w:val="y2iqfc"/>
          <w:rFonts w:ascii="inherit" w:hAnsi="inherit"/>
          <w:sz w:val="24"/>
          <w:szCs w:val="24"/>
        </w:rPr>
        <w:t>подршку</w:t>
      </w:r>
      <w:r w:rsidR="00A2789E" w:rsidRPr="00F175F6">
        <w:rPr>
          <w:rStyle w:val="y2iqfc"/>
          <w:rFonts w:ascii="inherit" w:hAnsi="inherit"/>
          <w:sz w:val="24"/>
          <w:szCs w:val="24"/>
        </w:rPr>
        <w:t xml:space="preserve">, </w:t>
      </w:r>
      <w:r>
        <w:rPr>
          <w:rStyle w:val="y2iqfc"/>
          <w:rFonts w:ascii="inherit" w:hAnsi="inherit"/>
          <w:sz w:val="24"/>
          <w:szCs w:val="24"/>
        </w:rPr>
        <w:t>услуге</w:t>
      </w:r>
      <w:r w:rsidR="00A2789E" w:rsidRPr="00F175F6">
        <w:rPr>
          <w:rStyle w:val="y2iqfc"/>
          <w:rFonts w:ascii="inherit" w:hAnsi="inherit"/>
          <w:sz w:val="24"/>
          <w:szCs w:val="24"/>
        </w:rPr>
        <w:t xml:space="preserve"> </w:t>
      </w:r>
      <w:r>
        <w:rPr>
          <w:rStyle w:val="y2iqfc"/>
          <w:rFonts w:ascii="inherit" w:hAnsi="inherit"/>
          <w:sz w:val="24"/>
          <w:szCs w:val="24"/>
        </w:rPr>
        <w:t>у</w:t>
      </w:r>
      <w:r w:rsidR="003E3716">
        <w:rPr>
          <w:rStyle w:val="y2iqfc"/>
          <w:rFonts w:ascii="inherit" w:hAnsi="inherit"/>
          <w:sz w:val="24"/>
          <w:szCs w:val="24"/>
        </w:rPr>
        <w:t xml:space="preserve"> </w:t>
      </w:r>
      <w:r>
        <w:rPr>
          <w:rStyle w:val="y2iqfc"/>
          <w:rFonts w:ascii="inherit" w:hAnsi="inherit"/>
          <w:sz w:val="24"/>
          <w:szCs w:val="24"/>
        </w:rPr>
        <w:t>вези</w:t>
      </w:r>
      <w:r w:rsidR="003E3716">
        <w:rPr>
          <w:rStyle w:val="y2iqfc"/>
          <w:rFonts w:ascii="inherit" w:hAnsi="inherit"/>
          <w:sz w:val="24"/>
          <w:szCs w:val="24"/>
        </w:rPr>
        <w:t xml:space="preserve"> </w:t>
      </w:r>
      <w:r>
        <w:rPr>
          <w:rStyle w:val="y2iqfc"/>
          <w:rFonts w:ascii="inherit" w:hAnsi="inherit"/>
          <w:sz w:val="24"/>
          <w:szCs w:val="24"/>
        </w:rPr>
        <w:t>са</w:t>
      </w:r>
      <w:r w:rsidR="00A2789E" w:rsidRPr="00F175F6">
        <w:rPr>
          <w:rStyle w:val="y2iqfc"/>
          <w:rFonts w:ascii="inherit" w:hAnsi="inherit"/>
          <w:sz w:val="24"/>
          <w:szCs w:val="24"/>
        </w:rPr>
        <w:t xml:space="preserve"> </w:t>
      </w:r>
      <w:r>
        <w:rPr>
          <w:rStyle w:val="y2iqfc"/>
          <w:rFonts w:ascii="inherit" w:hAnsi="inherit"/>
          <w:sz w:val="24"/>
          <w:szCs w:val="24"/>
        </w:rPr>
        <w:t>сексуалним</w:t>
      </w:r>
      <w:r w:rsidR="00EA30EE" w:rsidRPr="00F175F6">
        <w:rPr>
          <w:rStyle w:val="y2iqfc"/>
          <w:rFonts w:ascii="inherit" w:hAnsi="inherit"/>
          <w:sz w:val="24"/>
          <w:szCs w:val="24"/>
        </w:rPr>
        <w:t xml:space="preserve"> </w:t>
      </w:r>
      <w:r>
        <w:rPr>
          <w:rStyle w:val="y2iqfc"/>
          <w:rFonts w:ascii="inherit" w:hAnsi="inherit"/>
          <w:sz w:val="24"/>
          <w:szCs w:val="24"/>
        </w:rPr>
        <w:t>и</w:t>
      </w:r>
      <w:r w:rsidR="00EA30EE" w:rsidRPr="00F175F6">
        <w:rPr>
          <w:rStyle w:val="y2iqfc"/>
          <w:rFonts w:ascii="inherit" w:hAnsi="inherit"/>
          <w:sz w:val="24"/>
          <w:szCs w:val="24"/>
        </w:rPr>
        <w:t xml:space="preserve"> </w:t>
      </w:r>
      <w:r>
        <w:rPr>
          <w:rStyle w:val="y2iqfc"/>
          <w:rFonts w:ascii="inherit" w:hAnsi="inherit"/>
          <w:sz w:val="24"/>
          <w:szCs w:val="24"/>
        </w:rPr>
        <w:t>репродуктивним</w:t>
      </w:r>
      <w:r w:rsidR="00EA30EE" w:rsidRPr="00F175F6">
        <w:rPr>
          <w:rStyle w:val="y2iqfc"/>
          <w:rFonts w:ascii="inherit" w:hAnsi="inherit"/>
          <w:sz w:val="24"/>
          <w:szCs w:val="24"/>
        </w:rPr>
        <w:t xml:space="preserve"> </w:t>
      </w:r>
      <w:r>
        <w:rPr>
          <w:rStyle w:val="y2iqfc"/>
          <w:rFonts w:ascii="inherit" w:hAnsi="inherit"/>
          <w:sz w:val="24"/>
          <w:szCs w:val="24"/>
        </w:rPr>
        <w:t>здрављем</w:t>
      </w:r>
      <w:r w:rsidR="00EA30EE" w:rsidRPr="00F175F6">
        <w:rPr>
          <w:rStyle w:val="y2iqfc"/>
          <w:rFonts w:ascii="inherit" w:hAnsi="inherit"/>
          <w:sz w:val="24"/>
          <w:szCs w:val="24"/>
        </w:rPr>
        <w:t xml:space="preserve"> </w:t>
      </w:r>
      <w:r>
        <w:rPr>
          <w:rStyle w:val="y2iqfc"/>
          <w:rFonts w:ascii="inherit" w:hAnsi="inherit"/>
          <w:sz w:val="24"/>
          <w:szCs w:val="24"/>
        </w:rPr>
        <w:t>и</w:t>
      </w:r>
      <w:r w:rsidR="00EA30EE" w:rsidRPr="00F175F6">
        <w:rPr>
          <w:rStyle w:val="y2iqfc"/>
          <w:rFonts w:ascii="inherit" w:hAnsi="inherit"/>
          <w:sz w:val="24"/>
          <w:szCs w:val="24"/>
        </w:rPr>
        <w:t xml:space="preserve"> </w:t>
      </w:r>
      <w:r>
        <w:rPr>
          <w:rStyle w:val="y2iqfc"/>
          <w:rFonts w:ascii="inherit" w:hAnsi="inherit"/>
          <w:sz w:val="24"/>
          <w:szCs w:val="24"/>
        </w:rPr>
        <w:t>активности</w:t>
      </w:r>
      <w:r w:rsidR="00EA30EE" w:rsidRPr="00F175F6">
        <w:rPr>
          <w:rStyle w:val="y2iqfc"/>
          <w:rFonts w:ascii="inherit" w:hAnsi="inherit"/>
          <w:sz w:val="24"/>
          <w:szCs w:val="24"/>
        </w:rPr>
        <w:t xml:space="preserve"> </w:t>
      </w:r>
      <w:r>
        <w:rPr>
          <w:rStyle w:val="y2iqfc"/>
          <w:rFonts w:ascii="inherit" w:hAnsi="inherit"/>
          <w:sz w:val="24"/>
          <w:szCs w:val="24"/>
        </w:rPr>
        <w:t>превенције</w:t>
      </w:r>
      <w:r w:rsidR="00EA30EE" w:rsidRPr="00F175F6">
        <w:rPr>
          <w:rStyle w:val="y2iqfc"/>
          <w:rFonts w:ascii="inherit" w:hAnsi="inherit"/>
          <w:sz w:val="24"/>
          <w:szCs w:val="24"/>
        </w:rPr>
        <w:t xml:space="preserve"> </w:t>
      </w:r>
      <w:r>
        <w:rPr>
          <w:rStyle w:val="y2iqfc"/>
          <w:rFonts w:ascii="inherit" w:hAnsi="inherit"/>
          <w:sz w:val="24"/>
          <w:szCs w:val="24"/>
        </w:rPr>
        <w:t>родно</w:t>
      </w:r>
      <w:r w:rsidR="00EA30EE" w:rsidRPr="00F175F6">
        <w:rPr>
          <w:rStyle w:val="y2iqfc"/>
          <w:rFonts w:ascii="inherit" w:hAnsi="inherit"/>
          <w:sz w:val="24"/>
          <w:szCs w:val="24"/>
        </w:rPr>
        <w:t xml:space="preserve"> </w:t>
      </w:r>
      <w:r>
        <w:rPr>
          <w:rStyle w:val="y2iqfc"/>
          <w:rFonts w:ascii="inherit" w:hAnsi="inherit"/>
          <w:sz w:val="24"/>
          <w:szCs w:val="24"/>
        </w:rPr>
        <w:t>заснованог</w:t>
      </w:r>
      <w:r w:rsidR="00EA30EE" w:rsidRPr="00F175F6">
        <w:rPr>
          <w:rStyle w:val="y2iqfc"/>
          <w:rFonts w:ascii="inherit" w:hAnsi="inherit"/>
          <w:sz w:val="24"/>
          <w:szCs w:val="24"/>
        </w:rPr>
        <w:t xml:space="preserve"> </w:t>
      </w:r>
      <w:r>
        <w:rPr>
          <w:rStyle w:val="y2iqfc"/>
          <w:rFonts w:ascii="inherit" w:hAnsi="inherit"/>
          <w:sz w:val="24"/>
          <w:szCs w:val="24"/>
        </w:rPr>
        <w:t>насиља</w:t>
      </w:r>
      <w:r w:rsidR="00EA30EE" w:rsidRPr="00F175F6">
        <w:rPr>
          <w:rStyle w:val="y2iqfc"/>
          <w:rFonts w:ascii="inherit" w:hAnsi="inherit"/>
          <w:sz w:val="24"/>
          <w:szCs w:val="24"/>
        </w:rPr>
        <w:t xml:space="preserve"> </w:t>
      </w:r>
      <w:r>
        <w:rPr>
          <w:rStyle w:val="y2iqfc"/>
          <w:rFonts w:ascii="inherit" w:hAnsi="inherit"/>
          <w:sz w:val="24"/>
          <w:szCs w:val="24"/>
        </w:rPr>
        <w:t>за</w:t>
      </w:r>
      <w:r w:rsidR="00EA30EE" w:rsidRPr="00F175F6">
        <w:rPr>
          <w:rStyle w:val="y2iqfc"/>
          <w:rFonts w:ascii="inherit" w:hAnsi="inherit"/>
          <w:sz w:val="24"/>
          <w:szCs w:val="24"/>
        </w:rPr>
        <w:t xml:space="preserve"> </w:t>
      </w:r>
      <w:r>
        <w:rPr>
          <w:rStyle w:val="y2iqfc"/>
          <w:rFonts w:ascii="inherit" w:hAnsi="inherit"/>
          <w:sz w:val="24"/>
          <w:szCs w:val="24"/>
        </w:rPr>
        <w:t>преко</w:t>
      </w:r>
      <w:r w:rsidR="00EA30EE" w:rsidRPr="00F175F6">
        <w:rPr>
          <w:rStyle w:val="y2iqfc"/>
          <w:rFonts w:ascii="inherit" w:hAnsi="inherit"/>
          <w:sz w:val="24"/>
          <w:szCs w:val="24"/>
        </w:rPr>
        <w:t xml:space="preserve"> 20.000 </w:t>
      </w:r>
      <w:r>
        <w:rPr>
          <w:rStyle w:val="y2iqfc"/>
          <w:rFonts w:ascii="inherit" w:hAnsi="inherit"/>
          <w:sz w:val="24"/>
          <w:szCs w:val="24"/>
        </w:rPr>
        <w:t>корисника</w:t>
      </w:r>
      <w:r w:rsidR="00EA30EE" w:rsidRPr="00F175F6">
        <w:rPr>
          <w:rStyle w:val="y2iqfc"/>
          <w:rFonts w:ascii="inherit" w:hAnsi="inherit"/>
          <w:sz w:val="24"/>
          <w:szCs w:val="24"/>
        </w:rPr>
        <w:t xml:space="preserve">. </w:t>
      </w:r>
      <w:r>
        <w:rPr>
          <w:rStyle w:val="y2iqfc"/>
          <w:rFonts w:ascii="inherit" w:hAnsi="inherit"/>
          <w:sz w:val="24"/>
          <w:szCs w:val="24"/>
        </w:rPr>
        <w:t>Поред</w:t>
      </w:r>
      <w:r w:rsidR="00EA30EE" w:rsidRPr="00F175F6">
        <w:rPr>
          <w:rStyle w:val="y2iqfc"/>
          <w:rFonts w:ascii="inherit" w:hAnsi="inherit"/>
          <w:sz w:val="24"/>
          <w:szCs w:val="24"/>
        </w:rPr>
        <w:t xml:space="preserve"> </w:t>
      </w:r>
      <w:r>
        <w:rPr>
          <w:rStyle w:val="y2iqfc"/>
          <w:rFonts w:ascii="inherit" w:hAnsi="inherit"/>
          <w:sz w:val="24"/>
          <w:szCs w:val="24"/>
        </w:rPr>
        <w:t>тога</w:t>
      </w:r>
      <w:r w:rsidR="00EA30EE" w:rsidRPr="00F175F6">
        <w:rPr>
          <w:rStyle w:val="y2iqfc"/>
          <w:rFonts w:ascii="inherit" w:hAnsi="inherit"/>
          <w:sz w:val="24"/>
          <w:szCs w:val="24"/>
        </w:rPr>
        <w:t xml:space="preserve">, </w:t>
      </w:r>
      <w:r>
        <w:rPr>
          <w:rStyle w:val="y2iqfc"/>
          <w:rFonts w:ascii="inherit" w:hAnsi="inherit"/>
          <w:sz w:val="24"/>
          <w:szCs w:val="24"/>
        </w:rPr>
        <w:t>након</w:t>
      </w:r>
      <w:r w:rsidR="00EA30EE" w:rsidRPr="00F175F6">
        <w:rPr>
          <w:rStyle w:val="y2iqfc"/>
          <w:rFonts w:ascii="inherit" w:hAnsi="inherit"/>
          <w:sz w:val="24"/>
          <w:szCs w:val="24"/>
        </w:rPr>
        <w:t xml:space="preserve"> </w:t>
      </w:r>
      <w:r>
        <w:rPr>
          <w:rStyle w:val="y2iqfc"/>
          <w:rFonts w:ascii="inherit" w:hAnsi="inherit"/>
          <w:sz w:val="24"/>
          <w:szCs w:val="24"/>
        </w:rPr>
        <w:t>поплава</w:t>
      </w:r>
      <w:r w:rsidR="00EA30EE" w:rsidRPr="00F175F6">
        <w:rPr>
          <w:rStyle w:val="y2iqfc"/>
          <w:rFonts w:ascii="inherit" w:hAnsi="inherit"/>
          <w:sz w:val="24"/>
          <w:szCs w:val="24"/>
        </w:rPr>
        <w:t xml:space="preserve"> </w:t>
      </w:r>
      <w:r>
        <w:rPr>
          <w:rStyle w:val="y2iqfc"/>
          <w:rFonts w:ascii="inherit" w:hAnsi="inherit"/>
          <w:sz w:val="24"/>
          <w:szCs w:val="24"/>
        </w:rPr>
        <w:t>у</w:t>
      </w:r>
      <w:r w:rsidR="00EA30EE" w:rsidRPr="00F175F6">
        <w:rPr>
          <w:rStyle w:val="y2iqfc"/>
          <w:rFonts w:ascii="inherit" w:hAnsi="inherit"/>
          <w:sz w:val="24"/>
          <w:szCs w:val="24"/>
        </w:rPr>
        <w:t xml:space="preserve"> </w:t>
      </w:r>
      <w:r>
        <w:rPr>
          <w:rStyle w:val="y2iqfc"/>
          <w:rFonts w:ascii="inherit" w:hAnsi="inherit"/>
          <w:sz w:val="24"/>
          <w:szCs w:val="24"/>
        </w:rPr>
        <w:t>Јабланици</w:t>
      </w:r>
      <w:r w:rsidR="00EA30EE" w:rsidRPr="00F175F6">
        <w:rPr>
          <w:rStyle w:val="y2iqfc"/>
          <w:rFonts w:ascii="inherit" w:hAnsi="inherit"/>
          <w:sz w:val="24"/>
          <w:szCs w:val="24"/>
        </w:rPr>
        <w:t xml:space="preserve"> </w:t>
      </w:r>
      <w:r>
        <w:rPr>
          <w:rStyle w:val="y2iqfc"/>
          <w:rFonts w:ascii="inherit" w:hAnsi="inherit"/>
          <w:sz w:val="24"/>
          <w:szCs w:val="24"/>
        </w:rPr>
        <w:t>и</w:t>
      </w:r>
      <w:r w:rsidR="00EA30EE" w:rsidRPr="00F175F6">
        <w:rPr>
          <w:rStyle w:val="y2iqfc"/>
          <w:rFonts w:ascii="inherit" w:hAnsi="inherit"/>
          <w:sz w:val="24"/>
          <w:szCs w:val="24"/>
        </w:rPr>
        <w:t xml:space="preserve"> </w:t>
      </w:r>
      <w:r>
        <w:rPr>
          <w:rStyle w:val="y2iqfc"/>
          <w:rFonts w:ascii="inherit" w:hAnsi="inherit"/>
          <w:sz w:val="24"/>
          <w:szCs w:val="24"/>
        </w:rPr>
        <w:t>Коњицу</w:t>
      </w:r>
      <w:r w:rsidR="00EA30EE" w:rsidRPr="00F175F6">
        <w:rPr>
          <w:rStyle w:val="y2iqfc"/>
          <w:rFonts w:ascii="inherit" w:hAnsi="inherit"/>
          <w:sz w:val="24"/>
          <w:szCs w:val="24"/>
        </w:rPr>
        <w:t xml:space="preserve"> 2024. </w:t>
      </w:r>
      <w:r>
        <w:rPr>
          <w:rStyle w:val="y2iqfc"/>
          <w:rFonts w:ascii="inherit" w:hAnsi="inherit"/>
          <w:sz w:val="24"/>
          <w:szCs w:val="24"/>
        </w:rPr>
        <w:t>године</w:t>
      </w:r>
      <w:r w:rsidR="00EA30EE" w:rsidRPr="00F175F6">
        <w:rPr>
          <w:rStyle w:val="y2iqfc"/>
          <w:rFonts w:ascii="inherit" w:hAnsi="inherit"/>
          <w:sz w:val="24"/>
          <w:szCs w:val="24"/>
        </w:rPr>
        <w:t xml:space="preserve">, </w:t>
      </w:r>
      <w:r w:rsidR="006E324C" w:rsidRPr="006E324C">
        <w:rPr>
          <w:rFonts w:ascii="inherit" w:hAnsi="inherit"/>
          <w:i/>
          <w:sz w:val="24"/>
          <w:szCs w:val="24"/>
          <w:lang w:val="hr-BA"/>
        </w:rPr>
        <w:t>UNFPA</w:t>
      </w:r>
      <w:r w:rsidR="00EA30EE" w:rsidRPr="00F175F6">
        <w:rPr>
          <w:rStyle w:val="y2iqfc"/>
          <w:rFonts w:ascii="inherit" w:hAnsi="inherit"/>
          <w:sz w:val="24"/>
          <w:szCs w:val="24"/>
        </w:rPr>
        <w:t xml:space="preserve"> </w:t>
      </w:r>
      <w:r>
        <w:rPr>
          <w:rStyle w:val="y2iqfc"/>
          <w:rFonts w:ascii="inherit" w:hAnsi="inherit"/>
          <w:sz w:val="24"/>
          <w:szCs w:val="24"/>
        </w:rPr>
        <w:t>је</w:t>
      </w:r>
      <w:r w:rsidR="00EA30EE" w:rsidRPr="00F175F6">
        <w:rPr>
          <w:rStyle w:val="y2iqfc"/>
          <w:rFonts w:ascii="inherit" w:hAnsi="inherit"/>
          <w:sz w:val="24"/>
          <w:szCs w:val="24"/>
        </w:rPr>
        <w:t xml:space="preserve"> </w:t>
      </w:r>
      <w:r>
        <w:rPr>
          <w:rStyle w:val="y2iqfc"/>
          <w:rFonts w:ascii="inherit" w:hAnsi="inherit"/>
          <w:sz w:val="24"/>
          <w:szCs w:val="24"/>
        </w:rPr>
        <w:t>успоставио</w:t>
      </w:r>
      <w:r w:rsidR="00EA30EE" w:rsidRPr="00F175F6">
        <w:rPr>
          <w:rStyle w:val="y2iqfc"/>
          <w:rFonts w:ascii="inherit" w:hAnsi="inherit"/>
          <w:sz w:val="24"/>
          <w:szCs w:val="24"/>
        </w:rPr>
        <w:t xml:space="preserve"> </w:t>
      </w:r>
      <w:r w:rsidR="006E324C">
        <w:rPr>
          <w:rStyle w:val="y2iqfc"/>
          <w:rFonts w:ascii="inherit" w:hAnsi="inherit"/>
          <w:sz w:val="24"/>
          <w:szCs w:val="24"/>
          <w:lang w:val="sr-Cyrl-BA"/>
        </w:rPr>
        <w:t>безбједне</w:t>
      </w:r>
      <w:r w:rsidR="00EA30EE" w:rsidRPr="00F175F6">
        <w:rPr>
          <w:rStyle w:val="y2iqfc"/>
          <w:rFonts w:ascii="inherit" w:hAnsi="inherit"/>
          <w:sz w:val="24"/>
          <w:szCs w:val="24"/>
        </w:rPr>
        <w:t xml:space="preserve"> </w:t>
      </w:r>
      <w:r>
        <w:rPr>
          <w:rStyle w:val="y2iqfc"/>
          <w:rFonts w:ascii="inherit" w:hAnsi="inherit"/>
          <w:sz w:val="24"/>
          <w:szCs w:val="24"/>
        </w:rPr>
        <w:t>просторе</w:t>
      </w:r>
      <w:r w:rsidR="00EA30EE" w:rsidRPr="00F175F6">
        <w:rPr>
          <w:rStyle w:val="y2iqfc"/>
          <w:rFonts w:ascii="inherit" w:hAnsi="inherit"/>
          <w:sz w:val="24"/>
          <w:szCs w:val="24"/>
        </w:rPr>
        <w:t xml:space="preserve"> </w:t>
      </w:r>
      <w:r>
        <w:rPr>
          <w:rStyle w:val="y2iqfc"/>
          <w:rFonts w:ascii="inherit" w:hAnsi="inherit"/>
          <w:sz w:val="24"/>
          <w:szCs w:val="24"/>
        </w:rPr>
        <w:t>за</w:t>
      </w:r>
      <w:r w:rsidR="00EA30EE" w:rsidRPr="00F175F6">
        <w:rPr>
          <w:rStyle w:val="y2iqfc"/>
          <w:rFonts w:ascii="inherit" w:hAnsi="inherit"/>
          <w:sz w:val="24"/>
          <w:szCs w:val="24"/>
        </w:rPr>
        <w:t xml:space="preserve"> </w:t>
      </w:r>
      <w:r>
        <w:rPr>
          <w:rStyle w:val="y2iqfc"/>
          <w:rFonts w:ascii="inherit" w:hAnsi="inherit"/>
          <w:sz w:val="24"/>
          <w:szCs w:val="24"/>
        </w:rPr>
        <w:t>расељене</w:t>
      </w:r>
      <w:r w:rsidR="00EA30EE" w:rsidRPr="00F175F6">
        <w:rPr>
          <w:rStyle w:val="y2iqfc"/>
          <w:rFonts w:ascii="inherit" w:hAnsi="inherit"/>
          <w:sz w:val="24"/>
          <w:szCs w:val="24"/>
        </w:rPr>
        <w:t xml:space="preserve"> </w:t>
      </w:r>
      <w:r>
        <w:rPr>
          <w:rStyle w:val="y2iqfc"/>
          <w:rFonts w:ascii="inherit" w:hAnsi="inherit"/>
          <w:sz w:val="24"/>
          <w:szCs w:val="24"/>
        </w:rPr>
        <w:t>жене</w:t>
      </w:r>
      <w:r w:rsidR="004B6B84" w:rsidRPr="00F175F6">
        <w:rPr>
          <w:rStyle w:val="y2iqfc"/>
          <w:rFonts w:ascii="inherit" w:hAnsi="inherit"/>
          <w:sz w:val="24"/>
          <w:szCs w:val="24"/>
        </w:rPr>
        <w:t xml:space="preserve"> </w:t>
      </w:r>
      <w:r>
        <w:rPr>
          <w:rStyle w:val="y2iqfc"/>
          <w:rFonts w:ascii="inherit" w:hAnsi="inherit"/>
          <w:sz w:val="24"/>
          <w:szCs w:val="24"/>
        </w:rPr>
        <w:t>и</w:t>
      </w:r>
      <w:r w:rsidR="004B6B84" w:rsidRPr="00F175F6">
        <w:rPr>
          <w:rStyle w:val="y2iqfc"/>
          <w:rFonts w:ascii="inherit" w:hAnsi="inherit"/>
          <w:sz w:val="24"/>
          <w:szCs w:val="24"/>
        </w:rPr>
        <w:t xml:space="preserve"> </w:t>
      </w:r>
      <w:r>
        <w:rPr>
          <w:rStyle w:val="y2iqfc"/>
          <w:rFonts w:ascii="inherit" w:hAnsi="inherit"/>
          <w:sz w:val="24"/>
          <w:szCs w:val="24"/>
        </w:rPr>
        <w:t>дјевојчице</w:t>
      </w:r>
      <w:r w:rsidR="004B6B84" w:rsidRPr="00F175F6">
        <w:rPr>
          <w:rStyle w:val="y2iqfc"/>
          <w:rFonts w:ascii="inherit" w:hAnsi="inherit"/>
          <w:sz w:val="24"/>
          <w:szCs w:val="24"/>
        </w:rPr>
        <w:t xml:space="preserve">. </w:t>
      </w:r>
      <w:r>
        <w:rPr>
          <w:rStyle w:val="y2iqfc"/>
          <w:rFonts w:ascii="inherit" w:hAnsi="inherit"/>
          <w:sz w:val="24"/>
          <w:szCs w:val="24"/>
        </w:rPr>
        <w:t>Коначно</w:t>
      </w:r>
      <w:r w:rsidR="004B6B84" w:rsidRPr="00F175F6">
        <w:rPr>
          <w:rStyle w:val="y2iqfc"/>
          <w:rFonts w:ascii="inherit" w:hAnsi="inherit"/>
          <w:sz w:val="24"/>
          <w:szCs w:val="24"/>
        </w:rPr>
        <w:t xml:space="preserve">, </w:t>
      </w:r>
      <w:r>
        <w:rPr>
          <w:rStyle w:val="y2iqfc"/>
          <w:rFonts w:ascii="inherit" w:hAnsi="inherit"/>
          <w:sz w:val="24"/>
          <w:szCs w:val="24"/>
        </w:rPr>
        <w:t>покренута</w:t>
      </w:r>
      <w:r w:rsidR="00A2789E" w:rsidRPr="00F175F6">
        <w:rPr>
          <w:rStyle w:val="y2iqfc"/>
          <w:rFonts w:ascii="inherit" w:hAnsi="inherit"/>
          <w:sz w:val="24"/>
          <w:szCs w:val="24"/>
        </w:rPr>
        <w:t xml:space="preserve"> </w:t>
      </w:r>
      <w:r>
        <w:rPr>
          <w:rStyle w:val="y2iqfc"/>
          <w:rFonts w:ascii="inherit" w:hAnsi="inherit"/>
          <w:sz w:val="24"/>
          <w:szCs w:val="24"/>
        </w:rPr>
        <w:t>је</w:t>
      </w:r>
      <w:r w:rsidR="00EA30EE" w:rsidRPr="00F175F6">
        <w:rPr>
          <w:rStyle w:val="y2iqfc"/>
          <w:rFonts w:ascii="inherit" w:hAnsi="inherit"/>
          <w:sz w:val="24"/>
          <w:szCs w:val="24"/>
        </w:rPr>
        <w:t xml:space="preserve"> </w:t>
      </w:r>
      <w:r>
        <w:rPr>
          <w:rStyle w:val="y2iqfc"/>
          <w:rFonts w:ascii="inherit" w:hAnsi="inherit"/>
          <w:sz w:val="24"/>
          <w:szCs w:val="24"/>
        </w:rPr>
        <w:t>свеобухватна</w:t>
      </w:r>
      <w:r w:rsidR="004B6B84" w:rsidRPr="00F175F6">
        <w:rPr>
          <w:rStyle w:val="y2iqfc"/>
          <w:rFonts w:ascii="inherit" w:hAnsi="inherit"/>
          <w:sz w:val="24"/>
          <w:szCs w:val="24"/>
        </w:rPr>
        <w:t xml:space="preserve"> </w:t>
      </w:r>
      <w:r>
        <w:rPr>
          <w:rStyle w:val="y2iqfc"/>
          <w:rFonts w:ascii="inherit" w:hAnsi="inherit"/>
          <w:sz w:val="24"/>
          <w:szCs w:val="24"/>
        </w:rPr>
        <w:t>студија</w:t>
      </w:r>
      <w:r w:rsidR="00EA30EE" w:rsidRPr="00F175F6">
        <w:rPr>
          <w:rStyle w:val="y2iqfc"/>
          <w:rFonts w:ascii="inherit" w:hAnsi="inherit"/>
          <w:sz w:val="24"/>
          <w:szCs w:val="24"/>
        </w:rPr>
        <w:t xml:space="preserve"> </w:t>
      </w:r>
      <w:r>
        <w:rPr>
          <w:rStyle w:val="y2iqfc"/>
          <w:rFonts w:ascii="inherit" w:hAnsi="inherit"/>
          <w:sz w:val="24"/>
          <w:szCs w:val="24"/>
        </w:rPr>
        <w:t>о</w:t>
      </w:r>
      <w:r w:rsidR="00EA30EE" w:rsidRPr="00F175F6">
        <w:rPr>
          <w:rStyle w:val="y2iqfc"/>
          <w:rFonts w:ascii="inherit" w:hAnsi="inherit"/>
          <w:sz w:val="24"/>
          <w:szCs w:val="24"/>
        </w:rPr>
        <w:t xml:space="preserve"> </w:t>
      </w:r>
      <w:r>
        <w:rPr>
          <w:rStyle w:val="y2iqfc"/>
          <w:rFonts w:ascii="inherit" w:hAnsi="inherit"/>
          <w:sz w:val="24"/>
          <w:szCs w:val="24"/>
        </w:rPr>
        <w:t>родно</w:t>
      </w:r>
      <w:r w:rsidR="00EA30EE" w:rsidRPr="00F175F6">
        <w:rPr>
          <w:rStyle w:val="y2iqfc"/>
          <w:rFonts w:ascii="inherit" w:hAnsi="inherit"/>
          <w:sz w:val="24"/>
          <w:szCs w:val="24"/>
        </w:rPr>
        <w:t xml:space="preserve"> </w:t>
      </w:r>
      <w:r>
        <w:rPr>
          <w:rStyle w:val="y2iqfc"/>
          <w:rFonts w:ascii="inherit" w:hAnsi="inherit"/>
          <w:sz w:val="24"/>
          <w:szCs w:val="24"/>
        </w:rPr>
        <w:t>заснованом</w:t>
      </w:r>
      <w:r w:rsidR="00EA30EE" w:rsidRPr="00F175F6">
        <w:rPr>
          <w:rStyle w:val="y2iqfc"/>
          <w:rFonts w:ascii="inherit" w:hAnsi="inherit"/>
          <w:sz w:val="24"/>
          <w:szCs w:val="24"/>
        </w:rPr>
        <w:t xml:space="preserve"> </w:t>
      </w:r>
      <w:r>
        <w:rPr>
          <w:rStyle w:val="y2iqfc"/>
          <w:rFonts w:ascii="inherit" w:hAnsi="inherit"/>
          <w:sz w:val="24"/>
          <w:szCs w:val="24"/>
        </w:rPr>
        <w:t>насиљу</w:t>
      </w:r>
      <w:r w:rsidR="00EA30EE" w:rsidRPr="00F175F6">
        <w:rPr>
          <w:rStyle w:val="y2iqfc"/>
          <w:rFonts w:ascii="inherit" w:hAnsi="inherit"/>
          <w:sz w:val="24"/>
          <w:szCs w:val="24"/>
        </w:rPr>
        <w:t xml:space="preserve"> </w:t>
      </w:r>
      <w:r>
        <w:rPr>
          <w:rStyle w:val="y2iqfc"/>
          <w:rFonts w:ascii="inherit" w:hAnsi="inherit"/>
          <w:sz w:val="24"/>
          <w:szCs w:val="24"/>
        </w:rPr>
        <w:t>над</w:t>
      </w:r>
      <w:r w:rsidR="00EA30EE" w:rsidRPr="00F175F6">
        <w:rPr>
          <w:rStyle w:val="y2iqfc"/>
          <w:rFonts w:ascii="inherit" w:hAnsi="inherit"/>
          <w:sz w:val="24"/>
          <w:szCs w:val="24"/>
        </w:rPr>
        <w:t xml:space="preserve"> </w:t>
      </w:r>
      <w:r>
        <w:rPr>
          <w:rStyle w:val="y2iqfc"/>
          <w:rFonts w:ascii="inherit" w:hAnsi="inherit"/>
          <w:sz w:val="24"/>
          <w:szCs w:val="24"/>
        </w:rPr>
        <w:t>женама</w:t>
      </w:r>
      <w:r w:rsidR="00EA30EE" w:rsidRPr="00F175F6">
        <w:rPr>
          <w:rStyle w:val="y2iqfc"/>
          <w:rFonts w:ascii="inherit" w:hAnsi="inherit"/>
          <w:sz w:val="24"/>
          <w:szCs w:val="24"/>
        </w:rPr>
        <w:t xml:space="preserve"> </w:t>
      </w:r>
      <w:r>
        <w:rPr>
          <w:rStyle w:val="y2iqfc"/>
          <w:rFonts w:ascii="inherit" w:hAnsi="inherit"/>
          <w:sz w:val="24"/>
          <w:szCs w:val="24"/>
        </w:rPr>
        <w:t>у</w:t>
      </w:r>
      <w:r w:rsidR="00EA30EE" w:rsidRPr="00F175F6">
        <w:rPr>
          <w:rStyle w:val="y2iqfc"/>
          <w:rFonts w:ascii="inherit" w:hAnsi="inherit"/>
          <w:sz w:val="24"/>
          <w:szCs w:val="24"/>
        </w:rPr>
        <w:t xml:space="preserve"> </w:t>
      </w:r>
      <w:r>
        <w:rPr>
          <w:rStyle w:val="y2iqfc"/>
          <w:rFonts w:ascii="inherit" w:hAnsi="inherit"/>
          <w:sz w:val="24"/>
          <w:szCs w:val="24"/>
        </w:rPr>
        <w:t>покрету</w:t>
      </w:r>
      <w:r w:rsidR="00EA30EE" w:rsidRPr="00F175F6">
        <w:rPr>
          <w:rStyle w:val="y2iqfc"/>
          <w:rFonts w:ascii="inherit" w:hAnsi="inherit"/>
          <w:sz w:val="24"/>
          <w:szCs w:val="24"/>
        </w:rPr>
        <w:t xml:space="preserve"> </w:t>
      </w:r>
      <w:r w:rsidR="006E324C">
        <w:rPr>
          <w:rStyle w:val="y2iqfc"/>
          <w:rFonts w:ascii="inherit" w:hAnsi="inherit"/>
          <w:sz w:val="24"/>
          <w:szCs w:val="24"/>
          <w:lang w:val="sr-Cyrl-BA"/>
        </w:rPr>
        <w:t>с</w:t>
      </w:r>
      <w:r w:rsidR="00EA30EE" w:rsidRPr="00F175F6">
        <w:rPr>
          <w:rStyle w:val="y2iqfc"/>
          <w:rFonts w:ascii="inherit" w:hAnsi="inherit"/>
          <w:sz w:val="24"/>
          <w:szCs w:val="24"/>
        </w:rPr>
        <w:t xml:space="preserve"> </w:t>
      </w:r>
      <w:r>
        <w:rPr>
          <w:rStyle w:val="y2iqfc"/>
          <w:rFonts w:ascii="inherit" w:hAnsi="inherit"/>
          <w:sz w:val="24"/>
          <w:szCs w:val="24"/>
        </w:rPr>
        <w:t>циљ</w:t>
      </w:r>
      <w:r w:rsidR="006E324C">
        <w:rPr>
          <w:rStyle w:val="y2iqfc"/>
          <w:rFonts w:ascii="inherit" w:hAnsi="inherit"/>
          <w:sz w:val="24"/>
          <w:szCs w:val="24"/>
          <w:lang w:val="sr-Cyrl-BA"/>
        </w:rPr>
        <w:t>ем</w:t>
      </w:r>
      <w:r w:rsidR="00EA30EE" w:rsidRPr="00F175F6">
        <w:rPr>
          <w:rStyle w:val="y2iqfc"/>
          <w:rFonts w:ascii="inherit" w:hAnsi="inherit"/>
          <w:sz w:val="24"/>
          <w:szCs w:val="24"/>
        </w:rPr>
        <w:t xml:space="preserve"> </w:t>
      </w:r>
      <w:r>
        <w:rPr>
          <w:rStyle w:val="y2iqfc"/>
          <w:rFonts w:ascii="inherit" w:hAnsi="inherit"/>
          <w:sz w:val="24"/>
          <w:szCs w:val="24"/>
        </w:rPr>
        <w:t>идентифи</w:t>
      </w:r>
      <w:r w:rsidR="006E324C">
        <w:rPr>
          <w:rStyle w:val="y2iqfc"/>
          <w:rFonts w:ascii="inherit" w:hAnsi="inherit"/>
          <w:sz w:val="24"/>
          <w:szCs w:val="24"/>
          <w:lang w:val="sr-Cyrl-BA"/>
        </w:rPr>
        <w:t>ковања</w:t>
      </w:r>
      <w:r w:rsidR="00EA30EE" w:rsidRPr="00F175F6">
        <w:rPr>
          <w:rStyle w:val="y2iqfc"/>
          <w:rFonts w:ascii="inherit" w:hAnsi="inherit"/>
          <w:sz w:val="24"/>
          <w:szCs w:val="24"/>
        </w:rPr>
        <w:t xml:space="preserve"> </w:t>
      </w:r>
      <w:r>
        <w:rPr>
          <w:rStyle w:val="y2iqfc"/>
          <w:rFonts w:ascii="inherit" w:hAnsi="inherit"/>
          <w:sz w:val="24"/>
          <w:szCs w:val="24"/>
        </w:rPr>
        <w:t>ризика</w:t>
      </w:r>
      <w:r w:rsidR="00EA30EE" w:rsidRPr="00F175F6">
        <w:rPr>
          <w:rStyle w:val="y2iqfc"/>
          <w:rFonts w:ascii="inherit" w:hAnsi="inherit"/>
          <w:sz w:val="24"/>
          <w:szCs w:val="24"/>
        </w:rPr>
        <w:t xml:space="preserve">, </w:t>
      </w:r>
      <w:r>
        <w:rPr>
          <w:rStyle w:val="y2iqfc"/>
          <w:rFonts w:ascii="inherit" w:hAnsi="inherit"/>
          <w:sz w:val="24"/>
          <w:szCs w:val="24"/>
        </w:rPr>
        <w:t>недостатака</w:t>
      </w:r>
      <w:r w:rsidR="00EA30EE" w:rsidRPr="00F175F6">
        <w:rPr>
          <w:rStyle w:val="y2iqfc"/>
          <w:rFonts w:ascii="inherit" w:hAnsi="inherit"/>
          <w:sz w:val="24"/>
          <w:szCs w:val="24"/>
        </w:rPr>
        <w:t xml:space="preserve"> </w:t>
      </w:r>
      <w:r>
        <w:rPr>
          <w:rStyle w:val="y2iqfc"/>
          <w:rFonts w:ascii="inherit" w:hAnsi="inherit"/>
          <w:sz w:val="24"/>
          <w:szCs w:val="24"/>
        </w:rPr>
        <w:t>у</w:t>
      </w:r>
      <w:r w:rsidR="00EA30EE" w:rsidRPr="00F175F6">
        <w:rPr>
          <w:rStyle w:val="y2iqfc"/>
          <w:rFonts w:ascii="inherit" w:hAnsi="inherit"/>
          <w:sz w:val="24"/>
          <w:szCs w:val="24"/>
        </w:rPr>
        <w:t xml:space="preserve"> </w:t>
      </w:r>
      <w:r>
        <w:rPr>
          <w:rStyle w:val="y2iqfc"/>
          <w:rFonts w:ascii="inherit" w:hAnsi="inherit"/>
          <w:sz w:val="24"/>
          <w:szCs w:val="24"/>
        </w:rPr>
        <w:t>услугама</w:t>
      </w:r>
      <w:r w:rsidR="00EA30EE" w:rsidRPr="00F175F6">
        <w:rPr>
          <w:rStyle w:val="y2iqfc"/>
          <w:rFonts w:ascii="inherit" w:hAnsi="inherit"/>
          <w:sz w:val="24"/>
          <w:szCs w:val="24"/>
        </w:rPr>
        <w:t xml:space="preserve"> </w:t>
      </w:r>
      <w:r>
        <w:rPr>
          <w:rStyle w:val="y2iqfc"/>
          <w:rFonts w:ascii="inherit" w:hAnsi="inherit"/>
          <w:sz w:val="24"/>
          <w:szCs w:val="24"/>
        </w:rPr>
        <w:t>и</w:t>
      </w:r>
      <w:r w:rsidR="00EA30EE" w:rsidRPr="00F175F6">
        <w:rPr>
          <w:rStyle w:val="y2iqfc"/>
          <w:rFonts w:ascii="inherit" w:hAnsi="inherit"/>
          <w:sz w:val="24"/>
          <w:szCs w:val="24"/>
        </w:rPr>
        <w:t xml:space="preserve"> </w:t>
      </w:r>
      <w:r>
        <w:rPr>
          <w:rStyle w:val="y2iqfc"/>
          <w:rFonts w:ascii="inherit" w:hAnsi="inherit"/>
          <w:sz w:val="24"/>
          <w:szCs w:val="24"/>
        </w:rPr>
        <w:t>израду</w:t>
      </w:r>
      <w:r w:rsidR="00EA30EE" w:rsidRPr="00F175F6">
        <w:rPr>
          <w:rStyle w:val="y2iqfc"/>
          <w:rFonts w:ascii="inherit" w:hAnsi="inherit"/>
          <w:sz w:val="24"/>
          <w:szCs w:val="24"/>
        </w:rPr>
        <w:t xml:space="preserve"> </w:t>
      </w:r>
      <w:r>
        <w:rPr>
          <w:rStyle w:val="y2iqfc"/>
          <w:rFonts w:ascii="inherit" w:hAnsi="inherit"/>
          <w:sz w:val="24"/>
          <w:szCs w:val="24"/>
        </w:rPr>
        <w:t>препоруке</w:t>
      </w:r>
      <w:r w:rsidR="00EA30EE" w:rsidRPr="00F175F6">
        <w:rPr>
          <w:rStyle w:val="y2iqfc"/>
          <w:rFonts w:ascii="inherit" w:hAnsi="inherit"/>
          <w:sz w:val="24"/>
          <w:szCs w:val="24"/>
        </w:rPr>
        <w:t xml:space="preserve"> </w:t>
      </w:r>
      <w:r>
        <w:rPr>
          <w:rStyle w:val="y2iqfc"/>
          <w:rFonts w:ascii="inherit" w:hAnsi="inherit"/>
          <w:sz w:val="24"/>
          <w:szCs w:val="24"/>
        </w:rPr>
        <w:t>политика</w:t>
      </w:r>
      <w:r w:rsidR="00EA30EE" w:rsidRPr="00F175F6">
        <w:rPr>
          <w:rStyle w:val="y2iqfc"/>
          <w:rFonts w:ascii="inherit" w:hAnsi="inherit"/>
          <w:sz w:val="24"/>
          <w:szCs w:val="24"/>
        </w:rPr>
        <w:t xml:space="preserve"> </w:t>
      </w:r>
      <w:r>
        <w:rPr>
          <w:rStyle w:val="y2iqfc"/>
          <w:rFonts w:ascii="inherit" w:hAnsi="inherit"/>
          <w:sz w:val="24"/>
          <w:szCs w:val="24"/>
        </w:rPr>
        <w:t>за</w:t>
      </w:r>
      <w:r w:rsidR="00EA30EE" w:rsidRPr="00F175F6">
        <w:rPr>
          <w:rStyle w:val="y2iqfc"/>
          <w:rFonts w:ascii="inherit" w:hAnsi="inherit"/>
          <w:sz w:val="24"/>
          <w:szCs w:val="24"/>
        </w:rPr>
        <w:t xml:space="preserve"> </w:t>
      </w:r>
      <w:r>
        <w:rPr>
          <w:rStyle w:val="y2iqfc"/>
          <w:rFonts w:ascii="inherit" w:hAnsi="inherit"/>
          <w:sz w:val="24"/>
          <w:szCs w:val="24"/>
        </w:rPr>
        <w:t>јачање</w:t>
      </w:r>
      <w:r w:rsidR="00EA30EE" w:rsidRPr="00F175F6">
        <w:rPr>
          <w:rStyle w:val="y2iqfc"/>
          <w:rFonts w:ascii="inherit" w:hAnsi="inherit"/>
          <w:sz w:val="24"/>
          <w:szCs w:val="24"/>
        </w:rPr>
        <w:t xml:space="preserve"> </w:t>
      </w:r>
      <w:r>
        <w:rPr>
          <w:rStyle w:val="y2iqfc"/>
          <w:rFonts w:ascii="inherit" w:hAnsi="inherit"/>
          <w:sz w:val="24"/>
          <w:szCs w:val="24"/>
        </w:rPr>
        <w:t>система</w:t>
      </w:r>
      <w:r w:rsidR="00EA30EE" w:rsidRPr="00F175F6">
        <w:rPr>
          <w:rStyle w:val="y2iqfc"/>
          <w:rFonts w:ascii="inherit" w:hAnsi="inherit"/>
          <w:sz w:val="24"/>
          <w:szCs w:val="24"/>
        </w:rPr>
        <w:t xml:space="preserve"> </w:t>
      </w:r>
      <w:r>
        <w:rPr>
          <w:rStyle w:val="y2iqfc"/>
          <w:rFonts w:ascii="inherit" w:hAnsi="inherit"/>
          <w:sz w:val="24"/>
          <w:szCs w:val="24"/>
        </w:rPr>
        <w:t>превенције</w:t>
      </w:r>
      <w:r w:rsidR="00EA30EE" w:rsidRPr="00F175F6">
        <w:rPr>
          <w:rStyle w:val="y2iqfc"/>
          <w:rFonts w:ascii="inherit" w:hAnsi="inherit"/>
          <w:sz w:val="24"/>
          <w:szCs w:val="24"/>
        </w:rPr>
        <w:t xml:space="preserve"> </w:t>
      </w:r>
      <w:r>
        <w:rPr>
          <w:rStyle w:val="y2iqfc"/>
          <w:rFonts w:ascii="inherit" w:hAnsi="inherit"/>
          <w:sz w:val="24"/>
          <w:szCs w:val="24"/>
        </w:rPr>
        <w:t>и</w:t>
      </w:r>
      <w:r w:rsidR="00EA30EE" w:rsidRPr="00F175F6">
        <w:rPr>
          <w:rStyle w:val="y2iqfc"/>
          <w:rFonts w:ascii="inherit" w:hAnsi="inherit"/>
          <w:sz w:val="24"/>
          <w:szCs w:val="24"/>
        </w:rPr>
        <w:t xml:space="preserve"> </w:t>
      </w:r>
      <w:r>
        <w:rPr>
          <w:rStyle w:val="y2iqfc"/>
          <w:rFonts w:ascii="inherit" w:hAnsi="inherit"/>
          <w:sz w:val="24"/>
          <w:szCs w:val="24"/>
        </w:rPr>
        <w:t>заштите</w:t>
      </w:r>
      <w:r w:rsidR="00EA30EE" w:rsidRPr="00F175F6">
        <w:rPr>
          <w:rStyle w:val="y2iqfc"/>
          <w:rFonts w:ascii="inherit" w:hAnsi="inherit"/>
          <w:sz w:val="24"/>
          <w:szCs w:val="24"/>
        </w:rPr>
        <w:t xml:space="preserve"> </w:t>
      </w:r>
      <w:r>
        <w:rPr>
          <w:rStyle w:val="y2iqfc"/>
          <w:rFonts w:ascii="inherit" w:hAnsi="inherit"/>
          <w:sz w:val="24"/>
          <w:szCs w:val="24"/>
        </w:rPr>
        <w:t>у</w:t>
      </w:r>
      <w:r w:rsidR="00EA30EE" w:rsidRPr="00F175F6">
        <w:rPr>
          <w:rStyle w:val="y2iqfc"/>
          <w:rFonts w:ascii="inherit" w:hAnsi="inherit"/>
          <w:sz w:val="24"/>
          <w:szCs w:val="24"/>
        </w:rPr>
        <w:t xml:space="preserve"> </w:t>
      </w:r>
      <w:r>
        <w:rPr>
          <w:rStyle w:val="y2iqfc"/>
          <w:rFonts w:ascii="inherit" w:hAnsi="inherit"/>
          <w:sz w:val="24"/>
          <w:szCs w:val="24"/>
        </w:rPr>
        <w:t>БиХ</w:t>
      </w:r>
      <w:r w:rsidR="00EA30EE" w:rsidRPr="00F175F6">
        <w:rPr>
          <w:rStyle w:val="y2iqfc"/>
          <w:rFonts w:ascii="inherit" w:hAnsi="inherit"/>
          <w:sz w:val="24"/>
          <w:szCs w:val="24"/>
        </w:rPr>
        <w:t>.</w:t>
      </w:r>
    </w:p>
    <w:p w:rsidR="000D2B9E" w:rsidRPr="006E51B7" w:rsidRDefault="000D2B9E" w:rsidP="006E51B7">
      <w:pPr>
        <w:pStyle w:val="HTMLPreformatted"/>
        <w:jc w:val="both"/>
        <w:rPr>
          <w:rFonts w:ascii="inherit" w:hAnsi="inherit"/>
          <w:color w:val="1F1F1F"/>
          <w:sz w:val="24"/>
          <w:szCs w:val="24"/>
          <w:lang w:val="en-US"/>
        </w:rPr>
      </w:pPr>
    </w:p>
    <w:p w:rsidR="00356C2C" w:rsidRPr="00295637" w:rsidRDefault="006E324C" w:rsidP="003E3716">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8A65D0">
        <w:rPr>
          <w:rFonts w:ascii="Times New Roman" w:hAnsi="Times New Roman"/>
          <w:szCs w:val="24"/>
          <w:lang w:val="bs-Cyrl-BA"/>
        </w:rPr>
        <w:t xml:space="preserve"> </w:t>
      </w:r>
      <w:r w:rsidR="003E3716">
        <w:rPr>
          <w:rFonts w:ascii="Times New Roman" w:hAnsi="Times New Roman"/>
          <w:szCs w:val="24"/>
          <w:lang w:val="bs-Latn-BA"/>
        </w:rPr>
        <w:t xml:space="preserve">1.6. </w:t>
      </w:r>
      <w:r w:rsidR="00C6214E">
        <w:rPr>
          <w:rFonts w:ascii="Times New Roman" w:hAnsi="Times New Roman"/>
          <w:szCs w:val="24"/>
          <w:lang w:val="bs-Latn-BA"/>
        </w:rPr>
        <w:t>Подршка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психосоцијалног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третмана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починилаца</w:t>
      </w:r>
      <w:r w:rsidR="00356C2C" w:rsidRPr="00295637">
        <w:rPr>
          <w:rFonts w:ascii="Times New Roman" w:hAnsi="Times New Roman"/>
          <w:szCs w:val="24"/>
          <w:lang w:val="bs-Latn-BA"/>
        </w:rPr>
        <w:t xml:space="preserve"> </w:t>
      </w:r>
      <w:r w:rsidR="00C6214E">
        <w:rPr>
          <w:rFonts w:ascii="Times New Roman" w:hAnsi="Times New Roman"/>
          <w:szCs w:val="24"/>
          <w:lang w:val="bs-Latn-BA"/>
        </w:rPr>
        <w:t>или</w:t>
      </w:r>
      <w:r w:rsidR="00356C2C" w:rsidRPr="00295637">
        <w:rPr>
          <w:rFonts w:ascii="Times New Roman" w:hAnsi="Times New Roman"/>
          <w:szCs w:val="24"/>
          <w:lang w:val="bs-Latn-BA"/>
        </w:rPr>
        <w:t xml:space="preserve"> </w:t>
      </w:r>
      <w:r w:rsidR="00C6214E">
        <w:rPr>
          <w:rFonts w:ascii="Times New Roman" w:hAnsi="Times New Roman"/>
          <w:szCs w:val="24"/>
          <w:lang w:val="bs-Latn-BA"/>
        </w:rPr>
        <w:t>оних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који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прибјегавају</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насилном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понашању</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породици</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другим</w:t>
      </w:r>
      <w:r w:rsidR="00356C2C" w:rsidRPr="00295637">
        <w:rPr>
          <w:rFonts w:ascii="Times New Roman" w:hAnsi="Times New Roman"/>
          <w:szCs w:val="24"/>
          <w:lang w:val="bs-Latn-BA"/>
        </w:rPr>
        <w:t xml:space="preserve"> </w:t>
      </w:r>
      <w:r w:rsidR="00C6214E">
        <w:rPr>
          <w:rFonts w:ascii="Times New Roman" w:hAnsi="Times New Roman"/>
          <w:szCs w:val="24"/>
          <w:lang w:val="bs-Latn-BA"/>
        </w:rPr>
        <w:t>срединама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као</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реинтеграцију</w:t>
      </w:r>
      <w:r w:rsidR="00356C2C" w:rsidRPr="00295637">
        <w:rPr>
          <w:rFonts w:ascii="Times New Roman" w:hAnsi="Times New Roman"/>
          <w:szCs w:val="24"/>
          <w:lang w:val="bs-Latn-BA"/>
        </w:rPr>
        <w:t xml:space="preserve"> </w:t>
      </w:r>
      <w:r w:rsidR="00C6214E">
        <w:rPr>
          <w:rFonts w:ascii="Times New Roman" w:hAnsi="Times New Roman"/>
          <w:szCs w:val="24"/>
          <w:lang w:val="bs-Latn-BA"/>
        </w:rPr>
        <w:t>жртава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трговине</w:t>
      </w:r>
      <w:r w:rsidR="00356C2C" w:rsidRPr="00295637">
        <w:rPr>
          <w:rFonts w:ascii="Times New Roman" w:hAnsi="Times New Roman"/>
          <w:szCs w:val="24"/>
          <w:lang w:val="bs-Latn-BA"/>
        </w:rPr>
        <w:t xml:space="preserve"> </w:t>
      </w:r>
      <w:r w:rsidR="00C6214E">
        <w:rPr>
          <w:rFonts w:ascii="Times New Roman" w:hAnsi="Times New Roman"/>
          <w:szCs w:val="24"/>
          <w:lang w:val="bs-Latn-BA"/>
        </w:rPr>
        <w:t>људима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друштво</w:t>
      </w:r>
      <w:r w:rsidR="00356C2C" w:rsidRPr="00295637">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реинтеграцију</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образовни</w:t>
      </w:r>
      <w:r w:rsidR="00356C2C" w:rsidRPr="00295637">
        <w:rPr>
          <w:rFonts w:ascii="Times New Roman" w:hAnsi="Times New Roman"/>
          <w:szCs w:val="24"/>
          <w:lang w:val="bs-Latn-BA"/>
        </w:rPr>
        <w:t xml:space="preserve"> </w:t>
      </w:r>
      <w:r w:rsidR="00C6214E">
        <w:rPr>
          <w:rFonts w:ascii="Times New Roman" w:hAnsi="Times New Roman"/>
          <w:szCs w:val="24"/>
          <w:lang w:val="bs-Latn-BA"/>
        </w:rPr>
        <w:t>систем</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тржиште</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рада</w:t>
      </w:r>
      <w:r w:rsidR="00356C2C" w:rsidRPr="00295637">
        <w:rPr>
          <w:rFonts w:ascii="Times New Roman" w:hAnsi="Times New Roman"/>
          <w:szCs w:val="24"/>
          <w:lang w:val="bs-Latn-BA"/>
        </w:rPr>
        <w:t>.</w:t>
      </w:r>
    </w:p>
    <w:p w:rsidR="00C142CC" w:rsidRPr="00295637" w:rsidRDefault="00C142CC" w:rsidP="0086268D">
      <w:pPr>
        <w:tabs>
          <w:tab w:val="left" w:pos="1080"/>
        </w:tabs>
        <w:jc w:val="both"/>
        <w:rPr>
          <w:rFonts w:ascii="Times New Roman" w:hAnsi="Times New Roman"/>
          <w:szCs w:val="24"/>
        </w:rPr>
      </w:pPr>
    </w:p>
    <w:p w:rsidR="00B70BC7" w:rsidRPr="00295637" w:rsidRDefault="00C6214E" w:rsidP="0086268D">
      <w:pPr>
        <w:tabs>
          <w:tab w:val="left" w:pos="1080"/>
        </w:tabs>
        <w:jc w:val="both"/>
        <w:rPr>
          <w:rFonts w:ascii="Times New Roman" w:hAnsi="Times New Roman"/>
          <w:lang w:val="bs-Latn-BA"/>
        </w:rPr>
      </w:pPr>
      <w:r>
        <w:rPr>
          <w:rFonts w:ascii="Times New Roman" w:hAnsi="Times New Roman"/>
          <w:szCs w:val="24"/>
        </w:rPr>
        <w:t>У</w:t>
      </w:r>
      <w:r w:rsidR="008D46B4" w:rsidRPr="00295637">
        <w:rPr>
          <w:rFonts w:ascii="Times New Roman" w:hAnsi="Times New Roman"/>
          <w:szCs w:val="24"/>
        </w:rPr>
        <w:t xml:space="preserve"> </w:t>
      </w:r>
      <w:r>
        <w:rPr>
          <w:rFonts w:ascii="Times New Roman" w:hAnsi="Times New Roman"/>
          <w:szCs w:val="24"/>
        </w:rPr>
        <w:t>азилантском</w:t>
      </w:r>
      <w:r w:rsidR="008D46B4" w:rsidRPr="00295637">
        <w:rPr>
          <w:rFonts w:ascii="Times New Roman" w:hAnsi="Times New Roman"/>
          <w:szCs w:val="24"/>
        </w:rPr>
        <w:t xml:space="preserve"> </w:t>
      </w:r>
      <w:r>
        <w:rPr>
          <w:rFonts w:ascii="Times New Roman" w:hAnsi="Times New Roman"/>
          <w:szCs w:val="24"/>
        </w:rPr>
        <w:t>центру</w:t>
      </w:r>
      <w:r w:rsidR="008D46B4" w:rsidRPr="00295637">
        <w:rPr>
          <w:rFonts w:ascii="Times New Roman" w:hAnsi="Times New Roman"/>
          <w:szCs w:val="24"/>
        </w:rPr>
        <w:t xml:space="preserve"> </w:t>
      </w:r>
      <w:r>
        <w:rPr>
          <w:rFonts w:ascii="Times New Roman" w:hAnsi="Times New Roman"/>
          <w:szCs w:val="24"/>
        </w:rPr>
        <w:t>М</w:t>
      </w:r>
      <w:r w:rsidR="006E324C">
        <w:rPr>
          <w:rFonts w:ascii="Times New Roman" w:hAnsi="Times New Roman"/>
          <w:szCs w:val="24"/>
          <w:lang w:val="sr-Cyrl-BA"/>
        </w:rPr>
        <w:t>Б</w:t>
      </w:r>
      <w:r w:rsidR="00A97204" w:rsidRPr="00295637">
        <w:rPr>
          <w:rFonts w:ascii="Times New Roman" w:hAnsi="Times New Roman"/>
          <w:szCs w:val="24"/>
        </w:rPr>
        <w:t xml:space="preserve"> </w:t>
      </w:r>
      <w:r>
        <w:rPr>
          <w:rFonts w:ascii="Times New Roman" w:hAnsi="Times New Roman"/>
          <w:szCs w:val="24"/>
        </w:rPr>
        <w:t>БиХ</w:t>
      </w:r>
      <w:r w:rsidR="008D46B4" w:rsidRPr="00295637">
        <w:rPr>
          <w:rFonts w:ascii="Times New Roman" w:hAnsi="Times New Roman"/>
          <w:szCs w:val="24"/>
        </w:rPr>
        <w:t xml:space="preserve"> </w:t>
      </w:r>
      <w:r>
        <w:rPr>
          <w:rFonts w:ascii="Times New Roman" w:hAnsi="Times New Roman"/>
          <w:szCs w:val="24"/>
        </w:rPr>
        <w:t>одржаване</w:t>
      </w:r>
      <w:r w:rsidR="008D46B4" w:rsidRPr="00295637">
        <w:rPr>
          <w:rFonts w:ascii="Times New Roman" w:hAnsi="Times New Roman"/>
          <w:szCs w:val="24"/>
        </w:rPr>
        <w:t xml:space="preserve"> </w:t>
      </w:r>
      <w:r>
        <w:rPr>
          <w:rFonts w:ascii="Times New Roman" w:hAnsi="Times New Roman"/>
          <w:szCs w:val="24"/>
        </w:rPr>
        <w:t>су</w:t>
      </w:r>
      <w:r w:rsidR="008D46B4" w:rsidRPr="00295637">
        <w:rPr>
          <w:rFonts w:ascii="Times New Roman" w:hAnsi="Times New Roman"/>
          <w:szCs w:val="24"/>
        </w:rPr>
        <w:t xml:space="preserve"> </w:t>
      </w:r>
      <w:r>
        <w:rPr>
          <w:rFonts w:ascii="Times New Roman" w:hAnsi="Times New Roman"/>
          <w:szCs w:val="24"/>
        </w:rPr>
        <w:t>радионице</w:t>
      </w:r>
      <w:r w:rsidR="008D46B4" w:rsidRPr="00295637">
        <w:rPr>
          <w:rFonts w:ascii="Times New Roman" w:hAnsi="Times New Roman"/>
          <w:szCs w:val="24"/>
        </w:rPr>
        <w:t xml:space="preserve"> </w:t>
      </w:r>
      <w:r w:rsidR="006E324C">
        <w:rPr>
          <w:rFonts w:ascii="Times New Roman" w:hAnsi="Times New Roman"/>
          <w:szCs w:val="24"/>
          <w:lang w:val="sr-Cyrl-BA"/>
        </w:rPr>
        <w:t>с</w:t>
      </w:r>
      <w:r w:rsidR="008D46B4" w:rsidRPr="00295637">
        <w:rPr>
          <w:rFonts w:ascii="Times New Roman" w:hAnsi="Times New Roman"/>
          <w:szCs w:val="24"/>
        </w:rPr>
        <w:t xml:space="preserve"> </w:t>
      </w:r>
      <w:r>
        <w:rPr>
          <w:rFonts w:ascii="Times New Roman" w:hAnsi="Times New Roman"/>
          <w:szCs w:val="24"/>
        </w:rPr>
        <w:t>циљ</w:t>
      </w:r>
      <w:r w:rsidR="006E324C">
        <w:rPr>
          <w:rFonts w:ascii="Times New Roman" w:hAnsi="Times New Roman"/>
          <w:szCs w:val="24"/>
          <w:lang w:val="sr-Cyrl-BA"/>
        </w:rPr>
        <w:t>ем</w:t>
      </w:r>
      <w:r w:rsidR="008D46B4" w:rsidRPr="00295637">
        <w:rPr>
          <w:rFonts w:ascii="Times New Roman" w:hAnsi="Times New Roman"/>
          <w:szCs w:val="24"/>
        </w:rPr>
        <w:t xml:space="preserve"> </w:t>
      </w:r>
      <w:r>
        <w:rPr>
          <w:rFonts w:ascii="Times New Roman" w:hAnsi="Times New Roman"/>
          <w:szCs w:val="24"/>
        </w:rPr>
        <w:t>превенције</w:t>
      </w:r>
      <w:r w:rsidR="008D46B4" w:rsidRPr="00295637">
        <w:rPr>
          <w:rFonts w:ascii="Times New Roman" w:hAnsi="Times New Roman"/>
          <w:szCs w:val="24"/>
        </w:rPr>
        <w:t xml:space="preserve"> </w:t>
      </w:r>
      <w:r>
        <w:rPr>
          <w:rFonts w:ascii="Times New Roman" w:hAnsi="Times New Roman"/>
          <w:szCs w:val="24"/>
        </w:rPr>
        <w:t>родно</w:t>
      </w:r>
      <w:r w:rsidR="008E2F8D" w:rsidRPr="00295637">
        <w:rPr>
          <w:rFonts w:ascii="Times New Roman" w:hAnsi="Times New Roman"/>
          <w:szCs w:val="24"/>
        </w:rPr>
        <w:t xml:space="preserve"> </w:t>
      </w:r>
      <w:r>
        <w:rPr>
          <w:rFonts w:ascii="Times New Roman" w:hAnsi="Times New Roman"/>
          <w:szCs w:val="24"/>
        </w:rPr>
        <w:t>заснованог</w:t>
      </w:r>
      <w:r w:rsidR="008E2F8D" w:rsidRPr="00295637">
        <w:rPr>
          <w:rFonts w:ascii="Times New Roman" w:hAnsi="Times New Roman"/>
          <w:szCs w:val="24"/>
        </w:rPr>
        <w:t xml:space="preserve"> </w:t>
      </w:r>
      <w:r>
        <w:rPr>
          <w:rFonts w:ascii="Times New Roman" w:hAnsi="Times New Roman"/>
          <w:szCs w:val="24"/>
        </w:rPr>
        <w:t>насиља</w:t>
      </w:r>
      <w:r w:rsidR="008E2F8D" w:rsidRPr="00295637">
        <w:rPr>
          <w:rFonts w:ascii="Times New Roman" w:hAnsi="Times New Roman"/>
          <w:szCs w:val="24"/>
        </w:rPr>
        <w:t xml:space="preserve">, </w:t>
      </w:r>
      <w:r>
        <w:rPr>
          <w:rFonts w:ascii="Times New Roman" w:hAnsi="Times New Roman"/>
          <w:szCs w:val="24"/>
        </w:rPr>
        <w:t>кроз</w:t>
      </w:r>
      <w:r w:rsidR="008E2F8D" w:rsidRPr="00295637">
        <w:rPr>
          <w:rFonts w:ascii="Times New Roman" w:hAnsi="Times New Roman"/>
          <w:szCs w:val="24"/>
        </w:rPr>
        <w:t xml:space="preserve"> </w:t>
      </w:r>
      <w:r>
        <w:rPr>
          <w:rFonts w:ascii="Times New Roman" w:hAnsi="Times New Roman"/>
          <w:szCs w:val="24"/>
        </w:rPr>
        <w:t>које</w:t>
      </w:r>
      <w:r w:rsidR="008E2F8D" w:rsidRPr="00295637">
        <w:rPr>
          <w:rFonts w:ascii="Times New Roman" w:hAnsi="Times New Roman"/>
          <w:szCs w:val="24"/>
        </w:rPr>
        <w:t xml:space="preserve"> </w:t>
      </w:r>
      <w:r>
        <w:rPr>
          <w:rFonts w:ascii="Times New Roman" w:hAnsi="Times New Roman"/>
          <w:szCs w:val="24"/>
        </w:rPr>
        <w:t>су</w:t>
      </w:r>
      <w:r w:rsidR="008E2F8D" w:rsidRPr="00295637">
        <w:rPr>
          <w:rFonts w:ascii="Times New Roman" w:hAnsi="Times New Roman"/>
          <w:szCs w:val="24"/>
        </w:rPr>
        <w:t xml:space="preserve"> </w:t>
      </w:r>
      <w:r>
        <w:rPr>
          <w:rFonts w:ascii="Times New Roman" w:hAnsi="Times New Roman"/>
          <w:szCs w:val="24"/>
        </w:rPr>
        <w:t>се</w:t>
      </w:r>
      <w:r w:rsidR="008E2F8D" w:rsidRPr="00295637">
        <w:rPr>
          <w:rFonts w:ascii="Times New Roman" w:hAnsi="Times New Roman"/>
          <w:szCs w:val="24"/>
        </w:rPr>
        <w:t xml:space="preserve"> </w:t>
      </w:r>
      <w:r>
        <w:rPr>
          <w:rFonts w:ascii="Times New Roman" w:hAnsi="Times New Roman"/>
          <w:szCs w:val="24"/>
        </w:rPr>
        <w:t>жртве</w:t>
      </w:r>
      <w:r w:rsidR="008E2F8D" w:rsidRPr="00295637">
        <w:rPr>
          <w:rFonts w:ascii="Times New Roman" w:hAnsi="Times New Roman"/>
          <w:szCs w:val="24"/>
        </w:rPr>
        <w:t xml:space="preserve"> </w:t>
      </w:r>
      <w:r>
        <w:rPr>
          <w:rFonts w:ascii="Times New Roman" w:hAnsi="Times New Roman"/>
          <w:szCs w:val="24"/>
        </w:rPr>
        <w:t>често</w:t>
      </w:r>
      <w:r w:rsidR="008E2F8D" w:rsidRPr="00295637">
        <w:rPr>
          <w:rFonts w:ascii="Times New Roman" w:hAnsi="Times New Roman"/>
          <w:szCs w:val="24"/>
        </w:rPr>
        <w:t xml:space="preserve"> </w:t>
      </w:r>
      <w:r>
        <w:rPr>
          <w:rFonts w:ascii="Times New Roman" w:hAnsi="Times New Roman"/>
          <w:szCs w:val="24"/>
        </w:rPr>
        <w:t>самоиденфи</w:t>
      </w:r>
      <w:r w:rsidR="006E324C">
        <w:rPr>
          <w:rFonts w:ascii="Times New Roman" w:hAnsi="Times New Roman"/>
          <w:szCs w:val="24"/>
          <w:lang w:val="sr-Cyrl-BA"/>
        </w:rPr>
        <w:t>ковале</w:t>
      </w:r>
      <w:r w:rsidR="008D46B4" w:rsidRPr="00295637">
        <w:rPr>
          <w:rFonts w:ascii="Times New Roman" w:hAnsi="Times New Roman"/>
          <w:szCs w:val="24"/>
        </w:rPr>
        <w:t xml:space="preserve">, </w:t>
      </w:r>
      <w:r>
        <w:rPr>
          <w:rFonts w:ascii="Times New Roman" w:hAnsi="Times New Roman"/>
          <w:szCs w:val="24"/>
        </w:rPr>
        <w:t>или</w:t>
      </w:r>
      <w:r w:rsidR="008D46B4" w:rsidRPr="00295637">
        <w:rPr>
          <w:rFonts w:ascii="Times New Roman" w:hAnsi="Times New Roman"/>
          <w:szCs w:val="24"/>
        </w:rPr>
        <w:t xml:space="preserve"> </w:t>
      </w:r>
      <w:r>
        <w:rPr>
          <w:rFonts w:ascii="Times New Roman" w:hAnsi="Times New Roman"/>
          <w:szCs w:val="24"/>
        </w:rPr>
        <w:t>су</w:t>
      </w:r>
      <w:r w:rsidR="008D46B4" w:rsidRPr="00295637">
        <w:rPr>
          <w:rFonts w:ascii="Times New Roman" w:hAnsi="Times New Roman"/>
          <w:szCs w:val="24"/>
        </w:rPr>
        <w:t xml:space="preserve"> </w:t>
      </w:r>
      <w:r>
        <w:rPr>
          <w:rFonts w:ascii="Times New Roman" w:hAnsi="Times New Roman"/>
          <w:szCs w:val="24"/>
        </w:rPr>
        <w:t>биле</w:t>
      </w:r>
      <w:r w:rsidR="008D46B4" w:rsidRPr="00295637">
        <w:rPr>
          <w:rFonts w:ascii="Times New Roman" w:hAnsi="Times New Roman"/>
          <w:szCs w:val="24"/>
        </w:rPr>
        <w:t xml:space="preserve"> </w:t>
      </w:r>
      <w:r>
        <w:rPr>
          <w:rFonts w:ascii="Times New Roman" w:hAnsi="Times New Roman"/>
          <w:szCs w:val="24"/>
        </w:rPr>
        <w:t>идентифи</w:t>
      </w:r>
      <w:r w:rsidR="006E324C">
        <w:rPr>
          <w:rFonts w:ascii="Times New Roman" w:hAnsi="Times New Roman"/>
          <w:szCs w:val="24"/>
          <w:lang w:val="sr-Cyrl-BA"/>
        </w:rPr>
        <w:t>коване</w:t>
      </w:r>
      <w:r w:rsidR="006C1EAB">
        <w:rPr>
          <w:rFonts w:ascii="Times New Roman" w:hAnsi="Times New Roman"/>
          <w:szCs w:val="24"/>
        </w:rPr>
        <w:t xml:space="preserve">. </w:t>
      </w:r>
      <w:r>
        <w:rPr>
          <w:rFonts w:ascii="Times New Roman" w:hAnsi="Times New Roman"/>
          <w:szCs w:val="24"/>
        </w:rPr>
        <w:t>Едукација</w:t>
      </w:r>
      <w:r w:rsidR="006C1EAB">
        <w:rPr>
          <w:rFonts w:ascii="Times New Roman" w:hAnsi="Times New Roman"/>
          <w:szCs w:val="24"/>
        </w:rPr>
        <w:t xml:space="preserve"> </w:t>
      </w:r>
      <w:r>
        <w:rPr>
          <w:rFonts w:ascii="Times New Roman" w:hAnsi="Times New Roman"/>
          <w:szCs w:val="24"/>
        </w:rPr>
        <w:t>за</w:t>
      </w:r>
      <w:r w:rsidR="006C1EAB">
        <w:rPr>
          <w:rFonts w:ascii="Times New Roman" w:hAnsi="Times New Roman"/>
          <w:szCs w:val="24"/>
        </w:rPr>
        <w:t xml:space="preserve"> </w:t>
      </w:r>
      <w:r>
        <w:rPr>
          <w:rFonts w:ascii="Times New Roman" w:hAnsi="Times New Roman"/>
          <w:szCs w:val="24"/>
        </w:rPr>
        <w:t>мушкарце</w:t>
      </w:r>
      <w:r w:rsidR="006C1EAB">
        <w:rPr>
          <w:rFonts w:ascii="Times New Roman" w:hAnsi="Times New Roman"/>
          <w:szCs w:val="24"/>
        </w:rPr>
        <w:t xml:space="preserve"> </w:t>
      </w:r>
      <w:r>
        <w:rPr>
          <w:rFonts w:ascii="Times New Roman" w:hAnsi="Times New Roman"/>
          <w:szCs w:val="24"/>
        </w:rPr>
        <w:t>у</w:t>
      </w:r>
      <w:r w:rsidR="006C1EAB">
        <w:rPr>
          <w:rFonts w:ascii="Times New Roman" w:hAnsi="Times New Roman"/>
          <w:szCs w:val="24"/>
        </w:rPr>
        <w:t xml:space="preserve"> </w:t>
      </w:r>
      <w:r>
        <w:rPr>
          <w:rFonts w:ascii="Times New Roman" w:hAnsi="Times New Roman"/>
          <w:szCs w:val="24"/>
        </w:rPr>
        <w:t>азилантском</w:t>
      </w:r>
      <w:r w:rsidR="008D46B4" w:rsidRPr="00295637">
        <w:rPr>
          <w:rFonts w:ascii="Times New Roman" w:hAnsi="Times New Roman"/>
          <w:szCs w:val="24"/>
        </w:rPr>
        <w:t xml:space="preserve"> </w:t>
      </w:r>
      <w:r>
        <w:rPr>
          <w:rFonts w:ascii="Times New Roman" w:hAnsi="Times New Roman"/>
          <w:szCs w:val="24"/>
        </w:rPr>
        <w:t>центру</w:t>
      </w:r>
      <w:r w:rsidR="008D46B4" w:rsidRPr="00295637">
        <w:rPr>
          <w:rFonts w:ascii="Times New Roman" w:hAnsi="Times New Roman"/>
          <w:szCs w:val="24"/>
        </w:rPr>
        <w:t xml:space="preserve"> </w:t>
      </w:r>
      <w:r w:rsidR="006C1EAB">
        <w:rPr>
          <w:rFonts w:ascii="Times New Roman" w:hAnsi="Times New Roman"/>
          <w:szCs w:val="24"/>
        </w:rPr>
        <w:t>„</w:t>
      </w:r>
      <w:r>
        <w:rPr>
          <w:rFonts w:ascii="Times New Roman" w:hAnsi="Times New Roman"/>
          <w:szCs w:val="24"/>
        </w:rPr>
        <w:t>Делијаш</w:t>
      </w:r>
      <w:r w:rsidR="006C1EAB">
        <w:rPr>
          <w:rFonts w:ascii="Times New Roman" w:hAnsi="Times New Roman"/>
          <w:szCs w:val="24"/>
        </w:rPr>
        <w:t>“</w:t>
      </w:r>
      <w:r w:rsidR="008D46B4" w:rsidRPr="00295637">
        <w:rPr>
          <w:rFonts w:ascii="Times New Roman" w:hAnsi="Times New Roman"/>
          <w:szCs w:val="24"/>
        </w:rPr>
        <w:t xml:space="preserve"> </w:t>
      </w:r>
      <w:r>
        <w:rPr>
          <w:rFonts w:ascii="Times New Roman" w:hAnsi="Times New Roman"/>
          <w:szCs w:val="24"/>
        </w:rPr>
        <w:t>одржавана</w:t>
      </w:r>
      <w:r w:rsidR="008D46B4" w:rsidRPr="00295637">
        <w:rPr>
          <w:rFonts w:ascii="Times New Roman" w:hAnsi="Times New Roman"/>
          <w:szCs w:val="24"/>
        </w:rPr>
        <w:t xml:space="preserve"> </w:t>
      </w:r>
      <w:r>
        <w:rPr>
          <w:rFonts w:ascii="Times New Roman" w:hAnsi="Times New Roman"/>
          <w:szCs w:val="24"/>
        </w:rPr>
        <w:t>је</w:t>
      </w:r>
      <w:r w:rsidR="008D46B4" w:rsidRPr="00295637">
        <w:rPr>
          <w:rFonts w:ascii="Times New Roman" w:hAnsi="Times New Roman"/>
          <w:szCs w:val="24"/>
        </w:rPr>
        <w:t xml:space="preserve"> </w:t>
      </w:r>
      <w:r>
        <w:rPr>
          <w:rFonts w:ascii="Times New Roman" w:hAnsi="Times New Roman"/>
          <w:szCs w:val="24"/>
        </w:rPr>
        <w:t>ван</w:t>
      </w:r>
      <w:r w:rsidR="00282B67">
        <w:rPr>
          <w:rFonts w:ascii="Times New Roman" w:hAnsi="Times New Roman"/>
          <w:szCs w:val="24"/>
        </w:rPr>
        <w:t xml:space="preserve"> </w:t>
      </w:r>
      <w:r>
        <w:rPr>
          <w:rFonts w:ascii="Times New Roman" w:hAnsi="Times New Roman"/>
          <w:szCs w:val="24"/>
        </w:rPr>
        <w:t>центра</w:t>
      </w:r>
      <w:r w:rsidR="00282B67">
        <w:rPr>
          <w:rFonts w:ascii="Times New Roman" w:hAnsi="Times New Roman"/>
          <w:szCs w:val="24"/>
        </w:rPr>
        <w:t xml:space="preserve">, </w:t>
      </w:r>
      <w:r>
        <w:rPr>
          <w:rFonts w:ascii="Times New Roman" w:hAnsi="Times New Roman"/>
          <w:szCs w:val="24"/>
        </w:rPr>
        <w:t>заједно</w:t>
      </w:r>
      <w:r w:rsidR="00282B67">
        <w:rPr>
          <w:rFonts w:ascii="Times New Roman" w:hAnsi="Times New Roman"/>
          <w:szCs w:val="24"/>
        </w:rPr>
        <w:t xml:space="preserve"> </w:t>
      </w:r>
      <w:r>
        <w:rPr>
          <w:rFonts w:ascii="Times New Roman" w:hAnsi="Times New Roman"/>
          <w:szCs w:val="24"/>
        </w:rPr>
        <w:t>са</w:t>
      </w:r>
      <w:r w:rsidR="008D46B4" w:rsidRPr="00295637">
        <w:rPr>
          <w:rFonts w:ascii="Times New Roman" w:hAnsi="Times New Roman"/>
          <w:szCs w:val="24"/>
        </w:rPr>
        <w:t xml:space="preserve"> </w:t>
      </w:r>
      <w:r>
        <w:rPr>
          <w:rFonts w:ascii="Times New Roman" w:hAnsi="Times New Roman"/>
          <w:szCs w:val="24"/>
        </w:rPr>
        <w:t>корисницима</w:t>
      </w:r>
      <w:r w:rsidR="008D46B4" w:rsidRPr="00295637">
        <w:rPr>
          <w:rFonts w:ascii="Times New Roman" w:hAnsi="Times New Roman"/>
          <w:szCs w:val="24"/>
        </w:rPr>
        <w:t xml:space="preserve"> </w:t>
      </w:r>
      <w:r>
        <w:rPr>
          <w:rFonts w:ascii="Times New Roman" w:hAnsi="Times New Roman"/>
          <w:szCs w:val="24"/>
        </w:rPr>
        <w:t>из</w:t>
      </w:r>
      <w:r w:rsidR="008D46B4" w:rsidRPr="00295637">
        <w:rPr>
          <w:rFonts w:ascii="Times New Roman" w:hAnsi="Times New Roman"/>
          <w:szCs w:val="24"/>
        </w:rPr>
        <w:t xml:space="preserve"> </w:t>
      </w:r>
      <w:r>
        <w:rPr>
          <w:rFonts w:ascii="Times New Roman" w:hAnsi="Times New Roman"/>
          <w:szCs w:val="24"/>
        </w:rPr>
        <w:t>приватног</w:t>
      </w:r>
      <w:r w:rsidR="008D46B4" w:rsidRPr="00295637">
        <w:rPr>
          <w:rFonts w:ascii="Times New Roman" w:hAnsi="Times New Roman"/>
          <w:szCs w:val="24"/>
        </w:rPr>
        <w:t xml:space="preserve"> </w:t>
      </w:r>
      <w:r>
        <w:rPr>
          <w:rFonts w:ascii="Times New Roman" w:hAnsi="Times New Roman"/>
          <w:szCs w:val="24"/>
        </w:rPr>
        <w:t>смјештаја</w:t>
      </w:r>
      <w:r w:rsidR="008D46B4" w:rsidRPr="00295637">
        <w:rPr>
          <w:rFonts w:ascii="Times New Roman" w:hAnsi="Times New Roman"/>
          <w:szCs w:val="24"/>
        </w:rPr>
        <w:t xml:space="preserve">, </w:t>
      </w:r>
      <w:r>
        <w:rPr>
          <w:rFonts w:ascii="Times New Roman" w:hAnsi="Times New Roman"/>
          <w:szCs w:val="24"/>
        </w:rPr>
        <w:t>на</w:t>
      </w:r>
      <w:r w:rsidR="008D46B4" w:rsidRPr="00295637">
        <w:rPr>
          <w:rFonts w:ascii="Times New Roman" w:hAnsi="Times New Roman"/>
          <w:szCs w:val="24"/>
        </w:rPr>
        <w:t xml:space="preserve"> </w:t>
      </w:r>
      <w:r>
        <w:rPr>
          <w:rFonts w:ascii="Times New Roman" w:hAnsi="Times New Roman"/>
          <w:szCs w:val="24"/>
        </w:rPr>
        <w:t>тему</w:t>
      </w:r>
      <w:r w:rsidR="008D46B4" w:rsidRPr="00295637">
        <w:rPr>
          <w:rFonts w:ascii="Times New Roman" w:hAnsi="Times New Roman"/>
          <w:szCs w:val="24"/>
        </w:rPr>
        <w:t xml:space="preserve"> „</w:t>
      </w:r>
      <w:r>
        <w:rPr>
          <w:rFonts w:ascii="Times New Roman" w:hAnsi="Times New Roman"/>
          <w:szCs w:val="24"/>
        </w:rPr>
        <w:t>равноправност</w:t>
      </w:r>
      <w:r w:rsidR="00B4645A" w:rsidRPr="00295637">
        <w:rPr>
          <w:rFonts w:ascii="Times New Roman" w:hAnsi="Times New Roman"/>
          <w:szCs w:val="24"/>
        </w:rPr>
        <w:t xml:space="preserve"> </w:t>
      </w:r>
      <w:r>
        <w:rPr>
          <w:rFonts w:ascii="Times New Roman" w:hAnsi="Times New Roman"/>
          <w:szCs w:val="24"/>
        </w:rPr>
        <w:t>полова</w:t>
      </w:r>
      <w:r w:rsidR="008D46B4" w:rsidRPr="00295637">
        <w:rPr>
          <w:rFonts w:ascii="Times New Roman" w:hAnsi="Times New Roman"/>
          <w:szCs w:val="24"/>
        </w:rPr>
        <w:t xml:space="preserve">“ </w:t>
      </w:r>
      <w:r>
        <w:rPr>
          <w:rFonts w:ascii="Times New Roman" w:hAnsi="Times New Roman"/>
          <w:szCs w:val="24"/>
        </w:rPr>
        <w:t>гдје</w:t>
      </w:r>
      <w:r w:rsidR="008D46B4" w:rsidRPr="00295637">
        <w:rPr>
          <w:rFonts w:ascii="Times New Roman" w:hAnsi="Times New Roman"/>
          <w:szCs w:val="24"/>
        </w:rPr>
        <w:t xml:space="preserve"> </w:t>
      </w:r>
      <w:r>
        <w:rPr>
          <w:rFonts w:ascii="Times New Roman" w:hAnsi="Times New Roman"/>
          <w:szCs w:val="24"/>
        </w:rPr>
        <w:t>се</w:t>
      </w:r>
      <w:r w:rsidR="008D46B4" w:rsidRPr="00295637">
        <w:rPr>
          <w:rFonts w:ascii="Times New Roman" w:hAnsi="Times New Roman"/>
          <w:szCs w:val="24"/>
        </w:rPr>
        <w:t xml:space="preserve"> </w:t>
      </w:r>
      <w:r>
        <w:rPr>
          <w:rFonts w:ascii="Times New Roman" w:hAnsi="Times New Roman"/>
          <w:szCs w:val="24"/>
        </w:rPr>
        <w:t>говорило</w:t>
      </w:r>
      <w:r w:rsidR="008D46B4" w:rsidRPr="00295637">
        <w:rPr>
          <w:rFonts w:ascii="Times New Roman" w:hAnsi="Times New Roman"/>
          <w:szCs w:val="24"/>
        </w:rPr>
        <w:t xml:space="preserve"> </w:t>
      </w:r>
      <w:r>
        <w:rPr>
          <w:rFonts w:ascii="Times New Roman" w:hAnsi="Times New Roman"/>
          <w:szCs w:val="24"/>
        </w:rPr>
        <w:t>о</w:t>
      </w:r>
      <w:r w:rsidR="008D46B4" w:rsidRPr="00295637">
        <w:rPr>
          <w:rFonts w:ascii="Times New Roman" w:hAnsi="Times New Roman"/>
          <w:szCs w:val="24"/>
        </w:rPr>
        <w:t xml:space="preserve"> </w:t>
      </w:r>
      <w:r>
        <w:rPr>
          <w:rFonts w:ascii="Times New Roman" w:hAnsi="Times New Roman"/>
          <w:szCs w:val="24"/>
        </w:rPr>
        <w:t>разликама</w:t>
      </w:r>
      <w:r w:rsidR="008D46B4" w:rsidRPr="00295637">
        <w:rPr>
          <w:rFonts w:ascii="Times New Roman" w:hAnsi="Times New Roman"/>
          <w:szCs w:val="24"/>
        </w:rPr>
        <w:t xml:space="preserve"> </w:t>
      </w:r>
      <w:r>
        <w:rPr>
          <w:rFonts w:ascii="Times New Roman" w:hAnsi="Times New Roman"/>
          <w:szCs w:val="24"/>
        </w:rPr>
        <w:t>између</w:t>
      </w:r>
      <w:r w:rsidR="008D46B4" w:rsidRPr="00295637">
        <w:rPr>
          <w:rFonts w:ascii="Times New Roman" w:hAnsi="Times New Roman"/>
          <w:szCs w:val="24"/>
        </w:rPr>
        <w:t xml:space="preserve"> </w:t>
      </w:r>
      <w:r>
        <w:rPr>
          <w:rFonts w:ascii="Times New Roman" w:hAnsi="Times New Roman"/>
          <w:szCs w:val="24"/>
        </w:rPr>
        <w:t>рода</w:t>
      </w:r>
      <w:r w:rsidR="008D46B4" w:rsidRPr="00295637">
        <w:rPr>
          <w:rFonts w:ascii="Times New Roman" w:hAnsi="Times New Roman"/>
          <w:szCs w:val="24"/>
        </w:rPr>
        <w:t xml:space="preserve"> </w:t>
      </w:r>
      <w:r>
        <w:rPr>
          <w:rFonts w:ascii="Times New Roman" w:hAnsi="Times New Roman"/>
          <w:szCs w:val="24"/>
        </w:rPr>
        <w:t>и</w:t>
      </w:r>
      <w:r w:rsidR="008D46B4" w:rsidRPr="00295637">
        <w:rPr>
          <w:rFonts w:ascii="Times New Roman" w:hAnsi="Times New Roman"/>
          <w:szCs w:val="24"/>
        </w:rPr>
        <w:t xml:space="preserve"> </w:t>
      </w:r>
      <w:r>
        <w:rPr>
          <w:rFonts w:ascii="Times New Roman" w:hAnsi="Times New Roman"/>
          <w:szCs w:val="24"/>
        </w:rPr>
        <w:t>пола</w:t>
      </w:r>
      <w:r w:rsidR="008D46B4" w:rsidRPr="00295637">
        <w:rPr>
          <w:rFonts w:ascii="Times New Roman" w:hAnsi="Times New Roman"/>
          <w:szCs w:val="24"/>
        </w:rPr>
        <w:t xml:space="preserve">, </w:t>
      </w:r>
      <w:r>
        <w:rPr>
          <w:rFonts w:ascii="Times New Roman" w:hAnsi="Times New Roman"/>
          <w:szCs w:val="24"/>
        </w:rPr>
        <w:t>освјештавању</w:t>
      </w:r>
      <w:r w:rsidR="008D46B4" w:rsidRPr="00295637">
        <w:rPr>
          <w:rFonts w:ascii="Times New Roman" w:hAnsi="Times New Roman"/>
          <w:szCs w:val="24"/>
        </w:rPr>
        <w:t xml:space="preserve"> </w:t>
      </w:r>
      <w:r w:rsidR="008A65D0">
        <w:rPr>
          <w:rFonts w:ascii="Times New Roman" w:hAnsi="Times New Roman"/>
          <w:szCs w:val="24"/>
          <w:lang w:val="bs-Cyrl-BA"/>
        </w:rPr>
        <w:t xml:space="preserve">о </w:t>
      </w:r>
      <w:r>
        <w:rPr>
          <w:rFonts w:ascii="Times New Roman" w:hAnsi="Times New Roman"/>
          <w:szCs w:val="24"/>
        </w:rPr>
        <w:t>насиљ</w:t>
      </w:r>
      <w:r w:rsidR="008A65D0">
        <w:rPr>
          <w:rFonts w:ascii="Times New Roman" w:hAnsi="Times New Roman"/>
          <w:szCs w:val="24"/>
          <w:lang w:val="bs-Cyrl-BA"/>
        </w:rPr>
        <w:t>у</w:t>
      </w:r>
      <w:r w:rsidR="008D46B4" w:rsidRPr="00295637">
        <w:rPr>
          <w:rFonts w:ascii="Times New Roman" w:hAnsi="Times New Roman"/>
          <w:szCs w:val="24"/>
        </w:rPr>
        <w:t xml:space="preserve"> </w:t>
      </w:r>
      <w:r>
        <w:rPr>
          <w:rFonts w:ascii="Times New Roman" w:hAnsi="Times New Roman"/>
          <w:szCs w:val="24"/>
        </w:rPr>
        <w:t>као</w:t>
      </w:r>
      <w:r w:rsidR="008D46B4" w:rsidRPr="00295637">
        <w:rPr>
          <w:rFonts w:ascii="Times New Roman" w:hAnsi="Times New Roman"/>
          <w:szCs w:val="24"/>
        </w:rPr>
        <w:t xml:space="preserve"> </w:t>
      </w:r>
      <w:r>
        <w:rPr>
          <w:rFonts w:ascii="Times New Roman" w:hAnsi="Times New Roman"/>
          <w:szCs w:val="24"/>
        </w:rPr>
        <w:t>злоупотреб</w:t>
      </w:r>
      <w:r w:rsidR="008A65D0">
        <w:rPr>
          <w:rFonts w:ascii="Times New Roman" w:hAnsi="Times New Roman"/>
          <w:szCs w:val="24"/>
          <w:lang w:val="bs-Cyrl-BA"/>
        </w:rPr>
        <w:t>и</w:t>
      </w:r>
      <w:r w:rsidR="008D46B4" w:rsidRPr="00295637">
        <w:rPr>
          <w:rFonts w:ascii="Times New Roman" w:hAnsi="Times New Roman"/>
          <w:szCs w:val="24"/>
        </w:rPr>
        <w:t xml:space="preserve"> </w:t>
      </w:r>
      <w:r>
        <w:rPr>
          <w:rFonts w:ascii="Times New Roman" w:hAnsi="Times New Roman"/>
          <w:szCs w:val="24"/>
        </w:rPr>
        <w:t>моћи</w:t>
      </w:r>
      <w:r w:rsidR="008D46B4" w:rsidRPr="00295637">
        <w:rPr>
          <w:rFonts w:ascii="Times New Roman" w:hAnsi="Times New Roman"/>
          <w:szCs w:val="24"/>
        </w:rPr>
        <w:t xml:space="preserve">, </w:t>
      </w:r>
      <w:r>
        <w:rPr>
          <w:rFonts w:ascii="Times New Roman" w:hAnsi="Times New Roman"/>
          <w:szCs w:val="24"/>
        </w:rPr>
        <w:t>те</w:t>
      </w:r>
      <w:r w:rsidR="008D46B4" w:rsidRPr="00295637">
        <w:rPr>
          <w:rFonts w:ascii="Times New Roman" w:hAnsi="Times New Roman"/>
          <w:szCs w:val="24"/>
        </w:rPr>
        <w:t xml:space="preserve"> </w:t>
      </w:r>
      <w:r>
        <w:rPr>
          <w:rFonts w:ascii="Times New Roman" w:hAnsi="Times New Roman"/>
          <w:szCs w:val="24"/>
        </w:rPr>
        <w:t>о</w:t>
      </w:r>
      <w:r w:rsidR="008D46B4" w:rsidRPr="00295637">
        <w:rPr>
          <w:rFonts w:ascii="Times New Roman" w:hAnsi="Times New Roman"/>
          <w:szCs w:val="24"/>
        </w:rPr>
        <w:t xml:space="preserve"> </w:t>
      </w:r>
      <w:r>
        <w:rPr>
          <w:rFonts w:ascii="Times New Roman" w:hAnsi="Times New Roman"/>
          <w:szCs w:val="24"/>
        </w:rPr>
        <w:t>митовима</w:t>
      </w:r>
      <w:r w:rsidR="008D46B4" w:rsidRPr="00295637">
        <w:rPr>
          <w:rFonts w:ascii="Times New Roman" w:hAnsi="Times New Roman"/>
          <w:szCs w:val="24"/>
        </w:rPr>
        <w:t xml:space="preserve"> </w:t>
      </w:r>
      <w:r>
        <w:rPr>
          <w:rFonts w:ascii="Times New Roman" w:hAnsi="Times New Roman"/>
          <w:szCs w:val="24"/>
        </w:rPr>
        <w:t>који</w:t>
      </w:r>
      <w:r w:rsidR="008D46B4" w:rsidRPr="00295637">
        <w:rPr>
          <w:rFonts w:ascii="Times New Roman" w:hAnsi="Times New Roman"/>
          <w:szCs w:val="24"/>
        </w:rPr>
        <w:t xml:space="preserve"> </w:t>
      </w:r>
      <w:r>
        <w:rPr>
          <w:rFonts w:ascii="Times New Roman" w:hAnsi="Times New Roman"/>
          <w:szCs w:val="24"/>
        </w:rPr>
        <w:t>подстичу</w:t>
      </w:r>
      <w:r w:rsidR="008D46B4" w:rsidRPr="00295637">
        <w:rPr>
          <w:rFonts w:ascii="Times New Roman" w:hAnsi="Times New Roman"/>
          <w:szCs w:val="24"/>
        </w:rPr>
        <w:t xml:space="preserve"> </w:t>
      </w:r>
      <w:r>
        <w:rPr>
          <w:rFonts w:ascii="Times New Roman" w:hAnsi="Times New Roman"/>
          <w:szCs w:val="24"/>
        </w:rPr>
        <w:t>насиље</w:t>
      </w:r>
      <w:r w:rsidR="008D46B4" w:rsidRPr="00295637">
        <w:rPr>
          <w:rFonts w:ascii="Times New Roman" w:hAnsi="Times New Roman"/>
          <w:szCs w:val="24"/>
        </w:rPr>
        <w:t xml:space="preserve">. </w:t>
      </w:r>
      <w:r>
        <w:rPr>
          <w:rFonts w:ascii="Times New Roman" w:hAnsi="Times New Roman"/>
          <w:szCs w:val="24"/>
        </w:rPr>
        <w:t>Едукација</w:t>
      </w:r>
      <w:r w:rsidR="008D46B4" w:rsidRPr="00295637">
        <w:rPr>
          <w:rFonts w:ascii="Times New Roman" w:hAnsi="Times New Roman"/>
          <w:szCs w:val="24"/>
        </w:rPr>
        <w:t xml:space="preserve"> </w:t>
      </w:r>
      <w:r>
        <w:rPr>
          <w:rFonts w:ascii="Times New Roman" w:hAnsi="Times New Roman"/>
          <w:szCs w:val="24"/>
        </w:rPr>
        <w:t>за</w:t>
      </w:r>
      <w:r w:rsidR="008D46B4" w:rsidRPr="00295637">
        <w:rPr>
          <w:rFonts w:ascii="Times New Roman" w:hAnsi="Times New Roman"/>
          <w:szCs w:val="24"/>
        </w:rPr>
        <w:t xml:space="preserve"> </w:t>
      </w:r>
      <w:r>
        <w:rPr>
          <w:rFonts w:ascii="Times New Roman" w:hAnsi="Times New Roman"/>
          <w:szCs w:val="24"/>
        </w:rPr>
        <w:t>жене</w:t>
      </w:r>
      <w:r w:rsidR="008D46B4" w:rsidRPr="00295637">
        <w:rPr>
          <w:rFonts w:ascii="Times New Roman" w:hAnsi="Times New Roman"/>
          <w:szCs w:val="24"/>
        </w:rPr>
        <w:t xml:space="preserve"> </w:t>
      </w:r>
      <w:r>
        <w:rPr>
          <w:rFonts w:ascii="Times New Roman" w:hAnsi="Times New Roman"/>
          <w:szCs w:val="24"/>
        </w:rPr>
        <w:t>на</w:t>
      </w:r>
      <w:r w:rsidR="008D46B4" w:rsidRPr="00295637">
        <w:rPr>
          <w:rFonts w:ascii="Times New Roman" w:hAnsi="Times New Roman"/>
          <w:szCs w:val="24"/>
        </w:rPr>
        <w:t xml:space="preserve"> </w:t>
      </w:r>
      <w:r>
        <w:rPr>
          <w:rFonts w:ascii="Times New Roman" w:hAnsi="Times New Roman"/>
          <w:szCs w:val="24"/>
        </w:rPr>
        <w:t>тему</w:t>
      </w:r>
      <w:r w:rsidR="008D46B4" w:rsidRPr="00295637">
        <w:rPr>
          <w:rFonts w:ascii="Times New Roman" w:hAnsi="Times New Roman"/>
          <w:szCs w:val="24"/>
        </w:rPr>
        <w:t xml:space="preserve"> „</w:t>
      </w:r>
      <w:r>
        <w:rPr>
          <w:rFonts w:ascii="Times New Roman" w:hAnsi="Times New Roman"/>
          <w:szCs w:val="24"/>
        </w:rPr>
        <w:t>Како</w:t>
      </w:r>
      <w:r w:rsidR="008D46B4" w:rsidRPr="00295637">
        <w:rPr>
          <w:rFonts w:ascii="Times New Roman" w:hAnsi="Times New Roman"/>
          <w:szCs w:val="24"/>
        </w:rPr>
        <w:t xml:space="preserve"> </w:t>
      </w:r>
      <w:r>
        <w:rPr>
          <w:rFonts w:ascii="Times New Roman" w:hAnsi="Times New Roman"/>
          <w:szCs w:val="24"/>
        </w:rPr>
        <w:t>се</w:t>
      </w:r>
      <w:r w:rsidR="008D46B4" w:rsidRPr="00295637">
        <w:rPr>
          <w:rFonts w:ascii="Times New Roman" w:hAnsi="Times New Roman"/>
          <w:szCs w:val="24"/>
        </w:rPr>
        <w:t xml:space="preserve"> </w:t>
      </w:r>
      <w:r>
        <w:rPr>
          <w:rFonts w:ascii="Times New Roman" w:hAnsi="Times New Roman"/>
          <w:szCs w:val="24"/>
        </w:rPr>
        <w:t>заштитити</w:t>
      </w:r>
      <w:r w:rsidR="008D46B4" w:rsidRPr="00295637">
        <w:rPr>
          <w:rFonts w:ascii="Times New Roman" w:hAnsi="Times New Roman"/>
          <w:szCs w:val="24"/>
        </w:rPr>
        <w:t xml:space="preserve"> </w:t>
      </w:r>
      <w:r>
        <w:rPr>
          <w:rFonts w:ascii="Times New Roman" w:hAnsi="Times New Roman"/>
          <w:szCs w:val="24"/>
        </w:rPr>
        <w:t>од</w:t>
      </w:r>
      <w:r w:rsidR="008D46B4" w:rsidRPr="00295637">
        <w:rPr>
          <w:rFonts w:ascii="Times New Roman" w:hAnsi="Times New Roman"/>
          <w:szCs w:val="24"/>
        </w:rPr>
        <w:t xml:space="preserve"> </w:t>
      </w:r>
      <w:r>
        <w:rPr>
          <w:rFonts w:ascii="Times New Roman" w:hAnsi="Times New Roman"/>
          <w:szCs w:val="24"/>
        </w:rPr>
        <w:t>насиља</w:t>
      </w:r>
      <w:r w:rsidR="008D46B4" w:rsidRPr="00295637">
        <w:rPr>
          <w:rFonts w:ascii="Times New Roman" w:hAnsi="Times New Roman"/>
          <w:szCs w:val="24"/>
        </w:rPr>
        <w:t xml:space="preserve">“ </w:t>
      </w:r>
      <w:r>
        <w:rPr>
          <w:rFonts w:ascii="Times New Roman" w:hAnsi="Times New Roman"/>
          <w:szCs w:val="24"/>
        </w:rPr>
        <w:t>одржана</w:t>
      </w:r>
      <w:r w:rsidR="008E2F8D" w:rsidRPr="00295637">
        <w:rPr>
          <w:rFonts w:ascii="Times New Roman" w:hAnsi="Times New Roman"/>
          <w:szCs w:val="24"/>
        </w:rPr>
        <w:t xml:space="preserve"> </w:t>
      </w:r>
      <w:r>
        <w:rPr>
          <w:rFonts w:ascii="Times New Roman" w:hAnsi="Times New Roman"/>
          <w:szCs w:val="24"/>
        </w:rPr>
        <w:t>је</w:t>
      </w:r>
      <w:r w:rsidR="008E2F8D" w:rsidRPr="00295637">
        <w:rPr>
          <w:rFonts w:ascii="Times New Roman" w:hAnsi="Times New Roman"/>
          <w:szCs w:val="24"/>
        </w:rPr>
        <w:t xml:space="preserve"> </w:t>
      </w:r>
      <w:r w:rsidR="006E324C">
        <w:rPr>
          <w:rFonts w:ascii="Times New Roman" w:hAnsi="Times New Roman"/>
          <w:szCs w:val="24"/>
          <w:lang w:val="sr-Cyrl-BA"/>
        </w:rPr>
        <w:t>с</w:t>
      </w:r>
      <w:r w:rsidR="008E2F8D" w:rsidRPr="00295637">
        <w:rPr>
          <w:rFonts w:ascii="Times New Roman" w:hAnsi="Times New Roman"/>
          <w:szCs w:val="24"/>
        </w:rPr>
        <w:t xml:space="preserve"> </w:t>
      </w:r>
      <w:r>
        <w:rPr>
          <w:rFonts w:ascii="Times New Roman" w:hAnsi="Times New Roman"/>
          <w:szCs w:val="24"/>
        </w:rPr>
        <w:t>циљ</w:t>
      </w:r>
      <w:r w:rsidR="006E324C">
        <w:rPr>
          <w:rFonts w:ascii="Times New Roman" w:hAnsi="Times New Roman"/>
          <w:szCs w:val="24"/>
          <w:lang w:val="sr-Cyrl-BA"/>
        </w:rPr>
        <w:t>ем</w:t>
      </w:r>
      <w:r w:rsidR="008E2F8D" w:rsidRPr="00295637">
        <w:rPr>
          <w:rFonts w:ascii="Times New Roman" w:hAnsi="Times New Roman"/>
          <w:szCs w:val="24"/>
        </w:rPr>
        <w:t xml:space="preserve"> </w:t>
      </w:r>
      <w:r>
        <w:rPr>
          <w:rFonts w:ascii="Times New Roman" w:hAnsi="Times New Roman"/>
          <w:szCs w:val="24"/>
        </w:rPr>
        <w:t>подизања</w:t>
      </w:r>
      <w:r w:rsidR="008E2F8D" w:rsidRPr="00295637">
        <w:rPr>
          <w:rFonts w:ascii="Times New Roman" w:hAnsi="Times New Roman"/>
          <w:szCs w:val="24"/>
        </w:rPr>
        <w:t xml:space="preserve"> </w:t>
      </w:r>
      <w:r>
        <w:rPr>
          <w:rFonts w:ascii="Times New Roman" w:hAnsi="Times New Roman"/>
          <w:szCs w:val="24"/>
        </w:rPr>
        <w:t>свијести</w:t>
      </w:r>
      <w:r w:rsidR="008D46B4" w:rsidRPr="00295637">
        <w:rPr>
          <w:rFonts w:ascii="Times New Roman" w:hAnsi="Times New Roman"/>
          <w:szCs w:val="24"/>
        </w:rPr>
        <w:t xml:space="preserve"> </w:t>
      </w:r>
      <w:r>
        <w:rPr>
          <w:rFonts w:ascii="Times New Roman" w:hAnsi="Times New Roman"/>
          <w:szCs w:val="24"/>
        </w:rPr>
        <w:t>о</w:t>
      </w:r>
      <w:r w:rsidR="008D46B4" w:rsidRPr="00295637">
        <w:rPr>
          <w:rFonts w:ascii="Times New Roman" w:hAnsi="Times New Roman"/>
          <w:szCs w:val="24"/>
        </w:rPr>
        <w:t xml:space="preserve"> </w:t>
      </w:r>
      <w:r>
        <w:rPr>
          <w:rFonts w:ascii="Times New Roman" w:hAnsi="Times New Roman"/>
          <w:szCs w:val="24"/>
        </w:rPr>
        <w:t>механизмима</w:t>
      </w:r>
      <w:r w:rsidR="008D46B4" w:rsidRPr="00295637">
        <w:rPr>
          <w:rFonts w:ascii="Times New Roman" w:hAnsi="Times New Roman"/>
          <w:szCs w:val="24"/>
        </w:rPr>
        <w:t xml:space="preserve"> </w:t>
      </w:r>
      <w:r>
        <w:rPr>
          <w:rFonts w:ascii="Times New Roman" w:hAnsi="Times New Roman"/>
          <w:szCs w:val="24"/>
        </w:rPr>
        <w:t>заштите</w:t>
      </w:r>
      <w:r w:rsidR="008D46B4" w:rsidRPr="00295637">
        <w:rPr>
          <w:rFonts w:ascii="Times New Roman" w:hAnsi="Times New Roman"/>
          <w:szCs w:val="24"/>
        </w:rPr>
        <w:t xml:space="preserve"> </w:t>
      </w:r>
      <w:r>
        <w:rPr>
          <w:rFonts w:ascii="Times New Roman" w:hAnsi="Times New Roman"/>
          <w:szCs w:val="24"/>
        </w:rPr>
        <w:t>од</w:t>
      </w:r>
      <w:r w:rsidR="008D46B4" w:rsidRPr="00295637">
        <w:rPr>
          <w:rFonts w:ascii="Times New Roman" w:hAnsi="Times New Roman"/>
          <w:szCs w:val="24"/>
        </w:rPr>
        <w:t xml:space="preserve"> </w:t>
      </w:r>
      <w:r>
        <w:rPr>
          <w:rFonts w:ascii="Times New Roman" w:hAnsi="Times New Roman"/>
          <w:szCs w:val="24"/>
        </w:rPr>
        <w:t>насиља</w:t>
      </w:r>
      <w:r w:rsidR="008D46B4" w:rsidRPr="00295637">
        <w:rPr>
          <w:rFonts w:ascii="Times New Roman" w:hAnsi="Times New Roman"/>
          <w:szCs w:val="24"/>
        </w:rPr>
        <w:t xml:space="preserve"> </w:t>
      </w:r>
      <w:r>
        <w:rPr>
          <w:rFonts w:ascii="Times New Roman" w:hAnsi="Times New Roman"/>
          <w:szCs w:val="24"/>
        </w:rPr>
        <w:t>и</w:t>
      </w:r>
      <w:r w:rsidR="008D46B4" w:rsidRPr="00295637">
        <w:rPr>
          <w:rFonts w:ascii="Times New Roman" w:hAnsi="Times New Roman"/>
          <w:szCs w:val="24"/>
        </w:rPr>
        <w:t xml:space="preserve"> </w:t>
      </w:r>
      <w:r>
        <w:rPr>
          <w:rFonts w:ascii="Times New Roman" w:hAnsi="Times New Roman"/>
          <w:szCs w:val="24"/>
        </w:rPr>
        <w:t>препознавање</w:t>
      </w:r>
      <w:r w:rsidR="008D46B4" w:rsidRPr="00295637">
        <w:rPr>
          <w:rFonts w:ascii="Times New Roman" w:hAnsi="Times New Roman"/>
          <w:szCs w:val="24"/>
        </w:rPr>
        <w:t xml:space="preserve"> </w:t>
      </w:r>
      <w:r>
        <w:rPr>
          <w:rFonts w:ascii="Times New Roman" w:hAnsi="Times New Roman"/>
          <w:szCs w:val="24"/>
        </w:rPr>
        <w:t>првих</w:t>
      </w:r>
      <w:r w:rsidR="008D46B4" w:rsidRPr="00295637">
        <w:rPr>
          <w:rFonts w:ascii="Times New Roman" w:hAnsi="Times New Roman"/>
          <w:szCs w:val="24"/>
        </w:rPr>
        <w:t xml:space="preserve"> </w:t>
      </w:r>
      <w:r>
        <w:rPr>
          <w:rFonts w:ascii="Times New Roman" w:hAnsi="Times New Roman"/>
          <w:szCs w:val="24"/>
        </w:rPr>
        <w:t>знакова</w:t>
      </w:r>
      <w:r w:rsidR="008D46B4" w:rsidRPr="00295637">
        <w:rPr>
          <w:rFonts w:ascii="Times New Roman" w:hAnsi="Times New Roman"/>
          <w:szCs w:val="24"/>
        </w:rPr>
        <w:t xml:space="preserve"> </w:t>
      </w:r>
      <w:r>
        <w:rPr>
          <w:rFonts w:ascii="Times New Roman" w:hAnsi="Times New Roman"/>
          <w:szCs w:val="24"/>
        </w:rPr>
        <w:t>опасности</w:t>
      </w:r>
      <w:r w:rsidR="008D46B4" w:rsidRPr="00295637">
        <w:rPr>
          <w:rFonts w:ascii="Times New Roman" w:hAnsi="Times New Roman"/>
          <w:szCs w:val="24"/>
        </w:rPr>
        <w:t xml:space="preserve">. </w:t>
      </w:r>
      <w:r>
        <w:rPr>
          <w:rFonts w:ascii="Times New Roman" w:hAnsi="Times New Roman"/>
          <w:szCs w:val="24"/>
        </w:rPr>
        <w:t>На</w:t>
      </w:r>
      <w:r w:rsidR="008D46B4" w:rsidRPr="00295637">
        <w:rPr>
          <w:rFonts w:ascii="Times New Roman" w:hAnsi="Times New Roman"/>
          <w:szCs w:val="24"/>
        </w:rPr>
        <w:t xml:space="preserve"> </w:t>
      </w:r>
      <w:r>
        <w:rPr>
          <w:rFonts w:ascii="Times New Roman" w:hAnsi="Times New Roman"/>
          <w:szCs w:val="24"/>
        </w:rPr>
        <w:t>овој</w:t>
      </w:r>
      <w:r w:rsidR="008D46B4" w:rsidRPr="00295637">
        <w:rPr>
          <w:rFonts w:ascii="Times New Roman" w:hAnsi="Times New Roman"/>
          <w:szCs w:val="24"/>
        </w:rPr>
        <w:t xml:space="preserve"> </w:t>
      </w:r>
      <w:r>
        <w:rPr>
          <w:rFonts w:ascii="Times New Roman" w:hAnsi="Times New Roman"/>
          <w:szCs w:val="24"/>
        </w:rPr>
        <w:t>радионици</w:t>
      </w:r>
      <w:r w:rsidR="008D46B4" w:rsidRPr="00295637">
        <w:rPr>
          <w:rFonts w:ascii="Times New Roman" w:hAnsi="Times New Roman"/>
          <w:szCs w:val="24"/>
        </w:rPr>
        <w:t xml:space="preserve"> </w:t>
      </w:r>
      <w:r>
        <w:rPr>
          <w:rFonts w:ascii="Times New Roman" w:hAnsi="Times New Roman"/>
          <w:szCs w:val="24"/>
        </w:rPr>
        <w:t>учествовале</w:t>
      </w:r>
      <w:r w:rsidR="008D46B4" w:rsidRPr="00295637">
        <w:rPr>
          <w:rFonts w:ascii="Times New Roman" w:hAnsi="Times New Roman"/>
          <w:szCs w:val="24"/>
        </w:rPr>
        <w:t xml:space="preserve"> </w:t>
      </w:r>
      <w:r>
        <w:rPr>
          <w:rFonts w:ascii="Times New Roman" w:hAnsi="Times New Roman"/>
          <w:szCs w:val="24"/>
        </w:rPr>
        <w:t>су</w:t>
      </w:r>
      <w:r w:rsidR="008D46B4" w:rsidRPr="00295637">
        <w:rPr>
          <w:rFonts w:ascii="Times New Roman" w:hAnsi="Times New Roman"/>
          <w:szCs w:val="24"/>
        </w:rPr>
        <w:t xml:space="preserve"> </w:t>
      </w:r>
      <w:r>
        <w:rPr>
          <w:rFonts w:ascii="Times New Roman" w:hAnsi="Times New Roman"/>
          <w:szCs w:val="24"/>
        </w:rPr>
        <w:t>жене</w:t>
      </w:r>
      <w:r w:rsidR="00A710C3">
        <w:rPr>
          <w:rFonts w:ascii="Times New Roman" w:hAnsi="Times New Roman"/>
          <w:szCs w:val="24"/>
        </w:rPr>
        <w:t xml:space="preserve"> </w:t>
      </w:r>
      <w:r>
        <w:rPr>
          <w:rFonts w:ascii="Times New Roman" w:hAnsi="Times New Roman"/>
          <w:szCs w:val="24"/>
        </w:rPr>
        <w:t>из</w:t>
      </w:r>
      <w:r w:rsidR="00A710C3">
        <w:rPr>
          <w:rFonts w:ascii="Times New Roman" w:hAnsi="Times New Roman"/>
          <w:szCs w:val="24"/>
        </w:rPr>
        <w:t xml:space="preserve"> </w:t>
      </w:r>
      <w:r>
        <w:rPr>
          <w:rFonts w:ascii="Times New Roman" w:hAnsi="Times New Roman"/>
          <w:szCs w:val="24"/>
        </w:rPr>
        <w:t>азилантског</w:t>
      </w:r>
      <w:r w:rsidR="00A710C3">
        <w:rPr>
          <w:rFonts w:ascii="Times New Roman" w:hAnsi="Times New Roman"/>
          <w:szCs w:val="24"/>
        </w:rPr>
        <w:t xml:space="preserve"> </w:t>
      </w:r>
      <w:r>
        <w:rPr>
          <w:rFonts w:ascii="Times New Roman" w:hAnsi="Times New Roman"/>
          <w:szCs w:val="24"/>
        </w:rPr>
        <w:t>центра</w:t>
      </w:r>
      <w:r w:rsidR="008D46B4" w:rsidRPr="00295637">
        <w:rPr>
          <w:rFonts w:ascii="Times New Roman" w:hAnsi="Times New Roman"/>
          <w:szCs w:val="24"/>
        </w:rPr>
        <w:t xml:space="preserve">, </w:t>
      </w:r>
      <w:r>
        <w:rPr>
          <w:rFonts w:ascii="Times New Roman" w:hAnsi="Times New Roman"/>
          <w:szCs w:val="24"/>
        </w:rPr>
        <w:t>заједно</w:t>
      </w:r>
      <w:r w:rsidR="00282B67">
        <w:rPr>
          <w:rFonts w:ascii="Times New Roman" w:hAnsi="Times New Roman"/>
          <w:szCs w:val="24"/>
        </w:rPr>
        <w:t xml:space="preserve"> </w:t>
      </w:r>
      <w:r>
        <w:rPr>
          <w:rFonts w:ascii="Times New Roman" w:hAnsi="Times New Roman"/>
          <w:szCs w:val="24"/>
        </w:rPr>
        <w:t>са</w:t>
      </w:r>
      <w:r w:rsidR="008D46B4" w:rsidRPr="00295637">
        <w:rPr>
          <w:rFonts w:ascii="Times New Roman" w:hAnsi="Times New Roman"/>
          <w:szCs w:val="24"/>
        </w:rPr>
        <w:t xml:space="preserve"> </w:t>
      </w:r>
      <w:r>
        <w:rPr>
          <w:rFonts w:ascii="Times New Roman" w:hAnsi="Times New Roman"/>
          <w:szCs w:val="24"/>
        </w:rPr>
        <w:t>другим</w:t>
      </w:r>
      <w:r w:rsidR="008D46B4" w:rsidRPr="00295637">
        <w:rPr>
          <w:rFonts w:ascii="Times New Roman" w:hAnsi="Times New Roman"/>
          <w:szCs w:val="24"/>
        </w:rPr>
        <w:t xml:space="preserve"> </w:t>
      </w:r>
      <w:r>
        <w:rPr>
          <w:rFonts w:ascii="Times New Roman" w:hAnsi="Times New Roman"/>
          <w:szCs w:val="24"/>
        </w:rPr>
        <w:t>женама</w:t>
      </w:r>
      <w:r w:rsidR="008D46B4" w:rsidRPr="00295637">
        <w:rPr>
          <w:rFonts w:ascii="Times New Roman" w:hAnsi="Times New Roman"/>
          <w:szCs w:val="24"/>
        </w:rPr>
        <w:t xml:space="preserve"> </w:t>
      </w:r>
      <w:r>
        <w:rPr>
          <w:rFonts w:ascii="Times New Roman" w:hAnsi="Times New Roman"/>
          <w:szCs w:val="24"/>
        </w:rPr>
        <w:t>из</w:t>
      </w:r>
      <w:r w:rsidR="008D46B4" w:rsidRPr="00295637">
        <w:rPr>
          <w:rFonts w:ascii="Times New Roman" w:hAnsi="Times New Roman"/>
          <w:szCs w:val="24"/>
        </w:rPr>
        <w:t xml:space="preserve"> </w:t>
      </w:r>
      <w:r>
        <w:rPr>
          <w:rFonts w:ascii="Times New Roman" w:hAnsi="Times New Roman"/>
          <w:szCs w:val="24"/>
        </w:rPr>
        <w:t>приватног</w:t>
      </w:r>
      <w:r w:rsidR="008D46B4" w:rsidRPr="00295637">
        <w:rPr>
          <w:rFonts w:ascii="Times New Roman" w:hAnsi="Times New Roman"/>
          <w:szCs w:val="24"/>
        </w:rPr>
        <w:t xml:space="preserve"> </w:t>
      </w:r>
      <w:r>
        <w:rPr>
          <w:rFonts w:ascii="Times New Roman" w:hAnsi="Times New Roman"/>
          <w:szCs w:val="24"/>
        </w:rPr>
        <w:t>смјештаја</w:t>
      </w:r>
      <w:r w:rsidR="008D46B4" w:rsidRPr="00295637">
        <w:rPr>
          <w:rFonts w:ascii="Times New Roman" w:hAnsi="Times New Roman"/>
          <w:szCs w:val="24"/>
        </w:rPr>
        <w:t>.</w:t>
      </w:r>
      <w:r w:rsidR="00B70BC7" w:rsidRPr="00295637">
        <w:rPr>
          <w:rFonts w:ascii="Times New Roman" w:hAnsi="Times New Roman"/>
          <w:szCs w:val="24"/>
        </w:rPr>
        <w:t xml:space="preserve"> </w:t>
      </w:r>
      <w:r>
        <w:rPr>
          <w:rFonts w:ascii="Times New Roman" w:hAnsi="Times New Roman"/>
          <w:lang w:val="bs-Latn-BA"/>
        </w:rPr>
        <w:t>Поред</w:t>
      </w:r>
      <w:r w:rsidR="00B70BC7" w:rsidRPr="00295637">
        <w:rPr>
          <w:rFonts w:ascii="Times New Roman" w:hAnsi="Times New Roman"/>
          <w:lang w:val="bs-Latn-BA"/>
        </w:rPr>
        <w:t xml:space="preserve"> </w:t>
      </w:r>
      <w:r>
        <w:rPr>
          <w:rFonts w:ascii="Times New Roman" w:hAnsi="Times New Roman"/>
          <w:lang w:val="bs-Latn-BA"/>
        </w:rPr>
        <w:t>тога</w:t>
      </w:r>
      <w:r w:rsidR="00B70BC7" w:rsidRPr="00295637">
        <w:rPr>
          <w:rFonts w:ascii="Times New Roman" w:hAnsi="Times New Roman"/>
          <w:lang w:val="bs-Latn-BA"/>
        </w:rPr>
        <w:t xml:space="preserve">, </w:t>
      </w:r>
      <w:r w:rsidR="008C3BF2" w:rsidRPr="00295637">
        <w:rPr>
          <w:rFonts w:ascii="Times New Roman" w:hAnsi="Times New Roman"/>
          <w:lang w:val="bs-Latn-BA"/>
        </w:rPr>
        <w:t>1</w:t>
      </w:r>
      <w:r w:rsidR="003C661C" w:rsidRPr="00295637">
        <w:rPr>
          <w:rFonts w:ascii="Times New Roman" w:hAnsi="Times New Roman"/>
          <w:lang w:val="bs-Latn-BA"/>
        </w:rPr>
        <w:t xml:space="preserve">3 </w:t>
      </w:r>
      <w:r>
        <w:rPr>
          <w:rFonts w:ascii="Times New Roman" w:hAnsi="Times New Roman"/>
          <w:lang w:val="bs-Latn-BA"/>
        </w:rPr>
        <w:t>корисника</w:t>
      </w:r>
      <w:r w:rsidR="00B70BC7" w:rsidRPr="00295637">
        <w:rPr>
          <w:rFonts w:ascii="Times New Roman" w:hAnsi="Times New Roman"/>
          <w:lang w:val="bs-Latn-BA"/>
        </w:rPr>
        <w:t>/</w:t>
      </w:r>
      <w:r>
        <w:rPr>
          <w:rFonts w:ascii="Times New Roman" w:hAnsi="Times New Roman"/>
          <w:lang w:val="bs-Latn-BA"/>
        </w:rPr>
        <w:t>ца</w:t>
      </w:r>
      <w:r w:rsidR="003C661C" w:rsidRPr="00295637">
        <w:rPr>
          <w:rFonts w:ascii="Times New Roman" w:hAnsi="Times New Roman"/>
          <w:lang w:val="bs-Latn-BA"/>
        </w:rPr>
        <w:t xml:space="preserve"> </w:t>
      </w:r>
      <w:r>
        <w:rPr>
          <w:rFonts w:ascii="Times New Roman" w:hAnsi="Times New Roman"/>
          <w:lang w:val="bs-Latn-BA"/>
        </w:rPr>
        <w:t>је</w:t>
      </w:r>
      <w:r w:rsidR="008C3BF2" w:rsidRPr="00295637">
        <w:rPr>
          <w:rFonts w:ascii="Times New Roman" w:hAnsi="Times New Roman"/>
          <w:lang w:val="bs-Latn-BA"/>
        </w:rPr>
        <w:t xml:space="preserve">, </w:t>
      </w:r>
      <w:r>
        <w:rPr>
          <w:rFonts w:ascii="Times New Roman" w:hAnsi="Times New Roman"/>
          <w:lang w:val="bs-Latn-BA"/>
        </w:rPr>
        <w:t>по</w:t>
      </w:r>
      <w:r w:rsidR="008C3BF2" w:rsidRPr="00295637">
        <w:rPr>
          <w:rFonts w:ascii="Times New Roman" w:hAnsi="Times New Roman"/>
          <w:lang w:val="bs-Latn-BA"/>
        </w:rPr>
        <w:t xml:space="preserve"> </w:t>
      </w:r>
      <w:r>
        <w:rPr>
          <w:rFonts w:ascii="Times New Roman" w:hAnsi="Times New Roman"/>
          <w:lang w:val="bs-Latn-BA"/>
        </w:rPr>
        <w:t>прилагођеној</w:t>
      </w:r>
      <w:r w:rsidR="008C3BF2" w:rsidRPr="00295637">
        <w:rPr>
          <w:rFonts w:ascii="Times New Roman" w:hAnsi="Times New Roman"/>
          <w:lang w:val="bs-Latn-BA"/>
        </w:rPr>
        <w:t xml:space="preserve"> </w:t>
      </w:r>
      <w:r>
        <w:rPr>
          <w:rFonts w:ascii="Times New Roman" w:hAnsi="Times New Roman"/>
          <w:lang w:val="bs-Latn-BA"/>
        </w:rPr>
        <w:t>методологији</w:t>
      </w:r>
      <w:r w:rsidR="008C3BF2" w:rsidRPr="00295637">
        <w:rPr>
          <w:rFonts w:ascii="Times New Roman" w:hAnsi="Times New Roman"/>
          <w:lang w:val="bs-Latn-BA"/>
        </w:rPr>
        <w:t xml:space="preserve">, </w:t>
      </w:r>
      <w:r>
        <w:rPr>
          <w:rFonts w:ascii="Times New Roman" w:hAnsi="Times New Roman"/>
          <w:lang w:val="bs-Latn-BA"/>
        </w:rPr>
        <w:t>похађало</w:t>
      </w:r>
      <w:r w:rsidR="00282B67">
        <w:rPr>
          <w:rFonts w:ascii="Times New Roman" w:hAnsi="Times New Roman"/>
          <w:lang w:val="bs-Latn-BA"/>
        </w:rPr>
        <w:t xml:space="preserve"> </w:t>
      </w:r>
      <w:r>
        <w:rPr>
          <w:rFonts w:ascii="Times New Roman" w:hAnsi="Times New Roman"/>
          <w:lang w:val="bs-Latn-BA"/>
        </w:rPr>
        <w:t>курс</w:t>
      </w:r>
      <w:r w:rsidR="00282B67">
        <w:rPr>
          <w:rFonts w:ascii="Times New Roman" w:hAnsi="Times New Roman"/>
          <w:lang w:val="bs-Latn-BA"/>
        </w:rPr>
        <w:t xml:space="preserve"> </w:t>
      </w:r>
      <w:r>
        <w:rPr>
          <w:rFonts w:ascii="Times New Roman" w:hAnsi="Times New Roman"/>
          <w:lang w:val="bs-Latn-BA"/>
        </w:rPr>
        <w:t>за</w:t>
      </w:r>
      <w:r w:rsidR="00282B67">
        <w:rPr>
          <w:rFonts w:ascii="Times New Roman" w:hAnsi="Times New Roman"/>
          <w:lang w:val="bs-Latn-BA"/>
        </w:rPr>
        <w:t xml:space="preserve"> </w:t>
      </w:r>
      <w:r>
        <w:rPr>
          <w:rFonts w:ascii="Times New Roman" w:hAnsi="Times New Roman"/>
          <w:lang w:val="bs-Latn-BA"/>
        </w:rPr>
        <w:t>БХС</w:t>
      </w:r>
      <w:r w:rsidR="00282B67">
        <w:rPr>
          <w:rFonts w:ascii="Times New Roman" w:hAnsi="Times New Roman"/>
          <w:lang w:val="bs-Latn-BA"/>
        </w:rPr>
        <w:t xml:space="preserve"> </w:t>
      </w:r>
      <w:r>
        <w:rPr>
          <w:rFonts w:ascii="Times New Roman" w:hAnsi="Times New Roman"/>
          <w:lang w:val="bs-Latn-BA"/>
        </w:rPr>
        <w:t>језик</w:t>
      </w:r>
      <w:r w:rsidR="00282B67">
        <w:rPr>
          <w:rFonts w:ascii="Times New Roman" w:hAnsi="Times New Roman"/>
          <w:lang w:val="bs-Latn-BA"/>
        </w:rPr>
        <w:t xml:space="preserve"> </w:t>
      </w:r>
      <w:r>
        <w:rPr>
          <w:rFonts w:ascii="Times New Roman" w:hAnsi="Times New Roman"/>
          <w:lang w:val="bs-Latn-BA"/>
        </w:rPr>
        <w:t>са</w:t>
      </w:r>
      <w:r w:rsidR="003C661C" w:rsidRPr="00295637">
        <w:rPr>
          <w:rFonts w:ascii="Times New Roman" w:hAnsi="Times New Roman"/>
          <w:lang w:val="bs-Latn-BA"/>
        </w:rPr>
        <w:t xml:space="preserve"> </w:t>
      </w:r>
      <w:r>
        <w:rPr>
          <w:rFonts w:ascii="Times New Roman" w:hAnsi="Times New Roman"/>
          <w:lang w:val="bs-Latn-BA"/>
        </w:rPr>
        <w:t>професором</w:t>
      </w:r>
      <w:r w:rsidR="003C661C" w:rsidRPr="00295637">
        <w:rPr>
          <w:rFonts w:ascii="Times New Roman" w:hAnsi="Times New Roman"/>
          <w:lang w:val="bs-Latn-BA"/>
        </w:rPr>
        <w:t xml:space="preserve"> </w:t>
      </w:r>
      <w:r>
        <w:rPr>
          <w:rFonts w:ascii="Times New Roman" w:hAnsi="Times New Roman"/>
          <w:lang w:val="bs-Latn-BA"/>
        </w:rPr>
        <w:t>који</w:t>
      </w:r>
      <w:r w:rsidR="003C661C" w:rsidRPr="00295637">
        <w:rPr>
          <w:rFonts w:ascii="Times New Roman" w:hAnsi="Times New Roman"/>
          <w:lang w:val="bs-Latn-BA"/>
        </w:rPr>
        <w:t xml:space="preserve"> </w:t>
      </w:r>
      <w:r>
        <w:rPr>
          <w:rFonts w:ascii="Times New Roman" w:hAnsi="Times New Roman"/>
          <w:lang w:val="bs-Latn-BA"/>
        </w:rPr>
        <w:t>је</w:t>
      </w:r>
      <w:r w:rsidR="003C661C" w:rsidRPr="00295637">
        <w:rPr>
          <w:rFonts w:ascii="Times New Roman" w:hAnsi="Times New Roman"/>
          <w:lang w:val="bs-Latn-BA"/>
        </w:rPr>
        <w:t xml:space="preserve"> </w:t>
      </w:r>
      <w:r>
        <w:rPr>
          <w:rFonts w:ascii="Times New Roman" w:hAnsi="Times New Roman"/>
          <w:lang w:val="bs-Latn-BA"/>
        </w:rPr>
        <w:t>у</w:t>
      </w:r>
      <w:r w:rsidR="008C3BF2" w:rsidRPr="00295637">
        <w:rPr>
          <w:rFonts w:ascii="Times New Roman" w:hAnsi="Times New Roman"/>
          <w:lang w:val="bs-Latn-BA"/>
        </w:rPr>
        <w:t xml:space="preserve"> </w:t>
      </w:r>
      <w:r>
        <w:rPr>
          <w:rFonts w:ascii="Times New Roman" w:hAnsi="Times New Roman"/>
          <w:lang w:val="bs-Latn-BA"/>
        </w:rPr>
        <w:t>центар</w:t>
      </w:r>
      <w:r w:rsidR="008C3BF2" w:rsidRPr="00295637">
        <w:rPr>
          <w:rFonts w:ascii="Times New Roman" w:hAnsi="Times New Roman"/>
          <w:lang w:val="bs-Latn-BA"/>
        </w:rPr>
        <w:t xml:space="preserve"> </w:t>
      </w:r>
      <w:r>
        <w:rPr>
          <w:rFonts w:ascii="Times New Roman" w:hAnsi="Times New Roman"/>
          <w:lang w:val="bs-Latn-BA"/>
        </w:rPr>
        <w:t>долазио</w:t>
      </w:r>
      <w:r w:rsidR="003C661C" w:rsidRPr="00295637">
        <w:rPr>
          <w:rFonts w:ascii="Times New Roman" w:hAnsi="Times New Roman"/>
          <w:lang w:val="bs-Latn-BA"/>
        </w:rPr>
        <w:t xml:space="preserve"> </w:t>
      </w:r>
      <w:r>
        <w:rPr>
          <w:rFonts w:ascii="Times New Roman" w:hAnsi="Times New Roman"/>
          <w:lang w:val="bs-Latn-BA"/>
        </w:rPr>
        <w:t>једном</w:t>
      </w:r>
      <w:r w:rsidR="003C661C" w:rsidRPr="00295637">
        <w:rPr>
          <w:rFonts w:ascii="Times New Roman" w:hAnsi="Times New Roman"/>
          <w:lang w:val="bs-Latn-BA"/>
        </w:rPr>
        <w:t xml:space="preserve"> </w:t>
      </w:r>
      <w:r w:rsidR="006E324C">
        <w:rPr>
          <w:rFonts w:ascii="Times New Roman" w:hAnsi="Times New Roman"/>
          <w:lang w:val="sr-Cyrl-BA"/>
        </w:rPr>
        <w:t>недјељно</w:t>
      </w:r>
      <w:r w:rsidR="008C3BF2" w:rsidRPr="00295637">
        <w:rPr>
          <w:rFonts w:ascii="Times New Roman" w:hAnsi="Times New Roman"/>
          <w:lang w:val="bs-Latn-BA"/>
        </w:rPr>
        <w:t xml:space="preserve">. </w:t>
      </w:r>
      <w:r>
        <w:rPr>
          <w:rFonts w:ascii="Times New Roman" w:hAnsi="Times New Roman"/>
          <w:lang w:val="bs-Latn-BA"/>
        </w:rPr>
        <w:t>Методологија</w:t>
      </w:r>
      <w:r w:rsidR="003C661C" w:rsidRPr="00295637">
        <w:rPr>
          <w:rFonts w:ascii="Times New Roman" w:hAnsi="Times New Roman"/>
          <w:lang w:val="bs-Latn-BA"/>
        </w:rPr>
        <w:t xml:space="preserve"> </w:t>
      </w:r>
      <w:r>
        <w:rPr>
          <w:rFonts w:ascii="Times New Roman" w:hAnsi="Times New Roman"/>
          <w:lang w:val="bs-Latn-BA"/>
        </w:rPr>
        <w:t>обуке</w:t>
      </w:r>
      <w:r w:rsidR="008C3BF2" w:rsidRPr="00295637">
        <w:rPr>
          <w:rFonts w:ascii="Times New Roman" w:hAnsi="Times New Roman"/>
          <w:lang w:val="bs-Latn-BA"/>
        </w:rPr>
        <w:t xml:space="preserve"> </w:t>
      </w:r>
      <w:r>
        <w:rPr>
          <w:rFonts w:ascii="Times New Roman" w:hAnsi="Times New Roman"/>
          <w:lang w:val="bs-Latn-BA"/>
        </w:rPr>
        <w:t>је</w:t>
      </w:r>
      <w:r w:rsidR="003C661C" w:rsidRPr="00295637">
        <w:rPr>
          <w:rFonts w:ascii="Times New Roman" w:hAnsi="Times New Roman"/>
          <w:lang w:val="bs-Latn-BA"/>
        </w:rPr>
        <w:t xml:space="preserve"> </w:t>
      </w:r>
      <w:r>
        <w:rPr>
          <w:rFonts w:ascii="Times New Roman" w:hAnsi="Times New Roman"/>
          <w:lang w:val="bs-Latn-BA"/>
        </w:rPr>
        <w:t>индивидуално</w:t>
      </w:r>
      <w:r w:rsidR="004B6B84">
        <w:rPr>
          <w:rFonts w:ascii="Times New Roman" w:hAnsi="Times New Roman"/>
          <w:lang w:val="bs-Latn-BA"/>
        </w:rPr>
        <w:t xml:space="preserve"> </w:t>
      </w:r>
      <w:r>
        <w:rPr>
          <w:rFonts w:ascii="Times New Roman" w:hAnsi="Times New Roman"/>
          <w:lang w:val="bs-Latn-BA"/>
        </w:rPr>
        <w:t>прилагођена</w:t>
      </w:r>
      <w:r w:rsidR="003C661C" w:rsidRPr="00295637">
        <w:rPr>
          <w:rFonts w:ascii="Times New Roman" w:hAnsi="Times New Roman"/>
          <w:lang w:val="bs-Latn-BA"/>
        </w:rPr>
        <w:t xml:space="preserve"> </w:t>
      </w:r>
      <w:r>
        <w:rPr>
          <w:rFonts w:ascii="Times New Roman" w:hAnsi="Times New Roman"/>
          <w:lang w:val="bs-Latn-BA"/>
        </w:rPr>
        <w:t>због</w:t>
      </w:r>
      <w:r w:rsidR="003C661C" w:rsidRPr="00295637">
        <w:rPr>
          <w:rFonts w:ascii="Times New Roman" w:hAnsi="Times New Roman"/>
          <w:lang w:val="bs-Latn-BA"/>
        </w:rPr>
        <w:t xml:space="preserve"> </w:t>
      </w:r>
      <w:r>
        <w:rPr>
          <w:rFonts w:ascii="Times New Roman" w:hAnsi="Times New Roman"/>
          <w:lang w:val="bs-Latn-BA"/>
        </w:rPr>
        <w:t>индивидуалних</w:t>
      </w:r>
      <w:r w:rsidR="003C661C" w:rsidRPr="00295637">
        <w:rPr>
          <w:rFonts w:ascii="Times New Roman" w:hAnsi="Times New Roman"/>
          <w:lang w:val="bs-Latn-BA"/>
        </w:rPr>
        <w:t xml:space="preserve"> </w:t>
      </w:r>
      <w:r>
        <w:rPr>
          <w:rFonts w:ascii="Times New Roman" w:hAnsi="Times New Roman"/>
          <w:lang w:val="bs-Latn-BA"/>
        </w:rPr>
        <w:t>специфичности</w:t>
      </w:r>
      <w:r w:rsidR="003C661C" w:rsidRPr="00295637">
        <w:rPr>
          <w:rFonts w:ascii="Times New Roman" w:hAnsi="Times New Roman"/>
          <w:lang w:val="bs-Latn-BA"/>
        </w:rPr>
        <w:t xml:space="preserve"> </w:t>
      </w:r>
      <w:r>
        <w:rPr>
          <w:rFonts w:ascii="Times New Roman" w:hAnsi="Times New Roman"/>
          <w:lang w:val="bs-Latn-BA"/>
        </w:rPr>
        <w:t>корисника</w:t>
      </w:r>
      <w:r w:rsidR="008C3BF2" w:rsidRPr="00295637">
        <w:rPr>
          <w:rFonts w:ascii="Times New Roman" w:hAnsi="Times New Roman"/>
          <w:lang w:val="bs-Latn-BA"/>
        </w:rPr>
        <w:t xml:space="preserve"> </w:t>
      </w:r>
      <w:r>
        <w:rPr>
          <w:rFonts w:ascii="Times New Roman" w:hAnsi="Times New Roman"/>
          <w:lang w:val="bs-Latn-BA"/>
        </w:rPr>
        <w:t>те</w:t>
      </w:r>
      <w:r w:rsidR="008C3BF2" w:rsidRPr="00295637">
        <w:rPr>
          <w:rFonts w:ascii="Times New Roman" w:hAnsi="Times New Roman"/>
          <w:lang w:val="bs-Latn-BA"/>
        </w:rPr>
        <w:t xml:space="preserve"> </w:t>
      </w:r>
      <w:r>
        <w:rPr>
          <w:rFonts w:ascii="Times New Roman" w:hAnsi="Times New Roman"/>
          <w:lang w:val="bs-Latn-BA"/>
        </w:rPr>
        <w:t>су</w:t>
      </w:r>
      <w:r w:rsidR="008C3BF2" w:rsidRPr="00295637">
        <w:rPr>
          <w:rFonts w:ascii="Times New Roman" w:hAnsi="Times New Roman"/>
          <w:lang w:val="bs-Latn-BA"/>
        </w:rPr>
        <w:t xml:space="preserve"> </w:t>
      </w:r>
      <w:r>
        <w:rPr>
          <w:rFonts w:ascii="Times New Roman" w:hAnsi="Times New Roman"/>
          <w:lang w:val="bs-Latn-BA"/>
        </w:rPr>
        <w:t>у</w:t>
      </w:r>
      <w:r w:rsidR="003E3716">
        <w:rPr>
          <w:rFonts w:ascii="Times New Roman" w:hAnsi="Times New Roman"/>
          <w:lang w:val="bs-Latn-BA"/>
        </w:rPr>
        <w:t xml:space="preserve"> </w:t>
      </w:r>
      <w:r>
        <w:rPr>
          <w:rFonts w:ascii="Times New Roman" w:hAnsi="Times New Roman"/>
          <w:lang w:val="bs-Latn-BA"/>
        </w:rPr>
        <w:t>складу</w:t>
      </w:r>
      <w:r w:rsidR="003E3716">
        <w:rPr>
          <w:rFonts w:ascii="Times New Roman" w:hAnsi="Times New Roman"/>
          <w:lang w:val="bs-Latn-BA"/>
        </w:rPr>
        <w:t xml:space="preserve"> </w:t>
      </w:r>
      <w:r>
        <w:rPr>
          <w:rFonts w:ascii="Times New Roman" w:hAnsi="Times New Roman"/>
          <w:lang w:val="bs-Latn-BA"/>
        </w:rPr>
        <w:t>са</w:t>
      </w:r>
      <w:r w:rsidR="00282B67">
        <w:rPr>
          <w:rFonts w:ascii="Times New Roman" w:hAnsi="Times New Roman"/>
          <w:lang w:val="bs-Latn-BA"/>
        </w:rPr>
        <w:t xml:space="preserve"> </w:t>
      </w:r>
      <w:r>
        <w:rPr>
          <w:rFonts w:ascii="Times New Roman" w:hAnsi="Times New Roman"/>
          <w:lang w:val="bs-Latn-BA"/>
        </w:rPr>
        <w:t>тим</w:t>
      </w:r>
      <w:r w:rsidR="008C3BF2" w:rsidRPr="00295637">
        <w:rPr>
          <w:rFonts w:ascii="Times New Roman" w:hAnsi="Times New Roman"/>
          <w:lang w:val="bs-Latn-BA"/>
        </w:rPr>
        <w:t xml:space="preserve"> </w:t>
      </w:r>
      <w:r>
        <w:rPr>
          <w:rFonts w:ascii="Times New Roman" w:hAnsi="Times New Roman"/>
          <w:lang w:val="bs-Latn-BA"/>
        </w:rPr>
        <w:t>групе</w:t>
      </w:r>
      <w:r w:rsidR="008C3BF2" w:rsidRPr="00295637">
        <w:rPr>
          <w:rFonts w:ascii="Times New Roman" w:hAnsi="Times New Roman"/>
          <w:lang w:val="bs-Latn-BA"/>
        </w:rPr>
        <w:t xml:space="preserve"> </w:t>
      </w:r>
      <w:r>
        <w:rPr>
          <w:rFonts w:ascii="Times New Roman" w:hAnsi="Times New Roman"/>
          <w:lang w:val="bs-Latn-BA"/>
        </w:rPr>
        <w:t>организ</w:t>
      </w:r>
      <w:r w:rsidR="006E324C">
        <w:rPr>
          <w:rFonts w:ascii="Times New Roman" w:hAnsi="Times New Roman"/>
          <w:lang w:val="sr-Cyrl-BA"/>
        </w:rPr>
        <w:t>оване</w:t>
      </w:r>
      <w:r w:rsidR="003C661C" w:rsidRPr="00295637">
        <w:rPr>
          <w:rFonts w:ascii="Times New Roman" w:hAnsi="Times New Roman"/>
          <w:lang w:val="bs-Latn-BA"/>
        </w:rPr>
        <w:t xml:space="preserve">. </w:t>
      </w:r>
      <w:r>
        <w:rPr>
          <w:rFonts w:ascii="Times New Roman" w:hAnsi="Times New Roman"/>
          <w:lang w:val="bs-Latn-BA"/>
        </w:rPr>
        <w:t>За</w:t>
      </w:r>
      <w:r w:rsidR="003C661C" w:rsidRPr="00295637">
        <w:rPr>
          <w:rFonts w:ascii="Times New Roman" w:hAnsi="Times New Roman"/>
          <w:lang w:val="bs-Latn-BA"/>
        </w:rPr>
        <w:t xml:space="preserve"> </w:t>
      </w:r>
      <w:r>
        <w:rPr>
          <w:rFonts w:ascii="Times New Roman" w:hAnsi="Times New Roman"/>
          <w:lang w:val="bs-Latn-BA"/>
        </w:rPr>
        <w:t>пет</w:t>
      </w:r>
      <w:r w:rsidR="003C661C" w:rsidRPr="00295637">
        <w:rPr>
          <w:rFonts w:ascii="Times New Roman" w:hAnsi="Times New Roman"/>
          <w:lang w:val="bs-Latn-BA"/>
        </w:rPr>
        <w:t xml:space="preserve"> </w:t>
      </w:r>
      <w:r>
        <w:rPr>
          <w:rFonts w:ascii="Times New Roman" w:hAnsi="Times New Roman"/>
          <w:lang w:val="bs-Latn-BA"/>
        </w:rPr>
        <w:t>корисника</w:t>
      </w:r>
      <w:r w:rsidR="003C661C" w:rsidRPr="00295637">
        <w:rPr>
          <w:rFonts w:ascii="Times New Roman" w:hAnsi="Times New Roman"/>
          <w:lang w:val="bs-Latn-BA"/>
        </w:rPr>
        <w:t xml:space="preserve"> </w:t>
      </w:r>
      <w:r>
        <w:rPr>
          <w:rFonts w:ascii="Times New Roman" w:hAnsi="Times New Roman"/>
          <w:lang w:val="bs-Latn-BA"/>
        </w:rPr>
        <w:t>је</w:t>
      </w:r>
      <w:r w:rsidR="0006482E" w:rsidRPr="00295637">
        <w:rPr>
          <w:rFonts w:ascii="Times New Roman" w:hAnsi="Times New Roman"/>
          <w:lang w:val="bs-Latn-BA"/>
        </w:rPr>
        <w:t xml:space="preserve"> </w:t>
      </w:r>
      <w:r>
        <w:rPr>
          <w:rFonts w:ascii="Times New Roman" w:hAnsi="Times New Roman"/>
          <w:lang w:val="bs-Latn-BA"/>
        </w:rPr>
        <w:t>два</w:t>
      </w:r>
      <w:r w:rsidR="0006482E" w:rsidRPr="00295637">
        <w:rPr>
          <w:rFonts w:ascii="Times New Roman" w:hAnsi="Times New Roman"/>
          <w:lang w:val="bs-Latn-BA"/>
        </w:rPr>
        <w:t xml:space="preserve"> </w:t>
      </w:r>
      <w:r>
        <w:rPr>
          <w:rFonts w:ascii="Times New Roman" w:hAnsi="Times New Roman"/>
          <w:lang w:val="bs-Latn-BA"/>
        </w:rPr>
        <w:t>пута</w:t>
      </w:r>
      <w:r w:rsidR="0006482E" w:rsidRPr="00295637">
        <w:rPr>
          <w:rFonts w:ascii="Times New Roman" w:hAnsi="Times New Roman"/>
          <w:lang w:val="bs-Latn-BA"/>
        </w:rPr>
        <w:t xml:space="preserve"> </w:t>
      </w:r>
      <w:r w:rsidR="006E324C">
        <w:rPr>
          <w:rFonts w:ascii="Times New Roman" w:hAnsi="Times New Roman"/>
          <w:lang w:val="sr-Cyrl-BA"/>
        </w:rPr>
        <w:t>недјељно</w:t>
      </w:r>
      <w:r w:rsidR="0006482E" w:rsidRPr="00295637">
        <w:rPr>
          <w:rFonts w:ascii="Times New Roman" w:hAnsi="Times New Roman"/>
          <w:lang w:val="bs-Latn-BA"/>
        </w:rPr>
        <w:t xml:space="preserve"> </w:t>
      </w:r>
      <w:r>
        <w:rPr>
          <w:rFonts w:ascii="Times New Roman" w:hAnsi="Times New Roman"/>
          <w:lang w:val="bs-Latn-BA"/>
        </w:rPr>
        <w:t>организ</w:t>
      </w:r>
      <w:r w:rsidR="006E324C">
        <w:rPr>
          <w:rFonts w:ascii="Times New Roman" w:hAnsi="Times New Roman"/>
          <w:lang w:val="sr-Cyrl-BA"/>
        </w:rPr>
        <w:t>ован</w:t>
      </w:r>
      <w:r w:rsidR="0006482E" w:rsidRPr="00295637">
        <w:rPr>
          <w:rFonts w:ascii="Times New Roman" w:hAnsi="Times New Roman"/>
          <w:lang w:val="bs-Latn-BA"/>
        </w:rPr>
        <w:t xml:space="preserve"> </w:t>
      </w:r>
      <w:r>
        <w:rPr>
          <w:rFonts w:ascii="Times New Roman" w:hAnsi="Times New Roman"/>
          <w:lang w:val="bs-Latn-BA"/>
        </w:rPr>
        <w:t>и</w:t>
      </w:r>
      <w:r w:rsidR="003C661C" w:rsidRPr="00295637">
        <w:rPr>
          <w:rFonts w:ascii="Times New Roman" w:hAnsi="Times New Roman"/>
          <w:lang w:val="bs-Latn-BA"/>
        </w:rPr>
        <w:t xml:space="preserve"> </w:t>
      </w:r>
      <w:r>
        <w:rPr>
          <w:rFonts w:ascii="Times New Roman" w:hAnsi="Times New Roman"/>
          <w:lang w:val="bs-Latn-BA"/>
        </w:rPr>
        <w:t>цертифи</w:t>
      </w:r>
      <w:r w:rsidR="006E324C">
        <w:rPr>
          <w:rFonts w:ascii="Times New Roman" w:hAnsi="Times New Roman"/>
          <w:lang w:val="sr-Cyrl-BA"/>
        </w:rPr>
        <w:t>ковани</w:t>
      </w:r>
      <w:r w:rsidR="003C661C" w:rsidRPr="00295637">
        <w:rPr>
          <w:rFonts w:ascii="Times New Roman" w:hAnsi="Times New Roman"/>
          <w:lang w:val="bs-Latn-BA"/>
        </w:rPr>
        <w:t xml:space="preserve"> </w:t>
      </w:r>
      <w:r>
        <w:rPr>
          <w:rFonts w:ascii="Times New Roman" w:hAnsi="Times New Roman"/>
          <w:lang w:val="bs-Latn-BA"/>
        </w:rPr>
        <w:t>курс</w:t>
      </w:r>
      <w:r w:rsidR="003C661C" w:rsidRPr="00295637">
        <w:rPr>
          <w:rFonts w:ascii="Times New Roman" w:hAnsi="Times New Roman"/>
          <w:lang w:val="bs-Latn-BA"/>
        </w:rPr>
        <w:t xml:space="preserve"> </w:t>
      </w:r>
      <w:r>
        <w:rPr>
          <w:rFonts w:ascii="Times New Roman" w:hAnsi="Times New Roman"/>
          <w:lang w:val="bs-Latn-BA"/>
        </w:rPr>
        <w:t>БХС</w:t>
      </w:r>
      <w:r w:rsidR="0006482E" w:rsidRPr="00295637">
        <w:rPr>
          <w:rFonts w:ascii="Times New Roman" w:hAnsi="Times New Roman"/>
          <w:lang w:val="bs-Latn-BA"/>
        </w:rPr>
        <w:t xml:space="preserve"> </w:t>
      </w:r>
      <w:r>
        <w:rPr>
          <w:rFonts w:ascii="Times New Roman" w:hAnsi="Times New Roman"/>
          <w:lang w:val="bs-Latn-BA"/>
        </w:rPr>
        <w:t>језика</w:t>
      </w:r>
      <w:r w:rsidR="0006482E" w:rsidRPr="00295637">
        <w:rPr>
          <w:rFonts w:ascii="Times New Roman" w:hAnsi="Times New Roman"/>
          <w:lang w:val="bs-Latn-BA"/>
        </w:rPr>
        <w:t xml:space="preserve"> </w:t>
      </w:r>
      <w:r>
        <w:rPr>
          <w:rFonts w:ascii="Times New Roman" w:hAnsi="Times New Roman"/>
          <w:lang w:val="bs-Latn-BA"/>
        </w:rPr>
        <w:t>у</w:t>
      </w:r>
      <w:r w:rsidR="0006482E" w:rsidRPr="00295637">
        <w:rPr>
          <w:rFonts w:ascii="Times New Roman" w:hAnsi="Times New Roman"/>
          <w:lang w:val="bs-Latn-BA"/>
        </w:rPr>
        <w:t xml:space="preserve"> </w:t>
      </w:r>
      <w:r>
        <w:rPr>
          <w:rFonts w:ascii="Times New Roman" w:hAnsi="Times New Roman"/>
          <w:lang w:val="bs-Latn-BA"/>
        </w:rPr>
        <w:t>школи</w:t>
      </w:r>
      <w:r w:rsidR="0006482E" w:rsidRPr="00295637">
        <w:rPr>
          <w:rFonts w:ascii="Times New Roman" w:hAnsi="Times New Roman"/>
          <w:lang w:val="bs-Latn-BA"/>
        </w:rPr>
        <w:t xml:space="preserve"> </w:t>
      </w:r>
      <w:r>
        <w:rPr>
          <w:rFonts w:ascii="Times New Roman" w:hAnsi="Times New Roman"/>
          <w:lang w:val="bs-Latn-BA"/>
        </w:rPr>
        <w:t>за</w:t>
      </w:r>
      <w:r w:rsidR="0006482E" w:rsidRPr="00295637">
        <w:rPr>
          <w:rFonts w:ascii="Times New Roman" w:hAnsi="Times New Roman"/>
          <w:lang w:val="bs-Latn-BA"/>
        </w:rPr>
        <w:t xml:space="preserve"> </w:t>
      </w:r>
      <w:r>
        <w:rPr>
          <w:rFonts w:ascii="Times New Roman" w:hAnsi="Times New Roman"/>
          <w:lang w:val="bs-Latn-BA"/>
        </w:rPr>
        <w:t>учење</w:t>
      </w:r>
      <w:r w:rsidR="0006482E" w:rsidRPr="00295637">
        <w:rPr>
          <w:rFonts w:ascii="Times New Roman" w:hAnsi="Times New Roman"/>
          <w:lang w:val="bs-Latn-BA"/>
        </w:rPr>
        <w:t xml:space="preserve"> </w:t>
      </w:r>
      <w:r>
        <w:rPr>
          <w:rFonts w:ascii="Times New Roman" w:hAnsi="Times New Roman"/>
          <w:lang w:val="bs-Latn-BA"/>
        </w:rPr>
        <w:t>страних</w:t>
      </w:r>
      <w:r w:rsidR="0006482E" w:rsidRPr="00295637">
        <w:rPr>
          <w:rFonts w:ascii="Times New Roman" w:hAnsi="Times New Roman"/>
          <w:lang w:val="bs-Latn-BA"/>
        </w:rPr>
        <w:t xml:space="preserve"> </w:t>
      </w:r>
      <w:r>
        <w:rPr>
          <w:rFonts w:ascii="Times New Roman" w:hAnsi="Times New Roman"/>
          <w:lang w:val="bs-Latn-BA"/>
        </w:rPr>
        <w:t>језика</w:t>
      </w:r>
      <w:r w:rsidR="0006482E" w:rsidRPr="00295637">
        <w:rPr>
          <w:rFonts w:ascii="Times New Roman" w:hAnsi="Times New Roman"/>
          <w:lang w:val="bs-Latn-BA"/>
        </w:rPr>
        <w:t xml:space="preserve"> „</w:t>
      </w:r>
      <w:r>
        <w:rPr>
          <w:rFonts w:ascii="Times New Roman" w:hAnsi="Times New Roman"/>
          <w:lang w:val="bs-Latn-BA"/>
        </w:rPr>
        <w:t>Полиглот</w:t>
      </w:r>
      <w:r w:rsidR="0006482E" w:rsidRPr="00295637">
        <w:rPr>
          <w:rFonts w:ascii="Times New Roman" w:hAnsi="Times New Roman"/>
          <w:lang w:val="bs-Latn-BA"/>
        </w:rPr>
        <w:t>“.</w:t>
      </w:r>
    </w:p>
    <w:p w:rsidR="00B70BC7" w:rsidRPr="00295637" w:rsidRDefault="00B70BC7" w:rsidP="0086268D">
      <w:pPr>
        <w:tabs>
          <w:tab w:val="left" w:pos="1080"/>
        </w:tabs>
        <w:jc w:val="both"/>
        <w:rPr>
          <w:rFonts w:ascii="Times New Roman" w:hAnsi="Times New Roman"/>
          <w:lang w:val="bs-Latn-BA"/>
        </w:rPr>
      </w:pPr>
    </w:p>
    <w:p w:rsidR="00B70BC7" w:rsidRPr="00295637" w:rsidRDefault="00C6214E" w:rsidP="0086268D">
      <w:pPr>
        <w:tabs>
          <w:tab w:val="left" w:pos="1080"/>
        </w:tabs>
        <w:jc w:val="both"/>
        <w:rPr>
          <w:rFonts w:ascii="Times New Roman" w:hAnsi="Times New Roman"/>
          <w:lang w:val="bs-Latn-BA"/>
        </w:rPr>
      </w:pPr>
      <w:r>
        <w:rPr>
          <w:rFonts w:ascii="Times New Roman" w:hAnsi="Times New Roman"/>
          <w:szCs w:val="24"/>
          <w:lang w:val="bs-Latn-BA"/>
        </w:rPr>
        <w:t>У</w:t>
      </w:r>
      <w:r w:rsidR="004B6B84">
        <w:rPr>
          <w:rFonts w:ascii="Times New Roman" w:hAnsi="Times New Roman"/>
          <w:szCs w:val="24"/>
          <w:lang w:val="bs-Latn-BA"/>
        </w:rPr>
        <w:t xml:space="preserve"> </w:t>
      </w:r>
      <w:r>
        <w:rPr>
          <w:rFonts w:ascii="Times New Roman" w:hAnsi="Times New Roman"/>
          <w:szCs w:val="24"/>
          <w:lang w:val="bs-Latn-BA"/>
        </w:rPr>
        <w:t>вези</w:t>
      </w:r>
      <w:r w:rsidR="00282B67">
        <w:rPr>
          <w:rFonts w:ascii="Times New Roman" w:hAnsi="Times New Roman"/>
          <w:szCs w:val="24"/>
          <w:lang w:val="bs-Latn-BA"/>
        </w:rPr>
        <w:t xml:space="preserve"> </w:t>
      </w:r>
      <w:r>
        <w:rPr>
          <w:rFonts w:ascii="Times New Roman" w:hAnsi="Times New Roman"/>
          <w:szCs w:val="24"/>
          <w:lang w:val="bs-Latn-BA"/>
        </w:rPr>
        <w:t>са</w:t>
      </w:r>
      <w:r w:rsidR="004B6B84">
        <w:rPr>
          <w:rFonts w:ascii="Times New Roman" w:hAnsi="Times New Roman"/>
          <w:szCs w:val="24"/>
          <w:lang w:val="bs-Latn-BA"/>
        </w:rPr>
        <w:t xml:space="preserve"> </w:t>
      </w:r>
      <w:r>
        <w:rPr>
          <w:rFonts w:ascii="Times New Roman" w:hAnsi="Times New Roman"/>
          <w:szCs w:val="24"/>
          <w:lang w:val="bs-Latn-BA"/>
        </w:rPr>
        <w:t>психосоцијалним</w:t>
      </w:r>
      <w:r w:rsidR="00B70BC7" w:rsidRPr="00295637">
        <w:rPr>
          <w:rFonts w:ascii="Times New Roman" w:hAnsi="Times New Roman"/>
          <w:szCs w:val="24"/>
          <w:lang w:val="bs-Latn-BA"/>
        </w:rPr>
        <w:t xml:space="preserve"> </w:t>
      </w:r>
      <w:r>
        <w:rPr>
          <w:rFonts w:ascii="Times New Roman" w:hAnsi="Times New Roman"/>
          <w:szCs w:val="24"/>
          <w:lang w:val="bs-Latn-BA"/>
        </w:rPr>
        <w:t>третманом</w:t>
      </w:r>
      <w:r w:rsidR="00B70BC7" w:rsidRPr="00295637">
        <w:rPr>
          <w:rFonts w:ascii="Times New Roman" w:hAnsi="Times New Roman"/>
          <w:szCs w:val="24"/>
          <w:lang w:val="bs-Latn-BA"/>
        </w:rPr>
        <w:t xml:space="preserve"> </w:t>
      </w:r>
      <w:r>
        <w:rPr>
          <w:rFonts w:ascii="Times New Roman" w:hAnsi="Times New Roman"/>
          <w:szCs w:val="24"/>
          <w:lang w:val="bs-Latn-BA"/>
        </w:rPr>
        <w:t>за</w:t>
      </w:r>
      <w:r w:rsidR="00B70BC7" w:rsidRPr="00295637">
        <w:rPr>
          <w:rFonts w:ascii="Times New Roman" w:hAnsi="Times New Roman"/>
          <w:szCs w:val="24"/>
          <w:lang w:val="bs-Latn-BA"/>
        </w:rPr>
        <w:t xml:space="preserve"> </w:t>
      </w:r>
      <w:r>
        <w:rPr>
          <w:rFonts w:ascii="Times New Roman" w:hAnsi="Times New Roman"/>
          <w:szCs w:val="24"/>
          <w:lang w:val="bs-Latn-BA"/>
        </w:rPr>
        <w:t>починиоце</w:t>
      </w:r>
      <w:r w:rsidR="004B6B84">
        <w:rPr>
          <w:rFonts w:ascii="Times New Roman" w:hAnsi="Times New Roman"/>
          <w:szCs w:val="24"/>
          <w:lang w:val="bs-Latn-BA"/>
        </w:rPr>
        <w:t>,</w:t>
      </w:r>
      <w:r w:rsidR="00B70BC7" w:rsidRPr="00295637">
        <w:rPr>
          <w:rFonts w:ascii="Times New Roman" w:hAnsi="Times New Roman"/>
          <w:szCs w:val="24"/>
          <w:lang w:val="bs-Latn-BA"/>
        </w:rPr>
        <w:t xml:space="preserve"> </w:t>
      </w:r>
      <w:r>
        <w:rPr>
          <w:rFonts w:ascii="Times New Roman" w:hAnsi="Times New Roman"/>
          <w:szCs w:val="24"/>
          <w:lang w:val="bs-Latn-BA"/>
        </w:rPr>
        <w:t>према</w:t>
      </w:r>
      <w:r w:rsidR="00A708B8" w:rsidRPr="00295637">
        <w:rPr>
          <w:rFonts w:ascii="Times New Roman" w:hAnsi="Times New Roman"/>
          <w:szCs w:val="24"/>
          <w:lang w:val="bs-Latn-BA"/>
        </w:rPr>
        <w:t xml:space="preserve"> </w:t>
      </w:r>
      <w:r>
        <w:rPr>
          <w:rFonts w:ascii="Times New Roman" w:hAnsi="Times New Roman"/>
          <w:szCs w:val="24"/>
          <w:lang w:val="bs-Latn-BA"/>
        </w:rPr>
        <w:t>досадашњим</w:t>
      </w:r>
      <w:r w:rsidR="00A708B8" w:rsidRPr="00295637">
        <w:rPr>
          <w:rFonts w:ascii="Times New Roman" w:hAnsi="Times New Roman"/>
          <w:szCs w:val="24"/>
          <w:lang w:val="bs-Latn-BA"/>
        </w:rPr>
        <w:t xml:space="preserve"> </w:t>
      </w:r>
      <w:r>
        <w:rPr>
          <w:rFonts w:ascii="Times New Roman" w:hAnsi="Times New Roman"/>
          <w:szCs w:val="24"/>
          <w:lang w:val="bs-Latn-BA"/>
        </w:rPr>
        <w:t>едукацијама</w:t>
      </w:r>
      <w:r w:rsidR="00A708B8" w:rsidRPr="00295637">
        <w:rPr>
          <w:rFonts w:ascii="Times New Roman" w:hAnsi="Times New Roman"/>
          <w:szCs w:val="24"/>
          <w:lang w:val="bs-Latn-BA"/>
        </w:rPr>
        <w:t xml:space="preserve"> </w:t>
      </w:r>
      <w:r>
        <w:rPr>
          <w:rFonts w:ascii="Times New Roman" w:hAnsi="Times New Roman"/>
          <w:szCs w:val="24"/>
          <w:lang w:val="bs-Latn-BA"/>
        </w:rPr>
        <w:t>ФМЗ</w:t>
      </w:r>
      <w:r w:rsidR="00B70BC7" w:rsidRPr="00295637">
        <w:rPr>
          <w:rFonts w:ascii="Times New Roman" w:hAnsi="Times New Roman"/>
          <w:szCs w:val="24"/>
          <w:lang w:val="bs-Latn-BA"/>
        </w:rPr>
        <w:t>,</w:t>
      </w:r>
      <w:r w:rsidR="00A708B8" w:rsidRPr="00295637">
        <w:rPr>
          <w:rFonts w:ascii="Times New Roman" w:hAnsi="Times New Roman"/>
          <w:szCs w:val="24"/>
          <w:lang w:val="bs-Latn-BA"/>
        </w:rPr>
        <w:t xml:space="preserve"> </w:t>
      </w:r>
      <w:r>
        <w:rPr>
          <w:rFonts w:ascii="Times New Roman" w:hAnsi="Times New Roman"/>
          <w:szCs w:val="24"/>
          <w:lang w:val="bs-Latn-BA"/>
        </w:rPr>
        <w:t>број</w:t>
      </w:r>
      <w:r w:rsidR="00A708B8" w:rsidRPr="00295637">
        <w:rPr>
          <w:rFonts w:ascii="Times New Roman" w:hAnsi="Times New Roman"/>
          <w:szCs w:val="24"/>
          <w:lang w:val="bs-Latn-BA"/>
        </w:rPr>
        <w:t xml:space="preserve"> </w:t>
      </w:r>
      <w:r w:rsidR="008A65D0">
        <w:rPr>
          <w:rFonts w:ascii="Times New Roman" w:hAnsi="Times New Roman"/>
          <w:szCs w:val="24"/>
          <w:lang w:val="bs-Cyrl-BA"/>
        </w:rPr>
        <w:t>с</w:t>
      </w:r>
      <w:r>
        <w:rPr>
          <w:rFonts w:ascii="Times New Roman" w:hAnsi="Times New Roman"/>
          <w:szCs w:val="24"/>
          <w:lang w:val="bs-Latn-BA"/>
        </w:rPr>
        <w:t>ертифици</w:t>
      </w:r>
      <w:r w:rsidR="006E324C">
        <w:rPr>
          <w:rFonts w:ascii="Times New Roman" w:hAnsi="Times New Roman"/>
          <w:szCs w:val="24"/>
          <w:lang w:val="sr-Cyrl-BA"/>
        </w:rPr>
        <w:t>кованих</w:t>
      </w:r>
      <w:r w:rsidR="00A708B8" w:rsidRPr="00295637">
        <w:rPr>
          <w:rFonts w:ascii="Times New Roman" w:hAnsi="Times New Roman"/>
          <w:szCs w:val="24"/>
          <w:lang w:val="bs-Latn-BA"/>
        </w:rPr>
        <w:t xml:space="preserve"> </w:t>
      </w:r>
      <w:r>
        <w:rPr>
          <w:rFonts w:ascii="Times New Roman" w:hAnsi="Times New Roman"/>
          <w:szCs w:val="24"/>
          <w:lang w:val="bs-Latn-BA"/>
        </w:rPr>
        <w:t>проводилаца</w:t>
      </w:r>
      <w:r w:rsidR="00A708B8" w:rsidRPr="00295637">
        <w:rPr>
          <w:rFonts w:ascii="Times New Roman" w:hAnsi="Times New Roman"/>
          <w:szCs w:val="24"/>
          <w:lang w:val="bs-Latn-BA"/>
        </w:rPr>
        <w:t xml:space="preserve"> </w:t>
      </w:r>
      <w:r>
        <w:rPr>
          <w:rFonts w:ascii="Times New Roman" w:hAnsi="Times New Roman"/>
          <w:szCs w:val="24"/>
          <w:lang w:val="bs-Latn-BA"/>
        </w:rPr>
        <w:t>психосоцијалног</w:t>
      </w:r>
      <w:r w:rsidR="00A708B8" w:rsidRPr="00295637">
        <w:rPr>
          <w:rFonts w:ascii="Times New Roman" w:hAnsi="Times New Roman"/>
          <w:szCs w:val="24"/>
          <w:lang w:val="bs-Latn-BA"/>
        </w:rPr>
        <w:t xml:space="preserve"> </w:t>
      </w:r>
      <w:r>
        <w:rPr>
          <w:rFonts w:ascii="Times New Roman" w:hAnsi="Times New Roman"/>
          <w:szCs w:val="24"/>
          <w:lang w:val="bs-Latn-BA"/>
        </w:rPr>
        <w:t>третмана</w:t>
      </w:r>
      <w:r w:rsidR="00A708B8" w:rsidRPr="00295637">
        <w:rPr>
          <w:rFonts w:ascii="Times New Roman" w:hAnsi="Times New Roman"/>
          <w:szCs w:val="24"/>
          <w:lang w:val="bs-Latn-BA"/>
        </w:rPr>
        <w:t xml:space="preserve"> </w:t>
      </w:r>
      <w:r>
        <w:rPr>
          <w:rFonts w:ascii="Times New Roman" w:hAnsi="Times New Roman"/>
          <w:szCs w:val="24"/>
          <w:lang w:val="bs-Latn-BA"/>
        </w:rPr>
        <w:t>износи</w:t>
      </w:r>
      <w:r w:rsidR="00A708B8" w:rsidRPr="00295637">
        <w:rPr>
          <w:rFonts w:ascii="Times New Roman" w:hAnsi="Times New Roman"/>
          <w:szCs w:val="24"/>
          <w:lang w:val="bs-Latn-BA"/>
        </w:rPr>
        <w:t xml:space="preserve"> 27. </w:t>
      </w:r>
      <w:r>
        <w:rPr>
          <w:rFonts w:ascii="Times New Roman" w:hAnsi="Times New Roman"/>
          <w:szCs w:val="24"/>
          <w:lang w:val="bs-Latn-BA"/>
        </w:rPr>
        <w:t>Укупно</w:t>
      </w:r>
      <w:r w:rsidR="00A708B8" w:rsidRPr="00295637">
        <w:rPr>
          <w:rFonts w:ascii="Times New Roman" w:hAnsi="Times New Roman"/>
          <w:szCs w:val="24"/>
          <w:lang w:val="bs-Latn-BA"/>
        </w:rPr>
        <w:t xml:space="preserve"> 64% </w:t>
      </w:r>
      <w:r>
        <w:rPr>
          <w:rFonts w:ascii="Times New Roman" w:hAnsi="Times New Roman"/>
          <w:szCs w:val="24"/>
          <w:lang w:val="bs-Latn-BA"/>
        </w:rPr>
        <w:t>лица</w:t>
      </w:r>
      <w:r w:rsidR="00A708B8" w:rsidRPr="00295637">
        <w:rPr>
          <w:rFonts w:ascii="Times New Roman" w:hAnsi="Times New Roman"/>
          <w:szCs w:val="24"/>
          <w:lang w:val="bs-Latn-BA"/>
        </w:rPr>
        <w:t xml:space="preserve"> </w:t>
      </w:r>
      <w:r>
        <w:rPr>
          <w:rFonts w:ascii="Times New Roman" w:hAnsi="Times New Roman"/>
          <w:szCs w:val="24"/>
          <w:lang w:val="bs-Latn-BA"/>
        </w:rPr>
        <w:t>која</w:t>
      </w:r>
      <w:r w:rsidR="00A708B8" w:rsidRPr="00295637">
        <w:rPr>
          <w:rFonts w:ascii="Times New Roman" w:hAnsi="Times New Roman"/>
          <w:szCs w:val="24"/>
          <w:lang w:val="bs-Latn-BA"/>
        </w:rPr>
        <w:t xml:space="preserve"> </w:t>
      </w:r>
      <w:r>
        <w:rPr>
          <w:rFonts w:ascii="Times New Roman" w:hAnsi="Times New Roman"/>
          <w:szCs w:val="24"/>
          <w:lang w:val="bs-Latn-BA"/>
        </w:rPr>
        <w:t>раде</w:t>
      </w:r>
      <w:r w:rsidR="00A708B8" w:rsidRPr="00295637">
        <w:rPr>
          <w:rFonts w:ascii="Times New Roman" w:hAnsi="Times New Roman"/>
          <w:szCs w:val="24"/>
          <w:lang w:val="bs-Latn-BA"/>
        </w:rPr>
        <w:t xml:space="preserve"> </w:t>
      </w:r>
      <w:r>
        <w:rPr>
          <w:rFonts w:ascii="Times New Roman" w:hAnsi="Times New Roman"/>
          <w:szCs w:val="24"/>
          <w:lang w:val="bs-Latn-BA"/>
        </w:rPr>
        <w:t>на</w:t>
      </w:r>
      <w:r w:rsidR="00A708B8" w:rsidRPr="00295637">
        <w:rPr>
          <w:rFonts w:ascii="Times New Roman" w:hAnsi="Times New Roman"/>
          <w:szCs w:val="24"/>
          <w:lang w:val="bs-Latn-BA"/>
        </w:rPr>
        <w:t xml:space="preserve"> </w:t>
      </w:r>
      <w:r>
        <w:rPr>
          <w:rFonts w:ascii="Times New Roman" w:hAnsi="Times New Roman"/>
          <w:szCs w:val="24"/>
          <w:lang w:val="bs-Latn-BA"/>
        </w:rPr>
        <w:t>пословима</w:t>
      </w:r>
      <w:r w:rsidR="00A708B8" w:rsidRPr="00295637">
        <w:rPr>
          <w:rFonts w:ascii="Times New Roman" w:hAnsi="Times New Roman"/>
          <w:szCs w:val="24"/>
          <w:lang w:val="bs-Latn-BA"/>
        </w:rPr>
        <w:t xml:space="preserve"> </w:t>
      </w:r>
      <w:r>
        <w:rPr>
          <w:rFonts w:ascii="Times New Roman" w:hAnsi="Times New Roman"/>
          <w:szCs w:val="24"/>
          <w:lang w:val="bs-Latn-BA"/>
        </w:rPr>
        <w:t>психосоцијалног</w:t>
      </w:r>
      <w:r w:rsidR="00A708B8" w:rsidRPr="00295637">
        <w:rPr>
          <w:rFonts w:ascii="Times New Roman" w:hAnsi="Times New Roman"/>
          <w:szCs w:val="24"/>
          <w:lang w:val="bs-Latn-BA"/>
        </w:rPr>
        <w:t xml:space="preserve"> </w:t>
      </w:r>
      <w:r>
        <w:rPr>
          <w:rFonts w:ascii="Times New Roman" w:hAnsi="Times New Roman"/>
          <w:szCs w:val="24"/>
          <w:lang w:val="bs-Latn-BA"/>
        </w:rPr>
        <w:t>третмана</w:t>
      </w:r>
      <w:r w:rsidR="00A708B8" w:rsidRPr="00295637">
        <w:rPr>
          <w:rFonts w:ascii="Times New Roman" w:hAnsi="Times New Roman"/>
          <w:szCs w:val="24"/>
          <w:lang w:val="bs-Latn-BA"/>
        </w:rPr>
        <w:t xml:space="preserve"> </w:t>
      </w:r>
      <w:r>
        <w:rPr>
          <w:rFonts w:ascii="Times New Roman" w:hAnsi="Times New Roman"/>
          <w:szCs w:val="24"/>
          <w:lang w:val="bs-Latn-BA"/>
        </w:rPr>
        <w:t>посједује</w:t>
      </w:r>
      <w:r w:rsidR="00E43404" w:rsidRPr="00295637">
        <w:rPr>
          <w:rFonts w:ascii="Times New Roman" w:hAnsi="Times New Roman"/>
          <w:szCs w:val="24"/>
          <w:lang w:val="bs-Latn-BA"/>
        </w:rPr>
        <w:t xml:space="preserve"> </w:t>
      </w:r>
      <w:r>
        <w:rPr>
          <w:rFonts w:ascii="Times New Roman" w:hAnsi="Times New Roman"/>
          <w:szCs w:val="24"/>
          <w:lang w:val="bs-Latn-BA"/>
        </w:rPr>
        <w:t>овај</w:t>
      </w:r>
      <w:r w:rsidR="00E43404" w:rsidRPr="00295637">
        <w:rPr>
          <w:rFonts w:ascii="Times New Roman" w:hAnsi="Times New Roman"/>
          <w:szCs w:val="24"/>
          <w:lang w:val="bs-Latn-BA"/>
        </w:rPr>
        <w:t xml:space="preserve"> </w:t>
      </w:r>
      <w:r>
        <w:rPr>
          <w:rFonts w:ascii="Times New Roman" w:hAnsi="Times New Roman"/>
          <w:szCs w:val="24"/>
          <w:lang w:val="bs-Latn-BA"/>
        </w:rPr>
        <w:t>цертификат</w:t>
      </w:r>
      <w:r w:rsidR="00E43404" w:rsidRPr="00295637">
        <w:rPr>
          <w:rFonts w:ascii="Times New Roman" w:hAnsi="Times New Roman"/>
          <w:szCs w:val="24"/>
          <w:lang w:val="bs-Latn-BA"/>
        </w:rPr>
        <w:t xml:space="preserve"> (</w:t>
      </w:r>
      <w:r>
        <w:rPr>
          <w:rFonts w:ascii="Times New Roman" w:hAnsi="Times New Roman"/>
          <w:szCs w:val="24"/>
          <w:lang w:val="bs-Latn-BA"/>
        </w:rPr>
        <w:t>укупно</w:t>
      </w:r>
      <w:r w:rsidR="00E43404" w:rsidRPr="00295637">
        <w:rPr>
          <w:rFonts w:ascii="Times New Roman" w:hAnsi="Times New Roman"/>
          <w:szCs w:val="24"/>
          <w:lang w:val="bs-Latn-BA"/>
        </w:rPr>
        <w:t xml:space="preserve"> </w:t>
      </w:r>
      <w:r>
        <w:rPr>
          <w:rFonts w:ascii="Times New Roman" w:hAnsi="Times New Roman"/>
          <w:szCs w:val="24"/>
          <w:lang w:val="bs-Latn-BA"/>
        </w:rPr>
        <w:t>су</w:t>
      </w:r>
      <w:r w:rsidR="00E43404" w:rsidRPr="00295637">
        <w:rPr>
          <w:rFonts w:ascii="Times New Roman" w:hAnsi="Times New Roman"/>
          <w:szCs w:val="24"/>
          <w:lang w:val="bs-Latn-BA"/>
        </w:rPr>
        <w:t xml:space="preserve"> 44 </w:t>
      </w:r>
      <w:r>
        <w:rPr>
          <w:rFonts w:ascii="Times New Roman" w:hAnsi="Times New Roman"/>
          <w:szCs w:val="24"/>
          <w:lang w:val="bs-Latn-BA"/>
        </w:rPr>
        <w:t>центра</w:t>
      </w:r>
      <w:r w:rsidR="00B70BC7" w:rsidRPr="00295637">
        <w:rPr>
          <w:rFonts w:ascii="Times New Roman" w:hAnsi="Times New Roman"/>
          <w:szCs w:val="24"/>
          <w:lang w:val="bs-Latn-BA"/>
        </w:rPr>
        <w:t xml:space="preserve"> </w:t>
      </w:r>
      <w:r>
        <w:rPr>
          <w:rFonts w:ascii="Times New Roman" w:hAnsi="Times New Roman"/>
          <w:szCs w:val="24"/>
          <w:lang w:val="bs-Latn-BA"/>
        </w:rPr>
        <w:t>за</w:t>
      </w:r>
      <w:r w:rsidR="00B70BC7" w:rsidRPr="00295637">
        <w:rPr>
          <w:rFonts w:ascii="Times New Roman" w:hAnsi="Times New Roman"/>
          <w:szCs w:val="24"/>
          <w:lang w:val="bs-Latn-BA"/>
        </w:rPr>
        <w:t xml:space="preserve"> </w:t>
      </w:r>
      <w:r>
        <w:rPr>
          <w:rFonts w:ascii="Times New Roman" w:hAnsi="Times New Roman"/>
          <w:szCs w:val="24"/>
          <w:lang w:val="bs-Latn-BA"/>
        </w:rPr>
        <w:t>ментално</w:t>
      </w:r>
      <w:r w:rsidR="00B70BC7" w:rsidRPr="00295637">
        <w:rPr>
          <w:rFonts w:ascii="Times New Roman" w:hAnsi="Times New Roman"/>
          <w:szCs w:val="24"/>
          <w:lang w:val="bs-Latn-BA"/>
        </w:rPr>
        <w:t xml:space="preserve"> </w:t>
      </w:r>
      <w:r>
        <w:rPr>
          <w:rFonts w:ascii="Times New Roman" w:hAnsi="Times New Roman"/>
          <w:szCs w:val="24"/>
          <w:lang w:val="bs-Latn-BA"/>
        </w:rPr>
        <w:t>здравље</w:t>
      </w:r>
      <w:r w:rsidR="00B70BC7" w:rsidRPr="00295637">
        <w:rPr>
          <w:rFonts w:ascii="Times New Roman" w:hAnsi="Times New Roman"/>
          <w:szCs w:val="24"/>
          <w:lang w:val="bs-Latn-BA"/>
        </w:rPr>
        <w:t xml:space="preserve"> </w:t>
      </w:r>
      <w:r>
        <w:rPr>
          <w:rFonts w:ascii="Times New Roman" w:hAnsi="Times New Roman"/>
          <w:szCs w:val="24"/>
          <w:lang w:val="bs-Latn-BA"/>
        </w:rPr>
        <w:t>у</w:t>
      </w:r>
      <w:r w:rsidR="00A708B8" w:rsidRPr="00295637">
        <w:rPr>
          <w:rFonts w:ascii="Times New Roman" w:hAnsi="Times New Roman"/>
          <w:szCs w:val="24"/>
          <w:lang w:val="bs-Latn-BA"/>
        </w:rPr>
        <w:t xml:space="preserve"> </w:t>
      </w:r>
      <w:r>
        <w:rPr>
          <w:rFonts w:ascii="Times New Roman" w:hAnsi="Times New Roman"/>
          <w:szCs w:val="24"/>
          <w:lang w:val="bs-Latn-BA"/>
        </w:rPr>
        <w:t>ФБиХ</w:t>
      </w:r>
      <w:r w:rsidR="00A708B8" w:rsidRPr="00295637">
        <w:rPr>
          <w:rFonts w:ascii="Times New Roman" w:hAnsi="Times New Roman"/>
          <w:szCs w:val="24"/>
          <w:lang w:val="bs-Latn-BA"/>
        </w:rPr>
        <w:t>).</w:t>
      </w:r>
    </w:p>
    <w:p w:rsidR="00B70BC7" w:rsidRPr="00295637" w:rsidRDefault="00B70BC7" w:rsidP="0086268D">
      <w:pPr>
        <w:tabs>
          <w:tab w:val="left" w:pos="1080"/>
        </w:tabs>
        <w:jc w:val="both"/>
        <w:rPr>
          <w:rFonts w:ascii="Times New Roman" w:hAnsi="Times New Roman"/>
          <w:lang w:val="bs-Latn-BA"/>
        </w:rPr>
      </w:pPr>
    </w:p>
    <w:p w:rsidR="00A92736" w:rsidRDefault="00C6214E" w:rsidP="0086268D">
      <w:pPr>
        <w:tabs>
          <w:tab w:val="left" w:pos="1080"/>
        </w:tabs>
        <w:jc w:val="both"/>
        <w:rPr>
          <w:rFonts w:ascii="Times New Roman" w:hAnsi="Times New Roman"/>
          <w:szCs w:val="24"/>
        </w:rPr>
      </w:pPr>
      <w:r>
        <w:rPr>
          <w:rFonts w:ascii="Times New Roman" w:hAnsi="Times New Roman"/>
          <w:szCs w:val="24"/>
        </w:rPr>
        <w:t>Психосоцијална</w:t>
      </w:r>
      <w:r w:rsidR="00BE6285" w:rsidRPr="00295637">
        <w:rPr>
          <w:rFonts w:ascii="Times New Roman" w:hAnsi="Times New Roman"/>
          <w:szCs w:val="24"/>
        </w:rPr>
        <w:t xml:space="preserve"> </w:t>
      </w:r>
      <w:r>
        <w:rPr>
          <w:rFonts w:ascii="Times New Roman" w:hAnsi="Times New Roman"/>
          <w:szCs w:val="24"/>
        </w:rPr>
        <w:t>подршка</w:t>
      </w:r>
      <w:r w:rsidR="003E3716">
        <w:rPr>
          <w:rFonts w:ascii="Times New Roman" w:hAnsi="Times New Roman"/>
          <w:szCs w:val="24"/>
        </w:rPr>
        <w:t xml:space="preserve"> </w:t>
      </w:r>
      <w:r>
        <w:rPr>
          <w:rFonts w:ascii="Times New Roman" w:hAnsi="Times New Roman"/>
          <w:szCs w:val="24"/>
        </w:rPr>
        <w:t>жртвама</w:t>
      </w:r>
      <w:r w:rsidR="00BE6285" w:rsidRPr="00295637">
        <w:rPr>
          <w:rFonts w:ascii="Times New Roman" w:hAnsi="Times New Roman"/>
          <w:szCs w:val="24"/>
        </w:rPr>
        <w:t xml:space="preserve"> </w:t>
      </w:r>
      <w:r>
        <w:rPr>
          <w:rFonts w:ascii="Times New Roman" w:hAnsi="Times New Roman"/>
          <w:szCs w:val="24"/>
        </w:rPr>
        <w:t>родно</w:t>
      </w:r>
      <w:r w:rsidR="00BE6285" w:rsidRPr="00295637">
        <w:rPr>
          <w:rFonts w:ascii="Times New Roman" w:hAnsi="Times New Roman"/>
          <w:szCs w:val="24"/>
        </w:rPr>
        <w:t xml:space="preserve"> </w:t>
      </w:r>
      <w:r>
        <w:rPr>
          <w:rFonts w:ascii="Times New Roman" w:hAnsi="Times New Roman"/>
          <w:szCs w:val="24"/>
        </w:rPr>
        <w:t>заснованог</w:t>
      </w:r>
      <w:r w:rsidR="00BE6285" w:rsidRPr="00295637">
        <w:rPr>
          <w:rFonts w:ascii="Times New Roman" w:hAnsi="Times New Roman"/>
          <w:szCs w:val="24"/>
        </w:rPr>
        <w:t xml:space="preserve"> </w:t>
      </w:r>
      <w:r>
        <w:rPr>
          <w:rFonts w:ascii="Times New Roman" w:hAnsi="Times New Roman"/>
          <w:szCs w:val="24"/>
        </w:rPr>
        <w:t>насиља</w:t>
      </w:r>
      <w:r w:rsidR="00BE6285" w:rsidRPr="00295637">
        <w:rPr>
          <w:rFonts w:ascii="Times New Roman" w:hAnsi="Times New Roman"/>
          <w:szCs w:val="24"/>
        </w:rPr>
        <w:t xml:space="preserve"> </w:t>
      </w:r>
      <w:r>
        <w:rPr>
          <w:rFonts w:ascii="Times New Roman" w:hAnsi="Times New Roman"/>
          <w:szCs w:val="24"/>
        </w:rPr>
        <w:t>у</w:t>
      </w:r>
      <w:r w:rsidR="00BE6285" w:rsidRPr="00295637">
        <w:rPr>
          <w:rFonts w:ascii="Times New Roman" w:hAnsi="Times New Roman"/>
          <w:szCs w:val="24"/>
        </w:rPr>
        <w:t xml:space="preserve"> </w:t>
      </w:r>
      <w:r>
        <w:rPr>
          <w:rFonts w:ascii="Times New Roman" w:hAnsi="Times New Roman"/>
          <w:szCs w:val="24"/>
        </w:rPr>
        <w:t>БД</w:t>
      </w:r>
      <w:r w:rsidR="00D30E48">
        <w:rPr>
          <w:rFonts w:ascii="Times New Roman" w:hAnsi="Times New Roman"/>
          <w:szCs w:val="24"/>
        </w:rPr>
        <w:t xml:space="preserve"> </w:t>
      </w:r>
      <w:r>
        <w:rPr>
          <w:rFonts w:ascii="Times New Roman" w:hAnsi="Times New Roman"/>
          <w:szCs w:val="24"/>
        </w:rPr>
        <w:t>БиХ</w:t>
      </w:r>
      <w:r w:rsidR="00BE6285" w:rsidRPr="00295637">
        <w:rPr>
          <w:rFonts w:ascii="Times New Roman" w:hAnsi="Times New Roman"/>
          <w:szCs w:val="24"/>
        </w:rPr>
        <w:t xml:space="preserve"> </w:t>
      </w:r>
      <w:r>
        <w:rPr>
          <w:rFonts w:ascii="Times New Roman" w:hAnsi="Times New Roman"/>
          <w:szCs w:val="24"/>
        </w:rPr>
        <w:t>проводи</w:t>
      </w:r>
      <w:r w:rsidR="00BE6285" w:rsidRPr="00295637">
        <w:rPr>
          <w:rFonts w:ascii="Times New Roman" w:hAnsi="Times New Roman"/>
          <w:szCs w:val="24"/>
        </w:rPr>
        <w:t xml:space="preserve"> </w:t>
      </w:r>
      <w:r>
        <w:rPr>
          <w:rFonts w:ascii="Times New Roman" w:hAnsi="Times New Roman"/>
          <w:szCs w:val="24"/>
        </w:rPr>
        <w:t>се</w:t>
      </w:r>
      <w:r w:rsidR="00BE6285" w:rsidRPr="00295637">
        <w:rPr>
          <w:rFonts w:ascii="Times New Roman" w:hAnsi="Times New Roman"/>
          <w:szCs w:val="24"/>
        </w:rPr>
        <w:t xml:space="preserve"> </w:t>
      </w:r>
      <w:r>
        <w:rPr>
          <w:rFonts w:ascii="Times New Roman" w:hAnsi="Times New Roman"/>
          <w:szCs w:val="24"/>
        </w:rPr>
        <w:t>унутар</w:t>
      </w:r>
      <w:r w:rsidR="00BE6285" w:rsidRPr="00295637">
        <w:rPr>
          <w:rFonts w:ascii="Times New Roman" w:hAnsi="Times New Roman"/>
          <w:szCs w:val="24"/>
        </w:rPr>
        <w:t xml:space="preserve"> </w:t>
      </w:r>
      <w:r>
        <w:rPr>
          <w:rFonts w:ascii="Times New Roman" w:hAnsi="Times New Roman"/>
          <w:szCs w:val="24"/>
        </w:rPr>
        <w:t>три</w:t>
      </w:r>
      <w:r w:rsidR="00BE6285" w:rsidRPr="00295637">
        <w:rPr>
          <w:rFonts w:ascii="Times New Roman" w:hAnsi="Times New Roman"/>
          <w:szCs w:val="24"/>
        </w:rPr>
        <w:t xml:space="preserve"> </w:t>
      </w:r>
      <w:r>
        <w:rPr>
          <w:rFonts w:ascii="Times New Roman" w:hAnsi="Times New Roman"/>
          <w:szCs w:val="24"/>
        </w:rPr>
        <w:t>службе</w:t>
      </w:r>
      <w:r w:rsidR="00BE6285" w:rsidRPr="00295637">
        <w:rPr>
          <w:rFonts w:ascii="Times New Roman" w:hAnsi="Times New Roman"/>
          <w:szCs w:val="24"/>
        </w:rPr>
        <w:t xml:space="preserve"> </w:t>
      </w:r>
      <w:r>
        <w:rPr>
          <w:rFonts w:ascii="Times New Roman" w:hAnsi="Times New Roman"/>
          <w:szCs w:val="24"/>
        </w:rPr>
        <w:t>које</w:t>
      </w:r>
      <w:r w:rsidR="00BE6285" w:rsidRPr="00295637">
        <w:rPr>
          <w:rFonts w:ascii="Times New Roman" w:hAnsi="Times New Roman"/>
          <w:szCs w:val="24"/>
        </w:rPr>
        <w:t xml:space="preserve"> </w:t>
      </w:r>
      <w:r>
        <w:rPr>
          <w:rFonts w:ascii="Times New Roman" w:hAnsi="Times New Roman"/>
          <w:szCs w:val="24"/>
        </w:rPr>
        <w:t>су</w:t>
      </w:r>
      <w:r w:rsidR="00BE6285" w:rsidRPr="00295637">
        <w:rPr>
          <w:rFonts w:ascii="Times New Roman" w:hAnsi="Times New Roman"/>
          <w:szCs w:val="24"/>
        </w:rPr>
        <w:t xml:space="preserve"> </w:t>
      </w:r>
      <w:r>
        <w:rPr>
          <w:rFonts w:ascii="Times New Roman" w:hAnsi="Times New Roman"/>
          <w:szCs w:val="24"/>
        </w:rPr>
        <w:t>у</w:t>
      </w:r>
      <w:r w:rsidR="00BE6285" w:rsidRPr="00295637">
        <w:rPr>
          <w:rFonts w:ascii="Times New Roman" w:hAnsi="Times New Roman"/>
          <w:szCs w:val="24"/>
        </w:rPr>
        <w:t xml:space="preserve"> </w:t>
      </w:r>
      <w:r>
        <w:rPr>
          <w:rFonts w:ascii="Times New Roman" w:hAnsi="Times New Roman"/>
          <w:szCs w:val="24"/>
        </w:rPr>
        <w:t>саставу</w:t>
      </w:r>
      <w:r w:rsidR="00BE6285" w:rsidRPr="00295637">
        <w:rPr>
          <w:rFonts w:ascii="Times New Roman" w:hAnsi="Times New Roman"/>
          <w:szCs w:val="24"/>
        </w:rPr>
        <w:t xml:space="preserve"> </w:t>
      </w:r>
      <w:r>
        <w:rPr>
          <w:rFonts w:ascii="Times New Roman" w:hAnsi="Times New Roman"/>
          <w:szCs w:val="24"/>
        </w:rPr>
        <w:t>Пододје</w:t>
      </w:r>
      <w:r w:rsidR="006E324C">
        <w:rPr>
          <w:rFonts w:ascii="Times New Roman" w:hAnsi="Times New Roman"/>
          <w:szCs w:val="24"/>
          <w:lang w:val="sr-Cyrl-BA"/>
        </w:rPr>
        <w:t>љења</w:t>
      </w:r>
      <w:r w:rsidR="00BE6285" w:rsidRPr="00295637">
        <w:rPr>
          <w:rFonts w:ascii="Times New Roman" w:hAnsi="Times New Roman"/>
          <w:szCs w:val="24"/>
        </w:rPr>
        <w:t xml:space="preserve"> </w:t>
      </w:r>
      <w:r>
        <w:rPr>
          <w:rFonts w:ascii="Times New Roman" w:hAnsi="Times New Roman"/>
          <w:szCs w:val="24"/>
        </w:rPr>
        <w:t>за</w:t>
      </w:r>
      <w:r w:rsidR="00BE6285" w:rsidRPr="00295637">
        <w:rPr>
          <w:rFonts w:ascii="Times New Roman" w:hAnsi="Times New Roman"/>
          <w:szCs w:val="24"/>
        </w:rPr>
        <w:t xml:space="preserve"> </w:t>
      </w:r>
      <w:r>
        <w:rPr>
          <w:rFonts w:ascii="Times New Roman" w:hAnsi="Times New Roman"/>
          <w:szCs w:val="24"/>
        </w:rPr>
        <w:t>социјалну</w:t>
      </w:r>
      <w:r w:rsidR="00BE6285" w:rsidRPr="00295637">
        <w:rPr>
          <w:rFonts w:ascii="Times New Roman" w:hAnsi="Times New Roman"/>
          <w:szCs w:val="24"/>
        </w:rPr>
        <w:t xml:space="preserve"> </w:t>
      </w:r>
      <w:r>
        <w:rPr>
          <w:rFonts w:ascii="Times New Roman" w:hAnsi="Times New Roman"/>
          <w:szCs w:val="24"/>
        </w:rPr>
        <w:t>заштиту</w:t>
      </w:r>
      <w:r w:rsidR="00BE6285" w:rsidRPr="00295637">
        <w:rPr>
          <w:rFonts w:ascii="Times New Roman" w:hAnsi="Times New Roman"/>
          <w:szCs w:val="24"/>
        </w:rPr>
        <w:t xml:space="preserve"> </w:t>
      </w:r>
      <w:r>
        <w:rPr>
          <w:rFonts w:ascii="Times New Roman" w:hAnsi="Times New Roman"/>
          <w:szCs w:val="24"/>
        </w:rPr>
        <w:t>БД</w:t>
      </w:r>
      <w:r w:rsidR="003E3716">
        <w:rPr>
          <w:rFonts w:ascii="Times New Roman" w:hAnsi="Times New Roman"/>
          <w:szCs w:val="24"/>
        </w:rPr>
        <w:t xml:space="preserve"> </w:t>
      </w:r>
      <w:r>
        <w:rPr>
          <w:rFonts w:ascii="Times New Roman" w:hAnsi="Times New Roman"/>
          <w:szCs w:val="24"/>
        </w:rPr>
        <w:t>БиХ</w:t>
      </w:r>
      <w:r w:rsidR="00BE6285" w:rsidRPr="00295637">
        <w:rPr>
          <w:rFonts w:ascii="Times New Roman" w:hAnsi="Times New Roman"/>
          <w:szCs w:val="24"/>
        </w:rPr>
        <w:t xml:space="preserve">. </w:t>
      </w:r>
      <w:r>
        <w:rPr>
          <w:rFonts w:ascii="Times New Roman" w:hAnsi="Times New Roman"/>
          <w:szCs w:val="24"/>
        </w:rPr>
        <w:t>Протоколом</w:t>
      </w:r>
      <w:r w:rsidR="00A916B1" w:rsidRPr="00295637">
        <w:rPr>
          <w:rFonts w:ascii="Times New Roman" w:hAnsi="Times New Roman"/>
          <w:szCs w:val="24"/>
        </w:rPr>
        <w:t xml:space="preserve"> </w:t>
      </w:r>
      <w:r>
        <w:rPr>
          <w:rFonts w:ascii="Times New Roman" w:hAnsi="Times New Roman"/>
          <w:szCs w:val="24"/>
        </w:rPr>
        <w:t>о</w:t>
      </w:r>
      <w:r w:rsidR="00A916B1" w:rsidRPr="00295637">
        <w:rPr>
          <w:rFonts w:ascii="Times New Roman" w:hAnsi="Times New Roman"/>
          <w:szCs w:val="24"/>
        </w:rPr>
        <w:t xml:space="preserve"> </w:t>
      </w:r>
      <w:r>
        <w:rPr>
          <w:rFonts w:ascii="Times New Roman" w:hAnsi="Times New Roman"/>
          <w:szCs w:val="24"/>
        </w:rPr>
        <w:t>сарадњи</w:t>
      </w:r>
      <w:r w:rsidR="00A916B1" w:rsidRPr="00295637">
        <w:rPr>
          <w:rFonts w:ascii="Times New Roman" w:hAnsi="Times New Roman"/>
          <w:szCs w:val="24"/>
        </w:rPr>
        <w:t xml:space="preserve"> </w:t>
      </w:r>
      <w:r>
        <w:rPr>
          <w:rFonts w:ascii="Times New Roman" w:hAnsi="Times New Roman"/>
          <w:szCs w:val="24"/>
        </w:rPr>
        <w:t>у</w:t>
      </w:r>
      <w:r w:rsidR="00A916B1" w:rsidRPr="00295637">
        <w:rPr>
          <w:rFonts w:ascii="Times New Roman" w:hAnsi="Times New Roman"/>
          <w:szCs w:val="24"/>
        </w:rPr>
        <w:t xml:space="preserve"> </w:t>
      </w:r>
      <w:r>
        <w:rPr>
          <w:rFonts w:ascii="Times New Roman" w:hAnsi="Times New Roman"/>
          <w:szCs w:val="24"/>
        </w:rPr>
        <w:t>области</w:t>
      </w:r>
      <w:r w:rsidR="00A916B1" w:rsidRPr="00295637">
        <w:rPr>
          <w:rFonts w:ascii="Times New Roman" w:hAnsi="Times New Roman"/>
          <w:szCs w:val="24"/>
        </w:rPr>
        <w:t xml:space="preserve"> </w:t>
      </w:r>
      <w:r>
        <w:rPr>
          <w:rFonts w:ascii="Times New Roman" w:hAnsi="Times New Roman"/>
          <w:szCs w:val="24"/>
        </w:rPr>
        <w:t>пружања</w:t>
      </w:r>
      <w:r w:rsidR="00A916B1" w:rsidRPr="00295637">
        <w:rPr>
          <w:rFonts w:ascii="Times New Roman" w:hAnsi="Times New Roman"/>
          <w:szCs w:val="24"/>
        </w:rPr>
        <w:t xml:space="preserve"> </w:t>
      </w:r>
      <w:r>
        <w:rPr>
          <w:rFonts w:ascii="Times New Roman" w:hAnsi="Times New Roman"/>
          <w:szCs w:val="24"/>
        </w:rPr>
        <w:t>подршке</w:t>
      </w:r>
      <w:r w:rsidR="00A916B1" w:rsidRPr="00295637">
        <w:rPr>
          <w:rFonts w:ascii="Times New Roman" w:hAnsi="Times New Roman"/>
          <w:szCs w:val="24"/>
        </w:rPr>
        <w:t xml:space="preserve"> </w:t>
      </w:r>
      <w:r>
        <w:rPr>
          <w:rFonts w:ascii="Times New Roman" w:hAnsi="Times New Roman"/>
          <w:szCs w:val="24"/>
        </w:rPr>
        <w:t>свједоцима</w:t>
      </w:r>
      <w:r w:rsidR="00A916B1" w:rsidRPr="00295637">
        <w:rPr>
          <w:rFonts w:ascii="Times New Roman" w:hAnsi="Times New Roman"/>
          <w:szCs w:val="24"/>
        </w:rPr>
        <w:t xml:space="preserve"> </w:t>
      </w:r>
      <w:r>
        <w:rPr>
          <w:rFonts w:ascii="Times New Roman" w:hAnsi="Times New Roman"/>
          <w:szCs w:val="24"/>
        </w:rPr>
        <w:t>између</w:t>
      </w:r>
      <w:r w:rsidR="00A916B1" w:rsidRPr="00295637">
        <w:rPr>
          <w:rFonts w:ascii="Times New Roman" w:hAnsi="Times New Roman"/>
          <w:szCs w:val="24"/>
        </w:rPr>
        <w:t xml:space="preserve"> </w:t>
      </w:r>
      <w:r>
        <w:rPr>
          <w:rFonts w:ascii="Times New Roman" w:hAnsi="Times New Roman"/>
          <w:szCs w:val="24"/>
        </w:rPr>
        <w:t>полиције</w:t>
      </w:r>
      <w:r w:rsidR="00A916B1" w:rsidRPr="00295637">
        <w:rPr>
          <w:rFonts w:ascii="Times New Roman" w:hAnsi="Times New Roman"/>
          <w:szCs w:val="24"/>
        </w:rPr>
        <w:t xml:space="preserve"> </w:t>
      </w:r>
      <w:r>
        <w:rPr>
          <w:rFonts w:ascii="Times New Roman" w:hAnsi="Times New Roman"/>
          <w:szCs w:val="24"/>
        </w:rPr>
        <w:t>и</w:t>
      </w:r>
      <w:r w:rsidR="00A916B1" w:rsidRPr="00295637">
        <w:rPr>
          <w:rFonts w:ascii="Times New Roman" w:hAnsi="Times New Roman"/>
          <w:szCs w:val="24"/>
        </w:rPr>
        <w:t xml:space="preserve"> </w:t>
      </w:r>
      <w:r>
        <w:rPr>
          <w:rFonts w:ascii="Times New Roman" w:hAnsi="Times New Roman"/>
          <w:szCs w:val="24"/>
        </w:rPr>
        <w:t>тужилаштва</w:t>
      </w:r>
      <w:r w:rsidR="00A916B1" w:rsidRPr="00295637">
        <w:rPr>
          <w:rFonts w:ascii="Times New Roman" w:hAnsi="Times New Roman"/>
          <w:szCs w:val="24"/>
        </w:rPr>
        <w:t xml:space="preserve"> </w:t>
      </w:r>
      <w:r>
        <w:rPr>
          <w:rFonts w:ascii="Times New Roman" w:hAnsi="Times New Roman"/>
          <w:szCs w:val="24"/>
        </w:rPr>
        <w:t>у</w:t>
      </w:r>
      <w:r w:rsidR="00A916B1" w:rsidRPr="00295637">
        <w:rPr>
          <w:rFonts w:ascii="Times New Roman" w:hAnsi="Times New Roman"/>
          <w:szCs w:val="24"/>
        </w:rPr>
        <w:t xml:space="preserve"> </w:t>
      </w:r>
      <w:r>
        <w:rPr>
          <w:rFonts w:ascii="Times New Roman" w:hAnsi="Times New Roman"/>
          <w:szCs w:val="24"/>
        </w:rPr>
        <w:t>предистражном</w:t>
      </w:r>
      <w:r w:rsidR="00A916B1" w:rsidRPr="00295637">
        <w:rPr>
          <w:rFonts w:ascii="Times New Roman" w:hAnsi="Times New Roman"/>
          <w:szCs w:val="24"/>
        </w:rPr>
        <w:t xml:space="preserve"> </w:t>
      </w:r>
      <w:r>
        <w:rPr>
          <w:rFonts w:ascii="Times New Roman" w:hAnsi="Times New Roman"/>
          <w:szCs w:val="24"/>
        </w:rPr>
        <w:t>и</w:t>
      </w:r>
      <w:r w:rsidR="00A916B1" w:rsidRPr="00295637">
        <w:rPr>
          <w:rFonts w:ascii="Times New Roman" w:hAnsi="Times New Roman"/>
          <w:szCs w:val="24"/>
        </w:rPr>
        <w:t xml:space="preserve"> </w:t>
      </w:r>
      <w:r>
        <w:rPr>
          <w:rFonts w:ascii="Times New Roman" w:hAnsi="Times New Roman"/>
          <w:szCs w:val="24"/>
        </w:rPr>
        <w:t>истражном</w:t>
      </w:r>
      <w:r w:rsidR="00A916B1" w:rsidRPr="00295637">
        <w:rPr>
          <w:rFonts w:ascii="Times New Roman" w:hAnsi="Times New Roman"/>
          <w:szCs w:val="24"/>
        </w:rPr>
        <w:t xml:space="preserve"> </w:t>
      </w:r>
      <w:r>
        <w:rPr>
          <w:rFonts w:ascii="Times New Roman" w:hAnsi="Times New Roman"/>
          <w:szCs w:val="24"/>
        </w:rPr>
        <w:t>поступку</w:t>
      </w:r>
      <w:r w:rsidR="00A916B1" w:rsidRPr="00295637">
        <w:rPr>
          <w:rFonts w:ascii="Times New Roman" w:hAnsi="Times New Roman"/>
          <w:szCs w:val="24"/>
        </w:rPr>
        <w:t xml:space="preserve">, </w:t>
      </w:r>
      <w:r>
        <w:rPr>
          <w:rFonts w:ascii="Times New Roman" w:hAnsi="Times New Roman"/>
          <w:szCs w:val="24"/>
        </w:rPr>
        <w:t>подршку</w:t>
      </w:r>
      <w:r w:rsidR="00A916B1" w:rsidRPr="00295637">
        <w:rPr>
          <w:rFonts w:ascii="Times New Roman" w:hAnsi="Times New Roman"/>
          <w:szCs w:val="24"/>
        </w:rPr>
        <w:t xml:space="preserve"> </w:t>
      </w:r>
      <w:r>
        <w:rPr>
          <w:rFonts w:ascii="Times New Roman" w:hAnsi="Times New Roman"/>
          <w:szCs w:val="24"/>
        </w:rPr>
        <w:t>свједоцима</w:t>
      </w:r>
      <w:r w:rsidR="00A916B1" w:rsidRPr="00295637">
        <w:rPr>
          <w:rFonts w:ascii="Times New Roman" w:hAnsi="Times New Roman"/>
          <w:szCs w:val="24"/>
        </w:rPr>
        <w:t xml:space="preserve"> </w:t>
      </w:r>
      <w:r>
        <w:rPr>
          <w:rFonts w:ascii="Times New Roman" w:hAnsi="Times New Roman"/>
          <w:szCs w:val="24"/>
        </w:rPr>
        <w:t>оштећеним</w:t>
      </w:r>
      <w:r w:rsidR="00A916B1" w:rsidRPr="00295637">
        <w:rPr>
          <w:rFonts w:ascii="Times New Roman" w:hAnsi="Times New Roman"/>
          <w:szCs w:val="24"/>
        </w:rPr>
        <w:t xml:space="preserve"> </w:t>
      </w:r>
      <w:r>
        <w:rPr>
          <w:rFonts w:ascii="Times New Roman" w:hAnsi="Times New Roman"/>
          <w:szCs w:val="24"/>
        </w:rPr>
        <w:t>тежим</w:t>
      </w:r>
      <w:r w:rsidR="00A916B1" w:rsidRPr="00295637">
        <w:rPr>
          <w:rFonts w:ascii="Times New Roman" w:hAnsi="Times New Roman"/>
          <w:szCs w:val="24"/>
        </w:rPr>
        <w:t xml:space="preserve"> </w:t>
      </w:r>
      <w:r>
        <w:rPr>
          <w:rFonts w:ascii="Times New Roman" w:hAnsi="Times New Roman"/>
          <w:szCs w:val="24"/>
        </w:rPr>
        <w:t>кривичним</w:t>
      </w:r>
      <w:r w:rsidR="00A916B1" w:rsidRPr="00295637">
        <w:rPr>
          <w:rFonts w:ascii="Times New Roman" w:hAnsi="Times New Roman"/>
          <w:szCs w:val="24"/>
        </w:rPr>
        <w:t xml:space="preserve"> </w:t>
      </w:r>
      <w:r>
        <w:rPr>
          <w:rFonts w:ascii="Times New Roman" w:hAnsi="Times New Roman"/>
          <w:szCs w:val="24"/>
        </w:rPr>
        <w:t>дјелима</w:t>
      </w:r>
      <w:r w:rsidR="00A916B1" w:rsidRPr="00295637">
        <w:rPr>
          <w:rFonts w:ascii="Times New Roman" w:hAnsi="Times New Roman"/>
          <w:szCs w:val="24"/>
        </w:rPr>
        <w:t xml:space="preserve"> </w:t>
      </w:r>
      <w:r>
        <w:rPr>
          <w:rFonts w:ascii="Times New Roman" w:hAnsi="Times New Roman"/>
          <w:szCs w:val="24"/>
        </w:rPr>
        <w:t>пружа</w:t>
      </w:r>
      <w:r w:rsidR="00A916B1" w:rsidRPr="00295637">
        <w:rPr>
          <w:rFonts w:ascii="Times New Roman" w:hAnsi="Times New Roman"/>
          <w:szCs w:val="24"/>
        </w:rPr>
        <w:t xml:space="preserve"> </w:t>
      </w:r>
      <w:r>
        <w:rPr>
          <w:rFonts w:ascii="Times New Roman" w:hAnsi="Times New Roman"/>
          <w:szCs w:val="24"/>
        </w:rPr>
        <w:t>психолог</w:t>
      </w:r>
      <w:r w:rsidR="00A916B1" w:rsidRPr="00295637">
        <w:rPr>
          <w:rFonts w:ascii="Times New Roman" w:hAnsi="Times New Roman"/>
          <w:szCs w:val="24"/>
        </w:rPr>
        <w:t xml:space="preserve">. </w:t>
      </w:r>
      <w:r>
        <w:rPr>
          <w:rFonts w:ascii="Times New Roman" w:hAnsi="Times New Roman"/>
          <w:szCs w:val="24"/>
        </w:rPr>
        <w:t>Мултисекторска</w:t>
      </w:r>
      <w:r w:rsidR="00A916B1" w:rsidRPr="00295637">
        <w:rPr>
          <w:rFonts w:ascii="Times New Roman" w:hAnsi="Times New Roman"/>
          <w:szCs w:val="24"/>
        </w:rPr>
        <w:t xml:space="preserve"> </w:t>
      </w:r>
      <w:r>
        <w:rPr>
          <w:rFonts w:ascii="Times New Roman" w:hAnsi="Times New Roman"/>
          <w:szCs w:val="24"/>
        </w:rPr>
        <w:t>сарадња</w:t>
      </w:r>
      <w:r w:rsidR="00A916B1" w:rsidRPr="00295637">
        <w:rPr>
          <w:rFonts w:ascii="Times New Roman" w:hAnsi="Times New Roman"/>
          <w:szCs w:val="24"/>
        </w:rPr>
        <w:t xml:space="preserve"> </w:t>
      </w:r>
      <w:r>
        <w:rPr>
          <w:rFonts w:ascii="Times New Roman" w:hAnsi="Times New Roman"/>
          <w:szCs w:val="24"/>
        </w:rPr>
        <w:t>је</w:t>
      </w:r>
      <w:r w:rsidR="00A916B1" w:rsidRPr="00295637">
        <w:rPr>
          <w:rFonts w:ascii="Times New Roman" w:hAnsi="Times New Roman"/>
          <w:szCs w:val="24"/>
        </w:rPr>
        <w:t xml:space="preserve"> </w:t>
      </w:r>
      <w:r>
        <w:rPr>
          <w:rFonts w:ascii="Times New Roman" w:hAnsi="Times New Roman"/>
          <w:szCs w:val="24"/>
        </w:rPr>
        <w:t>подржана</w:t>
      </w:r>
      <w:r w:rsidR="00A916B1" w:rsidRPr="00295637">
        <w:rPr>
          <w:rFonts w:ascii="Times New Roman" w:hAnsi="Times New Roman"/>
          <w:szCs w:val="24"/>
        </w:rPr>
        <w:t xml:space="preserve"> </w:t>
      </w:r>
      <w:r>
        <w:rPr>
          <w:rFonts w:ascii="Times New Roman" w:hAnsi="Times New Roman"/>
          <w:szCs w:val="24"/>
        </w:rPr>
        <w:t>и</w:t>
      </w:r>
      <w:r w:rsidR="00A916B1" w:rsidRPr="00295637">
        <w:rPr>
          <w:rFonts w:ascii="Times New Roman" w:hAnsi="Times New Roman"/>
          <w:szCs w:val="24"/>
        </w:rPr>
        <w:t xml:space="preserve"> </w:t>
      </w:r>
      <w:r>
        <w:rPr>
          <w:rFonts w:ascii="Times New Roman" w:hAnsi="Times New Roman"/>
          <w:szCs w:val="24"/>
        </w:rPr>
        <w:t>другим</w:t>
      </w:r>
      <w:r w:rsidR="00A916B1" w:rsidRPr="00295637">
        <w:rPr>
          <w:rFonts w:ascii="Times New Roman" w:hAnsi="Times New Roman"/>
          <w:szCs w:val="24"/>
        </w:rPr>
        <w:t xml:space="preserve"> </w:t>
      </w:r>
      <w:r>
        <w:rPr>
          <w:rFonts w:ascii="Times New Roman" w:hAnsi="Times New Roman"/>
          <w:szCs w:val="24"/>
        </w:rPr>
        <w:t>Протоколом</w:t>
      </w:r>
      <w:r w:rsidR="00A916B1" w:rsidRPr="00295637">
        <w:rPr>
          <w:rFonts w:ascii="Times New Roman" w:hAnsi="Times New Roman"/>
          <w:szCs w:val="24"/>
        </w:rPr>
        <w:t xml:space="preserve"> – „</w:t>
      </w:r>
      <w:r>
        <w:rPr>
          <w:rFonts w:ascii="Times New Roman" w:hAnsi="Times New Roman"/>
          <w:szCs w:val="24"/>
        </w:rPr>
        <w:t>Институционална</w:t>
      </w:r>
      <w:r w:rsidR="00A916B1" w:rsidRPr="00295637">
        <w:rPr>
          <w:rFonts w:ascii="Times New Roman" w:hAnsi="Times New Roman"/>
          <w:szCs w:val="24"/>
        </w:rPr>
        <w:t xml:space="preserve"> </w:t>
      </w:r>
      <w:r>
        <w:rPr>
          <w:rFonts w:ascii="Times New Roman" w:hAnsi="Times New Roman"/>
          <w:szCs w:val="24"/>
        </w:rPr>
        <w:t>мрежа</w:t>
      </w:r>
      <w:r w:rsidR="00A916B1" w:rsidRPr="00295637">
        <w:rPr>
          <w:rFonts w:ascii="Times New Roman" w:hAnsi="Times New Roman"/>
          <w:szCs w:val="24"/>
        </w:rPr>
        <w:t xml:space="preserve"> </w:t>
      </w:r>
      <w:r>
        <w:rPr>
          <w:rFonts w:ascii="Times New Roman" w:hAnsi="Times New Roman"/>
          <w:szCs w:val="24"/>
        </w:rPr>
        <w:t>за</w:t>
      </w:r>
      <w:r w:rsidR="00A916B1" w:rsidRPr="00295637">
        <w:rPr>
          <w:rFonts w:ascii="Times New Roman" w:hAnsi="Times New Roman"/>
          <w:szCs w:val="24"/>
        </w:rPr>
        <w:t xml:space="preserve"> </w:t>
      </w:r>
      <w:r>
        <w:rPr>
          <w:rFonts w:ascii="Times New Roman" w:hAnsi="Times New Roman"/>
          <w:szCs w:val="24"/>
        </w:rPr>
        <w:t>пружање</w:t>
      </w:r>
      <w:r w:rsidR="00A916B1" w:rsidRPr="00295637">
        <w:rPr>
          <w:rFonts w:ascii="Times New Roman" w:hAnsi="Times New Roman"/>
          <w:szCs w:val="24"/>
        </w:rPr>
        <w:t xml:space="preserve"> </w:t>
      </w:r>
      <w:r>
        <w:rPr>
          <w:rFonts w:ascii="Times New Roman" w:hAnsi="Times New Roman"/>
          <w:szCs w:val="24"/>
        </w:rPr>
        <w:t>подршке</w:t>
      </w:r>
      <w:r w:rsidR="00A916B1" w:rsidRPr="00295637">
        <w:rPr>
          <w:rFonts w:ascii="Times New Roman" w:hAnsi="Times New Roman"/>
          <w:szCs w:val="24"/>
        </w:rPr>
        <w:t xml:space="preserve"> </w:t>
      </w:r>
      <w:r>
        <w:rPr>
          <w:rFonts w:ascii="Times New Roman" w:hAnsi="Times New Roman"/>
          <w:szCs w:val="24"/>
        </w:rPr>
        <w:t>жртвама</w:t>
      </w:r>
      <w:r w:rsidR="00282B67">
        <w:rPr>
          <w:rFonts w:ascii="Times New Roman" w:hAnsi="Times New Roman"/>
          <w:szCs w:val="24"/>
        </w:rPr>
        <w:t>/</w:t>
      </w:r>
      <w:r>
        <w:rPr>
          <w:rFonts w:ascii="Times New Roman" w:hAnsi="Times New Roman"/>
          <w:szCs w:val="24"/>
        </w:rPr>
        <w:t>свједоцима</w:t>
      </w:r>
      <w:r w:rsidR="00282B67">
        <w:rPr>
          <w:rFonts w:ascii="Times New Roman" w:hAnsi="Times New Roman"/>
          <w:szCs w:val="24"/>
        </w:rPr>
        <w:t xml:space="preserve"> </w:t>
      </w:r>
      <w:r>
        <w:rPr>
          <w:rFonts w:ascii="Times New Roman" w:hAnsi="Times New Roman"/>
          <w:szCs w:val="24"/>
        </w:rPr>
        <w:t>на</w:t>
      </w:r>
      <w:r w:rsidR="00282B67">
        <w:rPr>
          <w:rFonts w:ascii="Times New Roman" w:hAnsi="Times New Roman"/>
          <w:szCs w:val="24"/>
        </w:rPr>
        <w:t xml:space="preserve"> </w:t>
      </w:r>
      <w:r>
        <w:rPr>
          <w:rFonts w:ascii="Times New Roman" w:hAnsi="Times New Roman"/>
          <w:szCs w:val="24"/>
        </w:rPr>
        <w:t>територији</w:t>
      </w:r>
      <w:r w:rsidR="00282B67">
        <w:rPr>
          <w:rFonts w:ascii="Times New Roman" w:hAnsi="Times New Roman"/>
          <w:szCs w:val="24"/>
        </w:rPr>
        <w:t xml:space="preserve"> </w:t>
      </w:r>
      <w:r>
        <w:rPr>
          <w:rFonts w:ascii="Times New Roman" w:hAnsi="Times New Roman"/>
          <w:szCs w:val="24"/>
        </w:rPr>
        <w:t>Брчко</w:t>
      </w:r>
      <w:r w:rsidR="00282B67">
        <w:rPr>
          <w:rFonts w:ascii="Times New Roman" w:hAnsi="Times New Roman"/>
          <w:szCs w:val="24"/>
        </w:rPr>
        <w:t xml:space="preserve"> </w:t>
      </w:r>
      <w:r>
        <w:rPr>
          <w:rFonts w:ascii="Times New Roman" w:hAnsi="Times New Roman"/>
          <w:szCs w:val="24"/>
        </w:rPr>
        <w:t>Дистрикта</w:t>
      </w:r>
      <w:r w:rsidR="009E54A2" w:rsidRPr="00295637">
        <w:rPr>
          <w:rFonts w:ascii="Times New Roman" w:hAnsi="Times New Roman"/>
          <w:szCs w:val="24"/>
        </w:rPr>
        <w:t xml:space="preserve"> </w:t>
      </w:r>
      <w:r>
        <w:rPr>
          <w:rFonts w:ascii="Times New Roman" w:hAnsi="Times New Roman"/>
          <w:szCs w:val="24"/>
        </w:rPr>
        <w:t>БиХ</w:t>
      </w:r>
      <w:r w:rsidR="009E54A2" w:rsidRPr="00295637">
        <w:rPr>
          <w:rFonts w:ascii="Times New Roman" w:hAnsi="Times New Roman"/>
          <w:szCs w:val="24"/>
        </w:rPr>
        <w:t xml:space="preserve"> </w:t>
      </w:r>
      <w:r>
        <w:rPr>
          <w:rFonts w:ascii="Times New Roman" w:hAnsi="Times New Roman"/>
          <w:szCs w:val="24"/>
        </w:rPr>
        <w:t>потписан</w:t>
      </w:r>
      <w:r w:rsidR="00A916B1" w:rsidRPr="00295637">
        <w:rPr>
          <w:rFonts w:ascii="Times New Roman" w:hAnsi="Times New Roman"/>
          <w:szCs w:val="24"/>
        </w:rPr>
        <w:t xml:space="preserve"> </w:t>
      </w:r>
      <w:r>
        <w:rPr>
          <w:rFonts w:ascii="Times New Roman" w:hAnsi="Times New Roman"/>
          <w:szCs w:val="24"/>
        </w:rPr>
        <w:t>између</w:t>
      </w:r>
      <w:r w:rsidR="00A916B1" w:rsidRPr="00295637">
        <w:rPr>
          <w:rFonts w:ascii="Times New Roman" w:hAnsi="Times New Roman"/>
          <w:szCs w:val="24"/>
        </w:rPr>
        <w:t xml:space="preserve"> </w:t>
      </w:r>
      <w:r>
        <w:rPr>
          <w:rFonts w:ascii="Times New Roman" w:hAnsi="Times New Roman"/>
          <w:szCs w:val="24"/>
        </w:rPr>
        <w:t>НВО</w:t>
      </w:r>
      <w:r w:rsidR="00A916B1" w:rsidRPr="00295637">
        <w:rPr>
          <w:rFonts w:ascii="Times New Roman" w:hAnsi="Times New Roman"/>
          <w:szCs w:val="24"/>
        </w:rPr>
        <w:t xml:space="preserve"> „</w:t>
      </w:r>
      <w:r>
        <w:rPr>
          <w:rFonts w:ascii="Times New Roman" w:hAnsi="Times New Roman"/>
          <w:szCs w:val="24"/>
        </w:rPr>
        <w:t>Гендер</w:t>
      </w:r>
      <w:r w:rsidR="00A916B1" w:rsidRPr="00295637">
        <w:rPr>
          <w:rFonts w:ascii="Times New Roman" w:hAnsi="Times New Roman"/>
          <w:szCs w:val="24"/>
        </w:rPr>
        <w:t>“</w:t>
      </w:r>
      <w:r w:rsidR="00152663" w:rsidRPr="00295637">
        <w:rPr>
          <w:rFonts w:ascii="Times New Roman" w:hAnsi="Times New Roman"/>
          <w:szCs w:val="24"/>
        </w:rPr>
        <w:t xml:space="preserve"> </w:t>
      </w:r>
      <w:r>
        <w:rPr>
          <w:rFonts w:ascii="Times New Roman" w:hAnsi="Times New Roman"/>
          <w:szCs w:val="24"/>
        </w:rPr>
        <w:t>Брчко</w:t>
      </w:r>
      <w:r w:rsidR="00A916B1" w:rsidRPr="00295637">
        <w:rPr>
          <w:rFonts w:ascii="Times New Roman" w:hAnsi="Times New Roman"/>
          <w:szCs w:val="24"/>
        </w:rPr>
        <w:t xml:space="preserve">, </w:t>
      </w:r>
      <w:r w:rsidR="00152663" w:rsidRPr="00295637">
        <w:rPr>
          <w:rFonts w:ascii="Times New Roman" w:hAnsi="Times New Roman"/>
          <w:szCs w:val="24"/>
        </w:rPr>
        <w:t>„</w:t>
      </w:r>
      <w:r>
        <w:rPr>
          <w:rFonts w:ascii="Times New Roman" w:hAnsi="Times New Roman"/>
          <w:szCs w:val="24"/>
        </w:rPr>
        <w:t>Виве</w:t>
      </w:r>
      <w:r w:rsidR="00A916B1" w:rsidRPr="00295637">
        <w:rPr>
          <w:rFonts w:ascii="Times New Roman" w:hAnsi="Times New Roman"/>
          <w:szCs w:val="24"/>
        </w:rPr>
        <w:t xml:space="preserve"> </w:t>
      </w:r>
      <w:r>
        <w:rPr>
          <w:rFonts w:ascii="Times New Roman" w:hAnsi="Times New Roman"/>
          <w:szCs w:val="24"/>
        </w:rPr>
        <w:t>жене</w:t>
      </w:r>
      <w:r w:rsidR="003E3716">
        <w:rPr>
          <w:rFonts w:ascii="Times New Roman" w:hAnsi="Times New Roman"/>
          <w:szCs w:val="24"/>
        </w:rPr>
        <w:t xml:space="preserve">“ </w:t>
      </w:r>
      <w:r>
        <w:rPr>
          <w:rFonts w:ascii="Times New Roman" w:hAnsi="Times New Roman"/>
          <w:szCs w:val="24"/>
        </w:rPr>
        <w:t>Тузла</w:t>
      </w:r>
      <w:r w:rsidR="003E3716">
        <w:rPr>
          <w:rFonts w:ascii="Times New Roman" w:hAnsi="Times New Roman"/>
          <w:szCs w:val="24"/>
        </w:rPr>
        <w:t>, „</w:t>
      </w:r>
      <w:r>
        <w:rPr>
          <w:rFonts w:ascii="Times New Roman" w:hAnsi="Times New Roman"/>
          <w:szCs w:val="24"/>
        </w:rPr>
        <w:t>Удружене</w:t>
      </w:r>
      <w:r w:rsidR="003E3716">
        <w:rPr>
          <w:rFonts w:ascii="Times New Roman" w:hAnsi="Times New Roman"/>
          <w:szCs w:val="24"/>
        </w:rPr>
        <w:t xml:space="preserve"> </w:t>
      </w:r>
      <w:r>
        <w:rPr>
          <w:rFonts w:ascii="Times New Roman" w:hAnsi="Times New Roman"/>
          <w:szCs w:val="24"/>
        </w:rPr>
        <w:t>жене</w:t>
      </w:r>
      <w:r w:rsidR="003E3716">
        <w:rPr>
          <w:rFonts w:ascii="Times New Roman" w:hAnsi="Times New Roman"/>
          <w:szCs w:val="24"/>
        </w:rPr>
        <w:t>“</w:t>
      </w:r>
      <w:r w:rsidR="00A916B1" w:rsidRPr="00295637">
        <w:rPr>
          <w:rFonts w:ascii="Times New Roman" w:hAnsi="Times New Roman"/>
          <w:szCs w:val="24"/>
        </w:rPr>
        <w:t xml:space="preserve"> </w:t>
      </w:r>
      <w:r>
        <w:rPr>
          <w:rFonts w:ascii="Times New Roman" w:hAnsi="Times New Roman"/>
          <w:szCs w:val="24"/>
        </w:rPr>
        <w:t>Бања</w:t>
      </w:r>
      <w:r w:rsidR="00B91D3B" w:rsidRPr="00295637">
        <w:rPr>
          <w:rFonts w:ascii="Times New Roman" w:hAnsi="Times New Roman"/>
          <w:szCs w:val="24"/>
        </w:rPr>
        <w:t xml:space="preserve"> </w:t>
      </w:r>
      <w:r>
        <w:rPr>
          <w:rFonts w:ascii="Times New Roman" w:hAnsi="Times New Roman"/>
          <w:szCs w:val="24"/>
        </w:rPr>
        <w:t>Лука</w:t>
      </w:r>
      <w:r w:rsidR="00A916B1" w:rsidRPr="00295637">
        <w:rPr>
          <w:rFonts w:ascii="Times New Roman" w:hAnsi="Times New Roman"/>
          <w:szCs w:val="24"/>
        </w:rPr>
        <w:t xml:space="preserve"> </w:t>
      </w:r>
      <w:r>
        <w:rPr>
          <w:rFonts w:ascii="Times New Roman" w:hAnsi="Times New Roman"/>
          <w:szCs w:val="24"/>
        </w:rPr>
        <w:t>и</w:t>
      </w:r>
      <w:r w:rsidR="00A916B1" w:rsidRPr="00295637">
        <w:rPr>
          <w:rFonts w:ascii="Times New Roman" w:hAnsi="Times New Roman"/>
          <w:szCs w:val="24"/>
        </w:rPr>
        <w:t xml:space="preserve"> „</w:t>
      </w:r>
      <w:r>
        <w:rPr>
          <w:rFonts w:ascii="Times New Roman" w:hAnsi="Times New Roman"/>
          <w:szCs w:val="24"/>
        </w:rPr>
        <w:t>Лара</w:t>
      </w:r>
      <w:r w:rsidR="00A916B1" w:rsidRPr="00295637">
        <w:rPr>
          <w:rFonts w:ascii="Times New Roman" w:hAnsi="Times New Roman"/>
          <w:szCs w:val="24"/>
        </w:rPr>
        <w:t xml:space="preserve">“ </w:t>
      </w:r>
      <w:r>
        <w:rPr>
          <w:rFonts w:ascii="Times New Roman" w:hAnsi="Times New Roman"/>
          <w:szCs w:val="24"/>
        </w:rPr>
        <w:t>Бијељина</w:t>
      </w:r>
      <w:r w:rsidR="00A916B1" w:rsidRPr="00295637">
        <w:rPr>
          <w:rFonts w:ascii="Times New Roman" w:hAnsi="Times New Roman"/>
          <w:szCs w:val="24"/>
        </w:rPr>
        <w:t>.</w:t>
      </w:r>
    </w:p>
    <w:p w:rsidR="00820915" w:rsidRPr="00295637" w:rsidRDefault="00820915" w:rsidP="0086268D">
      <w:pPr>
        <w:tabs>
          <w:tab w:val="left" w:pos="1080"/>
        </w:tabs>
        <w:jc w:val="both"/>
        <w:rPr>
          <w:rFonts w:ascii="Times New Roman" w:hAnsi="Times New Roman"/>
          <w:lang w:val="bs-Latn-BA"/>
        </w:rPr>
      </w:pPr>
    </w:p>
    <w:p w:rsidR="00356C2C" w:rsidRPr="00295637" w:rsidRDefault="006E324C" w:rsidP="003E3716">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3E3716">
        <w:rPr>
          <w:rFonts w:ascii="Times New Roman" w:hAnsi="Times New Roman"/>
          <w:szCs w:val="24"/>
          <w:lang w:val="bs-Latn-BA"/>
        </w:rPr>
        <w:t xml:space="preserve"> 1.7.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промотивних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информаци</w:t>
      </w:r>
      <w:r>
        <w:rPr>
          <w:rFonts w:ascii="Times New Roman" w:hAnsi="Times New Roman"/>
          <w:szCs w:val="24"/>
          <w:lang w:val="sr-Cyrl-BA"/>
        </w:rPr>
        <w:t>оних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подизање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свијести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јавности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погледу</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над</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као</w:t>
      </w:r>
      <w:r w:rsidR="00356C2C" w:rsidRPr="00295637">
        <w:rPr>
          <w:rFonts w:ascii="Times New Roman" w:hAnsi="Times New Roman"/>
          <w:szCs w:val="24"/>
          <w:lang w:val="bs-Latn-BA"/>
        </w:rPr>
        <w:t xml:space="preserve"> </w:t>
      </w:r>
      <w:r w:rsidR="00C6214E">
        <w:rPr>
          <w:rFonts w:ascii="Times New Roman" w:hAnsi="Times New Roman"/>
          <w:szCs w:val="24"/>
          <w:lang w:val="bs-Latn-BA"/>
        </w:rPr>
        <w:t>кршењу</w:t>
      </w:r>
      <w:r w:rsidR="00356C2C" w:rsidRPr="00295637">
        <w:rPr>
          <w:rFonts w:ascii="Times New Roman" w:hAnsi="Times New Roman"/>
          <w:szCs w:val="24"/>
          <w:lang w:val="bs-Latn-BA"/>
        </w:rPr>
        <w:t xml:space="preserve"> </w:t>
      </w:r>
      <w:r w:rsidR="00C6214E">
        <w:rPr>
          <w:rFonts w:ascii="Times New Roman" w:hAnsi="Times New Roman"/>
          <w:szCs w:val="24"/>
          <w:lang w:val="bs-Latn-BA"/>
        </w:rPr>
        <w:t>људских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конкретне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поруке</w:t>
      </w:r>
      <w:r w:rsidR="00356C2C" w:rsidRPr="00295637">
        <w:rPr>
          <w:rFonts w:ascii="Times New Roman" w:hAnsi="Times New Roman"/>
          <w:szCs w:val="24"/>
          <w:lang w:val="bs-Latn-BA"/>
        </w:rPr>
        <w:t xml:space="preserve"> </w:t>
      </w:r>
      <w:r w:rsidR="00C6214E">
        <w:rPr>
          <w:rFonts w:ascii="Times New Roman" w:hAnsi="Times New Roman"/>
          <w:szCs w:val="24"/>
          <w:lang w:val="bs-Latn-BA"/>
        </w:rPr>
        <w:t>упућене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дјечацима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мушкарцима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њиховој</w:t>
      </w:r>
      <w:r w:rsidR="00356C2C" w:rsidRPr="00295637">
        <w:rPr>
          <w:rFonts w:ascii="Times New Roman" w:hAnsi="Times New Roman"/>
          <w:szCs w:val="24"/>
          <w:lang w:val="bs-Latn-BA"/>
        </w:rPr>
        <w:t xml:space="preserve"> </w:t>
      </w:r>
      <w:r w:rsidR="00C6214E">
        <w:rPr>
          <w:rFonts w:ascii="Times New Roman" w:hAnsi="Times New Roman"/>
          <w:szCs w:val="24"/>
          <w:lang w:val="bs-Latn-BA"/>
        </w:rPr>
        <w:t>одговорности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погледу</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превенције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укидања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над</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породици</w:t>
      </w:r>
      <w:r w:rsidR="00282B6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трговини</w:t>
      </w:r>
      <w:r w:rsidR="00356C2C" w:rsidRPr="00295637">
        <w:rPr>
          <w:rFonts w:ascii="Times New Roman" w:hAnsi="Times New Roman"/>
          <w:szCs w:val="24"/>
          <w:lang w:val="bs-Latn-BA"/>
        </w:rPr>
        <w:t xml:space="preserve"> </w:t>
      </w:r>
      <w:r w:rsidR="00C6214E">
        <w:rPr>
          <w:rFonts w:ascii="Times New Roman" w:hAnsi="Times New Roman"/>
          <w:szCs w:val="24"/>
          <w:lang w:val="bs-Latn-BA"/>
        </w:rPr>
        <w:t>људима</w:t>
      </w:r>
      <w:r w:rsidR="00356C2C" w:rsidRPr="00295637">
        <w:rPr>
          <w:rFonts w:ascii="Times New Roman" w:hAnsi="Times New Roman"/>
          <w:szCs w:val="24"/>
          <w:lang w:val="bs-Latn-BA"/>
        </w:rPr>
        <w:t xml:space="preserve">. </w:t>
      </w:r>
    </w:p>
    <w:p w:rsidR="00C142CC" w:rsidRPr="00295637" w:rsidRDefault="00C142CC" w:rsidP="0086268D">
      <w:pPr>
        <w:jc w:val="both"/>
        <w:rPr>
          <w:rFonts w:ascii="Times New Roman" w:hAnsi="Times New Roman"/>
        </w:rPr>
      </w:pPr>
    </w:p>
    <w:p w:rsidR="00B43ED7" w:rsidRPr="00295637" w:rsidRDefault="00C6214E" w:rsidP="0086268D">
      <w:pPr>
        <w:jc w:val="both"/>
        <w:rPr>
          <w:rFonts w:ascii="Times New Roman" w:hAnsi="Times New Roman"/>
        </w:rPr>
      </w:pPr>
      <w:r>
        <w:rPr>
          <w:rFonts w:ascii="Times New Roman" w:hAnsi="Times New Roman"/>
        </w:rPr>
        <w:t>У</w:t>
      </w:r>
      <w:r w:rsidR="002B7DEA" w:rsidRPr="00295637">
        <w:rPr>
          <w:rFonts w:ascii="Times New Roman" w:hAnsi="Times New Roman"/>
        </w:rPr>
        <w:t xml:space="preserve"> </w:t>
      </w:r>
      <w:r>
        <w:rPr>
          <w:rFonts w:ascii="Times New Roman" w:hAnsi="Times New Roman"/>
        </w:rPr>
        <w:t>сврху</w:t>
      </w:r>
      <w:r w:rsidR="002B7DEA" w:rsidRPr="00295637">
        <w:rPr>
          <w:rFonts w:ascii="Times New Roman" w:hAnsi="Times New Roman"/>
        </w:rPr>
        <w:t xml:space="preserve"> </w:t>
      </w:r>
      <w:r>
        <w:rPr>
          <w:rFonts w:ascii="Times New Roman" w:hAnsi="Times New Roman"/>
        </w:rPr>
        <w:t>промоције</w:t>
      </w:r>
      <w:r w:rsidR="002B7DEA" w:rsidRPr="00295637">
        <w:rPr>
          <w:rFonts w:ascii="Times New Roman" w:hAnsi="Times New Roman"/>
        </w:rPr>
        <w:t xml:space="preserve"> </w:t>
      </w:r>
      <w:r>
        <w:rPr>
          <w:rFonts w:ascii="Times New Roman" w:hAnsi="Times New Roman"/>
        </w:rPr>
        <w:t>и</w:t>
      </w:r>
      <w:r w:rsidR="002B7DEA" w:rsidRPr="00295637">
        <w:rPr>
          <w:rFonts w:ascii="Times New Roman" w:hAnsi="Times New Roman"/>
        </w:rPr>
        <w:t xml:space="preserve"> </w:t>
      </w:r>
      <w:r>
        <w:rPr>
          <w:rFonts w:ascii="Times New Roman" w:hAnsi="Times New Roman"/>
        </w:rPr>
        <w:t>унапређења</w:t>
      </w:r>
      <w:r w:rsidR="002B7DEA" w:rsidRPr="00295637">
        <w:rPr>
          <w:rFonts w:ascii="Times New Roman" w:hAnsi="Times New Roman"/>
        </w:rPr>
        <w:t xml:space="preserve"> </w:t>
      </w:r>
      <w:r>
        <w:rPr>
          <w:rFonts w:ascii="Times New Roman" w:hAnsi="Times New Roman"/>
        </w:rPr>
        <w:t>свијести</w:t>
      </w:r>
      <w:r w:rsidR="002B7DEA" w:rsidRPr="00295637">
        <w:rPr>
          <w:rFonts w:ascii="Times New Roman" w:hAnsi="Times New Roman"/>
        </w:rPr>
        <w:t xml:space="preserve"> </w:t>
      </w:r>
      <w:r>
        <w:rPr>
          <w:rFonts w:ascii="Times New Roman" w:hAnsi="Times New Roman"/>
        </w:rPr>
        <w:t>о</w:t>
      </w:r>
      <w:r w:rsidR="002B7DEA" w:rsidRPr="00295637">
        <w:rPr>
          <w:rFonts w:ascii="Times New Roman" w:hAnsi="Times New Roman"/>
        </w:rPr>
        <w:t xml:space="preserve"> </w:t>
      </w:r>
      <w:r>
        <w:rPr>
          <w:rFonts w:ascii="Times New Roman" w:hAnsi="Times New Roman"/>
        </w:rPr>
        <w:t>потреби</w:t>
      </w:r>
      <w:r w:rsidR="002B7DEA" w:rsidRPr="00295637">
        <w:rPr>
          <w:rFonts w:ascii="Times New Roman" w:hAnsi="Times New Roman"/>
        </w:rPr>
        <w:t xml:space="preserve"> </w:t>
      </w:r>
      <w:r>
        <w:rPr>
          <w:rFonts w:ascii="Times New Roman" w:hAnsi="Times New Roman"/>
        </w:rPr>
        <w:t>превенције</w:t>
      </w:r>
      <w:r w:rsidR="002B7DEA" w:rsidRPr="00295637">
        <w:rPr>
          <w:rFonts w:ascii="Times New Roman" w:hAnsi="Times New Roman"/>
        </w:rPr>
        <w:t xml:space="preserve"> </w:t>
      </w:r>
      <w:r>
        <w:rPr>
          <w:rFonts w:ascii="Times New Roman" w:hAnsi="Times New Roman"/>
        </w:rPr>
        <w:t>родно</w:t>
      </w:r>
      <w:r w:rsidR="002B7DEA" w:rsidRPr="00295637">
        <w:rPr>
          <w:rFonts w:ascii="Times New Roman" w:hAnsi="Times New Roman"/>
        </w:rPr>
        <w:t xml:space="preserve"> </w:t>
      </w:r>
      <w:r>
        <w:rPr>
          <w:rFonts w:ascii="Times New Roman" w:hAnsi="Times New Roman"/>
        </w:rPr>
        <w:t>заснованог</w:t>
      </w:r>
      <w:r w:rsidR="002B7DEA" w:rsidRPr="00295637">
        <w:rPr>
          <w:rFonts w:ascii="Times New Roman" w:hAnsi="Times New Roman"/>
        </w:rPr>
        <w:t xml:space="preserve"> </w:t>
      </w:r>
      <w:r>
        <w:rPr>
          <w:rFonts w:ascii="Times New Roman" w:hAnsi="Times New Roman"/>
        </w:rPr>
        <w:t>насиља</w:t>
      </w:r>
      <w:r w:rsidR="002B7DEA" w:rsidRPr="00295637">
        <w:rPr>
          <w:rFonts w:ascii="Times New Roman" w:hAnsi="Times New Roman"/>
        </w:rPr>
        <w:t xml:space="preserve">, </w:t>
      </w:r>
      <w:r>
        <w:rPr>
          <w:rFonts w:ascii="Times New Roman" w:hAnsi="Times New Roman"/>
        </w:rPr>
        <w:t>АР</w:t>
      </w:r>
      <w:r w:rsidR="006E324C">
        <w:rPr>
          <w:rFonts w:ascii="Times New Roman" w:hAnsi="Times New Roman"/>
          <w:lang w:val="sr-Cyrl-BA"/>
        </w:rPr>
        <w:t>П</w:t>
      </w:r>
      <w:r w:rsidR="00D30E48">
        <w:rPr>
          <w:rFonts w:ascii="Times New Roman" w:hAnsi="Times New Roman"/>
        </w:rPr>
        <w:t xml:space="preserve"> </w:t>
      </w:r>
      <w:r>
        <w:rPr>
          <w:rFonts w:ascii="Times New Roman" w:hAnsi="Times New Roman"/>
        </w:rPr>
        <w:t>БиХ</w:t>
      </w:r>
      <w:r w:rsidR="002B7DEA" w:rsidRPr="00295637">
        <w:rPr>
          <w:rFonts w:ascii="Times New Roman" w:hAnsi="Times New Roman"/>
        </w:rPr>
        <w:t xml:space="preserve"> </w:t>
      </w:r>
      <w:r>
        <w:rPr>
          <w:rFonts w:ascii="Times New Roman" w:hAnsi="Times New Roman"/>
        </w:rPr>
        <w:t>МЉПИ</w:t>
      </w:r>
      <w:r w:rsidR="00282B67">
        <w:rPr>
          <w:rFonts w:ascii="Times New Roman" w:hAnsi="Times New Roman"/>
        </w:rPr>
        <w:t xml:space="preserve"> </w:t>
      </w:r>
      <w:r>
        <w:rPr>
          <w:rFonts w:ascii="Times New Roman" w:hAnsi="Times New Roman"/>
        </w:rPr>
        <w:t>БиХ</w:t>
      </w:r>
      <w:r w:rsidR="002B7DEA" w:rsidRPr="00295637">
        <w:rPr>
          <w:rFonts w:ascii="Times New Roman" w:hAnsi="Times New Roman"/>
          <w:b/>
        </w:rPr>
        <w:t xml:space="preserve"> </w:t>
      </w:r>
      <w:r>
        <w:rPr>
          <w:rFonts w:ascii="Times New Roman" w:hAnsi="Times New Roman"/>
        </w:rPr>
        <w:t>је</w:t>
      </w:r>
      <w:r w:rsidR="002B7DEA" w:rsidRPr="00295637">
        <w:rPr>
          <w:rFonts w:ascii="Times New Roman" w:hAnsi="Times New Roman"/>
          <w:b/>
        </w:rPr>
        <w:t xml:space="preserve"> </w:t>
      </w:r>
      <w:r>
        <w:rPr>
          <w:rFonts w:ascii="Times New Roman" w:hAnsi="Times New Roman"/>
        </w:rPr>
        <w:t>у</w:t>
      </w:r>
      <w:r w:rsidR="00DF09E6" w:rsidRPr="00295637">
        <w:rPr>
          <w:rFonts w:ascii="Times New Roman" w:hAnsi="Times New Roman"/>
        </w:rPr>
        <w:t xml:space="preserve"> </w:t>
      </w:r>
      <w:r>
        <w:rPr>
          <w:rFonts w:ascii="Times New Roman" w:hAnsi="Times New Roman"/>
        </w:rPr>
        <w:t>новембру</w:t>
      </w:r>
      <w:r w:rsidR="00DF09E6" w:rsidRPr="00295637">
        <w:rPr>
          <w:rFonts w:ascii="Times New Roman" w:hAnsi="Times New Roman"/>
        </w:rPr>
        <w:t xml:space="preserve"> </w:t>
      </w:r>
      <w:r>
        <w:rPr>
          <w:rFonts w:ascii="Times New Roman" w:hAnsi="Times New Roman"/>
        </w:rPr>
        <w:t>и</w:t>
      </w:r>
      <w:r w:rsidR="00DF09E6" w:rsidRPr="00295637">
        <w:rPr>
          <w:rFonts w:ascii="Times New Roman" w:hAnsi="Times New Roman"/>
        </w:rPr>
        <w:t xml:space="preserve"> </w:t>
      </w:r>
      <w:r>
        <w:rPr>
          <w:rFonts w:ascii="Times New Roman" w:hAnsi="Times New Roman"/>
        </w:rPr>
        <w:t>децембру</w:t>
      </w:r>
      <w:r w:rsidR="00DF09E6" w:rsidRPr="00295637">
        <w:rPr>
          <w:rFonts w:ascii="Times New Roman" w:hAnsi="Times New Roman"/>
        </w:rPr>
        <w:t xml:space="preserve"> 2024. </w:t>
      </w:r>
      <w:r>
        <w:rPr>
          <w:rFonts w:ascii="Times New Roman" w:hAnsi="Times New Roman"/>
        </w:rPr>
        <w:t>године</w:t>
      </w:r>
      <w:r w:rsidR="00DF09E6" w:rsidRPr="00295637">
        <w:rPr>
          <w:rFonts w:ascii="Times New Roman" w:hAnsi="Times New Roman"/>
        </w:rPr>
        <w:t xml:space="preserve"> </w:t>
      </w:r>
      <w:r>
        <w:rPr>
          <w:rFonts w:ascii="Times New Roman" w:hAnsi="Times New Roman"/>
        </w:rPr>
        <w:t>реализ</w:t>
      </w:r>
      <w:r w:rsidR="006E324C">
        <w:rPr>
          <w:rFonts w:ascii="Times New Roman" w:hAnsi="Times New Roman"/>
          <w:lang w:val="sr-Cyrl-BA"/>
        </w:rPr>
        <w:t>овала</w:t>
      </w:r>
      <w:r w:rsidR="002B7DEA" w:rsidRPr="00295637">
        <w:rPr>
          <w:rFonts w:ascii="Times New Roman" w:hAnsi="Times New Roman"/>
        </w:rPr>
        <w:t xml:space="preserve"> </w:t>
      </w:r>
      <w:r>
        <w:rPr>
          <w:rFonts w:ascii="Times New Roman" w:hAnsi="Times New Roman"/>
        </w:rPr>
        <w:t>јавну</w:t>
      </w:r>
      <w:r w:rsidR="002B7DEA" w:rsidRPr="00295637">
        <w:rPr>
          <w:rFonts w:ascii="Times New Roman" w:hAnsi="Times New Roman"/>
        </w:rPr>
        <w:t xml:space="preserve"> </w:t>
      </w:r>
      <w:r>
        <w:rPr>
          <w:rFonts w:ascii="Times New Roman" w:hAnsi="Times New Roman"/>
        </w:rPr>
        <w:t>кампању</w:t>
      </w:r>
      <w:r w:rsidR="002B7DEA" w:rsidRPr="00295637">
        <w:rPr>
          <w:rFonts w:ascii="Times New Roman" w:hAnsi="Times New Roman"/>
        </w:rPr>
        <w:t xml:space="preserve"> „</w:t>
      </w:r>
      <w:r>
        <w:rPr>
          <w:rFonts w:ascii="Times New Roman" w:hAnsi="Times New Roman"/>
        </w:rPr>
        <w:t>Политичарке</w:t>
      </w:r>
      <w:r w:rsidR="002B7DEA" w:rsidRPr="00295637">
        <w:rPr>
          <w:rFonts w:ascii="Times New Roman" w:hAnsi="Times New Roman"/>
        </w:rPr>
        <w:t xml:space="preserve"> </w:t>
      </w:r>
      <w:r>
        <w:rPr>
          <w:rFonts w:ascii="Times New Roman" w:hAnsi="Times New Roman"/>
        </w:rPr>
        <w:t>поручују</w:t>
      </w:r>
      <w:r w:rsidR="002B7DEA" w:rsidRPr="00295637">
        <w:rPr>
          <w:rFonts w:ascii="Times New Roman" w:hAnsi="Times New Roman"/>
        </w:rPr>
        <w:t xml:space="preserve">: </w:t>
      </w:r>
      <w:r>
        <w:rPr>
          <w:rFonts w:ascii="Times New Roman" w:hAnsi="Times New Roman"/>
        </w:rPr>
        <w:t>Гласно</w:t>
      </w:r>
      <w:r w:rsidR="002B7DEA" w:rsidRPr="00295637">
        <w:rPr>
          <w:rFonts w:ascii="Times New Roman" w:hAnsi="Times New Roman"/>
        </w:rPr>
        <w:t xml:space="preserve"> </w:t>
      </w:r>
      <w:r>
        <w:rPr>
          <w:rFonts w:ascii="Times New Roman" w:hAnsi="Times New Roman"/>
        </w:rPr>
        <w:t>против</w:t>
      </w:r>
      <w:r w:rsidR="002B7DEA" w:rsidRPr="00295637">
        <w:rPr>
          <w:rFonts w:ascii="Times New Roman" w:hAnsi="Times New Roman"/>
        </w:rPr>
        <w:t xml:space="preserve"> </w:t>
      </w:r>
      <w:r>
        <w:rPr>
          <w:rFonts w:ascii="Times New Roman" w:hAnsi="Times New Roman"/>
        </w:rPr>
        <w:t>насиља</w:t>
      </w:r>
      <w:r w:rsidR="002B7DEA" w:rsidRPr="00295637">
        <w:rPr>
          <w:rFonts w:ascii="Times New Roman" w:hAnsi="Times New Roman"/>
        </w:rPr>
        <w:t xml:space="preserve"> </w:t>
      </w:r>
      <w:r>
        <w:rPr>
          <w:rFonts w:ascii="Times New Roman" w:hAnsi="Times New Roman"/>
        </w:rPr>
        <w:t>над</w:t>
      </w:r>
      <w:r w:rsidR="002B7DEA" w:rsidRPr="00295637">
        <w:rPr>
          <w:rFonts w:ascii="Times New Roman" w:hAnsi="Times New Roman"/>
        </w:rPr>
        <w:t xml:space="preserve"> </w:t>
      </w:r>
      <w:r>
        <w:rPr>
          <w:rFonts w:ascii="Times New Roman" w:hAnsi="Times New Roman"/>
        </w:rPr>
        <w:t>женама</w:t>
      </w:r>
      <w:r w:rsidR="002B7DEA" w:rsidRPr="00295637">
        <w:rPr>
          <w:rFonts w:ascii="Times New Roman" w:hAnsi="Times New Roman"/>
        </w:rPr>
        <w:t xml:space="preserve">!“ </w:t>
      </w:r>
      <w:r>
        <w:rPr>
          <w:rFonts w:ascii="Times New Roman" w:hAnsi="Times New Roman"/>
        </w:rPr>
        <w:t>уз</w:t>
      </w:r>
      <w:r w:rsidR="002B7DEA" w:rsidRPr="00295637">
        <w:rPr>
          <w:rFonts w:ascii="Times New Roman" w:hAnsi="Times New Roman"/>
        </w:rPr>
        <w:t xml:space="preserve"> </w:t>
      </w:r>
      <w:r>
        <w:rPr>
          <w:rFonts w:ascii="Times New Roman" w:hAnsi="Times New Roman"/>
        </w:rPr>
        <w:t>велику</w:t>
      </w:r>
      <w:r w:rsidR="002B7DEA" w:rsidRPr="00295637">
        <w:rPr>
          <w:rFonts w:ascii="Times New Roman" w:hAnsi="Times New Roman"/>
        </w:rPr>
        <w:t xml:space="preserve"> </w:t>
      </w:r>
      <w:r>
        <w:rPr>
          <w:rFonts w:ascii="Times New Roman" w:hAnsi="Times New Roman"/>
        </w:rPr>
        <w:t>гледаност</w:t>
      </w:r>
      <w:r w:rsidR="002B7DEA" w:rsidRPr="00295637">
        <w:rPr>
          <w:rFonts w:ascii="Times New Roman" w:hAnsi="Times New Roman"/>
        </w:rPr>
        <w:t xml:space="preserve"> </w:t>
      </w:r>
      <w:r>
        <w:rPr>
          <w:rFonts w:ascii="Times New Roman" w:hAnsi="Times New Roman"/>
        </w:rPr>
        <w:t>и</w:t>
      </w:r>
      <w:r w:rsidR="002B7DEA" w:rsidRPr="00295637">
        <w:rPr>
          <w:rFonts w:ascii="Times New Roman" w:hAnsi="Times New Roman"/>
        </w:rPr>
        <w:t xml:space="preserve"> </w:t>
      </w:r>
      <w:r>
        <w:rPr>
          <w:rFonts w:ascii="Times New Roman" w:hAnsi="Times New Roman"/>
        </w:rPr>
        <w:t>запажен</w:t>
      </w:r>
      <w:r w:rsidR="002B7DEA" w:rsidRPr="00295637">
        <w:rPr>
          <w:rFonts w:ascii="Times New Roman" w:hAnsi="Times New Roman"/>
        </w:rPr>
        <w:t xml:space="preserve"> </w:t>
      </w:r>
      <w:r>
        <w:rPr>
          <w:rFonts w:ascii="Times New Roman" w:hAnsi="Times New Roman"/>
        </w:rPr>
        <w:t>пријем</w:t>
      </w:r>
      <w:r w:rsidR="002B7DEA" w:rsidRPr="00295637">
        <w:rPr>
          <w:rFonts w:ascii="Times New Roman" w:hAnsi="Times New Roman"/>
        </w:rPr>
        <w:t xml:space="preserve"> </w:t>
      </w:r>
      <w:r>
        <w:rPr>
          <w:rFonts w:ascii="Times New Roman" w:hAnsi="Times New Roman"/>
        </w:rPr>
        <w:t>на</w:t>
      </w:r>
      <w:r w:rsidR="002B7DEA" w:rsidRPr="00295637">
        <w:rPr>
          <w:rFonts w:ascii="Times New Roman" w:hAnsi="Times New Roman"/>
        </w:rPr>
        <w:t xml:space="preserve"> </w:t>
      </w:r>
      <w:r>
        <w:rPr>
          <w:rFonts w:ascii="Times New Roman" w:hAnsi="Times New Roman"/>
        </w:rPr>
        <w:t>друштвеним</w:t>
      </w:r>
      <w:r w:rsidR="002B7DEA" w:rsidRPr="00295637">
        <w:rPr>
          <w:rFonts w:ascii="Times New Roman" w:hAnsi="Times New Roman"/>
        </w:rPr>
        <w:t xml:space="preserve"> </w:t>
      </w:r>
      <w:r>
        <w:rPr>
          <w:rFonts w:ascii="Times New Roman" w:hAnsi="Times New Roman"/>
        </w:rPr>
        <w:t>мрежама</w:t>
      </w:r>
      <w:r w:rsidR="002B7DEA" w:rsidRPr="00295637">
        <w:rPr>
          <w:rFonts w:ascii="Times New Roman" w:hAnsi="Times New Roman"/>
        </w:rPr>
        <w:t xml:space="preserve">, </w:t>
      </w:r>
      <w:r>
        <w:rPr>
          <w:rFonts w:ascii="Times New Roman" w:hAnsi="Times New Roman"/>
        </w:rPr>
        <w:t>информативним</w:t>
      </w:r>
      <w:r w:rsidR="002B7DEA" w:rsidRPr="00295637">
        <w:rPr>
          <w:rFonts w:ascii="Times New Roman" w:hAnsi="Times New Roman"/>
        </w:rPr>
        <w:t xml:space="preserve"> </w:t>
      </w:r>
      <w:r>
        <w:rPr>
          <w:rFonts w:ascii="Times New Roman" w:hAnsi="Times New Roman"/>
        </w:rPr>
        <w:t>порталима</w:t>
      </w:r>
      <w:r w:rsidR="002B7DEA" w:rsidRPr="00295637">
        <w:rPr>
          <w:rFonts w:ascii="Times New Roman" w:hAnsi="Times New Roman"/>
        </w:rPr>
        <w:t xml:space="preserve">, </w:t>
      </w:r>
      <w:r>
        <w:rPr>
          <w:rFonts w:ascii="Times New Roman" w:hAnsi="Times New Roman"/>
        </w:rPr>
        <w:t>ТВ</w:t>
      </w:r>
      <w:r w:rsidR="002B7DEA" w:rsidRPr="00295637">
        <w:rPr>
          <w:rFonts w:ascii="Times New Roman" w:hAnsi="Times New Roman"/>
        </w:rPr>
        <w:t xml:space="preserve"> </w:t>
      </w:r>
      <w:r>
        <w:rPr>
          <w:rFonts w:ascii="Times New Roman" w:hAnsi="Times New Roman"/>
        </w:rPr>
        <w:t>и</w:t>
      </w:r>
      <w:r w:rsidR="002B7DEA" w:rsidRPr="00295637">
        <w:rPr>
          <w:rFonts w:ascii="Times New Roman" w:hAnsi="Times New Roman"/>
        </w:rPr>
        <w:t xml:space="preserve"> </w:t>
      </w:r>
      <w:r>
        <w:rPr>
          <w:rFonts w:ascii="Times New Roman" w:hAnsi="Times New Roman"/>
        </w:rPr>
        <w:t>радију</w:t>
      </w:r>
      <w:r w:rsidR="002B7DEA" w:rsidRPr="00295637">
        <w:rPr>
          <w:rFonts w:ascii="Times New Roman" w:hAnsi="Times New Roman"/>
        </w:rPr>
        <w:t xml:space="preserve">. </w:t>
      </w:r>
      <w:r>
        <w:rPr>
          <w:rFonts w:ascii="Times New Roman" w:hAnsi="Times New Roman"/>
        </w:rPr>
        <w:t>Централни</w:t>
      </w:r>
      <w:r w:rsidR="002B7DEA" w:rsidRPr="00295637">
        <w:rPr>
          <w:rFonts w:ascii="Times New Roman" w:hAnsi="Times New Roman"/>
        </w:rPr>
        <w:t xml:space="preserve"> </w:t>
      </w:r>
      <w:r>
        <w:rPr>
          <w:rFonts w:ascii="Times New Roman" w:hAnsi="Times New Roman"/>
        </w:rPr>
        <w:t>садржај</w:t>
      </w:r>
      <w:r w:rsidR="002B7DEA" w:rsidRPr="00295637">
        <w:rPr>
          <w:rFonts w:ascii="Times New Roman" w:hAnsi="Times New Roman"/>
        </w:rPr>
        <w:t xml:space="preserve"> </w:t>
      </w:r>
      <w:r>
        <w:rPr>
          <w:rFonts w:ascii="Times New Roman" w:hAnsi="Times New Roman"/>
        </w:rPr>
        <w:t>поменуте</w:t>
      </w:r>
      <w:r w:rsidR="002B7DEA" w:rsidRPr="00295637">
        <w:rPr>
          <w:rFonts w:ascii="Times New Roman" w:hAnsi="Times New Roman"/>
        </w:rPr>
        <w:t xml:space="preserve"> </w:t>
      </w:r>
      <w:r>
        <w:rPr>
          <w:rFonts w:ascii="Times New Roman" w:hAnsi="Times New Roman"/>
        </w:rPr>
        <w:t>кампање</w:t>
      </w:r>
      <w:r w:rsidR="002B7DEA" w:rsidRPr="00295637">
        <w:rPr>
          <w:rFonts w:ascii="Times New Roman" w:hAnsi="Times New Roman"/>
        </w:rPr>
        <w:t xml:space="preserve"> </w:t>
      </w:r>
      <w:r>
        <w:rPr>
          <w:rFonts w:ascii="Times New Roman" w:hAnsi="Times New Roman"/>
        </w:rPr>
        <w:t>су</w:t>
      </w:r>
      <w:r w:rsidR="002B7DEA" w:rsidRPr="00295637">
        <w:rPr>
          <w:rFonts w:ascii="Times New Roman" w:hAnsi="Times New Roman"/>
        </w:rPr>
        <w:t xml:space="preserve"> </w:t>
      </w:r>
      <w:r>
        <w:rPr>
          <w:rFonts w:ascii="Times New Roman" w:hAnsi="Times New Roman"/>
        </w:rPr>
        <w:t>биле</w:t>
      </w:r>
      <w:r w:rsidR="002B7DEA" w:rsidRPr="00295637">
        <w:rPr>
          <w:rFonts w:ascii="Times New Roman" w:hAnsi="Times New Roman"/>
        </w:rPr>
        <w:t xml:space="preserve"> </w:t>
      </w:r>
      <w:r>
        <w:rPr>
          <w:rFonts w:ascii="Times New Roman" w:hAnsi="Times New Roman"/>
        </w:rPr>
        <w:t>изјаве</w:t>
      </w:r>
      <w:r w:rsidR="00E42DBA" w:rsidRPr="00295637">
        <w:rPr>
          <w:rFonts w:ascii="Times New Roman" w:hAnsi="Times New Roman"/>
        </w:rPr>
        <w:t xml:space="preserve"> </w:t>
      </w:r>
      <w:r>
        <w:rPr>
          <w:rFonts w:ascii="Times New Roman" w:hAnsi="Times New Roman"/>
        </w:rPr>
        <w:t>пет</w:t>
      </w:r>
      <w:r w:rsidR="00E42DBA" w:rsidRPr="00295637">
        <w:rPr>
          <w:rFonts w:ascii="Times New Roman" w:hAnsi="Times New Roman"/>
        </w:rPr>
        <w:t xml:space="preserve"> </w:t>
      </w:r>
      <w:r>
        <w:rPr>
          <w:rFonts w:ascii="Times New Roman" w:hAnsi="Times New Roman"/>
        </w:rPr>
        <w:t>политичарки</w:t>
      </w:r>
      <w:r w:rsidR="00E42DBA" w:rsidRPr="00295637">
        <w:rPr>
          <w:rFonts w:ascii="Times New Roman" w:hAnsi="Times New Roman"/>
        </w:rPr>
        <w:t xml:space="preserve"> </w:t>
      </w:r>
      <w:r>
        <w:rPr>
          <w:rFonts w:ascii="Times New Roman" w:hAnsi="Times New Roman"/>
        </w:rPr>
        <w:t>из</w:t>
      </w:r>
      <w:r w:rsidR="00E42DBA" w:rsidRPr="00295637">
        <w:rPr>
          <w:rFonts w:ascii="Times New Roman" w:hAnsi="Times New Roman"/>
        </w:rPr>
        <w:t xml:space="preserve"> </w:t>
      </w:r>
      <w:r>
        <w:rPr>
          <w:rFonts w:ascii="Times New Roman" w:hAnsi="Times New Roman"/>
        </w:rPr>
        <w:t>извршне</w:t>
      </w:r>
      <w:r w:rsidR="00E42DBA" w:rsidRPr="00295637">
        <w:rPr>
          <w:rFonts w:ascii="Times New Roman" w:hAnsi="Times New Roman"/>
        </w:rPr>
        <w:t xml:space="preserve"> </w:t>
      </w:r>
      <w:r>
        <w:rPr>
          <w:rFonts w:ascii="Times New Roman" w:hAnsi="Times New Roman"/>
        </w:rPr>
        <w:t>и</w:t>
      </w:r>
      <w:r w:rsidR="002B7DEA" w:rsidRPr="00295637">
        <w:rPr>
          <w:rFonts w:ascii="Times New Roman" w:hAnsi="Times New Roman"/>
        </w:rPr>
        <w:t xml:space="preserve"> </w:t>
      </w:r>
      <w:r>
        <w:rPr>
          <w:rFonts w:ascii="Times New Roman" w:hAnsi="Times New Roman"/>
        </w:rPr>
        <w:t>законодавне</w:t>
      </w:r>
      <w:r w:rsidR="002B7DEA" w:rsidRPr="00295637">
        <w:rPr>
          <w:rFonts w:ascii="Times New Roman" w:hAnsi="Times New Roman"/>
        </w:rPr>
        <w:t xml:space="preserve"> </w:t>
      </w:r>
      <w:r>
        <w:rPr>
          <w:rFonts w:ascii="Times New Roman" w:hAnsi="Times New Roman"/>
        </w:rPr>
        <w:t>власти</w:t>
      </w:r>
      <w:r w:rsidR="00282B67">
        <w:rPr>
          <w:rFonts w:ascii="Times New Roman" w:hAnsi="Times New Roman"/>
        </w:rPr>
        <w:t xml:space="preserve"> </w:t>
      </w:r>
      <w:r>
        <w:rPr>
          <w:rFonts w:ascii="Times New Roman" w:hAnsi="Times New Roman"/>
        </w:rPr>
        <w:t>са</w:t>
      </w:r>
      <w:r w:rsidR="002B7DEA" w:rsidRPr="00295637">
        <w:rPr>
          <w:rFonts w:ascii="Times New Roman" w:hAnsi="Times New Roman"/>
        </w:rPr>
        <w:t xml:space="preserve"> </w:t>
      </w:r>
      <w:r>
        <w:rPr>
          <w:rFonts w:ascii="Times New Roman" w:hAnsi="Times New Roman"/>
        </w:rPr>
        <w:t>нивоа</w:t>
      </w:r>
      <w:r w:rsidR="002B7DEA" w:rsidRPr="00295637">
        <w:rPr>
          <w:rFonts w:ascii="Times New Roman" w:hAnsi="Times New Roman"/>
        </w:rPr>
        <w:t xml:space="preserve"> </w:t>
      </w:r>
      <w:r>
        <w:rPr>
          <w:rFonts w:ascii="Times New Roman" w:hAnsi="Times New Roman"/>
        </w:rPr>
        <w:t>институција</w:t>
      </w:r>
      <w:r w:rsidR="002B7DEA" w:rsidRPr="00295637">
        <w:rPr>
          <w:rFonts w:ascii="Times New Roman" w:hAnsi="Times New Roman"/>
        </w:rPr>
        <w:t xml:space="preserve"> </w:t>
      </w:r>
      <w:r>
        <w:rPr>
          <w:rFonts w:ascii="Times New Roman" w:hAnsi="Times New Roman"/>
        </w:rPr>
        <w:t>БиХ</w:t>
      </w:r>
      <w:r w:rsidR="002B7DEA" w:rsidRPr="00295637">
        <w:rPr>
          <w:rFonts w:ascii="Times New Roman" w:hAnsi="Times New Roman"/>
        </w:rPr>
        <w:t xml:space="preserve">, </w:t>
      </w:r>
      <w:r>
        <w:rPr>
          <w:rFonts w:ascii="Times New Roman" w:hAnsi="Times New Roman"/>
        </w:rPr>
        <w:t>ФБиХ</w:t>
      </w:r>
      <w:r w:rsidR="002B7DEA" w:rsidRPr="00295637">
        <w:rPr>
          <w:rFonts w:ascii="Times New Roman" w:hAnsi="Times New Roman"/>
        </w:rPr>
        <w:t xml:space="preserve"> </w:t>
      </w:r>
      <w:r>
        <w:rPr>
          <w:rFonts w:ascii="Times New Roman" w:hAnsi="Times New Roman"/>
        </w:rPr>
        <w:t>и</w:t>
      </w:r>
      <w:r w:rsidR="002B7DEA" w:rsidRPr="00295637">
        <w:rPr>
          <w:rFonts w:ascii="Times New Roman" w:hAnsi="Times New Roman"/>
        </w:rPr>
        <w:t xml:space="preserve"> </w:t>
      </w:r>
      <w:r>
        <w:rPr>
          <w:rFonts w:ascii="Times New Roman" w:hAnsi="Times New Roman"/>
        </w:rPr>
        <w:t>РС</w:t>
      </w:r>
      <w:r w:rsidR="002B7DEA" w:rsidRPr="00295637">
        <w:rPr>
          <w:rFonts w:ascii="Times New Roman" w:hAnsi="Times New Roman"/>
        </w:rPr>
        <w:t xml:space="preserve">. </w:t>
      </w:r>
      <w:r>
        <w:rPr>
          <w:rFonts w:ascii="Times New Roman" w:hAnsi="Times New Roman"/>
        </w:rPr>
        <w:t>Изјавама</w:t>
      </w:r>
      <w:r w:rsidR="002B7DEA" w:rsidRPr="00295637">
        <w:rPr>
          <w:rFonts w:ascii="Times New Roman" w:hAnsi="Times New Roman"/>
        </w:rPr>
        <w:t xml:space="preserve">, </w:t>
      </w:r>
      <w:r>
        <w:rPr>
          <w:rFonts w:ascii="Times New Roman" w:hAnsi="Times New Roman"/>
        </w:rPr>
        <w:t>емит</w:t>
      </w:r>
      <w:r w:rsidR="006E324C">
        <w:rPr>
          <w:rFonts w:ascii="Times New Roman" w:hAnsi="Times New Roman"/>
          <w:lang w:val="sr-Cyrl-BA"/>
        </w:rPr>
        <w:t>ованим</w:t>
      </w:r>
      <w:r w:rsidR="002B7DEA" w:rsidRPr="00295637">
        <w:rPr>
          <w:rFonts w:ascii="Times New Roman" w:hAnsi="Times New Roman"/>
        </w:rPr>
        <w:t xml:space="preserve"> </w:t>
      </w:r>
      <w:r>
        <w:rPr>
          <w:rFonts w:ascii="Times New Roman" w:hAnsi="Times New Roman"/>
        </w:rPr>
        <w:t>на</w:t>
      </w:r>
      <w:r w:rsidR="002B7DEA" w:rsidRPr="00295637">
        <w:rPr>
          <w:rFonts w:ascii="Times New Roman" w:hAnsi="Times New Roman"/>
        </w:rPr>
        <w:t xml:space="preserve"> </w:t>
      </w:r>
      <w:r>
        <w:rPr>
          <w:rFonts w:ascii="Times New Roman" w:hAnsi="Times New Roman"/>
        </w:rPr>
        <w:t>најгледанијим</w:t>
      </w:r>
      <w:r w:rsidR="002B7DEA" w:rsidRPr="00295637">
        <w:rPr>
          <w:rFonts w:ascii="Times New Roman" w:hAnsi="Times New Roman"/>
        </w:rPr>
        <w:t xml:space="preserve"> </w:t>
      </w:r>
      <w:r>
        <w:rPr>
          <w:rFonts w:ascii="Times New Roman" w:hAnsi="Times New Roman"/>
        </w:rPr>
        <w:t>онл</w:t>
      </w:r>
      <w:r w:rsidR="006E324C">
        <w:rPr>
          <w:rFonts w:ascii="Times New Roman" w:hAnsi="Times New Roman"/>
          <w:lang w:val="sr-Cyrl-BA"/>
        </w:rPr>
        <w:t>ајн</w:t>
      </w:r>
      <w:r w:rsidR="002B7DEA" w:rsidRPr="00295637">
        <w:rPr>
          <w:rFonts w:ascii="Times New Roman" w:hAnsi="Times New Roman"/>
        </w:rPr>
        <w:t xml:space="preserve"> </w:t>
      </w:r>
      <w:r>
        <w:rPr>
          <w:rFonts w:ascii="Times New Roman" w:hAnsi="Times New Roman"/>
        </w:rPr>
        <w:t>медијима</w:t>
      </w:r>
      <w:r w:rsidR="00DF09E6" w:rsidRPr="00295637">
        <w:rPr>
          <w:rFonts w:ascii="Times New Roman" w:hAnsi="Times New Roman"/>
        </w:rPr>
        <w:t>,</w:t>
      </w:r>
      <w:r w:rsidR="002B7DEA" w:rsidRPr="00295637">
        <w:rPr>
          <w:rFonts w:ascii="Times New Roman" w:hAnsi="Times New Roman"/>
        </w:rPr>
        <w:t xml:space="preserve"> </w:t>
      </w:r>
      <w:r>
        <w:rPr>
          <w:rFonts w:ascii="Times New Roman" w:hAnsi="Times New Roman"/>
        </w:rPr>
        <w:t>послане</w:t>
      </w:r>
      <w:r w:rsidR="002B7DEA" w:rsidRPr="00295637">
        <w:rPr>
          <w:rFonts w:ascii="Times New Roman" w:hAnsi="Times New Roman"/>
        </w:rPr>
        <w:t xml:space="preserve"> </w:t>
      </w:r>
      <w:r>
        <w:rPr>
          <w:rFonts w:ascii="Times New Roman" w:hAnsi="Times New Roman"/>
        </w:rPr>
        <w:t>су</w:t>
      </w:r>
      <w:r w:rsidR="002B7DEA" w:rsidRPr="00295637">
        <w:rPr>
          <w:rFonts w:ascii="Times New Roman" w:hAnsi="Times New Roman"/>
        </w:rPr>
        <w:t xml:space="preserve"> </w:t>
      </w:r>
      <w:r>
        <w:rPr>
          <w:rFonts w:ascii="Times New Roman" w:hAnsi="Times New Roman"/>
        </w:rPr>
        <w:t>јасне</w:t>
      </w:r>
      <w:r w:rsidR="002B7DEA" w:rsidRPr="00295637">
        <w:rPr>
          <w:rFonts w:ascii="Times New Roman" w:hAnsi="Times New Roman"/>
        </w:rPr>
        <w:t xml:space="preserve"> </w:t>
      </w:r>
      <w:r>
        <w:rPr>
          <w:rFonts w:ascii="Times New Roman" w:hAnsi="Times New Roman"/>
        </w:rPr>
        <w:t>и</w:t>
      </w:r>
      <w:r w:rsidR="002B7DEA" w:rsidRPr="00295637">
        <w:rPr>
          <w:rFonts w:ascii="Times New Roman" w:hAnsi="Times New Roman"/>
        </w:rPr>
        <w:t xml:space="preserve"> </w:t>
      </w:r>
      <w:r>
        <w:rPr>
          <w:rFonts w:ascii="Times New Roman" w:hAnsi="Times New Roman"/>
        </w:rPr>
        <w:t>упечатљиве</w:t>
      </w:r>
      <w:r w:rsidR="002B7DEA" w:rsidRPr="00295637">
        <w:rPr>
          <w:rFonts w:ascii="Times New Roman" w:hAnsi="Times New Roman"/>
        </w:rPr>
        <w:t xml:space="preserve"> </w:t>
      </w:r>
      <w:r>
        <w:rPr>
          <w:rFonts w:ascii="Times New Roman" w:hAnsi="Times New Roman"/>
        </w:rPr>
        <w:t>поруке</w:t>
      </w:r>
      <w:r w:rsidR="002B7DEA" w:rsidRPr="00295637">
        <w:rPr>
          <w:rFonts w:ascii="Times New Roman" w:hAnsi="Times New Roman"/>
        </w:rPr>
        <w:t xml:space="preserve"> </w:t>
      </w:r>
      <w:r>
        <w:rPr>
          <w:rFonts w:ascii="Times New Roman" w:hAnsi="Times New Roman"/>
        </w:rPr>
        <w:t>о</w:t>
      </w:r>
      <w:r w:rsidR="002B7DEA" w:rsidRPr="00295637">
        <w:rPr>
          <w:rFonts w:ascii="Times New Roman" w:hAnsi="Times New Roman"/>
        </w:rPr>
        <w:t xml:space="preserve"> </w:t>
      </w:r>
      <w:r>
        <w:rPr>
          <w:rFonts w:ascii="Times New Roman" w:hAnsi="Times New Roman"/>
        </w:rPr>
        <w:t>потреби</w:t>
      </w:r>
      <w:r w:rsidR="002B7DEA" w:rsidRPr="00295637">
        <w:rPr>
          <w:rFonts w:ascii="Times New Roman" w:hAnsi="Times New Roman"/>
        </w:rPr>
        <w:t xml:space="preserve"> </w:t>
      </w:r>
      <w:r>
        <w:rPr>
          <w:rFonts w:ascii="Times New Roman" w:hAnsi="Times New Roman"/>
        </w:rPr>
        <w:t>нулте</w:t>
      </w:r>
      <w:r w:rsidR="002B7DEA" w:rsidRPr="00295637">
        <w:rPr>
          <w:rFonts w:ascii="Times New Roman" w:hAnsi="Times New Roman"/>
        </w:rPr>
        <w:t xml:space="preserve"> </w:t>
      </w:r>
      <w:r>
        <w:rPr>
          <w:rFonts w:ascii="Times New Roman" w:hAnsi="Times New Roman"/>
        </w:rPr>
        <w:t>толеранције</w:t>
      </w:r>
      <w:r w:rsidR="002B7DEA" w:rsidRPr="00295637">
        <w:rPr>
          <w:rFonts w:ascii="Times New Roman" w:hAnsi="Times New Roman"/>
        </w:rPr>
        <w:t xml:space="preserve"> </w:t>
      </w:r>
      <w:r>
        <w:rPr>
          <w:rFonts w:ascii="Times New Roman" w:hAnsi="Times New Roman"/>
        </w:rPr>
        <w:t>на</w:t>
      </w:r>
      <w:r w:rsidR="002B7DEA" w:rsidRPr="00295637">
        <w:rPr>
          <w:rFonts w:ascii="Times New Roman" w:hAnsi="Times New Roman"/>
        </w:rPr>
        <w:t xml:space="preserve"> </w:t>
      </w:r>
      <w:r>
        <w:rPr>
          <w:rFonts w:ascii="Times New Roman" w:hAnsi="Times New Roman"/>
        </w:rPr>
        <w:t>насиље</w:t>
      </w:r>
      <w:r w:rsidR="002B7DEA" w:rsidRPr="00295637">
        <w:rPr>
          <w:rFonts w:ascii="Times New Roman" w:hAnsi="Times New Roman"/>
        </w:rPr>
        <w:t xml:space="preserve"> </w:t>
      </w:r>
      <w:r>
        <w:rPr>
          <w:rFonts w:ascii="Times New Roman" w:hAnsi="Times New Roman"/>
        </w:rPr>
        <w:t>и</w:t>
      </w:r>
      <w:r w:rsidR="002B7DEA" w:rsidRPr="00295637">
        <w:rPr>
          <w:rFonts w:ascii="Times New Roman" w:hAnsi="Times New Roman"/>
        </w:rPr>
        <w:t xml:space="preserve"> </w:t>
      </w:r>
      <w:r>
        <w:rPr>
          <w:rFonts w:ascii="Times New Roman" w:hAnsi="Times New Roman"/>
        </w:rPr>
        <w:t>улози</w:t>
      </w:r>
      <w:r w:rsidR="00B33BCC" w:rsidRPr="00295637">
        <w:rPr>
          <w:rFonts w:ascii="Times New Roman" w:hAnsi="Times New Roman"/>
        </w:rPr>
        <w:t xml:space="preserve"> </w:t>
      </w:r>
      <w:r>
        <w:rPr>
          <w:rFonts w:ascii="Times New Roman" w:hAnsi="Times New Roman"/>
        </w:rPr>
        <w:t>механизама</w:t>
      </w:r>
      <w:r w:rsidR="00B33BCC" w:rsidRPr="00295637">
        <w:rPr>
          <w:rFonts w:ascii="Times New Roman" w:hAnsi="Times New Roman"/>
        </w:rPr>
        <w:t xml:space="preserve"> </w:t>
      </w:r>
      <w:r>
        <w:rPr>
          <w:rFonts w:ascii="Times New Roman" w:hAnsi="Times New Roman"/>
        </w:rPr>
        <w:t>за</w:t>
      </w:r>
      <w:r w:rsidR="00B33BCC" w:rsidRPr="00295637">
        <w:rPr>
          <w:rFonts w:ascii="Times New Roman" w:hAnsi="Times New Roman"/>
        </w:rPr>
        <w:t xml:space="preserve"> </w:t>
      </w:r>
      <w:r>
        <w:rPr>
          <w:rFonts w:ascii="Times New Roman" w:hAnsi="Times New Roman"/>
        </w:rPr>
        <w:t>превенцију</w:t>
      </w:r>
      <w:r w:rsidR="00B33BCC" w:rsidRPr="00295637">
        <w:rPr>
          <w:rFonts w:ascii="Times New Roman" w:hAnsi="Times New Roman"/>
        </w:rPr>
        <w:t xml:space="preserve"> </w:t>
      </w:r>
      <w:r>
        <w:rPr>
          <w:rFonts w:ascii="Times New Roman" w:hAnsi="Times New Roman"/>
        </w:rPr>
        <w:t>и</w:t>
      </w:r>
      <w:r w:rsidR="00B33BCC" w:rsidRPr="00295637">
        <w:rPr>
          <w:rFonts w:ascii="Times New Roman" w:hAnsi="Times New Roman"/>
        </w:rPr>
        <w:t xml:space="preserve"> </w:t>
      </w:r>
      <w:r>
        <w:rPr>
          <w:rFonts w:ascii="Times New Roman" w:hAnsi="Times New Roman"/>
        </w:rPr>
        <w:t>заштиту</w:t>
      </w:r>
      <w:r w:rsidR="002B7DEA" w:rsidRPr="00295637">
        <w:rPr>
          <w:rFonts w:ascii="Times New Roman" w:hAnsi="Times New Roman"/>
        </w:rPr>
        <w:t xml:space="preserve">. </w:t>
      </w:r>
      <w:r>
        <w:rPr>
          <w:rFonts w:ascii="Times New Roman" w:hAnsi="Times New Roman"/>
        </w:rPr>
        <w:t>Дигитална</w:t>
      </w:r>
      <w:r w:rsidR="00B43ED7" w:rsidRPr="00295637">
        <w:rPr>
          <w:rFonts w:ascii="Times New Roman" w:hAnsi="Times New Roman"/>
        </w:rPr>
        <w:t xml:space="preserve"> </w:t>
      </w:r>
      <w:r>
        <w:rPr>
          <w:rFonts w:ascii="Times New Roman" w:hAnsi="Times New Roman"/>
        </w:rPr>
        <w:t>кампања</w:t>
      </w:r>
      <w:r w:rsidR="00B43ED7" w:rsidRPr="00295637">
        <w:rPr>
          <w:rFonts w:ascii="Times New Roman" w:hAnsi="Times New Roman"/>
        </w:rPr>
        <w:t xml:space="preserve"> </w:t>
      </w:r>
      <w:r>
        <w:rPr>
          <w:rFonts w:ascii="Times New Roman" w:hAnsi="Times New Roman"/>
        </w:rPr>
        <w:t>је</w:t>
      </w:r>
      <w:r w:rsidR="00B43ED7" w:rsidRPr="00295637">
        <w:rPr>
          <w:rFonts w:ascii="Times New Roman" w:hAnsi="Times New Roman"/>
        </w:rPr>
        <w:t xml:space="preserve"> </w:t>
      </w:r>
      <w:r>
        <w:rPr>
          <w:rFonts w:ascii="Times New Roman" w:hAnsi="Times New Roman"/>
        </w:rPr>
        <w:t>остварила</w:t>
      </w:r>
      <w:r w:rsidR="00B43ED7" w:rsidRPr="00295637">
        <w:rPr>
          <w:rFonts w:ascii="Times New Roman" w:hAnsi="Times New Roman"/>
        </w:rPr>
        <w:t xml:space="preserve"> </w:t>
      </w:r>
      <w:r>
        <w:rPr>
          <w:rFonts w:ascii="Times New Roman" w:hAnsi="Times New Roman"/>
        </w:rPr>
        <w:t>преко</w:t>
      </w:r>
      <w:r w:rsidR="00B43ED7" w:rsidRPr="00295637">
        <w:rPr>
          <w:rFonts w:ascii="Times New Roman" w:hAnsi="Times New Roman"/>
        </w:rPr>
        <w:t xml:space="preserve"> 1.2 </w:t>
      </w:r>
      <w:r>
        <w:rPr>
          <w:rFonts w:ascii="Times New Roman" w:hAnsi="Times New Roman"/>
        </w:rPr>
        <w:t>милиона</w:t>
      </w:r>
      <w:r w:rsidR="00B43ED7" w:rsidRPr="00295637">
        <w:rPr>
          <w:rFonts w:ascii="Times New Roman" w:hAnsi="Times New Roman"/>
        </w:rPr>
        <w:t xml:space="preserve"> </w:t>
      </w:r>
      <w:r>
        <w:rPr>
          <w:rFonts w:ascii="Times New Roman" w:hAnsi="Times New Roman"/>
        </w:rPr>
        <w:t>импресија</w:t>
      </w:r>
      <w:r w:rsidR="00B43ED7" w:rsidRPr="00295637">
        <w:rPr>
          <w:rFonts w:ascii="Times New Roman" w:hAnsi="Times New Roman"/>
        </w:rPr>
        <w:t xml:space="preserve">, </w:t>
      </w:r>
      <w:r>
        <w:rPr>
          <w:rFonts w:ascii="Times New Roman" w:hAnsi="Times New Roman"/>
        </w:rPr>
        <w:t>преко</w:t>
      </w:r>
      <w:r w:rsidR="00282B67">
        <w:rPr>
          <w:rFonts w:ascii="Times New Roman" w:hAnsi="Times New Roman"/>
        </w:rPr>
        <w:t xml:space="preserve"> 30 </w:t>
      </w:r>
      <w:r>
        <w:rPr>
          <w:rFonts w:ascii="Times New Roman" w:hAnsi="Times New Roman"/>
        </w:rPr>
        <w:t>хиљада</w:t>
      </w:r>
      <w:r w:rsidR="00282B67">
        <w:rPr>
          <w:rFonts w:ascii="Times New Roman" w:hAnsi="Times New Roman"/>
        </w:rPr>
        <w:t xml:space="preserve"> </w:t>
      </w:r>
      <w:r>
        <w:rPr>
          <w:rFonts w:ascii="Times New Roman" w:hAnsi="Times New Roman"/>
        </w:rPr>
        <w:t>прегледа</w:t>
      </w:r>
      <w:r w:rsidR="00282B67">
        <w:rPr>
          <w:rFonts w:ascii="Times New Roman" w:hAnsi="Times New Roman"/>
        </w:rPr>
        <w:t xml:space="preserve"> </w:t>
      </w:r>
      <w:r>
        <w:rPr>
          <w:rFonts w:ascii="Times New Roman" w:hAnsi="Times New Roman"/>
        </w:rPr>
        <w:t>на</w:t>
      </w:r>
      <w:r w:rsidR="00282B67">
        <w:rPr>
          <w:rFonts w:ascii="Times New Roman" w:hAnsi="Times New Roman"/>
        </w:rPr>
        <w:t xml:space="preserve"> </w:t>
      </w:r>
      <w:r w:rsidR="006E324C" w:rsidRPr="006E324C">
        <w:rPr>
          <w:rFonts w:ascii="Times New Roman" w:hAnsi="Times New Roman"/>
          <w:i/>
        </w:rPr>
        <w:t>You tube</w:t>
      </w:r>
      <w:r w:rsidR="00B43ED7" w:rsidRPr="00295637">
        <w:rPr>
          <w:rFonts w:ascii="Times New Roman" w:hAnsi="Times New Roman"/>
        </w:rPr>
        <w:t xml:space="preserve">, </w:t>
      </w:r>
      <w:r>
        <w:rPr>
          <w:rFonts w:ascii="Times New Roman" w:hAnsi="Times New Roman"/>
        </w:rPr>
        <w:t>близу</w:t>
      </w:r>
      <w:r w:rsidR="00B43ED7" w:rsidRPr="00295637">
        <w:rPr>
          <w:rFonts w:ascii="Times New Roman" w:hAnsi="Times New Roman"/>
        </w:rPr>
        <w:t xml:space="preserve"> 2000 </w:t>
      </w:r>
      <w:r w:rsidR="006E324C">
        <w:rPr>
          <w:rFonts w:ascii="Times New Roman" w:hAnsi="Times New Roman"/>
          <w:lang w:val="sr-Cyrl-BA"/>
        </w:rPr>
        <w:t>свиђања</w:t>
      </w:r>
      <w:r w:rsidR="00B43ED7" w:rsidRPr="00295637">
        <w:rPr>
          <w:rFonts w:ascii="Times New Roman" w:hAnsi="Times New Roman"/>
        </w:rPr>
        <w:t xml:space="preserve">, </w:t>
      </w:r>
      <w:r>
        <w:rPr>
          <w:rFonts w:ascii="Times New Roman" w:hAnsi="Times New Roman"/>
        </w:rPr>
        <w:t>дијељења</w:t>
      </w:r>
      <w:r w:rsidR="00B43ED7" w:rsidRPr="00295637">
        <w:rPr>
          <w:rFonts w:ascii="Times New Roman" w:hAnsi="Times New Roman"/>
        </w:rPr>
        <w:t xml:space="preserve">, </w:t>
      </w:r>
      <w:r>
        <w:rPr>
          <w:rFonts w:ascii="Times New Roman" w:hAnsi="Times New Roman"/>
        </w:rPr>
        <w:t>коментара</w:t>
      </w:r>
      <w:r w:rsidR="00B43ED7" w:rsidRPr="00295637">
        <w:rPr>
          <w:rFonts w:ascii="Times New Roman" w:hAnsi="Times New Roman"/>
        </w:rPr>
        <w:t xml:space="preserve"> </w:t>
      </w:r>
      <w:r>
        <w:rPr>
          <w:rFonts w:ascii="Times New Roman" w:hAnsi="Times New Roman"/>
        </w:rPr>
        <w:t>на</w:t>
      </w:r>
      <w:r w:rsidR="00B43ED7" w:rsidRPr="00295637">
        <w:rPr>
          <w:rFonts w:ascii="Times New Roman" w:hAnsi="Times New Roman"/>
        </w:rPr>
        <w:t xml:space="preserve"> </w:t>
      </w:r>
      <w:r>
        <w:rPr>
          <w:rFonts w:ascii="Times New Roman" w:hAnsi="Times New Roman"/>
        </w:rPr>
        <w:t>линкове</w:t>
      </w:r>
      <w:r w:rsidR="00B43ED7" w:rsidRPr="00295637">
        <w:rPr>
          <w:rFonts w:ascii="Times New Roman" w:hAnsi="Times New Roman"/>
        </w:rPr>
        <w:t xml:space="preserve">. </w:t>
      </w:r>
      <w:r w:rsidR="006E324C">
        <w:rPr>
          <w:rFonts w:ascii="Times New Roman" w:hAnsi="Times New Roman"/>
        </w:rPr>
        <w:t>Такође</w:t>
      </w:r>
      <w:r w:rsidR="00DF09E6" w:rsidRPr="00295637">
        <w:rPr>
          <w:rFonts w:ascii="Times New Roman" w:hAnsi="Times New Roman"/>
        </w:rPr>
        <w:t xml:space="preserve">, </w:t>
      </w:r>
      <w:r>
        <w:rPr>
          <w:rFonts w:ascii="Times New Roman" w:hAnsi="Times New Roman"/>
        </w:rPr>
        <w:t>у</w:t>
      </w:r>
      <w:r w:rsidR="00B43ED7" w:rsidRPr="00295637">
        <w:rPr>
          <w:rFonts w:ascii="Times New Roman" w:hAnsi="Times New Roman"/>
        </w:rPr>
        <w:t xml:space="preserve"> </w:t>
      </w:r>
      <w:r>
        <w:rPr>
          <w:rFonts w:ascii="Times New Roman" w:hAnsi="Times New Roman"/>
        </w:rPr>
        <w:t>оквиру</w:t>
      </w:r>
      <w:r w:rsidR="00B43ED7" w:rsidRPr="00295637">
        <w:rPr>
          <w:rFonts w:ascii="Times New Roman" w:hAnsi="Times New Roman"/>
        </w:rPr>
        <w:t xml:space="preserve"> </w:t>
      </w:r>
      <w:r>
        <w:rPr>
          <w:rFonts w:ascii="Times New Roman" w:hAnsi="Times New Roman"/>
        </w:rPr>
        <w:t>кампање</w:t>
      </w:r>
      <w:r w:rsidR="00B43ED7" w:rsidRPr="00295637">
        <w:rPr>
          <w:rFonts w:ascii="Times New Roman" w:hAnsi="Times New Roman"/>
        </w:rPr>
        <w:t xml:space="preserve">, </w:t>
      </w:r>
      <w:r>
        <w:rPr>
          <w:rFonts w:ascii="Times New Roman" w:hAnsi="Times New Roman"/>
        </w:rPr>
        <w:t>три</w:t>
      </w:r>
      <w:r w:rsidR="00B43ED7" w:rsidRPr="00295637">
        <w:rPr>
          <w:rFonts w:ascii="Times New Roman" w:hAnsi="Times New Roman"/>
        </w:rPr>
        <w:t xml:space="preserve"> </w:t>
      </w:r>
      <w:r>
        <w:rPr>
          <w:rFonts w:ascii="Times New Roman" w:hAnsi="Times New Roman"/>
        </w:rPr>
        <w:t>еминентне</w:t>
      </w:r>
      <w:r w:rsidR="00B43ED7" w:rsidRPr="00295637">
        <w:rPr>
          <w:rFonts w:ascii="Times New Roman" w:hAnsi="Times New Roman"/>
        </w:rPr>
        <w:t xml:space="preserve"> </w:t>
      </w:r>
      <w:r>
        <w:rPr>
          <w:rFonts w:ascii="Times New Roman" w:hAnsi="Times New Roman"/>
        </w:rPr>
        <w:t>аутор</w:t>
      </w:r>
      <w:r w:rsidR="006E324C">
        <w:rPr>
          <w:rFonts w:ascii="Times New Roman" w:hAnsi="Times New Roman"/>
          <w:lang w:val="sr-Cyrl-BA"/>
        </w:rPr>
        <w:t>ке</w:t>
      </w:r>
      <w:r w:rsidR="00B43ED7" w:rsidRPr="00295637">
        <w:rPr>
          <w:rFonts w:ascii="Times New Roman" w:hAnsi="Times New Roman"/>
        </w:rPr>
        <w:t xml:space="preserve"> </w:t>
      </w:r>
      <w:r>
        <w:rPr>
          <w:rFonts w:ascii="Times New Roman" w:hAnsi="Times New Roman"/>
        </w:rPr>
        <w:t>у</w:t>
      </w:r>
      <w:r w:rsidR="00B43ED7" w:rsidRPr="00295637">
        <w:rPr>
          <w:rFonts w:ascii="Times New Roman" w:hAnsi="Times New Roman"/>
        </w:rPr>
        <w:t xml:space="preserve"> </w:t>
      </w:r>
      <w:r>
        <w:rPr>
          <w:rFonts w:ascii="Times New Roman" w:hAnsi="Times New Roman"/>
        </w:rPr>
        <w:t>области</w:t>
      </w:r>
      <w:r w:rsidR="00B43ED7" w:rsidRPr="00295637">
        <w:rPr>
          <w:rFonts w:ascii="Times New Roman" w:hAnsi="Times New Roman"/>
        </w:rPr>
        <w:t xml:space="preserve"> </w:t>
      </w:r>
      <w:r>
        <w:rPr>
          <w:rFonts w:ascii="Times New Roman" w:hAnsi="Times New Roman"/>
        </w:rPr>
        <w:t>права</w:t>
      </w:r>
      <w:r w:rsidR="00B43ED7" w:rsidRPr="00295637">
        <w:rPr>
          <w:rFonts w:ascii="Times New Roman" w:hAnsi="Times New Roman"/>
        </w:rPr>
        <w:t xml:space="preserve">, </w:t>
      </w:r>
      <w:r>
        <w:rPr>
          <w:rFonts w:ascii="Times New Roman" w:hAnsi="Times New Roman"/>
        </w:rPr>
        <w:t>социологије</w:t>
      </w:r>
      <w:r w:rsidR="00B43ED7" w:rsidRPr="00295637">
        <w:rPr>
          <w:rFonts w:ascii="Times New Roman" w:hAnsi="Times New Roman"/>
        </w:rPr>
        <w:t xml:space="preserve"> </w:t>
      </w:r>
      <w:r>
        <w:rPr>
          <w:rFonts w:ascii="Times New Roman" w:hAnsi="Times New Roman"/>
        </w:rPr>
        <w:t>и</w:t>
      </w:r>
      <w:r w:rsidR="00B43ED7" w:rsidRPr="00295637">
        <w:rPr>
          <w:rFonts w:ascii="Times New Roman" w:hAnsi="Times New Roman"/>
        </w:rPr>
        <w:t xml:space="preserve"> </w:t>
      </w:r>
      <w:r>
        <w:rPr>
          <w:rFonts w:ascii="Times New Roman" w:hAnsi="Times New Roman"/>
        </w:rPr>
        <w:t>родних</w:t>
      </w:r>
      <w:r w:rsidR="00B43ED7" w:rsidRPr="00295637">
        <w:rPr>
          <w:rFonts w:ascii="Times New Roman" w:hAnsi="Times New Roman"/>
        </w:rPr>
        <w:t xml:space="preserve"> </w:t>
      </w:r>
      <w:r>
        <w:rPr>
          <w:rFonts w:ascii="Times New Roman" w:hAnsi="Times New Roman"/>
        </w:rPr>
        <w:t>студија</w:t>
      </w:r>
      <w:r w:rsidR="00B43ED7" w:rsidRPr="00295637">
        <w:rPr>
          <w:rFonts w:ascii="Times New Roman" w:hAnsi="Times New Roman"/>
        </w:rPr>
        <w:t xml:space="preserve"> </w:t>
      </w:r>
      <w:r>
        <w:rPr>
          <w:rFonts w:ascii="Times New Roman" w:hAnsi="Times New Roman"/>
        </w:rPr>
        <w:t>су</w:t>
      </w:r>
      <w:r w:rsidR="00B43ED7" w:rsidRPr="00295637">
        <w:rPr>
          <w:rFonts w:ascii="Times New Roman" w:hAnsi="Times New Roman"/>
        </w:rPr>
        <w:t xml:space="preserve"> </w:t>
      </w:r>
      <w:r>
        <w:rPr>
          <w:rFonts w:ascii="Times New Roman" w:hAnsi="Times New Roman"/>
        </w:rPr>
        <w:t>објавиле</w:t>
      </w:r>
      <w:r w:rsidR="00B43ED7" w:rsidRPr="00295637">
        <w:rPr>
          <w:rFonts w:ascii="Times New Roman" w:hAnsi="Times New Roman"/>
        </w:rPr>
        <w:t xml:space="preserve"> </w:t>
      </w:r>
      <w:r>
        <w:rPr>
          <w:rFonts w:ascii="Times New Roman" w:hAnsi="Times New Roman"/>
        </w:rPr>
        <w:t>запажене</w:t>
      </w:r>
      <w:r w:rsidR="00B43ED7" w:rsidRPr="00295637">
        <w:rPr>
          <w:rFonts w:ascii="Times New Roman" w:hAnsi="Times New Roman"/>
        </w:rPr>
        <w:t xml:space="preserve"> </w:t>
      </w:r>
      <w:r>
        <w:rPr>
          <w:rFonts w:ascii="Times New Roman" w:hAnsi="Times New Roman"/>
        </w:rPr>
        <w:t>тематске</w:t>
      </w:r>
      <w:r w:rsidR="00B43ED7" w:rsidRPr="00295637">
        <w:rPr>
          <w:rFonts w:ascii="Times New Roman" w:hAnsi="Times New Roman"/>
        </w:rPr>
        <w:t xml:space="preserve"> </w:t>
      </w:r>
      <w:r>
        <w:rPr>
          <w:rFonts w:ascii="Times New Roman" w:hAnsi="Times New Roman"/>
        </w:rPr>
        <w:t>чланке</w:t>
      </w:r>
      <w:r w:rsidR="00B43ED7" w:rsidRPr="00295637">
        <w:rPr>
          <w:rFonts w:ascii="Times New Roman" w:hAnsi="Times New Roman"/>
        </w:rPr>
        <w:t xml:space="preserve"> </w:t>
      </w:r>
      <w:r>
        <w:rPr>
          <w:rFonts w:ascii="Times New Roman" w:hAnsi="Times New Roman"/>
        </w:rPr>
        <w:t>на</w:t>
      </w:r>
      <w:r w:rsidR="00B43ED7" w:rsidRPr="00295637">
        <w:rPr>
          <w:rFonts w:ascii="Times New Roman" w:hAnsi="Times New Roman"/>
        </w:rPr>
        <w:t xml:space="preserve"> </w:t>
      </w:r>
      <w:r>
        <w:rPr>
          <w:rFonts w:ascii="Times New Roman" w:hAnsi="Times New Roman"/>
        </w:rPr>
        <w:t>неким</w:t>
      </w:r>
      <w:r w:rsidR="00B43ED7" w:rsidRPr="00295637">
        <w:rPr>
          <w:rFonts w:ascii="Times New Roman" w:hAnsi="Times New Roman"/>
        </w:rPr>
        <w:t xml:space="preserve"> </w:t>
      </w:r>
      <w:r>
        <w:rPr>
          <w:rFonts w:ascii="Times New Roman" w:hAnsi="Times New Roman"/>
        </w:rPr>
        <w:t>од</w:t>
      </w:r>
      <w:r w:rsidR="00B43ED7" w:rsidRPr="00295637">
        <w:rPr>
          <w:rFonts w:ascii="Times New Roman" w:hAnsi="Times New Roman"/>
        </w:rPr>
        <w:t xml:space="preserve"> </w:t>
      </w:r>
      <w:r>
        <w:rPr>
          <w:rFonts w:ascii="Times New Roman" w:hAnsi="Times New Roman"/>
        </w:rPr>
        <w:t>најпосјећенијих</w:t>
      </w:r>
      <w:r w:rsidR="00B43ED7" w:rsidRPr="00295637">
        <w:rPr>
          <w:rFonts w:ascii="Times New Roman" w:hAnsi="Times New Roman"/>
        </w:rPr>
        <w:t xml:space="preserve"> </w:t>
      </w:r>
      <w:r>
        <w:rPr>
          <w:rFonts w:ascii="Times New Roman" w:hAnsi="Times New Roman"/>
        </w:rPr>
        <w:t>информативних</w:t>
      </w:r>
      <w:r w:rsidR="00B43ED7" w:rsidRPr="00295637">
        <w:rPr>
          <w:rFonts w:ascii="Times New Roman" w:hAnsi="Times New Roman"/>
        </w:rPr>
        <w:t xml:space="preserve"> </w:t>
      </w:r>
      <w:r>
        <w:rPr>
          <w:rFonts w:ascii="Times New Roman" w:hAnsi="Times New Roman"/>
        </w:rPr>
        <w:t>портала</w:t>
      </w:r>
      <w:r w:rsidR="00B43ED7" w:rsidRPr="00295637">
        <w:rPr>
          <w:rFonts w:ascii="Times New Roman" w:hAnsi="Times New Roman"/>
        </w:rPr>
        <w:t xml:space="preserve"> </w:t>
      </w:r>
      <w:r>
        <w:rPr>
          <w:rFonts w:ascii="Times New Roman" w:hAnsi="Times New Roman"/>
        </w:rPr>
        <w:t>у</w:t>
      </w:r>
      <w:r w:rsidR="000F7324">
        <w:rPr>
          <w:rFonts w:ascii="Times New Roman" w:hAnsi="Times New Roman"/>
        </w:rPr>
        <w:t xml:space="preserve"> </w:t>
      </w:r>
      <w:r>
        <w:rPr>
          <w:rFonts w:ascii="Times New Roman" w:hAnsi="Times New Roman"/>
        </w:rPr>
        <w:t>БиХ</w:t>
      </w:r>
      <w:r w:rsidR="00B43ED7" w:rsidRPr="00295637">
        <w:rPr>
          <w:rFonts w:ascii="Times New Roman" w:hAnsi="Times New Roman"/>
        </w:rPr>
        <w:t>.</w:t>
      </w:r>
    </w:p>
    <w:p w:rsidR="00B43ED7" w:rsidRPr="00295637" w:rsidRDefault="00B43ED7" w:rsidP="0086268D">
      <w:pPr>
        <w:jc w:val="both"/>
        <w:rPr>
          <w:rFonts w:ascii="Times New Roman" w:hAnsi="Times New Roman"/>
        </w:rPr>
      </w:pPr>
    </w:p>
    <w:p w:rsidR="002B7DEA" w:rsidRPr="00295637" w:rsidRDefault="00C6214E" w:rsidP="0086268D">
      <w:pPr>
        <w:jc w:val="both"/>
        <w:rPr>
          <w:rFonts w:ascii="Times New Roman" w:hAnsi="Times New Roman"/>
        </w:rPr>
      </w:pPr>
      <w:r>
        <w:rPr>
          <w:rFonts w:ascii="Times New Roman" w:hAnsi="Times New Roman"/>
        </w:rPr>
        <w:t>Поред</w:t>
      </w:r>
      <w:r w:rsidR="00282B67">
        <w:rPr>
          <w:rFonts w:ascii="Times New Roman" w:hAnsi="Times New Roman"/>
        </w:rPr>
        <w:t xml:space="preserve"> </w:t>
      </w:r>
      <w:r>
        <w:rPr>
          <w:rFonts w:ascii="Times New Roman" w:hAnsi="Times New Roman"/>
        </w:rPr>
        <w:t>тога</w:t>
      </w:r>
      <w:r w:rsidR="00282B67">
        <w:rPr>
          <w:rFonts w:ascii="Times New Roman" w:hAnsi="Times New Roman"/>
        </w:rPr>
        <w:t xml:space="preserve">, </w:t>
      </w:r>
      <w:r>
        <w:rPr>
          <w:rFonts w:ascii="Times New Roman" w:hAnsi="Times New Roman"/>
        </w:rPr>
        <w:t>министар</w:t>
      </w:r>
      <w:r w:rsidR="00B33BCC" w:rsidRPr="00295637">
        <w:rPr>
          <w:rFonts w:ascii="Times New Roman" w:hAnsi="Times New Roman"/>
        </w:rPr>
        <w:t xml:space="preserve"> </w:t>
      </w:r>
      <w:r>
        <w:rPr>
          <w:rFonts w:ascii="Times New Roman" w:hAnsi="Times New Roman"/>
        </w:rPr>
        <w:t>за</w:t>
      </w:r>
      <w:r w:rsidR="00B33BCC" w:rsidRPr="00295637">
        <w:rPr>
          <w:rFonts w:ascii="Times New Roman" w:hAnsi="Times New Roman"/>
        </w:rPr>
        <w:t xml:space="preserve"> </w:t>
      </w:r>
      <w:r>
        <w:rPr>
          <w:rFonts w:ascii="Times New Roman" w:hAnsi="Times New Roman"/>
        </w:rPr>
        <w:t>људска</w:t>
      </w:r>
      <w:r w:rsidR="00B33BCC" w:rsidRPr="00295637">
        <w:rPr>
          <w:rFonts w:ascii="Times New Roman" w:hAnsi="Times New Roman"/>
        </w:rPr>
        <w:t xml:space="preserve"> </w:t>
      </w:r>
      <w:r>
        <w:rPr>
          <w:rFonts w:ascii="Times New Roman" w:hAnsi="Times New Roman"/>
        </w:rPr>
        <w:t>права</w:t>
      </w:r>
      <w:r w:rsidR="00B33BCC" w:rsidRPr="00295637">
        <w:rPr>
          <w:rFonts w:ascii="Times New Roman" w:hAnsi="Times New Roman"/>
        </w:rPr>
        <w:t xml:space="preserve"> </w:t>
      </w:r>
      <w:r>
        <w:rPr>
          <w:rFonts w:ascii="Times New Roman" w:hAnsi="Times New Roman"/>
        </w:rPr>
        <w:t>и</w:t>
      </w:r>
      <w:r w:rsidR="00B33BCC" w:rsidRPr="00295637">
        <w:rPr>
          <w:rFonts w:ascii="Times New Roman" w:hAnsi="Times New Roman"/>
        </w:rPr>
        <w:t xml:space="preserve"> </w:t>
      </w:r>
      <w:r>
        <w:rPr>
          <w:rFonts w:ascii="Times New Roman" w:hAnsi="Times New Roman"/>
        </w:rPr>
        <w:t>избјеглице</w:t>
      </w:r>
      <w:r w:rsidR="00B33BCC" w:rsidRPr="00295637">
        <w:rPr>
          <w:rFonts w:ascii="Times New Roman" w:hAnsi="Times New Roman"/>
        </w:rPr>
        <w:t xml:space="preserve"> </w:t>
      </w:r>
      <w:r>
        <w:rPr>
          <w:rFonts w:ascii="Times New Roman" w:hAnsi="Times New Roman"/>
        </w:rPr>
        <w:t>БиХ</w:t>
      </w:r>
      <w:r w:rsidR="00B33BCC" w:rsidRPr="00295637">
        <w:rPr>
          <w:rFonts w:ascii="Times New Roman" w:hAnsi="Times New Roman"/>
        </w:rPr>
        <w:t xml:space="preserve"> </w:t>
      </w:r>
      <w:r>
        <w:rPr>
          <w:rFonts w:ascii="Times New Roman" w:hAnsi="Times New Roman"/>
        </w:rPr>
        <w:t>и</w:t>
      </w:r>
      <w:r w:rsidR="00B33BCC" w:rsidRPr="00295637">
        <w:rPr>
          <w:rFonts w:ascii="Times New Roman" w:hAnsi="Times New Roman"/>
        </w:rPr>
        <w:t xml:space="preserve"> </w:t>
      </w:r>
      <w:r>
        <w:rPr>
          <w:rFonts w:ascii="Times New Roman" w:hAnsi="Times New Roman"/>
        </w:rPr>
        <w:t>представници</w:t>
      </w:r>
      <w:r w:rsidR="00B33BCC" w:rsidRPr="00295637">
        <w:rPr>
          <w:rFonts w:ascii="Times New Roman" w:hAnsi="Times New Roman"/>
        </w:rPr>
        <w:t xml:space="preserve"> </w:t>
      </w:r>
      <w:r w:rsidR="006E324C">
        <w:rPr>
          <w:rFonts w:ascii="Times New Roman" w:hAnsi="Times New Roman"/>
        </w:rPr>
        <w:t>АР</w:t>
      </w:r>
      <w:r w:rsidR="006E324C">
        <w:rPr>
          <w:rFonts w:ascii="Times New Roman" w:hAnsi="Times New Roman"/>
          <w:lang w:val="sr-Cyrl-BA"/>
        </w:rPr>
        <w:t>П</w:t>
      </w:r>
      <w:r w:rsidR="009E54A2" w:rsidRPr="00295637">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Pr>
          <w:rFonts w:ascii="Times New Roman" w:hAnsi="Times New Roman"/>
        </w:rPr>
        <w:t>МЉПИ</w:t>
      </w:r>
      <w:r w:rsidR="00DF09E6" w:rsidRPr="00295637">
        <w:rPr>
          <w:rFonts w:ascii="Times New Roman" w:hAnsi="Times New Roman"/>
        </w:rPr>
        <w:t xml:space="preserve"> </w:t>
      </w:r>
      <w:r>
        <w:rPr>
          <w:rFonts w:ascii="Times New Roman" w:hAnsi="Times New Roman"/>
        </w:rPr>
        <w:t>БиХ</w:t>
      </w:r>
      <w:r w:rsidR="00364531">
        <w:rPr>
          <w:rFonts w:ascii="Times New Roman" w:hAnsi="Times New Roman"/>
        </w:rPr>
        <w:t xml:space="preserve"> </w:t>
      </w:r>
      <w:r>
        <w:rPr>
          <w:rFonts w:ascii="Times New Roman" w:hAnsi="Times New Roman"/>
        </w:rPr>
        <w:t>су</w:t>
      </w:r>
      <w:r w:rsidR="00B33BCC" w:rsidRPr="00295637">
        <w:rPr>
          <w:rFonts w:ascii="Times New Roman" w:hAnsi="Times New Roman"/>
        </w:rPr>
        <w:t xml:space="preserve"> </w:t>
      </w:r>
      <w:r>
        <w:rPr>
          <w:rFonts w:ascii="Times New Roman" w:hAnsi="Times New Roman"/>
        </w:rPr>
        <w:t>јавним</w:t>
      </w:r>
      <w:r w:rsidR="00B33BCC" w:rsidRPr="00295637">
        <w:rPr>
          <w:rFonts w:ascii="Times New Roman" w:hAnsi="Times New Roman"/>
        </w:rPr>
        <w:t xml:space="preserve"> </w:t>
      </w:r>
      <w:r>
        <w:rPr>
          <w:rFonts w:ascii="Times New Roman" w:hAnsi="Times New Roman"/>
        </w:rPr>
        <w:t>саопштењима</w:t>
      </w:r>
      <w:r w:rsidR="00B33BCC" w:rsidRPr="00295637">
        <w:rPr>
          <w:rFonts w:ascii="Times New Roman" w:hAnsi="Times New Roman"/>
        </w:rPr>
        <w:t xml:space="preserve"> </w:t>
      </w:r>
      <w:r>
        <w:rPr>
          <w:rFonts w:ascii="Times New Roman" w:hAnsi="Times New Roman"/>
        </w:rPr>
        <w:t>и</w:t>
      </w:r>
      <w:r w:rsidR="00B33BCC" w:rsidRPr="00295637">
        <w:rPr>
          <w:rFonts w:ascii="Times New Roman" w:hAnsi="Times New Roman"/>
        </w:rPr>
        <w:t xml:space="preserve"> </w:t>
      </w:r>
      <w:r>
        <w:rPr>
          <w:rFonts w:ascii="Times New Roman" w:hAnsi="Times New Roman"/>
        </w:rPr>
        <w:t>бројним</w:t>
      </w:r>
      <w:r w:rsidR="00B33BCC" w:rsidRPr="00295637">
        <w:rPr>
          <w:rFonts w:ascii="Times New Roman" w:hAnsi="Times New Roman"/>
        </w:rPr>
        <w:t xml:space="preserve"> </w:t>
      </w:r>
      <w:r>
        <w:rPr>
          <w:rFonts w:ascii="Times New Roman" w:hAnsi="Times New Roman"/>
        </w:rPr>
        <w:t>медијским</w:t>
      </w:r>
      <w:r w:rsidR="00B33BCC" w:rsidRPr="00295637">
        <w:rPr>
          <w:rFonts w:ascii="Times New Roman" w:hAnsi="Times New Roman"/>
        </w:rPr>
        <w:t xml:space="preserve"> </w:t>
      </w:r>
      <w:r>
        <w:rPr>
          <w:rFonts w:ascii="Times New Roman" w:hAnsi="Times New Roman"/>
        </w:rPr>
        <w:t>иступима</w:t>
      </w:r>
      <w:r w:rsidR="00B33BCC" w:rsidRPr="00295637">
        <w:rPr>
          <w:rFonts w:ascii="Times New Roman" w:hAnsi="Times New Roman"/>
        </w:rPr>
        <w:t xml:space="preserve"> </w:t>
      </w:r>
      <w:r>
        <w:rPr>
          <w:rFonts w:ascii="Times New Roman" w:hAnsi="Times New Roman"/>
        </w:rPr>
        <w:t>скретали</w:t>
      </w:r>
      <w:r w:rsidR="00B33BCC" w:rsidRPr="00295637">
        <w:rPr>
          <w:rFonts w:ascii="Times New Roman" w:hAnsi="Times New Roman"/>
        </w:rPr>
        <w:t xml:space="preserve"> </w:t>
      </w:r>
      <w:r>
        <w:rPr>
          <w:rFonts w:ascii="Times New Roman" w:hAnsi="Times New Roman"/>
        </w:rPr>
        <w:t>пажњу</w:t>
      </w:r>
      <w:r w:rsidR="00B33BCC" w:rsidRPr="00295637">
        <w:rPr>
          <w:rFonts w:ascii="Times New Roman" w:hAnsi="Times New Roman"/>
        </w:rPr>
        <w:t xml:space="preserve"> </w:t>
      </w:r>
      <w:r>
        <w:rPr>
          <w:rFonts w:ascii="Times New Roman" w:hAnsi="Times New Roman"/>
        </w:rPr>
        <w:t>бх</w:t>
      </w:r>
      <w:r w:rsidR="00DF09E6" w:rsidRPr="00295637">
        <w:rPr>
          <w:rFonts w:ascii="Times New Roman" w:hAnsi="Times New Roman"/>
        </w:rPr>
        <w:t xml:space="preserve">. </w:t>
      </w:r>
      <w:r>
        <w:rPr>
          <w:rFonts w:ascii="Times New Roman" w:hAnsi="Times New Roman"/>
        </w:rPr>
        <w:t>јавности</w:t>
      </w:r>
      <w:r w:rsidR="00B33BCC" w:rsidRPr="00295637">
        <w:rPr>
          <w:rFonts w:ascii="Times New Roman" w:hAnsi="Times New Roman"/>
        </w:rPr>
        <w:t xml:space="preserve"> </w:t>
      </w:r>
      <w:r>
        <w:rPr>
          <w:rFonts w:ascii="Times New Roman" w:hAnsi="Times New Roman"/>
        </w:rPr>
        <w:t>на</w:t>
      </w:r>
      <w:r w:rsidR="00B33BCC" w:rsidRPr="00295637">
        <w:rPr>
          <w:rFonts w:ascii="Times New Roman" w:hAnsi="Times New Roman"/>
        </w:rPr>
        <w:t xml:space="preserve"> </w:t>
      </w:r>
      <w:r>
        <w:rPr>
          <w:rFonts w:ascii="Times New Roman" w:hAnsi="Times New Roman"/>
        </w:rPr>
        <w:t>потребу</w:t>
      </w:r>
      <w:r w:rsidR="00B33BCC" w:rsidRPr="00295637">
        <w:rPr>
          <w:rFonts w:ascii="Times New Roman" w:hAnsi="Times New Roman"/>
        </w:rPr>
        <w:t xml:space="preserve"> </w:t>
      </w:r>
      <w:r w:rsidR="006E324C">
        <w:rPr>
          <w:rFonts w:ascii="Times New Roman" w:hAnsi="Times New Roman"/>
          <w:lang w:val="sr-Cyrl-BA"/>
        </w:rPr>
        <w:t>спровођења</w:t>
      </w:r>
      <w:r w:rsidR="00B33BCC" w:rsidRPr="00295637">
        <w:rPr>
          <w:rFonts w:ascii="Times New Roman" w:hAnsi="Times New Roman"/>
        </w:rPr>
        <w:t xml:space="preserve"> </w:t>
      </w:r>
      <w:r>
        <w:rPr>
          <w:rFonts w:ascii="Times New Roman" w:hAnsi="Times New Roman"/>
        </w:rPr>
        <w:t>Истанбулске</w:t>
      </w:r>
      <w:r w:rsidR="00B33BCC" w:rsidRPr="00295637">
        <w:rPr>
          <w:rFonts w:ascii="Times New Roman" w:hAnsi="Times New Roman"/>
        </w:rPr>
        <w:t xml:space="preserve"> </w:t>
      </w:r>
      <w:r>
        <w:rPr>
          <w:rFonts w:ascii="Times New Roman" w:hAnsi="Times New Roman"/>
        </w:rPr>
        <w:t>конвенције</w:t>
      </w:r>
      <w:r w:rsidR="00B33BCC" w:rsidRPr="00295637">
        <w:rPr>
          <w:rFonts w:ascii="Times New Roman" w:hAnsi="Times New Roman"/>
        </w:rPr>
        <w:t xml:space="preserve">, </w:t>
      </w:r>
      <w:r>
        <w:rPr>
          <w:rFonts w:ascii="Times New Roman" w:hAnsi="Times New Roman"/>
        </w:rPr>
        <w:t>ефикасног</w:t>
      </w:r>
      <w:r w:rsidR="00B33BCC" w:rsidRPr="00295637">
        <w:rPr>
          <w:rFonts w:ascii="Times New Roman" w:hAnsi="Times New Roman"/>
        </w:rPr>
        <w:t xml:space="preserve"> </w:t>
      </w:r>
      <w:r>
        <w:rPr>
          <w:rFonts w:ascii="Times New Roman" w:hAnsi="Times New Roman"/>
        </w:rPr>
        <w:t>функциони</w:t>
      </w:r>
      <w:r w:rsidR="006E324C">
        <w:rPr>
          <w:rFonts w:ascii="Times New Roman" w:hAnsi="Times New Roman"/>
          <w:lang w:val="sr-Cyrl-BA"/>
        </w:rPr>
        <w:t>с</w:t>
      </w:r>
      <w:r>
        <w:rPr>
          <w:rFonts w:ascii="Times New Roman" w:hAnsi="Times New Roman"/>
        </w:rPr>
        <w:t>ања</w:t>
      </w:r>
      <w:r w:rsidR="00B33BCC" w:rsidRPr="00295637">
        <w:rPr>
          <w:rFonts w:ascii="Times New Roman" w:hAnsi="Times New Roman"/>
        </w:rPr>
        <w:t xml:space="preserve"> </w:t>
      </w:r>
      <w:r>
        <w:rPr>
          <w:rFonts w:ascii="Times New Roman" w:hAnsi="Times New Roman"/>
        </w:rPr>
        <w:t>система</w:t>
      </w:r>
      <w:r w:rsidR="00B33BCC" w:rsidRPr="00295637">
        <w:rPr>
          <w:rFonts w:ascii="Times New Roman" w:hAnsi="Times New Roman"/>
        </w:rPr>
        <w:t xml:space="preserve"> </w:t>
      </w:r>
      <w:r>
        <w:rPr>
          <w:rFonts w:ascii="Times New Roman" w:hAnsi="Times New Roman"/>
        </w:rPr>
        <w:t>заштите</w:t>
      </w:r>
      <w:r w:rsidR="00B33BCC" w:rsidRPr="00295637">
        <w:rPr>
          <w:rFonts w:ascii="Times New Roman" w:hAnsi="Times New Roman"/>
        </w:rPr>
        <w:t xml:space="preserve">, </w:t>
      </w:r>
      <w:r>
        <w:rPr>
          <w:rFonts w:ascii="Times New Roman" w:hAnsi="Times New Roman"/>
        </w:rPr>
        <w:t>а</w:t>
      </w:r>
      <w:r w:rsidR="00B33BCC" w:rsidRPr="00295637">
        <w:rPr>
          <w:rFonts w:ascii="Times New Roman" w:hAnsi="Times New Roman"/>
        </w:rPr>
        <w:t xml:space="preserve"> </w:t>
      </w:r>
      <w:r>
        <w:rPr>
          <w:rFonts w:ascii="Times New Roman" w:hAnsi="Times New Roman"/>
        </w:rPr>
        <w:t>посебно</w:t>
      </w:r>
      <w:r w:rsidR="00B33BCC" w:rsidRPr="00295637">
        <w:rPr>
          <w:rFonts w:ascii="Times New Roman" w:hAnsi="Times New Roman"/>
        </w:rPr>
        <w:t xml:space="preserve"> </w:t>
      </w:r>
      <w:r>
        <w:rPr>
          <w:rFonts w:ascii="Times New Roman" w:hAnsi="Times New Roman"/>
        </w:rPr>
        <w:t>превенције</w:t>
      </w:r>
      <w:r w:rsidR="00B33BCC" w:rsidRPr="00295637">
        <w:rPr>
          <w:rFonts w:ascii="Times New Roman" w:hAnsi="Times New Roman"/>
        </w:rPr>
        <w:t xml:space="preserve"> </w:t>
      </w:r>
      <w:r>
        <w:rPr>
          <w:rFonts w:ascii="Times New Roman" w:hAnsi="Times New Roman"/>
        </w:rPr>
        <w:t>најтежих</w:t>
      </w:r>
      <w:r w:rsidR="00B33BCC" w:rsidRPr="00295637">
        <w:rPr>
          <w:rFonts w:ascii="Times New Roman" w:hAnsi="Times New Roman"/>
        </w:rPr>
        <w:t xml:space="preserve"> </w:t>
      </w:r>
      <w:r>
        <w:rPr>
          <w:rFonts w:ascii="Times New Roman" w:hAnsi="Times New Roman"/>
        </w:rPr>
        <w:t>облика</w:t>
      </w:r>
      <w:r w:rsidR="00B33BCC" w:rsidRPr="00295637">
        <w:rPr>
          <w:rFonts w:ascii="Times New Roman" w:hAnsi="Times New Roman"/>
        </w:rPr>
        <w:t xml:space="preserve"> </w:t>
      </w:r>
      <w:r>
        <w:rPr>
          <w:rFonts w:ascii="Times New Roman" w:hAnsi="Times New Roman"/>
        </w:rPr>
        <w:t>насиља</w:t>
      </w:r>
      <w:r w:rsidR="00B33BCC" w:rsidRPr="00295637">
        <w:rPr>
          <w:rFonts w:ascii="Times New Roman" w:hAnsi="Times New Roman"/>
        </w:rPr>
        <w:t xml:space="preserve"> </w:t>
      </w:r>
      <w:r>
        <w:rPr>
          <w:rFonts w:ascii="Times New Roman" w:hAnsi="Times New Roman"/>
        </w:rPr>
        <w:t>као</w:t>
      </w:r>
      <w:r w:rsidR="00FB20AF" w:rsidRPr="00295637">
        <w:rPr>
          <w:rFonts w:ascii="Times New Roman" w:hAnsi="Times New Roman"/>
        </w:rPr>
        <w:t xml:space="preserve"> </w:t>
      </w:r>
      <w:r>
        <w:rPr>
          <w:rFonts w:ascii="Times New Roman" w:hAnsi="Times New Roman"/>
        </w:rPr>
        <w:t>што</w:t>
      </w:r>
      <w:r w:rsidR="00FB20AF" w:rsidRPr="00295637">
        <w:rPr>
          <w:rFonts w:ascii="Times New Roman" w:hAnsi="Times New Roman"/>
        </w:rPr>
        <w:t xml:space="preserve"> </w:t>
      </w:r>
      <w:r>
        <w:rPr>
          <w:rFonts w:ascii="Times New Roman" w:hAnsi="Times New Roman"/>
        </w:rPr>
        <w:t>су</w:t>
      </w:r>
      <w:r w:rsidR="00FB20AF" w:rsidRPr="00295637">
        <w:rPr>
          <w:rFonts w:ascii="Times New Roman" w:hAnsi="Times New Roman"/>
        </w:rPr>
        <w:t xml:space="preserve"> </w:t>
      </w:r>
      <w:r>
        <w:rPr>
          <w:rFonts w:ascii="Times New Roman" w:hAnsi="Times New Roman"/>
        </w:rPr>
        <w:t>случајеви</w:t>
      </w:r>
      <w:r w:rsidR="00FB20AF" w:rsidRPr="00295637">
        <w:rPr>
          <w:rFonts w:ascii="Times New Roman" w:hAnsi="Times New Roman"/>
        </w:rPr>
        <w:t xml:space="preserve"> </w:t>
      </w:r>
      <w:r>
        <w:rPr>
          <w:rFonts w:ascii="Times New Roman" w:hAnsi="Times New Roman"/>
        </w:rPr>
        <w:t>фемицида</w:t>
      </w:r>
      <w:r w:rsidR="00FB20AF" w:rsidRPr="00295637">
        <w:rPr>
          <w:rFonts w:ascii="Times New Roman" w:hAnsi="Times New Roman"/>
        </w:rPr>
        <w:t xml:space="preserve">. </w:t>
      </w:r>
    </w:p>
    <w:p w:rsidR="002B7DEA" w:rsidRPr="00295637" w:rsidRDefault="002B7DEA" w:rsidP="0086268D">
      <w:pPr>
        <w:ind w:left="720"/>
        <w:jc w:val="both"/>
        <w:rPr>
          <w:rFonts w:cs="Arial"/>
        </w:rPr>
      </w:pPr>
    </w:p>
    <w:p w:rsidR="00C14482" w:rsidRPr="00295637" w:rsidRDefault="00C6214E" w:rsidP="0086268D">
      <w:pPr>
        <w:pStyle w:val="ListParagraph"/>
        <w:ind w:left="0"/>
        <w:jc w:val="both"/>
        <w:rPr>
          <w:rFonts w:ascii="Times New Roman" w:hAnsi="Times New Roman"/>
          <w:iCs/>
          <w:lang w:val="sr-Cyrl-BA"/>
        </w:rPr>
      </w:pPr>
      <w:r>
        <w:rPr>
          <w:rFonts w:ascii="Times New Roman" w:hAnsi="Times New Roman"/>
          <w:lang w:val="sr-Latn-BA"/>
        </w:rPr>
        <w:t>У</w:t>
      </w:r>
      <w:r w:rsidR="00C14482" w:rsidRPr="00295637">
        <w:rPr>
          <w:rFonts w:ascii="Times New Roman" w:hAnsi="Times New Roman"/>
          <w:lang w:val="sr-Latn-BA"/>
        </w:rPr>
        <w:t xml:space="preserve"> </w:t>
      </w:r>
      <w:r>
        <w:rPr>
          <w:rFonts w:ascii="Times New Roman" w:hAnsi="Times New Roman"/>
          <w:lang w:val="sr-Latn-BA"/>
        </w:rPr>
        <w:t>извјештајном</w:t>
      </w:r>
      <w:r w:rsidR="00C14482" w:rsidRPr="00295637">
        <w:rPr>
          <w:rFonts w:ascii="Times New Roman" w:hAnsi="Times New Roman"/>
          <w:lang w:val="sr-Latn-BA"/>
        </w:rPr>
        <w:t xml:space="preserve"> </w:t>
      </w:r>
      <w:r>
        <w:rPr>
          <w:rFonts w:ascii="Times New Roman" w:hAnsi="Times New Roman"/>
          <w:lang w:val="sr-Latn-BA"/>
        </w:rPr>
        <w:t>периоду</w:t>
      </w:r>
      <w:r w:rsidR="00C14482" w:rsidRPr="00295637">
        <w:rPr>
          <w:rFonts w:ascii="Times New Roman" w:hAnsi="Times New Roman"/>
          <w:lang w:val="sr-Latn-BA"/>
        </w:rPr>
        <w:t xml:space="preserve">, </w:t>
      </w:r>
      <w:r>
        <w:rPr>
          <w:rFonts w:ascii="Times New Roman" w:hAnsi="Times New Roman"/>
          <w:lang w:val="sr-Latn-BA"/>
        </w:rPr>
        <w:t>ЦЈРП</w:t>
      </w:r>
      <w:r w:rsidR="00C14482" w:rsidRPr="00295637">
        <w:rPr>
          <w:rFonts w:ascii="Times New Roman" w:hAnsi="Times New Roman"/>
          <w:lang w:val="sr-Latn-BA"/>
        </w:rPr>
        <w:t xml:space="preserve"> </w:t>
      </w:r>
      <w:r>
        <w:rPr>
          <w:rFonts w:ascii="Times New Roman" w:hAnsi="Times New Roman"/>
          <w:lang w:val="sr-Latn-BA"/>
        </w:rPr>
        <w:t>РС</w:t>
      </w:r>
      <w:r w:rsidR="00C14482" w:rsidRPr="00295637">
        <w:rPr>
          <w:rFonts w:ascii="Times New Roman" w:hAnsi="Times New Roman"/>
          <w:lang w:val="sr-Latn-BA"/>
        </w:rPr>
        <w:t xml:space="preserve"> </w:t>
      </w:r>
      <w:r w:rsidR="006E324C">
        <w:rPr>
          <w:rFonts w:ascii="Times New Roman" w:hAnsi="Times New Roman"/>
          <w:lang w:val="sr-Latn-BA"/>
        </w:rPr>
        <w:t xml:space="preserve">је </w:t>
      </w:r>
      <w:r>
        <w:rPr>
          <w:rFonts w:ascii="Times New Roman" w:hAnsi="Times New Roman"/>
          <w:lang w:val="sr-Latn-BA"/>
        </w:rPr>
        <w:t>и</w:t>
      </w:r>
      <w:r>
        <w:rPr>
          <w:rFonts w:ascii="Times New Roman" w:hAnsi="Times New Roman"/>
          <w:lang w:val="sr-Cyrl-BA"/>
        </w:rPr>
        <w:t>зра</w:t>
      </w:r>
      <w:r>
        <w:rPr>
          <w:rFonts w:ascii="Times New Roman" w:hAnsi="Times New Roman"/>
          <w:lang w:val="sr-Latn-BA"/>
        </w:rPr>
        <w:t>дио</w:t>
      </w:r>
      <w:r w:rsidR="00C14482" w:rsidRPr="00295637">
        <w:rPr>
          <w:rFonts w:ascii="Times New Roman" w:hAnsi="Times New Roman"/>
          <w:lang w:val="sr-Latn-BA"/>
        </w:rPr>
        <w:t xml:space="preserve"> </w:t>
      </w:r>
      <w:r>
        <w:rPr>
          <w:rFonts w:ascii="Times New Roman" w:hAnsi="Times New Roman"/>
          <w:lang w:val="sr-Cyrl-BA"/>
        </w:rPr>
        <w:t>анализ</w:t>
      </w:r>
      <w:r>
        <w:rPr>
          <w:rFonts w:ascii="Times New Roman" w:hAnsi="Times New Roman"/>
          <w:lang w:val="sr-Latn-BA"/>
        </w:rPr>
        <w:t>у</w:t>
      </w:r>
      <w:r w:rsidR="00C14482" w:rsidRPr="00295637">
        <w:rPr>
          <w:rFonts w:ascii="Times New Roman" w:hAnsi="Times New Roman"/>
          <w:lang w:val="sr-Cyrl-BA"/>
        </w:rPr>
        <w:t xml:space="preserve"> </w:t>
      </w:r>
      <w:r>
        <w:rPr>
          <w:rFonts w:ascii="Times New Roman" w:hAnsi="Times New Roman"/>
          <w:lang w:val="sr-Cyrl-BA"/>
        </w:rPr>
        <w:t>и</w:t>
      </w:r>
      <w:r w:rsidR="00C14482" w:rsidRPr="00295637">
        <w:rPr>
          <w:rFonts w:ascii="Times New Roman" w:hAnsi="Times New Roman"/>
          <w:lang w:val="sr-Cyrl-BA"/>
        </w:rPr>
        <w:t xml:space="preserve"> </w:t>
      </w:r>
      <w:r>
        <w:rPr>
          <w:rFonts w:ascii="Times New Roman" w:hAnsi="Times New Roman"/>
          <w:lang w:val="sr-Cyrl-BA"/>
        </w:rPr>
        <w:t>мониторинг</w:t>
      </w:r>
      <w:r w:rsidR="00C14482" w:rsidRPr="00295637">
        <w:rPr>
          <w:rFonts w:ascii="Times New Roman" w:hAnsi="Times New Roman"/>
          <w:lang w:val="sr-Cyrl-BA"/>
        </w:rPr>
        <w:t xml:space="preserve"> </w:t>
      </w:r>
      <w:r>
        <w:rPr>
          <w:rFonts w:ascii="Times New Roman" w:hAnsi="Times New Roman"/>
          <w:lang w:val="sr-Cyrl-BA"/>
        </w:rPr>
        <w:t>медијског</w:t>
      </w:r>
      <w:r w:rsidR="00C14482"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тавања</w:t>
      </w:r>
      <w:r w:rsidR="00C14482" w:rsidRPr="00295637">
        <w:rPr>
          <w:rFonts w:ascii="Times New Roman" w:hAnsi="Times New Roman"/>
          <w:lang w:val="sr-Cyrl-BA"/>
        </w:rPr>
        <w:t xml:space="preserve"> </w:t>
      </w:r>
      <w:r>
        <w:rPr>
          <w:rFonts w:ascii="Times New Roman" w:hAnsi="Times New Roman"/>
          <w:lang w:val="sr-Cyrl-BA"/>
        </w:rPr>
        <w:t>о</w:t>
      </w:r>
      <w:r w:rsidR="00C14482" w:rsidRPr="00295637">
        <w:rPr>
          <w:rFonts w:ascii="Times New Roman" w:hAnsi="Times New Roman"/>
          <w:lang w:val="sr-Cyrl-BA"/>
        </w:rPr>
        <w:t xml:space="preserve"> </w:t>
      </w:r>
      <w:r>
        <w:rPr>
          <w:rFonts w:ascii="Times New Roman" w:hAnsi="Times New Roman"/>
          <w:lang w:val="sr-Cyrl-BA"/>
        </w:rPr>
        <w:t>насиљу</w:t>
      </w:r>
      <w:r w:rsidR="00C14482" w:rsidRPr="00295637">
        <w:rPr>
          <w:rFonts w:ascii="Times New Roman" w:hAnsi="Times New Roman"/>
          <w:lang w:val="sr-Latn-BA"/>
        </w:rPr>
        <w:t xml:space="preserve"> </w:t>
      </w:r>
      <w:r>
        <w:rPr>
          <w:rFonts w:ascii="Times New Roman" w:hAnsi="Times New Roman"/>
          <w:lang w:val="sr-Latn-BA"/>
        </w:rPr>
        <w:t>по</w:t>
      </w:r>
      <w:r w:rsidR="00C14482" w:rsidRPr="00295637">
        <w:rPr>
          <w:rFonts w:ascii="Times New Roman" w:hAnsi="Times New Roman"/>
          <w:lang w:val="sr-Latn-BA"/>
        </w:rPr>
        <w:t xml:space="preserve"> </w:t>
      </w:r>
      <w:r>
        <w:rPr>
          <w:rFonts w:ascii="Times New Roman" w:hAnsi="Times New Roman"/>
          <w:lang w:val="sr-Latn-BA"/>
        </w:rPr>
        <w:t>основу</w:t>
      </w:r>
      <w:r w:rsidR="00C14482" w:rsidRPr="00295637">
        <w:rPr>
          <w:rFonts w:ascii="Times New Roman" w:hAnsi="Times New Roman"/>
          <w:lang w:val="sr-Latn-BA"/>
        </w:rPr>
        <w:t xml:space="preserve"> </w:t>
      </w:r>
      <w:r>
        <w:rPr>
          <w:rFonts w:ascii="Times New Roman" w:hAnsi="Times New Roman"/>
          <w:lang w:val="sr-Latn-BA"/>
        </w:rPr>
        <w:t>пола</w:t>
      </w:r>
      <w:r w:rsidR="00C14482" w:rsidRPr="00295637">
        <w:rPr>
          <w:rFonts w:ascii="Times New Roman" w:hAnsi="Times New Roman"/>
          <w:lang w:val="sr-Cyrl-BA"/>
        </w:rPr>
        <w:t>.</w:t>
      </w:r>
    </w:p>
    <w:p w:rsidR="00C14482" w:rsidRPr="00295637" w:rsidRDefault="00C14482" w:rsidP="0086268D">
      <w:pPr>
        <w:tabs>
          <w:tab w:val="left" w:pos="284"/>
          <w:tab w:val="left" w:pos="630"/>
          <w:tab w:val="left" w:pos="1080"/>
        </w:tabs>
        <w:jc w:val="both"/>
        <w:rPr>
          <w:rFonts w:ascii="Times New Roman" w:hAnsi="Times New Roman"/>
          <w:szCs w:val="24"/>
          <w:lang w:val="bs-Latn-BA"/>
        </w:rPr>
      </w:pPr>
    </w:p>
    <w:p w:rsidR="0084585A"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БХРТ</w:t>
      </w:r>
      <w:r w:rsidR="005155D7">
        <w:rPr>
          <w:rFonts w:ascii="Times New Roman" w:hAnsi="Times New Roman"/>
          <w:szCs w:val="24"/>
          <w:lang w:val="bs-Latn-BA"/>
        </w:rPr>
        <w:t xml:space="preserve"> </w:t>
      </w:r>
      <w:r>
        <w:rPr>
          <w:rFonts w:ascii="Times New Roman" w:hAnsi="Times New Roman"/>
          <w:szCs w:val="24"/>
          <w:lang w:val="bs-Latn-BA"/>
        </w:rPr>
        <w:t>је</w:t>
      </w:r>
      <w:r w:rsidR="005155D7">
        <w:rPr>
          <w:rFonts w:ascii="Times New Roman" w:hAnsi="Times New Roman"/>
          <w:szCs w:val="24"/>
          <w:lang w:val="bs-Latn-BA"/>
        </w:rPr>
        <w:t xml:space="preserve"> </w:t>
      </w:r>
      <w:r>
        <w:rPr>
          <w:rFonts w:ascii="Times New Roman" w:hAnsi="Times New Roman"/>
          <w:szCs w:val="24"/>
          <w:lang w:val="bs-Latn-BA"/>
        </w:rPr>
        <w:t>у</w:t>
      </w:r>
      <w:r w:rsidR="005155D7">
        <w:rPr>
          <w:rFonts w:ascii="Times New Roman" w:hAnsi="Times New Roman"/>
          <w:szCs w:val="24"/>
          <w:lang w:val="bs-Latn-BA"/>
        </w:rPr>
        <w:t xml:space="preserve"> </w:t>
      </w:r>
      <w:r>
        <w:rPr>
          <w:rFonts w:ascii="Times New Roman" w:hAnsi="Times New Roman"/>
          <w:szCs w:val="24"/>
          <w:lang w:val="bs-Latn-BA"/>
        </w:rPr>
        <w:t>више</w:t>
      </w:r>
      <w:r w:rsidR="005155D7">
        <w:rPr>
          <w:rFonts w:ascii="Times New Roman" w:hAnsi="Times New Roman"/>
          <w:szCs w:val="24"/>
          <w:lang w:val="bs-Latn-BA"/>
        </w:rPr>
        <w:t xml:space="preserve"> </w:t>
      </w:r>
      <w:r>
        <w:rPr>
          <w:rFonts w:ascii="Times New Roman" w:hAnsi="Times New Roman"/>
          <w:szCs w:val="24"/>
          <w:lang w:val="bs-Latn-BA"/>
        </w:rPr>
        <w:t>од</w:t>
      </w:r>
      <w:r w:rsidR="005155D7">
        <w:rPr>
          <w:rFonts w:ascii="Times New Roman" w:hAnsi="Times New Roman"/>
          <w:szCs w:val="24"/>
          <w:lang w:val="bs-Latn-BA"/>
        </w:rPr>
        <w:t xml:space="preserve"> 100 </w:t>
      </w:r>
      <w:r>
        <w:rPr>
          <w:rFonts w:ascii="Times New Roman" w:hAnsi="Times New Roman"/>
          <w:szCs w:val="24"/>
          <w:lang w:val="bs-Latn-BA"/>
        </w:rPr>
        <w:t>ТВ</w:t>
      </w:r>
      <w:r w:rsidR="005155D7">
        <w:rPr>
          <w:rFonts w:ascii="Times New Roman" w:hAnsi="Times New Roman"/>
          <w:szCs w:val="24"/>
          <w:lang w:val="bs-Latn-BA"/>
        </w:rPr>
        <w:t xml:space="preserve"> </w:t>
      </w:r>
      <w:r>
        <w:rPr>
          <w:rFonts w:ascii="Times New Roman" w:hAnsi="Times New Roman"/>
          <w:szCs w:val="24"/>
          <w:lang w:val="bs-Latn-BA"/>
        </w:rPr>
        <w:t>садржаја</w:t>
      </w:r>
      <w:r w:rsidR="0084585A" w:rsidRPr="00295637">
        <w:rPr>
          <w:rFonts w:ascii="Times New Roman" w:hAnsi="Times New Roman"/>
          <w:szCs w:val="24"/>
          <w:lang w:val="bs-Latn-BA"/>
        </w:rPr>
        <w:t xml:space="preserve"> (</w:t>
      </w:r>
      <w:r>
        <w:rPr>
          <w:rFonts w:ascii="Times New Roman" w:hAnsi="Times New Roman"/>
          <w:szCs w:val="24"/>
          <w:lang w:val="bs-Latn-BA"/>
        </w:rPr>
        <w:t>прилози</w:t>
      </w:r>
      <w:r w:rsidR="0084585A" w:rsidRPr="00295637">
        <w:rPr>
          <w:rFonts w:ascii="Times New Roman" w:hAnsi="Times New Roman"/>
          <w:szCs w:val="24"/>
          <w:lang w:val="bs-Latn-BA"/>
        </w:rPr>
        <w:t xml:space="preserve">, </w:t>
      </w:r>
      <w:r>
        <w:rPr>
          <w:rFonts w:ascii="Times New Roman" w:hAnsi="Times New Roman"/>
          <w:szCs w:val="24"/>
          <w:lang w:val="bs-Latn-BA"/>
        </w:rPr>
        <w:t>гостовања</w:t>
      </w:r>
      <w:r w:rsidR="0084585A" w:rsidRPr="00295637">
        <w:rPr>
          <w:rFonts w:ascii="Times New Roman" w:hAnsi="Times New Roman"/>
          <w:szCs w:val="24"/>
          <w:lang w:val="bs-Latn-BA"/>
        </w:rPr>
        <w:t xml:space="preserve">, </w:t>
      </w:r>
      <w:r>
        <w:rPr>
          <w:rFonts w:ascii="Times New Roman" w:hAnsi="Times New Roman"/>
          <w:szCs w:val="24"/>
          <w:lang w:val="bs-Latn-BA"/>
        </w:rPr>
        <w:t>изјаве</w:t>
      </w:r>
      <w:r w:rsidR="0084585A" w:rsidRPr="00295637">
        <w:rPr>
          <w:rFonts w:ascii="Times New Roman" w:hAnsi="Times New Roman"/>
          <w:szCs w:val="24"/>
          <w:lang w:val="bs-Latn-BA"/>
        </w:rPr>
        <w:t xml:space="preserve">, </w:t>
      </w:r>
      <w:r>
        <w:rPr>
          <w:rFonts w:ascii="Times New Roman" w:hAnsi="Times New Roman"/>
          <w:szCs w:val="24"/>
          <w:lang w:val="bs-Latn-BA"/>
        </w:rPr>
        <w:t>анкете</w:t>
      </w:r>
      <w:r w:rsidR="0084585A" w:rsidRPr="00295637">
        <w:rPr>
          <w:rFonts w:ascii="Times New Roman" w:hAnsi="Times New Roman"/>
          <w:szCs w:val="24"/>
          <w:lang w:val="bs-Latn-BA"/>
        </w:rPr>
        <w:t xml:space="preserve">, </w:t>
      </w:r>
      <w:r>
        <w:rPr>
          <w:rFonts w:ascii="Times New Roman" w:hAnsi="Times New Roman"/>
          <w:szCs w:val="24"/>
          <w:lang w:val="bs-Latn-BA"/>
        </w:rPr>
        <w:t>анализе</w:t>
      </w:r>
      <w:r w:rsidR="0084585A" w:rsidRPr="00295637">
        <w:rPr>
          <w:rFonts w:ascii="Times New Roman" w:hAnsi="Times New Roman"/>
          <w:szCs w:val="24"/>
          <w:lang w:val="bs-Latn-BA"/>
        </w:rPr>
        <w:t>)</w:t>
      </w:r>
      <w:r w:rsidR="00FC1015" w:rsidRPr="00295637">
        <w:rPr>
          <w:rFonts w:ascii="Times New Roman" w:hAnsi="Times New Roman"/>
          <w:szCs w:val="24"/>
          <w:lang w:val="bs-Latn-BA"/>
        </w:rPr>
        <w:t>,</w:t>
      </w:r>
      <w:r w:rsidR="0084585A" w:rsidRPr="00295637">
        <w:rPr>
          <w:rFonts w:ascii="Times New Roman" w:hAnsi="Times New Roman"/>
          <w:szCs w:val="24"/>
          <w:lang w:val="bs-Latn-BA"/>
        </w:rPr>
        <w:t xml:space="preserve"> </w:t>
      </w:r>
      <w:r>
        <w:rPr>
          <w:rFonts w:ascii="Times New Roman" w:hAnsi="Times New Roman"/>
          <w:szCs w:val="24"/>
          <w:lang w:val="bs-Latn-BA"/>
        </w:rPr>
        <w:t>те</w:t>
      </w:r>
      <w:r w:rsidR="0084585A" w:rsidRPr="00295637">
        <w:rPr>
          <w:rFonts w:ascii="Times New Roman" w:hAnsi="Times New Roman"/>
          <w:szCs w:val="24"/>
          <w:lang w:val="bs-Latn-BA"/>
        </w:rPr>
        <w:t xml:space="preserve"> 10 </w:t>
      </w:r>
      <w:r>
        <w:rPr>
          <w:rFonts w:ascii="Times New Roman" w:hAnsi="Times New Roman"/>
          <w:szCs w:val="24"/>
          <w:lang w:val="bs-Latn-BA"/>
        </w:rPr>
        <w:t>тематских</w:t>
      </w:r>
      <w:r w:rsidR="0084585A" w:rsidRPr="00295637">
        <w:rPr>
          <w:rFonts w:ascii="Times New Roman" w:hAnsi="Times New Roman"/>
          <w:szCs w:val="24"/>
          <w:lang w:val="bs-Latn-BA"/>
        </w:rPr>
        <w:t xml:space="preserve"> </w:t>
      </w:r>
      <w:r>
        <w:rPr>
          <w:rFonts w:ascii="Times New Roman" w:hAnsi="Times New Roman"/>
          <w:szCs w:val="24"/>
          <w:lang w:val="bs-Latn-BA"/>
        </w:rPr>
        <w:t>емисија</w:t>
      </w:r>
      <w:r w:rsidR="00FC1015" w:rsidRPr="00295637">
        <w:rPr>
          <w:rFonts w:ascii="Times New Roman" w:hAnsi="Times New Roman"/>
          <w:szCs w:val="24"/>
          <w:lang w:val="bs-Latn-BA"/>
        </w:rPr>
        <w:t>,</w:t>
      </w:r>
      <w:r w:rsidR="0084585A" w:rsidRPr="00295637">
        <w:rPr>
          <w:rFonts w:ascii="Times New Roman" w:hAnsi="Times New Roman"/>
          <w:szCs w:val="24"/>
          <w:lang w:val="bs-Latn-BA"/>
        </w:rPr>
        <w:t xml:space="preserve"> </w:t>
      </w:r>
      <w:r>
        <w:rPr>
          <w:rFonts w:ascii="Times New Roman" w:hAnsi="Times New Roman"/>
          <w:szCs w:val="24"/>
          <w:lang w:val="bs-Latn-BA"/>
        </w:rPr>
        <w:t>пажњу</w:t>
      </w:r>
      <w:r w:rsidR="0084585A" w:rsidRPr="00295637">
        <w:rPr>
          <w:rFonts w:ascii="Times New Roman" w:hAnsi="Times New Roman"/>
          <w:szCs w:val="24"/>
          <w:lang w:val="bs-Latn-BA"/>
        </w:rPr>
        <w:t xml:space="preserve"> </w:t>
      </w:r>
      <w:r>
        <w:rPr>
          <w:rFonts w:ascii="Times New Roman" w:hAnsi="Times New Roman"/>
          <w:szCs w:val="24"/>
          <w:lang w:val="bs-Latn-BA"/>
        </w:rPr>
        <w:t>посвећивала</w:t>
      </w:r>
      <w:r w:rsidR="0084585A" w:rsidRPr="00295637">
        <w:rPr>
          <w:rFonts w:ascii="Times New Roman" w:hAnsi="Times New Roman"/>
          <w:szCs w:val="24"/>
          <w:lang w:val="bs-Latn-BA"/>
        </w:rPr>
        <w:t xml:space="preserve"> </w:t>
      </w:r>
      <w:r>
        <w:rPr>
          <w:rFonts w:ascii="Times New Roman" w:hAnsi="Times New Roman"/>
          <w:szCs w:val="24"/>
          <w:lang w:val="bs-Latn-BA"/>
        </w:rPr>
        <w:t>насиљу</w:t>
      </w:r>
      <w:r w:rsidR="00312F50" w:rsidRPr="00295637">
        <w:rPr>
          <w:rFonts w:ascii="Times New Roman" w:hAnsi="Times New Roman"/>
          <w:szCs w:val="24"/>
          <w:lang w:val="bs-Latn-BA"/>
        </w:rPr>
        <w:t xml:space="preserve"> </w:t>
      </w:r>
      <w:r>
        <w:rPr>
          <w:rFonts w:ascii="Times New Roman" w:hAnsi="Times New Roman"/>
          <w:szCs w:val="24"/>
          <w:lang w:val="bs-Latn-BA"/>
        </w:rPr>
        <w:t>над</w:t>
      </w:r>
      <w:r w:rsidR="00312F50" w:rsidRPr="00295637">
        <w:rPr>
          <w:rFonts w:ascii="Times New Roman" w:hAnsi="Times New Roman"/>
          <w:szCs w:val="24"/>
          <w:lang w:val="bs-Latn-BA"/>
        </w:rPr>
        <w:t xml:space="preserve"> </w:t>
      </w:r>
      <w:r>
        <w:rPr>
          <w:rFonts w:ascii="Times New Roman" w:hAnsi="Times New Roman"/>
          <w:szCs w:val="24"/>
          <w:lang w:val="bs-Latn-BA"/>
        </w:rPr>
        <w:t>женама</w:t>
      </w:r>
      <w:r w:rsidR="00312F50" w:rsidRPr="00295637">
        <w:rPr>
          <w:rFonts w:ascii="Times New Roman" w:hAnsi="Times New Roman"/>
          <w:szCs w:val="24"/>
          <w:lang w:val="bs-Latn-BA"/>
        </w:rPr>
        <w:t xml:space="preserve">, </w:t>
      </w:r>
      <w:r>
        <w:rPr>
          <w:rFonts w:ascii="Times New Roman" w:hAnsi="Times New Roman"/>
          <w:szCs w:val="24"/>
          <w:lang w:val="bs-Latn-BA"/>
        </w:rPr>
        <w:t>узроцима</w:t>
      </w:r>
      <w:r w:rsidR="00312F50" w:rsidRPr="00295637">
        <w:rPr>
          <w:rFonts w:ascii="Times New Roman" w:hAnsi="Times New Roman"/>
          <w:szCs w:val="24"/>
          <w:lang w:val="bs-Latn-BA"/>
        </w:rPr>
        <w:t xml:space="preserve">, </w:t>
      </w:r>
      <w:r>
        <w:rPr>
          <w:rFonts w:ascii="Times New Roman" w:hAnsi="Times New Roman"/>
          <w:szCs w:val="24"/>
          <w:lang w:val="bs-Latn-BA"/>
        </w:rPr>
        <w:t>законској</w:t>
      </w:r>
      <w:r w:rsidR="0084585A" w:rsidRPr="00295637">
        <w:rPr>
          <w:rFonts w:ascii="Times New Roman" w:hAnsi="Times New Roman"/>
          <w:szCs w:val="24"/>
          <w:lang w:val="bs-Latn-BA"/>
        </w:rPr>
        <w:t xml:space="preserve"> </w:t>
      </w:r>
      <w:r>
        <w:rPr>
          <w:rFonts w:ascii="Times New Roman" w:hAnsi="Times New Roman"/>
          <w:szCs w:val="24"/>
          <w:lang w:val="bs-Latn-BA"/>
        </w:rPr>
        <w:t>регулативи</w:t>
      </w:r>
      <w:r w:rsidR="0084585A" w:rsidRPr="00295637">
        <w:rPr>
          <w:rFonts w:ascii="Times New Roman" w:hAnsi="Times New Roman"/>
          <w:szCs w:val="24"/>
          <w:lang w:val="bs-Latn-BA"/>
        </w:rPr>
        <w:t xml:space="preserve">, </w:t>
      </w:r>
      <w:r>
        <w:rPr>
          <w:rFonts w:ascii="Times New Roman" w:hAnsi="Times New Roman"/>
          <w:szCs w:val="24"/>
          <w:lang w:val="bs-Latn-BA"/>
        </w:rPr>
        <w:t>начинима</w:t>
      </w:r>
      <w:r w:rsidR="007537E4" w:rsidRPr="00295637">
        <w:rPr>
          <w:rFonts w:ascii="Times New Roman" w:hAnsi="Times New Roman"/>
          <w:szCs w:val="24"/>
          <w:lang w:val="bs-Latn-BA"/>
        </w:rPr>
        <w:t xml:space="preserve"> </w:t>
      </w:r>
      <w:r>
        <w:rPr>
          <w:rFonts w:ascii="Times New Roman" w:hAnsi="Times New Roman"/>
          <w:szCs w:val="24"/>
          <w:lang w:val="bs-Latn-BA"/>
        </w:rPr>
        <w:t>подршке</w:t>
      </w:r>
      <w:r w:rsidR="0084585A" w:rsidRPr="00295637">
        <w:rPr>
          <w:rFonts w:ascii="Times New Roman" w:hAnsi="Times New Roman"/>
          <w:szCs w:val="24"/>
          <w:lang w:val="bs-Latn-BA"/>
        </w:rPr>
        <w:t xml:space="preserve"> </w:t>
      </w:r>
      <w:r>
        <w:rPr>
          <w:rFonts w:ascii="Times New Roman" w:hAnsi="Times New Roman"/>
          <w:szCs w:val="24"/>
          <w:lang w:val="bs-Latn-BA"/>
        </w:rPr>
        <w:t>женама</w:t>
      </w:r>
      <w:r w:rsidR="0084585A" w:rsidRPr="00295637">
        <w:rPr>
          <w:rFonts w:ascii="Times New Roman" w:hAnsi="Times New Roman"/>
          <w:szCs w:val="24"/>
          <w:lang w:val="bs-Latn-BA"/>
        </w:rPr>
        <w:t xml:space="preserve"> </w:t>
      </w:r>
      <w:r>
        <w:rPr>
          <w:rFonts w:ascii="Times New Roman" w:hAnsi="Times New Roman"/>
          <w:szCs w:val="24"/>
          <w:lang w:val="bs-Latn-BA"/>
        </w:rPr>
        <w:t>које</w:t>
      </w:r>
      <w:r w:rsidR="0084585A" w:rsidRPr="00295637">
        <w:rPr>
          <w:rFonts w:ascii="Times New Roman" w:hAnsi="Times New Roman"/>
          <w:szCs w:val="24"/>
          <w:lang w:val="bs-Latn-BA"/>
        </w:rPr>
        <w:t xml:space="preserve"> </w:t>
      </w:r>
      <w:r>
        <w:rPr>
          <w:rFonts w:ascii="Times New Roman" w:hAnsi="Times New Roman"/>
          <w:szCs w:val="24"/>
          <w:lang w:val="bs-Latn-BA"/>
        </w:rPr>
        <w:t>су</w:t>
      </w:r>
      <w:r w:rsidR="0084585A" w:rsidRPr="00295637">
        <w:rPr>
          <w:rFonts w:ascii="Times New Roman" w:hAnsi="Times New Roman"/>
          <w:szCs w:val="24"/>
          <w:lang w:val="bs-Latn-BA"/>
        </w:rPr>
        <w:t xml:space="preserve"> </w:t>
      </w:r>
      <w:r>
        <w:rPr>
          <w:rFonts w:ascii="Times New Roman" w:hAnsi="Times New Roman"/>
          <w:szCs w:val="24"/>
          <w:lang w:val="bs-Latn-BA"/>
        </w:rPr>
        <w:t>изложене</w:t>
      </w:r>
      <w:r w:rsidR="0084585A" w:rsidRPr="00295637">
        <w:rPr>
          <w:rFonts w:ascii="Times New Roman" w:hAnsi="Times New Roman"/>
          <w:szCs w:val="24"/>
          <w:lang w:val="bs-Latn-BA"/>
        </w:rPr>
        <w:t xml:space="preserve"> </w:t>
      </w:r>
      <w:r>
        <w:rPr>
          <w:rFonts w:ascii="Times New Roman" w:hAnsi="Times New Roman"/>
          <w:szCs w:val="24"/>
          <w:lang w:val="bs-Latn-BA"/>
        </w:rPr>
        <w:t>насиљу</w:t>
      </w:r>
      <w:r w:rsidR="0084585A" w:rsidRPr="00295637">
        <w:rPr>
          <w:rFonts w:ascii="Times New Roman" w:hAnsi="Times New Roman"/>
          <w:szCs w:val="24"/>
          <w:lang w:val="bs-Latn-BA"/>
        </w:rPr>
        <w:t xml:space="preserve"> </w:t>
      </w:r>
      <w:r>
        <w:rPr>
          <w:rFonts w:ascii="Times New Roman" w:hAnsi="Times New Roman"/>
          <w:szCs w:val="24"/>
          <w:lang w:val="bs-Latn-BA"/>
        </w:rPr>
        <w:t>и</w:t>
      </w:r>
      <w:r w:rsidR="007537E4" w:rsidRPr="00295637">
        <w:rPr>
          <w:rFonts w:ascii="Times New Roman" w:hAnsi="Times New Roman"/>
          <w:szCs w:val="24"/>
          <w:lang w:val="bs-Latn-BA"/>
        </w:rPr>
        <w:t>,</w:t>
      </w:r>
      <w:r w:rsidR="0084585A" w:rsidRPr="00295637">
        <w:rPr>
          <w:rFonts w:ascii="Times New Roman" w:hAnsi="Times New Roman"/>
          <w:szCs w:val="24"/>
          <w:lang w:val="bs-Latn-BA"/>
        </w:rPr>
        <w:t xml:space="preserve"> </w:t>
      </w:r>
      <w:r>
        <w:rPr>
          <w:rFonts w:ascii="Times New Roman" w:hAnsi="Times New Roman"/>
          <w:szCs w:val="24"/>
          <w:lang w:val="bs-Latn-BA"/>
        </w:rPr>
        <w:t>у</w:t>
      </w:r>
      <w:r w:rsidR="0084585A" w:rsidRPr="00295637">
        <w:rPr>
          <w:rFonts w:ascii="Times New Roman" w:hAnsi="Times New Roman"/>
          <w:szCs w:val="24"/>
          <w:lang w:val="bs-Latn-BA"/>
        </w:rPr>
        <w:t xml:space="preserve"> </w:t>
      </w:r>
      <w:r>
        <w:rPr>
          <w:rFonts w:ascii="Times New Roman" w:hAnsi="Times New Roman"/>
          <w:szCs w:val="24"/>
          <w:lang w:val="bs-Latn-BA"/>
        </w:rPr>
        <w:t>коначници</w:t>
      </w:r>
      <w:r w:rsidR="0084585A" w:rsidRPr="00295637">
        <w:rPr>
          <w:rFonts w:ascii="Times New Roman" w:hAnsi="Times New Roman"/>
          <w:szCs w:val="24"/>
          <w:lang w:val="bs-Latn-BA"/>
        </w:rPr>
        <w:t xml:space="preserve">, </w:t>
      </w:r>
      <w:r>
        <w:rPr>
          <w:rFonts w:ascii="Times New Roman" w:hAnsi="Times New Roman"/>
          <w:szCs w:val="24"/>
          <w:lang w:val="bs-Latn-BA"/>
        </w:rPr>
        <w:t>одговорности</w:t>
      </w:r>
      <w:r w:rsidR="0084585A" w:rsidRPr="00295637">
        <w:rPr>
          <w:rFonts w:ascii="Times New Roman" w:hAnsi="Times New Roman"/>
          <w:szCs w:val="24"/>
          <w:lang w:val="bs-Latn-BA"/>
        </w:rPr>
        <w:t xml:space="preserve"> </w:t>
      </w:r>
      <w:r>
        <w:rPr>
          <w:rFonts w:ascii="Times New Roman" w:hAnsi="Times New Roman"/>
          <w:szCs w:val="24"/>
          <w:lang w:val="bs-Latn-BA"/>
        </w:rPr>
        <w:t>и</w:t>
      </w:r>
      <w:r w:rsidR="0084585A" w:rsidRPr="00295637">
        <w:rPr>
          <w:rFonts w:ascii="Times New Roman" w:hAnsi="Times New Roman"/>
          <w:szCs w:val="24"/>
          <w:lang w:val="bs-Latn-BA"/>
        </w:rPr>
        <w:t xml:space="preserve"> </w:t>
      </w:r>
      <w:r>
        <w:rPr>
          <w:rFonts w:ascii="Times New Roman" w:hAnsi="Times New Roman"/>
          <w:szCs w:val="24"/>
          <w:lang w:val="bs-Latn-BA"/>
        </w:rPr>
        <w:t>пропустима</w:t>
      </w:r>
      <w:r w:rsidR="0084585A" w:rsidRPr="00295637">
        <w:rPr>
          <w:rFonts w:ascii="Times New Roman" w:hAnsi="Times New Roman"/>
          <w:szCs w:val="24"/>
          <w:lang w:val="bs-Latn-BA"/>
        </w:rPr>
        <w:t xml:space="preserve"> </w:t>
      </w:r>
      <w:r>
        <w:rPr>
          <w:rFonts w:ascii="Times New Roman" w:hAnsi="Times New Roman"/>
          <w:szCs w:val="24"/>
          <w:lang w:val="bs-Latn-BA"/>
        </w:rPr>
        <w:t>надлежених</w:t>
      </w:r>
      <w:r w:rsidR="0084585A" w:rsidRPr="00295637">
        <w:rPr>
          <w:rFonts w:ascii="Times New Roman" w:hAnsi="Times New Roman"/>
          <w:szCs w:val="24"/>
          <w:lang w:val="bs-Latn-BA"/>
        </w:rPr>
        <w:t xml:space="preserve"> </w:t>
      </w:r>
      <w:r>
        <w:rPr>
          <w:rFonts w:ascii="Times New Roman" w:hAnsi="Times New Roman"/>
          <w:szCs w:val="24"/>
          <w:lang w:val="bs-Latn-BA"/>
        </w:rPr>
        <w:t>који</w:t>
      </w:r>
      <w:r w:rsidR="0084585A" w:rsidRPr="00295637">
        <w:rPr>
          <w:rFonts w:ascii="Times New Roman" w:hAnsi="Times New Roman"/>
          <w:szCs w:val="24"/>
          <w:lang w:val="bs-Latn-BA"/>
        </w:rPr>
        <w:t xml:space="preserve"> </w:t>
      </w:r>
      <w:r>
        <w:rPr>
          <w:rFonts w:ascii="Times New Roman" w:hAnsi="Times New Roman"/>
          <w:szCs w:val="24"/>
          <w:lang w:val="bs-Latn-BA"/>
        </w:rPr>
        <w:t>нису</w:t>
      </w:r>
      <w:r w:rsidR="0084585A" w:rsidRPr="00295637">
        <w:rPr>
          <w:rFonts w:ascii="Times New Roman" w:hAnsi="Times New Roman"/>
          <w:szCs w:val="24"/>
          <w:lang w:val="bs-Latn-BA"/>
        </w:rPr>
        <w:t xml:space="preserve"> </w:t>
      </w:r>
      <w:r>
        <w:rPr>
          <w:rFonts w:ascii="Times New Roman" w:hAnsi="Times New Roman"/>
          <w:szCs w:val="24"/>
          <w:lang w:val="bs-Latn-BA"/>
        </w:rPr>
        <w:t>увијек</w:t>
      </w:r>
      <w:r w:rsidR="0084585A" w:rsidRPr="00295637">
        <w:rPr>
          <w:rFonts w:ascii="Times New Roman" w:hAnsi="Times New Roman"/>
          <w:szCs w:val="24"/>
          <w:lang w:val="bs-Latn-BA"/>
        </w:rPr>
        <w:t xml:space="preserve"> </w:t>
      </w:r>
      <w:r>
        <w:rPr>
          <w:rFonts w:ascii="Times New Roman" w:hAnsi="Times New Roman"/>
          <w:szCs w:val="24"/>
          <w:lang w:val="bs-Latn-BA"/>
        </w:rPr>
        <w:t>реаг</w:t>
      </w:r>
      <w:r w:rsidR="006E324C">
        <w:rPr>
          <w:rFonts w:ascii="Times New Roman" w:hAnsi="Times New Roman"/>
          <w:szCs w:val="24"/>
          <w:lang w:val="sr-Cyrl-BA"/>
        </w:rPr>
        <w:t>овал</w:t>
      </w:r>
      <w:r>
        <w:rPr>
          <w:rFonts w:ascii="Times New Roman" w:hAnsi="Times New Roman"/>
          <w:szCs w:val="24"/>
          <w:lang w:val="bs-Latn-BA"/>
        </w:rPr>
        <w:t>и</w:t>
      </w:r>
      <w:r w:rsidR="0084585A" w:rsidRPr="00295637">
        <w:rPr>
          <w:rFonts w:ascii="Times New Roman" w:hAnsi="Times New Roman"/>
          <w:szCs w:val="24"/>
          <w:lang w:val="bs-Latn-BA"/>
        </w:rPr>
        <w:t xml:space="preserve"> </w:t>
      </w:r>
      <w:r>
        <w:rPr>
          <w:rFonts w:ascii="Times New Roman" w:hAnsi="Times New Roman"/>
          <w:szCs w:val="24"/>
          <w:lang w:val="bs-Latn-BA"/>
        </w:rPr>
        <w:t>адекватно</w:t>
      </w:r>
      <w:r w:rsidR="0084585A" w:rsidRPr="00295637">
        <w:rPr>
          <w:rFonts w:ascii="Times New Roman" w:hAnsi="Times New Roman"/>
          <w:szCs w:val="24"/>
          <w:lang w:val="bs-Latn-BA"/>
        </w:rPr>
        <w:t xml:space="preserve">. </w:t>
      </w:r>
    </w:p>
    <w:p w:rsidR="00C142CC" w:rsidRPr="00295637" w:rsidRDefault="00C142CC" w:rsidP="0086268D">
      <w:pPr>
        <w:tabs>
          <w:tab w:val="left" w:pos="284"/>
          <w:tab w:val="left" w:pos="630"/>
          <w:tab w:val="left" w:pos="1080"/>
        </w:tabs>
        <w:jc w:val="both"/>
        <w:rPr>
          <w:rFonts w:ascii="Times New Roman" w:hAnsi="Times New Roman"/>
          <w:szCs w:val="24"/>
          <w:lang w:val="bs-Latn-BA"/>
        </w:rPr>
      </w:pPr>
    </w:p>
    <w:p w:rsidR="007656CB" w:rsidRPr="00295637" w:rsidRDefault="00C6214E" w:rsidP="0086268D">
      <w:pPr>
        <w:tabs>
          <w:tab w:val="left" w:pos="1080"/>
        </w:tabs>
        <w:jc w:val="both"/>
        <w:rPr>
          <w:rFonts w:ascii="Times New Roman" w:hAnsi="Times New Roman"/>
          <w:szCs w:val="24"/>
          <w:lang w:val="bs-Latn-BA"/>
        </w:rPr>
      </w:pPr>
      <w:r>
        <w:rPr>
          <w:rFonts w:ascii="Times New Roman" w:hAnsi="Times New Roman"/>
          <w:szCs w:val="24"/>
          <w:lang w:val="bs-Latn-BA"/>
        </w:rPr>
        <w:t>Институционални</w:t>
      </w:r>
      <w:r w:rsidR="003210A3" w:rsidRPr="00295637">
        <w:rPr>
          <w:rFonts w:ascii="Times New Roman" w:hAnsi="Times New Roman"/>
          <w:szCs w:val="24"/>
          <w:lang w:val="bs-Latn-BA"/>
        </w:rPr>
        <w:t xml:space="preserve"> </w:t>
      </w:r>
      <w:r>
        <w:rPr>
          <w:rFonts w:ascii="Times New Roman" w:hAnsi="Times New Roman"/>
          <w:szCs w:val="24"/>
          <w:lang w:val="bs-Latn-BA"/>
        </w:rPr>
        <w:t>механизми</w:t>
      </w:r>
      <w:r w:rsidR="007656CB" w:rsidRPr="00295637">
        <w:rPr>
          <w:rFonts w:ascii="Times New Roman" w:hAnsi="Times New Roman"/>
          <w:szCs w:val="24"/>
          <w:lang w:val="bs-Latn-BA"/>
        </w:rPr>
        <w:t xml:space="preserve"> </w:t>
      </w:r>
      <w:r>
        <w:rPr>
          <w:rFonts w:ascii="Times New Roman" w:hAnsi="Times New Roman"/>
          <w:szCs w:val="24"/>
          <w:lang w:val="bs-Latn-BA"/>
        </w:rPr>
        <w:t>за</w:t>
      </w:r>
      <w:r w:rsidR="003210A3"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3210A3" w:rsidRPr="00295637">
        <w:rPr>
          <w:rFonts w:ascii="Times New Roman" w:hAnsi="Times New Roman"/>
          <w:szCs w:val="24"/>
          <w:lang w:val="bs-Latn-BA"/>
        </w:rPr>
        <w:t xml:space="preserve"> </w:t>
      </w:r>
      <w:r>
        <w:rPr>
          <w:rFonts w:ascii="Times New Roman" w:hAnsi="Times New Roman"/>
          <w:szCs w:val="24"/>
          <w:lang w:val="bs-Latn-BA"/>
        </w:rPr>
        <w:t>полова</w:t>
      </w:r>
      <w:r w:rsidR="003210A3" w:rsidRPr="00295637">
        <w:rPr>
          <w:rFonts w:ascii="Times New Roman" w:hAnsi="Times New Roman"/>
          <w:szCs w:val="24"/>
          <w:lang w:val="bs-Latn-BA"/>
        </w:rPr>
        <w:t xml:space="preserve"> </w:t>
      </w:r>
      <w:r w:rsidR="006E324C">
        <w:rPr>
          <w:rFonts w:ascii="Times New Roman" w:hAnsi="Times New Roman"/>
          <w:szCs w:val="24"/>
          <w:lang w:val="bs-Latn-BA"/>
        </w:rPr>
        <w:t xml:space="preserve">су </w:t>
      </w:r>
      <w:r>
        <w:rPr>
          <w:rFonts w:ascii="Times New Roman" w:hAnsi="Times New Roman"/>
          <w:szCs w:val="24"/>
          <w:lang w:val="bs-Latn-BA"/>
        </w:rPr>
        <w:t>дали</w:t>
      </w:r>
      <w:r w:rsidR="007656CB" w:rsidRPr="00295637">
        <w:rPr>
          <w:rFonts w:ascii="Times New Roman" w:hAnsi="Times New Roman"/>
          <w:szCs w:val="24"/>
          <w:lang w:val="bs-Latn-BA"/>
        </w:rPr>
        <w:t xml:space="preserve"> </w:t>
      </w:r>
      <w:r>
        <w:rPr>
          <w:rFonts w:ascii="Times New Roman" w:hAnsi="Times New Roman"/>
          <w:szCs w:val="24"/>
          <w:lang w:val="bs-Latn-BA"/>
        </w:rPr>
        <w:t>значајан</w:t>
      </w:r>
      <w:r w:rsidR="007656CB" w:rsidRPr="00295637">
        <w:rPr>
          <w:rFonts w:ascii="Times New Roman" w:hAnsi="Times New Roman"/>
          <w:szCs w:val="24"/>
          <w:lang w:val="bs-Latn-BA"/>
        </w:rPr>
        <w:t xml:space="preserve"> </w:t>
      </w:r>
      <w:r>
        <w:rPr>
          <w:rFonts w:ascii="Times New Roman" w:hAnsi="Times New Roman"/>
          <w:szCs w:val="24"/>
          <w:lang w:val="bs-Latn-BA"/>
        </w:rPr>
        <w:t>допринос</w:t>
      </w:r>
      <w:r w:rsidR="007656CB" w:rsidRPr="00295637">
        <w:rPr>
          <w:rFonts w:ascii="Times New Roman" w:hAnsi="Times New Roman"/>
          <w:szCs w:val="24"/>
          <w:lang w:val="bs-Latn-BA"/>
        </w:rPr>
        <w:t xml:space="preserve"> </w:t>
      </w:r>
      <w:r>
        <w:rPr>
          <w:rFonts w:ascii="Times New Roman" w:hAnsi="Times New Roman"/>
          <w:szCs w:val="24"/>
          <w:lang w:val="bs-Latn-BA"/>
        </w:rPr>
        <w:t>у</w:t>
      </w:r>
      <w:r w:rsidR="007656CB" w:rsidRPr="00295637">
        <w:rPr>
          <w:rFonts w:ascii="Times New Roman" w:hAnsi="Times New Roman"/>
          <w:szCs w:val="24"/>
          <w:lang w:val="bs-Latn-BA"/>
        </w:rPr>
        <w:t xml:space="preserve"> </w:t>
      </w:r>
      <w:r>
        <w:rPr>
          <w:rFonts w:ascii="Times New Roman" w:hAnsi="Times New Roman"/>
          <w:szCs w:val="24"/>
          <w:lang w:val="bs-Latn-BA"/>
        </w:rPr>
        <w:t>реализацији</w:t>
      </w:r>
      <w:r w:rsidR="007656CB" w:rsidRPr="00295637">
        <w:rPr>
          <w:rFonts w:ascii="Times New Roman" w:hAnsi="Times New Roman"/>
          <w:szCs w:val="24"/>
          <w:lang w:val="bs-Latn-BA"/>
        </w:rPr>
        <w:t xml:space="preserve"> </w:t>
      </w:r>
      <w:r>
        <w:rPr>
          <w:rFonts w:ascii="Times New Roman" w:hAnsi="Times New Roman"/>
          <w:szCs w:val="24"/>
          <w:lang w:val="bs-Latn-BA"/>
        </w:rPr>
        <w:t>бројних</w:t>
      </w:r>
      <w:r w:rsidR="007656CB" w:rsidRPr="00295637">
        <w:rPr>
          <w:rFonts w:ascii="Times New Roman" w:hAnsi="Times New Roman"/>
          <w:szCs w:val="24"/>
          <w:lang w:val="bs-Latn-BA"/>
        </w:rPr>
        <w:t xml:space="preserve"> </w:t>
      </w:r>
      <w:r>
        <w:rPr>
          <w:rFonts w:ascii="Times New Roman" w:hAnsi="Times New Roman"/>
          <w:szCs w:val="24"/>
          <w:lang w:val="bs-Latn-BA"/>
        </w:rPr>
        <w:t>кампања</w:t>
      </w:r>
      <w:r w:rsidR="007656CB" w:rsidRPr="00295637">
        <w:rPr>
          <w:rFonts w:ascii="Times New Roman" w:hAnsi="Times New Roman"/>
          <w:szCs w:val="24"/>
          <w:lang w:val="bs-Latn-BA"/>
        </w:rPr>
        <w:t xml:space="preserve"> </w:t>
      </w:r>
      <w:r>
        <w:rPr>
          <w:rFonts w:ascii="Times New Roman" w:hAnsi="Times New Roman"/>
          <w:szCs w:val="24"/>
          <w:lang w:val="bs-Latn-BA"/>
        </w:rPr>
        <w:t>међународних</w:t>
      </w:r>
      <w:r w:rsidR="007656CB" w:rsidRPr="00295637">
        <w:rPr>
          <w:rFonts w:ascii="Times New Roman" w:hAnsi="Times New Roman"/>
          <w:szCs w:val="24"/>
          <w:lang w:val="bs-Latn-BA"/>
        </w:rPr>
        <w:t xml:space="preserve"> </w:t>
      </w:r>
      <w:r>
        <w:rPr>
          <w:rFonts w:ascii="Times New Roman" w:hAnsi="Times New Roman"/>
          <w:szCs w:val="24"/>
          <w:lang w:val="bs-Latn-BA"/>
        </w:rPr>
        <w:t>организација</w:t>
      </w:r>
      <w:r w:rsidR="007656CB" w:rsidRPr="00295637">
        <w:rPr>
          <w:rFonts w:ascii="Times New Roman" w:hAnsi="Times New Roman"/>
          <w:szCs w:val="24"/>
          <w:lang w:val="bs-Latn-BA"/>
        </w:rPr>
        <w:t xml:space="preserve">, </w:t>
      </w:r>
      <w:r>
        <w:rPr>
          <w:rFonts w:ascii="Times New Roman" w:hAnsi="Times New Roman"/>
          <w:szCs w:val="24"/>
          <w:lang w:val="bs-Latn-BA"/>
        </w:rPr>
        <w:t>као</w:t>
      </w:r>
      <w:r w:rsidR="007656CB" w:rsidRPr="00295637">
        <w:rPr>
          <w:rFonts w:ascii="Times New Roman" w:hAnsi="Times New Roman"/>
          <w:szCs w:val="24"/>
          <w:lang w:val="bs-Latn-BA"/>
        </w:rPr>
        <w:t xml:space="preserve"> </w:t>
      </w:r>
      <w:r>
        <w:rPr>
          <w:rFonts w:ascii="Times New Roman" w:hAnsi="Times New Roman"/>
          <w:szCs w:val="24"/>
          <w:lang w:val="bs-Latn-BA"/>
        </w:rPr>
        <w:t>на</w:t>
      </w:r>
      <w:r w:rsidR="007656CB" w:rsidRPr="00295637">
        <w:rPr>
          <w:rFonts w:ascii="Times New Roman" w:hAnsi="Times New Roman"/>
          <w:szCs w:val="24"/>
          <w:lang w:val="bs-Latn-BA"/>
        </w:rPr>
        <w:t xml:space="preserve"> </w:t>
      </w:r>
      <w:r>
        <w:rPr>
          <w:rFonts w:ascii="Times New Roman" w:hAnsi="Times New Roman"/>
          <w:szCs w:val="24"/>
          <w:lang w:val="bs-Latn-BA"/>
        </w:rPr>
        <w:t>примјер</w:t>
      </w:r>
      <w:r w:rsidR="007656CB" w:rsidRPr="00295637">
        <w:rPr>
          <w:rFonts w:ascii="Times New Roman" w:hAnsi="Times New Roman"/>
          <w:szCs w:val="24"/>
          <w:lang w:val="bs-Latn-BA"/>
        </w:rPr>
        <w:t xml:space="preserve"> </w:t>
      </w:r>
      <w:r>
        <w:rPr>
          <w:rFonts w:ascii="Times New Roman" w:hAnsi="Times New Roman"/>
          <w:szCs w:val="24"/>
          <w:lang w:val="bs-Latn-BA"/>
        </w:rPr>
        <w:t>кампања</w:t>
      </w:r>
      <w:r w:rsidR="007656CB" w:rsidRPr="00295637">
        <w:rPr>
          <w:rFonts w:ascii="Times New Roman" w:hAnsi="Times New Roman"/>
          <w:szCs w:val="24"/>
          <w:lang w:val="bs-Latn-BA"/>
        </w:rPr>
        <w:t xml:space="preserve"> </w:t>
      </w:r>
      <w:r>
        <w:rPr>
          <w:rFonts w:ascii="Times New Roman" w:hAnsi="Times New Roman"/>
          <w:szCs w:val="24"/>
          <w:lang w:val="bs-Latn-BA"/>
        </w:rPr>
        <w:t>под</w:t>
      </w:r>
      <w:r w:rsidR="007656CB" w:rsidRPr="00295637">
        <w:rPr>
          <w:rFonts w:ascii="Times New Roman" w:hAnsi="Times New Roman"/>
          <w:szCs w:val="24"/>
          <w:lang w:val="bs-Latn-BA"/>
        </w:rPr>
        <w:t xml:space="preserve"> </w:t>
      </w:r>
      <w:r>
        <w:rPr>
          <w:rFonts w:ascii="Times New Roman" w:hAnsi="Times New Roman"/>
          <w:szCs w:val="24"/>
          <w:lang w:val="bs-Latn-BA"/>
        </w:rPr>
        <w:t>слоганом</w:t>
      </w:r>
      <w:r w:rsidR="007656CB" w:rsidRPr="00295637">
        <w:rPr>
          <w:rFonts w:ascii="Times New Roman" w:hAnsi="Times New Roman"/>
          <w:szCs w:val="24"/>
          <w:lang w:val="bs-Latn-BA"/>
        </w:rPr>
        <w:t xml:space="preserve"> „</w:t>
      </w:r>
      <w:r>
        <w:rPr>
          <w:rFonts w:ascii="Times New Roman" w:hAnsi="Times New Roman"/>
          <w:szCs w:val="24"/>
          <w:lang w:val="bs-Latn-BA"/>
        </w:rPr>
        <w:t>Зауставимо</w:t>
      </w:r>
      <w:r w:rsidR="007656CB" w:rsidRPr="00295637">
        <w:rPr>
          <w:rFonts w:ascii="Times New Roman" w:hAnsi="Times New Roman"/>
          <w:szCs w:val="24"/>
          <w:lang w:val="bs-Latn-BA"/>
        </w:rPr>
        <w:t xml:space="preserve"> </w:t>
      </w:r>
      <w:r>
        <w:rPr>
          <w:rFonts w:ascii="Times New Roman" w:hAnsi="Times New Roman"/>
          <w:szCs w:val="24"/>
          <w:lang w:val="bs-Latn-BA"/>
        </w:rPr>
        <w:t>фемицид</w:t>
      </w:r>
      <w:r w:rsidR="007656CB" w:rsidRPr="00295637">
        <w:rPr>
          <w:rFonts w:ascii="Times New Roman" w:hAnsi="Times New Roman"/>
          <w:szCs w:val="24"/>
          <w:lang w:val="bs-Latn-BA"/>
        </w:rPr>
        <w:t xml:space="preserve">“ </w:t>
      </w:r>
      <w:r>
        <w:rPr>
          <w:rFonts w:ascii="Times New Roman" w:hAnsi="Times New Roman"/>
          <w:szCs w:val="24"/>
          <w:lang w:val="bs-Latn-BA"/>
        </w:rPr>
        <w:t>коју</w:t>
      </w:r>
      <w:r w:rsidR="007656CB" w:rsidRPr="00295637">
        <w:rPr>
          <w:rFonts w:ascii="Times New Roman" w:hAnsi="Times New Roman"/>
          <w:szCs w:val="24"/>
          <w:lang w:val="bs-Latn-BA"/>
        </w:rPr>
        <w:t xml:space="preserve"> </w:t>
      </w:r>
      <w:r>
        <w:rPr>
          <w:rFonts w:ascii="Times New Roman" w:hAnsi="Times New Roman"/>
          <w:szCs w:val="24"/>
          <w:lang w:val="bs-Latn-BA"/>
        </w:rPr>
        <w:t>проводи</w:t>
      </w:r>
      <w:r w:rsidR="007656CB" w:rsidRPr="00295637">
        <w:rPr>
          <w:rFonts w:ascii="Times New Roman" w:hAnsi="Times New Roman"/>
          <w:szCs w:val="24"/>
          <w:lang w:val="bs-Latn-BA"/>
        </w:rPr>
        <w:t xml:space="preserve"> </w:t>
      </w:r>
      <w:r w:rsidR="006E324C" w:rsidRPr="006E324C">
        <w:rPr>
          <w:rFonts w:ascii="Times New Roman" w:hAnsi="Times New Roman"/>
          <w:i/>
          <w:szCs w:val="24"/>
          <w:lang w:val="bs-Latn-BA"/>
        </w:rPr>
        <w:t xml:space="preserve">UN Women </w:t>
      </w:r>
      <w:r w:rsidRPr="006E324C">
        <w:rPr>
          <w:rFonts w:ascii="Times New Roman" w:hAnsi="Times New Roman"/>
          <w:szCs w:val="24"/>
          <w:lang w:val="bs-Latn-BA"/>
        </w:rPr>
        <w:t>БиХ</w:t>
      </w:r>
      <w:r w:rsidR="007656CB" w:rsidRPr="00295637">
        <w:rPr>
          <w:rFonts w:ascii="Times New Roman" w:hAnsi="Times New Roman"/>
          <w:szCs w:val="24"/>
          <w:lang w:val="bs-Latn-BA"/>
        </w:rPr>
        <w:t xml:space="preserve"> </w:t>
      </w:r>
      <w:r>
        <w:rPr>
          <w:rFonts w:ascii="Times New Roman" w:hAnsi="Times New Roman"/>
          <w:szCs w:val="24"/>
          <w:lang w:val="bs-Latn-BA"/>
        </w:rPr>
        <w:t>у</w:t>
      </w:r>
      <w:r w:rsidR="007656CB" w:rsidRPr="00295637">
        <w:rPr>
          <w:rFonts w:ascii="Times New Roman" w:hAnsi="Times New Roman"/>
          <w:szCs w:val="24"/>
          <w:lang w:val="bs-Latn-BA"/>
        </w:rPr>
        <w:t xml:space="preserve"> </w:t>
      </w:r>
      <w:r>
        <w:rPr>
          <w:rFonts w:ascii="Times New Roman" w:hAnsi="Times New Roman"/>
          <w:szCs w:val="24"/>
          <w:lang w:val="bs-Latn-BA"/>
        </w:rPr>
        <w:t>сарадњи</w:t>
      </w:r>
      <w:r w:rsidR="005155D7">
        <w:rPr>
          <w:rFonts w:ascii="Times New Roman" w:hAnsi="Times New Roman"/>
          <w:szCs w:val="24"/>
          <w:lang w:val="bs-Latn-BA"/>
        </w:rPr>
        <w:t xml:space="preserve"> </w:t>
      </w:r>
      <w:r>
        <w:rPr>
          <w:rFonts w:ascii="Times New Roman" w:hAnsi="Times New Roman"/>
          <w:szCs w:val="24"/>
          <w:lang w:val="bs-Latn-BA"/>
        </w:rPr>
        <w:t>са</w:t>
      </w:r>
      <w:r w:rsidR="007656CB" w:rsidRPr="00295637">
        <w:rPr>
          <w:rFonts w:ascii="Times New Roman" w:hAnsi="Times New Roman"/>
          <w:szCs w:val="24"/>
          <w:lang w:val="bs-Latn-BA"/>
        </w:rPr>
        <w:t xml:space="preserve"> </w:t>
      </w:r>
      <w:r>
        <w:rPr>
          <w:rFonts w:ascii="Times New Roman" w:hAnsi="Times New Roman"/>
          <w:szCs w:val="24"/>
          <w:lang w:val="bs-Latn-BA"/>
        </w:rPr>
        <w:t>институцијама</w:t>
      </w:r>
      <w:r w:rsidR="007656CB" w:rsidRPr="00295637">
        <w:rPr>
          <w:rFonts w:ascii="Times New Roman" w:hAnsi="Times New Roman"/>
          <w:szCs w:val="24"/>
          <w:lang w:val="bs-Latn-BA"/>
        </w:rPr>
        <w:t xml:space="preserve"> </w:t>
      </w:r>
      <w:r>
        <w:rPr>
          <w:rFonts w:ascii="Times New Roman" w:hAnsi="Times New Roman"/>
          <w:szCs w:val="24"/>
          <w:lang w:val="bs-Latn-BA"/>
        </w:rPr>
        <w:t>и</w:t>
      </w:r>
      <w:r w:rsidR="007656CB" w:rsidRPr="00295637">
        <w:rPr>
          <w:rFonts w:ascii="Times New Roman" w:hAnsi="Times New Roman"/>
          <w:szCs w:val="24"/>
          <w:lang w:val="bs-Latn-BA"/>
        </w:rPr>
        <w:t xml:space="preserve"> </w:t>
      </w:r>
      <w:r>
        <w:rPr>
          <w:rFonts w:ascii="Times New Roman" w:hAnsi="Times New Roman"/>
          <w:szCs w:val="24"/>
          <w:lang w:val="bs-Latn-BA"/>
        </w:rPr>
        <w:t>невладиним</w:t>
      </w:r>
      <w:r w:rsidR="007656CB" w:rsidRPr="00295637">
        <w:rPr>
          <w:rFonts w:ascii="Times New Roman" w:hAnsi="Times New Roman"/>
          <w:szCs w:val="24"/>
          <w:lang w:val="bs-Latn-BA"/>
        </w:rPr>
        <w:t xml:space="preserve"> </w:t>
      </w:r>
      <w:r>
        <w:rPr>
          <w:rFonts w:ascii="Times New Roman" w:hAnsi="Times New Roman"/>
          <w:szCs w:val="24"/>
          <w:lang w:val="bs-Latn-BA"/>
        </w:rPr>
        <w:t>организацијама</w:t>
      </w:r>
      <w:r w:rsidR="007656CB" w:rsidRPr="00295637">
        <w:rPr>
          <w:rFonts w:ascii="Times New Roman" w:hAnsi="Times New Roman"/>
          <w:szCs w:val="24"/>
          <w:lang w:val="bs-Latn-BA"/>
        </w:rPr>
        <w:t xml:space="preserve">. </w:t>
      </w:r>
      <w:r>
        <w:rPr>
          <w:rFonts w:ascii="Times New Roman" w:hAnsi="Times New Roman"/>
          <w:szCs w:val="24"/>
          <w:lang w:val="bs-Latn-BA"/>
        </w:rPr>
        <w:t>Уводна</w:t>
      </w:r>
      <w:r w:rsidR="007656CB" w:rsidRPr="00295637">
        <w:rPr>
          <w:rFonts w:ascii="Times New Roman" w:hAnsi="Times New Roman"/>
          <w:szCs w:val="24"/>
          <w:lang w:val="bs-Latn-BA"/>
        </w:rPr>
        <w:t xml:space="preserve"> </w:t>
      </w:r>
      <w:r>
        <w:rPr>
          <w:rFonts w:ascii="Times New Roman" w:hAnsi="Times New Roman"/>
          <w:szCs w:val="24"/>
          <w:lang w:val="bs-Latn-BA"/>
        </w:rPr>
        <w:t>обраћања</w:t>
      </w:r>
      <w:r w:rsidR="007656CB" w:rsidRPr="00295637">
        <w:rPr>
          <w:rFonts w:ascii="Times New Roman" w:hAnsi="Times New Roman"/>
          <w:szCs w:val="24"/>
          <w:lang w:val="bs-Latn-BA"/>
        </w:rPr>
        <w:t xml:space="preserve"> </w:t>
      </w:r>
      <w:r>
        <w:rPr>
          <w:rFonts w:ascii="Times New Roman" w:hAnsi="Times New Roman"/>
          <w:szCs w:val="24"/>
          <w:lang w:val="bs-Latn-BA"/>
        </w:rPr>
        <w:t>на</w:t>
      </w:r>
      <w:r w:rsidR="007656CB" w:rsidRPr="00295637">
        <w:rPr>
          <w:rFonts w:ascii="Times New Roman" w:hAnsi="Times New Roman"/>
          <w:szCs w:val="24"/>
          <w:lang w:val="bs-Latn-BA"/>
        </w:rPr>
        <w:t xml:space="preserve"> </w:t>
      </w:r>
      <w:r>
        <w:rPr>
          <w:rFonts w:ascii="Times New Roman" w:hAnsi="Times New Roman"/>
          <w:szCs w:val="24"/>
          <w:lang w:val="bs-Latn-BA"/>
        </w:rPr>
        <w:t>догађајима</w:t>
      </w:r>
      <w:r w:rsidR="007656CB" w:rsidRPr="00295637">
        <w:rPr>
          <w:rFonts w:ascii="Times New Roman" w:hAnsi="Times New Roman"/>
          <w:szCs w:val="24"/>
          <w:lang w:val="bs-Latn-BA"/>
        </w:rPr>
        <w:t xml:space="preserve"> </w:t>
      </w:r>
      <w:r>
        <w:rPr>
          <w:rFonts w:ascii="Times New Roman" w:hAnsi="Times New Roman"/>
          <w:szCs w:val="24"/>
          <w:lang w:val="bs-Latn-BA"/>
        </w:rPr>
        <w:t>у</w:t>
      </w:r>
      <w:r w:rsidR="007656CB" w:rsidRPr="00295637">
        <w:rPr>
          <w:rFonts w:ascii="Times New Roman" w:hAnsi="Times New Roman"/>
          <w:szCs w:val="24"/>
          <w:lang w:val="bs-Latn-BA"/>
        </w:rPr>
        <w:t xml:space="preserve"> </w:t>
      </w:r>
      <w:r>
        <w:rPr>
          <w:rFonts w:ascii="Times New Roman" w:hAnsi="Times New Roman"/>
          <w:szCs w:val="24"/>
          <w:lang w:val="bs-Latn-BA"/>
        </w:rPr>
        <w:t>оквиру</w:t>
      </w:r>
      <w:r w:rsidR="007656CB" w:rsidRPr="00295637">
        <w:rPr>
          <w:rFonts w:ascii="Times New Roman" w:hAnsi="Times New Roman"/>
          <w:szCs w:val="24"/>
          <w:lang w:val="bs-Latn-BA"/>
        </w:rPr>
        <w:t xml:space="preserve"> </w:t>
      </w:r>
      <w:r>
        <w:rPr>
          <w:rFonts w:ascii="Times New Roman" w:hAnsi="Times New Roman"/>
          <w:szCs w:val="24"/>
          <w:lang w:val="bs-Latn-BA"/>
        </w:rPr>
        <w:t>кампања</w:t>
      </w:r>
      <w:r w:rsidR="00DA3B04" w:rsidRPr="00295637">
        <w:rPr>
          <w:rFonts w:ascii="Times New Roman" w:hAnsi="Times New Roman"/>
          <w:szCs w:val="24"/>
          <w:lang w:val="bs-Latn-BA"/>
        </w:rPr>
        <w:t>,</w:t>
      </w:r>
      <w:r w:rsidR="007656CB" w:rsidRPr="00295637">
        <w:rPr>
          <w:rFonts w:ascii="Times New Roman" w:hAnsi="Times New Roman"/>
          <w:szCs w:val="24"/>
          <w:lang w:val="bs-Latn-BA"/>
        </w:rPr>
        <w:t xml:space="preserve"> </w:t>
      </w:r>
      <w:r>
        <w:rPr>
          <w:rFonts w:ascii="Times New Roman" w:hAnsi="Times New Roman"/>
          <w:szCs w:val="24"/>
          <w:lang w:val="bs-Latn-BA"/>
        </w:rPr>
        <w:t>као</w:t>
      </w:r>
      <w:r w:rsidR="007656CB" w:rsidRPr="00295637">
        <w:rPr>
          <w:rFonts w:ascii="Times New Roman" w:hAnsi="Times New Roman"/>
          <w:szCs w:val="24"/>
          <w:lang w:val="bs-Latn-BA"/>
        </w:rPr>
        <w:t xml:space="preserve"> </w:t>
      </w:r>
      <w:r>
        <w:rPr>
          <w:rFonts w:ascii="Times New Roman" w:hAnsi="Times New Roman"/>
          <w:szCs w:val="24"/>
          <w:lang w:val="bs-Latn-BA"/>
        </w:rPr>
        <w:t>и</w:t>
      </w:r>
      <w:r w:rsidR="007656CB" w:rsidRPr="00295637">
        <w:rPr>
          <w:rFonts w:ascii="Times New Roman" w:hAnsi="Times New Roman"/>
          <w:szCs w:val="24"/>
          <w:lang w:val="bs-Latn-BA"/>
        </w:rPr>
        <w:t xml:space="preserve"> </w:t>
      </w:r>
      <w:r>
        <w:rPr>
          <w:rFonts w:ascii="Times New Roman" w:hAnsi="Times New Roman"/>
          <w:szCs w:val="24"/>
          <w:lang w:val="bs-Latn-BA"/>
        </w:rPr>
        <w:t>изјаве</w:t>
      </w:r>
      <w:r w:rsidR="007656CB" w:rsidRPr="00295637">
        <w:rPr>
          <w:rFonts w:ascii="Times New Roman" w:hAnsi="Times New Roman"/>
          <w:szCs w:val="24"/>
          <w:lang w:val="bs-Latn-BA"/>
        </w:rPr>
        <w:t xml:space="preserve"> </w:t>
      </w:r>
      <w:r>
        <w:rPr>
          <w:rFonts w:ascii="Times New Roman" w:hAnsi="Times New Roman"/>
          <w:szCs w:val="24"/>
          <w:lang w:val="bs-Latn-BA"/>
        </w:rPr>
        <w:t>за</w:t>
      </w:r>
      <w:r w:rsidR="007656CB" w:rsidRPr="00295637">
        <w:rPr>
          <w:rFonts w:ascii="Times New Roman" w:hAnsi="Times New Roman"/>
          <w:szCs w:val="24"/>
          <w:lang w:val="bs-Latn-BA"/>
        </w:rPr>
        <w:t xml:space="preserve"> </w:t>
      </w:r>
      <w:r>
        <w:rPr>
          <w:rFonts w:ascii="Times New Roman" w:hAnsi="Times New Roman"/>
          <w:szCs w:val="24"/>
          <w:lang w:val="bs-Latn-BA"/>
        </w:rPr>
        <w:t>медије</w:t>
      </w:r>
      <w:r w:rsidR="007656CB" w:rsidRPr="00295637">
        <w:rPr>
          <w:rFonts w:ascii="Times New Roman" w:hAnsi="Times New Roman"/>
          <w:szCs w:val="24"/>
          <w:lang w:val="bs-Latn-BA"/>
        </w:rPr>
        <w:t xml:space="preserve"> </w:t>
      </w:r>
      <w:r w:rsidR="006E324C">
        <w:rPr>
          <w:rFonts w:ascii="Times New Roman" w:hAnsi="Times New Roman"/>
          <w:szCs w:val="24"/>
          <w:lang w:val="bs-Latn-BA"/>
        </w:rPr>
        <w:t>АР</w:t>
      </w:r>
      <w:r w:rsidR="006E324C">
        <w:rPr>
          <w:rFonts w:ascii="Times New Roman" w:hAnsi="Times New Roman"/>
          <w:szCs w:val="24"/>
          <w:lang w:val="sr-Cyrl-BA"/>
        </w:rPr>
        <w:t>П</w:t>
      </w:r>
      <w:r w:rsidR="005155D7">
        <w:rPr>
          <w:rFonts w:ascii="Times New Roman" w:hAnsi="Times New Roman"/>
          <w:szCs w:val="24"/>
          <w:lang w:val="bs-Latn-BA"/>
        </w:rPr>
        <w:t xml:space="preserve"> </w:t>
      </w:r>
      <w:r>
        <w:rPr>
          <w:rFonts w:ascii="Times New Roman" w:hAnsi="Times New Roman"/>
          <w:szCs w:val="24"/>
          <w:lang w:val="bs-Latn-BA"/>
        </w:rPr>
        <w:t>БиХ</w:t>
      </w:r>
      <w:r w:rsidR="007656CB" w:rsidRPr="00295637">
        <w:rPr>
          <w:rFonts w:ascii="Times New Roman" w:hAnsi="Times New Roman"/>
          <w:szCs w:val="24"/>
          <w:lang w:val="bs-Latn-BA"/>
        </w:rPr>
        <w:t xml:space="preserve"> </w:t>
      </w:r>
      <w:r>
        <w:rPr>
          <w:rFonts w:ascii="Times New Roman" w:hAnsi="Times New Roman"/>
          <w:szCs w:val="24"/>
          <w:lang w:val="bs-Latn-BA"/>
        </w:rPr>
        <w:t>МЉПИ</w:t>
      </w:r>
      <w:r w:rsidR="005155D7">
        <w:rPr>
          <w:rFonts w:ascii="Times New Roman" w:hAnsi="Times New Roman"/>
          <w:szCs w:val="24"/>
          <w:lang w:val="bs-Latn-BA"/>
        </w:rPr>
        <w:t xml:space="preserve"> </w:t>
      </w:r>
      <w:r>
        <w:rPr>
          <w:rFonts w:ascii="Times New Roman" w:hAnsi="Times New Roman"/>
          <w:szCs w:val="24"/>
          <w:lang w:val="bs-Latn-BA"/>
        </w:rPr>
        <w:t>БиХ</w:t>
      </w:r>
      <w:r w:rsidR="007656CB" w:rsidRPr="00295637">
        <w:rPr>
          <w:rFonts w:ascii="Times New Roman" w:hAnsi="Times New Roman"/>
          <w:szCs w:val="24"/>
          <w:lang w:val="bs-Latn-BA"/>
        </w:rPr>
        <w:t xml:space="preserve"> </w:t>
      </w:r>
      <w:r>
        <w:rPr>
          <w:rFonts w:ascii="Times New Roman" w:hAnsi="Times New Roman"/>
          <w:szCs w:val="24"/>
          <w:lang w:val="bs-Latn-BA"/>
        </w:rPr>
        <w:t>тим</w:t>
      </w:r>
      <w:r w:rsidR="007656CB" w:rsidRPr="00295637">
        <w:rPr>
          <w:rFonts w:ascii="Times New Roman" w:hAnsi="Times New Roman"/>
          <w:szCs w:val="24"/>
          <w:lang w:val="bs-Latn-BA"/>
        </w:rPr>
        <w:t xml:space="preserve"> </w:t>
      </w:r>
      <w:r>
        <w:rPr>
          <w:rFonts w:ascii="Times New Roman" w:hAnsi="Times New Roman"/>
          <w:szCs w:val="24"/>
          <w:lang w:val="bs-Latn-BA"/>
        </w:rPr>
        <w:t>поводом</w:t>
      </w:r>
      <w:r w:rsidR="007656CB" w:rsidRPr="00295637">
        <w:rPr>
          <w:rFonts w:ascii="Times New Roman" w:hAnsi="Times New Roman"/>
          <w:szCs w:val="24"/>
          <w:lang w:val="bs-Latn-BA"/>
        </w:rPr>
        <w:t xml:space="preserve">, </w:t>
      </w:r>
      <w:r>
        <w:rPr>
          <w:rFonts w:ascii="Times New Roman" w:hAnsi="Times New Roman"/>
          <w:szCs w:val="24"/>
          <w:lang w:val="bs-Latn-BA"/>
        </w:rPr>
        <w:t>имају</w:t>
      </w:r>
      <w:r w:rsidR="007656CB" w:rsidRPr="00295637">
        <w:rPr>
          <w:rFonts w:ascii="Times New Roman" w:hAnsi="Times New Roman"/>
          <w:szCs w:val="24"/>
          <w:lang w:val="bs-Latn-BA"/>
        </w:rPr>
        <w:t xml:space="preserve"> </w:t>
      </w:r>
      <w:r>
        <w:rPr>
          <w:rFonts w:ascii="Times New Roman" w:hAnsi="Times New Roman"/>
          <w:szCs w:val="24"/>
          <w:lang w:val="bs-Latn-BA"/>
        </w:rPr>
        <w:t>важну</w:t>
      </w:r>
      <w:r w:rsidR="007656CB" w:rsidRPr="00295637">
        <w:rPr>
          <w:rFonts w:ascii="Times New Roman" w:hAnsi="Times New Roman"/>
          <w:szCs w:val="24"/>
          <w:lang w:val="bs-Latn-BA"/>
        </w:rPr>
        <w:t xml:space="preserve"> </w:t>
      </w:r>
      <w:r>
        <w:rPr>
          <w:rFonts w:ascii="Times New Roman" w:hAnsi="Times New Roman"/>
          <w:szCs w:val="24"/>
          <w:lang w:val="bs-Latn-BA"/>
        </w:rPr>
        <w:t>улогу</w:t>
      </w:r>
      <w:r w:rsidR="007656CB" w:rsidRPr="00295637">
        <w:rPr>
          <w:rFonts w:ascii="Times New Roman" w:hAnsi="Times New Roman"/>
          <w:szCs w:val="24"/>
          <w:lang w:val="bs-Latn-BA"/>
        </w:rPr>
        <w:t xml:space="preserve"> </w:t>
      </w:r>
      <w:r>
        <w:rPr>
          <w:rFonts w:ascii="Times New Roman" w:hAnsi="Times New Roman"/>
          <w:szCs w:val="24"/>
          <w:lang w:val="bs-Latn-BA"/>
        </w:rPr>
        <w:t>у</w:t>
      </w:r>
      <w:r w:rsidR="007656CB" w:rsidRPr="00295637">
        <w:rPr>
          <w:rFonts w:ascii="Times New Roman" w:hAnsi="Times New Roman"/>
          <w:szCs w:val="24"/>
          <w:lang w:val="bs-Latn-BA"/>
        </w:rPr>
        <w:t xml:space="preserve"> </w:t>
      </w:r>
      <w:r>
        <w:rPr>
          <w:rFonts w:ascii="Times New Roman" w:hAnsi="Times New Roman"/>
          <w:szCs w:val="24"/>
          <w:lang w:val="bs-Latn-BA"/>
        </w:rPr>
        <w:t>скретању</w:t>
      </w:r>
      <w:r w:rsidR="007656CB" w:rsidRPr="00295637">
        <w:rPr>
          <w:rFonts w:ascii="Times New Roman" w:hAnsi="Times New Roman"/>
          <w:szCs w:val="24"/>
          <w:lang w:val="bs-Latn-BA"/>
        </w:rPr>
        <w:t xml:space="preserve"> </w:t>
      </w:r>
      <w:r>
        <w:rPr>
          <w:rFonts w:ascii="Times New Roman" w:hAnsi="Times New Roman"/>
          <w:szCs w:val="24"/>
          <w:lang w:val="bs-Latn-BA"/>
        </w:rPr>
        <w:t>пажње</w:t>
      </w:r>
      <w:r w:rsidR="007656CB" w:rsidRPr="00295637">
        <w:rPr>
          <w:rFonts w:ascii="Times New Roman" w:hAnsi="Times New Roman"/>
          <w:szCs w:val="24"/>
          <w:lang w:val="bs-Latn-BA"/>
        </w:rPr>
        <w:t xml:space="preserve"> </w:t>
      </w:r>
      <w:r>
        <w:rPr>
          <w:rFonts w:ascii="Times New Roman" w:hAnsi="Times New Roman"/>
          <w:szCs w:val="24"/>
          <w:lang w:val="bs-Latn-BA"/>
        </w:rPr>
        <w:t>јавности</w:t>
      </w:r>
      <w:r w:rsidR="007656CB" w:rsidRPr="00295637">
        <w:rPr>
          <w:rFonts w:ascii="Times New Roman" w:hAnsi="Times New Roman"/>
          <w:szCs w:val="24"/>
          <w:lang w:val="bs-Latn-BA"/>
        </w:rPr>
        <w:t xml:space="preserve"> </w:t>
      </w:r>
      <w:r>
        <w:rPr>
          <w:rFonts w:ascii="Times New Roman" w:hAnsi="Times New Roman"/>
          <w:szCs w:val="24"/>
          <w:lang w:val="bs-Latn-BA"/>
        </w:rPr>
        <w:t>на</w:t>
      </w:r>
      <w:r w:rsidR="007656CB" w:rsidRPr="00295637">
        <w:rPr>
          <w:rFonts w:ascii="Times New Roman" w:hAnsi="Times New Roman"/>
          <w:szCs w:val="24"/>
          <w:lang w:val="bs-Latn-BA"/>
        </w:rPr>
        <w:t xml:space="preserve"> </w:t>
      </w:r>
      <w:r>
        <w:rPr>
          <w:rFonts w:ascii="Times New Roman" w:hAnsi="Times New Roman"/>
          <w:szCs w:val="24"/>
          <w:lang w:val="bs-Latn-BA"/>
        </w:rPr>
        <w:t>проблеме</w:t>
      </w:r>
      <w:r w:rsidR="007656CB"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DC79ED" w:rsidRPr="00295637">
        <w:rPr>
          <w:rFonts w:ascii="Times New Roman" w:hAnsi="Times New Roman"/>
          <w:szCs w:val="24"/>
          <w:lang w:val="bs-Latn-BA"/>
        </w:rPr>
        <w:t xml:space="preserve"> </w:t>
      </w:r>
      <w:r>
        <w:rPr>
          <w:rFonts w:ascii="Times New Roman" w:hAnsi="Times New Roman"/>
          <w:szCs w:val="24"/>
          <w:lang w:val="bs-Latn-BA"/>
        </w:rPr>
        <w:t>полова</w:t>
      </w:r>
      <w:r w:rsidR="005E0879" w:rsidRPr="00295637">
        <w:rPr>
          <w:rFonts w:ascii="Times New Roman" w:hAnsi="Times New Roman"/>
          <w:szCs w:val="24"/>
          <w:lang w:val="bs-Latn-BA"/>
        </w:rPr>
        <w:t>,</w:t>
      </w:r>
      <w:r w:rsidR="007656CB" w:rsidRPr="00295637">
        <w:rPr>
          <w:rFonts w:ascii="Times New Roman" w:hAnsi="Times New Roman"/>
          <w:szCs w:val="24"/>
          <w:lang w:val="bs-Latn-BA"/>
        </w:rPr>
        <w:t xml:space="preserve"> </w:t>
      </w:r>
      <w:r>
        <w:rPr>
          <w:rFonts w:ascii="Times New Roman" w:hAnsi="Times New Roman"/>
          <w:szCs w:val="24"/>
          <w:lang w:val="bs-Latn-BA"/>
        </w:rPr>
        <w:t>као</w:t>
      </w:r>
      <w:r w:rsidR="007656CB" w:rsidRPr="00295637">
        <w:rPr>
          <w:rFonts w:ascii="Times New Roman" w:hAnsi="Times New Roman"/>
          <w:szCs w:val="24"/>
          <w:lang w:val="bs-Latn-BA"/>
        </w:rPr>
        <w:t xml:space="preserve"> </w:t>
      </w:r>
      <w:r>
        <w:rPr>
          <w:rFonts w:ascii="Times New Roman" w:hAnsi="Times New Roman"/>
          <w:szCs w:val="24"/>
          <w:lang w:val="bs-Latn-BA"/>
        </w:rPr>
        <w:t>и</w:t>
      </w:r>
      <w:r w:rsidR="007656CB" w:rsidRPr="00295637">
        <w:rPr>
          <w:rFonts w:ascii="Times New Roman" w:hAnsi="Times New Roman"/>
          <w:szCs w:val="24"/>
          <w:lang w:val="bs-Latn-BA"/>
        </w:rPr>
        <w:t xml:space="preserve"> </w:t>
      </w:r>
      <w:r>
        <w:rPr>
          <w:rFonts w:ascii="Times New Roman" w:hAnsi="Times New Roman"/>
          <w:szCs w:val="24"/>
          <w:lang w:val="bs-Latn-BA"/>
        </w:rPr>
        <w:t>демонстрацију</w:t>
      </w:r>
      <w:r w:rsidR="007656CB" w:rsidRPr="00295637">
        <w:rPr>
          <w:rFonts w:ascii="Times New Roman" w:hAnsi="Times New Roman"/>
          <w:szCs w:val="24"/>
          <w:lang w:val="bs-Latn-BA"/>
        </w:rPr>
        <w:t xml:space="preserve"> </w:t>
      </w:r>
      <w:r>
        <w:rPr>
          <w:rFonts w:ascii="Times New Roman" w:hAnsi="Times New Roman"/>
          <w:szCs w:val="24"/>
          <w:lang w:val="bs-Latn-BA"/>
        </w:rPr>
        <w:t>подршке</w:t>
      </w:r>
      <w:r w:rsidR="007656CB" w:rsidRPr="00295637">
        <w:rPr>
          <w:rFonts w:ascii="Times New Roman" w:hAnsi="Times New Roman"/>
          <w:szCs w:val="24"/>
          <w:lang w:val="bs-Latn-BA"/>
        </w:rPr>
        <w:t xml:space="preserve"> </w:t>
      </w:r>
      <w:r>
        <w:rPr>
          <w:rFonts w:ascii="Times New Roman" w:hAnsi="Times New Roman"/>
          <w:szCs w:val="24"/>
          <w:lang w:val="bs-Latn-BA"/>
        </w:rPr>
        <w:t>надлежних</w:t>
      </w:r>
      <w:r w:rsidR="007656CB" w:rsidRPr="00295637">
        <w:rPr>
          <w:rFonts w:ascii="Times New Roman" w:hAnsi="Times New Roman"/>
          <w:szCs w:val="24"/>
          <w:lang w:val="bs-Latn-BA"/>
        </w:rPr>
        <w:t xml:space="preserve"> </w:t>
      </w:r>
      <w:r>
        <w:rPr>
          <w:rFonts w:ascii="Times New Roman" w:hAnsi="Times New Roman"/>
          <w:szCs w:val="24"/>
          <w:lang w:val="bs-Latn-BA"/>
        </w:rPr>
        <w:t>институција</w:t>
      </w:r>
      <w:r w:rsidR="007656CB" w:rsidRPr="00295637">
        <w:rPr>
          <w:rFonts w:ascii="Times New Roman" w:hAnsi="Times New Roman"/>
          <w:szCs w:val="24"/>
          <w:lang w:val="bs-Latn-BA"/>
        </w:rPr>
        <w:t xml:space="preserve"> </w:t>
      </w:r>
      <w:r>
        <w:rPr>
          <w:rFonts w:ascii="Times New Roman" w:hAnsi="Times New Roman"/>
          <w:szCs w:val="24"/>
          <w:lang w:val="bs-Latn-BA"/>
        </w:rPr>
        <w:t>циљевима</w:t>
      </w:r>
      <w:r w:rsidR="007656CB" w:rsidRPr="00295637">
        <w:rPr>
          <w:rFonts w:ascii="Times New Roman" w:hAnsi="Times New Roman"/>
          <w:szCs w:val="24"/>
          <w:lang w:val="bs-Latn-BA"/>
        </w:rPr>
        <w:t xml:space="preserve"> </w:t>
      </w:r>
      <w:r>
        <w:rPr>
          <w:rFonts w:ascii="Times New Roman" w:hAnsi="Times New Roman"/>
          <w:szCs w:val="24"/>
          <w:lang w:val="bs-Latn-BA"/>
        </w:rPr>
        <w:t>ГАП</w:t>
      </w:r>
      <w:r w:rsidR="00033135">
        <w:rPr>
          <w:rFonts w:ascii="Times New Roman" w:hAnsi="Times New Roman"/>
          <w:szCs w:val="24"/>
          <w:lang w:val="bs-Latn-BA"/>
        </w:rPr>
        <w:t xml:space="preserve"> </w:t>
      </w:r>
      <w:r>
        <w:rPr>
          <w:rFonts w:ascii="Times New Roman" w:hAnsi="Times New Roman"/>
          <w:szCs w:val="24"/>
          <w:lang w:val="bs-Latn-BA"/>
        </w:rPr>
        <w:t>БиХ</w:t>
      </w:r>
      <w:r w:rsidR="007656CB" w:rsidRPr="00295637">
        <w:rPr>
          <w:rFonts w:ascii="Times New Roman" w:hAnsi="Times New Roman"/>
          <w:szCs w:val="24"/>
          <w:lang w:val="bs-Latn-BA"/>
        </w:rPr>
        <w:t xml:space="preserve">. </w:t>
      </w:r>
    </w:p>
    <w:p w:rsidR="007656CB" w:rsidRPr="00295637" w:rsidRDefault="007656CB" w:rsidP="0086268D">
      <w:pPr>
        <w:tabs>
          <w:tab w:val="left" w:pos="1080"/>
        </w:tabs>
        <w:jc w:val="both"/>
        <w:rPr>
          <w:rFonts w:ascii="Times New Roman" w:hAnsi="Times New Roman"/>
          <w:szCs w:val="24"/>
          <w:lang w:val="bs-Latn-BA"/>
        </w:rPr>
      </w:pPr>
    </w:p>
    <w:p w:rsidR="00A708B8" w:rsidRPr="00295637" w:rsidRDefault="00C6214E" w:rsidP="0086268D">
      <w:pPr>
        <w:tabs>
          <w:tab w:val="left" w:pos="1080"/>
        </w:tabs>
        <w:jc w:val="both"/>
        <w:rPr>
          <w:rFonts w:ascii="Times New Roman" w:hAnsi="Times New Roman"/>
          <w:szCs w:val="24"/>
          <w:lang w:val="bs-Latn-BA"/>
        </w:rPr>
      </w:pPr>
      <w:r>
        <w:rPr>
          <w:rFonts w:ascii="Times New Roman" w:hAnsi="Times New Roman"/>
          <w:szCs w:val="24"/>
          <w:lang w:val="bs-Latn-BA"/>
        </w:rPr>
        <w:t>На</w:t>
      </w:r>
      <w:r w:rsidR="007537E4" w:rsidRPr="00295637">
        <w:rPr>
          <w:rFonts w:ascii="Times New Roman" w:hAnsi="Times New Roman"/>
          <w:szCs w:val="24"/>
          <w:lang w:val="bs-Latn-BA"/>
        </w:rPr>
        <w:t xml:space="preserve"> </w:t>
      </w:r>
      <w:r>
        <w:rPr>
          <w:rFonts w:ascii="Times New Roman" w:hAnsi="Times New Roman"/>
          <w:szCs w:val="24"/>
          <w:lang w:val="bs-Latn-BA"/>
        </w:rPr>
        <w:t>нивоу</w:t>
      </w:r>
      <w:r w:rsidR="00B439FB">
        <w:rPr>
          <w:rFonts w:ascii="Times New Roman" w:hAnsi="Times New Roman"/>
          <w:szCs w:val="24"/>
          <w:lang w:val="bs-Latn-BA"/>
        </w:rPr>
        <w:t xml:space="preserve"> </w:t>
      </w:r>
      <w:r>
        <w:rPr>
          <w:rFonts w:ascii="Times New Roman" w:hAnsi="Times New Roman"/>
          <w:szCs w:val="24"/>
          <w:lang w:val="bs-Latn-BA"/>
        </w:rPr>
        <w:t>институција</w:t>
      </w:r>
      <w:r w:rsidR="00B439FB">
        <w:rPr>
          <w:rFonts w:ascii="Times New Roman" w:hAnsi="Times New Roman"/>
          <w:szCs w:val="24"/>
          <w:lang w:val="bs-Latn-BA"/>
        </w:rPr>
        <w:t xml:space="preserve"> </w:t>
      </w:r>
      <w:r>
        <w:rPr>
          <w:rFonts w:ascii="Times New Roman" w:hAnsi="Times New Roman"/>
          <w:szCs w:val="24"/>
          <w:lang w:val="bs-Latn-BA"/>
        </w:rPr>
        <w:t>ФБиХ</w:t>
      </w:r>
      <w:r w:rsidR="007537E4" w:rsidRPr="00295637">
        <w:rPr>
          <w:rFonts w:ascii="Times New Roman" w:hAnsi="Times New Roman"/>
          <w:szCs w:val="24"/>
          <w:lang w:val="bs-Latn-BA"/>
        </w:rPr>
        <w:t xml:space="preserve">, </w:t>
      </w:r>
      <w:r>
        <w:rPr>
          <w:rFonts w:ascii="Times New Roman" w:hAnsi="Times New Roman"/>
          <w:szCs w:val="24"/>
          <w:lang w:val="bs-Latn-BA"/>
        </w:rPr>
        <w:t>примјетно</w:t>
      </w:r>
      <w:r w:rsidR="00A708B8" w:rsidRPr="00295637">
        <w:rPr>
          <w:rFonts w:ascii="Times New Roman" w:hAnsi="Times New Roman"/>
          <w:szCs w:val="24"/>
          <w:lang w:val="bs-Latn-BA"/>
        </w:rPr>
        <w:t xml:space="preserve"> </w:t>
      </w:r>
      <w:r>
        <w:rPr>
          <w:rFonts w:ascii="Times New Roman" w:hAnsi="Times New Roman"/>
          <w:szCs w:val="24"/>
          <w:lang w:val="bs-Latn-BA"/>
        </w:rPr>
        <w:t>је</w:t>
      </w:r>
      <w:r w:rsidR="00A708B8" w:rsidRPr="00295637">
        <w:rPr>
          <w:rFonts w:ascii="Times New Roman" w:hAnsi="Times New Roman"/>
          <w:szCs w:val="24"/>
          <w:lang w:val="bs-Latn-BA"/>
        </w:rPr>
        <w:t xml:space="preserve"> </w:t>
      </w:r>
      <w:r>
        <w:rPr>
          <w:rFonts w:ascii="Times New Roman" w:hAnsi="Times New Roman"/>
          <w:szCs w:val="24"/>
          <w:lang w:val="bs-Latn-BA"/>
        </w:rPr>
        <w:t>да</w:t>
      </w:r>
      <w:r w:rsidR="00A708B8" w:rsidRPr="00295637">
        <w:rPr>
          <w:rFonts w:ascii="Times New Roman" w:hAnsi="Times New Roman"/>
          <w:szCs w:val="24"/>
          <w:lang w:val="bs-Latn-BA"/>
        </w:rPr>
        <w:t xml:space="preserve"> </w:t>
      </w:r>
      <w:r>
        <w:rPr>
          <w:rFonts w:ascii="Times New Roman" w:hAnsi="Times New Roman"/>
          <w:szCs w:val="24"/>
          <w:lang w:val="bs-Latn-BA"/>
        </w:rPr>
        <w:t>су</w:t>
      </w:r>
      <w:r w:rsidR="00A708B8" w:rsidRPr="00295637">
        <w:rPr>
          <w:rFonts w:ascii="Times New Roman" w:hAnsi="Times New Roman"/>
          <w:szCs w:val="24"/>
          <w:lang w:val="bs-Latn-BA"/>
        </w:rPr>
        <w:t xml:space="preserve"> </w:t>
      </w:r>
      <w:r>
        <w:rPr>
          <w:rFonts w:ascii="Times New Roman" w:hAnsi="Times New Roman"/>
          <w:szCs w:val="24"/>
          <w:lang w:val="bs-Latn-BA"/>
        </w:rPr>
        <w:t>различите</w:t>
      </w:r>
      <w:r w:rsidR="00A708B8" w:rsidRPr="00295637">
        <w:rPr>
          <w:rFonts w:ascii="Times New Roman" w:hAnsi="Times New Roman"/>
          <w:szCs w:val="24"/>
          <w:lang w:val="bs-Latn-BA"/>
        </w:rPr>
        <w:t xml:space="preserve"> </w:t>
      </w:r>
      <w:r>
        <w:rPr>
          <w:rFonts w:ascii="Times New Roman" w:hAnsi="Times New Roman"/>
          <w:szCs w:val="24"/>
          <w:lang w:val="bs-Latn-BA"/>
        </w:rPr>
        <w:t>институције</w:t>
      </w:r>
      <w:r w:rsidR="00A708B8" w:rsidRPr="00295637">
        <w:rPr>
          <w:rFonts w:ascii="Times New Roman" w:hAnsi="Times New Roman"/>
          <w:szCs w:val="24"/>
          <w:lang w:val="bs-Latn-BA"/>
        </w:rPr>
        <w:t xml:space="preserve">, </w:t>
      </w:r>
      <w:r>
        <w:rPr>
          <w:rFonts w:ascii="Times New Roman" w:hAnsi="Times New Roman"/>
          <w:szCs w:val="24"/>
          <w:lang w:val="bs-Latn-BA"/>
        </w:rPr>
        <w:t>али</w:t>
      </w:r>
      <w:r w:rsidR="00A708B8" w:rsidRPr="00295637">
        <w:rPr>
          <w:rFonts w:ascii="Times New Roman" w:hAnsi="Times New Roman"/>
          <w:szCs w:val="24"/>
          <w:lang w:val="bs-Latn-BA"/>
        </w:rPr>
        <w:t xml:space="preserve"> </w:t>
      </w:r>
      <w:r>
        <w:rPr>
          <w:rFonts w:ascii="Times New Roman" w:hAnsi="Times New Roman"/>
          <w:szCs w:val="24"/>
          <w:lang w:val="bs-Latn-BA"/>
        </w:rPr>
        <w:t>и</w:t>
      </w:r>
      <w:r w:rsidR="00A708B8" w:rsidRPr="00295637">
        <w:rPr>
          <w:rFonts w:ascii="Times New Roman" w:hAnsi="Times New Roman"/>
          <w:szCs w:val="24"/>
          <w:lang w:val="bs-Latn-BA"/>
        </w:rPr>
        <w:t xml:space="preserve"> </w:t>
      </w:r>
      <w:r>
        <w:rPr>
          <w:rFonts w:ascii="Times New Roman" w:hAnsi="Times New Roman"/>
          <w:szCs w:val="24"/>
          <w:lang w:val="bs-Latn-BA"/>
        </w:rPr>
        <w:t>невладине</w:t>
      </w:r>
      <w:r w:rsidR="00A708B8" w:rsidRPr="00295637">
        <w:rPr>
          <w:rFonts w:ascii="Times New Roman" w:hAnsi="Times New Roman"/>
          <w:szCs w:val="24"/>
          <w:lang w:val="bs-Latn-BA"/>
        </w:rPr>
        <w:t xml:space="preserve"> </w:t>
      </w:r>
      <w:r>
        <w:rPr>
          <w:rFonts w:ascii="Times New Roman" w:hAnsi="Times New Roman"/>
          <w:szCs w:val="24"/>
          <w:lang w:val="bs-Latn-BA"/>
        </w:rPr>
        <w:t>организације</w:t>
      </w:r>
      <w:r w:rsidR="007537E4" w:rsidRPr="00295637">
        <w:rPr>
          <w:rFonts w:ascii="Times New Roman" w:hAnsi="Times New Roman"/>
          <w:szCs w:val="24"/>
          <w:lang w:val="bs-Latn-BA"/>
        </w:rPr>
        <w:t>,</w:t>
      </w:r>
      <w:r w:rsidR="00A708B8" w:rsidRPr="00295637">
        <w:rPr>
          <w:rFonts w:ascii="Times New Roman" w:hAnsi="Times New Roman"/>
          <w:szCs w:val="24"/>
          <w:lang w:val="bs-Latn-BA"/>
        </w:rPr>
        <w:t xml:space="preserve"> </w:t>
      </w:r>
      <w:r>
        <w:rPr>
          <w:rFonts w:ascii="Times New Roman" w:hAnsi="Times New Roman"/>
          <w:szCs w:val="24"/>
          <w:lang w:val="bs-Latn-BA"/>
        </w:rPr>
        <w:t>проводиле</w:t>
      </w:r>
      <w:r w:rsidR="00A708B8" w:rsidRPr="00295637">
        <w:rPr>
          <w:rFonts w:ascii="Times New Roman" w:hAnsi="Times New Roman"/>
          <w:szCs w:val="24"/>
          <w:lang w:val="bs-Latn-BA"/>
        </w:rPr>
        <w:t xml:space="preserve"> </w:t>
      </w:r>
      <w:r>
        <w:rPr>
          <w:rFonts w:ascii="Times New Roman" w:hAnsi="Times New Roman"/>
          <w:szCs w:val="24"/>
          <w:lang w:val="bs-Latn-BA"/>
        </w:rPr>
        <w:t>промотивне</w:t>
      </w:r>
      <w:r w:rsidR="00A708B8" w:rsidRPr="00295637">
        <w:rPr>
          <w:rFonts w:ascii="Times New Roman" w:hAnsi="Times New Roman"/>
          <w:szCs w:val="24"/>
          <w:lang w:val="bs-Latn-BA"/>
        </w:rPr>
        <w:t xml:space="preserve"> </w:t>
      </w:r>
      <w:r>
        <w:rPr>
          <w:rFonts w:ascii="Times New Roman" w:hAnsi="Times New Roman"/>
          <w:szCs w:val="24"/>
          <w:lang w:val="bs-Latn-BA"/>
        </w:rPr>
        <w:t>активности</w:t>
      </w:r>
      <w:r w:rsidR="00A708B8" w:rsidRPr="00295637">
        <w:rPr>
          <w:rFonts w:ascii="Times New Roman" w:hAnsi="Times New Roman"/>
          <w:szCs w:val="24"/>
          <w:lang w:val="bs-Latn-BA"/>
        </w:rPr>
        <w:t xml:space="preserve"> </w:t>
      </w:r>
      <w:r>
        <w:rPr>
          <w:rFonts w:ascii="Times New Roman" w:hAnsi="Times New Roman"/>
          <w:szCs w:val="24"/>
          <w:lang w:val="bs-Latn-BA"/>
        </w:rPr>
        <w:t>током</w:t>
      </w:r>
      <w:r w:rsidR="00A708B8" w:rsidRPr="00295637">
        <w:rPr>
          <w:rFonts w:ascii="Times New Roman" w:hAnsi="Times New Roman"/>
          <w:szCs w:val="24"/>
          <w:lang w:val="bs-Latn-BA"/>
        </w:rPr>
        <w:t xml:space="preserve"> </w:t>
      </w:r>
      <w:r>
        <w:rPr>
          <w:rFonts w:ascii="Times New Roman" w:hAnsi="Times New Roman"/>
          <w:szCs w:val="24"/>
          <w:lang w:val="bs-Latn-BA"/>
        </w:rPr>
        <w:t>извјештајног</w:t>
      </w:r>
      <w:r w:rsidR="00A708B8" w:rsidRPr="00295637">
        <w:rPr>
          <w:rFonts w:ascii="Times New Roman" w:hAnsi="Times New Roman"/>
          <w:szCs w:val="24"/>
          <w:lang w:val="bs-Latn-BA"/>
        </w:rPr>
        <w:t xml:space="preserve"> </w:t>
      </w:r>
      <w:r>
        <w:rPr>
          <w:rFonts w:ascii="Times New Roman" w:hAnsi="Times New Roman"/>
          <w:szCs w:val="24"/>
          <w:lang w:val="bs-Latn-BA"/>
        </w:rPr>
        <w:t>периода</w:t>
      </w:r>
      <w:r w:rsidR="00A708B8" w:rsidRPr="00295637">
        <w:rPr>
          <w:rFonts w:ascii="Times New Roman" w:hAnsi="Times New Roman"/>
          <w:szCs w:val="24"/>
          <w:lang w:val="bs-Latn-BA"/>
        </w:rPr>
        <w:t xml:space="preserve">. </w:t>
      </w:r>
      <w:r>
        <w:rPr>
          <w:rFonts w:ascii="Times New Roman" w:hAnsi="Times New Roman"/>
          <w:szCs w:val="24"/>
          <w:lang w:val="bs-Latn-BA"/>
        </w:rPr>
        <w:t>Реализ</w:t>
      </w:r>
      <w:r w:rsidR="006E324C">
        <w:rPr>
          <w:rFonts w:ascii="Times New Roman" w:hAnsi="Times New Roman"/>
          <w:szCs w:val="24"/>
          <w:lang w:val="sr-Cyrl-BA"/>
        </w:rPr>
        <w:t>оване</w:t>
      </w:r>
      <w:r w:rsidR="00A708B8" w:rsidRPr="00295637">
        <w:rPr>
          <w:rFonts w:ascii="Times New Roman" w:hAnsi="Times New Roman"/>
          <w:szCs w:val="24"/>
          <w:lang w:val="bs-Latn-BA"/>
        </w:rPr>
        <w:t xml:space="preserve"> </w:t>
      </w:r>
      <w:r>
        <w:rPr>
          <w:rFonts w:ascii="Times New Roman" w:hAnsi="Times New Roman"/>
          <w:szCs w:val="24"/>
          <w:lang w:val="bs-Latn-BA"/>
        </w:rPr>
        <w:t>су</w:t>
      </w:r>
      <w:r w:rsidR="00A708B8" w:rsidRPr="00295637">
        <w:rPr>
          <w:rFonts w:ascii="Times New Roman" w:hAnsi="Times New Roman"/>
          <w:szCs w:val="24"/>
          <w:lang w:val="bs-Latn-BA"/>
        </w:rPr>
        <w:t xml:space="preserve"> </w:t>
      </w:r>
      <w:r>
        <w:rPr>
          <w:rFonts w:ascii="Times New Roman" w:hAnsi="Times New Roman"/>
          <w:szCs w:val="24"/>
          <w:lang w:val="bs-Latn-BA"/>
        </w:rPr>
        <w:t>кампање</w:t>
      </w:r>
      <w:r w:rsidR="00A708B8" w:rsidRPr="00295637">
        <w:rPr>
          <w:rFonts w:ascii="Times New Roman" w:hAnsi="Times New Roman"/>
          <w:szCs w:val="24"/>
          <w:lang w:val="bs-Latn-BA"/>
        </w:rPr>
        <w:t xml:space="preserve"> </w:t>
      </w:r>
      <w:r>
        <w:rPr>
          <w:rFonts w:ascii="Times New Roman" w:hAnsi="Times New Roman"/>
          <w:szCs w:val="24"/>
          <w:lang w:val="bs-Latn-BA"/>
        </w:rPr>
        <w:t>у</w:t>
      </w:r>
      <w:r w:rsidR="00A708B8" w:rsidRPr="00295637">
        <w:rPr>
          <w:rFonts w:ascii="Times New Roman" w:hAnsi="Times New Roman"/>
          <w:szCs w:val="24"/>
          <w:lang w:val="bs-Latn-BA"/>
        </w:rPr>
        <w:t xml:space="preserve"> </w:t>
      </w:r>
      <w:r>
        <w:rPr>
          <w:rFonts w:ascii="Times New Roman" w:hAnsi="Times New Roman"/>
          <w:szCs w:val="24"/>
          <w:lang w:val="bs-Latn-BA"/>
        </w:rPr>
        <w:t>организацији</w:t>
      </w:r>
      <w:r w:rsidR="00A708B8" w:rsidRPr="00295637">
        <w:rPr>
          <w:rFonts w:ascii="Times New Roman" w:hAnsi="Times New Roman"/>
          <w:szCs w:val="24"/>
          <w:lang w:val="bs-Latn-BA"/>
        </w:rPr>
        <w:t xml:space="preserve"> </w:t>
      </w:r>
      <w:r>
        <w:rPr>
          <w:rFonts w:ascii="Times New Roman" w:hAnsi="Times New Roman"/>
          <w:szCs w:val="24"/>
          <w:lang w:val="bs-Latn-BA"/>
        </w:rPr>
        <w:t>ФМУП</w:t>
      </w:r>
      <w:r w:rsidR="00A708B8" w:rsidRPr="00295637">
        <w:rPr>
          <w:rFonts w:ascii="Times New Roman" w:hAnsi="Times New Roman"/>
          <w:szCs w:val="24"/>
          <w:lang w:val="bs-Latn-BA"/>
        </w:rPr>
        <w:t xml:space="preserve"> </w:t>
      </w:r>
      <w:r>
        <w:rPr>
          <w:rFonts w:ascii="Times New Roman" w:hAnsi="Times New Roman"/>
          <w:szCs w:val="24"/>
          <w:lang w:val="bs-Latn-BA"/>
        </w:rPr>
        <w:t>под</w:t>
      </w:r>
      <w:r w:rsidR="00A708B8" w:rsidRPr="00295637">
        <w:rPr>
          <w:rFonts w:ascii="Times New Roman" w:hAnsi="Times New Roman"/>
          <w:szCs w:val="24"/>
          <w:lang w:val="bs-Latn-BA"/>
        </w:rPr>
        <w:t xml:space="preserve"> </w:t>
      </w:r>
      <w:r>
        <w:rPr>
          <w:rFonts w:ascii="Times New Roman" w:hAnsi="Times New Roman"/>
          <w:szCs w:val="24"/>
          <w:lang w:val="bs-Latn-BA"/>
        </w:rPr>
        <w:t>називом</w:t>
      </w:r>
      <w:r w:rsidR="00A708B8" w:rsidRPr="00295637">
        <w:rPr>
          <w:rFonts w:ascii="Times New Roman" w:hAnsi="Times New Roman"/>
          <w:szCs w:val="24"/>
          <w:lang w:val="bs-Latn-BA"/>
        </w:rPr>
        <w:t xml:space="preserve"> „</w:t>
      </w:r>
      <w:r>
        <w:rPr>
          <w:rFonts w:ascii="Times New Roman" w:hAnsi="Times New Roman"/>
          <w:szCs w:val="24"/>
          <w:lang w:val="bs-Latn-BA"/>
        </w:rPr>
        <w:t>Не</w:t>
      </w:r>
      <w:r w:rsidR="00A708B8" w:rsidRPr="00295637">
        <w:rPr>
          <w:rFonts w:ascii="Times New Roman" w:hAnsi="Times New Roman"/>
          <w:szCs w:val="24"/>
          <w:lang w:val="bs-Latn-BA"/>
        </w:rPr>
        <w:t xml:space="preserve"> </w:t>
      </w:r>
      <w:r>
        <w:rPr>
          <w:rFonts w:ascii="Times New Roman" w:hAnsi="Times New Roman"/>
          <w:szCs w:val="24"/>
          <w:lang w:val="bs-Latn-BA"/>
        </w:rPr>
        <w:t>окрећи</w:t>
      </w:r>
      <w:r w:rsidR="00A708B8" w:rsidRPr="00295637">
        <w:rPr>
          <w:rFonts w:ascii="Times New Roman" w:hAnsi="Times New Roman"/>
          <w:szCs w:val="24"/>
          <w:lang w:val="bs-Latn-BA"/>
        </w:rPr>
        <w:t xml:space="preserve"> </w:t>
      </w:r>
      <w:r>
        <w:rPr>
          <w:rFonts w:ascii="Times New Roman" w:hAnsi="Times New Roman"/>
          <w:szCs w:val="24"/>
          <w:lang w:val="bs-Latn-BA"/>
        </w:rPr>
        <w:t>главу</w:t>
      </w:r>
      <w:r w:rsidR="00A708B8" w:rsidRPr="00295637">
        <w:rPr>
          <w:rFonts w:ascii="Times New Roman" w:hAnsi="Times New Roman"/>
          <w:szCs w:val="24"/>
          <w:lang w:val="bs-Latn-BA"/>
        </w:rPr>
        <w:t xml:space="preserve">, </w:t>
      </w:r>
      <w:r>
        <w:rPr>
          <w:rFonts w:ascii="Times New Roman" w:hAnsi="Times New Roman"/>
          <w:szCs w:val="24"/>
          <w:lang w:val="bs-Latn-BA"/>
        </w:rPr>
        <w:t>окрени</w:t>
      </w:r>
      <w:r w:rsidR="00A708B8" w:rsidRPr="00295637">
        <w:rPr>
          <w:rFonts w:ascii="Times New Roman" w:hAnsi="Times New Roman"/>
          <w:szCs w:val="24"/>
          <w:lang w:val="bs-Latn-BA"/>
        </w:rPr>
        <w:t xml:space="preserve"> </w:t>
      </w:r>
      <w:r>
        <w:rPr>
          <w:rFonts w:ascii="Times New Roman" w:hAnsi="Times New Roman"/>
          <w:szCs w:val="24"/>
          <w:lang w:val="bs-Latn-BA"/>
        </w:rPr>
        <w:t>број</w:t>
      </w:r>
      <w:r w:rsidR="00A708B8" w:rsidRPr="00295637">
        <w:rPr>
          <w:rFonts w:ascii="Times New Roman" w:hAnsi="Times New Roman"/>
          <w:szCs w:val="24"/>
          <w:lang w:val="bs-Latn-BA"/>
        </w:rPr>
        <w:t xml:space="preserve">!“, </w:t>
      </w:r>
      <w:r>
        <w:rPr>
          <w:rFonts w:ascii="Times New Roman" w:hAnsi="Times New Roman"/>
          <w:szCs w:val="24"/>
          <w:lang w:val="bs-Latn-BA"/>
        </w:rPr>
        <w:t>кампања</w:t>
      </w:r>
      <w:r w:rsidR="00A708B8" w:rsidRPr="00295637">
        <w:rPr>
          <w:rFonts w:ascii="Times New Roman" w:hAnsi="Times New Roman"/>
          <w:szCs w:val="24"/>
          <w:lang w:val="bs-Latn-BA"/>
        </w:rPr>
        <w:t xml:space="preserve"> </w:t>
      </w:r>
      <w:r>
        <w:rPr>
          <w:rFonts w:ascii="Times New Roman" w:hAnsi="Times New Roman"/>
          <w:szCs w:val="24"/>
          <w:lang w:val="bs-Latn-BA"/>
        </w:rPr>
        <w:t>ФМРСП</w:t>
      </w:r>
      <w:r w:rsidR="00A708B8" w:rsidRPr="00295637">
        <w:rPr>
          <w:rFonts w:ascii="Times New Roman" w:hAnsi="Times New Roman"/>
          <w:szCs w:val="24"/>
          <w:lang w:val="bs-Latn-BA"/>
        </w:rPr>
        <w:t xml:space="preserve">, </w:t>
      </w:r>
      <w:r>
        <w:rPr>
          <w:rFonts w:ascii="Times New Roman" w:hAnsi="Times New Roman"/>
          <w:szCs w:val="24"/>
          <w:lang w:val="bs-Latn-BA"/>
        </w:rPr>
        <w:t>кампања</w:t>
      </w:r>
      <w:r w:rsidR="00A708B8" w:rsidRPr="00295637">
        <w:rPr>
          <w:rFonts w:ascii="Times New Roman" w:hAnsi="Times New Roman"/>
          <w:szCs w:val="24"/>
          <w:lang w:val="bs-Latn-BA"/>
        </w:rPr>
        <w:t xml:space="preserve"> </w:t>
      </w:r>
      <w:r>
        <w:rPr>
          <w:rFonts w:ascii="Times New Roman" w:hAnsi="Times New Roman"/>
          <w:szCs w:val="24"/>
          <w:lang w:val="bs-Latn-BA"/>
        </w:rPr>
        <w:t>ГЦ</w:t>
      </w:r>
      <w:r w:rsidR="005155D7">
        <w:rPr>
          <w:rFonts w:ascii="Times New Roman" w:hAnsi="Times New Roman"/>
          <w:szCs w:val="24"/>
          <w:lang w:val="bs-Latn-BA"/>
        </w:rPr>
        <w:t xml:space="preserve"> </w:t>
      </w:r>
      <w:r>
        <w:rPr>
          <w:rFonts w:ascii="Times New Roman" w:hAnsi="Times New Roman"/>
          <w:szCs w:val="24"/>
          <w:lang w:val="bs-Latn-BA"/>
        </w:rPr>
        <w:t>ФБиХ</w:t>
      </w:r>
      <w:r w:rsidR="007537E4" w:rsidRPr="00295637">
        <w:rPr>
          <w:rFonts w:ascii="Times New Roman" w:hAnsi="Times New Roman"/>
          <w:szCs w:val="24"/>
          <w:lang w:val="bs-Latn-BA"/>
        </w:rPr>
        <w:t xml:space="preserve"> </w:t>
      </w:r>
      <w:r w:rsidR="00A708B8" w:rsidRPr="00295637">
        <w:rPr>
          <w:rFonts w:ascii="Times New Roman" w:hAnsi="Times New Roman"/>
          <w:szCs w:val="24"/>
          <w:lang w:val="bs-Latn-BA"/>
        </w:rPr>
        <w:t>„#</w:t>
      </w:r>
      <w:r>
        <w:rPr>
          <w:rFonts w:ascii="Times New Roman" w:hAnsi="Times New Roman"/>
          <w:szCs w:val="24"/>
          <w:lang w:val="bs-Latn-BA"/>
        </w:rPr>
        <w:t>бољевако</w:t>
      </w:r>
      <w:r w:rsidR="00A708B8" w:rsidRPr="00295637">
        <w:rPr>
          <w:rFonts w:ascii="Times New Roman" w:hAnsi="Times New Roman"/>
          <w:szCs w:val="24"/>
          <w:lang w:val="bs-Latn-BA"/>
        </w:rPr>
        <w:t xml:space="preserve">“, </w:t>
      </w:r>
      <w:r>
        <w:rPr>
          <w:rFonts w:ascii="Times New Roman" w:hAnsi="Times New Roman"/>
          <w:szCs w:val="24"/>
          <w:lang w:val="bs-Latn-BA"/>
        </w:rPr>
        <w:t>видео</w:t>
      </w:r>
      <w:r w:rsidR="00A708B8" w:rsidRPr="00295637">
        <w:rPr>
          <w:rFonts w:ascii="Times New Roman" w:hAnsi="Times New Roman"/>
          <w:szCs w:val="24"/>
          <w:lang w:val="bs-Latn-BA"/>
        </w:rPr>
        <w:t xml:space="preserve"> </w:t>
      </w:r>
      <w:r>
        <w:rPr>
          <w:rFonts w:ascii="Times New Roman" w:hAnsi="Times New Roman"/>
          <w:szCs w:val="24"/>
          <w:lang w:val="bs-Latn-BA"/>
        </w:rPr>
        <w:t>спотови</w:t>
      </w:r>
      <w:r w:rsidR="00A708B8" w:rsidRPr="00295637">
        <w:rPr>
          <w:rFonts w:ascii="Times New Roman" w:hAnsi="Times New Roman"/>
          <w:szCs w:val="24"/>
          <w:lang w:val="bs-Latn-BA"/>
        </w:rPr>
        <w:t xml:space="preserve"> </w:t>
      </w:r>
      <w:r>
        <w:rPr>
          <w:rFonts w:ascii="Times New Roman" w:hAnsi="Times New Roman"/>
          <w:szCs w:val="24"/>
          <w:lang w:val="bs-Latn-BA"/>
        </w:rPr>
        <w:t>којима</w:t>
      </w:r>
      <w:r w:rsidR="00A708B8" w:rsidRPr="00295637">
        <w:rPr>
          <w:rFonts w:ascii="Times New Roman" w:hAnsi="Times New Roman"/>
          <w:szCs w:val="24"/>
          <w:lang w:val="bs-Latn-BA"/>
        </w:rPr>
        <w:t xml:space="preserve"> </w:t>
      </w:r>
      <w:r>
        <w:rPr>
          <w:rFonts w:ascii="Times New Roman" w:hAnsi="Times New Roman"/>
          <w:szCs w:val="24"/>
          <w:lang w:val="bs-Latn-BA"/>
        </w:rPr>
        <w:t>се</w:t>
      </w:r>
      <w:r w:rsidR="00A708B8" w:rsidRPr="00295637">
        <w:rPr>
          <w:rFonts w:ascii="Times New Roman" w:hAnsi="Times New Roman"/>
          <w:szCs w:val="24"/>
          <w:lang w:val="bs-Latn-BA"/>
        </w:rPr>
        <w:t xml:space="preserve"> </w:t>
      </w:r>
      <w:r>
        <w:rPr>
          <w:rFonts w:ascii="Times New Roman" w:hAnsi="Times New Roman"/>
          <w:szCs w:val="24"/>
          <w:lang w:val="bs-Latn-BA"/>
        </w:rPr>
        <w:t>обухватају</w:t>
      </w:r>
      <w:r w:rsidR="00A708B8" w:rsidRPr="00295637">
        <w:rPr>
          <w:rFonts w:ascii="Times New Roman" w:hAnsi="Times New Roman"/>
          <w:szCs w:val="24"/>
          <w:lang w:val="bs-Latn-BA"/>
        </w:rPr>
        <w:t xml:space="preserve"> </w:t>
      </w:r>
      <w:r>
        <w:rPr>
          <w:rFonts w:ascii="Times New Roman" w:hAnsi="Times New Roman"/>
          <w:szCs w:val="24"/>
          <w:lang w:val="bs-Latn-BA"/>
        </w:rPr>
        <w:t>фактори</w:t>
      </w:r>
      <w:r w:rsidR="00A708B8" w:rsidRPr="00295637">
        <w:rPr>
          <w:rFonts w:ascii="Times New Roman" w:hAnsi="Times New Roman"/>
          <w:szCs w:val="24"/>
          <w:lang w:val="bs-Latn-BA"/>
        </w:rPr>
        <w:t xml:space="preserve"> </w:t>
      </w:r>
      <w:r>
        <w:rPr>
          <w:rFonts w:ascii="Times New Roman" w:hAnsi="Times New Roman"/>
          <w:szCs w:val="24"/>
          <w:lang w:val="bs-Latn-BA"/>
        </w:rPr>
        <w:t>ризика</w:t>
      </w:r>
      <w:r w:rsidR="00A708B8" w:rsidRPr="00295637">
        <w:rPr>
          <w:rFonts w:ascii="Times New Roman" w:hAnsi="Times New Roman"/>
          <w:szCs w:val="24"/>
          <w:lang w:val="bs-Latn-BA"/>
        </w:rPr>
        <w:t xml:space="preserve"> </w:t>
      </w:r>
      <w:r>
        <w:rPr>
          <w:rFonts w:ascii="Times New Roman" w:hAnsi="Times New Roman"/>
          <w:szCs w:val="24"/>
          <w:lang w:val="bs-Latn-BA"/>
        </w:rPr>
        <w:t>за</w:t>
      </w:r>
      <w:r w:rsidR="00A708B8" w:rsidRPr="00295637">
        <w:rPr>
          <w:rFonts w:ascii="Times New Roman" w:hAnsi="Times New Roman"/>
          <w:szCs w:val="24"/>
          <w:lang w:val="bs-Latn-BA"/>
        </w:rPr>
        <w:t xml:space="preserve"> </w:t>
      </w:r>
      <w:r>
        <w:rPr>
          <w:rFonts w:ascii="Times New Roman" w:hAnsi="Times New Roman"/>
          <w:szCs w:val="24"/>
          <w:lang w:val="bs-Latn-BA"/>
        </w:rPr>
        <w:t>насиље</w:t>
      </w:r>
      <w:r w:rsidR="00A708B8" w:rsidRPr="00295637">
        <w:rPr>
          <w:rFonts w:ascii="Times New Roman" w:hAnsi="Times New Roman"/>
          <w:szCs w:val="24"/>
          <w:lang w:val="bs-Latn-BA"/>
        </w:rPr>
        <w:t xml:space="preserve"> </w:t>
      </w:r>
      <w:r>
        <w:rPr>
          <w:rFonts w:ascii="Times New Roman" w:hAnsi="Times New Roman"/>
          <w:szCs w:val="24"/>
          <w:lang w:val="bs-Latn-BA"/>
        </w:rPr>
        <w:t>у</w:t>
      </w:r>
      <w:r w:rsidR="00A708B8" w:rsidRPr="00295637">
        <w:rPr>
          <w:rFonts w:ascii="Times New Roman" w:hAnsi="Times New Roman"/>
          <w:szCs w:val="24"/>
          <w:lang w:val="bs-Latn-BA"/>
        </w:rPr>
        <w:t xml:space="preserve"> </w:t>
      </w:r>
      <w:r>
        <w:rPr>
          <w:rFonts w:ascii="Times New Roman" w:hAnsi="Times New Roman"/>
          <w:szCs w:val="24"/>
          <w:lang w:val="bs-Latn-BA"/>
        </w:rPr>
        <w:t>породици</w:t>
      </w:r>
      <w:r w:rsidR="00A708B8" w:rsidRPr="00295637">
        <w:rPr>
          <w:rFonts w:ascii="Times New Roman" w:hAnsi="Times New Roman"/>
          <w:szCs w:val="24"/>
          <w:lang w:val="bs-Latn-BA"/>
        </w:rPr>
        <w:t xml:space="preserve">, </w:t>
      </w:r>
      <w:r>
        <w:rPr>
          <w:rFonts w:ascii="Times New Roman" w:hAnsi="Times New Roman"/>
          <w:szCs w:val="24"/>
          <w:lang w:val="bs-Latn-BA"/>
        </w:rPr>
        <w:t>кампања</w:t>
      </w:r>
      <w:r w:rsidR="00A708B8" w:rsidRPr="00295637">
        <w:rPr>
          <w:rFonts w:ascii="Times New Roman" w:hAnsi="Times New Roman"/>
          <w:szCs w:val="24"/>
          <w:lang w:val="bs-Latn-BA"/>
        </w:rPr>
        <w:t xml:space="preserve"> </w:t>
      </w:r>
      <w:r>
        <w:rPr>
          <w:rFonts w:ascii="Times New Roman" w:hAnsi="Times New Roman"/>
          <w:szCs w:val="24"/>
          <w:lang w:val="bs-Latn-BA"/>
        </w:rPr>
        <w:t>ФМОИН</w:t>
      </w:r>
      <w:r w:rsidR="00A708B8" w:rsidRPr="00295637">
        <w:rPr>
          <w:rFonts w:ascii="Times New Roman" w:hAnsi="Times New Roman"/>
          <w:szCs w:val="24"/>
          <w:lang w:val="bs-Latn-BA"/>
        </w:rPr>
        <w:t xml:space="preserve">, </w:t>
      </w:r>
      <w:r>
        <w:rPr>
          <w:rFonts w:ascii="Times New Roman" w:hAnsi="Times New Roman"/>
          <w:szCs w:val="24"/>
          <w:lang w:val="bs-Latn-BA"/>
        </w:rPr>
        <w:t>али</w:t>
      </w:r>
      <w:r w:rsidR="00A708B8" w:rsidRPr="00295637">
        <w:rPr>
          <w:rFonts w:ascii="Times New Roman" w:hAnsi="Times New Roman"/>
          <w:szCs w:val="24"/>
          <w:lang w:val="bs-Latn-BA"/>
        </w:rPr>
        <w:t xml:space="preserve"> </w:t>
      </w:r>
      <w:r>
        <w:rPr>
          <w:rFonts w:ascii="Times New Roman" w:hAnsi="Times New Roman"/>
          <w:szCs w:val="24"/>
          <w:lang w:val="bs-Latn-BA"/>
        </w:rPr>
        <w:t>и</w:t>
      </w:r>
      <w:r w:rsidR="00A708B8" w:rsidRPr="00295637">
        <w:rPr>
          <w:rFonts w:ascii="Times New Roman" w:hAnsi="Times New Roman"/>
          <w:szCs w:val="24"/>
          <w:lang w:val="bs-Latn-BA"/>
        </w:rPr>
        <w:t xml:space="preserve"> </w:t>
      </w:r>
      <w:r>
        <w:rPr>
          <w:rFonts w:ascii="Times New Roman" w:hAnsi="Times New Roman"/>
          <w:szCs w:val="24"/>
          <w:lang w:val="bs-Latn-BA"/>
        </w:rPr>
        <w:t>кампање</w:t>
      </w:r>
      <w:r w:rsidR="00A708B8" w:rsidRPr="00295637">
        <w:rPr>
          <w:rFonts w:ascii="Times New Roman" w:hAnsi="Times New Roman"/>
          <w:szCs w:val="24"/>
          <w:lang w:val="bs-Latn-BA"/>
        </w:rPr>
        <w:t xml:space="preserve"> </w:t>
      </w:r>
      <w:r>
        <w:rPr>
          <w:rFonts w:ascii="Times New Roman" w:hAnsi="Times New Roman"/>
          <w:szCs w:val="24"/>
          <w:lang w:val="bs-Latn-BA"/>
        </w:rPr>
        <w:t>кантоналних</w:t>
      </w:r>
      <w:r w:rsidR="00A708B8" w:rsidRPr="00295637">
        <w:rPr>
          <w:rFonts w:ascii="Times New Roman" w:hAnsi="Times New Roman"/>
          <w:szCs w:val="24"/>
          <w:lang w:val="bs-Latn-BA"/>
        </w:rPr>
        <w:t xml:space="preserve"> </w:t>
      </w:r>
      <w:r>
        <w:rPr>
          <w:rFonts w:ascii="Times New Roman" w:hAnsi="Times New Roman"/>
          <w:szCs w:val="24"/>
          <w:lang w:val="bs-Latn-BA"/>
        </w:rPr>
        <w:t>координаци</w:t>
      </w:r>
      <w:r w:rsidR="006E324C">
        <w:rPr>
          <w:rFonts w:ascii="Times New Roman" w:hAnsi="Times New Roman"/>
          <w:szCs w:val="24"/>
          <w:lang w:val="sr-Cyrl-BA"/>
        </w:rPr>
        <w:t>оних</w:t>
      </w:r>
      <w:r w:rsidR="007537E4" w:rsidRPr="00295637">
        <w:rPr>
          <w:rFonts w:ascii="Times New Roman" w:hAnsi="Times New Roman"/>
          <w:szCs w:val="24"/>
          <w:lang w:val="bs-Latn-BA"/>
        </w:rPr>
        <w:t xml:space="preserve"> </w:t>
      </w:r>
      <w:r>
        <w:rPr>
          <w:rFonts w:ascii="Times New Roman" w:hAnsi="Times New Roman"/>
          <w:szCs w:val="24"/>
          <w:lang w:val="bs-Latn-BA"/>
        </w:rPr>
        <w:t>органа</w:t>
      </w:r>
      <w:r w:rsidR="007537E4" w:rsidRPr="00295637">
        <w:rPr>
          <w:rFonts w:ascii="Times New Roman" w:hAnsi="Times New Roman"/>
          <w:szCs w:val="24"/>
          <w:lang w:val="bs-Latn-BA"/>
        </w:rPr>
        <w:t xml:space="preserve"> </w:t>
      </w:r>
      <w:r>
        <w:rPr>
          <w:rFonts w:ascii="Times New Roman" w:hAnsi="Times New Roman"/>
          <w:szCs w:val="24"/>
          <w:lang w:val="bs-Latn-BA"/>
        </w:rPr>
        <w:t>у</w:t>
      </w:r>
      <w:r w:rsidR="007537E4" w:rsidRPr="00295637">
        <w:rPr>
          <w:rFonts w:ascii="Times New Roman" w:hAnsi="Times New Roman"/>
          <w:szCs w:val="24"/>
          <w:lang w:val="bs-Latn-BA"/>
        </w:rPr>
        <w:t xml:space="preserve"> </w:t>
      </w:r>
      <w:r>
        <w:rPr>
          <w:rFonts w:ascii="Times New Roman" w:hAnsi="Times New Roman"/>
          <w:szCs w:val="24"/>
          <w:lang w:val="bs-Latn-BA"/>
        </w:rPr>
        <w:t>оквиру</w:t>
      </w:r>
      <w:r w:rsidR="007537E4" w:rsidRPr="00295637">
        <w:rPr>
          <w:rFonts w:ascii="Times New Roman" w:hAnsi="Times New Roman"/>
          <w:szCs w:val="24"/>
          <w:lang w:val="bs-Latn-BA"/>
        </w:rPr>
        <w:t xml:space="preserve"> </w:t>
      </w:r>
      <w:r>
        <w:rPr>
          <w:rFonts w:ascii="Times New Roman" w:hAnsi="Times New Roman"/>
          <w:szCs w:val="24"/>
          <w:lang w:val="bs-Latn-BA"/>
        </w:rPr>
        <w:t>својих</w:t>
      </w:r>
      <w:r w:rsidR="007537E4" w:rsidRPr="00295637">
        <w:rPr>
          <w:rFonts w:ascii="Times New Roman" w:hAnsi="Times New Roman"/>
          <w:szCs w:val="24"/>
          <w:lang w:val="bs-Latn-BA"/>
        </w:rPr>
        <w:t xml:space="preserve"> </w:t>
      </w:r>
      <w:r>
        <w:rPr>
          <w:rFonts w:ascii="Times New Roman" w:hAnsi="Times New Roman"/>
          <w:szCs w:val="24"/>
          <w:lang w:val="bs-Latn-BA"/>
        </w:rPr>
        <w:t>кантоналних</w:t>
      </w:r>
      <w:r w:rsidR="007537E4" w:rsidRPr="00295637">
        <w:rPr>
          <w:rFonts w:ascii="Times New Roman" w:hAnsi="Times New Roman"/>
          <w:szCs w:val="24"/>
          <w:lang w:val="bs-Latn-BA"/>
        </w:rPr>
        <w:t xml:space="preserve"> </w:t>
      </w:r>
      <w:r>
        <w:rPr>
          <w:rFonts w:ascii="Times New Roman" w:hAnsi="Times New Roman"/>
          <w:szCs w:val="24"/>
          <w:lang w:val="bs-Latn-BA"/>
        </w:rPr>
        <w:t>програма</w:t>
      </w:r>
      <w:r w:rsidR="00A708B8" w:rsidRPr="00295637">
        <w:rPr>
          <w:rFonts w:ascii="Times New Roman" w:hAnsi="Times New Roman"/>
          <w:szCs w:val="24"/>
          <w:lang w:val="bs-Latn-BA"/>
        </w:rPr>
        <w:t xml:space="preserve"> </w:t>
      </w:r>
      <w:r>
        <w:rPr>
          <w:rFonts w:ascii="Times New Roman" w:hAnsi="Times New Roman"/>
          <w:szCs w:val="24"/>
          <w:lang w:val="bs-Latn-BA"/>
        </w:rPr>
        <w:t>мјера</w:t>
      </w:r>
      <w:r w:rsidR="00A708B8" w:rsidRPr="00295637">
        <w:rPr>
          <w:rFonts w:ascii="Times New Roman" w:hAnsi="Times New Roman"/>
          <w:szCs w:val="24"/>
          <w:lang w:val="bs-Latn-BA"/>
        </w:rPr>
        <w:t xml:space="preserve"> </w:t>
      </w:r>
      <w:r>
        <w:rPr>
          <w:rFonts w:ascii="Times New Roman" w:hAnsi="Times New Roman"/>
          <w:szCs w:val="24"/>
          <w:lang w:val="bs-Latn-BA"/>
        </w:rPr>
        <w:t>у</w:t>
      </w:r>
      <w:r w:rsidR="00A708B8" w:rsidRPr="00295637">
        <w:rPr>
          <w:rFonts w:ascii="Times New Roman" w:hAnsi="Times New Roman"/>
          <w:szCs w:val="24"/>
          <w:lang w:val="bs-Latn-BA"/>
        </w:rPr>
        <w:t xml:space="preserve"> </w:t>
      </w:r>
      <w:r>
        <w:rPr>
          <w:rFonts w:ascii="Times New Roman" w:hAnsi="Times New Roman"/>
          <w:szCs w:val="24"/>
          <w:lang w:val="bs-Latn-BA"/>
        </w:rPr>
        <w:t>којима</w:t>
      </w:r>
      <w:r w:rsidR="00A708B8" w:rsidRPr="00295637">
        <w:rPr>
          <w:rFonts w:ascii="Times New Roman" w:hAnsi="Times New Roman"/>
          <w:szCs w:val="24"/>
          <w:lang w:val="bs-Latn-BA"/>
        </w:rPr>
        <w:t xml:space="preserve"> </w:t>
      </w:r>
      <w:r>
        <w:rPr>
          <w:rFonts w:ascii="Times New Roman" w:hAnsi="Times New Roman"/>
          <w:szCs w:val="24"/>
          <w:lang w:val="bs-Latn-BA"/>
        </w:rPr>
        <w:t>су</w:t>
      </w:r>
      <w:r w:rsidR="00A708B8" w:rsidRPr="00295637">
        <w:rPr>
          <w:rFonts w:ascii="Times New Roman" w:hAnsi="Times New Roman"/>
          <w:szCs w:val="24"/>
          <w:lang w:val="bs-Latn-BA"/>
        </w:rPr>
        <w:t xml:space="preserve"> </w:t>
      </w:r>
      <w:r>
        <w:rPr>
          <w:rFonts w:ascii="Times New Roman" w:hAnsi="Times New Roman"/>
          <w:szCs w:val="24"/>
          <w:lang w:val="bs-Latn-BA"/>
        </w:rPr>
        <w:t>кроз</w:t>
      </w:r>
      <w:r w:rsidR="00A708B8" w:rsidRPr="00295637">
        <w:rPr>
          <w:rFonts w:ascii="Times New Roman" w:hAnsi="Times New Roman"/>
          <w:szCs w:val="24"/>
          <w:lang w:val="bs-Latn-BA"/>
        </w:rPr>
        <w:t xml:space="preserve"> </w:t>
      </w:r>
      <w:r>
        <w:rPr>
          <w:rFonts w:ascii="Times New Roman" w:hAnsi="Times New Roman"/>
          <w:szCs w:val="24"/>
          <w:lang w:val="bs-Latn-BA"/>
        </w:rPr>
        <w:t>сарадњу</w:t>
      </w:r>
      <w:r w:rsidR="00A708B8" w:rsidRPr="00295637">
        <w:rPr>
          <w:rFonts w:ascii="Times New Roman" w:hAnsi="Times New Roman"/>
          <w:szCs w:val="24"/>
          <w:lang w:val="bs-Latn-BA"/>
        </w:rPr>
        <w:t xml:space="preserve"> </w:t>
      </w:r>
      <w:r>
        <w:rPr>
          <w:rFonts w:ascii="Times New Roman" w:hAnsi="Times New Roman"/>
          <w:szCs w:val="24"/>
          <w:lang w:val="bs-Latn-BA"/>
        </w:rPr>
        <w:t>институција</w:t>
      </w:r>
      <w:r w:rsidR="00A708B8" w:rsidRPr="00295637">
        <w:rPr>
          <w:rFonts w:ascii="Times New Roman" w:hAnsi="Times New Roman"/>
          <w:szCs w:val="24"/>
          <w:lang w:val="bs-Latn-BA"/>
        </w:rPr>
        <w:t xml:space="preserve"> </w:t>
      </w:r>
      <w:r>
        <w:rPr>
          <w:rFonts w:ascii="Times New Roman" w:hAnsi="Times New Roman"/>
          <w:szCs w:val="24"/>
          <w:lang w:val="bs-Latn-BA"/>
        </w:rPr>
        <w:t>и</w:t>
      </w:r>
      <w:r w:rsidR="00A708B8" w:rsidRPr="00295637">
        <w:rPr>
          <w:rFonts w:ascii="Times New Roman" w:hAnsi="Times New Roman"/>
          <w:szCs w:val="24"/>
          <w:lang w:val="bs-Latn-BA"/>
        </w:rPr>
        <w:t xml:space="preserve"> </w:t>
      </w:r>
      <w:r>
        <w:rPr>
          <w:rFonts w:ascii="Times New Roman" w:hAnsi="Times New Roman"/>
          <w:szCs w:val="24"/>
          <w:lang w:val="bs-Latn-BA"/>
        </w:rPr>
        <w:t>невладиних</w:t>
      </w:r>
      <w:r w:rsidR="00A708B8" w:rsidRPr="00295637">
        <w:rPr>
          <w:rFonts w:ascii="Times New Roman" w:hAnsi="Times New Roman"/>
          <w:szCs w:val="24"/>
          <w:lang w:val="bs-Latn-BA"/>
        </w:rPr>
        <w:t xml:space="preserve"> </w:t>
      </w:r>
      <w:r>
        <w:rPr>
          <w:rFonts w:ascii="Times New Roman" w:hAnsi="Times New Roman"/>
          <w:szCs w:val="24"/>
          <w:lang w:val="bs-Latn-BA"/>
        </w:rPr>
        <w:t>организација</w:t>
      </w:r>
      <w:r w:rsidR="00A708B8" w:rsidRPr="00295637">
        <w:rPr>
          <w:rFonts w:ascii="Times New Roman" w:hAnsi="Times New Roman"/>
          <w:szCs w:val="24"/>
          <w:lang w:val="bs-Latn-BA"/>
        </w:rPr>
        <w:t xml:space="preserve"> </w:t>
      </w:r>
      <w:r>
        <w:rPr>
          <w:rFonts w:ascii="Times New Roman" w:hAnsi="Times New Roman"/>
          <w:szCs w:val="24"/>
          <w:lang w:val="bs-Latn-BA"/>
        </w:rPr>
        <w:t>реализ</w:t>
      </w:r>
      <w:r w:rsidR="006E324C">
        <w:rPr>
          <w:rFonts w:ascii="Times New Roman" w:hAnsi="Times New Roman"/>
          <w:szCs w:val="24"/>
          <w:lang w:val="sr-Cyrl-BA"/>
        </w:rPr>
        <w:t xml:space="preserve">оване </w:t>
      </w:r>
      <w:r>
        <w:rPr>
          <w:rFonts w:ascii="Times New Roman" w:hAnsi="Times New Roman"/>
          <w:szCs w:val="24"/>
          <w:lang w:val="bs-Latn-BA"/>
        </w:rPr>
        <w:t>бројне</w:t>
      </w:r>
      <w:r w:rsidR="007537E4" w:rsidRPr="00295637">
        <w:rPr>
          <w:rFonts w:ascii="Times New Roman" w:hAnsi="Times New Roman"/>
          <w:szCs w:val="24"/>
          <w:lang w:val="bs-Latn-BA"/>
        </w:rPr>
        <w:t xml:space="preserve"> </w:t>
      </w:r>
      <w:r>
        <w:rPr>
          <w:rFonts w:ascii="Times New Roman" w:hAnsi="Times New Roman"/>
          <w:szCs w:val="24"/>
          <w:lang w:val="bs-Latn-BA"/>
        </w:rPr>
        <w:t>промотивне</w:t>
      </w:r>
      <w:r w:rsidR="007537E4" w:rsidRPr="00295637">
        <w:rPr>
          <w:rFonts w:ascii="Times New Roman" w:hAnsi="Times New Roman"/>
          <w:szCs w:val="24"/>
          <w:lang w:val="bs-Latn-BA"/>
        </w:rPr>
        <w:t xml:space="preserve"> </w:t>
      </w:r>
      <w:r>
        <w:rPr>
          <w:rFonts w:ascii="Times New Roman" w:hAnsi="Times New Roman"/>
          <w:szCs w:val="24"/>
          <w:lang w:val="bs-Latn-BA"/>
        </w:rPr>
        <w:t>активности</w:t>
      </w:r>
      <w:r w:rsidR="00A708B8" w:rsidRPr="00295637">
        <w:rPr>
          <w:rFonts w:ascii="Times New Roman" w:hAnsi="Times New Roman"/>
          <w:szCs w:val="24"/>
          <w:lang w:val="bs-Latn-BA"/>
        </w:rPr>
        <w:t xml:space="preserve">. </w:t>
      </w:r>
    </w:p>
    <w:p w:rsidR="00A708B8" w:rsidRPr="00295637" w:rsidRDefault="00A708B8" w:rsidP="0086268D">
      <w:pPr>
        <w:tabs>
          <w:tab w:val="left" w:pos="1080"/>
        </w:tabs>
        <w:ind w:left="576"/>
        <w:jc w:val="both"/>
        <w:rPr>
          <w:rFonts w:ascii="Times New Roman" w:hAnsi="Times New Roman"/>
          <w:szCs w:val="24"/>
          <w:lang w:val="bs-Latn-BA"/>
        </w:rPr>
      </w:pPr>
    </w:p>
    <w:p w:rsidR="007537E4" w:rsidRPr="00295637" w:rsidRDefault="00C6214E" w:rsidP="0086268D">
      <w:pPr>
        <w:tabs>
          <w:tab w:val="left" w:pos="1080"/>
        </w:tabs>
        <w:jc w:val="both"/>
        <w:rPr>
          <w:rFonts w:ascii="Times New Roman" w:hAnsi="Times New Roman"/>
          <w:szCs w:val="24"/>
          <w:lang w:val="bs-Latn-BA"/>
        </w:rPr>
      </w:pPr>
      <w:r>
        <w:rPr>
          <w:rFonts w:ascii="Times New Roman" w:hAnsi="Times New Roman"/>
          <w:szCs w:val="24"/>
          <w:lang w:val="bs-Latn-BA"/>
        </w:rPr>
        <w:t>У</w:t>
      </w:r>
      <w:r w:rsidR="00A708B8" w:rsidRPr="00295637">
        <w:rPr>
          <w:rFonts w:ascii="Times New Roman" w:hAnsi="Times New Roman"/>
          <w:szCs w:val="24"/>
          <w:lang w:val="bs-Latn-BA"/>
        </w:rPr>
        <w:t xml:space="preserve"> </w:t>
      </w:r>
      <w:r>
        <w:rPr>
          <w:rFonts w:ascii="Times New Roman" w:hAnsi="Times New Roman"/>
          <w:szCs w:val="24"/>
          <w:lang w:val="bs-Latn-BA"/>
        </w:rPr>
        <w:t>организацији</w:t>
      </w:r>
      <w:r w:rsidR="00A708B8" w:rsidRPr="00295637">
        <w:rPr>
          <w:rFonts w:ascii="Times New Roman" w:hAnsi="Times New Roman"/>
          <w:szCs w:val="24"/>
          <w:lang w:val="bs-Latn-BA"/>
        </w:rPr>
        <w:t xml:space="preserve"> </w:t>
      </w:r>
      <w:r>
        <w:rPr>
          <w:rFonts w:ascii="Times New Roman" w:hAnsi="Times New Roman"/>
          <w:szCs w:val="24"/>
          <w:lang w:val="bs-Latn-BA"/>
        </w:rPr>
        <w:t>ГЦ</w:t>
      </w:r>
      <w:r w:rsidR="005155D7">
        <w:rPr>
          <w:rFonts w:ascii="Times New Roman" w:hAnsi="Times New Roman"/>
          <w:szCs w:val="24"/>
          <w:lang w:val="bs-Latn-BA"/>
        </w:rPr>
        <w:t xml:space="preserve"> </w:t>
      </w:r>
      <w:r>
        <w:rPr>
          <w:rFonts w:ascii="Times New Roman" w:hAnsi="Times New Roman"/>
          <w:szCs w:val="24"/>
          <w:lang w:val="bs-Latn-BA"/>
        </w:rPr>
        <w:t>ФБиХ</w:t>
      </w:r>
      <w:r w:rsidR="00A708B8" w:rsidRPr="00295637">
        <w:rPr>
          <w:rFonts w:ascii="Times New Roman" w:hAnsi="Times New Roman"/>
          <w:szCs w:val="24"/>
          <w:lang w:val="bs-Latn-BA"/>
        </w:rPr>
        <w:t xml:space="preserve"> </w:t>
      </w:r>
      <w:r>
        <w:rPr>
          <w:rFonts w:ascii="Times New Roman" w:hAnsi="Times New Roman"/>
          <w:szCs w:val="24"/>
          <w:lang w:val="bs-Latn-BA"/>
        </w:rPr>
        <w:t>у</w:t>
      </w:r>
      <w:r w:rsidR="00A708B8" w:rsidRPr="00295637">
        <w:rPr>
          <w:rFonts w:ascii="Times New Roman" w:hAnsi="Times New Roman"/>
          <w:szCs w:val="24"/>
          <w:lang w:val="bs-Latn-BA"/>
        </w:rPr>
        <w:t xml:space="preserve"> </w:t>
      </w:r>
      <w:r>
        <w:rPr>
          <w:rFonts w:ascii="Times New Roman" w:hAnsi="Times New Roman"/>
          <w:szCs w:val="24"/>
          <w:lang w:val="bs-Latn-BA"/>
        </w:rPr>
        <w:t>оквиру</w:t>
      </w:r>
      <w:r w:rsidR="00A708B8" w:rsidRPr="00295637">
        <w:rPr>
          <w:rFonts w:ascii="Times New Roman" w:hAnsi="Times New Roman"/>
          <w:szCs w:val="24"/>
          <w:lang w:val="bs-Latn-BA"/>
        </w:rPr>
        <w:t xml:space="preserve"> </w:t>
      </w:r>
      <w:r w:rsidR="005155D7">
        <w:rPr>
          <w:rFonts w:ascii="Times New Roman" w:hAnsi="Times New Roman"/>
          <w:szCs w:val="24"/>
          <w:lang w:val="bs-Latn-BA"/>
        </w:rPr>
        <w:t>„</w:t>
      </w:r>
      <w:r w:rsidR="00A708B8" w:rsidRPr="00295637">
        <w:rPr>
          <w:rFonts w:ascii="Times New Roman" w:hAnsi="Times New Roman"/>
          <w:szCs w:val="24"/>
          <w:lang w:val="bs-Latn-BA"/>
        </w:rPr>
        <w:t xml:space="preserve">16 </w:t>
      </w:r>
      <w:r>
        <w:rPr>
          <w:rFonts w:ascii="Times New Roman" w:hAnsi="Times New Roman"/>
          <w:szCs w:val="24"/>
          <w:lang w:val="bs-Latn-BA"/>
        </w:rPr>
        <w:t>дана</w:t>
      </w:r>
      <w:r w:rsidR="00A708B8" w:rsidRPr="00295637">
        <w:rPr>
          <w:rFonts w:ascii="Times New Roman" w:hAnsi="Times New Roman"/>
          <w:szCs w:val="24"/>
          <w:lang w:val="bs-Latn-BA"/>
        </w:rPr>
        <w:t xml:space="preserve"> </w:t>
      </w:r>
      <w:r>
        <w:rPr>
          <w:rFonts w:ascii="Times New Roman" w:hAnsi="Times New Roman"/>
          <w:szCs w:val="24"/>
          <w:lang w:val="bs-Latn-BA"/>
        </w:rPr>
        <w:t>активизма</w:t>
      </w:r>
      <w:r w:rsidR="005155D7">
        <w:rPr>
          <w:rFonts w:ascii="Times New Roman" w:hAnsi="Times New Roman"/>
          <w:szCs w:val="24"/>
          <w:lang w:val="bs-Latn-BA"/>
        </w:rPr>
        <w:t>“</w:t>
      </w:r>
      <w:r w:rsidR="00D03BC3">
        <w:rPr>
          <w:rFonts w:ascii="Times New Roman" w:hAnsi="Times New Roman"/>
          <w:szCs w:val="24"/>
          <w:lang w:val="bs-Latn-BA"/>
        </w:rPr>
        <w:t xml:space="preserve"> </w:t>
      </w:r>
      <w:r>
        <w:rPr>
          <w:rFonts w:ascii="Times New Roman" w:hAnsi="Times New Roman"/>
          <w:szCs w:val="24"/>
          <w:lang w:val="bs-Latn-BA"/>
        </w:rPr>
        <w:t>одржана</w:t>
      </w:r>
      <w:r w:rsidR="00A708B8" w:rsidRPr="00295637">
        <w:rPr>
          <w:rFonts w:ascii="Times New Roman" w:hAnsi="Times New Roman"/>
          <w:szCs w:val="24"/>
          <w:lang w:val="bs-Latn-BA"/>
        </w:rPr>
        <w:t xml:space="preserve"> </w:t>
      </w:r>
      <w:r>
        <w:rPr>
          <w:rFonts w:ascii="Times New Roman" w:hAnsi="Times New Roman"/>
          <w:szCs w:val="24"/>
          <w:lang w:val="bs-Latn-BA"/>
        </w:rPr>
        <w:t>је</w:t>
      </w:r>
      <w:r w:rsidR="00A708B8" w:rsidRPr="00295637">
        <w:rPr>
          <w:rFonts w:ascii="Times New Roman" w:hAnsi="Times New Roman"/>
          <w:szCs w:val="24"/>
          <w:lang w:val="bs-Latn-BA"/>
        </w:rPr>
        <w:t xml:space="preserve"> </w:t>
      </w:r>
      <w:r>
        <w:rPr>
          <w:rFonts w:ascii="Times New Roman" w:hAnsi="Times New Roman"/>
          <w:szCs w:val="24"/>
          <w:lang w:val="bs-Latn-BA"/>
        </w:rPr>
        <w:t>конференција</w:t>
      </w:r>
      <w:r w:rsidR="00A708B8" w:rsidRPr="00295637">
        <w:rPr>
          <w:rFonts w:ascii="Times New Roman" w:hAnsi="Times New Roman"/>
          <w:szCs w:val="24"/>
          <w:lang w:val="bs-Latn-BA"/>
        </w:rPr>
        <w:t xml:space="preserve"> „</w:t>
      </w:r>
      <w:r>
        <w:rPr>
          <w:rFonts w:ascii="Times New Roman" w:hAnsi="Times New Roman"/>
          <w:szCs w:val="24"/>
          <w:lang w:val="bs-Latn-BA"/>
        </w:rPr>
        <w:t>Мултидисциплинарни</w:t>
      </w:r>
      <w:r w:rsidR="00A708B8" w:rsidRPr="00295637">
        <w:rPr>
          <w:rFonts w:ascii="Times New Roman" w:hAnsi="Times New Roman"/>
          <w:szCs w:val="24"/>
          <w:lang w:val="bs-Latn-BA"/>
        </w:rPr>
        <w:t xml:space="preserve"> </w:t>
      </w:r>
      <w:r>
        <w:rPr>
          <w:rFonts w:ascii="Times New Roman" w:hAnsi="Times New Roman"/>
          <w:szCs w:val="24"/>
          <w:lang w:val="bs-Latn-BA"/>
        </w:rPr>
        <w:t>приступ</w:t>
      </w:r>
      <w:r w:rsidR="00A708B8" w:rsidRPr="00295637">
        <w:rPr>
          <w:rFonts w:ascii="Times New Roman" w:hAnsi="Times New Roman"/>
          <w:szCs w:val="24"/>
          <w:lang w:val="bs-Latn-BA"/>
        </w:rPr>
        <w:t xml:space="preserve"> </w:t>
      </w:r>
      <w:r>
        <w:rPr>
          <w:rFonts w:ascii="Times New Roman" w:hAnsi="Times New Roman"/>
          <w:szCs w:val="24"/>
          <w:lang w:val="bs-Latn-BA"/>
        </w:rPr>
        <w:t>превенцији</w:t>
      </w:r>
      <w:r w:rsidR="00A708B8" w:rsidRPr="00295637">
        <w:rPr>
          <w:rFonts w:ascii="Times New Roman" w:hAnsi="Times New Roman"/>
          <w:szCs w:val="24"/>
          <w:lang w:val="bs-Latn-BA"/>
        </w:rPr>
        <w:t xml:space="preserve"> </w:t>
      </w:r>
      <w:r>
        <w:rPr>
          <w:rFonts w:ascii="Times New Roman" w:hAnsi="Times New Roman"/>
          <w:szCs w:val="24"/>
          <w:lang w:val="bs-Latn-BA"/>
        </w:rPr>
        <w:t>и</w:t>
      </w:r>
      <w:r w:rsidR="00A708B8" w:rsidRPr="00295637">
        <w:rPr>
          <w:rFonts w:ascii="Times New Roman" w:hAnsi="Times New Roman"/>
          <w:szCs w:val="24"/>
          <w:lang w:val="bs-Latn-BA"/>
        </w:rPr>
        <w:t xml:space="preserve"> </w:t>
      </w:r>
      <w:r>
        <w:rPr>
          <w:rFonts w:ascii="Times New Roman" w:hAnsi="Times New Roman"/>
          <w:szCs w:val="24"/>
          <w:lang w:val="bs-Latn-BA"/>
        </w:rPr>
        <w:t>борби</w:t>
      </w:r>
      <w:r w:rsidR="00A708B8" w:rsidRPr="00295637">
        <w:rPr>
          <w:rFonts w:ascii="Times New Roman" w:hAnsi="Times New Roman"/>
          <w:szCs w:val="24"/>
          <w:lang w:val="bs-Latn-BA"/>
        </w:rPr>
        <w:t xml:space="preserve"> </w:t>
      </w:r>
      <w:r>
        <w:rPr>
          <w:rFonts w:ascii="Times New Roman" w:hAnsi="Times New Roman"/>
          <w:szCs w:val="24"/>
          <w:lang w:val="bs-Latn-BA"/>
        </w:rPr>
        <w:t>против</w:t>
      </w:r>
      <w:r w:rsidR="00A708B8" w:rsidRPr="00295637">
        <w:rPr>
          <w:rFonts w:ascii="Times New Roman" w:hAnsi="Times New Roman"/>
          <w:szCs w:val="24"/>
          <w:lang w:val="bs-Latn-BA"/>
        </w:rPr>
        <w:t xml:space="preserve"> </w:t>
      </w:r>
      <w:r>
        <w:rPr>
          <w:rFonts w:ascii="Times New Roman" w:hAnsi="Times New Roman"/>
          <w:szCs w:val="24"/>
          <w:lang w:val="bs-Latn-BA"/>
        </w:rPr>
        <w:t>насиља</w:t>
      </w:r>
      <w:r w:rsidR="00A708B8" w:rsidRPr="00295637">
        <w:rPr>
          <w:rFonts w:ascii="Times New Roman" w:hAnsi="Times New Roman"/>
          <w:szCs w:val="24"/>
          <w:lang w:val="bs-Latn-BA"/>
        </w:rPr>
        <w:t xml:space="preserve"> </w:t>
      </w:r>
      <w:r>
        <w:rPr>
          <w:rFonts w:ascii="Times New Roman" w:hAnsi="Times New Roman"/>
          <w:szCs w:val="24"/>
          <w:lang w:val="bs-Latn-BA"/>
        </w:rPr>
        <w:t>у</w:t>
      </w:r>
      <w:r w:rsidR="00A708B8" w:rsidRPr="00295637">
        <w:rPr>
          <w:rFonts w:ascii="Times New Roman" w:hAnsi="Times New Roman"/>
          <w:szCs w:val="24"/>
          <w:lang w:val="bs-Latn-BA"/>
        </w:rPr>
        <w:t xml:space="preserve"> </w:t>
      </w:r>
      <w:r>
        <w:rPr>
          <w:rFonts w:ascii="Times New Roman" w:hAnsi="Times New Roman"/>
          <w:szCs w:val="24"/>
          <w:lang w:val="bs-Latn-BA"/>
        </w:rPr>
        <w:t>породици</w:t>
      </w:r>
      <w:r w:rsidR="00A708B8" w:rsidRPr="00295637">
        <w:rPr>
          <w:rFonts w:ascii="Times New Roman" w:hAnsi="Times New Roman"/>
          <w:szCs w:val="24"/>
          <w:lang w:val="bs-Latn-BA"/>
        </w:rPr>
        <w:t xml:space="preserve">“ </w:t>
      </w:r>
      <w:r>
        <w:rPr>
          <w:rFonts w:ascii="Times New Roman" w:hAnsi="Times New Roman"/>
          <w:szCs w:val="24"/>
          <w:lang w:val="bs-Latn-BA"/>
        </w:rPr>
        <w:t>на</w:t>
      </w:r>
      <w:r w:rsidR="00A708B8" w:rsidRPr="00295637">
        <w:rPr>
          <w:rFonts w:ascii="Times New Roman" w:hAnsi="Times New Roman"/>
          <w:szCs w:val="24"/>
          <w:lang w:val="bs-Latn-BA"/>
        </w:rPr>
        <w:t xml:space="preserve"> </w:t>
      </w:r>
      <w:r>
        <w:rPr>
          <w:rFonts w:ascii="Times New Roman" w:hAnsi="Times New Roman"/>
          <w:szCs w:val="24"/>
          <w:lang w:val="bs-Latn-BA"/>
        </w:rPr>
        <w:t>којој</w:t>
      </w:r>
      <w:r w:rsidR="00A708B8" w:rsidRPr="00295637">
        <w:rPr>
          <w:rFonts w:ascii="Times New Roman" w:hAnsi="Times New Roman"/>
          <w:szCs w:val="24"/>
          <w:lang w:val="bs-Latn-BA"/>
        </w:rPr>
        <w:t xml:space="preserve"> </w:t>
      </w:r>
      <w:r>
        <w:rPr>
          <w:rFonts w:ascii="Times New Roman" w:hAnsi="Times New Roman"/>
          <w:szCs w:val="24"/>
          <w:lang w:val="bs-Latn-BA"/>
        </w:rPr>
        <w:t>су</w:t>
      </w:r>
      <w:r w:rsidR="00A708B8" w:rsidRPr="00295637">
        <w:rPr>
          <w:rFonts w:ascii="Times New Roman" w:hAnsi="Times New Roman"/>
          <w:szCs w:val="24"/>
          <w:lang w:val="bs-Latn-BA"/>
        </w:rPr>
        <w:t xml:space="preserve"> </w:t>
      </w:r>
      <w:r>
        <w:rPr>
          <w:rFonts w:ascii="Times New Roman" w:hAnsi="Times New Roman"/>
          <w:szCs w:val="24"/>
          <w:lang w:val="bs-Latn-BA"/>
        </w:rPr>
        <w:t>презент</w:t>
      </w:r>
      <w:r w:rsidR="006E324C">
        <w:rPr>
          <w:rFonts w:ascii="Times New Roman" w:hAnsi="Times New Roman"/>
          <w:szCs w:val="24"/>
          <w:lang w:val="sr-Cyrl-BA"/>
        </w:rPr>
        <w:t>оване</w:t>
      </w:r>
      <w:r w:rsidR="00A708B8" w:rsidRPr="00295637">
        <w:rPr>
          <w:rFonts w:ascii="Times New Roman" w:hAnsi="Times New Roman"/>
          <w:szCs w:val="24"/>
          <w:lang w:val="bs-Latn-BA"/>
        </w:rPr>
        <w:t xml:space="preserve"> </w:t>
      </w:r>
      <w:r>
        <w:rPr>
          <w:rFonts w:ascii="Times New Roman" w:hAnsi="Times New Roman"/>
          <w:szCs w:val="24"/>
          <w:lang w:val="bs-Latn-BA"/>
        </w:rPr>
        <w:t>Препоруке</w:t>
      </w:r>
      <w:r w:rsidR="00A708B8" w:rsidRPr="00295637">
        <w:rPr>
          <w:rFonts w:ascii="Times New Roman" w:hAnsi="Times New Roman"/>
          <w:szCs w:val="24"/>
          <w:lang w:val="bs-Latn-BA"/>
        </w:rPr>
        <w:t xml:space="preserve"> </w:t>
      </w:r>
      <w:r>
        <w:rPr>
          <w:rFonts w:ascii="Times New Roman" w:hAnsi="Times New Roman"/>
          <w:szCs w:val="24"/>
          <w:lang w:val="bs-Latn-BA"/>
        </w:rPr>
        <w:t>Комитета</w:t>
      </w:r>
      <w:r w:rsidR="00A708B8" w:rsidRPr="00295637">
        <w:rPr>
          <w:rFonts w:ascii="Times New Roman" w:hAnsi="Times New Roman"/>
          <w:szCs w:val="24"/>
          <w:lang w:val="bs-Latn-BA"/>
        </w:rPr>
        <w:t xml:space="preserve"> </w:t>
      </w:r>
      <w:r>
        <w:rPr>
          <w:rFonts w:ascii="Times New Roman" w:hAnsi="Times New Roman"/>
          <w:szCs w:val="24"/>
          <w:lang w:val="bs-Latn-BA"/>
        </w:rPr>
        <w:t>потписница</w:t>
      </w:r>
      <w:r w:rsidR="00A708B8" w:rsidRPr="00295637">
        <w:rPr>
          <w:rFonts w:ascii="Times New Roman" w:hAnsi="Times New Roman"/>
          <w:szCs w:val="24"/>
          <w:lang w:val="bs-Latn-BA"/>
        </w:rPr>
        <w:t xml:space="preserve"> </w:t>
      </w:r>
      <w:r>
        <w:rPr>
          <w:rFonts w:ascii="Times New Roman" w:hAnsi="Times New Roman"/>
          <w:szCs w:val="24"/>
          <w:lang w:val="bs-Latn-BA"/>
        </w:rPr>
        <w:t>Конвенције</w:t>
      </w:r>
      <w:r w:rsidR="00A708B8" w:rsidRPr="00295637">
        <w:rPr>
          <w:rFonts w:ascii="Times New Roman" w:hAnsi="Times New Roman"/>
          <w:szCs w:val="24"/>
          <w:lang w:val="bs-Latn-BA"/>
        </w:rPr>
        <w:t xml:space="preserve"> </w:t>
      </w:r>
      <w:r w:rsidR="006E324C">
        <w:rPr>
          <w:rFonts w:ascii="Times New Roman" w:hAnsi="Times New Roman"/>
          <w:szCs w:val="24"/>
          <w:lang w:val="sr-Cyrl-BA"/>
        </w:rPr>
        <w:t>С</w:t>
      </w:r>
      <w:r>
        <w:rPr>
          <w:rFonts w:ascii="Times New Roman" w:hAnsi="Times New Roman"/>
          <w:szCs w:val="24"/>
          <w:lang w:val="bs-Latn-BA"/>
        </w:rPr>
        <w:t>Е</w:t>
      </w:r>
      <w:r w:rsidR="00A708B8" w:rsidRPr="00295637">
        <w:rPr>
          <w:rFonts w:ascii="Times New Roman" w:hAnsi="Times New Roman"/>
          <w:szCs w:val="24"/>
          <w:lang w:val="bs-Latn-BA"/>
        </w:rPr>
        <w:t xml:space="preserve"> </w:t>
      </w:r>
      <w:r>
        <w:rPr>
          <w:rFonts w:ascii="Times New Roman" w:hAnsi="Times New Roman"/>
          <w:szCs w:val="24"/>
          <w:lang w:val="bs-Latn-BA"/>
        </w:rPr>
        <w:t>о</w:t>
      </w:r>
      <w:r w:rsidR="00A708B8" w:rsidRPr="00295637">
        <w:rPr>
          <w:rFonts w:ascii="Times New Roman" w:hAnsi="Times New Roman"/>
          <w:szCs w:val="24"/>
          <w:lang w:val="bs-Latn-BA"/>
        </w:rPr>
        <w:t xml:space="preserve"> </w:t>
      </w:r>
      <w:r>
        <w:rPr>
          <w:rFonts w:ascii="Times New Roman" w:hAnsi="Times New Roman"/>
          <w:szCs w:val="24"/>
          <w:lang w:val="bs-Latn-BA"/>
        </w:rPr>
        <w:t>спречавању</w:t>
      </w:r>
      <w:r w:rsidR="00A708B8" w:rsidRPr="00295637">
        <w:rPr>
          <w:rFonts w:ascii="Times New Roman" w:hAnsi="Times New Roman"/>
          <w:szCs w:val="24"/>
          <w:lang w:val="bs-Latn-BA"/>
        </w:rPr>
        <w:t xml:space="preserve"> </w:t>
      </w:r>
      <w:r>
        <w:rPr>
          <w:rFonts w:ascii="Times New Roman" w:hAnsi="Times New Roman"/>
          <w:szCs w:val="24"/>
          <w:lang w:val="bs-Latn-BA"/>
        </w:rPr>
        <w:t>и</w:t>
      </w:r>
      <w:r w:rsidR="00A708B8" w:rsidRPr="00295637">
        <w:rPr>
          <w:rFonts w:ascii="Times New Roman" w:hAnsi="Times New Roman"/>
          <w:szCs w:val="24"/>
          <w:lang w:val="bs-Latn-BA"/>
        </w:rPr>
        <w:t xml:space="preserve"> </w:t>
      </w:r>
      <w:r>
        <w:rPr>
          <w:rFonts w:ascii="Times New Roman" w:hAnsi="Times New Roman"/>
          <w:szCs w:val="24"/>
          <w:lang w:val="bs-Latn-BA"/>
        </w:rPr>
        <w:t>борби</w:t>
      </w:r>
      <w:r w:rsidR="00A708B8" w:rsidRPr="00295637">
        <w:rPr>
          <w:rFonts w:ascii="Times New Roman" w:hAnsi="Times New Roman"/>
          <w:szCs w:val="24"/>
          <w:lang w:val="bs-Latn-BA"/>
        </w:rPr>
        <w:t xml:space="preserve"> </w:t>
      </w:r>
      <w:r>
        <w:rPr>
          <w:rFonts w:ascii="Times New Roman" w:hAnsi="Times New Roman"/>
          <w:szCs w:val="24"/>
          <w:lang w:val="bs-Latn-BA"/>
        </w:rPr>
        <w:t>против</w:t>
      </w:r>
      <w:r w:rsidR="00A708B8" w:rsidRPr="00295637">
        <w:rPr>
          <w:rFonts w:ascii="Times New Roman" w:hAnsi="Times New Roman"/>
          <w:szCs w:val="24"/>
          <w:lang w:val="bs-Latn-BA"/>
        </w:rPr>
        <w:t xml:space="preserve"> </w:t>
      </w:r>
      <w:r>
        <w:rPr>
          <w:rFonts w:ascii="Times New Roman" w:hAnsi="Times New Roman"/>
          <w:szCs w:val="24"/>
          <w:lang w:val="bs-Latn-BA"/>
        </w:rPr>
        <w:t>насља</w:t>
      </w:r>
      <w:r w:rsidR="00A708B8" w:rsidRPr="00295637">
        <w:rPr>
          <w:rFonts w:ascii="Times New Roman" w:hAnsi="Times New Roman"/>
          <w:szCs w:val="24"/>
          <w:lang w:val="bs-Latn-BA"/>
        </w:rPr>
        <w:t xml:space="preserve"> </w:t>
      </w:r>
      <w:r>
        <w:rPr>
          <w:rFonts w:ascii="Times New Roman" w:hAnsi="Times New Roman"/>
          <w:szCs w:val="24"/>
          <w:lang w:val="bs-Latn-BA"/>
        </w:rPr>
        <w:t>над</w:t>
      </w:r>
      <w:r w:rsidR="00A708B8" w:rsidRPr="00295637">
        <w:rPr>
          <w:rFonts w:ascii="Times New Roman" w:hAnsi="Times New Roman"/>
          <w:szCs w:val="24"/>
          <w:lang w:val="bs-Latn-BA"/>
        </w:rPr>
        <w:t xml:space="preserve"> </w:t>
      </w:r>
      <w:r>
        <w:rPr>
          <w:rFonts w:ascii="Times New Roman" w:hAnsi="Times New Roman"/>
          <w:szCs w:val="24"/>
          <w:lang w:val="bs-Latn-BA"/>
        </w:rPr>
        <w:t>женама</w:t>
      </w:r>
      <w:r w:rsidR="00A708B8" w:rsidRPr="00295637">
        <w:rPr>
          <w:rFonts w:ascii="Times New Roman" w:hAnsi="Times New Roman"/>
          <w:szCs w:val="24"/>
          <w:lang w:val="bs-Latn-BA"/>
        </w:rPr>
        <w:t xml:space="preserve"> </w:t>
      </w:r>
      <w:r>
        <w:rPr>
          <w:rFonts w:ascii="Times New Roman" w:hAnsi="Times New Roman"/>
          <w:szCs w:val="24"/>
          <w:lang w:val="bs-Latn-BA"/>
        </w:rPr>
        <w:t>и</w:t>
      </w:r>
      <w:r w:rsidR="00A708B8" w:rsidRPr="00295637">
        <w:rPr>
          <w:rFonts w:ascii="Times New Roman" w:hAnsi="Times New Roman"/>
          <w:szCs w:val="24"/>
          <w:lang w:val="bs-Latn-BA"/>
        </w:rPr>
        <w:t xml:space="preserve"> </w:t>
      </w:r>
      <w:r>
        <w:rPr>
          <w:rFonts w:ascii="Times New Roman" w:hAnsi="Times New Roman"/>
          <w:szCs w:val="24"/>
          <w:lang w:val="bs-Latn-BA"/>
        </w:rPr>
        <w:t>насиља</w:t>
      </w:r>
      <w:r w:rsidR="00A708B8" w:rsidRPr="00295637">
        <w:rPr>
          <w:rFonts w:ascii="Times New Roman" w:hAnsi="Times New Roman"/>
          <w:szCs w:val="24"/>
          <w:lang w:val="bs-Latn-BA"/>
        </w:rPr>
        <w:t xml:space="preserve"> </w:t>
      </w:r>
      <w:r>
        <w:rPr>
          <w:rFonts w:ascii="Times New Roman" w:hAnsi="Times New Roman"/>
          <w:szCs w:val="24"/>
          <w:lang w:val="bs-Latn-BA"/>
        </w:rPr>
        <w:t>у</w:t>
      </w:r>
      <w:r w:rsidR="00A708B8" w:rsidRPr="00295637">
        <w:rPr>
          <w:rFonts w:ascii="Times New Roman" w:hAnsi="Times New Roman"/>
          <w:szCs w:val="24"/>
          <w:lang w:val="bs-Latn-BA"/>
        </w:rPr>
        <w:t xml:space="preserve"> </w:t>
      </w:r>
      <w:r>
        <w:rPr>
          <w:rFonts w:ascii="Times New Roman" w:hAnsi="Times New Roman"/>
          <w:szCs w:val="24"/>
          <w:lang w:val="bs-Latn-BA"/>
        </w:rPr>
        <w:t>породици</w:t>
      </w:r>
      <w:r w:rsidR="00196084">
        <w:rPr>
          <w:rFonts w:ascii="Times New Roman" w:hAnsi="Times New Roman"/>
          <w:szCs w:val="24"/>
          <w:lang w:val="bs-Latn-BA"/>
        </w:rPr>
        <w:t xml:space="preserve">, </w:t>
      </w:r>
      <w:r>
        <w:rPr>
          <w:rFonts w:ascii="Times New Roman" w:hAnsi="Times New Roman"/>
          <w:szCs w:val="24"/>
          <w:lang w:val="bs-Latn-BA"/>
        </w:rPr>
        <w:t>те</w:t>
      </w:r>
      <w:r w:rsidR="00196084">
        <w:rPr>
          <w:rFonts w:ascii="Times New Roman" w:hAnsi="Times New Roman"/>
          <w:szCs w:val="24"/>
          <w:lang w:val="bs-Latn-BA"/>
        </w:rPr>
        <w:t xml:space="preserve"> </w:t>
      </w:r>
      <w:r>
        <w:rPr>
          <w:rFonts w:ascii="Times New Roman" w:hAnsi="Times New Roman"/>
          <w:szCs w:val="24"/>
          <w:lang w:val="bs-Latn-BA"/>
        </w:rPr>
        <w:t>округли</w:t>
      </w:r>
      <w:r w:rsidR="00196084">
        <w:rPr>
          <w:rFonts w:ascii="Times New Roman" w:hAnsi="Times New Roman"/>
          <w:szCs w:val="24"/>
          <w:lang w:val="bs-Latn-BA"/>
        </w:rPr>
        <w:t xml:space="preserve"> </w:t>
      </w:r>
      <w:r>
        <w:rPr>
          <w:rFonts w:ascii="Times New Roman" w:hAnsi="Times New Roman"/>
          <w:szCs w:val="24"/>
          <w:lang w:val="bs-Latn-BA"/>
        </w:rPr>
        <w:t>сто</w:t>
      </w:r>
      <w:r w:rsidR="00A708B8" w:rsidRPr="00295637">
        <w:rPr>
          <w:rFonts w:ascii="Times New Roman" w:hAnsi="Times New Roman"/>
          <w:szCs w:val="24"/>
          <w:lang w:val="bs-Latn-BA"/>
        </w:rPr>
        <w:t xml:space="preserve"> </w:t>
      </w:r>
      <w:r>
        <w:rPr>
          <w:rFonts w:ascii="Times New Roman" w:hAnsi="Times New Roman"/>
          <w:szCs w:val="24"/>
          <w:lang w:val="bs-Latn-BA"/>
        </w:rPr>
        <w:t>на</w:t>
      </w:r>
      <w:r w:rsidR="00A708B8" w:rsidRPr="00295637">
        <w:rPr>
          <w:rFonts w:ascii="Times New Roman" w:hAnsi="Times New Roman"/>
          <w:szCs w:val="24"/>
          <w:lang w:val="bs-Latn-BA"/>
        </w:rPr>
        <w:t xml:space="preserve"> </w:t>
      </w:r>
      <w:r>
        <w:rPr>
          <w:rFonts w:ascii="Times New Roman" w:hAnsi="Times New Roman"/>
          <w:szCs w:val="24"/>
          <w:lang w:val="bs-Latn-BA"/>
        </w:rPr>
        <w:t>тему</w:t>
      </w:r>
      <w:r w:rsidR="00A708B8" w:rsidRPr="00295637">
        <w:rPr>
          <w:rFonts w:ascii="Times New Roman" w:hAnsi="Times New Roman"/>
          <w:szCs w:val="24"/>
          <w:lang w:val="bs-Latn-BA"/>
        </w:rPr>
        <w:t xml:space="preserve"> „</w:t>
      </w:r>
      <w:r>
        <w:rPr>
          <w:rFonts w:ascii="Times New Roman" w:hAnsi="Times New Roman"/>
          <w:szCs w:val="24"/>
          <w:lang w:val="bs-Latn-BA"/>
        </w:rPr>
        <w:t>Посвећеност</w:t>
      </w:r>
      <w:r w:rsidR="00A708B8" w:rsidRPr="00295637">
        <w:rPr>
          <w:rFonts w:ascii="Times New Roman" w:hAnsi="Times New Roman"/>
          <w:szCs w:val="24"/>
          <w:lang w:val="bs-Latn-BA"/>
        </w:rPr>
        <w:t xml:space="preserve"> </w:t>
      </w:r>
      <w:r w:rsidR="006E324C">
        <w:rPr>
          <w:rFonts w:ascii="Times New Roman" w:hAnsi="Times New Roman"/>
          <w:szCs w:val="24"/>
          <w:lang w:val="sr-Cyrl-BA"/>
        </w:rPr>
        <w:t>спровођењу</w:t>
      </w:r>
      <w:r w:rsidR="00A708B8" w:rsidRPr="00295637">
        <w:rPr>
          <w:rFonts w:ascii="Times New Roman" w:hAnsi="Times New Roman"/>
          <w:szCs w:val="24"/>
          <w:lang w:val="bs-Latn-BA"/>
        </w:rPr>
        <w:t xml:space="preserve"> </w:t>
      </w:r>
      <w:r>
        <w:rPr>
          <w:rFonts w:ascii="Times New Roman" w:hAnsi="Times New Roman"/>
          <w:szCs w:val="24"/>
          <w:lang w:val="bs-Latn-BA"/>
        </w:rPr>
        <w:t>Стратегије</w:t>
      </w:r>
      <w:r w:rsidR="00A708B8" w:rsidRPr="00295637">
        <w:rPr>
          <w:rFonts w:ascii="Times New Roman" w:hAnsi="Times New Roman"/>
          <w:szCs w:val="24"/>
          <w:lang w:val="bs-Latn-BA"/>
        </w:rPr>
        <w:t xml:space="preserve"> </w:t>
      </w:r>
      <w:r>
        <w:rPr>
          <w:rFonts w:ascii="Times New Roman" w:hAnsi="Times New Roman"/>
          <w:szCs w:val="24"/>
          <w:lang w:val="bs-Latn-BA"/>
        </w:rPr>
        <w:t>за</w:t>
      </w:r>
      <w:r w:rsidR="00A708B8" w:rsidRPr="00295637">
        <w:rPr>
          <w:rFonts w:ascii="Times New Roman" w:hAnsi="Times New Roman"/>
          <w:szCs w:val="24"/>
          <w:lang w:val="bs-Latn-BA"/>
        </w:rPr>
        <w:t xml:space="preserve"> </w:t>
      </w:r>
      <w:r>
        <w:rPr>
          <w:rFonts w:ascii="Times New Roman" w:hAnsi="Times New Roman"/>
          <w:szCs w:val="24"/>
          <w:lang w:val="bs-Latn-BA"/>
        </w:rPr>
        <w:t>превенцију</w:t>
      </w:r>
      <w:r w:rsidR="00A708B8" w:rsidRPr="00295637">
        <w:rPr>
          <w:rFonts w:ascii="Times New Roman" w:hAnsi="Times New Roman"/>
          <w:szCs w:val="24"/>
          <w:lang w:val="bs-Latn-BA"/>
        </w:rPr>
        <w:t xml:space="preserve"> </w:t>
      </w:r>
      <w:r>
        <w:rPr>
          <w:rFonts w:ascii="Times New Roman" w:hAnsi="Times New Roman"/>
          <w:szCs w:val="24"/>
          <w:lang w:val="bs-Latn-BA"/>
        </w:rPr>
        <w:t>и</w:t>
      </w:r>
      <w:r w:rsidR="00A708B8" w:rsidRPr="00295637">
        <w:rPr>
          <w:rFonts w:ascii="Times New Roman" w:hAnsi="Times New Roman"/>
          <w:szCs w:val="24"/>
          <w:lang w:val="bs-Latn-BA"/>
        </w:rPr>
        <w:t xml:space="preserve"> </w:t>
      </w:r>
      <w:r>
        <w:rPr>
          <w:rFonts w:ascii="Times New Roman" w:hAnsi="Times New Roman"/>
          <w:szCs w:val="24"/>
          <w:lang w:val="bs-Latn-BA"/>
        </w:rPr>
        <w:t>борбу</w:t>
      </w:r>
      <w:r w:rsidR="00A708B8" w:rsidRPr="00295637">
        <w:rPr>
          <w:rFonts w:ascii="Times New Roman" w:hAnsi="Times New Roman"/>
          <w:szCs w:val="24"/>
          <w:lang w:val="bs-Latn-BA"/>
        </w:rPr>
        <w:t xml:space="preserve"> </w:t>
      </w:r>
      <w:r>
        <w:rPr>
          <w:rFonts w:ascii="Times New Roman" w:hAnsi="Times New Roman"/>
          <w:szCs w:val="24"/>
          <w:lang w:val="bs-Latn-BA"/>
        </w:rPr>
        <w:t>против</w:t>
      </w:r>
      <w:r w:rsidR="00A708B8" w:rsidRPr="00295637">
        <w:rPr>
          <w:rFonts w:ascii="Times New Roman" w:hAnsi="Times New Roman"/>
          <w:szCs w:val="24"/>
          <w:lang w:val="bs-Latn-BA"/>
        </w:rPr>
        <w:t xml:space="preserve"> </w:t>
      </w:r>
      <w:r>
        <w:rPr>
          <w:rFonts w:ascii="Times New Roman" w:hAnsi="Times New Roman"/>
          <w:szCs w:val="24"/>
          <w:lang w:val="bs-Latn-BA"/>
        </w:rPr>
        <w:t>насиља</w:t>
      </w:r>
      <w:r w:rsidR="00A708B8" w:rsidRPr="00295637">
        <w:rPr>
          <w:rFonts w:ascii="Times New Roman" w:hAnsi="Times New Roman"/>
          <w:szCs w:val="24"/>
          <w:lang w:val="bs-Latn-BA"/>
        </w:rPr>
        <w:t xml:space="preserve"> </w:t>
      </w:r>
      <w:r>
        <w:rPr>
          <w:rFonts w:ascii="Times New Roman" w:hAnsi="Times New Roman"/>
          <w:szCs w:val="24"/>
          <w:lang w:val="bs-Latn-BA"/>
        </w:rPr>
        <w:t>у</w:t>
      </w:r>
      <w:r w:rsidR="00A708B8" w:rsidRPr="00295637">
        <w:rPr>
          <w:rFonts w:ascii="Times New Roman" w:hAnsi="Times New Roman"/>
          <w:szCs w:val="24"/>
          <w:lang w:val="bs-Latn-BA"/>
        </w:rPr>
        <w:t xml:space="preserve"> </w:t>
      </w:r>
      <w:r>
        <w:rPr>
          <w:rFonts w:ascii="Times New Roman" w:hAnsi="Times New Roman"/>
          <w:szCs w:val="24"/>
          <w:lang w:val="bs-Latn-BA"/>
        </w:rPr>
        <w:t>породици</w:t>
      </w:r>
      <w:r w:rsidR="007537E4" w:rsidRPr="00295637">
        <w:rPr>
          <w:rFonts w:ascii="Times New Roman" w:hAnsi="Times New Roman"/>
          <w:szCs w:val="24"/>
          <w:lang w:val="bs-Latn-BA"/>
        </w:rPr>
        <w:t>“</w:t>
      </w:r>
      <w:r w:rsidR="00A708B8" w:rsidRPr="00295637">
        <w:rPr>
          <w:rFonts w:ascii="Times New Roman" w:hAnsi="Times New Roman"/>
          <w:szCs w:val="24"/>
          <w:lang w:val="bs-Latn-BA"/>
        </w:rPr>
        <w:t>.</w:t>
      </w:r>
      <w:r w:rsidR="0084585A" w:rsidRPr="00295637">
        <w:rPr>
          <w:rFonts w:ascii="Times New Roman" w:hAnsi="Times New Roman"/>
          <w:szCs w:val="24"/>
          <w:lang w:val="bs-Latn-BA"/>
        </w:rPr>
        <w:t xml:space="preserve"> </w:t>
      </w:r>
    </w:p>
    <w:p w:rsidR="007537E4" w:rsidRPr="00295637" w:rsidRDefault="007537E4" w:rsidP="0086268D">
      <w:pPr>
        <w:tabs>
          <w:tab w:val="left" w:pos="1080"/>
        </w:tabs>
        <w:jc w:val="both"/>
        <w:rPr>
          <w:rFonts w:ascii="Times New Roman" w:hAnsi="Times New Roman"/>
          <w:szCs w:val="24"/>
          <w:lang w:val="bs-Latn-BA"/>
        </w:rPr>
      </w:pPr>
    </w:p>
    <w:p w:rsidR="00E42DBA" w:rsidRPr="006C1EAB" w:rsidRDefault="006E324C" w:rsidP="006C1EAB">
      <w:pPr>
        <w:pStyle w:val="NormalWeb"/>
        <w:spacing w:before="0" w:beforeAutospacing="0" w:after="0" w:afterAutospacing="0"/>
        <w:jc w:val="both"/>
        <w:rPr>
          <w:strike/>
          <w:lang w:val="bs-Latn-BA"/>
        </w:rPr>
      </w:pPr>
      <w:r>
        <w:rPr>
          <w:lang w:val="bs-Latn-BA"/>
        </w:rPr>
        <w:t>Такође</w:t>
      </w:r>
      <w:r w:rsidR="00E42DBA" w:rsidRPr="00295637">
        <w:rPr>
          <w:lang w:val="bs-Latn-BA"/>
        </w:rPr>
        <w:t xml:space="preserve">, </w:t>
      </w:r>
      <w:r w:rsidR="00C6214E">
        <w:rPr>
          <w:lang w:val="bs-Latn-BA"/>
        </w:rPr>
        <w:t>у</w:t>
      </w:r>
      <w:r w:rsidR="00E42DBA" w:rsidRPr="00295637">
        <w:rPr>
          <w:lang w:val="bs-Latn-BA"/>
        </w:rPr>
        <w:t xml:space="preserve"> </w:t>
      </w:r>
      <w:r w:rsidR="00C6214E">
        <w:rPr>
          <w:lang w:val="bs-Latn-BA"/>
        </w:rPr>
        <w:t>оквиру</w:t>
      </w:r>
      <w:r w:rsidR="00E42DBA" w:rsidRPr="00295637">
        <w:rPr>
          <w:lang w:val="bs-Latn-BA"/>
        </w:rPr>
        <w:t xml:space="preserve"> </w:t>
      </w:r>
      <w:r w:rsidR="00C6214E">
        <w:rPr>
          <w:lang w:val="bs-Latn-BA"/>
        </w:rPr>
        <w:t>кампање</w:t>
      </w:r>
      <w:r w:rsidR="00E42DBA" w:rsidRPr="00295637">
        <w:rPr>
          <w:lang w:val="bs-Latn-BA"/>
        </w:rPr>
        <w:t xml:space="preserve"> </w:t>
      </w:r>
      <w:r w:rsidR="00E42DBA" w:rsidRPr="00295637">
        <w:rPr>
          <w:rStyle w:val="Strong"/>
          <w:b w:val="0"/>
          <w:lang w:val="bs-Latn-BA"/>
        </w:rPr>
        <w:t xml:space="preserve">„16 </w:t>
      </w:r>
      <w:r w:rsidR="00C6214E">
        <w:rPr>
          <w:rStyle w:val="Strong"/>
          <w:b w:val="0"/>
          <w:lang w:val="bs-Latn-BA"/>
        </w:rPr>
        <w:t>дана</w:t>
      </w:r>
      <w:r w:rsidR="00E42DBA" w:rsidRPr="00295637">
        <w:rPr>
          <w:rStyle w:val="Strong"/>
          <w:b w:val="0"/>
          <w:lang w:val="bs-Latn-BA"/>
        </w:rPr>
        <w:t xml:space="preserve"> </w:t>
      </w:r>
      <w:r w:rsidR="00C6214E">
        <w:rPr>
          <w:rStyle w:val="Strong"/>
          <w:b w:val="0"/>
          <w:lang w:val="bs-Latn-BA"/>
        </w:rPr>
        <w:t>активизма</w:t>
      </w:r>
      <w:r w:rsidR="00E42DBA" w:rsidRPr="00295637">
        <w:rPr>
          <w:rStyle w:val="Strong"/>
          <w:b w:val="0"/>
          <w:lang w:val="bs-Latn-BA"/>
        </w:rPr>
        <w:t>“</w:t>
      </w:r>
      <w:r w:rsidR="00E42DBA" w:rsidRPr="00295637">
        <w:rPr>
          <w:lang w:val="bs-Latn-BA"/>
        </w:rPr>
        <w:t xml:space="preserve"> </w:t>
      </w:r>
      <w:r w:rsidR="00C6214E">
        <w:rPr>
          <w:lang w:val="bs-Latn-BA"/>
        </w:rPr>
        <w:t>одржана</w:t>
      </w:r>
      <w:r w:rsidR="00E42DBA" w:rsidRPr="00295637">
        <w:rPr>
          <w:lang w:val="bs-Latn-BA"/>
        </w:rPr>
        <w:t xml:space="preserve"> </w:t>
      </w:r>
      <w:r w:rsidR="00C6214E">
        <w:rPr>
          <w:lang w:val="bs-Latn-BA"/>
        </w:rPr>
        <w:t>је</w:t>
      </w:r>
      <w:r w:rsidR="00E42DBA" w:rsidRPr="00295637">
        <w:rPr>
          <w:lang w:val="bs-Latn-BA"/>
        </w:rPr>
        <w:t xml:space="preserve"> </w:t>
      </w:r>
      <w:r w:rsidR="00C6214E">
        <w:rPr>
          <w:lang w:val="bs-Latn-BA"/>
        </w:rPr>
        <w:t>донаторска</w:t>
      </w:r>
      <w:r w:rsidR="00E42DBA" w:rsidRPr="00295637">
        <w:rPr>
          <w:lang w:val="bs-Latn-BA"/>
        </w:rPr>
        <w:t xml:space="preserve"> </w:t>
      </w:r>
      <w:r>
        <w:rPr>
          <w:lang w:val="bs-Latn-BA"/>
        </w:rPr>
        <w:t>вече</w:t>
      </w:r>
      <w:r w:rsidR="00E42DBA" w:rsidRPr="00295637">
        <w:rPr>
          <w:lang w:val="bs-Latn-BA"/>
        </w:rPr>
        <w:t xml:space="preserve"> </w:t>
      </w:r>
      <w:r w:rsidR="00E42DBA" w:rsidRPr="005155D7">
        <w:rPr>
          <w:rStyle w:val="Strong"/>
          <w:b w:val="0"/>
          <w:lang w:val="bs-Latn-BA"/>
        </w:rPr>
        <w:t>„</w:t>
      </w:r>
      <w:r w:rsidR="00C6214E">
        <w:rPr>
          <w:rStyle w:val="Strong"/>
          <w:b w:val="0"/>
          <w:lang w:val="bs-Latn-BA"/>
        </w:rPr>
        <w:t>Уз</w:t>
      </w:r>
      <w:r w:rsidR="00E42DBA" w:rsidRPr="00295637">
        <w:rPr>
          <w:rStyle w:val="Strong"/>
          <w:b w:val="0"/>
          <w:lang w:val="bs-Latn-BA"/>
        </w:rPr>
        <w:t xml:space="preserve"> </w:t>
      </w:r>
      <w:r w:rsidR="00C6214E">
        <w:rPr>
          <w:rStyle w:val="Strong"/>
          <w:b w:val="0"/>
          <w:lang w:val="bs-Latn-BA"/>
        </w:rPr>
        <w:t>њу</w:t>
      </w:r>
      <w:r w:rsidR="00E42DBA" w:rsidRPr="00295637">
        <w:rPr>
          <w:rStyle w:val="Strong"/>
          <w:b w:val="0"/>
          <w:lang w:val="bs-Latn-BA"/>
        </w:rPr>
        <w:t xml:space="preserve"> – </w:t>
      </w:r>
      <w:r w:rsidR="00C6214E">
        <w:rPr>
          <w:rStyle w:val="Strong"/>
          <w:b w:val="0"/>
          <w:lang w:val="bs-Latn-BA"/>
        </w:rPr>
        <w:t>за</w:t>
      </w:r>
      <w:r w:rsidR="00E42DBA" w:rsidRPr="00295637">
        <w:rPr>
          <w:rStyle w:val="Strong"/>
          <w:b w:val="0"/>
          <w:lang w:val="bs-Latn-BA"/>
        </w:rPr>
        <w:t xml:space="preserve"> </w:t>
      </w:r>
      <w:r w:rsidR="00C6214E">
        <w:rPr>
          <w:rStyle w:val="Strong"/>
          <w:b w:val="0"/>
          <w:lang w:val="bs-Latn-BA"/>
        </w:rPr>
        <w:t>њену</w:t>
      </w:r>
      <w:r w:rsidR="00E42DBA" w:rsidRPr="00295637">
        <w:rPr>
          <w:rStyle w:val="Strong"/>
          <w:b w:val="0"/>
          <w:lang w:val="bs-Latn-BA"/>
        </w:rPr>
        <w:t xml:space="preserve"> </w:t>
      </w:r>
      <w:r w:rsidR="00C6214E">
        <w:rPr>
          <w:rStyle w:val="Strong"/>
          <w:b w:val="0"/>
          <w:lang w:val="bs-Latn-BA"/>
        </w:rPr>
        <w:t>слободу</w:t>
      </w:r>
      <w:r w:rsidR="00E42DBA" w:rsidRPr="00295637">
        <w:rPr>
          <w:rStyle w:val="Strong"/>
          <w:b w:val="0"/>
          <w:lang w:val="bs-Latn-BA"/>
        </w:rPr>
        <w:t>“</w:t>
      </w:r>
      <w:r w:rsidR="00E42DBA" w:rsidRPr="005155D7">
        <w:rPr>
          <w:lang w:val="bs-Latn-BA"/>
        </w:rPr>
        <w:t>,</w:t>
      </w:r>
      <w:r w:rsidR="00E42DBA" w:rsidRPr="00295637">
        <w:rPr>
          <w:lang w:val="bs-Latn-BA"/>
        </w:rPr>
        <w:t xml:space="preserve"> </w:t>
      </w:r>
      <w:r w:rsidR="00C6214E">
        <w:rPr>
          <w:lang w:val="bs-Latn-BA"/>
        </w:rPr>
        <w:t>организ</w:t>
      </w:r>
      <w:r>
        <w:rPr>
          <w:lang w:val="sr-Cyrl-BA"/>
        </w:rPr>
        <w:t>ована</w:t>
      </w:r>
      <w:r w:rsidR="00E42DBA" w:rsidRPr="00295637">
        <w:rPr>
          <w:lang w:val="bs-Latn-BA"/>
        </w:rPr>
        <w:t xml:space="preserve"> </w:t>
      </w:r>
      <w:r w:rsidR="00C6214E">
        <w:rPr>
          <w:lang w:val="bs-Latn-BA"/>
        </w:rPr>
        <w:t>у</w:t>
      </w:r>
      <w:r w:rsidR="00E42DBA" w:rsidRPr="00295637">
        <w:rPr>
          <w:lang w:val="bs-Latn-BA"/>
        </w:rPr>
        <w:t xml:space="preserve"> </w:t>
      </w:r>
      <w:r w:rsidR="00C6214E">
        <w:rPr>
          <w:lang w:val="bs-Latn-BA"/>
        </w:rPr>
        <w:t>партнерству</w:t>
      </w:r>
      <w:r w:rsidR="00E42DBA" w:rsidRPr="00295637">
        <w:rPr>
          <w:lang w:val="bs-Latn-BA"/>
        </w:rPr>
        <w:t xml:space="preserve"> </w:t>
      </w:r>
      <w:r w:rsidR="00C6214E">
        <w:rPr>
          <w:lang w:val="bs-Latn-BA"/>
        </w:rPr>
        <w:t>са</w:t>
      </w:r>
      <w:r w:rsidR="00E42DBA" w:rsidRPr="00295637">
        <w:rPr>
          <w:lang w:val="bs-Latn-BA"/>
        </w:rPr>
        <w:t xml:space="preserve"> </w:t>
      </w:r>
      <w:r w:rsidR="00C6214E">
        <w:rPr>
          <w:lang w:val="bs-Latn-BA"/>
        </w:rPr>
        <w:t>магазином</w:t>
      </w:r>
      <w:r w:rsidR="00E42DBA" w:rsidRPr="00295637">
        <w:rPr>
          <w:lang w:val="bs-Latn-BA"/>
        </w:rPr>
        <w:t xml:space="preserve"> </w:t>
      </w:r>
      <w:r w:rsidR="00E42DBA" w:rsidRPr="00295637">
        <w:rPr>
          <w:rStyle w:val="Strong"/>
          <w:b w:val="0"/>
          <w:lang w:val="bs-Latn-BA"/>
        </w:rPr>
        <w:t>„</w:t>
      </w:r>
      <w:r w:rsidR="00C6214E">
        <w:rPr>
          <w:rStyle w:val="Strong"/>
          <w:b w:val="0"/>
          <w:lang w:val="bs-Latn-BA"/>
        </w:rPr>
        <w:t>Грација</w:t>
      </w:r>
      <w:r w:rsidR="00E42DBA" w:rsidRPr="00295637">
        <w:rPr>
          <w:rStyle w:val="Strong"/>
          <w:b w:val="0"/>
          <w:lang w:val="bs-Latn-BA"/>
        </w:rPr>
        <w:t>“</w:t>
      </w:r>
      <w:r w:rsidR="00E42DBA" w:rsidRPr="00295637">
        <w:rPr>
          <w:lang w:val="bs-Latn-BA"/>
        </w:rPr>
        <w:t xml:space="preserve"> </w:t>
      </w:r>
      <w:r w:rsidR="00C6214E">
        <w:rPr>
          <w:lang w:val="bs-Latn-BA"/>
        </w:rPr>
        <w:t>и</w:t>
      </w:r>
      <w:r w:rsidR="00E42DBA" w:rsidRPr="00295637">
        <w:rPr>
          <w:lang w:val="bs-Latn-BA"/>
        </w:rPr>
        <w:t xml:space="preserve"> </w:t>
      </w:r>
      <w:r w:rsidR="00C6214E">
        <w:rPr>
          <w:lang w:val="bs-Latn-BA"/>
        </w:rPr>
        <w:t>сигурним</w:t>
      </w:r>
      <w:r w:rsidR="00E42DBA" w:rsidRPr="00295637">
        <w:rPr>
          <w:lang w:val="bs-Latn-BA"/>
        </w:rPr>
        <w:t xml:space="preserve"> </w:t>
      </w:r>
      <w:r w:rsidR="00C6214E">
        <w:rPr>
          <w:lang w:val="bs-Latn-BA"/>
        </w:rPr>
        <w:t>кућама</w:t>
      </w:r>
      <w:r w:rsidR="00E42DBA" w:rsidRPr="00295637">
        <w:rPr>
          <w:lang w:val="bs-Latn-BA"/>
        </w:rPr>
        <w:t xml:space="preserve"> </w:t>
      </w:r>
      <w:r w:rsidR="00C6214E">
        <w:rPr>
          <w:lang w:val="bs-Latn-BA"/>
        </w:rPr>
        <w:t>у</w:t>
      </w:r>
      <w:r w:rsidR="00E42DBA" w:rsidRPr="00295637">
        <w:rPr>
          <w:lang w:val="bs-Latn-BA"/>
        </w:rPr>
        <w:t xml:space="preserve"> </w:t>
      </w:r>
      <w:r w:rsidR="00C6214E">
        <w:rPr>
          <w:lang w:val="bs-Latn-BA"/>
        </w:rPr>
        <w:t>ФБиХ</w:t>
      </w:r>
      <w:r w:rsidR="00E42DBA" w:rsidRPr="00295637">
        <w:rPr>
          <w:lang w:val="bs-Latn-BA"/>
        </w:rPr>
        <w:t xml:space="preserve">. </w:t>
      </w:r>
      <w:r w:rsidR="00C6214E">
        <w:rPr>
          <w:lang w:val="bs-Latn-BA"/>
        </w:rPr>
        <w:t>Циљ</w:t>
      </w:r>
      <w:r w:rsidR="00E42DBA" w:rsidRPr="00295637">
        <w:rPr>
          <w:lang w:val="bs-Latn-BA"/>
        </w:rPr>
        <w:t xml:space="preserve"> </w:t>
      </w:r>
      <w:r w:rsidR="00C6214E">
        <w:rPr>
          <w:lang w:val="bs-Latn-BA"/>
        </w:rPr>
        <w:t>ове</w:t>
      </w:r>
      <w:r w:rsidR="00E42DBA" w:rsidRPr="00295637">
        <w:rPr>
          <w:lang w:val="bs-Latn-BA"/>
        </w:rPr>
        <w:t xml:space="preserve"> </w:t>
      </w:r>
      <w:r w:rsidR="00C6214E">
        <w:rPr>
          <w:lang w:val="bs-Latn-BA"/>
        </w:rPr>
        <w:t>активности</w:t>
      </w:r>
      <w:r w:rsidR="00E42DBA" w:rsidRPr="00295637">
        <w:rPr>
          <w:lang w:val="bs-Latn-BA"/>
        </w:rPr>
        <w:t xml:space="preserve"> </w:t>
      </w:r>
      <w:r w:rsidR="00C6214E">
        <w:rPr>
          <w:lang w:val="bs-Latn-BA"/>
        </w:rPr>
        <w:t>био</w:t>
      </w:r>
      <w:r w:rsidR="00E42DBA" w:rsidRPr="00295637">
        <w:rPr>
          <w:lang w:val="bs-Latn-BA"/>
        </w:rPr>
        <w:t xml:space="preserve"> </w:t>
      </w:r>
      <w:r w:rsidR="00C6214E">
        <w:rPr>
          <w:lang w:val="bs-Latn-BA"/>
        </w:rPr>
        <w:t>је</w:t>
      </w:r>
      <w:r w:rsidR="00E42DBA" w:rsidRPr="00295637">
        <w:rPr>
          <w:lang w:val="bs-Latn-BA"/>
        </w:rPr>
        <w:t xml:space="preserve"> </w:t>
      </w:r>
      <w:r w:rsidR="00C6214E">
        <w:rPr>
          <w:lang w:val="bs-Latn-BA"/>
        </w:rPr>
        <w:t>прикупљање</w:t>
      </w:r>
      <w:r w:rsidR="00E42DBA" w:rsidRPr="00295637">
        <w:rPr>
          <w:lang w:val="bs-Latn-BA"/>
        </w:rPr>
        <w:t xml:space="preserve"> </w:t>
      </w:r>
      <w:r w:rsidR="00C6214E">
        <w:rPr>
          <w:lang w:val="bs-Latn-BA"/>
        </w:rPr>
        <w:t>средстава</w:t>
      </w:r>
      <w:r w:rsidR="00E42DBA" w:rsidRPr="00295637">
        <w:rPr>
          <w:lang w:val="bs-Latn-BA"/>
        </w:rPr>
        <w:t xml:space="preserve"> </w:t>
      </w:r>
      <w:r w:rsidR="00C6214E">
        <w:rPr>
          <w:lang w:val="bs-Latn-BA"/>
        </w:rPr>
        <w:t>за</w:t>
      </w:r>
      <w:r w:rsidR="00E42DBA" w:rsidRPr="00295637">
        <w:rPr>
          <w:lang w:val="bs-Latn-BA"/>
        </w:rPr>
        <w:t xml:space="preserve"> </w:t>
      </w:r>
      <w:r w:rsidR="00C6214E">
        <w:rPr>
          <w:lang w:val="bs-Latn-BA"/>
        </w:rPr>
        <w:t>подршку</w:t>
      </w:r>
      <w:r w:rsidR="00E42DBA" w:rsidRPr="00295637">
        <w:rPr>
          <w:lang w:val="bs-Latn-BA"/>
        </w:rPr>
        <w:t xml:space="preserve"> </w:t>
      </w:r>
      <w:r w:rsidR="00C6214E">
        <w:rPr>
          <w:lang w:val="bs-Latn-BA"/>
        </w:rPr>
        <w:t>женама</w:t>
      </w:r>
      <w:r w:rsidR="00E42DBA" w:rsidRPr="00295637">
        <w:rPr>
          <w:lang w:val="bs-Latn-BA"/>
        </w:rPr>
        <w:t xml:space="preserve"> </w:t>
      </w:r>
      <w:r w:rsidR="00C6214E">
        <w:rPr>
          <w:lang w:val="bs-Latn-BA"/>
        </w:rPr>
        <w:t>које</w:t>
      </w:r>
      <w:r w:rsidR="00E42DBA" w:rsidRPr="00295637">
        <w:rPr>
          <w:lang w:val="bs-Latn-BA"/>
        </w:rPr>
        <w:t xml:space="preserve"> </w:t>
      </w:r>
      <w:r w:rsidR="00C6214E">
        <w:rPr>
          <w:lang w:val="bs-Latn-BA"/>
        </w:rPr>
        <w:t>су</w:t>
      </w:r>
      <w:r w:rsidR="00E42DBA" w:rsidRPr="00295637">
        <w:rPr>
          <w:lang w:val="bs-Latn-BA"/>
        </w:rPr>
        <w:t xml:space="preserve"> </w:t>
      </w:r>
      <w:r w:rsidR="00C6214E">
        <w:rPr>
          <w:lang w:val="bs-Latn-BA"/>
        </w:rPr>
        <w:t>преживјеле</w:t>
      </w:r>
      <w:r w:rsidR="00E42DBA" w:rsidRPr="00295637">
        <w:rPr>
          <w:lang w:val="bs-Latn-BA"/>
        </w:rPr>
        <w:t xml:space="preserve"> </w:t>
      </w:r>
      <w:r w:rsidR="00C6214E">
        <w:rPr>
          <w:lang w:val="bs-Latn-BA"/>
        </w:rPr>
        <w:t>насиље</w:t>
      </w:r>
      <w:r w:rsidR="00E42DBA" w:rsidRPr="00295637">
        <w:rPr>
          <w:lang w:val="bs-Latn-BA"/>
        </w:rPr>
        <w:t xml:space="preserve"> </w:t>
      </w:r>
      <w:r w:rsidR="00C6214E">
        <w:rPr>
          <w:lang w:val="bs-Latn-BA"/>
        </w:rPr>
        <w:t>и</w:t>
      </w:r>
      <w:r w:rsidR="00E42DBA" w:rsidRPr="00295637">
        <w:rPr>
          <w:lang w:val="bs-Latn-BA"/>
        </w:rPr>
        <w:t xml:space="preserve"> </w:t>
      </w:r>
      <w:r w:rsidR="00C6214E">
        <w:rPr>
          <w:lang w:val="bs-Latn-BA"/>
        </w:rPr>
        <w:t>започињу</w:t>
      </w:r>
      <w:r w:rsidR="00E42DBA" w:rsidRPr="00295637">
        <w:rPr>
          <w:lang w:val="bs-Latn-BA"/>
        </w:rPr>
        <w:t xml:space="preserve"> </w:t>
      </w:r>
      <w:r w:rsidR="00C6214E">
        <w:rPr>
          <w:lang w:val="bs-Latn-BA"/>
        </w:rPr>
        <w:t>нови</w:t>
      </w:r>
      <w:r w:rsidR="00E42DBA" w:rsidRPr="00295637">
        <w:rPr>
          <w:lang w:val="bs-Latn-BA"/>
        </w:rPr>
        <w:t xml:space="preserve"> </w:t>
      </w:r>
      <w:r w:rsidR="00C6214E">
        <w:rPr>
          <w:lang w:val="bs-Latn-BA"/>
        </w:rPr>
        <w:t>живот</w:t>
      </w:r>
      <w:r w:rsidR="00E42DBA" w:rsidRPr="00295637">
        <w:rPr>
          <w:lang w:val="bs-Latn-BA"/>
        </w:rPr>
        <w:t xml:space="preserve">. </w:t>
      </w:r>
      <w:r w:rsidR="00C6214E">
        <w:rPr>
          <w:lang w:val="bs-Latn-BA"/>
        </w:rPr>
        <w:t>Као</w:t>
      </w:r>
      <w:r w:rsidR="00E42DBA" w:rsidRPr="00295637">
        <w:rPr>
          <w:lang w:val="bs-Latn-BA"/>
        </w:rPr>
        <w:t xml:space="preserve"> </w:t>
      </w:r>
      <w:r w:rsidR="00C6214E">
        <w:rPr>
          <w:lang w:val="bs-Latn-BA"/>
        </w:rPr>
        <w:t>додатна</w:t>
      </w:r>
      <w:r w:rsidR="00E42DBA" w:rsidRPr="00295637">
        <w:rPr>
          <w:lang w:val="bs-Latn-BA"/>
        </w:rPr>
        <w:t xml:space="preserve"> </w:t>
      </w:r>
      <w:r w:rsidR="00C6214E">
        <w:rPr>
          <w:lang w:val="bs-Latn-BA"/>
        </w:rPr>
        <w:t>иницијатива</w:t>
      </w:r>
      <w:r w:rsidR="00E42DBA" w:rsidRPr="00295637">
        <w:rPr>
          <w:lang w:val="bs-Latn-BA"/>
        </w:rPr>
        <w:t xml:space="preserve">, </w:t>
      </w:r>
      <w:r w:rsidR="00C6214E">
        <w:rPr>
          <w:rStyle w:val="Strong"/>
          <w:b w:val="0"/>
          <w:lang w:val="bs-Latn-BA"/>
        </w:rPr>
        <w:t>потписана</w:t>
      </w:r>
      <w:r w:rsidR="00E42DBA" w:rsidRPr="00295637">
        <w:rPr>
          <w:rStyle w:val="Strong"/>
          <w:b w:val="0"/>
          <w:lang w:val="bs-Latn-BA"/>
        </w:rPr>
        <w:t xml:space="preserve"> </w:t>
      </w:r>
      <w:r w:rsidR="00C6214E">
        <w:rPr>
          <w:rStyle w:val="Strong"/>
          <w:b w:val="0"/>
          <w:lang w:val="bs-Latn-BA"/>
        </w:rPr>
        <w:t>је</w:t>
      </w:r>
      <w:r w:rsidR="00E42DBA" w:rsidRPr="00295637">
        <w:rPr>
          <w:rStyle w:val="Strong"/>
          <w:b w:val="0"/>
          <w:lang w:val="bs-Latn-BA"/>
        </w:rPr>
        <w:t xml:space="preserve"> </w:t>
      </w:r>
      <w:r w:rsidR="00C6214E">
        <w:rPr>
          <w:rStyle w:val="Strong"/>
          <w:b w:val="0"/>
          <w:lang w:val="bs-Latn-BA"/>
        </w:rPr>
        <w:t>Оп</w:t>
      </w:r>
      <w:r w:rsidR="000A6D06">
        <w:rPr>
          <w:rStyle w:val="Strong"/>
          <w:b w:val="0"/>
          <w:lang w:val="sr-Cyrl-BA"/>
        </w:rPr>
        <w:t>шт</w:t>
      </w:r>
      <w:r w:rsidR="00C6214E">
        <w:rPr>
          <w:rStyle w:val="Strong"/>
          <w:b w:val="0"/>
          <w:lang w:val="bs-Latn-BA"/>
        </w:rPr>
        <w:t>а</w:t>
      </w:r>
      <w:r w:rsidR="00E42DBA" w:rsidRPr="00295637">
        <w:rPr>
          <w:rStyle w:val="Strong"/>
          <w:b w:val="0"/>
          <w:lang w:val="bs-Latn-BA"/>
        </w:rPr>
        <w:t xml:space="preserve"> </w:t>
      </w:r>
      <w:r w:rsidR="00C6214E">
        <w:rPr>
          <w:rStyle w:val="Strong"/>
          <w:b w:val="0"/>
          <w:lang w:val="bs-Latn-BA"/>
        </w:rPr>
        <w:t>декларација</w:t>
      </w:r>
      <w:r w:rsidR="00E42DBA" w:rsidRPr="00295637">
        <w:rPr>
          <w:rStyle w:val="Strong"/>
          <w:b w:val="0"/>
          <w:lang w:val="bs-Latn-BA"/>
        </w:rPr>
        <w:t xml:space="preserve"> </w:t>
      </w:r>
      <w:r w:rsidR="00C6214E">
        <w:rPr>
          <w:rStyle w:val="Strong"/>
          <w:b w:val="0"/>
          <w:lang w:val="bs-Latn-BA"/>
        </w:rPr>
        <w:t>о</w:t>
      </w:r>
      <w:r w:rsidR="00E42DBA" w:rsidRPr="00295637">
        <w:rPr>
          <w:rStyle w:val="Strong"/>
          <w:b w:val="0"/>
          <w:lang w:val="bs-Latn-BA"/>
        </w:rPr>
        <w:t xml:space="preserve"> </w:t>
      </w:r>
      <w:r w:rsidR="00C6214E">
        <w:rPr>
          <w:rStyle w:val="Strong"/>
          <w:b w:val="0"/>
          <w:lang w:val="bs-Latn-BA"/>
        </w:rPr>
        <w:t>сарадњи</w:t>
      </w:r>
      <w:r w:rsidR="00E42DBA" w:rsidRPr="00295637">
        <w:rPr>
          <w:rStyle w:val="Strong"/>
          <w:b w:val="0"/>
          <w:lang w:val="bs-Latn-BA"/>
        </w:rPr>
        <w:t xml:space="preserve"> </w:t>
      </w:r>
      <w:r w:rsidR="00C6214E">
        <w:rPr>
          <w:rStyle w:val="Strong"/>
          <w:b w:val="0"/>
          <w:lang w:val="bs-Latn-BA"/>
        </w:rPr>
        <w:t>против</w:t>
      </w:r>
      <w:r w:rsidR="00E42DBA" w:rsidRPr="00295637">
        <w:rPr>
          <w:rStyle w:val="Strong"/>
          <w:b w:val="0"/>
          <w:lang w:val="bs-Latn-BA"/>
        </w:rPr>
        <w:t xml:space="preserve"> </w:t>
      </w:r>
      <w:r w:rsidR="00C6214E">
        <w:rPr>
          <w:rStyle w:val="Strong"/>
          <w:b w:val="0"/>
          <w:lang w:val="bs-Latn-BA"/>
        </w:rPr>
        <w:t>насиља</w:t>
      </w:r>
      <w:r w:rsidR="00E42DBA" w:rsidRPr="00295637">
        <w:rPr>
          <w:rStyle w:val="Strong"/>
          <w:b w:val="0"/>
          <w:lang w:val="bs-Latn-BA"/>
        </w:rPr>
        <w:t xml:space="preserve"> </w:t>
      </w:r>
      <w:r w:rsidR="00C6214E">
        <w:rPr>
          <w:rStyle w:val="Strong"/>
          <w:b w:val="0"/>
          <w:lang w:val="bs-Latn-BA"/>
        </w:rPr>
        <w:t>над</w:t>
      </w:r>
      <w:r w:rsidR="00E42DBA" w:rsidRPr="00295637">
        <w:rPr>
          <w:rStyle w:val="Strong"/>
          <w:b w:val="0"/>
          <w:lang w:val="bs-Latn-BA"/>
        </w:rPr>
        <w:t xml:space="preserve"> </w:t>
      </w:r>
      <w:r w:rsidR="00C6214E">
        <w:rPr>
          <w:rStyle w:val="Strong"/>
          <w:b w:val="0"/>
          <w:lang w:val="bs-Latn-BA"/>
        </w:rPr>
        <w:t>женама</w:t>
      </w:r>
      <w:r w:rsidR="00E42DBA" w:rsidRPr="00295637">
        <w:rPr>
          <w:rStyle w:val="Strong"/>
          <w:b w:val="0"/>
          <w:lang w:val="bs-Latn-BA"/>
        </w:rPr>
        <w:t xml:space="preserve"> </w:t>
      </w:r>
      <w:r w:rsidR="00C6214E">
        <w:rPr>
          <w:rStyle w:val="Strong"/>
          <w:b w:val="0"/>
          <w:lang w:val="bs-Latn-BA"/>
        </w:rPr>
        <w:t>и</w:t>
      </w:r>
      <w:r w:rsidR="00E42DBA" w:rsidRPr="00295637">
        <w:rPr>
          <w:rStyle w:val="Strong"/>
          <w:b w:val="0"/>
          <w:lang w:val="bs-Latn-BA"/>
        </w:rPr>
        <w:t xml:space="preserve"> </w:t>
      </w:r>
      <w:r w:rsidR="00C6214E">
        <w:rPr>
          <w:rStyle w:val="Strong"/>
          <w:b w:val="0"/>
          <w:lang w:val="bs-Latn-BA"/>
        </w:rPr>
        <w:t>насиља</w:t>
      </w:r>
      <w:r w:rsidR="00E42DBA" w:rsidRPr="00295637">
        <w:rPr>
          <w:rStyle w:val="Strong"/>
          <w:b w:val="0"/>
          <w:lang w:val="bs-Latn-BA"/>
        </w:rPr>
        <w:t xml:space="preserve"> </w:t>
      </w:r>
      <w:r w:rsidR="00C6214E">
        <w:rPr>
          <w:rStyle w:val="Strong"/>
          <w:b w:val="0"/>
          <w:lang w:val="bs-Latn-BA"/>
        </w:rPr>
        <w:t>у</w:t>
      </w:r>
      <w:r w:rsidR="00E42DBA" w:rsidRPr="00295637">
        <w:rPr>
          <w:rStyle w:val="Strong"/>
          <w:b w:val="0"/>
          <w:lang w:val="bs-Latn-BA"/>
        </w:rPr>
        <w:t xml:space="preserve"> </w:t>
      </w:r>
      <w:r w:rsidR="00C6214E">
        <w:rPr>
          <w:rStyle w:val="Strong"/>
          <w:b w:val="0"/>
          <w:lang w:val="bs-Latn-BA"/>
        </w:rPr>
        <w:t>породици</w:t>
      </w:r>
      <w:r w:rsidR="00E42DBA" w:rsidRPr="00295637">
        <w:rPr>
          <w:lang w:val="bs-Latn-BA"/>
        </w:rPr>
        <w:t xml:space="preserve"> </w:t>
      </w:r>
      <w:r w:rsidR="00C6214E">
        <w:rPr>
          <w:lang w:val="bs-Latn-BA"/>
        </w:rPr>
        <w:t>између</w:t>
      </w:r>
      <w:r w:rsidR="00E42DBA" w:rsidRPr="00295637">
        <w:rPr>
          <w:lang w:val="bs-Latn-BA"/>
        </w:rPr>
        <w:t xml:space="preserve"> </w:t>
      </w:r>
      <w:r w:rsidR="00C6214E">
        <w:rPr>
          <w:lang w:val="bs-Latn-BA"/>
        </w:rPr>
        <w:t>ФМРСП</w:t>
      </w:r>
      <w:r w:rsidR="00E42DBA" w:rsidRPr="00295637">
        <w:rPr>
          <w:lang w:val="bs-Latn-BA"/>
        </w:rPr>
        <w:t>-</w:t>
      </w:r>
      <w:r w:rsidR="00C6214E">
        <w:rPr>
          <w:lang w:val="bs-Latn-BA"/>
        </w:rPr>
        <w:t>а</w:t>
      </w:r>
      <w:r w:rsidR="00E42DBA" w:rsidRPr="00295637">
        <w:rPr>
          <w:lang w:val="bs-Latn-BA"/>
        </w:rPr>
        <w:t xml:space="preserve"> </w:t>
      </w:r>
      <w:r w:rsidR="00C6214E">
        <w:rPr>
          <w:lang w:val="bs-Latn-BA"/>
        </w:rPr>
        <w:t>и</w:t>
      </w:r>
      <w:r w:rsidR="00E42DBA" w:rsidRPr="00295637">
        <w:rPr>
          <w:lang w:val="bs-Latn-BA"/>
        </w:rPr>
        <w:t xml:space="preserve"> </w:t>
      </w:r>
      <w:r w:rsidR="00C6214E">
        <w:rPr>
          <w:lang w:val="bs-Latn-BA"/>
        </w:rPr>
        <w:t>пет</w:t>
      </w:r>
      <w:r w:rsidR="00E42DBA" w:rsidRPr="00295637">
        <w:rPr>
          <w:lang w:val="bs-Latn-BA"/>
        </w:rPr>
        <w:t xml:space="preserve"> </w:t>
      </w:r>
      <w:r w:rsidR="00C6214E">
        <w:rPr>
          <w:lang w:val="bs-Latn-BA"/>
        </w:rPr>
        <w:t>сигурних</w:t>
      </w:r>
      <w:r w:rsidR="00E42DBA" w:rsidRPr="00295637">
        <w:rPr>
          <w:lang w:val="bs-Latn-BA"/>
        </w:rPr>
        <w:t xml:space="preserve"> </w:t>
      </w:r>
      <w:r w:rsidR="00C6214E">
        <w:rPr>
          <w:lang w:val="bs-Latn-BA"/>
        </w:rPr>
        <w:t>кућа</w:t>
      </w:r>
      <w:r w:rsidR="00E42DBA" w:rsidRPr="00295637">
        <w:rPr>
          <w:lang w:val="bs-Latn-BA"/>
        </w:rPr>
        <w:t xml:space="preserve"> </w:t>
      </w:r>
      <w:r w:rsidR="00C6214E">
        <w:rPr>
          <w:lang w:val="bs-Latn-BA"/>
        </w:rPr>
        <w:t>које</w:t>
      </w:r>
      <w:r w:rsidR="00E42DBA" w:rsidRPr="00295637">
        <w:rPr>
          <w:lang w:val="bs-Latn-BA"/>
        </w:rPr>
        <w:t xml:space="preserve"> </w:t>
      </w:r>
      <w:r w:rsidR="00C6214E">
        <w:rPr>
          <w:lang w:val="bs-Latn-BA"/>
        </w:rPr>
        <w:t>дјелују</w:t>
      </w:r>
      <w:r w:rsidR="00E42DBA" w:rsidRPr="00295637">
        <w:rPr>
          <w:lang w:val="bs-Latn-BA"/>
        </w:rPr>
        <w:t xml:space="preserve"> </w:t>
      </w:r>
      <w:r w:rsidR="00C6214E">
        <w:rPr>
          <w:lang w:val="bs-Latn-BA"/>
        </w:rPr>
        <w:t>на</w:t>
      </w:r>
      <w:r w:rsidR="00E42DBA" w:rsidRPr="00295637">
        <w:rPr>
          <w:lang w:val="bs-Latn-BA"/>
        </w:rPr>
        <w:t xml:space="preserve"> </w:t>
      </w:r>
      <w:r w:rsidR="00C6214E">
        <w:rPr>
          <w:lang w:val="bs-Latn-BA"/>
        </w:rPr>
        <w:t>територији</w:t>
      </w:r>
      <w:r w:rsidR="00E42DBA" w:rsidRPr="00295637">
        <w:rPr>
          <w:lang w:val="bs-Latn-BA"/>
        </w:rPr>
        <w:t xml:space="preserve"> </w:t>
      </w:r>
      <w:r w:rsidR="00C6214E">
        <w:rPr>
          <w:lang w:val="bs-Latn-BA"/>
        </w:rPr>
        <w:t>ФБиХ</w:t>
      </w:r>
      <w:r w:rsidR="00E42DBA" w:rsidRPr="00295637">
        <w:rPr>
          <w:lang w:val="bs-Latn-BA"/>
        </w:rPr>
        <w:t xml:space="preserve">, </w:t>
      </w:r>
      <w:r w:rsidR="00C6214E">
        <w:rPr>
          <w:lang w:val="bs-Latn-BA"/>
        </w:rPr>
        <w:t>чиме</w:t>
      </w:r>
      <w:r w:rsidR="00E42DBA" w:rsidRPr="00295637">
        <w:rPr>
          <w:lang w:val="bs-Latn-BA"/>
        </w:rPr>
        <w:t xml:space="preserve"> </w:t>
      </w:r>
      <w:r w:rsidR="00C6214E">
        <w:rPr>
          <w:lang w:val="bs-Latn-BA"/>
        </w:rPr>
        <w:t>је</w:t>
      </w:r>
      <w:r w:rsidR="00E42DBA" w:rsidRPr="00295637">
        <w:rPr>
          <w:lang w:val="bs-Latn-BA"/>
        </w:rPr>
        <w:t xml:space="preserve"> </w:t>
      </w:r>
      <w:r w:rsidR="00C6214E">
        <w:rPr>
          <w:lang w:val="bs-Latn-BA"/>
        </w:rPr>
        <w:t>потврђена</w:t>
      </w:r>
      <w:r w:rsidR="00E42DBA" w:rsidRPr="00295637">
        <w:rPr>
          <w:lang w:val="bs-Latn-BA"/>
        </w:rPr>
        <w:t xml:space="preserve"> </w:t>
      </w:r>
      <w:r w:rsidR="00C6214E">
        <w:rPr>
          <w:lang w:val="bs-Latn-BA"/>
        </w:rPr>
        <w:t>нулта</w:t>
      </w:r>
      <w:r w:rsidR="00E42DBA" w:rsidRPr="00295637">
        <w:rPr>
          <w:lang w:val="bs-Latn-BA"/>
        </w:rPr>
        <w:t xml:space="preserve"> </w:t>
      </w:r>
      <w:r w:rsidR="00C6214E">
        <w:rPr>
          <w:lang w:val="bs-Latn-BA"/>
        </w:rPr>
        <w:t>толеранција</w:t>
      </w:r>
      <w:r w:rsidR="00E42DBA" w:rsidRPr="00295637">
        <w:rPr>
          <w:lang w:val="bs-Latn-BA"/>
        </w:rPr>
        <w:t xml:space="preserve"> </w:t>
      </w:r>
      <w:r w:rsidR="00C6214E">
        <w:rPr>
          <w:lang w:val="bs-Latn-BA"/>
        </w:rPr>
        <w:t>према</w:t>
      </w:r>
      <w:r w:rsidR="00E42DBA" w:rsidRPr="00295637">
        <w:rPr>
          <w:lang w:val="bs-Latn-BA"/>
        </w:rPr>
        <w:t xml:space="preserve"> </w:t>
      </w:r>
      <w:r w:rsidR="00C6214E">
        <w:rPr>
          <w:lang w:val="bs-Latn-BA"/>
        </w:rPr>
        <w:t>свим</w:t>
      </w:r>
      <w:r w:rsidR="00E42DBA" w:rsidRPr="00295637">
        <w:rPr>
          <w:lang w:val="bs-Latn-BA"/>
        </w:rPr>
        <w:t xml:space="preserve"> </w:t>
      </w:r>
      <w:r w:rsidR="00C6214E">
        <w:rPr>
          <w:lang w:val="bs-Latn-BA"/>
        </w:rPr>
        <w:t>облицима</w:t>
      </w:r>
      <w:r w:rsidR="00E42DBA" w:rsidRPr="00295637">
        <w:rPr>
          <w:lang w:val="bs-Latn-BA"/>
        </w:rPr>
        <w:t xml:space="preserve"> </w:t>
      </w:r>
      <w:r w:rsidR="00C6214E">
        <w:rPr>
          <w:lang w:val="bs-Latn-BA"/>
        </w:rPr>
        <w:t>насиља</w:t>
      </w:r>
      <w:r w:rsidR="00E42DBA" w:rsidRPr="00295637">
        <w:rPr>
          <w:lang w:val="bs-Latn-BA"/>
        </w:rPr>
        <w:t xml:space="preserve">. </w:t>
      </w:r>
      <w:r w:rsidR="00C6214E">
        <w:rPr>
          <w:lang w:val="bs-Latn-BA"/>
        </w:rPr>
        <w:t>У</w:t>
      </w:r>
      <w:r w:rsidR="00E42DBA" w:rsidRPr="00295637">
        <w:rPr>
          <w:lang w:val="bs-Latn-BA"/>
        </w:rPr>
        <w:t xml:space="preserve"> </w:t>
      </w:r>
      <w:r w:rsidR="00C6214E">
        <w:rPr>
          <w:lang w:val="bs-Latn-BA"/>
        </w:rPr>
        <w:t>сарадњи</w:t>
      </w:r>
      <w:r w:rsidR="005155D7">
        <w:rPr>
          <w:lang w:val="bs-Latn-BA"/>
        </w:rPr>
        <w:t xml:space="preserve"> </w:t>
      </w:r>
      <w:r w:rsidR="00C6214E">
        <w:rPr>
          <w:lang w:val="bs-Latn-BA"/>
        </w:rPr>
        <w:t>са</w:t>
      </w:r>
      <w:r w:rsidR="00E42DBA" w:rsidRPr="00295637">
        <w:rPr>
          <w:lang w:val="bs-Latn-BA"/>
        </w:rPr>
        <w:t xml:space="preserve"> </w:t>
      </w:r>
      <w:r w:rsidR="00C6214E">
        <w:rPr>
          <w:lang w:val="bs-Latn-BA"/>
        </w:rPr>
        <w:t>УНДП</w:t>
      </w:r>
      <w:r w:rsidR="006C1EAB">
        <w:rPr>
          <w:lang w:val="bs-Latn-BA"/>
        </w:rPr>
        <w:t xml:space="preserve"> </w:t>
      </w:r>
      <w:r w:rsidR="00C6214E">
        <w:rPr>
          <w:lang w:val="bs-Latn-BA"/>
        </w:rPr>
        <w:t>БиХ</w:t>
      </w:r>
      <w:r w:rsidR="00E42DBA" w:rsidRPr="00295637">
        <w:rPr>
          <w:lang w:val="bs-Latn-BA"/>
        </w:rPr>
        <w:t xml:space="preserve">, </w:t>
      </w:r>
      <w:r w:rsidR="00C6214E">
        <w:rPr>
          <w:lang w:val="bs-Latn-BA"/>
        </w:rPr>
        <w:t>израђена</w:t>
      </w:r>
      <w:r w:rsidR="00E42DBA" w:rsidRPr="00295637">
        <w:rPr>
          <w:lang w:val="bs-Latn-BA"/>
        </w:rPr>
        <w:t xml:space="preserve"> </w:t>
      </w:r>
      <w:r w:rsidR="00C6214E">
        <w:rPr>
          <w:lang w:val="bs-Latn-BA"/>
        </w:rPr>
        <w:t>је</w:t>
      </w:r>
      <w:r w:rsidR="00E42DBA" w:rsidRPr="00295637">
        <w:rPr>
          <w:lang w:val="bs-Latn-BA"/>
        </w:rPr>
        <w:t xml:space="preserve"> </w:t>
      </w:r>
      <w:r w:rsidR="00C6214E">
        <w:rPr>
          <w:rStyle w:val="Strong"/>
          <w:b w:val="0"/>
          <w:lang w:val="bs-Latn-BA"/>
        </w:rPr>
        <w:t>интернет</w:t>
      </w:r>
      <w:r w:rsidR="00196084">
        <w:rPr>
          <w:rStyle w:val="Strong"/>
          <w:b w:val="0"/>
          <w:lang w:val="bs-Latn-BA"/>
        </w:rPr>
        <w:t xml:space="preserve"> </w:t>
      </w:r>
      <w:r w:rsidR="00C6214E">
        <w:rPr>
          <w:rStyle w:val="Strong"/>
          <w:b w:val="0"/>
          <w:lang w:val="bs-Latn-BA"/>
        </w:rPr>
        <w:t>страница</w:t>
      </w:r>
      <w:r w:rsidR="00E42DBA" w:rsidRPr="00295637">
        <w:rPr>
          <w:rStyle w:val="Strong"/>
          <w:lang w:val="bs-Latn-BA"/>
        </w:rPr>
        <w:t xml:space="preserve"> </w:t>
      </w:r>
      <w:r w:rsidR="000A6D06" w:rsidRPr="000A6D06">
        <w:rPr>
          <w:bCs/>
          <w:i/>
          <w:lang w:val="bs-Latn-BA"/>
        </w:rPr>
        <w:t>sigurnekuce.ba</w:t>
      </w:r>
      <w:r w:rsidR="00E42DBA" w:rsidRPr="00295637">
        <w:rPr>
          <w:lang w:val="bs-Latn-BA"/>
        </w:rPr>
        <w:t xml:space="preserve">, </w:t>
      </w:r>
      <w:r w:rsidR="00C6214E">
        <w:rPr>
          <w:lang w:val="bs-Latn-BA"/>
        </w:rPr>
        <w:t>која</w:t>
      </w:r>
      <w:r w:rsidR="00E42DBA" w:rsidRPr="00295637">
        <w:rPr>
          <w:lang w:val="bs-Latn-BA"/>
        </w:rPr>
        <w:t xml:space="preserve"> </w:t>
      </w:r>
      <w:r w:rsidR="00C6214E">
        <w:rPr>
          <w:lang w:val="bs-Latn-BA"/>
        </w:rPr>
        <w:t>пружа</w:t>
      </w:r>
      <w:r w:rsidR="00E42DBA" w:rsidRPr="00295637">
        <w:rPr>
          <w:lang w:val="bs-Latn-BA"/>
        </w:rPr>
        <w:t xml:space="preserve"> </w:t>
      </w:r>
      <w:r w:rsidR="00C6214E">
        <w:rPr>
          <w:lang w:val="bs-Latn-BA"/>
        </w:rPr>
        <w:t>информације</w:t>
      </w:r>
      <w:r w:rsidR="00E42DBA" w:rsidRPr="00295637">
        <w:rPr>
          <w:lang w:val="bs-Latn-BA"/>
        </w:rPr>
        <w:t xml:space="preserve"> </w:t>
      </w:r>
      <w:r w:rsidR="00C6214E">
        <w:rPr>
          <w:lang w:val="bs-Latn-BA"/>
        </w:rPr>
        <w:t>о</w:t>
      </w:r>
      <w:r w:rsidR="00E42DBA" w:rsidRPr="00295637">
        <w:rPr>
          <w:lang w:val="bs-Latn-BA"/>
        </w:rPr>
        <w:t xml:space="preserve"> </w:t>
      </w:r>
      <w:r w:rsidR="00C6214E">
        <w:rPr>
          <w:lang w:val="bs-Latn-BA"/>
        </w:rPr>
        <w:t>сигурним</w:t>
      </w:r>
      <w:r w:rsidR="00E42DBA" w:rsidRPr="00295637">
        <w:rPr>
          <w:lang w:val="bs-Latn-BA"/>
        </w:rPr>
        <w:t xml:space="preserve"> </w:t>
      </w:r>
      <w:r w:rsidR="00C6214E">
        <w:rPr>
          <w:lang w:val="bs-Latn-BA"/>
        </w:rPr>
        <w:t>кућама</w:t>
      </w:r>
      <w:r w:rsidR="00E42DBA" w:rsidRPr="00295637">
        <w:rPr>
          <w:lang w:val="bs-Latn-BA"/>
        </w:rPr>
        <w:t xml:space="preserve"> </w:t>
      </w:r>
      <w:r w:rsidR="00C6214E">
        <w:rPr>
          <w:lang w:val="bs-Latn-BA"/>
        </w:rPr>
        <w:t>и</w:t>
      </w:r>
      <w:r w:rsidR="00E42DBA" w:rsidRPr="00295637">
        <w:rPr>
          <w:lang w:val="bs-Latn-BA"/>
        </w:rPr>
        <w:t xml:space="preserve"> </w:t>
      </w:r>
      <w:r w:rsidR="00C6214E">
        <w:rPr>
          <w:lang w:val="bs-Latn-BA"/>
        </w:rPr>
        <w:t>њиховим</w:t>
      </w:r>
      <w:r w:rsidR="00E42DBA" w:rsidRPr="00295637">
        <w:rPr>
          <w:lang w:val="bs-Latn-BA"/>
        </w:rPr>
        <w:t xml:space="preserve"> </w:t>
      </w:r>
      <w:r w:rsidR="00C6214E">
        <w:rPr>
          <w:lang w:val="bs-Latn-BA"/>
        </w:rPr>
        <w:t>услугама</w:t>
      </w:r>
      <w:r w:rsidR="00E42DBA" w:rsidRPr="00295637">
        <w:rPr>
          <w:lang w:val="bs-Latn-BA"/>
        </w:rPr>
        <w:t xml:space="preserve">. </w:t>
      </w:r>
      <w:r w:rsidR="00C6214E">
        <w:rPr>
          <w:lang w:val="bs-Latn-BA"/>
        </w:rPr>
        <w:t>У</w:t>
      </w:r>
      <w:r w:rsidR="00E42DBA" w:rsidRPr="00295637">
        <w:rPr>
          <w:lang w:val="bs-Latn-BA"/>
        </w:rPr>
        <w:t xml:space="preserve"> </w:t>
      </w:r>
      <w:r w:rsidR="00C6214E">
        <w:rPr>
          <w:lang w:val="bs-Latn-BA"/>
        </w:rPr>
        <w:t>оквиру</w:t>
      </w:r>
      <w:r w:rsidR="00E42DBA" w:rsidRPr="00295637">
        <w:rPr>
          <w:lang w:val="bs-Latn-BA"/>
        </w:rPr>
        <w:t xml:space="preserve"> </w:t>
      </w:r>
      <w:r w:rsidR="00C6214E">
        <w:rPr>
          <w:lang w:val="bs-Latn-BA"/>
        </w:rPr>
        <w:t>кампање</w:t>
      </w:r>
      <w:r w:rsidR="00E42DBA" w:rsidRPr="00295637">
        <w:rPr>
          <w:lang w:val="bs-Latn-BA"/>
        </w:rPr>
        <w:t xml:space="preserve">, </w:t>
      </w:r>
      <w:r w:rsidR="00C6214E">
        <w:rPr>
          <w:lang w:val="bs-Latn-BA"/>
        </w:rPr>
        <w:t>приказана</w:t>
      </w:r>
      <w:r w:rsidR="00E42DBA" w:rsidRPr="00295637">
        <w:rPr>
          <w:lang w:val="bs-Latn-BA"/>
        </w:rPr>
        <w:t xml:space="preserve"> </w:t>
      </w:r>
      <w:r w:rsidR="00C6214E">
        <w:rPr>
          <w:lang w:val="bs-Latn-BA"/>
        </w:rPr>
        <w:t>је</w:t>
      </w:r>
      <w:r w:rsidR="00E42DBA" w:rsidRPr="00295637">
        <w:rPr>
          <w:lang w:val="bs-Latn-BA"/>
        </w:rPr>
        <w:t xml:space="preserve"> </w:t>
      </w:r>
      <w:r w:rsidR="00C6214E">
        <w:rPr>
          <w:rStyle w:val="Strong"/>
          <w:b w:val="0"/>
          <w:lang w:val="bs-Latn-BA"/>
        </w:rPr>
        <w:t>видео</w:t>
      </w:r>
      <w:r w:rsidR="00E42DBA" w:rsidRPr="00295637">
        <w:rPr>
          <w:rStyle w:val="Strong"/>
          <w:b w:val="0"/>
          <w:lang w:val="bs-Latn-BA"/>
        </w:rPr>
        <w:t xml:space="preserve"> </w:t>
      </w:r>
      <w:r w:rsidR="00C6214E">
        <w:rPr>
          <w:rStyle w:val="Strong"/>
          <w:b w:val="0"/>
          <w:lang w:val="bs-Latn-BA"/>
        </w:rPr>
        <w:t>изложба</w:t>
      </w:r>
      <w:r w:rsidR="00E42DBA" w:rsidRPr="00295637">
        <w:rPr>
          <w:rStyle w:val="Strong"/>
          <w:b w:val="0"/>
          <w:lang w:val="bs-Latn-BA"/>
        </w:rPr>
        <w:t xml:space="preserve"> </w:t>
      </w:r>
      <w:r w:rsidR="00C6214E">
        <w:rPr>
          <w:rStyle w:val="Strong"/>
          <w:b w:val="0"/>
          <w:lang w:val="bs-Latn-BA"/>
        </w:rPr>
        <w:t>фотографија</w:t>
      </w:r>
      <w:r w:rsidR="00E42DBA" w:rsidRPr="00295637">
        <w:rPr>
          <w:lang w:val="bs-Latn-BA"/>
        </w:rPr>
        <w:t xml:space="preserve"> </w:t>
      </w:r>
      <w:r w:rsidR="00C6214E">
        <w:rPr>
          <w:lang w:val="bs-Latn-BA"/>
        </w:rPr>
        <w:t>о</w:t>
      </w:r>
      <w:r w:rsidR="00E42DBA" w:rsidRPr="00295637">
        <w:rPr>
          <w:lang w:val="bs-Latn-BA"/>
        </w:rPr>
        <w:t xml:space="preserve"> </w:t>
      </w:r>
      <w:r w:rsidR="00C6214E">
        <w:rPr>
          <w:lang w:val="bs-Latn-BA"/>
        </w:rPr>
        <w:t>раду</w:t>
      </w:r>
      <w:r w:rsidR="00E42DBA" w:rsidRPr="00295637">
        <w:rPr>
          <w:lang w:val="bs-Latn-BA"/>
        </w:rPr>
        <w:t xml:space="preserve"> </w:t>
      </w:r>
      <w:r w:rsidR="00C6214E">
        <w:rPr>
          <w:lang w:val="bs-Latn-BA"/>
        </w:rPr>
        <w:t>сигурних</w:t>
      </w:r>
      <w:r w:rsidR="00E42DBA" w:rsidRPr="00295637">
        <w:rPr>
          <w:lang w:val="bs-Latn-BA"/>
        </w:rPr>
        <w:t xml:space="preserve"> </w:t>
      </w:r>
      <w:r w:rsidR="00C6214E">
        <w:rPr>
          <w:lang w:val="bs-Latn-BA"/>
        </w:rPr>
        <w:t>кућа</w:t>
      </w:r>
      <w:r w:rsidR="00E42DBA" w:rsidRPr="00295637">
        <w:rPr>
          <w:lang w:val="bs-Latn-BA"/>
        </w:rPr>
        <w:t xml:space="preserve">, </w:t>
      </w:r>
      <w:r w:rsidR="00C6214E">
        <w:rPr>
          <w:lang w:val="bs-Latn-BA"/>
        </w:rPr>
        <w:t>а</w:t>
      </w:r>
      <w:r w:rsidR="00E42DBA" w:rsidRPr="00295637">
        <w:rPr>
          <w:lang w:val="bs-Latn-BA"/>
        </w:rPr>
        <w:t xml:space="preserve"> </w:t>
      </w:r>
      <w:r w:rsidR="00C6214E">
        <w:rPr>
          <w:lang w:val="bs-Latn-BA"/>
        </w:rPr>
        <w:t>премијерно</w:t>
      </w:r>
      <w:r w:rsidR="00E42DBA" w:rsidRPr="00295637">
        <w:rPr>
          <w:lang w:val="bs-Latn-BA"/>
        </w:rPr>
        <w:t xml:space="preserve"> </w:t>
      </w:r>
      <w:r w:rsidR="00C6214E">
        <w:rPr>
          <w:lang w:val="bs-Latn-BA"/>
        </w:rPr>
        <w:t>је</w:t>
      </w:r>
      <w:r w:rsidR="00E42DBA" w:rsidRPr="00295637">
        <w:rPr>
          <w:lang w:val="bs-Latn-BA"/>
        </w:rPr>
        <w:t xml:space="preserve"> </w:t>
      </w:r>
      <w:r w:rsidR="00C6214E">
        <w:rPr>
          <w:lang w:val="bs-Latn-BA"/>
        </w:rPr>
        <w:t>приказан</w:t>
      </w:r>
      <w:r w:rsidR="00E42DBA" w:rsidRPr="00295637">
        <w:rPr>
          <w:lang w:val="bs-Latn-BA"/>
        </w:rPr>
        <w:t xml:space="preserve"> </w:t>
      </w:r>
      <w:r w:rsidR="00C6214E">
        <w:rPr>
          <w:lang w:val="bs-Latn-BA"/>
        </w:rPr>
        <w:t>документарни</w:t>
      </w:r>
      <w:r w:rsidR="00E42DBA" w:rsidRPr="00295637">
        <w:rPr>
          <w:lang w:val="bs-Latn-BA"/>
        </w:rPr>
        <w:t xml:space="preserve"> </w:t>
      </w:r>
      <w:r w:rsidR="00C6214E">
        <w:rPr>
          <w:lang w:val="bs-Latn-BA"/>
        </w:rPr>
        <w:t>филм</w:t>
      </w:r>
      <w:r w:rsidR="00E42DBA" w:rsidRPr="00295637">
        <w:rPr>
          <w:lang w:val="bs-Latn-BA"/>
        </w:rPr>
        <w:t xml:space="preserve"> </w:t>
      </w:r>
      <w:r w:rsidR="00E42DBA" w:rsidRPr="005155D7">
        <w:rPr>
          <w:rStyle w:val="Strong"/>
          <w:b w:val="0"/>
          <w:lang w:val="bs-Latn-BA"/>
        </w:rPr>
        <w:t>„</w:t>
      </w:r>
      <w:r w:rsidR="00C6214E">
        <w:rPr>
          <w:rStyle w:val="Strong"/>
          <w:b w:val="0"/>
          <w:lang w:val="bs-Latn-BA"/>
        </w:rPr>
        <w:t>Сигурне</w:t>
      </w:r>
      <w:r w:rsidR="00E42DBA" w:rsidRPr="00295637">
        <w:rPr>
          <w:rStyle w:val="Strong"/>
          <w:b w:val="0"/>
          <w:lang w:val="bs-Latn-BA"/>
        </w:rPr>
        <w:t xml:space="preserve"> </w:t>
      </w:r>
      <w:r w:rsidR="00C6214E">
        <w:rPr>
          <w:rStyle w:val="Strong"/>
          <w:b w:val="0"/>
          <w:lang w:val="bs-Latn-BA"/>
        </w:rPr>
        <w:t>куће</w:t>
      </w:r>
      <w:r w:rsidR="00E42DBA" w:rsidRPr="00295637">
        <w:rPr>
          <w:rStyle w:val="Strong"/>
          <w:b w:val="0"/>
          <w:lang w:val="bs-Latn-BA"/>
        </w:rPr>
        <w:t xml:space="preserve"> – </w:t>
      </w:r>
      <w:r w:rsidR="000A6D06">
        <w:rPr>
          <w:rStyle w:val="Strong"/>
          <w:b w:val="0"/>
          <w:lang w:val="sr-Cyrl-BA"/>
        </w:rPr>
        <w:t>безбједно</w:t>
      </w:r>
      <w:r w:rsidR="00E42DBA" w:rsidRPr="00295637">
        <w:rPr>
          <w:rStyle w:val="Strong"/>
          <w:b w:val="0"/>
          <w:lang w:val="bs-Latn-BA"/>
        </w:rPr>
        <w:t xml:space="preserve"> </w:t>
      </w:r>
      <w:r w:rsidR="00C6214E">
        <w:rPr>
          <w:rStyle w:val="Strong"/>
          <w:b w:val="0"/>
          <w:lang w:val="bs-Latn-BA"/>
        </w:rPr>
        <w:t>мјесто</w:t>
      </w:r>
      <w:r w:rsidR="00E42DBA" w:rsidRPr="00295637">
        <w:rPr>
          <w:rStyle w:val="Strong"/>
          <w:b w:val="0"/>
          <w:lang w:val="bs-Latn-BA"/>
        </w:rPr>
        <w:t xml:space="preserve"> </w:t>
      </w:r>
      <w:r w:rsidR="00C6214E">
        <w:rPr>
          <w:rStyle w:val="Strong"/>
          <w:b w:val="0"/>
          <w:lang w:val="bs-Latn-BA"/>
        </w:rPr>
        <w:t>за</w:t>
      </w:r>
      <w:r w:rsidR="00E42DBA" w:rsidRPr="00295637">
        <w:rPr>
          <w:rStyle w:val="Strong"/>
          <w:b w:val="0"/>
          <w:lang w:val="bs-Latn-BA"/>
        </w:rPr>
        <w:t xml:space="preserve"> </w:t>
      </w:r>
      <w:r w:rsidR="00C6214E">
        <w:rPr>
          <w:rStyle w:val="Strong"/>
          <w:b w:val="0"/>
          <w:lang w:val="bs-Latn-BA"/>
        </w:rPr>
        <w:t>жене</w:t>
      </w:r>
      <w:r w:rsidR="00E42DBA" w:rsidRPr="00295637">
        <w:rPr>
          <w:rStyle w:val="Strong"/>
          <w:b w:val="0"/>
          <w:lang w:val="bs-Latn-BA"/>
        </w:rPr>
        <w:t xml:space="preserve"> </w:t>
      </w:r>
      <w:r w:rsidR="00C6214E">
        <w:rPr>
          <w:rStyle w:val="Strong"/>
          <w:b w:val="0"/>
          <w:lang w:val="bs-Latn-BA"/>
        </w:rPr>
        <w:t>и</w:t>
      </w:r>
      <w:r w:rsidR="00E42DBA" w:rsidRPr="00295637">
        <w:rPr>
          <w:rStyle w:val="Strong"/>
          <w:b w:val="0"/>
          <w:lang w:val="bs-Latn-BA"/>
        </w:rPr>
        <w:t xml:space="preserve"> </w:t>
      </w:r>
      <w:r w:rsidR="00C6214E">
        <w:rPr>
          <w:rStyle w:val="Strong"/>
          <w:b w:val="0"/>
          <w:lang w:val="bs-Latn-BA"/>
        </w:rPr>
        <w:t>дјецу</w:t>
      </w:r>
      <w:r w:rsidR="00E42DBA" w:rsidRPr="00295637">
        <w:rPr>
          <w:rStyle w:val="Strong"/>
          <w:b w:val="0"/>
          <w:lang w:val="bs-Latn-BA"/>
        </w:rPr>
        <w:t xml:space="preserve"> </w:t>
      </w:r>
      <w:r w:rsidR="00C6214E">
        <w:rPr>
          <w:rStyle w:val="Strong"/>
          <w:b w:val="0"/>
          <w:lang w:val="bs-Latn-BA"/>
        </w:rPr>
        <w:t>у</w:t>
      </w:r>
      <w:r w:rsidR="00E42DBA" w:rsidRPr="00295637">
        <w:rPr>
          <w:rStyle w:val="Strong"/>
          <w:b w:val="0"/>
          <w:lang w:val="bs-Latn-BA"/>
        </w:rPr>
        <w:t xml:space="preserve"> </w:t>
      </w:r>
      <w:r w:rsidR="00C6214E">
        <w:rPr>
          <w:rStyle w:val="Strong"/>
          <w:b w:val="0"/>
          <w:lang w:val="bs-Latn-BA"/>
        </w:rPr>
        <w:t>ФБиХ</w:t>
      </w:r>
      <w:r w:rsidR="00E42DBA" w:rsidRPr="00295637">
        <w:rPr>
          <w:rStyle w:val="Strong"/>
          <w:b w:val="0"/>
          <w:lang w:val="bs-Latn-BA"/>
        </w:rPr>
        <w:t>“</w:t>
      </w:r>
      <w:r w:rsidR="00D15000" w:rsidRPr="00295637">
        <w:rPr>
          <w:rStyle w:val="Strong"/>
          <w:b w:val="0"/>
          <w:lang w:val="bs-Latn-BA"/>
        </w:rPr>
        <w:t>.</w:t>
      </w:r>
      <w:r w:rsidR="00E42DBA" w:rsidRPr="00295637">
        <w:rPr>
          <w:lang w:val="bs-Latn-BA"/>
        </w:rPr>
        <w:t xml:space="preserve"> </w:t>
      </w:r>
    </w:p>
    <w:p w:rsidR="00D15000" w:rsidRPr="00295637" w:rsidRDefault="00D15000" w:rsidP="0086268D">
      <w:pPr>
        <w:tabs>
          <w:tab w:val="left" w:pos="1080"/>
        </w:tabs>
        <w:jc w:val="both"/>
        <w:rPr>
          <w:rFonts w:ascii="Times New Roman" w:hAnsi="Times New Roman"/>
          <w:szCs w:val="24"/>
          <w:lang w:val="bs-Latn-BA"/>
        </w:rPr>
      </w:pPr>
    </w:p>
    <w:p w:rsidR="00D15000"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Обиљежено</w:t>
      </w:r>
      <w:r w:rsidR="00D15000" w:rsidRPr="0038188C">
        <w:rPr>
          <w:rFonts w:ascii="Times New Roman" w:hAnsi="Times New Roman"/>
          <w:lang w:val="sr-Latn-BA"/>
        </w:rPr>
        <w:t xml:space="preserve"> </w:t>
      </w:r>
      <w:r>
        <w:rPr>
          <w:rFonts w:ascii="Times New Roman" w:hAnsi="Times New Roman"/>
          <w:lang w:val="sr-Latn-BA"/>
        </w:rPr>
        <w:t>је</w:t>
      </w:r>
      <w:r w:rsidR="00D15000" w:rsidRPr="0038188C">
        <w:rPr>
          <w:rFonts w:ascii="Times New Roman" w:hAnsi="Times New Roman"/>
          <w:lang w:val="sr-Latn-BA"/>
        </w:rPr>
        <w:t xml:space="preserve"> </w:t>
      </w:r>
      <w:r w:rsidR="005155D7" w:rsidRPr="0038188C">
        <w:rPr>
          <w:rFonts w:ascii="Times New Roman" w:hAnsi="Times New Roman"/>
          <w:lang w:val="sr-Latn-BA"/>
        </w:rPr>
        <w:t>„</w:t>
      </w:r>
      <w:r w:rsidR="00D15000" w:rsidRPr="0038188C">
        <w:rPr>
          <w:rFonts w:ascii="Times New Roman" w:hAnsi="Times New Roman"/>
          <w:lang w:val="sr-Latn-BA"/>
        </w:rPr>
        <w:t xml:space="preserve">16 </w:t>
      </w:r>
      <w:r>
        <w:rPr>
          <w:rFonts w:ascii="Times New Roman" w:hAnsi="Times New Roman"/>
          <w:lang w:val="sr-Latn-BA"/>
        </w:rPr>
        <w:t>дана</w:t>
      </w:r>
      <w:r w:rsidR="00D15000" w:rsidRPr="0038188C">
        <w:rPr>
          <w:rFonts w:ascii="Times New Roman" w:hAnsi="Times New Roman"/>
          <w:lang w:val="sr-Latn-BA"/>
        </w:rPr>
        <w:t xml:space="preserve"> </w:t>
      </w:r>
      <w:r>
        <w:rPr>
          <w:rFonts w:ascii="Times New Roman" w:hAnsi="Times New Roman"/>
          <w:lang w:val="sr-Latn-BA"/>
        </w:rPr>
        <w:t>активизма</w:t>
      </w:r>
      <w:r w:rsidR="00D15000" w:rsidRPr="0038188C">
        <w:rPr>
          <w:rFonts w:ascii="Times New Roman" w:hAnsi="Times New Roman"/>
          <w:lang w:val="sr-Latn-BA"/>
        </w:rPr>
        <w:t xml:space="preserve"> </w:t>
      </w:r>
      <w:r>
        <w:rPr>
          <w:rFonts w:ascii="Times New Roman" w:hAnsi="Times New Roman"/>
          <w:lang w:val="sr-Latn-BA"/>
        </w:rPr>
        <w:t>против</w:t>
      </w:r>
      <w:r w:rsidR="00D15000" w:rsidRPr="0038188C">
        <w:rPr>
          <w:rFonts w:ascii="Times New Roman" w:hAnsi="Times New Roman"/>
          <w:lang w:val="sr-Latn-BA"/>
        </w:rPr>
        <w:t xml:space="preserve"> </w:t>
      </w:r>
      <w:r>
        <w:rPr>
          <w:rFonts w:ascii="Times New Roman" w:hAnsi="Times New Roman"/>
          <w:lang w:val="sr-Latn-BA"/>
        </w:rPr>
        <w:t>насиља</w:t>
      </w:r>
      <w:r w:rsidR="00D15000" w:rsidRPr="0038188C">
        <w:rPr>
          <w:rFonts w:ascii="Times New Roman" w:hAnsi="Times New Roman"/>
          <w:lang w:val="sr-Latn-BA"/>
        </w:rPr>
        <w:t xml:space="preserve"> </w:t>
      </w:r>
      <w:r>
        <w:rPr>
          <w:rFonts w:ascii="Times New Roman" w:hAnsi="Times New Roman"/>
          <w:lang w:val="sr-Latn-BA"/>
        </w:rPr>
        <w:t>над</w:t>
      </w:r>
      <w:r w:rsidR="00D15000" w:rsidRPr="0038188C">
        <w:rPr>
          <w:rFonts w:ascii="Times New Roman" w:hAnsi="Times New Roman"/>
          <w:lang w:val="sr-Latn-BA"/>
        </w:rPr>
        <w:t xml:space="preserve"> </w:t>
      </w:r>
      <w:r>
        <w:rPr>
          <w:rFonts w:ascii="Times New Roman" w:hAnsi="Times New Roman"/>
          <w:lang w:val="sr-Latn-BA"/>
        </w:rPr>
        <w:t>женама</w:t>
      </w:r>
      <w:r w:rsidR="005155D7" w:rsidRPr="0038188C">
        <w:rPr>
          <w:rFonts w:ascii="Times New Roman" w:hAnsi="Times New Roman"/>
          <w:lang w:val="sr-Latn-BA"/>
        </w:rPr>
        <w:t>“</w:t>
      </w:r>
      <w:r w:rsidR="00D15000" w:rsidRPr="0038188C">
        <w:rPr>
          <w:rFonts w:ascii="Times New Roman" w:hAnsi="Times New Roman"/>
          <w:lang w:val="sr-Latn-BA"/>
        </w:rPr>
        <w:t xml:space="preserve"> </w:t>
      </w:r>
      <w:r>
        <w:rPr>
          <w:rFonts w:ascii="Times New Roman" w:hAnsi="Times New Roman"/>
          <w:lang w:val="sr-Latn-BA"/>
        </w:rPr>
        <w:t>у</w:t>
      </w:r>
      <w:r w:rsidR="00D15000" w:rsidRPr="0038188C">
        <w:rPr>
          <w:rFonts w:ascii="Times New Roman" w:hAnsi="Times New Roman"/>
          <w:lang w:val="sr-Latn-BA"/>
        </w:rPr>
        <w:t xml:space="preserve"> </w:t>
      </w:r>
      <w:r>
        <w:rPr>
          <w:rFonts w:ascii="Times New Roman" w:hAnsi="Times New Roman"/>
          <w:lang w:val="sr-Latn-BA"/>
        </w:rPr>
        <w:t>РС</w:t>
      </w:r>
      <w:r w:rsidR="00D15000" w:rsidRPr="0038188C">
        <w:rPr>
          <w:rFonts w:ascii="Times New Roman" w:hAnsi="Times New Roman"/>
          <w:lang w:val="sr-Latn-BA"/>
        </w:rPr>
        <w:t xml:space="preserve"> </w:t>
      </w:r>
      <w:r>
        <w:rPr>
          <w:rFonts w:ascii="Times New Roman" w:hAnsi="Times New Roman"/>
          <w:lang w:val="sr-Latn-BA"/>
        </w:rPr>
        <w:t>и</w:t>
      </w:r>
      <w:r w:rsidR="00D15000" w:rsidRPr="0038188C">
        <w:rPr>
          <w:rFonts w:ascii="Times New Roman" w:hAnsi="Times New Roman"/>
          <w:lang w:val="sr-Latn-BA"/>
        </w:rPr>
        <w:t xml:space="preserve"> </w:t>
      </w:r>
      <w:r>
        <w:rPr>
          <w:rFonts w:ascii="Times New Roman" w:hAnsi="Times New Roman"/>
          <w:lang w:val="sr-Latn-BA"/>
        </w:rPr>
        <w:t>реализ</w:t>
      </w:r>
      <w:r w:rsidR="000A6D06">
        <w:rPr>
          <w:rFonts w:ascii="Times New Roman" w:hAnsi="Times New Roman"/>
          <w:lang w:val="sr-Cyrl-BA"/>
        </w:rPr>
        <w:t>оване</w:t>
      </w:r>
      <w:r w:rsidR="00D15000" w:rsidRPr="0038188C">
        <w:rPr>
          <w:rFonts w:ascii="Times New Roman" w:hAnsi="Times New Roman"/>
          <w:lang w:val="sr-Latn-BA"/>
        </w:rPr>
        <w:t xml:space="preserve"> </w:t>
      </w:r>
      <w:r>
        <w:rPr>
          <w:rFonts w:ascii="Times New Roman" w:hAnsi="Times New Roman"/>
          <w:lang w:val="sr-Latn-BA"/>
        </w:rPr>
        <w:t>су</w:t>
      </w:r>
      <w:r w:rsidR="00D15000" w:rsidRPr="0038188C">
        <w:rPr>
          <w:rFonts w:ascii="Times New Roman" w:hAnsi="Times New Roman"/>
          <w:lang w:val="sr-Latn-BA"/>
        </w:rPr>
        <w:t xml:space="preserve"> </w:t>
      </w:r>
      <w:r>
        <w:rPr>
          <w:rFonts w:ascii="Times New Roman" w:hAnsi="Times New Roman"/>
          <w:lang w:val="sr-Latn-BA"/>
        </w:rPr>
        <w:t>кампање</w:t>
      </w:r>
      <w:r w:rsidR="00D15000" w:rsidRPr="0038188C">
        <w:rPr>
          <w:rFonts w:ascii="Times New Roman" w:hAnsi="Times New Roman"/>
          <w:lang w:val="sr-Latn-BA"/>
        </w:rPr>
        <w:t xml:space="preserve"> </w:t>
      </w:r>
      <w:r>
        <w:rPr>
          <w:rFonts w:ascii="Times New Roman" w:hAnsi="Times New Roman"/>
          <w:lang w:val="sr-Latn-BA"/>
        </w:rPr>
        <w:t>под</w:t>
      </w:r>
      <w:r w:rsidR="00D15000" w:rsidRPr="0038188C">
        <w:rPr>
          <w:rFonts w:ascii="Times New Roman" w:hAnsi="Times New Roman"/>
          <w:lang w:val="sr-Latn-BA"/>
        </w:rPr>
        <w:t xml:space="preserve"> </w:t>
      </w:r>
      <w:r>
        <w:rPr>
          <w:rFonts w:ascii="Times New Roman" w:hAnsi="Times New Roman"/>
          <w:lang w:val="sr-Latn-BA"/>
        </w:rPr>
        <w:t>називом</w:t>
      </w:r>
      <w:r w:rsidR="00D15000" w:rsidRPr="0038188C">
        <w:rPr>
          <w:rFonts w:ascii="Times New Roman" w:hAnsi="Times New Roman"/>
          <w:lang w:val="sr-Latn-BA"/>
        </w:rPr>
        <w:t xml:space="preserve"> „</w:t>
      </w:r>
      <w:r>
        <w:rPr>
          <w:rFonts w:ascii="Times New Roman" w:hAnsi="Times New Roman"/>
          <w:lang w:val="sr-Latn-BA"/>
        </w:rPr>
        <w:t>Бијела</w:t>
      </w:r>
      <w:r w:rsidR="00D15000" w:rsidRPr="0038188C">
        <w:rPr>
          <w:rFonts w:ascii="Times New Roman" w:hAnsi="Times New Roman"/>
          <w:lang w:val="sr-Latn-BA"/>
        </w:rPr>
        <w:t xml:space="preserve"> </w:t>
      </w:r>
      <w:r>
        <w:rPr>
          <w:rFonts w:ascii="Times New Roman" w:hAnsi="Times New Roman"/>
          <w:lang w:val="sr-Latn-BA"/>
        </w:rPr>
        <w:t>врпца</w:t>
      </w:r>
      <w:r w:rsidR="005155D7" w:rsidRPr="0038188C">
        <w:rPr>
          <w:rFonts w:ascii="Times New Roman" w:hAnsi="Times New Roman"/>
          <w:lang w:val="sr-Latn-BA"/>
        </w:rPr>
        <w:t xml:space="preserve"> - </w:t>
      </w:r>
      <w:r>
        <w:rPr>
          <w:rFonts w:ascii="Times New Roman" w:hAnsi="Times New Roman"/>
          <w:lang w:val="sr-Latn-BA"/>
        </w:rPr>
        <w:t>Мушко</w:t>
      </w:r>
      <w:r w:rsidR="005155D7" w:rsidRPr="0038188C">
        <w:rPr>
          <w:rFonts w:ascii="Times New Roman" w:hAnsi="Times New Roman"/>
          <w:lang w:val="sr-Latn-BA"/>
        </w:rPr>
        <w:t xml:space="preserve"> </w:t>
      </w:r>
      <w:r>
        <w:rPr>
          <w:rFonts w:ascii="Times New Roman" w:hAnsi="Times New Roman"/>
          <w:lang w:val="sr-Latn-BA"/>
        </w:rPr>
        <w:t>НЕ</w:t>
      </w:r>
      <w:r w:rsidR="005155D7" w:rsidRPr="0038188C">
        <w:rPr>
          <w:rFonts w:ascii="Times New Roman" w:hAnsi="Times New Roman"/>
          <w:lang w:val="sr-Latn-BA"/>
        </w:rPr>
        <w:t xml:space="preserve"> </w:t>
      </w:r>
      <w:r>
        <w:rPr>
          <w:rFonts w:ascii="Times New Roman" w:hAnsi="Times New Roman"/>
          <w:lang w:val="sr-Latn-BA"/>
        </w:rPr>
        <w:t>насиљу</w:t>
      </w:r>
      <w:r w:rsidR="005155D7" w:rsidRPr="0038188C">
        <w:rPr>
          <w:rFonts w:ascii="Times New Roman" w:hAnsi="Times New Roman"/>
          <w:lang w:val="sr-Latn-BA"/>
        </w:rPr>
        <w:t xml:space="preserve"> </w:t>
      </w:r>
      <w:r>
        <w:rPr>
          <w:rFonts w:ascii="Times New Roman" w:hAnsi="Times New Roman"/>
          <w:lang w:val="sr-Latn-BA"/>
        </w:rPr>
        <w:t>над</w:t>
      </w:r>
      <w:r w:rsidR="005155D7" w:rsidRPr="0038188C">
        <w:rPr>
          <w:rFonts w:ascii="Times New Roman" w:hAnsi="Times New Roman"/>
          <w:lang w:val="sr-Latn-BA"/>
        </w:rPr>
        <w:t xml:space="preserve"> </w:t>
      </w:r>
      <w:r>
        <w:rPr>
          <w:rFonts w:ascii="Times New Roman" w:hAnsi="Times New Roman"/>
          <w:lang w:val="sr-Latn-BA"/>
        </w:rPr>
        <w:t>женама</w:t>
      </w:r>
      <w:r w:rsidR="005155D7" w:rsidRPr="0038188C">
        <w:rPr>
          <w:rFonts w:ascii="Times New Roman" w:hAnsi="Times New Roman"/>
          <w:lang w:val="sr-Latn-BA"/>
        </w:rPr>
        <w:t>“</w:t>
      </w:r>
      <w:r w:rsidR="00D15000" w:rsidRPr="0038188C">
        <w:rPr>
          <w:rFonts w:ascii="Times New Roman" w:hAnsi="Times New Roman"/>
          <w:lang w:val="sr-Latn-BA"/>
        </w:rPr>
        <w:t xml:space="preserve"> </w:t>
      </w:r>
      <w:r>
        <w:rPr>
          <w:rFonts w:ascii="Times New Roman" w:hAnsi="Times New Roman"/>
          <w:lang w:val="sr-Latn-BA"/>
        </w:rPr>
        <w:t>и</w:t>
      </w:r>
      <w:r w:rsidR="00D15000" w:rsidRPr="0038188C">
        <w:rPr>
          <w:rFonts w:ascii="Times New Roman" w:hAnsi="Times New Roman"/>
          <w:lang w:val="sr-Latn-BA"/>
        </w:rPr>
        <w:t xml:space="preserve"> „</w:t>
      </w:r>
      <w:r>
        <w:rPr>
          <w:rFonts w:ascii="Times New Roman" w:hAnsi="Times New Roman"/>
          <w:lang w:val="sr-Latn-BA"/>
        </w:rPr>
        <w:t>Стоп</w:t>
      </w:r>
      <w:r w:rsidR="00D15000" w:rsidRPr="0038188C">
        <w:rPr>
          <w:rFonts w:ascii="Times New Roman" w:hAnsi="Times New Roman"/>
          <w:lang w:val="sr-Latn-BA"/>
        </w:rPr>
        <w:t xml:space="preserve"> </w:t>
      </w:r>
      <w:r>
        <w:rPr>
          <w:rFonts w:ascii="Times New Roman" w:hAnsi="Times New Roman"/>
          <w:lang w:val="sr-Latn-BA"/>
        </w:rPr>
        <w:t>насиљу</w:t>
      </w:r>
      <w:r w:rsidR="00D15000" w:rsidRPr="0038188C">
        <w:rPr>
          <w:rFonts w:ascii="Times New Roman" w:hAnsi="Times New Roman"/>
          <w:lang w:val="sr-Latn-BA"/>
        </w:rPr>
        <w:t xml:space="preserve"> </w:t>
      </w:r>
      <w:r>
        <w:rPr>
          <w:rFonts w:ascii="Times New Roman" w:hAnsi="Times New Roman"/>
          <w:lang w:val="sr-Latn-BA"/>
        </w:rPr>
        <w:t>над</w:t>
      </w:r>
      <w:r w:rsidR="00D15000" w:rsidRPr="0038188C">
        <w:rPr>
          <w:rFonts w:ascii="Times New Roman" w:hAnsi="Times New Roman"/>
          <w:lang w:val="sr-Latn-BA"/>
        </w:rPr>
        <w:t xml:space="preserve"> </w:t>
      </w:r>
      <w:r>
        <w:rPr>
          <w:rFonts w:ascii="Times New Roman" w:hAnsi="Times New Roman"/>
          <w:lang w:val="sr-Latn-BA"/>
        </w:rPr>
        <w:t>женама</w:t>
      </w:r>
      <w:r w:rsidR="00D15000" w:rsidRPr="0038188C">
        <w:rPr>
          <w:rFonts w:ascii="Times New Roman" w:hAnsi="Times New Roman"/>
          <w:lang w:val="sr-Latn-BA"/>
        </w:rPr>
        <w:t xml:space="preserve"> - </w:t>
      </w:r>
      <w:r>
        <w:rPr>
          <w:rFonts w:ascii="Times New Roman" w:hAnsi="Times New Roman"/>
          <w:lang w:val="sr-Latn-BA"/>
        </w:rPr>
        <w:t>Ниједна</w:t>
      </w:r>
      <w:r w:rsidR="00D15000" w:rsidRPr="0038188C">
        <w:rPr>
          <w:rFonts w:ascii="Times New Roman" w:hAnsi="Times New Roman"/>
          <w:lang w:val="sr-Latn-BA"/>
        </w:rPr>
        <w:t xml:space="preserve"> </w:t>
      </w:r>
      <w:r>
        <w:rPr>
          <w:rFonts w:ascii="Times New Roman" w:hAnsi="Times New Roman"/>
          <w:lang w:val="sr-Latn-BA"/>
        </w:rPr>
        <w:t>жртва</w:t>
      </w:r>
      <w:r w:rsidR="00D15000" w:rsidRPr="0038188C">
        <w:rPr>
          <w:rFonts w:ascii="Times New Roman" w:hAnsi="Times New Roman"/>
          <w:lang w:val="sr-Latn-BA"/>
        </w:rPr>
        <w:t xml:space="preserve"> </w:t>
      </w:r>
      <w:r>
        <w:rPr>
          <w:rFonts w:ascii="Times New Roman" w:hAnsi="Times New Roman"/>
          <w:lang w:val="sr-Latn-BA"/>
        </w:rPr>
        <w:t>више</w:t>
      </w:r>
      <w:r w:rsidR="00D15000" w:rsidRPr="0038188C">
        <w:rPr>
          <w:rFonts w:ascii="Times New Roman" w:hAnsi="Times New Roman"/>
          <w:lang w:val="sr-Latn-BA"/>
        </w:rPr>
        <w:t xml:space="preserve">“. </w:t>
      </w:r>
      <w:r>
        <w:rPr>
          <w:rFonts w:ascii="Times New Roman" w:hAnsi="Times New Roman"/>
          <w:lang w:val="sr-Latn-BA"/>
        </w:rPr>
        <w:t>Укупна</w:t>
      </w:r>
      <w:r w:rsidR="00D15000" w:rsidRPr="0038188C">
        <w:rPr>
          <w:rFonts w:ascii="Times New Roman" w:hAnsi="Times New Roman"/>
          <w:lang w:val="sr-Latn-BA"/>
        </w:rPr>
        <w:t xml:space="preserve"> </w:t>
      </w:r>
      <w:r>
        <w:rPr>
          <w:rFonts w:ascii="Times New Roman" w:hAnsi="Times New Roman"/>
          <w:lang w:val="sr-Latn-BA"/>
        </w:rPr>
        <w:t>видљивост</w:t>
      </w:r>
      <w:r w:rsidR="00D15000" w:rsidRPr="0038188C">
        <w:rPr>
          <w:rFonts w:ascii="Times New Roman" w:hAnsi="Times New Roman"/>
          <w:lang w:val="sr-Latn-BA"/>
        </w:rPr>
        <w:t xml:space="preserve"> </w:t>
      </w:r>
      <w:r>
        <w:rPr>
          <w:rFonts w:ascii="Times New Roman" w:hAnsi="Times New Roman"/>
          <w:lang w:val="sr-Latn-BA"/>
        </w:rPr>
        <w:t>објава</w:t>
      </w:r>
      <w:r w:rsidR="00D15000" w:rsidRPr="0038188C">
        <w:rPr>
          <w:rFonts w:ascii="Times New Roman" w:hAnsi="Times New Roman"/>
          <w:lang w:val="sr-Latn-BA"/>
        </w:rPr>
        <w:t xml:space="preserve"> </w:t>
      </w:r>
      <w:r>
        <w:rPr>
          <w:rFonts w:ascii="Times New Roman" w:hAnsi="Times New Roman"/>
          <w:lang w:val="sr-Latn-BA"/>
        </w:rPr>
        <w:t>ЦЈРП</w:t>
      </w:r>
      <w:r w:rsidR="00D15000" w:rsidRPr="0038188C">
        <w:rPr>
          <w:rFonts w:ascii="Times New Roman" w:hAnsi="Times New Roman"/>
          <w:lang w:val="sr-Latn-BA"/>
        </w:rPr>
        <w:t xml:space="preserve"> </w:t>
      </w:r>
      <w:r>
        <w:rPr>
          <w:rFonts w:ascii="Times New Roman" w:hAnsi="Times New Roman"/>
          <w:lang w:val="sr-Latn-BA"/>
        </w:rPr>
        <w:t>РС</w:t>
      </w:r>
      <w:r w:rsidR="00D15000" w:rsidRPr="0038188C">
        <w:rPr>
          <w:rFonts w:ascii="Times New Roman" w:hAnsi="Times New Roman"/>
          <w:lang w:val="sr-Latn-BA"/>
        </w:rPr>
        <w:t xml:space="preserve"> </w:t>
      </w:r>
      <w:r>
        <w:rPr>
          <w:rFonts w:ascii="Times New Roman" w:hAnsi="Times New Roman"/>
          <w:lang w:val="sr-Latn-BA"/>
        </w:rPr>
        <w:t>је</w:t>
      </w:r>
      <w:r w:rsidR="00D15000" w:rsidRPr="0038188C">
        <w:rPr>
          <w:rFonts w:ascii="Times New Roman" w:hAnsi="Times New Roman"/>
          <w:lang w:val="sr-Latn-BA"/>
        </w:rPr>
        <w:t xml:space="preserve"> </w:t>
      </w:r>
      <w:r>
        <w:rPr>
          <w:rFonts w:ascii="Times New Roman" w:hAnsi="Times New Roman"/>
          <w:lang w:val="sr-Latn-BA"/>
        </w:rPr>
        <w:t>преко</w:t>
      </w:r>
      <w:r w:rsidR="00D15000" w:rsidRPr="0038188C">
        <w:rPr>
          <w:rFonts w:ascii="Times New Roman" w:hAnsi="Times New Roman"/>
          <w:lang w:val="sr-Latn-BA"/>
        </w:rPr>
        <w:t xml:space="preserve"> 30.000. </w:t>
      </w:r>
      <w:r>
        <w:rPr>
          <w:rFonts w:ascii="Times New Roman" w:hAnsi="Times New Roman"/>
          <w:lang w:val="sr-Latn-BA"/>
        </w:rPr>
        <w:t>Поред</w:t>
      </w:r>
      <w:r w:rsidR="00D15000" w:rsidRPr="0038188C">
        <w:rPr>
          <w:rFonts w:ascii="Times New Roman" w:hAnsi="Times New Roman"/>
          <w:lang w:val="sr-Latn-BA"/>
        </w:rPr>
        <w:t xml:space="preserve"> </w:t>
      </w:r>
      <w:r>
        <w:rPr>
          <w:rFonts w:ascii="Times New Roman" w:hAnsi="Times New Roman"/>
          <w:lang w:val="sr-Latn-BA"/>
        </w:rPr>
        <w:t>ових</w:t>
      </w:r>
      <w:r w:rsidR="00D15000" w:rsidRPr="0038188C">
        <w:rPr>
          <w:rFonts w:ascii="Times New Roman" w:hAnsi="Times New Roman"/>
          <w:lang w:val="sr-Latn-BA"/>
        </w:rPr>
        <w:t xml:space="preserve"> </w:t>
      </w:r>
      <w:r>
        <w:rPr>
          <w:rFonts w:ascii="Times New Roman" w:hAnsi="Times New Roman"/>
          <w:lang w:val="sr-Latn-BA"/>
        </w:rPr>
        <w:t>кампања</w:t>
      </w:r>
      <w:r w:rsidR="00D15000" w:rsidRPr="0038188C">
        <w:rPr>
          <w:rFonts w:ascii="Times New Roman" w:hAnsi="Times New Roman"/>
          <w:lang w:val="sr-Latn-BA"/>
        </w:rPr>
        <w:t xml:space="preserve">, </w:t>
      </w:r>
      <w:r>
        <w:rPr>
          <w:rFonts w:ascii="Times New Roman" w:hAnsi="Times New Roman"/>
          <w:lang w:val="sr-Latn-BA"/>
        </w:rPr>
        <w:t>реализ</w:t>
      </w:r>
      <w:r w:rsidR="000A6D06">
        <w:rPr>
          <w:rFonts w:ascii="Times New Roman" w:hAnsi="Times New Roman"/>
          <w:lang w:val="sr-Cyrl-BA"/>
        </w:rPr>
        <w:t>оване</w:t>
      </w:r>
      <w:r w:rsidR="00D15000" w:rsidRPr="0038188C">
        <w:rPr>
          <w:rFonts w:ascii="Times New Roman" w:hAnsi="Times New Roman"/>
          <w:lang w:val="sr-Latn-BA"/>
        </w:rPr>
        <w:t xml:space="preserve"> </w:t>
      </w:r>
      <w:r>
        <w:rPr>
          <w:rFonts w:ascii="Times New Roman" w:hAnsi="Times New Roman"/>
          <w:lang w:val="sr-Latn-BA"/>
        </w:rPr>
        <w:t>су</w:t>
      </w:r>
      <w:r w:rsidR="00D15000" w:rsidRPr="0038188C">
        <w:rPr>
          <w:rFonts w:ascii="Times New Roman" w:hAnsi="Times New Roman"/>
          <w:lang w:val="sr-Latn-BA"/>
        </w:rPr>
        <w:t xml:space="preserve"> </w:t>
      </w:r>
      <w:r>
        <w:rPr>
          <w:rFonts w:ascii="Times New Roman" w:hAnsi="Times New Roman"/>
          <w:lang w:val="sr-Latn-BA"/>
        </w:rPr>
        <w:t>кампање</w:t>
      </w:r>
      <w:r w:rsidR="00D15000" w:rsidRPr="0038188C">
        <w:rPr>
          <w:rFonts w:ascii="Times New Roman" w:hAnsi="Times New Roman"/>
          <w:lang w:val="sr-Latn-BA"/>
        </w:rPr>
        <w:t>: „</w:t>
      </w:r>
      <w:r>
        <w:rPr>
          <w:rFonts w:ascii="Times New Roman" w:hAnsi="Times New Roman"/>
          <w:lang w:val="sr-Latn-BA"/>
        </w:rPr>
        <w:t>Стоп</w:t>
      </w:r>
      <w:r w:rsidR="00D15000" w:rsidRPr="0038188C">
        <w:rPr>
          <w:rFonts w:ascii="Times New Roman" w:hAnsi="Times New Roman"/>
          <w:lang w:val="sr-Latn-BA"/>
        </w:rPr>
        <w:t xml:space="preserve"> </w:t>
      </w:r>
      <w:r>
        <w:rPr>
          <w:rFonts w:ascii="Times New Roman" w:hAnsi="Times New Roman"/>
          <w:lang w:val="sr-Latn-BA"/>
        </w:rPr>
        <w:t>вршњачком</w:t>
      </w:r>
      <w:r w:rsidR="00D15000" w:rsidRPr="0038188C">
        <w:rPr>
          <w:rFonts w:ascii="Times New Roman" w:hAnsi="Times New Roman"/>
          <w:lang w:val="sr-Latn-BA"/>
        </w:rPr>
        <w:t xml:space="preserve"> </w:t>
      </w:r>
      <w:r>
        <w:rPr>
          <w:rFonts w:ascii="Times New Roman" w:hAnsi="Times New Roman"/>
          <w:lang w:val="sr-Latn-BA"/>
        </w:rPr>
        <w:t>насиљу</w:t>
      </w:r>
      <w:r w:rsidR="00D15000" w:rsidRPr="0038188C">
        <w:rPr>
          <w:rFonts w:ascii="Times New Roman" w:hAnsi="Times New Roman"/>
          <w:lang w:val="sr-Latn-BA"/>
        </w:rPr>
        <w:t xml:space="preserve">“ </w:t>
      </w:r>
      <w:r>
        <w:rPr>
          <w:rFonts w:ascii="Times New Roman" w:hAnsi="Times New Roman"/>
          <w:lang w:val="sr-Latn-BA"/>
        </w:rPr>
        <w:t>МПК</w:t>
      </w:r>
      <w:r w:rsidR="00D15000" w:rsidRPr="0038188C">
        <w:rPr>
          <w:rFonts w:ascii="Times New Roman" w:hAnsi="Times New Roman"/>
          <w:lang w:val="sr-Latn-BA"/>
        </w:rPr>
        <w:t xml:space="preserve"> </w:t>
      </w:r>
      <w:r>
        <w:rPr>
          <w:rFonts w:ascii="Times New Roman" w:hAnsi="Times New Roman"/>
          <w:lang w:val="sr-Latn-BA"/>
        </w:rPr>
        <w:t>РС</w:t>
      </w:r>
      <w:r w:rsidR="00D15000" w:rsidRPr="0038188C">
        <w:rPr>
          <w:rFonts w:ascii="Times New Roman" w:hAnsi="Times New Roman"/>
          <w:lang w:val="sr-Latn-BA"/>
        </w:rPr>
        <w:t>, „</w:t>
      </w:r>
      <w:r>
        <w:rPr>
          <w:rFonts w:ascii="Times New Roman" w:hAnsi="Times New Roman"/>
          <w:lang w:val="sr-Latn-BA"/>
        </w:rPr>
        <w:t>Искључимо</w:t>
      </w:r>
      <w:r w:rsidR="00D15000" w:rsidRPr="0038188C">
        <w:rPr>
          <w:rFonts w:ascii="Times New Roman" w:hAnsi="Times New Roman"/>
          <w:lang w:val="sr-Latn-BA"/>
        </w:rPr>
        <w:t xml:space="preserve"> </w:t>
      </w:r>
      <w:r>
        <w:rPr>
          <w:rFonts w:ascii="Times New Roman" w:hAnsi="Times New Roman"/>
          <w:lang w:val="sr-Latn-BA"/>
        </w:rPr>
        <w:t>насиље</w:t>
      </w:r>
      <w:r w:rsidR="00D15000" w:rsidRPr="0038188C">
        <w:rPr>
          <w:rFonts w:ascii="Times New Roman" w:hAnsi="Times New Roman"/>
          <w:lang w:val="sr-Latn-BA"/>
        </w:rPr>
        <w:t xml:space="preserve"> </w:t>
      </w:r>
      <w:r>
        <w:rPr>
          <w:rFonts w:ascii="Times New Roman" w:hAnsi="Times New Roman"/>
          <w:lang w:val="sr-Latn-BA"/>
        </w:rPr>
        <w:t>заједно</w:t>
      </w:r>
      <w:r w:rsidR="00D15000" w:rsidRPr="0038188C">
        <w:rPr>
          <w:rFonts w:ascii="Times New Roman" w:hAnsi="Times New Roman"/>
          <w:lang w:val="sr-Latn-BA"/>
        </w:rPr>
        <w:t xml:space="preserve">“ </w:t>
      </w:r>
      <w:r>
        <w:rPr>
          <w:rFonts w:ascii="Times New Roman" w:hAnsi="Times New Roman"/>
          <w:lang w:val="sr-Latn-BA"/>
        </w:rPr>
        <w:t>у</w:t>
      </w:r>
      <w:r w:rsidR="00D15000" w:rsidRPr="0038188C">
        <w:rPr>
          <w:rFonts w:ascii="Times New Roman" w:hAnsi="Times New Roman"/>
          <w:lang w:val="sr-Latn-BA"/>
        </w:rPr>
        <w:t xml:space="preserve"> </w:t>
      </w:r>
      <w:r>
        <w:rPr>
          <w:rFonts w:ascii="Times New Roman" w:hAnsi="Times New Roman"/>
          <w:lang w:val="sr-Latn-BA"/>
        </w:rPr>
        <w:t>организацији</w:t>
      </w:r>
      <w:r w:rsidR="00D15000" w:rsidRPr="0038188C">
        <w:rPr>
          <w:rFonts w:ascii="Times New Roman" w:hAnsi="Times New Roman"/>
          <w:lang w:val="sr-Latn-BA"/>
        </w:rPr>
        <w:t xml:space="preserve"> </w:t>
      </w:r>
      <w:r w:rsidR="000A6D06" w:rsidRPr="000A6D06">
        <w:rPr>
          <w:rFonts w:ascii="Times New Roman" w:hAnsi="Times New Roman"/>
          <w:i/>
          <w:lang w:val="sr-Latn-BA"/>
        </w:rPr>
        <w:t xml:space="preserve">UN Women </w:t>
      </w:r>
      <w:r>
        <w:rPr>
          <w:rFonts w:ascii="Times New Roman" w:hAnsi="Times New Roman"/>
          <w:lang w:val="sr-Latn-BA"/>
        </w:rPr>
        <w:t>и</w:t>
      </w:r>
      <w:r w:rsidR="00D15000" w:rsidRPr="0038188C">
        <w:rPr>
          <w:rFonts w:ascii="Times New Roman" w:hAnsi="Times New Roman"/>
          <w:lang w:val="sr-Latn-BA"/>
        </w:rPr>
        <w:t xml:space="preserve"> </w:t>
      </w:r>
      <w:r>
        <w:rPr>
          <w:rFonts w:ascii="Times New Roman" w:hAnsi="Times New Roman"/>
          <w:lang w:val="sr-Latn-BA"/>
        </w:rPr>
        <w:t>МУП</w:t>
      </w:r>
      <w:r w:rsidR="00D15000" w:rsidRPr="0038188C">
        <w:rPr>
          <w:rFonts w:ascii="Times New Roman" w:hAnsi="Times New Roman"/>
          <w:lang w:val="sr-Latn-BA"/>
        </w:rPr>
        <w:t xml:space="preserve"> </w:t>
      </w:r>
      <w:r>
        <w:rPr>
          <w:rFonts w:ascii="Times New Roman" w:hAnsi="Times New Roman"/>
          <w:lang w:val="sr-Latn-BA"/>
        </w:rPr>
        <w:t>РС</w:t>
      </w:r>
      <w:r w:rsidR="00D15000" w:rsidRPr="0038188C">
        <w:rPr>
          <w:rFonts w:ascii="Times New Roman" w:hAnsi="Times New Roman"/>
          <w:lang w:val="sr-Latn-BA"/>
        </w:rPr>
        <w:t xml:space="preserve">, </w:t>
      </w:r>
      <w:r>
        <w:rPr>
          <w:rFonts w:ascii="Times New Roman" w:hAnsi="Times New Roman"/>
          <w:lang w:val="sr-Latn-BA"/>
        </w:rPr>
        <w:t>као</w:t>
      </w:r>
      <w:r w:rsidR="00D15000" w:rsidRPr="0038188C">
        <w:rPr>
          <w:rFonts w:ascii="Times New Roman" w:hAnsi="Times New Roman"/>
          <w:lang w:val="sr-Latn-BA"/>
        </w:rPr>
        <w:t xml:space="preserve"> </w:t>
      </w:r>
      <w:r>
        <w:rPr>
          <w:rFonts w:ascii="Times New Roman" w:hAnsi="Times New Roman"/>
          <w:lang w:val="sr-Latn-BA"/>
        </w:rPr>
        <w:t>и</w:t>
      </w:r>
      <w:r w:rsidR="00D15000" w:rsidRPr="0038188C">
        <w:rPr>
          <w:rFonts w:ascii="Times New Roman" w:hAnsi="Times New Roman"/>
          <w:lang w:val="sr-Latn-BA"/>
        </w:rPr>
        <w:t xml:space="preserve"> </w:t>
      </w:r>
      <w:r>
        <w:rPr>
          <w:rFonts w:ascii="Times New Roman" w:hAnsi="Times New Roman"/>
          <w:lang w:val="sr-Latn-BA"/>
        </w:rPr>
        <w:t>превентивне</w:t>
      </w:r>
      <w:r w:rsidR="00D15000" w:rsidRPr="0038188C">
        <w:rPr>
          <w:rFonts w:ascii="Times New Roman" w:hAnsi="Times New Roman"/>
          <w:lang w:val="sr-Latn-BA"/>
        </w:rPr>
        <w:t xml:space="preserve"> </w:t>
      </w:r>
      <w:r>
        <w:rPr>
          <w:rFonts w:ascii="Times New Roman" w:hAnsi="Times New Roman"/>
          <w:lang w:val="sr-Latn-BA"/>
        </w:rPr>
        <w:t>кампање</w:t>
      </w:r>
      <w:r w:rsidR="00D15000" w:rsidRPr="0038188C">
        <w:rPr>
          <w:rFonts w:ascii="Times New Roman" w:hAnsi="Times New Roman"/>
          <w:lang w:val="sr-Latn-BA"/>
        </w:rPr>
        <w:t xml:space="preserve"> </w:t>
      </w:r>
      <w:r>
        <w:rPr>
          <w:rFonts w:ascii="Times New Roman" w:hAnsi="Times New Roman"/>
          <w:lang w:val="sr-Latn-BA"/>
        </w:rPr>
        <w:t>МУП</w:t>
      </w:r>
      <w:r w:rsidR="00D15000" w:rsidRPr="0038188C">
        <w:rPr>
          <w:rFonts w:ascii="Times New Roman" w:hAnsi="Times New Roman"/>
          <w:lang w:val="sr-Latn-BA"/>
        </w:rPr>
        <w:t xml:space="preserve"> </w:t>
      </w:r>
      <w:r>
        <w:rPr>
          <w:rFonts w:ascii="Times New Roman" w:hAnsi="Times New Roman"/>
          <w:lang w:val="sr-Latn-BA"/>
        </w:rPr>
        <w:t>РС</w:t>
      </w:r>
      <w:r w:rsidR="00D15000" w:rsidRPr="0038188C">
        <w:rPr>
          <w:rFonts w:ascii="Times New Roman" w:hAnsi="Times New Roman"/>
          <w:lang w:val="sr-Latn-BA"/>
        </w:rPr>
        <w:t xml:space="preserve"> „</w:t>
      </w:r>
      <w:r>
        <w:rPr>
          <w:rFonts w:ascii="Times New Roman" w:hAnsi="Times New Roman"/>
          <w:lang w:val="sr-Latn-BA"/>
        </w:rPr>
        <w:t>Оружје</w:t>
      </w:r>
      <w:r w:rsidR="00D15000" w:rsidRPr="0038188C">
        <w:rPr>
          <w:rFonts w:ascii="Times New Roman" w:hAnsi="Times New Roman"/>
          <w:lang w:val="sr-Latn-BA"/>
        </w:rPr>
        <w:t xml:space="preserve"> </w:t>
      </w:r>
      <w:r>
        <w:rPr>
          <w:rFonts w:ascii="Times New Roman" w:hAnsi="Times New Roman"/>
          <w:lang w:val="sr-Latn-BA"/>
        </w:rPr>
        <w:t>не</w:t>
      </w:r>
      <w:r w:rsidR="00D15000" w:rsidRPr="0038188C">
        <w:rPr>
          <w:rFonts w:ascii="Times New Roman" w:hAnsi="Times New Roman"/>
          <w:lang w:val="sr-Latn-BA"/>
        </w:rPr>
        <w:t xml:space="preserve"> </w:t>
      </w:r>
      <w:r>
        <w:rPr>
          <w:rFonts w:ascii="Times New Roman" w:hAnsi="Times New Roman"/>
          <w:lang w:val="sr-Latn-BA"/>
        </w:rPr>
        <w:t>штити</w:t>
      </w:r>
      <w:r w:rsidR="00D15000" w:rsidRPr="0038188C">
        <w:rPr>
          <w:rFonts w:ascii="Times New Roman" w:hAnsi="Times New Roman"/>
          <w:lang w:val="sr-Latn-BA"/>
        </w:rPr>
        <w:t xml:space="preserve">, </w:t>
      </w:r>
      <w:r>
        <w:rPr>
          <w:rFonts w:ascii="Times New Roman" w:hAnsi="Times New Roman"/>
          <w:lang w:val="sr-Latn-BA"/>
        </w:rPr>
        <w:t>оружје</w:t>
      </w:r>
      <w:r w:rsidR="00D15000" w:rsidRPr="0038188C">
        <w:rPr>
          <w:rFonts w:ascii="Times New Roman" w:hAnsi="Times New Roman"/>
          <w:lang w:val="sr-Latn-BA"/>
        </w:rPr>
        <w:t xml:space="preserve"> </w:t>
      </w:r>
      <w:r>
        <w:rPr>
          <w:rFonts w:ascii="Times New Roman" w:hAnsi="Times New Roman"/>
          <w:lang w:val="sr-Latn-BA"/>
        </w:rPr>
        <w:t>убија</w:t>
      </w:r>
      <w:r w:rsidR="00D15000" w:rsidRPr="0038188C">
        <w:rPr>
          <w:rFonts w:ascii="Times New Roman" w:hAnsi="Times New Roman"/>
          <w:lang w:val="sr-Latn-BA"/>
        </w:rPr>
        <w:t xml:space="preserve">“ </w:t>
      </w:r>
      <w:r>
        <w:rPr>
          <w:rFonts w:ascii="Times New Roman" w:hAnsi="Times New Roman"/>
          <w:lang w:val="sr-Latn-BA"/>
        </w:rPr>
        <w:t>и</w:t>
      </w:r>
      <w:r w:rsidR="00D15000" w:rsidRPr="0038188C">
        <w:rPr>
          <w:rFonts w:ascii="Times New Roman" w:hAnsi="Times New Roman"/>
          <w:lang w:val="sr-Latn-BA"/>
        </w:rPr>
        <w:t xml:space="preserve"> „</w:t>
      </w:r>
      <w:r>
        <w:rPr>
          <w:rFonts w:ascii="Times New Roman" w:hAnsi="Times New Roman"/>
          <w:lang w:val="sr-Latn-BA"/>
        </w:rPr>
        <w:t>Славимо</w:t>
      </w:r>
      <w:r w:rsidR="00D15000" w:rsidRPr="0038188C">
        <w:rPr>
          <w:rFonts w:ascii="Times New Roman" w:hAnsi="Times New Roman"/>
          <w:lang w:val="sr-Latn-BA"/>
        </w:rPr>
        <w:t xml:space="preserve"> </w:t>
      </w:r>
      <w:r>
        <w:rPr>
          <w:rFonts w:ascii="Times New Roman" w:hAnsi="Times New Roman"/>
          <w:lang w:val="sr-Latn-BA"/>
        </w:rPr>
        <w:t>одговорно</w:t>
      </w:r>
      <w:r w:rsidR="00D15000" w:rsidRPr="0038188C">
        <w:rPr>
          <w:rFonts w:ascii="Times New Roman" w:hAnsi="Times New Roman"/>
          <w:lang w:val="sr-Latn-BA"/>
        </w:rPr>
        <w:t>“.</w:t>
      </w:r>
    </w:p>
    <w:p w:rsidR="00A92736" w:rsidRPr="00295637" w:rsidRDefault="00A92736" w:rsidP="0086268D">
      <w:pPr>
        <w:rPr>
          <w:lang w:val="bs-Latn-BA"/>
        </w:rPr>
      </w:pPr>
    </w:p>
    <w:p w:rsidR="006C1EAB" w:rsidRPr="00295637" w:rsidRDefault="00C6214E" w:rsidP="006C1EAB">
      <w:pPr>
        <w:tabs>
          <w:tab w:val="left" w:pos="1080"/>
        </w:tabs>
        <w:jc w:val="both"/>
        <w:rPr>
          <w:rFonts w:ascii="Times New Roman" w:hAnsi="Times New Roman"/>
          <w:szCs w:val="24"/>
          <w:lang w:val="bs-Latn-BA"/>
        </w:rPr>
      </w:pPr>
      <w:r>
        <w:rPr>
          <w:rFonts w:ascii="Times New Roman" w:hAnsi="Times New Roman"/>
          <w:szCs w:val="24"/>
          <w:lang w:val="bs-Latn-BA"/>
        </w:rPr>
        <w:t>Кампања</w:t>
      </w:r>
      <w:r w:rsidR="006C1EAB" w:rsidRPr="00295637">
        <w:rPr>
          <w:rFonts w:ascii="Times New Roman" w:hAnsi="Times New Roman"/>
          <w:szCs w:val="24"/>
          <w:lang w:val="bs-Latn-BA"/>
        </w:rPr>
        <w:t xml:space="preserve"> „16 </w:t>
      </w:r>
      <w:r>
        <w:rPr>
          <w:rFonts w:ascii="Times New Roman" w:hAnsi="Times New Roman"/>
          <w:szCs w:val="24"/>
          <w:lang w:val="bs-Latn-BA"/>
        </w:rPr>
        <w:t>дана</w:t>
      </w:r>
      <w:r w:rsidR="006C1EAB" w:rsidRPr="00295637">
        <w:rPr>
          <w:rFonts w:ascii="Times New Roman" w:hAnsi="Times New Roman"/>
          <w:szCs w:val="24"/>
          <w:lang w:val="bs-Latn-BA"/>
        </w:rPr>
        <w:t xml:space="preserve"> </w:t>
      </w:r>
      <w:r>
        <w:rPr>
          <w:rFonts w:ascii="Times New Roman" w:hAnsi="Times New Roman"/>
          <w:szCs w:val="24"/>
          <w:lang w:val="bs-Latn-BA"/>
        </w:rPr>
        <w:t>активизма</w:t>
      </w:r>
      <w:r w:rsidR="006C1EAB">
        <w:rPr>
          <w:rFonts w:ascii="Times New Roman" w:hAnsi="Times New Roman"/>
          <w:szCs w:val="24"/>
          <w:lang w:val="bs-Latn-BA"/>
        </w:rPr>
        <w:t xml:space="preserve"> </w:t>
      </w:r>
      <w:r>
        <w:rPr>
          <w:rFonts w:ascii="Times New Roman" w:hAnsi="Times New Roman"/>
          <w:szCs w:val="24"/>
          <w:lang w:val="bs-Latn-BA"/>
        </w:rPr>
        <w:t>против</w:t>
      </w:r>
      <w:r w:rsidR="006C1EAB">
        <w:rPr>
          <w:rFonts w:ascii="Times New Roman" w:hAnsi="Times New Roman"/>
          <w:szCs w:val="24"/>
          <w:lang w:val="bs-Latn-BA"/>
        </w:rPr>
        <w:t xml:space="preserve"> </w:t>
      </w:r>
      <w:r>
        <w:rPr>
          <w:rFonts w:ascii="Times New Roman" w:hAnsi="Times New Roman"/>
          <w:szCs w:val="24"/>
          <w:lang w:val="bs-Latn-BA"/>
        </w:rPr>
        <w:t>насиља</w:t>
      </w:r>
      <w:r w:rsidR="006C1EAB">
        <w:rPr>
          <w:rFonts w:ascii="Times New Roman" w:hAnsi="Times New Roman"/>
          <w:szCs w:val="24"/>
          <w:lang w:val="bs-Latn-BA"/>
        </w:rPr>
        <w:t xml:space="preserve"> </w:t>
      </w:r>
      <w:r>
        <w:rPr>
          <w:rFonts w:ascii="Times New Roman" w:hAnsi="Times New Roman"/>
          <w:szCs w:val="24"/>
          <w:lang w:val="bs-Latn-BA"/>
        </w:rPr>
        <w:t>над</w:t>
      </w:r>
      <w:r w:rsidR="005155D7">
        <w:rPr>
          <w:rFonts w:ascii="Times New Roman" w:hAnsi="Times New Roman"/>
          <w:szCs w:val="24"/>
          <w:lang w:val="bs-Latn-BA"/>
        </w:rPr>
        <w:t xml:space="preserve"> </w:t>
      </w:r>
      <w:r>
        <w:rPr>
          <w:rFonts w:ascii="Times New Roman" w:hAnsi="Times New Roman"/>
          <w:szCs w:val="24"/>
          <w:lang w:val="bs-Latn-BA"/>
        </w:rPr>
        <w:t>женама</w:t>
      </w:r>
      <w:r w:rsidR="005155D7">
        <w:rPr>
          <w:rFonts w:ascii="Times New Roman" w:hAnsi="Times New Roman"/>
          <w:szCs w:val="24"/>
          <w:lang w:val="bs-Latn-BA"/>
        </w:rPr>
        <w:t xml:space="preserve">“ </w:t>
      </w:r>
      <w:r>
        <w:rPr>
          <w:rFonts w:ascii="Times New Roman" w:hAnsi="Times New Roman"/>
          <w:szCs w:val="24"/>
          <w:lang w:val="bs-Latn-BA"/>
        </w:rPr>
        <w:t>је</w:t>
      </w:r>
      <w:r w:rsidR="005155D7">
        <w:rPr>
          <w:rFonts w:ascii="Times New Roman" w:hAnsi="Times New Roman"/>
          <w:szCs w:val="24"/>
          <w:lang w:val="bs-Latn-BA"/>
        </w:rPr>
        <w:t xml:space="preserve"> </w:t>
      </w:r>
      <w:r>
        <w:rPr>
          <w:rFonts w:ascii="Times New Roman" w:hAnsi="Times New Roman"/>
          <w:szCs w:val="24"/>
          <w:lang w:val="bs-Latn-BA"/>
        </w:rPr>
        <w:t>проведена</w:t>
      </w:r>
      <w:r w:rsidR="005155D7">
        <w:rPr>
          <w:rFonts w:ascii="Times New Roman" w:hAnsi="Times New Roman"/>
          <w:szCs w:val="24"/>
          <w:lang w:val="bs-Latn-BA"/>
        </w:rPr>
        <w:t xml:space="preserve"> </w:t>
      </w:r>
      <w:r>
        <w:rPr>
          <w:rFonts w:ascii="Times New Roman" w:hAnsi="Times New Roman"/>
          <w:szCs w:val="24"/>
          <w:lang w:val="bs-Latn-BA"/>
        </w:rPr>
        <w:t>и</w:t>
      </w:r>
      <w:r w:rsidR="005155D7">
        <w:rPr>
          <w:rFonts w:ascii="Times New Roman" w:hAnsi="Times New Roman"/>
          <w:szCs w:val="24"/>
          <w:lang w:val="bs-Latn-BA"/>
        </w:rPr>
        <w:t xml:space="preserve"> </w:t>
      </w:r>
      <w:r>
        <w:rPr>
          <w:rFonts w:ascii="Times New Roman" w:hAnsi="Times New Roman"/>
          <w:szCs w:val="24"/>
          <w:lang w:val="bs-Latn-BA"/>
        </w:rPr>
        <w:t>у</w:t>
      </w:r>
      <w:r w:rsidR="005155D7">
        <w:rPr>
          <w:rFonts w:ascii="Times New Roman" w:hAnsi="Times New Roman"/>
          <w:szCs w:val="24"/>
          <w:lang w:val="bs-Latn-BA"/>
        </w:rPr>
        <w:t xml:space="preserve"> </w:t>
      </w:r>
      <w:r>
        <w:rPr>
          <w:rFonts w:ascii="Times New Roman" w:hAnsi="Times New Roman"/>
          <w:szCs w:val="24"/>
          <w:lang w:val="bs-Latn-BA"/>
        </w:rPr>
        <w:t>Брчко</w:t>
      </w:r>
      <w:r w:rsidR="005155D7">
        <w:rPr>
          <w:rFonts w:ascii="Times New Roman" w:hAnsi="Times New Roman"/>
          <w:szCs w:val="24"/>
          <w:lang w:val="bs-Latn-BA"/>
        </w:rPr>
        <w:t xml:space="preserve"> </w:t>
      </w:r>
      <w:r>
        <w:rPr>
          <w:rFonts w:ascii="Times New Roman" w:hAnsi="Times New Roman"/>
          <w:szCs w:val="24"/>
          <w:lang w:val="bs-Latn-BA"/>
        </w:rPr>
        <w:t>Дистрикту</w:t>
      </w:r>
      <w:r w:rsidR="006C1EAB">
        <w:rPr>
          <w:rFonts w:ascii="Times New Roman" w:hAnsi="Times New Roman"/>
          <w:szCs w:val="24"/>
          <w:lang w:val="bs-Latn-BA"/>
        </w:rPr>
        <w:t xml:space="preserve"> </w:t>
      </w:r>
      <w:r>
        <w:rPr>
          <w:rFonts w:ascii="Times New Roman" w:hAnsi="Times New Roman"/>
          <w:szCs w:val="24"/>
          <w:lang w:val="bs-Latn-BA"/>
        </w:rPr>
        <w:t>БиХ</w:t>
      </w:r>
      <w:r w:rsidR="006C1EAB">
        <w:rPr>
          <w:rFonts w:ascii="Times New Roman" w:hAnsi="Times New Roman"/>
          <w:szCs w:val="24"/>
          <w:lang w:val="bs-Latn-BA"/>
        </w:rPr>
        <w:t xml:space="preserve">, </w:t>
      </w:r>
      <w:r>
        <w:rPr>
          <w:rFonts w:ascii="Times New Roman" w:hAnsi="Times New Roman"/>
          <w:szCs w:val="24"/>
          <w:lang w:val="bs-Latn-BA"/>
        </w:rPr>
        <w:t>организ</w:t>
      </w:r>
      <w:r w:rsidR="000A6D06">
        <w:rPr>
          <w:rFonts w:ascii="Times New Roman" w:hAnsi="Times New Roman"/>
          <w:szCs w:val="24"/>
          <w:lang w:val="sr-Cyrl-BA"/>
        </w:rPr>
        <w:t>ована</w:t>
      </w:r>
      <w:r>
        <w:rPr>
          <w:rFonts w:ascii="Times New Roman" w:hAnsi="Times New Roman"/>
          <w:szCs w:val="24"/>
          <w:lang w:val="bs-Latn-BA"/>
        </w:rPr>
        <w:t>а</w:t>
      </w:r>
      <w:r w:rsidR="006C1EAB" w:rsidRPr="00295637">
        <w:rPr>
          <w:rFonts w:ascii="Times New Roman" w:hAnsi="Times New Roman"/>
          <w:szCs w:val="24"/>
          <w:lang w:val="bs-Latn-BA"/>
        </w:rPr>
        <w:t xml:space="preserve"> </w:t>
      </w:r>
      <w:r>
        <w:rPr>
          <w:rFonts w:ascii="Times New Roman" w:hAnsi="Times New Roman"/>
          <w:szCs w:val="24"/>
          <w:lang w:val="bs-Latn-BA"/>
        </w:rPr>
        <w:t>од</w:t>
      </w:r>
      <w:r w:rsidR="006C1EAB" w:rsidRPr="00295637">
        <w:rPr>
          <w:rFonts w:ascii="Times New Roman" w:hAnsi="Times New Roman"/>
          <w:szCs w:val="24"/>
          <w:lang w:val="bs-Latn-BA"/>
        </w:rPr>
        <w:t xml:space="preserve"> </w:t>
      </w:r>
      <w:r>
        <w:rPr>
          <w:rFonts w:ascii="Times New Roman" w:hAnsi="Times New Roman"/>
          <w:szCs w:val="24"/>
          <w:lang w:val="bs-Latn-BA"/>
        </w:rPr>
        <w:t>стране</w:t>
      </w:r>
      <w:r w:rsidR="006C1EAB" w:rsidRPr="00295637">
        <w:rPr>
          <w:rFonts w:ascii="Times New Roman" w:hAnsi="Times New Roman"/>
          <w:szCs w:val="24"/>
          <w:lang w:val="bs-Latn-BA"/>
        </w:rPr>
        <w:t xml:space="preserve"> </w:t>
      </w:r>
      <w:r>
        <w:rPr>
          <w:rFonts w:ascii="Times New Roman" w:hAnsi="Times New Roman"/>
          <w:szCs w:val="24"/>
          <w:lang w:val="bs-Latn-BA"/>
        </w:rPr>
        <w:t>НВО</w:t>
      </w:r>
      <w:r w:rsidR="006C1EAB" w:rsidRPr="00295637">
        <w:rPr>
          <w:rFonts w:ascii="Times New Roman" w:hAnsi="Times New Roman"/>
          <w:szCs w:val="24"/>
          <w:lang w:val="bs-Latn-BA"/>
        </w:rPr>
        <w:t xml:space="preserve"> „</w:t>
      </w:r>
      <w:r>
        <w:rPr>
          <w:rFonts w:ascii="Times New Roman" w:hAnsi="Times New Roman"/>
          <w:szCs w:val="24"/>
          <w:lang w:val="bs-Latn-BA"/>
        </w:rPr>
        <w:t>Гендер</w:t>
      </w:r>
      <w:r w:rsidR="006C1EAB" w:rsidRPr="00295637">
        <w:rPr>
          <w:rFonts w:ascii="Times New Roman" w:hAnsi="Times New Roman"/>
          <w:szCs w:val="24"/>
          <w:lang w:val="bs-Latn-BA"/>
        </w:rPr>
        <w:t xml:space="preserve">“ </w:t>
      </w:r>
      <w:r>
        <w:rPr>
          <w:rFonts w:ascii="Times New Roman" w:hAnsi="Times New Roman"/>
          <w:szCs w:val="24"/>
          <w:lang w:val="bs-Latn-BA"/>
        </w:rPr>
        <w:t>Брчко</w:t>
      </w:r>
      <w:r w:rsidR="006C1EAB" w:rsidRPr="00295637">
        <w:rPr>
          <w:rFonts w:ascii="Times New Roman" w:hAnsi="Times New Roman"/>
          <w:szCs w:val="24"/>
          <w:lang w:val="bs-Latn-BA"/>
        </w:rPr>
        <w:t>.</w:t>
      </w:r>
    </w:p>
    <w:p w:rsidR="006C1EAB" w:rsidRDefault="006C1EAB" w:rsidP="0086268D">
      <w:pPr>
        <w:pStyle w:val="HTMLPreformatted"/>
        <w:jc w:val="both"/>
        <w:rPr>
          <w:rStyle w:val="y2iqfc"/>
          <w:rFonts w:ascii="inherit" w:hAnsi="inherit"/>
          <w:i/>
          <w:iCs/>
          <w:color w:val="1F1F1F"/>
          <w:sz w:val="24"/>
          <w:szCs w:val="24"/>
        </w:rPr>
      </w:pPr>
    </w:p>
    <w:p w:rsidR="003A5FC2" w:rsidRPr="005155D7" w:rsidRDefault="000A6D06" w:rsidP="0086268D">
      <w:pPr>
        <w:pStyle w:val="HTMLPreformatted"/>
        <w:jc w:val="both"/>
        <w:rPr>
          <w:rFonts w:ascii="inherit" w:hAnsi="inherit"/>
          <w:sz w:val="24"/>
          <w:szCs w:val="24"/>
          <w:lang w:val="en-US"/>
        </w:rPr>
      </w:pPr>
      <w:r w:rsidRPr="000A6D06">
        <w:rPr>
          <w:rFonts w:ascii="inherit" w:hAnsi="inherit"/>
          <w:i/>
          <w:iCs/>
          <w:sz w:val="24"/>
          <w:szCs w:val="24"/>
          <w:lang w:val="sr-Latn-BA"/>
        </w:rPr>
        <w:t>UN Women</w:t>
      </w:r>
      <w:r w:rsidRPr="000A6D06">
        <w:rPr>
          <w:rFonts w:ascii="inherit" w:hAnsi="inherit"/>
          <w:i/>
          <w:iCs/>
          <w:sz w:val="24"/>
          <w:szCs w:val="24"/>
          <w:lang w:val="hr-BA"/>
        </w:rPr>
        <w:t xml:space="preserve"> </w:t>
      </w:r>
      <w:r w:rsidR="00C6214E">
        <w:rPr>
          <w:rStyle w:val="y2iqfc"/>
          <w:rFonts w:ascii="inherit" w:hAnsi="inherit"/>
          <w:sz w:val="24"/>
          <w:szCs w:val="24"/>
        </w:rPr>
        <w:t>је</w:t>
      </w:r>
      <w:r w:rsidR="003A5FC2" w:rsidRPr="005155D7">
        <w:rPr>
          <w:rStyle w:val="y2iqfc"/>
          <w:rFonts w:ascii="inherit" w:hAnsi="inherit"/>
          <w:sz w:val="24"/>
          <w:szCs w:val="24"/>
        </w:rPr>
        <w:t xml:space="preserve"> </w:t>
      </w:r>
      <w:r w:rsidR="00C6214E">
        <w:rPr>
          <w:rStyle w:val="y2iqfc"/>
          <w:rFonts w:ascii="inherit" w:hAnsi="inherit"/>
          <w:sz w:val="24"/>
          <w:szCs w:val="24"/>
        </w:rPr>
        <w:t>подржао</w:t>
      </w:r>
      <w:r w:rsidR="003A5FC2" w:rsidRPr="005155D7">
        <w:rPr>
          <w:rStyle w:val="y2iqfc"/>
          <w:rFonts w:ascii="inherit" w:hAnsi="inherit"/>
          <w:sz w:val="24"/>
          <w:szCs w:val="24"/>
        </w:rPr>
        <w:t xml:space="preserve"> </w:t>
      </w:r>
      <w:r w:rsidR="00C6214E">
        <w:rPr>
          <w:rStyle w:val="y2iqfc"/>
          <w:rFonts w:ascii="inherit" w:hAnsi="inherit"/>
          <w:sz w:val="24"/>
          <w:szCs w:val="24"/>
        </w:rPr>
        <w:t>организације</w:t>
      </w:r>
      <w:r w:rsidR="003A5FC2" w:rsidRPr="005155D7">
        <w:rPr>
          <w:rStyle w:val="y2iqfc"/>
          <w:rFonts w:ascii="inherit" w:hAnsi="inherit"/>
          <w:sz w:val="24"/>
          <w:szCs w:val="24"/>
        </w:rPr>
        <w:t xml:space="preserve"> </w:t>
      </w:r>
      <w:r w:rsidR="00C6214E">
        <w:rPr>
          <w:rStyle w:val="y2iqfc"/>
          <w:rFonts w:ascii="inherit" w:hAnsi="inherit"/>
          <w:sz w:val="24"/>
          <w:szCs w:val="24"/>
        </w:rPr>
        <w:t>цивилног</w:t>
      </w:r>
      <w:r w:rsidR="003A5FC2" w:rsidRPr="005155D7">
        <w:rPr>
          <w:rStyle w:val="y2iqfc"/>
          <w:rFonts w:ascii="inherit" w:hAnsi="inherit"/>
          <w:sz w:val="24"/>
          <w:szCs w:val="24"/>
        </w:rPr>
        <w:t xml:space="preserve"> </w:t>
      </w:r>
      <w:r w:rsidR="00C6214E">
        <w:rPr>
          <w:rStyle w:val="y2iqfc"/>
          <w:rFonts w:ascii="inherit" w:hAnsi="inherit"/>
          <w:sz w:val="24"/>
          <w:szCs w:val="24"/>
        </w:rPr>
        <w:t>друштва</w:t>
      </w:r>
      <w:r w:rsidR="003A5FC2" w:rsidRPr="005155D7">
        <w:rPr>
          <w:rStyle w:val="y2iqfc"/>
          <w:rFonts w:ascii="inherit" w:hAnsi="inherit"/>
          <w:sz w:val="24"/>
          <w:szCs w:val="24"/>
        </w:rPr>
        <w:t xml:space="preserve"> </w:t>
      </w:r>
      <w:r w:rsidR="00C6214E">
        <w:rPr>
          <w:rStyle w:val="y2iqfc"/>
          <w:rFonts w:ascii="inherit" w:hAnsi="inherit"/>
          <w:sz w:val="24"/>
          <w:szCs w:val="24"/>
        </w:rPr>
        <w:t>у</w:t>
      </w:r>
      <w:r w:rsidR="003A5FC2" w:rsidRPr="005155D7">
        <w:rPr>
          <w:rStyle w:val="y2iqfc"/>
          <w:rFonts w:ascii="inherit" w:hAnsi="inherit"/>
          <w:sz w:val="24"/>
          <w:szCs w:val="24"/>
        </w:rPr>
        <w:t xml:space="preserve"> </w:t>
      </w:r>
      <w:r w:rsidR="00C6214E">
        <w:rPr>
          <w:rStyle w:val="y2iqfc"/>
          <w:rFonts w:ascii="inherit" w:hAnsi="inherit"/>
          <w:sz w:val="24"/>
          <w:szCs w:val="24"/>
        </w:rPr>
        <w:t>БиХ</w:t>
      </w:r>
      <w:r w:rsidR="003A5FC2" w:rsidRPr="005155D7">
        <w:rPr>
          <w:rStyle w:val="y2iqfc"/>
          <w:rFonts w:ascii="inherit" w:hAnsi="inherit"/>
          <w:sz w:val="24"/>
          <w:szCs w:val="24"/>
        </w:rPr>
        <w:t xml:space="preserve"> </w:t>
      </w:r>
      <w:r w:rsidR="00C6214E">
        <w:rPr>
          <w:rStyle w:val="y2iqfc"/>
          <w:rFonts w:ascii="inherit" w:hAnsi="inherit"/>
          <w:sz w:val="24"/>
          <w:szCs w:val="24"/>
        </w:rPr>
        <w:t>у</w:t>
      </w:r>
      <w:r w:rsidR="003A5FC2" w:rsidRPr="005155D7">
        <w:rPr>
          <w:rStyle w:val="y2iqfc"/>
          <w:rFonts w:ascii="inherit" w:hAnsi="inherit"/>
          <w:sz w:val="24"/>
          <w:szCs w:val="24"/>
        </w:rPr>
        <w:t xml:space="preserve"> </w:t>
      </w:r>
      <w:r w:rsidR="00C6214E">
        <w:rPr>
          <w:rStyle w:val="y2iqfc"/>
          <w:rFonts w:ascii="inherit" w:hAnsi="inherit"/>
          <w:sz w:val="24"/>
          <w:szCs w:val="24"/>
        </w:rPr>
        <w:t>борби</w:t>
      </w:r>
      <w:r w:rsidR="003A5FC2" w:rsidRPr="005155D7">
        <w:rPr>
          <w:rStyle w:val="y2iqfc"/>
          <w:rFonts w:ascii="inherit" w:hAnsi="inherit"/>
          <w:sz w:val="24"/>
          <w:szCs w:val="24"/>
        </w:rPr>
        <w:t xml:space="preserve"> </w:t>
      </w:r>
      <w:r w:rsidR="00C6214E">
        <w:rPr>
          <w:rStyle w:val="y2iqfc"/>
          <w:rFonts w:ascii="inherit" w:hAnsi="inherit"/>
          <w:sz w:val="24"/>
          <w:szCs w:val="24"/>
        </w:rPr>
        <w:t>против</w:t>
      </w:r>
      <w:r w:rsidR="003A5FC2" w:rsidRPr="005155D7">
        <w:rPr>
          <w:rStyle w:val="y2iqfc"/>
          <w:rFonts w:ascii="inherit" w:hAnsi="inherit"/>
          <w:sz w:val="24"/>
          <w:szCs w:val="24"/>
        </w:rPr>
        <w:t xml:space="preserve"> </w:t>
      </w:r>
      <w:r w:rsidR="00C6214E">
        <w:rPr>
          <w:rStyle w:val="y2iqfc"/>
          <w:rFonts w:ascii="inherit" w:hAnsi="inherit"/>
          <w:sz w:val="24"/>
          <w:szCs w:val="24"/>
        </w:rPr>
        <w:t>анти</w:t>
      </w:r>
      <w:r w:rsidR="003A5FC2" w:rsidRPr="005155D7">
        <w:rPr>
          <w:rStyle w:val="y2iqfc"/>
          <w:rFonts w:ascii="inherit" w:hAnsi="inherit"/>
          <w:sz w:val="24"/>
          <w:szCs w:val="24"/>
        </w:rPr>
        <w:t>-</w:t>
      </w:r>
      <w:r w:rsidR="00C6214E">
        <w:rPr>
          <w:rStyle w:val="y2iqfc"/>
          <w:rFonts w:ascii="inherit" w:hAnsi="inherit"/>
          <w:sz w:val="24"/>
          <w:szCs w:val="24"/>
        </w:rPr>
        <w:t>родних</w:t>
      </w:r>
      <w:r w:rsidR="003A5FC2" w:rsidRPr="005155D7">
        <w:rPr>
          <w:rStyle w:val="y2iqfc"/>
          <w:rFonts w:ascii="inherit" w:hAnsi="inherit"/>
          <w:sz w:val="24"/>
          <w:szCs w:val="24"/>
        </w:rPr>
        <w:t xml:space="preserve"> </w:t>
      </w:r>
      <w:r w:rsidR="00C6214E">
        <w:rPr>
          <w:rStyle w:val="y2iqfc"/>
          <w:rFonts w:ascii="inherit" w:hAnsi="inherit"/>
          <w:sz w:val="24"/>
          <w:szCs w:val="24"/>
        </w:rPr>
        <w:t>покрета</w:t>
      </w:r>
      <w:r w:rsidR="003A5FC2" w:rsidRPr="005155D7">
        <w:rPr>
          <w:rStyle w:val="y2iqfc"/>
          <w:rFonts w:ascii="inherit" w:hAnsi="inherit"/>
          <w:sz w:val="24"/>
          <w:szCs w:val="24"/>
        </w:rPr>
        <w:t xml:space="preserve"> </w:t>
      </w:r>
      <w:r w:rsidR="00C6214E">
        <w:rPr>
          <w:rStyle w:val="y2iqfc"/>
          <w:rFonts w:ascii="inherit" w:hAnsi="inherit"/>
          <w:sz w:val="24"/>
          <w:szCs w:val="24"/>
        </w:rPr>
        <w:t>и</w:t>
      </w:r>
      <w:r w:rsidR="003A5FC2" w:rsidRPr="005155D7">
        <w:rPr>
          <w:rStyle w:val="y2iqfc"/>
          <w:rFonts w:ascii="inherit" w:hAnsi="inherit"/>
          <w:sz w:val="24"/>
          <w:szCs w:val="24"/>
        </w:rPr>
        <w:t xml:space="preserve"> </w:t>
      </w:r>
      <w:r w:rsidR="00C6214E">
        <w:rPr>
          <w:rStyle w:val="y2iqfc"/>
          <w:rFonts w:ascii="inherit" w:hAnsi="inherit"/>
          <w:sz w:val="24"/>
          <w:szCs w:val="24"/>
        </w:rPr>
        <w:t>залагању</w:t>
      </w:r>
      <w:r w:rsidR="003A5FC2" w:rsidRPr="005155D7">
        <w:rPr>
          <w:rStyle w:val="y2iqfc"/>
          <w:rFonts w:ascii="inherit" w:hAnsi="inherit"/>
          <w:sz w:val="24"/>
          <w:szCs w:val="24"/>
        </w:rPr>
        <w:t xml:space="preserve"> </w:t>
      </w:r>
      <w:r w:rsidR="00C6214E">
        <w:rPr>
          <w:rStyle w:val="y2iqfc"/>
          <w:rFonts w:ascii="inherit" w:hAnsi="inherit"/>
          <w:sz w:val="24"/>
          <w:szCs w:val="24"/>
        </w:rPr>
        <w:t>за</w:t>
      </w:r>
      <w:r w:rsidR="003A5FC2" w:rsidRPr="005155D7">
        <w:rPr>
          <w:rStyle w:val="y2iqfc"/>
          <w:rFonts w:ascii="inherit" w:hAnsi="inherit"/>
          <w:sz w:val="24"/>
          <w:szCs w:val="24"/>
        </w:rPr>
        <w:t xml:space="preserve"> </w:t>
      </w:r>
      <w:r w:rsidR="00C6214E">
        <w:rPr>
          <w:rStyle w:val="y2iqfc"/>
          <w:rFonts w:ascii="inherit" w:hAnsi="inherit"/>
          <w:sz w:val="24"/>
          <w:szCs w:val="24"/>
        </w:rPr>
        <w:t>родну</w:t>
      </w:r>
      <w:r w:rsidR="003A5FC2" w:rsidRPr="005155D7">
        <w:rPr>
          <w:rStyle w:val="y2iqfc"/>
          <w:rFonts w:ascii="inherit" w:hAnsi="inherit"/>
          <w:sz w:val="24"/>
          <w:szCs w:val="24"/>
        </w:rPr>
        <w:t xml:space="preserve"> </w:t>
      </w:r>
      <w:r w:rsidR="00C6214E">
        <w:rPr>
          <w:rStyle w:val="y2iqfc"/>
          <w:rFonts w:ascii="inherit" w:hAnsi="inherit"/>
          <w:sz w:val="24"/>
          <w:szCs w:val="24"/>
        </w:rPr>
        <w:t>равноправност</w:t>
      </w:r>
      <w:r w:rsidR="003A5FC2" w:rsidRPr="005155D7">
        <w:rPr>
          <w:rStyle w:val="y2iqfc"/>
          <w:rFonts w:ascii="inherit" w:hAnsi="inherit"/>
          <w:sz w:val="24"/>
          <w:szCs w:val="24"/>
        </w:rPr>
        <w:t xml:space="preserve">. </w:t>
      </w:r>
      <w:r w:rsidR="00C6214E">
        <w:rPr>
          <w:rStyle w:val="y2iqfc"/>
          <w:rFonts w:ascii="inherit" w:hAnsi="inherit"/>
          <w:sz w:val="24"/>
          <w:szCs w:val="24"/>
        </w:rPr>
        <w:t>То</w:t>
      </w:r>
      <w:r w:rsidR="003A5FC2" w:rsidRPr="005155D7">
        <w:rPr>
          <w:rStyle w:val="y2iqfc"/>
          <w:rFonts w:ascii="inherit" w:hAnsi="inherit"/>
          <w:sz w:val="24"/>
          <w:szCs w:val="24"/>
        </w:rPr>
        <w:t xml:space="preserve"> </w:t>
      </w:r>
      <w:r w:rsidR="00C6214E">
        <w:rPr>
          <w:rStyle w:val="y2iqfc"/>
          <w:rFonts w:ascii="inherit" w:hAnsi="inherit"/>
          <w:sz w:val="24"/>
          <w:szCs w:val="24"/>
        </w:rPr>
        <w:t>је</w:t>
      </w:r>
      <w:r w:rsidR="003A5FC2" w:rsidRPr="005155D7">
        <w:rPr>
          <w:rStyle w:val="y2iqfc"/>
          <w:rFonts w:ascii="inherit" w:hAnsi="inherit"/>
          <w:sz w:val="24"/>
          <w:szCs w:val="24"/>
        </w:rPr>
        <w:t xml:space="preserve"> </w:t>
      </w:r>
      <w:r w:rsidR="00C6214E">
        <w:rPr>
          <w:rStyle w:val="y2iqfc"/>
          <w:rFonts w:ascii="inherit" w:hAnsi="inherit"/>
          <w:sz w:val="24"/>
          <w:szCs w:val="24"/>
        </w:rPr>
        <w:t>укључивало</w:t>
      </w:r>
      <w:r w:rsidR="003A5FC2" w:rsidRPr="005155D7">
        <w:rPr>
          <w:rStyle w:val="y2iqfc"/>
          <w:rFonts w:ascii="inherit" w:hAnsi="inherit"/>
          <w:sz w:val="24"/>
          <w:szCs w:val="24"/>
        </w:rPr>
        <w:t xml:space="preserve"> </w:t>
      </w:r>
      <w:r w:rsidR="00C6214E">
        <w:rPr>
          <w:rStyle w:val="y2iqfc"/>
          <w:rFonts w:ascii="inherit" w:hAnsi="inherit"/>
          <w:sz w:val="24"/>
          <w:szCs w:val="24"/>
        </w:rPr>
        <w:t>сарадњу</w:t>
      </w:r>
      <w:r w:rsidR="003A5FC2" w:rsidRPr="005155D7">
        <w:rPr>
          <w:rStyle w:val="y2iqfc"/>
          <w:rFonts w:ascii="inherit" w:hAnsi="inherit"/>
          <w:sz w:val="24"/>
          <w:szCs w:val="24"/>
        </w:rPr>
        <w:t xml:space="preserve"> </w:t>
      </w:r>
      <w:r w:rsidR="00C6214E">
        <w:rPr>
          <w:rStyle w:val="y2iqfc"/>
          <w:rFonts w:ascii="inherit" w:hAnsi="inherit"/>
          <w:sz w:val="24"/>
          <w:szCs w:val="24"/>
        </w:rPr>
        <w:t>на</w:t>
      </w:r>
      <w:r w:rsidR="002638BF" w:rsidRPr="005155D7">
        <w:rPr>
          <w:rStyle w:val="y2iqfc"/>
          <w:rFonts w:ascii="inherit" w:hAnsi="inherit"/>
          <w:sz w:val="24"/>
          <w:szCs w:val="24"/>
        </w:rPr>
        <w:t xml:space="preserve"> </w:t>
      </w:r>
      <w:r w:rsidR="00C6214E">
        <w:rPr>
          <w:rStyle w:val="y2iqfc"/>
          <w:rFonts w:ascii="inherit" w:hAnsi="inherit"/>
          <w:sz w:val="24"/>
          <w:szCs w:val="24"/>
        </w:rPr>
        <w:t>изради</w:t>
      </w:r>
      <w:r w:rsidR="002638BF" w:rsidRPr="005155D7">
        <w:rPr>
          <w:rStyle w:val="y2iqfc"/>
          <w:rFonts w:ascii="inherit" w:hAnsi="inherit"/>
          <w:sz w:val="24"/>
          <w:szCs w:val="24"/>
        </w:rPr>
        <w:t xml:space="preserve"> </w:t>
      </w:r>
      <w:r w:rsidR="00C6214E">
        <w:rPr>
          <w:rStyle w:val="y2iqfc"/>
          <w:rFonts w:ascii="inherit" w:hAnsi="inherit"/>
          <w:sz w:val="24"/>
          <w:szCs w:val="24"/>
        </w:rPr>
        <w:t>и</w:t>
      </w:r>
      <w:r w:rsidR="002638BF" w:rsidRPr="005155D7">
        <w:rPr>
          <w:rStyle w:val="y2iqfc"/>
          <w:rFonts w:ascii="inherit" w:hAnsi="inherit"/>
          <w:sz w:val="24"/>
          <w:szCs w:val="24"/>
        </w:rPr>
        <w:t xml:space="preserve"> </w:t>
      </w:r>
      <w:r w:rsidR="00C6214E">
        <w:rPr>
          <w:rStyle w:val="y2iqfc"/>
          <w:rFonts w:ascii="inherit" w:hAnsi="inherit"/>
          <w:sz w:val="24"/>
          <w:szCs w:val="24"/>
        </w:rPr>
        <w:t>упућивању</w:t>
      </w:r>
      <w:r w:rsidR="003A5FC2" w:rsidRPr="005155D7">
        <w:rPr>
          <w:rStyle w:val="y2iqfc"/>
          <w:rFonts w:ascii="inherit" w:hAnsi="inherit"/>
          <w:sz w:val="24"/>
          <w:szCs w:val="24"/>
        </w:rPr>
        <w:t xml:space="preserve"> </w:t>
      </w:r>
      <w:r w:rsidR="00C6214E">
        <w:rPr>
          <w:rStyle w:val="y2iqfc"/>
          <w:rFonts w:ascii="inherit" w:hAnsi="inherit"/>
          <w:sz w:val="24"/>
          <w:szCs w:val="24"/>
        </w:rPr>
        <w:t>писама</w:t>
      </w:r>
      <w:r w:rsidR="003A5FC2" w:rsidRPr="005155D7">
        <w:rPr>
          <w:rStyle w:val="y2iqfc"/>
          <w:rFonts w:ascii="inherit" w:hAnsi="inherit"/>
          <w:sz w:val="24"/>
          <w:szCs w:val="24"/>
        </w:rPr>
        <w:t xml:space="preserve"> </w:t>
      </w:r>
      <w:r w:rsidR="00C6214E">
        <w:rPr>
          <w:rStyle w:val="y2iqfc"/>
          <w:rFonts w:ascii="inherit" w:hAnsi="inherit"/>
          <w:sz w:val="24"/>
          <w:szCs w:val="24"/>
        </w:rPr>
        <w:t>кључним</w:t>
      </w:r>
      <w:r w:rsidR="003A5FC2" w:rsidRPr="005155D7">
        <w:rPr>
          <w:rStyle w:val="y2iqfc"/>
          <w:rFonts w:ascii="inherit" w:hAnsi="inherit"/>
          <w:sz w:val="24"/>
          <w:szCs w:val="24"/>
        </w:rPr>
        <w:t xml:space="preserve"> </w:t>
      </w:r>
      <w:r w:rsidR="00C6214E">
        <w:rPr>
          <w:rStyle w:val="y2iqfc"/>
          <w:rFonts w:ascii="inherit" w:hAnsi="inherit"/>
          <w:sz w:val="24"/>
          <w:szCs w:val="24"/>
        </w:rPr>
        <w:t>субјектима</w:t>
      </w:r>
      <w:r w:rsidR="003A5FC2" w:rsidRPr="005155D7">
        <w:rPr>
          <w:rStyle w:val="y2iqfc"/>
          <w:rFonts w:ascii="inherit" w:hAnsi="inherit"/>
          <w:sz w:val="24"/>
          <w:szCs w:val="24"/>
        </w:rPr>
        <w:t xml:space="preserve"> </w:t>
      </w:r>
      <w:r w:rsidR="00C6214E">
        <w:rPr>
          <w:rStyle w:val="y2iqfc"/>
          <w:rFonts w:ascii="inherit" w:hAnsi="inherit"/>
          <w:sz w:val="24"/>
          <w:szCs w:val="24"/>
        </w:rPr>
        <w:t>као</w:t>
      </w:r>
      <w:r w:rsidR="003A5FC2" w:rsidRPr="005155D7">
        <w:rPr>
          <w:rStyle w:val="y2iqfc"/>
          <w:rFonts w:ascii="inherit" w:hAnsi="inherit"/>
          <w:sz w:val="24"/>
          <w:szCs w:val="24"/>
        </w:rPr>
        <w:t xml:space="preserve"> </w:t>
      </w:r>
      <w:r w:rsidR="00C6214E">
        <w:rPr>
          <w:rStyle w:val="y2iqfc"/>
          <w:rFonts w:ascii="inherit" w:hAnsi="inherit"/>
          <w:sz w:val="24"/>
          <w:szCs w:val="24"/>
        </w:rPr>
        <w:t>што</w:t>
      </w:r>
      <w:r w:rsidR="003A5FC2" w:rsidRPr="005155D7">
        <w:rPr>
          <w:rStyle w:val="y2iqfc"/>
          <w:rFonts w:ascii="inherit" w:hAnsi="inherit"/>
          <w:sz w:val="24"/>
          <w:szCs w:val="24"/>
        </w:rPr>
        <w:t xml:space="preserve"> </w:t>
      </w:r>
      <w:r w:rsidR="00C6214E">
        <w:rPr>
          <w:rStyle w:val="y2iqfc"/>
          <w:rFonts w:ascii="inherit" w:hAnsi="inherit"/>
          <w:sz w:val="24"/>
          <w:szCs w:val="24"/>
        </w:rPr>
        <w:t>су</w:t>
      </w:r>
      <w:r w:rsidR="003A5FC2" w:rsidRPr="005155D7">
        <w:rPr>
          <w:rStyle w:val="y2iqfc"/>
          <w:rFonts w:ascii="inherit" w:hAnsi="inherit"/>
          <w:sz w:val="24"/>
          <w:szCs w:val="24"/>
        </w:rPr>
        <w:t xml:space="preserve"> </w:t>
      </w:r>
      <w:r w:rsidR="00C6214E">
        <w:rPr>
          <w:rStyle w:val="y2iqfc"/>
          <w:rFonts w:ascii="inherit" w:hAnsi="inherit"/>
          <w:sz w:val="24"/>
          <w:szCs w:val="24"/>
        </w:rPr>
        <w:t>ГРЕВИО</w:t>
      </w:r>
      <w:r w:rsidR="003A5FC2" w:rsidRPr="005155D7">
        <w:rPr>
          <w:rStyle w:val="y2iqfc"/>
          <w:rFonts w:ascii="inherit" w:hAnsi="inherit"/>
          <w:sz w:val="24"/>
          <w:szCs w:val="24"/>
        </w:rPr>
        <w:t xml:space="preserve">, </w:t>
      </w:r>
      <w:r w:rsidR="00C6214E">
        <w:rPr>
          <w:rStyle w:val="y2iqfc"/>
          <w:rFonts w:ascii="inherit" w:hAnsi="inherit"/>
          <w:sz w:val="24"/>
          <w:szCs w:val="24"/>
        </w:rPr>
        <w:t>ЕУ</w:t>
      </w:r>
      <w:r w:rsidR="003A5FC2" w:rsidRPr="005155D7">
        <w:rPr>
          <w:rStyle w:val="y2iqfc"/>
          <w:rFonts w:ascii="inherit" w:hAnsi="inherit"/>
          <w:sz w:val="24"/>
          <w:szCs w:val="24"/>
        </w:rPr>
        <w:t xml:space="preserve"> (</w:t>
      </w:r>
      <w:r w:rsidR="00C6214E">
        <w:rPr>
          <w:rStyle w:val="y2iqfc"/>
          <w:rFonts w:ascii="inherit" w:hAnsi="inherit"/>
          <w:sz w:val="24"/>
          <w:szCs w:val="24"/>
        </w:rPr>
        <w:t>укључујући</w:t>
      </w:r>
      <w:r w:rsidR="003A5FC2" w:rsidRPr="005155D7">
        <w:rPr>
          <w:rStyle w:val="y2iqfc"/>
          <w:rFonts w:ascii="inherit" w:hAnsi="inherit"/>
          <w:sz w:val="24"/>
          <w:szCs w:val="24"/>
        </w:rPr>
        <w:t xml:space="preserve"> </w:t>
      </w:r>
      <w:r w:rsidR="00C6214E">
        <w:rPr>
          <w:rStyle w:val="y2iqfc"/>
          <w:rFonts w:ascii="inherit" w:hAnsi="inherit"/>
          <w:sz w:val="24"/>
          <w:szCs w:val="24"/>
        </w:rPr>
        <w:t>Европски</w:t>
      </w:r>
      <w:r w:rsidR="003A5FC2" w:rsidRPr="005155D7">
        <w:rPr>
          <w:rStyle w:val="y2iqfc"/>
          <w:rFonts w:ascii="inherit" w:hAnsi="inherit"/>
          <w:sz w:val="24"/>
          <w:szCs w:val="24"/>
        </w:rPr>
        <w:t xml:space="preserve"> </w:t>
      </w:r>
      <w:r w:rsidR="00C6214E">
        <w:rPr>
          <w:rStyle w:val="y2iqfc"/>
          <w:rFonts w:ascii="inherit" w:hAnsi="inherit"/>
          <w:sz w:val="24"/>
          <w:szCs w:val="24"/>
        </w:rPr>
        <w:t>парламент</w:t>
      </w:r>
      <w:r w:rsidR="003A5FC2" w:rsidRPr="005155D7">
        <w:rPr>
          <w:rStyle w:val="y2iqfc"/>
          <w:rFonts w:ascii="inherit" w:hAnsi="inherit"/>
          <w:sz w:val="24"/>
          <w:szCs w:val="24"/>
        </w:rPr>
        <w:t xml:space="preserve">) </w:t>
      </w:r>
      <w:r w:rsidR="00C6214E">
        <w:rPr>
          <w:rStyle w:val="y2iqfc"/>
          <w:rFonts w:ascii="inherit" w:hAnsi="inherit"/>
          <w:sz w:val="24"/>
          <w:szCs w:val="24"/>
        </w:rPr>
        <w:t>и</w:t>
      </w:r>
      <w:r w:rsidR="003A5FC2" w:rsidRPr="005155D7">
        <w:rPr>
          <w:rStyle w:val="y2iqfc"/>
          <w:rFonts w:ascii="inherit" w:hAnsi="inherit"/>
          <w:sz w:val="24"/>
          <w:szCs w:val="24"/>
        </w:rPr>
        <w:t xml:space="preserve"> </w:t>
      </w:r>
      <w:r w:rsidR="00C6214E">
        <w:rPr>
          <w:rStyle w:val="y2iqfc"/>
          <w:rFonts w:ascii="inherit" w:hAnsi="inherit"/>
          <w:sz w:val="24"/>
          <w:szCs w:val="24"/>
        </w:rPr>
        <w:t>Специјални</w:t>
      </w:r>
      <w:r w:rsidR="003A5FC2" w:rsidRPr="005155D7">
        <w:rPr>
          <w:rStyle w:val="y2iqfc"/>
          <w:rFonts w:ascii="inherit" w:hAnsi="inherit"/>
          <w:sz w:val="24"/>
          <w:szCs w:val="24"/>
        </w:rPr>
        <w:t xml:space="preserve"> </w:t>
      </w:r>
      <w:r w:rsidR="00C6214E">
        <w:rPr>
          <w:rStyle w:val="y2iqfc"/>
          <w:rFonts w:ascii="inherit" w:hAnsi="inherit"/>
          <w:sz w:val="24"/>
          <w:szCs w:val="24"/>
        </w:rPr>
        <w:t>извјестилац</w:t>
      </w:r>
      <w:r w:rsidR="003A5FC2" w:rsidRPr="005155D7">
        <w:rPr>
          <w:rStyle w:val="y2iqfc"/>
          <w:rFonts w:ascii="inherit" w:hAnsi="inherit"/>
          <w:sz w:val="24"/>
          <w:szCs w:val="24"/>
        </w:rPr>
        <w:t xml:space="preserve"> </w:t>
      </w:r>
      <w:r w:rsidR="00C6214E">
        <w:rPr>
          <w:rStyle w:val="y2iqfc"/>
          <w:rFonts w:ascii="inherit" w:hAnsi="inherit"/>
          <w:sz w:val="24"/>
          <w:szCs w:val="24"/>
        </w:rPr>
        <w:t>УН</w:t>
      </w:r>
      <w:r w:rsidR="003A5FC2" w:rsidRPr="005155D7">
        <w:rPr>
          <w:rStyle w:val="y2iqfc"/>
          <w:rFonts w:ascii="inherit" w:hAnsi="inherit"/>
          <w:sz w:val="24"/>
          <w:szCs w:val="24"/>
        </w:rPr>
        <w:t>-</w:t>
      </w:r>
      <w:r w:rsidR="00C6214E">
        <w:rPr>
          <w:rStyle w:val="y2iqfc"/>
          <w:rFonts w:ascii="inherit" w:hAnsi="inherit"/>
          <w:sz w:val="24"/>
          <w:szCs w:val="24"/>
        </w:rPr>
        <w:t>а</w:t>
      </w:r>
      <w:r w:rsidR="003A5FC2" w:rsidRPr="005155D7">
        <w:rPr>
          <w:rStyle w:val="y2iqfc"/>
          <w:rFonts w:ascii="inherit" w:hAnsi="inherit"/>
          <w:sz w:val="24"/>
          <w:szCs w:val="24"/>
        </w:rPr>
        <w:t xml:space="preserve">, </w:t>
      </w:r>
      <w:r w:rsidR="00C6214E">
        <w:rPr>
          <w:rStyle w:val="y2iqfc"/>
          <w:rFonts w:ascii="inherit" w:hAnsi="inherit"/>
          <w:sz w:val="24"/>
          <w:szCs w:val="24"/>
        </w:rPr>
        <w:t>појачавајући</w:t>
      </w:r>
      <w:r w:rsidR="003A5FC2" w:rsidRPr="005155D7">
        <w:rPr>
          <w:rStyle w:val="y2iqfc"/>
          <w:rFonts w:ascii="inherit" w:hAnsi="inherit"/>
          <w:sz w:val="24"/>
          <w:szCs w:val="24"/>
        </w:rPr>
        <w:t xml:space="preserve"> </w:t>
      </w:r>
      <w:r w:rsidR="00C6214E">
        <w:rPr>
          <w:rStyle w:val="y2iqfc"/>
          <w:rFonts w:ascii="inherit" w:hAnsi="inherit"/>
          <w:sz w:val="24"/>
          <w:szCs w:val="24"/>
        </w:rPr>
        <w:t>напоре</w:t>
      </w:r>
      <w:r w:rsidR="003A5FC2" w:rsidRPr="005155D7">
        <w:rPr>
          <w:rStyle w:val="y2iqfc"/>
          <w:rFonts w:ascii="inherit" w:hAnsi="inherit"/>
          <w:sz w:val="24"/>
          <w:szCs w:val="24"/>
        </w:rPr>
        <w:t xml:space="preserve"> </w:t>
      </w:r>
      <w:r w:rsidR="00C6214E">
        <w:rPr>
          <w:rStyle w:val="y2iqfc"/>
          <w:rFonts w:ascii="inherit" w:hAnsi="inherit"/>
          <w:sz w:val="24"/>
          <w:szCs w:val="24"/>
        </w:rPr>
        <w:t>заговарања</w:t>
      </w:r>
      <w:r w:rsidR="003A5FC2" w:rsidRPr="005155D7">
        <w:rPr>
          <w:rStyle w:val="y2iqfc"/>
          <w:rFonts w:ascii="inherit" w:hAnsi="inherit"/>
          <w:sz w:val="24"/>
          <w:szCs w:val="24"/>
        </w:rPr>
        <w:t xml:space="preserve"> </w:t>
      </w:r>
      <w:r w:rsidR="00C6214E">
        <w:rPr>
          <w:rStyle w:val="y2iqfc"/>
          <w:rFonts w:ascii="inherit" w:hAnsi="inherit"/>
          <w:sz w:val="24"/>
          <w:szCs w:val="24"/>
        </w:rPr>
        <w:t>на</w:t>
      </w:r>
      <w:r w:rsidR="003A5FC2" w:rsidRPr="005155D7">
        <w:rPr>
          <w:rStyle w:val="y2iqfc"/>
          <w:rFonts w:ascii="inherit" w:hAnsi="inherit"/>
          <w:sz w:val="24"/>
          <w:szCs w:val="24"/>
        </w:rPr>
        <w:t xml:space="preserve"> </w:t>
      </w:r>
      <w:r w:rsidR="00C6214E">
        <w:rPr>
          <w:rStyle w:val="y2iqfc"/>
          <w:rFonts w:ascii="inherit" w:hAnsi="inherit"/>
          <w:sz w:val="24"/>
          <w:szCs w:val="24"/>
        </w:rPr>
        <w:t>међународном</w:t>
      </w:r>
      <w:r w:rsidR="003A5FC2" w:rsidRPr="005155D7">
        <w:rPr>
          <w:rStyle w:val="y2iqfc"/>
          <w:rFonts w:ascii="inherit" w:hAnsi="inherit"/>
          <w:sz w:val="24"/>
          <w:szCs w:val="24"/>
        </w:rPr>
        <w:t xml:space="preserve"> </w:t>
      </w:r>
      <w:r w:rsidR="00C6214E">
        <w:rPr>
          <w:rStyle w:val="y2iqfc"/>
          <w:rFonts w:ascii="inherit" w:hAnsi="inherit"/>
          <w:sz w:val="24"/>
          <w:szCs w:val="24"/>
        </w:rPr>
        <w:t>нивоу</w:t>
      </w:r>
      <w:r w:rsidR="003A5FC2" w:rsidRPr="005155D7">
        <w:rPr>
          <w:rStyle w:val="y2iqfc"/>
          <w:rFonts w:ascii="inherit" w:hAnsi="inherit"/>
          <w:sz w:val="24"/>
          <w:szCs w:val="24"/>
        </w:rPr>
        <w:t xml:space="preserve">. </w:t>
      </w:r>
      <w:r w:rsidR="00C6214E">
        <w:rPr>
          <w:rStyle w:val="y2iqfc"/>
          <w:rFonts w:ascii="inherit" w:hAnsi="inherit"/>
          <w:sz w:val="24"/>
          <w:szCs w:val="24"/>
        </w:rPr>
        <w:t>Поред</w:t>
      </w:r>
      <w:r w:rsidR="003A5FC2" w:rsidRPr="005155D7">
        <w:rPr>
          <w:rStyle w:val="y2iqfc"/>
          <w:rFonts w:ascii="inherit" w:hAnsi="inherit"/>
          <w:sz w:val="24"/>
          <w:szCs w:val="24"/>
        </w:rPr>
        <w:t xml:space="preserve"> </w:t>
      </w:r>
      <w:r w:rsidR="00C6214E">
        <w:rPr>
          <w:rStyle w:val="y2iqfc"/>
          <w:rFonts w:ascii="inherit" w:hAnsi="inherit"/>
          <w:sz w:val="24"/>
          <w:szCs w:val="24"/>
        </w:rPr>
        <w:t>тога</w:t>
      </w:r>
      <w:r w:rsidR="003A5FC2" w:rsidRPr="005155D7">
        <w:rPr>
          <w:rStyle w:val="y2iqfc"/>
          <w:rFonts w:ascii="inherit" w:hAnsi="inherit"/>
          <w:sz w:val="24"/>
          <w:szCs w:val="24"/>
        </w:rPr>
        <w:t xml:space="preserve">, </w:t>
      </w:r>
      <w:r w:rsidR="00C6214E">
        <w:rPr>
          <w:rStyle w:val="y2iqfc"/>
          <w:rFonts w:ascii="inherit" w:hAnsi="inherit"/>
          <w:sz w:val="24"/>
          <w:szCs w:val="24"/>
        </w:rPr>
        <w:t>Фондација</w:t>
      </w:r>
      <w:r w:rsidR="003A5FC2" w:rsidRPr="005155D7">
        <w:rPr>
          <w:rStyle w:val="y2iqfc"/>
          <w:rFonts w:ascii="inherit" w:hAnsi="inherit"/>
          <w:sz w:val="24"/>
          <w:szCs w:val="24"/>
        </w:rPr>
        <w:t xml:space="preserve"> </w:t>
      </w:r>
      <w:r w:rsidR="00C75BCB">
        <w:rPr>
          <w:rStyle w:val="y2iqfc"/>
          <w:rFonts w:ascii="inherit" w:hAnsi="inherit"/>
          <w:sz w:val="24"/>
          <w:szCs w:val="24"/>
          <w:lang w:val="sr-Cyrl-BA"/>
        </w:rPr>
        <w:t>„</w:t>
      </w:r>
      <w:r w:rsidR="00C6214E">
        <w:rPr>
          <w:rStyle w:val="y2iqfc"/>
          <w:rFonts w:ascii="inherit" w:hAnsi="inherit"/>
          <w:sz w:val="24"/>
          <w:szCs w:val="24"/>
        </w:rPr>
        <w:t>Уједињене</w:t>
      </w:r>
      <w:r w:rsidR="003A5FC2" w:rsidRPr="005155D7">
        <w:rPr>
          <w:rStyle w:val="y2iqfc"/>
          <w:rFonts w:ascii="inherit" w:hAnsi="inherit"/>
          <w:sz w:val="24"/>
          <w:szCs w:val="24"/>
        </w:rPr>
        <w:t xml:space="preserve"> </w:t>
      </w:r>
      <w:r w:rsidR="00C6214E">
        <w:rPr>
          <w:rStyle w:val="y2iqfc"/>
          <w:rFonts w:ascii="inherit" w:hAnsi="inherit"/>
          <w:sz w:val="24"/>
          <w:szCs w:val="24"/>
        </w:rPr>
        <w:t>жене</w:t>
      </w:r>
      <w:r w:rsidR="00C75BCB">
        <w:rPr>
          <w:rStyle w:val="y2iqfc"/>
          <w:rFonts w:ascii="inherit" w:hAnsi="inherit"/>
          <w:sz w:val="24"/>
          <w:szCs w:val="24"/>
          <w:lang w:val="sr-Cyrl-BA"/>
        </w:rPr>
        <w:t>“</w:t>
      </w:r>
      <w:r w:rsidR="003A5FC2" w:rsidRPr="005155D7">
        <w:rPr>
          <w:rStyle w:val="y2iqfc"/>
          <w:rFonts w:ascii="inherit" w:hAnsi="inherit"/>
          <w:sz w:val="24"/>
          <w:szCs w:val="24"/>
        </w:rPr>
        <w:t xml:space="preserve"> </w:t>
      </w:r>
      <w:r w:rsidR="00C6214E">
        <w:rPr>
          <w:rStyle w:val="y2iqfc"/>
          <w:rFonts w:ascii="inherit" w:hAnsi="inherit"/>
          <w:sz w:val="24"/>
          <w:szCs w:val="24"/>
        </w:rPr>
        <w:t>предузела</w:t>
      </w:r>
      <w:r w:rsidR="003A5FC2" w:rsidRPr="005155D7">
        <w:rPr>
          <w:rStyle w:val="y2iqfc"/>
          <w:rFonts w:ascii="inherit" w:hAnsi="inherit"/>
          <w:sz w:val="24"/>
          <w:szCs w:val="24"/>
        </w:rPr>
        <w:t xml:space="preserve"> </w:t>
      </w:r>
      <w:r w:rsidR="00C6214E">
        <w:rPr>
          <w:rStyle w:val="y2iqfc"/>
          <w:rFonts w:ascii="inherit" w:hAnsi="inherit"/>
          <w:sz w:val="24"/>
          <w:szCs w:val="24"/>
        </w:rPr>
        <w:t>је</w:t>
      </w:r>
      <w:r w:rsidR="003A5FC2" w:rsidRPr="005155D7">
        <w:rPr>
          <w:rStyle w:val="y2iqfc"/>
          <w:rFonts w:ascii="inherit" w:hAnsi="inherit"/>
          <w:sz w:val="24"/>
          <w:szCs w:val="24"/>
        </w:rPr>
        <w:t xml:space="preserve"> </w:t>
      </w:r>
      <w:r w:rsidR="00C6214E">
        <w:rPr>
          <w:rStyle w:val="y2iqfc"/>
          <w:rFonts w:ascii="inherit" w:hAnsi="inherit"/>
          <w:sz w:val="24"/>
          <w:szCs w:val="24"/>
        </w:rPr>
        <w:t>проактивне</w:t>
      </w:r>
      <w:r w:rsidR="003A5FC2" w:rsidRPr="005155D7">
        <w:rPr>
          <w:rStyle w:val="y2iqfc"/>
          <w:rFonts w:ascii="inherit" w:hAnsi="inherit"/>
          <w:sz w:val="24"/>
          <w:szCs w:val="24"/>
        </w:rPr>
        <w:t xml:space="preserve"> </w:t>
      </w:r>
      <w:r w:rsidR="00C6214E">
        <w:rPr>
          <w:rStyle w:val="y2iqfc"/>
          <w:rFonts w:ascii="inherit" w:hAnsi="inherit"/>
          <w:sz w:val="24"/>
          <w:szCs w:val="24"/>
        </w:rPr>
        <w:t>кораке</w:t>
      </w:r>
      <w:r w:rsidR="003A5FC2" w:rsidRPr="005155D7">
        <w:rPr>
          <w:rStyle w:val="y2iqfc"/>
          <w:rFonts w:ascii="inherit" w:hAnsi="inherit"/>
          <w:sz w:val="24"/>
          <w:szCs w:val="24"/>
        </w:rPr>
        <w:t xml:space="preserve"> </w:t>
      </w:r>
      <w:r w:rsidR="00C6214E">
        <w:rPr>
          <w:rStyle w:val="y2iqfc"/>
          <w:rFonts w:ascii="inherit" w:hAnsi="inherit"/>
          <w:sz w:val="24"/>
          <w:szCs w:val="24"/>
        </w:rPr>
        <w:t>јавно</w:t>
      </w:r>
      <w:r w:rsidR="003A5FC2" w:rsidRPr="005155D7">
        <w:rPr>
          <w:rStyle w:val="y2iqfc"/>
          <w:rFonts w:ascii="inherit" w:hAnsi="inherit"/>
          <w:sz w:val="24"/>
          <w:szCs w:val="24"/>
        </w:rPr>
        <w:t xml:space="preserve"> </w:t>
      </w:r>
      <w:r w:rsidR="00C6214E">
        <w:rPr>
          <w:rStyle w:val="y2iqfc"/>
          <w:rFonts w:ascii="inherit" w:hAnsi="inherit"/>
          <w:sz w:val="24"/>
          <w:szCs w:val="24"/>
        </w:rPr>
        <w:t>реаг</w:t>
      </w:r>
      <w:r w:rsidR="003A4FB4">
        <w:rPr>
          <w:rStyle w:val="y2iqfc"/>
          <w:rFonts w:ascii="inherit" w:hAnsi="inherit"/>
          <w:sz w:val="24"/>
          <w:szCs w:val="24"/>
          <w:lang w:val="sr-Cyrl-BA"/>
        </w:rPr>
        <w:t>ујући</w:t>
      </w:r>
      <w:r w:rsidR="003A5FC2" w:rsidRPr="005155D7">
        <w:rPr>
          <w:rStyle w:val="y2iqfc"/>
          <w:rFonts w:ascii="inherit" w:hAnsi="inherit"/>
          <w:sz w:val="24"/>
          <w:szCs w:val="24"/>
        </w:rPr>
        <w:t xml:space="preserve"> </w:t>
      </w:r>
      <w:r w:rsidR="00C6214E">
        <w:rPr>
          <w:rStyle w:val="y2iqfc"/>
          <w:rFonts w:ascii="inherit" w:hAnsi="inherit"/>
          <w:sz w:val="24"/>
          <w:szCs w:val="24"/>
        </w:rPr>
        <w:t>и</w:t>
      </w:r>
      <w:r w:rsidR="003A5FC2" w:rsidRPr="005155D7">
        <w:rPr>
          <w:rStyle w:val="y2iqfc"/>
          <w:rFonts w:ascii="inherit" w:hAnsi="inherit"/>
          <w:sz w:val="24"/>
          <w:szCs w:val="24"/>
        </w:rPr>
        <w:t xml:space="preserve"> </w:t>
      </w:r>
      <w:r w:rsidR="00C6214E">
        <w:rPr>
          <w:rStyle w:val="y2iqfc"/>
          <w:rFonts w:ascii="inherit" w:hAnsi="inherit"/>
          <w:sz w:val="24"/>
          <w:szCs w:val="24"/>
        </w:rPr>
        <w:t>обраћајући</w:t>
      </w:r>
      <w:r w:rsidR="003A5FC2" w:rsidRPr="005155D7">
        <w:rPr>
          <w:rStyle w:val="y2iqfc"/>
          <w:rFonts w:ascii="inherit" w:hAnsi="inherit"/>
          <w:sz w:val="24"/>
          <w:szCs w:val="24"/>
        </w:rPr>
        <w:t xml:space="preserve"> </w:t>
      </w:r>
      <w:r w:rsidR="00C6214E">
        <w:rPr>
          <w:rStyle w:val="y2iqfc"/>
          <w:rFonts w:ascii="inherit" w:hAnsi="inherit"/>
          <w:sz w:val="24"/>
          <w:szCs w:val="24"/>
        </w:rPr>
        <w:t>се</w:t>
      </w:r>
      <w:r w:rsidR="003A5FC2" w:rsidRPr="005155D7">
        <w:rPr>
          <w:rStyle w:val="y2iqfc"/>
          <w:rFonts w:ascii="inherit" w:hAnsi="inherit"/>
          <w:sz w:val="24"/>
          <w:szCs w:val="24"/>
        </w:rPr>
        <w:t xml:space="preserve"> </w:t>
      </w:r>
      <w:r w:rsidR="00C6214E">
        <w:rPr>
          <w:rStyle w:val="y2iqfc"/>
          <w:rFonts w:ascii="inherit" w:hAnsi="inherit"/>
          <w:sz w:val="24"/>
          <w:szCs w:val="24"/>
        </w:rPr>
        <w:t>званичницима</w:t>
      </w:r>
      <w:r w:rsidR="003A5FC2" w:rsidRPr="005155D7">
        <w:rPr>
          <w:rStyle w:val="y2iqfc"/>
          <w:rFonts w:ascii="inherit" w:hAnsi="inherit"/>
          <w:sz w:val="24"/>
          <w:szCs w:val="24"/>
        </w:rPr>
        <w:t xml:space="preserve"> </w:t>
      </w:r>
      <w:r w:rsidR="00C6214E">
        <w:rPr>
          <w:rStyle w:val="y2iqfc"/>
          <w:rFonts w:ascii="inherit" w:hAnsi="inherit"/>
          <w:sz w:val="24"/>
          <w:szCs w:val="24"/>
        </w:rPr>
        <w:t>у</w:t>
      </w:r>
      <w:r w:rsidR="003A5FC2" w:rsidRPr="005155D7">
        <w:rPr>
          <w:rStyle w:val="y2iqfc"/>
          <w:rFonts w:ascii="inherit" w:hAnsi="inherit"/>
          <w:sz w:val="24"/>
          <w:szCs w:val="24"/>
        </w:rPr>
        <w:t xml:space="preserve"> </w:t>
      </w:r>
      <w:r w:rsidR="00C6214E">
        <w:rPr>
          <w:rStyle w:val="y2iqfc"/>
          <w:rFonts w:ascii="inherit" w:hAnsi="inherit"/>
          <w:sz w:val="24"/>
          <w:szCs w:val="24"/>
        </w:rPr>
        <w:t>Републици</w:t>
      </w:r>
      <w:r w:rsidR="003A5FC2" w:rsidRPr="005155D7">
        <w:rPr>
          <w:rStyle w:val="y2iqfc"/>
          <w:rFonts w:ascii="inherit" w:hAnsi="inherit"/>
          <w:sz w:val="24"/>
          <w:szCs w:val="24"/>
        </w:rPr>
        <w:t xml:space="preserve"> </w:t>
      </w:r>
      <w:r w:rsidR="00C6214E">
        <w:rPr>
          <w:rStyle w:val="y2iqfc"/>
          <w:rFonts w:ascii="inherit" w:hAnsi="inherit"/>
          <w:sz w:val="24"/>
          <w:szCs w:val="24"/>
        </w:rPr>
        <w:t>Српској</w:t>
      </w:r>
      <w:r w:rsidR="003A5FC2" w:rsidRPr="005155D7">
        <w:rPr>
          <w:rStyle w:val="y2iqfc"/>
          <w:rFonts w:ascii="inherit" w:hAnsi="inherit"/>
          <w:sz w:val="24"/>
          <w:szCs w:val="24"/>
        </w:rPr>
        <w:t xml:space="preserve"> </w:t>
      </w:r>
      <w:r w:rsidR="00C6214E">
        <w:rPr>
          <w:rStyle w:val="y2iqfc"/>
          <w:rFonts w:ascii="inherit" w:hAnsi="inherit"/>
          <w:sz w:val="24"/>
          <w:szCs w:val="24"/>
        </w:rPr>
        <w:t>у</w:t>
      </w:r>
      <w:r w:rsidR="003A5FC2" w:rsidRPr="005155D7">
        <w:rPr>
          <w:rStyle w:val="y2iqfc"/>
          <w:rFonts w:ascii="inherit" w:hAnsi="inherit"/>
          <w:sz w:val="24"/>
          <w:szCs w:val="24"/>
        </w:rPr>
        <w:t xml:space="preserve"> </w:t>
      </w:r>
      <w:r w:rsidR="00C6214E">
        <w:rPr>
          <w:rStyle w:val="y2iqfc"/>
          <w:rFonts w:ascii="inherit" w:hAnsi="inherit"/>
          <w:sz w:val="24"/>
          <w:szCs w:val="24"/>
        </w:rPr>
        <w:t>вези</w:t>
      </w:r>
      <w:r w:rsidR="003A5FC2" w:rsidRPr="005155D7">
        <w:rPr>
          <w:rStyle w:val="y2iqfc"/>
          <w:rFonts w:ascii="inherit" w:hAnsi="inherit"/>
          <w:sz w:val="24"/>
          <w:szCs w:val="24"/>
        </w:rPr>
        <w:t xml:space="preserve"> </w:t>
      </w:r>
      <w:r w:rsidR="00C6214E">
        <w:rPr>
          <w:rStyle w:val="y2iqfc"/>
          <w:rFonts w:ascii="inherit" w:hAnsi="inherit"/>
          <w:sz w:val="24"/>
          <w:szCs w:val="24"/>
        </w:rPr>
        <w:t>са</w:t>
      </w:r>
      <w:r w:rsidR="003A5FC2" w:rsidRPr="005155D7">
        <w:rPr>
          <w:rStyle w:val="y2iqfc"/>
          <w:rFonts w:ascii="inherit" w:hAnsi="inherit"/>
          <w:sz w:val="24"/>
          <w:szCs w:val="24"/>
        </w:rPr>
        <w:t xml:space="preserve"> </w:t>
      </w:r>
      <w:r w:rsidR="00C6214E">
        <w:rPr>
          <w:rStyle w:val="y2iqfc"/>
          <w:rFonts w:ascii="inherit" w:hAnsi="inherit"/>
          <w:sz w:val="24"/>
          <w:szCs w:val="24"/>
        </w:rPr>
        <w:t>Приједлогом</w:t>
      </w:r>
      <w:r w:rsidR="003A5FC2" w:rsidRPr="005155D7">
        <w:rPr>
          <w:rStyle w:val="y2iqfc"/>
          <w:rFonts w:ascii="inherit" w:hAnsi="inherit"/>
          <w:sz w:val="24"/>
          <w:szCs w:val="24"/>
        </w:rPr>
        <w:t xml:space="preserve"> </w:t>
      </w:r>
      <w:r w:rsidR="00C6214E">
        <w:rPr>
          <w:rStyle w:val="y2iqfc"/>
          <w:rFonts w:ascii="inherit" w:hAnsi="inherit"/>
          <w:sz w:val="24"/>
          <w:szCs w:val="24"/>
        </w:rPr>
        <w:t>закона</w:t>
      </w:r>
      <w:r w:rsidR="003A5FC2" w:rsidRPr="005155D7">
        <w:rPr>
          <w:rStyle w:val="y2iqfc"/>
          <w:rFonts w:ascii="inherit" w:hAnsi="inherit"/>
          <w:sz w:val="24"/>
          <w:szCs w:val="24"/>
        </w:rPr>
        <w:t xml:space="preserve"> </w:t>
      </w:r>
      <w:r w:rsidR="00C6214E">
        <w:rPr>
          <w:rStyle w:val="y2iqfc"/>
          <w:rFonts w:ascii="inherit" w:hAnsi="inherit"/>
          <w:sz w:val="24"/>
          <w:szCs w:val="24"/>
        </w:rPr>
        <w:t>о</w:t>
      </w:r>
      <w:r w:rsidR="003A5FC2" w:rsidRPr="005155D7">
        <w:rPr>
          <w:rStyle w:val="y2iqfc"/>
          <w:rFonts w:ascii="inherit" w:hAnsi="inherit"/>
          <w:sz w:val="24"/>
          <w:szCs w:val="24"/>
        </w:rPr>
        <w:t xml:space="preserve"> </w:t>
      </w:r>
      <w:r w:rsidR="00C6214E">
        <w:rPr>
          <w:rStyle w:val="y2iqfc"/>
          <w:rFonts w:ascii="inherit" w:hAnsi="inherit"/>
          <w:sz w:val="24"/>
          <w:szCs w:val="24"/>
        </w:rPr>
        <w:t>заштити</w:t>
      </w:r>
      <w:r w:rsidR="003A5FC2" w:rsidRPr="005155D7">
        <w:rPr>
          <w:rStyle w:val="y2iqfc"/>
          <w:rFonts w:ascii="inherit" w:hAnsi="inherit"/>
          <w:sz w:val="24"/>
          <w:szCs w:val="24"/>
        </w:rPr>
        <w:t xml:space="preserve"> </w:t>
      </w:r>
      <w:r w:rsidR="00C6214E">
        <w:rPr>
          <w:rStyle w:val="y2iqfc"/>
          <w:rFonts w:ascii="inherit" w:hAnsi="inherit"/>
          <w:sz w:val="24"/>
          <w:szCs w:val="24"/>
        </w:rPr>
        <w:t>од</w:t>
      </w:r>
      <w:r w:rsidR="003A5FC2" w:rsidRPr="005155D7">
        <w:rPr>
          <w:rStyle w:val="y2iqfc"/>
          <w:rFonts w:ascii="inherit" w:hAnsi="inherit"/>
          <w:sz w:val="24"/>
          <w:szCs w:val="24"/>
        </w:rPr>
        <w:t xml:space="preserve"> </w:t>
      </w:r>
      <w:r w:rsidR="00C6214E">
        <w:rPr>
          <w:rStyle w:val="y2iqfc"/>
          <w:rFonts w:ascii="inherit" w:hAnsi="inherit"/>
          <w:sz w:val="24"/>
          <w:szCs w:val="24"/>
        </w:rPr>
        <w:t>насиља</w:t>
      </w:r>
      <w:r w:rsidR="003A5FC2" w:rsidRPr="005155D7">
        <w:rPr>
          <w:rStyle w:val="y2iqfc"/>
          <w:rFonts w:ascii="inherit" w:hAnsi="inherit"/>
          <w:sz w:val="24"/>
          <w:szCs w:val="24"/>
        </w:rPr>
        <w:t xml:space="preserve"> </w:t>
      </w:r>
      <w:r w:rsidR="00C6214E">
        <w:rPr>
          <w:rStyle w:val="y2iqfc"/>
          <w:rFonts w:ascii="inherit" w:hAnsi="inherit"/>
          <w:sz w:val="24"/>
          <w:szCs w:val="24"/>
        </w:rPr>
        <w:t>у</w:t>
      </w:r>
      <w:r w:rsidR="003A5FC2" w:rsidRPr="005155D7">
        <w:rPr>
          <w:rStyle w:val="y2iqfc"/>
          <w:rFonts w:ascii="inherit" w:hAnsi="inherit"/>
          <w:sz w:val="24"/>
          <w:szCs w:val="24"/>
        </w:rPr>
        <w:t xml:space="preserve"> </w:t>
      </w:r>
      <w:r w:rsidR="00C6214E">
        <w:rPr>
          <w:rStyle w:val="y2iqfc"/>
          <w:rFonts w:ascii="inherit" w:hAnsi="inherit"/>
          <w:sz w:val="24"/>
          <w:szCs w:val="24"/>
        </w:rPr>
        <w:t>породици</w:t>
      </w:r>
      <w:r w:rsidR="003A5FC2" w:rsidRPr="005155D7">
        <w:rPr>
          <w:rStyle w:val="y2iqfc"/>
          <w:rFonts w:ascii="inherit" w:hAnsi="inherit"/>
          <w:sz w:val="24"/>
          <w:szCs w:val="24"/>
        </w:rPr>
        <w:t xml:space="preserve"> </w:t>
      </w:r>
      <w:r w:rsidR="00C6214E">
        <w:rPr>
          <w:rStyle w:val="y2iqfc"/>
          <w:rFonts w:ascii="inherit" w:hAnsi="inherit"/>
          <w:sz w:val="24"/>
          <w:szCs w:val="24"/>
        </w:rPr>
        <w:t>и</w:t>
      </w:r>
      <w:r w:rsidR="003A5FC2" w:rsidRPr="005155D7">
        <w:rPr>
          <w:rStyle w:val="y2iqfc"/>
          <w:rFonts w:ascii="inherit" w:hAnsi="inherit"/>
          <w:sz w:val="24"/>
          <w:szCs w:val="24"/>
        </w:rPr>
        <w:t xml:space="preserve"> </w:t>
      </w:r>
      <w:r w:rsidR="00C6214E">
        <w:rPr>
          <w:rStyle w:val="y2iqfc"/>
          <w:rFonts w:ascii="inherit" w:hAnsi="inherit"/>
          <w:sz w:val="24"/>
          <w:szCs w:val="24"/>
        </w:rPr>
        <w:t>насиља</w:t>
      </w:r>
      <w:r w:rsidR="003A5FC2" w:rsidRPr="005155D7">
        <w:rPr>
          <w:rStyle w:val="y2iqfc"/>
          <w:rFonts w:ascii="inherit" w:hAnsi="inherit"/>
          <w:sz w:val="24"/>
          <w:szCs w:val="24"/>
        </w:rPr>
        <w:t xml:space="preserve"> </w:t>
      </w:r>
      <w:r w:rsidR="00C6214E">
        <w:rPr>
          <w:rStyle w:val="y2iqfc"/>
          <w:rFonts w:ascii="inherit" w:hAnsi="inherit"/>
          <w:sz w:val="24"/>
          <w:szCs w:val="24"/>
        </w:rPr>
        <w:t>над</w:t>
      </w:r>
      <w:r w:rsidR="003A5FC2" w:rsidRPr="005155D7">
        <w:rPr>
          <w:rStyle w:val="y2iqfc"/>
          <w:rFonts w:ascii="inherit" w:hAnsi="inherit"/>
          <w:sz w:val="24"/>
          <w:szCs w:val="24"/>
        </w:rPr>
        <w:t xml:space="preserve"> </w:t>
      </w:r>
      <w:r w:rsidR="00C6214E">
        <w:rPr>
          <w:rStyle w:val="y2iqfc"/>
          <w:rFonts w:ascii="inherit" w:hAnsi="inherit"/>
          <w:sz w:val="24"/>
          <w:szCs w:val="24"/>
        </w:rPr>
        <w:t>женама</w:t>
      </w:r>
      <w:r w:rsidR="003A5FC2" w:rsidRPr="005155D7">
        <w:rPr>
          <w:rStyle w:val="y2iqfc"/>
          <w:rFonts w:ascii="inherit" w:hAnsi="inherit"/>
          <w:sz w:val="24"/>
          <w:szCs w:val="24"/>
        </w:rPr>
        <w:t xml:space="preserve">. </w:t>
      </w:r>
    </w:p>
    <w:p w:rsidR="00540671" w:rsidRPr="005155D7" w:rsidRDefault="00540671" w:rsidP="0086268D">
      <w:pPr>
        <w:pStyle w:val="HTMLPreformatted"/>
        <w:jc w:val="both"/>
        <w:rPr>
          <w:rStyle w:val="y2iqfc"/>
          <w:rFonts w:ascii="inherit" w:hAnsi="inherit"/>
          <w:sz w:val="24"/>
          <w:szCs w:val="24"/>
        </w:rPr>
      </w:pPr>
    </w:p>
    <w:p w:rsidR="009E14B9" w:rsidRPr="005F49F6" w:rsidRDefault="00C6214E" w:rsidP="0086268D">
      <w:pPr>
        <w:pStyle w:val="NormalWeb"/>
        <w:spacing w:before="0" w:beforeAutospacing="0" w:after="0" w:afterAutospacing="0"/>
        <w:jc w:val="both"/>
        <w:rPr>
          <w:lang w:val="sr-Cyrl-BA"/>
        </w:rPr>
      </w:pPr>
      <w:r>
        <w:rPr>
          <w:rStyle w:val="y2iqfc"/>
        </w:rPr>
        <w:t>Што</w:t>
      </w:r>
      <w:r w:rsidR="00104A2C" w:rsidRPr="005155D7">
        <w:rPr>
          <w:rStyle w:val="y2iqfc"/>
        </w:rPr>
        <w:t xml:space="preserve"> </w:t>
      </w:r>
      <w:r>
        <w:rPr>
          <w:rStyle w:val="y2iqfc"/>
        </w:rPr>
        <w:t>се</w:t>
      </w:r>
      <w:r w:rsidR="00104A2C" w:rsidRPr="005155D7">
        <w:rPr>
          <w:rStyle w:val="y2iqfc"/>
        </w:rPr>
        <w:t xml:space="preserve"> </w:t>
      </w:r>
      <w:r>
        <w:rPr>
          <w:rStyle w:val="y2iqfc"/>
        </w:rPr>
        <w:t>тиче</w:t>
      </w:r>
      <w:r w:rsidR="00104A2C" w:rsidRPr="005155D7">
        <w:rPr>
          <w:rStyle w:val="y2iqfc"/>
        </w:rPr>
        <w:t xml:space="preserve"> </w:t>
      </w:r>
      <w:r>
        <w:rPr>
          <w:rStyle w:val="y2iqfc"/>
        </w:rPr>
        <w:t>кибернетичке</w:t>
      </w:r>
      <w:r w:rsidR="00104A2C" w:rsidRPr="005155D7">
        <w:rPr>
          <w:rStyle w:val="y2iqfc"/>
        </w:rPr>
        <w:t xml:space="preserve"> </w:t>
      </w:r>
      <w:r w:rsidR="003A4FB4">
        <w:rPr>
          <w:rStyle w:val="y2iqfc"/>
          <w:lang w:val="sr-Cyrl-BA"/>
        </w:rPr>
        <w:t>безбједности</w:t>
      </w:r>
      <w:r w:rsidR="00104A2C" w:rsidRPr="005155D7">
        <w:rPr>
          <w:rStyle w:val="y2iqfc"/>
        </w:rPr>
        <w:t xml:space="preserve"> </w:t>
      </w:r>
      <w:r>
        <w:rPr>
          <w:rStyle w:val="y2iqfc"/>
        </w:rPr>
        <w:t>жена</w:t>
      </w:r>
      <w:r w:rsidR="00104A2C" w:rsidRPr="005155D7">
        <w:rPr>
          <w:rStyle w:val="y2iqfc"/>
        </w:rPr>
        <w:t xml:space="preserve">, </w:t>
      </w:r>
      <w:r>
        <w:rPr>
          <w:rStyle w:val="y2iqfc"/>
        </w:rPr>
        <w:t>Мисија</w:t>
      </w:r>
      <w:r w:rsidR="00104A2C" w:rsidRPr="005155D7">
        <w:rPr>
          <w:rStyle w:val="y2iqfc"/>
        </w:rPr>
        <w:t xml:space="preserve"> </w:t>
      </w:r>
      <w:r>
        <w:rPr>
          <w:rStyle w:val="y2iqfc"/>
        </w:rPr>
        <w:t>О</w:t>
      </w:r>
      <w:r w:rsidR="003A4FB4">
        <w:rPr>
          <w:rStyle w:val="y2iqfc"/>
          <w:lang w:val="sr-Cyrl-BA"/>
        </w:rPr>
        <w:t>ЕБСА</w:t>
      </w:r>
      <w:r w:rsidR="00104A2C" w:rsidRPr="005155D7">
        <w:rPr>
          <w:rStyle w:val="y2iqfc"/>
        </w:rPr>
        <w:t>-</w:t>
      </w:r>
      <w:r>
        <w:rPr>
          <w:rStyle w:val="y2iqfc"/>
        </w:rPr>
        <w:t>а</w:t>
      </w:r>
      <w:r w:rsidR="00104A2C" w:rsidRPr="005155D7">
        <w:rPr>
          <w:rStyle w:val="y2iqfc"/>
        </w:rPr>
        <w:t xml:space="preserve"> </w:t>
      </w:r>
      <w:r>
        <w:rPr>
          <w:rStyle w:val="y2iqfc"/>
        </w:rPr>
        <w:t>је</w:t>
      </w:r>
      <w:r w:rsidR="00642F1D" w:rsidRPr="005155D7">
        <w:rPr>
          <w:rStyle w:val="y2iqfc"/>
        </w:rPr>
        <w:t xml:space="preserve"> </w:t>
      </w:r>
      <w:r>
        <w:rPr>
          <w:rStyle w:val="y2iqfc"/>
        </w:rPr>
        <w:t>подржала</w:t>
      </w:r>
      <w:r w:rsidR="00104A2C" w:rsidRPr="005155D7">
        <w:rPr>
          <w:rStyle w:val="y2iqfc"/>
        </w:rPr>
        <w:t xml:space="preserve"> </w:t>
      </w:r>
      <w:r>
        <w:rPr>
          <w:rStyle w:val="y2iqfc"/>
        </w:rPr>
        <w:t>оснивање</w:t>
      </w:r>
      <w:r w:rsidR="00104A2C" w:rsidRPr="005155D7">
        <w:rPr>
          <w:rStyle w:val="y2iqfc"/>
        </w:rPr>
        <w:t xml:space="preserve"> „</w:t>
      </w:r>
      <w:r>
        <w:rPr>
          <w:rStyle w:val="y2iqfc"/>
        </w:rPr>
        <w:t>Неретванске</w:t>
      </w:r>
      <w:r w:rsidR="00104A2C" w:rsidRPr="005155D7">
        <w:rPr>
          <w:rStyle w:val="y2iqfc"/>
        </w:rPr>
        <w:t xml:space="preserve"> </w:t>
      </w:r>
      <w:r>
        <w:rPr>
          <w:rStyle w:val="y2iqfc"/>
        </w:rPr>
        <w:t>групе</w:t>
      </w:r>
      <w:r w:rsidR="00104A2C" w:rsidRPr="005155D7">
        <w:rPr>
          <w:rStyle w:val="y2iqfc"/>
        </w:rPr>
        <w:t xml:space="preserve"> </w:t>
      </w:r>
      <w:r>
        <w:rPr>
          <w:rStyle w:val="y2iqfc"/>
        </w:rPr>
        <w:t>за</w:t>
      </w:r>
      <w:r w:rsidR="00104A2C" w:rsidRPr="005155D7">
        <w:rPr>
          <w:rStyle w:val="y2iqfc"/>
        </w:rPr>
        <w:t xml:space="preserve"> </w:t>
      </w:r>
      <w:r>
        <w:rPr>
          <w:rStyle w:val="y2iqfc"/>
        </w:rPr>
        <w:t>оснаживање</w:t>
      </w:r>
      <w:r w:rsidR="00104A2C" w:rsidRPr="005155D7">
        <w:rPr>
          <w:rStyle w:val="y2iqfc"/>
        </w:rPr>
        <w:t xml:space="preserve"> </w:t>
      </w:r>
      <w:r>
        <w:rPr>
          <w:rStyle w:val="y2iqfc"/>
        </w:rPr>
        <w:t>жена</w:t>
      </w:r>
      <w:r w:rsidR="00104A2C" w:rsidRPr="005155D7">
        <w:rPr>
          <w:rStyle w:val="y2iqfc"/>
        </w:rPr>
        <w:t xml:space="preserve"> </w:t>
      </w:r>
      <w:r>
        <w:rPr>
          <w:rStyle w:val="y2iqfc"/>
        </w:rPr>
        <w:t>у</w:t>
      </w:r>
      <w:r w:rsidR="00104A2C" w:rsidRPr="005155D7">
        <w:rPr>
          <w:rStyle w:val="y2iqfc"/>
        </w:rPr>
        <w:t xml:space="preserve"> </w:t>
      </w:r>
      <w:r>
        <w:rPr>
          <w:rStyle w:val="y2iqfc"/>
        </w:rPr>
        <w:t>кибернетичкој</w:t>
      </w:r>
      <w:r w:rsidR="00104A2C" w:rsidRPr="005155D7">
        <w:rPr>
          <w:rStyle w:val="y2iqfc"/>
        </w:rPr>
        <w:t xml:space="preserve"> </w:t>
      </w:r>
      <w:r w:rsidR="003A4FB4">
        <w:rPr>
          <w:rStyle w:val="y2iqfc"/>
          <w:lang w:val="sr-Cyrl-BA"/>
        </w:rPr>
        <w:t>безбједности</w:t>
      </w:r>
      <w:r w:rsidR="00104A2C" w:rsidRPr="005155D7">
        <w:rPr>
          <w:rStyle w:val="y2iqfc"/>
        </w:rPr>
        <w:t xml:space="preserve">“ </w:t>
      </w:r>
      <w:r>
        <w:rPr>
          <w:rStyle w:val="y2iqfc"/>
        </w:rPr>
        <w:t>посвећене</w:t>
      </w:r>
      <w:r w:rsidR="00104A2C" w:rsidRPr="005155D7">
        <w:rPr>
          <w:rStyle w:val="y2iqfc"/>
        </w:rPr>
        <w:t xml:space="preserve"> </w:t>
      </w:r>
      <w:r>
        <w:rPr>
          <w:rStyle w:val="y2iqfc"/>
        </w:rPr>
        <w:t>подизању</w:t>
      </w:r>
      <w:r w:rsidR="00104A2C" w:rsidRPr="005155D7">
        <w:rPr>
          <w:rStyle w:val="y2iqfc"/>
        </w:rPr>
        <w:t xml:space="preserve"> </w:t>
      </w:r>
      <w:r>
        <w:rPr>
          <w:rStyle w:val="y2iqfc"/>
        </w:rPr>
        <w:t>свијести</w:t>
      </w:r>
      <w:r w:rsidR="00104A2C" w:rsidRPr="005155D7">
        <w:rPr>
          <w:rStyle w:val="y2iqfc"/>
        </w:rPr>
        <w:t xml:space="preserve"> </w:t>
      </w:r>
      <w:r>
        <w:rPr>
          <w:rStyle w:val="y2iqfc"/>
        </w:rPr>
        <w:t>и</w:t>
      </w:r>
      <w:r w:rsidR="00104A2C" w:rsidRPr="005155D7">
        <w:rPr>
          <w:rStyle w:val="y2iqfc"/>
        </w:rPr>
        <w:t xml:space="preserve"> </w:t>
      </w:r>
      <w:r>
        <w:rPr>
          <w:rStyle w:val="y2iqfc"/>
        </w:rPr>
        <w:t>повећању</w:t>
      </w:r>
      <w:r w:rsidR="00104A2C" w:rsidRPr="005155D7">
        <w:rPr>
          <w:rStyle w:val="y2iqfc"/>
        </w:rPr>
        <w:t xml:space="preserve"> </w:t>
      </w:r>
      <w:r>
        <w:rPr>
          <w:rStyle w:val="y2iqfc"/>
        </w:rPr>
        <w:t>видљивости</w:t>
      </w:r>
      <w:r w:rsidR="00104A2C" w:rsidRPr="005155D7">
        <w:rPr>
          <w:rStyle w:val="y2iqfc"/>
        </w:rPr>
        <w:t xml:space="preserve"> </w:t>
      </w:r>
      <w:r>
        <w:rPr>
          <w:rStyle w:val="y2iqfc"/>
        </w:rPr>
        <w:t>доприноса</w:t>
      </w:r>
      <w:r w:rsidR="00104A2C" w:rsidRPr="005155D7">
        <w:rPr>
          <w:rStyle w:val="y2iqfc"/>
        </w:rPr>
        <w:t xml:space="preserve"> </w:t>
      </w:r>
      <w:r>
        <w:rPr>
          <w:rStyle w:val="y2iqfc"/>
        </w:rPr>
        <w:t>жена</w:t>
      </w:r>
      <w:r w:rsidR="00104A2C" w:rsidRPr="005155D7">
        <w:rPr>
          <w:rStyle w:val="y2iqfc"/>
        </w:rPr>
        <w:t xml:space="preserve"> </w:t>
      </w:r>
      <w:r>
        <w:rPr>
          <w:rStyle w:val="y2iqfc"/>
        </w:rPr>
        <w:t>професионалаца</w:t>
      </w:r>
      <w:r w:rsidR="00104A2C" w:rsidRPr="005155D7">
        <w:rPr>
          <w:rStyle w:val="y2iqfc"/>
        </w:rPr>
        <w:t xml:space="preserve"> </w:t>
      </w:r>
      <w:r>
        <w:rPr>
          <w:rStyle w:val="y2iqfc"/>
        </w:rPr>
        <w:t>у</w:t>
      </w:r>
      <w:r w:rsidR="00104A2C" w:rsidRPr="005155D7">
        <w:rPr>
          <w:rStyle w:val="y2iqfc"/>
        </w:rPr>
        <w:t xml:space="preserve"> </w:t>
      </w:r>
      <w:r>
        <w:rPr>
          <w:rStyle w:val="y2iqfc"/>
        </w:rPr>
        <w:t>овој</w:t>
      </w:r>
      <w:r w:rsidR="00104A2C" w:rsidRPr="005155D7">
        <w:rPr>
          <w:rStyle w:val="y2iqfc"/>
        </w:rPr>
        <w:t xml:space="preserve"> </w:t>
      </w:r>
      <w:r>
        <w:rPr>
          <w:rStyle w:val="y2iqfc"/>
        </w:rPr>
        <w:t>области</w:t>
      </w:r>
      <w:r w:rsidR="00104A2C" w:rsidRPr="005155D7">
        <w:rPr>
          <w:rStyle w:val="y2iqfc"/>
        </w:rPr>
        <w:t xml:space="preserve">. </w:t>
      </w:r>
      <w:r w:rsidR="003A4FB4">
        <w:rPr>
          <w:rStyle w:val="y2iqfc"/>
        </w:rPr>
        <w:t>Такође</w:t>
      </w:r>
      <w:r w:rsidR="00104A2C" w:rsidRPr="005155D7">
        <w:rPr>
          <w:rStyle w:val="y2iqfc"/>
        </w:rPr>
        <w:t xml:space="preserve">, </w:t>
      </w:r>
      <w:r>
        <w:rPr>
          <w:rStyle w:val="y2iqfc"/>
        </w:rPr>
        <w:t>поводом</w:t>
      </w:r>
      <w:r w:rsidR="00104A2C" w:rsidRPr="005155D7">
        <w:rPr>
          <w:rStyle w:val="y2iqfc"/>
        </w:rPr>
        <w:t xml:space="preserve"> </w:t>
      </w:r>
      <w:r>
        <w:rPr>
          <w:rStyle w:val="y2iqfc"/>
        </w:rPr>
        <w:t>Међународног</w:t>
      </w:r>
      <w:r w:rsidR="00104A2C" w:rsidRPr="005155D7">
        <w:rPr>
          <w:rStyle w:val="y2iqfc"/>
        </w:rPr>
        <w:t xml:space="preserve"> </w:t>
      </w:r>
      <w:r>
        <w:rPr>
          <w:rStyle w:val="y2iqfc"/>
        </w:rPr>
        <w:t>дана</w:t>
      </w:r>
      <w:r w:rsidR="00104A2C" w:rsidRPr="005155D7">
        <w:rPr>
          <w:rStyle w:val="y2iqfc"/>
        </w:rPr>
        <w:t xml:space="preserve"> </w:t>
      </w:r>
      <w:r>
        <w:rPr>
          <w:rStyle w:val="y2iqfc"/>
        </w:rPr>
        <w:t>жена</w:t>
      </w:r>
      <w:r w:rsidR="00104A2C" w:rsidRPr="005155D7">
        <w:rPr>
          <w:rStyle w:val="y2iqfc"/>
        </w:rPr>
        <w:t xml:space="preserve"> </w:t>
      </w:r>
      <w:r>
        <w:rPr>
          <w:rStyle w:val="y2iqfc"/>
        </w:rPr>
        <w:t>у</w:t>
      </w:r>
      <w:r w:rsidR="00104A2C" w:rsidRPr="005155D7">
        <w:rPr>
          <w:rStyle w:val="y2iqfc"/>
        </w:rPr>
        <w:t xml:space="preserve"> </w:t>
      </w:r>
      <w:r>
        <w:rPr>
          <w:rStyle w:val="y2iqfc"/>
        </w:rPr>
        <w:t>ИКТ</w:t>
      </w:r>
      <w:r w:rsidR="00104A2C" w:rsidRPr="005155D7">
        <w:rPr>
          <w:rStyle w:val="y2iqfc"/>
        </w:rPr>
        <w:t>-</w:t>
      </w:r>
      <w:r>
        <w:rPr>
          <w:rStyle w:val="y2iqfc"/>
        </w:rPr>
        <w:t>у</w:t>
      </w:r>
      <w:r w:rsidR="00104A2C" w:rsidRPr="005155D7">
        <w:rPr>
          <w:rStyle w:val="y2iqfc"/>
        </w:rPr>
        <w:t xml:space="preserve">, </w:t>
      </w:r>
      <w:r>
        <w:rPr>
          <w:rStyle w:val="y2iqfc"/>
        </w:rPr>
        <w:t>Мисија</w:t>
      </w:r>
      <w:r w:rsidR="00104A2C" w:rsidRPr="005155D7">
        <w:rPr>
          <w:rStyle w:val="y2iqfc"/>
        </w:rPr>
        <w:t xml:space="preserve"> </w:t>
      </w:r>
      <w:r>
        <w:rPr>
          <w:rStyle w:val="y2iqfc"/>
        </w:rPr>
        <w:t>је</w:t>
      </w:r>
      <w:r w:rsidR="00104A2C" w:rsidRPr="005155D7">
        <w:rPr>
          <w:rStyle w:val="y2iqfc"/>
        </w:rPr>
        <w:t xml:space="preserve"> </w:t>
      </w:r>
      <w:r>
        <w:rPr>
          <w:rStyle w:val="y2iqfc"/>
        </w:rPr>
        <w:t>организ</w:t>
      </w:r>
      <w:r w:rsidR="003A4FB4">
        <w:rPr>
          <w:rStyle w:val="y2iqfc"/>
          <w:lang w:val="sr-Cyrl-BA"/>
        </w:rPr>
        <w:t>овала</w:t>
      </w:r>
      <w:r w:rsidR="00104A2C" w:rsidRPr="005155D7">
        <w:rPr>
          <w:rStyle w:val="y2iqfc"/>
        </w:rPr>
        <w:t xml:space="preserve"> </w:t>
      </w:r>
      <w:r>
        <w:rPr>
          <w:rStyle w:val="y2iqfc"/>
        </w:rPr>
        <w:t>конференцију</w:t>
      </w:r>
      <w:r w:rsidR="00104A2C" w:rsidRPr="005155D7">
        <w:rPr>
          <w:rStyle w:val="y2iqfc"/>
        </w:rPr>
        <w:t xml:space="preserve"> </w:t>
      </w:r>
      <w:r>
        <w:rPr>
          <w:rStyle w:val="y2iqfc"/>
        </w:rPr>
        <w:t>под</w:t>
      </w:r>
      <w:r w:rsidR="00104A2C" w:rsidRPr="005155D7">
        <w:rPr>
          <w:rStyle w:val="y2iqfc"/>
        </w:rPr>
        <w:t xml:space="preserve"> </w:t>
      </w:r>
      <w:r>
        <w:rPr>
          <w:rStyle w:val="y2iqfc"/>
        </w:rPr>
        <w:t>називом</w:t>
      </w:r>
      <w:r w:rsidR="00104A2C" w:rsidRPr="005155D7">
        <w:rPr>
          <w:rStyle w:val="y2iqfc"/>
        </w:rPr>
        <w:t xml:space="preserve"> „</w:t>
      </w:r>
      <w:r>
        <w:rPr>
          <w:rStyle w:val="y2iqfc"/>
        </w:rPr>
        <w:t>Изазови</w:t>
      </w:r>
      <w:r w:rsidR="00104A2C" w:rsidRPr="005155D7">
        <w:rPr>
          <w:rStyle w:val="y2iqfc"/>
        </w:rPr>
        <w:t xml:space="preserve"> </w:t>
      </w:r>
      <w:r>
        <w:rPr>
          <w:rStyle w:val="y2iqfc"/>
        </w:rPr>
        <w:t>и</w:t>
      </w:r>
      <w:r w:rsidR="00104A2C" w:rsidRPr="005155D7">
        <w:rPr>
          <w:rStyle w:val="y2iqfc"/>
        </w:rPr>
        <w:t xml:space="preserve"> </w:t>
      </w:r>
      <w:r>
        <w:rPr>
          <w:rStyle w:val="y2iqfc"/>
        </w:rPr>
        <w:t>могућности</w:t>
      </w:r>
      <w:r w:rsidR="00104A2C" w:rsidRPr="005155D7">
        <w:rPr>
          <w:rStyle w:val="y2iqfc"/>
        </w:rPr>
        <w:t xml:space="preserve"> </w:t>
      </w:r>
      <w:r>
        <w:rPr>
          <w:rStyle w:val="y2iqfc"/>
        </w:rPr>
        <w:t>за</w:t>
      </w:r>
      <w:r w:rsidR="00104A2C" w:rsidRPr="005155D7">
        <w:rPr>
          <w:rStyle w:val="y2iqfc"/>
        </w:rPr>
        <w:t xml:space="preserve"> </w:t>
      </w:r>
      <w:r>
        <w:rPr>
          <w:rStyle w:val="y2iqfc"/>
        </w:rPr>
        <w:t>жене</w:t>
      </w:r>
      <w:r w:rsidR="00104A2C" w:rsidRPr="005155D7">
        <w:rPr>
          <w:rStyle w:val="y2iqfc"/>
        </w:rPr>
        <w:t xml:space="preserve"> </w:t>
      </w:r>
      <w:r>
        <w:rPr>
          <w:rStyle w:val="y2iqfc"/>
        </w:rPr>
        <w:t>у</w:t>
      </w:r>
      <w:r w:rsidR="00104A2C" w:rsidRPr="005155D7">
        <w:rPr>
          <w:rStyle w:val="y2iqfc"/>
        </w:rPr>
        <w:t xml:space="preserve"> </w:t>
      </w:r>
      <w:r>
        <w:rPr>
          <w:rStyle w:val="y2iqfc"/>
        </w:rPr>
        <w:t>кибернетичкој</w:t>
      </w:r>
      <w:r w:rsidR="00D03BC3" w:rsidRPr="005155D7">
        <w:rPr>
          <w:rStyle w:val="y2iqfc"/>
        </w:rPr>
        <w:t xml:space="preserve"> </w:t>
      </w:r>
      <w:r w:rsidR="003A4FB4">
        <w:rPr>
          <w:rStyle w:val="y2iqfc"/>
          <w:lang w:val="sr-Cyrl-BA"/>
        </w:rPr>
        <w:t>безбједности</w:t>
      </w:r>
      <w:r w:rsidR="00104A2C" w:rsidRPr="005155D7">
        <w:rPr>
          <w:rStyle w:val="y2iqfc"/>
        </w:rPr>
        <w:t xml:space="preserve">“ </w:t>
      </w:r>
      <w:r>
        <w:rPr>
          <w:rStyle w:val="y2iqfc"/>
        </w:rPr>
        <w:t>у</w:t>
      </w:r>
      <w:r w:rsidR="00104A2C" w:rsidRPr="005155D7">
        <w:rPr>
          <w:rStyle w:val="y2iqfc"/>
        </w:rPr>
        <w:t xml:space="preserve"> </w:t>
      </w:r>
      <w:r>
        <w:rPr>
          <w:rStyle w:val="y2iqfc"/>
        </w:rPr>
        <w:t>сарадњи</w:t>
      </w:r>
      <w:r w:rsidR="00104A2C" w:rsidRPr="005155D7">
        <w:rPr>
          <w:rStyle w:val="y2iqfc"/>
        </w:rPr>
        <w:t xml:space="preserve"> </w:t>
      </w:r>
      <w:r>
        <w:rPr>
          <w:rStyle w:val="y2iqfc"/>
        </w:rPr>
        <w:t>са</w:t>
      </w:r>
      <w:r w:rsidR="00104A2C" w:rsidRPr="005155D7">
        <w:rPr>
          <w:rStyle w:val="y2iqfc"/>
        </w:rPr>
        <w:t xml:space="preserve"> </w:t>
      </w:r>
      <w:r w:rsidR="003A4FB4" w:rsidRPr="003A4FB4">
        <w:rPr>
          <w:i/>
          <w:lang w:val="hr-BA"/>
        </w:rPr>
        <w:t>BH Women4Cyber</w:t>
      </w:r>
      <w:r w:rsidR="00104A2C" w:rsidRPr="005155D7">
        <w:rPr>
          <w:rStyle w:val="y2iqfc"/>
        </w:rPr>
        <w:t xml:space="preserve">. </w:t>
      </w:r>
      <w:r>
        <w:rPr>
          <w:rStyle w:val="y2iqfc"/>
        </w:rPr>
        <w:t>Догађај</w:t>
      </w:r>
      <w:r w:rsidR="00104A2C" w:rsidRPr="005155D7">
        <w:rPr>
          <w:rStyle w:val="y2iqfc"/>
        </w:rPr>
        <w:t xml:space="preserve"> </w:t>
      </w:r>
      <w:r>
        <w:rPr>
          <w:rStyle w:val="y2iqfc"/>
        </w:rPr>
        <w:t>је</w:t>
      </w:r>
      <w:r w:rsidR="00104A2C" w:rsidRPr="005155D7">
        <w:rPr>
          <w:rStyle w:val="y2iqfc"/>
        </w:rPr>
        <w:t xml:space="preserve"> </w:t>
      </w:r>
      <w:r>
        <w:rPr>
          <w:rStyle w:val="y2iqfc"/>
        </w:rPr>
        <w:t>окупио</w:t>
      </w:r>
      <w:r w:rsidR="00104A2C" w:rsidRPr="005155D7">
        <w:rPr>
          <w:rStyle w:val="y2iqfc"/>
        </w:rPr>
        <w:t xml:space="preserve"> 68 (60 </w:t>
      </w:r>
      <w:r>
        <w:rPr>
          <w:rStyle w:val="y2iqfc"/>
        </w:rPr>
        <w:t>жена</w:t>
      </w:r>
      <w:r w:rsidR="00104A2C" w:rsidRPr="005155D7">
        <w:rPr>
          <w:rStyle w:val="y2iqfc"/>
        </w:rPr>
        <w:t xml:space="preserve">, </w:t>
      </w:r>
      <w:r w:rsidR="005155D7">
        <w:rPr>
          <w:rStyle w:val="y2iqfc"/>
        </w:rPr>
        <w:t>8</w:t>
      </w:r>
      <w:r w:rsidR="00104A2C" w:rsidRPr="005155D7">
        <w:rPr>
          <w:rStyle w:val="y2iqfc"/>
        </w:rPr>
        <w:t xml:space="preserve"> </w:t>
      </w:r>
      <w:r>
        <w:rPr>
          <w:rStyle w:val="y2iqfc"/>
        </w:rPr>
        <w:t>мушкараца</w:t>
      </w:r>
      <w:r w:rsidR="00104A2C" w:rsidRPr="005155D7">
        <w:rPr>
          <w:rStyle w:val="y2iqfc"/>
        </w:rPr>
        <w:t xml:space="preserve">) </w:t>
      </w:r>
      <w:r>
        <w:rPr>
          <w:rStyle w:val="y2iqfc"/>
        </w:rPr>
        <w:t>студената</w:t>
      </w:r>
      <w:r w:rsidR="00104A2C" w:rsidRPr="005155D7">
        <w:rPr>
          <w:rStyle w:val="y2iqfc"/>
        </w:rPr>
        <w:t xml:space="preserve"> </w:t>
      </w:r>
      <w:r>
        <w:rPr>
          <w:rStyle w:val="y2iqfc"/>
        </w:rPr>
        <w:t>и</w:t>
      </w:r>
      <w:r w:rsidR="00104A2C" w:rsidRPr="005155D7">
        <w:rPr>
          <w:rStyle w:val="y2iqfc"/>
        </w:rPr>
        <w:t xml:space="preserve"> </w:t>
      </w:r>
      <w:r>
        <w:rPr>
          <w:rStyle w:val="y2iqfc"/>
        </w:rPr>
        <w:t>средњошколаца</w:t>
      </w:r>
      <w:r w:rsidR="00104A2C" w:rsidRPr="005155D7">
        <w:rPr>
          <w:rStyle w:val="y2iqfc"/>
        </w:rPr>
        <w:t xml:space="preserve">, </w:t>
      </w:r>
      <w:r>
        <w:rPr>
          <w:rStyle w:val="y2iqfc"/>
        </w:rPr>
        <w:t>стручњака</w:t>
      </w:r>
      <w:r w:rsidR="00104A2C" w:rsidRPr="005155D7">
        <w:rPr>
          <w:rStyle w:val="y2iqfc"/>
        </w:rPr>
        <w:t xml:space="preserve"> </w:t>
      </w:r>
      <w:r>
        <w:rPr>
          <w:rStyle w:val="y2iqfc"/>
        </w:rPr>
        <w:t>за</w:t>
      </w:r>
      <w:r w:rsidR="00104A2C" w:rsidRPr="005155D7">
        <w:rPr>
          <w:rStyle w:val="y2iqfc"/>
        </w:rPr>
        <w:t xml:space="preserve"> </w:t>
      </w:r>
      <w:r>
        <w:rPr>
          <w:rStyle w:val="y2iqfc"/>
        </w:rPr>
        <w:t>ИКТ</w:t>
      </w:r>
      <w:r w:rsidR="00104A2C" w:rsidRPr="005155D7">
        <w:rPr>
          <w:rStyle w:val="y2iqfc"/>
        </w:rPr>
        <w:t xml:space="preserve"> </w:t>
      </w:r>
      <w:r>
        <w:rPr>
          <w:rStyle w:val="y2iqfc"/>
        </w:rPr>
        <w:t>и</w:t>
      </w:r>
      <w:r w:rsidR="00104A2C" w:rsidRPr="005155D7">
        <w:rPr>
          <w:rStyle w:val="y2iqfc"/>
        </w:rPr>
        <w:t xml:space="preserve"> </w:t>
      </w:r>
      <w:r>
        <w:rPr>
          <w:rStyle w:val="y2iqfc"/>
        </w:rPr>
        <w:t>представника</w:t>
      </w:r>
      <w:r w:rsidR="00104A2C" w:rsidRPr="005155D7">
        <w:rPr>
          <w:rStyle w:val="y2iqfc"/>
        </w:rPr>
        <w:t xml:space="preserve"> </w:t>
      </w:r>
      <w:r>
        <w:rPr>
          <w:rStyle w:val="y2iqfc"/>
        </w:rPr>
        <w:t>владиног</w:t>
      </w:r>
      <w:r w:rsidR="00104A2C" w:rsidRPr="005155D7">
        <w:rPr>
          <w:rStyle w:val="y2iqfc"/>
        </w:rPr>
        <w:t xml:space="preserve"> </w:t>
      </w:r>
      <w:r>
        <w:rPr>
          <w:rStyle w:val="y2iqfc"/>
        </w:rPr>
        <w:t>и</w:t>
      </w:r>
      <w:r w:rsidR="00104A2C" w:rsidRPr="005155D7">
        <w:rPr>
          <w:rStyle w:val="y2iqfc"/>
        </w:rPr>
        <w:t xml:space="preserve"> </w:t>
      </w:r>
      <w:r>
        <w:rPr>
          <w:rStyle w:val="y2iqfc"/>
        </w:rPr>
        <w:t>невладиног</w:t>
      </w:r>
      <w:r w:rsidR="00104A2C" w:rsidRPr="005155D7">
        <w:rPr>
          <w:rStyle w:val="y2iqfc"/>
        </w:rPr>
        <w:t xml:space="preserve"> </w:t>
      </w:r>
      <w:r>
        <w:rPr>
          <w:rStyle w:val="y2iqfc"/>
        </w:rPr>
        <w:t>сектора</w:t>
      </w:r>
      <w:r w:rsidR="00104A2C" w:rsidRPr="005155D7">
        <w:rPr>
          <w:rStyle w:val="y2iqfc"/>
        </w:rPr>
        <w:t xml:space="preserve"> </w:t>
      </w:r>
      <w:r>
        <w:rPr>
          <w:rStyle w:val="y2iqfc"/>
        </w:rPr>
        <w:t>како</w:t>
      </w:r>
      <w:r w:rsidR="00104A2C" w:rsidRPr="005155D7">
        <w:rPr>
          <w:rStyle w:val="y2iqfc"/>
        </w:rPr>
        <w:t xml:space="preserve"> </w:t>
      </w:r>
      <w:r>
        <w:rPr>
          <w:rStyle w:val="y2iqfc"/>
        </w:rPr>
        <w:t>би</w:t>
      </w:r>
      <w:r w:rsidR="00104A2C" w:rsidRPr="005155D7">
        <w:rPr>
          <w:rStyle w:val="y2iqfc"/>
        </w:rPr>
        <w:t xml:space="preserve"> </w:t>
      </w:r>
      <w:r>
        <w:rPr>
          <w:rStyle w:val="y2iqfc"/>
        </w:rPr>
        <w:t>разговарали</w:t>
      </w:r>
      <w:r w:rsidR="00104A2C" w:rsidRPr="005155D7">
        <w:rPr>
          <w:rStyle w:val="y2iqfc"/>
        </w:rPr>
        <w:t xml:space="preserve"> </w:t>
      </w:r>
      <w:r>
        <w:rPr>
          <w:rStyle w:val="y2iqfc"/>
        </w:rPr>
        <w:t>о</w:t>
      </w:r>
      <w:r w:rsidR="00104A2C" w:rsidRPr="005155D7">
        <w:rPr>
          <w:rStyle w:val="y2iqfc"/>
        </w:rPr>
        <w:t xml:space="preserve"> </w:t>
      </w:r>
      <w:r>
        <w:rPr>
          <w:rStyle w:val="y2iqfc"/>
        </w:rPr>
        <w:t>изазовима</w:t>
      </w:r>
      <w:r w:rsidR="00104A2C" w:rsidRPr="005155D7">
        <w:rPr>
          <w:rStyle w:val="y2iqfc"/>
        </w:rPr>
        <w:t xml:space="preserve"> </w:t>
      </w:r>
      <w:r>
        <w:rPr>
          <w:rStyle w:val="y2iqfc"/>
        </w:rPr>
        <w:t>са</w:t>
      </w:r>
      <w:r w:rsidR="00104A2C" w:rsidRPr="005155D7">
        <w:rPr>
          <w:rStyle w:val="y2iqfc"/>
        </w:rPr>
        <w:t xml:space="preserve"> </w:t>
      </w:r>
      <w:r>
        <w:rPr>
          <w:rStyle w:val="y2iqfc"/>
        </w:rPr>
        <w:t>којима</w:t>
      </w:r>
      <w:r w:rsidR="00104A2C" w:rsidRPr="005155D7">
        <w:rPr>
          <w:rStyle w:val="y2iqfc"/>
        </w:rPr>
        <w:t xml:space="preserve"> </w:t>
      </w:r>
      <w:r>
        <w:rPr>
          <w:rStyle w:val="y2iqfc"/>
        </w:rPr>
        <w:t>се</w:t>
      </w:r>
      <w:r w:rsidR="00104A2C" w:rsidRPr="005155D7">
        <w:rPr>
          <w:rStyle w:val="y2iqfc"/>
        </w:rPr>
        <w:t xml:space="preserve"> </w:t>
      </w:r>
      <w:r>
        <w:rPr>
          <w:rStyle w:val="y2iqfc"/>
        </w:rPr>
        <w:t>суочавају</w:t>
      </w:r>
      <w:r w:rsidR="00104A2C" w:rsidRPr="005155D7">
        <w:rPr>
          <w:rStyle w:val="y2iqfc"/>
        </w:rPr>
        <w:t xml:space="preserve"> </w:t>
      </w:r>
      <w:r>
        <w:rPr>
          <w:rStyle w:val="y2iqfc"/>
        </w:rPr>
        <w:t>жене</w:t>
      </w:r>
      <w:r w:rsidR="00104A2C" w:rsidRPr="005155D7">
        <w:rPr>
          <w:rStyle w:val="y2iqfc"/>
        </w:rPr>
        <w:t xml:space="preserve"> </w:t>
      </w:r>
      <w:r>
        <w:rPr>
          <w:rStyle w:val="y2iqfc"/>
        </w:rPr>
        <w:t>у</w:t>
      </w:r>
      <w:r w:rsidR="00104A2C" w:rsidRPr="005155D7">
        <w:rPr>
          <w:rStyle w:val="y2iqfc"/>
        </w:rPr>
        <w:t xml:space="preserve"> </w:t>
      </w:r>
      <w:r>
        <w:rPr>
          <w:rStyle w:val="y2iqfc"/>
        </w:rPr>
        <w:t>индустрији</w:t>
      </w:r>
      <w:r w:rsidR="00104A2C" w:rsidRPr="005155D7">
        <w:rPr>
          <w:rStyle w:val="y2iqfc"/>
        </w:rPr>
        <w:t xml:space="preserve"> </w:t>
      </w:r>
      <w:r>
        <w:rPr>
          <w:rStyle w:val="y2iqfc"/>
        </w:rPr>
        <w:t>и</w:t>
      </w:r>
      <w:r w:rsidR="00104A2C" w:rsidRPr="005155D7">
        <w:rPr>
          <w:rStyle w:val="y2iqfc"/>
        </w:rPr>
        <w:t xml:space="preserve"> </w:t>
      </w:r>
      <w:r>
        <w:rPr>
          <w:rStyle w:val="y2iqfc"/>
        </w:rPr>
        <w:t>улози</w:t>
      </w:r>
      <w:r w:rsidR="00104A2C" w:rsidRPr="005155D7">
        <w:rPr>
          <w:rStyle w:val="y2iqfc"/>
        </w:rPr>
        <w:t xml:space="preserve"> </w:t>
      </w:r>
      <w:r>
        <w:rPr>
          <w:rStyle w:val="y2iqfc"/>
        </w:rPr>
        <w:t>образовања</w:t>
      </w:r>
      <w:r w:rsidR="00104A2C" w:rsidRPr="005155D7">
        <w:rPr>
          <w:rStyle w:val="y2iqfc"/>
        </w:rPr>
        <w:t xml:space="preserve"> </w:t>
      </w:r>
      <w:r>
        <w:rPr>
          <w:rStyle w:val="y2iqfc"/>
        </w:rPr>
        <w:t>и</w:t>
      </w:r>
      <w:r w:rsidR="00104A2C" w:rsidRPr="005155D7">
        <w:rPr>
          <w:rStyle w:val="y2iqfc"/>
        </w:rPr>
        <w:t xml:space="preserve"> </w:t>
      </w:r>
      <w:r>
        <w:rPr>
          <w:rStyle w:val="y2iqfc"/>
        </w:rPr>
        <w:t>менторства</w:t>
      </w:r>
      <w:r w:rsidR="00104A2C" w:rsidRPr="005155D7">
        <w:rPr>
          <w:rStyle w:val="y2iqfc"/>
        </w:rPr>
        <w:t xml:space="preserve"> </w:t>
      </w:r>
      <w:r>
        <w:rPr>
          <w:rStyle w:val="y2iqfc"/>
        </w:rPr>
        <w:t>у</w:t>
      </w:r>
      <w:r w:rsidR="00104A2C" w:rsidRPr="005155D7">
        <w:rPr>
          <w:rStyle w:val="y2iqfc"/>
        </w:rPr>
        <w:t xml:space="preserve"> </w:t>
      </w:r>
      <w:r>
        <w:rPr>
          <w:rStyle w:val="y2iqfc"/>
        </w:rPr>
        <w:t>оснаживању</w:t>
      </w:r>
      <w:r w:rsidR="00104A2C" w:rsidRPr="005155D7">
        <w:rPr>
          <w:rStyle w:val="y2iqfc"/>
        </w:rPr>
        <w:t xml:space="preserve"> </w:t>
      </w:r>
      <w:r>
        <w:rPr>
          <w:rStyle w:val="y2iqfc"/>
        </w:rPr>
        <w:t>жена</w:t>
      </w:r>
      <w:r w:rsidR="00104A2C" w:rsidRPr="005155D7">
        <w:rPr>
          <w:rStyle w:val="y2iqfc"/>
        </w:rPr>
        <w:t>.</w:t>
      </w:r>
      <w:r w:rsidR="009E14B9" w:rsidRPr="005155D7">
        <w:rPr>
          <w:rStyle w:val="y2iqfc"/>
        </w:rPr>
        <w:t xml:space="preserve"> </w:t>
      </w:r>
      <w:r>
        <w:rPr>
          <w:rStyle w:val="y2iqfc"/>
        </w:rPr>
        <w:t>Поред</w:t>
      </w:r>
      <w:r w:rsidR="009E14B9" w:rsidRPr="005155D7">
        <w:rPr>
          <w:rStyle w:val="y2iqfc"/>
        </w:rPr>
        <w:t xml:space="preserve"> </w:t>
      </w:r>
      <w:r>
        <w:rPr>
          <w:rStyle w:val="y2iqfc"/>
        </w:rPr>
        <w:t>тога</w:t>
      </w:r>
      <w:r w:rsidR="009E14B9" w:rsidRPr="005155D7">
        <w:rPr>
          <w:rStyle w:val="y2iqfc"/>
        </w:rPr>
        <w:t xml:space="preserve">, </w:t>
      </w:r>
      <w:r>
        <w:t>дјевојчице</w:t>
      </w:r>
      <w:r w:rsidR="009E14B9" w:rsidRPr="005155D7">
        <w:t xml:space="preserve"> </w:t>
      </w:r>
      <w:r>
        <w:t>и</w:t>
      </w:r>
      <w:r w:rsidR="009E14B9" w:rsidRPr="005155D7">
        <w:t xml:space="preserve"> </w:t>
      </w:r>
      <w:r>
        <w:t>дјевојке</w:t>
      </w:r>
      <w:r w:rsidR="009E14B9" w:rsidRPr="005155D7">
        <w:t xml:space="preserve"> </w:t>
      </w:r>
      <w:r>
        <w:t>из</w:t>
      </w:r>
      <w:r w:rsidR="009E14B9" w:rsidRPr="005155D7">
        <w:t xml:space="preserve"> </w:t>
      </w:r>
      <w:r>
        <w:t>свих</w:t>
      </w:r>
      <w:r w:rsidR="009E14B9" w:rsidRPr="005155D7">
        <w:t xml:space="preserve"> </w:t>
      </w:r>
      <w:r>
        <w:t>крајева</w:t>
      </w:r>
      <w:r w:rsidR="009E14B9" w:rsidRPr="005155D7">
        <w:t xml:space="preserve"> </w:t>
      </w:r>
      <w:r>
        <w:t>БиХ</w:t>
      </w:r>
      <w:r w:rsidR="009E14B9" w:rsidRPr="005155D7">
        <w:t xml:space="preserve"> </w:t>
      </w:r>
      <w:r>
        <w:t>Другим</w:t>
      </w:r>
      <w:r w:rsidR="009E14B9" w:rsidRPr="005155D7">
        <w:t xml:space="preserve"> </w:t>
      </w:r>
      <w:r>
        <w:t>сајмом</w:t>
      </w:r>
      <w:r w:rsidR="009E14B9" w:rsidRPr="005155D7">
        <w:t xml:space="preserve"> </w:t>
      </w:r>
      <w:r w:rsidR="003A4FB4" w:rsidRPr="003A4FB4">
        <w:rPr>
          <w:i/>
          <w:lang w:val="hr-BA"/>
        </w:rPr>
        <w:t xml:space="preserve">IT Girls </w:t>
      </w:r>
      <w:r>
        <w:t>клубова</w:t>
      </w:r>
      <w:r w:rsidR="009E14B9" w:rsidRPr="005155D7">
        <w:t xml:space="preserve"> </w:t>
      </w:r>
      <w:r>
        <w:t>основних</w:t>
      </w:r>
      <w:r w:rsidR="009E14B9" w:rsidRPr="005155D7">
        <w:t xml:space="preserve"> </w:t>
      </w:r>
      <w:r>
        <w:t>и</w:t>
      </w:r>
      <w:r w:rsidR="009E14B9" w:rsidRPr="005155D7">
        <w:t xml:space="preserve"> </w:t>
      </w:r>
      <w:r>
        <w:t>средњих</w:t>
      </w:r>
      <w:r w:rsidR="009E14B9" w:rsidRPr="005155D7">
        <w:t xml:space="preserve"> </w:t>
      </w:r>
      <w:r>
        <w:t>школа</w:t>
      </w:r>
      <w:r w:rsidR="009E14B9" w:rsidRPr="005155D7">
        <w:t xml:space="preserve"> </w:t>
      </w:r>
      <w:r>
        <w:t>у</w:t>
      </w:r>
      <w:r w:rsidR="009E14B9" w:rsidRPr="005155D7">
        <w:t xml:space="preserve"> </w:t>
      </w:r>
      <w:r>
        <w:t>Тузли</w:t>
      </w:r>
      <w:r w:rsidR="009E14B9" w:rsidRPr="005155D7">
        <w:t xml:space="preserve"> </w:t>
      </w:r>
      <w:r>
        <w:t>обиљежиле</w:t>
      </w:r>
      <w:r w:rsidR="009E14B9" w:rsidRPr="005155D7">
        <w:t xml:space="preserve"> </w:t>
      </w:r>
      <w:r>
        <w:t>су</w:t>
      </w:r>
      <w:r w:rsidR="009E14B9" w:rsidRPr="005155D7">
        <w:t xml:space="preserve"> </w:t>
      </w:r>
      <w:r>
        <w:t>Међународни</w:t>
      </w:r>
      <w:r w:rsidR="009E14B9" w:rsidRPr="005155D7">
        <w:t xml:space="preserve"> </w:t>
      </w:r>
      <w:r>
        <w:t>дан</w:t>
      </w:r>
      <w:r w:rsidR="009E14B9" w:rsidRPr="005155D7">
        <w:t xml:space="preserve"> </w:t>
      </w:r>
      <w:r>
        <w:t>дјевојака</w:t>
      </w:r>
      <w:r w:rsidR="009E14B9" w:rsidRPr="005155D7">
        <w:t xml:space="preserve"> </w:t>
      </w:r>
      <w:r>
        <w:t>у</w:t>
      </w:r>
      <w:r w:rsidR="009E14B9" w:rsidRPr="005155D7">
        <w:t xml:space="preserve"> </w:t>
      </w:r>
      <w:r>
        <w:t>сектору</w:t>
      </w:r>
      <w:r w:rsidR="009E14B9" w:rsidRPr="005155D7">
        <w:t xml:space="preserve"> </w:t>
      </w:r>
      <w:r>
        <w:t>информација</w:t>
      </w:r>
      <w:r w:rsidR="009E14B9" w:rsidRPr="005155D7">
        <w:t xml:space="preserve">, </w:t>
      </w:r>
      <w:r>
        <w:t>комуникација</w:t>
      </w:r>
      <w:r w:rsidR="009E14B9" w:rsidRPr="005155D7">
        <w:t xml:space="preserve"> </w:t>
      </w:r>
      <w:r>
        <w:t>и</w:t>
      </w:r>
      <w:r w:rsidR="009E14B9" w:rsidRPr="005155D7">
        <w:t xml:space="preserve"> </w:t>
      </w:r>
      <w:r>
        <w:t>технологије</w:t>
      </w:r>
      <w:r w:rsidR="009E14B9" w:rsidRPr="005155D7">
        <w:t xml:space="preserve"> (</w:t>
      </w:r>
      <w:r>
        <w:t>ИКТ</w:t>
      </w:r>
      <w:r w:rsidR="009E14B9" w:rsidRPr="005155D7">
        <w:t xml:space="preserve">). </w:t>
      </w:r>
      <w:r>
        <w:t>Сајам</w:t>
      </w:r>
      <w:r w:rsidR="009E14B9" w:rsidRPr="005155D7">
        <w:t xml:space="preserve"> </w:t>
      </w:r>
      <w:r>
        <w:t>је</w:t>
      </w:r>
      <w:r w:rsidR="009E14B9" w:rsidRPr="005155D7">
        <w:t xml:space="preserve"> </w:t>
      </w:r>
      <w:r>
        <w:t>реализ</w:t>
      </w:r>
      <w:r w:rsidR="003A4FB4">
        <w:rPr>
          <w:lang w:val="sr-Cyrl-BA"/>
        </w:rPr>
        <w:t>ован</w:t>
      </w:r>
      <w:r w:rsidR="009E14B9" w:rsidRPr="005155D7">
        <w:t xml:space="preserve"> </w:t>
      </w:r>
      <w:r>
        <w:t>у</w:t>
      </w:r>
      <w:r w:rsidR="009E14B9" w:rsidRPr="005155D7">
        <w:t xml:space="preserve"> </w:t>
      </w:r>
      <w:r>
        <w:t>оквиру</w:t>
      </w:r>
      <w:r w:rsidR="009E14B9" w:rsidRPr="005155D7">
        <w:t xml:space="preserve"> </w:t>
      </w:r>
      <w:r>
        <w:t>Иницијативе</w:t>
      </w:r>
      <w:r w:rsidR="009E14B9" w:rsidRPr="005155D7">
        <w:t xml:space="preserve"> </w:t>
      </w:r>
      <w:r w:rsidR="003A4FB4" w:rsidRPr="003A4FB4">
        <w:rPr>
          <w:i/>
          <w:lang w:val="hr-BA"/>
        </w:rPr>
        <w:t xml:space="preserve">IT Girls </w:t>
      </w:r>
      <w:r>
        <w:t>коју</w:t>
      </w:r>
      <w:r w:rsidR="009E14B9" w:rsidRPr="005155D7">
        <w:t xml:space="preserve"> </w:t>
      </w:r>
      <w:r>
        <w:t>подржавају</w:t>
      </w:r>
      <w:r w:rsidR="009E14B9" w:rsidRPr="005155D7">
        <w:t xml:space="preserve"> </w:t>
      </w:r>
      <w:r>
        <w:t>агенције</w:t>
      </w:r>
      <w:r w:rsidR="009E14B9" w:rsidRPr="005155D7">
        <w:t xml:space="preserve"> </w:t>
      </w:r>
      <w:r>
        <w:t>УН</w:t>
      </w:r>
      <w:r w:rsidR="009E14B9" w:rsidRPr="005155D7">
        <w:t xml:space="preserve"> (</w:t>
      </w:r>
      <w:r w:rsidR="003A4FB4">
        <w:rPr>
          <w:i/>
          <w:lang w:val="hr-BA"/>
        </w:rPr>
        <w:t xml:space="preserve">UNICEF, UNDP </w:t>
      </w:r>
      <w:r w:rsidR="003A4FB4" w:rsidRPr="003A4FB4">
        <w:rPr>
          <w:lang w:val="sr-Cyrl-BA"/>
        </w:rPr>
        <w:t>и</w:t>
      </w:r>
      <w:r w:rsidR="003A4FB4" w:rsidRPr="003A4FB4">
        <w:rPr>
          <w:i/>
          <w:lang w:val="hr-BA"/>
        </w:rPr>
        <w:t xml:space="preserve"> UN Women</w:t>
      </w:r>
      <w:r w:rsidR="009E14B9" w:rsidRPr="005155D7">
        <w:t>)</w:t>
      </w:r>
      <w:r w:rsidR="00857BC5" w:rsidRPr="005155D7">
        <w:t>.</w:t>
      </w:r>
    </w:p>
    <w:p w:rsidR="00104A2C" w:rsidRPr="005155D7" w:rsidRDefault="00104A2C" w:rsidP="0086268D">
      <w:pPr>
        <w:rPr>
          <w:sz w:val="20"/>
        </w:rPr>
      </w:pPr>
    </w:p>
    <w:p w:rsidR="00104A2C" w:rsidRPr="005155D7" w:rsidRDefault="00C6214E" w:rsidP="0086268D">
      <w:pPr>
        <w:pStyle w:val="HTMLPreformatted"/>
        <w:jc w:val="both"/>
        <w:rPr>
          <w:rFonts w:ascii="inherit" w:hAnsi="inherit"/>
          <w:sz w:val="24"/>
          <w:szCs w:val="24"/>
          <w:lang w:val="en-US"/>
        </w:rPr>
      </w:pPr>
      <w:r>
        <w:rPr>
          <w:rStyle w:val="y2iqfc"/>
          <w:rFonts w:ascii="inherit" w:hAnsi="inherit"/>
          <w:sz w:val="24"/>
          <w:szCs w:val="24"/>
        </w:rPr>
        <w:t>Препознајући</w:t>
      </w:r>
      <w:r w:rsidR="00104A2C" w:rsidRPr="005155D7">
        <w:rPr>
          <w:rStyle w:val="y2iqfc"/>
          <w:rFonts w:ascii="inherit" w:hAnsi="inherit"/>
          <w:sz w:val="24"/>
          <w:szCs w:val="24"/>
        </w:rPr>
        <w:t xml:space="preserve"> </w:t>
      </w:r>
      <w:r>
        <w:rPr>
          <w:rStyle w:val="y2iqfc"/>
          <w:rFonts w:ascii="inherit" w:hAnsi="inherit"/>
          <w:sz w:val="24"/>
          <w:szCs w:val="24"/>
        </w:rPr>
        <w:t>потребу</w:t>
      </w:r>
      <w:r w:rsidR="00104A2C" w:rsidRPr="005155D7">
        <w:rPr>
          <w:rStyle w:val="y2iqfc"/>
          <w:rFonts w:ascii="inherit" w:hAnsi="inherit"/>
          <w:sz w:val="24"/>
          <w:szCs w:val="24"/>
        </w:rPr>
        <w:t xml:space="preserve"> </w:t>
      </w:r>
      <w:r>
        <w:rPr>
          <w:rStyle w:val="y2iqfc"/>
          <w:rFonts w:ascii="inherit" w:hAnsi="inherit"/>
          <w:sz w:val="24"/>
          <w:szCs w:val="24"/>
        </w:rPr>
        <w:t>за</w:t>
      </w:r>
      <w:r w:rsidR="00104A2C" w:rsidRPr="005155D7">
        <w:rPr>
          <w:rStyle w:val="y2iqfc"/>
          <w:rFonts w:ascii="inherit" w:hAnsi="inherit"/>
          <w:sz w:val="24"/>
          <w:szCs w:val="24"/>
        </w:rPr>
        <w:t xml:space="preserve"> </w:t>
      </w:r>
      <w:r>
        <w:rPr>
          <w:rStyle w:val="y2iqfc"/>
          <w:rFonts w:ascii="inherit" w:hAnsi="inherit"/>
          <w:sz w:val="24"/>
          <w:szCs w:val="24"/>
        </w:rPr>
        <w:t>инклузивном</w:t>
      </w:r>
      <w:r w:rsidR="00104A2C" w:rsidRPr="005155D7">
        <w:rPr>
          <w:rStyle w:val="y2iqfc"/>
          <w:rFonts w:ascii="inherit" w:hAnsi="inherit"/>
          <w:sz w:val="24"/>
          <w:szCs w:val="24"/>
        </w:rPr>
        <w:t xml:space="preserve"> </w:t>
      </w:r>
      <w:r>
        <w:rPr>
          <w:rStyle w:val="y2iqfc"/>
          <w:rFonts w:ascii="inherit" w:hAnsi="inherit"/>
          <w:sz w:val="24"/>
          <w:szCs w:val="24"/>
        </w:rPr>
        <w:t>родном</w:t>
      </w:r>
      <w:r w:rsidR="00104A2C" w:rsidRPr="005155D7">
        <w:rPr>
          <w:rStyle w:val="y2iqfc"/>
          <w:rFonts w:ascii="inherit" w:hAnsi="inherit"/>
          <w:sz w:val="24"/>
          <w:szCs w:val="24"/>
        </w:rPr>
        <w:t xml:space="preserve"> </w:t>
      </w:r>
      <w:r>
        <w:rPr>
          <w:rStyle w:val="y2iqfc"/>
          <w:rFonts w:ascii="inherit" w:hAnsi="inherit"/>
          <w:sz w:val="24"/>
          <w:szCs w:val="24"/>
        </w:rPr>
        <w:t>трансформацијом</w:t>
      </w:r>
      <w:r w:rsidR="00104A2C" w:rsidRPr="005155D7">
        <w:rPr>
          <w:rStyle w:val="y2iqfc"/>
          <w:rFonts w:ascii="inherit" w:hAnsi="inherit"/>
          <w:sz w:val="24"/>
          <w:szCs w:val="24"/>
        </w:rPr>
        <w:t xml:space="preserve">, </w:t>
      </w:r>
      <w:r w:rsidR="005F49F6" w:rsidRPr="005F49F6">
        <w:rPr>
          <w:rFonts w:ascii="inherit" w:hAnsi="inherit"/>
          <w:i/>
          <w:sz w:val="24"/>
          <w:szCs w:val="24"/>
          <w:lang w:val="hr-BA"/>
        </w:rPr>
        <w:t>UNFPA</w:t>
      </w:r>
      <w:r w:rsidR="00104A2C" w:rsidRPr="005155D7">
        <w:rPr>
          <w:rStyle w:val="y2iqfc"/>
          <w:rFonts w:ascii="inherit" w:hAnsi="inherit"/>
          <w:sz w:val="24"/>
          <w:szCs w:val="24"/>
        </w:rPr>
        <w:t xml:space="preserve"> </w:t>
      </w:r>
      <w:r>
        <w:rPr>
          <w:rStyle w:val="y2iqfc"/>
          <w:rFonts w:ascii="inherit" w:hAnsi="inherit"/>
          <w:sz w:val="24"/>
          <w:szCs w:val="24"/>
        </w:rPr>
        <w:t>је</w:t>
      </w:r>
      <w:r w:rsidR="00104A2C" w:rsidRPr="005155D7">
        <w:rPr>
          <w:rStyle w:val="y2iqfc"/>
          <w:rFonts w:ascii="inherit" w:hAnsi="inherit"/>
          <w:sz w:val="24"/>
          <w:szCs w:val="24"/>
        </w:rPr>
        <w:t xml:space="preserve"> </w:t>
      </w:r>
      <w:r>
        <w:rPr>
          <w:rStyle w:val="y2iqfc"/>
          <w:rFonts w:ascii="inherit" w:hAnsi="inherit"/>
          <w:sz w:val="24"/>
          <w:szCs w:val="24"/>
        </w:rPr>
        <w:t>организ</w:t>
      </w:r>
      <w:r w:rsidR="005F49F6">
        <w:rPr>
          <w:rStyle w:val="y2iqfc"/>
          <w:rFonts w:ascii="inherit" w:hAnsi="inherit"/>
          <w:sz w:val="24"/>
          <w:szCs w:val="24"/>
          <w:lang w:val="sr-Cyrl-BA"/>
        </w:rPr>
        <w:t>овао</w:t>
      </w:r>
      <w:r w:rsidR="004E2BFC" w:rsidRPr="005155D7">
        <w:rPr>
          <w:rStyle w:val="y2iqfc"/>
          <w:rFonts w:ascii="inherit" w:hAnsi="inherit"/>
          <w:sz w:val="24"/>
          <w:szCs w:val="24"/>
        </w:rPr>
        <w:t xml:space="preserve"> </w:t>
      </w:r>
      <w:r>
        <w:rPr>
          <w:rStyle w:val="y2iqfc"/>
          <w:rFonts w:ascii="inherit" w:hAnsi="inherit"/>
          <w:sz w:val="24"/>
          <w:szCs w:val="24"/>
        </w:rPr>
        <w:t>форум</w:t>
      </w:r>
      <w:r w:rsidR="004E2BFC" w:rsidRPr="005155D7">
        <w:rPr>
          <w:rStyle w:val="y2iqfc"/>
          <w:rFonts w:ascii="inherit" w:hAnsi="inherit"/>
          <w:sz w:val="24"/>
          <w:szCs w:val="24"/>
        </w:rPr>
        <w:t xml:space="preserve"> „</w:t>
      </w:r>
      <w:r>
        <w:rPr>
          <w:rStyle w:val="y2iqfc"/>
          <w:rFonts w:ascii="inherit" w:hAnsi="inherit"/>
          <w:sz w:val="24"/>
          <w:szCs w:val="24"/>
        </w:rPr>
        <w:t>Мушкарци</w:t>
      </w:r>
      <w:r w:rsidR="004E2BFC" w:rsidRPr="005155D7">
        <w:rPr>
          <w:rStyle w:val="y2iqfc"/>
          <w:rFonts w:ascii="inherit" w:hAnsi="inherit"/>
          <w:sz w:val="24"/>
          <w:szCs w:val="24"/>
        </w:rPr>
        <w:t xml:space="preserve"> </w:t>
      </w:r>
      <w:r>
        <w:rPr>
          <w:rStyle w:val="y2iqfc"/>
          <w:rFonts w:ascii="inherit" w:hAnsi="inherit"/>
          <w:sz w:val="24"/>
          <w:szCs w:val="24"/>
        </w:rPr>
        <w:t>и</w:t>
      </w:r>
      <w:r w:rsidR="004E2BFC" w:rsidRPr="005155D7">
        <w:rPr>
          <w:rStyle w:val="y2iqfc"/>
          <w:rFonts w:ascii="inherit" w:hAnsi="inherit"/>
          <w:sz w:val="24"/>
          <w:szCs w:val="24"/>
        </w:rPr>
        <w:t xml:space="preserve"> </w:t>
      </w:r>
      <w:r>
        <w:rPr>
          <w:rStyle w:val="y2iqfc"/>
          <w:rFonts w:ascii="inherit" w:hAnsi="inherit"/>
          <w:sz w:val="24"/>
          <w:szCs w:val="24"/>
        </w:rPr>
        <w:t>дјечаци</w:t>
      </w:r>
      <w:r w:rsidR="004E2BFC" w:rsidRPr="005155D7">
        <w:rPr>
          <w:rStyle w:val="y2iqfc"/>
          <w:rFonts w:ascii="inherit" w:hAnsi="inherit"/>
          <w:sz w:val="24"/>
          <w:szCs w:val="24"/>
        </w:rPr>
        <w:t xml:space="preserve"> </w:t>
      </w:r>
      <w:r>
        <w:rPr>
          <w:rStyle w:val="y2iqfc"/>
          <w:rFonts w:ascii="inherit" w:hAnsi="inherit"/>
          <w:sz w:val="24"/>
          <w:szCs w:val="24"/>
        </w:rPr>
        <w:t>као</w:t>
      </w:r>
      <w:r w:rsidR="004E2BFC" w:rsidRPr="005155D7">
        <w:rPr>
          <w:rStyle w:val="y2iqfc"/>
          <w:rFonts w:ascii="inherit" w:hAnsi="inherit"/>
          <w:sz w:val="24"/>
          <w:szCs w:val="24"/>
        </w:rPr>
        <w:t xml:space="preserve"> </w:t>
      </w:r>
      <w:r>
        <w:rPr>
          <w:rStyle w:val="y2iqfc"/>
          <w:rFonts w:ascii="inherit" w:hAnsi="inherit"/>
          <w:sz w:val="24"/>
          <w:szCs w:val="24"/>
        </w:rPr>
        <w:t>агенти</w:t>
      </w:r>
      <w:r w:rsidR="004E2BFC" w:rsidRPr="005155D7">
        <w:rPr>
          <w:rStyle w:val="y2iqfc"/>
          <w:rFonts w:ascii="inherit" w:hAnsi="inherit"/>
          <w:sz w:val="24"/>
          <w:szCs w:val="24"/>
        </w:rPr>
        <w:t xml:space="preserve"> </w:t>
      </w:r>
      <w:r>
        <w:rPr>
          <w:rStyle w:val="y2iqfc"/>
          <w:rFonts w:ascii="inherit" w:hAnsi="inherit"/>
          <w:sz w:val="24"/>
          <w:szCs w:val="24"/>
        </w:rPr>
        <w:t>промјене</w:t>
      </w:r>
      <w:r w:rsidR="004E2BFC" w:rsidRPr="005155D7">
        <w:rPr>
          <w:rStyle w:val="y2iqfc"/>
          <w:rFonts w:ascii="inherit" w:hAnsi="inherit"/>
          <w:sz w:val="24"/>
          <w:szCs w:val="24"/>
        </w:rPr>
        <w:t xml:space="preserve">“ </w:t>
      </w:r>
      <w:r>
        <w:rPr>
          <w:rStyle w:val="y2iqfc"/>
          <w:rFonts w:ascii="inherit" w:hAnsi="inherit"/>
          <w:sz w:val="24"/>
          <w:szCs w:val="24"/>
        </w:rPr>
        <w:t>који</w:t>
      </w:r>
      <w:r w:rsidR="004E2BFC" w:rsidRPr="005155D7">
        <w:rPr>
          <w:rStyle w:val="y2iqfc"/>
          <w:rFonts w:ascii="inherit" w:hAnsi="inherit"/>
          <w:sz w:val="24"/>
          <w:szCs w:val="24"/>
        </w:rPr>
        <w:t xml:space="preserve"> </w:t>
      </w:r>
      <w:r>
        <w:rPr>
          <w:rStyle w:val="y2iqfc"/>
          <w:rFonts w:ascii="inherit" w:hAnsi="inherit"/>
          <w:sz w:val="24"/>
          <w:szCs w:val="24"/>
        </w:rPr>
        <w:t>је</w:t>
      </w:r>
      <w:r w:rsidR="004E2BFC" w:rsidRPr="005155D7">
        <w:rPr>
          <w:rStyle w:val="y2iqfc"/>
          <w:rFonts w:ascii="inherit" w:hAnsi="inherit"/>
          <w:sz w:val="24"/>
          <w:szCs w:val="24"/>
        </w:rPr>
        <w:t xml:space="preserve"> </w:t>
      </w:r>
      <w:r>
        <w:rPr>
          <w:rStyle w:val="y2iqfc"/>
          <w:rFonts w:ascii="inherit" w:hAnsi="inherit"/>
          <w:sz w:val="24"/>
          <w:szCs w:val="24"/>
        </w:rPr>
        <w:t>окупио</w:t>
      </w:r>
      <w:r w:rsidR="00104A2C" w:rsidRPr="005155D7">
        <w:rPr>
          <w:rStyle w:val="y2iqfc"/>
          <w:rFonts w:ascii="inherit" w:hAnsi="inherit"/>
          <w:sz w:val="24"/>
          <w:szCs w:val="24"/>
        </w:rPr>
        <w:t xml:space="preserve"> </w:t>
      </w:r>
      <w:r>
        <w:rPr>
          <w:rStyle w:val="y2iqfc"/>
          <w:rFonts w:ascii="inherit" w:hAnsi="inherit"/>
          <w:sz w:val="24"/>
          <w:szCs w:val="24"/>
        </w:rPr>
        <w:t>преко</w:t>
      </w:r>
      <w:r w:rsidR="00104A2C" w:rsidRPr="005155D7">
        <w:rPr>
          <w:rStyle w:val="y2iqfc"/>
          <w:rFonts w:ascii="inherit" w:hAnsi="inherit"/>
          <w:sz w:val="24"/>
          <w:szCs w:val="24"/>
        </w:rPr>
        <w:t xml:space="preserve"> 50 </w:t>
      </w:r>
      <w:r>
        <w:rPr>
          <w:rStyle w:val="y2iqfc"/>
          <w:rFonts w:ascii="inherit" w:hAnsi="inherit"/>
          <w:sz w:val="24"/>
          <w:szCs w:val="24"/>
        </w:rPr>
        <w:t>лица</w:t>
      </w:r>
      <w:r w:rsidR="00104A2C" w:rsidRPr="005155D7">
        <w:rPr>
          <w:rStyle w:val="y2iqfc"/>
          <w:rFonts w:ascii="inherit" w:hAnsi="inherit"/>
          <w:sz w:val="24"/>
          <w:szCs w:val="24"/>
        </w:rPr>
        <w:t xml:space="preserve"> - </w:t>
      </w:r>
      <w:r>
        <w:rPr>
          <w:rStyle w:val="y2iqfc"/>
          <w:rFonts w:ascii="inherit" w:hAnsi="inherit"/>
          <w:sz w:val="24"/>
          <w:szCs w:val="24"/>
        </w:rPr>
        <w:t>укључујући</w:t>
      </w:r>
      <w:r w:rsidR="00104A2C" w:rsidRPr="005155D7">
        <w:rPr>
          <w:rStyle w:val="y2iqfc"/>
          <w:rFonts w:ascii="inherit" w:hAnsi="inherit"/>
          <w:sz w:val="24"/>
          <w:szCs w:val="24"/>
        </w:rPr>
        <w:t xml:space="preserve"> </w:t>
      </w:r>
      <w:r>
        <w:rPr>
          <w:rStyle w:val="y2iqfc"/>
          <w:rFonts w:ascii="inherit" w:hAnsi="inherit"/>
          <w:sz w:val="24"/>
          <w:szCs w:val="24"/>
        </w:rPr>
        <w:t>креаторе</w:t>
      </w:r>
      <w:r w:rsidR="00104A2C" w:rsidRPr="005155D7">
        <w:rPr>
          <w:rStyle w:val="y2iqfc"/>
          <w:rFonts w:ascii="inherit" w:hAnsi="inherit"/>
          <w:sz w:val="24"/>
          <w:szCs w:val="24"/>
        </w:rPr>
        <w:t xml:space="preserve"> </w:t>
      </w:r>
      <w:r>
        <w:rPr>
          <w:rStyle w:val="y2iqfc"/>
          <w:rFonts w:ascii="inherit" w:hAnsi="inherit"/>
          <w:sz w:val="24"/>
          <w:szCs w:val="24"/>
        </w:rPr>
        <w:t>политика</w:t>
      </w:r>
      <w:r w:rsidR="00104A2C" w:rsidRPr="005155D7">
        <w:rPr>
          <w:rStyle w:val="y2iqfc"/>
          <w:rFonts w:ascii="inherit" w:hAnsi="inherit"/>
          <w:sz w:val="24"/>
          <w:szCs w:val="24"/>
        </w:rPr>
        <w:t xml:space="preserve">, </w:t>
      </w:r>
      <w:r>
        <w:rPr>
          <w:rStyle w:val="y2iqfc"/>
          <w:rFonts w:ascii="inherit" w:hAnsi="inherit"/>
          <w:sz w:val="24"/>
          <w:szCs w:val="24"/>
        </w:rPr>
        <w:t>медије</w:t>
      </w:r>
      <w:r w:rsidR="00104A2C" w:rsidRPr="005155D7">
        <w:rPr>
          <w:rStyle w:val="y2iqfc"/>
          <w:rFonts w:ascii="inherit" w:hAnsi="inherit"/>
          <w:sz w:val="24"/>
          <w:szCs w:val="24"/>
        </w:rPr>
        <w:t xml:space="preserve"> </w:t>
      </w:r>
      <w:r>
        <w:rPr>
          <w:rStyle w:val="y2iqfc"/>
          <w:rFonts w:ascii="inherit" w:hAnsi="inherit"/>
          <w:sz w:val="24"/>
          <w:szCs w:val="24"/>
        </w:rPr>
        <w:t>и</w:t>
      </w:r>
      <w:r w:rsidR="00104A2C" w:rsidRPr="005155D7">
        <w:rPr>
          <w:rStyle w:val="y2iqfc"/>
          <w:rFonts w:ascii="inherit" w:hAnsi="inherit"/>
          <w:sz w:val="24"/>
          <w:szCs w:val="24"/>
        </w:rPr>
        <w:t xml:space="preserve"> </w:t>
      </w:r>
      <w:r>
        <w:rPr>
          <w:rStyle w:val="y2iqfc"/>
          <w:rFonts w:ascii="inherit" w:hAnsi="inherit"/>
          <w:sz w:val="24"/>
          <w:szCs w:val="24"/>
        </w:rPr>
        <w:t>ут</w:t>
      </w:r>
      <w:r w:rsidR="005F49F6">
        <w:rPr>
          <w:rStyle w:val="y2iqfc"/>
          <w:rFonts w:ascii="inherit" w:hAnsi="inherit"/>
          <w:sz w:val="24"/>
          <w:szCs w:val="24"/>
          <w:lang w:val="sr-Cyrl-BA"/>
        </w:rPr>
        <w:t>и</w:t>
      </w:r>
      <w:r>
        <w:rPr>
          <w:rStyle w:val="y2iqfc"/>
          <w:rFonts w:ascii="inherit" w:hAnsi="inherit"/>
          <w:sz w:val="24"/>
          <w:szCs w:val="24"/>
        </w:rPr>
        <w:t>цајна</w:t>
      </w:r>
      <w:r w:rsidR="00104A2C" w:rsidRPr="005155D7">
        <w:rPr>
          <w:rStyle w:val="y2iqfc"/>
          <w:rFonts w:ascii="inherit" w:hAnsi="inherit"/>
          <w:sz w:val="24"/>
          <w:szCs w:val="24"/>
        </w:rPr>
        <w:t xml:space="preserve"> </w:t>
      </w:r>
      <w:r>
        <w:rPr>
          <w:rStyle w:val="y2iqfc"/>
          <w:rFonts w:ascii="inherit" w:hAnsi="inherit"/>
          <w:sz w:val="24"/>
          <w:szCs w:val="24"/>
        </w:rPr>
        <w:t>лица</w:t>
      </w:r>
      <w:r w:rsidR="00104A2C" w:rsidRPr="005155D7">
        <w:rPr>
          <w:rStyle w:val="y2iqfc"/>
          <w:rFonts w:ascii="inherit" w:hAnsi="inherit"/>
          <w:sz w:val="24"/>
          <w:szCs w:val="24"/>
        </w:rPr>
        <w:t xml:space="preserve"> </w:t>
      </w:r>
      <w:r>
        <w:rPr>
          <w:rStyle w:val="y2iqfc"/>
          <w:rFonts w:ascii="inherit" w:hAnsi="inherit"/>
          <w:sz w:val="24"/>
          <w:szCs w:val="24"/>
        </w:rPr>
        <w:t>у</w:t>
      </w:r>
      <w:r w:rsidR="00104A2C" w:rsidRPr="005155D7">
        <w:rPr>
          <w:rStyle w:val="y2iqfc"/>
          <w:rFonts w:ascii="inherit" w:hAnsi="inherit"/>
          <w:sz w:val="24"/>
          <w:szCs w:val="24"/>
        </w:rPr>
        <w:t xml:space="preserve"> </w:t>
      </w:r>
      <w:r>
        <w:rPr>
          <w:rStyle w:val="y2iqfc"/>
          <w:rFonts w:ascii="inherit" w:hAnsi="inherit"/>
          <w:sz w:val="24"/>
          <w:szCs w:val="24"/>
        </w:rPr>
        <w:t>заједници</w:t>
      </w:r>
      <w:r w:rsidR="004E2BFC" w:rsidRPr="005155D7">
        <w:rPr>
          <w:rStyle w:val="y2iqfc"/>
          <w:rFonts w:ascii="inherit" w:hAnsi="inherit"/>
          <w:sz w:val="24"/>
          <w:szCs w:val="24"/>
        </w:rPr>
        <w:t>.</w:t>
      </w:r>
      <w:r w:rsidR="00104A2C" w:rsidRPr="005155D7">
        <w:rPr>
          <w:rStyle w:val="y2iqfc"/>
          <w:rFonts w:ascii="inherit" w:hAnsi="inherit"/>
          <w:sz w:val="24"/>
          <w:szCs w:val="24"/>
        </w:rPr>
        <w:t xml:space="preserve"> </w:t>
      </w:r>
      <w:r>
        <w:rPr>
          <w:rStyle w:val="y2iqfc"/>
          <w:rFonts w:ascii="inherit" w:hAnsi="inherit"/>
          <w:sz w:val="24"/>
          <w:szCs w:val="24"/>
        </w:rPr>
        <w:t>Дискусије</w:t>
      </w:r>
      <w:r w:rsidR="00104A2C" w:rsidRPr="005155D7">
        <w:rPr>
          <w:rStyle w:val="y2iqfc"/>
          <w:rFonts w:ascii="inherit" w:hAnsi="inherit"/>
          <w:sz w:val="24"/>
          <w:szCs w:val="24"/>
        </w:rPr>
        <w:t xml:space="preserve"> </w:t>
      </w:r>
      <w:r>
        <w:rPr>
          <w:rStyle w:val="y2iqfc"/>
          <w:rFonts w:ascii="inherit" w:hAnsi="inherit"/>
          <w:sz w:val="24"/>
          <w:szCs w:val="24"/>
        </w:rPr>
        <w:t>су</w:t>
      </w:r>
      <w:r w:rsidR="00104A2C" w:rsidRPr="005155D7">
        <w:rPr>
          <w:rStyle w:val="y2iqfc"/>
          <w:rFonts w:ascii="inherit" w:hAnsi="inherit"/>
          <w:sz w:val="24"/>
          <w:szCs w:val="24"/>
        </w:rPr>
        <w:t xml:space="preserve"> </w:t>
      </w:r>
      <w:r>
        <w:rPr>
          <w:rStyle w:val="y2iqfc"/>
          <w:rFonts w:ascii="inherit" w:hAnsi="inherit"/>
          <w:sz w:val="24"/>
          <w:szCs w:val="24"/>
        </w:rPr>
        <w:t>се</w:t>
      </w:r>
      <w:r w:rsidR="00104A2C" w:rsidRPr="005155D7">
        <w:rPr>
          <w:rStyle w:val="y2iqfc"/>
          <w:rFonts w:ascii="inherit" w:hAnsi="inherit"/>
          <w:sz w:val="24"/>
          <w:szCs w:val="24"/>
        </w:rPr>
        <w:t xml:space="preserve"> </w:t>
      </w:r>
      <w:r>
        <w:rPr>
          <w:rStyle w:val="y2iqfc"/>
          <w:rFonts w:ascii="inherit" w:hAnsi="inherit"/>
          <w:sz w:val="24"/>
          <w:szCs w:val="24"/>
        </w:rPr>
        <w:t>фокусирале</w:t>
      </w:r>
      <w:r w:rsidR="00104A2C" w:rsidRPr="005155D7">
        <w:rPr>
          <w:rStyle w:val="y2iqfc"/>
          <w:rFonts w:ascii="inherit" w:hAnsi="inherit"/>
          <w:sz w:val="24"/>
          <w:szCs w:val="24"/>
        </w:rPr>
        <w:t xml:space="preserve"> </w:t>
      </w:r>
      <w:r>
        <w:rPr>
          <w:rStyle w:val="y2iqfc"/>
          <w:rFonts w:ascii="inherit" w:hAnsi="inherit"/>
          <w:sz w:val="24"/>
          <w:szCs w:val="24"/>
        </w:rPr>
        <w:t>на</w:t>
      </w:r>
      <w:r w:rsidR="00104A2C" w:rsidRPr="005155D7">
        <w:rPr>
          <w:rStyle w:val="y2iqfc"/>
          <w:rFonts w:ascii="inherit" w:hAnsi="inherit"/>
          <w:sz w:val="24"/>
          <w:szCs w:val="24"/>
        </w:rPr>
        <w:t xml:space="preserve"> </w:t>
      </w:r>
      <w:r>
        <w:rPr>
          <w:rStyle w:val="y2iqfc"/>
          <w:rFonts w:ascii="inherit" w:hAnsi="inherit"/>
          <w:sz w:val="24"/>
          <w:szCs w:val="24"/>
        </w:rPr>
        <w:t>здраве</w:t>
      </w:r>
      <w:r w:rsidR="00104A2C" w:rsidRPr="005155D7">
        <w:rPr>
          <w:rStyle w:val="y2iqfc"/>
          <w:rFonts w:ascii="inherit" w:hAnsi="inherit"/>
          <w:sz w:val="24"/>
          <w:szCs w:val="24"/>
        </w:rPr>
        <w:t xml:space="preserve"> </w:t>
      </w:r>
      <w:r>
        <w:rPr>
          <w:rStyle w:val="y2iqfc"/>
          <w:rFonts w:ascii="inherit" w:hAnsi="inherit"/>
          <w:sz w:val="24"/>
          <w:szCs w:val="24"/>
        </w:rPr>
        <w:t>маскулинитете</w:t>
      </w:r>
      <w:r w:rsidR="00104A2C" w:rsidRPr="005155D7">
        <w:rPr>
          <w:rStyle w:val="y2iqfc"/>
          <w:rFonts w:ascii="inherit" w:hAnsi="inherit"/>
          <w:sz w:val="24"/>
          <w:szCs w:val="24"/>
        </w:rPr>
        <w:t xml:space="preserve">, </w:t>
      </w:r>
      <w:r>
        <w:rPr>
          <w:rStyle w:val="y2iqfc"/>
          <w:rFonts w:ascii="inherit" w:hAnsi="inherit"/>
          <w:sz w:val="24"/>
          <w:szCs w:val="24"/>
        </w:rPr>
        <w:t>заједничку</w:t>
      </w:r>
      <w:r w:rsidR="00104A2C" w:rsidRPr="005155D7">
        <w:rPr>
          <w:rStyle w:val="y2iqfc"/>
          <w:rFonts w:ascii="inherit" w:hAnsi="inherit"/>
          <w:sz w:val="24"/>
          <w:szCs w:val="24"/>
        </w:rPr>
        <w:t xml:space="preserve"> </w:t>
      </w:r>
      <w:r>
        <w:rPr>
          <w:rStyle w:val="y2iqfc"/>
          <w:rFonts w:ascii="inherit" w:hAnsi="inherit"/>
          <w:sz w:val="24"/>
          <w:szCs w:val="24"/>
        </w:rPr>
        <w:t>одговорност</w:t>
      </w:r>
      <w:r w:rsidR="00104A2C" w:rsidRPr="005155D7">
        <w:rPr>
          <w:rStyle w:val="y2iqfc"/>
          <w:rFonts w:ascii="inherit" w:hAnsi="inherit"/>
          <w:sz w:val="24"/>
          <w:szCs w:val="24"/>
        </w:rPr>
        <w:t xml:space="preserve"> </w:t>
      </w:r>
      <w:r>
        <w:rPr>
          <w:rStyle w:val="y2iqfc"/>
          <w:rFonts w:ascii="inherit" w:hAnsi="inherit"/>
          <w:sz w:val="24"/>
          <w:szCs w:val="24"/>
        </w:rPr>
        <w:t>у</w:t>
      </w:r>
      <w:r w:rsidR="00104A2C" w:rsidRPr="005155D7">
        <w:rPr>
          <w:rStyle w:val="y2iqfc"/>
          <w:rFonts w:ascii="inherit" w:hAnsi="inherit"/>
          <w:sz w:val="24"/>
          <w:szCs w:val="24"/>
        </w:rPr>
        <w:t xml:space="preserve"> </w:t>
      </w:r>
      <w:r>
        <w:rPr>
          <w:rStyle w:val="y2iqfc"/>
          <w:rFonts w:ascii="inherit" w:hAnsi="inherit"/>
          <w:sz w:val="24"/>
          <w:szCs w:val="24"/>
        </w:rPr>
        <w:t>превенцији</w:t>
      </w:r>
      <w:r w:rsidR="00104A2C" w:rsidRPr="005155D7">
        <w:rPr>
          <w:rStyle w:val="y2iqfc"/>
          <w:rFonts w:ascii="inherit" w:hAnsi="inherit"/>
          <w:sz w:val="24"/>
          <w:szCs w:val="24"/>
        </w:rPr>
        <w:t xml:space="preserve"> </w:t>
      </w:r>
      <w:r>
        <w:rPr>
          <w:rStyle w:val="y2iqfc"/>
          <w:rFonts w:ascii="inherit" w:hAnsi="inherit"/>
          <w:sz w:val="24"/>
          <w:szCs w:val="24"/>
        </w:rPr>
        <w:t>родно</w:t>
      </w:r>
      <w:r w:rsidR="00104A2C" w:rsidRPr="005155D7">
        <w:rPr>
          <w:rStyle w:val="y2iqfc"/>
          <w:rFonts w:ascii="inherit" w:hAnsi="inherit"/>
          <w:sz w:val="24"/>
          <w:szCs w:val="24"/>
        </w:rPr>
        <w:t xml:space="preserve"> </w:t>
      </w:r>
      <w:r>
        <w:rPr>
          <w:rStyle w:val="y2iqfc"/>
          <w:rFonts w:ascii="inherit" w:hAnsi="inherit"/>
          <w:sz w:val="24"/>
          <w:szCs w:val="24"/>
        </w:rPr>
        <w:t>заснованог</w:t>
      </w:r>
      <w:r w:rsidR="00104A2C" w:rsidRPr="005155D7">
        <w:rPr>
          <w:rStyle w:val="y2iqfc"/>
          <w:rFonts w:ascii="inherit" w:hAnsi="inherit"/>
          <w:sz w:val="24"/>
          <w:szCs w:val="24"/>
        </w:rPr>
        <w:t xml:space="preserve"> </w:t>
      </w:r>
      <w:r>
        <w:rPr>
          <w:rStyle w:val="y2iqfc"/>
          <w:rFonts w:ascii="inherit" w:hAnsi="inherit"/>
          <w:sz w:val="24"/>
          <w:szCs w:val="24"/>
        </w:rPr>
        <w:t>насиља</w:t>
      </w:r>
      <w:r w:rsidR="00104A2C" w:rsidRPr="005155D7">
        <w:rPr>
          <w:rStyle w:val="y2iqfc"/>
          <w:rFonts w:ascii="inherit" w:hAnsi="inherit"/>
          <w:sz w:val="24"/>
          <w:szCs w:val="24"/>
        </w:rPr>
        <w:t xml:space="preserve"> </w:t>
      </w:r>
      <w:r>
        <w:rPr>
          <w:rStyle w:val="y2iqfc"/>
          <w:rFonts w:ascii="inherit" w:hAnsi="inherit"/>
          <w:sz w:val="24"/>
          <w:szCs w:val="24"/>
        </w:rPr>
        <w:t>и</w:t>
      </w:r>
      <w:r w:rsidR="00104A2C" w:rsidRPr="005155D7">
        <w:rPr>
          <w:rStyle w:val="y2iqfc"/>
          <w:rFonts w:ascii="inherit" w:hAnsi="inherit"/>
          <w:sz w:val="24"/>
          <w:szCs w:val="24"/>
        </w:rPr>
        <w:t xml:space="preserve"> </w:t>
      </w:r>
      <w:r>
        <w:rPr>
          <w:rStyle w:val="y2iqfc"/>
          <w:rFonts w:ascii="inherit" w:hAnsi="inherit"/>
          <w:sz w:val="24"/>
          <w:szCs w:val="24"/>
        </w:rPr>
        <w:t>важност</w:t>
      </w:r>
      <w:r w:rsidR="00104A2C" w:rsidRPr="005155D7">
        <w:rPr>
          <w:rStyle w:val="y2iqfc"/>
          <w:rFonts w:ascii="inherit" w:hAnsi="inherit"/>
          <w:sz w:val="24"/>
          <w:szCs w:val="24"/>
        </w:rPr>
        <w:t xml:space="preserve"> </w:t>
      </w:r>
      <w:r>
        <w:rPr>
          <w:rStyle w:val="y2iqfc"/>
          <w:rFonts w:ascii="inherit" w:hAnsi="inherit"/>
          <w:sz w:val="24"/>
          <w:szCs w:val="24"/>
        </w:rPr>
        <w:t>правних</w:t>
      </w:r>
      <w:r w:rsidR="00104A2C" w:rsidRPr="005155D7">
        <w:rPr>
          <w:rStyle w:val="y2iqfc"/>
          <w:rFonts w:ascii="inherit" w:hAnsi="inherit"/>
          <w:sz w:val="24"/>
          <w:szCs w:val="24"/>
        </w:rPr>
        <w:t xml:space="preserve"> </w:t>
      </w:r>
      <w:r>
        <w:rPr>
          <w:rStyle w:val="y2iqfc"/>
          <w:rFonts w:ascii="inherit" w:hAnsi="inherit"/>
          <w:sz w:val="24"/>
          <w:szCs w:val="24"/>
        </w:rPr>
        <w:t>реформи</w:t>
      </w:r>
      <w:r w:rsidR="00104A2C" w:rsidRPr="005155D7">
        <w:rPr>
          <w:rStyle w:val="y2iqfc"/>
          <w:rFonts w:ascii="inherit" w:hAnsi="inherit"/>
          <w:sz w:val="24"/>
          <w:szCs w:val="24"/>
        </w:rPr>
        <w:t xml:space="preserve">. </w:t>
      </w:r>
      <w:r>
        <w:rPr>
          <w:rStyle w:val="y2iqfc"/>
          <w:rFonts w:ascii="inherit" w:hAnsi="inherit"/>
          <w:sz w:val="24"/>
          <w:szCs w:val="24"/>
        </w:rPr>
        <w:t>Овакви</w:t>
      </w:r>
      <w:r w:rsidR="00104A2C" w:rsidRPr="005155D7">
        <w:rPr>
          <w:rStyle w:val="y2iqfc"/>
          <w:rFonts w:ascii="inherit" w:hAnsi="inherit"/>
          <w:sz w:val="24"/>
          <w:szCs w:val="24"/>
        </w:rPr>
        <w:t xml:space="preserve"> </w:t>
      </w:r>
      <w:r>
        <w:rPr>
          <w:rStyle w:val="y2iqfc"/>
          <w:rFonts w:ascii="inherit" w:hAnsi="inherit"/>
          <w:sz w:val="24"/>
          <w:szCs w:val="24"/>
        </w:rPr>
        <w:t>догађаји</w:t>
      </w:r>
      <w:r w:rsidR="00104A2C" w:rsidRPr="005155D7">
        <w:rPr>
          <w:rStyle w:val="y2iqfc"/>
          <w:rFonts w:ascii="inherit" w:hAnsi="inherit"/>
          <w:sz w:val="24"/>
          <w:szCs w:val="24"/>
        </w:rPr>
        <w:t xml:space="preserve"> </w:t>
      </w:r>
      <w:r>
        <w:rPr>
          <w:rStyle w:val="y2iqfc"/>
          <w:rFonts w:ascii="inherit" w:hAnsi="inherit"/>
          <w:sz w:val="24"/>
          <w:szCs w:val="24"/>
        </w:rPr>
        <w:t>доприносе</w:t>
      </w:r>
      <w:r w:rsidR="00104A2C" w:rsidRPr="005155D7">
        <w:rPr>
          <w:rStyle w:val="y2iqfc"/>
          <w:rFonts w:ascii="inherit" w:hAnsi="inherit"/>
          <w:sz w:val="24"/>
          <w:szCs w:val="24"/>
        </w:rPr>
        <w:t xml:space="preserve"> </w:t>
      </w:r>
      <w:r>
        <w:rPr>
          <w:rStyle w:val="y2iqfc"/>
          <w:rFonts w:ascii="inherit" w:hAnsi="inherit"/>
          <w:sz w:val="24"/>
          <w:szCs w:val="24"/>
        </w:rPr>
        <w:t>стварању</w:t>
      </w:r>
      <w:r w:rsidR="00104A2C" w:rsidRPr="005155D7">
        <w:rPr>
          <w:rStyle w:val="y2iqfc"/>
          <w:rFonts w:ascii="inherit" w:hAnsi="inherit"/>
          <w:sz w:val="24"/>
          <w:szCs w:val="24"/>
        </w:rPr>
        <w:t xml:space="preserve"> </w:t>
      </w:r>
      <w:r>
        <w:rPr>
          <w:rStyle w:val="y2iqfc"/>
          <w:rFonts w:ascii="inherit" w:hAnsi="inherit"/>
          <w:sz w:val="24"/>
          <w:szCs w:val="24"/>
        </w:rPr>
        <w:t>мултисекторских</w:t>
      </w:r>
      <w:r w:rsidR="00104A2C" w:rsidRPr="005155D7">
        <w:rPr>
          <w:rStyle w:val="y2iqfc"/>
          <w:rFonts w:ascii="inherit" w:hAnsi="inherit"/>
          <w:sz w:val="24"/>
          <w:szCs w:val="24"/>
        </w:rPr>
        <w:t xml:space="preserve"> </w:t>
      </w:r>
      <w:r>
        <w:rPr>
          <w:rStyle w:val="y2iqfc"/>
          <w:rFonts w:ascii="inherit" w:hAnsi="inherit"/>
          <w:sz w:val="24"/>
          <w:szCs w:val="24"/>
        </w:rPr>
        <w:t>савезништава</w:t>
      </w:r>
      <w:r w:rsidR="00104A2C" w:rsidRPr="005155D7">
        <w:rPr>
          <w:rStyle w:val="y2iqfc"/>
          <w:rFonts w:ascii="inherit" w:hAnsi="inherit"/>
          <w:sz w:val="24"/>
          <w:szCs w:val="24"/>
        </w:rPr>
        <w:t xml:space="preserve"> </w:t>
      </w:r>
      <w:r>
        <w:rPr>
          <w:rStyle w:val="y2iqfc"/>
          <w:rFonts w:ascii="inherit" w:hAnsi="inherit"/>
          <w:sz w:val="24"/>
          <w:szCs w:val="24"/>
        </w:rPr>
        <w:t>за</w:t>
      </w:r>
      <w:r w:rsidR="00104A2C" w:rsidRPr="005155D7">
        <w:rPr>
          <w:rStyle w:val="y2iqfc"/>
          <w:rFonts w:ascii="inherit" w:hAnsi="inherit"/>
          <w:sz w:val="24"/>
          <w:szCs w:val="24"/>
        </w:rPr>
        <w:t xml:space="preserve"> </w:t>
      </w:r>
      <w:r>
        <w:rPr>
          <w:rStyle w:val="y2iqfc"/>
          <w:rFonts w:ascii="inherit" w:hAnsi="inherit"/>
          <w:sz w:val="24"/>
          <w:szCs w:val="24"/>
        </w:rPr>
        <w:t>интеграцију</w:t>
      </w:r>
      <w:r w:rsidR="00104A2C" w:rsidRPr="005155D7">
        <w:rPr>
          <w:rStyle w:val="y2iqfc"/>
          <w:rFonts w:ascii="inherit" w:hAnsi="inherit"/>
          <w:sz w:val="24"/>
          <w:szCs w:val="24"/>
        </w:rPr>
        <w:t xml:space="preserve"> </w:t>
      </w:r>
      <w:r>
        <w:rPr>
          <w:rStyle w:val="y2iqfc"/>
          <w:rFonts w:ascii="inherit" w:hAnsi="inherit"/>
          <w:sz w:val="24"/>
          <w:szCs w:val="24"/>
        </w:rPr>
        <w:t>мушкараца</w:t>
      </w:r>
      <w:r w:rsidR="00104A2C" w:rsidRPr="005155D7">
        <w:rPr>
          <w:rStyle w:val="y2iqfc"/>
          <w:rFonts w:ascii="inherit" w:hAnsi="inherit"/>
          <w:sz w:val="24"/>
          <w:szCs w:val="24"/>
        </w:rPr>
        <w:t xml:space="preserve"> </w:t>
      </w:r>
      <w:r>
        <w:rPr>
          <w:rStyle w:val="y2iqfc"/>
          <w:rFonts w:ascii="inherit" w:hAnsi="inherit"/>
          <w:sz w:val="24"/>
          <w:szCs w:val="24"/>
        </w:rPr>
        <w:t>у</w:t>
      </w:r>
      <w:r w:rsidR="00104A2C" w:rsidRPr="005155D7">
        <w:rPr>
          <w:rStyle w:val="y2iqfc"/>
          <w:rFonts w:ascii="inherit" w:hAnsi="inherit"/>
          <w:sz w:val="24"/>
          <w:szCs w:val="24"/>
        </w:rPr>
        <w:t xml:space="preserve"> </w:t>
      </w:r>
      <w:r>
        <w:rPr>
          <w:rStyle w:val="y2iqfc"/>
          <w:rFonts w:ascii="inherit" w:hAnsi="inherit"/>
          <w:sz w:val="24"/>
          <w:szCs w:val="24"/>
        </w:rPr>
        <w:t>стратегије</w:t>
      </w:r>
      <w:r w:rsidR="00104A2C" w:rsidRPr="005155D7">
        <w:rPr>
          <w:rStyle w:val="y2iqfc"/>
          <w:rFonts w:ascii="inherit" w:hAnsi="inherit"/>
          <w:sz w:val="24"/>
          <w:szCs w:val="24"/>
        </w:rPr>
        <w:t xml:space="preserve"> </w:t>
      </w:r>
      <w:r>
        <w:rPr>
          <w:rStyle w:val="y2iqfc"/>
          <w:rFonts w:ascii="inherit" w:hAnsi="inherit"/>
          <w:sz w:val="24"/>
          <w:szCs w:val="24"/>
        </w:rPr>
        <w:t>у</w:t>
      </w:r>
      <w:r w:rsidR="00104A2C" w:rsidRPr="005155D7">
        <w:rPr>
          <w:rStyle w:val="y2iqfc"/>
          <w:rFonts w:ascii="inherit" w:hAnsi="inherit"/>
          <w:sz w:val="24"/>
          <w:szCs w:val="24"/>
        </w:rPr>
        <w:t xml:space="preserve"> </w:t>
      </w:r>
      <w:r>
        <w:rPr>
          <w:rStyle w:val="y2iqfc"/>
          <w:rFonts w:ascii="inherit" w:hAnsi="inherit"/>
          <w:sz w:val="24"/>
          <w:szCs w:val="24"/>
        </w:rPr>
        <w:t>области</w:t>
      </w:r>
      <w:r w:rsidR="00104A2C" w:rsidRPr="005155D7">
        <w:rPr>
          <w:rStyle w:val="y2iqfc"/>
          <w:rFonts w:ascii="inherit" w:hAnsi="inherit"/>
          <w:sz w:val="24"/>
          <w:szCs w:val="24"/>
        </w:rPr>
        <w:t xml:space="preserve"> </w:t>
      </w:r>
      <w:r>
        <w:rPr>
          <w:rStyle w:val="y2iqfc"/>
          <w:rFonts w:ascii="inherit" w:hAnsi="inherit"/>
          <w:sz w:val="24"/>
          <w:szCs w:val="24"/>
        </w:rPr>
        <w:t>равноправности</w:t>
      </w:r>
      <w:r w:rsidR="00104A2C" w:rsidRPr="005155D7">
        <w:rPr>
          <w:rStyle w:val="y2iqfc"/>
          <w:rFonts w:ascii="inherit" w:hAnsi="inherit"/>
          <w:sz w:val="24"/>
          <w:szCs w:val="24"/>
        </w:rPr>
        <w:t>.</w:t>
      </w:r>
    </w:p>
    <w:p w:rsidR="00104A2C" w:rsidRPr="00295637" w:rsidRDefault="00104A2C" w:rsidP="0086268D">
      <w:pPr>
        <w:rPr>
          <w:color w:val="FF0000"/>
          <w:sz w:val="20"/>
        </w:rPr>
      </w:pPr>
    </w:p>
    <w:p w:rsidR="006E724F" w:rsidRPr="00295637" w:rsidRDefault="005F49F6" w:rsidP="0086268D">
      <w:pPr>
        <w:jc w:val="both"/>
        <w:rPr>
          <w:rFonts w:ascii="Times New Roman" w:eastAsia="Aptos" w:hAnsi="Times New Roman"/>
        </w:rPr>
      </w:pPr>
      <w:r w:rsidRPr="005F49F6">
        <w:rPr>
          <w:rFonts w:ascii="Times New Roman" w:eastAsia="Aptos" w:hAnsi="Times New Roman"/>
          <w:i/>
        </w:rPr>
        <w:t>UNICEF</w:t>
      </w:r>
      <w:r w:rsidR="006E724F" w:rsidRPr="00295637">
        <w:rPr>
          <w:rFonts w:ascii="Times New Roman" w:eastAsia="Aptos" w:hAnsi="Times New Roman"/>
        </w:rPr>
        <w:t xml:space="preserve"> </w:t>
      </w:r>
      <w:r w:rsidR="00C6214E">
        <w:rPr>
          <w:rFonts w:ascii="Times New Roman" w:eastAsia="Aptos" w:hAnsi="Times New Roman"/>
        </w:rPr>
        <w:t>БиХ</w:t>
      </w:r>
      <w:r w:rsidR="006E724F" w:rsidRPr="00295637">
        <w:rPr>
          <w:rFonts w:ascii="Times New Roman" w:eastAsia="Aptos" w:hAnsi="Times New Roman"/>
        </w:rPr>
        <w:t xml:space="preserve"> </w:t>
      </w:r>
      <w:r w:rsidR="00C6214E">
        <w:rPr>
          <w:rFonts w:ascii="Times New Roman" w:eastAsia="Aptos" w:hAnsi="Times New Roman"/>
        </w:rPr>
        <w:t>је</w:t>
      </w:r>
      <w:r w:rsidR="006E724F" w:rsidRPr="00295637">
        <w:rPr>
          <w:rFonts w:ascii="Times New Roman" w:eastAsia="Aptos" w:hAnsi="Times New Roman"/>
        </w:rPr>
        <w:t xml:space="preserve"> </w:t>
      </w:r>
      <w:r w:rsidR="00C6214E">
        <w:rPr>
          <w:rFonts w:ascii="Times New Roman" w:eastAsia="Aptos" w:hAnsi="Times New Roman"/>
        </w:rPr>
        <w:t>у</w:t>
      </w:r>
      <w:r w:rsidR="00E80BD7" w:rsidRPr="00295637">
        <w:rPr>
          <w:rFonts w:ascii="Times New Roman" w:eastAsia="Aptos" w:hAnsi="Times New Roman"/>
        </w:rPr>
        <w:t xml:space="preserve"> </w:t>
      </w:r>
      <w:r w:rsidR="00C6214E">
        <w:rPr>
          <w:rFonts w:ascii="Times New Roman" w:eastAsia="Aptos" w:hAnsi="Times New Roman"/>
        </w:rPr>
        <w:t>активностима</w:t>
      </w:r>
      <w:r w:rsidR="00E80BD7" w:rsidRPr="00295637">
        <w:rPr>
          <w:rFonts w:ascii="Times New Roman" w:eastAsia="Aptos" w:hAnsi="Times New Roman"/>
        </w:rPr>
        <w:t xml:space="preserve"> </w:t>
      </w:r>
      <w:r w:rsidR="00C6214E">
        <w:rPr>
          <w:rFonts w:ascii="Times New Roman" w:eastAsia="Aptos" w:hAnsi="Times New Roman"/>
        </w:rPr>
        <w:t>ставио</w:t>
      </w:r>
      <w:r w:rsidR="00E80BD7" w:rsidRPr="00295637">
        <w:rPr>
          <w:rFonts w:ascii="Times New Roman" w:eastAsia="Aptos" w:hAnsi="Times New Roman"/>
        </w:rPr>
        <w:t xml:space="preserve"> </w:t>
      </w:r>
      <w:r w:rsidR="00C6214E">
        <w:rPr>
          <w:rFonts w:ascii="Times New Roman" w:eastAsia="Aptos" w:hAnsi="Times New Roman"/>
        </w:rPr>
        <w:t>акценат</w:t>
      </w:r>
      <w:r w:rsidR="00E80BD7" w:rsidRPr="00295637">
        <w:rPr>
          <w:rFonts w:ascii="Times New Roman" w:eastAsia="Aptos" w:hAnsi="Times New Roman"/>
        </w:rPr>
        <w:t xml:space="preserve"> </w:t>
      </w:r>
      <w:r w:rsidR="00C6214E">
        <w:rPr>
          <w:rFonts w:ascii="Times New Roman" w:eastAsia="Aptos" w:hAnsi="Times New Roman"/>
        </w:rPr>
        <w:t>на</w:t>
      </w:r>
      <w:r w:rsidR="006E724F" w:rsidRPr="00295637">
        <w:rPr>
          <w:rFonts w:ascii="Times New Roman" w:eastAsia="Aptos" w:hAnsi="Times New Roman"/>
        </w:rPr>
        <w:t xml:space="preserve"> </w:t>
      </w:r>
      <w:r w:rsidR="00C6214E">
        <w:rPr>
          <w:rFonts w:ascii="Times New Roman" w:eastAsia="Aptos" w:hAnsi="Times New Roman"/>
        </w:rPr>
        <w:t>јачање</w:t>
      </w:r>
      <w:r w:rsidR="006E724F" w:rsidRPr="00295637">
        <w:rPr>
          <w:rFonts w:ascii="Times New Roman" w:eastAsia="Aptos" w:hAnsi="Times New Roman"/>
        </w:rPr>
        <w:t xml:space="preserve"> </w:t>
      </w:r>
      <w:r w:rsidR="00C6214E">
        <w:rPr>
          <w:rFonts w:ascii="Times New Roman" w:eastAsia="Aptos" w:hAnsi="Times New Roman"/>
        </w:rPr>
        <w:t>система</w:t>
      </w:r>
      <w:r w:rsidR="006E724F" w:rsidRPr="00295637">
        <w:rPr>
          <w:rFonts w:ascii="Times New Roman" w:eastAsia="Aptos" w:hAnsi="Times New Roman"/>
        </w:rPr>
        <w:t xml:space="preserve"> </w:t>
      </w:r>
      <w:r w:rsidR="00C6214E">
        <w:rPr>
          <w:rFonts w:ascii="Times New Roman" w:eastAsia="Aptos" w:hAnsi="Times New Roman"/>
        </w:rPr>
        <w:t>и</w:t>
      </w:r>
      <w:r w:rsidR="006E724F" w:rsidRPr="00295637">
        <w:rPr>
          <w:rFonts w:ascii="Times New Roman" w:eastAsia="Aptos" w:hAnsi="Times New Roman"/>
        </w:rPr>
        <w:t xml:space="preserve"> </w:t>
      </w:r>
      <w:r w:rsidR="00C6214E">
        <w:rPr>
          <w:rFonts w:ascii="Times New Roman" w:eastAsia="Aptos" w:hAnsi="Times New Roman"/>
        </w:rPr>
        <w:t>директну</w:t>
      </w:r>
      <w:r w:rsidR="006E724F" w:rsidRPr="00295637">
        <w:rPr>
          <w:rFonts w:ascii="Times New Roman" w:eastAsia="Aptos" w:hAnsi="Times New Roman"/>
        </w:rPr>
        <w:t xml:space="preserve"> </w:t>
      </w:r>
      <w:r w:rsidR="00C6214E">
        <w:rPr>
          <w:rFonts w:ascii="Times New Roman" w:eastAsia="Aptos" w:hAnsi="Times New Roman"/>
        </w:rPr>
        <w:t>подршку</w:t>
      </w:r>
      <w:r w:rsidR="006E724F" w:rsidRPr="00295637">
        <w:rPr>
          <w:rFonts w:ascii="Times New Roman" w:eastAsia="Aptos" w:hAnsi="Times New Roman"/>
        </w:rPr>
        <w:t xml:space="preserve"> </w:t>
      </w:r>
      <w:r w:rsidR="00C6214E">
        <w:rPr>
          <w:rFonts w:ascii="Times New Roman" w:eastAsia="Aptos" w:hAnsi="Times New Roman"/>
        </w:rPr>
        <w:t>дјевојчицама</w:t>
      </w:r>
      <w:r w:rsidR="006E724F" w:rsidRPr="00295637">
        <w:rPr>
          <w:rFonts w:ascii="Times New Roman" w:eastAsia="Aptos" w:hAnsi="Times New Roman"/>
        </w:rPr>
        <w:t xml:space="preserve">, </w:t>
      </w:r>
      <w:r w:rsidR="00C6214E">
        <w:rPr>
          <w:rFonts w:ascii="Times New Roman" w:eastAsia="Aptos" w:hAnsi="Times New Roman"/>
        </w:rPr>
        <w:t>посебно</w:t>
      </w:r>
      <w:r w:rsidR="006E724F" w:rsidRPr="00295637">
        <w:rPr>
          <w:rFonts w:ascii="Times New Roman" w:eastAsia="Aptos" w:hAnsi="Times New Roman"/>
        </w:rPr>
        <w:t xml:space="preserve"> </w:t>
      </w:r>
      <w:r w:rsidR="00C6214E">
        <w:rPr>
          <w:rFonts w:ascii="Times New Roman" w:eastAsia="Aptos" w:hAnsi="Times New Roman"/>
        </w:rPr>
        <w:t>онима</w:t>
      </w:r>
      <w:r w:rsidR="006E724F" w:rsidRPr="00295637">
        <w:rPr>
          <w:rFonts w:ascii="Times New Roman" w:eastAsia="Aptos" w:hAnsi="Times New Roman"/>
        </w:rPr>
        <w:t xml:space="preserve"> </w:t>
      </w:r>
      <w:r w:rsidR="00C6214E">
        <w:rPr>
          <w:rFonts w:ascii="Times New Roman" w:eastAsia="Aptos" w:hAnsi="Times New Roman"/>
        </w:rPr>
        <w:t>у</w:t>
      </w:r>
      <w:r w:rsidR="006E724F" w:rsidRPr="00295637">
        <w:rPr>
          <w:rFonts w:ascii="Times New Roman" w:eastAsia="Aptos" w:hAnsi="Times New Roman"/>
        </w:rPr>
        <w:t xml:space="preserve"> </w:t>
      </w:r>
      <w:r w:rsidR="00C6214E">
        <w:rPr>
          <w:rFonts w:ascii="Times New Roman" w:eastAsia="Aptos" w:hAnsi="Times New Roman"/>
        </w:rPr>
        <w:t>рањивим</w:t>
      </w:r>
      <w:r w:rsidR="00E80BD7" w:rsidRPr="00295637">
        <w:rPr>
          <w:rFonts w:ascii="Times New Roman" w:eastAsia="Aptos" w:hAnsi="Times New Roman"/>
        </w:rPr>
        <w:t xml:space="preserve"> </w:t>
      </w:r>
      <w:r w:rsidR="00C6214E">
        <w:rPr>
          <w:rFonts w:ascii="Times New Roman" w:eastAsia="Aptos" w:hAnsi="Times New Roman"/>
        </w:rPr>
        <w:t>ситуацијама</w:t>
      </w:r>
      <w:r w:rsidR="00E80BD7" w:rsidRPr="00295637">
        <w:rPr>
          <w:rFonts w:ascii="Times New Roman" w:eastAsia="Aptos" w:hAnsi="Times New Roman"/>
        </w:rPr>
        <w:t xml:space="preserve">, </w:t>
      </w:r>
      <w:r w:rsidR="00C6214E">
        <w:rPr>
          <w:rFonts w:ascii="Times New Roman" w:eastAsia="Aptos" w:hAnsi="Times New Roman"/>
        </w:rPr>
        <w:t>конкретно</w:t>
      </w:r>
      <w:r w:rsidR="00E80BD7" w:rsidRPr="00295637">
        <w:rPr>
          <w:rFonts w:ascii="Times New Roman" w:eastAsia="Aptos" w:hAnsi="Times New Roman"/>
        </w:rPr>
        <w:t>, „</w:t>
      </w:r>
      <w:r w:rsidR="00C6214E">
        <w:rPr>
          <w:rFonts w:ascii="Times New Roman" w:eastAsia="Aptos" w:hAnsi="Times New Roman"/>
        </w:rPr>
        <w:t>Плави</w:t>
      </w:r>
      <w:r w:rsidR="006E724F" w:rsidRPr="00295637">
        <w:rPr>
          <w:rFonts w:ascii="Times New Roman" w:eastAsia="Aptos" w:hAnsi="Times New Roman"/>
        </w:rPr>
        <w:t xml:space="preserve"> </w:t>
      </w:r>
      <w:r w:rsidR="00C6214E">
        <w:rPr>
          <w:rFonts w:ascii="Times New Roman" w:eastAsia="Aptos" w:hAnsi="Times New Roman"/>
        </w:rPr>
        <w:t>телефон</w:t>
      </w:r>
      <w:r w:rsidR="00E80BD7" w:rsidRPr="00295637">
        <w:rPr>
          <w:rFonts w:ascii="Times New Roman" w:eastAsia="Aptos" w:hAnsi="Times New Roman"/>
        </w:rPr>
        <w:t>“</w:t>
      </w:r>
      <w:r w:rsidR="006E724F" w:rsidRPr="00295637">
        <w:rPr>
          <w:rFonts w:ascii="Times New Roman" w:eastAsia="Aptos" w:hAnsi="Times New Roman"/>
        </w:rPr>
        <w:t xml:space="preserve"> </w:t>
      </w:r>
      <w:r w:rsidR="00C6214E">
        <w:rPr>
          <w:rFonts w:ascii="Times New Roman" w:eastAsia="Aptos" w:hAnsi="Times New Roman"/>
        </w:rPr>
        <w:t>је</w:t>
      </w:r>
      <w:r w:rsidR="006E724F" w:rsidRPr="00295637">
        <w:rPr>
          <w:rFonts w:ascii="Times New Roman" w:eastAsia="Aptos" w:hAnsi="Times New Roman"/>
        </w:rPr>
        <w:t xml:space="preserve"> </w:t>
      </w:r>
      <w:r w:rsidR="00C6214E">
        <w:rPr>
          <w:rFonts w:ascii="Times New Roman" w:eastAsia="Aptos" w:hAnsi="Times New Roman"/>
        </w:rPr>
        <w:t>наставио</w:t>
      </w:r>
      <w:r w:rsidR="006E724F" w:rsidRPr="00295637">
        <w:rPr>
          <w:rFonts w:ascii="Times New Roman" w:eastAsia="Aptos" w:hAnsi="Times New Roman"/>
        </w:rPr>
        <w:t xml:space="preserve"> </w:t>
      </w:r>
      <w:r w:rsidR="00C6214E">
        <w:rPr>
          <w:rFonts w:ascii="Times New Roman" w:eastAsia="Aptos" w:hAnsi="Times New Roman"/>
        </w:rPr>
        <w:t>са</w:t>
      </w:r>
      <w:r w:rsidR="006E724F" w:rsidRPr="00295637">
        <w:rPr>
          <w:rFonts w:ascii="Times New Roman" w:eastAsia="Aptos" w:hAnsi="Times New Roman"/>
        </w:rPr>
        <w:t xml:space="preserve"> </w:t>
      </w:r>
      <w:r w:rsidR="00C6214E">
        <w:rPr>
          <w:rFonts w:ascii="Times New Roman" w:eastAsia="Aptos" w:hAnsi="Times New Roman"/>
        </w:rPr>
        <w:t>пружањем</w:t>
      </w:r>
      <w:r w:rsidR="006E724F" w:rsidRPr="00295637">
        <w:rPr>
          <w:rFonts w:ascii="Times New Roman" w:eastAsia="Aptos" w:hAnsi="Times New Roman"/>
        </w:rPr>
        <w:t xml:space="preserve"> </w:t>
      </w:r>
      <w:r w:rsidR="00C6214E">
        <w:rPr>
          <w:rFonts w:ascii="Times New Roman" w:eastAsia="Aptos" w:hAnsi="Times New Roman"/>
        </w:rPr>
        <w:t>бесплатне</w:t>
      </w:r>
      <w:r w:rsidR="006E724F" w:rsidRPr="00295637">
        <w:rPr>
          <w:rFonts w:ascii="Times New Roman" w:eastAsia="Aptos" w:hAnsi="Times New Roman"/>
        </w:rPr>
        <w:t xml:space="preserve">, </w:t>
      </w:r>
      <w:r w:rsidR="00C6214E">
        <w:rPr>
          <w:rFonts w:ascii="Times New Roman" w:eastAsia="Aptos" w:hAnsi="Times New Roman"/>
        </w:rPr>
        <w:t>повјерљиве</w:t>
      </w:r>
      <w:r w:rsidR="006E724F" w:rsidRPr="00295637">
        <w:rPr>
          <w:rFonts w:ascii="Times New Roman" w:eastAsia="Aptos" w:hAnsi="Times New Roman"/>
        </w:rPr>
        <w:t xml:space="preserve"> </w:t>
      </w:r>
      <w:r w:rsidR="00C6214E">
        <w:rPr>
          <w:rFonts w:ascii="Times New Roman" w:eastAsia="Aptos" w:hAnsi="Times New Roman"/>
        </w:rPr>
        <w:t>психолошке</w:t>
      </w:r>
      <w:r w:rsidR="006E724F" w:rsidRPr="00295637">
        <w:rPr>
          <w:rFonts w:ascii="Times New Roman" w:eastAsia="Aptos" w:hAnsi="Times New Roman"/>
        </w:rPr>
        <w:t xml:space="preserve"> </w:t>
      </w:r>
      <w:r w:rsidR="00C6214E">
        <w:rPr>
          <w:rFonts w:ascii="Times New Roman" w:eastAsia="Aptos" w:hAnsi="Times New Roman"/>
        </w:rPr>
        <w:t>подршке</w:t>
      </w:r>
      <w:r w:rsidR="006E724F" w:rsidRPr="00295637">
        <w:rPr>
          <w:rFonts w:ascii="Times New Roman" w:eastAsia="Aptos" w:hAnsi="Times New Roman"/>
        </w:rPr>
        <w:t xml:space="preserve"> </w:t>
      </w:r>
      <w:r w:rsidR="00C6214E">
        <w:rPr>
          <w:rFonts w:ascii="Times New Roman" w:eastAsia="Aptos" w:hAnsi="Times New Roman"/>
        </w:rPr>
        <w:t>и</w:t>
      </w:r>
      <w:r w:rsidR="006E724F" w:rsidRPr="00295637">
        <w:rPr>
          <w:rFonts w:ascii="Times New Roman" w:eastAsia="Aptos" w:hAnsi="Times New Roman"/>
        </w:rPr>
        <w:t xml:space="preserve"> </w:t>
      </w:r>
      <w:r w:rsidR="00C6214E">
        <w:rPr>
          <w:rFonts w:ascii="Times New Roman" w:eastAsia="Aptos" w:hAnsi="Times New Roman"/>
        </w:rPr>
        <w:t>могућности</w:t>
      </w:r>
      <w:r w:rsidR="006E724F" w:rsidRPr="00295637">
        <w:rPr>
          <w:rFonts w:ascii="Times New Roman" w:eastAsia="Aptos" w:hAnsi="Times New Roman"/>
        </w:rPr>
        <w:t xml:space="preserve"> </w:t>
      </w:r>
      <w:r w:rsidR="00C6214E">
        <w:rPr>
          <w:rFonts w:ascii="Times New Roman" w:eastAsia="Aptos" w:hAnsi="Times New Roman"/>
        </w:rPr>
        <w:t>анонимног</w:t>
      </w:r>
      <w:r w:rsidR="006E724F" w:rsidRPr="00295637">
        <w:rPr>
          <w:rFonts w:ascii="Times New Roman" w:eastAsia="Aptos" w:hAnsi="Times New Roman"/>
        </w:rPr>
        <w:t xml:space="preserve"> </w:t>
      </w:r>
      <w:r w:rsidR="00C6214E">
        <w:rPr>
          <w:rFonts w:ascii="Times New Roman" w:eastAsia="Aptos" w:hAnsi="Times New Roman"/>
        </w:rPr>
        <w:t>пријављивања</w:t>
      </w:r>
      <w:r w:rsidR="006E724F" w:rsidRPr="00295637">
        <w:rPr>
          <w:rFonts w:ascii="Times New Roman" w:eastAsia="Aptos" w:hAnsi="Times New Roman"/>
        </w:rPr>
        <w:t xml:space="preserve"> </w:t>
      </w:r>
      <w:r w:rsidR="00C6214E">
        <w:rPr>
          <w:rFonts w:ascii="Times New Roman" w:eastAsia="Aptos" w:hAnsi="Times New Roman"/>
        </w:rPr>
        <w:t>насиља</w:t>
      </w:r>
      <w:r w:rsidR="00E80BD7" w:rsidRPr="00295637">
        <w:rPr>
          <w:rFonts w:ascii="Times New Roman" w:eastAsia="Aptos" w:hAnsi="Times New Roman"/>
        </w:rPr>
        <w:t xml:space="preserve"> </w:t>
      </w:r>
      <w:r w:rsidR="00C6214E">
        <w:rPr>
          <w:rFonts w:ascii="Times New Roman" w:eastAsia="Aptos" w:hAnsi="Times New Roman"/>
        </w:rPr>
        <w:t>за</w:t>
      </w:r>
      <w:r w:rsidR="00E80BD7" w:rsidRPr="00295637">
        <w:rPr>
          <w:rFonts w:ascii="Times New Roman" w:eastAsia="Aptos" w:hAnsi="Times New Roman"/>
        </w:rPr>
        <w:t xml:space="preserve"> </w:t>
      </w:r>
      <w:r w:rsidR="00C6214E">
        <w:rPr>
          <w:rFonts w:ascii="Times New Roman" w:eastAsia="Aptos" w:hAnsi="Times New Roman"/>
        </w:rPr>
        <w:t>адолесценте</w:t>
      </w:r>
      <w:r w:rsidR="00E80BD7" w:rsidRPr="00295637">
        <w:rPr>
          <w:rFonts w:ascii="Times New Roman" w:eastAsia="Aptos" w:hAnsi="Times New Roman"/>
        </w:rPr>
        <w:t xml:space="preserve"> </w:t>
      </w:r>
      <w:r w:rsidR="00C6214E">
        <w:rPr>
          <w:rFonts w:ascii="Times New Roman" w:eastAsia="Aptos" w:hAnsi="Times New Roman"/>
        </w:rPr>
        <w:t>широм</w:t>
      </w:r>
      <w:r w:rsidR="00E80BD7" w:rsidRPr="00295637">
        <w:rPr>
          <w:rFonts w:ascii="Times New Roman" w:eastAsia="Aptos" w:hAnsi="Times New Roman"/>
        </w:rPr>
        <w:t xml:space="preserve"> </w:t>
      </w:r>
      <w:r w:rsidR="00C6214E">
        <w:rPr>
          <w:rFonts w:ascii="Times New Roman" w:eastAsia="Aptos" w:hAnsi="Times New Roman"/>
        </w:rPr>
        <w:t>БиХ</w:t>
      </w:r>
      <w:r w:rsidR="00E80BD7" w:rsidRPr="00295637">
        <w:rPr>
          <w:rFonts w:ascii="Times New Roman" w:eastAsia="Aptos" w:hAnsi="Times New Roman"/>
        </w:rPr>
        <w:t xml:space="preserve">. </w:t>
      </w:r>
      <w:r w:rsidR="00C6214E">
        <w:rPr>
          <w:rFonts w:ascii="Times New Roman" w:eastAsia="Aptos" w:hAnsi="Times New Roman"/>
        </w:rPr>
        <w:t>Током</w:t>
      </w:r>
      <w:r w:rsidR="00E80BD7" w:rsidRPr="00295637">
        <w:rPr>
          <w:rFonts w:ascii="Times New Roman" w:eastAsia="Aptos" w:hAnsi="Times New Roman"/>
        </w:rPr>
        <w:t xml:space="preserve"> </w:t>
      </w:r>
      <w:r w:rsidR="00C6214E">
        <w:rPr>
          <w:rFonts w:ascii="Times New Roman" w:eastAsia="Aptos" w:hAnsi="Times New Roman"/>
        </w:rPr>
        <w:t>извјештајног</w:t>
      </w:r>
      <w:r w:rsidR="00E80BD7" w:rsidRPr="00295637">
        <w:rPr>
          <w:rFonts w:ascii="Times New Roman" w:eastAsia="Aptos" w:hAnsi="Times New Roman"/>
        </w:rPr>
        <w:t xml:space="preserve"> </w:t>
      </w:r>
      <w:r w:rsidR="00C6214E">
        <w:rPr>
          <w:rFonts w:ascii="Times New Roman" w:eastAsia="Aptos" w:hAnsi="Times New Roman"/>
        </w:rPr>
        <w:t>периода</w:t>
      </w:r>
      <w:r w:rsidR="00E80BD7" w:rsidRPr="00295637">
        <w:rPr>
          <w:rFonts w:ascii="Times New Roman" w:eastAsia="Aptos" w:hAnsi="Times New Roman"/>
        </w:rPr>
        <w:t xml:space="preserve">, </w:t>
      </w:r>
      <w:r w:rsidR="00C6214E">
        <w:rPr>
          <w:rFonts w:ascii="Times New Roman" w:eastAsia="Aptos" w:hAnsi="Times New Roman"/>
        </w:rPr>
        <w:t>досегнуто</w:t>
      </w:r>
      <w:r w:rsidR="006E724F" w:rsidRPr="00295637">
        <w:rPr>
          <w:rFonts w:ascii="Times New Roman" w:eastAsia="Aptos" w:hAnsi="Times New Roman"/>
        </w:rPr>
        <w:t xml:space="preserve"> </w:t>
      </w:r>
      <w:r w:rsidR="00C6214E">
        <w:rPr>
          <w:rFonts w:ascii="Times New Roman" w:eastAsia="Aptos" w:hAnsi="Times New Roman"/>
        </w:rPr>
        <w:t>је</w:t>
      </w:r>
      <w:r w:rsidR="006E724F" w:rsidRPr="00295637">
        <w:rPr>
          <w:rFonts w:ascii="Times New Roman" w:eastAsia="Aptos" w:hAnsi="Times New Roman"/>
        </w:rPr>
        <w:t xml:space="preserve"> </w:t>
      </w:r>
      <w:r w:rsidR="00C6214E">
        <w:rPr>
          <w:rFonts w:ascii="Times New Roman" w:eastAsia="Aptos" w:hAnsi="Times New Roman"/>
        </w:rPr>
        <w:t>преко</w:t>
      </w:r>
      <w:r w:rsidR="006E724F" w:rsidRPr="00295637">
        <w:rPr>
          <w:rFonts w:ascii="Times New Roman" w:eastAsia="Aptos" w:hAnsi="Times New Roman"/>
        </w:rPr>
        <w:t xml:space="preserve"> 29.000 </w:t>
      </w:r>
      <w:r w:rsidR="00C6214E">
        <w:rPr>
          <w:rFonts w:ascii="Times New Roman" w:eastAsia="Aptos" w:hAnsi="Times New Roman"/>
        </w:rPr>
        <w:t>људи</w:t>
      </w:r>
      <w:r w:rsidR="00E80BD7" w:rsidRPr="00295637">
        <w:rPr>
          <w:rFonts w:ascii="Times New Roman" w:eastAsia="Aptos" w:hAnsi="Times New Roman"/>
        </w:rPr>
        <w:t xml:space="preserve"> </w:t>
      </w:r>
      <w:r w:rsidR="00C6214E">
        <w:rPr>
          <w:rFonts w:ascii="Times New Roman" w:eastAsia="Aptos" w:hAnsi="Times New Roman"/>
        </w:rPr>
        <w:t>путем</w:t>
      </w:r>
      <w:r w:rsidR="00E80BD7" w:rsidRPr="00295637">
        <w:rPr>
          <w:rFonts w:ascii="Times New Roman" w:eastAsia="Aptos" w:hAnsi="Times New Roman"/>
        </w:rPr>
        <w:t xml:space="preserve"> </w:t>
      </w:r>
      <w:r w:rsidR="00C6214E">
        <w:rPr>
          <w:rFonts w:ascii="Times New Roman" w:eastAsia="Aptos" w:hAnsi="Times New Roman"/>
        </w:rPr>
        <w:t>дигиталних</w:t>
      </w:r>
      <w:r w:rsidR="00E80BD7" w:rsidRPr="00295637">
        <w:rPr>
          <w:rFonts w:ascii="Times New Roman" w:eastAsia="Aptos" w:hAnsi="Times New Roman"/>
        </w:rPr>
        <w:t xml:space="preserve"> </w:t>
      </w:r>
      <w:r w:rsidR="00C6214E">
        <w:rPr>
          <w:rFonts w:ascii="Times New Roman" w:eastAsia="Aptos" w:hAnsi="Times New Roman"/>
        </w:rPr>
        <w:t>кампања</w:t>
      </w:r>
      <w:r w:rsidR="00356469">
        <w:rPr>
          <w:rFonts w:ascii="Times New Roman" w:eastAsia="Aptos" w:hAnsi="Times New Roman"/>
        </w:rPr>
        <w:t>,</w:t>
      </w:r>
      <w:r w:rsidR="00E80BD7" w:rsidRPr="00295637">
        <w:rPr>
          <w:rFonts w:ascii="Times New Roman" w:eastAsia="Aptos" w:hAnsi="Times New Roman"/>
        </w:rPr>
        <w:t xml:space="preserve"> </w:t>
      </w:r>
      <w:r w:rsidR="00C6214E">
        <w:rPr>
          <w:rFonts w:ascii="Times New Roman" w:eastAsia="Aptos" w:hAnsi="Times New Roman"/>
        </w:rPr>
        <w:t>а</w:t>
      </w:r>
      <w:r w:rsidR="00E80BD7" w:rsidRPr="00295637">
        <w:rPr>
          <w:rFonts w:ascii="Times New Roman" w:eastAsia="Aptos" w:hAnsi="Times New Roman"/>
        </w:rPr>
        <w:t xml:space="preserve"> </w:t>
      </w:r>
      <w:r w:rsidR="006E724F" w:rsidRPr="00295637">
        <w:rPr>
          <w:rFonts w:ascii="Times New Roman" w:eastAsia="Aptos" w:hAnsi="Times New Roman"/>
        </w:rPr>
        <w:t>6</w:t>
      </w:r>
      <w:r w:rsidR="00356469">
        <w:rPr>
          <w:rFonts w:ascii="Times New Roman" w:eastAsia="Aptos" w:hAnsi="Times New Roman"/>
        </w:rPr>
        <w:t xml:space="preserve">.477 </w:t>
      </w:r>
      <w:r w:rsidR="00C6214E">
        <w:rPr>
          <w:rFonts w:ascii="Times New Roman" w:eastAsia="Aptos" w:hAnsi="Times New Roman"/>
        </w:rPr>
        <w:t>корисника</w:t>
      </w:r>
      <w:r w:rsidR="00356469">
        <w:rPr>
          <w:rFonts w:ascii="Times New Roman" w:eastAsia="Aptos" w:hAnsi="Times New Roman"/>
        </w:rPr>
        <w:t xml:space="preserve"> </w:t>
      </w:r>
      <w:r w:rsidR="00C6214E">
        <w:rPr>
          <w:rFonts w:ascii="Times New Roman" w:eastAsia="Aptos" w:hAnsi="Times New Roman"/>
        </w:rPr>
        <w:t>је</w:t>
      </w:r>
      <w:r w:rsidR="00356469">
        <w:rPr>
          <w:rFonts w:ascii="Times New Roman" w:eastAsia="Aptos" w:hAnsi="Times New Roman"/>
        </w:rPr>
        <w:t xml:space="preserve"> </w:t>
      </w:r>
      <w:r w:rsidR="00C6214E">
        <w:rPr>
          <w:rFonts w:ascii="Times New Roman" w:eastAsia="Aptos" w:hAnsi="Times New Roman"/>
        </w:rPr>
        <w:t>посјетило</w:t>
      </w:r>
      <w:r w:rsidR="00356469">
        <w:rPr>
          <w:rFonts w:ascii="Times New Roman" w:eastAsia="Aptos" w:hAnsi="Times New Roman"/>
        </w:rPr>
        <w:t xml:space="preserve"> </w:t>
      </w:r>
      <w:r>
        <w:rPr>
          <w:rFonts w:ascii="Times New Roman" w:eastAsia="Aptos" w:hAnsi="Times New Roman"/>
          <w:lang w:val="sr-Cyrl-BA"/>
        </w:rPr>
        <w:t>веб-</w:t>
      </w:r>
      <w:r w:rsidR="00C6214E">
        <w:rPr>
          <w:rFonts w:ascii="Times New Roman" w:eastAsia="Aptos" w:hAnsi="Times New Roman"/>
        </w:rPr>
        <w:t>страницу</w:t>
      </w:r>
      <w:r w:rsidR="006E724F" w:rsidRPr="00295637">
        <w:rPr>
          <w:rFonts w:ascii="Times New Roman" w:eastAsia="Aptos" w:hAnsi="Times New Roman"/>
        </w:rPr>
        <w:t xml:space="preserve"> </w:t>
      </w:r>
      <w:r w:rsidR="00117B25">
        <w:rPr>
          <w:rFonts w:ascii="Times New Roman" w:eastAsia="Aptos" w:hAnsi="Times New Roman"/>
        </w:rPr>
        <w:t>„</w:t>
      </w:r>
      <w:r w:rsidR="00C6214E">
        <w:rPr>
          <w:rFonts w:ascii="Times New Roman" w:eastAsia="Aptos" w:hAnsi="Times New Roman"/>
        </w:rPr>
        <w:t>Плавог</w:t>
      </w:r>
      <w:r w:rsidR="006E724F" w:rsidRPr="00295637">
        <w:rPr>
          <w:rFonts w:ascii="Times New Roman" w:eastAsia="Aptos" w:hAnsi="Times New Roman"/>
        </w:rPr>
        <w:t xml:space="preserve"> </w:t>
      </w:r>
      <w:r w:rsidR="00C6214E">
        <w:rPr>
          <w:rFonts w:ascii="Times New Roman" w:eastAsia="Aptos" w:hAnsi="Times New Roman"/>
        </w:rPr>
        <w:t>телефона</w:t>
      </w:r>
      <w:r w:rsidR="00117B25">
        <w:rPr>
          <w:rFonts w:ascii="Times New Roman" w:eastAsia="Aptos" w:hAnsi="Times New Roman"/>
        </w:rPr>
        <w:t>“</w:t>
      </w:r>
      <w:r w:rsidR="006E724F" w:rsidRPr="00295637">
        <w:rPr>
          <w:rFonts w:ascii="Times New Roman" w:eastAsia="Aptos" w:hAnsi="Times New Roman"/>
        </w:rPr>
        <w:t xml:space="preserve"> </w:t>
      </w:r>
      <w:r w:rsidR="00C6214E">
        <w:rPr>
          <w:rFonts w:ascii="Times New Roman" w:eastAsia="Aptos" w:hAnsi="Times New Roman"/>
        </w:rPr>
        <w:t>ради</w:t>
      </w:r>
      <w:r w:rsidR="006E724F" w:rsidRPr="00295637">
        <w:rPr>
          <w:rFonts w:ascii="Times New Roman" w:eastAsia="Aptos" w:hAnsi="Times New Roman"/>
        </w:rPr>
        <w:t xml:space="preserve"> </w:t>
      </w:r>
      <w:r w:rsidR="00C6214E">
        <w:rPr>
          <w:rFonts w:ascii="Times New Roman" w:eastAsia="Aptos" w:hAnsi="Times New Roman"/>
        </w:rPr>
        <w:t>информација</w:t>
      </w:r>
      <w:r w:rsidR="006E724F" w:rsidRPr="00295637">
        <w:rPr>
          <w:rFonts w:ascii="Times New Roman" w:eastAsia="Aptos" w:hAnsi="Times New Roman"/>
        </w:rPr>
        <w:t xml:space="preserve"> </w:t>
      </w:r>
      <w:r w:rsidR="00C6214E">
        <w:rPr>
          <w:rFonts w:ascii="Times New Roman" w:eastAsia="Aptos" w:hAnsi="Times New Roman"/>
        </w:rPr>
        <w:t>о</w:t>
      </w:r>
      <w:r w:rsidR="006E724F" w:rsidRPr="00295637">
        <w:rPr>
          <w:rFonts w:ascii="Times New Roman" w:eastAsia="Aptos" w:hAnsi="Times New Roman"/>
        </w:rPr>
        <w:t xml:space="preserve"> </w:t>
      </w:r>
      <w:r w:rsidR="00C6214E">
        <w:rPr>
          <w:rFonts w:ascii="Times New Roman" w:eastAsia="Aptos" w:hAnsi="Times New Roman"/>
        </w:rPr>
        <w:t>менталном</w:t>
      </w:r>
      <w:r w:rsidR="00E80BD7" w:rsidRPr="00295637">
        <w:rPr>
          <w:rFonts w:ascii="Times New Roman" w:eastAsia="Aptos" w:hAnsi="Times New Roman"/>
        </w:rPr>
        <w:t xml:space="preserve"> </w:t>
      </w:r>
      <w:r w:rsidR="00C6214E">
        <w:rPr>
          <w:rFonts w:ascii="Times New Roman" w:eastAsia="Aptos" w:hAnsi="Times New Roman"/>
        </w:rPr>
        <w:t>здрављу</w:t>
      </w:r>
      <w:r w:rsidR="00E80BD7" w:rsidRPr="00295637">
        <w:rPr>
          <w:rFonts w:ascii="Times New Roman" w:eastAsia="Aptos" w:hAnsi="Times New Roman"/>
        </w:rPr>
        <w:t xml:space="preserve"> </w:t>
      </w:r>
      <w:r w:rsidR="00C6214E">
        <w:rPr>
          <w:rFonts w:ascii="Times New Roman" w:eastAsia="Aptos" w:hAnsi="Times New Roman"/>
        </w:rPr>
        <w:t>и</w:t>
      </w:r>
      <w:r w:rsidR="00E80BD7" w:rsidRPr="00295637">
        <w:rPr>
          <w:rFonts w:ascii="Times New Roman" w:eastAsia="Aptos" w:hAnsi="Times New Roman"/>
        </w:rPr>
        <w:t xml:space="preserve"> </w:t>
      </w:r>
      <w:r w:rsidR="00C6214E">
        <w:rPr>
          <w:rFonts w:ascii="Times New Roman" w:eastAsia="Aptos" w:hAnsi="Times New Roman"/>
        </w:rPr>
        <w:t>превенцији</w:t>
      </w:r>
      <w:r w:rsidR="00E80BD7" w:rsidRPr="00295637">
        <w:rPr>
          <w:rFonts w:ascii="Times New Roman" w:eastAsia="Aptos" w:hAnsi="Times New Roman"/>
        </w:rPr>
        <w:t xml:space="preserve"> </w:t>
      </w:r>
      <w:r w:rsidR="00C6214E">
        <w:rPr>
          <w:rFonts w:ascii="Times New Roman" w:eastAsia="Aptos" w:hAnsi="Times New Roman"/>
        </w:rPr>
        <w:t>насиља</w:t>
      </w:r>
      <w:r w:rsidR="00E80BD7" w:rsidRPr="00295637">
        <w:rPr>
          <w:rFonts w:ascii="Times New Roman" w:eastAsia="Aptos" w:hAnsi="Times New Roman"/>
        </w:rPr>
        <w:t xml:space="preserve">. </w:t>
      </w:r>
      <w:r w:rsidR="00C6214E">
        <w:rPr>
          <w:rFonts w:ascii="Times New Roman" w:eastAsia="Aptos" w:hAnsi="Times New Roman"/>
        </w:rPr>
        <w:t>Поред</w:t>
      </w:r>
      <w:r w:rsidR="00E80BD7" w:rsidRPr="00295637">
        <w:rPr>
          <w:rFonts w:ascii="Times New Roman" w:eastAsia="Aptos" w:hAnsi="Times New Roman"/>
        </w:rPr>
        <w:t xml:space="preserve"> </w:t>
      </w:r>
      <w:r w:rsidR="00C6214E">
        <w:rPr>
          <w:rFonts w:ascii="Times New Roman" w:eastAsia="Aptos" w:hAnsi="Times New Roman"/>
        </w:rPr>
        <w:t>тога</w:t>
      </w:r>
      <w:r w:rsidR="00E80BD7" w:rsidRPr="00295637">
        <w:rPr>
          <w:rFonts w:ascii="Times New Roman" w:eastAsia="Aptos" w:hAnsi="Times New Roman"/>
        </w:rPr>
        <w:t xml:space="preserve">, </w:t>
      </w:r>
      <w:r w:rsidR="00C6214E">
        <w:rPr>
          <w:rFonts w:ascii="Times New Roman" w:eastAsia="Aptos" w:hAnsi="Times New Roman"/>
        </w:rPr>
        <w:t>одржане</w:t>
      </w:r>
      <w:r w:rsidR="006E724F" w:rsidRPr="00295637">
        <w:rPr>
          <w:rFonts w:ascii="Times New Roman" w:eastAsia="Aptos" w:hAnsi="Times New Roman"/>
        </w:rPr>
        <w:t xml:space="preserve"> </w:t>
      </w:r>
      <w:r w:rsidR="00C6214E">
        <w:rPr>
          <w:rFonts w:ascii="Times New Roman" w:eastAsia="Aptos" w:hAnsi="Times New Roman"/>
        </w:rPr>
        <w:t>су</w:t>
      </w:r>
      <w:r w:rsidR="00E80BD7" w:rsidRPr="00295637">
        <w:rPr>
          <w:rFonts w:ascii="Times New Roman" w:eastAsia="Aptos" w:hAnsi="Times New Roman"/>
        </w:rPr>
        <w:t xml:space="preserve"> </w:t>
      </w:r>
      <w:r w:rsidR="00C6214E">
        <w:rPr>
          <w:rFonts w:ascii="Times New Roman" w:eastAsia="Aptos" w:hAnsi="Times New Roman"/>
        </w:rPr>
        <w:t>радионице</w:t>
      </w:r>
      <w:r w:rsidR="00E80BD7" w:rsidRPr="00295637">
        <w:rPr>
          <w:rFonts w:ascii="Times New Roman" w:eastAsia="Aptos" w:hAnsi="Times New Roman"/>
        </w:rPr>
        <w:t xml:space="preserve"> </w:t>
      </w:r>
      <w:r w:rsidR="00C6214E">
        <w:rPr>
          <w:rFonts w:ascii="Times New Roman" w:eastAsia="Aptos" w:hAnsi="Times New Roman"/>
        </w:rPr>
        <w:t>у</w:t>
      </w:r>
      <w:r w:rsidR="00E80BD7" w:rsidRPr="00295637">
        <w:rPr>
          <w:rFonts w:ascii="Times New Roman" w:eastAsia="Aptos" w:hAnsi="Times New Roman"/>
        </w:rPr>
        <w:t xml:space="preserve"> 20 </w:t>
      </w:r>
      <w:r w:rsidR="00C6214E">
        <w:rPr>
          <w:rFonts w:ascii="Times New Roman" w:eastAsia="Aptos" w:hAnsi="Times New Roman"/>
        </w:rPr>
        <w:t>основних</w:t>
      </w:r>
      <w:r w:rsidR="00E80BD7" w:rsidRPr="00295637">
        <w:rPr>
          <w:rFonts w:ascii="Times New Roman" w:eastAsia="Aptos" w:hAnsi="Times New Roman"/>
        </w:rPr>
        <w:t xml:space="preserve"> </w:t>
      </w:r>
      <w:r w:rsidR="00C6214E">
        <w:rPr>
          <w:rFonts w:ascii="Times New Roman" w:eastAsia="Aptos" w:hAnsi="Times New Roman"/>
        </w:rPr>
        <w:t>школа</w:t>
      </w:r>
      <w:r w:rsidR="00E80BD7" w:rsidRPr="00295637">
        <w:rPr>
          <w:rFonts w:ascii="Times New Roman" w:eastAsia="Aptos" w:hAnsi="Times New Roman"/>
        </w:rPr>
        <w:t xml:space="preserve"> </w:t>
      </w:r>
      <w:r w:rsidR="00C6214E">
        <w:rPr>
          <w:rFonts w:ascii="Times New Roman" w:eastAsia="Aptos" w:hAnsi="Times New Roman"/>
        </w:rPr>
        <w:t>и</w:t>
      </w:r>
      <w:r w:rsidR="00E80BD7" w:rsidRPr="00295637">
        <w:rPr>
          <w:rFonts w:ascii="Times New Roman" w:eastAsia="Aptos" w:hAnsi="Times New Roman"/>
        </w:rPr>
        <w:t xml:space="preserve"> </w:t>
      </w:r>
      <w:r w:rsidR="00C6214E">
        <w:rPr>
          <w:rFonts w:ascii="Times New Roman" w:eastAsia="Aptos" w:hAnsi="Times New Roman"/>
        </w:rPr>
        <w:t>забиљежено</w:t>
      </w:r>
      <w:r w:rsidR="006E724F" w:rsidRPr="00295637">
        <w:rPr>
          <w:rFonts w:ascii="Times New Roman" w:eastAsia="Aptos" w:hAnsi="Times New Roman"/>
        </w:rPr>
        <w:t xml:space="preserve"> 20 </w:t>
      </w:r>
      <w:r w:rsidR="00C6214E">
        <w:rPr>
          <w:rFonts w:ascii="Times New Roman" w:eastAsia="Aptos" w:hAnsi="Times New Roman"/>
        </w:rPr>
        <w:t>медијских</w:t>
      </w:r>
      <w:r w:rsidR="006E724F" w:rsidRPr="00295637">
        <w:rPr>
          <w:rFonts w:ascii="Times New Roman" w:eastAsia="Aptos" w:hAnsi="Times New Roman"/>
        </w:rPr>
        <w:t xml:space="preserve"> </w:t>
      </w:r>
      <w:r w:rsidR="00C6214E">
        <w:rPr>
          <w:rFonts w:ascii="Times New Roman" w:eastAsia="Aptos" w:hAnsi="Times New Roman"/>
        </w:rPr>
        <w:t>појављивања</w:t>
      </w:r>
      <w:r w:rsidR="006E724F" w:rsidRPr="00295637">
        <w:rPr>
          <w:rFonts w:ascii="Times New Roman" w:eastAsia="Aptos" w:hAnsi="Times New Roman"/>
        </w:rPr>
        <w:t xml:space="preserve"> </w:t>
      </w:r>
      <w:r w:rsidR="00C6214E">
        <w:rPr>
          <w:rFonts w:ascii="Times New Roman" w:eastAsia="Aptos" w:hAnsi="Times New Roman"/>
        </w:rPr>
        <w:t>и</w:t>
      </w:r>
      <w:r w:rsidR="006E724F" w:rsidRPr="00295637">
        <w:rPr>
          <w:rFonts w:ascii="Times New Roman" w:eastAsia="Aptos" w:hAnsi="Times New Roman"/>
        </w:rPr>
        <w:t xml:space="preserve"> 6 </w:t>
      </w:r>
      <w:r w:rsidR="00C6214E">
        <w:rPr>
          <w:rFonts w:ascii="Times New Roman" w:eastAsia="Aptos" w:hAnsi="Times New Roman"/>
        </w:rPr>
        <w:t>панел</w:t>
      </w:r>
      <w:r w:rsidR="00356469">
        <w:rPr>
          <w:rFonts w:ascii="Times New Roman" w:eastAsia="Aptos" w:hAnsi="Times New Roman"/>
        </w:rPr>
        <w:t xml:space="preserve"> </w:t>
      </w:r>
      <w:r w:rsidR="00C6214E">
        <w:rPr>
          <w:rFonts w:ascii="Times New Roman" w:eastAsia="Aptos" w:hAnsi="Times New Roman"/>
        </w:rPr>
        <w:t>дискусија</w:t>
      </w:r>
      <w:r w:rsidR="00356469">
        <w:rPr>
          <w:rFonts w:ascii="Times New Roman" w:eastAsia="Aptos" w:hAnsi="Times New Roman"/>
        </w:rPr>
        <w:t xml:space="preserve"> </w:t>
      </w:r>
      <w:r w:rsidR="00C6214E">
        <w:rPr>
          <w:rFonts w:ascii="Times New Roman" w:eastAsia="Aptos" w:hAnsi="Times New Roman"/>
        </w:rPr>
        <w:t>у</w:t>
      </w:r>
      <w:r w:rsidR="00356469">
        <w:rPr>
          <w:rFonts w:ascii="Times New Roman" w:eastAsia="Aptos" w:hAnsi="Times New Roman"/>
        </w:rPr>
        <w:t xml:space="preserve"> </w:t>
      </w:r>
      <w:r w:rsidR="00C6214E">
        <w:rPr>
          <w:rFonts w:ascii="Times New Roman" w:eastAsia="Aptos" w:hAnsi="Times New Roman"/>
        </w:rPr>
        <w:t>оквиру</w:t>
      </w:r>
      <w:r w:rsidR="00356469">
        <w:rPr>
          <w:rFonts w:ascii="Times New Roman" w:eastAsia="Aptos" w:hAnsi="Times New Roman"/>
        </w:rPr>
        <w:t xml:space="preserve"> </w:t>
      </w:r>
      <w:r w:rsidR="00C6214E">
        <w:rPr>
          <w:rFonts w:ascii="Times New Roman" w:eastAsia="Aptos" w:hAnsi="Times New Roman"/>
        </w:rPr>
        <w:t>кампање</w:t>
      </w:r>
      <w:r w:rsidR="00356469">
        <w:rPr>
          <w:rFonts w:ascii="Times New Roman" w:eastAsia="Aptos" w:hAnsi="Times New Roman"/>
        </w:rPr>
        <w:t xml:space="preserve"> „</w:t>
      </w:r>
      <w:r w:rsidR="00C6214E">
        <w:rPr>
          <w:rFonts w:ascii="Times New Roman" w:eastAsia="Aptos" w:hAnsi="Times New Roman"/>
        </w:rPr>
        <w:t>Не</w:t>
      </w:r>
      <w:r w:rsidR="006E724F" w:rsidRPr="00295637">
        <w:rPr>
          <w:rFonts w:ascii="Times New Roman" w:eastAsia="Aptos" w:hAnsi="Times New Roman"/>
        </w:rPr>
        <w:t xml:space="preserve"> </w:t>
      </w:r>
      <w:r w:rsidR="00C6214E">
        <w:rPr>
          <w:rFonts w:ascii="Times New Roman" w:eastAsia="Aptos" w:hAnsi="Times New Roman"/>
        </w:rPr>
        <w:t>окрећи</w:t>
      </w:r>
      <w:r w:rsidR="006E724F" w:rsidRPr="00295637">
        <w:rPr>
          <w:rFonts w:ascii="Times New Roman" w:eastAsia="Aptos" w:hAnsi="Times New Roman"/>
        </w:rPr>
        <w:t xml:space="preserve"> </w:t>
      </w:r>
      <w:r w:rsidR="00C6214E">
        <w:rPr>
          <w:rFonts w:ascii="Times New Roman" w:eastAsia="Aptos" w:hAnsi="Times New Roman"/>
        </w:rPr>
        <w:t>главу</w:t>
      </w:r>
      <w:r w:rsidR="00356469">
        <w:rPr>
          <w:rFonts w:ascii="Times New Roman" w:eastAsia="Aptos" w:hAnsi="Times New Roman"/>
        </w:rPr>
        <w:t xml:space="preserve"> – </w:t>
      </w:r>
      <w:r w:rsidR="00C6214E">
        <w:rPr>
          <w:rFonts w:ascii="Times New Roman" w:eastAsia="Aptos" w:hAnsi="Times New Roman"/>
        </w:rPr>
        <w:t>Заштитимо</w:t>
      </w:r>
      <w:r w:rsidR="00356469">
        <w:rPr>
          <w:rFonts w:ascii="Times New Roman" w:eastAsia="Aptos" w:hAnsi="Times New Roman"/>
        </w:rPr>
        <w:t xml:space="preserve"> </w:t>
      </w:r>
      <w:r w:rsidR="00C6214E">
        <w:rPr>
          <w:rFonts w:ascii="Times New Roman" w:eastAsia="Aptos" w:hAnsi="Times New Roman"/>
        </w:rPr>
        <w:t>дјецу</w:t>
      </w:r>
      <w:r w:rsidR="00356469">
        <w:rPr>
          <w:rFonts w:ascii="Times New Roman" w:eastAsia="Aptos" w:hAnsi="Times New Roman"/>
        </w:rPr>
        <w:t xml:space="preserve"> </w:t>
      </w:r>
      <w:r w:rsidR="00C6214E">
        <w:rPr>
          <w:rFonts w:ascii="Times New Roman" w:eastAsia="Aptos" w:hAnsi="Times New Roman"/>
        </w:rPr>
        <w:t>на</w:t>
      </w:r>
      <w:r w:rsidR="00356469">
        <w:rPr>
          <w:rFonts w:ascii="Times New Roman" w:eastAsia="Aptos" w:hAnsi="Times New Roman"/>
        </w:rPr>
        <w:t xml:space="preserve"> </w:t>
      </w:r>
      <w:r w:rsidR="00C6214E">
        <w:rPr>
          <w:rFonts w:ascii="Times New Roman" w:eastAsia="Aptos" w:hAnsi="Times New Roman"/>
        </w:rPr>
        <w:t>интернету</w:t>
      </w:r>
      <w:r w:rsidR="00356469">
        <w:rPr>
          <w:rFonts w:ascii="Times New Roman" w:eastAsia="Aptos" w:hAnsi="Times New Roman"/>
        </w:rPr>
        <w:t>“</w:t>
      </w:r>
      <w:r w:rsidR="006E724F" w:rsidRPr="00295637">
        <w:rPr>
          <w:rFonts w:ascii="Times New Roman" w:eastAsia="Aptos" w:hAnsi="Times New Roman"/>
        </w:rPr>
        <w:t xml:space="preserve">, </w:t>
      </w:r>
      <w:r w:rsidR="00C6214E">
        <w:rPr>
          <w:rFonts w:ascii="Times New Roman" w:eastAsia="Aptos" w:hAnsi="Times New Roman"/>
        </w:rPr>
        <w:t>у</w:t>
      </w:r>
      <w:r w:rsidR="006E724F" w:rsidRPr="00295637">
        <w:rPr>
          <w:rFonts w:ascii="Times New Roman" w:eastAsia="Aptos" w:hAnsi="Times New Roman"/>
        </w:rPr>
        <w:t xml:space="preserve"> </w:t>
      </w:r>
      <w:r w:rsidR="00C6214E">
        <w:rPr>
          <w:rFonts w:ascii="Times New Roman" w:eastAsia="Aptos" w:hAnsi="Times New Roman"/>
        </w:rPr>
        <w:t>партнерству</w:t>
      </w:r>
      <w:r w:rsidR="006E724F" w:rsidRPr="00295637">
        <w:rPr>
          <w:rFonts w:ascii="Times New Roman" w:eastAsia="Aptos" w:hAnsi="Times New Roman"/>
        </w:rPr>
        <w:t xml:space="preserve"> </w:t>
      </w:r>
      <w:r w:rsidR="00C6214E">
        <w:rPr>
          <w:rFonts w:ascii="Times New Roman" w:eastAsia="Aptos" w:hAnsi="Times New Roman"/>
        </w:rPr>
        <w:t>са</w:t>
      </w:r>
      <w:r w:rsidR="006E724F" w:rsidRPr="00295637">
        <w:rPr>
          <w:rFonts w:ascii="Times New Roman" w:eastAsia="Aptos" w:hAnsi="Times New Roman"/>
        </w:rPr>
        <w:t xml:space="preserve"> </w:t>
      </w:r>
      <w:r w:rsidR="00C6214E">
        <w:rPr>
          <w:rFonts w:ascii="Times New Roman" w:eastAsia="Aptos" w:hAnsi="Times New Roman"/>
        </w:rPr>
        <w:t>компанијом</w:t>
      </w:r>
      <w:r w:rsidR="006E724F" w:rsidRPr="00295637">
        <w:rPr>
          <w:rFonts w:ascii="Times New Roman" w:eastAsia="Aptos" w:hAnsi="Times New Roman"/>
        </w:rPr>
        <w:t xml:space="preserve"> „</w:t>
      </w:r>
      <w:r w:rsidR="00C6214E">
        <w:rPr>
          <w:rFonts w:ascii="Times New Roman" w:eastAsia="Aptos" w:hAnsi="Times New Roman"/>
        </w:rPr>
        <w:t>МТЕЛ</w:t>
      </w:r>
      <w:r w:rsidR="006E724F" w:rsidRPr="00295637">
        <w:rPr>
          <w:rFonts w:ascii="Times New Roman" w:eastAsia="Aptos" w:hAnsi="Times New Roman"/>
        </w:rPr>
        <w:t>“.</w:t>
      </w:r>
      <w:r w:rsidR="00B009BC" w:rsidRPr="00295637">
        <w:rPr>
          <w:rFonts w:ascii="Times New Roman" w:eastAsia="Aptos" w:hAnsi="Times New Roman"/>
        </w:rPr>
        <w:t xml:space="preserve"> </w:t>
      </w:r>
      <w:r w:rsidR="00C6214E">
        <w:rPr>
          <w:rFonts w:ascii="Times New Roman" w:eastAsia="Aptos" w:hAnsi="Times New Roman"/>
        </w:rPr>
        <w:t>Поред</w:t>
      </w:r>
      <w:r w:rsidR="006E724F" w:rsidRPr="00295637">
        <w:rPr>
          <w:rFonts w:ascii="Times New Roman" w:eastAsia="Aptos" w:hAnsi="Times New Roman"/>
        </w:rPr>
        <w:t xml:space="preserve"> </w:t>
      </w:r>
      <w:r w:rsidR="00C6214E">
        <w:rPr>
          <w:rFonts w:ascii="Times New Roman" w:eastAsia="Aptos" w:hAnsi="Times New Roman"/>
        </w:rPr>
        <w:t>тога</w:t>
      </w:r>
      <w:r w:rsidR="006E724F" w:rsidRPr="00295637">
        <w:rPr>
          <w:rFonts w:ascii="Times New Roman" w:eastAsia="Aptos" w:hAnsi="Times New Roman"/>
        </w:rPr>
        <w:t xml:space="preserve">, </w:t>
      </w:r>
      <w:r w:rsidR="00C6214E">
        <w:rPr>
          <w:rFonts w:ascii="Times New Roman" w:eastAsia="Aptos" w:hAnsi="Times New Roman"/>
        </w:rPr>
        <w:t>у</w:t>
      </w:r>
      <w:r w:rsidR="006E724F" w:rsidRPr="00295637">
        <w:rPr>
          <w:rFonts w:ascii="Times New Roman" w:eastAsia="Aptos" w:hAnsi="Times New Roman"/>
        </w:rPr>
        <w:t xml:space="preserve"> </w:t>
      </w:r>
      <w:r w:rsidR="00C6214E">
        <w:rPr>
          <w:rFonts w:ascii="Times New Roman" w:eastAsia="Aptos" w:hAnsi="Times New Roman"/>
        </w:rPr>
        <w:t>привременим</w:t>
      </w:r>
      <w:r w:rsidR="006E724F" w:rsidRPr="00295637">
        <w:rPr>
          <w:rFonts w:ascii="Times New Roman" w:eastAsia="Aptos" w:hAnsi="Times New Roman"/>
        </w:rPr>
        <w:t xml:space="preserve"> </w:t>
      </w:r>
      <w:r w:rsidR="00C6214E">
        <w:rPr>
          <w:rFonts w:ascii="Times New Roman" w:eastAsia="Aptos" w:hAnsi="Times New Roman"/>
        </w:rPr>
        <w:t>прихватним</w:t>
      </w:r>
      <w:r w:rsidR="006E724F" w:rsidRPr="00295637">
        <w:rPr>
          <w:rFonts w:ascii="Times New Roman" w:eastAsia="Aptos" w:hAnsi="Times New Roman"/>
        </w:rPr>
        <w:t xml:space="preserve"> </w:t>
      </w:r>
      <w:r w:rsidR="00C6214E">
        <w:rPr>
          <w:rFonts w:ascii="Times New Roman" w:eastAsia="Aptos" w:hAnsi="Times New Roman"/>
        </w:rPr>
        <w:t>центрима</w:t>
      </w:r>
      <w:r w:rsidR="006E724F" w:rsidRPr="00295637">
        <w:rPr>
          <w:rFonts w:ascii="Times New Roman" w:eastAsia="Aptos" w:hAnsi="Times New Roman"/>
        </w:rPr>
        <w:t xml:space="preserve">, </w:t>
      </w:r>
      <w:r w:rsidR="00C6214E">
        <w:rPr>
          <w:rFonts w:ascii="Times New Roman" w:eastAsia="Aptos" w:hAnsi="Times New Roman"/>
        </w:rPr>
        <w:t>дјевојчице</w:t>
      </w:r>
      <w:r w:rsidR="006E724F" w:rsidRPr="00295637">
        <w:rPr>
          <w:rFonts w:ascii="Times New Roman" w:eastAsia="Aptos" w:hAnsi="Times New Roman"/>
        </w:rPr>
        <w:t xml:space="preserve"> </w:t>
      </w:r>
      <w:r w:rsidR="00C6214E">
        <w:rPr>
          <w:rFonts w:ascii="Times New Roman" w:eastAsia="Aptos" w:hAnsi="Times New Roman"/>
        </w:rPr>
        <w:t>у</w:t>
      </w:r>
      <w:r w:rsidR="006E724F" w:rsidRPr="00295637">
        <w:rPr>
          <w:rFonts w:ascii="Times New Roman" w:eastAsia="Aptos" w:hAnsi="Times New Roman"/>
        </w:rPr>
        <w:t xml:space="preserve"> </w:t>
      </w:r>
      <w:r w:rsidR="00C6214E">
        <w:rPr>
          <w:rFonts w:ascii="Times New Roman" w:eastAsia="Aptos" w:hAnsi="Times New Roman"/>
        </w:rPr>
        <w:t>покрету</w:t>
      </w:r>
      <w:r w:rsidR="006E724F" w:rsidRPr="00295637">
        <w:rPr>
          <w:rFonts w:ascii="Times New Roman" w:eastAsia="Aptos" w:hAnsi="Times New Roman"/>
        </w:rPr>
        <w:t xml:space="preserve"> </w:t>
      </w:r>
      <w:r w:rsidR="00C6214E">
        <w:rPr>
          <w:rFonts w:ascii="Times New Roman" w:eastAsia="Aptos" w:hAnsi="Times New Roman"/>
        </w:rPr>
        <w:t>имале</w:t>
      </w:r>
      <w:r w:rsidR="006E724F" w:rsidRPr="00295637">
        <w:rPr>
          <w:rFonts w:ascii="Times New Roman" w:eastAsia="Aptos" w:hAnsi="Times New Roman"/>
        </w:rPr>
        <w:t xml:space="preserve"> </w:t>
      </w:r>
      <w:r w:rsidR="00C6214E">
        <w:rPr>
          <w:rFonts w:ascii="Times New Roman" w:eastAsia="Aptos" w:hAnsi="Times New Roman"/>
        </w:rPr>
        <w:t>су</w:t>
      </w:r>
      <w:r w:rsidR="006E724F" w:rsidRPr="00295637">
        <w:rPr>
          <w:rFonts w:ascii="Times New Roman" w:eastAsia="Aptos" w:hAnsi="Times New Roman"/>
        </w:rPr>
        <w:t xml:space="preserve"> </w:t>
      </w:r>
      <w:r w:rsidR="00C6214E">
        <w:rPr>
          <w:rFonts w:ascii="Times New Roman" w:eastAsia="Aptos" w:hAnsi="Times New Roman"/>
        </w:rPr>
        <w:t>приступ</w:t>
      </w:r>
      <w:r w:rsidR="006E724F" w:rsidRPr="00295637">
        <w:rPr>
          <w:rFonts w:ascii="Times New Roman" w:eastAsia="Aptos" w:hAnsi="Times New Roman"/>
        </w:rPr>
        <w:t xml:space="preserve"> </w:t>
      </w:r>
      <w:r>
        <w:rPr>
          <w:rFonts w:ascii="Times New Roman" w:eastAsia="Aptos" w:hAnsi="Times New Roman"/>
          <w:lang w:val="sr-Cyrl-BA"/>
        </w:rPr>
        <w:t>безбјеним</w:t>
      </w:r>
      <w:r w:rsidR="006E724F" w:rsidRPr="00295637">
        <w:rPr>
          <w:rFonts w:ascii="Times New Roman" w:eastAsia="Aptos" w:hAnsi="Times New Roman"/>
        </w:rPr>
        <w:t xml:space="preserve"> </w:t>
      </w:r>
      <w:r w:rsidR="00C6214E">
        <w:rPr>
          <w:rFonts w:ascii="Times New Roman" w:eastAsia="Aptos" w:hAnsi="Times New Roman"/>
        </w:rPr>
        <w:t>просторима</w:t>
      </w:r>
      <w:r w:rsidR="006E724F" w:rsidRPr="00295637">
        <w:rPr>
          <w:rFonts w:ascii="Times New Roman" w:eastAsia="Aptos" w:hAnsi="Times New Roman"/>
        </w:rPr>
        <w:t xml:space="preserve"> </w:t>
      </w:r>
      <w:r w:rsidR="00C6214E">
        <w:rPr>
          <w:rFonts w:ascii="Times New Roman" w:eastAsia="Aptos" w:hAnsi="Times New Roman"/>
        </w:rPr>
        <w:t>за</w:t>
      </w:r>
      <w:r w:rsidR="006E724F" w:rsidRPr="00295637">
        <w:rPr>
          <w:rFonts w:ascii="Times New Roman" w:eastAsia="Aptos" w:hAnsi="Times New Roman"/>
        </w:rPr>
        <w:t xml:space="preserve"> </w:t>
      </w:r>
      <w:r w:rsidR="00C6214E">
        <w:rPr>
          <w:rFonts w:ascii="Times New Roman" w:eastAsia="Aptos" w:hAnsi="Times New Roman"/>
        </w:rPr>
        <w:t>игру</w:t>
      </w:r>
      <w:r w:rsidR="006E724F" w:rsidRPr="00295637">
        <w:rPr>
          <w:rFonts w:ascii="Times New Roman" w:eastAsia="Aptos" w:hAnsi="Times New Roman"/>
        </w:rPr>
        <w:t xml:space="preserve"> </w:t>
      </w:r>
      <w:r w:rsidR="00C6214E">
        <w:rPr>
          <w:rFonts w:ascii="Times New Roman" w:eastAsia="Aptos" w:hAnsi="Times New Roman"/>
        </w:rPr>
        <w:t>и</w:t>
      </w:r>
      <w:r w:rsidR="006E724F" w:rsidRPr="00295637">
        <w:rPr>
          <w:rFonts w:ascii="Times New Roman" w:eastAsia="Aptos" w:hAnsi="Times New Roman"/>
        </w:rPr>
        <w:t xml:space="preserve"> </w:t>
      </w:r>
      <w:r w:rsidR="00C6214E">
        <w:rPr>
          <w:rFonts w:ascii="Times New Roman" w:eastAsia="Aptos" w:hAnsi="Times New Roman"/>
        </w:rPr>
        <w:t>учење</w:t>
      </w:r>
      <w:r w:rsidR="006E724F" w:rsidRPr="00295637">
        <w:rPr>
          <w:rFonts w:ascii="Times New Roman" w:eastAsia="Aptos" w:hAnsi="Times New Roman"/>
        </w:rPr>
        <w:t xml:space="preserve">, </w:t>
      </w:r>
      <w:r w:rsidR="00C6214E">
        <w:rPr>
          <w:rFonts w:ascii="Times New Roman" w:eastAsia="Aptos" w:hAnsi="Times New Roman"/>
        </w:rPr>
        <w:t>као</w:t>
      </w:r>
      <w:r w:rsidR="006E724F" w:rsidRPr="00295637">
        <w:rPr>
          <w:rFonts w:ascii="Times New Roman" w:eastAsia="Aptos" w:hAnsi="Times New Roman"/>
        </w:rPr>
        <w:t xml:space="preserve"> </w:t>
      </w:r>
      <w:r w:rsidR="00C6214E">
        <w:rPr>
          <w:rFonts w:ascii="Times New Roman" w:eastAsia="Aptos" w:hAnsi="Times New Roman"/>
        </w:rPr>
        <w:t>и</w:t>
      </w:r>
      <w:r w:rsidR="006E724F" w:rsidRPr="00295637">
        <w:rPr>
          <w:rFonts w:ascii="Times New Roman" w:eastAsia="Aptos" w:hAnsi="Times New Roman"/>
        </w:rPr>
        <w:t xml:space="preserve"> </w:t>
      </w:r>
      <w:r w:rsidR="00C6214E">
        <w:rPr>
          <w:rFonts w:ascii="Times New Roman" w:eastAsia="Aptos" w:hAnsi="Times New Roman"/>
        </w:rPr>
        <w:t>специјализ</w:t>
      </w:r>
      <w:r>
        <w:rPr>
          <w:rFonts w:ascii="Times New Roman" w:eastAsia="Aptos" w:hAnsi="Times New Roman"/>
          <w:lang w:val="sr-Cyrl-BA"/>
        </w:rPr>
        <w:t>ованој</w:t>
      </w:r>
      <w:r w:rsidR="006E724F" w:rsidRPr="00295637">
        <w:rPr>
          <w:rFonts w:ascii="Times New Roman" w:eastAsia="Aptos" w:hAnsi="Times New Roman"/>
        </w:rPr>
        <w:t xml:space="preserve"> </w:t>
      </w:r>
      <w:r w:rsidR="00C6214E">
        <w:rPr>
          <w:rFonts w:ascii="Times New Roman" w:eastAsia="Aptos" w:hAnsi="Times New Roman"/>
        </w:rPr>
        <w:t>психосоцијалној</w:t>
      </w:r>
      <w:r w:rsidR="006E724F" w:rsidRPr="00295637">
        <w:rPr>
          <w:rFonts w:ascii="Times New Roman" w:eastAsia="Aptos" w:hAnsi="Times New Roman"/>
        </w:rPr>
        <w:t xml:space="preserve"> </w:t>
      </w:r>
      <w:r w:rsidR="00C6214E">
        <w:rPr>
          <w:rFonts w:ascii="Times New Roman" w:eastAsia="Aptos" w:hAnsi="Times New Roman"/>
        </w:rPr>
        <w:t>подршци</w:t>
      </w:r>
      <w:r w:rsidR="006E724F" w:rsidRPr="00295637">
        <w:rPr>
          <w:rFonts w:ascii="Times New Roman" w:eastAsia="Aptos" w:hAnsi="Times New Roman"/>
        </w:rPr>
        <w:t xml:space="preserve">. </w:t>
      </w:r>
      <w:r w:rsidR="00C6214E">
        <w:rPr>
          <w:rFonts w:ascii="Times New Roman" w:eastAsia="Aptos" w:hAnsi="Times New Roman"/>
        </w:rPr>
        <w:t>Осјетљиви</w:t>
      </w:r>
      <w:r w:rsidR="006E724F" w:rsidRPr="00295637">
        <w:rPr>
          <w:rFonts w:ascii="Times New Roman" w:eastAsia="Aptos" w:hAnsi="Times New Roman"/>
        </w:rPr>
        <w:t xml:space="preserve"> </w:t>
      </w:r>
      <w:r w:rsidR="00C6214E">
        <w:rPr>
          <w:rFonts w:ascii="Times New Roman" w:eastAsia="Aptos" w:hAnsi="Times New Roman"/>
        </w:rPr>
        <w:t>случајеви</w:t>
      </w:r>
      <w:r w:rsidR="006E724F" w:rsidRPr="00295637">
        <w:rPr>
          <w:rFonts w:ascii="Times New Roman" w:eastAsia="Aptos" w:hAnsi="Times New Roman"/>
        </w:rPr>
        <w:t xml:space="preserve"> </w:t>
      </w:r>
      <w:r w:rsidR="00C6214E">
        <w:rPr>
          <w:rFonts w:ascii="Times New Roman" w:eastAsia="Aptos" w:hAnsi="Times New Roman"/>
        </w:rPr>
        <w:t>су</w:t>
      </w:r>
      <w:r w:rsidR="006E724F" w:rsidRPr="00295637">
        <w:rPr>
          <w:rFonts w:ascii="Times New Roman" w:eastAsia="Aptos" w:hAnsi="Times New Roman"/>
        </w:rPr>
        <w:t xml:space="preserve"> </w:t>
      </w:r>
      <w:r w:rsidR="00C6214E">
        <w:rPr>
          <w:rFonts w:ascii="Times New Roman" w:eastAsia="Aptos" w:hAnsi="Times New Roman"/>
        </w:rPr>
        <w:t>упућивани</w:t>
      </w:r>
      <w:r w:rsidR="006E724F" w:rsidRPr="00295637">
        <w:rPr>
          <w:rFonts w:ascii="Times New Roman" w:eastAsia="Aptos" w:hAnsi="Times New Roman"/>
        </w:rPr>
        <w:t xml:space="preserve"> </w:t>
      </w:r>
      <w:r w:rsidR="00C6214E">
        <w:rPr>
          <w:rFonts w:ascii="Times New Roman" w:eastAsia="Aptos" w:hAnsi="Times New Roman"/>
        </w:rPr>
        <w:t>на</w:t>
      </w:r>
      <w:r w:rsidR="006E724F" w:rsidRPr="00295637">
        <w:rPr>
          <w:rFonts w:ascii="Times New Roman" w:eastAsia="Aptos" w:hAnsi="Times New Roman"/>
        </w:rPr>
        <w:t xml:space="preserve"> </w:t>
      </w:r>
      <w:r w:rsidR="00C6214E">
        <w:rPr>
          <w:rFonts w:ascii="Times New Roman" w:eastAsia="Aptos" w:hAnsi="Times New Roman"/>
        </w:rPr>
        <w:t>додатне</w:t>
      </w:r>
      <w:r w:rsidR="006E724F" w:rsidRPr="00295637">
        <w:rPr>
          <w:rFonts w:ascii="Times New Roman" w:eastAsia="Aptos" w:hAnsi="Times New Roman"/>
        </w:rPr>
        <w:t xml:space="preserve"> </w:t>
      </w:r>
      <w:r w:rsidR="00C6214E">
        <w:rPr>
          <w:rFonts w:ascii="Times New Roman" w:eastAsia="Aptos" w:hAnsi="Times New Roman"/>
        </w:rPr>
        <w:t>сервисе</w:t>
      </w:r>
      <w:r w:rsidR="006E724F" w:rsidRPr="00295637">
        <w:rPr>
          <w:rFonts w:ascii="Times New Roman" w:eastAsia="Aptos" w:hAnsi="Times New Roman"/>
        </w:rPr>
        <w:t xml:space="preserve">, </w:t>
      </w:r>
      <w:r w:rsidR="00C6214E">
        <w:rPr>
          <w:rFonts w:ascii="Times New Roman" w:eastAsia="Aptos" w:hAnsi="Times New Roman"/>
        </w:rPr>
        <w:t>а</w:t>
      </w:r>
      <w:r w:rsidR="006E724F" w:rsidRPr="00295637">
        <w:rPr>
          <w:rFonts w:ascii="Times New Roman" w:eastAsia="Aptos" w:hAnsi="Times New Roman"/>
        </w:rPr>
        <w:t xml:space="preserve"> </w:t>
      </w:r>
      <w:r w:rsidR="00C6214E">
        <w:rPr>
          <w:rFonts w:ascii="Times New Roman" w:eastAsia="Aptos" w:hAnsi="Times New Roman"/>
        </w:rPr>
        <w:t>дјевојчицама</w:t>
      </w:r>
      <w:r w:rsidR="00E80BD7" w:rsidRPr="00295637">
        <w:rPr>
          <w:rFonts w:ascii="Times New Roman" w:eastAsia="Aptos" w:hAnsi="Times New Roman"/>
        </w:rPr>
        <w:t xml:space="preserve"> </w:t>
      </w:r>
      <w:r w:rsidR="00C6214E">
        <w:rPr>
          <w:rFonts w:ascii="Times New Roman" w:eastAsia="Aptos" w:hAnsi="Times New Roman"/>
        </w:rPr>
        <w:t>без</w:t>
      </w:r>
      <w:r w:rsidR="00E80BD7" w:rsidRPr="00295637">
        <w:rPr>
          <w:rFonts w:ascii="Times New Roman" w:eastAsia="Aptos" w:hAnsi="Times New Roman"/>
        </w:rPr>
        <w:t xml:space="preserve"> </w:t>
      </w:r>
      <w:r w:rsidR="00C6214E">
        <w:rPr>
          <w:rFonts w:ascii="Times New Roman" w:eastAsia="Aptos" w:hAnsi="Times New Roman"/>
        </w:rPr>
        <w:t>пратилаца</w:t>
      </w:r>
      <w:r w:rsidR="006E724F" w:rsidRPr="00295637">
        <w:rPr>
          <w:rFonts w:ascii="Times New Roman" w:eastAsia="Aptos" w:hAnsi="Times New Roman"/>
        </w:rPr>
        <w:t xml:space="preserve"> </w:t>
      </w:r>
      <w:r w:rsidR="00C6214E">
        <w:rPr>
          <w:rFonts w:ascii="Times New Roman" w:eastAsia="Aptos" w:hAnsi="Times New Roman"/>
        </w:rPr>
        <w:t>су</w:t>
      </w:r>
      <w:r w:rsidR="006E724F" w:rsidRPr="00295637">
        <w:rPr>
          <w:rFonts w:ascii="Times New Roman" w:eastAsia="Aptos" w:hAnsi="Times New Roman"/>
        </w:rPr>
        <w:t xml:space="preserve"> </w:t>
      </w:r>
      <w:r w:rsidR="00C6214E">
        <w:rPr>
          <w:rFonts w:ascii="Times New Roman" w:eastAsia="Aptos" w:hAnsi="Times New Roman"/>
        </w:rPr>
        <w:t>додијељени</w:t>
      </w:r>
      <w:r w:rsidR="006E724F" w:rsidRPr="00295637">
        <w:rPr>
          <w:rFonts w:ascii="Times New Roman" w:eastAsia="Aptos" w:hAnsi="Times New Roman"/>
        </w:rPr>
        <w:t xml:space="preserve"> </w:t>
      </w:r>
      <w:r w:rsidR="00C6214E">
        <w:rPr>
          <w:rFonts w:ascii="Times New Roman" w:eastAsia="Aptos" w:hAnsi="Times New Roman"/>
        </w:rPr>
        <w:t>старатељи</w:t>
      </w:r>
      <w:r w:rsidR="006E724F" w:rsidRPr="00295637">
        <w:rPr>
          <w:rFonts w:ascii="Times New Roman" w:eastAsia="Aptos" w:hAnsi="Times New Roman"/>
        </w:rPr>
        <w:t xml:space="preserve"> </w:t>
      </w:r>
      <w:r w:rsidR="00C6214E">
        <w:rPr>
          <w:rFonts w:ascii="Times New Roman" w:eastAsia="Aptos" w:hAnsi="Times New Roman"/>
        </w:rPr>
        <w:t>који</w:t>
      </w:r>
      <w:r w:rsidR="006E724F" w:rsidRPr="00295637">
        <w:rPr>
          <w:rFonts w:ascii="Times New Roman" w:eastAsia="Aptos" w:hAnsi="Times New Roman"/>
        </w:rPr>
        <w:t xml:space="preserve"> </w:t>
      </w:r>
      <w:r w:rsidR="00C6214E">
        <w:rPr>
          <w:rFonts w:ascii="Times New Roman" w:eastAsia="Aptos" w:hAnsi="Times New Roman"/>
        </w:rPr>
        <w:t>су</w:t>
      </w:r>
      <w:r w:rsidR="006E724F" w:rsidRPr="00295637">
        <w:rPr>
          <w:rFonts w:ascii="Times New Roman" w:eastAsia="Aptos" w:hAnsi="Times New Roman"/>
        </w:rPr>
        <w:t xml:space="preserve"> </w:t>
      </w:r>
      <w:r w:rsidR="00C6214E">
        <w:rPr>
          <w:rFonts w:ascii="Times New Roman" w:eastAsia="Aptos" w:hAnsi="Times New Roman"/>
        </w:rPr>
        <w:t>заступали</w:t>
      </w:r>
      <w:r w:rsidR="006E724F" w:rsidRPr="00295637">
        <w:rPr>
          <w:rFonts w:ascii="Times New Roman" w:eastAsia="Aptos" w:hAnsi="Times New Roman"/>
        </w:rPr>
        <w:t xml:space="preserve"> </w:t>
      </w:r>
      <w:r w:rsidR="00C6214E">
        <w:rPr>
          <w:rFonts w:ascii="Times New Roman" w:eastAsia="Aptos" w:hAnsi="Times New Roman"/>
        </w:rPr>
        <w:t>њихове</w:t>
      </w:r>
      <w:r w:rsidR="006E724F" w:rsidRPr="00295637">
        <w:rPr>
          <w:rFonts w:ascii="Times New Roman" w:eastAsia="Aptos" w:hAnsi="Times New Roman"/>
        </w:rPr>
        <w:t xml:space="preserve"> </w:t>
      </w:r>
      <w:r w:rsidR="00C6214E">
        <w:rPr>
          <w:rFonts w:ascii="Times New Roman" w:eastAsia="Aptos" w:hAnsi="Times New Roman"/>
        </w:rPr>
        <w:t>интересе</w:t>
      </w:r>
      <w:r w:rsidR="006E724F" w:rsidRPr="00295637">
        <w:rPr>
          <w:rFonts w:ascii="Times New Roman" w:eastAsia="Aptos" w:hAnsi="Times New Roman"/>
        </w:rPr>
        <w:t xml:space="preserve">. </w:t>
      </w:r>
      <w:r w:rsidR="00C6214E">
        <w:rPr>
          <w:rFonts w:ascii="Times New Roman" w:eastAsia="Aptos" w:hAnsi="Times New Roman"/>
        </w:rPr>
        <w:t>Организ</w:t>
      </w:r>
      <w:r>
        <w:rPr>
          <w:rFonts w:ascii="Times New Roman" w:eastAsia="Aptos" w:hAnsi="Times New Roman"/>
          <w:lang w:val="sr-Cyrl-BA"/>
        </w:rPr>
        <w:t>оване</w:t>
      </w:r>
      <w:r w:rsidR="006E724F" w:rsidRPr="00295637">
        <w:rPr>
          <w:rFonts w:ascii="Times New Roman" w:eastAsia="Aptos" w:hAnsi="Times New Roman"/>
        </w:rPr>
        <w:t xml:space="preserve"> </w:t>
      </w:r>
      <w:r w:rsidR="00C6214E">
        <w:rPr>
          <w:rFonts w:ascii="Times New Roman" w:eastAsia="Aptos" w:hAnsi="Times New Roman"/>
        </w:rPr>
        <w:t>су</w:t>
      </w:r>
      <w:r w:rsidR="006E724F" w:rsidRPr="00295637">
        <w:rPr>
          <w:rFonts w:ascii="Times New Roman" w:eastAsia="Aptos" w:hAnsi="Times New Roman"/>
        </w:rPr>
        <w:t xml:space="preserve"> </w:t>
      </w:r>
      <w:r w:rsidR="00C6214E">
        <w:rPr>
          <w:rFonts w:ascii="Times New Roman" w:eastAsia="Aptos" w:hAnsi="Times New Roman"/>
        </w:rPr>
        <w:t>фокус</w:t>
      </w:r>
      <w:r w:rsidR="006E724F" w:rsidRPr="00295637">
        <w:rPr>
          <w:rFonts w:ascii="Times New Roman" w:eastAsia="Aptos" w:hAnsi="Times New Roman"/>
        </w:rPr>
        <w:t xml:space="preserve"> </w:t>
      </w:r>
      <w:r w:rsidR="00C6214E">
        <w:rPr>
          <w:rFonts w:ascii="Times New Roman" w:eastAsia="Aptos" w:hAnsi="Times New Roman"/>
        </w:rPr>
        <w:t>групе</w:t>
      </w:r>
      <w:r w:rsidR="006E724F" w:rsidRPr="00295637">
        <w:rPr>
          <w:rFonts w:ascii="Times New Roman" w:eastAsia="Aptos" w:hAnsi="Times New Roman"/>
        </w:rPr>
        <w:t xml:space="preserve"> </w:t>
      </w:r>
      <w:r w:rsidR="00C6214E">
        <w:rPr>
          <w:rFonts w:ascii="Times New Roman" w:eastAsia="Aptos" w:hAnsi="Times New Roman"/>
        </w:rPr>
        <w:t>како</w:t>
      </w:r>
      <w:r w:rsidR="006E724F" w:rsidRPr="00295637">
        <w:rPr>
          <w:rFonts w:ascii="Times New Roman" w:eastAsia="Aptos" w:hAnsi="Times New Roman"/>
        </w:rPr>
        <w:t xml:space="preserve"> </w:t>
      </w:r>
      <w:r w:rsidR="00C6214E">
        <w:rPr>
          <w:rFonts w:ascii="Times New Roman" w:eastAsia="Aptos" w:hAnsi="Times New Roman"/>
        </w:rPr>
        <w:t>би</w:t>
      </w:r>
      <w:r w:rsidR="006E724F" w:rsidRPr="00295637">
        <w:rPr>
          <w:rFonts w:ascii="Times New Roman" w:eastAsia="Aptos" w:hAnsi="Times New Roman"/>
        </w:rPr>
        <w:t xml:space="preserve"> </w:t>
      </w:r>
      <w:r w:rsidR="00C6214E">
        <w:rPr>
          <w:rFonts w:ascii="Times New Roman" w:eastAsia="Aptos" w:hAnsi="Times New Roman"/>
        </w:rPr>
        <w:t>се</w:t>
      </w:r>
      <w:r w:rsidR="006E724F" w:rsidRPr="00295637">
        <w:rPr>
          <w:rFonts w:ascii="Times New Roman" w:eastAsia="Aptos" w:hAnsi="Times New Roman"/>
        </w:rPr>
        <w:t xml:space="preserve"> </w:t>
      </w:r>
      <w:r w:rsidR="00C6214E">
        <w:rPr>
          <w:rFonts w:ascii="Times New Roman" w:eastAsia="Aptos" w:hAnsi="Times New Roman"/>
        </w:rPr>
        <w:t>боље</w:t>
      </w:r>
      <w:r w:rsidR="006E724F" w:rsidRPr="00295637">
        <w:rPr>
          <w:rFonts w:ascii="Times New Roman" w:eastAsia="Aptos" w:hAnsi="Times New Roman"/>
        </w:rPr>
        <w:t xml:space="preserve"> </w:t>
      </w:r>
      <w:r w:rsidR="00C6214E">
        <w:rPr>
          <w:rFonts w:ascii="Times New Roman" w:eastAsia="Aptos" w:hAnsi="Times New Roman"/>
        </w:rPr>
        <w:t>разумјеле</w:t>
      </w:r>
      <w:r w:rsidR="006E724F" w:rsidRPr="00295637">
        <w:rPr>
          <w:rFonts w:ascii="Times New Roman" w:eastAsia="Aptos" w:hAnsi="Times New Roman"/>
        </w:rPr>
        <w:t xml:space="preserve"> </w:t>
      </w:r>
      <w:r w:rsidR="00C6214E">
        <w:rPr>
          <w:rFonts w:ascii="Times New Roman" w:eastAsia="Aptos" w:hAnsi="Times New Roman"/>
        </w:rPr>
        <w:t>њихове</w:t>
      </w:r>
      <w:r w:rsidR="006E724F" w:rsidRPr="00295637">
        <w:rPr>
          <w:rFonts w:ascii="Times New Roman" w:eastAsia="Aptos" w:hAnsi="Times New Roman"/>
        </w:rPr>
        <w:t xml:space="preserve"> </w:t>
      </w:r>
      <w:r w:rsidR="00C6214E">
        <w:rPr>
          <w:rFonts w:ascii="Times New Roman" w:eastAsia="Aptos" w:hAnsi="Times New Roman"/>
        </w:rPr>
        <w:t>потребе</w:t>
      </w:r>
      <w:r w:rsidR="006E724F" w:rsidRPr="00295637">
        <w:rPr>
          <w:rFonts w:ascii="Times New Roman" w:eastAsia="Aptos" w:hAnsi="Times New Roman"/>
        </w:rPr>
        <w:t>.</w:t>
      </w:r>
    </w:p>
    <w:p w:rsidR="00BD17B5" w:rsidRPr="00295637" w:rsidRDefault="00BD17B5" w:rsidP="0086268D">
      <w:pPr>
        <w:rPr>
          <w:lang w:val="bs-Latn-BA"/>
        </w:rPr>
      </w:pPr>
    </w:p>
    <w:p w:rsidR="00D15000" w:rsidRPr="00295637" w:rsidRDefault="00C6214E" w:rsidP="0086268D">
      <w:pPr>
        <w:jc w:val="both"/>
        <w:rPr>
          <w:rFonts w:ascii="Times New Roman" w:hAnsi="Times New Roman"/>
          <w:szCs w:val="24"/>
          <w:lang w:val="bs-Latn-BA"/>
        </w:rPr>
      </w:pPr>
      <w:r>
        <w:rPr>
          <w:rFonts w:ascii="Times New Roman" w:hAnsi="Times New Roman"/>
          <w:szCs w:val="24"/>
        </w:rPr>
        <w:t>У</w:t>
      </w:r>
      <w:r w:rsidR="00117B25">
        <w:rPr>
          <w:rFonts w:ascii="Times New Roman" w:hAnsi="Times New Roman"/>
          <w:szCs w:val="24"/>
        </w:rPr>
        <w:t xml:space="preserve"> </w:t>
      </w:r>
      <w:r>
        <w:rPr>
          <w:rFonts w:ascii="Times New Roman" w:hAnsi="Times New Roman"/>
          <w:szCs w:val="24"/>
        </w:rPr>
        <w:t>Сарајеву</w:t>
      </w:r>
      <w:r w:rsidR="00117B25">
        <w:rPr>
          <w:rFonts w:ascii="Times New Roman" w:hAnsi="Times New Roman"/>
          <w:szCs w:val="24"/>
        </w:rPr>
        <w:t xml:space="preserve"> </w:t>
      </w:r>
      <w:r>
        <w:rPr>
          <w:rFonts w:ascii="Times New Roman" w:hAnsi="Times New Roman"/>
          <w:szCs w:val="24"/>
        </w:rPr>
        <w:t>је</w:t>
      </w:r>
      <w:r w:rsidR="00117B25">
        <w:rPr>
          <w:rFonts w:ascii="Times New Roman" w:hAnsi="Times New Roman"/>
          <w:szCs w:val="24"/>
        </w:rPr>
        <w:t xml:space="preserve"> </w:t>
      </w:r>
      <w:r w:rsidR="00D15000" w:rsidRPr="00295637">
        <w:rPr>
          <w:rFonts w:ascii="Times New Roman" w:hAnsi="Times New Roman"/>
          <w:szCs w:val="24"/>
        </w:rPr>
        <w:t xml:space="preserve">14. </w:t>
      </w:r>
      <w:r>
        <w:rPr>
          <w:rFonts w:ascii="Times New Roman" w:hAnsi="Times New Roman"/>
          <w:szCs w:val="24"/>
        </w:rPr>
        <w:t>и</w:t>
      </w:r>
      <w:r w:rsidR="00D15000" w:rsidRPr="00295637">
        <w:rPr>
          <w:rFonts w:ascii="Times New Roman" w:hAnsi="Times New Roman"/>
          <w:szCs w:val="24"/>
        </w:rPr>
        <w:t xml:space="preserve"> 15.</w:t>
      </w:r>
      <w:r w:rsidR="00CB586E">
        <w:rPr>
          <w:rFonts w:ascii="Times New Roman" w:hAnsi="Times New Roman"/>
          <w:szCs w:val="24"/>
        </w:rPr>
        <w:t xml:space="preserve"> </w:t>
      </w:r>
      <w:r>
        <w:rPr>
          <w:rFonts w:ascii="Times New Roman" w:hAnsi="Times New Roman"/>
          <w:szCs w:val="24"/>
        </w:rPr>
        <w:t>новембра</w:t>
      </w:r>
      <w:r w:rsidR="00D15000" w:rsidRPr="00295637">
        <w:rPr>
          <w:rFonts w:ascii="Times New Roman" w:hAnsi="Times New Roman"/>
          <w:szCs w:val="24"/>
        </w:rPr>
        <w:t xml:space="preserve"> 2024.</w:t>
      </w:r>
      <w:r w:rsidR="00246291">
        <w:rPr>
          <w:rFonts w:ascii="Times New Roman" w:hAnsi="Times New Roman"/>
          <w:szCs w:val="24"/>
        </w:rPr>
        <w:t xml:space="preserve"> </w:t>
      </w:r>
      <w:r>
        <w:rPr>
          <w:rFonts w:ascii="Times New Roman" w:hAnsi="Times New Roman"/>
          <w:szCs w:val="24"/>
        </w:rPr>
        <w:t>године</w:t>
      </w:r>
      <w:r w:rsidR="00D15000" w:rsidRPr="00295637">
        <w:rPr>
          <w:rFonts w:ascii="Times New Roman" w:hAnsi="Times New Roman"/>
          <w:szCs w:val="24"/>
        </w:rPr>
        <w:t xml:space="preserve"> </w:t>
      </w:r>
      <w:r>
        <w:rPr>
          <w:rFonts w:ascii="Times New Roman" w:hAnsi="Times New Roman"/>
          <w:szCs w:val="24"/>
        </w:rPr>
        <w:t>одржана</w:t>
      </w:r>
      <w:r w:rsidR="00D15000" w:rsidRPr="00295637">
        <w:rPr>
          <w:rFonts w:ascii="Times New Roman" w:hAnsi="Times New Roman"/>
          <w:szCs w:val="24"/>
        </w:rPr>
        <w:t xml:space="preserve"> </w:t>
      </w:r>
      <w:r>
        <w:rPr>
          <w:rFonts w:ascii="Times New Roman" w:hAnsi="Times New Roman"/>
          <w:color w:val="000000"/>
          <w:szCs w:val="24"/>
        </w:rPr>
        <w:t>Регионална</w:t>
      </w:r>
      <w:r w:rsidR="00D15000" w:rsidRPr="00295637">
        <w:rPr>
          <w:rFonts w:ascii="Times New Roman" w:hAnsi="Times New Roman"/>
          <w:color w:val="000000"/>
          <w:szCs w:val="24"/>
        </w:rPr>
        <w:t xml:space="preserve"> </w:t>
      </w:r>
      <w:r>
        <w:rPr>
          <w:rFonts w:ascii="Times New Roman" w:hAnsi="Times New Roman"/>
          <w:color w:val="000000"/>
          <w:szCs w:val="24"/>
        </w:rPr>
        <w:t>конференција</w:t>
      </w:r>
      <w:r w:rsidR="00D15000" w:rsidRPr="00295637">
        <w:rPr>
          <w:rFonts w:ascii="Times New Roman" w:hAnsi="Times New Roman"/>
          <w:color w:val="000000"/>
          <w:szCs w:val="24"/>
        </w:rPr>
        <w:t xml:space="preserve"> </w:t>
      </w:r>
      <w:r>
        <w:rPr>
          <w:rFonts w:ascii="Times New Roman" w:hAnsi="Times New Roman"/>
          <w:color w:val="000000"/>
          <w:szCs w:val="24"/>
        </w:rPr>
        <w:t>жена</w:t>
      </w:r>
      <w:r w:rsidR="00D15000" w:rsidRPr="00295637">
        <w:rPr>
          <w:rFonts w:ascii="Times New Roman" w:hAnsi="Times New Roman"/>
          <w:color w:val="000000"/>
          <w:szCs w:val="24"/>
        </w:rPr>
        <w:t xml:space="preserve"> </w:t>
      </w:r>
      <w:r>
        <w:rPr>
          <w:rFonts w:ascii="Times New Roman" w:hAnsi="Times New Roman"/>
          <w:color w:val="000000"/>
          <w:szCs w:val="24"/>
        </w:rPr>
        <w:t>судија</w:t>
      </w:r>
      <w:r w:rsidR="00D15000" w:rsidRPr="00295637">
        <w:rPr>
          <w:rFonts w:ascii="Times New Roman" w:hAnsi="Times New Roman"/>
          <w:color w:val="000000"/>
          <w:szCs w:val="24"/>
        </w:rPr>
        <w:t xml:space="preserve"> </w:t>
      </w:r>
      <w:r>
        <w:rPr>
          <w:rFonts w:ascii="Times New Roman" w:hAnsi="Times New Roman"/>
          <w:szCs w:val="24"/>
        </w:rPr>
        <w:t>под</w:t>
      </w:r>
      <w:r w:rsidR="00D15000" w:rsidRPr="00295637">
        <w:rPr>
          <w:rFonts w:ascii="Times New Roman" w:hAnsi="Times New Roman"/>
          <w:szCs w:val="24"/>
        </w:rPr>
        <w:t xml:space="preserve"> </w:t>
      </w:r>
      <w:r>
        <w:rPr>
          <w:rFonts w:ascii="Times New Roman" w:hAnsi="Times New Roman"/>
          <w:szCs w:val="24"/>
        </w:rPr>
        <w:t>називом</w:t>
      </w:r>
      <w:r w:rsidR="00D15000" w:rsidRPr="00295637">
        <w:rPr>
          <w:rFonts w:ascii="Times New Roman" w:hAnsi="Times New Roman"/>
          <w:szCs w:val="24"/>
        </w:rPr>
        <w:t xml:space="preserve"> „</w:t>
      </w:r>
      <w:r>
        <w:rPr>
          <w:rFonts w:ascii="Times New Roman" w:hAnsi="Times New Roman"/>
          <w:szCs w:val="24"/>
        </w:rPr>
        <w:t>Правосуђе</w:t>
      </w:r>
      <w:r w:rsidR="00D15000" w:rsidRPr="00295637">
        <w:rPr>
          <w:rFonts w:ascii="Times New Roman" w:hAnsi="Times New Roman"/>
          <w:szCs w:val="24"/>
        </w:rPr>
        <w:t xml:space="preserve"> </w:t>
      </w:r>
      <w:r>
        <w:rPr>
          <w:rFonts w:ascii="Times New Roman" w:hAnsi="Times New Roman"/>
          <w:szCs w:val="24"/>
        </w:rPr>
        <w:t>без</w:t>
      </w:r>
      <w:r w:rsidR="00D15000" w:rsidRPr="00295637">
        <w:rPr>
          <w:rFonts w:ascii="Times New Roman" w:hAnsi="Times New Roman"/>
          <w:szCs w:val="24"/>
        </w:rPr>
        <w:t xml:space="preserve"> </w:t>
      </w:r>
      <w:r>
        <w:rPr>
          <w:rFonts w:ascii="Times New Roman" w:hAnsi="Times New Roman"/>
          <w:szCs w:val="24"/>
        </w:rPr>
        <w:t>предрасуда</w:t>
      </w:r>
      <w:r w:rsidR="00D15000" w:rsidRPr="00295637">
        <w:rPr>
          <w:rFonts w:ascii="Times New Roman" w:hAnsi="Times New Roman"/>
          <w:szCs w:val="24"/>
        </w:rPr>
        <w:t xml:space="preserve">: </w:t>
      </w:r>
      <w:r>
        <w:rPr>
          <w:rFonts w:ascii="Times New Roman" w:hAnsi="Times New Roman"/>
          <w:szCs w:val="24"/>
        </w:rPr>
        <w:t>Изазови</w:t>
      </w:r>
      <w:r w:rsidR="00D15000" w:rsidRPr="00295637">
        <w:rPr>
          <w:rFonts w:ascii="Times New Roman" w:hAnsi="Times New Roman"/>
          <w:szCs w:val="24"/>
        </w:rPr>
        <w:t xml:space="preserve"> </w:t>
      </w:r>
      <w:r>
        <w:rPr>
          <w:rFonts w:ascii="Times New Roman" w:hAnsi="Times New Roman"/>
          <w:szCs w:val="24"/>
        </w:rPr>
        <w:t>и</w:t>
      </w:r>
      <w:r w:rsidR="00D15000" w:rsidRPr="00295637">
        <w:rPr>
          <w:rFonts w:ascii="Times New Roman" w:hAnsi="Times New Roman"/>
          <w:szCs w:val="24"/>
        </w:rPr>
        <w:t xml:space="preserve"> </w:t>
      </w:r>
      <w:r>
        <w:rPr>
          <w:rFonts w:ascii="Times New Roman" w:hAnsi="Times New Roman"/>
          <w:szCs w:val="24"/>
        </w:rPr>
        <w:t>перспективе</w:t>
      </w:r>
      <w:r w:rsidR="00D15000" w:rsidRPr="00295637">
        <w:rPr>
          <w:rFonts w:ascii="Times New Roman" w:hAnsi="Times New Roman"/>
          <w:szCs w:val="24"/>
        </w:rPr>
        <w:t xml:space="preserve"> </w:t>
      </w:r>
      <w:r>
        <w:rPr>
          <w:rFonts w:ascii="Times New Roman" w:hAnsi="Times New Roman"/>
          <w:szCs w:val="24"/>
        </w:rPr>
        <w:t>родних</w:t>
      </w:r>
      <w:r w:rsidR="00D15000" w:rsidRPr="00295637">
        <w:rPr>
          <w:rFonts w:ascii="Times New Roman" w:hAnsi="Times New Roman"/>
          <w:szCs w:val="24"/>
        </w:rPr>
        <w:t xml:space="preserve"> </w:t>
      </w:r>
      <w:r>
        <w:rPr>
          <w:rFonts w:ascii="Times New Roman" w:hAnsi="Times New Roman"/>
          <w:szCs w:val="24"/>
        </w:rPr>
        <w:t>улога</w:t>
      </w:r>
      <w:r w:rsidR="00D15000" w:rsidRPr="00295637">
        <w:rPr>
          <w:rFonts w:ascii="Times New Roman" w:hAnsi="Times New Roman"/>
          <w:szCs w:val="24"/>
        </w:rPr>
        <w:t xml:space="preserve"> </w:t>
      </w:r>
      <w:r>
        <w:rPr>
          <w:rFonts w:ascii="Times New Roman" w:hAnsi="Times New Roman"/>
          <w:szCs w:val="24"/>
        </w:rPr>
        <w:t>у</w:t>
      </w:r>
      <w:r w:rsidR="00D15000" w:rsidRPr="00295637">
        <w:rPr>
          <w:rFonts w:ascii="Times New Roman" w:hAnsi="Times New Roman"/>
          <w:szCs w:val="24"/>
        </w:rPr>
        <w:t xml:space="preserve"> </w:t>
      </w:r>
      <w:r>
        <w:rPr>
          <w:rFonts w:ascii="Times New Roman" w:hAnsi="Times New Roman"/>
          <w:szCs w:val="24"/>
        </w:rPr>
        <w:t>друштву</w:t>
      </w:r>
      <w:r w:rsidR="00D15000" w:rsidRPr="00295637">
        <w:rPr>
          <w:rFonts w:ascii="Times New Roman" w:hAnsi="Times New Roman"/>
          <w:szCs w:val="24"/>
        </w:rPr>
        <w:t xml:space="preserve">“ </w:t>
      </w:r>
      <w:r>
        <w:rPr>
          <w:rFonts w:ascii="Times New Roman" w:hAnsi="Times New Roman"/>
          <w:color w:val="000000"/>
          <w:szCs w:val="24"/>
        </w:rPr>
        <w:t>у</w:t>
      </w:r>
      <w:r w:rsidR="00D15000" w:rsidRPr="00295637">
        <w:rPr>
          <w:rFonts w:ascii="Times New Roman" w:hAnsi="Times New Roman"/>
          <w:color w:val="000000"/>
          <w:szCs w:val="24"/>
        </w:rPr>
        <w:t xml:space="preserve"> </w:t>
      </w:r>
      <w:r>
        <w:rPr>
          <w:rFonts w:ascii="Times New Roman" w:hAnsi="Times New Roman"/>
          <w:color w:val="000000"/>
          <w:szCs w:val="24"/>
        </w:rPr>
        <w:t>организацији</w:t>
      </w:r>
      <w:r w:rsidR="00D15000" w:rsidRPr="00295637">
        <w:rPr>
          <w:rFonts w:ascii="Times New Roman" w:hAnsi="Times New Roman"/>
          <w:color w:val="000000"/>
          <w:szCs w:val="24"/>
        </w:rPr>
        <w:t xml:space="preserve"> </w:t>
      </w:r>
      <w:r>
        <w:rPr>
          <w:rFonts w:ascii="Times New Roman" w:hAnsi="Times New Roman"/>
          <w:color w:val="000000"/>
          <w:szCs w:val="24"/>
        </w:rPr>
        <w:t>Удружења</w:t>
      </w:r>
      <w:r w:rsidR="00D15000" w:rsidRPr="00295637">
        <w:rPr>
          <w:rFonts w:ascii="Times New Roman" w:hAnsi="Times New Roman"/>
          <w:color w:val="000000"/>
          <w:szCs w:val="24"/>
        </w:rPr>
        <w:t xml:space="preserve"> </w:t>
      </w:r>
      <w:r>
        <w:rPr>
          <w:rFonts w:ascii="Times New Roman" w:hAnsi="Times New Roman"/>
          <w:color w:val="000000"/>
          <w:szCs w:val="24"/>
        </w:rPr>
        <w:t>судија</w:t>
      </w:r>
      <w:r w:rsidR="00D15000" w:rsidRPr="00295637">
        <w:rPr>
          <w:rFonts w:ascii="Times New Roman" w:hAnsi="Times New Roman"/>
          <w:color w:val="000000"/>
          <w:szCs w:val="24"/>
        </w:rPr>
        <w:t xml:space="preserve"> </w:t>
      </w:r>
      <w:r>
        <w:rPr>
          <w:rFonts w:ascii="Times New Roman" w:hAnsi="Times New Roman"/>
          <w:color w:val="000000"/>
          <w:szCs w:val="24"/>
        </w:rPr>
        <w:t>у</w:t>
      </w:r>
      <w:r w:rsidR="00D15000" w:rsidRPr="00295637">
        <w:rPr>
          <w:rFonts w:ascii="Times New Roman" w:hAnsi="Times New Roman"/>
          <w:color w:val="000000"/>
          <w:szCs w:val="24"/>
        </w:rPr>
        <w:t xml:space="preserve"> </w:t>
      </w:r>
      <w:r>
        <w:rPr>
          <w:rFonts w:ascii="Times New Roman" w:hAnsi="Times New Roman"/>
          <w:color w:val="000000"/>
          <w:szCs w:val="24"/>
        </w:rPr>
        <w:t>БиХ</w:t>
      </w:r>
      <w:r w:rsidR="00D15000" w:rsidRPr="00295637">
        <w:rPr>
          <w:rFonts w:ascii="Times New Roman" w:hAnsi="Times New Roman"/>
          <w:szCs w:val="24"/>
        </w:rPr>
        <w:t xml:space="preserve"> </w:t>
      </w:r>
      <w:r>
        <w:rPr>
          <w:rFonts w:ascii="Times New Roman" w:hAnsi="Times New Roman"/>
          <w:szCs w:val="24"/>
        </w:rPr>
        <w:t>у</w:t>
      </w:r>
      <w:r w:rsidR="00D15000" w:rsidRPr="00295637">
        <w:rPr>
          <w:rFonts w:ascii="Times New Roman" w:hAnsi="Times New Roman"/>
          <w:szCs w:val="24"/>
        </w:rPr>
        <w:t xml:space="preserve"> </w:t>
      </w:r>
      <w:r>
        <w:rPr>
          <w:rFonts w:ascii="Times New Roman" w:hAnsi="Times New Roman"/>
          <w:szCs w:val="24"/>
        </w:rPr>
        <w:t>сарадњи</w:t>
      </w:r>
      <w:r w:rsidR="00D15000" w:rsidRPr="00295637">
        <w:rPr>
          <w:rFonts w:ascii="Times New Roman" w:hAnsi="Times New Roman"/>
          <w:szCs w:val="24"/>
        </w:rPr>
        <w:t xml:space="preserve"> </w:t>
      </w:r>
      <w:r>
        <w:rPr>
          <w:rFonts w:ascii="Times New Roman" w:hAnsi="Times New Roman"/>
          <w:szCs w:val="24"/>
        </w:rPr>
        <w:t>са</w:t>
      </w:r>
      <w:r w:rsidR="00D15000" w:rsidRPr="00295637">
        <w:rPr>
          <w:rFonts w:ascii="Times New Roman" w:hAnsi="Times New Roman"/>
          <w:szCs w:val="24"/>
        </w:rPr>
        <w:t xml:space="preserve"> </w:t>
      </w:r>
      <w:r>
        <w:rPr>
          <w:rFonts w:ascii="Times New Roman" w:hAnsi="Times New Roman"/>
          <w:szCs w:val="24"/>
        </w:rPr>
        <w:t>Амбасадом</w:t>
      </w:r>
      <w:r w:rsidR="00D15000" w:rsidRPr="00295637">
        <w:rPr>
          <w:rFonts w:ascii="Times New Roman" w:hAnsi="Times New Roman"/>
          <w:szCs w:val="24"/>
        </w:rPr>
        <w:t xml:space="preserve"> </w:t>
      </w:r>
      <w:r>
        <w:rPr>
          <w:rFonts w:ascii="Times New Roman" w:hAnsi="Times New Roman"/>
          <w:szCs w:val="24"/>
        </w:rPr>
        <w:t>Сједињених</w:t>
      </w:r>
      <w:r w:rsidR="00D15000" w:rsidRPr="00295637">
        <w:rPr>
          <w:rFonts w:ascii="Times New Roman" w:hAnsi="Times New Roman"/>
          <w:szCs w:val="24"/>
        </w:rPr>
        <w:t xml:space="preserve"> </w:t>
      </w:r>
      <w:r>
        <w:rPr>
          <w:rFonts w:ascii="Times New Roman" w:hAnsi="Times New Roman"/>
          <w:szCs w:val="24"/>
        </w:rPr>
        <w:t>Америчких</w:t>
      </w:r>
      <w:r w:rsidR="00D15000" w:rsidRPr="00295637">
        <w:rPr>
          <w:rFonts w:ascii="Times New Roman" w:hAnsi="Times New Roman"/>
          <w:szCs w:val="24"/>
        </w:rPr>
        <w:t xml:space="preserve"> </w:t>
      </w:r>
      <w:r>
        <w:rPr>
          <w:rFonts w:ascii="Times New Roman" w:hAnsi="Times New Roman"/>
          <w:szCs w:val="24"/>
        </w:rPr>
        <w:t>Држава</w:t>
      </w:r>
      <w:r w:rsidR="00D15000" w:rsidRPr="00295637">
        <w:rPr>
          <w:rFonts w:ascii="Times New Roman" w:hAnsi="Times New Roman"/>
          <w:szCs w:val="24"/>
        </w:rPr>
        <w:t xml:space="preserve"> </w:t>
      </w:r>
      <w:r>
        <w:rPr>
          <w:rFonts w:ascii="Times New Roman" w:hAnsi="Times New Roman"/>
          <w:szCs w:val="24"/>
        </w:rPr>
        <w:t>у</w:t>
      </w:r>
      <w:r w:rsidR="00D15000" w:rsidRPr="00295637">
        <w:rPr>
          <w:rFonts w:ascii="Times New Roman" w:hAnsi="Times New Roman"/>
          <w:szCs w:val="24"/>
        </w:rPr>
        <w:t xml:space="preserve"> </w:t>
      </w:r>
      <w:r>
        <w:rPr>
          <w:rFonts w:ascii="Times New Roman" w:hAnsi="Times New Roman"/>
          <w:szCs w:val="24"/>
        </w:rPr>
        <w:t>БиХ</w:t>
      </w:r>
      <w:r w:rsidR="00D15000" w:rsidRPr="00295637">
        <w:rPr>
          <w:rFonts w:ascii="Times New Roman" w:hAnsi="Times New Roman"/>
          <w:szCs w:val="24"/>
        </w:rPr>
        <w:t xml:space="preserve">, </w:t>
      </w:r>
      <w:r w:rsidR="005F49F6">
        <w:rPr>
          <w:rFonts w:ascii="Times New Roman" w:hAnsi="Times New Roman"/>
          <w:szCs w:val="24"/>
          <w:lang w:val="sr-Cyrl-BA"/>
        </w:rPr>
        <w:t>Канцеларијом</w:t>
      </w:r>
      <w:r w:rsidR="00D15000" w:rsidRPr="00295637">
        <w:rPr>
          <w:rFonts w:ascii="Times New Roman" w:hAnsi="Times New Roman"/>
          <w:szCs w:val="24"/>
        </w:rPr>
        <w:t xml:space="preserve"> </w:t>
      </w:r>
      <w:r>
        <w:rPr>
          <w:rFonts w:ascii="Times New Roman" w:hAnsi="Times New Roman"/>
          <w:szCs w:val="24"/>
        </w:rPr>
        <w:t>за</w:t>
      </w:r>
      <w:r w:rsidR="00D15000" w:rsidRPr="00295637">
        <w:rPr>
          <w:rFonts w:ascii="Times New Roman" w:hAnsi="Times New Roman"/>
          <w:szCs w:val="24"/>
        </w:rPr>
        <w:t xml:space="preserve"> </w:t>
      </w:r>
      <w:r>
        <w:rPr>
          <w:rFonts w:ascii="Times New Roman" w:hAnsi="Times New Roman"/>
          <w:szCs w:val="24"/>
        </w:rPr>
        <w:t>борбу</w:t>
      </w:r>
      <w:r w:rsidR="00D15000" w:rsidRPr="00295637">
        <w:rPr>
          <w:rFonts w:ascii="Times New Roman" w:hAnsi="Times New Roman"/>
          <w:szCs w:val="24"/>
        </w:rPr>
        <w:t xml:space="preserve"> </w:t>
      </w:r>
      <w:r>
        <w:rPr>
          <w:rFonts w:ascii="Times New Roman" w:hAnsi="Times New Roman"/>
          <w:szCs w:val="24"/>
        </w:rPr>
        <w:t>против</w:t>
      </w:r>
      <w:r w:rsidR="00D15000" w:rsidRPr="00295637">
        <w:rPr>
          <w:rFonts w:ascii="Times New Roman" w:hAnsi="Times New Roman"/>
          <w:szCs w:val="24"/>
        </w:rPr>
        <w:t xml:space="preserve"> </w:t>
      </w:r>
      <w:r>
        <w:rPr>
          <w:rFonts w:ascii="Times New Roman" w:hAnsi="Times New Roman"/>
          <w:szCs w:val="24"/>
        </w:rPr>
        <w:t>међународне</w:t>
      </w:r>
      <w:r w:rsidR="00D15000" w:rsidRPr="00295637">
        <w:rPr>
          <w:rFonts w:ascii="Times New Roman" w:hAnsi="Times New Roman"/>
          <w:szCs w:val="24"/>
        </w:rPr>
        <w:t xml:space="preserve"> </w:t>
      </w:r>
      <w:r>
        <w:rPr>
          <w:rFonts w:ascii="Times New Roman" w:hAnsi="Times New Roman"/>
          <w:szCs w:val="24"/>
        </w:rPr>
        <w:t>трговине</w:t>
      </w:r>
      <w:r w:rsidR="00D15000" w:rsidRPr="00295637">
        <w:rPr>
          <w:rFonts w:ascii="Times New Roman" w:hAnsi="Times New Roman"/>
          <w:szCs w:val="24"/>
        </w:rPr>
        <w:t xml:space="preserve"> </w:t>
      </w:r>
      <w:r>
        <w:rPr>
          <w:rFonts w:ascii="Times New Roman" w:hAnsi="Times New Roman"/>
          <w:szCs w:val="24"/>
        </w:rPr>
        <w:t>наркотицима</w:t>
      </w:r>
      <w:r w:rsidR="00D15000" w:rsidRPr="00295637">
        <w:rPr>
          <w:rFonts w:ascii="Times New Roman" w:hAnsi="Times New Roman"/>
          <w:szCs w:val="24"/>
        </w:rPr>
        <w:t xml:space="preserve"> </w:t>
      </w:r>
      <w:r>
        <w:rPr>
          <w:rFonts w:ascii="Times New Roman" w:hAnsi="Times New Roman"/>
          <w:szCs w:val="24"/>
        </w:rPr>
        <w:t>и</w:t>
      </w:r>
      <w:r w:rsidR="00D15000" w:rsidRPr="00295637">
        <w:rPr>
          <w:rFonts w:ascii="Times New Roman" w:hAnsi="Times New Roman"/>
          <w:szCs w:val="24"/>
        </w:rPr>
        <w:t xml:space="preserve"> </w:t>
      </w:r>
      <w:r w:rsidR="005F49F6">
        <w:rPr>
          <w:rFonts w:ascii="Times New Roman" w:hAnsi="Times New Roman"/>
          <w:szCs w:val="24"/>
          <w:lang w:val="sr-Cyrl-BA"/>
        </w:rPr>
        <w:t>спровођење</w:t>
      </w:r>
      <w:r w:rsidR="00D15000" w:rsidRPr="00295637">
        <w:rPr>
          <w:rFonts w:ascii="Times New Roman" w:hAnsi="Times New Roman"/>
          <w:szCs w:val="24"/>
        </w:rPr>
        <w:t xml:space="preserve"> </w:t>
      </w:r>
      <w:r>
        <w:rPr>
          <w:rFonts w:ascii="Times New Roman" w:hAnsi="Times New Roman"/>
          <w:szCs w:val="24"/>
        </w:rPr>
        <w:t>закона</w:t>
      </w:r>
      <w:r w:rsidR="00D15000" w:rsidRPr="00295637">
        <w:rPr>
          <w:rFonts w:ascii="Times New Roman" w:hAnsi="Times New Roman"/>
          <w:szCs w:val="24"/>
        </w:rPr>
        <w:t xml:space="preserve"> (</w:t>
      </w:r>
      <w:r w:rsidR="005F49F6" w:rsidRPr="005F49F6">
        <w:rPr>
          <w:rFonts w:ascii="Times New Roman" w:hAnsi="Times New Roman"/>
          <w:i/>
          <w:szCs w:val="24"/>
        </w:rPr>
        <w:t>INL</w:t>
      </w:r>
      <w:r w:rsidR="00D15000" w:rsidRPr="00295637">
        <w:rPr>
          <w:rFonts w:ascii="Times New Roman" w:hAnsi="Times New Roman"/>
          <w:szCs w:val="24"/>
        </w:rPr>
        <w:t>).</w:t>
      </w:r>
      <w:r w:rsidR="00D15000" w:rsidRPr="00295637">
        <w:rPr>
          <w:rFonts w:ascii="Times New Roman" w:hAnsi="Times New Roman"/>
          <w:color w:val="000000"/>
          <w:szCs w:val="24"/>
        </w:rPr>
        <w:t xml:space="preserve"> </w:t>
      </w:r>
      <w:r>
        <w:rPr>
          <w:rFonts w:ascii="Times New Roman" w:hAnsi="Times New Roman"/>
          <w:szCs w:val="24"/>
          <w:lang w:val="bs-Latn-BA"/>
        </w:rPr>
        <w:t>Учеснице</w:t>
      </w:r>
      <w:r w:rsidR="00D15000" w:rsidRPr="00295637">
        <w:rPr>
          <w:rFonts w:ascii="Times New Roman" w:hAnsi="Times New Roman"/>
          <w:szCs w:val="24"/>
          <w:lang w:val="bs-Latn-BA"/>
        </w:rPr>
        <w:t>/</w:t>
      </w:r>
      <w:r>
        <w:rPr>
          <w:rFonts w:ascii="Times New Roman" w:hAnsi="Times New Roman"/>
          <w:szCs w:val="24"/>
          <w:lang w:val="bs-Latn-BA"/>
        </w:rPr>
        <w:t>и</w:t>
      </w:r>
      <w:r w:rsidR="00D15000" w:rsidRPr="00295637">
        <w:rPr>
          <w:rFonts w:ascii="Times New Roman" w:hAnsi="Times New Roman"/>
          <w:szCs w:val="24"/>
          <w:lang w:val="bs-Latn-BA"/>
        </w:rPr>
        <w:t xml:space="preserve"> </w:t>
      </w:r>
      <w:r>
        <w:rPr>
          <w:rFonts w:ascii="Times New Roman" w:hAnsi="Times New Roman"/>
          <w:szCs w:val="24"/>
          <w:lang w:val="bs-Latn-BA"/>
        </w:rPr>
        <w:t>на</w:t>
      </w:r>
      <w:r w:rsidR="00D15000" w:rsidRPr="00295637">
        <w:rPr>
          <w:rFonts w:ascii="Times New Roman" w:hAnsi="Times New Roman"/>
          <w:szCs w:val="24"/>
          <w:lang w:val="bs-Latn-BA"/>
        </w:rPr>
        <w:t xml:space="preserve"> </w:t>
      </w:r>
      <w:r>
        <w:rPr>
          <w:rFonts w:ascii="Times New Roman" w:hAnsi="Times New Roman"/>
          <w:szCs w:val="24"/>
          <w:lang w:val="bs-Latn-BA"/>
        </w:rPr>
        <w:t>конференцији</w:t>
      </w:r>
      <w:r w:rsidR="00D15000" w:rsidRPr="00295637">
        <w:rPr>
          <w:rFonts w:ascii="Times New Roman" w:hAnsi="Times New Roman"/>
          <w:szCs w:val="24"/>
          <w:lang w:val="bs-Latn-BA"/>
        </w:rPr>
        <w:t xml:space="preserve"> </w:t>
      </w:r>
      <w:r>
        <w:rPr>
          <w:rFonts w:ascii="Times New Roman" w:hAnsi="Times New Roman"/>
          <w:szCs w:val="24"/>
          <w:lang w:val="bs-Latn-BA"/>
        </w:rPr>
        <w:t>су</w:t>
      </w:r>
      <w:r w:rsidR="00D15000" w:rsidRPr="00295637">
        <w:rPr>
          <w:rFonts w:ascii="Times New Roman" w:hAnsi="Times New Roman"/>
          <w:szCs w:val="24"/>
          <w:lang w:val="bs-Latn-BA"/>
        </w:rPr>
        <w:t xml:space="preserve"> </w:t>
      </w:r>
      <w:r>
        <w:rPr>
          <w:rFonts w:ascii="Times New Roman" w:hAnsi="Times New Roman"/>
          <w:szCs w:val="24"/>
          <w:lang w:val="bs-Latn-BA"/>
        </w:rPr>
        <w:t>имали</w:t>
      </w:r>
      <w:r w:rsidR="00D15000" w:rsidRPr="00295637">
        <w:rPr>
          <w:rFonts w:ascii="Times New Roman" w:hAnsi="Times New Roman"/>
          <w:szCs w:val="24"/>
          <w:lang w:val="bs-Latn-BA"/>
        </w:rPr>
        <w:t xml:space="preserve"> </w:t>
      </w:r>
      <w:r>
        <w:rPr>
          <w:rFonts w:ascii="Times New Roman" w:hAnsi="Times New Roman"/>
          <w:szCs w:val="24"/>
          <w:lang w:val="bs-Latn-BA"/>
        </w:rPr>
        <w:t>прилику</w:t>
      </w:r>
      <w:r w:rsidR="00D15000" w:rsidRPr="00295637">
        <w:rPr>
          <w:rFonts w:ascii="Times New Roman" w:hAnsi="Times New Roman"/>
          <w:szCs w:val="24"/>
          <w:lang w:val="bs-Latn-BA"/>
        </w:rPr>
        <w:t xml:space="preserve"> </w:t>
      </w:r>
      <w:r>
        <w:rPr>
          <w:rFonts w:ascii="Times New Roman" w:hAnsi="Times New Roman"/>
          <w:szCs w:val="24"/>
          <w:lang w:val="bs-Latn-BA"/>
        </w:rPr>
        <w:t>да</w:t>
      </w:r>
      <w:r w:rsidR="00D15000" w:rsidRPr="00295637">
        <w:rPr>
          <w:rFonts w:ascii="Times New Roman" w:hAnsi="Times New Roman"/>
          <w:szCs w:val="24"/>
          <w:lang w:val="bs-Latn-BA"/>
        </w:rPr>
        <w:t xml:space="preserve"> </w:t>
      </w:r>
      <w:r>
        <w:rPr>
          <w:rFonts w:ascii="Times New Roman" w:hAnsi="Times New Roman"/>
          <w:szCs w:val="24"/>
          <w:lang w:val="bs-Latn-BA"/>
        </w:rPr>
        <w:t>подијеле</w:t>
      </w:r>
      <w:r w:rsidR="00D15000" w:rsidRPr="00295637">
        <w:rPr>
          <w:rFonts w:ascii="Times New Roman" w:hAnsi="Times New Roman"/>
          <w:szCs w:val="24"/>
          <w:lang w:val="bs-Latn-BA"/>
        </w:rPr>
        <w:t xml:space="preserve"> </w:t>
      </w:r>
      <w:r>
        <w:rPr>
          <w:rFonts w:ascii="Times New Roman" w:hAnsi="Times New Roman"/>
          <w:szCs w:val="24"/>
          <w:lang w:val="bs-Latn-BA"/>
        </w:rPr>
        <w:t>своја</w:t>
      </w:r>
      <w:r w:rsidR="00D15000" w:rsidRPr="00295637">
        <w:rPr>
          <w:rFonts w:ascii="Times New Roman" w:hAnsi="Times New Roman"/>
          <w:szCs w:val="24"/>
          <w:lang w:val="bs-Latn-BA"/>
        </w:rPr>
        <w:t xml:space="preserve"> </w:t>
      </w:r>
      <w:r>
        <w:rPr>
          <w:rFonts w:ascii="Times New Roman" w:hAnsi="Times New Roman"/>
          <w:szCs w:val="24"/>
          <w:lang w:val="bs-Latn-BA"/>
        </w:rPr>
        <w:t>знања</w:t>
      </w:r>
      <w:r w:rsidR="00D15000" w:rsidRPr="00295637">
        <w:rPr>
          <w:rFonts w:ascii="Times New Roman" w:hAnsi="Times New Roman"/>
          <w:szCs w:val="24"/>
          <w:lang w:val="bs-Latn-BA"/>
        </w:rPr>
        <w:t xml:space="preserve"> </w:t>
      </w:r>
      <w:r>
        <w:rPr>
          <w:rFonts w:ascii="Times New Roman" w:hAnsi="Times New Roman"/>
          <w:szCs w:val="24"/>
          <w:lang w:val="bs-Latn-BA"/>
        </w:rPr>
        <w:t>и</w:t>
      </w:r>
      <w:r w:rsidR="00D15000" w:rsidRPr="00295637">
        <w:rPr>
          <w:rFonts w:ascii="Times New Roman" w:hAnsi="Times New Roman"/>
          <w:szCs w:val="24"/>
          <w:lang w:val="bs-Latn-BA"/>
        </w:rPr>
        <w:t xml:space="preserve"> </w:t>
      </w:r>
      <w:r>
        <w:rPr>
          <w:rFonts w:ascii="Times New Roman" w:hAnsi="Times New Roman"/>
          <w:szCs w:val="24"/>
          <w:lang w:val="bs-Latn-BA"/>
        </w:rPr>
        <w:t>искуства</w:t>
      </w:r>
      <w:r w:rsidR="00D15000" w:rsidRPr="00295637">
        <w:rPr>
          <w:rFonts w:ascii="Times New Roman" w:hAnsi="Times New Roman"/>
          <w:szCs w:val="24"/>
          <w:lang w:val="bs-Latn-BA"/>
        </w:rPr>
        <w:t xml:space="preserve"> </w:t>
      </w:r>
      <w:r>
        <w:rPr>
          <w:rFonts w:ascii="Times New Roman" w:hAnsi="Times New Roman"/>
          <w:szCs w:val="24"/>
          <w:lang w:val="bs-Latn-BA"/>
        </w:rPr>
        <w:t>у</w:t>
      </w:r>
      <w:r w:rsidR="00D15000" w:rsidRPr="00295637">
        <w:rPr>
          <w:rFonts w:ascii="Times New Roman" w:hAnsi="Times New Roman"/>
          <w:szCs w:val="24"/>
          <w:lang w:val="bs-Latn-BA"/>
        </w:rPr>
        <w:t xml:space="preserve"> </w:t>
      </w:r>
      <w:r>
        <w:rPr>
          <w:rFonts w:ascii="Times New Roman" w:hAnsi="Times New Roman"/>
          <w:szCs w:val="24"/>
          <w:lang w:val="bs-Latn-BA"/>
        </w:rPr>
        <w:t>области</w:t>
      </w:r>
      <w:r w:rsidR="00356469">
        <w:rPr>
          <w:rFonts w:ascii="Times New Roman" w:hAnsi="Times New Roman"/>
          <w:szCs w:val="24"/>
          <w:lang w:val="bs-Latn-BA"/>
        </w:rPr>
        <w:t xml:space="preserve"> </w:t>
      </w:r>
      <w:r>
        <w:rPr>
          <w:rFonts w:ascii="Times New Roman" w:hAnsi="Times New Roman"/>
          <w:szCs w:val="24"/>
          <w:lang w:val="bs-Latn-BA"/>
        </w:rPr>
        <w:t>родних</w:t>
      </w:r>
      <w:r w:rsidR="00356469">
        <w:rPr>
          <w:rFonts w:ascii="Times New Roman" w:hAnsi="Times New Roman"/>
          <w:szCs w:val="24"/>
          <w:lang w:val="bs-Latn-BA"/>
        </w:rPr>
        <w:t xml:space="preserve"> </w:t>
      </w:r>
      <w:r>
        <w:rPr>
          <w:rFonts w:ascii="Times New Roman" w:hAnsi="Times New Roman"/>
          <w:szCs w:val="24"/>
          <w:lang w:val="bs-Latn-BA"/>
        </w:rPr>
        <w:t>питања</w:t>
      </w:r>
      <w:r w:rsidR="00356469">
        <w:rPr>
          <w:rFonts w:ascii="Times New Roman" w:hAnsi="Times New Roman"/>
          <w:szCs w:val="24"/>
          <w:lang w:val="bs-Latn-BA"/>
        </w:rPr>
        <w:t xml:space="preserve">, </w:t>
      </w:r>
      <w:r>
        <w:rPr>
          <w:rFonts w:ascii="Times New Roman" w:hAnsi="Times New Roman"/>
          <w:szCs w:val="24"/>
          <w:lang w:val="bs-Latn-BA"/>
        </w:rPr>
        <w:t>са</w:t>
      </w:r>
      <w:r w:rsidR="00D15000" w:rsidRPr="00295637">
        <w:rPr>
          <w:rFonts w:ascii="Times New Roman" w:hAnsi="Times New Roman"/>
          <w:szCs w:val="24"/>
          <w:lang w:val="bs-Latn-BA"/>
        </w:rPr>
        <w:t xml:space="preserve"> </w:t>
      </w:r>
      <w:r>
        <w:rPr>
          <w:rFonts w:ascii="Times New Roman" w:hAnsi="Times New Roman"/>
          <w:szCs w:val="24"/>
          <w:lang w:val="bs-Latn-BA"/>
        </w:rPr>
        <w:t>посебним</w:t>
      </w:r>
      <w:r w:rsidR="00D15000" w:rsidRPr="00295637">
        <w:rPr>
          <w:rFonts w:ascii="Times New Roman" w:hAnsi="Times New Roman"/>
          <w:szCs w:val="24"/>
          <w:lang w:val="bs-Latn-BA"/>
        </w:rPr>
        <w:t xml:space="preserve"> </w:t>
      </w:r>
      <w:r>
        <w:rPr>
          <w:rFonts w:ascii="Times New Roman" w:hAnsi="Times New Roman"/>
          <w:szCs w:val="24"/>
          <w:lang w:val="bs-Latn-BA"/>
        </w:rPr>
        <w:t>освртом</w:t>
      </w:r>
      <w:r w:rsidR="00D15000" w:rsidRPr="00295637">
        <w:rPr>
          <w:rFonts w:ascii="Times New Roman" w:hAnsi="Times New Roman"/>
          <w:szCs w:val="24"/>
          <w:lang w:val="bs-Latn-BA"/>
        </w:rPr>
        <w:t xml:space="preserve"> </w:t>
      </w:r>
      <w:r>
        <w:rPr>
          <w:rFonts w:ascii="Times New Roman" w:hAnsi="Times New Roman"/>
          <w:szCs w:val="24"/>
          <w:lang w:val="bs-Latn-BA"/>
        </w:rPr>
        <w:t>на</w:t>
      </w:r>
      <w:r w:rsidR="00D15000" w:rsidRPr="00295637">
        <w:rPr>
          <w:rFonts w:ascii="Times New Roman" w:hAnsi="Times New Roman"/>
          <w:szCs w:val="24"/>
          <w:lang w:val="bs-Latn-BA"/>
        </w:rPr>
        <w:t xml:space="preserve"> </w:t>
      </w:r>
      <w:r>
        <w:rPr>
          <w:rFonts w:ascii="Times New Roman" w:hAnsi="Times New Roman"/>
          <w:szCs w:val="24"/>
          <w:lang w:val="bs-Latn-BA"/>
        </w:rPr>
        <w:t>родне</w:t>
      </w:r>
      <w:r w:rsidR="00D15000" w:rsidRPr="00295637">
        <w:rPr>
          <w:rFonts w:ascii="Times New Roman" w:hAnsi="Times New Roman"/>
          <w:szCs w:val="24"/>
          <w:lang w:val="bs-Latn-BA"/>
        </w:rPr>
        <w:t xml:space="preserve"> </w:t>
      </w:r>
      <w:r>
        <w:rPr>
          <w:rFonts w:ascii="Times New Roman" w:hAnsi="Times New Roman"/>
          <w:szCs w:val="24"/>
          <w:lang w:val="bs-Latn-BA"/>
        </w:rPr>
        <w:t>предрасуде</w:t>
      </w:r>
      <w:r w:rsidR="00D15000" w:rsidRPr="00295637">
        <w:rPr>
          <w:rFonts w:ascii="Times New Roman" w:hAnsi="Times New Roman"/>
          <w:szCs w:val="24"/>
          <w:lang w:val="bs-Latn-BA"/>
        </w:rPr>
        <w:t xml:space="preserve">, </w:t>
      </w:r>
      <w:r>
        <w:rPr>
          <w:rFonts w:ascii="Times New Roman" w:hAnsi="Times New Roman"/>
          <w:szCs w:val="24"/>
          <w:lang w:val="bs-Latn-BA"/>
        </w:rPr>
        <w:t>родно</w:t>
      </w:r>
      <w:r w:rsidR="00D15000" w:rsidRPr="00295637">
        <w:rPr>
          <w:rFonts w:ascii="Times New Roman" w:hAnsi="Times New Roman"/>
          <w:szCs w:val="24"/>
          <w:lang w:val="bs-Latn-BA"/>
        </w:rPr>
        <w:t xml:space="preserve"> </w:t>
      </w:r>
      <w:r>
        <w:rPr>
          <w:rFonts w:ascii="Times New Roman" w:hAnsi="Times New Roman"/>
          <w:szCs w:val="24"/>
          <w:lang w:val="bs-Latn-BA"/>
        </w:rPr>
        <w:t>засновано</w:t>
      </w:r>
      <w:r w:rsidR="00D30E48">
        <w:rPr>
          <w:rFonts w:ascii="Times New Roman" w:hAnsi="Times New Roman"/>
          <w:szCs w:val="24"/>
          <w:lang w:val="bs-Latn-BA"/>
        </w:rPr>
        <w:t xml:space="preserve"> </w:t>
      </w:r>
      <w:r>
        <w:rPr>
          <w:rFonts w:ascii="Times New Roman" w:hAnsi="Times New Roman"/>
          <w:szCs w:val="24"/>
          <w:lang w:val="bs-Latn-BA"/>
        </w:rPr>
        <w:t>насиље</w:t>
      </w:r>
      <w:r w:rsidR="00D30E48">
        <w:rPr>
          <w:rFonts w:ascii="Times New Roman" w:hAnsi="Times New Roman"/>
          <w:szCs w:val="24"/>
          <w:lang w:val="bs-Latn-BA"/>
        </w:rPr>
        <w:t xml:space="preserve">, </w:t>
      </w:r>
      <w:r>
        <w:rPr>
          <w:rFonts w:ascii="Times New Roman" w:hAnsi="Times New Roman"/>
          <w:szCs w:val="24"/>
          <w:lang w:val="bs-Latn-BA"/>
        </w:rPr>
        <w:t>укључујући</w:t>
      </w:r>
      <w:r w:rsidR="00D15000" w:rsidRPr="00295637">
        <w:rPr>
          <w:rFonts w:ascii="Times New Roman" w:hAnsi="Times New Roman"/>
          <w:szCs w:val="24"/>
          <w:lang w:val="bs-Latn-BA"/>
        </w:rPr>
        <w:t xml:space="preserve"> </w:t>
      </w:r>
      <w:r>
        <w:rPr>
          <w:rFonts w:ascii="Times New Roman" w:hAnsi="Times New Roman"/>
          <w:szCs w:val="24"/>
          <w:lang w:val="bs-Latn-BA"/>
        </w:rPr>
        <w:t>фемицид</w:t>
      </w:r>
      <w:r w:rsidR="00D15000" w:rsidRPr="00295637">
        <w:rPr>
          <w:rFonts w:ascii="Times New Roman" w:hAnsi="Times New Roman"/>
          <w:szCs w:val="24"/>
          <w:lang w:val="bs-Latn-BA"/>
        </w:rPr>
        <w:t xml:space="preserve"> </w:t>
      </w:r>
      <w:r>
        <w:rPr>
          <w:rFonts w:ascii="Times New Roman" w:hAnsi="Times New Roman"/>
          <w:szCs w:val="24"/>
          <w:lang w:val="bs-Latn-BA"/>
        </w:rPr>
        <w:t>и</w:t>
      </w:r>
      <w:r w:rsidR="00D15000" w:rsidRPr="00295637">
        <w:rPr>
          <w:rFonts w:ascii="Times New Roman" w:hAnsi="Times New Roman"/>
          <w:szCs w:val="24"/>
          <w:lang w:val="bs-Latn-BA"/>
        </w:rPr>
        <w:t xml:space="preserve"> </w:t>
      </w:r>
      <w:r>
        <w:rPr>
          <w:rFonts w:ascii="Times New Roman" w:hAnsi="Times New Roman"/>
          <w:szCs w:val="24"/>
          <w:lang w:val="bs-Latn-BA"/>
        </w:rPr>
        <w:t>насиље</w:t>
      </w:r>
      <w:r w:rsidR="00D15000" w:rsidRPr="00295637">
        <w:rPr>
          <w:rFonts w:ascii="Times New Roman" w:hAnsi="Times New Roman"/>
          <w:szCs w:val="24"/>
          <w:lang w:val="bs-Latn-BA"/>
        </w:rPr>
        <w:t xml:space="preserve"> </w:t>
      </w:r>
      <w:r>
        <w:rPr>
          <w:rFonts w:ascii="Times New Roman" w:hAnsi="Times New Roman"/>
          <w:szCs w:val="24"/>
          <w:lang w:val="bs-Latn-BA"/>
        </w:rPr>
        <w:t>у</w:t>
      </w:r>
      <w:r w:rsidR="00D15000" w:rsidRPr="00295637">
        <w:rPr>
          <w:rFonts w:ascii="Times New Roman" w:hAnsi="Times New Roman"/>
          <w:szCs w:val="24"/>
          <w:lang w:val="bs-Latn-BA"/>
        </w:rPr>
        <w:t xml:space="preserve"> </w:t>
      </w:r>
      <w:r>
        <w:rPr>
          <w:rFonts w:ascii="Times New Roman" w:hAnsi="Times New Roman"/>
          <w:szCs w:val="24"/>
          <w:lang w:val="bs-Latn-BA"/>
        </w:rPr>
        <w:t>породици</w:t>
      </w:r>
      <w:r w:rsidR="00356469">
        <w:rPr>
          <w:rFonts w:ascii="Times New Roman" w:hAnsi="Times New Roman"/>
          <w:szCs w:val="24"/>
          <w:lang w:val="bs-Latn-BA"/>
        </w:rPr>
        <w:t xml:space="preserve">, </w:t>
      </w:r>
      <w:r>
        <w:rPr>
          <w:rFonts w:ascii="Times New Roman" w:hAnsi="Times New Roman"/>
          <w:szCs w:val="24"/>
          <w:lang w:val="bs-Latn-BA"/>
        </w:rPr>
        <w:t>као</w:t>
      </w:r>
      <w:r w:rsidR="00356469">
        <w:rPr>
          <w:rFonts w:ascii="Times New Roman" w:hAnsi="Times New Roman"/>
          <w:szCs w:val="24"/>
          <w:lang w:val="bs-Latn-BA"/>
        </w:rPr>
        <w:t xml:space="preserve"> </w:t>
      </w:r>
      <w:r>
        <w:rPr>
          <w:rFonts w:ascii="Times New Roman" w:hAnsi="Times New Roman"/>
          <w:szCs w:val="24"/>
          <w:lang w:val="bs-Latn-BA"/>
        </w:rPr>
        <w:t>и</w:t>
      </w:r>
      <w:r w:rsidR="00356469">
        <w:rPr>
          <w:rFonts w:ascii="Times New Roman" w:hAnsi="Times New Roman"/>
          <w:szCs w:val="24"/>
          <w:lang w:val="bs-Latn-BA"/>
        </w:rPr>
        <w:t xml:space="preserve"> </w:t>
      </w:r>
      <w:r>
        <w:rPr>
          <w:rFonts w:ascii="Times New Roman" w:hAnsi="Times New Roman"/>
          <w:szCs w:val="24"/>
          <w:lang w:val="bs-Latn-BA"/>
        </w:rPr>
        <w:t>етичке</w:t>
      </w:r>
      <w:r w:rsidR="00356469">
        <w:rPr>
          <w:rFonts w:ascii="Times New Roman" w:hAnsi="Times New Roman"/>
          <w:szCs w:val="24"/>
          <w:lang w:val="bs-Latn-BA"/>
        </w:rPr>
        <w:t xml:space="preserve"> </w:t>
      </w:r>
      <w:r>
        <w:rPr>
          <w:rFonts w:ascii="Times New Roman" w:hAnsi="Times New Roman"/>
          <w:szCs w:val="24"/>
          <w:lang w:val="bs-Latn-BA"/>
        </w:rPr>
        <w:t>стандарде</w:t>
      </w:r>
      <w:r w:rsidR="00356469">
        <w:rPr>
          <w:rFonts w:ascii="Times New Roman" w:hAnsi="Times New Roman"/>
          <w:szCs w:val="24"/>
          <w:lang w:val="bs-Latn-BA"/>
        </w:rPr>
        <w:t xml:space="preserve"> </w:t>
      </w:r>
      <w:r>
        <w:rPr>
          <w:rFonts w:ascii="Times New Roman" w:hAnsi="Times New Roman"/>
          <w:szCs w:val="24"/>
          <w:lang w:val="bs-Latn-BA"/>
        </w:rPr>
        <w:t>са</w:t>
      </w:r>
      <w:r w:rsidR="00D15000" w:rsidRPr="00295637">
        <w:rPr>
          <w:rFonts w:ascii="Times New Roman" w:hAnsi="Times New Roman"/>
          <w:szCs w:val="24"/>
          <w:lang w:val="bs-Latn-BA"/>
        </w:rPr>
        <w:t xml:space="preserve"> </w:t>
      </w:r>
      <w:r>
        <w:rPr>
          <w:rFonts w:ascii="Times New Roman" w:hAnsi="Times New Roman"/>
          <w:szCs w:val="24"/>
          <w:lang w:val="bs-Latn-BA"/>
        </w:rPr>
        <w:t>аспекта</w:t>
      </w:r>
      <w:r w:rsidR="00D15000" w:rsidRPr="00295637">
        <w:rPr>
          <w:rFonts w:ascii="Times New Roman" w:hAnsi="Times New Roman"/>
          <w:szCs w:val="24"/>
          <w:lang w:val="bs-Latn-BA"/>
        </w:rPr>
        <w:t xml:space="preserve"> </w:t>
      </w:r>
      <w:r>
        <w:rPr>
          <w:rFonts w:ascii="Times New Roman" w:hAnsi="Times New Roman"/>
          <w:szCs w:val="24"/>
          <w:lang w:val="bs-Latn-BA"/>
        </w:rPr>
        <w:t>интегритета</w:t>
      </w:r>
      <w:r w:rsidR="00D15000" w:rsidRPr="00295637">
        <w:rPr>
          <w:rFonts w:ascii="Times New Roman" w:hAnsi="Times New Roman"/>
          <w:szCs w:val="24"/>
          <w:lang w:val="bs-Latn-BA"/>
        </w:rPr>
        <w:t xml:space="preserve"> </w:t>
      </w:r>
      <w:r>
        <w:rPr>
          <w:rFonts w:ascii="Times New Roman" w:hAnsi="Times New Roman"/>
          <w:szCs w:val="24"/>
          <w:lang w:val="bs-Latn-BA"/>
        </w:rPr>
        <w:t>и</w:t>
      </w:r>
      <w:r w:rsidR="00D15000" w:rsidRPr="00295637">
        <w:rPr>
          <w:rFonts w:ascii="Times New Roman" w:hAnsi="Times New Roman"/>
          <w:szCs w:val="24"/>
          <w:lang w:val="bs-Latn-BA"/>
        </w:rPr>
        <w:t xml:space="preserve"> </w:t>
      </w:r>
      <w:r>
        <w:rPr>
          <w:rFonts w:ascii="Times New Roman" w:hAnsi="Times New Roman"/>
          <w:szCs w:val="24"/>
          <w:lang w:val="bs-Latn-BA"/>
        </w:rPr>
        <w:t>корупције</w:t>
      </w:r>
      <w:r w:rsidR="00D15000" w:rsidRPr="00295637">
        <w:rPr>
          <w:rFonts w:ascii="Times New Roman" w:hAnsi="Times New Roman"/>
          <w:szCs w:val="24"/>
          <w:lang w:val="bs-Latn-BA"/>
        </w:rPr>
        <w:t xml:space="preserve">. </w:t>
      </w:r>
      <w:r w:rsidR="008A65D0">
        <w:rPr>
          <w:rFonts w:ascii="Times New Roman" w:hAnsi="Times New Roman"/>
          <w:szCs w:val="24"/>
          <w:lang w:val="bs-Cyrl-BA"/>
        </w:rPr>
        <w:t>У неколико панела</w:t>
      </w:r>
      <w:r w:rsidR="00D15000" w:rsidRPr="00295637">
        <w:rPr>
          <w:rFonts w:ascii="Times New Roman" w:hAnsi="Times New Roman"/>
          <w:szCs w:val="24"/>
          <w:lang w:val="bs-Latn-BA"/>
        </w:rPr>
        <w:t xml:space="preserve"> </w:t>
      </w:r>
      <w:r>
        <w:rPr>
          <w:rFonts w:ascii="Times New Roman" w:hAnsi="Times New Roman"/>
          <w:szCs w:val="24"/>
          <w:lang w:val="bs-Latn-BA"/>
        </w:rPr>
        <w:t>разматра</w:t>
      </w:r>
      <w:r w:rsidR="008A65D0">
        <w:rPr>
          <w:rFonts w:ascii="Times New Roman" w:hAnsi="Times New Roman"/>
          <w:szCs w:val="24"/>
          <w:lang w:val="bs-Cyrl-BA"/>
        </w:rPr>
        <w:t>на су</w:t>
      </w:r>
      <w:r w:rsidR="00D15000" w:rsidRPr="00295637">
        <w:rPr>
          <w:rFonts w:ascii="Times New Roman" w:hAnsi="Times New Roman"/>
          <w:szCs w:val="24"/>
          <w:lang w:val="bs-Latn-BA"/>
        </w:rPr>
        <w:t xml:space="preserve"> </w:t>
      </w:r>
      <w:r>
        <w:rPr>
          <w:rFonts w:ascii="Times New Roman" w:hAnsi="Times New Roman"/>
          <w:szCs w:val="24"/>
          <w:lang w:val="bs-Latn-BA"/>
        </w:rPr>
        <w:t>и</w:t>
      </w:r>
      <w:r w:rsidR="00D15000" w:rsidRPr="00295637">
        <w:rPr>
          <w:rFonts w:ascii="Times New Roman" w:hAnsi="Times New Roman"/>
          <w:szCs w:val="24"/>
          <w:lang w:val="bs-Latn-BA"/>
        </w:rPr>
        <w:t xml:space="preserve"> </w:t>
      </w:r>
      <w:r>
        <w:rPr>
          <w:rFonts w:ascii="Times New Roman" w:hAnsi="Times New Roman"/>
          <w:szCs w:val="24"/>
          <w:lang w:val="bs-Latn-BA"/>
        </w:rPr>
        <w:t>питања</w:t>
      </w:r>
      <w:r w:rsidR="00D15000" w:rsidRPr="00295637">
        <w:rPr>
          <w:rFonts w:ascii="Times New Roman" w:hAnsi="Times New Roman"/>
          <w:szCs w:val="24"/>
          <w:lang w:val="bs-Latn-BA"/>
        </w:rPr>
        <w:t xml:space="preserve"> </w:t>
      </w:r>
      <w:r>
        <w:rPr>
          <w:rFonts w:ascii="Times New Roman" w:hAnsi="Times New Roman"/>
          <w:szCs w:val="24"/>
          <w:lang w:val="bs-Latn-BA"/>
        </w:rPr>
        <w:t>трговине</w:t>
      </w:r>
      <w:r w:rsidR="00D15000" w:rsidRPr="00295637">
        <w:rPr>
          <w:rFonts w:ascii="Times New Roman" w:hAnsi="Times New Roman"/>
          <w:szCs w:val="24"/>
          <w:lang w:val="bs-Latn-BA"/>
        </w:rPr>
        <w:t xml:space="preserve"> </w:t>
      </w:r>
      <w:r>
        <w:rPr>
          <w:rFonts w:ascii="Times New Roman" w:hAnsi="Times New Roman"/>
          <w:szCs w:val="24"/>
          <w:lang w:val="bs-Latn-BA"/>
        </w:rPr>
        <w:t>људима</w:t>
      </w:r>
      <w:r w:rsidR="00D15000" w:rsidRPr="00295637">
        <w:rPr>
          <w:rFonts w:ascii="Times New Roman" w:hAnsi="Times New Roman"/>
          <w:szCs w:val="24"/>
          <w:lang w:val="bs-Latn-BA"/>
        </w:rPr>
        <w:t xml:space="preserve"> </w:t>
      </w:r>
      <w:r>
        <w:rPr>
          <w:rFonts w:ascii="Times New Roman" w:hAnsi="Times New Roman"/>
          <w:szCs w:val="24"/>
          <w:lang w:val="bs-Latn-BA"/>
        </w:rPr>
        <w:t>и</w:t>
      </w:r>
      <w:r w:rsidR="00D15000" w:rsidRPr="00295637">
        <w:rPr>
          <w:rFonts w:ascii="Times New Roman" w:hAnsi="Times New Roman"/>
          <w:szCs w:val="24"/>
          <w:lang w:val="bs-Latn-BA"/>
        </w:rPr>
        <w:t xml:space="preserve"> </w:t>
      </w:r>
      <w:r>
        <w:rPr>
          <w:rFonts w:ascii="Times New Roman" w:hAnsi="Times New Roman"/>
          <w:szCs w:val="24"/>
          <w:lang w:val="bs-Latn-BA"/>
        </w:rPr>
        <w:t>сексуалне</w:t>
      </w:r>
      <w:r w:rsidR="00D15000" w:rsidRPr="00295637">
        <w:rPr>
          <w:rFonts w:ascii="Times New Roman" w:hAnsi="Times New Roman"/>
          <w:szCs w:val="24"/>
          <w:lang w:val="bs-Latn-BA"/>
        </w:rPr>
        <w:t xml:space="preserve"> </w:t>
      </w:r>
      <w:r>
        <w:rPr>
          <w:rFonts w:ascii="Times New Roman" w:hAnsi="Times New Roman"/>
          <w:szCs w:val="24"/>
          <w:lang w:val="bs-Latn-BA"/>
        </w:rPr>
        <w:t>експлоатације</w:t>
      </w:r>
      <w:r w:rsidR="00356469">
        <w:rPr>
          <w:rFonts w:ascii="Times New Roman" w:hAnsi="Times New Roman"/>
          <w:szCs w:val="24"/>
          <w:lang w:val="bs-Latn-BA"/>
        </w:rPr>
        <w:t xml:space="preserve"> - </w:t>
      </w:r>
      <w:r>
        <w:rPr>
          <w:rFonts w:ascii="Times New Roman" w:hAnsi="Times New Roman"/>
          <w:szCs w:val="24"/>
          <w:lang w:val="bs-Latn-BA"/>
        </w:rPr>
        <w:t>изнуђивањем</w:t>
      </w:r>
      <w:r w:rsidR="00356469">
        <w:rPr>
          <w:rFonts w:ascii="Times New Roman" w:hAnsi="Times New Roman"/>
          <w:szCs w:val="24"/>
          <w:lang w:val="bs-Latn-BA"/>
        </w:rPr>
        <w:t xml:space="preserve"> </w:t>
      </w:r>
      <w:r>
        <w:rPr>
          <w:rFonts w:ascii="Times New Roman" w:hAnsi="Times New Roman"/>
          <w:szCs w:val="24"/>
          <w:lang w:val="bs-Latn-BA"/>
        </w:rPr>
        <w:t>секса</w:t>
      </w:r>
      <w:r w:rsidR="00356469">
        <w:rPr>
          <w:rFonts w:ascii="Times New Roman" w:hAnsi="Times New Roman"/>
          <w:szCs w:val="24"/>
          <w:lang w:val="bs-Latn-BA"/>
        </w:rPr>
        <w:t xml:space="preserve"> </w:t>
      </w:r>
      <w:r>
        <w:rPr>
          <w:rFonts w:ascii="Times New Roman" w:hAnsi="Times New Roman"/>
          <w:szCs w:val="24"/>
          <w:lang w:val="bs-Latn-BA"/>
        </w:rPr>
        <w:t>са</w:t>
      </w:r>
      <w:r w:rsidR="00D15000" w:rsidRPr="00295637">
        <w:rPr>
          <w:rFonts w:ascii="Times New Roman" w:hAnsi="Times New Roman"/>
          <w:szCs w:val="24"/>
          <w:lang w:val="bs-Latn-BA"/>
        </w:rPr>
        <w:t xml:space="preserve"> </w:t>
      </w:r>
      <w:r>
        <w:rPr>
          <w:rFonts w:ascii="Times New Roman" w:hAnsi="Times New Roman"/>
          <w:szCs w:val="24"/>
          <w:lang w:val="bs-Latn-BA"/>
        </w:rPr>
        <w:t>позиције</w:t>
      </w:r>
      <w:r w:rsidR="00D15000" w:rsidRPr="00295637">
        <w:rPr>
          <w:rFonts w:ascii="Times New Roman" w:hAnsi="Times New Roman"/>
          <w:szCs w:val="24"/>
          <w:lang w:val="bs-Latn-BA"/>
        </w:rPr>
        <w:t xml:space="preserve"> </w:t>
      </w:r>
      <w:r>
        <w:rPr>
          <w:rFonts w:ascii="Times New Roman" w:hAnsi="Times New Roman"/>
          <w:szCs w:val="24"/>
          <w:lang w:val="bs-Latn-BA"/>
        </w:rPr>
        <w:t>моћи</w:t>
      </w:r>
      <w:r w:rsidR="00D15000" w:rsidRPr="00295637">
        <w:rPr>
          <w:rFonts w:ascii="Times New Roman" w:hAnsi="Times New Roman"/>
          <w:szCs w:val="24"/>
          <w:lang w:val="bs-Latn-BA"/>
        </w:rPr>
        <w:t>.</w:t>
      </w:r>
    </w:p>
    <w:p w:rsidR="00855CD7" w:rsidRPr="00295637" w:rsidRDefault="00855CD7" w:rsidP="0086268D">
      <w:pPr>
        <w:rPr>
          <w:lang w:val="bs-Latn-BA"/>
        </w:rPr>
      </w:pPr>
    </w:p>
    <w:p w:rsidR="00A92736" w:rsidRPr="00C67E03" w:rsidRDefault="005F49F6" w:rsidP="00697E75">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697E75">
        <w:rPr>
          <w:rFonts w:ascii="Times New Roman" w:hAnsi="Times New Roman"/>
          <w:szCs w:val="24"/>
          <w:lang w:val="bs-Latn-BA"/>
        </w:rPr>
        <w:t xml:space="preserve"> 1.8. </w:t>
      </w:r>
      <w:r>
        <w:rPr>
          <w:rFonts w:ascii="Times New Roman" w:hAnsi="Times New Roman"/>
          <w:szCs w:val="24"/>
          <w:lang w:val="sr-Cyrl-BA"/>
        </w:rPr>
        <w:t>Спровођење</w:t>
      </w:r>
      <w:r w:rsidR="00356C2C" w:rsidRPr="00C67E03">
        <w:rPr>
          <w:rFonts w:ascii="Times New Roman" w:hAnsi="Times New Roman"/>
          <w:szCs w:val="24"/>
          <w:lang w:val="bs-Latn-BA"/>
        </w:rPr>
        <w:t xml:space="preserve"> </w:t>
      </w:r>
      <w:r w:rsidR="00C6214E">
        <w:rPr>
          <w:rFonts w:ascii="Times New Roman" w:hAnsi="Times New Roman"/>
          <w:szCs w:val="24"/>
          <w:lang w:val="bs-Latn-BA"/>
        </w:rPr>
        <w:t>промотивних</w:t>
      </w:r>
      <w:r w:rsidR="00356C2C" w:rsidRPr="00C67E03">
        <w:rPr>
          <w:rFonts w:ascii="Times New Roman" w:hAnsi="Times New Roman"/>
          <w:szCs w:val="24"/>
          <w:lang w:val="bs-Latn-BA"/>
        </w:rPr>
        <w:t xml:space="preserve"> </w:t>
      </w:r>
      <w:r w:rsidR="00C6214E">
        <w:rPr>
          <w:rFonts w:ascii="Times New Roman" w:hAnsi="Times New Roman"/>
          <w:szCs w:val="24"/>
          <w:lang w:val="bs-Latn-BA"/>
        </w:rPr>
        <w:t>активности</w:t>
      </w:r>
      <w:r w:rsidR="00356C2C" w:rsidRPr="00C67E03">
        <w:rPr>
          <w:rFonts w:ascii="Times New Roman" w:hAnsi="Times New Roman"/>
          <w:szCs w:val="24"/>
          <w:lang w:val="bs-Latn-BA"/>
        </w:rPr>
        <w:t xml:space="preserve">, </w:t>
      </w:r>
      <w:r w:rsidR="00C6214E">
        <w:rPr>
          <w:rFonts w:ascii="Times New Roman" w:hAnsi="Times New Roman"/>
          <w:szCs w:val="24"/>
          <w:lang w:val="bs-Latn-BA"/>
        </w:rPr>
        <w:t>информаци</w:t>
      </w:r>
      <w:r>
        <w:rPr>
          <w:rFonts w:ascii="Times New Roman" w:hAnsi="Times New Roman"/>
          <w:szCs w:val="24"/>
          <w:lang w:val="sr-Cyrl-BA"/>
        </w:rPr>
        <w:t>оних</w:t>
      </w:r>
      <w:r w:rsidR="00356C2C" w:rsidRPr="00C67E03">
        <w:rPr>
          <w:rFonts w:ascii="Times New Roman" w:hAnsi="Times New Roman"/>
          <w:szCs w:val="24"/>
          <w:lang w:val="bs-Latn-BA"/>
        </w:rPr>
        <w:t xml:space="preserve"> </w:t>
      </w:r>
      <w:r w:rsidR="00C6214E">
        <w:rPr>
          <w:rFonts w:ascii="Times New Roman" w:hAnsi="Times New Roman"/>
          <w:szCs w:val="24"/>
          <w:lang w:val="bs-Latn-BA"/>
        </w:rPr>
        <w:t>кампања</w:t>
      </w:r>
      <w:r w:rsidR="00356C2C" w:rsidRPr="00C67E03">
        <w:rPr>
          <w:rFonts w:ascii="Times New Roman" w:hAnsi="Times New Roman"/>
          <w:szCs w:val="24"/>
          <w:lang w:val="bs-Latn-BA"/>
        </w:rPr>
        <w:t xml:space="preserve"> </w:t>
      </w:r>
      <w:r w:rsidR="00C6214E">
        <w:rPr>
          <w:rFonts w:ascii="Times New Roman" w:hAnsi="Times New Roman"/>
          <w:szCs w:val="24"/>
          <w:lang w:val="bs-Latn-BA"/>
        </w:rPr>
        <w:t>и</w:t>
      </w:r>
      <w:r w:rsidR="00356C2C" w:rsidRPr="00C67E03">
        <w:rPr>
          <w:rFonts w:ascii="Times New Roman" w:hAnsi="Times New Roman"/>
          <w:szCs w:val="24"/>
          <w:lang w:val="bs-Latn-BA"/>
        </w:rPr>
        <w:t xml:space="preserve"> </w:t>
      </w:r>
      <w:r w:rsidR="00C6214E">
        <w:rPr>
          <w:rFonts w:ascii="Times New Roman" w:hAnsi="Times New Roman"/>
          <w:szCs w:val="24"/>
          <w:lang w:val="bs-Latn-BA"/>
        </w:rPr>
        <w:t>кампања</w:t>
      </w:r>
      <w:r w:rsidR="00356C2C" w:rsidRPr="00C67E03">
        <w:rPr>
          <w:rFonts w:ascii="Times New Roman" w:hAnsi="Times New Roman"/>
          <w:szCs w:val="24"/>
          <w:lang w:val="bs-Latn-BA"/>
        </w:rPr>
        <w:t xml:space="preserve"> </w:t>
      </w:r>
      <w:r w:rsidR="00C6214E">
        <w:rPr>
          <w:rFonts w:ascii="Times New Roman" w:hAnsi="Times New Roman"/>
          <w:szCs w:val="24"/>
          <w:lang w:val="bs-Latn-BA"/>
        </w:rPr>
        <w:t>за</w:t>
      </w:r>
      <w:r w:rsidR="00356C2C" w:rsidRPr="00C67E03">
        <w:rPr>
          <w:rFonts w:ascii="Times New Roman" w:hAnsi="Times New Roman"/>
          <w:szCs w:val="24"/>
          <w:lang w:val="bs-Latn-BA"/>
        </w:rPr>
        <w:t xml:space="preserve"> </w:t>
      </w:r>
      <w:r w:rsidR="00C6214E">
        <w:rPr>
          <w:rFonts w:ascii="Times New Roman" w:hAnsi="Times New Roman"/>
          <w:szCs w:val="24"/>
          <w:lang w:val="bs-Latn-BA"/>
        </w:rPr>
        <w:t>подизање</w:t>
      </w:r>
      <w:r w:rsidR="00356C2C" w:rsidRPr="00C67E03">
        <w:rPr>
          <w:rFonts w:ascii="Times New Roman" w:hAnsi="Times New Roman"/>
          <w:szCs w:val="24"/>
          <w:lang w:val="bs-Latn-BA"/>
        </w:rPr>
        <w:t xml:space="preserve"> </w:t>
      </w:r>
      <w:r w:rsidR="00C6214E">
        <w:rPr>
          <w:rFonts w:ascii="Times New Roman" w:hAnsi="Times New Roman"/>
          <w:szCs w:val="24"/>
          <w:lang w:val="bs-Latn-BA"/>
        </w:rPr>
        <w:t>свијести</w:t>
      </w:r>
      <w:r w:rsidR="00356C2C" w:rsidRPr="00C67E03">
        <w:rPr>
          <w:rFonts w:ascii="Times New Roman" w:hAnsi="Times New Roman"/>
          <w:szCs w:val="24"/>
          <w:lang w:val="bs-Latn-BA"/>
        </w:rPr>
        <w:t xml:space="preserve"> </w:t>
      </w:r>
      <w:r w:rsidR="00C6214E">
        <w:rPr>
          <w:rFonts w:ascii="Times New Roman" w:hAnsi="Times New Roman"/>
          <w:szCs w:val="24"/>
          <w:lang w:val="bs-Latn-BA"/>
        </w:rPr>
        <w:t>о</w:t>
      </w:r>
      <w:r w:rsidR="00356C2C" w:rsidRPr="00C67E03">
        <w:rPr>
          <w:rFonts w:ascii="Times New Roman" w:hAnsi="Times New Roman"/>
          <w:szCs w:val="24"/>
          <w:lang w:val="bs-Latn-BA"/>
        </w:rPr>
        <w:t xml:space="preserve"> </w:t>
      </w:r>
      <w:r w:rsidR="00C6214E">
        <w:rPr>
          <w:rFonts w:ascii="Times New Roman" w:hAnsi="Times New Roman"/>
          <w:szCs w:val="24"/>
          <w:lang w:val="bs-Latn-BA"/>
        </w:rPr>
        <w:t>специфичностима</w:t>
      </w:r>
      <w:r w:rsidR="00356C2C" w:rsidRPr="00C67E03">
        <w:rPr>
          <w:rFonts w:ascii="Times New Roman" w:hAnsi="Times New Roman"/>
          <w:szCs w:val="24"/>
          <w:lang w:val="bs-Latn-BA"/>
        </w:rPr>
        <w:t xml:space="preserve"> </w:t>
      </w:r>
      <w:r w:rsidR="00C6214E">
        <w:rPr>
          <w:rFonts w:ascii="Times New Roman" w:hAnsi="Times New Roman"/>
          <w:szCs w:val="24"/>
          <w:lang w:val="bs-Latn-BA"/>
        </w:rPr>
        <w:t>вишеструко</w:t>
      </w:r>
      <w:r w:rsidR="00356C2C" w:rsidRPr="00C67E03">
        <w:rPr>
          <w:rFonts w:ascii="Times New Roman" w:hAnsi="Times New Roman"/>
          <w:szCs w:val="24"/>
          <w:lang w:val="bs-Latn-BA"/>
        </w:rPr>
        <w:t xml:space="preserve"> </w:t>
      </w:r>
      <w:r w:rsidR="00C6214E">
        <w:rPr>
          <w:rFonts w:ascii="Times New Roman" w:hAnsi="Times New Roman"/>
          <w:szCs w:val="24"/>
          <w:lang w:val="bs-Latn-BA"/>
        </w:rPr>
        <w:t>маргинализ</w:t>
      </w:r>
      <w:r>
        <w:rPr>
          <w:rFonts w:ascii="Times New Roman" w:hAnsi="Times New Roman"/>
          <w:szCs w:val="24"/>
          <w:lang w:val="sr-Cyrl-BA"/>
        </w:rPr>
        <w:t>ованих</w:t>
      </w:r>
      <w:r w:rsidR="00356C2C" w:rsidRPr="00C67E03">
        <w:rPr>
          <w:rFonts w:ascii="Times New Roman" w:hAnsi="Times New Roman"/>
          <w:szCs w:val="24"/>
          <w:lang w:val="bs-Latn-BA"/>
        </w:rPr>
        <w:t xml:space="preserve"> </w:t>
      </w:r>
      <w:r w:rsidR="00C6214E">
        <w:rPr>
          <w:rFonts w:ascii="Times New Roman" w:hAnsi="Times New Roman"/>
          <w:szCs w:val="24"/>
          <w:lang w:val="bs-Latn-BA"/>
        </w:rPr>
        <w:t>група</w:t>
      </w:r>
      <w:r w:rsidR="00356C2C" w:rsidRPr="00C67E03">
        <w:rPr>
          <w:rFonts w:ascii="Times New Roman" w:hAnsi="Times New Roman"/>
          <w:szCs w:val="24"/>
          <w:lang w:val="bs-Latn-BA"/>
        </w:rPr>
        <w:t xml:space="preserve">, </w:t>
      </w:r>
      <w:r w:rsidR="00C6214E">
        <w:rPr>
          <w:rFonts w:ascii="Times New Roman" w:hAnsi="Times New Roman"/>
          <w:szCs w:val="24"/>
          <w:lang w:val="bs-Latn-BA"/>
        </w:rPr>
        <w:t>које</w:t>
      </w:r>
      <w:r w:rsidR="00356C2C" w:rsidRPr="00C67E03">
        <w:rPr>
          <w:rFonts w:ascii="Times New Roman" w:hAnsi="Times New Roman"/>
          <w:szCs w:val="24"/>
          <w:lang w:val="bs-Latn-BA"/>
        </w:rPr>
        <w:t xml:space="preserve"> </w:t>
      </w:r>
      <w:r w:rsidR="00C6214E">
        <w:rPr>
          <w:rFonts w:ascii="Times New Roman" w:hAnsi="Times New Roman"/>
          <w:szCs w:val="24"/>
          <w:lang w:val="bs-Latn-BA"/>
        </w:rPr>
        <w:t>су</w:t>
      </w:r>
      <w:r w:rsidR="00356C2C" w:rsidRPr="00C67E03">
        <w:rPr>
          <w:rFonts w:ascii="Times New Roman" w:hAnsi="Times New Roman"/>
          <w:szCs w:val="24"/>
          <w:lang w:val="bs-Latn-BA"/>
        </w:rPr>
        <w:t xml:space="preserve"> </w:t>
      </w:r>
      <w:r w:rsidR="00C6214E">
        <w:rPr>
          <w:rFonts w:ascii="Times New Roman" w:hAnsi="Times New Roman"/>
          <w:szCs w:val="24"/>
          <w:lang w:val="bs-Latn-BA"/>
        </w:rPr>
        <w:t>у</w:t>
      </w:r>
      <w:r w:rsidR="00356C2C" w:rsidRPr="00C67E03">
        <w:rPr>
          <w:rFonts w:ascii="Times New Roman" w:hAnsi="Times New Roman"/>
          <w:szCs w:val="24"/>
          <w:lang w:val="bs-Latn-BA"/>
        </w:rPr>
        <w:t xml:space="preserve"> </w:t>
      </w:r>
      <w:r w:rsidR="00C6214E">
        <w:rPr>
          <w:rFonts w:ascii="Times New Roman" w:hAnsi="Times New Roman"/>
          <w:szCs w:val="24"/>
          <w:lang w:val="bs-Latn-BA"/>
        </w:rPr>
        <w:t>ризику</w:t>
      </w:r>
      <w:r w:rsidR="00356C2C" w:rsidRPr="00C67E03">
        <w:rPr>
          <w:rFonts w:ascii="Times New Roman" w:hAnsi="Times New Roman"/>
          <w:szCs w:val="24"/>
          <w:lang w:val="bs-Latn-BA"/>
        </w:rPr>
        <w:t xml:space="preserve"> </w:t>
      </w:r>
      <w:r w:rsidR="00C6214E">
        <w:rPr>
          <w:rFonts w:ascii="Times New Roman" w:hAnsi="Times New Roman"/>
          <w:szCs w:val="24"/>
          <w:lang w:val="bs-Latn-BA"/>
        </w:rPr>
        <w:t>од</w:t>
      </w:r>
      <w:r w:rsidR="00356C2C" w:rsidRPr="00C67E03">
        <w:rPr>
          <w:rFonts w:ascii="Times New Roman" w:hAnsi="Times New Roman"/>
          <w:szCs w:val="24"/>
          <w:lang w:val="bs-Latn-BA"/>
        </w:rPr>
        <w:t xml:space="preserve"> </w:t>
      </w:r>
      <w:r w:rsidR="00C6214E">
        <w:rPr>
          <w:rFonts w:ascii="Times New Roman" w:hAnsi="Times New Roman"/>
          <w:szCs w:val="24"/>
          <w:lang w:val="bs-Latn-BA"/>
        </w:rPr>
        <w:t>насиља</w:t>
      </w:r>
      <w:r w:rsidR="00356C2C" w:rsidRPr="00C67E03">
        <w:rPr>
          <w:rFonts w:ascii="Times New Roman" w:hAnsi="Times New Roman"/>
          <w:szCs w:val="24"/>
          <w:lang w:val="bs-Latn-BA"/>
        </w:rPr>
        <w:t xml:space="preserve"> </w:t>
      </w:r>
      <w:r w:rsidR="00C6214E">
        <w:rPr>
          <w:rFonts w:ascii="Times New Roman" w:hAnsi="Times New Roman"/>
          <w:szCs w:val="24"/>
          <w:lang w:val="bs-Latn-BA"/>
        </w:rPr>
        <w:t>на</w:t>
      </w:r>
      <w:r w:rsidR="00356C2C" w:rsidRPr="00C67E03">
        <w:rPr>
          <w:rFonts w:ascii="Times New Roman" w:hAnsi="Times New Roman"/>
          <w:szCs w:val="24"/>
          <w:lang w:val="bs-Latn-BA"/>
        </w:rPr>
        <w:t xml:space="preserve"> </w:t>
      </w:r>
      <w:r w:rsidR="00C6214E">
        <w:rPr>
          <w:rFonts w:ascii="Times New Roman" w:hAnsi="Times New Roman"/>
          <w:szCs w:val="24"/>
          <w:lang w:val="bs-Latn-BA"/>
        </w:rPr>
        <w:t>основу</w:t>
      </w:r>
      <w:r w:rsidR="00356C2C" w:rsidRPr="00C67E03">
        <w:rPr>
          <w:rFonts w:ascii="Times New Roman" w:hAnsi="Times New Roman"/>
          <w:szCs w:val="24"/>
          <w:lang w:val="bs-Latn-BA"/>
        </w:rPr>
        <w:t xml:space="preserve"> </w:t>
      </w:r>
      <w:r w:rsidR="00C6214E">
        <w:rPr>
          <w:rFonts w:ascii="Times New Roman" w:hAnsi="Times New Roman"/>
          <w:szCs w:val="24"/>
          <w:lang w:val="bs-Latn-BA"/>
        </w:rPr>
        <w:t>пола</w:t>
      </w:r>
      <w:r w:rsidR="00356C2C" w:rsidRPr="00C67E03">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C67E03">
        <w:rPr>
          <w:rFonts w:ascii="Times New Roman" w:hAnsi="Times New Roman"/>
          <w:szCs w:val="24"/>
          <w:lang w:val="bs-Latn-BA"/>
        </w:rPr>
        <w:t xml:space="preserve"> </w:t>
      </w:r>
      <w:r w:rsidR="00C6214E">
        <w:rPr>
          <w:rFonts w:ascii="Times New Roman" w:hAnsi="Times New Roman"/>
          <w:szCs w:val="24"/>
          <w:lang w:val="bs-Latn-BA"/>
        </w:rPr>
        <w:t>и</w:t>
      </w:r>
      <w:r w:rsidR="00356C2C" w:rsidRPr="00C67E03">
        <w:rPr>
          <w:rFonts w:ascii="Times New Roman" w:hAnsi="Times New Roman"/>
          <w:szCs w:val="24"/>
          <w:lang w:val="bs-Latn-BA"/>
        </w:rPr>
        <w:t xml:space="preserve"> </w:t>
      </w:r>
      <w:r w:rsidR="00C6214E">
        <w:rPr>
          <w:rFonts w:ascii="Times New Roman" w:hAnsi="Times New Roman"/>
          <w:szCs w:val="24"/>
          <w:lang w:val="bs-Latn-BA"/>
        </w:rPr>
        <w:t>трговину</w:t>
      </w:r>
      <w:r w:rsidR="00356C2C" w:rsidRPr="00C67E03">
        <w:rPr>
          <w:rFonts w:ascii="Times New Roman" w:hAnsi="Times New Roman"/>
          <w:szCs w:val="24"/>
          <w:lang w:val="bs-Latn-BA"/>
        </w:rPr>
        <w:t xml:space="preserve"> </w:t>
      </w:r>
      <w:r w:rsidR="00C6214E">
        <w:rPr>
          <w:rFonts w:ascii="Times New Roman" w:hAnsi="Times New Roman"/>
          <w:szCs w:val="24"/>
          <w:lang w:val="bs-Latn-BA"/>
        </w:rPr>
        <w:t>људима</w:t>
      </w:r>
    </w:p>
    <w:p w:rsidR="00C142CC" w:rsidRPr="00295637" w:rsidRDefault="00C142CC" w:rsidP="0086268D">
      <w:pPr>
        <w:tabs>
          <w:tab w:val="center" w:pos="4703"/>
          <w:tab w:val="right" w:pos="9406"/>
        </w:tabs>
        <w:jc w:val="both"/>
        <w:rPr>
          <w:rFonts w:ascii="Times New Roman" w:hAnsi="Times New Roman"/>
          <w:szCs w:val="24"/>
        </w:rPr>
      </w:pPr>
    </w:p>
    <w:p w:rsidR="00317218" w:rsidRPr="00295637" w:rsidRDefault="005F49F6" w:rsidP="0086268D">
      <w:pPr>
        <w:tabs>
          <w:tab w:val="center" w:pos="4703"/>
          <w:tab w:val="right" w:pos="9406"/>
        </w:tabs>
        <w:jc w:val="both"/>
        <w:rPr>
          <w:rFonts w:ascii="Times New Roman" w:hAnsi="Times New Roman"/>
          <w:szCs w:val="24"/>
        </w:rPr>
      </w:pPr>
      <w:r>
        <w:rPr>
          <w:rFonts w:ascii="Times New Roman" w:hAnsi="Times New Roman"/>
          <w:szCs w:val="24"/>
        </w:rPr>
        <w:t>АР</w:t>
      </w:r>
      <w:r>
        <w:rPr>
          <w:rFonts w:ascii="Times New Roman" w:hAnsi="Times New Roman"/>
          <w:szCs w:val="24"/>
          <w:lang w:val="sr-Cyrl-BA"/>
        </w:rPr>
        <w:t>П</w:t>
      </w:r>
      <w:r w:rsidR="00C67E03">
        <w:rPr>
          <w:rFonts w:ascii="Times New Roman" w:hAnsi="Times New Roman"/>
          <w:szCs w:val="24"/>
        </w:rPr>
        <w:t xml:space="preserve"> </w:t>
      </w:r>
      <w:r w:rsidR="00C6214E">
        <w:rPr>
          <w:rFonts w:ascii="Times New Roman" w:hAnsi="Times New Roman"/>
          <w:szCs w:val="24"/>
        </w:rPr>
        <w:t>БиХ</w:t>
      </w:r>
      <w:r w:rsidR="00C67E03">
        <w:rPr>
          <w:rFonts w:ascii="Times New Roman" w:hAnsi="Times New Roman"/>
          <w:szCs w:val="24"/>
        </w:rPr>
        <w:t xml:space="preserve"> </w:t>
      </w:r>
      <w:r w:rsidR="00C6214E">
        <w:rPr>
          <w:rFonts w:ascii="Times New Roman" w:hAnsi="Times New Roman"/>
          <w:szCs w:val="24"/>
        </w:rPr>
        <w:t>МЉПИ</w:t>
      </w:r>
      <w:r w:rsidR="00C67E03">
        <w:rPr>
          <w:rFonts w:ascii="Times New Roman" w:hAnsi="Times New Roman"/>
          <w:szCs w:val="24"/>
        </w:rPr>
        <w:t xml:space="preserve"> </w:t>
      </w:r>
      <w:r w:rsidR="00C6214E">
        <w:rPr>
          <w:rFonts w:ascii="Times New Roman" w:hAnsi="Times New Roman"/>
          <w:szCs w:val="24"/>
        </w:rPr>
        <w:t>БиХ</w:t>
      </w:r>
      <w:r w:rsidR="009E54A2" w:rsidRPr="00295637">
        <w:rPr>
          <w:rFonts w:ascii="Times New Roman" w:hAnsi="Times New Roman"/>
          <w:szCs w:val="24"/>
        </w:rPr>
        <w:t xml:space="preserve"> </w:t>
      </w:r>
      <w:r>
        <w:rPr>
          <w:rFonts w:ascii="Times New Roman" w:hAnsi="Times New Roman"/>
          <w:szCs w:val="24"/>
        </w:rPr>
        <w:t xml:space="preserve">је </w:t>
      </w:r>
      <w:r w:rsidR="00C6214E">
        <w:rPr>
          <w:rFonts w:ascii="Times New Roman" w:hAnsi="Times New Roman"/>
          <w:szCs w:val="24"/>
        </w:rPr>
        <w:t>сачинила</w:t>
      </w:r>
      <w:r w:rsidR="00317218" w:rsidRPr="00295637">
        <w:rPr>
          <w:rFonts w:ascii="Times New Roman" w:hAnsi="Times New Roman"/>
          <w:szCs w:val="24"/>
        </w:rPr>
        <w:t xml:space="preserve"> </w:t>
      </w:r>
      <w:r w:rsidR="00C6214E">
        <w:rPr>
          <w:rFonts w:ascii="Times New Roman" w:hAnsi="Times New Roman"/>
          <w:szCs w:val="24"/>
        </w:rPr>
        <w:t>први</w:t>
      </w:r>
      <w:r w:rsidR="00317218" w:rsidRPr="00295637">
        <w:rPr>
          <w:rFonts w:ascii="Times New Roman" w:hAnsi="Times New Roman"/>
          <w:szCs w:val="24"/>
        </w:rPr>
        <w:t xml:space="preserve"> </w:t>
      </w:r>
      <w:r w:rsidR="00C6214E">
        <w:rPr>
          <w:rFonts w:ascii="Times New Roman" w:hAnsi="Times New Roman"/>
          <w:szCs w:val="24"/>
        </w:rPr>
        <w:t>годишњи</w:t>
      </w:r>
      <w:r w:rsidR="00317218" w:rsidRPr="00295637">
        <w:rPr>
          <w:rFonts w:ascii="Times New Roman" w:hAnsi="Times New Roman"/>
          <w:szCs w:val="24"/>
        </w:rPr>
        <w:t xml:space="preserve"> </w:t>
      </w:r>
      <w:r w:rsidR="00C6214E">
        <w:rPr>
          <w:rFonts w:ascii="Times New Roman" w:hAnsi="Times New Roman"/>
          <w:szCs w:val="24"/>
        </w:rPr>
        <w:t>извјештај</w:t>
      </w:r>
      <w:r w:rsidR="00317218" w:rsidRPr="00295637">
        <w:rPr>
          <w:rFonts w:ascii="Times New Roman" w:hAnsi="Times New Roman"/>
          <w:szCs w:val="24"/>
        </w:rPr>
        <w:t xml:space="preserve"> </w:t>
      </w:r>
      <w:r w:rsidR="00C6214E">
        <w:rPr>
          <w:rFonts w:ascii="Times New Roman" w:hAnsi="Times New Roman"/>
          <w:szCs w:val="24"/>
        </w:rPr>
        <w:t>о</w:t>
      </w:r>
      <w:r w:rsidR="00317218" w:rsidRPr="00295637">
        <w:rPr>
          <w:rFonts w:ascii="Times New Roman" w:hAnsi="Times New Roman"/>
          <w:szCs w:val="24"/>
        </w:rPr>
        <w:t xml:space="preserve"> </w:t>
      </w:r>
      <w:r>
        <w:rPr>
          <w:rFonts w:ascii="Times New Roman" w:hAnsi="Times New Roman"/>
          <w:szCs w:val="24"/>
          <w:lang w:val="sr-Cyrl-BA"/>
        </w:rPr>
        <w:t>спровођењу</w:t>
      </w:r>
      <w:r w:rsidR="00317218" w:rsidRPr="00295637">
        <w:rPr>
          <w:rFonts w:ascii="Times New Roman" w:hAnsi="Times New Roman"/>
          <w:szCs w:val="24"/>
        </w:rPr>
        <w:t xml:space="preserve"> </w:t>
      </w:r>
      <w:r w:rsidR="00C6214E">
        <w:rPr>
          <w:rFonts w:ascii="Times New Roman" w:hAnsi="Times New Roman"/>
          <w:szCs w:val="24"/>
        </w:rPr>
        <w:t>Акционог</w:t>
      </w:r>
      <w:r w:rsidR="00504358" w:rsidRPr="00295637">
        <w:rPr>
          <w:rFonts w:ascii="Times New Roman" w:hAnsi="Times New Roman"/>
          <w:szCs w:val="24"/>
        </w:rPr>
        <w:t xml:space="preserve"> </w:t>
      </w:r>
      <w:r w:rsidR="00C6214E">
        <w:rPr>
          <w:rFonts w:ascii="Times New Roman" w:hAnsi="Times New Roman"/>
          <w:szCs w:val="24"/>
        </w:rPr>
        <w:t>плана</w:t>
      </w:r>
      <w:r w:rsidR="00504358" w:rsidRPr="00295637">
        <w:rPr>
          <w:rFonts w:ascii="Times New Roman" w:hAnsi="Times New Roman"/>
          <w:szCs w:val="24"/>
        </w:rPr>
        <w:t xml:space="preserve"> </w:t>
      </w:r>
      <w:r w:rsidR="00C6214E">
        <w:rPr>
          <w:rFonts w:ascii="Times New Roman" w:hAnsi="Times New Roman"/>
          <w:szCs w:val="24"/>
        </w:rPr>
        <w:t>за</w:t>
      </w:r>
      <w:r w:rsidR="00504358" w:rsidRPr="00295637">
        <w:rPr>
          <w:rFonts w:ascii="Times New Roman" w:hAnsi="Times New Roman"/>
          <w:szCs w:val="24"/>
        </w:rPr>
        <w:t xml:space="preserve"> </w:t>
      </w:r>
      <w:r w:rsidR="00C6214E">
        <w:rPr>
          <w:rFonts w:ascii="Times New Roman" w:hAnsi="Times New Roman"/>
          <w:szCs w:val="24"/>
        </w:rPr>
        <w:t>унапређење</w:t>
      </w:r>
      <w:r w:rsidR="00504358" w:rsidRPr="00295637">
        <w:rPr>
          <w:rFonts w:ascii="Times New Roman" w:hAnsi="Times New Roman"/>
          <w:szCs w:val="24"/>
        </w:rPr>
        <w:t xml:space="preserve"> </w:t>
      </w:r>
      <w:r w:rsidR="00C6214E">
        <w:rPr>
          <w:rFonts w:ascii="Times New Roman" w:hAnsi="Times New Roman"/>
          <w:szCs w:val="24"/>
        </w:rPr>
        <w:t>људских</w:t>
      </w:r>
      <w:r w:rsidR="00504358" w:rsidRPr="00295637">
        <w:rPr>
          <w:rFonts w:ascii="Times New Roman" w:hAnsi="Times New Roman"/>
          <w:szCs w:val="24"/>
        </w:rPr>
        <w:t xml:space="preserve"> </w:t>
      </w:r>
      <w:r w:rsidR="00C6214E">
        <w:rPr>
          <w:rFonts w:ascii="Times New Roman" w:hAnsi="Times New Roman"/>
          <w:szCs w:val="24"/>
        </w:rPr>
        <w:t>права</w:t>
      </w:r>
      <w:r w:rsidR="00504358" w:rsidRPr="00295637">
        <w:rPr>
          <w:rFonts w:ascii="Times New Roman" w:hAnsi="Times New Roman"/>
          <w:szCs w:val="24"/>
        </w:rPr>
        <w:t xml:space="preserve"> </w:t>
      </w:r>
      <w:r w:rsidR="00C6214E">
        <w:rPr>
          <w:rFonts w:ascii="Times New Roman" w:hAnsi="Times New Roman"/>
          <w:szCs w:val="24"/>
        </w:rPr>
        <w:t>и</w:t>
      </w:r>
      <w:r w:rsidR="00504358" w:rsidRPr="00295637">
        <w:rPr>
          <w:rFonts w:ascii="Times New Roman" w:hAnsi="Times New Roman"/>
          <w:szCs w:val="24"/>
        </w:rPr>
        <w:t xml:space="preserve"> </w:t>
      </w:r>
      <w:r w:rsidR="00C6214E">
        <w:rPr>
          <w:rFonts w:ascii="Times New Roman" w:hAnsi="Times New Roman"/>
          <w:szCs w:val="24"/>
        </w:rPr>
        <w:t>основних</w:t>
      </w:r>
      <w:r w:rsidR="00504358" w:rsidRPr="00295637">
        <w:rPr>
          <w:rFonts w:ascii="Times New Roman" w:hAnsi="Times New Roman"/>
          <w:szCs w:val="24"/>
        </w:rPr>
        <w:t xml:space="preserve"> </w:t>
      </w:r>
      <w:r w:rsidR="00C6214E">
        <w:rPr>
          <w:rFonts w:ascii="Times New Roman" w:hAnsi="Times New Roman"/>
          <w:szCs w:val="24"/>
        </w:rPr>
        <w:t>слобода</w:t>
      </w:r>
      <w:r w:rsidR="00504358" w:rsidRPr="00295637">
        <w:rPr>
          <w:rFonts w:ascii="Times New Roman" w:hAnsi="Times New Roman"/>
          <w:szCs w:val="24"/>
        </w:rPr>
        <w:t xml:space="preserve"> </w:t>
      </w:r>
      <w:r w:rsidR="00C6214E">
        <w:rPr>
          <w:rFonts w:ascii="Times New Roman" w:hAnsi="Times New Roman"/>
          <w:szCs w:val="24"/>
        </w:rPr>
        <w:t>ЛГБТИ</w:t>
      </w:r>
      <w:r w:rsidR="00504358" w:rsidRPr="00295637">
        <w:rPr>
          <w:rFonts w:ascii="Times New Roman" w:hAnsi="Times New Roman"/>
          <w:szCs w:val="24"/>
        </w:rPr>
        <w:t xml:space="preserve"> </w:t>
      </w:r>
      <w:r w:rsidR="00C6214E">
        <w:rPr>
          <w:rFonts w:ascii="Times New Roman" w:hAnsi="Times New Roman"/>
          <w:szCs w:val="24"/>
        </w:rPr>
        <w:t>лица</w:t>
      </w:r>
      <w:r w:rsidR="00504358" w:rsidRPr="00295637">
        <w:rPr>
          <w:rFonts w:ascii="Times New Roman" w:hAnsi="Times New Roman"/>
          <w:szCs w:val="24"/>
        </w:rPr>
        <w:t xml:space="preserve"> </w:t>
      </w:r>
      <w:r w:rsidR="00C6214E">
        <w:rPr>
          <w:rFonts w:ascii="Times New Roman" w:hAnsi="Times New Roman"/>
          <w:szCs w:val="24"/>
        </w:rPr>
        <w:t>у</w:t>
      </w:r>
      <w:r w:rsidR="00504358" w:rsidRPr="00295637">
        <w:rPr>
          <w:rFonts w:ascii="Times New Roman" w:hAnsi="Times New Roman"/>
          <w:szCs w:val="24"/>
        </w:rPr>
        <w:t xml:space="preserve"> </w:t>
      </w:r>
      <w:r w:rsidR="00C6214E">
        <w:rPr>
          <w:rFonts w:ascii="Times New Roman" w:hAnsi="Times New Roman"/>
          <w:szCs w:val="24"/>
        </w:rPr>
        <w:t>Босни</w:t>
      </w:r>
      <w:r w:rsidR="00504358" w:rsidRPr="00295637">
        <w:rPr>
          <w:rFonts w:ascii="Times New Roman" w:hAnsi="Times New Roman"/>
          <w:szCs w:val="24"/>
        </w:rPr>
        <w:t xml:space="preserve"> </w:t>
      </w:r>
      <w:r w:rsidR="00C6214E">
        <w:rPr>
          <w:rFonts w:ascii="Times New Roman" w:hAnsi="Times New Roman"/>
          <w:szCs w:val="24"/>
        </w:rPr>
        <w:t>и</w:t>
      </w:r>
      <w:r w:rsidR="00504358" w:rsidRPr="00295637">
        <w:rPr>
          <w:rFonts w:ascii="Times New Roman" w:hAnsi="Times New Roman"/>
          <w:szCs w:val="24"/>
        </w:rPr>
        <w:t xml:space="preserve"> </w:t>
      </w:r>
      <w:r w:rsidR="00C6214E">
        <w:rPr>
          <w:rFonts w:ascii="Times New Roman" w:hAnsi="Times New Roman"/>
          <w:szCs w:val="24"/>
        </w:rPr>
        <w:t>Херцеговини</w:t>
      </w:r>
      <w:r w:rsidR="00504358" w:rsidRPr="00295637">
        <w:rPr>
          <w:rFonts w:ascii="Times New Roman" w:hAnsi="Times New Roman"/>
          <w:szCs w:val="24"/>
        </w:rPr>
        <w:t xml:space="preserve"> </w:t>
      </w:r>
      <w:r w:rsidR="00C6214E">
        <w:rPr>
          <w:rFonts w:ascii="Times New Roman" w:hAnsi="Times New Roman"/>
          <w:szCs w:val="24"/>
        </w:rPr>
        <w:t>за</w:t>
      </w:r>
      <w:r w:rsidR="00317218" w:rsidRPr="00295637">
        <w:rPr>
          <w:rFonts w:ascii="Times New Roman" w:hAnsi="Times New Roman"/>
          <w:szCs w:val="24"/>
        </w:rPr>
        <w:t xml:space="preserve"> </w:t>
      </w:r>
      <w:r w:rsidR="00C6214E">
        <w:rPr>
          <w:rFonts w:ascii="Times New Roman" w:hAnsi="Times New Roman"/>
          <w:szCs w:val="24"/>
        </w:rPr>
        <w:t>извјештајни</w:t>
      </w:r>
      <w:r w:rsidR="00317218" w:rsidRPr="00295637">
        <w:rPr>
          <w:rFonts w:ascii="Times New Roman" w:hAnsi="Times New Roman"/>
          <w:szCs w:val="24"/>
        </w:rPr>
        <w:t xml:space="preserve"> </w:t>
      </w:r>
      <w:r w:rsidR="00C6214E">
        <w:rPr>
          <w:rFonts w:ascii="Times New Roman" w:hAnsi="Times New Roman"/>
          <w:szCs w:val="24"/>
        </w:rPr>
        <w:t>период</w:t>
      </w:r>
      <w:r w:rsidR="00317218" w:rsidRPr="00295637">
        <w:rPr>
          <w:rFonts w:ascii="Times New Roman" w:hAnsi="Times New Roman"/>
          <w:szCs w:val="24"/>
        </w:rPr>
        <w:t xml:space="preserve"> </w:t>
      </w:r>
      <w:r>
        <w:rPr>
          <w:rFonts w:ascii="Times New Roman" w:hAnsi="Times New Roman"/>
          <w:szCs w:val="24"/>
        </w:rPr>
        <w:t>јул</w:t>
      </w:r>
      <w:r w:rsidR="001F2BA1" w:rsidRPr="00295637">
        <w:rPr>
          <w:rFonts w:ascii="Times New Roman" w:hAnsi="Times New Roman"/>
          <w:szCs w:val="24"/>
        </w:rPr>
        <w:t xml:space="preserve"> 2022</w:t>
      </w:r>
      <w:r w:rsidR="00C67E03">
        <w:rPr>
          <w:rFonts w:ascii="Times New Roman" w:hAnsi="Times New Roman"/>
          <w:szCs w:val="24"/>
        </w:rPr>
        <w:t>.</w:t>
      </w:r>
      <w:r w:rsidR="001F2BA1" w:rsidRPr="00295637">
        <w:rPr>
          <w:rFonts w:ascii="Times New Roman" w:hAnsi="Times New Roman"/>
          <w:szCs w:val="24"/>
        </w:rPr>
        <w:t xml:space="preserve"> – </w:t>
      </w:r>
      <w:r w:rsidR="00C6214E">
        <w:rPr>
          <w:rFonts w:ascii="Times New Roman" w:hAnsi="Times New Roman"/>
          <w:szCs w:val="24"/>
        </w:rPr>
        <w:t>децембар</w:t>
      </w:r>
      <w:r w:rsidR="001F2BA1" w:rsidRPr="00295637">
        <w:rPr>
          <w:rFonts w:ascii="Times New Roman" w:hAnsi="Times New Roman"/>
          <w:szCs w:val="24"/>
        </w:rPr>
        <w:t xml:space="preserve"> 2023. </w:t>
      </w:r>
      <w:r w:rsidR="00C6214E">
        <w:rPr>
          <w:rFonts w:ascii="Times New Roman" w:hAnsi="Times New Roman"/>
          <w:szCs w:val="24"/>
        </w:rPr>
        <w:t>године</w:t>
      </w:r>
      <w:r w:rsidR="001F2BA1" w:rsidRPr="00295637">
        <w:rPr>
          <w:rFonts w:ascii="Times New Roman" w:hAnsi="Times New Roman"/>
          <w:szCs w:val="24"/>
        </w:rPr>
        <w:t xml:space="preserve"> </w:t>
      </w:r>
      <w:r w:rsidR="00C6214E">
        <w:rPr>
          <w:rFonts w:ascii="Times New Roman" w:hAnsi="Times New Roman"/>
          <w:szCs w:val="24"/>
        </w:rPr>
        <w:t>који</w:t>
      </w:r>
      <w:r w:rsidR="001F2BA1" w:rsidRPr="00295637">
        <w:rPr>
          <w:rFonts w:ascii="Times New Roman" w:hAnsi="Times New Roman"/>
          <w:szCs w:val="24"/>
        </w:rPr>
        <w:t xml:space="preserve"> </w:t>
      </w:r>
      <w:r w:rsidR="00C6214E">
        <w:rPr>
          <w:rFonts w:ascii="Times New Roman" w:hAnsi="Times New Roman"/>
          <w:szCs w:val="24"/>
        </w:rPr>
        <w:t>је</w:t>
      </w:r>
      <w:r w:rsidR="001F2BA1" w:rsidRPr="00295637">
        <w:rPr>
          <w:rFonts w:ascii="Times New Roman" w:hAnsi="Times New Roman"/>
          <w:szCs w:val="24"/>
        </w:rPr>
        <w:t xml:space="preserve"> </w:t>
      </w:r>
      <w:r w:rsidR="00C6214E">
        <w:rPr>
          <w:rFonts w:ascii="Times New Roman" w:hAnsi="Times New Roman"/>
          <w:szCs w:val="24"/>
        </w:rPr>
        <w:t>усвојен</w:t>
      </w:r>
      <w:r w:rsidR="00317218" w:rsidRPr="00295637">
        <w:rPr>
          <w:rFonts w:ascii="Times New Roman" w:hAnsi="Times New Roman"/>
          <w:szCs w:val="24"/>
        </w:rPr>
        <w:t xml:space="preserve"> </w:t>
      </w:r>
      <w:r w:rsidR="00C6214E">
        <w:rPr>
          <w:rFonts w:ascii="Times New Roman" w:hAnsi="Times New Roman"/>
          <w:szCs w:val="24"/>
        </w:rPr>
        <w:t>на</w:t>
      </w:r>
      <w:r w:rsidR="00317218" w:rsidRPr="00295637">
        <w:rPr>
          <w:rFonts w:ascii="Times New Roman" w:hAnsi="Times New Roman"/>
          <w:szCs w:val="24"/>
        </w:rPr>
        <w:t xml:space="preserve"> 61.</w:t>
      </w:r>
      <w:r w:rsidR="00504358" w:rsidRPr="00295637">
        <w:rPr>
          <w:rFonts w:ascii="Times New Roman" w:hAnsi="Times New Roman"/>
          <w:szCs w:val="24"/>
        </w:rPr>
        <w:t xml:space="preserve"> </w:t>
      </w:r>
      <w:r w:rsidR="00C6214E">
        <w:rPr>
          <w:rFonts w:ascii="Times New Roman" w:hAnsi="Times New Roman"/>
          <w:szCs w:val="24"/>
        </w:rPr>
        <w:t>сједници</w:t>
      </w:r>
      <w:r w:rsidR="001F2BA1" w:rsidRPr="00295637">
        <w:rPr>
          <w:rFonts w:ascii="Times New Roman" w:hAnsi="Times New Roman"/>
          <w:szCs w:val="24"/>
        </w:rPr>
        <w:t xml:space="preserve"> </w:t>
      </w:r>
      <w:r>
        <w:rPr>
          <w:rFonts w:ascii="Times New Roman" w:hAnsi="Times New Roman"/>
          <w:szCs w:val="24"/>
          <w:lang w:val="sr-Cyrl-BA"/>
        </w:rPr>
        <w:t>Савјета</w:t>
      </w:r>
      <w:r w:rsidR="001F2BA1" w:rsidRPr="00295637">
        <w:rPr>
          <w:rFonts w:ascii="Times New Roman" w:hAnsi="Times New Roman"/>
          <w:szCs w:val="24"/>
        </w:rPr>
        <w:t xml:space="preserve"> </w:t>
      </w:r>
      <w:r w:rsidR="00C6214E">
        <w:rPr>
          <w:rFonts w:ascii="Times New Roman" w:hAnsi="Times New Roman"/>
          <w:szCs w:val="24"/>
        </w:rPr>
        <w:t>министара</w:t>
      </w:r>
      <w:r w:rsidR="001F2BA1" w:rsidRPr="00295637">
        <w:rPr>
          <w:rFonts w:ascii="Times New Roman" w:hAnsi="Times New Roman"/>
          <w:szCs w:val="24"/>
        </w:rPr>
        <w:t xml:space="preserve"> </w:t>
      </w:r>
      <w:r w:rsidR="00C6214E">
        <w:rPr>
          <w:rFonts w:ascii="Times New Roman" w:hAnsi="Times New Roman"/>
          <w:szCs w:val="24"/>
        </w:rPr>
        <w:t>БиХ</w:t>
      </w:r>
      <w:r w:rsidR="00504358" w:rsidRPr="00295637">
        <w:rPr>
          <w:rFonts w:ascii="Times New Roman" w:hAnsi="Times New Roman"/>
          <w:szCs w:val="24"/>
        </w:rPr>
        <w:t xml:space="preserve">, </w:t>
      </w:r>
      <w:r w:rsidR="00C6214E">
        <w:rPr>
          <w:rFonts w:ascii="Times New Roman" w:hAnsi="Times New Roman"/>
          <w:szCs w:val="24"/>
        </w:rPr>
        <w:t>одржаној</w:t>
      </w:r>
      <w:r w:rsidR="00504358" w:rsidRPr="00295637">
        <w:rPr>
          <w:rFonts w:ascii="Times New Roman" w:hAnsi="Times New Roman"/>
          <w:szCs w:val="24"/>
        </w:rPr>
        <w:t xml:space="preserve"> </w:t>
      </w:r>
      <w:r w:rsidR="00C6214E">
        <w:rPr>
          <w:rFonts w:ascii="Times New Roman" w:hAnsi="Times New Roman"/>
          <w:szCs w:val="24"/>
        </w:rPr>
        <w:t>октобра</w:t>
      </w:r>
      <w:r w:rsidR="00504358" w:rsidRPr="00295637">
        <w:rPr>
          <w:rFonts w:ascii="Times New Roman" w:hAnsi="Times New Roman"/>
          <w:szCs w:val="24"/>
        </w:rPr>
        <w:t xml:space="preserve"> 2024</w:t>
      </w:r>
      <w:r w:rsidR="00317218" w:rsidRPr="00295637">
        <w:rPr>
          <w:rFonts w:ascii="Times New Roman" w:hAnsi="Times New Roman"/>
          <w:szCs w:val="24"/>
        </w:rPr>
        <w:t xml:space="preserve">. </w:t>
      </w:r>
      <w:r w:rsidR="00C6214E">
        <w:rPr>
          <w:rFonts w:ascii="Times New Roman" w:hAnsi="Times New Roman"/>
          <w:szCs w:val="24"/>
        </w:rPr>
        <w:t>године</w:t>
      </w:r>
      <w:r w:rsidR="001F2BA1" w:rsidRPr="00295637">
        <w:rPr>
          <w:rFonts w:ascii="Times New Roman" w:hAnsi="Times New Roman"/>
          <w:szCs w:val="24"/>
        </w:rPr>
        <w:t>.</w:t>
      </w:r>
      <w:r w:rsidR="00317218" w:rsidRPr="00295637">
        <w:rPr>
          <w:rFonts w:ascii="Times New Roman" w:hAnsi="Times New Roman"/>
          <w:szCs w:val="24"/>
        </w:rPr>
        <w:t xml:space="preserve"> </w:t>
      </w:r>
      <w:r w:rsidR="00C6214E">
        <w:rPr>
          <w:rFonts w:ascii="Times New Roman" w:hAnsi="Times New Roman"/>
          <w:szCs w:val="24"/>
        </w:rPr>
        <w:t>Извјештај</w:t>
      </w:r>
      <w:r w:rsidR="00317218" w:rsidRPr="00295637">
        <w:rPr>
          <w:rFonts w:ascii="Times New Roman" w:hAnsi="Times New Roman"/>
          <w:szCs w:val="24"/>
        </w:rPr>
        <w:t xml:space="preserve"> </w:t>
      </w:r>
      <w:r w:rsidR="00C6214E">
        <w:rPr>
          <w:rFonts w:ascii="Times New Roman" w:hAnsi="Times New Roman"/>
          <w:szCs w:val="24"/>
        </w:rPr>
        <w:t>презент</w:t>
      </w:r>
      <w:r>
        <w:rPr>
          <w:rFonts w:ascii="Times New Roman" w:hAnsi="Times New Roman"/>
          <w:szCs w:val="24"/>
          <w:lang w:val="sr-Cyrl-BA"/>
        </w:rPr>
        <w:t>ује</w:t>
      </w:r>
      <w:r w:rsidR="00317218" w:rsidRPr="00295637">
        <w:rPr>
          <w:rFonts w:ascii="Times New Roman" w:hAnsi="Times New Roman"/>
          <w:szCs w:val="24"/>
        </w:rPr>
        <w:t xml:space="preserve"> </w:t>
      </w:r>
      <w:r w:rsidR="00C6214E">
        <w:rPr>
          <w:rFonts w:ascii="Times New Roman" w:hAnsi="Times New Roman"/>
          <w:szCs w:val="24"/>
        </w:rPr>
        <w:t>најважније</w:t>
      </w:r>
      <w:r w:rsidR="00317218" w:rsidRPr="00295637">
        <w:rPr>
          <w:rFonts w:ascii="Times New Roman" w:hAnsi="Times New Roman"/>
          <w:szCs w:val="24"/>
        </w:rPr>
        <w:t xml:space="preserve"> </w:t>
      </w:r>
      <w:r w:rsidR="00C6214E">
        <w:rPr>
          <w:rFonts w:ascii="Times New Roman" w:hAnsi="Times New Roman"/>
          <w:szCs w:val="24"/>
        </w:rPr>
        <w:t>информације</w:t>
      </w:r>
      <w:r w:rsidR="00317218" w:rsidRPr="00295637">
        <w:rPr>
          <w:rFonts w:ascii="Times New Roman" w:hAnsi="Times New Roman"/>
          <w:szCs w:val="24"/>
        </w:rPr>
        <w:t xml:space="preserve"> </w:t>
      </w:r>
      <w:r w:rsidR="00C6214E">
        <w:rPr>
          <w:rFonts w:ascii="Times New Roman" w:hAnsi="Times New Roman"/>
          <w:szCs w:val="24"/>
        </w:rPr>
        <w:t>о</w:t>
      </w:r>
      <w:r w:rsidR="00317218" w:rsidRPr="00295637">
        <w:rPr>
          <w:rFonts w:ascii="Times New Roman" w:hAnsi="Times New Roman"/>
          <w:szCs w:val="24"/>
        </w:rPr>
        <w:t xml:space="preserve"> </w:t>
      </w:r>
      <w:r w:rsidR="00C6214E">
        <w:rPr>
          <w:rFonts w:ascii="Times New Roman" w:hAnsi="Times New Roman"/>
          <w:szCs w:val="24"/>
        </w:rPr>
        <w:t>активностима</w:t>
      </w:r>
      <w:r w:rsidR="00317218" w:rsidRPr="00295637">
        <w:rPr>
          <w:rFonts w:ascii="Times New Roman" w:hAnsi="Times New Roman"/>
          <w:szCs w:val="24"/>
        </w:rPr>
        <w:t xml:space="preserve"> </w:t>
      </w:r>
      <w:r w:rsidR="00C6214E">
        <w:rPr>
          <w:rFonts w:ascii="Times New Roman" w:hAnsi="Times New Roman"/>
          <w:szCs w:val="24"/>
        </w:rPr>
        <w:t>релевантним</w:t>
      </w:r>
      <w:r w:rsidR="00317218" w:rsidRPr="00295637">
        <w:rPr>
          <w:rFonts w:ascii="Times New Roman" w:hAnsi="Times New Roman"/>
          <w:szCs w:val="24"/>
        </w:rPr>
        <w:t xml:space="preserve"> </w:t>
      </w:r>
      <w:r w:rsidR="00C6214E">
        <w:rPr>
          <w:rFonts w:ascii="Times New Roman" w:hAnsi="Times New Roman"/>
          <w:szCs w:val="24"/>
        </w:rPr>
        <w:t>за</w:t>
      </w:r>
      <w:r w:rsidR="00317218" w:rsidRPr="00295637">
        <w:rPr>
          <w:rFonts w:ascii="Times New Roman" w:hAnsi="Times New Roman"/>
          <w:szCs w:val="24"/>
        </w:rPr>
        <w:t xml:space="preserve"> </w:t>
      </w:r>
      <w:r w:rsidR="00C6214E">
        <w:rPr>
          <w:rFonts w:ascii="Times New Roman" w:hAnsi="Times New Roman"/>
          <w:szCs w:val="24"/>
        </w:rPr>
        <w:t>постизање</w:t>
      </w:r>
      <w:r w:rsidR="00317218" w:rsidRPr="00295637">
        <w:rPr>
          <w:rFonts w:ascii="Times New Roman" w:hAnsi="Times New Roman"/>
          <w:szCs w:val="24"/>
        </w:rPr>
        <w:t xml:space="preserve"> </w:t>
      </w:r>
      <w:r w:rsidR="00C6214E">
        <w:rPr>
          <w:rFonts w:ascii="Times New Roman" w:hAnsi="Times New Roman"/>
          <w:szCs w:val="24"/>
        </w:rPr>
        <w:t>оп</w:t>
      </w:r>
      <w:r>
        <w:rPr>
          <w:rFonts w:ascii="Times New Roman" w:hAnsi="Times New Roman"/>
          <w:szCs w:val="24"/>
          <w:lang w:val="sr-Cyrl-BA"/>
        </w:rPr>
        <w:t>шт</w:t>
      </w:r>
      <w:r w:rsidR="00C6214E">
        <w:rPr>
          <w:rFonts w:ascii="Times New Roman" w:hAnsi="Times New Roman"/>
          <w:szCs w:val="24"/>
        </w:rPr>
        <w:t>их</w:t>
      </w:r>
      <w:r w:rsidR="00317218" w:rsidRPr="00295637">
        <w:rPr>
          <w:rFonts w:ascii="Times New Roman" w:hAnsi="Times New Roman"/>
          <w:szCs w:val="24"/>
        </w:rPr>
        <w:t xml:space="preserve"> </w:t>
      </w:r>
      <w:r w:rsidR="00C6214E">
        <w:rPr>
          <w:rFonts w:ascii="Times New Roman" w:hAnsi="Times New Roman"/>
          <w:szCs w:val="24"/>
        </w:rPr>
        <w:t>и</w:t>
      </w:r>
      <w:r w:rsidR="00317218" w:rsidRPr="00295637">
        <w:rPr>
          <w:rFonts w:ascii="Times New Roman" w:hAnsi="Times New Roman"/>
          <w:szCs w:val="24"/>
        </w:rPr>
        <w:t xml:space="preserve"> </w:t>
      </w:r>
      <w:r w:rsidR="00C6214E">
        <w:rPr>
          <w:rFonts w:ascii="Times New Roman" w:hAnsi="Times New Roman"/>
          <w:szCs w:val="24"/>
        </w:rPr>
        <w:t>стратешких</w:t>
      </w:r>
      <w:r w:rsidR="00317218" w:rsidRPr="00295637">
        <w:rPr>
          <w:rFonts w:ascii="Times New Roman" w:hAnsi="Times New Roman"/>
          <w:szCs w:val="24"/>
        </w:rPr>
        <w:t xml:space="preserve"> </w:t>
      </w:r>
      <w:r w:rsidR="00C6214E">
        <w:rPr>
          <w:rFonts w:ascii="Times New Roman" w:hAnsi="Times New Roman"/>
          <w:szCs w:val="24"/>
        </w:rPr>
        <w:t>циљева</w:t>
      </w:r>
      <w:r w:rsidR="00317218" w:rsidRPr="00295637">
        <w:rPr>
          <w:rFonts w:ascii="Times New Roman" w:hAnsi="Times New Roman"/>
          <w:szCs w:val="24"/>
        </w:rPr>
        <w:t xml:space="preserve"> </w:t>
      </w:r>
      <w:r w:rsidR="00C6214E">
        <w:rPr>
          <w:rFonts w:ascii="Times New Roman" w:hAnsi="Times New Roman"/>
          <w:szCs w:val="24"/>
        </w:rPr>
        <w:t>Акционог</w:t>
      </w:r>
      <w:r w:rsidR="00317218" w:rsidRPr="00295637">
        <w:rPr>
          <w:rFonts w:ascii="Times New Roman" w:hAnsi="Times New Roman"/>
          <w:szCs w:val="24"/>
        </w:rPr>
        <w:t xml:space="preserve"> </w:t>
      </w:r>
      <w:r w:rsidR="00C6214E">
        <w:rPr>
          <w:rFonts w:ascii="Times New Roman" w:hAnsi="Times New Roman"/>
          <w:szCs w:val="24"/>
        </w:rPr>
        <w:t>плана</w:t>
      </w:r>
      <w:r w:rsidR="00276393" w:rsidRPr="00295637">
        <w:rPr>
          <w:rFonts w:ascii="Times New Roman" w:hAnsi="Times New Roman"/>
          <w:szCs w:val="24"/>
        </w:rPr>
        <w:t>,</w:t>
      </w:r>
      <w:r w:rsidR="00504358" w:rsidRPr="00295637">
        <w:rPr>
          <w:rFonts w:ascii="Times New Roman" w:hAnsi="Times New Roman"/>
          <w:szCs w:val="24"/>
        </w:rPr>
        <w:t xml:space="preserve"> </w:t>
      </w:r>
      <w:r w:rsidR="00C6214E">
        <w:rPr>
          <w:rFonts w:ascii="Times New Roman" w:hAnsi="Times New Roman"/>
          <w:szCs w:val="24"/>
        </w:rPr>
        <w:t>а</w:t>
      </w:r>
      <w:r w:rsidR="00504358" w:rsidRPr="00295637">
        <w:rPr>
          <w:rFonts w:ascii="Times New Roman" w:hAnsi="Times New Roman"/>
          <w:szCs w:val="24"/>
        </w:rPr>
        <w:t xml:space="preserve"> </w:t>
      </w:r>
      <w:r w:rsidR="00C6214E">
        <w:rPr>
          <w:rFonts w:ascii="Times New Roman" w:hAnsi="Times New Roman"/>
          <w:szCs w:val="24"/>
        </w:rPr>
        <w:t>АР</w:t>
      </w:r>
      <w:r>
        <w:rPr>
          <w:rFonts w:ascii="Times New Roman" w:hAnsi="Times New Roman"/>
          <w:szCs w:val="24"/>
          <w:lang w:val="sr-Cyrl-BA"/>
        </w:rPr>
        <w:t>П</w:t>
      </w:r>
      <w:r w:rsidR="00C67E03">
        <w:rPr>
          <w:rFonts w:ascii="Times New Roman" w:hAnsi="Times New Roman"/>
          <w:szCs w:val="24"/>
        </w:rPr>
        <w:t xml:space="preserve"> </w:t>
      </w:r>
      <w:r w:rsidR="00C6214E">
        <w:rPr>
          <w:rFonts w:ascii="Times New Roman" w:hAnsi="Times New Roman"/>
          <w:szCs w:val="24"/>
        </w:rPr>
        <w:t>БиХ</w:t>
      </w:r>
      <w:r w:rsidR="00C67E03">
        <w:rPr>
          <w:rFonts w:ascii="Times New Roman" w:hAnsi="Times New Roman"/>
          <w:szCs w:val="24"/>
        </w:rPr>
        <w:t xml:space="preserve"> </w:t>
      </w:r>
      <w:r w:rsidR="00C6214E">
        <w:rPr>
          <w:rFonts w:ascii="Times New Roman" w:hAnsi="Times New Roman"/>
          <w:szCs w:val="24"/>
        </w:rPr>
        <w:t>МЉПИ</w:t>
      </w:r>
      <w:r w:rsidR="00C67E03">
        <w:rPr>
          <w:rFonts w:ascii="Times New Roman" w:hAnsi="Times New Roman"/>
          <w:szCs w:val="24"/>
        </w:rPr>
        <w:t xml:space="preserve"> </w:t>
      </w:r>
      <w:r w:rsidR="00C6214E">
        <w:rPr>
          <w:rFonts w:ascii="Times New Roman" w:hAnsi="Times New Roman"/>
          <w:szCs w:val="24"/>
        </w:rPr>
        <w:t>БиХ</w:t>
      </w:r>
      <w:r w:rsidR="00504358" w:rsidRPr="00295637">
        <w:rPr>
          <w:rFonts w:ascii="Times New Roman" w:hAnsi="Times New Roman"/>
          <w:szCs w:val="24"/>
        </w:rPr>
        <w:t xml:space="preserve"> </w:t>
      </w:r>
      <w:r w:rsidR="00C6214E">
        <w:rPr>
          <w:rFonts w:ascii="Times New Roman" w:hAnsi="Times New Roman"/>
          <w:szCs w:val="24"/>
        </w:rPr>
        <w:t>је</w:t>
      </w:r>
      <w:r w:rsidR="00317218" w:rsidRPr="00295637">
        <w:rPr>
          <w:rFonts w:ascii="Times New Roman" w:hAnsi="Times New Roman"/>
          <w:szCs w:val="24"/>
        </w:rPr>
        <w:t xml:space="preserve"> </w:t>
      </w:r>
      <w:r w:rsidR="00C6214E">
        <w:rPr>
          <w:rFonts w:ascii="Times New Roman" w:hAnsi="Times New Roman"/>
          <w:szCs w:val="24"/>
        </w:rPr>
        <w:t>у</w:t>
      </w:r>
      <w:r w:rsidR="00317218" w:rsidRPr="00295637">
        <w:rPr>
          <w:rFonts w:ascii="Times New Roman" w:hAnsi="Times New Roman"/>
          <w:szCs w:val="24"/>
        </w:rPr>
        <w:t xml:space="preserve"> </w:t>
      </w:r>
      <w:r w:rsidR="00C6214E">
        <w:rPr>
          <w:rFonts w:ascii="Times New Roman" w:hAnsi="Times New Roman"/>
          <w:szCs w:val="24"/>
        </w:rPr>
        <w:t>јавности</w:t>
      </w:r>
      <w:r w:rsidR="00317218" w:rsidRPr="00295637">
        <w:rPr>
          <w:rFonts w:ascii="Times New Roman" w:hAnsi="Times New Roman"/>
          <w:szCs w:val="24"/>
        </w:rPr>
        <w:t xml:space="preserve"> </w:t>
      </w:r>
      <w:r w:rsidR="00C6214E">
        <w:rPr>
          <w:rFonts w:ascii="Times New Roman" w:hAnsi="Times New Roman"/>
          <w:szCs w:val="24"/>
        </w:rPr>
        <w:t>промови</w:t>
      </w:r>
      <w:r>
        <w:rPr>
          <w:rFonts w:ascii="Times New Roman" w:hAnsi="Times New Roman"/>
          <w:szCs w:val="24"/>
          <w:lang w:val="sr-Cyrl-BA"/>
        </w:rPr>
        <w:t>с</w:t>
      </w:r>
      <w:r w:rsidR="00C6214E">
        <w:rPr>
          <w:rFonts w:ascii="Times New Roman" w:hAnsi="Times New Roman"/>
          <w:szCs w:val="24"/>
        </w:rPr>
        <w:t>ала</w:t>
      </w:r>
      <w:r w:rsidR="00317218" w:rsidRPr="00295637">
        <w:rPr>
          <w:rFonts w:ascii="Times New Roman" w:hAnsi="Times New Roman"/>
          <w:szCs w:val="24"/>
        </w:rPr>
        <w:t xml:space="preserve"> </w:t>
      </w:r>
      <w:r w:rsidR="00C6214E">
        <w:rPr>
          <w:rFonts w:ascii="Times New Roman" w:hAnsi="Times New Roman"/>
          <w:szCs w:val="24"/>
        </w:rPr>
        <w:t>налазе</w:t>
      </w:r>
      <w:r w:rsidR="00317218" w:rsidRPr="00295637">
        <w:rPr>
          <w:rFonts w:ascii="Times New Roman" w:hAnsi="Times New Roman"/>
          <w:szCs w:val="24"/>
        </w:rPr>
        <w:t xml:space="preserve"> </w:t>
      </w:r>
      <w:r w:rsidR="00C6214E">
        <w:rPr>
          <w:rFonts w:ascii="Times New Roman" w:hAnsi="Times New Roman"/>
          <w:szCs w:val="24"/>
        </w:rPr>
        <w:t>извјештаја</w:t>
      </w:r>
      <w:r w:rsidR="00C67E03">
        <w:rPr>
          <w:rFonts w:ascii="Times New Roman" w:hAnsi="Times New Roman"/>
          <w:szCs w:val="24"/>
        </w:rPr>
        <w:t xml:space="preserve">, </w:t>
      </w:r>
      <w:r w:rsidR="00C6214E">
        <w:rPr>
          <w:rFonts w:ascii="Times New Roman" w:hAnsi="Times New Roman"/>
          <w:szCs w:val="24"/>
        </w:rPr>
        <w:t>са</w:t>
      </w:r>
      <w:r w:rsidR="00C67E03">
        <w:rPr>
          <w:rFonts w:ascii="Times New Roman" w:hAnsi="Times New Roman"/>
          <w:szCs w:val="24"/>
        </w:rPr>
        <w:t xml:space="preserve"> </w:t>
      </w:r>
      <w:r w:rsidR="00C6214E">
        <w:rPr>
          <w:rFonts w:ascii="Times New Roman" w:hAnsi="Times New Roman"/>
          <w:szCs w:val="24"/>
        </w:rPr>
        <w:t>акцентом</w:t>
      </w:r>
      <w:r w:rsidR="00C67E03">
        <w:rPr>
          <w:rFonts w:ascii="Times New Roman" w:hAnsi="Times New Roman"/>
          <w:szCs w:val="24"/>
        </w:rPr>
        <w:t xml:space="preserve"> </w:t>
      </w:r>
      <w:r w:rsidR="00C6214E">
        <w:rPr>
          <w:rFonts w:ascii="Times New Roman" w:hAnsi="Times New Roman"/>
          <w:szCs w:val="24"/>
        </w:rPr>
        <w:t>на</w:t>
      </w:r>
      <w:r w:rsidR="00C67E03">
        <w:rPr>
          <w:rFonts w:ascii="Times New Roman" w:hAnsi="Times New Roman"/>
          <w:szCs w:val="24"/>
        </w:rPr>
        <w:t xml:space="preserve"> </w:t>
      </w:r>
      <w:r w:rsidR="00C6214E">
        <w:rPr>
          <w:rFonts w:ascii="Times New Roman" w:hAnsi="Times New Roman"/>
          <w:szCs w:val="24"/>
        </w:rPr>
        <w:t>преостале</w:t>
      </w:r>
      <w:r w:rsidR="00C67E03">
        <w:rPr>
          <w:rFonts w:ascii="Times New Roman" w:hAnsi="Times New Roman"/>
          <w:szCs w:val="24"/>
        </w:rPr>
        <w:t xml:space="preserve"> </w:t>
      </w:r>
      <w:r w:rsidR="00C6214E">
        <w:rPr>
          <w:rFonts w:ascii="Times New Roman" w:hAnsi="Times New Roman"/>
          <w:szCs w:val="24"/>
        </w:rPr>
        <w:t>обавезе</w:t>
      </w:r>
      <w:r w:rsidR="00317218" w:rsidRPr="00295637">
        <w:rPr>
          <w:rFonts w:ascii="Times New Roman" w:hAnsi="Times New Roman"/>
          <w:szCs w:val="24"/>
        </w:rPr>
        <w:t xml:space="preserve"> </w:t>
      </w:r>
      <w:r w:rsidR="00C6214E">
        <w:rPr>
          <w:rFonts w:ascii="Times New Roman" w:hAnsi="Times New Roman"/>
          <w:szCs w:val="24"/>
        </w:rPr>
        <w:t>и</w:t>
      </w:r>
      <w:r w:rsidR="00317218" w:rsidRPr="00295637">
        <w:rPr>
          <w:rFonts w:ascii="Times New Roman" w:hAnsi="Times New Roman"/>
          <w:szCs w:val="24"/>
        </w:rPr>
        <w:t xml:space="preserve"> </w:t>
      </w:r>
      <w:r w:rsidR="00C6214E">
        <w:rPr>
          <w:rFonts w:ascii="Times New Roman" w:hAnsi="Times New Roman"/>
          <w:szCs w:val="24"/>
        </w:rPr>
        <w:t>изазове</w:t>
      </w:r>
      <w:r w:rsidR="00317218" w:rsidRPr="00295637">
        <w:rPr>
          <w:rFonts w:ascii="Times New Roman" w:hAnsi="Times New Roman"/>
          <w:szCs w:val="24"/>
        </w:rPr>
        <w:t xml:space="preserve"> </w:t>
      </w:r>
      <w:r w:rsidR="00C6214E">
        <w:rPr>
          <w:rFonts w:ascii="Times New Roman" w:hAnsi="Times New Roman"/>
          <w:szCs w:val="24"/>
        </w:rPr>
        <w:t>које</w:t>
      </w:r>
      <w:r w:rsidR="00317218" w:rsidRPr="00295637">
        <w:rPr>
          <w:rFonts w:ascii="Times New Roman" w:hAnsi="Times New Roman"/>
          <w:szCs w:val="24"/>
        </w:rPr>
        <w:t xml:space="preserve"> </w:t>
      </w:r>
      <w:r w:rsidR="00C6214E">
        <w:rPr>
          <w:rFonts w:ascii="Times New Roman" w:hAnsi="Times New Roman"/>
          <w:szCs w:val="24"/>
        </w:rPr>
        <w:t>се</w:t>
      </w:r>
      <w:r w:rsidR="00317218" w:rsidRPr="00295637">
        <w:rPr>
          <w:rFonts w:ascii="Times New Roman" w:hAnsi="Times New Roman"/>
          <w:szCs w:val="24"/>
        </w:rPr>
        <w:t xml:space="preserve"> </w:t>
      </w:r>
      <w:r w:rsidR="00C6214E">
        <w:rPr>
          <w:rFonts w:ascii="Times New Roman" w:hAnsi="Times New Roman"/>
          <w:szCs w:val="24"/>
        </w:rPr>
        <w:t>тичу</w:t>
      </w:r>
      <w:r w:rsidR="00317218" w:rsidRPr="00295637">
        <w:rPr>
          <w:rFonts w:ascii="Times New Roman" w:hAnsi="Times New Roman"/>
          <w:szCs w:val="24"/>
        </w:rPr>
        <w:t xml:space="preserve"> </w:t>
      </w:r>
      <w:r w:rsidR="00C6214E">
        <w:rPr>
          <w:rFonts w:ascii="Times New Roman" w:hAnsi="Times New Roman"/>
          <w:szCs w:val="24"/>
        </w:rPr>
        <w:t>положаја</w:t>
      </w:r>
      <w:r w:rsidR="00317218" w:rsidRPr="00295637">
        <w:rPr>
          <w:rFonts w:ascii="Times New Roman" w:hAnsi="Times New Roman"/>
          <w:szCs w:val="24"/>
        </w:rPr>
        <w:t xml:space="preserve"> </w:t>
      </w:r>
      <w:r w:rsidR="00C6214E">
        <w:rPr>
          <w:rFonts w:ascii="Times New Roman" w:hAnsi="Times New Roman"/>
          <w:szCs w:val="24"/>
        </w:rPr>
        <w:t>ЛГБТИ</w:t>
      </w:r>
      <w:r w:rsidR="00317218" w:rsidRPr="00295637">
        <w:rPr>
          <w:rFonts w:ascii="Times New Roman" w:hAnsi="Times New Roman"/>
          <w:szCs w:val="24"/>
        </w:rPr>
        <w:t xml:space="preserve"> </w:t>
      </w:r>
      <w:r w:rsidR="00C6214E">
        <w:rPr>
          <w:rFonts w:ascii="Times New Roman" w:hAnsi="Times New Roman"/>
          <w:szCs w:val="24"/>
        </w:rPr>
        <w:t>лица</w:t>
      </w:r>
      <w:r w:rsidR="00317218" w:rsidRPr="00295637">
        <w:rPr>
          <w:rFonts w:ascii="Times New Roman" w:hAnsi="Times New Roman"/>
          <w:szCs w:val="24"/>
        </w:rPr>
        <w:t xml:space="preserve"> </w:t>
      </w:r>
      <w:r w:rsidR="00C6214E">
        <w:rPr>
          <w:rFonts w:ascii="Times New Roman" w:hAnsi="Times New Roman"/>
          <w:szCs w:val="24"/>
        </w:rPr>
        <w:t>у</w:t>
      </w:r>
      <w:r w:rsidR="00317218" w:rsidRPr="00295637">
        <w:rPr>
          <w:rFonts w:ascii="Times New Roman" w:hAnsi="Times New Roman"/>
          <w:szCs w:val="24"/>
        </w:rPr>
        <w:t xml:space="preserve"> </w:t>
      </w:r>
      <w:r w:rsidR="00C6214E">
        <w:rPr>
          <w:rFonts w:ascii="Times New Roman" w:hAnsi="Times New Roman"/>
          <w:szCs w:val="24"/>
        </w:rPr>
        <w:t>бх</w:t>
      </w:r>
      <w:r w:rsidR="00317218" w:rsidRPr="00295637">
        <w:rPr>
          <w:rFonts w:ascii="Times New Roman" w:hAnsi="Times New Roman"/>
          <w:szCs w:val="24"/>
        </w:rPr>
        <w:t xml:space="preserve">. </w:t>
      </w:r>
      <w:r w:rsidR="00C6214E">
        <w:rPr>
          <w:rFonts w:ascii="Times New Roman" w:hAnsi="Times New Roman"/>
          <w:szCs w:val="24"/>
        </w:rPr>
        <w:t>друштву</w:t>
      </w:r>
      <w:r w:rsidR="00317218" w:rsidRPr="00295637">
        <w:rPr>
          <w:rFonts w:ascii="Times New Roman" w:hAnsi="Times New Roman"/>
          <w:szCs w:val="24"/>
        </w:rPr>
        <w:t xml:space="preserve">. </w:t>
      </w:r>
    </w:p>
    <w:p w:rsidR="00317218" w:rsidRPr="00295637" w:rsidRDefault="00317218" w:rsidP="0086268D">
      <w:pPr>
        <w:tabs>
          <w:tab w:val="center" w:pos="4703"/>
          <w:tab w:val="right" w:pos="9406"/>
        </w:tabs>
        <w:jc w:val="both"/>
        <w:rPr>
          <w:rFonts w:ascii="Times New Roman" w:hAnsi="Times New Roman"/>
          <w:szCs w:val="24"/>
        </w:rPr>
      </w:pPr>
    </w:p>
    <w:p w:rsidR="00317218" w:rsidRPr="00295637" w:rsidRDefault="00C6214E" w:rsidP="0086268D">
      <w:pPr>
        <w:tabs>
          <w:tab w:val="center" w:pos="4703"/>
          <w:tab w:val="right" w:pos="9406"/>
        </w:tabs>
        <w:jc w:val="both"/>
        <w:rPr>
          <w:shd w:val="clear" w:color="auto" w:fill="FFFFFF"/>
        </w:rPr>
      </w:pPr>
      <w:r>
        <w:rPr>
          <w:rFonts w:ascii="Times New Roman" w:hAnsi="Times New Roman"/>
          <w:szCs w:val="24"/>
          <w:lang w:val="hr-HR"/>
        </w:rPr>
        <w:t>У</w:t>
      </w:r>
      <w:r w:rsidR="00317218" w:rsidRPr="006820FB">
        <w:rPr>
          <w:rFonts w:ascii="Times New Roman" w:hAnsi="Times New Roman"/>
          <w:szCs w:val="24"/>
          <w:lang w:val="hr-HR"/>
        </w:rPr>
        <w:t xml:space="preserve"> </w:t>
      </w:r>
      <w:r>
        <w:rPr>
          <w:rFonts w:ascii="Times New Roman" w:hAnsi="Times New Roman"/>
          <w:szCs w:val="24"/>
          <w:lang w:val="hr-HR"/>
        </w:rPr>
        <w:t>јуну</w:t>
      </w:r>
      <w:r w:rsidR="00317218" w:rsidRPr="006820FB">
        <w:rPr>
          <w:rFonts w:ascii="Times New Roman" w:hAnsi="Times New Roman"/>
          <w:szCs w:val="24"/>
          <w:lang w:val="hr-HR"/>
        </w:rPr>
        <w:t xml:space="preserve"> 2024. </w:t>
      </w:r>
      <w:r>
        <w:rPr>
          <w:rFonts w:ascii="Times New Roman" w:hAnsi="Times New Roman"/>
          <w:szCs w:val="24"/>
          <w:lang w:val="hr-HR"/>
        </w:rPr>
        <w:t>године</w:t>
      </w:r>
      <w:r w:rsidR="00317218" w:rsidRPr="006820FB">
        <w:rPr>
          <w:rFonts w:ascii="Times New Roman" w:hAnsi="Times New Roman"/>
          <w:szCs w:val="24"/>
          <w:lang w:val="hr-HR"/>
        </w:rPr>
        <w:t xml:space="preserve">, </w:t>
      </w:r>
      <w:r>
        <w:rPr>
          <w:rFonts w:ascii="Times New Roman" w:hAnsi="Times New Roman"/>
          <w:szCs w:val="24"/>
          <w:lang w:val="hr-HR"/>
        </w:rPr>
        <w:t>АР</w:t>
      </w:r>
      <w:r w:rsidR="005F49F6">
        <w:rPr>
          <w:rFonts w:ascii="Times New Roman" w:hAnsi="Times New Roman"/>
          <w:szCs w:val="24"/>
          <w:lang w:val="sr-Cyrl-BA"/>
        </w:rPr>
        <w:t>П</w:t>
      </w:r>
      <w:r w:rsidR="00C67E03">
        <w:rPr>
          <w:rFonts w:ascii="Times New Roman" w:hAnsi="Times New Roman"/>
          <w:szCs w:val="24"/>
          <w:lang w:val="hr-HR"/>
        </w:rPr>
        <w:t xml:space="preserve"> </w:t>
      </w:r>
      <w:r>
        <w:rPr>
          <w:rFonts w:ascii="Times New Roman" w:hAnsi="Times New Roman"/>
          <w:szCs w:val="24"/>
          <w:lang w:val="hr-HR"/>
        </w:rPr>
        <w:t>БиХ</w:t>
      </w:r>
      <w:r w:rsidR="00C67E03">
        <w:rPr>
          <w:rFonts w:ascii="Times New Roman" w:hAnsi="Times New Roman"/>
          <w:szCs w:val="24"/>
          <w:lang w:val="hr-HR"/>
        </w:rPr>
        <w:t xml:space="preserve"> </w:t>
      </w:r>
      <w:r>
        <w:rPr>
          <w:rFonts w:ascii="Times New Roman" w:hAnsi="Times New Roman"/>
          <w:szCs w:val="24"/>
          <w:lang w:val="hr-HR"/>
        </w:rPr>
        <w:t>МЉПИ</w:t>
      </w:r>
      <w:r w:rsidR="00C67E03">
        <w:rPr>
          <w:rFonts w:ascii="Times New Roman" w:hAnsi="Times New Roman"/>
          <w:szCs w:val="24"/>
          <w:lang w:val="hr-HR"/>
        </w:rPr>
        <w:t xml:space="preserve"> </w:t>
      </w:r>
      <w:r>
        <w:rPr>
          <w:rFonts w:ascii="Times New Roman" w:hAnsi="Times New Roman"/>
          <w:szCs w:val="24"/>
          <w:lang w:val="hr-HR"/>
        </w:rPr>
        <w:t>БиХ</w:t>
      </w:r>
      <w:r w:rsidR="00317218" w:rsidRPr="006820FB">
        <w:rPr>
          <w:rFonts w:ascii="Times New Roman" w:hAnsi="Times New Roman"/>
          <w:szCs w:val="24"/>
          <w:lang w:val="hr-HR"/>
        </w:rPr>
        <w:t xml:space="preserve"> </w:t>
      </w:r>
      <w:r>
        <w:rPr>
          <w:rFonts w:ascii="Times New Roman" w:hAnsi="Times New Roman"/>
          <w:szCs w:val="24"/>
          <w:lang w:val="hr-HR"/>
        </w:rPr>
        <w:t>информи</w:t>
      </w:r>
      <w:r w:rsidR="005F49F6">
        <w:rPr>
          <w:rFonts w:ascii="Times New Roman" w:hAnsi="Times New Roman"/>
          <w:szCs w:val="24"/>
          <w:lang w:val="sr-Cyrl-BA"/>
        </w:rPr>
        <w:t>с</w:t>
      </w:r>
      <w:r>
        <w:rPr>
          <w:rFonts w:ascii="Times New Roman" w:hAnsi="Times New Roman"/>
          <w:szCs w:val="24"/>
          <w:lang w:val="hr-HR"/>
        </w:rPr>
        <w:t>ала</w:t>
      </w:r>
      <w:r w:rsidR="00317218" w:rsidRPr="006820FB">
        <w:rPr>
          <w:rFonts w:ascii="Times New Roman" w:hAnsi="Times New Roman"/>
          <w:szCs w:val="24"/>
          <w:lang w:val="hr-HR"/>
        </w:rPr>
        <w:t xml:space="preserve"> </w:t>
      </w:r>
      <w:r>
        <w:rPr>
          <w:rFonts w:ascii="Times New Roman" w:hAnsi="Times New Roman"/>
          <w:szCs w:val="24"/>
          <w:lang w:val="hr-HR"/>
        </w:rPr>
        <w:t>је</w:t>
      </w:r>
      <w:r w:rsidR="00C67E03" w:rsidRPr="006820FB">
        <w:rPr>
          <w:rFonts w:ascii="Times New Roman" w:hAnsi="Times New Roman"/>
          <w:szCs w:val="24"/>
          <w:lang w:val="hr-HR"/>
        </w:rPr>
        <w:t xml:space="preserve"> </w:t>
      </w:r>
      <w:r>
        <w:rPr>
          <w:rFonts w:ascii="Times New Roman" w:hAnsi="Times New Roman"/>
          <w:szCs w:val="24"/>
          <w:lang w:val="hr-HR"/>
        </w:rPr>
        <w:t>бх</w:t>
      </w:r>
      <w:r w:rsidR="00317218" w:rsidRPr="006820FB">
        <w:rPr>
          <w:rFonts w:ascii="Times New Roman" w:hAnsi="Times New Roman"/>
          <w:szCs w:val="24"/>
          <w:lang w:val="hr-HR"/>
        </w:rPr>
        <w:t xml:space="preserve">. </w:t>
      </w:r>
      <w:r>
        <w:rPr>
          <w:rFonts w:ascii="Times New Roman" w:hAnsi="Times New Roman"/>
          <w:szCs w:val="24"/>
          <w:lang w:val="hr-HR"/>
        </w:rPr>
        <w:t>јавност</w:t>
      </w:r>
      <w:r w:rsidR="00317218" w:rsidRPr="006820FB">
        <w:rPr>
          <w:rFonts w:ascii="Times New Roman" w:hAnsi="Times New Roman"/>
          <w:szCs w:val="24"/>
          <w:lang w:val="hr-HR"/>
        </w:rPr>
        <w:t xml:space="preserve"> </w:t>
      </w:r>
      <w:r>
        <w:rPr>
          <w:rFonts w:ascii="Times New Roman" w:hAnsi="Times New Roman"/>
          <w:szCs w:val="24"/>
          <w:lang w:val="hr-HR"/>
        </w:rPr>
        <w:t>да</w:t>
      </w:r>
      <w:r w:rsidR="00317218" w:rsidRPr="006820FB">
        <w:rPr>
          <w:rFonts w:ascii="Times New Roman" w:hAnsi="Times New Roman"/>
          <w:szCs w:val="24"/>
          <w:lang w:val="hr-HR"/>
        </w:rPr>
        <w:t xml:space="preserve"> </w:t>
      </w:r>
      <w:r>
        <w:rPr>
          <w:rFonts w:ascii="Times New Roman" w:hAnsi="Times New Roman"/>
          <w:szCs w:val="24"/>
          <w:lang w:val="hr-HR"/>
        </w:rPr>
        <w:t>су</w:t>
      </w:r>
      <w:r w:rsidR="00317218" w:rsidRPr="006820FB">
        <w:rPr>
          <w:rFonts w:ascii="Times New Roman" w:hAnsi="Times New Roman"/>
          <w:szCs w:val="24"/>
          <w:lang w:val="hr-HR"/>
        </w:rPr>
        <w:t xml:space="preserve"> </w:t>
      </w:r>
      <w:r>
        <w:rPr>
          <w:rFonts w:ascii="Times New Roman" w:hAnsi="Times New Roman"/>
          <w:szCs w:val="24"/>
          <w:lang w:val="hr-HR"/>
        </w:rPr>
        <w:t>поводом</w:t>
      </w:r>
      <w:r w:rsidR="00317218" w:rsidRPr="006820FB">
        <w:rPr>
          <w:rFonts w:ascii="Times New Roman" w:hAnsi="Times New Roman"/>
          <w:szCs w:val="24"/>
          <w:lang w:val="hr-HR"/>
        </w:rPr>
        <w:t xml:space="preserve"> </w:t>
      </w:r>
      <w:r>
        <w:rPr>
          <w:rFonts w:ascii="Times New Roman" w:hAnsi="Times New Roman"/>
          <w:szCs w:val="24"/>
          <w:lang w:val="hr-HR"/>
        </w:rPr>
        <w:t>Међународног</w:t>
      </w:r>
      <w:r w:rsidR="00317218" w:rsidRPr="006820FB">
        <w:rPr>
          <w:rFonts w:ascii="Times New Roman" w:hAnsi="Times New Roman"/>
          <w:szCs w:val="24"/>
          <w:lang w:val="hr-HR"/>
        </w:rPr>
        <w:t xml:space="preserve"> </w:t>
      </w:r>
      <w:r>
        <w:rPr>
          <w:rFonts w:ascii="Times New Roman" w:hAnsi="Times New Roman"/>
          <w:szCs w:val="24"/>
          <w:lang w:val="hr-HR"/>
        </w:rPr>
        <w:t>дана</w:t>
      </w:r>
      <w:r w:rsidR="00317218" w:rsidRPr="006820FB">
        <w:rPr>
          <w:rFonts w:ascii="Times New Roman" w:hAnsi="Times New Roman"/>
          <w:szCs w:val="24"/>
          <w:lang w:val="hr-HR"/>
        </w:rPr>
        <w:t xml:space="preserve"> </w:t>
      </w:r>
      <w:r w:rsidR="005F49F6" w:rsidRPr="005F49F6">
        <w:rPr>
          <w:rFonts w:ascii="Times New Roman" w:hAnsi="Times New Roman"/>
          <w:i/>
          <w:szCs w:val="24"/>
          <w:lang w:val="hr-HR"/>
        </w:rPr>
        <w:t>IDAHOT</w:t>
      </w:r>
      <w:r w:rsidR="00317218" w:rsidRPr="006820FB">
        <w:rPr>
          <w:rFonts w:ascii="Times New Roman" w:hAnsi="Times New Roman"/>
          <w:szCs w:val="24"/>
          <w:lang w:val="hr-HR"/>
        </w:rPr>
        <w:t xml:space="preserve">, </w:t>
      </w:r>
      <w:r>
        <w:rPr>
          <w:rFonts w:ascii="Times New Roman" w:hAnsi="Times New Roman"/>
          <w:szCs w:val="24"/>
          <w:lang w:val="hr-HR"/>
        </w:rPr>
        <w:t>министри</w:t>
      </w:r>
      <w:r w:rsidR="00317218" w:rsidRPr="006820FB">
        <w:rPr>
          <w:rFonts w:ascii="Times New Roman" w:hAnsi="Times New Roman"/>
          <w:szCs w:val="24"/>
          <w:lang w:val="hr-HR"/>
        </w:rPr>
        <w:t xml:space="preserve"> </w:t>
      </w:r>
      <w:r w:rsidR="00504358" w:rsidRPr="006820FB">
        <w:rPr>
          <w:rFonts w:ascii="Times New Roman" w:hAnsi="Times New Roman"/>
          <w:szCs w:val="24"/>
          <w:lang w:val="hr-HR"/>
        </w:rPr>
        <w:t xml:space="preserve">32 </w:t>
      </w:r>
      <w:r>
        <w:rPr>
          <w:rFonts w:ascii="Times New Roman" w:hAnsi="Times New Roman"/>
          <w:szCs w:val="24"/>
          <w:lang w:val="hr-HR"/>
        </w:rPr>
        <w:t>европске</w:t>
      </w:r>
      <w:r w:rsidR="00504358" w:rsidRPr="006820FB">
        <w:rPr>
          <w:rFonts w:ascii="Times New Roman" w:hAnsi="Times New Roman"/>
          <w:szCs w:val="24"/>
          <w:lang w:val="hr-HR"/>
        </w:rPr>
        <w:t xml:space="preserve"> </w:t>
      </w:r>
      <w:r>
        <w:rPr>
          <w:rFonts w:ascii="Times New Roman" w:hAnsi="Times New Roman"/>
          <w:szCs w:val="24"/>
          <w:lang w:val="hr-HR"/>
        </w:rPr>
        <w:t>државе</w:t>
      </w:r>
      <w:r w:rsidR="00504358" w:rsidRPr="006820FB">
        <w:rPr>
          <w:rFonts w:ascii="Times New Roman" w:hAnsi="Times New Roman"/>
          <w:szCs w:val="24"/>
          <w:lang w:val="hr-HR"/>
        </w:rPr>
        <w:t xml:space="preserve"> </w:t>
      </w:r>
      <w:r>
        <w:rPr>
          <w:rFonts w:ascii="Times New Roman" w:hAnsi="Times New Roman"/>
          <w:szCs w:val="24"/>
          <w:lang w:val="hr-HR"/>
        </w:rPr>
        <w:t>донијели</w:t>
      </w:r>
      <w:r w:rsidR="00317218" w:rsidRPr="006820FB">
        <w:rPr>
          <w:rFonts w:ascii="Times New Roman" w:hAnsi="Times New Roman"/>
          <w:szCs w:val="24"/>
          <w:lang w:val="hr-HR"/>
        </w:rPr>
        <w:t xml:space="preserve"> </w:t>
      </w:r>
      <w:r>
        <w:rPr>
          <w:rFonts w:ascii="Times New Roman" w:hAnsi="Times New Roman"/>
          <w:szCs w:val="24"/>
          <w:lang w:val="hr-HR"/>
        </w:rPr>
        <w:t>Заједничку</w:t>
      </w:r>
      <w:r w:rsidR="00317218" w:rsidRPr="006820FB">
        <w:rPr>
          <w:rFonts w:ascii="Times New Roman" w:hAnsi="Times New Roman"/>
          <w:szCs w:val="24"/>
          <w:lang w:val="hr-HR"/>
        </w:rPr>
        <w:t xml:space="preserve"> </w:t>
      </w:r>
      <w:r>
        <w:rPr>
          <w:rFonts w:ascii="Times New Roman" w:hAnsi="Times New Roman"/>
          <w:szCs w:val="24"/>
          <w:lang w:val="hr-HR"/>
        </w:rPr>
        <w:t>министарску</w:t>
      </w:r>
      <w:r w:rsidR="00317218" w:rsidRPr="006820FB">
        <w:rPr>
          <w:rFonts w:ascii="Times New Roman" w:hAnsi="Times New Roman"/>
          <w:szCs w:val="24"/>
          <w:lang w:val="hr-HR"/>
        </w:rPr>
        <w:t xml:space="preserve"> </w:t>
      </w:r>
      <w:r>
        <w:rPr>
          <w:rFonts w:ascii="Times New Roman" w:hAnsi="Times New Roman"/>
          <w:szCs w:val="24"/>
          <w:lang w:val="hr-HR"/>
        </w:rPr>
        <w:t>декларацију</w:t>
      </w:r>
      <w:r w:rsidR="00317218" w:rsidRPr="006820FB">
        <w:rPr>
          <w:rFonts w:ascii="Times New Roman" w:hAnsi="Times New Roman"/>
          <w:szCs w:val="24"/>
          <w:lang w:val="hr-HR"/>
        </w:rPr>
        <w:t xml:space="preserve"> </w:t>
      </w:r>
      <w:r>
        <w:rPr>
          <w:rFonts w:ascii="Times New Roman" w:hAnsi="Times New Roman"/>
          <w:szCs w:val="24"/>
          <w:lang w:val="hr-HR"/>
        </w:rPr>
        <w:t>под</w:t>
      </w:r>
      <w:r w:rsidR="00317218" w:rsidRPr="006820FB">
        <w:rPr>
          <w:rFonts w:ascii="Times New Roman" w:hAnsi="Times New Roman"/>
          <w:szCs w:val="24"/>
          <w:lang w:val="hr-HR"/>
        </w:rPr>
        <w:t xml:space="preserve"> </w:t>
      </w:r>
      <w:r>
        <w:rPr>
          <w:rFonts w:ascii="Times New Roman" w:hAnsi="Times New Roman"/>
          <w:szCs w:val="24"/>
          <w:lang w:val="hr-HR"/>
        </w:rPr>
        <w:t>називом</w:t>
      </w:r>
      <w:r w:rsidR="00317218" w:rsidRPr="006820FB">
        <w:rPr>
          <w:rFonts w:ascii="Times New Roman" w:hAnsi="Times New Roman"/>
          <w:szCs w:val="24"/>
          <w:lang w:val="hr-HR"/>
        </w:rPr>
        <w:t xml:space="preserve"> “</w:t>
      </w:r>
      <w:r>
        <w:rPr>
          <w:rFonts w:ascii="Times New Roman" w:hAnsi="Times New Roman"/>
          <w:szCs w:val="24"/>
          <w:lang w:val="hr-HR"/>
        </w:rPr>
        <w:t>Будућност</w:t>
      </w:r>
      <w:r w:rsidR="00317218" w:rsidRPr="006820FB">
        <w:rPr>
          <w:rFonts w:ascii="Times New Roman" w:hAnsi="Times New Roman"/>
          <w:szCs w:val="24"/>
          <w:lang w:val="hr-HR"/>
        </w:rPr>
        <w:t xml:space="preserve"> </w:t>
      </w:r>
      <w:r>
        <w:rPr>
          <w:rFonts w:ascii="Times New Roman" w:hAnsi="Times New Roman"/>
          <w:szCs w:val="24"/>
          <w:lang w:val="hr-HR"/>
        </w:rPr>
        <w:t>слободе</w:t>
      </w:r>
      <w:r w:rsidR="00317218" w:rsidRPr="006820FB">
        <w:rPr>
          <w:rFonts w:ascii="Times New Roman" w:hAnsi="Times New Roman"/>
          <w:szCs w:val="24"/>
          <w:lang w:val="hr-HR"/>
        </w:rPr>
        <w:t xml:space="preserve"> </w:t>
      </w:r>
      <w:r>
        <w:rPr>
          <w:rFonts w:ascii="Times New Roman" w:hAnsi="Times New Roman"/>
          <w:szCs w:val="24"/>
          <w:lang w:val="hr-HR"/>
        </w:rPr>
        <w:t>и</w:t>
      </w:r>
      <w:r w:rsidR="00317218" w:rsidRPr="006820FB">
        <w:rPr>
          <w:rFonts w:ascii="Times New Roman" w:hAnsi="Times New Roman"/>
          <w:szCs w:val="24"/>
          <w:lang w:val="hr-HR"/>
        </w:rPr>
        <w:t xml:space="preserve"> </w:t>
      </w:r>
      <w:r>
        <w:rPr>
          <w:rFonts w:ascii="Times New Roman" w:hAnsi="Times New Roman"/>
          <w:szCs w:val="24"/>
          <w:lang w:val="hr-HR"/>
        </w:rPr>
        <w:t>једнакости</w:t>
      </w:r>
      <w:r w:rsidR="00317218" w:rsidRPr="006820FB">
        <w:rPr>
          <w:rFonts w:ascii="Times New Roman" w:hAnsi="Times New Roman"/>
          <w:szCs w:val="24"/>
          <w:lang w:val="hr-HR"/>
        </w:rPr>
        <w:t xml:space="preserve"> </w:t>
      </w:r>
      <w:r>
        <w:rPr>
          <w:rFonts w:ascii="Times New Roman" w:hAnsi="Times New Roman"/>
          <w:szCs w:val="24"/>
          <w:lang w:val="hr-HR"/>
        </w:rPr>
        <w:t>у</w:t>
      </w:r>
      <w:r w:rsidR="00317218" w:rsidRPr="006820FB">
        <w:rPr>
          <w:rFonts w:ascii="Times New Roman" w:hAnsi="Times New Roman"/>
          <w:szCs w:val="24"/>
          <w:lang w:val="hr-HR"/>
        </w:rPr>
        <w:t xml:space="preserve"> </w:t>
      </w:r>
      <w:r>
        <w:rPr>
          <w:rFonts w:ascii="Times New Roman" w:hAnsi="Times New Roman"/>
          <w:szCs w:val="24"/>
          <w:lang w:val="hr-HR"/>
        </w:rPr>
        <w:t>Европи</w:t>
      </w:r>
      <w:r w:rsidR="00317218" w:rsidRPr="006820FB">
        <w:rPr>
          <w:rFonts w:ascii="Times New Roman" w:hAnsi="Times New Roman"/>
          <w:szCs w:val="24"/>
          <w:lang w:val="hr-HR"/>
        </w:rPr>
        <w:t xml:space="preserve">”. </w:t>
      </w:r>
      <w:r>
        <w:rPr>
          <w:rFonts w:ascii="Times New Roman" w:hAnsi="Times New Roman"/>
          <w:szCs w:val="24"/>
        </w:rPr>
        <w:t>Међу</w:t>
      </w:r>
      <w:r w:rsidR="00317218" w:rsidRPr="00295637">
        <w:rPr>
          <w:rFonts w:ascii="Times New Roman" w:hAnsi="Times New Roman"/>
          <w:szCs w:val="24"/>
        </w:rPr>
        <w:t xml:space="preserve"> </w:t>
      </w:r>
      <w:r>
        <w:rPr>
          <w:rFonts w:ascii="Times New Roman" w:hAnsi="Times New Roman"/>
          <w:szCs w:val="24"/>
        </w:rPr>
        <w:t>потписницима</w:t>
      </w:r>
      <w:r w:rsidR="00317218" w:rsidRPr="00295637">
        <w:rPr>
          <w:rFonts w:ascii="Times New Roman" w:hAnsi="Times New Roman"/>
          <w:szCs w:val="24"/>
        </w:rPr>
        <w:t xml:space="preserve"> </w:t>
      </w:r>
      <w:r>
        <w:rPr>
          <w:rFonts w:ascii="Times New Roman" w:hAnsi="Times New Roman"/>
          <w:szCs w:val="24"/>
        </w:rPr>
        <w:t>поменуте</w:t>
      </w:r>
      <w:r w:rsidR="00317218" w:rsidRPr="00295637">
        <w:rPr>
          <w:rFonts w:ascii="Times New Roman" w:hAnsi="Times New Roman"/>
          <w:szCs w:val="24"/>
        </w:rPr>
        <w:t xml:space="preserve"> </w:t>
      </w:r>
      <w:r>
        <w:rPr>
          <w:rFonts w:ascii="Times New Roman" w:hAnsi="Times New Roman"/>
          <w:szCs w:val="24"/>
        </w:rPr>
        <w:t>декларације</w:t>
      </w:r>
      <w:r w:rsidR="00317218" w:rsidRPr="00295637">
        <w:rPr>
          <w:rFonts w:ascii="Times New Roman" w:hAnsi="Times New Roman"/>
          <w:szCs w:val="24"/>
        </w:rPr>
        <w:t xml:space="preserve"> </w:t>
      </w:r>
      <w:r>
        <w:rPr>
          <w:rFonts w:ascii="Times New Roman" w:hAnsi="Times New Roman"/>
          <w:szCs w:val="24"/>
        </w:rPr>
        <w:t>био</w:t>
      </w:r>
      <w:r w:rsidR="00317218" w:rsidRPr="00295637">
        <w:rPr>
          <w:rFonts w:ascii="Times New Roman" w:hAnsi="Times New Roman"/>
          <w:szCs w:val="24"/>
        </w:rPr>
        <w:t xml:space="preserve"> </w:t>
      </w:r>
      <w:r>
        <w:rPr>
          <w:rFonts w:ascii="Times New Roman" w:hAnsi="Times New Roman"/>
          <w:szCs w:val="24"/>
        </w:rPr>
        <w:t>је</w:t>
      </w:r>
      <w:r w:rsidR="00317218" w:rsidRPr="00295637">
        <w:rPr>
          <w:rFonts w:ascii="Times New Roman" w:hAnsi="Times New Roman"/>
          <w:szCs w:val="24"/>
        </w:rPr>
        <w:t xml:space="preserve"> </w:t>
      </w:r>
      <w:r>
        <w:rPr>
          <w:rFonts w:ascii="Times New Roman" w:hAnsi="Times New Roman"/>
          <w:szCs w:val="24"/>
        </w:rPr>
        <w:t>и</w:t>
      </w:r>
      <w:r w:rsidR="00317218" w:rsidRPr="00295637">
        <w:rPr>
          <w:rFonts w:ascii="Times New Roman" w:hAnsi="Times New Roman"/>
          <w:szCs w:val="24"/>
        </w:rPr>
        <w:t xml:space="preserve"> </w:t>
      </w:r>
      <w:r>
        <w:rPr>
          <w:rFonts w:ascii="Times New Roman" w:hAnsi="Times New Roman"/>
          <w:szCs w:val="24"/>
        </w:rPr>
        <w:t>министар</w:t>
      </w:r>
      <w:r w:rsidR="00317218" w:rsidRPr="00295637">
        <w:rPr>
          <w:rFonts w:ascii="Times New Roman" w:hAnsi="Times New Roman"/>
          <w:szCs w:val="24"/>
        </w:rPr>
        <w:t xml:space="preserve"> </w:t>
      </w:r>
      <w:r>
        <w:rPr>
          <w:rFonts w:ascii="Times New Roman" w:hAnsi="Times New Roman"/>
          <w:szCs w:val="24"/>
        </w:rPr>
        <w:t>за</w:t>
      </w:r>
      <w:r w:rsidR="00317218" w:rsidRPr="00295637">
        <w:rPr>
          <w:rFonts w:ascii="Times New Roman" w:hAnsi="Times New Roman"/>
          <w:szCs w:val="24"/>
        </w:rPr>
        <w:t xml:space="preserve"> </w:t>
      </w:r>
      <w:r>
        <w:rPr>
          <w:rFonts w:ascii="Times New Roman" w:hAnsi="Times New Roman"/>
          <w:szCs w:val="24"/>
        </w:rPr>
        <w:t>људска</w:t>
      </w:r>
      <w:r w:rsidR="00317218" w:rsidRPr="00295637">
        <w:rPr>
          <w:rFonts w:ascii="Times New Roman" w:hAnsi="Times New Roman"/>
          <w:szCs w:val="24"/>
        </w:rPr>
        <w:t xml:space="preserve"> </w:t>
      </w:r>
      <w:r>
        <w:rPr>
          <w:rFonts w:ascii="Times New Roman" w:hAnsi="Times New Roman"/>
          <w:szCs w:val="24"/>
        </w:rPr>
        <w:t>права</w:t>
      </w:r>
      <w:r w:rsidR="00317218" w:rsidRPr="00295637">
        <w:rPr>
          <w:rFonts w:ascii="Times New Roman" w:hAnsi="Times New Roman"/>
          <w:szCs w:val="24"/>
        </w:rPr>
        <w:t xml:space="preserve"> </w:t>
      </w:r>
      <w:r>
        <w:rPr>
          <w:rFonts w:ascii="Times New Roman" w:hAnsi="Times New Roman"/>
          <w:szCs w:val="24"/>
        </w:rPr>
        <w:t>и</w:t>
      </w:r>
      <w:r w:rsidR="00317218" w:rsidRPr="00295637">
        <w:rPr>
          <w:rFonts w:ascii="Times New Roman" w:hAnsi="Times New Roman"/>
          <w:szCs w:val="24"/>
        </w:rPr>
        <w:t xml:space="preserve"> </w:t>
      </w:r>
      <w:r>
        <w:rPr>
          <w:rFonts w:ascii="Times New Roman" w:hAnsi="Times New Roman"/>
          <w:szCs w:val="24"/>
        </w:rPr>
        <w:t>избјеглице</w:t>
      </w:r>
      <w:r w:rsidR="00317218" w:rsidRPr="00295637">
        <w:rPr>
          <w:rFonts w:ascii="Times New Roman" w:hAnsi="Times New Roman"/>
          <w:szCs w:val="24"/>
        </w:rPr>
        <w:t xml:space="preserve"> </w:t>
      </w:r>
      <w:r>
        <w:rPr>
          <w:rFonts w:ascii="Times New Roman" w:hAnsi="Times New Roman"/>
          <w:szCs w:val="24"/>
        </w:rPr>
        <w:t>БиХ</w:t>
      </w:r>
      <w:r w:rsidR="00317218" w:rsidRPr="00295637">
        <w:rPr>
          <w:rFonts w:ascii="Times New Roman" w:hAnsi="Times New Roman"/>
          <w:szCs w:val="24"/>
        </w:rPr>
        <w:t xml:space="preserve">, </w:t>
      </w:r>
      <w:r>
        <w:rPr>
          <w:rFonts w:ascii="Times New Roman" w:hAnsi="Times New Roman"/>
          <w:szCs w:val="24"/>
        </w:rPr>
        <w:t>који</w:t>
      </w:r>
      <w:r w:rsidR="00317218" w:rsidRPr="00295637">
        <w:rPr>
          <w:rFonts w:ascii="Times New Roman" w:hAnsi="Times New Roman"/>
          <w:szCs w:val="24"/>
        </w:rPr>
        <w:t xml:space="preserve"> </w:t>
      </w:r>
      <w:r>
        <w:rPr>
          <w:rFonts w:ascii="Times New Roman" w:hAnsi="Times New Roman"/>
          <w:szCs w:val="24"/>
        </w:rPr>
        <w:t>је</w:t>
      </w:r>
      <w:r w:rsidR="00317218" w:rsidRPr="00295637">
        <w:rPr>
          <w:rFonts w:ascii="Times New Roman" w:hAnsi="Times New Roman"/>
          <w:szCs w:val="24"/>
        </w:rPr>
        <w:t xml:space="preserve"> </w:t>
      </w:r>
      <w:r>
        <w:rPr>
          <w:rFonts w:ascii="Times New Roman" w:hAnsi="Times New Roman"/>
          <w:szCs w:val="24"/>
        </w:rPr>
        <w:t>учествовао</w:t>
      </w:r>
      <w:r w:rsidR="00317218" w:rsidRPr="00295637">
        <w:rPr>
          <w:rFonts w:ascii="Times New Roman" w:hAnsi="Times New Roman"/>
          <w:szCs w:val="24"/>
        </w:rPr>
        <w:t xml:space="preserve"> </w:t>
      </w:r>
      <w:r>
        <w:rPr>
          <w:rFonts w:ascii="Times New Roman" w:hAnsi="Times New Roman"/>
          <w:szCs w:val="24"/>
        </w:rPr>
        <w:t>у</w:t>
      </w:r>
      <w:r w:rsidR="00317218" w:rsidRPr="00295637">
        <w:rPr>
          <w:rFonts w:ascii="Times New Roman" w:hAnsi="Times New Roman"/>
          <w:szCs w:val="24"/>
        </w:rPr>
        <w:t xml:space="preserve"> </w:t>
      </w:r>
      <w:r>
        <w:rPr>
          <w:rFonts w:ascii="Times New Roman" w:hAnsi="Times New Roman"/>
          <w:szCs w:val="24"/>
        </w:rPr>
        <w:t>раду</w:t>
      </w:r>
      <w:r w:rsidR="00317218" w:rsidRPr="00295637">
        <w:rPr>
          <w:rFonts w:ascii="Times New Roman" w:hAnsi="Times New Roman"/>
          <w:szCs w:val="24"/>
        </w:rPr>
        <w:t xml:space="preserve"> </w:t>
      </w:r>
      <w:r w:rsidR="005F49F6" w:rsidRPr="005F49F6">
        <w:rPr>
          <w:rFonts w:ascii="Times New Roman" w:hAnsi="Times New Roman"/>
          <w:i/>
          <w:szCs w:val="24"/>
          <w:lang w:val="hr-HR"/>
        </w:rPr>
        <w:t>IDAHOT</w:t>
      </w:r>
      <w:r w:rsidR="00317218" w:rsidRPr="00295637">
        <w:rPr>
          <w:rFonts w:ascii="Times New Roman" w:hAnsi="Times New Roman"/>
          <w:szCs w:val="24"/>
        </w:rPr>
        <w:t>-</w:t>
      </w:r>
      <w:r>
        <w:rPr>
          <w:rFonts w:ascii="Times New Roman" w:hAnsi="Times New Roman"/>
          <w:szCs w:val="24"/>
        </w:rPr>
        <w:t>Форума</w:t>
      </w:r>
      <w:r w:rsidR="00317218" w:rsidRPr="00295637">
        <w:rPr>
          <w:rFonts w:ascii="Times New Roman" w:hAnsi="Times New Roman"/>
          <w:szCs w:val="24"/>
        </w:rPr>
        <w:t xml:space="preserve"> </w:t>
      </w:r>
      <w:r>
        <w:rPr>
          <w:rFonts w:ascii="Times New Roman" w:hAnsi="Times New Roman"/>
          <w:szCs w:val="24"/>
        </w:rPr>
        <w:t>у</w:t>
      </w:r>
      <w:r w:rsidR="00317218" w:rsidRPr="00295637">
        <w:rPr>
          <w:rFonts w:ascii="Times New Roman" w:hAnsi="Times New Roman"/>
          <w:szCs w:val="24"/>
        </w:rPr>
        <w:t xml:space="preserve"> </w:t>
      </w:r>
      <w:r>
        <w:rPr>
          <w:rFonts w:ascii="Times New Roman" w:hAnsi="Times New Roman"/>
          <w:szCs w:val="24"/>
        </w:rPr>
        <w:t>Хагу</w:t>
      </w:r>
      <w:r w:rsidR="00317218" w:rsidRPr="00295637">
        <w:rPr>
          <w:rFonts w:ascii="Times New Roman" w:hAnsi="Times New Roman"/>
          <w:szCs w:val="24"/>
        </w:rPr>
        <w:t xml:space="preserve">. </w:t>
      </w:r>
      <w:r>
        <w:rPr>
          <w:rFonts w:ascii="Times New Roman" w:hAnsi="Times New Roman"/>
          <w:szCs w:val="24"/>
          <w:shd w:val="clear" w:color="auto" w:fill="FFFFFF"/>
        </w:rPr>
        <w:t>Поред</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тога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АР</w:t>
      </w:r>
      <w:r w:rsidR="005F49F6">
        <w:rPr>
          <w:rFonts w:ascii="Times New Roman" w:hAnsi="Times New Roman"/>
          <w:szCs w:val="24"/>
          <w:shd w:val="clear" w:color="auto" w:fill="FFFFFF"/>
          <w:lang w:val="sr-Cyrl-BA"/>
        </w:rPr>
        <w:t>П</w:t>
      </w:r>
      <w:r w:rsidR="00C67E03">
        <w:rPr>
          <w:rFonts w:ascii="Times New Roman" w:hAnsi="Times New Roman"/>
          <w:szCs w:val="24"/>
          <w:shd w:val="clear" w:color="auto" w:fill="FFFFFF"/>
        </w:rPr>
        <w:t xml:space="preserve"> </w:t>
      </w:r>
      <w:r>
        <w:rPr>
          <w:rFonts w:ascii="Times New Roman" w:hAnsi="Times New Roman"/>
          <w:szCs w:val="24"/>
          <w:shd w:val="clear" w:color="auto" w:fill="FFFFFF"/>
        </w:rPr>
        <w:t>БиХ</w:t>
      </w:r>
      <w:r w:rsidR="00C67E03">
        <w:rPr>
          <w:rFonts w:ascii="Times New Roman" w:hAnsi="Times New Roman"/>
          <w:szCs w:val="24"/>
          <w:shd w:val="clear" w:color="auto" w:fill="FFFFFF"/>
        </w:rPr>
        <w:t xml:space="preserve"> </w:t>
      </w:r>
      <w:r>
        <w:rPr>
          <w:rFonts w:ascii="Times New Roman" w:hAnsi="Times New Roman"/>
          <w:szCs w:val="24"/>
          <w:shd w:val="clear" w:color="auto" w:fill="FFFFFF"/>
        </w:rPr>
        <w:t>МЉПИ</w:t>
      </w:r>
      <w:r w:rsidR="00C67E03">
        <w:rPr>
          <w:rFonts w:ascii="Times New Roman" w:hAnsi="Times New Roman"/>
          <w:szCs w:val="24"/>
          <w:shd w:val="clear" w:color="auto" w:fill="FFFFFF"/>
        </w:rPr>
        <w:t xml:space="preserve"> </w:t>
      </w:r>
      <w:r>
        <w:rPr>
          <w:rFonts w:ascii="Times New Roman" w:hAnsi="Times New Roman"/>
          <w:szCs w:val="24"/>
          <w:shd w:val="clear" w:color="auto" w:fill="FFFFFF"/>
        </w:rPr>
        <w:t>БиХ</w:t>
      </w:r>
      <w:r w:rsidR="009E54A2" w:rsidRPr="00295637">
        <w:rPr>
          <w:rFonts w:ascii="Times New Roman" w:hAnsi="Times New Roman"/>
          <w:szCs w:val="24"/>
          <w:shd w:val="clear" w:color="auto" w:fill="FFFFFF"/>
        </w:rPr>
        <w:t xml:space="preserve"> </w:t>
      </w:r>
      <w:r>
        <w:rPr>
          <w:rFonts w:ascii="Times New Roman" w:hAnsi="Times New Roman"/>
          <w:szCs w:val="24"/>
          <w:shd w:val="clear" w:color="auto" w:fill="FFFFFF"/>
        </w:rPr>
        <w:t>издавала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је</w:t>
      </w:r>
      <w:r w:rsidR="00C67E03" w:rsidRPr="00295637">
        <w:rPr>
          <w:rFonts w:ascii="Times New Roman" w:hAnsi="Times New Roman"/>
          <w:szCs w:val="24"/>
          <w:shd w:val="clear" w:color="auto" w:fill="FFFFFF"/>
        </w:rPr>
        <w:t xml:space="preserve"> </w:t>
      </w:r>
      <w:r>
        <w:rPr>
          <w:rFonts w:ascii="Times New Roman" w:hAnsi="Times New Roman"/>
          <w:szCs w:val="24"/>
          <w:shd w:val="clear" w:color="auto" w:fill="FFFFFF"/>
        </w:rPr>
        <w:t>јавна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саоп</w:t>
      </w:r>
      <w:r w:rsidR="005F49F6">
        <w:rPr>
          <w:rFonts w:ascii="Times New Roman" w:hAnsi="Times New Roman"/>
          <w:szCs w:val="24"/>
          <w:shd w:val="clear" w:color="auto" w:fill="FFFFFF"/>
          <w:lang w:val="sr-Cyrl-BA"/>
        </w:rPr>
        <w:t>шт</w:t>
      </w:r>
      <w:r>
        <w:rPr>
          <w:rFonts w:ascii="Times New Roman" w:hAnsi="Times New Roman"/>
          <w:szCs w:val="24"/>
          <w:shd w:val="clear" w:color="auto" w:fill="FFFFFF"/>
        </w:rPr>
        <w:t>ења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поводом</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обиљежавања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дана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видљивости</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транс</w:t>
      </w:r>
      <w:r w:rsidR="00317218" w:rsidRPr="00295637">
        <w:rPr>
          <w:rFonts w:ascii="Times New Roman" w:hAnsi="Times New Roman"/>
          <w:szCs w:val="24"/>
          <w:shd w:val="clear" w:color="auto" w:fill="FFFFFF"/>
        </w:rPr>
        <w:t>-</w:t>
      </w:r>
      <w:r>
        <w:rPr>
          <w:rFonts w:ascii="Times New Roman" w:hAnsi="Times New Roman"/>
          <w:szCs w:val="24"/>
          <w:shd w:val="clear" w:color="auto" w:fill="FFFFFF"/>
        </w:rPr>
        <w:t>лица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Међународног</w:t>
      </w:r>
      <w:r w:rsidR="00317218" w:rsidRPr="00295637">
        <w:rPr>
          <w:rFonts w:ascii="Times New Roman" w:hAnsi="Times New Roman"/>
          <w:szCs w:val="24"/>
          <w:shd w:val="clear" w:color="auto" w:fill="FFFFFF"/>
        </w:rPr>
        <w:t xml:space="preserve"> </w:t>
      </w:r>
      <w:r w:rsidR="005F49F6" w:rsidRPr="005F49F6">
        <w:rPr>
          <w:rFonts w:ascii="Times New Roman" w:hAnsi="Times New Roman"/>
          <w:i/>
          <w:szCs w:val="24"/>
          <w:shd w:val="clear" w:color="auto" w:fill="FFFFFF"/>
          <w:lang w:val="hr-HR"/>
        </w:rPr>
        <w:t>IDAHOT</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дана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и</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одржавања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Поворке</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поноса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као</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и</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реализ</w:t>
      </w:r>
      <w:r w:rsidR="005F49F6">
        <w:rPr>
          <w:rFonts w:ascii="Times New Roman" w:hAnsi="Times New Roman"/>
          <w:szCs w:val="24"/>
          <w:shd w:val="clear" w:color="auto" w:fill="FFFFFF"/>
          <w:lang w:val="sr-Cyrl-BA"/>
        </w:rPr>
        <w:t>овала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гостовања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и</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медијске</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наступе</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у</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сврху</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скретања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пажње</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бх</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јавности</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на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потребу</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унапређења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положаја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ЛГБТИ</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лица</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у</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Босни</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и</w:t>
      </w:r>
      <w:r w:rsidR="00317218" w:rsidRPr="00295637">
        <w:rPr>
          <w:rFonts w:ascii="Times New Roman" w:hAnsi="Times New Roman"/>
          <w:szCs w:val="24"/>
          <w:shd w:val="clear" w:color="auto" w:fill="FFFFFF"/>
        </w:rPr>
        <w:t xml:space="preserve"> </w:t>
      </w:r>
      <w:r>
        <w:rPr>
          <w:rFonts w:ascii="Times New Roman" w:hAnsi="Times New Roman"/>
          <w:szCs w:val="24"/>
          <w:shd w:val="clear" w:color="auto" w:fill="FFFFFF"/>
        </w:rPr>
        <w:t>Херцеговини</w:t>
      </w:r>
      <w:r w:rsidR="00317218" w:rsidRPr="00295637">
        <w:rPr>
          <w:rFonts w:ascii="Times New Roman" w:hAnsi="Times New Roman"/>
          <w:szCs w:val="24"/>
          <w:shd w:val="clear" w:color="auto" w:fill="FFFFFF"/>
        </w:rPr>
        <w:t>.</w:t>
      </w:r>
    </w:p>
    <w:p w:rsidR="00447E84" w:rsidRPr="00295637" w:rsidRDefault="00447E84" w:rsidP="0086268D">
      <w:pPr>
        <w:jc w:val="both"/>
        <w:rPr>
          <w:lang w:val="bs-Latn-BA"/>
        </w:rPr>
      </w:pPr>
    </w:p>
    <w:p w:rsidR="00DB4AC0"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Већ</w:t>
      </w:r>
      <w:r w:rsidR="00FB150B" w:rsidRPr="00295637">
        <w:rPr>
          <w:rFonts w:ascii="Times New Roman" w:hAnsi="Times New Roman"/>
          <w:szCs w:val="24"/>
          <w:lang w:val="bs-Latn-BA"/>
        </w:rPr>
        <w:t xml:space="preserve"> </w:t>
      </w:r>
      <w:r>
        <w:rPr>
          <w:rFonts w:ascii="Times New Roman" w:hAnsi="Times New Roman"/>
          <w:szCs w:val="24"/>
          <w:lang w:val="bs-Latn-BA"/>
        </w:rPr>
        <w:t>седму</w:t>
      </w:r>
      <w:r w:rsidR="00FB150B" w:rsidRPr="00295637">
        <w:rPr>
          <w:rFonts w:ascii="Times New Roman" w:hAnsi="Times New Roman"/>
          <w:szCs w:val="24"/>
          <w:lang w:val="bs-Latn-BA"/>
        </w:rPr>
        <w:t xml:space="preserve"> </w:t>
      </w:r>
      <w:r>
        <w:rPr>
          <w:rFonts w:ascii="Times New Roman" w:hAnsi="Times New Roman"/>
          <w:szCs w:val="24"/>
          <w:lang w:val="bs-Latn-BA"/>
        </w:rPr>
        <w:t>годину</w:t>
      </w:r>
      <w:r w:rsidR="00FB150B" w:rsidRPr="00295637">
        <w:rPr>
          <w:rFonts w:ascii="Times New Roman" w:hAnsi="Times New Roman"/>
          <w:szCs w:val="24"/>
          <w:lang w:val="bs-Latn-BA"/>
        </w:rPr>
        <w:t xml:space="preserve"> </w:t>
      </w:r>
      <w:r>
        <w:rPr>
          <w:rFonts w:ascii="Times New Roman" w:hAnsi="Times New Roman"/>
          <w:szCs w:val="24"/>
          <w:lang w:val="bs-Latn-BA"/>
        </w:rPr>
        <w:t>на</w:t>
      </w:r>
      <w:r w:rsidR="00FB150B" w:rsidRPr="00295637">
        <w:rPr>
          <w:rFonts w:ascii="Times New Roman" w:hAnsi="Times New Roman"/>
          <w:szCs w:val="24"/>
          <w:lang w:val="bs-Latn-BA"/>
        </w:rPr>
        <w:t xml:space="preserve"> </w:t>
      </w:r>
      <w:r>
        <w:rPr>
          <w:rFonts w:ascii="Times New Roman" w:hAnsi="Times New Roman"/>
          <w:szCs w:val="24"/>
          <w:lang w:val="bs-Latn-BA"/>
        </w:rPr>
        <w:t>БХ</w:t>
      </w:r>
      <w:r w:rsidR="00FB150B" w:rsidRPr="00295637">
        <w:rPr>
          <w:rFonts w:ascii="Times New Roman" w:hAnsi="Times New Roman"/>
          <w:szCs w:val="24"/>
          <w:lang w:val="bs-Latn-BA"/>
        </w:rPr>
        <w:t xml:space="preserve"> </w:t>
      </w:r>
      <w:r>
        <w:rPr>
          <w:rFonts w:ascii="Times New Roman" w:hAnsi="Times New Roman"/>
          <w:szCs w:val="24"/>
          <w:lang w:val="bs-Latn-BA"/>
        </w:rPr>
        <w:t>Радију</w:t>
      </w:r>
      <w:r w:rsidR="00FB150B" w:rsidRPr="00295637">
        <w:rPr>
          <w:rFonts w:ascii="Times New Roman" w:hAnsi="Times New Roman"/>
          <w:szCs w:val="24"/>
          <w:lang w:val="bs-Latn-BA"/>
        </w:rPr>
        <w:t xml:space="preserve"> 1 </w:t>
      </w:r>
      <w:r w:rsidR="005F49F6">
        <w:rPr>
          <w:rFonts w:ascii="Times New Roman" w:hAnsi="Times New Roman"/>
          <w:szCs w:val="24"/>
          <w:lang w:val="bs-Latn-BA"/>
        </w:rPr>
        <w:t xml:space="preserve">се </w:t>
      </w:r>
      <w:r>
        <w:rPr>
          <w:rFonts w:ascii="Times New Roman" w:hAnsi="Times New Roman"/>
          <w:szCs w:val="24"/>
          <w:lang w:val="bs-Latn-BA"/>
        </w:rPr>
        <w:t>емитује</w:t>
      </w:r>
      <w:r w:rsidR="00FB150B" w:rsidRPr="00295637">
        <w:rPr>
          <w:rFonts w:ascii="Times New Roman" w:hAnsi="Times New Roman"/>
          <w:szCs w:val="24"/>
          <w:lang w:val="bs-Latn-BA"/>
        </w:rPr>
        <w:t xml:space="preserve"> </w:t>
      </w:r>
      <w:r>
        <w:rPr>
          <w:rFonts w:ascii="Times New Roman" w:hAnsi="Times New Roman"/>
          <w:szCs w:val="24"/>
          <w:lang w:val="bs-Latn-BA"/>
        </w:rPr>
        <w:t>емисија</w:t>
      </w:r>
      <w:r w:rsidR="00FB150B" w:rsidRPr="00295637">
        <w:rPr>
          <w:rFonts w:ascii="Times New Roman" w:hAnsi="Times New Roman"/>
          <w:szCs w:val="24"/>
          <w:lang w:val="bs-Latn-BA"/>
        </w:rPr>
        <w:t xml:space="preserve"> „</w:t>
      </w:r>
      <w:r>
        <w:rPr>
          <w:rFonts w:ascii="Times New Roman" w:hAnsi="Times New Roman"/>
          <w:szCs w:val="24"/>
          <w:lang w:val="bs-Latn-BA"/>
        </w:rPr>
        <w:t>Међу</w:t>
      </w:r>
      <w:r w:rsidR="00FB150B" w:rsidRPr="00295637">
        <w:rPr>
          <w:rFonts w:ascii="Times New Roman" w:hAnsi="Times New Roman"/>
          <w:szCs w:val="24"/>
          <w:lang w:val="bs-Latn-BA"/>
        </w:rPr>
        <w:t xml:space="preserve"> </w:t>
      </w:r>
      <w:r>
        <w:rPr>
          <w:rFonts w:ascii="Times New Roman" w:hAnsi="Times New Roman"/>
          <w:szCs w:val="24"/>
          <w:lang w:val="bs-Latn-BA"/>
        </w:rPr>
        <w:t>нама</w:t>
      </w:r>
      <w:r w:rsidR="00FB150B" w:rsidRPr="00295637">
        <w:rPr>
          <w:rFonts w:ascii="Times New Roman" w:hAnsi="Times New Roman"/>
          <w:szCs w:val="24"/>
          <w:lang w:val="bs-Latn-BA"/>
        </w:rPr>
        <w:t xml:space="preserve"> </w:t>
      </w:r>
      <w:r>
        <w:rPr>
          <w:rFonts w:ascii="Times New Roman" w:hAnsi="Times New Roman"/>
          <w:szCs w:val="24"/>
          <w:lang w:val="bs-Latn-BA"/>
        </w:rPr>
        <w:t>о</w:t>
      </w:r>
      <w:r w:rsidR="00FB150B" w:rsidRPr="00295637">
        <w:rPr>
          <w:rFonts w:ascii="Times New Roman" w:hAnsi="Times New Roman"/>
          <w:szCs w:val="24"/>
          <w:lang w:val="bs-Latn-BA"/>
        </w:rPr>
        <w:t xml:space="preserve"> </w:t>
      </w:r>
      <w:r>
        <w:rPr>
          <w:rFonts w:ascii="Times New Roman" w:hAnsi="Times New Roman"/>
          <w:szCs w:val="24"/>
          <w:lang w:val="bs-Latn-BA"/>
        </w:rPr>
        <w:t>нама</w:t>
      </w:r>
      <w:r w:rsidR="00FB150B" w:rsidRPr="00295637">
        <w:rPr>
          <w:rFonts w:ascii="Times New Roman" w:hAnsi="Times New Roman"/>
          <w:szCs w:val="24"/>
          <w:lang w:val="bs-Latn-BA"/>
        </w:rPr>
        <w:t xml:space="preserve">“ </w:t>
      </w:r>
      <w:r>
        <w:rPr>
          <w:rFonts w:ascii="Times New Roman" w:hAnsi="Times New Roman"/>
          <w:szCs w:val="24"/>
          <w:lang w:val="bs-Latn-BA"/>
        </w:rPr>
        <w:t>у</w:t>
      </w:r>
      <w:r w:rsidR="00FB150B" w:rsidRPr="00295637">
        <w:rPr>
          <w:rFonts w:ascii="Times New Roman" w:hAnsi="Times New Roman"/>
          <w:szCs w:val="24"/>
          <w:lang w:val="bs-Latn-BA"/>
        </w:rPr>
        <w:t xml:space="preserve"> </w:t>
      </w:r>
      <w:r>
        <w:rPr>
          <w:rFonts w:ascii="Times New Roman" w:hAnsi="Times New Roman"/>
          <w:szCs w:val="24"/>
          <w:lang w:val="bs-Latn-BA"/>
        </w:rPr>
        <w:t>којој</w:t>
      </w:r>
      <w:r w:rsidR="00FB150B" w:rsidRPr="00295637">
        <w:rPr>
          <w:rFonts w:ascii="Times New Roman" w:hAnsi="Times New Roman"/>
          <w:szCs w:val="24"/>
          <w:lang w:val="bs-Latn-BA"/>
        </w:rPr>
        <w:t xml:space="preserve"> </w:t>
      </w:r>
      <w:r>
        <w:rPr>
          <w:rFonts w:ascii="Times New Roman" w:hAnsi="Times New Roman"/>
          <w:szCs w:val="24"/>
          <w:lang w:val="bs-Latn-BA"/>
        </w:rPr>
        <w:t>се</w:t>
      </w:r>
      <w:r w:rsidR="00FB150B" w:rsidRPr="00295637">
        <w:rPr>
          <w:rFonts w:ascii="Times New Roman" w:hAnsi="Times New Roman"/>
          <w:szCs w:val="24"/>
          <w:lang w:val="bs-Latn-BA"/>
        </w:rPr>
        <w:t xml:space="preserve"> </w:t>
      </w:r>
      <w:r>
        <w:rPr>
          <w:rFonts w:ascii="Times New Roman" w:hAnsi="Times New Roman"/>
          <w:szCs w:val="24"/>
          <w:lang w:val="bs-Latn-BA"/>
        </w:rPr>
        <w:t>говори</w:t>
      </w:r>
      <w:r w:rsidR="00FB150B" w:rsidRPr="00295637">
        <w:rPr>
          <w:rFonts w:ascii="Times New Roman" w:hAnsi="Times New Roman"/>
          <w:szCs w:val="24"/>
          <w:lang w:val="bs-Latn-BA"/>
        </w:rPr>
        <w:t xml:space="preserve"> </w:t>
      </w:r>
      <w:r>
        <w:rPr>
          <w:rFonts w:ascii="Times New Roman" w:hAnsi="Times New Roman"/>
          <w:szCs w:val="24"/>
          <w:lang w:val="bs-Latn-BA"/>
        </w:rPr>
        <w:t>о</w:t>
      </w:r>
      <w:r w:rsidR="00FB150B" w:rsidRPr="00295637">
        <w:rPr>
          <w:rFonts w:ascii="Times New Roman" w:hAnsi="Times New Roman"/>
          <w:szCs w:val="24"/>
          <w:lang w:val="bs-Latn-BA"/>
        </w:rPr>
        <w:t xml:space="preserve"> </w:t>
      </w:r>
      <w:r>
        <w:rPr>
          <w:rFonts w:ascii="Times New Roman" w:hAnsi="Times New Roman"/>
          <w:szCs w:val="24"/>
          <w:lang w:val="bs-Latn-BA"/>
        </w:rPr>
        <w:t>дискриминацији</w:t>
      </w:r>
      <w:r w:rsidR="00FB150B" w:rsidRPr="00295637">
        <w:rPr>
          <w:rFonts w:ascii="Times New Roman" w:hAnsi="Times New Roman"/>
          <w:szCs w:val="24"/>
          <w:lang w:val="bs-Latn-BA"/>
        </w:rPr>
        <w:t xml:space="preserve">, </w:t>
      </w:r>
      <w:r>
        <w:rPr>
          <w:rFonts w:ascii="Times New Roman" w:hAnsi="Times New Roman"/>
          <w:szCs w:val="24"/>
          <w:lang w:val="bs-Latn-BA"/>
        </w:rPr>
        <w:t>препрекама</w:t>
      </w:r>
      <w:r w:rsidR="00FB150B" w:rsidRPr="00295637">
        <w:rPr>
          <w:rFonts w:ascii="Times New Roman" w:hAnsi="Times New Roman"/>
          <w:szCs w:val="24"/>
          <w:lang w:val="bs-Latn-BA"/>
        </w:rPr>
        <w:t xml:space="preserve">, </w:t>
      </w:r>
      <w:r>
        <w:rPr>
          <w:rFonts w:ascii="Times New Roman" w:hAnsi="Times New Roman"/>
          <w:szCs w:val="24"/>
          <w:lang w:val="bs-Latn-BA"/>
        </w:rPr>
        <w:t>изазовима</w:t>
      </w:r>
      <w:r w:rsidR="00FB150B" w:rsidRPr="00295637">
        <w:rPr>
          <w:rFonts w:ascii="Times New Roman" w:hAnsi="Times New Roman"/>
          <w:szCs w:val="24"/>
          <w:lang w:val="bs-Latn-BA"/>
        </w:rPr>
        <w:t xml:space="preserve"> </w:t>
      </w:r>
      <w:r>
        <w:rPr>
          <w:rFonts w:ascii="Times New Roman" w:hAnsi="Times New Roman"/>
          <w:szCs w:val="24"/>
          <w:lang w:val="bs-Latn-BA"/>
        </w:rPr>
        <w:t>и</w:t>
      </w:r>
      <w:r w:rsidR="00FB150B" w:rsidRPr="00295637">
        <w:rPr>
          <w:rFonts w:ascii="Times New Roman" w:hAnsi="Times New Roman"/>
          <w:szCs w:val="24"/>
          <w:lang w:val="bs-Latn-BA"/>
        </w:rPr>
        <w:t xml:space="preserve"> </w:t>
      </w:r>
      <w:r>
        <w:rPr>
          <w:rFonts w:ascii="Times New Roman" w:hAnsi="Times New Roman"/>
          <w:szCs w:val="24"/>
          <w:lang w:val="bs-Latn-BA"/>
        </w:rPr>
        <w:t>постигнућима</w:t>
      </w:r>
      <w:r w:rsidR="00FB150B" w:rsidRPr="00295637">
        <w:rPr>
          <w:rFonts w:ascii="Times New Roman" w:hAnsi="Times New Roman"/>
          <w:szCs w:val="24"/>
          <w:lang w:val="bs-Latn-BA"/>
        </w:rPr>
        <w:t xml:space="preserve"> </w:t>
      </w:r>
      <w:r>
        <w:rPr>
          <w:rFonts w:ascii="Times New Roman" w:hAnsi="Times New Roman"/>
          <w:szCs w:val="24"/>
          <w:lang w:val="bs-Latn-BA"/>
        </w:rPr>
        <w:t>рањивих</w:t>
      </w:r>
      <w:r w:rsidR="00FB150B" w:rsidRPr="00295637">
        <w:rPr>
          <w:rFonts w:ascii="Times New Roman" w:hAnsi="Times New Roman"/>
          <w:szCs w:val="24"/>
          <w:lang w:val="bs-Latn-BA"/>
        </w:rPr>
        <w:t xml:space="preserve"> </w:t>
      </w:r>
      <w:r>
        <w:rPr>
          <w:rFonts w:ascii="Times New Roman" w:hAnsi="Times New Roman"/>
          <w:szCs w:val="24"/>
          <w:lang w:val="bs-Latn-BA"/>
        </w:rPr>
        <w:t>и</w:t>
      </w:r>
      <w:r w:rsidR="00FB150B" w:rsidRPr="00295637">
        <w:rPr>
          <w:rFonts w:ascii="Times New Roman" w:hAnsi="Times New Roman"/>
          <w:szCs w:val="24"/>
          <w:lang w:val="bs-Latn-BA"/>
        </w:rPr>
        <w:t xml:space="preserve"> </w:t>
      </w:r>
      <w:r>
        <w:rPr>
          <w:rFonts w:ascii="Times New Roman" w:hAnsi="Times New Roman"/>
          <w:szCs w:val="24"/>
          <w:lang w:val="bs-Latn-BA"/>
        </w:rPr>
        <w:t>маргинализ</w:t>
      </w:r>
      <w:r w:rsidR="005F49F6">
        <w:rPr>
          <w:rFonts w:ascii="Times New Roman" w:hAnsi="Times New Roman"/>
          <w:szCs w:val="24"/>
          <w:lang w:val="sr-Cyrl-BA"/>
        </w:rPr>
        <w:t>ованих</w:t>
      </w:r>
      <w:r w:rsidR="00FB150B" w:rsidRPr="00295637">
        <w:rPr>
          <w:rFonts w:ascii="Times New Roman" w:hAnsi="Times New Roman"/>
          <w:szCs w:val="24"/>
          <w:lang w:val="bs-Latn-BA"/>
        </w:rPr>
        <w:t xml:space="preserve"> </w:t>
      </w:r>
      <w:r>
        <w:rPr>
          <w:rFonts w:ascii="Times New Roman" w:hAnsi="Times New Roman"/>
          <w:szCs w:val="24"/>
          <w:lang w:val="bs-Latn-BA"/>
        </w:rPr>
        <w:t>група</w:t>
      </w:r>
      <w:r w:rsidR="00FB150B" w:rsidRPr="00295637">
        <w:rPr>
          <w:rFonts w:ascii="Times New Roman" w:hAnsi="Times New Roman"/>
          <w:szCs w:val="24"/>
          <w:lang w:val="bs-Latn-BA"/>
        </w:rPr>
        <w:t xml:space="preserve"> </w:t>
      </w:r>
      <w:r>
        <w:rPr>
          <w:rFonts w:ascii="Times New Roman" w:hAnsi="Times New Roman"/>
          <w:szCs w:val="24"/>
          <w:lang w:val="bs-Latn-BA"/>
        </w:rPr>
        <w:t>у</w:t>
      </w:r>
      <w:r w:rsidR="00FB150B" w:rsidRPr="00295637">
        <w:rPr>
          <w:rFonts w:ascii="Times New Roman" w:hAnsi="Times New Roman"/>
          <w:szCs w:val="24"/>
          <w:lang w:val="bs-Latn-BA"/>
        </w:rPr>
        <w:t xml:space="preserve"> </w:t>
      </w:r>
      <w:r>
        <w:rPr>
          <w:rFonts w:ascii="Times New Roman" w:hAnsi="Times New Roman"/>
          <w:szCs w:val="24"/>
          <w:lang w:val="bs-Latn-BA"/>
        </w:rPr>
        <w:t>Босни</w:t>
      </w:r>
      <w:r w:rsidR="00FB150B" w:rsidRPr="00295637">
        <w:rPr>
          <w:rFonts w:ascii="Times New Roman" w:hAnsi="Times New Roman"/>
          <w:szCs w:val="24"/>
          <w:lang w:val="bs-Latn-BA"/>
        </w:rPr>
        <w:t xml:space="preserve"> </w:t>
      </w:r>
      <w:r>
        <w:rPr>
          <w:rFonts w:ascii="Times New Roman" w:hAnsi="Times New Roman"/>
          <w:szCs w:val="24"/>
          <w:lang w:val="bs-Latn-BA"/>
        </w:rPr>
        <w:t>и</w:t>
      </w:r>
      <w:r w:rsidR="00FB150B" w:rsidRPr="00295637">
        <w:rPr>
          <w:rFonts w:ascii="Times New Roman" w:hAnsi="Times New Roman"/>
          <w:szCs w:val="24"/>
          <w:lang w:val="bs-Latn-BA"/>
        </w:rPr>
        <w:t xml:space="preserve"> </w:t>
      </w:r>
      <w:r>
        <w:rPr>
          <w:rFonts w:ascii="Times New Roman" w:hAnsi="Times New Roman"/>
          <w:szCs w:val="24"/>
          <w:lang w:val="bs-Latn-BA"/>
        </w:rPr>
        <w:t>Херцеговини</w:t>
      </w:r>
      <w:r w:rsidR="00FB150B" w:rsidRPr="00295637">
        <w:rPr>
          <w:rFonts w:ascii="Times New Roman" w:hAnsi="Times New Roman"/>
          <w:szCs w:val="24"/>
          <w:lang w:val="bs-Latn-BA"/>
        </w:rPr>
        <w:t xml:space="preserve">. </w:t>
      </w:r>
      <w:r>
        <w:rPr>
          <w:rFonts w:ascii="Times New Roman" w:hAnsi="Times New Roman"/>
          <w:szCs w:val="24"/>
          <w:lang w:val="bs-Latn-BA"/>
        </w:rPr>
        <w:t>Жене</w:t>
      </w:r>
      <w:r w:rsidR="00FB150B" w:rsidRPr="00295637">
        <w:rPr>
          <w:rFonts w:ascii="Times New Roman" w:hAnsi="Times New Roman"/>
          <w:szCs w:val="24"/>
          <w:lang w:val="bs-Latn-BA"/>
        </w:rPr>
        <w:t xml:space="preserve"> </w:t>
      </w:r>
      <w:r>
        <w:rPr>
          <w:rFonts w:ascii="Times New Roman" w:hAnsi="Times New Roman"/>
          <w:szCs w:val="24"/>
          <w:lang w:val="bs-Latn-BA"/>
        </w:rPr>
        <w:t>су</w:t>
      </w:r>
      <w:r w:rsidR="00FB150B" w:rsidRPr="00295637">
        <w:rPr>
          <w:rFonts w:ascii="Times New Roman" w:hAnsi="Times New Roman"/>
          <w:szCs w:val="24"/>
          <w:lang w:val="bs-Latn-BA"/>
        </w:rPr>
        <w:t xml:space="preserve">, </w:t>
      </w:r>
      <w:r>
        <w:rPr>
          <w:rFonts w:ascii="Times New Roman" w:hAnsi="Times New Roman"/>
          <w:szCs w:val="24"/>
          <w:lang w:val="bs-Latn-BA"/>
        </w:rPr>
        <w:t>уз</w:t>
      </w:r>
      <w:r w:rsidR="00FB150B" w:rsidRPr="00295637">
        <w:rPr>
          <w:rFonts w:ascii="Times New Roman" w:hAnsi="Times New Roman"/>
          <w:szCs w:val="24"/>
          <w:lang w:val="bs-Latn-BA"/>
        </w:rPr>
        <w:t xml:space="preserve"> </w:t>
      </w:r>
      <w:r>
        <w:rPr>
          <w:rFonts w:ascii="Times New Roman" w:hAnsi="Times New Roman"/>
          <w:szCs w:val="24"/>
          <w:lang w:val="bs-Latn-BA"/>
        </w:rPr>
        <w:t>националне</w:t>
      </w:r>
      <w:r w:rsidR="00FB150B" w:rsidRPr="00295637">
        <w:rPr>
          <w:rFonts w:ascii="Times New Roman" w:hAnsi="Times New Roman"/>
          <w:szCs w:val="24"/>
          <w:lang w:val="bs-Latn-BA"/>
        </w:rPr>
        <w:t xml:space="preserve"> </w:t>
      </w:r>
      <w:r>
        <w:rPr>
          <w:rFonts w:ascii="Times New Roman" w:hAnsi="Times New Roman"/>
          <w:szCs w:val="24"/>
          <w:lang w:val="bs-Latn-BA"/>
        </w:rPr>
        <w:t>мањине</w:t>
      </w:r>
      <w:r w:rsidR="00FB150B" w:rsidRPr="00295637">
        <w:rPr>
          <w:rFonts w:ascii="Times New Roman" w:hAnsi="Times New Roman"/>
          <w:szCs w:val="24"/>
          <w:lang w:val="bs-Latn-BA"/>
        </w:rPr>
        <w:t xml:space="preserve">, </w:t>
      </w:r>
      <w:r>
        <w:rPr>
          <w:rFonts w:ascii="Times New Roman" w:hAnsi="Times New Roman"/>
          <w:szCs w:val="24"/>
          <w:lang w:val="bs-Latn-BA"/>
        </w:rPr>
        <w:t>лица</w:t>
      </w:r>
      <w:r w:rsidR="00FB150B" w:rsidRPr="00295637">
        <w:rPr>
          <w:rFonts w:ascii="Times New Roman" w:hAnsi="Times New Roman"/>
          <w:szCs w:val="24"/>
          <w:lang w:val="bs-Latn-BA"/>
        </w:rPr>
        <w:t xml:space="preserve"> </w:t>
      </w:r>
      <w:r>
        <w:rPr>
          <w:rFonts w:ascii="Times New Roman" w:hAnsi="Times New Roman"/>
          <w:szCs w:val="24"/>
          <w:lang w:val="bs-Latn-BA"/>
        </w:rPr>
        <w:t>са</w:t>
      </w:r>
      <w:r w:rsidR="00FB150B" w:rsidRPr="00295637">
        <w:rPr>
          <w:rFonts w:ascii="Times New Roman" w:hAnsi="Times New Roman"/>
          <w:szCs w:val="24"/>
          <w:lang w:val="bs-Latn-BA"/>
        </w:rPr>
        <w:t xml:space="preserve"> </w:t>
      </w:r>
      <w:r>
        <w:rPr>
          <w:rFonts w:ascii="Times New Roman" w:hAnsi="Times New Roman"/>
          <w:szCs w:val="24"/>
          <w:lang w:val="bs-Latn-BA"/>
        </w:rPr>
        <w:t>инвалидитетом</w:t>
      </w:r>
      <w:r w:rsidR="00C67E03">
        <w:rPr>
          <w:rFonts w:ascii="Times New Roman" w:hAnsi="Times New Roman"/>
          <w:szCs w:val="24"/>
          <w:lang w:val="bs-Latn-BA"/>
        </w:rPr>
        <w:t xml:space="preserve"> </w:t>
      </w:r>
      <w:r>
        <w:rPr>
          <w:rFonts w:ascii="Times New Roman" w:hAnsi="Times New Roman"/>
          <w:szCs w:val="24"/>
          <w:lang w:val="bs-Latn-BA"/>
        </w:rPr>
        <w:t>и</w:t>
      </w:r>
      <w:r w:rsidR="00C67E03">
        <w:rPr>
          <w:rFonts w:ascii="Times New Roman" w:hAnsi="Times New Roman"/>
          <w:szCs w:val="24"/>
          <w:lang w:val="bs-Latn-BA"/>
        </w:rPr>
        <w:t xml:space="preserve"> </w:t>
      </w:r>
      <w:r>
        <w:rPr>
          <w:rFonts w:ascii="Times New Roman" w:hAnsi="Times New Roman"/>
          <w:szCs w:val="24"/>
          <w:lang w:val="bs-Latn-BA"/>
        </w:rPr>
        <w:t>ЛГБТИ</w:t>
      </w:r>
      <w:r w:rsidR="00C67E03">
        <w:rPr>
          <w:rFonts w:ascii="Times New Roman" w:hAnsi="Times New Roman"/>
          <w:szCs w:val="24"/>
          <w:lang w:val="bs-Latn-BA"/>
        </w:rPr>
        <w:t xml:space="preserve"> </w:t>
      </w:r>
      <w:r>
        <w:rPr>
          <w:rFonts w:ascii="Times New Roman" w:hAnsi="Times New Roman"/>
          <w:szCs w:val="24"/>
          <w:lang w:val="bs-Latn-BA"/>
        </w:rPr>
        <w:t>лица</w:t>
      </w:r>
      <w:r w:rsidR="00E42DBA" w:rsidRPr="00295637">
        <w:rPr>
          <w:rFonts w:ascii="Times New Roman" w:hAnsi="Times New Roman"/>
          <w:szCs w:val="24"/>
          <w:lang w:val="bs-Latn-BA"/>
        </w:rPr>
        <w:t xml:space="preserve">, </w:t>
      </w:r>
      <w:r>
        <w:rPr>
          <w:rFonts w:ascii="Times New Roman" w:hAnsi="Times New Roman"/>
          <w:szCs w:val="24"/>
          <w:lang w:val="bs-Latn-BA"/>
        </w:rPr>
        <w:t>у</w:t>
      </w:r>
      <w:r w:rsidR="00E42DBA" w:rsidRPr="00295637">
        <w:rPr>
          <w:rFonts w:ascii="Times New Roman" w:hAnsi="Times New Roman"/>
          <w:szCs w:val="24"/>
          <w:lang w:val="bs-Latn-BA"/>
        </w:rPr>
        <w:t xml:space="preserve"> </w:t>
      </w:r>
      <w:r>
        <w:rPr>
          <w:rFonts w:ascii="Times New Roman" w:hAnsi="Times New Roman"/>
          <w:szCs w:val="24"/>
          <w:lang w:val="bs-Latn-BA"/>
        </w:rPr>
        <w:t>фокусу</w:t>
      </w:r>
      <w:r w:rsidR="00FB150B" w:rsidRPr="00295637">
        <w:rPr>
          <w:rFonts w:ascii="Times New Roman" w:hAnsi="Times New Roman"/>
          <w:szCs w:val="24"/>
          <w:lang w:val="bs-Latn-BA"/>
        </w:rPr>
        <w:t xml:space="preserve"> </w:t>
      </w:r>
      <w:r>
        <w:rPr>
          <w:rFonts w:ascii="Times New Roman" w:hAnsi="Times New Roman"/>
          <w:szCs w:val="24"/>
          <w:lang w:val="bs-Latn-BA"/>
        </w:rPr>
        <w:t>емисије</w:t>
      </w:r>
      <w:r w:rsidR="00FB150B" w:rsidRPr="00295637">
        <w:rPr>
          <w:rFonts w:ascii="Times New Roman" w:hAnsi="Times New Roman"/>
          <w:szCs w:val="24"/>
          <w:lang w:val="bs-Latn-BA"/>
        </w:rPr>
        <w:t xml:space="preserve">. </w:t>
      </w:r>
      <w:r>
        <w:rPr>
          <w:rFonts w:ascii="Times New Roman" w:hAnsi="Times New Roman"/>
          <w:szCs w:val="24"/>
          <w:lang w:val="bs-Latn-BA"/>
        </w:rPr>
        <w:t>Емисија</w:t>
      </w:r>
      <w:r w:rsidR="00E42DBA" w:rsidRPr="00295637">
        <w:rPr>
          <w:rFonts w:ascii="Times New Roman" w:hAnsi="Times New Roman"/>
          <w:szCs w:val="24"/>
          <w:lang w:val="bs-Latn-BA"/>
        </w:rPr>
        <w:t xml:space="preserve">, </w:t>
      </w:r>
      <w:r>
        <w:rPr>
          <w:rFonts w:ascii="Times New Roman" w:hAnsi="Times New Roman"/>
          <w:szCs w:val="24"/>
          <w:lang w:val="bs-Latn-BA"/>
        </w:rPr>
        <w:t>која</w:t>
      </w:r>
      <w:r w:rsidR="00FB150B" w:rsidRPr="00295637">
        <w:rPr>
          <w:rFonts w:ascii="Times New Roman" w:hAnsi="Times New Roman"/>
          <w:szCs w:val="24"/>
          <w:lang w:val="bs-Latn-BA"/>
        </w:rPr>
        <w:t xml:space="preserve"> </w:t>
      </w:r>
      <w:r>
        <w:rPr>
          <w:rFonts w:ascii="Times New Roman" w:hAnsi="Times New Roman"/>
          <w:szCs w:val="24"/>
          <w:lang w:val="bs-Latn-BA"/>
        </w:rPr>
        <w:t>је</w:t>
      </w:r>
      <w:r w:rsidR="00FB150B" w:rsidRPr="00295637">
        <w:rPr>
          <w:rFonts w:ascii="Times New Roman" w:hAnsi="Times New Roman"/>
          <w:szCs w:val="24"/>
          <w:lang w:val="bs-Latn-BA"/>
        </w:rPr>
        <w:t xml:space="preserve"> </w:t>
      </w:r>
      <w:r>
        <w:rPr>
          <w:rFonts w:ascii="Times New Roman" w:hAnsi="Times New Roman"/>
          <w:szCs w:val="24"/>
          <w:lang w:val="bs-Latn-BA"/>
        </w:rPr>
        <w:t>информативног</w:t>
      </w:r>
      <w:r w:rsidR="00FB150B" w:rsidRPr="00295637">
        <w:rPr>
          <w:rFonts w:ascii="Times New Roman" w:hAnsi="Times New Roman"/>
          <w:szCs w:val="24"/>
          <w:lang w:val="bs-Latn-BA"/>
        </w:rPr>
        <w:t xml:space="preserve"> </w:t>
      </w:r>
      <w:r>
        <w:rPr>
          <w:rFonts w:ascii="Times New Roman" w:hAnsi="Times New Roman"/>
          <w:szCs w:val="24"/>
          <w:lang w:val="bs-Latn-BA"/>
        </w:rPr>
        <w:t>и</w:t>
      </w:r>
      <w:r w:rsidR="00FB150B" w:rsidRPr="00295637">
        <w:rPr>
          <w:rFonts w:ascii="Times New Roman" w:hAnsi="Times New Roman"/>
          <w:szCs w:val="24"/>
          <w:lang w:val="bs-Latn-BA"/>
        </w:rPr>
        <w:t xml:space="preserve"> </w:t>
      </w:r>
      <w:r>
        <w:rPr>
          <w:rFonts w:ascii="Times New Roman" w:hAnsi="Times New Roman"/>
          <w:szCs w:val="24"/>
          <w:lang w:val="bs-Latn-BA"/>
        </w:rPr>
        <w:t>едука</w:t>
      </w:r>
      <w:r w:rsidR="005F49F6">
        <w:rPr>
          <w:rFonts w:ascii="Times New Roman" w:hAnsi="Times New Roman"/>
          <w:szCs w:val="24"/>
          <w:lang w:val="sr-Cyrl-BA"/>
        </w:rPr>
        <w:t>тивног</w:t>
      </w:r>
      <w:r w:rsidR="00FB150B" w:rsidRPr="00295637">
        <w:rPr>
          <w:rFonts w:ascii="Times New Roman" w:hAnsi="Times New Roman"/>
          <w:szCs w:val="24"/>
          <w:lang w:val="bs-Latn-BA"/>
        </w:rPr>
        <w:t xml:space="preserve"> </w:t>
      </w:r>
      <w:r>
        <w:rPr>
          <w:rFonts w:ascii="Times New Roman" w:hAnsi="Times New Roman"/>
          <w:szCs w:val="24"/>
          <w:lang w:val="bs-Latn-BA"/>
        </w:rPr>
        <w:t>карактера</w:t>
      </w:r>
      <w:r w:rsidR="00FB150B" w:rsidRPr="00295637">
        <w:rPr>
          <w:rFonts w:ascii="Times New Roman" w:hAnsi="Times New Roman"/>
          <w:szCs w:val="24"/>
          <w:lang w:val="bs-Latn-BA"/>
        </w:rPr>
        <w:t xml:space="preserve">, </w:t>
      </w:r>
      <w:r>
        <w:rPr>
          <w:rFonts w:ascii="Times New Roman" w:hAnsi="Times New Roman"/>
          <w:szCs w:val="24"/>
          <w:lang w:val="bs-Latn-BA"/>
        </w:rPr>
        <w:t>чини</w:t>
      </w:r>
      <w:r w:rsidR="00FB150B" w:rsidRPr="00295637">
        <w:rPr>
          <w:rFonts w:ascii="Times New Roman" w:hAnsi="Times New Roman"/>
          <w:szCs w:val="24"/>
          <w:lang w:val="bs-Latn-BA"/>
        </w:rPr>
        <w:t xml:space="preserve"> </w:t>
      </w:r>
      <w:r>
        <w:rPr>
          <w:rFonts w:ascii="Times New Roman" w:hAnsi="Times New Roman"/>
          <w:szCs w:val="24"/>
          <w:lang w:val="bs-Latn-BA"/>
        </w:rPr>
        <w:t>видљивијим</w:t>
      </w:r>
      <w:r w:rsidR="00117B25" w:rsidRPr="00117B25">
        <w:rPr>
          <w:rFonts w:ascii="Times New Roman" w:hAnsi="Times New Roman"/>
          <w:szCs w:val="24"/>
          <w:lang w:val="bs-Latn-BA"/>
        </w:rPr>
        <w:t xml:space="preserve"> </w:t>
      </w:r>
      <w:r>
        <w:rPr>
          <w:rFonts w:ascii="Times New Roman" w:hAnsi="Times New Roman"/>
          <w:szCs w:val="24"/>
          <w:lang w:val="bs-Latn-BA"/>
        </w:rPr>
        <w:t>групе</w:t>
      </w:r>
      <w:r w:rsidR="00117B25" w:rsidRPr="00295637">
        <w:rPr>
          <w:rFonts w:ascii="Times New Roman" w:hAnsi="Times New Roman"/>
          <w:szCs w:val="24"/>
          <w:lang w:val="bs-Latn-BA"/>
        </w:rPr>
        <w:t xml:space="preserve"> </w:t>
      </w:r>
      <w:r>
        <w:rPr>
          <w:rFonts w:ascii="Times New Roman" w:hAnsi="Times New Roman"/>
          <w:szCs w:val="24"/>
          <w:lang w:val="bs-Latn-BA"/>
        </w:rPr>
        <w:t>о</w:t>
      </w:r>
      <w:r w:rsidR="00117B25" w:rsidRPr="00295637">
        <w:rPr>
          <w:rFonts w:ascii="Times New Roman" w:hAnsi="Times New Roman"/>
          <w:szCs w:val="24"/>
          <w:lang w:val="bs-Latn-BA"/>
        </w:rPr>
        <w:t xml:space="preserve"> </w:t>
      </w:r>
      <w:r>
        <w:rPr>
          <w:rFonts w:ascii="Times New Roman" w:hAnsi="Times New Roman"/>
          <w:szCs w:val="24"/>
          <w:lang w:val="bs-Latn-BA"/>
        </w:rPr>
        <w:t>којима</w:t>
      </w:r>
      <w:r w:rsidR="00117B25" w:rsidRPr="00295637">
        <w:rPr>
          <w:rFonts w:ascii="Times New Roman" w:hAnsi="Times New Roman"/>
          <w:szCs w:val="24"/>
          <w:lang w:val="bs-Latn-BA"/>
        </w:rPr>
        <w:t xml:space="preserve"> </w:t>
      </w:r>
      <w:r>
        <w:rPr>
          <w:rFonts w:ascii="Times New Roman" w:hAnsi="Times New Roman"/>
          <w:szCs w:val="24"/>
          <w:lang w:val="bs-Latn-BA"/>
        </w:rPr>
        <w:t>се</w:t>
      </w:r>
      <w:r w:rsidR="00117B25" w:rsidRPr="00295637">
        <w:rPr>
          <w:rFonts w:ascii="Times New Roman" w:hAnsi="Times New Roman"/>
          <w:szCs w:val="24"/>
          <w:lang w:val="bs-Latn-BA"/>
        </w:rPr>
        <w:t xml:space="preserve"> </w:t>
      </w:r>
      <w:r>
        <w:rPr>
          <w:rFonts w:ascii="Times New Roman" w:hAnsi="Times New Roman"/>
          <w:szCs w:val="24"/>
          <w:lang w:val="bs-Latn-BA"/>
        </w:rPr>
        <w:t>говори</w:t>
      </w:r>
      <w:r w:rsidR="00FB150B" w:rsidRPr="00295637">
        <w:rPr>
          <w:rFonts w:ascii="Times New Roman" w:hAnsi="Times New Roman"/>
          <w:szCs w:val="24"/>
          <w:lang w:val="bs-Latn-BA"/>
        </w:rPr>
        <w:t xml:space="preserve">, </w:t>
      </w:r>
      <w:r>
        <w:rPr>
          <w:rFonts w:ascii="Times New Roman" w:hAnsi="Times New Roman"/>
          <w:szCs w:val="24"/>
          <w:lang w:val="bs-Latn-BA"/>
        </w:rPr>
        <w:t>а</w:t>
      </w:r>
      <w:r w:rsidR="00FB150B" w:rsidRPr="00295637">
        <w:rPr>
          <w:rFonts w:ascii="Times New Roman" w:hAnsi="Times New Roman"/>
          <w:szCs w:val="24"/>
          <w:lang w:val="bs-Latn-BA"/>
        </w:rPr>
        <w:t xml:space="preserve"> </w:t>
      </w:r>
      <w:r>
        <w:rPr>
          <w:rFonts w:ascii="Times New Roman" w:hAnsi="Times New Roman"/>
          <w:szCs w:val="24"/>
          <w:lang w:val="bs-Latn-BA"/>
        </w:rPr>
        <w:t>емисија</w:t>
      </w:r>
      <w:r w:rsidR="00117B25">
        <w:rPr>
          <w:rFonts w:ascii="Times New Roman" w:hAnsi="Times New Roman"/>
          <w:szCs w:val="24"/>
          <w:lang w:val="bs-Latn-BA"/>
        </w:rPr>
        <w:t xml:space="preserve"> </w:t>
      </w:r>
      <w:r>
        <w:rPr>
          <w:rFonts w:ascii="Times New Roman" w:hAnsi="Times New Roman"/>
          <w:szCs w:val="24"/>
          <w:lang w:val="bs-Latn-BA"/>
        </w:rPr>
        <w:t>има</w:t>
      </w:r>
      <w:r w:rsidR="00FB150B" w:rsidRPr="00295637">
        <w:rPr>
          <w:rFonts w:ascii="Times New Roman" w:hAnsi="Times New Roman"/>
          <w:szCs w:val="24"/>
          <w:lang w:val="bs-Latn-BA"/>
        </w:rPr>
        <w:t xml:space="preserve"> </w:t>
      </w:r>
      <w:r>
        <w:rPr>
          <w:rFonts w:ascii="Times New Roman" w:hAnsi="Times New Roman"/>
          <w:szCs w:val="24"/>
          <w:lang w:val="bs-Latn-BA"/>
        </w:rPr>
        <w:t>и</w:t>
      </w:r>
      <w:r w:rsidR="00FB150B" w:rsidRPr="00295637">
        <w:rPr>
          <w:rFonts w:ascii="Times New Roman" w:hAnsi="Times New Roman"/>
          <w:szCs w:val="24"/>
          <w:lang w:val="bs-Latn-BA"/>
        </w:rPr>
        <w:t xml:space="preserve"> </w:t>
      </w:r>
      <w:r>
        <w:rPr>
          <w:rFonts w:ascii="Times New Roman" w:hAnsi="Times New Roman"/>
          <w:szCs w:val="24"/>
          <w:lang w:val="bs-Latn-BA"/>
        </w:rPr>
        <w:t>заговарачку</w:t>
      </w:r>
      <w:r w:rsidR="00FB150B" w:rsidRPr="00295637">
        <w:rPr>
          <w:rFonts w:ascii="Times New Roman" w:hAnsi="Times New Roman"/>
          <w:szCs w:val="24"/>
          <w:lang w:val="bs-Latn-BA"/>
        </w:rPr>
        <w:t xml:space="preserve"> </w:t>
      </w:r>
      <w:r>
        <w:rPr>
          <w:rFonts w:ascii="Times New Roman" w:hAnsi="Times New Roman"/>
          <w:szCs w:val="24"/>
          <w:lang w:val="bs-Latn-BA"/>
        </w:rPr>
        <w:t>димензију</w:t>
      </w:r>
      <w:r w:rsidR="00FB150B" w:rsidRPr="00295637">
        <w:rPr>
          <w:rFonts w:ascii="Times New Roman" w:hAnsi="Times New Roman"/>
          <w:szCs w:val="24"/>
          <w:lang w:val="bs-Latn-BA"/>
        </w:rPr>
        <w:t xml:space="preserve"> </w:t>
      </w:r>
      <w:r>
        <w:rPr>
          <w:rFonts w:ascii="Times New Roman" w:hAnsi="Times New Roman"/>
          <w:szCs w:val="24"/>
          <w:lang w:val="bs-Latn-BA"/>
        </w:rPr>
        <w:t>о</w:t>
      </w:r>
      <w:r w:rsidR="00FB150B" w:rsidRPr="00295637">
        <w:rPr>
          <w:rFonts w:ascii="Times New Roman" w:hAnsi="Times New Roman"/>
          <w:szCs w:val="24"/>
          <w:lang w:val="bs-Latn-BA"/>
        </w:rPr>
        <w:t xml:space="preserve"> </w:t>
      </w:r>
      <w:r>
        <w:rPr>
          <w:rFonts w:ascii="Times New Roman" w:hAnsi="Times New Roman"/>
          <w:szCs w:val="24"/>
          <w:lang w:val="bs-Latn-BA"/>
        </w:rPr>
        <w:t>неопходности</w:t>
      </w:r>
      <w:r w:rsidR="00FB150B" w:rsidRPr="00295637">
        <w:rPr>
          <w:rFonts w:ascii="Times New Roman" w:hAnsi="Times New Roman"/>
          <w:szCs w:val="24"/>
          <w:lang w:val="bs-Latn-BA"/>
        </w:rPr>
        <w:t xml:space="preserve"> </w:t>
      </w:r>
      <w:r>
        <w:rPr>
          <w:rFonts w:ascii="Times New Roman" w:hAnsi="Times New Roman"/>
          <w:szCs w:val="24"/>
          <w:lang w:val="bs-Latn-BA"/>
        </w:rPr>
        <w:t>и</w:t>
      </w:r>
      <w:r w:rsidR="00FB150B" w:rsidRPr="00295637">
        <w:rPr>
          <w:rFonts w:ascii="Times New Roman" w:hAnsi="Times New Roman"/>
          <w:szCs w:val="24"/>
          <w:lang w:val="bs-Latn-BA"/>
        </w:rPr>
        <w:t xml:space="preserve"> </w:t>
      </w:r>
      <w:r>
        <w:rPr>
          <w:rFonts w:ascii="Times New Roman" w:hAnsi="Times New Roman"/>
          <w:szCs w:val="24"/>
          <w:lang w:val="bs-Latn-BA"/>
        </w:rPr>
        <w:t>важности</w:t>
      </w:r>
      <w:r w:rsidR="00FB150B" w:rsidRPr="00295637">
        <w:rPr>
          <w:rFonts w:ascii="Times New Roman" w:hAnsi="Times New Roman"/>
          <w:szCs w:val="24"/>
          <w:lang w:val="bs-Latn-BA"/>
        </w:rPr>
        <w:t xml:space="preserve"> </w:t>
      </w:r>
      <w:r>
        <w:rPr>
          <w:rFonts w:ascii="Times New Roman" w:hAnsi="Times New Roman"/>
          <w:szCs w:val="24"/>
          <w:lang w:val="bs-Latn-BA"/>
        </w:rPr>
        <w:t>борбе</w:t>
      </w:r>
      <w:r w:rsidR="00FB150B" w:rsidRPr="00295637">
        <w:rPr>
          <w:rFonts w:ascii="Times New Roman" w:hAnsi="Times New Roman"/>
          <w:szCs w:val="24"/>
          <w:lang w:val="bs-Latn-BA"/>
        </w:rPr>
        <w:t xml:space="preserve"> </w:t>
      </w:r>
      <w:r>
        <w:rPr>
          <w:rFonts w:ascii="Times New Roman" w:hAnsi="Times New Roman"/>
          <w:szCs w:val="24"/>
          <w:lang w:val="bs-Latn-BA"/>
        </w:rPr>
        <w:t>против</w:t>
      </w:r>
      <w:r w:rsidR="00FB150B"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C67E03">
        <w:rPr>
          <w:rFonts w:ascii="Times New Roman" w:hAnsi="Times New Roman"/>
          <w:szCs w:val="24"/>
          <w:lang w:val="bs-Latn-BA"/>
        </w:rPr>
        <w:t xml:space="preserve">, </w:t>
      </w:r>
      <w:r>
        <w:rPr>
          <w:rFonts w:ascii="Times New Roman" w:hAnsi="Times New Roman"/>
          <w:szCs w:val="24"/>
          <w:lang w:val="bs-Latn-BA"/>
        </w:rPr>
        <w:t>стереотипа</w:t>
      </w:r>
      <w:r w:rsidR="00C67E03">
        <w:rPr>
          <w:rFonts w:ascii="Times New Roman" w:hAnsi="Times New Roman"/>
          <w:szCs w:val="24"/>
          <w:lang w:val="bs-Latn-BA"/>
        </w:rPr>
        <w:t xml:space="preserve"> </w:t>
      </w:r>
      <w:r>
        <w:rPr>
          <w:rFonts w:ascii="Times New Roman" w:hAnsi="Times New Roman"/>
          <w:szCs w:val="24"/>
          <w:lang w:val="bs-Latn-BA"/>
        </w:rPr>
        <w:t>и</w:t>
      </w:r>
      <w:r w:rsidR="00C67E03">
        <w:rPr>
          <w:rFonts w:ascii="Times New Roman" w:hAnsi="Times New Roman"/>
          <w:szCs w:val="24"/>
          <w:lang w:val="bs-Latn-BA"/>
        </w:rPr>
        <w:t xml:space="preserve"> </w:t>
      </w:r>
      <w:r>
        <w:rPr>
          <w:rFonts w:ascii="Times New Roman" w:hAnsi="Times New Roman"/>
          <w:szCs w:val="24"/>
          <w:lang w:val="bs-Latn-BA"/>
        </w:rPr>
        <w:t>предрасуда</w:t>
      </w:r>
      <w:r w:rsidR="00C67E03">
        <w:rPr>
          <w:rFonts w:ascii="Times New Roman" w:hAnsi="Times New Roman"/>
          <w:szCs w:val="24"/>
          <w:lang w:val="bs-Latn-BA"/>
        </w:rPr>
        <w:t>.</w:t>
      </w:r>
      <w:r w:rsidR="00FB150B" w:rsidRPr="00295637">
        <w:rPr>
          <w:rFonts w:ascii="Times New Roman" w:hAnsi="Times New Roman"/>
          <w:szCs w:val="24"/>
          <w:lang w:val="bs-Latn-BA"/>
        </w:rPr>
        <w:t xml:space="preserve"> </w:t>
      </w:r>
      <w:r>
        <w:rPr>
          <w:rFonts w:ascii="Times New Roman" w:hAnsi="Times New Roman"/>
          <w:szCs w:val="24"/>
          <w:lang w:val="bs-Latn-BA"/>
        </w:rPr>
        <w:t>Иначе</w:t>
      </w:r>
      <w:r w:rsidR="00FB150B" w:rsidRPr="00295637">
        <w:rPr>
          <w:rFonts w:ascii="Times New Roman" w:hAnsi="Times New Roman"/>
          <w:szCs w:val="24"/>
          <w:lang w:val="bs-Latn-BA"/>
        </w:rPr>
        <w:t xml:space="preserve">, </w:t>
      </w:r>
      <w:r>
        <w:rPr>
          <w:rFonts w:ascii="Times New Roman" w:hAnsi="Times New Roman"/>
          <w:szCs w:val="24"/>
          <w:lang w:val="bs-Latn-BA"/>
        </w:rPr>
        <w:t>БХРТ</w:t>
      </w:r>
      <w:r w:rsidR="00072107" w:rsidRPr="00295637">
        <w:rPr>
          <w:rFonts w:ascii="Times New Roman" w:hAnsi="Times New Roman"/>
          <w:szCs w:val="24"/>
          <w:lang w:val="bs-Latn-BA"/>
        </w:rPr>
        <w:t xml:space="preserve"> </w:t>
      </w:r>
      <w:r>
        <w:rPr>
          <w:rFonts w:ascii="Times New Roman" w:hAnsi="Times New Roman"/>
          <w:szCs w:val="24"/>
          <w:lang w:val="bs-Latn-BA"/>
        </w:rPr>
        <w:t>је</w:t>
      </w:r>
      <w:r w:rsidR="00072107" w:rsidRPr="00295637">
        <w:rPr>
          <w:rFonts w:ascii="Times New Roman" w:hAnsi="Times New Roman"/>
          <w:szCs w:val="24"/>
          <w:lang w:val="bs-Latn-BA"/>
        </w:rPr>
        <w:t xml:space="preserve"> </w:t>
      </w:r>
      <w:r>
        <w:rPr>
          <w:rFonts w:ascii="Times New Roman" w:hAnsi="Times New Roman"/>
          <w:szCs w:val="24"/>
          <w:lang w:val="bs-Latn-BA"/>
        </w:rPr>
        <w:t>у</w:t>
      </w:r>
      <w:r w:rsidR="00072107" w:rsidRPr="00295637">
        <w:rPr>
          <w:rFonts w:ascii="Times New Roman" w:hAnsi="Times New Roman"/>
          <w:szCs w:val="24"/>
          <w:lang w:val="bs-Latn-BA"/>
        </w:rPr>
        <w:t xml:space="preserve"> </w:t>
      </w:r>
      <w:r>
        <w:rPr>
          <w:rFonts w:ascii="Times New Roman" w:hAnsi="Times New Roman"/>
          <w:szCs w:val="24"/>
          <w:lang w:val="bs-Latn-BA"/>
        </w:rPr>
        <w:t>своја</w:t>
      </w:r>
      <w:r w:rsidR="00072107" w:rsidRPr="00295637">
        <w:rPr>
          <w:rFonts w:ascii="Times New Roman" w:hAnsi="Times New Roman"/>
          <w:szCs w:val="24"/>
          <w:lang w:val="bs-Latn-BA"/>
        </w:rPr>
        <w:t xml:space="preserve"> </w:t>
      </w:r>
      <w:r>
        <w:rPr>
          <w:rFonts w:ascii="Times New Roman" w:hAnsi="Times New Roman"/>
          <w:szCs w:val="24"/>
          <w:lang w:val="bs-Latn-BA"/>
        </w:rPr>
        <w:t>акта</w:t>
      </w:r>
      <w:r w:rsidR="00072107" w:rsidRPr="00295637">
        <w:rPr>
          <w:rFonts w:ascii="Times New Roman" w:hAnsi="Times New Roman"/>
          <w:szCs w:val="24"/>
          <w:lang w:val="bs-Latn-BA"/>
        </w:rPr>
        <w:t xml:space="preserve"> </w:t>
      </w:r>
      <w:r>
        <w:rPr>
          <w:rFonts w:ascii="Times New Roman" w:hAnsi="Times New Roman"/>
          <w:szCs w:val="24"/>
          <w:lang w:val="bs-Latn-BA"/>
        </w:rPr>
        <w:t>уград</w:t>
      </w:r>
      <w:r w:rsidR="005F49F6">
        <w:rPr>
          <w:rFonts w:ascii="Times New Roman" w:hAnsi="Times New Roman"/>
          <w:szCs w:val="24"/>
          <w:lang w:val="sr-Cyrl-BA"/>
        </w:rPr>
        <w:t>ила</w:t>
      </w:r>
      <w:r w:rsidR="00072107" w:rsidRPr="00295637">
        <w:rPr>
          <w:rFonts w:ascii="Times New Roman" w:hAnsi="Times New Roman"/>
          <w:szCs w:val="24"/>
          <w:lang w:val="bs-Latn-BA"/>
        </w:rPr>
        <w:t xml:space="preserve"> </w:t>
      </w:r>
      <w:r>
        <w:rPr>
          <w:rFonts w:ascii="Times New Roman" w:hAnsi="Times New Roman"/>
          <w:szCs w:val="24"/>
          <w:lang w:val="bs-Latn-BA"/>
        </w:rPr>
        <w:t>елементе</w:t>
      </w:r>
      <w:r w:rsidR="00072107" w:rsidRPr="00295637">
        <w:rPr>
          <w:rFonts w:ascii="Times New Roman" w:hAnsi="Times New Roman"/>
          <w:szCs w:val="24"/>
          <w:lang w:val="bs-Latn-BA"/>
        </w:rPr>
        <w:t xml:space="preserve"> </w:t>
      </w:r>
      <w:r>
        <w:rPr>
          <w:rFonts w:ascii="Times New Roman" w:hAnsi="Times New Roman"/>
          <w:szCs w:val="24"/>
          <w:lang w:val="bs-Latn-BA"/>
        </w:rPr>
        <w:t>заштите</w:t>
      </w:r>
      <w:r w:rsidR="00072107" w:rsidRPr="00295637">
        <w:rPr>
          <w:rFonts w:ascii="Times New Roman" w:hAnsi="Times New Roman"/>
          <w:szCs w:val="24"/>
          <w:lang w:val="bs-Latn-BA"/>
        </w:rPr>
        <w:t xml:space="preserve"> </w:t>
      </w:r>
      <w:r>
        <w:rPr>
          <w:rFonts w:ascii="Times New Roman" w:hAnsi="Times New Roman"/>
          <w:szCs w:val="24"/>
          <w:lang w:val="bs-Latn-BA"/>
        </w:rPr>
        <w:t>од</w:t>
      </w:r>
      <w:r w:rsidR="00072107"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072107" w:rsidRPr="00295637">
        <w:rPr>
          <w:rFonts w:ascii="Times New Roman" w:hAnsi="Times New Roman"/>
          <w:szCs w:val="24"/>
          <w:lang w:val="bs-Latn-BA"/>
        </w:rPr>
        <w:t xml:space="preserve">. </w:t>
      </w:r>
      <w:r>
        <w:rPr>
          <w:rFonts w:ascii="Times New Roman" w:hAnsi="Times New Roman"/>
          <w:szCs w:val="24"/>
          <w:lang w:val="bs-Latn-BA"/>
        </w:rPr>
        <w:t>У</w:t>
      </w:r>
      <w:r w:rsidR="00072107" w:rsidRPr="00295637">
        <w:rPr>
          <w:rFonts w:ascii="Times New Roman" w:hAnsi="Times New Roman"/>
          <w:szCs w:val="24"/>
          <w:lang w:val="bs-Latn-BA"/>
        </w:rPr>
        <w:t xml:space="preserve"> </w:t>
      </w:r>
      <w:r>
        <w:rPr>
          <w:rFonts w:ascii="Times New Roman" w:hAnsi="Times New Roman"/>
          <w:szCs w:val="24"/>
          <w:lang w:val="bs-Latn-BA"/>
        </w:rPr>
        <w:t>оп</w:t>
      </w:r>
      <w:r w:rsidR="005F49F6">
        <w:rPr>
          <w:rFonts w:ascii="Times New Roman" w:hAnsi="Times New Roman"/>
          <w:szCs w:val="24"/>
          <w:lang w:val="sr-Cyrl-BA"/>
        </w:rPr>
        <w:t>шт</w:t>
      </w:r>
      <w:r>
        <w:rPr>
          <w:rFonts w:ascii="Times New Roman" w:hAnsi="Times New Roman"/>
          <w:szCs w:val="24"/>
          <w:lang w:val="bs-Latn-BA"/>
        </w:rPr>
        <w:t>им</w:t>
      </w:r>
      <w:r w:rsidR="00072107" w:rsidRPr="00295637">
        <w:rPr>
          <w:rFonts w:ascii="Times New Roman" w:hAnsi="Times New Roman"/>
          <w:szCs w:val="24"/>
          <w:lang w:val="bs-Latn-BA"/>
        </w:rPr>
        <w:t xml:space="preserve"> </w:t>
      </w:r>
      <w:r>
        <w:rPr>
          <w:rFonts w:ascii="Times New Roman" w:hAnsi="Times New Roman"/>
          <w:szCs w:val="24"/>
          <w:lang w:val="bs-Latn-BA"/>
        </w:rPr>
        <w:t>правилима</w:t>
      </w:r>
      <w:r w:rsidR="00072107" w:rsidRPr="00295637">
        <w:rPr>
          <w:rFonts w:ascii="Times New Roman" w:hAnsi="Times New Roman"/>
          <w:szCs w:val="24"/>
          <w:lang w:val="bs-Latn-BA"/>
        </w:rPr>
        <w:t xml:space="preserve"> </w:t>
      </w:r>
      <w:r>
        <w:rPr>
          <w:rFonts w:ascii="Times New Roman" w:hAnsi="Times New Roman"/>
          <w:szCs w:val="24"/>
          <w:lang w:val="bs-Latn-BA"/>
        </w:rPr>
        <w:t>о</w:t>
      </w:r>
      <w:r w:rsidR="00072107" w:rsidRPr="00295637">
        <w:rPr>
          <w:rFonts w:ascii="Times New Roman" w:hAnsi="Times New Roman"/>
          <w:szCs w:val="24"/>
          <w:lang w:val="bs-Latn-BA"/>
        </w:rPr>
        <w:t xml:space="preserve"> </w:t>
      </w:r>
      <w:r>
        <w:rPr>
          <w:rFonts w:ascii="Times New Roman" w:hAnsi="Times New Roman"/>
          <w:szCs w:val="24"/>
          <w:lang w:val="bs-Latn-BA"/>
        </w:rPr>
        <w:t>раду</w:t>
      </w:r>
      <w:r w:rsidR="00072107" w:rsidRPr="00295637">
        <w:rPr>
          <w:rFonts w:ascii="Times New Roman" w:hAnsi="Times New Roman"/>
          <w:szCs w:val="24"/>
          <w:lang w:val="bs-Latn-BA"/>
        </w:rPr>
        <w:t xml:space="preserve"> </w:t>
      </w:r>
      <w:r>
        <w:rPr>
          <w:rFonts w:ascii="Times New Roman" w:hAnsi="Times New Roman"/>
          <w:szCs w:val="24"/>
          <w:lang w:val="bs-Latn-BA"/>
        </w:rPr>
        <w:t>и</w:t>
      </w:r>
      <w:r w:rsidR="00072107" w:rsidRPr="00295637">
        <w:rPr>
          <w:rFonts w:ascii="Times New Roman" w:hAnsi="Times New Roman"/>
          <w:szCs w:val="24"/>
          <w:lang w:val="bs-Latn-BA"/>
        </w:rPr>
        <w:t xml:space="preserve"> </w:t>
      </w:r>
      <w:r>
        <w:rPr>
          <w:rFonts w:ascii="Times New Roman" w:hAnsi="Times New Roman"/>
          <w:szCs w:val="24"/>
          <w:lang w:val="bs-Latn-BA"/>
        </w:rPr>
        <w:t>понашању</w:t>
      </w:r>
      <w:r w:rsidR="00072107" w:rsidRPr="00295637">
        <w:rPr>
          <w:rFonts w:ascii="Times New Roman" w:hAnsi="Times New Roman"/>
          <w:szCs w:val="24"/>
          <w:lang w:val="bs-Latn-BA"/>
        </w:rPr>
        <w:t xml:space="preserve"> </w:t>
      </w:r>
      <w:r>
        <w:rPr>
          <w:rFonts w:ascii="Times New Roman" w:hAnsi="Times New Roman"/>
          <w:szCs w:val="24"/>
          <w:lang w:val="bs-Latn-BA"/>
        </w:rPr>
        <w:t>запосленика</w:t>
      </w:r>
      <w:r w:rsidR="00072107" w:rsidRPr="00295637">
        <w:rPr>
          <w:rFonts w:ascii="Times New Roman" w:hAnsi="Times New Roman"/>
          <w:szCs w:val="24"/>
          <w:lang w:val="bs-Latn-BA"/>
        </w:rPr>
        <w:t xml:space="preserve"> </w:t>
      </w:r>
      <w:r>
        <w:rPr>
          <w:rFonts w:ascii="Times New Roman" w:hAnsi="Times New Roman"/>
          <w:szCs w:val="24"/>
          <w:lang w:val="bs-Latn-BA"/>
        </w:rPr>
        <w:t>РТВ</w:t>
      </w:r>
      <w:r w:rsidR="00117B25">
        <w:rPr>
          <w:rFonts w:ascii="Times New Roman" w:hAnsi="Times New Roman"/>
          <w:szCs w:val="24"/>
          <w:lang w:val="bs-Latn-BA"/>
        </w:rPr>
        <w:t xml:space="preserve"> </w:t>
      </w:r>
      <w:r>
        <w:rPr>
          <w:rFonts w:ascii="Times New Roman" w:hAnsi="Times New Roman"/>
          <w:szCs w:val="24"/>
          <w:lang w:val="bs-Latn-BA"/>
        </w:rPr>
        <w:t>БиХ</w:t>
      </w:r>
      <w:r w:rsidR="00072107" w:rsidRPr="00295637">
        <w:rPr>
          <w:rFonts w:ascii="Times New Roman" w:hAnsi="Times New Roman"/>
          <w:szCs w:val="24"/>
          <w:lang w:val="bs-Latn-BA"/>
        </w:rPr>
        <w:t xml:space="preserve"> </w:t>
      </w:r>
      <w:r>
        <w:rPr>
          <w:rFonts w:ascii="Times New Roman" w:hAnsi="Times New Roman"/>
          <w:szCs w:val="24"/>
          <w:lang w:val="bs-Latn-BA"/>
        </w:rPr>
        <w:t>се</w:t>
      </w:r>
      <w:r w:rsidR="00072107" w:rsidRPr="00295637">
        <w:rPr>
          <w:rFonts w:ascii="Times New Roman" w:hAnsi="Times New Roman"/>
          <w:szCs w:val="24"/>
          <w:lang w:val="bs-Latn-BA"/>
        </w:rPr>
        <w:t xml:space="preserve"> </w:t>
      </w:r>
      <w:r>
        <w:rPr>
          <w:rFonts w:ascii="Times New Roman" w:hAnsi="Times New Roman"/>
          <w:szCs w:val="24"/>
          <w:lang w:val="bs-Latn-BA"/>
        </w:rPr>
        <w:t>каже</w:t>
      </w:r>
      <w:r w:rsidR="00072107" w:rsidRPr="00295637">
        <w:rPr>
          <w:rFonts w:ascii="Times New Roman" w:hAnsi="Times New Roman"/>
          <w:szCs w:val="24"/>
          <w:lang w:val="bs-Latn-BA"/>
        </w:rPr>
        <w:t xml:space="preserve"> </w:t>
      </w:r>
      <w:r>
        <w:rPr>
          <w:rFonts w:ascii="Times New Roman" w:hAnsi="Times New Roman"/>
          <w:szCs w:val="24"/>
          <w:lang w:val="bs-Latn-BA"/>
        </w:rPr>
        <w:t>да</w:t>
      </w:r>
      <w:r w:rsidR="00072107" w:rsidRPr="00295637">
        <w:rPr>
          <w:rFonts w:ascii="Times New Roman" w:hAnsi="Times New Roman"/>
          <w:szCs w:val="24"/>
          <w:lang w:val="bs-Latn-BA"/>
        </w:rPr>
        <w:t xml:space="preserve"> „</w:t>
      </w:r>
      <w:r>
        <w:rPr>
          <w:rFonts w:ascii="Times New Roman" w:hAnsi="Times New Roman"/>
          <w:szCs w:val="24"/>
          <w:lang w:val="bs-Latn-BA"/>
        </w:rPr>
        <w:t>запосленици</w:t>
      </w:r>
      <w:r w:rsidR="00072107" w:rsidRPr="00295637">
        <w:rPr>
          <w:rFonts w:ascii="Times New Roman" w:hAnsi="Times New Roman"/>
          <w:szCs w:val="24"/>
          <w:lang w:val="bs-Latn-BA"/>
        </w:rPr>
        <w:t xml:space="preserve"> </w:t>
      </w:r>
      <w:r>
        <w:rPr>
          <w:rFonts w:ascii="Times New Roman" w:hAnsi="Times New Roman"/>
          <w:szCs w:val="24"/>
          <w:lang w:val="bs-Latn-BA"/>
        </w:rPr>
        <w:t>БХРТ</w:t>
      </w:r>
      <w:r w:rsidR="00072107" w:rsidRPr="00295637">
        <w:rPr>
          <w:rFonts w:ascii="Times New Roman" w:hAnsi="Times New Roman"/>
          <w:szCs w:val="24"/>
          <w:lang w:val="bs-Latn-BA"/>
        </w:rPr>
        <w:t xml:space="preserve"> </w:t>
      </w:r>
      <w:r>
        <w:rPr>
          <w:rFonts w:ascii="Times New Roman" w:hAnsi="Times New Roman"/>
          <w:szCs w:val="24"/>
          <w:lang w:val="bs-Latn-BA"/>
        </w:rPr>
        <w:t>не</w:t>
      </w:r>
      <w:r w:rsidR="00072107" w:rsidRPr="00295637">
        <w:rPr>
          <w:rFonts w:ascii="Times New Roman" w:hAnsi="Times New Roman"/>
          <w:szCs w:val="24"/>
          <w:lang w:val="bs-Latn-BA"/>
        </w:rPr>
        <w:t xml:space="preserve"> </w:t>
      </w:r>
      <w:r>
        <w:rPr>
          <w:rFonts w:ascii="Times New Roman" w:hAnsi="Times New Roman"/>
          <w:szCs w:val="24"/>
          <w:lang w:val="bs-Latn-BA"/>
        </w:rPr>
        <w:t>смију</w:t>
      </w:r>
      <w:r w:rsidR="00072107" w:rsidRPr="00295637">
        <w:rPr>
          <w:rFonts w:ascii="Times New Roman" w:hAnsi="Times New Roman"/>
          <w:szCs w:val="24"/>
          <w:lang w:val="bs-Latn-BA"/>
        </w:rPr>
        <w:t xml:space="preserve"> </w:t>
      </w:r>
      <w:r>
        <w:rPr>
          <w:rFonts w:ascii="Times New Roman" w:hAnsi="Times New Roman"/>
          <w:szCs w:val="24"/>
          <w:lang w:val="bs-Latn-BA"/>
        </w:rPr>
        <w:t>дискримини</w:t>
      </w:r>
      <w:r w:rsidR="005F49F6">
        <w:rPr>
          <w:rFonts w:ascii="Times New Roman" w:hAnsi="Times New Roman"/>
          <w:szCs w:val="24"/>
          <w:lang w:val="sr-Cyrl-BA"/>
        </w:rPr>
        <w:t>с</w:t>
      </w:r>
      <w:r>
        <w:rPr>
          <w:rFonts w:ascii="Times New Roman" w:hAnsi="Times New Roman"/>
          <w:szCs w:val="24"/>
          <w:lang w:val="bs-Latn-BA"/>
        </w:rPr>
        <w:t>ати</w:t>
      </w:r>
      <w:r w:rsidR="00072107" w:rsidRPr="00295637">
        <w:rPr>
          <w:rFonts w:ascii="Times New Roman" w:hAnsi="Times New Roman"/>
          <w:szCs w:val="24"/>
          <w:lang w:val="bs-Latn-BA"/>
        </w:rPr>
        <w:t xml:space="preserve"> </w:t>
      </w:r>
      <w:r>
        <w:rPr>
          <w:rFonts w:ascii="Times New Roman" w:hAnsi="Times New Roman"/>
          <w:szCs w:val="24"/>
          <w:lang w:val="bs-Latn-BA"/>
        </w:rPr>
        <w:t>и</w:t>
      </w:r>
      <w:r w:rsidR="00072107" w:rsidRPr="00295637">
        <w:rPr>
          <w:rFonts w:ascii="Times New Roman" w:hAnsi="Times New Roman"/>
          <w:szCs w:val="24"/>
          <w:lang w:val="bs-Latn-BA"/>
        </w:rPr>
        <w:t xml:space="preserve"> </w:t>
      </w:r>
      <w:r>
        <w:rPr>
          <w:rFonts w:ascii="Times New Roman" w:hAnsi="Times New Roman"/>
          <w:szCs w:val="24"/>
          <w:lang w:val="bs-Latn-BA"/>
        </w:rPr>
        <w:t>потцјењивати</w:t>
      </w:r>
      <w:r w:rsidR="00072107" w:rsidRPr="00295637">
        <w:rPr>
          <w:rFonts w:ascii="Times New Roman" w:hAnsi="Times New Roman"/>
          <w:szCs w:val="24"/>
          <w:lang w:val="bs-Latn-BA"/>
        </w:rPr>
        <w:t xml:space="preserve"> </w:t>
      </w:r>
      <w:r>
        <w:rPr>
          <w:rFonts w:ascii="Times New Roman" w:hAnsi="Times New Roman"/>
          <w:szCs w:val="24"/>
          <w:lang w:val="bs-Latn-BA"/>
        </w:rPr>
        <w:t>своје</w:t>
      </w:r>
      <w:r w:rsidR="00072107" w:rsidRPr="00295637">
        <w:rPr>
          <w:rFonts w:ascii="Times New Roman" w:hAnsi="Times New Roman"/>
          <w:szCs w:val="24"/>
          <w:lang w:val="bs-Latn-BA"/>
        </w:rPr>
        <w:t xml:space="preserve"> </w:t>
      </w:r>
      <w:r>
        <w:rPr>
          <w:rFonts w:ascii="Times New Roman" w:hAnsi="Times New Roman"/>
          <w:szCs w:val="24"/>
          <w:lang w:val="bs-Latn-BA"/>
        </w:rPr>
        <w:t>колеги</w:t>
      </w:r>
      <w:r w:rsidR="005F49F6">
        <w:rPr>
          <w:rFonts w:ascii="Times New Roman" w:hAnsi="Times New Roman"/>
          <w:szCs w:val="24"/>
          <w:lang w:val="sr-Cyrl-BA"/>
        </w:rPr>
        <w:t>ни</w:t>
      </w:r>
      <w:r>
        <w:rPr>
          <w:rFonts w:ascii="Times New Roman" w:hAnsi="Times New Roman"/>
          <w:szCs w:val="24"/>
          <w:lang w:val="bs-Latn-BA"/>
        </w:rPr>
        <w:t>це</w:t>
      </w:r>
      <w:r w:rsidR="00FB150B" w:rsidRPr="00295637">
        <w:rPr>
          <w:rFonts w:ascii="Times New Roman" w:hAnsi="Times New Roman"/>
          <w:szCs w:val="24"/>
          <w:lang w:val="bs-Latn-BA"/>
        </w:rPr>
        <w:t xml:space="preserve"> </w:t>
      </w:r>
      <w:r>
        <w:rPr>
          <w:rFonts w:ascii="Times New Roman" w:hAnsi="Times New Roman"/>
          <w:szCs w:val="24"/>
          <w:lang w:val="bs-Latn-BA"/>
        </w:rPr>
        <w:t>и</w:t>
      </w:r>
      <w:r w:rsidR="00FB150B" w:rsidRPr="00295637">
        <w:rPr>
          <w:rFonts w:ascii="Times New Roman" w:hAnsi="Times New Roman"/>
          <w:szCs w:val="24"/>
          <w:lang w:val="bs-Latn-BA"/>
        </w:rPr>
        <w:t xml:space="preserve"> </w:t>
      </w:r>
      <w:r>
        <w:rPr>
          <w:rFonts w:ascii="Times New Roman" w:hAnsi="Times New Roman"/>
          <w:szCs w:val="24"/>
          <w:lang w:val="bs-Latn-BA"/>
        </w:rPr>
        <w:t>колеге</w:t>
      </w:r>
      <w:r w:rsidR="00FB150B" w:rsidRPr="00295637">
        <w:rPr>
          <w:rFonts w:ascii="Times New Roman" w:hAnsi="Times New Roman"/>
          <w:szCs w:val="24"/>
          <w:lang w:val="bs-Latn-BA"/>
        </w:rPr>
        <w:t xml:space="preserve"> </w:t>
      </w:r>
      <w:r>
        <w:rPr>
          <w:rFonts w:ascii="Times New Roman" w:hAnsi="Times New Roman"/>
          <w:szCs w:val="24"/>
          <w:lang w:val="bs-Latn-BA"/>
        </w:rPr>
        <w:t>те</w:t>
      </w:r>
      <w:r w:rsidR="00FB150B" w:rsidRPr="00295637">
        <w:rPr>
          <w:rFonts w:ascii="Times New Roman" w:hAnsi="Times New Roman"/>
          <w:szCs w:val="24"/>
          <w:lang w:val="bs-Latn-BA"/>
        </w:rPr>
        <w:t xml:space="preserve"> </w:t>
      </w:r>
      <w:r>
        <w:rPr>
          <w:rFonts w:ascii="Times New Roman" w:hAnsi="Times New Roman"/>
          <w:szCs w:val="24"/>
          <w:lang w:val="bs-Latn-BA"/>
        </w:rPr>
        <w:t>сараднике</w:t>
      </w:r>
      <w:r w:rsidR="00FB150B" w:rsidRPr="00295637">
        <w:rPr>
          <w:rFonts w:ascii="Times New Roman" w:hAnsi="Times New Roman"/>
          <w:szCs w:val="24"/>
          <w:lang w:val="bs-Latn-BA"/>
        </w:rPr>
        <w:t xml:space="preserve"> </w:t>
      </w:r>
      <w:r>
        <w:rPr>
          <w:rFonts w:ascii="Times New Roman" w:hAnsi="Times New Roman"/>
          <w:szCs w:val="24"/>
          <w:lang w:val="bs-Latn-BA"/>
        </w:rPr>
        <w:t>и</w:t>
      </w:r>
      <w:r w:rsidR="00FB150B" w:rsidRPr="00295637">
        <w:rPr>
          <w:rFonts w:ascii="Times New Roman" w:hAnsi="Times New Roman"/>
          <w:szCs w:val="24"/>
          <w:lang w:val="bs-Latn-BA"/>
        </w:rPr>
        <w:t xml:space="preserve"> </w:t>
      </w:r>
      <w:r>
        <w:rPr>
          <w:rFonts w:ascii="Times New Roman" w:hAnsi="Times New Roman"/>
          <w:szCs w:val="24"/>
          <w:lang w:val="bs-Latn-BA"/>
        </w:rPr>
        <w:t>пословне</w:t>
      </w:r>
      <w:r w:rsidR="00072107" w:rsidRPr="00295637">
        <w:rPr>
          <w:rFonts w:ascii="Times New Roman" w:hAnsi="Times New Roman"/>
          <w:szCs w:val="24"/>
          <w:lang w:val="bs-Latn-BA"/>
        </w:rPr>
        <w:t xml:space="preserve"> </w:t>
      </w:r>
      <w:r>
        <w:rPr>
          <w:rFonts w:ascii="Times New Roman" w:hAnsi="Times New Roman"/>
          <w:szCs w:val="24"/>
          <w:lang w:val="bs-Latn-BA"/>
        </w:rPr>
        <w:t>партнере</w:t>
      </w:r>
      <w:r w:rsidR="00072107" w:rsidRPr="00295637">
        <w:rPr>
          <w:rFonts w:ascii="Times New Roman" w:hAnsi="Times New Roman"/>
          <w:szCs w:val="24"/>
          <w:lang w:val="bs-Latn-BA"/>
        </w:rPr>
        <w:t xml:space="preserve"> </w:t>
      </w:r>
      <w:r>
        <w:rPr>
          <w:rFonts w:ascii="Times New Roman" w:hAnsi="Times New Roman"/>
          <w:szCs w:val="24"/>
          <w:lang w:val="bs-Latn-BA"/>
        </w:rPr>
        <w:t>на</w:t>
      </w:r>
      <w:r w:rsidR="00072107" w:rsidRPr="00295637">
        <w:rPr>
          <w:rFonts w:ascii="Times New Roman" w:hAnsi="Times New Roman"/>
          <w:szCs w:val="24"/>
          <w:lang w:val="bs-Latn-BA"/>
        </w:rPr>
        <w:t xml:space="preserve"> </w:t>
      </w:r>
      <w:r>
        <w:rPr>
          <w:rFonts w:ascii="Times New Roman" w:hAnsi="Times New Roman"/>
          <w:szCs w:val="24"/>
          <w:lang w:val="bs-Latn-BA"/>
        </w:rPr>
        <w:t>основу</w:t>
      </w:r>
      <w:r w:rsidR="00072107" w:rsidRPr="00295637">
        <w:rPr>
          <w:rFonts w:ascii="Times New Roman" w:hAnsi="Times New Roman"/>
          <w:szCs w:val="24"/>
          <w:lang w:val="bs-Latn-BA"/>
        </w:rPr>
        <w:t xml:space="preserve"> </w:t>
      </w:r>
      <w:r>
        <w:rPr>
          <w:rFonts w:ascii="Times New Roman" w:hAnsi="Times New Roman"/>
          <w:szCs w:val="24"/>
          <w:lang w:val="bs-Latn-BA"/>
        </w:rPr>
        <w:t>расе</w:t>
      </w:r>
      <w:r w:rsidR="00072107" w:rsidRPr="00295637">
        <w:rPr>
          <w:rFonts w:ascii="Times New Roman" w:hAnsi="Times New Roman"/>
          <w:szCs w:val="24"/>
          <w:lang w:val="bs-Latn-BA"/>
        </w:rPr>
        <w:t xml:space="preserve">, </w:t>
      </w:r>
      <w:r>
        <w:rPr>
          <w:rFonts w:ascii="Times New Roman" w:hAnsi="Times New Roman"/>
          <w:szCs w:val="24"/>
          <w:lang w:val="bs-Latn-BA"/>
        </w:rPr>
        <w:t>пола</w:t>
      </w:r>
      <w:r w:rsidR="00072107" w:rsidRPr="00295637">
        <w:rPr>
          <w:rFonts w:ascii="Times New Roman" w:hAnsi="Times New Roman"/>
          <w:szCs w:val="24"/>
          <w:lang w:val="bs-Latn-BA"/>
        </w:rPr>
        <w:t xml:space="preserve">, </w:t>
      </w:r>
      <w:r>
        <w:rPr>
          <w:rFonts w:ascii="Times New Roman" w:hAnsi="Times New Roman"/>
          <w:szCs w:val="24"/>
          <w:lang w:val="bs-Latn-BA"/>
        </w:rPr>
        <w:t>доби</w:t>
      </w:r>
      <w:r w:rsidR="00072107" w:rsidRPr="00295637">
        <w:rPr>
          <w:rFonts w:ascii="Times New Roman" w:hAnsi="Times New Roman"/>
          <w:szCs w:val="24"/>
          <w:lang w:val="bs-Latn-BA"/>
        </w:rPr>
        <w:t xml:space="preserve">, </w:t>
      </w:r>
      <w:r>
        <w:rPr>
          <w:rFonts w:ascii="Times New Roman" w:hAnsi="Times New Roman"/>
          <w:szCs w:val="24"/>
          <w:lang w:val="bs-Latn-BA"/>
        </w:rPr>
        <w:t>националне</w:t>
      </w:r>
      <w:r w:rsidR="00072107" w:rsidRPr="00295637">
        <w:rPr>
          <w:rFonts w:ascii="Times New Roman" w:hAnsi="Times New Roman"/>
          <w:szCs w:val="24"/>
          <w:lang w:val="bs-Latn-BA"/>
        </w:rPr>
        <w:t xml:space="preserve"> </w:t>
      </w:r>
      <w:r>
        <w:rPr>
          <w:rFonts w:ascii="Times New Roman" w:hAnsi="Times New Roman"/>
          <w:szCs w:val="24"/>
          <w:lang w:val="bs-Latn-BA"/>
        </w:rPr>
        <w:t>или</w:t>
      </w:r>
      <w:r w:rsidR="00072107" w:rsidRPr="00295637">
        <w:rPr>
          <w:rFonts w:ascii="Times New Roman" w:hAnsi="Times New Roman"/>
          <w:szCs w:val="24"/>
          <w:lang w:val="bs-Latn-BA"/>
        </w:rPr>
        <w:t xml:space="preserve"> </w:t>
      </w:r>
      <w:r>
        <w:rPr>
          <w:rFonts w:ascii="Times New Roman" w:hAnsi="Times New Roman"/>
          <w:szCs w:val="24"/>
          <w:lang w:val="bs-Latn-BA"/>
        </w:rPr>
        <w:t>религијске</w:t>
      </w:r>
      <w:r w:rsidR="00072107" w:rsidRPr="00295637">
        <w:rPr>
          <w:rFonts w:ascii="Times New Roman" w:hAnsi="Times New Roman"/>
          <w:szCs w:val="24"/>
          <w:lang w:val="bs-Latn-BA"/>
        </w:rPr>
        <w:t xml:space="preserve"> </w:t>
      </w:r>
      <w:r>
        <w:rPr>
          <w:rFonts w:ascii="Times New Roman" w:hAnsi="Times New Roman"/>
          <w:szCs w:val="24"/>
          <w:lang w:val="bs-Latn-BA"/>
        </w:rPr>
        <w:t>припадности</w:t>
      </w:r>
      <w:r w:rsidR="00FB150B" w:rsidRPr="00295637">
        <w:rPr>
          <w:rFonts w:ascii="Times New Roman" w:hAnsi="Times New Roman"/>
          <w:szCs w:val="24"/>
          <w:lang w:val="bs-Latn-BA"/>
        </w:rPr>
        <w:t xml:space="preserve">, </w:t>
      </w:r>
      <w:r>
        <w:rPr>
          <w:rFonts w:ascii="Times New Roman" w:hAnsi="Times New Roman"/>
          <w:szCs w:val="24"/>
          <w:lang w:val="bs-Latn-BA"/>
        </w:rPr>
        <w:t>полног</w:t>
      </w:r>
      <w:r w:rsidR="00FB150B" w:rsidRPr="00295637">
        <w:rPr>
          <w:rFonts w:ascii="Times New Roman" w:hAnsi="Times New Roman"/>
          <w:szCs w:val="24"/>
          <w:lang w:val="bs-Latn-BA"/>
        </w:rPr>
        <w:t xml:space="preserve"> </w:t>
      </w:r>
      <w:r>
        <w:rPr>
          <w:rFonts w:ascii="Times New Roman" w:hAnsi="Times New Roman"/>
          <w:szCs w:val="24"/>
          <w:lang w:val="bs-Latn-BA"/>
        </w:rPr>
        <w:t>опредјељења</w:t>
      </w:r>
      <w:r w:rsidR="00FB150B" w:rsidRPr="00295637">
        <w:rPr>
          <w:rFonts w:ascii="Times New Roman" w:hAnsi="Times New Roman"/>
          <w:szCs w:val="24"/>
          <w:lang w:val="bs-Latn-BA"/>
        </w:rPr>
        <w:t>“.</w:t>
      </w:r>
      <w:r w:rsidR="00F63433" w:rsidRPr="00295637">
        <w:rPr>
          <w:rFonts w:ascii="Times New Roman" w:hAnsi="Times New Roman"/>
          <w:szCs w:val="24"/>
          <w:lang w:val="bs-Latn-BA"/>
        </w:rPr>
        <w:t xml:space="preserve"> </w:t>
      </w:r>
      <w:r w:rsidR="005F49F6">
        <w:rPr>
          <w:rFonts w:ascii="Times New Roman" w:hAnsi="Times New Roman"/>
          <w:szCs w:val="24"/>
          <w:lang w:val="bs-Latn-BA"/>
        </w:rPr>
        <w:t>Такође</w:t>
      </w:r>
      <w:r w:rsidR="00FB150B" w:rsidRPr="00295637">
        <w:rPr>
          <w:rFonts w:ascii="Times New Roman" w:hAnsi="Times New Roman"/>
          <w:szCs w:val="24"/>
          <w:lang w:val="bs-Latn-BA"/>
        </w:rPr>
        <w:t>,</w:t>
      </w:r>
      <w:r w:rsidR="00072107" w:rsidRPr="00295637">
        <w:rPr>
          <w:rFonts w:ascii="Times New Roman" w:hAnsi="Times New Roman"/>
          <w:szCs w:val="24"/>
          <w:lang w:val="bs-Latn-BA"/>
        </w:rPr>
        <w:t xml:space="preserve"> </w:t>
      </w:r>
      <w:r>
        <w:rPr>
          <w:rFonts w:ascii="Times New Roman" w:hAnsi="Times New Roman"/>
          <w:szCs w:val="24"/>
          <w:lang w:val="bs-Latn-BA"/>
        </w:rPr>
        <w:t>у</w:t>
      </w:r>
      <w:r w:rsidR="00072107" w:rsidRPr="00295637">
        <w:rPr>
          <w:rFonts w:ascii="Times New Roman" w:hAnsi="Times New Roman"/>
          <w:szCs w:val="24"/>
          <w:lang w:val="bs-Latn-BA"/>
        </w:rPr>
        <w:t xml:space="preserve"> </w:t>
      </w:r>
      <w:r>
        <w:rPr>
          <w:rFonts w:ascii="Times New Roman" w:hAnsi="Times New Roman"/>
          <w:szCs w:val="24"/>
          <w:lang w:val="bs-Latn-BA"/>
        </w:rPr>
        <w:t>Уређивачким</w:t>
      </w:r>
      <w:r w:rsidR="00072107" w:rsidRPr="00295637">
        <w:rPr>
          <w:rFonts w:ascii="Times New Roman" w:hAnsi="Times New Roman"/>
          <w:szCs w:val="24"/>
          <w:lang w:val="bs-Latn-BA"/>
        </w:rPr>
        <w:t xml:space="preserve"> </w:t>
      </w:r>
      <w:r>
        <w:rPr>
          <w:rFonts w:ascii="Times New Roman" w:hAnsi="Times New Roman"/>
          <w:szCs w:val="24"/>
          <w:lang w:val="bs-Latn-BA"/>
        </w:rPr>
        <w:t>начелима</w:t>
      </w:r>
      <w:r w:rsidR="00072107" w:rsidRPr="00295637">
        <w:rPr>
          <w:rFonts w:ascii="Times New Roman" w:hAnsi="Times New Roman"/>
          <w:szCs w:val="24"/>
          <w:lang w:val="bs-Latn-BA"/>
        </w:rPr>
        <w:t xml:space="preserve"> </w:t>
      </w:r>
      <w:r>
        <w:rPr>
          <w:rFonts w:ascii="Times New Roman" w:hAnsi="Times New Roman"/>
          <w:szCs w:val="24"/>
          <w:lang w:val="bs-Latn-BA"/>
        </w:rPr>
        <w:t>РТВ</w:t>
      </w:r>
      <w:r w:rsidR="00C67E03">
        <w:rPr>
          <w:rFonts w:ascii="Times New Roman" w:hAnsi="Times New Roman"/>
          <w:szCs w:val="24"/>
          <w:lang w:val="bs-Latn-BA"/>
        </w:rPr>
        <w:t xml:space="preserve"> </w:t>
      </w:r>
      <w:r>
        <w:rPr>
          <w:rFonts w:ascii="Times New Roman" w:hAnsi="Times New Roman"/>
          <w:szCs w:val="24"/>
          <w:lang w:val="bs-Latn-BA"/>
        </w:rPr>
        <w:t>БиХ</w:t>
      </w:r>
      <w:r w:rsidR="00FB150B" w:rsidRPr="00295637">
        <w:rPr>
          <w:rFonts w:ascii="Times New Roman" w:hAnsi="Times New Roman"/>
          <w:szCs w:val="24"/>
          <w:lang w:val="bs-Latn-BA"/>
        </w:rPr>
        <w:t xml:space="preserve"> </w:t>
      </w:r>
      <w:r>
        <w:rPr>
          <w:rFonts w:ascii="Times New Roman" w:hAnsi="Times New Roman"/>
          <w:szCs w:val="24"/>
          <w:lang w:val="bs-Latn-BA"/>
        </w:rPr>
        <w:t>се</w:t>
      </w:r>
      <w:r w:rsidR="00FB150B" w:rsidRPr="00295637">
        <w:rPr>
          <w:rFonts w:ascii="Times New Roman" w:hAnsi="Times New Roman"/>
          <w:szCs w:val="24"/>
          <w:lang w:val="bs-Latn-BA"/>
        </w:rPr>
        <w:t xml:space="preserve"> </w:t>
      </w:r>
      <w:r>
        <w:rPr>
          <w:rFonts w:ascii="Times New Roman" w:hAnsi="Times New Roman"/>
          <w:szCs w:val="24"/>
          <w:lang w:val="bs-Latn-BA"/>
        </w:rPr>
        <w:t>каже</w:t>
      </w:r>
      <w:r w:rsidR="00FB150B" w:rsidRPr="00295637">
        <w:rPr>
          <w:rFonts w:ascii="Times New Roman" w:hAnsi="Times New Roman"/>
          <w:szCs w:val="24"/>
          <w:lang w:val="bs-Latn-BA"/>
        </w:rPr>
        <w:t xml:space="preserve"> </w:t>
      </w:r>
      <w:r>
        <w:rPr>
          <w:rFonts w:ascii="Times New Roman" w:hAnsi="Times New Roman"/>
          <w:szCs w:val="24"/>
          <w:lang w:val="bs-Latn-BA"/>
        </w:rPr>
        <w:t>да</w:t>
      </w:r>
      <w:r w:rsidR="00FB150B" w:rsidRPr="00295637">
        <w:rPr>
          <w:rFonts w:ascii="Times New Roman" w:hAnsi="Times New Roman"/>
          <w:szCs w:val="24"/>
          <w:lang w:val="bs-Latn-BA"/>
        </w:rPr>
        <w:t xml:space="preserve"> </w:t>
      </w:r>
      <w:r>
        <w:rPr>
          <w:rFonts w:ascii="Times New Roman" w:hAnsi="Times New Roman"/>
          <w:szCs w:val="24"/>
          <w:lang w:val="bs-Latn-BA"/>
        </w:rPr>
        <w:t>се</w:t>
      </w:r>
      <w:r w:rsidR="00FB150B" w:rsidRPr="00295637">
        <w:rPr>
          <w:rFonts w:ascii="Times New Roman" w:hAnsi="Times New Roman"/>
          <w:szCs w:val="24"/>
          <w:lang w:val="bs-Latn-BA"/>
        </w:rPr>
        <w:t xml:space="preserve"> „</w:t>
      </w:r>
      <w:r>
        <w:rPr>
          <w:rFonts w:ascii="Times New Roman" w:hAnsi="Times New Roman"/>
          <w:szCs w:val="24"/>
          <w:lang w:val="bs-Latn-BA"/>
        </w:rPr>
        <w:t>неће</w:t>
      </w:r>
      <w:r w:rsidR="00FB150B" w:rsidRPr="00295637">
        <w:rPr>
          <w:rFonts w:ascii="Times New Roman" w:hAnsi="Times New Roman"/>
          <w:szCs w:val="24"/>
          <w:lang w:val="bs-Latn-BA"/>
        </w:rPr>
        <w:t xml:space="preserve"> </w:t>
      </w:r>
      <w:r>
        <w:rPr>
          <w:rFonts w:ascii="Times New Roman" w:hAnsi="Times New Roman"/>
          <w:szCs w:val="24"/>
          <w:lang w:val="bs-Latn-BA"/>
        </w:rPr>
        <w:t>емит</w:t>
      </w:r>
      <w:r w:rsidR="005F49F6">
        <w:rPr>
          <w:rFonts w:ascii="Times New Roman" w:hAnsi="Times New Roman"/>
          <w:szCs w:val="24"/>
          <w:lang w:val="sr-Cyrl-BA"/>
        </w:rPr>
        <w:t>овати</w:t>
      </w:r>
      <w:r w:rsidR="00072107" w:rsidRPr="00295637">
        <w:rPr>
          <w:rFonts w:ascii="Times New Roman" w:hAnsi="Times New Roman"/>
          <w:szCs w:val="24"/>
          <w:lang w:val="bs-Latn-BA"/>
        </w:rPr>
        <w:t xml:space="preserve"> </w:t>
      </w:r>
      <w:r>
        <w:rPr>
          <w:rFonts w:ascii="Times New Roman" w:hAnsi="Times New Roman"/>
          <w:szCs w:val="24"/>
          <w:lang w:val="bs-Latn-BA"/>
        </w:rPr>
        <w:t>материјали</w:t>
      </w:r>
      <w:r w:rsidR="00072107" w:rsidRPr="00295637">
        <w:rPr>
          <w:rFonts w:ascii="Times New Roman" w:hAnsi="Times New Roman"/>
          <w:szCs w:val="24"/>
          <w:lang w:val="bs-Latn-BA"/>
        </w:rPr>
        <w:t xml:space="preserve"> </w:t>
      </w:r>
      <w:r>
        <w:rPr>
          <w:rFonts w:ascii="Times New Roman" w:hAnsi="Times New Roman"/>
          <w:szCs w:val="24"/>
          <w:lang w:val="bs-Latn-BA"/>
        </w:rPr>
        <w:t>који</w:t>
      </w:r>
      <w:r w:rsidR="00072107" w:rsidRPr="00295637">
        <w:rPr>
          <w:rFonts w:ascii="Times New Roman" w:hAnsi="Times New Roman"/>
          <w:szCs w:val="24"/>
          <w:lang w:val="bs-Latn-BA"/>
        </w:rPr>
        <w:t xml:space="preserve"> </w:t>
      </w:r>
      <w:r>
        <w:rPr>
          <w:rFonts w:ascii="Times New Roman" w:hAnsi="Times New Roman"/>
          <w:szCs w:val="24"/>
          <w:lang w:val="bs-Latn-BA"/>
        </w:rPr>
        <w:t>би</w:t>
      </w:r>
      <w:r w:rsidR="00072107" w:rsidRPr="00295637">
        <w:rPr>
          <w:rFonts w:ascii="Times New Roman" w:hAnsi="Times New Roman"/>
          <w:szCs w:val="24"/>
          <w:lang w:val="bs-Latn-BA"/>
        </w:rPr>
        <w:t xml:space="preserve"> </w:t>
      </w:r>
      <w:r>
        <w:rPr>
          <w:rFonts w:ascii="Times New Roman" w:hAnsi="Times New Roman"/>
          <w:szCs w:val="24"/>
          <w:lang w:val="bs-Latn-BA"/>
        </w:rPr>
        <w:t>могли</w:t>
      </w:r>
      <w:r w:rsidR="00072107" w:rsidRPr="00295637">
        <w:rPr>
          <w:rFonts w:ascii="Times New Roman" w:hAnsi="Times New Roman"/>
          <w:szCs w:val="24"/>
          <w:lang w:val="bs-Latn-BA"/>
        </w:rPr>
        <w:t xml:space="preserve"> </w:t>
      </w:r>
      <w:r>
        <w:rPr>
          <w:rFonts w:ascii="Times New Roman" w:hAnsi="Times New Roman"/>
          <w:szCs w:val="24"/>
          <w:lang w:val="bs-Latn-BA"/>
        </w:rPr>
        <w:t>провоцирати</w:t>
      </w:r>
      <w:r w:rsidR="00072107" w:rsidRPr="00295637">
        <w:rPr>
          <w:rFonts w:ascii="Times New Roman" w:hAnsi="Times New Roman"/>
          <w:szCs w:val="24"/>
          <w:lang w:val="bs-Latn-BA"/>
        </w:rPr>
        <w:t xml:space="preserve"> </w:t>
      </w:r>
      <w:r>
        <w:rPr>
          <w:rFonts w:ascii="Times New Roman" w:hAnsi="Times New Roman"/>
          <w:szCs w:val="24"/>
          <w:lang w:val="bs-Latn-BA"/>
        </w:rPr>
        <w:t>или</w:t>
      </w:r>
      <w:r w:rsidR="00072107" w:rsidRPr="00295637">
        <w:rPr>
          <w:rFonts w:ascii="Times New Roman" w:hAnsi="Times New Roman"/>
          <w:szCs w:val="24"/>
          <w:lang w:val="bs-Latn-BA"/>
        </w:rPr>
        <w:t xml:space="preserve"> </w:t>
      </w:r>
      <w:r>
        <w:rPr>
          <w:rFonts w:ascii="Times New Roman" w:hAnsi="Times New Roman"/>
          <w:szCs w:val="24"/>
          <w:lang w:val="bs-Latn-BA"/>
        </w:rPr>
        <w:t>подстаћи</w:t>
      </w:r>
      <w:r w:rsidR="00072107" w:rsidRPr="00295637">
        <w:rPr>
          <w:rFonts w:ascii="Times New Roman" w:hAnsi="Times New Roman"/>
          <w:szCs w:val="24"/>
          <w:lang w:val="bs-Latn-BA"/>
        </w:rPr>
        <w:t xml:space="preserve"> </w:t>
      </w:r>
      <w:r>
        <w:rPr>
          <w:rFonts w:ascii="Times New Roman" w:hAnsi="Times New Roman"/>
          <w:szCs w:val="24"/>
          <w:lang w:val="bs-Latn-BA"/>
        </w:rPr>
        <w:t>на</w:t>
      </w:r>
      <w:r w:rsidR="00072107" w:rsidRPr="00295637">
        <w:rPr>
          <w:rFonts w:ascii="Times New Roman" w:hAnsi="Times New Roman"/>
          <w:szCs w:val="24"/>
          <w:lang w:val="bs-Latn-BA"/>
        </w:rPr>
        <w:t xml:space="preserve"> </w:t>
      </w:r>
      <w:r>
        <w:rPr>
          <w:rFonts w:ascii="Times New Roman" w:hAnsi="Times New Roman"/>
          <w:szCs w:val="24"/>
          <w:lang w:val="bs-Latn-BA"/>
        </w:rPr>
        <w:t>дјела</w:t>
      </w:r>
      <w:r w:rsidR="00072107" w:rsidRPr="00295637">
        <w:rPr>
          <w:rFonts w:ascii="Times New Roman" w:hAnsi="Times New Roman"/>
          <w:szCs w:val="24"/>
          <w:lang w:val="bs-Latn-BA"/>
        </w:rPr>
        <w:t xml:space="preserve"> </w:t>
      </w:r>
      <w:r>
        <w:rPr>
          <w:rFonts w:ascii="Times New Roman" w:hAnsi="Times New Roman"/>
          <w:szCs w:val="24"/>
          <w:lang w:val="bs-Latn-BA"/>
        </w:rPr>
        <w:t>против</w:t>
      </w:r>
      <w:r w:rsidR="00072107" w:rsidRPr="00295637">
        <w:rPr>
          <w:rFonts w:ascii="Times New Roman" w:hAnsi="Times New Roman"/>
          <w:szCs w:val="24"/>
          <w:lang w:val="bs-Latn-BA"/>
        </w:rPr>
        <w:t xml:space="preserve"> </w:t>
      </w:r>
      <w:r>
        <w:rPr>
          <w:rFonts w:ascii="Times New Roman" w:hAnsi="Times New Roman"/>
          <w:szCs w:val="24"/>
          <w:lang w:val="bs-Latn-BA"/>
        </w:rPr>
        <w:t>основних</w:t>
      </w:r>
      <w:r w:rsidR="00072107" w:rsidRPr="00295637">
        <w:rPr>
          <w:rFonts w:ascii="Times New Roman" w:hAnsi="Times New Roman"/>
          <w:szCs w:val="24"/>
          <w:lang w:val="bs-Latn-BA"/>
        </w:rPr>
        <w:t xml:space="preserve"> </w:t>
      </w:r>
      <w:r>
        <w:rPr>
          <w:rFonts w:ascii="Times New Roman" w:hAnsi="Times New Roman"/>
          <w:szCs w:val="24"/>
          <w:lang w:val="bs-Latn-BA"/>
        </w:rPr>
        <w:t>права</w:t>
      </w:r>
      <w:r w:rsidR="00072107" w:rsidRPr="00295637">
        <w:rPr>
          <w:rFonts w:ascii="Times New Roman" w:hAnsi="Times New Roman"/>
          <w:szCs w:val="24"/>
          <w:lang w:val="bs-Latn-BA"/>
        </w:rPr>
        <w:t xml:space="preserve"> </w:t>
      </w:r>
      <w:r>
        <w:rPr>
          <w:rFonts w:ascii="Times New Roman" w:hAnsi="Times New Roman"/>
          <w:szCs w:val="24"/>
          <w:lang w:val="bs-Latn-BA"/>
        </w:rPr>
        <w:t>и</w:t>
      </w:r>
      <w:r w:rsidR="00072107" w:rsidRPr="00295637">
        <w:rPr>
          <w:rFonts w:ascii="Times New Roman" w:hAnsi="Times New Roman"/>
          <w:szCs w:val="24"/>
          <w:lang w:val="bs-Latn-BA"/>
        </w:rPr>
        <w:t xml:space="preserve"> </w:t>
      </w:r>
      <w:r>
        <w:rPr>
          <w:rFonts w:ascii="Times New Roman" w:hAnsi="Times New Roman"/>
          <w:szCs w:val="24"/>
          <w:lang w:val="bs-Latn-BA"/>
        </w:rPr>
        <w:t>грађанских</w:t>
      </w:r>
      <w:r w:rsidR="00072107" w:rsidRPr="00295637">
        <w:rPr>
          <w:rFonts w:ascii="Times New Roman" w:hAnsi="Times New Roman"/>
          <w:szCs w:val="24"/>
          <w:lang w:val="bs-Latn-BA"/>
        </w:rPr>
        <w:t xml:space="preserve"> </w:t>
      </w:r>
      <w:r>
        <w:rPr>
          <w:rFonts w:ascii="Times New Roman" w:hAnsi="Times New Roman"/>
          <w:szCs w:val="24"/>
          <w:lang w:val="bs-Latn-BA"/>
        </w:rPr>
        <w:t>слобода</w:t>
      </w:r>
      <w:r w:rsidR="00072107" w:rsidRPr="00295637">
        <w:rPr>
          <w:rFonts w:ascii="Times New Roman" w:hAnsi="Times New Roman"/>
          <w:szCs w:val="24"/>
          <w:lang w:val="bs-Latn-BA"/>
        </w:rPr>
        <w:t xml:space="preserve"> </w:t>
      </w:r>
      <w:r>
        <w:rPr>
          <w:rFonts w:ascii="Times New Roman" w:hAnsi="Times New Roman"/>
          <w:szCs w:val="24"/>
          <w:lang w:val="bs-Latn-BA"/>
        </w:rPr>
        <w:t>појединаца</w:t>
      </w:r>
      <w:r w:rsidR="00072107" w:rsidRPr="00295637">
        <w:rPr>
          <w:rFonts w:ascii="Times New Roman" w:hAnsi="Times New Roman"/>
          <w:szCs w:val="24"/>
          <w:lang w:val="bs-Latn-BA"/>
        </w:rPr>
        <w:t xml:space="preserve"> </w:t>
      </w:r>
      <w:r>
        <w:rPr>
          <w:rFonts w:ascii="Times New Roman" w:hAnsi="Times New Roman"/>
          <w:szCs w:val="24"/>
          <w:lang w:val="bs-Latn-BA"/>
        </w:rPr>
        <w:t>и</w:t>
      </w:r>
      <w:r w:rsidR="00072107" w:rsidRPr="00295637">
        <w:rPr>
          <w:rFonts w:ascii="Times New Roman" w:hAnsi="Times New Roman"/>
          <w:szCs w:val="24"/>
          <w:lang w:val="bs-Latn-BA"/>
        </w:rPr>
        <w:t xml:space="preserve"> </w:t>
      </w:r>
      <w:r>
        <w:rPr>
          <w:rFonts w:ascii="Times New Roman" w:hAnsi="Times New Roman"/>
          <w:szCs w:val="24"/>
          <w:lang w:val="bs-Latn-BA"/>
        </w:rPr>
        <w:t>група</w:t>
      </w:r>
      <w:r w:rsidR="00072107" w:rsidRPr="00295637">
        <w:rPr>
          <w:rFonts w:ascii="Times New Roman" w:hAnsi="Times New Roman"/>
          <w:szCs w:val="24"/>
          <w:lang w:val="bs-Latn-BA"/>
        </w:rPr>
        <w:t xml:space="preserve">“. </w:t>
      </w:r>
    </w:p>
    <w:p w:rsidR="00DB4AC0" w:rsidRPr="00295637" w:rsidRDefault="00DB4AC0" w:rsidP="0086268D">
      <w:pPr>
        <w:tabs>
          <w:tab w:val="left" w:pos="284"/>
          <w:tab w:val="left" w:pos="630"/>
          <w:tab w:val="left" w:pos="1080"/>
        </w:tabs>
        <w:jc w:val="both"/>
        <w:rPr>
          <w:rFonts w:ascii="Times New Roman" w:hAnsi="Times New Roman"/>
          <w:lang w:val="bs-Latn-BA"/>
        </w:rPr>
      </w:pPr>
    </w:p>
    <w:p w:rsidR="00DB4AC0" w:rsidRPr="00295637" w:rsidRDefault="00C6214E" w:rsidP="0086268D">
      <w:pPr>
        <w:pStyle w:val="NormalWeb"/>
        <w:spacing w:before="0" w:beforeAutospacing="0" w:after="0" w:afterAutospacing="0"/>
        <w:jc w:val="both"/>
        <w:rPr>
          <w:lang w:val="bs-Latn-BA"/>
        </w:rPr>
      </w:pPr>
      <w:r>
        <w:rPr>
          <w:lang w:val="bs-Latn-BA"/>
        </w:rPr>
        <w:t>У</w:t>
      </w:r>
      <w:r w:rsidR="00A708B8" w:rsidRPr="00295637">
        <w:rPr>
          <w:lang w:val="bs-Latn-BA"/>
        </w:rPr>
        <w:t xml:space="preserve"> </w:t>
      </w:r>
      <w:r>
        <w:rPr>
          <w:lang w:val="bs-Latn-BA"/>
        </w:rPr>
        <w:t>оквиру</w:t>
      </w:r>
      <w:r w:rsidR="00A708B8" w:rsidRPr="00295637">
        <w:rPr>
          <w:lang w:val="bs-Latn-BA"/>
        </w:rPr>
        <w:t xml:space="preserve"> </w:t>
      </w:r>
      <w:r>
        <w:rPr>
          <w:lang w:val="bs-Latn-BA"/>
        </w:rPr>
        <w:t>иницијативе</w:t>
      </w:r>
      <w:r w:rsidR="00A708B8" w:rsidRPr="00295637">
        <w:rPr>
          <w:lang w:val="bs-Latn-BA"/>
        </w:rPr>
        <w:t xml:space="preserve"> </w:t>
      </w:r>
      <w:r w:rsidR="00A708B8" w:rsidRPr="00295637">
        <w:rPr>
          <w:rStyle w:val="Strong"/>
          <w:b w:val="0"/>
          <w:lang w:val="bs-Latn-BA"/>
        </w:rPr>
        <w:t xml:space="preserve">„16 </w:t>
      </w:r>
      <w:r>
        <w:rPr>
          <w:rStyle w:val="Strong"/>
          <w:b w:val="0"/>
          <w:lang w:val="bs-Latn-BA"/>
        </w:rPr>
        <w:t>дана</w:t>
      </w:r>
      <w:r w:rsidR="00A708B8" w:rsidRPr="00295637">
        <w:rPr>
          <w:rStyle w:val="Strong"/>
          <w:b w:val="0"/>
          <w:lang w:val="bs-Latn-BA"/>
        </w:rPr>
        <w:t xml:space="preserve"> </w:t>
      </w:r>
      <w:r>
        <w:rPr>
          <w:rStyle w:val="Strong"/>
          <w:b w:val="0"/>
          <w:lang w:val="bs-Latn-BA"/>
        </w:rPr>
        <w:t>активизма</w:t>
      </w:r>
      <w:r w:rsidR="00A708B8" w:rsidRPr="00295637">
        <w:rPr>
          <w:rStyle w:val="Strong"/>
          <w:b w:val="0"/>
          <w:lang w:val="bs-Latn-BA"/>
        </w:rPr>
        <w:t xml:space="preserve"> </w:t>
      </w:r>
      <w:r>
        <w:rPr>
          <w:rStyle w:val="Strong"/>
          <w:b w:val="0"/>
          <w:lang w:val="bs-Latn-BA"/>
        </w:rPr>
        <w:t>против</w:t>
      </w:r>
      <w:r w:rsidR="00A708B8" w:rsidRPr="00295637">
        <w:rPr>
          <w:rStyle w:val="Strong"/>
          <w:b w:val="0"/>
          <w:lang w:val="bs-Latn-BA"/>
        </w:rPr>
        <w:t xml:space="preserve"> </w:t>
      </w:r>
      <w:r>
        <w:rPr>
          <w:rStyle w:val="Strong"/>
          <w:b w:val="0"/>
          <w:lang w:val="bs-Latn-BA"/>
        </w:rPr>
        <w:t>родно</w:t>
      </w:r>
      <w:r w:rsidR="00A708B8" w:rsidRPr="00295637">
        <w:rPr>
          <w:rStyle w:val="Strong"/>
          <w:b w:val="0"/>
          <w:lang w:val="bs-Latn-BA"/>
        </w:rPr>
        <w:t xml:space="preserve"> </w:t>
      </w:r>
      <w:r>
        <w:rPr>
          <w:rStyle w:val="Strong"/>
          <w:b w:val="0"/>
          <w:lang w:val="bs-Latn-BA"/>
        </w:rPr>
        <w:t>заснованог</w:t>
      </w:r>
      <w:r w:rsidR="00A708B8" w:rsidRPr="00295637">
        <w:rPr>
          <w:rStyle w:val="Strong"/>
          <w:b w:val="0"/>
          <w:lang w:val="bs-Latn-BA"/>
        </w:rPr>
        <w:t xml:space="preserve"> </w:t>
      </w:r>
      <w:r>
        <w:rPr>
          <w:rStyle w:val="Strong"/>
          <w:b w:val="0"/>
          <w:lang w:val="bs-Latn-BA"/>
        </w:rPr>
        <w:t>насиља</w:t>
      </w:r>
      <w:r w:rsidR="00A708B8" w:rsidRPr="00295637">
        <w:rPr>
          <w:rStyle w:val="Strong"/>
          <w:b w:val="0"/>
          <w:lang w:val="bs-Latn-BA"/>
        </w:rPr>
        <w:t>“</w:t>
      </w:r>
      <w:r w:rsidR="00A708B8" w:rsidRPr="00295637">
        <w:rPr>
          <w:b/>
          <w:lang w:val="bs-Latn-BA"/>
        </w:rPr>
        <w:t>,</w:t>
      </w:r>
      <w:r w:rsidR="00A708B8" w:rsidRPr="00295637">
        <w:rPr>
          <w:lang w:val="bs-Latn-BA"/>
        </w:rPr>
        <w:t xml:space="preserve"> </w:t>
      </w:r>
      <w:r>
        <w:rPr>
          <w:lang w:val="bs-Latn-BA"/>
        </w:rPr>
        <w:t>ФМРСП</w:t>
      </w:r>
      <w:r w:rsidR="00A708B8" w:rsidRPr="00295637">
        <w:rPr>
          <w:lang w:val="bs-Latn-BA"/>
        </w:rPr>
        <w:t xml:space="preserve"> </w:t>
      </w:r>
      <w:r>
        <w:rPr>
          <w:lang w:val="bs-Latn-BA"/>
        </w:rPr>
        <w:t>је</w:t>
      </w:r>
      <w:r w:rsidR="005D4593" w:rsidRPr="00295637">
        <w:rPr>
          <w:lang w:val="bs-Latn-BA"/>
        </w:rPr>
        <w:t xml:space="preserve"> </w:t>
      </w:r>
      <w:r>
        <w:rPr>
          <w:lang w:val="bs-Latn-BA"/>
        </w:rPr>
        <w:t>реализ</w:t>
      </w:r>
      <w:r w:rsidR="005F49F6">
        <w:rPr>
          <w:lang w:val="sr-Cyrl-BA"/>
        </w:rPr>
        <w:t>овало</w:t>
      </w:r>
      <w:r w:rsidR="005D4593" w:rsidRPr="00295637">
        <w:rPr>
          <w:lang w:val="bs-Latn-BA"/>
        </w:rPr>
        <w:t xml:space="preserve"> </w:t>
      </w:r>
      <w:r>
        <w:rPr>
          <w:lang w:val="bs-Latn-BA"/>
        </w:rPr>
        <w:t>кампању</w:t>
      </w:r>
      <w:r w:rsidR="00A708B8" w:rsidRPr="00295637">
        <w:rPr>
          <w:lang w:val="bs-Latn-BA"/>
        </w:rPr>
        <w:t xml:space="preserve"> </w:t>
      </w:r>
      <w:r w:rsidR="00790C20" w:rsidRPr="00295637">
        <w:rPr>
          <w:rStyle w:val="Strong"/>
          <w:b w:val="0"/>
          <w:lang w:val="bs-Latn-BA"/>
        </w:rPr>
        <w:t>„</w:t>
      </w:r>
      <w:r>
        <w:rPr>
          <w:rStyle w:val="Strong"/>
          <w:b w:val="0"/>
          <w:lang w:val="bs-Latn-BA"/>
        </w:rPr>
        <w:t>Мушкарци</w:t>
      </w:r>
      <w:r w:rsidR="00790C20" w:rsidRPr="00295637">
        <w:rPr>
          <w:rStyle w:val="Strong"/>
          <w:b w:val="0"/>
          <w:lang w:val="bs-Latn-BA"/>
        </w:rPr>
        <w:t xml:space="preserve"> </w:t>
      </w:r>
      <w:r>
        <w:rPr>
          <w:rStyle w:val="Strong"/>
          <w:b w:val="0"/>
          <w:lang w:val="bs-Latn-BA"/>
        </w:rPr>
        <w:t>у</w:t>
      </w:r>
      <w:r w:rsidR="00790C20" w:rsidRPr="00295637">
        <w:rPr>
          <w:rStyle w:val="Strong"/>
          <w:b w:val="0"/>
          <w:lang w:val="bs-Latn-BA"/>
        </w:rPr>
        <w:t xml:space="preserve"> </w:t>
      </w:r>
      <w:r>
        <w:rPr>
          <w:rStyle w:val="Strong"/>
          <w:b w:val="0"/>
          <w:lang w:val="bs-Latn-BA"/>
        </w:rPr>
        <w:t>борби</w:t>
      </w:r>
      <w:r w:rsidR="00790C20" w:rsidRPr="00295637">
        <w:rPr>
          <w:rStyle w:val="Strong"/>
          <w:b w:val="0"/>
          <w:lang w:val="bs-Latn-BA"/>
        </w:rPr>
        <w:t xml:space="preserve"> </w:t>
      </w:r>
      <w:r>
        <w:rPr>
          <w:rStyle w:val="Strong"/>
          <w:b w:val="0"/>
          <w:lang w:val="bs-Latn-BA"/>
        </w:rPr>
        <w:t>против</w:t>
      </w:r>
      <w:r w:rsidR="00790C20" w:rsidRPr="00295637">
        <w:rPr>
          <w:rStyle w:val="Strong"/>
          <w:b w:val="0"/>
          <w:lang w:val="bs-Latn-BA"/>
        </w:rPr>
        <w:t xml:space="preserve"> </w:t>
      </w:r>
      <w:r>
        <w:rPr>
          <w:rStyle w:val="Strong"/>
          <w:b w:val="0"/>
          <w:lang w:val="bs-Latn-BA"/>
        </w:rPr>
        <w:t>родно</w:t>
      </w:r>
      <w:r w:rsidR="00790C20" w:rsidRPr="00295637">
        <w:rPr>
          <w:rStyle w:val="Strong"/>
          <w:b w:val="0"/>
          <w:lang w:val="bs-Latn-BA"/>
        </w:rPr>
        <w:t xml:space="preserve"> </w:t>
      </w:r>
      <w:r>
        <w:rPr>
          <w:rStyle w:val="Strong"/>
          <w:b w:val="0"/>
          <w:lang w:val="bs-Latn-BA"/>
        </w:rPr>
        <w:t>заснованог</w:t>
      </w:r>
      <w:r w:rsidR="00790C20" w:rsidRPr="00295637">
        <w:rPr>
          <w:rStyle w:val="Strong"/>
          <w:b w:val="0"/>
          <w:lang w:val="bs-Latn-BA"/>
        </w:rPr>
        <w:t xml:space="preserve"> </w:t>
      </w:r>
      <w:r>
        <w:rPr>
          <w:rStyle w:val="Strong"/>
          <w:b w:val="0"/>
          <w:lang w:val="bs-Latn-BA"/>
        </w:rPr>
        <w:t>насиља</w:t>
      </w:r>
      <w:r w:rsidR="00790C20" w:rsidRPr="00295637">
        <w:rPr>
          <w:rStyle w:val="Strong"/>
          <w:b w:val="0"/>
          <w:lang w:val="bs-Latn-BA"/>
        </w:rPr>
        <w:t>“</w:t>
      </w:r>
      <w:r w:rsidR="00790C20" w:rsidRPr="00295637">
        <w:rPr>
          <w:b/>
          <w:lang w:val="bs-Latn-BA"/>
        </w:rPr>
        <w:t>,</w:t>
      </w:r>
      <w:r w:rsidR="00790C20" w:rsidRPr="00295637">
        <w:rPr>
          <w:lang w:val="bs-Latn-BA"/>
        </w:rPr>
        <w:t xml:space="preserve"> </w:t>
      </w:r>
      <w:r>
        <w:rPr>
          <w:lang w:val="bs-Latn-BA"/>
        </w:rPr>
        <w:t>усмјерену</w:t>
      </w:r>
      <w:r w:rsidR="00A708B8" w:rsidRPr="00295637">
        <w:rPr>
          <w:lang w:val="bs-Latn-BA"/>
        </w:rPr>
        <w:t xml:space="preserve"> </w:t>
      </w:r>
      <w:r>
        <w:rPr>
          <w:lang w:val="bs-Latn-BA"/>
        </w:rPr>
        <w:t>на</w:t>
      </w:r>
      <w:r w:rsidR="00A708B8" w:rsidRPr="00295637">
        <w:rPr>
          <w:lang w:val="bs-Latn-BA"/>
        </w:rPr>
        <w:t xml:space="preserve"> </w:t>
      </w:r>
      <w:r>
        <w:rPr>
          <w:lang w:val="bs-Latn-BA"/>
        </w:rPr>
        <w:t>подизање</w:t>
      </w:r>
      <w:r w:rsidR="00A708B8" w:rsidRPr="00295637">
        <w:rPr>
          <w:lang w:val="bs-Latn-BA"/>
        </w:rPr>
        <w:t xml:space="preserve"> </w:t>
      </w:r>
      <w:r>
        <w:rPr>
          <w:lang w:val="bs-Latn-BA"/>
        </w:rPr>
        <w:t>свијести</w:t>
      </w:r>
      <w:r w:rsidR="004B12DA" w:rsidRPr="00295637">
        <w:rPr>
          <w:lang w:val="bs-Latn-BA"/>
        </w:rPr>
        <w:t>,</w:t>
      </w:r>
      <w:r w:rsidR="00A708B8" w:rsidRPr="00295637">
        <w:rPr>
          <w:lang w:val="bs-Latn-BA"/>
        </w:rPr>
        <w:t xml:space="preserve"> </w:t>
      </w:r>
      <w:r>
        <w:rPr>
          <w:lang w:val="bs-Latn-BA"/>
        </w:rPr>
        <w:t>те</w:t>
      </w:r>
      <w:r w:rsidR="00A708B8" w:rsidRPr="00295637">
        <w:rPr>
          <w:lang w:val="bs-Latn-BA"/>
        </w:rPr>
        <w:t xml:space="preserve"> </w:t>
      </w:r>
      <w:r>
        <w:rPr>
          <w:lang w:val="bs-Latn-BA"/>
        </w:rPr>
        <w:t>промоцију</w:t>
      </w:r>
      <w:r w:rsidR="00A708B8" w:rsidRPr="00295637">
        <w:rPr>
          <w:lang w:val="bs-Latn-BA"/>
        </w:rPr>
        <w:t xml:space="preserve"> </w:t>
      </w:r>
      <w:r>
        <w:rPr>
          <w:lang w:val="bs-Latn-BA"/>
        </w:rPr>
        <w:t>концепта</w:t>
      </w:r>
      <w:r w:rsidR="00A708B8" w:rsidRPr="00295637">
        <w:rPr>
          <w:lang w:val="bs-Latn-BA"/>
        </w:rPr>
        <w:t xml:space="preserve"> </w:t>
      </w:r>
      <w:r>
        <w:rPr>
          <w:lang w:val="bs-Latn-BA"/>
        </w:rPr>
        <w:t>одрживости</w:t>
      </w:r>
      <w:r w:rsidR="00A708B8" w:rsidRPr="00295637">
        <w:rPr>
          <w:lang w:val="bs-Latn-BA"/>
        </w:rPr>
        <w:t xml:space="preserve"> </w:t>
      </w:r>
      <w:r>
        <w:rPr>
          <w:lang w:val="bs-Latn-BA"/>
        </w:rPr>
        <w:t>и</w:t>
      </w:r>
      <w:r w:rsidR="00A708B8" w:rsidRPr="00295637">
        <w:rPr>
          <w:lang w:val="bs-Latn-BA"/>
        </w:rPr>
        <w:t xml:space="preserve"> </w:t>
      </w:r>
      <w:r>
        <w:rPr>
          <w:lang w:val="bs-Latn-BA"/>
        </w:rPr>
        <w:t>финансијске</w:t>
      </w:r>
      <w:r w:rsidR="00A708B8" w:rsidRPr="00295637">
        <w:rPr>
          <w:lang w:val="bs-Latn-BA"/>
        </w:rPr>
        <w:t xml:space="preserve"> </w:t>
      </w:r>
      <w:r>
        <w:rPr>
          <w:lang w:val="bs-Latn-BA"/>
        </w:rPr>
        <w:t>независности</w:t>
      </w:r>
      <w:r w:rsidR="00A708B8" w:rsidRPr="00295637">
        <w:rPr>
          <w:lang w:val="bs-Latn-BA"/>
        </w:rPr>
        <w:t xml:space="preserve"> </w:t>
      </w:r>
      <w:r>
        <w:rPr>
          <w:lang w:val="bs-Latn-BA"/>
        </w:rPr>
        <w:t>жена</w:t>
      </w:r>
      <w:r w:rsidR="00A708B8" w:rsidRPr="00295637">
        <w:rPr>
          <w:lang w:val="bs-Latn-BA"/>
        </w:rPr>
        <w:t xml:space="preserve"> </w:t>
      </w:r>
      <w:r>
        <w:rPr>
          <w:lang w:val="bs-Latn-BA"/>
        </w:rPr>
        <w:t>након</w:t>
      </w:r>
      <w:r w:rsidR="00A708B8" w:rsidRPr="00295637">
        <w:rPr>
          <w:lang w:val="bs-Latn-BA"/>
        </w:rPr>
        <w:t xml:space="preserve"> </w:t>
      </w:r>
      <w:r>
        <w:rPr>
          <w:lang w:val="bs-Latn-BA"/>
        </w:rPr>
        <w:t>рехабилитације</w:t>
      </w:r>
      <w:r w:rsidR="00A708B8" w:rsidRPr="00295637">
        <w:rPr>
          <w:lang w:val="bs-Latn-BA"/>
        </w:rPr>
        <w:t xml:space="preserve"> </w:t>
      </w:r>
      <w:r>
        <w:rPr>
          <w:lang w:val="bs-Latn-BA"/>
        </w:rPr>
        <w:t>у</w:t>
      </w:r>
      <w:r w:rsidR="00A708B8" w:rsidRPr="00295637">
        <w:rPr>
          <w:lang w:val="bs-Latn-BA"/>
        </w:rPr>
        <w:t xml:space="preserve"> </w:t>
      </w:r>
      <w:r>
        <w:rPr>
          <w:lang w:val="bs-Latn-BA"/>
        </w:rPr>
        <w:t>сигурним</w:t>
      </w:r>
      <w:r w:rsidR="00A708B8" w:rsidRPr="00295637">
        <w:rPr>
          <w:lang w:val="bs-Latn-BA"/>
        </w:rPr>
        <w:t xml:space="preserve"> </w:t>
      </w:r>
      <w:r>
        <w:rPr>
          <w:lang w:val="bs-Latn-BA"/>
        </w:rPr>
        <w:t>кућама</w:t>
      </w:r>
      <w:r w:rsidR="00A708B8" w:rsidRPr="00295637">
        <w:rPr>
          <w:lang w:val="bs-Latn-BA"/>
        </w:rPr>
        <w:t xml:space="preserve"> </w:t>
      </w:r>
      <w:r>
        <w:rPr>
          <w:lang w:val="bs-Latn-BA"/>
        </w:rPr>
        <w:t>у</w:t>
      </w:r>
      <w:r w:rsidR="00A708B8" w:rsidRPr="00295637">
        <w:rPr>
          <w:lang w:val="bs-Latn-BA"/>
        </w:rPr>
        <w:t xml:space="preserve"> </w:t>
      </w:r>
      <w:r>
        <w:rPr>
          <w:lang w:val="bs-Latn-BA"/>
        </w:rPr>
        <w:t>ФБиХ</w:t>
      </w:r>
      <w:r w:rsidR="00A708B8" w:rsidRPr="00295637">
        <w:rPr>
          <w:lang w:val="bs-Latn-BA"/>
        </w:rPr>
        <w:t xml:space="preserve">. </w:t>
      </w:r>
      <w:r>
        <w:rPr>
          <w:lang w:val="bs-Latn-BA"/>
        </w:rPr>
        <w:t>Кампања</w:t>
      </w:r>
      <w:r w:rsidR="00790C20" w:rsidRPr="00790C20">
        <w:rPr>
          <w:lang w:val="bs-Latn-BA"/>
        </w:rPr>
        <w:t xml:space="preserve"> </w:t>
      </w:r>
      <w:r>
        <w:rPr>
          <w:lang w:val="bs-Latn-BA"/>
        </w:rPr>
        <w:t>којом</w:t>
      </w:r>
      <w:r w:rsidR="00790C20" w:rsidRPr="00295637">
        <w:rPr>
          <w:lang w:val="bs-Latn-BA"/>
        </w:rPr>
        <w:t xml:space="preserve"> </w:t>
      </w:r>
      <w:r>
        <w:rPr>
          <w:lang w:val="bs-Latn-BA"/>
        </w:rPr>
        <w:t>се</w:t>
      </w:r>
      <w:r w:rsidR="00790C20" w:rsidRPr="00295637">
        <w:rPr>
          <w:lang w:val="bs-Latn-BA"/>
        </w:rPr>
        <w:t xml:space="preserve"> </w:t>
      </w:r>
      <w:r>
        <w:rPr>
          <w:lang w:val="bs-Latn-BA"/>
        </w:rPr>
        <w:t>настојало</w:t>
      </w:r>
      <w:r w:rsidR="00790C20" w:rsidRPr="00295637">
        <w:rPr>
          <w:lang w:val="bs-Latn-BA"/>
        </w:rPr>
        <w:t xml:space="preserve"> </w:t>
      </w:r>
      <w:r>
        <w:rPr>
          <w:lang w:val="bs-Latn-BA"/>
        </w:rPr>
        <w:t>укључити</w:t>
      </w:r>
      <w:r w:rsidR="00790C20" w:rsidRPr="00295637">
        <w:rPr>
          <w:lang w:val="bs-Latn-BA"/>
        </w:rPr>
        <w:t xml:space="preserve"> </w:t>
      </w:r>
      <w:r>
        <w:rPr>
          <w:lang w:val="bs-Latn-BA"/>
        </w:rPr>
        <w:t>мушкарце</w:t>
      </w:r>
      <w:r w:rsidR="00790C20" w:rsidRPr="00295637">
        <w:rPr>
          <w:lang w:val="bs-Latn-BA"/>
        </w:rPr>
        <w:t xml:space="preserve"> </w:t>
      </w:r>
      <w:r>
        <w:rPr>
          <w:lang w:val="bs-Latn-BA"/>
        </w:rPr>
        <w:t>као</w:t>
      </w:r>
      <w:r w:rsidR="00790C20" w:rsidRPr="00295637">
        <w:rPr>
          <w:lang w:val="bs-Latn-BA"/>
        </w:rPr>
        <w:t xml:space="preserve"> </w:t>
      </w:r>
      <w:r>
        <w:rPr>
          <w:lang w:val="bs-Latn-BA"/>
        </w:rPr>
        <w:t>кључне</w:t>
      </w:r>
      <w:r w:rsidR="00C67E03">
        <w:rPr>
          <w:lang w:val="bs-Latn-BA"/>
        </w:rPr>
        <w:t xml:space="preserve"> </w:t>
      </w:r>
      <w:r>
        <w:rPr>
          <w:lang w:val="bs-Latn-BA"/>
        </w:rPr>
        <w:t>савезнике</w:t>
      </w:r>
      <w:r w:rsidR="00C67E03">
        <w:rPr>
          <w:lang w:val="bs-Latn-BA"/>
        </w:rPr>
        <w:t xml:space="preserve"> </w:t>
      </w:r>
      <w:r>
        <w:rPr>
          <w:lang w:val="bs-Latn-BA"/>
        </w:rPr>
        <w:t>у</w:t>
      </w:r>
      <w:r w:rsidR="00C67E03">
        <w:rPr>
          <w:lang w:val="bs-Latn-BA"/>
        </w:rPr>
        <w:t xml:space="preserve"> </w:t>
      </w:r>
      <w:r>
        <w:rPr>
          <w:lang w:val="bs-Latn-BA"/>
        </w:rPr>
        <w:t>превенцији</w:t>
      </w:r>
      <w:r w:rsidR="00C67E03">
        <w:rPr>
          <w:lang w:val="bs-Latn-BA"/>
        </w:rPr>
        <w:t xml:space="preserve"> </w:t>
      </w:r>
      <w:r>
        <w:rPr>
          <w:lang w:val="bs-Latn-BA"/>
        </w:rPr>
        <w:t>насиља</w:t>
      </w:r>
      <w:r w:rsidR="00790C20">
        <w:rPr>
          <w:lang w:val="bs-Latn-BA"/>
        </w:rPr>
        <w:t xml:space="preserve">, </w:t>
      </w:r>
      <w:r>
        <w:rPr>
          <w:lang w:val="bs-Latn-BA"/>
        </w:rPr>
        <w:t>реализ</w:t>
      </w:r>
      <w:r w:rsidR="005F49F6">
        <w:rPr>
          <w:lang w:val="sr-Cyrl-BA"/>
        </w:rPr>
        <w:t>ована</w:t>
      </w:r>
      <w:r w:rsidR="00790C20">
        <w:rPr>
          <w:lang w:val="bs-Latn-BA"/>
        </w:rPr>
        <w:t xml:space="preserve"> </w:t>
      </w:r>
      <w:r>
        <w:rPr>
          <w:lang w:val="bs-Latn-BA"/>
        </w:rPr>
        <w:t>је</w:t>
      </w:r>
      <w:r w:rsidR="00790C20">
        <w:rPr>
          <w:lang w:val="bs-Latn-BA"/>
        </w:rPr>
        <w:t xml:space="preserve"> </w:t>
      </w:r>
      <w:r>
        <w:rPr>
          <w:lang w:val="bs-Latn-BA"/>
        </w:rPr>
        <w:t>у</w:t>
      </w:r>
      <w:r w:rsidR="00790C20">
        <w:rPr>
          <w:lang w:val="bs-Latn-BA"/>
        </w:rPr>
        <w:t xml:space="preserve"> </w:t>
      </w:r>
      <w:r>
        <w:rPr>
          <w:lang w:val="bs-Latn-BA"/>
        </w:rPr>
        <w:t>сарадњи</w:t>
      </w:r>
      <w:r w:rsidR="00B12850">
        <w:rPr>
          <w:lang w:val="bs-Latn-BA"/>
        </w:rPr>
        <w:t xml:space="preserve"> </w:t>
      </w:r>
      <w:r>
        <w:rPr>
          <w:lang w:val="bs-Latn-BA"/>
        </w:rPr>
        <w:t>са</w:t>
      </w:r>
      <w:r w:rsidR="00790C20">
        <w:rPr>
          <w:lang w:val="bs-Latn-BA"/>
        </w:rPr>
        <w:t xml:space="preserve"> </w:t>
      </w:r>
      <w:r>
        <w:rPr>
          <w:i/>
          <w:lang w:val="bs-Latn-BA"/>
        </w:rPr>
        <w:t>УН</w:t>
      </w:r>
      <w:r w:rsidR="00B12850">
        <w:rPr>
          <w:lang w:val="bs-Latn-BA"/>
        </w:rPr>
        <w:t xml:space="preserve"> </w:t>
      </w:r>
      <w:r w:rsidR="00790C20" w:rsidRPr="0032078A">
        <w:rPr>
          <w:i/>
          <w:lang w:val="bs-Latn-BA"/>
        </w:rPr>
        <w:t>W</w:t>
      </w:r>
      <w:r>
        <w:rPr>
          <w:i/>
          <w:lang w:val="bs-Latn-BA"/>
        </w:rPr>
        <w:t>омен</w:t>
      </w:r>
      <w:r w:rsidR="00790C20">
        <w:rPr>
          <w:lang w:val="bs-Latn-BA"/>
        </w:rPr>
        <w:t xml:space="preserve"> </w:t>
      </w:r>
      <w:r>
        <w:rPr>
          <w:lang w:val="bs-Latn-BA"/>
        </w:rPr>
        <w:t>и</w:t>
      </w:r>
      <w:r w:rsidR="00790C20">
        <w:rPr>
          <w:lang w:val="bs-Latn-BA"/>
        </w:rPr>
        <w:t xml:space="preserve"> </w:t>
      </w:r>
      <w:r w:rsidR="005F49F6" w:rsidRPr="005F49F6">
        <w:rPr>
          <w:i/>
          <w:lang w:val="bs-Latn-BA"/>
        </w:rPr>
        <w:t>UNDP</w:t>
      </w:r>
      <w:r w:rsidR="00A708B8" w:rsidRPr="00295637">
        <w:rPr>
          <w:lang w:val="bs-Latn-BA"/>
        </w:rPr>
        <w:t xml:space="preserve"> </w:t>
      </w:r>
      <w:r>
        <w:rPr>
          <w:lang w:val="bs-Latn-BA"/>
        </w:rPr>
        <w:t>и</w:t>
      </w:r>
      <w:r w:rsidR="00790C20">
        <w:rPr>
          <w:lang w:val="bs-Latn-BA"/>
        </w:rPr>
        <w:t xml:space="preserve"> </w:t>
      </w:r>
      <w:r>
        <w:rPr>
          <w:lang w:val="bs-Latn-BA"/>
        </w:rPr>
        <w:t>обухватила</w:t>
      </w:r>
      <w:r w:rsidR="00A708B8" w:rsidRPr="00295637">
        <w:rPr>
          <w:lang w:val="bs-Latn-BA"/>
        </w:rPr>
        <w:t xml:space="preserve"> </w:t>
      </w:r>
      <w:r>
        <w:rPr>
          <w:lang w:val="bs-Latn-BA"/>
        </w:rPr>
        <w:t>је</w:t>
      </w:r>
      <w:r w:rsidR="00790C20">
        <w:rPr>
          <w:lang w:val="bs-Latn-BA"/>
        </w:rPr>
        <w:t xml:space="preserve"> </w:t>
      </w:r>
      <w:r>
        <w:rPr>
          <w:lang w:val="bs-Latn-BA"/>
        </w:rPr>
        <w:t>правну</w:t>
      </w:r>
      <w:r w:rsidR="00A708B8" w:rsidRPr="00295637">
        <w:rPr>
          <w:lang w:val="bs-Latn-BA"/>
        </w:rPr>
        <w:t xml:space="preserve"> </w:t>
      </w:r>
      <w:r>
        <w:rPr>
          <w:lang w:val="bs-Latn-BA"/>
        </w:rPr>
        <w:t>и</w:t>
      </w:r>
      <w:r w:rsidR="00A708B8" w:rsidRPr="00295637">
        <w:rPr>
          <w:lang w:val="bs-Latn-BA"/>
        </w:rPr>
        <w:t xml:space="preserve"> </w:t>
      </w:r>
      <w:r>
        <w:rPr>
          <w:lang w:val="bs-Latn-BA"/>
        </w:rPr>
        <w:t>психолошку</w:t>
      </w:r>
      <w:r w:rsidR="00A708B8" w:rsidRPr="00295637">
        <w:rPr>
          <w:lang w:val="bs-Latn-BA"/>
        </w:rPr>
        <w:t xml:space="preserve"> </w:t>
      </w:r>
      <w:r>
        <w:rPr>
          <w:lang w:val="bs-Latn-BA"/>
        </w:rPr>
        <w:t>подршку</w:t>
      </w:r>
      <w:r w:rsidR="00A708B8" w:rsidRPr="00295637">
        <w:rPr>
          <w:lang w:val="bs-Latn-BA"/>
        </w:rPr>
        <w:t xml:space="preserve"> </w:t>
      </w:r>
      <w:r>
        <w:rPr>
          <w:lang w:val="bs-Latn-BA"/>
        </w:rPr>
        <w:t>за</w:t>
      </w:r>
      <w:r w:rsidR="00A708B8" w:rsidRPr="00295637">
        <w:rPr>
          <w:lang w:val="bs-Latn-BA"/>
        </w:rPr>
        <w:t xml:space="preserve"> </w:t>
      </w:r>
      <w:r>
        <w:rPr>
          <w:lang w:val="bs-Latn-BA"/>
        </w:rPr>
        <w:t>жртве</w:t>
      </w:r>
      <w:r w:rsidR="00A708B8" w:rsidRPr="00295637">
        <w:rPr>
          <w:lang w:val="bs-Latn-BA"/>
        </w:rPr>
        <w:t xml:space="preserve"> </w:t>
      </w:r>
      <w:r>
        <w:rPr>
          <w:lang w:val="bs-Latn-BA"/>
        </w:rPr>
        <w:t>насиља</w:t>
      </w:r>
      <w:r w:rsidR="00A708B8" w:rsidRPr="00295637">
        <w:rPr>
          <w:lang w:val="bs-Latn-BA"/>
        </w:rPr>
        <w:t xml:space="preserve">, </w:t>
      </w:r>
      <w:r w:rsidR="005F49F6">
        <w:rPr>
          <w:lang w:val="sr-Cyrl-BA"/>
        </w:rPr>
        <w:t>с</w:t>
      </w:r>
      <w:r w:rsidR="00A708B8" w:rsidRPr="00295637">
        <w:rPr>
          <w:lang w:val="bs-Latn-BA"/>
        </w:rPr>
        <w:t xml:space="preserve"> </w:t>
      </w:r>
      <w:r>
        <w:rPr>
          <w:lang w:val="bs-Latn-BA"/>
        </w:rPr>
        <w:t>циљ</w:t>
      </w:r>
      <w:r w:rsidR="005F49F6">
        <w:rPr>
          <w:lang w:val="sr-Cyrl-BA"/>
        </w:rPr>
        <w:t>ем</w:t>
      </w:r>
      <w:r w:rsidR="00A708B8" w:rsidRPr="00295637">
        <w:rPr>
          <w:lang w:val="bs-Latn-BA"/>
        </w:rPr>
        <w:t xml:space="preserve"> </w:t>
      </w:r>
      <w:r>
        <w:rPr>
          <w:lang w:val="bs-Latn-BA"/>
        </w:rPr>
        <w:t>оснаживања</w:t>
      </w:r>
      <w:r w:rsidR="00A708B8" w:rsidRPr="00295637">
        <w:rPr>
          <w:lang w:val="bs-Latn-BA"/>
        </w:rPr>
        <w:t xml:space="preserve"> </w:t>
      </w:r>
      <w:r>
        <w:rPr>
          <w:lang w:val="bs-Latn-BA"/>
        </w:rPr>
        <w:t>и</w:t>
      </w:r>
      <w:r w:rsidR="00A708B8" w:rsidRPr="00295637">
        <w:rPr>
          <w:lang w:val="bs-Latn-BA"/>
        </w:rPr>
        <w:t xml:space="preserve"> </w:t>
      </w:r>
      <w:r>
        <w:rPr>
          <w:lang w:val="bs-Latn-BA"/>
        </w:rPr>
        <w:t>повећања</w:t>
      </w:r>
      <w:r w:rsidR="00A708B8" w:rsidRPr="00295637">
        <w:rPr>
          <w:lang w:val="bs-Latn-BA"/>
        </w:rPr>
        <w:t xml:space="preserve"> </w:t>
      </w:r>
      <w:r>
        <w:rPr>
          <w:lang w:val="bs-Latn-BA"/>
        </w:rPr>
        <w:t>доступности</w:t>
      </w:r>
      <w:r w:rsidR="00A708B8" w:rsidRPr="00295637">
        <w:rPr>
          <w:lang w:val="bs-Latn-BA"/>
        </w:rPr>
        <w:t xml:space="preserve"> </w:t>
      </w:r>
      <w:r>
        <w:rPr>
          <w:lang w:val="bs-Latn-BA"/>
        </w:rPr>
        <w:t>информација</w:t>
      </w:r>
      <w:r w:rsidR="00A708B8" w:rsidRPr="00295637">
        <w:rPr>
          <w:lang w:val="bs-Latn-BA"/>
        </w:rPr>
        <w:t xml:space="preserve"> </w:t>
      </w:r>
      <w:r>
        <w:rPr>
          <w:lang w:val="bs-Latn-BA"/>
        </w:rPr>
        <w:t>о</w:t>
      </w:r>
      <w:r w:rsidR="00A708B8" w:rsidRPr="00295637">
        <w:rPr>
          <w:lang w:val="bs-Latn-BA"/>
        </w:rPr>
        <w:t xml:space="preserve"> </w:t>
      </w:r>
      <w:r>
        <w:rPr>
          <w:lang w:val="bs-Latn-BA"/>
        </w:rPr>
        <w:t>њиховим</w:t>
      </w:r>
      <w:r w:rsidR="00A708B8" w:rsidRPr="00295637">
        <w:rPr>
          <w:lang w:val="bs-Latn-BA"/>
        </w:rPr>
        <w:t xml:space="preserve"> </w:t>
      </w:r>
      <w:r>
        <w:rPr>
          <w:lang w:val="bs-Latn-BA"/>
        </w:rPr>
        <w:t>правима</w:t>
      </w:r>
      <w:r w:rsidR="00A708B8" w:rsidRPr="00295637">
        <w:rPr>
          <w:lang w:val="bs-Latn-BA"/>
        </w:rPr>
        <w:t>.</w:t>
      </w:r>
      <w:bookmarkStart w:id="17" w:name="_Toc193788532"/>
    </w:p>
    <w:p w:rsidR="00DB4AC0" w:rsidRPr="00295637" w:rsidRDefault="00DB4AC0" w:rsidP="0086268D">
      <w:pPr>
        <w:tabs>
          <w:tab w:val="left" w:pos="284"/>
          <w:tab w:val="left" w:pos="630"/>
          <w:tab w:val="left" w:pos="1080"/>
        </w:tabs>
        <w:jc w:val="both"/>
        <w:rPr>
          <w:rFonts w:ascii="Times New Roman" w:hAnsi="Times New Roman"/>
          <w:szCs w:val="24"/>
          <w:lang w:val="bs-Latn-BA"/>
        </w:rPr>
      </w:pPr>
    </w:p>
    <w:p w:rsidR="00895AB5" w:rsidRPr="00295637" w:rsidRDefault="00C6214E" w:rsidP="0086268D">
      <w:pPr>
        <w:tabs>
          <w:tab w:val="left" w:pos="284"/>
          <w:tab w:val="left" w:pos="630"/>
          <w:tab w:val="left" w:pos="1080"/>
        </w:tabs>
        <w:jc w:val="both"/>
        <w:rPr>
          <w:rFonts w:ascii="Times New Roman" w:hAnsi="Times New Roman"/>
          <w:szCs w:val="24"/>
          <w:lang w:val="bs-Latn-BA"/>
        </w:rPr>
      </w:pPr>
      <w:r>
        <w:rPr>
          <w:rStyle w:val="normalChar"/>
          <w:rFonts w:ascii="Times New Roman" w:hAnsi="Times New Roman"/>
        </w:rPr>
        <w:t>ФМКС</w:t>
      </w:r>
      <w:r w:rsidR="00895AB5" w:rsidRPr="00295637">
        <w:rPr>
          <w:rStyle w:val="normalChar"/>
          <w:rFonts w:ascii="Times New Roman" w:hAnsi="Times New Roman"/>
        </w:rPr>
        <w:t xml:space="preserve"> </w:t>
      </w:r>
      <w:r>
        <w:rPr>
          <w:rStyle w:val="normalChar"/>
          <w:rFonts w:ascii="Times New Roman" w:hAnsi="Times New Roman"/>
        </w:rPr>
        <w:t>је</w:t>
      </w:r>
      <w:r w:rsidR="00895AB5" w:rsidRPr="00295637">
        <w:rPr>
          <w:rStyle w:val="normalChar"/>
          <w:rFonts w:ascii="Times New Roman" w:hAnsi="Times New Roman"/>
        </w:rPr>
        <w:t xml:space="preserve"> </w:t>
      </w:r>
      <w:r>
        <w:rPr>
          <w:rStyle w:val="normalChar"/>
          <w:rFonts w:ascii="Times New Roman" w:hAnsi="Times New Roman"/>
        </w:rPr>
        <w:t>кроз</w:t>
      </w:r>
      <w:r w:rsidR="00895AB5" w:rsidRPr="00295637">
        <w:rPr>
          <w:rStyle w:val="normalChar"/>
          <w:rFonts w:ascii="Times New Roman" w:hAnsi="Times New Roman"/>
        </w:rPr>
        <w:t xml:space="preserve"> „</w:t>
      </w:r>
      <w:r>
        <w:rPr>
          <w:rStyle w:val="normalChar"/>
          <w:rFonts w:ascii="Times New Roman" w:hAnsi="Times New Roman"/>
        </w:rPr>
        <w:t>Трансфер</w:t>
      </w:r>
      <w:r w:rsidR="00895AB5" w:rsidRPr="00295637">
        <w:rPr>
          <w:rStyle w:val="normalChar"/>
          <w:rFonts w:ascii="Times New Roman" w:hAnsi="Times New Roman"/>
        </w:rPr>
        <w:t xml:space="preserve"> </w:t>
      </w:r>
      <w:r>
        <w:rPr>
          <w:rStyle w:val="normalChar"/>
          <w:rFonts w:ascii="Times New Roman" w:hAnsi="Times New Roman"/>
        </w:rPr>
        <w:t>за</w:t>
      </w:r>
      <w:r w:rsidR="00895AB5" w:rsidRPr="00295637">
        <w:rPr>
          <w:rStyle w:val="normalChar"/>
          <w:rFonts w:ascii="Times New Roman" w:hAnsi="Times New Roman"/>
        </w:rPr>
        <w:t xml:space="preserve"> </w:t>
      </w:r>
      <w:r>
        <w:rPr>
          <w:rStyle w:val="normalChar"/>
          <w:rFonts w:ascii="Times New Roman" w:hAnsi="Times New Roman"/>
        </w:rPr>
        <w:t>младе</w:t>
      </w:r>
      <w:r w:rsidR="00895AB5" w:rsidRPr="00295637">
        <w:rPr>
          <w:rStyle w:val="normalChar"/>
          <w:rFonts w:ascii="Times New Roman" w:hAnsi="Times New Roman"/>
        </w:rPr>
        <w:t xml:space="preserve">“ </w:t>
      </w:r>
      <w:r>
        <w:rPr>
          <w:rStyle w:val="normalChar"/>
          <w:rFonts w:ascii="Times New Roman" w:hAnsi="Times New Roman"/>
        </w:rPr>
        <w:t>пружило</w:t>
      </w:r>
      <w:r w:rsidR="00895AB5" w:rsidRPr="00295637">
        <w:rPr>
          <w:rStyle w:val="normalChar"/>
          <w:rFonts w:ascii="Times New Roman" w:hAnsi="Times New Roman"/>
        </w:rPr>
        <w:t xml:space="preserve"> </w:t>
      </w:r>
      <w:r>
        <w:rPr>
          <w:rStyle w:val="normalChar"/>
          <w:rFonts w:ascii="Times New Roman" w:hAnsi="Times New Roman"/>
        </w:rPr>
        <w:t>подршку</w:t>
      </w:r>
      <w:r w:rsidR="00B12850">
        <w:rPr>
          <w:rStyle w:val="normalChar"/>
          <w:rFonts w:ascii="Times New Roman" w:hAnsi="Times New Roman"/>
        </w:rPr>
        <w:t xml:space="preserve"> </w:t>
      </w:r>
      <w:r>
        <w:rPr>
          <w:rStyle w:val="normalChar"/>
          <w:rFonts w:ascii="Times New Roman" w:hAnsi="Times New Roman"/>
        </w:rPr>
        <w:t>за</w:t>
      </w:r>
      <w:r w:rsidR="00B12850">
        <w:rPr>
          <w:rStyle w:val="normalChar"/>
          <w:rFonts w:ascii="Times New Roman" w:hAnsi="Times New Roman"/>
        </w:rPr>
        <w:t xml:space="preserve"> </w:t>
      </w:r>
      <w:r>
        <w:rPr>
          <w:rStyle w:val="normalChar"/>
          <w:rFonts w:ascii="Times New Roman" w:hAnsi="Times New Roman"/>
        </w:rPr>
        <w:t>два</w:t>
      </w:r>
      <w:r w:rsidR="00B12850">
        <w:rPr>
          <w:rStyle w:val="normalChar"/>
          <w:rFonts w:ascii="Times New Roman" w:hAnsi="Times New Roman"/>
        </w:rPr>
        <w:t xml:space="preserve"> </w:t>
      </w:r>
      <w:r>
        <w:rPr>
          <w:rStyle w:val="normalChar"/>
          <w:rFonts w:ascii="Times New Roman" w:hAnsi="Times New Roman"/>
        </w:rPr>
        <w:t>пројекта</w:t>
      </w:r>
      <w:r w:rsidR="00B12850">
        <w:rPr>
          <w:rStyle w:val="normalChar"/>
          <w:rFonts w:ascii="Times New Roman" w:hAnsi="Times New Roman"/>
        </w:rPr>
        <w:t xml:space="preserve"> </w:t>
      </w:r>
      <w:r>
        <w:rPr>
          <w:rStyle w:val="normalChar"/>
          <w:rFonts w:ascii="Times New Roman" w:hAnsi="Times New Roman"/>
        </w:rPr>
        <w:t>и</w:t>
      </w:r>
      <w:r w:rsidR="00B12850">
        <w:rPr>
          <w:rStyle w:val="normalChar"/>
          <w:rFonts w:ascii="Times New Roman" w:hAnsi="Times New Roman"/>
        </w:rPr>
        <w:t xml:space="preserve"> </w:t>
      </w:r>
      <w:r>
        <w:rPr>
          <w:rStyle w:val="normalChar"/>
          <w:rFonts w:ascii="Times New Roman" w:hAnsi="Times New Roman"/>
        </w:rPr>
        <w:t>то</w:t>
      </w:r>
      <w:r w:rsidR="00B12850">
        <w:rPr>
          <w:rStyle w:val="normalChar"/>
          <w:rFonts w:ascii="Times New Roman" w:hAnsi="Times New Roman"/>
        </w:rPr>
        <w:t xml:space="preserve"> </w:t>
      </w:r>
      <w:r>
        <w:rPr>
          <w:rStyle w:val="normalChar"/>
          <w:rFonts w:ascii="Times New Roman" w:hAnsi="Times New Roman"/>
        </w:rPr>
        <w:t>за</w:t>
      </w:r>
      <w:r w:rsidR="00B12850">
        <w:rPr>
          <w:rStyle w:val="normalChar"/>
          <w:rFonts w:ascii="Times New Roman" w:hAnsi="Times New Roman"/>
        </w:rPr>
        <w:t xml:space="preserve"> </w:t>
      </w:r>
      <w:r>
        <w:rPr>
          <w:rStyle w:val="normalChar"/>
          <w:rFonts w:ascii="Times New Roman" w:hAnsi="Times New Roman"/>
        </w:rPr>
        <w:t>пројекат</w:t>
      </w:r>
      <w:r w:rsidR="00895AB5" w:rsidRPr="00295637">
        <w:rPr>
          <w:rStyle w:val="normalChar"/>
          <w:rFonts w:ascii="Times New Roman" w:hAnsi="Times New Roman"/>
        </w:rPr>
        <w:t xml:space="preserve"> </w:t>
      </w:r>
      <w:r>
        <w:rPr>
          <w:rStyle w:val="normalChar"/>
          <w:rFonts w:ascii="Times New Roman" w:hAnsi="Times New Roman"/>
        </w:rPr>
        <w:t>Удружења</w:t>
      </w:r>
      <w:r w:rsidR="00895AB5" w:rsidRPr="00295637">
        <w:rPr>
          <w:rStyle w:val="normalChar"/>
          <w:rFonts w:ascii="Times New Roman" w:hAnsi="Times New Roman"/>
        </w:rPr>
        <w:t xml:space="preserve"> </w:t>
      </w:r>
      <w:r>
        <w:rPr>
          <w:rStyle w:val="normalChar"/>
          <w:rFonts w:ascii="Times New Roman" w:hAnsi="Times New Roman"/>
        </w:rPr>
        <w:t>младих</w:t>
      </w:r>
      <w:r w:rsidR="00895AB5" w:rsidRPr="00295637">
        <w:rPr>
          <w:rStyle w:val="normalChar"/>
          <w:rFonts w:ascii="Times New Roman" w:hAnsi="Times New Roman"/>
        </w:rPr>
        <w:t xml:space="preserve"> „</w:t>
      </w:r>
      <w:r w:rsidR="005F49F6">
        <w:rPr>
          <w:rStyle w:val="normalChar"/>
          <w:rFonts w:ascii="Times New Roman" w:hAnsi="Times New Roman"/>
          <w:lang w:val="sr-Cyrl-BA"/>
        </w:rPr>
        <w:t>Савјет</w:t>
      </w:r>
      <w:r w:rsidR="00895AB5" w:rsidRPr="00295637">
        <w:rPr>
          <w:rStyle w:val="normalChar"/>
          <w:rFonts w:ascii="Times New Roman" w:hAnsi="Times New Roman"/>
        </w:rPr>
        <w:t xml:space="preserve"> </w:t>
      </w:r>
      <w:r>
        <w:rPr>
          <w:rStyle w:val="normalChar"/>
          <w:rFonts w:ascii="Times New Roman" w:hAnsi="Times New Roman"/>
        </w:rPr>
        <w:t>за</w:t>
      </w:r>
      <w:r w:rsidR="00895AB5" w:rsidRPr="00295637">
        <w:rPr>
          <w:rStyle w:val="normalChar"/>
          <w:rFonts w:ascii="Times New Roman" w:hAnsi="Times New Roman"/>
        </w:rPr>
        <w:t xml:space="preserve"> </w:t>
      </w:r>
      <w:r>
        <w:rPr>
          <w:rStyle w:val="normalChar"/>
          <w:rFonts w:ascii="Times New Roman" w:hAnsi="Times New Roman"/>
        </w:rPr>
        <w:t>иницијативу</w:t>
      </w:r>
      <w:r w:rsidR="00895AB5" w:rsidRPr="00295637">
        <w:rPr>
          <w:rStyle w:val="normalChar"/>
          <w:rFonts w:ascii="Times New Roman" w:hAnsi="Times New Roman"/>
        </w:rPr>
        <w:t xml:space="preserve"> </w:t>
      </w:r>
      <w:r>
        <w:rPr>
          <w:rStyle w:val="normalChar"/>
          <w:rFonts w:ascii="Times New Roman" w:hAnsi="Times New Roman"/>
        </w:rPr>
        <w:t>и</w:t>
      </w:r>
      <w:r w:rsidR="00895AB5" w:rsidRPr="00295637">
        <w:rPr>
          <w:rStyle w:val="normalChar"/>
          <w:rFonts w:ascii="Times New Roman" w:hAnsi="Times New Roman"/>
        </w:rPr>
        <w:t xml:space="preserve"> </w:t>
      </w:r>
      <w:r>
        <w:rPr>
          <w:rStyle w:val="normalChar"/>
          <w:rFonts w:ascii="Times New Roman" w:hAnsi="Times New Roman"/>
        </w:rPr>
        <w:t>развој</w:t>
      </w:r>
      <w:r w:rsidR="00895AB5" w:rsidRPr="00295637">
        <w:rPr>
          <w:rStyle w:val="normalChar"/>
          <w:rFonts w:ascii="Times New Roman" w:hAnsi="Times New Roman"/>
        </w:rPr>
        <w:t xml:space="preserve">“ </w:t>
      </w:r>
      <w:r>
        <w:rPr>
          <w:rStyle w:val="normalChar"/>
          <w:rFonts w:ascii="Times New Roman" w:hAnsi="Times New Roman"/>
        </w:rPr>
        <w:t>Горажде</w:t>
      </w:r>
      <w:r w:rsidR="00895AB5" w:rsidRPr="00295637">
        <w:rPr>
          <w:rStyle w:val="normalChar"/>
          <w:rFonts w:ascii="Times New Roman" w:hAnsi="Times New Roman"/>
        </w:rPr>
        <w:t xml:space="preserve"> </w:t>
      </w:r>
      <w:r>
        <w:rPr>
          <w:rStyle w:val="normalChar"/>
          <w:rFonts w:ascii="Times New Roman" w:hAnsi="Times New Roman"/>
        </w:rPr>
        <w:t>под</w:t>
      </w:r>
      <w:r w:rsidR="00895AB5" w:rsidRPr="00295637">
        <w:rPr>
          <w:rStyle w:val="normalChar"/>
          <w:rFonts w:ascii="Times New Roman" w:hAnsi="Times New Roman"/>
        </w:rPr>
        <w:t xml:space="preserve"> </w:t>
      </w:r>
      <w:r>
        <w:rPr>
          <w:rStyle w:val="normalChar"/>
          <w:rFonts w:ascii="Times New Roman" w:hAnsi="Times New Roman"/>
        </w:rPr>
        <w:t>називом</w:t>
      </w:r>
      <w:r w:rsidR="00895AB5" w:rsidRPr="00295637">
        <w:rPr>
          <w:rStyle w:val="normalChar"/>
          <w:rFonts w:ascii="Times New Roman" w:hAnsi="Times New Roman"/>
        </w:rPr>
        <w:t xml:space="preserve"> „</w:t>
      </w:r>
      <w:r>
        <w:rPr>
          <w:rStyle w:val="normalChar"/>
          <w:rFonts w:ascii="Times New Roman" w:hAnsi="Times New Roman"/>
        </w:rPr>
        <w:t>Употријеби</w:t>
      </w:r>
      <w:r w:rsidR="00895AB5" w:rsidRPr="00295637">
        <w:rPr>
          <w:rStyle w:val="normalChar"/>
          <w:rFonts w:ascii="Times New Roman" w:hAnsi="Times New Roman"/>
        </w:rPr>
        <w:t xml:space="preserve"> </w:t>
      </w:r>
      <w:r>
        <w:rPr>
          <w:rStyle w:val="normalChar"/>
          <w:rFonts w:ascii="Times New Roman" w:hAnsi="Times New Roman"/>
        </w:rPr>
        <w:t>своје</w:t>
      </w:r>
      <w:r w:rsidR="00895AB5" w:rsidRPr="00295637">
        <w:rPr>
          <w:rStyle w:val="normalChar"/>
          <w:rFonts w:ascii="Times New Roman" w:hAnsi="Times New Roman"/>
        </w:rPr>
        <w:t xml:space="preserve"> </w:t>
      </w:r>
      <w:r>
        <w:rPr>
          <w:rStyle w:val="normalChar"/>
          <w:rFonts w:ascii="Times New Roman" w:hAnsi="Times New Roman"/>
        </w:rPr>
        <w:t>слободно</w:t>
      </w:r>
      <w:r w:rsidR="00895AB5" w:rsidRPr="00295637">
        <w:rPr>
          <w:rStyle w:val="normalChar"/>
          <w:rFonts w:ascii="Times New Roman" w:hAnsi="Times New Roman"/>
        </w:rPr>
        <w:t xml:space="preserve"> </w:t>
      </w:r>
      <w:r>
        <w:rPr>
          <w:rStyle w:val="normalChar"/>
          <w:rFonts w:ascii="Times New Roman" w:hAnsi="Times New Roman"/>
        </w:rPr>
        <w:t>вријеме</w:t>
      </w:r>
      <w:r w:rsidR="00895AB5" w:rsidRPr="00295637">
        <w:rPr>
          <w:rStyle w:val="normalChar"/>
          <w:rFonts w:ascii="Times New Roman" w:hAnsi="Times New Roman"/>
        </w:rPr>
        <w:t xml:space="preserve">“ </w:t>
      </w:r>
      <w:r>
        <w:rPr>
          <w:rStyle w:val="normalChar"/>
          <w:rFonts w:ascii="Times New Roman" w:hAnsi="Times New Roman"/>
        </w:rPr>
        <w:t>у</w:t>
      </w:r>
      <w:r w:rsidR="00895AB5" w:rsidRPr="00295637">
        <w:rPr>
          <w:rStyle w:val="normalChar"/>
          <w:rFonts w:ascii="Times New Roman" w:hAnsi="Times New Roman"/>
        </w:rPr>
        <w:t xml:space="preserve"> </w:t>
      </w:r>
      <w:r>
        <w:rPr>
          <w:rStyle w:val="normalChar"/>
          <w:rFonts w:ascii="Times New Roman" w:hAnsi="Times New Roman"/>
        </w:rPr>
        <w:t>оквиру</w:t>
      </w:r>
      <w:r w:rsidR="00895AB5" w:rsidRPr="00295637">
        <w:rPr>
          <w:rStyle w:val="normalChar"/>
          <w:rFonts w:ascii="Times New Roman" w:hAnsi="Times New Roman"/>
        </w:rPr>
        <w:t xml:space="preserve"> </w:t>
      </w:r>
      <w:r>
        <w:rPr>
          <w:rStyle w:val="normalChar"/>
          <w:rFonts w:ascii="Times New Roman" w:hAnsi="Times New Roman"/>
        </w:rPr>
        <w:t>чега</w:t>
      </w:r>
      <w:r w:rsidR="00895AB5" w:rsidRPr="00295637">
        <w:rPr>
          <w:rStyle w:val="normalChar"/>
          <w:rFonts w:ascii="Times New Roman" w:hAnsi="Times New Roman"/>
        </w:rPr>
        <w:t xml:space="preserve"> </w:t>
      </w:r>
      <w:r>
        <w:rPr>
          <w:rStyle w:val="normalChar"/>
          <w:rFonts w:ascii="Times New Roman" w:hAnsi="Times New Roman"/>
        </w:rPr>
        <w:t>је</w:t>
      </w:r>
      <w:r w:rsidR="00895AB5" w:rsidRPr="00295637">
        <w:rPr>
          <w:rStyle w:val="normalChar"/>
          <w:rFonts w:ascii="Times New Roman" w:hAnsi="Times New Roman"/>
        </w:rPr>
        <w:t xml:space="preserve"> </w:t>
      </w:r>
      <w:r>
        <w:rPr>
          <w:rStyle w:val="normalChar"/>
          <w:rFonts w:ascii="Times New Roman" w:hAnsi="Times New Roman"/>
        </w:rPr>
        <w:t>била</w:t>
      </w:r>
      <w:r w:rsidR="00895AB5" w:rsidRPr="00295637">
        <w:rPr>
          <w:rStyle w:val="normalChar"/>
          <w:rFonts w:ascii="Times New Roman" w:hAnsi="Times New Roman"/>
        </w:rPr>
        <w:t xml:space="preserve"> </w:t>
      </w:r>
      <w:r>
        <w:rPr>
          <w:rStyle w:val="normalChar"/>
          <w:rFonts w:ascii="Times New Roman" w:hAnsi="Times New Roman"/>
        </w:rPr>
        <w:t>радионица</w:t>
      </w:r>
      <w:r w:rsidR="00895AB5" w:rsidRPr="00295637">
        <w:rPr>
          <w:rStyle w:val="normalChar"/>
          <w:rFonts w:ascii="Times New Roman" w:hAnsi="Times New Roman"/>
        </w:rPr>
        <w:t xml:space="preserve"> </w:t>
      </w:r>
      <w:r>
        <w:rPr>
          <w:rStyle w:val="normalChar"/>
          <w:rFonts w:ascii="Times New Roman" w:hAnsi="Times New Roman"/>
        </w:rPr>
        <w:t>о</w:t>
      </w:r>
      <w:r w:rsidR="00895AB5" w:rsidRPr="00295637">
        <w:rPr>
          <w:rStyle w:val="normalChar"/>
          <w:rFonts w:ascii="Times New Roman" w:hAnsi="Times New Roman"/>
        </w:rPr>
        <w:t xml:space="preserve"> </w:t>
      </w:r>
      <w:r>
        <w:rPr>
          <w:rStyle w:val="normalChar"/>
          <w:rFonts w:ascii="Times New Roman" w:hAnsi="Times New Roman"/>
        </w:rPr>
        <w:t>теми</w:t>
      </w:r>
      <w:r w:rsidR="00895AB5" w:rsidRPr="00295637">
        <w:rPr>
          <w:rStyle w:val="normalChar"/>
          <w:rFonts w:ascii="Times New Roman" w:hAnsi="Times New Roman"/>
        </w:rPr>
        <w:t xml:space="preserve"> </w:t>
      </w:r>
      <w:r>
        <w:rPr>
          <w:rStyle w:val="normalChar"/>
          <w:rFonts w:ascii="Times New Roman" w:hAnsi="Times New Roman"/>
        </w:rPr>
        <w:t>фемицида</w:t>
      </w:r>
      <w:r w:rsidR="00B12850">
        <w:rPr>
          <w:rStyle w:val="normalChar"/>
          <w:rFonts w:ascii="Times New Roman" w:hAnsi="Times New Roman"/>
        </w:rPr>
        <w:t xml:space="preserve">, </w:t>
      </w:r>
      <w:r>
        <w:rPr>
          <w:rStyle w:val="normalChar"/>
          <w:rFonts w:ascii="Times New Roman" w:hAnsi="Times New Roman"/>
        </w:rPr>
        <w:t>као</w:t>
      </w:r>
      <w:r w:rsidR="00B12850">
        <w:rPr>
          <w:rStyle w:val="normalChar"/>
          <w:rFonts w:ascii="Times New Roman" w:hAnsi="Times New Roman"/>
        </w:rPr>
        <w:t xml:space="preserve"> </w:t>
      </w:r>
      <w:r>
        <w:rPr>
          <w:rStyle w:val="normalChar"/>
          <w:rFonts w:ascii="Times New Roman" w:hAnsi="Times New Roman"/>
        </w:rPr>
        <w:t>и</w:t>
      </w:r>
      <w:r w:rsidR="00B12850">
        <w:rPr>
          <w:rStyle w:val="normalChar"/>
          <w:rFonts w:ascii="Times New Roman" w:hAnsi="Times New Roman"/>
        </w:rPr>
        <w:t xml:space="preserve"> </w:t>
      </w:r>
      <w:r>
        <w:rPr>
          <w:rStyle w:val="normalChar"/>
          <w:rFonts w:ascii="Times New Roman" w:hAnsi="Times New Roman"/>
        </w:rPr>
        <w:t>за</w:t>
      </w:r>
      <w:r w:rsidR="00B12850">
        <w:rPr>
          <w:rStyle w:val="normalChar"/>
          <w:rFonts w:ascii="Times New Roman" w:hAnsi="Times New Roman"/>
        </w:rPr>
        <w:t xml:space="preserve"> </w:t>
      </w:r>
      <w:r>
        <w:rPr>
          <w:rStyle w:val="normalChar"/>
          <w:rFonts w:ascii="Times New Roman" w:hAnsi="Times New Roman"/>
        </w:rPr>
        <w:t>пројекат</w:t>
      </w:r>
      <w:r w:rsidR="00895AB5" w:rsidRPr="00295637">
        <w:rPr>
          <w:rStyle w:val="normalChar"/>
          <w:rFonts w:ascii="Times New Roman" w:hAnsi="Times New Roman"/>
        </w:rPr>
        <w:t xml:space="preserve"> </w:t>
      </w:r>
      <w:r>
        <w:rPr>
          <w:rStyle w:val="normalChar"/>
          <w:rFonts w:ascii="Times New Roman" w:hAnsi="Times New Roman"/>
        </w:rPr>
        <w:t>Удружења</w:t>
      </w:r>
      <w:r w:rsidR="00895AB5" w:rsidRPr="00295637">
        <w:rPr>
          <w:rStyle w:val="normalChar"/>
          <w:rFonts w:ascii="Times New Roman" w:hAnsi="Times New Roman"/>
        </w:rPr>
        <w:t xml:space="preserve"> „</w:t>
      </w:r>
      <w:r>
        <w:rPr>
          <w:rStyle w:val="normalChar"/>
          <w:rFonts w:ascii="Times New Roman" w:hAnsi="Times New Roman"/>
        </w:rPr>
        <w:t>Дигнитет</w:t>
      </w:r>
      <w:r w:rsidR="00895AB5" w:rsidRPr="00295637">
        <w:rPr>
          <w:rStyle w:val="normalChar"/>
          <w:rFonts w:ascii="Times New Roman" w:hAnsi="Times New Roman"/>
        </w:rPr>
        <w:t xml:space="preserve">“ </w:t>
      </w:r>
      <w:r w:rsidR="005F49F6">
        <w:rPr>
          <w:rStyle w:val="normalChar"/>
          <w:rFonts w:ascii="Times New Roman" w:hAnsi="Times New Roman"/>
          <w:lang w:val="sr-Cyrl-BA"/>
        </w:rPr>
        <w:t>с</w:t>
      </w:r>
      <w:r w:rsidR="00895AB5" w:rsidRPr="00295637">
        <w:rPr>
          <w:rStyle w:val="normalChar"/>
          <w:rFonts w:ascii="Times New Roman" w:hAnsi="Times New Roman"/>
        </w:rPr>
        <w:t xml:space="preserve"> </w:t>
      </w:r>
      <w:r>
        <w:rPr>
          <w:rStyle w:val="normalChar"/>
          <w:rFonts w:ascii="Times New Roman" w:hAnsi="Times New Roman"/>
        </w:rPr>
        <w:t>циљ</w:t>
      </w:r>
      <w:r w:rsidR="005F49F6">
        <w:rPr>
          <w:rStyle w:val="normalChar"/>
          <w:rFonts w:ascii="Times New Roman" w:hAnsi="Times New Roman"/>
          <w:lang w:val="sr-Cyrl-BA"/>
        </w:rPr>
        <w:t>ем</w:t>
      </w:r>
      <w:r w:rsidR="00895AB5" w:rsidRPr="00295637">
        <w:rPr>
          <w:rStyle w:val="normalChar"/>
          <w:rFonts w:ascii="Times New Roman" w:hAnsi="Times New Roman"/>
        </w:rPr>
        <w:t xml:space="preserve"> </w:t>
      </w:r>
      <w:r>
        <w:rPr>
          <w:rStyle w:val="normalChar"/>
          <w:rFonts w:ascii="Times New Roman" w:hAnsi="Times New Roman"/>
        </w:rPr>
        <w:t>подизања</w:t>
      </w:r>
      <w:r w:rsidR="00117B25">
        <w:rPr>
          <w:rStyle w:val="normalChar"/>
          <w:rFonts w:ascii="Times New Roman" w:hAnsi="Times New Roman"/>
        </w:rPr>
        <w:t xml:space="preserve"> </w:t>
      </w:r>
      <w:r>
        <w:rPr>
          <w:rStyle w:val="normalChar"/>
          <w:rFonts w:ascii="Times New Roman" w:hAnsi="Times New Roman"/>
        </w:rPr>
        <w:t>свијести</w:t>
      </w:r>
      <w:r w:rsidR="00117B25">
        <w:rPr>
          <w:rStyle w:val="normalChar"/>
          <w:rFonts w:ascii="Times New Roman" w:hAnsi="Times New Roman"/>
        </w:rPr>
        <w:t xml:space="preserve"> </w:t>
      </w:r>
      <w:r>
        <w:rPr>
          <w:rStyle w:val="normalChar"/>
          <w:rFonts w:ascii="Times New Roman" w:hAnsi="Times New Roman"/>
        </w:rPr>
        <w:t>за</w:t>
      </w:r>
      <w:r w:rsidR="00117B25">
        <w:rPr>
          <w:rStyle w:val="normalChar"/>
          <w:rFonts w:ascii="Times New Roman" w:hAnsi="Times New Roman"/>
        </w:rPr>
        <w:t xml:space="preserve"> </w:t>
      </w:r>
      <w:r>
        <w:rPr>
          <w:rStyle w:val="normalChar"/>
          <w:rFonts w:ascii="Times New Roman" w:hAnsi="Times New Roman"/>
        </w:rPr>
        <w:t>ову</w:t>
      </w:r>
      <w:r w:rsidR="00117B25">
        <w:rPr>
          <w:rStyle w:val="normalChar"/>
          <w:rFonts w:ascii="Times New Roman" w:hAnsi="Times New Roman"/>
        </w:rPr>
        <w:t xml:space="preserve"> </w:t>
      </w:r>
      <w:r>
        <w:rPr>
          <w:rStyle w:val="normalChar"/>
          <w:rFonts w:ascii="Times New Roman" w:hAnsi="Times New Roman"/>
        </w:rPr>
        <w:t>тему</w:t>
      </w:r>
      <w:r w:rsidR="00117B25">
        <w:rPr>
          <w:rStyle w:val="normalChar"/>
          <w:rFonts w:ascii="Times New Roman" w:hAnsi="Times New Roman"/>
        </w:rPr>
        <w:t xml:space="preserve">. </w:t>
      </w:r>
      <w:r>
        <w:rPr>
          <w:rStyle w:val="normalChar"/>
          <w:rFonts w:ascii="Times New Roman" w:hAnsi="Times New Roman"/>
        </w:rPr>
        <w:t>Кроз</w:t>
      </w:r>
      <w:r w:rsidR="00117B25">
        <w:rPr>
          <w:rStyle w:val="normalChar"/>
          <w:rFonts w:ascii="Times New Roman" w:hAnsi="Times New Roman"/>
        </w:rPr>
        <w:t xml:space="preserve"> </w:t>
      </w:r>
      <w:r>
        <w:rPr>
          <w:rStyle w:val="normalChar"/>
          <w:rFonts w:ascii="Times New Roman" w:hAnsi="Times New Roman"/>
        </w:rPr>
        <w:t>трансфер</w:t>
      </w:r>
      <w:r w:rsidR="00895AB5" w:rsidRPr="00295637">
        <w:rPr>
          <w:rStyle w:val="normalChar"/>
          <w:rFonts w:ascii="Times New Roman" w:hAnsi="Times New Roman"/>
        </w:rPr>
        <w:t xml:space="preserve"> </w:t>
      </w:r>
      <w:r>
        <w:rPr>
          <w:rStyle w:val="normalChar"/>
          <w:rFonts w:ascii="Times New Roman" w:hAnsi="Times New Roman"/>
        </w:rPr>
        <w:t>за</w:t>
      </w:r>
      <w:r w:rsidR="00895AB5" w:rsidRPr="00295637">
        <w:rPr>
          <w:rStyle w:val="normalChar"/>
          <w:rFonts w:ascii="Times New Roman" w:hAnsi="Times New Roman"/>
        </w:rPr>
        <w:t xml:space="preserve"> </w:t>
      </w:r>
      <w:r>
        <w:rPr>
          <w:rStyle w:val="normalChar"/>
          <w:rFonts w:ascii="Times New Roman" w:hAnsi="Times New Roman"/>
        </w:rPr>
        <w:t>културу</w:t>
      </w:r>
      <w:r w:rsidR="00895AB5" w:rsidRPr="00295637">
        <w:rPr>
          <w:rStyle w:val="normalChar"/>
          <w:rFonts w:ascii="Times New Roman" w:hAnsi="Times New Roman"/>
        </w:rPr>
        <w:t xml:space="preserve"> </w:t>
      </w:r>
      <w:r>
        <w:rPr>
          <w:rStyle w:val="normalChar"/>
          <w:rFonts w:ascii="Times New Roman" w:hAnsi="Times New Roman"/>
        </w:rPr>
        <w:t>од</w:t>
      </w:r>
      <w:r w:rsidR="00895AB5" w:rsidRPr="00295637">
        <w:rPr>
          <w:rStyle w:val="normalChar"/>
          <w:rFonts w:ascii="Times New Roman" w:hAnsi="Times New Roman"/>
        </w:rPr>
        <w:t xml:space="preserve"> </w:t>
      </w:r>
      <w:r>
        <w:rPr>
          <w:rStyle w:val="normalChar"/>
          <w:rFonts w:ascii="Times New Roman" w:hAnsi="Times New Roman"/>
        </w:rPr>
        <w:t>значаја</w:t>
      </w:r>
      <w:r w:rsidR="00895AB5" w:rsidRPr="00295637">
        <w:rPr>
          <w:rStyle w:val="normalChar"/>
          <w:rFonts w:ascii="Times New Roman" w:hAnsi="Times New Roman"/>
        </w:rPr>
        <w:t xml:space="preserve"> </w:t>
      </w:r>
      <w:r>
        <w:rPr>
          <w:rStyle w:val="normalChar"/>
          <w:rFonts w:ascii="Times New Roman" w:hAnsi="Times New Roman"/>
        </w:rPr>
        <w:t>пружена</w:t>
      </w:r>
      <w:r w:rsidR="00895AB5" w:rsidRPr="00295637">
        <w:rPr>
          <w:rStyle w:val="normalChar"/>
          <w:rFonts w:ascii="Times New Roman" w:hAnsi="Times New Roman"/>
        </w:rPr>
        <w:t xml:space="preserve"> </w:t>
      </w:r>
      <w:r>
        <w:rPr>
          <w:rStyle w:val="normalChar"/>
          <w:rFonts w:ascii="Times New Roman" w:hAnsi="Times New Roman"/>
        </w:rPr>
        <w:t>је</w:t>
      </w:r>
      <w:r w:rsidR="00895AB5" w:rsidRPr="00295637">
        <w:rPr>
          <w:rStyle w:val="normalChar"/>
          <w:rFonts w:ascii="Times New Roman" w:hAnsi="Times New Roman"/>
        </w:rPr>
        <w:t xml:space="preserve"> </w:t>
      </w:r>
      <w:r>
        <w:rPr>
          <w:rStyle w:val="normalChar"/>
          <w:rFonts w:ascii="Times New Roman" w:hAnsi="Times New Roman"/>
        </w:rPr>
        <w:t>подршка</w:t>
      </w:r>
      <w:r w:rsidR="00895AB5" w:rsidRPr="00295637">
        <w:rPr>
          <w:rStyle w:val="normalChar"/>
          <w:rFonts w:ascii="Times New Roman" w:hAnsi="Times New Roman"/>
        </w:rPr>
        <w:t xml:space="preserve"> </w:t>
      </w:r>
      <w:r>
        <w:rPr>
          <w:rStyle w:val="normalChar"/>
          <w:rFonts w:ascii="Times New Roman" w:hAnsi="Times New Roman"/>
        </w:rPr>
        <w:t>Удружењу</w:t>
      </w:r>
      <w:r w:rsidR="00895AB5" w:rsidRPr="00295637">
        <w:rPr>
          <w:rStyle w:val="normalChar"/>
          <w:rFonts w:ascii="Times New Roman" w:hAnsi="Times New Roman"/>
        </w:rPr>
        <w:t xml:space="preserve"> „</w:t>
      </w:r>
      <w:r>
        <w:rPr>
          <w:rStyle w:val="normalChar"/>
          <w:rFonts w:ascii="Times New Roman" w:hAnsi="Times New Roman"/>
        </w:rPr>
        <w:t>Обала</w:t>
      </w:r>
      <w:r w:rsidR="00895AB5" w:rsidRPr="00295637">
        <w:rPr>
          <w:rStyle w:val="normalChar"/>
          <w:rFonts w:ascii="Times New Roman" w:hAnsi="Times New Roman"/>
        </w:rPr>
        <w:t xml:space="preserve"> </w:t>
      </w:r>
      <w:r>
        <w:rPr>
          <w:rStyle w:val="normalChar"/>
          <w:rFonts w:ascii="Times New Roman" w:hAnsi="Times New Roman"/>
        </w:rPr>
        <w:t>Арт</w:t>
      </w:r>
      <w:r w:rsidR="00895AB5" w:rsidRPr="00295637">
        <w:rPr>
          <w:rStyle w:val="normalChar"/>
          <w:rFonts w:ascii="Times New Roman" w:hAnsi="Times New Roman"/>
        </w:rPr>
        <w:t xml:space="preserve"> </w:t>
      </w:r>
      <w:r>
        <w:rPr>
          <w:rStyle w:val="normalChar"/>
          <w:rFonts w:ascii="Times New Roman" w:hAnsi="Times New Roman"/>
        </w:rPr>
        <w:t>Центар</w:t>
      </w:r>
      <w:r w:rsidR="00895AB5" w:rsidRPr="00295637">
        <w:rPr>
          <w:rStyle w:val="normalChar"/>
          <w:rFonts w:ascii="Times New Roman" w:hAnsi="Times New Roman"/>
        </w:rPr>
        <w:t xml:space="preserve">“ </w:t>
      </w:r>
      <w:r>
        <w:rPr>
          <w:rStyle w:val="normalChar"/>
          <w:rFonts w:ascii="Times New Roman" w:hAnsi="Times New Roman"/>
        </w:rPr>
        <w:t>за</w:t>
      </w:r>
      <w:r w:rsidR="00895AB5" w:rsidRPr="00295637">
        <w:rPr>
          <w:rStyle w:val="normalChar"/>
          <w:rFonts w:ascii="Times New Roman" w:hAnsi="Times New Roman"/>
        </w:rPr>
        <w:t xml:space="preserve"> </w:t>
      </w:r>
      <w:r>
        <w:rPr>
          <w:rStyle w:val="normalChar"/>
          <w:rFonts w:ascii="Times New Roman" w:hAnsi="Times New Roman"/>
        </w:rPr>
        <w:t>филм</w:t>
      </w:r>
      <w:r w:rsidR="00895AB5" w:rsidRPr="00295637">
        <w:rPr>
          <w:rStyle w:val="normalChar"/>
          <w:rFonts w:ascii="Times New Roman" w:hAnsi="Times New Roman"/>
        </w:rPr>
        <w:t xml:space="preserve"> „</w:t>
      </w:r>
      <w:r w:rsidR="008A65D0" w:rsidRPr="008A65D0">
        <w:rPr>
          <w:rStyle w:val="normalChar"/>
          <w:rFonts w:ascii="Times New Roman" w:hAnsi="Times New Roman"/>
          <w:i/>
        </w:rPr>
        <w:t>Gym</w:t>
      </w:r>
      <w:r w:rsidR="00895AB5" w:rsidRPr="00295637">
        <w:rPr>
          <w:rStyle w:val="normalChar"/>
          <w:rFonts w:ascii="Times New Roman" w:hAnsi="Times New Roman"/>
        </w:rPr>
        <w:t xml:space="preserve">“ </w:t>
      </w:r>
      <w:r>
        <w:rPr>
          <w:rStyle w:val="normalChar"/>
          <w:rFonts w:ascii="Times New Roman" w:hAnsi="Times New Roman"/>
        </w:rPr>
        <w:t>који</w:t>
      </w:r>
      <w:r w:rsidR="00895AB5" w:rsidRPr="00295637">
        <w:rPr>
          <w:rStyle w:val="normalChar"/>
          <w:rFonts w:ascii="Times New Roman" w:hAnsi="Times New Roman"/>
        </w:rPr>
        <w:t xml:space="preserve"> </w:t>
      </w:r>
      <w:r>
        <w:rPr>
          <w:rStyle w:val="normalChar"/>
          <w:rFonts w:ascii="Times New Roman" w:hAnsi="Times New Roman"/>
        </w:rPr>
        <w:t>се</w:t>
      </w:r>
      <w:r w:rsidR="00895AB5" w:rsidRPr="00295637">
        <w:rPr>
          <w:rStyle w:val="normalChar"/>
          <w:rFonts w:ascii="Times New Roman" w:hAnsi="Times New Roman"/>
        </w:rPr>
        <w:t xml:space="preserve"> </w:t>
      </w:r>
      <w:r>
        <w:rPr>
          <w:rStyle w:val="normalChar"/>
          <w:rFonts w:ascii="Times New Roman" w:hAnsi="Times New Roman"/>
        </w:rPr>
        <w:t>бави</w:t>
      </w:r>
      <w:r w:rsidR="00895AB5" w:rsidRPr="00295637">
        <w:rPr>
          <w:rStyle w:val="normalChar"/>
          <w:rFonts w:ascii="Times New Roman" w:hAnsi="Times New Roman"/>
        </w:rPr>
        <w:t xml:space="preserve"> </w:t>
      </w:r>
      <w:r>
        <w:rPr>
          <w:rStyle w:val="normalChar"/>
          <w:rFonts w:ascii="Times New Roman" w:hAnsi="Times New Roman"/>
        </w:rPr>
        <w:t>феноменом</w:t>
      </w:r>
      <w:r w:rsidR="00895AB5" w:rsidRPr="00295637">
        <w:rPr>
          <w:rStyle w:val="normalChar"/>
          <w:rFonts w:ascii="Times New Roman" w:hAnsi="Times New Roman"/>
        </w:rPr>
        <w:t xml:space="preserve"> </w:t>
      </w:r>
      <w:r>
        <w:rPr>
          <w:rStyle w:val="normalChar"/>
          <w:rFonts w:ascii="Times New Roman" w:hAnsi="Times New Roman"/>
        </w:rPr>
        <w:t>насиља</w:t>
      </w:r>
      <w:r w:rsidR="00895AB5" w:rsidRPr="00295637">
        <w:rPr>
          <w:rStyle w:val="normalChar"/>
          <w:rFonts w:ascii="Times New Roman" w:hAnsi="Times New Roman"/>
        </w:rPr>
        <w:t xml:space="preserve"> </w:t>
      </w:r>
      <w:r>
        <w:rPr>
          <w:rStyle w:val="normalChar"/>
          <w:rFonts w:ascii="Times New Roman" w:hAnsi="Times New Roman"/>
        </w:rPr>
        <w:t>над</w:t>
      </w:r>
      <w:r w:rsidR="00895AB5" w:rsidRPr="00295637">
        <w:rPr>
          <w:rStyle w:val="normalChar"/>
          <w:rFonts w:ascii="Times New Roman" w:hAnsi="Times New Roman"/>
        </w:rPr>
        <w:t xml:space="preserve"> </w:t>
      </w:r>
      <w:r>
        <w:rPr>
          <w:rStyle w:val="normalChar"/>
          <w:rFonts w:ascii="Times New Roman" w:hAnsi="Times New Roman"/>
        </w:rPr>
        <w:t>женама</w:t>
      </w:r>
      <w:r w:rsidR="00895AB5" w:rsidRPr="00295637">
        <w:rPr>
          <w:rStyle w:val="normalChar"/>
          <w:rFonts w:ascii="Times New Roman" w:hAnsi="Times New Roman"/>
        </w:rPr>
        <w:t xml:space="preserve">. </w:t>
      </w:r>
      <w:bookmarkEnd w:id="17"/>
    </w:p>
    <w:p w:rsidR="00B15AF0" w:rsidRPr="00295637" w:rsidRDefault="00B15AF0" w:rsidP="0086268D">
      <w:pPr>
        <w:pStyle w:val="ListParagraph"/>
        <w:ind w:left="0"/>
        <w:jc w:val="both"/>
        <w:rPr>
          <w:rFonts w:ascii="Times New Roman" w:hAnsi="Times New Roman"/>
          <w:lang w:val="sr-Latn-BA"/>
        </w:rPr>
      </w:pPr>
    </w:p>
    <w:p w:rsidR="007A20D5" w:rsidRPr="00295637" w:rsidRDefault="00C6214E" w:rsidP="0086268D">
      <w:pPr>
        <w:pStyle w:val="HTMLPreformatted"/>
        <w:jc w:val="both"/>
        <w:rPr>
          <w:rFonts w:ascii="Times New Roman" w:hAnsi="Times New Roman" w:cs="Times New Roman"/>
          <w:color w:val="1F1F1F"/>
          <w:sz w:val="24"/>
          <w:szCs w:val="24"/>
        </w:rPr>
      </w:pPr>
      <w:r>
        <w:rPr>
          <w:rFonts w:ascii="Times New Roman" w:hAnsi="Times New Roman" w:cs="Times New Roman"/>
          <w:sz w:val="24"/>
          <w:szCs w:val="24"/>
          <w:lang w:val="hr-HR"/>
        </w:rPr>
        <w:t>У</w:t>
      </w:r>
      <w:r w:rsidR="00B16F84" w:rsidRPr="006820FB">
        <w:rPr>
          <w:rFonts w:ascii="Times New Roman" w:hAnsi="Times New Roman" w:cs="Times New Roman"/>
          <w:sz w:val="24"/>
          <w:szCs w:val="24"/>
          <w:lang w:val="hr-HR"/>
        </w:rPr>
        <w:t xml:space="preserve"> </w:t>
      </w:r>
      <w:r>
        <w:rPr>
          <w:rFonts w:ascii="Times New Roman" w:hAnsi="Times New Roman" w:cs="Times New Roman"/>
          <w:sz w:val="24"/>
          <w:szCs w:val="24"/>
          <w:lang w:val="hr-HR"/>
        </w:rPr>
        <w:t>извјештајном</w:t>
      </w:r>
      <w:r w:rsidR="00B16F84" w:rsidRPr="006820FB">
        <w:rPr>
          <w:rFonts w:ascii="Times New Roman" w:hAnsi="Times New Roman" w:cs="Times New Roman"/>
          <w:sz w:val="24"/>
          <w:szCs w:val="24"/>
          <w:lang w:val="hr-HR"/>
        </w:rPr>
        <w:t xml:space="preserve"> </w:t>
      </w:r>
      <w:r>
        <w:rPr>
          <w:rFonts w:ascii="Times New Roman" w:hAnsi="Times New Roman" w:cs="Times New Roman"/>
          <w:sz w:val="24"/>
          <w:szCs w:val="24"/>
          <w:lang w:val="hr-HR"/>
        </w:rPr>
        <w:t>периоду</w:t>
      </w:r>
      <w:r w:rsidR="00B16F84" w:rsidRPr="006820FB">
        <w:rPr>
          <w:rFonts w:ascii="Times New Roman" w:hAnsi="Times New Roman" w:cs="Times New Roman"/>
          <w:sz w:val="24"/>
          <w:szCs w:val="24"/>
          <w:lang w:val="hr-HR"/>
        </w:rPr>
        <w:t xml:space="preserve">, </w:t>
      </w:r>
      <w:r>
        <w:rPr>
          <w:rFonts w:ascii="Times New Roman" w:hAnsi="Times New Roman" w:cs="Times New Roman"/>
          <w:sz w:val="24"/>
          <w:szCs w:val="24"/>
          <w:lang w:val="hr-HR"/>
        </w:rPr>
        <w:t>из</w:t>
      </w:r>
      <w:r w:rsidR="00B16F84" w:rsidRPr="006820FB">
        <w:rPr>
          <w:rFonts w:ascii="Times New Roman" w:hAnsi="Times New Roman" w:cs="Times New Roman"/>
          <w:sz w:val="24"/>
          <w:szCs w:val="24"/>
          <w:lang w:val="hr-HR"/>
        </w:rPr>
        <w:t xml:space="preserve"> </w:t>
      </w:r>
      <w:r>
        <w:rPr>
          <w:rFonts w:ascii="Times New Roman" w:hAnsi="Times New Roman" w:cs="Times New Roman"/>
          <w:sz w:val="24"/>
          <w:szCs w:val="24"/>
          <w:lang w:val="hr-HR"/>
        </w:rPr>
        <w:t>средстава</w:t>
      </w:r>
      <w:r w:rsidR="00B16F84" w:rsidRPr="006820FB">
        <w:rPr>
          <w:rFonts w:ascii="Times New Roman" w:hAnsi="Times New Roman" w:cs="Times New Roman"/>
          <w:sz w:val="24"/>
          <w:szCs w:val="24"/>
          <w:lang w:val="hr-HR"/>
        </w:rPr>
        <w:t xml:space="preserve"> </w:t>
      </w:r>
      <w:r>
        <w:rPr>
          <w:rFonts w:ascii="Times New Roman" w:hAnsi="Times New Roman" w:cs="Times New Roman"/>
          <w:sz w:val="24"/>
          <w:szCs w:val="24"/>
          <w:lang w:val="hr-HR"/>
        </w:rPr>
        <w:t>ЕУ</w:t>
      </w:r>
      <w:r w:rsidR="00B16F84" w:rsidRPr="006820FB">
        <w:rPr>
          <w:rFonts w:ascii="Times New Roman" w:hAnsi="Times New Roman" w:cs="Times New Roman"/>
          <w:sz w:val="24"/>
          <w:szCs w:val="24"/>
          <w:lang w:val="hr-HR"/>
        </w:rPr>
        <w:t xml:space="preserve"> </w:t>
      </w:r>
      <w:r>
        <w:rPr>
          <w:rFonts w:ascii="Times New Roman" w:hAnsi="Times New Roman" w:cs="Times New Roman"/>
          <w:sz w:val="24"/>
          <w:szCs w:val="24"/>
          <w:lang w:val="hr-HR"/>
        </w:rPr>
        <w:t>реализ</w:t>
      </w:r>
      <w:r w:rsidR="0082548C">
        <w:rPr>
          <w:rFonts w:ascii="Times New Roman" w:hAnsi="Times New Roman" w:cs="Times New Roman"/>
          <w:sz w:val="24"/>
          <w:szCs w:val="24"/>
          <w:lang w:val="sr-Cyrl-BA"/>
        </w:rPr>
        <w:t>ован</w:t>
      </w:r>
      <w:r w:rsidR="00B12850">
        <w:rPr>
          <w:rFonts w:ascii="Times New Roman" w:hAnsi="Times New Roman" w:cs="Times New Roman"/>
          <w:sz w:val="24"/>
          <w:szCs w:val="24"/>
          <w:lang w:val="hr-HR"/>
        </w:rPr>
        <w:t xml:space="preserve"> </w:t>
      </w:r>
      <w:r>
        <w:rPr>
          <w:rFonts w:ascii="Times New Roman" w:hAnsi="Times New Roman" w:cs="Times New Roman"/>
          <w:sz w:val="24"/>
          <w:szCs w:val="24"/>
          <w:lang w:val="hr-HR"/>
        </w:rPr>
        <w:t>је</w:t>
      </w:r>
      <w:r w:rsidR="00B12850">
        <w:rPr>
          <w:rFonts w:ascii="Times New Roman" w:hAnsi="Times New Roman" w:cs="Times New Roman"/>
          <w:sz w:val="24"/>
          <w:szCs w:val="24"/>
          <w:lang w:val="hr-HR"/>
        </w:rPr>
        <w:t xml:space="preserve"> </w:t>
      </w:r>
      <w:r>
        <w:rPr>
          <w:rFonts w:ascii="Times New Roman" w:hAnsi="Times New Roman" w:cs="Times New Roman"/>
          <w:sz w:val="24"/>
          <w:szCs w:val="24"/>
          <w:lang w:val="hr-HR"/>
        </w:rPr>
        <w:t>пројекат</w:t>
      </w:r>
      <w:r w:rsidR="00B16F84" w:rsidRPr="00295637">
        <w:rPr>
          <w:rFonts w:ascii="Times New Roman" w:hAnsi="Times New Roman" w:cs="Times New Roman"/>
          <w:sz w:val="24"/>
          <w:szCs w:val="24"/>
          <w:lang w:val="en-GB"/>
        </w:rPr>
        <w:t xml:space="preserve"> “</w:t>
      </w:r>
      <w:r>
        <w:rPr>
          <w:rStyle w:val="y2iqfc"/>
          <w:rFonts w:ascii="Times New Roman" w:hAnsi="Times New Roman" w:cs="Times New Roman"/>
          <w:color w:val="1F1F1F"/>
          <w:sz w:val="24"/>
          <w:szCs w:val="24"/>
        </w:rPr>
        <w:t>Унапређење</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правне</w:t>
      </w:r>
      <w:r w:rsidR="00E47AC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E47AC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друштвене</w:t>
      </w:r>
      <w:r w:rsidR="00E47AC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матрице</w:t>
      </w:r>
      <w:r w:rsidR="00E47AC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за</w:t>
      </w:r>
      <w:r w:rsidR="00E47AC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спречавање</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фемицида</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насиља</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заснованог</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на</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полу</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у</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БиХ</w:t>
      </w:r>
      <w:r w:rsidR="00E47AC5" w:rsidRPr="00295637">
        <w:rPr>
          <w:rStyle w:val="y2iqfc"/>
          <w:rFonts w:ascii="Times New Roman" w:hAnsi="Times New Roman" w:cs="Times New Roman"/>
          <w:color w:val="1F1F1F"/>
          <w:sz w:val="24"/>
          <w:szCs w:val="24"/>
        </w:rPr>
        <w:t>“</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усмјерен</w:t>
      </w:r>
      <w:r w:rsidR="00E47AC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на</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заштиту</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људских</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права</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основних</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слобода</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жена</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дјевојчица</w:t>
      </w:r>
      <w:r w:rsidR="00E47AC5" w:rsidRPr="00295637">
        <w:rPr>
          <w:rStyle w:val="y2iqfc"/>
          <w:rFonts w:ascii="Times New Roman" w:hAnsi="Times New Roman" w:cs="Times New Roman"/>
          <w:color w:val="1F1F1F"/>
          <w:sz w:val="24"/>
          <w:szCs w:val="24"/>
        </w:rPr>
        <w:t>,</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те</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борбу</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против</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културне</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друштвене</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матрице</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насиља</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промови</w:t>
      </w:r>
      <w:r w:rsidR="0082548C">
        <w:rPr>
          <w:rStyle w:val="y2iqfc"/>
          <w:rFonts w:ascii="Times New Roman" w:hAnsi="Times New Roman" w:cs="Times New Roman"/>
          <w:color w:val="1F1F1F"/>
          <w:sz w:val="24"/>
          <w:szCs w:val="24"/>
          <w:lang w:val="sr-Cyrl-BA"/>
        </w:rPr>
        <w:t>с</w:t>
      </w:r>
      <w:r>
        <w:rPr>
          <w:rStyle w:val="y2iqfc"/>
          <w:rFonts w:ascii="Times New Roman" w:hAnsi="Times New Roman" w:cs="Times New Roman"/>
          <w:color w:val="1F1F1F"/>
          <w:sz w:val="24"/>
          <w:szCs w:val="24"/>
        </w:rPr>
        <w:t>ањем</w:t>
      </w:r>
      <w:r w:rsidR="00967405">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елиминације</w:t>
      </w:r>
      <w:r w:rsidR="00967405">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спречавања</w:t>
      </w:r>
      <w:r w:rsidR="00B12850">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B12850">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заштите</w:t>
      </w:r>
      <w:r w:rsidR="00B12850">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од</w:t>
      </w:r>
      <w:r w:rsidR="00B12850">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фемицида</w:t>
      </w:r>
      <w:r w:rsidR="00B12850">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Пројекат</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проводи</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НВО</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ЈаБИХЕУ</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траје</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до</w:t>
      </w:r>
      <w:r w:rsidR="007A20D5"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краја</w:t>
      </w:r>
      <w:r w:rsidR="007A20D5" w:rsidRPr="00295637">
        <w:rPr>
          <w:rStyle w:val="y2iqfc"/>
          <w:rFonts w:ascii="Times New Roman" w:hAnsi="Times New Roman" w:cs="Times New Roman"/>
          <w:color w:val="1F1F1F"/>
          <w:sz w:val="24"/>
          <w:szCs w:val="24"/>
        </w:rPr>
        <w:t xml:space="preserve"> 2025. </w:t>
      </w:r>
      <w:r>
        <w:rPr>
          <w:rStyle w:val="y2iqfc"/>
          <w:rFonts w:ascii="Times New Roman" w:hAnsi="Times New Roman" w:cs="Times New Roman"/>
          <w:color w:val="1F1F1F"/>
          <w:sz w:val="24"/>
          <w:szCs w:val="24"/>
        </w:rPr>
        <w:t>године</w:t>
      </w:r>
      <w:r w:rsidR="00E47AC5" w:rsidRPr="00295637">
        <w:rPr>
          <w:rStyle w:val="y2iqfc"/>
          <w:rFonts w:ascii="Times New Roman" w:hAnsi="Times New Roman" w:cs="Times New Roman"/>
          <w:color w:val="1F1F1F"/>
          <w:sz w:val="24"/>
          <w:szCs w:val="24"/>
        </w:rPr>
        <w:t>.</w:t>
      </w:r>
    </w:p>
    <w:p w:rsidR="00855CD7" w:rsidRPr="00295637" w:rsidRDefault="00855CD7" w:rsidP="0086268D">
      <w:pPr>
        <w:tabs>
          <w:tab w:val="left" w:pos="284"/>
          <w:tab w:val="left" w:pos="630"/>
          <w:tab w:val="left" w:pos="1080"/>
        </w:tabs>
        <w:jc w:val="both"/>
        <w:rPr>
          <w:rFonts w:ascii="Times New Roman" w:hAnsi="Times New Roman"/>
          <w:szCs w:val="24"/>
          <w:lang w:val="bs-Latn-BA"/>
        </w:rPr>
      </w:pPr>
    </w:p>
    <w:p w:rsidR="00356C2C" w:rsidRPr="00295637" w:rsidRDefault="0082548C" w:rsidP="00967405">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967405">
        <w:rPr>
          <w:rFonts w:ascii="Times New Roman" w:hAnsi="Times New Roman"/>
          <w:szCs w:val="24"/>
          <w:lang w:val="bs-Latn-BA"/>
        </w:rPr>
        <w:t xml:space="preserve"> 1.9. </w:t>
      </w:r>
      <w:r w:rsidR="00C6214E">
        <w:rPr>
          <w:rFonts w:ascii="Times New Roman" w:hAnsi="Times New Roman"/>
          <w:szCs w:val="24"/>
          <w:lang w:val="bs-Latn-BA"/>
        </w:rPr>
        <w:t>Правне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институционалне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промотивне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едука</w:t>
      </w:r>
      <w:r>
        <w:rPr>
          <w:rFonts w:ascii="Times New Roman" w:hAnsi="Times New Roman"/>
          <w:szCs w:val="24"/>
          <w:lang w:val="sr-Cyrl-BA"/>
        </w:rPr>
        <w:t>тивне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превенције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заштите</w:t>
      </w:r>
      <w:r w:rsidR="00356C2C" w:rsidRPr="00295637">
        <w:rPr>
          <w:rFonts w:ascii="Times New Roman" w:hAnsi="Times New Roman"/>
          <w:szCs w:val="24"/>
          <w:lang w:val="bs-Latn-BA"/>
        </w:rPr>
        <w:t xml:space="preserve"> </w:t>
      </w:r>
      <w:r w:rsidR="00C6214E">
        <w:rPr>
          <w:rFonts w:ascii="Times New Roman" w:hAnsi="Times New Roman"/>
          <w:szCs w:val="24"/>
          <w:lang w:val="bs-Latn-BA"/>
        </w:rPr>
        <w:t>од</w:t>
      </w:r>
      <w:r w:rsidR="00356C2C" w:rsidRPr="00295637">
        <w:rPr>
          <w:rFonts w:ascii="Times New Roman" w:hAnsi="Times New Roman"/>
          <w:szCs w:val="24"/>
          <w:lang w:val="bs-Latn-BA"/>
        </w:rPr>
        <w:t xml:space="preserve"> </w:t>
      </w:r>
      <w:r w:rsidR="00C6214E">
        <w:rPr>
          <w:rFonts w:ascii="Times New Roman" w:hAnsi="Times New Roman"/>
          <w:szCs w:val="24"/>
          <w:lang w:val="bs-Latn-BA"/>
        </w:rPr>
        <w:t>сексуалног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узнемиравања</w:t>
      </w:r>
      <w:r w:rsidR="00356C2C" w:rsidRPr="00295637">
        <w:rPr>
          <w:rFonts w:ascii="Times New Roman" w:hAnsi="Times New Roman"/>
          <w:szCs w:val="24"/>
          <w:lang w:val="bs-Latn-BA"/>
        </w:rPr>
        <w:t xml:space="preserve">.  </w:t>
      </w:r>
    </w:p>
    <w:p w:rsidR="00C142CC" w:rsidRPr="00295637" w:rsidRDefault="00C142CC" w:rsidP="0086268D">
      <w:pPr>
        <w:tabs>
          <w:tab w:val="left" w:pos="284"/>
          <w:tab w:val="left" w:pos="630"/>
          <w:tab w:val="left" w:pos="1080"/>
        </w:tabs>
        <w:ind w:left="1080"/>
        <w:jc w:val="both"/>
        <w:rPr>
          <w:rFonts w:ascii="Times New Roman" w:hAnsi="Times New Roman"/>
          <w:szCs w:val="24"/>
          <w:lang w:val="bs-Latn-BA"/>
        </w:rPr>
      </w:pPr>
    </w:p>
    <w:p w:rsidR="0058163B" w:rsidRPr="006820FB" w:rsidRDefault="0082548C" w:rsidP="0086268D">
      <w:pPr>
        <w:jc w:val="both"/>
        <w:rPr>
          <w:rFonts w:ascii="Times New Roman" w:hAnsi="Times New Roman"/>
          <w:lang w:val="hr-HR"/>
        </w:rPr>
      </w:pPr>
      <w:r>
        <w:rPr>
          <w:rFonts w:ascii="Times New Roman" w:hAnsi="Times New Roman"/>
          <w:lang w:val="sr-Cyrl-BA"/>
        </w:rPr>
        <w:t>С</w:t>
      </w:r>
      <w:r w:rsidR="00C61238" w:rsidRPr="006820FB">
        <w:rPr>
          <w:rFonts w:ascii="Times New Roman" w:hAnsi="Times New Roman"/>
          <w:lang w:val="hr-HR"/>
        </w:rPr>
        <w:t xml:space="preserve"> </w:t>
      </w:r>
      <w:r w:rsidR="00C6214E">
        <w:rPr>
          <w:rFonts w:ascii="Times New Roman" w:hAnsi="Times New Roman"/>
          <w:lang w:val="hr-HR"/>
        </w:rPr>
        <w:t>циљ</w:t>
      </w:r>
      <w:r>
        <w:rPr>
          <w:rFonts w:ascii="Times New Roman" w:hAnsi="Times New Roman"/>
          <w:lang w:val="sr-Cyrl-BA"/>
        </w:rPr>
        <w:t>ем</w:t>
      </w:r>
      <w:r w:rsidR="00C61238" w:rsidRPr="006820FB">
        <w:rPr>
          <w:rFonts w:ascii="Times New Roman" w:hAnsi="Times New Roman"/>
          <w:lang w:val="hr-HR"/>
        </w:rPr>
        <w:t xml:space="preserve"> </w:t>
      </w:r>
      <w:r w:rsidR="00C6214E">
        <w:rPr>
          <w:rFonts w:ascii="Times New Roman" w:hAnsi="Times New Roman"/>
          <w:lang w:val="hr-HR"/>
        </w:rPr>
        <w:t>јачања</w:t>
      </w:r>
      <w:r w:rsidR="00C61238" w:rsidRPr="006820FB">
        <w:rPr>
          <w:rFonts w:ascii="Times New Roman" w:hAnsi="Times New Roman"/>
          <w:lang w:val="hr-HR"/>
        </w:rPr>
        <w:t xml:space="preserve"> </w:t>
      </w:r>
      <w:r w:rsidR="00C6214E">
        <w:rPr>
          <w:rFonts w:ascii="Times New Roman" w:hAnsi="Times New Roman"/>
          <w:lang w:val="hr-HR"/>
        </w:rPr>
        <w:t>система</w:t>
      </w:r>
      <w:r w:rsidR="00C61238" w:rsidRPr="006820FB">
        <w:rPr>
          <w:rFonts w:ascii="Times New Roman" w:hAnsi="Times New Roman"/>
          <w:lang w:val="hr-HR"/>
        </w:rPr>
        <w:t xml:space="preserve"> </w:t>
      </w:r>
      <w:r w:rsidR="00C6214E">
        <w:rPr>
          <w:rFonts w:ascii="Times New Roman" w:hAnsi="Times New Roman"/>
          <w:lang w:val="hr-HR"/>
        </w:rPr>
        <w:t>превенције</w:t>
      </w:r>
      <w:r w:rsidR="00C61238" w:rsidRPr="006820FB">
        <w:rPr>
          <w:rFonts w:ascii="Times New Roman" w:hAnsi="Times New Roman"/>
          <w:lang w:val="hr-HR"/>
        </w:rPr>
        <w:t xml:space="preserve"> </w:t>
      </w:r>
      <w:r w:rsidR="00C6214E">
        <w:rPr>
          <w:rFonts w:ascii="Times New Roman" w:hAnsi="Times New Roman"/>
          <w:lang w:val="hr-HR"/>
        </w:rPr>
        <w:t>узнемиравања</w:t>
      </w:r>
      <w:r w:rsidR="00C61238" w:rsidRPr="006820FB">
        <w:rPr>
          <w:rFonts w:ascii="Times New Roman" w:hAnsi="Times New Roman"/>
          <w:lang w:val="hr-HR"/>
        </w:rPr>
        <w:t xml:space="preserve"> </w:t>
      </w:r>
      <w:r w:rsidR="00C6214E">
        <w:rPr>
          <w:rFonts w:ascii="Times New Roman" w:hAnsi="Times New Roman"/>
          <w:lang w:val="hr-HR"/>
        </w:rPr>
        <w:t>на</w:t>
      </w:r>
      <w:r w:rsidR="00C61238" w:rsidRPr="006820FB">
        <w:rPr>
          <w:rFonts w:ascii="Times New Roman" w:hAnsi="Times New Roman"/>
          <w:lang w:val="hr-HR"/>
        </w:rPr>
        <w:t xml:space="preserve"> </w:t>
      </w:r>
      <w:r w:rsidR="00C6214E">
        <w:rPr>
          <w:rFonts w:ascii="Times New Roman" w:hAnsi="Times New Roman"/>
          <w:lang w:val="hr-HR"/>
        </w:rPr>
        <w:t>основу</w:t>
      </w:r>
      <w:r w:rsidR="00C61238" w:rsidRPr="006820FB">
        <w:rPr>
          <w:rFonts w:ascii="Times New Roman" w:hAnsi="Times New Roman"/>
          <w:lang w:val="hr-HR"/>
        </w:rPr>
        <w:t xml:space="preserve"> </w:t>
      </w:r>
      <w:r w:rsidR="00C6214E">
        <w:rPr>
          <w:rFonts w:ascii="Times New Roman" w:hAnsi="Times New Roman"/>
          <w:lang w:val="hr-HR"/>
        </w:rPr>
        <w:t>пола</w:t>
      </w:r>
      <w:r w:rsidR="00C61238" w:rsidRPr="006820FB">
        <w:rPr>
          <w:rFonts w:ascii="Times New Roman" w:hAnsi="Times New Roman"/>
          <w:lang w:val="hr-HR"/>
        </w:rPr>
        <w:t xml:space="preserve"> </w:t>
      </w:r>
      <w:r w:rsidR="00C6214E">
        <w:rPr>
          <w:rFonts w:ascii="Times New Roman" w:hAnsi="Times New Roman"/>
          <w:lang w:val="hr-HR"/>
        </w:rPr>
        <w:t>и</w:t>
      </w:r>
      <w:r w:rsidR="00C61238" w:rsidRPr="006820FB">
        <w:rPr>
          <w:rFonts w:ascii="Times New Roman" w:hAnsi="Times New Roman"/>
          <w:lang w:val="hr-HR"/>
        </w:rPr>
        <w:t xml:space="preserve"> </w:t>
      </w:r>
      <w:r w:rsidR="00C6214E">
        <w:rPr>
          <w:rFonts w:ascii="Times New Roman" w:hAnsi="Times New Roman"/>
          <w:lang w:val="hr-HR"/>
        </w:rPr>
        <w:t>сексуалног</w:t>
      </w:r>
      <w:r w:rsidR="00C61238" w:rsidRPr="006820FB">
        <w:rPr>
          <w:rFonts w:ascii="Times New Roman" w:hAnsi="Times New Roman"/>
          <w:lang w:val="hr-HR"/>
        </w:rPr>
        <w:t xml:space="preserve"> </w:t>
      </w:r>
      <w:r w:rsidR="00C6214E">
        <w:rPr>
          <w:rFonts w:ascii="Times New Roman" w:hAnsi="Times New Roman"/>
          <w:lang w:val="hr-HR"/>
        </w:rPr>
        <w:t>узнемиравања</w:t>
      </w:r>
      <w:r w:rsidR="00C61238" w:rsidRPr="006820FB">
        <w:rPr>
          <w:rFonts w:ascii="Times New Roman" w:hAnsi="Times New Roman"/>
          <w:lang w:val="hr-HR"/>
        </w:rPr>
        <w:t xml:space="preserve"> </w:t>
      </w:r>
      <w:r w:rsidR="00C6214E">
        <w:rPr>
          <w:rFonts w:ascii="Times New Roman" w:hAnsi="Times New Roman"/>
          <w:lang w:val="hr-HR"/>
        </w:rPr>
        <w:t>на</w:t>
      </w:r>
      <w:r w:rsidR="00C61238" w:rsidRPr="006820FB">
        <w:rPr>
          <w:rFonts w:ascii="Times New Roman" w:hAnsi="Times New Roman"/>
          <w:lang w:val="hr-HR"/>
        </w:rPr>
        <w:t xml:space="preserve"> </w:t>
      </w:r>
      <w:r w:rsidR="00C6214E">
        <w:rPr>
          <w:rFonts w:ascii="Times New Roman" w:hAnsi="Times New Roman"/>
          <w:lang w:val="hr-HR"/>
        </w:rPr>
        <w:t>радном</w:t>
      </w:r>
      <w:r w:rsidR="0007629A" w:rsidRPr="006820FB">
        <w:rPr>
          <w:rFonts w:ascii="Times New Roman" w:hAnsi="Times New Roman"/>
          <w:lang w:val="hr-HR"/>
        </w:rPr>
        <w:t xml:space="preserve"> </w:t>
      </w:r>
      <w:r w:rsidR="00C6214E">
        <w:rPr>
          <w:rFonts w:ascii="Times New Roman" w:hAnsi="Times New Roman"/>
          <w:lang w:val="hr-HR"/>
        </w:rPr>
        <w:t>мјесту</w:t>
      </w:r>
      <w:r w:rsidR="0007629A" w:rsidRPr="006820FB">
        <w:rPr>
          <w:rFonts w:ascii="Times New Roman" w:hAnsi="Times New Roman"/>
          <w:lang w:val="hr-HR"/>
        </w:rPr>
        <w:t xml:space="preserve"> </w:t>
      </w:r>
      <w:r w:rsidR="00C6214E">
        <w:rPr>
          <w:rFonts w:ascii="Times New Roman" w:hAnsi="Times New Roman"/>
          <w:lang w:val="hr-HR"/>
        </w:rPr>
        <w:t>у</w:t>
      </w:r>
      <w:r w:rsidR="0007629A" w:rsidRPr="006820FB">
        <w:rPr>
          <w:rFonts w:ascii="Times New Roman" w:hAnsi="Times New Roman"/>
          <w:lang w:val="hr-HR"/>
        </w:rPr>
        <w:t xml:space="preserve"> </w:t>
      </w:r>
      <w:r w:rsidR="00C6214E">
        <w:rPr>
          <w:rFonts w:ascii="Times New Roman" w:hAnsi="Times New Roman"/>
          <w:lang w:val="hr-HR"/>
        </w:rPr>
        <w:t>институцијама</w:t>
      </w:r>
      <w:r w:rsidR="0007629A" w:rsidRPr="006820FB">
        <w:rPr>
          <w:rFonts w:ascii="Times New Roman" w:hAnsi="Times New Roman"/>
          <w:lang w:val="hr-HR"/>
        </w:rPr>
        <w:t xml:space="preserve"> </w:t>
      </w:r>
      <w:r w:rsidR="00C6214E">
        <w:rPr>
          <w:rFonts w:ascii="Times New Roman" w:hAnsi="Times New Roman"/>
          <w:lang w:val="hr-HR"/>
        </w:rPr>
        <w:t>БиХ</w:t>
      </w:r>
      <w:r w:rsidR="00C61238" w:rsidRPr="006820FB">
        <w:rPr>
          <w:rFonts w:ascii="Times New Roman" w:hAnsi="Times New Roman"/>
          <w:lang w:val="hr-HR"/>
        </w:rPr>
        <w:t xml:space="preserve">, </w:t>
      </w:r>
      <w:r w:rsidR="00C6214E">
        <w:rPr>
          <w:rFonts w:ascii="Times New Roman" w:hAnsi="Times New Roman"/>
          <w:lang w:val="hr-HR"/>
        </w:rPr>
        <w:t>реализ</w:t>
      </w:r>
      <w:r>
        <w:rPr>
          <w:rFonts w:ascii="Times New Roman" w:hAnsi="Times New Roman"/>
          <w:lang w:val="sr-Cyrl-BA"/>
        </w:rPr>
        <w:t>ована</w:t>
      </w:r>
      <w:r w:rsidR="00C61238" w:rsidRPr="006820FB">
        <w:rPr>
          <w:rFonts w:ascii="Times New Roman" w:hAnsi="Times New Roman"/>
          <w:lang w:val="hr-HR"/>
        </w:rPr>
        <w:t xml:space="preserve"> </w:t>
      </w:r>
      <w:r w:rsidR="00C6214E">
        <w:rPr>
          <w:rFonts w:ascii="Times New Roman" w:hAnsi="Times New Roman"/>
          <w:lang w:val="hr-HR"/>
        </w:rPr>
        <w:t>је</w:t>
      </w:r>
      <w:r w:rsidR="00C61238" w:rsidRPr="006820FB">
        <w:rPr>
          <w:rFonts w:ascii="Times New Roman" w:hAnsi="Times New Roman"/>
          <w:lang w:val="hr-HR"/>
        </w:rPr>
        <w:t xml:space="preserve"> </w:t>
      </w:r>
      <w:r w:rsidR="00C6214E">
        <w:rPr>
          <w:rFonts w:ascii="Times New Roman" w:hAnsi="Times New Roman"/>
          <w:lang w:val="hr-HR"/>
        </w:rPr>
        <w:t>процедура</w:t>
      </w:r>
      <w:r w:rsidR="00F45A8B">
        <w:rPr>
          <w:rFonts w:ascii="Times New Roman" w:hAnsi="Times New Roman"/>
          <w:lang w:val="hr-HR"/>
        </w:rPr>
        <w:t xml:space="preserve"> </w:t>
      </w:r>
      <w:r w:rsidR="00C6214E">
        <w:rPr>
          <w:rFonts w:ascii="Times New Roman" w:hAnsi="Times New Roman"/>
          <w:lang w:val="hr-HR"/>
        </w:rPr>
        <w:t>именовања</w:t>
      </w:r>
      <w:r w:rsidR="00F45A8B">
        <w:rPr>
          <w:rFonts w:ascii="Times New Roman" w:hAnsi="Times New Roman"/>
          <w:lang w:val="hr-HR"/>
        </w:rPr>
        <w:t xml:space="preserve"> </w:t>
      </w:r>
      <w:r w:rsidR="00C6214E">
        <w:rPr>
          <w:rFonts w:ascii="Times New Roman" w:hAnsi="Times New Roman"/>
          <w:lang w:val="hr-HR"/>
        </w:rPr>
        <w:t>нових</w:t>
      </w:r>
      <w:r w:rsidR="00F45A8B">
        <w:rPr>
          <w:rFonts w:ascii="Times New Roman" w:hAnsi="Times New Roman"/>
          <w:lang w:val="hr-HR"/>
        </w:rPr>
        <w:t xml:space="preserve"> </w:t>
      </w:r>
      <w:r w:rsidR="00C6214E">
        <w:rPr>
          <w:rFonts w:ascii="Times New Roman" w:hAnsi="Times New Roman"/>
          <w:lang w:val="hr-HR"/>
        </w:rPr>
        <w:t>савјетника</w:t>
      </w:r>
      <w:r w:rsidR="002F1608" w:rsidRPr="006820FB">
        <w:rPr>
          <w:rFonts w:ascii="Times New Roman" w:hAnsi="Times New Roman"/>
          <w:lang w:val="hr-HR"/>
        </w:rPr>
        <w:t xml:space="preserve">, </w:t>
      </w:r>
      <w:r w:rsidR="00C6214E">
        <w:rPr>
          <w:rFonts w:ascii="Times New Roman" w:hAnsi="Times New Roman"/>
          <w:lang w:val="hr-HR"/>
        </w:rPr>
        <w:t>с</w:t>
      </w:r>
      <w:r w:rsidR="00B12850">
        <w:rPr>
          <w:rFonts w:ascii="Times New Roman" w:hAnsi="Times New Roman"/>
          <w:lang w:val="hr-HR"/>
        </w:rPr>
        <w:t xml:space="preserve"> </w:t>
      </w:r>
      <w:r w:rsidR="00C6214E">
        <w:rPr>
          <w:rFonts w:ascii="Times New Roman" w:hAnsi="Times New Roman"/>
          <w:lang w:val="hr-HR"/>
        </w:rPr>
        <w:t>обзиром</w:t>
      </w:r>
      <w:r w:rsidR="002F1608" w:rsidRPr="006820FB">
        <w:rPr>
          <w:rFonts w:ascii="Times New Roman" w:hAnsi="Times New Roman"/>
          <w:lang w:val="hr-HR"/>
        </w:rPr>
        <w:t xml:space="preserve"> </w:t>
      </w:r>
      <w:r w:rsidR="00C6214E">
        <w:rPr>
          <w:rFonts w:ascii="Times New Roman" w:hAnsi="Times New Roman"/>
          <w:lang w:val="hr-HR"/>
        </w:rPr>
        <w:t>да</w:t>
      </w:r>
      <w:r w:rsidR="002F1608" w:rsidRPr="006820FB">
        <w:rPr>
          <w:rFonts w:ascii="Times New Roman" w:hAnsi="Times New Roman"/>
          <w:lang w:val="hr-HR"/>
        </w:rPr>
        <w:t xml:space="preserve"> </w:t>
      </w:r>
      <w:r w:rsidR="00C6214E">
        <w:rPr>
          <w:rFonts w:ascii="Times New Roman" w:hAnsi="Times New Roman"/>
          <w:lang w:val="hr-HR"/>
        </w:rPr>
        <w:t>је</w:t>
      </w:r>
      <w:r w:rsidR="002F1608" w:rsidRPr="006820FB">
        <w:rPr>
          <w:rFonts w:ascii="Times New Roman" w:hAnsi="Times New Roman"/>
          <w:lang w:val="hr-HR"/>
        </w:rPr>
        <w:t xml:space="preserve"> </w:t>
      </w:r>
      <w:r w:rsidR="00C6214E">
        <w:rPr>
          <w:rFonts w:ascii="Times New Roman" w:hAnsi="Times New Roman"/>
          <w:lang w:val="hr-HR"/>
        </w:rPr>
        <w:t>постојећим</w:t>
      </w:r>
      <w:r w:rsidR="00842127">
        <w:rPr>
          <w:rFonts w:ascii="Times New Roman" w:hAnsi="Times New Roman"/>
          <w:lang w:val="hr-HR"/>
        </w:rPr>
        <w:t xml:space="preserve"> </w:t>
      </w:r>
      <w:r w:rsidR="00C6214E">
        <w:rPr>
          <w:rFonts w:ascii="Times New Roman" w:hAnsi="Times New Roman"/>
          <w:lang w:val="hr-HR"/>
        </w:rPr>
        <w:t>истекао</w:t>
      </w:r>
      <w:r w:rsidR="00842127">
        <w:rPr>
          <w:rFonts w:ascii="Times New Roman" w:hAnsi="Times New Roman"/>
          <w:lang w:val="hr-HR"/>
        </w:rPr>
        <w:t xml:space="preserve"> </w:t>
      </w:r>
      <w:r w:rsidR="00C6214E">
        <w:rPr>
          <w:rFonts w:ascii="Times New Roman" w:hAnsi="Times New Roman"/>
          <w:lang w:val="hr-HR"/>
        </w:rPr>
        <w:t>четворогодишњи</w:t>
      </w:r>
      <w:r w:rsidR="0058163B" w:rsidRPr="006820FB">
        <w:rPr>
          <w:rFonts w:ascii="Times New Roman" w:hAnsi="Times New Roman"/>
          <w:lang w:val="hr-HR"/>
        </w:rPr>
        <w:t xml:space="preserve"> </w:t>
      </w:r>
      <w:r w:rsidR="00C6214E">
        <w:rPr>
          <w:rFonts w:ascii="Times New Roman" w:hAnsi="Times New Roman"/>
          <w:lang w:val="hr-HR"/>
        </w:rPr>
        <w:t>мандат</w:t>
      </w:r>
      <w:r w:rsidR="0058163B" w:rsidRPr="006820FB">
        <w:rPr>
          <w:rFonts w:ascii="Times New Roman" w:hAnsi="Times New Roman"/>
          <w:lang w:val="hr-HR"/>
        </w:rPr>
        <w:t xml:space="preserve">. </w:t>
      </w:r>
      <w:r w:rsidR="00C6214E">
        <w:rPr>
          <w:rFonts w:ascii="Times New Roman" w:hAnsi="Times New Roman"/>
          <w:lang w:val="hr-HR"/>
        </w:rPr>
        <w:t>Ово</w:t>
      </w:r>
      <w:r w:rsidR="002F1608" w:rsidRPr="006820FB">
        <w:rPr>
          <w:rFonts w:ascii="Times New Roman" w:hAnsi="Times New Roman"/>
          <w:lang w:val="hr-HR"/>
        </w:rPr>
        <w:t xml:space="preserve"> </w:t>
      </w:r>
      <w:r w:rsidR="00C6214E">
        <w:rPr>
          <w:rFonts w:ascii="Times New Roman" w:hAnsi="Times New Roman"/>
          <w:lang w:val="hr-HR"/>
        </w:rPr>
        <w:t>представља</w:t>
      </w:r>
      <w:r w:rsidR="002F1608" w:rsidRPr="006820FB">
        <w:rPr>
          <w:rFonts w:ascii="Times New Roman" w:hAnsi="Times New Roman"/>
          <w:lang w:val="hr-HR"/>
        </w:rPr>
        <w:t xml:space="preserve"> </w:t>
      </w:r>
      <w:r w:rsidR="00C6214E">
        <w:rPr>
          <w:rFonts w:ascii="Times New Roman" w:hAnsi="Times New Roman"/>
          <w:lang w:val="hr-HR"/>
        </w:rPr>
        <w:t>континуитет</w:t>
      </w:r>
      <w:r w:rsidR="00E417CA" w:rsidRPr="006820FB">
        <w:rPr>
          <w:rFonts w:ascii="Times New Roman" w:hAnsi="Times New Roman"/>
          <w:lang w:val="hr-HR"/>
        </w:rPr>
        <w:t xml:space="preserve"> </w:t>
      </w:r>
      <w:r>
        <w:rPr>
          <w:rFonts w:ascii="Times New Roman" w:hAnsi="Times New Roman"/>
          <w:lang w:val="sr-Cyrl-BA"/>
        </w:rPr>
        <w:t>спровођења</w:t>
      </w:r>
      <w:r w:rsidR="00E417CA" w:rsidRPr="006820FB">
        <w:rPr>
          <w:rFonts w:ascii="Times New Roman" w:hAnsi="Times New Roman"/>
          <w:lang w:val="hr-HR"/>
        </w:rPr>
        <w:t xml:space="preserve"> </w:t>
      </w:r>
      <w:r w:rsidR="00C6214E">
        <w:rPr>
          <w:rFonts w:ascii="Times New Roman" w:hAnsi="Times New Roman"/>
          <w:lang w:val="hr-HR"/>
        </w:rPr>
        <w:t>закључка</w:t>
      </w:r>
      <w:r w:rsidR="00E417CA" w:rsidRPr="006820FB">
        <w:rPr>
          <w:rFonts w:ascii="Times New Roman" w:hAnsi="Times New Roman"/>
          <w:lang w:val="hr-HR"/>
        </w:rPr>
        <w:t xml:space="preserve"> </w:t>
      </w:r>
      <w:r>
        <w:rPr>
          <w:rFonts w:ascii="Times New Roman" w:hAnsi="Times New Roman"/>
          <w:lang w:val="sr-Cyrl-BA"/>
        </w:rPr>
        <w:t>С</w:t>
      </w:r>
      <w:r w:rsidR="00C6214E">
        <w:rPr>
          <w:rFonts w:ascii="Times New Roman" w:hAnsi="Times New Roman"/>
          <w:lang w:val="hr-HR"/>
        </w:rPr>
        <w:t>М</w:t>
      </w:r>
      <w:r w:rsidR="001407EC" w:rsidRPr="006820FB">
        <w:rPr>
          <w:rFonts w:ascii="Times New Roman" w:hAnsi="Times New Roman"/>
          <w:lang w:val="hr-HR"/>
        </w:rPr>
        <w:t xml:space="preserve"> </w:t>
      </w:r>
      <w:r w:rsidR="00C6214E">
        <w:rPr>
          <w:rFonts w:ascii="Times New Roman" w:hAnsi="Times New Roman"/>
          <w:lang w:val="hr-HR"/>
        </w:rPr>
        <w:t>БиХ</w:t>
      </w:r>
      <w:r w:rsidR="00E417CA" w:rsidRPr="006820FB">
        <w:rPr>
          <w:rFonts w:ascii="Times New Roman" w:hAnsi="Times New Roman"/>
          <w:lang w:val="hr-HR"/>
        </w:rPr>
        <w:t xml:space="preserve"> </w:t>
      </w:r>
      <w:r w:rsidR="00C6214E">
        <w:rPr>
          <w:rFonts w:ascii="Times New Roman" w:hAnsi="Times New Roman"/>
          <w:lang w:val="hr-HR"/>
        </w:rPr>
        <w:t>које</w:t>
      </w:r>
      <w:r w:rsidR="00E417CA" w:rsidRPr="006820FB">
        <w:rPr>
          <w:rFonts w:ascii="Times New Roman" w:hAnsi="Times New Roman"/>
          <w:lang w:val="hr-HR"/>
        </w:rPr>
        <w:t xml:space="preserve"> </w:t>
      </w:r>
      <w:r w:rsidR="00C6214E">
        <w:rPr>
          <w:rFonts w:ascii="Times New Roman" w:hAnsi="Times New Roman"/>
          <w:lang w:val="hr-HR"/>
        </w:rPr>
        <w:t>је</w:t>
      </w:r>
      <w:r w:rsidR="00E417CA" w:rsidRPr="006820FB">
        <w:rPr>
          <w:rFonts w:ascii="Times New Roman" w:hAnsi="Times New Roman"/>
          <w:lang w:val="hr-HR"/>
        </w:rPr>
        <w:t xml:space="preserve">, </w:t>
      </w:r>
      <w:r w:rsidR="00C6214E">
        <w:rPr>
          <w:rFonts w:ascii="Times New Roman" w:hAnsi="Times New Roman"/>
          <w:lang w:val="hr-HR"/>
        </w:rPr>
        <w:t>на</w:t>
      </w:r>
      <w:r w:rsidR="00E417CA" w:rsidRPr="006820FB">
        <w:rPr>
          <w:rFonts w:ascii="Times New Roman" w:hAnsi="Times New Roman"/>
          <w:lang w:val="hr-HR"/>
        </w:rPr>
        <w:t xml:space="preserve"> </w:t>
      </w:r>
      <w:r w:rsidR="00C6214E">
        <w:rPr>
          <w:rFonts w:ascii="Times New Roman" w:hAnsi="Times New Roman"/>
          <w:lang w:val="hr-HR"/>
        </w:rPr>
        <w:t>приједлог</w:t>
      </w:r>
      <w:r w:rsidR="00E417CA" w:rsidRPr="006820FB">
        <w:rPr>
          <w:rFonts w:ascii="Times New Roman" w:hAnsi="Times New Roman"/>
          <w:lang w:val="hr-HR"/>
        </w:rPr>
        <w:t xml:space="preserve"> </w:t>
      </w:r>
      <w:r w:rsidR="00C6214E">
        <w:rPr>
          <w:rFonts w:ascii="Times New Roman" w:hAnsi="Times New Roman"/>
          <w:lang w:val="hr-HR"/>
        </w:rPr>
        <w:t>АР</w:t>
      </w:r>
      <w:r>
        <w:rPr>
          <w:rFonts w:ascii="Times New Roman" w:hAnsi="Times New Roman"/>
          <w:lang w:val="sr-Cyrl-BA"/>
        </w:rPr>
        <w:t>П</w:t>
      </w:r>
      <w:r w:rsidR="00B12850">
        <w:rPr>
          <w:rFonts w:ascii="Times New Roman" w:hAnsi="Times New Roman"/>
          <w:lang w:val="hr-HR"/>
        </w:rPr>
        <w:t xml:space="preserve"> </w:t>
      </w:r>
      <w:r w:rsidR="00C6214E">
        <w:rPr>
          <w:rFonts w:ascii="Times New Roman" w:hAnsi="Times New Roman"/>
          <w:lang w:val="hr-HR"/>
        </w:rPr>
        <w:t>БиХ</w:t>
      </w:r>
      <w:r w:rsidR="00B12850">
        <w:rPr>
          <w:rFonts w:ascii="Times New Roman" w:hAnsi="Times New Roman"/>
          <w:lang w:val="hr-HR"/>
        </w:rPr>
        <w:t xml:space="preserve"> </w:t>
      </w:r>
      <w:r w:rsidR="00C6214E">
        <w:rPr>
          <w:rFonts w:ascii="Times New Roman" w:hAnsi="Times New Roman"/>
          <w:lang w:val="hr-HR"/>
        </w:rPr>
        <w:t>МЉПИ</w:t>
      </w:r>
      <w:r w:rsidR="00B12850">
        <w:rPr>
          <w:rFonts w:ascii="Times New Roman" w:hAnsi="Times New Roman"/>
          <w:lang w:val="hr-HR"/>
        </w:rPr>
        <w:t xml:space="preserve"> </w:t>
      </w:r>
      <w:r w:rsidR="00C6214E">
        <w:rPr>
          <w:rFonts w:ascii="Times New Roman" w:hAnsi="Times New Roman"/>
          <w:lang w:val="hr-HR"/>
        </w:rPr>
        <w:t>БиХ</w:t>
      </w:r>
      <w:r w:rsidR="00E417CA" w:rsidRPr="006820FB">
        <w:rPr>
          <w:rFonts w:ascii="Times New Roman" w:hAnsi="Times New Roman"/>
          <w:lang w:val="hr-HR"/>
        </w:rPr>
        <w:t xml:space="preserve">, 2019. </w:t>
      </w:r>
      <w:r w:rsidR="00C6214E">
        <w:rPr>
          <w:rFonts w:ascii="Times New Roman" w:hAnsi="Times New Roman"/>
          <w:lang w:val="hr-HR"/>
        </w:rPr>
        <w:t>године</w:t>
      </w:r>
      <w:r w:rsidR="00E417CA" w:rsidRPr="006820FB">
        <w:rPr>
          <w:rFonts w:ascii="Times New Roman" w:hAnsi="Times New Roman"/>
          <w:lang w:val="hr-HR"/>
        </w:rPr>
        <w:t xml:space="preserve"> </w:t>
      </w:r>
      <w:r w:rsidR="00C6214E">
        <w:rPr>
          <w:rFonts w:ascii="Times New Roman" w:hAnsi="Times New Roman"/>
          <w:lang w:val="hr-HR"/>
        </w:rPr>
        <w:t>донијело</w:t>
      </w:r>
      <w:r w:rsidR="00E417CA" w:rsidRPr="006820FB">
        <w:rPr>
          <w:rFonts w:ascii="Times New Roman" w:hAnsi="Times New Roman"/>
          <w:lang w:val="hr-HR"/>
        </w:rPr>
        <w:t xml:space="preserve"> </w:t>
      </w:r>
      <w:r w:rsidR="00C6214E">
        <w:rPr>
          <w:rFonts w:ascii="Times New Roman" w:hAnsi="Times New Roman"/>
          <w:lang w:val="hr-HR"/>
        </w:rPr>
        <w:t>закључак</w:t>
      </w:r>
      <w:r w:rsidR="00E417CA" w:rsidRPr="006820FB">
        <w:rPr>
          <w:rFonts w:ascii="Times New Roman" w:hAnsi="Times New Roman"/>
          <w:lang w:val="hr-HR"/>
        </w:rPr>
        <w:t xml:space="preserve"> </w:t>
      </w:r>
      <w:r w:rsidR="00C6214E">
        <w:rPr>
          <w:rFonts w:ascii="Times New Roman" w:hAnsi="Times New Roman"/>
          <w:lang w:val="hr-HR"/>
        </w:rPr>
        <w:t>којим</w:t>
      </w:r>
      <w:r w:rsidR="00E417CA" w:rsidRPr="006820FB">
        <w:rPr>
          <w:rFonts w:ascii="Times New Roman" w:hAnsi="Times New Roman"/>
          <w:lang w:val="hr-HR"/>
        </w:rPr>
        <w:t xml:space="preserve"> </w:t>
      </w:r>
      <w:r w:rsidR="00C6214E">
        <w:rPr>
          <w:rFonts w:ascii="Times New Roman" w:hAnsi="Times New Roman"/>
          <w:lang w:val="hr-HR"/>
        </w:rPr>
        <w:t>се</w:t>
      </w:r>
      <w:r w:rsidR="00E417CA" w:rsidRPr="006820FB">
        <w:rPr>
          <w:rFonts w:ascii="Times New Roman" w:hAnsi="Times New Roman"/>
          <w:lang w:val="hr-HR"/>
        </w:rPr>
        <w:t xml:space="preserve"> </w:t>
      </w:r>
      <w:r w:rsidR="00C6214E">
        <w:rPr>
          <w:rFonts w:ascii="Times New Roman" w:hAnsi="Times New Roman"/>
          <w:lang w:val="hr-HR"/>
        </w:rPr>
        <w:t>задужују</w:t>
      </w:r>
      <w:r w:rsidR="00E417CA" w:rsidRPr="006820FB">
        <w:rPr>
          <w:rFonts w:ascii="Times New Roman" w:hAnsi="Times New Roman"/>
          <w:lang w:val="hr-HR"/>
        </w:rPr>
        <w:t xml:space="preserve"> </w:t>
      </w:r>
      <w:r w:rsidR="00C6214E">
        <w:rPr>
          <w:rFonts w:ascii="Times New Roman" w:hAnsi="Times New Roman"/>
          <w:lang w:val="hr-HR"/>
        </w:rPr>
        <w:t>сва</w:t>
      </w:r>
      <w:r w:rsidR="00E417CA" w:rsidRPr="006820FB">
        <w:rPr>
          <w:rFonts w:ascii="Times New Roman" w:hAnsi="Times New Roman"/>
          <w:lang w:val="hr-HR"/>
        </w:rPr>
        <w:t xml:space="preserve"> </w:t>
      </w:r>
      <w:r w:rsidR="00C6214E">
        <w:rPr>
          <w:rFonts w:ascii="Times New Roman" w:hAnsi="Times New Roman"/>
          <w:lang w:val="hr-HR"/>
        </w:rPr>
        <w:t>министарства</w:t>
      </w:r>
      <w:r w:rsidR="00E417CA" w:rsidRPr="006820FB">
        <w:rPr>
          <w:rFonts w:ascii="Times New Roman" w:hAnsi="Times New Roman"/>
          <w:lang w:val="hr-HR"/>
        </w:rPr>
        <w:t xml:space="preserve"> </w:t>
      </w:r>
      <w:r w:rsidR="00C6214E">
        <w:rPr>
          <w:rFonts w:ascii="Times New Roman" w:hAnsi="Times New Roman"/>
          <w:lang w:val="hr-HR"/>
        </w:rPr>
        <w:t>и</w:t>
      </w:r>
      <w:r w:rsidR="00E417CA" w:rsidRPr="006820FB">
        <w:rPr>
          <w:rFonts w:ascii="Times New Roman" w:hAnsi="Times New Roman"/>
          <w:lang w:val="hr-HR"/>
        </w:rPr>
        <w:t xml:space="preserve"> </w:t>
      </w:r>
      <w:r w:rsidR="00C6214E">
        <w:rPr>
          <w:rFonts w:ascii="Times New Roman" w:hAnsi="Times New Roman"/>
          <w:lang w:val="hr-HR"/>
        </w:rPr>
        <w:t>самосталне</w:t>
      </w:r>
      <w:r w:rsidR="00E417CA" w:rsidRPr="006820FB">
        <w:rPr>
          <w:rFonts w:ascii="Times New Roman" w:hAnsi="Times New Roman"/>
          <w:lang w:val="hr-HR"/>
        </w:rPr>
        <w:t xml:space="preserve"> </w:t>
      </w:r>
      <w:r w:rsidR="00C6214E">
        <w:rPr>
          <w:rFonts w:ascii="Times New Roman" w:hAnsi="Times New Roman"/>
          <w:lang w:val="hr-HR"/>
        </w:rPr>
        <w:t>управне</w:t>
      </w:r>
      <w:r w:rsidR="00E417CA" w:rsidRPr="006820FB">
        <w:rPr>
          <w:rFonts w:ascii="Times New Roman" w:hAnsi="Times New Roman"/>
          <w:lang w:val="hr-HR"/>
        </w:rPr>
        <w:t xml:space="preserve"> </w:t>
      </w:r>
      <w:r w:rsidR="00C6214E">
        <w:rPr>
          <w:rFonts w:ascii="Times New Roman" w:hAnsi="Times New Roman"/>
          <w:lang w:val="hr-HR"/>
        </w:rPr>
        <w:t>организације</w:t>
      </w:r>
      <w:r w:rsidR="00E417CA" w:rsidRPr="006820FB">
        <w:rPr>
          <w:rFonts w:ascii="Times New Roman" w:hAnsi="Times New Roman"/>
          <w:lang w:val="hr-HR"/>
        </w:rPr>
        <w:t xml:space="preserve"> </w:t>
      </w:r>
      <w:r w:rsidR="00C6214E">
        <w:rPr>
          <w:rFonts w:ascii="Times New Roman" w:hAnsi="Times New Roman"/>
          <w:lang w:val="hr-HR"/>
        </w:rPr>
        <w:t>да</w:t>
      </w:r>
      <w:r w:rsidR="00E417CA" w:rsidRPr="006820FB">
        <w:rPr>
          <w:rFonts w:ascii="Times New Roman" w:hAnsi="Times New Roman"/>
          <w:lang w:val="hr-HR"/>
        </w:rPr>
        <w:t xml:space="preserve"> </w:t>
      </w:r>
      <w:r w:rsidR="00C6214E">
        <w:rPr>
          <w:rFonts w:ascii="Times New Roman" w:hAnsi="Times New Roman"/>
          <w:lang w:val="hr-HR"/>
        </w:rPr>
        <w:t>именују</w:t>
      </w:r>
      <w:r w:rsidR="00E417CA" w:rsidRPr="006820FB">
        <w:rPr>
          <w:rFonts w:ascii="Times New Roman" w:hAnsi="Times New Roman"/>
          <w:lang w:val="hr-HR"/>
        </w:rPr>
        <w:t xml:space="preserve"> </w:t>
      </w:r>
      <w:r w:rsidR="00C6214E">
        <w:rPr>
          <w:rFonts w:ascii="Times New Roman" w:hAnsi="Times New Roman"/>
          <w:lang w:val="hr-HR"/>
        </w:rPr>
        <w:t>савјетнике</w:t>
      </w:r>
      <w:r w:rsidR="00E417CA" w:rsidRPr="006820FB">
        <w:rPr>
          <w:rFonts w:ascii="Times New Roman" w:hAnsi="Times New Roman"/>
          <w:lang w:val="hr-HR"/>
        </w:rPr>
        <w:t xml:space="preserve"> </w:t>
      </w:r>
      <w:r w:rsidR="00C6214E">
        <w:rPr>
          <w:rFonts w:ascii="Times New Roman" w:hAnsi="Times New Roman"/>
          <w:lang w:val="hr-HR"/>
        </w:rPr>
        <w:t>за</w:t>
      </w:r>
      <w:r w:rsidR="00E417CA" w:rsidRPr="006820FB">
        <w:rPr>
          <w:rFonts w:ascii="Times New Roman" w:hAnsi="Times New Roman"/>
          <w:lang w:val="hr-HR"/>
        </w:rPr>
        <w:t xml:space="preserve"> </w:t>
      </w:r>
      <w:r w:rsidR="00C6214E">
        <w:rPr>
          <w:rFonts w:ascii="Times New Roman" w:hAnsi="Times New Roman"/>
          <w:lang w:val="hr-HR"/>
        </w:rPr>
        <w:t>превенцију</w:t>
      </w:r>
      <w:r w:rsidR="00E417CA" w:rsidRPr="006820FB">
        <w:rPr>
          <w:rFonts w:ascii="Times New Roman" w:hAnsi="Times New Roman"/>
          <w:lang w:val="hr-HR"/>
        </w:rPr>
        <w:t xml:space="preserve"> </w:t>
      </w:r>
      <w:r w:rsidR="00C6214E">
        <w:rPr>
          <w:rFonts w:ascii="Times New Roman" w:hAnsi="Times New Roman"/>
          <w:lang w:val="hr-HR"/>
        </w:rPr>
        <w:t>узнемиравања</w:t>
      </w:r>
      <w:r w:rsidR="00E417CA" w:rsidRPr="006820FB">
        <w:rPr>
          <w:rFonts w:ascii="Times New Roman" w:hAnsi="Times New Roman"/>
          <w:lang w:val="hr-HR"/>
        </w:rPr>
        <w:t xml:space="preserve"> </w:t>
      </w:r>
      <w:r w:rsidR="00C6214E">
        <w:rPr>
          <w:rFonts w:ascii="Times New Roman" w:hAnsi="Times New Roman"/>
          <w:lang w:val="hr-HR"/>
        </w:rPr>
        <w:t>на</w:t>
      </w:r>
      <w:r w:rsidR="00E417CA" w:rsidRPr="006820FB">
        <w:rPr>
          <w:rFonts w:ascii="Times New Roman" w:hAnsi="Times New Roman"/>
          <w:lang w:val="hr-HR"/>
        </w:rPr>
        <w:t xml:space="preserve"> </w:t>
      </w:r>
      <w:r w:rsidR="00C6214E">
        <w:rPr>
          <w:rFonts w:ascii="Times New Roman" w:hAnsi="Times New Roman"/>
          <w:lang w:val="hr-HR"/>
        </w:rPr>
        <w:t>основу</w:t>
      </w:r>
      <w:r w:rsidR="00E417CA" w:rsidRPr="006820FB">
        <w:rPr>
          <w:rFonts w:ascii="Times New Roman" w:hAnsi="Times New Roman"/>
          <w:lang w:val="hr-HR"/>
        </w:rPr>
        <w:t xml:space="preserve"> </w:t>
      </w:r>
      <w:r w:rsidR="00C6214E">
        <w:rPr>
          <w:rFonts w:ascii="Times New Roman" w:hAnsi="Times New Roman"/>
          <w:lang w:val="hr-HR"/>
        </w:rPr>
        <w:t>пола</w:t>
      </w:r>
      <w:r w:rsidR="00E417CA" w:rsidRPr="006820FB">
        <w:rPr>
          <w:rFonts w:ascii="Times New Roman" w:hAnsi="Times New Roman"/>
          <w:lang w:val="hr-HR"/>
        </w:rPr>
        <w:t xml:space="preserve"> </w:t>
      </w:r>
      <w:r w:rsidR="00C6214E">
        <w:rPr>
          <w:rFonts w:ascii="Times New Roman" w:hAnsi="Times New Roman"/>
          <w:lang w:val="hr-HR"/>
        </w:rPr>
        <w:t>и</w:t>
      </w:r>
      <w:r w:rsidR="00E417CA" w:rsidRPr="006820FB">
        <w:rPr>
          <w:rFonts w:ascii="Times New Roman" w:hAnsi="Times New Roman"/>
          <w:lang w:val="hr-HR"/>
        </w:rPr>
        <w:t xml:space="preserve"> </w:t>
      </w:r>
      <w:r w:rsidR="00C6214E">
        <w:rPr>
          <w:rFonts w:ascii="Times New Roman" w:hAnsi="Times New Roman"/>
          <w:lang w:val="hr-HR"/>
        </w:rPr>
        <w:t>сексуалног</w:t>
      </w:r>
      <w:r w:rsidR="00E417CA" w:rsidRPr="006820FB">
        <w:rPr>
          <w:rFonts w:ascii="Times New Roman" w:hAnsi="Times New Roman"/>
          <w:lang w:val="hr-HR"/>
        </w:rPr>
        <w:t xml:space="preserve"> </w:t>
      </w:r>
      <w:r w:rsidR="00C6214E">
        <w:rPr>
          <w:rFonts w:ascii="Times New Roman" w:hAnsi="Times New Roman"/>
          <w:lang w:val="hr-HR"/>
        </w:rPr>
        <w:t>узнемиравања</w:t>
      </w:r>
      <w:r w:rsidR="00E417CA" w:rsidRPr="006820FB">
        <w:rPr>
          <w:rFonts w:ascii="Times New Roman" w:hAnsi="Times New Roman"/>
          <w:lang w:val="hr-HR"/>
        </w:rPr>
        <w:t xml:space="preserve"> </w:t>
      </w:r>
      <w:r w:rsidR="00C6214E">
        <w:rPr>
          <w:rFonts w:ascii="Times New Roman" w:hAnsi="Times New Roman"/>
          <w:lang w:val="hr-HR"/>
        </w:rPr>
        <w:t>на</w:t>
      </w:r>
      <w:r w:rsidR="00E417CA" w:rsidRPr="006820FB">
        <w:rPr>
          <w:rFonts w:ascii="Times New Roman" w:hAnsi="Times New Roman"/>
          <w:lang w:val="hr-HR"/>
        </w:rPr>
        <w:t xml:space="preserve"> </w:t>
      </w:r>
      <w:r w:rsidR="00C6214E">
        <w:rPr>
          <w:rFonts w:ascii="Times New Roman" w:hAnsi="Times New Roman"/>
          <w:lang w:val="hr-HR"/>
        </w:rPr>
        <w:t>радном</w:t>
      </w:r>
      <w:r w:rsidR="00E417CA" w:rsidRPr="006820FB">
        <w:rPr>
          <w:rFonts w:ascii="Times New Roman" w:hAnsi="Times New Roman"/>
          <w:lang w:val="hr-HR"/>
        </w:rPr>
        <w:t xml:space="preserve"> </w:t>
      </w:r>
      <w:r w:rsidR="00C6214E">
        <w:rPr>
          <w:rFonts w:ascii="Times New Roman" w:hAnsi="Times New Roman"/>
          <w:lang w:val="hr-HR"/>
        </w:rPr>
        <w:t>мјесту</w:t>
      </w:r>
      <w:r w:rsidR="00E417CA" w:rsidRPr="006820FB">
        <w:rPr>
          <w:rFonts w:ascii="Times New Roman" w:hAnsi="Times New Roman"/>
          <w:lang w:val="hr-HR"/>
        </w:rPr>
        <w:t xml:space="preserve">. </w:t>
      </w:r>
      <w:r w:rsidR="00C6214E">
        <w:rPr>
          <w:rFonts w:ascii="Times New Roman" w:hAnsi="Times New Roman"/>
          <w:lang w:val="hr-HR"/>
        </w:rPr>
        <w:t>Поред</w:t>
      </w:r>
      <w:r w:rsidR="00E417CA" w:rsidRPr="006820FB">
        <w:rPr>
          <w:rFonts w:ascii="Times New Roman" w:hAnsi="Times New Roman"/>
          <w:lang w:val="hr-HR"/>
        </w:rPr>
        <w:t xml:space="preserve"> </w:t>
      </w:r>
      <w:r w:rsidR="00C6214E">
        <w:rPr>
          <w:rFonts w:ascii="Times New Roman" w:hAnsi="Times New Roman"/>
          <w:lang w:val="hr-HR"/>
        </w:rPr>
        <w:t>тога</w:t>
      </w:r>
      <w:r w:rsidR="00E417CA" w:rsidRPr="006820FB">
        <w:rPr>
          <w:rFonts w:ascii="Times New Roman" w:hAnsi="Times New Roman"/>
          <w:lang w:val="hr-HR"/>
        </w:rPr>
        <w:t xml:space="preserve">, </w:t>
      </w:r>
      <w:r w:rsidR="00C6214E">
        <w:rPr>
          <w:rFonts w:ascii="Times New Roman" w:hAnsi="Times New Roman"/>
          <w:lang w:val="hr-HR"/>
        </w:rPr>
        <w:t>у</w:t>
      </w:r>
      <w:r w:rsidR="00E417CA" w:rsidRPr="006820FB">
        <w:rPr>
          <w:rFonts w:ascii="Times New Roman" w:hAnsi="Times New Roman"/>
          <w:lang w:val="hr-HR"/>
        </w:rPr>
        <w:t xml:space="preserve"> </w:t>
      </w:r>
      <w:r w:rsidR="00C6214E">
        <w:rPr>
          <w:rFonts w:ascii="Times New Roman" w:hAnsi="Times New Roman"/>
          <w:lang w:val="hr-HR"/>
        </w:rPr>
        <w:t>сврху</w:t>
      </w:r>
      <w:r w:rsidR="00E417CA" w:rsidRPr="006820FB">
        <w:rPr>
          <w:rFonts w:ascii="Times New Roman" w:hAnsi="Times New Roman"/>
          <w:lang w:val="hr-HR"/>
        </w:rPr>
        <w:t xml:space="preserve"> </w:t>
      </w:r>
      <w:r w:rsidR="00C6214E">
        <w:rPr>
          <w:rFonts w:ascii="Times New Roman" w:hAnsi="Times New Roman"/>
          <w:lang w:val="hr-HR"/>
        </w:rPr>
        <w:t>изградње</w:t>
      </w:r>
      <w:r w:rsidR="00E417CA" w:rsidRPr="006820FB">
        <w:rPr>
          <w:rFonts w:ascii="Times New Roman" w:hAnsi="Times New Roman"/>
          <w:lang w:val="hr-HR"/>
        </w:rPr>
        <w:t xml:space="preserve"> </w:t>
      </w:r>
      <w:r w:rsidR="00C6214E">
        <w:rPr>
          <w:rFonts w:ascii="Times New Roman" w:hAnsi="Times New Roman"/>
          <w:lang w:val="hr-HR"/>
        </w:rPr>
        <w:t>капацитета</w:t>
      </w:r>
      <w:r w:rsidR="00E417CA" w:rsidRPr="006820FB">
        <w:rPr>
          <w:rFonts w:ascii="Times New Roman" w:hAnsi="Times New Roman"/>
          <w:lang w:val="hr-HR"/>
        </w:rPr>
        <w:t xml:space="preserve"> </w:t>
      </w:r>
      <w:r w:rsidR="00C6214E">
        <w:rPr>
          <w:rFonts w:ascii="Times New Roman" w:hAnsi="Times New Roman"/>
          <w:lang w:val="hr-HR"/>
        </w:rPr>
        <w:t>и</w:t>
      </w:r>
      <w:r w:rsidR="00E417CA" w:rsidRPr="006820FB">
        <w:rPr>
          <w:rFonts w:ascii="Times New Roman" w:hAnsi="Times New Roman"/>
          <w:lang w:val="hr-HR"/>
        </w:rPr>
        <w:t xml:space="preserve"> </w:t>
      </w:r>
      <w:r w:rsidR="00C6214E">
        <w:rPr>
          <w:rFonts w:ascii="Times New Roman" w:hAnsi="Times New Roman"/>
          <w:lang w:val="hr-HR"/>
        </w:rPr>
        <w:t>разв</w:t>
      </w:r>
      <w:r>
        <w:rPr>
          <w:rFonts w:ascii="Times New Roman" w:hAnsi="Times New Roman"/>
          <w:lang w:val="sr-Cyrl-BA"/>
        </w:rPr>
        <w:t>оја</w:t>
      </w:r>
      <w:r w:rsidR="00E417CA" w:rsidRPr="006820FB">
        <w:rPr>
          <w:rFonts w:ascii="Times New Roman" w:hAnsi="Times New Roman"/>
          <w:lang w:val="hr-HR"/>
        </w:rPr>
        <w:t xml:space="preserve"> </w:t>
      </w:r>
      <w:r w:rsidR="00C6214E">
        <w:rPr>
          <w:rFonts w:ascii="Times New Roman" w:hAnsi="Times New Roman"/>
          <w:lang w:val="hr-HR"/>
        </w:rPr>
        <w:t>свијести</w:t>
      </w:r>
      <w:r w:rsidR="00E417CA" w:rsidRPr="006820FB">
        <w:rPr>
          <w:rFonts w:ascii="Times New Roman" w:hAnsi="Times New Roman"/>
          <w:lang w:val="hr-HR"/>
        </w:rPr>
        <w:t xml:space="preserve"> </w:t>
      </w:r>
      <w:r w:rsidR="00C6214E">
        <w:rPr>
          <w:rFonts w:ascii="Times New Roman" w:hAnsi="Times New Roman"/>
          <w:lang w:val="hr-HR"/>
        </w:rPr>
        <w:t>о</w:t>
      </w:r>
      <w:r w:rsidR="00E417CA" w:rsidRPr="006820FB">
        <w:rPr>
          <w:rFonts w:ascii="Times New Roman" w:hAnsi="Times New Roman"/>
          <w:lang w:val="hr-HR"/>
        </w:rPr>
        <w:t xml:space="preserve"> </w:t>
      </w:r>
      <w:r w:rsidR="00C6214E">
        <w:rPr>
          <w:rFonts w:ascii="Times New Roman" w:hAnsi="Times New Roman"/>
          <w:lang w:val="hr-HR"/>
        </w:rPr>
        <w:t>овој</w:t>
      </w:r>
      <w:r w:rsidR="00E417CA" w:rsidRPr="006820FB">
        <w:rPr>
          <w:rFonts w:ascii="Times New Roman" w:hAnsi="Times New Roman"/>
          <w:lang w:val="hr-HR"/>
        </w:rPr>
        <w:t xml:space="preserve"> </w:t>
      </w:r>
      <w:r w:rsidR="00C6214E">
        <w:rPr>
          <w:rFonts w:ascii="Times New Roman" w:hAnsi="Times New Roman"/>
          <w:lang w:val="hr-HR"/>
        </w:rPr>
        <w:t>теми</w:t>
      </w:r>
      <w:r w:rsidR="00E417CA" w:rsidRPr="006820FB">
        <w:rPr>
          <w:rFonts w:ascii="Times New Roman" w:hAnsi="Times New Roman"/>
          <w:lang w:val="hr-HR"/>
        </w:rPr>
        <w:t>,</w:t>
      </w:r>
      <w:r w:rsidR="00C61238" w:rsidRPr="006820FB">
        <w:rPr>
          <w:rFonts w:ascii="Times New Roman" w:hAnsi="Times New Roman"/>
          <w:lang w:val="hr-HR"/>
        </w:rPr>
        <w:t xml:space="preserve"> </w:t>
      </w:r>
      <w:r w:rsidR="00C6214E">
        <w:rPr>
          <w:rFonts w:ascii="Times New Roman" w:hAnsi="Times New Roman"/>
          <w:lang w:val="hr-HR"/>
        </w:rPr>
        <w:t>АР</w:t>
      </w:r>
      <w:r>
        <w:rPr>
          <w:rFonts w:ascii="Times New Roman" w:hAnsi="Times New Roman"/>
          <w:lang w:val="sr-Cyrl-BA"/>
        </w:rPr>
        <w:t>П</w:t>
      </w:r>
      <w:r w:rsidR="00B12850">
        <w:rPr>
          <w:rFonts w:ascii="Times New Roman" w:hAnsi="Times New Roman"/>
          <w:lang w:val="hr-HR"/>
        </w:rPr>
        <w:t xml:space="preserve"> </w:t>
      </w:r>
      <w:r w:rsidR="00C6214E">
        <w:rPr>
          <w:rFonts w:ascii="Times New Roman" w:hAnsi="Times New Roman"/>
          <w:lang w:val="hr-HR"/>
        </w:rPr>
        <w:t>БиХ</w:t>
      </w:r>
      <w:r w:rsidR="00B12850">
        <w:rPr>
          <w:rFonts w:ascii="Times New Roman" w:hAnsi="Times New Roman"/>
          <w:lang w:val="hr-HR"/>
        </w:rPr>
        <w:t xml:space="preserve"> </w:t>
      </w:r>
      <w:r w:rsidR="00C6214E">
        <w:rPr>
          <w:rFonts w:ascii="Times New Roman" w:hAnsi="Times New Roman"/>
          <w:lang w:val="hr-HR"/>
        </w:rPr>
        <w:t>МЉПИ</w:t>
      </w:r>
      <w:r w:rsidR="00B12850">
        <w:rPr>
          <w:rFonts w:ascii="Times New Roman" w:hAnsi="Times New Roman"/>
          <w:lang w:val="hr-HR"/>
        </w:rPr>
        <w:t xml:space="preserve"> </w:t>
      </w:r>
      <w:r w:rsidR="00C6214E">
        <w:rPr>
          <w:rFonts w:ascii="Times New Roman" w:hAnsi="Times New Roman"/>
          <w:lang w:val="hr-HR"/>
        </w:rPr>
        <w:t>БиХ</w:t>
      </w:r>
      <w:r w:rsidR="00C61238" w:rsidRPr="006820FB">
        <w:rPr>
          <w:rFonts w:ascii="Times New Roman" w:hAnsi="Times New Roman"/>
          <w:lang w:val="hr-HR"/>
        </w:rPr>
        <w:t xml:space="preserve"> </w:t>
      </w:r>
      <w:r>
        <w:rPr>
          <w:rFonts w:ascii="Times New Roman" w:hAnsi="Times New Roman"/>
          <w:lang w:val="hr-HR"/>
        </w:rPr>
        <w:t xml:space="preserve">је </w:t>
      </w:r>
      <w:r w:rsidR="00C6214E">
        <w:rPr>
          <w:rFonts w:ascii="Times New Roman" w:hAnsi="Times New Roman"/>
          <w:lang w:val="hr-HR"/>
        </w:rPr>
        <w:t>израдила</w:t>
      </w:r>
      <w:r w:rsidR="00C61238" w:rsidRPr="006820FB">
        <w:rPr>
          <w:rFonts w:ascii="Times New Roman" w:hAnsi="Times New Roman"/>
          <w:lang w:val="hr-HR"/>
        </w:rPr>
        <w:t xml:space="preserve"> </w:t>
      </w:r>
      <w:r w:rsidR="00C6214E">
        <w:rPr>
          <w:rFonts w:ascii="Times New Roman" w:hAnsi="Times New Roman"/>
          <w:lang w:val="hr-HR"/>
        </w:rPr>
        <w:t>вебинар</w:t>
      </w:r>
      <w:r w:rsidR="00F84C1A" w:rsidRPr="006820FB">
        <w:rPr>
          <w:rFonts w:ascii="Times New Roman" w:hAnsi="Times New Roman"/>
          <w:lang w:val="hr-HR"/>
        </w:rPr>
        <w:t xml:space="preserve"> </w:t>
      </w:r>
      <w:r w:rsidR="00C6214E">
        <w:rPr>
          <w:rFonts w:ascii="Times New Roman" w:hAnsi="Times New Roman"/>
          <w:lang w:val="hr-HR"/>
        </w:rPr>
        <w:t>којим</w:t>
      </w:r>
      <w:r w:rsidR="00F84C1A" w:rsidRPr="006820FB">
        <w:rPr>
          <w:rFonts w:ascii="Times New Roman" w:hAnsi="Times New Roman"/>
          <w:lang w:val="hr-HR"/>
        </w:rPr>
        <w:t xml:space="preserve"> </w:t>
      </w:r>
      <w:r w:rsidR="00C6214E">
        <w:rPr>
          <w:rFonts w:ascii="Times New Roman" w:hAnsi="Times New Roman"/>
          <w:lang w:val="hr-HR"/>
        </w:rPr>
        <w:t>се</w:t>
      </w:r>
      <w:r w:rsidR="008C50A1" w:rsidRPr="006820FB">
        <w:rPr>
          <w:rFonts w:ascii="Times New Roman" w:hAnsi="Times New Roman"/>
          <w:lang w:val="hr-HR"/>
        </w:rPr>
        <w:t xml:space="preserve">, </w:t>
      </w:r>
      <w:r w:rsidR="00C6214E">
        <w:rPr>
          <w:rFonts w:ascii="Times New Roman" w:hAnsi="Times New Roman"/>
          <w:lang w:val="hr-HR"/>
        </w:rPr>
        <w:t>именованим</w:t>
      </w:r>
      <w:r w:rsidR="00F84C1A" w:rsidRPr="006820FB">
        <w:rPr>
          <w:rFonts w:ascii="Times New Roman" w:hAnsi="Times New Roman"/>
          <w:lang w:val="hr-HR"/>
        </w:rPr>
        <w:t xml:space="preserve"> </w:t>
      </w:r>
      <w:r w:rsidR="00C6214E">
        <w:rPr>
          <w:rFonts w:ascii="Times New Roman" w:hAnsi="Times New Roman"/>
          <w:lang w:val="hr-HR"/>
        </w:rPr>
        <w:t>савјетницима</w:t>
      </w:r>
      <w:r w:rsidR="00E417CA" w:rsidRPr="006820FB">
        <w:rPr>
          <w:rFonts w:ascii="Times New Roman" w:hAnsi="Times New Roman"/>
          <w:lang w:val="hr-HR"/>
        </w:rPr>
        <w:t xml:space="preserve"> </w:t>
      </w:r>
      <w:r w:rsidR="00C6214E">
        <w:rPr>
          <w:rFonts w:ascii="Times New Roman" w:hAnsi="Times New Roman"/>
          <w:lang w:val="hr-HR"/>
        </w:rPr>
        <w:t>као</w:t>
      </w:r>
      <w:r w:rsidR="00E417CA" w:rsidRPr="006820FB">
        <w:rPr>
          <w:rFonts w:ascii="Times New Roman" w:hAnsi="Times New Roman"/>
          <w:lang w:val="hr-HR"/>
        </w:rPr>
        <w:t xml:space="preserve"> </w:t>
      </w:r>
      <w:r w:rsidR="00C6214E">
        <w:rPr>
          <w:rFonts w:ascii="Times New Roman" w:hAnsi="Times New Roman"/>
          <w:lang w:val="hr-HR"/>
        </w:rPr>
        <w:t>и</w:t>
      </w:r>
      <w:r w:rsidR="00E417CA" w:rsidRPr="006820FB">
        <w:rPr>
          <w:rFonts w:ascii="Times New Roman" w:hAnsi="Times New Roman"/>
          <w:lang w:val="hr-HR"/>
        </w:rPr>
        <w:t xml:space="preserve"> </w:t>
      </w:r>
      <w:r w:rsidR="00C6214E">
        <w:rPr>
          <w:rFonts w:ascii="Times New Roman" w:hAnsi="Times New Roman"/>
          <w:lang w:val="hr-HR"/>
        </w:rPr>
        <w:t>осталим</w:t>
      </w:r>
      <w:r w:rsidR="00190B68" w:rsidRPr="006820FB">
        <w:rPr>
          <w:rFonts w:ascii="Times New Roman" w:hAnsi="Times New Roman"/>
          <w:lang w:val="hr-HR"/>
        </w:rPr>
        <w:t xml:space="preserve"> </w:t>
      </w:r>
      <w:r w:rsidR="00C6214E">
        <w:rPr>
          <w:rFonts w:ascii="Times New Roman" w:hAnsi="Times New Roman"/>
          <w:lang w:val="hr-HR"/>
        </w:rPr>
        <w:t>државним</w:t>
      </w:r>
      <w:r w:rsidR="00190B68" w:rsidRPr="006820FB">
        <w:rPr>
          <w:rFonts w:ascii="Times New Roman" w:hAnsi="Times New Roman"/>
          <w:lang w:val="hr-HR"/>
        </w:rPr>
        <w:t xml:space="preserve"> </w:t>
      </w:r>
      <w:r w:rsidR="00C6214E">
        <w:rPr>
          <w:rFonts w:ascii="Times New Roman" w:hAnsi="Times New Roman"/>
          <w:lang w:val="hr-HR"/>
        </w:rPr>
        <w:t>службеницима</w:t>
      </w:r>
      <w:r w:rsidR="00E417CA" w:rsidRPr="006820FB">
        <w:rPr>
          <w:rFonts w:ascii="Times New Roman" w:hAnsi="Times New Roman"/>
          <w:lang w:val="hr-HR"/>
        </w:rPr>
        <w:t xml:space="preserve"> </w:t>
      </w:r>
      <w:r w:rsidR="00C6214E">
        <w:rPr>
          <w:rFonts w:ascii="Times New Roman" w:hAnsi="Times New Roman"/>
          <w:lang w:val="hr-HR"/>
        </w:rPr>
        <w:t>и</w:t>
      </w:r>
      <w:r w:rsidR="00E417CA" w:rsidRPr="006820FB">
        <w:rPr>
          <w:rFonts w:ascii="Times New Roman" w:hAnsi="Times New Roman"/>
          <w:lang w:val="hr-HR"/>
        </w:rPr>
        <w:t xml:space="preserve"> </w:t>
      </w:r>
      <w:r w:rsidR="00C6214E">
        <w:rPr>
          <w:rFonts w:ascii="Times New Roman" w:hAnsi="Times New Roman"/>
          <w:lang w:val="hr-HR"/>
        </w:rPr>
        <w:t>широј</w:t>
      </w:r>
      <w:r w:rsidR="00E417CA" w:rsidRPr="006820FB">
        <w:rPr>
          <w:rFonts w:ascii="Times New Roman" w:hAnsi="Times New Roman"/>
          <w:lang w:val="hr-HR"/>
        </w:rPr>
        <w:t xml:space="preserve"> </w:t>
      </w:r>
      <w:r w:rsidR="00C6214E">
        <w:rPr>
          <w:rFonts w:ascii="Times New Roman" w:hAnsi="Times New Roman"/>
          <w:lang w:val="hr-HR"/>
        </w:rPr>
        <w:t>јавности</w:t>
      </w:r>
      <w:r w:rsidR="00F84C1A" w:rsidRPr="006820FB">
        <w:rPr>
          <w:rFonts w:ascii="Times New Roman" w:hAnsi="Times New Roman"/>
          <w:lang w:val="hr-HR"/>
        </w:rPr>
        <w:t>,</w:t>
      </w:r>
      <w:r w:rsidR="00E417CA" w:rsidRPr="006820FB">
        <w:rPr>
          <w:rFonts w:ascii="Times New Roman" w:hAnsi="Times New Roman"/>
          <w:lang w:val="hr-HR"/>
        </w:rPr>
        <w:t xml:space="preserve"> </w:t>
      </w:r>
      <w:r w:rsidR="00C6214E">
        <w:rPr>
          <w:rFonts w:ascii="Times New Roman" w:hAnsi="Times New Roman"/>
          <w:lang w:val="hr-HR"/>
        </w:rPr>
        <w:t>преносе</w:t>
      </w:r>
      <w:r w:rsidR="00E417CA" w:rsidRPr="006820FB">
        <w:rPr>
          <w:rFonts w:ascii="Times New Roman" w:hAnsi="Times New Roman"/>
          <w:lang w:val="hr-HR"/>
        </w:rPr>
        <w:t xml:space="preserve"> </w:t>
      </w:r>
      <w:r w:rsidR="00C6214E">
        <w:rPr>
          <w:rFonts w:ascii="Times New Roman" w:hAnsi="Times New Roman"/>
          <w:lang w:val="hr-HR"/>
        </w:rPr>
        <w:t>знања</w:t>
      </w:r>
      <w:r w:rsidR="00E417CA" w:rsidRPr="006820FB">
        <w:rPr>
          <w:rFonts w:ascii="Times New Roman" w:hAnsi="Times New Roman"/>
          <w:lang w:val="hr-HR"/>
        </w:rPr>
        <w:t xml:space="preserve"> </w:t>
      </w:r>
      <w:r w:rsidR="00C6214E">
        <w:rPr>
          <w:rFonts w:ascii="Times New Roman" w:hAnsi="Times New Roman"/>
          <w:lang w:val="hr-HR"/>
        </w:rPr>
        <w:t>из</w:t>
      </w:r>
      <w:r w:rsidR="00E417CA" w:rsidRPr="006820FB">
        <w:rPr>
          <w:rFonts w:ascii="Times New Roman" w:hAnsi="Times New Roman"/>
          <w:lang w:val="hr-HR"/>
        </w:rPr>
        <w:t xml:space="preserve"> </w:t>
      </w:r>
      <w:r w:rsidR="00C6214E">
        <w:rPr>
          <w:rFonts w:ascii="Times New Roman" w:hAnsi="Times New Roman"/>
          <w:lang w:val="hr-HR"/>
        </w:rPr>
        <w:t>ове</w:t>
      </w:r>
      <w:r w:rsidR="00E417CA" w:rsidRPr="006820FB">
        <w:rPr>
          <w:rFonts w:ascii="Times New Roman" w:hAnsi="Times New Roman"/>
          <w:lang w:val="hr-HR"/>
        </w:rPr>
        <w:t xml:space="preserve"> </w:t>
      </w:r>
      <w:r w:rsidR="00C6214E">
        <w:rPr>
          <w:rFonts w:ascii="Times New Roman" w:hAnsi="Times New Roman"/>
          <w:lang w:val="hr-HR"/>
        </w:rPr>
        <w:t>области</w:t>
      </w:r>
      <w:r w:rsidR="00E417CA" w:rsidRPr="006820FB">
        <w:rPr>
          <w:rFonts w:ascii="Times New Roman" w:hAnsi="Times New Roman"/>
          <w:lang w:val="hr-HR"/>
        </w:rPr>
        <w:t xml:space="preserve">. </w:t>
      </w:r>
    </w:p>
    <w:p w:rsidR="001C5E1D" w:rsidRPr="00295637" w:rsidRDefault="001C5E1D" w:rsidP="0086268D">
      <w:pPr>
        <w:jc w:val="both"/>
        <w:rPr>
          <w:rFonts w:ascii="Times New Roman" w:hAnsi="Times New Roman"/>
          <w:lang w:val="en-US"/>
        </w:rPr>
      </w:pPr>
    </w:p>
    <w:p w:rsidR="001C5E1D" w:rsidRPr="00295637" w:rsidRDefault="00C6214E" w:rsidP="0086268D">
      <w:pPr>
        <w:pStyle w:val="Tekst"/>
        <w:spacing w:before="0"/>
        <w:rPr>
          <w:rFonts w:ascii="Times New Roman" w:hAnsi="Times New Roman"/>
          <w:sz w:val="24"/>
          <w:lang w:val="bs-Latn-BA"/>
        </w:rPr>
      </w:pPr>
      <w:r>
        <w:rPr>
          <w:rFonts w:ascii="Times New Roman" w:hAnsi="Times New Roman"/>
          <w:sz w:val="24"/>
          <w:lang w:val="bs-Latn-BA"/>
        </w:rPr>
        <w:t>Као</w:t>
      </w:r>
      <w:r w:rsidR="001C5E1D" w:rsidRPr="00295637">
        <w:rPr>
          <w:rFonts w:ascii="Times New Roman" w:hAnsi="Times New Roman"/>
          <w:sz w:val="24"/>
          <w:lang w:val="bs-Latn-BA"/>
        </w:rPr>
        <w:t xml:space="preserve"> </w:t>
      </w:r>
      <w:r>
        <w:rPr>
          <w:rFonts w:ascii="Times New Roman" w:hAnsi="Times New Roman"/>
          <w:sz w:val="24"/>
          <w:lang w:val="bs-Latn-BA"/>
        </w:rPr>
        <w:t>резултат</w:t>
      </w:r>
      <w:r w:rsidR="001C5E1D" w:rsidRPr="00295637">
        <w:rPr>
          <w:rFonts w:ascii="Times New Roman" w:hAnsi="Times New Roman"/>
          <w:sz w:val="24"/>
          <w:lang w:val="bs-Latn-BA"/>
        </w:rPr>
        <w:t xml:space="preserve"> </w:t>
      </w:r>
      <w:r>
        <w:rPr>
          <w:rFonts w:ascii="Times New Roman" w:hAnsi="Times New Roman"/>
          <w:sz w:val="24"/>
          <w:lang w:val="bs-Latn-BA"/>
        </w:rPr>
        <w:t>едука</w:t>
      </w:r>
      <w:r w:rsidR="0082548C">
        <w:rPr>
          <w:rFonts w:ascii="Times New Roman" w:hAnsi="Times New Roman"/>
          <w:sz w:val="24"/>
          <w:lang w:val="sr-Cyrl-BA"/>
        </w:rPr>
        <w:t>тивних</w:t>
      </w:r>
      <w:r w:rsidR="001C5E1D" w:rsidRPr="00295637">
        <w:rPr>
          <w:rFonts w:ascii="Times New Roman" w:hAnsi="Times New Roman"/>
          <w:sz w:val="24"/>
          <w:lang w:val="bs-Latn-BA"/>
        </w:rPr>
        <w:t xml:space="preserve"> </w:t>
      </w:r>
      <w:r>
        <w:rPr>
          <w:rFonts w:ascii="Times New Roman" w:hAnsi="Times New Roman"/>
          <w:sz w:val="24"/>
          <w:lang w:val="bs-Latn-BA"/>
        </w:rPr>
        <w:t>и</w:t>
      </w:r>
      <w:r w:rsidR="001C5E1D" w:rsidRPr="00295637">
        <w:rPr>
          <w:rFonts w:ascii="Times New Roman" w:hAnsi="Times New Roman"/>
          <w:sz w:val="24"/>
          <w:lang w:val="bs-Latn-BA"/>
        </w:rPr>
        <w:t xml:space="preserve"> </w:t>
      </w:r>
      <w:r>
        <w:rPr>
          <w:rFonts w:ascii="Times New Roman" w:hAnsi="Times New Roman"/>
          <w:sz w:val="24"/>
          <w:lang w:val="bs-Latn-BA"/>
        </w:rPr>
        <w:t>промотивних</w:t>
      </w:r>
      <w:r w:rsidR="001C5E1D" w:rsidRPr="00295637">
        <w:rPr>
          <w:rFonts w:ascii="Times New Roman" w:hAnsi="Times New Roman"/>
          <w:sz w:val="24"/>
          <w:lang w:val="bs-Latn-BA"/>
        </w:rPr>
        <w:t xml:space="preserve"> </w:t>
      </w:r>
      <w:r>
        <w:rPr>
          <w:rFonts w:ascii="Times New Roman" w:hAnsi="Times New Roman"/>
          <w:sz w:val="24"/>
          <w:lang w:val="bs-Latn-BA"/>
        </w:rPr>
        <w:t>активности</w:t>
      </w:r>
      <w:r w:rsidR="001C5E1D" w:rsidRPr="00295637">
        <w:rPr>
          <w:rFonts w:ascii="Times New Roman" w:hAnsi="Times New Roman"/>
          <w:sz w:val="24"/>
          <w:lang w:val="bs-Latn-BA"/>
        </w:rPr>
        <w:t xml:space="preserve"> </w:t>
      </w:r>
      <w:r>
        <w:rPr>
          <w:rFonts w:ascii="Times New Roman" w:hAnsi="Times New Roman"/>
          <w:sz w:val="24"/>
          <w:lang w:val="bs-Latn-BA"/>
        </w:rPr>
        <w:t>за</w:t>
      </w:r>
      <w:r w:rsidR="001C5E1D" w:rsidRPr="00295637">
        <w:rPr>
          <w:rFonts w:ascii="Times New Roman" w:hAnsi="Times New Roman"/>
          <w:sz w:val="24"/>
          <w:lang w:val="bs-Latn-BA"/>
        </w:rPr>
        <w:t xml:space="preserve"> </w:t>
      </w:r>
      <w:r>
        <w:rPr>
          <w:rFonts w:ascii="Times New Roman" w:hAnsi="Times New Roman"/>
          <w:sz w:val="24"/>
          <w:lang w:val="bs-Latn-BA"/>
        </w:rPr>
        <w:t>подизање</w:t>
      </w:r>
      <w:r w:rsidR="001C5E1D" w:rsidRPr="00295637">
        <w:rPr>
          <w:rFonts w:ascii="Times New Roman" w:hAnsi="Times New Roman"/>
          <w:sz w:val="24"/>
          <w:lang w:val="bs-Latn-BA"/>
        </w:rPr>
        <w:t xml:space="preserve"> </w:t>
      </w:r>
      <w:r>
        <w:rPr>
          <w:rFonts w:ascii="Times New Roman" w:hAnsi="Times New Roman"/>
          <w:sz w:val="24"/>
          <w:lang w:val="bs-Latn-BA"/>
        </w:rPr>
        <w:t>свијести</w:t>
      </w:r>
      <w:r w:rsidR="001C5E1D" w:rsidRPr="00295637">
        <w:rPr>
          <w:rFonts w:ascii="Times New Roman" w:hAnsi="Times New Roman"/>
          <w:sz w:val="24"/>
          <w:lang w:val="bs-Latn-BA"/>
        </w:rPr>
        <w:t xml:space="preserve"> </w:t>
      </w:r>
      <w:r>
        <w:rPr>
          <w:rFonts w:ascii="Times New Roman" w:hAnsi="Times New Roman"/>
          <w:sz w:val="24"/>
          <w:lang w:val="bs-Latn-BA"/>
        </w:rPr>
        <w:t>институција</w:t>
      </w:r>
      <w:r w:rsidR="001C5E1D" w:rsidRPr="00295637">
        <w:rPr>
          <w:rFonts w:ascii="Times New Roman" w:hAnsi="Times New Roman"/>
          <w:sz w:val="24"/>
          <w:lang w:val="bs-Latn-BA"/>
        </w:rPr>
        <w:t xml:space="preserve"> </w:t>
      </w:r>
      <w:r>
        <w:rPr>
          <w:rFonts w:ascii="Times New Roman" w:hAnsi="Times New Roman"/>
          <w:sz w:val="24"/>
          <w:lang w:val="bs-Latn-BA"/>
        </w:rPr>
        <w:t>о</w:t>
      </w:r>
      <w:r w:rsidR="001C5E1D" w:rsidRPr="00295637">
        <w:rPr>
          <w:rFonts w:ascii="Times New Roman" w:hAnsi="Times New Roman"/>
          <w:sz w:val="24"/>
          <w:lang w:val="bs-Latn-BA"/>
        </w:rPr>
        <w:t xml:space="preserve"> </w:t>
      </w:r>
      <w:r>
        <w:rPr>
          <w:rFonts w:ascii="Times New Roman" w:hAnsi="Times New Roman"/>
          <w:sz w:val="24"/>
          <w:lang w:val="bs-Latn-BA"/>
        </w:rPr>
        <w:t>важности</w:t>
      </w:r>
      <w:r w:rsidR="001C5E1D" w:rsidRPr="00295637">
        <w:rPr>
          <w:rFonts w:ascii="Times New Roman" w:hAnsi="Times New Roman"/>
          <w:sz w:val="24"/>
          <w:lang w:val="bs-Latn-BA"/>
        </w:rPr>
        <w:t xml:space="preserve"> </w:t>
      </w:r>
      <w:r>
        <w:rPr>
          <w:rFonts w:ascii="Times New Roman" w:hAnsi="Times New Roman"/>
          <w:sz w:val="24"/>
          <w:lang w:val="bs-Latn-BA"/>
        </w:rPr>
        <w:t>доношења</w:t>
      </w:r>
      <w:r w:rsidR="001C5E1D" w:rsidRPr="00295637">
        <w:rPr>
          <w:rFonts w:ascii="Times New Roman" w:hAnsi="Times New Roman"/>
          <w:sz w:val="24"/>
          <w:lang w:val="bs-Latn-BA"/>
        </w:rPr>
        <w:t xml:space="preserve"> </w:t>
      </w:r>
      <w:r>
        <w:rPr>
          <w:rFonts w:ascii="Times New Roman" w:hAnsi="Times New Roman"/>
          <w:sz w:val="24"/>
          <w:lang w:val="bs-Latn-BA"/>
        </w:rPr>
        <w:t>родно</w:t>
      </w:r>
      <w:r w:rsidR="001C5E1D" w:rsidRPr="00295637">
        <w:rPr>
          <w:rFonts w:ascii="Times New Roman" w:hAnsi="Times New Roman"/>
          <w:sz w:val="24"/>
          <w:lang w:val="bs-Latn-BA"/>
        </w:rPr>
        <w:t xml:space="preserve"> </w:t>
      </w:r>
      <w:r>
        <w:rPr>
          <w:rFonts w:ascii="Times New Roman" w:hAnsi="Times New Roman"/>
          <w:sz w:val="24"/>
          <w:lang w:val="bs-Latn-BA"/>
        </w:rPr>
        <w:t>осјетљивих</w:t>
      </w:r>
      <w:r w:rsidR="001C5E1D" w:rsidRPr="00295637">
        <w:rPr>
          <w:rFonts w:ascii="Times New Roman" w:hAnsi="Times New Roman"/>
          <w:sz w:val="24"/>
          <w:lang w:val="bs-Latn-BA"/>
        </w:rPr>
        <w:t xml:space="preserve"> </w:t>
      </w:r>
      <w:r>
        <w:rPr>
          <w:rFonts w:ascii="Times New Roman" w:hAnsi="Times New Roman"/>
          <w:sz w:val="24"/>
          <w:lang w:val="bs-Latn-BA"/>
        </w:rPr>
        <w:t>полит</w:t>
      </w:r>
      <w:r w:rsidR="008A65D0">
        <w:rPr>
          <w:rFonts w:ascii="Times New Roman" w:hAnsi="Times New Roman"/>
          <w:sz w:val="24"/>
          <w:lang w:val="bs-Cyrl-BA"/>
        </w:rPr>
        <w:t>и</w:t>
      </w:r>
      <w:r>
        <w:rPr>
          <w:rFonts w:ascii="Times New Roman" w:hAnsi="Times New Roman"/>
          <w:sz w:val="24"/>
          <w:lang w:val="bs-Latn-BA"/>
        </w:rPr>
        <w:t>ка</w:t>
      </w:r>
      <w:r w:rsidR="001C5E1D" w:rsidRPr="00295637">
        <w:rPr>
          <w:rFonts w:ascii="Times New Roman" w:hAnsi="Times New Roman"/>
          <w:sz w:val="24"/>
          <w:lang w:val="bs-Latn-BA"/>
        </w:rPr>
        <w:t xml:space="preserve">, </w:t>
      </w:r>
      <w:r>
        <w:rPr>
          <w:rFonts w:ascii="Times New Roman" w:hAnsi="Times New Roman"/>
          <w:sz w:val="24"/>
          <w:lang w:val="bs-Latn-BA"/>
        </w:rPr>
        <w:t>успостављени</w:t>
      </w:r>
      <w:r w:rsidR="001C5E1D" w:rsidRPr="00295637">
        <w:rPr>
          <w:rFonts w:ascii="Times New Roman" w:hAnsi="Times New Roman"/>
          <w:sz w:val="24"/>
          <w:lang w:val="bs-Latn-BA"/>
        </w:rPr>
        <w:t xml:space="preserve"> </w:t>
      </w:r>
      <w:r>
        <w:rPr>
          <w:rFonts w:ascii="Times New Roman" w:hAnsi="Times New Roman"/>
          <w:sz w:val="24"/>
          <w:lang w:val="bs-Latn-BA"/>
        </w:rPr>
        <w:t>механизам</w:t>
      </w:r>
      <w:r w:rsidR="001C5E1D" w:rsidRPr="00295637">
        <w:rPr>
          <w:rFonts w:ascii="Times New Roman" w:hAnsi="Times New Roman"/>
          <w:sz w:val="24"/>
          <w:lang w:val="bs-Latn-BA"/>
        </w:rPr>
        <w:t xml:space="preserve"> </w:t>
      </w:r>
      <w:r>
        <w:rPr>
          <w:rFonts w:ascii="Times New Roman" w:hAnsi="Times New Roman"/>
          <w:sz w:val="24"/>
          <w:lang w:val="bs-Latn-BA"/>
        </w:rPr>
        <w:t>за</w:t>
      </w:r>
      <w:r w:rsidR="001C5E1D" w:rsidRPr="00295637">
        <w:rPr>
          <w:rFonts w:ascii="Times New Roman" w:hAnsi="Times New Roman"/>
          <w:sz w:val="24"/>
          <w:lang w:val="bs-Latn-BA"/>
        </w:rPr>
        <w:t xml:space="preserve"> </w:t>
      </w:r>
      <w:r>
        <w:rPr>
          <w:rFonts w:ascii="Times New Roman" w:hAnsi="Times New Roman"/>
          <w:sz w:val="24"/>
          <w:lang w:val="bs-Latn-BA"/>
        </w:rPr>
        <w:t>превенцију</w:t>
      </w:r>
      <w:r w:rsidR="001C5E1D" w:rsidRPr="00295637">
        <w:rPr>
          <w:rFonts w:ascii="Times New Roman" w:hAnsi="Times New Roman"/>
          <w:sz w:val="24"/>
          <w:lang w:val="bs-Latn-BA"/>
        </w:rPr>
        <w:t xml:space="preserve"> </w:t>
      </w:r>
      <w:r>
        <w:rPr>
          <w:rFonts w:ascii="Times New Roman" w:hAnsi="Times New Roman"/>
          <w:sz w:val="24"/>
          <w:lang w:val="bs-Latn-BA"/>
        </w:rPr>
        <w:t>сексуалног</w:t>
      </w:r>
      <w:r w:rsidR="001C5E1D" w:rsidRPr="00295637">
        <w:rPr>
          <w:rFonts w:ascii="Times New Roman" w:hAnsi="Times New Roman"/>
          <w:sz w:val="24"/>
          <w:lang w:val="bs-Latn-BA"/>
        </w:rPr>
        <w:t xml:space="preserve"> </w:t>
      </w:r>
      <w:r>
        <w:rPr>
          <w:rFonts w:ascii="Times New Roman" w:hAnsi="Times New Roman"/>
          <w:sz w:val="24"/>
          <w:lang w:val="bs-Latn-BA"/>
        </w:rPr>
        <w:t>узнемиравања</w:t>
      </w:r>
      <w:r w:rsidR="001C5E1D" w:rsidRPr="00295637">
        <w:rPr>
          <w:rFonts w:ascii="Times New Roman" w:hAnsi="Times New Roman"/>
          <w:sz w:val="24"/>
          <w:lang w:val="bs-Latn-BA"/>
        </w:rPr>
        <w:t xml:space="preserve"> </w:t>
      </w:r>
      <w:r>
        <w:rPr>
          <w:rFonts w:ascii="Times New Roman" w:hAnsi="Times New Roman"/>
          <w:sz w:val="24"/>
          <w:lang w:val="bs-Latn-BA"/>
        </w:rPr>
        <w:t>и</w:t>
      </w:r>
      <w:r w:rsidR="001C5E1D" w:rsidRPr="00295637">
        <w:rPr>
          <w:rFonts w:ascii="Times New Roman" w:hAnsi="Times New Roman"/>
          <w:sz w:val="24"/>
          <w:lang w:val="bs-Latn-BA"/>
        </w:rPr>
        <w:t xml:space="preserve"> </w:t>
      </w:r>
      <w:r>
        <w:rPr>
          <w:rFonts w:ascii="Times New Roman" w:hAnsi="Times New Roman"/>
          <w:sz w:val="24"/>
          <w:lang w:val="bs-Latn-BA"/>
        </w:rPr>
        <w:t>узнемиравања</w:t>
      </w:r>
      <w:r w:rsidR="001C5E1D" w:rsidRPr="00295637">
        <w:rPr>
          <w:rFonts w:ascii="Times New Roman" w:hAnsi="Times New Roman"/>
          <w:sz w:val="24"/>
          <w:lang w:val="bs-Latn-BA"/>
        </w:rPr>
        <w:t xml:space="preserve"> </w:t>
      </w:r>
      <w:r>
        <w:rPr>
          <w:rFonts w:ascii="Times New Roman" w:hAnsi="Times New Roman"/>
          <w:sz w:val="24"/>
          <w:lang w:val="bs-Latn-BA"/>
        </w:rPr>
        <w:t>на</w:t>
      </w:r>
      <w:r w:rsidR="001C5E1D" w:rsidRPr="00295637">
        <w:rPr>
          <w:rFonts w:ascii="Times New Roman" w:hAnsi="Times New Roman"/>
          <w:sz w:val="24"/>
          <w:lang w:val="bs-Latn-BA"/>
        </w:rPr>
        <w:t xml:space="preserve"> </w:t>
      </w:r>
      <w:r>
        <w:rPr>
          <w:rFonts w:ascii="Times New Roman" w:hAnsi="Times New Roman"/>
          <w:sz w:val="24"/>
          <w:lang w:val="bs-Latn-BA"/>
        </w:rPr>
        <w:t>основу</w:t>
      </w:r>
      <w:r w:rsidR="001C5E1D" w:rsidRPr="00295637">
        <w:rPr>
          <w:rFonts w:ascii="Times New Roman" w:hAnsi="Times New Roman"/>
          <w:sz w:val="24"/>
          <w:lang w:val="bs-Latn-BA"/>
        </w:rPr>
        <w:t xml:space="preserve"> </w:t>
      </w:r>
      <w:r>
        <w:rPr>
          <w:rFonts w:ascii="Times New Roman" w:hAnsi="Times New Roman"/>
          <w:sz w:val="24"/>
          <w:lang w:val="bs-Latn-BA"/>
        </w:rPr>
        <w:t>пола</w:t>
      </w:r>
      <w:r w:rsidR="001C5E1D" w:rsidRPr="00295637">
        <w:rPr>
          <w:rFonts w:ascii="Times New Roman" w:hAnsi="Times New Roman"/>
          <w:sz w:val="24"/>
          <w:lang w:val="bs-Latn-BA"/>
        </w:rPr>
        <w:t xml:space="preserve"> </w:t>
      </w:r>
      <w:r>
        <w:rPr>
          <w:rFonts w:ascii="Times New Roman" w:hAnsi="Times New Roman"/>
          <w:sz w:val="24"/>
          <w:lang w:val="bs-Latn-BA"/>
        </w:rPr>
        <w:t>у</w:t>
      </w:r>
      <w:r w:rsidR="001C5E1D" w:rsidRPr="00295637">
        <w:rPr>
          <w:rFonts w:ascii="Times New Roman" w:hAnsi="Times New Roman"/>
          <w:sz w:val="24"/>
          <w:lang w:val="bs-Latn-BA"/>
        </w:rPr>
        <w:t xml:space="preserve"> </w:t>
      </w:r>
      <w:r>
        <w:rPr>
          <w:rFonts w:ascii="Times New Roman" w:hAnsi="Times New Roman"/>
          <w:sz w:val="24"/>
          <w:lang w:val="bs-Latn-BA"/>
        </w:rPr>
        <w:t>институцијама</w:t>
      </w:r>
      <w:r w:rsidR="001C5E1D" w:rsidRPr="00295637">
        <w:rPr>
          <w:rFonts w:ascii="Times New Roman" w:hAnsi="Times New Roman"/>
          <w:sz w:val="24"/>
          <w:lang w:val="bs-Latn-BA"/>
        </w:rPr>
        <w:t xml:space="preserve"> </w:t>
      </w:r>
      <w:r>
        <w:rPr>
          <w:rFonts w:ascii="Times New Roman" w:hAnsi="Times New Roman"/>
          <w:sz w:val="24"/>
          <w:lang w:val="bs-Latn-BA"/>
        </w:rPr>
        <w:t>ФБиХ</w:t>
      </w:r>
      <w:r w:rsidR="001C5E1D" w:rsidRPr="00295637">
        <w:rPr>
          <w:rFonts w:ascii="Times New Roman" w:hAnsi="Times New Roman"/>
          <w:sz w:val="24"/>
          <w:lang w:val="bs-Latn-BA"/>
        </w:rPr>
        <w:t xml:space="preserve"> </w:t>
      </w:r>
      <w:r>
        <w:rPr>
          <w:rFonts w:ascii="Times New Roman" w:hAnsi="Times New Roman"/>
          <w:sz w:val="24"/>
          <w:lang w:val="bs-Latn-BA"/>
        </w:rPr>
        <w:t>преузет</w:t>
      </w:r>
      <w:r w:rsidR="001C5E1D" w:rsidRPr="00295637">
        <w:rPr>
          <w:rFonts w:ascii="Times New Roman" w:hAnsi="Times New Roman"/>
          <w:sz w:val="24"/>
          <w:lang w:val="bs-Latn-BA"/>
        </w:rPr>
        <w:t xml:space="preserve"> </w:t>
      </w:r>
      <w:r>
        <w:rPr>
          <w:rFonts w:ascii="Times New Roman" w:hAnsi="Times New Roman"/>
          <w:sz w:val="24"/>
          <w:lang w:val="bs-Latn-BA"/>
        </w:rPr>
        <w:t>је</w:t>
      </w:r>
      <w:r w:rsidR="001C5E1D" w:rsidRPr="00295637">
        <w:rPr>
          <w:rFonts w:ascii="Times New Roman" w:hAnsi="Times New Roman"/>
          <w:sz w:val="24"/>
          <w:lang w:val="bs-Latn-BA"/>
        </w:rPr>
        <w:t xml:space="preserve"> </w:t>
      </w:r>
      <w:r>
        <w:rPr>
          <w:rFonts w:ascii="Times New Roman" w:hAnsi="Times New Roman"/>
          <w:sz w:val="24"/>
          <w:lang w:val="bs-Latn-BA"/>
        </w:rPr>
        <w:t>као</w:t>
      </w:r>
      <w:r w:rsidR="001C5E1D" w:rsidRPr="00295637">
        <w:rPr>
          <w:rFonts w:ascii="Times New Roman" w:hAnsi="Times New Roman"/>
          <w:sz w:val="24"/>
          <w:lang w:val="bs-Latn-BA"/>
        </w:rPr>
        <w:t xml:space="preserve"> </w:t>
      </w:r>
      <w:r>
        <w:rPr>
          <w:rFonts w:ascii="Times New Roman" w:hAnsi="Times New Roman"/>
          <w:sz w:val="24"/>
          <w:lang w:val="bs-Latn-BA"/>
        </w:rPr>
        <w:t>примјер</w:t>
      </w:r>
      <w:r w:rsidR="001C5E1D" w:rsidRPr="00295637">
        <w:rPr>
          <w:rFonts w:ascii="Times New Roman" w:hAnsi="Times New Roman"/>
          <w:sz w:val="24"/>
          <w:lang w:val="bs-Latn-BA"/>
        </w:rPr>
        <w:t xml:space="preserve"> </w:t>
      </w:r>
      <w:r>
        <w:rPr>
          <w:rFonts w:ascii="Times New Roman" w:hAnsi="Times New Roman"/>
          <w:sz w:val="24"/>
          <w:lang w:val="bs-Latn-BA"/>
        </w:rPr>
        <w:t>добре</w:t>
      </w:r>
      <w:r w:rsidR="001C5E1D" w:rsidRPr="00295637">
        <w:rPr>
          <w:rFonts w:ascii="Times New Roman" w:hAnsi="Times New Roman"/>
          <w:sz w:val="24"/>
          <w:lang w:val="bs-Latn-BA"/>
        </w:rPr>
        <w:t xml:space="preserve"> </w:t>
      </w:r>
      <w:r>
        <w:rPr>
          <w:rFonts w:ascii="Times New Roman" w:hAnsi="Times New Roman"/>
          <w:sz w:val="24"/>
          <w:lang w:val="bs-Latn-BA"/>
        </w:rPr>
        <w:t>праксе</w:t>
      </w:r>
      <w:r w:rsidR="001C5E1D" w:rsidRPr="00295637">
        <w:rPr>
          <w:rFonts w:ascii="Times New Roman" w:hAnsi="Times New Roman"/>
          <w:sz w:val="24"/>
          <w:lang w:val="bs-Latn-BA"/>
        </w:rPr>
        <w:t xml:space="preserve">, </w:t>
      </w:r>
      <w:r>
        <w:rPr>
          <w:rFonts w:ascii="Times New Roman" w:hAnsi="Times New Roman"/>
          <w:sz w:val="24"/>
          <w:lang w:val="bs-Latn-BA"/>
        </w:rPr>
        <w:t>те</w:t>
      </w:r>
      <w:r w:rsidR="001C5E1D" w:rsidRPr="00295637">
        <w:rPr>
          <w:rFonts w:ascii="Times New Roman" w:hAnsi="Times New Roman"/>
          <w:sz w:val="24"/>
          <w:lang w:val="bs-Latn-BA"/>
        </w:rPr>
        <w:t xml:space="preserve"> </w:t>
      </w:r>
      <w:r>
        <w:rPr>
          <w:rFonts w:ascii="Times New Roman" w:hAnsi="Times New Roman"/>
          <w:sz w:val="24"/>
          <w:lang w:val="bs-Latn-BA"/>
        </w:rPr>
        <w:t>успостављен</w:t>
      </w:r>
      <w:r w:rsidR="001C5E1D" w:rsidRPr="00295637">
        <w:rPr>
          <w:rFonts w:ascii="Times New Roman" w:hAnsi="Times New Roman"/>
          <w:sz w:val="24"/>
          <w:lang w:val="bs-Latn-BA"/>
        </w:rPr>
        <w:t xml:space="preserve"> </w:t>
      </w:r>
      <w:r>
        <w:rPr>
          <w:rFonts w:ascii="Times New Roman" w:hAnsi="Times New Roman"/>
          <w:sz w:val="24"/>
          <w:lang w:val="bs-Latn-BA"/>
        </w:rPr>
        <w:t>у</w:t>
      </w:r>
      <w:r w:rsidR="001C5E1D" w:rsidRPr="00295637">
        <w:rPr>
          <w:rFonts w:ascii="Times New Roman" w:hAnsi="Times New Roman"/>
          <w:sz w:val="24"/>
          <w:lang w:val="bs-Latn-BA"/>
        </w:rPr>
        <w:t xml:space="preserve"> </w:t>
      </w:r>
      <w:r>
        <w:rPr>
          <w:rFonts w:ascii="Times New Roman" w:hAnsi="Times New Roman"/>
          <w:sz w:val="24"/>
          <w:lang w:val="bs-Latn-BA"/>
        </w:rPr>
        <w:t>седам</w:t>
      </w:r>
      <w:r w:rsidR="001C5E1D" w:rsidRPr="00295637">
        <w:rPr>
          <w:rFonts w:ascii="Times New Roman" w:hAnsi="Times New Roman"/>
          <w:sz w:val="24"/>
          <w:lang w:val="bs-Latn-BA"/>
        </w:rPr>
        <w:t xml:space="preserve"> </w:t>
      </w:r>
      <w:r>
        <w:rPr>
          <w:rFonts w:ascii="Times New Roman" w:hAnsi="Times New Roman"/>
          <w:sz w:val="24"/>
          <w:lang w:val="bs-Latn-BA"/>
        </w:rPr>
        <w:t>кантона</w:t>
      </w:r>
      <w:r w:rsidR="00B12850">
        <w:rPr>
          <w:rFonts w:ascii="Times New Roman" w:hAnsi="Times New Roman"/>
          <w:sz w:val="24"/>
          <w:lang w:val="bs-Latn-BA"/>
        </w:rPr>
        <w:t xml:space="preserve"> </w:t>
      </w:r>
      <w:r>
        <w:rPr>
          <w:rFonts w:ascii="Times New Roman" w:hAnsi="Times New Roman"/>
          <w:sz w:val="24"/>
          <w:lang w:val="bs-Latn-BA"/>
        </w:rPr>
        <w:t>ФБиХ</w:t>
      </w:r>
      <w:r w:rsidR="001C5E1D" w:rsidRPr="00295637">
        <w:rPr>
          <w:rFonts w:ascii="Times New Roman" w:hAnsi="Times New Roman"/>
          <w:sz w:val="24"/>
          <w:lang w:val="bs-Latn-BA"/>
        </w:rPr>
        <w:t>.</w:t>
      </w:r>
    </w:p>
    <w:p w:rsidR="00FA1173" w:rsidRPr="00295637" w:rsidRDefault="00FA1173" w:rsidP="0086268D">
      <w:pPr>
        <w:tabs>
          <w:tab w:val="left" w:pos="284"/>
          <w:tab w:val="left" w:pos="630"/>
          <w:tab w:val="left" w:pos="1080"/>
        </w:tabs>
        <w:jc w:val="both"/>
        <w:rPr>
          <w:rFonts w:ascii="Times New Roman" w:hAnsi="Times New Roman"/>
          <w:szCs w:val="24"/>
          <w:lang w:val="bs-Latn-BA"/>
        </w:rPr>
      </w:pPr>
    </w:p>
    <w:p w:rsidR="00F772CE"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На</w:t>
      </w:r>
      <w:r w:rsidR="00F772CE" w:rsidRPr="00295637">
        <w:rPr>
          <w:rFonts w:ascii="Times New Roman" w:hAnsi="Times New Roman"/>
          <w:lang w:val="sr-Latn-BA"/>
        </w:rPr>
        <w:t xml:space="preserve"> </w:t>
      </w:r>
      <w:r>
        <w:rPr>
          <w:rFonts w:ascii="Times New Roman" w:hAnsi="Times New Roman"/>
          <w:lang w:val="sr-Latn-BA"/>
        </w:rPr>
        <w:t>иницијативу</w:t>
      </w:r>
      <w:r w:rsidR="00F772CE" w:rsidRPr="00295637">
        <w:rPr>
          <w:rFonts w:ascii="Times New Roman" w:hAnsi="Times New Roman"/>
          <w:lang w:val="sr-Latn-BA"/>
        </w:rPr>
        <w:t xml:space="preserve"> </w:t>
      </w:r>
      <w:r>
        <w:rPr>
          <w:rFonts w:ascii="Times New Roman" w:hAnsi="Times New Roman"/>
          <w:lang w:val="sr-Latn-BA"/>
        </w:rPr>
        <w:t>ЦЈРП</w:t>
      </w:r>
      <w:r w:rsidR="00F772CE" w:rsidRPr="00295637">
        <w:rPr>
          <w:rFonts w:ascii="Times New Roman" w:hAnsi="Times New Roman"/>
          <w:lang w:val="sr-Latn-BA"/>
        </w:rPr>
        <w:t xml:space="preserve"> </w:t>
      </w:r>
      <w:r>
        <w:rPr>
          <w:rFonts w:ascii="Times New Roman" w:hAnsi="Times New Roman"/>
          <w:lang w:val="sr-Latn-BA"/>
        </w:rPr>
        <w:t>РС</w:t>
      </w:r>
      <w:r w:rsidR="00F772CE" w:rsidRPr="00295637">
        <w:rPr>
          <w:rFonts w:ascii="Times New Roman" w:hAnsi="Times New Roman"/>
          <w:lang w:val="sr-Latn-BA"/>
        </w:rPr>
        <w:t xml:space="preserve">, </w:t>
      </w:r>
      <w:r>
        <w:rPr>
          <w:rFonts w:ascii="Times New Roman" w:hAnsi="Times New Roman"/>
          <w:lang w:val="sr-Latn-BA"/>
        </w:rPr>
        <w:t>превенција</w:t>
      </w:r>
      <w:r w:rsidR="00F772CE" w:rsidRPr="00295637">
        <w:rPr>
          <w:rFonts w:ascii="Times New Roman" w:hAnsi="Times New Roman"/>
          <w:lang w:val="sr-Latn-BA"/>
        </w:rPr>
        <w:t xml:space="preserve"> </w:t>
      </w:r>
      <w:r>
        <w:rPr>
          <w:rFonts w:ascii="Times New Roman" w:hAnsi="Times New Roman"/>
          <w:lang w:val="sr-Latn-BA"/>
        </w:rPr>
        <w:t>и</w:t>
      </w:r>
      <w:r w:rsidR="00F772CE" w:rsidRPr="00295637">
        <w:rPr>
          <w:rFonts w:ascii="Times New Roman" w:hAnsi="Times New Roman"/>
          <w:lang w:val="sr-Latn-BA"/>
        </w:rPr>
        <w:t xml:space="preserve"> </w:t>
      </w:r>
      <w:r>
        <w:rPr>
          <w:rFonts w:ascii="Times New Roman" w:hAnsi="Times New Roman"/>
          <w:lang w:val="sr-Latn-BA"/>
        </w:rPr>
        <w:t>заштита</w:t>
      </w:r>
      <w:r w:rsidR="00F772CE" w:rsidRPr="00295637">
        <w:rPr>
          <w:rFonts w:ascii="Times New Roman" w:hAnsi="Times New Roman"/>
          <w:lang w:val="sr-Latn-BA"/>
        </w:rPr>
        <w:t xml:space="preserve"> </w:t>
      </w:r>
      <w:r>
        <w:rPr>
          <w:rFonts w:ascii="Times New Roman" w:hAnsi="Times New Roman"/>
          <w:lang w:val="sr-Latn-BA"/>
        </w:rPr>
        <w:t>од</w:t>
      </w:r>
      <w:r w:rsidR="00F772CE" w:rsidRPr="00295637">
        <w:rPr>
          <w:rFonts w:ascii="Times New Roman" w:hAnsi="Times New Roman"/>
          <w:lang w:val="sr-Latn-BA"/>
        </w:rPr>
        <w:t xml:space="preserve"> </w:t>
      </w:r>
      <w:r>
        <w:rPr>
          <w:rFonts w:ascii="Times New Roman" w:hAnsi="Times New Roman"/>
          <w:lang w:val="sr-Latn-BA"/>
        </w:rPr>
        <w:t>сексуалног</w:t>
      </w:r>
      <w:r w:rsidR="00F772CE" w:rsidRPr="00295637">
        <w:rPr>
          <w:rFonts w:ascii="Times New Roman" w:hAnsi="Times New Roman"/>
          <w:lang w:val="sr-Latn-BA"/>
        </w:rPr>
        <w:t xml:space="preserve"> </w:t>
      </w:r>
      <w:r>
        <w:rPr>
          <w:rFonts w:ascii="Times New Roman" w:hAnsi="Times New Roman"/>
          <w:lang w:val="sr-Latn-BA"/>
        </w:rPr>
        <w:t>узнемиравања</w:t>
      </w:r>
      <w:r w:rsidR="00F772CE" w:rsidRPr="00295637">
        <w:rPr>
          <w:rFonts w:ascii="Times New Roman" w:hAnsi="Times New Roman"/>
          <w:lang w:val="sr-Latn-BA"/>
        </w:rPr>
        <w:t xml:space="preserve"> </w:t>
      </w:r>
      <w:r>
        <w:rPr>
          <w:rFonts w:ascii="Times New Roman" w:hAnsi="Times New Roman"/>
          <w:lang w:val="sr-Latn-BA"/>
        </w:rPr>
        <w:t>гарант</w:t>
      </w:r>
      <w:r w:rsidR="0082548C">
        <w:rPr>
          <w:rFonts w:ascii="Times New Roman" w:hAnsi="Times New Roman"/>
          <w:lang w:val="sr-Cyrl-BA"/>
        </w:rPr>
        <w:t>оване</w:t>
      </w:r>
      <w:r w:rsidR="00F772CE" w:rsidRPr="00295637">
        <w:rPr>
          <w:rFonts w:ascii="Times New Roman" w:hAnsi="Times New Roman"/>
          <w:lang w:val="sr-Latn-BA"/>
        </w:rPr>
        <w:t xml:space="preserve"> </w:t>
      </w:r>
      <w:r>
        <w:rPr>
          <w:rFonts w:ascii="Times New Roman" w:hAnsi="Times New Roman"/>
          <w:lang w:val="sr-Latn-BA"/>
        </w:rPr>
        <w:t>су</w:t>
      </w:r>
      <w:r w:rsidR="00F772CE" w:rsidRPr="00295637">
        <w:rPr>
          <w:rFonts w:ascii="Times New Roman" w:hAnsi="Times New Roman"/>
          <w:lang w:val="sr-Latn-BA"/>
        </w:rPr>
        <w:t xml:space="preserve"> </w:t>
      </w:r>
      <w:r>
        <w:rPr>
          <w:rFonts w:ascii="Times New Roman" w:hAnsi="Times New Roman"/>
          <w:lang w:val="sr-Latn-BA"/>
        </w:rPr>
        <w:t>законодавством</w:t>
      </w:r>
      <w:r w:rsidR="00F772CE" w:rsidRPr="00295637">
        <w:rPr>
          <w:rFonts w:ascii="Times New Roman" w:hAnsi="Times New Roman"/>
          <w:lang w:val="sr-Latn-BA"/>
        </w:rPr>
        <w:t xml:space="preserve"> </w:t>
      </w:r>
      <w:r>
        <w:rPr>
          <w:rFonts w:ascii="Times New Roman" w:hAnsi="Times New Roman"/>
          <w:lang w:val="sr-Latn-BA"/>
        </w:rPr>
        <w:t>РС</w:t>
      </w:r>
      <w:r w:rsidR="00F772CE" w:rsidRPr="00295637">
        <w:rPr>
          <w:rFonts w:ascii="Times New Roman" w:hAnsi="Times New Roman"/>
          <w:lang w:val="sr-Latn-BA"/>
        </w:rPr>
        <w:t xml:space="preserve">, </w:t>
      </w:r>
      <w:r>
        <w:rPr>
          <w:rFonts w:ascii="Times New Roman" w:hAnsi="Times New Roman"/>
          <w:lang w:val="sr-Latn-BA"/>
        </w:rPr>
        <w:t>како</w:t>
      </w:r>
      <w:r w:rsidR="00F772CE" w:rsidRPr="00295637">
        <w:rPr>
          <w:rFonts w:ascii="Times New Roman" w:hAnsi="Times New Roman"/>
          <w:lang w:val="sr-Latn-BA"/>
        </w:rPr>
        <w:t xml:space="preserve"> </w:t>
      </w:r>
      <w:r>
        <w:rPr>
          <w:rFonts w:ascii="Times New Roman" w:hAnsi="Times New Roman"/>
          <w:lang w:val="sr-Latn-BA"/>
        </w:rPr>
        <w:t>слиједи</w:t>
      </w:r>
      <w:r w:rsidR="00F772CE" w:rsidRPr="00295637">
        <w:rPr>
          <w:rFonts w:ascii="Times New Roman" w:hAnsi="Times New Roman"/>
          <w:lang w:val="sr-Latn-BA"/>
        </w:rPr>
        <w:t>:</w:t>
      </w:r>
    </w:p>
    <w:p w:rsidR="00F772CE" w:rsidRPr="00295637" w:rsidRDefault="00F772CE" w:rsidP="0086268D">
      <w:pPr>
        <w:pStyle w:val="ListParagraph"/>
        <w:ind w:left="0"/>
        <w:jc w:val="both"/>
        <w:rPr>
          <w:rFonts w:ascii="Times New Roman" w:hAnsi="Times New Roman"/>
          <w:lang w:val="sr-Latn-BA"/>
        </w:rPr>
      </w:pPr>
    </w:p>
    <w:p w:rsidR="00F772CE" w:rsidRPr="00295637" w:rsidRDefault="00C6214E" w:rsidP="0086268D">
      <w:pPr>
        <w:pStyle w:val="ListParagraph"/>
        <w:numPr>
          <w:ilvl w:val="0"/>
          <w:numId w:val="23"/>
        </w:numPr>
        <w:jc w:val="both"/>
        <w:rPr>
          <w:rFonts w:ascii="Times New Roman" w:hAnsi="Times New Roman"/>
          <w:lang w:val="sr-Latn-BA"/>
        </w:rPr>
      </w:pPr>
      <w:r>
        <w:rPr>
          <w:rFonts w:ascii="Times New Roman" w:hAnsi="Times New Roman"/>
          <w:lang w:val="sr-Latn-BA"/>
        </w:rPr>
        <w:t>Кривични</w:t>
      </w:r>
      <w:r w:rsidR="00F772CE" w:rsidRPr="00295637">
        <w:rPr>
          <w:rFonts w:ascii="Times New Roman" w:hAnsi="Times New Roman"/>
          <w:lang w:val="sr-Latn-BA"/>
        </w:rPr>
        <w:t xml:space="preserve"> </w:t>
      </w:r>
      <w:r>
        <w:rPr>
          <w:rFonts w:ascii="Times New Roman" w:hAnsi="Times New Roman"/>
          <w:lang w:val="sr-Latn-BA"/>
        </w:rPr>
        <w:t>законик</w:t>
      </w:r>
      <w:r w:rsidR="00F772CE" w:rsidRPr="00295637">
        <w:rPr>
          <w:rFonts w:ascii="Times New Roman" w:hAnsi="Times New Roman"/>
          <w:lang w:val="sr-Latn-BA"/>
        </w:rPr>
        <w:t xml:space="preserve"> </w:t>
      </w:r>
      <w:r>
        <w:rPr>
          <w:rFonts w:ascii="Times New Roman" w:hAnsi="Times New Roman"/>
          <w:lang w:val="sr-Latn-BA"/>
        </w:rPr>
        <w:t>РС</w:t>
      </w:r>
      <w:r w:rsidR="00F772CE" w:rsidRPr="00295637">
        <w:rPr>
          <w:rFonts w:ascii="Times New Roman" w:hAnsi="Times New Roman"/>
          <w:lang w:val="sr-Latn-BA"/>
        </w:rPr>
        <w:t xml:space="preserve"> </w:t>
      </w:r>
      <w:r>
        <w:rPr>
          <w:rFonts w:ascii="Times New Roman" w:hAnsi="Times New Roman"/>
          <w:lang w:val="sr-Latn-BA"/>
        </w:rPr>
        <w:t>у</w:t>
      </w:r>
      <w:r w:rsidR="00F772CE" w:rsidRPr="00295637">
        <w:rPr>
          <w:rFonts w:ascii="Times New Roman" w:hAnsi="Times New Roman"/>
          <w:lang w:val="sr-Latn-BA"/>
        </w:rPr>
        <w:t xml:space="preserve"> </w:t>
      </w:r>
      <w:r>
        <w:rPr>
          <w:rFonts w:ascii="Times New Roman" w:hAnsi="Times New Roman"/>
          <w:lang w:val="sr-Latn-BA"/>
        </w:rPr>
        <w:t>члану</w:t>
      </w:r>
      <w:r w:rsidR="00F772CE" w:rsidRPr="00295637">
        <w:rPr>
          <w:rFonts w:ascii="Times New Roman" w:hAnsi="Times New Roman"/>
          <w:lang w:val="sr-Latn-BA"/>
        </w:rPr>
        <w:t xml:space="preserve"> 170</w:t>
      </w:r>
      <w:r w:rsidR="00B12850">
        <w:rPr>
          <w:rFonts w:ascii="Times New Roman" w:hAnsi="Times New Roman"/>
          <w:lang w:val="sr-Latn-BA"/>
        </w:rPr>
        <w:t>.</w:t>
      </w:r>
      <w:r w:rsidR="00F772CE" w:rsidRPr="00295637">
        <w:rPr>
          <w:rFonts w:ascii="Times New Roman" w:hAnsi="Times New Roman"/>
          <w:lang w:val="sr-Latn-BA"/>
        </w:rPr>
        <w:t xml:space="preserve"> „</w:t>
      </w:r>
      <w:r w:rsidR="0082548C">
        <w:rPr>
          <w:rFonts w:ascii="Times New Roman" w:hAnsi="Times New Roman"/>
          <w:lang w:val="sr-Cyrl-BA"/>
        </w:rPr>
        <w:t>П</w:t>
      </w:r>
      <w:r>
        <w:rPr>
          <w:rFonts w:ascii="Times New Roman" w:hAnsi="Times New Roman"/>
          <w:lang w:val="sr-Latn-BA"/>
        </w:rPr>
        <w:t>олно</w:t>
      </w:r>
      <w:r w:rsidR="00F772CE" w:rsidRPr="00295637">
        <w:rPr>
          <w:rFonts w:ascii="Times New Roman" w:hAnsi="Times New Roman"/>
          <w:lang w:val="sr-Latn-BA"/>
        </w:rPr>
        <w:t xml:space="preserve"> </w:t>
      </w:r>
      <w:r>
        <w:rPr>
          <w:rFonts w:ascii="Times New Roman" w:hAnsi="Times New Roman"/>
          <w:lang w:val="sr-Latn-BA"/>
        </w:rPr>
        <w:t>узнемиравање</w:t>
      </w:r>
      <w:r w:rsidR="00F772CE" w:rsidRPr="00295637">
        <w:rPr>
          <w:rFonts w:ascii="Times New Roman" w:hAnsi="Times New Roman"/>
          <w:lang w:val="sr-Latn-BA"/>
        </w:rPr>
        <w:t xml:space="preserve">“ </w:t>
      </w:r>
      <w:r>
        <w:rPr>
          <w:rFonts w:ascii="Times New Roman" w:hAnsi="Times New Roman"/>
          <w:lang w:val="sr-Latn-BA"/>
        </w:rPr>
        <w:t>регули</w:t>
      </w:r>
      <w:r w:rsidR="0082548C">
        <w:rPr>
          <w:rFonts w:ascii="Times New Roman" w:hAnsi="Times New Roman"/>
          <w:lang w:val="sr-Cyrl-BA"/>
        </w:rPr>
        <w:t>ше</w:t>
      </w:r>
      <w:r w:rsidR="00F772CE" w:rsidRPr="00295637">
        <w:rPr>
          <w:rFonts w:ascii="Times New Roman" w:hAnsi="Times New Roman"/>
          <w:lang w:val="sr-Latn-BA"/>
        </w:rPr>
        <w:t xml:space="preserve"> </w:t>
      </w:r>
      <w:r>
        <w:rPr>
          <w:rFonts w:ascii="Times New Roman" w:hAnsi="Times New Roman"/>
          <w:lang w:val="sr-Latn-BA"/>
        </w:rPr>
        <w:t>ово</w:t>
      </w:r>
      <w:r w:rsidR="00F772CE" w:rsidRPr="00295637">
        <w:rPr>
          <w:rFonts w:ascii="Times New Roman" w:hAnsi="Times New Roman"/>
          <w:lang w:val="sr-Latn-BA"/>
        </w:rPr>
        <w:t xml:space="preserve"> </w:t>
      </w:r>
      <w:r>
        <w:rPr>
          <w:rFonts w:ascii="Times New Roman" w:hAnsi="Times New Roman"/>
          <w:lang w:val="sr-Latn-BA"/>
        </w:rPr>
        <w:t>кривично</w:t>
      </w:r>
      <w:r w:rsidR="00F772CE" w:rsidRPr="00295637">
        <w:rPr>
          <w:rFonts w:ascii="Times New Roman" w:hAnsi="Times New Roman"/>
          <w:lang w:val="sr-Latn-BA"/>
        </w:rPr>
        <w:t xml:space="preserve"> </w:t>
      </w:r>
      <w:r>
        <w:rPr>
          <w:rFonts w:ascii="Times New Roman" w:hAnsi="Times New Roman"/>
          <w:lang w:val="sr-Latn-BA"/>
        </w:rPr>
        <w:t>дјело</w:t>
      </w:r>
      <w:r w:rsidR="00F772CE" w:rsidRPr="00295637">
        <w:rPr>
          <w:rFonts w:ascii="Times New Roman" w:hAnsi="Times New Roman"/>
          <w:lang w:val="sr-Latn-BA"/>
        </w:rPr>
        <w:t xml:space="preserve"> </w:t>
      </w:r>
      <w:r>
        <w:rPr>
          <w:rFonts w:ascii="Times New Roman" w:hAnsi="Times New Roman"/>
          <w:lang w:val="sr-Latn-BA"/>
        </w:rPr>
        <w:t>као</w:t>
      </w:r>
      <w:r w:rsidR="00F772CE" w:rsidRPr="00295637">
        <w:rPr>
          <w:rFonts w:ascii="Times New Roman" w:hAnsi="Times New Roman"/>
          <w:lang w:val="sr-Latn-BA"/>
        </w:rPr>
        <w:t xml:space="preserve"> </w:t>
      </w:r>
      <w:r>
        <w:rPr>
          <w:rFonts w:ascii="Times New Roman" w:hAnsi="Times New Roman"/>
          <w:lang w:val="sr-Latn-BA"/>
        </w:rPr>
        <w:t>свако</w:t>
      </w:r>
      <w:r w:rsidR="00F772CE" w:rsidRPr="00295637">
        <w:rPr>
          <w:rFonts w:ascii="Times New Roman" w:hAnsi="Times New Roman"/>
          <w:lang w:val="sr-Latn-BA"/>
        </w:rPr>
        <w:t xml:space="preserve"> </w:t>
      </w:r>
      <w:r>
        <w:rPr>
          <w:rFonts w:ascii="Times New Roman" w:hAnsi="Times New Roman"/>
          <w:lang w:val="sr-Latn-BA"/>
        </w:rPr>
        <w:t>вербално</w:t>
      </w:r>
      <w:r w:rsidR="00F772CE" w:rsidRPr="00295637">
        <w:rPr>
          <w:rFonts w:ascii="Times New Roman" w:hAnsi="Times New Roman"/>
          <w:lang w:val="sr-Latn-BA"/>
        </w:rPr>
        <w:t xml:space="preserve">, </w:t>
      </w:r>
      <w:r>
        <w:rPr>
          <w:rFonts w:ascii="Times New Roman" w:hAnsi="Times New Roman"/>
          <w:lang w:val="sr-Latn-BA"/>
        </w:rPr>
        <w:t>невербално</w:t>
      </w:r>
      <w:r w:rsidR="00F772CE" w:rsidRPr="00295637">
        <w:rPr>
          <w:rFonts w:ascii="Times New Roman" w:hAnsi="Times New Roman"/>
          <w:lang w:val="sr-Latn-BA"/>
        </w:rPr>
        <w:t xml:space="preserve"> </w:t>
      </w:r>
      <w:r>
        <w:rPr>
          <w:rFonts w:ascii="Times New Roman" w:hAnsi="Times New Roman"/>
          <w:lang w:val="sr-Latn-BA"/>
        </w:rPr>
        <w:t>или</w:t>
      </w:r>
      <w:r w:rsidR="00F772CE" w:rsidRPr="00295637">
        <w:rPr>
          <w:rFonts w:ascii="Times New Roman" w:hAnsi="Times New Roman"/>
          <w:lang w:val="sr-Latn-BA"/>
        </w:rPr>
        <w:t xml:space="preserve"> </w:t>
      </w:r>
      <w:r w:rsidR="0082548C">
        <w:rPr>
          <w:rFonts w:ascii="Times New Roman" w:hAnsi="Times New Roman"/>
          <w:lang w:val="sr-Cyrl-BA"/>
        </w:rPr>
        <w:t>физички</w:t>
      </w:r>
      <w:r w:rsidR="00F772CE" w:rsidRPr="00295637">
        <w:rPr>
          <w:rFonts w:ascii="Times New Roman" w:hAnsi="Times New Roman"/>
          <w:lang w:val="sr-Latn-BA"/>
        </w:rPr>
        <w:t xml:space="preserve"> </w:t>
      </w:r>
      <w:r>
        <w:rPr>
          <w:rFonts w:ascii="Times New Roman" w:hAnsi="Times New Roman"/>
          <w:lang w:val="sr-Latn-BA"/>
        </w:rPr>
        <w:t>нежељено</w:t>
      </w:r>
      <w:r w:rsidR="00F772CE" w:rsidRPr="00295637">
        <w:rPr>
          <w:rFonts w:ascii="Times New Roman" w:hAnsi="Times New Roman"/>
          <w:lang w:val="sr-Latn-BA"/>
        </w:rPr>
        <w:t xml:space="preserve"> </w:t>
      </w:r>
      <w:r>
        <w:rPr>
          <w:rFonts w:ascii="Times New Roman" w:hAnsi="Times New Roman"/>
          <w:lang w:val="sr-Latn-BA"/>
        </w:rPr>
        <w:t>понашање</w:t>
      </w:r>
      <w:r w:rsidR="00F772CE" w:rsidRPr="00295637">
        <w:rPr>
          <w:rFonts w:ascii="Times New Roman" w:hAnsi="Times New Roman"/>
          <w:lang w:val="sr-Latn-BA"/>
        </w:rPr>
        <w:t xml:space="preserve"> </w:t>
      </w:r>
      <w:r>
        <w:rPr>
          <w:rFonts w:ascii="Times New Roman" w:hAnsi="Times New Roman"/>
          <w:lang w:val="sr-Latn-BA"/>
        </w:rPr>
        <w:t>полне</w:t>
      </w:r>
      <w:r w:rsidR="00F772CE" w:rsidRPr="00295637">
        <w:rPr>
          <w:rFonts w:ascii="Times New Roman" w:hAnsi="Times New Roman"/>
          <w:lang w:val="sr-Latn-BA"/>
        </w:rPr>
        <w:t xml:space="preserve"> </w:t>
      </w:r>
      <w:r>
        <w:rPr>
          <w:rFonts w:ascii="Times New Roman" w:hAnsi="Times New Roman"/>
          <w:lang w:val="sr-Latn-BA"/>
        </w:rPr>
        <w:t>природе</w:t>
      </w:r>
      <w:r w:rsidR="00F772CE" w:rsidRPr="00295637">
        <w:rPr>
          <w:rFonts w:ascii="Times New Roman" w:hAnsi="Times New Roman"/>
          <w:lang w:val="sr-Latn-BA"/>
        </w:rPr>
        <w:t xml:space="preserve"> </w:t>
      </w:r>
      <w:r>
        <w:rPr>
          <w:rFonts w:ascii="Times New Roman" w:hAnsi="Times New Roman"/>
          <w:lang w:val="sr-Latn-BA"/>
        </w:rPr>
        <w:t>које</w:t>
      </w:r>
      <w:r w:rsidR="00F772CE" w:rsidRPr="00295637">
        <w:rPr>
          <w:rFonts w:ascii="Times New Roman" w:hAnsi="Times New Roman"/>
          <w:lang w:val="sr-Latn-BA"/>
        </w:rPr>
        <w:t xml:space="preserve"> </w:t>
      </w:r>
      <w:r>
        <w:rPr>
          <w:rFonts w:ascii="Times New Roman" w:hAnsi="Times New Roman"/>
          <w:lang w:val="sr-Latn-BA"/>
        </w:rPr>
        <w:t>је</w:t>
      </w:r>
      <w:r w:rsidR="00F772CE" w:rsidRPr="00295637">
        <w:rPr>
          <w:rFonts w:ascii="Times New Roman" w:hAnsi="Times New Roman"/>
          <w:lang w:val="sr-Latn-BA"/>
        </w:rPr>
        <w:t xml:space="preserve"> </w:t>
      </w:r>
      <w:r>
        <w:rPr>
          <w:rFonts w:ascii="Times New Roman" w:hAnsi="Times New Roman"/>
          <w:lang w:val="sr-Latn-BA"/>
        </w:rPr>
        <w:t>усмјерено</w:t>
      </w:r>
      <w:r w:rsidR="00F772CE" w:rsidRPr="00295637">
        <w:rPr>
          <w:rFonts w:ascii="Times New Roman" w:hAnsi="Times New Roman"/>
          <w:lang w:val="sr-Latn-BA"/>
        </w:rPr>
        <w:t xml:space="preserve"> </w:t>
      </w:r>
      <w:r>
        <w:rPr>
          <w:rFonts w:ascii="Times New Roman" w:hAnsi="Times New Roman"/>
          <w:lang w:val="sr-Latn-BA"/>
        </w:rPr>
        <w:t>на</w:t>
      </w:r>
      <w:r w:rsidR="00F772CE" w:rsidRPr="00295637">
        <w:rPr>
          <w:rFonts w:ascii="Times New Roman" w:hAnsi="Times New Roman"/>
          <w:lang w:val="sr-Latn-BA"/>
        </w:rPr>
        <w:t xml:space="preserve"> </w:t>
      </w:r>
      <w:r>
        <w:rPr>
          <w:rFonts w:ascii="Times New Roman" w:hAnsi="Times New Roman"/>
          <w:lang w:val="sr-Latn-BA"/>
        </w:rPr>
        <w:t>повреду</w:t>
      </w:r>
      <w:r w:rsidR="00F772CE" w:rsidRPr="00295637">
        <w:rPr>
          <w:rFonts w:ascii="Times New Roman" w:hAnsi="Times New Roman"/>
          <w:lang w:val="sr-Latn-BA"/>
        </w:rPr>
        <w:t xml:space="preserve"> </w:t>
      </w:r>
      <w:r>
        <w:rPr>
          <w:rFonts w:ascii="Times New Roman" w:hAnsi="Times New Roman"/>
          <w:lang w:val="sr-Latn-BA"/>
        </w:rPr>
        <w:t>достојанства</w:t>
      </w:r>
      <w:r w:rsidR="00F772CE" w:rsidRPr="00295637">
        <w:rPr>
          <w:rFonts w:ascii="Times New Roman" w:hAnsi="Times New Roman"/>
          <w:lang w:val="sr-Latn-BA"/>
        </w:rPr>
        <w:t xml:space="preserve"> </w:t>
      </w:r>
      <w:r>
        <w:rPr>
          <w:rFonts w:ascii="Times New Roman" w:hAnsi="Times New Roman"/>
          <w:lang w:val="sr-Latn-BA"/>
        </w:rPr>
        <w:t>неког</w:t>
      </w:r>
      <w:r w:rsidR="00F772CE" w:rsidRPr="00295637">
        <w:rPr>
          <w:rFonts w:ascii="Times New Roman" w:hAnsi="Times New Roman"/>
          <w:lang w:val="sr-Latn-BA"/>
        </w:rPr>
        <w:t xml:space="preserve"> </w:t>
      </w:r>
      <w:r>
        <w:rPr>
          <w:rFonts w:ascii="Times New Roman" w:hAnsi="Times New Roman"/>
          <w:lang w:val="sr-Latn-BA"/>
        </w:rPr>
        <w:t>лица</w:t>
      </w:r>
      <w:r w:rsidR="00F772CE" w:rsidRPr="00295637">
        <w:rPr>
          <w:rFonts w:ascii="Times New Roman" w:hAnsi="Times New Roman"/>
          <w:lang w:val="sr-Latn-BA"/>
        </w:rPr>
        <w:t xml:space="preserve"> </w:t>
      </w:r>
      <w:r>
        <w:rPr>
          <w:rFonts w:ascii="Times New Roman" w:hAnsi="Times New Roman"/>
          <w:lang w:val="sr-Latn-BA"/>
        </w:rPr>
        <w:t>у</w:t>
      </w:r>
      <w:r w:rsidR="00F772CE" w:rsidRPr="00295637">
        <w:rPr>
          <w:rFonts w:ascii="Times New Roman" w:hAnsi="Times New Roman"/>
          <w:lang w:val="sr-Latn-BA"/>
        </w:rPr>
        <w:t xml:space="preserve"> </w:t>
      </w:r>
      <w:r>
        <w:rPr>
          <w:rFonts w:ascii="Times New Roman" w:hAnsi="Times New Roman"/>
          <w:lang w:val="sr-Latn-BA"/>
        </w:rPr>
        <w:t>сфери</w:t>
      </w:r>
      <w:r w:rsidR="00F772CE" w:rsidRPr="00295637">
        <w:rPr>
          <w:rFonts w:ascii="Times New Roman" w:hAnsi="Times New Roman"/>
          <w:lang w:val="sr-Latn-BA"/>
        </w:rPr>
        <w:t xml:space="preserve"> </w:t>
      </w:r>
      <w:r>
        <w:rPr>
          <w:rFonts w:ascii="Times New Roman" w:hAnsi="Times New Roman"/>
          <w:lang w:val="sr-Latn-BA"/>
        </w:rPr>
        <w:t>полног</w:t>
      </w:r>
      <w:r w:rsidR="00F772CE" w:rsidRPr="00295637">
        <w:rPr>
          <w:rFonts w:ascii="Times New Roman" w:hAnsi="Times New Roman"/>
          <w:lang w:val="sr-Latn-BA"/>
        </w:rPr>
        <w:t xml:space="preserve"> </w:t>
      </w:r>
      <w:r>
        <w:rPr>
          <w:rFonts w:ascii="Times New Roman" w:hAnsi="Times New Roman"/>
          <w:lang w:val="sr-Latn-BA"/>
        </w:rPr>
        <w:t>живота</w:t>
      </w:r>
      <w:r w:rsidR="00F772CE" w:rsidRPr="00295637">
        <w:rPr>
          <w:rFonts w:ascii="Times New Roman" w:hAnsi="Times New Roman"/>
          <w:lang w:val="sr-Latn-BA"/>
        </w:rPr>
        <w:t xml:space="preserve">, </w:t>
      </w:r>
      <w:r>
        <w:rPr>
          <w:rFonts w:ascii="Times New Roman" w:hAnsi="Times New Roman"/>
          <w:lang w:val="sr-Latn-BA"/>
        </w:rPr>
        <w:t>а</w:t>
      </w:r>
      <w:r w:rsidR="00F772CE" w:rsidRPr="00295637">
        <w:rPr>
          <w:rFonts w:ascii="Times New Roman" w:hAnsi="Times New Roman"/>
          <w:lang w:val="sr-Latn-BA"/>
        </w:rPr>
        <w:t xml:space="preserve"> </w:t>
      </w:r>
      <w:r>
        <w:rPr>
          <w:rFonts w:ascii="Times New Roman" w:hAnsi="Times New Roman"/>
          <w:lang w:val="sr-Latn-BA"/>
        </w:rPr>
        <w:t>које</w:t>
      </w:r>
      <w:r w:rsidR="00F772CE" w:rsidRPr="00295637">
        <w:rPr>
          <w:rFonts w:ascii="Times New Roman" w:hAnsi="Times New Roman"/>
          <w:lang w:val="sr-Latn-BA"/>
        </w:rPr>
        <w:t xml:space="preserve"> </w:t>
      </w:r>
      <w:r>
        <w:rPr>
          <w:rFonts w:ascii="Times New Roman" w:hAnsi="Times New Roman"/>
          <w:lang w:val="sr-Latn-BA"/>
        </w:rPr>
        <w:t>изазива</w:t>
      </w:r>
      <w:r w:rsidR="00F772CE" w:rsidRPr="00295637">
        <w:rPr>
          <w:rFonts w:ascii="Times New Roman" w:hAnsi="Times New Roman"/>
          <w:lang w:val="sr-Latn-BA"/>
        </w:rPr>
        <w:t xml:space="preserve"> </w:t>
      </w:r>
      <w:r>
        <w:rPr>
          <w:rFonts w:ascii="Times New Roman" w:hAnsi="Times New Roman"/>
          <w:lang w:val="sr-Latn-BA"/>
        </w:rPr>
        <w:t>страх</w:t>
      </w:r>
      <w:r w:rsidR="00F772CE" w:rsidRPr="00295637">
        <w:rPr>
          <w:rFonts w:ascii="Times New Roman" w:hAnsi="Times New Roman"/>
          <w:lang w:val="sr-Latn-BA"/>
        </w:rPr>
        <w:t xml:space="preserve"> </w:t>
      </w:r>
      <w:r>
        <w:rPr>
          <w:rFonts w:ascii="Times New Roman" w:hAnsi="Times New Roman"/>
          <w:lang w:val="sr-Latn-BA"/>
        </w:rPr>
        <w:t>или</w:t>
      </w:r>
      <w:r w:rsidR="00F772CE" w:rsidRPr="00295637">
        <w:rPr>
          <w:rFonts w:ascii="Times New Roman" w:hAnsi="Times New Roman"/>
          <w:lang w:val="sr-Latn-BA"/>
        </w:rPr>
        <w:t xml:space="preserve"> </w:t>
      </w:r>
      <w:r>
        <w:rPr>
          <w:rFonts w:ascii="Times New Roman" w:hAnsi="Times New Roman"/>
          <w:lang w:val="sr-Latn-BA"/>
        </w:rPr>
        <w:t>ствара</w:t>
      </w:r>
      <w:r w:rsidR="00F772CE" w:rsidRPr="00295637">
        <w:rPr>
          <w:rFonts w:ascii="Times New Roman" w:hAnsi="Times New Roman"/>
          <w:lang w:val="sr-Latn-BA"/>
        </w:rPr>
        <w:t xml:space="preserve"> </w:t>
      </w:r>
      <w:r>
        <w:rPr>
          <w:rFonts w:ascii="Times New Roman" w:hAnsi="Times New Roman"/>
          <w:lang w:val="sr-Latn-BA"/>
        </w:rPr>
        <w:t>непријатељско</w:t>
      </w:r>
      <w:r w:rsidR="00F772CE" w:rsidRPr="00295637">
        <w:rPr>
          <w:rFonts w:ascii="Times New Roman" w:hAnsi="Times New Roman"/>
          <w:lang w:val="sr-Latn-BA"/>
        </w:rPr>
        <w:t xml:space="preserve">, </w:t>
      </w:r>
      <w:r>
        <w:rPr>
          <w:rFonts w:ascii="Times New Roman" w:hAnsi="Times New Roman"/>
          <w:lang w:val="sr-Latn-BA"/>
        </w:rPr>
        <w:t>понижавајуће</w:t>
      </w:r>
      <w:r w:rsidR="00F772CE" w:rsidRPr="00295637">
        <w:rPr>
          <w:rFonts w:ascii="Times New Roman" w:hAnsi="Times New Roman"/>
          <w:lang w:val="sr-Latn-BA"/>
        </w:rPr>
        <w:t xml:space="preserve"> </w:t>
      </w:r>
      <w:r>
        <w:rPr>
          <w:rFonts w:ascii="Times New Roman" w:hAnsi="Times New Roman"/>
          <w:lang w:val="sr-Latn-BA"/>
        </w:rPr>
        <w:t>или</w:t>
      </w:r>
      <w:r w:rsidR="00F772CE" w:rsidRPr="00295637">
        <w:rPr>
          <w:rFonts w:ascii="Times New Roman" w:hAnsi="Times New Roman"/>
          <w:lang w:val="sr-Latn-BA"/>
        </w:rPr>
        <w:t xml:space="preserve"> </w:t>
      </w:r>
      <w:r>
        <w:rPr>
          <w:rFonts w:ascii="Times New Roman" w:hAnsi="Times New Roman"/>
          <w:lang w:val="sr-Latn-BA"/>
        </w:rPr>
        <w:t>увредљиво</w:t>
      </w:r>
      <w:r w:rsidR="00F772CE" w:rsidRPr="00295637">
        <w:rPr>
          <w:rFonts w:ascii="Times New Roman" w:hAnsi="Times New Roman"/>
          <w:lang w:val="sr-Latn-BA"/>
        </w:rPr>
        <w:t xml:space="preserve"> </w:t>
      </w:r>
      <w:r>
        <w:rPr>
          <w:rFonts w:ascii="Times New Roman" w:hAnsi="Times New Roman"/>
          <w:lang w:val="sr-Latn-BA"/>
        </w:rPr>
        <w:t>окружење</w:t>
      </w:r>
      <w:r w:rsidR="00F772CE" w:rsidRPr="00295637">
        <w:rPr>
          <w:rFonts w:ascii="Times New Roman" w:hAnsi="Times New Roman"/>
          <w:lang w:val="sr-Latn-BA"/>
        </w:rPr>
        <w:t xml:space="preserve">, </w:t>
      </w:r>
      <w:r>
        <w:rPr>
          <w:rFonts w:ascii="Times New Roman" w:hAnsi="Times New Roman"/>
          <w:lang w:val="sr-Latn-BA"/>
        </w:rPr>
        <w:t>прописује</w:t>
      </w:r>
      <w:r w:rsidR="00F772CE" w:rsidRPr="00295637">
        <w:rPr>
          <w:rFonts w:ascii="Times New Roman" w:hAnsi="Times New Roman"/>
          <w:lang w:val="sr-Latn-BA"/>
        </w:rPr>
        <w:t xml:space="preserve"> </w:t>
      </w:r>
      <w:r>
        <w:rPr>
          <w:rFonts w:ascii="Times New Roman" w:hAnsi="Times New Roman"/>
          <w:lang w:val="sr-Latn-BA"/>
        </w:rPr>
        <w:t>висину</w:t>
      </w:r>
      <w:r w:rsidR="00F772CE" w:rsidRPr="00295637">
        <w:rPr>
          <w:rFonts w:ascii="Times New Roman" w:hAnsi="Times New Roman"/>
          <w:lang w:val="sr-Latn-BA"/>
        </w:rPr>
        <w:t xml:space="preserve"> </w:t>
      </w:r>
      <w:r>
        <w:rPr>
          <w:rFonts w:ascii="Times New Roman" w:hAnsi="Times New Roman"/>
          <w:lang w:val="sr-Latn-BA"/>
        </w:rPr>
        <w:t>казне</w:t>
      </w:r>
      <w:r w:rsidR="00F772CE" w:rsidRPr="00295637">
        <w:rPr>
          <w:rFonts w:ascii="Times New Roman" w:hAnsi="Times New Roman"/>
          <w:lang w:val="sr-Latn-BA"/>
        </w:rPr>
        <w:t xml:space="preserve"> </w:t>
      </w:r>
      <w:r>
        <w:rPr>
          <w:rFonts w:ascii="Times New Roman" w:hAnsi="Times New Roman"/>
          <w:lang w:val="sr-Latn-BA"/>
        </w:rPr>
        <w:t>и</w:t>
      </w:r>
      <w:r w:rsidR="00F772CE" w:rsidRPr="00295637">
        <w:rPr>
          <w:rFonts w:ascii="Times New Roman" w:hAnsi="Times New Roman"/>
          <w:lang w:val="sr-Latn-BA"/>
        </w:rPr>
        <w:t xml:space="preserve"> </w:t>
      </w:r>
      <w:r>
        <w:rPr>
          <w:rFonts w:ascii="Times New Roman" w:hAnsi="Times New Roman"/>
          <w:lang w:val="sr-Latn-BA"/>
        </w:rPr>
        <w:t>посебне</w:t>
      </w:r>
      <w:r w:rsidR="00F772CE" w:rsidRPr="00295637">
        <w:rPr>
          <w:rFonts w:ascii="Times New Roman" w:hAnsi="Times New Roman"/>
          <w:lang w:val="sr-Latn-BA"/>
        </w:rPr>
        <w:t xml:space="preserve"> </w:t>
      </w:r>
      <w:r>
        <w:rPr>
          <w:rFonts w:ascii="Times New Roman" w:hAnsi="Times New Roman"/>
          <w:lang w:val="sr-Latn-BA"/>
        </w:rPr>
        <w:t>отежавајуће</w:t>
      </w:r>
      <w:r w:rsidR="00F772CE" w:rsidRPr="00295637">
        <w:rPr>
          <w:rFonts w:ascii="Times New Roman" w:hAnsi="Times New Roman"/>
          <w:lang w:val="sr-Latn-BA"/>
        </w:rPr>
        <w:t xml:space="preserve"> </w:t>
      </w:r>
      <w:r>
        <w:rPr>
          <w:rFonts w:ascii="Times New Roman" w:hAnsi="Times New Roman"/>
          <w:lang w:val="sr-Latn-BA"/>
        </w:rPr>
        <w:t>околности</w:t>
      </w:r>
      <w:r w:rsidR="00F772CE" w:rsidRPr="00295637">
        <w:rPr>
          <w:rFonts w:ascii="Times New Roman" w:hAnsi="Times New Roman"/>
          <w:lang w:val="sr-Latn-BA"/>
        </w:rPr>
        <w:t xml:space="preserve">, </w:t>
      </w:r>
      <w:r>
        <w:rPr>
          <w:rFonts w:ascii="Times New Roman" w:hAnsi="Times New Roman"/>
          <w:lang w:val="sr-Latn-BA"/>
        </w:rPr>
        <w:t>као</w:t>
      </w:r>
      <w:r w:rsidR="00F772CE" w:rsidRPr="00295637">
        <w:rPr>
          <w:rFonts w:ascii="Times New Roman" w:hAnsi="Times New Roman"/>
          <w:lang w:val="sr-Latn-BA"/>
        </w:rPr>
        <w:t xml:space="preserve"> </w:t>
      </w:r>
      <w:r>
        <w:rPr>
          <w:rFonts w:ascii="Times New Roman" w:hAnsi="Times New Roman"/>
          <w:lang w:val="sr-Latn-BA"/>
        </w:rPr>
        <w:t>што</w:t>
      </w:r>
      <w:r w:rsidR="00F772CE" w:rsidRPr="00295637">
        <w:rPr>
          <w:rFonts w:ascii="Times New Roman" w:hAnsi="Times New Roman"/>
          <w:lang w:val="sr-Latn-BA"/>
        </w:rPr>
        <w:t xml:space="preserve"> </w:t>
      </w:r>
      <w:r>
        <w:rPr>
          <w:rFonts w:ascii="Times New Roman" w:hAnsi="Times New Roman"/>
          <w:lang w:val="sr-Latn-BA"/>
        </w:rPr>
        <w:t>је</w:t>
      </w:r>
      <w:r w:rsidR="00F772CE" w:rsidRPr="00295637">
        <w:rPr>
          <w:rFonts w:ascii="Times New Roman" w:hAnsi="Times New Roman"/>
          <w:lang w:val="sr-Latn-BA"/>
        </w:rPr>
        <w:t xml:space="preserve"> </w:t>
      </w:r>
      <w:r>
        <w:rPr>
          <w:rFonts w:ascii="Times New Roman" w:hAnsi="Times New Roman"/>
          <w:lang w:val="sr-Latn-BA"/>
        </w:rPr>
        <w:t>однос</w:t>
      </w:r>
      <w:r w:rsidR="00F772CE" w:rsidRPr="00295637">
        <w:rPr>
          <w:rFonts w:ascii="Times New Roman" w:hAnsi="Times New Roman"/>
          <w:lang w:val="sr-Latn-BA"/>
        </w:rPr>
        <w:t xml:space="preserve"> </w:t>
      </w:r>
      <w:r>
        <w:rPr>
          <w:rFonts w:ascii="Times New Roman" w:hAnsi="Times New Roman"/>
          <w:lang w:val="sr-Latn-BA"/>
        </w:rPr>
        <w:t>подређености</w:t>
      </w:r>
      <w:r w:rsidR="00F772CE" w:rsidRPr="00295637">
        <w:rPr>
          <w:rFonts w:ascii="Times New Roman" w:hAnsi="Times New Roman"/>
          <w:lang w:val="sr-Latn-BA"/>
        </w:rPr>
        <w:t xml:space="preserve"> </w:t>
      </w:r>
      <w:r>
        <w:rPr>
          <w:rFonts w:ascii="Times New Roman" w:hAnsi="Times New Roman"/>
          <w:lang w:val="sr-Latn-BA"/>
        </w:rPr>
        <w:t>или</w:t>
      </w:r>
      <w:r w:rsidR="00F772CE" w:rsidRPr="00295637">
        <w:rPr>
          <w:rFonts w:ascii="Times New Roman" w:hAnsi="Times New Roman"/>
          <w:lang w:val="sr-Latn-BA"/>
        </w:rPr>
        <w:t xml:space="preserve"> </w:t>
      </w:r>
      <w:r>
        <w:rPr>
          <w:rFonts w:ascii="Times New Roman" w:hAnsi="Times New Roman"/>
          <w:lang w:val="sr-Latn-BA"/>
        </w:rPr>
        <w:t>зависности</w:t>
      </w:r>
      <w:r w:rsidR="00F772CE" w:rsidRPr="00295637">
        <w:rPr>
          <w:rFonts w:ascii="Times New Roman" w:hAnsi="Times New Roman"/>
          <w:lang w:val="sr-Latn-BA"/>
        </w:rPr>
        <w:t xml:space="preserve">, </w:t>
      </w:r>
      <w:r>
        <w:rPr>
          <w:rFonts w:ascii="Times New Roman" w:hAnsi="Times New Roman"/>
          <w:lang w:val="sr-Latn-BA"/>
        </w:rPr>
        <w:t>рањивости</w:t>
      </w:r>
      <w:r w:rsidR="00F772CE" w:rsidRPr="00295637">
        <w:rPr>
          <w:rFonts w:ascii="Times New Roman" w:hAnsi="Times New Roman"/>
          <w:lang w:val="sr-Latn-BA"/>
        </w:rPr>
        <w:t xml:space="preserve"> </w:t>
      </w:r>
      <w:r>
        <w:rPr>
          <w:rFonts w:ascii="Times New Roman" w:hAnsi="Times New Roman"/>
          <w:lang w:val="sr-Latn-BA"/>
        </w:rPr>
        <w:t>жртве</w:t>
      </w:r>
      <w:r w:rsidR="00F772CE" w:rsidRPr="00295637">
        <w:rPr>
          <w:rFonts w:ascii="Times New Roman" w:hAnsi="Times New Roman"/>
          <w:lang w:val="sr-Latn-BA"/>
        </w:rPr>
        <w:t xml:space="preserve"> (</w:t>
      </w:r>
      <w:r>
        <w:rPr>
          <w:rFonts w:ascii="Times New Roman" w:hAnsi="Times New Roman"/>
          <w:lang w:val="sr-Latn-BA"/>
        </w:rPr>
        <w:t>узраст</w:t>
      </w:r>
      <w:r w:rsidR="00F772CE" w:rsidRPr="00295637">
        <w:rPr>
          <w:rFonts w:ascii="Times New Roman" w:hAnsi="Times New Roman"/>
          <w:lang w:val="sr-Latn-BA"/>
        </w:rPr>
        <w:t xml:space="preserve">, </w:t>
      </w:r>
      <w:r>
        <w:rPr>
          <w:rFonts w:ascii="Times New Roman" w:hAnsi="Times New Roman"/>
          <w:lang w:val="sr-Latn-BA"/>
        </w:rPr>
        <w:t>болест</w:t>
      </w:r>
      <w:r w:rsidR="00F772CE" w:rsidRPr="00295637">
        <w:rPr>
          <w:rFonts w:ascii="Times New Roman" w:hAnsi="Times New Roman"/>
          <w:lang w:val="sr-Latn-BA"/>
        </w:rPr>
        <w:t xml:space="preserve">, </w:t>
      </w:r>
      <w:r>
        <w:rPr>
          <w:rFonts w:ascii="Times New Roman" w:hAnsi="Times New Roman"/>
          <w:lang w:val="sr-Latn-BA"/>
        </w:rPr>
        <w:t>инвалидитет</w:t>
      </w:r>
      <w:r w:rsidR="00F772CE" w:rsidRPr="00295637">
        <w:rPr>
          <w:rFonts w:ascii="Times New Roman" w:hAnsi="Times New Roman"/>
          <w:lang w:val="sr-Latn-BA"/>
        </w:rPr>
        <w:t xml:space="preserve">, </w:t>
      </w:r>
      <w:r>
        <w:rPr>
          <w:rFonts w:ascii="Times New Roman" w:hAnsi="Times New Roman"/>
          <w:lang w:val="sr-Latn-BA"/>
        </w:rPr>
        <w:t>зависност</w:t>
      </w:r>
      <w:r w:rsidR="00F772CE" w:rsidRPr="00295637">
        <w:rPr>
          <w:rFonts w:ascii="Times New Roman" w:hAnsi="Times New Roman"/>
          <w:lang w:val="sr-Latn-BA"/>
        </w:rPr>
        <w:t xml:space="preserve">, </w:t>
      </w:r>
      <w:r>
        <w:rPr>
          <w:rFonts w:ascii="Times New Roman" w:hAnsi="Times New Roman"/>
          <w:lang w:val="sr-Latn-BA"/>
        </w:rPr>
        <w:t>трудноћа</w:t>
      </w:r>
      <w:r w:rsidR="00F772CE" w:rsidRPr="00295637">
        <w:rPr>
          <w:rFonts w:ascii="Times New Roman" w:hAnsi="Times New Roman"/>
          <w:lang w:val="sr-Latn-BA"/>
        </w:rPr>
        <w:t xml:space="preserve">, </w:t>
      </w:r>
      <w:r>
        <w:rPr>
          <w:rFonts w:ascii="Times New Roman" w:hAnsi="Times New Roman"/>
          <w:lang w:val="sr-Latn-BA"/>
        </w:rPr>
        <w:t>тешка</w:t>
      </w:r>
      <w:r w:rsidR="00F772CE" w:rsidRPr="00295637">
        <w:rPr>
          <w:rFonts w:ascii="Times New Roman" w:hAnsi="Times New Roman"/>
          <w:lang w:val="sr-Latn-BA"/>
        </w:rPr>
        <w:t xml:space="preserve"> </w:t>
      </w:r>
      <w:r w:rsidR="0082548C">
        <w:rPr>
          <w:rFonts w:ascii="Times New Roman" w:hAnsi="Times New Roman"/>
          <w:lang w:val="sr-Cyrl-BA"/>
        </w:rPr>
        <w:t>физичка</w:t>
      </w:r>
      <w:r w:rsidR="00F772CE" w:rsidRPr="00295637">
        <w:rPr>
          <w:rFonts w:ascii="Times New Roman" w:hAnsi="Times New Roman"/>
          <w:lang w:val="sr-Latn-BA"/>
        </w:rPr>
        <w:t xml:space="preserve"> </w:t>
      </w:r>
      <w:r>
        <w:rPr>
          <w:rFonts w:ascii="Times New Roman" w:hAnsi="Times New Roman"/>
          <w:lang w:val="sr-Latn-BA"/>
        </w:rPr>
        <w:t>или</w:t>
      </w:r>
      <w:r w:rsidR="00F772CE" w:rsidRPr="00295637">
        <w:rPr>
          <w:rFonts w:ascii="Times New Roman" w:hAnsi="Times New Roman"/>
          <w:lang w:val="sr-Latn-BA"/>
        </w:rPr>
        <w:t xml:space="preserve"> </w:t>
      </w:r>
      <w:r>
        <w:rPr>
          <w:rFonts w:ascii="Times New Roman" w:hAnsi="Times New Roman"/>
          <w:lang w:val="sr-Latn-BA"/>
        </w:rPr>
        <w:t>душевна</w:t>
      </w:r>
      <w:r w:rsidR="00F772CE" w:rsidRPr="00295637">
        <w:rPr>
          <w:rFonts w:ascii="Times New Roman" w:hAnsi="Times New Roman"/>
          <w:lang w:val="sr-Latn-BA"/>
        </w:rPr>
        <w:t xml:space="preserve"> </w:t>
      </w:r>
      <w:r>
        <w:rPr>
          <w:rFonts w:ascii="Times New Roman" w:hAnsi="Times New Roman"/>
          <w:lang w:val="sr-Latn-BA"/>
        </w:rPr>
        <w:t>сметња</w:t>
      </w:r>
      <w:r w:rsidR="00F772CE" w:rsidRPr="00295637">
        <w:rPr>
          <w:rFonts w:ascii="Times New Roman" w:hAnsi="Times New Roman"/>
          <w:lang w:val="sr-Latn-BA"/>
        </w:rPr>
        <w:t>).</w:t>
      </w:r>
    </w:p>
    <w:p w:rsidR="00F772CE" w:rsidRPr="00295637" w:rsidRDefault="00C6214E" w:rsidP="0086268D">
      <w:pPr>
        <w:pStyle w:val="ListParagraph"/>
        <w:numPr>
          <w:ilvl w:val="0"/>
          <w:numId w:val="23"/>
        </w:numPr>
        <w:jc w:val="both"/>
        <w:rPr>
          <w:rFonts w:ascii="Times New Roman" w:hAnsi="Times New Roman"/>
          <w:lang w:val="sr-Latn-BA"/>
        </w:rPr>
      </w:pPr>
      <w:r>
        <w:rPr>
          <w:rFonts w:ascii="Times New Roman" w:hAnsi="Times New Roman"/>
          <w:lang w:val="sr-Latn-BA"/>
        </w:rPr>
        <w:t>Закон</w:t>
      </w:r>
      <w:r w:rsidR="00F772CE" w:rsidRPr="00295637">
        <w:rPr>
          <w:rFonts w:ascii="Times New Roman" w:hAnsi="Times New Roman"/>
          <w:lang w:val="sr-Latn-BA"/>
        </w:rPr>
        <w:t xml:space="preserve"> </w:t>
      </w:r>
      <w:r>
        <w:rPr>
          <w:rFonts w:ascii="Times New Roman" w:hAnsi="Times New Roman"/>
          <w:lang w:val="sr-Latn-BA"/>
        </w:rPr>
        <w:t>о</w:t>
      </w:r>
      <w:r w:rsidR="00F772CE" w:rsidRPr="00295637">
        <w:rPr>
          <w:rFonts w:ascii="Times New Roman" w:hAnsi="Times New Roman"/>
          <w:lang w:val="sr-Latn-BA"/>
        </w:rPr>
        <w:t xml:space="preserve"> </w:t>
      </w:r>
      <w:r>
        <w:rPr>
          <w:rFonts w:ascii="Times New Roman" w:hAnsi="Times New Roman"/>
          <w:lang w:val="sr-Latn-BA"/>
        </w:rPr>
        <w:t>раду</w:t>
      </w:r>
      <w:r w:rsidR="00F772CE" w:rsidRPr="00295637">
        <w:rPr>
          <w:rFonts w:ascii="Times New Roman" w:hAnsi="Times New Roman"/>
          <w:lang w:val="sr-Latn-BA"/>
        </w:rPr>
        <w:t xml:space="preserve"> </w:t>
      </w:r>
      <w:r>
        <w:rPr>
          <w:rFonts w:ascii="Times New Roman" w:hAnsi="Times New Roman"/>
          <w:lang w:val="sr-Latn-BA"/>
        </w:rPr>
        <w:t>РС</w:t>
      </w:r>
      <w:r w:rsidR="00F772CE" w:rsidRPr="00295637">
        <w:rPr>
          <w:rFonts w:ascii="Times New Roman" w:hAnsi="Times New Roman"/>
          <w:lang w:val="sr-Latn-BA"/>
        </w:rPr>
        <w:t xml:space="preserve"> </w:t>
      </w:r>
      <w:r>
        <w:rPr>
          <w:rFonts w:ascii="Times New Roman" w:hAnsi="Times New Roman"/>
          <w:lang w:val="sr-Latn-BA"/>
        </w:rPr>
        <w:t>у</w:t>
      </w:r>
      <w:r w:rsidR="00F772CE" w:rsidRPr="00295637">
        <w:rPr>
          <w:rFonts w:ascii="Times New Roman" w:hAnsi="Times New Roman"/>
          <w:lang w:val="sr-Latn-BA"/>
        </w:rPr>
        <w:t xml:space="preserve"> </w:t>
      </w:r>
      <w:r>
        <w:rPr>
          <w:rFonts w:ascii="Times New Roman" w:hAnsi="Times New Roman"/>
          <w:lang w:val="sr-Latn-BA"/>
        </w:rPr>
        <w:t>члану</w:t>
      </w:r>
      <w:r w:rsidR="00F772CE" w:rsidRPr="00295637">
        <w:rPr>
          <w:rFonts w:ascii="Times New Roman" w:hAnsi="Times New Roman"/>
          <w:lang w:val="sr-Latn-BA"/>
        </w:rPr>
        <w:t xml:space="preserve"> 24</w:t>
      </w:r>
      <w:r w:rsidR="00B12850">
        <w:rPr>
          <w:rFonts w:ascii="Times New Roman" w:hAnsi="Times New Roman"/>
          <w:lang w:val="sr-Latn-BA"/>
        </w:rPr>
        <w:t>.</w:t>
      </w:r>
      <w:r w:rsidR="00F772CE" w:rsidRPr="00295637">
        <w:rPr>
          <w:rFonts w:ascii="Times New Roman" w:hAnsi="Times New Roman"/>
          <w:lang w:val="sr-Latn-BA"/>
        </w:rPr>
        <w:t xml:space="preserve"> </w:t>
      </w:r>
      <w:r>
        <w:rPr>
          <w:rFonts w:ascii="Times New Roman" w:hAnsi="Times New Roman"/>
          <w:lang w:val="sr-Latn-BA"/>
        </w:rPr>
        <w:t>забрањује</w:t>
      </w:r>
      <w:r w:rsidR="00F772CE" w:rsidRPr="00295637">
        <w:rPr>
          <w:rFonts w:ascii="Times New Roman" w:hAnsi="Times New Roman"/>
          <w:lang w:val="sr-Latn-BA"/>
        </w:rPr>
        <w:t xml:space="preserve"> </w:t>
      </w:r>
      <w:r>
        <w:rPr>
          <w:rFonts w:ascii="Times New Roman" w:hAnsi="Times New Roman"/>
          <w:lang w:val="sr-Latn-BA"/>
        </w:rPr>
        <w:t>узнемиравање</w:t>
      </w:r>
      <w:r w:rsidR="00F772CE" w:rsidRPr="00295637">
        <w:rPr>
          <w:rFonts w:ascii="Times New Roman" w:hAnsi="Times New Roman"/>
          <w:lang w:val="sr-Latn-BA"/>
        </w:rPr>
        <w:t xml:space="preserve"> </w:t>
      </w:r>
      <w:r>
        <w:rPr>
          <w:rFonts w:ascii="Times New Roman" w:hAnsi="Times New Roman"/>
          <w:lang w:val="sr-Latn-BA"/>
        </w:rPr>
        <w:t>и</w:t>
      </w:r>
      <w:r w:rsidR="00F772CE" w:rsidRPr="00295637">
        <w:rPr>
          <w:rFonts w:ascii="Times New Roman" w:hAnsi="Times New Roman"/>
          <w:lang w:val="sr-Latn-BA"/>
        </w:rPr>
        <w:t xml:space="preserve"> </w:t>
      </w:r>
      <w:r>
        <w:rPr>
          <w:rFonts w:ascii="Times New Roman" w:hAnsi="Times New Roman"/>
          <w:lang w:val="sr-Latn-BA"/>
        </w:rPr>
        <w:t>сексуално</w:t>
      </w:r>
      <w:r w:rsidR="00F772CE" w:rsidRPr="00295637">
        <w:rPr>
          <w:rFonts w:ascii="Times New Roman" w:hAnsi="Times New Roman"/>
          <w:lang w:val="sr-Latn-BA"/>
        </w:rPr>
        <w:t xml:space="preserve"> </w:t>
      </w:r>
      <w:r>
        <w:rPr>
          <w:rFonts w:ascii="Times New Roman" w:hAnsi="Times New Roman"/>
          <w:lang w:val="sr-Latn-BA"/>
        </w:rPr>
        <w:t>узнемиравање</w:t>
      </w:r>
      <w:r w:rsidR="00F772CE" w:rsidRPr="00295637">
        <w:rPr>
          <w:rFonts w:ascii="Times New Roman" w:hAnsi="Times New Roman"/>
          <w:lang w:val="sr-Latn-BA"/>
        </w:rPr>
        <w:t xml:space="preserve">, </w:t>
      </w:r>
      <w:r>
        <w:rPr>
          <w:rFonts w:ascii="Times New Roman" w:hAnsi="Times New Roman"/>
          <w:lang w:val="sr-Latn-BA"/>
        </w:rPr>
        <w:t>насиље</w:t>
      </w:r>
      <w:r w:rsidR="00F772CE" w:rsidRPr="00295637">
        <w:rPr>
          <w:rFonts w:ascii="Times New Roman" w:hAnsi="Times New Roman"/>
          <w:lang w:val="sr-Latn-BA"/>
        </w:rPr>
        <w:t xml:space="preserve"> </w:t>
      </w:r>
      <w:r>
        <w:rPr>
          <w:rFonts w:ascii="Times New Roman" w:hAnsi="Times New Roman"/>
          <w:lang w:val="sr-Latn-BA"/>
        </w:rPr>
        <w:t>по</w:t>
      </w:r>
      <w:r w:rsidR="00F772CE" w:rsidRPr="00295637">
        <w:rPr>
          <w:rFonts w:ascii="Times New Roman" w:hAnsi="Times New Roman"/>
          <w:lang w:val="sr-Latn-BA"/>
        </w:rPr>
        <w:t xml:space="preserve"> </w:t>
      </w:r>
      <w:r>
        <w:rPr>
          <w:rFonts w:ascii="Times New Roman" w:hAnsi="Times New Roman"/>
          <w:lang w:val="sr-Latn-BA"/>
        </w:rPr>
        <w:t>основу</w:t>
      </w:r>
      <w:r w:rsidR="00F772CE" w:rsidRPr="00295637">
        <w:rPr>
          <w:rFonts w:ascii="Times New Roman" w:hAnsi="Times New Roman"/>
          <w:lang w:val="sr-Latn-BA"/>
        </w:rPr>
        <w:t xml:space="preserve"> </w:t>
      </w:r>
      <w:r>
        <w:rPr>
          <w:rFonts w:ascii="Times New Roman" w:hAnsi="Times New Roman"/>
          <w:lang w:val="sr-Latn-BA"/>
        </w:rPr>
        <w:t>пола</w:t>
      </w:r>
      <w:r w:rsidR="00F772CE" w:rsidRPr="00295637">
        <w:rPr>
          <w:rFonts w:ascii="Times New Roman" w:hAnsi="Times New Roman"/>
          <w:lang w:val="sr-Latn-BA"/>
        </w:rPr>
        <w:t xml:space="preserve">, </w:t>
      </w:r>
      <w:r>
        <w:rPr>
          <w:rFonts w:ascii="Times New Roman" w:hAnsi="Times New Roman"/>
          <w:lang w:val="sr-Latn-BA"/>
        </w:rPr>
        <w:t>као</w:t>
      </w:r>
      <w:r w:rsidR="00F772CE" w:rsidRPr="00295637">
        <w:rPr>
          <w:rFonts w:ascii="Times New Roman" w:hAnsi="Times New Roman"/>
          <w:lang w:val="sr-Latn-BA"/>
        </w:rPr>
        <w:t xml:space="preserve"> </w:t>
      </w:r>
      <w:r>
        <w:rPr>
          <w:rFonts w:ascii="Times New Roman" w:hAnsi="Times New Roman"/>
          <w:lang w:val="sr-Latn-BA"/>
        </w:rPr>
        <w:t>и</w:t>
      </w:r>
      <w:r w:rsidR="00F772CE" w:rsidRPr="00295637">
        <w:rPr>
          <w:rFonts w:ascii="Times New Roman" w:hAnsi="Times New Roman"/>
          <w:lang w:val="sr-Latn-BA"/>
        </w:rPr>
        <w:t xml:space="preserve"> </w:t>
      </w:r>
      <w:r>
        <w:rPr>
          <w:rFonts w:ascii="Times New Roman" w:hAnsi="Times New Roman"/>
          <w:lang w:val="sr-Latn-BA"/>
        </w:rPr>
        <w:t>систематско</w:t>
      </w:r>
      <w:r w:rsidR="00F772CE" w:rsidRPr="00295637">
        <w:rPr>
          <w:rFonts w:ascii="Times New Roman" w:hAnsi="Times New Roman"/>
          <w:lang w:val="sr-Latn-BA"/>
        </w:rPr>
        <w:t xml:space="preserve"> </w:t>
      </w:r>
      <w:r>
        <w:rPr>
          <w:rFonts w:ascii="Times New Roman" w:hAnsi="Times New Roman"/>
          <w:lang w:val="sr-Latn-BA"/>
        </w:rPr>
        <w:t>злостављање</w:t>
      </w:r>
      <w:r w:rsidR="00F772CE" w:rsidRPr="00295637">
        <w:rPr>
          <w:rFonts w:ascii="Times New Roman" w:hAnsi="Times New Roman"/>
          <w:lang w:val="sr-Latn-BA"/>
        </w:rPr>
        <w:t xml:space="preserve"> </w:t>
      </w:r>
      <w:r>
        <w:rPr>
          <w:rFonts w:ascii="Times New Roman" w:hAnsi="Times New Roman"/>
          <w:lang w:val="sr-Latn-BA"/>
        </w:rPr>
        <w:t>радника</w:t>
      </w:r>
      <w:r w:rsidR="00F772CE" w:rsidRPr="00295637">
        <w:rPr>
          <w:rFonts w:ascii="Times New Roman" w:hAnsi="Times New Roman"/>
          <w:lang w:val="sr-Latn-BA"/>
        </w:rPr>
        <w:t xml:space="preserve"> </w:t>
      </w:r>
      <w:r>
        <w:rPr>
          <w:rFonts w:ascii="Times New Roman" w:hAnsi="Times New Roman"/>
          <w:lang w:val="sr-Latn-BA"/>
        </w:rPr>
        <w:t>од</w:t>
      </w:r>
      <w:r w:rsidR="00F772CE" w:rsidRPr="00295637">
        <w:rPr>
          <w:rFonts w:ascii="Times New Roman" w:hAnsi="Times New Roman"/>
          <w:lang w:val="sr-Latn-BA"/>
        </w:rPr>
        <w:t xml:space="preserve"> </w:t>
      </w:r>
      <w:r>
        <w:rPr>
          <w:rFonts w:ascii="Times New Roman" w:hAnsi="Times New Roman"/>
          <w:lang w:val="sr-Latn-BA"/>
        </w:rPr>
        <w:t>послодавца</w:t>
      </w:r>
      <w:r w:rsidR="00F772CE" w:rsidRPr="00295637">
        <w:rPr>
          <w:rFonts w:ascii="Times New Roman" w:hAnsi="Times New Roman"/>
          <w:lang w:val="sr-Latn-BA"/>
        </w:rPr>
        <w:t xml:space="preserve"> </w:t>
      </w:r>
      <w:r>
        <w:rPr>
          <w:rFonts w:ascii="Times New Roman" w:hAnsi="Times New Roman"/>
          <w:lang w:val="sr-Latn-BA"/>
        </w:rPr>
        <w:t>и</w:t>
      </w:r>
      <w:r w:rsidR="00F772CE" w:rsidRPr="00295637">
        <w:rPr>
          <w:rFonts w:ascii="Times New Roman" w:hAnsi="Times New Roman"/>
          <w:lang w:val="sr-Latn-BA"/>
        </w:rPr>
        <w:t xml:space="preserve"> </w:t>
      </w:r>
      <w:r>
        <w:rPr>
          <w:rFonts w:ascii="Times New Roman" w:hAnsi="Times New Roman"/>
          <w:lang w:val="sr-Latn-BA"/>
        </w:rPr>
        <w:t>других</w:t>
      </w:r>
      <w:r w:rsidR="00F772CE" w:rsidRPr="00295637">
        <w:rPr>
          <w:rFonts w:ascii="Times New Roman" w:hAnsi="Times New Roman"/>
          <w:lang w:val="sr-Latn-BA"/>
        </w:rPr>
        <w:t xml:space="preserve"> </w:t>
      </w:r>
      <w:r>
        <w:rPr>
          <w:rFonts w:ascii="Times New Roman" w:hAnsi="Times New Roman"/>
          <w:lang w:val="sr-Latn-BA"/>
        </w:rPr>
        <w:t>запосленика</w:t>
      </w:r>
      <w:r w:rsidR="00F772CE" w:rsidRPr="00295637">
        <w:rPr>
          <w:rFonts w:ascii="Times New Roman" w:hAnsi="Times New Roman"/>
          <w:lang w:val="sr-Latn-BA"/>
        </w:rPr>
        <w:t xml:space="preserve">, </w:t>
      </w:r>
      <w:r>
        <w:rPr>
          <w:rFonts w:ascii="Times New Roman" w:hAnsi="Times New Roman"/>
          <w:lang w:val="sr-Latn-BA"/>
        </w:rPr>
        <w:t>даје</w:t>
      </w:r>
      <w:r w:rsidR="00F772CE" w:rsidRPr="00295637">
        <w:rPr>
          <w:rFonts w:ascii="Times New Roman" w:hAnsi="Times New Roman"/>
          <w:lang w:val="sr-Latn-BA"/>
        </w:rPr>
        <w:t xml:space="preserve"> </w:t>
      </w:r>
      <w:r>
        <w:rPr>
          <w:rFonts w:ascii="Times New Roman" w:hAnsi="Times New Roman"/>
          <w:lang w:val="sr-Latn-BA"/>
        </w:rPr>
        <w:t>дефиниције</w:t>
      </w:r>
      <w:r w:rsidR="00F772CE" w:rsidRPr="00295637">
        <w:rPr>
          <w:rFonts w:ascii="Times New Roman" w:hAnsi="Times New Roman"/>
          <w:lang w:val="sr-Latn-BA"/>
        </w:rPr>
        <w:t xml:space="preserve"> </w:t>
      </w:r>
      <w:r>
        <w:rPr>
          <w:rFonts w:ascii="Times New Roman" w:hAnsi="Times New Roman"/>
          <w:lang w:val="sr-Latn-BA"/>
        </w:rPr>
        <w:t>забрањених</w:t>
      </w:r>
      <w:r w:rsidR="00F772CE" w:rsidRPr="00295637">
        <w:rPr>
          <w:rFonts w:ascii="Times New Roman" w:hAnsi="Times New Roman"/>
          <w:lang w:val="sr-Latn-BA"/>
        </w:rPr>
        <w:t xml:space="preserve"> </w:t>
      </w:r>
      <w:r>
        <w:rPr>
          <w:rFonts w:ascii="Times New Roman" w:hAnsi="Times New Roman"/>
          <w:lang w:val="sr-Latn-BA"/>
        </w:rPr>
        <w:t>радњи</w:t>
      </w:r>
      <w:r w:rsidR="00F772CE" w:rsidRPr="00295637">
        <w:rPr>
          <w:rFonts w:ascii="Times New Roman" w:hAnsi="Times New Roman"/>
          <w:lang w:val="sr-Latn-BA"/>
        </w:rPr>
        <w:t xml:space="preserve">, </w:t>
      </w:r>
      <w:r>
        <w:rPr>
          <w:rFonts w:ascii="Times New Roman" w:hAnsi="Times New Roman"/>
          <w:lang w:val="sr-Latn-BA"/>
        </w:rPr>
        <w:t>у</w:t>
      </w:r>
      <w:r w:rsidR="00967405">
        <w:rPr>
          <w:rFonts w:ascii="Times New Roman" w:hAnsi="Times New Roman"/>
          <w:lang w:val="sr-Latn-BA"/>
        </w:rPr>
        <w:t xml:space="preserve"> </w:t>
      </w:r>
      <w:r>
        <w:rPr>
          <w:rFonts w:ascii="Times New Roman" w:hAnsi="Times New Roman"/>
          <w:lang w:val="sr-Latn-BA"/>
        </w:rPr>
        <w:t>складу</w:t>
      </w:r>
      <w:r w:rsidR="00967405">
        <w:rPr>
          <w:rFonts w:ascii="Times New Roman" w:hAnsi="Times New Roman"/>
          <w:lang w:val="sr-Latn-BA"/>
        </w:rPr>
        <w:t xml:space="preserve"> </w:t>
      </w:r>
      <w:r>
        <w:rPr>
          <w:rFonts w:ascii="Times New Roman" w:hAnsi="Times New Roman"/>
          <w:lang w:val="sr-Latn-BA"/>
        </w:rPr>
        <w:t>са</w:t>
      </w:r>
      <w:r w:rsidR="00F772CE" w:rsidRPr="00295637">
        <w:rPr>
          <w:rFonts w:ascii="Times New Roman" w:hAnsi="Times New Roman"/>
          <w:lang w:val="sr-Latn-BA"/>
        </w:rPr>
        <w:t xml:space="preserve"> </w:t>
      </w:r>
      <w:r>
        <w:rPr>
          <w:rFonts w:ascii="Times New Roman" w:hAnsi="Times New Roman"/>
          <w:lang w:val="sr-Latn-BA"/>
        </w:rPr>
        <w:t>Законом</w:t>
      </w:r>
      <w:r w:rsidR="00F772CE" w:rsidRPr="00295637">
        <w:rPr>
          <w:rFonts w:ascii="Times New Roman" w:hAnsi="Times New Roman"/>
          <w:lang w:val="sr-Latn-BA"/>
        </w:rPr>
        <w:t xml:space="preserve"> </w:t>
      </w:r>
      <w:r>
        <w:rPr>
          <w:rFonts w:ascii="Times New Roman" w:hAnsi="Times New Roman"/>
          <w:lang w:val="sr-Latn-BA"/>
        </w:rPr>
        <w:t>о</w:t>
      </w:r>
      <w:r w:rsidR="00F772CE" w:rsidRPr="00295637">
        <w:rPr>
          <w:rFonts w:ascii="Times New Roman" w:hAnsi="Times New Roman"/>
          <w:lang w:val="sr-Latn-BA"/>
        </w:rPr>
        <w:t xml:space="preserve"> </w:t>
      </w:r>
      <w:r>
        <w:rPr>
          <w:rFonts w:ascii="Times New Roman" w:hAnsi="Times New Roman"/>
          <w:lang w:val="sr-Latn-BA"/>
        </w:rPr>
        <w:t>равноправности</w:t>
      </w:r>
      <w:r w:rsidR="00F772CE" w:rsidRPr="00295637">
        <w:rPr>
          <w:rFonts w:ascii="Times New Roman" w:hAnsi="Times New Roman"/>
          <w:lang w:val="sr-Latn-BA"/>
        </w:rPr>
        <w:t xml:space="preserve"> </w:t>
      </w:r>
      <w:r>
        <w:rPr>
          <w:rFonts w:ascii="Times New Roman" w:hAnsi="Times New Roman"/>
          <w:lang w:val="sr-Latn-BA"/>
        </w:rPr>
        <w:t>полова</w:t>
      </w:r>
      <w:r w:rsidR="00B12850">
        <w:rPr>
          <w:rFonts w:ascii="Times New Roman" w:hAnsi="Times New Roman"/>
          <w:lang w:val="sr-Latn-BA"/>
        </w:rPr>
        <w:t xml:space="preserve"> </w:t>
      </w:r>
      <w:r>
        <w:rPr>
          <w:rFonts w:ascii="Times New Roman" w:hAnsi="Times New Roman"/>
          <w:lang w:val="sr-Latn-BA"/>
        </w:rPr>
        <w:t>у</w:t>
      </w:r>
      <w:r w:rsidR="00B12850">
        <w:rPr>
          <w:rFonts w:ascii="Times New Roman" w:hAnsi="Times New Roman"/>
          <w:lang w:val="sr-Latn-BA"/>
        </w:rPr>
        <w:t xml:space="preserve"> </w:t>
      </w:r>
      <w:r>
        <w:rPr>
          <w:rFonts w:ascii="Times New Roman" w:hAnsi="Times New Roman"/>
          <w:lang w:val="sr-Latn-BA"/>
        </w:rPr>
        <w:t>БиХ</w:t>
      </w:r>
      <w:r w:rsidR="00B12850">
        <w:rPr>
          <w:rFonts w:ascii="Times New Roman" w:hAnsi="Times New Roman"/>
          <w:lang w:val="sr-Latn-BA"/>
        </w:rPr>
        <w:t xml:space="preserve"> </w:t>
      </w:r>
      <w:r>
        <w:rPr>
          <w:rFonts w:ascii="Times New Roman" w:hAnsi="Times New Roman"/>
          <w:lang w:val="sr-Latn-BA"/>
        </w:rPr>
        <w:t>и</w:t>
      </w:r>
      <w:r w:rsidR="00B12850">
        <w:rPr>
          <w:rFonts w:ascii="Times New Roman" w:hAnsi="Times New Roman"/>
          <w:lang w:val="sr-Latn-BA"/>
        </w:rPr>
        <w:t xml:space="preserve"> </w:t>
      </w:r>
      <w:r>
        <w:rPr>
          <w:rFonts w:ascii="Times New Roman" w:hAnsi="Times New Roman"/>
          <w:lang w:val="sr-Latn-BA"/>
        </w:rPr>
        <w:t>прописује</w:t>
      </w:r>
      <w:r w:rsidR="00B12850">
        <w:rPr>
          <w:rFonts w:ascii="Times New Roman" w:hAnsi="Times New Roman"/>
          <w:lang w:val="sr-Latn-BA"/>
        </w:rPr>
        <w:t xml:space="preserve"> </w:t>
      </w:r>
      <w:r>
        <w:rPr>
          <w:rFonts w:ascii="Times New Roman" w:hAnsi="Times New Roman"/>
          <w:lang w:val="sr-Latn-BA"/>
        </w:rPr>
        <w:t>обавезу</w:t>
      </w:r>
      <w:r w:rsidR="00F772CE" w:rsidRPr="00295637">
        <w:rPr>
          <w:rFonts w:ascii="Times New Roman" w:hAnsi="Times New Roman"/>
          <w:lang w:val="sr-Latn-BA"/>
        </w:rPr>
        <w:t xml:space="preserve"> </w:t>
      </w:r>
      <w:r>
        <w:rPr>
          <w:rFonts w:ascii="Times New Roman" w:hAnsi="Times New Roman"/>
          <w:lang w:val="sr-Latn-BA"/>
        </w:rPr>
        <w:t>послодаваца</w:t>
      </w:r>
      <w:r w:rsidR="00F772CE" w:rsidRPr="00295637">
        <w:rPr>
          <w:rFonts w:ascii="Times New Roman" w:hAnsi="Times New Roman"/>
          <w:lang w:val="sr-Latn-BA"/>
        </w:rPr>
        <w:t xml:space="preserve"> </w:t>
      </w:r>
      <w:r>
        <w:rPr>
          <w:rFonts w:ascii="Times New Roman" w:hAnsi="Times New Roman"/>
          <w:lang w:val="sr-Latn-BA"/>
        </w:rPr>
        <w:t>да</w:t>
      </w:r>
      <w:r w:rsidR="00F772CE" w:rsidRPr="00295637">
        <w:rPr>
          <w:rFonts w:ascii="Times New Roman" w:hAnsi="Times New Roman"/>
          <w:lang w:val="sr-Latn-BA"/>
        </w:rPr>
        <w:t xml:space="preserve"> </w:t>
      </w:r>
      <w:r w:rsidR="008A65D0">
        <w:rPr>
          <w:rFonts w:ascii="Times New Roman" w:hAnsi="Times New Roman"/>
          <w:lang w:val="bs-Cyrl-BA"/>
        </w:rPr>
        <w:t>п</w:t>
      </w:r>
      <w:r>
        <w:rPr>
          <w:rFonts w:ascii="Times New Roman" w:hAnsi="Times New Roman"/>
          <w:lang w:val="sr-Latn-BA"/>
        </w:rPr>
        <w:t>одузму</w:t>
      </w:r>
      <w:r w:rsidR="00F772CE" w:rsidRPr="00295637">
        <w:rPr>
          <w:rFonts w:ascii="Times New Roman" w:hAnsi="Times New Roman"/>
          <w:lang w:val="sr-Latn-BA"/>
        </w:rPr>
        <w:t xml:space="preserve"> </w:t>
      </w:r>
      <w:r>
        <w:rPr>
          <w:rFonts w:ascii="Times New Roman" w:hAnsi="Times New Roman"/>
          <w:lang w:val="sr-Latn-BA"/>
        </w:rPr>
        <w:t>правовремене</w:t>
      </w:r>
      <w:r w:rsidR="00F772CE" w:rsidRPr="00295637">
        <w:rPr>
          <w:rFonts w:ascii="Times New Roman" w:hAnsi="Times New Roman"/>
          <w:lang w:val="sr-Latn-BA"/>
        </w:rPr>
        <w:t xml:space="preserve"> </w:t>
      </w:r>
      <w:r>
        <w:rPr>
          <w:rFonts w:ascii="Times New Roman" w:hAnsi="Times New Roman"/>
          <w:lang w:val="sr-Latn-BA"/>
        </w:rPr>
        <w:t>и</w:t>
      </w:r>
      <w:r w:rsidR="00F772CE" w:rsidRPr="00295637">
        <w:rPr>
          <w:rFonts w:ascii="Times New Roman" w:hAnsi="Times New Roman"/>
          <w:lang w:val="sr-Latn-BA"/>
        </w:rPr>
        <w:t xml:space="preserve"> </w:t>
      </w:r>
      <w:r>
        <w:rPr>
          <w:rFonts w:ascii="Times New Roman" w:hAnsi="Times New Roman"/>
          <w:lang w:val="sr-Latn-BA"/>
        </w:rPr>
        <w:t>ефикасне</w:t>
      </w:r>
      <w:r w:rsidR="00F772CE" w:rsidRPr="00295637">
        <w:rPr>
          <w:rFonts w:ascii="Times New Roman" w:hAnsi="Times New Roman"/>
          <w:lang w:val="sr-Latn-BA"/>
        </w:rPr>
        <w:t xml:space="preserve"> </w:t>
      </w:r>
      <w:r>
        <w:rPr>
          <w:rFonts w:ascii="Times New Roman" w:hAnsi="Times New Roman"/>
          <w:lang w:val="sr-Latn-BA"/>
        </w:rPr>
        <w:t>мјере</w:t>
      </w:r>
      <w:r w:rsidR="00F772CE" w:rsidRPr="00295637">
        <w:rPr>
          <w:rFonts w:ascii="Times New Roman" w:hAnsi="Times New Roman"/>
          <w:lang w:val="sr-Latn-BA"/>
        </w:rPr>
        <w:t xml:space="preserve"> </w:t>
      </w:r>
      <w:r w:rsidR="0082548C">
        <w:rPr>
          <w:rFonts w:ascii="Times New Roman" w:hAnsi="Times New Roman"/>
          <w:lang w:val="sr-Cyrl-BA"/>
        </w:rPr>
        <w:t>с</w:t>
      </w:r>
      <w:r w:rsidR="00F772CE" w:rsidRPr="00295637">
        <w:rPr>
          <w:rFonts w:ascii="Times New Roman" w:hAnsi="Times New Roman"/>
          <w:lang w:val="sr-Latn-BA"/>
        </w:rPr>
        <w:t xml:space="preserve"> </w:t>
      </w:r>
      <w:r>
        <w:rPr>
          <w:rFonts w:ascii="Times New Roman" w:hAnsi="Times New Roman"/>
          <w:lang w:val="sr-Latn-BA"/>
        </w:rPr>
        <w:t>циљ</w:t>
      </w:r>
      <w:r w:rsidR="0082548C">
        <w:rPr>
          <w:rFonts w:ascii="Times New Roman" w:hAnsi="Times New Roman"/>
          <w:lang w:val="sr-Cyrl-BA"/>
        </w:rPr>
        <w:t>ем</w:t>
      </w:r>
      <w:r w:rsidR="00F772CE" w:rsidRPr="00295637">
        <w:rPr>
          <w:rFonts w:ascii="Times New Roman" w:hAnsi="Times New Roman"/>
          <w:lang w:val="sr-Latn-BA"/>
        </w:rPr>
        <w:t xml:space="preserve"> </w:t>
      </w:r>
      <w:r>
        <w:rPr>
          <w:rFonts w:ascii="Times New Roman" w:hAnsi="Times New Roman"/>
          <w:lang w:val="sr-Latn-BA"/>
        </w:rPr>
        <w:t>спречавања</w:t>
      </w:r>
      <w:r w:rsidR="00F772CE" w:rsidRPr="00295637">
        <w:rPr>
          <w:rFonts w:ascii="Times New Roman" w:hAnsi="Times New Roman"/>
          <w:lang w:val="sr-Latn-BA"/>
        </w:rPr>
        <w:t xml:space="preserve"> </w:t>
      </w:r>
      <w:r>
        <w:rPr>
          <w:rFonts w:ascii="Times New Roman" w:hAnsi="Times New Roman"/>
          <w:lang w:val="sr-Latn-BA"/>
        </w:rPr>
        <w:t>насиља</w:t>
      </w:r>
      <w:r w:rsidR="00F772CE" w:rsidRPr="00295637">
        <w:rPr>
          <w:rFonts w:ascii="Times New Roman" w:hAnsi="Times New Roman"/>
          <w:lang w:val="sr-Latn-BA"/>
        </w:rPr>
        <w:t xml:space="preserve"> </w:t>
      </w:r>
      <w:r>
        <w:rPr>
          <w:rFonts w:ascii="Times New Roman" w:hAnsi="Times New Roman"/>
          <w:lang w:val="sr-Latn-BA"/>
        </w:rPr>
        <w:t>на</w:t>
      </w:r>
      <w:r w:rsidR="00F772CE" w:rsidRPr="00295637">
        <w:rPr>
          <w:rFonts w:ascii="Times New Roman" w:hAnsi="Times New Roman"/>
          <w:lang w:val="sr-Latn-BA"/>
        </w:rPr>
        <w:t xml:space="preserve"> </w:t>
      </w:r>
      <w:r>
        <w:rPr>
          <w:rFonts w:ascii="Times New Roman" w:hAnsi="Times New Roman"/>
          <w:lang w:val="sr-Latn-BA"/>
        </w:rPr>
        <w:t>основу</w:t>
      </w:r>
      <w:r w:rsidR="00F772CE" w:rsidRPr="00295637">
        <w:rPr>
          <w:rFonts w:ascii="Times New Roman" w:hAnsi="Times New Roman"/>
          <w:lang w:val="sr-Latn-BA"/>
        </w:rPr>
        <w:t xml:space="preserve"> </w:t>
      </w:r>
      <w:r>
        <w:rPr>
          <w:rFonts w:ascii="Times New Roman" w:hAnsi="Times New Roman"/>
          <w:lang w:val="sr-Latn-BA"/>
        </w:rPr>
        <w:t>пола</w:t>
      </w:r>
      <w:r w:rsidR="00F772CE" w:rsidRPr="00295637">
        <w:rPr>
          <w:rFonts w:ascii="Times New Roman" w:hAnsi="Times New Roman"/>
          <w:lang w:val="sr-Latn-BA"/>
        </w:rPr>
        <w:t xml:space="preserve">, </w:t>
      </w:r>
      <w:r>
        <w:rPr>
          <w:rFonts w:ascii="Times New Roman" w:hAnsi="Times New Roman"/>
          <w:lang w:val="sr-Latn-BA"/>
        </w:rPr>
        <w:t>дискриминације</w:t>
      </w:r>
      <w:r w:rsidR="00F772CE" w:rsidRPr="00295637">
        <w:rPr>
          <w:rFonts w:ascii="Times New Roman" w:hAnsi="Times New Roman"/>
          <w:lang w:val="sr-Latn-BA"/>
        </w:rPr>
        <w:t xml:space="preserve">, </w:t>
      </w:r>
      <w:r>
        <w:rPr>
          <w:rFonts w:ascii="Times New Roman" w:hAnsi="Times New Roman"/>
          <w:lang w:val="sr-Latn-BA"/>
        </w:rPr>
        <w:t>узнемиравања</w:t>
      </w:r>
      <w:r w:rsidR="00F772CE" w:rsidRPr="00295637">
        <w:rPr>
          <w:rFonts w:ascii="Times New Roman" w:hAnsi="Times New Roman"/>
          <w:lang w:val="sr-Latn-BA"/>
        </w:rPr>
        <w:t xml:space="preserve">, </w:t>
      </w:r>
      <w:r>
        <w:rPr>
          <w:rFonts w:ascii="Times New Roman" w:hAnsi="Times New Roman"/>
          <w:lang w:val="sr-Latn-BA"/>
        </w:rPr>
        <w:t>сексуалног</w:t>
      </w:r>
      <w:r w:rsidR="00F772CE" w:rsidRPr="00295637">
        <w:rPr>
          <w:rFonts w:ascii="Times New Roman" w:hAnsi="Times New Roman"/>
          <w:lang w:val="sr-Latn-BA"/>
        </w:rPr>
        <w:t xml:space="preserve"> </w:t>
      </w:r>
      <w:r>
        <w:rPr>
          <w:rFonts w:ascii="Times New Roman" w:hAnsi="Times New Roman"/>
          <w:lang w:val="sr-Latn-BA"/>
        </w:rPr>
        <w:t>узнемиравања</w:t>
      </w:r>
      <w:r w:rsidR="00B12850">
        <w:rPr>
          <w:rFonts w:ascii="Times New Roman" w:hAnsi="Times New Roman"/>
          <w:lang w:val="sr-Latn-BA"/>
        </w:rPr>
        <w:t xml:space="preserve"> </w:t>
      </w:r>
      <w:r>
        <w:rPr>
          <w:rFonts w:ascii="Times New Roman" w:hAnsi="Times New Roman"/>
          <w:lang w:val="sr-Latn-BA"/>
        </w:rPr>
        <w:t>у</w:t>
      </w:r>
      <w:r w:rsidR="00B12850">
        <w:rPr>
          <w:rFonts w:ascii="Times New Roman" w:hAnsi="Times New Roman"/>
          <w:lang w:val="sr-Latn-BA"/>
        </w:rPr>
        <w:t xml:space="preserve"> </w:t>
      </w:r>
      <w:r>
        <w:rPr>
          <w:rFonts w:ascii="Times New Roman" w:hAnsi="Times New Roman"/>
          <w:lang w:val="sr-Latn-BA"/>
        </w:rPr>
        <w:t>раду</w:t>
      </w:r>
      <w:r w:rsidR="00B12850">
        <w:rPr>
          <w:rFonts w:ascii="Times New Roman" w:hAnsi="Times New Roman"/>
          <w:lang w:val="sr-Latn-BA"/>
        </w:rPr>
        <w:t xml:space="preserve"> </w:t>
      </w:r>
      <w:r>
        <w:rPr>
          <w:rFonts w:ascii="Times New Roman" w:hAnsi="Times New Roman"/>
          <w:lang w:val="sr-Latn-BA"/>
        </w:rPr>
        <w:t>и</w:t>
      </w:r>
      <w:r w:rsidR="00B12850">
        <w:rPr>
          <w:rFonts w:ascii="Times New Roman" w:hAnsi="Times New Roman"/>
          <w:lang w:val="sr-Latn-BA"/>
        </w:rPr>
        <w:t>/</w:t>
      </w:r>
      <w:r>
        <w:rPr>
          <w:rFonts w:ascii="Times New Roman" w:hAnsi="Times New Roman"/>
          <w:lang w:val="sr-Latn-BA"/>
        </w:rPr>
        <w:t>или</w:t>
      </w:r>
      <w:r w:rsidR="00B12850">
        <w:rPr>
          <w:rFonts w:ascii="Times New Roman" w:hAnsi="Times New Roman"/>
          <w:lang w:val="sr-Latn-BA"/>
        </w:rPr>
        <w:t xml:space="preserve"> </w:t>
      </w:r>
      <w:r>
        <w:rPr>
          <w:rFonts w:ascii="Times New Roman" w:hAnsi="Times New Roman"/>
          <w:lang w:val="sr-Latn-BA"/>
        </w:rPr>
        <w:t>у</w:t>
      </w:r>
      <w:r w:rsidR="00B12850">
        <w:rPr>
          <w:rFonts w:ascii="Times New Roman" w:hAnsi="Times New Roman"/>
          <w:lang w:val="sr-Latn-BA"/>
        </w:rPr>
        <w:t xml:space="preserve"> </w:t>
      </w:r>
      <w:r>
        <w:rPr>
          <w:rFonts w:ascii="Times New Roman" w:hAnsi="Times New Roman"/>
          <w:lang w:val="sr-Latn-BA"/>
        </w:rPr>
        <w:t>вези</w:t>
      </w:r>
      <w:r w:rsidR="00B12850">
        <w:rPr>
          <w:rFonts w:ascii="Times New Roman" w:hAnsi="Times New Roman"/>
          <w:lang w:val="sr-Latn-BA"/>
        </w:rPr>
        <w:t xml:space="preserve"> </w:t>
      </w:r>
      <w:r>
        <w:rPr>
          <w:rFonts w:ascii="Times New Roman" w:hAnsi="Times New Roman"/>
          <w:lang w:val="sr-Latn-BA"/>
        </w:rPr>
        <w:t>са</w:t>
      </w:r>
      <w:r w:rsidR="00F772CE" w:rsidRPr="00295637">
        <w:rPr>
          <w:rFonts w:ascii="Times New Roman" w:hAnsi="Times New Roman"/>
          <w:lang w:val="sr-Latn-BA"/>
        </w:rPr>
        <w:t xml:space="preserve"> </w:t>
      </w:r>
      <w:r>
        <w:rPr>
          <w:rFonts w:ascii="Times New Roman" w:hAnsi="Times New Roman"/>
          <w:lang w:val="sr-Latn-BA"/>
        </w:rPr>
        <w:t>радом</w:t>
      </w:r>
      <w:r w:rsidR="00F772CE" w:rsidRPr="00295637">
        <w:rPr>
          <w:rFonts w:ascii="Times New Roman" w:hAnsi="Times New Roman"/>
          <w:lang w:val="sr-Latn-BA"/>
        </w:rPr>
        <w:t xml:space="preserve"> </w:t>
      </w:r>
      <w:r>
        <w:rPr>
          <w:rFonts w:ascii="Times New Roman" w:hAnsi="Times New Roman"/>
          <w:lang w:val="sr-Latn-BA"/>
        </w:rPr>
        <w:t>и</w:t>
      </w:r>
      <w:r w:rsidR="00F772CE" w:rsidRPr="00295637">
        <w:rPr>
          <w:rFonts w:ascii="Times New Roman" w:hAnsi="Times New Roman"/>
          <w:lang w:val="sr-Latn-BA"/>
        </w:rPr>
        <w:t xml:space="preserve"> </w:t>
      </w:r>
      <w:r>
        <w:rPr>
          <w:rFonts w:ascii="Times New Roman" w:hAnsi="Times New Roman"/>
          <w:lang w:val="sr-Latn-BA"/>
        </w:rPr>
        <w:t>мобингом</w:t>
      </w:r>
      <w:r w:rsidR="00F772CE" w:rsidRPr="00295637">
        <w:rPr>
          <w:rFonts w:ascii="Times New Roman" w:hAnsi="Times New Roman"/>
          <w:lang w:val="sr-Latn-BA"/>
        </w:rPr>
        <w:t xml:space="preserve">, </w:t>
      </w:r>
      <w:r>
        <w:rPr>
          <w:rFonts w:ascii="Times New Roman" w:hAnsi="Times New Roman"/>
          <w:lang w:val="sr-Latn-BA"/>
        </w:rPr>
        <w:t>те</w:t>
      </w:r>
      <w:r w:rsidR="00F772CE" w:rsidRPr="00295637">
        <w:rPr>
          <w:rFonts w:ascii="Times New Roman" w:hAnsi="Times New Roman"/>
          <w:lang w:val="sr-Latn-BA"/>
        </w:rPr>
        <w:t xml:space="preserve"> </w:t>
      </w:r>
      <w:r>
        <w:rPr>
          <w:rFonts w:ascii="Times New Roman" w:hAnsi="Times New Roman"/>
          <w:lang w:val="sr-Latn-BA"/>
        </w:rPr>
        <w:t>не</w:t>
      </w:r>
      <w:r w:rsidR="00F772CE" w:rsidRPr="00295637">
        <w:rPr>
          <w:rFonts w:ascii="Times New Roman" w:hAnsi="Times New Roman"/>
          <w:lang w:val="sr-Latn-BA"/>
        </w:rPr>
        <w:t xml:space="preserve"> </w:t>
      </w:r>
      <w:r>
        <w:rPr>
          <w:rFonts w:ascii="Times New Roman" w:hAnsi="Times New Roman"/>
          <w:lang w:val="sr-Latn-BA"/>
        </w:rPr>
        <w:t>смије</w:t>
      </w:r>
      <w:r w:rsidR="00F772CE" w:rsidRPr="00295637">
        <w:rPr>
          <w:rFonts w:ascii="Times New Roman" w:hAnsi="Times New Roman"/>
          <w:lang w:val="sr-Latn-BA"/>
        </w:rPr>
        <w:t xml:space="preserve"> </w:t>
      </w:r>
      <w:r>
        <w:rPr>
          <w:rFonts w:ascii="Times New Roman" w:hAnsi="Times New Roman"/>
          <w:lang w:val="sr-Latn-BA"/>
        </w:rPr>
        <w:t>предузимати</w:t>
      </w:r>
      <w:r w:rsidR="00F772CE" w:rsidRPr="00295637">
        <w:rPr>
          <w:rFonts w:ascii="Times New Roman" w:hAnsi="Times New Roman"/>
          <w:lang w:val="sr-Latn-BA"/>
        </w:rPr>
        <w:t xml:space="preserve"> </w:t>
      </w:r>
      <w:r>
        <w:rPr>
          <w:rFonts w:ascii="Times New Roman" w:hAnsi="Times New Roman"/>
          <w:lang w:val="sr-Latn-BA"/>
        </w:rPr>
        <w:t>никакве</w:t>
      </w:r>
      <w:r w:rsidR="00F772CE" w:rsidRPr="00295637">
        <w:rPr>
          <w:rFonts w:ascii="Times New Roman" w:hAnsi="Times New Roman"/>
          <w:lang w:val="sr-Latn-BA"/>
        </w:rPr>
        <w:t xml:space="preserve"> </w:t>
      </w:r>
      <w:r>
        <w:rPr>
          <w:rFonts w:ascii="Times New Roman" w:hAnsi="Times New Roman"/>
          <w:lang w:val="sr-Latn-BA"/>
        </w:rPr>
        <w:t>мјере</w:t>
      </w:r>
      <w:r w:rsidR="00F772CE" w:rsidRPr="00295637">
        <w:rPr>
          <w:rFonts w:ascii="Times New Roman" w:hAnsi="Times New Roman"/>
          <w:lang w:val="sr-Latn-BA"/>
        </w:rPr>
        <w:t xml:space="preserve"> </w:t>
      </w:r>
      <w:r>
        <w:rPr>
          <w:rFonts w:ascii="Times New Roman" w:hAnsi="Times New Roman"/>
          <w:lang w:val="sr-Latn-BA"/>
        </w:rPr>
        <w:t>према</w:t>
      </w:r>
      <w:r w:rsidR="00F772CE" w:rsidRPr="00295637">
        <w:rPr>
          <w:rFonts w:ascii="Times New Roman" w:hAnsi="Times New Roman"/>
          <w:lang w:val="sr-Latn-BA"/>
        </w:rPr>
        <w:t xml:space="preserve"> </w:t>
      </w:r>
      <w:r>
        <w:rPr>
          <w:rFonts w:ascii="Times New Roman" w:hAnsi="Times New Roman"/>
          <w:lang w:val="sr-Latn-BA"/>
        </w:rPr>
        <w:t>раднику</w:t>
      </w:r>
      <w:r w:rsidR="00F772CE" w:rsidRPr="00295637">
        <w:rPr>
          <w:rFonts w:ascii="Times New Roman" w:hAnsi="Times New Roman"/>
          <w:lang w:val="sr-Latn-BA"/>
        </w:rPr>
        <w:t xml:space="preserve"> </w:t>
      </w:r>
      <w:r>
        <w:rPr>
          <w:rFonts w:ascii="Times New Roman" w:hAnsi="Times New Roman"/>
          <w:lang w:val="sr-Latn-BA"/>
        </w:rPr>
        <w:t>због</w:t>
      </w:r>
      <w:r w:rsidR="00F772CE" w:rsidRPr="00295637">
        <w:rPr>
          <w:rFonts w:ascii="Times New Roman" w:hAnsi="Times New Roman"/>
          <w:lang w:val="sr-Latn-BA"/>
        </w:rPr>
        <w:t xml:space="preserve"> </w:t>
      </w:r>
      <w:r>
        <w:rPr>
          <w:rFonts w:ascii="Times New Roman" w:hAnsi="Times New Roman"/>
          <w:lang w:val="sr-Latn-BA"/>
        </w:rPr>
        <w:t>чињенице</w:t>
      </w:r>
      <w:r w:rsidR="00F772CE" w:rsidRPr="00295637">
        <w:rPr>
          <w:rFonts w:ascii="Times New Roman" w:hAnsi="Times New Roman"/>
          <w:lang w:val="sr-Latn-BA"/>
        </w:rPr>
        <w:t xml:space="preserve"> </w:t>
      </w:r>
      <w:r>
        <w:rPr>
          <w:rFonts w:ascii="Times New Roman" w:hAnsi="Times New Roman"/>
          <w:lang w:val="sr-Latn-BA"/>
        </w:rPr>
        <w:t>да</w:t>
      </w:r>
      <w:r w:rsidR="00F772CE" w:rsidRPr="00295637">
        <w:rPr>
          <w:rFonts w:ascii="Times New Roman" w:hAnsi="Times New Roman"/>
          <w:lang w:val="sr-Latn-BA"/>
        </w:rPr>
        <w:t xml:space="preserve"> </w:t>
      </w:r>
      <w:r>
        <w:rPr>
          <w:rFonts w:ascii="Times New Roman" w:hAnsi="Times New Roman"/>
          <w:lang w:val="sr-Latn-BA"/>
        </w:rPr>
        <w:t>се</w:t>
      </w:r>
      <w:r w:rsidR="00F772CE" w:rsidRPr="00295637">
        <w:rPr>
          <w:rFonts w:ascii="Times New Roman" w:hAnsi="Times New Roman"/>
          <w:lang w:val="sr-Latn-BA"/>
        </w:rPr>
        <w:t xml:space="preserve"> </w:t>
      </w:r>
      <w:r>
        <w:rPr>
          <w:rFonts w:ascii="Times New Roman" w:hAnsi="Times New Roman"/>
          <w:lang w:val="sr-Latn-BA"/>
        </w:rPr>
        <w:t>жалио</w:t>
      </w:r>
      <w:r w:rsidR="00F772CE" w:rsidRPr="00295637">
        <w:rPr>
          <w:rFonts w:ascii="Times New Roman" w:hAnsi="Times New Roman"/>
          <w:lang w:val="sr-Latn-BA"/>
        </w:rPr>
        <w:t xml:space="preserve"> </w:t>
      </w:r>
      <w:r>
        <w:rPr>
          <w:rFonts w:ascii="Times New Roman" w:hAnsi="Times New Roman"/>
          <w:lang w:val="sr-Latn-BA"/>
        </w:rPr>
        <w:t>на</w:t>
      </w:r>
      <w:r w:rsidR="00F772CE" w:rsidRPr="00295637">
        <w:rPr>
          <w:rFonts w:ascii="Times New Roman" w:hAnsi="Times New Roman"/>
          <w:lang w:val="sr-Latn-BA"/>
        </w:rPr>
        <w:t xml:space="preserve"> </w:t>
      </w:r>
      <w:r>
        <w:rPr>
          <w:rFonts w:ascii="Times New Roman" w:hAnsi="Times New Roman"/>
          <w:lang w:val="sr-Latn-BA"/>
        </w:rPr>
        <w:t>насиље</w:t>
      </w:r>
      <w:r w:rsidR="00F772CE" w:rsidRPr="00295637">
        <w:rPr>
          <w:rFonts w:ascii="Times New Roman" w:hAnsi="Times New Roman"/>
          <w:lang w:val="sr-Latn-BA"/>
        </w:rPr>
        <w:t xml:space="preserve">, </w:t>
      </w:r>
      <w:r>
        <w:rPr>
          <w:rFonts w:ascii="Times New Roman" w:hAnsi="Times New Roman"/>
          <w:lang w:val="sr-Latn-BA"/>
        </w:rPr>
        <w:t>дискриминацију</w:t>
      </w:r>
      <w:r w:rsidR="00F772CE" w:rsidRPr="00295637">
        <w:rPr>
          <w:rFonts w:ascii="Times New Roman" w:hAnsi="Times New Roman"/>
          <w:lang w:val="sr-Latn-BA"/>
        </w:rPr>
        <w:t xml:space="preserve">, </w:t>
      </w:r>
      <w:r>
        <w:rPr>
          <w:rFonts w:ascii="Times New Roman" w:hAnsi="Times New Roman"/>
          <w:lang w:val="sr-Latn-BA"/>
        </w:rPr>
        <w:t>узнемиравање</w:t>
      </w:r>
      <w:r w:rsidR="00F772CE" w:rsidRPr="00295637">
        <w:rPr>
          <w:rFonts w:ascii="Times New Roman" w:hAnsi="Times New Roman"/>
          <w:lang w:val="sr-Latn-BA"/>
        </w:rPr>
        <w:t xml:space="preserve">, </w:t>
      </w:r>
      <w:r>
        <w:rPr>
          <w:rFonts w:ascii="Times New Roman" w:hAnsi="Times New Roman"/>
          <w:lang w:val="sr-Latn-BA"/>
        </w:rPr>
        <w:t>сексуално</w:t>
      </w:r>
      <w:r w:rsidR="00F772CE" w:rsidRPr="00295637">
        <w:rPr>
          <w:rFonts w:ascii="Times New Roman" w:hAnsi="Times New Roman"/>
          <w:lang w:val="sr-Latn-BA"/>
        </w:rPr>
        <w:t xml:space="preserve"> </w:t>
      </w:r>
      <w:r>
        <w:rPr>
          <w:rFonts w:ascii="Times New Roman" w:hAnsi="Times New Roman"/>
          <w:lang w:val="sr-Latn-BA"/>
        </w:rPr>
        <w:t>узнемиравање</w:t>
      </w:r>
      <w:r w:rsidR="00F772CE" w:rsidRPr="00295637">
        <w:rPr>
          <w:rFonts w:ascii="Times New Roman" w:hAnsi="Times New Roman"/>
          <w:lang w:val="sr-Latn-BA"/>
        </w:rPr>
        <w:t xml:space="preserve"> </w:t>
      </w:r>
      <w:r>
        <w:rPr>
          <w:rFonts w:ascii="Times New Roman" w:hAnsi="Times New Roman"/>
          <w:lang w:val="sr-Latn-BA"/>
        </w:rPr>
        <w:t>и</w:t>
      </w:r>
      <w:r w:rsidR="00F772CE" w:rsidRPr="00295637">
        <w:rPr>
          <w:rFonts w:ascii="Times New Roman" w:hAnsi="Times New Roman"/>
          <w:lang w:val="sr-Latn-BA"/>
        </w:rPr>
        <w:t xml:space="preserve"> </w:t>
      </w:r>
      <w:r>
        <w:rPr>
          <w:rFonts w:ascii="Times New Roman" w:hAnsi="Times New Roman"/>
          <w:lang w:val="sr-Latn-BA"/>
        </w:rPr>
        <w:t>мобинг</w:t>
      </w:r>
      <w:r w:rsidR="00F772CE" w:rsidRPr="00295637">
        <w:rPr>
          <w:rFonts w:ascii="Times New Roman" w:hAnsi="Times New Roman"/>
          <w:lang w:val="sr-Latn-BA"/>
        </w:rPr>
        <w:t xml:space="preserve">, </w:t>
      </w:r>
      <w:r>
        <w:rPr>
          <w:rFonts w:ascii="Times New Roman" w:hAnsi="Times New Roman"/>
          <w:lang w:val="sr-Latn-BA"/>
        </w:rPr>
        <w:t>а</w:t>
      </w:r>
      <w:r w:rsidR="00F772CE" w:rsidRPr="00295637">
        <w:rPr>
          <w:rFonts w:ascii="Times New Roman" w:hAnsi="Times New Roman"/>
          <w:lang w:val="sr-Latn-BA"/>
        </w:rPr>
        <w:t xml:space="preserve"> </w:t>
      </w:r>
      <w:r>
        <w:rPr>
          <w:rFonts w:ascii="Times New Roman" w:hAnsi="Times New Roman"/>
          <w:lang w:val="sr-Latn-BA"/>
        </w:rPr>
        <w:t>у</w:t>
      </w:r>
      <w:r w:rsidR="00F772CE" w:rsidRPr="00295637">
        <w:rPr>
          <w:rFonts w:ascii="Times New Roman" w:hAnsi="Times New Roman"/>
          <w:lang w:val="sr-Latn-BA"/>
        </w:rPr>
        <w:t xml:space="preserve"> </w:t>
      </w:r>
      <w:r>
        <w:rPr>
          <w:rFonts w:ascii="Times New Roman" w:hAnsi="Times New Roman"/>
          <w:lang w:val="sr-Latn-BA"/>
        </w:rPr>
        <w:t>члану</w:t>
      </w:r>
      <w:r w:rsidR="00F772CE" w:rsidRPr="00295637">
        <w:rPr>
          <w:rFonts w:ascii="Times New Roman" w:hAnsi="Times New Roman"/>
          <w:lang w:val="sr-Latn-BA"/>
        </w:rPr>
        <w:t xml:space="preserve"> 25. </w:t>
      </w:r>
      <w:r>
        <w:rPr>
          <w:rFonts w:ascii="Times New Roman" w:hAnsi="Times New Roman"/>
          <w:lang w:val="sr-Latn-BA"/>
        </w:rPr>
        <w:t>прописује</w:t>
      </w:r>
      <w:r w:rsidR="00F772CE" w:rsidRPr="00295637">
        <w:rPr>
          <w:rFonts w:ascii="Times New Roman" w:hAnsi="Times New Roman"/>
          <w:lang w:val="sr-Latn-BA"/>
        </w:rPr>
        <w:t xml:space="preserve"> </w:t>
      </w:r>
      <w:r>
        <w:rPr>
          <w:rFonts w:ascii="Times New Roman" w:hAnsi="Times New Roman"/>
          <w:lang w:val="sr-Latn-BA"/>
        </w:rPr>
        <w:t>поступак</w:t>
      </w:r>
      <w:r w:rsidR="00F772CE" w:rsidRPr="00295637">
        <w:rPr>
          <w:rFonts w:ascii="Times New Roman" w:hAnsi="Times New Roman"/>
          <w:lang w:val="sr-Latn-BA"/>
        </w:rPr>
        <w:t xml:space="preserve"> </w:t>
      </w:r>
      <w:r>
        <w:rPr>
          <w:rFonts w:ascii="Times New Roman" w:hAnsi="Times New Roman"/>
          <w:lang w:val="sr-Latn-BA"/>
        </w:rPr>
        <w:t>за</w:t>
      </w:r>
      <w:r w:rsidR="00F772CE" w:rsidRPr="00295637">
        <w:rPr>
          <w:rFonts w:ascii="Times New Roman" w:hAnsi="Times New Roman"/>
          <w:lang w:val="sr-Latn-BA"/>
        </w:rPr>
        <w:t xml:space="preserve"> </w:t>
      </w:r>
      <w:r>
        <w:rPr>
          <w:rFonts w:ascii="Times New Roman" w:hAnsi="Times New Roman"/>
          <w:lang w:val="sr-Latn-BA"/>
        </w:rPr>
        <w:t>заштиту</w:t>
      </w:r>
      <w:r w:rsidR="00F772CE" w:rsidRPr="00295637">
        <w:rPr>
          <w:rFonts w:ascii="Times New Roman" w:hAnsi="Times New Roman"/>
          <w:lang w:val="sr-Latn-BA"/>
        </w:rPr>
        <w:t xml:space="preserve"> </w:t>
      </w:r>
      <w:r>
        <w:rPr>
          <w:rFonts w:ascii="Times New Roman" w:hAnsi="Times New Roman"/>
          <w:lang w:val="sr-Latn-BA"/>
        </w:rPr>
        <w:t>права</w:t>
      </w:r>
      <w:r w:rsidR="00F772CE" w:rsidRPr="00295637">
        <w:rPr>
          <w:rFonts w:ascii="Times New Roman" w:hAnsi="Times New Roman"/>
          <w:lang w:val="sr-Latn-BA"/>
        </w:rPr>
        <w:t>.</w:t>
      </w:r>
    </w:p>
    <w:p w:rsidR="00F772CE" w:rsidRPr="00295637" w:rsidRDefault="00C6214E" w:rsidP="0086268D">
      <w:pPr>
        <w:pStyle w:val="ListParagraph"/>
        <w:numPr>
          <w:ilvl w:val="0"/>
          <w:numId w:val="23"/>
        </w:numPr>
        <w:jc w:val="both"/>
        <w:rPr>
          <w:rFonts w:ascii="Times New Roman" w:hAnsi="Times New Roman"/>
          <w:lang w:val="sr-Latn-BA"/>
        </w:rPr>
      </w:pPr>
      <w:r>
        <w:rPr>
          <w:rFonts w:ascii="Times New Roman" w:hAnsi="Times New Roman"/>
          <w:lang w:val="sr-Latn-BA"/>
        </w:rPr>
        <w:t>Закон</w:t>
      </w:r>
      <w:r w:rsidR="00F772CE" w:rsidRPr="00295637">
        <w:rPr>
          <w:rFonts w:ascii="Times New Roman" w:hAnsi="Times New Roman"/>
          <w:lang w:val="sr-Latn-BA"/>
        </w:rPr>
        <w:t xml:space="preserve"> </w:t>
      </w:r>
      <w:r>
        <w:rPr>
          <w:rFonts w:ascii="Times New Roman" w:hAnsi="Times New Roman"/>
          <w:lang w:val="sr-Latn-BA"/>
        </w:rPr>
        <w:t>о</w:t>
      </w:r>
      <w:r w:rsidR="00F772CE" w:rsidRPr="00295637">
        <w:rPr>
          <w:rFonts w:ascii="Times New Roman" w:hAnsi="Times New Roman"/>
          <w:lang w:val="sr-Latn-BA"/>
        </w:rPr>
        <w:t xml:space="preserve"> </w:t>
      </w:r>
      <w:r>
        <w:rPr>
          <w:rFonts w:ascii="Times New Roman" w:hAnsi="Times New Roman"/>
          <w:lang w:val="sr-Latn-BA"/>
        </w:rPr>
        <w:t>заштити</w:t>
      </w:r>
      <w:r w:rsidR="00F772CE" w:rsidRPr="00295637">
        <w:rPr>
          <w:rFonts w:ascii="Times New Roman" w:hAnsi="Times New Roman"/>
          <w:lang w:val="sr-Latn-BA"/>
        </w:rPr>
        <w:t xml:space="preserve"> </w:t>
      </w:r>
      <w:r>
        <w:rPr>
          <w:rFonts w:ascii="Times New Roman" w:hAnsi="Times New Roman"/>
          <w:lang w:val="sr-Latn-BA"/>
        </w:rPr>
        <w:t>од</w:t>
      </w:r>
      <w:r w:rsidR="00F772CE" w:rsidRPr="00295637">
        <w:rPr>
          <w:rFonts w:ascii="Times New Roman" w:hAnsi="Times New Roman"/>
          <w:lang w:val="sr-Latn-BA"/>
        </w:rPr>
        <w:t xml:space="preserve"> </w:t>
      </w:r>
      <w:r>
        <w:rPr>
          <w:rFonts w:ascii="Times New Roman" w:hAnsi="Times New Roman"/>
          <w:lang w:val="sr-Latn-BA"/>
        </w:rPr>
        <w:t>узнемиравања</w:t>
      </w:r>
      <w:r w:rsidR="00F772CE" w:rsidRPr="00295637">
        <w:rPr>
          <w:rFonts w:ascii="Times New Roman" w:hAnsi="Times New Roman"/>
          <w:lang w:val="sr-Latn-BA"/>
        </w:rPr>
        <w:t xml:space="preserve"> </w:t>
      </w:r>
      <w:r>
        <w:rPr>
          <w:rFonts w:ascii="Times New Roman" w:hAnsi="Times New Roman"/>
          <w:lang w:val="sr-Latn-BA"/>
        </w:rPr>
        <w:t>на</w:t>
      </w:r>
      <w:r w:rsidR="00F772CE" w:rsidRPr="00295637">
        <w:rPr>
          <w:rFonts w:ascii="Times New Roman" w:hAnsi="Times New Roman"/>
          <w:lang w:val="sr-Latn-BA"/>
        </w:rPr>
        <w:t xml:space="preserve"> </w:t>
      </w:r>
      <w:r>
        <w:rPr>
          <w:rFonts w:ascii="Times New Roman" w:hAnsi="Times New Roman"/>
          <w:lang w:val="sr-Latn-BA"/>
        </w:rPr>
        <w:t>раду</w:t>
      </w:r>
      <w:r w:rsidR="00F772CE" w:rsidRPr="00295637">
        <w:rPr>
          <w:rFonts w:ascii="Times New Roman" w:hAnsi="Times New Roman"/>
          <w:lang w:val="sr-Latn-BA"/>
        </w:rPr>
        <w:t xml:space="preserve"> </w:t>
      </w:r>
      <w:r>
        <w:rPr>
          <w:rFonts w:ascii="Times New Roman" w:hAnsi="Times New Roman"/>
          <w:lang w:val="sr-Latn-BA"/>
        </w:rPr>
        <w:t>РС</w:t>
      </w:r>
      <w:r w:rsidR="003C13F3">
        <w:rPr>
          <w:rFonts w:ascii="Times New Roman" w:hAnsi="Times New Roman"/>
          <w:lang w:val="sr-Latn-BA"/>
        </w:rPr>
        <w:t xml:space="preserve"> </w:t>
      </w:r>
      <w:r>
        <w:rPr>
          <w:rFonts w:ascii="Times New Roman" w:hAnsi="Times New Roman"/>
          <w:lang w:val="sr-Latn-BA"/>
        </w:rPr>
        <w:t>у</w:t>
      </w:r>
      <w:r w:rsidR="003C13F3">
        <w:rPr>
          <w:rFonts w:ascii="Times New Roman" w:hAnsi="Times New Roman"/>
          <w:lang w:val="sr-Latn-BA"/>
        </w:rPr>
        <w:t xml:space="preserve"> </w:t>
      </w:r>
      <w:r>
        <w:rPr>
          <w:rFonts w:ascii="Times New Roman" w:hAnsi="Times New Roman"/>
          <w:lang w:val="sr-Latn-BA"/>
        </w:rPr>
        <w:t>поглављу</w:t>
      </w:r>
      <w:r w:rsidR="00F772CE" w:rsidRPr="00295637">
        <w:rPr>
          <w:rFonts w:ascii="Times New Roman" w:hAnsi="Times New Roman"/>
          <w:lang w:val="sr-Latn-BA"/>
        </w:rPr>
        <w:t xml:space="preserve"> </w:t>
      </w:r>
      <w:r w:rsidR="0082548C">
        <w:rPr>
          <w:rFonts w:ascii="Times New Roman" w:hAnsi="Times New Roman"/>
          <w:lang w:val="sr-Latn-BA"/>
        </w:rPr>
        <w:t>II</w:t>
      </w:r>
      <w:r w:rsidR="00F772CE" w:rsidRPr="00295637">
        <w:rPr>
          <w:rFonts w:ascii="Times New Roman" w:hAnsi="Times New Roman"/>
          <w:lang w:val="sr-Latn-BA"/>
        </w:rPr>
        <w:t xml:space="preserve"> „</w:t>
      </w:r>
      <w:r>
        <w:rPr>
          <w:rFonts w:ascii="Times New Roman" w:hAnsi="Times New Roman"/>
          <w:lang w:val="sr-Latn-BA"/>
        </w:rPr>
        <w:t>Узнемиравање</w:t>
      </w:r>
      <w:r w:rsidR="00F772CE" w:rsidRPr="00295637">
        <w:rPr>
          <w:rFonts w:ascii="Times New Roman" w:hAnsi="Times New Roman"/>
          <w:lang w:val="sr-Latn-BA"/>
        </w:rPr>
        <w:t xml:space="preserve"> </w:t>
      </w:r>
      <w:r>
        <w:rPr>
          <w:rFonts w:ascii="Times New Roman" w:hAnsi="Times New Roman"/>
          <w:lang w:val="sr-Latn-BA"/>
        </w:rPr>
        <w:t>на</w:t>
      </w:r>
      <w:r w:rsidR="00F772CE" w:rsidRPr="00295637">
        <w:rPr>
          <w:rFonts w:ascii="Times New Roman" w:hAnsi="Times New Roman"/>
          <w:lang w:val="sr-Latn-BA"/>
        </w:rPr>
        <w:t xml:space="preserve"> </w:t>
      </w:r>
      <w:r>
        <w:rPr>
          <w:rFonts w:ascii="Times New Roman" w:hAnsi="Times New Roman"/>
          <w:lang w:val="sr-Latn-BA"/>
        </w:rPr>
        <w:t>раду</w:t>
      </w:r>
      <w:r w:rsidR="00F772CE" w:rsidRPr="00295637">
        <w:rPr>
          <w:rFonts w:ascii="Times New Roman" w:hAnsi="Times New Roman"/>
          <w:lang w:val="sr-Latn-BA"/>
        </w:rPr>
        <w:t xml:space="preserve">“ </w:t>
      </w:r>
      <w:r>
        <w:rPr>
          <w:rFonts w:ascii="Times New Roman" w:hAnsi="Times New Roman"/>
          <w:lang w:val="sr-Latn-BA"/>
        </w:rPr>
        <w:t>прописује</w:t>
      </w:r>
      <w:r w:rsidR="00F772CE" w:rsidRPr="00295637">
        <w:rPr>
          <w:rFonts w:ascii="Times New Roman" w:hAnsi="Times New Roman"/>
          <w:lang w:val="sr-Latn-BA"/>
        </w:rPr>
        <w:t xml:space="preserve"> </w:t>
      </w:r>
      <w:r>
        <w:rPr>
          <w:rFonts w:ascii="Times New Roman" w:hAnsi="Times New Roman"/>
          <w:lang w:val="sr-Latn-BA"/>
        </w:rPr>
        <w:t>узнемиравање</w:t>
      </w:r>
      <w:r w:rsidR="00F772CE" w:rsidRPr="00295637">
        <w:rPr>
          <w:rFonts w:ascii="Times New Roman" w:hAnsi="Times New Roman"/>
          <w:lang w:val="sr-Latn-BA"/>
        </w:rPr>
        <w:t xml:space="preserve"> </w:t>
      </w:r>
      <w:r>
        <w:rPr>
          <w:rFonts w:ascii="Times New Roman" w:hAnsi="Times New Roman"/>
          <w:lang w:val="sr-Latn-BA"/>
        </w:rPr>
        <w:t>које</w:t>
      </w:r>
      <w:r w:rsidR="00F772CE" w:rsidRPr="00295637">
        <w:rPr>
          <w:rFonts w:ascii="Times New Roman" w:hAnsi="Times New Roman"/>
          <w:lang w:val="sr-Latn-BA"/>
        </w:rPr>
        <w:t xml:space="preserve"> </w:t>
      </w:r>
      <w:r>
        <w:rPr>
          <w:rFonts w:ascii="Times New Roman" w:hAnsi="Times New Roman"/>
          <w:lang w:val="sr-Latn-BA"/>
        </w:rPr>
        <w:t>може</w:t>
      </w:r>
      <w:r w:rsidR="00F772CE" w:rsidRPr="00295637">
        <w:rPr>
          <w:rFonts w:ascii="Times New Roman" w:hAnsi="Times New Roman"/>
          <w:lang w:val="sr-Latn-BA"/>
        </w:rPr>
        <w:t xml:space="preserve"> </w:t>
      </w:r>
      <w:r>
        <w:rPr>
          <w:rFonts w:ascii="Times New Roman" w:hAnsi="Times New Roman"/>
          <w:lang w:val="sr-Latn-BA"/>
        </w:rPr>
        <w:t>нанијети</w:t>
      </w:r>
      <w:r w:rsidR="00F772CE" w:rsidRPr="00295637">
        <w:rPr>
          <w:rFonts w:ascii="Times New Roman" w:hAnsi="Times New Roman"/>
          <w:lang w:val="sr-Latn-BA"/>
        </w:rPr>
        <w:t xml:space="preserve"> </w:t>
      </w:r>
      <w:r>
        <w:rPr>
          <w:rFonts w:ascii="Times New Roman" w:hAnsi="Times New Roman"/>
          <w:lang w:val="sr-Latn-BA"/>
        </w:rPr>
        <w:t>штету</w:t>
      </w:r>
      <w:r w:rsidR="00F772CE" w:rsidRPr="00295637">
        <w:rPr>
          <w:rFonts w:ascii="Times New Roman" w:hAnsi="Times New Roman"/>
          <w:lang w:val="sr-Latn-BA"/>
        </w:rPr>
        <w:t xml:space="preserve"> </w:t>
      </w:r>
      <w:r w:rsidR="0082548C">
        <w:rPr>
          <w:rFonts w:ascii="Times New Roman" w:hAnsi="Times New Roman"/>
          <w:lang w:val="sr-Cyrl-BA"/>
        </w:rPr>
        <w:t>физичке</w:t>
      </w:r>
      <w:r w:rsidR="00F772CE" w:rsidRPr="00295637">
        <w:rPr>
          <w:rFonts w:ascii="Times New Roman" w:hAnsi="Times New Roman"/>
          <w:lang w:val="sr-Latn-BA"/>
        </w:rPr>
        <w:t xml:space="preserve">, </w:t>
      </w:r>
      <w:r>
        <w:rPr>
          <w:rFonts w:ascii="Times New Roman" w:hAnsi="Times New Roman"/>
          <w:lang w:val="sr-Latn-BA"/>
        </w:rPr>
        <w:t>психичке</w:t>
      </w:r>
      <w:r w:rsidR="00F772CE" w:rsidRPr="00295637">
        <w:rPr>
          <w:rFonts w:ascii="Times New Roman" w:hAnsi="Times New Roman"/>
          <w:lang w:val="sr-Latn-BA"/>
        </w:rPr>
        <w:t xml:space="preserve"> </w:t>
      </w:r>
      <w:r>
        <w:rPr>
          <w:rFonts w:ascii="Times New Roman" w:hAnsi="Times New Roman"/>
          <w:lang w:val="sr-Latn-BA"/>
        </w:rPr>
        <w:t>или</w:t>
      </w:r>
      <w:r w:rsidR="00F772CE" w:rsidRPr="00295637">
        <w:rPr>
          <w:rFonts w:ascii="Times New Roman" w:hAnsi="Times New Roman"/>
          <w:lang w:val="sr-Latn-BA"/>
        </w:rPr>
        <w:t xml:space="preserve"> </w:t>
      </w:r>
      <w:r>
        <w:rPr>
          <w:rFonts w:ascii="Times New Roman" w:hAnsi="Times New Roman"/>
          <w:lang w:val="sr-Latn-BA"/>
        </w:rPr>
        <w:t>сексуалне</w:t>
      </w:r>
      <w:r w:rsidR="00F772CE" w:rsidRPr="00295637">
        <w:rPr>
          <w:rFonts w:ascii="Times New Roman" w:hAnsi="Times New Roman"/>
          <w:lang w:val="sr-Latn-BA"/>
        </w:rPr>
        <w:t xml:space="preserve"> </w:t>
      </w:r>
      <w:r>
        <w:rPr>
          <w:rFonts w:ascii="Times New Roman" w:hAnsi="Times New Roman"/>
          <w:lang w:val="sr-Latn-BA"/>
        </w:rPr>
        <w:t>природе</w:t>
      </w:r>
      <w:r w:rsidR="00F772CE" w:rsidRPr="00295637">
        <w:rPr>
          <w:rFonts w:ascii="Times New Roman" w:hAnsi="Times New Roman"/>
          <w:lang w:val="sr-Latn-BA"/>
        </w:rPr>
        <w:t xml:space="preserve">. </w:t>
      </w:r>
      <w:r>
        <w:rPr>
          <w:rFonts w:ascii="Times New Roman" w:hAnsi="Times New Roman"/>
          <w:lang w:val="sr-Latn-BA"/>
        </w:rPr>
        <w:t>У</w:t>
      </w:r>
      <w:r w:rsidR="00F772CE" w:rsidRPr="00295637">
        <w:rPr>
          <w:rFonts w:ascii="Times New Roman" w:hAnsi="Times New Roman"/>
          <w:lang w:val="sr-Latn-BA"/>
        </w:rPr>
        <w:t xml:space="preserve"> </w:t>
      </w:r>
      <w:r>
        <w:rPr>
          <w:rFonts w:ascii="Times New Roman" w:hAnsi="Times New Roman"/>
          <w:lang w:val="sr-Latn-BA"/>
        </w:rPr>
        <w:t>Члану</w:t>
      </w:r>
      <w:r w:rsidR="00F772CE" w:rsidRPr="00295637">
        <w:rPr>
          <w:rFonts w:ascii="Times New Roman" w:hAnsi="Times New Roman"/>
          <w:lang w:val="sr-Latn-BA"/>
        </w:rPr>
        <w:t xml:space="preserve"> 7. </w:t>
      </w:r>
      <w:r>
        <w:rPr>
          <w:rFonts w:ascii="Times New Roman" w:hAnsi="Times New Roman"/>
          <w:lang w:val="sr-Latn-BA"/>
        </w:rPr>
        <w:t>став</w:t>
      </w:r>
      <w:r w:rsidR="00F772CE" w:rsidRPr="00295637">
        <w:rPr>
          <w:rFonts w:ascii="Times New Roman" w:hAnsi="Times New Roman"/>
          <w:lang w:val="sr-Latn-BA"/>
        </w:rPr>
        <w:t xml:space="preserve"> (3) </w:t>
      </w:r>
      <w:r>
        <w:rPr>
          <w:rFonts w:ascii="Times New Roman" w:hAnsi="Times New Roman"/>
          <w:lang w:val="sr-Latn-BA"/>
        </w:rPr>
        <w:t>посебно</w:t>
      </w:r>
      <w:r w:rsidR="00F772CE" w:rsidRPr="00295637">
        <w:rPr>
          <w:rFonts w:ascii="Times New Roman" w:hAnsi="Times New Roman"/>
          <w:lang w:val="sr-Latn-BA"/>
        </w:rPr>
        <w:t xml:space="preserve"> </w:t>
      </w:r>
      <w:r>
        <w:rPr>
          <w:rFonts w:ascii="Times New Roman" w:hAnsi="Times New Roman"/>
          <w:lang w:val="sr-Latn-BA"/>
        </w:rPr>
        <w:t>је</w:t>
      </w:r>
      <w:r w:rsidR="00F772CE" w:rsidRPr="00295637">
        <w:rPr>
          <w:rFonts w:ascii="Times New Roman" w:hAnsi="Times New Roman"/>
          <w:lang w:val="sr-Latn-BA"/>
        </w:rPr>
        <w:t xml:space="preserve"> </w:t>
      </w:r>
      <w:r>
        <w:rPr>
          <w:rFonts w:ascii="Times New Roman" w:hAnsi="Times New Roman"/>
          <w:lang w:val="sr-Latn-BA"/>
        </w:rPr>
        <w:t>дефини</w:t>
      </w:r>
      <w:r w:rsidR="0082548C">
        <w:rPr>
          <w:rFonts w:ascii="Times New Roman" w:hAnsi="Times New Roman"/>
          <w:lang w:val="sr-Cyrl-BA"/>
        </w:rPr>
        <w:t>с</w:t>
      </w:r>
      <w:r>
        <w:rPr>
          <w:rFonts w:ascii="Times New Roman" w:hAnsi="Times New Roman"/>
          <w:lang w:val="sr-Latn-BA"/>
        </w:rPr>
        <w:t>ано</w:t>
      </w:r>
      <w:r w:rsidR="00F772CE" w:rsidRPr="00295637">
        <w:rPr>
          <w:rFonts w:ascii="Times New Roman" w:hAnsi="Times New Roman"/>
          <w:lang w:val="sr-Latn-BA"/>
        </w:rPr>
        <w:t xml:space="preserve"> </w:t>
      </w:r>
      <w:r>
        <w:rPr>
          <w:rFonts w:ascii="Times New Roman" w:hAnsi="Times New Roman"/>
          <w:lang w:val="sr-Latn-BA"/>
        </w:rPr>
        <w:t>узнемиравање</w:t>
      </w:r>
      <w:r w:rsidR="00F772CE" w:rsidRPr="00295637">
        <w:rPr>
          <w:rFonts w:ascii="Times New Roman" w:hAnsi="Times New Roman"/>
          <w:lang w:val="sr-Latn-BA"/>
        </w:rPr>
        <w:t xml:space="preserve"> </w:t>
      </w:r>
      <w:r>
        <w:rPr>
          <w:rFonts w:ascii="Times New Roman" w:hAnsi="Times New Roman"/>
          <w:lang w:val="sr-Latn-BA"/>
        </w:rPr>
        <w:t>на</w:t>
      </w:r>
      <w:r w:rsidR="00F772CE" w:rsidRPr="00295637">
        <w:rPr>
          <w:rFonts w:ascii="Times New Roman" w:hAnsi="Times New Roman"/>
          <w:lang w:val="sr-Latn-BA"/>
        </w:rPr>
        <w:t xml:space="preserve"> </w:t>
      </w:r>
      <w:r>
        <w:rPr>
          <w:rFonts w:ascii="Times New Roman" w:hAnsi="Times New Roman"/>
          <w:lang w:val="sr-Latn-BA"/>
        </w:rPr>
        <w:t>раду</w:t>
      </w:r>
      <w:r w:rsidR="00F772CE" w:rsidRPr="00295637">
        <w:rPr>
          <w:rFonts w:ascii="Times New Roman" w:hAnsi="Times New Roman"/>
          <w:lang w:val="sr-Latn-BA"/>
        </w:rPr>
        <w:t xml:space="preserve"> </w:t>
      </w:r>
      <w:r>
        <w:rPr>
          <w:rFonts w:ascii="Times New Roman" w:hAnsi="Times New Roman"/>
          <w:lang w:val="sr-Latn-BA"/>
        </w:rPr>
        <w:t>које</w:t>
      </w:r>
      <w:r w:rsidR="00F772CE" w:rsidRPr="00295637">
        <w:rPr>
          <w:rFonts w:ascii="Times New Roman" w:hAnsi="Times New Roman"/>
          <w:lang w:val="sr-Latn-BA"/>
        </w:rPr>
        <w:t xml:space="preserve"> </w:t>
      </w:r>
      <w:r>
        <w:rPr>
          <w:rFonts w:ascii="Times New Roman" w:hAnsi="Times New Roman"/>
          <w:lang w:val="sr-Latn-BA"/>
        </w:rPr>
        <w:t>може</w:t>
      </w:r>
      <w:r w:rsidR="00F772CE" w:rsidRPr="00295637">
        <w:rPr>
          <w:rFonts w:ascii="Times New Roman" w:hAnsi="Times New Roman"/>
          <w:lang w:val="sr-Latn-BA"/>
        </w:rPr>
        <w:t xml:space="preserve"> </w:t>
      </w:r>
      <w:r>
        <w:rPr>
          <w:rFonts w:ascii="Times New Roman" w:hAnsi="Times New Roman"/>
          <w:lang w:val="sr-Latn-BA"/>
        </w:rPr>
        <w:t>нанијети</w:t>
      </w:r>
      <w:r w:rsidR="00F772CE" w:rsidRPr="00295637">
        <w:rPr>
          <w:rFonts w:ascii="Times New Roman" w:hAnsi="Times New Roman"/>
          <w:lang w:val="sr-Latn-BA"/>
        </w:rPr>
        <w:t xml:space="preserve"> </w:t>
      </w:r>
      <w:r>
        <w:rPr>
          <w:rFonts w:ascii="Times New Roman" w:hAnsi="Times New Roman"/>
          <w:lang w:val="sr-Latn-BA"/>
        </w:rPr>
        <w:t>штету</w:t>
      </w:r>
      <w:r w:rsidR="00F772CE" w:rsidRPr="00295637">
        <w:rPr>
          <w:rFonts w:ascii="Times New Roman" w:hAnsi="Times New Roman"/>
          <w:lang w:val="sr-Latn-BA"/>
        </w:rPr>
        <w:t xml:space="preserve"> </w:t>
      </w:r>
      <w:r>
        <w:rPr>
          <w:rFonts w:ascii="Times New Roman" w:hAnsi="Times New Roman"/>
          <w:lang w:val="sr-Latn-BA"/>
        </w:rPr>
        <w:t>сексуалне</w:t>
      </w:r>
      <w:r w:rsidR="00F772CE" w:rsidRPr="00295637">
        <w:rPr>
          <w:rFonts w:ascii="Times New Roman" w:hAnsi="Times New Roman"/>
          <w:lang w:val="sr-Latn-BA"/>
        </w:rPr>
        <w:t xml:space="preserve"> </w:t>
      </w:r>
      <w:r>
        <w:rPr>
          <w:rFonts w:ascii="Times New Roman" w:hAnsi="Times New Roman"/>
          <w:lang w:val="sr-Latn-BA"/>
        </w:rPr>
        <w:t>природе</w:t>
      </w:r>
      <w:r w:rsidR="00F772CE" w:rsidRPr="00295637">
        <w:rPr>
          <w:rFonts w:ascii="Times New Roman" w:hAnsi="Times New Roman"/>
          <w:lang w:val="sr-Latn-BA"/>
        </w:rPr>
        <w:t xml:space="preserve">, </w:t>
      </w:r>
      <w:r>
        <w:rPr>
          <w:rFonts w:ascii="Times New Roman" w:hAnsi="Times New Roman"/>
          <w:lang w:val="sr-Latn-BA"/>
        </w:rPr>
        <w:t>као</w:t>
      </w:r>
      <w:r w:rsidR="00F772CE" w:rsidRPr="00295637">
        <w:rPr>
          <w:rFonts w:ascii="Times New Roman" w:hAnsi="Times New Roman"/>
          <w:lang w:val="sr-Latn-BA"/>
        </w:rPr>
        <w:t xml:space="preserve"> </w:t>
      </w:r>
      <w:r>
        <w:rPr>
          <w:rFonts w:ascii="Times New Roman" w:hAnsi="Times New Roman"/>
          <w:lang w:val="sr-Latn-BA"/>
        </w:rPr>
        <w:t>свако</w:t>
      </w:r>
      <w:r w:rsidR="00F772CE" w:rsidRPr="00295637">
        <w:rPr>
          <w:rFonts w:ascii="Times New Roman" w:hAnsi="Times New Roman"/>
          <w:lang w:val="sr-Latn-BA"/>
        </w:rPr>
        <w:t xml:space="preserve"> </w:t>
      </w:r>
      <w:r>
        <w:rPr>
          <w:rFonts w:ascii="Times New Roman" w:hAnsi="Times New Roman"/>
          <w:lang w:val="sr-Latn-BA"/>
        </w:rPr>
        <w:t>нежељено</w:t>
      </w:r>
      <w:r w:rsidR="00F772CE" w:rsidRPr="00295637">
        <w:rPr>
          <w:rFonts w:ascii="Times New Roman" w:hAnsi="Times New Roman"/>
          <w:lang w:val="sr-Latn-BA"/>
        </w:rPr>
        <w:t xml:space="preserve"> </w:t>
      </w:r>
      <w:r>
        <w:rPr>
          <w:rFonts w:ascii="Times New Roman" w:hAnsi="Times New Roman"/>
          <w:lang w:val="sr-Latn-BA"/>
        </w:rPr>
        <w:t>вербално</w:t>
      </w:r>
      <w:r w:rsidR="00F772CE" w:rsidRPr="00295637">
        <w:rPr>
          <w:rFonts w:ascii="Times New Roman" w:hAnsi="Times New Roman"/>
          <w:lang w:val="sr-Latn-BA"/>
        </w:rPr>
        <w:t xml:space="preserve">, </w:t>
      </w:r>
      <w:r>
        <w:rPr>
          <w:rFonts w:ascii="Times New Roman" w:hAnsi="Times New Roman"/>
          <w:lang w:val="sr-Latn-BA"/>
        </w:rPr>
        <w:t>невербално</w:t>
      </w:r>
      <w:r w:rsidR="00F772CE" w:rsidRPr="00295637">
        <w:rPr>
          <w:rFonts w:ascii="Times New Roman" w:hAnsi="Times New Roman"/>
          <w:lang w:val="sr-Latn-BA"/>
        </w:rPr>
        <w:t xml:space="preserve"> </w:t>
      </w:r>
      <w:r>
        <w:rPr>
          <w:rFonts w:ascii="Times New Roman" w:hAnsi="Times New Roman"/>
          <w:lang w:val="sr-Latn-BA"/>
        </w:rPr>
        <w:t>или</w:t>
      </w:r>
      <w:r w:rsidR="00F772CE" w:rsidRPr="00295637">
        <w:rPr>
          <w:rFonts w:ascii="Times New Roman" w:hAnsi="Times New Roman"/>
          <w:lang w:val="sr-Latn-BA"/>
        </w:rPr>
        <w:t xml:space="preserve"> </w:t>
      </w:r>
      <w:r w:rsidR="0082548C">
        <w:rPr>
          <w:rFonts w:ascii="Times New Roman" w:hAnsi="Times New Roman"/>
          <w:lang w:val="sr-Cyrl-BA"/>
        </w:rPr>
        <w:t>физичко</w:t>
      </w:r>
      <w:r w:rsidR="00F772CE" w:rsidRPr="00295637">
        <w:rPr>
          <w:rFonts w:ascii="Times New Roman" w:hAnsi="Times New Roman"/>
          <w:lang w:val="sr-Latn-BA"/>
        </w:rPr>
        <w:t xml:space="preserve"> </w:t>
      </w:r>
      <w:r>
        <w:rPr>
          <w:rFonts w:ascii="Times New Roman" w:hAnsi="Times New Roman"/>
          <w:lang w:val="sr-Latn-BA"/>
        </w:rPr>
        <w:t>понашање</w:t>
      </w:r>
      <w:r w:rsidR="00F772CE" w:rsidRPr="00295637">
        <w:rPr>
          <w:rFonts w:ascii="Times New Roman" w:hAnsi="Times New Roman"/>
          <w:lang w:val="sr-Latn-BA"/>
        </w:rPr>
        <w:t xml:space="preserve"> </w:t>
      </w:r>
      <w:r>
        <w:rPr>
          <w:rFonts w:ascii="Times New Roman" w:hAnsi="Times New Roman"/>
          <w:lang w:val="sr-Latn-BA"/>
        </w:rPr>
        <w:t>полне</w:t>
      </w:r>
      <w:r w:rsidR="00F772CE" w:rsidRPr="00295637">
        <w:rPr>
          <w:rFonts w:ascii="Times New Roman" w:hAnsi="Times New Roman"/>
          <w:lang w:val="sr-Latn-BA"/>
        </w:rPr>
        <w:t xml:space="preserve"> </w:t>
      </w:r>
      <w:r>
        <w:rPr>
          <w:rFonts w:ascii="Times New Roman" w:hAnsi="Times New Roman"/>
          <w:lang w:val="sr-Latn-BA"/>
        </w:rPr>
        <w:t>природе</w:t>
      </w:r>
      <w:r w:rsidR="00F772CE" w:rsidRPr="00295637">
        <w:rPr>
          <w:rFonts w:ascii="Times New Roman" w:hAnsi="Times New Roman"/>
          <w:lang w:val="sr-Latn-BA"/>
        </w:rPr>
        <w:t xml:space="preserve"> </w:t>
      </w:r>
      <w:r>
        <w:rPr>
          <w:rFonts w:ascii="Times New Roman" w:hAnsi="Times New Roman"/>
          <w:lang w:val="sr-Latn-BA"/>
        </w:rPr>
        <w:t>којим</w:t>
      </w:r>
      <w:r w:rsidR="00F772CE" w:rsidRPr="00295637">
        <w:rPr>
          <w:rFonts w:ascii="Times New Roman" w:hAnsi="Times New Roman"/>
          <w:lang w:val="sr-Latn-BA"/>
        </w:rPr>
        <w:t xml:space="preserve"> </w:t>
      </w:r>
      <w:r>
        <w:rPr>
          <w:rFonts w:ascii="Times New Roman" w:hAnsi="Times New Roman"/>
          <w:lang w:val="sr-Latn-BA"/>
        </w:rPr>
        <w:t>се</w:t>
      </w:r>
      <w:r w:rsidR="00F772CE" w:rsidRPr="00295637">
        <w:rPr>
          <w:rFonts w:ascii="Times New Roman" w:hAnsi="Times New Roman"/>
          <w:lang w:val="sr-Latn-BA"/>
        </w:rPr>
        <w:t xml:space="preserve"> </w:t>
      </w:r>
      <w:r>
        <w:rPr>
          <w:rFonts w:ascii="Times New Roman" w:hAnsi="Times New Roman"/>
          <w:lang w:val="sr-Latn-BA"/>
        </w:rPr>
        <w:t>угрожава</w:t>
      </w:r>
      <w:r w:rsidR="00F772CE" w:rsidRPr="00295637">
        <w:rPr>
          <w:rFonts w:ascii="Times New Roman" w:hAnsi="Times New Roman"/>
          <w:lang w:val="sr-Latn-BA"/>
        </w:rPr>
        <w:t xml:space="preserve"> </w:t>
      </w:r>
      <w:r>
        <w:rPr>
          <w:rFonts w:ascii="Times New Roman" w:hAnsi="Times New Roman"/>
          <w:lang w:val="sr-Latn-BA"/>
        </w:rPr>
        <w:t>достојанство</w:t>
      </w:r>
      <w:r w:rsidR="00F772CE" w:rsidRPr="00295637">
        <w:rPr>
          <w:rFonts w:ascii="Times New Roman" w:hAnsi="Times New Roman"/>
          <w:lang w:val="sr-Latn-BA"/>
        </w:rPr>
        <w:t xml:space="preserve"> </w:t>
      </w:r>
      <w:r>
        <w:rPr>
          <w:rFonts w:ascii="Times New Roman" w:hAnsi="Times New Roman"/>
          <w:lang w:val="sr-Latn-BA"/>
        </w:rPr>
        <w:t>радника</w:t>
      </w:r>
      <w:r w:rsidR="00F772CE" w:rsidRPr="00295637">
        <w:rPr>
          <w:rFonts w:ascii="Times New Roman" w:hAnsi="Times New Roman"/>
          <w:lang w:val="sr-Latn-BA"/>
        </w:rPr>
        <w:t xml:space="preserve">, </w:t>
      </w:r>
      <w:r>
        <w:rPr>
          <w:rFonts w:ascii="Times New Roman" w:hAnsi="Times New Roman"/>
          <w:lang w:val="sr-Latn-BA"/>
        </w:rPr>
        <w:t>а</w:t>
      </w:r>
      <w:r w:rsidR="00F772CE" w:rsidRPr="00295637">
        <w:rPr>
          <w:rFonts w:ascii="Times New Roman" w:hAnsi="Times New Roman"/>
          <w:lang w:val="sr-Latn-BA"/>
        </w:rPr>
        <w:t xml:space="preserve"> </w:t>
      </w:r>
      <w:r>
        <w:rPr>
          <w:rFonts w:ascii="Times New Roman" w:hAnsi="Times New Roman"/>
          <w:lang w:val="sr-Latn-BA"/>
        </w:rPr>
        <w:t>може</w:t>
      </w:r>
      <w:r w:rsidR="00F772CE" w:rsidRPr="00295637">
        <w:rPr>
          <w:rFonts w:ascii="Times New Roman" w:hAnsi="Times New Roman"/>
          <w:lang w:val="sr-Latn-BA"/>
        </w:rPr>
        <w:t xml:space="preserve"> </w:t>
      </w:r>
      <w:r>
        <w:rPr>
          <w:rFonts w:ascii="Times New Roman" w:hAnsi="Times New Roman"/>
          <w:lang w:val="sr-Latn-BA"/>
        </w:rPr>
        <w:t>узроковати</w:t>
      </w:r>
      <w:r w:rsidR="00F772CE" w:rsidRPr="00295637">
        <w:rPr>
          <w:rFonts w:ascii="Times New Roman" w:hAnsi="Times New Roman"/>
          <w:lang w:val="sr-Latn-BA"/>
        </w:rPr>
        <w:t xml:space="preserve"> </w:t>
      </w:r>
      <w:r>
        <w:rPr>
          <w:rFonts w:ascii="Times New Roman" w:hAnsi="Times New Roman"/>
          <w:lang w:val="sr-Latn-BA"/>
        </w:rPr>
        <w:t>застрашујуће</w:t>
      </w:r>
      <w:r w:rsidR="00F772CE" w:rsidRPr="00295637">
        <w:rPr>
          <w:rFonts w:ascii="Times New Roman" w:hAnsi="Times New Roman"/>
          <w:lang w:val="sr-Latn-BA"/>
        </w:rPr>
        <w:t xml:space="preserve">, </w:t>
      </w:r>
      <w:r>
        <w:rPr>
          <w:rFonts w:ascii="Times New Roman" w:hAnsi="Times New Roman"/>
          <w:lang w:val="sr-Latn-BA"/>
        </w:rPr>
        <w:t>непријатељско</w:t>
      </w:r>
      <w:r w:rsidR="00F772CE" w:rsidRPr="00295637">
        <w:rPr>
          <w:rFonts w:ascii="Times New Roman" w:hAnsi="Times New Roman"/>
          <w:lang w:val="sr-Latn-BA"/>
        </w:rPr>
        <w:t xml:space="preserve">, </w:t>
      </w:r>
      <w:r>
        <w:rPr>
          <w:rFonts w:ascii="Times New Roman" w:hAnsi="Times New Roman"/>
          <w:lang w:val="sr-Latn-BA"/>
        </w:rPr>
        <w:t>деградирајуће</w:t>
      </w:r>
      <w:r w:rsidR="00F772CE" w:rsidRPr="00295637">
        <w:rPr>
          <w:rFonts w:ascii="Times New Roman" w:hAnsi="Times New Roman"/>
          <w:lang w:val="sr-Latn-BA"/>
        </w:rPr>
        <w:t xml:space="preserve">, </w:t>
      </w:r>
      <w:r>
        <w:rPr>
          <w:rFonts w:ascii="Times New Roman" w:hAnsi="Times New Roman"/>
          <w:lang w:val="sr-Latn-BA"/>
        </w:rPr>
        <w:t>понижавајуће</w:t>
      </w:r>
      <w:r w:rsidR="00F772CE" w:rsidRPr="00295637">
        <w:rPr>
          <w:rFonts w:ascii="Times New Roman" w:hAnsi="Times New Roman"/>
          <w:lang w:val="sr-Latn-BA"/>
        </w:rPr>
        <w:t xml:space="preserve"> </w:t>
      </w:r>
      <w:r>
        <w:rPr>
          <w:rFonts w:ascii="Times New Roman" w:hAnsi="Times New Roman"/>
          <w:lang w:val="sr-Latn-BA"/>
        </w:rPr>
        <w:t>или</w:t>
      </w:r>
      <w:r w:rsidR="00F772CE" w:rsidRPr="00295637">
        <w:rPr>
          <w:rFonts w:ascii="Times New Roman" w:hAnsi="Times New Roman"/>
          <w:lang w:val="sr-Latn-BA"/>
        </w:rPr>
        <w:t xml:space="preserve"> </w:t>
      </w:r>
      <w:r>
        <w:rPr>
          <w:rFonts w:ascii="Times New Roman" w:hAnsi="Times New Roman"/>
          <w:lang w:val="sr-Latn-BA"/>
        </w:rPr>
        <w:t>увредљиво</w:t>
      </w:r>
      <w:r w:rsidR="00F772CE" w:rsidRPr="00295637">
        <w:rPr>
          <w:rFonts w:ascii="Times New Roman" w:hAnsi="Times New Roman"/>
          <w:lang w:val="sr-Latn-BA"/>
        </w:rPr>
        <w:t xml:space="preserve"> </w:t>
      </w:r>
      <w:r>
        <w:rPr>
          <w:rFonts w:ascii="Times New Roman" w:hAnsi="Times New Roman"/>
          <w:lang w:val="sr-Latn-BA"/>
        </w:rPr>
        <w:t>окружење</w:t>
      </w:r>
      <w:r w:rsidR="00F772CE" w:rsidRPr="00295637">
        <w:rPr>
          <w:rFonts w:ascii="Times New Roman" w:hAnsi="Times New Roman"/>
          <w:lang w:val="sr-Latn-BA"/>
        </w:rPr>
        <w:t xml:space="preserve"> </w:t>
      </w:r>
      <w:r>
        <w:rPr>
          <w:rFonts w:ascii="Times New Roman" w:hAnsi="Times New Roman"/>
          <w:lang w:val="sr-Latn-BA"/>
        </w:rPr>
        <w:t>за</w:t>
      </w:r>
      <w:r w:rsidR="00F772CE" w:rsidRPr="00295637">
        <w:rPr>
          <w:rFonts w:ascii="Times New Roman" w:hAnsi="Times New Roman"/>
          <w:lang w:val="sr-Latn-BA"/>
        </w:rPr>
        <w:t xml:space="preserve"> </w:t>
      </w:r>
      <w:r>
        <w:rPr>
          <w:rFonts w:ascii="Times New Roman" w:hAnsi="Times New Roman"/>
          <w:lang w:val="sr-Latn-BA"/>
        </w:rPr>
        <w:t>радника</w:t>
      </w:r>
      <w:r w:rsidR="00F772CE" w:rsidRPr="00295637">
        <w:rPr>
          <w:rFonts w:ascii="Times New Roman" w:hAnsi="Times New Roman"/>
          <w:lang w:val="sr-Latn-BA"/>
        </w:rPr>
        <w:t>.</w:t>
      </w:r>
    </w:p>
    <w:p w:rsidR="00F772CE" w:rsidRPr="00295637" w:rsidRDefault="00F772CE" w:rsidP="0086268D">
      <w:pPr>
        <w:rPr>
          <w:rFonts w:eastAsia="Calibri" w:cs="Arial"/>
          <w:b/>
          <w:sz w:val="22"/>
          <w:szCs w:val="22"/>
          <w:lang w:val="bs-Latn-BA"/>
        </w:rPr>
      </w:pPr>
      <w:bookmarkStart w:id="18" w:name="clan_6"/>
      <w:bookmarkEnd w:id="18"/>
    </w:p>
    <w:p w:rsidR="00F772CE" w:rsidRPr="00295637" w:rsidRDefault="00C6214E" w:rsidP="0086268D">
      <w:pPr>
        <w:pStyle w:val="ListParagraph"/>
        <w:ind w:left="0"/>
        <w:jc w:val="both"/>
        <w:rPr>
          <w:rFonts w:ascii="Times New Roman" w:hAnsi="Times New Roman"/>
          <w:strike/>
          <w:lang w:val="sr-Latn-BA"/>
        </w:rPr>
      </w:pPr>
      <w:r>
        <w:rPr>
          <w:rFonts w:ascii="Times New Roman" w:hAnsi="Times New Roman"/>
          <w:lang w:val="sr-Latn-BA"/>
        </w:rPr>
        <w:t>Невладине</w:t>
      </w:r>
      <w:r w:rsidR="00F772CE" w:rsidRPr="0032078A">
        <w:rPr>
          <w:rFonts w:ascii="Times New Roman" w:hAnsi="Times New Roman"/>
          <w:lang w:val="sr-Latn-BA"/>
        </w:rPr>
        <w:t xml:space="preserve"> </w:t>
      </w:r>
      <w:r>
        <w:rPr>
          <w:rFonts w:ascii="Times New Roman" w:hAnsi="Times New Roman"/>
          <w:lang w:val="sr-Latn-BA"/>
        </w:rPr>
        <w:t>организације</w:t>
      </w:r>
      <w:r w:rsidR="00F772CE" w:rsidRPr="0032078A">
        <w:rPr>
          <w:rFonts w:ascii="Times New Roman" w:hAnsi="Times New Roman"/>
          <w:lang w:val="sr-Latn-BA"/>
        </w:rPr>
        <w:t xml:space="preserve"> </w:t>
      </w:r>
      <w:r>
        <w:rPr>
          <w:rFonts w:ascii="Times New Roman" w:hAnsi="Times New Roman"/>
          <w:lang w:val="sr-Latn-BA"/>
        </w:rPr>
        <w:t>у</w:t>
      </w:r>
      <w:r w:rsidR="00F772CE" w:rsidRPr="0032078A">
        <w:rPr>
          <w:rFonts w:ascii="Times New Roman" w:hAnsi="Times New Roman"/>
          <w:lang w:val="sr-Latn-BA"/>
        </w:rPr>
        <w:t xml:space="preserve"> </w:t>
      </w:r>
      <w:r>
        <w:rPr>
          <w:rFonts w:ascii="Times New Roman" w:hAnsi="Times New Roman"/>
          <w:lang w:val="sr-Latn-BA"/>
        </w:rPr>
        <w:t>оквиру</w:t>
      </w:r>
      <w:r w:rsidR="00F772CE" w:rsidRPr="0032078A">
        <w:rPr>
          <w:rFonts w:ascii="Times New Roman" w:hAnsi="Times New Roman"/>
          <w:lang w:val="sr-Latn-BA"/>
        </w:rPr>
        <w:t xml:space="preserve"> </w:t>
      </w:r>
      <w:r w:rsidR="008A65D0">
        <w:rPr>
          <w:rFonts w:ascii="Times New Roman" w:hAnsi="Times New Roman"/>
          <w:lang w:val="bs-Cyrl-BA"/>
        </w:rPr>
        <w:t>„</w:t>
      </w:r>
      <w:r>
        <w:rPr>
          <w:rFonts w:ascii="Times New Roman" w:hAnsi="Times New Roman"/>
          <w:lang w:val="sr-Latn-BA"/>
        </w:rPr>
        <w:t>Сигурне</w:t>
      </w:r>
      <w:r w:rsidR="00F772CE" w:rsidRPr="0032078A">
        <w:rPr>
          <w:rFonts w:ascii="Times New Roman" w:hAnsi="Times New Roman"/>
          <w:lang w:val="sr-Latn-BA"/>
        </w:rPr>
        <w:t xml:space="preserve"> </w:t>
      </w:r>
      <w:r>
        <w:rPr>
          <w:rFonts w:ascii="Times New Roman" w:hAnsi="Times New Roman"/>
          <w:lang w:val="sr-Latn-BA"/>
        </w:rPr>
        <w:t>мреже</w:t>
      </w:r>
      <w:r w:rsidR="00F772CE" w:rsidRPr="0032078A">
        <w:rPr>
          <w:rFonts w:ascii="Times New Roman" w:hAnsi="Times New Roman"/>
          <w:lang w:val="sr-Latn-BA"/>
        </w:rPr>
        <w:t xml:space="preserve"> </w:t>
      </w:r>
      <w:r>
        <w:rPr>
          <w:rFonts w:ascii="Times New Roman" w:hAnsi="Times New Roman"/>
          <w:lang w:val="sr-Latn-BA"/>
        </w:rPr>
        <w:t>БиХ</w:t>
      </w:r>
      <w:r w:rsidR="008A65D0">
        <w:rPr>
          <w:rFonts w:ascii="Times New Roman" w:hAnsi="Times New Roman"/>
          <w:lang w:val="bs-Cyrl-BA"/>
        </w:rPr>
        <w:t>“</w:t>
      </w:r>
      <w:r w:rsidR="00F772CE" w:rsidRPr="0032078A">
        <w:rPr>
          <w:rFonts w:ascii="Times New Roman" w:hAnsi="Times New Roman"/>
          <w:lang w:val="sr-Latn-BA"/>
        </w:rPr>
        <w:t xml:space="preserve"> </w:t>
      </w:r>
      <w:r>
        <w:rPr>
          <w:rFonts w:ascii="Times New Roman" w:hAnsi="Times New Roman"/>
          <w:lang w:val="sr-Latn-BA"/>
        </w:rPr>
        <w:t>израдиле</w:t>
      </w:r>
      <w:r w:rsidR="00F772CE" w:rsidRPr="0032078A">
        <w:rPr>
          <w:rFonts w:ascii="Times New Roman" w:hAnsi="Times New Roman"/>
          <w:lang w:val="sr-Latn-BA"/>
        </w:rPr>
        <w:t xml:space="preserve"> </w:t>
      </w:r>
      <w:r>
        <w:rPr>
          <w:rFonts w:ascii="Times New Roman" w:hAnsi="Times New Roman"/>
          <w:lang w:val="sr-Latn-BA"/>
        </w:rPr>
        <w:t>су</w:t>
      </w:r>
      <w:r w:rsidR="00F772CE" w:rsidRPr="0032078A">
        <w:rPr>
          <w:rFonts w:ascii="Times New Roman" w:hAnsi="Times New Roman"/>
          <w:lang w:val="sr-Latn-BA"/>
        </w:rPr>
        <w:t xml:space="preserve"> „</w:t>
      </w:r>
      <w:r>
        <w:rPr>
          <w:rFonts w:ascii="Times New Roman" w:hAnsi="Times New Roman"/>
          <w:lang w:val="sr-Latn-BA"/>
        </w:rPr>
        <w:t>Стандардне</w:t>
      </w:r>
      <w:r w:rsidR="00F772CE" w:rsidRPr="0032078A">
        <w:rPr>
          <w:rFonts w:ascii="Times New Roman" w:hAnsi="Times New Roman"/>
          <w:lang w:val="sr-Latn-BA"/>
        </w:rPr>
        <w:t xml:space="preserve"> </w:t>
      </w:r>
      <w:r>
        <w:rPr>
          <w:rFonts w:ascii="Times New Roman" w:hAnsi="Times New Roman"/>
          <w:lang w:val="sr-Latn-BA"/>
        </w:rPr>
        <w:t>оперативне</w:t>
      </w:r>
      <w:r w:rsidR="003C13F3">
        <w:rPr>
          <w:rFonts w:ascii="Times New Roman" w:hAnsi="Times New Roman"/>
          <w:lang w:val="sr-Latn-BA"/>
        </w:rPr>
        <w:t xml:space="preserve"> </w:t>
      </w:r>
      <w:r>
        <w:rPr>
          <w:rFonts w:ascii="Times New Roman" w:hAnsi="Times New Roman"/>
          <w:lang w:val="sr-Latn-BA"/>
        </w:rPr>
        <w:t>процедуре</w:t>
      </w:r>
      <w:r w:rsidR="003C13F3">
        <w:rPr>
          <w:rFonts w:ascii="Times New Roman" w:hAnsi="Times New Roman"/>
          <w:lang w:val="sr-Latn-BA"/>
        </w:rPr>
        <w:t xml:space="preserve"> </w:t>
      </w:r>
      <w:r>
        <w:rPr>
          <w:rFonts w:ascii="Times New Roman" w:hAnsi="Times New Roman"/>
          <w:lang w:val="sr-Latn-BA"/>
        </w:rPr>
        <w:t>за</w:t>
      </w:r>
      <w:r w:rsidR="003C13F3">
        <w:rPr>
          <w:rFonts w:ascii="Times New Roman" w:hAnsi="Times New Roman"/>
          <w:lang w:val="sr-Latn-BA"/>
        </w:rPr>
        <w:t xml:space="preserve"> </w:t>
      </w:r>
      <w:r>
        <w:rPr>
          <w:rFonts w:ascii="Times New Roman" w:hAnsi="Times New Roman"/>
          <w:lang w:val="sr-Latn-BA"/>
        </w:rPr>
        <w:t>поступање</w:t>
      </w:r>
      <w:r w:rsidR="003C13F3">
        <w:rPr>
          <w:rFonts w:ascii="Times New Roman" w:hAnsi="Times New Roman"/>
          <w:lang w:val="sr-Latn-BA"/>
        </w:rPr>
        <w:t xml:space="preserve"> </w:t>
      </w:r>
      <w:r>
        <w:rPr>
          <w:rFonts w:ascii="Times New Roman" w:hAnsi="Times New Roman"/>
          <w:lang w:val="sr-Latn-BA"/>
        </w:rPr>
        <w:t>са</w:t>
      </w:r>
      <w:r w:rsidR="00F772CE" w:rsidRPr="0032078A">
        <w:rPr>
          <w:rFonts w:ascii="Times New Roman" w:hAnsi="Times New Roman"/>
          <w:lang w:val="sr-Latn-BA"/>
        </w:rPr>
        <w:t xml:space="preserve"> </w:t>
      </w:r>
      <w:r>
        <w:rPr>
          <w:rFonts w:ascii="Times New Roman" w:hAnsi="Times New Roman"/>
          <w:lang w:val="sr-Latn-BA"/>
        </w:rPr>
        <w:t>жртвама</w:t>
      </w:r>
      <w:r w:rsidR="00F772CE" w:rsidRPr="0032078A">
        <w:rPr>
          <w:rFonts w:ascii="Times New Roman" w:hAnsi="Times New Roman"/>
          <w:lang w:val="sr-Latn-BA"/>
        </w:rPr>
        <w:t xml:space="preserve"> </w:t>
      </w:r>
      <w:r>
        <w:rPr>
          <w:rFonts w:ascii="Times New Roman" w:hAnsi="Times New Roman"/>
          <w:lang w:val="sr-Latn-BA"/>
        </w:rPr>
        <w:t>сексуалног</w:t>
      </w:r>
      <w:r w:rsidR="00F772CE" w:rsidRPr="0032078A">
        <w:rPr>
          <w:rFonts w:ascii="Times New Roman" w:hAnsi="Times New Roman"/>
          <w:lang w:val="sr-Latn-BA"/>
        </w:rPr>
        <w:t xml:space="preserve"> </w:t>
      </w:r>
      <w:r>
        <w:rPr>
          <w:rFonts w:ascii="Times New Roman" w:hAnsi="Times New Roman"/>
          <w:lang w:val="sr-Latn-BA"/>
        </w:rPr>
        <w:t>насиља</w:t>
      </w:r>
      <w:r w:rsidR="00F772CE" w:rsidRPr="0032078A">
        <w:rPr>
          <w:rFonts w:ascii="Times New Roman" w:hAnsi="Times New Roman"/>
          <w:lang w:val="sr-Latn-BA"/>
        </w:rPr>
        <w:t xml:space="preserve">“, </w:t>
      </w:r>
      <w:r>
        <w:rPr>
          <w:rFonts w:ascii="Times New Roman" w:hAnsi="Times New Roman"/>
          <w:lang w:val="sr-Latn-BA"/>
        </w:rPr>
        <w:t>које</w:t>
      </w:r>
      <w:r w:rsidR="003C13F3">
        <w:rPr>
          <w:rFonts w:ascii="Times New Roman" w:hAnsi="Times New Roman"/>
          <w:lang w:val="sr-Latn-BA"/>
        </w:rPr>
        <w:t xml:space="preserve"> </w:t>
      </w:r>
      <w:r>
        <w:rPr>
          <w:rFonts w:ascii="Times New Roman" w:hAnsi="Times New Roman"/>
          <w:lang w:val="sr-Latn-BA"/>
        </w:rPr>
        <w:t>се</w:t>
      </w:r>
      <w:r w:rsidR="003C13F3">
        <w:rPr>
          <w:rFonts w:ascii="Times New Roman" w:hAnsi="Times New Roman"/>
          <w:lang w:val="sr-Latn-BA"/>
        </w:rPr>
        <w:t xml:space="preserve"> </w:t>
      </w:r>
      <w:r>
        <w:rPr>
          <w:rFonts w:ascii="Times New Roman" w:hAnsi="Times New Roman"/>
          <w:lang w:val="sr-Latn-BA"/>
        </w:rPr>
        <w:t>примјењују</w:t>
      </w:r>
      <w:r w:rsidR="003C13F3">
        <w:rPr>
          <w:rFonts w:ascii="Times New Roman" w:hAnsi="Times New Roman"/>
          <w:lang w:val="sr-Latn-BA"/>
        </w:rPr>
        <w:t xml:space="preserve"> </w:t>
      </w:r>
      <w:r>
        <w:rPr>
          <w:rFonts w:ascii="Times New Roman" w:hAnsi="Times New Roman"/>
          <w:lang w:val="sr-Latn-BA"/>
        </w:rPr>
        <w:t>за</w:t>
      </w:r>
      <w:r w:rsidR="003C13F3">
        <w:rPr>
          <w:rFonts w:ascii="Times New Roman" w:hAnsi="Times New Roman"/>
          <w:lang w:val="sr-Latn-BA"/>
        </w:rPr>
        <w:t xml:space="preserve"> </w:t>
      </w:r>
      <w:r>
        <w:rPr>
          <w:rFonts w:ascii="Times New Roman" w:hAnsi="Times New Roman"/>
          <w:lang w:val="sr-Latn-BA"/>
        </w:rPr>
        <w:t>поступање</w:t>
      </w:r>
      <w:r w:rsidR="003C13F3">
        <w:rPr>
          <w:rFonts w:ascii="Times New Roman" w:hAnsi="Times New Roman"/>
          <w:lang w:val="sr-Latn-BA"/>
        </w:rPr>
        <w:t xml:space="preserve"> </w:t>
      </w:r>
      <w:r>
        <w:rPr>
          <w:rFonts w:ascii="Times New Roman" w:hAnsi="Times New Roman"/>
          <w:lang w:val="sr-Latn-BA"/>
        </w:rPr>
        <w:t>са</w:t>
      </w:r>
      <w:r w:rsidR="00F772CE" w:rsidRPr="0032078A">
        <w:rPr>
          <w:rFonts w:ascii="Times New Roman" w:hAnsi="Times New Roman"/>
          <w:lang w:val="sr-Latn-BA"/>
        </w:rPr>
        <w:t xml:space="preserve"> </w:t>
      </w:r>
      <w:r>
        <w:rPr>
          <w:rFonts w:ascii="Times New Roman" w:hAnsi="Times New Roman"/>
          <w:lang w:val="sr-Latn-BA"/>
        </w:rPr>
        <w:t>жртвама</w:t>
      </w:r>
      <w:r w:rsidR="00F772CE" w:rsidRPr="0032078A">
        <w:rPr>
          <w:rFonts w:ascii="Times New Roman" w:hAnsi="Times New Roman"/>
          <w:lang w:val="sr-Latn-BA"/>
        </w:rPr>
        <w:t xml:space="preserve"> </w:t>
      </w:r>
      <w:r>
        <w:rPr>
          <w:rFonts w:ascii="Times New Roman" w:hAnsi="Times New Roman"/>
          <w:lang w:val="sr-Latn-BA"/>
        </w:rPr>
        <w:t>сексуалног</w:t>
      </w:r>
      <w:r w:rsidR="003C13F3">
        <w:rPr>
          <w:rFonts w:ascii="Times New Roman" w:hAnsi="Times New Roman"/>
          <w:lang w:val="sr-Latn-BA"/>
        </w:rPr>
        <w:t xml:space="preserve"> </w:t>
      </w:r>
      <w:r>
        <w:rPr>
          <w:rFonts w:ascii="Times New Roman" w:hAnsi="Times New Roman"/>
          <w:lang w:val="sr-Latn-BA"/>
        </w:rPr>
        <w:t>насиља</w:t>
      </w:r>
      <w:r w:rsidR="003C13F3">
        <w:rPr>
          <w:rFonts w:ascii="Times New Roman" w:hAnsi="Times New Roman"/>
          <w:lang w:val="sr-Latn-BA"/>
        </w:rPr>
        <w:t xml:space="preserve"> </w:t>
      </w:r>
      <w:r>
        <w:rPr>
          <w:rFonts w:ascii="Times New Roman" w:hAnsi="Times New Roman"/>
          <w:lang w:val="sr-Latn-BA"/>
        </w:rPr>
        <w:t>за</w:t>
      </w:r>
      <w:r w:rsidR="003C13F3">
        <w:rPr>
          <w:rFonts w:ascii="Times New Roman" w:hAnsi="Times New Roman"/>
          <w:lang w:val="sr-Latn-BA"/>
        </w:rPr>
        <w:t xml:space="preserve"> </w:t>
      </w:r>
      <w:r>
        <w:rPr>
          <w:rFonts w:ascii="Times New Roman" w:hAnsi="Times New Roman"/>
          <w:lang w:val="sr-Latn-BA"/>
        </w:rPr>
        <w:t>кривична</w:t>
      </w:r>
      <w:r w:rsidR="003C13F3">
        <w:rPr>
          <w:rFonts w:ascii="Times New Roman" w:hAnsi="Times New Roman"/>
          <w:lang w:val="sr-Latn-BA"/>
        </w:rPr>
        <w:t xml:space="preserve"> </w:t>
      </w:r>
      <w:r>
        <w:rPr>
          <w:rFonts w:ascii="Times New Roman" w:hAnsi="Times New Roman"/>
          <w:lang w:val="sr-Latn-BA"/>
        </w:rPr>
        <w:t>дјела</w:t>
      </w:r>
      <w:r w:rsidR="003C13F3">
        <w:rPr>
          <w:rFonts w:ascii="Times New Roman" w:hAnsi="Times New Roman"/>
          <w:lang w:val="sr-Latn-BA"/>
        </w:rPr>
        <w:t xml:space="preserve"> </w:t>
      </w:r>
      <w:r>
        <w:rPr>
          <w:rFonts w:ascii="Times New Roman" w:hAnsi="Times New Roman"/>
          <w:lang w:val="sr-Latn-BA"/>
        </w:rPr>
        <w:t>из</w:t>
      </w:r>
      <w:r w:rsidR="003C13F3">
        <w:rPr>
          <w:rFonts w:ascii="Times New Roman" w:hAnsi="Times New Roman"/>
          <w:lang w:val="sr-Latn-BA"/>
        </w:rPr>
        <w:t xml:space="preserve"> </w:t>
      </w:r>
      <w:r>
        <w:rPr>
          <w:rFonts w:ascii="Times New Roman" w:hAnsi="Times New Roman"/>
          <w:lang w:val="sr-Latn-BA"/>
        </w:rPr>
        <w:t>поглавља</w:t>
      </w:r>
      <w:r w:rsidR="00F772CE" w:rsidRPr="0032078A">
        <w:rPr>
          <w:rFonts w:ascii="Times New Roman" w:hAnsi="Times New Roman"/>
          <w:lang w:val="sr-Latn-BA"/>
        </w:rPr>
        <w:t xml:space="preserve"> </w:t>
      </w:r>
      <w:r w:rsidR="0082548C">
        <w:rPr>
          <w:rFonts w:ascii="Times New Roman" w:hAnsi="Times New Roman"/>
          <w:lang w:val="sr-Latn-BA"/>
        </w:rPr>
        <w:t>XIV</w:t>
      </w:r>
      <w:r w:rsidR="00F772CE" w:rsidRPr="0032078A">
        <w:rPr>
          <w:rFonts w:ascii="Times New Roman" w:hAnsi="Times New Roman"/>
          <w:lang w:val="sr-Latn-BA"/>
        </w:rPr>
        <w:t xml:space="preserve"> </w:t>
      </w:r>
      <w:r>
        <w:rPr>
          <w:rFonts w:ascii="Times New Roman" w:hAnsi="Times New Roman"/>
          <w:lang w:val="sr-Latn-BA"/>
        </w:rPr>
        <w:t>Кривичног</w:t>
      </w:r>
      <w:r w:rsidR="00F772CE" w:rsidRPr="0032078A">
        <w:rPr>
          <w:rFonts w:ascii="Times New Roman" w:hAnsi="Times New Roman"/>
          <w:lang w:val="sr-Latn-BA"/>
        </w:rPr>
        <w:t xml:space="preserve"> </w:t>
      </w:r>
      <w:r>
        <w:rPr>
          <w:rFonts w:ascii="Times New Roman" w:hAnsi="Times New Roman"/>
          <w:lang w:val="sr-Latn-BA"/>
        </w:rPr>
        <w:t>законика</w:t>
      </w:r>
      <w:r w:rsidR="00F772CE" w:rsidRPr="0032078A">
        <w:rPr>
          <w:rFonts w:ascii="Times New Roman" w:hAnsi="Times New Roman"/>
          <w:lang w:val="sr-Latn-BA"/>
        </w:rPr>
        <w:t xml:space="preserve"> </w:t>
      </w:r>
      <w:r>
        <w:rPr>
          <w:rFonts w:ascii="Times New Roman" w:hAnsi="Times New Roman"/>
          <w:lang w:val="sr-Latn-BA"/>
        </w:rPr>
        <w:t>РС</w:t>
      </w:r>
      <w:r w:rsidR="00F772CE" w:rsidRPr="0032078A">
        <w:rPr>
          <w:rFonts w:ascii="Times New Roman" w:hAnsi="Times New Roman"/>
          <w:lang w:val="sr-Latn-BA"/>
        </w:rPr>
        <w:t xml:space="preserve">, </w:t>
      </w:r>
      <w:r>
        <w:rPr>
          <w:rFonts w:ascii="Times New Roman" w:hAnsi="Times New Roman"/>
          <w:lang w:val="sr-Latn-BA"/>
        </w:rPr>
        <w:t>под</w:t>
      </w:r>
      <w:r w:rsidR="00F772CE" w:rsidRPr="0032078A">
        <w:rPr>
          <w:rFonts w:ascii="Times New Roman" w:hAnsi="Times New Roman"/>
          <w:lang w:val="sr-Latn-BA"/>
        </w:rPr>
        <w:t xml:space="preserve"> </w:t>
      </w:r>
      <w:r>
        <w:rPr>
          <w:rFonts w:ascii="Times New Roman" w:hAnsi="Times New Roman"/>
          <w:lang w:val="sr-Latn-BA"/>
        </w:rPr>
        <w:t>називом</w:t>
      </w:r>
      <w:r w:rsidR="00F772CE" w:rsidRPr="0032078A">
        <w:rPr>
          <w:rFonts w:ascii="Times New Roman" w:hAnsi="Times New Roman"/>
          <w:lang w:val="sr-Latn-BA"/>
        </w:rPr>
        <w:t xml:space="preserve"> </w:t>
      </w:r>
      <w:r w:rsidR="003C13F3">
        <w:rPr>
          <w:rFonts w:ascii="Times New Roman" w:hAnsi="Times New Roman"/>
          <w:lang w:val="sr-Latn-BA"/>
        </w:rPr>
        <w:t>„</w:t>
      </w:r>
      <w:r>
        <w:rPr>
          <w:rFonts w:ascii="Times New Roman" w:hAnsi="Times New Roman"/>
          <w:lang w:val="sr-Latn-BA"/>
        </w:rPr>
        <w:t>Кривична</w:t>
      </w:r>
      <w:r w:rsidR="00F772CE" w:rsidRPr="0032078A">
        <w:rPr>
          <w:rFonts w:ascii="Times New Roman" w:hAnsi="Times New Roman"/>
          <w:lang w:val="sr-Latn-BA"/>
        </w:rPr>
        <w:t xml:space="preserve"> </w:t>
      </w:r>
      <w:r>
        <w:rPr>
          <w:rFonts w:ascii="Times New Roman" w:hAnsi="Times New Roman"/>
          <w:lang w:val="sr-Latn-BA"/>
        </w:rPr>
        <w:t>дјела</w:t>
      </w:r>
      <w:r w:rsidR="00F772CE" w:rsidRPr="0032078A">
        <w:rPr>
          <w:rFonts w:ascii="Times New Roman" w:hAnsi="Times New Roman"/>
          <w:lang w:val="sr-Latn-BA"/>
        </w:rPr>
        <w:t xml:space="preserve"> </w:t>
      </w:r>
      <w:r>
        <w:rPr>
          <w:rFonts w:ascii="Times New Roman" w:hAnsi="Times New Roman"/>
          <w:lang w:val="sr-Latn-BA"/>
        </w:rPr>
        <w:t>против</w:t>
      </w:r>
      <w:r w:rsidR="00F772CE" w:rsidRPr="0032078A">
        <w:rPr>
          <w:rFonts w:ascii="Times New Roman" w:hAnsi="Times New Roman"/>
          <w:lang w:val="sr-Latn-BA"/>
        </w:rPr>
        <w:t xml:space="preserve"> </w:t>
      </w:r>
      <w:r>
        <w:rPr>
          <w:rFonts w:ascii="Times New Roman" w:hAnsi="Times New Roman"/>
          <w:lang w:val="sr-Latn-BA"/>
        </w:rPr>
        <w:t>полног</w:t>
      </w:r>
      <w:r w:rsidR="00F772CE" w:rsidRPr="0032078A">
        <w:rPr>
          <w:rFonts w:ascii="Times New Roman" w:hAnsi="Times New Roman"/>
          <w:lang w:val="sr-Latn-BA"/>
        </w:rPr>
        <w:t xml:space="preserve"> </w:t>
      </w:r>
      <w:r>
        <w:rPr>
          <w:rFonts w:ascii="Times New Roman" w:hAnsi="Times New Roman"/>
          <w:lang w:val="sr-Latn-BA"/>
        </w:rPr>
        <w:t>интегритета</w:t>
      </w:r>
      <w:r w:rsidR="003C13F3">
        <w:rPr>
          <w:rFonts w:ascii="Times New Roman" w:hAnsi="Times New Roman"/>
          <w:lang w:val="sr-Latn-BA"/>
        </w:rPr>
        <w:t>“</w:t>
      </w:r>
      <w:r w:rsidR="00F772CE" w:rsidRPr="0032078A">
        <w:rPr>
          <w:rFonts w:ascii="Times New Roman" w:hAnsi="Times New Roman"/>
          <w:lang w:val="sr-Latn-BA"/>
        </w:rPr>
        <w:t xml:space="preserve"> (</w:t>
      </w:r>
      <w:r>
        <w:rPr>
          <w:rFonts w:ascii="Times New Roman" w:hAnsi="Times New Roman"/>
          <w:lang w:val="sr-Latn-BA"/>
        </w:rPr>
        <w:t>силовање</w:t>
      </w:r>
      <w:r w:rsidR="00F772CE" w:rsidRPr="0032078A">
        <w:rPr>
          <w:rFonts w:ascii="Times New Roman" w:hAnsi="Times New Roman"/>
          <w:lang w:val="sr-Latn-BA"/>
        </w:rPr>
        <w:t xml:space="preserve">, </w:t>
      </w:r>
      <w:r>
        <w:rPr>
          <w:rFonts w:ascii="Times New Roman" w:hAnsi="Times New Roman"/>
          <w:lang w:val="sr-Latn-BA"/>
        </w:rPr>
        <w:t>полна</w:t>
      </w:r>
      <w:r w:rsidR="00F772CE" w:rsidRPr="0032078A">
        <w:rPr>
          <w:rFonts w:ascii="Times New Roman" w:hAnsi="Times New Roman"/>
          <w:lang w:val="sr-Latn-BA"/>
        </w:rPr>
        <w:t xml:space="preserve"> </w:t>
      </w:r>
      <w:r>
        <w:rPr>
          <w:rFonts w:ascii="Times New Roman" w:hAnsi="Times New Roman"/>
          <w:lang w:val="sr-Latn-BA"/>
        </w:rPr>
        <w:t>уцјена</w:t>
      </w:r>
      <w:r w:rsidR="00F772CE" w:rsidRPr="0032078A">
        <w:rPr>
          <w:rFonts w:ascii="Times New Roman" w:hAnsi="Times New Roman"/>
          <w:lang w:val="sr-Latn-BA"/>
        </w:rPr>
        <w:t xml:space="preserve">, </w:t>
      </w:r>
      <w:r>
        <w:rPr>
          <w:rFonts w:ascii="Times New Roman" w:hAnsi="Times New Roman"/>
          <w:lang w:val="sr-Latn-BA"/>
        </w:rPr>
        <w:t>обљуба</w:t>
      </w:r>
      <w:r w:rsidR="00F772CE" w:rsidRPr="0032078A">
        <w:rPr>
          <w:rFonts w:ascii="Times New Roman" w:hAnsi="Times New Roman"/>
          <w:lang w:val="sr-Latn-BA"/>
        </w:rPr>
        <w:t xml:space="preserve"> </w:t>
      </w:r>
      <w:r>
        <w:rPr>
          <w:rFonts w:ascii="Times New Roman" w:hAnsi="Times New Roman"/>
          <w:lang w:val="sr-Latn-BA"/>
        </w:rPr>
        <w:t>над</w:t>
      </w:r>
      <w:r w:rsidR="00F772CE" w:rsidRPr="0032078A">
        <w:rPr>
          <w:rFonts w:ascii="Times New Roman" w:hAnsi="Times New Roman"/>
          <w:lang w:val="sr-Latn-BA"/>
        </w:rPr>
        <w:t xml:space="preserve"> </w:t>
      </w:r>
      <w:r>
        <w:rPr>
          <w:rFonts w:ascii="Times New Roman" w:hAnsi="Times New Roman"/>
          <w:lang w:val="sr-Latn-BA"/>
        </w:rPr>
        <w:t>немоћним</w:t>
      </w:r>
      <w:r w:rsidR="00F772CE" w:rsidRPr="0032078A">
        <w:rPr>
          <w:rFonts w:ascii="Times New Roman" w:hAnsi="Times New Roman"/>
          <w:lang w:val="sr-Latn-BA"/>
        </w:rPr>
        <w:t xml:space="preserve"> </w:t>
      </w:r>
      <w:r>
        <w:rPr>
          <w:rFonts w:ascii="Times New Roman" w:hAnsi="Times New Roman"/>
          <w:lang w:val="sr-Latn-BA"/>
        </w:rPr>
        <w:t>лицем</w:t>
      </w:r>
      <w:r w:rsidR="00F772CE" w:rsidRPr="0032078A">
        <w:rPr>
          <w:rFonts w:ascii="Times New Roman" w:hAnsi="Times New Roman"/>
          <w:lang w:val="sr-Latn-BA"/>
        </w:rPr>
        <w:t xml:space="preserve">, </w:t>
      </w:r>
      <w:r>
        <w:rPr>
          <w:rFonts w:ascii="Times New Roman" w:hAnsi="Times New Roman"/>
          <w:lang w:val="sr-Latn-BA"/>
        </w:rPr>
        <w:t>обљуба</w:t>
      </w:r>
      <w:r w:rsidR="00F772CE" w:rsidRPr="0032078A">
        <w:rPr>
          <w:rFonts w:ascii="Times New Roman" w:hAnsi="Times New Roman"/>
          <w:lang w:val="sr-Latn-BA"/>
        </w:rPr>
        <w:t xml:space="preserve"> </w:t>
      </w:r>
      <w:r>
        <w:rPr>
          <w:rFonts w:ascii="Times New Roman" w:hAnsi="Times New Roman"/>
          <w:lang w:val="sr-Latn-BA"/>
        </w:rPr>
        <w:t>злоупотребом</w:t>
      </w:r>
      <w:r w:rsidR="00F772CE" w:rsidRPr="0032078A">
        <w:rPr>
          <w:rFonts w:ascii="Times New Roman" w:hAnsi="Times New Roman"/>
          <w:lang w:val="sr-Latn-BA"/>
        </w:rPr>
        <w:t xml:space="preserve"> </w:t>
      </w:r>
      <w:r>
        <w:rPr>
          <w:rFonts w:ascii="Times New Roman" w:hAnsi="Times New Roman"/>
          <w:lang w:val="sr-Latn-BA"/>
        </w:rPr>
        <w:t>положаја</w:t>
      </w:r>
      <w:r w:rsidR="00F772CE" w:rsidRPr="0032078A">
        <w:rPr>
          <w:rFonts w:ascii="Times New Roman" w:hAnsi="Times New Roman"/>
          <w:lang w:val="sr-Latn-BA"/>
        </w:rPr>
        <w:t xml:space="preserve">, </w:t>
      </w:r>
      <w:r>
        <w:rPr>
          <w:rFonts w:ascii="Times New Roman" w:hAnsi="Times New Roman"/>
          <w:lang w:val="sr-Latn-BA"/>
        </w:rPr>
        <w:t>навођење</w:t>
      </w:r>
      <w:r w:rsidR="00F772CE" w:rsidRPr="0032078A">
        <w:rPr>
          <w:rFonts w:ascii="Times New Roman" w:hAnsi="Times New Roman"/>
          <w:lang w:val="sr-Latn-BA"/>
        </w:rPr>
        <w:t xml:space="preserve"> </w:t>
      </w:r>
      <w:r>
        <w:rPr>
          <w:rFonts w:ascii="Times New Roman" w:hAnsi="Times New Roman"/>
          <w:lang w:val="sr-Latn-BA"/>
        </w:rPr>
        <w:t>на</w:t>
      </w:r>
      <w:r w:rsidR="00F772CE" w:rsidRPr="0032078A">
        <w:rPr>
          <w:rFonts w:ascii="Times New Roman" w:hAnsi="Times New Roman"/>
          <w:lang w:val="sr-Latn-BA"/>
        </w:rPr>
        <w:t xml:space="preserve"> </w:t>
      </w:r>
      <w:r>
        <w:rPr>
          <w:rFonts w:ascii="Times New Roman" w:hAnsi="Times New Roman"/>
          <w:lang w:val="sr-Latn-BA"/>
        </w:rPr>
        <w:t>проституцију</w:t>
      </w:r>
      <w:r w:rsidR="00F772CE" w:rsidRPr="0032078A">
        <w:rPr>
          <w:rFonts w:ascii="Times New Roman" w:hAnsi="Times New Roman"/>
          <w:lang w:val="sr-Latn-BA"/>
        </w:rPr>
        <w:t xml:space="preserve">, </w:t>
      </w:r>
      <w:r>
        <w:rPr>
          <w:rFonts w:ascii="Times New Roman" w:hAnsi="Times New Roman"/>
          <w:lang w:val="sr-Latn-BA"/>
        </w:rPr>
        <w:t>полно</w:t>
      </w:r>
      <w:r w:rsidR="00F772CE" w:rsidRPr="0032078A">
        <w:rPr>
          <w:rFonts w:ascii="Times New Roman" w:hAnsi="Times New Roman"/>
          <w:lang w:val="sr-Latn-BA"/>
        </w:rPr>
        <w:t xml:space="preserve"> </w:t>
      </w:r>
      <w:r>
        <w:rPr>
          <w:rFonts w:ascii="Times New Roman" w:hAnsi="Times New Roman"/>
          <w:lang w:val="sr-Latn-BA"/>
        </w:rPr>
        <w:t>узнемиравање</w:t>
      </w:r>
      <w:r w:rsidR="00F772CE" w:rsidRPr="0032078A">
        <w:rPr>
          <w:rFonts w:ascii="Times New Roman" w:hAnsi="Times New Roman"/>
          <w:lang w:val="sr-Latn-BA"/>
        </w:rPr>
        <w:t xml:space="preserve"> </w:t>
      </w:r>
      <w:r>
        <w:rPr>
          <w:rFonts w:ascii="Times New Roman" w:hAnsi="Times New Roman"/>
          <w:lang w:val="sr-Latn-BA"/>
        </w:rPr>
        <w:t>и</w:t>
      </w:r>
      <w:r w:rsidR="00F772CE" w:rsidRPr="0032078A">
        <w:rPr>
          <w:rFonts w:ascii="Times New Roman" w:hAnsi="Times New Roman"/>
          <w:lang w:val="sr-Latn-BA"/>
        </w:rPr>
        <w:t xml:space="preserve"> </w:t>
      </w:r>
      <w:r>
        <w:rPr>
          <w:rFonts w:ascii="Times New Roman" w:hAnsi="Times New Roman"/>
          <w:lang w:val="sr-Latn-BA"/>
        </w:rPr>
        <w:t>блудне</w:t>
      </w:r>
      <w:r w:rsidR="00F772CE" w:rsidRPr="0032078A">
        <w:rPr>
          <w:rFonts w:ascii="Times New Roman" w:hAnsi="Times New Roman"/>
          <w:lang w:val="sr-Latn-BA"/>
        </w:rPr>
        <w:t xml:space="preserve"> </w:t>
      </w:r>
      <w:r>
        <w:rPr>
          <w:rFonts w:ascii="Times New Roman" w:hAnsi="Times New Roman"/>
          <w:lang w:val="sr-Latn-BA"/>
        </w:rPr>
        <w:t>радње</w:t>
      </w:r>
      <w:r w:rsidR="00F772CE" w:rsidRPr="0032078A">
        <w:rPr>
          <w:rFonts w:ascii="Times New Roman" w:hAnsi="Times New Roman"/>
          <w:lang w:val="sr-Latn-BA"/>
        </w:rPr>
        <w:t xml:space="preserve">), </w:t>
      </w:r>
      <w:r>
        <w:rPr>
          <w:rFonts w:ascii="Times New Roman" w:hAnsi="Times New Roman"/>
          <w:lang w:val="sr-Latn-BA"/>
        </w:rPr>
        <w:t>као</w:t>
      </w:r>
      <w:r w:rsidR="00F772CE" w:rsidRPr="0032078A">
        <w:rPr>
          <w:rFonts w:ascii="Times New Roman" w:hAnsi="Times New Roman"/>
          <w:lang w:val="sr-Latn-BA"/>
        </w:rPr>
        <w:t xml:space="preserve"> </w:t>
      </w:r>
      <w:r>
        <w:rPr>
          <w:rFonts w:ascii="Times New Roman" w:hAnsi="Times New Roman"/>
          <w:lang w:val="sr-Latn-BA"/>
        </w:rPr>
        <w:t>и</w:t>
      </w:r>
      <w:r w:rsidR="00F772CE" w:rsidRPr="0032078A">
        <w:rPr>
          <w:rFonts w:ascii="Times New Roman" w:hAnsi="Times New Roman"/>
          <w:lang w:val="sr-Latn-BA"/>
        </w:rPr>
        <w:t xml:space="preserve"> </w:t>
      </w:r>
      <w:r>
        <w:rPr>
          <w:rFonts w:ascii="Times New Roman" w:hAnsi="Times New Roman"/>
          <w:lang w:val="sr-Latn-BA"/>
        </w:rPr>
        <w:t>друга</w:t>
      </w:r>
      <w:r w:rsidR="00F772CE" w:rsidRPr="0032078A">
        <w:rPr>
          <w:rFonts w:ascii="Times New Roman" w:hAnsi="Times New Roman"/>
          <w:lang w:val="sr-Latn-BA"/>
        </w:rPr>
        <w:t xml:space="preserve"> </w:t>
      </w:r>
      <w:r>
        <w:rPr>
          <w:rFonts w:ascii="Times New Roman" w:hAnsi="Times New Roman"/>
          <w:lang w:val="sr-Latn-BA"/>
        </w:rPr>
        <w:t>дјела</w:t>
      </w:r>
      <w:r w:rsidR="00F772CE" w:rsidRPr="0032078A">
        <w:rPr>
          <w:rFonts w:ascii="Times New Roman" w:hAnsi="Times New Roman"/>
          <w:lang w:val="sr-Latn-BA"/>
        </w:rPr>
        <w:t xml:space="preserve"> </w:t>
      </w:r>
      <w:r>
        <w:rPr>
          <w:rFonts w:ascii="Times New Roman" w:hAnsi="Times New Roman"/>
          <w:lang w:val="sr-Latn-BA"/>
        </w:rPr>
        <w:t>из</w:t>
      </w:r>
      <w:r w:rsidR="00F772CE" w:rsidRPr="0032078A">
        <w:rPr>
          <w:rFonts w:ascii="Times New Roman" w:hAnsi="Times New Roman"/>
          <w:lang w:val="sr-Latn-BA"/>
        </w:rPr>
        <w:t xml:space="preserve"> </w:t>
      </w:r>
      <w:r>
        <w:rPr>
          <w:rFonts w:ascii="Times New Roman" w:hAnsi="Times New Roman"/>
          <w:lang w:val="sr-Latn-BA"/>
        </w:rPr>
        <w:t>области</w:t>
      </w:r>
      <w:r w:rsidR="003C13F3">
        <w:rPr>
          <w:rFonts w:ascii="Times New Roman" w:hAnsi="Times New Roman"/>
          <w:lang w:val="sr-Latn-BA"/>
        </w:rPr>
        <w:t xml:space="preserve"> </w:t>
      </w:r>
      <w:r>
        <w:rPr>
          <w:rFonts w:ascii="Times New Roman" w:hAnsi="Times New Roman"/>
          <w:lang w:val="sr-Latn-BA"/>
        </w:rPr>
        <w:t>сексуалног</w:t>
      </w:r>
      <w:r w:rsidR="003C13F3">
        <w:rPr>
          <w:rFonts w:ascii="Times New Roman" w:hAnsi="Times New Roman"/>
          <w:lang w:val="sr-Latn-BA"/>
        </w:rPr>
        <w:t xml:space="preserve"> </w:t>
      </w:r>
      <w:r>
        <w:rPr>
          <w:rFonts w:ascii="Times New Roman" w:hAnsi="Times New Roman"/>
          <w:lang w:val="sr-Latn-BA"/>
        </w:rPr>
        <w:t>насиља</w:t>
      </w:r>
      <w:r w:rsidR="003C13F3">
        <w:rPr>
          <w:rFonts w:ascii="Times New Roman" w:hAnsi="Times New Roman"/>
          <w:lang w:val="sr-Latn-BA"/>
        </w:rPr>
        <w:t xml:space="preserve"> (</w:t>
      </w:r>
      <w:r>
        <w:rPr>
          <w:rFonts w:ascii="Times New Roman" w:hAnsi="Times New Roman"/>
          <w:lang w:val="sr-Latn-BA"/>
        </w:rPr>
        <w:t>противправни</w:t>
      </w:r>
      <w:r w:rsidR="00F772CE" w:rsidRPr="0032078A">
        <w:rPr>
          <w:rFonts w:ascii="Times New Roman" w:hAnsi="Times New Roman"/>
          <w:lang w:val="sr-Latn-BA"/>
        </w:rPr>
        <w:t xml:space="preserve"> </w:t>
      </w:r>
      <w:r>
        <w:rPr>
          <w:rFonts w:ascii="Times New Roman" w:hAnsi="Times New Roman"/>
          <w:lang w:val="sr-Latn-BA"/>
        </w:rPr>
        <w:t>прекид</w:t>
      </w:r>
      <w:r w:rsidR="00F772CE" w:rsidRPr="0032078A">
        <w:rPr>
          <w:rFonts w:ascii="Times New Roman" w:hAnsi="Times New Roman"/>
          <w:lang w:val="sr-Latn-BA"/>
        </w:rPr>
        <w:t xml:space="preserve"> </w:t>
      </w:r>
      <w:r>
        <w:rPr>
          <w:rFonts w:ascii="Times New Roman" w:hAnsi="Times New Roman"/>
          <w:lang w:val="sr-Latn-BA"/>
        </w:rPr>
        <w:t>трудноће</w:t>
      </w:r>
      <w:r w:rsidR="00F772CE" w:rsidRPr="0032078A">
        <w:rPr>
          <w:rFonts w:ascii="Times New Roman" w:hAnsi="Times New Roman"/>
          <w:lang w:val="sr-Latn-BA"/>
        </w:rPr>
        <w:t xml:space="preserve">, </w:t>
      </w:r>
      <w:r>
        <w:rPr>
          <w:rFonts w:ascii="Times New Roman" w:hAnsi="Times New Roman"/>
          <w:lang w:val="sr-Latn-BA"/>
        </w:rPr>
        <w:t>генитално</w:t>
      </w:r>
      <w:r w:rsidR="00F772CE" w:rsidRPr="0032078A">
        <w:rPr>
          <w:rFonts w:ascii="Times New Roman" w:hAnsi="Times New Roman"/>
          <w:lang w:val="sr-Latn-BA"/>
        </w:rPr>
        <w:t xml:space="preserve"> </w:t>
      </w:r>
      <w:r>
        <w:rPr>
          <w:rFonts w:ascii="Times New Roman" w:hAnsi="Times New Roman"/>
          <w:lang w:val="sr-Latn-BA"/>
        </w:rPr>
        <w:t>сакаћење</w:t>
      </w:r>
      <w:r w:rsidR="00F772CE" w:rsidRPr="0032078A">
        <w:rPr>
          <w:rFonts w:ascii="Times New Roman" w:hAnsi="Times New Roman"/>
          <w:lang w:val="sr-Latn-BA"/>
        </w:rPr>
        <w:t xml:space="preserve"> </w:t>
      </w:r>
      <w:r>
        <w:rPr>
          <w:rFonts w:ascii="Times New Roman" w:hAnsi="Times New Roman"/>
          <w:lang w:val="sr-Latn-BA"/>
        </w:rPr>
        <w:t>жена</w:t>
      </w:r>
      <w:r w:rsidR="00F772CE" w:rsidRPr="0032078A">
        <w:rPr>
          <w:rFonts w:ascii="Times New Roman" w:hAnsi="Times New Roman"/>
          <w:lang w:val="sr-Latn-BA"/>
        </w:rPr>
        <w:t xml:space="preserve">, </w:t>
      </w:r>
      <w:r>
        <w:rPr>
          <w:rFonts w:ascii="Times New Roman" w:hAnsi="Times New Roman"/>
          <w:lang w:val="sr-Latn-BA"/>
        </w:rPr>
        <w:t>принудна</w:t>
      </w:r>
      <w:r w:rsidR="00F772CE" w:rsidRPr="0032078A">
        <w:rPr>
          <w:rFonts w:ascii="Times New Roman" w:hAnsi="Times New Roman"/>
          <w:lang w:val="sr-Latn-BA"/>
        </w:rPr>
        <w:t xml:space="preserve"> </w:t>
      </w:r>
      <w:r>
        <w:rPr>
          <w:rFonts w:ascii="Times New Roman" w:hAnsi="Times New Roman"/>
          <w:lang w:val="sr-Latn-BA"/>
        </w:rPr>
        <w:t>стерилизација</w:t>
      </w:r>
      <w:r w:rsidR="00F772CE" w:rsidRPr="0032078A">
        <w:rPr>
          <w:rFonts w:ascii="Times New Roman" w:hAnsi="Times New Roman"/>
          <w:lang w:val="sr-Latn-BA"/>
        </w:rPr>
        <w:t xml:space="preserve">). </w:t>
      </w:r>
      <w:r>
        <w:rPr>
          <w:rFonts w:ascii="Times New Roman" w:hAnsi="Times New Roman"/>
          <w:lang w:val="sr-Latn-BA"/>
        </w:rPr>
        <w:t>Ове</w:t>
      </w:r>
      <w:r w:rsidR="00F772CE" w:rsidRPr="0032078A">
        <w:rPr>
          <w:rFonts w:ascii="Times New Roman" w:hAnsi="Times New Roman"/>
          <w:lang w:val="sr-Latn-BA"/>
        </w:rPr>
        <w:t xml:space="preserve"> </w:t>
      </w:r>
      <w:r>
        <w:rPr>
          <w:rFonts w:ascii="Times New Roman" w:hAnsi="Times New Roman"/>
          <w:lang w:val="sr-Latn-BA"/>
        </w:rPr>
        <w:t>процедуре</w:t>
      </w:r>
      <w:r w:rsidR="000E6B9C">
        <w:rPr>
          <w:rFonts w:ascii="Times New Roman" w:hAnsi="Times New Roman"/>
          <w:lang w:val="sr-Latn-BA"/>
        </w:rPr>
        <w:t xml:space="preserve"> </w:t>
      </w:r>
      <w:r>
        <w:rPr>
          <w:rFonts w:ascii="Times New Roman" w:hAnsi="Times New Roman"/>
          <w:lang w:val="sr-Latn-BA"/>
        </w:rPr>
        <w:t>се</w:t>
      </w:r>
      <w:r w:rsidR="000E6B9C">
        <w:rPr>
          <w:rFonts w:ascii="Times New Roman" w:hAnsi="Times New Roman"/>
          <w:lang w:val="sr-Latn-BA"/>
        </w:rPr>
        <w:t xml:space="preserve"> </w:t>
      </w:r>
      <w:r>
        <w:rPr>
          <w:rFonts w:ascii="Times New Roman" w:hAnsi="Times New Roman"/>
          <w:lang w:val="sr-Latn-BA"/>
        </w:rPr>
        <w:t>примјењују</w:t>
      </w:r>
      <w:r w:rsidR="000E6B9C">
        <w:rPr>
          <w:rFonts w:ascii="Times New Roman" w:hAnsi="Times New Roman"/>
          <w:lang w:val="sr-Latn-BA"/>
        </w:rPr>
        <w:t xml:space="preserve"> </w:t>
      </w:r>
      <w:r>
        <w:rPr>
          <w:rFonts w:ascii="Times New Roman" w:hAnsi="Times New Roman"/>
          <w:lang w:val="sr-Latn-BA"/>
        </w:rPr>
        <w:t>и</w:t>
      </w:r>
      <w:r w:rsidR="000E6B9C">
        <w:rPr>
          <w:rFonts w:ascii="Times New Roman" w:hAnsi="Times New Roman"/>
          <w:lang w:val="sr-Latn-BA"/>
        </w:rPr>
        <w:t xml:space="preserve"> </w:t>
      </w:r>
      <w:r>
        <w:rPr>
          <w:rFonts w:ascii="Times New Roman" w:hAnsi="Times New Roman"/>
          <w:lang w:val="sr-Latn-BA"/>
        </w:rPr>
        <w:t>за</w:t>
      </w:r>
      <w:r w:rsidR="000E6B9C">
        <w:rPr>
          <w:rFonts w:ascii="Times New Roman" w:hAnsi="Times New Roman"/>
          <w:lang w:val="sr-Latn-BA"/>
        </w:rPr>
        <w:t xml:space="preserve"> </w:t>
      </w:r>
      <w:r>
        <w:rPr>
          <w:rFonts w:ascii="Times New Roman" w:hAnsi="Times New Roman"/>
          <w:lang w:val="sr-Latn-BA"/>
        </w:rPr>
        <w:t>дјела</w:t>
      </w:r>
      <w:r w:rsidR="000E6B9C">
        <w:rPr>
          <w:rFonts w:ascii="Times New Roman" w:hAnsi="Times New Roman"/>
          <w:lang w:val="sr-Latn-BA"/>
        </w:rPr>
        <w:t xml:space="preserve"> </w:t>
      </w:r>
      <w:r>
        <w:rPr>
          <w:rFonts w:ascii="Times New Roman" w:hAnsi="Times New Roman"/>
          <w:lang w:val="sr-Latn-BA"/>
        </w:rPr>
        <w:t>из</w:t>
      </w:r>
      <w:r w:rsidR="000E6B9C">
        <w:rPr>
          <w:rFonts w:ascii="Times New Roman" w:hAnsi="Times New Roman"/>
          <w:lang w:val="sr-Latn-BA"/>
        </w:rPr>
        <w:t xml:space="preserve"> </w:t>
      </w:r>
      <w:r w:rsidR="0082548C">
        <w:rPr>
          <w:rFonts w:ascii="Times New Roman" w:hAnsi="Times New Roman"/>
          <w:lang w:val="sr-Cyrl-BA"/>
        </w:rPr>
        <w:t>поглавља</w:t>
      </w:r>
      <w:r w:rsidR="00F772CE" w:rsidRPr="0032078A">
        <w:rPr>
          <w:rFonts w:ascii="Times New Roman" w:hAnsi="Times New Roman"/>
          <w:lang w:val="sr-Latn-BA"/>
        </w:rPr>
        <w:t xml:space="preserve"> </w:t>
      </w:r>
      <w:r w:rsidR="0082548C">
        <w:rPr>
          <w:rFonts w:ascii="Times New Roman" w:hAnsi="Times New Roman"/>
          <w:lang w:val="sr-Latn-BA"/>
        </w:rPr>
        <w:t>XV</w:t>
      </w:r>
      <w:r w:rsidR="00F772CE" w:rsidRPr="0032078A">
        <w:rPr>
          <w:rFonts w:ascii="Times New Roman" w:hAnsi="Times New Roman"/>
          <w:lang w:val="sr-Latn-BA"/>
        </w:rPr>
        <w:t xml:space="preserve"> </w:t>
      </w:r>
      <w:r>
        <w:rPr>
          <w:rFonts w:ascii="Times New Roman" w:hAnsi="Times New Roman"/>
          <w:lang w:val="sr-Latn-BA"/>
        </w:rPr>
        <w:t>Кривичног</w:t>
      </w:r>
      <w:r w:rsidR="00F772CE" w:rsidRPr="0032078A">
        <w:rPr>
          <w:rFonts w:ascii="Times New Roman" w:hAnsi="Times New Roman"/>
          <w:lang w:val="sr-Latn-BA"/>
        </w:rPr>
        <w:t xml:space="preserve"> </w:t>
      </w:r>
      <w:r>
        <w:rPr>
          <w:rFonts w:ascii="Times New Roman" w:hAnsi="Times New Roman"/>
          <w:lang w:val="sr-Latn-BA"/>
        </w:rPr>
        <w:t>законика</w:t>
      </w:r>
      <w:r w:rsidR="00F772CE" w:rsidRPr="0032078A">
        <w:rPr>
          <w:rFonts w:ascii="Times New Roman" w:hAnsi="Times New Roman"/>
          <w:lang w:val="sr-Latn-BA"/>
        </w:rPr>
        <w:t xml:space="preserve"> </w:t>
      </w:r>
      <w:r>
        <w:rPr>
          <w:rFonts w:ascii="Times New Roman" w:hAnsi="Times New Roman"/>
          <w:lang w:val="sr-Latn-BA"/>
        </w:rPr>
        <w:t>РС</w:t>
      </w:r>
      <w:r w:rsidR="00F772CE" w:rsidRPr="0032078A">
        <w:rPr>
          <w:rFonts w:ascii="Times New Roman" w:hAnsi="Times New Roman"/>
          <w:lang w:val="sr-Latn-BA"/>
        </w:rPr>
        <w:t xml:space="preserve">, </w:t>
      </w:r>
      <w:r>
        <w:rPr>
          <w:rFonts w:ascii="Times New Roman" w:hAnsi="Times New Roman"/>
          <w:lang w:val="sr-Latn-BA"/>
        </w:rPr>
        <w:t>под</w:t>
      </w:r>
      <w:r w:rsidR="00F772CE" w:rsidRPr="0032078A">
        <w:rPr>
          <w:rFonts w:ascii="Times New Roman" w:hAnsi="Times New Roman"/>
          <w:lang w:val="sr-Latn-BA"/>
        </w:rPr>
        <w:t xml:space="preserve"> </w:t>
      </w:r>
      <w:r>
        <w:rPr>
          <w:rFonts w:ascii="Times New Roman" w:hAnsi="Times New Roman"/>
          <w:lang w:val="sr-Latn-BA"/>
        </w:rPr>
        <w:t>називом</w:t>
      </w:r>
      <w:r w:rsidR="00F772CE" w:rsidRPr="0032078A">
        <w:rPr>
          <w:rFonts w:ascii="Times New Roman" w:hAnsi="Times New Roman"/>
          <w:lang w:val="sr-Latn-BA"/>
        </w:rPr>
        <w:t xml:space="preserve"> </w:t>
      </w:r>
      <w:r>
        <w:rPr>
          <w:rFonts w:ascii="Times New Roman" w:hAnsi="Times New Roman"/>
          <w:lang w:val="sr-Latn-BA"/>
        </w:rPr>
        <w:t>Кривична</w:t>
      </w:r>
      <w:r w:rsidR="00F772CE" w:rsidRPr="0032078A">
        <w:rPr>
          <w:rFonts w:ascii="Times New Roman" w:hAnsi="Times New Roman"/>
          <w:lang w:val="sr-Latn-BA"/>
        </w:rPr>
        <w:t xml:space="preserve"> </w:t>
      </w:r>
      <w:r>
        <w:rPr>
          <w:rFonts w:ascii="Times New Roman" w:hAnsi="Times New Roman"/>
          <w:lang w:val="sr-Latn-BA"/>
        </w:rPr>
        <w:t>дјела</w:t>
      </w:r>
      <w:r w:rsidR="00F772CE" w:rsidRPr="0032078A">
        <w:rPr>
          <w:rFonts w:ascii="Times New Roman" w:hAnsi="Times New Roman"/>
          <w:lang w:val="sr-Latn-BA"/>
        </w:rPr>
        <w:t xml:space="preserve"> </w:t>
      </w:r>
      <w:r>
        <w:rPr>
          <w:rFonts w:ascii="Times New Roman" w:hAnsi="Times New Roman"/>
          <w:lang w:val="sr-Latn-BA"/>
        </w:rPr>
        <w:t>сексуалног</w:t>
      </w:r>
      <w:r w:rsidR="00F772CE" w:rsidRPr="0032078A">
        <w:rPr>
          <w:rFonts w:ascii="Times New Roman" w:hAnsi="Times New Roman"/>
          <w:lang w:val="sr-Latn-BA"/>
        </w:rPr>
        <w:t xml:space="preserve"> </w:t>
      </w:r>
      <w:r>
        <w:rPr>
          <w:rFonts w:ascii="Times New Roman" w:hAnsi="Times New Roman"/>
          <w:lang w:val="sr-Latn-BA"/>
        </w:rPr>
        <w:t>злостављања</w:t>
      </w:r>
      <w:r w:rsidR="00F772CE" w:rsidRPr="0032078A">
        <w:rPr>
          <w:rFonts w:ascii="Times New Roman" w:hAnsi="Times New Roman"/>
          <w:lang w:val="sr-Latn-BA"/>
        </w:rPr>
        <w:t xml:space="preserve"> </w:t>
      </w:r>
      <w:r>
        <w:rPr>
          <w:rFonts w:ascii="Times New Roman" w:hAnsi="Times New Roman"/>
          <w:lang w:val="sr-Latn-BA"/>
        </w:rPr>
        <w:t>и</w:t>
      </w:r>
      <w:r w:rsidR="00F772CE" w:rsidRPr="0032078A">
        <w:rPr>
          <w:rFonts w:ascii="Times New Roman" w:hAnsi="Times New Roman"/>
          <w:lang w:val="sr-Latn-BA"/>
        </w:rPr>
        <w:t xml:space="preserve"> </w:t>
      </w:r>
      <w:r>
        <w:rPr>
          <w:rFonts w:ascii="Times New Roman" w:hAnsi="Times New Roman"/>
          <w:lang w:val="sr-Latn-BA"/>
        </w:rPr>
        <w:t>искориш</w:t>
      </w:r>
      <w:r w:rsidR="00070295">
        <w:rPr>
          <w:rFonts w:ascii="Times New Roman" w:hAnsi="Times New Roman"/>
          <w:lang w:val="sr-Cyrl-BA"/>
        </w:rPr>
        <w:t>ћ</w:t>
      </w:r>
      <w:r>
        <w:rPr>
          <w:rFonts w:ascii="Times New Roman" w:hAnsi="Times New Roman"/>
          <w:lang w:val="sr-Latn-BA"/>
        </w:rPr>
        <w:t>авања</w:t>
      </w:r>
      <w:r w:rsidR="00F772CE" w:rsidRPr="0032078A">
        <w:rPr>
          <w:rFonts w:ascii="Times New Roman" w:hAnsi="Times New Roman"/>
          <w:lang w:val="sr-Latn-BA"/>
        </w:rPr>
        <w:t xml:space="preserve"> </w:t>
      </w:r>
      <w:r>
        <w:rPr>
          <w:rFonts w:ascii="Times New Roman" w:hAnsi="Times New Roman"/>
          <w:lang w:val="sr-Latn-BA"/>
        </w:rPr>
        <w:t>дјетета</w:t>
      </w:r>
      <w:r w:rsidR="00F772CE" w:rsidRPr="0032078A">
        <w:rPr>
          <w:rFonts w:ascii="Times New Roman" w:hAnsi="Times New Roman"/>
          <w:lang w:val="sr-Latn-BA"/>
        </w:rPr>
        <w:t xml:space="preserve">. </w:t>
      </w:r>
      <w:r>
        <w:rPr>
          <w:rFonts w:ascii="Times New Roman" w:hAnsi="Times New Roman"/>
          <w:lang w:val="sr-Latn-BA"/>
        </w:rPr>
        <w:t>Стандардне</w:t>
      </w:r>
      <w:r w:rsidR="00F772CE" w:rsidRPr="0032078A">
        <w:rPr>
          <w:rFonts w:ascii="Times New Roman" w:hAnsi="Times New Roman"/>
          <w:lang w:val="sr-Latn-BA"/>
        </w:rPr>
        <w:t xml:space="preserve"> </w:t>
      </w:r>
      <w:r>
        <w:rPr>
          <w:rFonts w:ascii="Times New Roman" w:hAnsi="Times New Roman"/>
          <w:lang w:val="sr-Latn-BA"/>
        </w:rPr>
        <w:t>оперативне</w:t>
      </w:r>
      <w:r w:rsidR="003C13F3">
        <w:rPr>
          <w:rFonts w:ascii="Times New Roman" w:hAnsi="Times New Roman"/>
          <w:lang w:val="sr-Latn-BA"/>
        </w:rPr>
        <w:t xml:space="preserve"> </w:t>
      </w:r>
      <w:r>
        <w:rPr>
          <w:rFonts w:ascii="Times New Roman" w:hAnsi="Times New Roman"/>
          <w:lang w:val="sr-Latn-BA"/>
        </w:rPr>
        <w:t>процедуре</w:t>
      </w:r>
      <w:r w:rsidR="003C13F3">
        <w:rPr>
          <w:rFonts w:ascii="Times New Roman" w:hAnsi="Times New Roman"/>
          <w:lang w:val="sr-Latn-BA"/>
        </w:rPr>
        <w:t xml:space="preserve"> </w:t>
      </w:r>
      <w:r>
        <w:rPr>
          <w:rFonts w:ascii="Times New Roman" w:hAnsi="Times New Roman"/>
          <w:lang w:val="sr-Latn-BA"/>
        </w:rPr>
        <w:t>за</w:t>
      </w:r>
      <w:r w:rsidR="003C13F3">
        <w:rPr>
          <w:rFonts w:ascii="Times New Roman" w:hAnsi="Times New Roman"/>
          <w:lang w:val="sr-Latn-BA"/>
        </w:rPr>
        <w:t xml:space="preserve"> </w:t>
      </w:r>
      <w:r>
        <w:rPr>
          <w:rFonts w:ascii="Times New Roman" w:hAnsi="Times New Roman"/>
          <w:lang w:val="sr-Latn-BA"/>
        </w:rPr>
        <w:t>поступање</w:t>
      </w:r>
      <w:r w:rsidR="003C13F3">
        <w:rPr>
          <w:rFonts w:ascii="Times New Roman" w:hAnsi="Times New Roman"/>
          <w:lang w:val="sr-Latn-BA"/>
        </w:rPr>
        <w:t xml:space="preserve"> </w:t>
      </w:r>
      <w:r>
        <w:rPr>
          <w:rFonts w:ascii="Times New Roman" w:hAnsi="Times New Roman"/>
          <w:lang w:val="sr-Latn-BA"/>
        </w:rPr>
        <w:t>са</w:t>
      </w:r>
      <w:r w:rsidR="00F772CE" w:rsidRPr="0032078A">
        <w:rPr>
          <w:rFonts w:ascii="Times New Roman" w:hAnsi="Times New Roman"/>
          <w:lang w:val="sr-Latn-BA"/>
        </w:rPr>
        <w:t xml:space="preserve"> </w:t>
      </w:r>
      <w:r>
        <w:rPr>
          <w:rFonts w:ascii="Times New Roman" w:hAnsi="Times New Roman"/>
          <w:lang w:val="sr-Latn-BA"/>
        </w:rPr>
        <w:t>жртвама</w:t>
      </w:r>
      <w:r w:rsidR="00F772CE" w:rsidRPr="0032078A">
        <w:rPr>
          <w:rFonts w:ascii="Times New Roman" w:hAnsi="Times New Roman"/>
          <w:lang w:val="sr-Latn-BA"/>
        </w:rPr>
        <w:t xml:space="preserve"> </w:t>
      </w:r>
      <w:r>
        <w:rPr>
          <w:rFonts w:ascii="Times New Roman" w:hAnsi="Times New Roman"/>
          <w:lang w:val="sr-Latn-BA"/>
        </w:rPr>
        <w:t>сексуалног</w:t>
      </w:r>
      <w:r w:rsidR="00F772CE" w:rsidRPr="0032078A">
        <w:rPr>
          <w:rFonts w:ascii="Times New Roman" w:hAnsi="Times New Roman"/>
          <w:lang w:val="sr-Latn-BA"/>
        </w:rPr>
        <w:t xml:space="preserve"> </w:t>
      </w:r>
      <w:r>
        <w:rPr>
          <w:rFonts w:ascii="Times New Roman" w:hAnsi="Times New Roman"/>
          <w:lang w:val="sr-Latn-BA"/>
        </w:rPr>
        <w:t>насиља</w:t>
      </w:r>
      <w:r w:rsidR="00F772CE" w:rsidRPr="0032078A">
        <w:rPr>
          <w:rFonts w:ascii="Times New Roman" w:hAnsi="Times New Roman"/>
          <w:lang w:val="sr-Latn-BA"/>
        </w:rPr>
        <w:t xml:space="preserve"> </w:t>
      </w:r>
      <w:r>
        <w:rPr>
          <w:rFonts w:ascii="Times New Roman" w:hAnsi="Times New Roman"/>
          <w:lang w:val="sr-Latn-BA"/>
        </w:rPr>
        <w:t>примјењују</w:t>
      </w:r>
      <w:r w:rsidR="00F772CE" w:rsidRPr="0032078A">
        <w:rPr>
          <w:rFonts w:ascii="Times New Roman" w:hAnsi="Times New Roman"/>
          <w:lang w:val="sr-Latn-BA"/>
        </w:rPr>
        <w:t xml:space="preserve"> </w:t>
      </w:r>
      <w:r>
        <w:rPr>
          <w:rFonts w:ascii="Times New Roman" w:hAnsi="Times New Roman"/>
          <w:lang w:val="sr-Latn-BA"/>
        </w:rPr>
        <w:t>сви</w:t>
      </w:r>
      <w:r w:rsidR="00F772CE" w:rsidRPr="0032078A">
        <w:rPr>
          <w:rFonts w:ascii="Times New Roman" w:hAnsi="Times New Roman"/>
          <w:lang w:val="sr-Latn-BA"/>
        </w:rPr>
        <w:t xml:space="preserve"> </w:t>
      </w:r>
      <w:r>
        <w:rPr>
          <w:rFonts w:ascii="Times New Roman" w:hAnsi="Times New Roman"/>
          <w:lang w:val="sr-Latn-BA"/>
        </w:rPr>
        <w:t>релевантни</w:t>
      </w:r>
      <w:r w:rsidR="00F772CE" w:rsidRPr="0032078A">
        <w:rPr>
          <w:rFonts w:ascii="Times New Roman" w:hAnsi="Times New Roman"/>
          <w:lang w:val="sr-Latn-BA"/>
        </w:rPr>
        <w:t xml:space="preserve"> </w:t>
      </w:r>
      <w:r>
        <w:rPr>
          <w:rFonts w:ascii="Times New Roman" w:hAnsi="Times New Roman"/>
          <w:lang w:val="sr-Latn-BA"/>
        </w:rPr>
        <w:t>субјекти</w:t>
      </w:r>
      <w:r w:rsidR="00F772CE" w:rsidRPr="0032078A">
        <w:rPr>
          <w:rFonts w:ascii="Times New Roman" w:hAnsi="Times New Roman"/>
          <w:lang w:val="sr-Latn-BA"/>
        </w:rPr>
        <w:t xml:space="preserve"> </w:t>
      </w:r>
      <w:r>
        <w:rPr>
          <w:rFonts w:ascii="Times New Roman" w:hAnsi="Times New Roman"/>
          <w:lang w:val="sr-Latn-BA"/>
        </w:rPr>
        <w:t>заштите</w:t>
      </w:r>
      <w:r w:rsidR="00F772CE" w:rsidRPr="0032078A">
        <w:rPr>
          <w:rFonts w:ascii="Times New Roman" w:hAnsi="Times New Roman"/>
          <w:lang w:val="sr-Latn-BA"/>
        </w:rPr>
        <w:t xml:space="preserve"> </w:t>
      </w:r>
      <w:r>
        <w:rPr>
          <w:rFonts w:ascii="Times New Roman" w:hAnsi="Times New Roman"/>
          <w:lang w:val="sr-Latn-BA"/>
        </w:rPr>
        <w:t>жртава</w:t>
      </w:r>
      <w:r w:rsidR="00F772CE" w:rsidRPr="0032078A">
        <w:rPr>
          <w:rFonts w:ascii="Times New Roman" w:hAnsi="Times New Roman"/>
          <w:lang w:val="sr-Latn-BA"/>
        </w:rPr>
        <w:t xml:space="preserve"> </w:t>
      </w:r>
      <w:r>
        <w:rPr>
          <w:rFonts w:ascii="Times New Roman" w:hAnsi="Times New Roman"/>
          <w:lang w:val="sr-Latn-BA"/>
        </w:rPr>
        <w:t>од</w:t>
      </w:r>
      <w:r w:rsidR="00F772CE" w:rsidRPr="0032078A">
        <w:rPr>
          <w:rFonts w:ascii="Times New Roman" w:hAnsi="Times New Roman"/>
          <w:lang w:val="sr-Latn-BA"/>
        </w:rPr>
        <w:t xml:space="preserve"> </w:t>
      </w:r>
      <w:r>
        <w:rPr>
          <w:rFonts w:ascii="Times New Roman" w:hAnsi="Times New Roman"/>
          <w:lang w:val="sr-Latn-BA"/>
        </w:rPr>
        <w:t>сексуалног</w:t>
      </w:r>
      <w:r w:rsidR="00F772CE" w:rsidRPr="0032078A">
        <w:rPr>
          <w:rFonts w:ascii="Times New Roman" w:hAnsi="Times New Roman"/>
          <w:lang w:val="sr-Latn-BA"/>
        </w:rPr>
        <w:t xml:space="preserve"> </w:t>
      </w:r>
      <w:r>
        <w:rPr>
          <w:rFonts w:ascii="Times New Roman" w:hAnsi="Times New Roman"/>
          <w:lang w:val="sr-Latn-BA"/>
        </w:rPr>
        <w:t>насиља</w:t>
      </w:r>
      <w:r w:rsidR="00F772CE" w:rsidRPr="0032078A">
        <w:rPr>
          <w:rFonts w:ascii="Times New Roman" w:hAnsi="Times New Roman"/>
          <w:lang w:val="sr-Latn-BA"/>
        </w:rPr>
        <w:t xml:space="preserve">, </w:t>
      </w:r>
      <w:r>
        <w:rPr>
          <w:rFonts w:ascii="Times New Roman" w:hAnsi="Times New Roman"/>
          <w:lang w:val="sr-Latn-BA"/>
        </w:rPr>
        <w:t>а</w:t>
      </w:r>
      <w:r w:rsidR="00F772CE" w:rsidRPr="0032078A">
        <w:rPr>
          <w:rFonts w:ascii="Times New Roman" w:hAnsi="Times New Roman"/>
          <w:lang w:val="sr-Latn-BA"/>
        </w:rPr>
        <w:t xml:space="preserve"> </w:t>
      </w:r>
      <w:r>
        <w:rPr>
          <w:rFonts w:ascii="Times New Roman" w:hAnsi="Times New Roman"/>
          <w:lang w:val="sr-Latn-BA"/>
        </w:rPr>
        <w:t>то</w:t>
      </w:r>
      <w:r w:rsidR="00F772CE" w:rsidRPr="0032078A">
        <w:rPr>
          <w:rFonts w:ascii="Times New Roman" w:hAnsi="Times New Roman"/>
          <w:lang w:val="sr-Latn-BA"/>
        </w:rPr>
        <w:t xml:space="preserve"> </w:t>
      </w:r>
      <w:r>
        <w:rPr>
          <w:rFonts w:ascii="Times New Roman" w:hAnsi="Times New Roman"/>
          <w:lang w:val="sr-Latn-BA"/>
        </w:rPr>
        <w:t>су</w:t>
      </w:r>
      <w:r w:rsidR="00F772CE" w:rsidRPr="0032078A">
        <w:rPr>
          <w:rFonts w:ascii="Times New Roman" w:hAnsi="Times New Roman"/>
          <w:lang w:val="sr-Latn-BA"/>
        </w:rPr>
        <w:t xml:space="preserve">: </w:t>
      </w:r>
      <w:r>
        <w:rPr>
          <w:rFonts w:ascii="Times New Roman" w:hAnsi="Times New Roman"/>
          <w:lang w:val="sr-Latn-BA"/>
        </w:rPr>
        <w:t>полиција</w:t>
      </w:r>
      <w:r w:rsidR="00F772CE" w:rsidRPr="0032078A">
        <w:rPr>
          <w:rFonts w:ascii="Times New Roman" w:hAnsi="Times New Roman"/>
          <w:lang w:val="sr-Latn-BA"/>
        </w:rPr>
        <w:t xml:space="preserve">, </w:t>
      </w:r>
      <w:r>
        <w:rPr>
          <w:rFonts w:ascii="Times New Roman" w:hAnsi="Times New Roman"/>
          <w:lang w:val="sr-Latn-BA"/>
        </w:rPr>
        <w:t>центар</w:t>
      </w:r>
      <w:r w:rsidR="00F772CE" w:rsidRPr="0032078A">
        <w:rPr>
          <w:rFonts w:ascii="Times New Roman" w:hAnsi="Times New Roman"/>
          <w:lang w:val="sr-Latn-BA"/>
        </w:rPr>
        <w:t xml:space="preserve"> </w:t>
      </w:r>
      <w:r>
        <w:rPr>
          <w:rFonts w:ascii="Times New Roman" w:hAnsi="Times New Roman"/>
          <w:lang w:val="sr-Latn-BA"/>
        </w:rPr>
        <w:t>за</w:t>
      </w:r>
      <w:r w:rsidR="00F772CE" w:rsidRPr="0032078A">
        <w:rPr>
          <w:rFonts w:ascii="Times New Roman" w:hAnsi="Times New Roman"/>
          <w:lang w:val="sr-Latn-BA"/>
        </w:rPr>
        <w:t xml:space="preserve"> </w:t>
      </w:r>
      <w:r>
        <w:rPr>
          <w:rFonts w:ascii="Times New Roman" w:hAnsi="Times New Roman"/>
          <w:lang w:val="sr-Latn-BA"/>
        </w:rPr>
        <w:t>социјални</w:t>
      </w:r>
      <w:r w:rsidR="00F772CE" w:rsidRPr="0032078A">
        <w:rPr>
          <w:rFonts w:ascii="Times New Roman" w:hAnsi="Times New Roman"/>
          <w:lang w:val="sr-Latn-BA"/>
        </w:rPr>
        <w:t xml:space="preserve"> </w:t>
      </w:r>
      <w:r>
        <w:rPr>
          <w:rFonts w:ascii="Times New Roman" w:hAnsi="Times New Roman"/>
          <w:lang w:val="sr-Latn-BA"/>
        </w:rPr>
        <w:t>рад</w:t>
      </w:r>
      <w:r w:rsidR="00F772CE" w:rsidRPr="0032078A">
        <w:rPr>
          <w:rFonts w:ascii="Times New Roman" w:hAnsi="Times New Roman"/>
          <w:lang w:val="sr-Latn-BA"/>
        </w:rPr>
        <w:t xml:space="preserve">, </w:t>
      </w:r>
      <w:r>
        <w:rPr>
          <w:rFonts w:ascii="Times New Roman" w:hAnsi="Times New Roman"/>
          <w:lang w:val="sr-Latn-BA"/>
        </w:rPr>
        <w:t>здравствене</w:t>
      </w:r>
      <w:r w:rsidR="00F772CE" w:rsidRPr="0032078A">
        <w:rPr>
          <w:rFonts w:ascii="Times New Roman" w:hAnsi="Times New Roman"/>
          <w:lang w:val="sr-Latn-BA"/>
        </w:rPr>
        <w:t xml:space="preserve"> </w:t>
      </w:r>
      <w:r>
        <w:rPr>
          <w:rFonts w:ascii="Times New Roman" w:hAnsi="Times New Roman"/>
          <w:lang w:val="sr-Latn-BA"/>
        </w:rPr>
        <w:t>установе</w:t>
      </w:r>
      <w:r w:rsidR="00F772CE" w:rsidRPr="0032078A">
        <w:rPr>
          <w:rFonts w:ascii="Times New Roman" w:hAnsi="Times New Roman"/>
          <w:lang w:val="sr-Latn-BA"/>
        </w:rPr>
        <w:t xml:space="preserve"> (</w:t>
      </w:r>
      <w:r>
        <w:rPr>
          <w:rFonts w:ascii="Times New Roman" w:hAnsi="Times New Roman"/>
          <w:lang w:val="sr-Latn-BA"/>
        </w:rPr>
        <w:t>дом</w:t>
      </w:r>
      <w:r w:rsidR="00F772CE" w:rsidRPr="0032078A">
        <w:rPr>
          <w:rFonts w:ascii="Times New Roman" w:hAnsi="Times New Roman"/>
          <w:lang w:val="sr-Latn-BA"/>
        </w:rPr>
        <w:t xml:space="preserve"> </w:t>
      </w:r>
      <w:r>
        <w:rPr>
          <w:rFonts w:ascii="Times New Roman" w:hAnsi="Times New Roman"/>
          <w:lang w:val="sr-Latn-BA"/>
        </w:rPr>
        <w:t>здравља</w:t>
      </w:r>
      <w:r w:rsidR="00F772CE" w:rsidRPr="0032078A">
        <w:rPr>
          <w:rFonts w:ascii="Times New Roman" w:hAnsi="Times New Roman"/>
          <w:lang w:val="sr-Latn-BA"/>
        </w:rPr>
        <w:t xml:space="preserve">, </w:t>
      </w:r>
      <w:r>
        <w:rPr>
          <w:rFonts w:ascii="Times New Roman" w:hAnsi="Times New Roman"/>
          <w:lang w:val="sr-Latn-BA"/>
        </w:rPr>
        <w:t>болница</w:t>
      </w:r>
      <w:r w:rsidR="00F772CE" w:rsidRPr="0032078A">
        <w:rPr>
          <w:rFonts w:ascii="Times New Roman" w:hAnsi="Times New Roman"/>
          <w:lang w:val="sr-Latn-BA"/>
        </w:rPr>
        <w:t xml:space="preserve">, </w:t>
      </w:r>
      <w:r>
        <w:rPr>
          <w:rFonts w:ascii="Times New Roman" w:hAnsi="Times New Roman"/>
          <w:lang w:val="sr-Latn-BA"/>
        </w:rPr>
        <w:t>центар</w:t>
      </w:r>
      <w:r w:rsidR="00F772CE" w:rsidRPr="0032078A">
        <w:rPr>
          <w:rFonts w:ascii="Times New Roman" w:hAnsi="Times New Roman"/>
          <w:lang w:val="sr-Latn-BA"/>
        </w:rPr>
        <w:t xml:space="preserve"> </w:t>
      </w:r>
      <w:r>
        <w:rPr>
          <w:rFonts w:ascii="Times New Roman" w:hAnsi="Times New Roman"/>
          <w:lang w:val="sr-Latn-BA"/>
        </w:rPr>
        <w:t>за</w:t>
      </w:r>
      <w:r w:rsidR="00F772CE" w:rsidRPr="0032078A">
        <w:rPr>
          <w:rFonts w:ascii="Times New Roman" w:hAnsi="Times New Roman"/>
          <w:lang w:val="sr-Latn-BA"/>
        </w:rPr>
        <w:t xml:space="preserve"> </w:t>
      </w:r>
      <w:r>
        <w:rPr>
          <w:rFonts w:ascii="Times New Roman" w:hAnsi="Times New Roman"/>
          <w:lang w:val="sr-Latn-BA"/>
        </w:rPr>
        <w:t>ментално</w:t>
      </w:r>
      <w:r w:rsidR="00F772CE" w:rsidRPr="00295637">
        <w:rPr>
          <w:rFonts w:ascii="Times New Roman" w:hAnsi="Times New Roman"/>
          <w:lang w:val="sr-Latn-BA"/>
        </w:rPr>
        <w:t xml:space="preserve"> </w:t>
      </w:r>
      <w:r>
        <w:rPr>
          <w:rFonts w:ascii="Times New Roman" w:hAnsi="Times New Roman"/>
          <w:lang w:val="sr-Latn-BA"/>
        </w:rPr>
        <w:t>здравље</w:t>
      </w:r>
      <w:r w:rsidR="00F772CE" w:rsidRPr="00295637">
        <w:rPr>
          <w:rFonts w:ascii="Times New Roman" w:hAnsi="Times New Roman"/>
          <w:lang w:val="sr-Latn-BA"/>
        </w:rPr>
        <w:t xml:space="preserve">, </w:t>
      </w:r>
      <w:r>
        <w:rPr>
          <w:rFonts w:ascii="Times New Roman" w:hAnsi="Times New Roman"/>
          <w:lang w:val="sr-Latn-BA"/>
        </w:rPr>
        <w:t>тужилаштво</w:t>
      </w:r>
      <w:r w:rsidR="00F772CE" w:rsidRPr="00295637">
        <w:rPr>
          <w:rFonts w:ascii="Times New Roman" w:hAnsi="Times New Roman"/>
          <w:lang w:val="sr-Latn-BA"/>
        </w:rPr>
        <w:t xml:space="preserve">, </w:t>
      </w:r>
      <w:r>
        <w:rPr>
          <w:rFonts w:ascii="Times New Roman" w:hAnsi="Times New Roman"/>
          <w:lang w:val="sr-Latn-BA"/>
        </w:rPr>
        <w:t>суд</w:t>
      </w:r>
      <w:r w:rsidR="00F772CE" w:rsidRPr="00295637">
        <w:rPr>
          <w:rFonts w:ascii="Times New Roman" w:hAnsi="Times New Roman"/>
          <w:lang w:val="sr-Latn-BA"/>
        </w:rPr>
        <w:t xml:space="preserve">, </w:t>
      </w:r>
      <w:r>
        <w:rPr>
          <w:rFonts w:ascii="Times New Roman" w:hAnsi="Times New Roman"/>
          <w:lang w:val="sr-Latn-BA"/>
        </w:rPr>
        <w:t>образовне</w:t>
      </w:r>
      <w:r w:rsidR="00F772CE" w:rsidRPr="00295637">
        <w:rPr>
          <w:rFonts w:ascii="Times New Roman" w:hAnsi="Times New Roman"/>
          <w:lang w:val="sr-Latn-BA"/>
        </w:rPr>
        <w:t xml:space="preserve"> </w:t>
      </w:r>
      <w:r>
        <w:rPr>
          <w:rFonts w:ascii="Times New Roman" w:hAnsi="Times New Roman"/>
          <w:lang w:val="sr-Latn-BA"/>
        </w:rPr>
        <w:t>установе</w:t>
      </w:r>
      <w:r w:rsidR="00F772CE" w:rsidRPr="00295637">
        <w:rPr>
          <w:rFonts w:ascii="Times New Roman" w:hAnsi="Times New Roman"/>
          <w:lang w:val="sr-Latn-BA"/>
        </w:rPr>
        <w:t xml:space="preserve">). </w:t>
      </w:r>
      <w:r>
        <w:rPr>
          <w:rFonts w:ascii="Times New Roman" w:hAnsi="Times New Roman"/>
          <w:lang w:val="sr-Latn-BA"/>
        </w:rPr>
        <w:t>Стандардиз</w:t>
      </w:r>
      <w:r w:rsidR="00070295">
        <w:rPr>
          <w:rFonts w:ascii="Times New Roman" w:hAnsi="Times New Roman"/>
          <w:lang w:val="sr-Cyrl-BA"/>
        </w:rPr>
        <w:t>овани</w:t>
      </w:r>
      <w:r w:rsidR="00F772CE" w:rsidRPr="00295637">
        <w:rPr>
          <w:rFonts w:ascii="Times New Roman" w:hAnsi="Times New Roman"/>
          <w:lang w:val="sr-Latn-BA"/>
        </w:rPr>
        <w:t xml:space="preserve"> </w:t>
      </w:r>
      <w:r>
        <w:rPr>
          <w:rFonts w:ascii="Times New Roman" w:hAnsi="Times New Roman"/>
          <w:lang w:val="sr-Latn-BA"/>
        </w:rPr>
        <w:t>и</w:t>
      </w:r>
      <w:r w:rsidR="003C13F3">
        <w:rPr>
          <w:rFonts w:ascii="Times New Roman" w:hAnsi="Times New Roman"/>
          <w:lang w:val="sr-Latn-BA"/>
        </w:rPr>
        <w:t xml:space="preserve"> </w:t>
      </w:r>
      <w:r>
        <w:rPr>
          <w:rFonts w:ascii="Times New Roman" w:hAnsi="Times New Roman"/>
          <w:lang w:val="sr-Latn-BA"/>
        </w:rPr>
        <w:t>сажети</w:t>
      </w:r>
      <w:r w:rsidR="003C13F3">
        <w:rPr>
          <w:rFonts w:ascii="Times New Roman" w:hAnsi="Times New Roman"/>
          <w:lang w:val="sr-Latn-BA"/>
        </w:rPr>
        <w:t xml:space="preserve"> </w:t>
      </w:r>
      <w:r>
        <w:rPr>
          <w:rFonts w:ascii="Times New Roman" w:hAnsi="Times New Roman"/>
          <w:lang w:val="sr-Latn-BA"/>
        </w:rPr>
        <w:t>кораци</w:t>
      </w:r>
      <w:r w:rsidR="003C13F3">
        <w:rPr>
          <w:rFonts w:ascii="Times New Roman" w:hAnsi="Times New Roman"/>
          <w:lang w:val="sr-Latn-BA"/>
        </w:rPr>
        <w:t xml:space="preserve"> </w:t>
      </w:r>
      <w:r>
        <w:rPr>
          <w:rFonts w:ascii="Times New Roman" w:hAnsi="Times New Roman"/>
          <w:lang w:val="sr-Latn-BA"/>
        </w:rPr>
        <w:t>у</w:t>
      </w:r>
      <w:r w:rsidR="003C13F3">
        <w:rPr>
          <w:rFonts w:ascii="Times New Roman" w:hAnsi="Times New Roman"/>
          <w:lang w:val="sr-Latn-BA"/>
        </w:rPr>
        <w:t xml:space="preserve"> </w:t>
      </w:r>
      <w:r>
        <w:rPr>
          <w:rFonts w:ascii="Times New Roman" w:hAnsi="Times New Roman"/>
          <w:lang w:val="sr-Latn-BA"/>
        </w:rPr>
        <w:t>поступањима</w:t>
      </w:r>
      <w:r w:rsidR="003C13F3">
        <w:rPr>
          <w:rFonts w:ascii="Times New Roman" w:hAnsi="Times New Roman"/>
          <w:lang w:val="sr-Latn-BA"/>
        </w:rPr>
        <w:t xml:space="preserve"> </w:t>
      </w:r>
      <w:r>
        <w:rPr>
          <w:rFonts w:ascii="Times New Roman" w:hAnsi="Times New Roman"/>
          <w:lang w:val="sr-Latn-BA"/>
        </w:rPr>
        <w:t>са</w:t>
      </w:r>
      <w:r w:rsidR="00F772CE" w:rsidRPr="00295637">
        <w:rPr>
          <w:rFonts w:ascii="Times New Roman" w:hAnsi="Times New Roman"/>
          <w:lang w:val="sr-Latn-BA"/>
        </w:rPr>
        <w:t xml:space="preserve"> </w:t>
      </w:r>
      <w:r>
        <w:rPr>
          <w:rFonts w:ascii="Times New Roman" w:hAnsi="Times New Roman"/>
          <w:lang w:val="sr-Latn-BA"/>
        </w:rPr>
        <w:t>жртвама</w:t>
      </w:r>
      <w:r w:rsidR="00F772CE" w:rsidRPr="00295637">
        <w:rPr>
          <w:rFonts w:ascii="Times New Roman" w:hAnsi="Times New Roman"/>
          <w:lang w:val="sr-Latn-BA"/>
        </w:rPr>
        <w:t xml:space="preserve"> </w:t>
      </w:r>
      <w:r>
        <w:rPr>
          <w:rFonts w:ascii="Times New Roman" w:hAnsi="Times New Roman"/>
          <w:lang w:val="sr-Latn-BA"/>
        </w:rPr>
        <w:t>сексуалног</w:t>
      </w:r>
      <w:r w:rsidR="00F772CE" w:rsidRPr="00295637">
        <w:rPr>
          <w:rFonts w:ascii="Times New Roman" w:hAnsi="Times New Roman"/>
          <w:lang w:val="sr-Latn-BA"/>
        </w:rPr>
        <w:t xml:space="preserve"> </w:t>
      </w:r>
      <w:r>
        <w:rPr>
          <w:rFonts w:ascii="Times New Roman" w:hAnsi="Times New Roman"/>
          <w:lang w:val="sr-Latn-BA"/>
        </w:rPr>
        <w:t>насиља</w:t>
      </w:r>
      <w:r w:rsidR="00F772CE" w:rsidRPr="00295637">
        <w:rPr>
          <w:rFonts w:ascii="Times New Roman" w:hAnsi="Times New Roman"/>
          <w:lang w:val="sr-Latn-BA"/>
        </w:rPr>
        <w:t xml:space="preserve"> </w:t>
      </w:r>
      <w:r>
        <w:rPr>
          <w:rFonts w:ascii="Times New Roman" w:hAnsi="Times New Roman"/>
          <w:lang w:val="sr-Latn-BA"/>
        </w:rPr>
        <w:t>којих</w:t>
      </w:r>
      <w:r w:rsidR="00F772CE" w:rsidRPr="00295637">
        <w:rPr>
          <w:rFonts w:ascii="Times New Roman" w:hAnsi="Times New Roman"/>
          <w:lang w:val="sr-Latn-BA"/>
        </w:rPr>
        <w:t xml:space="preserve"> </w:t>
      </w:r>
      <w:r>
        <w:rPr>
          <w:rFonts w:ascii="Times New Roman" w:hAnsi="Times New Roman"/>
          <w:lang w:val="sr-Latn-BA"/>
        </w:rPr>
        <w:t>треба</w:t>
      </w:r>
      <w:r w:rsidR="00F772CE" w:rsidRPr="00295637">
        <w:rPr>
          <w:rFonts w:ascii="Times New Roman" w:hAnsi="Times New Roman"/>
          <w:lang w:val="sr-Latn-BA"/>
        </w:rPr>
        <w:t xml:space="preserve"> </w:t>
      </w:r>
      <w:r>
        <w:rPr>
          <w:rFonts w:ascii="Times New Roman" w:hAnsi="Times New Roman"/>
          <w:lang w:val="sr-Latn-BA"/>
        </w:rPr>
        <w:t>да</w:t>
      </w:r>
      <w:r w:rsidR="00F772CE" w:rsidRPr="00295637">
        <w:rPr>
          <w:rFonts w:ascii="Times New Roman" w:hAnsi="Times New Roman"/>
          <w:lang w:val="sr-Latn-BA"/>
        </w:rPr>
        <w:t xml:space="preserve"> </w:t>
      </w:r>
      <w:r>
        <w:rPr>
          <w:rFonts w:ascii="Times New Roman" w:hAnsi="Times New Roman"/>
          <w:lang w:val="sr-Latn-BA"/>
        </w:rPr>
        <w:t>се</w:t>
      </w:r>
      <w:r w:rsidR="00F772CE" w:rsidRPr="00295637">
        <w:rPr>
          <w:rFonts w:ascii="Times New Roman" w:hAnsi="Times New Roman"/>
          <w:lang w:val="sr-Latn-BA"/>
        </w:rPr>
        <w:t xml:space="preserve"> </w:t>
      </w:r>
      <w:r>
        <w:rPr>
          <w:rFonts w:ascii="Times New Roman" w:hAnsi="Times New Roman"/>
          <w:lang w:val="sr-Latn-BA"/>
        </w:rPr>
        <w:t>придржавају</w:t>
      </w:r>
      <w:r w:rsidR="00F772CE" w:rsidRPr="00295637">
        <w:rPr>
          <w:rFonts w:ascii="Times New Roman" w:hAnsi="Times New Roman"/>
          <w:lang w:val="sr-Latn-BA"/>
        </w:rPr>
        <w:t xml:space="preserve"> </w:t>
      </w:r>
      <w:r>
        <w:rPr>
          <w:rFonts w:ascii="Times New Roman" w:hAnsi="Times New Roman"/>
          <w:lang w:val="sr-Latn-BA"/>
        </w:rPr>
        <w:t>сви</w:t>
      </w:r>
      <w:r w:rsidR="00F772CE" w:rsidRPr="00295637">
        <w:rPr>
          <w:rFonts w:ascii="Times New Roman" w:hAnsi="Times New Roman"/>
          <w:lang w:val="sr-Latn-BA"/>
        </w:rPr>
        <w:t xml:space="preserve"> </w:t>
      </w:r>
      <w:r>
        <w:rPr>
          <w:rFonts w:ascii="Times New Roman" w:hAnsi="Times New Roman"/>
          <w:lang w:val="sr-Latn-BA"/>
        </w:rPr>
        <w:t>субјекти</w:t>
      </w:r>
      <w:r w:rsidR="00F772CE" w:rsidRPr="00295637">
        <w:rPr>
          <w:rFonts w:ascii="Times New Roman" w:hAnsi="Times New Roman"/>
          <w:lang w:val="sr-Latn-BA"/>
        </w:rPr>
        <w:t xml:space="preserve"> </w:t>
      </w:r>
      <w:r>
        <w:rPr>
          <w:rFonts w:ascii="Times New Roman" w:hAnsi="Times New Roman"/>
          <w:lang w:val="sr-Latn-BA"/>
        </w:rPr>
        <w:t>заштите</w:t>
      </w:r>
      <w:r w:rsidR="00F772CE" w:rsidRPr="00295637">
        <w:rPr>
          <w:rFonts w:ascii="Times New Roman" w:hAnsi="Times New Roman"/>
          <w:lang w:val="sr-Latn-BA"/>
        </w:rPr>
        <w:t xml:space="preserve"> </w:t>
      </w:r>
      <w:r>
        <w:rPr>
          <w:rFonts w:ascii="Times New Roman" w:hAnsi="Times New Roman"/>
          <w:lang w:val="sr-Latn-BA"/>
        </w:rPr>
        <w:t>жртава</w:t>
      </w:r>
      <w:r w:rsidR="00F772CE" w:rsidRPr="00295637">
        <w:rPr>
          <w:rFonts w:ascii="Times New Roman" w:hAnsi="Times New Roman"/>
          <w:lang w:val="sr-Latn-BA"/>
        </w:rPr>
        <w:t xml:space="preserve"> </w:t>
      </w:r>
      <w:r>
        <w:rPr>
          <w:rFonts w:ascii="Times New Roman" w:hAnsi="Times New Roman"/>
          <w:lang w:val="sr-Latn-BA"/>
        </w:rPr>
        <w:t>сексуалног</w:t>
      </w:r>
      <w:r w:rsidR="00F772CE" w:rsidRPr="00295637">
        <w:rPr>
          <w:rFonts w:ascii="Times New Roman" w:hAnsi="Times New Roman"/>
          <w:lang w:val="sr-Latn-BA"/>
        </w:rPr>
        <w:t xml:space="preserve"> </w:t>
      </w:r>
      <w:r>
        <w:rPr>
          <w:rFonts w:ascii="Times New Roman" w:hAnsi="Times New Roman"/>
          <w:lang w:val="sr-Latn-BA"/>
        </w:rPr>
        <w:t>насиља</w:t>
      </w:r>
      <w:r w:rsidR="00F772CE" w:rsidRPr="00295637">
        <w:rPr>
          <w:rFonts w:ascii="Times New Roman" w:hAnsi="Times New Roman"/>
          <w:lang w:val="sr-Latn-BA"/>
        </w:rPr>
        <w:t xml:space="preserve"> </w:t>
      </w:r>
      <w:r>
        <w:rPr>
          <w:rFonts w:ascii="Times New Roman" w:hAnsi="Times New Roman"/>
          <w:lang w:val="sr-Latn-BA"/>
        </w:rPr>
        <w:t>укључују</w:t>
      </w:r>
      <w:r w:rsidR="00A04401" w:rsidRPr="00295637">
        <w:rPr>
          <w:rFonts w:ascii="Times New Roman" w:hAnsi="Times New Roman"/>
          <w:lang w:val="sr-Latn-BA"/>
        </w:rPr>
        <w:t xml:space="preserve"> </w:t>
      </w:r>
      <w:r>
        <w:rPr>
          <w:rFonts w:ascii="Times New Roman" w:hAnsi="Times New Roman"/>
          <w:lang w:val="sr-Latn-BA"/>
        </w:rPr>
        <w:t>јачање</w:t>
      </w:r>
      <w:r w:rsidR="00A04401" w:rsidRPr="00295637">
        <w:rPr>
          <w:rFonts w:ascii="Times New Roman" w:hAnsi="Times New Roman"/>
          <w:lang w:val="sr-Latn-BA"/>
        </w:rPr>
        <w:t xml:space="preserve"> </w:t>
      </w:r>
      <w:r>
        <w:rPr>
          <w:rFonts w:ascii="Times New Roman" w:hAnsi="Times New Roman"/>
          <w:lang w:val="sr-Latn-BA"/>
        </w:rPr>
        <w:t>међусекторске</w:t>
      </w:r>
      <w:r w:rsidR="00A04401" w:rsidRPr="00295637">
        <w:rPr>
          <w:rFonts w:ascii="Times New Roman" w:hAnsi="Times New Roman"/>
          <w:lang w:val="sr-Latn-BA"/>
        </w:rPr>
        <w:t xml:space="preserve"> </w:t>
      </w:r>
      <w:r>
        <w:rPr>
          <w:rFonts w:ascii="Times New Roman" w:hAnsi="Times New Roman"/>
          <w:lang w:val="sr-Latn-BA"/>
        </w:rPr>
        <w:t>сарадње</w:t>
      </w:r>
      <w:r w:rsidR="00A04401" w:rsidRPr="00295637">
        <w:rPr>
          <w:rFonts w:ascii="Times New Roman" w:hAnsi="Times New Roman"/>
          <w:lang w:val="sr-Latn-BA"/>
        </w:rPr>
        <w:t xml:space="preserve"> </w:t>
      </w:r>
      <w:r>
        <w:rPr>
          <w:rFonts w:ascii="Times New Roman" w:hAnsi="Times New Roman"/>
          <w:lang w:val="sr-Latn-BA"/>
        </w:rPr>
        <w:t>на</w:t>
      </w:r>
      <w:r w:rsidR="00A04401" w:rsidRPr="00295637">
        <w:rPr>
          <w:rFonts w:ascii="Times New Roman" w:hAnsi="Times New Roman"/>
          <w:lang w:val="sr-Latn-BA"/>
        </w:rPr>
        <w:t xml:space="preserve"> </w:t>
      </w:r>
      <w:r>
        <w:rPr>
          <w:rFonts w:ascii="Times New Roman" w:hAnsi="Times New Roman"/>
          <w:lang w:val="sr-Latn-BA"/>
        </w:rPr>
        <w:t>локалном</w:t>
      </w:r>
      <w:r w:rsidR="00A04401" w:rsidRPr="00295637">
        <w:rPr>
          <w:rFonts w:ascii="Times New Roman" w:hAnsi="Times New Roman"/>
          <w:lang w:val="sr-Latn-BA"/>
        </w:rPr>
        <w:t xml:space="preserve"> </w:t>
      </w:r>
      <w:r>
        <w:rPr>
          <w:rFonts w:ascii="Times New Roman" w:hAnsi="Times New Roman"/>
          <w:lang w:val="sr-Latn-BA"/>
        </w:rPr>
        <w:t>нивоу</w:t>
      </w:r>
      <w:r w:rsidR="00A04401" w:rsidRPr="00295637">
        <w:rPr>
          <w:rFonts w:ascii="Times New Roman" w:hAnsi="Times New Roman"/>
          <w:lang w:val="sr-Latn-BA"/>
        </w:rPr>
        <w:t xml:space="preserve">, </w:t>
      </w:r>
      <w:r>
        <w:rPr>
          <w:rFonts w:ascii="Times New Roman" w:hAnsi="Times New Roman"/>
          <w:lang w:val="sr-Latn-BA"/>
        </w:rPr>
        <w:t>поштивање</w:t>
      </w:r>
      <w:r w:rsidR="003C13F3">
        <w:rPr>
          <w:rFonts w:ascii="Times New Roman" w:hAnsi="Times New Roman"/>
          <w:lang w:val="sr-Latn-BA"/>
        </w:rPr>
        <w:t xml:space="preserve"> </w:t>
      </w:r>
      <w:r>
        <w:rPr>
          <w:rFonts w:ascii="Times New Roman" w:hAnsi="Times New Roman"/>
          <w:lang w:val="sr-Latn-BA"/>
        </w:rPr>
        <w:t>релевантних</w:t>
      </w:r>
      <w:r w:rsidR="00A04401" w:rsidRPr="00295637">
        <w:rPr>
          <w:rFonts w:ascii="Times New Roman" w:hAnsi="Times New Roman"/>
          <w:lang w:val="sr-Latn-BA"/>
        </w:rPr>
        <w:t xml:space="preserve"> </w:t>
      </w:r>
      <w:r>
        <w:rPr>
          <w:rFonts w:ascii="Times New Roman" w:hAnsi="Times New Roman"/>
          <w:lang w:val="sr-Latn-BA"/>
        </w:rPr>
        <w:t>закона</w:t>
      </w:r>
      <w:r w:rsidR="00A04401" w:rsidRPr="00295637">
        <w:rPr>
          <w:rFonts w:ascii="Times New Roman" w:hAnsi="Times New Roman"/>
          <w:lang w:val="sr-Latn-BA"/>
        </w:rPr>
        <w:t xml:space="preserve">, </w:t>
      </w:r>
      <w:r>
        <w:rPr>
          <w:rFonts w:ascii="Times New Roman" w:hAnsi="Times New Roman"/>
          <w:lang w:val="sr-Latn-BA"/>
        </w:rPr>
        <w:t>стратегија</w:t>
      </w:r>
      <w:r w:rsidR="00A04401" w:rsidRPr="00295637">
        <w:rPr>
          <w:rFonts w:ascii="Times New Roman" w:hAnsi="Times New Roman"/>
          <w:lang w:val="sr-Latn-BA"/>
        </w:rPr>
        <w:t xml:space="preserve"> </w:t>
      </w:r>
      <w:r>
        <w:rPr>
          <w:rFonts w:ascii="Times New Roman" w:hAnsi="Times New Roman"/>
          <w:lang w:val="sr-Latn-BA"/>
        </w:rPr>
        <w:t>и</w:t>
      </w:r>
      <w:r w:rsidR="00A04401" w:rsidRPr="00295637">
        <w:rPr>
          <w:rFonts w:ascii="Times New Roman" w:hAnsi="Times New Roman"/>
          <w:lang w:val="sr-Latn-BA"/>
        </w:rPr>
        <w:t xml:space="preserve"> </w:t>
      </w:r>
      <w:r>
        <w:rPr>
          <w:rFonts w:ascii="Times New Roman" w:hAnsi="Times New Roman"/>
          <w:lang w:val="sr-Latn-BA"/>
        </w:rPr>
        <w:t>међународних</w:t>
      </w:r>
      <w:r w:rsidR="00A04401" w:rsidRPr="00295637">
        <w:rPr>
          <w:rFonts w:ascii="Times New Roman" w:hAnsi="Times New Roman"/>
          <w:lang w:val="sr-Latn-BA"/>
        </w:rPr>
        <w:t xml:space="preserve"> </w:t>
      </w:r>
      <w:r>
        <w:rPr>
          <w:rFonts w:ascii="Times New Roman" w:hAnsi="Times New Roman"/>
          <w:lang w:val="sr-Latn-BA"/>
        </w:rPr>
        <w:t>страндарда</w:t>
      </w:r>
      <w:r w:rsidR="00A04401" w:rsidRPr="00295637">
        <w:rPr>
          <w:rFonts w:ascii="Times New Roman" w:hAnsi="Times New Roman"/>
          <w:lang w:val="sr-Latn-BA"/>
        </w:rPr>
        <w:t xml:space="preserve">, </w:t>
      </w:r>
      <w:r>
        <w:rPr>
          <w:rFonts w:ascii="Times New Roman" w:hAnsi="Times New Roman"/>
          <w:lang w:val="sr-Latn-BA"/>
        </w:rPr>
        <w:t>правовремену</w:t>
      </w:r>
      <w:r w:rsidR="004360D5" w:rsidRPr="00295637">
        <w:rPr>
          <w:rFonts w:ascii="Times New Roman" w:hAnsi="Times New Roman"/>
          <w:lang w:val="sr-Latn-BA"/>
        </w:rPr>
        <w:t xml:space="preserve">, </w:t>
      </w:r>
      <w:r>
        <w:rPr>
          <w:rFonts w:ascii="Times New Roman" w:hAnsi="Times New Roman"/>
          <w:lang w:val="sr-Latn-BA"/>
        </w:rPr>
        <w:t>саосјећајну</w:t>
      </w:r>
      <w:r w:rsidR="004360D5" w:rsidRPr="00295637">
        <w:rPr>
          <w:rFonts w:ascii="Times New Roman" w:hAnsi="Times New Roman"/>
          <w:lang w:val="sr-Latn-BA"/>
        </w:rPr>
        <w:t xml:space="preserve"> </w:t>
      </w:r>
      <w:r>
        <w:rPr>
          <w:rFonts w:ascii="Times New Roman" w:hAnsi="Times New Roman"/>
          <w:lang w:val="sr-Latn-BA"/>
        </w:rPr>
        <w:t>и</w:t>
      </w:r>
      <w:r w:rsidR="004360D5" w:rsidRPr="00295637">
        <w:rPr>
          <w:rFonts w:ascii="Times New Roman" w:hAnsi="Times New Roman"/>
          <w:lang w:val="sr-Latn-BA"/>
        </w:rPr>
        <w:t xml:space="preserve"> </w:t>
      </w:r>
      <w:r>
        <w:rPr>
          <w:rFonts w:ascii="Times New Roman" w:hAnsi="Times New Roman"/>
          <w:lang w:val="sr-Latn-BA"/>
        </w:rPr>
        <w:t>према</w:t>
      </w:r>
      <w:r w:rsidR="004360D5" w:rsidRPr="00295637">
        <w:rPr>
          <w:rFonts w:ascii="Times New Roman" w:hAnsi="Times New Roman"/>
          <w:lang w:val="sr-Latn-BA"/>
        </w:rPr>
        <w:t xml:space="preserve"> </w:t>
      </w:r>
      <w:r>
        <w:rPr>
          <w:rFonts w:ascii="Times New Roman" w:hAnsi="Times New Roman"/>
          <w:lang w:val="sr-Latn-BA"/>
        </w:rPr>
        <w:t>жртви</w:t>
      </w:r>
      <w:r w:rsidR="004360D5" w:rsidRPr="00295637">
        <w:rPr>
          <w:rFonts w:ascii="Times New Roman" w:hAnsi="Times New Roman"/>
          <w:lang w:val="sr-Latn-BA"/>
        </w:rPr>
        <w:t xml:space="preserve"> </w:t>
      </w:r>
      <w:r>
        <w:rPr>
          <w:rFonts w:ascii="Times New Roman" w:hAnsi="Times New Roman"/>
          <w:lang w:val="sr-Latn-BA"/>
        </w:rPr>
        <w:t>усмјерену</w:t>
      </w:r>
      <w:r w:rsidR="00A04401" w:rsidRPr="00295637">
        <w:rPr>
          <w:rFonts w:ascii="Times New Roman" w:hAnsi="Times New Roman"/>
          <w:lang w:val="sr-Latn-BA"/>
        </w:rPr>
        <w:t xml:space="preserve"> </w:t>
      </w:r>
      <w:r>
        <w:rPr>
          <w:rFonts w:ascii="Times New Roman" w:hAnsi="Times New Roman"/>
          <w:lang w:val="sr-Latn-BA"/>
        </w:rPr>
        <w:t>заштиту</w:t>
      </w:r>
      <w:r w:rsidR="00A04401" w:rsidRPr="00295637">
        <w:rPr>
          <w:rFonts w:ascii="Times New Roman" w:hAnsi="Times New Roman"/>
          <w:lang w:val="sr-Latn-BA"/>
        </w:rPr>
        <w:t xml:space="preserve">, </w:t>
      </w:r>
      <w:r>
        <w:rPr>
          <w:rFonts w:ascii="Times New Roman" w:hAnsi="Times New Roman"/>
          <w:lang w:val="sr-Latn-BA"/>
        </w:rPr>
        <w:t>адекватно</w:t>
      </w:r>
      <w:r w:rsidR="00A04401" w:rsidRPr="00295637">
        <w:rPr>
          <w:rFonts w:ascii="Times New Roman" w:hAnsi="Times New Roman"/>
          <w:lang w:val="sr-Latn-BA"/>
        </w:rPr>
        <w:t xml:space="preserve"> </w:t>
      </w:r>
      <w:r>
        <w:rPr>
          <w:rFonts w:ascii="Times New Roman" w:hAnsi="Times New Roman"/>
          <w:lang w:val="sr-Latn-BA"/>
        </w:rPr>
        <w:t>прикупљање</w:t>
      </w:r>
      <w:r w:rsidR="00A04401" w:rsidRPr="00295637">
        <w:rPr>
          <w:rFonts w:ascii="Times New Roman" w:hAnsi="Times New Roman"/>
          <w:lang w:val="sr-Latn-BA"/>
        </w:rPr>
        <w:t xml:space="preserve"> </w:t>
      </w:r>
      <w:r>
        <w:rPr>
          <w:rFonts w:ascii="Times New Roman" w:hAnsi="Times New Roman"/>
          <w:lang w:val="sr-Latn-BA"/>
        </w:rPr>
        <w:t>физичких</w:t>
      </w:r>
      <w:r w:rsidR="00A04401" w:rsidRPr="00295637">
        <w:rPr>
          <w:rFonts w:ascii="Times New Roman" w:hAnsi="Times New Roman"/>
          <w:lang w:val="sr-Latn-BA"/>
        </w:rPr>
        <w:t xml:space="preserve"> </w:t>
      </w:r>
      <w:r>
        <w:rPr>
          <w:rFonts w:ascii="Times New Roman" w:hAnsi="Times New Roman"/>
          <w:lang w:val="sr-Latn-BA"/>
        </w:rPr>
        <w:t>доказа</w:t>
      </w:r>
      <w:r w:rsidR="00A04401" w:rsidRPr="00295637">
        <w:rPr>
          <w:rFonts w:ascii="Times New Roman" w:hAnsi="Times New Roman"/>
          <w:lang w:val="sr-Latn-BA"/>
        </w:rPr>
        <w:t xml:space="preserve"> </w:t>
      </w:r>
      <w:r>
        <w:rPr>
          <w:rFonts w:ascii="Times New Roman" w:hAnsi="Times New Roman"/>
          <w:lang w:val="sr-Latn-BA"/>
        </w:rPr>
        <w:t>и</w:t>
      </w:r>
      <w:r w:rsidR="00A04401" w:rsidRPr="00295637">
        <w:rPr>
          <w:rFonts w:ascii="Times New Roman" w:hAnsi="Times New Roman"/>
          <w:lang w:val="sr-Latn-BA"/>
        </w:rPr>
        <w:t xml:space="preserve"> </w:t>
      </w:r>
      <w:r>
        <w:rPr>
          <w:rFonts w:ascii="Times New Roman" w:hAnsi="Times New Roman"/>
          <w:lang w:val="sr-Latn-BA"/>
        </w:rPr>
        <w:t>адекватну</w:t>
      </w:r>
      <w:r w:rsidR="00A04401" w:rsidRPr="00295637">
        <w:rPr>
          <w:rFonts w:ascii="Times New Roman" w:hAnsi="Times New Roman"/>
          <w:lang w:val="sr-Latn-BA"/>
        </w:rPr>
        <w:t xml:space="preserve"> </w:t>
      </w:r>
      <w:r>
        <w:rPr>
          <w:rFonts w:ascii="Times New Roman" w:hAnsi="Times New Roman"/>
          <w:lang w:val="sr-Latn-BA"/>
        </w:rPr>
        <w:t>медици</w:t>
      </w:r>
      <w:r w:rsidR="00070295">
        <w:rPr>
          <w:rFonts w:ascii="Times New Roman" w:hAnsi="Times New Roman"/>
          <w:lang w:val="sr-Cyrl-BA"/>
        </w:rPr>
        <w:t>н</w:t>
      </w:r>
      <w:r>
        <w:rPr>
          <w:rFonts w:ascii="Times New Roman" w:hAnsi="Times New Roman"/>
          <w:lang w:val="sr-Latn-BA"/>
        </w:rPr>
        <w:t>ску</w:t>
      </w:r>
      <w:r w:rsidR="00A04401" w:rsidRPr="00295637">
        <w:rPr>
          <w:rFonts w:ascii="Times New Roman" w:hAnsi="Times New Roman"/>
          <w:lang w:val="sr-Latn-BA"/>
        </w:rPr>
        <w:t xml:space="preserve"> </w:t>
      </w:r>
      <w:r>
        <w:rPr>
          <w:rFonts w:ascii="Times New Roman" w:hAnsi="Times New Roman"/>
          <w:lang w:val="sr-Latn-BA"/>
        </w:rPr>
        <w:t>помоћ</w:t>
      </w:r>
      <w:r w:rsidR="004360D5" w:rsidRPr="00295637">
        <w:rPr>
          <w:rFonts w:ascii="Times New Roman" w:hAnsi="Times New Roman"/>
          <w:lang w:val="sr-Latn-BA"/>
        </w:rPr>
        <w:t>,</w:t>
      </w:r>
      <w:r w:rsidR="00A04401" w:rsidRPr="00295637">
        <w:rPr>
          <w:rFonts w:ascii="Times New Roman" w:hAnsi="Times New Roman"/>
          <w:lang w:val="sr-Latn-BA"/>
        </w:rPr>
        <w:t xml:space="preserve"> </w:t>
      </w:r>
      <w:r>
        <w:rPr>
          <w:rFonts w:ascii="Times New Roman" w:hAnsi="Times New Roman"/>
          <w:lang w:val="sr-Latn-BA"/>
        </w:rPr>
        <w:t>као</w:t>
      </w:r>
      <w:r w:rsidR="00A04401" w:rsidRPr="00295637">
        <w:rPr>
          <w:rFonts w:ascii="Times New Roman" w:hAnsi="Times New Roman"/>
          <w:lang w:val="sr-Latn-BA"/>
        </w:rPr>
        <w:t xml:space="preserve"> </w:t>
      </w:r>
      <w:r>
        <w:rPr>
          <w:rFonts w:ascii="Times New Roman" w:hAnsi="Times New Roman"/>
          <w:lang w:val="sr-Latn-BA"/>
        </w:rPr>
        <w:t>и</w:t>
      </w:r>
      <w:r w:rsidR="00A04401" w:rsidRPr="00295637">
        <w:rPr>
          <w:rFonts w:ascii="Times New Roman" w:hAnsi="Times New Roman"/>
          <w:lang w:val="sr-Latn-BA"/>
        </w:rPr>
        <w:t xml:space="preserve"> </w:t>
      </w:r>
      <w:r>
        <w:rPr>
          <w:rFonts w:ascii="Times New Roman" w:hAnsi="Times New Roman"/>
          <w:lang w:val="sr-Latn-BA"/>
        </w:rPr>
        <w:t>повјерљивост</w:t>
      </w:r>
      <w:r w:rsidR="00A04401" w:rsidRPr="00295637">
        <w:rPr>
          <w:rFonts w:ascii="Times New Roman" w:hAnsi="Times New Roman"/>
          <w:lang w:val="sr-Latn-BA"/>
        </w:rPr>
        <w:t xml:space="preserve"> </w:t>
      </w:r>
      <w:r>
        <w:rPr>
          <w:rFonts w:ascii="Times New Roman" w:hAnsi="Times New Roman"/>
          <w:lang w:val="sr-Latn-BA"/>
        </w:rPr>
        <w:t>података</w:t>
      </w:r>
      <w:r w:rsidR="00A04401" w:rsidRPr="00295637">
        <w:rPr>
          <w:rFonts w:ascii="Times New Roman" w:hAnsi="Times New Roman"/>
          <w:lang w:val="sr-Latn-BA"/>
        </w:rPr>
        <w:t xml:space="preserve">. </w:t>
      </w:r>
    </w:p>
    <w:p w:rsidR="00F772CE" w:rsidRPr="00295637" w:rsidRDefault="00F772CE" w:rsidP="0086268D">
      <w:pPr>
        <w:contextualSpacing/>
        <w:jc w:val="both"/>
        <w:rPr>
          <w:rFonts w:ascii="Times New Roman" w:eastAsia="Aptos" w:hAnsi="Times New Roman"/>
        </w:rPr>
      </w:pPr>
    </w:p>
    <w:p w:rsidR="00AE7EB2" w:rsidRDefault="00070295" w:rsidP="00117B25">
      <w:pPr>
        <w:contextualSpacing/>
        <w:jc w:val="both"/>
        <w:rPr>
          <w:rFonts w:ascii="Times New Roman" w:eastAsia="Aptos" w:hAnsi="Times New Roman"/>
        </w:rPr>
      </w:pPr>
      <w:r w:rsidRPr="00070295">
        <w:rPr>
          <w:rFonts w:ascii="Times New Roman" w:eastAsia="Aptos" w:hAnsi="Times New Roman"/>
          <w:i/>
        </w:rPr>
        <w:t>UNHCR</w:t>
      </w:r>
      <w:r w:rsidR="003C13F3">
        <w:rPr>
          <w:rFonts w:ascii="Times New Roman" w:eastAsia="Aptos" w:hAnsi="Times New Roman"/>
        </w:rPr>
        <w:t xml:space="preserve"> </w:t>
      </w:r>
      <w:r w:rsidR="00C6214E">
        <w:rPr>
          <w:rFonts w:ascii="Times New Roman" w:eastAsia="Aptos" w:hAnsi="Times New Roman"/>
        </w:rPr>
        <w:t>БиХ</w:t>
      </w:r>
      <w:r w:rsidR="00047994" w:rsidRPr="00295637">
        <w:rPr>
          <w:rFonts w:ascii="Times New Roman" w:eastAsia="Aptos" w:hAnsi="Times New Roman"/>
        </w:rPr>
        <w:t xml:space="preserve"> </w:t>
      </w:r>
      <w:r w:rsidR="00C6214E">
        <w:rPr>
          <w:rFonts w:ascii="Times New Roman" w:eastAsia="Aptos" w:hAnsi="Times New Roman"/>
        </w:rPr>
        <w:t>је</w:t>
      </w:r>
      <w:r w:rsidR="00047994" w:rsidRPr="00295637">
        <w:rPr>
          <w:rFonts w:ascii="Times New Roman" w:eastAsia="Aptos" w:hAnsi="Times New Roman"/>
        </w:rPr>
        <w:t xml:space="preserve"> </w:t>
      </w:r>
      <w:r w:rsidR="00C6214E">
        <w:rPr>
          <w:rFonts w:ascii="Times New Roman" w:eastAsia="Aptos" w:hAnsi="Times New Roman"/>
        </w:rPr>
        <w:t>кроз</w:t>
      </w:r>
      <w:r w:rsidR="00047994" w:rsidRPr="00295637">
        <w:rPr>
          <w:rFonts w:ascii="Times New Roman" w:eastAsia="Aptos" w:hAnsi="Times New Roman"/>
        </w:rPr>
        <w:t xml:space="preserve"> </w:t>
      </w:r>
      <w:r w:rsidR="00C6214E">
        <w:rPr>
          <w:rFonts w:ascii="Times New Roman" w:eastAsia="Aptos" w:hAnsi="Times New Roman"/>
        </w:rPr>
        <w:t>програм</w:t>
      </w:r>
      <w:r w:rsidR="00047994" w:rsidRPr="00295637">
        <w:rPr>
          <w:rFonts w:ascii="Times New Roman" w:eastAsia="Aptos" w:hAnsi="Times New Roman"/>
        </w:rPr>
        <w:t xml:space="preserve"> </w:t>
      </w:r>
      <w:r w:rsidRPr="00070295">
        <w:rPr>
          <w:rFonts w:ascii="Times New Roman" w:eastAsia="Aptos" w:hAnsi="Times New Roman"/>
          <w:i/>
        </w:rPr>
        <w:t>EmpowerHER</w:t>
      </w:r>
      <w:r w:rsidR="00047994" w:rsidRPr="00295637">
        <w:rPr>
          <w:rFonts w:ascii="Times New Roman" w:eastAsia="Aptos" w:hAnsi="Times New Roman"/>
        </w:rPr>
        <w:t xml:space="preserve">, </w:t>
      </w:r>
      <w:r w:rsidR="00C6214E">
        <w:rPr>
          <w:rFonts w:ascii="Times New Roman" w:eastAsia="Aptos" w:hAnsi="Times New Roman"/>
        </w:rPr>
        <w:t>организ</w:t>
      </w:r>
      <w:r>
        <w:rPr>
          <w:rFonts w:ascii="Times New Roman" w:eastAsia="Aptos" w:hAnsi="Times New Roman"/>
          <w:lang w:val="sr-Cyrl-BA"/>
        </w:rPr>
        <w:t>овао</w:t>
      </w:r>
      <w:r w:rsidR="00047994" w:rsidRPr="00295637">
        <w:rPr>
          <w:rFonts w:ascii="Times New Roman" w:eastAsia="Aptos" w:hAnsi="Times New Roman"/>
        </w:rPr>
        <w:t xml:space="preserve"> </w:t>
      </w:r>
      <w:r w:rsidR="00C6214E">
        <w:rPr>
          <w:rFonts w:ascii="Times New Roman" w:eastAsia="Aptos" w:hAnsi="Times New Roman"/>
        </w:rPr>
        <w:t>вршњачке</w:t>
      </w:r>
      <w:r w:rsidR="00047994" w:rsidRPr="00295637">
        <w:rPr>
          <w:rFonts w:ascii="Times New Roman" w:eastAsia="Aptos" w:hAnsi="Times New Roman"/>
        </w:rPr>
        <w:t xml:space="preserve"> </w:t>
      </w:r>
      <w:r w:rsidR="00C6214E">
        <w:rPr>
          <w:rFonts w:ascii="Times New Roman" w:eastAsia="Aptos" w:hAnsi="Times New Roman"/>
        </w:rPr>
        <w:t>радионице</w:t>
      </w:r>
      <w:r w:rsidR="00E47AC5" w:rsidRPr="00295637">
        <w:rPr>
          <w:rFonts w:ascii="Times New Roman" w:eastAsia="Aptos" w:hAnsi="Times New Roman"/>
        </w:rPr>
        <w:t xml:space="preserve"> </w:t>
      </w:r>
      <w:r w:rsidR="00C6214E">
        <w:rPr>
          <w:rFonts w:ascii="Times New Roman" w:eastAsia="Aptos" w:hAnsi="Times New Roman"/>
        </w:rPr>
        <w:t>са</w:t>
      </w:r>
      <w:r w:rsidR="00E47AC5" w:rsidRPr="00295637">
        <w:rPr>
          <w:rFonts w:ascii="Times New Roman" w:eastAsia="Aptos" w:hAnsi="Times New Roman"/>
        </w:rPr>
        <w:t xml:space="preserve"> </w:t>
      </w:r>
      <w:r w:rsidR="00C6214E">
        <w:rPr>
          <w:rFonts w:ascii="Times New Roman" w:eastAsia="Aptos" w:hAnsi="Times New Roman"/>
        </w:rPr>
        <w:t>фокусом</w:t>
      </w:r>
      <w:r w:rsidR="00E47AC5" w:rsidRPr="00295637">
        <w:rPr>
          <w:rFonts w:ascii="Times New Roman" w:eastAsia="Aptos" w:hAnsi="Times New Roman"/>
        </w:rPr>
        <w:t xml:space="preserve"> </w:t>
      </w:r>
      <w:r w:rsidR="00C6214E">
        <w:rPr>
          <w:rFonts w:ascii="Times New Roman" w:eastAsia="Aptos" w:hAnsi="Times New Roman"/>
        </w:rPr>
        <w:t>на</w:t>
      </w:r>
      <w:r w:rsidR="00E47AC5" w:rsidRPr="00295637">
        <w:rPr>
          <w:rFonts w:ascii="Times New Roman" w:eastAsia="Aptos" w:hAnsi="Times New Roman"/>
        </w:rPr>
        <w:t xml:space="preserve"> </w:t>
      </w:r>
      <w:r w:rsidR="00C6214E">
        <w:rPr>
          <w:rFonts w:ascii="Times New Roman" w:eastAsia="Aptos" w:hAnsi="Times New Roman"/>
        </w:rPr>
        <w:t>превенцију</w:t>
      </w:r>
      <w:r w:rsidR="00E47AC5" w:rsidRPr="00295637">
        <w:rPr>
          <w:rFonts w:ascii="Times New Roman" w:eastAsia="Aptos" w:hAnsi="Times New Roman"/>
        </w:rPr>
        <w:t xml:space="preserve"> </w:t>
      </w:r>
      <w:r w:rsidR="00C6214E">
        <w:rPr>
          <w:rFonts w:ascii="Times New Roman" w:eastAsia="Aptos" w:hAnsi="Times New Roman"/>
        </w:rPr>
        <w:t>родно</w:t>
      </w:r>
      <w:r w:rsidR="00E47AC5" w:rsidRPr="00295637">
        <w:rPr>
          <w:rFonts w:ascii="Times New Roman" w:eastAsia="Aptos" w:hAnsi="Times New Roman"/>
        </w:rPr>
        <w:t xml:space="preserve"> </w:t>
      </w:r>
      <w:r w:rsidR="00C6214E">
        <w:rPr>
          <w:rFonts w:ascii="Times New Roman" w:eastAsia="Aptos" w:hAnsi="Times New Roman"/>
        </w:rPr>
        <w:t>заснованог</w:t>
      </w:r>
      <w:r w:rsidR="00E47AC5" w:rsidRPr="00295637">
        <w:rPr>
          <w:rFonts w:ascii="Times New Roman" w:eastAsia="Aptos" w:hAnsi="Times New Roman"/>
        </w:rPr>
        <w:t xml:space="preserve"> </w:t>
      </w:r>
      <w:r w:rsidR="00C6214E">
        <w:rPr>
          <w:rFonts w:ascii="Times New Roman" w:eastAsia="Aptos" w:hAnsi="Times New Roman"/>
        </w:rPr>
        <w:t>насиља</w:t>
      </w:r>
      <w:r w:rsidR="00E47AC5" w:rsidRPr="00295637">
        <w:rPr>
          <w:rFonts w:ascii="Times New Roman" w:eastAsia="Aptos" w:hAnsi="Times New Roman"/>
        </w:rPr>
        <w:t xml:space="preserve"> </w:t>
      </w:r>
      <w:r w:rsidR="00C6214E">
        <w:rPr>
          <w:rFonts w:ascii="Times New Roman" w:eastAsia="Aptos" w:hAnsi="Times New Roman"/>
        </w:rPr>
        <w:t>и</w:t>
      </w:r>
      <w:r w:rsidR="00E47AC5" w:rsidRPr="00295637">
        <w:rPr>
          <w:rFonts w:ascii="Times New Roman" w:eastAsia="Aptos" w:hAnsi="Times New Roman"/>
        </w:rPr>
        <w:t xml:space="preserve"> </w:t>
      </w:r>
      <w:r w:rsidR="00C6214E">
        <w:rPr>
          <w:rFonts w:ascii="Times New Roman" w:eastAsia="Aptos" w:hAnsi="Times New Roman"/>
        </w:rPr>
        <w:t>фемицида</w:t>
      </w:r>
      <w:r w:rsidR="00047994" w:rsidRPr="00295637">
        <w:rPr>
          <w:rFonts w:ascii="Times New Roman" w:eastAsia="Aptos" w:hAnsi="Times New Roman"/>
        </w:rPr>
        <w:t xml:space="preserve"> </w:t>
      </w:r>
      <w:r w:rsidR="00C6214E">
        <w:rPr>
          <w:rFonts w:ascii="Times New Roman" w:eastAsia="Aptos" w:hAnsi="Times New Roman"/>
        </w:rPr>
        <w:t>у</w:t>
      </w:r>
      <w:r w:rsidR="00047994" w:rsidRPr="00295637">
        <w:rPr>
          <w:rFonts w:ascii="Times New Roman" w:eastAsia="Aptos" w:hAnsi="Times New Roman"/>
        </w:rPr>
        <w:t xml:space="preserve"> </w:t>
      </w:r>
      <w:r w:rsidR="00C6214E">
        <w:rPr>
          <w:rFonts w:ascii="Times New Roman" w:eastAsia="Aptos" w:hAnsi="Times New Roman"/>
        </w:rPr>
        <w:t>Сарајеву</w:t>
      </w:r>
      <w:r w:rsidR="00047994" w:rsidRPr="00295637">
        <w:rPr>
          <w:rFonts w:ascii="Times New Roman" w:eastAsia="Aptos" w:hAnsi="Times New Roman"/>
        </w:rPr>
        <w:t xml:space="preserve">, </w:t>
      </w:r>
      <w:r w:rsidR="00C6214E">
        <w:rPr>
          <w:rFonts w:ascii="Times New Roman" w:eastAsia="Aptos" w:hAnsi="Times New Roman"/>
        </w:rPr>
        <w:t>Мостару</w:t>
      </w:r>
      <w:r w:rsidR="00047994" w:rsidRPr="00295637">
        <w:rPr>
          <w:rFonts w:ascii="Times New Roman" w:eastAsia="Aptos" w:hAnsi="Times New Roman"/>
        </w:rPr>
        <w:t xml:space="preserve"> </w:t>
      </w:r>
      <w:r w:rsidR="00C6214E">
        <w:rPr>
          <w:rFonts w:ascii="Times New Roman" w:eastAsia="Aptos" w:hAnsi="Times New Roman"/>
        </w:rPr>
        <w:t>и</w:t>
      </w:r>
      <w:r w:rsidR="00047994" w:rsidRPr="00295637">
        <w:rPr>
          <w:rFonts w:ascii="Times New Roman" w:eastAsia="Aptos" w:hAnsi="Times New Roman"/>
        </w:rPr>
        <w:t xml:space="preserve"> </w:t>
      </w:r>
      <w:r w:rsidR="00C6214E">
        <w:rPr>
          <w:rFonts w:ascii="Times New Roman" w:eastAsia="Aptos" w:hAnsi="Times New Roman"/>
        </w:rPr>
        <w:t>Зеници</w:t>
      </w:r>
      <w:r w:rsidR="00047994" w:rsidRPr="00295637">
        <w:rPr>
          <w:rFonts w:ascii="Times New Roman" w:eastAsia="Aptos" w:hAnsi="Times New Roman"/>
        </w:rPr>
        <w:t xml:space="preserve">, </w:t>
      </w:r>
      <w:r w:rsidR="00C6214E">
        <w:rPr>
          <w:rFonts w:ascii="Times New Roman" w:eastAsia="Aptos" w:hAnsi="Times New Roman"/>
        </w:rPr>
        <w:t>које</w:t>
      </w:r>
      <w:r w:rsidR="00047994" w:rsidRPr="00295637">
        <w:rPr>
          <w:rFonts w:ascii="Times New Roman" w:eastAsia="Aptos" w:hAnsi="Times New Roman"/>
        </w:rPr>
        <w:t xml:space="preserve"> </w:t>
      </w:r>
      <w:r w:rsidR="00C6214E">
        <w:rPr>
          <w:rFonts w:ascii="Times New Roman" w:eastAsia="Aptos" w:hAnsi="Times New Roman"/>
        </w:rPr>
        <w:t>су</w:t>
      </w:r>
      <w:r w:rsidR="00047994" w:rsidRPr="00295637">
        <w:rPr>
          <w:rFonts w:ascii="Times New Roman" w:eastAsia="Aptos" w:hAnsi="Times New Roman"/>
        </w:rPr>
        <w:t xml:space="preserve"> </w:t>
      </w:r>
      <w:r w:rsidR="00C6214E">
        <w:rPr>
          <w:rFonts w:ascii="Times New Roman" w:eastAsia="Aptos" w:hAnsi="Times New Roman"/>
        </w:rPr>
        <w:t>обухватиле</w:t>
      </w:r>
      <w:r w:rsidR="00047994" w:rsidRPr="00295637">
        <w:rPr>
          <w:rFonts w:ascii="Times New Roman" w:eastAsia="Aptos" w:hAnsi="Times New Roman"/>
        </w:rPr>
        <w:t xml:space="preserve"> 84 </w:t>
      </w:r>
      <w:r w:rsidR="00C6214E">
        <w:rPr>
          <w:rFonts w:ascii="Times New Roman" w:eastAsia="Aptos" w:hAnsi="Times New Roman"/>
        </w:rPr>
        <w:t>адолесцената</w:t>
      </w:r>
      <w:r w:rsidR="00047994" w:rsidRPr="00295637">
        <w:rPr>
          <w:rFonts w:ascii="Times New Roman" w:eastAsia="Aptos" w:hAnsi="Times New Roman"/>
        </w:rPr>
        <w:t xml:space="preserve"> (52 </w:t>
      </w:r>
      <w:r w:rsidR="00C6214E">
        <w:rPr>
          <w:rFonts w:ascii="Times New Roman" w:eastAsia="Aptos" w:hAnsi="Times New Roman"/>
        </w:rPr>
        <w:t>дјевојчице</w:t>
      </w:r>
      <w:r w:rsidR="00047994" w:rsidRPr="00295637">
        <w:rPr>
          <w:rFonts w:ascii="Times New Roman" w:eastAsia="Aptos" w:hAnsi="Times New Roman"/>
        </w:rPr>
        <w:t xml:space="preserve"> </w:t>
      </w:r>
      <w:r w:rsidR="00C6214E">
        <w:rPr>
          <w:rFonts w:ascii="Times New Roman" w:eastAsia="Aptos" w:hAnsi="Times New Roman"/>
        </w:rPr>
        <w:t>и</w:t>
      </w:r>
      <w:r w:rsidR="00047994" w:rsidRPr="00295637">
        <w:rPr>
          <w:rFonts w:ascii="Times New Roman" w:eastAsia="Aptos" w:hAnsi="Times New Roman"/>
        </w:rPr>
        <w:t xml:space="preserve"> 32 </w:t>
      </w:r>
      <w:r w:rsidR="00C6214E">
        <w:rPr>
          <w:rFonts w:ascii="Times New Roman" w:eastAsia="Aptos" w:hAnsi="Times New Roman"/>
        </w:rPr>
        <w:t>дјечака</w:t>
      </w:r>
      <w:r w:rsidR="00047994" w:rsidRPr="00295637">
        <w:rPr>
          <w:rFonts w:ascii="Times New Roman" w:eastAsia="Aptos" w:hAnsi="Times New Roman"/>
        </w:rPr>
        <w:t xml:space="preserve">). </w:t>
      </w:r>
      <w:r w:rsidR="00C6214E">
        <w:rPr>
          <w:rFonts w:ascii="Times New Roman" w:eastAsia="Aptos" w:hAnsi="Times New Roman"/>
        </w:rPr>
        <w:t>Створени</w:t>
      </w:r>
      <w:r w:rsidR="00047994" w:rsidRPr="00295637">
        <w:rPr>
          <w:rFonts w:ascii="Times New Roman" w:eastAsia="Aptos" w:hAnsi="Times New Roman"/>
        </w:rPr>
        <w:t xml:space="preserve"> </w:t>
      </w:r>
      <w:r w:rsidR="00C6214E">
        <w:rPr>
          <w:rFonts w:ascii="Times New Roman" w:eastAsia="Aptos" w:hAnsi="Times New Roman"/>
        </w:rPr>
        <w:t>су</w:t>
      </w:r>
      <w:r w:rsidR="00047994" w:rsidRPr="00295637">
        <w:rPr>
          <w:rFonts w:ascii="Times New Roman" w:eastAsia="Aptos" w:hAnsi="Times New Roman"/>
        </w:rPr>
        <w:t xml:space="preserve"> </w:t>
      </w:r>
      <w:r>
        <w:rPr>
          <w:rFonts w:ascii="Times New Roman" w:eastAsia="Aptos" w:hAnsi="Times New Roman"/>
          <w:lang w:val="sr-Cyrl-BA"/>
        </w:rPr>
        <w:t>безбједни</w:t>
      </w:r>
      <w:r w:rsidR="00047994" w:rsidRPr="00295637">
        <w:rPr>
          <w:rFonts w:ascii="Times New Roman" w:eastAsia="Aptos" w:hAnsi="Times New Roman"/>
        </w:rPr>
        <w:t xml:space="preserve"> </w:t>
      </w:r>
      <w:r w:rsidR="00C6214E">
        <w:rPr>
          <w:rFonts w:ascii="Times New Roman" w:eastAsia="Aptos" w:hAnsi="Times New Roman"/>
        </w:rPr>
        <w:t>простори</w:t>
      </w:r>
      <w:r w:rsidR="00047994" w:rsidRPr="00295637">
        <w:rPr>
          <w:rFonts w:ascii="Times New Roman" w:eastAsia="Aptos" w:hAnsi="Times New Roman"/>
        </w:rPr>
        <w:t xml:space="preserve"> </w:t>
      </w:r>
      <w:r w:rsidR="00C6214E">
        <w:rPr>
          <w:rFonts w:ascii="Times New Roman" w:eastAsia="Aptos" w:hAnsi="Times New Roman"/>
        </w:rPr>
        <w:t>за</w:t>
      </w:r>
      <w:r w:rsidR="00047994" w:rsidRPr="00295637">
        <w:rPr>
          <w:rFonts w:ascii="Times New Roman" w:eastAsia="Aptos" w:hAnsi="Times New Roman"/>
        </w:rPr>
        <w:t xml:space="preserve"> </w:t>
      </w:r>
      <w:r w:rsidR="00C6214E">
        <w:rPr>
          <w:rFonts w:ascii="Times New Roman" w:eastAsia="Aptos" w:hAnsi="Times New Roman"/>
        </w:rPr>
        <w:t>отворени</w:t>
      </w:r>
      <w:r w:rsidR="00047994" w:rsidRPr="00295637">
        <w:rPr>
          <w:rFonts w:ascii="Times New Roman" w:eastAsia="Aptos" w:hAnsi="Times New Roman"/>
        </w:rPr>
        <w:t xml:space="preserve"> </w:t>
      </w:r>
      <w:r w:rsidR="00C6214E">
        <w:rPr>
          <w:rFonts w:ascii="Times New Roman" w:eastAsia="Aptos" w:hAnsi="Times New Roman"/>
        </w:rPr>
        <w:t>дијалог</w:t>
      </w:r>
      <w:r w:rsidR="00047994" w:rsidRPr="00295637">
        <w:rPr>
          <w:rFonts w:ascii="Times New Roman" w:eastAsia="Aptos" w:hAnsi="Times New Roman"/>
        </w:rPr>
        <w:t xml:space="preserve"> </w:t>
      </w:r>
      <w:r w:rsidR="00C6214E">
        <w:rPr>
          <w:rFonts w:ascii="Times New Roman" w:eastAsia="Aptos" w:hAnsi="Times New Roman"/>
        </w:rPr>
        <w:t>о</w:t>
      </w:r>
      <w:r w:rsidR="00047994" w:rsidRPr="00295637">
        <w:rPr>
          <w:rFonts w:ascii="Times New Roman" w:eastAsia="Aptos" w:hAnsi="Times New Roman"/>
        </w:rPr>
        <w:t xml:space="preserve"> </w:t>
      </w:r>
      <w:r w:rsidR="00C6214E">
        <w:rPr>
          <w:rFonts w:ascii="Times New Roman" w:eastAsia="Aptos" w:hAnsi="Times New Roman"/>
        </w:rPr>
        <w:t>темама</w:t>
      </w:r>
      <w:r w:rsidR="00047994" w:rsidRPr="00295637">
        <w:rPr>
          <w:rFonts w:ascii="Times New Roman" w:eastAsia="Aptos" w:hAnsi="Times New Roman"/>
        </w:rPr>
        <w:t xml:space="preserve"> </w:t>
      </w:r>
      <w:r w:rsidR="00C6214E">
        <w:rPr>
          <w:rFonts w:ascii="Times New Roman" w:eastAsia="Aptos" w:hAnsi="Times New Roman"/>
        </w:rPr>
        <w:t>које</w:t>
      </w:r>
      <w:r w:rsidR="00047994" w:rsidRPr="00295637">
        <w:rPr>
          <w:rFonts w:ascii="Times New Roman" w:eastAsia="Aptos" w:hAnsi="Times New Roman"/>
        </w:rPr>
        <w:t xml:space="preserve"> </w:t>
      </w:r>
      <w:r w:rsidR="00C6214E">
        <w:rPr>
          <w:rFonts w:ascii="Times New Roman" w:eastAsia="Aptos" w:hAnsi="Times New Roman"/>
        </w:rPr>
        <w:t>се</w:t>
      </w:r>
      <w:r w:rsidR="00047994" w:rsidRPr="00295637">
        <w:rPr>
          <w:rFonts w:ascii="Times New Roman" w:eastAsia="Aptos" w:hAnsi="Times New Roman"/>
        </w:rPr>
        <w:t xml:space="preserve"> </w:t>
      </w:r>
      <w:r w:rsidR="00C6214E">
        <w:rPr>
          <w:rFonts w:ascii="Times New Roman" w:eastAsia="Aptos" w:hAnsi="Times New Roman"/>
        </w:rPr>
        <w:t>често</w:t>
      </w:r>
      <w:r w:rsidR="00047994" w:rsidRPr="00295637">
        <w:rPr>
          <w:rFonts w:ascii="Times New Roman" w:eastAsia="Aptos" w:hAnsi="Times New Roman"/>
        </w:rPr>
        <w:t xml:space="preserve"> </w:t>
      </w:r>
      <w:r w:rsidR="00C6214E">
        <w:rPr>
          <w:rFonts w:ascii="Times New Roman" w:eastAsia="Aptos" w:hAnsi="Times New Roman"/>
        </w:rPr>
        <w:t>маргинализ</w:t>
      </w:r>
      <w:r>
        <w:rPr>
          <w:rFonts w:ascii="Times New Roman" w:eastAsia="Aptos" w:hAnsi="Times New Roman"/>
          <w:lang w:val="sr-Cyrl-BA"/>
        </w:rPr>
        <w:t>ују</w:t>
      </w:r>
      <w:r w:rsidR="00047994" w:rsidRPr="00295637">
        <w:rPr>
          <w:rFonts w:ascii="Times New Roman" w:eastAsia="Aptos" w:hAnsi="Times New Roman"/>
        </w:rPr>
        <w:t>.</w:t>
      </w:r>
    </w:p>
    <w:p w:rsidR="00820915" w:rsidRDefault="00820915" w:rsidP="0086268D">
      <w:pPr>
        <w:rPr>
          <w:rFonts w:ascii="Times New Roman" w:eastAsia="Aptos" w:hAnsi="Times New Roman"/>
        </w:rPr>
      </w:pPr>
    </w:p>
    <w:p w:rsidR="00820915" w:rsidRPr="00295637" w:rsidRDefault="00820915" w:rsidP="0086268D">
      <w:pPr>
        <w:rPr>
          <w:rFonts w:eastAsia="Calibri" w:cs="Arial"/>
          <w:b/>
          <w:szCs w:val="24"/>
          <w:lang w:val="bs-Latn-BA"/>
        </w:rPr>
      </w:pPr>
    </w:p>
    <w:p w:rsidR="00356C2C" w:rsidRPr="00295637" w:rsidRDefault="00070295" w:rsidP="000E6B9C">
      <w:pPr>
        <w:pStyle w:val="Heading3"/>
        <w:numPr>
          <w:ilvl w:val="0"/>
          <w:numId w:val="0"/>
        </w:numPr>
        <w:spacing w:after="0" w:line="240" w:lineRule="auto"/>
        <w:rPr>
          <w:rFonts w:ascii="Times New Roman" w:hAnsi="Times New Roman" w:cs="Times New Roman"/>
        </w:rPr>
      </w:pPr>
      <w:bookmarkStart w:id="19" w:name="_Toc332005662"/>
      <w:bookmarkStart w:id="20" w:name="_Toc332010893"/>
      <w:bookmarkStart w:id="21" w:name="_Toc195016592"/>
      <w:r>
        <w:rPr>
          <w:rFonts w:ascii="Times New Roman" w:hAnsi="Times New Roman" w:cs="Times New Roman"/>
          <w:color w:val="548DD4" w:themeColor="text2" w:themeTint="99"/>
        </w:rPr>
        <w:t xml:space="preserve">I </w:t>
      </w:r>
      <w:r w:rsidR="000E6B9C" w:rsidRPr="000E6B9C">
        <w:rPr>
          <w:rFonts w:ascii="Times New Roman" w:hAnsi="Times New Roman" w:cs="Times New Roman"/>
          <w:color w:val="548DD4" w:themeColor="text2" w:themeTint="99"/>
        </w:rPr>
        <w:t xml:space="preserve">2. </w:t>
      </w:r>
      <w:r w:rsidR="00C6214E">
        <w:rPr>
          <w:rFonts w:ascii="Times New Roman" w:hAnsi="Times New Roman" w:cs="Times New Roman"/>
        </w:rPr>
        <w:t>Јавни</w:t>
      </w:r>
      <w:r w:rsidR="00356C2C" w:rsidRPr="00295637">
        <w:rPr>
          <w:rFonts w:ascii="Times New Roman" w:hAnsi="Times New Roman" w:cs="Times New Roman"/>
        </w:rPr>
        <w:t xml:space="preserve"> </w:t>
      </w:r>
      <w:r w:rsidR="00C6214E">
        <w:rPr>
          <w:rFonts w:ascii="Times New Roman" w:hAnsi="Times New Roman" w:cs="Times New Roman"/>
        </w:rPr>
        <w:t>живот</w:t>
      </w:r>
      <w:r w:rsidR="00356C2C" w:rsidRPr="00295637">
        <w:rPr>
          <w:rFonts w:ascii="Times New Roman" w:hAnsi="Times New Roman" w:cs="Times New Roman"/>
        </w:rPr>
        <w:t xml:space="preserve"> </w:t>
      </w:r>
      <w:r w:rsidR="00C6214E">
        <w:rPr>
          <w:rFonts w:ascii="Times New Roman" w:hAnsi="Times New Roman" w:cs="Times New Roman"/>
        </w:rPr>
        <w:t>и</w:t>
      </w:r>
      <w:r w:rsidR="00356C2C" w:rsidRPr="00295637">
        <w:rPr>
          <w:rFonts w:ascii="Times New Roman" w:hAnsi="Times New Roman" w:cs="Times New Roman"/>
        </w:rPr>
        <w:t xml:space="preserve"> </w:t>
      </w:r>
      <w:r w:rsidR="00C6214E">
        <w:rPr>
          <w:rFonts w:ascii="Times New Roman" w:hAnsi="Times New Roman" w:cs="Times New Roman"/>
        </w:rPr>
        <w:t>доношење</w:t>
      </w:r>
      <w:r w:rsidR="00356C2C" w:rsidRPr="00295637">
        <w:rPr>
          <w:rFonts w:ascii="Times New Roman" w:hAnsi="Times New Roman" w:cs="Times New Roman"/>
        </w:rPr>
        <w:t xml:space="preserve"> </w:t>
      </w:r>
      <w:r w:rsidR="00C6214E">
        <w:rPr>
          <w:rFonts w:ascii="Times New Roman" w:hAnsi="Times New Roman" w:cs="Times New Roman"/>
        </w:rPr>
        <w:t>одлука</w:t>
      </w:r>
      <w:bookmarkEnd w:id="19"/>
      <w:bookmarkEnd w:id="20"/>
      <w:bookmarkEnd w:id="21"/>
    </w:p>
    <w:p w:rsidR="00604363" w:rsidRPr="00295637" w:rsidRDefault="00604363" w:rsidP="0086268D"/>
    <w:p w:rsidR="00604363" w:rsidRPr="00295637" w:rsidRDefault="00C6214E" w:rsidP="0086268D">
      <w:pPr>
        <w:jc w:val="both"/>
        <w:rPr>
          <w:rFonts w:ascii="Times New Roman" w:hAnsi="Times New Roman"/>
          <w:szCs w:val="24"/>
        </w:rPr>
      </w:pPr>
      <w:r>
        <w:rPr>
          <w:rFonts w:ascii="Times New Roman" w:hAnsi="Times New Roman"/>
          <w:bCs/>
          <w:szCs w:val="24"/>
          <w:lang w:val="it-IT"/>
        </w:rPr>
        <w:t>У</w:t>
      </w:r>
      <w:r w:rsidR="00604363" w:rsidRPr="00295637">
        <w:rPr>
          <w:rFonts w:ascii="Times New Roman" w:hAnsi="Times New Roman"/>
          <w:bCs/>
          <w:szCs w:val="24"/>
          <w:lang w:val="it-IT"/>
        </w:rPr>
        <w:t xml:space="preserve"> 2024. </w:t>
      </w:r>
      <w:r>
        <w:rPr>
          <w:rFonts w:ascii="Times New Roman" w:hAnsi="Times New Roman"/>
          <w:bCs/>
          <w:szCs w:val="24"/>
          <w:lang w:val="hr-HR"/>
        </w:rPr>
        <w:t>години</w:t>
      </w:r>
      <w:r w:rsidR="00604363" w:rsidRPr="006820FB">
        <w:rPr>
          <w:rFonts w:ascii="Times New Roman" w:hAnsi="Times New Roman"/>
          <w:bCs/>
          <w:szCs w:val="24"/>
          <w:lang w:val="hr-HR"/>
        </w:rPr>
        <w:t xml:space="preserve"> </w:t>
      </w:r>
      <w:r>
        <w:rPr>
          <w:rFonts w:ascii="Times New Roman" w:hAnsi="Times New Roman"/>
          <w:bCs/>
          <w:szCs w:val="24"/>
          <w:lang w:val="hr-HR"/>
        </w:rPr>
        <w:t>у</w:t>
      </w:r>
      <w:r w:rsidR="00604363" w:rsidRPr="006820FB">
        <w:rPr>
          <w:rFonts w:ascii="Times New Roman" w:hAnsi="Times New Roman"/>
          <w:bCs/>
          <w:szCs w:val="24"/>
          <w:lang w:val="hr-HR"/>
        </w:rPr>
        <w:t xml:space="preserve"> </w:t>
      </w:r>
      <w:r>
        <w:rPr>
          <w:rFonts w:ascii="Times New Roman" w:hAnsi="Times New Roman"/>
          <w:bCs/>
          <w:szCs w:val="24"/>
          <w:lang w:val="hr-HR"/>
        </w:rPr>
        <w:t>Босни</w:t>
      </w:r>
      <w:r w:rsidR="00604363" w:rsidRPr="006820FB">
        <w:rPr>
          <w:rFonts w:ascii="Times New Roman" w:hAnsi="Times New Roman"/>
          <w:bCs/>
          <w:szCs w:val="24"/>
          <w:lang w:val="hr-HR"/>
        </w:rPr>
        <w:t xml:space="preserve"> </w:t>
      </w:r>
      <w:r>
        <w:rPr>
          <w:rFonts w:ascii="Times New Roman" w:hAnsi="Times New Roman"/>
          <w:bCs/>
          <w:szCs w:val="24"/>
          <w:lang w:val="hr-HR"/>
        </w:rPr>
        <w:t>и</w:t>
      </w:r>
      <w:r w:rsidR="00604363" w:rsidRPr="006820FB">
        <w:rPr>
          <w:rFonts w:ascii="Times New Roman" w:hAnsi="Times New Roman"/>
          <w:bCs/>
          <w:szCs w:val="24"/>
          <w:lang w:val="hr-HR"/>
        </w:rPr>
        <w:t xml:space="preserve"> </w:t>
      </w:r>
      <w:r>
        <w:rPr>
          <w:rFonts w:ascii="Times New Roman" w:hAnsi="Times New Roman"/>
          <w:bCs/>
          <w:szCs w:val="24"/>
          <w:lang w:val="hr-HR"/>
        </w:rPr>
        <w:t>Херцеговини</w:t>
      </w:r>
      <w:r w:rsidR="00604363" w:rsidRPr="006820FB">
        <w:rPr>
          <w:rFonts w:ascii="Times New Roman" w:hAnsi="Times New Roman"/>
          <w:bCs/>
          <w:szCs w:val="24"/>
          <w:lang w:val="hr-HR"/>
        </w:rPr>
        <w:t xml:space="preserve"> </w:t>
      </w:r>
      <w:r w:rsidR="00070295">
        <w:rPr>
          <w:rFonts w:ascii="Times New Roman" w:hAnsi="Times New Roman"/>
          <w:bCs/>
          <w:szCs w:val="24"/>
          <w:lang w:val="hr-HR"/>
        </w:rPr>
        <w:t xml:space="preserve">су </w:t>
      </w:r>
      <w:r>
        <w:rPr>
          <w:rFonts w:ascii="Times New Roman" w:hAnsi="Times New Roman"/>
          <w:bCs/>
          <w:szCs w:val="24"/>
          <w:lang w:val="hr-HR"/>
        </w:rPr>
        <w:t>одржани</w:t>
      </w:r>
      <w:r w:rsidR="00604363" w:rsidRPr="006820FB">
        <w:rPr>
          <w:rFonts w:ascii="Times New Roman" w:hAnsi="Times New Roman"/>
          <w:bCs/>
          <w:szCs w:val="24"/>
          <w:lang w:val="hr-HR"/>
        </w:rPr>
        <w:t xml:space="preserve"> </w:t>
      </w:r>
      <w:r>
        <w:rPr>
          <w:rFonts w:ascii="Times New Roman" w:hAnsi="Times New Roman"/>
          <w:bCs/>
          <w:szCs w:val="24"/>
          <w:lang w:val="hr-HR"/>
        </w:rPr>
        <w:t>Локални</w:t>
      </w:r>
      <w:r w:rsidR="00604363" w:rsidRPr="006820FB">
        <w:rPr>
          <w:rFonts w:ascii="Times New Roman" w:hAnsi="Times New Roman"/>
          <w:bCs/>
          <w:szCs w:val="24"/>
          <w:lang w:val="hr-HR"/>
        </w:rPr>
        <w:t xml:space="preserve"> </w:t>
      </w:r>
      <w:r>
        <w:rPr>
          <w:rFonts w:ascii="Times New Roman" w:hAnsi="Times New Roman"/>
          <w:bCs/>
          <w:szCs w:val="24"/>
          <w:lang w:val="hr-HR"/>
        </w:rPr>
        <w:t>избори</w:t>
      </w:r>
      <w:r w:rsidR="00604363" w:rsidRPr="006820FB">
        <w:rPr>
          <w:rFonts w:ascii="Times New Roman" w:hAnsi="Times New Roman"/>
          <w:bCs/>
          <w:szCs w:val="24"/>
          <w:lang w:val="hr-HR"/>
        </w:rPr>
        <w:t>.</w:t>
      </w:r>
      <w:r w:rsidR="00604363" w:rsidRPr="00295637">
        <w:rPr>
          <w:rFonts w:ascii="Times New Roman" w:hAnsi="Times New Roman"/>
          <w:bCs/>
          <w:szCs w:val="24"/>
          <w:lang w:val="it-IT"/>
        </w:rPr>
        <w:t xml:space="preserve"> </w:t>
      </w:r>
      <w:r>
        <w:rPr>
          <w:rFonts w:ascii="Times New Roman" w:hAnsi="Times New Roman"/>
          <w:szCs w:val="24"/>
        </w:rPr>
        <w:t>За</w:t>
      </w:r>
      <w:r w:rsidR="00604363" w:rsidRPr="00295637">
        <w:rPr>
          <w:rFonts w:ascii="Times New Roman" w:hAnsi="Times New Roman"/>
          <w:szCs w:val="24"/>
        </w:rPr>
        <w:t xml:space="preserve"> </w:t>
      </w:r>
      <w:r>
        <w:rPr>
          <w:rFonts w:ascii="Times New Roman" w:hAnsi="Times New Roman"/>
          <w:szCs w:val="24"/>
        </w:rPr>
        <w:t>учествовање</w:t>
      </w:r>
      <w:r w:rsidR="00604363" w:rsidRPr="00295637">
        <w:rPr>
          <w:rFonts w:ascii="Times New Roman" w:hAnsi="Times New Roman"/>
          <w:szCs w:val="24"/>
        </w:rPr>
        <w:t xml:space="preserve"> </w:t>
      </w:r>
      <w:r>
        <w:rPr>
          <w:rFonts w:ascii="Times New Roman" w:hAnsi="Times New Roman"/>
          <w:szCs w:val="24"/>
        </w:rPr>
        <w:t>на</w:t>
      </w:r>
      <w:r w:rsidR="00604363" w:rsidRPr="00295637">
        <w:rPr>
          <w:rFonts w:ascii="Times New Roman" w:hAnsi="Times New Roman"/>
          <w:szCs w:val="24"/>
        </w:rPr>
        <w:t xml:space="preserve"> </w:t>
      </w:r>
      <w:r>
        <w:rPr>
          <w:rFonts w:ascii="Times New Roman" w:hAnsi="Times New Roman"/>
          <w:szCs w:val="24"/>
        </w:rPr>
        <w:t>овим</w:t>
      </w:r>
      <w:r w:rsidR="00752BA5" w:rsidRPr="00295637">
        <w:rPr>
          <w:rFonts w:ascii="Times New Roman" w:hAnsi="Times New Roman"/>
          <w:szCs w:val="24"/>
        </w:rPr>
        <w:t xml:space="preserve"> </w:t>
      </w:r>
      <w:r>
        <w:rPr>
          <w:rFonts w:ascii="Times New Roman" w:hAnsi="Times New Roman"/>
          <w:szCs w:val="24"/>
        </w:rPr>
        <w:t>локалним</w:t>
      </w:r>
      <w:r w:rsidR="00604363" w:rsidRPr="00295637">
        <w:rPr>
          <w:rFonts w:ascii="Times New Roman" w:hAnsi="Times New Roman"/>
          <w:szCs w:val="24"/>
        </w:rPr>
        <w:t xml:space="preserve"> </w:t>
      </w:r>
      <w:r>
        <w:rPr>
          <w:rFonts w:ascii="Times New Roman" w:hAnsi="Times New Roman"/>
          <w:szCs w:val="24"/>
        </w:rPr>
        <w:t>изборима</w:t>
      </w:r>
      <w:r w:rsidR="00604363" w:rsidRPr="00295637">
        <w:rPr>
          <w:rFonts w:ascii="Times New Roman" w:hAnsi="Times New Roman"/>
          <w:szCs w:val="24"/>
        </w:rPr>
        <w:t xml:space="preserve"> </w:t>
      </w:r>
      <w:r>
        <w:rPr>
          <w:rFonts w:ascii="Times New Roman" w:hAnsi="Times New Roman"/>
          <w:szCs w:val="24"/>
        </w:rPr>
        <w:t>овјерено</w:t>
      </w:r>
      <w:r w:rsidR="00604363" w:rsidRPr="00295637">
        <w:rPr>
          <w:rFonts w:ascii="Times New Roman" w:hAnsi="Times New Roman"/>
          <w:szCs w:val="24"/>
        </w:rPr>
        <w:t xml:space="preserve"> </w:t>
      </w:r>
      <w:r>
        <w:rPr>
          <w:rFonts w:ascii="Times New Roman" w:hAnsi="Times New Roman"/>
          <w:szCs w:val="24"/>
        </w:rPr>
        <w:t>је</w:t>
      </w:r>
      <w:r w:rsidR="00604363" w:rsidRPr="00295637">
        <w:rPr>
          <w:rFonts w:ascii="Times New Roman" w:hAnsi="Times New Roman"/>
          <w:szCs w:val="24"/>
        </w:rPr>
        <w:t xml:space="preserve"> </w:t>
      </w:r>
      <w:r>
        <w:rPr>
          <w:rFonts w:ascii="Times New Roman" w:hAnsi="Times New Roman"/>
          <w:szCs w:val="24"/>
        </w:rPr>
        <w:t>укупно</w:t>
      </w:r>
      <w:r w:rsidR="00604363" w:rsidRPr="00295637">
        <w:rPr>
          <w:rFonts w:ascii="Times New Roman" w:hAnsi="Times New Roman"/>
          <w:szCs w:val="24"/>
        </w:rPr>
        <w:t xml:space="preserve"> 26.089 </w:t>
      </w:r>
      <w:r>
        <w:rPr>
          <w:rFonts w:ascii="Times New Roman" w:hAnsi="Times New Roman"/>
          <w:szCs w:val="24"/>
        </w:rPr>
        <w:t>кандидата</w:t>
      </w:r>
      <w:r w:rsidR="00604363" w:rsidRPr="00295637">
        <w:rPr>
          <w:rFonts w:ascii="Times New Roman" w:hAnsi="Times New Roman"/>
          <w:szCs w:val="24"/>
        </w:rPr>
        <w:t xml:space="preserve"> </w:t>
      </w:r>
      <w:r>
        <w:rPr>
          <w:rFonts w:ascii="Times New Roman" w:hAnsi="Times New Roman"/>
          <w:szCs w:val="24"/>
        </w:rPr>
        <w:t>од</w:t>
      </w:r>
      <w:r w:rsidR="00604363" w:rsidRPr="00295637">
        <w:rPr>
          <w:rFonts w:ascii="Times New Roman" w:hAnsi="Times New Roman"/>
          <w:szCs w:val="24"/>
        </w:rPr>
        <w:t xml:space="preserve"> </w:t>
      </w:r>
      <w:r>
        <w:rPr>
          <w:rFonts w:ascii="Times New Roman" w:hAnsi="Times New Roman"/>
          <w:szCs w:val="24"/>
        </w:rPr>
        <w:t>чега</w:t>
      </w:r>
      <w:r w:rsidR="00604363" w:rsidRPr="00295637">
        <w:rPr>
          <w:rFonts w:ascii="Times New Roman" w:hAnsi="Times New Roman"/>
          <w:szCs w:val="24"/>
        </w:rPr>
        <w:t xml:space="preserve"> 15.106 </w:t>
      </w:r>
      <w:r>
        <w:rPr>
          <w:rFonts w:ascii="Times New Roman" w:hAnsi="Times New Roman"/>
          <w:szCs w:val="24"/>
        </w:rPr>
        <w:t>мушкараца</w:t>
      </w:r>
      <w:r w:rsidR="00604363" w:rsidRPr="00295637">
        <w:rPr>
          <w:rFonts w:ascii="Times New Roman" w:hAnsi="Times New Roman"/>
          <w:szCs w:val="24"/>
        </w:rPr>
        <w:t xml:space="preserve"> (57,90%)</w:t>
      </w:r>
      <w:r w:rsidR="006118F3" w:rsidRPr="00295637">
        <w:rPr>
          <w:rFonts w:ascii="Times New Roman" w:hAnsi="Times New Roman"/>
          <w:szCs w:val="24"/>
        </w:rPr>
        <w:t xml:space="preserve"> </w:t>
      </w:r>
      <w:r>
        <w:rPr>
          <w:rFonts w:ascii="Times New Roman" w:hAnsi="Times New Roman"/>
          <w:szCs w:val="24"/>
        </w:rPr>
        <w:t>и</w:t>
      </w:r>
      <w:r w:rsidR="00604363" w:rsidRPr="00295637">
        <w:rPr>
          <w:rFonts w:ascii="Times New Roman" w:hAnsi="Times New Roman"/>
          <w:szCs w:val="24"/>
        </w:rPr>
        <w:t xml:space="preserve"> 10.983 </w:t>
      </w:r>
      <w:r>
        <w:rPr>
          <w:rFonts w:ascii="Times New Roman" w:hAnsi="Times New Roman"/>
          <w:szCs w:val="24"/>
        </w:rPr>
        <w:t>жена</w:t>
      </w:r>
      <w:r w:rsidR="00D30E48">
        <w:rPr>
          <w:rFonts w:ascii="Times New Roman" w:hAnsi="Times New Roman"/>
          <w:szCs w:val="24"/>
        </w:rPr>
        <w:t xml:space="preserve"> (42,10%).</w:t>
      </w:r>
      <w:r w:rsidR="00604363" w:rsidRPr="00295637">
        <w:rPr>
          <w:rFonts w:ascii="Times New Roman" w:hAnsi="Times New Roman"/>
          <w:bCs/>
          <w:szCs w:val="24"/>
          <w:lang w:val="it-IT"/>
        </w:rPr>
        <w:t xml:space="preserve"> </w:t>
      </w:r>
      <w:r>
        <w:rPr>
          <w:rFonts w:ascii="Times New Roman" w:hAnsi="Times New Roman"/>
          <w:szCs w:val="24"/>
        </w:rPr>
        <w:t>Укупан</w:t>
      </w:r>
      <w:r w:rsidR="00604363" w:rsidRPr="00295637">
        <w:rPr>
          <w:rFonts w:ascii="Times New Roman" w:hAnsi="Times New Roman"/>
          <w:szCs w:val="24"/>
        </w:rPr>
        <w:t xml:space="preserve"> </w:t>
      </w:r>
      <w:r>
        <w:rPr>
          <w:rFonts w:ascii="Times New Roman" w:hAnsi="Times New Roman"/>
          <w:szCs w:val="24"/>
        </w:rPr>
        <w:t>број</w:t>
      </w:r>
      <w:r w:rsidR="00604363" w:rsidRPr="00295637">
        <w:rPr>
          <w:rFonts w:ascii="Times New Roman" w:hAnsi="Times New Roman"/>
          <w:szCs w:val="24"/>
        </w:rPr>
        <w:t xml:space="preserve"> </w:t>
      </w:r>
      <w:r>
        <w:rPr>
          <w:rFonts w:ascii="Times New Roman" w:hAnsi="Times New Roman"/>
          <w:szCs w:val="24"/>
        </w:rPr>
        <w:t>изабраних</w:t>
      </w:r>
      <w:r w:rsidR="00604363" w:rsidRPr="00295637">
        <w:rPr>
          <w:rFonts w:ascii="Times New Roman" w:hAnsi="Times New Roman"/>
          <w:szCs w:val="24"/>
        </w:rPr>
        <w:t xml:space="preserve"> </w:t>
      </w:r>
      <w:r>
        <w:rPr>
          <w:rFonts w:ascii="Times New Roman" w:hAnsi="Times New Roman"/>
          <w:szCs w:val="24"/>
        </w:rPr>
        <w:t>начелника</w:t>
      </w:r>
      <w:r w:rsidR="00604363" w:rsidRPr="00295637">
        <w:rPr>
          <w:rFonts w:ascii="Times New Roman" w:hAnsi="Times New Roman"/>
          <w:szCs w:val="24"/>
        </w:rPr>
        <w:t>/</w:t>
      </w:r>
      <w:r>
        <w:rPr>
          <w:rFonts w:ascii="Times New Roman" w:hAnsi="Times New Roman"/>
          <w:szCs w:val="24"/>
        </w:rPr>
        <w:t>градоначелника</w:t>
      </w:r>
      <w:r w:rsidR="00604363" w:rsidRPr="00295637">
        <w:rPr>
          <w:rFonts w:ascii="Times New Roman" w:hAnsi="Times New Roman"/>
          <w:szCs w:val="24"/>
        </w:rPr>
        <w:t xml:space="preserve"> </w:t>
      </w:r>
      <w:r>
        <w:rPr>
          <w:rFonts w:ascii="Times New Roman" w:hAnsi="Times New Roman"/>
          <w:szCs w:val="24"/>
        </w:rPr>
        <w:t>је</w:t>
      </w:r>
      <w:r w:rsidR="00604363" w:rsidRPr="00295637">
        <w:rPr>
          <w:rFonts w:ascii="Times New Roman" w:hAnsi="Times New Roman"/>
          <w:szCs w:val="24"/>
        </w:rPr>
        <w:t xml:space="preserve"> 142: </w:t>
      </w:r>
      <w:r>
        <w:rPr>
          <w:rFonts w:ascii="Times New Roman" w:hAnsi="Times New Roman"/>
          <w:szCs w:val="24"/>
        </w:rPr>
        <w:t>од</w:t>
      </w:r>
      <w:r w:rsidR="00604363" w:rsidRPr="00295637">
        <w:rPr>
          <w:rFonts w:ascii="Times New Roman" w:hAnsi="Times New Roman"/>
          <w:szCs w:val="24"/>
        </w:rPr>
        <w:t xml:space="preserve"> </w:t>
      </w:r>
      <w:r>
        <w:rPr>
          <w:rFonts w:ascii="Times New Roman" w:hAnsi="Times New Roman"/>
          <w:szCs w:val="24"/>
        </w:rPr>
        <w:t>чега</w:t>
      </w:r>
      <w:r w:rsidR="00604363" w:rsidRPr="00295637">
        <w:rPr>
          <w:rFonts w:ascii="Times New Roman" w:hAnsi="Times New Roman"/>
          <w:szCs w:val="24"/>
        </w:rPr>
        <w:t xml:space="preserve"> 134 </w:t>
      </w:r>
      <w:r>
        <w:rPr>
          <w:rFonts w:ascii="Times New Roman" w:hAnsi="Times New Roman"/>
          <w:szCs w:val="24"/>
        </w:rPr>
        <w:t>мушкарца</w:t>
      </w:r>
      <w:r w:rsidR="00604363" w:rsidRPr="00295637">
        <w:rPr>
          <w:rFonts w:ascii="Times New Roman" w:hAnsi="Times New Roman"/>
          <w:szCs w:val="24"/>
        </w:rPr>
        <w:t xml:space="preserve"> </w:t>
      </w:r>
      <w:r>
        <w:rPr>
          <w:rFonts w:ascii="Times New Roman" w:hAnsi="Times New Roman"/>
          <w:szCs w:val="24"/>
        </w:rPr>
        <w:t>и</w:t>
      </w:r>
      <w:r w:rsidR="00604363" w:rsidRPr="00295637">
        <w:rPr>
          <w:rFonts w:ascii="Times New Roman" w:hAnsi="Times New Roman"/>
          <w:szCs w:val="24"/>
        </w:rPr>
        <w:t xml:space="preserve"> 8 </w:t>
      </w:r>
      <w:r>
        <w:rPr>
          <w:rFonts w:ascii="Times New Roman" w:hAnsi="Times New Roman"/>
          <w:szCs w:val="24"/>
        </w:rPr>
        <w:t>жена</w:t>
      </w:r>
      <w:r w:rsidR="00604363" w:rsidRPr="00295637">
        <w:rPr>
          <w:rFonts w:ascii="Times New Roman" w:hAnsi="Times New Roman"/>
          <w:szCs w:val="24"/>
        </w:rPr>
        <w:t xml:space="preserve">. </w:t>
      </w:r>
      <w:r>
        <w:rPr>
          <w:rFonts w:ascii="Times New Roman" w:hAnsi="Times New Roman"/>
          <w:szCs w:val="24"/>
        </w:rPr>
        <w:t>Жене</w:t>
      </w:r>
      <w:r w:rsidR="00604363" w:rsidRPr="00295637">
        <w:rPr>
          <w:rFonts w:ascii="Times New Roman" w:hAnsi="Times New Roman"/>
          <w:szCs w:val="24"/>
        </w:rPr>
        <w:t xml:space="preserve"> </w:t>
      </w:r>
      <w:r>
        <w:rPr>
          <w:rFonts w:ascii="Times New Roman" w:hAnsi="Times New Roman"/>
          <w:szCs w:val="24"/>
        </w:rPr>
        <w:t>су</w:t>
      </w:r>
      <w:r w:rsidR="00604363" w:rsidRPr="00295637">
        <w:rPr>
          <w:rFonts w:ascii="Times New Roman" w:hAnsi="Times New Roman"/>
          <w:szCs w:val="24"/>
        </w:rPr>
        <w:t xml:space="preserve"> </w:t>
      </w:r>
      <w:r>
        <w:rPr>
          <w:rFonts w:ascii="Times New Roman" w:hAnsi="Times New Roman"/>
          <w:szCs w:val="24"/>
        </w:rPr>
        <w:t>изабране</w:t>
      </w:r>
      <w:r w:rsidR="00604363" w:rsidRPr="00295637">
        <w:rPr>
          <w:rFonts w:ascii="Times New Roman" w:hAnsi="Times New Roman"/>
          <w:szCs w:val="24"/>
        </w:rPr>
        <w:t xml:space="preserve"> </w:t>
      </w:r>
      <w:r>
        <w:rPr>
          <w:rFonts w:ascii="Times New Roman" w:hAnsi="Times New Roman"/>
          <w:szCs w:val="24"/>
        </w:rPr>
        <w:t>на</w:t>
      </w:r>
      <w:r w:rsidR="00604363" w:rsidRPr="00295637">
        <w:rPr>
          <w:rFonts w:ascii="Times New Roman" w:hAnsi="Times New Roman"/>
          <w:szCs w:val="24"/>
        </w:rPr>
        <w:t xml:space="preserve"> </w:t>
      </w:r>
      <w:r>
        <w:rPr>
          <w:rFonts w:ascii="Times New Roman" w:hAnsi="Times New Roman"/>
          <w:szCs w:val="24"/>
        </w:rPr>
        <w:t>позицију</w:t>
      </w:r>
      <w:r w:rsidR="00604363" w:rsidRPr="00295637">
        <w:rPr>
          <w:rFonts w:ascii="Times New Roman" w:hAnsi="Times New Roman"/>
          <w:szCs w:val="24"/>
        </w:rPr>
        <w:t xml:space="preserve"> </w:t>
      </w:r>
      <w:r>
        <w:rPr>
          <w:rFonts w:ascii="Times New Roman" w:hAnsi="Times New Roman"/>
          <w:szCs w:val="24"/>
        </w:rPr>
        <w:t>начелник</w:t>
      </w:r>
      <w:r w:rsidR="00604363" w:rsidRPr="00295637">
        <w:rPr>
          <w:rFonts w:ascii="Times New Roman" w:hAnsi="Times New Roman"/>
          <w:szCs w:val="24"/>
        </w:rPr>
        <w:t>/</w:t>
      </w:r>
      <w:r>
        <w:rPr>
          <w:rFonts w:ascii="Times New Roman" w:hAnsi="Times New Roman"/>
          <w:szCs w:val="24"/>
        </w:rPr>
        <w:t>градоначелник</w:t>
      </w:r>
      <w:r w:rsidR="00604363" w:rsidRPr="00295637">
        <w:rPr>
          <w:rFonts w:ascii="Times New Roman" w:hAnsi="Times New Roman"/>
          <w:szCs w:val="24"/>
        </w:rPr>
        <w:t xml:space="preserve"> </w:t>
      </w:r>
      <w:r>
        <w:rPr>
          <w:rFonts w:ascii="Times New Roman" w:hAnsi="Times New Roman"/>
          <w:szCs w:val="24"/>
        </w:rPr>
        <w:t>у</w:t>
      </w:r>
      <w:r w:rsidR="00604363" w:rsidRPr="00295637">
        <w:rPr>
          <w:rFonts w:ascii="Times New Roman" w:hAnsi="Times New Roman"/>
          <w:szCs w:val="24"/>
        </w:rPr>
        <w:t xml:space="preserve"> </w:t>
      </w:r>
      <w:r>
        <w:rPr>
          <w:rFonts w:ascii="Times New Roman" w:hAnsi="Times New Roman"/>
          <w:szCs w:val="24"/>
        </w:rPr>
        <w:t>сљедећим</w:t>
      </w:r>
      <w:r w:rsidR="00604363" w:rsidRPr="00295637">
        <w:rPr>
          <w:rFonts w:ascii="Times New Roman" w:hAnsi="Times New Roman"/>
          <w:szCs w:val="24"/>
        </w:rPr>
        <w:t xml:space="preserve"> </w:t>
      </w:r>
      <w:r>
        <w:rPr>
          <w:rFonts w:ascii="Times New Roman" w:hAnsi="Times New Roman"/>
          <w:szCs w:val="24"/>
        </w:rPr>
        <w:t>оп</w:t>
      </w:r>
      <w:r w:rsidR="00070295">
        <w:rPr>
          <w:rFonts w:ascii="Times New Roman" w:hAnsi="Times New Roman"/>
          <w:szCs w:val="24"/>
          <w:lang w:val="sr-Cyrl-BA"/>
        </w:rPr>
        <w:t>шт</w:t>
      </w:r>
      <w:r>
        <w:rPr>
          <w:rFonts w:ascii="Times New Roman" w:hAnsi="Times New Roman"/>
          <w:szCs w:val="24"/>
        </w:rPr>
        <w:t>инама</w:t>
      </w:r>
      <w:r w:rsidR="00604363" w:rsidRPr="00295637">
        <w:rPr>
          <w:rFonts w:ascii="Times New Roman" w:hAnsi="Times New Roman"/>
          <w:szCs w:val="24"/>
        </w:rPr>
        <w:t xml:space="preserve">: </w:t>
      </w:r>
      <w:r>
        <w:rPr>
          <w:rFonts w:ascii="Times New Roman" w:hAnsi="Times New Roman"/>
          <w:szCs w:val="24"/>
        </w:rPr>
        <w:t>Завидовићи</w:t>
      </w:r>
      <w:r w:rsidR="003C13F3">
        <w:rPr>
          <w:rFonts w:ascii="Times New Roman" w:hAnsi="Times New Roman"/>
          <w:szCs w:val="24"/>
        </w:rPr>
        <w:t xml:space="preserve">, </w:t>
      </w:r>
      <w:r>
        <w:rPr>
          <w:rFonts w:ascii="Times New Roman" w:hAnsi="Times New Roman"/>
          <w:szCs w:val="24"/>
        </w:rPr>
        <w:t>Ново</w:t>
      </w:r>
      <w:r w:rsidR="003C13F3">
        <w:rPr>
          <w:rFonts w:ascii="Times New Roman" w:hAnsi="Times New Roman"/>
          <w:szCs w:val="24"/>
        </w:rPr>
        <w:t xml:space="preserve"> </w:t>
      </w:r>
      <w:r>
        <w:rPr>
          <w:rFonts w:ascii="Times New Roman" w:hAnsi="Times New Roman"/>
          <w:szCs w:val="24"/>
        </w:rPr>
        <w:t>Сарајево</w:t>
      </w:r>
      <w:r w:rsidR="003C13F3">
        <w:rPr>
          <w:rFonts w:ascii="Times New Roman" w:hAnsi="Times New Roman"/>
          <w:szCs w:val="24"/>
        </w:rPr>
        <w:t xml:space="preserve">, </w:t>
      </w:r>
      <w:r>
        <w:rPr>
          <w:rFonts w:ascii="Times New Roman" w:hAnsi="Times New Roman"/>
          <w:szCs w:val="24"/>
        </w:rPr>
        <w:t>Дрвар</w:t>
      </w:r>
      <w:r w:rsidR="003C13F3">
        <w:rPr>
          <w:rFonts w:ascii="Times New Roman" w:hAnsi="Times New Roman"/>
          <w:szCs w:val="24"/>
        </w:rPr>
        <w:t>,</w:t>
      </w:r>
      <w:r w:rsidR="00604363" w:rsidRPr="00295637">
        <w:rPr>
          <w:rFonts w:ascii="Times New Roman" w:hAnsi="Times New Roman"/>
          <w:szCs w:val="24"/>
        </w:rPr>
        <w:t xml:space="preserve"> </w:t>
      </w:r>
      <w:r>
        <w:rPr>
          <w:rFonts w:ascii="Times New Roman" w:hAnsi="Times New Roman"/>
          <w:szCs w:val="24"/>
        </w:rPr>
        <w:t>Чапљина</w:t>
      </w:r>
      <w:r w:rsidR="00604363" w:rsidRPr="00295637">
        <w:rPr>
          <w:rFonts w:ascii="Times New Roman" w:hAnsi="Times New Roman"/>
          <w:szCs w:val="24"/>
        </w:rPr>
        <w:t xml:space="preserve">, </w:t>
      </w:r>
      <w:r>
        <w:rPr>
          <w:rFonts w:ascii="Times New Roman" w:hAnsi="Times New Roman"/>
          <w:szCs w:val="24"/>
        </w:rPr>
        <w:t>Босанско</w:t>
      </w:r>
      <w:r w:rsidR="003C13F3">
        <w:rPr>
          <w:rFonts w:ascii="Times New Roman" w:hAnsi="Times New Roman"/>
          <w:szCs w:val="24"/>
        </w:rPr>
        <w:t xml:space="preserve"> </w:t>
      </w:r>
      <w:r>
        <w:rPr>
          <w:rFonts w:ascii="Times New Roman" w:hAnsi="Times New Roman"/>
          <w:szCs w:val="24"/>
        </w:rPr>
        <w:t>Грахово</w:t>
      </w:r>
      <w:r w:rsidR="003C13F3">
        <w:rPr>
          <w:rFonts w:ascii="Times New Roman" w:hAnsi="Times New Roman"/>
          <w:szCs w:val="24"/>
        </w:rPr>
        <w:t xml:space="preserve">, </w:t>
      </w:r>
      <w:r>
        <w:rPr>
          <w:rFonts w:ascii="Times New Roman" w:hAnsi="Times New Roman"/>
          <w:szCs w:val="24"/>
        </w:rPr>
        <w:t>Источни</w:t>
      </w:r>
      <w:r w:rsidR="003C13F3">
        <w:rPr>
          <w:rFonts w:ascii="Times New Roman" w:hAnsi="Times New Roman"/>
          <w:szCs w:val="24"/>
        </w:rPr>
        <w:t xml:space="preserve"> </w:t>
      </w:r>
      <w:r>
        <w:rPr>
          <w:rFonts w:ascii="Times New Roman" w:hAnsi="Times New Roman"/>
          <w:szCs w:val="24"/>
        </w:rPr>
        <w:t>Дрвар</w:t>
      </w:r>
      <w:r w:rsidR="003C13F3">
        <w:rPr>
          <w:rFonts w:ascii="Times New Roman" w:hAnsi="Times New Roman"/>
          <w:szCs w:val="24"/>
        </w:rPr>
        <w:t>,</w:t>
      </w:r>
      <w:r w:rsidR="00604363" w:rsidRPr="00295637">
        <w:rPr>
          <w:rFonts w:ascii="Times New Roman" w:hAnsi="Times New Roman"/>
          <w:szCs w:val="24"/>
        </w:rPr>
        <w:t xml:space="preserve"> </w:t>
      </w:r>
      <w:r>
        <w:rPr>
          <w:rFonts w:ascii="Times New Roman" w:hAnsi="Times New Roman"/>
          <w:szCs w:val="24"/>
        </w:rPr>
        <w:t>Језеро</w:t>
      </w:r>
      <w:r w:rsidR="00604363" w:rsidRPr="00295637">
        <w:rPr>
          <w:rFonts w:ascii="Times New Roman" w:hAnsi="Times New Roman"/>
          <w:szCs w:val="24"/>
        </w:rPr>
        <w:t xml:space="preserve"> </w:t>
      </w:r>
      <w:r>
        <w:rPr>
          <w:rFonts w:ascii="Times New Roman" w:hAnsi="Times New Roman"/>
          <w:szCs w:val="24"/>
        </w:rPr>
        <w:t>и</w:t>
      </w:r>
      <w:r w:rsidR="00604363" w:rsidRPr="00295637">
        <w:rPr>
          <w:rFonts w:ascii="Times New Roman" w:hAnsi="Times New Roman"/>
          <w:szCs w:val="24"/>
        </w:rPr>
        <w:t xml:space="preserve"> </w:t>
      </w:r>
      <w:r>
        <w:rPr>
          <w:rFonts w:ascii="Times New Roman" w:hAnsi="Times New Roman"/>
          <w:szCs w:val="24"/>
        </w:rPr>
        <w:t>Ново</w:t>
      </w:r>
      <w:r w:rsidR="00604363" w:rsidRPr="00295637">
        <w:rPr>
          <w:rFonts w:ascii="Times New Roman" w:hAnsi="Times New Roman"/>
          <w:szCs w:val="24"/>
        </w:rPr>
        <w:t xml:space="preserve"> </w:t>
      </w:r>
      <w:r>
        <w:rPr>
          <w:rFonts w:ascii="Times New Roman" w:hAnsi="Times New Roman"/>
          <w:szCs w:val="24"/>
        </w:rPr>
        <w:t>Горажде</w:t>
      </w:r>
      <w:r w:rsidR="00604363" w:rsidRPr="00295637">
        <w:rPr>
          <w:rFonts w:ascii="Times New Roman" w:hAnsi="Times New Roman"/>
          <w:szCs w:val="24"/>
        </w:rPr>
        <w:t xml:space="preserve">, </w:t>
      </w:r>
      <w:r>
        <w:rPr>
          <w:rFonts w:ascii="Times New Roman" w:hAnsi="Times New Roman"/>
          <w:szCs w:val="24"/>
        </w:rPr>
        <w:t>односно</w:t>
      </w:r>
      <w:r w:rsidR="00604363" w:rsidRPr="00295637">
        <w:rPr>
          <w:rFonts w:ascii="Times New Roman" w:hAnsi="Times New Roman"/>
          <w:szCs w:val="24"/>
        </w:rPr>
        <w:t xml:space="preserve"> </w:t>
      </w:r>
      <w:r>
        <w:rPr>
          <w:rFonts w:ascii="Times New Roman" w:hAnsi="Times New Roman"/>
          <w:szCs w:val="24"/>
        </w:rPr>
        <w:t>проценат</w:t>
      </w:r>
      <w:r w:rsidR="00604363" w:rsidRPr="00295637">
        <w:rPr>
          <w:rFonts w:ascii="Times New Roman" w:hAnsi="Times New Roman"/>
          <w:szCs w:val="24"/>
        </w:rPr>
        <w:t xml:space="preserve"> </w:t>
      </w:r>
      <w:r>
        <w:rPr>
          <w:rFonts w:ascii="Times New Roman" w:hAnsi="Times New Roman"/>
          <w:szCs w:val="24"/>
        </w:rPr>
        <w:t>изабраних</w:t>
      </w:r>
      <w:r w:rsidR="00604363" w:rsidRPr="00295637">
        <w:rPr>
          <w:rFonts w:ascii="Times New Roman" w:hAnsi="Times New Roman"/>
          <w:szCs w:val="24"/>
        </w:rPr>
        <w:t xml:space="preserve"> </w:t>
      </w:r>
      <w:r>
        <w:rPr>
          <w:rFonts w:ascii="Times New Roman" w:hAnsi="Times New Roman"/>
          <w:szCs w:val="24"/>
        </w:rPr>
        <w:t>начелница</w:t>
      </w:r>
      <w:r w:rsidR="00604363" w:rsidRPr="00295637">
        <w:rPr>
          <w:rFonts w:ascii="Times New Roman" w:hAnsi="Times New Roman"/>
          <w:szCs w:val="24"/>
        </w:rPr>
        <w:t xml:space="preserve"> </w:t>
      </w:r>
      <w:r>
        <w:rPr>
          <w:rFonts w:ascii="Times New Roman" w:hAnsi="Times New Roman"/>
          <w:szCs w:val="24"/>
        </w:rPr>
        <w:t>у</w:t>
      </w:r>
      <w:r w:rsidR="00D30E48">
        <w:rPr>
          <w:rFonts w:ascii="Times New Roman" w:hAnsi="Times New Roman"/>
          <w:szCs w:val="24"/>
        </w:rPr>
        <w:t xml:space="preserve"> </w:t>
      </w:r>
      <w:r>
        <w:rPr>
          <w:rFonts w:ascii="Times New Roman" w:hAnsi="Times New Roman"/>
          <w:szCs w:val="24"/>
        </w:rPr>
        <w:t>БиХ</w:t>
      </w:r>
      <w:r w:rsidR="00604363" w:rsidRPr="00295637">
        <w:rPr>
          <w:rFonts w:ascii="Times New Roman" w:hAnsi="Times New Roman"/>
          <w:szCs w:val="24"/>
        </w:rPr>
        <w:t xml:space="preserve"> </w:t>
      </w:r>
      <w:r>
        <w:rPr>
          <w:rFonts w:ascii="Times New Roman" w:hAnsi="Times New Roman"/>
          <w:szCs w:val="24"/>
        </w:rPr>
        <w:t>је</w:t>
      </w:r>
      <w:r w:rsidR="003C13F3">
        <w:rPr>
          <w:rFonts w:ascii="Times New Roman" w:hAnsi="Times New Roman"/>
          <w:szCs w:val="24"/>
        </w:rPr>
        <w:t xml:space="preserve"> </w:t>
      </w:r>
      <w:r>
        <w:rPr>
          <w:rFonts w:ascii="Times New Roman" w:hAnsi="Times New Roman"/>
          <w:szCs w:val="24"/>
        </w:rPr>
        <w:t>свега</w:t>
      </w:r>
      <w:r w:rsidR="003C13F3">
        <w:rPr>
          <w:rFonts w:ascii="Times New Roman" w:hAnsi="Times New Roman"/>
          <w:szCs w:val="24"/>
        </w:rPr>
        <w:t xml:space="preserve"> 5.6%. </w:t>
      </w:r>
      <w:r>
        <w:rPr>
          <w:rFonts w:ascii="Times New Roman" w:hAnsi="Times New Roman"/>
          <w:szCs w:val="24"/>
        </w:rPr>
        <w:t>У</w:t>
      </w:r>
      <w:r w:rsidR="003C13F3">
        <w:rPr>
          <w:rFonts w:ascii="Times New Roman" w:hAnsi="Times New Roman"/>
          <w:szCs w:val="24"/>
        </w:rPr>
        <w:t xml:space="preserve"> </w:t>
      </w:r>
      <w:r>
        <w:rPr>
          <w:rFonts w:ascii="Times New Roman" w:hAnsi="Times New Roman"/>
          <w:szCs w:val="24"/>
        </w:rPr>
        <w:t>оп</w:t>
      </w:r>
      <w:r w:rsidR="00070295">
        <w:rPr>
          <w:rFonts w:ascii="Times New Roman" w:hAnsi="Times New Roman"/>
          <w:szCs w:val="24"/>
          <w:lang w:val="sr-Cyrl-BA"/>
        </w:rPr>
        <w:t>шт</w:t>
      </w:r>
      <w:r>
        <w:rPr>
          <w:rFonts w:ascii="Times New Roman" w:hAnsi="Times New Roman"/>
          <w:szCs w:val="24"/>
        </w:rPr>
        <w:t>инска</w:t>
      </w:r>
      <w:r w:rsidR="003C13F3">
        <w:rPr>
          <w:rFonts w:ascii="Times New Roman" w:hAnsi="Times New Roman"/>
          <w:szCs w:val="24"/>
        </w:rPr>
        <w:t xml:space="preserve"> </w:t>
      </w:r>
      <w:r>
        <w:rPr>
          <w:rFonts w:ascii="Times New Roman" w:hAnsi="Times New Roman"/>
          <w:szCs w:val="24"/>
        </w:rPr>
        <w:t>вијећа</w:t>
      </w:r>
      <w:r w:rsidR="00604363" w:rsidRPr="00295637">
        <w:rPr>
          <w:rFonts w:ascii="Times New Roman" w:hAnsi="Times New Roman"/>
          <w:szCs w:val="24"/>
        </w:rPr>
        <w:t>/</w:t>
      </w:r>
      <w:r>
        <w:rPr>
          <w:rFonts w:ascii="Times New Roman" w:hAnsi="Times New Roman"/>
          <w:szCs w:val="24"/>
        </w:rPr>
        <w:t>скупштине</w:t>
      </w:r>
      <w:r w:rsidR="00604363" w:rsidRPr="00295637">
        <w:rPr>
          <w:rFonts w:ascii="Times New Roman" w:hAnsi="Times New Roman"/>
          <w:szCs w:val="24"/>
        </w:rPr>
        <w:t xml:space="preserve"> </w:t>
      </w:r>
      <w:r>
        <w:rPr>
          <w:rFonts w:ascii="Times New Roman" w:hAnsi="Times New Roman"/>
          <w:szCs w:val="24"/>
        </w:rPr>
        <w:t>оп</w:t>
      </w:r>
      <w:r w:rsidR="00070295">
        <w:rPr>
          <w:rFonts w:ascii="Times New Roman" w:hAnsi="Times New Roman"/>
          <w:szCs w:val="24"/>
          <w:lang w:val="sr-Cyrl-BA"/>
        </w:rPr>
        <w:t>шт</w:t>
      </w:r>
      <w:r>
        <w:rPr>
          <w:rFonts w:ascii="Times New Roman" w:hAnsi="Times New Roman"/>
          <w:szCs w:val="24"/>
        </w:rPr>
        <w:t>ина</w:t>
      </w:r>
      <w:r w:rsidR="00604363" w:rsidRPr="00295637">
        <w:rPr>
          <w:rFonts w:ascii="Times New Roman" w:hAnsi="Times New Roman"/>
          <w:szCs w:val="24"/>
        </w:rPr>
        <w:t>/</w:t>
      </w:r>
      <w:r>
        <w:rPr>
          <w:rFonts w:ascii="Times New Roman" w:hAnsi="Times New Roman"/>
          <w:szCs w:val="24"/>
        </w:rPr>
        <w:t>градска</w:t>
      </w:r>
      <w:r w:rsidR="00604363" w:rsidRPr="00295637">
        <w:rPr>
          <w:rFonts w:ascii="Times New Roman" w:hAnsi="Times New Roman"/>
          <w:szCs w:val="24"/>
        </w:rPr>
        <w:t xml:space="preserve"> </w:t>
      </w:r>
      <w:r>
        <w:rPr>
          <w:rFonts w:ascii="Times New Roman" w:hAnsi="Times New Roman"/>
          <w:szCs w:val="24"/>
        </w:rPr>
        <w:t>вијећа</w:t>
      </w:r>
      <w:r w:rsidR="00604363" w:rsidRPr="00295637">
        <w:rPr>
          <w:rFonts w:ascii="Times New Roman" w:hAnsi="Times New Roman"/>
          <w:szCs w:val="24"/>
        </w:rPr>
        <w:t>/</w:t>
      </w:r>
      <w:r>
        <w:rPr>
          <w:rFonts w:ascii="Times New Roman" w:hAnsi="Times New Roman"/>
          <w:szCs w:val="24"/>
        </w:rPr>
        <w:t>скупштине</w:t>
      </w:r>
      <w:r w:rsidR="00604363" w:rsidRPr="00295637">
        <w:rPr>
          <w:rFonts w:ascii="Times New Roman" w:hAnsi="Times New Roman"/>
          <w:szCs w:val="24"/>
        </w:rPr>
        <w:t xml:space="preserve"> </w:t>
      </w:r>
      <w:r>
        <w:rPr>
          <w:rFonts w:ascii="Times New Roman" w:hAnsi="Times New Roman"/>
          <w:szCs w:val="24"/>
        </w:rPr>
        <w:t>градова</w:t>
      </w:r>
      <w:r w:rsidR="00604363" w:rsidRPr="00295637">
        <w:rPr>
          <w:rFonts w:ascii="Times New Roman" w:hAnsi="Times New Roman"/>
          <w:szCs w:val="24"/>
        </w:rPr>
        <w:t>/</w:t>
      </w:r>
      <w:r>
        <w:rPr>
          <w:rFonts w:ascii="Times New Roman" w:hAnsi="Times New Roman"/>
          <w:szCs w:val="24"/>
        </w:rPr>
        <w:t>Скупштину</w:t>
      </w:r>
      <w:r w:rsidR="00604363" w:rsidRPr="00295637">
        <w:rPr>
          <w:rFonts w:ascii="Times New Roman" w:hAnsi="Times New Roman"/>
          <w:szCs w:val="24"/>
        </w:rPr>
        <w:t xml:space="preserve"> </w:t>
      </w:r>
      <w:r>
        <w:rPr>
          <w:rFonts w:ascii="Times New Roman" w:hAnsi="Times New Roman"/>
          <w:szCs w:val="24"/>
        </w:rPr>
        <w:t>БД</w:t>
      </w:r>
      <w:r w:rsidR="009E54A2" w:rsidRPr="00295637">
        <w:rPr>
          <w:rFonts w:ascii="Times New Roman" w:hAnsi="Times New Roman"/>
          <w:szCs w:val="24"/>
        </w:rPr>
        <w:t xml:space="preserve"> </w:t>
      </w:r>
      <w:r>
        <w:rPr>
          <w:rFonts w:ascii="Times New Roman" w:hAnsi="Times New Roman"/>
          <w:szCs w:val="24"/>
        </w:rPr>
        <w:t>БиХ</w:t>
      </w:r>
      <w:r w:rsidR="00604363" w:rsidRPr="00295637">
        <w:rPr>
          <w:rFonts w:ascii="Times New Roman" w:hAnsi="Times New Roman"/>
          <w:szCs w:val="24"/>
        </w:rPr>
        <w:t xml:space="preserve"> (</w:t>
      </w:r>
      <w:r>
        <w:rPr>
          <w:rFonts w:ascii="Times New Roman" w:hAnsi="Times New Roman"/>
          <w:szCs w:val="24"/>
        </w:rPr>
        <w:t>ОВ</w:t>
      </w:r>
      <w:r w:rsidR="00604363" w:rsidRPr="00295637">
        <w:rPr>
          <w:rFonts w:ascii="Times New Roman" w:hAnsi="Times New Roman"/>
          <w:szCs w:val="24"/>
        </w:rPr>
        <w:t>/</w:t>
      </w:r>
      <w:r>
        <w:rPr>
          <w:rFonts w:ascii="Times New Roman" w:hAnsi="Times New Roman"/>
          <w:szCs w:val="24"/>
        </w:rPr>
        <w:t>СО</w:t>
      </w:r>
      <w:r w:rsidR="00604363" w:rsidRPr="00295637">
        <w:rPr>
          <w:rFonts w:ascii="Times New Roman" w:hAnsi="Times New Roman"/>
          <w:szCs w:val="24"/>
        </w:rPr>
        <w:t>/</w:t>
      </w:r>
      <w:r>
        <w:rPr>
          <w:rFonts w:ascii="Times New Roman" w:hAnsi="Times New Roman"/>
          <w:szCs w:val="24"/>
        </w:rPr>
        <w:t>ГВ</w:t>
      </w:r>
      <w:r w:rsidR="00604363" w:rsidRPr="00295637">
        <w:rPr>
          <w:rFonts w:ascii="Times New Roman" w:hAnsi="Times New Roman"/>
          <w:szCs w:val="24"/>
        </w:rPr>
        <w:t>/</w:t>
      </w:r>
      <w:r>
        <w:rPr>
          <w:rFonts w:ascii="Times New Roman" w:hAnsi="Times New Roman"/>
          <w:szCs w:val="24"/>
        </w:rPr>
        <w:t>СГ</w:t>
      </w:r>
      <w:r w:rsidR="00604363" w:rsidRPr="00295637">
        <w:rPr>
          <w:rFonts w:ascii="Times New Roman" w:hAnsi="Times New Roman"/>
          <w:szCs w:val="24"/>
        </w:rPr>
        <w:t>/</w:t>
      </w:r>
      <w:r>
        <w:rPr>
          <w:rFonts w:ascii="Times New Roman" w:hAnsi="Times New Roman"/>
          <w:szCs w:val="24"/>
        </w:rPr>
        <w:t>СД</w:t>
      </w:r>
      <w:r w:rsidR="00604363" w:rsidRPr="00295637">
        <w:rPr>
          <w:rFonts w:ascii="Times New Roman" w:hAnsi="Times New Roman"/>
          <w:szCs w:val="24"/>
        </w:rPr>
        <w:t>)</w:t>
      </w:r>
      <w:r w:rsidR="0004567E">
        <w:rPr>
          <w:rFonts w:ascii="Times New Roman" w:hAnsi="Times New Roman"/>
          <w:szCs w:val="24"/>
        </w:rPr>
        <w:t xml:space="preserve"> </w:t>
      </w:r>
      <w:r>
        <w:rPr>
          <w:rFonts w:ascii="Times New Roman" w:hAnsi="Times New Roman"/>
          <w:szCs w:val="24"/>
        </w:rPr>
        <w:t>изабрано</w:t>
      </w:r>
      <w:r w:rsidR="003C13F3">
        <w:rPr>
          <w:rFonts w:ascii="Times New Roman" w:hAnsi="Times New Roman"/>
          <w:szCs w:val="24"/>
        </w:rPr>
        <w:t xml:space="preserve"> </w:t>
      </w:r>
      <w:r>
        <w:rPr>
          <w:rFonts w:ascii="Times New Roman" w:hAnsi="Times New Roman"/>
          <w:szCs w:val="24"/>
        </w:rPr>
        <w:t>је</w:t>
      </w:r>
      <w:r w:rsidR="00604363" w:rsidRPr="00295637">
        <w:rPr>
          <w:rFonts w:ascii="Times New Roman" w:hAnsi="Times New Roman"/>
          <w:szCs w:val="24"/>
        </w:rPr>
        <w:t xml:space="preserve"> 3.177 </w:t>
      </w:r>
      <w:r>
        <w:rPr>
          <w:rFonts w:ascii="Times New Roman" w:hAnsi="Times New Roman"/>
          <w:szCs w:val="24"/>
        </w:rPr>
        <w:t>кандидата</w:t>
      </w:r>
      <w:r w:rsidR="00604363" w:rsidRPr="00295637">
        <w:rPr>
          <w:rFonts w:ascii="Times New Roman" w:hAnsi="Times New Roman"/>
          <w:szCs w:val="24"/>
        </w:rPr>
        <w:t>/</w:t>
      </w:r>
      <w:r>
        <w:rPr>
          <w:rFonts w:ascii="Times New Roman" w:hAnsi="Times New Roman"/>
          <w:szCs w:val="24"/>
        </w:rPr>
        <w:t>кандидаткиња</w:t>
      </w:r>
      <w:r w:rsidR="00604363" w:rsidRPr="00295637">
        <w:rPr>
          <w:rFonts w:ascii="Times New Roman" w:hAnsi="Times New Roman"/>
          <w:szCs w:val="24"/>
        </w:rPr>
        <w:t xml:space="preserve">, </w:t>
      </w:r>
      <w:r>
        <w:rPr>
          <w:rFonts w:ascii="Times New Roman" w:hAnsi="Times New Roman"/>
          <w:szCs w:val="24"/>
        </w:rPr>
        <w:t>од</w:t>
      </w:r>
      <w:r w:rsidR="00604363" w:rsidRPr="00295637">
        <w:rPr>
          <w:rFonts w:ascii="Times New Roman" w:hAnsi="Times New Roman"/>
          <w:szCs w:val="24"/>
        </w:rPr>
        <w:t xml:space="preserve"> </w:t>
      </w:r>
      <w:r>
        <w:rPr>
          <w:rFonts w:ascii="Times New Roman" w:hAnsi="Times New Roman"/>
          <w:szCs w:val="24"/>
        </w:rPr>
        <w:t>чега</w:t>
      </w:r>
      <w:r w:rsidR="00604363" w:rsidRPr="00295637">
        <w:rPr>
          <w:rFonts w:ascii="Times New Roman" w:hAnsi="Times New Roman"/>
          <w:szCs w:val="24"/>
        </w:rPr>
        <w:t xml:space="preserve">: 2.454 </w:t>
      </w:r>
      <w:r>
        <w:rPr>
          <w:rFonts w:ascii="Times New Roman" w:hAnsi="Times New Roman"/>
          <w:szCs w:val="24"/>
        </w:rPr>
        <w:t>мушкарца</w:t>
      </w:r>
      <w:r w:rsidR="00604363" w:rsidRPr="00295637">
        <w:rPr>
          <w:rFonts w:ascii="Times New Roman" w:hAnsi="Times New Roman"/>
          <w:szCs w:val="24"/>
        </w:rPr>
        <w:t xml:space="preserve"> </w:t>
      </w:r>
      <w:r>
        <w:rPr>
          <w:rFonts w:ascii="Times New Roman" w:hAnsi="Times New Roman"/>
          <w:szCs w:val="24"/>
        </w:rPr>
        <w:t>и</w:t>
      </w:r>
      <w:r w:rsidR="00604363" w:rsidRPr="00295637">
        <w:rPr>
          <w:rFonts w:ascii="Times New Roman" w:hAnsi="Times New Roman"/>
          <w:szCs w:val="24"/>
        </w:rPr>
        <w:t xml:space="preserve"> 723 </w:t>
      </w:r>
      <w:r>
        <w:rPr>
          <w:rFonts w:ascii="Times New Roman" w:hAnsi="Times New Roman"/>
          <w:szCs w:val="24"/>
        </w:rPr>
        <w:t>жене</w:t>
      </w:r>
      <w:r w:rsidR="00604363" w:rsidRPr="00295637">
        <w:rPr>
          <w:rFonts w:ascii="Times New Roman" w:hAnsi="Times New Roman"/>
          <w:szCs w:val="24"/>
        </w:rPr>
        <w:t xml:space="preserve">, </w:t>
      </w:r>
      <w:r>
        <w:rPr>
          <w:rFonts w:ascii="Times New Roman" w:hAnsi="Times New Roman"/>
          <w:szCs w:val="24"/>
        </w:rPr>
        <w:t>односно</w:t>
      </w:r>
      <w:r w:rsidR="00604363" w:rsidRPr="00295637">
        <w:rPr>
          <w:rFonts w:ascii="Times New Roman" w:hAnsi="Times New Roman"/>
          <w:szCs w:val="24"/>
        </w:rPr>
        <w:t xml:space="preserve"> </w:t>
      </w:r>
      <w:r>
        <w:rPr>
          <w:rFonts w:ascii="Times New Roman" w:hAnsi="Times New Roman"/>
          <w:szCs w:val="24"/>
        </w:rPr>
        <w:t>проценат</w:t>
      </w:r>
      <w:r w:rsidR="00604363" w:rsidRPr="00295637">
        <w:rPr>
          <w:rFonts w:ascii="Times New Roman" w:hAnsi="Times New Roman"/>
          <w:szCs w:val="24"/>
        </w:rPr>
        <w:t xml:space="preserve"> </w:t>
      </w:r>
      <w:r>
        <w:rPr>
          <w:rFonts w:ascii="Times New Roman" w:hAnsi="Times New Roman"/>
          <w:szCs w:val="24"/>
        </w:rPr>
        <w:t>изабраних</w:t>
      </w:r>
      <w:r w:rsidR="00604363" w:rsidRPr="00295637">
        <w:rPr>
          <w:rFonts w:ascii="Times New Roman" w:hAnsi="Times New Roman"/>
          <w:szCs w:val="24"/>
        </w:rPr>
        <w:t xml:space="preserve"> </w:t>
      </w:r>
      <w:r>
        <w:rPr>
          <w:rFonts w:ascii="Times New Roman" w:hAnsi="Times New Roman"/>
          <w:szCs w:val="24"/>
        </w:rPr>
        <w:t>жена</w:t>
      </w:r>
      <w:r w:rsidR="00604363" w:rsidRPr="00295637">
        <w:rPr>
          <w:rFonts w:ascii="Times New Roman" w:hAnsi="Times New Roman"/>
          <w:szCs w:val="24"/>
        </w:rPr>
        <w:t xml:space="preserve"> </w:t>
      </w:r>
      <w:r>
        <w:rPr>
          <w:rFonts w:ascii="Times New Roman" w:hAnsi="Times New Roman"/>
          <w:szCs w:val="24"/>
        </w:rPr>
        <w:t>износи</w:t>
      </w:r>
      <w:r w:rsidR="00604363" w:rsidRPr="00295637">
        <w:rPr>
          <w:rFonts w:ascii="Times New Roman" w:hAnsi="Times New Roman"/>
          <w:szCs w:val="24"/>
        </w:rPr>
        <w:t xml:space="preserve"> </w:t>
      </w:r>
      <w:r>
        <w:rPr>
          <w:rFonts w:ascii="Times New Roman" w:hAnsi="Times New Roman"/>
          <w:szCs w:val="24"/>
        </w:rPr>
        <w:t>свега</w:t>
      </w:r>
      <w:r w:rsidR="00604363" w:rsidRPr="00295637">
        <w:rPr>
          <w:rFonts w:ascii="Times New Roman" w:hAnsi="Times New Roman"/>
          <w:szCs w:val="24"/>
        </w:rPr>
        <w:t xml:space="preserve"> 23%. </w:t>
      </w:r>
    </w:p>
    <w:p w:rsidR="00604363" w:rsidRPr="00295637" w:rsidRDefault="00604363" w:rsidP="0086268D">
      <w:pPr>
        <w:autoSpaceDE w:val="0"/>
        <w:autoSpaceDN w:val="0"/>
        <w:adjustRightInd w:val="0"/>
        <w:jc w:val="both"/>
        <w:rPr>
          <w:rFonts w:ascii="Times New Roman" w:hAnsi="Times New Roman"/>
          <w:szCs w:val="24"/>
        </w:rPr>
      </w:pPr>
    </w:p>
    <w:p w:rsidR="00604363" w:rsidRPr="00295637" w:rsidRDefault="00C6214E" w:rsidP="0086268D">
      <w:pPr>
        <w:autoSpaceDE w:val="0"/>
        <w:autoSpaceDN w:val="0"/>
        <w:adjustRightInd w:val="0"/>
        <w:jc w:val="both"/>
        <w:rPr>
          <w:rFonts w:ascii="Times New Roman" w:hAnsi="Times New Roman"/>
          <w:szCs w:val="24"/>
          <w:lang w:val="bs-Latn-BA"/>
        </w:rPr>
      </w:pPr>
      <w:r>
        <w:rPr>
          <w:rFonts w:ascii="Times New Roman" w:hAnsi="Times New Roman"/>
          <w:color w:val="000000"/>
          <w:szCs w:val="24"/>
          <w:lang w:val="hr-HR"/>
        </w:rPr>
        <w:t>Према</w:t>
      </w:r>
      <w:r w:rsidR="00604363" w:rsidRPr="006820FB">
        <w:rPr>
          <w:rFonts w:ascii="Times New Roman" w:hAnsi="Times New Roman"/>
          <w:color w:val="000000"/>
          <w:szCs w:val="24"/>
          <w:lang w:val="hr-HR"/>
        </w:rPr>
        <w:t xml:space="preserve"> </w:t>
      </w:r>
      <w:r>
        <w:rPr>
          <w:rFonts w:ascii="Times New Roman" w:hAnsi="Times New Roman"/>
          <w:color w:val="000000"/>
          <w:szCs w:val="24"/>
          <w:lang w:val="hr-HR"/>
        </w:rPr>
        <w:t>Индексу</w:t>
      </w:r>
      <w:r w:rsidR="000C3D5B" w:rsidRPr="006820FB">
        <w:rPr>
          <w:rFonts w:ascii="Times New Roman" w:hAnsi="Times New Roman"/>
          <w:color w:val="000000"/>
          <w:szCs w:val="24"/>
          <w:lang w:val="hr-HR"/>
        </w:rPr>
        <w:t xml:space="preserve"> </w:t>
      </w:r>
      <w:r>
        <w:rPr>
          <w:rFonts w:ascii="Times New Roman" w:hAnsi="Times New Roman"/>
          <w:color w:val="000000"/>
          <w:szCs w:val="24"/>
          <w:lang w:val="hr-HR"/>
        </w:rPr>
        <w:t>равноправности</w:t>
      </w:r>
      <w:r w:rsidR="000C3D5B" w:rsidRPr="006820FB">
        <w:rPr>
          <w:rFonts w:ascii="Times New Roman" w:hAnsi="Times New Roman"/>
          <w:color w:val="000000"/>
          <w:szCs w:val="24"/>
          <w:lang w:val="hr-HR"/>
        </w:rPr>
        <w:t xml:space="preserve"> </w:t>
      </w:r>
      <w:r>
        <w:rPr>
          <w:rFonts w:ascii="Times New Roman" w:hAnsi="Times New Roman"/>
          <w:color w:val="000000"/>
          <w:szCs w:val="24"/>
          <w:lang w:val="hr-HR"/>
        </w:rPr>
        <w:t>полова</w:t>
      </w:r>
      <w:r w:rsidR="00604363" w:rsidRPr="006820FB">
        <w:rPr>
          <w:rFonts w:ascii="Times New Roman" w:hAnsi="Times New Roman"/>
          <w:color w:val="000000"/>
          <w:szCs w:val="24"/>
          <w:lang w:val="hr-HR"/>
        </w:rPr>
        <w:t xml:space="preserve"> </w:t>
      </w:r>
      <w:r>
        <w:rPr>
          <w:rFonts w:ascii="Times New Roman" w:hAnsi="Times New Roman"/>
          <w:color w:val="000000"/>
          <w:szCs w:val="24"/>
          <w:lang w:val="hr-HR"/>
        </w:rPr>
        <w:t>у</w:t>
      </w:r>
      <w:r w:rsidR="00604363" w:rsidRPr="006820FB">
        <w:rPr>
          <w:rFonts w:ascii="Times New Roman" w:hAnsi="Times New Roman"/>
          <w:color w:val="000000"/>
          <w:szCs w:val="24"/>
          <w:lang w:val="hr-HR"/>
        </w:rPr>
        <w:t xml:space="preserve"> </w:t>
      </w:r>
      <w:r>
        <w:rPr>
          <w:rFonts w:ascii="Times New Roman" w:hAnsi="Times New Roman"/>
          <w:color w:val="000000"/>
          <w:szCs w:val="24"/>
          <w:lang w:val="hr-HR"/>
        </w:rPr>
        <w:t>домену</w:t>
      </w:r>
      <w:r w:rsidR="00604363" w:rsidRPr="006820FB">
        <w:rPr>
          <w:rFonts w:ascii="Times New Roman" w:hAnsi="Times New Roman"/>
          <w:color w:val="000000"/>
          <w:szCs w:val="24"/>
          <w:lang w:val="hr-HR"/>
        </w:rPr>
        <w:t xml:space="preserve"> </w:t>
      </w:r>
      <w:r w:rsidR="006118F3" w:rsidRPr="006820FB">
        <w:rPr>
          <w:rFonts w:ascii="Times New Roman" w:hAnsi="Times New Roman"/>
          <w:color w:val="000000"/>
          <w:szCs w:val="24"/>
          <w:lang w:val="hr-HR"/>
        </w:rPr>
        <w:t>“</w:t>
      </w:r>
      <w:r>
        <w:rPr>
          <w:rFonts w:ascii="Times New Roman" w:hAnsi="Times New Roman"/>
          <w:color w:val="000000"/>
          <w:szCs w:val="24"/>
          <w:lang w:val="hr-HR"/>
        </w:rPr>
        <w:t>моћ</w:t>
      </w:r>
      <w:r w:rsidR="006118F3" w:rsidRPr="006820FB">
        <w:rPr>
          <w:rFonts w:ascii="Times New Roman" w:hAnsi="Times New Roman"/>
          <w:color w:val="000000"/>
          <w:szCs w:val="24"/>
          <w:lang w:val="hr-HR"/>
        </w:rPr>
        <w:t>”</w:t>
      </w:r>
      <w:r w:rsidR="00752BA5" w:rsidRPr="006820FB">
        <w:rPr>
          <w:rFonts w:ascii="Times New Roman" w:hAnsi="Times New Roman"/>
          <w:color w:val="000000"/>
          <w:szCs w:val="24"/>
          <w:lang w:val="hr-HR"/>
        </w:rPr>
        <w:t xml:space="preserve">, </w:t>
      </w:r>
      <w:r>
        <w:rPr>
          <w:rFonts w:ascii="Times New Roman" w:hAnsi="Times New Roman"/>
          <w:color w:val="000000"/>
          <w:szCs w:val="24"/>
          <w:lang w:val="hr-HR"/>
        </w:rPr>
        <w:t>индекс</w:t>
      </w:r>
      <w:r w:rsidR="00604363" w:rsidRPr="006820FB">
        <w:rPr>
          <w:rFonts w:ascii="Times New Roman" w:hAnsi="Times New Roman"/>
          <w:color w:val="000000"/>
          <w:szCs w:val="24"/>
          <w:lang w:val="hr-HR"/>
        </w:rPr>
        <w:t xml:space="preserve"> </w:t>
      </w:r>
      <w:r>
        <w:rPr>
          <w:rFonts w:ascii="Times New Roman" w:hAnsi="Times New Roman"/>
          <w:color w:val="000000"/>
          <w:szCs w:val="24"/>
          <w:lang w:val="hr-HR"/>
        </w:rPr>
        <w:t>за</w:t>
      </w:r>
      <w:r w:rsidR="006118F3" w:rsidRPr="006820FB">
        <w:rPr>
          <w:rFonts w:ascii="Times New Roman" w:hAnsi="Times New Roman"/>
          <w:color w:val="000000"/>
          <w:szCs w:val="24"/>
          <w:lang w:val="hr-HR"/>
        </w:rPr>
        <w:t xml:space="preserve"> </w:t>
      </w:r>
      <w:r>
        <w:rPr>
          <w:rFonts w:ascii="Times New Roman" w:hAnsi="Times New Roman"/>
          <w:color w:val="000000"/>
          <w:szCs w:val="24"/>
          <w:lang w:val="hr-HR"/>
        </w:rPr>
        <w:t>БиХ</w:t>
      </w:r>
      <w:r w:rsidR="006118F3" w:rsidRPr="006820FB">
        <w:rPr>
          <w:rFonts w:ascii="Times New Roman" w:hAnsi="Times New Roman"/>
          <w:color w:val="000000"/>
          <w:szCs w:val="24"/>
          <w:lang w:val="hr-HR"/>
        </w:rPr>
        <w:t xml:space="preserve"> </w:t>
      </w:r>
      <w:r>
        <w:rPr>
          <w:rFonts w:ascii="Times New Roman" w:hAnsi="Times New Roman"/>
          <w:color w:val="000000"/>
          <w:szCs w:val="24"/>
          <w:lang w:val="hr-HR"/>
        </w:rPr>
        <w:t>у</w:t>
      </w:r>
      <w:r w:rsidR="006118F3" w:rsidRPr="006820FB">
        <w:rPr>
          <w:rFonts w:ascii="Times New Roman" w:hAnsi="Times New Roman"/>
          <w:color w:val="000000"/>
          <w:szCs w:val="24"/>
          <w:lang w:val="hr-HR"/>
        </w:rPr>
        <w:t xml:space="preserve"> 2024. </w:t>
      </w:r>
      <w:r>
        <w:rPr>
          <w:rFonts w:ascii="Times New Roman" w:hAnsi="Times New Roman"/>
          <w:color w:val="000000"/>
          <w:szCs w:val="24"/>
          <w:lang w:val="hr-HR"/>
        </w:rPr>
        <w:t>години</w:t>
      </w:r>
      <w:r w:rsidR="006118F3" w:rsidRPr="006820FB">
        <w:rPr>
          <w:rFonts w:ascii="Times New Roman" w:hAnsi="Times New Roman"/>
          <w:color w:val="000000"/>
          <w:szCs w:val="24"/>
          <w:lang w:val="hr-HR"/>
        </w:rPr>
        <w:t xml:space="preserve"> </w:t>
      </w:r>
      <w:r>
        <w:rPr>
          <w:rFonts w:ascii="Times New Roman" w:hAnsi="Times New Roman"/>
          <w:color w:val="000000"/>
          <w:szCs w:val="24"/>
          <w:lang w:val="hr-HR"/>
        </w:rPr>
        <w:t>износи</w:t>
      </w:r>
      <w:r w:rsidR="006118F3" w:rsidRPr="006820FB">
        <w:rPr>
          <w:rFonts w:ascii="Times New Roman" w:hAnsi="Times New Roman"/>
          <w:color w:val="000000"/>
          <w:szCs w:val="24"/>
          <w:lang w:val="hr-HR"/>
        </w:rPr>
        <w:t xml:space="preserve"> </w:t>
      </w:r>
      <w:r w:rsidR="006118F3" w:rsidRPr="006820FB">
        <w:rPr>
          <w:rFonts w:ascii="Times New Roman" w:hAnsi="Times New Roman"/>
          <w:szCs w:val="24"/>
          <w:lang w:val="hr-HR"/>
        </w:rPr>
        <w:t xml:space="preserve">46.3 </w:t>
      </w:r>
      <w:r>
        <w:rPr>
          <w:rFonts w:ascii="Times New Roman" w:hAnsi="Times New Roman"/>
          <w:szCs w:val="24"/>
          <w:lang w:val="hr-HR"/>
        </w:rPr>
        <w:t>и</w:t>
      </w:r>
      <w:r w:rsidR="006118F3" w:rsidRPr="006820FB">
        <w:rPr>
          <w:rFonts w:ascii="Times New Roman" w:hAnsi="Times New Roman"/>
          <w:color w:val="000000"/>
          <w:szCs w:val="24"/>
          <w:lang w:val="hr-HR"/>
        </w:rPr>
        <w:t xml:space="preserve"> </w:t>
      </w:r>
      <w:r>
        <w:rPr>
          <w:rFonts w:ascii="Times New Roman" w:hAnsi="Times New Roman"/>
          <w:color w:val="000000"/>
          <w:szCs w:val="24"/>
          <w:lang w:val="hr-HR"/>
        </w:rPr>
        <w:t>за</w:t>
      </w:r>
      <w:r w:rsidR="006118F3" w:rsidRPr="006820FB">
        <w:rPr>
          <w:rFonts w:ascii="Times New Roman" w:hAnsi="Times New Roman"/>
          <w:color w:val="000000"/>
          <w:szCs w:val="24"/>
          <w:lang w:val="hr-HR"/>
        </w:rPr>
        <w:t xml:space="preserve"> 15.1 </w:t>
      </w:r>
      <w:r>
        <w:rPr>
          <w:rFonts w:ascii="Times New Roman" w:hAnsi="Times New Roman"/>
          <w:color w:val="000000"/>
          <w:szCs w:val="24"/>
          <w:lang w:val="hr-HR"/>
        </w:rPr>
        <w:t>бод</w:t>
      </w:r>
      <w:r w:rsidR="006118F3" w:rsidRPr="006820FB">
        <w:rPr>
          <w:rFonts w:ascii="Times New Roman" w:hAnsi="Times New Roman"/>
          <w:color w:val="000000"/>
          <w:szCs w:val="24"/>
          <w:lang w:val="hr-HR"/>
        </w:rPr>
        <w:t xml:space="preserve"> </w:t>
      </w:r>
      <w:r>
        <w:rPr>
          <w:rFonts w:ascii="Times New Roman" w:hAnsi="Times New Roman"/>
          <w:color w:val="000000"/>
          <w:szCs w:val="24"/>
          <w:lang w:val="hr-HR"/>
        </w:rPr>
        <w:t>нижи</w:t>
      </w:r>
      <w:r w:rsidR="006118F3" w:rsidRPr="006820FB">
        <w:rPr>
          <w:rFonts w:ascii="Times New Roman" w:hAnsi="Times New Roman"/>
          <w:color w:val="000000"/>
          <w:szCs w:val="24"/>
          <w:lang w:val="hr-HR"/>
        </w:rPr>
        <w:t xml:space="preserve"> </w:t>
      </w:r>
      <w:r>
        <w:rPr>
          <w:rFonts w:ascii="Times New Roman" w:hAnsi="Times New Roman"/>
          <w:color w:val="000000"/>
          <w:szCs w:val="24"/>
          <w:lang w:val="hr-HR"/>
        </w:rPr>
        <w:t>је</w:t>
      </w:r>
      <w:r w:rsidR="003C13F3" w:rsidRPr="006820FB">
        <w:rPr>
          <w:rFonts w:ascii="Times New Roman" w:hAnsi="Times New Roman"/>
          <w:color w:val="000000"/>
          <w:szCs w:val="24"/>
          <w:lang w:val="hr-HR"/>
        </w:rPr>
        <w:t xml:space="preserve"> </w:t>
      </w:r>
      <w:r>
        <w:rPr>
          <w:rFonts w:ascii="Times New Roman" w:hAnsi="Times New Roman"/>
          <w:color w:val="000000"/>
          <w:szCs w:val="24"/>
          <w:lang w:val="hr-HR"/>
        </w:rPr>
        <w:t>од</w:t>
      </w:r>
      <w:r w:rsidR="006118F3" w:rsidRPr="006820FB">
        <w:rPr>
          <w:rFonts w:ascii="Times New Roman" w:hAnsi="Times New Roman"/>
          <w:color w:val="000000"/>
          <w:szCs w:val="24"/>
          <w:lang w:val="hr-HR"/>
        </w:rPr>
        <w:t xml:space="preserve"> </w:t>
      </w:r>
      <w:r>
        <w:rPr>
          <w:rFonts w:ascii="Times New Roman" w:hAnsi="Times New Roman"/>
          <w:color w:val="000000"/>
          <w:szCs w:val="24"/>
          <w:lang w:val="hr-HR"/>
        </w:rPr>
        <w:t>ЕУ</w:t>
      </w:r>
      <w:r w:rsidR="006118F3" w:rsidRPr="006820FB">
        <w:rPr>
          <w:rFonts w:ascii="Times New Roman" w:hAnsi="Times New Roman"/>
          <w:color w:val="000000"/>
          <w:szCs w:val="24"/>
          <w:lang w:val="hr-HR"/>
        </w:rPr>
        <w:t xml:space="preserve"> </w:t>
      </w:r>
      <w:r>
        <w:rPr>
          <w:rFonts w:ascii="Times New Roman" w:hAnsi="Times New Roman"/>
          <w:color w:val="000000"/>
          <w:szCs w:val="24"/>
          <w:lang w:val="hr-HR"/>
        </w:rPr>
        <w:t>просјека</w:t>
      </w:r>
      <w:r w:rsidR="006118F3" w:rsidRPr="006820FB">
        <w:rPr>
          <w:rFonts w:ascii="Times New Roman" w:hAnsi="Times New Roman"/>
          <w:szCs w:val="24"/>
          <w:lang w:val="hr-HR"/>
        </w:rPr>
        <w:t>.</w:t>
      </w:r>
      <w:r w:rsidR="006118F3" w:rsidRPr="00295637">
        <w:rPr>
          <w:rFonts w:ascii="Times New Roman" w:hAnsi="Times New Roman"/>
          <w:szCs w:val="24"/>
          <w:lang w:val="bs-Latn-BA"/>
        </w:rPr>
        <w:t xml:space="preserve"> </w:t>
      </w:r>
      <w:r>
        <w:rPr>
          <w:rFonts w:ascii="Times New Roman" w:hAnsi="Times New Roman"/>
          <w:szCs w:val="24"/>
          <w:lang w:val="bs-Latn-BA"/>
        </w:rPr>
        <w:t>Овај</w:t>
      </w:r>
      <w:r w:rsidR="006118F3" w:rsidRPr="00295637">
        <w:rPr>
          <w:rFonts w:ascii="Times New Roman" w:hAnsi="Times New Roman"/>
          <w:szCs w:val="24"/>
          <w:lang w:val="bs-Latn-BA"/>
        </w:rPr>
        <w:t xml:space="preserve"> </w:t>
      </w:r>
      <w:r>
        <w:rPr>
          <w:rFonts w:ascii="Times New Roman" w:hAnsi="Times New Roman"/>
          <w:szCs w:val="24"/>
          <w:lang w:val="bs-Latn-BA"/>
        </w:rPr>
        <w:t>домен</w:t>
      </w:r>
      <w:r w:rsidR="006118F3" w:rsidRPr="00295637">
        <w:rPr>
          <w:rFonts w:ascii="Times New Roman" w:hAnsi="Times New Roman"/>
          <w:szCs w:val="24"/>
          <w:lang w:val="bs-Latn-BA"/>
        </w:rPr>
        <w:t xml:space="preserve"> </w:t>
      </w:r>
      <w:r>
        <w:rPr>
          <w:rFonts w:ascii="Times New Roman" w:hAnsi="Times New Roman"/>
          <w:szCs w:val="24"/>
        </w:rPr>
        <w:t>мјери</w:t>
      </w:r>
      <w:r w:rsidR="00604363" w:rsidRPr="00295637">
        <w:rPr>
          <w:rFonts w:ascii="Times New Roman" w:hAnsi="Times New Roman"/>
          <w:szCs w:val="24"/>
        </w:rPr>
        <w:t xml:space="preserve"> </w:t>
      </w:r>
      <w:r>
        <w:rPr>
          <w:rFonts w:ascii="Times New Roman" w:hAnsi="Times New Roman"/>
          <w:szCs w:val="24"/>
        </w:rPr>
        <w:t>родни</w:t>
      </w:r>
      <w:r w:rsidR="00604363" w:rsidRPr="00295637">
        <w:rPr>
          <w:rFonts w:ascii="Times New Roman" w:hAnsi="Times New Roman"/>
          <w:szCs w:val="24"/>
        </w:rPr>
        <w:t xml:space="preserve"> </w:t>
      </w:r>
      <w:r>
        <w:rPr>
          <w:rFonts w:ascii="Times New Roman" w:hAnsi="Times New Roman"/>
          <w:szCs w:val="24"/>
        </w:rPr>
        <w:t>јаз</w:t>
      </w:r>
      <w:r w:rsidR="00604363" w:rsidRPr="00295637">
        <w:rPr>
          <w:rFonts w:ascii="Times New Roman" w:hAnsi="Times New Roman"/>
          <w:szCs w:val="24"/>
        </w:rPr>
        <w:t xml:space="preserve"> </w:t>
      </w:r>
      <w:r>
        <w:rPr>
          <w:rFonts w:ascii="Times New Roman" w:hAnsi="Times New Roman"/>
          <w:szCs w:val="24"/>
        </w:rPr>
        <w:t>у</w:t>
      </w:r>
      <w:r w:rsidR="00604363" w:rsidRPr="00295637">
        <w:rPr>
          <w:rFonts w:ascii="Times New Roman" w:hAnsi="Times New Roman"/>
          <w:szCs w:val="24"/>
        </w:rPr>
        <w:t xml:space="preserve"> </w:t>
      </w:r>
      <w:r>
        <w:rPr>
          <w:rFonts w:ascii="Times New Roman" w:hAnsi="Times New Roman"/>
          <w:szCs w:val="24"/>
        </w:rPr>
        <w:t>учешћу</w:t>
      </w:r>
      <w:r w:rsidR="00604363" w:rsidRPr="00295637">
        <w:rPr>
          <w:rFonts w:ascii="Times New Roman" w:hAnsi="Times New Roman"/>
          <w:szCs w:val="24"/>
        </w:rPr>
        <w:t xml:space="preserve"> </w:t>
      </w:r>
      <w:r>
        <w:rPr>
          <w:rFonts w:ascii="Times New Roman" w:hAnsi="Times New Roman"/>
          <w:szCs w:val="24"/>
        </w:rPr>
        <w:t>у</w:t>
      </w:r>
      <w:r w:rsidR="00604363" w:rsidRPr="00295637">
        <w:rPr>
          <w:rFonts w:ascii="Times New Roman" w:hAnsi="Times New Roman"/>
          <w:szCs w:val="24"/>
        </w:rPr>
        <w:t xml:space="preserve"> </w:t>
      </w:r>
      <w:r>
        <w:rPr>
          <w:rFonts w:ascii="Times New Roman" w:hAnsi="Times New Roman"/>
          <w:szCs w:val="24"/>
        </w:rPr>
        <w:t>структурама</w:t>
      </w:r>
      <w:r w:rsidR="00604363" w:rsidRPr="00295637">
        <w:rPr>
          <w:rFonts w:ascii="Times New Roman" w:hAnsi="Times New Roman"/>
          <w:szCs w:val="24"/>
        </w:rPr>
        <w:t xml:space="preserve"> </w:t>
      </w:r>
      <w:r>
        <w:rPr>
          <w:rFonts w:ascii="Times New Roman" w:hAnsi="Times New Roman"/>
          <w:szCs w:val="24"/>
        </w:rPr>
        <w:t>политичке</w:t>
      </w:r>
      <w:r w:rsidR="00604363" w:rsidRPr="00295637">
        <w:rPr>
          <w:rFonts w:ascii="Times New Roman" w:hAnsi="Times New Roman"/>
          <w:szCs w:val="24"/>
        </w:rPr>
        <w:t>,</w:t>
      </w:r>
      <w:r w:rsidR="006118F3" w:rsidRPr="00295637">
        <w:rPr>
          <w:rFonts w:ascii="Times New Roman" w:hAnsi="Times New Roman"/>
          <w:szCs w:val="24"/>
        </w:rPr>
        <w:t xml:space="preserve"> </w:t>
      </w:r>
      <w:r>
        <w:rPr>
          <w:rFonts w:ascii="Times New Roman" w:hAnsi="Times New Roman"/>
          <w:szCs w:val="24"/>
        </w:rPr>
        <w:t>економске</w:t>
      </w:r>
      <w:r w:rsidR="006118F3" w:rsidRPr="00295637">
        <w:rPr>
          <w:rFonts w:ascii="Times New Roman" w:hAnsi="Times New Roman"/>
          <w:szCs w:val="24"/>
        </w:rPr>
        <w:t xml:space="preserve"> </w:t>
      </w:r>
      <w:r>
        <w:rPr>
          <w:rFonts w:ascii="Times New Roman" w:hAnsi="Times New Roman"/>
          <w:szCs w:val="24"/>
        </w:rPr>
        <w:t>и</w:t>
      </w:r>
      <w:r w:rsidR="006118F3" w:rsidRPr="00295637">
        <w:rPr>
          <w:rFonts w:ascii="Times New Roman" w:hAnsi="Times New Roman"/>
          <w:szCs w:val="24"/>
        </w:rPr>
        <w:t xml:space="preserve"> </w:t>
      </w:r>
      <w:r>
        <w:rPr>
          <w:rFonts w:ascii="Times New Roman" w:hAnsi="Times New Roman"/>
          <w:szCs w:val="24"/>
        </w:rPr>
        <w:t>друштвене</w:t>
      </w:r>
      <w:r w:rsidR="006118F3" w:rsidRPr="00295637">
        <w:rPr>
          <w:rFonts w:ascii="Times New Roman" w:hAnsi="Times New Roman"/>
          <w:szCs w:val="24"/>
        </w:rPr>
        <w:t xml:space="preserve"> </w:t>
      </w:r>
      <w:r>
        <w:rPr>
          <w:rFonts w:ascii="Times New Roman" w:hAnsi="Times New Roman"/>
          <w:szCs w:val="24"/>
        </w:rPr>
        <w:t>моћи</w:t>
      </w:r>
      <w:r w:rsidR="006118F3" w:rsidRPr="00295637">
        <w:rPr>
          <w:rFonts w:ascii="Times New Roman" w:hAnsi="Times New Roman"/>
          <w:szCs w:val="24"/>
        </w:rPr>
        <w:t>.</w:t>
      </w:r>
      <w:r w:rsidR="00604363" w:rsidRPr="00295637">
        <w:rPr>
          <w:rFonts w:ascii="Times New Roman" w:hAnsi="Times New Roman"/>
          <w:szCs w:val="24"/>
        </w:rPr>
        <w:t xml:space="preserve"> </w:t>
      </w:r>
      <w:r>
        <w:rPr>
          <w:rFonts w:ascii="Times New Roman" w:hAnsi="Times New Roman"/>
          <w:szCs w:val="24"/>
          <w:lang w:val="bs-Latn-BA"/>
        </w:rPr>
        <w:t>Забиљежен</w:t>
      </w:r>
      <w:r w:rsidR="00604363" w:rsidRPr="00295637">
        <w:rPr>
          <w:rFonts w:ascii="Times New Roman" w:hAnsi="Times New Roman"/>
          <w:szCs w:val="24"/>
          <w:lang w:val="bs-Latn-BA"/>
        </w:rPr>
        <w:t xml:space="preserve"> </w:t>
      </w:r>
      <w:r>
        <w:rPr>
          <w:rFonts w:ascii="Times New Roman" w:hAnsi="Times New Roman"/>
          <w:szCs w:val="24"/>
          <w:lang w:val="bs-Latn-BA"/>
        </w:rPr>
        <w:t>је</w:t>
      </w:r>
      <w:r w:rsidR="006118F3" w:rsidRPr="00295637">
        <w:rPr>
          <w:rFonts w:ascii="Times New Roman" w:hAnsi="Times New Roman"/>
          <w:szCs w:val="24"/>
          <w:lang w:val="bs-Latn-BA"/>
        </w:rPr>
        <w:t xml:space="preserve"> </w:t>
      </w:r>
      <w:r>
        <w:rPr>
          <w:rFonts w:ascii="Times New Roman" w:hAnsi="Times New Roman"/>
          <w:szCs w:val="24"/>
          <w:lang w:val="bs-Latn-BA"/>
        </w:rPr>
        <w:t>пад</w:t>
      </w:r>
      <w:r w:rsidR="003C13F3">
        <w:rPr>
          <w:rFonts w:ascii="Times New Roman" w:hAnsi="Times New Roman"/>
          <w:szCs w:val="24"/>
          <w:lang w:val="bs-Latn-BA"/>
        </w:rPr>
        <w:t xml:space="preserve"> </w:t>
      </w:r>
      <w:r>
        <w:rPr>
          <w:rFonts w:ascii="Times New Roman" w:hAnsi="Times New Roman"/>
          <w:szCs w:val="24"/>
          <w:lang w:val="bs-Latn-BA"/>
        </w:rPr>
        <w:t>у</w:t>
      </w:r>
      <w:r w:rsidR="003C13F3">
        <w:rPr>
          <w:rFonts w:ascii="Times New Roman" w:hAnsi="Times New Roman"/>
          <w:szCs w:val="24"/>
          <w:lang w:val="bs-Latn-BA"/>
        </w:rPr>
        <w:t xml:space="preserve"> </w:t>
      </w:r>
      <w:r>
        <w:rPr>
          <w:rFonts w:ascii="Times New Roman" w:hAnsi="Times New Roman"/>
          <w:szCs w:val="24"/>
          <w:lang w:val="bs-Latn-BA"/>
        </w:rPr>
        <w:t>поређењу</w:t>
      </w:r>
      <w:r w:rsidR="003C13F3">
        <w:rPr>
          <w:rFonts w:ascii="Times New Roman" w:hAnsi="Times New Roman"/>
          <w:szCs w:val="24"/>
          <w:lang w:val="bs-Latn-BA"/>
        </w:rPr>
        <w:t xml:space="preserve"> </w:t>
      </w:r>
      <w:r>
        <w:rPr>
          <w:rFonts w:ascii="Times New Roman" w:hAnsi="Times New Roman"/>
          <w:szCs w:val="24"/>
          <w:lang w:val="bs-Latn-BA"/>
        </w:rPr>
        <w:t>са</w:t>
      </w:r>
      <w:r w:rsidR="00081773">
        <w:rPr>
          <w:rFonts w:ascii="Times New Roman" w:hAnsi="Times New Roman"/>
          <w:szCs w:val="24"/>
          <w:lang w:val="bs-Latn-BA"/>
        </w:rPr>
        <w:t xml:space="preserve"> </w:t>
      </w:r>
      <w:r>
        <w:rPr>
          <w:rFonts w:ascii="Times New Roman" w:hAnsi="Times New Roman"/>
          <w:szCs w:val="24"/>
          <w:lang w:val="bs-Latn-BA"/>
        </w:rPr>
        <w:t>прошлим</w:t>
      </w:r>
      <w:r w:rsidR="00081773">
        <w:rPr>
          <w:rFonts w:ascii="Times New Roman" w:hAnsi="Times New Roman"/>
          <w:szCs w:val="24"/>
          <w:lang w:val="bs-Latn-BA"/>
        </w:rPr>
        <w:t xml:space="preserve"> </w:t>
      </w:r>
      <w:r>
        <w:rPr>
          <w:rFonts w:ascii="Times New Roman" w:hAnsi="Times New Roman"/>
          <w:szCs w:val="24"/>
          <w:lang w:val="bs-Latn-BA"/>
        </w:rPr>
        <w:t>бх</w:t>
      </w:r>
      <w:r w:rsidR="00081773">
        <w:rPr>
          <w:rFonts w:ascii="Times New Roman" w:hAnsi="Times New Roman"/>
          <w:szCs w:val="24"/>
          <w:lang w:val="bs-Latn-BA"/>
        </w:rPr>
        <w:t xml:space="preserve">. </w:t>
      </w:r>
      <w:r>
        <w:rPr>
          <w:rFonts w:ascii="Times New Roman" w:hAnsi="Times New Roman"/>
          <w:szCs w:val="24"/>
          <w:lang w:val="bs-Latn-BA"/>
        </w:rPr>
        <w:t>Индексом</w:t>
      </w:r>
      <w:r w:rsidR="00604363" w:rsidRPr="00295637">
        <w:rPr>
          <w:rFonts w:ascii="Times New Roman" w:hAnsi="Times New Roman"/>
          <w:szCs w:val="24"/>
          <w:lang w:val="bs-Latn-BA"/>
        </w:rPr>
        <w:t xml:space="preserve">, </w:t>
      </w:r>
      <w:r>
        <w:rPr>
          <w:rFonts w:ascii="Times New Roman" w:hAnsi="Times New Roman"/>
          <w:szCs w:val="24"/>
          <w:lang w:val="bs-Latn-BA"/>
        </w:rPr>
        <w:t>који</w:t>
      </w:r>
      <w:r w:rsidR="00604363" w:rsidRPr="00295637">
        <w:rPr>
          <w:rFonts w:ascii="Times New Roman" w:hAnsi="Times New Roman"/>
          <w:szCs w:val="24"/>
          <w:lang w:val="bs-Latn-BA"/>
        </w:rPr>
        <w:t xml:space="preserve"> </w:t>
      </w:r>
      <w:r>
        <w:rPr>
          <w:rFonts w:ascii="Times New Roman" w:hAnsi="Times New Roman"/>
          <w:szCs w:val="24"/>
          <w:lang w:val="bs-Latn-BA"/>
        </w:rPr>
        <w:t>је</w:t>
      </w:r>
      <w:r w:rsidR="00604363" w:rsidRPr="00295637">
        <w:rPr>
          <w:rFonts w:ascii="Times New Roman" w:hAnsi="Times New Roman"/>
          <w:szCs w:val="24"/>
          <w:lang w:val="bs-Latn-BA"/>
        </w:rPr>
        <w:t xml:space="preserve"> </w:t>
      </w:r>
      <w:r>
        <w:rPr>
          <w:rFonts w:ascii="Times New Roman" w:hAnsi="Times New Roman"/>
          <w:szCs w:val="24"/>
          <w:lang w:val="bs-Latn-BA"/>
        </w:rPr>
        <w:t>износио</w:t>
      </w:r>
      <w:r w:rsidR="00604363" w:rsidRPr="00295637">
        <w:rPr>
          <w:rFonts w:ascii="Times New Roman" w:hAnsi="Times New Roman"/>
          <w:szCs w:val="24"/>
          <w:lang w:val="bs-Latn-BA"/>
        </w:rPr>
        <w:t xml:space="preserve"> 49.1, </w:t>
      </w:r>
      <w:r>
        <w:rPr>
          <w:rFonts w:ascii="Times New Roman" w:hAnsi="Times New Roman"/>
          <w:szCs w:val="24"/>
          <w:lang w:val="bs-Latn-BA"/>
        </w:rPr>
        <w:t>а</w:t>
      </w:r>
      <w:r w:rsidR="00604363" w:rsidRPr="00295637">
        <w:rPr>
          <w:rFonts w:ascii="Times New Roman" w:hAnsi="Times New Roman"/>
          <w:szCs w:val="24"/>
          <w:lang w:val="bs-Latn-BA"/>
        </w:rPr>
        <w:t xml:space="preserve"> </w:t>
      </w:r>
      <w:r>
        <w:rPr>
          <w:rFonts w:ascii="Times New Roman" w:hAnsi="Times New Roman"/>
          <w:szCs w:val="24"/>
          <w:lang w:val="bs-Latn-BA"/>
        </w:rPr>
        <w:t>који</w:t>
      </w:r>
      <w:r w:rsidR="00604363" w:rsidRPr="00295637">
        <w:rPr>
          <w:rFonts w:ascii="Times New Roman" w:hAnsi="Times New Roman"/>
          <w:szCs w:val="24"/>
          <w:lang w:val="bs-Latn-BA"/>
        </w:rPr>
        <w:t xml:space="preserve"> </w:t>
      </w:r>
      <w:r>
        <w:rPr>
          <w:rFonts w:ascii="Times New Roman" w:hAnsi="Times New Roman"/>
          <w:szCs w:val="24"/>
          <w:lang w:val="bs-Latn-BA"/>
        </w:rPr>
        <w:t>је</w:t>
      </w:r>
      <w:r w:rsidR="00604363" w:rsidRPr="00295637">
        <w:rPr>
          <w:rFonts w:ascii="Times New Roman" w:hAnsi="Times New Roman"/>
          <w:szCs w:val="24"/>
          <w:lang w:val="bs-Latn-BA"/>
        </w:rPr>
        <w:t xml:space="preserve"> </w:t>
      </w:r>
      <w:r>
        <w:rPr>
          <w:rFonts w:ascii="Times New Roman" w:hAnsi="Times New Roman"/>
          <w:szCs w:val="24"/>
          <w:lang w:val="bs-Latn-BA"/>
        </w:rPr>
        <w:t>био</w:t>
      </w:r>
      <w:r w:rsidR="00604363" w:rsidRPr="00295637">
        <w:rPr>
          <w:rFonts w:ascii="Times New Roman" w:hAnsi="Times New Roman"/>
          <w:szCs w:val="24"/>
          <w:lang w:val="bs-Latn-BA"/>
        </w:rPr>
        <w:t xml:space="preserve"> </w:t>
      </w:r>
      <w:r>
        <w:rPr>
          <w:rFonts w:ascii="Times New Roman" w:hAnsi="Times New Roman"/>
          <w:szCs w:val="24"/>
          <w:lang w:val="bs-Latn-BA"/>
        </w:rPr>
        <w:t>за</w:t>
      </w:r>
      <w:r w:rsidR="00604363" w:rsidRPr="00295637">
        <w:rPr>
          <w:rFonts w:ascii="Times New Roman" w:hAnsi="Times New Roman"/>
          <w:szCs w:val="24"/>
          <w:lang w:val="bs-Latn-BA"/>
        </w:rPr>
        <w:t xml:space="preserve"> 2.1 </w:t>
      </w:r>
      <w:r>
        <w:rPr>
          <w:rFonts w:ascii="Times New Roman" w:hAnsi="Times New Roman"/>
          <w:szCs w:val="24"/>
          <w:lang w:val="bs-Latn-BA"/>
        </w:rPr>
        <w:t>бода</w:t>
      </w:r>
      <w:r w:rsidR="00604363" w:rsidRPr="00295637">
        <w:rPr>
          <w:rFonts w:ascii="Times New Roman" w:hAnsi="Times New Roman"/>
          <w:szCs w:val="24"/>
          <w:lang w:val="bs-Latn-BA"/>
        </w:rPr>
        <w:t xml:space="preserve"> </w:t>
      </w:r>
      <w:r>
        <w:rPr>
          <w:rFonts w:ascii="Times New Roman" w:hAnsi="Times New Roman"/>
          <w:szCs w:val="24"/>
          <w:lang w:val="bs-Latn-BA"/>
        </w:rPr>
        <w:t>нижи</w:t>
      </w:r>
      <w:r w:rsidR="00604363" w:rsidRPr="00295637">
        <w:rPr>
          <w:rFonts w:ascii="Times New Roman" w:hAnsi="Times New Roman"/>
          <w:szCs w:val="24"/>
          <w:lang w:val="bs-Latn-BA"/>
        </w:rPr>
        <w:t xml:space="preserve"> </w:t>
      </w:r>
      <w:r>
        <w:rPr>
          <w:rFonts w:ascii="Times New Roman" w:hAnsi="Times New Roman"/>
          <w:szCs w:val="24"/>
          <w:lang w:val="bs-Latn-BA"/>
        </w:rPr>
        <w:t>у</w:t>
      </w:r>
      <w:r w:rsidR="00604363" w:rsidRPr="00295637">
        <w:rPr>
          <w:rFonts w:ascii="Times New Roman" w:hAnsi="Times New Roman"/>
          <w:szCs w:val="24"/>
          <w:lang w:val="bs-Latn-BA"/>
        </w:rPr>
        <w:t xml:space="preserve"> </w:t>
      </w:r>
      <w:r>
        <w:rPr>
          <w:rFonts w:ascii="Times New Roman" w:hAnsi="Times New Roman"/>
          <w:szCs w:val="24"/>
          <w:lang w:val="bs-Latn-BA"/>
        </w:rPr>
        <w:t>односу</w:t>
      </w:r>
      <w:r w:rsidR="00604363" w:rsidRPr="00295637">
        <w:rPr>
          <w:rFonts w:ascii="Times New Roman" w:hAnsi="Times New Roman"/>
          <w:szCs w:val="24"/>
          <w:lang w:val="bs-Latn-BA"/>
        </w:rPr>
        <w:t xml:space="preserve"> </w:t>
      </w:r>
      <w:r>
        <w:rPr>
          <w:rFonts w:ascii="Times New Roman" w:hAnsi="Times New Roman"/>
          <w:szCs w:val="24"/>
          <w:lang w:val="bs-Latn-BA"/>
        </w:rPr>
        <w:t>на</w:t>
      </w:r>
      <w:r w:rsidR="00604363" w:rsidRPr="00295637">
        <w:rPr>
          <w:rFonts w:ascii="Times New Roman" w:hAnsi="Times New Roman"/>
          <w:szCs w:val="24"/>
          <w:lang w:val="bs-Latn-BA"/>
        </w:rPr>
        <w:t xml:space="preserve"> 2022. </w:t>
      </w:r>
      <w:r>
        <w:rPr>
          <w:rFonts w:ascii="Times New Roman" w:hAnsi="Times New Roman"/>
          <w:szCs w:val="24"/>
          <w:lang w:val="bs-Latn-BA"/>
        </w:rPr>
        <w:t>годину</w:t>
      </w:r>
      <w:r w:rsidR="00604363" w:rsidRPr="00295637">
        <w:rPr>
          <w:rFonts w:ascii="Times New Roman" w:hAnsi="Times New Roman"/>
          <w:szCs w:val="24"/>
          <w:lang w:val="bs-Latn-BA"/>
        </w:rPr>
        <w:t xml:space="preserve">. </w:t>
      </w:r>
      <w:r>
        <w:rPr>
          <w:rFonts w:ascii="Times New Roman" w:hAnsi="Times New Roman"/>
          <w:szCs w:val="24"/>
          <w:lang w:val="bs-Latn-BA"/>
        </w:rPr>
        <w:t>Резултат</w:t>
      </w:r>
      <w:r w:rsidR="00604363" w:rsidRPr="00295637">
        <w:rPr>
          <w:rFonts w:ascii="Times New Roman" w:hAnsi="Times New Roman"/>
          <w:szCs w:val="24"/>
          <w:lang w:val="bs-Latn-BA"/>
        </w:rPr>
        <w:t xml:space="preserve"> </w:t>
      </w:r>
      <w:r>
        <w:rPr>
          <w:rFonts w:ascii="Times New Roman" w:hAnsi="Times New Roman"/>
          <w:szCs w:val="24"/>
          <w:lang w:val="bs-Latn-BA"/>
        </w:rPr>
        <w:t>у</w:t>
      </w:r>
      <w:r w:rsidR="00604363" w:rsidRPr="00295637">
        <w:rPr>
          <w:rFonts w:ascii="Times New Roman" w:hAnsi="Times New Roman"/>
          <w:szCs w:val="24"/>
          <w:lang w:val="bs-Latn-BA"/>
        </w:rPr>
        <w:t xml:space="preserve"> </w:t>
      </w:r>
      <w:r>
        <w:rPr>
          <w:rFonts w:ascii="Times New Roman" w:hAnsi="Times New Roman"/>
          <w:szCs w:val="24"/>
          <w:lang w:val="bs-Latn-BA"/>
        </w:rPr>
        <w:t>поддомену</w:t>
      </w:r>
      <w:r w:rsidR="00604363" w:rsidRPr="00295637">
        <w:rPr>
          <w:rFonts w:ascii="Times New Roman" w:hAnsi="Times New Roman"/>
          <w:szCs w:val="24"/>
          <w:lang w:val="bs-Latn-BA"/>
        </w:rPr>
        <w:t xml:space="preserve"> „</w:t>
      </w:r>
      <w:r>
        <w:rPr>
          <w:rFonts w:ascii="Times New Roman" w:hAnsi="Times New Roman"/>
          <w:szCs w:val="24"/>
          <w:lang w:val="bs-Latn-BA"/>
        </w:rPr>
        <w:t>политичка</w:t>
      </w:r>
      <w:r w:rsidR="00604363" w:rsidRPr="00295637">
        <w:rPr>
          <w:rFonts w:ascii="Times New Roman" w:hAnsi="Times New Roman"/>
          <w:szCs w:val="24"/>
          <w:lang w:val="bs-Latn-BA"/>
        </w:rPr>
        <w:t xml:space="preserve"> </w:t>
      </w:r>
      <w:r>
        <w:rPr>
          <w:rFonts w:ascii="Times New Roman" w:hAnsi="Times New Roman"/>
          <w:szCs w:val="24"/>
          <w:lang w:val="bs-Latn-BA"/>
        </w:rPr>
        <w:t>моћ</w:t>
      </w:r>
      <w:r w:rsidR="00604363" w:rsidRPr="00295637">
        <w:rPr>
          <w:rFonts w:ascii="Times New Roman" w:hAnsi="Times New Roman"/>
          <w:szCs w:val="24"/>
          <w:lang w:val="bs-Latn-BA"/>
        </w:rPr>
        <w:t>“</w:t>
      </w:r>
      <w:r w:rsidR="006118F3" w:rsidRPr="00295637">
        <w:rPr>
          <w:rFonts w:ascii="Times New Roman" w:hAnsi="Times New Roman"/>
          <w:szCs w:val="24"/>
          <w:lang w:val="bs-Latn-BA"/>
        </w:rPr>
        <w:t xml:space="preserve">, </w:t>
      </w:r>
      <w:r>
        <w:rPr>
          <w:rFonts w:ascii="Times New Roman" w:hAnsi="Times New Roman"/>
          <w:szCs w:val="24"/>
          <w:lang w:val="bs-Latn-BA"/>
        </w:rPr>
        <w:t>израчуната</w:t>
      </w:r>
      <w:r w:rsidR="006118F3" w:rsidRPr="00295637">
        <w:rPr>
          <w:rFonts w:ascii="Times New Roman" w:hAnsi="Times New Roman"/>
          <w:szCs w:val="24"/>
          <w:lang w:val="bs-Latn-BA"/>
        </w:rPr>
        <w:t xml:space="preserve"> </w:t>
      </w:r>
      <w:r>
        <w:rPr>
          <w:rFonts w:ascii="Times New Roman" w:hAnsi="Times New Roman"/>
          <w:szCs w:val="24"/>
          <w:lang w:val="bs-Latn-BA"/>
        </w:rPr>
        <w:t>вриједност</w:t>
      </w:r>
      <w:r w:rsidR="00604363" w:rsidRPr="00295637">
        <w:rPr>
          <w:rFonts w:ascii="Times New Roman" w:hAnsi="Times New Roman"/>
          <w:szCs w:val="24"/>
          <w:lang w:val="bs-Latn-BA"/>
        </w:rPr>
        <w:t xml:space="preserve"> </w:t>
      </w:r>
      <w:r>
        <w:rPr>
          <w:rFonts w:ascii="Times New Roman" w:hAnsi="Times New Roman"/>
          <w:szCs w:val="24"/>
          <w:lang w:val="bs-Latn-BA"/>
        </w:rPr>
        <w:t>од</w:t>
      </w:r>
      <w:r w:rsidR="00604363" w:rsidRPr="00295637">
        <w:rPr>
          <w:rFonts w:ascii="Times New Roman" w:hAnsi="Times New Roman"/>
          <w:szCs w:val="24"/>
          <w:lang w:val="bs-Latn-BA"/>
        </w:rPr>
        <w:t xml:space="preserve"> 44.6 </w:t>
      </w:r>
      <w:r>
        <w:rPr>
          <w:rFonts w:ascii="Times New Roman" w:hAnsi="Times New Roman"/>
          <w:szCs w:val="24"/>
          <w:lang w:val="bs-Latn-BA"/>
        </w:rPr>
        <w:t>представља</w:t>
      </w:r>
      <w:r w:rsidR="003C13F3">
        <w:rPr>
          <w:rFonts w:ascii="Times New Roman" w:hAnsi="Times New Roman"/>
          <w:szCs w:val="24"/>
          <w:lang w:val="bs-Latn-BA"/>
        </w:rPr>
        <w:t xml:space="preserve"> </w:t>
      </w:r>
      <w:r>
        <w:rPr>
          <w:rFonts w:ascii="Times New Roman" w:hAnsi="Times New Roman"/>
          <w:szCs w:val="24"/>
          <w:lang w:val="bs-Latn-BA"/>
        </w:rPr>
        <w:t>напредак</w:t>
      </w:r>
      <w:r w:rsidR="003C13F3">
        <w:rPr>
          <w:rFonts w:ascii="Times New Roman" w:hAnsi="Times New Roman"/>
          <w:szCs w:val="24"/>
          <w:lang w:val="bs-Latn-BA"/>
        </w:rPr>
        <w:t xml:space="preserve"> </w:t>
      </w:r>
      <w:r>
        <w:rPr>
          <w:rFonts w:ascii="Times New Roman" w:hAnsi="Times New Roman"/>
          <w:szCs w:val="24"/>
          <w:lang w:val="bs-Latn-BA"/>
        </w:rPr>
        <w:t>у</w:t>
      </w:r>
      <w:r w:rsidR="003C13F3">
        <w:rPr>
          <w:rFonts w:ascii="Times New Roman" w:hAnsi="Times New Roman"/>
          <w:szCs w:val="24"/>
          <w:lang w:val="bs-Latn-BA"/>
        </w:rPr>
        <w:t xml:space="preserve"> </w:t>
      </w:r>
      <w:r>
        <w:rPr>
          <w:rFonts w:ascii="Times New Roman" w:hAnsi="Times New Roman"/>
          <w:szCs w:val="24"/>
          <w:lang w:val="bs-Latn-BA"/>
        </w:rPr>
        <w:t>поређењу</w:t>
      </w:r>
      <w:r w:rsidR="003C13F3">
        <w:rPr>
          <w:rFonts w:ascii="Times New Roman" w:hAnsi="Times New Roman"/>
          <w:szCs w:val="24"/>
          <w:lang w:val="bs-Latn-BA"/>
        </w:rPr>
        <w:t xml:space="preserve"> </w:t>
      </w:r>
      <w:r>
        <w:rPr>
          <w:rFonts w:ascii="Times New Roman" w:hAnsi="Times New Roman"/>
          <w:szCs w:val="24"/>
          <w:lang w:val="bs-Latn-BA"/>
        </w:rPr>
        <w:t>са</w:t>
      </w:r>
      <w:r w:rsidR="00604363" w:rsidRPr="00295637">
        <w:rPr>
          <w:rFonts w:ascii="Times New Roman" w:hAnsi="Times New Roman"/>
          <w:szCs w:val="24"/>
          <w:lang w:val="bs-Latn-BA"/>
        </w:rPr>
        <w:t xml:space="preserve"> 2023. </w:t>
      </w:r>
      <w:r>
        <w:rPr>
          <w:rFonts w:ascii="Times New Roman" w:hAnsi="Times New Roman"/>
          <w:szCs w:val="24"/>
          <w:lang w:val="bs-Latn-BA"/>
        </w:rPr>
        <w:t>годином</w:t>
      </w:r>
      <w:r w:rsidR="00604363" w:rsidRPr="00295637">
        <w:rPr>
          <w:rFonts w:ascii="Times New Roman" w:hAnsi="Times New Roman"/>
          <w:szCs w:val="24"/>
          <w:lang w:val="bs-Latn-BA"/>
        </w:rPr>
        <w:t xml:space="preserve"> (42.9) </w:t>
      </w:r>
      <w:r>
        <w:rPr>
          <w:rFonts w:ascii="Times New Roman" w:hAnsi="Times New Roman"/>
          <w:szCs w:val="24"/>
          <w:lang w:val="bs-Latn-BA"/>
        </w:rPr>
        <w:t>и</w:t>
      </w:r>
      <w:r w:rsidR="00604363" w:rsidRPr="00295637">
        <w:rPr>
          <w:rFonts w:ascii="Times New Roman" w:hAnsi="Times New Roman"/>
          <w:szCs w:val="24"/>
          <w:lang w:val="bs-Latn-BA"/>
        </w:rPr>
        <w:t xml:space="preserve"> 2022. </w:t>
      </w:r>
      <w:r>
        <w:rPr>
          <w:rFonts w:ascii="Times New Roman" w:hAnsi="Times New Roman"/>
          <w:szCs w:val="24"/>
          <w:lang w:val="bs-Latn-BA"/>
        </w:rPr>
        <w:t>годином</w:t>
      </w:r>
      <w:r w:rsidR="00604363" w:rsidRPr="00295637">
        <w:rPr>
          <w:rFonts w:ascii="Times New Roman" w:hAnsi="Times New Roman"/>
          <w:szCs w:val="24"/>
          <w:lang w:val="bs-Latn-BA"/>
        </w:rPr>
        <w:t xml:space="preserve"> (40.8), </w:t>
      </w:r>
      <w:r>
        <w:rPr>
          <w:rFonts w:ascii="Times New Roman" w:hAnsi="Times New Roman"/>
          <w:szCs w:val="24"/>
          <w:lang w:val="bs-Latn-BA"/>
        </w:rPr>
        <w:t>тако</w:t>
      </w:r>
      <w:r w:rsidR="00604363" w:rsidRPr="00295637">
        <w:rPr>
          <w:rFonts w:ascii="Times New Roman" w:hAnsi="Times New Roman"/>
          <w:szCs w:val="24"/>
          <w:lang w:val="bs-Latn-BA"/>
        </w:rPr>
        <w:t xml:space="preserve"> </w:t>
      </w:r>
      <w:r>
        <w:rPr>
          <w:rFonts w:ascii="Times New Roman" w:hAnsi="Times New Roman"/>
          <w:szCs w:val="24"/>
          <w:lang w:val="bs-Latn-BA"/>
        </w:rPr>
        <w:t>да</w:t>
      </w:r>
      <w:r w:rsidR="00604363" w:rsidRPr="00295637">
        <w:rPr>
          <w:rFonts w:ascii="Times New Roman" w:hAnsi="Times New Roman"/>
          <w:szCs w:val="24"/>
          <w:lang w:val="bs-Latn-BA"/>
        </w:rPr>
        <w:t xml:space="preserve"> </w:t>
      </w:r>
      <w:r>
        <w:rPr>
          <w:rFonts w:ascii="Times New Roman" w:hAnsi="Times New Roman"/>
          <w:szCs w:val="24"/>
          <w:lang w:val="bs-Latn-BA"/>
        </w:rPr>
        <w:t>тој</w:t>
      </w:r>
      <w:r w:rsidR="00604363" w:rsidRPr="00295637">
        <w:rPr>
          <w:rFonts w:ascii="Times New Roman" w:hAnsi="Times New Roman"/>
          <w:szCs w:val="24"/>
          <w:lang w:val="bs-Latn-BA"/>
        </w:rPr>
        <w:t xml:space="preserve"> </w:t>
      </w:r>
      <w:r>
        <w:rPr>
          <w:rFonts w:ascii="Times New Roman" w:hAnsi="Times New Roman"/>
          <w:szCs w:val="24"/>
          <w:lang w:val="bs-Latn-BA"/>
        </w:rPr>
        <w:t>области</w:t>
      </w:r>
      <w:r w:rsidR="00604363" w:rsidRPr="00295637">
        <w:rPr>
          <w:rFonts w:ascii="Times New Roman" w:hAnsi="Times New Roman"/>
          <w:szCs w:val="24"/>
          <w:lang w:val="bs-Latn-BA"/>
        </w:rPr>
        <w:t xml:space="preserve"> </w:t>
      </w:r>
      <w:r>
        <w:rPr>
          <w:rFonts w:ascii="Times New Roman" w:hAnsi="Times New Roman"/>
          <w:szCs w:val="24"/>
          <w:lang w:val="bs-Latn-BA"/>
        </w:rPr>
        <w:t>можемо</w:t>
      </w:r>
      <w:r w:rsidR="00604363" w:rsidRPr="00295637">
        <w:rPr>
          <w:rFonts w:ascii="Times New Roman" w:hAnsi="Times New Roman"/>
          <w:szCs w:val="24"/>
          <w:lang w:val="bs-Latn-BA"/>
        </w:rPr>
        <w:t xml:space="preserve"> </w:t>
      </w:r>
      <w:r>
        <w:rPr>
          <w:rFonts w:ascii="Times New Roman" w:hAnsi="Times New Roman"/>
          <w:szCs w:val="24"/>
          <w:lang w:val="bs-Latn-BA"/>
        </w:rPr>
        <w:t>говорити</w:t>
      </w:r>
      <w:r w:rsidR="00604363" w:rsidRPr="00295637">
        <w:rPr>
          <w:rFonts w:ascii="Times New Roman" w:hAnsi="Times New Roman"/>
          <w:szCs w:val="24"/>
          <w:lang w:val="bs-Latn-BA"/>
        </w:rPr>
        <w:t xml:space="preserve"> </w:t>
      </w:r>
      <w:r>
        <w:rPr>
          <w:rFonts w:ascii="Times New Roman" w:hAnsi="Times New Roman"/>
          <w:szCs w:val="24"/>
          <w:lang w:val="bs-Latn-BA"/>
        </w:rPr>
        <w:t>о</w:t>
      </w:r>
      <w:r w:rsidR="00604363" w:rsidRPr="00295637">
        <w:rPr>
          <w:rFonts w:ascii="Times New Roman" w:hAnsi="Times New Roman"/>
          <w:szCs w:val="24"/>
          <w:lang w:val="bs-Latn-BA"/>
        </w:rPr>
        <w:t xml:space="preserve"> </w:t>
      </w:r>
      <w:r>
        <w:rPr>
          <w:rFonts w:ascii="Times New Roman" w:hAnsi="Times New Roman"/>
          <w:szCs w:val="24"/>
          <w:lang w:val="bs-Latn-BA"/>
        </w:rPr>
        <w:t>тренду</w:t>
      </w:r>
      <w:r w:rsidR="00604363" w:rsidRPr="00295637">
        <w:rPr>
          <w:rFonts w:ascii="Times New Roman" w:hAnsi="Times New Roman"/>
          <w:szCs w:val="24"/>
          <w:lang w:val="bs-Latn-BA"/>
        </w:rPr>
        <w:t xml:space="preserve"> </w:t>
      </w:r>
      <w:r>
        <w:rPr>
          <w:rFonts w:ascii="Times New Roman" w:hAnsi="Times New Roman"/>
          <w:szCs w:val="24"/>
          <w:lang w:val="bs-Latn-BA"/>
        </w:rPr>
        <w:t>континуираног</w:t>
      </w:r>
      <w:r w:rsidR="00604363" w:rsidRPr="00295637">
        <w:rPr>
          <w:rFonts w:ascii="Times New Roman" w:hAnsi="Times New Roman"/>
          <w:szCs w:val="24"/>
          <w:lang w:val="bs-Latn-BA"/>
        </w:rPr>
        <w:t xml:space="preserve"> </w:t>
      </w:r>
      <w:r>
        <w:rPr>
          <w:rFonts w:ascii="Times New Roman" w:hAnsi="Times New Roman"/>
          <w:szCs w:val="24"/>
          <w:lang w:val="bs-Latn-BA"/>
        </w:rPr>
        <w:t>раста</w:t>
      </w:r>
      <w:r w:rsidR="00604363" w:rsidRPr="00295637">
        <w:rPr>
          <w:rFonts w:ascii="Times New Roman" w:hAnsi="Times New Roman"/>
          <w:szCs w:val="24"/>
          <w:lang w:val="bs-Latn-BA"/>
        </w:rPr>
        <w:t xml:space="preserve">. </w:t>
      </w:r>
      <w:r>
        <w:rPr>
          <w:rFonts w:ascii="Times New Roman" w:hAnsi="Times New Roman"/>
          <w:szCs w:val="24"/>
          <w:lang w:val="bs-Latn-BA"/>
        </w:rPr>
        <w:t>Међутим</w:t>
      </w:r>
      <w:r w:rsidR="00604363" w:rsidRPr="00295637">
        <w:rPr>
          <w:rFonts w:ascii="Times New Roman" w:hAnsi="Times New Roman"/>
          <w:szCs w:val="24"/>
          <w:lang w:val="bs-Latn-BA"/>
        </w:rPr>
        <w:t xml:space="preserve">, </w:t>
      </w:r>
      <w:r>
        <w:rPr>
          <w:rFonts w:ascii="Times New Roman" w:hAnsi="Times New Roman"/>
          <w:szCs w:val="24"/>
          <w:lang w:val="bs-Latn-BA"/>
        </w:rPr>
        <w:t>резултат</w:t>
      </w:r>
      <w:r w:rsidR="00604363" w:rsidRPr="00295637">
        <w:rPr>
          <w:rFonts w:ascii="Times New Roman" w:hAnsi="Times New Roman"/>
          <w:szCs w:val="24"/>
          <w:lang w:val="bs-Latn-BA"/>
        </w:rPr>
        <w:t xml:space="preserve"> </w:t>
      </w:r>
      <w:r>
        <w:rPr>
          <w:rFonts w:ascii="Times New Roman" w:hAnsi="Times New Roman"/>
          <w:szCs w:val="24"/>
          <w:lang w:val="bs-Latn-BA"/>
        </w:rPr>
        <w:t>поддомена</w:t>
      </w:r>
      <w:r w:rsidR="00D30E48">
        <w:rPr>
          <w:rFonts w:ascii="Times New Roman" w:hAnsi="Times New Roman"/>
          <w:szCs w:val="24"/>
          <w:lang w:val="bs-Latn-BA"/>
        </w:rPr>
        <w:t xml:space="preserve"> „</w:t>
      </w:r>
      <w:r>
        <w:rPr>
          <w:rFonts w:ascii="Times New Roman" w:hAnsi="Times New Roman"/>
          <w:szCs w:val="24"/>
          <w:lang w:val="bs-Latn-BA"/>
        </w:rPr>
        <w:t>друштвена</w:t>
      </w:r>
      <w:r w:rsidR="00D30E48">
        <w:rPr>
          <w:rFonts w:ascii="Times New Roman" w:hAnsi="Times New Roman"/>
          <w:szCs w:val="24"/>
          <w:lang w:val="bs-Latn-BA"/>
        </w:rPr>
        <w:t xml:space="preserve"> </w:t>
      </w:r>
      <w:r>
        <w:rPr>
          <w:rFonts w:ascii="Times New Roman" w:hAnsi="Times New Roman"/>
          <w:szCs w:val="24"/>
          <w:lang w:val="bs-Latn-BA"/>
        </w:rPr>
        <w:t>моћ</w:t>
      </w:r>
      <w:r w:rsidR="00D30E48">
        <w:rPr>
          <w:rFonts w:ascii="Times New Roman" w:hAnsi="Times New Roman"/>
          <w:szCs w:val="24"/>
          <w:lang w:val="bs-Latn-BA"/>
        </w:rPr>
        <w:t xml:space="preserve">“ </w:t>
      </w:r>
      <w:r>
        <w:rPr>
          <w:rFonts w:ascii="Times New Roman" w:hAnsi="Times New Roman"/>
          <w:szCs w:val="24"/>
          <w:lang w:val="bs-Latn-BA"/>
        </w:rPr>
        <w:t>биљежи</w:t>
      </w:r>
      <w:r w:rsidR="00604363" w:rsidRPr="00295637">
        <w:rPr>
          <w:rFonts w:ascii="Times New Roman" w:hAnsi="Times New Roman"/>
          <w:szCs w:val="24"/>
          <w:lang w:val="bs-Latn-BA"/>
        </w:rPr>
        <w:t xml:space="preserve"> </w:t>
      </w:r>
      <w:r>
        <w:rPr>
          <w:rFonts w:ascii="Times New Roman" w:hAnsi="Times New Roman"/>
          <w:szCs w:val="24"/>
          <w:lang w:val="bs-Latn-BA"/>
        </w:rPr>
        <w:t>пад</w:t>
      </w:r>
      <w:r w:rsidR="00604363" w:rsidRPr="00295637">
        <w:rPr>
          <w:rFonts w:ascii="Times New Roman" w:hAnsi="Times New Roman"/>
          <w:szCs w:val="24"/>
          <w:lang w:val="bs-Latn-BA"/>
        </w:rPr>
        <w:t xml:space="preserve"> - 50.6 </w:t>
      </w:r>
      <w:r>
        <w:rPr>
          <w:rFonts w:ascii="Times New Roman" w:hAnsi="Times New Roman"/>
          <w:szCs w:val="24"/>
          <w:lang w:val="bs-Latn-BA"/>
        </w:rPr>
        <w:t>у</w:t>
      </w:r>
      <w:r w:rsidR="00604363" w:rsidRPr="00295637">
        <w:rPr>
          <w:rFonts w:ascii="Times New Roman" w:hAnsi="Times New Roman"/>
          <w:szCs w:val="24"/>
          <w:lang w:val="bs-Latn-BA"/>
        </w:rPr>
        <w:t xml:space="preserve"> 2024. </w:t>
      </w:r>
      <w:r>
        <w:rPr>
          <w:rFonts w:ascii="Times New Roman" w:hAnsi="Times New Roman"/>
          <w:szCs w:val="24"/>
          <w:lang w:val="bs-Latn-BA"/>
        </w:rPr>
        <w:t>години</w:t>
      </w:r>
      <w:r w:rsidR="00604363" w:rsidRPr="00295637">
        <w:rPr>
          <w:rFonts w:ascii="Times New Roman" w:hAnsi="Times New Roman"/>
          <w:szCs w:val="24"/>
          <w:lang w:val="bs-Latn-BA"/>
        </w:rPr>
        <w:t xml:space="preserve">, </w:t>
      </w:r>
      <w:r>
        <w:rPr>
          <w:rFonts w:ascii="Times New Roman" w:hAnsi="Times New Roman"/>
          <w:szCs w:val="24"/>
          <w:lang w:val="bs-Latn-BA"/>
        </w:rPr>
        <w:t>у</w:t>
      </w:r>
      <w:r w:rsidR="00752BA5" w:rsidRPr="00295637">
        <w:rPr>
          <w:rFonts w:ascii="Times New Roman" w:hAnsi="Times New Roman"/>
          <w:szCs w:val="24"/>
          <w:lang w:val="bs-Latn-BA"/>
        </w:rPr>
        <w:t xml:space="preserve"> </w:t>
      </w:r>
      <w:r>
        <w:rPr>
          <w:rFonts w:ascii="Times New Roman" w:hAnsi="Times New Roman"/>
          <w:szCs w:val="24"/>
          <w:lang w:val="bs-Latn-BA"/>
        </w:rPr>
        <w:t>односу</w:t>
      </w:r>
      <w:r w:rsidR="00752BA5" w:rsidRPr="00295637">
        <w:rPr>
          <w:rFonts w:ascii="Times New Roman" w:hAnsi="Times New Roman"/>
          <w:szCs w:val="24"/>
          <w:lang w:val="bs-Latn-BA"/>
        </w:rPr>
        <w:t xml:space="preserve"> </w:t>
      </w:r>
      <w:r>
        <w:rPr>
          <w:rFonts w:ascii="Times New Roman" w:hAnsi="Times New Roman"/>
          <w:szCs w:val="24"/>
          <w:lang w:val="bs-Latn-BA"/>
        </w:rPr>
        <w:t>на</w:t>
      </w:r>
      <w:r w:rsidR="00752BA5" w:rsidRPr="00295637">
        <w:rPr>
          <w:rFonts w:ascii="Times New Roman" w:hAnsi="Times New Roman"/>
          <w:szCs w:val="24"/>
          <w:lang w:val="bs-Latn-BA"/>
        </w:rPr>
        <w:t xml:space="preserve"> </w:t>
      </w:r>
      <w:r w:rsidR="00604363" w:rsidRPr="00295637">
        <w:rPr>
          <w:rFonts w:ascii="Times New Roman" w:hAnsi="Times New Roman"/>
          <w:szCs w:val="24"/>
          <w:lang w:val="bs-Latn-BA"/>
        </w:rPr>
        <w:t xml:space="preserve">53.1 </w:t>
      </w:r>
      <w:r>
        <w:rPr>
          <w:rFonts w:ascii="Times New Roman" w:hAnsi="Times New Roman"/>
          <w:szCs w:val="24"/>
          <w:lang w:val="bs-Latn-BA"/>
        </w:rPr>
        <w:t>у</w:t>
      </w:r>
      <w:r w:rsidR="00604363" w:rsidRPr="00295637">
        <w:rPr>
          <w:rFonts w:ascii="Times New Roman" w:hAnsi="Times New Roman"/>
          <w:szCs w:val="24"/>
          <w:lang w:val="bs-Latn-BA"/>
        </w:rPr>
        <w:t xml:space="preserve"> 2023 </w:t>
      </w:r>
      <w:r>
        <w:rPr>
          <w:rFonts w:ascii="Times New Roman" w:hAnsi="Times New Roman"/>
          <w:szCs w:val="24"/>
          <w:lang w:val="bs-Latn-BA"/>
        </w:rPr>
        <w:t>и</w:t>
      </w:r>
      <w:r w:rsidR="00604363" w:rsidRPr="00295637">
        <w:rPr>
          <w:rFonts w:ascii="Times New Roman" w:hAnsi="Times New Roman"/>
          <w:szCs w:val="24"/>
          <w:lang w:val="bs-Latn-BA"/>
        </w:rPr>
        <w:t xml:space="preserve"> 51.2 </w:t>
      </w:r>
      <w:r>
        <w:rPr>
          <w:rFonts w:ascii="Times New Roman" w:hAnsi="Times New Roman"/>
          <w:szCs w:val="24"/>
          <w:lang w:val="bs-Latn-BA"/>
        </w:rPr>
        <w:t>у</w:t>
      </w:r>
      <w:r w:rsidR="00604363" w:rsidRPr="00295637">
        <w:rPr>
          <w:rFonts w:ascii="Times New Roman" w:hAnsi="Times New Roman"/>
          <w:szCs w:val="24"/>
          <w:lang w:val="bs-Latn-BA"/>
        </w:rPr>
        <w:t xml:space="preserve"> 2022. </w:t>
      </w:r>
      <w:r>
        <w:rPr>
          <w:rFonts w:ascii="Times New Roman" w:hAnsi="Times New Roman"/>
          <w:szCs w:val="24"/>
          <w:lang w:val="bs-Latn-BA"/>
        </w:rPr>
        <w:t>години</w:t>
      </w:r>
      <w:r w:rsidR="00604363" w:rsidRPr="00295637">
        <w:rPr>
          <w:rFonts w:ascii="Times New Roman" w:hAnsi="Times New Roman"/>
          <w:szCs w:val="24"/>
          <w:lang w:val="bs-Latn-BA"/>
        </w:rPr>
        <w:t xml:space="preserve">. </w:t>
      </w:r>
    </w:p>
    <w:p w:rsidR="00604363" w:rsidRPr="00295637" w:rsidRDefault="00604363" w:rsidP="0086268D">
      <w:pPr>
        <w:autoSpaceDE w:val="0"/>
        <w:autoSpaceDN w:val="0"/>
        <w:adjustRightInd w:val="0"/>
        <w:jc w:val="both"/>
        <w:rPr>
          <w:rFonts w:ascii="Times New Roman" w:hAnsi="Times New Roman"/>
          <w:szCs w:val="24"/>
          <w:lang w:val="bs-Latn-BA"/>
        </w:rPr>
      </w:pPr>
    </w:p>
    <w:p w:rsidR="00604363" w:rsidRPr="006820FB" w:rsidRDefault="00C6214E" w:rsidP="0086268D">
      <w:pPr>
        <w:autoSpaceDE w:val="0"/>
        <w:autoSpaceDN w:val="0"/>
        <w:adjustRightInd w:val="0"/>
        <w:jc w:val="both"/>
        <w:rPr>
          <w:rFonts w:ascii="Times New Roman" w:hAnsi="Times New Roman"/>
          <w:szCs w:val="24"/>
          <w:lang w:val="hr-HR"/>
        </w:rPr>
      </w:pPr>
      <w:r>
        <w:rPr>
          <w:rFonts w:ascii="Times New Roman" w:hAnsi="Times New Roman"/>
          <w:szCs w:val="24"/>
          <w:lang w:val="hr-HR"/>
        </w:rPr>
        <w:t>Најновија</w:t>
      </w:r>
      <w:r w:rsidR="00604363" w:rsidRPr="006820FB">
        <w:rPr>
          <w:rFonts w:ascii="Times New Roman" w:hAnsi="Times New Roman"/>
          <w:szCs w:val="24"/>
          <w:lang w:val="hr-HR"/>
        </w:rPr>
        <w:t xml:space="preserve"> </w:t>
      </w:r>
      <w:r>
        <w:rPr>
          <w:rFonts w:ascii="Times New Roman" w:hAnsi="Times New Roman"/>
          <w:szCs w:val="24"/>
          <w:lang w:val="hr-HR"/>
        </w:rPr>
        <w:t>истраживања</w:t>
      </w:r>
      <w:r w:rsidR="00604363" w:rsidRPr="006820FB">
        <w:rPr>
          <w:rFonts w:ascii="Times New Roman" w:hAnsi="Times New Roman"/>
          <w:szCs w:val="24"/>
          <w:lang w:val="hr-HR"/>
        </w:rPr>
        <w:t xml:space="preserve"> </w:t>
      </w:r>
      <w:r>
        <w:rPr>
          <w:rFonts w:ascii="Times New Roman" w:hAnsi="Times New Roman"/>
          <w:szCs w:val="24"/>
          <w:lang w:val="hr-HR"/>
        </w:rPr>
        <w:t>показују</w:t>
      </w:r>
      <w:r w:rsidR="00604363" w:rsidRPr="006820FB">
        <w:rPr>
          <w:rFonts w:ascii="Times New Roman" w:hAnsi="Times New Roman"/>
          <w:szCs w:val="24"/>
          <w:lang w:val="hr-HR"/>
        </w:rPr>
        <w:t xml:space="preserve"> </w:t>
      </w:r>
      <w:r>
        <w:rPr>
          <w:rFonts w:ascii="Times New Roman" w:hAnsi="Times New Roman"/>
          <w:szCs w:val="24"/>
          <w:lang w:val="hr-HR"/>
        </w:rPr>
        <w:t>да</w:t>
      </w:r>
      <w:r w:rsidR="00604363" w:rsidRPr="006820FB">
        <w:rPr>
          <w:rFonts w:ascii="Times New Roman" w:hAnsi="Times New Roman"/>
          <w:szCs w:val="24"/>
          <w:lang w:val="hr-HR"/>
        </w:rPr>
        <w:t xml:space="preserve"> </w:t>
      </w:r>
      <w:r>
        <w:rPr>
          <w:rFonts w:ascii="Times New Roman" w:hAnsi="Times New Roman"/>
          <w:szCs w:val="24"/>
          <w:lang w:val="hr-HR"/>
        </w:rPr>
        <w:t>у</w:t>
      </w:r>
      <w:r w:rsidR="00604363" w:rsidRPr="006820FB">
        <w:rPr>
          <w:rFonts w:ascii="Times New Roman" w:hAnsi="Times New Roman"/>
          <w:szCs w:val="24"/>
          <w:lang w:val="hr-HR"/>
        </w:rPr>
        <w:t xml:space="preserve"> </w:t>
      </w:r>
      <w:r>
        <w:rPr>
          <w:rFonts w:ascii="Times New Roman" w:hAnsi="Times New Roman"/>
          <w:szCs w:val="24"/>
          <w:lang w:val="hr-HR"/>
        </w:rPr>
        <w:t>БиХ</w:t>
      </w:r>
      <w:r w:rsidR="00604363" w:rsidRPr="006820FB">
        <w:rPr>
          <w:rFonts w:ascii="Times New Roman" w:hAnsi="Times New Roman"/>
          <w:szCs w:val="24"/>
          <w:lang w:val="hr-HR"/>
        </w:rPr>
        <w:t xml:space="preserve"> </w:t>
      </w:r>
      <w:r>
        <w:rPr>
          <w:rFonts w:ascii="Times New Roman" w:hAnsi="Times New Roman"/>
          <w:szCs w:val="24"/>
          <w:lang w:val="hr-HR"/>
        </w:rPr>
        <w:t>жене</w:t>
      </w:r>
      <w:r w:rsidR="00604363" w:rsidRPr="006820FB">
        <w:rPr>
          <w:rFonts w:ascii="Times New Roman" w:hAnsi="Times New Roman"/>
          <w:szCs w:val="24"/>
          <w:lang w:val="hr-HR"/>
        </w:rPr>
        <w:t xml:space="preserve"> (87.7%) </w:t>
      </w:r>
      <w:r>
        <w:rPr>
          <w:rFonts w:ascii="Times New Roman" w:hAnsi="Times New Roman"/>
          <w:szCs w:val="24"/>
          <w:lang w:val="hr-HR"/>
        </w:rPr>
        <w:t>и</w:t>
      </w:r>
      <w:r w:rsidR="00604363" w:rsidRPr="006820FB">
        <w:rPr>
          <w:rFonts w:ascii="Times New Roman" w:hAnsi="Times New Roman"/>
          <w:szCs w:val="24"/>
          <w:lang w:val="hr-HR"/>
        </w:rPr>
        <w:t xml:space="preserve"> </w:t>
      </w:r>
      <w:r>
        <w:rPr>
          <w:rFonts w:ascii="Times New Roman" w:hAnsi="Times New Roman"/>
          <w:szCs w:val="24"/>
          <w:lang w:val="hr-HR"/>
        </w:rPr>
        <w:t>мушкарци</w:t>
      </w:r>
      <w:r w:rsidR="00604363" w:rsidRPr="006820FB">
        <w:rPr>
          <w:rFonts w:ascii="Times New Roman" w:hAnsi="Times New Roman"/>
          <w:szCs w:val="24"/>
          <w:lang w:val="hr-HR"/>
        </w:rPr>
        <w:t xml:space="preserve"> (74.6%) </w:t>
      </w:r>
      <w:r>
        <w:rPr>
          <w:rFonts w:ascii="Times New Roman" w:hAnsi="Times New Roman"/>
          <w:szCs w:val="24"/>
          <w:lang w:val="hr-HR"/>
        </w:rPr>
        <w:t>вјерују</w:t>
      </w:r>
      <w:r w:rsidR="00604363" w:rsidRPr="006820FB">
        <w:rPr>
          <w:rFonts w:ascii="Times New Roman" w:hAnsi="Times New Roman"/>
          <w:szCs w:val="24"/>
          <w:lang w:val="hr-HR"/>
        </w:rPr>
        <w:t xml:space="preserve"> </w:t>
      </w:r>
      <w:r>
        <w:rPr>
          <w:rFonts w:ascii="Times New Roman" w:hAnsi="Times New Roman"/>
          <w:szCs w:val="24"/>
          <w:lang w:val="hr-HR"/>
        </w:rPr>
        <w:t>да</w:t>
      </w:r>
      <w:r w:rsidR="00604363" w:rsidRPr="006820FB">
        <w:rPr>
          <w:rFonts w:ascii="Times New Roman" w:hAnsi="Times New Roman"/>
          <w:szCs w:val="24"/>
          <w:lang w:val="hr-HR"/>
        </w:rPr>
        <w:t xml:space="preserve"> </w:t>
      </w:r>
      <w:r>
        <w:rPr>
          <w:rFonts w:ascii="Times New Roman" w:hAnsi="Times New Roman"/>
          <w:szCs w:val="24"/>
          <w:lang w:val="hr-HR"/>
        </w:rPr>
        <w:t>једнака</w:t>
      </w:r>
      <w:r w:rsidR="00604363" w:rsidRPr="006820FB">
        <w:rPr>
          <w:rFonts w:ascii="Times New Roman" w:hAnsi="Times New Roman"/>
          <w:szCs w:val="24"/>
          <w:lang w:val="hr-HR"/>
        </w:rPr>
        <w:t xml:space="preserve"> </w:t>
      </w:r>
      <w:r>
        <w:rPr>
          <w:rFonts w:ascii="Times New Roman" w:hAnsi="Times New Roman"/>
          <w:szCs w:val="24"/>
          <w:lang w:val="hr-HR"/>
        </w:rPr>
        <w:t>заступљеност</w:t>
      </w:r>
      <w:r w:rsidR="00B4645A" w:rsidRPr="006820FB">
        <w:rPr>
          <w:rFonts w:ascii="Times New Roman" w:hAnsi="Times New Roman"/>
          <w:szCs w:val="24"/>
          <w:lang w:val="hr-HR"/>
        </w:rPr>
        <w:t xml:space="preserve"> </w:t>
      </w:r>
      <w:r>
        <w:rPr>
          <w:rFonts w:ascii="Times New Roman" w:hAnsi="Times New Roman"/>
          <w:szCs w:val="24"/>
          <w:lang w:val="hr-HR"/>
        </w:rPr>
        <w:t>оба</w:t>
      </w:r>
      <w:r w:rsidR="00B4645A" w:rsidRPr="006820FB">
        <w:rPr>
          <w:rFonts w:ascii="Times New Roman" w:hAnsi="Times New Roman"/>
          <w:szCs w:val="24"/>
          <w:lang w:val="hr-HR"/>
        </w:rPr>
        <w:t xml:space="preserve"> </w:t>
      </w:r>
      <w:r>
        <w:rPr>
          <w:rFonts w:ascii="Times New Roman" w:hAnsi="Times New Roman"/>
          <w:szCs w:val="24"/>
          <w:lang w:val="hr-HR"/>
        </w:rPr>
        <w:t>пола</w:t>
      </w:r>
      <w:r w:rsidR="00604363" w:rsidRPr="006820FB">
        <w:rPr>
          <w:rFonts w:ascii="Times New Roman" w:hAnsi="Times New Roman"/>
          <w:szCs w:val="24"/>
          <w:lang w:val="hr-HR"/>
        </w:rPr>
        <w:t xml:space="preserve"> </w:t>
      </w:r>
      <w:r>
        <w:rPr>
          <w:rFonts w:ascii="Times New Roman" w:hAnsi="Times New Roman"/>
          <w:szCs w:val="24"/>
          <w:lang w:val="hr-HR"/>
        </w:rPr>
        <w:t>доноси</w:t>
      </w:r>
      <w:r w:rsidR="00604363" w:rsidRPr="006820FB">
        <w:rPr>
          <w:rFonts w:ascii="Times New Roman" w:hAnsi="Times New Roman"/>
          <w:szCs w:val="24"/>
          <w:lang w:val="hr-HR"/>
        </w:rPr>
        <w:t xml:space="preserve"> </w:t>
      </w:r>
      <w:r>
        <w:rPr>
          <w:rFonts w:ascii="Times New Roman" w:hAnsi="Times New Roman"/>
          <w:szCs w:val="24"/>
          <w:lang w:val="hr-HR"/>
        </w:rPr>
        <w:t>праведност</w:t>
      </w:r>
      <w:r w:rsidR="00604363" w:rsidRPr="006820FB">
        <w:rPr>
          <w:rFonts w:ascii="Times New Roman" w:hAnsi="Times New Roman"/>
          <w:szCs w:val="24"/>
          <w:lang w:val="hr-HR"/>
        </w:rPr>
        <w:t xml:space="preserve"> </w:t>
      </w:r>
      <w:r>
        <w:rPr>
          <w:rFonts w:ascii="Times New Roman" w:hAnsi="Times New Roman"/>
          <w:szCs w:val="24"/>
          <w:lang w:val="hr-HR"/>
        </w:rPr>
        <w:t>и</w:t>
      </w:r>
      <w:r w:rsidR="00604363" w:rsidRPr="006820FB">
        <w:rPr>
          <w:rFonts w:ascii="Times New Roman" w:hAnsi="Times New Roman"/>
          <w:szCs w:val="24"/>
          <w:lang w:val="hr-HR"/>
        </w:rPr>
        <w:t xml:space="preserve"> </w:t>
      </w:r>
      <w:r>
        <w:rPr>
          <w:rFonts w:ascii="Times New Roman" w:hAnsi="Times New Roman"/>
          <w:szCs w:val="24"/>
          <w:lang w:val="hr-HR"/>
        </w:rPr>
        <w:t>квалитет</w:t>
      </w:r>
      <w:r w:rsidR="00604363" w:rsidRPr="006820FB">
        <w:rPr>
          <w:rFonts w:ascii="Times New Roman" w:hAnsi="Times New Roman"/>
          <w:szCs w:val="24"/>
          <w:lang w:val="hr-HR"/>
        </w:rPr>
        <w:t xml:space="preserve"> </w:t>
      </w:r>
      <w:r>
        <w:rPr>
          <w:rFonts w:ascii="Times New Roman" w:hAnsi="Times New Roman"/>
          <w:szCs w:val="24"/>
          <w:lang w:val="hr-HR"/>
        </w:rPr>
        <w:t>у</w:t>
      </w:r>
      <w:r w:rsidR="00604363" w:rsidRPr="006820FB">
        <w:rPr>
          <w:rFonts w:ascii="Times New Roman" w:hAnsi="Times New Roman"/>
          <w:szCs w:val="24"/>
          <w:lang w:val="hr-HR"/>
        </w:rPr>
        <w:t xml:space="preserve"> </w:t>
      </w:r>
      <w:r>
        <w:rPr>
          <w:rFonts w:ascii="Times New Roman" w:hAnsi="Times New Roman"/>
          <w:szCs w:val="24"/>
          <w:lang w:val="hr-HR"/>
        </w:rPr>
        <w:t>политици</w:t>
      </w:r>
      <w:r w:rsidR="00604363" w:rsidRPr="006820FB">
        <w:rPr>
          <w:rFonts w:ascii="Times New Roman" w:hAnsi="Times New Roman"/>
          <w:szCs w:val="24"/>
          <w:lang w:val="hr-HR"/>
        </w:rPr>
        <w:t xml:space="preserve">. </w:t>
      </w:r>
      <w:r>
        <w:rPr>
          <w:rFonts w:ascii="Times New Roman" w:hAnsi="Times New Roman"/>
          <w:szCs w:val="24"/>
          <w:lang w:val="hr-HR"/>
        </w:rPr>
        <w:t>Међутим</w:t>
      </w:r>
      <w:r w:rsidR="00604363" w:rsidRPr="006820FB">
        <w:rPr>
          <w:rFonts w:ascii="Times New Roman" w:hAnsi="Times New Roman"/>
          <w:szCs w:val="24"/>
          <w:lang w:val="hr-HR"/>
        </w:rPr>
        <w:t xml:space="preserve">, </w:t>
      </w:r>
      <w:r>
        <w:rPr>
          <w:rFonts w:ascii="Times New Roman" w:hAnsi="Times New Roman"/>
          <w:szCs w:val="24"/>
          <w:lang w:val="hr-HR"/>
        </w:rPr>
        <w:t>мали</w:t>
      </w:r>
      <w:r w:rsidR="00604363" w:rsidRPr="006820FB">
        <w:rPr>
          <w:rFonts w:ascii="Times New Roman" w:hAnsi="Times New Roman"/>
          <w:szCs w:val="24"/>
          <w:lang w:val="hr-HR"/>
        </w:rPr>
        <w:t xml:space="preserve"> </w:t>
      </w:r>
      <w:r>
        <w:rPr>
          <w:rFonts w:ascii="Times New Roman" w:hAnsi="Times New Roman"/>
          <w:szCs w:val="24"/>
          <w:lang w:val="hr-HR"/>
        </w:rPr>
        <w:t>постотак</w:t>
      </w:r>
      <w:r w:rsidR="00604363" w:rsidRPr="006820FB">
        <w:rPr>
          <w:rFonts w:ascii="Times New Roman" w:hAnsi="Times New Roman"/>
          <w:szCs w:val="24"/>
          <w:lang w:val="hr-HR"/>
        </w:rPr>
        <w:t xml:space="preserve"> </w:t>
      </w:r>
      <w:r>
        <w:rPr>
          <w:rFonts w:ascii="Times New Roman" w:hAnsi="Times New Roman"/>
          <w:szCs w:val="24"/>
          <w:lang w:val="hr-HR"/>
        </w:rPr>
        <w:t>испитаника</w:t>
      </w:r>
      <w:r w:rsidR="00604363" w:rsidRPr="006820FB">
        <w:rPr>
          <w:rFonts w:ascii="Times New Roman" w:hAnsi="Times New Roman"/>
          <w:szCs w:val="24"/>
          <w:lang w:val="hr-HR"/>
        </w:rPr>
        <w:t xml:space="preserve"> </w:t>
      </w:r>
      <w:r>
        <w:rPr>
          <w:rFonts w:ascii="Times New Roman" w:hAnsi="Times New Roman"/>
          <w:szCs w:val="24"/>
          <w:lang w:val="hr-HR"/>
        </w:rPr>
        <w:t>и</w:t>
      </w:r>
      <w:r w:rsidR="00604363" w:rsidRPr="006820FB">
        <w:rPr>
          <w:rFonts w:ascii="Times New Roman" w:hAnsi="Times New Roman"/>
          <w:szCs w:val="24"/>
          <w:lang w:val="hr-HR"/>
        </w:rPr>
        <w:t xml:space="preserve"> </w:t>
      </w:r>
      <w:r>
        <w:rPr>
          <w:rFonts w:ascii="Times New Roman" w:hAnsi="Times New Roman"/>
          <w:szCs w:val="24"/>
          <w:lang w:val="hr-HR"/>
        </w:rPr>
        <w:t>испитаница</w:t>
      </w:r>
      <w:r w:rsidR="00604363" w:rsidRPr="006820FB">
        <w:rPr>
          <w:rFonts w:ascii="Times New Roman" w:hAnsi="Times New Roman"/>
          <w:szCs w:val="24"/>
          <w:lang w:val="hr-HR"/>
        </w:rPr>
        <w:t xml:space="preserve"> </w:t>
      </w:r>
      <w:r>
        <w:rPr>
          <w:rFonts w:ascii="Times New Roman" w:hAnsi="Times New Roman"/>
          <w:szCs w:val="24"/>
          <w:lang w:val="hr-HR"/>
        </w:rPr>
        <w:t>у</w:t>
      </w:r>
      <w:r w:rsidR="00604363" w:rsidRPr="006820FB">
        <w:rPr>
          <w:rFonts w:ascii="Times New Roman" w:hAnsi="Times New Roman"/>
          <w:szCs w:val="24"/>
          <w:lang w:val="hr-HR"/>
        </w:rPr>
        <w:t xml:space="preserve"> </w:t>
      </w:r>
      <w:r>
        <w:rPr>
          <w:rFonts w:ascii="Times New Roman" w:hAnsi="Times New Roman"/>
          <w:szCs w:val="24"/>
          <w:lang w:val="hr-HR"/>
        </w:rPr>
        <w:t>истраживању</w:t>
      </w:r>
      <w:r w:rsidR="00604363" w:rsidRPr="006820FB">
        <w:rPr>
          <w:rFonts w:ascii="Times New Roman" w:hAnsi="Times New Roman"/>
          <w:szCs w:val="24"/>
          <w:lang w:val="hr-HR"/>
        </w:rPr>
        <w:t xml:space="preserve"> </w:t>
      </w:r>
      <w:r>
        <w:rPr>
          <w:rFonts w:ascii="Times New Roman" w:hAnsi="Times New Roman"/>
          <w:szCs w:val="24"/>
          <w:lang w:val="hr-HR"/>
        </w:rPr>
        <w:t>наводи</w:t>
      </w:r>
      <w:r w:rsidR="00604363" w:rsidRPr="006820FB">
        <w:rPr>
          <w:rFonts w:ascii="Times New Roman" w:hAnsi="Times New Roman"/>
          <w:szCs w:val="24"/>
          <w:lang w:val="hr-HR"/>
        </w:rPr>
        <w:t xml:space="preserve"> </w:t>
      </w:r>
      <w:r>
        <w:rPr>
          <w:rFonts w:ascii="Times New Roman" w:hAnsi="Times New Roman"/>
          <w:szCs w:val="24"/>
          <w:lang w:val="hr-HR"/>
        </w:rPr>
        <w:t>да</w:t>
      </w:r>
      <w:r w:rsidR="00604363" w:rsidRPr="006820FB">
        <w:rPr>
          <w:rFonts w:ascii="Times New Roman" w:hAnsi="Times New Roman"/>
          <w:szCs w:val="24"/>
          <w:lang w:val="hr-HR"/>
        </w:rPr>
        <w:t xml:space="preserve"> </w:t>
      </w:r>
      <w:r>
        <w:rPr>
          <w:rFonts w:ascii="Times New Roman" w:hAnsi="Times New Roman"/>
          <w:szCs w:val="24"/>
          <w:lang w:val="hr-HR"/>
        </w:rPr>
        <w:t>су</w:t>
      </w:r>
      <w:r w:rsidR="00604363" w:rsidRPr="006820FB">
        <w:rPr>
          <w:rFonts w:ascii="Times New Roman" w:hAnsi="Times New Roman"/>
          <w:szCs w:val="24"/>
          <w:lang w:val="hr-HR"/>
        </w:rPr>
        <w:t xml:space="preserve"> </w:t>
      </w:r>
      <w:r>
        <w:rPr>
          <w:rFonts w:ascii="Times New Roman" w:hAnsi="Times New Roman"/>
          <w:szCs w:val="24"/>
          <w:lang w:val="hr-HR"/>
        </w:rPr>
        <w:t>чланови</w:t>
      </w:r>
      <w:r w:rsidR="00604363" w:rsidRPr="006820FB">
        <w:rPr>
          <w:rFonts w:ascii="Times New Roman" w:hAnsi="Times New Roman"/>
          <w:szCs w:val="24"/>
          <w:lang w:val="hr-HR"/>
        </w:rPr>
        <w:t xml:space="preserve"> </w:t>
      </w:r>
      <w:r>
        <w:rPr>
          <w:rFonts w:ascii="Times New Roman" w:hAnsi="Times New Roman"/>
          <w:szCs w:val="24"/>
          <w:lang w:val="hr-HR"/>
        </w:rPr>
        <w:t>политичке</w:t>
      </w:r>
      <w:r w:rsidR="00604363" w:rsidRPr="006820FB">
        <w:rPr>
          <w:rFonts w:ascii="Times New Roman" w:hAnsi="Times New Roman"/>
          <w:szCs w:val="24"/>
          <w:lang w:val="hr-HR"/>
        </w:rPr>
        <w:t xml:space="preserve"> </w:t>
      </w:r>
      <w:r>
        <w:rPr>
          <w:rFonts w:ascii="Times New Roman" w:hAnsi="Times New Roman"/>
          <w:szCs w:val="24"/>
          <w:lang w:val="hr-HR"/>
        </w:rPr>
        <w:t>странке</w:t>
      </w:r>
      <w:r w:rsidR="00604363" w:rsidRPr="006820FB">
        <w:rPr>
          <w:rFonts w:ascii="Times New Roman" w:hAnsi="Times New Roman"/>
          <w:szCs w:val="24"/>
          <w:lang w:val="hr-HR"/>
        </w:rPr>
        <w:t xml:space="preserve"> (8.9% </w:t>
      </w:r>
      <w:r>
        <w:rPr>
          <w:rFonts w:ascii="Times New Roman" w:hAnsi="Times New Roman"/>
          <w:szCs w:val="24"/>
          <w:lang w:val="hr-HR"/>
        </w:rPr>
        <w:t>жена</w:t>
      </w:r>
      <w:r w:rsidR="00604363" w:rsidRPr="006820FB">
        <w:rPr>
          <w:rFonts w:ascii="Times New Roman" w:hAnsi="Times New Roman"/>
          <w:szCs w:val="24"/>
          <w:lang w:val="hr-HR"/>
        </w:rPr>
        <w:t xml:space="preserve"> </w:t>
      </w:r>
      <w:r>
        <w:rPr>
          <w:rFonts w:ascii="Times New Roman" w:hAnsi="Times New Roman"/>
          <w:szCs w:val="24"/>
          <w:lang w:val="hr-HR"/>
        </w:rPr>
        <w:t>и</w:t>
      </w:r>
      <w:r w:rsidR="00604363" w:rsidRPr="006820FB">
        <w:rPr>
          <w:rFonts w:ascii="Times New Roman" w:hAnsi="Times New Roman"/>
          <w:szCs w:val="24"/>
          <w:lang w:val="hr-HR"/>
        </w:rPr>
        <w:t xml:space="preserve"> 13.7% </w:t>
      </w:r>
      <w:r>
        <w:rPr>
          <w:rFonts w:ascii="Times New Roman" w:hAnsi="Times New Roman"/>
          <w:szCs w:val="24"/>
          <w:lang w:val="hr-HR"/>
        </w:rPr>
        <w:t>мушкараца</w:t>
      </w:r>
      <w:r w:rsidR="00604363" w:rsidRPr="006820FB">
        <w:rPr>
          <w:rFonts w:ascii="Times New Roman" w:hAnsi="Times New Roman"/>
          <w:szCs w:val="24"/>
          <w:lang w:val="hr-HR"/>
        </w:rPr>
        <w:t xml:space="preserve">), </w:t>
      </w:r>
      <w:r>
        <w:rPr>
          <w:rFonts w:ascii="Times New Roman" w:hAnsi="Times New Roman"/>
          <w:szCs w:val="24"/>
          <w:lang w:val="hr-HR"/>
        </w:rPr>
        <w:t>спортских</w:t>
      </w:r>
      <w:r w:rsidR="00604363" w:rsidRPr="006820FB">
        <w:rPr>
          <w:rFonts w:ascii="Times New Roman" w:hAnsi="Times New Roman"/>
          <w:szCs w:val="24"/>
          <w:lang w:val="hr-HR"/>
        </w:rPr>
        <w:t xml:space="preserve"> </w:t>
      </w:r>
      <w:r>
        <w:rPr>
          <w:rFonts w:ascii="Times New Roman" w:hAnsi="Times New Roman"/>
          <w:szCs w:val="24"/>
          <w:lang w:val="hr-HR"/>
        </w:rPr>
        <w:t>организација</w:t>
      </w:r>
      <w:r w:rsidR="00604363" w:rsidRPr="006820FB">
        <w:rPr>
          <w:rFonts w:ascii="Times New Roman" w:hAnsi="Times New Roman"/>
          <w:szCs w:val="24"/>
          <w:lang w:val="hr-HR"/>
        </w:rPr>
        <w:t xml:space="preserve"> (10% </w:t>
      </w:r>
      <w:r>
        <w:rPr>
          <w:rFonts w:ascii="Times New Roman" w:hAnsi="Times New Roman"/>
          <w:szCs w:val="24"/>
          <w:lang w:val="hr-HR"/>
        </w:rPr>
        <w:t>жена</w:t>
      </w:r>
      <w:r w:rsidR="00604363" w:rsidRPr="006820FB">
        <w:rPr>
          <w:rFonts w:ascii="Times New Roman" w:hAnsi="Times New Roman"/>
          <w:szCs w:val="24"/>
          <w:lang w:val="hr-HR"/>
        </w:rPr>
        <w:t xml:space="preserve"> </w:t>
      </w:r>
      <w:r>
        <w:rPr>
          <w:rFonts w:ascii="Times New Roman" w:hAnsi="Times New Roman"/>
          <w:szCs w:val="24"/>
          <w:lang w:val="hr-HR"/>
        </w:rPr>
        <w:t>и</w:t>
      </w:r>
      <w:r w:rsidR="00604363" w:rsidRPr="006820FB">
        <w:rPr>
          <w:rFonts w:ascii="Times New Roman" w:hAnsi="Times New Roman"/>
          <w:szCs w:val="24"/>
          <w:lang w:val="hr-HR"/>
        </w:rPr>
        <w:t xml:space="preserve"> 22.1% </w:t>
      </w:r>
      <w:r>
        <w:rPr>
          <w:rFonts w:ascii="Times New Roman" w:hAnsi="Times New Roman"/>
          <w:szCs w:val="24"/>
          <w:lang w:val="hr-HR"/>
        </w:rPr>
        <w:t>мушкараца</w:t>
      </w:r>
      <w:r w:rsidR="00604363" w:rsidRPr="006820FB">
        <w:rPr>
          <w:rFonts w:ascii="Times New Roman" w:hAnsi="Times New Roman"/>
          <w:szCs w:val="24"/>
          <w:lang w:val="hr-HR"/>
        </w:rPr>
        <w:t>)</w:t>
      </w:r>
      <w:r w:rsidR="00752BA5" w:rsidRPr="006820FB">
        <w:rPr>
          <w:rFonts w:ascii="Times New Roman" w:hAnsi="Times New Roman"/>
          <w:szCs w:val="24"/>
          <w:lang w:val="hr-HR"/>
        </w:rPr>
        <w:t>,</w:t>
      </w:r>
      <w:r w:rsidR="00604363" w:rsidRPr="006820FB">
        <w:rPr>
          <w:rFonts w:ascii="Times New Roman" w:hAnsi="Times New Roman"/>
          <w:szCs w:val="24"/>
          <w:lang w:val="hr-HR"/>
        </w:rPr>
        <w:t xml:space="preserve"> </w:t>
      </w:r>
      <w:r>
        <w:rPr>
          <w:rFonts w:ascii="Times New Roman" w:hAnsi="Times New Roman"/>
          <w:szCs w:val="24"/>
          <w:lang w:val="hr-HR"/>
        </w:rPr>
        <w:t>те</w:t>
      </w:r>
      <w:r w:rsidR="00604363" w:rsidRPr="006820FB">
        <w:rPr>
          <w:rFonts w:ascii="Times New Roman" w:hAnsi="Times New Roman"/>
          <w:szCs w:val="24"/>
          <w:lang w:val="hr-HR"/>
        </w:rPr>
        <w:t xml:space="preserve"> </w:t>
      </w:r>
      <w:r>
        <w:rPr>
          <w:rFonts w:ascii="Times New Roman" w:hAnsi="Times New Roman"/>
          <w:szCs w:val="24"/>
          <w:lang w:val="hr-HR"/>
        </w:rPr>
        <w:t>организација</w:t>
      </w:r>
      <w:r w:rsidR="0092176F" w:rsidRPr="006820FB">
        <w:rPr>
          <w:rFonts w:ascii="Times New Roman" w:hAnsi="Times New Roman"/>
          <w:szCs w:val="24"/>
          <w:lang w:val="hr-HR"/>
        </w:rPr>
        <w:t xml:space="preserve"> </w:t>
      </w:r>
      <w:r>
        <w:rPr>
          <w:rFonts w:ascii="Times New Roman" w:hAnsi="Times New Roman"/>
          <w:szCs w:val="24"/>
          <w:lang w:val="hr-HR"/>
        </w:rPr>
        <w:t>цивилног</w:t>
      </w:r>
      <w:r w:rsidR="0092176F" w:rsidRPr="006820FB">
        <w:rPr>
          <w:rFonts w:ascii="Times New Roman" w:hAnsi="Times New Roman"/>
          <w:szCs w:val="24"/>
          <w:lang w:val="hr-HR"/>
        </w:rPr>
        <w:t xml:space="preserve"> </w:t>
      </w:r>
      <w:r>
        <w:rPr>
          <w:rFonts w:ascii="Times New Roman" w:hAnsi="Times New Roman"/>
          <w:szCs w:val="24"/>
          <w:lang w:val="hr-HR"/>
        </w:rPr>
        <w:t>друштва</w:t>
      </w:r>
      <w:r w:rsidR="0092176F" w:rsidRPr="006820FB">
        <w:rPr>
          <w:rFonts w:ascii="Times New Roman" w:hAnsi="Times New Roman"/>
          <w:szCs w:val="24"/>
          <w:lang w:val="hr-HR"/>
        </w:rPr>
        <w:t xml:space="preserve"> (12.9% </w:t>
      </w:r>
      <w:r>
        <w:rPr>
          <w:rFonts w:ascii="Times New Roman" w:hAnsi="Times New Roman"/>
          <w:szCs w:val="24"/>
          <w:lang w:val="hr-HR"/>
        </w:rPr>
        <w:t>жена</w:t>
      </w:r>
      <w:r w:rsidR="0092176F" w:rsidRPr="006820FB">
        <w:rPr>
          <w:rFonts w:ascii="Times New Roman" w:hAnsi="Times New Roman"/>
          <w:szCs w:val="24"/>
          <w:lang w:val="hr-HR"/>
        </w:rPr>
        <w:t xml:space="preserve"> </w:t>
      </w:r>
      <w:r>
        <w:rPr>
          <w:rFonts w:ascii="Times New Roman" w:hAnsi="Times New Roman"/>
          <w:szCs w:val="24"/>
          <w:lang w:val="hr-HR"/>
        </w:rPr>
        <w:t>и</w:t>
      </w:r>
      <w:r w:rsidR="00604363" w:rsidRPr="006820FB">
        <w:rPr>
          <w:rFonts w:ascii="Times New Roman" w:hAnsi="Times New Roman"/>
          <w:szCs w:val="24"/>
          <w:lang w:val="hr-HR"/>
        </w:rPr>
        <w:t xml:space="preserve"> 14.9% </w:t>
      </w:r>
      <w:r>
        <w:rPr>
          <w:rFonts w:ascii="Times New Roman" w:hAnsi="Times New Roman"/>
          <w:szCs w:val="24"/>
          <w:lang w:val="hr-HR"/>
        </w:rPr>
        <w:t>мушкараца</w:t>
      </w:r>
      <w:r w:rsidR="00604363" w:rsidRPr="006820FB">
        <w:rPr>
          <w:rFonts w:ascii="Times New Roman" w:hAnsi="Times New Roman"/>
          <w:szCs w:val="24"/>
          <w:lang w:val="hr-HR"/>
        </w:rPr>
        <w:t>).</w:t>
      </w:r>
    </w:p>
    <w:p w:rsidR="00855CD7" w:rsidRPr="00295637" w:rsidRDefault="00855CD7" w:rsidP="0086268D"/>
    <w:p w:rsidR="00356C2C" w:rsidRPr="00295637" w:rsidRDefault="00070295" w:rsidP="00081773">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I</w:t>
      </w:r>
      <w:r w:rsidR="00081773">
        <w:rPr>
          <w:rFonts w:ascii="Times New Roman" w:eastAsia="Calibri" w:hAnsi="Times New Roman"/>
          <w:szCs w:val="24"/>
          <w:lang w:val="bs-Latn-BA"/>
        </w:rPr>
        <w:t xml:space="preserve"> 2.1. </w:t>
      </w:r>
      <w:r w:rsidR="00C6214E">
        <w:rPr>
          <w:rFonts w:ascii="Times New Roman" w:eastAsia="Calibri" w:hAnsi="Times New Roman"/>
          <w:szCs w:val="24"/>
          <w:lang w:val="bs-Latn-BA"/>
        </w:rPr>
        <w:t>Интеграција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међународних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домаћих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стандарда</w:t>
      </w:r>
      <w:r w:rsidR="003C13F3">
        <w:rPr>
          <w:rFonts w:ascii="Times New Roman" w:eastAsia="Calibri" w:hAnsi="Times New Roman"/>
          <w:szCs w:val="24"/>
          <w:lang w:val="bs-Latn-BA"/>
        </w:rPr>
        <w:t xml:space="preserve"> </w:t>
      </w:r>
      <w:r w:rsidR="00C6214E">
        <w:rPr>
          <w:rFonts w:ascii="Times New Roman" w:eastAsia="Calibri" w:hAnsi="Times New Roman"/>
          <w:szCs w:val="24"/>
          <w:lang w:val="bs-Latn-BA"/>
        </w:rPr>
        <w:t>за</w:t>
      </w:r>
      <w:r w:rsidR="003C13F3">
        <w:rPr>
          <w:rFonts w:ascii="Times New Roman" w:eastAsia="Calibri" w:hAnsi="Times New Roman"/>
          <w:szCs w:val="24"/>
          <w:lang w:val="bs-Latn-BA"/>
        </w:rPr>
        <w:t xml:space="preserve"> </w:t>
      </w:r>
      <w:r w:rsidR="00C6214E">
        <w:rPr>
          <w:rFonts w:ascii="Times New Roman" w:eastAsia="Calibri" w:hAnsi="Times New Roman"/>
          <w:szCs w:val="24"/>
          <w:lang w:val="bs-Latn-BA"/>
        </w:rPr>
        <w:t>равноправност</w:t>
      </w:r>
      <w:r w:rsidR="003C13F3">
        <w:rPr>
          <w:rFonts w:ascii="Times New Roman" w:eastAsia="Calibri" w:hAnsi="Times New Roman"/>
          <w:szCs w:val="24"/>
          <w:lang w:val="bs-Latn-BA"/>
        </w:rPr>
        <w:t xml:space="preserve"> </w:t>
      </w:r>
      <w:r w:rsidR="00C6214E">
        <w:rPr>
          <w:rFonts w:ascii="Times New Roman" w:eastAsia="Calibri" w:hAnsi="Times New Roman"/>
          <w:szCs w:val="24"/>
          <w:lang w:val="bs-Latn-BA"/>
        </w:rPr>
        <w:t>полова</w:t>
      </w:r>
      <w:r w:rsidR="003C13F3">
        <w:rPr>
          <w:rFonts w:ascii="Times New Roman" w:eastAsia="Calibri" w:hAnsi="Times New Roman"/>
          <w:szCs w:val="24"/>
          <w:lang w:val="bs-Latn-BA"/>
        </w:rPr>
        <w:t xml:space="preserve">, </w:t>
      </w:r>
      <w:r w:rsidR="00C6214E">
        <w:rPr>
          <w:rFonts w:ascii="Times New Roman" w:eastAsia="Calibri" w:hAnsi="Times New Roman"/>
          <w:szCs w:val="24"/>
          <w:lang w:val="bs-Latn-BA"/>
        </w:rPr>
        <w:t>као</w:t>
      </w:r>
      <w:r w:rsidR="003C13F3">
        <w:rPr>
          <w:rFonts w:ascii="Times New Roman" w:eastAsia="Calibri" w:hAnsi="Times New Roman"/>
          <w:szCs w:val="24"/>
          <w:lang w:val="bs-Latn-BA"/>
        </w:rPr>
        <w:t xml:space="preserve"> </w:t>
      </w:r>
      <w:r w:rsidR="00C6214E">
        <w:rPr>
          <w:rFonts w:ascii="Times New Roman" w:eastAsia="Calibri" w:hAnsi="Times New Roman"/>
          <w:szCs w:val="24"/>
          <w:lang w:val="bs-Latn-BA"/>
        </w:rPr>
        <w:t>обавеза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које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директно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или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индиректно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регули</w:t>
      </w:r>
      <w:r>
        <w:rPr>
          <w:rFonts w:ascii="Times New Roman" w:eastAsia="Calibri" w:hAnsi="Times New Roman"/>
          <w:szCs w:val="24"/>
          <w:lang w:val="sr-Cyrl-BA"/>
        </w:rPr>
        <w:t>шу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равноправно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учешће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јавном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животу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укључујући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равноправно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учешће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државним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органима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свим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нивоима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организације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власти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из</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члана</w:t>
      </w:r>
      <w:r w:rsidR="00356C2C" w:rsidRPr="00295637">
        <w:rPr>
          <w:rFonts w:ascii="Times New Roman" w:eastAsia="Calibri" w:hAnsi="Times New Roman"/>
          <w:szCs w:val="24"/>
          <w:lang w:val="bs-Latn-BA"/>
        </w:rPr>
        <w:t xml:space="preserve"> 20</w:t>
      </w:r>
      <w:r w:rsidR="003C13F3">
        <w:rPr>
          <w:rFonts w:ascii="Times New Roman" w:eastAsia="Calibri" w:hAnsi="Times New Roman"/>
          <w:szCs w:val="24"/>
          <w:lang w:val="bs-Latn-BA"/>
        </w:rPr>
        <w:t>.</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став</w:t>
      </w:r>
      <w:r w:rsidR="00356C2C" w:rsidRPr="00295637">
        <w:rPr>
          <w:rFonts w:ascii="Times New Roman" w:eastAsia="Calibri" w:hAnsi="Times New Roman"/>
          <w:szCs w:val="24"/>
          <w:lang w:val="bs-Latn-BA"/>
        </w:rPr>
        <w:t xml:space="preserve"> 1</w:t>
      </w:r>
      <w:r w:rsidR="00C142CC" w:rsidRPr="00295637">
        <w:rPr>
          <w:rFonts w:ascii="Times New Roman" w:eastAsia="Calibri" w:hAnsi="Times New Roman"/>
          <w:szCs w:val="24"/>
          <w:lang w:val="bs-Latn-BA"/>
        </w:rPr>
        <w:t>)</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ЗоР</w:t>
      </w:r>
      <w:r>
        <w:rPr>
          <w:rFonts w:ascii="Times New Roman" w:eastAsia="Calibri" w:hAnsi="Times New Roman"/>
          <w:szCs w:val="24"/>
          <w:lang w:val="sr-Cyrl-BA"/>
        </w:rPr>
        <w:t>П</w:t>
      </w:r>
      <w:r w:rsidR="00356C2C" w:rsidRPr="00295637">
        <w:rPr>
          <w:rFonts w:ascii="Times New Roman" w:eastAsia="Calibri" w:hAnsi="Times New Roman"/>
          <w:szCs w:val="24"/>
          <w:lang w:val="bs-Latn-BA"/>
        </w:rPr>
        <w:t xml:space="preserve">.  </w:t>
      </w:r>
    </w:p>
    <w:p w:rsidR="00C142CC" w:rsidRPr="00295637" w:rsidRDefault="00C142CC" w:rsidP="0086268D">
      <w:pPr>
        <w:tabs>
          <w:tab w:val="left" w:pos="284"/>
          <w:tab w:val="left" w:pos="630"/>
          <w:tab w:val="left" w:pos="1080"/>
        </w:tabs>
        <w:ind w:left="1080"/>
        <w:jc w:val="both"/>
        <w:rPr>
          <w:rFonts w:ascii="Times New Roman" w:eastAsia="Calibri" w:hAnsi="Times New Roman"/>
          <w:szCs w:val="24"/>
          <w:lang w:val="bs-Latn-BA"/>
        </w:rPr>
      </w:pPr>
    </w:p>
    <w:p w:rsidR="00A92736" w:rsidRPr="00295637" w:rsidRDefault="00C6214E" w:rsidP="0086268D">
      <w:pPr>
        <w:pStyle w:val="Normal1"/>
        <w:jc w:val="both"/>
        <w:rPr>
          <w:rFonts w:ascii="Times New Roman" w:hAnsi="Times New Roman"/>
        </w:rPr>
      </w:pPr>
      <w:bookmarkStart w:id="22" w:name="_Toc193788526"/>
      <w:r>
        <w:rPr>
          <w:rFonts w:ascii="Times New Roman" w:hAnsi="Times New Roman"/>
        </w:rPr>
        <w:t>Институционални</w:t>
      </w:r>
      <w:r w:rsidR="00F7699F" w:rsidRPr="00295637">
        <w:rPr>
          <w:rFonts w:ascii="Times New Roman" w:hAnsi="Times New Roman"/>
        </w:rPr>
        <w:t xml:space="preserve"> </w:t>
      </w:r>
      <w:r>
        <w:rPr>
          <w:rFonts w:ascii="Times New Roman" w:hAnsi="Times New Roman"/>
        </w:rPr>
        <w:t>механизми</w:t>
      </w:r>
      <w:r w:rsidR="00F7699F" w:rsidRPr="00295637">
        <w:rPr>
          <w:rFonts w:ascii="Times New Roman" w:hAnsi="Times New Roman"/>
        </w:rPr>
        <w:t xml:space="preserve"> </w:t>
      </w:r>
      <w:r>
        <w:rPr>
          <w:rFonts w:ascii="Times New Roman" w:hAnsi="Times New Roman"/>
        </w:rPr>
        <w:t>за</w:t>
      </w:r>
      <w:r w:rsidR="00F7699F" w:rsidRPr="00295637">
        <w:rPr>
          <w:rFonts w:ascii="Times New Roman" w:hAnsi="Times New Roman"/>
        </w:rPr>
        <w:t xml:space="preserve"> </w:t>
      </w:r>
      <w:r>
        <w:rPr>
          <w:rFonts w:ascii="Times New Roman" w:hAnsi="Times New Roman"/>
        </w:rPr>
        <w:t>равноправност</w:t>
      </w:r>
      <w:r w:rsidR="00B322EF" w:rsidRPr="00295637">
        <w:rPr>
          <w:rFonts w:ascii="Times New Roman" w:hAnsi="Times New Roman"/>
        </w:rPr>
        <w:t xml:space="preserve"> </w:t>
      </w:r>
      <w:r>
        <w:rPr>
          <w:rFonts w:ascii="Times New Roman" w:hAnsi="Times New Roman"/>
        </w:rPr>
        <w:t>полова</w:t>
      </w:r>
      <w:r w:rsidR="00B322EF" w:rsidRPr="00295637">
        <w:rPr>
          <w:rFonts w:ascii="Times New Roman" w:hAnsi="Times New Roman"/>
        </w:rPr>
        <w:t xml:space="preserve"> </w:t>
      </w:r>
      <w:r>
        <w:rPr>
          <w:rFonts w:ascii="Times New Roman" w:hAnsi="Times New Roman"/>
        </w:rPr>
        <w:t>су</w:t>
      </w:r>
      <w:r w:rsidR="00B322EF" w:rsidRPr="00295637">
        <w:rPr>
          <w:rFonts w:ascii="Times New Roman" w:hAnsi="Times New Roman"/>
        </w:rPr>
        <w:t xml:space="preserve"> </w:t>
      </w:r>
      <w:r>
        <w:rPr>
          <w:rFonts w:ascii="Times New Roman" w:hAnsi="Times New Roman"/>
        </w:rPr>
        <w:t>кроз</w:t>
      </w:r>
      <w:r w:rsidR="00A708B8" w:rsidRPr="00295637">
        <w:rPr>
          <w:rFonts w:ascii="Times New Roman" w:hAnsi="Times New Roman"/>
        </w:rPr>
        <w:t xml:space="preserve"> </w:t>
      </w:r>
      <w:r>
        <w:rPr>
          <w:rFonts w:ascii="Times New Roman" w:hAnsi="Times New Roman"/>
        </w:rPr>
        <w:t>давање</w:t>
      </w:r>
      <w:r w:rsidR="00A708B8" w:rsidRPr="00295637">
        <w:rPr>
          <w:rFonts w:ascii="Times New Roman" w:hAnsi="Times New Roman"/>
        </w:rPr>
        <w:t xml:space="preserve"> </w:t>
      </w:r>
      <w:r>
        <w:rPr>
          <w:rFonts w:ascii="Times New Roman" w:hAnsi="Times New Roman"/>
        </w:rPr>
        <w:t>мишљења</w:t>
      </w:r>
      <w:r w:rsidR="00B322EF" w:rsidRPr="00295637">
        <w:rPr>
          <w:rFonts w:ascii="Times New Roman" w:hAnsi="Times New Roman"/>
        </w:rPr>
        <w:t xml:space="preserve"> </w:t>
      </w:r>
      <w:r>
        <w:rPr>
          <w:rFonts w:ascii="Times New Roman" w:hAnsi="Times New Roman"/>
        </w:rPr>
        <w:t>и</w:t>
      </w:r>
      <w:r w:rsidR="00B322EF" w:rsidRPr="00295637">
        <w:rPr>
          <w:rFonts w:ascii="Times New Roman" w:hAnsi="Times New Roman"/>
        </w:rPr>
        <w:t xml:space="preserve"> </w:t>
      </w:r>
      <w:r>
        <w:rPr>
          <w:rFonts w:ascii="Times New Roman" w:hAnsi="Times New Roman"/>
        </w:rPr>
        <w:t>коментара</w:t>
      </w:r>
      <w:r w:rsidR="00B322EF" w:rsidRPr="00295637">
        <w:rPr>
          <w:rFonts w:ascii="Times New Roman" w:hAnsi="Times New Roman"/>
        </w:rPr>
        <w:t xml:space="preserve"> </w:t>
      </w:r>
      <w:r>
        <w:rPr>
          <w:rFonts w:ascii="Times New Roman" w:hAnsi="Times New Roman"/>
        </w:rPr>
        <w:t>на</w:t>
      </w:r>
      <w:r w:rsidR="00B322EF" w:rsidRPr="00295637">
        <w:rPr>
          <w:rFonts w:ascii="Times New Roman" w:hAnsi="Times New Roman"/>
        </w:rPr>
        <w:t xml:space="preserve"> </w:t>
      </w:r>
      <w:r>
        <w:rPr>
          <w:rFonts w:ascii="Times New Roman" w:hAnsi="Times New Roman"/>
        </w:rPr>
        <w:t>законе</w:t>
      </w:r>
      <w:r w:rsidR="00B322EF" w:rsidRPr="00295637">
        <w:rPr>
          <w:rFonts w:ascii="Times New Roman" w:hAnsi="Times New Roman"/>
        </w:rPr>
        <w:t xml:space="preserve"> </w:t>
      </w:r>
      <w:r>
        <w:rPr>
          <w:rFonts w:ascii="Times New Roman" w:hAnsi="Times New Roman"/>
        </w:rPr>
        <w:t>и</w:t>
      </w:r>
      <w:r w:rsidR="00B322EF" w:rsidRPr="00295637">
        <w:rPr>
          <w:rFonts w:ascii="Times New Roman" w:hAnsi="Times New Roman"/>
        </w:rPr>
        <w:t xml:space="preserve"> </w:t>
      </w:r>
      <w:r>
        <w:rPr>
          <w:rFonts w:ascii="Times New Roman" w:hAnsi="Times New Roman"/>
        </w:rPr>
        <w:t>друге</w:t>
      </w:r>
      <w:r w:rsidR="00A708B8" w:rsidRPr="00295637">
        <w:rPr>
          <w:rFonts w:ascii="Times New Roman" w:hAnsi="Times New Roman"/>
        </w:rPr>
        <w:t xml:space="preserve"> </w:t>
      </w:r>
      <w:r>
        <w:rPr>
          <w:rFonts w:ascii="Times New Roman" w:hAnsi="Times New Roman"/>
        </w:rPr>
        <w:t>прописе</w:t>
      </w:r>
      <w:r w:rsidR="00A708B8" w:rsidRPr="00295637">
        <w:rPr>
          <w:rFonts w:ascii="Times New Roman" w:hAnsi="Times New Roman"/>
        </w:rPr>
        <w:t xml:space="preserve"> </w:t>
      </w:r>
      <w:r>
        <w:rPr>
          <w:rFonts w:ascii="Times New Roman" w:hAnsi="Times New Roman"/>
        </w:rPr>
        <w:t>предлагали</w:t>
      </w:r>
      <w:r w:rsidR="00A708B8" w:rsidRPr="00295637">
        <w:rPr>
          <w:rFonts w:ascii="Times New Roman" w:hAnsi="Times New Roman"/>
        </w:rPr>
        <w:t xml:space="preserve"> </w:t>
      </w:r>
      <w:r>
        <w:rPr>
          <w:rFonts w:ascii="Times New Roman" w:hAnsi="Times New Roman"/>
        </w:rPr>
        <w:t>интегри</w:t>
      </w:r>
      <w:r w:rsidR="00070295">
        <w:rPr>
          <w:rFonts w:ascii="Times New Roman" w:hAnsi="Times New Roman"/>
          <w:lang w:val="sr-Cyrl-BA"/>
        </w:rPr>
        <w:t>с</w:t>
      </w:r>
      <w:r>
        <w:rPr>
          <w:rFonts w:ascii="Times New Roman" w:hAnsi="Times New Roman"/>
        </w:rPr>
        <w:t>ање</w:t>
      </w:r>
      <w:r w:rsidR="00A708B8" w:rsidRPr="00295637">
        <w:rPr>
          <w:rFonts w:ascii="Times New Roman" w:hAnsi="Times New Roman"/>
        </w:rPr>
        <w:t xml:space="preserve"> </w:t>
      </w:r>
      <w:r>
        <w:rPr>
          <w:rFonts w:ascii="Times New Roman" w:hAnsi="Times New Roman"/>
        </w:rPr>
        <w:t>норме</w:t>
      </w:r>
      <w:r w:rsidR="00A708B8" w:rsidRPr="00295637">
        <w:rPr>
          <w:rFonts w:ascii="Times New Roman" w:hAnsi="Times New Roman"/>
        </w:rPr>
        <w:t xml:space="preserve"> </w:t>
      </w:r>
      <w:r>
        <w:rPr>
          <w:rFonts w:ascii="Times New Roman" w:hAnsi="Times New Roman"/>
        </w:rPr>
        <w:t>о</w:t>
      </w:r>
      <w:r w:rsidR="00A708B8" w:rsidRPr="00295637">
        <w:rPr>
          <w:rFonts w:ascii="Times New Roman" w:hAnsi="Times New Roman"/>
        </w:rPr>
        <w:t xml:space="preserve"> </w:t>
      </w:r>
      <w:r>
        <w:rPr>
          <w:rFonts w:ascii="Times New Roman" w:hAnsi="Times New Roman"/>
        </w:rPr>
        <w:t>равноправном</w:t>
      </w:r>
      <w:r w:rsidR="00A708B8" w:rsidRPr="00295637">
        <w:rPr>
          <w:rFonts w:ascii="Times New Roman" w:hAnsi="Times New Roman"/>
        </w:rPr>
        <w:t xml:space="preserve"> </w:t>
      </w:r>
      <w:r>
        <w:rPr>
          <w:rFonts w:ascii="Times New Roman" w:hAnsi="Times New Roman"/>
        </w:rPr>
        <w:t>учешћу</w:t>
      </w:r>
      <w:r w:rsidR="00A708B8" w:rsidRPr="00295637">
        <w:rPr>
          <w:rFonts w:ascii="Times New Roman" w:hAnsi="Times New Roman"/>
        </w:rPr>
        <w:t xml:space="preserve"> </w:t>
      </w:r>
      <w:r>
        <w:rPr>
          <w:rFonts w:ascii="Times New Roman" w:hAnsi="Times New Roman"/>
        </w:rPr>
        <w:t>мушкараца</w:t>
      </w:r>
      <w:r w:rsidR="00A708B8" w:rsidRPr="00295637">
        <w:rPr>
          <w:rFonts w:ascii="Times New Roman" w:hAnsi="Times New Roman"/>
        </w:rPr>
        <w:t xml:space="preserve"> </w:t>
      </w:r>
      <w:r>
        <w:rPr>
          <w:rFonts w:ascii="Times New Roman" w:hAnsi="Times New Roman"/>
        </w:rPr>
        <w:t>и</w:t>
      </w:r>
      <w:r w:rsidR="00A708B8" w:rsidRPr="00295637">
        <w:rPr>
          <w:rFonts w:ascii="Times New Roman" w:hAnsi="Times New Roman"/>
        </w:rPr>
        <w:t xml:space="preserve"> </w:t>
      </w:r>
      <w:r>
        <w:rPr>
          <w:rFonts w:ascii="Times New Roman" w:hAnsi="Times New Roman"/>
        </w:rPr>
        <w:t>жена</w:t>
      </w:r>
      <w:r w:rsidR="00A708B8" w:rsidRPr="00295637">
        <w:rPr>
          <w:rFonts w:ascii="Times New Roman" w:hAnsi="Times New Roman"/>
        </w:rPr>
        <w:t xml:space="preserve"> </w:t>
      </w:r>
      <w:r>
        <w:rPr>
          <w:rFonts w:ascii="Times New Roman" w:hAnsi="Times New Roman"/>
        </w:rPr>
        <w:t>у</w:t>
      </w:r>
      <w:r w:rsidR="00A708B8" w:rsidRPr="00295637">
        <w:rPr>
          <w:rFonts w:ascii="Times New Roman" w:hAnsi="Times New Roman"/>
        </w:rPr>
        <w:t xml:space="preserve"> </w:t>
      </w:r>
      <w:r>
        <w:rPr>
          <w:rFonts w:ascii="Times New Roman" w:hAnsi="Times New Roman"/>
        </w:rPr>
        <w:t>органима</w:t>
      </w:r>
      <w:r w:rsidR="00A708B8" w:rsidRPr="00295637">
        <w:rPr>
          <w:rFonts w:ascii="Times New Roman" w:hAnsi="Times New Roman"/>
        </w:rPr>
        <w:t xml:space="preserve"> </w:t>
      </w:r>
      <w:r>
        <w:rPr>
          <w:rFonts w:ascii="Times New Roman" w:hAnsi="Times New Roman"/>
        </w:rPr>
        <w:t>који</w:t>
      </w:r>
      <w:r w:rsidR="00081773">
        <w:rPr>
          <w:rFonts w:ascii="Times New Roman" w:hAnsi="Times New Roman"/>
        </w:rPr>
        <w:t xml:space="preserve"> </w:t>
      </w:r>
      <w:r>
        <w:rPr>
          <w:rFonts w:ascii="Times New Roman" w:hAnsi="Times New Roman"/>
        </w:rPr>
        <w:t>се</w:t>
      </w:r>
      <w:r w:rsidR="00A708B8" w:rsidRPr="00295637">
        <w:rPr>
          <w:rFonts w:ascii="Times New Roman" w:hAnsi="Times New Roman"/>
        </w:rPr>
        <w:t xml:space="preserve"> </w:t>
      </w:r>
      <w:r>
        <w:rPr>
          <w:rFonts w:ascii="Times New Roman" w:hAnsi="Times New Roman"/>
        </w:rPr>
        <w:t>формирају</w:t>
      </w:r>
      <w:r w:rsidR="00A708B8" w:rsidRPr="00295637">
        <w:rPr>
          <w:rFonts w:ascii="Times New Roman" w:hAnsi="Times New Roman"/>
        </w:rPr>
        <w:t xml:space="preserve"> </w:t>
      </w:r>
      <w:r>
        <w:rPr>
          <w:rFonts w:ascii="Times New Roman" w:hAnsi="Times New Roman"/>
        </w:rPr>
        <w:t>на</w:t>
      </w:r>
      <w:r w:rsidR="00A708B8" w:rsidRPr="00295637">
        <w:rPr>
          <w:rFonts w:ascii="Times New Roman" w:hAnsi="Times New Roman"/>
        </w:rPr>
        <w:t xml:space="preserve"> </w:t>
      </w:r>
      <w:r>
        <w:rPr>
          <w:rFonts w:ascii="Times New Roman" w:hAnsi="Times New Roman"/>
        </w:rPr>
        <w:t>основу</w:t>
      </w:r>
      <w:r w:rsidR="00A708B8" w:rsidRPr="00295637">
        <w:rPr>
          <w:rFonts w:ascii="Times New Roman" w:hAnsi="Times New Roman"/>
        </w:rPr>
        <w:t xml:space="preserve"> </w:t>
      </w:r>
      <w:r>
        <w:rPr>
          <w:rFonts w:ascii="Times New Roman" w:hAnsi="Times New Roman"/>
        </w:rPr>
        <w:t>закона</w:t>
      </w:r>
      <w:r w:rsidR="00A708B8" w:rsidRPr="00295637">
        <w:rPr>
          <w:rFonts w:ascii="Times New Roman" w:hAnsi="Times New Roman"/>
        </w:rPr>
        <w:t xml:space="preserve"> </w:t>
      </w:r>
      <w:r>
        <w:rPr>
          <w:rFonts w:ascii="Times New Roman" w:hAnsi="Times New Roman"/>
        </w:rPr>
        <w:t>или</w:t>
      </w:r>
      <w:r w:rsidR="00A708B8" w:rsidRPr="00295637">
        <w:rPr>
          <w:rFonts w:ascii="Times New Roman" w:hAnsi="Times New Roman"/>
        </w:rPr>
        <w:t xml:space="preserve"> </w:t>
      </w:r>
      <w:r>
        <w:rPr>
          <w:rFonts w:ascii="Times New Roman" w:hAnsi="Times New Roman"/>
        </w:rPr>
        <w:t>другог</w:t>
      </w:r>
      <w:r w:rsidR="00A708B8" w:rsidRPr="00295637">
        <w:rPr>
          <w:rFonts w:ascii="Times New Roman" w:hAnsi="Times New Roman"/>
        </w:rPr>
        <w:t xml:space="preserve"> </w:t>
      </w:r>
      <w:r>
        <w:rPr>
          <w:rFonts w:ascii="Times New Roman" w:hAnsi="Times New Roman"/>
        </w:rPr>
        <w:t>прописа</w:t>
      </w:r>
      <w:r w:rsidR="00A708B8" w:rsidRPr="00295637">
        <w:rPr>
          <w:rFonts w:ascii="Times New Roman" w:hAnsi="Times New Roman"/>
        </w:rPr>
        <w:t xml:space="preserve">, </w:t>
      </w:r>
      <w:r>
        <w:rPr>
          <w:rFonts w:ascii="Times New Roman" w:hAnsi="Times New Roman"/>
        </w:rPr>
        <w:t>у</w:t>
      </w:r>
      <w:r w:rsidR="00081773">
        <w:rPr>
          <w:rFonts w:ascii="Times New Roman" w:hAnsi="Times New Roman"/>
        </w:rPr>
        <w:t xml:space="preserve"> </w:t>
      </w:r>
      <w:r>
        <w:rPr>
          <w:rFonts w:ascii="Times New Roman" w:hAnsi="Times New Roman"/>
        </w:rPr>
        <w:t>складу</w:t>
      </w:r>
      <w:r w:rsidR="00081773">
        <w:rPr>
          <w:rFonts w:ascii="Times New Roman" w:hAnsi="Times New Roman"/>
        </w:rPr>
        <w:t xml:space="preserve"> </w:t>
      </w:r>
      <w:r>
        <w:rPr>
          <w:rFonts w:ascii="Times New Roman" w:hAnsi="Times New Roman"/>
        </w:rPr>
        <w:t>са</w:t>
      </w:r>
      <w:r w:rsidR="00A708B8" w:rsidRPr="00295637">
        <w:rPr>
          <w:rFonts w:ascii="Times New Roman" w:hAnsi="Times New Roman"/>
        </w:rPr>
        <w:t xml:space="preserve"> </w:t>
      </w:r>
      <w:r>
        <w:rPr>
          <w:rFonts w:ascii="Times New Roman" w:hAnsi="Times New Roman"/>
        </w:rPr>
        <w:t>чланом</w:t>
      </w:r>
      <w:r w:rsidR="00A708B8" w:rsidRPr="00295637">
        <w:rPr>
          <w:rFonts w:ascii="Times New Roman" w:hAnsi="Times New Roman"/>
        </w:rPr>
        <w:t xml:space="preserve"> 20. </w:t>
      </w:r>
      <w:r>
        <w:rPr>
          <w:rFonts w:ascii="Times New Roman" w:hAnsi="Times New Roman"/>
        </w:rPr>
        <w:t>ЗоР</w:t>
      </w:r>
      <w:r w:rsidR="00070295">
        <w:rPr>
          <w:rFonts w:ascii="Times New Roman" w:hAnsi="Times New Roman"/>
          <w:lang w:val="sr-Cyrl-BA"/>
        </w:rPr>
        <w:t>П</w:t>
      </w:r>
      <w:r w:rsidR="009E54A2" w:rsidRPr="00295637">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sidR="00A708B8" w:rsidRPr="00295637">
        <w:rPr>
          <w:rFonts w:ascii="Times New Roman" w:hAnsi="Times New Roman"/>
        </w:rPr>
        <w:t xml:space="preserve">. </w:t>
      </w:r>
      <w:bookmarkEnd w:id="22"/>
    </w:p>
    <w:p w:rsidR="00852446" w:rsidRPr="00295637" w:rsidRDefault="00852446" w:rsidP="0086268D">
      <w:pPr>
        <w:pStyle w:val="Normal1"/>
        <w:jc w:val="both"/>
        <w:rPr>
          <w:rFonts w:ascii="Times New Roman" w:hAnsi="Times New Roman"/>
        </w:rPr>
      </w:pPr>
    </w:p>
    <w:p w:rsidR="009524C3" w:rsidRDefault="00C6214E" w:rsidP="009524C3">
      <w:pPr>
        <w:pStyle w:val="Normal1"/>
        <w:jc w:val="both"/>
        <w:rPr>
          <w:rFonts w:ascii="Times New Roman" w:hAnsi="Times New Roman"/>
        </w:rPr>
      </w:pPr>
      <w:r>
        <w:rPr>
          <w:rFonts w:ascii="Times New Roman" w:hAnsi="Times New Roman"/>
        </w:rPr>
        <w:t>АР</w:t>
      </w:r>
      <w:r w:rsidR="00070295">
        <w:rPr>
          <w:rFonts w:ascii="Times New Roman" w:hAnsi="Times New Roman"/>
          <w:lang w:val="sr-Cyrl-BA"/>
        </w:rPr>
        <w:t>П</w:t>
      </w:r>
      <w:r w:rsidR="003C13F3">
        <w:rPr>
          <w:rFonts w:ascii="Times New Roman" w:hAnsi="Times New Roman"/>
        </w:rPr>
        <w:t xml:space="preserve"> </w:t>
      </w:r>
      <w:r>
        <w:rPr>
          <w:rFonts w:ascii="Times New Roman" w:hAnsi="Times New Roman"/>
        </w:rPr>
        <w:t>БиХ</w:t>
      </w:r>
      <w:r w:rsidR="003C13F3">
        <w:rPr>
          <w:rFonts w:ascii="Times New Roman" w:hAnsi="Times New Roman"/>
        </w:rPr>
        <w:t xml:space="preserve"> </w:t>
      </w:r>
      <w:r>
        <w:rPr>
          <w:rFonts w:ascii="Times New Roman" w:hAnsi="Times New Roman"/>
        </w:rPr>
        <w:t>МЉПИ</w:t>
      </w:r>
      <w:r w:rsidR="003C13F3">
        <w:rPr>
          <w:rFonts w:ascii="Times New Roman" w:hAnsi="Times New Roman"/>
        </w:rPr>
        <w:t xml:space="preserve"> </w:t>
      </w:r>
      <w:r>
        <w:rPr>
          <w:rFonts w:ascii="Times New Roman" w:hAnsi="Times New Roman"/>
        </w:rPr>
        <w:t>БиХ</w:t>
      </w:r>
      <w:r w:rsidR="009524C3" w:rsidRPr="00295637">
        <w:rPr>
          <w:rFonts w:ascii="Times New Roman" w:hAnsi="Times New Roman"/>
        </w:rPr>
        <w:t xml:space="preserve"> </w:t>
      </w:r>
      <w:r>
        <w:rPr>
          <w:rFonts w:ascii="Times New Roman" w:hAnsi="Times New Roman"/>
        </w:rPr>
        <w:t>је</w:t>
      </w:r>
      <w:r w:rsidR="003C13F3" w:rsidRPr="00295637">
        <w:rPr>
          <w:rFonts w:ascii="Times New Roman" w:hAnsi="Times New Roman"/>
        </w:rPr>
        <w:t xml:space="preserve"> </w:t>
      </w:r>
      <w:r w:rsidR="008A65D0">
        <w:rPr>
          <w:rFonts w:ascii="Times New Roman" w:hAnsi="Times New Roman"/>
        </w:rPr>
        <w:t>учествовала</w:t>
      </w:r>
      <w:r w:rsidR="008A65D0" w:rsidRPr="00295637">
        <w:rPr>
          <w:rFonts w:ascii="Times New Roman" w:hAnsi="Times New Roman"/>
        </w:rPr>
        <w:t xml:space="preserve"> </w:t>
      </w:r>
      <w:r>
        <w:rPr>
          <w:rFonts w:ascii="Times New Roman" w:hAnsi="Times New Roman"/>
        </w:rPr>
        <w:t>у</w:t>
      </w:r>
      <w:r w:rsidR="009524C3" w:rsidRPr="00295637">
        <w:rPr>
          <w:rFonts w:ascii="Times New Roman" w:hAnsi="Times New Roman"/>
        </w:rPr>
        <w:t xml:space="preserve"> </w:t>
      </w:r>
      <w:r>
        <w:rPr>
          <w:rFonts w:ascii="Times New Roman" w:hAnsi="Times New Roman"/>
        </w:rPr>
        <w:t>изради</w:t>
      </w:r>
      <w:r w:rsidR="009524C3" w:rsidRPr="00295637">
        <w:rPr>
          <w:rFonts w:ascii="Times New Roman" w:hAnsi="Times New Roman"/>
        </w:rPr>
        <w:t xml:space="preserve"> </w:t>
      </w:r>
      <w:r>
        <w:rPr>
          <w:rFonts w:ascii="Times New Roman" w:hAnsi="Times New Roman"/>
        </w:rPr>
        <w:t>водича</w:t>
      </w:r>
      <w:r w:rsidR="009524C3" w:rsidRPr="00295637">
        <w:rPr>
          <w:rFonts w:ascii="Times New Roman" w:hAnsi="Times New Roman"/>
        </w:rPr>
        <w:t xml:space="preserve"> </w:t>
      </w:r>
      <w:r>
        <w:rPr>
          <w:rFonts w:ascii="Times New Roman" w:hAnsi="Times New Roman"/>
        </w:rPr>
        <w:t>за</w:t>
      </w:r>
      <w:r w:rsidR="009524C3" w:rsidRPr="00295637">
        <w:rPr>
          <w:rFonts w:ascii="Times New Roman" w:hAnsi="Times New Roman"/>
        </w:rPr>
        <w:t xml:space="preserve"> </w:t>
      </w:r>
      <w:r>
        <w:rPr>
          <w:rFonts w:ascii="Times New Roman" w:hAnsi="Times New Roman"/>
        </w:rPr>
        <w:t>жене</w:t>
      </w:r>
      <w:r w:rsidR="009524C3" w:rsidRPr="00295637">
        <w:rPr>
          <w:rFonts w:ascii="Times New Roman" w:hAnsi="Times New Roman"/>
        </w:rPr>
        <w:t xml:space="preserve"> </w:t>
      </w:r>
      <w:r>
        <w:rPr>
          <w:rFonts w:ascii="Times New Roman" w:hAnsi="Times New Roman"/>
        </w:rPr>
        <w:t>и</w:t>
      </w:r>
      <w:r w:rsidR="009524C3" w:rsidRPr="00295637">
        <w:rPr>
          <w:rFonts w:ascii="Times New Roman" w:hAnsi="Times New Roman"/>
        </w:rPr>
        <w:t xml:space="preserve"> </w:t>
      </w:r>
      <w:r>
        <w:rPr>
          <w:rFonts w:ascii="Times New Roman" w:hAnsi="Times New Roman"/>
        </w:rPr>
        <w:t>мушкарце</w:t>
      </w:r>
      <w:r w:rsidR="009524C3" w:rsidRPr="00295637">
        <w:rPr>
          <w:rFonts w:ascii="Times New Roman" w:hAnsi="Times New Roman"/>
        </w:rPr>
        <w:t xml:space="preserve"> </w:t>
      </w:r>
      <w:r>
        <w:rPr>
          <w:rFonts w:ascii="Times New Roman" w:hAnsi="Times New Roman"/>
        </w:rPr>
        <w:t>у</w:t>
      </w:r>
      <w:r w:rsidR="009524C3" w:rsidRPr="00295637">
        <w:rPr>
          <w:rFonts w:ascii="Times New Roman" w:hAnsi="Times New Roman"/>
        </w:rPr>
        <w:t xml:space="preserve"> </w:t>
      </w:r>
      <w:r>
        <w:rPr>
          <w:rFonts w:ascii="Times New Roman" w:hAnsi="Times New Roman"/>
        </w:rPr>
        <w:t>локалној</w:t>
      </w:r>
      <w:r w:rsidR="009524C3" w:rsidRPr="00295637">
        <w:rPr>
          <w:rFonts w:ascii="Times New Roman" w:hAnsi="Times New Roman"/>
        </w:rPr>
        <w:t xml:space="preserve"> </w:t>
      </w:r>
      <w:r>
        <w:rPr>
          <w:rFonts w:ascii="Times New Roman" w:hAnsi="Times New Roman"/>
        </w:rPr>
        <w:t>политици</w:t>
      </w:r>
      <w:r w:rsidR="009524C3" w:rsidRPr="00295637">
        <w:rPr>
          <w:rFonts w:ascii="Times New Roman" w:hAnsi="Times New Roman"/>
        </w:rPr>
        <w:t xml:space="preserve"> „</w:t>
      </w:r>
      <w:r>
        <w:rPr>
          <w:rFonts w:ascii="Times New Roman" w:hAnsi="Times New Roman"/>
        </w:rPr>
        <w:t>Спречавање</w:t>
      </w:r>
      <w:r w:rsidR="009524C3" w:rsidRPr="00295637">
        <w:rPr>
          <w:rFonts w:ascii="Times New Roman" w:hAnsi="Times New Roman"/>
        </w:rPr>
        <w:t xml:space="preserve"> </w:t>
      </w:r>
      <w:r>
        <w:rPr>
          <w:rFonts w:ascii="Times New Roman" w:hAnsi="Times New Roman"/>
        </w:rPr>
        <w:t>и</w:t>
      </w:r>
      <w:r w:rsidR="009524C3" w:rsidRPr="00295637">
        <w:rPr>
          <w:rFonts w:ascii="Times New Roman" w:hAnsi="Times New Roman"/>
        </w:rPr>
        <w:t xml:space="preserve"> </w:t>
      </w:r>
      <w:r>
        <w:rPr>
          <w:rFonts w:ascii="Times New Roman" w:hAnsi="Times New Roman"/>
        </w:rPr>
        <w:t>борба</w:t>
      </w:r>
      <w:r w:rsidR="009524C3" w:rsidRPr="00295637">
        <w:rPr>
          <w:rFonts w:ascii="Times New Roman" w:hAnsi="Times New Roman"/>
        </w:rPr>
        <w:t xml:space="preserve"> </w:t>
      </w:r>
      <w:r>
        <w:rPr>
          <w:rFonts w:ascii="Times New Roman" w:hAnsi="Times New Roman"/>
        </w:rPr>
        <w:t>против</w:t>
      </w:r>
      <w:r w:rsidR="009524C3" w:rsidRPr="00295637">
        <w:rPr>
          <w:rFonts w:ascii="Times New Roman" w:hAnsi="Times New Roman"/>
        </w:rPr>
        <w:t xml:space="preserve"> </w:t>
      </w:r>
      <w:r>
        <w:rPr>
          <w:rFonts w:ascii="Times New Roman" w:hAnsi="Times New Roman"/>
        </w:rPr>
        <w:t>сексизма</w:t>
      </w:r>
      <w:r w:rsidR="009524C3" w:rsidRPr="00295637">
        <w:rPr>
          <w:rFonts w:ascii="Times New Roman" w:hAnsi="Times New Roman"/>
        </w:rPr>
        <w:t xml:space="preserve"> </w:t>
      </w:r>
      <w:r>
        <w:rPr>
          <w:rFonts w:ascii="Times New Roman" w:hAnsi="Times New Roman"/>
        </w:rPr>
        <w:t>на</w:t>
      </w:r>
      <w:r w:rsidR="009524C3" w:rsidRPr="00295637">
        <w:rPr>
          <w:rFonts w:ascii="Times New Roman" w:hAnsi="Times New Roman"/>
        </w:rPr>
        <w:t xml:space="preserve"> </w:t>
      </w:r>
      <w:r>
        <w:rPr>
          <w:rFonts w:ascii="Times New Roman" w:hAnsi="Times New Roman"/>
        </w:rPr>
        <w:t>локалном</w:t>
      </w:r>
      <w:r w:rsidR="009524C3" w:rsidRPr="00295637">
        <w:rPr>
          <w:rFonts w:ascii="Times New Roman" w:hAnsi="Times New Roman"/>
        </w:rPr>
        <w:t xml:space="preserve"> </w:t>
      </w:r>
      <w:r>
        <w:rPr>
          <w:rFonts w:ascii="Times New Roman" w:hAnsi="Times New Roman"/>
        </w:rPr>
        <w:t>нивоу</w:t>
      </w:r>
      <w:r w:rsidR="009524C3" w:rsidRPr="00295637">
        <w:rPr>
          <w:rFonts w:ascii="Times New Roman" w:hAnsi="Times New Roman"/>
        </w:rPr>
        <w:t xml:space="preserve"> </w:t>
      </w:r>
      <w:r>
        <w:rPr>
          <w:rFonts w:ascii="Times New Roman" w:hAnsi="Times New Roman"/>
        </w:rPr>
        <w:t>у</w:t>
      </w:r>
      <w:r w:rsidR="009524C3" w:rsidRPr="00295637">
        <w:rPr>
          <w:rFonts w:ascii="Times New Roman" w:hAnsi="Times New Roman"/>
        </w:rPr>
        <w:t xml:space="preserve"> </w:t>
      </w:r>
      <w:r>
        <w:rPr>
          <w:rFonts w:ascii="Times New Roman" w:hAnsi="Times New Roman"/>
        </w:rPr>
        <w:t>Босни</w:t>
      </w:r>
      <w:r w:rsidR="009524C3" w:rsidRPr="00295637">
        <w:rPr>
          <w:rFonts w:ascii="Times New Roman" w:hAnsi="Times New Roman"/>
        </w:rPr>
        <w:t xml:space="preserve"> </w:t>
      </w:r>
      <w:r>
        <w:rPr>
          <w:rFonts w:ascii="Times New Roman" w:hAnsi="Times New Roman"/>
        </w:rPr>
        <w:t>и</w:t>
      </w:r>
      <w:r w:rsidR="009524C3" w:rsidRPr="00295637">
        <w:rPr>
          <w:rFonts w:ascii="Times New Roman" w:hAnsi="Times New Roman"/>
        </w:rPr>
        <w:t xml:space="preserve"> </w:t>
      </w:r>
      <w:r>
        <w:rPr>
          <w:rFonts w:ascii="Times New Roman" w:hAnsi="Times New Roman"/>
        </w:rPr>
        <w:t>Херцеговини</w:t>
      </w:r>
      <w:r w:rsidR="009524C3" w:rsidRPr="00295637">
        <w:rPr>
          <w:rFonts w:ascii="Times New Roman" w:hAnsi="Times New Roman"/>
        </w:rPr>
        <w:t xml:space="preserve">“ </w:t>
      </w:r>
      <w:r>
        <w:rPr>
          <w:rFonts w:ascii="Times New Roman" w:hAnsi="Times New Roman"/>
        </w:rPr>
        <w:t>који</w:t>
      </w:r>
      <w:r w:rsidR="009524C3" w:rsidRPr="00295637">
        <w:rPr>
          <w:rFonts w:ascii="Times New Roman" w:hAnsi="Times New Roman"/>
        </w:rPr>
        <w:t xml:space="preserve"> </w:t>
      </w:r>
      <w:r>
        <w:rPr>
          <w:rFonts w:ascii="Times New Roman" w:hAnsi="Times New Roman"/>
        </w:rPr>
        <w:t>је</w:t>
      </w:r>
      <w:r w:rsidR="009524C3" w:rsidRPr="00295637">
        <w:rPr>
          <w:rFonts w:ascii="Times New Roman" w:hAnsi="Times New Roman"/>
        </w:rPr>
        <w:t xml:space="preserve"> </w:t>
      </w:r>
      <w:r>
        <w:rPr>
          <w:rFonts w:ascii="Times New Roman" w:hAnsi="Times New Roman"/>
        </w:rPr>
        <w:t>јавно</w:t>
      </w:r>
      <w:r w:rsidR="009524C3" w:rsidRPr="00295637">
        <w:rPr>
          <w:rFonts w:ascii="Times New Roman" w:hAnsi="Times New Roman"/>
        </w:rPr>
        <w:t xml:space="preserve"> </w:t>
      </w:r>
      <w:r>
        <w:rPr>
          <w:rFonts w:ascii="Times New Roman" w:hAnsi="Times New Roman"/>
        </w:rPr>
        <w:t>промови</w:t>
      </w:r>
      <w:r w:rsidR="00070295">
        <w:rPr>
          <w:rFonts w:ascii="Times New Roman" w:hAnsi="Times New Roman"/>
          <w:lang w:val="sr-Cyrl-BA"/>
        </w:rPr>
        <w:t>с</w:t>
      </w:r>
      <w:r>
        <w:rPr>
          <w:rFonts w:ascii="Times New Roman" w:hAnsi="Times New Roman"/>
        </w:rPr>
        <w:t>ан</w:t>
      </w:r>
      <w:r w:rsidR="009524C3" w:rsidRPr="00295637">
        <w:rPr>
          <w:rFonts w:ascii="Times New Roman" w:hAnsi="Times New Roman"/>
        </w:rPr>
        <w:t xml:space="preserve"> </w:t>
      </w:r>
      <w:r>
        <w:rPr>
          <w:rFonts w:ascii="Times New Roman" w:hAnsi="Times New Roman"/>
        </w:rPr>
        <w:t>у</w:t>
      </w:r>
      <w:r w:rsidR="009524C3" w:rsidRPr="00295637">
        <w:rPr>
          <w:rFonts w:ascii="Times New Roman" w:hAnsi="Times New Roman"/>
        </w:rPr>
        <w:t xml:space="preserve"> </w:t>
      </w:r>
      <w:r>
        <w:rPr>
          <w:rFonts w:ascii="Times New Roman" w:hAnsi="Times New Roman"/>
        </w:rPr>
        <w:t>јануару</w:t>
      </w:r>
      <w:r w:rsidR="009524C3" w:rsidRPr="00295637">
        <w:rPr>
          <w:rFonts w:ascii="Times New Roman" w:hAnsi="Times New Roman"/>
        </w:rPr>
        <w:t xml:space="preserve"> 2024. </w:t>
      </w:r>
      <w:r>
        <w:rPr>
          <w:rFonts w:ascii="Times New Roman" w:hAnsi="Times New Roman"/>
        </w:rPr>
        <w:t>Реализ</w:t>
      </w:r>
      <w:r w:rsidR="00070295">
        <w:rPr>
          <w:rFonts w:ascii="Times New Roman" w:hAnsi="Times New Roman"/>
          <w:lang w:val="sr-Cyrl-BA"/>
        </w:rPr>
        <w:t>ован</w:t>
      </w:r>
      <w:r w:rsidR="009524C3" w:rsidRPr="00295637">
        <w:rPr>
          <w:rFonts w:ascii="Times New Roman" w:hAnsi="Times New Roman"/>
        </w:rPr>
        <w:t xml:space="preserve"> </w:t>
      </w:r>
      <w:r>
        <w:rPr>
          <w:rFonts w:ascii="Times New Roman" w:hAnsi="Times New Roman"/>
        </w:rPr>
        <w:t>уз</w:t>
      </w:r>
      <w:r w:rsidR="009524C3" w:rsidRPr="00295637">
        <w:rPr>
          <w:rFonts w:ascii="Times New Roman" w:hAnsi="Times New Roman"/>
        </w:rPr>
        <w:t xml:space="preserve"> </w:t>
      </w:r>
      <w:r>
        <w:rPr>
          <w:rFonts w:ascii="Times New Roman" w:hAnsi="Times New Roman"/>
        </w:rPr>
        <w:t>подршку</w:t>
      </w:r>
      <w:r w:rsidR="009524C3" w:rsidRPr="00295637">
        <w:rPr>
          <w:rFonts w:ascii="Times New Roman" w:hAnsi="Times New Roman"/>
        </w:rPr>
        <w:t xml:space="preserve"> </w:t>
      </w:r>
      <w:r w:rsidR="00070295">
        <w:rPr>
          <w:rFonts w:ascii="Times New Roman" w:hAnsi="Times New Roman"/>
          <w:lang w:val="sr-Cyrl-BA"/>
        </w:rPr>
        <w:t>Савјета</w:t>
      </w:r>
      <w:r w:rsidR="009524C3" w:rsidRPr="00295637">
        <w:rPr>
          <w:rFonts w:ascii="Times New Roman" w:hAnsi="Times New Roman"/>
        </w:rPr>
        <w:t xml:space="preserve"> </w:t>
      </w:r>
      <w:r>
        <w:rPr>
          <w:rFonts w:ascii="Times New Roman" w:hAnsi="Times New Roman"/>
        </w:rPr>
        <w:t>Европе</w:t>
      </w:r>
      <w:r w:rsidR="009524C3" w:rsidRPr="00295637">
        <w:rPr>
          <w:rFonts w:ascii="Times New Roman" w:hAnsi="Times New Roman"/>
        </w:rPr>
        <w:t xml:space="preserve">, </w:t>
      </w:r>
      <w:r>
        <w:rPr>
          <w:rFonts w:ascii="Times New Roman" w:hAnsi="Times New Roman"/>
        </w:rPr>
        <w:t>водич</w:t>
      </w:r>
      <w:r w:rsidR="009524C3" w:rsidRPr="00295637">
        <w:rPr>
          <w:rFonts w:ascii="Times New Roman" w:hAnsi="Times New Roman"/>
        </w:rPr>
        <w:t xml:space="preserve"> </w:t>
      </w:r>
      <w:r>
        <w:rPr>
          <w:rFonts w:ascii="Times New Roman" w:hAnsi="Times New Roman"/>
        </w:rPr>
        <w:t>пружа</w:t>
      </w:r>
      <w:r w:rsidR="009524C3" w:rsidRPr="00295637">
        <w:rPr>
          <w:rFonts w:ascii="Times New Roman" w:hAnsi="Times New Roman"/>
        </w:rPr>
        <w:t xml:space="preserve"> </w:t>
      </w:r>
      <w:r>
        <w:rPr>
          <w:rFonts w:ascii="Times New Roman" w:hAnsi="Times New Roman"/>
        </w:rPr>
        <w:t>практичне</w:t>
      </w:r>
      <w:r w:rsidR="009524C3" w:rsidRPr="00295637">
        <w:rPr>
          <w:rFonts w:ascii="Times New Roman" w:hAnsi="Times New Roman"/>
        </w:rPr>
        <w:t xml:space="preserve"> </w:t>
      </w:r>
      <w:r>
        <w:rPr>
          <w:rFonts w:ascii="Times New Roman" w:hAnsi="Times New Roman"/>
        </w:rPr>
        <w:t>савјете</w:t>
      </w:r>
      <w:r w:rsidR="009524C3" w:rsidRPr="00295637">
        <w:rPr>
          <w:rFonts w:ascii="Times New Roman" w:hAnsi="Times New Roman"/>
        </w:rPr>
        <w:t xml:space="preserve">, </w:t>
      </w:r>
      <w:r>
        <w:rPr>
          <w:rFonts w:ascii="Times New Roman" w:hAnsi="Times New Roman"/>
        </w:rPr>
        <w:t>како</w:t>
      </w:r>
      <w:r w:rsidR="009524C3" w:rsidRPr="00295637">
        <w:rPr>
          <w:rFonts w:ascii="Times New Roman" w:hAnsi="Times New Roman"/>
        </w:rPr>
        <w:t xml:space="preserve"> </w:t>
      </w:r>
      <w:r>
        <w:rPr>
          <w:rFonts w:ascii="Times New Roman" w:hAnsi="Times New Roman"/>
        </w:rPr>
        <w:t>локалним</w:t>
      </w:r>
      <w:r w:rsidR="009524C3" w:rsidRPr="00295637">
        <w:rPr>
          <w:rFonts w:ascii="Times New Roman" w:hAnsi="Times New Roman"/>
        </w:rPr>
        <w:t xml:space="preserve"> </w:t>
      </w:r>
      <w:r>
        <w:rPr>
          <w:rFonts w:ascii="Times New Roman" w:hAnsi="Times New Roman"/>
        </w:rPr>
        <w:t>властима</w:t>
      </w:r>
      <w:r w:rsidR="009524C3" w:rsidRPr="00295637">
        <w:rPr>
          <w:rFonts w:ascii="Times New Roman" w:hAnsi="Times New Roman"/>
        </w:rPr>
        <w:t xml:space="preserve">, </w:t>
      </w:r>
      <w:r>
        <w:rPr>
          <w:rFonts w:ascii="Times New Roman" w:hAnsi="Times New Roman"/>
        </w:rPr>
        <w:t>тако</w:t>
      </w:r>
      <w:r w:rsidR="009524C3" w:rsidRPr="00295637">
        <w:rPr>
          <w:rFonts w:ascii="Times New Roman" w:hAnsi="Times New Roman"/>
        </w:rPr>
        <w:t xml:space="preserve"> </w:t>
      </w:r>
      <w:r>
        <w:rPr>
          <w:rFonts w:ascii="Times New Roman" w:hAnsi="Times New Roman"/>
        </w:rPr>
        <w:t>и</w:t>
      </w:r>
      <w:r w:rsidR="009524C3" w:rsidRPr="00295637">
        <w:rPr>
          <w:rFonts w:ascii="Times New Roman" w:hAnsi="Times New Roman"/>
        </w:rPr>
        <w:t xml:space="preserve"> </w:t>
      </w:r>
      <w:r>
        <w:rPr>
          <w:rFonts w:ascii="Times New Roman" w:hAnsi="Times New Roman"/>
        </w:rPr>
        <w:t>асоцијацијама</w:t>
      </w:r>
      <w:r w:rsidR="009524C3" w:rsidRPr="00295637">
        <w:rPr>
          <w:rFonts w:ascii="Times New Roman" w:hAnsi="Times New Roman"/>
        </w:rPr>
        <w:t xml:space="preserve"> </w:t>
      </w:r>
      <w:r>
        <w:rPr>
          <w:rFonts w:ascii="Times New Roman" w:hAnsi="Times New Roman"/>
        </w:rPr>
        <w:t>локалних</w:t>
      </w:r>
      <w:r w:rsidR="009524C3" w:rsidRPr="00295637">
        <w:rPr>
          <w:rFonts w:ascii="Times New Roman" w:hAnsi="Times New Roman"/>
        </w:rPr>
        <w:t xml:space="preserve"> </w:t>
      </w:r>
      <w:r>
        <w:rPr>
          <w:rFonts w:ascii="Times New Roman" w:hAnsi="Times New Roman"/>
        </w:rPr>
        <w:t>и</w:t>
      </w:r>
      <w:r w:rsidR="009524C3" w:rsidRPr="00295637">
        <w:rPr>
          <w:rFonts w:ascii="Times New Roman" w:hAnsi="Times New Roman"/>
        </w:rPr>
        <w:t xml:space="preserve"> </w:t>
      </w:r>
      <w:r>
        <w:rPr>
          <w:rFonts w:ascii="Times New Roman" w:hAnsi="Times New Roman"/>
        </w:rPr>
        <w:t>регионалних</w:t>
      </w:r>
      <w:r w:rsidR="009524C3" w:rsidRPr="00295637">
        <w:rPr>
          <w:rFonts w:ascii="Times New Roman" w:hAnsi="Times New Roman"/>
        </w:rPr>
        <w:t xml:space="preserve"> </w:t>
      </w:r>
      <w:r>
        <w:rPr>
          <w:rFonts w:ascii="Times New Roman" w:hAnsi="Times New Roman"/>
        </w:rPr>
        <w:t>власти</w:t>
      </w:r>
      <w:r w:rsidR="009524C3" w:rsidRPr="00295637">
        <w:rPr>
          <w:rFonts w:ascii="Times New Roman" w:hAnsi="Times New Roman"/>
        </w:rPr>
        <w:t xml:space="preserve">, </w:t>
      </w:r>
      <w:r>
        <w:rPr>
          <w:rFonts w:ascii="Times New Roman" w:hAnsi="Times New Roman"/>
        </w:rPr>
        <w:t>те</w:t>
      </w:r>
      <w:r w:rsidR="009524C3" w:rsidRPr="00295637">
        <w:rPr>
          <w:rFonts w:ascii="Times New Roman" w:hAnsi="Times New Roman"/>
        </w:rPr>
        <w:t xml:space="preserve"> </w:t>
      </w:r>
      <w:r>
        <w:rPr>
          <w:rFonts w:ascii="Times New Roman" w:hAnsi="Times New Roman"/>
        </w:rPr>
        <w:t>лицима</w:t>
      </w:r>
      <w:r w:rsidR="009524C3" w:rsidRPr="00295637">
        <w:rPr>
          <w:rFonts w:ascii="Times New Roman" w:hAnsi="Times New Roman"/>
        </w:rPr>
        <w:t xml:space="preserve"> </w:t>
      </w:r>
      <w:r>
        <w:rPr>
          <w:rFonts w:ascii="Times New Roman" w:hAnsi="Times New Roman"/>
        </w:rPr>
        <w:t>која</w:t>
      </w:r>
      <w:r w:rsidR="009524C3" w:rsidRPr="00295637">
        <w:rPr>
          <w:rFonts w:ascii="Times New Roman" w:hAnsi="Times New Roman"/>
        </w:rPr>
        <w:t xml:space="preserve"> </w:t>
      </w:r>
      <w:r>
        <w:rPr>
          <w:rFonts w:ascii="Times New Roman" w:hAnsi="Times New Roman"/>
        </w:rPr>
        <w:t>би</w:t>
      </w:r>
      <w:r w:rsidR="009524C3" w:rsidRPr="00295637">
        <w:rPr>
          <w:rFonts w:ascii="Times New Roman" w:hAnsi="Times New Roman"/>
        </w:rPr>
        <w:t xml:space="preserve"> </w:t>
      </w:r>
      <w:r>
        <w:rPr>
          <w:rFonts w:ascii="Times New Roman" w:hAnsi="Times New Roman"/>
        </w:rPr>
        <w:t>се</w:t>
      </w:r>
      <w:r w:rsidR="009524C3" w:rsidRPr="00295637">
        <w:rPr>
          <w:rFonts w:ascii="Times New Roman" w:hAnsi="Times New Roman"/>
        </w:rPr>
        <w:t xml:space="preserve"> </w:t>
      </w:r>
      <w:r>
        <w:rPr>
          <w:rFonts w:ascii="Times New Roman" w:hAnsi="Times New Roman"/>
        </w:rPr>
        <w:t>могла</w:t>
      </w:r>
      <w:r w:rsidR="009524C3" w:rsidRPr="00295637">
        <w:rPr>
          <w:rFonts w:ascii="Times New Roman" w:hAnsi="Times New Roman"/>
        </w:rPr>
        <w:t xml:space="preserve"> </w:t>
      </w:r>
      <w:r>
        <w:rPr>
          <w:rFonts w:ascii="Times New Roman" w:hAnsi="Times New Roman"/>
        </w:rPr>
        <w:t>наћи</w:t>
      </w:r>
      <w:r w:rsidR="009524C3" w:rsidRPr="00295637">
        <w:rPr>
          <w:rFonts w:ascii="Times New Roman" w:hAnsi="Times New Roman"/>
        </w:rPr>
        <w:t xml:space="preserve"> </w:t>
      </w:r>
      <w:r>
        <w:rPr>
          <w:rFonts w:ascii="Times New Roman" w:hAnsi="Times New Roman"/>
        </w:rPr>
        <w:t>на</w:t>
      </w:r>
      <w:r w:rsidR="009524C3" w:rsidRPr="00295637">
        <w:rPr>
          <w:rFonts w:ascii="Times New Roman" w:hAnsi="Times New Roman"/>
        </w:rPr>
        <w:t xml:space="preserve"> </w:t>
      </w:r>
      <w:r>
        <w:rPr>
          <w:rFonts w:ascii="Times New Roman" w:hAnsi="Times New Roman"/>
        </w:rPr>
        <w:t>мети</w:t>
      </w:r>
      <w:r w:rsidR="009524C3" w:rsidRPr="00295637">
        <w:rPr>
          <w:rFonts w:ascii="Times New Roman" w:hAnsi="Times New Roman"/>
        </w:rPr>
        <w:t xml:space="preserve"> </w:t>
      </w:r>
      <w:r>
        <w:rPr>
          <w:rFonts w:ascii="Times New Roman" w:hAnsi="Times New Roman"/>
        </w:rPr>
        <w:t>сексистичког</w:t>
      </w:r>
      <w:r w:rsidR="009524C3" w:rsidRPr="00295637">
        <w:rPr>
          <w:rFonts w:ascii="Times New Roman" w:hAnsi="Times New Roman"/>
        </w:rPr>
        <w:t xml:space="preserve"> </w:t>
      </w:r>
      <w:r>
        <w:rPr>
          <w:rFonts w:ascii="Times New Roman" w:hAnsi="Times New Roman"/>
        </w:rPr>
        <w:t>насиља</w:t>
      </w:r>
      <w:r w:rsidR="009524C3" w:rsidRPr="00295637">
        <w:rPr>
          <w:rFonts w:ascii="Times New Roman" w:hAnsi="Times New Roman"/>
        </w:rPr>
        <w:t xml:space="preserve"> (</w:t>
      </w:r>
      <w:r>
        <w:rPr>
          <w:rFonts w:ascii="Times New Roman" w:hAnsi="Times New Roman"/>
        </w:rPr>
        <w:t>укључујући</w:t>
      </w:r>
      <w:r w:rsidR="009524C3" w:rsidRPr="00295637">
        <w:rPr>
          <w:rFonts w:ascii="Times New Roman" w:hAnsi="Times New Roman"/>
        </w:rPr>
        <w:t xml:space="preserve"> </w:t>
      </w:r>
      <w:r>
        <w:rPr>
          <w:rFonts w:ascii="Times New Roman" w:hAnsi="Times New Roman"/>
        </w:rPr>
        <w:t>сексистички</w:t>
      </w:r>
      <w:r w:rsidR="009524C3" w:rsidRPr="00295637">
        <w:rPr>
          <w:rFonts w:ascii="Times New Roman" w:hAnsi="Times New Roman"/>
        </w:rPr>
        <w:t xml:space="preserve"> </w:t>
      </w:r>
      <w:r>
        <w:rPr>
          <w:rFonts w:ascii="Times New Roman" w:hAnsi="Times New Roman"/>
        </w:rPr>
        <w:t>говор</w:t>
      </w:r>
      <w:r w:rsidR="009524C3" w:rsidRPr="00295637">
        <w:rPr>
          <w:rFonts w:ascii="Times New Roman" w:hAnsi="Times New Roman"/>
        </w:rPr>
        <w:t xml:space="preserve"> </w:t>
      </w:r>
      <w:r>
        <w:rPr>
          <w:rFonts w:ascii="Times New Roman" w:hAnsi="Times New Roman"/>
        </w:rPr>
        <w:t>и</w:t>
      </w:r>
      <w:r w:rsidR="009524C3" w:rsidRPr="00295637">
        <w:rPr>
          <w:rFonts w:ascii="Times New Roman" w:hAnsi="Times New Roman"/>
        </w:rPr>
        <w:t xml:space="preserve"> </w:t>
      </w:r>
      <w:r>
        <w:rPr>
          <w:rFonts w:ascii="Times New Roman" w:hAnsi="Times New Roman"/>
        </w:rPr>
        <w:t>сексуално</w:t>
      </w:r>
      <w:r w:rsidR="009524C3" w:rsidRPr="00295637">
        <w:rPr>
          <w:rFonts w:ascii="Times New Roman" w:hAnsi="Times New Roman"/>
        </w:rPr>
        <w:t xml:space="preserve"> </w:t>
      </w:r>
      <w:r>
        <w:rPr>
          <w:rFonts w:ascii="Times New Roman" w:hAnsi="Times New Roman"/>
        </w:rPr>
        <w:t>узнемиравање</w:t>
      </w:r>
      <w:r w:rsidR="009524C3" w:rsidRPr="00295637">
        <w:rPr>
          <w:rFonts w:ascii="Times New Roman" w:hAnsi="Times New Roman"/>
        </w:rPr>
        <w:t xml:space="preserve">) </w:t>
      </w:r>
      <w:r>
        <w:rPr>
          <w:rFonts w:ascii="Times New Roman" w:hAnsi="Times New Roman"/>
        </w:rPr>
        <w:t>и</w:t>
      </w:r>
      <w:r w:rsidR="009524C3" w:rsidRPr="00295637">
        <w:rPr>
          <w:rFonts w:ascii="Times New Roman" w:hAnsi="Times New Roman"/>
        </w:rPr>
        <w:t xml:space="preserve"> </w:t>
      </w:r>
      <w:r>
        <w:rPr>
          <w:rFonts w:ascii="Times New Roman" w:hAnsi="Times New Roman"/>
        </w:rPr>
        <w:t>родно</w:t>
      </w:r>
      <w:r w:rsidR="009524C3" w:rsidRPr="00295637">
        <w:rPr>
          <w:rFonts w:ascii="Times New Roman" w:hAnsi="Times New Roman"/>
        </w:rPr>
        <w:t xml:space="preserve"> </w:t>
      </w:r>
      <w:r>
        <w:rPr>
          <w:rFonts w:ascii="Times New Roman" w:hAnsi="Times New Roman"/>
        </w:rPr>
        <w:t>засноване</w:t>
      </w:r>
      <w:r w:rsidR="009524C3" w:rsidRPr="00295637">
        <w:rPr>
          <w:rFonts w:ascii="Times New Roman" w:hAnsi="Times New Roman"/>
        </w:rPr>
        <w:t xml:space="preserve"> </w:t>
      </w:r>
      <w:r>
        <w:rPr>
          <w:rFonts w:ascii="Times New Roman" w:hAnsi="Times New Roman"/>
        </w:rPr>
        <w:t>дискриминације</w:t>
      </w:r>
      <w:r w:rsidR="009524C3" w:rsidRPr="00295637">
        <w:rPr>
          <w:rFonts w:ascii="Times New Roman" w:hAnsi="Times New Roman"/>
        </w:rPr>
        <w:t xml:space="preserve">, </w:t>
      </w:r>
      <w:r>
        <w:rPr>
          <w:rFonts w:ascii="Times New Roman" w:hAnsi="Times New Roman"/>
        </w:rPr>
        <w:t>као</w:t>
      </w:r>
      <w:r w:rsidR="009524C3" w:rsidRPr="00295637">
        <w:rPr>
          <w:rFonts w:ascii="Times New Roman" w:hAnsi="Times New Roman"/>
        </w:rPr>
        <w:t xml:space="preserve"> </w:t>
      </w:r>
      <w:r>
        <w:rPr>
          <w:rFonts w:ascii="Times New Roman" w:hAnsi="Times New Roman"/>
        </w:rPr>
        <w:t>што</w:t>
      </w:r>
      <w:r w:rsidR="009524C3" w:rsidRPr="00295637">
        <w:rPr>
          <w:rFonts w:ascii="Times New Roman" w:hAnsi="Times New Roman"/>
        </w:rPr>
        <w:t xml:space="preserve"> </w:t>
      </w:r>
      <w:r>
        <w:rPr>
          <w:rFonts w:ascii="Times New Roman" w:hAnsi="Times New Roman"/>
        </w:rPr>
        <w:t>су</w:t>
      </w:r>
      <w:r w:rsidR="009524C3" w:rsidRPr="00295637">
        <w:rPr>
          <w:rFonts w:ascii="Times New Roman" w:hAnsi="Times New Roman"/>
        </w:rPr>
        <w:t xml:space="preserve"> </w:t>
      </w:r>
      <w:r>
        <w:rPr>
          <w:rFonts w:ascii="Times New Roman" w:hAnsi="Times New Roman"/>
        </w:rPr>
        <w:t>кандидаткиње</w:t>
      </w:r>
      <w:r w:rsidR="009524C3" w:rsidRPr="00295637">
        <w:rPr>
          <w:rFonts w:ascii="Times New Roman" w:hAnsi="Times New Roman"/>
        </w:rPr>
        <w:t xml:space="preserve"> </w:t>
      </w:r>
      <w:r>
        <w:rPr>
          <w:rFonts w:ascii="Times New Roman" w:hAnsi="Times New Roman"/>
        </w:rPr>
        <w:t>и</w:t>
      </w:r>
      <w:r w:rsidR="009524C3" w:rsidRPr="00295637">
        <w:rPr>
          <w:rFonts w:ascii="Times New Roman" w:hAnsi="Times New Roman"/>
        </w:rPr>
        <w:t xml:space="preserve"> </w:t>
      </w:r>
      <w:r>
        <w:rPr>
          <w:rFonts w:ascii="Times New Roman" w:hAnsi="Times New Roman"/>
        </w:rPr>
        <w:t>носитељ</w:t>
      </w:r>
      <w:r w:rsidR="00070295">
        <w:rPr>
          <w:rFonts w:ascii="Times New Roman" w:hAnsi="Times New Roman"/>
          <w:lang w:val="sr-Cyrl-BA"/>
        </w:rPr>
        <w:t>ке</w:t>
      </w:r>
      <w:r w:rsidR="009524C3" w:rsidRPr="00295637">
        <w:rPr>
          <w:rFonts w:ascii="Times New Roman" w:hAnsi="Times New Roman"/>
        </w:rPr>
        <w:t xml:space="preserve"> </w:t>
      </w:r>
      <w:r>
        <w:rPr>
          <w:rFonts w:ascii="Times New Roman" w:hAnsi="Times New Roman"/>
        </w:rPr>
        <w:t>локалних</w:t>
      </w:r>
      <w:r w:rsidR="009524C3" w:rsidRPr="00295637">
        <w:rPr>
          <w:rFonts w:ascii="Times New Roman" w:hAnsi="Times New Roman"/>
        </w:rPr>
        <w:t xml:space="preserve"> </w:t>
      </w:r>
      <w:r>
        <w:rPr>
          <w:rFonts w:ascii="Times New Roman" w:hAnsi="Times New Roman"/>
        </w:rPr>
        <w:t>функција</w:t>
      </w:r>
      <w:r w:rsidR="009524C3" w:rsidRPr="00295637">
        <w:rPr>
          <w:rFonts w:ascii="Times New Roman" w:hAnsi="Times New Roman"/>
        </w:rPr>
        <w:t>.</w:t>
      </w:r>
    </w:p>
    <w:p w:rsidR="009524C3" w:rsidRPr="00295637" w:rsidRDefault="009524C3" w:rsidP="009524C3">
      <w:pPr>
        <w:pStyle w:val="Normal1"/>
        <w:jc w:val="both"/>
        <w:rPr>
          <w:rFonts w:ascii="Times New Roman" w:hAnsi="Times New Roman"/>
        </w:rPr>
      </w:pPr>
    </w:p>
    <w:p w:rsidR="001E3537"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Изборни</w:t>
      </w:r>
      <w:r w:rsidR="001E3537" w:rsidRPr="00295637">
        <w:rPr>
          <w:rFonts w:ascii="Times New Roman" w:hAnsi="Times New Roman"/>
          <w:lang w:val="sr-Latn-BA"/>
        </w:rPr>
        <w:t xml:space="preserve"> </w:t>
      </w:r>
      <w:r>
        <w:rPr>
          <w:rFonts w:ascii="Times New Roman" w:hAnsi="Times New Roman"/>
          <w:lang w:val="sr-Latn-BA"/>
        </w:rPr>
        <w:t>закон</w:t>
      </w:r>
      <w:r w:rsidR="001E3537" w:rsidRPr="00295637">
        <w:rPr>
          <w:rFonts w:ascii="Times New Roman" w:hAnsi="Times New Roman"/>
          <w:lang w:val="sr-Latn-BA"/>
        </w:rPr>
        <w:t xml:space="preserve"> </w:t>
      </w:r>
      <w:r>
        <w:rPr>
          <w:rFonts w:ascii="Times New Roman" w:hAnsi="Times New Roman"/>
          <w:lang w:val="sr-Latn-BA"/>
        </w:rPr>
        <w:t>и</w:t>
      </w:r>
      <w:r w:rsidR="001E3537" w:rsidRPr="00295637">
        <w:rPr>
          <w:rFonts w:ascii="Times New Roman" w:hAnsi="Times New Roman"/>
          <w:lang w:val="sr-Latn-BA"/>
        </w:rPr>
        <w:t xml:space="preserve"> </w:t>
      </w:r>
      <w:r>
        <w:rPr>
          <w:rFonts w:ascii="Times New Roman" w:hAnsi="Times New Roman"/>
          <w:lang w:val="sr-Latn-BA"/>
        </w:rPr>
        <w:t>законодавство</w:t>
      </w:r>
      <w:r w:rsidR="001E3537" w:rsidRPr="00295637">
        <w:rPr>
          <w:rFonts w:ascii="Times New Roman" w:hAnsi="Times New Roman"/>
          <w:lang w:val="sr-Latn-BA"/>
        </w:rPr>
        <w:t xml:space="preserve"> </w:t>
      </w:r>
      <w:r>
        <w:rPr>
          <w:rFonts w:ascii="Times New Roman" w:hAnsi="Times New Roman"/>
          <w:lang w:val="sr-Latn-BA"/>
        </w:rPr>
        <w:t>Републике</w:t>
      </w:r>
      <w:r w:rsidR="00666FD0">
        <w:rPr>
          <w:rFonts w:ascii="Times New Roman" w:hAnsi="Times New Roman"/>
          <w:lang w:val="sr-Latn-BA"/>
        </w:rPr>
        <w:t xml:space="preserve"> </w:t>
      </w:r>
      <w:r>
        <w:rPr>
          <w:rFonts w:ascii="Times New Roman" w:hAnsi="Times New Roman"/>
          <w:lang w:val="sr-Latn-BA"/>
        </w:rPr>
        <w:t>Српске</w:t>
      </w:r>
      <w:r w:rsidR="00666FD0">
        <w:rPr>
          <w:rFonts w:ascii="Times New Roman" w:hAnsi="Times New Roman"/>
          <w:lang w:val="sr-Latn-BA"/>
        </w:rPr>
        <w:t xml:space="preserve"> </w:t>
      </w:r>
      <w:r>
        <w:rPr>
          <w:rFonts w:ascii="Times New Roman" w:hAnsi="Times New Roman"/>
          <w:lang w:val="sr-Latn-BA"/>
        </w:rPr>
        <w:t>које</w:t>
      </w:r>
      <w:r w:rsidR="001E3537" w:rsidRPr="00295637">
        <w:rPr>
          <w:rFonts w:ascii="Times New Roman" w:hAnsi="Times New Roman"/>
          <w:lang w:val="sr-Latn-BA"/>
        </w:rPr>
        <w:t xml:space="preserve"> </w:t>
      </w:r>
      <w:r>
        <w:rPr>
          <w:rFonts w:ascii="Times New Roman" w:hAnsi="Times New Roman"/>
          <w:lang w:val="sr-Latn-BA"/>
        </w:rPr>
        <w:t>у</w:t>
      </w:r>
      <w:r w:rsidR="001E3537" w:rsidRPr="00295637">
        <w:rPr>
          <w:rFonts w:ascii="Times New Roman" w:hAnsi="Times New Roman"/>
          <w:lang w:val="sr-Latn-BA"/>
        </w:rPr>
        <w:t xml:space="preserve"> </w:t>
      </w:r>
      <w:r>
        <w:rPr>
          <w:rFonts w:ascii="Times New Roman" w:hAnsi="Times New Roman"/>
          <w:lang w:val="sr-Latn-BA"/>
        </w:rPr>
        <w:t>својим</w:t>
      </w:r>
      <w:r w:rsidR="001E3537" w:rsidRPr="00295637">
        <w:rPr>
          <w:rFonts w:ascii="Times New Roman" w:hAnsi="Times New Roman"/>
          <w:lang w:val="sr-Latn-BA"/>
        </w:rPr>
        <w:t xml:space="preserve"> </w:t>
      </w:r>
      <w:r>
        <w:rPr>
          <w:rFonts w:ascii="Times New Roman" w:hAnsi="Times New Roman"/>
          <w:lang w:val="sr-Latn-BA"/>
        </w:rPr>
        <w:t>одредбама</w:t>
      </w:r>
      <w:r w:rsidR="001E3537" w:rsidRPr="00295637">
        <w:rPr>
          <w:rFonts w:ascii="Times New Roman" w:hAnsi="Times New Roman"/>
          <w:lang w:val="sr-Latn-BA"/>
        </w:rPr>
        <w:t xml:space="preserve"> </w:t>
      </w:r>
      <w:r>
        <w:rPr>
          <w:rFonts w:ascii="Times New Roman" w:hAnsi="Times New Roman"/>
          <w:lang w:val="sr-Latn-BA"/>
        </w:rPr>
        <w:t>регули</w:t>
      </w:r>
      <w:r w:rsidR="00070295">
        <w:rPr>
          <w:rFonts w:ascii="Times New Roman" w:hAnsi="Times New Roman"/>
          <w:lang w:val="sr-Cyrl-BA"/>
        </w:rPr>
        <w:t>ше</w:t>
      </w:r>
      <w:r w:rsidR="001E3537" w:rsidRPr="00295637">
        <w:rPr>
          <w:rFonts w:ascii="Times New Roman" w:hAnsi="Times New Roman"/>
          <w:lang w:val="sr-Latn-BA"/>
        </w:rPr>
        <w:t xml:space="preserve"> </w:t>
      </w:r>
      <w:r>
        <w:rPr>
          <w:rFonts w:ascii="Times New Roman" w:hAnsi="Times New Roman"/>
          <w:lang w:val="sr-Latn-BA"/>
        </w:rPr>
        <w:t>управљање</w:t>
      </w:r>
      <w:r w:rsidR="001E3537" w:rsidRPr="00295637">
        <w:rPr>
          <w:rFonts w:ascii="Times New Roman" w:hAnsi="Times New Roman"/>
          <w:lang w:val="sr-Latn-BA"/>
        </w:rPr>
        <w:t xml:space="preserve"> </w:t>
      </w:r>
      <w:r>
        <w:rPr>
          <w:rFonts w:ascii="Times New Roman" w:hAnsi="Times New Roman"/>
          <w:lang w:val="sr-Latn-BA"/>
        </w:rPr>
        <w:t>и</w:t>
      </w:r>
      <w:r w:rsidR="001E3537" w:rsidRPr="00295637">
        <w:rPr>
          <w:rFonts w:ascii="Times New Roman" w:hAnsi="Times New Roman"/>
          <w:lang w:val="sr-Latn-BA"/>
        </w:rPr>
        <w:t xml:space="preserve"> </w:t>
      </w:r>
      <w:r>
        <w:rPr>
          <w:rFonts w:ascii="Times New Roman" w:hAnsi="Times New Roman"/>
          <w:lang w:val="sr-Latn-BA"/>
        </w:rPr>
        <w:t>одлучивање</w:t>
      </w:r>
      <w:r w:rsidR="001E3537" w:rsidRPr="00295637">
        <w:rPr>
          <w:rFonts w:ascii="Times New Roman" w:hAnsi="Times New Roman"/>
          <w:lang w:val="sr-Latn-BA"/>
        </w:rPr>
        <w:t xml:space="preserve"> </w:t>
      </w:r>
      <w:r>
        <w:rPr>
          <w:rFonts w:ascii="Times New Roman" w:hAnsi="Times New Roman"/>
          <w:lang w:val="sr-Latn-BA"/>
        </w:rPr>
        <w:t>у</w:t>
      </w:r>
      <w:r w:rsidR="001E3537" w:rsidRPr="00295637">
        <w:rPr>
          <w:rFonts w:ascii="Times New Roman" w:hAnsi="Times New Roman"/>
          <w:lang w:val="sr-Latn-BA"/>
        </w:rPr>
        <w:t xml:space="preserve"> </w:t>
      </w:r>
      <w:r>
        <w:rPr>
          <w:rFonts w:ascii="Times New Roman" w:hAnsi="Times New Roman"/>
          <w:lang w:val="sr-Latn-BA"/>
        </w:rPr>
        <w:t>великој</w:t>
      </w:r>
      <w:r w:rsidR="001E3537" w:rsidRPr="00295637">
        <w:rPr>
          <w:rFonts w:ascii="Times New Roman" w:hAnsi="Times New Roman"/>
          <w:lang w:val="sr-Latn-BA"/>
        </w:rPr>
        <w:t xml:space="preserve"> </w:t>
      </w:r>
      <w:r>
        <w:rPr>
          <w:rFonts w:ascii="Times New Roman" w:hAnsi="Times New Roman"/>
          <w:lang w:val="sr-Latn-BA"/>
        </w:rPr>
        <w:t>мјери</w:t>
      </w:r>
      <w:r w:rsidR="001E3537" w:rsidRPr="00295637">
        <w:rPr>
          <w:rFonts w:ascii="Times New Roman" w:hAnsi="Times New Roman"/>
          <w:lang w:val="sr-Latn-BA"/>
        </w:rPr>
        <w:t xml:space="preserve"> </w:t>
      </w:r>
      <w:r>
        <w:rPr>
          <w:rFonts w:ascii="Times New Roman" w:hAnsi="Times New Roman"/>
          <w:lang w:val="sr-Latn-BA"/>
        </w:rPr>
        <w:t>је</w:t>
      </w:r>
      <w:r w:rsidR="001E3537" w:rsidRPr="00295637">
        <w:rPr>
          <w:rFonts w:ascii="Times New Roman" w:hAnsi="Times New Roman"/>
          <w:lang w:val="sr-Latn-BA"/>
        </w:rPr>
        <w:t xml:space="preserve"> </w:t>
      </w:r>
      <w:r>
        <w:rPr>
          <w:rFonts w:ascii="Times New Roman" w:hAnsi="Times New Roman"/>
          <w:lang w:val="sr-Latn-BA"/>
        </w:rPr>
        <w:t>усаглашено</w:t>
      </w:r>
      <w:r w:rsidR="001E3537" w:rsidRPr="00295637">
        <w:rPr>
          <w:rFonts w:ascii="Times New Roman" w:hAnsi="Times New Roman"/>
          <w:lang w:val="sr-Latn-BA"/>
        </w:rPr>
        <w:t xml:space="preserve"> </w:t>
      </w:r>
      <w:r>
        <w:rPr>
          <w:rFonts w:ascii="Times New Roman" w:hAnsi="Times New Roman"/>
          <w:lang w:val="sr-Latn-BA"/>
        </w:rPr>
        <w:t>са</w:t>
      </w:r>
      <w:r w:rsidR="001E3537" w:rsidRPr="00295637">
        <w:rPr>
          <w:rFonts w:ascii="Times New Roman" w:hAnsi="Times New Roman"/>
          <w:lang w:val="sr-Latn-BA"/>
        </w:rPr>
        <w:t xml:space="preserve"> </w:t>
      </w:r>
      <w:r>
        <w:rPr>
          <w:rFonts w:ascii="Times New Roman" w:hAnsi="Times New Roman"/>
          <w:lang w:val="sr-Latn-BA"/>
        </w:rPr>
        <w:t>стандардима</w:t>
      </w:r>
      <w:r w:rsidR="001E3537" w:rsidRPr="00295637">
        <w:rPr>
          <w:rFonts w:ascii="Times New Roman" w:hAnsi="Times New Roman"/>
          <w:lang w:val="sr-Latn-BA"/>
        </w:rPr>
        <w:t xml:space="preserve"> </w:t>
      </w:r>
      <w:r>
        <w:rPr>
          <w:rFonts w:ascii="Times New Roman" w:hAnsi="Times New Roman"/>
          <w:lang w:val="sr-Latn-BA"/>
        </w:rPr>
        <w:t>за</w:t>
      </w:r>
      <w:r w:rsidR="001E3537" w:rsidRPr="00295637">
        <w:rPr>
          <w:rFonts w:ascii="Times New Roman" w:hAnsi="Times New Roman"/>
          <w:lang w:val="sr-Latn-BA"/>
        </w:rPr>
        <w:t xml:space="preserve"> </w:t>
      </w:r>
      <w:r>
        <w:rPr>
          <w:rFonts w:ascii="Times New Roman" w:hAnsi="Times New Roman"/>
          <w:lang w:val="sr-Latn-BA"/>
        </w:rPr>
        <w:t>равноправност</w:t>
      </w:r>
      <w:r w:rsidR="001E3537" w:rsidRPr="00295637">
        <w:rPr>
          <w:rFonts w:ascii="Times New Roman" w:hAnsi="Times New Roman"/>
          <w:lang w:val="sr-Latn-BA"/>
        </w:rPr>
        <w:t xml:space="preserve"> </w:t>
      </w:r>
      <w:r>
        <w:rPr>
          <w:rFonts w:ascii="Times New Roman" w:hAnsi="Times New Roman"/>
          <w:lang w:val="sr-Latn-BA"/>
        </w:rPr>
        <w:t>полова</w:t>
      </w:r>
      <w:r w:rsidR="001E3537" w:rsidRPr="00295637">
        <w:rPr>
          <w:rFonts w:ascii="Times New Roman" w:hAnsi="Times New Roman"/>
          <w:lang w:val="sr-Latn-BA"/>
        </w:rPr>
        <w:t xml:space="preserve">. </w:t>
      </w:r>
      <w:r>
        <w:rPr>
          <w:rFonts w:ascii="Times New Roman" w:hAnsi="Times New Roman"/>
          <w:lang w:val="sr-Latn-BA"/>
        </w:rPr>
        <w:t>Достигнути</w:t>
      </w:r>
      <w:r w:rsidR="001E3537" w:rsidRPr="00295637">
        <w:rPr>
          <w:rFonts w:ascii="Times New Roman" w:hAnsi="Times New Roman"/>
          <w:lang w:val="sr-Latn-BA"/>
        </w:rPr>
        <w:t xml:space="preserve"> </w:t>
      </w:r>
      <w:r>
        <w:rPr>
          <w:rFonts w:ascii="Times New Roman" w:hAnsi="Times New Roman"/>
          <w:lang w:val="sr-Latn-BA"/>
        </w:rPr>
        <w:t>ниво</w:t>
      </w:r>
      <w:r w:rsidR="001E3537" w:rsidRPr="00295637">
        <w:rPr>
          <w:rFonts w:ascii="Times New Roman" w:hAnsi="Times New Roman"/>
          <w:lang w:val="sr-Latn-BA"/>
        </w:rPr>
        <w:t xml:space="preserve"> </w:t>
      </w:r>
      <w:r>
        <w:rPr>
          <w:rFonts w:ascii="Times New Roman" w:hAnsi="Times New Roman"/>
          <w:lang w:val="sr-Latn-BA"/>
        </w:rPr>
        <w:t>постигнућа</w:t>
      </w:r>
      <w:r w:rsidR="001E3537" w:rsidRPr="00295637">
        <w:rPr>
          <w:rFonts w:ascii="Times New Roman" w:hAnsi="Times New Roman"/>
          <w:lang w:val="sr-Latn-BA"/>
        </w:rPr>
        <w:t xml:space="preserve"> </w:t>
      </w:r>
      <w:r>
        <w:rPr>
          <w:rFonts w:ascii="Times New Roman" w:hAnsi="Times New Roman"/>
          <w:lang w:val="sr-Latn-BA"/>
        </w:rPr>
        <w:t>за</w:t>
      </w:r>
      <w:r w:rsidR="001E3537" w:rsidRPr="00295637">
        <w:rPr>
          <w:rFonts w:ascii="Times New Roman" w:hAnsi="Times New Roman"/>
          <w:lang w:val="sr-Latn-BA"/>
        </w:rPr>
        <w:t xml:space="preserve"> </w:t>
      </w:r>
      <w:r>
        <w:rPr>
          <w:rFonts w:ascii="Times New Roman" w:hAnsi="Times New Roman"/>
          <w:lang w:val="sr-Latn-BA"/>
        </w:rPr>
        <w:t>п</w:t>
      </w:r>
      <w:r>
        <w:rPr>
          <w:rFonts w:ascii="Times New Roman" w:hAnsi="Times New Roman"/>
          <w:lang w:val="sr-Cyrl-BA"/>
        </w:rPr>
        <w:t>равни</w:t>
      </w:r>
      <w:r w:rsidR="001E3537" w:rsidRPr="00295637">
        <w:rPr>
          <w:rFonts w:ascii="Times New Roman" w:hAnsi="Times New Roman"/>
          <w:lang w:val="sr-Cyrl-BA"/>
        </w:rPr>
        <w:t xml:space="preserve"> </w:t>
      </w:r>
      <w:r>
        <w:rPr>
          <w:rFonts w:ascii="Times New Roman" w:hAnsi="Times New Roman"/>
          <w:lang w:val="sr-Cyrl-BA"/>
        </w:rPr>
        <w:t>оквир</w:t>
      </w:r>
      <w:r w:rsidR="001E3537" w:rsidRPr="00295637">
        <w:rPr>
          <w:rFonts w:ascii="Times New Roman" w:hAnsi="Times New Roman"/>
          <w:lang w:val="sr-Latn-BA"/>
        </w:rPr>
        <w:t xml:space="preserve"> </w:t>
      </w:r>
      <w:r>
        <w:rPr>
          <w:rFonts w:ascii="Times New Roman" w:hAnsi="Times New Roman"/>
          <w:lang w:val="sr-Latn-BA"/>
        </w:rPr>
        <w:t>у</w:t>
      </w:r>
      <w:r w:rsidR="001E3537" w:rsidRPr="00295637">
        <w:rPr>
          <w:rFonts w:ascii="Times New Roman" w:hAnsi="Times New Roman"/>
          <w:lang w:val="sr-Latn-BA"/>
        </w:rPr>
        <w:t xml:space="preserve"> </w:t>
      </w:r>
      <w:r>
        <w:rPr>
          <w:rFonts w:ascii="Times New Roman" w:hAnsi="Times New Roman"/>
          <w:lang w:val="sr-Latn-BA"/>
        </w:rPr>
        <w:t>Републици</w:t>
      </w:r>
      <w:r w:rsidR="001E3537" w:rsidRPr="00295637">
        <w:rPr>
          <w:rFonts w:ascii="Times New Roman" w:hAnsi="Times New Roman"/>
          <w:lang w:val="sr-Latn-BA"/>
        </w:rPr>
        <w:t xml:space="preserve"> </w:t>
      </w:r>
      <w:r>
        <w:rPr>
          <w:rFonts w:ascii="Times New Roman" w:hAnsi="Times New Roman"/>
          <w:lang w:val="sr-Latn-BA"/>
        </w:rPr>
        <w:t>Српској</w:t>
      </w:r>
      <w:r w:rsidR="001E3537" w:rsidRPr="00295637">
        <w:rPr>
          <w:rFonts w:ascii="Times New Roman" w:hAnsi="Times New Roman"/>
          <w:lang w:val="sr-Cyrl-BA"/>
        </w:rPr>
        <w:t xml:space="preserve"> </w:t>
      </w:r>
      <w:r>
        <w:rPr>
          <w:rFonts w:ascii="Times New Roman" w:hAnsi="Times New Roman"/>
          <w:lang w:val="sr-Cyrl-BA"/>
        </w:rPr>
        <w:t>који</w:t>
      </w:r>
      <w:r w:rsidR="001E3537" w:rsidRPr="00295637">
        <w:rPr>
          <w:rFonts w:ascii="Times New Roman" w:hAnsi="Times New Roman"/>
          <w:lang w:val="sr-Cyrl-BA"/>
        </w:rPr>
        <w:t xml:space="preserve"> </w:t>
      </w:r>
      <w:r>
        <w:rPr>
          <w:rFonts w:ascii="Times New Roman" w:hAnsi="Times New Roman"/>
          <w:lang w:val="sr-Cyrl-BA"/>
        </w:rPr>
        <w:t>промови</w:t>
      </w:r>
      <w:r w:rsidR="00070295">
        <w:rPr>
          <w:rFonts w:ascii="Times New Roman" w:hAnsi="Times New Roman"/>
          <w:lang w:val="sr-Cyrl-BA"/>
        </w:rPr>
        <w:t>ше</w:t>
      </w:r>
      <w:r w:rsidR="00346E68">
        <w:rPr>
          <w:rFonts w:ascii="Times New Roman" w:hAnsi="Times New Roman"/>
          <w:lang w:val="sr-Cyrl-BA"/>
        </w:rPr>
        <w:t xml:space="preserve">, </w:t>
      </w:r>
      <w:r>
        <w:rPr>
          <w:rFonts w:ascii="Times New Roman" w:hAnsi="Times New Roman"/>
          <w:lang w:val="sr-Cyrl-BA"/>
        </w:rPr>
        <w:t>проводи</w:t>
      </w:r>
      <w:r w:rsidR="001E3537" w:rsidRPr="00295637">
        <w:rPr>
          <w:rFonts w:ascii="Times New Roman" w:hAnsi="Times New Roman"/>
          <w:lang w:val="sr-Cyrl-BA"/>
        </w:rPr>
        <w:t xml:space="preserve"> </w:t>
      </w:r>
      <w:r>
        <w:rPr>
          <w:rFonts w:ascii="Times New Roman" w:hAnsi="Times New Roman"/>
          <w:lang w:val="sr-Cyrl-BA"/>
        </w:rPr>
        <w:t>и</w:t>
      </w:r>
      <w:r w:rsidR="001E3537" w:rsidRPr="00295637">
        <w:rPr>
          <w:rFonts w:ascii="Times New Roman" w:hAnsi="Times New Roman"/>
          <w:lang w:val="sr-Cyrl-BA"/>
        </w:rPr>
        <w:t xml:space="preserve"> </w:t>
      </w:r>
      <w:r>
        <w:rPr>
          <w:rFonts w:ascii="Times New Roman" w:hAnsi="Times New Roman"/>
          <w:lang w:val="sr-Cyrl-BA"/>
        </w:rPr>
        <w:t>прати</w:t>
      </w:r>
      <w:r w:rsidR="001E3537" w:rsidRPr="00295637">
        <w:rPr>
          <w:rFonts w:ascii="Times New Roman" w:hAnsi="Times New Roman"/>
          <w:lang w:val="sr-Cyrl-BA"/>
        </w:rPr>
        <w:t xml:space="preserve"> </w:t>
      </w:r>
      <w:r>
        <w:rPr>
          <w:rFonts w:ascii="Times New Roman" w:hAnsi="Times New Roman"/>
          <w:lang w:val="sr-Cyrl-BA"/>
        </w:rPr>
        <w:t>равноправност</w:t>
      </w:r>
      <w:r w:rsidR="001E3537" w:rsidRPr="00295637">
        <w:rPr>
          <w:rFonts w:ascii="Times New Roman" w:hAnsi="Times New Roman"/>
          <w:lang w:val="sr-Cyrl-BA"/>
        </w:rPr>
        <w:t xml:space="preserve"> </w:t>
      </w:r>
      <w:r>
        <w:rPr>
          <w:rFonts w:ascii="Times New Roman" w:hAnsi="Times New Roman"/>
          <w:lang w:val="sr-Cyrl-BA"/>
        </w:rPr>
        <w:t>и</w:t>
      </w:r>
      <w:r w:rsidR="001E3537" w:rsidRPr="00295637">
        <w:rPr>
          <w:rFonts w:ascii="Times New Roman" w:hAnsi="Times New Roman"/>
          <w:lang w:val="sr-Cyrl-BA"/>
        </w:rPr>
        <w:t xml:space="preserve"> </w:t>
      </w:r>
      <w:r>
        <w:rPr>
          <w:rFonts w:ascii="Times New Roman" w:hAnsi="Times New Roman"/>
          <w:lang w:val="sr-Cyrl-BA"/>
        </w:rPr>
        <w:t>забрану</w:t>
      </w:r>
      <w:r w:rsidR="001E3537" w:rsidRPr="00295637">
        <w:rPr>
          <w:rFonts w:ascii="Times New Roman" w:hAnsi="Times New Roman"/>
          <w:lang w:val="sr-Cyrl-BA"/>
        </w:rPr>
        <w:t xml:space="preserve"> </w:t>
      </w:r>
      <w:r>
        <w:rPr>
          <w:rFonts w:ascii="Times New Roman" w:hAnsi="Times New Roman"/>
          <w:lang w:val="sr-Cyrl-BA"/>
        </w:rPr>
        <w:t>дискриминације</w:t>
      </w:r>
      <w:r w:rsidR="001E3537" w:rsidRPr="00295637">
        <w:rPr>
          <w:rFonts w:ascii="Times New Roman" w:hAnsi="Times New Roman"/>
          <w:lang w:val="sr-Cyrl-BA"/>
        </w:rPr>
        <w:t xml:space="preserve"> </w:t>
      </w:r>
      <w:r>
        <w:rPr>
          <w:rFonts w:ascii="Times New Roman" w:hAnsi="Times New Roman"/>
          <w:lang w:val="sr-Cyrl-BA"/>
        </w:rPr>
        <w:t>по</w:t>
      </w:r>
      <w:r w:rsidR="001E3537" w:rsidRPr="00295637">
        <w:rPr>
          <w:rFonts w:ascii="Times New Roman" w:hAnsi="Times New Roman"/>
          <w:lang w:val="sr-Cyrl-BA"/>
        </w:rPr>
        <w:t xml:space="preserve"> </w:t>
      </w:r>
      <w:r>
        <w:rPr>
          <w:rFonts w:ascii="Times New Roman" w:hAnsi="Times New Roman"/>
          <w:lang w:val="hr-HR"/>
        </w:rPr>
        <w:t>основу</w:t>
      </w:r>
      <w:r w:rsidR="001E3537" w:rsidRPr="00295637">
        <w:rPr>
          <w:rFonts w:ascii="Times New Roman" w:hAnsi="Times New Roman"/>
          <w:lang w:val="sr-Cyrl-BA"/>
        </w:rPr>
        <w:t xml:space="preserve"> </w:t>
      </w:r>
      <w:r>
        <w:rPr>
          <w:rFonts w:ascii="Times New Roman" w:hAnsi="Times New Roman"/>
          <w:lang w:val="sr-Cyrl-BA"/>
        </w:rPr>
        <w:t>пола</w:t>
      </w:r>
      <w:r w:rsidR="001E3537" w:rsidRPr="00295637">
        <w:rPr>
          <w:rFonts w:ascii="Times New Roman" w:hAnsi="Times New Roman"/>
          <w:lang w:val="sr-Cyrl-BA"/>
        </w:rPr>
        <w:t xml:space="preserve">, </w:t>
      </w:r>
      <w:r>
        <w:rPr>
          <w:rFonts w:ascii="Times New Roman" w:hAnsi="Times New Roman"/>
          <w:lang w:val="sr-Cyrl-BA"/>
        </w:rPr>
        <w:t>у</w:t>
      </w:r>
      <w:r w:rsidR="001E3537" w:rsidRPr="00295637">
        <w:rPr>
          <w:rFonts w:ascii="Times New Roman" w:hAnsi="Times New Roman"/>
          <w:lang w:val="sr-Cyrl-BA"/>
        </w:rPr>
        <w:t xml:space="preserve"> </w:t>
      </w:r>
      <w:r>
        <w:rPr>
          <w:rFonts w:ascii="Times New Roman" w:hAnsi="Times New Roman"/>
          <w:lang w:val="sr-Cyrl-BA"/>
        </w:rPr>
        <w:t>дијелу</w:t>
      </w:r>
      <w:r w:rsidR="001E3537" w:rsidRPr="00295637">
        <w:rPr>
          <w:rFonts w:ascii="Times New Roman" w:hAnsi="Times New Roman"/>
          <w:lang w:val="sr-Cyrl-BA"/>
        </w:rPr>
        <w:t xml:space="preserve"> </w:t>
      </w:r>
      <w:r w:rsidR="00070295">
        <w:rPr>
          <w:rFonts w:ascii="Times New Roman" w:hAnsi="Times New Roman"/>
          <w:lang w:val="sr-Cyrl-BA"/>
        </w:rPr>
        <w:t>С</w:t>
      </w:r>
      <w:r>
        <w:rPr>
          <w:rFonts w:ascii="Times New Roman" w:hAnsi="Times New Roman"/>
          <w:lang w:val="sr-Cyrl-BA"/>
        </w:rPr>
        <w:t>веобухватни</w:t>
      </w:r>
      <w:r w:rsidR="001E3537" w:rsidRPr="00295637">
        <w:rPr>
          <w:rFonts w:ascii="Times New Roman" w:hAnsi="Times New Roman"/>
          <w:lang w:val="sr-Cyrl-BA"/>
        </w:rPr>
        <w:t xml:space="preserve"> </w:t>
      </w:r>
      <w:r>
        <w:rPr>
          <w:rFonts w:ascii="Times New Roman" w:hAnsi="Times New Roman"/>
          <w:lang w:val="sr-Cyrl-BA"/>
        </w:rPr>
        <w:t>правни</w:t>
      </w:r>
      <w:r w:rsidR="001E3537" w:rsidRPr="00295637">
        <w:rPr>
          <w:rFonts w:ascii="Times New Roman" w:hAnsi="Times New Roman"/>
          <w:lang w:val="sr-Cyrl-BA"/>
        </w:rPr>
        <w:t xml:space="preserve"> </w:t>
      </w:r>
      <w:r>
        <w:rPr>
          <w:rFonts w:ascii="Times New Roman" w:hAnsi="Times New Roman"/>
          <w:lang w:val="sr-Cyrl-BA"/>
        </w:rPr>
        <w:t>оквир</w:t>
      </w:r>
      <w:r w:rsidR="001E3537" w:rsidRPr="00295637">
        <w:rPr>
          <w:rFonts w:ascii="Times New Roman" w:hAnsi="Times New Roman"/>
          <w:lang w:val="sr-Cyrl-BA"/>
        </w:rPr>
        <w:t xml:space="preserve"> </w:t>
      </w:r>
      <w:r>
        <w:rPr>
          <w:rFonts w:ascii="Times New Roman" w:hAnsi="Times New Roman"/>
          <w:lang w:val="sr-Cyrl-BA"/>
        </w:rPr>
        <w:t>и</w:t>
      </w:r>
      <w:r w:rsidR="001E3537" w:rsidRPr="00295637">
        <w:rPr>
          <w:rFonts w:ascii="Times New Roman" w:hAnsi="Times New Roman"/>
          <w:lang w:val="sr-Cyrl-BA"/>
        </w:rPr>
        <w:t xml:space="preserve"> </w:t>
      </w:r>
      <w:r>
        <w:rPr>
          <w:rFonts w:ascii="Times New Roman" w:hAnsi="Times New Roman"/>
          <w:lang w:val="sr-Cyrl-BA"/>
        </w:rPr>
        <w:t>јавни</w:t>
      </w:r>
      <w:r w:rsidR="001E3537" w:rsidRPr="00295637">
        <w:rPr>
          <w:rFonts w:ascii="Times New Roman" w:hAnsi="Times New Roman"/>
          <w:lang w:val="sr-Cyrl-BA"/>
        </w:rPr>
        <w:t xml:space="preserve"> </w:t>
      </w:r>
      <w:r>
        <w:rPr>
          <w:rFonts w:ascii="Times New Roman" w:hAnsi="Times New Roman"/>
          <w:lang w:val="sr-Cyrl-BA"/>
        </w:rPr>
        <w:t>живот</w:t>
      </w:r>
      <w:r w:rsidR="001E3537" w:rsidRPr="00295637">
        <w:rPr>
          <w:rFonts w:ascii="Times New Roman" w:hAnsi="Times New Roman"/>
          <w:lang w:val="sr-Latn-BA"/>
        </w:rPr>
        <w:t xml:space="preserve"> </w:t>
      </w:r>
      <w:r>
        <w:rPr>
          <w:rFonts w:ascii="Times New Roman" w:hAnsi="Times New Roman"/>
          <w:lang w:val="sr-Latn-BA"/>
        </w:rPr>
        <w:t>је</w:t>
      </w:r>
      <w:r w:rsidR="001E3537" w:rsidRPr="00295637">
        <w:rPr>
          <w:rFonts w:ascii="Times New Roman" w:hAnsi="Times New Roman"/>
          <w:lang w:val="sr-Cyrl-BA"/>
        </w:rPr>
        <w:t xml:space="preserve"> 91,7%</w:t>
      </w:r>
      <w:r w:rsidR="001E3537" w:rsidRPr="00295637">
        <w:rPr>
          <w:rFonts w:ascii="Times New Roman" w:hAnsi="Times New Roman"/>
          <w:lang w:val="sr-Latn-BA"/>
        </w:rPr>
        <w:t xml:space="preserve">, </w:t>
      </w:r>
      <w:r>
        <w:rPr>
          <w:rFonts w:ascii="Times New Roman" w:hAnsi="Times New Roman"/>
          <w:lang w:val="sr-Latn-BA"/>
        </w:rPr>
        <w:t>према</w:t>
      </w:r>
      <w:r w:rsidR="001E3537" w:rsidRPr="00295637">
        <w:rPr>
          <w:rFonts w:ascii="Times New Roman" w:hAnsi="Times New Roman"/>
          <w:lang w:val="sr-Latn-BA"/>
        </w:rPr>
        <w:t xml:space="preserve"> </w:t>
      </w:r>
      <w:r>
        <w:rPr>
          <w:rFonts w:ascii="Times New Roman" w:hAnsi="Times New Roman"/>
          <w:lang w:val="sr-Cyrl-BA"/>
        </w:rPr>
        <w:t>методологији</w:t>
      </w:r>
      <w:r w:rsidR="001E3537" w:rsidRPr="00295637">
        <w:rPr>
          <w:rFonts w:ascii="Times New Roman" w:hAnsi="Times New Roman"/>
          <w:lang w:val="sr-Cyrl-BA"/>
        </w:rPr>
        <w:t xml:space="preserve"> </w:t>
      </w:r>
      <w:r>
        <w:rPr>
          <w:rFonts w:ascii="Times New Roman" w:hAnsi="Times New Roman"/>
          <w:lang w:val="sr-Cyrl-BA"/>
        </w:rPr>
        <w:t>Одрживих</w:t>
      </w:r>
      <w:r w:rsidR="001E3537" w:rsidRPr="00295637">
        <w:rPr>
          <w:rFonts w:ascii="Times New Roman" w:hAnsi="Times New Roman"/>
          <w:lang w:val="sr-Cyrl-BA"/>
        </w:rPr>
        <w:t xml:space="preserve"> </w:t>
      </w:r>
      <w:r>
        <w:rPr>
          <w:rFonts w:ascii="Times New Roman" w:hAnsi="Times New Roman"/>
          <w:lang w:val="sr-Cyrl-BA"/>
        </w:rPr>
        <w:t>развојних</w:t>
      </w:r>
      <w:r w:rsidR="001E3537" w:rsidRPr="00295637">
        <w:rPr>
          <w:rFonts w:ascii="Times New Roman" w:hAnsi="Times New Roman"/>
          <w:lang w:val="sr-Cyrl-BA"/>
        </w:rPr>
        <w:t xml:space="preserve"> </w:t>
      </w:r>
      <w:r>
        <w:rPr>
          <w:rFonts w:ascii="Times New Roman" w:hAnsi="Times New Roman"/>
          <w:lang w:val="sr-Cyrl-BA"/>
        </w:rPr>
        <w:t>циљева</w:t>
      </w:r>
      <w:r w:rsidR="001E3537" w:rsidRPr="00295637">
        <w:rPr>
          <w:rFonts w:ascii="Times New Roman" w:hAnsi="Times New Roman"/>
          <w:lang w:val="sr-Cyrl-BA"/>
        </w:rPr>
        <w:t xml:space="preserve"> </w:t>
      </w:r>
      <w:r>
        <w:rPr>
          <w:rFonts w:ascii="Times New Roman" w:hAnsi="Times New Roman"/>
          <w:lang w:val="sr-Cyrl-BA"/>
        </w:rPr>
        <w:t>УН</w:t>
      </w:r>
      <w:r w:rsidR="001E3537" w:rsidRPr="00295637">
        <w:rPr>
          <w:rFonts w:ascii="Times New Roman" w:hAnsi="Times New Roman"/>
          <w:lang w:val="sr-Cyrl-BA"/>
        </w:rPr>
        <w:t xml:space="preserve">, </w:t>
      </w:r>
      <w:r>
        <w:rPr>
          <w:rFonts w:ascii="Times New Roman" w:hAnsi="Times New Roman"/>
          <w:lang w:val="sr-Cyrl-BA"/>
        </w:rPr>
        <w:t>Циљ</w:t>
      </w:r>
      <w:r w:rsidR="001E3537" w:rsidRPr="00295637">
        <w:rPr>
          <w:rFonts w:ascii="Times New Roman" w:hAnsi="Times New Roman"/>
          <w:lang w:val="sr-Cyrl-BA"/>
        </w:rPr>
        <w:t xml:space="preserve"> 5</w:t>
      </w:r>
      <w:r w:rsidR="001E3537" w:rsidRPr="00295637">
        <w:rPr>
          <w:rFonts w:ascii="Times New Roman" w:hAnsi="Times New Roman"/>
          <w:lang w:val="sr-Latn-BA"/>
        </w:rPr>
        <w:t>.</w:t>
      </w:r>
    </w:p>
    <w:p w:rsidR="001E3537" w:rsidRPr="00295637" w:rsidRDefault="001E3537" w:rsidP="0086268D">
      <w:pPr>
        <w:pStyle w:val="ListParagraph"/>
        <w:ind w:left="0"/>
        <w:jc w:val="both"/>
        <w:rPr>
          <w:rFonts w:ascii="Times New Roman" w:hAnsi="Times New Roman"/>
          <w:lang w:val="sr-Latn-BA"/>
        </w:rPr>
      </w:pPr>
    </w:p>
    <w:p w:rsidR="001E3537" w:rsidRDefault="00C6214E" w:rsidP="009524C3">
      <w:pPr>
        <w:pStyle w:val="ListParagraph"/>
        <w:ind w:left="0"/>
        <w:jc w:val="both"/>
        <w:rPr>
          <w:rFonts w:ascii="Times New Roman" w:hAnsi="Times New Roman"/>
          <w:lang w:val="sr-Latn-BA"/>
        </w:rPr>
      </w:pPr>
      <w:r>
        <w:rPr>
          <w:rFonts w:ascii="Times New Roman" w:hAnsi="Times New Roman"/>
          <w:lang w:val="sr-Latn-BA"/>
        </w:rPr>
        <w:t>У</w:t>
      </w:r>
      <w:r w:rsidR="001E3537" w:rsidRPr="00295637">
        <w:rPr>
          <w:rFonts w:ascii="Times New Roman" w:hAnsi="Times New Roman"/>
          <w:lang w:val="sr-Latn-BA"/>
        </w:rPr>
        <w:t xml:space="preserve"> 2024. </w:t>
      </w:r>
      <w:r>
        <w:rPr>
          <w:rFonts w:ascii="Times New Roman" w:hAnsi="Times New Roman"/>
          <w:lang w:val="sr-Latn-BA"/>
        </w:rPr>
        <w:t>години</w:t>
      </w:r>
      <w:r w:rsidR="001E3537" w:rsidRPr="00295637">
        <w:rPr>
          <w:rFonts w:ascii="Times New Roman" w:hAnsi="Times New Roman"/>
          <w:lang w:val="sr-Latn-BA"/>
        </w:rPr>
        <w:t xml:space="preserve">, </w:t>
      </w:r>
      <w:r>
        <w:rPr>
          <w:rFonts w:ascii="Times New Roman" w:hAnsi="Times New Roman"/>
          <w:lang w:val="sr-Latn-BA"/>
        </w:rPr>
        <w:t>ЦЈРП</w:t>
      </w:r>
      <w:r w:rsidR="001E3537" w:rsidRPr="00295637">
        <w:rPr>
          <w:rFonts w:ascii="Times New Roman" w:hAnsi="Times New Roman"/>
          <w:lang w:val="sr-Latn-BA"/>
        </w:rPr>
        <w:t xml:space="preserve"> </w:t>
      </w:r>
      <w:r>
        <w:rPr>
          <w:rFonts w:ascii="Times New Roman" w:hAnsi="Times New Roman"/>
          <w:lang w:val="sr-Latn-BA"/>
        </w:rPr>
        <w:t>РС</w:t>
      </w:r>
      <w:r w:rsidR="001E3537" w:rsidRPr="00295637">
        <w:rPr>
          <w:rFonts w:ascii="Times New Roman" w:hAnsi="Times New Roman"/>
          <w:lang w:val="sr-Latn-BA"/>
        </w:rPr>
        <w:t xml:space="preserve"> </w:t>
      </w:r>
      <w:r w:rsidR="00070295">
        <w:rPr>
          <w:rFonts w:ascii="Times New Roman" w:hAnsi="Times New Roman"/>
          <w:lang w:val="sr-Latn-BA"/>
        </w:rPr>
        <w:t xml:space="preserve">је </w:t>
      </w:r>
      <w:r>
        <w:rPr>
          <w:rFonts w:ascii="Times New Roman" w:hAnsi="Times New Roman"/>
          <w:lang w:val="sr-Latn-BA"/>
        </w:rPr>
        <w:t>дао</w:t>
      </w:r>
      <w:r w:rsidR="001E3537" w:rsidRPr="00295637">
        <w:rPr>
          <w:rFonts w:ascii="Times New Roman" w:hAnsi="Times New Roman"/>
          <w:lang w:val="sr-Latn-BA"/>
        </w:rPr>
        <w:t xml:space="preserve"> </w:t>
      </w:r>
      <w:r>
        <w:rPr>
          <w:rFonts w:ascii="Times New Roman" w:hAnsi="Times New Roman"/>
          <w:lang w:val="sr-Latn-BA"/>
        </w:rPr>
        <w:t>препоруке</w:t>
      </w:r>
      <w:r w:rsidR="001E3537" w:rsidRPr="00295637">
        <w:rPr>
          <w:rFonts w:ascii="Times New Roman" w:hAnsi="Times New Roman"/>
          <w:lang w:val="sr-Latn-BA"/>
        </w:rPr>
        <w:t xml:space="preserve"> </w:t>
      </w:r>
      <w:r>
        <w:rPr>
          <w:rFonts w:ascii="Times New Roman" w:hAnsi="Times New Roman"/>
          <w:lang w:val="sr-Latn-BA"/>
        </w:rPr>
        <w:t>за</w:t>
      </w:r>
      <w:r w:rsidR="001E3537" w:rsidRPr="00295637">
        <w:rPr>
          <w:rFonts w:ascii="Times New Roman" w:hAnsi="Times New Roman"/>
          <w:lang w:val="sr-Latn-BA"/>
        </w:rPr>
        <w:t xml:space="preserve"> </w:t>
      </w:r>
      <w:r>
        <w:rPr>
          <w:rFonts w:ascii="Times New Roman" w:hAnsi="Times New Roman"/>
          <w:lang w:val="sr-Latn-BA"/>
        </w:rPr>
        <w:t>усклађивање</w:t>
      </w:r>
      <w:r w:rsidR="00346E68">
        <w:rPr>
          <w:rFonts w:ascii="Times New Roman" w:hAnsi="Times New Roman"/>
          <w:lang w:val="sr-Latn-BA"/>
        </w:rPr>
        <w:t xml:space="preserve"> </w:t>
      </w:r>
      <w:r>
        <w:rPr>
          <w:rFonts w:ascii="Times New Roman" w:hAnsi="Times New Roman"/>
          <w:lang w:val="sr-Latn-BA"/>
        </w:rPr>
        <w:t>два</w:t>
      </w:r>
      <w:r w:rsidR="00346E68">
        <w:rPr>
          <w:rFonts w:ascii="Times New Roman" w:hAnsi="Times New Roman"/>
          <w:lang w:val="sr-Latn-BA"/>
        </w:rPr>
        <w:t xml:space="preserve"> </w:t>
      </w:r>
      <w:r>
        <w:rPr>
          <w:rFonts w:ascii="Times New Roman" w:hAnsi="Times New Roman"/>
          <w:lang w:val="sr-Latn-BA"/>
        </w:rPr>
        <w:t>приједлога</w:t>
      </w:r>
      <w:r w:rsidR="00346E68">
        <w:rPr>
          <w:rFonts w:ascii="Times New Roman" w:hAnsi="Times New Roman"/>
          <w:lang w:val="sr-Latn-BA"/>
        </w:rPr>
        <w:t xml:space="preserve"> </w:t>
      </w:r>
      <w:r>
        <w:rPr>
          <w:rFonts w:ascii="Times New Roman" w:hAnsi="Times New Roman"/>
          <w:lang w:val="sr-Latn-BA"/>
        </w:rPr>
        <w:t>закона</w:t>
      </w:r>
      <w:r w:rsidR="00346E68">
        <w:rPr>
          <w:rFonts w:ascii="Times New Roman" w:hAnsi="Times New Roman"/>
          <w:lang w:val="sr-Latn-BA"/>
        </w:rPr>
        <w:t xml:space="preserve"> </w:t>
      </w:r>
      <w:r>
        <w:rPr>
          <w:rFonts w:ascii="Times New Roman" w:hAnsi="Times New Roman"/>
          <w:lang w:val="sr-Latn-BA"/>
        </w:rPr>
        <w:t>са</w:t>
      </w:r>
      <w:r w:rsidR="001E3537" w:rsidRPr="00295637">
        <w:rPr>
          <w:rFonts w:ascii="Times New Roman" w:hAnsi="Times New Roman"/>
          <w:lang w:val="sr-Latn-BA"/>
        </w:rPr>
        <w:t xml:space="preserve"> </w:t>
      </w:r>
      <w:r>
        <w:rPr>
          <w:rFonts w:ascii="Times New Roman" w:hAnsi="Times New Roman"/>
          <w:lang w:val="sr-Latn-BA"/>
        </w:rPr>
        <w:t>чланом</w:t>
      </w:r>
      <w:r w:rsidR="001E3537" w:rsidRPr="00295637">
        <w:rPr>
          <w:rFonts w:ascii="Times New Roman" w:hAnsi="Times New Roman"/>
          <w:lang w:val="sr-Latn-BA"/>
        </w:rPr>
        <w:t xml:space="preserve"> 20. </w:t>
      </w:r>
      <w:r>
        <w:rPr>
          <w:rFonts w:ascii="Times New Roman" w:hAnsi="Times New Roman"/>
          <w:lang w:val="sr-Latn-BA"/>
        </w:rPr>
        <w:t>ЗоР</w:t>
      </w:r>
      <w:r w:rsidR="00070295">
        <w:rPr>
          <w:rFonts w:ascii="Times New Roman" w:hAnsi="Times New Roman"/>
          <w:lang w:val="sr-Cyrl-BA"/>
        </w:rPr>
        <w:t>П</w:t>
      </w:r>
      <w:r w:rsidR="00346E68">
        <w:rPr>
          <w:rFonts w:ascii="Times New Roman" w:hAnsi="Times New Roman"/>
          <w:lang w:val="sr-Latn-BA"/>
        </w:rPr>
        <w:t xml:space="preserve"> </w:t>
      </w:r>
      <w:r>
        <w:rPr>
          <w:rFonts w:ascii="Times New Roman" w:hAnsi="Times New Roman"/>
          <w:lang w:val="sr-Latn-BA"/>
        </w:rPr>
        <w:t>БиХ</w:t>
      </w:r>
      <w:r w:rsidR="00346E68">
        <w:rPr>
          <w:rFonts w:ascii="Times New Roman" w:hAnsi="Times New Roman"/>
          <w:lang w:val="sr-Latn-BA"/>
        </w:rPr>
        <w:t xml:space="preserve"> (</w:t>
      </w:r>
      <w:r>
        <w:rPr>
          <w:rFonts w:ascii="Times New Roman" w:hAnsi="Times New Roman"/>
          <w:lang w:val="sr-Latn-BA"/>
        </w:rPr>
        <w:t>обавеза</w:t>
      </w:r>
      <w:r w:rsidR="001E3537" w:rsidRPr="00295637">
        <w:rPr>
          <w:rFonts w:ascii="Times New Roman" w:hAnsi="Times New Roman"/>
          <w:lang w:val="sr-Latn-BA"/>
        </w:rPr>
        <w:t xml:space="preserve"> </w:t>
      </w:r>
      <w:r>
        <w:rPr>
          <w:rFonts w:ascii="Times New Roman" w:hAnsi="Times New Roman"/>
          <w:lang w:val="sr-Latn-BA"/>
        </w:rPr>
        <w:t>равноправне</w:t>
      </w:r>
      <w:r w:rsidR="001E3537" w:rsidRPr="00295637">
        <w:rPr>
          <w:rFonts w:ascii="Times New Roman" w:hAnsi="Times New Roman"/>
          <w:lang w:val="sr-Latn-BA"/>
        </w:rPr>
        <w:t xml:space="preserve"> </w:t>
      </w:r>
      <w:r>
        <w:rPr>
          <w:rFonts w:ascii="Times New Roman" w:hAnsi="Times New Roman"/>
          <w:lang w:val="sr-Latn-BA"/>
        </w:rPr>
        <w:t>заступљености</w:t>
      </w:r>
      <w:r w:rsidR="001E3537" w:rsidRPr="00295637">
        <w:rPr>
          <w:rFonts w:ascii="Times New Roman" w:hAnsi="Times New Roman"/>
          <w:lang w:val="sr-Latn-BA"/>
        </w:rPr>
        <w:t xml:space="preserve"> </w:t>
      </w:r>
      <w:r>
        <w:rPr>
          <w:rFonts w:ascii="Times New Roman" w:hAnsi="Times New Roman"/>
          <w:lang w:val="sr-Latn-BA"/>
        </w:rPr>
        <w:t>полова</w:t>
      </w:r>
      <w:r w:rsidR="001E3537" w:rsidRPr="00295637">
        <w:rPr>
          <w:rFonts w:ascii="Times New Roman" w:hAnsi="Times New Roman"/>
          <w:lang w:val="sr-Latn-BA"/>
        </w:rPr>
        <w:t xml:space="preserve"> </w:t>
      </w:r>
      <w:r>
        <w:rPr>
          <w:rFonts w:ascii="Times New Roman" w:hAnsi="Times New Roman"/>
          <w:lang w:val="sr-Latn-BA"/>
        </w:rPr>
        <w:t>приликом</w:t>
      </w:r>
      <w:r w:rsidR="001E3537" w:rsidRPr="00295637">
        <w:rPr>
          <w:rFonts w:ascii="Times New Roman" w:hAnsi="Times New Roman"/>
          <w:lang w:val="sr-Latn-BA"/>
        </w:rPr>
        <w:t xml:space="preserve"> </w:t>
      </w:r>
      <w:r>
        <w:rPr>
          <w:rFonts w:ascii="Times New Roman" w:hAnsi="Times New Roman"/>
          <w:lang w:val="sr-Latn-BA"/>
        </w:rPr>
        <w:t>именовања</w:t>
      </w:r>
      <w:r w:rsidR="001E3537" w:rsidRPr="00295637">
        <w:rPr>
          <w:rFonts w:ascii="Times New Roman" w:hAnsi="Times New Roman"/>
          <w:lang w:val="sr-Latn-BA"/>
        </w:rPr>
        <w:t xml:space="preserve"> </w:t>
      </w:r>
      <w:r>
        <w:rPr>
          <w:rFonts w:ascii="Times New Roman" w:hAnsi="Times New Roman"/>
          <w:lang w:val="sr-Latn-BA"/>
        </w:rPr>
        <w:t>комисија</w:t>
      </w:r>
      <w:r w:rsidR="001E3537" w:rsidRPr="00295637">
        <w:rPr>
          <w:rFonts w:ascii="Times New Roman" w:hAnsi="Times New Roman"/>
          <w:lang w:val="sr-Latn-BA"/>
        </w:rPr>
        <w:t>).</w:t>
      </w:r>
    </w:p>
    <w:p w:rsidR="00AE7EB2" w:rsidRPr="00070295" w:rsidRDefault="00AE7EB2" w:rsidP="0086268D">
      <w:pPr>
        <w:rPr>
          <w:lang w:val="hr-HR"/>
        </w:rPr>
      </w:pPr>
    </w:p>
    <w:p w:rsidR="00356C2C" w:rsidRPr="00295637" w:rsidRDefault="00070295" w:rsidP="00081773">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I</w:t>
      </w:r>
      <w:r w:rsidR="00081773">
        <w:rPr>
          <w:rFonts w:ascii="Times New Roman" w:eastAsia="Calibri" w:hAnsi="Times New Roman"/>
          <w:szCs w:val="24"/>
          <w:lang w:val="bs-Latn-BA"/>
        </w:rPr>
        <w:t xml:space="preserve"> 2.2. </w:t>
      </w:r>
      <w:r>
        <w:rPr>
          <w:rFonts w:ascii="Times New Roman" w:eastAsia="Calibri" w:hAnsi="Times New Roman"/>
          <w:szCs w:val="24"/>
          <w:lang w:val="sr-Cyrl-BA"/>
        </w:rPr>
        <w:t>Спровођење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гендер</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анализа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истраживања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учешћу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жена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мушкараца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јавном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животу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доношењу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одлука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бази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редовног</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вођења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објављивања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статистичке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евиденције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разврстане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полу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заступљености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изборним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кандидатским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листама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резултатима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избора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свим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нивоима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власти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те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заступљености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жена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мушкараца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извршној</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власти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јавној</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управи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судству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дипломатији</w:t>
      </w:r>
      <w:r w:rsidR="00356C2C" w:rsidRPr="00295637">
        <w:rPr>
          <w:rFonts w:ascii="Times New Roman" w:eastAsia="Calibri" w:hAnsi="Times New Roman"/>
          <w:szCs w:val="24"/>
          <w:lang w:val="bs-Latn-BA"/>
        </w:rPr>
        <w:t>.</w:t>
      </w:r>
    </w:p>
    <w:p w:rsidR="00C142CC" w:rsidRPr="00295637" w:rsidRDefault="00C142CC" w:rsidP="0086268D">
      <w:pPr>
        <w:tabs>
          <w:tab w:val="left" w:pos="0"/>
        </w:tabs>
        <w:jc w:val="both"/>
        <w:rPr>
          <w:rFonts w:ascii="Times New Roman" w:hAnsi="Times New Roman"/>
          <w:bCs/>
          <w:szCs w:val="24"/>
          <w:lang w:val="it-IT"/>
        </w:rPr>
      </w:pPr>
    </w:p>
    <w:p w:rsidR="00876F62" w:rsidRPr="00295637" w:rsidRDefault="00C6214E" w:rsidP="0086268D">
      <w:pPr>
        <w:jc w:val="both"/>
        <w:rPr>
          <w:rFonts w:ascii="Times New Roman" w:hAnsi="Times New Roman"/>
          <w:szCs w:val="24"/>
        </w:rPr>
      </w:pPr>
      <w:bookmarkStart w:id="23" w:name="_Toc193788527"/>
      <w:r>
        <w:rPr>
          <w:rFonts w:ascii="Times New Roman" w:hAnsi="Times New Roman"/>
          <w:szCs w:val="24"/>
        </w:rPr>
        <w:t>ЦИК</w:t>
      </w:r>
      <w:r w:rsidR="00F35F38" w:rsidRPr="00295637">
        <w:rPr>
          <w:rFonts w:ascii="Times New Roman" w:hAnsi="Times New Roman"/>
          <w:szCs w:val="24"/>
        </w:rPr>
        <w:t xml:space="preserve"> </w:t>
      </w:r>
      <w:r>
        <w:rPr>
          <w:rFonts w:ascii="Times New Roman" w:hAnsi="Times New Roman"/>
          <w:szCs w:val="24"/>
        </w:rPr>
        <w:t>БиХ</w:t>
      </w:r>
      <w:r w:rsidR="009524C3">
        <w:rPr>
          <w:rFonts w:ascii="Times New Roman" w:hAnsi="Times New Roman"/>
          <w:szCs w:val="24"/>
        </w:rPr>
        <w:t xml:space="preserve"> </w:t>
      </w:r>
      <w:r>
        <w:rPr>
          <w:rFonts w:ascii="Times New Roman" w:hAnsi="Times New Roman"/>
          <w:szCs w:val="24"/>
        </w:rPr>
        <w:t>након</w:t>
      </w:r>
      <w:r w:rsidR="00604363" w:rsidRPr="00295637">
        <w:rPr>
          <w:rFonts w:ascii="Times New Roman" w:hAnsi="Times New Roman"/>
          <w:szCs w:val="24"/>
        </w:rPr>
        <w:t xml:space="preserve"> </w:t>
      </w:r>
      <w:r>
        <w:rPr>
          <w:rFonts w:ascii="Times New Roman" w:hAnsi="Times New Roman"/>
          <w:szCs w:val="24"/>
        </w:rPr>
        <w:t>избора</w:t>
      </w:r>
      <w:r w:rsidR="00604363" w:rsidRPr="00295637">
        <w:rPr>
          <w:rFonts w:ascii="Times New Roman" w:hAnsi="Times New Roman"/>
          <w:szCs w:val="24"/>
        </w:rPr>
        <w:t xml:space="preserve"> </w:t>
      </w:r>
      <w:r>
        <w:rPr>
          <w:rFonts w:ascii="Times New Roman" w:hAnsi="Times New Roman"/>
          <w:szCs w:val="24"/>
        </w:rPr>
        <w:t>реализ</w:t>
      </w:r>
      <w:r w:rsidR="00070295">
        <w:rPr>
          <w:rFonts w:ascii="Times New Roman" w:hAnsi="Times New Roman"/>
          <w:szCs w:val="24"/>
          <w:lang w:val="sr-Cyrl-BA"/>
        </w:rPr>
        <w:t>ује</w:t>
      </w:r>
      <w:r w:rsidR="00604363" w:rsidRPr="00295637">
        <w:rPr>
          <w:rFonts w:ascii="Times New Roman" w:hAnsi="Times New Roman"/>
          <w:szCs w:val="24"/>
        </w:rPr>
        <w:t xml:space="preserve"> </w:t>
      </w:r>
      <w:r>
        <w:rPr>
          <w:rFonts w:ascii="Times New Roman" w:hAnsi="Times New Roman"/>
          <w:szCs w:val="24"/>
        </w:rPr>
        <w:t>детаљне</w:t>
      </w:r>
      <w:r w:rsidR="00604363" w:rsidRPr="00295637">
        <w:rPr>
          <w:rFonts w:ascii="Times New Roman" w:hAnsi="Times New Roman"/>
          <w:szCs w:val="24"/>
        </w:rPr>
        <w:t xml:space="preserve"> </w:t>
      </w:r>
      <w:r>
        <w:rPr>
          <w:rFonts w:ascii="Times New Roman" w:hAnsi="Times New Roman"/>
          <w:szCs w:val="24"/>
        </w:rPr>
        <w:t>анализе</w:t>
      </w:r>
      <w:r w:rsidR="00604363" w:rsidRPr="00295637">
        <w:rPr>
          <w:rFonts w:ascii="Times New Roman" w:hAnsi="Times New Roman"/>
          <w:szCs w:val="24"/>
        </w:rPr>
        <w:t xml:space="preserve"> </w:t>
      </w:r>
      <w:r>
        <w:rPr>
          <w:rFonts w:ascii="Times New Roman" w:hAnsi="Times New Roman"/>
          <w:szCs w:val="24"/>
        </w:rPr>
        <w:t>кандидата</w:t>
      </w:r>
      <w:r w:rsidR="00604363" w:rsidRPr="00295637">
        <w:rPr>
          <w:rFonts w:ascii="Times New Roman" w:hAnsi="Times New Roman"/>
          <w:szCs w:val="24"/>
        </w:rPr>
        <w:t>/</w:t>
      </w:r>
      <w:r>
        <w:rPr>
          <w:rFonts w:ascii="Times New Roman" w:hAnsi="Times New Roman"/>
          <w:szCs w:val="24"/>
        </w:rPr>
        <w:t>киња</w:t>
      </w:r>
      <w:r w:rsidR="00604363" w:rsidRPr="00295637">
        <w:rPr>
          <w:rFonts w:ascii="Times New Roman" w:hAnsi="Times New Roman"/>
          <w:szCs w:val="24"/>
        </w:rPr>
        <w:t xml:space="preserve"> </w:t>
      </w:r>
      <w:r>
        <w:rPr>
          <w:rFonts w:ascii="Times New Roman" w:hAnsi="Times New Roman"/>
          <w:szCs w:val="24"/>
        </w:rPr>
        <w:t>и</w:t>
      </w:r>
      <w:r w:rsidR="00604363" w:rsidRPr="00295637">
        <w:rPr>
          <w:rFonts w:ascii="Times New Roman" w:hAnsi="Times New Roman"/>
          <w:szCs w:val="24"/>
        </w:rPr>
        <w:t xml:space="preserve"> </w:t>
      </w:r>
      <w:r>
        <w:rPr>
          <w:rFonts w:ascii="Times New Roman" w:hAnsi="Times New Roman"/>
          <w:szCs w:val="24"/>
        </w:rPr>
        <w:t>резултата</w:t>
      </w:r>
      <w:r w:rsidR="00276393" w:rsidRPr="00295637">
        <w:rPr>
          <w:rFonts w:ascii="Times New Roman" w:hAnsi="Times New Roman"/>
          <w:szCs w:val="24"/>
        </w:rPr>
        <w:t xml:space="preserve"> </w:t>
      </w:r>
      <w:r>
        <w:rPr>
          <w:rFonts w:ascii="Times New Roman" w:hAnsi="Times New Roman"/>
          <w:szCs w:val="24"/>
        </w:rPr>
        <w:t>избора</w:t>
      </w:r>
      <w:r w:rsidR="00276393" w:rsidRPr="00295637">
        <w:rPr>
          <w:rFonts w:ascii="Times New Roman" w:hAnsi="Times New Roman"/>
          <w:szCs w:val="24"/>
        </w:rPr>
        <w:t xml:space="preserve"> </w:t>
      </w:r>
      <w:r>
        <w:rPr>
          <w:rFonts w:ascii="Times New Roman" w:hAnsi="Times New Roman"/>
          <w:szCs w:val="24"/>
        </w:rPr>
        <w:t>из</w:t>
      </w:r>
      <w:r w:rsidR="00276393" w:rsidRPr="00295637">
        <w:rPr>
          <w:rFonts w:ascii="Times New Roman" w:hAnsi="Times New Roman"/>
          <w:szCs w:val="24"/>
        </w:rPr>
        <w:t xml:space="preserve"> </w:t>
      </w:r>
      <w:r>
        <w:rPr>
          <w:rFonts w:ascii="Times New Roman" w:hAnsi="Times New Roman"/>
          <w:szCs w:val="24"/>
        </w:rPr>
        <w:t>перспективе</w:t>
      </w:r>
      <w:r w:rsidR="00276393" w:rsidRPr="00295637">
        <w:rPr>
          <w:rFonts w:ascii="Times New Roman" w:hAnsi="Times New Roman"/>
          <w:szCs w:val="24"/>
        </w:rPr>
        <w:t xml:space="preserve"> </w:t>
      </w:r>
      <w:r>
        <w:rPr>
          <w:rFonts w:ascii="Times New Roman" w:hAnsi="Times New Roman"/>
          <w:szCs w:val="24"/>
        </w:rPr>
        <w:t>равноправности</w:t>
      </w:r>
      <w:r w:rsidR="00604363" w:rsidRPr="00295637">
        <w:rPr>
          <w:rFonts w:ascii="Times New Roman" w:hAnsi="Times New Roman"/>
          <w:szCs w:val="24"/>
        </w:rPr>
        <w:t xml:space="preserve"> </w:t>
      </w:r>
      <w:r>
        <w:rPr>
          <w:rFonts w:ascii="Times New Roman" w:hAnsi="Times New Roman"/>
          <w:szCs w:val="24"/>
        </w:rPr>
        <w:t>полова</w:t>
      </w:r>
      <w:r w:rsidR="00604363" w:rsidRPr="00295637">
        <w:rPr>
          <w:rFonts w:ascii="Times New Roman" w:hAnsi="Times New Roman"/>
          <w:szCs w:val="24"/>
        </w:rPr>
        <w:t xml:space="preserve">. </w:t>
      </w:r>
      <w:r>
        <w:rPr>
          <w:rFonts w:ascii="Times New Roman" w:hAnsi="Times New Roman"/>
          <w:szCs w:val="24"/>
        </w:rPr>
        <w:t>Налази</w:t>
      </w:r>
      <w:r w:rsidR="00604363" w:rsidRPr="00295637">
        <w:rPr>
          <w:rFonts w:ascii="Times New Roman" w:hAnsi="Times New Roman"/>
          <w:szCs w:val="24"/>
        </w:rPr>
        <w:t xml:space="preserve"> </w:t>
      </w:r>
      <w:r>
        <w:rPr>
          <w:rFonts w:ascii="Times New Roman" w:hAnsi="Times New Roman"/>
          <w:szCs w:val="24"/>
        </w:rPr>
        <w:t>родне</w:t>
      </w:r>
      <w:r w:rsidR="00604363" w:rsidRPr="00295637">
        <w:rPr>
          <w:rFonts w:ascii="Times New Roman" w:hAnsi="Times New Roman"/>
          <w:szCs w:val="24"/>
        </w:rPr>
        <w:t xml:space="preserve"> </w:t>
      </w:r>
      <w:r>
        <w:rPr>
          <w:rFonts w:ascii="Times New Roman" w:hAnsi="Times New Roman"/>
          <w:szCs w:val="24"/>
        </w:rPr>
        <w:t>анализе</w:t>
      </w:r>
      <w:r w:rsidR="00604363" w:rsidRPr="00295637">
        <w:rPr>
          <w:rFonts w:ascii="Times New Roman" w:hAnsi="Times New Roman"/>
          <w:szCs w:val="24"/>
        </w:rPr>
        <w:t xml:space="preserve"> </w:t>
      </w:r>
      <w:r>
        <w:rPr>
          <w:rFonts w:ascii="Times New Roman" w:hAnsi="Times New Roman"/>
          <w:szCs w:val="24"/>
        </w:rPr>
        <w:t>Локалних</w:t>
      </w:r>
      <w:r w:rsidR="00604363" w:rsidRPr="00295637">
        <w:rPr>
          <w:rFonts w:ascii="Times New Roman" w:hAnsi="Times New Roman"/>
          <w:szCs w:val="24"/>
        </w:rPr>
        <w:t xml:space="preserve"> </w:t>
      </w:r>
      <w:r>
        <w:rPr>
          <w:rFonts w:ascii="Times New Roman" w:hAnsi="Times New Roman"/>
          <w:szCs w:val="24"/>
        </w:rPr>
        <w:t>избора</w:t>
      </w:r>
      <w:r w:rsidR="00604363" w:rsidRPr="00295637">
        <w:rPr>
          <w:rFonts w:ascii="Times New Roman" w:hAnsi="Times New Roman"/>
          <w:szCs w:val="24"/>
        </w:rPr>
        <w:t xml:space="preserve"> </w:t>
      </w:r>
      <w:r>
        <w:rPr>
          <w:rFonts w:ascii="Times New Roman" w:hAnsi="Times New Roman"/>
          <w:szCs w:val="24"/>
        </w:rPr>
        <w:t>одржаних</w:t>
      </w:r>
      <w:r w:rsidR="00604363" w:rsidRPr="00295637">
        <w:rPr>
          <w:rFonts w:ascii="Times New Roman" w:hAnsi="Times New Roman"/>
          <w:szCs w:val="24"/>
        </w:rPr>
        <w:t xml:space="preserve"> 2024</w:t>
      </w:r>
      <w:r w:rsidR="00752BA5" w:rsidRPr="00295637">
        <w:rPr>
          <w:rFonts w:ascii="Times New Roman" w:hAnsi="Times New Roman"/>
          <w:szCs w:val="24"/>
        </w:rPr>
        <w:t>.</w:t>
      </w:r>
      <w:r w:rsidR="00346E68">
        <w:rPr>
          <w:rFonts w:ascii="Times New Roman" w:hAnsi="Times New Roman"/>
          <w:szCs w:val="24"/>
        </w:rPr>
        <w:t xml:space="preserve"> </w:t>
      </w:r>
      <w:r>
        <w:rPr>
          <w:rFonts w:ascii="Times New Roman" w:hAnsi="Times New Roman"/>
          <w:szCs w:val="24"/>
        </w:rPr>
        <w:t>године</w:t>
      </w:r>
      <w:r w:rsidR="00604363" w:rsidRPr="00295637">
        <w:rPr>
          <w:rFonts w:ascii="Times New Roman" w:hAnsi="Times New Roman"/>
          <w:szCs w:val="24"/>
        </w:rPr>
        <w:t xml:space="preserve"> </w:t>
      </w:r>
      <w:r>
        <w:rPr>
          <w:rFonts w:ascii="Times New Roman" w:hAnsi="Times New Roman"/>
          <w:szCs w:val="24"/>
        </w:rPr>
        <w:t>презент</w:t>
      </w:r>
      <w:r w:rsidR="00070295">
        <w:rPr>
          <w:rFonts w:ascii="Times New Roman" w:hAnsi="Times New Roman"/>
          <w:szCs w:val="24"/>
          <w:lang w:val="sr-Cyrl-BA"/>
        </w:rPr>
        <w:t>овани</w:t>
      </w:r>
      <w:r w:rsidR="00604363" w:rsidRPr="00295637">
        <w:rPr>
          <w:rFonts w:ascii="Times New Roman" w:hAnsi="Times New Roman"/>
          <w:szCs w:val="24"/>
        </w:rPr>
        <w:t xml:space="preserve"> </w:t>
      </w:r>
      <w:r>
        <w:rPr>
          <w:rFonts w:ascii="Times New Roman" w:hAnsi="Times New Roman"/>
          <w:szCs w:val="24"/>
        </w:rPr>
        <w:t>су</w:t>
      </w:r>
      <w:r w:rsidR="00604363" w:rsidRPr="00295637">
        <w:rPr>
          <w:rFonts w:ascii="Times New Roman" w:hAnsi="Times New Roman"/>
          <w:szCs w:val="24"/>
        </w:rPr>
        <w:t xml:space="preserve"> </w:t>
      </w:r>
      <w:r>
        <w:rPr>
          <w:rFonts w:ascii="Times New Roman" w:hAnsi="Times New Roman"/>
          <w:szCs w:val="24"/>
        </w:rPr>
        <w:t>изнад</w:t>
      </w:r>
      <w:r w:rsidR="001731A7" w:rsidRPr="00295637">
        <w:rPr>
          <w:rFonts w:ascii="Times New Roman" w:hAnsi="Times New Roman"/>
          <w:szCs w:val="24"/>
        </w:rPr>
        <w:t>,</w:t>
      </w:r>
      <w:r w:rsidR="00604363" w:rsidRPr="00295637">
        <w:rPr>
          <w:rFonts w:ascii="Times New Roman" w:hAnsi="Times New Roman"/>
          <w:szCs w:val="24"/>
        </w:rPr>
        <w:t xml:space="preserve"> </w:t>
      </w:r>
      <w:r>
        <w:rPr>
          <w:rFonts w:ascii="Times New Roman" w:hAnsi="Times New Roman"/>
          <w:szCs w:val="24"/>
        </w:rPr>
        <w:t>у</w:t>
      </w:r>
      <w:r w:rsidR="00604363" w:rsidRPr="00295637">
        <w:rPr>
          <w:rFonts w:ascii="Times New Roman" w:hAnsi="Times New Roman"/>
          <w:szCs w:val="24"/>
        </w:rPr>
        <w:t xml:space="preserve"> </w:t>
      </w:r>
      <w:r>
        <w:rPr>
          <w:rFonts w:ascii="Times New Roman" w:hAnsi="Times New Roman"/>
          <w:szCs w:val="24"/>
        </w:rPr>
        <w:t>уводу</w:t>
      </w:r>
      <w:r w:rsidR="00604363" w:rsidRPr="00295637">
        <w:rPr>
          <w:rFonts w:ascii="Times New Roman" w:hAnsi="Times New Roman"/>
          <w:szCs w:val="24"/>
        </w:rPr>
        <w:t xml:space="preserve"> </w:t>
      </w:r>
      <w:r>
        <w:rPr>
          <w:rFonts w:ascii="Times New Roman" w:hAnsi="Times New Roman"/>
          <w:szCs w:val="24"/>
        </w:rPr>
        <w:t>у</w:t>
      </w:r>
      <w:r w:rsidR="00604363" w:rsidRPr="00295637">
        <w:rPr>
          <w:rFonts w:ascii="Times New Roman" w:hAnsi="Times New Roman"/>
          <w:szCs w:val="24"/>
        </w:rPr>
        <w:t xml:space="preserve"> </w:t>
      </w:r>
      <w:r>
        <w:rPr>
          <w:rFonts w:ascii="Times New Roman" w:hAnsi="Times New Roman"/>
          <w:szCs w:val="24"/>
        </w:rPr>
        <w:t>ову</w:t>
      </w:r>
      <w:r w:rsidR="00604363" w:rsidRPr="00295637">
        <w:rPr>
          <w:rFonts w:ascii="Times New Roman" w:hAnsi="Times New Roman"/>
          <w:szCs w:val="24"/>
        </w:rPr>
        <w:t xml:space="preserve"> </w:t>
      </w:r>
      <w:r>
        <w:rPr>
          <w:rFonts w:ascii="Times New Roman" w:hAnsi="Times New Roman"/>
          <w:szCs w:val="24"/>
        </w:rPr>
        <w:t>секцију</w:t>
      </w:r>
      <w:r w:rsidR="00604363" w:rsidRPr="00295637">
        <w:rPr>
          <w:rFonts w:ascii="Times New Roman" w:hAnsi="Times New Roman"/>
          <w:szCs w:val="24"/>
        </w:rPr>
        <w:t xml:space="preserve"> </w:t>
      </w:r>
      <w:r>
        <w:rPr>
          <w:rFonts w:ascii="Times New Roman" w:hAnsi="Times New Roman"/>
          <w:szCs w:val="24"/>
        </w:rPr>
        <w:t>извјештаја</w:t>
      </w:r>
      <w:r w:rsidR="00604363" w:rsidRPr="00295637">
        <w:rPr>
          <w:rFonts w:ascii="Times New Roman" w:hAnsi="Times New Roman"/>
          <w:szCs w:val="24"/>
        </w:rPr>
        <w:t>.</w:t>
      </w:r>
    </w:p>
    <w:p w:rsidR="00604363" w:rsidRPr="00295637" w:rsidRDefault="00604363" w:rsidP="0086268D">
      <w:pPr>
        <w:jc w:val="both"/>
        <w:rPr>
          <w:rFonts w:ascii="Times New Roman" w:hAnsi="Times New Roman"/>
          <w:szCs w:val="24"/>
        </w:rPr>
      </w:pPr>
    </w:p>
    <w:p w:rsidR="00A708B8" w:rsidRPr="00295637" w:rsidRDefault="00C6214E" w:rsidP="0086268D">
      <w:pPr>
        <w:jc w:val="both"/>
        <w:rPr>
          <w:rFonts w:ascii="Times New Roman" w:hAnsi="Times New Roman"/>
          <w:lang w:val="bs-Latn-BA"/>
        </w:rPr>
      </w:pPr>
      <w:r>
        <w:rPr>
          <w:rFonts w:ascii="Times New Roman" w:hAnsi="Times New Roman"/>
          <w:lang w:val="bs-Latn-BA"/>
        </w:rPr>
        <w:t>У</w:t>
      </w:r>
      <w:r w:rsidR="004733E3" w:rsidRPr="00295637">
        <w:rPr>
          <w:rFonts w:ascii="Times New Roman" w:hAnsi="Times New Roman"/>
          <w:lang w:val="bs-Latn-BA"/>
        </w:rPr>
        <w:t xml:space="preserve"> </w:t>
      </w:r>
      <w:r>
        <w:rPr>
          <w:rFonts w:ascii="Times New Roman" w:hAnsi="Times New Roman"/>
          <w:lang w:val="bs-Latn-BA"/>
        </w:rPr>
        <w:t>ФБиХ</w:t>
      </w:r>
      <w:r w:rsidR="00876F62" w:rsidRPr="00295637">
        <w:rPr>
          <w:rFonts w:ascii="Times New Roman" w:hAnsi="Times New Roman"/>
          <w:lang w:val="bs-Latn-BA"/>
        </w:rPr>
        <w:t xml:space="preserve"> </w:t>
      </w:r>
      <w:r>
        <w:rPr>
          <w:rFonts w:ascii="Times New Roman" w:hAnsi="Times New Roman"/>
          <w:lang w:val="bs-Latn-BA"/>
        </w:rPr>
        <w:t>биљежи</w:t>
      </w:r>
      <w:r w:rsidR="00876F62" w:rsidRPr="00295637">
        <w:rPr>
          <w:rFonts w:ascii="Times New Roman" w:hAnsi="Times New Roman"/>
          <w:lang w:val="bs-Latn-BA"/>
        </w:rPr>
        <w:t xml:space="preserve"> </w:t>
      </w:r>
      <w:r>
        <w:rPr>
          <w:rFonts w:ascii="Times New Roman" w:hAnsi="Times New Roman"/>
          <w:lang w:val="bs-Latn-BA"/>
        </w:rPr>
        <w:t>се</w:t>
      </w:r>
      <w:r w:rsidR="00346E68" w:rsidRPr="00295637">
        <w:rPr>
          <w:rFonts w:ascii="Times New Roman" w:hAnsi="Times New Roman"/>
          <w:lang w:val="bs-Latn-BA"/>
        </w:rPr>
        <w:t xml:space="preserve"> </w:t>
      </w:r>
      <w:r>
        <w:rPr>
          <w:rFonts w:ascii="Times New Roman" w:hAnsi="Times New Roman"/>
          <w:lang w:val="bs-Latn-BA"/>
        </w:rPr>
        <w:t>благи</w:t>
      </w:r>
      <w:r w:rsidR="00876F62" w:rsidRPr="00295637">
        <w:rPr>
          <w:rFonts w:ascii="Times New Roman" w:hAnsi="Times New Roman"/>
          <w:lang w:val="bs-Latn-BA"/>
        </w:rPr>
        <w:t xml:space="preserve"> </w:t>
      </w:r>
      <w:r>
        <w:rPr>
          <w:rFonts w:ascii="Times New Roman" w:hAnsi="Times New Roman"/>
          <w:lang w:val="bs-Latn-BA"/>
        </w:rPr>
        <w:t>пораст</w:t>
      </w:r>
      <w:r w:rsidR="00876F62" w:rsidRPr="00295637">
        <w:rPr>
          <w:rFonts w:ascii="Times New Roman" w:hAnsi="Times New Roman"/>
          <w:lang w:val="bs-Latn-BA"/>
        </w:rPr>
        <w:t xml:space="preserve"> </w:t>
      </w:r>
      <w:r>
        <w:rPr>
          <w:rFonts w:ascii="Times New Roman" w:hAnsi="Times New Roman"/>
          <w:lang w:val="bs-Latn-BA"/>
        </w:rPr>
        <w:t>броја</w:t>
      </w:r>
      <w:r w:rsidR="00876F62" w:rsidRPr="00295637">
        <w:rPr>
          <w:rFonts w:ascii="Times New Roman" w:hAnsi="Times New Roman"/>
          <w:lang w:val="bs-Latn-BA"/>
        </w:rPr>
        <w:t xml:space="preserve"> </w:t>
      </w:r>
      <w:r>
        <w:rPr>
          <w:rFonts w:ascii="Times New Roman" w:hAnsi="Times New Roman"/>
          <w:lang w:val="bs-Latn-BA"/>
        </w:rPr>
        <w:t>изабраних</w:t>
      </w:r>
      <w:r w:rsidR="00876F62" w:rsidRPr="00295637">
        <w:rPr>
          <w:rFonts w:ascii="Times New Roman" w:hAnsi="Times New Roman"/>
          <w:lang w:val="bs-Latn-BA"/>
        </w:rPr>
        <w:t xml:space="preserve"> </w:t>
      </w:r>
      <w:r>
        <w:rPr>
          <w:rFonts w:ascii="Times New Roman" w:hAnsi="Times New Roman"/>
          <w:lang w:val="bs-Latn-BA"/>
        </w:rPr>
        <w:t>жена</w:t>
      </w:r>
      <w:r w:rsidR="00876F62" w:rsidRPr="00295637">
        <w:rPr>
          <w:rFonts w:ascii="Times New Roman" w:hAnsi="Times New Roman"/>
          <w:lang w:val="bs-Latn-BA"/>
        </w:rPr>
        <w:t xml:space="preserve"> </w:t>
      </w:r>
      <w:r>
        <w:rPr>
          <w:rFonts w:ascii="Times New Roman" w:hAnsi="Times New Roman"/>
          <w:lang w:val="bs-Latn-BA"/>
        </w:rPr>
        <w:t>у</w:t>
      </w:r>
      <w:r w:rsidR="00876F62" w:rsidRPr="00295637">
        <w:rPr>
          <w:rFonts w:ascii="Times New Roman" w:hAnsi="Times New Roman"/>
          <w:lang w:val="bs-Latn-BA"/>
        </w:rPr>
        <w:t xml:space="preserve"> </w:t>
      </w:r>
      <w:r>
        <w:rPr>
          <w:rFonts w:ascii="Times New Roman" w:hAnsi="Times New Roman"/>
          <w:lang w:val="bs-Latn-BA"/>
        </w:rPr>
        <w:t>односу</w:t>
      </w:r>
      <w:r w:rsidR="00876F62" w:rsidRPr="00295637">
        <w:rPr>
          <w:rFonts w:ascii="Times New Roman" w:hAnsi="Times New Roman"/>
          <w:lang w:val="bs-Latn-BA"/>
        </w:rPr>
        <w:t xml:space="preserve"> </w:t>
      </w:r>
      <w:r>
        <w:rPr>
          <w:rFonts w:ascii="Times New Roman" w:hAnsi="Times New Roman"/>
          <w:lang w:val="bs-Latn-BA"/>
        </w:rPr>
        <w:t>на</w:t>
      </w:r>
      <w:r w:rsidR="00876F62" w:rsidRPr="00295637">
        <w:rPr>
          <w:rFonts w:ascii="Times New Roman" w:hAnsi="Times New Roman"/>
          <w:lang w:val="bs-Latn-BA"/>
        </w:rPr>
        <w:t xml:space="preserve"> </w:t>
      </w:r>
      <w:r>
        <w:rPr>
          <w:rFonts w:ascii="Times New Roman" w:hAnsi="Times New Roman"/>
          <w:lang w:val="bs-Latn-BA"/>
        </w:rPr>
        <w:t>претходне</w:t>
      </w:r>
      <w:r w:rsidR="00876F62" w:rsidRPr="00295637">
        <w:rPr>
          <w:rFonts w:ascii="Times New Roman" w:hAnsi="Times New Roman"/>
          <w:lang w:val="bs-Latn-BA"/>
        </w:rPr>
        <w:t xml:space="preserve"> </w:t>
      </w:r>
      <w:r>
        <w:rPr>
          <w:rFonts w:ascii="Times New Roman" w:hAnsi="Times New Roman"/>
          <w:lang w:val="bs-Latn-BA"/>
        </w:rPr>
        <w:t>изборе</w:t>
      </w:r>
      <w:r w:rsidR="00876F62" w:rsidRPr="00295637">
        <w:rPr>
          <w:rFonts w:ascii="Times New Roman" w:hAnsi="Times New Roman"/>
          <w:lang w:val="bs-Latn-BA"/>
        </w:rPr>
        <w:t xml:space="preserve">. </w:t>
      </w:r>
      <w:r>
        <w:rPr>
          <w:rFonts w:ascii="Times New Roman" w:hAnsi="Times New Roman"/>
          <w:lang w:val="bs-Latn-BA"/>
        </w:rPr>
        <w:t>Анализом</w:t>
      </w:r>
      <w:r w:rsidR="00A708B8" w:rsidRPr="00295637">
        <w:rPr>
          <w:rFonts w:ascii="Times New Roman" w:hAnsi="Times New Roman"/>
          <w:lang w:val="bs-Latn-BA"/>
        </w:rPr>
        <w:t xml:space="preserve"> </w:t>
      </w:r>
      <w:r>
        <w:rPr>
          <w:rFonts w:ascii="Times New Roman" w:hAnsi="Times New Roman"/>
          <w:lang w:val="bs-Latn-BA"/>
        </w:rPr>
        <w:t>резултата</w:t>
      </w:r>
      <w:r w:rsidR="00A708B8" w:rsidRPr="00295637">
        <w:rPr>
          <w:rFonts w:ascii="Times New Roman" w:hAnsi="Times New Roman"/>
          <w:lang w:val="bs-Latn-BA"/>
        </w:rPr>
        <w:t xml:space="preserve"> </w:t>
      </w:r>
      <w:r>
        <w:rPr>
          <w:rFonts w:ascii="Times New Roman" w:hAnsi="Times New Roman"/>
          <w:lang w:val="bs-Latn-BA"/>
        </w:rPr>
        <w:t>локалних</w:t>
      </w:r>
      <w:r w:rsidR="00A708B8" w:rsidRPr="00295637">
        <w:rPr>
          <w:rFonts w:ascii="Times New Roman" w:hAnsi="Times New Roman"/>
          <w:lang w:val="bs-Latn-BA"/>
        </w:rPr>
        <w:t xml:space="preserve"> </w:t>
      </w:r>
      <w:r>
        <w:rPr>
          <w:rFonts w:ascii="Times New Roman" w:hAnsi="Times New Roman"/>
          <w:lang w:val="bs-Latn-BA"/>
        </w:rPr>
        <w:t>избора</w:t>
      </w:r>
      <w:r w:rsidR="00A708B8" w:rsidRPr="00295637">
        <w:rPr>
          <w:rFonts w:ascii="Times New Roman" w:hAnsi="Times New Roman"/>
          <w:lang w:val="bs-Latn-BA"/>
        </w:rPr>
        <w:t xml:space="preserve"> 2024. </w:t>
      </w:r>
      <w:r>
        <w:rPr>
          <w:rFonts w:ascii="Times New Roman" w:hAnsi="Times New Roman"/>
          <w:lang w:val="bs-Latn-BA"/>
        </w:rPr>
        <w:t>године</w:t>
      </w:r>
      <w:r w:rsidR="009524C3">
        <w:rPr>
          <w:rFonts w:ascii="Times New Roman" w:hAnsi="Times New Roman"/>
          <w:lang w:val="bs-Latn-BA"/>
        </w:rPr>
        <w:t>,</w:t>
      </w:r>
      <w:r w:rsidR="00A708B8" w:rsidRPr="00295637">
        <w:rPr>
          <w:rFonts w:ascii="Times New Roman" w:hAnsi="Times New Roman"/>
          <w:lang w:val="bs-Latn-BA"/>
        </w:rPr>
        <w:t xml:space="preserve"> </w:t>
      </w:r>
      <w:r>
        <w:rPr>
          <w:rFonts w:ascii="Times New Roman" w:hAnsi="Times New Roman"/>
          <w:lang w:val="bs-Latn-BA"/>
        </w:rPr>
        <w:t>утврђено</w:t>
      </w:r>
      <w:r w:rsidR="00A708B8" w:rsidRPr="00295637">
        <w:rPr>
          <w:rFonts w:ascii="Times New Roman" w:hAnsi="Times New Roman"/>
          <w:lang w:val="bs-Latn-BA"/>
        </w:rPr>
        <w:t xml:space="preserve"> </w:t>
      </w:r>
      <w:r>
        <w:rPr>
          <w:rFonts w:ascii="Times New Roman" w:hAnsi="Times New Roman"/>
          <w:lang w:val="bs-Latn-BA"/>
        </w:rPr>
        <w:t>је</w:t>
      </w:r>
      <w:r w:rsidR="00A708B8" w:rsidRPr="00295637">
        <w:rPr>
          <w:rFonts w:ascii="Times New Roman" w:hAnsi="Times New Roman"/>
          <w:lang w:val="bs-Latn-BA"/>
        </w:rPr>
        <w:t xml:space="preserve"> </w:t>
      </w:r>
      <w:r>
        <w:rPr>
          <w:rFonts w:ascii="Times New Roman" w:hAnsi="Times New Roman"/>
          <w:lang w:val="bs-Latn-BA"/>
        </w:rPr>
        <w:t>да</w:t>
      </w:r>
      <w:r w:rsidR="00A708B8" w:rsidRPr="00295637">
        <w:rPr>
          <w:rFonts w:ascii="Times New Roman" w:hAnsi="Times New Roman"/>
          <w:lang w:val="bs-Latn-BA"/>
        </w:rPr>
        <w:t xml:space="preserve"> </w:t>
      </w:r>
      <w:r>
        <w:rPr>
          <w:rFonts w:ascii="Times New Roman" w:hAnsi="Times New Roman"/>
          <w:lang w:val="bs-Latn-BA"/>
        </w:rPr>
        <w:t>је</w:t>
      </w:r>
      <w:r w:rsidR="00A708B8" w:rsidRPr="00295637">
        <w:rPr>
          <w:rFonts w:ascii="Times New Roman" w:hAnsi="Times New Roman"/>
          <w:lang w:val="bs-Latn-BA"/>
        </w:rPr>
        <w:t xml:space="preserve"> </w:t>
      </w:r>
      <w:r>
        <w:rPr>
          <w:rFonts w:ascii="Times New Roman" w:hAnsi="Times New Roman"/>
          <w:lang w:val="bs-Latn-BA"/>
        </w:rPr>
        <w:t>на</w:t>
      </w:r>
      <w:r w:rsidR="00A708B8" w:rsidRPr="00295637">
        <w:rPr>
          <w:rFonts w:ascii="Times New Roman" w:hAnsi="Times New Roman"/>
          <w:lang w:val="bs-Latn-BA"/>
        </w:rPr>
        <w:t xml:space="preserve"> </w:t>
      </w:r>
      <w:r>
        <w:rPr>
          <w:rFonts w:ascii="Times New Roman" w:hAnsi="Times New Roman"/>
          <w:lang w:val="bs-Latn-BA"/>
        </w:rPr>
        <w:t>локалним</w:t>
      </w:r>
      <w:r w:rsidR="00A708B8" w:rsidRPr="00295637">
        <w:rPr>
          <w:rFonts w:ascii="Times New Roman" w:hAnsi="Times New Roman"/>
          <w:lang w:val="bs-Latn-BA"/>
        </w:rPr>
        <w:t xml:space="preserve"> </w:t>
      </w:r>
      <w:r>
        <w:rPr>
          <w:rFonts w:ascii="Times New Roman" w:hAnsi="Times New Roman"/>
          <w:lang w:val="bs-Latn-BA"/>
        </w:rPr>
        <w:t>изборима</w:t>
      </w:r>
      <w:r w:rsidR="00A708B8" w:rsidRPr="00295637">
        <w:rPr>
          <w:rFonts w:ascii="Times New Roman" w:hAnsi="Times New Roman"/>
          <w:lang w:val="bs-Latn-BA"/>
        </w:rPr>
        <w:t xml:space="preserve"> </w:t>
      </w:r>
      <w:r>
        <w:rPr>
          <w:rFonts w:ascii="Times New Roman" w:hAnsi="Times New Roman"/>
          <w:lang w:val="bs-Latn-BA"/>
        </w:rPr>
        <w:t>у</w:t>
      </w:r>
      <w:r w:rsidR="00A708B8" w:rsidRPr="00295637">
        <w:rPr>
          <w:rFonts w:ascii="Times New Roman" w:hAnsi="Times New Roman"/>
          <w:lang w:val="bs-Latn-BA"/>
        </w:rPr>
        <w:t xml:space="preserve"> </w:t>
      </w:r>
      <w:r>
        <w:rPr>
          <w:rFonts w:ascii="Times New Roman" w:hAnsi="Times New Roman"/>
          <w:lang w:val="bs-Latn-BA"/>
        </w:rPr>
        <w:t>ФБиХ</w:t>
      </w:r>
      <w:r w:rsidR="00A708B8" w:rsidRPr="00295637">
        <w:rPr>
          <w:rFonts w:ascii="Times New Roman" w:hAnsi="Times New Roman"/>
          <w:lang w:val="bs-Latn-BA"/>
        </w:rPr>
        <w:t xml:space="preserve"> 2024. </w:t>
      </w:r>
      <w:r>
        <w:rPr>
          <w:rFonts w:ascii="Times New Roman" w:hAnsi="Times New Roman"/>
          <w:lang w:val="bs-Latn-BA"/>
        </w:rPr>
        <w:t>године</w:t>
      </w:r>
      <w:r w:rsidR="00A708B8" w:rsidRPr="00295637">
        <w:rPr>
          <w:rFonts w:ascii="Times New Roman" w:hAnsi="Times New Roman"/>
          <w:lang w:val="bs-Latn-BA"/>
        </w:rPr>
        <w:t xml:space="preserve"> </w:t>
      </w:r>
      <w:r>
        <w:rPr>
          <w:rFonts w:ascii="Times New Roman" w:hAnsi="Times New Roman"/>
          <w:lang w:val="bs-Latn-BA"/>
        </w:rPr>
        <w:t>укупан</w:t>
      </w:r>
      <w:r w:rsidR="00A708B8" w:rsidRPr="00295637">
        <w:rPr>
          <w:rFonts w:ascii="Times New Roman" w:hAnsi="Times New Roman"/>
          <w:lang w:val="bs-Latn-BA"/>
        </w:rPr>
        <w:t xml:space="preserve"> </w:t>
      </w:r>
      <w:r>
        <w:rPr>
          <w:rFonts w:ascii="Times New Roman" w:hAnsi="Times New Roman"/>
          <w:lang w:val="bs-Latn-BA"/>
        </w:rPr>
        <w:t>број</w:t>
      </w:r>
      <w:r w:rsidR="00A708B8" w:rsidRPr="00295637">
        <w:rPr>
          <w:rFonts w:ascii="Times New Roman" w:hAnsi="Times New Roman"/>
          <w:lang w:val="bs-Latn-BA"/>
        </w:rPr>
        <w:t xml:space="preserve"> </w:t>
      </w:r>
      <w:r>
        <w:rPr>
          <w:rFonts w:ascii="Times New Roman" w:hAnsi="Times New Roman"/>
          <w:lang w:val="bs-Latn-BA"/>
        </w:rPr>
        <w:t>бирача</w:t>
      </w:r>
      <w:r w:rsidR="00A708B8" w:rsidRPr="00295637">
        <w:rPr>
          <w:rFonts w:ascii="Times New Roman" w:hAnsi="Times New Roman"/>
          <w:lang w:val="bs-Latn-BA"/>
        </w:rPr>
        <w:t xml:space="preserve"> </w:t>
      </w:r>
      <w:r>
        <w:rPr>
          <w:rFonts w:ascii="Times New Roman" w:hAnsi="Times New Roman"/>
          <w:lang w:val="bs-Latn-BA"/>
        </w:rPr>
        <w:t>био</w:t>
      </w:r>
      <w:r w:rsidR="00A708B8" w:rsidRPr="00295637">
        <w:rPr>
          <w:rFonts w:ascii="Times New Roman" w:hAnsi="Times New Roman"/>
          <w:lang w:val="bs-Latn-BA"/>
        </w:rPr>
        <w:t xml:space="preserve"> 2.080.622 </w:t>
      </w:r>
      <w:r>
        <w:rPr>
          <w:rFonts w:ascii="Times New Roman" w:hAnsi="Times New Roman"/>
          <w:lang w:val="bs-Latn-BA"/>
        </w:rPr>
        <w:t>од</w:t>
      </w:r>
      <w:r w:rsidR="00A708B8" w:rsidRPr="00295637">
        <w:rPr>
          <w:rFonts w:ascii="Times New Roman" w:hAnsi="Times New Roman"/>
          <w:lang w:val="bs-Latn-BA"/>
        </w:rPr>
        <w:t xml:space="preserve"> </w:t>
      </w:r>
      <w:r>
        <w:rPr>
          <w:rFonts w:ascii="Times New Roman" w:hAnsi="Times New Roman"/>
          <w:lang w:val="bs-Latn-BA"/>
        </w:rPr>
        <w:t>чега</w:t>
      </w:r>
      <w:r w:rsidR="00A708B8" w:rsidRPr="00295637">
        <w:rPr>
          <w:rFonts w:ascii="Times New Roman" w:hAnsi="Times New Roman"/>
          <w:lang w:val="bs-Latn-BA"/>
        </w:rPr>
        <w:t xml:space="preserve"> 1.050.746 </w:t>
      </w:r>
      <w:r>
        <w:rPr>
          <w:rFonts w:ascii="Times New Roman" w:hAnsi="Times New Roman"/>
          <w:lang w:val="bs-Latn-BA"/>
        </w:rPr>
        <w:t>жена</w:t>
      </w:r>
      <w:r w:rsidR="00A708B8" w:rsidRPr="00295637">
        <w:rPr>
          <w:rFonts w:ascii="Times New Roman" w:hAnsi="Times New Roman"/>
          <w:lang w:val="bs-Latn-BA"/>
        </w:rPr>
        <w:t xml:space="preserve">. </w:t>
      </w:r>
      <w:r>
        <w:rPr>
          <w:rFonts w:ascii="Times New Roman" w:hAnsi="Times New Roman"/>
          <w:lang w:val="bs-Latn-BA"/>
        </w:rPr>
        <w:t>На</w:t>
      </w:r>
      <w:r w:rsidR="00A708B8" w:rsidRPr="00295637">
        <w:rPr>
          <w:rFonts w:ascii="Times New Roman" w:hAnsi="Times New Roman"/>
          <w:lang w:val="bs-Latn-BA"/>
        </w:rPr>
        <w:t xml:space="preserve"> </w:t>
      </w:r>
      <w:r>
        <w:rPr>
          <w:rFonts w:ascii="Times New Roman" w:hAnsi="Times New Roman"/>
          <w:lang w:val="bs-Latn-BA"/>
        </w:rPr>
        <w:t>локалним</w:t>
      </w:r>
      <w:r w:rsidR="00A708B8" w:rsidRPr="00295637">
        <w:rPr>
          <w:rFonts w:ascii="Times New Roman" w:hAnsi="Times New Roman"/>
          <w:lang w:val="bs-Latn-BA"/>
        </w:rPr>
        <w:t xml:space="preserve"> </w:t>
      </w:r>
      <w:r>
        <w:rPr>
          <w:rFonts w:ascii="Times New Roman" w:hAnsi="Times New Roman"/>
          <w:lang w:val="bs-Latn-BA"/>
        </w:rPr>
        <w:t>изборима</w:t>
      </w:r>
      <w:r w:rsidR="00A708B8" w:rsidRPr="00295637">
        <w:rPr>
          <w:rFonts w:ascii="Times New Roman" w:hAnsi="Times New Roman"/>
          <w:lang w:val="bs-Latn-BA"/>
        </w:rPr>
        <w:t xml:space="preserve"> 2024. </w:t>
      </w:r>
      <w:r>
        <w:rPr>
          <w:rFonts w:ascii="Times New Roman" w:hAnsi="Times New Roman"/>
          <w:lang w:val="bs-Latn-BA"/>
        </w:rPr>
        <w:t>биљежи</w:t>
      </w:r>
      <w:r w:rsidR="00A708B8" w:rsidRPr="00295637">
        <w:rPr>
          <w:rFonts w:ascii="Times New Roman" w:hAnsi="Times New Roman"/>
          <w:lang w:val="bs-Latn-BA"/>
        </w:rPr>
        <w:t xml:space="preserve"> </w:t>
      </w:r>
      <w:r>
        <w:rPr>
          <w:rFonts w:ascii="Times New Roman" w:hAnsi="Times New Roman"/>
          <w:lang w:val="bs-Latn-BA"/>
        </w:rPr>
        <w:t>се</w:t>
      </w:r>
      <w:r w:rsidR="00A708B8" w:rsidRPr="00295637">
        <w:rPr>
          <w:rFonts w:ascii="Times New Roman" w:hAnsi="Times New Roman"/>
          <w:lang w:val="bs-Latn-BA"/>
        </w:rPr>
        <w:t xml:space="preserve"> </w:t>
      </w:r>
      <w:r>
        <w:rPr>
          <w:rFonts w:ascii="Times New Roman" w:hAnsi="Times New Roman"/>
          <w:lang w:val="bs-Latn-BA"/>
        </w:rPr>
        <w:t>и</w:t>
      </w:r>
      <w:r w:rsidR="00A708B8" w:rsidRPr="00295637">
        <w:rPr>
          <w:rFonts w:ascii="Times New Roman" w:hAnsi="Times New Roman"/>
          <w:lang w:val="bs-Latn-BA"/>
        </w:rPr>
        <w:t xml:space="preserve"> </w:t>
      </w:r>
      <w:r>
        <w:rPr>
          <w:rFonts w:ascii="Times New Roman" w:hAnsi="Times New Roman"/>
          <w:lang w:val="bs-Latn-BA"/>
        </w:rPr>
        <w:t>даље</w:t>
      </w:r>
      <w:r w:rsidR="00A708B8" w:rsidRPr="00295637">
        <w:rPr>
          <w:rFonts w:ascii="Times New Roman" w:hAnsi="Times New Roman"/>
          <w:lang w:val="bs-Latn-BA"/>
        </w:rPr>
        <w:t xml:space="preserve"> </w:t>
      </w:r>
      <w:r>
        <w:rPr>
          <w:rFonts w:ascii="Times New Roman" w:hAnsi="Times New Roman"/>
          <w:lang w:val="bs-Latn-BA"/>
        </w:rPr>
        <w:t>подзаступљеност</w:t>
      </w:r>
      <w:r w:rsidR="00A708B8" w:rsidRPr="00295637">
        <w:rPr>
          <w:rFonts w:ascii="Times New Roman" w:hAnsi="Times New Roman"/>
          <w:lang w:val="bs-Latn-BA"/>
        </w:rPr>
        <w:t xml:space="preserve"> </w:t>
      </w:r>
      <w:r>
        <w:rPr>
          <w:rFonts w:ascii="Times New Roman" w:hAnsi="Times New Roman"/>
          <w:lang w:val="bs-Latn-BA"/>
        </w:rPr>
        <w:t>жена</w:t>
      </w:r>
      <w:r w:rsidR="00A708B8" w:rsidRPr="00295637">
        <w:rPr>
          <w:rFonts w:ascii="Times New Roman" w:hAnsi="Times New Roman"/>
          <w:lang w:val="bs-Latn-BA"/>
        </w:rPr>
        <w:t xml:space="preserve"> </w:t>
      </w:r>
      <w:r>
        <w:rPr>
          <w:rFonts w:ascii="Times New Roman" w:hAnsi="Times New Roman"/>
          <w:lang w:val="bs-Latn-BA"/>
        </w:rPr>
        <w:t>иако</w:t>
      </w:r>
      <w:r w:rsidR="00A708B8" w:rsidRPr="00295637">
        <w:rPr>
          <w:rFonts w:ascii="Times New Roman" w:hAnsi="Times New Roman"/>
          <w:lang w:val="bs-Latn-BA"/>
        </w:rPr>
        <w:t xml:space="preserve"> </w:t>
      </w:r>
      <w:r>
        <w:rPr>
          <w:rFonts w:ascii="Times New Roman" w:hAnsi="Times New Roman"/>
          <w:lang w:val="bs-Latn-BA"/>
        </w:rPr>
        <w:t>се</w:t>
      </w:r>
      <w:r w:rsidR="00A708B8" w:rsidRPr="00295637">
        <w:rPr>
          <w:rFonts w:ascii="Times New Roman" w:hAnsi="Times New Roman"/>
          <w:lang w:val="bs-Latn-BA"/>
        </w:rPr>
        <w:t xml:space="preserve"> </w:t>
      </w:r>
      <w:r>
        <w:rPr>
          <w:rFonts w:ascii="Times New Roman" w:hAnsi="Times New Roman"/>
          <w:lang w:val="bs-Latn-BA"/>
        </w:rPr>
        <w:t>биљежи</w:t>
      </w:r>
      <w:r w:rsidR="00A708B8" w:rsidRPr="00295637">
        <w:rPr>
          <w:rFonts w:ascii="Times New Roman" w:hAnsi="Times New Roman"/>
          <w:lang w:val="bs-Latn-BA"/>
        </w:rPr>
        <w:t xml:space="preserve"> </w:t>
      </w:r>
      <w:r>
        <w:rPr>
          <w:rFonts w:ascii="Times New Roman" w:hAnsi="Times New Roman"/>
          <w:lang w:val="bs-Latn-BA"/>
        </w:rPr>
        <w:t>благи</w:t>
      </w:r>
      <w:r w:rsidR="00A708B8" w:rsidRPr="00295637">
        <w:rPr>
          <w:rFonts w:ascii="Times New Roman" w:hAnsi="Times New Roman"/>
          <w:lang w:val="bs-Latn-BA"/>
        </w:rPr>
        <w:t xml:space="preserve"> </w:t>
      </w:r>
      <w:r>
        <w:rPr>
          <w:rFonts w:ascii="Times New Roman" w:hAnsi="Times New Roman"/>
          <w:lang w:val="bs-Latn-BA"/>
        </w:rPr>
        <w:t>пораст</w:t>
      </w:r>
      <w:r w:rsidR="00A708B8" w:rsidRPr="00295637">
        <w:rPr>
          <w:rFonts w:ascii="Times New Roman" w:hAnsi="Times New Roman"/>
          <w:lang w:val="bs-Latn-BA"/>
        </w:rPr>
        <w:t xml:space="preserve"> </w:t>
      </w:r>
      <w:r>
        <w:rPr>
          <w:rFonts w:ascii="Times New Roman" w:hAnsi="Times New Roman"/>
          <w:lang w:val="bs-Latn-BA"/>
        </w:rPr>
        <w:t>броја</w:t>
      </w:r>
      <w:r w:rsidR="00A708B8" w:rsidRPr="00295637">
        <w:rPr>
          <w:rFonts w:ascii="Times New Roman" w:hAnsi="Times New Roman"/>
          <w:lang w:val="bs-Latn-BA"/>
        </w:rPr>
        <w:t xml:space="preserve"> </w:t>
      </w:r>
      <w:r>
        <w:rPr>
          <w:rFonts w:ascii="Times New Roman" w:hAnsi="Times New Roman"/>
          <w:lang w:val="bs-Latn-BA"/>
        </w:rPr>
        <w:t>изабраних</w:t>
      </w:r>
      <w:r w:rsidR="00A708B8" w:rsidRPr="00295637">
        <w:rPr>
          <w:rFonts w:ascii="Times New Roman" w:hAnsi="Times New Roman"/>
          <w:lang w:val="bs-Latn-BA"/>
        </w:rPr>
        <w:t xml:space="preserve"> </w:t>
      </w:r>
      <w:r>
        <w:rPr>
          <w:rFonts w:ascii="Times New Roman" w:hAnsi="Times New Roman"/>
          <w:lang w:val="bs-Latn-BA"/>
        </w:rPr>
        <w:t>жена</w:t>
      </w:r>
      <w:r w:rsidR="00A708B8" w:rsidRPr="00295637">
        <w:rPr>
          <w:rFonts w:ascii="Times New Roman" w:hAnsi="Times New Roman"/>
          <w:lang w:val="bs-Latn-BA"/>
        </w:rPr>
        <w:t xml:space="preserve"> </w:t>
      </w:r>
      <w:r>
        <w:rPr>
          <w:rFonts w:ascii="Times New Roman" w:hAnsi="Times New Roman"/>
          <w:lang w:val="bs-Latn-BA"/>
        </w:rPr>
        <w:t>у</w:t>
      </w:r>
      <w:r w:rsidR="00A708B8" w:rsidRPr="00295637">
        <w:rPr>
          <w:rFonts w:ascii="Times New Roman" w:hAnsi="Times New Roman"/>
          <w:lang w:val="bs-Latn-BA"/>
        </w:rPr>
        <w:t xml:space="preserve"> </w:t>
      </w:r>
      <w:r>
        <w:rPr>
          <w:rFonts w:ascii="Times New Roman" w:hAnsi="Times New Roman"/>
          <w:lang w:val="bs-Latn-BA"/>
        </w:rPr>
        <w:t>односу</w:t>
      </w:r>
      <w:r w:rsidR="00A708B8" w:rsidRPr="00295637">
        <w:rPr>
          <w:rFonts w:ascii="Times New Roman" w:hAnsi="Times New Roman"/>
          <w:lang w:val="bs-Latn-BA"/>
        </w:rPr>
        <w:t xml:space="preserve"> </w:t>
      </w:r>
      <w:r>
        <w:rPr>
          <w:rFonts w:ascii="Times New Roman" w:hAnsi="Times New Roman"/>
          <w:lang w:val="bs-Latn-BA"/>
        </w:rPr>
        <w:t>на</w:t>
      </w:r>
      <w:r w:rsidR="00A708B8" w:rsidRPr="00295637">
        <w:rPr>
          <w:rFonts w:ascii="Times New Roman" w:hAnsi="Times New Roman"/>
          <w:lang w:val="bs-Latn-BA"/>
        </w:rPr>
        <w:t xml:space="preserve"> </w:t>
      </w:r>
      <w:r>
        <w:rPr>
          <w:rFonts w:ascii="Times New Roman" w:hAnsi="Times New Roman"/>
          <w:lang w:val="bs-Latn-BA"/>
        </w:rPr>
        <w:t>претходне</w:t>
      </w:r>
      <w:r w:rsidR="00A708B8" w:rsidRPr="00295637">
        <w:rPr>
          <w:rFonts w:ascii="Times New Roman" w:hAnsi="Times New Roman"/>
          <w:lang w:val="bs-Latn-BA"/>
        </w:rPr>
        <w:t xml:space="preserve"> </w:t>
      </w:r>
      <w:r>
        <w:rPr>
          <w:rFonts w:ascii="Times New Roman" w:hAnsi="Times New Roman"/>
          <w:lang w:val="bs-Latn-BA"/>
        </w:rPr>
        <w:t>изборе</w:t>
      </w:r>
      <w:r w:rsidR="00A708B8" w:rsidRPr="00295637">
        <w:rPr>
          <w:rFonts w:ascii="Times New Roman" w:hAnsi="Times New Roman"/>
          <w:lang w:val="bs-Latn-BA"/>
        </w:rPr>
        <w:t xml:space="preserve">. </w:t>
      </w:r>
      <w:r>
        <w:rPr>
          <w:rFonts w:ascii="Times New Roman" w:hAnsi="Times New Roman"/>
          <w:lang w:val="bs-Latn-BA"/>
        </w:rPr>
        <w:t>У</w:t>
      </w:r>
      <w:r w:rsidR="00A708B8" w:rsidRPr="00295637">
        <w:rPr>
          <w:rFonts w:ascii="Times New Roman" w:hAnsi="Times New Roman"/>
          <w:lang w:val="bs-Latn-BA"/>
        </w:rPr>
        <w:t xml:space="preserve"> 18 </w:t>
      </w:r>
      <w:r>
        <w:rPr>
          <w:rFonts w:ascii="Times New Roman" w:hAnsi="Times New Roman"/>
          <w:lang w:val="bs-Latn-BA"/>
        </w:rPr>
        <w:t>оп</w:t>
      </w:r>
      <w:r w:rsidR="00070295">
        <w:rPr>
          <w:rFonts w:ascii="Times New Roman" w:hAnsi="Times New Roman"/>
          <w:lang w:val="sr-Cyrl-BA"/>
        </w:rPr>
        <w:t>шт</w:t>
      </w:r>
      <w:r>
        <w:rPr>
          <w:rFonts w:ascii="Times New Roman" w:hAnsi="Times New Roman"/>
          <w:lang w:val="bs-Latn-BA"/>
        </w:rPr>
        <w:t>ина</w:t>
      </w:r>
      <w:r w:rsidR="00A708B8" w:rsidRPr="00295637">
        <w:rPr>
          <w:rFonts w:ascii="Times New Roman" w:hAnsi="Times New Roman"/>
          <w:lang w:val="bs-Latn-BA"/>
        </w:rPr>
        <w:t>/</w:t>
      </w:r>
      <w:r>
        <w:rPr>
          <w:rFonts w:ascii="Times New Roman" w:hAnsi="Times New Roman"/>
          <w:lang w:val="bs-Latn-BA"/>
        </w:rPr>
        <w:t>градова</w:t>
      </w:r>
      <w:r w:rsidR="00A708B8" w:rsidRPr="00295637">
        <w:rPr>
          <w:rFonts w:ascii="Times New Roman" w:hAnsi="Times New Roman"/>
          <w:lang w:val="bs-Latn-BA"/>
        </w:rPr>
        <w:t xml:space="preserve"> </w:t>
      </w:r>
      <w:r>
        <w:rPr>
          <w:rFonts w:ascii="Times New Roman" w:hAnsi="Times New Roman"/>
          <w:lang w:val="bs-Latn-BA"/>
        </w:rPr>
        <w:t>предложена</w:t>
      </w:r>
      <w:r w:rsidR="00A708B8" w:rsidRPr="00295637">
        <w:rPr>
          <w:rFonts w:ascii="Times New Roman" w:hAnsi="Times New Roman"/>
          <w:lang w:val="bs-Latn-BA"/>
        </w:rPr>
        <w:t xml:space="preserve"> </w:t>
      </w:r>
      <w:r>
        <w:rPr>
          <w:rFonts w:ascii="Times New Roman" w:hAnsi="Times New Roman"/>
          <w:lang w:val="bs-Latn-BA"/>
        </w:rPr>
        <w:t>је</w:t>
      </w:r>
      <w:r w:rsidR="00A708B8" w:rsidRPr="00295637">
        <w:rPr>
          <w:rFonts w:ascii="Times New Roman" w:hAnsi="Times New Roman"/>
          <w:lang w:val="bs-Latn-BA"/>
        </w:rPr>
        <w:t xml:space="preserve"> </w:t>
      </w:r>
      <w:r>
        <w:rPr>
          <w:rFonts w:ascii="Times New Roman" w:hAnsi="Times New Roman"/>
          <w:lang w:val="bs-Latn-BA"/>
        </w:rPr>
        <w:t>по</w:t>
      </w:r>
      <w:r w:rsidR="00A708B8" w:rsidRPr="00295637">
        <w:rPr>
          <w:rFonts w:ascii="Times New Roman" w:hAnsi="Times New Roman"/>
          <w:lang w:val="bs-Latn-BA"/>
        </w:rPr>
        <w:t xml:space="preserve"> </w:t>
      </w:r>
      <w:r>
        <w:rPr>
          <w:rFonts w:ascii="Times New Roman" w:hAnsi="Times New Roman"/>
          <w:lang w:val="bs-Latn-BA"/>
        </w:rPr>
        <w:t>једна</w:t>
      </w:r>
      <w:r w:rsidR="00A708B8" w:rsidRPr="00295637">
        <w:rPr>
          <w:rFonts w:ascii="Times New Roman" w:hAnsi="Times New Roman"/>
          <w:lang w:val="bs-Latn-BA"/>
        </w:rPr>
        <w:t xml:space="preserve"> </w:t>
      </w:r>
      <w:r>
        <w:rPr>
          <w:rFonts w:ascii="Times New Roman" w:hAnsi="Times New Roman"/>
          <w:lang w:val="bs-Latn-BA"/>
        </w:rPr>
        <w:t>жена</w:t>
      </w:r>
      <w:r w:rsidR="00A708B8" w:rsidRPr="00295637">
        <w:rPr>
          <w:rFonts w:ascii="Times New Roman" w:hAnsi="Times New Roman"/>
          <w:lang w:val="bs-Latn-BA"/>
        </w:rPr>
        <w:t xml:space="preserve"> </w:t>
      </w:r>
      <w:r>
        <w:rPr>
          <w:rFonts w:ascii="Times New Roman" w:hAnsi="Times New Roman"/>
          <w:lang w:val="bs-Latn-BA"/>
        </w:rPr>
        <w:t>кандидаткиња</w:t>
      </w:r>
      <w:r w:rsidR="00A708B8" w:rsidRPr="00295637">
        <w:rPr>
          <w:rFonts w:ascii="Times New Roman" w:hAnsi="Times New Roman"/>
          <w:lang w:val="bs-Latn-BA"/>
        </w:rPr>
        <w:t xml:space="preserve"> </w:t>
      </w:r>
      <w:r>
        <w:rPr>
          <w:rFonts w:ascii="Times New Roman" w:hAnsi="Times New Roman"/>
          <w:lang w:val="bs-Latn-BA"/>
        </w:rPr>
        <w:t>за</w:t>
      </w:r>
      <w:r w:rsidR="00A708B8" w:rsidRPr="00295637">
        <w:rPr>
          <w:rFonts w:ascii="Times New Roman" w:hAnsi="Times New Roman"/>
          <w:lang w:val="bs-Latn-BA"/>
        </w:rPr>
        <w:t xml:space="preserve"> </w:t>
      </w:r>
      <w:r>
        <w:rPr>
          <w:rFonts w:ascii="Times New Roman" w:hAnsi="Times New Roman"/>
          <w:lang w:val="bs-Latn-BA"/>
        </w:rPr>
        <w:t>начелницу</w:t>
      </w:r>
      <w:r w:rsidR="00A708B8" w:rsidRPr="00295637">
        <w:rPr>
          <w:rFonts w:ascii="Times New Roman" w:hAnsi="Times New Roman"/>
          <w:lang w:val="bs-Latn-BA"/>
        </w:rPr>
        <w:t>/</w:t>
      </w:r>
      <w:r>
        <w:rPr>
          <w:rFonts w:ascii="Times New Roman" w:hAnsi="Times New Roman"/>
          <w:lang w:val="bs-Latn-BA"/>
        </w:rPr>
        <w:t>градоначелницу</w:t>
      </w:r>
      <w:r w:rsidR="00A708B8" w:rsidRPr="00295637">
        <w:rPr>
          <w:rFonts w:ascii="Times New Roman" w:hAnsi="Times New Roman"/>
          <w:lang w:val="bs-Latn-BA"/>
        </w:rPr>
        <w:t xml:space="preserve">, </w:t>
      </w:r>
      <w:r>
        <w:rPr>
          <w:rFonts w:ascii="Times New Roman" w:hAnsi="Times New Roman"/>
          <w:lang w:val="bs-Latn-BA"/>
        </w:rPr>
        <w:t>од</w:t>
      </w:r>
      <w:r w:rsidR="00A708B8" w:rsidRPr="00295637">
        <w:rPr>
          <w:rFonts w:ascii="Times New Roman" w:hAnsi="Times New Roman"/>
          <w:lang w:val="bs-Latn-BA"/>
        </w:rPr>
        <w:t xml:space="preserve"> </w:t>
      </w:r>
      <w:r>
        <w:rPr>
          <w:rFonts w:ascii="Times New Roman" w:hAnsi="Times New Roman"/>
          <w:lang w:val="bs-Latn-BA"/>
        </w:rPr>
        <w:t>тога</w:t>
      </w:r>
      <w:r w:rsidR="00A708B8" w:rsidRPr="00295637">
        <w:rPr>
          <w:rFonts w:ascii="Times New Roman" w:hAnsi="Times New Roman"/>
          <w:lang w:val="bs-Latn-BA"/>
        </w:rPr>
        <w:t xml:space="preserve"> </w:t>
      </w:r>
      <w:r>
        <w:rPr>
          <w:rFonts w:ascii="Times New Roman" w:hAnsi="Times New Roman"/>
          <w:lang w:val="bs-Latn-BA"/>
        </w:rPr>
        <w:t>су</w:t>
      </w:r>
      <w:r w:rsidR="00A708B8" w:rsidRPr="00295637">
        <w:rPr>
          <w:rFonts w:ascii="Times New Roman" w:hAnsi="Times New Roman"/>
          <w:lang w:val="bs-Latn-BA"/>
        </w:rPr>
        <w:t xml:space="preserve"> </w:t>
      </w:r>
      <w:r>
        <w:rPr>
          <w:rFonts w:ascii="Times New Roman" w:hAnsi="Times New Roman"/>
          <w:lang w:val="bs-Latn-BA"/>
        </w:rPr>
        <w:t>у</w:t>
      </w:r>
      <w:r w:rsidR="00A708B8" w:rsidRPr="00295637">
        <w:rPr>
          <w:rFonts w:ascii="Times New Roman" w:hAnsi="Times New Roman"/>
          <w:lang w:val="bs-Latn-BA"/>
        </w:rPr>
        <w:t xml:space="preserve"> </w:t>
      </w:r>
      <w:r>
        <w:rPr>
          <w:rFonts w:ascii="Times New Roman" w:hAnsi="Times New Roman"/>
          <w:lang w:val="bs-Latn-BA"/>
        </w:rPr>
        <w:t>пет</w:t>
      </w:r>
      <w:r w:rsidR="00A708B8" w:rsidRPr="00295637">
        <w:rPr>
          <w:rFonts w:ascii="Times New Roman" w:hAnsi="Times New Roman"/>
          <w:lang w:val="bs-Latn-BA"/>
        </w:rPr>
        <w:t xml:space="preserve"> </w:t>
      </w:r>
      <w:r>
        <w:rPr>
          <w:rFonts w:ascii="Times New Roman" w:hAnsi="Times New Roman"/>
          <w:lang w:val="bs-Latn-BA"/>
        </w:rPr>
        <w:t>јединица</w:t>
      </w:r>
      <w:r w:rsidR="00876F62" w:rsidRPr="00295637">
        <w:rPr>
          <w:rFonts w:ascii="Times New Roman" w:hAnsi="Times New Roman"/>
          <w:lang w:val="bs-Latn-BA"/>
        </w:rPr>
        <w:t xml:space="preserve"> </w:t>
      </w:r>
      <w:r>
        <w:rPr>
          <w:rFonts w:ascii="Times New Roman" w:hAnsi="Times New Roman"/>
          <w:lang w:val="bs-Latn-BA"/>
        </w:rPr>
        <w:t>локалне</w:t>
      </w:r>
      <w:r w:rsidR="00876F62" w:rsidRPr="00295637">
        <w:rPr>
          <w:rFonts w:ascii="Times New Roman" w:hAnsi="Times New Roman"/>
          <w:lang w:val="bs-Latn-BA"/>
        </w:rPr>
        <w:t xml:space="preserve"> </w:t>
      </w:r>
      <w:r>
        <w:rPr>
          <w:rFonts w:ascii="Times New Roman" w:hAnsi="Times New Roman"/>
          <w:lang w:val="bs-Latn-BA"/>
        </w:rPr>
        <w:t>заједнице</w:t>
      </w:r>
      <w:r w:rsidR="00A708B8" w:rsidRPr="00295637">
        <w:rPr>
          <w:rFonts w:ascii="Times New Roman" w:hAnsi="Times New Roman"/>
          <w:lang w:val="bs-Latn-BA"/>
        </w:rPr>
        <w:t xml:space="preserve"> </w:t>
      </w:r>
      <w:r>
        <w:rPr>
          <w:rFonts w:ascii="Times New Roman" w:hAnsi="Times New Roman"/>
          <w:lang w:val="bs-Latn-BA"/>
        </w:rPr>
        <w:t>за</w:t>
      </w:r>
      <w:r w:rsidR="00A708B8" w:rsidRPr="00295637">
        <w:rPr>
          <w:rFonts w:ascii="Times New Roman" w:hAnsi="Times New Roman"/>
          <w:lang w:val="bs-Latn-BA"/>
        </w:rPr>
        <w:t xml:space="preserve"> </w:t>
      </w:r>
      <w:r>
        <w:rPr>
          <w:rFonts w:ascii="Times New Roman" w:hAnsi="Times New Roman"/>
          <w:lang w:val="bs-Latn-BA"/>
        </w:rPr>
        <w:t>начелнице</w:t>
      </w:r>
      <w:r w:rsidR="00A708B8" w:rsidRPr="00295637">
        <w:rPr>
          <w:rFonts w:ascii="Times New Roman" w:hAnsi="Times New Roman"/>
          <w:lang w:val="bs-Latn-BA"/>
        </w:rPr>
        <w:t>/</w:t>
      </w:r>
      <w:r>
        <w:rPr>
          <w:rFonts w:ascii="Times New Roman" w:hAnsi="Times New Roman"/>
          <w:lang w:val="bs-Latn-BA"/>
        </w:rPr>
        <w:t>градоначелнице</w:t>
      </w:r>
      <w:r w:rsidR="00A708B8" w:rsidRPr="00295637">
        <w:rPr>
          <w:rFonts w:ascii="Times New Roman" w:hAnsi="Times New Roman"/>
          <w:lang w:val="bs-Latn-BA"/>
        </w:rPr>
        <w:t xml:space="preserve"> </w:t>
      </w:r>
      <w:r>
        <w:rPr>
          <w:rFonts w:ascii="Times New Roman" w:hAnsi="Times New Roman"/>
          <w:lang w:val="bs-Latn-BA"/>
        </w:rPr>
        <w:t>изабрана</w:t>
      </w:r>
      <w:r w:rsidR="00A708B8" w:rsidRPr="00295637">
        <w:rPr>
          <w:rFonts w:ascii="Times New Roman" w:hAnsi="Times New Roman"/>
          <w:lang w:val="bs-Latn-BA"/>
        </w:rPr>
        <w:t xml:space="preserve"> </w:t>
      </w:r>
      <w:r>
        <w:rPr>
          <w:rFonts w:ascii="Times New Roman" w:hAnsi="Times New Roman"/>
          <w:lang w:val="bs-Latn-BA"/>
        </w:rPr>
        <w:t>лица</w:t>
      </w:r>
      <w:r w:rsidR="00A708B8" w:rsidRPr="00295637">
        <w:rPr>
          <w:rFonts w:ascii="Times New Roman" w:hAnsi="Times New Roman"/>
          <w:lang w:val="bs-Latn-BA"/>
        </w:rPr>
        <w:t xml:space="preserve"> </w:t>
      </w:r>
      <w:r>
        <w:rPr>
          <w:rFonts w:ascii="Times New Roman" w:hAnsi="Times New Roman"/>
          <w:lang w:val="bs-Latn-BA"/>
        </w:rPr>
        <w:t>женског</w:t>
      </w:r>
      <w:r w:rsidR="00A708B8" w:rsidRPr="00295637">
        <w:rPr>
          <w:rFonts w:ascii="Times New Roman" w:hAnsi="Times New Roman"/>
          <w:lang w:val="bs-Latn-BA"/>
        </w:rPr>
        <w:t xml:space="preserve"> </w:t>
      </w:r>
      <w:r>
        <w:rPr>
          <w:rFonts w:ascii="Times New Roman" w:hAnsi="Times New Roman"/>
          <w:lang w:val="bs-Latn-BA"/>
        </w:rPr>
        <w:t>пола</w:t>
      </w:r>
      <w:r w:rsidR="00A708B8" w:rsidRPr="00295637">
        <w:rPr>
          <w:rFonts w:ascii="Times New Roman" w:hAnsi="Times New Roman"/>
          <w:lang w:val="bs-Latn-BA"/>
        </w:rPr>
        <w:t xml:space="preserve"> </w:t>
      </w:r>
      <w:r>
        <w:rPr>
          <w:rFonts w:ascii="Times New Roman" w:hAnsi="Times New Roman"/>
          <w:lang w:val="bs-Latn-BA"/>
        </w:rPr>
        <w:t>и</w:t>
      </w:r>
      <w:r w:rsidR="00A708B8" w:rsidRPr="00295637">
        <w:rPr>
          <w:rFonts w:ascii="Times New Roman" w:hAnsi="Times New Roman"/>
          <w:lang w:val="bs-Latn-BA"/>
        </w:rPr>
        <w:t xml:space="preserve"> </w:t>
      </w:r>
      <w:r>
        <w:rPr>
          <w:rFonts w:ascii="Times New Roman" w:hAnsi="Times New Roman"/>
          <w:lang w:val="bs-Latn-BA"/>
        </w:rPr>
        <w:t>то</w:t>
      </w:r>
      <w:r w:rsidR="00A708B8" w:rsidRPr="00295637">
        <w:rPr>
          <w:rFonts w:ascii="Times New Roman" w:hAnsi="Times New Roman"/>
          <w:lang w:val="bs-Latn-BA"/>
        </w:rPr>
        <w:t xml:space="preserve">: </w:t>
      </w:r>
      <w:r>
        <w:rPr>
          <w:rFonts w:ascii="Times New Roman" w:hAnsi="Times New Roman"/>
          <w:lang w:val="bs-Latn-BA"/>
        </w:rPr>
        <w:t>Ново</w:t>
      </w:r>
      <w:r w:rsidR="00A708B8" w:rsidRPr="00295637">
        <w:rPr>
          <w:rFonts w:ascii="Times New Roman" w:hAnsi="Times New Roman"/>
          <w:lang w:val="bs-Latn-BA"/>
        </w:rPr>
        <w:t xml:space="preserve"> </w:t>
      </w:r>
      <w:r>
        <w:rPr>
          <w:rFonts w:ascii="Times New Roman" w:hAnsi="Times New Roman"/>
          <w:lang w:val="bs-Latn-BA"/>
        </w:rPr>
        <w:t>Сарајево</w:t>
      </w:r>
      <w:r w:rsidR="00A708B8" w:rsidRPr="00295637">
        <w:rPr>
          <w:rFonts w:ascii="Times New Roman" w:hAnsi="Times New Roman"/>
          <w:lang w:val="bs-Latn-BA"/>
        </w:rPr>
        <w:t xml:space="preserve">, </w:t>
      </w:r>
      <w:r>
        <w:rPr>
          <w:rFonts w:ascii="Times New Roman" w:hAnsi="Times New Roman"/>
          <w:lang w:val="bs-Latn-BA"/>
        </w:rPr>
        <w:t>Завидовићи</w:t>
      </w:r>
      <w:r w:rsidR="00A708B8" w:rsidRPr="00295637">
        <w:rPr>
          <w:rFonts w:ascii="Times New Roman" w:hAnsi="Times New Roman"/>
          <w:lang w:val="bs-Latn-BA"/>
        </w:rPr>
        <w:t xml:space="preserve">, </w:t>
      </w:r>
      <w:r>
        <w:rPr>
          <w:rFonts w:ascii="Times New Roman" w:hAnsi="Times New Roman"/>
          <w:lang w:val="bs-Latn-BA"/>
        </w:rPr>
        <w:t>Чапљина</w:t>
      </w:r>
      <w:r w:rsidR="00A708B8" w:rsidRPr="00295637">
        <w:rPr>
          <w:rFonts w:ascii="Times New Roman" w:hAnsi="Times New Roman"/>
          <w:lang w:val="bs-Latn-BA"/>
        </w:rPr>
        <w:t xml:space="preserve">, </w:t>
      </w:r>
      <w:r>
        <w:rPr>
          <w:rFonts w:ascii="Times New Roman" w:hAnsi="Times New Roman"/>
          <w:lang w:val="bs-Latn-BA"/>
        </w:rPr>
        <w:t>Босанско</w:t>
      </w:r>
      <w:r w:rsidR="00A708B8" w:rsidRPr="00295637">
        <w:rPr>
          <w:rFonts w:ascii="Times New Roman" w:hAnsi="Times New Roman"/>
          <w:lang w:val="bs-Latn-BA"/>
        </w:rPr>
        <w:t xml:space="preserve"> </w:t>
      </w:r>
      <w:r>
        <w:rPr>
          <w:rFonts w:ascii="Times New Roman" w:hAnsi="Times New Roman"/>
          <w:lang w:val="bs-Latn-BA"/>
        </w:rPr>
        <w:t>Грахово</w:t>
      </w:r>
      <w:r w:rsidR="00A708B8" w:rsidRPr="00295637">
        <w:rPr>
          <w:rFonts w:ascii="Times New Roman" w:hAnsi="Times New Roman"/>
          <w:lang w:val="bs-Latn-BA"/>
        </w:rPr>
        <w:t xml:space="preserve"> </w:t>
      </w:r>
      <w:r>
        <w:rPr>
          <w:rFonts w:ascii="Times New Roman" w:hAnsi="Times New Roman"/>
          <w:lang w:val="bs-Latn-BA"/>
        </w:rPr>
        <w:t>и</w:t>
      </w:r>
      <w:r w:rsidR="00A708B8" w:rsidRPr="00295637">
        <w:rPr>
          <w:rFonts w:ascii="Times New Roman" w:hAnsi="Times New Roman"/>
          <w:lang w:val="bs-Latn-BA"/>
        </w:rPr>
        <w:t xml:space="preserve"> </w:t>
      </w:r>
      <w:r>
        <w:rPr>
          <w:rFonts w:ascii="Times New Roman" w:hAnsi="Times New Roman"/>
          <w:lang w:val="bs-Latn-BA"/>
        </w:rPr>
        <w:t>Дрвар</w:t>
      </w:r>
      <w:r w:rsidR="00A708B8" w:rsidRPr="00295637">
        <w:rPr>
          <w:rFonts w:ascii="Times New Roman" w:hAnsi="Times New Roman"/>
          <w:lang w:val="bs-Latn-BA"/>
        </w:rPr>
        <w:t>.</w:t>
      </w:r>
      <w:bookmarkEnd w:id="23"/>
      <w:r w:rsidR="00A708B8" w:rsidRPr="00295637">
        <w:rPr>
          <w:rFonts w:ascii="Times New Roman" w:hAnsi="Times New Roman"/>
          <w:lang w:val="bs-Latn-BA"/>
        </w:rPr>
        <w:t xml:space="preserve"> </w:t>
      </w:r>
    </w:p>
    <w:p w:rsidR="00D61556" w:rsidRPr="00295637" w:rsidRDefault="00D61556" w:rsidP="0086268D">
      <w:pPr>
        <w:jc w:val="both"/>
        <w:rPr>
          <w:rFonts w:ascii="Times New Roman" w:hAnsi="Times New Roman"/>
          <w:lang w:val="bs-Latn-BA"/>
        </w:rPr>
      </w:pPr>
    </w:p>
    <w:p w:rsidR="001E3537" w:rsidRPr="00295637" w:rsidRDefault="00C6214E" w:rsidP="0086268D">
      <w:pPr>
        <w:pStyle w:val="ListParagraph"/>
        <w:ind w:left="0"/>
        <w:jc w:val="both"/>
        <w:rPr>
          <w:rFonts w:ascii="Times New Roman" w:hAnsi="Times New Roman"/>
          <w:lang w:val="sr-Cyrl-BA"/>
        </w:rPr>
      </w:pPr>
      <w:r>
        <w:rPr>
          <w:rFonts w:ascii="Times New Roman" w:hAnsi="Times New Roman"/>
          <w:lang w:val="sr-Cyrl-BA"/>
        </w:rPr>
        <w:t>У</w:t>
      </w:r>
      <w:r w:rsidR="001E3537" w:rsidRPr="00295637">
        <w:rPr>
          <w:rFonts w:ascii="Times New Roman" w:hAnsi="Times New Roman"/>
          <w:lang w:val="sr-Cyrl-BA"/>
        </w:rPr>
        <w:t xml:space="preserve"> </w:t>
      </w:r>
      <w:r>
        <w:rPr>
          <w:rFonts w:ascii="Times New Roman" w:hAnsi="Times New Roman"/>
          <w:lang w:val="sr-Cyrl-BA"/>
        </w:rPr>
        <w:t>оквиру</w:t>
      </w:r>
      <w:r w:rsidR="001E3537" w:rsidRPr="00295637">
        <w:rPr>
          <w:rFonts w:ascii="Times New Roman" w:hAnsi="Times New Roman"/>
          <w:lang w:val="sr-Cyrl-BA"/>
        </w:rPr>
        <w:t xml:space="preserve"> </w:t>
      </w:r>
      <w:r>
        <w:rPr>
          <w:rFonts w:ascii="Times New Roman" w:hAnsi="Times New Roman"/>
          <w:lang w:val="sr-Cyrl-BA"/>
        </w:rPr>
        <w:t>кампање</w:t>
      </w:r>
      <w:r w:rsidR="001E3537" w:rsidRPr="00295637">
        <w:rPr>
          <w:rFonts w:ascii="Times New Roman" w:hAnsi="Times New Roman"/>
          <w:lang w:val="sr-Cyrl-BA"/>
        </w:rPr>
        <w:t xml:space="preserve"> </w:t>
      </w:r>
      <w:r w:rsidR="00346E68">
        <w:rPr>
          <w:rFonts w:ascii="Times New Roman" w:hAnsi="Times New Roman"/>
          <w:lang w:val="sr-Cyrl-BA"/>
        </w:rPr>
        <w:t>„</w:t>
      </w:r>
      <w:r>
        <w:rPr>
          <w:rFonts w:ascii="Times New Roman" w:hAnsi="Times New Roman"/>
          <w:lang w:val="sr-Cyrl-BA"/>
        </w:rPr>
        <w:t>Бирај</w:t>
      </w:r>
      <w:r w:rsidR="00346E68">
        <w:rPr>
          <w:rFonts w:ascii="Times New Roman" w:hAnsi="Times New Roman"/>
          <w:lang w:val="sr-Cyrl-BA"/>
        </w:rPr>
        <w:t xml:space="preserve"> </w:t>
      </w:r>
      <w:r>
        <w:rPr>
          <w:rFonts w:ascii="Times New Roman" w:hAnsi="Times New Roman"/>
          <w:lang w:val="sr-Cyrl-BA"/>
        </w:rPr>
        <w:t>равноправно</w:t>
      </w:r>
      <w:r w:rsidR="00346E68">
        <w:rPr>
          <w:rFonts w:ascii="Times New Roman" w:hAnsi="Times New Roman"/>
          <w:lang w:val="sr-Cyrl-BA"/>
        </w:rPr>
        <w:t xml:space="preserve">“, </w:t>
      </w:r>
      <w:r>
        <w:rPr>
          <w:rFonts w:ascii="Times New Roman" w:hAnsi="Times New Roman"/>
          <w:lang w:val="sr-Cyrl-BA"/>
        </w:rPr>
        <w:t>а</w:t>
      </w:r>
      <w:r w:rsidR="00346E68">
        <w:rPr>
          <w:rFonts w:ascii="Times New Roman" w:hAnsi="Times New Roman"/>
          <w:lang w:val="sr-Cyrl-BA"/>
        </w:rPr>
        <w:t xml:space="preserve"> </w:t>
      </w:r>
      <w:r>
        <w:rPr>
          <w:rFonts w:ascii="Times New Roman" w:hAnsi="Times New Roman"/>
          <w:lang w:val="sr-Cyrl-BA"/>
        </w:rPr>
        <w:t>у</w:t>
      </w:r>
      <w:r w:rsidR="00346E68">
        <w:rPr>
          <w:rFonts w:ascii="Times New Roman" w:hAnsi="Times New Roman"/>
          <w:lang w:val="sr-Cyrl-BA"/>
        </w:rPr>
        <w:t xml:space="preserve"> </w:t>
      </w:r>
      <w:r>
        <w:rPr>
          <w:rFonts w:ascii="Times New Roman" w:hAnsi="Times New Roman"/>
          <w:lang w:val="sr-Cyrl-BA"/>
        </w:rPr>
        <w:t>вези</w:t>
      </w:r>
      <w:r w:rsidR="00346E68">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1E3537" w:rsidRPr="00295637">
        <w:rPr>
          <w:rFonts w:ascii="Times New Roman" w:hAnsi="Times New Roman"/>
          <w:lang w:val="sr-Cyrl-BA"/>
        </w:rPr>
        <w:t xml:space="preserve"> </w:t>
      </w:r>
      <w:r>
        <w:rPr>
          <w:rFonts w:ascii="Times New Roman" w:hAnsi="Times New Roman"/>
          <w:lang w:val="sr-Cyrl-BA"/>
        </w:rPr>
        <w:t>Изборном</w:t>
      </w:r>
      <w:r w:rsidR="001E3537" w:rsidRPr="00295637">
        <w:rPr>
          <w:rFonts w:ascii="Times New Roman" w:hAnsi="Times New Roman"/>
          <w:lang w:val="sr-Cyrl-BA"/>
        </w:rPr>
        <w:t xml:space="preserve"> </w:t>
      </w:r>
      <w:r>
        <w:rPr>
          <w:rFonts w:ascii="Times New Roman" w:hAnsi="Times New Roman"/>
          <w:lang w:val="sr-Cyrl-BA"/>
        </w:rPr>
        <w:t>кампањом</w:t>
      </w:r>
      <w:r w:rsidR="001E3537" w:rsidRPr="00295637">
        <w:rPr>
          <w:rFonts w:ascii="Times New Roman" w:hAnsi="Times New Roman"/>
          <w:lang w:val="sr-Cyrl-BA"/>
        </w:rPr>
        <w:t xml:space="preserve"> </w:t>
      </w:r>
      <w:r>
        <w:rPr>
          <w:rFonts w:ascii="Times New Roman" w:hAnsi="Times New Roman"/>
          <w:lang w:val="sr-Cyrl-BA"/>
        </w:rPr>
        <w:t>која</w:t>
      </w:r>
      <w:r w:rsidR="001E3537" w:rsidRPr="00295637">
        <w:rPr>
          <w:rFonts w:ascii="Times New Roman" w:hAnsi="Times New Roman"/>
          <w:lang w:val="sr-Cyrl-BA"/>
        </w:rPr>
        <w:t xml:space="preserve"> </w:t>
      </w:r>
      <w:r>
        <w:rPr>
          <w:rFonts w:ascii="Times New Roman" w:hAnsi="Times New Roman"/>
          <w:lang w:val="sr-Cyrl-BA"/>
        </w:rPr>
        <w:t>је</w:t>
      </w:r>
      <w:r w:rsidR="001E3537" w:rsidRPr="00295637">
        <w:rPr>
          <w:rFonts w:ascii="Times New Roman" w:hAnsi="Times New Roman"/>
          <w:lang w:val="sr-Cyrl-BA"/>
        </w:rPr>
        <w:t xml:space="preserve"> </w:t>
      </w:r>
      <w:r w:rsidR="00070295">
        <w:rPr>
          <w:rFonts w:ascii="Times New Roman" w:hAnsi="Times New Roman"/>
          <w:lang w:val="sr-Cyrl-BA"/>
        </w:rPr>
        <w:t>спроведена</w:t>
      </w:r>
      <w:r w:rsidR="001E3537" w:rsidRPr="00295637">
        <w:rPr>
          <w:rFonts w:ascii="Times New Roman" w:hAnsi="Times New Roman"/>
          <w:lang w:val="sr-Cyrl-BA"/>
        </w:rPr>
        <w:t xml:space="preserve"> </w:t>
      </w:r>
      <w:r>
        <w:rPr>
          <w:rFonts w:ascii="Times New Roman" w:hAnsi="Times New Roman"/>
          <w:lang w:val="sr-Cyrl-BA"/>
        </w:rPr>
        <w:t>поводом</w:t>
      </w:r>
      <w:r w:rsidR="001E3537" w:rsidRPr="00295637">
        <w:rPr>
          <w:rFonts w:ascii="Times New Roman" w:hAnsi="Times New Roman"/>
          <w:lang w:val="sr-Cyrl-BA"/>
        </w:rPr>
        <w:t xml:space="preserve"> </w:t>
      </w:r>
      <w:r>
        <w:rPr>
          <w:rFonts w:ascii="Times New Roman" w:hAnsi="Times New Roman"/>
          <w:lang w:val="sr-Cyrl-BA"/>
        </w:rPr>
        <w:t>Локалних</w:t>
      </w:r>
      <w:r w:rsidR="001E3537" w:rsidRPr="00295637">
        <w:rPr>
          <w:rFonts w:ascii="Times New Roman" w:hAnsi="Times New Roman"/>
          <w:lang w:val="sr-Cyrl-BA"/>
        </w:rPr>
        <w:t xml:space="preserve"> </w:t>
      </w:r>
      <w:r>
        <w:rPr>
          <w:rFonts w:ascii="Times New Roman" w:hAnsi="Times New Roman"/>
          <w:lang w:val="sr-Cyrl-BA"/>
        </w:rPr>
        <w:t>избора</w:t>
      </w:r>
      <w:r w:rsidR="001E3537" w:rsidRPr="00295637">
        <w:rPr>
          <w:rFonts w:ascii="Times New Roman" w:hAnsi="Times New Roman"/>
          <w:lang w:val="sr-Cyrl-BA"/>
        </w:rPr>
        <w:t xml:space="preserve"> 2024. </w:t>
      </w:r>
      <w:r>
        <w:rPr>
          <w:rFonts w:ascii="Times New Roman" w:hAnsi="Times New Roman"/>
          <w:lang w:val="sr-Cyrl-BA"/>
        </w:rPr>
        <w:t>године</w:t>
      </w:r>
      <w:r w:rsidR="001E3537" w:rsidRPr="00295637">
        <w:rPr>
          <w:rFonts w:ascii="Times New Roman" w:hAnsi="Times New Roman"/>
          <w:lang w:val="sr-Cyrl-BA"/>
        </w:rPr>
        <w:t xml:space="preserve">, </w:t>
      </w:r>
      <w:r>
        <w:rPr>
          <w:rFonts w:ascii="Times New Roman" w:hAnsi="Times New Roman"/>
          <w:lang w:val="sr-Cyrl-BA"/>
        </w:rPr>
        <w:t>ЦЈРП</w:t>
      </w:r>
      <w:r w:rsidR="001E3537" w:rsidRPr="00295637">
        <w:rPr>
          <w:rFonts w:ascii="Times New Roman" w:hAnsi="Times New Roman"/>
          <w:lang w:val="sr-Cyrl-BA"/>
        </w:rPr>
        <w:t xml:space="preserve"> </w:t>
      </w:r>
      <w:r>
        <w:rPr>
          <w:rFonts w:ascii="Times New Roman" w:hAnsi="Times New Roman"/>
          <w:lang w:val="sr-Cyrl-BA"/>
        </w:rPr>
        <w:t>РС</w:t>
      </w:r>
      <w:r w:rsidR="001E3537" w:rsidRPr="00295637">
        <w:rPr>
          <w:rFonts w:ascii="Times New Roman" w:hAnsi="Times New Roman"/>
          <w:lang w:val="sr-Cyrl-BA"/>
        </w:rPr>
        <w:t xml:space="preserve"> </w:t>
      </w:r>
      <w:r>
        <w:rPr>
          <w:rFonts w:ascii="Times New Roman" w:hAnsi="Times New Roman"/>
          <w:lang w:val="sr-Cyrl-BA"/>
        </w:rPr>
        <w:t>је</w:t>
      </w:r>
      <w:r w:rsidR="001E3537" w:rsidRPr="00295637">
        <w:rPr>
          <w:rFonts w:ascii="Times New Roman" w:hAnsi="Times New Roman"/>
          <w:lang w:val="sr-Cyrl-BA"/>
        </w:rPr>
        <w:t xml:space="preserve"> </w:t>
      </w:r>
      <w:r>
        <w:rPr>
          <w:rFonts w:ascii="Times New Roman" w:hAnsi="Times New Roman"/>
          <w:lang w:val="sr-Cyrl-BA"/>
        </w:rPr>
        <w:t>пратио</w:t>
      </w:r>
      <w:r w:rsidR="001E3537" w:rsidRPr="00295637">
        <w:rPr>
          <w:rFonts w:ascii="Times New Roman" w:hAnsi="Times New Roman"/>
          <w:lang w:val="sr-Cyrl-BA"/>
        </w:rPr>
        <w:t xml:space="preserve"> </w:t>
      </w:r>
      <w:r>
        <w:rPr>
          <w:rFonts w:ascii="Times New Roman" w:hAnsi="Times New Roman"/>
          <w:lang w:val="sr-Cyrl-BA"/>
        </w:rPr>
        <w:t>стање</w:t>
      </w:r>
      <w:r w:rsidR="001E3537" w:rsidRPr="00295637">
        <w:rPr>
          <w:rFonts w:ascii="Times New Roman" w:hAnsi="Times New Roman"/>
          <w:lang w:val="sr-Cyrl-BA"/>
        </w:rPr>
        <w:t xml:space="preserve"> </w:t>
      </w:r>
      <w:r>
        <w:rPr>
          <w:rFonts w:ascii="Times New Roman" w:hAnsi="Times New Roman"/>
          <w:lang w:val="sr-Cyrl-BA"/>
        </w:rPr>
        <w:t>равноправности</w:t>
      </w:r>
      <w:r w:rsidR="001E3537" w:rsidRPr="00295637">
        <w:rPr>
          <w:rFonts w:ascii="Times New Roman" w:hAnsi="Times New Roman"/>
          <w:lang w:val="sr-Cyrl-BA"/>
        </w:rPr>
        <w:t xml:space="preserve"> </w:t>
      </w:r>
      <w:r>
        <w:rPr>
          <w:rFonts w:ascii="Times New Roman" w:hAnsi="Times New Roman"/>
          <w:lang w:val="sr-Cyrl-BA"/>
        </w:rPr>
        <w:t>полова</w:t>
      </w:r>
      <w:r w:rsidR="001E3537" w:rsidRPr="00295637">
        <w:rPr>
          <w:rFonts w:ascii="Times New Roman" w:hAnsi="Times New Roman"/>
          <w:lang w:val="sr-Cyrl-BA"/>
        </w:rPr>
        <w:t xml:space="preserve"> </w:t>
      </w:r>
      <w:r>
        <w:rPr>
          <w:rFonts w:ascii="Times New Roman" w:hAnsi="Times New Roman"/>
          <w:lang w:val="sr-Cyrl-BA"/>
        </w:rPr>
        <w:t>т</w:t>
      </w:r>
      <w:r>
        <w:rPr>
          <w:rFonts w:ascii="Times New Roman" w:hAnsi="Times New Roman"/>
          <w:lang w:val="hr-HR"/>
        </w:rPr>
        <w:t>о</w:t>
      </w:r>
      <w:r>
        <w:rPr>
          <w:rFonts w:ascii="Times New Roman" w:hAnsi="Times New Roman"/>
          <w:lang w:val="sr-Cyrl-BA"/>
        </w:rPr>
        <w:t>ком</w:t>
      </w:r>
      <w:r w:rsidR="001E3537" w:rsidRPr="00295637">
        <w:rPr>
          <w:rFonts w:ascii="Times New Roman" w:hAnsi="Times New Roman"/>
          <w:lang w:val="sr-Cyrl-BA"/>
        </w:rPr>
        <w:t xml:space="preserve"> </w:t>
      </w:r>
      <w:r>
        <w:rPr>
          <w:rFonts w:ascii="Times New Roman" w:hAnsi="Times New Roman"/>
          <w:lang w:val="sr-Cyrl-BA"/>
        </w:rPr>
        <w:t>изборне</w:t>
      </w:r>
      <w:r w:rsidR="001E3537" w:rsidRPr="00295637">
        <w:rPr>
          <w:rFonts w:ascii="Times New Roman" w:hAnsi="Times New Roman"/>
          <w:lang w:val="sr-Cyrl-BA"/>
        </w:rPr>
        <w:t xml:space="preserve"> </w:t>
      </w:r>
      <w:r>
        <w:rPr>
          <w:rFonts w:ascii="Times New Roman" w:hAnsi="Times New Roman"/>
          <w:lang w:val="sr-Cyrl-BA"/>
        </w:rPr>
        <w:t>кампање</w:t>
      </w:r>
      <w:r w:rsidR="001E3537" w:rsidRPr="00295637">
        <w:rPr>
          <w:rFonts w:ascii="Times New Roman" w:hAnsi="Times New Roman"/>
          <w:lang w:val="sr-Cyrl-BA"/>
        </w:rPr>
        <w:t xml:space="preserve">, </w:t>
      </w:r>
      <w:r>
        <w:rPr>
          <w:rFonts w:ascii="Times New Roman" w:hAnsi="Times New Roman"/>
          <w:lang w:val="sr-Cyrl-BA"/>
        </w:rPr>
        <w:t>израдио</w:t>
      </w:r>
      <w:r w:rsidR="001E3537" w:rsidRPr="00295637">
        <w:rPr>
          <w:rFonts w:ascii="Times New Roman" w:hAnsi="Times New Roman"/>
          <w:lang w:val="sr-Cyrl-BA"/>
        </w:rPr>
        <w:t xml:space="preserve"> </w:t>
      </w:r>
      <w:r>
        <w:rPr>
          <w:rFonts w:ascii="Times New Roman" w:hAnsi="Times New Roman"/>
          <w:lang w:val="sr-Cyrl-BA"/>
        </w:rPr>
        <w:t>квантитативну</w:t>
      </w:r>
      <w:r w:rsidR="001E3537" w:rsidRPr="00295637">
        <w:rPr>
          <w:rFonts w:ascii="Times New Roman" w:hAnsi="Times New Roman"/>
          <w:lang w:val="sr-Cyrl-BA"/>
        </w:rPr>
        <w:t xml:space="preserve"> </w:t>
      </w:r>
      <w:r>
        <w:rPr>
          <w:rFonts w:ascii="Times New Roman" w:hAnsi="Times New Roman"/>
          <w:lang w:val="sr-Cyrl-BA"/>
        </w:rPr>
        <w:t>анализу</w:t>
      </w:r>
      <w:r w:rsidR="001E3537" w:rsidRPr="00295637">
        <w:rPr>
          <w:rFonts w:ascii="Times New Roman" w:hAnsi="Times New Roman"/>
          <w:lang w:val="sr-Cyrl-BA"/>
        </w:rPr>
        <w:t xml:space="preserve"> </w:t>
      </w:r>
      <w:r>
        <w:rPr>
          <w:rFonts w:ascii="Times New Roman" w:hAnsi="Times New Roman"/>
          <w:lang w:val="sr-Cyrl-BA"/>
        </w:rPr>
        <w:t>заступљености</w:t>
      </w:r>
      <w:r w:rsidR="001E3537" w:rsidRPr="00295637">
        <w:rPr>
          <w:rFonts w:ascii="Times New Roman" w:hAnsi="Times New Roman"/>
          <w:lang w:val="sr-Cyrl-BA"/>
        </w:rPr>
        <w:t xml:space="preserve"> </w:t>
      </w:r>
      <w:r>
        <w:rPr>
          <w:rFonts w:ascii="Times New Roman" w:hAnsi="Times New Roman"/>
          <w:lang w:val="sr-Cyrl-BA"/>
        </w:rPr>
        <w:t>жена</w:t>
      </w:r>
      <w:r w:rsidR="001E3537" w:rsidRPr="00295637">
        <w:rPr>
          <w:rFonts w:ascii="Times New Roman" w:hAnsi="Times New Roman"/>
          <w:lang w:val="sr-Cyrl-BA"/>
        </w:rPr>
        <w:t xml:space="preserve"> </w:t>
      </w:r>
      <w:r>
        <w:rPr>
          <w:rFonts w:ascii="Times New Roman" w:hAnsi="Times New Roman"/>
          <w:lang w:val="sr-Cyrl-BA"/>
        </w:rPr>
        <w:t>на</w:t>
      </w:r>
      <w:r w:rsidR="001E3537" w:rsidRPr="00295637">
        <w:rPr>
          <w:rFonts w:ascii="Times New Roman" w:hAnsi="Times New Roman"/>
          <w:lang w:val="sr-Cyrl-BA"/>
        </w:rPr>
        <w:t xml:space="preserve"> </w:t>
      </w:r>
      <w:r>
        <w:rPr>
          <w:rFonts w:ascii="Times New Roman" w:hAnsi="Times New Roman"/>
          <w:lang w:val="sr-Cyrl-BA"/>
        </w:rPr>
        <w:t>кандидатским</w:t>
      </w:r>
      <w:r w:rsidR="001E3537" w:rsidRPr="00295637">
        <w:rPr>
          <w:rFonts w:ascii="Times New Roman" w:hAnsi="Times New Roman"/>
          <w:lang w:val="sr-Cyrl-BA"/>
        </w:rPr>
        <w:t xml:space="preserve"> </w:t>
      </w:r>
      <w:r>
        <w:rPr>
          <w:rFonts w:ascii="Times New Roman" w:hAnsi="Times New Roman"/>
          <w:lang w:val="sr-Cyrl-BA"/>
        </w:rPr>
        <w:t>листама</w:t>
      </w:r>
      <w:r w:rsidR="001E3537" w:rsidRPr="00295637">
        <w:rPr>
          <w:rFonts w:ascii="Times New Roman" w:hAnsi="Times New Roman"/>
          <w:lang w:val="sr-Cyrl-BA"/>
        </w:rPr>
        <w:t xml:space="preserve">, </w:t>
      </w:r>
      <w:r>
        <w:rPr>
          <w:rFonts w:ascii="Times New Roman" w:hAnsi="Times New Roman"/>
          <w:lang w:val="sr-Cyrl-BA"/>
        </w:rPr>
        <w:t>као</w:t>
      </w:r>
      <w:r w:rsidR="001E3537" w:rsidRPr="00295637">
        <w:rPr>
          <w:rFonts w:ascii="Times New Roman" w:hAnsi="Times New Roman"/>
          <w:lang w:val="sr-Cyrl-BA"/>
        </w:rPr>
        <w:t xml:space="preserve"> </w:t>
      </w:r>
      <w:r>
        <w:rPr>
          <w:rFonts w:ascii="Times New Roman" w:hAnsi="Times New Roman"/>
          <w:lang w:val="sr-Cyrl-BA"/>
        </w:rPr>
        <w:t>и</w:t>
      </w:r>
      <w:r w:rsidR="001E3537" w:rsidRPr="00295637">
        <w:rPr>
          <w:rFonts w:ascii="Times New Roman" w:hAnsi="Times New Roman"/>
          <w:lang w:val="sr-Cyrl-BA"/>
        </w:rPr>
        <w:t xml:space="preserve"> </w:t>
      </w:r>
      <w:r>
        <w:rPr>
          <w:rFonts w:ascii="Times New Roman" w:hAnsi="Times New Roman"/>
          <w:lang w:val="sr-Cyrl-BA"/>
        </w:rPr>
        <w:t>анализу</w:t>
      </w:r>
      <w:r w:rsidR="001E3537" w:rsidRPr="00295637">
        <w:rPr>
          <w:rFonts w:ascii="Times New Roman" w:hAnsi="Times New Roman"/>
          <w:lang w:val="sr-Cyrl-BA"/>
        </w:rPr>
        <w:t xml:space="preserve"> </w:t>
      </w:r>
      <w:r>
        <w:rPr>
          <w:rFonts w:ascii="Times New Roman" w:hAnsi="Times New Roman"/>
          <w:lang w:val="sr-Cyrl-BA"/>
        </w:rPr>
        <w:t>остварених</w:t>
      </w:r>
      <w:r w:rsidR="001E3537" w:rsidRPr="00295637">
        <w:rPr>
          <w:rFonts w:ascii="Times New Roman" w:hAnsi="Times New Roman"/>
          <w:lang w:val="sr-Cyrl-BA"/>
        </w:rPr>
        <w:t xml:space="preserve"> </w:t>
      </w:r>
      <w:r>
        <w:rPr>
          <w:rFonts w:ascii="Times New Roman" w:hAnsi="Times New Roman"/>
          <w:lang w:val="sr-Cyrl-BA"/>
        </w:rPr>
        <w:t>резултата</w:t>
      </w:r>
      <w:r w:rsidR="001E3537" w:rsidRPr="00295637">
        <w:rPr>
          <w:rFonts w:ascii="Times New Roman" w:hAnsi="Times New Roman"/>
          <w:lang w:val="sr-Cyrl-BA"/>
        </w:rPr>
        <w:t xml:space="preserve"> </w:t>
      </w:r>
      <w:r>
        <w:rPr>
          <w:rFonts w:ascii="Times New Roman" w:hAnsi="Times New Roman"/>
          <w:lang w:val="sr-Cyrl-BA"/>
        </w:rPr>
        <w:t>жена</w:t>
      </w:r>
      <w:r w:rsidR="001E3537" w:rsidRPr="00295637">
        <w:rPr>
          <w:rFonts w:ascii="Times New Roman" w:hAnsi="Times New Roman"/>
          <w:lang w:val="sr-Cyrl-BA"/>
        </w:rPr>
        <w:t xml:space="preserve"> </w:t>
      </w:r>
      <w:r>
        <w:rPr>
          <w:rFonts w:ascii="Times New Roman" w:hAnsi="Times New Roman"/>
          <w:lang w:val="sr-Cyrl-BA"/>
        </w:rPr>
        <w:t>кандидаткиња</w:t>
      </w:r>
      <w:r w:rsidR="00346E68">
        <w:rPr>
          <w:rFonts w:ascii="Times New Roman" w:hAnsi="Times New Roman"/>
          <w:lang w:val="sr-Cyrl-BA"/>
        </w:rPr>
        <w:t xml:space="preserve"> </w:t>
      </w:r>
      <w:r>
        <w:rPr>
          <w:rFonts w:ascii="Times New Roman" w:hAnsi="Times New Roman"/>
          <w:lang w:val="sr-Cyrl-BA"/>
        </w:rPr>
        <w:t>за</w:t>
      </w:r>
      <w:r w:rsidR="00346E68">
        <w:rPr>
          <w:rFonts w:ascii="Times New Roman" w:hAnsi="Times New Roman"/>
          <w:lang w:val="sr-Cyrl-BA"/>
        </w:rPr>
        <w:t xml:space="preserve"> </w:t>
      </w:r>
      <w:r>
        <w:rPr>
          <w:rFonts w:ascii="Times New Roman" w:hAnsi="Times New Roman"/>
          <w:lang w:val="sr-Cyrl-BA"/>
        </w:rPr>
        <w:t>Локалне</w:t>
      </w:r>
      <w:r w:rsidR="00346E68">
        <w:rPr>
          <w:rFonts w:ascii="Times New Roman" w:hAnsi="Times New Roman"/>
          <w:lang w:val="sr-Cyrl-BA"/>
        </w:rPr>
        <w:t xml:space="preserve"> </w:t>
      </w:r>
      <w:r>
        <w:rPr>
          <w:rFonts w:ascii="Times New Roman" w:hAnsi="Times New Roman"/>
          <w:lang w:val="sr-Cyrl-BA"/>
        </w:rPr>
        <w:t>изборе</w:t>
      </w:r>
      <w:r w:rsidR="00346E68">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1E3537" w:rsidRPr="00295637">
        <w:rPr>
          <w:rFonts w:ascii="Times New Roman" w:hAnsi="Times New Roman"/>
          <w:lang w:val="sr-Cyrl-BA"/>
        </w:rPr>
        <w:t xml:space="preserve"> </w:t>
      </w:r>
      <w:r>
        <w:rPr>
          <w:rFonts w:ascii="Times New Roman" w:hAnsi="Times New Roman"/>
          <w:lang w:val="sr-Cyrl-BA"/>
        </w:rPr>
        <w:t>аспекта</w:t>
      </w:r>
      <w:r w:rsidR="001E3537" w:rsidRPr="00295637">
        <w:rPr>
          <w:rFonts w:ascii="Times New Roman" w:hAnsi="Times New Roman"/>
          <w:lang w:val="sr-Cyrl-BA"/>
        </w:rPr>
        <w:t xml:space="preserve"> </w:t>
      </w:r>
      <w:r>
        <w:rPr>
          <w:rFonts w:ascii="Times New Roman" w:hAnsi="Times New Roman"/>
          <w:lang w:val="sr-Cyrl-BA"/>
        </w:rPr>
        <w:t>равноправности</w:t>
      </w:r>
      <w:r w:rsidR="001E3537" w:rsidRPr="00295637">
        <w:rPr>
          <w:rFonts w:ascii="Times New Roman" w:hAnsi="Times New Roman"/>
          <w:lang w:val="sr-Cyrl-BA"/>
        </w:rPr>
        <w:t xml:space="preserve"> </w:t>
      </w:r>
      <w:r>
        <w:rPr>
          <w:rFonts w:ascii="Times New Roman" w:hAnsi="Times New Roman"/>
          <w:lang w:val="sr-Cyrl-BA"/>
        </w:rPr>
        <w:t>полова</w:t>
      </w:r>
      <w:r w:rsidR="001E3537" w:rsidRPr="00295637">
        <w:rPr>
          <w:rFonts w:ascii="Times New Roman" w:hAnsi="Times New Roman"/>
          <w:lang w:val="sr-Cyrl-BA"/>
        </w:rPr>
        <w:t xml:space="preserve">. </w:t>
      </w:r>
      <w:r>
        <w:rPr>
          <w:rFonts w:ascii="Times New Roman" w:hAnsi="Times New Roman"/>
          <w:lang w:val="sr-Cyrl-BA"/>
        </w:rPr>
        <w:t>Анализа</w:t>
      </w:r>
      <w:r w:rsidR="001E3537" w:rsidRPr="00295637">
        <w:rPr>
          <w:rFonts w:ascii="Times New Roman" w:hAnsi="Times New Roman"/>
          <w:lang w:val="sr-Cyrl-BA"/>
        </w:rPr>
        <w:t xml:space="preserve"> </w:t>
      </w:r>
      <w:r>
        <w:rPr>
          <w:rFonts w:ascii="Times New Roman" w:hAnsi="Times New Roman"/>
          <w:lang w:val="sr-Cyrl-BA"/>
        </w:rPr>
        <w:t>обухвата</w:t>
      </w:r>
      <w:r w:rsidR="001E3537" w:rsidRPr="00295637">
        <w:rPr>
          <w:rFonts w:ascii="Times New Roman" w:hAnsi="Times New Roman"/>
          <w:lang w:val="sr-Cyrl-BA"/>
        </w:rPr>
        <w:t xml:space="preserve"> </w:t>
      </w:r>
      <w:r>
        <w:rPr>
          <w:rFonts w:ascii="Times New Roman" w:hAnsi="Times New Roman"/>
          <w:lang w:val="sr-Cyrl-BA"/>
        </w:rPr>
        <w:t>глобални</w:t>
      </w:r>
      <w:r w:rsidR="001E3537" w:rsidRPr="00295637">
        <w:rPr>
          <w:rFonts w:ascii="Times New Roman" w:hAnsi="Times New Roman"/>
          <w:lang w:val="sr-Cyrl-BA"/>
        </w:rPr>
        <w:t xml:space="preserve"> </w:t>
      </w:r>
      <w:r>
        <w:rPr>
          <w:rFonts w:ascii="Times New Roman" w:hAnsi="Times New Roman"/>
          <w:lang w:val="sr-Cyrl-BA"/>
        </w:rPr>
        <w:t>контекст</w:t>
      </w:r>
      <w:r w:rsidR="001E3537" w:rsidRPr="00295637">
        <w:rPr>
          <w:rFonts w:ascii="Times New Roman" w:hAnsi="Times New Roman"/>
          <w:lang w:val="sr-Cyrl-BA"/>
        </w:rPr>
        <w:t xml:space="preserve">, </w:t>
      </w:r>
      <w:r>
        <w:rPr>
          <w:rFonts w:ascii="Times New Roman" w:hAnsi="Times New Roman"/>
          <w:lang w:val="sr-Cyrl-BA"/>
        </w:rPr>
        <w:t>локални</w:t>
      </w:r>
      <w:r w:rsidR="001E3537" w:rsidRPr="00295637">
        <w:rPr>
          <w:rFonts w:ascii="Times New Roman" w:hAnsi="Times New Roman"/>
          <w:lang w:val="sr-Cyrl-BA"/>
        </w:rPr>
        <w:t xml:space="preserve"> </w:t>
      </w:r>
      <w:r>
        <w:rPr>
          <w:rFonts w:ascii="Times New Roman" w:hAnsi="Times New Roman"/>
          <w:lang w:val="sr-Cyrl-BA"/>
        </w:rPr>
        <w:t>контекст</w:t>
      </w:r>
      <w:r w:rsidR="001E3537" w:rsidRPr="00295637">
        <w:rPr>
          <w:rFonts w:ascii="Times New Roman" w:hAnsi="Times New Roman"/>
          <w:lang w:val="sr-Cyrl-BA"/>
        </w:rPr>
        <w:t xml:space="preserve">, </w:t>
      </w:r>
      <w:r>
        <w:rPr>
          <w:rFonts w:ascii="Times New Roman" w:hAnsi="Times New Roman"/>
          <w:lang w:val="sr-Cyrl-BA"/>
        </w:rPr>
        <w:t>медијску</w:t>
      </w:r>
      <w:r w:rsidR="001E3537" w:rsidRPr="00295637">
        <w:rPr>
          <w:rFonts w:ascii="Times New Roman" w:hAnsi="Times New Roman"/>
          <w:lang w:val="sr-Cyrl-BA"/>
        </w:rPr>
        <w:t xml:space="preserve"> </w:t>
      </w:r>
      <w:r>
        <w:rPr>
          <w:rFonts w:ascii="Times New Roman" w:hAnsi="Times New Roman"/>
          <w:lang w:val="sr-Cyrl-BA"/>
        </w:rPr>
        <w:t>анализу</w:t>
      </w:r>
      <w:r w:rsidR="001E3537" w:rsidRPr="00295637">
        <w:rPr>
          <w:rFonts w:ascii="Times New Roman" w:hAnsi="Times New Roman"/>
          <w:lang w:val="sr-Cyrl-BA"/>
        </w:rPr>
        <w:t xml:space="preserve"> </w:t>
      </w:r>
      <w:r>
        <w:rPr>
          <w:rFonts w:ascii="Times New Roman" w:hAnsi="Times New Roman"/>
          <w:lang w:val="sr-Cyrl-BA"/>
        </w:rPr>
        <w:t>и</w:t>
      </w:r>
      <w:r w:rsidR="001E3537" w:rsidRPr="00295637">
        <w:rPr>
          <w:rFonts w:ascii="Times New Roman" w:hAnsi="Times New Roman"/>
          <w:lang w:val="sr-Cyrl-BA"/>
        </w:rPr>
        <w:t xml:space="preserve"> </w:t>
      </w:r>
      <w:r>
        <w:rPr>
          <w:rFonts w:ascii="Times New Roman" w:hAnsi="Times New Roman"/>
          <w:lang w:val="sr-Cyrl-BA"/>
        </w:rPr>
        <w:t>онл</w:t>
      </w:r>
      <w:r w:rsidR="00070295">
        <w:rPr>
          <w:rFonts w:ascii="Times New Roman" w:hAnsi="Times New Roman"/>
          <w:lang w:val="sr-Cyrl-BA"/>
        </w:rPr>
        <w:t>ајн</w:t>
      </w:r>
      <w:r w:rsidR="001E3537" w:rsidRPr="00295637">
        <w:rPr>
          <w:rFonts w:ascii="Times New Roman" w:hAnsi="Times New Roman"/>
          <w:lang w:val="sr-Cyrl-BA"/>
        </w:rPr>
        <w:t xml:space="preserve"> </w:t>
      </w:r>
      <w:r>
        <w:rPr>
          <w:rFonts w:ascii="Times New Roman" w:hAnsi="Times New Roman"/>
          <w:lang w:val="sr-Cyrl-BA"/>
        </w:rPr>
        <w:t>кампању</w:t>
      </w:r>
      <w:r w:rsidR="001E3537" w:rsidRPr="00295637">
        <w:rPr>
          <w:rFonts w:ascii="Times New Roman" w:hAnsi="Times New Roman"/>
          <w:lang w:val="sr-Cyrl-BA"/>
        </w:rPr>
        <w:t xml:space="preserve"> „</w:t>
      </w:r>
      <w:r>
        <w:rPr>
          <w:rFonts w:ascii="Times New Roman" w:hAnsi="Times New Roman"/>
          <w:lang w:val="sr-Cyrl-BA"/>
        </w:rPr>
        <w:t>Бирај</w:t>
      </w:r>
      <w:r w:rsidR="001E3537" w:rsidRPr="00295637">
        <w:rPr>
          <w:rFonts w:ascii="Times New Roman" w:hAnsi="Times New Roman"/>
          <w:lang w:val="sr-Cyrl-BA"/>
        </w:rPr>
        <w:t xml:space="preserve"> </w:t>
      </w:r>
      <w:r>
        <w:rPr>
          <w:rFonts w:ascii="Times New Roman" w:hAnsi="Times New Roman"/>
          <w:lang w:val="sr-Cyrl-BA"/>
        </w:rPr>
        <w:t>равноправно</w:t>
      </w:r>
      <w:r w:rsidR="001E3537" w:rsidRPr="00295637">
        <w:rPr>
          <w:rFonts w:ascii="Times New Roman" w:hAnsi="Times New Roman"/>
          <w:lang w:val="sr-Cyrl-BA"/>
        </w:rPr>
        <w:t xml:space="preserve">“ </w:t>
      </w:r>
      <w:r>
        <w:rPr>
          <w:rFonts w:ascii="Times New Roman" w:hAnsi="Times New Roman"/>
          <w:lang w:val="sr-Cyrl-BA"/>
        </w:rPr>
        <w:t>и</w:t>
      </w:r>
      <w:r w:rsidR="001E3537" w:rsidRPr="00295637">
        <w:rPr>
          <w:rFonts w:ascii="Times New Roman" w:hAnsi="Times New Roman"/>
          <w:lang w:val="sr-Cyrl-BA"/>
        </w:rPr>
        <w:t xml:space="preserve"> </w:t>
      </w:r>
      <w:r>
        <w:rPr>
          <w:rFonts w:ascii="Times New Roman" w:hAnsi="Times New Roman"/>
          <w:lang w:val="sr-Cyrl-BA"/>
        </w:rPr>
        <w:t>представља</w:t>
      </w:r>
      <w:r w:rsidR="001E3537" w:rsidRPr="00295637">
        <w:rPr>
          <w:rFonts w:ascii="Times New Roman" w:hAnsi="Times New Roman"/>
          <w:lang w:val="sr-Cyrl-BA"/>
        </w:rPr>
        <w:t xml:space="preserve"> </w:t>
      </w:r>
      <w:r>
        <w:rPr>
          <w:rFonts w:ascii="Times New Roman" w:hAnsi="Times New Roman"/>
          <w:lang w:val="hr-HR"/>
        </w:rPr>
        <w:t>основ</w:t>
      </w:r>
      <w:r w:rsidR="001E3537" w:rsidRPr="00295637">
        <w:rPr>
          <w:rFonts w:ascii="Times New Roman" w:hAnsi="Times New Roman"/>
          <w:lang w:val="sr-Cyrl-BA"/>
        </w:rPr>
        <w:t xml:space="preserve"> </w:t>
      </w:r>
      <w:r>
        <w:rPr>
          <w:rFonts w:ascii="Times New Roman" w:hAnsi="Times New Roman"/>
          <w:lang w:val="sr-Cyrl-BA"/>
        </w:rPr>
        <w:t>за</w:t>
      </w:r>
      <w:r w:rsidR="001E3537" w:rsidRPr="00295637">
        <w:rPr>
          <w:rFonts w:ascii="Times New Roman" w:hAnsi="Times New Roman"/>
          <w:lang w:val="sr-Cyrl-BA"/>
        </w:rPr>
        <w:t xml:space="preserve"> </w:t>
      </w:r>
      <w:r>
        <w:rPr>
          <w:rFonts w:ascii="Times New Roman" w:hAnsi="Times New Roman"/>
          <w:lang w:val="sr-Cyrl-BA"/>
        </w:rPr>
        <w:t>израду</w:t>
      </w:r>
      <w:r w:rsidR="001E3537" w:rsidRPr="00295637">
        <w:rPr>
          <w:rFonts w:ascii="Times New Roman" w:hAnsi="Times New Roman"/>
          <w:lang w:val="sr-Cyrl-BA"/>
        </w:rPr>
        <w:t xml:space="preserve"> </w:t>
      </w:r>
      <w:r>
        <w:rPr>
          <w:rFonts w:ascii="Times New Roman" w:hAnsi="Times New Roman"/>
          <w:lang w:val="sr-Cyrl-BA"/>
        </w:rPr>
        <w:t>периодичног</w:t>
      </w:r>
      <w:r w:rsidR="001E3537"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таја</w:t>
      </w:r>
      <w:r w:rsidR="001E3537" w:rsidRPr="00295637">
        <w:rPr>
          <w:rFonts w:ascii="Times New Roman" w:hAnsi="Times New Roman"/>
          <w:lang w:val="sr-Cyrl-BA"/>
        </w:rPr>
        <w:t xml:space="preserve"> </w:t>
      </w:r>
      <w:r>
        <w:rPr>
          <w:rFonts w:ascii="Times New Roman" w:hAnsi="Times New Roman"/>
          <w:lang w:val="sr-Cyrl-BA"/>
        </w:rPr>
        <w:t>о</w:t>
      </w:r>
      <w:r w:rsidR="001E3537" w:rsidRPr="00295637">
        <w:rPr>
          <w:rFonts w:ascii="Times New Roman" w:hAnsi="Times New Roman"/>
          <w:lang w:val="sr-Cyrl-BA"/>
        </w:rPr>
        <w:t xml:space="preserve"> </w:t>
      </w:r>
      <w:r>
        <w:rPr>
          <w:rFonts w:ascii="Times New Roman" w:hAnsi="Times New Roman"/>
          <w:lang w:val="sr-Cyrl-BA"/>
        </w:rPr>
        <w:t>напретку</w:t>
      </w:r>
      <w:r w:rsidR="001E3537" w:rsidRPr="00295637">
        <w:rPr>
          <w:rFonts w:ascii="Times New Roman" w:hAnsi="Times New Roman"/>
          <w:lang w:val="sr-Cyrl-BA"/>
        </w:rPr>
        <w:t xml:space="preserve"> </w:t>
      </w:r>
      <w:r>
        <w:rPr>
          <w:rFonts w:ascii="Times New Roman" w:hAnsi="Times New Roman"/>
          <w:lang w:val="sr-Cyrl-BA"/>
        </w:rPr>
        <w:t>у</w:t>
      </w:r>
      <w:r w:rsidR="001E3537" w:rsidRPr="00295637">
        <w:rPr>
          <w:rFonts w:ascii="Times New Roman" w:hAnsi="Times New Roman"/>
          <w:lang w:val="sr-Cyrl-BA"/>
        </w:rPr>
        <w:t xml:space="preserve"> </w:t>
      </w:r>
      <w:r>
        <w:rPr>
          <w:rFonts w:ascii="Times New Roman" w:hAnsi="Times New Roman"/>
          <w:lang w:val="sr-Cyrl-BA"/>
        </w:rPr>
        <w:t>примјени</w:t>
      </w:r>
      <w:r w:rsidR="001E3537" w:rsidRPr="00295637">
        <w:rPr>
          <w:rFonts w:ascii="Times New Roman" w:hAnsi="Times New Roman"/>
          <w:lang w:val="sr-Cyrl-BA"/>
        </w:rPr>
        <w:t xml:space="preserve"> </w:t>
      </w:r>
      <w:r>
        <w:rPr>
          <w:rFonts w:ascii="Times New Roman" w:hAnsi="Times New Roman"/>
          <w:lang w:val="sr-Cyrl-BA"/>
        </w:rPr>
        <w:t>нормативно</w:t>
      </w:r>
      <w:r w:rsidR="001E3537" w:rsidRPr="00295637">
        <w:rPr>
          <w:rFonts w:ascii="Times New Roman" w:hAnsi="Times New Roman"/>
          <w:lang w:val="sr-Cyrl-BA"/>
        </w:rPr>
        <w:t>-</w:t>
      </w:r>
      <w:r>
        <w:rPr>
          <w:rFonts w:ascii="Times New Roman" w:hAnsi="Times New Roman"/>
          <w:lang w:val="sr-Cyrl-BA"/>
        </w:rPr>
        <w:t>правних</w:t>
      </w:r>
      <w:r w:rsidR="001E3537" w:rsidRPr="00295637">
        <w:rPr>
          <w:rFonts w:ascii="Times New Roman" w:hAnsi="Times New Roman"/>
          <w:lang w:val="sr-Cyrl-BA"/>
        </w:rPr>
        <w:t xml:space="preserve"> </w:t>
      </w:r>
      <w:r>
        <w:rPr>
          <w:rFonts w:ascii="Times New Roman" w:hAnsi="Times New Roman"/>
          <w:lang w:val="sr-Cyrl-BA"/>
        </w:rPr>
        <w:t>стандарда</w:t>
      </w:r>
      <w:r w:rsidR="001E3537" w:rsidRPr="00295637">
        <w:rPr>
          <w:rFonts w:ascii="Times New Roman" w:hAnsi="Times New Roman"/>
          <w:lang w:val="sr-Cyrl-BA"/>
        </w:rPr>
        <w:t xml:space="preserve"> </w:t>
      </w:r>
      <w:r>
        <w:rPr>
          <w:rFonts w:ascii="Times New Roman" w:hAnsi="Times New Roman"/>
          <w:lang w:val="sr-Cyrl-BA"/>
        </w:rPr>
        <w:t>за</w:t>
      </w:r>
      <w:r w:rsidR="001E3537" w:rsidRPr="00295637">
        <w:rPr>
          <w:rFonts w:ascii="Times New Roman" w:hAnsi="Times New Roman"/>
          <w:lang w:val="sr-Cyrl-BA"/>
        </w:rPr>
        <w:t xml:space="preserve"> </w:t>
      </w:r>
      <w:r>
        <w:rPr>
          <w:rFonts w:ascii="Times New Roman" w:hAnsi="Times New Roman"/>
          <w:lang w:val="sr-Cyrl-BA"/>
        </w:rPr>
        <w:t>равноправност</w:t>
      </w:r>
      <w:r w:rsidR="001E3537" w:rsidRPr="00295637">
        <w:rPr>
          <w:rFonts w:ascii="Times New Roman" w:hAnsi="Times New Roman"/>
          <w:lang w:val="sr-Cyrl-BA"/>
        </w:rPr>
        <w:t xml:space="preserve"> </w:t>
      </w:r>
      <w:r>
        <w:rPr>
          <w:rFonts w:ascii="Times New Roman" w:hAnsi="Times New Roman"/>
          <w:lang w:val="sr-Cyrl-BA"/>
        </w:rPr>
        <w:t>полова</w:t>
      </w:r>
      <w:r w:rsidR="001E3537" w:rsidRPr="00295637">
        <w:rPr>
          <w:rFonts w:ascii="Times New Roman" w:hAnsi="Times New Roman"/>
          <w:lang w:val="sr-Cyrl-BA"/>
        </w:rPr>
        <w:t xml:space="preserve"> </w:t>
      </w:r>
      <w:r>
        <w:rPr>
          <w:rFonts w:ascii="Times New Roman" w:hAnsi="Times New Roman"/>
          <w:lang w:val="sr-Cyrl-BA"/>
        </w:rPr>
        <w:t>у</w:t>
      </w:r>
      <w:r w:rsidR="001E3537" w:rsidRPr="00295637">
        <w:rPr>
          <w:rFonts w:ascii="Times New Roman" w:hAnsi="Times New Roman"/>
          <w:lang w:val="sr-Cyrl-BA"/>
        </w:rPr>
        <w:t xml:space="preserve"> </w:t>
      </w:r>
      <w:r>
        <w:rPr>
          <w:rFonts w:ascii="Times New Roman" w:hAnsi="Times New Roman"/>
          <w:lang w:val="hr-HR"/>
        </w:rPr>
        <w:t>области</w:t>
      </w:r>
      <w:r w:rsidR="001E3537" w:rsidRPr="00295637">
        <w:rPr>
          <w:rFonts w:ascii="Times New Roman" w:hAnsi="Times New Roman"/>
          <w:lang w:val="sr-Cyrl-BA"/>
        </w:rPr>
        <w:t xml:space="preserve"> </w:t>
      </w:r>
      <w:r>
        <w:rPr>
          <w:rFonts w:ascii="Times New Roman" w:hAnsi="Times New Roman"/>
          <w:lang w:val="sr-Cyrl-BA"/>
        </w:rPr>
        <w:t>политичког</w:t>
      </w:r>
      <w:r w:rsidR="001E3537" w:rsidRPr="00295637">
        <w:rPr>
          <w:rFonts w:ascii="Times New Roman" w:hAnsi="Times New Roman"/>
          <w:lang w:val="sr-Cyrl-BA"/>
        </w:rPr>
        <w:t xml:space="preserve"> </w:t>
      </w:r>
      <w:r>
        <w:rPr>
          <w:rFonts w:ascii="Times New Roman" w:hAnsi="Times New Roman"/>
          <w:lang w:val="sr-Cyrl-BA"/>
        </w:rPr>
        <w:t>и</w:t>
      </w:r>
      <w:r w:rsidR="001E3537" w:rsidRPr="00295637">
        <w:rPr>
          <w:rFonts w:ascii="Times New Roman" w:hAnsi="Times New Roman"/>
          <w:lang w:val="sr-Cyrl-BA"/>
        </w:rPr>
        <w:t xml:space="preserve"> </w:t>
      </w:r>
      <w:r>
        <w:rPr>
          <w:rFonts w:ascii="Times New Roman" w:hAnsi="Times New Roman"/>
          <w:lang w:val="sr-Cyrl-BA"/>
        </w:rPr>
        <w:t>јавног</w:t>
      </w:r>
      <w:r w:rsidR="001E3537" w:rsidRPr="00295637">
        <w:rPr>
          <w:rFonts w:ascii="Times New Roman" w:hAnsi="Times New Roman"/>
          <w:lang w:val="sr-Cyrl-BA"/>
        </w:rPr>
        <w:t xml:space="preserve"> </w:t>
      </w:r>
      <w:r>
        <w:rPr>
          <w:rFonts w:ascii="Times New Roman" w:hAnsi="Times New Roman"/>
          <w:lang w:val="sr-Cyrl-BA"/>
        </w:rPr>
        <w:t>живота</w:t>
      </w:r>
      <w:r w:rsidR="001E3537" w:rsidRPr="00295637">
        <w:rPr>
          <w:rFonts w:ascii="Times New Roman" w:hAnsi="Times New Roman"/>
          <w:lang w:val="sr-Cyrl-BA"/>
        </w:rPr>
        <w:t xml:space="preserve"> </w:t>
      </w:r>
      <w:r>
        <w:rPr>
          <w:rFonts w:ascii="Times New Roman" w:hAnsi="Times New Roman"/>
          <w:lang w:val="sr-Cyrl-BA"/>
        </w:rPr>
        <w:t>у</w:t>
      </w:r>
      <w:r w:rsidR="001E3537" w:rsidRPr="00295637">
        <w:rPr>
          <w:rFonts w:ascii="Times New Roman" w:hAnsi="Times New Roman"/>
          <w:lang w:val="sr-Cyrl-BA"/>
        </w:rPr>
        <w:t xml:space="preserve"> </w:t>
      </w:r>
      <w:r>
        <w:rPr>
          <w:rFonts w:ascii="Times New Roman" w:hAnsi="Times New Roman"/>
          <w:lang w:val="sr-Cyrl-BA"/>
        </w:rPr>
        <w:t>Републици</w:t>
      </w:r>
      <w:r w:rsidR="001E3537" w:rsidRPr="00295637">
        <w:rPr>
          <w:rFonts w:ascii="Times New Roman" w:hAnsi="Times New Roman"/>
          <w:lang w:val="sr-Cyrl-BA"/>
        </w:rPr>
        <w:t xml:space="preserve"> </w:t>
      </w:r>
      <w:r>
        <w:rPr>
          <w:rFonts w:ascii="Times New Roman" w:hAnsi="Times New Roman"/>
          <w:lang w:val="sr-Cyrl-BA"/>
        </w:rPr>
        <w:t>Српској</w:t>
      </w:r>
      <w:r w:rsidR="001E3537" w:rsidRPr="00295637">
        <w:rPr>
          <w:rFonts w:ascii="Times New Roman" w:hAnsi="Times New Roman"/>
          <w:lang w:val="sr-Cyrl-BA"/>
        </w:rPr>
        <w:t xml:space="preserve"> </w:t>
      </w:r>
      <w:r>
        <w:rPr>
          <w:rFonts w:ascii="Times New Roman" w:hAnsi="Times New Roman"/>
          <w:lang w:val="sr-Cyrl-BA"/>
        </w:rPr>
        <w:t>које</w:t>
      </w:r>
      <w:r w:rsidR="001E3537" w:rsidRPr="00295637">
        <w:rPr>
          <w:rFonts w:ascii="Times New Roman" w:hAnsi="Times New Roman"/>
          <w:lang w:val="sr-Cyrl-BA"/>
        </w:rPr>
        <w:t xml:space="preserve"> </w:t>
      </w:r>
      <w:r>
        <w:rPr>
          <w:rFonts w:ascii="Times New Roman" w:hAnsi="Times New Roman"/>
          <w:lang w:val="sr-Cyrl-BA"/>
        </w:rPr>
        <w:t>припрема</w:t>
      </w:r>
      <w:r w:rsidR="001E3537" w:rsidRPr="00295637">
        <w:rPr>
          <w:rFonts w:ascii="Times New Roman" w:hAnsi="Times New Roman"/>
          <w:lang w:val="sr-Cyrl-BA"/>
        </w:rPr>
        <w:t xml:space="preserve"> </w:t>
      </w:r>
      <w:r>
        <w:rPr>
          <w:rFonts w:ascii="Times New Roman" w:hAnsi="Times New Roman"/>
          <w:lang w:val="sr-Cyrl-BA"/>
        </w:rPr>
        <w:t>ЦЈРП</w:t>
      </w:r>
      <w:r w:rsidR="001E3537" w:rsidRPr="00295637">
        <w:rPr>
          <w:rFonts w:ascii="Times New Roman" w:hAnsi="Times New Roman"/>
          <w:lang w:val="sr-Latn-BA"/>
        </w:rPr>
        <w:t xml:space="preserve"> </w:t>
      </w:r>
      <w:r>
        <w:rPr>
          <w:rFonts w:ascii="Times New Roman" w:hAnsi="Times New Roman"/>
          <w:lang w:val="sr-Latn-BA"/>
        </w:rPr>
        <w:t>РС</w:t>
      </w:r>
      <w:r w:rsidR="001E3537" w:rsidRPr="00295637">
        <w:rPr>
          <w:rFonts w:ascii="Times New Roman" w:hAnsi="Times New Roman"/>
          <w:lang w:val="sr-Cyrl-BA"/>
        </w:rPr>
        <w:t xml:space="preserve">, </w:t>
      </w:r>
      <w:r>
        <w:rPr>
          <w:rFonts w:ascii="Times New Roman" w:hAnsi="Times New Roman"/>
          <w:lang w:val="sr-Cyrl-BA"/>
        </w:rPr>
        <w:t>а</w:t>
      </w:r>
      <w:r w:rsidR="001E3537" w:rsidRPr="00295637">
        <w:rPr>
          <w:rFonts w:ascii="Times New Roman" w:hAnsi="Times New Roman"/>
          <w:lang w:val="sr-Cyrl-BA"/>
        </w:rPr>
        <w:t xml:space="preserve"> </w:t>
      </w:r>
      <w:r>
        <w:rPr>
          <w:rFonts w:ascii="Times New Roman" w:hAnsi="Times New Roman"/>
          <w:lang w:val="sr-Cyrl-BA"/>
        </w:rPr>
        <w:t>усваја</w:t>
      </w:r>
      <w:r w:rsidR="001E3537" w:rsidRPr="00295637">
        <w:rPr>
          <w:rFonts w:ascii="Times New Roman" w:hAnsi="Times New Roman"/>
          <w:lang w:val="sr-Cyrl-BA"/>
        </w:rPr>
        <w:t xml:space="preserve"> </w:t>
      </w:r>
      <w:r>
        <w:rPr>
          <w:rFonts w:ascii="Times New Roman" w:hAnsi="Times New Roman"/>
          <w:lang w:val="sr-Cyrl-BA"/>
        </w:rPr>
        <w:t>Влада</w:t>
      </w:r>
      <w:r w:rsidR="001E3537"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1E3537" w:rsidRPr="00295637">
        <w:rPr>
          <w:rFonts w:ascii="Times New Roman" w:hAnsi="Times New Roman"/>
          <w:lang w:val="sr-Cyrl-BA"/>
        </w:rPr>
        <w:t xml:space="preserve">, </w:t>
      </w:r>
      <w:r w:rsidR="00070295">
        <w:rPr>
          <w:rFonts w:ascii="Times New Roman" w:hAnsi="Times New Roman"/>
          <w:lang w:val="sr-Cyrl-BA"/>
        </w:rPr>
        <w:t>с</w:t>
      </w:r>
      <w:r w:rsidR="001E3537" w:rsidRPr="00295637">
        <w:rPr>
          <w:rFonts w:ascii="Times New Roman" w:hAnsi="Times New Roman"/>
          <w:lang w:val="sr-Cyrl-BA"/>
        </w:rPr>
        <w:t xml:space="preserve"> </w:t>
      </w:r>
      <w:r>
        <w:rPr>
          <w:rFonts w:ascii="Times New Roman" w:hAnsi="Times New Roman"/>
          <w:lang w:val="sr-Cyrl-BA"/>
        </w:rPr>
        <w:t>циљ</w:t>
      </w:r>
      <w:r w:rsidR="00070295">
        <w:rPr>
          <w:rFonts w:ascii="Times New Roman" w:hAnsi="Times New Roman"/>
          <w:lang w:val="sr-Cyrl-BA"/>
        </w:rPr>
        <w:t>ем</w:t>
      </w:r>
      <w:r w:rsidR="001E3537" w:rsidRPr="00295637">
        <w:rPr>
          <w:rFonts w:ascii="Times New Roman" w:hAnsi="Times New Roman"/>
          <w:lang w:val="sr-Cyrl-BA"/>
        </w:rPr>
        <w:t xml:space="preserve"> </w:t>
      </w:r>
      <w:r>
        <w:rPr>
          <w:rFonts w:ascii="Times New Roman" w:hAnsi="Times New Roman"/>
          <w:lang w:val="sr-Cyrl-BA"/>
        </w:rPr>
        <w:t>праћења</w:t>
      </w:r>
      <w:r w:rsidR="001E3537" w:rsidRPr="00295637">
        <w:rPr>
          <w:rFonts w:ascii="Times New Roman" w:hAnsi="Times New Roman"/>
          <w:lang w:val="sr-Cyrl-BA"/>
        </w:rPr>
        <w:t xml:space="preserve"> </w:t>
      </w:r>
      <w:r w:rsidR="00070295">
        <w:rPr>
          <w:rFonts w:ascii="Times New Roman" w:hAnsi="Times New Roman"/>
          <w:lang w:val="sr-Cyrl-BA"/>
        </w:rPr>
        <w:t>спровођења</w:t>
      </w:r>
      <w:r w:rsidR="001E3537" w:rsidRPr="00295637">
        <w:rPr>
          <w:rFonts w:ascii="Times New Roman" w:hAnsi="Times New Roman"/>
          <w:lang w:val="sr-Cyrl-BA"/>
        </w:rPr>
        <w:t xml:space="preserve"> </w:t>
      </w:r>
      <w:r>
        <w:rPr>
          <w:rFonts w:ascii="Times New Roman" w:hAnsi="Times New Roman"/>
          <w:lang w:val="sr-Cyrl-BA"/>
        </w:rPr>
        <w:t>препорука</w:t>
      </w:r>
      <w:r w:rsidR="001E3537" w:rsidRPr="00295637">
        <w:rPr>
          <w:rFonts w:ascii="Times New Roman" w:hAnsi="Times New Roman"/>
          <w:lang w:val="sr-Cyrl-BA"/>
        </w:rPr>
        <w:t xml:space="preserve">, </w:t>
      </w:r>
      <w:r>
        <w:rPr>
          <w:rFonts w:ascii="Times New Roman" w:hAnsi="Times New Roman"/>
          <w:lang w:val="sr-Cyrl-BA"/>
        </w:rPr>
        <w:t>програма</w:t>
      </w:r>
      <w:r w:rsidR="001E3537" w:rsidRPr="00295637">
        <w:rPr>
          <w:rFonts w:ascii="Times New Roman" w:hAnsi="Times New Roman"/>
          <w:lang w:val="sr-Cyrl-BA"/>
        </w:rPr>
        <w:t xml:space="preserve"> </w:t>
      </w:r>
      <w:r>
        <w:rPr>
          <w:rFonts w:ascii="Times New Roman" w:hAnsi="Times New Roman"/>
          <w:lang w:val="sr-Cyrl-BA"/>
        </w:rPr>
        <w:t>и</w:t>
      </w:r>
      <w:r w:rsidR="001E3537" w:rsidRPr="00295637">
        <w:rPr>
          <w:rFonts w:ascii="Times New Roman" w:hAnsi="Times New Roman"/>
          <w:lang w:val="sr-Cyrl-BA"/>
        </w:rPr>
        <w:t xml:space="preserve"> </w:t>
      </w:r>
      <w:r>
        <w:rPr>
          <w:rFonts w:ascii="Times New Roman" w:hAnsi="Times New Roman"/>
          <w:lang w:val="sr-Cyrl-BA"/>
        </w:rPr>
        <w:t>мјера</w:t>
      </w:r>
      <w:r w:rsidR="001E3537" w:rsidRPr="00295637">
        <w:rPr>
          <w:rFonts w:ascii="Times New Roman" w:hAnsi="Times New Roman"/>
          <w:lang w:val="sr-Cyrl-BA"/>
        </w:rPr>
        <w:t xml:space="preserve"> </w:t>
      </w:r>
      <w:r>
        <w:rPr>
          <w:rFonts w:ascii="Times New Roman" w:hAnsi="Times New Roman"/>
          <w:lang w:val="sr-Cyrl-BA"/>
        </w:rPr>
        <w:t>за</w:t>
      </w:r>
      <w:r w:rsidR="001E3537" w:rsidRPr="00295637">
        <w:rPr>
          <w:rFonts w:ascii="Times New Roman" w:hAnsi="Times New Roman"/>
          <w:lang w:val="sr-Cyrl-BA"/>
        </w:rPr>
        <w:t xml:space="preserve"> </w:t>
      </w:r>
      <w:r>
        <w:rPr>
          <w:rFonts w:ascii="Times New Roman" w:hAnsi="Times New Roman"/>
          <w:lang w:val="sr-Cyrl-BA"/>
        </w:rPr>
        <w:t>унапређење</w:t>
      </w:r>
      <w:r w:rsidR="001E3537" w:rsidRPr="00295637">
        <w:rPr>
          <w:rFonts w:ascii="Times New Roman" w:hAnsi="Times New Roman"/>
          <w:lang w:val="sr-Cyrl-BA"/>
        </w:rPr>
        <w:t xml:space="preserve"> </w:t>
      </w:r>
      <w:r>
        <w:rPr>
          <w:rFonts w:ascii="Times New Roman" w:hAnsi="Times New Roman"/>
          <w:lang w:val="sr-Cyrl-BA"/>
        </w:rPr>
        <w:t>равноправности</w:t>
      </w:r>
      <w:r w:rsidR="001E3537" w:rsidRPr="00295637">
        <w:rPr>
          <w:rFonts w:ascii="Times New Roman" w:hAnsi="Times New Roman"/>
          <w:lang w:val="sr-Cyrl-BA"/>
        </w:rPr>
        <w:t xml:space="preserve"> </w:t>
      </w:r>
      <w:r>
        <w:rPr>
          <w:rFonts w:ascii="Times New Roman" w:hAnsi="Times New Roman"/>
          <w:lang w:val="sr-Cyrl-BA"/>
        </w:rPr>
        <w:t>полова</w:t>
      </w:r>
      <w:r w:rsidR="001E3537" w:rsidRPr="00295637">
        <w:rPr>
          <w:rFonts w:ascii="Times New Roman" w:hAnsi="Times New Roman"/>
          <w:lang w:val="sr-Cyrl-BA"/>
        </w:rPr>
        <w:t xml:space="preserve"> </w:t>
      </w:r>
      <w:r>
        <w:rPr>
          <w:rFonts w:ascii="Times New Roman" w:hAnsi="Times New Roman"/>
          <w:lang w:val="sr-Cyrl-BA"/>
        </w:rPr>
        <w:t>у</w:t>
      </w:r>
      <w:r w:rsidR="001E3537" w:rsidRPr="00295637">
        <w:rPr>
          <w:rFonts w:ascii="Times New Roman" w:hAnsi="Times New Roman"/>
          <w:lang w:val="sr-Cyrl-BA"/>
        </w:rPr>
        <w:t xml:space="preserve"> </w:t>
      </w:r>
      <w:r>
        <w:rPr>
          <w:rFonts w:ascii="Times New Roman" w:hAnsi="Times New Roman"/>
          <w:lang w:val="hr-HR"/>
        </w:rPr>
        <w:t>области</w:t>
      </w:r>
      <w:r w:rsidR="001E3537" w:rsidRPr="00295637">
        <w:rPr>
          <w:rFonts w:ascii="Times New Roman" w:hAnsi="Times New Roman"/>
          <w:lang w:val="sr-Cyrl-BA"/>
        </w:rPr>
        <w:t xml:space="preserve"> </w:t>
      </w:r>
      <w:r>
        <w:rPr>
          <w:rFonts w:ascii="Times New Roman" w:hAnsi="Times New Roman"/>
          <w:lang w:val="sr-Cyrl-BA"/>
        </w:rPr>
        <w:t>политичког</w:t>
      </w:r>
      <w:r w:rsidR="001E3537" w:rsidRPr="00295637">
        <w:rPr>
          <w:rFonts w:ascii="Times New Roman" w:hAnsi="Times New Roman"/>
          <w:lang w:val="sr-Cyrl-BA"/>
        </w:rPr>
        <w:t xml:space="preserve"> </w:t>
      </w:r>
      <w:r>
        <w:rPr>
          <w:rFonts w:ascii="Times New Roman" w:hAnsi="Times New Roman"/>
          <w:lang w:val="sr-Cyrl-BA"/>
        </w:rPr>
        <w:t>и</w:t>
      </w:r>
      <w:r w:rsidR="001E3537" w:rsidRPr="00295637">
        <w:rPr>
          <w:rFonts w:ascii="Times New Roman" w:hAnsi="Times New Roman"/>
          <w:lang w:val="sr-Cyrl-BA"/>
        </w:rPr>
        <w:t xml:space="preserve"> </w:t>
      </w:r>
      <w:r>
        <w:rPr>
          <w:rFonts w:ascii="Times New Roman" w:hAnsi="Times New Roman"/>
          <w:lang w:val="sr-Cyrl-BA"/>
        </w:rPr>
        <w:t>јавног</w:t>
      </w:r>
      <w:r w:rsidR="001E3537" w:rsidRPr="00295637">
        <w:rPr>
          <w:rFonts w:ascii="Times New Roman" w:hAnsi="Times New Roman"/>
          <w:lang w:val="sr-Cyrl-BA"/>
        </w:rPr>
        <w:t xml:space="preserve"> </w:t>
      </w:r>
      <w:r>
        <w:rPr>
          <w:rFonts w:ascii="Times New Roman" w:hAnsi="Times New Roman"/>
          <w:lang w:val="sr-Cyrl-BA"/>
        </w:rPr>
        <w:t>живота</w:t>
      </w:r>
      <w:r w:rsidR="001E3537" w:rsidRPr="00295637">
        <w:rPr>
          <w:rFonts w:ascii="Times New Roman" w:hAnsi="Times New Roman"/>
          <w:lang w:val="sr-Cyrl-BA"/>
        </w:rPr>
        <w:t xml:space="preserve"> </w:t>
      </w:r>
      <w:r>
        <w:rPr>
          <w:rFonts w:ascii="Times New Roman" w:hAnsi="Times New Roman"/>
          <w:lang w:val="sr-Cyrl-BA"/>
        </w:rPr>
        <w:t>у</w:t>
      </w:r>
      <w:r w:rsidR="001E3537"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1E3537" w:rsidRPr="00295637">
        <w:rPr>
          <w:rFonts w:ascii="Times New Roman" w:hAnsi="Times New Roman"/>
          <w:lang w:val="sr-Cyrl-BA"/>
        </w:rPr>
        <w:t>.</w:t>
      </w:r>
    </w:p>
    <w:p w:rsidR="001E3537" w:rsidRPr="00295637" w:rsidRDefault="001E3537" w:rsidP="0086268D">
      <w:pPr>
        <w:pStyle w:val="ListParagraph"/>
        <w:ind w:left="0"/>
        <w:jc w:val="both"/>
        <w:rPr>
          <w:rFonts w:ascii="Times New Roman" w:hAnsi="Times New Roman"/>
          <w:lang w:val="sr-Cyrl-BA"/>
        </w:rPr>
      </w:pPr>
    </w:p>
    <w:p w:rsidR="001E3537" w:rsidRPr="00295637" w:rsidRDefault="00EA368D" w:rsidP="0086268D">
      <w:pPr>
        <w:jc w:val="both"/>
        <w:rPr>
          <w:rFonts w:ascii="Times New Roman" w:hAnsi="Times New Roman"/>
          <w:szCs w:val="24"/>
          <w:lang w:val="bs-Latn-BA"/>
        </w:rPr>
      </w:pPr>
      <w:r>
        <w:rPr>
          <w:rFonts w:ascii="Times New Roman" w:hAnsi="Times New Roman"/>
          <w:lang w:val="bs-Latn-BA"/>
        </w:rPr>
        <w:t>Такође</w:t>
      </w:r>
      <w:r w:rsidR="009524C3">
        <w:rPr>
          <w:rFonts w:ascii="Times New Roman" w:hAnsi="Times New Roman"/>
          <w:lang w:val="bs-Latn-BA"/>
        </w:rPr>
        <w:t xml:space="preserve">, </w:t>
      </w:r>
      <w:r w:rsidR="00C6214E">
        <w:rPr>
          <w:rFonts w:ascii="Times New Roman" w:hAnsi="Times New Roman"/>
          <w:lang w:val="bs-Latn-BA"/>
        </w:rPr>
        <w:t>у</w:t>
      </w:r>
      <w:r w:rsidR="001E3537" w:rsidRPr="00295637">
        <w:rPr>
          <w:rFonts w:ascii="Times New Roman" w:hAnsi="Times New Roman"/>
          <w:lang w:val="sr-Cyrl-BA"/>
        </w:rPr>
        <w:t xml:space="preserve"> </w:t>
      </w:r>
      <w:r w:rsidR="00C6214E">
        <w:rPr>
          <w:rFonts w:ascii="Times New Roman" w:hAnsi="Times New Roman"/>
          <w:lang w:val="sr-Cyrl-BA"/>
        </w:rPr>
        <w:t>оквиру</w:t>
      </w:r>
      <w:r w:rsidR="001E3537" w:rsidRPr="00295637">
        <w:rPr>
          <w:rFonts w:ascii="Times New Roman" w:hAnsi="Times New Roman"/>
          <w:lang w:val="sr-Cyrl-BA"/>
        </w:rPr>
        <w:t xml:space="preserve"> </w:t>
      </w:r>
      <w:r w:rsidR="00C6214E">
        <w:rPr>
          <w:rFonts w:ascii="Times New Roman" w:hAnsi="Times New Roman"/>
          <w:lang w:val="sr-Cyrl-BA"/>
        </w:rPr>
        <w:t>кампање</w:t>
      </w:r>
      <w:r w:rsidR="001E3537" w:rsidRPr="00295637">
        <w:rPr>
          <w:rFonts w:ascii="Times New Roman" w:hAnsi="Times New Roman"/>
          <w:lang w:val="sr-Cyrl-BA"/>
        </w:rPr>
        <w:t xml:space="preserve"> „</w:t>
      </w:r>
      <w:r w:rsidR="00C6214E">
        <w:rPr>
          <w:rFonts w:ascii="Times New Roman" w:hAnsi="Times New Roman"/>
          <w:lang w:val="sr-Cyrl-BA"/>
        </w:rPr>
        <w:t>Бирај</w:t>
      </w:r>
      <w:r w:rsidR="001E3537" w:rsidRPr="00295637">
        <w:rPr>
          <w:rFonts w:ascii="Times New Roman" w:hAnsi="Times New Roman"/>
          <w:lang w:val="sr-Cyrl-BA"/>
        </w:rPr>
        <w:t xml:space="preserve"> </w:t>
      </w:r>
      <w:r w:rsidR="00C6214E">
        <w:rPr>
          <w:rFonts w:ascii="Times New Roman" w:hAnsi="Times New Roman"/>
          <w:lang w:val="sr-Cyrl-BA"/>
        </w:rPr>
        <w:t>равноправно</w:t>
      </w:r>
      <w:r w:rsidR="001E3537" w:rsidRPr="00295637">
        <w:rPr>
          <w:rFonts w:ascii="Times New Roman" w:hAnsi="Times New Roman"/>
          <w:lang w:val="sr-Cyrl-BA"/>
        </w:rPr>
        <w:t xml:space="preserve">!“, </w:t>
      </w:r>
      <w:r w:rsidR="00C6214E">
        <w:rPr>
          <w:rFonts w:ascii="Times New Roman" w:hAnsi="Times New Roman"/>
          <w:lang w:val="sr-Cyrl-BA"/>
        </w:rPr>
        <w:t>ЦЈРП</w:t>
      </w:r>
      <w:r w:rsidR="001E3537" w:rsidRPr="00295637">
        <w:rPr>
          <w:rFonts w:ascii="Times New Roman" w:hAnsi="Times New Roman"/>
          <w:lang w:val="sr-Cyrl-BA"/>
        </w:rPr>
        <w:t xml:space="preserve"> </w:t>
      </w:r>
      <w:r w:rsidR="00C6214E">
        <w:rPr>
          <w:rFonts w:ascii="Times New Roman" w:hAnsi="Times New Roman"/>
          <w:lang w:val="sr-Latn-BA"/>
        </w:rPr>
        <w:t>РС</w:t>
      </w:r>
      <w:r w:rsidR="001E3537" w:rsidRPr="00295637">
        <w:rPr>
          <w:rFonts w:ascii="Times New Roman" w:hAnsi="Times New Roman"/>
          <w:lang w:val="sr-Cyrl-BA"/>
        </w:rPr>
        <w:t xml:space="preserve"> </w:t>
      </w:r>
      <w:r w:rsidR="00C6214E">
        <w:rPr>
          <w:rFonts w:ascii="Times New Roman" w:hAnsi="Times New Roman"/>
          <w:lang w:val="bs-Latn-BA"/>
        </w:rPr>
        <w:t>је</w:t>
      </w:r>
      <w:r w:rsidR="00C20056" w:rsidRPr="00295637">
        <w:rPr>
          <w:rFonts w:ascii="Times New Roman" w:hAnsi="Times New Roman"/>
          <w:lang w:val="bs-Latn-BA"/>
        </w:rPr>
        <w:t xml:space="preserve"> </w:t>
      </w:r>
      <w:r w:rsidR="00C6214E">
        <w:rPr>
          <w:rFonts w:ascii="Times New Roman" w:hAnsi="Times New Roman"/>
          <w:lang w:val="sr-Cyrl-BA"/>
        </w:rPr>
        <w:t>пратио</w:t>
      </w:r>
      <w:r w:rsidR="001E3537" w:rsidRPr="00295637">
        <w:rPr>
          <w:rFonts w:ascii="Times New Roman" w:hAnsi="Times New Roman"/>
          <w:lang w:val="sr-Cyrl-BA"/>
        </w:rPr>
        <w:t xml:space="preserve"> </w:t>
      </w:r>
      <w:r w:rsidR="00C6214E">
        <w:rPr>
          <w:rFonts w:ascii="Times New Roman" w:hAnsi="Times New Roman"/>
          <w:lang w:val="sr-Cyrl-BA"/>
        </w:rPr>
        <w:t>присуство</w:t>
      </w:r>
      <w:r w:rsidR="001E3537" w:rsidRPr="00295637">
        <w:rPr>
          <w:rFonts w:ascii="Times New Roman" w:hAnsi="Times New Roman"/>
          <w:lang w:val="sr-Cyrl-BA"/>
        </w:rPr>
        <w:t xml:space="preserve"> </w:t>
      </w:r>
      <w:r w:rsidR="00C6214E">
        <w:rPr>
          <w:rFonts w:ascii="Times New Roman" w:hAnsi="Times New Roman"/>
          <w:lang w:val="sr-Cyrl-BA"/>
        </w:rPr>
        <w:t>и</w:t>
      </w:r>
      <w:r w:rsidR="001E3537" w:rsidRPr="00295637">
        <w:rPr>
          <w:rFonts w:ascii="Times New Roman" w:hAnsi="Times New Roman"/>
          <w:lang w:val="sr-Cyrl-BA"/>
        </w:rPr>
        <w:t xml:space="preserve"> </w:t>
      </w:r>
      <w:r w:rsidR="00C6214E">
        <w:rPr>
          <w:rFonts w:ascii="Times New Roman" w:hAnsi="Times New Roman"/>
          <w:lang w:val="sr-Cyrl-BA"/>
        </w:rPr>
        <w:t>представљање</w:t>
      </w:r>
      <w:r w:rsidR="001E3537" w:rsidRPr="00295637">
        <w:rPr>
          <w:rFonts w:ascii="Times New Roman" w:hAnsi="Times New Roman"/>
          <w:lang w:val="sr-Cyrl-BA"/>
        </w:rPr>
        <w:t xml:space="preserve"> </w:t>
      </w:r>
      <w:r w:rsidR="00C6214E">
        <w:rPr>
          <w:rFonts w:ascii="Times New Roman" w:hAnsi="Times New Roman"/>
          <w:lang w:val="sr-Cyrl-BA"/>
        </w:rPr>
        <w:t>кандидаткиња</w:t>
      </w:r>
      <w:r w:rsidR="001E3537" w:rsidRPr="00295637">
        <w:rPr>
          <w:rFonts w:ascii="Times New Roman" w:hAnsi="Times New Roman"/>
          <w:lang w:val="sr-Cyrl-BA"/>
        </w:rPr>
        <w:t xml:space="preserve"> </w:t>
      </w:r>
      <w:r w:rsidR="00C6214E">
        <w:rPr>
          <w:rFonts w:ascii="Times New Roman" w:hAnsi="Times New Roman"/>
          <w:lang w:val="sr-Cyrl-BA"/>
        </w:rPr>
        <w:t>у</w:t>
      </w:r>
      <w:r w:rsidR="001E3537" w:rsidRPr="00295637">
        <w:rPr>
          <w:rFonts w:ascii="Times New Roman" w:hAnsi="Times New Roman"/>
          <w:lang w:val="sr-Cyrl-BA"/>
        </w:rPr>
        <w:t xml:space="preserve"> </w:t>
      </w:r>
      <w:r w:rsidR="00C6214E">
        <w:rPr>
          <w:rFonts w:ascii="Times New Roman" w:hAnsi="Times New Roman"/>
          <w:lang w:val="sr-Cyrl-BA"/>
        </w:rPr>
        <w:t>медијима</w:t>
      </w:r>
      <w:r w:rsidR="001E3537" w:rsidRPr="00295637">
        <w:rPr>
          <w:rFonts w:ascii="Times New Roman" w:hAnsi="Times New Roman"/>
          <w:lang w:val="sr-Cyrl-BA"/>
        </w:rPr>
        <w:t xml:space="preserve"> </w:t>
      </w:r>
      <w:r w:rsidR="00C6214E">
        <w:rPr>
          <w:rFonts w:ascii="Times New Roman" w:hAnsi="Times New Roman"/>
          <w:lang w:val="sr-Cyrl-BA"/>
        </w:rPr>
        <w:t>т</w:t>
      </w:r>
      <w:r w:rsidR="00C6214E">
        <w:rPr>
          <w:rFonts w:ascii="Times New Roman" w:hAnsi="Times New Roman"/>
          <w:lang w:val="hr-HR"/>
        </w:rPr>
        <w:t>о</w:t>
      </w:r>
      <w:r w:rsidR="00C6214E">
        <w:rPr>
          <w:rFonts w:ascii="Times New Roman" w:hAnsi="Times New Roman"/>
          <w:lang w:val="sr-Cyrl-BA"/>
        </w:rPr>
        <w:t>ком</w:t>
      </w:r>
      <w:r w:rsidR="001E3537" w:rsidRPr="00295637">
        <w:rPr>
          <w:rFonts w:ascii="Times New Roman" w:hAnsi="Times New Roman"/>
          <w:lang w:val="sr-Cyrl-BA"/>
        </w:rPr>
        <w:t xml:space="preserve"> </w:t>
      </w:r>
      <w:r w:rsidR="00C6214E">
        <w:rPr>
          <w:rFonts w:ascii="Times New Roman" w:hAnsi="Times New Roman"/>
          <w:lang w:val="sr-Cyrl-BA"/>
        </w:rPr>
        <w:t>изборне</w:t>
      </w:r>
      <w:r w:rsidR="001E3537" w:rsidRPr="00295637">
        <w:rPr>
          <w:rFonts w:ascii="Times New Roman" w:hAnsi="Times New Roman"/>
          <w:lang w:val="sr-Cyrl-BA"/>
        </w:rPr>
        <w:t xml:space="preserve"> </w:t>
      </w:r>
      <w:r w:rsidR="00C6214E">
        <w:rPr>
          <w:rFonts w:ascii="Times New Roman" w:hAnsi="Times New Roman"/>
          <w:lang w:val="sr-Cyrl-BA"/>
        </w:rPr>
        <w:t>кампање</w:t>
      </w:r>
      <w:r w:rsidR="001E3537" w:rsidRPr="00295637">
        <w:rPr>
          <w:rFonts w:ascii="Times New Roman" w:hAnsi="Times New Roman"/>
          <w:lang w:val="sr-Cyrl-BA"/>
        </w:rPr>
        <w:t xml:space="preserve">, </w:t>
      </w:r>
      <w:r w:rsidR="00C6214E">
        <w:rPr>
          <w:rFonts w:ascii="Times New Roman" w:hAnsi="Times New Roman"/>
          <w:lang w:val="sr-Cyrl-BA"/>
        </w:rPr>
        <w:t>подизао</w:t>
      </w:r>
      <w:r w:rsidR="001E3537" w:rsidRPr="00295637">
        <w:rPr>
          <w:rFonts w:ascii="Times New Roman" w:hAnsi="Times New Roman"/>
          <w:lang w:val="sr-Cyrl-BA"/>
        </w:rPr>
        <w:t xml:space="preserve"> </w:t>
      </w:r>
      <w:r w:rsidR="00C6214E">
        <w:rPr>
          <w:rFonts w:ascii="Times New Roman" w:hAnsi="Times New Roman"/>
          <w:lang w:val="sr-Cyrl-BA"/>
        </w:rPr>
        <w:t>свијест</w:t>
      </w:r>
      <w:r w:rsidR="001E3537" w:rsidRPr="00295637">
        <w:rPr>
          <w:rFonts w:ascii="Times New Roman" w:hAnsi="Times New Roman"/>
          <w:lang w:val="sr-Cyrl-BA"/>
        </w:rPr>
        <w:t xml:space="preserve"> </w:t>
      </w:r>
      <w:r w:rsidR="00C6214E">
        <w:rPr>
          <w:rFonts w:ascii="Times New Roman" w:hAnsi="Times New Roman"/>
          <w:lang w:val="sr-Cyrl-BA"/>
        </w:rPr>
        <w:t>политичких</w:t>
      </w:r>
      <w:r w:rsidR="001E3537" w:rsidRPr="00295637">
        <w:rPr>
          <w:rFonts w:ascii="Times New Roman" w:hAnsi="Times New Roman"/>
          <w:lang w:val="sr-Cyrl-BA"/>
        </w:rPr>
        <w:t xml:space="preserve"> </w:t>
      </w:r>
      <w:r w:rsidR="00C6214E">
        <w:rPr>
          <w:rFonts w:ascii="Times New Roman" w:hAnsi="Times New Roman"/>
          <w:lang w:val="sr-Cyrl-BA"/>
        </w:rPr>
        <w:t>субјеката</w:t>
      </w:r>
      <w:r w:rsidR="001E3537" w:rsidRPr="00295637">
        <w:rPr>
          <w:rFonts w:ascii="Times New Roman" w:hAnsi="Times New Roman"/>
          <w:lang w:val="sr-Cyrl-BA"/>
        </w:rPr>
        <w:t xml:space="preserve"> </w:t>
      </w:r>
      <w:r w:rsidR="00C6214E">
        <w:rPr>
          <w:rFonts w:ascii="Times New Roman" w:hAnsi="Times New Roman"/>
          <w:lang w:val="sr-Cyrl-BA"/>
        </w:rPr>
        <w:t>кроз</w:t>
      </w:r>
      <w:r w:rsidR="001E3537" w:rsidRPr="00295637">
        <w:rPr>
          <w:rFonts w:ascii="Times New Roman" w:hAnsi="Times New Roman"/>
          <w:lang w:val="sr-Cyrl-BA"/>
        </w:rPr>
        <w:t xml:space="preserve"> </w:t>
      </w:r>
      <w:r w:rsidR="00C6214E">
        <w:rPr>
          <w:rFonts w:ascii="Times New Roman" w:hAnsi="Times New Roman"/>
          <w:lang w:val="sr-Cyrl-BA"/>
        </w:rPr>
        <w:t>објаву</w:t>
      </w:r>
      <w:r w:rsidR="001E3537" w:rsidRPr="00295637">
        <w:rPr>
          <w:rFonts w:ascii="Times New Roman" w:hAnsi="Times New Roman"/>
          <w:lang w:val="sr-Cyrl-BA"/>
        </w:rPr>
        <w:t xml:space="preserve"> </w:t>
      </w:r>
      <w:r w:rsidR="00C6214E">
        <w:rPr>
          <w:rFonts w:ascii="Times New Roman" w:hAnsi="Times New Roman"/>
          <w:lang w:val="sr-Cyrl-BA"/>
        </w:rPr>
        <w:t>Јавног</w:t>
      </w:r>
      <w:r w:rsidR="001E3537" w:rsidRPr="00295637">
        <w:rPr>
          <w:rFonts w:ascii="Times New Roman" w:hAnsi="Times New Roman"/>
          <w:lang w:val="sr-Cyrl-BA"/>
        </w:rPr>
        <w:t xml:space="preserve"> </w:t>
      </w:r>
      <w:r w:rsidR="00C6214E">
        <w:rPr>
          <w:rFonts w:ascii="Times New Roman" w:hAnsi="Times New Roman"/>
          <w:lang w:val="sr-Cyrl-BA"/>
        </w:rPr>
        <w:t>позива</w:t>
      </w:r>
      <w:r w:rsidR="001E3537" w:rsidRPr="00295637">
        <w:rPr>
          <w:rFonts w:ascii="Times New Roman" w:hAnsi="Times New Roman"/>
          <w:lang w:val="sr-Cyrl-BA"/>
        </w:rPr>
        <w:t xml:space="preserve"> </w:t>
      </w:r>
      <w:r w:rsidR="00C6214E">
        <w:rPr>
          <w:rFonts w:ascii="Times New Roman" w:hAnsi="Times New Roman"/>
          <w:lang w:val="sr-Cyrl-BA"/>
        </w:rPr>
        <w:t>за</w:t>
      </w:r>
      <w:r w:rsidR="001E3537" w:rsidRPr="00295637">
        <w:rPr>
          <w:rFonts w:ascii="Times New Roman" w:hAnsi="Times New Roman"/>
          <w:lang w:val="sr-Cyrl-BA"/>
        </w:rPr>
        <w:t xml:space="preserve"> </w:t>
      </w:r>
      <w:r w:rsidR="00C6214E">
        <w:rPr>
          <w:rFonts w:ascii="Times New Roman" w:hAnsi="Times New Roman"/>
          <w:lang w:val="sr-Cyrl-BA"/>
        </w:rPr>
        <w:t>представљање</w:t>
      </w:r>
      <w:r w:rsidR="001E3537" w:rsidRPr="00295637">
        <w:rPr>
          <w:rFonts w:ascii="Times New Roman" w:hAnsi="Times New Roman"/>
          <w:lang w:val="sr-Cyrl-BA"/>
        </w:rPr>
        <w:t xml:space="preserve"> </w:t>
      </w:r>
      <w:r w:rsidR="00C6214E">
        <w:rPr>
          <w:rFonts w:ascii="Times New Roman" w:hAnsi="Times New Roman"/>
          <w:lang w:val="sr-Cyrl-BA"/>
        </w:rPr>
        <w:t>и</w:t>
      </w:r>
      <w:r w:rsidR="001E3537" w:rsidRPr="00295637">
        <w:rPr>
          <w:rFonts w:ascii="Times New Roman" w:hAnsi="Times New Roman"/>
          <w:lang w:val="sr-Cyrl-BA"/>
        </w:rPr>
        <w:t xml:space="preserve"> </w:t>
      </w:r>
      <w:r w:rsidR="00C6214E">
        <w:rPr>
          <w:rFonts w:ascii="Times New Roman" w:hAnsi="Times New Roman"/>
          <w:lang w:val="sr-Cyrl-BA"/>
        </w:rPr>
        <w:t>пром</w:t>
      </w:r>
      <w:r w:rsidR="00C6214E">
        <w:rPr>
          <w:rFonts w:ascii="Times New Roman" w:hAnsi="Times New Roman"/>
          <w:lang w:val="hr-HR"/>
        </w:rPr>
        <w:t>оцију</w:t>
      </w:r>
      <w:r w:rsidR="001E3537" w:rsidRPr="00295637">
        <w:rPr>
          <w:rFonts w:ascii="Times New Roman" w:hAnsi="Times New Roman"/>
          <w:lang w:val="sr-Cyrl-BA"/>
        </w:rPr>
        <w:t xml:space="preserve"> </w:t>
      </w:r>
      <w:r w:rsidR="00C6214E">
        <w:rPr>
          <w:rFonts w:ascii="Times New Roman" w:hAnsi="Times New Roman"/>
          <w:lang w:val="sr-Cyrl-BA"/>
        </w:rPr>
        <w:t>мјера</w:t>
      </w:r>
      <w:r w:rsidR="001E3537" w:rsidRPr="00295637">
        <w:rPr>
          <w:rFonts w:ascii="Times New Roman" w:hAnsi="Times New Roman"/>
          <w:lang w:val="sr-Cyrl-BA"/>
        </w:rPr>
        <w:t xml:space="preserve"> </w:t>
      </w:r>
      <w:r w:rsidR="00C6214E">
        <w:rPr>
          <w:rFonts w:ascii="Times New Roman" w:hAnsi="Times New Roman"/>
          <w:lang w:val="sr-Cyrl-BA"/>
        </w:rPr>
        <w:t>и</w:t>
      </w:r>
      <w:r w:rsidR="001E3537" w:rsidRPr="00295637">
        <w:rPr>
          <w:rFonts w:ascii="Times New Roman" w:hAnsi="Times New Roman"/>
          <w:lang w:val="sr-Cyrl-BA"/>
        </w:rPr>
        <w:t xml:space="preserve"> </w:t>
      </w:r>
      <w:r w:rsidR="00C6214E">
        <w:rPr>
          <w:rFonts w:ascii="Times New Roman" w:hAnsi="Times New Roman"/>
          <w:lang w:val="sr-Cyrl-BA"/>
        </w:rPr>
        <w:t>активности</w:t>
      </w:r>
      <w:r w:rsidR="001E3537" w:rsidRPr="00295637">
        <w:rPr>
          <w:rFonts w:ascii="Times New Roman" w:hAnsi="Times New Roman"/>
          <w:lang w:val="sr-Cyrl-BA"/>
        </w:rPr>
        <w:t xml:space="preserve"> </w:t>
      </w:r>
      <w:r w:rsidR="00C6214E">
        <w:rPr>
          <w:rFonts w:ascii="Times New Roman" w:hAnsi="Times New Roman"/>
          <w:lang w:val="sr-Cyrl-BA"/>
        </w:rPr>
        <w:t>за</w:t>
      </w:r>
      <w:r w:rsidR="001E3537" w:rsidRPr="00295637">
        <w:rPr>
          <w:rFonts w:ascii="Times New Roman" w:hAnsi="Times New Roman"/>
          <w:lang w:val="sr-Cyrl-BA"/>
        </w:rPr>
        <w:t xml:space="preserve"> </w:t>
      </w:r>
      <w:r w:rsidR="00C6214E">
        <w:rPr>
          <w:rFonts w:ascii="Times New Roman" w:hAnsi="Times New Roman"/>
          <w:lang w:val="sr-Cyrl-BA"/>
        </w:rPr>
        <w:t>остваривање</w:t>
      </w:r>
      <w:r w:rsidR="001E3537" w:rsidRPr="00295637">
        <w:rPr>
          <w:rFonts w:ascii="Times New Roman" w:hAnsi="Times New Roman"/>
          <w:lang w:val="sr-Cyrl-BA"/>
        </w:rPr>
        <w:t xml:space="preserve"> </w:t>
      </w:r>
      <w:r w:rsidR="00C6214E">
        <w:rPr>
          <w:rFonts w:ascii="Times New Roman" w:hAnsi="Times New Roman"/>
          <w:lang w:val="sr-Cyrl-BA"/>
        </w:rPr>
        <w:t>равноправности</w:t>
      </w:r>
      <w:r w:rsidR="001E3537" w:rsidRPr="00295637">
        <w:rPr>
          <w:rFonts w:ascii="Times New Roman" w:hAnsi="Times New Roman"/>
          <w:lang w:val="sr-Cyrl-BA"/>
        </w:rPr>
        <w:t xml:space="preserve"> </w:t>
      </w:r>
      <w:r w:rsidR="00C6214E">
        <w:rPr>
          <w:rFonts w:ascii="Times New Roman" w:hAnsi="Times New Roman"/>
          <w:lang w:val="sr-Cyrl-BA"/>
        </w:rPr>
        <w:t>полова</w:t>
      </w:r>
      <w:r w:rsidR="001E3537" w:rsidRPr="00295637">
        <w:rPr>
          <w:rFonts w:ascii="Times New Roman" w:hAnsi="Times New Roman"/>
          <w:lang w:val="sr-Cyrl-BA"/>
        </w:rPr>
        <w:t xml:space="preserve"> </w:t>
      </w:r>
      <w:r w:rsidR="00C6214E">
        <w:rPr>
          <w:rFonts w:ascii="Times New Roman" w:hAnsi="Times New Roman"/>
          <w:lang w:val="sr-Cyrl-BA"/>
        </w:rPr>
        <w:t>т</w:t>
      </w:r>
      <w:r w:rsidR="00C6214E">
        <w:rPr>
          <w:rFonts w:ascii="Times New Roman" w:hAnsi="Times New Roman"/>
          <w:lang w:val="hr-HR"/>
        </w:rPr>
        <w:t>о</w:t>
      </w:r>
      <w:r w:rsidR="00C6214E">
        <w:rPr>
          <w:rFonts w:ascii="Times New Roman" w:hAnsi="Times New Roman"/>
          <w:lang w:val="sr-Cyrl-BA"/>
        </w:rPr>
        <w:t>ком</w:t>
      </w:r>
      <w:r w:rsidR="001E3537" w:rsidRPr="00295637">
        <w:rPr>
          <w:rFonts w:ascii="Times New Roman" w:hAnsi="Times New Roman"/>
          <w:lang w:val="sr-Cyrl-BA"/>
        </w:rPr>
        <w:t xml:space="preserve"> </w:t>
      </w:r>
      <w:r w:rsidR="00C6214E">
        <w:rPr>
          <w:rFonts w:ascii="Times New Roman" w:hAnsi="Times New Roman"/>
          <w:lang w:val="sr-Cyrl-BA"/>
        </w:rPr>
        <w:t>изборне</w:t>
      </w:r>
      <w:r w:rsidR="001E3537" w:rsidRPr="00295637">
        <w:rPr>
          <w:rFonts w:ascii="Times New Roman" w:hAnsi="Times New Roman"/>
          <w:lang w:val="sr-Cyrl-BA"/>
        </w:rPr>
        <w:t xml:space="preserve"> </w:t>
      </w:r>
      <w:r w:rsidR="00C6214E">
        <w:rPr>
          <w:rFonts w:ascii="Times New Roman" w:hAnsi="Times New Roman"/>
          <w:lang w:val="sr-Cyrl-BA"/>
        </w:rPr>
        <w:t>кампање</w:t>
      </w:r>
      <w:r w:rsidR="001E3537" w:rsidRPr="00295637">
        <w:rPr>
          <w:rFonts w:ascii="Times New Roman" w:hAnsi="Times New Roman"/>
          <w:lang w:val="sr-Cyrl-BA"/>
        </w:rPr>
        <w:t xml:space="preserve">, </w:t>
      </w:r>
      <w:r w:rsidR="00C6214E">
        <w:rPr>
          <w:rFonts w:ascii="Times New Roman" w:hAnsi="Times New Roman"/>
          <w:lang w:val="sr-Cyrl-BA"/>
        </w:rPr>
        <w:t>те</w:t>
      </w:r>
      <w:r w:rsidR="001E3537" w:rsidRPr="00295637">
        <w:rPr>
          <w:rFonts w:ascii="Times New Roman" w:hAnsi="Times New Roman"/>
          <w:lang w:val="sr-Cyrl-BA"/>
        </w:rPr>
        <w:t xml:space="preserve"> </w:t>
      </w:r>
      <w:r w:rsidR="00C6214E">
        <w:rPr>
          <w:rFonts w:ascii="Times New Roman" w:hAnsi="Times New Roman"/>
          <w:lang w:val="sr-Cyrl-BA"/>
        </w:rPr>
        <w:t>кроз</w:t>
      </w:r>
      <w:r w:rsidR="001E3537" w:rsidRPr="00295637">
        <w:rPr>
          <w:rFonts w:ascii="Times New Roman" w:hAnsi="Times New Roman"/>
          <w:lang w:val="sr-Cyrl-BA"/>
        </w:rPr>
        <w:t xml:space="preserve"> </w:t>
      </w:r>
      <w:r w:rsidR="00C6214E">
        <w:rPr>
          <w:rFonts w:ascii="Times New Roman" w:hAnsi="Times New Roman"/>
          <w:lang w:val="sr-Cyrl-BA"/>
        </w:rPr>
        <w:t>објаву</w:t>
      </w:r>
      <w:r w:rsidR="001E3537" w:rsidRPr="00295637">
        <w:rPr>
          <w:rFonts w:ascii="Times New Roman" w:hAnsi="Times New Roman"/>
          <w:lang w:val="sr-Cyrl-BA"/>
        </w:rPr>
        <w:t xml:space="preserve"> </w:t>
      </w:r>
      <w:r w:rsidR="00C6214E">
        <w:rPr>
          <w:rFonts w:ascii="Times New Roman" w:hAnsi="Times New Roman"/>
          <w:lang w:val="hr-HR"/>
        </w:rPr>
        <w:t>саоп</w:t>
      </w:r>
      <w:r>
        <w:rPr>
          <w:rFonts w:ascii="Times New Roman" w:hAnsi="Times New Roman"/>
          <w:lang w:val="sr-Cyrl-BA"/>
        </w:rPr>
        <w:t>шт</w:t>
      </w:r>
      <w:r w:rsidR="00C6214E">
        <w:rPr>
          <w:rFonts w:ascii="Times New Roman" w:hAnsi="Times New Roman"/>
          <w:lang w:val="hr-HR"/>
        </w:rPr>
        <w:t>ења</w:t>
      </w:r>
      <w:r w:rsidR="00346E68">
        <w:rPr>
          <w:rFonts w:ascii="Times New Roman" w:hAnsi="Times New Roman"/>
          <w:lang w:val="sr-Cyrl-BA"/>
        </w:rPr>
        <w:t xml:space="preserve"> </w:t>
      </w:r>
      <w:r w:rsidR="00C6214E">
        <w:rPr>
          <w:rFonts w:ascii="Times New Roman" w:hAnsi="Times New Roman"/>
          <w:lang w:val="sr-Cyrl-BA"/>
        </w:rPr>
        <w:t>за</w:t>
      </w:r>
      <w:r w:rsidR="00346E68">
        <w:rPr>
          <w:rFonts w:ascii="Times New Roman" w:hAnsi="Times New Roman"/>
          <w:lang w:val="sr-Cyrl-BA"/>
        </w:rPr>
        <w:t xml:space="preserve"> </w:t>
      </w:r>
      <w:r w:rsidR="00C6214E">
        <w:rPr>
          <w:rFonts w:ascii="Times New Roman" w:hAnsi="Times New Roman"/>
          <w:lang w:val="sr-Cyrl-BA"/>
        </w:rPr>
        <w:t>јавност</w:t>
      </w:r>
      <w:r w:rsidR="00346E68">
        <w:rPr>
          <w:rFonts w:ascii="Times New Roman" w:hAnsi="Times New Roman"/>
          <w:lang w:val="sr-Cyrl-BA"/>
        </w:rPr>
        <w:t xml:space="preserve"> </w:t>
      </w:r>
      <w:r w:rsidR="00C6214E">
        <w:rPr>
          <w:rFonts w:ascii="Times New Roman" w:hAnsi="Times New Roman"/>
          <w:lang w:val="sr-Cyrl-BA"/>
        </w:rPr>
        <w:t>с</w:t>
      </w:r>
      <w:r w:rsidR="00C6214E">
        <w:rPr>
          <w:rFonts w:ascii="Times New Roman" w:hAnsi="Times New Roman"/>
          <w:lang w:val="hr-HR"/>
        </w:rPr>
        <w:t>а</w:t>
      </w:r>
      <w:r w:rsidR="001E3537" w:rsidRPr="00295637">
        <w:rPr>
          <w:rFonts w:ascii="Times New Roman" w:hAnsi="Times New Roman"/>
          <w:lang w:val="sr-Cyrl-BA"/>
        </w:rPr>
        <w:t xml:space="preserve"> </w:t>
      </w:r>
      <w:r w:rsidR="00C6214E">
        <w:rPr>
          <w:rFonts w:ascii="Times New Roman" w:hAnsi="Times New Roman"/>
          <w:lang w:val="sr-Cyrl-BA"/>
        </w:rPr>
        <w:t>подацима</w:t>
      </w:r>
      <w:r w:rsidR="001E3537" w:rsidRPr="00295637">
        <w:rPr>
          <w:rFonts w:ascii="Times New Roman" w:hAnsi="Times New Roman"/>
          <w:lang w:val="sr-Cyrl-BA"/>
        </w:rPr>
        <w:t xml:space="preserve"> </w:t>
      </w:r>
      <w:r w:rsidR="00C6214E">
        <w:rPr>
          <w:rFonts w:ascii="Times New Roman" w:hAnsi="Times New Roman"/>
          <w:lang w:val="sr-Cyrl-BA"/>
        </w:rPr>
        <w:t>о</w:t>
      </w:r>
      <w:r w:rsidR="001E3537" w:rsidRPr="00295637">
        <w:rPr>
          <w:rFonts w:ascii="Times New Roman" w:hAnsi="Times New Roman"/>
          <w:lang w:val="sr-Cyrl-BA"/>
        </w:rPr>
        <w:t xml:space="preserve"> </w:t>
      </w:r>
      <w:r w:rsidR="00C6214E">
        <w:rPr>
          <w:rFonts w:ascii="Times New Roman" w:hAnsi="Times New Roman"/>
          <w:lang w:val="sr-Cyrl-BA"/>
        </w:rPr>
        <w:t>стању</w:t>
      </w:r>
      <w:r w:rsidR="001E3537" w:rsidRPr="00295637">
        <w:rPr>
          <w:rFonts w:ascii="Times New Roman" w:hAnsi="Times New Roman"/>
          <w:lang w:val="sr-Cyrl-BA"/>
        </w:rPr>
        <w:t xml:space="preserve"> </w:t>
      </w:r>
      <w:r w:rsidR="00C6214E">
        <w:rPr>
          <w:rFonts w:ascii="Times New Roman" w:hAnsi="Times New Roman"/>
          <w:lang w:val="sr-Cyrl-BA"/>
        </w:rPr>
        <w:t>на</w:t>
      </w:r>
      <w:r w:rsidR="001E3537" w:rsidRPr="00295637">
        <w:rPr>
          <w:rFonts w:ascii="Times New Roman" w:hAnsi="Times New Roman"/>
          <w:lang w:val="sr-Cyrl-BA"/>
        </w:rPr>
        <w:t xml:space="preserve"> </w:t>
      </w:r>
      <w:r w:rsidR="00C6214E">
        <w:rPr>
          <w:rFonts w:ascii="Times New Roman" w:hAnsi="Times New Roman"/>
          <w:lang w:val="sr-Cyrl-BA"/>
        </w:rPr>
        <w:t>кандидатским</w:t>
      </w:r>
      <w:r w:rsidR="001E3537" w:rsidRPr="00295637">
        <w:rPr>
          <w:rFonts w:ascii="Times New Roman" w:hAnsi="Times New Roman"/>
          <w:lang w:val="sr-Cyrl-BA"/>
        </w:rPr>
        <w:t xml:space="preserve"> </w:t>
      </w:r>
      <w:r w:rsidR="00C6214E">
        <w:rPr>
          <w:rFonts w:ascii="Times New Roman" w:hAnsi="Times New Roman"/>
          <w:lang w:val="sr-Cyrl-BA"/>
        </w:rPr>
        <w:t>листама</w:t>
      </w:r>
      <w:r w:rsidR="001E3537" w:rsidRPr="00295637">
        <w:rPr>
          <w:rFonts w:ascii="Times New Roman" w:hAnsi="Times New Roman"/>
          <w:lang w:val="sr-Cyrl-BA"/>
        </w:rPr>
        <w:t xml:space="preserve">. </w:t>
      </w:r>
      <w:r w:rsidR="00C6214E">
        <w:rPr>
          <w:rFonts w:ascii="Times New Roman" w:hAnsi="Times New Roman"/>
          <w:lang w:val="sr-Cyrl-BA"/>
        </w:rPr>
        <w:t>Такође</w:t>
      </w:r>
      <w:r w:rsidR="001E3537" w:rsidRPr="00295637">
        <w:rPr>
          <w:rFonts w:ascii="Times New Roman" w:hAnsi="Times New Roman"/>
          <w:lang w:val="sr-Cyrl-BA"/>
        </w:rPr>
        <w:t xml:space="preserve"> </w:t>
      </w:r>
      <w:r w:rsidR="00C6214E">
        <w:rPr>
          <w:rFonts w:ascii="Times New Roman" w:hAnsi="Times New Roman"/>
          <w:lang w:val="sr-Cyrl-BA"/>
        </w:rPr>
        <w:t>је</w:t>
      </w:r>
      <w:r w:rsidR="001E3537" w:rsidRPr="00295637">
        <w:rPr>
          <w:rFonts w:ascii="Times New Roman" w:hAnsi="Times New Roman"/>
          <w:lang w:val="sr-Cyrl-BA"/>
        </w:rPr>
        <w:t xml:space="preserve"> </w:t>
      </w:r>
      <w:r w:rsidR="00C6214E">
        <w:rPr>
          <w:rFonts w:ascii="Times New Roman" w:hAnsi="Times New Roman"/>
          <w:lang w:val="sr-Cyrl-BA"/>
        </w:rPr>
        <w:t>анализирао</w:t>
      </w:r>
      <w:r w:rsidR="001E3537" w:rsidRPr="00295637">
        <w:rPr>
          <w:rFonts w:ascii="Times New Roman" w:hAnsi="Times New Roman"/>
          <w:lang w:val="sr-Cyrl-BA"/>
        </w:rPr>
        <w:t xml:space="preserve"> </w:t>
      </w:r>
      <w:r w:rsidR="00C6214E">
        <w:rPr>
          <w:rFonts w:ascii="Times New Roman" w:hAnsi="Times New Roman"/>
          <w:lang w:val="sr-Cyrl-BA"/>
        </w:rPr>
        <w:t>заступљеност</w:t>
      </w:r>
      <w:r w:rsidR="001E3537" w:rsidRPr="00295637">
        <w:rPr>
          <w:rFonts w:ascii="Times New Roman" w:hAnsi="Times New Roman"/>
          <w:lang w:val="sr-Cyrl-BA"/>
        </w:rPr>
        <w:t xml:space="preserve"> </w:t>
      </w:r>
      <w:r w:rsidR="00C6214E">
        <w:rPr>
          <w:rFonts w:ascii="Times New Roman" w:hAnsi="Times New Roman"/>
          <w:lang w:val="sr-Cyrl-BA"/>
        </w:rPr>
        <w:t>жена</w:t>
      </w:r>
      <w:r w:rsidR="001E3537" w:rsidRPr="00295637">
        <w:rPr>
          <w:rFonts w:ascii="Times New Roman" w:hAnsi="Times New Roman"/>
          <w:lang w:val="sr-Cyrl-BA"/>
        </w:rPr>
        <w:t xml:space="preserve"> </w:t>
      </w:r>
      <w:r w:rsidR="00C6214E">
        <w:rPr>
          <w:rFonts w:ascii="Times New Roman" w:hAnsi="Times New Roman"/>
          <w:lang w:val="sr-Cyrl-BA"/>
        </w:rPr>
        <w:t>у</w:t>
      </w:r>
      <w:r w:rsidR="001E3537" w:rsidRPr="00295637">
        <w:rPr>
          <w:rFonts w:ascii="Times New Roman" w:hAnsi="Times New Roman"/>
          <w:lang w:val="sr-Cyrl-BA"/>
        </w:rPr>
        <w:t xml:space="preserve"> </w:t>
      </w:r>
      <w:r w:rsidR="00C6214E">
        <w:rPr>
          <w:rFonts w:ascii="Times New Roman" w:hAnsi="Times New Roman"/>
          <w:lang w:val="sr-Cyrl-BA"/>
        </w:rPr>
        <w:t>медијима</w:t>
      </w:r>
      <w:r w:rsidR="001E3537" w:rsidRPr="00295637">
        <w:rPr>
          <w:rFonts w:ascii="Times New Roman" w:hAnsi="Times New Roman"/>
          <w:lang w:val="sr-Cyrl-BA"/>
        </w:rPr>
        <w:t xml:space="preserve"> </w:t>
      </w:r>
      <w:r w:rsidR="00C6214E">
        <w:rPr>
          <w:rFonts w:ascii="Times New Roman" w:hAnsi="Times New Roman"/>
          <w:lang w:val="sr-Cyrl-BA"/>
        </w:rPr>
        <w:t>т</w:t>
      </w:r>
      <w:r w:rsidR="00C6214E">
        <w:rPr>
          <w:rFonts w:ascii="Times New Roman" w:hAnsi="Times New Roman"/>
          <w:lang w:val="hr-HR"/>
        </w:rPr>
        <w:t>о</w:t>
      </w:r>
      <w:r w:rsidR="00C6214E">
        <w:rPr>
          <w:rFonts w:ascii="Times New Roman" w:hAnsi="Times New Roman"/>
          <w:lang w:val="sr-Cyrl-BA"/>
        </w:rPr>
        <w:t>ком</w:t>
      </w:r>
      <w:r w:rsidR="001E3537" w:rsidRPr="00295637">
        <w:rPr>
          <w:rFonts w:ascii="Times New Roman" w:hAnsi="Times New Roman"/>
          <w:lang w:val="sr-Cyrl-BA"/>
        </w:rPr>
        <w:t xml:space="preserve"> </w:t>
      </w:r>
      <w:r w:rsidR="00C6214E">
        <w:rPr>
          <w:rFonts w:ascii="Times New Roman" w:hAnsi="Times New Roman"/>
          <w:lang w:val="sr-Cyrl-BA"/>
        </w:rPr>
        <w:t>изборног</w:t>
      </w:r>
      <w:r w:rsidR="001E3537" w:rsidRPr="00295637">
        <w:rPr>
          <w:rFonts w:ascii="Times New Roman" w:hAnsi="Times New Roman"/>
          <w:lang w:val="sr-Cyrl-BA"/>
        </w:rPr>
        <w:t xml:space="preserve"> </w:t>
      </w:r>
      <w:r w:rsidR="00C6214E">
        <w:rPr>
          <w:rFonts w:ascii="Times New Roman" w:hAnsi="Times New Roman"/>
          <w:lang w:val="sr-Cyrl-BA"/>
        </w:rPr>
        <w:t>процеса</w:t>
      </w:r>
      <w:r w:rsidR="001E3537" w:rsidRPr="00295637">
        <w:rPr>
          <w:rFonts w:ascii="Times New Roman" w:hAnsi="Times New Roman"/>
          <w:lang w:val="bs-Latn-BA"/>
        </w:rPr>
        <w:t xml:space="preserve">. </w:t>
      </w:r>
    </w:p>
    <w:p w:rsidR="00726439" w:rsidRPr="00295637" w:rsidRDefault="00726439" w:rsidP="0086268D">
      <w:pPr>
        <w:rPr>
          <w:lang w:val="bs-Latn-BA"/>
        </w:rPr>
      </w:pPr>
    </w:p>
    <w:p w:rsidR="00356C2C" w:rsidRDefault="00EA368D" w:rsidP="000D0DF5">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I</w:t>
      </w:r>
      <w:r w:rsidR="000D0DF5">
        <w:rPr>
          <w:rFonts w:ascii="Times New Roman" w:eastAsia="Calibri" w:hAnsi="Times New Roman"/>
          <w:szCs w:val="24"/>
          <w:lang w:val="bs-Latn-BA"/>
        </w:rPr>
        <w:t xml:space="preserve"> 2.3. </w:t>
      </w:r>
      <w:r w:rsidR="00C6214E">
        <w:rPr>
          <w:rFonts w:ascii="Times New Roman" w:eastAsia="Calibri" w:hAnsi="Times New Roman"/>
          <w:szCs w:val="24"/>
          <w:lang w:val="bs-Latn-BA"/>
        </w:rPr>
        <w:t>Израда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Pr>
          <w:rFonts w:ascii="Times New Roman" w:eastAsia="Calibri" w:hAnsi="Times New Roman"/>
          <w:szCs w:val="24"/>
          <w:lang w:val="sr-Cyrl-BA"/>
        </w:rPr>
        <w:t>спровођење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мјера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за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унапређење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равноправне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заступљености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укључујући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вишеструко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маргинализ</w:t>
      </w:r>
      <w:r w:rsidR="00E3060A">
        <w:rPr>
          <w:rFonts w:ascii="Times New Roman" w:eastAsia="Calibri" w:hAnsi="Times New Roman"/>
          <w:szCs w:val="24"/>
          <w:lang w:val="sr-Cyrl-BA"/>
        </w:rPr>
        <w:t>оване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групе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јавном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животу</w:t>
      </w:r>
      <w:r w:rsidR="00A92736"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A92736"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на</w:t>
      </w:r>
      <w:r w:rsidR="00A92736"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мјестима</w:t>
      </w:r>
      <w:r w:rsidR="00A92736"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доношења</w:t>
      </w:r>
      <w:r w:rsidR="00A92736"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одлука</w:t>
      </w:r>
      <w:r w:rsidR="00A92736" w:rsidRPr="00295637">
        <w:rPr>
          <w:rFonts w:ascii="Times New Roman" w:eastAsia="Calibri" w:hAnsi="Times New Roman"/>
          <w:szCs w:val="24"/>
          <w:lang w:val="bs-Latn-BA"/>
        </w:rPr>
        <w:t>.</w:t>
      </w:r>
    </w:p>
    <w:p w:rsidR="009524C3" w:rsidRPr="00295637" w:rsidRDefault="009524C3" w:rsidP="009524C3">
      <w:pPr>
        <w:tabs>
          <w:tab w:val="left" w:pos="284"/>
          <w:tab w:val="left" w:pos="630"/>
          <w:tab w:val="left" w:pos="1080"/>
        </w:tabs>
        <w:ind w:left="1080"/>
        <w:jc w:val="both"/>
        <w:rPr>
          <w:rFonts w:ascii="Times New Roman" w:eastAsia="Calibri" w:hAnsi="Times New Roman"/>
          <w:szCs w:val="24"/>
          <w:lang w:val="bs-Latn-BA"/>
        </w:rPr>
      </w:pPr>
    </w:p>
    <w:p w:rsidR="00C142CC" w:rsidRDefault="00E3060A" w:rsidP="0086268D">
      <w:pPr>
        <w:jc w:val="both"/>
        <w:rPr>
          <w:rFonts w:ascii="Times New Roman" w:eastAsia="Aptos" w:hAnsi="Times New Roman"/>
          <w:szCs w:val="24"/>
        </w:rPr>
      </w:pPr>
      <w:r w:rsidRPr="00E3060A">
        <w:rPr>
          <w:rFonts w:ascii="Times New Roman" w:eastAsia="Aptos" w:hAnsi="Times New Roman"/>
          <w:i/>
          <w:szCs w:val="24"/>
        </w:rPr>
        <w:t>UNICEF</w:t>
      </w:r>
      <w:r w:rsidR="00523574" w:rsidRPr="00295637">
        <w:rPr>
          <w:rFonts w:ascii="Times New Roman" w:eastAsia="Aptos" w:hAnsi="Times New Roman"/>
          <w:szCs w:val="24"/>
        </w:rPr>
        <w:t xml:space="preserve"> </w:t>
      </w:r>
      <w:r w:rsidR="00C6214E">
        <w:rPr>
          <w:rFonts w:ascii="Times New Roman" w:eastAsia="Aptos" w:hAnsi="Times New Roman"/>
          <w:szCs w:val="24"/>
        </w:rPr>
        <w:t>је</w:t>
      </w:r>
      <w:r w:rsidR="00523574" w:rsidRPr="00295637">
        <w:rPr>
          <w:rFonts w:ascii="Times New Roman" w:eastAsia="Aptos" w:hAnsi="Times New Roman"/>
          <w:szCs w:val="24"/>
        </w:rPr>
        <w:t xml:space="preserve"> </w:t>
      </w:r>
      <w:r w:rsidR="00C6214E">
        <w:rPr>
          <w:rFonts w:ascii="Times New Roman" w:eastAsia="Aptos" w:hAnsi="Times New Roman"/>
          <w:szCs w:val="24"/>
        </w:rPr>
        <w:t>подржао</w:t>
      </w:r>
      <w:r w:rsidR="00523574" w:rsidRPr="00295637">
        <w:rPr>
          <w:rFonts w:ascii="Times New Roman" w:eastAsia="Aptos" w:hAnsi="Times New Roman"/>
          <w:szCs w:val="24"/>
        </w:rPr>
        <w:t xml:space="preserve"> </w:t>
      </w:r>
      <w:r w:rsidR="00C6214E">
        <w:rPr>
          <w:rFonts w:ascii="Times New Roman" w:eastAsia="Aptos" w:hAnsi="Times New Roman"/>
          <w:szCs w:val="24"/>
        </w:rPr>
        <w:t>учешће</w:t>
      </w:r>
      <w:r w:rsidR="00523574" w:rsidRPr="00295637">
        <w:rPr>
          <w:rFonts w:ascii="Times New Roman" w:eastAsia="Aptos" w:hAnsi="Times New Roman"/>
          <w:szCs w:val="24"/>
        </w:rPr>
        <w:t xml:space="preserve"> </w:t>
      </w:r>
      <w:r w:rsidR="00C6214E">
        <w:rPr>
          <w:rFonts w:ascii="Times New Roman" w:eastAsia="Aptos" w:hAnsi="Times New Roman"/>
          <w:szCs w:val="24"/>
        </w:rPr>
        <w:t>дјевојчица</w:t>
      </w:r>
      <w:r w:rsidR="00523574" w:rsidRPr="00295637">
        <w:rPr>
          <w:rFonts w:ascii="Times New Roman" w:eastAsia="Aptos" w:hAnsi="Times New Roman"/>
          <w:szCs w:val="24"/>
        </w:rPr>
        <w:t xml:space="preserve"> </w:t>
      </w:r>
      <w:r w:rsidR="00C6214E">
        <w:rPr>
          <w:rFonts w:ascii="Times New Roman" w:eastAsia="Aptos" w:hAnsi="Times New Roman"/>
          <w:szCs w:val="24"/>
        </w:rPr>
        <w:t>у</w:t>
      </w:r>
      <w:r w:rsidR="00523574" w:rsidRPr="00295637">
        <w:rPr>
          <w:rFonts w:ascii="Times New Roman" w:eastAsia="Aptos" w:hAnsi="Times New Roman"/>
          <w:szCs w:val="24"/>
        </w:rPr>
        <w:t xml:space="preserve"> </w:t>
      </w:r>
      <w:r w:rsidR="00C6214E">
        <w:rPr>
          <w:rFonts w:ascii="Times New Roman" w:eastAsia="Aptos" w:hAnsi="Times New Roman"/>
          <w:szCs w:val="24"/>
        </w:rPr>
        <w:t>процесима</w:t>
      </w:r>
      <w:r w:rsidR="00523574" w:rsidRPr="00295637">
        <w:rPr>
          <w:rFonts w:ascii="Times New Roman" w:eastAsia="Aptos" w:hAnsi="Times New Roman"/>
          <w:szCs w:val="24"/>
        </w:rPr>
        <w:t xml:space="preserve"> </w:t>
      </w:r>
      <w:r w:rsidR="00C6214E">
        <w:rPr>
          <w:rFonts w:ascii="Times New Roman" w:eastAsia="Aptos" w:hAnsi="Times New Roman"/>
          <w:szCs w:val="24"/>
        </w:rPr>
        <w:t>одлучивања</w:t>
      </w:r>
      <w:r w:rsidR="007324CD" w:rsidRPr="00295637">
        <w:rPr>
          <w:rFonts w:ascii="Times New Roman" w:eastAsia="Aptos" w:hAnsi="Times New Roman"/>
          <w:szCs w:val="24"/>
        </w:rPr>
        <w:t xml:space="preserve"> </w:t>
      </w:r>
      <w:r w:rsidR="00C6214E">
        <w:rPr>
          <w:rFonts w:ascii="Times New Roman" w:eastAsia="Aptos" w:hAnsi="Times New Roman"/>
          <w:szCs w:val="24"/>
        </w:rPr>
        <w:t>и</w:t>
      </w:r>
      <w:r w:rsidR="007324CD" w:rsidRPr="00295637">
        <w:rPr>
          <w:rFonts w:ascii="Times New Roman" w:eastAsia="Aptos" w:hAnsi="Times New Roman"/>
          <w:szCs w:val="24"/>
        </w:rPr>
        <w:t xml:space="preserve"> </w:t>
      </w:r>
      <w:r w:rsidR="00C6214E">
        <w:rPr>
          <w:rFonts w:ascii="Times New Roman" w:eastAsia="Aptos" w:hAnsi="Times New Roman"/>
          <w:szCs w:val="24"/>
        </w:rPr>
        <w:t>обликовању</w:t>
      </w:r>
      <w:r w:rsidR="007324CD" w:rsidRPr="00295637">
        <w:rPr>
          <w:rFonts w:ascii="Times New Roman" w:eastAsia="Aptos" w:hAnsi="Times New Roman"/>
          <w:szCs w:val="24"/>
        </w:rPr>
        <w:t xml:space="preserve"> </w:t>
      </w:r>
      <w:r w:rsidR="00C6214E">
        <w:rPr>
          <w:rFonts w:ascii="Times New Roman" w:eastAsia="Aptos" w:hAnsi="Times New Roman"/>
          <w:szCs w:val="24"/>
        </w:rPr>
        <w:t>политика</w:t>
      </w:r>
      <w:r w:rsidR="007324CD" w:rsidRPr="00295637">
        <w:rPr>
          <w:rFonts w:ascii="Times New Roman" w:eastAsia="Aptos" w:hAnsi="Times New Roman"/>
          <w:szCs w:val="24"/>
        </w:rPr>
        <w:t xml:space="preserve">. </w:t>
      </w:r>
      <w:r w:rsidR="00C6214E">
        <w:rPr>
          <w:rFonts w:ascii="Times New Roman" w:eastAsia="Aptos" w:hAnsi="Times New Roman"/>
          <w:szCs w:val="24"/>
        </w:rPr>
        <w:t>Кроз</w:t>
      </w:r>
      <w:r w:rsidR="007324CD" w:rsidRPr="00295637">
        <w:rPr>
          <w:rFonts w:ascii="Times New Roman" w:eastAsia="Aptos" w:hAnsi="Times New Roman"/>
          <w:szCs w:val="24"/>
        </w:rPr>
        <w:t xml:space="preserve"> </w:t>
      </w:r>
      <w:r w:rsidR="00C6214E">
        <w:rPr>
          <w:rFonts w:ascii="Times New Roman" w:eastAsia="Aptos" w:hAnsi="Times New Roman"/>
          <w:szCs w:val="24"/>
        </w:rPr>
        <w:t>истраживачки</w:t>
      </w:r>
      <w:r w:rsidR="00346E68">
        <w:rPr>
          <w:rFonts w:ascii="Times New Roman" w:eastAsia="Aptos" w:hAnsi="Times New Roman"/>
          <w:szCs w:val="24"/>
        </w:rPr>
        <w:t xml:space="preserve"> </w:t>
      </w:r>
      <w:r w:rsidR="00C6214E">
        <w:rPr>
          <w:rFonts w:ascii="Times New Roman" w:eastAsia="Aptos" w:hAnsi="Times New Roman"/>
          <w:szCs w:val="24"/>
        </w:rPr>
        <w:t>пројекат</w:t>
      </w:r>
      <w:r w:rsidR="00523574" w:rsidRPr="00295637">
        <w:rPr>
          <w:rFonts w:ascii="Times New Roman" w:eastAsia="Aptos" w:hAnsi="Times New Roman"/>
          <w:szCs w:val="24"/>
        </w:rPr>
        <w:t xml:space="preserve"> </w:t>
      </w:r>
      <w:r w:rsidR="00C6214E">
        <w:rPr>
          <w:rFonts w:ascii="Times New Roman" w:eastAsia="Aptos" w:hAnsi="Times New Roman"/>
          <w:szCs w:val="24"/>
        </w:rPr>
        <w:t>за</w:t>
      </w:r>
      <w:r w:rsidR="00523574" w:rsidRPr="00295637">
        <w:rPr>
          <w:rFonts w:ascii="Times New Roman" w:eastAsia="Aptos" w:hAnsi="Times New Roman"/>
          <w:szCs w:val="24"/>
        </w:rPr>
        <w:t xml:space="preserve"> </w:t>
      </w:r>
      <w:r w:rsidR="00C6214E">
        <w:rPr>
          <w:rFonts w:ascii="Times New Roman" w:eastAsia="Aptos" w:hAnsi="Times New Roman"/>
          <w:szCs w:val="24"/>
        </w:rPr>
        <w:t>адолесценткиње</w:t>
      </w:r>
      <w:r w:rsidR="00523574" w:rsidRPr="00295637">
        <w:rPr>
          <w:rFonts w:ascii="Times New Roman" w:eastAsia="Aptos" w:hAnsi="Times New Roman"/>
          <w:szCs w:val="24"/>
        </w:rPr>
        <w:t xml:space="preserve">, </w:t>
      </w:r>
      <w:r w:rsidR="00C6214E">
        <w:rPr>
          <w:rFonts w:ascii="Times New Roman" w:eastAsia="Aptos" w:hAnsi="Times New Roman"/>
          <w:szCs w:val="24"/>
        </w:rPr>
        <w:t>младе</w:t>
      </w:r>
      <w:r w:rsidR="00523574" w:rsidRPr="00295637">
        <w:rPr>
          <w:rFonts w:ascii="Times New Roman" w:eastAsia="Aptos" w:hAnsi="Times New Roman"/>
          <w:szCs w:val="24"/>
        </w:rPr>
        <w:t xml:space="preserve"> </w:t>
      </w:r>
      <w:r w:rsidR="00C6214E">
        <w:rPr>
          <w:rFonts w:ascii="Times New Roman" w:eastAsia="Aptos" w:hAnsi="Times New Roman"/>
          <w:szCs w:val="24"/>
        </w:rPr>
        <w:t>жене</w:t>
      </w:r>
      <w:r w:rsidR="00523574" w:rsidRPr="00295637">
        <w:rPr>
          <w:rFonts w:ascii="Times New Roman" w:eastAsia="Aptos" w:hAnsi="Times New Roman"/>
          <w:szCs w:val="24"/>
        </w:rPr>
        <w:t xml:space="preserve"> </w:t>
      </w:r>
      <w:r w:rsidR="00C6214E">
        <w:rPr>
          <w:rFonts w:ascii="Times New Roman" w:eastAsia="Aptos" w:hAnsi="Times New Roman"/>
          <w:szCs w:val="24"/>
        </w:rPr>
        <w:t>су</w:t>
      </w:r>
      <w:r w:rsidR="00523574" w:rsidRPr="00295637">
        <w:rPr>
          <w:rFonts w:ascii="Times New Roman" w:eastAsia="Aptos" w:hAnsi="Times New Roman"/>
          <w:szCs w:val="24"/>
        </w:rPr>
        <w:t xml:space="preserve"> </w:t>
      </w:r>
      <w:r w:rsidR="00C6214E">
        <w:rPr>
          <w:rFonts w:ascii="Times New Roman" w:eastAsia="Aptos" w:hAnsi="Times New Roman"/>
          <w:szCs w:val="24"/>
        </w:rPr>
        <w:t>стекле</w:t>
      </w:r>
      <w:r w:rsidR="00523574" w:rsidRPr="00295637">
        <w:rPr>
          <w:rFonts w:ascii="Times New Roman" w:eastAsia="Aptos" w:hAnsi="Times New Roman"/>
          <w:szCs w:val="24"/>
        </w:rPr>
        <w:t xml:space="preserve"> </w:t>
      </w:r>
      <w:r w:rsidR="00C6214E">
        <w:rPr>
          <w:rFonts w:ascii="Times New Roman" w:eastAsia="Aptos" w:hAnsi="Times New Roman"/>
          <w:szCs w:val="24"/>
        </w:rPr>
        <w:t>истраживачке</w:t>
      </w:r>
      <w:r w:rsidR="00523574" w:rsidRPr="00295637">
        <w:rPr>
          <w:rFonts w:ascii="Times New Roman" w:eastAsia="Aptos" w:hAnsi="Times New Roman"/>
          <w:szCs w:val="24"/>
        </w:rPr>
        <w:t xml:space="preserve"> </w:t>
      </w:r>
      <w:r w:rsidR="00C6214E">
        <w:rPr>
          <w:rFonts w:ascii="Times New Roman" w:eastAsia="Aptos" w:hAnsi="Times New Roman"/>
          <w:szCs w:val="24"/>
        </w:rPr>
        <w:t>вјештине</w:t>
      </w:r>
      <w:r w:rsidR="00523574" w:rsidRPr="00295637">
        <w:rPr>
          <w:rFonts w:ascii="Times New Roman" w:eastAsia="Aptos" w:hAnsi="Times New Roman"/>
          <w:szCs w:val="24"/>
        </w:rPr>
        <w:t xml:space="preserve"> </w:t>
      </w:r>
      <w:r w:rsidR="00C6214E">
        <w:rPr>
          <w:rFonts w:ascii="Times New Roman" w:eastAsia="Aptos" w:hAnsi="Times New Roman"/>
          <w:szCs w:val="24"/>
        </w:rPr>
        <w:t>и</w:t>
      </w:r>
      <w:r w:rsidR="00523574" w:rsidRPr="00295637">
        <w:rPr>
          <w:rFonts w:ascii="Times New Roman" w:eastAsia="Aptos" w:hAnsi="Times New Roman"/>
          <w:szCs w:val="24"/>
        </w:rPr>
        <w:t xml:space="preserve"> </w:t>
      </w:r>
      <w:r w:rsidR="00C6214E">
        <w:rPr>
          <w:rFonts w:ascii="Times New Roman" w:eastAsia="Aptos" w:hAnsi="Times New Roman"/>
          <w:szCs w:val="24"/>
        </w:rPr>
        <w:t>доприносиле</w:t>
      </w:r>
      <w:r w:rsidR="00523574" w:rsidRPr="00295637">
        <w:rPr>
          <w:rFonts w:ascii="Times New Roman" w:eastAsia="Aptos" w:hAnsi="Times New Roman"/>
          <w:szCs w:val="24"/>
        </w:rPr>
        <w:t xml:space="preserve"> </w:t>
      </w:r>
      <w:r w:rsidR="00C6214E">
        <w:rPr>
          <w:rFonts w:ascii="Times New Roman" w:eastAsia="Aptos" w:hAnsi="Times New Roman"/>
          <w:szCs w:val="24"/>
        </w:rPr>
        <w:t>стварању</w:t>
      </w:r>
      <w:r w:rsidR="00523574" w:rsidRPr="00295637">
        <w:rPr>
          <w:rFonts w:ascii="Times New Roman" w:eastAsia="Aptos" w:hAnsi="Times New Roman"/>
          <w:szCs w:val="24"/>
        </w:rPr>
        <w:t xml:space="preserve"> </w:t>
      </w:r>
      <w:r w:rsidR="00C6214E">
        <w:rPr>
          <w:rFonts w:ascii="Times New Roman" w:eastAsia="Aptos" w:hAnsi="Times New Roman"/>
          <w:szCs w:val="24"/>
        </w:rPr>
        <w:t>инклузивних</w:t>
      </w:r>
      <w:r w:rsidR="00523574" w:rsidRPr="00295637">
        <w:rPr>
          <w:rFonts w:ascii="Times New Roman" w:eastAsia="Aptos" w:hAnsi="Times New Roman"/>
          <w:szCs w:val="24"/>
        </w:rPr>
        <w:t xml:space="preserve"> </w:t>
      </w:r>
      <w:r w:rsidR="00C6214E">
        <w:rPr>
          <w:rFonts w:ascii="Times New Roman" w:eastAsia="Aptos" w:hAnsi="Times New Roman"/>
          <w:szCs w:val="24"/>
        </w:rPr>
        <w:t>и</w:t>
      </w:r>
      <w:r w:rsidR="00523574" w:rsidRPr="00295637">
        <w:rPr>
          <w:rFonts w:ascii="Times New Roman" w:eastAsia="Aptos" w:hAnsi="Times New Roman"/>
          <w:szCs w:val="24"/>
        </w:rPr>
        <w:t xml:space="preserve"> </w:t>
      </w:r>
      <w:r w:rsidR="00C6214E">
        <w:rPr>
          <w:rFonts w:ascii="Times New Roman" w:eastAsia="Aptos" w:hAnsi="Times New Roman"/>
          <w:szCs w:val="24"/>
        </w:rPr>
        <w:t>родно</w:t>
      </w:r>
      <w:r w:rsidR="00523574" w:rsidRPr="00295637">
        <w:rPr>
          <w:rFonts w:ascii="Times New Roman" w:eastAsia="Aptos" w:hAnsi="Times New Roman"/>
          <w:szCs w:val="24"/>
        </w:rPr>
        <w:t xml:space="preserve"> </w:t>
      </w:r>
      <w:r w:rsidR="00C6214E">
        <w:rPr>
          <w:rFonts w:ascii="Times New Roman" w:eastAsia="Aptos" w:hAnsi="Times New Roman"/>
          <w:szCs w:val="24"/>
        </w:rPr>
        <w:t>осјетљивих</w:t>
      </w:r>
      <w:r w:rsidR="00523574" w:rsidRPr="00295637">
        <w:rPr>
          <w:rFonts w:ascii="Times New Roman" w:eastAsia="Aptos" w:hAnsi="Times New Roman"/>
          <w:szCs w:val="24"/>
        </w:rPr>
        <w:t xml:space="preserve"> </w:t>
      </w:r>
      <w:r w:rsidR="00C6214E">
        <w:rPr>
          <w:rFonts w:ascii="Times New Roman" w:eastAsia="Aptos" w:hAnsi="Times New Roman"/>
          <w:szCs w:val="24"/>
        </w:rPr>
        <w:t>политика</w:t>
      </w:r>
      <w:r w:rsidR="00523574" w:rsidRPr="00295637">
        <w:rPr>
          <w:rFonts w:ascii="Times New Roman" w:eastAsia="Aptos" w:hAnsi="Times New Roman"/>
          <w:szCs w:val="24"/>
        </w:rPr>
        <w:t>.</w:t>
      </w:r>
      <w:r w:rsidR="00523574" w:rsidRPr="00295637">
        <w:rPr>
          <w:rFonts w:ascii="Times New Roman" w:hAnsi="Times New Roman"/>
          <w:szCs w:val="24"/>
        </w:rPr>
        <w:t xml:space="preserve"> </w:t>
      </w:r>
      <w:r w:rsidR="00C6214E">
        <w:rPr>
          <w:rFonts w:ascii="Times New Roman" w:eastAsia="Aptos" w:hAnsi="Times New Roman"/>
          <w:szCs w:val="24"/>
        </w:rPr>
        <w:t>Учеснице</w:t>
      </w:r>
      <w:r w:rsidR="00523574" w:rsidRPr="00295637">
        <w:rPr>
          <w:rFonts w:ascii="Times New Roman" w:eastAsia="Aptos" w:hAnsi="Times New Roman"/>
          <w:szCs w:val="24"/>
        </w:rPr>
        <w:t xml:space="preserve"> </w:t>
      </w:r>
      <w:r w:rsidR="00C6214E">
        <w:rPr>
          <w:rFonts w:ascii="Times New Roman" w:eastAsia="Aptos" w:hAnsi="Times New Roman"/>
          <w:szCs w:val="24"/>
        </w:rPr>
        <w:t>пројеката</w:t>
      </w:r>
      <w:r w:rsidR="00523574" w:rsidRPr="00295637">
        <w:rPr>
          <w:rFonts w:ascii="Times New Roman" w:eastAsia="Aptos" w:hAnsi="Times New Roman"/>
          <w:szCs w:val="24"/>
        </w:rPr>
        <w:t xml:space="preserve"> </w:t>
      </w:r>
      <w:r w:rsidR="00CF7DF6">
        <w:rPr>
          <w:rFonts w:ascii="Times New Roman" w:eastAsia="Aptos" w:hAnsi="Times New Roman"/>
          <w:szCs w:val="24"/>
          <w:lang w:val="bs-Cyrl-BA"/>
        </w:rPr>
        <w:t>„</w:t>
      </w:r>
      <w:r w:rsidR="00C6214E">
        <w:rPr>
          <w:rFonts w:ascii="Times New Roman" w:eastAsia="Aptos" w:hAnsi="Times New Roman"/>
          <w:szCs w:val="24"/>
        </w:rPr>
        <w:t>ЕКОСОЛ</w:t>
      </w:r>
      <w:r w:rsidR="00CF7DF6">
        <w:rPr>
          <w:rFonts w:ascii="Times New Roman" w:eastAsia="Aptos" w:hAnsi="Times New Roman"/>
          <w:szCs w:val="24"/>
          <w:lang w:val="bs-Cyrl-BA"/>
        </w:rPr>
        <w:t>“</w:t>
      </w:r>
      <w:r w:rsidR="00523574" w:rsidRPr="00295637">
        <w:rPr>
          <w:rFonts w:ascii="Times New Roman" w:eastAsia="Aptos" w:hAnsi="Times New Roman"/>
          <w:szCs w:val="24"/>
        </w:rPr>
        <w:t xml:space="preserve"> </w:t>
      </w:r>
      <w:r w:rsidR="00C6214E">
        <w:rPr>
          <w:rFonts w:ascii="Times New Roman" w:eastAsia="Aptos" w:hAnsi="Times New Roman"/>
          <w:szCs w:val="24"/>
        </w:rPr>
        <w:t>и</w:t>
      </w:r>
      <w:r w:rsidR="00523574" w:rsidRPr="00295637">
        <w:rPr>
          <w:rFonts w:ascii="Times New Roman" w:eastAsia="Aptos" w:hAnsi="Times New Roman"/>
          <w:szCs w:val="24"/>
        </w:rPr>
        <w:t xml:space="preserve"> </w:t>
      </w:r>
      <w:r w:rsidR="00CF7DF6">
        <w:rPr>
          <w:rFonts w:ascii="Times New Roman" w:eastAsia="Aptos" w:hAnsi="Times New Roman"/>
          <w:szCs w:val="24"/>
          <w:lang w:val="bs-Cyrl-BA"/>
        </w:rPr>
        <w:t>„</w:t>
      </w:r>
      <w:r w:rsidRPr="00E3060A">
        <w:rPr>
          <w:rFonts w:ascii="Times New Roman" w:eastAsia="Aptos" w:hAnsi="Times New Roman"/>
          <w:i/>
          <w:szCs w:val="24"/>
        </w:rPr>
        <w:t>IT Girls</w:t>
      </w:r>
      <w:r w:rsidR="00CF7DF6">
        <w:rPr>
          <w:rFonts w:ascii="Times New Roman" w:eastAsia="Aptos" w:hAnsi="Times New Roman"/>
          <w:i/>
          <w:szCs w:val="24"/>
          <w:lang w:val="bs-Cyrl-BA"/>
        </w:rPr>
        <w:t>“</w:t>
      </w:r>
      <w:r w:rsidRPr="00E3060A">
        <w:rPr>
          <w:rFonts w:ascii="Times New Roman" w:eastAsia="Aptos" w:hAnsi="Times New Roman"/>
          <w:i/>
          <w:szCs w:val="24"/>
        </w:rPr>
        <w:t xml:space="preserve"> </w:t>
      </w:r>
      <w:r w:rsidR="00C6214E">
        <w:rPr>
          <w:rFonts w:ascii="Times New Roman" w:eastAsia="Aptos" w:hAnsi="Times New Roman"/>
          <w:szCs w:val="24"/>
        </w:rPr>
        <w:t>активно</w:t>
      </w:r>
      <w:r w:rsidR="00523574" w:rsidRPr="00295637">
        <w:rPr>
          <w:rFonts w:ascii="Times New Roman" w:eastAsia="Aptos" w:hAnsi="Times New Roman"/>
          <w:szCs w:val="24"/>
        </w:rPr>
        <w:t xml:space="preserve"> </w:t>
      </w:r>
      <w:r w:rsidR="00C6214E">
        <w:rPr>
          <w:rFonts w:ascii="Times New Roman" w:eastAsia="Aptos" w:hAnsi="Times New Roman"/>
          <w:szCs w:val="24"/>
        </w:rPr>
        <w:t>су</w:t>
      </w:r>
      <w:r w:rsidR="00523574" w:rsidRPr="00295637">
        <w:rPr>
          <w:rFonts w:ascii="Times New Roman" w:eastAsia="Aptos" w:hAnsi="Times New Roman"/>
          <w:szCs w:val="24"/>
        </w:rPr>
        <w:t xml:space="preserve"> </w:t>
      </w:r>
      <w:r w:rsidR="00C6214E">
        <w:rPr>
          <w:rFonts w:ascii="Times New Roman" w:eastAsia="Aptos" w:hAnsi="Times New Roman"/>
          <w:szCs w:val="24"/>
        </w:rPr>
        <w:t>учествовале</w:t>
      </w:r>
      <w:r w:rsidR="000D0DF5">
        <w:rPr>
          <w:rFonts w:ascii="Times New Roman" w:eastAsia="Aptos" w:hAnsi="Times New Roman"/>
          <w:szCs w:val="24"/>
        </w:rPr>
        <w:t xml:space="preserve"> </w:t>
      </w:r>
      <w:r w:rsidR="00C6214E">
        <w:rPr>
          <w:rFonts w:ascii="Times New Roman" w:eastAsia="Aptos" w:hAnsi="Times New Roman"/>
          <w:szCs w:val="24"/>
        </w:rPr>
        <w:t>у</w:t>
      </w:r>
      <w:r w:rsidR="00523574" w:rsidRPr="00295637">
        <w:rPr>
          <w:rFonts w:ascii="Times New Roman" w:eastAsia="Aptos" w:hAnsi="Times New Roman"/>
          <w:szCs w:val="24"/>
        </w:rPr>
        <w:t xml:space="preserve"> </w:t>
      </w:r>
      <w:r w:rsidR="00C6214E">
        <w:rPr>
          <w:rFonts w:ascii="Times New Roman" w:eastAsia="Aptos" w:hAnsi="Times New Roman"/>
          <w:szCs w:val="24"/>
        </w:rPr>
        <w:t>јавним</w:t>
      </w:r>
      <w:r w:rsidR="00523574" w:rsidRPr="00295637">
        <w:rPr>
          <w:rFonts w:ascii="Times New Roman" w:eastAsia="Aptos" w:hAnsi="Times New Roman"/>
          <w:szCs w:val="24"/>
        </w:rPr>
        <w:t xml:space="preserve"> </w:t>
      </w:r>
      <w:r w:rsidR="00C6214E">
        <w:rPr>
          <w:rFonts w:ascii="Times New Roman" w:eastAsia="Aptos" w:hAnsi="Times New Roman"/>
          <w:szCs w:val="24"/>
        </w:rPr>
        <w:t>догађајима</w:t>
      </w:r>
      <w:r w:rsidR="00523574" w:rsidRPr="00295637">
        <w:rPr>
          <w:rFonts w:ascii="Times New Roman" w:eastAsia="Aptos" w:hAnsi="Times New Roman"/>
          <w:szCs w:val="24"/>
        </w:rPr>
        <w:t xml:space="preserve">, </w:t>
      </w:r>
      <w:r w:rsidR="00C6214E">
        <w:rPr>
          <w:rFonts w:ascii="Times New Roman" w:eastAsia="Aptos" w:hAnsi="Times New Roman"/>
          <w:szCs w:val="24"/>
        </w:rPr>
        <w:t>округлим</w:t>
      </w:r>
      <w:r w:rsidR="00523574" w:rsidRPr="00295637">
        <w:rPr>
          <w:rFonts w:ascii="Times New Roman" w:eastAsia="Aptos" w:hAnsi="Times New Roman"/>
          <w:szCs w:val="24"/>
        </w:rPr>
        <w:t xml:space="preserve"> </w:t>
      </w:r>
      <w:r w:rsidR="00C6214E">
        <w:rPr>
          <w:rFonts w:ascii="Times New Roman" w:eastAsia="Aptos" w:hAnsi="Times New Roman"/>
          <w:szCs w:val="24"/>
        </w:rPr>
        <w:t>столовима</w:t>
      </w:r>
      <w:r w:rsidR="00523574" w:rsidRPr="00295637">
        <w:rPr>
          <w:rFonts w:ascii="Times New Roman" w:eastAsia="Aptos" w:hAnsi="Times New Roman"/>
          <w:szCs w:val="24"/>
        </w:rPr>
        <w:t xml:space="preserve"> </w:t>
      </w:r>
      <w:r w:rsidR="00C6214E">
        <w:rPr>
          <w:rFonts w:ascii="Times New Roman" w:eastAsia="Aptos" w:hAnsi="Times New Roman"/>
          <w:szCs w:val="24"/>
        </w:rPr>
        <w:t>и</w:t>
      </w:r>
      <w:r w:rsidR="00523574" w:rsidRPr="00295637">
        <w:rPr>
          <w:rFonts w:ascii="Times New Roman" w:eastAsia="Aptos" w:hAnsi="Times New Roman"/>
          <w:szCs w:val="24"/>
        </w:rPr>
        <w:t xml:space="preserve"> </w:t>
      </w:r>
      <w:r w:rsidR="00C6214E">
        <w:rPr>
          <w:rFonts w:ascii="Times New Roman" w:eastAsia="Aptos" w:hAnsi="Times New Roman"/>
          <w:szCs w:val="24"/>
        </w:rPr>
        <w:t>заговарачким</w:t>
      </w:r>
      <w:r w:rsidR="00523574" w:rsidRPr="00295637">
        <w:rPr>
          <w:rFonts w:ascii="Times New Roman" w:eastAsia="Aptos" w:hAnsi="Times New Roman"/>
          <w:szCs w:val="24"/>
        </w:rPr>
        <w:t xml:space="preserve"> </w:t>
      </w:r>
      <w:r w:rsidR="00C6214E">
        <w:rPr>
          <w:rFonts w:ascii="Times New Roman" w:eastAsia="Aptos" w:hAnsi="Times New Roman"/>
          <w:szCs w:val="24"/>
        </w:rPr>
        <w:t>активностима</w:t>
      </w:r>
      <w:r w:rsidR="00523574" w:rsidRPr="00295637">
        <w:rPr>
          <w:rFonts w:ascii="Times New Roman" w:eastAsia="Aptos" w:hAnsi="Times New Roman"/>
          <w:szCs w:val="24"/>
        </w:rPr>
        <w:t xml:space="preserve">, </w:t>
      </w:r>
      <w:r w:rsidR="00C6214E">
        <w:rPr>
          <w:rFonts w:ascii="Times New Roman" w:eastAsia="Aptos" w:hAnsi="Times New Roman"/>
          <w:szCs w:val="24"/>
        </w:rPr>
        <w:t>често</w:t>
      </w:r>
      <w:r w:rsidR="00523574" w:rsidRPr="00295637">
        <w:rPr>
          <w:rFonts w:ascii="Times New Roman" w:eastAsia="Aptos" w:hAnsi="Times New Roman"/>
          <w:szCs w:val="24"/>
        </w:rPr>
        <w:t xml:space="preserve"> </w:t>
      </w:r>
      <w:r w:rsidR="00C6214E">
        <w:rPr>
          <w:rFonts w:ascii="Times New Roman" w:eastAsia="Aptos" w:hAnsi="Times New Roman"/>
          <w:szCs w:val="24"/>
        </w:rPr>
        <w:t>разбијајући</w:t>
      </w:r>
      <w:r w:rsidR="00523574" w:rsidRPr="00295637">
        <w:rPr>
          <w:rFonts w:ascii="Times New Roman" w:eastAsia="Aptos" w:hAnsi="Times New Roman"/>
          <w:szCs w:val="24"/>
        </w:rPr>
        <w:t xml:space="preserve"> </w:t>
      </w:r>
      <w:r w:rsidR="00C6214E">
        <w:rPr>
          <w:rFonts w:ascii="Times New Roman" w:eastAsia="Aptos" w:hAnsi="Times New Roman"/>
          <w:szCs w:val="24"/>
        </w:rPr>
        <w:t>стереотипе</w:t>
      </w:r>
      <w:r w:rsidR="00523574" w:rsidRPr="00295637">
        <w:rPr>
          <w:rFonts w:ascii="Times New Roman" w:eastAsia="Aptos" w:hAnsi="Times New Roman"/>
          <w:szCs w:val="24"/>
        </w:rPr>
        <w:t xml:space="preserve"> </w:t>
      </w:r>
      <w:r w:rsidR="00C6214E">
        <w:rPr>
          <w:rFonts w:ascii="Times New Roman" w:eastAsia="Aptos" w:hAnsi="Times New Roman"/>
          <w:szCs w:val="24"/>
        </w:rPr>
        <w:t>о</w:t>
      </w:r>
      <w:r w:rsidR="00523574" w:rsidRPr="00295637">
        <w:rPr>
          <w:rFonts w:ascii="Times New Roman" w:eastAsia="Aptos" w:hAnsi="Times New Roman"/>
          <w:szCs w:val="24"/>
        </w:rPr>
        <w:t xml:space="preserve"> </w:t>
      </w:r>
      <w:r w:rsidR="00C6214E">
        <w:rPr>
          <w:rFonts w:ascii="Times New Roman" w:eastAsia="Aptos" w:hAnsi="Times New Roman"/>
          <w:szCs w:val="24"/>
        </w:rPr>
        <w:t>дјевојчицама</w:t>
      </w:r>
      <w:r w:rsidR="00523574" w:rsidRPr="00295637">
        <w:rPr>
          <w:rFonts w:ascii="Times New Roman" w:eastAsia="Aptos" w:hAnsi="Times New Roman"/>
          <w:szCs w:val="24"/>
        </w:rPr>
        <w:t xml:space="preserve"> </w:t>
      </w:r>
      <w:r w:rsidR="00C6214E">
        <w:rPr>
          <w:rFonts w:ascii="Times New Roman" w:eastAsia="Aptos" w:hAnsi="Times New Roman"/>
          <w:szCs w:val="24"/>
        </w:rPr>
        <w:t>и</w:t>
      </w:r>
      <w:r w:rsidR="00523574" w:rsidRPr="00295637">
        <w:rPr>
          <w:rFonts w:ascii="Times New Roman" w:eastAsia="Aptos" w:hAnsi="Times New Roman"/>
          <w:szCs w:val="24"/>
        </w:rPr>
        <w:t xml:space="preserve"> </w:t>
      </w:r>
      <w:r w:rsidR="00C6214E">
        <w:rPr>
          <w:rFonts w:ascii="Times New Roman" w:eastAsia="Aptos" w:hAnsi="Times New Roman"/>
          <w:szCs w:val="24"/>
        </w:rPr>
        <w:t>образовању</w:t>
      </w:r>
      <w:r w:rsidR="00523574" w:rsidRPr="00295637">
        <w:rPr>
          <w:rFonts w:ascii="Times New Roman" w:eastAsia="Aptos" w:hAnsi="Times New Roman"/>
          <w:szCs w:val="24"/>
        </w:rPr>
        <w:t xml:space="preserve">. </w:t>
      </w:r>
      <w:r w:rsidR="00C6214E">
        <w:rPr>
          <w:rFonts w:ascii="Times New Roman" w:eastAsia="Aptos" w:hAnsi="Times New Roman"/>
          <w:szCs w:val="24"/>
        </w:rPr>
        <w:t>Млади</w:t>
      </w:r>
      <w:r w:rsidR="00523574" w:rsidRPr="00295637">
        <w:rPr>
          <w:rFonts w:ascii="Times New Roman" w:eastAsia="Aptos" w:hAnsi="Times New Roman"/>
          <w:szCs w:val="24"/>
        </w:rPr>
        <w:t xml:space="preserve"> </w:t>
      </w:r>
      <w:r w:rsidR="00C6214E">
        <w:rPr>
          <w:rFonts w:ascii="Times New Roman" w:eastAsia="Aptos" w:hAnsi="Times New Roman"/>
          <w:szCs w:val="24"/>
        </w:rPr>
        <w:t>су</w:t>
      </w:r>
      <w:r w:rsidR="00523574" w:rsidRPr="00295637">
        <w:rPr>
          <w:rFonts w:ascii="Times New Roman" w:eastAsia="Aptos" w:hAnsi="Times New Roman"/>
          <w:szCs w:val="24"/>
        </w:rPr>
        <w:t xml:space="preserve"> </w:t>
      </w:r>
      <w:r w:rsidR="00C6214E">
        <w:rPr>
          <w:rFonts w:ascii="Times New Roman" w:eastAsia="Aptos" w:hAnsi="Times New Roman"/>
          <w:szCs w:val="24"/>
        </w:rPr>
        <w:t>предводили</w:t>
      </w:r>
      <w:r w:rsidR="00523574" w:rsidRPr="00295637">
        <w:rPr>
          <w:rFonts w:ascii="Times New Roman" w:eastAsia="Aptos" w:hAnsi="Times New Roman"/>
          <w:szCs w:val="24"/>
        </w:rPr>
        <w:t xml:space="preserve"> </w:t>
      </w:r>
      <w:r w:rsidRPr="00E3060A">
        <w:rPr>
          <w:rFonts w:ascii="Times New Roman" w:eastAsia="Aptos" w:hAnsi="Times New Roman"/>
          <w:i/>
          <w:szCs w:val="24"/>
        </w:rPr>
        <w:t xml:space="preserve">peer-to-peer </w:t>
      </w:r>
      <w:r w:rsidR="00C6214E">
        <w:rPr>
          <w:rFonts w:ascii="Times New Roman" w:eastAsia="Aptos" w:hAnsi="Times New Roman"/>
          <w:szCs w:val="24"/>
        </w:rPr>
        <w:t>едукацију</w:t>
      </w:r>
      <w:r w:rsidR="00523574" w:rsidRPr="00295637">
        <w:rPr>
          <w:rFonts w:ascii="Times New Roman" w:eastAsia="Aptos" w:hAnsi="Times New Roman"/>
          <w:szCs w:val="24"/>
        </w:rPr>
        <w:t xml:space="preserve"> </w:t>
      </w:r>
      <w:r w:rsidR="00C6214E">
        <w:rPr>
          <w:rFonts w:ascii="Times New Roman" w:eastAsia="Aptos" w:hAnsi="Times New Roman"/>
          <w:szCs w:val="24"/>
        </w:rPr>
        <w:t>на</w:t>
      </w:r>
      <w:r w:rsidR="00523574" w:rsidRPr="00295637">
        <w:rPr>
          <w:rFonts w:ascii="Times New Roman" w:eastAsia="Aptos" w:hAnsi="Times New Roman"/>
          <w:szCs w:val="24"/>
        </w:rPr>
        <w:t xml:space="preserve"> </w:t>
      </w:r>
      <w:r w:rsidR="00C6214E">
        <w:rPr>
          <w:rFonts w:ascii="Times New Roman" w:eastAsia="Aptos" w:hAnsi="Times New Roman"/>
          <w:szCs w:val="24"/>
        </w:rPr>
        <w:t>теме</w:t>
      </w:r>
      <w:r w:rsidR="00523574" w:rsidRPr="00295637">
        <w:rPr>
          <w:rFonts w:ascii="Times New Roman" w:eastAsia="Aptos" w:hAnsi="Times New Roman"/>
          <w:szCs w:val="24"/>
        </w:rPr>
        <w:t xml:space="preserve"> </w:t>
      </w:r>
      <w:r w:rsidR="00C6214E">
        <w:rPr>
          <w:rFonts w:ascii="Times New Roman" w:eastAsia="Aptos" w:hAnsi="Times New Roman"/>
          <w:szCs w:val="24"/>
        </w:rPr>
        <w:t>родно</w:t>
      </w:r>
      <w:r w:rsidR="00523574" w:rsidRPr="00295637">
        <w:rPr>
          <w:rFonts w:ascii="Times New Roman" w:eastAsia="Aptos" w:hAnsi="Times New Roman"/>
          <w:szCs w:val="24"/>
        </w:rPr>
        <w:t xml:space="preserve"> </w:t>
      </w:r>
      <w:r w:rsidR="00C6214E">
        <w:rPr>
          <w:rFonts w:ascii="Times New Roman" w:eastAsia="Aptos" w:hAnsi="Times New Roman"/>
          <w:szCs w:val="24"/>
        </w:rPr>
        <w:t>заснованог</w:t>
      </w:r>
      <w:r w:rsidR="00523574" w:rsidRPr="00295637">
        <w:rPr>
          <w:rFonts w:ascii="Times New Roman" w:eastAsia="Aptos" w:hAnsi="Times New Roman"/>
          <w:szCs w:val="24"/>
        </w:rPr>
        <w:t xml:space="preserve"> </w:t>
      </w:r>
      <w:r w:rsidR="00C6214E">
        <w:rPr>
          <w:rFonts w:ascii="Times New Roman" w:eastAsia="Aptos" w:hAnsi="Times New Roman"/>
          <w:szCs w:val="24"/>
        </w:rPr>
        <w:t>насиља</w:t>
      </w:r>
      <w:r w:rsidR="00523574" w:rsidRPr="00295637">
        <w:rPr>
          <w:rFonts w:ascii="Times New Roman" w:eastAsia="Aptos" w:hAnsi="Times New Roman"/>
          <w:szCs w:val="24"/>
        </w:rPr>
        <w:t xml:space="preserve"> </w:t>
      </w:r>
      <w:r w:rsidR="00C6214E">
        <w:rPr>
          <w:rFonts w:ascii="Times New Roman" w:eastAsia="Aptos" w:hAnsi="Times New Roman"/>
          <w:szCs w:val="24"/>
        </w:rPr>
        <w:t>и</w:t>
      </w:r>
      <w:r w:rsidR="00523574" w:rsidRPr="00295637">
        <w:rPr>
          <w:rFonts w:ascii="Times New Roman" w:eastAsia="Aptos" w:hAnsi="Times New Roman"/>
          <w:szCs w:val="24"/>
        </w:rPr>
        <w:t xml:space="preserve"> </w:t>
      </w:r>
      <w:r w:rsidR="00C6214E">
        <w:rPr>
          <w:rFonts w:ascii="Times New Roman" w:eastAsia="Aptos" w:hAnsi="Times New Roman"/>
          <w:szCs w:val="24"/>
        </w:rPr>
        <w:t>фемицида</w:t>
      </w:r>
      <w:r w:rsidR="00523574" w:rsidRPr="00295637">
        <w:rPr>
          <w:rFonts w:ascii="Times New Roman" w:eastAsia="Aptos" w:hAnsi="Times New Roman"/>
          <w:szCs w:val="24"/>
        </w:rPr>
        <w:t xml:space="preserve">. </w:t>
      </w:r>
      <w:r w:rsidRPr="00E3060A">
        <w:rPr>
          <w:rFonts w:ascii="Times New Roman" w:eastAsia="Aptos" w:hAnsi="Times New Roman"/>
          <w:i/>
          <w:szCs w:val="24"/>
        </w:rPr>
        <w:t>UNICEF</w:t>
      </w:r>
      <w:r w:rsidR="00523574" w:rsidRPr="00295637">
        <w:rPr>
          <w:rFonts w:ascii="Times New Roman" w:eastAsia="Aptos" w:hAnsi="Times New Roman"/>
          <w:szCs w:val="24"/>
        </w:rPr>
        <w:t>-</w:t>
      </w:r>
      <w:r w:rsidR="00C6214E">
        <w:rPr>
          <w:rFonts w:ascii="Times New Roman" w:eastAsia="Aptos" w:hAnsi="Times New Roman"/>
          <w:szCs w:val="24"/>
        </w:rPr>
        <w:t>ове</w:t>
      </w:r>
      <w:r w:rsidR="00523574" w:rsidRPr="00295637">
        <w:rPr>
          <w:rFonts w:ascii="Times New Roman" w:eastAsia="Aptos" w:hAnsi="Times New Roman"/>
          <w:szCs w:val="24"/>
        </w:rPr>
        <w:t xml:space="preserve"> </w:t>
      </w:r>
      <w:r w:rsidR="00C6214E">
        <w:rPr>
          <w:rFonts w:ascii="Times New Roman" w:eastAsia="Aptos" w:hAnsi="Times New Roman"/>
          <w:szCs w:val="24"/>
        </w:rPr>
        <w:t>дигиталне</w:t>
      </w:r>
      <w:r w:rsidR="00346E68">
        <w:rPr>
          <w:rFonts w:ascii="Times New Roman" w:eastAsia="Aptos" w:hAnsi="Times New Roman"/>
          <w:szCs w:val="24"/>
        </w:rPr>
        <w:t xml:space="preserve"> </w:t>
      </w:r>
      <w:r w:rsidR="00C6214E">
        <w:rPr>
          <w:rFonts w:ascii="Times New Roman" w:eastAsia="Aptos" w:hAnsi="Times New Roman"/>
          <w:szCs w:val="24"/>
        </w:rPr>
        <w:t>кампање</w:t>
      </w:r>
      <w:r w:rsidR="00346E68">
        <w:rPr>
          <w:rFonts w:ascii="Times New Roman" w:eastAsia="Aptos" w:hAnsi="Times New Roman"/>
          <w:szCs w:val="24"/>
        </w:rPr>
        <w:t xml:space="preserve"> </w:t>
      </w:r>
      <w:r w:rsidR="00C6214E">
        <w:rPr>
          <w:rFonts w:ascii="Times New Roman" w:eastAsia="Aptos" w:hAnsi="Times New Roman"/>
          <w:szCs w:val="24"/>
        </w:rPr>
        <w:t>и</w:t>
      </w:r>
      <w:r w:rsidR="00346E68">
        <w:rPr>
          <w:rFonts w:ascii="Times New Roman" w:eastAsia="Aptos" w:hAnsi="Times New Roman"/>
          <w:szCs w:val="24"/>
        </w:rPr>
        <w:t xml:space="preserve"> </w:t>
      </w:r>
      <w:r w:rsidR="00C6214E">
        <w:rPr>
          <w:rFonts w:ascii="Times New Roman" w:eastAsia="Aptos" w:hAnsi="Times New Roman"/>
          <w:szCs w:val="24"/>
        </w:rPr>
        <w:t>партнерства</w:t>
      </w:r>
      <w:r w:rsidR="00346E68">
        <w:rPr>
          <w:rFonts w:ascii="Times New Roman" w:eastAsia="Aptos" w:hAnsi="Times New Roman"/>
          <w:szCs w:val="24"/>
        </w:rPr>
        <w:t xml:space="preserve"> </w:t>
      </w:r>
      <w:r w:rsidR="00C6214E">
        <w:rPr>
          <w:rFonts w:ascii="Times New Roman" w:eastAsia="Aptos" w:hAnsi="Times New Roman"/>
          <w:szCs w:val="24"/>
        </w:rPr>
        <w:t>са</w:t>
      </w:r>
      <w:r w:rsidR="00523574" w:rsidRPr="00295637">
        <w:rPr>
          <w:rFonts w:ascii="Times New Roman" w:eastAsia="Aptos" w:hAnsi="Times New Roman"/>
          <w:szCs w:val="24"/>
        </w:rPr>
        <w:t xml:space="preserve"> </w:t>
      </w:r>
      <w:r w:rsidR="00C6214E">
        <w:rPr>
          <w:rFonts w:ascii="Times New Roman" w:eastAsia="Aptos" w:hAnsi="Times New Roman"/>
          <w:szCs w:val="24"/>
        </w:rPr>
        <w:t>јавним</w:t>
      </w:r>
      <w:r w:rsidR="00523574" w:rsidRPr="00295637">
        <w:rPr>
          <w:rFonts w:ascii="Times New Roman" w:eastAsia="Aptos" w:hAnsi="Times New Roman"/>
          <w:szCs w:val="24"/>
        </w:rPr>
        <w:t xml:space="preserve"> </w:t>
      </w:r>
      <w:r w:rsidR="00C6214E">
        <w:rPr>
          <w:rFonts w:ascii="Times New Roman" w:eastAsia="Aptos" w:hAnsi="Times New Roman"/>
          <w:szCs w:val="24"/>
        </w:rPr>
        <w:t>личностима</w:t>
      </w:r>
      <w:r w:rsidR="00523574" w:rsidRPr="00295637">
        <w:rPr>
          <w:rFonts w:ascii="Times New Roman" w:eastAsia="Aptos" w:hAnsi="Times New Roman"/>
          <w:szCs w:val="24"/>
        </w:rPr>
        <w:t xml:space="preserve"> (</w:t>
      </w:r>
      <w:r w:rsidR="00C6214E">
        <w:rPr>
          <w:rFonts w:ascii="Times New Roman" w:eastAsia="Aptos" w:hAnsi="Times New Roman"/>
          <w:szCs w:val="24"/>
        </w:rPr>
        <w:t>нпр</w:t>
      </w:r>
      <w:r w:rsidR="00523574" w:rsidRPr="00295637">
        <w:rPr>
          <w:rFonts w:ascii="Times New Roman" w:eastAsia="Aptos" w:hAnsi="Times New Roman"/>
          <w:szCs w:val="24"/>
        </w:rPr>
        <w:t xml:space="preserve">. </w:t>
      </w:r>
      <w:r w:rsidR="00C6214E">
        <w:rPr>
          <w:rFonts w:ascii="Times New Roman" w:eastAsia="Aptos" w:hAnsi="Times New Roman"/>
          <w:szCs w:val="24"/>
        </w:rPr>
        <w:t>пливачица</w:t>
      </w:r>
      <w:r w:rsidR="009524C3">
        <w:rPr>
          <w:rFonts w:ascii="Times New Roman" w:eastAsia="Aptos" w:hAnsi="Times New Roman"/>
          <w:szCs w:val="24"/>
        </w:rPr>
        <w:t xml:space="preserve"> </w:t>
      </w:r>
      <w:r w:rsidR="00C6214E">
        <w:rPr>
          <w:rFonts w:ascii="Times New Roman" w:eastAsia="Aptos" w:hAnsi="Times New Roman"/>
          <w:szCs w:val="24"/>
        </w:rPr>
        <w:t>Лана</w:t>
      </w:r>
      <w:r w:rsidR="00523574" w:rsidRPr="00295637">
        <w:rPr>
          <w:rFonts w:ascii="Times New Roman" w:eastAsia="Aptos" w:hAnsi="Times New Roman"/>
          <w:szCs w:val="24"/>
        </w:rPr>
        <w:t xml:space="preserve"> </w:t>
      </w:r>
      <w:r w:rsidR="00C6214E">
        <w:rPr>
          <w:rFonts w:ascii="Times New Roman" w:eastAsia="Aptos" w:hAnsi="Times New Roman"/>
          <w:szCs w:val="24"/>
        </w:rPr>
        <w:t>Пудар</w:t>
      </w:r>
      <w:r w:rsidR="00523574" w:rsidRPr="00295637">
        <w:rPr>
          <w:rFonts w:ascii="Times New Roman" w:eastAsia="Aptos" w:hAnsi="Times New Roman"/>
          <w:szCs w:val="24"/>
        </w:rPr>
        <w:t xml:space="preserve">) </w:t>
      </w:r>
      <w:r w:rsidR="00C6214E">
        <w:rPr>
          <w:rFonts w:ascii="Times New Roman" w:eastAsia="Aptos" w:hAnsi="Times New Roman"/>
          <w:szCs w:val="24"/>
        </w:rPr>
        <w:t>повећале</w:t>
      </w:r>
      <w:r w:rsidR="00523574" w:rsidRPr="00295637">
        <w:rPr>
          <w:rFonts w:ascii="Times New Roman" w:eastAsia="Aptos" w:hAnsi="Times New Roman"/>
          <w:szCs w:val="24"/>
        </w:rPr>
        <w:t xml:space="preserve"> </w:t>
      </w:r>
      <w:r w:rsidR="00C6214E">
        <w:rPr>
          <w:rFonts w:ascii="Times New Roman" w:eastAsia="Aptos" w:hAnsi="Times New Roman"/>
          <w:szCs w:val="24"/>
        </w:rPr>
        <w:t>су</w:t>
      </w:r>
      <w:r w:rsidR="00523574" w:rsidRPr="00295637">
        <w:rPr>
          <w:rFonts w:ascii="Times New Roman" w:eastAsia="Aptos" w:hAnsi="Times New Roman"/>
          <w:szCs w:val="24"/>
        </w:rPr>
        <w:t xml:space="preserve"> </w:t>
      </w:r>
      <w:r w:rsidR="00C6214E">
        <w:rPr>
          <w:rFonts w:ascii="Times New Roman" w:eastAsia="Aptos" w:hAnsi="Times New Roman"/>
          <w:szCs w:val="24"/>
        </w:rPr>
        <w:t>видљивост</w:t>
      </w:r>
      <w:r w:rsidR="00523574" w:rsidRPr="00295637">
        <w:rPr>
          <w:rFonts w:ascii="Times New Roman" w:eastAsia="Aptos" w:hAnsi="Times New Roman"/>
          <w:szCs w:val="24"/>
        </w:rPr>
        <w:t xml:space="preserve"> </w:t>
      </w:r>
      <w:r w:rsidR="00C6214E">
        <w:rPr>
          <w:rFonts w:ascii="Times New Roman" w:eastAsia="Aptos" w:hAnsi="Times New Roman"/>
          <w:szCs w:val="24"/>
        </w:rPr>
        <w:t>и</w:t>
      </w:r>
      <w:r w:rsidR="00523574" w:rsidRPr="00295637">
        <w:rPr>
          <w:rFonts w:ascii="Times New Roman" w:eastAsia="Aptos" w:hAnsi="Times New Roman"/>
          <w:szCs w:val="24"/>
        </w:rPr>
        <w:t xml:space="preserve"> </w:t>
      </w:r>
      <w:r w:rsidR="00C6214E">
        <w:rPr>
          <w:rFonts w:ascii="Times New Roman" w:eastAsia="Aptos" w:hAnsi="Times New Roman"/>
          <w:szCs w:val="24"/>
        </w:rPr>
        <w:t>поруке</w:t>
      </w:r>
      <w:r w:rsidR="00523574" w:rsidRPr="00295637">
        <w:rPr>
          <w:rFonts w:ascii="Times New Roman" w:eastAsia="Aptos" w:hAnsi="Times New Roman"/>
          <w:szCs w:val="24"/>
        </w:rPr>
        <w:t xml:space="preserve"> </w:t>
      </w:r>
      <w:r w:rsidR="00C6214E">
        <w:rPr>
          <w:rFonts w:ascii="Times New Roman" w:eastAsia="Aptos" w:hAnsi="Times New Roman"/>
          <w:szCs w:val="24"/>
        </w:rPr>
        <w:t>о</w:t>
      </w:r>
      <w:r w:rsidR="00523574" w:rsidRPr="00295637">
        <w:rPr>
          <w:rFonts w:ascii="Times New Roman" w:eastAsia="Aptos" w:hAnsi="Times New Roman"/>
          <w:szCs w:val="24"/>
        </w:rPr>
        <w:t xml:space="preserve"> </w:t>
      </w:r>
      <w:r w:rsidR="00C6214E">
        <w:rPr>
          <w:rFonts w:ascii="Times New Roman" w:eastAsia="Aptos" w:hAnsi="Times New Roman"/>
          <w:szCs w:val="24"/>
        </w:rPr>
        <w:t>равноправности</w:t>
      </w:r>
      <w:r w:rsidR="007324CD" w:rsidRPr="00295637">
        <w:rPr>
          <w:rFonts w:ascii="Times New Roman" w:eastAsia="Aptos" w:hAnsi="Times New Roman"/>
          <w:szCs w:val="24"/>
        </w:rPr>
        <w:t xml:space="preserve"> </w:t>
      </w:r>
      <w:r w:rsidR="00C6214E">
        <w:rPr>
          <w:rFonts w:ascii="Times New Roman" w:eastAsia="Aptos" w:hAnsi="Times New Roman"/>
          <w:szCs w:val="24"/>
        </w:rPr>
        <w:t>полова</w:t>
      </w:r>
      <w:r w:rsidR="007324CD" w:rsidRPr="00295637">
        <w:rPr>
          <w:rFonts w:ascii="Times New Roman" w:eastAsia="Aptos" w:hAnsi="Times New Roman"/>
          <w:szCs w:val="24"/>
        </w:rPr>
        <w:t xml:space="preserve">. </w:t>
      </w:r>
    </w:p>
    <w:p w:rsidR="009524C3" w:rsidRPr="00DB6495" w:rsidRDefault="009524C3" w:rsidP="0086268D">
      <w:pPr>
        <w:jc w:val="both"/>
        <w:rPr>
          <w:rFonts w:ascii="Times New Roman" w:hAnsi="Times New Roman"/>
          <w:szCs w:val="24"/>
        </w:rPr>
      </w:pPr>
    </w:p>
    <w:p w:rsidR="00356C2C" w:rsidRPr="00295637" w:rsidRDefault="00E3060A" w:rsidP="000D0DF5">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I</w:t>
      </w:r>
      <w:r w:rsidR="000D0DF5">
        <w:rPr>
          <w:rFonts w:ascii="Times New Roman" w:eastAsia="Calibri" w:hAnsi="Times New Roman"/>
          <w:szCs w:val="24"/>
          <w:lang w:val="bs-Latn-BA"/>
        </w:rPr>
        <w:t xml:space="preserve"> 2.4. </w:t>
      </w:r>
      <w:r>
        <w:rPr>
          <w:rFonts w:ascii="Times New Roman" w:eastAsia="Calibri" w:hAnsi="Times New Roman"/>
          <w:szCs w:val="24"/>
          <w:lang w:val="sr-Cyrl-BA"/>
        </w:rPr>
        <w:t>Спровођење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обука</w:t>
      </w:r>
      <w:r w:rsidR="00356C2C" w:rsidRPr="00295637">
        <w:rPr>
          <w:rFonts w:ascii="Times New Roman" w:eastAsia="Calibri" w:hAnsi="Times New Roman"/>
          <w:szCs w:val="24"/>
          <w:lang w:val="bs-Latn-BA"/>
        </w:rPr>
        <w:t xml:space="preserve"> </w:t>
      </w:r>
      <w:r>
        <w:rPr>
          <w:rFonts w:ascii="Times New Roman" w:eastAsia="Calibri" w:hAnsi="Times New Roman"/>
          <w:szCs w:val="24"/>
          <w:lang w:val="sr-Cyrl-BA"/>
        </w:rPr>
        <w:t>с</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циљ</w:t>
      </w:r>
      <w:r>
        <w:rPr>
          <w:rFonts w:ascii="Times New Roman" w:eastAsia="Calibri" w:hAnsi="Times New Roman"/>
          <w:szCs w:val="24"/>
          <w:lang w:val="sr-Cyrl-BA"/>
        </w:rPr>
        <w:t>ем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јачања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капацитета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политичких</w:t>
      </w:r>
      <w:r w:rsidR="00356C2C" w:rsidRPr="00295637">
        <w:rPr>
          <w:rFonts w:ascii="Times New Roman" w:eastAsia="Calibri" w:hAnsi="Times New Roman"/>
          <w:szCs w:val="24"/>
          <w:lang w:val="bs-Latn-BA"/>
        </w:rPr>
        <w:t xml:space="preserve"> </w:t>
      </w:r>
      <w:r>
        <w:rPr>
          <w:rFonts w:ascii="Times New Roman" w:eastAsia="Calibri" w:hAnsi="Times New Roman"/>
          <w:szCs w:val="24"/>
          <w:lang w:val="sr-Cyrl-BA"/>
        </w:rPr>
        <w:t>партија</w:t>
      </w:r>
      <w:r w:rsidR="00356C2C" w:rsidRPr="00295637">
        <w:rPr>
          <w:rFonts w:ascii="Times New Roman" w:eastAsia="Calibri" w:hAnsi="Times New Roman"/>
          <w:szCs w:val="24"/>
          <w:lang w:val="bs-Latn-BA"/>
        </w:rPr>
        <w:t xml:space="preserve"> </w:t>
      </w:r>
      <w:r>
        <w:rPr>
          <w:rFonts w:ascii="Times New Roman" w:eastAsia="Calibri" w:hAnsi="Times New Roman"/>
          <w:szCs w:val="24"/>
          <w:lang w:val="sr-Cyrl-BA"/>
        </w:rPr>
        <w:t>с</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циљ</w:t>
      </w:r>
      <w:r>
        <w:rPr>
          <w:rFonts w:ascii="Times New Roman" w:eastAsia="Calibri" w:hAnsi="Times New Roman"/>
          <w:szCs w:val="24"/>
          <w:lang w:val="sr-Cyrl-BA"/>
        </w:rPr>
        <w:t>ем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повећања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броја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жена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јавном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животу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свим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нивоима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одлучивања</w:t>
      </w:r>
      <w:r w:rsidR="00356C2C" w:rsidRPr="00295637">
        <w:rPr>
          <w:rFonts w:ascii="Times New Roman" w:eastAsia="Calibri" w:hAnsi="Times New Roman"/>
          <w:szCs w:val="24"/>
          <w:lang w:val="bs-Latn-BA"/>
        </w:rPr>
        <w:t>.</w:t>
      </w:r>
    </w:p>
    <w:p w:rsidR="00C142CC" w:rsidRPr="00295637" w:rsidRDefault="00C142CC" w:rsidP="0086268D">
      <w:pPr>
        <w:tabs>
          <w:tab w:val="left" w:pos="0"/>
          <w:tab w:val="left" w:pos="630"/>
          <w:tab w:val="left" w:pos="1080"/>
        </w:tabs>
        <w:jc w:val="both"/>
        <w:rPr>
          <w:rFonts w:ascii="Times New Roman" w:eastAsia="Calibri" w:hAnsi="Times New Roman"/>
          <w:szCs w:val="24"/>
          <w:lang w:val="bs-Latn-BA"/>
        </w:rPr>
      </w:pPr>
    </w:p>
    <w:p w:rsidR="00A92736" w:rsidRPr="00295637" w:rsidRDefault="00C6214E" w:rsidP="0086268D">
      <w:pPr>
        <w:tabs>
          <w:tab w:val="left" w:pos="0"/>
          <w:tab w:val="left" w:pos="630"/>
          <w:tab w:val="left" w:pos="1080"/>
        </w:tabs>
        <w:jc w:val="both"/>
        <w:rPr>
          <w:rFonts w:ascii="Times New Roman" w:eastAsia="Calibri" w:hAnsi="Times New Roman"/>
          <w:szCs w:val="24"/>
          <w:lang w:val="bs-Latn-BA"/>
        </w:rPr>
      </w:pPr>
      <w:r>
        <w:rPr>
          <w:rFonts w:ascii="Times New Roman" w:eastAsia="Calibri" w:hAnsi="Times New Roman"/>
          <w:szCs w:val="24"/>
          <w:lang w:val="bs-Latn-BA"/>
        </w:rPr>
        <w:t>У</w:t>
      </w:r>
      <w:r w:rsidR="000D0DF5">
        <w:rPr>
          <w:rFonts w:ascii="Times New Roman" w:eastAsia="Calibri" w:hAnsi="Times New Roman"/>
          <w:szCs w:val="24"/>
          <w:lang w:val="bs-Latn-BA"/>
        </w:rPr>
        <w:t xml:space="preserve"> </w:t>
      </w:r>
      <w:r>
        <w:rPr>
          <w:rFonts w:ascii="Times New Roman" w:eastAsia="Calibri" w:hAnsi="Times New Roman"/>
          <w:szCs w:val="24"/>
          <w:lang w:val="bs-Latn-BA"/>
        </w:rPr>
        <w:t>складу</w:t>
      </w:r>
      <w:r w:rsidR="000D0DF5">
        <w:rPr>
          <w:rFonts w:ascii="Times New Roman" w:eastAsia="Calibri" w:hAnsi="Times New Roman"/>
          <w:szCs w:val="24"/>
          <w:lang w:val="bs-Latn-BA"/>
        </w:rPr>
        <w:t xml:space="preserve"> </w:t>
      </w:r>
      <w:r>
        <w:rPr>
          <w:rFonts w:ascii="Times New Roman" w:eastAsia="Calibri" w:hAnsi="Times New Roman"/>
          <w:szCs w:val="24"/>
          <w:lang w:val="bs-Latn-BA"/>
        </w:rPr>
        <w:t>са</w:t>
      </w:r>
      <w:r w:rsidR="00EB7EE9" w:rsidRPr="00295637">
        <w:rPr>
          <w:rFonts w:ascii="Times New Roman" w:eastAsia="Calibri" w:hAnsi="Times New Roman"/>
          <w:szCs w:val="24"/>
          <w:lang w:val="bs-Latn-BA"/>
        </w:rPr>
        <w:t xml:space="preserve"> </w:t>
      </w:r>
      <w:r>
        <w:rPr>
          <w:rFonts w:ascii="Times New Roman" w:eastAsia="Calibri" w:hAnsi="Times New Roman"/>
          <w:szCs w:val="24"/>
          <w:lang w:val="bs-Latn-BA"/>
        </w:rPr>
        <w:t>Законом</w:t>
      </w:r>
      <w:r w:rsidR="007C7343" w:rsidRPr="00295637">
        <w:rPr>
          <w:rFonts w:ascii="Times New Roman" w:eastAsia="Calibri" w:hAnsi="Times New Roman"/>
          <w:szCs w:val="24"/>
          <w:lang w:val="bs-Latn-BA"/>
        </w:rPr>
        <w:t xml:space="preserve"> </w:t>
      </w:r>
      <w:r>
        <w:rPr>
          <w:rFonts w:ascii="Times New Roman" w:eastAsia="Calibri" w:hAnsi="Times New Roman"/>
          <w:szCs w:val="24"/>
          <w:lang w:val="bs-Latn-BA"/>
        </w:rPr>
        <w:t>о</w:t>
      </w:r>
      <w:r w:rsidR="007C7343" w:rsidRPr="00295637">
        <w:rPr>
          <w:rFonts w:ascii="Times New Roman" w:eastAsia="Calibri" w:hAnsi="Times New Roman"/>
          <w:szCs w:val="24"/>
          <w:lang w:val="bs-Latn-BA"/>
        </w:rPr>
        <w:t xml:space="preserve"> </w:t>
      </w:r>
      <w:r>
        <w:rPr>
          <w:rFonts w:ascii="Times New Roman" w:eastAsia="Calibri" w:hAnsi="Times New Roman"/>
          <w:szCs w:val="24"/>
          <w:lang w:val="bs-Latn-BA"/>
        </w:rPr>
        <w:t>финансирању</w:t>
      </w:r>
      <w:r w:rsidR="007C7343" w:rsidRPr="00295637">
        <w:rPr>
          <w:rFonts w:ascii="Times New Roman" w:eastAsia="Calibri" w:hAnsi="Times New Roman"/>
          <w:szCs w:val="24"/>
          <w:lang w:val="bs-Latn-BA"/>
        </w:rPr>
        <w:t xml:space="preserve"> </w:t>
      </w:r>
      <w:r>
        <w:rPr>
          <w:rFonts w:ascii="Times New Roman" w:eastAsia="Calibri" w:hAnsi="Times New Roman"/>
          <w:szCs w:val="24"/>
          <w:lang w:val="bs-Latn-BA"/>
        </w:rPr>
        <w:t>политичких</w:t>
      </w:r>
      <w:r w:rsidR="00EB7EE9" w:rsidRPr="00295637">
        <w:rPr>
          <w:rFonts w:ascii="Times New Roman" w:eastAsia="Calibri" w:hAnsi="Times New Roman"/>
          <w:szCs w:val="24"/>
          <w:lang w:val="bs-Latn-BA"/>
        </w:rPr>
        <w:t xml:space="preserve"> </w:t>
      </w:r>
      <w:r w:rsidR="00E3060A">
        <w:rPr>
          <w:rFonts w:ascii="Times New Roman" w:eastAsia="Calibri" w:hAnsi="Times New Roman"/>
          <w:szCs w:val="24"/>
          <w:lang w:val="sr-Cyrl-BA"/>
        </w:rPr>
        <w:t>партија</w:t>
      </w:r>
      <w:r w:rsidR="007C7343" w:rsidRPr="00295637">
        <w:rPr>
          <w:rFonts w:ascii="Times New Roman" w:eastAsia="Calibri" w:hAnsi="Times New Roman"/>
          <w:szCs w:val="24"/>
          <w:lang w:val="bs-Latn-BA"/>
        </w:rPr>
        <w:t>,</w:t>
      </w:r>
      <w:r w:rsidR="00EB7EE9" w:rsidRPr="00295637">
        <w:rPr>
          <w:rFonts w:ascii="Times New Roman" w:eastAsia="Calibri" w:hAnsi="Times New Roman"/>
          <w:szCs w:val="24"/>
          <w:lang w:val="bs-Latn-BA"/>
        </w:rPr>
        <w:t xml:space="preserve"> 10% </w:t>
      </w:r>
      <w:r>
        <w:rPr>
          <w:rFonts w:ascii="Times New Roman" w:eastAsia="Calibri" w:hAnsi="Times New Roman"/>
          <w:szCs w:val="24"/>
          <w:lang w:val="bs-Latn-BA"/>
        </w:rPr>
        <w:t>од</w:t>
      </w:r>
      <w:r w:rsidR="00EB7EE9" w:rsidRPr="00295637">
        <w:rPr>
          <w:rFonts w:ascii="Times New Roman" w:eastAsia="Calibri" w:hAnsi="Times New Roman"/>
          <w:szCs w:val="24"/>
          <w:lang w:val="bs-Latn-BA"/>
        </w:rPr>
        <w:t xml:space="preserve"> </w:t>
      </w:r>
      <w:r>
        <w:rPr>
          <w:rFonts w:ascii="Times New Roman" w:eastAsia="Calibri" w:hAnsi="Times New Roman"/>
          <w:szCs w:val="24"/>
          <w:lang w:val="bs-Latn-BA"/>
        </w:rPr>
        <w:t>укупног</w:t>
      </w:r>
      <w:r w:rsidR="00EB7EE9" w:rsidRPr="00295637">
        <w:rPr>
          <w:rFonts w:ascii="Times New Roman" w:eastAsia="Calibri" w:hAnsi="Times New Roman"/>
          <w:szCs w:val="24"/>
          <w:lang w:val="bs-Latn-BA"/>
        </w:rPr>
        <w:t xml:space="preserve"> </w:t>
      </w:r>
      <w:r>
        <w:rPr>
          <w:rFonts w:ascii="Times New Roman" w:eastAsia="Calibri" w:hAnsi="Times New Roman"/>
          <w:szCs w:val="24"/>
          <w:lang w:val="bs-Latn-BA"/>
        </w:rPr>
        <w:t>издвајања</w:t>
      </w:r>
      <w:r w:rsidR="00EB7EE9" w:rsidRPr="00295637">
        <w:rPr>
          <w:rFonts w:ascii="Times New Roman" w:eastAsia="Calibri" w:hAnsi="Times New Roman"/>
          <w:szCs w:val="24"/>
          <w:lang w:val="bs-Latn-BA"/>
        </w:rPr>
        <w:t xml:space="preserve"> </w:t>
      </w:r>
      <w:r>
        <w:rPr>
          <w:rFonts w:ascii="Times New Roman" w:eastAsia="Calibri" w:hAnsi="Times New Roman"/>
          <w:szCs w:val="24"/>
          <w:lang w:val="bs-Latn-BA"/>
        </w:rPr>
        <w:t>из</w:t>
      </w:r>
      <w:r w:rsidR="00EB7EE9" w:rsidRPr="00295637">
        <w:rPr>
          <w:rFonts w:ascii="Times New Roman" w:eastAsia="Calibri" w:hAnsi="Times New Roman"/>
          <w:szCs w:val="24"/>
          <w:lang w:val="bs-Latn-BA"/>
        </w:rPr>
        <w:t xml:space="preserve"> </w:t>
      </w:r>
      <w:r>
        <w:rPr>
          <w:rFonts w:ascii="Times New Roman" w:eastAsia="Calibri" w:hAnsi="Times New Roman"/>
          <w:szCs w:val="24"/>
          <w:lang w:val="bs-Latn-BA"/>
        </w:rPr>
        <w:t>буџета</w:t>
      </w:r>
      <w:r w:rsidR="00EB7EE9" w:rsidRPr="00295637">
        <w:rPr>
          <w:rFonts w:ascii="Times New Roman" w:eastAsia="Calibri" w:hAnsi="Times New Roman"/>
          <w:szCs w:val="24"/>
          <w:lang w:val="bs-Latn-BA"/>
        </w:rPr>
        <w:t xml:space="preserve"> </w:t>
      </w:r>
      <w:r>
        <w:rPr>
          <w:rFonts w:ascii="Times New Roman" w:eastAsia="Calibri" w:hAnsi="Times New Roman"/>
          <w:szCs w:val="24"/>
          <w:lang w:val="bs-Latn-BA"/>
        </w:rPr>
        <w:t>распоређује</w:t>
      </w:r>
      <w:r w:rsidR="00EB7EE9" w:rsidRPr="00295637">
        <w:rPr>
          <w:rFonts w:ascii="Times New Roman" w:eastAsia="Calibri" w:hAnsi="Times New Roman"/>
          <w:szCs w:val="24"/>
          <w:lang w:val="bs-Latn-BA"/>
        </w:rPr>
        <w:t xml:space="preserve"> </w:t>
      </w:r>
      <w:r>
        <w:rPr>
          <w:rFonts w:ascii="Times New Roman" w:eastAsia="Calibri" w:hAnsi="Times New Roman"/>
          <w:szCs w:val="24"/>
          <w:lang w:val="bs-Latn-BA"/>
        </w:rPr>
        <w:t>се</w:t>
      </w:r>
      <w:r w:rsidR="00EB7EE9" w:rsidRPr="00295637">
        <w:rPr>
          <w:rFonts w:ascii="Times New Roman" w:eastAsia="Calibri" w:hAnsi="Times New Roman"/>
          <w:szCs w:val="24"/>
          <w:lang w:val="bs-Latn-BA"/>
        </w:rPr>
        <w:t xml:space="preserve"> </w:t>
      </w:r>
      <w:r>
        <w:rPr>
          <w:rFonts w:ascii="Times New Roman" w:eastAsia="Calibri" w:hAnsi="Times New Roman"/>
          <w:szCs w:val="24"/>
          <w:lang w:val="bs-Latn-BA"/>
        </w:rPr>
        <w:t>парламентарним</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групама</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сразмјерно</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броју</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посланичких</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односно</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делегатских</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мјеста</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која</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припадају</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мање</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заступљеном</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полу</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Према</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подацима</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достављеним</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ЦИК</w:t>
      </w:r>
      <w:r w:rsidR="00D30E48">
        <w:rPr>
          <w:rFonts w:ascii="Times New Roman" w:eastAsia="Calibri" w:hAnsi="Times New Roman"/>
          <w:szCs w:val="24"/>
          <w:lang w:val="bs-Latn-BA"/>
        </w:rPr>
        <w:t xml:space="preserve"> </w:t>
      </w:r>
      <w:r>
        <w:rPr>
          <w:rFonts w:ascii="Times New Roman" w:eastAsia="Calibri" w:hAnsi="Times New Roman"/>
          <w:szCs w:val="24"/>
          <w:lang w:val="bs-Latn-BA"/>
        </w:rPr>
        <w:t>БиХ</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из</w:t>
      </w:r>
      <w:r w:rsidR="00954B8C" w:rsidRPr="00295637">
        <w:rPr>
          <w:rFonts w:ascii="Times New Roman" w:eastAsia="Calibri" w:hAnsi="Times New Roman"/>
          <w:szCs w:val="24"/>
          <w:lang w:val="bs-Latn-BA"/>
        </w:rPr>
        <w:t xml:space="preserve"> 2023. </w:t>
      </w:r>
      <w:r>
        <w:rPr>
          <w:rFonts w:ascii="Times New Roman" w:eastAsia="Calibri" w:hAnsi="Times New Roman"/>
          <w:szCs w:val="24"/>
          <w:lang w:val="bs-Latn-BA"/>
        </w:rPr>
        <w:t>године</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износ</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распоређених</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средстава</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за</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ову</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намјену</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од</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јануара</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до</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децембра</w:t>
      </w:r>
      <w:r w:rsidR="00954B8C" w:rsidRPr="00295637">
        <w:rPr>
          <w:rFonts w:ascii="Times New Roman" w:eastAsia="Calibri" w:hAnsi="Times New Roman"/>
          <w:szCs w:val="24"/>
          <w:lang w:val="bs-Latn-BA"/>
        </w:rPr>
        <w:t xml:space="preserve"> 2023. </w:t>
      </w:r>
      <w:r>
        <w:rPr>
          <w:rFonts w:ascii="Times New Roman" w:eastAsia="Calibri" w:hAnsi="Times New Roman"/>
          <w:szCs w:val="24"/>
          <w:lang w:val="bs-Latn-BA"/>
        </w:rPr>
        <w:t>године</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за</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мање</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заступљен</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пол</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износио</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је</w:t>
      </w:r>
      <w:r w:rsidR="00954B8C" w:rsidRPr="00295637">
        <w:rPr>
          <w:rFonts w:ascii="Times New Roman" w:eastAsia="Calibri" w:hAnsi="Times New Roman"/>
          <w:szCs w:val="24"/>
          <w:lang w:val="bs-Latn-BA"/>
        </w:rPr>
        <w:t xml:space="preserve"> 95 </w:t>
      </w:r>
      <w:r>
        <w:rPr>
          <w:rFonts w:ascii="Times New Roman" w:eastAsia="Calibri" w:hAnsi="Times New Roman"/>
          <w:szCs w:val="24"/>
          <w:lang w:val="bs-Latn-BA"/>
        </w:rPr>
        <w:t>хиљада</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КМ</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Подаци</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за</w:t>
      </w:r>
      <w:r w:rsidR="00954B8C" w:rsidRPr="00295637">
        <w:rPr>
          <w:rFonts w:ascii="Times New Roman" w:eastAsia="Calibri" w:hAnsi="Times New Roman"/>
          <w:szCs w:val="24"/>
          <w:lang w:val="bs-Latn-BA"/>
        </w:rPr>
        <w:t xml:space="preserve"> 2024. </w:t>
      </w:r>
      <w:r>
        <w:rPr>
          <w:rFonts w:ascii="Times New Roman" w:eastAsia="Calibri" w:hAnsi="Times New Roman"/>
          <w:szCs w:val="24"/>
          <w:lang w:val="bs-Latn-BA"/>
        </w:rPr>
        <w:t>годину</w:t>
      </w:r>
      <w:r w:rsidR="00954B8C" w:rsidRPr="00295637">
        <w:rPr>
          <w:rFonts w:ascii="Times New Roman" w:eastAsia="Calibri" w:hAnsi="Times New Roman"/>
          <w:szCs w:val="24"/>
          <w:lang w:val="bs-Latn-BA"/>
        </w:rPr>
        <w:t xml:space="preserve"> </w:t>
      </w:r>
      <w:r w:rsidR="00E3060A">
        <w:rPr>
          <w:rFonts w:ascii="Times New Roman" w:eastAsia="Calibri" w:hAnsi="Times New Roman"/>
          <w:szCs w:val="24"/>
          <w:lang w:val="bs-Latn-BA"/>
        </w:rPr>
        <w:t>би</w:t>
      </w:r>
      <w:r>
        <w:rPr>
          <w:rFonts w:ascii="Times New Roman" w:eastAsia="Calibri" w:hAnsi="Times New Roman"/>
          <w:szCs w:val="24"/>
          <w:lang w:val="bs-Latn-BA"/>
        </w:rPr>
        <w:t>ће</w:t>
      </w:r>
      <w:r w:rsidR="00D01564" w:rsidRPr="00295637">
        <w:rPr>
          <w:rFonts w:ascii="Times New Roman" w:eastAsia="Calibri" w:hAnsi="Times New Roman"/>
          <w:szCs w:val="24"/>
          <w:lang w:val="bs-Latn-BA"/>
        </w:rPr>
        <w:t xml:space="preserve"> </w:t>
      </w:r>
      <w:r>
        <w:rPr>
          <w:rFonts w:ascii="Times New Roman" w:eastAsia="Calibri" w:hAnsi="Times New Roman"/>
          <w:szCs w:val="24"/>
          <w:lang w:val="bs-Latn-BA"/>
        </w:rPr>
        <w:t>доступни</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954B8C" w:rsidRPr="00295637">
        <w:rPr>
          <w:rFonts w:ascii="Times New Roman" w:eastAsia="Calibri" w:hAnsi="Times New Roman"/>
          <w:szCs w:val="24"/>
          <w:lang w:val="bs-Latn-BA"/>
        </w:rPr>
        <w:t xml:space="preserve"> </w:t>
      </w:r>
      <w:r>
        <w:rPr>
          <w:rFonts w:ascii="Times New Roman" w:eastAsia="Calibri" w:hAnsi="Times New Roman"/>
          <w:szCs w:val="24"/>
          <w:lang w:val="bs-Latn-BA"/>
        </w:rPr>
        <w:t>априлу</w:t>
      </w:r>
      <w:r w:rsidR="00954B8C" w:rsidRPr="00295637">
        <w:rPr>
          <w:rFonts w:ascii="Times New Roman" w:eastAsia="Calibri" w:hAnsi="Times New Roman"/>
          <w:szCs w:val="24"/>
          <w:lang w:val="bs-Latn-BA"/>
        </w:rPr>
        <w:t xml:space="preserve"> 2025. </w:t>
      </w:r>
      <w:r>
        <w:rPr>
          <w:rFonts w:ascii="Times New Roman" w:eastAsia="Calibri" w:hAnsi="Times New Roman"/>
          <w:szCs w:val="24"/>
          <w:lang w:val="bs-Latn-BA"/>
        </w:rPr>
        <w:t>године</w:t>
      </w:r>
      <w:r w:rsidR="00954B8C" w:rsidRPr="00295637">
        <w:rPr>
          <w:rFonts w:ascii="Times New Roman" w:eastAsia="Calibri" w:hAnsi="Times New Roman"/>
          <w:szCs w:val="24"/>
          <w:lang w:val="bs-Latn-BA"/>
        </w:rPr>
        <w:t xml:space="preserve">. </w:t>
      </w:r>
    </w:p>
    <w:p w:rsidR="00A34215" w:rsidRPr="00295637" w:rsidRDefault="00A34215" w:rsidP="0086268D">
      <w:pPr>
        <w:pStyle w:val="Default"/>
        <w:rPr>
          <w:sz w:val="23"/>
          <w:szCs w:val="23"/>
        </w:rPr>
      </w:pPr>
    </w:p>
    <w:p w:rsidR="00435BCA" w:rsidRPr="00D01564" w:rsidRDefault="00C6214E" w:rsidP="0086268D">
      <w:pPr>
        <w:pStyle w:val="HTMLPreformatted"/>
        <w:jc w:val="both"/>
        <w:rPr>
          <w:rStyle w:val="y2iqfc"/>
          <w:rFonts w:ascii="inherit" w:hAnsi="inherit"/>
          <w:sz w:val="24"/>
          <w:szCs w:val="24"/>
        </w:rPr>
      </w:pPr>
      <w:r>
        <w:rPr>
          <w:rStyle w:val="y2iqfc"/>
          <w:rFonts w:ascii="inherit" w:hAnsi="inherit"/>
          <w:sz w:val="24"/>
          <w:szCs w:val="24"/>
        </w:rPr>
        <w:t>Уочи</w:t>
      </w:r>
      <w:r w:rsidR="004854EF" w:rsidRPr="00D01564">
        <w:rPr>
          <w:rStyle w:val="y2iqfc"/>
          <w:rFonts w:ascii="inherit" w:hAnsi="inherit"/>
          <w:sz w:val="24"/>
          <w:szCs w:val="24"/>
        </w:rPr>
        <w:t xml:space="preserve"> </w:t>
      </w:r>
      <w:r>
        <w:rPr>
          <w:rStyle w:val="y2iqfc"/>
          <w:rFonts w:ascii="inherit" w:hAnsi="inherit"/>
          <w:sz w:val="24"/>
          <w:szCs w:val="24"/>
        </w:rPr>
        <w:t>Локалних</w:t>
      </w:r>
      <w:r w:rsidR="00435BCA" w:rsidRPr="00D01564">
        <w:rPr>
          <w:rStyle w:val="y2iqfc"/>
          <w:rFonts w:ascii="inherit" w:hAnsi="inherit"/>
          <w:sz w:val="24"/>
          <w:szCs w:val="24"/>
        </w:rPr>
        <w:t xml:space="preserve"> </w:t>
      </w:r>
      <w:r>
        <w:rPr>
          <w:rStyle w:val="y2iqfc"/>
          <w:rFonts w:ascii="inherit" w:hAnsi="inherit"/>
          <w:sz w:val="24"/>
          <w:szCs w:val="24"/>
        </w:rPr>
        <w:t>избора</w:t>
      </w:r>
      <w:r w:rsidR="00435BCA" w:rsidRPr="00D01564">
        <w:rPr>
          <w:rStyle w:val="y2iqfc"/>
          <w:rFonts w:ascii="inherit" w:hAnsi="inherit"/>
          <w:sz w:val="24"/>
          <w:szCs w:val="24"/>
        </w:rPr>
        <w:t xml:space="preserve"> 2024. </w:t>
      </w:r>
      <w:r>
        <w:rPr>
          <w:rStyle w:val="y2iqfc"/>
          <w:rFonts w:ascii="inherit" w:hAnsi="inherit"/>
          <w:sz w:val="24"/>
          <w:szCs w:val="24"/>
        </w:rPr>
        <w:t>године</w:t>
      </w:r>
      <w:r w:rsidR="00435BCA" w:rsidRPr="00D01564">
        <w:rPr>
          <w:rStyle w:val="y2iqfc"/>
          <w:rFonts w:ascii="inherit" w:hAnsi="inherit"/>
          <w:sz w:val="24"/>
          <w:szCs w:val="24"/>
        </w:rPr>
        <w:t xml:space="preserve">, 23 </w:t>
      </w:r>
      <w:r>
        <w:rPr>
          <w:rStyle w:val="y2iqfc"/>
          <w:rFonts w:ascii="inherit" w:hAnsi="inherit"/>
          <w:sz w:val="24"/>
          <w:szCs w:val="24"/>
        </w:rPr>
        <w:t>тренера</w:t>
      </w:r>
      <w:r w:rsidR="00435BCA" w:rsidRPr="00D01564">
        <w:rPr>
          <w:rStyle w:val="y2iqfc"/>
          <w:rFonts w:ascii="inherit" w:hAnsi="inherit"/>
          <w:sz w:val="24"/>
          <w:szCs w:val="24"/>
        </w:rPr>
        <w:t xml:space="preserve"> (</w:t>
      </w:r>
      <w:r>
        <w:rPr>
          <w:rStyle w:val="y2iqfc"/>
          <w:rFonts w:ascii="inherit" w:hAnsi="inherit"/>
          <w:sz w:val="24"/>
          <w:szCs w:val="24"/>
        </w:rPr>
        <w:t>од</w:t>
      </w:r>
      <w:r w:rsidR="00435BCA" w:rsidRPr="00D01564">
        <w:rPr>
          <w:rStyle w:val="y2iqfc"/>
          <w:rFonts w:ascii="inherit" w:hAnsi="inherit"/>
          <w:sz w:val="24"/>
          <w:szCs w:val="24"/>
        </w:rPr>
        <w:t xml:space="preserve"> </w:t>
      </w:r>
      <w:r>
        <w:rPr>
          <w:rStyle w:val="y2iqfc"/>
          <w:rFonts w:ascii="inherit" w:hAnsi="inherit"/>
          <w:sz w:val="24"/>
          <w:szCs w:val="24"/>
        </w:rPr>
        <w:t>којих</w:t>
      </w:r>
      <w:r w:rsidR="00435BCA" w:rsidRPr="00D01564">
        <w:rPr>
          <w:rStyle w:val="y2iqfc"/>
          <w:rFonts w:ascii="inherit" w:hAnsi="inherit"/>
          <w:sz w:val="24"/>
          <w:szCs w:val="24"/>
        </w:rPr>
        <w:t xml:space="preserve"> </w:t>
      </w:r>
      <w:r>
        <w:rPr>
          <w:rStyle w:val="y2iqfc"/>
          <w:rFonts w:ascii="inherit" w:hAnsi="inherit"/>
          <w:sz w:val="24"/>
          <w:szCs w:val="24"/>
        </w:rPr>
        <w:t>је</w:t>
      </w:r>
      <w:r w:rsidR="00435BCA" w:rsidRPr="00D01564">
        <w:rPr>
          <w:rStyle w:val="y2iqfc"/>
          <w:rFonts w:ascii="inherit" w:hAnsi="inherit"/>
          <w:sz w:val="24"/>
          <w:szCs w:val="24"/>
        </w:rPr>
        <w:t xml:space="preserve"> 21 </w:t>
      </w:r>
      <w:r>
        <w:rPr>
          <w:rStyle w:val="y2iqfc"/>
          <w:rFonts w:ascii="inherit" w:hAnsi="inherit"/>
          <w:sz w:val="24"/>
          <w:szCs w:val="24"/>
        </w:rPr>
        <w:t>жена</w:t>
      </w:r>
      <w:r w:rsidR="00435BCA" w:rsidRPr="00D01564">
        <w:rPr>
          <w:rStyle w:val="y2iqfc"/>
          <w:rFonts w:ascii="inherit" w:hAnsi="inherit"/>
          <w:sz w:val="24"/>
          <w:szCs w:val="24"/>
        </w:rPr>
        <w:t xml:space="preserve">) </w:t>
      </w:r>
      <w:r>
        <w:rPr>
          <w:rStyle w:val="y2iqfc"/>
          <w:rFonts w:ascii="inherit" w:hAnsi="inherit"/>
          <w:sz w:val="24"/>
          <w:szCs w:val="24"/>
        </w:rPr>
        <w:t>цертифи</w:t>
      </w:r>
      <w:r w:rsidR="00E3060A">
        <w:rPr>
          <w:rStyle w:val="y2iqfc"/>
          <w:rFonts w:ascii="inherit" w:hAnsi="inherit"/>
          <w:sz w:val="24"/>
          <w:szCs w:val="24"/>
          <w:lang w:val="sr-Cyrl-BA"/>
        </w:rPr>
        <w:t>ковано</w:t>
      </w:r>
      <w:r w:rsidR="00435BCA" w:rsidRPr="00D01564">
        <w:rPr>
          <w:rStyle w:val="y2iqfc"/>
          <w:rFonts w:ascii="inherit" w:hAnsi="inherit"/>
          <w:sz w:val="24"/>
          <w:szCs w:val="24"/>
        </w:rPr>
        <w:t xml:space="preserve"> </w:t>
      </w:r>
      <w:r>
        <w:rPr>
          <w:rStyle w:val="y2iqfc"/>
          <w:rFonts w:ascii="inherit" w:hAnsi="inherit"/>
          <w:sz w:val="24"/>
          <w:szCs w:val="24"/>
        </w:rPr>
        <w:t>је</w:t>
      </w:r>
      <w:r w:rsidR="00435BCA" w:rsidRPr="00D01564">
        <w:rPr>
          <w:rStyle w:val="y2iqfc"/>
          <w:rFonts w:ascii="inherit" w:hAnsi="inherit"/>
          <w:sz w:val="24"/>
          <w:szCs w:val="24"/>
        </w:rPr>
        <w:t xml:space="preserve"> </w:t>
      </w:r>
      <w:r>
        <w:rPr>
          <w:rStyle w:val="y2iqfc"/>
          <w:rFonts w:ascii="inherit" w:hAnsi="inherit"/>
          <w:sz w:val="24"/>
          <w:szCs w:val="24"/>
        </w:rPr>
        <w:t>за</w:t>
      </w:r>
      <w:r w:rsidR="00435BCA" w:rsidRPr="00D01564">
        <w:rPr>
          <w:rStyle w:val="y2iqfc"/>
          <w:rFonts w:ascii="inherit" w:hAnsi="inherit"/>
          <w:sz w:val="24"/>
          <w:szCs w:val="24"/>
        </w:rPr>
        <w:t xml:space="preserve"> </w:t>
      </w:r>
      <w:r w:rsidR="00E3060A">
        <w:rPr>
          <w:rStyle w:val="y2iqfc"/>
          <w:rFonts w:ascii="inherit" w:hAnsi="inherit"/>
          <w:sz w:val="24"/>
          <w:szCs w:val="24"/>
          <w:lang w:val="sr-Cyrl-BA"/>
        </w:rPr>
        <w:t>спровођење</w:t>
      </w:r>
      <w:r w:rsidR="00435BCA" w:rsidRPr="00D01564">
        <w:rPr>
          <w:rStyle w:val="y2iqfc"/>
          <w:rFonts w:ascii="inherit" w:hAnsi="inherit"/>
          <w:sz w:val="24"/>
          <w:szCs w:val="24"/>
        </w:rPr>
        <w:t xml:space="preserve"> </w:t>
      </w:r>
      <w:r>
        <w:rPr>
          <w:rStyle w:val="y2iqfc"/>
          <w:rFonts w:ascii="inherit" w:hAnsi="inherit"/>
          <w:sz w:val="24"/>
          <w:szCs w:val="24"/>
        </w:rPr>
        <w:t>програма</w:t>
      </w:r>
      <w:r w:rsidR="00435BCA" w:rsidRPr="00D01564">
        <w:rPr>
          <w:rStyle w:val="y2iqfc"/>
          <w:rFonts w:ascii="inherit" w:hAnsi="inherit"/>
          <w:sz w:val="24"/>
          <w:szCs w:val="24"/>
        </w:rPr>
        <w:t xml:space="preserve"> </w:t>
      </w:r>
      <w:r w:rsidR="00E3060A" w:rsidRPr="00E3060A">
        <w:rPr>
          <w:rFonts w:ascii="inherit" w:hAnsi="inherit"/>
          <w:i/>
          <w:sz w:val="24"/>
          <w:szCs w:val="24"/>
          <w:lang w:val="hr-BA"/>
        </w:rPr>
        <w:t xml:space="preserve">UN Women </w:t>
      </w:r>
      <w:r w:rsidR="00435BCA" w:rsidRPr="00D01564">
        <w:rPr>
          <w:rStyle w:val="y2iqfc"/>
          <w:rFonts w:ascii="inherit" w:hAnsi="inherit"/>
          <w:sz w:val="24"/>
          <w:szCs w:val="24"/>
        </w:rPr>
        <w:t>„</w:t>
      </w:r>
      <w:r>
        <w:rPr>
          <w:rStyle w:val="y2iqfc"/>
          <w:rFonts w:ascii="inherit" w:hAnsi="inherit"/>
          <w:sz w:val="24"/>
          <w:szCs w:val="24"/>
        </w:rPr>
        <w:t>Политичко</w:t>
      </w:r>
      <w:r w:rsidR="00435BCA" w:rsidRPr="00D01564">
        <w:rPr>
          <w:rStyle w:val="y2iqfc"/>
          <w:rFonts w:ascii="inherit" w:hAnsi="inherit"/>
          <w:sz w:val="24"/>
          <w:szCs w:val="24"/>
        </w:rPr>
        <w:t xml:space="preserve"> </w:t>
      </w:r>
      <w:r>
        <w:rPr>
          <w:rStyle w:val="y2iqfc"/>
          <w:rFonts w:ascii="inherit" w:hAnsi="inherit"/>
          <w:sz w:val="24"/>
          <w:szCs w:val="24"/>
        </w:rPr>
        <w:t>лидерство</w:t>
      </w:r>
      <w:r w:rsidR="00435BCA" w:rsidRPr="00D01564">
        <w:rPr>
          <w:rStyle w:val="y2iqfc"/>
          <w:rFonts w:ascii="inherit" w:hAnsi="inherit"/>
          <w:sz w:val="24"/>
          <w:szCs w:val="24"/>
        </w:rPr>
        <w:t xml:space="preserve"> </w:t>
      </w:r>
      <w:r>
        <w:rPr>
          <w:rStyle w:val="y2iqfc"/>
          <w:rFonts w:ascii="inherit" w:hAnsi="inherit"/>
          <w:sz w:val="24"/>
          <w:szCs w:val="24"/>
        </w:rPr>
        <w:t>и</w:t>
      </w:r>
      <w:r w:rsidR="00435BCA" w:rsidRPr="00D01564">
        <w:rPr>
          <w:rStyle w:val="y2iqfc"/>
          <w:rFonts w:ascii="inherit" w:hAnsi="inherit"/>
          <w:sz w:val="24"/>
          <w:szCs w:val="24"/>
        </w:rPr>
        <w:t xml:space="preserve"> </w:t>
      </w:r>
      <w:r>
        <w:rPr>
          <w:rStyle w:val="y2iqfc"/>
          <w:rFonts w:ascii="inherit" w:hAnsi="inherit"/>
          <w:sz w:val="24"/>
          <w:szCs w:val="24"/>
        </w:rPr>
        <w:t>обука</w:t>
      </w:r>
      <w:r w:rsidR="00435BCA" w:rsidRPr="00D01564">
        <w:rPr>
          <w:rStyle w:val="y2iqfc"/>
          <w:rFonts w:ascii="inherit" w:hAnsi="inherit"/>
          <w:sz w:val="24"/>
          <w:szCs w:val="24"/>
        </w:rPr>
        <w:t xml:space="preserve"> </w:t>
      </w:r>
      <w:r>
        <w:rPr>
          <w:rStyle w:val="y2iqfc"/>
          <w:rFonts w:ascii="inherit" w:hAnsi="inherit"/>
          <w:sz w:val="24"/>
          <w:szCs w:val="24"/>
        </w:rPr>
        <w:t>кандидаткиња</w:t>
      </w:r>
      <w:r w:rsidR="00435BCA" w:rsidRPr="00D01564">
        <w:rPr>
          <w:rStyle w:val="y2iqfc"/>
          <w:rFonts w:ascii="inherit" w:hAnsi="inherit"/>
          <w:sz w:val="24"/>
          <w:szCs w:val="24"/>
        </w:rPr>
        <w:t xml:space="preserve">“ </w:t>
      </w:r>
      <w:r w:rsidR="00E3060A">
        <w:rPr>
          <w:rStyle w:val="y2iqfc"/>
          <w:rFonts w:ascii="inherit" w:hAnsi="inherit"/>
          <w:sz w:val="24"/>
          <w:szCs w:val="24"/>
          <w:lang w:val="sr-Cyrl-BA"/>
        </w:rPr>
        <w:t>с</w:t>
      </w:r>
      <w:r w:rsidR="00435BCA" w:rsidRPr="00D01564">
        <w:rPr>
          <w:rStyle w:val="y2iqfc"/>
          <w:rFonts w:ascii="inherit" w:hAnsi="inherit"/>
          <w:sz w:val="24"/>
          <w:szCs w:val="24"/>
        </w:rPr>
        <w:t xml:space="preserve"> </w:t>
      </w:r>
      <w:r>
        <w:rPr>
          <w:rStyle w:val="y2iqfc"/>
          <w:rFonts w:ascii="inherit" w:hAnsi="inherit"/>
          <w:sz w:val="24"/>
          <w:szCs w:val="24"/>
        </w:rPr>
        <w:t>циљ</w:t>
      </w:r>
      <w:r w:rsidR="00E3060A">
        <w:rPr>
          <w:rStyle w:val="y2iqfc"/>
          <w:rFonts w:ascii="inherit" w:hAnsi="inherit"/>
          <w:sz w:val="24"/>
          <w:szCs w:val="24"/>
          <w:lang w:val="sr-Cyrl-BA"/>
        </w:rPr>
        <w:t>ем</w:t>
      </w:r>
      <w:r w:rsidR="00435BCA" w:rsidRPr="00D01564">
        <w:rPr>
          <w:rStyle w:val="y2iqfc"/>
          <w:rFonts w:ascii="inherit" w:hAnsi="inherit"/>
          <w:sz w:val="24"/>
          <w:szCs w:val="24"/>
        </w:rPr>
        <w:t xml:space="preserve"> </w:t>
      </w:r>
      <w:r>
        <w:rPr>
          <w:rStyle w:val="y2iqfc"/>
          <w:rFonts w:ascii="inherit" w:hAnsi="inherit"/>
          <w:sz w:val="24"/>
          <w:szCs w:val="24"/>
        </w:rPr>
        <w:t>јачања</w:t>
      </w:r>
      <w:r w:rsidR="00435BCA" w:rsidRPr="00D01564">
        <w:rPr>
          <w:rStyle w:val="y2iqfc"/>
          <w:rFonts w:ascii="inherit" w:hAnsi="inherit"/>
          <w:sz w:val="24"/>
          <w:szCs w:val="24"/>
        </w:rPr>
        <w:t xml:space="preserve"> </w:t>
      </w:r>
      <w:r>
        <w:rPr>
          <w:rStyle w:val="y2iqfc"/>
          <w:rFonts w:ascii="inherit" w:hAnsi="inherit"/>
          <w:sz w:val="24"/>
          <w:szCs w:val="24"/>
        </w:rPr>
        <w:t>капацитета</w:t>
      </w:r>
      <w:r w:rsidR="00435BCA" w:rsidRPr="00D01564">
        <w:rPr>
          <w:rStyle w:val="y2iqfc"/>
          <w:rFonts w:ascii="inherit" w:hAnsi="inherit"/>
          <w:sz w:val="24"/>
          <w:szCs w:val="24"/>
        </w:rPr>
        <w:t xml:space="preserve"> </w:t>
      </w:r>
      <w:r>
        <w:rPr>
          <w:rStyle w:val="y2iqfc"/>
          <w:rFonts w:ascii="inherit" w:hAnsi="inherit"/>
          <w:sz w:val="24"/>
          <w:szCs w:val="24"/>
        </w:rPr>
        <w:t>жена</w:t>
      </w:r>
      <w:r w:rsidR="00435BCA" w:rsidRPr="00D01564">
        <w:rPr>
          <w:rStyle w:val="y2iqfc"/>
          <w:rFonts w:ascii="inherit" w:hAnsi="inherit"/>
          <w:sz w:val="24"/>
          <w:szCs w:val="24"/>
        </w:rPr>
        <w:t xml:space="preserve"> </w:t>
      </w:r>
      <w:r>
        <w:rPr>
          <w:rStyle w:val="y2iqfc"/>
          <w:rFonts w:ascii="inherit" w:hAnsi="inherit"/>
          <w:sz w:val="24"/>
          <w:szCs w:val="24"/>
        </w:rPr>
        <w:t>на</w:t>
      </w:r>
      <w:r w:rsidR="00435BCA" w:rsidRPr="00D01564">
        <w:rPr>
          <w:rStyle w:val="y2iqfc"/>
          <w:rFonts w:ascii="inherit" w:hAnsi="inherit"/>
          <w:sz w:val="24"/>
          <w:szCs w:val="24"/>
        </w:rPr>
        <w:t xml:space="preserve"> </w:t>
      </w:r>
      <w:r>
        <w:rPr>
          <w:rStyle w:val="y2iqfc"/>
          <w:rFonts w:ascii="inherit" w:hAnsi="inherit"/>
          <w:sz w:val="24"/>
          <w:szCs w:val="24"/>
        </w:rPr>
        <w:t>изабраним</w:t>
      </w:r>
      <w:r w:rsidR="00435BCA" w:rsidRPr="00D01564">
        <w:rPr>
          <w:rStyle w:val="y2iqfc"/>
          <w:rFonts w:ascii="inherit" w:hAnsi="inherit"/>
          <w:sz w:val="24"/>
          <w:szCs w:val="24"/>
        </w:rPr>
        <w:t xml:space="preserve"> </w:t>
      </w:r>
      <w:r>
        <w:rPr>
          <w:rStyle w:val="y2iqfc"/>
          <w:rFonts w:ascii="inherit" w:hAnsi="inherit"/>
          <w:sz w:val="24"/>
          <w:szCs w:val="24"/>
        </w:rPr>
        <w:t>функцијама</w:t>
      </w:r>
      <w:r w:rsidR="00435BCA" w:rsidRPr="00D01564">
        <w:rPr>
          <w:rStyle w:val="y2iqfc"/>
          <w:rFonts w:ascii="inherit" w:hAnsi="inherit"/>
          <w:sz w:val="24"/>
          <w:szCs w:val="24"/>
        </w:rPr>
        <w:t xml:space="preserve">, </w:t>
      </w:r>
      <w:r>
        <w:rPr>
          <w:rStyle w:val="y2iqfc"/>
          <w:rFonts w:ascii="inherit" w:hAnsi="inherit"/>
          <w:sz w:val="24"/>
          <w:szCs w:val="24"/>
        </w:rPr>
        <w:t>парламентараца</w:t>
      </w:r>
      <w:r w:rsidR="00435BCA" w:rsidRPr="00D01564">
        <w:rPr>
          <w:rStyle w:val="y2iqfc"/>
          <w:rFonts w:ascii="inherit" w:hAnsi="inherit"/>
          <w:sz w:val="24"/>
          <w:szCs w:val="24"/>
        </w:rPr>
        <w:t xml:space="preserve"> </w:t>
      </w:r>
      <w:r>
        <w:rPr>
          <w:rStyle w:val="y2iqfc"/>
          <w:rFonts w:ascii="inherit" w:hAnsi="inherit"/>
          <w:sz w:val="24"/>
          <w:szCs w:val="24"/>
        </w:rPr>
        <w:t>и</w:t>
      </w:r>
      <w:r w:rsidR="00435BCA" w:rsidRPr="00D01564">
        <w:rPr>
          <w:rStyle w:val="y2iqfc"/>
          <w:rFonts w:ascii="inherit" w:hAnsi="inherit"/>
          <w:sz w:val="24"/>
          <w:szCs w:val="24"/>
        </w:rPr>
        <w:t xml:space="preserve"> </w:t>
      </w:r>
      <w:r>
        <w:rPr>
          <w:rStyle w:val="y2iqfc"/>
          <w:rFonts w:ascii="inherit" w:hAnsi="inherit"/>
          <w:sz w:val="24"/>
          <w:szCs w:val="24"/>
        </w:rPr>
        <w:t>кандидаткиња</w:t>
      </w:r>
      <w:r w:rsidR="00435BCA" w:rsidRPr="00D01564">
        <w:rPr>
          <w:rStyle w:val="y2iqfc"/>
          <w:rFonts w:ascii="inherit" w:hAnsi="inherit"/>
          <w:sz w:val="24"/>
          <w:szCs w:val="24"/>
        </w:rPr>
        <w:t xml:space="preserve"> </w:t>
      </w:r>
      <w:r>
        <w:rPr>
          <w:rStyle w:val="y2iqfc"/>
          <w:rFonts w:ascii="inherit" w:hAnsi="inherit"/>
          <w:sz w:val="24"/>
          <w:szCs w:val="24"/>
        </w:rPr>
        <w:t>за</w:t>
      </w:r>
      <w:r w:rsidR="00435BCA" w:rsidRPr="00D01564">
        <w:rPr>
          <w:rStyle w:val="y2iqfc"/>
          <w:rFonts w:ascii="inherit" w:hAnsi="inherit"/>
          <w:sz w:val="24"/>
          <w:szCs w:val="24"/>
        </w:rPr>
        <w:t xml:space="preserve"> </w:t>
      </w:r>
      <w:r>
        <w:rPr>
          <w:rStyle w:val="y2iqfc"/>
          <w:rFonts w:ascii="inherit" w:hAnsi="inherit"/>
          <w:sz w:val="24"/>
          <w:szCs w:val="24"/>
        </w:rPr>
        <w:t>ефикасно</w:t>
      </w:r>
      <w:r w:rsidR="00435BCA" w:rsidRPr="00D01564">
        <w:rPr>
          <w:rStyle w:val="y2iqfc"/>
          <w:rFonts w:ascii="inherit" w:hAnsi="inherit"/>
          <w:sz w:val="24"/>
          <w:szCs w:val="24"/>
        </w:rPr>
        <w:t xml:space="preserve"> </w:t>
      </w:r>
      <w:r>
        <w:rPr>
          <w:rStyle w:val="y2iqfc"/>
          <w:rFonts w:ascii="inherit" w:hAnsi="inherit"/>
          <w:sz w:val="24"/>
          <w:szCs w:val="24"/>
        </w:rPr>
        <w:t>учешће</w:t>
      </w:r>
      <w:r w:rsidR="00435BCA" w:rsidRPr="00D01564">
        <w:rPr>
          <w:rStyle w:val="y2iqfc"/>
          <w:rFonts w:ascii="inherit" w:hAnsi="inherit"/>
          <w:sz w:val="24"/>
          <w:szCs w:val="24"/>
        </w:rPr>
        <w:t xml:space="preserve"> </w:t>
      </w:r>
      <w:r>
        <w:rPr>
          <w:rStyle w:val="y2iqfc"/>
          <w:rFonts w:ascii="inherit" w:hAnsi="inherit"/>
          <w:sz w:val="24"/>
          <w:szCs w:val="24"/>
        </w:rPr>
        <w:t>у</w:t>
      </w:r>
      <w:r w:rsidR="00435BCA" w:rsidRPr="00D01564">
        <w:rPr>
          <w:rStyle w:val="y2iqfc"/>
          <w:rFonts w:ascii="inherit" w:hAnsi="inherit"/>
          <w:sz w:val="24"/>
          <w:szCs w:val="24"/>
        </w:rPr>
        <w:t xml:space="preserve"> </w:t>
      </w:r>
      <w:r>
        <w:rPr>
          <w:rStyle w:val="y2iqfc"/>
          <w:rFonts w:ascii="inherit" w:hAnsi="inherit"/>
          <w:sz w:val="24"/>
          <w:szCs w:val="24"/>
        </w:rPr>
        <w:t>такмичењима</w:t>
      </w:r>
      <w:r w:rsidR="00435BCA" w:rsidRPr="00D01564">
        <w:rPr>
          <w:rStyle w:val="y2iqfc"/>
          <w:rFonts w:ascii="inherit" w:hAnsi="inherit"/>
          <w:sz w:val="24"/>
          <w:szCs w:val="24"/>
        </w:rPr>
        <w:t xml:space="preserve"> </w:t>
      </w:r>
      <w:r>
        <w:rPr>
          <w:rStyle w:val="y2iqfc"/>
          <w:rFonts w:ascii="inherit" w:hAnsi="inherit"/>
          <w:sz w:val="24"/>
          <w:szCs w:val="24"/>
        </w:rPr>
        <w:t>за</w:t>
      </w:r>
      <w:r w:rsidR="00435BCA" w:rsidRPr="00D01564">
        <w:rPr>
          <w:rStyle w:val="y2iqfc"/>
          <w:rFonts w:ascii="inherit" w:hAnsi="inherit"/>
          <w:sz w:val="24"/>
          <w:szCs w:val="24"/>
        </w:rPr>
        <w:t xml:space="preserve"> </w:t>
      </w:r>
      <w:r>
        <w:rPr>
          <w:rStyle w:val="y2iqfc"/>
          <w:rFonts w:ascii="inherit" w:hAnsi="inherit"/>
          <w:sz w:val="24"/>
          <w:szCs w:val="24"/>
        </w:rPr>
        <w:t>лидерство</w:t>
      </w:r>
      <w:r w:rsidR="00435BCA" w:rsidRPr="00D01564">
        <w:rPr>
          <w:rStyle w:val="y2iqfc"/>
          <w:rFonts w:ascii="inherit" w:hAnsi="inherit"/>
          <w:sz w:val="24"/>
          <w:szCs w:val="24"/>
        </w:rPr>
        <w:t xml:space="preserve">. </w:t>
      </w:r>
      <w:r>
        <w:rPr>
          <w:rStyle w:val="y2iqfc"/>
          <w:rFonts w:ascii="inherit" w:hAnsi="inherit"/>
          <w:sz w:val="24"/>
          <w:szCs w:val="24"/>
        </w:rPr>
        <w:t>Ове</w:t>
      </w:r>
      <w:r w:rsidR="00435BCA" w:rsidRPr="00D01564">
        <w:rPr>
          <w:rStyle w:val="y2iqfc"/>
          <w:rFonts w:ascii="inherit" w:hAnsi="inherit"/>
          <w:sz w:val="24"/>
          <w:szCs w:val="24"/>
        </w:rPr>
        <w:t xml:space="preserve"> </w:t>
      </w:r>
      <w:r>
        <w:rPr>
          <w:rStyle w:val="y2iqfc"/>
          <w:rFonts w:ascii="inherit" w:hAnsi="inherit"/>
          <w:sz w:val="24"/>
          <w:szCs w:val="24"/>
        </w:rPr>
        <w:t>тренерице</w:t>
      </w:r>
      <w:r w:rsidR="00435BCA" w:rsidRPr="00D01564">
        <w:rPr>
          <w:rStyle w:val="y2iqfc"/>
          <w:rFonts w:ascii="inherit" w:hAnsi="inherit"/>
          <w:sz w:val="24"/>
          <w:szCs w:val="24"/>
        </w:rPr>
        <w:t xml:space="preserve"> </w:t>
      </w:r>
      <w:r>
        <w:rPr>
          <w:rStyle w:val="y2iqfc"/>
          <w:rFonts w:ascii="inherit" w:hAnsi="inherit"/>
          <w:sz w:val="24"/>
          <w:szCs w:val="24"/>
        </w:rPr>
        <w:t>су</w:t>
      </w:r>
      <w:r w:rsidR="00435BCA" w:rsidRPr="00D01564">
        <w:rPr>
          <w:rStyle w:val="y2iqfc"/>
          <w:rFonts w:ascii="inherit" w:hAnsi="inherit"/>
          <w:sz w:val="24"/>
          <w:szCs w:val="24"/>
        </w:rPr>
        <w:t xml:space="preserve"> </w:t>
      </w:r>
      <w:r>
        <w:rPr>
          <w:rStyle w:val="y2iqfc"/>
          <w:rFonts w:ascii="inherit" w:hAnsi="inherit"/>
          <w:sz w:val="24"/>
          <w:szCs w:val="24"/>
        </w:rPr>
        <w:t>обучиле</w:t>
      </w:r>
      <w:r w:rsidR="00435BCA" w:rsidRPr="00D01564">
        <w:rPr>
          <w:rStyle w:val="y2iqfc"/>
          <w:rFonts w:ascii="inherit" w:hAnsi="inherit"/>
          <w:sz w:val="24"/>
          <w:szCs w:val="24"/>
        </w:rPr>
        <w:t xml:space="preserve"> 1</w:t>
      </w:r>
      <w:r w:rsidR="00D01564">
        <w:rPr>
          <w:rStyle w:val="y2iqfc"/>
          <w:rFonts w:ascii="inherit" w:hAnsi="inherit"/>
          <w:sz w:val="24"/>
          <w:szCs w:val="24"/>
        </w:rPr>
        <w:t xml:space="preserve">71 </w:t>
      </w:r>
      <w:r>
        <w:rPr>
          <w:rStyle w:val="y2iqfc"/>
          <w:rFonts w:ascii="inherit" w:hAnsi="inherit"/>
          <w:sz w:val="24"/>
          <w:szCs w:val="24"/>
        </w:rPr>
        <w:t>кандидаткињу</w:t>
      </w:r>
      <w:r w:rsidR="00435BCA" w:rsidRPr="00D01564">
        <w:rPr>
          <w:rStyle w:val="y2iqfc"/>
          <w:rFonts w:ascii="inherit" w:hAnsi="inherit"/>
          <w:sz w:val="24"/>
          <w:szCs w:val="24"/>
        </w:rPr>
        <w:t xml:space="preserve">, </w:t>
      </w:r>
      <w:r>
        <w:rPr>
          <w:rStyle w:val="y2iqfc"/>
          <w:rFonts w:ascii="inherit" w:hAnsi="inherit"/>
          <w:sz w:val="24"/>
          <w:szCs w:val="24"/>
        </w:rPr>
        <w:t>које</w:t>
      </w:r>
      <w:r w:rsidR="00435BCA" w:rsidRPr="00D01564">
        <w:rPr>
          <w:rStyle w:val="y2iqfc"/>
          <w:rFonts w:ascii="inherit" w:hAnsi="inherit"/>
          <w:sz w:val="24"/>
          <w:szCs w:val="24"/>
        </w:rPr>
        <w:t xml:space="preserve"> </w:t>
      </w:r>
      <w:r>
        <w:rPr>
          <w:rStyle w:val="y2iqfc"/>
          <w:rFonts w:ascii="inherit" w:hAnsi="inherit"/>
          <w:sz w:val="24"/>
          <w:szCs w:val="24"/>
        </w:rPr>
        <w:t>су</w:t>
      </w:r>
      <w:r w:rsidR="00435BCA" w:rsidRPr="00D01564">
        <w:rPr>
          <w:rStyle w:val="y2iqfc"/>
          <w:rFonts w:ascii="inherit" w:hAnsi="inherit"/>
          <w:sz w:val="24"/>
          <w:szCs w:val="24"/>
        </w:rPr>
        <w:t xml:space="preserve"> </w:t>
      </w:r>
      <w:r>
        <w:rPr>
          <w:rStyle w:val="y2iqfc"/>
          <w:rFonts w:ascii="inherit" w:hAnsi="inherit"/>
          <w:sz w:val="24"/>
          <w:szCs w:val="24"/>
        </w:rPr>
        <w:t>оснажене</w:t>
      </w:r>
      <w:r w:rsidR="00435BCA" w:rsidRPr="00D01564">
        <w:rPr>
          <w:rStyle w:val="y2iqfc"/>
          <w:rFonts w:ascii="inherit" w:hAnsi="inherit"/>
          <w:sz w:val="24"/>
          <w:szCs w:val="24"/>
        </w:rPr>
        <w:t xml:space="preserve"> </w:t>
      </w:r>
      <w:r>
        <w:rPr>
          <w:rStyle w:val="y2iqfc"/>
          <w:rFonts w:ascii="inherit" w:hAnsi="inherit"/>
          <w:sz w:val="24"/>
          <w:szCs w:val="24"/>
        </w:rPr>
        <w:t>кроз</w:t>
      </w:r>
      <w:r w:rsidR="00435BCA" w:rsidRPr="00D01564">
        <w:rPr>
          <w:rStyle w:val="y2iqfc"/>
          <w:rFonts w:ascii="inherit" w:hAnsi="inherit"/>
          <w:sz w:val="24"/>
          <w:szCs w:val="24"/>
        </w:rPr>
        <w:t xml:space="preserve"> 11 </w:t>
      </w:r>
      <w:r>
        <w:rPr>
          <w:rStyle w:val="y2iqfc"/>
          <w:rFonts w:ascii="inherit" w:hAnsi="inherit"/>
          <w:sz w:val="24"/>
          <w:szCs w:val="24"/>
        </w:rPr>
        <w:t>обука</w:t>
      </w:r>
      <w:r w:rsidR="00435BCA" w:rsidRPr="00D01564">
        <w:rPr>
          <w:rStyle w:val="y2iqfc"/>
          <w:rFonts w:ascii="inherit" w:hAnsi="inherit"/>
          <w:sz w:val="24"/>
          <w:szCs w:val="24"/>
        </w:rPr>
        <w:t>.</w:t>
      </w:r>
    </w:p>
    <w:p w:rsidR="00435BCA" w:rsidRPr="00D01564" w:rsidRDefault="00435BCA" w:rsidP="0086268D">
      <w:pPr>
        <w:pStyle w:val="HTMLPreformatted"/>
        <w:jc w:val="both"/>
        <w:rPr>
          <w:rStyle w:val="y2iqfc"/>
          <w:rFonts w:ascii="inherit" w:hAnsi="inherit"/>
          <w:sz w:val="24"/>
          <w:szCs w:val="24"/>
        </w:rPr>
      </w:pPr>
    </w:p>
    <w:p w:rsidR="00435BCA" w:rsidRPr="00D01564" w:rsidRDefault="00C6214E" w:rsidP="0086268D">
      <w:pPr>
        <w:pStyle w:val="HTMLPreformatted"/>
        <w:jc w:val="both"/>
        <w:rPr>
          <w:rStyle w:val="y2iqfc"/>
          <w:rFonts w:ascii="inherit" w:hAnsi="inherit"/>
          <w:sz w:val="24"/>
          <w:szCs w:val="24"/>
        </w:rPr>
      </w:pPr>
      <w:r>
        <w:rPr>
          <w:rStyle w:val="y2iqfc"/>
          <w:rFonts w:ascii="inherit" w:hAnsi="inherit"/>
          <w:sz w:val="24"/>
          <w:szCs w:val="24"/>
        </w:rPr>
        <w:t>АР</w:t>
      </w:r>
      <w:r w:rsidR="00E3060A">
        <w:rPr>
          <w:rStyle w:val="y2iqfc"/>
          <w:rFonts w:ascii="inherit" w:hAnsi="inherit"/>
          <w:sz w:val="24"/>
          <w:szCs w:val="24"/>
          <w:lang w:val="sr-Cyrl-BA"/>
        </w:rPr>
        <w:t>П</w:t>
      </w:r>
      <w:r w:rsidR="00D01564">
        <w:rPr>
          <w:rStyle w:val="y2iqfc"/>
          <w:rFonts w:ascii="inherit" w:hAnsi="inherit"/>
          <w:sz w:val="24"/>
          <w:szCs w:val="24"/>
        </w:rPr>
        <w:t xml:space="preserve"> </w:t>
      </w:r>
      <w:r>
        <w:rPr>
          <w:rStyle w:val="y2iqfc"/>
          <w:rFonts w:ascii="inherit" w:hAnsi="inherit"/>
          <w:sz w:val="24"/>
          <w:szCs w:val="24"/>
        </w:rPr>
        <w:t>БиХ</w:t>
      </w:r>
      <w:r w:rsidR="00D01564">
        <w:rPr>
          <w:rStyle w:val="y2iqfc"/>
          <w:rFonts w:ascii="inherit" w:hAnsi="inherit"/>
          <w:sz w:val="24"/>
          <w:szCs w:val="24"/>
        </w:rPr>
        <w:t xml:space="preserve"> </w:t>
      </w:r>
      <w:r>
        <w:rPr>
          <w:rStyle w:val="y2iqfc"/>
          <w:rFonts w:ascii="inherit" w:hAnsi="inherit"/>
          <w:sz w:val="24"/>
          <w:szCs w:val="24"/>
        </w:rPr>
        <w:t>МЉПИ</w:t>
      </w:r>
      <w:r w:rsidR="00D01564">
        <w:rPr>
          <w:rStyle w:val="y2iqfc"/>
          <w:rFonts w:ascii="inherit" w:hAnsi="inherit"/>
          <w:sz w:val="24"/>
          <w:szCs w:val="24"/>
        </w:rPr>
        <w:t xml:space="preserve"> </w:t>
      </w:r>
      <w:r>
        <w:rPr>
          <w:rStyle w:val="y2iqfc"/>
          <w:rFonts w:ascii="inherit" w:hAnsi="inherit"/>
          <w:sz w:val="24"/>
          <w:szCs w:val="24"/>
        </w:rPr>
        <w:t>БиХ</w:t>
      </w:r>
      <w:r w:rsidR="00435BCA" w:rsidRPr="00D01564">
        <w:rPr>
          <w:rStyle w:val="y2iqfc"/>
          <w:rFonts w:ascii="inherit" w:hAnsi="inherit"/>
          <w:sz w:val="24"/>
          <w:szCs w:val="24"/>
        </w:rPr>
        <w:t xml:space="preserve"> </w:t>
      </w:r>
      <w:r>
        <w:rPr>
          <w:rStyle w:val="y2iqfc"/>
          <w:rFonts w:ascii="inherit" w:hAnsi="inherit"/>
          <w:sz w:val="24"/>
          <w:szCs w:val="24"/>
        </w:rPr>
        <w:t>и</w:t>
      </w:r>
      <w:r w:rsidR="00435BCA" w:rsidRPr="00D01564">
        <w:rPr>
          <w:rStyle w:val="y2iqfc"/>
          <w:rFonts w:ascii="inherit" w:hAnsi="inherit"/>
          <w:sz w:val="24"/>
          <w:szCs w:val="24"/>
        </w:rPr>
        <w:t xml:space="preserve"> </w:t>
      </w:r>
      <w:r w:rsidR="00E3060A" w:rsidRPr="00E3060A">
        <w:rPr>
          <w:rFonts w:ascii="inherit" w:hAnsi="inherit"/>
          <w:i/>
          <w:iCs/>
          <w:sz w:val="24"/>
          <w:szCs w:val="24"/>
          <w:lang w:val="hr-BA"/>
        </w:rPr>
        <w:t>UN Women</w:t>
      </w:r>
      <w:r w:rsidR="00435BCA" w:rsidRPr="00D01564">
        <w:rPr>
          <w:rStyle w:val="y2iqfc"/>
          <w:rFonts w:ascii="inherit" w:hAnsi="inherit"/>
          <w:sz w:val="24"/>
          <w:szCs w:val="24"/>
        </w:rPr>
        <w:t xml:space="preserve">, </w:t>
      </w:r>
      <w:r>
        <w:rPr>
          <w:rStyle w:val="y2iqfc"/>
          <w:rFonts w:ascii="inherit" w:hAnsi="inherit"/>
          <w:sz w:val="24"/>
          <w:szCs w:val="24"/>
        </w:rPr>
        <w:t>уз</w:t>
      </w:r>
      <w:r w:rsidR="00435BCA" w:rsidRPr="00D01564">
        <w:rPr>
          <w:rStyle w:val="y2iqfc"/>
          <w:rFonts w:ascii="inherit" w:hAnsi="inherit"/>
          <w:sz w:val="24"/>
          <w:szCs w:val="24"/>
        </w:rPr>
        <w:t xml:space="preserve"> </w:t>
      </w:r>
      <w:r>
        <w:rPr>
          <w:rStyle w:val="y2iqfc"/>
          <w:rFonts w:ascii="inherit" w:hAnsi="inherit"/>
          <w:sz w:val="24"/>
          <w:szCs w:val="24"/>
        </w:rPr>
        <w:t>подршку</w:t>
      </w:r>
      <w:r w:rsidR="00435BCA" w:rsidRPr="00D01564">
        <w:rPr>
          <w:rStyle w:val="y2iqfc"/>
          <w:rFonts w:ascii="inherit" w:hAnsi="inherit"/>
          <w:sz w:val="24"/>
          <w:szCs w:val="24"/>
        </w:rPr>
        <w:t xml:space="preserve"> </w:t>
      </w:r>
      <w:r>
        <w:rPr>
          <w:rStyle w:val="y2iqfc"/>
          <w:rFonts w:ascii="inherit" w:hAnsi="inherit"/>
          <w:sz w:val="24"/>
          <w:szCs w:val="24"/>
        </w:rPr>
        <w:t>ЕУ</w:t>
      </w:r>
      <w:r w:rsidR="00435BCA" w:rsidRPr="00D01564">
        <w:rPr>
          <w:rStyle w:val="y2iqfc"/>
          <w:rFonts w:ascii="inherit" w:hAnsi="inherit"/>
          <w:sz w:val="24"/>
          <w:szCs w:val="24"/>
        </w:rPr>
        <w:t xml:space="preserve">, </w:t>
      </w:r>
      <w:r>
        <w:rPr>
          <w:rStyle w:val="y2iqfc"/>
          <w:rFonts w:ascii="inherit" w:hAnsi="inherit"/>
          <w:sz w:val="24"/>
          <w:szCs w:val="24"/>
        </w:rPr>
        <w:t>организ</w:t>
      </w:r>
      <w:r w:rsidR="00E3060A">
        <w:rPr>
          <w:rStyle w:val="y2iqfc"/>
          <w:rFonts w:ascii="inherit" w:hAnsi="inherit"/>
          <w:sz w:val="24"/>
          <w:szCs w:val="24"/>
          <w:lang w:val="sr-Cyrl-BA"/>
        </w:rPr>
        <w:t>овали</w:t>
      </w:r>
      <w:r w:rsidR="00435BCA" w:rsidRPr="00D01564">
        <w:rPr>
          <w:rStyle w:val="y2iqfc"/>
          <w:rFonts w:ascii="inherit" w:hAnsi="inherit"/>
          <w:sz w:val="24"/>
          <w:szCs w:val="24"/>
        </w:rPr>
        <w:t xml:space="preserve"> </w:t>
      </w:r>
      <w:r>
        <w:rPr>
          <w:rStyle w:val="y2iqfc"/>
          <w:rFonts w:ascii="inherit" w:hAnsi="inherit"/>
          <w:sz w:val="24"/>
          <w:szCs w:val="24"/>
        </w:rPr>
        <w:t>су</w:t>
      </w:r>
      <w:r w:rsidR="00435BCA" w:rsidRPr="00D01564">
        <w:rPr>
          <w:rStyle w:val="y2iqfc"/>
          <w:rFonts w:ascii="inherit" w:hAnsi="inherit"/>
          <w:sz w:val="24"/>
          <w:szCs w:val="24"/>
        </w:rPr>
        <w:t xml:space="preserve"> </w:t>
      </w:r>
      <w:r>
        <w:rPr>
          <w:rStyle w:val="y2iqfc"/>
          <w:rFonts w:ascii="inherit" w:hAnsi="inherit"/>
          <w:sz w:val="24"/>
          <w:szCs w:val="24"/>
        </w:rPr>
        <w:t>дводневну</w:t>
      </w:r>
      <w:r w:rsidR="00435BCA" w:rsidRPr="00D01564">
        <w:rPr>
          <w:rStyle w:val="y2iqfc"/>
          <w:rFonts w:ascii="inherit" w:hAnsi="inherit"/>
          <w:sz w:val="24"/>
          <w:szCs w:val="24"/>
        </w:rPr>
        <w:t xml:space="preserve"> „</w:t>
      </w:r>
      <w:r>
        <w:rPr>
          <w:rStyle w:val="y2iqfc"/>
          <w:rFonts w:ascii="inherit" w:hAnsi="inherit"/>
          <w:sz w:val="24"/>
          <w:szCs w:val="24"/>
        </w:rPr>
        <w:t>Конференцију</w:t>
      </w:r>
      <w:r w:rsidR="00435BCA" w:rsidRPr="00D01564">
        <w:rPr>
          <w:rStyle w:val="y2iqfc"/>
          <w:rFonts w:ascii="inherit" w:hAnsi="inherit"/>
          <w:sz w:val="24"/>
          <w:szCs w:val="24"/>
        </w:rPr>
        <w:t xml:space="preserve"> </w:t>
      </w:r>
      <w:r>
        <w:rPr>
          <w:rStyle w:val="y2iqfc"/>
          <w:rFonts w:ascii="inherit" w:hAnsi="inherit"/>
          <w:sz w:val="24"/>
          <w:szCs w:val="24"/>
        </w:rPr>
        <w:t>жена</w:t>
      </w:r>
      <w:r w:rsidR="00CF7DF6">
        <w:rPr>
          <w:rStyle w:val="y2iqfc"/>
          <w:rFonts w:ascii="inherit" w:hAnsi="inherit"/>
          <w:sz w:val="24"/>
          <w:szCs w:val="24"/>
        </w:rPr>
        <w:t>-</w:t>
      </w:r>
      <w:r>
        <w:rPr>
          <w:rStyle w:val="y2iqfc"/>
          <w:rFonts w:ascii="inherit" w:hAnsi="inherit"/>
          <w:sz w:val="24"/>
          <w:szCs w:val="24"/>
        </w:rPr>
        <w:t>лидерки</w:t>
      </w:r>
      <w:r w:rsidR="00435BCA" w:rsidRPr="00D01564">
        <w:rPr>
          <w:rStyle w:val="y2iqfc"/>
          <w:rFonts w:ascii="inherit" w:hAnsi="inherit"/>
          <w:sz w:val="24"/>
          <w:szCs w:val="24"/>
        </w:rPr>
        <w:t xml:space="preserve">“. </w:t>
      </w:r>
      <w:r>
        <w:rPr>
          <w:rStyle w:val="y2iqfc"/>
          <w:rFonts w:ascii="inherit" w:hAnsi="inherit"/>
          <w:sz w:val="24"/>
          <w:szCs w:val="24"/>
        </w:rPr>
        <w:t>Конференција</w:t>
      </w:r>
      <w:r w:rsidR="005E344A" w:rsidRPr="00D01564">
        <w:rPr>
          <w:rStyle w:val="y2iqfc"/>
          <w:rFonts w:ascii="inherit" w:hAnsi="inherit"/>
          <w:sz w:val="24"/>
          <w:szCs w:val="24"/>
        </w:rPr>
        <w:t xml:space="preserve"> </w:t>
      </w:r>
      <w:r>
        <w:rPr>
          <w:rStyle w:val="y2iqfc"/>
          <w:rFonts w:ascii="inherit" w:hAnsi="inherit"/>
          <w:sz w:val="24"/>
          <w:szCs w:val="24"/>
        </w:rPr>
        <w:t>је</w:t>
      </w:r>
      <w:r w:rsidR="005E344A" w:rsidRPr="00D01564">
        <w:rPr>
          <w:rStyle w:val="y2iqfc"/>
          <w:rFonts w:ascii="inherit" w:hAnsi="inherit"/>
          <w:sz w:val="24"/>
          <w:szCs w:val="24"/>
        </w:rPr>
        <w:t xml:space="preserve"> </w:t>
      </w:r>
      <w:r>
        <w:rPr>
          <w:rStyle w:val="y2iqfc"/>
          <w:rFonts w:ascii="inherit" w:hAnsi="inherit"/>
          <w:sz w:val="24"/>
          <w:szCs w:val="24"/>
        </w:rPr>
        <w:t>укључивала</w:t>
      </w:r>
      <w:r w:rsidR="005E344A" w:rsidRPr="00D01564">
        <w:rPr>
          <w:rStyle w:val="y2iqfc"/>
          <w:rFonts w:ascii="inherit" w:hAnsi="inherit"/>
          <w:sz w:val="24"/>
          <w:szCs w:val="24"/>
        </w:rPr>
        <w:t xml:space="preserve"> </w:t>
      </w:r>
      <w:r>
        <w:rPr>
          <w:rStyle w:val="y2iqfc"/>
          <w:rFonts w:ascii="inherit" w:hAnsi="inherit"/>
          <w:sz w:val="24"/>
          <w:szCs w:val="24"/>
        </w:rPr>
        <w:t>панел</w:t>
      </w:r>
      <w:r w:rsidR="00435BCA" w:rsidRPr="00D01564">
        <w:rPr>
          <w:rStyle w:val="y2iqfc"/>
          <w:rFonts w:ascii="inherit" w:hAnsi="inherit"/>
          <w:sz w:val="24"/>
          <w:szCs w:val="24"/>
        </w:rPr>
        <w:t xml:space="preserve"> </w:t>
      </w:r>
      <w:r>
        <w:rPr>
          <w:rStyle w:val="y2iqfc"/>
          <w:rFonts w:ascii="inherit" w:hAnsi="inherit"/>
          <w:sz w:val="24"/>
          <w:szCs w:val="24"/>
        </w:rPr>
        <w:t>дискусију</w:t>
      </w:r>
      <w:r w:rsidR="00D01564">
        <w:rPr>
          <w:rStyle w:val="y2iqfc"/>
          <w:rFonts w:ascii="inherit" w:hAnsi="inherit"/>
          <w:sz w:val="24"/>
          <w:szCs w:val="24"/>
        </w:rPr>
        <w:t xml:space="preserve"> </w:t>
      </w:r>
      <w:r>
        <w:rPr>
          <w:rStyle w:val="y2iqfc"/>
          <w:rFonts w:ascii="inherit" w:hAnsi="inherit"/>
          <w:sz w:val="24"/>
          <w:szCs w:val="24"/>
        </w:rPr>
        <w:t>са</w:t>
      </w:r>
      <w:r w:rsidR="00435BCA" w:rsidRPr="00D01564">
        <w:rPr>
          <w:rStyle w:val="y2iqfc"/>
          <w:rFonts w:ascii="inherit" w:hAnsi="inherit"/>
          <w:sz w:val="24"/>
          <w:szCs w:val="24"/>
        </w:rPr>
        <w:t xml:space="preserve"> </w:t>
      </w:r>
      <w:r>
        <w:rPr>
          <w:rStyle w:val="y2iqfc"/>
          <w:rFonts w:ascii="inherit" w:hAnsi="inherit"/>
          <w:sz w:val="24"/>
          <w:szCs w:val="24"/>
        </w:rPr>
        <w:t>изабраним</w:t>
      </w:r>
      <w:r w:rsidR="00435BCA" w:rsidRPr="00D01564">
        <w:rPr>
          <w:rStyle w:val="y2iqfc"/>
          <w:rFonts w:ascii="inherit" w:hAnsi="inherit"/>
          <w:sz w:val="24"/>
          <w:szCs w:val="24"/>
        </w:rPr>
        <w:t xml:space="preserve"> </w:t>
      </w:r>
      <w:r>
        <w:rPr>
          <w:rStyle w:val="y2iqfc"/>
          <w:rFonts w:ascii="inherit" w:hAnsi="inherit"/>
          <w:sz w:val="24"/>
          <w:szCs w:val="24"/>
        </w:rPr>
        <w:t>женама</w:t>
      </w:r>
      <w:r w:rsidR="00435BCA" w:rsidRPr="00D01564">
        <w:rPr>
          <w:rStyle w:val="y2iqfc"/>
          <w:rFonts w:ascii="inherit" w:hAnsi="inherit"/>
          <w:sz w:val="24"/>
          <w:szCs w:val="24"/>
        </w:rPr>
        <w:t xml:space="preserve"> </w:t>
      </w:r>
      <w:r>
        <w:rPr>
          <w:rStyle w:val="y2iqfc"/>
          <w:rFonts w:ascii="inherit" w:hAnsi="inherit"/>
          <w:sz w:val="24"/>
          <w:szCs w:val="24"/>
        </w:rPr>
        <w:t>учесницама</w:t>
      </w:r>
      <w:r w:rsidR="00435BCA" w:rsidRPr="00D01564">
        <w:rPr>
          <w:rStyle w:val="y2iqfc"/>
          <w:rFonts w:ascii="inherit" w:hAnsi="inherit"/>
          <w:sz w:val="24"/>
          <w:szCs w:val="24"/>
        </w:rPr>
        <w:t xml:space="preserve"> </w:t>
      </w:r>
      <w:r>
        <w:rPr>
          <w:rStyle w:val="y2iqfc"/>
          <w:rFonts w:ascii="inherit" w:hAnsi="inherit"/>
          <w:sz w:val="24"/>
          <w:szCs w:val="24"/>
        </w:rPr>
        <w:t>и</w:t>
      </w:r>
      <w:r w:rsidR="00435BCA" w:rsidRPr="00D01564">
        <w:rPr>
          <w:rStyle w:val="y2iqfc"/>
          <w:rFonts w:ascii="inherit" w:hAnsi="inherit"/>
          <w:sz w:val="24"/>
          <w:szCs w:val="24"/>
        </w:rPr>
        <w:t xml:space="preserve"> </w:t>
      </w:r>
      <w:r>
        <w:rPr>
          <w:rStyle w:val="y2iqfc"/>
          <w:rFonts w:ascii="inherit" w:hAnsi="inherit"/>
          <w:sz w:val="24"/>
          <w:szCs w:val="24"/>
        </w:rPr>
        <w:t>тренерицама</w:t>
      </w:r>
      <w:r w:rsidR="00435BCA" w:rsidRPr="00D01564">
        <w:rPr>
          <w:rStyle w:val="y2iqfc"/>
          <w:rFonts w:ascii="inherit" w:hAnsi="inherit"/>
          <w:sz w:val="24"/>
          <w:szCs w:val="24"/>
        </w:rPr>
        <w:t xml:space="preserve"> </w:t>
      </w:r>
      <w:r>
        <w:rPr>
          <w:rStyle w:val="y2iqfc"/>
          <w:rFonts w:ascii="inherit" w:hAnsi="inherit"/>
          <w:sz w:val="24"/>
          <w:szCs w:val="24"/>
        </w:rPr>
        <w:t>о</w:t>
      </w:r>
      <w:r w:rsidR="00435BCA" w:rsidRPr="00D01564">
        <w:rPr>
          <w:rStyle w:val="y2iqfc"/>
          <w:rFonts w:ascii="inherit" w:hAnsi="inherit"/>
          <w:sz w:val="24"/>
          <w:szCs w:val="24"/>
        </w:rPr>
        <w:t xml:space="preserve"> </w:t>
      </w:r>
      <w:r>
        <w:rPr>
          <w:rStyle w:val="y2iqfc"/>
          <w:rFonts w:ascii="inherit" w:hAnsi="inherit"/>
          <w:sz w:val="24"/>
          <w:szCs w:val="24"/>
        </w:rPr>
        <w:t>изборима</w:t>
      </w:r>
      <w:r w:rsidR="00435BCA" w:rsidRPr="00D01564">
        <w:rPr>
          <w:rStyle w:val="y2iqfc"/>
          <w:rFonts w:ascii="inherit" w:hAnsi="inherit"/>
          <w:sz w:val="24"/>
          <w:szCs w:val="24"/>
        </w:rPr>
        <w:t xml:space="preserve"> </w:t>
      </w:r>
      <w:r>
        <w:rPr>
          <w:rStyle w:val="y2iqfc"/>
          <w:rFonts w:ascii="inherit" w:hAnsi="inherit"/>
          <w:sz w:val="24"/>
          <w:szCs w:val="24"/>
        </w:rPr>
        <w:t>и</w:t>
      </w:r>
      <w:r w:rsidR="00435BCA" w:rsidRPr="00D01564">
        <w:rPr>
          <w:rStyle w:val="y2iqfc"/>
          <w:rFonts w:ascii="inherit" w:hAnsi="inherit"/>
          <w:sz w:val="24"/>
          <w:szCs w:val="24"/>
        </w:rPr>
        <w:t xml:space="preserve"> </w:t>
      </w:r>
      <w:r>
        <w:rPr>
          <w:rStyle w:val="y2iqfc"/>
          <w:rFonts w:ascii="inherit" w:hAnsi="inherit"/>
          <w:sz w:val="24"/>
          <w:szCs w:val="24"/>
        </w:rPr>
        <w:t>приступу</w:t>
      </w:r>
      <w:r w:rsidR="00435BCA" w:rsidRPr="00D01564">
        <w:rPr>
          <w:rStyle w:val="y2iqfc"/>
          <w:rFonts w:ascii="inherit" w:hAnsi="inherit"/>
          <w:sz w:val="24"/>
          <w:szCs w:val="24"/>
        </w:rPr>
        <w:t xml:space="preserve"> </w:t>
      </w:r>
      <w:r>
        <w:rPr>
          <w:rStyle w:val="y2iqfc"/>
          <w:rFonts w:ascii="inherit" w:hAnsi="inherit"/>
          <w:sz w:val="24"/>
          <w:szCs w:val="24"/>
        </w:rPr>
        <w:t>информацијама</w:t>
      </w:r>
      <w:r w:rsidR="00435BCA" w:rsidRPr="00D01564">
        <w:rPr>
          <w:rStyle w:val="y2iqfc"/>
          <w:rFonts w:ascii="inherit" w:hAnsi="inherit"/>
          <w:sz w:val="24"/>
          <w:szCs w:val="24"/>
        </w:rPr>
        <w:t xml:space="preserve"> </w:t>
      </w:r>
      <w:r>
        <w:rPr>
          <w:rStyle w:val="y2iqfc"/>
          <w:rFonts w:ascii="inherit" w:hAnsi="inherit"/>
          <w:sz w:val="24"/>
          <w:szCs w:val="24"/>
        </w:rPr>
        <w:t>и</w:t>
      </w:r>
      <w:r w:rsidR="00435BCA" w:rsidRPr="00D01564">
        <w:rPr>
          <w:rStyle w:val="y2iqfc"/>
          <w:rFonts w:ascii="inherit" w:hAnsi="inherit"/>
          <w:sz w:val="24"/>
          <w:szCs w:val="24"/>
        </w:rPr>
        <w:t xml:space="preserve"> </w:t>
      </w:r>
      <w:r>
        <w:rPr>
          <w:rStyle w:val="y2iqfc"/>
          <w:rFonts w:ascii="inherit" w:hAnsi="inherit"/>
          <w:sz w:val="24"/>
          <w:szCs w:val="24"/>
        </w:rPr>
        <w:t>образовању</w:t>
      </w:r>
      <w:r w:rsidR="005E344A" w:rsidRPr="00D01564">
        <w:rPr>
          <w:rStyle w:val="y2iqfc"/>
          <w:rFonts w:ascii="inherit" w:hAnsi="inherit"/>
          <w:sz w:val="24"/>
          <w:szCs w:val="24"/>
        </w:rPr>
        <w:t xml:space="preserve">, </w:t>
      </w:r>
      <w:r>
        <w:rPr>
          <w:rStyle w:val="y2iqfc"/>
          <w:rFonts w:ascii="inherit" w:hAnsi="inherit"/>
          <w:sz w:val="24"/>
          <w:szCs w:val="24"/>
        </w:rPr>
        <w:t>презентације</w:t>
      </w:r>
      <w:r w:rsidR="005E344A" w:rsidRPr="00D01564">
        <w:rPr>
          <w:rStyle w:val="y2iqfc"/>
          <w:rFonts w:ascii="inherit" w:hAnsi="inherit"/>
          <w:sz w:val="24"/>
          <w:szCs w:val="24"/>
        </w:rPr>
        <w:t xml:space="preserve"> </w:t>
      </w:r>
      <w:r>
        <w:rPr>
          <w:rStyle w:val="y2iqfc"/>
          <w:rFonts w:ascii="inherit" w:hAnsi="inherit"/>
          <w:sz w:val="24"/>
          <w:szCs w:val="24"/>
        </w:rPr>
        <w:t>о</w:t>
      </w:r>
      <w:r w:rsidR="005E344A" w:rsidRPr="00D01564">
        <w:rPr>
          <w:rStyle w:val="y2iqfc"/>
          <w:rFonts w:ascii="inherit" w:hAnsi="inherit"/>
          <w:sz w:val="24"/>
          <w:szCs w:val="24"/>
        </w:rPr>
        <w:t xml:space="preserve"> </w:t>
      </w:r>
      <w:r>
        <w:rPr>
          <w:rStyle w:val="y2iqfc"/>
          <w:rFonts w:ascii="inherit" w:hAnsi="inherit"/>
          <w:sz w:val="24"/>
          <w:szCs w:val="24"/>
        </w:rPr>
        <w:t>родној</w:t>
      </w:r>
      <w:r w:rsidR="00435BCA" w:rsidRPr="00D01564">
        <w:rPr>
          <w:rStyle w:val="y2iqfc"/>
          <w:rFonts w:ascii="inherit" w:hAnsi="inherit"/>
          <w:sz w:val="24"/>
          <w:szCs w:val="24"/>
        </w:rPr>
        <w:t xml:space="preserve"> </w:t>
      </w:r>
      <w:r>
        <w:rPr>
          <w:rStyle w:val="y2iqfc"/>
          <w:rFonts w:ascii="inherit" w:hAnsi="inherit"/>
          <w:sz w:val="24"/>
          <w:szCs w:val="24"/>
        </w:rPr>
        <w:t>анализи</w:t>
      </w:r>
      <w:r w:rsidR="00435BCA" w:rsidRPr="00D01564">
        <w:rPr>
          <w:rStyle w:val="y2iqfc"/>
          <w:rFonts w:ascii="inherit" w:hAnsi="inherit"/>
          <w:sz w:val="24"/>
          <w:szCs w:val="24"/>
        </w:rPr>
        <w:t xml:space="preserve"> </w:t>
      </w:r>
      <w:r>
        <w:rPr>
          <w:rStyle w:val="y2iqfc"/>
          <w:rFonts w:ascii="inherit" w:hAnsi="inherit"/>
          <w:sz w:val="24"/>
          <w:szCs w:val="24"/>
        </w:rPr>
        <w:t>избора</w:t>
      </w:r>
      <w:r w:rsidR="00435BCA" w:rsidRPr="00D01564">
        <w:rPr>
          <w:rStyle w:val="y2iqfc"/>
          <w:rFonts w:ascii="inherit" w:hAnsi="inherit"/>
          <w:sz w:val="24"/>
          <w:szCs w:val="24"/>
        </w:rPr>
        <w:t xml:space="preserve"> </w:t>
      </w:r>
      <w:r>
        <w:rPr>
          <w:rStyle w:val="y2iqfc"/>
          <w:rFonts w:ascii="inherit" w:hAnsi="inherit"/>
          <w:sz w:val="24"/>
          <w:szCs w:val="24"/>
        </w:rPr>
        <w:t>и</w:t>
      </w:r>
      <w:r w:rsidR="00435BCA" w:rsidRPr="00D01564">
        <w:rPr>
          <w:rStyle w:val="y2iqfc"/>
          <w:rFonts w:ascii="inherit" w:hAnsi="inherit"/>
          <w:sz w:val="24"/>
          <w:szCs w:val="24"/>
        </w:rPr>
        <w:t xml:space="preserve"> </w:t>
      </w:r>
      <w:r>
        <w:rPr>
          <w:rStyle w:val="y2iqfc"/>
          <w:rFonts w:ascii="inherit" w:hAnsi="inherit"/>
          <w:sz w:val="24"/>
          <w:szCs w:val="24"/>
        </w:rPr>
        <w:t>локализацији</w:t>
      </w:r>
      <w:r w:rsidR="00435BCA" w:rsidRPr="00D01564">
        <w:rPr>
          <w:rStyle w:val="y2iqfc"/>
          <w:rFonts w:ascii="inherit" w:hAnsi="inherit"/>
          <w:sz w:val="24"/>
          <w:szCs w:val="24"/>
        </w:rPr>
        <w:t xml:space="preserve"> </w:t>
      </w:r>
      <w:r>
        <w:rPr>
          <w:rStyle w:val="y2iqfc"/>
          <w:rFonts w:ascii="inherit" w:hAnsi="inherit"/>
          <w:sz w:val="24"/>
          <w:szCs w:val="24"/>
        </w:rPr>
        <w:t>Оп</w:t>
      </w:r>
      <w:r w:rsidR="00E3060A">
        <w:rPr>
          <w:rStyle w:val="y2iqfc"/>
          <w:rFonts w:ascii="inherit" w:hAnsi="inherit"/>
          <w:sz w:val="24"/>
          <w:szCs w:val="24"/>
          <w:lang w:val="sr-Cyrl-BA"/>
        </w:rPr>
        <w:t>шт</w:t>
      </w:r>
      <w:r>
        <w:rPr>
          <w:rStyle w:val="y2iqfc"/>
          <w:rFonts w:ascii="inherit" w:hAnsi="inherit"/>
          <w:sz w:val="24"/>
          <w:szCs w:val="24"/>
        </w:rPr>
        <w:t>е</w:t>
      </w:r>
      <w:r w:rsidR="00435BCA" w:rsidRPr="00D01564">
        <w:rPr>
          <w:rStyle w:val="y2iqfc"/>
          <w:rFonts w:ascii="inherit" w:hAnsi="inherit"/>
          <w:sz w:val="24"/>
          <w:szCs w:val="24"/>
        </w:rPr>
        <w:t xml:space="preserve"> </w:t>
      </w:r>
      <w:r w:rsidR="00E3060A" w:rsidRPr="00E3060A">
        <w:rPr>
          <w:rFonts w:ascii="inherit" w:hAnsi="inherit"/>
          <w:i/>
          <w:sz w:val="24"/>
          <w:szCs w:val="24"/>
          <w:lang w:val="hr-BA"/>
        </w:rPr>
        <w:t>CEDAW</w:t>
      </w:r>
      <w:r w:rsidR="00255309" w:rsidRPr="00D01564">
        <w:rPr>
          <w:rStyle w:val="y2iqfc"/>
          <w:rFonts w:ascii="inherit" w:hAnsi="inherit"/>
          <w:sz w:val="24"/>
          <w:szCs w:val="24"/>
        </w:rPr>
        <w:t xml:space="preserve"> </w:t>
      </w:r>
      <w:r>
        <w:rPr>
          <w:rStyle w:val="y2iqfc"/>
          <w:rFonts w:ascii="inherit" w:hAnsi="inherit"/>
          <w:sz w:val="24"/>
          <w:szCs w:val="24"/>
        </w:rPr>
        <w:t>препоруке</w:t>
      </w:r>
      <w:r w:rsidR="00435BCA" w:rsidRPr="00D01564">
        <w:rPr>
          <w:rStyle w:val="y2iqfc"/>
          <w:rFonts w:ascii="inherit" w:hAnsi="inherit"/>
          <w:sz w:val="24"/>
          <w:szCs w:val="24"/>
        </w:rPr>
        <w:t xml:space="preserve"> </w:t>
      </w:r>
      <w:r>
        <w:rPr>
          <w:rStyle w:val="y2iqfc"/>
          <w:rFonts w:ascii="inherit" w:hAnsi="inherit"/>
          <w:sz w:val="24"/>
          <w:szCs w:val="24"/>
        </w:rPr>
        <w:t>бр</w:t>
      </w:r>
      <w:r w:rsidR="00146929" w:rsidRPr="00D01564">
        <w:rPr>
          <w:rStyle w:val="y2iqfc"/>
          <w:rFonts w:ascii="inherit" w:hAnsi="inherit"/>
          <w:sz w:val="24"/>
          <w:szCs w:val="24"/>
        </w:rPr>
        <w:t xml:space="preserve">. </w:t>
      </w:r>
      <w:r w:rsidR="00435BCA" w:rsidRPr="00D01564">
        <w:rPr>
          <w:rStyle w:val="y2iqfc"/>
          <w:rFonts w:ascii="inherit" w:hAnsi="inherit"/>
          <w:sz w:val="24"/>
          <w:szCs w:val="24"/>
        </w:rPr>
        <w:t xml:space="preserve">40 </w:t>
      </w:r>
      <w:r>
        <w:rPr>
          <w:rStyle w:val="y2iqfc"/>
          <w:rFonts w:ascii="inherit" w:hAnsi="inherit"/>
          <w:sz w:val="24"/>
          <w:szCs w:val="24"/>
        </w:rPr>
        <w:t>о</w:t>
      </w:r>
      <w:r w:rsidR="00255309" w:rsidRPr="00D01564">
        <w:rPr>
          <w:rStyle w:val="y2iqfc"/>
          <w:rFonts w:ascii="inherit" w:hAnsi="inherit"/>
          <w:sz w:val="24"/>
          <w:szCs w:val="24"/>
        </w:rPr>
        <w:t xml:space="preserve"> </w:t>
      </w:r>
      <w:r>
        <w:rPr>
          <w:rStyle w:val="y2iqfc"/>
          <w:rFonts w:ascii="inherit" w:hAnsi="inherit"/>
          <w:sz w:val="24"/>
          <w:szCs w:val="24"/>
        </w:rPr>
        <w:t>паритету</w:t>
      </w:r>
      <w:r w:rsidR="00255309" w:rsidRPr="00D01564">
        <w:rPr>
          <w:rStyle w:val="y2iqfc"/>
          <w:rFonts w:ascii="inherit" w:hAnsi="inherit"/>
          <w:sz w:val="24"/>
          <w:szCs w:val="24"/>
        </w:rPr>
        <w:t xml:space="preserve"> </w:t>
      </w:r>
      <w:r>
        <w:rPr>
          <w:rStyle w:val="y2iqfc"/>
          <w:rFonts w:ascii="inherit" w:hAnsi="inherit"/>
          <w:sz w:val="24"/>
          <w:szCs w:val="24"/>
        </w:rPr>
        <w:t>у</w:t>
      </w:r>
      <w:r w:rsidR="00435BCA" w:rsidRPr="00D01564">
        <w:rPr>
          <w:rStyle w:val="y2iqfc"/>
          <w:rFonts w:ascii="inherit" w:hAnsi="inherit"/>
          <w:sz w:val="24"/>
          <w:szCs w:val="24"/>
        </w:rPr>
        <w:t xml:space="preserve"> </w:t>
      </w:r>
      <w:r>
        <w:rPr>
          <w:rStyle w:val="y2iqfc"/>
          <w:rFonts w:ascii="inherit" w:hAnsi="inherit"/>
          <w:sz w:val="24"/>
          <w:szCs w:val="24"/>
        </w:rPr>
        <w:t>Босни</w:t>
      </w:r>
      <w:r w:rsidR="00435BCA" w:rsidRPr="00D01564">
        <w:rPr>
          <w:rStyle w:val="y2iqfc"/>
          <w:rFonts w:ascii="inherit" w:hAnsi="inherit"/>
          <w:sz w:val="24"/>
          <w:szCs w:val="24"/>
        </w:rPr>
        <w:t xml:space="preserve"> </w:t>
      </w:r>
      <w:r>
        <w:rPr>
          <w:rStyle w:val="y2iqfc"/>
          <w:rFonts w:ascii="inherit" w:hAnsi="inherit"/>
          <w:sz w:val="24"/>
          <w:szCs w:val="24"/>
        </w:rPr>
        <w:t>и</w:t>
      </w:r>
      <w:r w:rsidR="00435BCA" w:rsidRPr="00D01564">
        <w:rPr>
          <w:rStyle w:val="y2iqfc"/>
          <w:rFonts w:ascii="inherit" w:hAnsi="inherit"/>
          <w:sz w:val="24"/>
          <w:szCs w:val="24"/>
        </w:rPr>
        <w:t xml:space="preserve"> </w:t>
      </w:r>
      <w:r>
        <w:rPr>
          <w:rStyle w:val="y2iqfc"/>
          <w:rFonts w:ascii="inherit" w:hAnsi="inherit"/>
          <w:sz w:val="24"/>
          <w:szCs w:val="24"/>
        </w:rPr>
        <w:t>Херцеговини</w:t>
      </w:r>
      <w:r w:rsidR="00F81CB4" w:rsidRPr="00D01564">
        <w:rPr>
          <w:rStyle w:val="y2iqfc"/>
          <w:rFonts w:ascii="inherit" w:hAnsi="inherit"/>
          <w:sz w:val="24"/>
          <w:szCs w:val="24"/>
        </w:rPr>
        <w:t>,</w:t>
      </w:r>
      <w:r w:rsidR="00261809" w:rsidRPr="00D01564">
        <w:rPr>
          <w:rStyle w:val="y2iqfc"/>
          <w:rFonts w:ascii="inherit" w:hAnsi="inherit"/>
          <w:sz w:val="24"/>
          <w:szCs w:val="24"/>
        </w:rPr>
        <w:t xml:space="preserve"> </w:t>
      </w:r>
      <w:r>
        <w:rPr>
          <w:rStyle w:val="y2iqfc"/>
          <w:rFonts w:ascii="inherit" w:hAnsi="inherit"/>
          <w:sz w:val="24"/>
          <w:szCs w:val="24"/>
        </w:rPr>
        <w:t>као</w:t>
      </w:r>
      <w:r w:rsidR="00261809" w:rsidRPr="00D01564">
        <w:rPr>
          <w:rStyle w:val="y2iqfc"/>
          <w:rFonts w:ascii="inherit" w:hAnsi="inherit"/>
          <w:sz w:val="24"/>
          <w:szCs w:val="24"/>
        </w:rPr>
        <w:t xml:space="preserve"> </w:t>
      </w:r>
      <w:r>
        <w:rPr>
          <w:rStyle w:val="y2iqfc"/>
          <w:rFonts w:ascii="inherit" w:hAnsi="inherit"/>
          <w:sz w:val="24"/>
          <w:szCs w:val="24"/>
        </w:rPr>
        <w:t>и</w:t>
      </w:r>
      <w:r w:rsidR="00261809" w:rsidRPr="00D01564">
        <w:rPr>
          <w:rStyle w:val="y2iqfc"/>
          <w:rFonts w:ascii="inherit" w:hAnsi="inherit"/>
          <w:sz w:val="24"/>
          <w:szCs w:val="24"/>
        </w:rPr>
        <w:t xml:space="preserve"> </w:t>
      </w:r>
      <w:r>
        <w:rPr>
          <w:rStyle w:val="y2iqfc"/>
          <w:rFonts w:ascii="inherit" w:hAnsi="inherit"/>
          <w:sz w:val="24"/>
          <w:szCs w:val="24"/>
        </w:rPr>
        <w:t>затворену</w:t>
      </w:r>
      <w:r w:rsidR="00435BCA" w:rsidRPr="00D01564">
        <w:rPr>
          <w:rStyle w:val="y2iqfc"/>
          <w:rFonts w:ascii="inherit" w:hAnsi="inherit"/>
          <w:sz w:val="24"/>
          <w:szCs w:val="24"/>
        </w:rPr>
        <w:t xml:space="preserve"> </w:t>
      </w:r>
      <w:r>
        <w:rPr>
          <w:rStyle w:val="y2iqfc"/>
          <w:rFonts w:ascii="inherit" w:hAnsi="inherit"/>
          <w:sz w:val="24"/>
          <w:szCs w:val="24"/>
        </w:rPr>
        <w:t>оријентацијску</w:t>
      </w:r>
      <w:r w:rsidR="00261809" w:rsidRPr="00D01564">
        <w:rPr>
          <w:rStyle w:val="y2iqfc"/>
          <w:rFonts w:ascii="inherit" w:hAnsi="inherit"/>
          <w:sz w:val="24"/>
          <w:szCs w:val="24"/>
        </w:rPr>
        <w:t xml:space="preserve"> </w:t>
      </w:r>
      <w:r>
        <w:rPr>
          <w:rStyle w:val="y2iqfc"/>
          <w:rFonts w:ascii="inherit" w:hAnsi="inherit"/>
          <w:sz w:val="24"/>
          <w:szCs w:val="24"/>
        </w:rPr>
        <w:t>сесију</w:t>
      </w:r>
      <w:r w:rsidR="00261809" w:rsidRPr="00D01564">
        <w:rPr>
          <w:rStyle w:val="y2iqfc"/>
          <w:rFonts w:ascii="inherit" w:hAnsi="inherit"/>
          <w:sz w:val="24"/>
          <w:szCs w:val="24"/>
        </w:rPr>
        <w:t xml:space="preserve"> </w:t>
      </w:r>
      <w:r>
        <w:rPr>
          <w:rStyle w:val="y2iqfc"/>
          <w:rFonts w:ascii="inherit" w:hAnsi="inherit"/>
          <w:sz w:val="24"/>
          <w:szCs w:val="24"/>
        </w:rPr>
        <w:t>за</w:t>
      </w:r>
      <w:r w:rsidR="00261809" w:rsidRPr="00D01564">
        <w:rPr>
          <w:rStyle w:val="y2iqfc"/>
          <w:rFonts w:ascii="inherit" w:hAnsi="inherit"/>
          <w:sz w:val="24"/>
          <w:szCs w:val="24"/>
        </w:rPr>
        <w:t xml:space="preserve"> </w:t>
      </w:r>
      <w:r>
        <w:rPr>
          <w:rStyle w:val="y2iqfc"/>
          <w:rFonts w:ascii="inherit" w:hAnsi="inherit"/>
          <w:sz w:val="24"/>
          <w:szCs w:val="24"/>
        </w:rPr>
        <w:t>изабране</w:t>
      </w:r>
      <w:r w:rsidR="00261809" w:rsidRPr="00D01564">
        <w:rPr>
          <w:rStyle w:val="y2iqfc"/>
          <w:rFonts w:ascii="inherit" w:hAnsi="inherit"/>
          <w:sz w:val="24"/>
          <w:szCs w:val="24"/>
        </w:rPr>
        <w:t xml:space="preserve"> </w:t>
      </w:r>
      <w:r>
        <w:rPr>
          <w:rStyle w:val="y2iqfc"/>
          <w:rFonts w:ascii="inherit" w:hAnsi="inherit"/>
          <w:sz w:val="24"/>
          <w:szCs w:val="24"/>
        </w:rPr>
        <w:t>жене</w:t>
      </w:r>
      <w:r w:rsidR="00261809" w:rsidRPr="00D01564">
        <w:rPr>
          <w:rStyle w:val="y2iqfc"/>
          <w:rFonts w:ascii="inherit" w:hAnsi="inherit"/>
          <w:sz w:val="24"/>
          <w:szCs w:val="24"/>
        </w:rPr>
        <w:t xml:space="preserve"> </w:t>
      </w:r>
      <w:r>
        <w:rPr>
          <w:rStyle w:val="y2iqfc"/>
          <w:rFonts w:ascii="inherit" w:hAnsi="inherit"/>
          <w:sz w:val="24"/>
          <w:szCs w:val="24"/>
        </w:rPr>
        <w:t>на</w:t>
      </w:r>
      <w:r w:rsidR="00F81CB4" w:rsidRPr="00D01564">
        <w:rPr>
          <w:rStyle w:val="y2iqfc"/>
          <w:rFonts w:ascii="inherit" w:hAnsi="inherit"/>
          <w:sz w:val="24"/>
          <w:szCs w:val="24"/>
        </w:rPr>
        <w:t xml:space="preserve"> </w:t>
      </w:r>
      <w:r>
        <w:rPr>
          <w:rStyle w:val="y2iqfc"/>
          <w:rFonts w:ascii="inherit" w:hAnsi="inherit"/>
          <w:sz w:val="24"/>
          <w:szCs w:val="24"/>
        </w:rPr>
        <w:t>којој</w:t>
      </w:r>
      <w:r w:rsidR="00F81CB4" w:rsidRPr="00D01564">
        <w:rPr>
          <w:rStyle w:val="y2iqfc"/>
          <w:rFonts w:ascii="inherit" w:hAnsi="inherit"/>
          <w:sz w:val="24"/>
          <w:szCs w:val="24"/>
        </w:rPr>
        <w:t xml:space="preserve"> </w:t>
      </w:r>
      <w:r>
        <w:rPr>
          <w:rStyle w:val="y2iqfc"/>
          <w:rFonts w:ascii="inherit" w:hAnsi="inherit"/>
          <w:sz w:val="24"/>
          <w:szCs w:val="24"/>
        </w:rPr>
        <w:t>је</w:t>
      </w:r>
      <w:r w:rsidR="00F81CB4" w:rsidRPr="00D01564">
        <w:rPr>
          <w:rStyle w:val="y2iqfc"/>
          <w:rFonts w:ascii="inherit" w:hAnsi="inherit"/>
          <w:sz w:val="24"/>
          <w:szCs w:val="24"/>
        </w:rPr>
        <w:t xml:space="preserve"> </w:t>
      </w:r>
      <w:r>
        <w:rPr>
          <w:rStyle w:val="y2iqfc"/>
          <w:rFonts w:ascii="inherit" w:hAnsi="inherit"/>
          <w:sz w:val="24"/>
          <w:szCs w:val="24"/>
        </w:rPr>
        <w:t>било</w:t>
      </w:r>
      <w:r w:rsidR="00F81CB4" w:rsidRPr="00D01564">
        <w:rPr>
          <w:rStyle w:val="y2iqfc"/>
          <w:rFonts w:ascii="inherit" w:hAnsi="inherit"/>
          <w:sz w:val="24"/>
          <w:szCs w:val="24"/>
        </w:rPr>
        <w:t xml:space="preserve"> </w:t>
      </w:r>
      <w:r>
        <w:rPr>
          <w:rStyle w:val="y2iqfc"/>
          <w:rFonts w:ascii="inherit" w:hAnsi="inherit"/>
          <w:sz w:val="24"/>
          <w:szCs w:val="24"/>
        </w:rPr>
        <w:t>ријечи</w:t>
      </w:r>
      <w:r w:rsidR="00F81CB4" w:rsidRPr="00D01564">
        <w:rPr>
          <w:rStyle w:val="y2iqfc"/>
          <w:rFonts w:ascii="inherit" w:hAnsi="inherit"/>
          <w:sz w:val="24"/>
          <w:szCs w:val="24"/>
        </w:rPr>
        <w:t xml:space="preserve"> </w:t>
      </w:r>
      <w:r>
        <w:rPr>
          <w:rStyle w:val="y2iqfc"/>
          <w:rFonts w:ascii="inherit" w:hAnsi="inherit"/>
          <w:sz w:val="24"/>
          <w:szCs w:val="24"/>
        </w:rPr>
        <w:t>како</w:t>
      </w:r>
      <w:r w:rsidR="00435BCA" w:rsidRPr="00D01564">
        <w:rPr>
          <w:rStyle w:val="y2iqfc"/>
          <w:rFonts w:ascii="inherit" w:hAnsi="inherit"/>
          <w:sz w:val="24"/>
          <w:szCs w:val="24"/>
        </w:rPr>
        <w:t xml:space="preserve"> </w:t>
      </w:r>
      <w:r>
        <w:rPr>
          <w:rStyle w:val="y2iqfc"/>
          <w:rFonts w:ascii="inherit" w:hAnsi="inherit"/>
          <w:sz w:val="24"/>
          <w:szCs w:val="24"/>
        </w:rPr>
        <w:t>да</w:t>
      </w:r>
      <w:r w:rsidR="00435BCA" w:rsidRPr="00D01564">
        <w:rPr>
          <w:rStyle w:val="y2iqfc"/>
          <w:rFonts w:ascii="inherit" w:hAnsi="inherit"/>
          <w:sz w:val="24"/>
          <w:szCs w:val="24"/>
        </w:rPr>
        <w:t xml:space="preserve"> </w:t>
      </w:r>
      <w:r>
        <w:rPr>
          <w:rStyle w:val="y2iqfc"/>
          <w:rFonts w:ascii="inherit" w:hAnsi="inherit"/>
          <w:sz w:val="24"/>
          <w:szCs w:val="24"/>
        </w:rPr>
        <w:t>се</w:t>
      </w:r>
      <w:r w:rsidR="00435BCA" w:rsidRPr="00D01564">
        <w:rPr>
          <w:rStyle w:val="y2iqfc"/>
          <w:rFonts w:ascii="inherit" w:hAnsi="inherit"/>
          <w:sz w:val="24"/>
          <w:szCs w:val="24"/>
        </w:rPr>
        <w:t xml:space="preserve"> </w:t>
      </w:r>
      <w:r>
        <w:rPr>
          <w:rStyle w:val="y2iqfc"/>
          <w:rFonts w:ascii="inherit" w:hAnsi="inherit"/>
          <w:sz w:val="24"/>
          <w:szCs w:val="24"/>
        </w:rPr>
        <w:t>залажу</w:t>
      </w:r>
      <w:r w:rsidR="00435BCA" w:rsidRPr="00D01564">
        <w:rPr>
          <w:rStyle w:val="y2iqfc"/>
          <w:rFonts w:ascii="inherit" w:hAnsi="inherit"/>
          <w:sz w:val="24"/>
          <w:szCs w:val="24"/>
        </w:rPr>
        <w:t xml:space="preserve"> </w:t>
      </w:r>
      <w:r>
        <w:rPr>
          <w:rStyle w:val="y2iqfc"/>
          <w:rFonts w:ascii="inherit" w:hAnsi="inherit"/>
          <w:sz w:val="24"/>
          <w:szCs w:val="24"/>
        </w:rPr>
        <w:t>за</w:t>
      </w:r>
      <w:r w:rsidR="00435BCA" w:rsidRPr="00D01564">
        <w:rPr>
          <w:rStyle w:val="y2iqfc"/>
          <w:rFonts w:ascii="inherit" w:hAnsi="inherit"/>
          <w:sz w:val="24"/>
          <w:szCs w:val="24"/>
        </w:rPr>
        <w:t xml:space="preserve"> </w:t>
      </w:r>
      <w:r>
        <w:rPr>
          <w:rStyle w:val="y2iqfc"/>
          <w:rFonts w:ascii="inherit" w:hAnsi="inherit"/>
          <w:sz w:val="24"/>
          <w:szCs w:val="24"/>
        </w:rPr>
        <w:t>родну</w:t>
      </w:r>
      <w:r w:rsidR="00435BCA" w:rsidRPr="00D01564">
        <w:rPr>
          <w:rStyle w:val="y2iqfc"/>
          <w:rFonts w:ascii="inherit" w:hAnsi="inherit"/>
          <w:sz w:val="24"/>
          <w:szCs w:val="24"/>
        </w:rPr>
        <w:t xml:space="preserve"> </w:t>
      </w:r>
      <w:r>
        <w:rPr>
          <w:rStyle w:val="y2iqfc"/>
          <w:rFonts w:ascii="inherit" w:hAnsi="inherit"/>
          <w:sz w:val="24"/>
          <w:szCs w:val="24"/>
        </w:rPr>
        <w:t>равноправност</w:t>
      </w:r>
      <w:r w:rsidR="00435BCA" w:rsidRPr="00D01564">
        <w:rPr>
          <w:rStyle w:val="y2iqfc"/>
          <w:rFonts w:ascii="inherit" w:hAnsi="inherit"/>
          <w:sz w:val="24"/>
          <w:szCs w:val="24"/>
        </w:rPr>
        <w:t xml:space="preserve"> </w:t>
      </w:r>
      <w:r>
        <w:rPr>
          <w:rStyle w:val="y2iqfc"/>
          <w:rFonts w:ascii="inherit" w:hAnsi="inherit"/>
          <w:sz w:val="24"/>
          <w:szCs w:val="24"/>
        </w:rPr>
        <w:t>као</w:t>
      </w:r>
      <w:r w:rsidR="00435BCA" w:rsidRPr="00D01564">
        <w:rPr>
          <w:rStyle w:val="y2iqfc"/>
          <w:rFonts w:ascii="inherit" w:hAnsi="inherit"/>
          <w:sz w:val="24"/>
          <w:szCs w:val="24"/>
        </w:rPr>
        <w:t xml:space="preserve"> </w:t>
      </w:r>
      <w:r>
        <w:rPr>
          <w:rStyle w:val="y2iqfc"/>
          <w:rFonts w:ascii="inherit" w:hAnsi="inherit"/>
          <w:sz w:val="24"/>
          <w:szCs w:val="24"/>
        </w:rPr>
        <w:t>локалне</w:t>
      </w:r>
      <w:r w:rsidR="00435BCA" w:rsidRPr="00D01564">
        <w:rPr>
          <w:rStyle w:val="y2iqfc"/>
          <w:rFonts w:ascii="inherit" w:hAnsi="inherit"/>
          <w:sz w:val="24"/>
          <w:szCs w:val="24"/>
        </w:rPr>
        <w:t xml:space="preserve"> </w:t>
      </w:r>
      <w:r>
        <w:rPr>
          <w:rStyle w:val="y2iqfc"/>
          <w:rFonts w:ascii="inherit" w:hAnsi="inherit"/>
          <w:sz w:val="24"/>
          <w:szCs w:val="24"/>
        </w:rPr>
        <w:t>политичарке</w:t>
      </w:r>
      <w:r w:rsidR="00435BCA" w:rsidRPr="00D01564">
        <w:rPr>
          <w:rStyle w:val="y2iqfc"/>
          <w:rFonts w:ascii="inherit" w:hAnsi="inherit"/>
          <w:sz w:val="24"/>
          <w:szCs w:val="24"/>
        </w:rPr>
        <w:t xml:space="preserve">, </w:t>
      </w:r>
      <w:r>
        <w:rPr>
          <w:rStyle w:val="y2iqfc"/>
          <w:rFonts w:ascii="inherit" w:hAnsi="inherit"/>
          <w:sz w:val="24"/>
          <w:szCs w:val="24"/>
        </w:rPr>
        <w:t>како</w:t>
      </w:r>
      <w:r w:rsidR="00435BCA" w:rsidRPr="00D01564">
        <w:rPr>
          <w:rStyle w:val="y2iqfc"/>
          <w:rFonts w:ascii="inherit" w:hAnsi="inherit"/>
          <w:sz w:val="24"/>
          <w:szCs w:val="24"/>
        </w:rPr>
        <w:t xml:space="preserve"> </w:t>
      </w:r>
      <w:r>
        <w:rPr>
          <w:rStyle w:val="y2iqfc"/>
          <w:rFonts w:ascii="inherit" w:hAnsi="inherit"/>
          <w:sz w:val="24"/>
          <w:szCs w:val="24"/>
        </w:rPr>
        <w:t>да</w:t>
      </w:r>
      <w:r w:rsidR="00435BCA" w:rsidRPr="00D01564">
        <w:rPr>
          <w:rStyle w:val="y2iqfc"/>
          <w:rFonts w:ascii="inherit" w:hAnsi="inherit"/>
          <w:sz w:val="24"/>
          <w:szCs w:val="24"/>
        </w:rPr>
        <w:t xml:space="preserve"> </w:t>
      </w:r>
      <w:r>
        <w:rPr>
          <w:rStyle w:val="y2iqfc"/>
          <w:rFonts w:ascii="inherit" w:hAnsi="inherit"/>
          <w:sz w:val="24"/>
          <w:szCs w:val="24"/>
        </w:rPr>
        <w:t>стратешки</w:t>
      </w:r>
      <w:r w:rsidR="00435BCA" w:rsidRPr="00D01564">
        <w:rPr>
          <w:rStyle w:val="y2iqfc"/>
          <w:rFonts w:ascii="inherit" w:hAnsi="inherit"/>
          <w:sz w:val="24"/>
          <w:szCs w:val="24"/>
        </w:rPr>
        <w:t xml:space="preserve"> </w:t>
      </w:r>
      <w:r>
        <w:rPr>
          <w:rStyle w:val="y2iqfc"/>
          <w:rFonts w:ascii="inherit" w:hAnsi="inherit"/>
          <w:sz w:val="24"/>
          <w:szCs w:val="24"/>
        </w:rPr>
        <w:t>комуницирају</w:t>
      </w:r>
      <w:r w:rsidR="00435BCA" w:rsidRPr="00D01564">
        <w:rPr>
          <w:rStyle w:val="y2iqfc"/>
          <w:rFonts w:ascii="inherit" w:hAnsi="inherit"/>
          <w:sz w:val="24"/>
          <w:szCs w:val="24"/>
        </w:rPr>
        <w:t xml:space="preserve">, </w:t>
      </w:r>
      <w:r>
        <w:rPr>
          <w:rStyle w:val="y2iqfc"/>
          <w:rFonts w:ascii="inherit" w:hAnsi="inherit"/>
          <w:sz w:val="24"/>
          <w:szCs w:val="24"/>
        </w:rPr>
        <w:t>како</w:t>
      </w:r>
      <w:r w:rsidR="00435BCA" w:rsidRPr="00D01564">
        <w:rPr>
          <w:rStyle w:val="y2iqfc"/>
          <w:rFonts w:ascii="inherit" w:hAnsi="inherit"/>
          <w:sz w:val="24"/>
          <w:szCs w:val="24"/>
        </w:rPr>
        <w:t xml:space="preserve"> </w:t>
      </w:r>
      <w:r>
        <w:rPr>
          <w:rStyle w:val="y2iqfc"/>
          <w:rFonts w:ascii="inherit" w:hAnsi="inherit"/>
          <w:sz w:val="24"/>
          <w:szCs w:val="24"/>
        </w:rPr>
        <w:t>да</w:t>
      </w:r>
      <w:r w:rsidR="00435BCA" w:rsidRPr="00D01564">
        <w:rPr>
          <w:rStyle w:val="y2iqfc"/>
          <w:rFonts w:ascii="inherit" w:hAnsi="inherit"/>
          <w:sz w:val="24"/>
          <w:szCs w:val="24"/>
        </w:rPr>
        <w:t xml:space="preserve"> </w:t>
      </w:r>
      <w:r>
        <w:rPr>
          <w:rStyle w:val="y2iqfc"/>
          <w:rFonts w:ascii="inherit" w:hAnsi="inherit"/>
          <w:sz w:val="24"/>
          <w:szCs w:val="24"/>
        </w:rPr>
        <w:t>се</w:t>
      </w:r>
      <w:r w:rsidR="00435BCA" w:rsidRPr="00D01564">
        <w:rPr>
          <w:rStyle w:val="y2iqfc"/>
          <w:rFonts w:ascii="inherit" w:hAnsi="inherit"/>
          <w:sz w:val="24"/>
          <w:szCs w:val="24"/>
        </w:rPr>
        <w:t xml:space="preserve"> </w:t>
      </w:r>
      <w:r>
        <w:rPr>
          <w:rStyle w:val="y2iqfc"/>
          <w:rFonts w:ascii="inherit" w:hAnsi="inherit"/>
          <w:sz w:val="24"/>
          <w:szCs w:val="24"/>
        </w:rPr>
        <w:t>сналазе</w:t>
      </w:r>
      <w:r w:rsidR="00435BCA" w:rsidRPr="00D01564">
        <w:rPr>
          <w:rStyle w:val="y2iqfc"/>
          <w:rFonts w:ascii="inherit" w:hAnsi="inherit"/>
          <w:sz w:val="24"/>
          <w:szCs w:val="24"/>
        </w:rPr>
        <w:t xml:space="preserve"> </w:t>
      </w:r>
      <w:r>
        <w:rPr>
          <w:rStyle w:val="y2iqfc"/>
          <w:rFonts w:ascii="inherit" w:hAnsi="inherit"/>
          <w:sz w:val="24"/>
          <w:szCs w:val="24"/>
        </w:rPr>
        <w:t>у</w:t>
      </w:r>
      <w:r w:rsidR="00435BCA" w:rsidRPr="00D01564">
        <w:rPr>
          <w:rStyle w:val="y2iqfc"/>
          <w:rFonts w:ascii="inherit" w:hAnsi="inherit"/>
          <w:sz w:val="24"/>
          <w:szCs w:val="24"/>
        </w:rPr>
        <w:t xml:space="preserve"> </w:t>
      </w:r>
      <w:r>
        <w:rPr>
          <w:rStyle w:val="y2iqfc"/>
          <w:rFonts w:ascii="inherit" w:hAnsi="inherit"/>
          <w:sz w:val="24"/>
          <w:szCs w:val="24"/>
        </w:rPr>
        <w:t>системима</w:t>
      </w:r>
      <w:r w:rsidR="00435BCA" w:rsidRPr="00D01564">
        <w:rPr>
          <w:rStyle w:val="y2iqfc"/>
          <w:rFonts w:ascii="inherit" w:hAnsi="inherit"/>
          <w:sz w:val="24"/>
          <w:szCs w:val="24"/>
        </w:rPr>
        <w:t xml:space="preserve"> </w:t>
      </w:r>
      <w:r>
        <w:rPr>
          <w:rStyle w:val="y2iqfc"/>
          <w:rFonts w:ascii="inherit" w:hAnsi="inherit"/>
          <w:sz w:val="24"/>
          <w:szCs w:val="24"/>
        </w:rPr>
        <w:t>подршке</w:t>
      </w:r>
      <w:r w:rsidR="00435BCA" w:rsidRPr="00D01564">
        <w:rPr>
          <w:rStyle w:val="y2iqfc"/>
          <w:rFonts w:ascii="inherit" w:hAnsi="inherit"/>
          <w:sz w:val="24"/>
          <w:szCs w:val="24"/>
        </w:rPr>
        <w:t xml:space="preserve"> </w:t>
      </w:r>
      <w:r>
        <w:rPr>
          <w:rStyle w:val="y2iqfc"/>
          <w:rFonts w:ascii="inherit" w:hAnsi="inherit"/>
          <w:sz w:val="24"/>
          <w:szCs w:val="24"/>
        </w:rPr>
        <w:t>и</w:t>
      </w:r>
      <w:r w:rsidR="00435BCA" w:rsidRPr="00D01564">
        <w:rPr>
          <w:rStyle w:val="y2iqfc"/>
          <w:rFonts w:ascii="inherit" w:hAnsi="inherit"/>
          <w:sz w:val="24"/>
          <w:szCs w:val="24"/>
        </w:rPr>
        <w:t xml:space="preserve"> </w:t>
      </w:r>
      <w:r>
        <w:rPr>
          <w:rStyle w:val="y2iqfc"/>
          <w:rFonts w:ascii="inherit" w:hAnsi="inherit"/>
          <w:sz w:val="24"/>
          <w:szCs w:val="24"/>
        </w:rPr>
        <w:t>како</w:t>
      </w:r>
      <w:r w:rsidR="00435BCA" w:rsidRPr="00D01564">
        <w:rPr>
          <w:rStyle w:val="y2iqfc"/>
          <w:rFonts w:ascii="inherit" w:hAnsi="inherit"/>
          <w:sz w:val="24"/>
          <w:szCs w:val="24"/>
        </w:rPr>
        <w:t xml:space="preserve"> </w:t>
      </w:r>
      <w:r>
        <w:rPr>
          <w:rStyle w:val="y2iqfc"/>
          <w:rFonts w:ascii="inherit" w:hAnsi="inherit"/>
          <w:sz w:val="24"/>
          <w:szCs w:val="24"/>
        </w:rPr>
        <w:t>да</w:t>
      </w:r>
      <w:r w:rsidR="00435BCA" w:rsidRPr="00D01564">
        <w:rPr>
          <w:rStyle w:val="y2iqfc"/>
          <w:rFonts w:ascii="inherit" w:hAnsi="inherit"/>
          <w:sz w:val="24"/>
          <w:szCs w:val="24"/>
        </w:rPr>
        <w:t xml:space="preserve"> </w:t>
      </w:r>
      <w:r>
        <w:rPr>
          <w:rStyle w:val="y2iqfc"/>
          <w:rFonts w:ascii="inherit" w:hAnsi="inherit"/>
          <w:sz w:val="24"/>
          <w:szCs w:val="24"/>
        </w:rPr>
        <w:t>се</w:t>
      </w:r>
      <w:r w:rsidR="00435BCA" w:rsidRPr="00D01564">
        <w:rPr>
          <w:rStyle w:val="y2iqfc"/>
          <w:rFonts w:ascii="inherit" w:hAnsi="inherit"/>
          <w:sz w:val="24"/>
          <w:szCs w:val="24"/>
        </w:rPr>
        <w:t xml:space="preserve"> </w:t>
      </w:r>
      <w:r>
        <w:rPr>
          <w:rStyle w:val="y2iqfc"/>
          <w:rFonts w:ascii="inherit" w:hAnsi="inherit"/>
          <w:sz w:val="24"/>
          <w:szCs w:val="24"/>
        </w:rPr>
        <w:t>ангаж</w:t>
      </w:r>
      <w:r w:rsidR="00E3060A">
        <w:rPr>
          <w:rStyle w:val="y2iqfc"/>
          <w:rFonts w:ascii="inherit" w:hAnsi="inherit"/>
          <w:sz w:val="24"/>
          <w:szCs w:val="24"/>
          <w:lang w:val="sr-Cyrl-BA"/>
        </w:rPr>
        <w:t>у</w:t>
      </w:r>
      <w:r>
        <w:rPr>
          <w:rStyle w:val="y2iqfc"/>
          <w:rFonts w:ascii="inherit" w:hAnsi="inherit"/>
          <w:sz w:val="24"/>
          <w:szCs w:val="24"/>
        </w:rPr>
        <w:t>ју</w:t>
      </w:r>
      <w:r w:rsidR="00435BCA" w:rsidRPr="00D01564">
        <w:rPr>
          <w:rStyle w:val="y2iqfc"/>
          <w:rFonts w:ascii="inherit" w:hAnsi="inherit"/>
          <w:sz w:val="24"/>
          <w:szCs w:val="24"/>
        </w:rPr>
        <w:t xml:space="preserve"> </w:t>
      </w:r>
      <w:r>
        <w:rPr>
          <w:rStyle w:val="y2iqfc"/>
          <w:rFonts w:ascii="inherit" w:hAnsi="inherit"/>
          <w:sz w:val="24"/>
          <w:szCs w:val="24"/>
        </w:rPr>
        <w:t>у</w:t>
      </w:r>
      <w:r w:rsidR="00435BCA" w:rsidRPr="00D01564">
        <w:rPr>
          <w:rStyle w:val="y2iqfc"/>
          <w:rFonts w:ascii="inherit" w:hAnsi="inherit"/>
          <w:sz w:val="24"/>
          <w:szCs w:val="24"/>
        </w:rPr>
        <w:t xml:space="preserve"> </w:t>
      </w:r>
      <w:r>
        <w:rPr>
          <w:rStyle w:val="y2iqfc"/>
          <w:rFonts w:ascii="inherit" w:hAnsi="inherit"/>
          <w:sz w:val="24"/>
          <w:szCs w:val="24"/>
        </w:rPr>
        <w:t>политичким</w:t>
      </w:r>
      <w:r w:rsidR="00435BCA" w:rsidRPr="00D01564">
        <w:rPr>
          <w:rStyle w:val="y2iqfc"/>
          <w:rFonts w:ascii="inherit" w:hAnsi="inherit"/>
          <w:sz w:val="24"/>
          <w:szCs w:val="24"/>
        </w:rPr>
        <w:t xml:space="preserve"> </w:t>
      </w:r>
      <w:r w:rsidR="00E3060A">
        <w:rPr>
          <w:rStyle w:val="y2iqfc"/>
          <w:rFonts w:ascii="inherit" w:hAnsi="inherit"/>
          <w:sz w:val="24"/>
          <w:szCs w:val="24"/>
          <w:lang w:val="sr-Cyrl-BA"/>
        </w:rPr>
        <w:t>партијама</w:t>
      </w:r>
      <w:r w:rsidR="00435BCA" w:rsidRPr="00D01564">
        <w:rPr>
          <w:rStyle w:val="y2iqfc"/>
          <w:rFonts w:ascii="inherit" w:hAnsi="inherit"/>
          <w:sz w:val="24"/>
          <w:szCs w:val="24"/>
        </w:rPr>
        <w:t>.</w:t>
      </w:r>
    </w:p>
    <w:p w:rsidR="00261809" w:rsidRPr="00D01564" w:rsidRDefault="00261809" w:rsidP="0086268D">
      <w:pPr>
        <w:pStyle w:val="HTMLPreformatted"/>
        <w:jc w:val="both"/>
        <w:rPr>
          <w:rFonts w:ascii="inherit" w:hAnsi="inherit"/>
          <w:sz w:val="24"/>
          <w:szCs w:val="24"/>
          <w:lang w:val="en-US"/>
        </w:rPr>
      </w:pPr>
    </w:p>
    <w:p w:rsidR="001C71C5" w:rsidRPr="00D01564" w:rsidRDefault="00C6214E" w:rsidP="0086268D">
      <w:pPr>
        <w:pStyle w:val="HTMLPreformatted"/>
        <w:jc w:val="both"/>
        <w:rPr>
          <w:rStyle w:val="y2iqfc"/>
          <w:rFonts w:ascii="Times New Roman" w:hAnsi="Times New Roman" w:cs="Times New Roman"/>
          <w:sz w:val="24"/>
          <w:szCs w:val="24"/>
        </w:rPr>
      </w:pPr>
      <w:r>
        <w:rPr>
          <w:rStyle w:val="y2iqfc"/>
          <w:rFonts w:ascii="Times New Roman" w:hAnsi="Times New Roman" w:cs="Times New Roman"/>
          <w:sz w:val="24"/>
          <w:szCs w:val="24"/>
        </w:rPr>
        <w:t>Мисија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E3060A">
        <w:rPr>
          <w:rStyle w:val="y2iqfc"/>
          <w:rFonts w:ascii="Times New Roman" w:hAnsi="Times New Roman" w:cs="Times New Roman"/>
          <w:sz w:val="24"/>
          <w:szCs w:val="24"/>
          <w:lang w:val="sr-Cyrl-BA"/>
        </w:rPr>
        <w:t>ЕБС</w:t>
      </w:r>
      <w:r w:rsidR="001C71C5" w:rsidRPr="00D01564">
        <w:rPr>
          <w:rStyle w:val="y2iqfc"/>
          <w:rFonts w:ascii="Times New Roman" w:hAnsi="Times New Roman" w:cs="Times New Roman"/>
          <w:sz w:val="24"/>
          <w:szCs w:val="24"/>
        </w:rPr>
        <w:t>-</w:t>
      </w:r>
      <w:r>
        <w:rPr>
          <w:rStyle w:val="y2iqfc"/>
          <w:rFonts w:ascii="Times New Roman" w:hAnsi="Times New Roman" w:cs="Times New Roman"/>
          <w:sz w:val="24"/>
          <w:szCs w:val="24"/>
        </w:rPr>
        <w:t>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организи</w:t>
      </w:r>
      <w:r w:rsidR="00E3060A">
        <w:rPr>
          <w:rStyle w:val="y2iqfc"/>
          <w:rFonts w:ascii="Times New Roman" w:hAnsi="Times New Roman" w:cs="Times New Roman"/>
          <w:sz w:val="24"/>
          <w:szCs w:val="24"/>
          <w:lang w:val="sr-Cyrl-BA"/>
        </w:rPr>
        <w:t>овал</w:t>
      </w:r>
      <w:r>
        <w:rPr>
          <w:rStyle w:val="y2iqfc"/>
          <w:rFonts w:ascii="Times New Roman" w:hAnsi="Times New Roman" w:cs="Times New Roman"/>
          <w:sz w:val="24"/>
          <w:szCs w:val="24"/>
        </w:rPr>
        <w:t>а</w:t>
      </w:r>
      <w:r w:rsid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дијалог</w:t>
      </w:r>
      <w:r w:rsid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форумима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утицајним</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политичаркама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из</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десет</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политичких</w:t>
      </w:r>
      <w:r w:rsidR="001C71C5" w:rsidRPr="00D01564">
        <w:rPr>
          <w:rStyle w:val="y2iqfc"/>
          <w:rFonts w:ascii="Times New Roman" w:hAnsi="Times New Roman" w:cs="Times New Roman"/>
          <w:sz w:val="24"/>
          <w:szCs w:val="24"/>
        </w:rPr>
        <w:t xml:space="preserve"> </w:t>
      </w:r>
      <w:r w:rsidR="00E3060A">
        <w:rPr>
          <w:rStyle w:val="y2iqfc"/>
          <w:rFonts w:ascii="Times New Roman" w:hAnsi="Times New Roman" w:cs="Times New Roman"/>
          <w:sz w:val="24"/>
          <w:szCs w:val="24"/>
          <w:lang w:val="sr-Cyrl-BA"/>
        </w:rPr>
        <w:t>партија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заступљених</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ПС</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БиХ</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укључујући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оне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власти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опозицији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које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обухватају</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спектар</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центра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деснице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социјалдемократа</w:t>
      </w:r>
      <w:r w:rsidR="00EA697A"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Обављене</w:t>
      </w:r>
      <w:r w:rsidR="00EA697A"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су</w:t>
      </w:r>
      <w:r w:rsidR="00EA697A"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консултације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странкама</w:t>
      </w:r>
      <w:r w:rsidR="001C71C5" w:rsidRPr="00D01564">
        <w:rPr>
          <w:rStyle w:val="y2iqfc"/>
          <w:rFonts w:ascii="Times New Roman" w:hAnsi="Times New Roman" w:cs="Times New Roman"/>
          <w:sz w:val="24"/>
          <w:szCs w:val="24"/>
        </w:rPr>
        <w:t xml:space="preserve"> </w:t>
      </w:r>
      <w:r w:rsidR="00E3060A">
        <w:rPr>
          <w:rStyle w:val="y2iqfc"/>
          <w:rFonts w:ascii="Times New Roman" w:hAnsi="Times New Roman" w:cs="Times New Roman"/>
          <w:sz w:val="24"/>
          <w:szCs w:val="24"/>
          <w:lang w:val="sr-Cyrl-BA"/>
        </w:rPr>
        <w:t>с</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циљ</w:t>
      </w:r>
      <w:r w:rsidR="00E3060A">
        <w:rPr>
          <w:rStyle w:val="y2iqfc"/>
          <w:rFonts w:ascii="Times New Roman" w:hAnsi="Times New Roman" w:cs="Times New Roman"/>
          <w:sz w:val="24"/>
          <w:szCs w:val="24"/>
          <w:lang w:val="sr-Cyrl-BA"/>
        </w:rPr>
        <w:t>ем</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договора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скупу</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основних</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принципа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политичке</w:t>
      </w:r>
      <w:r w:rsidR="00D01564">
        <w:rPr>
          <w:rStyle w:val="y2iqfc"/>
          <w:rFonts w:ascii="Times New Roman" w:hAnsi="Times New Roman" w:cs="Times New Roman"/>
          <w:sz w:val="24"/>
          <w:szCs w:val="24"/>
        </w:rPr>
        <w:t xml:space="preserve"> </w:t>
      </w:r>
      <w:r w:rsidR="00E3060A">
        <w:rPr>
          <w:rStyle w:val="y2iqfc"/>
          <w:rFonts w:ascii="Times New Roman" w:hAnsi="Times New Roman" w:cs="Times New Roman"/>
          <w:sz w:val="24"/>
          <w:szCs w:val="24"/>
          <w:lang w:val="sr-Cyrl-BA"/>
        </w:rPr>
        <w:t>партије</w:t>
      </w:r>
      <w:r w:rsid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како</w:t>
      </w:r>
      <w:r w:rsid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би</w:t>
      </w:r>
      <w:r w:rsid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се</w:t>
      </w:r>
      <w:r w:rsid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обавезале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елиминацију</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насиља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над</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женама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843B63"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јулу</w:t>
      </w:r>
      <w:r w:rsidR="00843B63" w:rsidRPr="00D01564">
        <w:rPr>
          <w:rStyle w:val="y2iqfc"/>
          <w:rFonts w:ascii="Times New Roman" w:hAnsi="Times New Roman" w:cs="Times New Roman"/>
          <w:sz w:val="24"/>
          <w:szCs w:val="24"/>
        </w:rPr>
        <w:t xml:space="preserve"> 2024. </w:t>
      </w:r>
      <w:r>
        <w:rPr>
          <w:rStyle w:val="y2iqfc"/>
          <w:rFonts w:ascii="Times New Roman" w:hAnsi="Times New Roman" w:cs="Times New Roman"/>
          <w:sz w:val="24"/>
          <w:szCs w:val="24"/>
        </w:rPr>
        <w:t>године</w:t>
      </w:r>
      <w:r w:rsidR="00843B63"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објављен</w:t>
      </w:r>
      <w:r w:rsidR="00843B63"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843B63"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843B63"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документ</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Принципи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политички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ангажман</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елиминацију</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насиља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над</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женама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Представнице</w:t>
      </w:r>
      <w:r w:rsidR="001C71C5" w:rsidRPr="00D01564">
        <w:rPr>
          <w:rStyle w:val="y2iqfc"/>
          <w:rFonts w:ascii="Times New Roman" w:hAnsi="Times New Roman" w:cs="Times New Roman"/>
          <w:sz w:val="24"/>
          <w:szCs w:val="24"/>
        </w:rPr>
        <w:t xml:space="preserve"> </w:t>
      </w:r>
      <w:r w:rsidR="00E3060A">
        <w:rPr>
          <w:rStyle w:val="y2iqfc"/>
          <w:rFonts w:ascii="Times New Roman" w:hAnsi="Times New Roman" w:cs="Times New Roman"/>
          <w:sz w:val="24"/>
          <w:szCs w:val="24"/>
          <w:lang w:val="sr-Cyrl-BA"/>
        </w:rPr>
        <w:t>партија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су</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потом</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кроз</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своје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службене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структуре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представиле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документ</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E3060A">
        <w:rPr>
          <w:rStyle w:val="y2iqfc"/>
          <w:rFonts w:ascii="Times New Roman" w:hAnsi="Times New Roman" w:cs="Times New Roman"/>
          <w:sz w:val="24"/>
          <w:szCs w:val="24"/>
          <w:lang w:val="sr-Cyrl-BA"/>
        </w:rPr>
        <w:t>безбиједиле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политичку</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подршку</w:t>
      </w:r>
      <w:r w:rsidR="001C71C5" w:rsidRPr="00D01564">
        <w:rPr>
          <w:rStyle w:val="y2iqfc"/>
          <w:rFonts w:ascii="Times New Roman" w:hAnsi="Times New Roman" w:cs="Times New Roman"/>
          <w:sz w:val="24"/>
          <w:szCs w:val="24"/>
        </w:rPr>
        <w:t xml:space="preserve"> </w:t>
      </w:r>
      <w:r w:rsidR="00E3060A">
        <w:rPr>
          <w:rStyle w:val="y2iqfc"/>
          <w:rFonts w:ascii="Times New Roman" w:hAnsi="Times New Roman" w:cs="Times New Roman"/>
          <w:sz w:val="24"/>
          <w:szCs w:val="24"/>
          <w:lang w:val="sr-Cyrl-BA"/>
        </w:rPr>
        <w:t>партијског</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руководства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поменуте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Принципе</w:t>
      </w:r>
      <w:r w:rsidR="001C71C5" w:rsidRPr="00D01564">
        <w:rPr>
          <w:rStyle w:val="y2iqfc"/>
          <w:rFonts w:ascii="Times New Roman" w:hAnsi="Times New Roman" w:cs="Times New Roman"/>
          <w:sz w:val="24"/>
          <w:szCs w:val="24"/>
        </w:rPr>
        <w:t>.</w:t>
      </w:r>
    </w:p>
    <w:p w:rsidR="001C71C5" w:rsidRPr="00D01564" w:rsidRDefault="001C71C5" w:rsidP="0086268D">
      <w:pPr>
        <w:pStyle w:val="HTMLPreformatted"/>
        <w:jc w:val="both"/>
        <w:rPr>
          <w:rStyle w:val="y2iqfc"/>
          <w:rFonts w:ascii="Times New Roman" w:hAnsi="Times New Roman" w:cs="Times New Roman"/>
          <w:sz w:val="24"/>
          <w:szCs w:val="24"/>
        </w:rPr>
      </w:pPr>
    </w:p>
    <w:p w:rsidR="001C71C5" w:rsidRPr="00D01564" w:rsidRDefault="00C6214E" w:rsidP="0086268D">
      <w:pPr>
        <w:pStyle w:val="HTMLPreformatted"/>
        <w:jc w:val="both"/>
        <w:rPr>
          <w:rStyle w:val="y2iqfc"/>
          <w:rFonts w:ascii="Times New Roman" w:hAnsi="Times New Roman" w:cs="Times New Roman"/>
          <w:sz w:val="24"/>
          <w:szCs w:val="24"/>
        </w:rPr>
      </w:pPr>
      <w:r>
        <w:rPr>
          <w:rStyle w:val="y2iqfc"/>
          <w:rFonts w:ascii="Times New Roman" w:hAnsi="Times New Roman" w:cs="Times New Roman"/>
          <w:sz w:val="24"/>
          <w:szCs w:val="24"/>
        </w:rPr>
        <w:t>У</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сарадњи</w:t>
      </w:r>
      <w:r w:rsid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w:t>
      </w:r>
      <w:r w:rsidR="001C71C5" w:rsidRPr="00D01564">
        <w:rPr>
          <w:rStyle w:val="y2iqfc"/>
          <w:rFonts w:ascii="Times New Roman" w:hAnsi="Times New Roman" w:cs="Times New Roman"/>
          <w:sz w:val="24"/>
          <w:szCs w:val="24"/>
        </w:rPr>
        <w:t xml:space="preserve"> </w:t>
      </w:r>
      <w:r w:rsidR="00E3060A" w:rsidRPr="00E3060A">
        <w:rPr>
          <w:rFonts w:ascii="Times New Roman" w:hAnsi="Times New Roman" w:cs="Times New Roman"/>
          <w:i/>
          <w:sz w:val="24"/>
          <w:szCs w:val="24"/>
          <w:lang w:val="hr-BA"/>
        </w:rPr>
        <w:t>ODIHR</w:t>
      </w:r>
      <w:r w:rsidR="001C71C5" w:rsidRPr="00D01564">
        <w:rPr>
          <w:rStyle w:val="y2iqfc"/>
          <w:rFonts w:ascii="Times New Roman" w:hAnsi="Times New Roman" w:cs="Times New Roman"/>
          <w:sz w:val="24"/>
          <w:szCs w:val="24"/>
        </w:rPr>
        <w:t>-</w:t>
      </w:r>
      <w:r>
        <w:rPr>
          <w:rStyle w:val="y2iqfc"/>
          <w:rFonts w:ascii="Times New Roman" w:hAnsi="Times New Roman" w:cs="Times New Roman"/>
          <w:sz w:val="24"/>
          <w:szCs w:val="24"/>
        </w:rPr>
        <w:t>ом</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Мисија</w:t>
      </w:r>
      <w:r w:rsidR="00F81CB4"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E3060A">
        <w:rPr>
          <w:rStyle w:val="y2iqfc"/>
          <w:rFonts w:ascii="Times New Roman" w:hAnsi="Times New Roman" w:cs="Times New Roman"/>
          <w:sz w:val="24"/>
          <w:szCs w:val="24"/>
          <w:lang w:val="sr-Cyrl-BA"/>
        </w:rPr>
        <w:t>ЕБС</w:t>
      </w:r>
      <w:r w:rsidR="00F81CB4" w:rsidRPr="00D01564">
        <w:rPr>
          <w:rStyle w:val="y2iqfc"/>
          <w:rFonts w:ascii="Times New Roman" w:hAnsi="Times New Roman" w:cs="Times New Roman"/>
          <w:sz w:val="24"/>
          <w:szCs w:val="24"/>
        </w:rPr>
        <w:t>-</w:t>
      </w:r>
      <w:r>
        <w:rPr>
          <w:rStyle w:val="y2iqfc"/>
          <w:rFonts w:ascii="Times New Roman" w:hAnsi="Times New Roman" w:cs="Times New Roman"/>
          <w:sz w:val="24"/>
          <w:szCs w:val="24"/>
        </w:rPr>
        <w:t>а</w:t>
      </w:r>
      <w:r w:rsidR="00F81CB4"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F81CB4"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AB3304"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јуну</w:t>
      </w:r>
      <w:r w:rsidR="00AB3304" w:rsidRPr="00D01564">
        <w:rPr>
          <w:rStyle w:val="y2iqfc"/>
          <w:rFonts w:ascii="Times New Roman" w:hAnsi="Times New Roman" w:cs="Times New Roman"/>
          <w:sz w:val="24"/>
          <w:szCs w:val="24"/>
        </w:rPr>
        <w:t xml:space="preserve"> 2024. </w:t>
      </w:r>
      <w:r>
        <w:rPr>
          <w:rStyle w:val="y2iqfc"/>
          <w:rFonts w:ascii="Times New Roman" w:hAnsi="Times New Roman" w:cs="Times New Roman"/>
          <w:sz w:val="24"/>
          <w:szCs w:val="24"/>
        </w:rPr>
        <w:t>године</w:t>
      </w:r>
      <w:r w:rsidR="00AB3304"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организ</w:t>
      </w:r>
      <w:r w:rsidR="00E3060A">
        <w:rPr>
          <w:rStyle w:val="y2iqfc"/>
          <w:rFonts w:ascii="Times New Roman" w:hAnsi="Times New Roman" w:cs="Times New Roman"/>
          <w:sz w:val="24"/>
          <w:szCs w:val="24"/>
          <w:lang w:val="sr-Cyrl-BA"/>
        </w:rPr>
        <w:t>овала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регионални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стручни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састанак</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Трансформација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политике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Мушки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политичари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као</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кључни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актери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родну</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равноправност</w:t>
      </w:r>
      <w:r w:rsidR="001C71C5" w:rsidRPr="00D01564">
        <w:rPr>
          <w:rStyle w:val="y2iqfc"/>
          <w:rFonts w:ascii="Times New Roman" w:hAnsi="Times New Roman" w:cs="Times New Roman"/>
          <w:sz w:val="24"/>
          <w:szCs w:val="24"/>
        </w:rPr>
        <w:t>“</w:t>
      </w:r>
      <w:r w:rsidR="00AB3304"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који</w:t>
      </w:r>
      <w:r w:rsidR="00AB3304"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AB3304"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окупио</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око</w:t>
      </w:r>
      <w:r w:rsidR="001C71C5" w:rsidRPr="00D01564">
        <w:rPr>
          <w:rStyle w:val="y2iqfc"/>
          <w:rFonts w:ascii="Times New Roman" w:hAnsi="Times New Roman" w:cs="Times New Roman"/>
          <w:sz w:val="24"/>
          <w:szCs w:val="24"/>
        </w:rPr>
        <w:t xml:space="preserve"> 80 </w:t>
      </w:r>
      <w:r>
        <w:rPr>
          <w:rStyle w:val="y2iqfc"/>
          <w:rFonts w:ascii="Times New Roman" w:hAnsi="Times New Roman" w:cs="Times New Roman"/>
          <w:sz w:val="24"/>
          <w:szCs w:val="24"/>
        </w:rPr>
        <w:t>учесника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укључујући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чланове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парламента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парламентарке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носиоце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политичких</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функција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представнике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институција</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домаће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националне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регионалне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међународне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организације</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цивилног</w:t>
      </w:r>
      <w:r w:rsidR="00AB3304"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друштва</w:t>
      </w:r>
      <w:r w:rsidR="00AB3304"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стручњаке</w:t>
      </w:r>
      <w:r w:rsidR="00AB3304" w:rsidRPr="00D01564">
        <w:rPr>
          <w:rStyle w:val="y2iqfc"/>
          <w:rFonts w:ascii="Times New Roman" w:hAnsi="Times New Roman" w:cs="Times New Roman"/>
          <w:sz w:val="24"/>
          <w:szCs w:val="24"/>
        </w:rPr>
        <w:t>/</w:t>
      </w:r>
      <w:r>
        <w:rPr>
          <w:rStyle w:val="y2iqfc"/>
          <w:rFonts w:ascii="Times New Roman" w:hAnsi="Times New Roman" w:cs="Times New Roman"/>
          <w:sz w:val="24"/>
          <w:szCs w:val="24"/>
        </w:rPr>
        <w:t>киње</w:t>
      </w:r>
      <w:r w:rsidR="00AB3304"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1C71C5" w:rsidRPr="00D0156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активисте</w:t>
      </w:r>
      <w:r w:rsidR="001C71C5" w:rsidRPr="00D01564">
        <w:rPr>
          <w:rStyle w:val="y2iqfc"/>
          <w:rFonts w:ascii="Times New Roman" w:hAnsi="Times New Roman" w:cs="Times New Roman"/>
          <w:sz w:val="24"/>
          <w:szCs w:val="24"/>
        </w:rPr>
        <w:t>/</w:t>
      </w:r>
      <w:r>
        <w:rPr>
          <w:rStyle w:val="y2iqfc"/>
          <w:rFonts w:ascii="Times New Roman" w:hAnsi="Times New Roman" w:cs="Times New Roman"/>
          <w:sz w:val="24"/>
          <w:szCs w:val="24"/>
        </w:rPr>
        <w:t>киње</w:t>
      </w:r>
      <w:r w:rsidR="001C71C5" w:rsidRPr="00D01564">
        <w:rPr>
          <w:rStyle w:val="y2iqfc"/>
          <w:rFonts w:ascii="Times New Roman" w:hAnsi="Times New Roman" w:cs="Times New Roman"/>
          <w:sz w:val="24"/>
          <w:szCs w:val="24"/>
        </w:rPr>
        <w:t>.</w:t>
      </w:r>
    </w:p>
    <w:p w:rsidR="00726439" w:rsidRPr="00295637" w:rsidRDefault="00726439" w:rsidP="0086268D">
      <w:pPr>
        <w:tabs>
          <w:tab w:val="left" w:pos="0"/>
          <w:tab w:val="left" w:pos="630"/>
          <w:tab w:val="left" w:pos="1080"/>
        </w:tabs>
        <w:jc w:val="both"/>
        <w:rPr>
          <w:rFonts w:ascii="Times New Roman" w:eastAsia="Calibri" w:hAnsi="Times New Roman"/>
          <w:szCs w:val="24"/>
          <w:lang w:val="bs-Latn-BA"/>
        </w:rPr>
      </w:pPr>
    </w:p>
    <w:p w:rsidR="00356C2C" w:rsidRPr="00295637" w:rsidRDefault="00E3060A" w:rsidP="00062658">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062658">
        <w:rPr>
          <w:rFonts w:ascii="Times New Roman" w:hAnsi="Times New Roman"/>
          <w:szCs w:val="24"/>
          <w:lang w:val="bs-Latn-BA"/>
        </w:rPr>
        <w:t xml:space="preserve"> 2.5. </w:t>
      </w:r>
      <w:r w:rsidR="00C6214E">
        <w:rPr>
          <w:rFonts w:ascii="Times New Roman" w:hAnsi="Times New Roman"/>
          <w:szCs w:val="24"/>
          <w:lang w:val="bs-Latn-BA"/>
        </w:rPr>
        <w:t>Јачање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улоге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одговорности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медија</w:t>
      </w:r>
      <w:r w:rsidR="00356C2C" w:rsidRPr="00295637">
        <w:rPr>
          <w:rFonts w:ascii="Times New Roman" w:hAnsi="Times New Roman"/>
          <w:szCs w:val="24"/>
          <w:lang w:val="bs-Latn-BA"/>
        </w:rPr>
        <w:t xml:space="preserve">,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промотивних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информаци</w:t>
      </w:r>
      <w:r>
        <w:rPr>
          <w:rFonts w:ascii="Times New Roman" w:hAnsi="Times New Roman"/>
          <w:szCs w:val="24"/>
          <w:lang w:val="sr-Cyrl-BA"/>
        </w:rPr>
        <w:t>оних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подизање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свијести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јавности</w:t>
      </w:r>
      <w:r w:rsidR="00D30E48">
        <w:rPr>
          <w:rFonts w:ascii="Times New Roman" w:hAnsi="Times New Roman"/>
          <w:szCs w:val="24"/>
          <w:lang w:val="bs-Latn-BA"/>
        </w:rPr>
        <w:t xml:space="preserve"> </w:t>
      </w:r>
      <w:r w:rsidR="00C6214E">
        <w:rPr>
          <w:rFonts w:ascii="Times New Roman" w:hAnsi="Times New Roman"/>
          <w:szCs w:val="24"/>
          <w:lang w:val="bs-Latn-BA"/>
        </w:rPr>
        <w:t>о</w:t>
      </w:r>
      <w:r w:rsidR="00D30E48">
        <w:rPr>
          <w:rFonts w:ascii="Times New Roman" w:hAnsi="Times New Roman"/>
          <w:szCs w:val="24"/>
          <w:lang w:val="bs-Latn-BA"/>
        </w:rPr>
        <w:t xml:space="preserve"> </w:t>
      </w:r>
      <w:r w:rsidR="00C6214E">
        <w:rPr>
          <w:rFonts w:ascii="Times New Roman" w:hAnsi="Times New Roman"/>
          <w:szCs w:val="24"/>
          <w:lang w:val="bs-Latn-BA"/>
        </w:rPr>
        <w:t>важности</w:t>
      </w:r>
      <w:r w:rsidR="00D30E48">
        <w:rPr>
          <w:rFonts w:ascii="Times New Roman" w:hAnsi="Times New Roman"/>
          <w:szCs w:val="24"/>
          <w:lang w:val="bs-Latn-BA"/>
        </w:rPr>
        <w:t xml:space="preserve"> </w:t>
      </w:r>
      <w:r w:rsidR="00C6214E">
        <w:rPr>
          <w:rFonts w:ascii="Times New Roman" w:hAnsi="Times New Roman"/>
          <w:szCs w:val="24"/>
          <w:lang w:val="bs-Latn-BA"/>
        </w:rPr>
        <w:t>равноправне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заступљености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мушкараца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свим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нивоима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политичког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јавног</w:t>
      </w:r>
      <w:r w:rsidR="00356C2C" w:rsidRPr="00295637">
        <w:rPr>
          <w:rFonts w:ascii="Times New Roman" w:hAnsi="Times New Roman"/>
          <w:szCs w:val="24"/>
          <w:lang w:val="bs-Latn-BA"/>
        </w:rPr>
        <w:t xml:space="preserve"> </w:t>
      </w:r>
      <w:r w:rsidR="00C6214E">
        <w:rPr>
          <w:rFonts w:ascii="Times New Roman" w:eastAsia="Calibri" w:hAnsi="Times New Roman"/>
          <w:szCs w:val="24"/>
          <w:lang w:val="bs-Latn-BA"/>
        </w:rPr>
        <w:t>одлучивања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важности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борбе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против</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родних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стереотипа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сексизма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говора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мржње</w:t>
      </w:r>
      <w:r w:rsidR="00356C2C" w:rsidRPr="00295637">
        <w:rPr>
          <w:rFonts w:ascii="Times New Roman" w:eastAsia="Calibri" w:hAnsi="Times New Roman"/>
          <w:szCs w:val="24"/>
          <w:lang w:val="bs-Latn-BA"/>
        </w:rPr>
        <w:t>.</w:t>
      </w:r>
    </w:p>
    <w:p w:rsidR="00276393" w:rsidRPr="00295637" w:rsidRDefault="00276393" w:rsidP="0086268D">
      <w:pPr>
        <w:tabs>
          <w:tab w:val="left" w:pos="284"/>
          <w:tab w:val="left" w:pos="630"/>
          <w:tab w:val="left" w:pos="1080"/>
        </w:tabs>
        <w:ind w:left="1080"/>
        <w:jc w:val="both"/>
        <w:rPr>
          <w:rFonts w:ascii="Times New Roman" w:hAnsi="Times New Roman"/>
          <w:szCs w:val="24"/>
          <w:lang w:val="bs-Latn-BA"/>
        </w:rPr>
      </w:pPr>
    </w:p>
    <w:p w:rsidR="00F8395A" w:rsidRPr="006820FB" w:rsidRDefault="00C6214E" w:rsidP="0086268D">
      <w:pPr>
        <w:pStyle w:val="NormalWeb"/>
        <w:spacing w:before="0" w:beforeAutospacing="0" w:after="0" w:afterAutospacing="0"/>
        <w:jc w:val="both"/>
        <w:textAlignment w:val="baseline"/>
        <w:rPr>
          <w:lang w:val="hr-HR"/>
        </w:rPr>
      </w:pPr>
      <w:r>
        <w:rPr>
          <w:lang w:val="hr-HR"/>
        </w:rPr>
        <w:t>Поводом</w:t>
      </w:r>
      <w:r w:rsidR="00296CFA" w:rsidRPr="006820FB">
        <w:rPr>
          <w:lang w:val="hr-HR"/>
        </w:rPr>
        <w:t xml:space="preserve"> </w:t>
      </w:r>
      <w:r>
        <w:rPr>
          <w:lang w:val="hr-HR"/>
        </w:rPr>
        <w:t>обиљежавања</w:t>
      </w:r>
      <w:r w:rsidR="00296CFA" w:rsidRPr="006820FB">
        <w:rPr>
          <w:lang w:val="hr-HR"/>
        </w:rPr>
        <w:t xml:space="preserve"> 8. </w:t>
      </w:r>
      <w:r>
        <w:rPr>
          <w:lang w:val="hr-HR"/>
        </w:rPr>
        <w:t>марта</w:t>
      </w:r>
      <w:r w:rsidR="00296CFA" w:rsidRPr="006820FB">
        <w:rPr>
          <w:lang w:val="hr-HR"/>
        </w:rPr>
        <w:t xml:space="preserve">, </w:t>
      </w:r>
      <w:r>
        <w:rPr>
          <w:lang w:val="hr-HR"/>
        </w:rPr>
        <w:t>Међународног</w:t>
      </w:r>
      <w:r w:rsidR="00296CFA" w:rsidRPr="006820FB">
        <w:rPr>
          <w:lang w:val="hr-HR"/>
        </w:rPr>
        <w:t xml:space="preserve"> </w:t>
      </w:r>
      <w:r>
        <w:rPr>
          <w:lang w:val="hr-HR"/>
        </w:rPr>
        <w:t>дана</w:t>
      </w:r>
      <w:r w:rsidR="00296CFA" w:rsidRPr="006820FB">
        <w:rPr>
          <w:lang w:val="hr-HR"/>
        </w:rPr>
        <w:t xml:space="preserve"> </w:t>
      </w:r>
      <w:r>
        <w:rPr>
          <w:lang w:val="hr-HR"/>
        </w:rPr>
        <w:t>жена</w:t>
      </w:r>
      <w:r w:rsidR="00296CFA" w:rsidRPr="006820FB">
        <w:rPr>
          <w:lang w:val="hr-HR"/>
        </w:rPr>
        <w:t xml:space="preserve">, </w:t>
      </w:r>
      <w:r>
        <w:rPr>
          <w:lang w:val="hr-HR"/>
        </w:rPr>
        <w:t>АР</w:t>
      </w:r>
      <w:r w:rsidR="00E3060A">
        <w:rPr>
          <w:lang w:val="sr-Cyrl-BA"/>
        </w:rPr>
        <w:t>П</w:t>
      </w:r>
      <w:r w:rsidR="00D01564">
        <w:rPr>
          <w:lang w:val="hr-HR"/>
        </w:rPr>
        <w:t xml:space="preserve"> </w:t>
      </w:r>
      <w:r>
        <w:rPr>
          <w:lang w:val="hr-HR"/>
        </w:rPr>
        <w:t>БиХ</w:t>
      </w:r>
      <w:r w:rsidR="00D01564">
        <w:rPr>
          <w:lang w:val="hr-HR"/>
        </w:rPr>
        <w:t xml:space="preserve"> </w:t>
      </w:r>
      <w:r>
        <w:rPr>
          <w:lang w:val="hr-HR"/>
        </w:rPr>
        <w:t>МЉПИ</w:t>
      </w:r>
      <w:r w:rsidR="00D01564">
        <w:rPr>
          <w:lang w:val="hr-HR"/>
        </w:rPr>
        <w:t xml:space="preserve"> </w:t>
      </w:r>
      <w:r>
        <w:rPr>
          <w:lang w:val="hr-HR"/>
        </w:rPr>
        <w:t>БиХ</w:t>
      </w:r>
      <w:r w:rsidR="0088713C" w:rsidRPr="006820FB">
        <w:rPr>
          <w:lang w:val="hr-HR"/>
        </w:rPr>
        <w:t xml:space="preserve"> </w:t>
      </w:r>
      <w:r>
        <w:rPr>
          <w:lang w:val="hr-HR"/>
        </w:rPr>
        <w:t>је</w:t>
      </w:r>
      <w:r w:rsidR="0088713C" w:rsidRPr="006820FB">
        <w:rPr>
          <w:lang w:val="hr-HR"/>
        </w:rPr>
        <w:t xml:space="preserve"> </w:t>
      </w:r>
      <w:r>
        <w:rPr>
          <w:lang w:val="hr-HR"/>
        </w:rPr>
        <w:t>у</w:t>
      </w:r>
      <w:r w:rsidR="00296CFA" w:rsidRPr="006820FB">
        <w:rPr>
          <w:lang w:val="hr-HR"/>
        </w:rPr>
        <w:t xml:space="preserve"> </w:t>
      </w:r>
      <w:r>
        <w:rPr>
          <w:lang w:val="hr-HR"/>
        </w:rPr>
        <w:t>сарадњи</w:t>
      </w:r>
      <w:r w:rsidR="00D01564">
        <w:rPr>
          <w:lang w:val="hr-HR"/>
        </w:rPr>
        <w:t xml:space="preserve"> </w:t>
      </w:r>
      <w:r>
        <w:rPr>
          <w:lang w:val="hr-HR"/>
        </w:rPr>
        <w:t>са</w:t>
      </w:r>
      <w:r w:rsidR="00296CFA" w:rsidRPr="006820FB">
        <w:rPr>
          <w:lang w:val="hr-HR"/>
        </w:rPr>
        <w:t xml:space="preserve"> </w:t>
      </w:r>
      <w:r>
        <w:rPr>
          <w:lang w:val="hr-HR"/>
        </w:rPr>
        <w:t>КОРС</w:t>
      </w:r>
      <w:r w:rsidR="00296CFA" w:rsidRPr="006820FB">
        <w:rPr>
          <w:lang w:val="hr-HR"/>
        </w:rPr>
        <w:t xml:space="preserve"> </w:t>
      </w:r>
      <w:r>
        <w:rPr>
          <w:lang w:val="hr-HR"/>
        </w:rPr>
        <w:t>ПС</w:t>
      </w:r>
      <w:r w:rsidR="00EA697A">
        <w:rPr>
          <w:lang w:val="hr-HR"/>
        </w:rPr>
        <w:t xml:space="preserve"> </w:t>
      </w:r>
      <w:r>
        <w:rPr>
          <w:lang w:val="hr-HR"/>
        </w:rPr>
        <w:t>БиХ</w:t>
      </w:r>
      <w:r w:rsidR="00296CFA" w:rsidRPr="006820FB">
        <w:rPr>
          <w:lang w:val="hr-HR"/>
        </w:rPr>
        <w:t xml:space="preserve">, </w:t>
      </w:r>
      <w:r>
        <w:rPr>
          <w:lang w:val="hr-HR"/>
        </w:rPr>
        <w:t>организ</w:t>
      </w:r>
      <w:r w:rsidR="00E3060A">
        <w:rPr>
          <w:lang w:val="sr-Cyrl-BA"/>
        </w:rPr>
        <w:t>овала</w:t>
      </w:r>
      <w:r w:rsidR="007C7343" w:rsidRPr="006820FB">
        <w:rPr>
          <w:lang w:val="hr-HR"/>
        </w:rPr>
        <w:t xml:space="preserve"> </w:t>
      </w:r>
      <w:r>
        <w:rPr>
          <w:lang w:val="hr-HR"/>
        </w:rPr>
        <w:t>тематску</w:t>
      </w:r>
      <w:r w:rsidR="00296CFA" w:rsidRPr="006820FB">
        <w:rPr>
          <w:lang w:val="hr-HR"/>
        </w:rPr>
        <w:t xml:space="preserve"> </w:t>
      </w:r>
      <w:r>
        <w:rPr>
          <w:lang w:val="hr-HR"/>
        </w:rPr>
        <w:t>сједницу</w:t>
      </w:r>
      <w:r w:rsidR="00296CFA" w:rsidRPr="006820FB">
        <w:rPr>
          <w:lang w:val="hr-HR"/>
        </w:rPr>
        <w:t xml:space="preserve"> </w:t>
      </w:r>
      <w:r>
        <w:rPr>
          <w:lang w:val="hr-HR"/>
        </w:rPr>
        <w:t>под</w:t>
      </w:r>
      <w:r w:rsidR="00296CFA" w:rsidRPr="006820FB">
        <w:rPr>
          <w:lang w:val="hr-HR"/>
        </w:rPr>
        <w:t xml:space="preserve"> </w:t>
      </w:r>
      <w:r>
        <w:rPr>
          <w:lang w:val="hr-HR"/>
        </w:rPr>
        <w:t>називом</w:t>
      </w:r>
      <w:r w:rsidR="00296CFA" w:rsidRPr="006820FB">
        <w:rPr>
          <w:lang w:val="hr-HR"/>
        </w:rPr>
        <w:t xml:space="preserve"> „</w:t>
      </w:r>
      <w:r>
        <w:rPr>
          <w:lang w:val="hr-HR"/>
        </w:rPr>
        <w:t>Друштвено</w:t>
      </w:r>
      <w:r w:rsidR="00296CFA" w:rsidRPr="006820FB">
        <w:rPr>
          <w:lang w:val="hr-HR"/>
        </w:rPr>
        <w:t>-</w:t>
      </w:r>
      <w:r>
        <w:rPr>
          <w:lang w:val="hr-HR"/>
        </w:rPr>
        <w:t>економска</w:t>
      </w:r>
      <w:r w:rsidR="00296CFA" w:rsidRPr="006820FB">
        <w:rPr>
          <w:lang w:val="hr-HR"/>
        </w:rPr>
        <w:t xml:space="preserve"> </w:t>
      </w:r>
      <w:r>
        <w:rPr>
          <w:lang w:val="hr-HR"/>
        </w:rPr>
        <w:t>питања</w:t>
      </w:r>
      <w:r w:rsidR="00296CFA" w:rsidRPr="006820FB">
        <w:rPr>
          <w:lang w:val="hr-HR"/>
        </w:rPr>
        <w:t xml:space="preserve"> </w:t>
      </w:r>
      <w:r>
        <w:rPr>
          <w:lang w:val="hr-HR"/>
        </w:rPr>
        <w:t>оснаживања</w:t>
      </w:r>
      <w:r w:rsidR="00296CFA" w:rsidRPr="006820FB">
        <w:rPr>
          <w:lang w:val="hr-HR"/>
        </w:rPr>
        <w:t xml:space="preserve"> </w:t>
      </w:r>
      <w:r>
        <w:rPr>
          <w:lang w:val="hr-HR"/>
        </w:rPr>
        <w:t>жена</w:t>
      </w:r>
      <w:r w:rsidR="00296CFA" w:rsidRPr="006820FB">
        <w:rPr>
          <w:lang w:val="hr-HR"/>
        </w:rPr>
        <w:t xml:space="preserve"> </w:t>
      </w:r>
      <w:r>
        <w:rPr>
          <w:lang w:val="hr-HR"/>
        </w:rPr>
        <w:t>за</w:t>
      </w:r>
      <w:r w:rsidR="00296CFA" w:rsidRPr="006820FB">
        <w:rPr>
          <w:lang w:val="hr-HR"/>
        </w:rPr>
        <w:t xml:space="preserve"> </w:t>
      </w:r>
      <w:r>
        <w:rPr>
          <w:lang w:val="hr-HR"/>
        </w:rPr>
        <w:t>учешће</w:t>
      </w:r>
      <w:r w:rsidR="00296CFA" w:rsidRPr="006820FB">
        <w:rPr>
          <w:lang w:val="hr-HR"/>
        </w:rPr>
        <w:t xml:space="preserve"> </w:t>
      </w:r>
      <w:r>
        <w:rPr>
          <w:lang w:val="hr-HR"/>
        </w:rPr>
        <w:t>у</w:t>
      </w:r>
      <w:r w:rsidR="00296CFA" w:rsidRPr="006820FB">
        <w:rPr>
          <w:lang w:val="hr-HR"/>
        </w:rPr>
        <w:t xml:space="preserve"> </w:t>
      </w:r>
      <w:r>
        <w:rPr>
          <w:lang w:val="hr-HR"/>
        </w:rPr>
        <w:t>доношењу</w:t>
      </w:r>
      <w:r w:rsidR="00296CFA" w:rsidRPr="006820FB">
        <w:rPr>
          <w:lang w:val="hr-HR"/>
        </w:rPr>
        <w:t xml:space="preserve"> </w:t>
      </w:r>
      <w:r>
        <w:rPr>
          <w:lang w:val="hr-HR"/>
        </w:rPr>
        <w:t>одлука</w:t>
      </w:r>
      <w:r w:rsidR="00296CFA" w:rsidRPr="006820FB">
        <w:rPr>
          <w:lang w:val="hr-HR"/>
        </w:rPr>
        <w:t xml:space="preserve"> </w:t>
      </w:r>
      <w:r>
        <w:rPr>
          <w:lang w:val="hr-HR"/>
        </w:rPr>
        <w:t>у</w:t>
      </w:r>
      <w:r w:rsidR="00296CFA" w:rsidRPr="006820FB">
        <w:rPr>
          <w:lang w:val="hr-HR"/>
        </w:rPr>
        <w:t xml:space="preserve"> </w:t>
      </w:r>
      <w:r>
        <w:rPr>
          <w:lang w:val="hr-HR"/>
        </w:rPr>
        <w:t>Босни</w:t>
      </w:r>
      <w:r w:rsidR="00296CFA" w:rsidRPr="006820FB">
        <w:rPr>
          <w:lang w:val="hr-HR"/>
        </w:rPr>
        <w:t xml:space="preserve"> </w:t>
      </w:r>
      <w:r>
        <w:rPr>
          <w:lang w:val="hr-HR"/>
        </w:rPr>
        <w:t>и</w:t>
      </w:r>
      <w:r w:rsidR="00296CFA" w:rsidRPr="006820FB">
        <w:rPr>
          <w:lang w:val="hr-HR"/>
        </w:rPr>
        <w:t xml:space="preserve"> </w:t>
      </w:r>
      <w:r>
        <w:rPr>
          <w:lang w:val="hr-HR"/>
        </w:rPr>
        <w:t>Херцеговини</w:t>
      </w:r>
      <w:r w:rsidR="00296CFA" w:rsidRPr="006820FB">
        <w:rPr>
          <w:lang w:val="hr-HR"/>
        </w:rPr>
        <w:t>”.</w:t>
      </w:r>
      <w:r w:rsidR="008E5600" w:rsidRPr="006820FB">
        <w:rPr>
          <w:lang w:val="hr-HR"/>
        </w:rPr>
        <w:t xml:space="preserve"> </w:t>
      </w:r>
      <w:r>
        <w:rPr>
          <w:lang w:val="hr-HR"/>
        </w:rPr>
        <w:t>Тим</w:t>
      </w:r>
      <w:r w:rsidR="00296CFA" w:rsidRPr="006820FB">
        <w:rPr>
          <w:lang w:val="hr-HR"/>
        </w:rPr>
        <w:t xml:space="preserve"> </w:t>
      </w:r>
      <w:r>
        <w:rPr>
          <w:lang w:val="hr-HR"/>
        </w:rPr>
        <w:t>поводом</w:t>
      </w:r>
      <w:r w:rsidR="00296CFA" w:rsidRPr="006820FB">
        <w:rPr>
          <w:lang w:val="hr-HR"/>
        </w:rPr>
        <w:t xml:space="preserve">, </w:t>
      </w:r>
      <w:r>
        <w:rPr>
          <w:lang w:val="hr-HR"/>
        </w:rPr>
        <w:t>министар</w:t>
      </w:r>
      <w:r w:rsidR="00296CFA" w:rsidRPr="006820FB">
        <w:rPr>
          <w:lang w:val="hr-HR"/>
        </w:rPr>
        <w:t xml:space="preserve"> </w:t>
      </w:r>
      <w:r>
        <w:rPr>
          <w:lang w:val="hr-HR"/>
        </w:rPr>
        <w:t>за</w:t>
      </w:r>
      <w:r w:rsidR="00296CFA" w:rsidRPr="006820FB">
        <w:rPr>
          <w:lang w:val="hr-HR"/>
        </w:rPr>
        <w:t xml:space="preserve"> </w:t>
      </w:r>
      <w:r>
        <w:rPr>
          <w:lang w:val="hr-HR"/>
        </w:rPr>
        <w:t>људска</w:t>
      </w:r>
      <w:r w:rsidR="00296CFA" w:rsidRPr="006820FB">
        <w:rPr>
          <w:lang w:val="hr-HR"/>
        </w:rPr>
        <w:t xml:space="preserve"> </w:t>
      </w:r>
      <w:r>
        <w:rPr>
          <w:lang w:val="hr-HR"/>
        </w:rPr>
        <w:t>права</w:t>
      </w:r>
      <w:r w:rsidR="00296CFA" w:rsidRPr="006820FB">
        <w:rPr>
          <w:lang w:val="hr-HR"/>
        </w:rPr>
        <w:t xml:space="preserve"> </w:t>
      </w:r>
      <w:r>
        <w:rPr>
          <w:lang w:val="hr-HR"/>
        </w:rPr>
        <w:t>и</w:t>
      </w:r>
      <w:r w:rsidR="00296CFA" w:rsidRPr="006820FB">
        <w:rPr>
          <w:lang w:val="hr-HR"/>
        </w:rPr>
        <w:t xml:space="preserve"> </w:t>
      </w:r>
      <w:r>
        <w:rPr>
          <w:lang w:val="hr-HR"/>
        </w:rPr>
        <w:t>избјеглице</w:t>
      </w:r>
      <w:r w:rsidR="00296CFA" w:rsidRPr="006820FB">
        <w:rPr>
          <w:lang w:val="hr-HR"/>
        </w:rPr>
        <w:t xml:space="preserve"> </w:t>
      </w:r>
      <w:r>
        <w:rPr>
          <w:lang w:val="hr-HR"/>
        </w:rPr>
        <w:t>БиХ</w:t>
      </w:r>
      <w:r w:rsidR="00296CFA" w:rsidRPr="006820FB">
        <w:rPr>
          <w:lang w:val="hr-HR"/>
        </w:rPr>
        <w:t xml:space="preserve"> </w:t>
      </w:r>
      <w:r>
        <w:rPr>
          <w:lang w:val="hr-HR"/>
        </w:rPr>
        <w:t>је</w:t>
      </w:r>
      <w:r w:rsidR="00296CFA" w:rsidRPr="006820FB">
        <w:rPr>
          <w:lang w:val="hr-HR"/>
        </w:rPr>
        <w:t xml:space="preserve"> </w:t>
      </w:r>
      <w:r>
        <w:rPr>
          <w:lang w:val="hr-HR"/>
        </w:rPr>
        <w:t>у</w:t>
      </w:r>
      <w:r w:rsidR="00296CFA" w:rsidRPr="006820FB">
        <w:rPr>
          <w:lang w:val="hr-HR"/>
        </w:rPr>
        <w:t xml:space="preserve"> </w:t>
      </w:r>
      <w:r>
        <w:rPr>
          <w:lang w:val="hr-HR"/>
        </w:rPr>
        <w:t>свом</w:t>
      </w:r>
      <w:r w:rsidR="00296CFA" w:rsidRPr="006820FB">
        <w:rPr>
          <w:lang w:val="hr-HR"/>
        </w:rPr>
        <w:t xml:space="preserve"> </w:t>
      </w:r>
      <w:r>
        <w:rPr>
          <w:lang w:val="hr-HR"/>
        </w:rPr>
        <w:t>обраћању</w:t>
      </w:r>
      <w:r w:rsidR="00296CFA" w:rsidRPr="006820FB">
        <w:rPr>
          <w:lang w:val="hr-HR"/>
        </w:rPr>
        <w:t xml:space="preserve"> </w:t>
      </w:r>
      <w:r>
        <w:rPr>
          <w:lang w:val="hr-HR"/>
        </w:rPr>
        <w:t>констат</w:t>
      </w:r>
      <w:r w:rsidR="00E3060A">
        <w:rPr>
          <w:lang w:val="sr-Cyrl-BA"/>
        </w:rPr>
        <w:t>овао</w:t>
      </w:r>
      <w:r w:rsidR="00296CFA" w:rsidRPr="006820FB">
        <w:rPr>
          <w:lang w:val="hr-HR"/>
        </w:rPr>
        <w:t xml:space="preserve"> </w:t>
      </w:r>
      <w:r>
        <w:rPr>
          <w:lang w:val="hr-HR"/>
        </w:rPr>
        <w:t>да</w:t>
      </w:r>
      <w:r w:rsidR="00296CFA" w:rsidRPr="006820FB">
        <w:rPr>
          <w:lang w:val="hr-HR"/>
        </w:rPr>
        <w:t xml:space="preserve"> </w:t>
      </w:r>
      <w:r>
        <w:rPr>
          <w:lang w:val="hr-HR"/>
        </w:rPr>
        <w:t>упркос</w:t>
      </w:r>
      <w:r w:rsidR="00296CFA" w:rsidRPr="006820FB">
        <w:rPr>
          <w:lang w:val="hr-HR"/>
        </w:rPr>
        <w:t xml:space="preserve"> </w:t>
      </w:r>
      <w:r>
        <w:rPr>
          <w:lang w:val="hr-HR"/>
        </w:rPr>
        <w:t>дугогодишњим</w:t>
      </w:r>
      <w:r w:rsidR="00296CFA" w:rsidRPr="006820FB">
        <w:rPr>
          <w:lang w:val="hr-HR"/>
        </w:rPr>
        <w:t xml:space="preserve"> </w:t>
      </w:r>
      <w:r>
        <w:rPr>
          <w:lang w:val="hr-HR"/>
        </w:rPr>
        <w:t>напорима</w:t>
      </w:r>
      <w:r w:rsidR="00296CFA" w:rsidRPr="006820FB">
        <w:rPr>
          <w:lang w:val="hr-HR"/>
        </w:rPr>
        <w:t xml:space="preserve"> </w:t>
      </w:r>
      <w:r>
        <w:rPr>
          <w:lang w:val="hr-HR"/>
        </w:rPr>
        <w:t>јавног</w:t>
      </w:r>
      <w:r w:rsidR="00D01564">
        <w:rPr>
          <w:lang w:val="hr-HR"/>
        </w:rPr>
        <w:t xml:space="preserve"> </w:t>
      </w:r>
      <w:r>
        <w:rPr>
          <w:lang w:val="hr-HR"/>
        </w:rPr>
        <w:t>сектора</w:t>
      </w:r>
      <w:r w:rsidR="00D01564">
        <w:rPr>
          <w:lang w:val="hr-HR"/>
        </w:rPr>
        <w:t xml:space="preserve">, </w:t>
      </w:r>
      <w:r>
        <w:rPr>
          <w:lang w:val="hr-HR"/>
        </w:rPr>
        <w:t>у</w:t>
      </w:r>
      <w:r w:rsidR="00D01564">
        <w:rPr>
          <w:lang w:val="hr-HR"/>
        </w:rPr>
        <w:t xml:space="preserve"> </w:t>
      </w:r>
      <w:r>
        <w:rPr>
          <w:lang w:val="hr-HR"/>
        </w:rPr>
        <w:t>партнерству</w:t>
      </w:r>
      <w:r w:rsidR="00D01564">
        <w:rPr>
          <w:lang w:val="hr-HR"/>
        </w:rPr>
        <w:t xml:space="preserve"> </w:t>
      </w:r>
      <w:r>
        <w:rPr>
          <w:lang w:val="hr-HR"/>
        </w:rPr>
        <w:t>са</w:t>
      </w:r>
      <w:r w:rsidR="00296CFA" w:rsidRPr="006820FB">
        <w:rPr>
          <w:lang w:val="hr-HR"/>
        </w:rPr>
        <w:t xml:space="preserve"> </w:t>
      </w:r>
      <w:r>
        <w:rPr>
          <w:lang w:val="hr-HR"/>
        </w:rPr>
        <w:t>невладиним</w:t>
      </w:r>
      <w:r w:rsidR="00296CFA" w:rsidRPr="006820FB">
        <w:rPr>
          <w:lang w:val="hr-HR"/>
        </w:rPr>
        <w:t xml:space="preserve"> </w:t>
      </w:r>
      <w:r>
        <w:rPr>
          <w:lang w:val="hr-HR"/>
        </w:rPr>
        <w:t>организацијама</w:t>
      </w:r>
      <w:r w:rsidR="00296CFA" w:rsidRPr="006820FB">
        <w:rPr>
          <w:lang w:val="hr-HR"/>
        </w:rPr>
        <w:t xml:space="preserve"> </w:t>
      </w:r>
      <w:r>
        <w:rPr>
          <w:lang w:val="hr-HR"/>
        </w:rPr>
        <w:t>и</w:t>
      </w:r>
      <w:r w:rsidR="00296CFA" w:rsidRPr="006820FB">
        <w:rPr>
          <w:lang w:val="hr-HR"/>
        </w:rPr>
        <w:t xml:space="preserve"> </w:t>
      </w:r>
      <w:r>
        <w:rPr>
          <w:lang w:val="hr-HR"/>
        </w:rPr>
        <w:t>међународним</w:t>
      </w:r>
      <w:r w:rsidR="00296CFA" w:rsidRPr="006820FB">
        <w:rPr>
          <w:lang w:val="hr-HR"/>
        </w:rPr>
        <w:t xml:space="preserve"> </w:t>
      </w:r>
      <w:r>
        <w:rPr>
          <w:lang w:val="hr-HR"/>
        </w:rPr>
        <w:t>донаторима</w:t>
      </w:r>
      <w:r w:rsidR="00296CFA" w:rsidRPr="006820FB">
        <w:rPr>
          <w:lang w:val="hr-HR"/>
        </w:rPr>
        <w:t xml:space="preserve">, </w:t>
      </w:r>
      <w:r>
        <w:rPr>
          <w:lang w:val="hr-HR"/>
        </w:rPr>
        <w:t>у</w:t>
      </w:r>
      <w:r w:rsidR="00296CFA" w:rsidRPr="006820FB">
        <w:rPr>
          <w:lang w:val="hr-HR"/>
        </w:rPr>
        <w:t xml:space="preserve"> </w:t>
      </w:r>
      <w:r>
        <w:rPr>
          <w:lang w:val="hr-HR"/>
        </w:rPr>
        <w:t>Босни</w:t>
      </w:r>
      <w:r w:rsidR="00296CFA" w:rsidRPr="006820FB">
        <w:rPr>
          <w:lang w:val="hr-HR"/>
        </w:rPr>
        <w:t xml:space="preserve"> </w:t>
      </w:r>
      <w:r>
        <w:rPr>
          <w:lang w:val="hr-HR"/>
        </w:rPr>
        <w:t>и</w:t>
      </w:r>
      <w:r w:rsidR="00296CFA" w:rsidRPr="006820FB">
        <w:rPr>
          <w:lang w:val="hr-HR"/>
        </w:rPr>
        <w:t xml:space="preserve"> </w:t>
      </w:r>
      <w:r>
        <w:rPr>
          <w:lang w:val="hr-HR"/>
        </w:rPr>
        <w:t>Херцеговини</w:t>
      </w:r>
      <w:r w:rsidR="00296CFA" w:rsidRPr="006820FB">
        <w:rPr>
          <w:lang w:val="hr-HR"/>
        </w:rPr>
        <w:t xml:space="preserve"> </w:t>
      </w:r>
      <w:r>
        <w:rPr>
          <w:lang w:val="hr-HR"/>
        </w:rPr>
        <w:t>још</w:t>
      </w:r>
      <w:r w:rsidR="00296CFA" w:rsidRPr="006820FB">
        <w:rPr>
          <w:lang w:val="hr-HR"/>
        </w:rPr>
        <w:t xml:space="preserve"> </w:t>
      </w:r>
      <w:r>
        <w:rPr>
          <w:lang w:val="hr-HR"/>
        </w:rPr>
        <w:t>увијек</w:t>
      </w:r>
      <w:r w:rsidR="00296CFA" w:rsidRPr="006820FB">
        <w:rPr>
          <w:lang w:val="hr-HR"/>
        </w:rPr>
        <w:t xml:space="preserve"> </w:t>
      </w:r>
      <w:r>
        <w:rPr>
          <w:lang w:val="hr-HR"/>
        </w:rPr>
        <w:t>немамо</w:t>
      </w:r>
      <w:r w:rsidR="00296CFA" w:rsidRPr="006820FB">
        <w:rPr>
          <w:lang w:val="hr-HR"/>
        </w:rPr>
        <w:t xml:space="preserve"> </w:t>
      </w:r>
      <w:r>
        <w:rPr>
          <w:lang w:val="hr-HR"/>
        </w:rPr>
        <w:t>задољавајуће</w:t>
      </w:r>
      <w:r w:rsidR="00296CFA" w:rsidRPr="006820FB">
        <w:rPr>
          <w:lang w:val="hr-HR"/>
        </w:rPr>
        <w:t xml:space="preserve"> </w:t>
      </w:r>
      <w:r>
        <w:rPr>
          <w:lang w:val="hr-HR"/>
        </w:rPr>
        <w:t>окружење</w:t>
      </w:r>
      <w:r w:rsidR="00296CFA" w:rsidRPr="006820FB">
        <w:rPr>
          <w:lang w:val="hr-HR"/>
        </w:rPr>
        <w:t xml:space="preserve"> </w:t>
      </w:r>
      <w:r>
        <w:rPr>
          <w:lang w:val="hr-HR"/>
        </w:rPr>
        <w:t>за</w:t>
      </w:r>
      <w:r w:rsidR="00296CFA" w:rsidRPr="006820FB">
        <w:rPr>
          <w:lang w:val="hr-HR"/>
        </w:rPr>
        <w:t xml:space="preserve"> </w:t>
      </w:r>
      <w:r>
        <w:rPr>
          <w:lang w:val="hr-HR"/>
        </w:rPr>
        <w:t>већу</w:t>
      </w:r>
      <w:r w:rsidR="00296CFA" w:rsidRPr="006820FB">
        <w:rPr>
          <w:lang w:val="hr-HR"/>
        </w:rPr>
        <w:t xml:space="preserve"> </w:t>
      </w:r>
      <w:r>
        <w:rPr>
          <w:lang w:val="hr-HR"/>
        </w:rPr>
        <w:t>укљученост</w:t>
      </w:r>
      <w:r w:rsidR="00296CFA" w:rsidRPr="006820FB">
        <w:rPr>
          <w:lang w:val="hr-HR"/>
        </w:rPr>
        <w:t xml:space="preserve"> </w:t>
      </w:r>
      <w:r>
        <w:rPr>
          <w:lang w:val="hr-HR"/>
        </w:rPr>
        <w:t>жена</w:t>
      </w:r>
      <w:r w:rsidR="00296CFA" w:rsidRPr="006820FB">
        <w:rPr>
          <w:lang w:val="hr-HR"/>
        </w:rPr>
        <w:t xml:space="preserve"> </w:t>
      </w:r>
      <w:r>
        <w:rPr>
          <w:lang w:val="hr-HR"/>
        </w:rPr>
        <w:t>у</w:t>
      </w:r>
      <w:r w:rsidR="00296CFA" w:rsidRPr="006820FB">
        <w:rPr>
          <w:lang w:val="hr-HR"/>
        </w:rPr>
        <w:t xml:space="preserve"> </w:t>
      </w:r>
      <w:r>
        <w:rPr>
          <w:lang w:val="hr-HR"/>
        </w:rPr>
        <w:t>економију</w:t>
      </w:r>
      <w:r w:rsidR="00296CFA" w:rsidRPr="006820FB">
        <w:rPr>
          <w:lang w:val="hr-HR"/>
        </w:rPr>
        <w:t xml:space="preserve">, </w:t>
      </w:r>
      <w:r>
        <w:rPr>
          <w:lang w:val="hr-HR"/>
        </w:rPr>
        <w:t>као</w:t>
      </w:r>
      <w:r w:rsidR="00296CFA" w:rsidRPr="006820FB">
        <w:rPr>
          <w:lang w:val="hr-HR"/>
        </w:rPr>
        <w:t xml:space="preserve"> </w:t>
      </w:r>
      <w:r>
        <w:rPr>
          <w:lang w:val="hr-HR"/>
        </w:rPr>
        <w:t>ни</w:t>
      </w:r>
      <w:r w:rsidR="00296CFA" w:rsidRPr="006820FB">
        <w:rPr>
          <w:lang w:val="hr-HR"/>
        </w:rPr>
        <w:t xml:space="preserve"> </w:t>
      </w:r>
      <w:r>
        <w:rPr>
          <w:lang w:val="hr-HR"/>
        </w:rPr>
        <w:t>за</w:t>
      </w:r>
      <w:r w:rsidR="00296CFA" w:rsidRPr="006820FB">
        <w:rPr>
          <w:lang w:val="hr-HR"/>
        </w:rPr>
        <w:t xml:space="preserve"> </w:t>
      </w:r>
      <w:r>
        <w:rPr>
          <w:lang w:val="hr-HR"/>
        </w:rPr>
        <w:t>веће</w:t>
      </w:r>
      <w:r w:rsidR="00296CFA" w:rsidRPr="006820FB">
        <w:rPr>
          <w:lang w:val="hr-HR"/>
        </w:rPr>
        <w:t xml:space="preserve"> </w:t>
      </w:r>
      <w:r>
        <w:rPr>
          <w:lang w:val="hr-HR"/>
        </w:rPr>
        <w:t>учешће</w:t>
      </w:r>
      <w:r w:rsidR="00296CFA" w:rsidRPr="006820FB">
        <w:rPr>
          <w:lang w:val="hr-HR"/>
        </w:rPr>
        <w:t xml:space="preserve"> </w:t>
      </w:r>
      <w:r>
        <w:rPr>
          <w:lang w:val="hr-HR"/>
        </w:rPr>
        <w:t>жена</w:t>
      </w:r>
      <w:r w:rsidR="00296CFA" w:rsidRPr="006820FB">
        <w:rPr>
          <w:lang w:val="hr-HR"/>
        </w:rPr>
        <w:t xml:space="preserve"> </w:t>
      </w:r>
      <w:r>
        <w:rPr>
          <w:lang w:val="hr-HR"/>
        </w:rPr>
        <w:t>у</w:t>
      </w:r>
      <w:r w:rsidR="00296CFA" w:rsidRPr="006820FB">
        <w:rPr>
          <w:lang w:val="hr-HR"/>
        </w:rPr>
        <w:t xml:space="preserve"> </w:t>
      </w:r>
      <w:r>
        <w:rPr>
          <w:lang w:val="hr-HR"/>
        </w:rPr>
        <w:t>политичком</w:t>
      </w:r>
      <w:r w:rsidR="007C7343" w:rsidRPr="006820FB">
        <w:rPr>
          <w:lang w:val="hr-HR"/>
        </w:rPr>
        <w:t xml:space="preserve"> </w:t>
      </w:r>
      <w:r>
        <w:rPr>
          <w:lang w:val="hr-HR"/>
        </w:rPr>
        <w:t>одлучивању</w:t>
      </w:r>
      <w:r w:rsidR="007C7343" w:rsidRPr="006820FB">
        <w:rPr>
          <w:lang w:val="hr-HR"/>
        </w:rPr>
        <w:t>.</w:t>
      </w:r>
    </w:p>
    <w:p w:rsidR="00F8395A" w:rsidRPr="006820FB" w:rsidRDefault="00F8395A" w:rsidP="0086268D">
      <w:pPr>
        <w:pStyle w:val="NormalWeb"/>
        <w:spacing w:before="0" w:beforeAutospacing="0" w:after="0" w:afterAutospacing="0"/>
        <w:jc w:val="both"/>
        <w:textAlignment w:val="baseline"/>
        <w:rPr>
          <w:lang w:val="hr-HR"/>
        </w:rPr>
      </w:pPr>
    </w:p>
    <w:p w:rsidR="008E5600" w:rsidRPr="006820FB" w:rsidRDefault="00C6214E" w:rsidP="0086268D">
      <w:pPr>
        <w:pStyle w:val="NormalWeb"/>
        <w:spacing w:before="0" w:beforeAutospacing="0" w:after="0" w:afterAutospacing="0"/>
        <w:jc w:val="both"/>
        <w:textAlignment w:val="baseline"/>
        <w:rPr>
          <w:lang w:val="hr-HR"/>
        </w:rPr>
      </w:pPr>
      <w:r>
        <w:rPr>
          <w:lang w:val="hr-HR"/>
        </w:rPr>
        <w:t>Поред</w:t>
      </w:r>
      <w:r w:rsidR="00296CFA" w:rsidRPr="006820FB">
        <w:rPr>
          <w:lang w:val="hr-HR"/>
        </w:rPr>
        <w:t xml:space="preserve"> </w:t>
      </w:r>
      <w:r>
        <w:rPr>
          <w:lang w:val="hr-HR"/>
        </w:rPr>
        <w:t>тога</w:t>
      </w:r>
      <w:r w:rsidR="00296CFA" w:rsidRPr="006820FB">
        <w:rPr>
          <w:lang w:val="hr-HR"/>
        </w:rPr>
        <w:t xml:space="preserve">, </w:t>
      </w:r>
      <w:r>
        <w:rPr>
          <w:lang w:val="hr-HR"/>
        </w:rPr>
        <w:t>АР</w:t>
      </w:r>
      <w:r w:rsidR="00E3060A">
        <w:rPr>
          <w:lang w:val="sr-Cyrl-BA"/>
        </w:rPr>
        <w:t>П</w:t>
      </w:r>
      <w:r w:rsidR="009E54A2" w:rsidRPr="006820FB">
        <w:rPr>
          <w:lang w:val="hr-HR"/>
        </w:rPr>
        <w:t xml:space="preserve"> </w:t>
      </w:r>
      <w:r>
        <w:rPr>
          <w:lang w:val="hr-HR"/>
        </w:rPr>
        <w:t>БиХ</w:t>
      </w:r>
      <w:r w:rsidR="009E54A2" w:rsidRPr="006820FB">
        <w:rPr>
          <w:lang w:val="hr-HR"/>
        </w:rPr>
        <w:t xml:space="preserve"> </w:t>
      </w:r>
      <w:r>
        <w:rPr>
          <w:lang w:val="hr-HR"/>
        </w:rPr>
        <w:t>МЉПИ</w:t>
      </w:r>
      <w:r w:rsidR="00296CFA" w:rsidRPr="006820FB">
        <w:rPr>
          <w:lang w:val="hr-HR"/>
        </w:rPr>
        <w:t xml:space="preserve"> </w:t>
      </w:r>
      <w:r>
        <w:rPr>
          <w:lang w:val="hr-HR"/>
        </w:rPr>
        <w:t>БиХ</w:t>
      </w:r>
      <w:r w:rsidR="00EA697A">
        <w:rPr>
          <w:lang w:val="hr-HR"/>
        </w:rPr>
        <w:t xml:space="preserve"> </w:t>
      </w:r>
      <w:r>
        <w:rPr>
          <w:lang w:val="hr-HR"/>
        </w:rPr>
        <w:t>је</w:t>
      </w:r>
      <w:r w:rsidR="00296CFA" w:rsidRPr="006820FB">
        <w:rPr>
          <w:lang w:val="hr-HR"/>
        </w:rPr>
        <w:t xml:space="preserve"> </w:t>
      </w:r>
      <w:r>
        <w:rPr>
          <w:lang w:val="hr-HR"/>
        </w:rPr>
        <w:t>путем</w:t>
      </w:r>
      <w:r w:rsidR="00296CFA" w:rsidRPr="006820FB">
        <w:rPr>
          <w:lang w:val="hr-HR"/>
        </w:rPr>
        <w:t xml:space="preserve"> </w:t>
      </w:r>
      <w:r>
        <w:rPr>
          <w:lang w:val="hr-HR"/>
        </w:rPr>
        <w:t>јавних</w:t>
      </w:r>
      <w:r w:rsidR="00296CFA" w:rsidRPr="006820FB">
        <w:rPr>
          <w:lang w:val="hr-HR"/>
        </w:rPr>
        <w:t xml:space="preserve"> </w:t>
      </w:r>
      <w:r>
        <w:rPr>
          <w:lang w:val="hr-HR"/>
        </w:rPr>
        <w:t>саоп</w:t>
      </w:r>
      <w:r w:rsidR="00E3060A">
        <w:rPr>
          <w:lang w:val="sr-Cyrl-BA"/>
        </w:rPr>
        <w:t>шт</w:t>
      </w:r>
      <w:r>
        <w:rPr>
          <w:lang w:val="hr-HR"/>
        </w:rPr>
        <w:t>ења</w:t>
      </w:r>
      <w:r w:rsidR="00296CFA" w:rsidRPr="006820FB">
        <w:rPr>
          <w:lang w:val="hr-HR"/>
        </w:rPr>
        <w:t xml:space="preserve"> </w:t>
      </w:r>
      <w:r>
        <w:rPr>
          <w:lang w:val="hr-HR"/>
        </w:rPr>
        <w:t>и</w:t>
      </w:r>
      <w:r w:rsidR="00296CFA" w:rsidRPr="006820FB">
        <w:rPr>
          <w:lang w:val="hr-HR"/>
        </w:rPr>
        <w:t xml:space="preserve"> </w:t>
      </w:r>
      <w:r>
        <w:rPr>
          <w:lang w:val="hr-HR"/>
        </w:rPr>
        <w:t>медијских</w:t>
      </w:r>
      <w:r w:rsidR="00296CFA" w:rsidRPr="006820FB">
        <w:rPr>
          <w:lang w:val="hr-HR"/>
        </w:rPr>
        <w:t xml:space="preserve"> </w:t>
      </w:r>
      <w:r>
        <w:rPr>
          <w:lang w:val="hr-HR"/>
        </w:rPr>
        <w:t>иступа</w:t>
      </w:r>
      <w:r w:rsidR="00296CFA" w:rsidRPr="006820FB">
        <w:rPr>
          <w:lang w:val="hr-HR"/>
        </w:rPr>
        <w:t xml:space="preserve"> </w:t>
      </w:r>
      <w:r>
        <w:rPr>
          <w:lang w:val="hr-HR"/>
        </w:rPr>
        <w:t>скретала</w:t>
      </w:r>
      <w:r w:rsidR="00296CFA" w:rsidRPr="006820FB">
        <w:rPr>
          <w:lang w:val="hr-HR"/>
        </w:rPr>
        <w:t xml:space="preserve"> </w:t>
      </w:r>
      <w:r>
        <w:rPr>
          <w:lang w:val="hr-HR"/>
        </w:rPr>
        <w:t>пажњу</w:t>
      </w:r>
      <w:r w:rsidR="00296CFA" w:rsidRPr="006820FB">
        <w:rPr>
          <w:lang w:val="hr-HR"/>
        </w:rPr>
        <w:t xml:space="preserve"> </w:t>
      </w:r>
      <w:r>
        <w:rPr>
          <w:lang w:val="hr-HR"/>
        </w:rPr>
        <w:t>јавности</w:t>
      </w:r>
      <w:r w:rsidR="00296CFA" w:rsidRPr="006820FB">
        <w:rPr>
          <w:lang w:val="hr-HR"/>
        </w:rPr>
        <w:t xml:space="preserve"> </w:t>
      </w:r>
      <w:r>
        <w:rPr>
          <w:lang w:val="hr-HR"/>
        </w:rPr>
        <w:t>на</w:t>
      </w:r>
      <w:r w:rsidR="00296CFA" w:rsidRPr="006820FB">
        <w:rPr>
          <w:lang w:val="hr-HR"/>
        </w:rPr>
        <w:t xml:space="preserve"> </w:t>
      </w:r>
      <w:r>
        <w:rPr>
          <w:lang w:val="hr-HR"/>
        </w:rPr>
        <w:t>ниске</w:t>
      </w:r>
      <w:r w:rsidR="00296CFA" w:rsidRPr="006820FB">
        <w:rPr>
          <w:lang w:val="hr-HR"/>
        </w:rPr>
        <w:t xml:space="preserve"> </w:t>
      </w:r>
      <w:r>
        <w:rPr>
          <w:lang w:val="hr-HR"/>
        </w:rPr>
        <w:t>заступљености</w:t>
      </w:r>
      <w:r w:rsidR="00296CFA" w:rsidRPr="006820FB">
        <w:rPr>
          <w:lang w:val="hr-HR"/>
        </w:rPr>
        <w:t xml:space="preserve"> </w:t>
      </w:r>
      <w:r>
        <w:rPr>
          <w:lang w:val="hr-HR"/>
        </w:rPr>
        <w:t>жена</w:t>
      </w:r>
      <w:r w:rsidR="00296CFA" w:rsidRPr="006820FB">
        <w:rPr>
          <w:lang w:val="hr-HR"/>
        </w:rPr>
        <w:t xml:space="preserve"> </w:t>
      </w:r>
      <w:r>
        <w:rPr>
          <w:lang w:val="hr-HR"/>
        </w:rPr>
        <w:t>у</w:t>
      </w:r>
      <w:r w:rsidR="00296CFA" w:rsidRPr="006820FB">
        <w:rPr>
          <w:lang w:val="hr-HR"/>
        </w:rPr>
        <w:t xml:space="preserve"> </w:t>
      </w:r>
      <w:r>
        <w:rPr>
          <w:lang w:val="hr-HR"/>
        </w:rPr>
        <w:t>резултатима</w:t>
      </w:r>
      <w:r w:rsidR="00296CFA" w:rsidRPr="006820FB">
        <w:rPr>
          <w:lang w:val="hr-HR"/>
        </w:rPr>
        <w:t xml:space="preserve"> </w:t>
      </w:r>
      <w:r>
        <w:rPr>
          <w:lang w:val="hr-HR"/>
        </w:rPr>
        <w:t>Локалних</w:t>
      </w:r>
      <w:r w:rsidR="00296CFA" w:rsidRPr="006820FB">
        <w:rPr>
          <w:lang w:val="hr-HR"/>
        </w:rPr>
        <w:t xml:space="preserve"> </w:t>
      </w:r>
      <w:r>
        <w:rPr>
          <w:lang w:val="hr-HR"/>
        </w:rPr>
        <w:t>избора</w:t>
      </w:r>
      <w:r w:rsidR="00296CFA" w:rsidRPr="006820FB">
        <w:rPr>
          <w:lang w:val="hr-HR"/>
        </w:rPr>
        <w:t xml:space="preserve"> 2024</w:t>
      </w:r>
      <w:r w:rsidR="00E3060A">
        <w:rPr>
          <w:lang w:val="sr-Cyrl-BA"/>
        </w:rPr>
        <w:t>.</w:t>
      </w:r>
      <w:r w:rsidR="00296CFA" w:rsidRPr="006820FB">
        <w:rPr>
          <w:lang w:val="hr-HR"/>
        </w:rPr>
        <w:t xml:space="preserve"> </w:t>
      </w:r>
      <w:r>
        <w:rPr>
          <w:lang w:val="hr-HR"/>
        </w:rPr>
        <w:t>у</w:t>
      </w:r>
      <w:r w:rsidR="00EA697A">
        <w:rPr>
          <w:lang w:val="hr-HR"/>
        </w:rPr>
        <w:t xml:space="preserve"> </w:t>
      </w:r>
      <w:r>
        <w:rPr>
          <w:lang w:val="hr-HR"/>
        </w:rPr>
        <w:t>БиХ</w:t>
      </w:r>
      <w:r w:rsidR="008E5600" w:rsidRPr="006820FB">
        <w:rPr>
          <w:lang w:val="hr-HR"/>
        </w:rPr>
        <w:t xml:space="preserve">. </w:t>
      </w:r>
      <w:r w:rsidR="00E3060A">
        <w:rPr>
          <w:lang w:val="hr-HR"/>
        </w:rPr>
        <w:t>Такође</w:t>
      </w:r>
      <w:r w:rsidR="008E5600" w:rsidRPr="006820FB">
        <w:rPr>
          <w:lang w:val="hr-HR"/>
        </w:rPr>
        <w:t xml:space="preserve">, </w:t>
      </w:r>
      <w:r>
        <w:rPr>
          <w:lang w:val="hr-HR"/>
        </w:rPr>
        <w:t>АР</w:t>
      </w:r>
      <w:r w:rsidR="00E3060A">
        <w:rPr>
          <w:lang w:val="sr-Cyrl-BA"/>
        </w:rPr>
        <w:t>П</w:t>
      </w:r>
      <w:r w:rsidR="00D30E48">
        <w:rPr>
          <w:lang w:val="hr-HR"/>
        </w:rPr>
        <w:t xml:space="preserve"> </w:t>
      </w:r>
      <w:r>
        <w:rPr>
          <w:lang w:val="hr-HR"/>
        </w:rPr>
        <w:t>БиХ</w:t>
      </w:r>
      <w:r w:rsidR="008E5600" w:rsidRPr="006820FB">
        <w:rPr>
          <w:lang w:val="hr-HR"/>
        </w:rPr>
        <w:t xml:space="preserve"> </w:t>
      </w:r>
      <w:r>
        <w:rPr>
          <w:lang w:val="hr-HR"/>
        </w:rPr>
        <w:t>МЉПИ</w:t>
      </w:r>
      <w:r w:rsidR="00D01564">
        <w:rPr>
          <w:lang w:val="hr-HR"/>
        </w:rPr>
        <w:t xml:space="preserve"> </w:t>
      </w:r>
      <w:r>
        <w:rPr>
          <w:lang w:val="hr-HR"/>
        </w:rPr>
        <w:t>БиХ</w:t>
      </w:r>
      <w:r w:rsidR="008E5600" w:rsidRPr="006820FB">
        <w:rPr>
          <w:lang w:val="hr-HR"/>
        </w:rPr>
        <w:t xml:space="preserve"> </w:t>
      </w:r>
      <w:r>
        <w:rPr>
          <w:lang w:val="hr-HR"/>
        </w:rPr>
        <w:t>је</w:t>
      </w:r>
      <w:r w:rsidR="008E5600" w:rsidRPr="006820FB">
        <w:rPr>
          <w:lang w:val="hr-HR"/>
        </w:rPr>
        <w:t xml:space="preserve"> </w:t>
      </w:r>
      <w:r>
        <w:rPr>
          <w:lang w:val="hr-HR"/>
        </w:rPr>
        <w:t>у</w:t>
      </w:r>
      <w:r w:rsidR="008E5600" w:rsidRPr="006820FB">
        <w:rPr>
          <w:lang w:val="hr-HR"/>
        </w:rPr>
        <w:t xml:space="preserve"> </w:t>
      </w:r>
      <w:r>
        <w:rPr>
          <w:lang w:val="hr-HR"/>
        </w:rPr>
        <w:t>новембру</w:t>
      </w:r>
      <w:r w:rsidR="008E5600" w:rsidRPr="006820FB">
        <w:rPr>
          <w:lang w:val="hr-HR"/>
        </w:rPr>
        <w:t xml:space="preserve"> 2024. </w:t>
      </w:r>
      <w:r>
        <w:rPr>
          <w:lang w:val="hr-HR"/>
        </w:rPr>
        <w:t>године</w:t>
      </w:r>
      <w:r w:rsidR="008E5600" w:rsidRPr="006820FB">
        <w:rPr>
          <w:lang w:val="hr-HR"/>
        </w:rPr>
        <w:t xml:space="preserve"> </w:t>
      </w:r>
      <w:r>
        <w:rPr>
          <w:lang w:val="hr-HR"/>
        </w:rPr>
        <w:t>објавила</w:t>
      </w:r>
      <w:r w:rsidR="008E5600" w:rsidRPr="006820FB">
        <w:rPr>
          <w:lang w:val="hr-HR"/>
        </w:rPr>
        <w:t xml:space="preserve"> </w:t>
      </w:r>
      <w:r>
        <w:rPr>
          <w:lang w:val="hr-HR"/>
        </w:rPr>
        <w:t>и</w:t>
      </w:r>
      <w:r w:rsidR="008E5600" w:rsidRPr="006820FB">
        <w:rPr>
          <w:lang w:val="hr-HR"/>
        </w:rPr>
        <w:t xml:space="preserve"> </w:t>
      </w:r>
      <w:r>
        <w:rPr>
          <w:lang w:val="hr-HR"/>
        </w:rPr>
        <w:t>јавно</w:t>
      </w:r>
      <w:r w:rsidR="008E5600" w:rsidRPr="006820FB">
        <w:rPr>
          <w:lang w:val="hr-HR"/>
        </w:rPr>
        <w:t xml:space="preserve"> </w:t>
      </w:r>
      <w:r>
        <w:rPr>
          <w:lang w:val="hr-HR"/>
        </w:rPr>
        <w:t>саоп</w:t>
      </w:r>
      <w:r w:rsidR="00E3060A">
        <w:rPr>
          <w:lang w:val="sr-Cyrl-BA"/>
        </w:rPr>
        <w:t>шт</w:t>
      </w:r>
      <w:r>
        <w:rPr>
          <w:lang w:val="hr-HR"/>
        </w:rPr>
        <w:t>ење</w:t>
      </w:r>
      <w:r w:rsidR="008E5600" w:rsidRPr="006820FB">
        <w:rPr>
          <w:lang w:val="hr-HR"/>
        </w:rPr>
        <w:t xml:space="preserve"> </w:t>
      </w:r>
      <w:r>
        <w:rPr>
          <w:lang w:val="hr-HR"/>
        </w:rPr>
        <w:t>поводом</w:t>
      </w:r>
      <w:r w:rsidR="008E5600" w:rsidRPr="006820FB">
        <w:rPr>
          <w:lang w:val="hr-HR"/>
        </w:rPr>
        <w:t xml:space="preserve"> </w:t>
      </w:r>
      <w:r>
        <w:rPr>
          <w:lang w:val="hr-HR"/>
        </w:rPr>
        <w:t>све</w:t>
      </w:r>
      <w:r w:rsidR="008E5600" w:rsidRPr="006820FB">
        <w:rPr>
          <w:lang w:val="hr-HR"/>
        </w:rPr>
        <w:t xml:space="preserve"> </w:t>
      </w:r>
      <w:r>
        <w:rPr>
          <w:lang w:val="hr-HR"/>
        </w:rPr>
        <w:t>учесталије</w:t>
      </w:r>
      <w:r w:rsidR="008E5600" w:rsidRPr="006820FB">
        <w:rPr>
          <w:lang w:val="hr-HR"/>
        </w:rPr>
        <w:t xml:space="preserve"> </w:t>
      </w:r>
      <w:r>
        <w:rPr>
          <w:lang w:val="hr-HR"/>
        </w:rPr>
        <w:t>појаве</w:t>
      </w:r>
      <w:r w:rsidR="008E5600" w:rsidRPr="006820FB">
        <w:rPr>
          <w:lang w:val="hr-HR"/>
        </w:rPr>
        <w:t xml:space="preserve"> </w:t>
      </w:r>
      <w:r>
        <w:rPr>
          <w:lang w:val="hr-HR"/>
        </w:rPr>
        <w:t>сексизма</w:t>
      </w:r>
      <w:r w:rsidR="008E5600" w:rsidRPr="006820FB">
        <w:rPr>
          <w:lang w:val="hr-HR"/>
        </w:rPr>
        <w:t xml:space="preserve">, </w:t>
      </w:r>
      <w:r>
        <w:rPr>
          <w:lang w:val="hr-HR"/>
        </w:rPr>
        <w:t>мизогиније</w:t>
      </w:r>
      <w:r w:rsidR="008E5600" w:rsidRPr="006820FB">
        <w:rPr>
          <w:lang w:val="hr-HR"/>
        </w:rPr>
        <w:t xml:space="preserve"> </w:t>
      </w:r>
      <w:r>
        <w:rPr>
          <w:lang w:val="hr-HR"/>
        </w:rPr>
        <w:t>и</w:t>
      </w:r>
      <w:r w:rsidR="008E5600" w:rsidRPr="006820FB">
        <w:rPr>
          <w:lang w:val="hr-HR"/>
        </w:rPr>
        <w:t xml:space="preserve"> </w:t>
      </w:r>
      <w:r>
        <w:rPr>
          <w:lang w:val="hr-HR"/>
        </w:rPr>
        <w:t>стереотипа</w:t>
      </w:r>
      <w:r w:rsidR="008E5600" w:rsidRPr="006820FB">
        <w:rPr>
          <w:lang w:val="hr-HR"/>
        </w:rPr>
        <w:t xml:space="preserve"> </w:t>
      </w:r>
      <w:r>
        <w:rPr>
          <w:lang w:val="hr-HR"/>
        </w:rPr>
        <w:t>на</w:t>
      </w:r>
      <w:r w:rsidR="008E5600" w:rsidRPr="006820FB">
        <w:rPr>
          <w:lang w:val="hr-HR"/>
        </w:rPr>
        <w:t xml:space="preserve"> </w:t>
      </w:r>
      <w:r>
        <w:rPr>
          <w:lang w:val="hr-HR"/>
        </w:rPr>
        <w:t>основу</w:t>
      </w:r>
      <w:r w:rsidR="008E5600" w:rsidRPr="006820FB">
        <w:rPr>
          <w:lang w:val="hr-HR"/>
        </w:rPr>
        <w:t xml:space="preserve"> </w:t>
      </w:r>
      <w:r>
        <w:rPr>
          <w:lang w:val="hr-HR"/>
        </w:rPr>
        <w:t>пола</w:t>
      </w:r>
      <w:r w:rsidR="008E5600" w:rsidRPr="006820FB">
        <w:rPr>
          <w:lang w:val="hr-HR"/>
        </w:rPr>
        <w:t xml:space="preserve"> </w:t>
      </w:r>
      <w:r>
        <w:rPr>
          <w:lang w:val="hr-HR"/>
        </w:rPr>
        <w:t>у</w:t>
      </w:r>
      <w:r w:rsidR="008E5600" w:rsidRPr="006820FB">
        <w:rPr>
          <w:lang w:val="hr-HR"/>
        </w:rPr>
        <w:t xml:space="preserve"> </w:t>
      </w:r>
      <w:r>
        <w:rPr>
          <w:lang w:val="hr-HR"/>
        </w:rPr>
        <w:t>јавном</w:t>
      </w:r>
      <w:r w:rsidR="008E5600" w:rsidRPr="006820FB">
        <w:rPr>
          <w:lang w:val="hr-HR"/>
        </w:rPr>
        <w:t xml:space="preserve"> </w:t>
      </w:r>
      <w:r>
        <w:rPr>
          <w:lang w:val="hr-HR"/>
        </w:rPr>
        <w:t>дискурсу</w:t>
      </w:r>
      <w:r w:rsidR="008E5600" w:rsidRPr="006820FB">
        <w:rPr>
          <w:lang w:val="hr-HR"/>
        </w:rPr>
        <w:t xml:space="preserve"> </w:t>
      </w:r>
      <w:r>
        <w:rPr>
          <w:lang w:val="hr-HR"/>
        </w:rPr>
        <w:t>у</w:t>
      </w:r>
      <w:r w:rsidR="00EA697A">
        <w:rPr>
          <w:lang w:val="hr-HR"/>
        </w:rPr>
        <w:t xml:space="preserve"> </w:t>
      </w:r>
      <w:r>
        <w:rPr>
          <w:lang w:val="hr-HR"/>
        </w:rPr>
        <w:t>БиХ</w:t>
      </w:r>
      <w:r w:rsidR="008E5600" w:rsidRPr="006820FB">
        <w:rPr>
          <w:lang w:val="hr-HR"/>
        </w:rPr>
        <w:t xml:space="preserve">, </w:t>
      </w:r>
      <w:r>
        <w:rPr>
          <w:lang w:val="hr-HR"/>
        </w:rPr>
        <w:t>што</w:t>
      </w:r>
      <w:r w:rsidR="008E5600" w:rsidRPr="006820FB">
        <w:rPr>
          <w:lang w:val="hr-HR"/>
        </w:rPr>
        <w:t xml:space="preserve"> </w:t>
      </w:r>
      <w:r>
        <w:rPr>
          <w:lang w:val="hr-HR"/>
        </w:rPr>
        <w:t>су</w:t>
      </w:r>
      <w:r w:rsidR="008E5600" w:rsidRPr="006820FB">
        <w:rPr>
          <w:lang w:val="hr-HR"/>
        </w:rPr>
        <w:t xml:space="preserve"> </w:t>
      </w:r>
      <w:r>
        <w:rPr>
          <w:lang w:val="hr-HR"/>
        </w:rPr>
        <w:t>појаве</w:t>
      </w:r>
      <w:r w:rsidR="008E5600" w:rsidRPr="006820FB">
        <w:rPr>
          <w:lang w:val="hr-HR"/>
        </w:rPr>
        <w:t xml:space="preserve"> </w:t>
      </w:r>
      <w:r>
        <w:rPr>
          <w:lang w:val="hr-HR"/>
        </w:rPr>
        <w:t>које</w:t>
      </w:r>
      <w:r w:rsidR="008E5600" w:rsidRPr="006820FB">
        <w:rPr>
          <w:lang w:val="hr-HR"/>
        </w:rPr>
        <w:t xml:space="preserve"> </w:t>
      </w:r>
      <w:r>
        <w:rPr>
          <w:lang w:val="hr-HR"/>
        </w:rPr>
        <w:t>знатно</w:t>
      </w:r>
      <w:r w:rsidR="008E5600" w:rsidRPr="006820FB">
        <w:rPr>
          <w:lang w:val="hr-HR"/>
        </w:rPr>
        <w:t xml:space="preserve"> </w:t>
      </w:r>
      <w:r>
        <w:rPr>
          <w:lang w:val="hr-HR"/>
        </w:rPr>
        <w:t>утичу</w:t>
      </w:r>
      <w:r w:rsidR="008E5600" w:rsidRPr="006820FB">
        <w:rPr>
          <w:lang w:val="hr-HR"/>
        </w:rPr>
        <w:t xml:space="preserve"> </w:t>
      </w:r>
      <w:r>
        <w:rPr>
          <w:lang w:val="hr-HR"/>
        </w:rPr>
        <w:t>на</w:t>
      </w:r>
      <w:r w:rsidR="008E5600" w:rsidRPr="006820FB">
        <w:rPr>
          <w:lang w:val="hr-HR"/>
        </w:rPr>
        <w:t xml:space="preserve"> </w:t>
      </w:r>
      <w:r>
        <w:rPr>
          <w:lang w:val="hr-HR"/>
        </w:rPr>
        <w:t>стварање</w:t>
      </w:r>
      <w:r w:rsidR="008E5600" w:rsidRPr="006820FB">
        <w:rPr>
          <w:lang w:val="hr-HR"/>
        </w:rPr>
        <w:t xml:space="preserve"> </w:t>
      </w:r>
      <w:r>
        <w:rPr>
          <w:lang w:val="hr-HR"/>
        </w:rPr>
        <w:t>климе</w:t>
      </w:r>
      <w:r w:rsidR="008E5600" w:rsidRPr="006820FB">
        <w:rPr>
          <w:lang w:val="hr-HR"/>
        </w:rPr>
        <w:t xml:space="preserve"> </w:t>
      </w:r>
      <w:r>
        <w:rPr>
          <w:lang w:val="hr-HR"/>
        </w:rPr>
        <w:t>која</w:t>
      </w:r>
      <w:r w:rsidR="008E5600" w:rsidRPr="006820FB">
        <w:rPr>
          <w:lang w:val="hr-HR"/>
        </w:rPr>
        <w:t xml:space="preserve"> </w:t>
      </w:r>
      <w:r>
        <w:rPr>
          <w:lang w:val="hr-HR"/>
        </w:rPr>
        <w:t>није</w:t>
      </w:r>
      <w:r w:rsidR="008E5600" w:rsidRPr="006820FB">
        <w:rPr>
          <w:lang w:val="hr-HR"/>
        </w:rPr>
        <w:t xml:space="preserve"> </w:t>
      </w:r>
      <w:r>
        <w:rPr>
          <w:lang w:val="hr-HR"/>
        </w:rPr>
        <w:t>погодна</w:t>
      </w:r>
      <w:r w:rsidR="008E5600" w:rsidRPr="006820FB">
        <w:rPr>
          <w:lang w:val="hr-HR"/>
        </w:rPr>
        <w:t xml:space="preserve"> </w:t>
      </w:r>
      <w:r>
        <w:rPr>
          <w:lang w:val="hr-HR"/>
        </w:rPr>
        <w:t>за</w:t>
      </w:r>
      <w:r w:rsidR="008E5600" w:rsidRPr="006820FB">
        <w:rPr>
          <w:lang w:val="hr-HR"/>
        </w:rPr>
        <w:t xml:space="preserve"> </w:t>
      </w:r>
      <w:r>
        <w:rPr>
          <w:lang w:val="hr-HR"/>
        </w:rPr>
        <w:t>већи</w:t>
      </w:r>
      <w:r w:rsidR="008E5600" w:rsidRPr="006820FB">
        <w:rPr>
          <w:lang w:val="hr-HR"/>
        </w:rPr>
        <w:t xml:space="preserve"> </w:t>
      </w:r>
      <w:r>
        <w:rPr>
          <w:lang w:val="hr-HR"/>
        </w:rPr>
        <w:t>ангажман</w:t>
      </w:r>
      <w:r w:rsidR="008E5600" w:rsidRPr="006820FB">
        <w:rPr>
          <w:lang w:val="hr-HR"/>
        </w:rPr>
        <w:t xml:space="preserve"> </w:t>
      </w:r>
      <w:r>
        <w:rPr>
          <w:lang w:val="hr-HR"/>
        </w:rPr>
        <w:t>жена</w:t>
      </w:r>
      <w:r w:rsidR="008E5600" w:rsidRPr="006820FB">
        <w:rPr>
          <w:lang w:val="hr-HR"/>
        </w:rPr>
        <w:t xml:space="preserve"> </w:t>
      </w:r>
      <w:r>
        <w:rPr>
          <w:lang w:val="hr-HR"/>
        </w:rPr>
        <w:t>у</w:t>
      </w:r>
      <w:r w:rsidR="008E5600" w:rsidRPr="006820FB">
        <w:rPr>
          <w:lang w:val="hr-HR"/>
        </w:rPr>
        <w:t xml:space="preserve"> </w:t>
      </w:r>
      <w:r>
        <w:rPr>
          <w:lang w:val="hr-HR"/>
        </w:rPr>
        <w:t>јавном</w:t>
      </w:r>
      <w:r w:rsidR="008E5600" w:rsidRPr="006820FB">
        <w:rPr>
          <w:lang w:val="hr-HR"/>
        </w:rPr>
        <w:t xml:space="preserve"> </w:t>
      </w:r>
      <w:r>
        <w:rPr>
          <w:lang w:val="hr-HR"/>
        </w:rPr>
        <w:t>и</w:t>
      </w:r>
      <w:r w:rsidR="008E5600" w:rsidRPr="006820FB">
        <w:rPr>
          <w:lang w:val="hr-HR"/>
        </w:rPr>
        <w:t xml:space="preserve"> </w:t>
      </w:r>
      <w:r>
        <w:rPr>
          <w:lang w:val="hr-HR"/>
        </w:rPr>
        <w:t>политичком</w:t>
      </w:r>
      <w:r w:rsidR="008E5600" w:rsidRPr="006820FB">
        <w:rPr>
          <w:lang w:val="hr-HR"/>
        </w:rPr>
        <w:t xml:space="preserve"> </w:t>
      </w:r>
      <w:r>
        <w:rPr>
          <w:lang w:val="hr-HR"/>
        </w:rPr>
        <w:t>животу</w:t>
      </w:r>
      <w:r w:rsidR="008E5600" w:rsidRPr="006820FB">
        <w:rPr>
          <w:lang w:val="hr-HR"/>
        </w:rPr>
        <w:t xml:space="preserve">. </w:t>
      </w:r>
    </w:p>
    <w:p w:rsidR="009F4C8C" w:rsidRPr="00295637" w:rsidRDefault="009F4C8C" w:rsidP="0086268D">
      <w:pPr>
        <w:pStyle w:val="NormalWeb"/>
        <w:spacing w:before="0" w:beforeAutospacing="0" w:after="0" w:afterAutospacing="0"/>
        <w:jc w:val="both"/>
        <w:textAlignment w:val="baseline"/>
        <w:rPr>
          <w:color w:val="FF0000"/>
        </w:rPr>
      </w:pPr>
    </w:p>
    <w:p w:rsidR="00EF23E9"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EF23E9" w:rsidRPr="00295637">
        <w:rPr>
          <w:rFonts w:ascii="Times New Roman" w:hAnsi="Times New Roman"/>
          <w:lang w:val="sr-Latn-BA"/>
        </w:rPr>
        <w:t xml:space="preserve"> 2024. </w:t>
      </w:r>
      <w:r>
        <w:rPr>
          <w:rFonts w:ascii="Times New Roman" w:hAnsi="Times New Roman"/>
          <w:lang w:val="sr-Latn-BA"/>
        </w:rPr>
        <w:t>години</w:t>
      </w:r>
      <w:r w:rsidR="00EF23E9" w:rsidRPr="00295637">
        <w:rPr>
          <w:rFonts w:ascii="Times New Roman" w:hAnsi="Times New Roman"/>
          <w:lang w:val="sr-Latn-BA"/>
        </w:rPr>
        <w:t xml:space="preserve">, </w:t>
      </w:r>
      <w:r>
        <w:rPr>
          <w:rFonts w:ascii="Times New Roman" w:hAnsi="Times New Roman"/>
          <w:lang w:val="sr-Latn-BA"/>
        </w:rPr>
        <w:t>ЦЈРП</w:t>
      </w:r>
      <w:r w:rsidR="00EF23E9" w:rsidRPr="00295637">
        <w:rPr>
          <w:rFonts w:ascii="Times New Roman" w:hAnsi="Times New Roman"/>
          <w:lang w:val="sr-Latn-BA"/>
        </w:rPr>
        <w:t xml:space="preserve"> </w:t>
      </w:r>
      <w:r>
        <w:rPr>
          <w:rFonts w:ascii="Times New Roman" w:hAnsi="Times New Roman"/>
          <w:lang w:val="sr-Latn-BA"/>
        </w:rPr>
        <w:t>РС</w:t>
      </w:r>
      <w:r w:rsidR="00EF23E9" w:rsidRPr="00295637">
        <w:rPr>
          <w:rFonts w:ascii="Times New Roman" w:hAnsi="Times New Roman"/>
          <w:lang w:val="sr-Latn-BA"/>
        </w:rPr>
        <w:t xml:space="preserve"> </w:t>
      </w:r>
      <w:r w:rsidR="00E3060A">
        <w:rPr>
          <w:rFonts w:ascii="Times New Roman" w:hAnsi="Times New Roman"/>
          <w:lang w:val="sr-Cyrl-BA"/>
        </w:rPr>
        <w:t>спровео</w:t>
      </w:r>
      <w:r w:rsidR="00EF23E9" w:rsidRPr="00295637">
        <w:rPr>
          <w:rFonts w:ascii="Times New Roman" w:hAnsi="Times New Roman"/>
          <w:lang w:val="sr-Latn-BA"/>
        </w:rPr>
        <w:t xml:space="preserve"> </w:t>
      </w:r>
      <w:r>
        <w:rPr>
          <w:rFonts w:ascii="Times New Roman" w:hAnsi="Times New Roman"/>
          <w:lang w:val="sr-Latn-BA"/>
        </w:rPr>
        <w:t>је</w:t>
      </w:r>
      <w:r w:rsidR="00EF23E9" w:rsidRPr="00295637">
        <w:rPr>
          <w:rFonts w:ascii="Times New Roman" w:hAnsi="Times New Roman"/>
          <w:lang w:val="sr-Cyrl-BA"/>
        </w:rPr>
        <w:t xml:space="preserve"> </w:t>
      </w:r>
      <w:r>
        <w:rPr>
          <w:rFonts w:ascii="Times New Roman" w:hAnsi="Times New Roman"/>
          <w:lang w:val="sr-Cyrl-BA"/>
        </w:rPr>
        <w:t>кампањ</w:t>
      </w:r>
      <w:r>
        <w:rPr>
          <w:rFonts w:ascii="Times New Roman" w:hAnsi="Times New Roman"/>
          <w:lang w:val="sr-Latn-BA"/>
        </w:rPr>
        <w:t>у</w:t>
      </w:r>
      <w:r w:rsidR="00EF23E9" w:rsidRPr="00295637">
        <w:rPr>
          <w:rFonts w:ascii="Times New Roman" w:hAnsi="Times New Roman"/>
          <w:lang w:val="sr-Cyrl-BA"/>
        </w:rPr>
        <w:t xml:space="preserve"> </w:t>
      </w:r>
      <w:r>
        <w:rPr>
          <w:rFonts w:ascii="Times New Roman" w:hAnsi="Times New Roman"/>
          <w:lang w:val="sr-Cyrl-BA"/>
        </w:rPr>
        <w:t>за</w:t>
      </w:r>
      <w:r w:rsidR="00EF23E9" w:rsidRPr="00295637">
        <w:rPr>
          <w:rFonts w:ascii="Times New Roman" w:hAnsi="Times New Roman"/>
          <w:lang w:val="sr-Cyrl-BA"/>
        </w:rPr>
        <w:t xml:space="preserve"> </w:t>
      </w:r>
      <w:r>
        <w:rPr>
          <w:rFonts w:ascii="Times New Roman" w:hAnsi="Times New Roman"/>
          <w:lang w:val="sr-Cyrl-BA"/>
        </w:rPr>
        <w:t>локалне</w:t>
      </w:r>
      <w:r w:rsidR="00EF23E9" w:rsidRPr="00295637">
        <w:rPr>
          <w:rFonts w:ascii="Times New Roman" w:hAnsi="Times New Roman"/>
          <w:lang w:val="sr-Cyrl-BA"/>
        </w:rPr>
        <w:t xml:space="preserve"> </w:t>
      </w:r>
      <w:r>
        <w:rPr>
          <w:rFonts w:ascii="Times New Roman" w:hAnsi="Times New Roman"/>
          <w:lang w:val="sr-Cyrl-BA"/>
        </w:rPr>
        <w:t>изборе</w:t>
      </w:r>
      <w:r w:rsidR="00EF23E9" w:rsidRPr="00295637">
        <w:rPr>
          <w:rFonts w:ascii="Times New Roman" w:hAnsi="Times New Roman"/>
          <w:lang w:val="sr-Cyrl-BA"/>
        </w:rPr>
        <w:t xml:space="preserve"> „</w:t>
      </w:r>
      <w:r>
        <w:rPr>
          <w:rFonts w:ascii="Times New Roman" w:hAnsi="Times New Roman"/>
          <w:lang w:val="sr-Cyrl-BA"/>
        </w:rPr>
        <w:t>Бирај</w:t>
      </w:r>
      <w:r w:rsidR="00EF23E9" w:rsidRPr="00295637">
        <w:rPr>
          <w:rFonts w:ascii="Times New Roman" w:hAnsi="Times New Roman"/>
          <w:lang w:val="sr-Cyrl-BA"/>
        </w:rPr>
        <w:t xml:space="preserve"> </w:t>
      </w:r>
      <w:r>
        <w:rPr>
          <w:rFonts w:ascii="Times New Roman" w:hAnsi="Times New Roman"/>
          <w:lang w:val="sr-Cyrl-BA"/>
        </w:rPr>
        <w:t>равноправно</w:t>
      </w:r>
      <w:r w:rsidR="00EF23E9" w:rsidRPr="00295637">
        <w:rPr>
          <w:rFonts w:ascii="Times New Roman" w:hAnsi="Times New Roman"/>
          <w:lang w:val="sr-Cyrl-BA"/>
        </w:rPr>
        <w:t>“</w:t>
      </w:r>
      <w:r w:rsidR="00EF23E9" w:rsidRPr="00295637">
        <w:rPr>
          <w:rFonts w:ascii="Times New Roman" w:hAnsi="Times New Roman"/>
          <w:lang w:val="sr-Latn-BA"/>
        </w:rPr>
        <w:t xml:space="preserve">. </w:t>
      </w:r>
      <w:r>
        <w:rPr>
          <w:rFonts w:ascii="Times New Roman" w:hAnsi="Times New Roman"/>
          <w:lang w:val="sr-Cyrl-BA"/>
        </w:rPr>
        <w:t>Циљ</w:t>
      </w:r>
      <w:r w:rsidR="00EF23E9" w:rsidRPr="00295637">
        <w:rPr>
          <w:rFonts w:ascii="Times New Roman" w:hAnsi="Times New Roman"/>
          <w:lang w:val="sr-Cyrl-BA"/>
        </w:rPr>
        <w:t xml:space="preserve"> </w:t>
      </w:r>
      <w:r>
        <w:rPr>
          <w:rFonts w:ascii="Times New Roman" w:hAnsi="Times New Roman"/>
          <w:lang w:val="sr-Cyrl-BA"/>
        </w:rPr>
        <w:t>кампање</w:t>
      </w:r>
      <w:r w:rsidR="00EF23E9" w:rsidRPr="00295637">
        <w:rPr>
          <w:rFonts w:ascii="Times New Roman" w:hAnsi="Times New Roman"/>
          <w:lang w:val="sr-Cyrl-BA"/>
        </w:rPr>
        <w:t xml:space="preserve"> </w:t>
      </w:r>
      <w:r>
        <w:rPr>
          <w:rFonts w:ascii="Times New Roman" w:hAnsi="Times New Roman"/>
          <w:lang w:val="sr-Cyrl-BA"/>
        </w:rPr>
        <w:t>је</w:t>
      </w:r>
      <w:r w:rsidR="00EF23E9" w:rsidRPr="00295637">
        <w:rPr>
          <w:rFonts w:ascii="Times New Roman" w:hAnsi="Times New Roman"/>
          <w:lang w:val="sr-Cyrl-BA"/>
        </w:rPr>
        <w:t xml:space="preserve"> </w:t>
      </w:r>
      <w:r>
        <w:rPr>
          <w:rFonts w:ascii="Times New Roman" w:hAnsi="Times New Roman"/>
          <w:lang w:val="sr-Cyrl-BA"/>
        </w:rPr>
        <w:t>пром</w:t>
      </w:r>
      <w:r>
        <w:rPr>
          <w:rFonts w:ascii="Times New Roman" w:hAnsi="Times New Roman"/>
          <w:lang w:val="hr-HR"/>
        </w:rPr>
        <w:t>оција</w:t>
      </w:r>
      <w:r w:rsidR="00EF23E9" w:rsidRPr="00295637">
        <w:rPr>
          <w:rFonts w:ascii="Times New Roman" w:hAnsi="Times New Roman"/>
          <w:lang w:val="sr-Cyrl-BA"/>
        </w:rPr>
        <w:t xml:space="preserve"> </w:t>
      </w:r>
      <w:r>
        <w:rPr>
          <w:rFonts w:ascii="Times New Roman" w:hAnsi="Times New Roman"/>
          <w:lang w:val="sr-Cyrl-BA"/>
        </w:rPr>
        <w:t>и</w:t>
      </w:r>
      <w:r w:rsidR="00EF23E9" w:rsidRPr="00295637">
        <w:rPr>
          <w:rFonts w:ascii="Times New Roman" w:hAnsi="Times New Roman"/>
          <w:lang w:val="sr-Cyrl-BA"/>
        </w:rPr>
        <w:t xml:space="preserve"> </w:t>
      </w:r>
      <w:r>
        <w:rPr>
          <w:rFonts w:ascii="Times New Roman" w:hAnsi="Times New Roman"/>
          <w:lang w:val="sr-Cyrl-BA"/>
        </w:rPr>
        <w:t>унапређење</w:t>
      </w:r>
      <w:r w:rsidR="00EF23E9" w:rsidRPr="00295637">
        <w:rPr>
          <w:rFonts w:ascii="Times New Roman" w:hAnsi="Times New Roman"/>
          <w:lang w:val="sr-Cyrl-BA"/>
        </w:rPr>
        <w:t xml:space="preserve"> </w:t>
      </w:r>
      <w:r>
        <w:rPr>
          <w:rFonts w:ascii="Times New Roman" w:hAnsi="Times New Roman"/>
          <w:lang w:val="sr-Cyrl-BA"/>
        </w:rPr>
        <w:t>примјене</w:t>
      </w:r>
      <w:r w:rsidR="00EF23E9" w:rsidRPr="00295637">
        <w:rPr>
          <w:rFonts w:ascii="Times New Roman" w:hAnsi="Times New Roman"/>
          <w:lang w:val="sr-Cyrl-BA"/>
        </w:rPr>
        <w:t xml:space="preserve"> </w:t>
      </w:r>
      <w:r>
        <w:rPr>
          <w:rFonts w:ascii="Times New Roman" w:hAnsi="Times New Roman"/>
          <w:lang w:val="sr-Cyrl-BA"/>
        </w:rPr>
        <w:t>програма</w:t>
      </w:r>
      <w:r w:rsidR="00EF23E9" w:rsidRPr="00295637">
        <w:rPr>
          <w:rFonts w:ascii="Times New Roman" w:hAnsi="Times New Roman"/>
          <w:lang w:val="sr-Cyrl-BA"/>
        </w:rPr>
        <w:t xml:space="preserve"> </w:t>
      </w:r>
      <w:r>
        <w:rPr>
          <w:rFonts w:ascii="Times New Roman" w:hAnsi="Times New Roman"/>
          <w:lang w:val="sr-Cyrl-BA"/>
        </w:rPr>
        <w:t>за</w:t>
      </w:r>
      <w:r w:rsidR="00EF23E9" w:rsidRPr="00295637">
        <w:rPr>
          <w:rFonts w:ascii="Times New Roman" w:hAnsi="Times New Roman"/>
          <w:lang w:val="sr-Cyrl-BA"/>
        </w:rPr>
        <w:t xml:space="preserve"> </w:t>
      </w:r>
      <w:r>
        <w:rPr>
          <w:rFonts w:ascii="Times New Roman" w:hAnsi="Times New Roman"/>
          <w:lang w:val="sr-Cyrl-BA"/>
        </w:rPr>
        <w:t>равноправност</w:t>
      </w:r>
      <w:r w:rsidR="00EF23E9" w:rsidRPr="00295637">
        <w:rPr>
          <w:rFonts w:ascii="Times New Roman" w:hAnsi="Times New Roman"/>
          <w:lang w:val="sr-Cyrl-BA"/>
        </w:rPr>
        <w:t xml:space="preserve"> </w:t>
      </w:r>
      <w:r>
        <w:rPr>
          <w:rFonts w:ascii="Times New Roman" w:hAnsi="Times New Roman"/>
          <w:lang w:val="sr-Cyrl-BA"/>
        </w:rPr>
        <w:t>полова</w:t>
      </w:r>
      <w:r w:rsidR="00EF23E9" w:rsidRPr="00295637">
        <w:rPr>
          <w:rFonts w:ascii="Times New Roman" w:hAnsi="Times New Roman"/>
          <w:lang w:val="sr-Cyrl-BA"/>
        </w:rPr>
        <w:t xml:space="preserve"> </w:t>
      </w:r>
      <w:r>
        <w:rPr>
          <w:rFonts w:ascii="Times New Roman" w:hAnsi="Times New Roman"/>
          <w:lang w:val="sr-Cyrl-BA"/>
        </w:rPr>
        <w:t>т</w:t>
      </w:r>
      <w:r>
        <w:rPr>
          <w:rFonts w:ascii="Times New Roman" w:hAnsi="Times New Roman"/>
          <w:lang w:val="hr-HR"/>
        </w:rPr>
        <w:t>о</w:t>
      </w:r>
      <w:r>
        <w:rPr>
          <w:rFonts w:ascii="Times New Roman" w:hAnsi="Times New Roman"/>
          <w:lang w:val="sr-Cyrl-BA"/>
        </w:rPr>
        <w:t>ком</w:t>
      </w:r>
      <w:r w:rsidR="00EF23E9" w:rsidRPr="00295637">
        <w:rPr>
          <w:rFonts w:ascii="Times New Roman" w:hAnsi="Times New Roman"/>
          <w:lang w:val="sr-Cyrl-BA"/>
        </w:rPr>
        <w:t xml:space="preserve"> </w:t>
      </w:r>
      <w:r>
        <w:rPr>
          <w:rFonts w:ascii="Times New Roman" w:hAnsi="Times New Roman"/>
          <w:lang w:val="sr-Cyrl-BA"/>
        </w:rPr>
        <w:t>изборног</w:t>
      </w:r>
      <w:r w:rsidR="00EF23E9" w:rsidRPr="00295637">
        <w:rPr>
          <w:rFonts w:ascii="Times New Roman" w:hAnsi="Times New Roman"/>
          <w:lang w:val="sr-Cyrl-BA"/>
        </w:rPr>
        <w:t xml:space="preserve"> </w:t>
      </w:r>
      <w:r>
        <w:rPr>
          <w:rFonts w:ascii="Times New Roman" w:hAnsi="Times New Roman"/>
          <w:lang w:val="sr-Cyrl-BA"/>
        </w:rPr>
        <w:t>процеса</w:t>
      </w:r>
      <w:r w:rsidR="00EF23E9" w:rsidRPr="00295637">
        <w:rPr>
          <w:rFonts w:ascii="Times New Roman" w:hAnsi="Times New Roman"/>
          <w:lang w:val="sr-Cyrl-BA"/>
        </w:rPr>
        <w:t xml:space="preserve">, </w:t>
      </w:r>
      <w:r>
        <w:rPr>
          <w:rFonts w:ascii="Times New Roman" w:hAnsi="Times New Roman"/>
          <w:lang w:val="sr-Cyrl-BA"/>
        </w:rPr>
        <w:t>те</w:t>
      </w:r>
      <w:r w:rsidR="00EF23E9" w:rsidRPr="00295637">
        <w:rPr>
          <w:rFonts w:ascii="Times New Roman" w:hAnsi="Times New Roman"/>
          <w:lang w:val="sr-Cyrl-BA"/>
        </w:rPr>
        <w:t xml:space="preserve"> </w:t>
      </w:r>
      <w:r>
        <w:rPr>
          <w:rFonts w:ascii="Times New Roman" w:hAnsi="Times New Roman"/>
          <w:lang w:val="sr-Cyrl-BA"/>
        </w:rPr>
        <w:t>подизање</w:t>
      </w:r>
      <w:r w:rsidR="00EF23E9" w:rsidRPr="00295637">
        <w:rPr>
          <w:rFonts w:ascii="Times New Roman" w:hAnsi="Times New Roman"/>
          <w:lang w:val="sr-Cyrl-BA"/>
        </w:rPr>
        <w:t xml:space="preserve"> </w:t>
      </w:r>
      <w:r>
        <w:rPr>
          <w:rFonts w:ascii="Times New Roman" w:hAnsi="Times New Roman"/>
          <w:lang w:val="sr-Cyrl-BA"/>
        </w:rPr>
        <w:t>свијести</w:t>
      </w:r>
      <w:r w:rsidR="00EF23E9" w:rsidRPr="00295637">
        <w:rPr>
          <w:rFonts w:ascii="Times New Roman" w:hAnsi="Times New Roman"/>
          <w:lang w:val="sr-Cyrl-BA"/>
        </w:rPr>
        <w:t xml:space="preserve"> </w:t>
      </w:r>
      <w:r>
        <w:rPr>
          <w:rFonts w:ascii="Times New Roman" w:hAnsi="Times New Roman"/>
          <w:lang w:val="sr-Cyrl-BA"/>
        </w:rPr>
        <w:t>о</w:t>
      </w:r>
      <w:r w:rsidR="00EF23E9" w:rsidRPr="00295637">
        <w:rPr>
          <w:rFonts w:ascii="Times New Roman" w:hAnsi="Times New Roman"/>
          <w:lang w:val="sr-Cyrl-BA"/>
        </w:rPr>
        <w:t xml:space="preserve"> </w:t>
      </w:r>
      <w:r>
        <w:rPr>
          <w:rFonts w:ascii="Times New Roman" w:hAnsi="Times New Roman"/>
          <w:lang w:val="sr-Cyrl-BA"/>
        </w:rPr>
        <w:t>важности</w:t>
      </w:r>
      <w:r w:rsidR="00EF23E9" w:rsidRPr="00295637">
        <w:rPr>
          <w:rFonts w:ascii="Times New Roman" w:hAnsi="Times New Roman"/>
          <w:lang w:val="sr-Cyrl-BA"/>
        </w:rPr>
        <w:t xml:space="preserve"> </w:t>
      </w:r>
      <w:r>
        <w:rPr>
          <w:rFonts w:ascii="Times New Roman" w:hAnsi="Times New Roman"/>
          <w:lang w:val="hr-HR"/>
        </w:rPr>
        <w:t>учешћа</w:t>
      </w:r>
      <w:r w:rsidR="00EF23E9" w:rsidRPr="00295637">
        <w:rPr>
          <w:rFonts w:ascii="Times New Roman" w:hAnsi="Times New Roman"/>
          <w:lang w:val="sr-Cyrl-BA"/>
        </w:rPr>
        <w:t xml:space="preserve"> </w:t>
      </w:r>
      <w:r>
        <w:rPr>
          <w:rFonts w:ascii="Times New Roman" w:hAnsi="Times New Roman"/>
          <w:lang w:val="sr-Cyrl-BA"/>
        </w:rPr>
        <w:t>жена</w:t>
      </w:r>
      <w:r w:rsidR="00EF23E9" w:rsidRPr="00295637">
        <w:rPr>
          <w:rFonts w:ascii="Times New Roman" w:hAnsi="Times New Roman"/>
          <w:lang w:val="sr-Cyrl-BA"/>
        </w:rPr>
        <w:t xml:space="preserve"> </w:t>
      </w:r>
      <w:r>
        <w:rPr>
          <w:rFonts w:ascii="Times New Roman" w:hAnsi="Times New Roman"/>
          <w:lang w:val="sr-Cyrl-BA"/>
        </w:rPr>
        <w:t>у</w:t>
      </w:r>
      <w:r w:rsidR="00EF23E9" w:rsidRPr="00295637">
        <w:rPr>
          <w:rFonts w:ascii="Times New Roman" w:hAnsi="Times New Roman"/>
          <w:lang w:val="sr-Cyrl-BA"/>
        </w:rPr>
        <w:t xml:space="preserve"> </w:t>
      </w:r>
      <w:r>
        <w:rPr>
          <w:rFonts w:ascii="Times New Roman" w:hAnsi="Times New Roman"/>
          <w:lang w:val="sr-Cyrl-BA"/>
        </w:rPr>
        <w:t>јавном</w:t>
      </w:r>
      <w:r w:rsidR="00EF23E9" w:rsidRPr="00295637">
        <w:rPr>
          <w:rFonts w:ascii="Times New Roman" w:hAnsi="Times New Roman"/>
          <w:lang w:val="sr-Cyrl-BA"/>
        </w:rPr>
        <w:t xml:space="preserve"> </w:t>
      </w:r>
      <w:r>
        <w:rPr>
          <w:rFonts w:ascii="Times New Roman" w:hAnsi="Times New Roman"/>
          <w:lang w:val="sr-Cyrl-BA"/>
        </w:rPr>
        <w:t>и</w:t>
      </w:r>
      <w:r w:rsidR="00EF23E9" w:rsidRPr="00295637">
        <w:rPr>
          <w:rFonts w:ascii="Times New Roman" w:hAnsi="Times New Roman"/>
          <w:lang w:val="sr-Cyrl-BA"/>
        </w:rPr>
        <w:t xml:space="preserve"> </w:t>
      </w:r>
      <w:r>
        <w:rPr>
          <w:rFonts w:ascii="Times New Roman" w:hAnsi="Times New Roman"/>
          <w:lang w:val="sr-Cyrl-BA"/>
        </w:rPr>
        <w:t>политичком</w:t>
      </w:r>
      <w:r w:rsidR="00EF23E9" w:rsidRPr="00295637">
        <w:rPr>
          <w:rFonts w:ascii="Times New Roman" w:hAnsi="Times New Roman"/>
          <w:lang w:val="sr-Cyrl-BA"/>
        </w:rPr>
        <w:t xml:space="preserve"> </w:t>
      </w:r>
      <w:r>
        <w:rPr>
          <w:rFonts w:ascii="Times New Roman" w:hAnsi="Times New Roman"/>
          <w:lang w:val="sr-Cyrl-BA"/>
        </w:rPr>
        <w:t>животу</w:t>
      </w:r>
      <w:r w:rsidR="00EF23E9" w:rsidRPr="00295637">
        <w:rPr>
          <w:rFonts w:ascii="Times New Roman" w:hAnsi="Times New Roman"/>
          <w:lang w:val="sr-Cyrl-BA"/>
        </w:rPr>
        <w:t xml:space="preserve">. </w:t>
      </w:r>
      <w:r>
        <w:rPr>
          <w:rFonts w:ascii="Times New Roman" w:hAnsi="Times New Roman"/>
          <w:lang w:val="sr-Cyrl-BA"/>
        </w:rPr>
        <w:t>Комплетна</w:t>
      </w:r>
      <w:r w:rsidR="00EF23E9" w:rsidRPr="00295637">
        <w:rPr>
          <w:rFonts w:ascii="Times New Roman" w:hAnsi="Times New Roman"/>
          <w:lang w:val="sr-Cyrl-BA"/>
        </w:rPr>
        <w:t xml:space="preserve"> </w:t>
      </w:r>
      <w:r>
        <w:rPr>
          <w:rFonts w:ascii="Times New Roman" w:hAnsi="Times New Roman"/>
          <w:lang w:val="sr-Cyrl-BA"/>
        </w:rPr>
        <w:t>кампања</w:t>
      </w:r>
      <w:r w:rsidR="00EF23E9" w:rsidRPr="00295637">
        <w:rPr>
          <w:rFonts w:ascii="Times New Roman" w:hAnsi="Times New Roman"/>
          <w:lang w:val="sr-Cyrl-BA"/>
        </w:rPr>
        <w:t xml:space="preserve"> </w:t>
      </w:r>
      <w:r>
        <w:rPr>
          <w:rFonts w:ascii="Times New Roman" w:hAnsi="Times New Roman"/>
          <w:lang w:val="sr-Cyrl-BA"/>
        </w:rPr>
        <w:t>је</w:t>
      </w:r>
      <w:r w:rsidR="00EF23E9" w:rsidRPr="00295637">
        <w:rPr>
          <w:rFonts w:ascii="Times New Roman" w:hAnsi="Times New Roman"/>
          <w:lang w:val="sr-Cyrl-BA"/>
        </w:rPr>
        <w:t xml:space="preserve"> </w:t>
      </w:r>
      <w:r w:rsidR="00E3060A">
        <w:rPr>
          <w:rFonts w:ascii="Times New Roman" w:hAnsi="Times New Roman"/>
          <w:lang w:val="sr-Cyrl-BA"/>
        </w:rPr>
        <w:t>спроведена</w:t>
      </w:r>
      <w:r w:rsidR="00EF23E9" w:rsidRPr="00295637">
        <w:rPr>
          <w:rFonts w:ascii="Times New Roman" w:hAnsi="Times New Roman"/>
          <w:lang w:val="sr-Cyrl-BA"/>
        </w:rPr>
        <w:t xml:space="preserve"> </w:t>
      </w:r>
      <w:r>
        <w:rPr>
          <w:rFonts w:ascii="Times New Roman" w:hAnsi="Times New Roman"/>
          <w:lang w:val="sr-Cyrl-BA"/>
        </w:rPr>
        <w:t>онл</w:t>
      </w:r>
      <w:r w:rsidR="00E3060A">
        <w:rPr>
          <w:rFonts w:ascii="Times New Roman" w:hAnsi="Times New Roman"/>
          <w:lang w:val="sr-Cyrl-BA"/>
        </w:rPr>
        <w:t>ајн</w:t>
      </w:r>
      <w:r w:rsidR="00EF23E9" w:rsidRPr="00295637">
        <w:rPr>
          <w:rFonts w:ascii="Times New Roman" w:hAnsi="Times New Roman"/>
          <w:lang w:val="sr-Cyrl-BA"/>
        </w:rPr>
        <w:t xml:space="preserve"> </w:t>
      </w:r>
      <w:r>
        <w:rPr>
          <w:rFonts w:ascii="Times New Roman" w:hAnsi="Times New Roman"/>
          <w:lang w:val="sr-Cyrl-BA"/>
        </w:rPr>
        <w:t>путем</w:t>
      </w:r>
      <w:r w:rsidR="00EF23E9" w:rsidRPr="00295637">
        <w:rPr>
          <w:rFonts w:ascii="Times New Roman" w:hAnsi="Times New Roman"/>
          <w:lang w:val="sr-Cyrl-BA"/>
        </w:rPr>
        <w:t xml:space="preserve"> </w:t>
      </w:r>
      <w:r>
        <w:rPr>
          <w:rFonts w:ascii="Times New Roman" w:hAnsi="Times New Roman"/>
          <w:lang w:val="sr-Cyrl-BA"/>
        </w:rPr>
        <w:t>званичног</w:t>
      </w:r>
      <w:r w:rsidR="00EF23E9" w:rsidRPr="00295637">
        <w:rPr>
          <w:rFonts w:ascii="Times New Roman" w:hAnsi="Times New Roman"/>
          <w:lang w:val="sr-Cyrl-BA"/>
        </w:rPr>
        <w:t xml:space="preserve"> </w:t>
      </w:r>
      <w:r>
        <w:rPr>
          <w:rFonts w:ascii="Times New Roman" w:hAnsi="Times New Roman"/>
          <w:lang w:val="sr-Cyrl-BA"/>
        </w:rPr>
        <w:t>портала</w:t>
      </w:r>
      <w:r w:rsidR="00EF23E9" w:rsidRPr="00295637">
        <w:rPr>
          <w:rFonts w:ascii="Times New Roman" w:hAnsi="Times New Roman"/>
          <w:lang w:val="sr-Cyrl-BA"/>
        </w:rPr>
        <w:t xml:space="preserve"> </w:t>
      </w:r>
      <w:r>
        <w:rPr>
          <w:rFonts w:ascii="Times New Roman" w:hAnsi="Times New Roman"/>
          <w:lang w:val="sr-Cyrl-BA"/>
        </w:rPr>
        <w:t>Владе</w:t>
      </w:r>
      <w:r w:rsidR="00EF23E9" w:rsidRPr="00295637">
        <w:rPr>
          <w:rFonts w:ascii="Times New Roman" w:hAnsi="Times New Roman"/>
          <w:lang w:val="sr-Cyrl-BA"/>
        </w:rPr>
        <w:t xml:space="preserve"> </w:t>
      </w:r>
      <w:r>
        <w:rPr>
          <w:rFonts w:ascii="Times New Roman" w:hAnsi="Times New Roman"/>
          <w:lang w:val="sr-Cyrl-BA"/>
        </w:rPr>
        <w:t>РС</w:t>
      </w:r>
      <w:r w:rsidR="00EF23E9" w:rsidRPr="00295637">
        <w:rPr>
          <w:rFonts w:ascii="Times New Roman" w:hAnsi="Times New Roman"/>
          <w:lang w:val="sr-Cyrl-BA"/>
        </w:rPr>
        <w:t xml:space="preserve"> </w:t>
      </w:r>
      <w:r>
        <w:rPr>
          <w:rFonts w:ascii="Times New Roman" w:hAnsi="Times New Roman"/>
          <w:lang w:val="sr-Latn-BA"/>
        </w:rPr>
        <w:t>и</w:t>
      </w:r>
      <w:r w:rsidR="00EF23E9" w:rsidRPr="00295637">
        <w:rPr>
          <w:rFonts w:ascii="Times New Roman" w:hAnsi="Times New Roman"/>
          <w:lang w:val="sr-Cyrl-BA"/>
        </w:rPr>
        <w:t xml:space="preserve"> </w:t>
      </w:r>
      <w:r>
        <w:rPr>
          <w:rFonts w:ascii="Times New Roman" w:hAnsi="Times New Roman"/>
          <w:lang w:val="sr-Cyrl-BA"/>
        </w:rPr>
        <w:t>друштвених</w:t>
      </w:r>
      <w:r w:rsidR="00EF23E9" w:rsidRPr="00295637">
        <w:rPr>
          <w:rFonts w:ascii="Times New Roman" w:hAnsi="Times New Roman"/>
          <w:lang w:val="sr-Cyrl-BA"/>
        </w:rPr>
        <w:t xml:space="preserve"> </w:t>
      </w:r>
      <w:r>
        <w:rPr>
          <w:rFonts w:ascii="Times New Roman" w:hAnsi="Times New Roman"/>
          <w:lang w:val="sr-Cyrl-BA"/>
        </w:rPr>
        <w:t>мрежа</w:t>
      </w:r>
      <w:r w:rsidR="00EF23E9" w:rsidRPr="00295637">
        <w:rPr>
          <w:rFonts w:ascii="Times New Roman" w:hAnsi="Times New Roman"/>
          <w:lang w:val="sr-Cyrl-BA"/>
        </w:rPr>
        <w:t>.</w:t>
      </w:r>
    </w:p>
    <w:p w:rsidR="00EF23E9" w:rsidRPr="00295637" w:rsidRDefault="00EF23E9" w:rsidP="0086268D">
      <w:pPr>
        <w:pStyle w:val="HTMLPreformatted"/>
        <w:jc w:val="both"/>
        <w:rPr>
          <w:rStyle w:val="y2iqfc"/>
          <w:rFonts w:ascii="inherit" w:hAnsi="inherit"/>
          <w:color w:val="1F1F1F"/>
          <w:sz w:val="24"/>
          <w:szCs w:val="24"/>
        </w:rPr>
      </w:pPr>
    </w:p>
    <w:p w:rsidR="00C142CC" w:rsidRDefault="00C6214E" w:rsidP="00820915">
      <w:pPr>
        <w:pStyle w:val="HTMLPreformatted"/>
        <w:jc w:val="both"/>
        <w:rPr>
          <w:rStyle w:val="y2iqfc"/>
          <w:rFonts w:ascii="inherit" w:hAnsi="inherit"/>
          <w:sz w:val="24"/>
          <w:szCs w:val="24"/>
        </w:rPr>
      </w:pPr>
      <w:r>
        <w:rPr>
          <w:rStyle w:val="y2iqfc"/>
          <w:rFonts w:ascii="inherit" w:hAnsi="inherit"/>
          <w:sz w:val="24"/>
          <w:szCs w:val="24"/>
        </w:rPr>
        <w:t>У</w:t>
      </w:r>
      <w:r w:rsidR="00404DE2" w:rsidRPr="00D01564">
        <w:rPr>
          <w:rStyle w:val="y2iqfc"/>
          <w:rFonts w:ascii="inherit" w:hAnsi="inherit"/>
          <w:sz w:val="24"/>
          <w:szCs w:val="24"/>
        </w:rPr>
        <w:t xml:space="preserve"> </w:t>
      </w:r>
      <w:r>
        <w:rPr>
          <w:rStyle w:val="y2iqfc"/>
          <w:rFonts w:ascii="inherit" w:hAnsi="inherit"/>
          <w:sz w:val="24"/>
          <w:szCs w:val="24"/>
        </w:rPr>
        <w:t>оквиру</w:t>
      </w:r>
      <w:r w:rsidR="00404DE2" w:rsidRPr="00D01564">
        <w:rPr>
          <w:rStyle w:val="y2iqfc"/>
          <w:rFonts w:ascii="inherit" w:hAnsi="inherit"/>
          <w:sz w:val="24"/>
          <w:szCs w:val="24"/>
        </w:rPr>
        <w:t xml:space="preserve"> </w:t>
      </w:r>
      <w:r>
        <w:rPr>
          <w:rStyle w:val="y2iqfc"/>
          <w:rFonts w:ascii="inherit" w:hAnsi="inherit"/>
          <w:sz w:val="24"/>
          <w:szCs w:val="24"/>
        </w:rPr>
        <w:t>пројекта</w:t>
      </w:r>
      <w:r w:rsidR="00404DE2" w:rsidRPr="00D01564">
        <w:rPr>
          <w:rStyle w:val="y2iqfc"/>
          <w:rFonts w:ascii="inherit" w:hAnsi="inherit"/>
          <w:sz w:val="24"/>
          <w:szCs w:val="24"/>
        </w:rPr>
        <w:t xml:space="preserve"> „</w:t>
      </w:r>
      <w:r>
        <w:rPr>
          <w:rStyle w:val="y2iqfc"/>
          <w:rFonts w:ascii="inherit" w:hAnsi="inherit"/>
          <w:sz w:val="24"/>
          <w:szCs w:val="24"/>
        </w:rPr>
        <w:t>Јачање</w:t>
      </w:r>
      <w:r w:rsidR="00404DE2" w:rsidRPr="00D01564">
        <w:rPr>
          <w:rStyle w:val="y2iqfc"/>
          <w:rFonts w:ascii="inherit" w:hAnsi="inherit"/>
          <w:sz w:val="24"/>
          <w:szCs w:val="24"/>
        </w:rPr>
        <w:t xml:space="preserve"> </w:t>
      </w:r>
      <w:r>
        <w:rPr>
          <w:rStyle w:val="y2iqfc"/>
          <w:rFonts w:ascii="inherit" w:hAnsi="inherit"/>
          <w:sz w:val="24"/>
          <w:szCs w:val="24"/>
        </w:rPr>
        <w:t>демократских</w:t>
      </w:r>
      <w:r w:rsidR="00404DE2" w:rsidRPr="00D01564">
        <w:rPr>
          <w:rStyle w:val="y2iqfc"/>
          <w:rFonts w:ascii="inherit" w:hAnsi="inherit"/>
          <w:sz w:val="24"/>
          <w:szCs w:val="24"/>
        </w:rPr>
        <w:t xml:space="preserve"> </w:t>
      </w:r>
      <w:r>
        <w:rPr>
          <w:rStyle w:val="y2iqfc"/>
          <w:rFonts w:ascii="inherit" w:hAnsi="inherit"/>
          <w:sz w:val="24"/>
          <w:szCs w:val="24"/>
        </w:rPr>
        <w:t>иновација</w:t>
      </w:r>
      <w:r w:rsidR="00404DE2" w:rsidRPr="00D01564">
        <w:rPr>
          <w:rStyle w:val="y2iqfc"/>
          <w:rFonts w:ascii="inherit" w:hAnsi="inherit"/>
          <w:sz w:val="24"/>
          <w:szCs w:val="24"/>
        </w:rPr>
        <w:t xml:space="preserve"> </w:t>
      </w:r>
      <w:r>
        <w:rPr>
          <w:rStyle w:val="y2iqfc"/>
          <w:rFonts w:ascii="inherit" w:hAnsi="inherit"/>
          <w:sz w:val="24"/>
          <w:szCs w:val="24"/>
        </w:rPr>
        <w:t>и</w:t>
      </w:r>
      <w:r w:rsidR="00404DE2" w:rsidRPr="00D01564">
        <w:rPr>
          <w:rStyle w:val="y2iqfc"/>
          <w:rFonts w:ascii="inherit" w:hAnsi="inherit"/>
          <w:sz w:val="24"/>
          <w:szCs w:val="24"/>
        </w:rPr>
        <w:t xml:space="preserve"> </w:t>
      </w:r>
      <w:r>
        <w:rPr>
          <w:rStyle w:val="y2iqfc"/>
          <w:rFonts w:ascii="inherit" w:hAnsi="inherit"/>
          <w:sz w:val="24"/>
          <w:szCs w:val="24"/>
        </w:rPr>
        <w:t>промоција</w:t>
      </w:r>
      <w:r w:rsidR="00404DE2" w:rsidRPr="00D01564">
        <w:rPr>
          <w:rStyle w:val="y2iqfc"/>
          <w:rFonts w:ascii="inherit" w:hAnsi="inherit"/>
          <w:sz w:val="24"/>
          <w:szCs w:val="24"/>
        </w:rPr>
        <w:t xml:space="preserve"> </w:t>
      </w:r>
      <w:r>
        <w:rPr>
          <w:rStyle w:val="y2iqfc"/>
          <w:rFonts w:ascii="inherit" w:hAnsi="inherit"/>
          <w:sz w:val="24"/>
          <w:szCs w:val="24"/>
        </w:rPr>
        <w:t>људских</w:t>
      </w:r>
      <w:r w:rsidR="00404DE2" w:rsidRPr="00D01564">
        <w:rPr>
          <w:rStyle w:val="y2iqfc"/>
          <w:rFonts w:ascii="inherit" w:hAnsi="inherit"/>
          <w:sz w:val="24"/>
          <w:szCs w:val="24"/>
        </w:rPr>
        <w:t xml:space="preserve"> </w:t>
      </w:r>
      <w:r>
        <w:rPr>
          <w:rStyle w:val="y2iqfc"/>
          <w:rFonts w:ascii="inherit" w:hAnsi="inherit"/>
          <w:sz w:val="24"/>
          <w:szCs w:val="24"/>
        </w:rPr>
        <w:t>права</w:t>
      </w:r>
      <w:r w:rsidR="00404DE2" w:rsidRPr="00D01564">
        <w:rPr>
          <w:rStyle w:val="y2iqfc"/>
          <w:rFonts w:ascii="inherit" w:hAnsi="inherit"/>
          <w:sz w:val="24"/>
          <w:szCs w:val="24"/>
        </w:rPr>
        <w:t xml:space="preserve"> </w:t>
      </w:r>
      <w:r>
        <w:rPr>
          <w:rStyle w:val="y2iqfc"/>
          <w:rFonts w:ascii="inherit" w:hAnsi="inherit"/>
          <w:sz w:val="24"/>
          <w:szCs w:val="24"/>
        </w:rPr>
        <w:t>на</w:t>
      </w:r>
      <w:r w:rsidR="00404DE2" w:rsidRPr="00D01564">
        <w:rPr>
          <w:rStyle w:val="y2iqfc"/>
          <w:rFonts w:ascii="inherit" w:hAnsi="inherit"/>
          <w:sz w:val="24"/>
          <w:szCs w:val="24"/>
        </w:rPr>
        <w:t xml:space="preserve"> </w:t>
      </w:r>
      <w:r>
        <w:rPr>
          <w:rStyle w:val="y2iqfc"/>
          <w:rFonts w:ascii="inherit" w:hAnsi="inherit"/>
          <w:sz w:val="24"/>
          <w:szCs w:val="24"/>
        </w:rPr>
        <w:t>локалном</w:t>
      </w:r>
      <w:r w:rsidR="00404DE2" w:rsidRPr="00D01564">
        <w:rPr>
          <w:rStyle w:val="y2iqfc"/>
          <w:rFonts w:ascii="inherit" w:hAnsi="inherit"/>
          <w:sz w:val="24"/>
          <w:szCs w:val="24"/>
        </w:rPr>
        <w:t xml:space="preserve"> </w:t>
      </w:r>
      <w:r>
        <w:rPr>
          <w:rStyle w:val="y2iqfc"/>
          <w:rFonts w:ascii="inherit" w:hAnsi="inherit"/>
          <w:sz w:val="24"/>
          <w:szCs w:val="24"/>
        </w:rPr>
        <w:t>нивоу</w:t>
      </w:r>
      <w:r w:rsidR="00404DE2" w:rsidRPr="00D01564">
        <w:rPr>
          <w:rStyle w:val="y2iqfc"/>
          <w:rFonts w:ascii="inherit" w:hAnsi="inherit"/>
          <w:sz w:val="24"/>
          <w:szCs w:val="24"/>
        </w:rPr>
        <w:t xml:space="preserve"> </w:t>
      </w:r>
      <w:r>
        <w:rPr>
          <w:rStyle w:val="y2iqfc"/>
          <w:rFonts w:ascii="inherit" w:hAnsi="inherit"/>
          <w:sz w:val="24"/>
          <w:szCs w:val="24"/>
        </w:rPr>
        <w:t>у</w:t>
      </w:r>
      <w:r w:rsidR="00404DE2" w:rsidRPr="00D01564">
        <w:rPr>
          <w:rStyle w:val="y2iqfc"/>
          <w:rFonts w:ascii="inherit" w:hAnsi="inherit"/>
          <w:sz w:val="24"/>
          <w:szCs w:val="24"/>
        </w:rPr>
        <w:t xml:space="preserve"> </w:t>
      </w:r>
      <w:r>
        <w:rPr>
          <w:rStyle w:val="y2iqfc"/>
          <w:rFonts w:ascii="inherit" w:hAnsi="inherit"/>
          <w:sz w:val="24"/>
          <w:szCs w:val="24"/>
        </w:rPr>
        <w:t>Босни</w:t>
      </w:r>
      <w:r w:rsidR="00404DE2" w:rsidRPr="00D01564">
        <w:rPr>
          <w:rStyle w:val="y2iqfc"/>
          <w:rFonts w:ascii="inherit" w:hAnsi="inherit"/>
          <w:sz w:val="24"/>
          <w:szCs w:val="24"/>
        </w:rPr>
        <w:t xml:space="preserve"> </w:t>
      </w:r>
      <w:r>
        <w:rPr>
          <w:rStyle w:val="y2iqfc"/>
          <w:rFonts w:ascii="inherit" w:hAnsi="inherit"/>
          <w:sz w:val="24"/>
          <w:szCs w:val="24"/>
        </w:rPr>
        <w:t>и</w:t>
      </w:r>
      <w:r w:rsidR="00404DE2" w:rsidRPr="00D01564">
        <w:rPr>
          <w:rStyle w:val="y2iqfc"/>
          <w:rFonts w:ascii="inherit" w:hAnsi="inherit"/>
          <w:sz w:val="24"/>
          <w:szCs w:val="24"/>
        </w:rPr>
        <w:t xml:space="preserve"> </w:t>
      </w:r>
      <w:r>
        <w:rPr>
          <w:rStyle w:val="y2iqfc"/>
          <w:rFonts w:ascii="inherit" w:hAnsi="inherit"/>
          <w:sz w:val="24"/>
          <w:szCs w:val="24"/>
        </w:rPr>
        <w:t>Херцеговини</w:t>
      </w:r>
      <w:r w:rsidR="00404DE2" w:rsidRPr="00D01564">
        <w:rPr>
          <w:rStyle w:val="y2iqfc"/>
          <w:rFonts w:ascii="inherit" w:hAnsi="inherit"/>
          <w:sz w:val="24"/>
          <w:szCs w:val="24"/>
        </w:rPr>
        <w:t xml:space="preserve">“, </w:t>
      </w:r>
      <w:r w:rsidR="00CF7DF6">
        <w:rPr>
          <w:rStyle w:val="y2iqfc"/>
          <w:rFonts w:ascii="inherit" w:hAnsi="inherit"/>
          <w:sz w:val="24"/>
          <w:szCs w:val="24"/>
          <w:lang w:val="sr-Cyrl-BA"/>
        </w:rPr>
        <w:t>Канцеларија</w:t>
      </w:r>
      <w:r w:rsidR="00CF7DF6" w:rsidRPr="00D01564">
        <w:rPr>
          <w:rStyle w:val="y2iqfc"/>
          <w:rFonts w:ascii="inherit" w:hAnsi="inherit"/>
          <w:sz w:val="24"/>
          <w:szCs w:val="24"/>
        </w:rPr>
        <w:t xml:space="preserve"> </w:t>
      </w:r>
      <w:r w:rsidR="00E3060A">
        <w:rPr>
          <w:rStyle w:val="y2iqfc"/>
          <w:rFonts w:ascii="inherit" w:hAnsi="inherit"/>
          <w:sz w:val="24"/>
          <w:szCs w:val="24"/>
          <w:lang w:val="sr-Cyrl-BA"/>
        </w:rPr>
        <w:t>С</w:t>
      </w:r>
      <w:r>
        <w:rPr>
          <w:rStyle w:val="y2iqfc"/>
          <w:rFonts w:ascii="inherit" w:hAnsi="inherit"/>
          <w:sz w:val="24"/>
          <w:szCs w:val="24"/>
        </w:rPr>
        <w:t>Е</w:t>
      </w:r>
      <w:r w:rsidR="00D01564">
        <w:rPr>
          <w:rStyle w:val="y2iqfc"/>
          <w:rFonts w:ascii="inherit" w:hAnsi="inherit"/>
          <w:sz w:val="24"/>
          <w:szCs w:val="24"/>
        </w:rPr>
        <w:t xml:space="preserve"> </w:t>
      </w:r>
      <w:r>
        <w:rPr>
          <w:rStyle w:val="y2iqfc"/>
          <w:rFonts w:ascii="inherit" w:hAnsi="inherit"/>
          <w:sz w:val="24"/>
          <w:szCs w:val="24"/>
        </w:rPr>
        <w:t>у</w:t>
      </w:r>
      <w:r w:rsidR="00D01564">
        <w:rPr>
          <w:rStyle w:val="y2iqfc"/>
          <w:rFonts w:ascii="inherit" w:hAnsi="inherit"/>
          <w:sz w:val="24"/>
          <w:szCs w:val="24"/>
        </w:rPr>
        <w:t xml:space="preserve"> </w:t>
      </w:r>
      <w:r>
        <w:rPr>
          <w:rStyle w:val="y2iqfc"/>
          <w:rFonts w:ascii="inherit" w:hAnsi="inherit"/>
          <w:sz w:val="24"/>
          <w:szCs w:val="24"/>
        </w:rPr>
        <w:t>БиХ</w:t>
      </w:r>
      <w:r w:rsidR="00404DE2" w:rsidRPr="00D01564">
        <w:rPr>
          <w:rStyle w:val="y2iqfc"/>
          <w:rFonts w:ascii="inherit" w:hAnsi="inherit"/>
          <w:sz w:val="24"/>
          <w:szCs w:val="24"/>
        </w:rPr>
        <w:t xml:space="preserve"> </w:t>
      </w:r>
      <w:r>
        <w:rPr>
          <w:rStyle w:val="y2iqfc"/>
          <w:rFonts w:ascii="inherit" w:hAnsi="inherit"/>
          <w:sz w:val="24"/>
          <w:szCs w:val="24"/>
        </w:rPr>
        <w:t>је</w:t>
      </w:r>
      <w:r w:rsidR="00404DE2" w:rsidRPr="00D01564">
        <w:rPr>
          <w:rStyle w:val="y2iqfc"/>
          <w:rFonts w:ascii="inherit" w:hAnsi="inherit"/>
          <w:sz w:val="24"/>
          <w:szCs w:val="24"/>
        </w:rPr>
        <w:t xml:space="preserve"> </w:t>
      </w:r>
      <w:r>
        <w:rPr>
          <w:rStyle w:val="y2iqfc"/>
          <w:rFonts w:ascii="inherit" w:hAnsi="inherit"/>
          <w:sz w:val="24"/>
          <w:szCs w:val="24"/>
        </w:rPr>
        <w:t>на</w:t>
      </w:r>
      <w:r w:rsidR="00404DE2" w:rsidRPr="00D01564">
        <w:rPr>
          <w:rStyle w:val="y2iqfc"/>
          <w:rFonts w:ascii="inherit" w:hAnsi="inherit"/>
          <w:sz w:val="24"/>
          <w:szCs w:val="24"/>
        </w:rPr>
        <w:t xml:space="preserve"> </w:t>
      </w:r>
      <w:r>
        <w:rPr>
          <w:rStyle w:val="y2iqfc"/>
          <w:rFonts w:ascii="inherit" w:hAnsi="inherit"/>
          <w:sz w:val="24"/>
          <w:szCs w:val="24"/>
        </w:rPr>
        <w:t>нивоу</w:t>
      </w:r>
      <w:r w:rsidR="00404DE2" w:rsidRPr="00D01564">
        <w:rPr>
          <w:rStyle w:val="y2iqfc"/>
          <w:rFonts w:ascii="inherit" w:hAnsi="inherit"/>
          <w:sz w:val="24"/>
          <w:szCs w:val="24"/>
        </w:rPr>
        <w:t xml:space="preserve"> </w:t>
      </w:r>
      <w:r>
        <w:rPr>
          <w:rStyle w:val="y2iqfc"/>
          <w:rFonts w:ascii="inherit" w:hAnsi="inherit"/>
          <w:sz w:val="24"/>
          <w:szCs w:val="24"/>
        </w:rPr>
        <w:t>јединица</w:t>
      </w:r>
      <w:r w:rsidR="00404DE2" w:rsidRPr="00D01564">
        <w:rPr>
          <w:rStyle w:val="y2iqfc"/>
          <w:rFonts w:ascii="inherit" w:hAnsi="inherit"/>
          <w:sz w:val="24"/>
          <w:szCs w:val="24"/>
        </w:rPr>
        <w:t xml:space="preserve"> </w:t>
      </w:r>
      <w:r>
        <w:rPr>
          <w:rStyle w:val="y2iqfc"/>
          <w:rFonts w:ascii="inherit" w:hAnsi="inherit"/>
          <w:sz w:val="24"/>
          <w:szCs w:val="24"/>
        </w:rPr>
        <w:t>локалне</w:t>
      </w:r>
      <w:r w:rsidR="00404DE2" w:rsidRPr="00D01564">
        <w:rPr>
          <w:rStyle w:val="y2iqfc"/>
          <w:rFonts w:ascii="inherit" w:hAnsi="inherit"/>
          <w:sz w:val="24"/>
          <w:szCs w:val="24"/>
        </w:rPr>
        <w:t xml:space="preserve"> </w:t>
      </w:r>
      <w:r>
        <w:rPr>
          <w:rStyle w:val="y2iqfc"/>
          <w:rFonts w:ascii="inherit" w:hAnsi="inherit"/>
          <w:sz w:val="24"/>
          <w:szCs w:val="24"/>
        </w:rPr>
        <w:t>самоуправе</w:t>
      </w:r>
      <w:r w:rsidR="00404DE2" w:rsidRPr="00D01564">
        <w:rPr>
          <w:rStyle w:val="y2iqfc"/>
          <w:rFonts w:ascii="inherit" w:hAnsi="inherit"/>
          <w:sz w:val="24"/>
          <w:szCs w:val="24"/>
        </w:rPr>
        <w:t xml:space="preserve"> </w:t>
      </w:r>
      <w:r>
        <w:rPr>
          <w:rStyle w:val="y2iqfc"/>
          <w:rFonts w:ascii="inherit" w:hAnsi="inherit"/>
          <w:sz w:val="24"/>
          <w:szCs w:val="24"/>
        </w:rPr>
        <w:t>промови</w:t>
      </w:r>
      <w:r w:rsidR="00E3060A">
        <w:rPr>
          <w:rStyle w:val="y2iqfc"/>
          <w:rFonts w:ascii="inherit" w:hAnsi="inherit"/>
          <w:sz w:val="24"/>
          <w:szCs w:val="24"/>
          <w:lang w:val="sr-Cyrl-BA"/>
        </w:rPr>
        <w:t>с</w:t>
      </w:r>
      <w:r>
        <w:rPr>
          <w:rStyle w:val="y2iqfc"/>
          <w:rFonts w:ascii="inherit" w:hAnsi="inherit"/>
          <w:sz w:val="24"/>
          <w:szCs w:val="24"/>
        </w:rPr>
        <w:t>ао</w:t>
      </w:r>
      <w:r w:rsidR="00404DE2" w:rsidRPr="00D01564">
        <w:rPr>
          <w:rStyle w:val="y2iqfc"/>
          <w:rFonts w:ascii="inherit" w:hAnsi="inherit"/>
          <w:sz w:val="24"/>
          <w:szCs w:val="24"/>
        </w:rPr>
        <w:t xml:space="preserve"> </w:t>
      </w:r>
      <w:r w:rsidR="00D01564">
        <w:rPr>
          <w:rStyle w:val="y2iqfc"/>
          <w:rFonts w:ascii="inherit" w:hAnsi="inherit"/>
          <w:sz w:val="24"/>
          <w:szCs w:val="24"/>
        </w:rPr>
        <w:t>„</w:t>
      </w:r>
      <w:r>
        <w:rPr>
          <w:rStyle w:val="y2iqfc"/>
          <w:rFonts w:ascii="inherit" w:hAnsi="inherit"/>
          <w:sz w:val="24"/>
          <w:szCs w:val="24"/>
        </w:rPr>
        <w:t>Водич</w:t>
      </w:r>
      <w:r w:rsidR="00404DE2" w:rsidRPr="00D01564">
        <w:rPr>
          <w:rStyle w:val="y2iqfc"/>
          <w:rFonts w:ascii="inherit" w:hAnsi="inherit"/>
          <w:sz w:val="24"/>
          <w:szCs w:val="24"/>
        </w:rPr>
        <w:t xml:space="preserve"> </w:t>
      </w:r>
      <w:r>
        <w:rPr>
          <w:rStyle w:val="y2iqfc"/>
          <w:rFonts w:ascii="inherit" w:hAnsi="inherit"/>
          <w:sz w:val="24"/>
          <w:szCs w:val="24"/>
        </w:rPr>
        <w:t>за</w:t>
      </w:r>
      <w:r w:rsidR="00404DE2" w:rsidRPr="00D01564">
        <w:rPr>
          <w:rStyle w:val="y2iqfc"/>
          <w:rFonts w:ascii="inherit" w:hAnsi="inherit"/>
          <w:sz w:val="24"/>
          <w:szCs w:val="24"/>
        </w:rPr>
        <w:t xml:space="preserve"> </w:t>
      </w:r>
      <w:r>
        <w:rPr>
          <w:rStyle w:val="y2iqfc"/>
          <w:rFonts w:ascii="inherit" w:hAnsi="inherit"/>
          <w:sz w:val="24"/>
          <w:szCs w:val="24"/>
        </w:rPr>
        <w:t>спречавање</w:t>
      </w:r>
      <w:r w:rsidR="00404DE2" w:rsidRPr="00D01564">
        <w:rPr>
          <w:rStyle w:val="y2iqfc"/>
          <w:rFonts w:ascii="inherit" w:hAnsi="inherit"/>
          <w:sz w:val="24"/>
          <w:szCs w:val="24"/>
        </w:rPr>
        <w:t xml:space="preserve"> </w:t>
      </w:r>
      <w:r>
        <w:rPr>
          <w:rStyle w:val="y2iqfc"/>
          <w:rFonts w:ascii="inherit" w:hAnsi="inherit"/>
          <w:sz w:val="24"/>
          <w:szCs w:val="24"/>
        </w:rPr>
        <w:t>и</w:t>
      </w:r>
      <w:r w:rsidR="00404DE2" w:rsidRPr="00D01564">
        <w:rPr>
          <w:rStyle w:val="y2iqfc"/>
          <w:rFonts w:ascii="inherit" w:hAnsi="inherit"/>
          <w:sz w:val="24"/>
          <w:szCs w:val="24"/>
        </w:rPr>
        <w:t xml:space="preserve"> </w:t>
      </w:r>
      <w:r>
        <w:rPr>
          <w:rStyle w:val="y2iqfc"/>
          <w:rFonts w:ascii="inherit" w:hAnsi="inherit"/>
          <w:sz w:val="24"/>
          <w:szCs w:val="24"/>
        </w:rPr>
        <w:t>борбу</w:t>
      </w:r>
      <w:r w:rsidR="00404DE2" w:rsidRPr="00D01564">
        <w:rPr>
          <w:rStyle w:val="y2iqfc"/>
          <w:rFonts w:ascii="inherit" w:hAnsi="inherit"/>
          <w:sz w:val="24"/>
          <w:szCs w:val="24"/>
        </w:rPr>
        <w:t xml:space="preserve"> </w:t>
      </w:r>
      <w:r>
        <w:rPr>
          <w:rStyle w:val="y2iqfc"/>
          <w:rFonts w:ascii="inherit" w:hAnsi="inherit"/>
          <w:sz w:val="24"/>
          <w:szCs w:val="24"/>
        </w:rPr>
        <w:t>против</w:t>
      </w:r>
      <w:r w:rsidR="00404DE2" w:rsidRPr="00D01564">
        <w:rPr>
          <w:rStyle w:val="y2iqfc"/>
          <w:rFonts w:ascii="inherit" w:hAnsi="inherit"/>
          <w:sz w:val="24"/>
          <w:szCs w:val="24"/>
        </w:rPr>
        <w:t xml:space="preserve"> </w:t>
      </w:r>
      <w:r>
        <w:rPr>
          <w:rStyle w:val="y2iqfc"/>
          <w:rFonts w:ascii="inherit" w:hAnsi="inherit"/>
          <w:sz w:val="24"/>
          <w:szCs w:val="24"/>
        </w:rPr>
        <w:t>сексизма</w:t>
      </w:r>
      <w:r w:rsidR="00404DE2" w:rsidRPr="00D01564">
        <w:rPr>
          <w:rStyle w:val="y2iqfc"/>
          <w:rFonts w:ascii="inherit" w:hAnsi="inherit"/>
          <w:sz w:val="24"/>
          <w:szCs w:val="24"/>
        </w:rPr>
        <w:t xml:space="preserve"> </w:t>
      </w:r>
      <w:r>
        <w:rPr>
          <w:rStyle w:val="y2iqfc"/>
          <w:rFonts w:ascii="inherit" w:hAnsi="inherit"/>
          <w:sz w:val="24"/>
          <w:szCs w:val="24"/>
        </w:rPr>
        <w:t>на</w:t>
      </w:r>
      <w:r w:rsidR="00404DE2" w:rsidRPr="00D01564">
        <w:rPr>
          <w:rStyle w:val="y2iqfc"/>
          <w:rFonts w:ascii="inherit" w:hAnsi="inherit"/>
          <w:sz w:val="24"/>
          <w:szCs w:val="24"/>
        </w:rPr>
        <w:t xml:space="preserve"> </w:t>
      </w:r>
      <w:r>
        <w:rPr>
          <w:rStyle w:val="y2iqfc"/>
          <w:rFonts w:ascii="inherit" w:hAnsi="inherit"/>
          <w:sz w:val="24"/>
          <w:szCs w:val="24"/>
        </w:rPr>
        <w:t>локалном</w:t>
      </w:r>
      <w:r w:rsidR="00404DE2" w:rsidRPr="00D01564">
        <w:rPr>
          <w:rStyle w:val="y2iqfc"/>
          <w:rFonts w:ascii="inherit" w:hAnsi="inherit"/>
          <w:sz w:val="24"/>
          <w:szCs w:val="24"/>
        </w:rPr>
        <w:t xml:space="preserve"> </w:t>
      </w:r>
      <w:r>
        <w:rPr>
          <w:rStyle w:val="y2iqfc"/>
          <w:rFonts w:ascii="inherit" w:hAnsi="inherit"/>
          <w:sz w:val="24"/>
          <w:szCs w:val="24"/>
        </w:rPr>
        <w:t>нивоу</w:t>
      </w:r>
      <w:r w:rsidR="00404DE2" w:rsidRPr="00D01564">
        <w:rPr>
          <w:rStyle w:val="y2iqfc"/>
          <w:rFonts w:ascii="inherit" w:hAnsi="inherit"/>
          <w:sz w:val="24"/>
          <w:szCs w:val="24"/>
        </w:rPr>
        <w:t xml:space="preserve"> </w:t>
      </w:r>
      <w:r>
        <w:rPr>
          <w:rStyle w:val="y2iqfc"/>
          <w:rFonts w:ascii="inherit" w:hAnsi="inherit"/>
          <w:sz w:val="24"/>
          <w:szCs w:val="24"/>
        </w:rPr>
        <w:t>у</w:t>
      </w:r>
      <w:r w:rsidR="00404DE2" w:rsidRPr="00D01564">
        <w:rPr>
          <w:rStyle w:val="y2iqfc"/>
          <w:rFonts w:ascii="inherit" w:hAnsi="inherit"/>
          <w:sz w:val="24"/>
          <w:szCs w:val="24"/>
        </w:rPr>
        <w:t xml:space="preserve"> </w:t>
      </w:r>
      <w:r>
        <w:rPr>
          <w:rStyle w:val="y2iqfc"/>
          <w:rFonts w:ascii="inherit" w:hAnsi="inherit"/>
          <w:sz w:val="24"/>
          <w:szCs w:val="24"/>
        </w:rPr>
        <w:t>Босни</w:t>
      </w:r>
      <w:r w:rsidR="00404DE2" w:rsidRPr="00D01564">
        <w:rPr>
          <w:rStyle w:val="y2iqfc"/>
          <w:rFonts w:ascii="inherit" w:hAnsi="inherit"/>
          <w:sz w:val="24"/>
          <w:szCs w:val="24"/>
        </w:rPr>
        <w:t xml:space="preserve"> </w:t>
      </w:r>
      <w:r>
        <w:rPr>
          <w:rStyle w:val="y2iqfc"/>
          <w:rFonts w:ascii="inherit" w:hAnsi="inherit"/>
          <w:sz w:val="24"/>
          <w:szCs w:val="24"/>
        </w:rPr>
        <w:t>и</w:t>
      </w:r>
      <w:r w:rsidR="00404DE2" w:rsidRPr="00D01564">
        <w:rPr>
          <w:rStyle w:val="y2iqfc"/>
          <w:rFonts w:ascii="inherit" w:hAnsi="inherit"/>
          <w:sz w:val="24"/>
          <w:szCs w:val="24"/>
        </w:rPr>
        <w:t xml:space="preserve"> </w:t>
      </w:r>
      <w:r>
        <w:rPr>
          <w:rStyle w:val="y2iqfc"/>
          <w:rFonts w:ascii="inherit" w:hAnsi="inherit"/>
          <w:sz w:val="24"/>
          <w:szCs w:val="24"/>
        </w:rPr>
        <w:t>Херцеговини</w:t>
      </w:r>
      <w:r w:rsidR="00404DE2" w:rsidRPr="00D01564">
        <w:rPr>
          <w:rStyle w:val="y2iqfc"/>
          <w:rFonts w:ascii="inherit" w:hAnsi="inherit"/>
          <w:sz w:val="24"/>
          <w:szCs w:val="24"/>
        </w:rPr>
        <w:t>“.</w:t>
      </w:r>
    </w:p>
    <w:p w:rsidR="00D01564" w:rsidRPr="00D01564" w:rsidRDefault="00D01564" w:rsidP="00820915">
      <w:pPr>
        <w:pStyle w:val="HTMLPreformatted"/>
        <w:jc w:val="both"/>
        <w:rPr>
          <w:rFonts w:ascii="inherit" w:hAnsi="inherit"/>
          <w:sz w:val="24"/>
          <w:szCs w:val="24"/>
        </w:rPr>
      </w:pPr>
    </w:p>
    <w:p w:rsidR="00356C2C" w:rsidRPr="00295637" w:rsidRDefault="000D058D" w:rsidP="000D058D">
      <w:pPr>
        <w:tabs>
          <w:tab w:val="left" w:pos="284"/>
          <w:tab w:val="left" w:pos="630"/>
          <w:tab w:val="left" w:pos="1080"/>
        </w:tabs>
        <w:ind w:left="567"/>
        <w:jc w:val="both"/>
        <w:rPr>
          <w:rFonts w:ascii="Times New Roman" w:eastAsia="Calibri" w:hAnsi="Times New Roman"/>
          <w:szCs w:val="24"/>
          <w:lang w:val="bs-Latn-BA"/>
        </w:rPr>
      </w:pPr>
      <w:r>
        <w:rPr>
          <w:rFonts w:ascii="Times New Roman" w:hAnsi="Times New Roman"/>
          <w:szCs w:val="24"/>
          <w:lang w:val="bs-Latn-BA"/>
        </w:rPr>
        <w:t xml:space="preserve">I 2.6. </w:t>
      </w:r>
      <w:r w:rsidR="00C6214E">
        <w:rPr>
          <w:rFonts w:ascii="Times New Roman" w:hAnsi="Times New Roman"/>
          <w:szCs w:val="24"/>
          <w:lang w:val="bs-Latn-BA"/>
        </w:rPr>
        <w:t>Редовно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праћење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извјештавање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заступљености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мушкараца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B409E9">
        <w:rPr>
          <w:rFonts w:ascii="Times New Roman" w:hAnsi="Times New Roman"/>
          <w:szCs w:val="24"/>
          <w:lang w:val="bs-Latn-BA"/>
        </w:rPr>
        <w:t xml:space="preserve"> </w:t>
      </w:r>
      <w:r w:rsidR="00C6214E">
        <w:rPr>
          <w:rFonts w:ascii="Times New Roman" w:hAnsi="Times New Roman"/>
          <w:szCs w:val="24"/>
          <w:lang w:val="bs-Latn-BA"/>
        </w:rPr>
        <w:t>позицијама</w:t>
      </w:r>
      <w:r w:rsidR="00B409E9">
        <w:rPr>
          <w:rFonts w:ascii="Times New Roman" w:hAnsi="Times New Roman"/>
          <w:szCs w:val="24"/>
          <w:lang w:val="bs-Latn-BA"/>
        </w:rPr>
        <w:t xml:space="preserve"> </w:t>
      </w:r>
      <w:r w:rsidR="00C6214E">
        <w:rPr>
          <w:rFonts w:ascii="Times New Roman" w:hAnsi="Times New Roman"/>
          <w:szCs w:val="24"/>
          <w:lang w:val="bs-Latn-BA"/>
        </w:rPr>
        <w:t>доношења</w:t>
      </w:r>
      <w:r w:rsidR="00B409E9">
        <w:rPr>
          <w:rFonts w:ascii="Times New Roman" w:hAnsi="Times New Roman"/>
          <w:szCs w:val="24"/>
          <w:lang w:val="bs-Latn-BA"/>
        </w:rPr>
        <w:t xml:space="preserve"> </w:t>
      </w:r>
      <w:r w:rsidR="00C6214E">
        <w:rPr>
          <w:rFonts w:ascii="Times New Roman" w:hAnsi="Times New Roman"/>
          <w:szCs w:val="24"/>
          <w:lang w:val="bs-Latn-BA"/>
        </w:rPr>
        <w:t>одлука</w:t>
      </w:r>
      <w:r w:rsidR="00B409E9">
        <w:rPr>
          <w:rFonts w:ascii="Times New Roman" w:hAnsi="Times New Roman"/>
          <w:szCs w:val="24"/>
          <w:lang w:val="bs-Latn-BA"/>
        </w:rPr>
        <w:t>,</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изборних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листи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других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процеса</w:t>
      </w:r>
      <w:r w:rsidR="00356C2C" w:rsidRPr="00295637">
        <w:rPr>
          <w:rFonts w:ascii="Times New Roman" w:hAnsi="Times New Roman"/>
          <w:szCs w:val="24"/>
          <w:lang w:val="bs-Latn-BA"/>
        </w:rPr>
        <w:t xml:space="preserve"> </w:t>
      </w:r>
      <w:r w:rsidR="00C6214E">
        <w:rPr>
          <w:rFonts w:ascii="Times New Roman" w:hAnsi="Times New Roman"/>
          <w:szCs w:val="24"/>
          <w:lang w:val="bs-Latn-BA"/>
        </w:rPr>
        <w:t>селекције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кандидата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руководеће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позиције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органима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свим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нивоима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организације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власти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B409E9">
        <w:rPr>
          <w:rFonts w:ascii="Times New Roman" w:hAnsi="Times New Roman"/>
          <w:szCs w:val="24"/>
          <w:lang w:val="bs-Latn-BA"/>
        </w:rPr>
        <w:t xml:space="preserve"> </w:t>
      </w:r>
      <w:r w:rsidR="00C6214E">
        <w:rPr>
          <w:rFonts w:ascii="Times New Roman" w:hAnsi="Times New Roman"/>
          <w:szCs w:val="24"/>
          <w:lang w:val="bs-Latn-BA"/>
        </w:rPr>
        <w:t>регионалном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нивоу</w:t>
      </w:r>
      <w:r w:rsidR="00356C2C" w:rsidRPr="00295637">
        <w:rPr>
          <w:rFonts w:ascii="Times New Roman" w:hAnsi="Times New Roman"/>
          <w:szCs w:val="24"/>
          <w:lang w:val="bs-Latn-BA"/>
        </w:rPr>
        <w:t>.</w:t>
      </w:r>
    </w:p>
    <w:p w:rsidR="00C142CC" w:rsidRPr="00295637" w:rsidRDefault="00C142CC" w:rsidP="0086268D">
      <w:pPr>
        <w:tabs>
          <w:tab w:val="left" w:pos="284"/>
          <w:tab w:val="left" w:pos="630"/>
          <w:tab w:val="left" w:pos="1080"/>
        </w:tabs>
        <w:ind w:left="1080"/>
        <w:jc w:val="both"/>
        <w:rPr>
          <w:rFonts w:ascii="Times New Roman" w:eastAsia="Calibri" w:hAnsi="Times New Roman"/>
          <w:szCs w:val="24"/>
          <w:lang w:val="bs-Latn-BA"/>
        </w:rPr>
      </w:pPr>
    </w:p>
    <w:p w:rsidR="00594D65" w:rsidRPr="006820FB" w:rsidRDefault="00C6214E" w:rsidP="0086268D">
      <w:pPr>
        <w:pStyle w:val="selectionshareable"/>
        <w:spacing w:before="0" w:beforeAutospacing="0" w:after="0" w:afterAutospacing="0"/>
        <w:jc w:val="both"/>
        <w:rPr>
          <w:lang w:val="hr-HR"/>
        </w:rPr>
      </w:pPr>
      <w:r>
        <w:rPr>
          <w:lang w:val="bs-Latn-BA"/>
        </w:rPr>
        <w:t>У</w:t>
      </w:r>
      <w:r w:rsidR="00594D65" w:rsidRPr="00295637">
        <w:rPr>
          <w:lang w:val="bs-Latn-BA"/>
        </w:rPr>
        <w:t xml:space="preserve"> </w:t>
      </w:r>
      <w:r>
        <w:rPr>
          <w:lang w:val="bs-Latn-BA"/>
        </w:rPr>
        <w:t>организацији</w:t>
      </w:r>
      <w:r w:rsidR="00594D65" w:rsidRPr="00295637">
        <w:rPr>
          <w:lang w:val="bs-Latn-BA"/>
        </w:rPr>
        <w:t xml:space="preserve"> </w:t>
      </w:r>
      <w:r>
        <w:rPr>
          <w:lang w:val="bs-Latn-BA"/>
        </w:rPr>
        <w:t>АР</w:t>
      </w:r>
      <w:r w:rsidR="000D058D">
        <w:rPr>
          <w:lang w:val="sr-Cyrl-BA"/>
        </w:rPr>
        <w:t>П</w:t>
      </w:r>
      <w:r w:rsidR="009E54A2" w:rsidRPr="00295637">
        <w:rPr>
          <w:lang w:val="bs-Latn-BA"/>
        </w:rPr>
        <w:t xml:space="preserve"> </w:t>
      </w:r>
      <w:r>
        <w:rPr>
          <w:lang w:val="bs-Latn-BA"/>
        </w:rPr>
        <w:t>БиХ</w:t>
      </w:r>
      <w:r w:rsidR="009E54A2" w:rsidRPr="00295637">
        <w:rPr>
          <w:lang w:val="bs-Latn-BA"/>
        </w:rPr>
        <w:t xml:space="preserve"> </w:t>
      </w:r>
      <w:r>
        <w:rPr>
          <w:lang w:val="bs-Latn-BA"/>
        </w:rPr>
        <w:t>МЉПИ</w:t>
      </w:r>
      <w:r w:rsidR="00594D65" w:rsidRPr="00295637">
        <w:rPr>
          <w:lang w:val="bs-Latn-BA"/>
        </w:rPr>
        <w:t xml:space="preserve"> </w:t>
      </w:r>
      <w:r>
        <w:rPr>
          <w:lang w:val="bs-Latn-BA"/>
        </w:rPr>
        <w:t>БиХ</w:t>
      </w:r>
      <w:r w:rsidR="00EA697A">
        <w:rPr>
          <w:lang w:val="bs-Latn-BA"/>
        </w:rPr>
        <w:t xml:space="preserve"> </w:t>
      </w:r>
      <w:r>
        <w:rPr>
          <w:lang w:val="bs-Latn-BA"/>
        </w:rPr>
        <w:t>и</w:t>
      </w:r>
      <w:r w:rsidR="00594D65" w:rsidRPr="00295637">
        <w:rPr>
          <w:lang w:val="bs-Latn-BA"/>
        </w:rPr>
        <w:t xml:space="preserve"> </w:t>
      </w:r>
      <w:r>
        <w:rPr>
          <w:lang w:val="bs-Latn-BA"/>
        </w:rPr>
        <w:t>АС</w:t>
      </w:r>
      <w:r w:rsidR="005576FD" w:rsidRPr="00295637">
        <w:rPr>
          <w:lang w:val="bs-Latn-BA"/>
        </w:rPr>
        <w:t xml:space="preserve"> </w:t>
      </w:r>
      <w:r>
        <w:rPr>
          <w:lang w:val="bs-Latn-BA"/>
        </w:rPr>
        <w:t>БиХ</w:t>
      </w:r>
      <w:r w:rsidR="00594D65" w:rsidRPr="00295637">
        <w:rPr>
          <w:lang w:val="bs-Latn-BA"/>
        </w:rPr>
        <w:t xml:space="preserve">, </w:t>
      </w:r>
      <w:r>
        <w:rPr>
          <w:lang w:val="bs-Latn-BA"/>
        </w:rPr>
        <w:t>уз</w:t>
      </w:r>
      <w:r w:rsidR="00594D65" w:rsidRPr="00295637">
        <w:rPr>
          <w:lang w:val="bs-Latn-BA"/>
        </w:rPr>
        <w:t xml:space="preserve"> </w:t>
      </w:r>
      <w:r>
        <w:rPr>
          <w:lang w:val="bs-Latn-BA"/>
        </w:rPr>
        <w:t>подршку</w:t>
      </w:r>
      <w:r w:rsidR="00594D65" w:rsidRPr="00295637">
        <w:rPr>
          <w:lang w:val="bs-Latn-BA"/>
        </w:rPr>
        <w:t xml:space="preserve"> </w:t>
      </w:r>
      <w:r w:rsidR="000D058D" w:rsidRPr="000D058D">
        <w:rPr>
          <w:i/>
          <w:iCs/>
          <w:lang w:val="hr-BA"/>
        </w:rPr>
        <w:t>UN Women</w:t>
      </w:r>
      <w:r w:rsidR="00594D65" w:rsidRPr="00295637">
        <w:rPr>
          <w:lang w:val="bs-Latn-BA"/>
        </w:rPr>
        <w:t xml:space="preserve">, </w:t>
      </w:r>
      <w:r>
        <w:rPr>
          <w:lang w:val="bs-Latn-BA"/>
        </w:rPr>
        <w:t>у</w:t>
      </w:r>
      <w:r w:rsidR="00594D65" w:rsidRPr="00295637">
        <w:rPr>
          <w:lang w:val="bs-Latn-BA"/>
        </w:rPr>
        <w:t xml:space="preserve"> </w:t>
      </w:r>
      <w:r>
        <w:rPr>
          <w:lang w:val="bs-Latn-BA"/>
        </w:rPr>
        <w:t>фебруару</w:t>
      </w:r>
      <w:r w:rsidR="00594D65" w:rsidRPr="00295637">
        <w:rPr>
          <w:lang w:val="bs-Latn-BA"/>
        </w:rPr>
        <w:t xml:space="preserve"> 2024. </w:t>
      </w:r>
      <w:r>
        <w:rPr>
          <w:lang w:val="bs-Latn-BA"/>
        </w:rPr>
        <w:t>године</w:t>
      </w:r>
      <w:r w:rsidR="00594D65" w:rsidRPr="00295637">
        <w:rPr>
          <w:lang w:val="bs-Latn-BA"/>
        </w:rPr>
        <w:t xml:space="preserve"> </w:t>
      </w:r>
      <w:r>
        <w:rPr>
          <w:lang w:val="bs-Latn-BA"/>
        </w:rPr>
        <w:t>је</w:t>
      </w:r>
      <w:r w:rsidR="00594D65" w:rsidRPr="00295637">
        <w:rPr>
          <w:lang w:val="bs-Latn-BA"/>
        </w:rPr>
        <w:t xml:space="preserve"> </w:t>
      </w:r>
      <w:r>
        <w:rPr>
          <w:lang w:val="bs-Latn-BA"/>
        </w:rPr>
        <w:t>јавно</w:t>
      </w:r>
      <w:r w:rsidR="00594D65" w:rsidRPr="00295637">
        <w:rPr>
          <w:lang w:val="bs-Latn-BA"/>
        </w:rPr>
        <w:t xml:space="preserve"> </w:t>
      </w:r>
      <w:r>
        <w:rPr>
          <w:lang w:val="bs-Latn-BA"/>
        </w:rPr>
        <w:t>презент</w:t>
      </w:r>
      <w:r w:rsidR="000D058D">
        <w:rPr>
          <w:lang w:val="sr-Cyrl-BA"/>
        </w:rPr>
        <w:t>овано</w:t>
      </w:r>
      <w:r w:rsidR="00594D65" w:rsidRPr="00295637">
        <w:rPr>
          <w:lang w:val="bs-Latn-BA"/>
        </w:rPr>
        <w:t xml:space="preserve"> </w:t>
      </w:r>
      <w:r>
        <w:rPr>
          <w:lang w:val="bs-Latn-BA"/>
        </w:rPr>
        <w:t>ново</w:t>
      </w:r>
      <w:r w:rsidR="00594D65" w:rsidRPr="00295637">
        <w:rPr>
          <w:lang w:val="bs-Latn-BA"/>
        </w:rPr>
        <w:t xml:space="preserve"> </w:t>
      </w:r>
      <w:r>
        <w:rPr>
          <w:lang w:val="bs-Latn-BA"/>
        </w:rPr>
        <w:t>издање</w:t>
      </w:r>
      <w:r w:rsidR="00594D65" w:rsidRPr="00295637">
        <w:rPr>
          <w:lang w:val="bs-Latn-BA"/>
        </w:rPr>
        <w:t xml:space="preserve"> </w:t>
      </w:r>
      <w:r>
        <w:rPr>
          <w:lang w:val="bs-Latn-BA"/>
        </w:rPr>
        <w:t>публикације</w:t>
      </w:r>
      <w:r w:rsidR="00594D65" w:rsidRPr="00295637">
        <w:rPr>
          <w:lang w:val="bs-Latn-BA"/>
        </w:rPr>
        <w:t xml:space="preserve"> „</w:t>
      </w:r>
      <w:r>
        <w:rPr>
          <w:lang w:val="bs-Latn-BA"/>
        </w:rPr>
        <w:t>Жене</w:t>
      </w:r>
      <w:r w:rsidR="00594D65" w:rsidRPr="00295637">
        <w:rPr>
          <w:lang w:val="bs-Latn-BA"/>
        </w:rPr>
        <w:t xml:space="preserve"> </w:t>
      </w:r>
      <w:r>
        <w:rPr>
          <w:lang w:val="bs-Latn-BA"/>
        </w:rPr>
        <w:t>и</w:t>
      </w:r>
      <w:r w:rsidR="00594D65" w:rsidRPr="00295637">
        <w:rPr>
          <w:lang w:val="bs-Latn-BA"/>
        </w:rPr>
        <w:t xml:space="preserve"> </w:t>
      </w:r>
      <w:r>
        <w:rPr>
          <w:lang w:val="bs-Latn-BA"/>
        </w:rPr>
        <w:t>мушкарци</w:t>
      </w:r>
      <w:r w:rsidR="00594D65" w:rsidRPr="00295637">
        <w:rPr>
          <w:lang w:val="bs-Latn-BA"/>
        </w:rPr>
        <w:t xml:space="preserve"> </w:t>
      </w:r>
      <w:r>
        <w:rPr>
          <w:lang w:val="bs-Latn-BA"/>
        </w:rPr>
        <w:t>у</w:t>
      </w:r>
      <w:r w:rsidR="00594D65" w:rsidRPr="00295637">
        <w:rPr>
          <w:lang w:val="bs-Latn-BA"/>
        </w:rPr>
        <w:t xml:space="preserve"> </w:t>
      </w:r>
      <w:r>
        <w:rPr>
          <w:lang w:val="bs-Latn-BA"/>
        </w:rPr>
        <w:t>Босни</w:t>
      </w:r>
      <w:r w:rsidR="00594D65" w:rsidRPr="00295637">
        <w:rPr>
          <w:lang w:val="bs-Latn-BA"/>
        </w:rPr>
        <w:t xml:space="preserve"> </w:t>
      </w:r>
      <w:r>
        <w:rPr>
          <w:lang w:val="bs-Latn-BA"/>
        </w:rPr>
        <w:t>и</w:t>
      </w:r>
      <w:r w:rsidR="00594D65" w:rsidRPr="00295637">
        <w:rPr>
          <w:lang w:val="bs-Latn-BA"/>
        </w:rPr>
        <w:t xml:space="preserve"> </w:t>
      </w:r>
      <w:r>
        <w:rPr>
          <w:lang w:val="bs-Latn-BA"/>
        </w:rPr>
        <w:t>Херцеговини</w:t>
      </w:r>
      <w:r w:rsidR="00594D65" w:rsidRPr="00295637">
        <w:rPr>
          <w:lang w:val="bs-Latn-BA"/>
        </w:rPr>
        <w:t xml:space="preserve"> </w:t>
      </w:r>
      <w:r>
        <w:rPr>
          <w:lang w:val="bs-Latn-BA"/>
        </w:rPr>
        <w:t>у</w:t>
      </w:r>
      <w:r w:rsidR="00594D65" w:rsidRPr="00295637">
        <w:rPr>
          <w:lang w:val="bs-Latn-BA"/>
        </w:rPr>
        <w:t xml:space="preserve"> 2023. </w:t>
      </w:r>
      <w:r>
        <w:rPr>
          <w:lang w:val="bs-Latn-BA"/>
        </w:rPr>
        <w:t>години</w:t>
      </w:r>
      <w:r w:rsidR="00FD4BCF" w:rsidRPr="00295637">
        <w:rPr>
          <w:lang w:val="bs-Latn-BA"/>
        </w:rPr>
        <w:t>“</w:t>
      </w:r>
      <w:r w:rsidR="00594D65" w:rsidRPr="00295637">
        <w:rPr>
          <w:lang w:val="bs-Latn-BA"/>
        </w:rPr>
        <w:t xml:space="preserve">. </w:t>
      </w:r>
      <w:r>
        <w:rPr>
          <w:rFonts w:ascii="GothamNarrow-Book" w:hAnsi="GothamNarrow-Book"/>
          <w:lang w:val="hr-HR"/>
        </w:rPr>
        <w:t>Публикација</w:t>
      </w:r>
      <w:r w:rsidR="00FD4BCF" w:rsidRPr="00870AE1">
        <w:rPr>
          <w:rFonts w:ascii="GothamNarrow-Book" w:hAnsi="GothamNarrow-Book"/>
          <w:lang w:val="hr-HR"/>
        </w:rPr>
        <w:t xml:space="preserve"> </w:t>
      </w:r>
      <w:r>
        <w:rPr>
          <w:rFonts w:ascii="GothamNarrow-Book" w:hAnsi="GothamNarrow-Book"/>
          <w:lang w:val="hr-HR"/>
        </w:rPr>
        <w:t>коју</w:t>
      </w:r>
      <w:r w:rsidR="00FD4BCF" w:rsidRPr="00870AE1">
        <w:rPr>
          <w:rFonts w:ascii="GothamNarrow-Book" w:hAnsi="GothamNarrow-Book"/>
          <w:lang w:val="hr-HR"/>
        </w:rPr>
        <w:t xml:space="preserve"> </w:t>
      </w:r>
      <w:r>
        <w:rPr>
          <w:rFonts w:ascii="GothamNarrow-Book" w:hAnsi="GothamNarrow-Book"/>
          <w:lang w:val="hr-HR"/>
        </w:rPr>
        <w:t>припрема</w:t>
      </w:r>
      <w:r w:rsidR="00FD4BCF" w:rsidRPr="00870AE1">
        <w:rPr>
          <w:rFonts w:ascii="GothamNarrow-Book" w:hAnsi="GothamNarrow-Book"/>
          <w:lang w:val="hr-HR"/>
        </w:rPr>
        <w:t xml:space="preserve"> </w:t>
      </w:r>
      <w:r>
        <w:rPr>
          <w:rFonts w:ascii="GothamNarrow-Book" w:hAnsi="GothamNarrow-Book"/>
          <w:lang w:val="hr-HR"/>
        </w:rPr>
        <w:t>БХАС</w:t>
      </w:r>
      <w:r w:rsidR="00FD4BCF" w:rsidRPr="00870AE1">
        <w:rPr>
          <w:rFonts w:ascii="GothamNarrow-Book" w:hAnsi="GothamNarrow-Book"/>
          <w:lang w:val="hr-HR"/>
        </w:rPr>
        <w:t xml:space="preserve">, </w:t>
      </w:r>
      <w:r>
        <w:rPr>
          <w:rFonts w:ascii="GothamNarrow-Book" w:hAnsi="GothamNarrow-Book"/>
          <w:lang w:val="hr-HR"/>
        </w:rPr>
        <w:t>доноси</w:t>
      </w:r>
      <w:r w:rsidR="00FD4BCF" w:rsidRPr="00870AE1">
        <w:rPr>
          <w:rFonts w:ascii="GothamNarrow-Book" w:hAnsi="GothamNarrow-Book"/>
          <w:lang w:val="hr-HR"/>
        </w:rPr>
        <w:t xml:space="preserve"> </w:t>
      </w:r>
      <w:r>
        <w:rPr>
          <w:rFonts w:ascii="GothamNarrow-Book" w:hAnsi="GothamNarrow-Book"/>
          <w:lang w:val="hr-HR"/>
        </w:rPr>
        <w:t>ва</w:t>
      </w:r>
      <w:r>
        <w:rPr>
          <w:rFonts w:ascii="GothamNarrow-Book" w:hAnsi="GothamNarrow-Book" w:hint="eastAsia"/>
          <w:lang w:val="hr-HR"/>
        </w:rPr>
        <w:t>ж</w:t>
      </w:r>
      <w:r>
        <w:rPr>
          <w:rFonts w:ascii="GothamNarrow-Book" w:hAnsi="GothamNarrow-Book"/>
          <w:lang w:val="hr-HR"/>
        </w:rPr>
        <w:t>не</w:t>
      </w:r>
      <w:r w:rsidR="00FD4BCF" w:rsidRPr="00870AE1">
        <w:rPr>
          <w:rFonts w:ascii="GothamNarrow-Book" w:hAnsi="GothamNarrow-Book"/>
          <w:lang w:val="hr-HR"/>
        </w:rPr>
        <w:t xml:space="preserve"> </w:t>
      </w:r>
      <w:r>
        <w:rPr>
          <w:rFonts w:ascii="GothamNarrow-Book" w:hAnsi="GothamNarrow-Book"/>
          <w:lang w:val="hr-HR"/>
        </w:rPr>
        <w:t>статисти</w:t>
      </w:r>
      <w:r>
        <w:rPr>
          <w:rFonts w:ascii="GothamNarrow-Book" w:hAnsi="GothamNarrow-Book" w:hint="eastAsia"/>
          <w:lang w:val="hr-HR"/>
        </w:rPr>
        <w:t>ч</w:t>
      </w:r>
      <w:r>
        <w:rPr>
          <w:rFonts w:ascii="GothamNarrow-Book" w:hAnsi="GothamNarrow-Book"/>
          <w:lang w:val="hr-HR"/>
        </w:rPr>
        <w:t>ке</w:t>
      </w:r>
      <w:r w:rsidR="00FD4BCF" w:rsidRPr="00870AE1">
        <w:rPr>
          <w:rFonts w:ascii="GothamNarrow-Book" w:hAnsi="GothamNarrow-Book"/>
          <w:lang w:val="hr-HR"/>
        </w:rPr>
        <w:t xml:space="preserve"> </w:t>
      </w:r>
      <w:r>
        <w:rPr>
          <w:rFonts w:ascii="GothamNarrow-Book" w:hAnsi="GothamNarrow-Book"/>
          <w:lang w:val="hr-HR"/>
        </w:rPr>
        <w:t>податке</w:t>
      </w:r>
      <w:r w:rsidR="00FD4BCF" w:rsidRPr="00870AE1">
        <w:rPr>
          <w:rFonts w:ascii="GothamNarrow-Book" w:hAnsi="GothamNarrow-Book"/>
          <w:lang w:val="hr-HR"/>
        </w:rPr>
        <w:t xml:space="preserve"> </w:t>
      </w:r>
      <w:r>
        <w:rPr>
          <w:rFonts w:ascii="GothamNarrow-Book" w:hAnsi="GothamNarrow-Book"/>
          <w:lang w:val="hr-HR"/>
        </w:rPr>
        <w:t>о</w:t>
      </w:r>
      <w:r w:rsidR="00FD4BCF" w:rsidRPr="00870AE1">
        <w:rPr>
          <w:rFonts w:ascii="GothamNarrow-Book" w:hAnsi="GothamNarrow-Book"/>
          <w:lang w:val="hr-HR"/>
        </w:rPr>
        <w:t xml:space="preserve"> </w:t>
      </w:r>
      <w:r>
        <w:rPr>
          <w:rFonts w:ascii="GothamNarrow-Book" w:hAnsi="GothamNarrow-Book"/>
          <w:lang w:val="hr-HR"/>
        </w:rPr>
        <w:t>учешћу</w:t>
      </w:r>
      <w:r w:rsidR="00FD4BCF" w:rsidRPr="00870AE1">
        <w:rPr>
          <w:rFonts w:ascii="GothamNarrow-Book" w:hAnsi="GothamNarrow-Book"/>
          <w:lang w:val="hr-HR"/>
        </w:rPr>
        <w:t xml:space="preserve"> </w:t>
      </w:r>
      <w:r>
        <w:rPr>
          <w:rFonts w:ascii="GothamNarrow-Book" w:hAnsi="GothamNarrow-Book" w:hint="eastAsia"/>
          <w:lang w:val="hr-HR"/>
        </w:rPr>
        <w:t>ж</w:t>
      </w:r>
      <w:r>
        <w:rPr>
          <w:rFonts w:ascii="GothamNarrow-Book" w:hAnsi="GothamNarrow-Book"/>
          <w:lang w:val="hr-HR"/>
        </w:rPr>
        <w:t>ена</w:t>
      </w:r>
      <w:r w:rsidR="00FD4BCF" w:rsidRPr="00870AE1">
        <w:rPr>
          <w:rFonts w:ascii="GothamNarrow-Book" w:hAnsi="GothamNarrow-Book"/>
          <w:lang w:val="hr-HR"/>
        </w:rPr>
        <w:t xml:space="preserve"> </w:t>
      </w:r>
      <w:r>
        <w:rPr>
          <w:rFonts w:ascii="GothamNarrow-Book" w:hAnsi="GothamNarrow-Book"/>
          <w:lang w:val="hr-HR"/>
        </w:rPr>
        <w:t>и</w:t>
      </w:r>
      <w:r w:rsidR="00FD4BCF" w:rsidRPr="00870AE1">
        <w:rPr>
          <w:rFonts w:ascii="GothamNarrow-Book" w:hAnsi="GothamNarrow-Book"/>
          <w:lang w:val="hr-HR"/>
        </w:rPr>
        <w:t xml:space="preserve"> </w:t>
      </w:r>
      <w:r>
        <w:rPr>
          <w:rFonts w:ascii="GothamNarrow-Book" w:hAnsi="GothamNarrow-Book"/>
          <w:lang w:val="hr-HR"/>
        </w:rPr>
        <w:t>му</w:t>
      </w:r>
      <w:r>
        <w:rPr>
          <w:rFonts w:ascii="GothamNarrow-Book" w:hAnsi="GothamNarrow-Book" w:hint="eastAsia"/>
          <w:lang w:val="hr-HR"/>
        </w:rPr>
        <w:t>ш</w:t>
      </w:r>
      <w:r>
        <w:rPr>
          <w:rFonts w:ascii="GothamNarrow-Book" w:hAnsi="GothamNarrow-Book"/>
          <w:lang w:val="hr-HR"/>
        </w:rPr>
        <w:t>караца</w:t>
      </w:r>
      <w:r w:rsidR="00FD4BCF" w:rsidRPr="00870AE1">
        <w:rPr>
          <w:rFonts w:ascii="GothamNarrow-Book" w:hAnsi="GothamNarrow-Book"/>
          <w:lang w:val="hr-HR"/>
        </w:rPr>
        <w:t xml:space="preserve"> </w:t>
      </w:r>
      <w:r>
        <w:rPr>
          <w:rFonts w:ascii="GothamNarrow-Book" w:hAnsi="GothamNarrow-Book"/>
          <w:lang w:val="hr-HR"/>
        </w:rPr>
        <w:t>у</w:t>
      </w:r>
      <w:r w:rsidR="00FD4BCF" w:rsidRPr="00870AE1">
        <w:rPr>
          <w:rFonts w:ascii="GothamNarrow-Book" w:hAnsi="GothamNarrow-Book"/>
          <w:lang w:val="hr-HR"/>
        </w:rPr>
        <w:t xml:space="preserve"> </w:t>
      </w:r>
      <w:r>
        <w:rPr>
          <w:rFonts w:ascii="GothamNarrow-Book" w:hAnsi="GothamNarrow-Book"/>
          <w:lang w:val="hr-HR"/>
        </w:rPr>
        <w:t>разли</w:t>
      </w:r>
      <w:r>
        <w:rPr>
          <w:rFonts w:ascii="GothamNarrow-Book" w:hAnsi="GothamNarrow-Book" w:hint="eastAsia"/>
          <w:lang w:val="hr-HR"/>
        </w:rPr>
        <w:t>ч</w:t>
      </w:r>
      <w:r>
        <w:rPr>
          <w:rFonts w:ascii="GothamNarrow-Book" w:hAnsi="GothamNarrow-Book"/>
          <w:lang w:val="hr-HR"/>
        </w:rPr>
        <w:t>итим</w:t>
      </w:r>
      <w:r w:rsidR="005576FD" w:rsidRPr="00870AE1">
        <w:rPr>
          <w:rFonts w:ascii="GothamNarrow-Book" w:hAnsi="GothamNarrow-Book"/>
          <w:lang w:val="hr-HR"/>
        </w:rPr>
        <w:t xml:space="preserve"> </w:t>
      </w:r>
      <w:r>
        <w:rPr>
          <w:rFonts w:ascii="GothamNarrow-Book" w:hAnsi="GothamNarrow-Book"/>
          <w:lang w:val="hr-HR"/>
        </w:rPr>
        <w:t>областима</w:t>
      </w:r>
      <w:r w:rsidR="00FD4BCF" w:rsidRPr="00870AE1">
        <w:rPr>
          <w:rFonts w:ascii="GothamNarrow-Book" w:hAnsi="GothamNarrow-Book"/>
          <w:lang w:val="hr-HR"/>
        </w:rPr>
        <w:t xml:space="preserve"> </w:t>
      </w:r>
      <w:r>
        <w:rPr>
          <w:rFonts w:ascii="GothamNarrow-Book" w:hAnsi="GothamNarrow-Book"/>
          <w:lang w:val="hr-HR"/>
        </w:rPr>
        <w:t>укљу</w:t>
      </w:r>
      <w:r>
        <w:rPr>
          <w:rFonts w:ascii="GothamNarrow-Book" w:hAnsi="GothamNarrow-Book" w:hint="eastAsia"/>
          <w:lang w:val="hr-HR"/>
        </w:rPr>
        <w:t>ч</w:t>
      </w:r>
      <w:r>
        <w:rPr>
          <w:rFonts w:ascii="GothamNarrow-Book" w:hAnsi="GothamNarrow-Book"/>
          <w:lang w:val="hr-HR"/>
        </w:rPr>
        <w:t>ују</w:t>
      </w:r>
      <w:r>
        <w:rPr>
          <w:rFonts w:ascii="GothamNarrow-Book" w:hAnsi="GothamNarrow-Book" w:hint="eastAsia"/>
          <w:lang w:val="hr-HR"/>
        </w:rPr>
        <w:t>ћ</w:t>
      </w:r>
      <w:r>
        <w:rPr>
          <w:rFonts w:ascii="GothamNarrow-Book" w:hAnsi="GothamNarrow-Book"/>
          <w:lang w:val="hr-HR"/>
        </w:rPr>
        <w:t>и</w:t>
      </w:r>
      <w:r w:rsidR="00FD4BCF" w:rsidRPr="00870AE1">
        <w:rPr>
          <w:lang w:val="hr-HR"/>
        </w:rPr>
        <w:t xml:space="preserve">, </w:t>
      </w:r>
      <w:r>
        <w:rPr>
          <w:lang w:val="hr-HR"/>
        </w:rPr>
        <w:t>поред</w:t>
      </w:r>
      <w:r w:rsidR="00FD4BCF" w:rsidRPr="00870AE1">
        <w:rPr>
          <w:lang w:val="hr-HR"/>
        </w:rPr>
        <w:t xml:space="preserve"> </w:t>
      </w:r>
      <w:r>
        <w:rPr>
          <w:lang w:val="hr-HR"/>
        </w:rPr>
        <w:t>осталог</w:t>
      </w:r>
      <w:r w:rsidR="00FD4BCF" w:rsidRPr="00870AE1">
        <w:rPr>
          <w:lang w:val="hr-HR"/>
        </w:rPr>
        <w:t xml:space="preserve">, </w:t>
      </w:r>
      <w:r>
        <w:rPr>
          <w:lang w:val="hr-HR"/>
        </w:rPr>
        <w:t>родну</w:t>
      </w:r>
      <w:r w:rsidR="00FD4BCF" w:rsidRPr="00870AE1">
        <w:rPr>
          <w:lang w:val="hr-HR"/>
        </w:rPr>
        <w:t xml:space="preserve"> </w:t>
      </w:r>
      <w:r>
        <w:rPr>
          <w:lang w:val="hr-HR"/>
        </w:rPr>
        <w:t>структуру</w:t>
      </w:r>
      <w:r w:rsidR="00FD4BCF" w:rsidRPr="00870AE1">
        <w:rPr>
          <w:lang w:val="hr-HR"/>
        </w:rPr>
        <w:t xml:space="preserve"> </w:t>
      </w:r>
      <w:r>
        <w:rPr>
          <w:lang w:val="hr-HR"/>
        </w:rPr>
        <w:t>заступљености</w:t>
      </w:r>
      <w:r w:rsidR="00FD4BCF" w:rsidRPr="00870AE1">
        <w:rPr>
          <w:lang w:val="hr-HR"/>
        </w:rPr>
        <w:t xml:space="preserve"> </w:t>
      </w:r>
      <w:r>
        <w:rPr>
          <w:lang w:val="hr-HR"/>
        </w:rPr>
        <w:t>жена</w:t>
      </w:r>
      <w:r w:rsidR="00FD4BCF" w:rsidRPr="00870AE1">
        <w:rPr>
          <w:lang w:val="hr-HR"/>
        </w:rPr>
        <w:t xml:space="preserve"> </w:t>
      </w:r>
      <w:r>
        <w:rPr>
          <w:lang w:val="hr-HR"/>
        </w:rPr>
        <w:t>у</w:t>
      </w:r>
      <w:r w:rsidR="00FD4BCF" w:rsidRPr="00870AE1">
        <w:rPr>
          <w:lang w:val="hr-HR"/>
        </w:rPr>
        <w:t xml:space="preserve"> </w:t>
      </w:r>
      <w:r>
        <w:rPr>
          <w:lang w:val="hr-HR"/>
        </w:rPr>
        <w:t>јавном</w:t>
      </w:r>
      <w:r w:rsidR="00FD4BCF" w:rsidRPr="00870AE1">
        <w:rPr>
          <w:lang w:val="hr-HR"/>
        </w:rPr>
        <w:t xml:space="preserve"> </w:t>
      </w:r>
      <w:r>
        <w:rPr>
          <w:lang w:val="hr-HR"/>
        </w:rPr>
        <w:t>и</w:t>
      </w:r>
      <w:r w:rsidR="00FD4BCF" w:rsidRPr="00870AE1">
        <w:rPr>
          <w:lang w:val="hr-HR"/>
        </w:rPr>
        <w:t xml:space="preserve"> </w:t>
      </w:r>
      <w:r>
        <w:rPr>
          <w:lang w:val="hr-HR"/>
        </w:rPr>
        <w:t>политичком</w:t>
      </w:r>
      <w:r w:rsidR="00FD4BCF" w:rsidRPr="00870AE1">
        <w:rPr>
          <w:lang w:val="hr-HR"/>
        </w:rPr>
        <w:t xml:space="preserve"> </w:t>
      </w:r>
      <w:r>
        <w:rPr>
          <w:lang w:val="hr-HR"/>
        </w:rPr>
        <w:t>животу</w:t>
      </w:r>
      <w:r w:rsidR="00FD4BCF" w:rsidRPr="00870AE1">
        <w:rPr>
          <w:lang w:val="hr-HR"/>
        </w:rPr>
        <w:t xml:space="preserve">. </w:t>
      </w:r>
      <w:r>
        <w:rPr>
          <w:rFonts w:ascii="GothamNarrow-Book" w:hAnsi="GothamNarrow-Book"/>
          <w:lang w:val="hr-HR"/>
        </w:rPr>
        <w:t>Сврха</w:t>
      </w:r>
      <w:r w:rsidR="00594D65" w:rsidRPr="00870AE1">
        <w:rPr>
          <w:rFonts w:ascii="GothamNarrow-Book" w:hAnsi="GothamNarrow-Book"/>
          <w:lang w:val="hr-HR"/>
        </w:rPr>
        <w:t xml:space="preserve"> </w:t>
      </w:r>
      <w:r>
        <w:rPr>
          <w:rFonts w:ascii="GothamNarrow-Book" w:hAnsi="GothamNarrow-Book"/>
          <w:lang w:val="hr-HR"/>
        </w:rPr>
        <w:t>родне</w:t>
      </w:r>
      <w:r w:rsidR="00594D65" w:rsidRPr="00870AE1">
        <w:rPr>
          <w:rFonts w:ascii="GothamNarrow-Book" w:hAnsi="GothamNarrow-Book"/>
          <w:lang w:val="hr-HR"/>
        </w:rPr>
        <w:t xml:space="preserve"> </w:t>
      </w:r>
      <w:r>
        <w:rPr>
          <w:rFonts w:ascii="GothamNarrow-Book" w:hAnsi="GothamNarrow-Book"/>
          <w:lang w:val="hr-HR"/>
        </w:rPr>
        <w:t>статистике</w:t>
      </w:r>
      <w:r w:rsidR="00594D65" w:rsidRPr="00870AE1">
        <w:rPr>
          <w:rFonts w:ascii="GothamNarrow-Book" w:hAnsi="GothamNarrow-Book"/>
          <w:lang w:val="hr-HR"/>
        </w:rPr>
        <w:t xml:space="preserve"> </w:t>
      </w:r>
      <w:r>
        <w:rPr>
          <w:rFonts w:ascii="GothamNarrow-Book" w:hAnsi="GothamNarrow-Book"/>
          <w:lang w:val="hr-HR"/>
        </w:rPr>
        <w:t>је</w:t>
      </w:r>
      <w:r w:rsidR="00594D65" w:rsidRPr="00870AE1">
        <w:rPr>
          <w:rFonts w:ascii="GothamNarrow-Book" w:hAnsi="GothamNarrow-Book"/>
          <w:lang w:val="hr-HR"/>
        </w:rPr>
        <w:t xml:space="preserve"> </w:t>
      </w:r>
      <w:r>
        <w:rPr>
          <w:rFonts w:ascii="GothamNarrow-Book" w:hAnsi="GothamNarrow-Book"/>
          <w:lang w:val="hr-HR"/>
        </w:rPr>
        <w:t>да</w:t>
      </w:r>
      <w:r w:rsidR="00594D65" w:rsidRPr="00870AE1">
        <w:rPr>
          <w:rFonts w:ascii="GothamNarrow-Book" w:hAnsi="GothamNarrow-Book"/>
          <w:lang w:val="hr-HR"/>
        </w:rPr>
        <w:t xml:space="preserve"> </w:t>
      </w:r>
      <w:r>
        <w:rPr>
          <w:rFonts w:ascii="GothamNarrow-Book" w:hAnsi="GothamNarrow-Book"/>
          <w:lang w:val="hr-HR"/>
        </w:rPr>
        <w:t>о</w:t>
      </w:r>
      <w:r w:rsidR="000D058D">
        <w:rPr>
          <w:rFonts w:ascii="GothamNarrow-Book" w:hAnsi="GothamNarrow-Book"/>
          <w:lang w:val="sr-Cyrl-BA"/>
        </w:rPr>
        <w:t>безбиједи</w:t>
      </w:r>
      <w:r w:rsidR="00594D65" w:rsidRPr="00870AE1">
        <w:rPr>
          <w:rFonts w:ascii="GothamNarrow-Book" w:hAnsi="GothamNarrow-Book"/>
          <w:lang w:val="hr-HR"/>
        </w:rPr>
        <w:t xml:space="preserve"> </w:t>
      </w:r>
      <w:r>
        <w:rPr>
          <w:rFonts w:ascii="GothamNarrow-Book" w:hAnsi="GothamNarrow-Book"/>
          <w:lang w:val="hr-HR"/>
        </w:rPr>
        <w:t>податке</w:t>
      </w:r>
      <w:r w:rsidR="00594D65" w:rsidRPr="00870AE1">
        <w:rPr>
          <w:rFonts w:ascii="GothamNarrow-Book" w:hAnsi="GothamNarrow-Book"/>
          <w:lang w:val="hr-HR"/>
        </w:rPr>
        <w:t xml:space="preserve"> </w:t>
      </w:r>
      <w:r>
        <w:rPr>
          <w:rFonts w:ascii="GothamNarrow-Book" w:hAnsi="GothamNarrow-Book"/>
          <w:lang w:val="hr-HR"/>
        </w:rPr>
        <w:t>потребне</w:t>
      </w:r>
      <w:r w:rsidR="00594D65" w:rsidRPr="00870AE1">
        <w:rPr>
          <w:rFonts w:ascii="GothamNarrow-Book" w:hAnsi="GothamNarrow-Book"/>
          <w:lang w:val="hr-HR"/>
        </w:rPr>
        <w:t xml:space="preserve"> </w:t>
      </w:r>
      <w:r>
        <w:rPr>
          <w:rFonts w:ascii="GothamNarrow-Book" w:hAnsi="GothamNarrow-Book"/>
          <w:lang w:val="hr-HR"/>
        </w:rPr>
        <w:t>надле</w:t>
      </w:r>
      <w:r>
        <w:rPr>
          <w:rFonts w:ascii="GothamNarrow-Book" w:hAnsi="GothamNarrow-Book" w:hint="eastAsia"/>
          <w:lang w:val="hr-HR"/>
        </w:rPr>
        <w:t>ж</w:t>
      </w:r>
      <w:r>
        <w:rPr>
          <w:rFonts w:ascii="GothamNarrow-Book" w:hAnsi="GothamNarrow-Book"/>
          <w:lang w:val="hr-HR"/>
        </w:rPr>
        <w:t>ним</w:t>
      </w:r>
      <w:r w:rsidR="00594D65" w:rsidRPr="00870AE1">
        <w:rPr>
          <w:rFonts w:ascii="GothamNarrow-Book" w:hAnsi="GothamNarrow-Book"/>
          <w:lang w:val="hr-HR"/>
        </w:rPr>
        <w:t xml:space="preserve"> </w:t>
      </w:r>
      <w:r>
        <w:rPr>
          <w:rFonts w:ascii="GothamNarrow-Book" w:hAnsi="GothamNarrow-Book"/>
          <w:lang w:val="hr-HR"/>
        </w:rPr>
        <w:t>органима</w:t>
      </w:r>
      <w:r w:rsidR="00594D65" w:rsidRPr="00870AE1">
        <w:rPr>
          <w:rFonts w:ascii="GothamNarrow-Book" w:hAnsi="GothamNarrow-Book"/>
          <w:lang w:val="hr-HR"/>
        </w:rPr>
        <w:t xml:space="preserve"> </w:t>
      </w:r>
      <w:r>
        <w:rPr>
          <w:rFonts w:ascii="GothamNarrow-Book" w:hAnsi="GothamNarrow-Book"/>
          <w:lang w:val="hr-HR"/>
        </w:rPr>
        <w:t>управе</w:t>
      </w:r>
      <w:r w:rsidR="00594D65" w:rsidRPr="00870AE1">
        <w:rPr>
          <w:rFonts w:ascii="GothamNarrow-Book" w:hAnsi="GothamNarrow-Book"/>
          <w:lang w:val="hr-HR"/>
        </w:rPr>
        <w:t xml:space="preserve"> </w:t>
      </w:r>
      <w:r>
        <w:rPr>
          <w:rFonts w:ascii="GothamNarrow-Book" w:hAnsi="GothamNarrow-Book"/>
          <w:lang w:val="hr-HR"/>
        </w:rPr>
        <w:t>свих</w:t>
      </w:r>
      <w:r w:rsidR="00594D65" w:rsidRPr="00870AE1">
        <w:rPr>
          <w:rFonts w:ascii="GothamNarrow-Book" w:hAnsi="GothamNarrow-Book"/>
          <w:lang w:val="hr-HR"/>
        </w:rPr>
        <w:t xml:space="preserve"> </w:t>
      </w:r>
      <w:r>
        <w:rPr>
          <w:rFonts w:ascii="GothamNarrow-Book" w:hAnsi="GothamNarrow-Book"/>
          <w:lang w:val="hr-HR"/>
        </w:rPr>
        <w:t>нивоа</w:t>
      </w:r>
      <w:r w:rsidR="00594D65" w:rsidRPr="00870AE1">
        <w:rPr>
          <w:rFonts w:ascii="GothamNarrow-Book" w:hAnsi="GothamNarrow-Book"/>
          <w:lang w:val="hr-HR"/>
        </w:rPr>
        <w:t xml:space="preserve"> </w:t>
      </w:r>
      <w:r>
        <w:rPr>
          <w:rFonts w:ascii="GothamNarrow-Book" w:hAnsi="GothamNarrow-Book"/>
          <w:lang w:val="hr-HR"/>
        </w:rPr>
        <w:t>власти</w:t>
      </w:r>
      <w:r w:rsidR="00594D65" w:rsidRPr="00870AE1">
        <w:rPr>
          <w:rFonts w:ascii="GothamNarrow-Book" w:hAnsi="GothamNarrow-Book"/>
          <w:lang w:val="hr-HR"/>
        </w:rPr>
        <w:t xml:space="preserve"> </w:t>
      </w:r>
      <w:r>
        <w:rPr>
          <w:rFonts w:ascii="GothamNarrow-Book" w:hAnsi="GothamNarrow-Book"/>
          <w:lang w:val="hr-HR"/>
        </w:rPr>
        <w:t>у</w:t>
      </w:r>
      <w:r w:rsidR="009E54A2" w:rsidRPr="00870AE1">
        <w:rPr>
          <w:rFonts w:ascii="GothamNarrow-Book" w:hAnsi="GothamNarrow-Book"/>
          <w:lang w:val="hr-HR"/>
        </w:rPr>
        <w:t xml:space="preserve"> </w:t>
      </w:r>
      <w:r>
        <w:rPr>
          <w:rFonts w:ascii="GothamNarrow-Book" w:hAnsi="GothamNarrow-Book"/>
          <w:lang w:val="hr-HR"/>
        </w:rPr>
        <w:t>БиХ</w:t>
      </w:r>
      <w:r w:rsidR="009E54A2" w:rsidRPr="00870AE1">
        <w:rPr>
          <w:rFonts w:ascii="GothamNarrow-Book" w:hAnsi="GothamNarrow-Book"/>
          <w:lang w:val="hr-HR"/>
        </w:rPr>
        <w:t xml:space="preserve"> </w:t>
      </w:r>
      <w:r>
        <w:rPr>
          <w:rFonts w:ascii="GothamNarrow-Book" w:hAnsi="GothamNarrow-Book"/>
          <w:lang w:val="hr-HR"/>
        </w:rPr>
        <w:t>да</w:t>
      </w:r>
      <w:r w:rsidR="00870AE1">
        <w:rPr>
          <w:rFonts w:ascii="GothamNarrow-Book" w:hAnsi="GothamNarrow-Book"/>
          <w:lang w:val="hr-HR"/>
        </w:rPr>
        <w:t xml:space="preserve"> </w:t>
      </w:r>
      <w:r>
        <w:rPr>
          <w:rFonts w:ascii="GothamNarrow-Book" w:hAnsi="GothamNarrow-Book"/>
          <w:lang w:val="hr-HR"/>
        </w:rPr>
        <w:t>испуне</w:t>
      </w:r>
      <w:r w:rsidR="00870AE1">
        <w:rPr>
          <w:rFonts w:ascii="GothamNarrow-Book" w:hAnsi="GothamNarrow-Book"/>
          <w:lang w:val="hr-HR"/>
        </w:rPr>
        <w:t xml:space="preserve"> </w:t>
      </w:r>
      <w:r>
        <w:rPr>
          <w:rFonts w:ascii="GothamNarrow-Book" w:hAnsi="GothamNarrow-Book"/>
          <w:lang w:val="hr-HR"/>
        </w:rPr>
        <w:t>законску</w:t>
      </w:r>
      <w:r w:rsidR="00870AE1">
        <w:rPr>
          <w:rFonts w:ascii="GothamNarrow-Book" w:hAnsi="GothamNarrow-Book"/>
          <w:lang w:val="hr-HR"/>
        </w:rPr>
        <w:t xml:space="preserve"> </w:t>
      </w:r>
      <w:r>
        <w:rPr>
          <w:rFonts w:ascii="GothamNarrow-Book" w:hAnsi="GothamNarrow-Book"/>
          <w:lang w:val="hr-HR"/>
        </w:rPr>
        <w:t>обавезу</w:t>
      </w:r>
      <w:r w:rsidR="00594D65" w:rsidRPr="00870AE1">
        <w:rPr>
          <w:rFonts w:ascii="GothamNarrow-Book" w:hAnsi="GothamNarrow-Book"/>
          <w:lang w:val="hr-HR"/>
        </w:rPr>
        <w:t xml:space="preserve"> </w:t>
      </w:r>
      <w:r>
        <w:rPr>
          <w:rFonts w:ascii="GothamNarrow-Book" w:hAnsi="GothamNarrow-Book"/>
          <w:lang w:val="hr-HR"/>
        </w:rPr>
        <w:t>координи</w:t>
      </w:r>
      <w:r w:rsidR="000D058D">
        <w:rPr>
          <w:rFonts w:ascii="GothamNarrow-Book" w:hAnsi="GothamNarrow-Book"/>
          <w:lang w:val="sr-Cyrl-BA"/>
        </w:rPr>
        <w:t>с</w:t>
      </w:r>
      <w:r>
        <w:rPr>
          <w:rFonts w:ascii="GothamNarrow-Book" w:hAnsi="GothamNarrow-Book"/>
          <w:lang w:val="hr-HR"/>
        </w:rPr>
        <w:t>ања</w:t>
      </w:r>
      <w:r w:rsidR="00594D65" w:rsidRPr="00870AE1">
        <w:rPr>
          <w:rFonts w:ascii="GothamNarrow-Book" w:hAnsi="GothamNarrow-Book"/>
          <w:lang w:val="hr-HR"/>
        </w:rPr>
        <w:t xml:space="preserve"> </w:t>
      </w:r>
      <w:r>
        <w:rPr>
          <w:rFonts w:ascii="GothamNarrow-Book" w:hAnsi="GothamNarrow-Book"/>
          <w:lang w:val="hr-HR"/>
        </w:rPr>
        <w:t>реализације</w:t>
      </w:r>
      <w:r w:rsidR="00594D65" w:rsidRPr="00870AE1">
        <w:rPr>
          <w:rFonts w:ascii="GothamNarrow-Book" w:hAnsi="GothamNarrow-Book"/>
          <w:lang w:val="hr-HR"/>
        </w:rPr>
        <w:t xml:space="preserve"> </w:t>
      </w:r>
      <w:r>
        <w:rPr>
          <w:rFonts w:ascii="GothamNarrow-Book" w:hAnsi="GothamNarrow-Book"/>
          <w:lang w:val="hr-HR"/>
        </w:rPr>
        <w:t>програмских</w:t>
      </w:r>
      <w:r w:rsidR="00594D65" w:rsidRPr="00870AE1">
        <w:rPr>
          <w:rFonts w:ascii="GothamNarrow-Book" w:hAnsi="GothamNarrow-Book"/>
          <w:lang w:val="hr-HR"/>
        </w:rPr>
        <w:t xml:space="preserve"> </w:t>
      </w:r>
      <w:r>
        <w:rPr>
          <w:rFonts w:ascii="GothamNarrow-Book" w:hAnsi="GothamNarrow-Book"/>
          <w:lang w:val="hr-HR"/>
        </w:rPr>
        <w:t>циљева</w:t>
      </w:r>
      <w:r w:rsidR="00594D65" w:rsidRPr="00870AE1">
        <w:rPr>
          <w:rFonts w:ascii="GothamNarrow-Book" w:hAnsi="GothamNarrow-Book"/>
          <w:lang w:val="hr-HR"/>
        </w:rPr>
        <w:t xml:space="preserve"> </w:t>
      </w:r>
      <w:r>
        <w:rPr>
          <w:rFonts w:ascii="GothamNarrow-Book" w:hAnsi="GothamNarrow-Book"/>
          <w:lang w:val="hr-HR"/>
        </w:rPr>
        <w:t>из</w:t>
      </w:r>
      <w:r w:rsidR="00594D65" w:rsidRPr="00870AE1">
        <w:rPr>
          <w:rFonts w:ascii="GothamNarrow-Book" w:hAnsi="GothamNarrow-Book"/>
          <w:lang w:val="hr-HR"/>
        </w:rPr>
        <w:t xml:space="preserve"> </w:t>
      </w:r>
      <w:r>
        <w:rPr>
          <w:rFonts w:ascii="GothamNarrow-Book" w:hAnsi="GothamNarrow-Book"/>
          <w:lang w:val="hr-HR"/>
        </w:rPr>
        <w:t>ГАП</w:t>
      </w:r>
      <w:r w:rsidR="00D30E48">
        <w:rPr>
          <w:rFonts w:ascii="GothamNarrow-Book" w:hAnsi="GothamNarrow-Book"/>
          <w:lang w:val="hr-HR"/>
        </w:rPr>
        <w:t xml:space="preserve"> </w:t>
      </w:r>
      <w:r>
        <w:rPr>
          <w:rFonts w:ascii="GothamNarrow-Book" w:hAnsi="GothamNarrow-Book"/>
          <w:lang w:val="hr-HR"/>
        </w:rPr>
        <w:t>БиХ</w:t>
      </w:r>
      <w:r w:rsidR="00594D65" w:rsidRPr="00870AE1">
        <w:rPr>
          <w:rFonts w:ascii="GothamNarrow-Book" w:hAnsi="GothamNarrow-Book"/>
          <w:lang w:val="hr-HR"/>
        </w:rPr>
        <w:t xml:space="preserve"> </w:t>
      </w:r>
      <w:r>
        <w:rPr>
          <w:rFonts w:ascii="GothamNarrow-Book" w:hAnsi="GothamNarrow-Book"/>
          <w:lang w:val="hr-HR"/>
        </w:rPr>
        <w:t>и</w:t>
      </w:r>
      <w:r w:rsidR="00594D65" w:rsidRPr="00870AE1">
        <w:rPr>
          <w:rFonts w:ascii="GothamNarrow-Book" w:hAnsi="GothamNarrow-Book"/>
          <w:lang w:val="hr-HR"/>
        </w:rPr>
        <w:t xml:space="preserve"> </w:t>
      </w:r>
      <w:r>
        <w:rPr>
          <w:rFonts w:ascii="GothamNarrow-Book" w:hAnsi="GothamNarrow-Book"/>
          <w:lang w:val="hr-HR"/>
        </w:rPr>
        <w:t>о</w:t>
      </w:r>
      <w:r w:rsidR="000D058D">
        <w:rPr>
          <w:rFonts w:ascii="GothamNarrow-Book" w:hAnsi="GothamNarrow-Book"/>
          <w:lang w:val="sr-Cyrl-BA"/>
        </w:rPr>
        <w:t>безбиједе</w:t>
      </w:r>
      <w:r w:rsidR="00594D65" w:rsidRPr="00870AE1">
        <w:rPr>
          <w:rFonts w:ascii="GothamNarrow-Book" w:hAnsi="GothamNarrow-Book"/>
          <w:lang w:val="hr-HR"/>
        </w:rPr>
        <w:t xml:space="preserve"> </w:t>
      </w:r>
      <w:r w:rsidR="000D058D">
        <w:rPr>
          <w:rFonts w:ascii="GothamNarrow-Book" w:hAnsi="GothamNarrow-Book"/>
          <w:lang w:val="sr-Cyrl-BA"/>
        </w:rPr>
        <w:t>спровођење</w:t>
      </w:r>
      <w:r w:rsidR="00594D65" w:rsidRPr="00870AE1">
        <w:rPr>
          <w:rFonts w:ascii="GothamNarrow-Book" w:hAnsi="GothamNarrow-Book"/>
          <w:lang w:val="hr-HR"/>
        </w:rPr>
        <w:t xml:space="preserve"> </w:t>
      </w:r>
      <w:r>
        <w:rPr>
          <w:rFonts w:ascii="GothamNarrow-Book" w:hAnsi="GothamNarrow-Book"/>
          <w:lang w:val="hr-HR"/>
        </w:rPr>
        <w:t>ме</w:t>
      </w:r>
      <w:r>
        <w:rPr>
          <w:rFonts w:ascii="GothamNarrow-Book" w:hAnsi="GothamNarrow-Book" w:hint="eastAsia"/>
          <w:lang w:val="hr-HR"/>
        </w:rPr>
        <w:t>ђ</w:t>
      </w:r>
      <w:r>
        <w:rPr>
          <w:rFonts w:ascii="GothamNarrow-Book" w:hAnsi="GothamNarrow-Book"/>
          <w:lang w:val="hr-HR"/>
        </w:rPr>
        <w:t>ународних</w:t>
      </w:r>
      <w:r w:rsidR="00594D65" w:rsidRPr="00870AE1">
        <w:rPr>
          <w:rFonts w:ascii="GothamNarrow-Book" w:hAnsi="GothamNarrow-Book"/>
          <w:lang w:val="hr-HR"/>
        </w:rPr>
        <w:t xml:space="preserve"> </w:t>
      </w:r>
      <w:r>
        <w:rPr>
          <w:rFonts w:ascii="GothamNarrow-Book" w:hAnsi="GothamNarrow-Book"/>
          <w:lang w:val="hr-HR"/>
        </w:rPr>
        <w:t>стандарда</w:t>
      </w:r>
      <w:r w:rsidR="00594D65" w:rsidRPr="00870AE1">
        <w:rPr>
          <w:rFonts w:ascii="GothamNarrow-Book" w:hAnsi="GothamNarrow-Book"/>
          <w:lang w:val="hr-HR"/>
        </w:rPr>
        <w:t xml:space="preserve"> </w:t>
      </w:r>
      <w:r>
        <w:rPr>
          <w:rFonts w:ascii="GothamNarrow-Book" w:hAnsi="GothamNarrow-Book"/>
          <w:lang w:val="hr-HR"/>
        </w:rPr>
        <w:t>у</w:t>
      </w:r>
      <w:r w:rsidR="00594D65" w:rsidRPr="00870AE1">
        <w:rPr>
          <w:rFonts w:ascii="GothamNarrow-Book" w:hAnsi="GothamNarrow-Book"/>
          <w:lang w:val="hr-HR"/>
        </w:rPr>
        <w:t xml:space="preserve"> </w:t>
      </w:r>
      <w:r>
        <w:rPr>
          <w:rFonts w:ascii="GothamNarrow-Book" w:hAnsi="GothamNarrow-Book"/>
          <w:lang w:val="hr-HR"/>
        </w:rPr>
        <w:t>области</w:t>
      </w:r>
      <w:r w:rsidR="00594D65" w:rsidRPr="00870AE1">
        <w:rPr>
          <w:rFonts w:ascii="GothamNarrow-Book" w:hAnsi="GothamNarrow-Book"/>
          <w:lang w:val="hr-HR"/>
        </w:rPr>
        <w:t xml:space="preserve"> </w:t>
      </w:r>
      <w:r>
        <w:rPr>
          <w:rFonts w:ascii="GothamNarrow-Book" w:hAnsi="GothamNarrow-Book"/>
          <w:lang w:val="hr-HR"/>
        </w:rPr>
        <w:t>равноправности</w:t>
      </w:r>
      <w:r w:rsidR="00F90528" w:rsidRPr="00870AE1">
        <w:rPr>
          <w:rFonts w:ascii="GothamNarrow-Book" w:hAnsi="GothamNarrow-Book"/>
          <w:lang w:val="hr-HR"/>
        </w:rPr>
        <w:t xml:space="preserve"> </w:t>
      </w:r>
      <w:r>
        <w:rPr>
          <w:rFonts w:ascii="GothamNarrow-Book" w:hAnsi="GothamNarrow-Book"/>
          <w:lang w:val="hr-HR"/>
        </w:rPr>
        <w:t>полова</w:t>
      </w:r>
      <w:r w:rsidR="00753099" w:rsidRPr="00870AE1">
        <w:rPr>
          <w:rFonts w:ascii="GothamNarrow-Book" w:hAnsi="GothamNarrow-Book"/>
          <w:lang w:val="hr-HR"/>
        </w:rPr>
        <w:t xml:space="preserve">. </w:t>
      </w:r>
    </w:p>
    <w:p w:rsidR="00855CD7" w:rsidRPr="00295637" w:rsidRDefault="00855CD7" w:rsidP="0086268D">
      <w:pPr>
        <w:rPr>
          <w:lang w:val="bs-Latn-BA"/>
        </w:rPr>
      </w:pPr>
    </w:p>
    <w:p w:rsidR="00A32FBC"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Статистички</w:t>
      </w:r>
      <w:r w:rsidR="00A26F45" w:rsidRPr="004264EB">
        <w:rPr>
          <w:rFonts w:ascii="Times New Roman" w:hAnsi="Times New Roman"/>
          <w:lang w:val="sr-Latn-BA"/>
        </w:rPr>
        <w:t xml:space="preserve"> </w:t>
      </w:r>
      <w:r>
        <w:rPr>
          <w:rFonts w:ascii="Times New Roman" w:hAnsi="Times New Roman"/>
          <w:lang w:val="sr-Latn-BA"/>
        </w:rPr>
        <w:t>билтен</w:t>
      </w:r>
      <w:r w:rsidR="00A26F45" w:rsidRPr="004264EB">
        <w:rPr>
          <w:rFonts w:ascii="Times New Roman" w:hAnsi="Times New Roman"/>
          <w:lang w:val="sr-Latn-BA"/>
        </w:rPr>
        <w:t xml:space="preserve"> „</w:t>
      </w:r>
      <w:r>
        <w:rPr>
          <w:rFonts w:ascii="Times New Roman" w:hAnsi="Times New Roman"/>
          <w:lang w:val="sr-Latn-BA"/>
        </w:rPr>
        <w:t>Жене</w:t>
      </w:r>
      <w:r w:rsidR="00A26F45" w:rsidRPr="004264EB">
        <w:rPr>
          <w:rFonts w:ascii="Times New Roman" w:hAnsi="Times New Roman"/>
          <w:lang w:val="sr-Latn-BA"/>
        </w:rPr>
        <w:t xml:space="preserve"> </w:t>
      </w:r>
      <w:r>
        <w:rPr>
          <w:rFonts w:ascii="Times New Roman" w:hAnsi="Times New Roman"/>
          <w:lang w:val="sr-Latn-BA"/>
        </w:rPr>
        <w:t>и</w:t>
      </w:r>
      <w:r w:rsidR="00A26F45" w:rsidRPr="004264EB">
        <w:rPr>
          <w:rFonts w:ascii="Times New Roman" w:hAnsi="Times New Roman"/>
          <w:lang w:val="sr-Latn-BA"/>
        </w:rPr>
        <w:t xml:space="preserve"> </w:t>
      </w:r>
      <w:r>
        <w:rPr>
          <w:rFonts w:ascii="Times New Roman" w:hAnsi="Times New Roman"/>
          <w:lang w:val="sr-Latn-BA"/>
        </w:rPr>
        <w:t>мушкарци</w:t>
      </w:r>
      <w:r w:rsidR="00A26F45" w:rsidRPr="004264EB">
        <w:rPr>
          <w:rFonts w:ascii="Times New Roman" w:hAnsi="Times New Roman"/>
          <w:lang w:val="sr-Latn-BA"/>
        </w:rPr>
        <w:t xml:space="preserve">“ </w:t>
      </w:r>
      <w:r>
        <w:rPr>
          <w:rFonts w:ascii="Times New Roman" w:hAnsi="Times New Roman"/>
          <w:lang w:val="sr-Latn-BA"/>
        </w:rPr>
        <w:t>публицира</w:t>
      </w:r>
      <w:r w:rsidR="0032078A">
        <w:rPr>
          <w:rFonts w:ascii="Times New Roman" w:hAnsi="Times New Roman"/>
          <w:lang w:val="sr-Latn-BA"/>
        </w:rPr>
        <w:t xml:space="preserve"> </w:t>
      </w:r>
      <w:r>
        <w:rPr>
          <w:rFonts w:ascii="Times New Roman" w:hAnsi="Times New Roman"/>
          <w:lang w:val="sr-Latn-BA"/>
        </w:rPr>
        <w:t>се</w:t>
      </w:r>
      <w:r w:rsidR="0032078A">
        <w:rPr>
          <w:rFonts w:ascii="Times New Roman" w:hAnsi="Times New Roman"/>
          <w:lang w:val="sr-Latn-BA"/>
        </w:rPr>
        <w:t xml:space="preserve"> </w:t>
      </w:r>
      <w:r>
        <w:rPr>
          <w:rFonts w:ascii="Times New Roman" w:hAnsi="Times New Roman"/>
          <w:lang w:val="sr-Latn-BA"/>
        </w:rPr>
        <w:t>за</w:t>
      </w:r>
      <w:r w:rsidR="00A26F45">
        <w:rPr>
          <w:rFonts w:ascii="Times New Roman" w:hAnsi="Times New Roman"/>
          <w:lang w:val="sr-Latn-BA"/>
        </w:rPr>
        <w:t xml:space="preserve"> </w:t>
      </w:r>
      <w:r>
        <w:rPr>
          <w:rFonts w:ascii="Times New Roman" w:hAnsi="Times New Roman"/>
          <w:lang w:val="sr-Latn-BA"/>
        </w:rPr>
        <w:t>ниво</w:t>
      </w:r>
      <w:r w:rsidR="00A26F45">
        <w:rPr>
          <w:rFonts w:ascii="Times New Roman" w:hAnsi="Times New Roman"/>
          <w:lang w:val="sr-Latn-BA"/>
        </w:rPr>
        <w:t xml:space="preserve"> </w:t>
      </w:r>
      <w:r>
        <w:rPr>
          <w:rFonts w:ascii="Times New Roman" w:hAnsi="Times New Roman"/>
          <w:lang w:val="sr-Latn-BA"/>
        </w:rPr>
        <w:t>Босне</w:t>
      </w:r>
      <w:r w:rsidR="0032078A">
        <w:rPr>
          <w:rFonts w:ascii="Times New Roman" w:hAnsi="Times New Roman"/>
          <w:lang w:val="sr-Latn-BA"/>
        </w:rPr>
        <w:t xml:space="preserve"> </w:t>
      </w:r>
      <w:r>
        <w:rPr>
          <w:rFonts w:ascii="Times New Roman" w:hAnsi="Times New Roman"/>
          <w:lang w:val="sr-Latn-BA"/>
        </w:rPr>
        <w:t>и</w:t>
      </w:r>
      <w:r w:rsidR="0032078A">
        <w:rPr>
          <w:rFonts w:ascii="Times New Roman" w:hAnsi="Times New Roman"/>
          <w:lang w:val="sr-Latn-BA"/>
        </w:rPr>
        <w:t xml:space="preserve"> </w:t>
      </w:r>
      <w:r>
        <w:rPr>
          <w:rFonts w:ascii="Times New Roman" w:hAnsi="Times New Roman"/>
          <w:lang w:val="sr-Latn-BA"/>
        </w:rPr>
        <w:t>Херцеговине</w:t>
      </w:r>
      <w:r w:rsidR="0032078A">
        <w:rPr>
          <w:rFonts w:ascii="Times New Roman" w:hAnsi="Times New Roman"/>
          <w:lang w:val="sr-Latn-BA"/>
        </w:rPr>
        <w:t xml:space="preserve">, </w:t>
      </w:r>
      <w:r>
        <w:rPr>
          <w:rFonts w:ascii="Times New Roman" w:hAnsi="Times New Roman"/>
          <w:lang w:val="sr-Latn-BA"/>
        </w:rPr>
        <w:t>Фед</w:t>
      </w:r>
      <w:r w:rsidR="00CF7DF6">
        <w:rPr>
          <w:rFonts w:ascii="Times New Roman" w:hAnsi="Times New Roman"/>
          <w:lang w:val="bs-Cyrl-BA"/>
        </w:rPr>
        <w:t>е</w:t>
      </w:r>
      <w:r>
        <w:rPr>
          <w:rFonts w:ascii="Times New Roman" w:hAnsi="Times New Roman"/>
          <w:lang w:val="sr-Latn-BA"/>
        </w:rPr>
        <w:t>рације</w:t>
      </w:r>
      <w:r w:rsidR="00A26F45">
        <w:rPr>
          <w:rFonts w:ascii="Times New Roman" w:hAnsi="Times New Roman"/>
          <w:lang w:val="sr-Latn-BA"/>
        </w:rPr>
        <w:t xml:space="preserve"> </w:t>
      </w:r>
      <w:r>
        <w:rPr>
          <w:rFonts w:ascii="Times New Roman" w:hAnsi="Times New Roman"/>
          <w:lang w:val="sr-Latn-BA"/>
        </w:rPr>
        <w:t>БиХ</w:t>
      </w:r>
      <w:r w:rsidR="00A26F45">
        <w:rPr>
          <w:rFonts w:ascii="Times New Roman" w:hAnsi="Times New Roman"/>
          <w:lang w:val="sr-Latn-BA"/>
        </w:rPr>
        <w:t xml:space="preserve"> </w:t>
      </w:r>
      <w:r>
        <w:rPr>
          <w:rFonts w:ascii="Times New Roman" w:hAnsi="Times New Roman"/>
          <w:lang w:val="sr-Latn-BA"/>
        </w:rPr>
        <w:t>и</w:t>
      </w:r>
      <w:r w:rsidR="00A26F45">
        <w:rPr>
          <w:rFonts w:ascii="Times New Roman" w:hAnsi="Times New Roman"/>
          <w:lang w:val="sr-Latn-BA"/>
        </w:rPr>
        <w:t xml:space="preserve"> </w:t>
      </w:r>
      <w:r>
        <w:rPr>
          <w:rFonts w:ascii="Times New Roman" w:hAnsi="Times New Roman"/>
          <w:lang w:val="sr-Latn-BA"/>
        </w:rPr>
        <w:t>Републике</w:t>
      </w:r>
      <w:r w:rsidR="00A26F45">
        <w:rPr>
          <w:rFonts w:ascii="Times New Roman" w:hAnsi="Times New Roman"/>
          <w:lang w:val="sr-Latn-BA"/>
        </w:rPr>
        <w:t xml:space="preserve"> </w:t>
      </w:r>
      <w:r>
        <w:rPr>
          <w:rFonts w:ascii="Times New Roman" w:hAnsi="Times New Roman"/>
          <w:lang w:val="sr-Latn-BA"/>
        </w:rPr>
        <w:t>Српске</w:t>
      </w:r>
      <w:r w:rsidR="00A26F45">
        <w:rPr>
          <w:rFonts w:ascii="Times New Roman" w:hAnsi="Times New Roman"/>
          <w:lang w:val="sr-Latn-BA"/>
        </w:rPr>
        <w:t xml:space="preserve"> </w:t>
      </w:r>
      <w:r>
        <w:rPr>
          <w:rFonts w:ascii="Times New Roman" w:hAnsi="Times New Roman"/>
          <w:lang w:val="sr-Latn-BA"/>
        </w:rPr>
        <w:t>и</w:t>
      </w:r>
      <w:r w:rsidR="00EA697A">
        <w:rPr>
          <w:rFonts w:ascii="Times New Roman" w:hAnsi="Times New Roman"/>
          <w:lang w:val="sr-Latn-BA"/>
        </w:rPr>
        <w:t>,</w:t>
      </w:r>
      <w:r w:rsidR="0032078A">
        <w:rPr>
          <w:rFonts w:ascii="Times New Roman" w:hAnsi="Times New Roman"/>
          <w:lang w:val="sr-Latn-BA"/>
        </w:rPr>
        <w:t xml:space="preserve"> </w:t>
      </w:r>
      <w:r>
        <w:rPr>
          <w:rFonts w:ascii="Times New Roman" w:hAnsi="Times New Roman"/>
          <w:lang w:val="sr-Latn-BA"/>
        </w:rPr>
        <w:t>поред</w:t>
      </w:r>
      <w:r w:rsidR="0032078A">
        <w:rPr>
          <w:rFonts w:ascii="Times New Roman" w:hAnsi="Times New Roman"/>
          <w:lang w:val="sr-Latn-BA"/>
        </w:rPr>
        <w:t xml:space="preserve"> </w:t>
      </w:r>
      <w:r>
        <w:rPr>
          <w:rFonts w:ascii="Times New Roman" w:hAnsi="Times New Roman"/>
          <w:lang w:val="sr-Latn-BA"/>
        </w:rPr>
        <w:t>осталог</w:t>
      </w:r>
      <w:r w:rsidR="00EA697A">
        <w:rPr>
          <w:rFonts w:ascii="Times New Roman" w:hAnsi="Times New Roman"/>
          <w:lang w:val="sr-Latn-BA"/>
        </w:rPr>
        <w:t>,</w:t>
      </w:r>
      <w:r w:rsidR="0032078A">
        <w:rPr>
          <w:rFonts w:ascii="Times New Roman" w:hAnsi="Times New Roman"/>
          <w:lang w:val="sr-Latn-BA"/>
        </w:rPr>
        <w:t xml:space="preserve"> </w:t>
      </w:r>
      <w:r>
        <w:rPr>
          <w:rFonts w:ascii="Times New Roman" w:hAnsi="Times New Roman"/>
          <w:lang w:val="sr-Latn-BA"/>
        </w:rPr>
        <w:t>приказује</w:t>
      </w:r>
      <w:r w:rsidR="00A26F45">
        <w:rPr>
          <w:rFonts w:ascii="Times New Roman" w:hAnsi="Times New Roman"/>
          <w:lang w:val="sr-Latn-BA"/>
        </w:rPr>
        <w:t xml:space="preserve"> </w:t>
      </w:r>
      <w:r>
        <w:rPr>
          <w:rFonts w:ascii="Times New Roman" w:hAnsi="Times New Roman"/>
          <w:lang w:val="sr-Latn-BA"/>
        </w:rPr>
        <w:t>податке</w:t>
      </w:r>
      <w:r w:rsidR="00EA697A">
        <w:rPr>
          <w:rFonts w:ascii="Times New Roman" w:hAnsi="Times New Roman"/>
          <w:lang w:val="sr-Latn-BA"/>
        </w:rPr>
        <w:t xml:space="preserve"> </w:t>
      </w:r>
      <w:r>
        <w:rPr>
          <w:rFonts w:ascii="Times New Roman" w:hAnsi="Times New Roman"/>
          <w:lang w:val="sr-Latn-BA"/>
        </w:rPr>
        <w:t>о</w:t>
      </w:r>
      <w:r w:rsidR="00EA697A">
        <w:rPr>
          <w:rFonts w:ascii="Times New Roman" w:hAnsi="Times New Roman"/>
          <w:lang w:val="sr-Latn-BA"/>
        </w:rPr>
        <w:t xml:space="preserve"> </w:t>
      </w:r>
      <w:r>
        <w:rPr>
          <w:rFonts w:ascii="Times New Roman" w:hAnsi="Times New Roman"/>
          <w:lang w:val="sr-Latn-BA"/>
        </w:rPr>
        <w:t>заступљености</w:t>
      </w:r>
      <w:r w:rsidR="00EA697A">
        <w:rPr>
          <w:rFonts w:ascii="Times New Roman" w:hAnsi="Times New Roman"/>
          <w:lang w:val="sr-Latn-BA"/>
        </w:rPr>
        <w:t xml:space="preserve"> </w:t>
      </w:r>
      <w:r>
        <w:rPr>
          <w:rFonts w:ascii="Times New Roman" w:hAnsi="Times New Roman"/>
          <w:lang w:val="sr-Latn-BA"/>
        </w:rPr>
        <w:t>жена</w:t>
      </w:r>
      <w:r w:rsidR="00A26F45">
        <w:rPr>
          <w:rFonts w:ascii="Times New Roman" w:hAnsi="Times New Roman"/>
          <w:lang w:val="sr-Latn-BA"/>
        </w:rPr>
        <w:t xml:space="preserve"> </w:t>
      </w:r>
      <w:r>
        <w:rPr>
          <w:rFonts w:ascii="Times New Roman" w:hAnsi="Times New Roman"/>
          <w:lang w:val="sr-Latn-BA"/>
        </w:rPr>
        <w:t>и</w:t>
      </w:r>
      <w:r w:rsidR="00A26F45">
        <w:rPr>
          <w:rFonts w:ascii="Times New Roman" w:hAnsi="Times New Roman"/>
          <w:lang w:val="sr-Latn-BA"/>
        </w:rPr>
        <w:t xml:space="preserve"> </w:t>
      </w:r>
      <w:r>
        <w:rPr>
          <w:rFonts w:ascii="Times New Roman" w:hAnsi="Times New Roman"/>
          <w:lang w:val="sr-Latn-BA"/>
        </w:rPr>
        <w:t>мушкараца</w:t>
      </w:r>
      <w:r w:rsidR="00A26F45">
        <w:rPr>
          <w:rFonts w:ascii="Times New Roman" w:hAnsi="Times New Roman"/>
          <w:lang w:val="sr-Latn-BA"/>
        </w:rPr>
        <w:t xml:space="preserve"> </w:t>
      </w:r>
      <w:r>
        <w:rPr>
          <w:rFonts w:ascii="Times New Roman" w:hAnsi="Times New Roman"/>
          <w:lang w:val="sr-Latn-BA"/>
        </w:rPr>
        <w:t>у</w:t>
      </w:r>
      <w:r w:rsidR="00A26F45">
        <w:rPr>
          <w:rFonts w:ascii="Times New Roman" w:hAnsi="Times New Roman"/>
          <w:lang w:val="sr-Latn-BA"/>
        </w:rPr>
        <w:t xml:space="preserve"> </w:t>
      </w:r>
      <w:r>
        <w:rPr>
          <w:rFonts w:ascii="Times New Roman" w:hAnsi="Times New Roman"/>
          <w:lang w:val="sr-Latn-BA"/>
        </w:rPr>
        <w:t>доношењу</w:t>
      </w:r>
      <w:r w:rsidR="00A26F45">
        <w:rPr>
          <w:rFonts w:ascii="Times New Roman" w:hAnsi="Times New Roman"/>
          <w:lang w:val="sr-Latn-BA"/>
        </w:rPr>
        <w:t xml:space="preserve"> </w:t>
      </w:r>
      <w:r>
        <w:rPr>
          <w:rFonts w:ascii="Times New Roman" w:hAnsi="Times New Roman"/>
          <w:lang w:val="sr-Latn-BA"/>
        </w:rPr>
        <w:t>одлука</w:t>
      </w:r>
      <w:r w:rsidR="00A26F45">
        <w:rPr>
          <w:rFonts w:ascii="Times New Roman" w:hAnsi="Times New Roman"/>
          <w:lang w:val="sr-Latn-BA"/>
        </w:rPr>
        <w:t xml:space="preserve">. </w:t>
      </w:r>
      <w:r>
        <w:rPr>
          <w:rFonts w:ascii="Times New Roman" w:hAnsi="Times New Roman"/>
          <w:lang w:val="sr-Latn-BA"/>
        </w:rPr>
        <w:t>Статистички</w:t>
      </w:r>
      <w:r w:rsidR="00A32FBC" w:rsidRPr="00295637">
        <w:rPr>
          <w:rFonts w:ascii="Times New Roman" w:hAnsi="Times New Roman"/>
          <w:lang w:val="sr-Latn-BA"/>
        </w:rPr>
        <w:t xml:space="preserve"> </w:t>
      </w:r>
      <w:r>
        <w:rPr>
          <w:rFonts w:ascii="Times New Roman" w:hAnsi="Times New Roman"/>
          <w:lang w:val="sr-Latn-BA"/>
        </w:rPr>
        <w:t>билтен</w:t>
      </w:r>
      <w:r w:rsidR="00A32FBC" w:rsidRPr="00295637">
        <w:rPr>
          <w:rFonts w:ascii="Times New Roman" w:hAnsi="Times New Roman"/>
          <w:lang w:val="sr-Latn-BA"/>
        </w:rPr>
        <w:t xml:space="preserve"> „</w:t>
      </w:r>
      <w:r>
        <w:rPr>
          <w:rFonts w:ascii="Times New Roman" w:hAnsi="Times New Roman"/>
          <w:lang w:val="sr-Latn-BA"/>
        </w:rPr>
        <w:t>Жене</w:t>
      </w:r>
      <w:r w:rsidR="00A32FBC" w:rsidRPr="00295637">
        <w:rPr>
          <w:rFonts w:ascii="Times New Roman" w:hAnsi="Times New Roman"/>
          <w:lang w:val="sr-Latn-BA"/>
        </w:rPr>
        <w:t xml:space="preserve"> </w:t>
      </w:r>
      <w:r>
        <w:rPr>
          <w:rFonts w:ascii="Times New Roman" w:hAnsi="Times New Roman"/>
          <w:lang w:val="sr-Latn-BA"/>
        </w:rPr>
        <w:t>и</w:t>
      </w:r>
      <w:r w:rsidR="00A32FBC" w:rsidRPr="00295637">
        <w:rPr>
          <w:rFonts w:ascii="Times New Roman" w:hAnsi="Times New Roman"/>
          <w:lang w:val="sr-Latn-BA"/>
        </w:rPr>
        <w:t xml:space="preserve"> </w:t>
      </w:r>
      <w:r>
        <w:rPr>
          <w:rFonts w:ascii="Times New Roman" w:hAnsi="Times New Roman"/>
          <w:lang w:val="sr-Latn-BA"/>
        </w:rPr>
        <w:t>мушкарци</w:t>
      </w:r>
      <w:r w:rsidR="00A32FBC" w:rsidRPr="00295637">
        <w:rPr>
          <w:rFonts w:ascii="Times New Roman" w:hAnsi="Times New Roman"/>
          <w:lang w:val="sr-Latn-BA"/>
        </w:rPr>
        <w:t xml:space="preserve"> </w:t>
      </w:r>
      <w:r>
        <w:rPr>
          <w:rFonts w:ascii="Times New Roman" w:hAnsi="Times New Roman"/>
          <w:lang w:val="sr-Latn-BA"/>
        </w:rPr>
        <w:t>у</w:t>
      </w:r>
      <w:r w:rsidR="00A32FBC" w:rsidRPr="00295637">
        <w:rPr>
          <w:rFonts w:ascii="Times New Roman" w:hAnsi="Times New Roman"/>
          <w:lang w:val="sr-Latn-BA"/>
        </w:rPr>
        <w:t xml:space="preserve"> </w:t>
      </w:r>
      <w:r>
        <w:rPr>
          <w:rFonts w:ascii="Times New Roman" w:hAnsi="Times New Roman"/>
          <w:lang w:val="sr-Latn-BA"/>
        </w:rPr>
        <w:t>Републици</w:t>
      </w:r>
      <w:r w:rsidR="00A32FBC" w:rsidRPr="00295637">
        <w:rPr>
          <w:rFonts w:ascii="Times New Roman" w:hAnsi="Times New Roman"/>
          <w:lang w:val="sr-Latn-BA"/>
        </w:rPr>
        <w:t xml:space="preserve"> </w:t>
      </w:r>
      <w:r>
        <w:rPr>
          <w:rFonts w:ascii="Times New Roman" w:hAnsi="Times New Roman"/>
          <w:lang w:val="sr-Latn-BA"/>
        </w:rPr>
        <w:t>Српској</w:t>
      </w:r>
      <w:r w:rsidR="00A32FBC" w:rsidRPr="00295637">
        <w:rPr>
          <w:rFonts w:ascii="Times New Roman" w:hAnsi="Times New Roman"/>
          <w:lang w:val="sr-Latn-BA"/>
        </w:rPr>
        <w:t xml:space="preserve">“ </w:t>
      </w:r>
      <w:r>
        <w:rPr>
          <w:rFonts w:ascii="Times New Roman" w:hAnsi="Times New Roman"/>
          <w:lang w:val="sr-Latn-BA"/>
        </w:rPr>
        <w:t>на</w:t>
      </w:r>
      <w:r w:rsidR="00A32FBC" w:rsidRPr="00295637">
        <w:rPr>
          <w:rFonts w:ascii="Times New Roman" w:hAnsi="Times New Roman"/>
          <w:lang w:val="sr-Latn-BA"/>
        </w:rPr>
        <w:t xml:space="preserve"> </w:t>
      </w:r>
      <w:r>
        <w:rPr>
          <w:rFonts w:ascii="Times New Roman" w:hAnsi="Times New Roman"/>
          <w:lang w:val="sr-Latn-BA"/>
        </w:rPr>
        <w:t>двогодишњем</w:t>
      </w:r>
      <w:r w:rsidR="00A32FBC" w:rsidRPr="00295637">
        <w:rPr>
          <w:rFonts w:ascii="Times New Roman" w:hAnsi="Times New Roman"/>
          <w:lang w:val="sr-Latn-BA"/>
        </w:rPr>
        <w:t xml:space="preserve"> </w:t>
      </w:r>
      <w:r>
        <w:rPr>
          <w:rFonts w:ascii="Times New Roman" w:hAnsi="Times New Roman"/>
          <w:lang w:val="sr-Latn-BA"/>
        </w:rPr>
        <w:t>нивоу</w:t>
      </w:r>
      <w:r w:rsidR="00A32FBC" w:rsidRPr="00295637">
        <w:rPr>
          <w:rFonts w:ascii="Times New Roman" w:hAnsi="Times New Roman"/>
          <w:lang w:val="sr-Latn-BA"/>
        </w:rPr>
        <w:t xml:space="preserve"> </w:t>
      </w:r>
      <w:r>
        <w:rPr>
          <w:rFonts w:ascii="Times New Roman" w:hAnsi="Times New Roman"/>
          <w:lang w:val="sr-Latn-BA"/>
        </w:rPr>
        <w:t>публиц</w:t>
      </w:r>
      <w:r w:rsidR="000D058D">
        <w:rPr>
          <w:rFonts w:ascii="Times New Roman" w:hAnsi="Times New Roman"/>
          <w:lang w:val="sr-Cyrl-BA"/>
        </w:rPr>
        <w:t>кује</w:t>
      </w:r>
      <w:r w:rsidR="00A32FBC" w:rsidRPr="00295637">
        <w:rPr>
          <w:rFonts w:ascii="Times New Roman" w:hAnsi="Times New Roman"/>
          <w:lang w:val="sr-Latn-BA"/>
        </w:rPr>
        <w:t xml:space="preserve"> </w:t>
      </w:r>
      <w:r>
        <w:rPr>
          <w:rFonts w:ascii="Times New Roman" w:hAnsi="Times New Roman"/>
          <w:lang w:val="sr-Latn-BA"/>
        </w:rPr>
        <w:t>податке</w:t>
      </w:r>
      <w:r w:rsidR="00A32FBC" w:rsidRPr="00295637">
        <w:rPr>
          <w:rFonts w:ascii="Times New Roman" w:hAnsi="Times New Roman"/>
          <w:lang w:val="sr-Latn-BA"/>
        </w:rPr>
        <w:t xml:space="preserve"> </w:t>
      </w:r>
      <w:r>
        <w:rPr>
          <w:rFonts w:ascii="Times New Roman" w:hAnsi="Times New Roman"/>
          <w:lang w:val="sr-Latn-BA"/>
        </w:rPr>
        <w:t>о</w:t>
      </w:r>
      <w:r w:rsidR="00A32FBC" w:rsidRPr="00295637">
        <w:rPr>
          <w:rFonts w:ascii="Times New Roman" w:hAnsi="Times New Roman"/>
          <w:lang w:val="sr-Latn-BA"/>
        </w:rPr>
        <w:t xml:space="preserve"> </w:t>
      </w:r>
      <w:r>
        <w:rPr>
          <w:rFonts w:ascii="Times New Roman" w:hAnsi="Times New Roman"/>
          <w:lang w:val="sr-Latn-BA"/>
        </w:rPr>
        <w:t>заступљености</w:t>
      </w:r>
      <w:r w:rsidR="00A32FBC" w:rsidRPr="00295637">
        <w:rPr>
          <w:rFonts w:ascii="Times New Roman" w:hAnsi="Times New Roman"/>
          <w:lang w:val="sr-Latn-BA"/>
        </w:rPr>
        <w:t xml:space="preserve"> </w:t>
      </w:r>
      <w:r>
        <w:rPr>
          <w:rFonts w:ascii="Times New Roman" w:hAnsi="Times New Roman"/>
          <w:lang w:val="sr-Latn-BA"/>
        </w:rPr>
        <w:t>жена</w:t>
      </w:r>
      <w:r w:rsidR="00A32FBC" w:rsidRPr="00295637">
        <w:rPr>
          <w:rFonts w:ascii="Times New Roman" w:hAnsi="Times New Roman"/>
          <w:lang w:val="sr-Latn-BA"/>
        </w:rPr>
        <w:t xml:space="preserve"> </w:t>
      </w:r>
      <w:r>
        <w:rPr>
          <w:rFonts w:ascii="Times New Roman" w:hAnsi="Times New Roman"/>
          <w:lang w:val="sr-Latn-BA"/>
        </w:rPr>
        <w:t>и</w:t>
      </w:r>
      <w:r w:rsidR="00A32FBC" w:rsidRPr="00295637">
        <w:rPr>
          <w:rFonts w:ascii="Times New Roman" w:hAnsi="Times New Roman"/>
          <w:lang w:val="sr-Latn-BA"/>
        </w:rPr>
        <w:t xml:space="preserve"> </w:t>
      </w:r>
      <w:r>
        <w:rPr>
          <w:rFonts w:ascii="Times New Roman" w:hAnsi="Times New Roman"/>
          <w:lang w:val="sr-Latn-BA"/>
        </w:rPr>
        <w:t>мушкараца</w:t>
      </w:r>
      <w:r w:rsidR="00A32FBC" w:rsidRPr="00295637">
        <w:rPr>
          <w:rFonts w:ascii="Times New Roman" w:hAnsi="Times New Roman"/>
          <w:lang w:val="sr-Latn-BA"/>
        </w:rPr>
        <w:t xml:space="preserve"> </w:t>
      </w:r>
      <w:r>
        <w:rPr>
          <w:rFonts w:ascii="Times New Roman" w:hAnsi="Times New Roman"/>
          <w:lang w:val="sr-Latn-BA"/>
        </w:rPr>
        <w:t>на</w:t>
      </w:r>
      <w:r w:rsidR="00A32FBC" w:rsidRPr="00295637">
        <w:rPr>
          <w:rFonts w:ascii="Times New Roman" w:hAnsi="Times New Roman"/>
          <w:lang w:val="sr-Latn-BA"/>
        </w:rPr>
        <w:t xml:space="preserve"> </w:t>
      </w:r>
      <w:r>
        <w:rPr>
          <w:rFonts w:ascii="Times New Roman" w:hAnsi="Times New Roman"/>
          <w:lang w:val="sr-Latn-BA"/>
        </w:rPr>
        <w:t>свим</w:t>
      </w:r>
      <w:r w:rsidR="00A32FBC" w:rsidRPr="00295637">
        <w:rPr>
          <w:rFonts w:ascii="Times New Roman" w:hAnsi="Times New Roman"/>
          <w:lang w:val="sr-Latn-BA"/>
        </w:rPr>
        <w:t xml:space="preserve"> </w:t>
      </w:r>
      <w:r>
        <w:rPr>
          <w:rFonts w:ascii="Times New Roman" w:hAnsi="Times New Roman"/>
          <w:lang w:val="sr-Latn-BA"/>
        </w:rPr>
        <w:t>нивоима</w:t>
      </w:r>
      <w:r w:rsidR="00A32FBC" w:rsidRPr="00295637">
        <w:rPr>
          <w:rFonts w:ascii="Times New Roman" w:hAnsi="Times New Roman"/>
          <w:lang w:val="sr-Latn-BA"/>
        </w:rPr>
        <w:t xml:space="preserve"> </w:t>
      </w:r>
      <w:r>
        <w:rPr>
          <w:rFonts w:ascii="Times New Roman" w:hAnsi="Times New Roman"/>
          <w:lang w:val="sr-Latn-BA"/>
        </w:rPr>
        <w:t>доношења</w:t>
      </w:r>
      <w:r w:rsidR="00A32FBC" w:rsidRPr="00295637">
        <w:rPr>
          <w:rFonts w:ascii="Times New Roman" w:hAnsi="Times New Roman"/>
          <w:lang w:val="sr-Latn-BA"/>
        </w:rPr>
        <w:t xml:space="preserve"> </w:t>
      </w:r>
      <w:r>
        <w:rPr>
          <w:rFonts w:ascii="Times New Roman" w:hAnsi="Times New Roman"/>
          <w:lang w:val="sr-Latn-BA"/>
        </w:rPr>
        <w:t>одлука</w:t>
      </w:r>
      <w:r w:rsidR="00A32FBC" w:rsidRPr="00295637">
        <w:rPr>
          <w:rFonts w:ascii="Times New Roman" w:hAnsi="Times New Roman"/>
          <w:lang w:val="sr-Latn-BA"/>
        </w:rPr>
        <w:t xml:space="preserve">, </w:t>
      </w:r>
      <w:r>
        <w:rPr>
          <w:rFonts w:ascii="Times New Roman" w:hAnsi="Times New Roman"/>
          <w:lang w:val="sr-Latn-BA"/>
        </w:rPr>
        <w:t>у</w:t>
      </w:r>
      <w:r w:rsidR="00A32FBC" w:rsidRPr="00295637">
        <w:rPr>
          <w:rFonts w:ascii="Times New Roman" w:hAnsi="Times New Roman"/>
          <w:lang w:val="sr-Latn-BA"/>
        </w:rPr>
        <w:t xml:space="preserve"> </w:t>
      </w:r>
      <w:r>
        <w:rPr>
          <w:rFonts w:ascii="Times New Roman" w:hAnsi="Times New Roman"/>
          <w:lang w:val="sr-Latn-BA"/>
        </w:rPr>
        <w:t>поглављу</w:t>
      </w:r>
      <w:r w:rsidR="00A32FBC" w:rsidRPr="00295637">
        <w:rPr>
          <w:rFonts w:ascii="Times New Roman" w:hAnsi="Times New Roman"/>
          <w:lang w:val="sr-Latn-BA"/>
        </w:rPr>
        <w:t xml:space="preserve"> „</w:t>
      </w:r>
      <w:r>
        <w:rPr>
          <w:rFonts w:ascii="Times New Roman" w:hAnsi="Times New Roman"/>
          <w:lang w:val="sr-Latn-BA"/>
        </w:rPr>
        <w:t>Власт</w:t>
      </w:r>
      <w:r w:rsidR="00A32FBC" w:rsidRPr="00295637">
        <w:rPr>
          <w:rFonts w:ascii="Times New Roman" w:hAnsi="Times New Roman"/>
          <w:lang w:val="sr-Latn-BA"/>
        </w:rPr>
        <w:t xml:space="preserve"> </w:t>
      </w:r>
      <w:r>
        <w:rPr>
          <w:rFonts w:ascii="Times New Roman" w:hAnsi="Times New Roman"/>
          <w:lang w:val="sr-Latn-BA"/>
        </w:rPr>
        <w:t>и</w:t>
      </w:r>
      <w:r w:rsidR="00A32FBC" w:rsidRPr="00295637">
        <w:rPr>
          <w:rFonts w:ascii="Times New Roman" w:hAnsi="Times New Roman"/>
          <w:lang w:val="sr-Latn-BA"/>
        </w:rPr>
        <w:t xml:space="preserve"> </w:t>
      </w:r>
      <w:r>
        <w:rPr>
          <w:rFonts w:ascii="Times New Roman" w:hAnsi="Times New Roman"/>
          <w:lang w:val="sr-Latn-BA"/>
        </w:rPr>
        <w:t>утицај</w:t>
      </w:r>
      <w:r w:rsidR="00A32FBC" w:rsidRPr="00295637">
        <w:rPr>
          <w:rFonts w:ascii="Times New Roman" w:hAnsi="Times New Roman"/>
          <w:lang w:val="sr-Latn-BA"/>
        </w:rPr>
        <w:t xml:space="preserve">“, </w:t>
      </w:r>
      <w:r>
        <w:rPr>
          <w:rFonts w:ascii="Times New Roman" w:hAnsi="Times New Roman"/>
          <w:lang w:val="sr-Latn-BA"/>
        </w:rPr>
        <w:t>са</w:t>
      </w:r>
      <w:r w:rsidR="00A32FBC" w:rsidRPr="00295637">
        <w:rPr>
          <w:rFonts w:ascii="Times New Roman" w:hAnsi="Times New Roman"/>
          <w:lang w:val="sr-Latn-BA"/>
        </w:rPr>
        <w:t xml:space="preserve"> </w:t>
      </w:r>
      <w:r>
        <w:rPr>
          <w:rFonts w:ascii="Times New Roman" w:hAnsi="Times New Roman"/>
          <w:lang w:val="sr-Latn-BA"/>
        </w:rPr>
        <w:t>сљедећим</w:t>
      </w:r>
      <w:r w:rsidR="00A32FBC" w:rsidRPr="00295637">
        <w:rPr>
          <w:rFonts w:ascii="Times New Roman" w:hAnsi="Times New Roman"/>
          <w:lang w:val="sr-Latn-BA"/>
        </w:rPr>
        <w:t xml:space="preserve"> </w:t>
      </w:r>
      <w:r>
        <w:rPr>
          <w:rFonts w:ascii="Times New Roman" w:hAnsi="Times New Roman"/>
          <w:lang w:val="sr-Latn-BA"/>
        </w:rPr>
        <w:t>подацима</w:t>
      </w:r>
      <w:r w:rsidR="00A32FBC" w:rsidRPr="00295637">
        <w:rPr>
          <w:rFonts w:ascii="Times New Roman" w:hAnsi="Times New Roman"/>
          <w:lang w:val="sr-Latn-BA"/>
        </w:rPr>
        <w:t xml:space="preserve"> </w:t>
      </w:r>
      <w:r>
        <w:rPr>
          <w:rFonts w:ascii="Times New Roman" w:hAnsi="Times New Roman"/>
          <w:lang w:val="sr-Latn-BA"/>
        </w:rPr>
        <w:t>разврстаним</w:t>
      </w:r>
      <w:r w:rsidR="00A32FBC" w:rsidRPr="00295637">
        <w:rPr>
          <w:rFonts w:ascii="Times New Roman" w:hAnsi="Times New Roman"/>
          <w:lang w:val="sr-Latn-BA"/>
        </w:rPr>
        <w:t xml:space="preserve"> </w:t>
      </w:r>
      <w:r>
        <w:rPr>
          <w:rFonts w:ascii="Times New Roman" w:hAnsi="Times New Roman"/>
          <w:lang w:val="sr-Latn-BA"/>
        </w:rPr>
        <w:t>по</w:t>
      </w:r>
      <w:r w:rsidR="00A32FBC" w:rsidRPr="00295637">
        <w:rPr>
          <w:rFonts w:ascii="Times New Roman" w:hAnsi="Times New Roman"/>
          <w:lang w:val="sr-Latn-BA"/>
        </w:rPr>
        <w:t xml:space="preserve"> </w:t>
      </w:r>
      <w:r>
        <w:rPr>
          <w:rFonts w:ascii="Times New Roman" w:hAnsi="Times New Roman"/>
          <w:lang w:val="sr-Latn-BA"/>
        </w:rPr>
        <w:t>полу</w:t>
      </w:r>
      <w:r w:rsidR="00A32FBC" w:rsidRPr="00295637">
        <w:rPr>
          <w:rFonts w:ascii="Times New Roman" w:hAnsi="Times New Roman"/>
          <w:lang w:val="sr-Latn-BA"/>
        </w:rPr>
        <w:t>:</w:t>
      </w:r>
      <w:r w:rsidR="00D61556" w:rsidRPr="00295637">
        <w:rPr>
          <w:rFonts w:ascii="Times New Roman" w:hAnsi="Times New Roman"/>
          <w:lang w:val="sr-Latn-BA"/>
        </w:rPr>
        <w:t xml:space="preserve"> </w:t>
      </w:r>
      <w:r>
        <w:rPr>
          <w:rFonts w:ascii="Times New Roman" w:hAnsi="Times New Roman"/>
          <w:lang w:val="sr-Latn-BA"/>
        </w:rPr>
        <w:t>бирачко</w:t>
      </w:r>
      <w:r w:rsidR="00A32FBC" w:rsidRPr="00295637">
        <w:rPr>
          <w:rFonts w:ascii="Times New Roman" w:hAnsi="Times New Roman"/>
          <w:lang w:val="sr-Latn-BA"/>
        </w:rPr>
        <w:t xml:space="preserve"> </w:t>
      </w:r>
      <w:r>
        <w:rPr>
          <w:rFonts w:ascii="Times New Roman" w:hAnsi="Times New Roman"/>
          <w:lang w:val="sr-Latn-BA"/>
        </w:rPr>
        <w:t>тијело</w:t>
      </w:r>
      <w:r w:rsidR="00A32FBC" w:rsidRPr="00295637">
        <w:rPr>
          <w:rFonts w:ascii="Times New Roman" w:hAnsi="Times New Roman"/>
          <w:lang w:val="sr-Latn-BA"/>
        </w:rPr>
        <w:t>,</w:t>
      </w:r>
      <w:r w:rsidR="00D61556" w:rsidRPr="00295637">
        <w:rPr>
          <w:rFonts w:ascii="Times New Roman" w:hAnsi="Times New Roman"/>
          <w:lang w:val="sr-Latn-BA"/>
        </w:rPr>
        <w:t xml:space="preserve"> </w:t>
      </w:r>
      <w:r>
        <w:rPr>
          <w:rFonts w:ascii="Times New Roman" w:hAnsi="Times New Roman"/>
          <w:lang w:val="sr-Latn-BA"/>
        </w:rPr>
        <w:t>излазност</w:t>
      </w:r>
      <w:r w:rsidR="00A32FBC" w:rsidRPr="00295637">
        <w:rPr>
          <w:rFonts w:ascii="Times New Roman" w:hAnsi="Times New Roman"/>
          <w:lang w:val="sr-Latn-BA"/>
        </w:rPr>
        <w:t xml:space="preserve"> </w:t>
      </w:r>
      <w:r>
        <w:rPr>
          <w:rFonts w:ascii="Times New Roman" w:hAnsi="Times New Roman"/>
          <w:lang w:val="sr-Latn-BA"/>
        </w:rPr>
        <w:t>на</w:t>
      </w:r>
      <w:r w:rsidR="00A32FBC" w:rsidRPr="00295637">
        <w:rPr>
          <w:rFonts w:ascii="Times New Roman" w:hAnsi="Times New Roman"/>
          <w:lang w:val="sr-Latn-BA"/>
        </w:rPr>
        <w:t xml:space="preserve"> </w:t>
      </w:r>
      <w:r>
        <w:rPr>
          <w:rFonts w:ascii="Times New Roman" w:hAnsi="Times New Roman"/>
          <w:lang w:val="sr-Latn-BA"/>
        </w:rPr>
        <w:t>изборима</w:t>
      </w:r>
      <w:r w:rsidR="00A32FBC" w:rsidRPr="00295637">
        <w:rPr>
          <w:rFonts w:ascii="Times New Roman" w:hAnsi="Times New Roman"/>
          <w:lang w:val="sr-Latn-BA"/>
        </w:rPr>
        <w:t>,</w:t>
      </w:r>
      <w:r w:rsidR="00D61556" w:rsidRPr="00295637">
        <w:rPr>
          <w:rFonts w:ascii="Times New Roman" w:hAnsi="Times New Roman"/>
          <w:lang w:val="sr-Latn-BA"/>
        </w:rPr>
        <w:t xml:space="preserve"> </w:t>
      </w:r>
      <w:r>
        <w:rPr>
          <w:rFonts w:ascii="Times New Roman" w:hAnsi="Times New Roman"/>
          <w:lang w:val="sr-Latn-BA"/>
        </w:rPr>
        <w:t>кандидати</w:t>
      </w:r>
      <w:r w:rsidR="00A32FBC" w:rsidRPr="00295637">
        <w:rPr>
          <w:rFonts w:ascii="Times New Roman" w:hAnsi="Times New Roman"/>
          <w:lang w:val="sr-Latn-BA"/>
        </w:rPr>
        <w:t xml:space="preserve"> </w:t>
      </w:r>
      <w:r>
        <w:rPr>
          <w:rFonts w:ascii="Times New Roman" w:hAnsi="Times New Roman"/>
          <w:lang w:val="sr-Latn-BA"/>
        </w:rPr>
        <w:t>и</w:t>
      </w:r>
      <w:r w:rsidR="00A32FBC" w:rsidRPr="00295637">
        <w:rPr>
          <w:rFonts w:ascii="Times New Roman" w:hAnsi="Times New Roman"/>
          <w:lang w:val="sr-Latn-BA"/>
        </w:rPr>
        <w:t xml:space="preserve"> </w:t>
      </w:r>
      <w:r>
        <w:rPr>
          <w:rFonts w:ascii="Times New Roman" w:hAnsi="Times New Roman"/>
          <w:lang w:val="sr-Latn-BA"/>
        </w:rPr>
        <w:t>изабрана</w:t>
      </w:r>
      <w:r w:rsidR="00A32FBC" w:rsidRPr="00295637">
        <w:rPr>
          <w:rFonts w:ascii="Times New Roman" w:hAnsi="Times New Roman"/>
          <w:lang w:val="sr-Latn-BA"/>
        </w:rPr>
        <w:t xml:space="preserve"> </w:t>
      </w:r>
      <w:r>
        <w:rPr>
          <w:rFonts w:ascii="Times New Roman" w:hAnsi="Times New Roman"/>
          <w:lang w:val="sr-Latn-BA"/>
        </w:rPr>
        <w:t>лица</w:t>
      </w:r>
      <w:r w:rsidR="00A32FBC" w:rsidRPr="00295637">
        <w:rPr>
          <w:rFonts w:ascii="Times New Roman" w:hAnsi="Times New Roman"/>
          <w:lang w:val="sr-Latn-BA"/>
        </w:rPr>
        <w:t>,</w:t>
      </w:r>
      <w:r w:rsidR="00D61556" w:rsidRPr="00295637">
        <w:rPr>
          <w:rFonts w:ascii="Times New Roman" w:hAnsi="Times New Roman"/>
          <w:lang w:val="sr-Latn-BA"/>
        </w:rPr>
        <w:t xml:space="preserve"> </w:t>
      </w:r>
      <w:r>
        <w:rPr>
          <w:rFonts w:ascii="Times New Roman" w:hAnsi="Times New Roman"/>
          <w:lang w:val="sr-Latn-BA"/>
        </w:rPr>
        <w:t>заступљеност</w:t>
      </w:r>
      <w:r w:rsidR="00A32FBC" w:rsidRPr="00295637">
        <w:rPr>
          <w:rFonts w:ascii="Times New Roman" w:hAnsi="Times New Roman"/>
          <w:lang w:val="sr-Latn-BA"/>
        </w:rPr>
        <w:t xml:space="preserve"> </w:t>
      </w:r>
      <w:r>
        <w:rPr>
          <w:rFonts w:ascii="Times New Roman" w:hAnsi="Times New Roman"/>
          <w:lang w:val="sr-Latn-BA"/>
        </w:rPr>
        <w:t>у</w:t>
      </w:r>
      <w:r w:rsidR="00A32FBC" w:rsidRPr="00295637">
        <w:rPr>
          <w:rFonts w:ascii="Times New Roman" w:hAnsi="Times New Roman"/>
          <w:lang w:val="sr-Latn-BA"/>
        </w:rPr>
        <w:t xml:space="preserve"> </w:t>
      </w:r>
      <w:r>
        <w:rPr>
          <w:rFonts w:ascii="Times New Roman" w:hAnsi="Times New Roman"/>
          <w:lang w:val="sr-Latn-BA"/>
        </w:rPr>
        <w:t>Народној</w:t>
      </w:r>
      <w:r w:rsidR="00A32FBC" w:rsidRPr="00295637">
        <w:rPr>
          <w:rFonts w:ascii="Times New Roman" w:hAnsi="Times New Roman"/>
          <w:lang w:val="sr-Latn-BA"/>
        </w:rPr>
        <w:t xml:space="preserve"> </w:t>
      </w:r>
      <w:r>
        <w:rPr>
          <w:rFonts w:ascii="Times New Roman" w:hAnsi="Times New Roman"/>
          <w:lang w:val="sr-Latn-BA"/>
        </w:rPr>
        <w:t>скупштини</w:t>
      </w:r>
      <w:r w:rsidR="00A32FBC" w:rsidRPr="00295637">
        <w:rPr>
          <w:rFonts w:ascii="Times New Roman" w:hAnsi="Times New Roman"/>
          <w:lang w:val="sr-Latn-BA"/>
        </w:rPr>
        <w:t xml:space="preserve"> </w:t>
      </w:r>
      <w:r>
        <w:rPr>
          <w:rFonts w:ascii="Times New Roman" w:hAnsi="Times New Roman"/>
          <w:lang w:val="sr-Latn-BA"/>
        </w:rPr>
        <w:t>РС</w:t>
      </w:r>
      <w:r w:rsidR="00A32FBC" w:rsidRPr="00295637">
        <w:rPr>
          <w:rFonts w:ascii="Times New Roman" w:hAnsi="Times New Roman"/>
          <w:lang w:val="sr-Latn-BA"/>
        </w:rPr>
        <w:t xml:space="preserve"> (</w:t>
      </w:r>
      <w:r>
        <w:rPr>
          <w:rFonts w:ascii="Times New Roman" w:hAnsi="Times New Roman"/>
          <w:lang w:val="sr-Latn-BA"/>
        </w:rPr>
        <w:t>посланички</w:t>
      </w:r>
      <w:r w:rsidR="00A32FBC" w:rsidRPr="00295637">
        <w:rPr>
          <w:rFonts w:ascii="Times New Roman" w:hAnsi="Times New Roman"/>
          <w:lang w:val="sr-Latn-BA"/>
        </w:rPr>
        <w:t xml:space="preserve"> </w:t>
      </w:r>
      <w:r>
        <w:rPr>
          <w:rFonts w:ascii="Times New Roman" w:hAnsi="Times New Roman"/>
          <w:lang w:val="sr-Latn-BA"/>
        </w:rPr>
        <w:t>клубови</w:t>
      </w:r>
      <w:r w:rsidR="00A32FBC" w:rsidRPr="00295637">
        <w:rPr>
          <w:rFonts w:ascii="Times New Roman" w:hAnsi="Times New Roman"/>
          <w:lang w:val="sr-Latn-BA"/>
        </w:rPr>
        <w:t xml:space="preserve">, </w:t>
      </w:r>
      <w:r>
        <w:rPr>
          <w:rFonts w:ascii="Times New Roman" w:hAnsi="Times New Roman"/>
          <w:lang w:val="sr-Latn-BA"/>
        </w:rPr>
        <w:t>службе</w:t>
      </w:r>
      <w:r w:rsidR="00A32FBC" w:rsidRPr="00295637">
        <w:rPr>
          <w:rFonts w:ascii="Times New Roman" w:hAnsi="Times New Roman"/>
          <w:lang w:val="sr-Latn-BA"/>
        </w:rPr>
        <w:t xml:space="preserve">, </w:t>
      </w:r>
      <w:r>
        <w:rPr>
          <w:rFonts w:ascii="Times New Roman" w:hAnsi="Times New Roman"/>
          <w:lang w:val="sr-Latn-BA"/>
        </w:rPr>
        <w:t>одбори</w:t>
      </w:r>
      <w:r w:rsidR="00A32FBC" w:rsidRPr="00295637">
        <w:rPr>
          <w:rFonts w:ascii="Times New Roman" w:hAnsi="Times New Roman"/>
          <w:lang w:val="sr-Latn-BA"/>
        </w:rPr>
        <w:t xml:space="preserve"> </w:t>
      </w:r>
      <w:r>
        <w:rPr>
          <w:rFonts w:ascii="Times New Roman" w:hAnsi="Times New Roman"/>
          <w:lang w:val="sr-Latn-BA"/>
        </w:rPr>
        <w:t>и</w:t>
      </w:r>
      <w:r w:rsidR="00A32FBC" w:rsidRPr="00295637">
        <w:rPr>
          <w:rFonts w:ascii="Times New Roman" w:hAnsi="Times New Roman"/>
          <w:lang w:val="sr-Latn-BA"/>
        </w:rPr>
        <w:t xml:space="preserve"> </w:t>
      </w:r>
      <w:r>
        <w:rPr>
          <w:rFonts w:ascii="Times New Roman" w:hAnsi="Times New Roman"/>
          <w:lang w:val="sr-Latn-BA"/>
        </w:rPr>
        <w:t>комисије</w:t>
      </w:r>
      <w:r w:rsidR="00D61556" w:rsidRPr="00295637">
        <w:rPr>
          <w:rFonts w:ascii="Times New Roman" w:hAnsi="Times New Roman"/>
          <w:lang w:val="sr-Latn-BA"/>
        </w:rPr>
        <w:t xml:space="preserve"> </w:t>
      </w:r>
      <w:r>
        <w:rPr>
          <w:rFonts w:ascii="Times New Roman" w:hAnsi="Times New Roman"/>
          <w:lang w:val="sr-Latn-BA"/>
        </w:rPr>
        <w:t>заступљеност</w:t>
      </w:r>
      <w:r w:rsidR="00A32FBC" w:rsidRPr="00295637">
        <w:rPr>
          <w:rFonts w:ascii="Times New Roman" w:hAnsi="Times New Roman"/>
          <w:lang w:val="sr-Latn-BA"/>
        </w:rPr>
        <w:t xml:space="preserve"> </w:t>
      </w:r>
      <w:r>
        <w:rPr>
          <w:rFonts w:ascii="Times New Roman" w:hAnsi="Times New Roman"/>
          <w:lang w:val="sr-Latn-BA"/>
        </w:rPr>
        <w:t>у</w:t>
      </w:r>
      <w:r w:rsidR="00A32FBC" w:rsidRPr="00295637">
        <w:rPr>
          <w:rFonts w:ascii="Times New Roman" w:hAnsi="Times New Roman"/>
          <w:lang w:val="sr-Latn-BA"/>
        </w:rPr>
        <w:t xml:space="preserve"> </w:t>
      </w:r>
      <w:r>
        <w:rPr>
          <w:rFonts w:ascii="Times New Roman" w:hAnsi="Times New Roman"/>
          <w:lang w:val="sr-Latn-BA"/>
        </w:rPr>
        <w:t>Влади</w:t>
      </w:r>
      <w:r w:rsidR="00A32FBC" w:rsidRPr="00295637">
        <w:rPr>
          <w:rFonts w:ascii="Times New Roman" w:hAnsi="Times New Roman"/>
          <w:lang w:val="sr-Latn-BA"/>
        </w:rPr>
        <w:t xml:space="preserve"> </w:t>
      </w:r>
      <w:r>
        <w:rPr>
          <w:rFonts w:ascii="Times New Roman" w:hAnsi="Times New Roman"/>
          <w:lang w:val="sr-Latn-BA"/>
        </w:rPr>
        <w:t>РС</w:t>
      </w:r>
      <w:r w:rsidR="00A32FBC" w:rsidRPr="00295637">
        <w:rPr>
          <w:rFonts w:ascii="Times New Roman" w:hAnsi="Times New Roman"/>
          <w:lang w:val="sr-Latn-BA"/>
        </w:rPr>
        <w:t xml:space="preserve">, </w:t>
      </w:r>
      <w:r>
        <w:rPr>
          <w:rFonts w:ascii="Times New Roman" w:hAnsi="Times New Roman"/>
          <w:lang w:val="sr-Latn-BA"/>
        </w:rPr>
        <w:t>Вијећу</w:t>
      </w:r>
      <w:r w:rsidR="00A32FBC" w:rsidRPr="00295637">
        <w:rPr>
          <w:rFonts w:ascii="Times New Roman" w:hAnsi="Times New Roman"/>
          <w:lang w:val="sr-Latn-BA"/>
        </w:rPr>
        <w:t xml:space="preserve"> </w:t>
      </w:r>
      <w:r>
        <w:rPr>
          <w:rFonts w:ascii="Times New Roman" w:hAnsi="Times New Roman"/>
          <w:lang w:val="sr-Latn-BA"/>
        </w:rPr>
        <w:t>народа</w:t>
      </w:r>
      <w:r w:rsidR="00A32FBC" w:rsidRPr="00295637">
        <w:rPr>
          <w:rFonts w:ascii="Times New Roman" w:hAnsi="Times New Roman"/>
          <w:lang w:val="sr-Latn-BA"/>
        </w:rPr>
        <w:t xml:space="preserve">, </w:t>
      </w:r>
      <w:r>
        <w:rPr>
          <w:rFonts w:ascii="Times New Roman" w:hAnsi="Times New Roman"/>
          <w:lang w:val="sr-Latn-BA"/>
        </w:rPr>
        <w:t>у</w:t>
      </w:r>
      <w:r w:rsidR="00A32FBC" w:rsidRPr="00295637">
        <w:rPr>
          <w:rFonts w:ascii="Times New Roman" w:hAnsi="Times New Roman"/>
          <w:lang w:val="sr-Latn-BA"/>
        </w:rPr>
        <w:t xml:space="preserve"> </w:t>
      </w:r>
      <w:r>
        <w:rPr>
          <w:rFonts w:ascii="Times New Roman" w:hAnsi="Times New Roman"/>
          <w:lang w:val="sr-Latn-BA"/>
        </w:rPr>
        <w:t>судовима</w:t>
      </w:r>
      <w:r w:rsidR="00A32FBC" w:rsidRPr="00295637">
        <w:rPr>
          <w:rFonts w:ascii="Times New Roman" w:hAnsi="Times New Roman"/>
          <w:lang w:val="sr-Latn-BA"/>
        </w:rPr>
        <w:t xml:space="preserve"> </w:t>
      </w:r>
      <w:r>
        <w:rPr>
          <w:rFonts w:ascii="Times New Roman" w:hAnsi="Times New Roman"/>
          <w:lang w:val="sr-Latn-BA"/>
        </w:rPr>
        <w:t>и</w:t>
      </w:r>
      <w:r w:rsidR="00A32FBC" w:rsidRPr="00295637">
        <w:rPr>
          <w:rFonts w:ascii="Times New Roman" w:hAnsi="Times New Roman"/>
          <w:lang w:val="sr-Latn-BA"/>
        </w:rPr>
        <w:t xml:space="preserve"> </w:t>
      </w:r>
      <w:r>
        <w:rPr>
          <w:rFonts w:ascii="Times New Roman" w:hAnsi="Times New Roman"/>
          <w:lang w:val="sr-Latn-BA"/>
        </w:rPr>
        <w:t>тужилаштвима</w:t>
      </w:r>
      <w:r w:rsidR="00A32FBC" w:rsidRPr="00295637">
        <w:rPr>
          <w:rFonts w:ascii="Times New Roman" w:hAnsi="Times New Roman"/>
          <w:lang w:val="sr-Latn-BA"/>
        </w:rPr>
        <w:t>,</w:t>
      </w:r>
      <w:r w:rsidR="00D61556" w:rsidRPr="00295637">
        <w:rPr>
          <w:rFonts w:ascii="Times New Roman" w:hAnsi="Times New Roman"/>
          <w:lang w:val="sr-Latn-BA"/>
        </w:rPr>
        <w:t xml:space="preserve"> </w:t>
      </w:r>
      <w:r>
        <w:rPr>
          <w:rFonts w:ascii="Times New Roman" w:hAnsi="Times New Roman"/>
          <w:lang w:val="sr-Latn-BA"/>
        </w:rPr>
        <w:t>запослени</w:t>
      </w:r>
      <w:r w:rsidR="00D30E48">
        <w:rPr>
          <w:rFonts w:ascii="Times New Roman" w:hAnsi="Times New Roman"/>
          <w:lang w:val="sr-Latn-BA"/>
        </w:rPr>
        <w:t xml:space="preserve"> </w:t>
      </w:r>
      <w:r>
        <w:rPr>
          <w:rFonts w:ascii="Times New Roman" w:hAnsi="Times New Roman"/>
          <w:lang w:val="sr-Latn-BA"/>
        </w:rPr>
        <w:t>у</w:t>
      </w:r>
      <w:r w:rsidR="00D30E48">
        <w:rPr>
          <w:rFonts w:ascii="Times New Roman" w:hAnsi="Times New Roman"/>
          <w:lang w:val="sr-Latn-BA"/>
        </w:rPr>
        <w:t xml:space="preserve"> </w:t>
      </w:r>
      <w:r>
        <w:rPr>
          <w:rFonts w:ascii="Times New Roman" w:hAnsi="Times New Roman"/>
          <w:lang w:val="sr-Latn-BA"/>
        </w:rPr>
        <w:t>управи</w:t>
      </w:r>
      <w:r w:rsidR="00A32FBC" w:rsidRPr="00295637">
        <w:rPr>
          <w:rFonts w:ascii="Times New Roman" w:hAnsi="Times New Roman"/>
          <w:lang w:val="sr-Latn-BA"/>
        </w:rPr>
        <w:t xml:space="preserve"> </w:t>
      </w:r>
      <w:r>
        <w:rPr>
          <w:rFonts w:ascii="Times New Roman" w:hAnsi="Times New Roman"/>
          <w:lang w:val="sr-Latn-BA"/>
        </w:rPr>
        <w:t>РС</w:t>
      </w:r>
      <w:r w:rsidR="00A32FBC" w:rsidRPr="00295637">
        <w:rPr>
          <w:rFonts w:ascii="Times New Roman" w:hAnsi="Times New Roman"/>
          <w:lang w:val="sr-Latn-BA"/>
        </w:rPr>
        <w:t>,</w:t>
      </w:r>
      <w:r w:rsidR="00D61556" w:rsidRPr="00295637">
        <w:rPr>
          <w:rFonts w:ascii="Times New Roman" w:hAnsi="Times New Roman"/>
          <w:lang w:val="sr-Latn-BA"/>
        </w:rPr>
        <w:t xml:space="preserve"> </w:t>
      </w:r>
      <w:r>
        <w:rPr>
          <w:rFonts w:ascii="Times New Roman" w:hAnsi="Times New Roman"/>
          <w:lang w:val="sr-Latn-BA"/>
        </w:rPr>
        <w:t>чланство</w:t>
      </w:r>
      <w:r w:rsidR="00A32FBC" w:rsidRPr="00295637">
        <w:rPr>
          <w:rFonts w:ascii="Times New Roman" w:hAnsi="Times New Roman"/>
          <w:lang w:val="sr-Latn-BA"/>
        </w:rPr>
        <w:t xml:space="preserve"> </w:t>
      </w:r>
      <w:r>
        <w:rPr>
          <w:rFonts w:ascii="Times New Roman" w:hAnsi="Times New Roman"/>
          <w:lang w:val="sr-Latn-BA"/>
        </w:rPr>
        <w:t>и</w:t>
      </w:r>
      <w:r w:rsidR="00A32FBC" w:rsidRPr="00295637">
        <w:rPr>
          <w:rFonts w:ascii="Times New Roman" w:hAnsi="Times New Roman"/>
          <w:lang w:val="sr-Latn-BA"/>
        </w:rPr>
        <w:t xml:space="preserve"> </w:t>
      </w:r>
      <w:r>
        <w:rPr>
          <w:rFonts w:ascii="Times New Roman" w:hAnsi="Times New Roman"/>
          <w:lang w:val="sr-Latn-BA"/>
        </w:rPr>
        <w:t>управљање</w:t>
      </w:r>
      <w:r w:rsidR="00A32FBC" w:rsidRPr="00295637">
        <w:rPr>
          <w:rFonts w:ascii="Times New Roman" w:hAnsi="Times New Roman"/>
          <w:lang w:val="sr-Latn-BA"/>
        </w:rPr>
        <w:t xml:space="preserve"> </w:t>
      </w:r>
      <w:r>
        <w:rPr>
          <w:rFonts w:ascii="Times New Roman" w:hAnsi="Times New Roman"/>
          <w:lang w:val="sr-Latn-BA"/>
        </w:rPr>
        <w:t>у</w:t>
      </w:r>
      <w:r w:rsidR="00A32FBC" w:rsidRPr="00295637">
        <w:rPr>
          <w:rFonts w:ascii="Times New Roman" w:hAnsi="Times New Roman"/>
          <w:lang w:val="sr-Latn-BA"/>
        </w:rPr>
        <w:t xml:space="preserve"> </w:t>
      </w:r>
      <w:r>
        <w:rPr>
          <w:rFonts w:ascii="Times New Roman" w:hAnsi="Times New Roman"/>
          <w:lang w:val="sr-Latn-BA"/>
        </w:rPr>
        <w:t>Савезу</w:t>
      </w:r>
      <w:r w:rsidR="00A32FBC" w:rsidRPr="00295637">
        <w:rPr>
          <w:rFonts w:ascii="Times New Roman" w:hAnsi="Times New Roman"/>
          <w:lang w:val="sr-Latn-BA"/>
        </w:rPr>
        <w:t xml:space="preserve"> </w:t>
      </w:r>
      <w:r>
        <w:rPr>
          <w:rFonts w:ascii="Times New Roman" w:hAnsi="Times New Roman"/>
          <w:lang w:val="sr-Latn-BA"/>
        </w:rPr>
        <w:t>синдиката</w:t>
      </w:r>
      <w:r w:rsidR="00A32FBC" w:rsidRPr="00295637">
        <w:rPr>
          <w:rFonts w:ascii="Times New Roman" w:hAnsi="Times New Roman"/>
          <w:lang w:val="sr-Latn-BA"/>
        </w:rPr>
        <w:t xml:space="preserve"> </w:t>
      </w:r>
      <w:r>
        <w:rPr>
          <w:rFonts w:ascii="Times New Roman" w:hAnsi="Times New Roman"/>
          <w:lang w:val="sr-Latn-BA"/>
        </w:rPr>
        <w:t>РС</w:t>
      </w:r>
      <w:r w:rsidR="00D61556" w:rsidRPr="00295637">
        <w:rPr>
          <w:rFonts w:ascii="Times New Roman" w:hAnsi="Times New Roman"/>
          <w:lang w:val="sr-Latn-BA"/>
        </w:rPr>
        <w:t xml:space="preserve"> </w:t>
      </w:r>
      <w:r>
        <w:rPr>
          <w:rFonts w:ascii="Times New Roman" w:hAnsi="Times New Roman"/>
          <w:lang w:val="sr-Latn-BA"/>
        </w:rPr>
        <w:t>и</w:t>
      </w:r>
      <w:r w:rsidR="00D61556" w:rsidRPr="00295637">
        <w:rPr>
          <w:rFonts w:ascii="Times New Roman" w:hAnsi="Times New Roman"/>
          <w:lang w:val="sr-Latn-BA"/>
        </w:rPr>
        <w:t xml:space="preserve"> </w:t>
      </w:r>
      <w:r>
        <w:rPr>
          <w:rFonts w:ascii="Times New Roman" w:hAnsi="Times New Roman"/>
          <w:lang w:val="sr-Latn-BA"/>
        </w:rPr>
        <w:t>управљање</w:t>
      </w:r>
      <w:r w:rsidR="00A32FBC" w:rsidRPr="00295637">
        <w:rPr>
          <w:rFonts w:ascii="Times New Roman" w:hAnsi="Times New Roman"/>
          <w:lang w:val="sr-Latn-BA"/>
        </w:rPr>
        <w:t xml:space="preserve"> </w:t>
      </w:r>
      <w:r>
        <w:rPr>
          <w:rFonts w:ascii="Times New Roman" w:hAnsi="Times New Roman"/>
          <w:lang w:val="sr-Latn-BA"/>
        </w:rPr>
        <w:t>пословним</w:t>
      </w:r>
      <w:r w:rsidR="00A32FBC" w:rsidRPr="00295637">
        <w:rPr>
          <w:rFonts w:ascii="Times New Roman" w:hAnsi="Times New Roman"/>
          <w:lang w:val="sr-Latn-BA"/>
        </w:rPr>
        <w:t xml:space="preserve"> </w:t>
      </w:r>
      <w:r>
        <w:rPr>
          <w:rFonts w:ascii="Times New Roman" w:hAnsi="Times New Roman"/>
          <w:lang w:val="sr-Latn-BA"/>
        </w:rPr>
        <w:t>и</w:t>
      </w:r>
      <w:r w:rsidR="00A32FBC" w:rsidRPr="00295637">
        <w:rPr>
          <w:rFonts w:ascii="Times New Roman" w:hAnsi="Times New Roman"/>
          <w:lang w:val="sr-Latn-BA"/>
        </w:rPr>
        <w:t xml:space="preserve"> </w:t>
      </w:r>
      <w:r>
        <w:rPr>
          <w:rFonts w:ascii="Times New Roman" w:hAnsi="Times New Roman"/>
          <w:lang w:val="sr-Latn-BA"/>
        </w:rPr>
        <w:t>привредним</w:t>
      </w:r>
      <w:r w:rsidR="00A32FBC" w:rsidRPr="00295637">
        <w:rPr>
          <w:rFonts w:ascii="Times New Roman" w:hAnsi="Times New Roman"/>
          <w:lang w:val="sr-Latn-BA"/>
        </w:rPr>
        <w:t xml:space="preserve"> </w:t>
      </w:r>
      <w:r>
        <w:rPr>
          <w:rFonts w:ascii="Times New Roman" w:hAnsi="Times New Roman"/>
          <w:lang w:val="sr-Latn-BA"/>
        </w:rPr>
        <w:t>субјектима</w:t>
      </w:r>
      <w:r w:rsidR="00A32FBC" w:rsidRPr="00295637">
        <w:rPr>
          <w:rFonts w:ascii="Times New Roman" w:hAnsi="Times New Roman"/>
          <w:lang w:val="sr-Latn-BA"/>
        </w:rPr>
        <w:t xml:space="preserve"> </w:t>
      </w:r>
      <w:r>
        <w:rPr>
          <w:rFonts w:ascii="Times New Roman" w:hAnsi="Times New Roman"/>
          <w:lang w:val="sr-Latn-BA"/>
        </w:rPr>
        <w:t>у</w:t>
      </w:r>
      <w:r w:rsidR="00A32FBC" w:rsidRPr="00295637">
        <w:rPr>
          <w:rFonts w:ascii="Times New Roman" w:hAnsi="Times New Roman"/>
          <w:lang w:val="sr-Latn-BA"/>
        </w:rPr>
        <w:t xml:space="preserve"> </w:t>
      </w:r>
      <w:r>
        <w:rPr>
          <w:rFonts w:ascii="Times New Roman" w:hAnsi="Times New Roman"/>
          <w:lang w:val="sr-Latn-BA"/>
        </w:rPr>
        <w:t>РС</w:t>
      </w:r>
      <w:r w:rsidR="00062658">
        <w:rPr>
          <w:rFonts w:ascii="Times New Roman" w:hAnsi="Times New Roman"/>
          <w:lang w:val="sr-Latn-BA"/>
        </w:rPr>
        <w:t>)</w:t>
      </w:r>
      <w:r w:rsidR="00A32FBC" w:rsidRPr="00295637">
        <w:rPr>
          <w:rFonts w:ascii="Times New Roman" w:hAnsi="Times New Roman"/>
          <w:lang w:val="sr-Latn-BA"/>
        </w:rPr>
        <w:t>.</w:t>
      </w:r>
    </w:p>
    <w:p w:rsidR="004A1A0A" w:rsidRDefault="004A1A0A" w:rsidP="0086268D">
      <w:pPr>
        <w:rPr>
          <w:rFonts w:ascii="Times New Roman" w:hAnsi="Times New Roman"/>
          <w:szCs w:val="24"/>
          <w:lang w:val="bs-Latn-BA"/>
        </w:rPr>
      </w:pPr>
    </w:p>
    <w:p w:rsidR="00CF7DF6" w:rsidRPr="006820FB" w:rsidRDefault="00CF7DF6" w:rsidP="00CF7DF6">
      <w:pPr>
        <w:autoSpaceDE w:val="0"/>
        <w:autoSpaceDN w:val="0"/>
        <w:adjustRightInd w:val="0"/>
        <w:jc w:val="both"/>
        <w:rPr>
          <w:rFonts w:ascii="Times New Roman" w:hAnsi="Times New Roman"/>
          <w:szCs w:val="24"/>
          <w:lang w:val="hr-HR"/>
        </w:rPr>
      </w:pPr>
      <w:r>
        <w:rPr>
          <w:rFonts w:ascii="Times New Roman" w:hAnsi="Times New Roman"/>
          <w:szCs w:val="24"/>
          <w:lang w:val="bs-Cyrl-BA"/>
        </w:rPr>
        <w:t>Поред тога, и</w:t>
      </w:r>
      <w:r>
        <w:rPr>
          <w:rFonts w:ascii="Times New Roman" w:hAnsi="Times New Roman"/>
          <w:szCs w:val="24"/>
          <w:lang w:val="bs-Latn-BA"/>
        </w:rPr>
        <w:t>зрађен је и Индекс</w:t>
      </w:r>
      <w:r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Pr="00295637">
        <w:rPr>
          <w:rFonts w:ascii="Times New Roman" w:hAnsi="Times New Roman"/>
          <w:szCs w:val="24"/>
          <w:lang w:val="bs-Latn-BA"/>
        </w:rPr>
        <w:t xml:space="preserve"> </w:t>
      </w:r>
      <w:r>
        <w:rPr>
          <w:rFonts w:ascii="Times New Roman" w:hAnsi="Times New Roman"/>
          <w:szCs w:val="24"/>
          <w:lang w:val="bs-Latn-BA"/>
        </w:rPr>
        <w:t>полова</w:t>
      </w:r>
      <w:r w:rsidRPr="00295637">
        <w:rPr>
          <w:rFonts w:ascii="Times New Roman" w:hAnsi="Times New Roman"/>
          <w:szCs w:val="24"/>
          <w:lang w:val="bs-Latn-BA"/>
        </w:rPr>
        <w:t xml:space="preserve"> </w:t>
      </w:r>
      <w:r>
        <w:rPr>
          <w:rFonts w:ascii="Times New Roman" w:hAnsi="Times New Roman"/>
          <w:szCs w:val="24"/>
          <w:lang w:val="bs-Latn-BA"/>
        </w:rPr>
        <w:t>у</w:t>
      </w:r>
      <w:r w:rsidRPr="00295637">
        <w:rPr>
          <w:rFonts w:ascii="Times New Roman" w:hAnsi="Times New Roman"/>
          <w:szCs w:val="24"/>
          <w:lang w:val="bs-Latn-BA"/>
        </w:rPr>
        <w:t xml:space="preserve"> </w:t>
      </w:r>
      <w:r>
        <w:rPr>
          <w:rFonts w:ascii="Times New Roman" w:hAnsi="Times New Roman"/>
          <w:szCs w:val="24"/>
          <w:lang w:val="bs-Latn-BA"/>
        </w:rPr>
        <w:t>Босни</w:t>
      </w:r>
      <w:r w:rsidRPr="00295637">
        <w:rPr>
          <w:rFonts w:ascii="Times New Roman" w:hAnsi="Times New Roman"/>
          <w:szCs w:val="24"/>
          <w:lang w:val="bs-Latn-BA"/>
        </w:rPr>
        <w:t xml:space="preserve"> </w:t>
      </w:r>
      <w:r>
        <w:rPr>
          <w:rFonts w:ascii="Times New Roman" w:hAnsi="Times New Roman"/>
          <w:szCs w:val="24"/>
          <w:lang w:val="bs-Latn-BA"/>
        </w:rPr>
        <w:t>и</w:t>
      </w:r>
      <w:r w:rsidRPr="00295637">
        <w:rPr>
          <w:rFonts w:ascii="Times New Roman" w:hAnsi="Times New Roman"/>
          <w:szCs w:val="24"/>
          <w:lang w:val="bs-Latn-BA"/>
        </w:rPr>
        <w:t xml:space="preserve"> </w:t>
      </w:r>
      <w:r>
        <w:rPr>
          <w:rFonts w:ascii="Times New Roman" w:hAnsi="Times New Roman"/>
          <w:szCs w:val="24"/>
          <w:lang w:val="bs-Latn-BA"/>
        </w:rPr>
        <w:t>Херцеговини који</w:t>
      </w:r>
      <w:r w:rsidRPr="00295637">
        <w:rPr>
          <w:rFonts w:ascii="Times New Roman" w:hAnsi="Times New Roman"/>
          <w:szCs w:val="24"/>
          <w:lang w:val="bs-Latn-BA"/>
        </w:rPr>
        <w:t xml:space="preserve">, </w:t>
      </w:r>
      <w:r>
        <w:rPr>
          <w:rFonts w:ascii="Times New Roman" w:hAnsi="Times New Roman"/>
          <w:szCs w:val="24"/>
          <w:lang w:val="bs-Latn-BA"/>
        </w:rPr>
        <w:t>поред</w:t>
      </w:r>
      <w:r w:rsidRPr="00295637">
        <w:rPr>
          <w:rFonts w:ascii="Times New Roman" w:hAnsi="Times New Roman"/>
          <w:szCs w:val="24"/>
          <w:lang w:val="bs-Latn-BA"/>
        </w:rPr>
        <w:t xml:space="preserve"> </w:t>
      </w:r>
      <w:r>
        <w:rPr>
          <w:rFonts w:ascii="Times New Roman" w:hAnsi="Times New Roman"/>
          <w:szCs w:val="24"/>
          <w:lang w:val="bs-Latn-BA"/>
        </w:rPr>
        <w:t>осталог</w:t>
      </w:r>
      <w:r w:rsidRPr="00295637">
        <w:rPr>
          <w:rFonts w:ascii="Times New Roman" w:hAnsi="Times New Roman"/>
          <w:szCs w:val="24"/>
          <w:lang w:val="bs-Latn-BA"/>
        </w:rPr>
        <w:t xml:space="preserve"> </w:t>
      </w:r>
      <w:r>
        <w:rPr>
          <w:rFonts w:ascii="Times New Roman" w:hAnsi="Times New Roman"/>
          <w:szCs w:val="24"/>
          <w:lang w:val="bs-Latn-BA"/>
        </w:rPr>
        <w:t>садржи</w:t>
      </w:r>
      <w:r w:rsidRPr="00295637">
        <w:rPr>
          <w:rFonts w:ascii="Times New Roman" w:hAnsi="Times New Roman"/>
          <w:szCs w:val="24"/>
          <w:lang w:val="bs-Latn-BA"/>
        </w:rPr>
        <w:t xml:space="preserve"> </w:t>
      </w:r>
      <w:r>
        <w:rPr>
          <w:rFonts w:ascii="Times New Roman" w:hAnsi="Times New Roman"/>
          <w:szCs w:val="24"/>
          <w:lang w:val="bs-Latn-BA"/>
        </w:rPr>
        <w:t>и</w:t>
      </w:r>
      <w:r w:rsidRPr="00295637">
        <w:rPr>
          <w:rFonts w:ascii="Times New Roman" w:hAnsi="Times New Roman"/>
          <w:szCs w:val="24"/>
          <w:lang w:val="bs-Latn-BA"/>
        </w:rPr>
        <w:t xml:space="preserve"> </w:t>
      </w:r>
      <w:r>
        <w:rPr>
          <w:rFonts w:ascii="Times New Roman" w:hAnsi="Times New Roman"/>
          <w:szCs w:val="24"/>
          <w:lang w:val="bs-Latn-BA"/>
        </w:rPr>
        <w:t>домен</w:t>
      </w:r>
      <w:r w:rsidRPr="00295637">
        <w:rPr>
          <w:rFonts w:ascii="Times New Roman" w:hAnsi="Times New Roman"/>
          <w:szCs w:val="24"/>
          <w:lang w:val="bs-Latn-BA"/>
        </w:rPr>
        <w:t xml:space="preserve"> „</w:t>
      </w:r>
      <w:r>
        <w:rPr>
          <w:rFonts w:ascii="Times New Roman" w:hAnsi="Times New Roman"/>
          <w:szCs w:val="24"/>
          <w:lang w:val="bs-Latn-BA"/>
        </w:rPr>
        <w:t>моћ</w:t>
      </w:r>
      <w:r w:rsidRPr="00295637">
        <w:rPr>
          <w:rFonts w:ascii="Times New Roman" w:hAnsi="Times New Roman"/>
          <w:szCs w:val="24"/>
          <w:lang w:val="bs-Latn-BA"/>
        </w:rPr>
        <w:t xml:space="preserve">“ </w:t>
      </w:r>
      <w:r>
        <w:rPr>
          <w:rFonts w:ascii="Times New Roman" w:hAnsi="Times New Roman"/>
          <w:szCs w:val="24"/>
          <w:lang w:val="bs-Latn-BA"/>
        </w:rPr>
        <w:t>којом</w:t>
      </w:r>
      <w:r w:rsidRPr="00295637">
        <w:rPr>
          <w:rFonts w:ascii="Times New Roman" w:hAnsi="Times New Roman"/>
          <w:szCs w:val="24"/>
          <w:lang w:val="bs-Latn-BA"/>
        </w:rPr>
        <w:t xml:space="preserve"> </w:t>
      </w:r>
      <w:r>
        <w:rPr>
          <w:rFonts w:ascii="Times New Roman" w:hAnsi="Times New Roman"/>
          <w:szCs w:val="24"/>
          <w:lang w:val="bs-Latn-BA"/>
        </w:rPr>
        <w:t>се</w:t>
      </w:r>
      <w:r w:rsidRPr="00295637">
        <w:rPr>
          <w:rFonts w:ascii="Times New Roman" w:hAnsi="Times New Roman"/>
          <w:szCs w:val="24"/>
          <w:lang w:val="bs-Latn-BA"/>
        </w:rPr>
        <w:t xml:space="preserve"> </w:t>
      </w:r>
      <w:r>
        <w:rPr>
          <w:rFonts w:ascii="Times New Roman" w:hAnsi="Times New Roman"/>
          <w:szCs w:val="24"/>
          <w:lang w:val="bs-Latn-BA"/>
        </w:rPr>
        <w:t>мјери</w:t>
      </w:r>
      <w:r w:rsidRPr="00295637">
        <w:rPr>
          <w:rFonts w:ascii="Times New Roman" w:hAnsi="Times New Roman"/>
          <w:szCs w:val="24"/>
          <w:lang w:val="bs-Latn-BA"/>
        </w:rPr>
        <w:t xml:space="preserve"> </w:t>
      </w:r>
      <w:r>
        <w:rPr>
          <w:rFonts w:ascii="Times New Roman" w:hAnsi="Times New Roman"/>
          <w:szCs w:val="24"/>
          <w:lang w:val="bs-Latn-BA"/>
        </w:rPr>
        <w:t>родни</w:t>
      </w:r>
      <w:r w:rsidRPr="00295637">
        <w:rPr>
          <w:rFonts w:ascii="Times New Roman" w:hAnsi="Times New Roman"/>
          <w:szCs w:val="24"/>
          <w:lang w:val="bs-Latn-BA"/>
        </w:rPr>
        <w:t xml:space="preserve"> </w:t>
      </w:r>
      <w:r>
        <w:rPr>
          <w:rFonts w:ascii="Times New Roman" w:hAnsi="Times New Roman"/>
          <w:szCs w:val="24"/>
          <w:lang w:val="bs-Latn-BA"/>
        </w:rPr>
        <w:t>јаз</w:t>
      </w:r>
      <w:r w:rsidRPr="00295637">
        <w:rPr>
          <w:rFonts w:ascii="Times New Roman" w:hAnsi="Times New Roman"/>
          <w:szCs w:val="24"/>
          <w:lang w:val="bs-Latn-BA"/>
        </w:rPr>
        <w:t xml:space="preserve"> </w:t>
      </w:r>
      <w:r>
        <w:rPr>
          <w:rFonts w:ascii="Times New Roman" w:hAnsi="Times New Roman"/>
          <w:szCs w:val="24"/>
          <w:lang w:val="hr-HR"/>
        </w:rPr>
        <w:t>кроз</w:t>
      </w:r>
      <w:r w:rsidRPr="006820FB">
        <w:rPr>
          <w:rFonts w:ascii="Times New Roman" w:hAnsi="Times New Roman"/>
          <w:szCs w:val="24"/>
          <w:lang w:val="hr-HR"/>
        </w:rPr>
        <w:t xml:space="preserve"> </w:t>
      </w:r>
      <w:r>
        <w:rPr>
          <w:rFonts w:ascii="Times New Roman" w:hAnsi="Times New Roman"/>
          <w:szCs w:val="24"/>
          <w:lang w:val="hr-HR"/>
        </w:rPr>
        <w:t>учешће</w:t>
      </w:r>
      <w:r w:rsidRPr="006820FB">
        <w:rPr>
          <w:rFonts w:ascii="Times New Roman" w:hAnsi="Times New Roman"/>
          <w:szCs w:val="24"/>
          <w:lang w:val="hr-HR"/>
        </w:rPr>
        <w:t xml:space="preserve"> </w:t>
      </w:r>
      <w:r>
        <w:rPr>
          <w:rFonts w:ascii="Times New Roman" w:hAnsi="Times New Roman"/>
          <w:szCs w:val="24"/>
          <w:lang w:val="hr-HR"/>
        </w:rPr>
        <w:t>у</w:t>
      </w:r>
      <w:r w:rsidRPr="006820FB">
        <w:rPr>
          <w:rFonts w:ascii="Times New Roman" w:hAnsi="Times New Roman"/>
          <w:szCs w:val="24"/>
          <w:lang w:val="hr-HR"/>
        </w:rPr>
        <w:t xml:space="preserve"> </w:t>
      </w:r>
      <w:r>
        <w:rPr>
          <w:rFonts w:ascii="Times New Roman" w:hAnsi="Times New Roman"/>
          <w:szCs w:val="24"/>
          <w:lang w:val="hr-HR"/>
        </w:rPr>
        <w:t>структурама</w:t>
      </w:r>
      <w:r w:rsidRPr="006820FB">
        <w:rPr>
          <w:rFonts w:ascii="Times New Roman" w:hAnsi="Times New Roman"/>
          <w:szCs w:val="24"/>
          <w:lang w:val="hr-HR"/>
        </w:rPr>
        <w:t xml:space="preserve"> </w:t>
      </w:r>
      <w:r>
        <w:rPr>
          <w:rFonts w:ascii="Times New Roman" w:hAnsi="Times New Roman"/>
          <w:szCs w:val="24"/>
          <w:lang w:val="hr-HR"/>
        </w:rPr>
        <w:t>политичке</w:t>
      </w:r>
      <w:r w:rsidRPr="006820FB">
        <w:rPr>
          <w:rFonts w:ascii="Times New Roman" w:hAnsi="Times New Roman"/>
          <w:szCs w:val="24"/>
          <w:lang w:val="hr-HR"/>
        </w:rPr>
        <w:t xml:space="preserve">, </w:t>
      </w:r>
      <w:r>
        <w:rPr>
          <w:rFonts w:ascii="Times New Roman" w:hAnsi="Times New Roman"/>
          <w:szCs w:val="24"/>
          <w:lang w:val="hr-HR"/>
        </w:rPr>
        <w:t>економске</w:t>
      </w:r>
      <w:r w:rsidRPr="006820FB">
        <w:rPr>
          <w:rFonts w:ascii="Times New Roman" w:hAnsi="Times New Roman"/>
          <w:szCs w:val="24"/>
          <w:lang w:val="hr-HR"/>
        </w:rPr>
        <w:t xml:space="preserve"> </w:t>
      </w:r>
      <w:r>
        <w:rPr>
          <w:rFonts w:ascii="Times New Roman" w:hAnsi="Times New Roman"/>
          <w:szCs w:val="24"/>
          <w:lang w:val="hr-HR"/>
        </w:rPr>
        <w:t>и</w:t>
      </w:r>
      <w:r w:rsidRPr="006820FB">
        <w:rPr>
          <w:rFonts w:ascii="Times New Roman" w:hAnsi="Times New Roman"/>
          <w:szCs w:val="24"/>
          <w:lang w:val="hr-HR"/>
        </w:rPr>
        <w:t xml:space="preserve"> </w:t>
      </w:r>
      <w:r>
        <w:rPr>
          <w:rFonts w:ascii="Times New Roman" w:hAnsi="Times New Roman"/>
          <w:szCs w:val="24"/>
          <w:lang w:val="hr-HR"/>
        </w:rPr>
        <w:t>друштвене</w:t>
      </w:r>
      <w:r w:rsidRPr="006820FB">
        <w:rPr>
          <w:rFonts w:ascii="Times New Roman" w:hAnsi="Times New Roman"/>
          <w:szCs w:val="24"/>
          <w:lang w:val="hr-HR"/>
        </w:rPr>
        <w:t xml:space="preserve"> </w:t>
      </w:r>
      <w:r>
        <w:rPr>
          <w:rFonts w:ascii="Times New Roman" w:hAnsi="Times New Roman"/>
          <w:szCs w:val="24"/>
          <w:lang w:val="hr-HR"/>
        </w:rPr>
        <w:t>моћи</w:t>
      </w:r>
      <w:r w:rsidRPr="006820FB">
        <w:rPr>
          <w:rFonts w:ascii="Times New Roman" w:hAnsi="Times New Roman"/>
          <w:szCs w:val="24"/>
          <w:lang w:val="hr-HR"/>
        </w:rPr>
        <w:t xml:space="preserve">. </w:t>
      </w:r>
    </w:p>
    <w:p w:rsidR="00EA697A" w:rsidRDefault="00EA697A" w:rsidP="0086268D">
      <w:pPr>
        <w:rPr>
          <w:rFonts w:ascii="Times New Roman" w:hAnsi="Times New Roman"/>
          <w:szCs w:val="24"/>
          <w:lang w:val="bs-Latn-BA"/>
        </w:rPr>
      </w:pPr>
    </w:p>
    <w:p w:rsidR="00CF7DF6" w:rsidRPr="00295637" w:rsidRDefault="00CF7DF6" w:rsidP="0086268D">
      <w:pPr>
        <w:rPr>
          <w:rFonts w:ascii="Times New Roman" w:hAnsi="Times New Roman"/>
          <w:szCs w:val="24"/>
          <w:lang w:val="bs-Latn-BA"/>
        </w:rPr>
      </w:pPr>
    </w:p>
    <w:p w:rsidR="00356C2C" w:rsidRPr="00295637" w:rsidRDefault="000D058D" w:rsidP="00062658">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24" w:name="_Toc332005663"/>
      <w:bookmarkStart w:id="25" w:name="_Toc332010894"/>
      <w:bookmarkStart w:id="26" w:name="_Toc195016593"/>
      <w:r>
        <w:rPr>
          <w:rFonts w:ascii="Times New Roman" w:hAnsi="Times New Roman" w:cs="Times New Roman"/>
          <w:lang w:val="bs-Latn-BA" w:eastAsia="bs-Latn-BA"/>
        </w:rPr>
        <w:t>I</w:t>
      </w:r>
      <w:r w:rsidR="00062658">
        <w:rPr>
          <w:rFonts w:ascii="Times New Roman" w:hAnsi="Times New Roman" w:cs="Times New Roman"/>
          <w:lang w:val="bs-Latn-BA" w:eastAsia="bs-Latn-BA"/>
        </w:rPr>
        <w:t xml:space="preserve"> 3. </w:t>
      </w:r>
      <w:r w:rsidR="00C6214E">
        <w:rPr>
          <w:rFonts w:ascii="Times New Roman" w:hAnsi="Times New Roman" w:cs="Times New Roman"/>
          <w:lang w:val="bs-Latn-BA" w:eastAsia="bs-Latn-BA"/>
        </w:rPr>
        <w:t>Рад</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запошљавање</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и</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приступ</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економским</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ресурсима</w:t>
      </w:r>
      <w:bookmarkEnd w:id="24"/>
      <w:bookmarkEnd w:id="25"/>
      <w:bookmarkEnd w:id="26"/>
    </w:p>
    <w:p w:rsidR="009C354A" w:rsidRPr="00295637" w:rsidRDefault="009C354A" w:rsidP="0086268D">
      <w:pPr>
        <w:rPr>
          <w:lang w:val="bs-Latn-BA" w:eastAsia="bs-Latn-BA"/>
        </w:rPr>
      </w:pPr>
    </w:p>
    <w:p w:rsidR="009669CE" w:rsidRPr="00295637" w:rsidRDefault="00C6214E" w:rsidP="0086268D">
      <w:pPr>
        <w:jc w:val="both"/>
        <w:rPr>
          <w:rFonts w:ascii="Times New Roman" w:hAnsi="Times New Roman"/>
          <w:bCs/>
          <w:lang w:val="bs-Latn-BA"/>
        </w:rPr>
      </w:pPr>
      <w:r>
        <w:rPr>
          <w:rFonts w:ascii="Times New Roman" w:hAnsi="Times New Roman"/>
          <w:bCs/>
          <w:lang w:val="bs-Latn-BA"/>
        </w:rPr>
        <w:t>Иако</w:t>
      </w:r>
      <w:r w:rsidR="009669CE" w:rsidRPr="00295637">
        <w:rPr>
          <w:rFonts w:ascii="Times New Roman" w:hAnsi="Times New Roman"/>
          <w:bCs/>
          <w:lang w:val="bs-Latn-BA"/>
        </w:rPr>
        <w:t xml:space="preserve"> </w:t>
      </w:r>
      <w:r>
        <w:rPr>
          <w:rFonts w:ascii="Times New Roman" w:hAnsi="Times New Roman"/>
          <w:bCs/>
          <w:lang w:val="bs-Latn-BA"/>
        </w:rPr>
        <w:t>је</w:t>
      </w:r>
      <w:r w:rsidR="009669CE" w:rsidRPr="00295637">
        <w:rPr>
          <w:rFonts w:ascii="Times New Roman" w:hAnsi="Times New Roman"/>
          <w:bCs/>
          <w:lang w:val="bs-Latn-BA"/>
        </w:rPr>
        <w:t xml:space="preserve"> </w:t>
      </w:r>
      <w:r>
        <w:rPr>
          <w:rFonts w:ascii="Times New Roman" w:hAnsi="Times New Roman"/>
          <w:bCs/>
          <w:lang w:val="bs-Latn-BA"/>
        </w:rPr>
        <w:t>радно</w:t>
      </w:r>
      <w:r w:rsidR="009669CE" w:rsidRPr="00295637">
        <w:rPr>
          <w:rFonts w:ascii="Times New Roman" w:hAnsi="Times New Roman"/>
          <w:bCs/>
          <w:lang w:val="bs-Latn-BA"/>
        </w:rPr>
        <w:t xml:space="preserve"> </w:t>
      </w:r>
      <w:r>
        <w:rPr>
          <w:rFonts w:ascii="Times New Roman" w:hAnsi="Times New Roman"/>
          <w:bCs/>
          <w:lang w:val="bs-Latn-BA"/>
        </w:rPr>
        <w:t>законодавство</w:t>
      </w:r>
      <w:r w:rsidR="009669CE" w:rsidRPr="00295637">
        <w:rPr>
          <w:rFonts w:ascii="Times New Roman" w:hAnsi="Times New Roman"/>
          <w:bCs/>
          <w:lang w:val="bs-Latn-BA"/>
        </w:rPr>
        <w:t xml:space="preserve"> </w:t>
      </w:r>
      <w:r>
        <w:rPr>
          <w:rFonts w:ascii="Times New Roman" w:hAnsi="Times New Roman"/>
          <w:bCs/>
          <w:lang w:val="bs-Latn-BA"/>
        </w:rPr>
        <w:t>у</w:t>
      </w:r>
      <w:r w:rsidR="009669CE" w:rsidRPr="00295637">
        <w:rPr>
          <w:rFonts w:ascii="Times New Roman" w:hAnsi="Times New Roman"/>
          <w:bCs/>
          <w:lang w:val="bs-Latn-BA"/>
        </w:rPr>
        <w:t xml:space="preserve"> </w:t>
      </w:r>
      <w:r>
        <w:rPr>
          <w:rFonts w:ascii="Times New Roman" w:hAnsi="Times New Roman"/>
          <w:bCs/>
          <w:lang w:val="bs-Latn-BA"/>
        </w:rPr>
        <w:t>знатној</w:t>
      </w:r>
      <w:r w:rsidR="00870AE1">
        <w:rPr>
          <w:rFonts w:ascii="Times New Roman" w:hAnsi="Times New Roman"/>
          <w:bCs/>
          <w:lang w:val="bs-Latn-BA"/>
        </w:rPr>
        <w:t xml:space="preserve"> </w:t>
      </w:r>
      <w:r>
        <w:rPr>
          <w:rFonts w:ascii="Times New Roman" w:hAnsi="Times New Roman"/>
          <w:bCs/>
          <w:lang w:val="bs-Latn-BA"/>
        </w:rPr>
        <w:t>мјери</w:t>
      </w:r>
      <w:r w:rsidR="00870AE1">
        <w:rPr>
          <w:rFonts w:ascii="Times New Roman" w:hAnsi="Times New Roman"/>
          <w:bCs/>
          <w:lang w:val="bs-Latn-BA"/>
        </w:rPr>
        <w:t xml:space="preserve"> </w:t>
      </w:r>
      <w:r>
        <w:rPr>
          <w:rFonts w:ascii="Times New Roman" w:hAnsi="Times New Roman"/>
          <w:bCs/>
          <w:lang w:val="bs-Latn-BA"/>
        </w:rPr>
        <w:t>усклађено</w:t>
      </w:r>
      <w:r w:rsidR="00870AE1">
        <w:rPr>
          <w:rFonts w:ascii="Times New Roman" w:hAnsi="Times New Roman"/>
          <w:bCs/>
          <w:lang w:val="bs-Latn-BA"/>
        </w:rPr>
        <w:t xml:space="preserve"> </w:t>
      </w:r>
      <w:r>
        <w:rPr>
          <w:rFonts w:ascii="Times New Roman" w:hAnsi="Times New Roman"/>
          <w:bCs/>
          <w:lang w:val="bs-Latn-BA"/>
        </w:rPr>
        <w:t>са</w:t>
      </w:r>
      <w:r w:rsidR="009669CE" w:rsidRPr="00295637">
        <w:rPr>
          <w:rFonts w:ascii="Times New Roman" w:hAnsi="Times New Roman"/>
          <w:bCs/>
          <w:lang w:val="bs-Latn-BA"/>
        </w:rPr>
        <w:t xml:space="preserve"> </w:t>
      </w:r>
      <w:r>
        <w:rPr>
          <w:rFonts w:ascii="Times New Roman" w:hAnsi="Times New Roman"/>
          <w:bCs/>
          <w:lang w:val="bs-Latn-BA"/>
        </w:rPr>
        <w:t>домаћим</w:t>
      </w:r>
      <w:r w:rsidR="009669CE" w:rsidRPr="00295637">
        <w:rPr>
          <w:rFonts w:ascii="Times New Roman" w:hAnsi="Times New Roman"/>
          <w:bCs/>
          <w:lang w:val="bs-Latn-BA"/>
        </w:rPr>
        <w:t xml:space="preserve"> </w:t>
      </w:r>
      <w:r>
        <w:rPr>
          <w:rFonts w:ascii="Times New Roman" w:hAnsi="Times New Roman"/>
          <w:bCs/>
          <w:lang w:val="bs-Latn-BA"/>
        </w:rPr>
        <w:t>и</w:t>
      </w:r>
      <w:r w:rsidR="009669CE" w:rsidRPr="00295637">
        <w:rPr>
          <w:rFonts w:ascii="Times New Roman" w:hAnsi="Times New Roman"/>
          <w:bCs/>
          <w:lang w:val="bs-Latn-BA"/>
        </w:rPr>
        <w:t xml:space="preserve"> </w:t>
      </w:r>
      <w:r>
        <w:rPr>
          <w:rFonts w:ascii="Times New Roman" w:hAnsi="Times New Roman"/>
          <w:bCs/>
          <w:lang w:val="bs-Latn-BA"/>
        </w:rPr>
        <w:t>међународним</w:t>
      </w:r>
      <w:r w:rsidR="009669CE" w:rsidRPr="00295637">
        <w:rPr>
          <w:rFonts w:ascii="Times New Roman" w:hAnsi="Times New Roman"/>
          <w:bCs/>
          <w:lang w:val="bs-Latn-BA"/>
        </w:rPr>
        <w:t xml:space="preserve"> </w:t>
      </w:r>
      <w:r>
        <w:rPr>
          <w:rFonts w:ascii="Times New Roman" w:hAnsi="Times New Roman"/>
          <w:bCs/>
          <w:lang w:val="bs-Latn-BA"/>
        </w:rPr>
        <w:t>стандардима</w:t>
      </w:r>
      <w:r w:rsidR="009669CE" w:rsidRPr="00295637">
        <w:rPr>
          <w:rFonts w:ascii="Times New Roman" w:hAnsi="Times New Roman"/>
          <w:bCs/>
          <w:lang w:val="bs-Latn-BA"/>
        </w:rPr>
        <w:t xml:space="preserve"> </w:t>
      </w:r>
      <w:r>
        <w:rPr>
          <w:rFonts w:ascii="Times New Roman" w:hAnsi="Times New Roman"/>
          <w:bCs/>
          <w:lang w:val="bs-Latn-BA"/>
        </w:rPr>
        <w:t>за</w:t>
      </w:r>
      <w:r w:rsidR="009669CE" w:rsidRPr="00295637">
        <w:rPr>
          <w:rFonts w:ascii="Times New Roman" w:hAnsi="Times New Roman"/>
          <w:bCs/>
          <w:lang w:val="bs-Latn-BA"/>
        </w:rPr>
        <w:t xml:space="preserve"> </w:t>
      </w:r>
      <w:r>
        <w:rPr>
          <w:rFonts w:ascii="Times New Roman" w:hAnsi="Times New Roman"/>
          <w:bCs/>
          <w:lang w:val="bs-Latn-BA"/>
        </w:rPr>
        <w:t>равноправност</w:t>
      </w:r>
      <w:r w:rsidR="009669CE" w:rsidRPr="00295637">
        <w:rPr>
          <w:rFonts w:ascii="Times New Roman" w:hAnsi="Times New Roman"/>
          <w:bCs/>
          <w:lang w:val="bs-Latn-BA"/>
        </w:rPr>
        <w:t xml:space="preserve"> </w:t>
      </w:r>
      <w:r>
        <w:rPr>
          <w:rFonts w:ascii="Times New Roman" w:hAnsi="Times New Roman"/>
          <w:bCs/>
          <w:lang w:val="bs-Latn-BA"/>
        </w:rPr>
        <w:t>полова</w:t>
      </w:r>
      <w:r w:rsidR="009669CE" w:rsidRPr="00295637">
        <w:rPr>
          <w:rFonts w:ascii="Times New Roman" w:hAnsi="Times New Roman"/>
          <w:bCs/>
          <w:lang w:val="bs-Latn-BA"/>
        </w:rPr>
        <w:t xml:space="preserve">, </w:t>
      </w:r>
      <w:r>
        <w:rPr>
          <w:rFonts w:ascii="Times New Roman" w:hAnsi="Times New Roman"/>
          <w:bCs/>
          <w:lang w:val="bs-Latn-BA"/>
        </w:rPr>
        <w:t>у</w:t>
      </w:r>
      <w:r w:rsidR="009669CE" w:rsidRPr="00295637">
        <w:rPr>
          <w:rFonts w:ascii="Times New Roman" w:hAnsi="Times New Roman"/>
          <w:bCs/>
          <w:lang w:val="bs-Latn-BA"/>
        </w:rPr>
        <w:t xml:space="preserve"> </w:t>
      </w:r>
      <w:r>
        <w:rPr>
          <w:rFonts w:ascii="Times New Roman" w:hAnsi="Times New Roman"/>
          <w:bCs/>
          <w:lang w:val="bs-Latn-BA"/>
        </w:rPr>
        <w:t>Босни</w:t>
      </w:r>
      <w:r w:rsidR="00080CD7" w:rsidRPr="00295637">
        <w:rPr>
          <w:rFonts w:ascii="Times New Roman" w:hAnsi="Times New Roman"/>
          <w:bCs/>
          <w:lang w:val="bs-Latn-BA"/>
        </w:rPr>
        <w:t xml:space="preserve"> </w:t>
      </w:r>
      <w:r>
        <w:rPr>
          <w:rFonts w:ascii="Times New Roman" w:hAnsi="Times New Roman"/>
          <w:bCs/>
          <w:lang w:val="bs-Latn-BA"/>
        </w:rPr>
        <w:t>и</w:t>
      </w:r>
      <w:r w:rsidR="00080CD7" w:rsidRPr="00295637">
        <w:rPr>
          <w:rFonts w:ascii="Times New Roman" w:hAnsi="Times New Roman"/>
          <w:bCs/>
          <w:lang w:val="bs-Latn-BA"/>
        </w:rPr>
        <w:t xml:space="preserve"> </w:t>
      </w:r>
      <w:r>
        <w:rPr>
          <w:rFonts w:ascii="Times New Roman" w:hAnsi="Times New Roman"/>
          <w:bCs/>
          <w:lang w:val="bs-Latn-BA"/>
        </w:rPr>
        <w:t>Херцеговини</w:t>
      </w:r>
      <w:r w:rsidR="009669CE" w:rsidRPr="00295637">
        <w:rPr>
          <w:rFonts w:ascii="Times New Roman" w:hAnsi="Times New Roman"/>
          <w:bCs/>
          <w:lang w:val="bs-Latn-BA"/>
        </w:rPr>
        <w:t xml:space="preserve"> </w:t>
      </w:r>
      <w:r>
        <w:rPr>
          <w:rFonts w:ascii="Times New Roman" w:hAnsi="Times New Roman"/>
          <w:bCs/>
          <w:lang w:val="bs-Latn-BA"/>
        </w:rPr>
        <w:t>и</w:t>
      </w:r>
      <w:r w:rsidR="009669CE" w:rsidRPr="00295637">
        <w:rPr>
          <w:rFonts w:ascii="Times New Roman" w:hAnsi="Times New Roman"/>
          <w:bCs/>
          <w:lang w:val="bs-Latn-BA"/>
        </w:rPr>
        <w:t xml:space="preserve"> </w:t>
      </w:r>
      <w:r>
        <w:rPr>
          <w:rFonts w:ascii="Times New Roman" w:hAnsi="Times New Roman"/>
          <w:bCs/>
          <w:lang w:val="bs-Latn-BA"/>
        </w:rPr>
        <w:t>даље</w:t>
      </w:r>
      <w:r w:rsidR="009669CE" w:rsidRPr="00295637">
        <w:rPr>
          <w:rFonts w:ascii="Times New Roman" w:hAnsi="Times New Roman"/>
          <w:bCs/>
          <w:lang w:val="bs-Latn-BA"/>
        </w:rPr>
        <w:t xml:space="preserve"> </w:t>
      </w:r>
      <w:r>
        <w:rPr>
          <w:rFonts w:ascii="Times New Roman" w:hAnsi="Times New Roman"/>
          <w:bCs/>
          <w:lang w:val="bs-Latn-BA"/>
        </w:rPr>
        <w:t>постоје</w:t>
      </w:r>
      <w:r w:rsidR="009669CE" w:rsidRPr="00295637">
        <w:rPr>
          <w:rFonts w:ascii="Times New Roman" w:hAnsi="Times New Roman"/>
          <w:bCs/>
          <w:lang w:val="bs-Latn-BA"/>
        </w:rPr>
        <w:t xml:space="preserve"> </w:t>
      </w:r>
      <w:r>
        <w:rPr>
          <w:rFonts w:ascii="Times New Roman" w:hAnsi="Times New Roman"/>
          <w:bCs/>
          <w:lang w:val="bs-Latn-BA"/>
        </w:rPr>
        <w:t>изражене</w:t>
      </w:r>
      <w:r w:rsidR="009669CE" w:rsidRPr="00295637">
        <w:rPr>
          <w:rFonts w:ascii="Times New Roman" w:hAnsi="Times New Roman"/>
          <w:bCs/>
          <w:lang w:val="bs-Latn-BA"/>
        </w:rPr>
        <w:t xml:space="preserve"> </w:t>
      </w:r>
      <w:r>
        <w:rPr>
          <w:rFonts w:ascii="Times New Roman" w:hAnsi="Times New Roman"/>
          <w:bCs/>
          <w:lang w:val="bs-Latn-BA"/>
        </w:rPr>
        <w:t>родне</w:t>
      </w:r>
      <w:r w:rsidR="009669CE" w:rsidRPr="00295637">
        <w:rPr>
          <w:rFonts w:ascii="Times New Roman" w:hAnsi="Times New Roman"/>
          <w:bCs/>
          <w:lang w:val="bs-Latn-BA"/>
        </w:rPr>
        <w:t xml:space="preserve"> </w:t>
      </w:r>
      <w:r>
        <w:rPr>
          <w:rFonts w:ascii="Times New Roman" w:hAnsi="Times New Roman"/>
          <w:bCs/>
          <w:lang w:val="bs-Latn-BA"/>
        </w:rPr>
        <w:t>неједнакости</w:t>
      </w:r>
      <w:r w:rsidR="009669CE" w:rsidRPr="00295637">
        <w:rPr>
          <w:rFonts w:ascii="Times New Roman" w:hAnsi="Times New Roman"/>
          <w:bCs/>
          <w:lang w:val="bs-Latn-BA"/>
        </w:rPr>
        <w:t xml:space="preserve"> </w:t>
      </w:r>
      <w:r>
        <w:rPr>
          <w:rFonts w:ascii="Times New Roman" w:hAnsi="Times New Roman"/>
          <w:bCs/>
          <w:lang w:val="bs-Latn-BA"/>
        </w:rPr>
        <w:t>у</w:t>
      </w:r>
      <w:r w:rsidR="009669CE" w:rsidRPr="00295637">
        <w:rPr>
          <w:rFonts w:ascii="Times New Roman" w:hAnsi="Times New Roman"/>
          <w:bCs/>
          <w:lang w:val="bs-Latn-BA"/>
        </w:rPr>
        <w:t xml:space="preserve"> </w:t>
      </w:r>
      <w:r>
        <w:rPr>
          <w:rFonts w:ascii="Times New Roman" w:hAnsi="Times New Roman"/>
          <w:bCs/>
          <w:lang w:val="bs-Latn-BA"/>
        </w:rPr>
        <w:t>области</w:t>
      </w:r>
      <w:r w:rsidR="009669CE" w:rsidRPr="00295637">
        <w:rPr>
          <w:rFonts w:ascii="Times New Roman" w:hAnsi="Times New Roman"/>
          <w:bCs/>
          <w:lang w:val="bs-Latn-BA"/>
        </w:rPr>
        <w:t xml:space="preserve"> </w:t>
      </w:r>
      <w:r>
        <w:rPr>
          <w:rFonts w:ascii="Times New Roman" w:hAnsi="Times New Roman"/>
          <w:bCs/>
          <w:lang w:val="bs-Latn-BA"/>
        </w:rPr>
        <w:t>запошљавања</w:t>
      </w:r>
      <w:r w:rsidR="009669CE" w:rsidRPr="00295637">
        <w:rPr>
          <w:rFonts w:ascii="Times New Roman" w:hAnsi="Times New Roman"/>
          <w:bCs/>
          <w:lang w:val="bs-Latn-BA"/>
        </w:rPr>
        <w:t xml:space="preserve">, </w:t>
      </w:r>
      <w:r>
        <w:rPr>
          <w:rFonts w:ascii="Times New Roman" w:hAnsi="Times New Roman"/>
          <w:bCs/>
          <w:lang w:val="bs-Latn-BA"/>
        </w:rPr>
        <w:t>рада</w:t>
      </w:r>
      <w:r w:rsidR="009669CE" w:rsidRPr="00295637">
        <w:rPr>
          <w:rFonts w:ascii="Times New Roman" w:hAnsi="Times New Roman"/>
          <w:bCs/>
          <w:lang w:val="bs-Latn-BA"/>
        </w:rPr>
        <w:t xml:space="preserve"> </w:t>
      </w:r>
      <w:r>
        <w:rPr>
          <w:rFonts w:ascii="Times New Roman" w:hAnsi="Times New Roman"/>
          <w:bCs/>
          <w:lang w:val="bs-Latn-BA"/>
        </w:rPr>
        <w:t>и</w:t>
      </w:r>
      <w:r w:rsidR="009669CE" w:rsidRPr="00295637">
        <w:rPr>
          <w:rFonts w:ascii="Times New Roman" w:hAnsi="Times New Roman"/>
          <w:bCs/>
          <w:lang w:val="bs-Latn-BA"/>
        </w:rPr>
        <w:t xml:space="preserve"> </w:t>
      </w:r>
      <w:r>
        <w:rPr>
          <w:rFonts w:ascii="Times New Roman" w:hAnsi="Times New Roman"/>
          <w:bCs/>
          <w:lang w:val="bs-Latn-BA"/>
        </w:rPr>
        <w:t>приступа</w:t>
      </w:r>
      <w:r w:rsidR="009669CE" w:rsidRPr="00295637">
        <w:rPr>
          <w:rFonts w:ascii="Times New Roman" w:hAnsi="Times New Roman"/>
          <w:bCs/>
          <w:lang w:val="bs-Latn-BA"/>
        </w:rPr>
        <w:t xml:space="preserve"> </w:t>
      </w:r>
      <w:r>
        <w:rPr>
          <w:rFonts w:ascii="Times New Roman" w:hAnsi="Times New Roman"/>
          <w:bCs/>
          <w:lang w:val="bs-Latn-BA"/>
        </w:rPr>
        <w:t>свим</w:t>
      </w:r>
      <w:r w:rsidR="009669CE" w:rsidRPr="00295637">
        <w:rPr>
          <w:rFonts w:ascii="Times New Roman" w:hAnsi="Times New Roman"/>
          <w:bCs/>
          <w:lang w:val="bs-Latn-BA"/>
        </w:rPr>
        <w:t xml:space="preserve"> </w:t>
      </w:r>
      <w:r>
        <w:rPr>
          <w:rFonts w:ascii="Times New Roman" w:hAnsi="Times New Roman"/>
          <w:bCs/>
          <w:lang w:val="bs-Latn-BA"/>
        </w:rPr>
        <w:t>облицима</w:t>
      </w:r>
      <w:r w:rsidR="009669CE" w:rsidRPr="00295637">
        <w:rPr>
          <w:rFonts w:ascii="Times New Roman" w:hAnsi="Times New Roman"/>
          <w:bCs/>
          <w:lang w:val="bs-Latn-BA"/>
        </w:rPr>
        <w:t xml:space="preserve"> </w:t>
      </w:r>
      <w:r>
        <w:rPr>
          <w:rFonts w:ascii="Times New Roman" w:hAnsi="Times New Roman"/>
          <w:bCs/>
          <w:lang w:val="bs-Latn-BA"/>
        </w:rPr>
        <w:t>ресурса</w:t>
      </w:r>
      <w:r w:rsidR="009669CE" w:rsidRPr="00295637">
        <w:rPr>
          <w:rFonts w:ascii="Times New Roman" w:hAnsi="Times New Roman"/>
          <w:bCs/>
          <w:lang w:val="bs-Latn-BA"/>
        </w:rPr>
        <w:t>.</w:t>
      </w:r>
      <w:r w:rsidR="009E54A2" w:rsidRPr="00295637">
        <w:rPr>
          <w:rFonts w:ascii="Times New Roman" w:hAnsi="Times New Roman"/>
          <w:bCs/>
          <w:lang w:val="bs-Latn-BA"/>
        </w:rPr>
        <w:t xml:space="preserve"> </w:t>
      </w:r>
      <w:r>
        <w:rPr>
          <w:rFonts w:ascii="Times New Roman" w:hAnsi="Times New Roman"/>
          <w:lang w:val="bs-Latn-BA"/>
        </w:rPr>
        <w:t>У</w:t>
      </w:r>
      <w:r w:rsidR="009E54A2" w:rsidRPr="00295637">
        <w:rPr>
          <w:rFonts w:ascii="Times New Roman" w:hAnsi="Times New Roman"/>
          <w:lang w:val="bs-Latn-BA"/>
        </w:rPr>
        <w:t xml:space="preserve"> </w:t>
      </w:r>
      <w:r>
        <w:rPr>
          <w:rFonts w:ascii="Times New Roman" w:hAnsi="Times New Roman"/>
          <w:lang w:val="bs-Latn-BA"/>
        </w:rPr>
        <w:t>БиХ</w:t>
      </w:r>
      <w:r w:rsidR="009E54A2" w:rsidRPr="00295637">
        <w:rPr>
          <w:rFonts w:ascii="Times New Roman" w:hAnsi="Times New Roman"/>
          <w:lang w:val="bs-Latn-BA"/>
        </w:rPr>
        <w:t xml:space="preserve"> </w:t>
      </w:r>
      <w:r>
        <w:rPr>
          <w:rFonts w:ascii="Times New Roman" w:hAnsi="Times New Roman"/>
          <w:lang w:val="bs-Latn-BA"/>
        </w:rPr>
        <w:t>постоји</w:t>
      </w:r>
      <w:r w:rsidR="009669CE" w:rsidRPr="00295637">
        <w:rPr>
          <w:rFonts w:ascii="Times New Roman" w:hAnsi="Times New Roman"/>
          <w:lang w:val="bs-Latn-BA"/>
        </w:rPr>
        <w:t xml:space="preserve"> </w:t>
      </w:r>
      <w:r>
        <w:rPr>
          <w:rFonts w:ascii="Times New Roman" w:hAnsi="Times New Roman"/>
          <w:lang w:val="bs-Latn-BA"/>
        </w:rPr>
        <w:t>врло</w:t>
      </w:r>
      <w:r w:rsidR="009669CE" w:rsidRPr="00295637">
        <w:rPr>
          <w:rFonts w:ascii="Times New Roman" w:hAnsi="Times New Roman"/>
          <w:lang w:val="bs-Latn-BA"/>
        </w:rPr>
        <w:t xml:space="preserve"> </w:t>
      </w:r>
      <w:r>
        <w:rPr>
          <w:rFonts w:ascii="Times New Roman" w:hAnsi="Times New Roman"/>
          <w:lang w:val="bs-Latn-BA"/>
        </w:rPr>
        <w:t>јака</w:t>
      </w:r>
      <w:r w:rsidR="009669CE" w:rsidRPr="00295637">
        <w:rPr>
          <w:rFonts w:ascii="Times New Roman" w:hAnsi="Times New Roman"/>
          <w:lang w:val="bs-Latn-BA"/>
        </w:rPr>
        <w:t xml:space="preserve"> </w:t>
      </w:r>
      <w:r>
        <w:rPr>
          <w:rFonts w:ascii="Times New Roman" w:hAnsi="Times New Roman"/>
          <w:lang w:val="bs-Latn-BA"/>
        </w:rPr>
        <w:t>веза</w:t>
      </w:r>
      <w:r w:rsidR="009669CE" w:rsidRPr="00295637">
        <w:rPr>
          <w:rFonts w:ascii="Times New Roman" w:hAnsi="Times New Roman"/>
          <w:lang w:val="bs-Latn-BA"/>
        </w:rPr>
        <w:t xml:space="preserve"> </w:t>
      </w:r>
      <w:r>
        <w:rPr>
          <w:rFonts w:ascii="Times New Roman" w:hAnsi="Times New Roman"/>
          <w:lang w:val="bs-Latn-BA"/>
        </w:rPr>
        <w:t>између</w:t>
      </w:r>
      <w:r w:rsidR="009669CE" w:rsidRPr="00295637">
        <w:rPr>
          <w:rFonts w:ascii="Times New Roman" w:hAnsi="Times New Roman"/>
          <w:lang w:val="bs-Latn-BA"/>
        </w:rPr>
        <w:t xml:space="preserve"> </w:t>
      </w:r>
      <w:r>
        <w:rPr>
          <w:rFonts w:ascii="Times New Roman" w:hAnsi="Times New Roman"/>
          <w:lang w:val="bs-Latn-BA"/>
        </w:rPr>
        <w:t>друштвене</w:t>
      </w:r>
      <w:r w:rsidR="009669CE" w:rsidRPr="00295637">
        <w:rPr>
          <w:rFonts w:ascii="Times New Roman" w:hAnsi="Times New Roman"/>
          <w:lang w:val="bs-Latn-BA"/>
        </w:rPr>
        <w:t xml:space="preserve"> </w:t>
      </w:r>
      <w:r>
        <w:rPr>
          <w:rFonts w:ascii="Times New Roman" w:hAnsi="Times New Roman"/>
          <w:lang w:val="bs-Latn-BA"/>
        </w:rPr>
        <w:t>улоге</w:t>
      </w:r>
      <w:r w:rsidR="009669CE" w:rsidRPr="00295637">
        <w:rPr>
          <w:rFonts w:ascii="Times New Roman" w:hAnsi="Times New Roman"/>
          <w:lang w:val="bs-Latn-BA"/>
        </w:rPr>
        <w:t xml:space="preserve"> </w:t>
      </w:r>
      <w:r>
        <w:rPr>
          <w:rFonts w:ascii="Times New Roman" w:hAnsi="Times New Roman"/>
          <w:lang w:val="bs-Latn-BA"/>
        </w:rPr>
        <w:t>жена</w:t>
      </w:r>
      <w:r w:rsidR="009669CE" w:rsidRPr="00295637">
        <w:rPr>
          <w:rFonts w:ascii="Times New Roman" w:hAnsi="Times New Roman"/>
          <w:lang w:val="bs-Latn-BA"/>
        </w:rPr>
        <w:t xml:space="preserve">, </w:t>
      </w:r>
      <w:r>
        <w:rPr>
          <w:rFonts w:ascii="Times New Roman" w:hAnsi="Times New Roman"/>
          <w:lang w:val="bs-Latn-BA"/>
        </w:rPr>
        <w:t>њиховог</w:t>
      </w:r>
      <w:r w:rsidR="009669CE" w:rsidRPr="00295637">
        <w:rPr>
          <w:rFonts w:ascii="Times New Roman" w:hAnsi="Times New Roman"/>
          <w:lang w:val="bs-Latn-BA"/>
        </w:rPr>
        <w:t xml:space="preserve"> </w:t>
      </w:r>
      <w:r>
        <w:rPr>
          <w:rFonts w:ascii="Times New Roman" w:hAnsi="Times New Roman"/>
          <w:lang w:val="bs-Latn-BA"/>
        </w:rPr>
        <w:t>образовања</w:t>
      </w:r>
      <w:r w:rsidR="009669CE" w:rsidRPr="00295637">
        <w:rPr>
          <w:rFonts w:ascii="Times New Roman" w:hAnsi="Times New Roman"/>
          <w:lang w:val="bs-Latn-BA"/>
        </w:rPr>
        <w:t xml:space="preserve">, </w:t>
      </w:r>
      <w:r>
        <w:rPr>
          <w:rFonts w:ascii="Times New Roman" w:hAnsi="Times New Roman"/>
          <w:lang w:val="bs-Latn-BA"/>
        </w:rPr>
        <w:t>занимања</w:t>
      </w:r>
      <w:r w:rsidR="009669CE" w:rsidRPr="00295637">
        <w:rPr>
          <w:rFonts w:ascii="Times New Roman" w:hAnsi="Times New Roman"/>
          <w:lang w:val="bs-Latn-BA"/>
        </w:rPr>
        <w:t xml:space="preserve"> </w:t>
      </w:r>
      <w:r>
        <w:rPr>
          <w:rFonts w:ascii="Times New Roman" w:hAnsi="Times New Roman"/>
          <w:lang w:val="bs-Latn-BA"/>
        </w:rPr>
        <w:t>и</w:t>
      </w:r>
      <w:r w:rsidR="009669CE" w:rsidRPr="00295637">
        <w:rPr>
          <w:rFonts w:ascii="Times New Roman" w:hAnsi="Times New Roman"/>
          <w:lang w:val="bs-Latn-BA"/>
        </w:rPr>
        <w:t xml:space="preserve"> </w:t>
      </w:r>
      <w:r>
        <w:rPr>
          <w:rFonts w:ascii="Times New Roman" w:hAnsi="Times New Roman"/>
          <w:lang w:val="bs-Latn-BA"/>
        </w:rPr>
        <w:t>положаја</w:t>
      </w:r>
      <w:r w:rsidR="009669CE" w:rsidRPr="00295637">
        <w:rPr>
          <w:rFonts w:ascii="Times New Roman" w:hAnsi="Times New Roman"/>
          <w:lang w:val="bs-Latn-BA"/>
        </w:rPr>
        <w:t xml:space="preserve"> </w:t>
      </w:r>
      <w:r>
        <w:rPr>
          <w:rFonts w:ascii="Times New Roman" w:hAnsi="Times New Roman"/>
          <w:lang w:val="bs-Latn-BA"/>
        </w:rPr>
        <w:t>на</w:t>
      </w:r>
      <w:r w:rsidR="009669CE" w:rsidRPr="00295637">
        <w:rPr>
          <w:rFonts w:ascii="Times New Roman" w:hAnsi="Times New Roman"/>
          <w:lang w:val="bs-Latn-BA"/>
        </w:rPr>
        <w:t xml:space="preserve"> </w:t>
      </w:r>
      <w:r>
        <w:rPr>
          <w:rFonts w:ascii="Times New Roman" w:hAnsi="Times New Roman"/>
          <w:lang w:val="bs-Latn-BA"/>
        </w:rPr>
        <w:t>тржишту</w:t>
      </w:r>
      <w:r w:rsidR="009669CE" w:rsidRPr="00295637">
        <w:rPr>
          <w:rFonts w:ascii="Times New Roman" w:hAnsi="Times New Roman"/>
          <w:lang w:val="bs-Latn-BA"/>
        </w:rPr>
        <w:t xml:space="preserve"> </w:t>
      </w:r>
      <w:r>
        <w:rPr>
          <w:rFonts w:ascii="Times New Roman" w:hAnsi="Times New Roman"/>
          <w:lang w:val="bs-Latn-BA"/>
        </w:rPr>
        <w:t>рада</w:t>
      </w:r>
      <w:r w:rsidR="009669CE" w:rsidRPr="00295637">
        <w:rPr>
          <w:rFonts w:ascii="Times New Roman" w:hAnsi="Times New Roman"/>
          <w:lang w:val="bs-Latn-BA"/>
        </w:rPr>
        <w:t xml:space="preserve">. </w:t>
      </w:r>
      <w:r>
        <w:rPr>
          <w:rFonts w:ascii="Times New Roman" w:hAnsi="Times New Roman"/>
          <w:lang w:val="bs-Latn-BA"/>
        </w:rPr>
        <w:t>Једнаке</w:t>
      </w:r>
      <w:r w:rsidR="009669CE" w:rsidRPr="00295637">
        <w:rPr>
          <w:rFonts w:ascii="Times New Roman" w:hAnsi="Times New Roman"/>
          <w:lang w:val="bs-Latn-BA"/>
        </w:rPr>
        <w:t xml:space="preserve"> </w:t>
      </w:r>
      <w:r>
        <w:rPr>
          <w:rFonts w:ascii="Times New Roman" w:hAnsi="Times New Roman"/>
          <w:lang w:val="bs-Latn-BA"/>
        </w:rPr>
        <w:t>могућности</w:t>
      </w:r>
      <w:r w:rsidR="009669CE" w:rsidRPr="00295637">
        <w:rPr>
          <w:rFonts w:ascii="Times New Roman" w:hAnsi="Times New Roman"/>
          <w:lang w:val="bs-Latn-BA"/>
        </w:rPr>
        <w:t xml:space="preserve"> </w:t>
      </w:r>
      <w:r>
        <w:rPr>
          <w:rFonts w:ascii="Times New Roman" w:hAnsi="Times New Roman"/>
          <w:lang w:val="bs-Latn-BA"/>
        </w:rPr>
        <w:t>на</w:t>
      </w:r>
      <w:r w:rsidR="009669CE" w:rsidRPr="00295637">
        <w:rPr>
          <w:rFonts w:ascii="Times New Roman" w:hAnsi="Times New Roman"/>
          <w:lang w:val="bs-Latn-BA"/>
        </w:rPr>
        <w:t xml:space="preserve"> </w:t>
      </w:r>
      <w:r>
        <w:rPr>
          <w:rFonts w:ascii="Times New Roman" w:hAnsi="Times New Roman"/>
          <w:lang w:val="bs-Latn-BA"/>
        </w:rPr>
        <w:t>тржишту</w:t>
      </w:r>
      <w:r w:rsidR="009669CE" w:rsidRPr="00295637">
        <w:rPr>
          <w:rFonts w:ascii="Times New Roman" w:hAnsi="Times New Roman"/>
          <w:lang w:val="bs-Latn-BA"/>
        </w:rPr>
        <w:t xml:space="preserve"> </w:t>
      </w:r>
      <w:r>
        <w:rPr>
          <w:rFonts w:ascii="Times New Roman" w:hAnsi="Times New Roman"/>
          <w:lang w:val="bs-Latn-BA"/>
        </w:rPr>
        <w:t>рада</w:t>
      </w:r>
      <w:r w:rsidR="009669CE" w:rsidRPr="00295637">
        <w:rPr>
          <w:rFonts w:ascii="Times New Roman" w:hAnsi="Times New Roman"/>
          <w:lang w:val="bs-Latn-BA"/>
        </w:rPr>
        <w:t xml:space="preserve"> </w:t>
      </w:r>
      <w:r>
        <w:rPr>
          <w:rFonts w:ascii="Times New Roman" w:hAnsi="Times New Roman"/>
          <w:lang w:val="bs-Latn-BA"/>
        </w:rPr>
        <w:t>и</w:t>
      </w:r>
      <w:r w:rsidR="009669CE" w:rsidRPr="00295637">
        <w:rPr>
          <w:rFonts w:ascii="Times New Roman" w:hAnsi="Times New Roman"/>
          <w:lang w:val="bs-Latn-BA"/>
        </w:rPr>
        <w:t xml:space="preserve"> </w:t>
      </w:r>
      <w:r>
        <w:rPr>
          <w:rFonts w:ascii="Times New Roman" w:hAnsi="Times New Roman"/>
          <w:lang w:val="bs-Latn-BA"/>
        </w:rPr>
        <w:t>у</w:t>
      </w:r>
      <w:r w:rsidR="00870AE1">
        <w:rPr>
          <w:rFonts w:ascii="Times New Roman" w:hAnsi="Times New Roman"/>
          <w:lang w:val="bs-Latn-BA"/>
        </w:rPr>
        <w:t xml:space="preserve"> </w:t>
      </w:r>
      <w:r>
        <w:rPr>
          <w:rFonts w:ascii="Times New Roman" w:hAnsi="Times New Roman"/>
          <w:lang w:val="bs-Latn-BA"/>
        </w:rPr>
        <w:t>економском</w:t>
      </w:r>
      <w:r w:rsidR="00870AE1">
        <w:rPr>
          <w:rFonts w:ascii="Times New Roman" w:hAnsi="Times New Roman"/>
          <w:lang w:val="bs-Latn-BA"/>
        </w:rPr>
        <w:t xml:space="preserve"> </w:t>
      </w:r>
      <w:r>
        <w:rPr>
          <w:rFonts w:ascii="Times New Roman" w:hAnsi="Times New Roman"/>
          <w:lang w:val="bs-Latn-BA"/>
        </w:rPr>
        <w:t>животу</w:t>
      </w:r>
      <w:r w:rsidR="00870AE1">
        <w:rPr>
          <w:rFonts w:ascii="Times New Roman" w:hAnsi="Times New Roman"/>
          <w:lang w:val="bs-Latn-BA"/>
        </w:rPr>
        <w:t xml:space="preserve">, </w:t>
      </w:r>
      <w:r>
        <w:rPr>
          <w:rFonts w:ascii="Times New Roman" w:hAnsi="Times New Roman"/>
          <w:lang w:val="bs-Latn-BA"/>
        </w:rPr>
        <w:t>економска</w:t>
      </w:r>
      <w:r w:rsidR="00870AE1">
        <w:rPr>
          <w:rFonts w:ascii="Times New Roman" w:hAnsi="Times New Roman"/>
          <w:lang w:val="bs-Latn-BA"/>
        </w:rPr>
        <w:t xml:space="preserve"> </w:t>
      </w:r>
      <w:r>
        <w:rPr>
          <w:rFonts w:ascii="Times New Roman" w:hAnsi="Times New Roman"/>
          <w:lang w:val="bs-Latn-BA"/>
        </w:rPr>
        <w:t>независност</w:t>
      </w:r>
      <w:r w:rsidR="009669CE" w:rsidRPr="00295637">
        <w:rPr>
          <w:rFonts w:ascii="Times New Roman" w:hAnsi="Times New Roman"/>
          <w:lang w:val="bs-Latn-BA"/>
        </w:rPr>
        <w:t xml:space="preserve"> </w:t>
      </w:r>
      <w:r>
        <w:rPr>
          <w:rFonts w:ascii="Times New Roman" w:hAnsi="Times New Roman"/>
          <w:lang w:val="bs-Latn-BA"/>
        </w:rPr>
        <w:t>и</w:t>
      </w:r>
      <w:r w:rsidR="009669CE" w:rsidRPr="00295637">
        <w:rPr>
          <w:rFonts w:ascii="Times New Roman" w:hAnsi="Times New Roman"/>
          <w:lang w:val="bs-Latn-BA"/>
        </w:rPr>
        <w:t xml:space="preserve"> </w:t>
      </w:r>
      <w:r>
        <w:rPr>
          <w:rFonts w:ascii="Times New Roman" w:hAnsi="Times New Roman"/>
          <w:lang w:val="bs-Latn-BA"/>
        </w:rPr>
        <w:t>могућност</w:t>
      </w:r>
      <w:r w:rsidR="009669CE" w:rsidRPr="00295637">
        <w:rPr>
          <w:rFonts w:ascii="Times New Roman" w:hAnsi="Times New Roman"/>
          <w:lang w:val="bs-Latn-BA"/>
        </w:rPr>
        <w:t xml:space="preserve"> </w:t>
      </w:r>
      <w:r>
        <w:rPr>
          <w:rFonts w:ascii="Times New Roman" w:hAnsi="Times New Roman"/>
          <w:lang w:val="bs-Latn-BA"/>
        </w:rPr>
        <w:t>доношења</w:t>
      </w:r>
      <w:r w:rsidR="009669CE" w:rsidRPr="00295637">
        <w:rPr>
          <w:rFonts w:ascii="Times New Roman" w:hAnsi="Times New Roman"/>
          <w:lang w:val="bs-Latn-BA"/>
        </w:rPr>
        <w:t xml:space="preserve"> </w:t>
      </w:r>
      <w:r>
        <w:rPr>
          <w:rFonts w:ascii="Times New Roman" w:hAnsi="Times New Roman"/>
          <w:lang w:val="bs-Latn-BA"/>
        </w:rPr>
        <w:t>одлука</w:t>
      </w:r>
      <w:r w:rsidR="009669CE" w:rsidRPr="00295637">
        <w:rPr>
          <w:rFonts w:ascii="Times New Roman" w:hAnsi="Times New Roman"/>
          <w:lang w:val="bs-Latn-BA"/>
        </w:rPr>
        <w:t xml:space="preserve"> </w:t>
      </w:r>
      <w:r>
        <w:rPr>
          <w:rFonts w:ascii="Times New Roman" w:hAnsi="Times New Roman"/>
          <w:lang w:val="bs-Latn-BA"/>
        </w:rPr>
        <w:t>унутар</w:t>
      </w:r>
      <w:r w:rsidR="009669CE" w:rsidRPr="00295637">
        <w:rPr>
          <w:rFonts w:ascii="Times New Roman" w:hAnsi="Times New Roman"/>
          <w:lang w:val="bs-Latn-BA"/>
        </w:rPr>
        <w:t xml:space="preserve"> </w:t>
      </w:r>
      <w:r>
        <w:rPr>
          <w:rFonts w:ascii="Times New Roman" w:hAnsi="Times New Roman"/>
          <w:lang w:val="bs-Latn-BA"/>
        </w:rPr>
        <w:t>економских</w:t>
      </w:r>
      <w:r w:rsidR="009669CE" w:rsidRPr="00295637">
        <w:rPr>
          <w:rFonts w:ascii="Times New Roman" w:hAnsi="Times New Roman"/>
          <w:lang w:val="bs-Latn-BA"/>
        </w:rPr>
        <w:t xml:space="preserve"> </w:t>
      </w:r>
      <w:r>
        <w:rPr>
          <w:rFonts w:ascii="Times New Roman" w:hAnsi="Times New Roman"/>
          <w:lang w:val="bs-Latn-BA"/>
        </w:rPr>
        <w:t>структура</w:t>
      </w:r>
      <w:r w:rsidR="009669CE" w:rsidRPr="00295637">
        <w:rPr>
          <w:rFonts w:ascii="Times New Roman" w:hAnsi="Times New Roman"/>
          <w:lang w:val="bs-Latn-BA"/>
        </w:rPr>
        <w:t xml:space="preserve"> </w:t>
      </w:r>
      <w:r>
        <w:rPr>
          <w:rFonts w:ascii="Times New Roman" w:hAnsi="Times New Roman"/>
          <w:lang w:val="bs-Latn-BA"/>
        </w:rPr>
        <w:t>од</w:t>
      </w:r>
      <w:r w:rsidR="009669CE" w:rsidRPr="00295637">
        <w:rPr>
          <w:rFonts w:ascii="Times New Roman" w:hAnsi="Times New Roman"/>
          <w:lang w:val="bs-Latn-BA"/>
        </w:rPr>
        <w:t xml:space="preserve"> </w:t>
      </w:r>
      <w:r>
        <w:rPr>
          <w:rFonts w:ascii="Times New Roman" w:hAnsi="Times New Roman"/>
          <w:lang w:val="bs-Latn-BA"/>
        </w:rPr>
        <w:t>виталног</w:t>
      </w:r>
      <w:r w:rsidR="009669CE" w:rsidRPr="00295637">
        <w:rPr>
          <w:rFonts w:ascii="Times New Roman" w:hAnsi="Times New Roman"/>
          <w:lang w:val="bs-Latn-BA"/>
        </w:rPr>
        <w:t xml:space="preserve"> </w:t>
      </w:r>
      <w:r>
        <w:rPr>
          <w:rFonts w:ascii="Times New Roman" w:hAnsi="Times New Roman"/>
          <w:lang w:val="bs-Latn-BA"/>
        </w:rPr>
        <w:t>су</w:t>
      </w:r>
      <w:r w:rsidR="009669CE" w:rsidRPr="00295637">
        <w:rPr>
          <w:rFonts w:ascii="Times New Roman" w:hAnsi="Times New Roman"/>
          <w:lang w:val="bs-Latn-BA"/>
        </w:rPr>
        <w:t xml:space="preserve"> </w:t>
      </w:r>
      <w:r>
        <w:rPr>
          <w:rFonts w:ascii="Times New Roman" w:hAnsi="Times New Roman"/>
          <w:lang w:val="bs-Latn-BA"/>
        </w:rPr>
        <w:t>значаја</w:t>
      </w:r>
      <w:r w:rsidR="009669CE" w:rsidRPr="00295637">
        <w:rPr>
          <w:rFonts w:ascii="Times New Roman" w:hAnsi="Times New Roman"/>
          <w:lang w:val="bs-Latn-BA"/>
        </w:rPr>
        <w:t xml:space="preserve"> </w:t>
      </w:r>
      <w:r>
        <w:rPr>
          <w:rFonts w:ascii="Times New Roman" w:hAnsi="Times New Roman"/>
          <w:lang w:val="bs-Latn-BA"/>
        </w:rPr>
        <w:t>за</w:t>
      </w:r>
      <w:r w:rsidR="009669CE" w:rsidRPr="00295637">
        <w:rPr>
          <w:rFonts w:ascii="Times New Roman" w:hAnsi="Times New Roman"/>
          <w:lang w:val="bs-Latn-BA"/>
        </w:rPr>
        <w:t xml:space="preserve"> </w:t>
      </w:r>
      <w:r>
        <w:rPr>
          <w:rFonts w:ascii="Times New Roman" w:hAnsi="Times New Roman"/>
          <w:lang w:val="bs-Latn-BA"/>
        </w:rPr>
        <w:t>остварење</w:t>
      </w:r>
      <w:r w:rsidR="009669CE" w:rsidRPr="00295637">
        <w:rPr>
          <w:rFonts w:ascii="Times New Roman" w:hAnsi="Times New Roman"/>
          <w:lang w:val="bs-Latn-BA"/>
        </w:rPr>
        <w:t xml:space="preserve"> </w:t>
      </w:r>
      <w:r>
        <w:rPr>
          <w:rFonts w:ascii="Times New Roman" w:hAnsi="Times New Roman"/>
          <w:lang w:val="bs-Latn-BA"/>
        </w:rPr>
        <w:t>равноправности</w:t>
      </w:r>
      <w:r w:rsidR="009669CE" w:rsidRPr="00295637">
        <w:rPr>
          <w:rFonts w:ascii="Times New Roman" w:hAnsi="Times New Roman"/>
          <w:lang w:val="bs-Latn-BA"/>
        </w:rPr>
        <w:t xml:space="preserve"> </w:t>
      </w:r>
      <w:r>
        <w:rPr>
          <w:rFonts w:ascii="Times New Roman" w:hAnsi="Times New Roman"/>
          <w:lang w:val="bs-Latn-BA"/>
        </w:rPr>
        <w:t>полова</w:t>
      </w:r>
      <w:r w:rsidR="009669CE" w:rsidRPr="00295637">
        <w:rPr>
          <w:rFonts w:ascii="Times New Roman" w:hAnsi="Times New Roman"/>
          <w:lang w:val="bs-Latn-BA"/>
        </w:rPr>
        <w:t xml:space="preserve">. </w:t>
      </w:r>
    </w:p>
    <w:p w:rsidR="00E40D2F" w:rsidRPr="00295637" w:rsidRDefault="00E40D2F" w:rsidP="0086268D">
      <w:pPr>
        <w:jc w:val="both"/>
        <w:rPr>
          <w:rFonts w:ascii="BundesSansOfficeT" w:hAnsi="BundesSansOfficeT" w:cs="BundesSansOfficeT"/>
          <w:sz w:val="19"/>
          <w:szCs w:val="19"/>
          <w:lang w:val="en-US"/>
        </w:rPr>
      </w:pPr>
    </w:p>
    <w:p w:rsidR="00804284" w:rsidRPr="00295637" w:rsidRDefault="00C6214E" w:rsidP="0086268D">
      <w:pPr>
        <w:autoSpaceDE w:val="0"/>
        <w:autoSpaceDN w:val="0"/>
        <w:adjustRightInd w:val="0"/>
        <w:jc w:val="both"/>
        <w:rPr>
          <w:rFonts w:ascii="Times New Roman" w:hAnsi="Times New Roman"/>
          <w:szCs w:val="24"/>
          <w:lang w:val="en-US"/>
        </w:rPr>
      </w:pPr>
      <w:r>
        <w:rPr>
          <w:rFonts w:ascii="Times New Roman" w:hAnsi="Times New Roman"/>
          <w:szCs w:val="24"/>
          <w:lang w:val="hr-HR"/>
        </w:rPr>
        <w:t>Иако</w:t>
      </w:r>
      <w:r w:rsidR="00804284" w:rsidRPr="006820FB">
        <w:rPr>
          <w:rFonts w:ascii="Times New Roman" w:hAnsi="Times New Roman"/>
          <w:szCs w:val="24"/>
          <w:lang w:val="hr-HR"/>
        </w:rPr>
        <w:t xml:space="preserve"> </w:t>
      </w:r>
      <w:r>
        <w:rPr>
          <w:rFonts w:ascii="Times New Roman" w:hAnsi="Times New Roman"/>
          <w:szCs w:val="24"/>
          <w:lang w:val="hr-HR"/>
        </w:rPr>
        <w:t>жене</w:t>
      </w:r>
      <w:r w:rsidR="00804284" w:rsidRPr="006820FB">
        <w:rPr>
          <w:rFonts w:ascii="Times New Roman" w:hAnsi="Times New Roman"/>
          <w:szCs w:val="24"/>
          <w:lang w:val="hr-HR"/>
        </w:rPr>
        <w:t xml:space="preserve"> </w:t>
      </w:r>
      <w:r>
        <w:rPr>
          <w:rFonts w:ascii="Times New Roman" w:hAnsi="Times New Roman"/>
          <w:szCs w:val="24"/>
          <w:lang w:val="hr-HR"/>
        </w:rPr>
        <w:t>представљају</w:t>
      </w:r>
      <w:r w:rsidR="00804284" w:rsidRPr="006820FB">
        <w:rPr>
          <w:rFonts w:ascii="Times New Roman" w:hAnsi="Times New Roman"/>
          <w:szCs w:val="24"/>
          <w:lang w:val="hr-HR"/>
        </w:rPr>
        <w:t xml:space="preserve"> </w:t>
      </w:r>
      <w:r>
        <w:rPr>
          <w:rFonts w:ascii="Times New Roman" w:hAnsi="Times New Roman"/>
          <w:szCs w:val="24"/>
          <w:lang w:val="hr-HR"/>
        </w:rPr>
        <w:t>више</w:t>
      </w:r>
      <w:r w:rsidR="00804284" w:rsidRPr="006820FB">
        <w:rPr>
          <w:rFonts w:ascii="Times New Roman" w:hAnsi="Times New Roman"/>
          <w:szCs w:val="24"/>
          <w:lang w:val="hr-HR"/>
        </w:rPr>
        <w:t xml:space="preserve"> </w:t>
      </w:r>
      <w:r>
        <w:rPr>
          <w:rFonts w:ascii="Times New Roman" w:hAnsi="Times New Roman"/>
          <w:szCs w:val="24"/>
          <w:lang w:val="hr-HR"/>
        </w:rPr>
        <w:t>од</w:t>
      </w:r>
      <w:r w:rsidR="00804284" w:rsidRPr="006820FB">
        <w:rPr>
          <w:rFonts w:ascii="Times New Roman" w:hAnsi="Times New Roman"/>
          <w:szCs w:val="24"/>
          <w:lang w:val="hr-HR"/>
        </w:rPr>
        <w:t xml:space="preserve"> </w:t>
      </w:r>
      <w:r>
        <w:rPr>
          <w:rFonts w:ascii="Times New Roman" w:hAnsi="Times New Roman"/>
          <w:szCs w:val="24"/>
          <w:lang w:val="hr-HR"/>
        </w:rPr>
        <w:t>половине</w:t>
      </w:r>
      <w:r w:rsidR="00D30E48">
        <w:rPr>
          <w:rFonts w:ascii="Times New Roman" w:hAnsi="Times New Roman"/>
          <w:szCs w:val="24"/>
          <w:lang w:val="hr-HR"/>
        </w:rPr>
        <w:t xml:space="preserve"> </w:t>
      </w:r>
      <w:r>
        <w:rPr>
          <w:rFonts w:ascii="Times New Roman" w:hAnsi="Times New Roman"/>
          <w:szCs w:val="24"/>
          <w:lang w:val="hr-HR"/>
        </w:rPr>
        <w:t>БиХ</w:t>
      </w:r>
      <w:r w:rsidR="00804284" w:rsidRPr="006820FB">
        <w:rPr>
          <w:rFonts w:ascii="Times New Roman" w:hAnsi="Times New Roman"/>
          <w:szCs w:val="24"/>
          <w:lang w:val="hr-HR"/>
        </w:rPr>
        <w:t xml:space="preserve"> </w:t>
      </w:r>
      <w:r>
        <w:rPr>
          <w:rFonts w:ascii="Times New Roman" w:hAnsi="Times New Roman"/>
          <w:szCs w:val="24"/>
          <w:lang w:val="hr-HR"/>
        </w:rPr>
        <w:t>популације</w:t>
      </w:r>
      <w:r w:rsidR="00804284" w:rsidRPr="006820FB">
        <w:rPr>
          <w:rFonts w:ascii="Times New Roman" w:hAnsi="Times New Roman"/>
          <w:szCs w:val="24"/>
          <w:lang w:val="hr-HR"/>
        </w:rPr>
        <w:t xml:space="preserve">, </w:t>
      </w:r>
      <w:r>
        <w:rPr>
          <w:rFonts w:ascii="Times New Roman" w:hAnsi="Times New Roman"/>
          <w:szCs w:val="24"/>
          <w:lang w:val="hr-HR"/>
        </w:rPr>
        <w:t>у</w:t>
      </w:r>
      <w:r w:rsidR="00804284" w:rsidRPr="006820FB">
        <w:rPr>
          <w:rFonts w:ascii="Times New Roman" w:hAnsi="Times New Roman"/>
          <w:szCs w:val="24"/>
          <w:lang w:val="hr-HR"/>
        </w:rPr>
        <w:t xml:space="preserve"> </w:t>
      </w:r>
      <w:r>
        <w:rPr>
          <w:rFonts w:ascii="Times New Roman" w:hAnsi="Times New Roman"/>
          <w:szCs w:val="24"/>
          <w:lang w:val="hr-HR"/>
        </w:rPr>
        <w:t>сфери</w:t>
      </w:r>
      <w:r w:rsidR="00804284" w:rsidRPr="006820FB">
        <w:rPr>
          <w:rFonts w:ascii="Times New Roman" w:hAnsi="Times New Roman"/>
          <w:szCs w:val="24"/>
          <w:lang w:val="hr-HR"/>
        </w:rPr>
        <w:t xml:space="preserve"> </w:t>
      </w:r>
      <w:r>
        <w:rPr>
          <w:rFonts w:ascii="Times New Roman" w:hAnsi="Times New Roman"/>
          <w:szCs w:val="24"/>
          <w:lang w:val="hr-HR"/>
        </w:rPr>
        <w:t>формалне</w:t>
      </w:r>
      <w:r w:rsidR="00804284" w:rsidRPr="006820FB">
        <w:rPr>
          <w:rFonts w:ascii="Times New Roman" w:hAnsi="Times New Roman"/>
          <w:szCs w:val="24"/>
          <w:lang w:val="hr-HR"/>
        </w:rPr>
        <w:t xml:space="preserve"> </w:t>
      </w:r>
      <w:r>
        <w:rPr>
          <w:rFonts w:ascii="Times New Roman" w:hAnsi="Times New Roman"/>
          <w:szCs w:val="24"/>
          <w:lang w:val="hr-HR"/>
        </w:rPr>
        <w:t>економије</w:t>
      </w:r>
      <w:r w:rsidR="00804284" w:rsidRPr="006820FB">
        <w:rPr>
          <w:rFonts w:ascii="Times New Roman" w:hAnsi="Times New Roman"/>
          <w:szCs w:val="24"/>
          <w:lang w:val="hr-HR"/>
        </w:rPr>
        <w:t xml:space="preserve"> </w:t>
      </w:r>
      <w:r>
        <w:rPr>
          <w:rFonts w:ascii="Times New Roman" w:hAnsi="Times New Roman"/>
          <w:szCs w:val="24"/>
          <w:lang w:val="hr-HR"/>
        </w:rPr>
        <w:t>и</w:t>
      </w:r>
      <w:r w:rsidR="00804284" w:rsidRPr="006820FB">
        <w:rPr>
          <w:rFonts w:ascii="Times New Roman" w:hAnsi="Times New Roman"/>
          <w:szCs w:val="24"/>
          <w:lang w:val="hr-HR"/>
        </w:rPr>
        <w:t xml:space="preserve"> </w:t>
      </w:r>
      <w:r>
        <w:rPr>
          <w:rFonts w:ascii="Times New Roman" w:hAnsi="Times New Roman"/>
          <w:szCs w:val="24"/>
          <w:lang w:val="hr-HR"/>
        </w:rPr>
        <w:t>предузетништва</w:t>
      </w:r>
      <w:r w:rsidR="00804284" w:rsidRPr="006820FB">
        <w:rPr>
          <w:rFonts w:ascii="Times New Roman" w:hAnsi="Times New Roman"/>
          <w:szCs w:val="24"/>
          <w:lang w:val="hr-HR"/>
        </w:rPr>
        <w:t xml:space="preserve"> </w:t>
      </w:r>
      <w:r>
        <w:rPr>
          <w:rFonts w:ascii="Times New Roman" w:hAnsi="Times New Roman"/>
          <w:szCs w:val="24"/>
          <w:lang w:val="hr-HR"/>
        </w:rPr>
        <w:t>оне</w:t>
      </w:r>
      <w:r w:rsidR="00804284" w:rsidRPr="006820FB">
        <w:rPr>
          <w:rFonts w:ascii="Times New Roman" w:hAnsi="Times New Roman"/>
          <w:szCs w:val="24"/>
          <w:lang w:val="hr-HR"/>
        </w:rPr>
        <w:t xml:space="preserve"> </w:t>
      </w:r>
      <w:r>
        <w:rPr>
          <w:rFonts w:ascii="Times New Roman" w:hAnsi="Times New Roman"/>
          <w:szCs w:val="24"/>
          <w:lang w:val="hr-HR"/>
        </w:rPr>
        <w:t>су</w:t>
      </w:r>
      <w:r w:rsidR="00804284" w:rsidRPr="006820FB">
        <w:rPr>
          <w:rFonts w:ascii="Times New Roman" w:hAnsi="Times New Roman"/>
          <w:szCs w:val="24"/>
          <w:lang w:val="hr-HR"/>
        </w:rPr>
        <w:t xml:space="preserve"> </w:t>
      </w:r>
      <w:r>
        <w:rPr>
          <w:rFonts w:ascii="Times New Roman" w:hAnsi="Times New Roman"/>
          <w:szCs w:val="24"/>
          <w:lang w:val="hr-HR"/>
        </w:rPr>
        <w:t>мањина</w:t>
      </w:r>
      <w:r w:rsidR="00870AE1">
        <w:rPr>
          <w:rFonts w:ascii="Times New Roman" w:hAnsi="Times New Roman"/>
          <w:szCs w:val="24"/>
          <w:lang w:val="hr-HR"/>
        </w:rPr>
        <w:t xml:space="preserve">, </w:t>
      </w:r>
      <w:r>
        <w:rPr>
          <w:rFonts w:ascii="Times New Roman" w:hAnsi="Times New Roman"/>
          <w:szCs w:val="24"/>
          <w:lang w:val="hr-HR"/>
        </w:rPr>
        <w:t>углавном</w:t>
      </w:r>
      <w:r w:rsidR="00804284" w:rsidRPr="006820FB">
        <w:rPr>
          <w:rFonts w:ascii="Times New Roman" w:hAnsi="Times New Roman"/>
          <w:szCs w:val="24"/>
          <w:lang w:val="hr-HR"/>
        </w:rPr>
        <w:t xml:space="preserve"> </w:t>
      </w:r>
      <w:r>
        <w:rPr>
          <w:rFonts w:ascii="Times New Roman" w:hAnsi="Times New Roman"/>
          <w:szCs w:val="24"/>
          <w:lang w:val="hr-HR"/>
        </w:rPr>
        <w:t>због</w:t>
      </w:r>
      <w:r w:rsidR="00804284" w:rsidRPr="006820FB">
        <w:rPr>
          <w:rFonts w:ascii="Times New Roman" w:hAnsi="Times New Roman"/>
          <w:szCs w:val="24"/>
          <w:lang w:val="hr-HR"/>
        </w:rPr>
        <w:t xml:space="preserve"> </w:t>
      </w:r>
      <w:r>
        <w:rPr>
          <w:rFonts w:ascii="Times New Roman" w:hAnsi="Times New Roman"/>
          <w:szCs w:val="24"/>
          <w:lang w:val="hr-HR"/>
        </w:rPr>
        <w:t>социјалног</w:t>
      </w:r>
      <w:r w:rsidR="00804284" w:rsidRPr="006820FB">
        <w:rPr>
          <w:rFonts w:ascii="Times New Roman" w:hAnsi="Times New Roman"/>
          <w:szCs w:val="24"/>
          <w:lang w:val="hr-HR"/>
        </w:rPr>
        <w:t xml:space="preserve">, </w:t>
      </w:r>
      <w:r>
        <w:rPr>
          <w:rFonts w:ascii="Times New Roman" w:hAnsi="Times New Roman"/>
          <w:szCs w:val="24"/>
          <w:lang w:val="hr-HR"/>
        </w:rPr>
        <w:t>економског</w:t>
      </w:r>
      <w:r w:rsidR="00804284" w:rsidRPr="006820FB">
        <w:rPr>
          <w:rFonts w:ascii="Times New Roman" w:hAnsi="Times New Roman"/>
          <w:szCs w:val="24"/>
          <w:lang w:val="hr-HR"/>
        </w:rPr>
        <w:t xml:space="preserve"> </w:t>
      </w:r>
      <w:r>
        <w:rPr>
          <w:rFonts w:ascii="Times New Roman" w:hAnsi="Times New Roman"/>
          <w:szCs w:val="24"/>
          <w:lang w:val="hr-HR"/>
        </w:rPr>
        <w:t>и</w:t>
      </w:r>
      <w:r w:rsidR="00804284" w:rsidRPr="006820FB">
        <w:rPr>
          <w:rFonts w:ascii="Times New Roman" w:hAnsi="Times New Roman"/>
          <w:szCs w:val="24"/>
          <w:lang w:val="hr-HR"/>
        </w:rPr>
        <w:t xml:space="preserve"> </w:t>
      </w:r>
      <w:r>
        <w:rPr>
          <w:rFonts w:ascii="Times New Roman" w:hAnsi="Times New Roman"/>
          <w:szCs w:val="24"/>
          <w:lang w:val="hr-HR"/>
        </w:rPr>
        <w:t>политичког</w:t>
      </w:r>
      <w:r w:rsidR="00804284" w:rsidRPr="006820FB">
        <w:rPr>
          <w:rFonts w:ascii="Times New Roman" w:hAnsi="Times New Roman"/>
          <w:szCs w:val="24"/>
          <w:lang w:val="hr-HR"/>
        </w:rPr>
        <w:t xml:space="preserve"> </w:t>
      </w:r>
      <w:r>
        <w:rPr>
          <w:rFonts w:ascii="Times New Roman" w:hAnsi="Times New Roman"/>
          <w:szCs w:val="24"/>
          <w:lang w:val="hr-HR"/>
        </w:rPr>
        <w:t>неповољног</w:t>
      </w:r>
      <w:r w:rsidR="00804284" w:rsidRPr="006820FB">
        <w:rPr>
          <w:rFonts w:ascii="Times New Roman" w:hAnsi="Times New Roman"/>
          <w:szCs w:val="24"/>
          <w:lang w:val="hr-HR"/>
        </w:rPr>
        <w:t xml:space="preserve"> </w:t>
      </w:r>
      <w:r>
        <w:rPr>
          <w:rFonts w:ascii="Times New Roman" w:hAnsi="Times New Roman"/>
          <w:szCs w:val="24"/>
          <w:lang w:val="hr-HR"/>
        </w:rPr>
        <w:t>положаја</w:t>
      </w:r>
      <w:r w:rsidR="00804284" w:rsidRPr="006820FB">
        <w:rPr>
          <w:rFonts w:ascii="Times New Roman" w:hAnsi="Times New Roman"/>
          <w:szCs w:val="24"/>
          <w:lang w:val="hr-HR"/>
        </w:rPr>
        <w:t xml:space="preserve"> </w:t>
      </w:r>
      <w:r>
        <w:rPr>
          <w:rFonts w:ascii="Times New Roman" w:hAnsi="Times New Roman"/>
          <w:szCs w:val="24"/>
          <w:lang w:val="hr-HR"/>
        </w:rPr>
        <w:t>у</w:t>
      </w:r>
      <w:r w:rsidR="00804284" w:rsidRPr="006820FB">
        <w:rPr>
          <w:rFonts w:ascii="Times New Roman" w:hAnsi="Times New Roman"/>
          <w:szCs w:val="24"/>
          <w:lang w:val="hr-HR"/>
        </w:rPr>
        <w:t xml:space="preserve"> </w:t>
      </w:r>
      <w:r>
        <w:rPr>
          <w:rFonts w:ascii="Times New Roman" w:hAnsi="Times New Roman"/>
          <w:szCs w:val="24"/>
          <w:lang w:val="hr-HR"/>
        </w:rPr>
        <w:t>односу</w:t>
      </w:r>
      <w:r w:rsidR="00804284" w:rsidRPr="006820FB">
        <w:rPr>
          <w:rFonts w:ascii="Times New Roman" w:hAnsi="Times New Roman"/>
          <w:szCs w:val="24"/>
          <w:lang w:val="hr-HR"/>
        </w:rPr>
        <w:t xml:space="preserve"> </w:t>
      </w:r>
      <w:r>
        <w:rPr>
          <w:rFonts w:ascii="Times New Roman" w:hAnsi="Times New Roman"/>
          <w:szCs w:val="24"/>
          <w:lang w:val="hr-HR"/>
        </w:rPr>
        <w:t>на</w:t>
      </w:r>
      <w:r w:rsidR="00804284" w:rsidRPr="006820FB">
        <w:rPr>
          <w:rFonts w:ascii="Times New Roman" w:hAnsi="Times New Roman"/>
          <w:szCs w:val="24"/>
          <w:lang w:val="hr-HR"/>
        </w:rPr>
        <w:t xml:space="preserve"> </w:t>
      </w:r>
      <w:r>
        <w:rPr>
          <w:rFonts w:ascii="Times New Roman" w:hAnsi="Times New Roman"/>
          <w:szCs w:val="24"/>
          <w:lang w:val="hr-HR"/>
        </w:rPr>
        <w:t>мушкарце</w:t>
      </w:r>
      <w:r w:rsidR="00804284" w:rsidRPr="006820FB">
        <w:rPr>
          <w:rFonts w:ascii="Times New Roman" w:hAnsi="Times New Roman"/>
          <w:szCs w:val="24"/>
          <w:lang w:val="hr-HR"/>
        </w:rPr>
        <w:t xml:space="preserve">. </w:t>
      </w:r>
      <w:r>
        <w:rPr>
          <w:rFonts w:ascii="Times New Roman" w:hAnsi="Times New Roman"/>
          <w:szCs w:val="24"/>
          <w:lang w:val="hr-HR"/>
        </w:rPr>
        <w:t>Готово</w:t>
      </w:r>
      <w:r w:rsidR="00804284" w:rsidRPr="006820FB">
        <w:rPr>
          <w:rFonts w:ascii="Times New Roman" w:hAnsi="Times New Roman"/>
          <w:szCs w:val="24"/>
          <w:lang w:val="hr-HR"/>
        </w:rPr>
        <w:t xml:space="preserve"> 60% </w:t>
      </w:r>
      <w:r>
        <w:rPr>
          <w:rFonts w:ascii="Times New Roman" w:hAnsi="Times New Roman"/>
          <w:szCs w:val="24"/>
          <w:lang w:val="hr-HR"/>
        </w:rPr>
        <w:t>радно</w:t>
      </w:r>
      <w:r w:rsidR="00804284" w:rsidRPr="006820FB">
        <w:rPr>
          <w:rFonts w:ascii="Times New Roman" w:hAnsi="Times New Roman"/>
          <w:szCs w:val="24"/>
          <w:lang w:val="hr-HR"/>
        </w:rPr>
        <w:t xml:space="preserve"> </w:t>
      </w:r>
      <w:r>
        <w:rPr>
          <w:rFonts w:ascii="Times New Roman" w:hAnsi="Times New Roman"/>
          <w:szCs w:val="24"/>
          <w:lang w:val="hr-HR"/>
        </w:rPr>
        <w:t>способних</w:t>
      </w:r>
      <w:r w:rsidR="00804284" w:rsidRPr="006820FB">
        <w:rPr>
          <w:rFonts w:ascii="Times New Roman" w:hAnsi="Times New Roman"/>
          <w:szCs w:val="24"/>
          <w:lang w:val="hr-HR"/>
        </w:rPr>
        <w:t xml:space="preserve"> </w:t>
      </w:r>
      <w:r>
        <w:rPr>
          <w:rFonts w:ascii="Times New Roman" w:hAnsi="Times New Roman"/>
          <w:szCs w:val="24"/>
          <w:lang w:val="hr-HR"/>
        </w:rPr>
        <w:t>жена</w:t>
      </w:r>
      <w:r w:rsidR="00804284" w:rsidRPr="006820FB">
        <w:rPr>
          <w:rFonts w:ascii="Times New Roman" w:hAnsi="Times New Roman"/>
          <w:szCs w:val="24"/>
          <w:lang w:val="hr-HR"/>
        </w:rPr>
        <w:t xml:space="preserve"> </w:t>
      </w:r>
      <w:r>
        <w:rPr>
          <w:rFonts w:ascii="Times New Roman" w:hAnsi="Times New Roman"/>
          <w:szCs w:val="24"/>
          <w:lang w:val="hr-HR"/>
        </w:rPr>
        <w:t>у</w:t>
      </w:r>
      <w:r w:rsidR="00D30E48">
        <w:rPr>
          <w:rFonts w:ascii="Times New Roman" w:hAnsi="Times New Roman"/>
          <w:szCs w:val="24"/>
          <w:lang w:val="hr-HR"/>
        </w:rPr>
        <w:t xml:space="preserve"> </w:t>
      </w:r>
      <w:r>
        <w:rPr>
          <w:rFonts w:ascii="Times New Roman" w:hAnsi="Times New Roman"/>
          <w:szCs w:val="24"/>
          <w:lang w:val="hr-HR"/>
        </w:rPr>
        <w:t>БиХ</w:t>
      </w:r>
      <w:r w:rsidR="005576F2" w:rsidRPr="006820FB">
        <w:rPr>
          <w:rFonts w:ascii="Times New Roman" w:hAnsi="Times New Roman"/>
          <w:szCs w:val="24"/>
          <w:lang w:val="hr-HR"/>
        </w:rPr>
        <w:t xml:space="preserve"> </w:t>
      </w:r>
      <w:r>
        <w:rPr>
          <w:rFonts w:ascii="Times New Roman" w:hAnsi="Times New Roman"/>
          <w:szCs w:val="24"/>
          <w:lang w:val="hr-HR"/>
        </w:rPr>
        <w:t>је</w:t>
      </w:r>
      <w:r w:rsidR="00804284" w:rsidRPr="006820FB">
        <w:rPr>
          <w:rFonts w:ascii="Times New Roman" w:hAnsi="Times New Roman"/>
          <w:szCs w:val="24"/>
          <w:lang w:val="hr-HR"/>
        </w:rPr>
        <w:t xml:space="preserve"> </w:t>
      </w:r>
      <w:r>
        <w:rPr>
          <w:rFonts w:ascii="Times New Roman" w:hAnsi="Times New Roman"/>
          <w:szCs w:val="24"/>
          <w:lang w:val="hr-HR"/>
        </w:rPr>
        <w:t>неактивно</w:t>
      </w:r>
      <w:r w:rsidR="00965AE0" w:rsidRPr="006820FB">
        <w:rPr>
          <w:rFonts w:ascii="Times New Roman" w:hAnsi="Times New Roman"/>
          <w:szCs w:val="24"/>
          <w:lang w:val="hr-HR"/>
        </w:rPr>
        <w:t>,</w:t>
      </w:r>
      <w:r w:rsidR="005576F2" w:rsidRPr="006820FB">
        <w:rPr>
          <w:rFonts w:ascii="Times New Roman" w:hAnsi="Times New Roman"/>
          <w:szCs w:val="24"/>
          <w:lang w:val="hr-HR"/>
        </w:rPr>
        <w:t xml:space="preserve"> </w:t>
      </w:r>
      <w:r>
        <w:rPr>
          <w:rFonts w:ascii="Times New Roman" w:hAnsi="Times New Roman"/>
          <w:szCs w:val="24"/>
          <w:lang w:val="hr-HR"/>
        </w:rPr>
        <w:t>а</w:t>
      </w:r>
      <w:r w:rsidR="00804284" w:rsidRPr="006820FB">
        <w:rPr>
          <w:rFonts w:ascii="Times New Roman" w:hAnsi="Times New Roman"/>
          <w:szCs w:val="24"/>
          <w:lang w:val="hr-HR"/>
        </w:rPr>
        <w:t xml:space="preserve"> </w:t>
      </w:r>
      <w:r>
        <w:rPr>
          <w:rFonts w:ascii="Times New Roman" w:hAnsi="Times New Roman"/>
          <w:szCs w:val="24"/>
          <w:lang w:val="hr-HR"/>
        </w:rPr>
        <w:t>учешће</w:t>
      </w:r>
      <w:r w:rsidR="00804284" w:rsidRPr="006820FB">
        <w:rPr>
          <w:rFonts w:ascii="Times New Roman" w:hAnsi="Times New Roman"/>
          <w:szCs w:val="24"/>
          <w:lang w:val="hr-HR"/>
        </w:rPr>
        <w:t xml:space="preserve"> </w:t>
      </w:r>
      <w:r>
        <w:rPr>
          <w:rFonts w:ascii="Times New Roman" w:hAnsi="Times New Roman"/>
          <w:szCs w:val="24"/>
          <w:lang w:val="hr-HR"/>
        </w:rPr>
        <w:t>жена</w:t>
      </w:r>
      <w:r w:rsidR="00804284" w:rsidRPr="006820FB">
        <w:rPr>
          <w:rFonts w:ascii="Times New Roman" w:hAnsi="Times New Roman"/>
          <w:szCs w:val="24"/>
          <w:lang w:val="hr-HR"/>
        </w:rPr>
        <w:t xml:space="preserve"> </w:t>
      </w:r>
      <w:r>
        <w:rPr>
          <w:rFonts w:ascii="Times New Roman" w:hAnsi="Times New Roman"/>
          <w:szCs w:val="24"/>
          <w:lang w:val="hr-HR"/>
        </w:rPr>
        <w:t>на</w:t>
      </w:r>
      <w:r w:rsidR="00804284" w:rsidRPr="006820FB">
        <w:rPr>
          <w:rFonts w:ascii="Times New Roman" w:hAnsi="Times New Roman"/>
          <w:szCs w:val="24"/>
          <w:lang w:val="hr-HR"/>
        </w:rPr>
        <w:t xml:space="preserve"> </w:t>
      </w:r>
      <w:r>
        <w:rPr>
          <w:rFonts w:ascii="Times New Roman" w:hAnsi="Times New Roman"/>
          <w:szCs w:val="24"/>
          <w:lang w:val="hr-HR"/>
        </w:rPr>
        <w:t>тржишту</w:t>
      </w:r>
      <w:r w:rsidR="00804284" w:rsidRPr="006820FB">
        <w:rPr>
          <w:rFonts w:ascii="Times New Roman" w:hAnsi="Times New Roman"/>
          <w:szCs w:val="24"/>
          <w:lang w:val="hr-HR"/>
        </w:rPr>
        <w:t xml:space="preserve"> </w:t>
      </w:r>
      <w:r>
        <w:rPr>
          <w:rFonts w:ascii="Times New Roman" w:hAnsi="Times New Roman"/>
          <w:szCs w:val="24"/>
          <w:lang w:val="hr-HR"/>
        </w:rPr>
        <w:t>рада</w:t>
      </w:r>
      <w:r w:rsidR="00804284" w:rsidRPr="006820FB">
        <w:rPr>
          <w:rFonts w:ascii="Times New Roman" w:hAnsi="Times New Roman"/>
          <w:szCs w:val="24"/>
          <w:lang w:val="hr-HR"/>
        </w:rPr>
        <w:t xml:space="preserve"> </w:t>
      </w:r>
      <w:r>
        <w:rPr>
          <w:rFonts w:ascii="Times New Roman" w:hAnsi="Times New Roman"/>
          <w:szCs w:val="24"/>
          <w:lang w:val="hr-HR"/>
        </w:rPr>
        <w:t>је</w:t>
      </w:r>
      <w:r w:rsidR="005576F2" w:rsidRPr="006820FB">
        <w:rPr>
          <w:rFonts w:ascii="Times New Roman" w:hAnsi="Times New Roman"/>
          <w:szCs w:val="24"/>
          <w:lang w:val="hr-HR"/>
        </w:rPr>
        <w:t xml:space="preserve"> 23 </w:t>
      </w:r>
      <w:r>
        <w:rPr>
          <w:rFonts w:ascii="Times New Roman" w:hAnsi="Times New Roman"/>
          <w:szCs w:val="24"/>
          <w:lang w:val="hr-HR"/>
        </w:rPr>
        <w:t>процентних</w:t>
      </w:r>
      <w:r w:rsidR="005576F2" w:rsidRPr="006820FB">
        <w:rPr>
          <w:rFonts w:ascii="Times New Roman" w:hAnsi="Times New Roman"/>
          <w:szCs w:val="24"/>
          <w:lang w:val="hr-HR"/>
        </w:rPr>
        <w:t xml:space="preserve"> </w:t>
      </w:r>
      <w:r>
        <w:rPr>
          <w:rFonts w:ascii="Times New Roman" w:hAnsi="Times New Roman"/>
          <w:szCs w:val="24"/>
          <w:lang w:val="hr-HR"/>
        </w:rPr>
        <w:t>поена</w:t>
      </w:r>
      <w:r w:rsidR="005576F2" w:rsidRPr="006820FB">
        <w:rPr>
          <w:rFonts w:ascii="Times New Roman" w:hAnsi="Times New Roman"/>
          <w:szCs w:val="24"/>
          <w:lang w:val="hr-HR"/>
        </w:rPr>
        <w:t xml:space="preserve"> </w:t>
      </w:r>
      <w:r>
        <w:rPr>
          <w:rFonts w:ascii="Times New Roman" w:hAnsi="Times New Roman"/>
          <w:szCs w:val="24"/>
          <w:lang w:val="hr-HR"/>
        </w:rPr>
        <w:t>ниже</w:t>
      </w:r>
      <w:r w:rsidR="005576F2" w:rsidRPr="006820FB">
        <w:rPr>
          <w:rFonts w:ascii="Times New Roman" w:hAnsi="Times New Roman"/>
          <w:szCs w:val="24"/>
          <w:lang w:val="hr-HR"/>
        </w:rPr>
        <w:t xml:space="preserve"> </w:t>
      </w:r>
      <w:r>
        <w:rPr>
          <w:rFonts w:ascii="Times New Roman" w:hAnsi="Times New Roman"/>
          <w:szCs w:val="24"/>
          <w:lang w:val="hr-HR"/>
        </w:rPr>
        <w:t>у</w:t>
      </w:r>
      <w:r w:rsidR="005576F2" w:rsidRPr="006820FB">
        <w:rPr>
          <w:rFonts w:ascii="Times New Roman" w:hAnsi="Times New Roman"/>
          <w:szCs w:val="24"/>
          <w:lang w:val="hr-HR"/>
        </w:rPr>
        <w:t xml:space="preserve"> </w:t>
      </w:r>
      <w:r>
        <w:rPr>
          <w:rFonts w:ascii="Times New Roman" w:hAnsi="Times New Roman"/>
          <w:szCs w:val="24"/>
          <w:lang w:val="hr-HR"/>
        </w:rPr>
        <w:t>односу</w:t>
      </w:r>
      <w:r w:rsidR="005576F2" w:rsidRPr="006820FB">
        <w:rPr>
          <w:rFonts w:ascii="Times New Roman" w:hAnsi="Times New Roman"/>
          <w:szCs w:val="24"/>
          <w:lang w:val="hr-HR"/>
        </w:rPr>
        <w:t xml:space="preserve"> </w:t>
      </w:r>
      <w:r>
        <w:rPr>
          <w:rFonts w:ascii="Times New Roman" w:hAnsi="Times New Roman"/>
          <w:szCs w:val="24"/>
          <w:lang w:val="hr-HR"/>
        </w:rPr>
        <w:t>на</w:t>
      </w:r>
      <w:r w:rsidR="005576F2" w:rsidRPr="006820FB">
        <w:rPr>
          <w:rFonts w:ascii="Times New Roman" w:hAnsi="Times New Roman"/>
          <w:szCs w:val="24"/>
          <w:lang w:val="hr-HR"/>
        </w:rPr>
        <w:t xml:space="preserve"> </w:t>
      </w:r>
      <w:r>
        <w:rPr>
          <w:rFonts w:ascii="Times New Roman" w:hAnsi="Times New Roman"/>
          <w:szCs w:val="24"/>
          <w:lang w:val="hr-HR"/>
        </w:rPr>
        <w:t>мушкарце</w:t>
      </w:r>
      <w:r w:rsidR="00804284" w:rsidRPr="006820FB">
        <w:rPr>
          <w:rFonts w:ascii="Times New Roman" w:hAnsi="Times New Roman"/>
          <w:szCs w:val="24"/>
          <w:lang w:val="hr-HR"/>
        </w:rPr>
        <w:t xml:space="preserve">. </w:t>
      </w:r>
      <w:r>
        <w:rPr>
          <w:rFonts w:ascii="Times New Roman" w:hAnsi="Times New Roman"/>
          <w:szCs w:val="24"/>
          <w:lang w:val="hr-HR"/>
        </w:rPr>
        <w:t>Новија</w:t>
      </w:r>
      <w:r w:rsidR="00804284" w:rsidRPr="006820FB">
        <w:rPr>
          <w:rFonts w:ascii="Times New Roman" w:hAnsi="Times New Roman"/>
          <w:szCs w:val="24"/>
          <w:lang w:val="hr-HR"/>
        </w:rPr>
        <w:t xml:space="preserve"> </w:t>
      </w:r>
      <w:r>
        <w:rPr>
          <w:rFonts w:ascii="Times New Roman" w:hAnsi="Times New Roman"/>
          <w:szCs w:val="24"/>
          <w:lang w:val="hr-HR"/>
        </w:rPr>
        <w:t>истраживања</w:t>
      </w:r>
      <w:r w:rsidR="00804284" w:rsidRPr="006820FB">
        <w:rPr>
          <w:rFonts w:ascii="Times New Roman" w:hAnsi="Times New Roman"/>
          <w:szCs w:val="24"/>
          <w:lang w:val="hr-HR"/>
        </w:rPr>
        <w:t xml:space="preserve"> </w:t>
      </w:r>
      <w:r>
        <w:rPr>
          <w:rFonts w:ascii="Times New Roman" w:hAnsi="Times New Roman"/>
          <w:szCs w:val="24"/>
          <w:lang w:val="hr-HR"/>
        </w:rPr>
        <w:t>говоре</w:t>
      </w:r>
      <w:r w:rsidR="00804284" w:rsidRPr="006820FB">
        <w:rPr>
          <w:rFonts w:ascii="Times New Roman" w:hAnsi="Times New Roman"/>
          <w:szCs w:val="24"/>
          <w:lang w:val="hr-HR"/>
        </w:rPr>
        <w:t xml:space="preserve"> </w:t>
      </w:r>
      <w:r>
        <w:rPr>
          <w:rFonts w:ascii="Times New Roman" w:hAnsi="Times New Roman"/>
          <w:szCs w:val="24"/>
          <w:lang w:val="hr-HR"/>
        </w:rPr>
        <w:t>да</w:t>
      </w:r>
      <w:r w:rsidR="00804284" w:rsidRPr="006820FB">
        <w:rPr>
          <w:rFonts w:ascii="Times New Roman" w:hAnsi="Times New Roman"/>
          <w:szCs w:val="24"/>
          <w:lang w:val="hr-HR"/>
        </w:rPr>
        <w:t xml:space="preserve"> </w:t>
      </w:r>
      <w:r>
        <w:rPr>
          <w:rFonts w:ascii="Times New Roman" w:hAnsi="Times New Roman"/>
          <w:szCs w:val="24"/>
          <w:lang w:val="hr-HR"/>
        </w:rPr>
        <w:t>се</w:t>
      </w:r>
      <w:r w:rsidR="00D44D58">
        <w:rPr>
          <w:rFonts w:ascii="Times New Roman" w:hAnsi="Times New Roman"/>
          <w:szCs w:val="24"/>
          <w:lang w:val="hr-HR"/>
        </w:rPr>
        <w:t xml:space="preserve"> </w:t>
      </w:r>
      <w:r>
        <w:rPr>
          <w:rFonts w:ascii="Times New Roman" w:hAnsi="Times New Roman"/>
          <w:szCs w:val="24"/>
          <w:lang w:val="hr-HR"/>
        </w:rPr>
        <w:t>већина</w:t>
      </w:r>
      <w:r w:rsidR="00804284" w:rsidRPr="006820FB">
        <w:rPr>
          <w:rFonts w:ascii="Times New Roman" w:hAnsi="Times New Roman"/>
          <w:szCs w:val="24"/>
          <w:lang w:val="hr-HR"/>
        </w:rPr>
        <w:t xml:space="preserve"> (73.2% </w:t>
      </w:r>
      <w:r>
        <w:rPr>
          <w:rFonts w:ascii="Times New Roman" w:hAnsi="Times New Roman"/>
          <w:szCs w:val="24"/>
          <w:lang w:val="hr-HR"/>
        </w:rPr>
        <w:t>жена</w:t>
      </w:r>
      <w:r w:rsidR="00804284" w:rsidRPr="006820FB">
        <w:rPr>
          <w:rFonts w:ascii="Times New Roman" w:hAnsi="Times New Roman"/>
          <w:szCs w:val="24"/>
          <w:lang w:val="hr-HR"/>
        </w:rPr>
        <w:t xml:space="preserve"> </w:t>
      </w:r>
      <w:r>
        <w:rPr>
          <w:rFonts w:ascii="Times New Roman" w:hAnsi="Times New Roman"/>
          <w:szCs w:val="24"/>
          <w:lang w:val="hr-HR"/>
        </w:rPr>
        <w:t>и</w:t>
      </w:r>
      <w:r w:rsidR="00804284" w:rsidRPr="006820FB">
        <w:rPr>
          <w:rFonts w:ascii="Times New Roman" w:hAnsi="Times New Roman"/>
          <w:szCs w:val="24"/>
          <w:lang w:val="hr-HR"/>
        </w:rPr>
        <w:t xml:space="preserve"> 58.2% </w:t>
      </w:r>
      <w:r>
        <w:rPr>
          <w:rFonts w:ascii="Times New Roman" w:hAnsi="Times New Roman"/>
          <w:szCs w:val="24"/>
          <w:lang w:val="hr-HR"/>
        </w:rPr>
        <w:t>мушкараца</w:t>
      </w:r>
      <w:r w:rsidR="00804284" w:rsidRPr="006820FB">
        <w:rPr>
          <w:rFonts w:ascii="Times New Roman" w:hAnsi="Times New Roman"/>
          <w:szCs w:val="24"/>
          <w:lang w:val="hr-HR"/>
        </w:rPr>
        <w:t xml:space="preserve">) </w:t>
      </w:r>
      <w:r>
        <w:rPr>
          <w:rFonts w:ascii="Times New Roman" w:hAnsi="Times New Roman"/>
          <w:szCs w:val="24"/>
          <w:lang w:val="hr-HR"/>
        </w:rPr>
        <w:t>слаже</w:t>
      </w:r>
      <w:r w:rsidR="00804284" w:rsidRPr="006820FB">
        <w:rPr>
          <w:rFonts w:ascii="Times New Roman" w:hAnsi="Times New Roman"/>
          <w:szCs w:val="24"/>
          <w:lang w:val="hr-HR"/>
        </w:rPr>
        <w:t xml:space="preserve"> </w:t>
      </w:r>
      <w:r>
        <w:rPr>
          <w:rFonts w:ascii="Times New Roman" w:hAnsi="Times New Roman"/>
          <w:szCs w:val="24"/>
          <w:lang w:val="hr-HR"/>
        </w:rPr>
        <w:t>да</w:t>
      </w:r>
      <w:r w:rsidR="00804284" w:rsidRPr="006820FB">
        <w:rPr>
          <w:rFonts w:ascii="Times New Roman" w:hAnsi="Times New Roman"/>
          <w:szCs w:val="24"/>
          <w:lang w:val="hr-HR"/>
        </w:rPr>
        <w:t xml:space="preserve"> </w:t>
      </w:r>
      <w:r>
        <w:rPr>
          <w:rFonts w:ascii="Times New Roman" w:hAnsi="Times New Roman"/>
          <w:szCs w:val="24"/>
          <w:lang w:val="hr-HR"/>
        </w:rPr>
        <w:t>жене</w:t>
      </w:r>
      <w:r w:rsidR="00804284" w:rsidRPr="006820FB">
        <w:rPr>
          <w:rFonts w:ascii="Times New Roman" w:hAnsi="Times New Roman"/>
          <w:szCs w:val="24"/>
          <w:lang w:val="hr-HR"/>
        </w:rPr>
        <w:t xml:space="preserve"> </w:t>
      </w:r>
      <w:r>
        <w:rPr>
          <w:rFonts w:ascii="Times New Roman" w:hAnsi="Times New Roman"/>
          <w:szCs w:val="24"/>
          <w:lang w:val="hr-HR"/>
        </w:rPr>
        <w:t>раде</w:t>
      </w:r>
      <w:r w:rsidR="00804284" w:rsidRPr="006820FB">
        <w:rPr>
          <w:rFonts w:ascii="Times New Roman" w:hAnsi="Times New Roman"/>
          <w:szCs w:val="24"/>
          <w:lang w:val="hr-HR"/>
        </w:rPr>
        <w:t xml:space="preserve"> </w:t>
      </w:r>
      <w:r>
        <w:rPr>
          <w:rFonts w:ascii="Times New Roman" w:hAnsi="Times New Roman"/>
          <w:szCs w:val="24"/>
          <w:lang w:val="hr-HR"/>
        </w:rPr>
        <w:t>у</w:t>
      </w:r>
      <w:r w:rsidR="00804284" w:rsidRPr="006820FB">
        <w:rPr>
          <w:rFonts w:ascii="Times New Roman" w:hAnsi="Times New Roman"/>
          <w:szCs w:val="24"/>
          <w:lang w:val="hr-HR"/>
        </w:rPr>
        <w:t xml:space="preserve"> </w:t>
      </w:r>
      <w:r>
        <w:rPr>
          <w:rFonts w:ascii="Times New Roman" w:hAnsi="Times New Roman"/>
          <w:szCs w:val="24"/>
          <w:lang w:val="hr-HR"/>
        </w:rPr>
        <w:t>мање</w:t>
      </w:r>
      <w:r w:rsidR="00804284" w:rsidRPr="006820FB">
        <w:rPr>
          <w:rFonts w:ascii="Times New Roman" w:hAnsi="Times New Roman"/>
          <w:szCs w:val="24"/>
          <w:lang w:val="hr-HR"/>
        </w:rPr>
        <w:t xml:space="preserve"> </w:t>
      </w:r>
      <w:r>
        <w:rPr>
          <w:rFonts w:ascii="Times New Roman" w:hAnsi="Times New Roman"/>
          <w:szCs w:val="24"/>
          <w:lang w:val="hr-HR"/>
        </w:rPr>
        <w:t>плаћеним</w:t>
      </w:r>
      <w:r w:rsidR="00804284" w:rsidRPr="006820FB">
        <w:rPr>
          <w:rFonts w:ascii="Times New Roman" w:hAnsi="Times New Roman"/>
          <w:szCs w:val="24"/>
          <w:lang w:val="hr-HR"/>
        </w:rPr>
        <w:t xml:space="preserve"> </w:t>
      </w:r>
      <w:r>
        <w:rPr>
          <w:rFonts w:ascii="Times New Roman" w:hAnsi="Times New Roman"/>
          <w:szCs w:val="24"/>
          <w:lang w:val="hr-HR"/>
        </w:rPr>
        <w:t>и</w:t>
      </w:r>
      <w:r w:rsidR="00804284" w:rsidRPr="006820FB">
        <w:rPr>
          <w:rFonts w:ascii="Times New Roman" w:hAnsi="Times New Roman"/>
          <w:szCs w:val="24"/>
          <w:lang w:val="hr-HR"/>
        </w:rPr>
        <w:t xml:space="preserve"> </w:t>
      </w:r>
      <w:r>
        <w:rPr>
          <w:rFonts w:ascii="Times New Roman" w:hAnsi="Times New Roman"/>
          <w:szCs w:val="24"/>
          <w:lang w:val="hr-HR"/>
        </w:rPr>
        <w:t>мање</w:t>
      </w:r>
      <w:r w:rsidR="00804284" w:rsidRPr="006820FB">
        <w:rPr>
          <w:rFonts w:ascii="Times New Roman" w:hAnsi="Times New Roman"/>
          <w:szCs w:val="24"/>
          <w:lang w:val="hr-HR"/>
        </w:rPr>
        <w:t xml:space="preserve"> </w:t>
      </w:r>
      <w:r>
        <w:rPr>
          <w:rFonts w:ascii="Times New Roman" w:hAnsi="Times New Roman"/>
          <w:szCs w:val="24"/>
          <w:lang w:val="hr-HR"/>
        </w:rPr>
        <w:t>друштвено</w:t>
      </w:r>
      <w:r w:rsidR="00804284" w:rsidRPr="006820FB">
        <w:rPr>
          <w:rFonts w:ascii="Times New Roman" w:hAnsi="Times New Roman"/>
          <w:szCs w:val="24"/>
          <w:lang w:val="hr-HR"/>
        </w:rPr>
        <w:t xml:space="preserve"> </w:t>
      </w:r>
      <w:r>
        <w:rPr>
          <w:rFonts w:ascii="Times New Roman" w:hAnsi="Times New Roman"/>
          <w:szCs w:val="24"/>
          <w:lang w:val="hr-HR"/>
        </w:rPr>
        <w:t>вреднованим</w:t>
      </w:r>
      <w:r w:rsidR="00804284" w:rsidRPr="006820FB">
        <w:rPr>
          <w:rFonts w:ascii="Times New Roman" w:hAnsi="Times New Roman"/>
          <w:szCs w:val="24"/>
          <w:lang w:val="hr-HR"/>
        </w:rPr>
        <w:t xml:space="preserve"> </w:t>
      </w:r>
      <w:r>
        <w:rPr>
          <w:rFonts w:ascii="Times New Roman" w:hAnsi="Times New Roman"/>
          <w:szCs w:val="24"/>
          <w:lang w:val="hr-HR"/>
        </w:rPr>
        <w:t>занимањима</w:t>
      </w:r>
      <w:r w:rsidR="00804284" w:rsidRPr="006820FB">
        <w:rPr>
          <w:rFonts w:ascii="Times New Roman" w:hAnsi="Times New Roman"/>
          <w:szCs w:val="24"/>
          <w:lang w:val="hr-HR"/>
        </w:rPr>
        <w:t xml:space="preserve"> </w:t>
      </w:r>
      <w:r>
        <w:rPr>
          <w:rFonts w:ascii="Times New Roman" w:hAnsi="Times New Roman"/>
          <w:szCs w:val="24"/>
          <w:lang w:val="hr-HR"/>
        </w:rPr>
        <w:t>и</w:t>
      </w:r>
      <w:r w:rsidR="00804284" w:rsidRPr="006820FB">
        <w:rPr>
          <w:rFonts w:ascii="Times New Roman" w:hAnsi="Times New Roman"/>
          <w:szCs w:val="24"/>
          <w:lang w:val="hr-HR"/>
        </w:rPr>
        <w:t xml:space="preserve"> </w:t>
      </w:r>
      <w:r>
        <w:rPr>
          <w:rFonts w:ascii="Times New Roman" w:hAnsi="Times New Roman"/>
          <w:szCs w:val="24"/>
          <w:lang w:val="hr-HR"/>
        </w:rPr>
        <w:t>пословима</w:t>
      </w:r>
      <w:r w:rsidR="00804284" w:rsidRPr="006820FB">
        <w:rPr>
          <w:rFonts w:ascii="Times New Roman" w:hAnsi="Times New Roman"/>
          <w:szCs w:val="24"/>
          <w:lang w:val="hr-HR"/>
        </w:rPr>
        <w:t>.</w:t>
      </w:r>
      <w:r w:rsidR="005576F2" w:rsidRPr="006820FB">
        <w:rPr>
          <w:rFonts w:ascii="Times New Roman" w:hAnsi="Times New Roman"/>
          <w:szCs w:val="24"/>
          <w:lang w:val="hr-HR"/>
        </w:rPr>
        <w:t xml:space="preserve"> </w:t>
      </w:r>
      <w:r>
        <w:rPr>
          <w:rFonts w:ascii="Times New Roman" w:hAnsi="Times New Roman"/>
          <w:szCs w:val="24"/>
          <w:lang w:val="hr-HR"/>
        </w:rPr>
        <w:t>Постоји</w:t>
      </w:r>
      <w:r w:rsidR="005576F2" w:rsidRPr="006820FB">
        <w:rPr>
          <w:rFonts w:ascii="Times New Roman" w:hAnsi="Times New Roman"/>
          <w:szCs w:val="24"/>
          <w:lang w:val="hr-HR"/>
        </w:rPr>
        <w:t xml:space="preserve"> </w:t>
      </w:r>
      <w:r>
        <w:rPr>
          <w:rFonts w:ascii="Times New Roman" w:hAnsi="Times New Roman"/>
          <w:szCs w:val="24"/>
          <w:lang w:val="hr-HR"/>
        </w:rPr>
        <w:t>значајан</w:t>
      </w:r>
      <w:r w:rsidR="00062658">
        <w:rPr>
          <w:rFonts w:ascii="Times New Roman" w:hAnsi="Times New Roman"/>
          <w:szCs w:val="24"/>
          <w:lang w:val="hr-HR"/>
        </w:rPr>
        <w:t xml:space="preserve"> </w:t>
      </w:r>
      <w:r>
        <w:rPr>
          <w:rFonts w:ascii="Times New Roman" w:hAnsi="Times New Roman"/>
          <w:szCs w:val="24"/>
          <w:lang w:val="hr-HR"/>
        </w:rPr>
        <w:t>дисбаланс</w:t>
      </w:r>
      <w:r w:rsidR="00062658">
        <w:rPr>
          <w:rFonts w:ascii="Times New Roman" w:hAnsi="Times New Roman"/>
          <w:szCs w:val="24"/>
          <w:lang w:val="hr-HR"/>
        </w:rPr>
        <w:t xml:space="preserve"> </w:t>
      </w:r>
      <w:r>
        <w:rPr>
          <w:rFonts w:ascii="Times New Roman" w:hAnsi="Times New Roman"/>
          <w:szCs w:val="24"/>
          <w:lang w:val="hr-HR"/>
        </w:rPr>
        <w:t>у</w:t>
      </w:r>
      <w:r w:rsidR="00062658">
        <w:rPr>
          <w:rFonts w:ascii="Times New Roman" w:hAnsi="Times New Roman"/>
          <w:szCs w:val="24"/>
          <w:lang w:val="hr-HR"/>
        </w:rPr>
        <w:t xml:space="preserve"> </w:t>
      </w:r>
      <w:r>
        <w:rPr>
          <w:rFonts w:ascii="Times New Roman" w:hAnsi="Times New Roman"/>
          <w:szCs w:val="24"/>
          <w:lang w:val="hr-HR"/>
        </w:rPr>
        <w:t>подјели</w:t>
      </w:r>
      <w:r w:rsidR="00062658">
        <w:rPr>
          <w:rFonts w:ascii="Times New Roman" w:hAnsi="Times New Roman"/>
          <w:szCs w:val="24"/>
          <w:lang w:val="hr-HR"/>
        </w:rPr>
        <w:t xml:space="preserve"> </w:t>
      </w:r>
      <w:r>
        <w:rPr>
          <w:rFonts w:ascii="Times New Roman" w:hAnsi="Times New Roman"/>
          <w:szCs w:val="24"/>
          <w:lang w:val="hr-HR"/>
        </w:rPr>
        <w:t>кућних</w:t>
      </w:r>
      <w:r w:rsidR="005576F2" w:rsidRPr="006820FB">
        <w:rPr>
          <w:rFonts w:ascii="Times New Roman" w:hAnsi="Times New Roman"/>
          <w:szCs w:val="24"/>
          <w:lang w:val="hr-HR"/>
        </w:rPr>
        <w:t xml:space="preserve"> </w:t>
      </w:r>
      <w:r>
        <w:rPr>
          <w:rFonts w:ascii="Times New Roman" w:hAnsi="Times New Roman"/>
          <w:szCs w:val="24"/>
          <w:lang w:val="hr-HR"/>
        </w:rPr>
        <w:t>послова</w:t>
      </w:r>
      <w:r w:rsidR="005576F2" w:rsidRPr="006820FB">
        <w:rPr>
          <w:rFonts w:ascii="Times New Roman" w:hAnsi="Times New Roman"/>
          <w:szCs w:val="24"/>
          <w:lang w:val="hr-HR"/>
        </w:rPr>
        <w:t xml:space="preserve"> </w:t>
      </w:r>
      <w:r>
        <w:rPr>
          <w:rFonts w:ascii="Times New Roman" w:hAnsi="Times New Roman"/>
          <w:szCs w:val="24"/>
          <w:lang w:val="hr-HR"/>
        </w:rPr>
        <w:t>између</w:t>
      </w:r>
      <w:r w:rsidR="005576F2" w:rsidRPr="006820FB">
        <w:rPr>
          <w:rFonts w:ascii="Times New Roman" w:hAnsi="Times New Roman"/>
          <w:szCs w:val="24"/>
          <w:lang w:val="hr-HR"/>
        </w:rPr>
        <w:t xml:space="preserve"> </w:t>
      </w:r>
      <w:r>
        <w:rPr>
          <w:rFonts w:ascii="Times New Roman" w:hAnsi="Times New Roman"/>
          <w:szCs w:val="24"/>
          <w:lang w:val="hr-HR"/>
        </w:rPr>
        <w:t>мушкараца</w:t>
      </w:r>
      <w:r w:rsidR="002E162E" w:rsidRPr="006820FB">
        <w:rPr>
          <w:rFonts w:ascii="Times New Roman" w:hAnsi="Times New Roman"/>
          <w:szCs w:val="24"/>
          <w:lang w:val="hr-HR"/>
        </w:rPr>
        <w:t xml:space="preserve"> </w:t>
      </w:r>
      <w:r>
        <w:rPr>
          <w:rFonts w:ascii="Times New Roman" w:hAnsi="Times New Roman"/>
          <w:szCs w:val="24"/>
          <w:lang w:val="hr-HR"/>
        </w:rPr>
        <w:t>и</w:t>
      </w:r>
      <w:r w:rsidR="005576F2" w:rsidRPr="006820FB">
        <w:rPr>
          <w:rFonts w:ascii="Times New Roman" w:hAnsi="Times New Roman"/>
          <w:szCs w:val="24"/>
          <w:lang w:val="hr-HR"/>
        </w:rPr>
        <w:t xml:space="preserve"> </w:t>
      </w:r>
      <w:r>
        <w:rPr>
          <w:rFonts w:ascii="Times New Roman" w:hAnsi="Times New Roman"/>
          <w:szCs w:val="24"/>
          <w:lang w:val="hr-HR"/>
        </w:rPr>
        <w:t>жена</w:t>
      </w:r>
      <w:r w:rsidR="005576F2" w:rsidRPr="006820FB">
        <w:rPr>
          <w:rFonts w:ascii="Times New Roman" w:hAnsi="Times New Roman"/>
          <w:szCs w:val="24"/>
          <w:lang w:val="hr-HR"/>
        </w:rPr>
        <w:t xml:space="preserve"> </w:t>
      </w:r>
      <w:r>
        <w:rPr>
          <w:rFonts w:ascii="Times New Roman" w:hAnsi="Times New Roman"/>
          <w:szCs w:val="24"/>
          <w:lang w:val="hr-HR"/>
        </w:rPr>
        <w:t>у</w:t>
      </w:r>
      <w:r w:rsidR="009E54A2" w:rsidRPr="006820FB">
        <w:rPr>
          <w:rFonts w:ascii="Times New Roman" w:hAnsi="Times New Roman"/>
          <w:szCs w:val="24"/>
          <w:lang w:val="hr-HR"/>
        </w:rPr>
        <w:t xml:space="preserve"> </w:t>
      </w:r>
      <w:r>
        <w:rPr>
          <w:rFonts w:ascii="Times New Roman" w:hAnsi="Times New Roman"/>
          <w:szCs w:val="24"/>
          <w:lang w:val="hr-HR"/>
        </w:rPr>
        <w:t>БиХ</w:t>
      </w:r>
      <w:r w:rsidR="005576F2" w:rsidRPr="006820FB">
        <w:rPr>
          <w:rFonts w:ascii="Times New Roman" w:hAnsi="Times New Roman"/>
          <w:szCs w:val="24"/>
          <w:lang w:val="hr-HR"/>
        </w:rPr>
        <w:t xml:space="preserve">. </w:t>
      </w:r>
      <w:r>
        <w:rPr>
          <w:rFonts w:ascii="Times New Roman" w:hAnsi="Times New Roman"/>
          <w:szCs w:val="24"/>
          <w:lang w:val="bs-Latn-BA"/>
        </w:rPr>
        <w:t>Истраживање</w:t>
      </w:r>
      <w:r w:rsidR="00804284" w:rsidRPr="00295637">
        <w:rPr>
          <w:rFonts w:ascii="Times New Roman" w:hAnsi="Times New Roman"/>
          <w:szCs w:val="24"/>
          <w:lang w:val="bs-Latn-BA"/>
        </w:rPr>
        <w:t xml:space="preserve"> </w:t>
      </w:r>
      <w:r>
        <w:rPr>
          <w:rFonts w:ascii="Times New Roman" w:hAnsi="Times New Roman"/>
          <w:szCs w:val="24"/>
          <w:lang w:val="bs-Latn-BA"/>
        </w:rPr>
        <w:t>АР</w:t>
      </w:r>
      <w:r w:rsidR="000D058D">
        <w:rPr>
          <w:rFonts w:ascii="Times New Roman" w:hAnsi="Times New Roman"/>
          <w:szCs w:val="24"/>
          <w:lang w:val="sr-Cyrl-BA"/>
        </w:rPr>
        <w:t>П</w:t>
      </w:r>
      <w:r w:rsidR="00870AE1">
        <w:rPr>
          <w:rFonts w:ascii="Times New Roman" w:hAnsi="Times New Roman"/>
          <w:szCs w:val="24"/>
          <w:lang w:val="bs-Latn-BA"/>
        </w:rPr>
        <w:t xml:space="preserve"> </w:t>
      </w:r>
      <w:r>
        <w:rPr>
          <w:rFonts w:ascii="Times New Roman" w:hAnsi="Times New Roman"/>
          <w:szCs w:val="24"/>
          <w:lang w:val="bs-Latn-BA"/>
        </w:rPr>
        <w:t>БиХ</w:t>
      </w:r>
      <w:r w:rsidR="000C3D5B" w:rsidRPr="00295637">
        <w:rPr>
          <w:rFonts w:ascii="Times New Roman" w:hAnsi="Times New Roman"/>
          <w:szCs w:val="24"/>
          <w:lang w:val="bs-Latn-BA"/>
        </w:rPr>
        <w:t xml:space="preserve"> </w:t>
      </w:r>
      <w:r>
        <w:rPr>
          <w:rFonts w:ascii="Times New Roman" w:hAnsi="Times New Roman"/>
          <w:szCs w:val="24"/>
          <w:lang w:val="bs-Latn-BA"/>
        </w:rPr>
        <w:t>МЉПИ</w:t>
      </w:r>
      <w:r w:rsidR="00870AE1">
        <w:rPr>
          <w:rFonts w:ascii="Times New Roman" w:hAnsi="Times New Roman"/>
          <w:szCs w:val="24"/>
          <w:lang w:val="bs-Latn-BA"/>
        </w:rPr>
        <w:t xml:space="preserve"> </w:t>
      </w:r>
      <w:r>
        <w:rPr>
          <w:rFonts w:ascii="Times New Roman" w:hAnsi="Times New Roman"/>
          <w:szCs w:val="24"/>
          <w:lang w:val="bs-Latn-BA"/>
        </w:rPr>
        <w:t>БиХ</w:t>
      </w:r>
      <w:r w:rsidR="000C3D5B" w:rsidRPr="00295637">
        <w:rPr>
          <w:rFonts w:ascii="Times New Roman" w:hAnsi="Times New Roman"/>
          <w:szCs w:val="24"/>
          <w:lang w:val="bs-Latn-BA"/>
        </w:rPr>
        <w:t xml:space="preserve"> </w:t>
      </w:r>
      <w:r>
        <w:rPr>
          <w:rFonts w:ascii="Times New Roman" w:hAnsi="Times New Roman"/>
          <w:szCs w:val="24"/>
          <w:lang w:val="bs-Latn-BA"/>
        </w:rPr>
        <w:t>о</w:t>
      </w:r>
      <w:r w:rsidR="000C3D5B" w:rsidRPr="00295637">
        <w:rPr>
          <w:rFonts w:ascii="Times New Roman" w:hAnsi="Times New Roman"/>
          <w:szCs w:val="24"/>
          <w:lang w:val="bs-Latn-BA"/>
        </w:rPr>
        <w:t xml:space="preserve"> </w:t>
      </w:r>
      <w:r>
        <w:rPr>
          <w:rFonts w:ascii="Times New Roman" w:hAnsi="Times New Roman"/>
          <w:szCs w:val="24"/>
          <w:lang w:val="bs-Latn-BA"/>
        </w:rPr>
        <w:t>утицају</w:t>
      </w:r>
      <w:r w:rsidR="00870AE1">
        <w:rPr>
          <w:rFonts w:ascii="Times New Roman" w:hAnsi="Times New Roman"/>
          <w:szCs w:val="24"/>
          <w:lang w:val="bs-Latn-BA"/>
        </w:rPr>
        <w:t xml:space="preserve"> </w:t>
      </w:r>
      <w:r>
        <w:rPr>
          <w:rFonts w:ascii="Times New Roman" w:hAnsi="Times New Roman"/>
          <w:szCs w:val="24"/>
          <w:lang w:val="bs-Latn-BA"/>
        </w:rPr>
        <w:t>родне</w:t>
      </w:r>
      <w:r w:rsidR="00870AE1">
        <w:rPr>
          <w:rFonts w:ascii="Times New Roman" w:hAnsi="Times New Roman"/>
          <w:szCs w:val="24"/>
          <w:lang w:val="bs-Latn-BA"/>
        </w:rPr>
        <w:t xml:space="preserve"> </w:t>
      </w:r>
      <w:r>
        <w:rPr>
          <w:rFonts w:ascii="Times New Roman" w:hAnsi="Times New Roman"/>
          <w:szCs w:val="24"/>
          <w:lang w:val="bs-Latn-BA"/>
        </w:rPr>
        <w:t>подјеле</w:t>
      </w:r>
      <w:r w:rsidR="00870AE1">
        <w:rPr>
          <w:rFonts w:ascii="Times New Roman" w:hAnsi="Times New Roman"/>
          <w:szCs w:val="24"/>
          <w:lang w:val="bs-Latn-BA"/>
        </w:rPr>
        <w:t xml:space="preserve"> </w:t>
      </w:r>
      <w:r>
        <w:rPr>
          <w:rFonts w:ascii="Times New Roman" w:hAnsi="Times New Roman"/>
          <w:szCs w:val="24"/>
          <w:lang w:val="bs-Latn-BA"/>
        </w:rPr>
        <w:t>породичних</w:t>
      </w:r>
      <w:r w:rsidR="00870AE1">
        <w:rPr>
          <w:rFonts w:ascii="Times New Roman" w:hAnsi="Times New Roman"/>
          <w:szCs w:val="24"/>
          <w:lang w:val="bs-Latn-BA"/>
        </w:rPr>
        <w:t xml:space="preserve"> </w:t>
      </w:r>
      <w:r>
        <w:rPr>
          <w:rFonts w:ascii="Times New Roman" w:hAnsi="Times New Roman"/>
          <w:szCs w:val="24"/>
          <w:lang w:val="bs-Latn-BA"/>
        </w:rPr>
        <w:t>обвеза</w:t>
      </w:r>
      <w:r w:rsidR="00804284" w:rsidRPr="00295637">
        <w:rPr>
          <w:rFonts w:ascii="Times New Roman" w:hAnsi="Times New Roman"/>
          <w:szCs w:val="24"/>
          <w:lang w:val="bs-Latn-BA"/>
        </w:rPr>
        <w:t xml:space="preserve"> </w:t>
      </w:r>
      <w:r>
        <w:rPr>
          <w:rFonts w:ascii="Times New Roman" w:hAnsi="Times New Roman"/>
          <w:szCs w:val="24"/>
          <w:lang w:val="bs-Latn-BA"/>
        </w:rPr>
        <w:t>у</w:t>
      </w:r>
      <w:r w:rsidR="00804284" w:rsidRPr="00295637">
        <w:rPr>
          <w:rFonts w:ascii="Times New Roman" w:hAnsi="Times New Roman"/>
          <w:szCs w:val="24"/>
          <w:lang w:val="bs-Latn-BA"/>
        </w:rPr>
        <w:t xml:space="preserve"> </w:t>
      </w:r>
      <w:r>
        <w:rPr>
          <w:rFonts w:ascii="Times New Roman" w:hAnsi="Times New Roman"/>
          <w:szCs w:val="24"/>
          <w:lang w:val="bs-Latn-BA"/>
        </w:rPr>
        <w:t>домаћинству</w:t>
      </w:r>
      <w:r w:rsidR="00804284" w:rsidRPr="00295637">
        <w:rPr>
          <w:rFonts w:ascii="Times New Roman" w:hAnsi="Times New Roman"/>
          <w:szCs w:val="24"/>
          <w:lang w:val="bs-Latn-BA"/>
        </w:rPr>
        <w:t xml:space="preserve"> </w:t>
      </w:r>
      <w:r>
        <w:rPr>
          <w:rFonts w:ascii="Times New Roman" w:hAnsi="Times New Roman"/>
          <w:szCs w:val="24"/>
          <w:lang w:val="bs-Latn-BA"/>
        </w:rPr>
        <w:t>показало</w:t>
      </w:r>
      <w:r w:rsidR="00804284" w:rsidRPr="00295637">
        <w:rPr>
          <w:rFonts w:ascii="Times New Roman" w:hAnsi="Times New Roman"/>
          <w:szCs w:val="24"/>
          <w:lang w:val="bs-Latn-BA"/>
        </w:rPr>
        <w:t xml:space="preserve"> </w:t>
      </w:r>
      <w:r>
        <w:rPr>
          <w:rFonts w:ascii="Times New Roman" w:hAnsi="Times New Roman"/>
          <w:szCs w:val="24"/>
          <w:lang w:val="bs-Latn-BA"/>
        </w:rPr>
        <w:t>је</w:t>
      </w:r>
      <w:r w:rsidR="00804284" w:rsidRPr="00295637">
        <w:rPr>
          <w:rFonts w:ascii="Times New Roman" w:hAnsi="Times New Roman"/>
          <w:szCs w:val="24"/>
          <w:lang w:val="bs-Latn-BA"/>
        </w:rPr>
        <w:t xml:space="preserve"> </w:t>
      </w:r>
      <w:r>
        <w:rPr>
          <w:rFonts w:ascii="Times New Roman" w:hAnsi="Times New Roman"/>
          <w:szCs w:val="24"/>
          <w:lang w:val="bs-Latn-BA"/>
        </w:rPr>
        <w:t>да</w:t>
      </w:r>
      <w:r w:rsidR="00804284" w:rsidRPr="00295637">
        <w:rPr>
          <w:rFonts w:ascii="Times New Roman" w:hAnsi="Times New Roman"/>
          <w:szCs w:val="24"/>
          <w:lang w:val="bs-Latn-BA"/>
        </w:rPr>
        <w:t xml:space="preserve"> </w:t>
      </w:r>
      <w:r>
        <w:rPr>
          <w:rFonts w:ascii="Times New Roman" w:hAnsi="Times New Roman"/>
          <w:szCs w:val="24"/>
          <w:lang w:val="bs-Latn-BA"/>
        </w:rPr>
        <w:t>у</w:t>
      </w:r>
      <w:r w:rsidR="00804284" w:rsidRPr="00295637">
        <w:rPr>
          <w:rFonts w:ascii="Times New Roman" w:hAnsi="Times New Roman"/>
          <w:szCs w:val="24"/>
          <w:lang w:val="bs-Latn-BA"/>
        </w:rPr>
        <w:t xml:space="preserve"> 93,8% </w:t>
      </w:r>
      <w:r>
        <w:rPr>
          <w:rFonts w:ascii="Times New Roman" w:hAnsi="Times New Roman"/>
          <w:szCs w:val="24"/>
          <w:lang w:val="bs-Latn-BA"/>
        </w:rPr>
        <w:t>партнерских</w:t>
      </w:r>
      <w:r w:rsidR="00804284" w:rsidRPr="00295637">
        <w:rPr>
          <w:rFonts w:ascii="Times New Roman" w:hAnsi="Times New Roman"/>
          <w:szCs w:val="24"/>
          <w:lang w:val="bs-Latn-BA"/>
        </w:rPr>
        <w:t xml:space="preserve"> </w:t>
      </w:r>
      <w:r>
        <w:rPr>
          <w:rFonts w:ascii="Times New Roman" w:hAnsi="Times New Roman"/>
          <w:szCs w:val="24"/>
          <w:lang w:val="bs-Latn-BA"/>
        </w:rPr>
        <w:t>заједница</w:t>
      </w:r>
      <w:r w:rsidR="00804284" w:rsidRPr="00295637">
        <w:rPr>
          <w:rFonts w:ascii="Times New Roman" w:hAnsi="Times New Roman"/>
          <w:szCs w:val="24"/>
          <w:lang w:val="bs-Latn-BA"/>
        </w:rPr>
        <w:t xml:space="preserve"> </w:t>
      </w:r>
      <w:r>
        <w:rPr>
          <w:rFonts w:ascii="Times New Roman" w:hAnsi="Times New Roman"/>
          <w:szCs w:val="24"/>
          <w:lang w:val="bs-Latn-BA"/>
        </w:rPr>
        <w:t>све</w:t>
      </w:r>
      <w:r w:rsidR="00804284" w:rsidRPr="00295637">
        <w:rPr>
          <w:rFonts w:ascii="Times New Roman" w:hAnsi="Times New Roman"/>
          <w:szCs w:val="24"/>
          <w:lang w:val="bs-Latn-BA"/>
        </w:rPr>
        <w:t xml:space="preserve"> </w:t>
      </w:r>
      <w:r>
        <w:rPr>
          <w:rFonts w:ascii="Times New Roman" w:hAnsi="Times New Roman"/>
          <w:szCs w:val="24"/>
          <w:lang w:val="bs-Latn-BA"/>
        </w:rPr>
        <w:t>рутинске</w:t>
      </w:r>
      <w:r w:rsidR="00804284" w:rsidRPr="00295637">
        <w:rPr>
          <w:rFonts w:ascii="Times New Roman" w:hAnsi="Times New Roman"/>
          <w:szCs w:val="24"/>
          <w:lang w:val="bs-Latn-BA"/>
        </w:rPr>
        <w:t xml:space="preserve"> </w:t>
      </w:r>
      <w:r>
        <w:rPr>
          <w:rFonts w:ascii="Times New Roman" w:hAnsi="Times New Roman"/>
          <w:szCs w:val="24"/>
          <w:lang w:val="bs-Latn-BA"/>
        </w:rPr>
        <w:t>обавезе</w:t>
      </w:r>
      <w:r w:rsidR="00804284" w:rsidRPr="00295637">
        <w:rPr>
          <w:rFonts w:ascii="Times New Roman" w:hAnsi="Times New Roman"/>
          <w:szCs w:val="24"/>
          <w:lang w:val="bs-Latn-BA"/>
        </w:rPr>
        <w:t xml:space="preserve"> </w:t>
      </w:r>
      <w:r>
        <w:rPr>
          <w:rFonts w:ascii="Times New Roman" w:hAnsi="Times New Roman"/>
          <w:szCs w:val="24"/>
          <w:lang w:val="bs-Latn-BA"/>
        </w:rPr>
        <w:t>у</w:t>
      </w:r>
      <w:r w:rsidR="00804284" w:rsidRPr="00295637">
        <w:rPr>
          <w:rFonts w:ascii="Times New Roman" w:hAnsi="Times New Roman"/>
          <w:szCs w:val="24"/>
          <w:lang w:val="bs-Latn-BA"/>
        </w:rPr>
        <w:t xml:space="preserve"> </w:t>
      </w:r>
      <w:r>
        <w:rPr>
          <w:rFonts w:ascii="Times New Roman" w:hAnsi="Times New Roman"/>
          <w:szCs w:val="24"/>
          <w:lang w:val="bs-Latn-BA"/>
        </w:rPr>
        <w:t>домаћинству</w:t>
      </w:r>
      <w:r w:rsidR="00804284" w:rsidRPr="00295637">
        <w:rPr>
          <w:rFonts w:ascii="Times New Roman" w:hAnsi="Times New Roman"/>
          <w:szCs w:val="24"/>
          <w:lang w:val="bs-Latn-BA"/>
        </w:rPr>
        <w:t xml:space="preserve"> </w:t>
      </w:r>
      <w:r>
        <w:rPr>
          <w:rFonts w:ascii="Times New Roman" w:hAnsi="Times New Roman"/>
          <w:szCs w:val="24"/>
          <w:lang w:val="bs-Latn-BA"/>
        </w:rPr>
        <w:t>обављају</w:t>
      </w:r>
      <w:r w:rsidR="00804284" w:rsidRPr="00295637">
        <w:rPr>
          <w:rFonts w:ascii="Times New Roman" w:hAnsi="Times New Roman"/>
          <w:szCs w:val="24"/>
          <w:lang w:val="bs-Latn-BA"/>
        </w:rPr>
        <w:t xml:space="preserve"> </w:t>
      </w:r>
      <w:r>
        <w:rPr>
          <w:rFonts w:ascii="Times New Roman" w:hAnsi="Times New Roman"/>
          <w:szCs w:val="24"/>
          <w:lang w:val="bs-Latn-BA"/>
        </w:rPr>
        <w:t>жене</w:t>
      </w:r>
      <w:r w:rsidR="00804284" w:rsidRPr="00295637">
        <w:rPr>
          <w:rFonts w:ascii="Times New Roman" w:hAnsi="Times New Roman"/>
          <w:szCs w:val="24"/>
          <w:lang w:val="bs-Latn-BA"/>
        </w:rPr>
        <w:t xml:space="preserve">, </w:t>
      </w:r>
      <w:r>
        <w:rPr>
          <w:rFonts w:ascii="Times New Roman" w:hAnsi="Times New Roman"/>
          <w:szCs w:val="24"/>
          <w:lang w:val="bs-Latn-BA"/>
        </w:rPr>
        <w:t>док</w:t>
      </w:r>
      <w:r w:rsidR="00804284" w:rsidRPr="00295637">
        <w:rPr>
          <w:rFonts w:ascii="Times New Roman" w:hAnsi="Times New Roman"/>
          <w:szCs w:val="24"/>
          <w:lang w:val="bs-Latn-BA"/>
        </w:rPr>
        <w:t xml:space="preserve"> </w:t>
      </w:r>
      <w:r>
        <w:rPr>
          <w:rFonts w:ascii="Times New Roman" w:hAnsi="Times New Roman"/>
          <w:szCs w:val="24"/>
          <w:lang w:val="bs-Latn-BA"/>
        </w:rPr>
        <w:t>већа</w:t>
      </w:r>
      <w:r w:rsidR="00804284" w:rsidRPr="00295637">
        <w:rPr>
          <w:rFonts w:ascii="Times New Roman" w:hAnsi="Times New Roman"/>
          <w:szCs w:val="24"/>
          <w:lang w:val="bs-Latn-BA"/>
        </w:rPr>
        <w:t xml:space="preserve"> </w:t>
      </w:r>
      <w:r>
        <w:rPr>
          <w:rFonts w:ascii="Times New Roman" w:hAnsi="Times New Roman"/>
          <w:szCs w:val="24"/>
          <w:lang w:val="bs-Latn-BA"/>
        </w:rPr>
        <w:t>равнотежа</w:t>
      </w:r>
      <w:r w:rsidR="00804284" w:rsidRPr="00295637">
        <w:rPr>
          <w:rFonts w:ascii="Times New Roman" w:hAnsi="Times New Roman"/>
          <w:szCs w:val="24"/>
          <w:lang w:val="bs-Latn-BA"/>
        </w:rPr>
        <w:t xml:space="preserve"> </w:t>
      </w:r>
      <w:r>
        <w:rPr>
          <w:rFonts w:ascii="Times New Roman" w:hAnsi="Times New Roman"/>
          <w:szCs w:val="24"/>
          <w:lang w:val="bs-Latn-BA"/>
        </w:rPr>
        <w:t>постоји</w:t>
      </w:r>
      <w:r w:rsidR="00804284" w:rsidRPr="00295637">
        <w:rPr>
          <w:rFonts w:ascii="Times New Roman" w:hAnsi="Times New Roman"/>
          <w:szCs w:val="24"/>
          <w:lang w:val="bs-Latn-BA"/>
        </w:rPr>
        <w:t xml:space="preserve"> </w:t>
      </w:r>
      <w:r>
        <w:rPr>
          <w:rFonts w:ascii="Times New Roman" w:hAnsi="Times New Roman"/>
          <w:szCs w:val="24"/>
          <w:lang w:val="bs-Latn-BA"/>
        </w:rPr>
        <w:t>у</w:t>
      </w:r>
      <w:r w:rsidR="00804284" w:rsidRPr="00295637">
        <w:rPr>
          <w:rFonts w:ascii="Times New Roman" w:hAnsi="Times New Roman"/>
          <w:szCs w:val="24"/>
          <w:lang w:val="bs-Latn-BA"/>
        </w:rPr>
        <w:t xml:space="preserve"> </w:t>
      </w:r>
      <w:r>
        <w:rPr>
          <w:rFonts w:ascii="Times New Roman" w:hAnsi="Times New Roman"/>
          <w:szCs w:val="24"/>
          <w:lang w:val="bs-Latn-BA"/>
        </w:rPr>
        <w:t>случају</w:t>
      </w:r>
      <w:r w:rsidR="00870AE1">
        <w:rPr>
          <w:rFonts w:ascii="Times New Roman" w:hAnsi="Times New Roman"/>
          <w:szCs w:val="24"/>
          <w:lang w:val="bs-Latn-BA"/>
        </w:rPr>
        <w:t xml:space="preserve"> </w:t>
      </w:r>
      <w:r>
        <w:rPr>
          <w:rFonts w:ascii="Times New Roman" w:hAnsi="Times New Roman"/>
          <w:szCs w:val="24"/>
          <w:lang w:val="bs-Latn-BA"/>
        </w:rPr>
        <w:t>бриге</w:t>
      </w:r>
      <w:r w:rsidR="00870AE1">
        <w:rPr>
          <w:rFonts w:ascii="Times New Roman" w:hAnsi="Times New Roman"/>
          <w:szCs w:val="24"/>
          <w:lang w:val="bs-Latn-BA"/>
        </w:rPr>
        <w:t xml:space="preserve"> </w:t>
      </w:r>
      <w:r>
        <w:rPr>
          <w:rFonts w:ascii="Times New Roman" w:hAnsi="Times New Roman"/>
          <w:szCs w:val="24"/>
          <w:lang w:val="bs-Latn-BA"/>
        </w:rPr>
        <w:t>о</w:t>
      </w:r>
      <w:r w:rsidR="00870AE1">
        <w:rPr>
          <w:rFonts w:ascii="Times New Roman" w:hAnsi="Times New Roman"/>
          <w:szCs w:val="24"/>
          <w:lang w:val="bs-Latn-BA"/>
        </w:rPr>
        <w:t xml:space="preserve"> </w:t>
      </w:r>
      <w:r>
        <w:rPr>
          <w:rFonts w:ascii="Times New Roman" w:hAnsi="Times New Roman"/>
          <w:szCs w:val="24"/>
          <w:lang w:val="bs-Latn-BA"/>
        </w:rPr>
        <w:t>дјеци</w:t>
      </w:r>
      <w:r w:rsidR="00870AE1">
        <w:rPr>
          <w:rFonts w:ascii="Times New Roman" w:hAnsi="Times New Roman"/>
          <w:szCs w:val="24"/>
          <w:lang w:val="bs-Latn-BA"/>
        </w:rPr>
        <w:t xml:space="preserve"> </w:t>
      </w:r>
      <w:r>
        <w:rPr>
          <w:rFonts w:ascii="Times New Roman" w:hAnsi="Times New Roman"/>
          <w:szCs w:val="24"/>
          <w:lang w:val="bs-Latn-BA"/>
        </w:rPr>
        <w:t>те</w:t>
      </w:r>
      <w:r w:rsidR="00870AE1">
        <w:rPr>
          <w:rFonts w:ascii="Times New Roman" w:hAnsi="Times New Roman"/>
          <w:szCs w:val="24"/>
          <w:lang w:val="bs-Latn-BA"/>
        </w:rPr>
        <w:t xml:space="preserve"> </w:t>
      </w:r>
      <w:r>
        <w:rPr>
          <w:rFonts w:ascii="Times New Roman" w:hAnsi="Times New Roman"/>
          <w:szCs w:val="24"/>
          <w:lang w:val="bs-Latn-BA"/>
        </w:rPr>
        <w:t>повремене</w:t>
      </w:r>
      <w:r w:rsidR="00870AE1">
        <w:rPr>
          <w:rFonts w:ascii="Times New Roman" w:hAnsi="Times New Roman"/>
          <w:szCs w:val="24"/>
          <w:lang w:val="bs-Latn-BA"/>
        </w:rPr>
        <w:t xml:space="preserve"> </w:t>
      </w:r>
      <w:r>
        <w:rPr>
          <w:rFonts w:ascii="Times New Roman" w:hAnsi="Times New Roman"/>
          <w:szCs w:val="24"/>
          <w:lang w:val="bs-Latn-BA"/>
        </w:rPr>
        <w:t>обавезе</w:t>
      </w:r>
      <w:r w:rsidR="00804284" w:rsidRPr="00295637">
        <w:rPr>
          <w:rFonts w:ascii="Times New Roman" w:hAnsi="Times New Roman"/>
          <w:szCs w:val="24"/>
          <w:lang w:val="bs-Latn-BA"/>
        </w:rPr>
        <w:t xml:space="preserve"> </w:t>
      </w:r>
      <w:r>
        <w:rPr>
          <w:rFonts w:ascii="Times New Roman" w:hAnsi="Times New Roman"/>
          <w:szCs w:val="24"/>
          <w:lang w:val="bs-Latn-BA"/>
        </w:rPr>
        <w:t>у</w:t>
      </w:r>
      <w:r w:rsidR="00804284" w:rsidRPr="00295637">
        <w:rPr>
          <w:rFonts w:ascii="Times New Roman" w:hAnsi="Times New Roman"/>
          <w:szCs w:val="24"/>
          <w:lang w:val="bs-Latn-BA"/>
        </w:rPr>
        <w:t xml:space="preserve"> </w:t>
      </w:r>
      <w:r>
        <w:rPr>
          <w:rFonts w:ascii="Times New Roman" w:hAnsi="Times New Roman"/>
          <w:szCs w:val="24"/>
          <w:lang w:val="bs-Latn-BA"/>
        </w:rPr>
        <w:t>домаћинству</w:t>
      </w:r>
      <w:r w:rsidR="00804284" w:rsidRPr="00295637">
        <w:rPr>
          <w:rFonts w:ascii="Times New Roman" w:hAnsi="Times New Roman"/>
          <w:szCs w:val="24"/>
          <w:lang w:val="bs-Latn-BA"/>
        </w:rPr>
        <w:t>.</w:t>
      </w:r>
    </w:p>
    <w:p w:rsidR="00804284" w:rsidRPr="00295637" w:rsidRDefault="00804284" w:rsidP="0086268D">
      <w:pPr>
        <w:jc w:val="both"/>
        <w:rPr>
          <w:rFonts w:ascii="Times New Roman" w:hAnsi="Times New Roman"/>
          <w:color w:val="000000"/>
          <w:szCs w:val="24"/>
          <w:lang w:val="bs-Latn-BA"/>
        </w:rPr>
      </w:pPr>
    </w:p>
    <w:p w:rsidR="00820915" w:rsidRPr="000D058D" w:rsidRDefault="00C6214E" w:rsidP="0086268D">
      <w:pPr>
        <w:jc w:val="both"/>
        <w:rPr>
          <w:rFonts w:ascii="Times New Roman" w:hAnsi="Times New Roman"/>
          <w:szCs w:val="24"/>
          <w:lang w:val="hr-HR"/>
        </w:rPr>
      </w:pPr>
      <w:r>
        <w:rPr>
          <w:rFonts w:ascii="Times New Roman" w:hAnsi="Times New Roman"/>
          <w:color w:val="000000"/>
          <w:szCs w:val="24"/>
          <w:lang w:val="bs-Latn-BA"/>
        </w:rPr>
        <w:t>Према</w:t>
      </w:r>
      <w:r w:rsidR="009C354A" w:rsidRPr="00295637">
        <w:rPr>
          <w:rFonts w:ascii="Times New Roman" w:hAnsi="Times New Roman"/>
          <w:color w:val="000000"/>
          <w:szCs w:val="24"/>
          <w:lang w:val="bs-Latn-BA"/>
        </w:rPr>
        <w:t xml:space="preserve"> </w:t>
      </w:r>
      <w:r>
        <w:rPr>
          <w:rFonts w:ascii="Times New Roman" w:hAnsi="Times New Roman"/>
          <w:color w:val="000000"/>
          <w:szCs w:val="24"/>
          <w:lang w:val="bs-Latn-BA"/>
        </w:rPr>
        <w:t>налазима</w:t>
      </w:r>
      <w:r w:rsidR="009C354A" w:rsidRPr="00295637">
        <w:rPr>
          <w:rFonts w:ascii="Times New Roman" w:hAnsi="Times New Roman"/>
          <w:color w:val="000000"/>
          <w:szCs w:val="24"/>
          <w:lang w:val="bs-Latn-BA"/>
        </w:rPr>
        <w:t xml:space="preserve"> </w:t>
      </w:r>
      <w:r>
        <w:rPr>
          <w:rFonts w:ascii="Times New Roman" w:hAnsi="Times New Roman"/>
          <w:color w:val="000000"/>
          <w:szCs w:val="24"/>
          <w:lang w:val="bs-Latn-BA"/>
        </w:rPr>
        <w:t>бх</w:t>
      </w:r>
      <w:r w:rsidR="00870AE1">
        <w:rPr>
          <w:rFonts w:ascii="Times New Roman" w:hAnsi="Times New Roman"/>
          <w:color w:val="000000"/>
          <w:szCs w:val="24"/>
          <w:lang w:val="bs-Latn-BA"/>
        </w:rPr>
        <w:t>.</w:t>
      </w:r>
      <w:r w:rsidR="009C354A" w:rsidRPr="00295637">
        <w:rPr>
          <w:rFonts w:ascii="Times New Roman" w:hAnsi="Times New Roman"/>
          <w:color w:val="000000"/>
          <w:szCs w:val="24"/>
          <w:lang w:val="bs-Latn-BA"/>
        </w:rPr>
        <w:t xml:space="preserve"> </w:t>
      </w:r>
      <w:r>
        <w:rPr>
          <w:rFonts w:ascii="Times New Roman" w:hAnsi="Times New Roman"/>
          <w:color w:val="000000"/>
          <w:szCs w:val="24"/>
          <w:lang w:val="bs-Latn-BA"/>
        </w:rPr>
        <w:t>Индекса</w:t>
      </w:r>
      <w:r w:rsidR="009C354A" w:rsidRPr="00295637">
        <w:rPr>
          <w:rFonts w:ascii="Times New Roman" w:hAnsi="Times New Roman"/>
          <w:color w:val="000000"/>
          <w:szCs w:val="24"/>
          <w:lang w:val="bs-Latn-BA"/>
        </w:rPr>
        <w:t xml:space="preserve"> </w:t>
      </w:r>
      <w:r>
        <w:rPr>
          <w:rFonts w:ascii="Times New Roman" w:hAnsi="Times New Roman"/>
          <w:color w:val="000000"/>
          <w:szCs w:val="24"/>
          <w:lang w:val="bs-Latn-BA"/>
        </w:rPr>
        <w:t>равноправности</w:t>
      </w:r>
      <w:r w:rsidR="009C354A" w:rsidRPr="00295637">
        <w:rPr>
          <w:rFonts w:ascii="Times New Roman" w:hAnsi="Times New Roman"/>
          <w:color w:val="000000"/>
          <w:szCs w:val="24"/>
          <w:lang w:val="bs-Latn-BA"/>
        </w:rPr>
        <w:t xml:space="preserve"> </w:t>
      </w:r>
      <w:r>
        <w:rPr>
          <w:rFonts w:ascii="Times New Roman" w:hAnsi="Times New Roman"/>
          <w:color w:val="000000"/>
          <w:szCs w:val="24"/>
          <w:lang w:val="bs-Latn-BA"/>
        </w:rPr>
        <w:t>полова</w:t>
      </w:r>
      <w:r w:rsidR="009C354A" w:rsidRPr="00295637">
        <w:rPr>
          <w:rFonts w:ascii="Times New Roman" w:hAnsi="Times New Roman"/>
          <w:color w:val="000000"/>
          <w:szCs w:val="24"/>
          <w:lang w:val="bs-Latn-BA"/>
        </w:rPr>
        <w:t xml:space="preserve"> 2024</w:t>
      </w:r>
      <w:r w:rsidR="00870AE1">
        <w:rPr>
          <w:rFonts w:ascii="Times New Roman" w:hAnsi="Times New Roman"/>
          <w:color w:val="000000"/>
          <w:szCs w:val="24"/>
          <w:lang w:val="bs-Latn-BA"/>
        </w:rPr>
        <w:t xml:space="preserve">. </w:t>
      </w:r>
      <w:r>
        <w:rPr>
          <w:rFonts w:ascii="Times New Roman" w:hAnsi="Times New Roman"/>
          <w:color w:val="000000"/>
          <w:szCs w:val="24"/>
          <w:lang w:val="bs-Latn-BA"/>
        </w:rPr>
        <w:t>године</w:t>
      </w:r>
      <w:r w:rsidR="009C354A" w:rsidRPr="00295637">
        <w:rPr>
          <w:rFonts w:ascii="Times New Roman" w:hAnsi="Times New Roman"/>
          <w:color w:val="000000"/>
          <w:szCs w:val="24"/>
          <w:lang w:val="bs-Latn-BA"/>
        </w:rPr>
        <w:t xml:space="preserve">, </w:t>
      </w:r>
      <w:r>
        <w:rPr>
          <w:rFonts w:ascii="Times New Roman" w:hAnsi="Times New Roman"/>
          <w:color w:val="000000"/>
          <w:szCs w:val="24"/>
          <w:lang w:val="bs-Latn-BA"/>
        </w:rPr>
        <w:t>резултат</w:t>
      </w:r>
      <w:r w:rsidR="009C354A" w:rsidRPr="00295637">
        <w:rPr>
          <w:rFonts w:ascii="Times New Roman" w:hAnsi="Times New Roman"/>
          <w:color w:val="000000"/>
          <w:szCs w:val="24"/>
          <w:lang w:val="bs-Latn-BA"/>
        </w:rPr>
        <w:t xml:space="preserve"> </w:t>
      </w:r>
      <w:r>
        <w:rPr>
          <w:rFonts w:ascii="Times New Roman" w:hAnsi="Times New Roman"/>
          <w:color w:val="000000"/>
          <w:szCs w:val="24"/>
          <w:lang w:val="bs-Latn-BA"/>
        </w:rPr>
        <w:t>за</w:t>
      </w:r>
      <w:r w:rsidR="009C354A" w:rsidRPr="00295637">
        <w:rPr>
          <w:rFonts w:ascii="Times New Roman" w:hAnsi="Times New Roman"/>
          <w:color w:val="000000"/>
          <w:szCs w:val="24"/>
          <w:lang w:val="bs-Latn-BA"/>
        </w:rPr>
        <w:t xml:space="preserve"> </w:t>
      </w:r>
      <w:r>
        <w:rPr>
          <w:rFonts w:ascii="Times New Roman" w:hAnsi="Times New Roman"/>
          <w:color w:val="000000"/>
          <w:szCs w:val="24"/>
          <w:lang w:val="bs-Latn-BA"/>
        </w:rPr>
        <w:t>поддомен</w:t>
      </w:r>
      <w:r w:rsidR="009C354A" w:rsidRPr="00295637">
        <w:rPr>
          <w:rFonts w:ascii="Times New Roman" w:hAnsi="Times New Roman"/>
          <w:color w:val="000000"/>
          <w:szCs w:val="24"/>
          <w:lang w:val="bs-Latn-BA"/>
        </w:rPr>
        <w:t xml:space="preserve"> “</w:t>
      </w:r>
      <w:r>
        <w:rPr>
          <w:rFonts w:ascii="Times New Roman" w:hAnsi="Times New Roman"/>
          <w:color w:val="000000"/>
          <w:szCs w:val="24"/>
          <w:lang w:val="bs-Latn-BA"/>
        </w:rPr>
        <w:t>учешће</w:t>
      </w:r>
      <w:r w:rsidR="009C354A" w:rsidRPr="00295637">
        <w:rPr>
          <w:rFonts w:ascii="Times New Roman" w:hAnsi="Times New Roman"/>
          <w:color w:val="000000"/>
          <w:szCs w:val="24"/>
          <w:lang w:val="bs-Latn-BA"/>
        </w:rPr>
        <w:t xml:space="preserve">”, </w:t>
      </w:r>
      <w:r>
        <w:rPr>
          <w:rFonts w:ascii="Times New Roman" w:hAnsi="Times New Roman"/>
          <w:color w:val="000000"/>
          <w:szCs w:val="24"/>
          <w:lang w:val="bs-Latn-BA"/>
        </w:rPr>
        <w:t>износи</w:t>
      </w:r>
      <w:r w:rsidR="009C354A" w:rsidRPr="00295637">
        <w:rPr>
          <w:rFonts w:ascii="Times New Roman" w:hAnsi="Times New Roman"/>
          <w:color w:val="000000"/>
          <w:szCs w:val="24"/>
          <w:lang w:val="bs-Latn-BA"/>
        </w:rPr>
        <w:t xml:space="preserve"> 61.4</w:t>
      </w:r>
      <w:r w:rsidR="005F79B6" w:rsidRPr="00295637">
        <w:rPr>
          <w:rFonts w:ascii="Times New Roman" w:hAnsi="Times New Roman"/>
          <w:color w:val="000000"/>
          <w:szCs w:val="24"/>
          <w:lang w:val="bs-Latn-BA"/>
        </w:rPr>
        <w:t>,</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што</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представља</w:t>
      </w:r>
      <w:r w:rsidR="00870AE1">
        <w:rPr>
          <w:rFonts w:ascii="Times New Roman" w:hAnsi="Times New Roman"/>
          <w:color w:val="000000"/>
          <w:szCs w:val="24"/>
          <w:lang w:val="bs-Latn-BA"/>
        </w:rPr>
        <w:t xml:space="preserve"> </w:t>
      </w:r>
      <w:r>
        <w:rPr>
          <w:rFonts w:ascii="Times New Roman" w:hAnsi="Times New Roman"/>
          <w:color w:val="000000"/>
          <w:szCs w:val="24"/>
          <w:lang w:val="bs-Latn-BA"/>
        </w:rPr>
        <w:t>благи</w:t>
      </w:r>
      <w:r w:rsidR="00870AE1">
        <w:rPr>
          <w:rFonts w:ascii="Times New Roman" w:hAnsi="Times New Roman"/>
          <w:color w:val="000000"/>
          <w:szCs w:val="24"/>
          <w:lang w:val="bs-Latn-BA"/>
        </w:rPr>
        <w:t xml:space="preserve"> </w:t>
      </w:r>
      <w:r>
        <w:rPr>
          <w:rFonts w:ascii="Times New Roman" w:hAnsi="Times New Roman"/>
          <w:color w:val="000000"/>
          <w:szCs w:val="24"/>
          <w:lang w:val="bs-Latn-BA"/>
        </w:rPr>
        <w:t>пораст</w:t>
      </w:r>
      <w:r w:rsidR="00870AE1">
        <w:rPr>
          <w:rFonts w:ascii="Times New Roman" w:hAnsi="Times New Roman"/>
          <w:color w:val="000000"/>
          <w:szCs w:val="24"/>
          <w:lang w:val="bs-Latn-BA"/>
        </w:rPr>
        <w:t xml:space="preserve"> </w:t>
      </w:r>
      <w:r>
        <w:rPr>
          <w:rFonts w:ascii="Times New Roman" w:hAnsi="Times New Roman"/>
          <w:color w:val="000000"/>
          <w:szCs w:val="24"/>
          <w:lang w:val="bs-Latn-BA"/>
        </w:rPr>
        <w:t>у</w:t>
      </w:r>
      <w:r w:rsidR="00870AE1">
        <w:rPr>
          <w:rFonts w:ascii="Times New Roman" w:hAnsi="Times New Roman"/>
          <w:color w:val="000000"/>
          <w:szCs w:val="24"/>
          <w:lang w:val="bs-Latn-BA"/>
        </w:rPr>
        <w:t xml:space="preserve"> </w:t>
      </w:r>
      <w:r>
        <w:rPr>
          <w:rFonts w:ascii="Times New Roman" w:hAnsi="Times New Roman"/>
          <w:color w:val="000000"/>
          <w:szCs w:val="24"/>
          <w:lang w:val="bs-Latn-BA"/>
        </w:rPr>
        <w:t>поређењу</w:t>
      </w:r>
      <w:r w:rsidR="00870AE1">
        <w:rPr>
          <w:rFonts w:ascii="Times New Roman" w:hAnsi="Times New Roman"/>
          <w:color w:val="000000"/>
          <w:szCs w:val="24"/>
          <w:lang w:val="bs-Latn-BA"/>
        </w:rPr>
        <w:t xml:space="preserve"> </w:t>
      </w:r>
      <w:r>
        <w:rPr>
          <w:rFonts w:ascii="Times New Roman" w:hAnsi="Times New Roman"/>
          <w:color w:val="000000"/>
          <w:szCs w:val="24"/>
          <w:lang w:val="bs-Latn-BA"/>
        </w:rPr>
        <w:t>са</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Индексом</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за</w:t>
      </w:r>
      <w:r w:rsidR="00804284" w:rsidRPr="00295637">
        <w:rPr>
          <w:rFonts w:ascii="Times New Roman" w:hAnsi="Times New Roman"/>
          <w:color w:val="000000"/>
          <w:szCs w:val="24"/>
          <w:lang w:val="bs-Latn-BA"/>
        </w:rPr>
        <w:t xml:space="preserve"> 2023</w:t>
      </w:r>
      <w:r w:rsidR="00870AE1">
        <w:rPr>
          <w:rFonts w:ascii="Times New Roman" w:hAnsi="Times New Roman"/>
          <w:color w:val="000000"/>
          <w:szCs w:val="24"/>
          <w:lang w:val="bs-Latn-BA"/>
        </w:rPr>
        <w:t>.</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годину</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који</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је</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износио</w:t>
      </w:r>
      <w:r w:rsidR="00804284" w:rsidRPr="00295637">
        <w:rPr>
          <w:rFonts w:ascii="Times New Roman" w:hAnsi="Times New Roman"/>
          <w:color w:val="000000"/>
          <w:szCs w:val="24"/>
          <w:lang w:val="bs-Latn-BA"/>
        </w:rPr>
        <w:t xml:space="preserve"> 60.9 </w:t>
      </w:r>
      <w:r>
        <w:rPr>
          <w:rFonts w:ascii="Times New Roman" w:hAnsi="Times New Roman"/>
          <w:color w:val="000000"/>
          <w:szCs w:val="24"/>
          <w:lang w:val="bs-Latn-BA"/>
        </w:rPr>
        <w:t>бодова</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али</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је</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и</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даље</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ниже</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од</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резултата</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за</w:t>
      </w:r>
      <w:r w:rsidR="00804284" w:rsidRPr="00295637">
        <w:rPr>
          <w:rFonts w:ascii="Times New Roman" w:hAnsi="Times New Roman"/>
          <w:color w:val="000000"/>
          <w:szCs w:val="24"/>
          <w:lang w:val="bs-Latn-BA"/>
        </w:rPr>
        <w:t xml:space="preserve"> 2022</w:t>
      </w:r>
      <w:r w:rsidR="00870AE1">
        <w:rPr>
          <w:rFonts w:ascii="Times New Roman" w:hAnsi="Times New Roman"/>
          <w:color w:val="000000"/>
          <w:szCs w:val="24"/>
          <w:lang w:val="bs-Latn-BA"/>
        </w:rPr>
        <w:t xml:space="preserve">. </w:t>
      </w:r>
      <w:r>
        <w:rPr>
          <w:rFonts w:ascii="Times New Roman" w:hAnsi="Times New Roman"/>
          <w:color w:val="000000"/>
          <w:szCs w:val="24"/>
          <w:lang w:val="bs-Latn-BA"/>
        </w:rPr>
        <w:t>годину</w:t>
      </w:r>
      <w:r w:rsidR="005F79B6" w:rsidRPr="00295637">
        <w:rPr>
          <w:rFonts w:ascii="Times New Roman" w:hAnsi="Times New Roman"/>
          <w:color w:val="000000"/>
          <w:szCs w:val="24"/>
          <w:lang w:val="bs-Latn-BA"/>
        </w:rPr>
        <w:t>,</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који</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је</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у</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поддомену</w:t>
      </w:r>
      <w:r w:rsidR="00804284" w:rsidRPr="00295637">
        <w:rPr>
          <w:rFonts w:ascii="Times New Roman" w:hAnsi="Times New Roman"/>
          <w:color w:val="000000"/>
          <w:szCs w:val="24"/>
          <w:lang w:val="bs-Latn-BA"/>
        </w:rPr>
        <w:t xml:space="preserve"> </w:t>
      </w:r>
      <w:r w:rsidR="005F79B6" w:rsidRPr="00295637">
        <w:rPr>
          <w:rFonts w:ascii="Times New Roman" w:hAnsi="Times New Roman"/>
          <w:color w:val="000000"/>
          <w:szCs w:val="24"/>
          <w:lang w:val="bs-Latn-BA"/>
        </w:rPr>
        <w:t>„</w:t>
      </w:r>
      <w:r>
        <w:rPr>
          <w:rFonts w:ascii="Times New Roman" w:hAnsi="Times New Roman"/>
          <w:color w:val="000000"/>
          <w:szCs w:val="24"/>
          <w:lang w:val="bs-Latn-BA"/>
        </w:rPr>
        <w:t>учешће</w:t>
      </w:r>
      <w:r w:rsidR="005F79B6" w:rsidRPr="00295637">
        <w:rPr>
          <w:rFonts w:ascii="Times New Roman" w:hAnsi="Times New Roman"/>
          <w:color w:val="000000"/>
          <w:szCs w:val="24"/>
          <w:lang w:val="bs-Latn-BA"/>
        </w:rPr>
        <w:t>“</w:t>
      </w:r>
      <w:r w:rsidR="00D30E48">
        <w:rPr>
          <w:rFonts w:ascii="Times New Roman" w:hAnsi="Times New Roman"/>
          <w:color w:val="000000"/>
          <w:szCs w:val="24"/>
          <w:lang w:val="bs-Latn-BA"/>
        </w:rPr>
        <w:t xml:space="preserve"> </w:t>
      </w:r>
      <w:r>
        <w:rPr>
          <w:rFonts w:ascii="Times New Roman" w:hAnsi="Times New Roman"/>
          <w:color w:val="000000"/>
          <w:szCs w:val="24"/>
          <w:lang w:val="bs-Latn-BA"/>
        </w:rPr>
        <w:t>износио</w:t>
      </w:r>
      <w:r w:rsidR="00D30E48">
        <w:rPr>
          <w:rFonts w:ascii="Times New Roman" w:hAnsi="Times New Roman"/>
          <w:color w:val="000000"/>
          <w:szCs w:val="24"/>
          <w:lang w:val="bs-Latn-BA"/>
        </w:rPr>
        <w:t xml:space="preserve"> 62.8.</w:t>
      </w:r>
      <w:r w:rsidR="00062658">
        <w:rPr>
          <w:rFonts w:ascii="Times New Roman" w:hAnsi="Times New Roman"/>
          <w:color w:val="000000"/>
          <w:szCs w:val="24"/>
          <w:lang w:val="bs-Latn-BA"/>
        </w:rPr>
        <w:t xml:space="preserve"> </w:t>
      </w:r>
      <w:r>
        <w:rPr>
          <w:rFonts w:ascii="Times New Roman" w:hAnsi="Times New Roman"/>
          <w:color w:val="000000"/>
          <w:szCs w:val="24"/>
          <w:lang w:val="bs-Latn-BA"/>
        </w:rPr>
        <w:t>Резултат</w:t>
      </w:r>
      <w:r w:rsidR="00062658">
        <w:rPr>
          <w:rFonts w:ascii="Times New Roman" w:hAnsi="Times New Roman"/>
          <w:color w:val="000000"/>
          <w:szCs w:val="24"/>
          <w:lang w:val="bs-Latn-BA"/>
        </w:rPr>
        <w:t xml:space="preserve"> </w:t>
      </w:r>
      <w:r>
        <w:rPr>
          <w:rFonts w:ascii="Times New Roman" w:hAnsi="Times New Roman"/>
          <w:color w:val="000000"/>
          <w:szCs w:val="24"/>
          <w:lang w:val="bs-Latn-BA"/>
        </w:rPr>
        <w:t>Индекса</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за</w:t>
      </w:r>
      <w:r w:rsidR="00062658">
        <w:rPr>
          <w:rFonts w:ascii="Times New Roman" w:hAnsi="Times New Roman"/>
          <w:color w:val="000000"/>
          <w:szCs w:val="24"/>
          <w:lang w:val="bs-Latn-BA"/>
        </w:rPr>
        <w:t xml:space="preserve"> </w:t>
      </w:r>
      <w:r>
        <w:rPr>
          <w:rFonts w:ascii="Times New Roman" w:hAnsi="Times New Roman"/>
          <w:color w:val="000000"/>
          <w:szCs w:val="24"/>
          <w:lang w:val="bs-Latn-BA"/>
        </w:rPr>
        <w:t>БиХ</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у</w:t>
      </w:r>
      <w:r w:rsidR="00804284" w:rsidRPr="00295637">
        <w:rPr>
          <w:rFonts w:ascii="Times New Roman" w:hAnsi="Times New Roman"/>
          <w:color w:val="000000"/>
          <w:szCs w:val="24"/>
          <w:lang w:val="bs-Latn-BA"/>
        </w:rPr>
        <w:t xml:space="preserve"> 2024. </w:t>
      </w:r>
      <w:r>
        <w:rPr>
          <w:rFonts w:ascii="Times New Roman" w:hAnsi="Times New Roman"/>
          <w:color w:val="000000"/>
          <w:szCs w:val="24"/>
          <w:lang w:val="bs-Latn-BA"/>
        </w:rPr>
        <w:t>години</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у</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овом</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поддомену</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је</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за</w:t>
      </w:r>
      <w:r w:rsidR="00804284" w:rsidRPr="00295637">
        <w:rPr>
          <w:rFonts w:ascii="Times New Roman" w:hAnsi="Times New Roman"/>
          <w:color w:val="000000"/>
          <w:szCs w:val="24"/>
          <w:lang w:val="bs-Latn-BA"/>
        </w:rPr>
        <w:t xml:space="preserve"> 21,9 </w:t>
      </w:r>
      <w:r>
        <w:rPr>
          <w:rFonts w:ascii="Times New Roman" w:hAnsi="Times New Roman"/>
          <w:color w:val="000000"/>
          <w:szCs w:val="24"/>
          <w:lang w:val="bs-Latn-BA"/>
        </w:rPr>
        <w:t>бодова</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нижи</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од</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просјека</w:t>
      </w:r>
      <w:r w:rsidR="00804284" w:rsidRPr="00295637">
        <w:rPr>
          <w:rFonts w:ascii="Times New Roman" w:hAnsi="Times New Roman"/>
          <w:color w:val="000000"/>
          <w:szCs w:val="24"/>
          <w:lang w:val="bs-Latn-BA"/>
        </w:rPr>
        <w:t xml:space="preserve"> </w:t>
      </w:r>
      <w:r>
        <w:rPr>
          <w:rFonts w:ascii="Times New Roman" w:hAnsi="Times New Roman"/>
          <w:color w:val="000000"/>
          <w:szCs w:val="24"/>
          <w:lang w:val="bs-Latn-BA"/>
        </w:rPr>
        <w:t>ЕУ</w:t>
      </w:r>
      <w:r w:rsidR="00804284" w:rsidRPr="00295637">
        <w:rPr>
          <w:rFonts w:ascii="Times New Roman" w:hAnsi="Times New Roman"/>
          <w:color w:val="000000"/>
          <w:szCs w:val="24"/>
          <w:lang w:val="bs-Latn-BA"/>
        </w:rPr>
        <w:t>.</w:t>
      </w:r>
      <w:r w:rsidR="00804284" w:rsidRPr="00295637">
        <w:rPr>
          <w:rFonts w:ascii="Times New Roman" w:hAnsi="Times New Roman"/>
          <w:szCs w:val="24"/>
        </w:rPr>
        <w:t xml:space="preserve"> </w:t>
      </w:r>
      <w:r>
        <w:rPr>
          <w:rFonts w:ascii="Times New Roman" w:hAnsi="Times New Roman"/>
          <w:szCs w:val="24"/>
        </w:rPr>
        <w:t>Поддомен</w:t>
      </w:r>
      <w:r w:rsidR="009C354A" w:rsidRPr="00295637">
        <w:rPr>
          <w:rFonts w:ascii="Times New Roman" w:hAnsi="Times New Roman"/>
          <w:szCs w:val="24"/>
        </w:rPr>
        <w:t xml:space="preserve"> “</w:t>
      </w:r>
      <w:r>
        <w:rPr>
          <w:rFonts w:ascii="Times New Roman" w:hAnsi="Times New Roman"/>
          <w:szCs w:val="24"/>
        </w:rPr>
        <w:t>учешће</w:t>
      </w:r>
      <w:r w:rsidR="009C354A" w:rsidRPr="00295637">
        <w:rPr>
          <w:rFonts w:ascii="Times New Roman" w:hAnsi="Times New Roman"/>
          <w:szCs w:val="24"/>
        </w:rPr>
        <w:t xml:space="preserve">” </w:t>
      </w:r>
      <w:r>
        <w:rPr>
          <w:rFonts w:ascii="Times New Roman" w:hAnsi="Times New Roman"/>
          <w:szCs w:val="24"/>
        </w:rPr>
        <w:t>се</w:t>
      </w:r>
      <w:r w:rsidR="00804284" w:rsidRPr="00295637">
        <w:rPr>
          <w:rFonts w:ascii="Times New Roman" w:hAnsi="Times New Roman"/>
          <w:szCs w:val="24"/>
        </w:rPr>
        <w:t xml:space="preserve"> </w:t>
      </w:r>
      <w:r>
        <w:rPr>
          <w:rFonts w:ascii="Times New Roman" w:hAnsi="Times New Roman"/>
          <w:szCs w:val="24"/>
        </w:rPr>
        <w:t>односи</w:t>
      </w:r>
      <w:r w:rsidR="009C354A" w:rsidRPr="00295637">
        <w:rPr>
          <w:rFonts w:ascii="Times New Roman" w:hAnsi="Times New Roman"/>
          <w:szCs w:val="24"/>
        </w:rPr>
        <w:t xml:space="preserve"> </w:t>
      </w:r>
      <w:r>
        <w:rPr>
          <w:rFonts w:ascii="Times New Roman" w:hAnsi="Times New Roman"/>
          <w:szCs w:val="24"/>
        </w:rPr>
        <w:t>на</w:t>
      </w:r>
      <w:r w:rsidR="009C354A" w:rsidRPr="00295637">
        <w:rPr>
          <w:rFonts w:ascii="Times New Roman" w:hAnsi="Times New Roman"/>
          <w:szCs w:val="24"/>
        </w:rPr>
        <w:t xml:space="preserve"> </w:t>
      </w:r>
      <w:r>
        <w:rPr>
          <w:rFonts w:ascii="Times New Roman" w:hAnsi="Times New Roman"/>
          <w:szCs w:val="24"/>
        </w:rPr>
        <w:t>ниво</w:t>
      </w:r>
      <w:r w:rsidR="009C354A" w:rsidRPr="00295637">
        <w:rPr>
          <w:rFonts w:ascii="Times New Roman" w:hAnsi="Times New Roman"/>
          <w:szCs w:val="24"/>
        </w:rPr>
        <w:t xml:space="preserve"> </w:t>
      </w:r>
      <w:r>
        <w:rPr>
          <w:rFonts w:ascii="Times New Roman" w:hAnsi="Times New Roman"/>
          <w:szCs w:val="24"/>
        </w:rPr>
        <w:t>запослења</w:t>
      </w:r>
      <w:r w:rsidR="009C354A" w:rsidRPr="00295637">
        <w:rPr>
          <w:rFonts w:ascii="Times New Roman" w:hAnsi="Times New Roman"/>
          <w:szCs w:val="24"/>
        </w:rPr>
        <w:t xml:space="preserve"> </w:t>
      </w:r>
      <w:r>
        <w:rPr>
          <w:rFonts w:ascii="Times New Roman" w:hAnsi="Times New Roman"/>
          <w:szCs w:val="24"/>
        </w:rPr>
        <w:t>и</w:t>
      </w:r>
      <w:r w:rsidR="009C354A" w:rsidRPr="00295637">
        <w:rPr>
          <w:rFonts w:ascii="Times New Roman" w:hAnsi="Times New Roman"/>
          <w:szCs w:val="24"/>
        </w:rPr>
        <w:t xml:space="preserve"> </w:t>
      </w:r>
      <w:r>
        <w:rPr>
          <w:rFonts w:ascii="Times New Roman" w:hAnsi="Times New Roman"/>
          <w:szCs w:val="24"/>
        </w:rPr>
        <w:t>родне</w:t>
      </w:r>
      <w:r w:rsidR="009C354A" w:rsidRPr="00295637">
        <w:rPr>
          <w:rFonts w:ascii="Times New Roman" w:hAnsi="Times New Roman"/>
          <w:szCs w:val="24"/>
        </w:rPr>
        <w:t xml:space="preserve"> </w:t>
      </w:r>
      <w:r>
        <w:rPr>
          <w:rFonts w:ascii="Times New Roman" w:hAnsi="Times New Roman"/>
          <w:szCs w:val="24"/>
        </w:rPr>
        <w:t>разлике</w:t>
      </w:r>
      <w:r w:rsidR="009C354A" w:rsidRPr="00295637">
        <w:rPr>
          <w:rFonts w:ascii="Times New Roman" w:hAnsi="Times New Roman"/>
          <w:szCs w:val="24"/>
        </w:rPr>
        <w:t xml:space="preserve"> </w:t>
      </w:r>
      <w:r>
        <w:rPr>
          <w:rFonts w:ascii="Times New Roman" w:hAnsi="Times New Roman"/>
          <w:szCs w:val="24"/>
        </w:rPr>
        <w:t>у</w:t>
      </w:r>
      <w:r w:rsidR="009C354A" w:rsidRPr="00295637">
        <w:rPr>
          <w:rFonts w:ascii="Times New Roman" w:hAnsi="Times New Roman"/>
          <w:szCs w:val="24"/>
        </w:rPr>
        <w:t xml:space="preserve"> </w:t>
      </w:r>
      <w:r>
        <w:rPr>
          <w:rFonts w:ascii="Times New Roman" w:hAnsi="Times New Roman"/>
          <w:szCs w:val="24"/>
        </w:rPr>
        <w:t>запошљавању</w:t>
      </w:r>
      <w:r w:rsidR="009C354A" w:rsidRPr="00295637">
        <w:rPr>
          <w:rFonts w:ascii="Times New Roman" w:hAnsi="Times New Roman"/>
          <w:szCs w:val="24"/>
        </w:rPr>
        <w:t xml:space="preserve"> </w:t>
      </w:r>
      <w:r>
        <w:rPr>
          <w:rFonts w:ascii="Times New Roman" w:hAnsi="Times New Roman"/>
          <w:szCs w:val="24"/>
        </w:rPr>
        <w:t>жена</w:t>
      </w:r>
      <w:r w:rsidR="009C354A" w:rsidRPr="00295637">
        <w:rPr>
          <w:rFonts w:ascii="Times New Roman" w:hAnsi="Times New Roman"/>
          <w:szCs w:val="24"/>
        </w:rPr>
        <w:t xml:space="preserve"> </w:t>
      </w:r>
      <w:r>
        <w:rPr>
          <w:rFonts w:ascii="Times New Roman" w:hAnsi="Times New Roman"/>
          <w:szCs w:val="24"/>
        </w:rPr>
        <w:t>и</w:t>
      </w:r>
      <w:r w:rsidR="009C354A" w:rsidRPr="00295637">
        <w:rPr>
          <w:rFonts w:ascii="Times New Roman" w:hAnsi="Times New Roman"/>
          <w:szCs w:val="24"/>
        </w:rPr>
        <w:t xml:space="preserve"> </w:t>
      </w:r>
      <w:r>
        <w:rPr>
          <w:rFonts w:ascii="Times New Roman" w:hAnsi="Times New Roman"/>
          <w:szCs w:val="24"/>
        </w:rPr>
        <w:t>мушкараца</w:t>
      </w:r>
      <w:r w:rsidR="009C354A" w:rsidRPr="00295637">
        <w:rPr>
          <w:rFonts w:ascii="Times New Roman" w:hAnsi="Times New Roman"/>
          <w:szCs w:val="24"/>
        </w:rPr>
        <w:t xml:space="preserve">, </w:t>
      </w:r>
      <w:r>
        <w:rPr>
          <w:rFonts w:ascii="Times New Roman" w:hAnsi="Times New Roman"/>
          <w:szCs w:val="24"/>
        </w:rPr>
        <w:t>указујући</w:t>
      </w:r>
      <w:r w:rsidR="009C354A" w:rsidRPr="00295637">
        <w:rPr>
          <w:rFonts w:ascii="Times New Roman" w:hAnsi="Times New Roman"/>
          <w:szCs w:val="24"/>
        </w:rPr>
        <w:t xml:space="preserve"> </w:t>
      </w:r>
      <w:r>
        <w:rPr>
          <w:rFonts w:ascii="Times New Roman" w:hAnsi="Times New Roman"/>
          <w:szCs w:val="24"/>
        </w:rPr>
        <w:t>на</w:t>
      </w:r>
      <w:r w:rsidR="009C354A" w:rsidRPr="00295637">
        <w:rPr>
          <w:rFonts w:ascii="Times New Roman" w:hAnsi="Times New Roman"/>
          <w:szCs w:val="24"/>
        </w:rPr>
        <w:t xml:space="preserve"> </w:t>
      </w:r>
      <w:r>
        <w:rPr>
          <w:rFonts w:ascii="Times New Roman" w:hAnsi="Times New Roman"/>
          <w:szCs w:val="24"/>
        </w:rPr>
        <w:t>њихове</w:t>
      </w:r>
      <w:r w:rsidR="009C354A" w:rsidRPr="00295637">
        <w:rPr>
          <w:rFonts w:ascii="Times New Roman" w:hAnsi="Times New Roman"/>
          <w:szCs w:val="24"/>
        </w:rPr>
        <w:t xml:space="preserve"> </w:t>
      </w:r>
      <w:r>
        <w:rPr>
          <w:rFonts w:ascii="Times New Roman" w:hAnsi="Times New Roman"/>
          <w:szCs w:val="24"/>
        </w:rPr>
        <w:t>шансе</w:t>
      </w:r>
      <w:r w:rsidR="009C354A" w:rsidRPr="00295637">
        <w:rPr>
          <w:rFonts w:ascii="Times New Roman" w:hAnsi="Times New Roman"/>
          <w:szCs w:val="24"/>
        </w:rPr>
        <w:t xml:space="preserve"> </w:t>
      </w:r>
      <w:r>
        <w:rPr>
          <w:rFonts w:ascii="Times New Roman" w:hAnsi="Times New Roman"/>
          <w:szCs w:val="24"/>
        </w:rPr>
        <w:t>за</w:t>
      </w:r>
      <w:r w:rsidR="009C354A" w:rsidRPr="00295637">
        <w:rPr>
          <w:rFonts w:ascii="Times New Roman" w:hAnsi="Times New Roman"/>
          <w:szCs w:val="24"/>
        </w:rPr>
        <w:t xml:space="preserve"> </w:t>
      </w:r>
      <w:r>
        <w:rPr>
          <w:rFonts w:ascii="Times New Roman" w:hAnsi="Times New Roman"/>
          <w:szCs w:val="24"/>
        </w:rPr>
        <w:t>приступ</w:t>
      </w:r>
      <w:r w:rsidR="009C354A" w:rsidRPr="00295637">
        <w:rPr>
          <w:rFonts w:ascii="Times New Roman" w:hAnsi="Times New Roman"/>
          <w:szCs w:val="24"/>
        </w:rPr>
        <w:t xml:space="preserve"> </w:t>
      </w:r>
      <w:r>
        <w:rPr>
          <w:rFonts w:ascii="Times New Roman" w:hAnsi="Times New Roman"/>
          <w:szCs w:val="24"/>
        </w:rPr>
        <w:t>послу</w:t>
      </w:r>
      <w:r w:rsidR="009C354A" w:rsidRPr="00295637">
        <w:rPr>
          <w:rFonts w:ascii="Times New Roman" w:hAnsi="Times New Roman"/>
          <w:szCs w:val="24"/>
        </w:rPr>
        <w:t xml:space="preserve"> </w:t>
      </w:r>
      <w:r>
        <w:rPr>
          <w:rFonts w:ascii="Times New Roman" w:hAnsi="Times New Roman"/>
          <w:szCs w:val="24"/>
        </w:rPr>
        <w:t>или</w:t>
      </w:r>
      <w:r w:rsidR="009C354A" w:rsidRPr="00295637">
        <w:rPr>
          <w:rFonts w:ascii="Times New Roman" w:hAnsi="Times New Roman"/>
          <w:szCs w:val="24"/>
        </w:rPr>
        <w:t xml:space="preserve"> </w:t>
      </w:r>
      <w:r>
        <w:rPr>
          <w:rFonts w:ascii="Times New Roman" w:hAnsi="Times New Roman"/>
          <w:szCs w:val="24"/>
        </w:rPr>
        <w:t>запослењу</w:t>
      </w:r>
      <w:r w:rsidR="009C354A" w:rsidRPr="00295637">
        <w:rPr>
          <w:rFonts w:ascii="Times New Roman" w:hAnsi="Times New Roman"/>
          <w:szCs w:val="24"/>
        </w:rPr>
        <w:t xml:space="preserve">. </w:t>
      </w:r>
    </w:p>
    <w:p w:rsidR="00267394" w:rsidRPr="00295637" w:rsidRDefault="00267394" w:rsidP="0086268D">
      <w:pPr>
        <w:tabs>
          <w:tab w:val="left" w:pos="1134"/>
        </w:tabs>
        <w:jc w:val="both"/>
        <w:rPr>
          <w:rFonts w:ascii="Times New Roman" w:hAnsi="Times New Roman"/>
          <w:szCs w:val="24"/>
          <w:lang w:val="bs-Latn-BA" w:eastAsia="fr-FR"/>
        </w:rPr>
      </w:pPr>
    </w:p>
    <w:p w:rsidR="00E43851" w:rsidRPr="00295637" w:rsidRDefault="000D058D" w:rsidP="006421C9">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6421C9">
        <w:rPr>
          <w:rFonts w:ascii="Times New Roman" w:hAnsi="Times New Roman"/>
          <w:szCs w:val="24"/>
          <w:lang w:val="bs-Latn-BA"/>
        </w:rPr>
        <w:t xml:space="preserve"> 3.1. </w:t>
      </w:r>
      <w:r w:rsidR="00C6214E">
        <w:rPr>
          <w:rFonts w:ascii="Times New Roman" w:hAnsi="Times New Roman"/>
          <w:szCs w:val="24"/>
          <w:lang w:val="bs-Latn-BA"/>
        </w:rPr>
        <w:t>Идентифи</w:t>
      </w:r>
      <w:r>
        <w:rPr>
          <w:rFonts w:ascii="Times New Roman" w:hAnsi="Times New Roman"/>
          <w:szCs w:val="24"/>
          <w:lang w:val="sr-Cyrl-BA"/>
        </w:rPr>
        <w:t>ковање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приоритетних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гендер</w:t>
      </w:r>
      <w:r w:rsidR="00356C2C" w:rsidRPr="00295637">
        <w:rPr>
          <w:rFonts w:ascii="Times New Roman" w:hAnsi="Times New Roman"/>
          <w:szCs w:val="24"/>
          <w:lang w:val="bs-Latn-BA"/>
        </w:rPr>
        <w:t xml:space="preserve"> </w:t>
      </w:r>
      <w:r w:rsidR="00C6214E">
        <w:rPr>
          <w:rFonts w:ascii="Times New Roman" w:hAnsi="Times New Roman"/>
          <w:szCs w:val="24"/>
          <w:lang w:val="bs-Latn-BA"/>
        </w:rPr>
        <w:t>анализе</w:t>
      </w:r>
      <w:r w:rsidR="00356C2C" w:rsidRPr="00295637">
        <w:rPr>
          <w:rFonts w:ascii="Times New Roman" w:hAnsi="Times New Roman"/>
          <w:szCs w:val="24"/>
          <w:lang w:val="bs-Latn-BA"/>
        </w:rPr>
        <w:t xml:space="preserve">, </w:t>
      </w:r>
      <w:r w:rsidR="00C6214E">
        <w:rPr>
          <w:rFonts w:ascii="Times New Roman" w:hAnsi="Times New Roman"/>
          <w:szCs w:val="24"/>
          <w:lang w:val="bs-Latn-BA"/>
        </w:rPr>
        <w:t>стратегија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акционих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планова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других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аката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запошљавања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приступа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ресурсима</w:t>
      </w:r>
      <w:r w:rsidR="00356C2C" w:rsidRPr="00295637">
        <w:rPr>
          <w:rFonts w:ascii="Times New Roman" w:hAnsi="Times New Roman"/>
          <w:szCs w:val="24"/>
          <w:lang w:val="bs-Latn-BA"/>
        </w:rPr>
        <w:t xml:space="preserve"> </w:t>
      </w:r>
      <w:r>
        <w:rPr>
          <w:rFonts w:ascii="Times New Roman" w:hAnsi="Times New Roman"/>
          <w:szCs w:val="24"/>
          <w:lang w:val="sr-Cyrl-BA"/>
        </w:rPr>
        <w:t>с</w:t>
      </w:r>
      <w:r w:rsidR="00356C2C" w:rsidRPr="00295637">
        <w:rPr>
          <w:rFonts w:ascii="Times New Roman" w:hAnsi="Times New Roman"/>
          <w:szCs w:val="24"/>
          <w:lang w:val="bs-Latn-BA"/>
        </w:rPr>
        <w:t xml:space="preserve"> </w:t>
      </w:r>
      <w:r w:rsidR="00C6214E">
        <w:rPr>
          <w:rFonts w:ascii="Times New Roman" w:hAnsi="Times New Roman"/>
          <w:szCs w:val="24"/>
          <w:lang w:val="bs-Latn-BA"/>
        </w:rPr>
        <w:t>циљ</w:t>
      </w:r>
      <w:r>
        <w:rPr>
          <w:rFonts w:ascii="Times New Roman" w:hAnsi="Times New Roman"/>
          <w:szCs w:val="24"/>
          <w:lang w:val="sr-Cyrl-BA"/>
        </w:rPr>
        <w:t>ем</w:t>
      </w:r>
      <w:r w:rsidR="00356C2C" w:rsidRPr="00295637">
        <w:rPr>
          <w:rFonts w:ascii="Times New Roman" w:hAnsi="Times New Roman"/>
          <w:szCs w:val="24"/>
          <w:lang w:val="bs-Latn-BA"/>
        </w:rPr>
        <w:t xml:space="preserve"> </w:t>
      </w:r>
      <w:r w:rsidR="00C6214E">
        <w:rPr>
          <w:rFonts w:ascii="Times New Roman" w:hAnsi="Times New Roman"/>
          <w:szCs w:val="24"/>
          <w:lang w:val="bs-Latn-BA"/>
        </w:rPr>
        <w:t>увођења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домаћих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те</w:t>
      </w:r>
      <w:r w:rsidR="00356C2C" w:rsidRPr="00295637">
        <w:rPr>
          <w:rFonts w:ascii="Times New Roman" w:hAnsi="Times New Roman"/>
          <w:szCs w:val="24"/>
          <w:lang w:val="bs-Latn-BA"/>
        </w:rPr>
        <w:t xml:space="preserve"> </w:t>
      </w:r>
      <w:r w:rsidR="00C6214E">
        <w:rPr>
          <w:rFonts w:ascii="Times New Roman" w:hAnsi="Times New Roman"/>
          <w:szCs w:val="24"/>
          <w:lang w:val="bs-Latn-BA"/>
        </w:rPr>
        <w:t>утврђивања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недостатака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предности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стварних</w:t>
      </w:r>
      <w:r w:rsidR="00870AE1">
        <w:rPr>
          <w:rFonts w:ascii="Times New Roman" w:hAnsi="Times New Roman"/>
          <w:szCs w:val="24"/>
          <w:lang w:val="bs-Latn-BA"/>
        </w:rPr>
        <w:t xml:space="preserve"> </w:t>
      </w:r>
      <w:r w:rsidR="00C6214E">
        <w:rPr>
          <w:rFonts w:ascii="Times New Roman" w:hAnsi="Times New Roman"/>
          <w:szCs w:val="24"/>
          <w:lang w:val="bs-Latn-BA"/>
        </w:rPr>
        <w:t>потреба</w:t>
      </w:r>
      <w:r w:rsidR="00870AE1">
        <w:rPr>
          <w:rFonts w:ascii="Times New Roman" w:hAnsi="Times New Roman"/>
          <w:szCs w:val="24"/>
          <w:lang w:val="bs-Latn-BA"/>
        </w:rPr>
        <w:t xml:space="preserve"> </w:t>
      </w:r>
      <w:r w:rsidR="00C6214E">
        <w:rPr>
          <w:rFonts w:ascii="Times New Roman" w:hAnsi="Times New Roman"/>
          <w:szCs w:val="24"/>
          <w:lang w:val="bs-Latn-BA"/>
        </w:rPr>
        <w:t>и</w:t>
      </w:r>
      <w:r w:rsidR="00870AE1">
        <w:rPr>
          <w:rFonts w:ascii="Times New Roman" w:hAnsi="Times New Roman"/>
          <w:szCs w:val="24"/>
          <w:lang w:val="bs-Latn-BA"/>
        </w:rPr>
        <w:t xml:space="preserve"> </w:t>
      </w:r>
      <w:r w:rsidR="00C6214E">
        <w:rPr>
          <w:rFonts w:ascii="Times New Roman" w:hAnsi="Times New Roman"/>
          <w:szCs w:val="24"/>
          <w:lang w:val="bs-Latn-BA"/>
        </w:rPr>
        <w:t>могућности</w:t>
      </w:r>
      <w:r w:rsidR="00870AE1">
        <w:rPr>
          <w:rFonts w:ascii="Times New Roman" w:hAnsi="Times New Roman"/>
          <w:szCs w:val="24"/>
          <w:lang w:val="bs-Latn-BA"/>
        </w:rPr>
        <w:t xml:space="preserve"> </w:t>
      </w:r>
      <w:r w:rsidR="00C6214E">
        <w:rPr>
          <w:rFonts w:ascii="Times New Roman" w:hAnsi="Times New Roman"/>
          <w:szCs w:val="24"/>
          <w:lang w:val="bs-Latn-BA"/>
        </w:rPr>
        <w:t>са</w:t>
      </w:r>
      <w:r w:rsidR="00356C2C" w:rsidRPr="00295637">
        <w:rPr>
          <w:rFonts w:ascii="Times New Roman" w:hAnsi="Times New Roman"/>
          <w:szCs w:val="24"/>
          <w:lang w:val="bs-Latn-BA"/>
        </w:rPr>
        <w:t xml:space="preserve"> </w:t>
      </w:r>
      <w:r w:rsidR="00C6214E">
        <w:rPr>
          <w:rFonts w:ascii="Times New Roman" w:hAnsi="Times New Roman"/>
          <w:szCs w:val="24"/>
          <w:lang w:val="bs-Latn-BA"/>
        </w:rPr>
        <w:t>аспекта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w:t>
      </w:r>
    </w:p>
    <w:p w:rsidR="00C142CC" w:rsidRPr="00295637" w:rsidRDefault="00C142CC" w:rsidP="0086268D">
      <w:pPr>
        <w:tabs>
          <w:tab w:val="left" w:pos="284"/>
          <w:tab w:val="left" w:pos="630"/>
          <w:tab w:val="left" w:pos="1080"/>
        </w:tabs>
        <w:ind w:left="1080"/>
        <w:jc w:val="both"/>
        <w:rPr>
          <w:rFonts w:ascii="Times New Roman" w:hAnsi="Times New Roman"/>
          <w:szCs w:val="24"/>
          <w:lang w:val="bs-Latn-BA"/>
        </w:rPr>
      </w:pPr>
    </w:p>
    <w:p w:rsidR="00625DED" w:rsidRPr="00295637" w:rsidRDefault="00C6214E" w:rsidP="0086268D">
      <w:pPr>
        <w:jc w:val="both"/>
        <w:rPr>
          <w:rFonts w:ascii="Times New Roman" w:hAnsi="Times New Roman"/>
        </w:rPr>
      </w:pPr>
      <w:r>
        <w:rPr>
          <w:rFonts w:ascii="Times New Roman" w:hAnsi="Times New Roman"/>
        </w:rPr>
        <w:t>У</w:t>
      </w:r>
      <w:r w:rsidR="00625DED" w:rsidRPr="00295637">
        <w:rPr>
          <w:rFonts w:ascii="Times New Roman" w:hAnsi="Times New Roman"/>
        </w:rPr>
        <w:t xml:space="preserve"> </w:t>
      </w:r>
      <w:r>
        <w:rPr>
          <w:rFonts w:ascii="Times New Roman" w:hAnsi="Times New Roman"/>
        </w:rPr>
        <w:t>мају</w:t>
      </w:r>
      <w:r w:rsidR="00625DED" w:rsidRPr="00295637">
        <w:rPr>
          <w:rFonts w:ascii="Times New Roman" w:hAnsi="Times New Roman"/>
        </w:rPr>
        <w:t xml:space="preserve"> 2024. </w:t>
      </w:r>
      <w:r>
        <w:rPr>
          <w:rFonts w:ascii="Times New Roman" w:hAnsi="Times New Roman"/>
        </w:rPr>
        <w:t>године</w:t>
      </w:r>
      <w:r w:rsidR="00625DED" w:rsidRPr="00295637">
        <w:rPr>
          <w:rFonts w:ascii="Times New Roman" w:hAnsi="Times New Roman"/>
        </w:rPr>
        <w:t xml:space="preserve"> </w:t>
      </w:r>
      <w:r>
        <w:rPr>
          <w:rFonts w:ascii="Times New Roman" w:hAnsi="Times New Roman"/>
        </w:rPr>
        <w:t>АР</w:t>
      </w:r>
      <w:r w:rsidR="000D058D">
        <w:rPr>
          <w:rFonts w:ascii="Times New Roman" w:hAnsi="Times New Roman"/>
          <w:lang w:val="sr-Cyrl-BA"/>
        </w:rPr>
        <w:t>П</w:t>
      </w:r>
      <w:r w:rsidR="00870AE1">
        <w:rPr>
          <w:rFonts w:ascii="Times New Roman" w:hAnsi="Times New Roman"/>
        </w:rPr>
        <w:t xml:space="preserve"> </w:t>
      </w:r>
      <w:r>
        <w:rPr>
          <w:rFonts w:ascii="Times New Roman" w:hAnsi="Times New Roman"/>
        </w:rPr>
        <w:t>БиХ</w:t>
      </w:r>
      <w:r w:rsidR="00870AE1">
        <w:rPr>
          <w:rFonts w:ascii="Times New Roman" w:hAnsi="Times New Roman"/>
        </w:rPr>
        <w:t xml:space="preserve"> </w:t>
      </w:r>
      <w:r>
        <w:rPr>
          <w:rFonts w:ascii="Times New Roman" w:hAnsi="Times New Roman"/>
        </w:rPr>
        <w:t>МЉПИ</w:t>
      </w:r>
      <w:r w:rsidR="00870AE1">
        <w:rPr>
          <w:rFonts w:ascii="Times New Roman" w:hAnsi="Times New Roman"/>
        </w:rPr>
        <w:t xml:space="preserve"> </w:t>
      </w:r>
      <w:r>
        <w:rPr>
          <w:rFonts w:ascii="Times New Roman" w:hAnsi="Times New Roman"/>
        </w:rPr>
        <w:t>БиХ</w:t>
      </w:r>
      <w:r w:rsidR="00625DED" w:rsidRPr="00295637">
        <w:rPr>
          <w:rFonts w:ascii="Times New Roman" w:hAnsi="Times New Roman"/>
        </w:rPr>
        <w:t xml:space="preserve"> </w:t>
      </w:r>
      <w:r>
        <w:rPr>
          <w:rFonts w:ascii="Times New Roman" w:hAnsi="Times New Roman"/>
        </w:rPr>
        <w:t>издала</w:t>
      </w:r>
      <w:r w:rsidR="00625DED" w:rsidRPr="00295637">
        <w:rPr>
          <w:rFonts w:ascii="Times New Roman" w:hAnsi="Times New Roman"/>
        </w:rPr>
        <w:t xml:space="preserve"> </w:t>
      </w:r>
      <w:r>
        <w:rPr>
          <w:rFonts w:ascii="Times New Roman" w:hAnsi="Times New Roman"/>
        </w:rPr>
        <w:t>је</w:t>
      </w:r>
      <w:r w:rsidR="00870AE1" w:rsidRPr="00295637">
        <w:rPr>
          <w:rFonts w:ascii="Times New Roman" w:hAnsi="Times New Roman"/>
        </w:rPr>
        <w:t xml:space="preserve"> </w:t>
      </w:r>
      <w:r>
        <w:rPr>
          <w:rFonts w:ascii="Times New Roman" w:hAnsi="Times New Roman"/>
        </w:rPr>
        <w:t>Препоруке</w:t>
      </w:r>
      <w:r w:rsidR="00625DED" w:rsidRPr="00295637">
        <w:rPr>
          <w:rFonts w:ascii="Times New Roman" w:hAnsi="Times New Roman"/>
        </w:rPr>
        <w:t xml:space="preserve"> </w:t>
      </w:r>
      <w:r>
        <w:rPr>
          <w:rFonts w:ascii="Times New Roman" w:hAnsi="Times New Roman"/>
        </w:rPr>
        <w:t>са</w:t>
      </w:r>
      <w:r w:rsidR="00625DED" w:rsidRPr="00295637">
        <w:rPr>
          <w:rFonts w:ascii="Times New Roman" w:hAnsi="Times New Roman"/>
        </w:rPr>
        <w:t xml:space="preserve"> </w:t>
      </w:r>
      <w:r>
        <w:rPr>
          <w:rFonts w:ascii="Times New Roman" w:hAnsi="Times New Roman"/>
        </w:rPr>
        <w:t>смјерницама</w:t>
      </w:r>
      <w:r w:rsidR="00625DED" w:rsidRPr="00295637">
        <w:rPr>
          <w:rFonts w:ascii="Times New Roman" w:hAnsi="Times New Roman"/>
        </w:rPr>
        <w:t xml:space="preserve"> </w:t>
      </w:r>
      <w:r>
        <w:rPr>
          <w:rFonts w:ascii="Times New Roman" w:hAnsi="Times New Roman"/>
        </w:rPr>
        <w:t>за</w:t>
      </w:r>
      <w:r w:rsidR="00625DED" w:rsidRPr="00295637">
        <w:rPr>
          <w:rFonts w:ascii="Times New Roman" w:hAnsi="Times New Roman"/>
        </w:rPr>
        <w:t xml:space="preserve"> </w:t>
      </w:r>
      <w:r>
        <w:rPr>
          <w:rFonts w:ascii="Times New Roman" w:hAnsi="Times New Roman"/>
        </w:rPr>
        <w:t>остваривање</w:t>
      </w:r>
      <w:r w:rsidR="00625DED" w:rsidRPr="00295637">
        <w:rPr>
          <w:rFonts w:ascii="Times New Roman" w:hAnsi="Times New Roman"/>
        </w:rPr>
        <w:t xml:space="preserve"> </w:t>
      </w:r>
      <w:r>
        <w:rPr>
          <w:rFonts w:ascii="Times New Roman" w:hAnsi="Times New Roman"/>
        </w:rPr>
        <w:t>равноправности</w:t>
      </w:r>
      <w:r w:rsidR="00625DED" w:rsidRPr="00295637">
        <w:rPr>
          <w:rFonts w:ascii="Times New Roman" w:hAnsi="Times New Roman"/>
        </w:rPr>
        <w:t xml:space="preserve"> </w:t>
      </w:r>
      <w:r>
        <w:rPr>
          <w:rFonts w:ascii="Times New Roman" w:hAnsi="Times New Roman"/>
        </w:rPr>
        <w:t>полова</w:t>
      </w:r>
      <w:r w:rsidR="00625DED" w:rsidRPr="00295637">
        <w:rPr>
          <w:rFonts w:ascii="Times New Roman" w:hAnsi="Times New Roman"/>
        </w:rPr>
        <w:t xml:space="preserve"> </w:t>
      </w:r>
      <w:r>
        <w:rPr>
          <w:rFonts w:ascii="Times New Roman" w:hAnsi="Times New Roman"/>
        </w:rPr>
        <w:t>у</w:t>
      </w:r>
      <w:r w:rsidR="00625DED" w:rsidRPr="00295637">
        <w:rPr>
          <w:rFonts w:ascii="Times New Roman" w:hAnsi="Times New Roman"/>
        </w:rPr>
        <w:t xml:space="preserve"> </w:t>
      </w:r>
      <w:r>
        <w:rPr>
          <w:rFonts w:ascii="Times New Roman" w:hAnsi="Times New Roman"/>
        </w:rPr>
        <w:t>раду</w:t>
      </w:r>
      <w:r w:rsidR="00625DED" w:rsidRPr="00295637">
        <w:rPr>
          <w:rFonts w:ascii="Times New Roman" w:hAnsi="Times New Roman"/>
        </w:rPr>
        <w:t xml:space="preserve"> </w:t>
      </w:r>
      <w:r>
        <w:rPr>
          <w:rFonts w:ascii="Times New Roman" w:hAnsi="Times New Roman"/>
        </w:rPr>
        <w:t>и</w:t>
      </w:r>
      <w:r w:rsidR="00625DED" w:rsidRPr="00295637">
        <w:rPr>
          <w:rFonts w:ascii="Times New Roman" w:hAnsi="Times New Roman"/>
        </w:rPr>
        <w:t xml:space="preserve"> </w:t>
      </w:r>
      <w:r>
        <w:rPr>
          <w:rFonts w:ascii="Times New Roman" w:hAnsi="Times New Roman"/>
        </w:rPr>
        <w:t>запошљавању</w:t>
      </w:r>
      <w:r w:rsidR="00625DED" w:rsidRPr="00295637">
        <w:rPr>
          <w:rFonts w:ascii="Times New Roman" w:hAnsi="Times New Roman"/>
        </w:rPr>
        <w:t xml:space="preserve"> </w:t>
      </w:r>
      <w:r>
        <w:rPr>
          <w:rFonts w:ascii="Times New Roman" w:hAnsi="Times New Roman"/>
        </w:rPr>
        <w:t>у</w:t>
      </w:r>
      <w:r w:rsidR="00625DED" w:rsidRPr="00295637">
        <w:rPr>
          <w:rFonts w:ascii="Times New Roman" w:hAnsi="Times New Roman"/>
        </w:rPr>
        <w:t xml:space="preserve"> </w:t>
      </w:r>
      <w:r>
        <w:rPr>
          <w:rFonts w:ascii="Times New Roman" w:hAnsi="Times New Roman"/>
        </w:rPr>
        <w:t>приватном</w:t>
      </w:r>
      <w:r w:rsidR="00625DED" w:rsidRPr="00295637">
        <w:rPr>
          <w:rFonts w:ascii="Times New Roman" w:hAnsi="Times New Roman"/>
        </w:rPr>
        <w:t xml:space="preserve"> </w:t>
      </w:r>
      <w:r>
        <w:rPr>
          <w:rFonts w:ascii="Times New Roman" w:hAnsi="Times New Roman"/>
        </w:rPr>
        <w:t>сектору</w:t>
      </w:r>
      <w:r w:rsidR="00625DED" w:rsidRPr="00295637">
        <w:rPr>
          <w:rFonts w:ascii="Times New Roman" w:hAnsi="Times New Roman"/>
        </w:rPr>
        <w:t xml:space="preserve"> </w:t>
      </w:r>
      <w:r>
        <w:rPr>
          <w:rFonts w:ascii="Times New Roman" w:hAnsi="Times New Roman"/>
        </w:rPr>
        <w:t>у</w:t>
      </w:r>
      <w:r w:rsidR="00625DED" w:rsidRPr="00295637">
        <w:rPr>
          <w:rFonts w:ascii="Times New Roman" w:hAnsi="Times New Roman"/>
        </w:rPr>
        <w:t xml:space="preserve"> </w:t>
      </w:r>
      <w:r>
        <w:rPr>
          <w:rFonts w:ascii="Times New Roman" w:hAnsi="Times New Roman"/>
        </w:rPr>
        <w:t>Босни</w:t>
      </w:r>
      <w:r w:rsidR="00625DED" w:rsidRPr="00295637">
        <w:rPr>
          <w:rFonts w:ascii="Times New Roman" w:hAnsi="Times New Roman"/>
        </w:rPr>
        <w:t xml:space="preserve"> </w:t>
      </w:r>
      <w:r>
        <w:rPr>
          <w:rFonts w:ascii="Times New Roman" w:hAnsi="Times New Roman"/>
        </w:rPr>
        <w:t>и</w:t>
      </w:r>
      <w:r w:rsidR="00625DED" w:rsidRPr="00295637">
        <w:rPr>
          <w:rFonts w:ascii="Times New Roman" w:hAnsi="Times New Roman"/>
        </w:rPr>
        <w:t xml:space="preserve"> </w:t>
      </w:r>
      <w:r>
        <w:rPr>
          <w:rFonts w:ascii="Times New Roman" w:hAnsi="Times New Roman"/>
        </w:rPr>
        <w:t>Херцеговини</w:t>
      </w:r>
      <w:r w:rsidR="00870AE1">
        <w:rPr>
          <w:rFonts w:ascii="Times New Roman" w:hAnsi="Times New Roman"/>
        </w:rPr>
        <w:t xml:space="preserve">. </w:t>
      </w:r>
      <w:r>
        <w:rPr>
          <w:rFonts w:ascii="Times New Roman" w:hAnsi="Times New Roman"/>
        </w:rPr>
        <w:t>Повод</w:t>
      </w:r>
      <w:r w:rsidR="00870AE1">
        <w:rPr>
          <w:rFonts w:ascii="Times New Roman" w:hAnsi="Times New Roman"/>
        </w:rPr>
        <w:t xml:space="preserve"> </w:t>
      </w:r>
      <w:r>
        <w:rPr>
          <w:rFonts w:ascii="Times New Roman" w:hAnsi="Times New Roman"/>
        </w:rPr>
        <w:t>за</w:t>
      </w:r>
      <w:r w:rsidR="00870AE1">
        <w:rPr>
          <w:rFonts w:ascii="Times New Roman" w:hAnsi="Times New Roman"/>
        </w:rPr>
        <w:t xml:space="preserve"> </w:t>
      </w:r>
      <w:r>
        <w:rPr>
          <w:rFonts w:ascii="Times New Roman" w:hAnsi="Times New Roman"/>
        </w:rPr>
        <w:t>издавање</w:t>
      </w:r>
      <w:r w:rsidR="00870AE1">
        <w:rPr>
          <w:rFonts w:ascii="Times New Roman" w:hAnsi="Times New Roman"/>
        </w:rPr>
        <w:t xml:space="preserve"> </w:t>
      </w:r>
      <w:r>
        <w:rPr>
          <w:rFonts w:ascii="Times New Roman" w:hAnsi="Times New Roman"/>
        </w:rPr>
        <w:t>Препорука</w:t>
      </w:r>
      <w:r w:rsidR="00625DED" w:rsidRPr="00295637">
        <w:rPr>
          <w:rFonts w:ascii="Times New Roman" w:hAnsi="Times New Roman"/>
        </w:rPr>
        <w:t xml:space="preserve"> </w:t>
      </w:r>
      <w:r>
        <w:rPr>
          <w:rFonts w:ascii="Times New Roman" w:hAnsi="Times New Roman"/>
        </w:rPr>
        <w:t>је</w:t>
      </w:r>
      <w:r w:rsidR="00625DED" w:rsidRPr="00295637">
        <w:rPr>
          <w:rFonts w:ascii="Times New Roman" w:hAnsi="Times New Roman"/>
        </w:rPr>
        <w:t xml:space="preserve">, </w:t>
      </w:r>
      <w:r>
        <w:rPr>
          <w:rFonts w:ascii="Times New Roman" w:hAnsi="Times New Roman"/>
        </w:rPr>
        <w:t>поред</w:t>
      </w:r>
      <w:r w:rsidR="00625DED" w:rsidRPr="00295637">
        <w:rPr>
          <w:rFonts w:ascii="Times New Roman" w:hAnsi="Times New Roman"/>
        </w:rPr>
        <w:t xml:space="preserve"> </w:t>
      </w:r>
      <w:r>
        <w:rPr>
          <w:rFonts w:ascii="Times New Roman" w:hAnsi="Times New Roman"/>
        </w:rPr>
        <w:t>осталог</w:t>
      </w:r>
      <w:r w:rsidR="0098627A" w:rsidRPr="00295637">
        <w:rPr>
          <w:rFonts w:ascii="Times New Roman" w:hAnsi="Times New Roman"/>
        </w:rPr>
        <w:t xml:space="preserve">, </w:t>
      </w:r>
      <w:r>
        <w:rPr>
          <w:rFonts w:ascii="Times New Roman" w:hAnsi="Times New Roman"/>
        </w:rPr>
        <w:t>и</w:t>
      </w:r>
      <w:r w:rsidR="0098627A" w:rsidRPr="00295637">
        <w:rPr>
          <w:rFonts w:ascii="Times New Roman" w:hAnsi="Times New Roman"/>
        </w:rPr>
        <w:t xml:space="preserve"> </w:t>
      </w:r>
      <w:r>
        <w:rPr>
          <w:rFonts w:ascii="Times New Roman" w:hAnsi="Times New Roman"/>
        </w:rPr>
        <w:t>повећање</w:t>
      </w:r>
      <w:r w:rsidR="00625DED" w:rsidRPr="00295637">
        <w:rPr>
          <w:rFonts w:ascii="Times New Roman" w:hAnsi="Times New Roman"/>
        </w:rPr>
        <w:t xml:space="preserve"> </w:t>
      </w:r>
      <w:r>
        <w:rPr>
          <w:rFonts w:ascii="Times New Roman" w:hAnsi="Times New Roman"/>
        </w:rPr>
        <w:t>броја</w:t>
      </w:r>
      <w:r w:rsidR="00625DED" w:rsidRPr="00295637">
        <w:rPr>
          <w:rFonts w:ascii="Times New Roman" w:hAnsi="Times New Roman"/>
        </w:rPr>
        <w:t xml:space="preserve"> </w:t>
      </w:r>
      <w:r>
        <w:rPr>
          <w:rFonts w:ascii="Times New Roman" w:hAnsi="Times New Roman"/>
        </w:rPr>
        <w:t>дискриминаторних</w:t>
      </w:r>
      <w:r w:rsidR="00625DED" w:rsidRPr="00295637">
        <w:rPr>
          <w:rFonts w:ascii="Times New Roman" w:hAnsi="Times New Roman"/>
        </w:rPr>
        <w:t xml:space="preserve"> </w:t>
      </w:r>
      <w:r>
        <w:rPr>
          <w:rFonts w:ascii="Times New Roman" w:hAnsi="Times New Roman"/>
        </w:rPr>
        <w:t>пракси</w:t>
      </w:r>
      <w:r w:rsidR="00625DED" w:rsidRPr="00295637">
        <w:rPr>
          <w:rFonts w:ascii="Times New Roman" w:hAnsi="Times New Roman"/>
        </w:rPr>
        <w:t xml:space="preserve"> </w:t>
      </w:r>
      <w:r>
        <w:rPr>
          <w:rFonts w:ascii="Times New Roman" w:hAnsi="Times New Roman"/>
        </w:rPr>
        <w:t>на</w:t>
      </w:r>
      <w:r w:rsidR="00625DED" w:rsidRPr="00295637">
        <w:rPr>
          <w:rFonts w:ascii="Times New Roman" w:hAnsi="Times New Roman"/>
        </w:rPr>
        <w:t xml:space="preserve"> </w:t>
      </w:r>
      <w:r>
        <w:rPr>
          <w:rFonts w:ascii="Times New Roman" w:hAnsi="Times New Roman"/>
        </w:rPr>
        <w:t>основу</w:t>
      </w:r>
      <w:r w:rsidR="00625DED" w:rsidRPr="00295637">
        <w:rPr>
          <w:rFonts w:ascii="Times New Roman" w:hAnsi="Times New Roman"/>
        </w:rPr>
        <w:t xml:space="preserve"> </w:t>
      </w:r>
      <w:r>
        <w:rPr>
          <w:rFonts w:ascii="Times New Roman" w:hAnsi="Times New Roman"/>
        </w:rPr>
        <w:t>пола</w:t>
      </w:r>
      <w:r w:rsidR="00625DED" w:rsidRPr="00295637">
        <w:rPr>
          <w:rFonts w:ascii="Times New Roman" w:hAnsi="Times New Roman"/>
        </w:rPr>
        <w:t xml:space="preserve"> </w:t>
      </w:r>
      <w:r>
        <w:rPr>
          <w:rFonts w:ascii="Times New Roman" w:hAnsi="Times New Roman"/>
        </w:rPr>
        <w:t>приликом</w:t>
      </w:r>
      <w:r w:rsidR="00625DED" w:rsidRPr="00295637">
        <w:rPr>
          <w:rFonts w:ascii="Times New Roman" w:hAnsi="Times New Roman"/>
        </w:rPr>
        <w:t xml:space="preserve"> </w:t>
      </w:r>
      <w:r>
        <w:rPr>
          <w:rFonts w:ascii="Times New Roman" w:hAnsi="Times New Roman"/>
        </w:rPr>
        <w:t>запошљавања</w:t>
      </w:r>
      <w:r w:rsidR="00625DED" w:rsidRPr="00295637">
        <w:rPr>
          <w:rFonts w:ascii="Times New Roman" w:hAnsi="Times New Roman"/>
        </w:rPr>
        <w:t xml:space="preserve"> </w:t>
      </w:r>
      <w:r>
        <w:rPr>
          <w:rFonts w:ascii="Times New Roman" w:hAnsi="Times New Roman"/>
        </w:rPr>
        <w:t>и</w:t>
      </w:r>
      <w:r w:rsidR="00625DED" w:rsidRPr="00295637">
        <w:rPr>
          <w:rFonts w:ascii="Times New Roman" w:hAnsi="Times New Roman"/>
        </w:rPr>
        <w:t xml:space="preserve"> </w:t>
      </w:r>
      <w:r>
        <w:rPr>
          <w:rFonts w:ascii="Times New Roman" w:hAnsi="Times New Roman"/>
        </w:rPr>
        <w:t>у</w:t>
      </w:r>
      <w:r w:rsidR="00625DED" w:rsidRPr="00295637">
        <w:rPr>
          <w:rFonts w:ascii="Times New Roman" w:hAnsi="Times New Roman"/>
        </w:rPr>
        <w:t xml:space="preserve"> </w:t>
      </w:r>
      <w:r>
        <w:rPr>
          <w:rFonts w:ascii="Times New Roman" w:hAnsi="Times New Roman"/>
        </w:rPr>
        <w:t>радном</w:t>
      </w:r>
      <w:r w:rsidR="00625DED" w:rsidRPr="00295637">
        <w:rPr>
          <w:rFonts w:ascii="Times New Roman" w:hAnsi="Times New Roman"/>
        </w:rPr>
        <w:t xml:space="preserve"> </w:t>
      </w:r>
      <w:r>
        <w:rPr>
          <w:rFonts w:ascii="Times New Roman" w:hAnsi="Times New Roman"/>
        </w:rPr>
        <w:t>односу</w:t>
      </w:r>
      <w:r w:rsidR="00625DED" w:rsidRPr="00295637">
        <w:rPr>
          <w:rFonts w:ascii="Times New Roman" w:hAnsi="Times New Roman"/>
        </w:rPr>
        <w:t xml:space="preserve"> </w:t>
      </w:r>
      <w:r>
        <w:rPr>
          <w:rFonts w:ascii="Times New Roman" w:hAnsi="Times New Roman"/>
        </w:rPr>
        <w:t>у</w:t>
      </w:r>
      <w:r w:rsidR="00625DED" w:rsidRPr="00295637">
        <w:rPr>
          <w:rFonts w:ascii="Times New Roman" w:hAnsi="Times New Roman"/>
        </w:rPr>
        <w:t xml:space="preserve"> </w:t>
      </w:r>
      <w:r>
        <w:rPr>
          <w:rFonts w:ascii="Times New Roman" w:hAnsi="Times New Roman"/>
        </w:rPr>
        <w:t>БиХ</w:t>
      </w:r>
      <w:r w:rsidR="00625DED" w:rsidRPr="00295637">
        <w:rPr>
          <w:rFonts w:ascii="Times New Roman" w:hAnsi="Times New Roman"/>
        </w:rPr>
        <w:t xml:space="preserve">.  </w:t>
      </w:r>
    </w:p>
    <w:p w:rsidR="00625DED" w:rsidRPr="00295637" w:rsidRDefault="00625DED" w:rsidP="0086268D">
      <w:pPr>
        <w:jc w:val="both"/>
        <w:rPr>
          <w:rFonts w:ascii="Times New Roman" w:hAnsi="Times New Roman"/>
        </w:rPr>
      </w:pPr>
    </w:p>
    <w:p w:rsidR="004A3A76" w:rsidRPr="00295637" w:rsidRDefault="00C6214E" w:rsidP="0086268D">
      <w:pPr>
        <w:jc w:val="both"/>
        <w:rPr>
          <w:rFonts w:ascii="Times New Roman" w:hAnsi="Times New Roman"/>
          <w:lang w:val="hr-HR"/>
        </w:rPr>
      </w:pPr>
      <w:r>
        <w:rPr>
          <w:rFonts w:ascii="Times New Roman" w:hAnsi="Times New Roman"/>
        </w:rPr>
        <w:t>У</w:t>
      </w:r>
      <w:r w:rsidR="00625DED" w:rsidRPr="00295637">
        <w:rPr>
          <w:rFonts w:ascii="Times New Roman" w:hAnsi="Times New Roman"/>
        </w:rPr>
        <w:t xml:space="preserve"> </w:t>
      </w:r>
      <w:r>
        <w:rPr>
          <w:rFonts w:ascii="Times New Roman" w:hAnsi="Times New Roman"/>
        </w:rPr>
        <w:t>оквиру</w:t>
      </w:r>
      <w:r w:rsidR="00625DED" w:rsidRPr="00295637">
        <w:rPr>
          <w:rFonts w:ascii="Times New Roman" w:hAnsi="Times New Roman"/>
        </w:rPr>
        <w:t xml:space="preserve"> </w:t>
      </w:r>
      <w:r>
        <w:rPr>
          <w:rFonts w:ascii="Times New Roman" w:hAnsi="Times New Roman"/>
        </w:rPr>
        <w:t>пројекта</w:t>
      </w:r>
      <w:r w:rsidR="00625DED" w:rsidRPr="00295637">
        <w:rPr>
          <w:rFonts w:ascii="Times New Roman" w:hAnsi="Times New Roman"/>
        </w:rPr>
        <w:t xml:space="preserve"> </w:t>
      </w:r>
      <w:r w:rsidR="0098627A" w:rsidRPr="00295637">
        <w:rPr>
          <w:rFonts w:ascii="Times New Roman" w:hAnsi="Times New Roman"/>
        </w:rPr>
        <w:t>„</w:t>
      </w:r>
      <w:r>
        <w:rPr>
          <w:rFonts w:ascii="Times New Roman" w:hAnsi="Times New Roman"/>
        </w:rPr>
        <w:t>Печат</w:t>
      </w:r>
      <w:r w:rsidR="00644C7A">
        <w:rPr>
          <w:rFonts w:ascii="Times New Roman" w:hAnsi="Times New Roman"/>
        </w:rPr>
        <w:t xml:space="preserve"> </w:t>
      </w:r>
      <w:r>
        <w:rPr>
          <w:rFonts w:ascii="Times New Roman" w:hAnsi="Times New Roman"/>
        </w:rPr>
        <w:t>равноправности</w:t>
      </w:r>
      <w:r w:rsidR="00644C7A">
        <w:rPr>
          <w:rFonts w:ascii="Times New Roman" w:hAnsi="Times New Roman"/>
        </w:rPr>
        <w:t xml:space="preserve"> </w:t>
      </w:r>
      <w:r>
        <w:rPr>
          <w:rFonts w:ascii="Times New Roman" w:hAnsi="Times New Roman"/>
        </w:rPr>
        <w:t>полова</w:t>
      </w:r>
      <w:r w:rsidR="0098627A" w:rsidRPr="00295637">
        <w:rPr>
          <w:rFonts w:ascii="Times New Roman" w:hAnsi="Times New Roman"/>
        </w:rPr>
        <w:t xml:space="preserve"> - </w:t>
      </w:r>
      <w:r w:rsidR="000D058D" w:rsidRPr="000D058D">
        <w:rPr>
          <w:rFonts w:ascii="Times New Roman" w:hAnsi="Times New Roman"/>
          <w:i/>
          <w:iCs/>
        </w:rPr>
        <w:t>SEAL</w:t>
      </w:r>
      <w:r w:rsidR="00625DED" w:rsidRPr="00295637">
        <w:rPr>
          <w:rFonts w:ascii="Times New Roman" w:hAnsi="Times New Roman"/>
        </w:rPr>
        <w:t xml:space="preserve"> </w:t>
      </w:r>
      <w:r>
        <w:rPr>
          <w:rFonts w:ascii="Times New Roman" w:hAnsi="Times New Roman"/>
        </w:rPr>
        <w:t>у</w:t>
      </w:r>
      <w:r w:rsidR="00625DED" w:rsidRPr="00295637">
        <w:rPr>
          <w:rFonts w:ascii="Times New Roman" w:hAnsi="Times New Roman"/>
        </w:rPr>
        <w:t xml:space="preserve"> </w:t>
      </w:r>
      <w:r>
        <w:rPr>
          <w:rFonts w:ascii="Times New Roman" w:hAnsi="Times New Roman"/>
        </w:rPr>
        <w:t>приватном</w:t>
      </w:r>
      <w:r w:rsidR="00625DED" w:rsidRPr="00295637">
        <w:rPr>
          <w:rFonts w:ascii="Times New Roman" w:hAnsi="Times New Roman"/>
        </w:rPr>
        <w:t xml:space="preserve"> </w:t>
      </w:r>
      <w:r>
        <w:rPr>
          <w:rFonts w:ascii="Times New Roman" w:hAnsi="Times New Roman"/>
        </w:rPr>
        <w:t>сектору</w:t>
      </w:r>
      <w:r w:rsidR="0098627A" w:rsidRPr="00295637">
        <w:rPr>
          <w:rFonts w:ascii="Times New Roman" w:hAnsi="Times New Roman"/>
        </w:rPr>
        <w:t>“</w:t>
      </w:r>
      <w:r w:rsidR="00625DED" w:rsidRPr="00295637">
        <w:rPr>
          <w:rFonts w:ascii="Times New Roman" w:hAnsi="Times New Roman"/>
        </w:rPr>
        <w:t xml:space="preserve">, </w:t>
      </w:r>
      <w:r>
        <w:rPr>
          <w:rFonts w:ascii="Times New Roman" w:hAnsi="Times New Roman"/>
        </w:rPr>
        <w:t>који</w:t>
      </w:r>
      <w:r w:rsidR="00625DED" w:rsidRPr="00295637">
        <w:rPr>
          <w:rFonts w:ascii="Times New Roman" w:hAnsi="Times New Roman"/>
        </w:rPr>
        <w:t xml:space="preserve"> </w:t>
      </w:r>
      <w:r>
        <w:rPr>
          <w:rFonts w:ascii="Times New Roman" w:hAnsi="Times New Roman"/>
        </w:rPr>
        <w:t>АР</w:t>
      </w:r>
      <w:r w:rsidR="000D058D">
        <w:rPr>
          <w:rFonts w:ascii="Times New Roman" w:hAnsi="Times New Roman"/>
          <w:lang w:val="sr-Cyrl-BA"/>
        </w:rPr>
        <w:t>П</w:t>
      </w:r>
      <w:r w:rsidR="009E54A2" w:rsidRPr="00295637">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Pr>
          <w:rFonts w:ascii="Times New Roman" w:hAnsi="Times New Roman"/>
        </w:rPr>
        <w:t>МЉПИ</w:t>
      </w:r>
      <w:r w:rsidR="00870AE1">
        <w:rPr>
          <w:rFonts w:ascii="Times New Roman" w:hAnsi="Times New Roman"/>
        </w:rPr>
        <w:t xml:space="preserve"> </w:t>
      </w:r>
      <w:r>
        <w:rPr>
          <w:rFonts w:ascii="Times New Roman" w:hAnsi="Times New Roman"/>
        </w:rPr>
        <w:t>БиХ</w:t>
      </w:r>
      <w:r w:rsidR="00625DED" w:rsidRPr="00295637">
        <w:rPr>
          <w:rFonts w:ascii="Times New Roman" w:hAnsi="Times New Roman"/>
        </w:rPr>
        <w:t xml:space="preserve"> </w:t>
      </w:r>
      <w:r>
        <w:rPr>
          <w:rFonts w:ascii="Times New Roman" w:hAnsi="Times New Roman"/>
        </w:rPr>
        <w:t>проводи</w:t>
      </w:r>
      <w:r w:rsidR="00625DED" w:rsidRPr="00295637">
        <w:rPr>
          <w:rFonts w:ascii="Times New Roman" w:hAnsi="Times New Roman"/>
        </w:rPr>
        <w:t xml:space="preserve"> </w:t>
      </w:r>
      <w:r>
        <w:rPr>
          <w:rFonts w:ascii="Times New Roman" w:hAnsi="Times New Roman"/>
        </w:rPr>
        <w:t>у</w:t>
      </w:r>
      <w:r w:rsidR="00625DED" w:rsidRPr="00295637">
        <w:rPr>
          <w:rFonts w:ascii="Times New Roman" w:hAnsi="Times New Roman"/>
        </w:rPr>
        <w:t xml:space="preserve"> </w:t>
      </w:r>
      <w:r>
        <w:rPr>
          <w:rFonts w:ascii="Times New Roman" w:hAnsi="Times New Roman"/>
        </w:rPr>
        <w:t>с</w:t>
      </w:r>
      <w:r w:rsidR="000D058D">
        <w:rPr>
          <w:rFonts w:ascii="Times New Roman" w:hAnsi="Times New Roman"/>
          <w:lang w:val="sr-Cyrl-BA"/>
        </w:rPr>
        <w:t>а</w:t>
      </w:r>
      <w:r>
        <w:rPr>
          <w:rFonts w:ascii="Times New Roman" w:hAnsi="Times New Roman"/>
        </w:rPr>
        <w:t>радњи</w:t>
      </w:r>
      <w:r w:rsidR="00870AE1">
        <w:rPr>
          <w:rFonts w:ascii="Times New Roman" w:hAnsi="Times New Roman"/>
        </w:rPr>
        <w:t xml:space="preserve"> </w:t>
      </w:r>
      <w:r>
        <w:rPr>
          <w:rFonts w:ascii="Times New Roman" w:hAnsi="Times New Roman"/>
        </w:rPr>
        <w:t>са</w:t>
      </w:r>
      <w:r w:rsidR="00625DED" w:rsidRPr="00295637">
        <w:rPr>
          <w:rFonts w:ascii="Times New Roman" w:hAnsi="Times New Roman"/>
        </w:rPr>
        <w:t xml:space="preserve"> </w:t>
      </w:r>
      <w:r w:rsidR="000D058D" w:rsidRPr="000D058D">
        <w:rPr>
          <w:rFonts w:ascii="Times New Roman" w:hAnsi="Times New Roman"/>
          <w:i/>
        </w:rPr>
        <w:t>UNDP</w:t>
      </w:r>
      <w:r w:rsidR="00625DED" w:rsidRPr="00295637">
        <w:rPr>
          <w:rFonts w:ascii="Times New Roman" w:hAnsi="Times New Roman"/>
        </w:rPr>
        <w:t xml:space="preserve">, </w:t>
      </w:r>
      <w:r>
        <w:rPr>
          <w:rFonts w:ascii="Times New Roman" w:hAnsi="Times New Roman"/>
        </w:rPr>
        <w:t>развијани</w:t>
      </w:r>
      <w:r w:rsidR="00625DED" w:rsidRPr="00295637">
        <w:rPr>
          <w:rFonts w:ascii="Times New Roman" w:hAnsi="Times New Roman"/>
        </w:rPr>
        <w:t xml:space="preserve"> </w:t>
      </w:r>
      <w:r>
        <w:rPr>
          <w:rFonts w:ascii="Times New Roman" w:hAnsi="Times New Roman"/>
        </w:rPr>
        <w:t>су</w:t>
      </w:r>
      <w:r w:rsidR="00625DED" w:rsidRPr="00295637">
        <w:rPr>
          <w:rFonts w:ascii="Times New Roman" w:hAnsi="Times New Roman"/>
        </w:rPr>
        <w:t xml:space="preserve"> </w:t>
      </w:r>
      <w:r>
        <w:rPr>
          <w:rFonts w:ascii="Times New Roman" w:hAnsi="Times New Roman"/>
        </w:rPr>
        <w:t>капацитети</w:t>
      </w:r>
      <w:r w:rsidR="00625DED" w:rsidRPr="00295637">
        <w:rPr>
          <w:rFonts w:ascii="Times New Roman" w:hAnsi="Times New Roman"/>
        </w:rPr>
        <w:t xml:space="preserve"> </w:t>
      </w:r>
      <w:r>
        <w:rPr>
          <w:rFonts w:ascii="Times New Roman" w:hAnsi="Times New Roman"/>
          <w:lang w:val="hr-HR"/>
        </w:rPr>
        <w:t>савјетника</w:t>
      </w:r>
      <w:r w:rsidR="00625DED" w:rsidRPr="00295637">
        <w:rPr>
          <w:rFonts w:ascii="Times New Roman" w:hAnsi="Times New Roman"/>
          <w:lang w:val="hr-HR"/>
        </w:rPr>
        <w:t xml:space="preserve"> </w:t>
      </w:r>
      <w:r>
        <w:rPr>
          <w:rFonts w:ascii="Times New Roman" w:hAnsi="Times New Roman"/>
          <w:lang w:val="hr-HR"/>
        </w:rPr>
        <w:t>који</w:t>
      </w:r>
      <w:r w:rsidR="00625DED" w:rsidRPr="00295637">
        <w:rPr>
          <w:rFonts w:ascii="Times New Roman" w:hAnsi="Times New Roman"/>
          <w:lang w:val="hr-HR"/>
        </w:rPr>
        <w:t xml:space="preserve"> </w:t>
      </w:r>
      <w:r>
        <w:rPr>
          <w:rFonts w:ascii="Times New Roman" w:hAnsi="Times New Roman"/>
          <w:lang w:val="hr-HR"/>
        </w:rPr>
        <w:t>могу</w:t>
      </w:r>
      <w:r w:rsidR="00625DED" w:rsidRPr="00295637">
        <w:rPr>
          <w:rFonts w:ascii="Times New Roman" w:hAnsi="Times New Roman"/>
          <w:lang w:val="hr-HR"/>
        </w:rPr>
        <w:t xml:space="preserve"> </w:t>
      </w:r>
      <w:r>
        <w:rPr>
          <w:rFonts w:ascii="Times New Roman" w:hAnsi="Times New Roman"/>
          <w:lang w:val="hr-HR"/>
        </w:rPr>
        <w:t>пружити</w:t>
      </w:r>
      <w:r w:rsidR="00625DED" w:rsidRPr="00295637">
        <w:rPr>
          <w:rFonts w:ascii="Times New Roman" w:hAnsi="Times New Roman"/>
          <w:lang w:val="hr-HR"/>
        </w:rPr>
        <w:t xml:space="preserve"> </w:t>
      </w:r>
      <w:r>
        <w:rPr>
          <w:rFonts w:ascii="Times New Roman" w:hAnsi="Times New Roman"/>
          <w:lang w:val="hr-HR"/>
        </w:rPr>
        <w:t>савјетодавне</w:t>
      </w:r>
      <w:r w:rsidR="00625DED" w:rsidRPr="00295637">
        <w:rPr>
          <w:rFonts w:ascii="Times New Roman" w:hAnsi="Times New Roman"/>
          <w:lang w:val="hr-HR"/>
        </w:rPr>
        <w:t xml:space="preserve"> </w:t>
      </w:r>
      <w:r>
        <w:rPr>
          <w:rFonts w:ascii="Times New Roman" w:hAnsi="Times New Roman"/>
          <w:lang w:val="hr-HR"/>
        </w:rPr>
        <w:t>услуге</w:t>
      </w:r>
      <w:r w:rsidR="00625DED" w:rsidRPr="00295637">
        <w:rPr>
          <w:rFonts w:ascii="Times New Roman" w:hAnsi="Times New Roman"/>
          <w:lang w:val="hr-HR"/>
        </w:rPr>
        <w:t xml:space="preserve"> </w:t>
      </w:r>
      <w:r>
        <w:rPr>
          <w:rFonts w:ascii="Times New Roman" w:hAnsi="Times New Roman"/>
          <w:lang w:val="hr-HR"/>
        </w:rPr>
        <w:t>приватним</w:t>
      </w:r>
      <w:r w:rsidR="00625DED" w:rsidRPr="00295637">
        <w:rPr>
          <w:rFonts w:ascii="Times New Roman" w:hAnsi="Times New Roman"/>
          <w:lang w:val="hr-HR"/>
        </w:rPr>
        <w:t xml:space="preserve"> </w:t>
      </w:r>
      <w:r>
        <w:rPr>
          <w:rFonts w:ascii="Times New Roman" w:hAnsi="Times New Roman"/>
          <w:lang w:val="hr-HR"/>
        </w:rPr>
        <w:t>компанијама</w:t>
      </w:r>
      <w:r w:rsidR="00625DED" w:rsidRPr="00295637">
        <w:rPr>
          <w:rFonts w:ascii="Times New Roman" w:hAnsi="Times New Roman"/>
          <w:lang w:val="hr-HR"/>
        </w:rPr>
        <w:t xml:space="preserve"> </w:t>
      </w:r>
      <w:r>
        <w:rPr>
          <w:rFonts w:ascii="Times New Roman" w:hAnsi="Times New Roman"/>
          <w:lang w:val="hr-HR"/>
        </w:rPr>
        <w:t>и</w:t>
      </w:r>
      <w:r w:rsidR="00625DED" w:rsidRPr="00295637">
        <w:rPr>
          <w:rFonts w:ascii="Times New Roman" w:hAnsi="Times New Roman"/>
          <w:lang w:val="hr-HR"/>
        </w:rPr>
        <w:t xml:space="preserve"> </w:t>
      </w:r>
      <w:r>
        <w:rPr>
          <w:rFonts w:ascii="Times New Roman" w:hAnsi="Times New Roman"/>
          <w:lang w:val="hr-HR"/>
        </w:rPr>
        <w:t>подржати</w:t>
      </w:r>
      <w:r w:rsidR="00625DED" w:rsidRPr="00295637">
        <w:rPr>
          <w:rFonts w:ascii="Times New Roman" w:hAnsi="Times New Roman"/>
          <w:lang w:val="hr-HR"/>
        </w:rPr>
        <w:t xml:space="preserve"> </w:t>
      </w:r>
      <w:r>
        <w:rPr>
          <w:rFonts w:ascii="Times New Roman" w:hAnsi="Times New Roman"/>
          <w:lang w:val="hr-HR"/>
        </w:rPr>
        <w:t>их</w:t>
      </w:r>
      <w:r w:rsidR="00625DED" w:rsidRPr="00295637">
        <w:rPr>
          <w:rFonts w:ascii="Times New Roman" w:hAnsi="Times New Roman"/>
          <w:lang w:val="hr-HR"/>
        </w:rPr>
        <w:t xml:space="preserve"> </w:t>
      </w:r>
      <w:r>
        <w:rPr>
          <w:rFonts w:ascii="Times New Roman" w:hAnsi="Times New Roman"/>
          <w:lang w:val="hr-HR"/>
        </w:rPr>
        <w:t>у</w:t>
      </w:r>
      <w:r w:rsidR="00625DED" w:rsidRPr="00295637">
        <w:rPr>
          <w:rFonts w:ascii="Times New Roman" w:hAnsi="Times New Roman"/>
          <w:lang w:val="hr-HR"/>
        </w:rPr>
        <w:t xml:space="preserve"> </w:t>
      </w:r>
      <w:r>
        <w:rPr>
          <w:rFonts w:ascii="Times New Roman" w:hAnsi="Times New Roman"/>
          <w:lang w:val="hr-HR"/>
        </w:rPr>
        <w:t>процесу</w:t>
      </w:r>
      <w:r w:rsidR="00625DED" w:rsidRPr="00295637">
        <w:rPr>
          <w:rFonts w:ascii="Times New Roman" w:hAnsi="Times New Roman"/>
          <w:lang w:val="hr-HR"/>
        </w:rPr>
        <w:t xml:space="preserve"> </w:t>
      </w:r>
      <w:r w:rsidR="000D058D">
        <w:rPr>
          <w:rFonts w:ascii="Times New Roman" w:hAnsi="Times New Roman"/>
          <w:lang w:val="sr-Cyrl-BA"/>
        </w:rPr>
        <w:t>спровођења</w:t>
      </w:r>
      <w:r w:rsidR="00625DED" w:rsidRPr="00295637">
        <w:rPr>
          <w:rFonts w:ascii="Times New Roman" w:hAnsi="Times New Roman"/>
          <w:lang w:val="hr-HR"/>
        </w:rPr>
        <w:t xml:space="preserve"> „</w:t>
      </w:r>
      <w:r>
        <w:rPr>
          <w:rFonts w:ascii="Times New Roman" w:hAnsi="Times New Roman"/>
          <w:lang w:val="hr-HR"/>
        </w:rPr>
        <w:t>Печата</w:t>
      </w:r>
      <w:r w:rsidR="00625DED" w:rsidRPr="00295637">
        <w:rPr>
          <w:rFonts w:ascii="Times New Roman" w:hAnsi="Times New Roman"/>
          <w:lang w:val="hr-HR"/>
        </w:rPr>
        <w:t xml:space="preserve"> </w:t>
      </w:r>
      <w:r>
        <w:rPr>
          <w:rFonts w:ascii="Times New Roman" w:hAnsi="Times New Roman"/>
          <w:lang w:val="hr-HR"/>
        </w:rPr>
        <w:t>за</w:t>
      </w:r>
      <w:r w:rsidR="00625DED" w:rsidRPr="00295637">
        <w:rPr>
          <w:rFonts w:ascii="Times New Roman" w:hAnsi="Times New Roman"/>
          <w:lang w:val="hr-HR"/>
        </w:rPr>
        <w:t xml:space="preserve"> </w:t>
      </w:r>
      <w:r>
        <w:rPr>
          <w:rFonts w:ascii="Times New Roman" w:hAnsi="Times New Roman"/>
          <w:lang w:val="hr-HR"/>
        </w:rPr>
        <w:t>родну</w:t>
      </w:r>
      <w:r w:rsidR="00625DED" w:rsidRPr="00295637">
        <w:rPr>
          <w:rFonts w:ascii="Times New Roman" w:hAnsi="Times New Roman"/>
          <w:lang w:val="hr-HR"/>
        </w:rPr>
        <w:t xml:space="preserve"> </w:t>
      </w:r>
      <w:r>
        <w:rPr>
          <w:rFonts w:ascii="Times New Roman" w:hAnsi="Times New Roman"/>
          <w:lang w:val="hr-HR"/>
        </w:rPr>
        <w:t>равноправност</w:t>
      </w:r>
      <w:r w:rsidR="00625DED" w:rsidRPr="00295637">
        <w:rPr>
          <w:rFonts w:ascii="Times New Roman" w:hAnsi="Times New Roman"/>
          <w:lang w:val="hr-HR"/>
        </w:rPr>
        <w:t xml:space="preserve">“. </w:t>
      </w:r>
      <w:r>
        <w:rPr>
          <w:rFonts w:ascii="Times New Roman" w:hAnsi="Times New Roman"/>
          <w:lang w:val="hr-HR"/>
        </w:rPr>
        <w:t>Израђен</w:t>
      </w:r>
      <w:r w:rsidR="00625DED" w:rsidRPr="00295637">
        <w:rPr>
          <w:rFonts w:ascii="Times New Roman" w:hAnsi="Times New Roman"/>
          <w:lang w:val="hr-HR"/>
        </w:rPr>
        <w:t xml:space="preserve"> </w:t>
      </w:r>
      <w:r>
        <w:rPr>
          <w:rFonts w:ascii="Times New Roman" w:hAnsi="Times New Roman"/>
          <w:lang w:val="hr-HR"/>
        </w:rPr>
        <w:t>је</w:t>
      </w:r>
      <w:r w:rsidR="00625DED" w:rsidRPr="00295637">
        <w:rPr>
          <w:rFonts w:ascii="Times New Roman" w:hAnsi="Times New Roman"/>
          <w:lang w:val="hr-HR"/>
        </w:rPr>
        <w:t xml:space="preserve"> </w:t>
      </w:r>
      <w:r>
        <w:rPr>
          <w:rFonts w:ascii="Times New Roman" w:hAnsi="Times New Roman"/>
          <w:lang w:val="hr-HR"/>
        </w:rPr>
        <w:t>Програм</w:t>
      </w:r>
      <w:r w:rsidR="00625DED" w:rsidRPr="00295637">
        <w:rPr>
          <w:rFonts w:ascii="Times New Roman" w:hAnsi="Times New Roman"/>
          <w:lang w:val="hr-HR"/>
        </w:rPr>
        <w:t xml:space="preserve"> </w:t>
      </w:r>
      <w:r>
        <w:rPr>
          <w:rFonts w:ascii="Times New Roman" w:hAnsi="Times New Roman"/>
          <w:lang w:val="hr-HR"/>
        </w:rPr>
        <w:t>цертифици</w:t>
      </w:r>
      <w:r w:rsidR="000D058D">
        <w:rPr>
          <w:rFonts w:ascii="Times New Roman" w:hAnsi="Times New Roman"/>
          <w:lang w:val="sr-Cyrl-BA"/>
        </w:rPr>
        <w:t>ковања</w:t>
      </w:r>
      <w:r w:rsidR="00625DED" w:rsidRPr="00295637">
        <w:rPr>
          <w:rFonts w:ascii="Times New Roman" w:hAnsi="Times New Roman"/>
          <w:lang w:val="hr-HR"/>
        </w:rPr>
        <w:t xml:space="preserve"> </w:t>
      </w:r>
      <w:r>
        <w:rPr>
          <w:rFonts w:ascii="Times New Roman" w:hAnsi="Times New Roman"/>
          <w:lang w:val="hr-HR"/>
        </w:rPr>
        <w:t>савјетника</w:t>
      </w:r>
      <w:r w:rsidR="00625DED" w:rsidRPr="00295637">
        <w:rPr>
          <w:rFonts w:ascii="Times New Roman" w:hAnsi="Times New Roman"/>
          <w:lang w:val="hr-HR"/>
        </w:rPr>
        <w:t xml:space="preserve"> </w:t>
      </w:r>
      <w:r>
        <w:rPr>
          <w:rFonts w:ascii="Times New Roman" w:hAnsi="Times New Roman"/>
          <w:lang w:val="hr-HR"/>
        </w:rPr>
        <w:t>и</w:t>
      </w:r>
      <w:r w:rsidR="00625DED" w:rsidRPr="00295637">
        <w:rPr>
          <w:rFonts w:ascii="Times New Roman" w:hAnsi="Times New Roman"/>
          <w:lang w:val="hr-HR"/>
        </w:rPr>
        <w:t xml:space="preserve"> </w:t>
      </w:r>
      <w:r>
        <w:rPr>
          <w:rFonts w:ascii="Times New Roman" w:hAnsi="Times New Roman"/>
          <w:lang w:val="hr-HR"/>
        </w:rPr>
        <w:t>ревизора</w:t>
      </w:r>
      <w:r w:rsidR="00625DED" w:rsidRPr="00295637">
        <w:rPr>
          <w:rFonts w:ascii="Times New Roman" w:hAnsi="Times New Roman"/>
          <w:lang w:val="hr-HR"/>
        </w:rPr>
        <w:t xml:space="preserve"> </w:t>
      </w:r>
      <w:r>
        <w:rPr>
          <w:rFonts w:ascii="Times New Roman" w:hAnsi="Times New Roman"/>
          <w:lang w:val="hr-HR"/>
        </w:rPr>
        <w:t>за</w:t>
      </w:r>
      <w:r w:rsidR="00625DED" w:rsidRPr="00295637">
        <w:rPr>
          <w:rFonts w:ascii="Times New Roman" w:hAnsi="Times New Roman"/>
          <w:lang w:val="hr-HR"/>
        </w:rPr>
        <w:t xml:space="preserve"> </w:t>
      </w:r>
      <w:r>
        <w:rPr>
          <w:rFonts w:ascii="Times New Roman" w:hAnsi="Times New Roman"/>
          <w:lang w:val="hr-HR"/>
        </w:rPr>
        <w:t>равноправност</w:t>
      </w:r>
      <w:r w:rsidR="00625DED" w:rsidRPr="00295637">
        <w:rPr>
          <w:rFonts w:ascii="Times New Roman" w:hAnsi="Times New Roman"/>
          <w:lang w:val="hr-HR"/>
        </w:rPr>
        <w:t xml:space="preserve"> </w:t>
      </w:r>
      <w:r>
        <w:rPr>
          <w:rFonts w:ascii="Times New Roman" w:hAnsi="Times New Roman"/>
          <w:lang w:val="hr-HR"/>
        </w:rPr>
        <w:t>полова</w:t>
      </w:r>
      <w:r w:rsidR="00625DED" w:rsidRPr="00295637">
        <w:rPr>
          <w:rFonts w:ascii="Times New Roman" w:hAnsi="Times New Roman"/>
          <w:lang w:val="hr-HR"/>
        </w:rPr>
        <w:t xml:space="preserve"> </w:t>
      </w:r>
      <w:r>
        <w:rPr>
          <w:rFonts w:ascii="Times New Roman" w:hAnsi="Times New Roman"/>
          <w:lang w:val="hr-HR"/>
        </w:rPr>
        <w:t>у</w:t>
      </w:r>
      <w:r w:rsidR="00625DED" w:rsidRPr="00295637">
        <w:rPr>
          <w:rFonts w:ascii="Times New Roman" w:hAnsi="Times New Roman"/>
          <w:lang w:val="hr-HR"/>
        </w:rPr>
        <w:t xml:space="preserve"> </w:t>
      </w:r>
      <w:r>
        <w:rPr>
          <w:rFonts w:ascii="Times New Roman" w:hAnsi="Times New Roman"/>
          <w:lang w:val="hr-HR"/>
        </w:rPr>
        <w:t>приватном</w:t>
      </w:r>
      <w:r w:rsidR="00625DED" w:rsidRPr="00295637">
        <w:rPr>
          <w:rFonts w:ascii="Times New Roman" w:hAnsi="Times New Roman"/>
          <w:lang w:val="hr-HR"/>
        </w:rPr>
        <w:t xml:space="preserve"> </w:t>
      </w:r>
      <w:r>
        <w:rPr>
          <w:rFonts w:ascii="Times New Roman" w:hAnsi="Times New Roman"/>
          <w:lang w:val="hr-HR"/>
        </w:rPr>
        <w:t>сектору</w:t>
      </w:r>
      <w:r w:rsidR="00625DED" w:rsidRPr="00295637">
        <w:rPr>
          <w:rFonts w:ascii="Times New Roman" w:hAnsi="Times New Roman"/>
          <w:lang w:val="hr-HR"/>
        </w:rPr>
        <w:t xml:space="preserve">. </w:t>
      </w:r>
      <w:r>
        <w:rPr>
          <w:rFonts w:ascii="Times New Roman" w:hAnsi="Times New Roman"/>
          <w:lang w:val="hr-HR"/>
        </w:rPr>
        <w:t>Израђен</w:t>
      </w:r>
      <w:r w:rsidR="00625DED" w:rsidRPr="00295637">
        <w:rPr>
          <w:rFonts w:ascii="Times New Roman" w:hAnsi="Times New Roman"/>
          <w:lang w:val="hr-HR"/>
        </w:rPr>
        <w:t xml:space="preserve"> </w:t>
      </w:r>
      <w:r>
        <w:rPr>
          <w:rFonts w:ascii="Times New Roman" w:hAnsi="Times New Roman"/>
          <w:lang w:val="hr-HR"/>
        </w:rPr>
        <w:t>је</w:t>
      </w:r>
      <w:r w:rsidR="00625DED" w:rsidRPr="00295637">
        <w:rPr>
          <w:rFonts w:ascii="Times New Roman" w:hAnsi="Times New Roman"/>
          <w:lang w:val="hr-HR"/>
        </w:rPr>
        <w:t xml:space="preserve"> </w:t>
      </w:r>
      <w:r>
        <w:rPr>
          <w:rFonts w:ascii="Times New Roman" w:hAnsi="Times New Roman"/>
          <w:lang w:val="hr-HR"/>
        </w:rPr>
        <w:t>Правилник</w:t>
      </w:r>
      <w:r w:rsidR="00625DED" w:rsidRPr="00295637">
        <w:rPr>
          <w:rFonts w:ascii="Times New Roman" w:hAnsi="Times New Roman"/>
          <w:lang w:val="hr-HR"/>
        </w:rPr>
        <w:t xml:space="preserve"> </w:t>
      </w:r>
      <w:r>
        <w:rPr>
          <w:rFonts w:ascii="Times New Roman" w:hAnsi="Times New Roman"/>
          <w:lang w:val="hr-HR"/>
        </w:rPr>
        <w:t>о</w:t>
      </w:r>
      <w:r w:rsidR="00625DED" w:rsidRPr="00295637">
        <w:rPr>
          <w:rFonts w:ascii="Times New Roman" w:hAnsi="Times New Roman"/>
          <w:lang w:val="hr-HR"/>
        </w:rPr>
        <w:t xml:space="preserve"> </w:t>
      </w:r>
      <w:r>
        <w:rPr>
          <w:rFonts w:ascii="Times New Roman" w:hAnsi="Times New Roman"/>
          <w:lang w:val="hr-HR"/>
        </w:rPr>
        <w:t>поступку</w:t>
      </w:r>
      <w:r w:rsidR="00625DED" w:rsidRPr="00295637">
        <w:rPr>
          <w:rFonts w:ascii="Times New Roman" w:hAnsi="Times New Roman"/>
          <w:lang w:val="hr-HR"/>
        </w:rPr>
        <w:t xml:space="preserve"> </w:t>
      </w:r>
      <w:r>
        <w:rPr>
          <w:rFonts w:ascii="Times New Roman" w:hAnsi="Times New Roman"/>
          <w:lang w:val="hr-HR"/>
        </w:rPr>
        <w:t>и</w:t>
      </w:r>
      <w:r w:rsidR="00625DED" w:rsidRPr="00295637">
        <w:rPr>
          <w:rFonts w:ascii="Times New Roman" w:hAnsi="Times New Roman"/>
          <w:lang w:val="hr-HR"/>
        </w:rPr>
        <w:t xml:space="preserve"> </w:t>
      </w:r>
      <w:r>
        <w:rPr>
          <w:rFonts w:ascii="Times New Roman" w:hAnsi="Times New Roman"/>
          <w:lang w:val="hr-HR"/>
        </w:rPr>
        <w:t>начину</w:t>
      </w:r>
      <w:r w:rsidR="00625DED" w:rsidRPr="00295637">
        <w:rPr>
          <w:rFonts w:ascii="Times New Roman" w:hAnsi="Times New Roman"/>
          <w:lang w:val="hr-HR"/>
        </w:rPr>
        <w:t xml:space="preserve"> </w:t>
      </w:r>
      <w:r>
        <w:rPr>
          <w:rFonts w:ascii="Times New Roman" w:hAnsi="Times New Roman"/>
          <w:lang w:val="hr-HR"/>
        </w:rPr>
        <w:t>додјеле</w:t>
      </w:r>
      <w:r w:rsidR="00625DED" w:rsidRPr="00295637">
        <w:rPr>
          <w:rFonts w:ascii="Times New Roman" w:hAnsi="Times New Roman"/>
          <w:lang w:val="hr-HR"/>
        </w:rPr>
        <w:t xml:space="preserve"> </w:t>
      </w:r>
      <w:r>
        <w:rPr>
          <w:rFonts w:ascii="Times New Roman" w:hAnsi="Times New Roman"/>
          <w:lang w:val="hr-HR"/>
        </w:rPr>
        <w:t>печата</w:t>
      </w:r>
      <w:r w:rsidR="00625DED" w:rsidRPr="00295637">
        <w:rPr>
          <w:rFonts w:ascii="Times New Roman" w:hAnsi="Times New Roman"/>
          <w:lang w:val="hr-HR"/>
        </w:rPr>
        <w:t xml:space="preserve"> </w:t>
      </w:r>
      <w:r>
        <w:rPr>
          <w:rFonts w:ascii="Times New Roman" w:hAnsi="Times New Roman"/>
          <w:lang w:val="hr-HR"/>
        </w:rPr>
        <w:t>као</w:t>
      </w:r>
      <w:r w:rsidR="009624AA" w:rsidRPr="00295637">
        <w:rPr>
          <w:rFonts w:ascii="Times New Roman" w:hAnsi="Times New Roman"/>
          <w:lang w:val="hr-HR"/>
        </w:rPr>
        <w:t xml:space="preserve"> </w:t>
      </w:r>
      <w:r>
        <w:rPr>
          <w:rFonts w:ascii="Times New Roman" w:hAnsi="Times New Roman"/>
          <w:lang w:val="hr-HR"/>
        </w:rPr>
        <w:t>и</w:t>
      </w:r>
      <w:r w:rsidR="00625DED" w:rsidRPr="00295637">
        <w:rPr>
          <w:rFonts w:ascii="Times New Roman" w:hAnsi="Times New Roman"/>
          <w:lang w:val="hr-HR"/>
        </w:rPr>
        <w:t xml:space="preserve"> </w:t>
      </w:r>
      <w:r>
        <w:rPr>
          <w:rFonts w:ascii="Times New Roman" w:hAnsi="Times New Roman"/>
          <w:lang w:val="hr-HR"/>
        </w:rPr>
        <w:t>стандарди</w:t>
      </w:r>
      <w:r w:rsidR="00625DED" w:rsidRPr="00295637">
        <w:rPr>
          <w:rFonts w:ascii="Times New Roman" w:hAnsi="Times New Roman"/>
          <w:lang w:val="hr-HR"/>
        </w:rPr>
        <w:t xml:space="preserve"> </w:t>
      </w:r>
      <w:r>
        <w:rPr>
          <w:rFonts w:ascii="Times New Roman" w:hAnsi="Times New Roman"/>
          <w:lang w:val="hr-HR"/>
        </w:rPr>
        <w:t>за</w:t>
      </w:r>
      <w:r w:rsidR="00625DED" w:rsidRPr="00295637">
        <w:rPr>
          <w:rFonts w:ascii="Times New Roman" w:hAnsi="Times New Roman"/>
          <w:lang w:val="hr-HR"/>
        </w:rPr>
        <w:t xml:space="preserve"> </w:t>
      </w:r>
      <w:r>
        <w:rPr>
          <w:rFonts w:ascii="Times New Roman" w:hAnsi="Times New Roman"/>
          <w:lang w:val="hr-HR"/>
        </w:rPr>
        <w:t>равноправност</w:t>
      </w:r>
      <w:r w:rsidR="00B10398" w:rsidRPr="00295637">
        <w:rPr>
          <w:rFonts w:ascii="Times New Roman" w:hAnsi="Times New Roman"/>
          <w:lang w:val="hr-HR"/>
        </w:rPr>
        <w:t xml:space="preserve"> </w:t>
      </w:r>
      <w:r>
        <w:rPr>
          <w:rFonts w:ascii="Times New Roman" w:hAnsi="Times New Roman"/>
          <w:lang w:val="hr-HR"/>
        </w:rPr>
        <w:t>полова</w:t>
      </w:r>
      <w:r w:rsidR="00B10398" w:rsidRPr="00295637">
        <w:rPr>
          <w:rFonts w:ascii="Times New Roman" w:hAnsi="Times New Roman"/>
          <w:lang w:val="hr-HR"/>
        </w:rPr>
        <w:t xml:space="preserve"> </w:t>
      </w:r>
      <w:r>
        <w:rPr>
          <w:rFonts w:ascii="Times New Roman" w:hAnsi="Times New Roman"/>
          <w:lang w:val="hr-HR"/>
        </w:rPr>
        <w:t>у</w:t>
      </w:r>
      <w:r w:rsidR="00B10398" w:rsidRPr="00295637">
        <w:rPr>
          <w:rFonts w:ascii="Times New Roman" w:hAnsi="Times New Roman"/>
          <w:lang w:val="hr-HR"/>
        </w:rPr>
        <w:t xml:space="preserve"> </w:t>
      </w:r>
      <w:r>
        <w:rPr>
          <w:rFonts w:ascii="Times New Roman" w:hAnsi="Times New Roman"/>
          <w:lang w:val="hr-HR"/>
        </w:rPr>
        <w:t>приватном</w:t>
      </w:r>
      <w:r w:rsidR="00B10398" w:rsidRPr="00295637">
        <w:rPr>
          <w:rFonts w:ascii="Times New Roman" w:hAnsi="Times New Roman"/>
          <w:lang w:val="hr-HR"/>
        </w:rPr>
        <w:t xml:space="preserve"> </w:t>
      </w:r>
      <w:r>
        <w:rPr>
          <w:rFonts w:ascii="Times New Roman" w:hAnsi="Times New Roman"/>
          <w:lang w:val="hr-HR"/>
        </w:rPr>
        <w:t>сектору</w:t>
      </w:r>
      <w:r w:rsidR="00B10398" w:rsidRPr="00295637">
        <w:rPr>
          <w:rFonts w:ascii="Times New Roman" w:hAnsi="Times New Roman"/>
          <w:lang w:val="hr-HR"/>
        </w:rPr>
        <w:t xml:space="preserve"> </w:t>
      </w:r>
      <w:r>
        <w:rPr>
          <w:rFonts w:ascii="Times New Roman" w:hAnsi="Times New Roman"/>
          <w:lang w:val="hr-HR"/>
        </w:rPr>
        <w:t>који</w:t>
      </w:r>
      <w:r w:rsidR="00B10398" w:rsidRPr="00295637">
        <w:rPr>
          <w:rFonts w:ascii="Times New Roman" w:hAnsi="Times New Roman"/>
          <w:lang w:val="hr-HR"/>
        </w:rPr>
        <w:t xml:space="preserve"> </w:t>
      </w:r>
      <w:r>
        <w:rPr>
          <w:rFonts w:ascii="Times New Roman" w:hAnsi="Times New Roman"/>
          <w:lang w:val="hr-HR"/>
        </w:rPr>
        <w:t>су</w:t>
      </w:r>
      <w:r w:rsidR="00625DED" w:rsidRPr="00295637">
        <w:rPr>
          <w:rFonts w:ascii="Times New Roman" w:hAnsi="Times New Roman"/>
          <w:lang w:val="hr-HR"/>
        </w:rPr>
        <w:t xml:space="preserve"> </w:t>
      </w:r>
      <w:r>
        <w:rPr>
          <w:rFonts w:ascii="Times New Roman" w:hAnsi="Times New Roman"/>
          <w:lang w:val="hr-HR"/>
        </w:rPr>
        <w:t>усклађени</w:t>
      </w:r>
      <w:r w:rsidR="00870AE1">
        <w:rPr>
          <w:rFonts w:ascii="Times New Roman" w:hAnsi="Times New Roman"/>
          <w:lang w:val="hr-HR"/>
        </w:rPr>
        <w:t xml:space="preserve"> </w:t>
      </w:r>
      <w:r>
        <w:rPr>
          <w:rFonts w:ascii="Times New Roman" w:hAnsi="Times New Roman"/>
          <w:lang w:val="hr-HR"/>
        </w:rPr>
        <w:t>са</w:t>
      </w:r>
      <w:r w:rsidR="00625DED" w:rsidRPr="00295637">
        <w:rPr>
          <w:rFonts w:ascii="Times New Roman" w:hAnsi="Times New Roman"/>
          <w:lang w:val="hr-HR"/>
        </w:rPr>
        <w:t xml:space="preserve"> </w:t>
      </w:r>
      <w:r>
        <w:rPr>
          <w:rFonts w:ascii="Times New Roman" w:hAnsi="Times New Roman"/>
          <w:lang w:val="hr-HR"/>
        </w:rPr>
        <w:t>међународним</w:t>
      </w:r>
      <w:r w:rsidR="00625DED" w:rsidRPr="00295637">
        <w:rPr>
          <w:rFonts w:ascii="Times New Roman" w:hAnsi="Times New Roman"/>
          <w:lang w:val="hr-HR"/>
        </w:rPr>
        <w:t xml:space="preserve"> </w:t>
      </w:r>
      <w:r>
        <w:rPr>
          <w:rFonts w:ascii="Times New Roman" w:hAnsi="Times New Roman"/>
          <w:lang w:val="hr-HR"/>
        </w:rPr>
        <w:t>стандардима</w:t>
      </w:r>
      <w:r w:rsidR="00625DED" w:rsidRPr="00295637">
        <w:rPr>
          <w:rFonts w:ascii="Times New Roman" w:hAnsi="Times New Roman"/>
          <w:lang w:val="hr-HR"/>
        </w:rPr>
        <w:t xml:space="preserve"> </w:t>
      </w:r>
      <w:r>
        <w:rPr>
          <w:rFonts w:ascii="Times New Roman" w:hAnsi="Times New Roman"/>
          <w:lang w:val="hr-HR"/>
        </w:rPr>
        <w:t>и</w:t>
      </w:r>
      <w:r w:rsidR="00625DED" w:rsidRPr="00295637">
        <w:rPr>
          <w:rFonts w:ascii="Times New Roman" w:hAnsi="Times New Roman"/>
          <w:lang w:val="hr-HR"/>
        </w:rPr>
        <w:t xml:space="preserve"> </w:t>
      </w:r>
      <w:r>
        <w:rPr>
          <w:rFonts w:ascii="Times New Roman" w:hAnsi="Times New Roman"/>
          <w:lang w:val="hr-HR"/>
        </w:rPr>
        <w:t>препорукама</w:t>
      </w:r>
      <w:r w:rsidR="00625DED" w:rsidRPr="00295637">
        <w:rPr>
          <w:rFonts w:ascii="Times New Roman" w:hAnsi="Times New Roman"/>
          <w:lang w:val="hr-HR"/>
        </w:rPr>
        <w:t xml:space="preserve"> </w:t>
      </w:r>
      <w:r>
        <w:rPr>
          <w:rFonts w:ascii="Times New Roman" w:hAnsi="Times New Roman"/>
          <w:lang w:val="hr-HR"/>
        </w:rPr>
        <w:t>за</w:t>
      </w:r>
      <w:r w:rsidR="00625DED" w:rsidRPr="00295637">
        <w:rPr>
          <w:rFonts w:ascii="Times New Roman" w:hAnsi="Times New Roman"/>
          <w:lang w:val="hr-HR"/>
        </w:rPr>
        <w:t xml:space="preserve"> </w:t>
      </w:r>
      <w:r>
        <w:rPr>
          <w:rFonts w:ascii="Times New Roman" w:hAnsi="Times New Roman"/>
          <w:lang w:val="hr-HR"/>
        </w:rPr>
        <w:t>приватни</w:t>
      </w:r>
      <w:r w:rsidR="00625DED" w:rsidRPr="00295637">
        <w:rPr>
          <w:rFonts w:ascii="Times New Roman" w:hAnsi="Times New Roman"/>
          <w:lang w:val="hr-HR"/>
        </w:rPr>
        <w:t xml:space="preserve"> </w:t>
      </w:r>
      <w:r>
        <w:rPr>
          <w:rFonts w:ascii="Times New Roman" w:hAnsi="Times New Roman"/>
          <w:lang w:val="hr-HR"/>
        </w:rPr>
        <w:t>сектор</w:t>
      </w:r>
      <w:r w:rsidR="00625DED" w:rsidRPr="00295637">
        <w:rPr>
          <w:rFonts w:ascii="Times New Roman" w:hAnsi="Times New Roman"/>
          <w:lang w:val="hr-HR"/>
        </w:rPr>
        <w:t xml:space="preserve"> </w:t>
      </w:r>
      <w:r>
        <w:rPr>
          <w:rFonts w:ascii="Times New Roman" w:hAnsi="Times New Roman"/>
          <w:lang w:val="hr-HR"/>
        </w:rPr>
        <w:t>које</w:t>
      </w:r>
      <w:r w:rsidR="00625DED" w:rsidRPr="00295637">
        <w:rPr>
          <w:rFonts w:ascii="Times New Roman" w:hAnsi="Times New Roman"/>
          <w:lang w:val="hr-HR"/>
        </w:rPr>
        <w:t xml:space="preserve"> </w:t>
      </w:r>
      <w:r>
        <w:rPr>
          <w:rFonts w:ascii="Times New Roman" w:hAnsi="Times New Roman"/>
          <w:lang w:val="hr-HR"/>
        </w:rPr>
        <w:t>је</w:t>
      </w:r>
      <w:r w:rsidR="00625DED" w:rsidRPr="00295637">
        <w:rPr>
          <w:rFonts w:ascii="Times New Roman" w:hAnsi="Times New Roman"/>
          <w:lang w:val="hr-HR"/>
        </w:rPr>
        <w:t xml:space="preserve"> </w:t>
      </w:r>
      <w:r>
        <w:rPr>
          <w:rFonts w:ascii="Times New Roman" w:hAnsi="Times New Roman"/>
          <w:lang w:val="hr-HR"/>
        </w:rPr>
        <w:t>у</w:t>
      </w:r>
      <w:r w:rsidR="007B22D2" w:rsidRPr="00295637">
        <w:rPr>
          <w:rFonts w:ascii="Times New Roman" w:hAnsi="Times New Roman"/>
          <w:lang w:val="hr-HR"/>
        </w:rPr>
        <w:t xml:space="preserve"> </w:t>
      </w:r>
      <w:r>
        <w:rPr>
          <w:rFonts w:ascii="Times New Roman" w:hAnsi="Times New Roman"/>
          <w:lang w:val="hr-HR"/>
        </w:rPr>
        <w:t>овом</w:t>
      </w:r>
      <w:r w:rsidR="007B22D2" w:rsidRPr="00295637">
        <w:rPr>
          <w:rFonts w:ascii="Times New Roman" w:hAnsi="Times New Roman"/>
          <w:lang w:val="hr-HR"/>
        </w:rPr>
        <w:t xml:space="preserve"> </w:t>
      </w:r>
      <w:r>
        <w:rPr>
          <w:rFonts w:ascii="Times New Roman" w:hAnsi="Times New Roman"/>
          <w:lang w:val="hr-HR"/>
        </w:rPr>
        <w:t>извјештајном</w:t>
      </w:r>
      <w:r w:rsidR="007B22D2" w:rsidRPr="00295637">
        <w:rPr>
          <w:rFonts w:ascii="Times New Roman" w:hAnsi="Times New Roman"/>
          <w:lang w:val="hr-HR"/>
        </w:rPr>
        <w:t xml:space="preserve"> </w:t>
      </w:r>
      <w:r>
        <w:rPr>
          <w:rFonts w:ascii="Times New Roman" w:hAnsi="Times New Roman"/>
          <w:lang w:val="hr-HR"/>
        </w:rPr>
        <w:t>периоду</w:t>
      </w:r>
      <w:r w:rsidR="007B22D2" w:rsidRPr="00295637">
        <w:rPr>
          <w:rFonts w:ascii="Times New Roman" w:hAnsi="Times New Roman"/>
          <w:lang w:val="hr-HR"/>
        </w:rPr>
        <w:t xml:space="preserve"> </w:t>
      </w:r>
      <w:r>
        <w:rPr>
          <w:rFonts w:ascii="Times New Roman" w:hAnsi="Times New Roman"/>
          <w:lang w:val="hr-HR"/>
        </w:rPr>
        <w:t>израдила</w:t>
      </w:r>
      <w:r w:rsidR="00506F0D" w:rsidRPr="00295637">
        <w:rPr>
          <w:rFonts w:ascii="Times New Roman" w:hAnsi="Times New Roman"/>
          <w:lang w:val="hr-HR"/>
        </w:rPr>
        <w:t xml:space="preserve"> </w:t>
      </w:r>
      <w:r>
        <w:rPr>
          <w:rFonts w:ascii="Times New Roman" w:hAnsi="Times New Roman"/>
          <w:lang w:val="hr-HR"/>
        </w:rPr>
        <w:t>и</w:t>
      </w:r>
      <w:r w:rsidR="00506F0D" w:rsidRPr="00295637">
        <w:rPr>
          <w:rFonts w:ascii="Times New Roman" w:hAnsi="Times New Roman"/>
          <w:lang w:val="hr-HR"/>
        </w:rPr>
        <w:t xml:space="preserve"> </w:t>
      </w:r>
      <w:r>
        <w:rPr>
          <w:rFonts w:ascii="Times New Roman" w:hAnsi="Times New Roman"/>
          <w:lang w:val="hr-HR"/>
        </w:rPr>
        <w:t>објавила</w:t>
      </w:r>
      <w:r w:rsidR="00625DED" w:rsidRPr="00295637">
        <w:rPr>
          <w:rFonts w:ascii="Times New Roman" w:hAnsi="Times New Roman"/>
          <w:lang w:val="hr-HR"/>
        </w:rPr>
        <w:t xml:space="preserve"> </w:t>
      </w:r>
      <w:r>
        <w:rPr>
          <w:rFonts w:ascii="Times New Roman" w:hAnsi="Times New Roman"/>
          <w:lang w:val="hr-HR"/>
        </w:rPr>
        <w:t>АР</w:t>
      </w:r>
      <w:r w:rsidR="000D058D">
        <w:rPr>
          <w:rFonts w:ascii="Times New Roman" w:hAnsi="Times New Roman"/>
          <w:lang w:val="sr-Cyrl-BA"/>
        </w:rPr>
        <w:t>П</w:t>
      </w:r>
      <w:r w:rsidR="00870AE1">
        <w:rPr>
          <w:rFonts w:ascii="Times New Roman" w:hAnsi="Times New Roman"/>
          <w:lang w:val="hr-HR"/>
        </w:rPr>
        <w:t xml:space="preserve"> </w:t>
      </w:r>
      <w:r>
        <w:rPr>
          <w:rFonts w:ascii="Times New Roman" w:hAnsi="Times New Roman"/>
          <w:lang w:val="hr-HR"/>
        </w:rPr>
        <w:t>БиХ</w:t>
      </w:r>
      <w:r w:rsidR="00AA2171">
        <w:rPr>
          <w:rFonts w:ascii="Times New Roman" w:hAnsi="Times New Roman"/>
          <w:lang w:val="hr-HR"/>
        </w:rPr>
        <w:t xml:space="preserve"> </w:t>
      </w:r>
      <w:r>
        <w:rPr>
          <w:rFonts w:ascii="Times New Roman" w:hAnsi="Times New Roman"/>
          <w:lang w:val="hr-HR"/>
        </w:rPr>
        <w:t>МЉПИ</w:t>
      </w:r>
      <w:r w:rsidR="00AA2171">
        <w:rPr>
          <w:rFonts w:ascii="Times New Roman" w:hAnsi="Times New Roman"/>
          <w:lang w:val="hr-HR"/>
        </w:rPr>
        <w:t xml:space="preserve"> </w:t>
      </w:r>
      <w:r>
        <w:rPr>
          <w:rFonts w:ascii="Times New Roman" w:hAnsi="Times New Roman"/>
          <w:lang w:val="hr-HR"/>
        </w:rPr>
        <w:t>БиХ</w:t>
      </w:r>
      <w:r w:rsidR="00625DED" w:rsidRPr="00295637">
        <w:rPr>
          <w:rFonts w:ascii="Times New Roman" w:hAnsi="Times New Roman"/>
          <w:lang w:val="hr-HR"/>
        </w:rPr>
        <w:t xml:space="preserve">. </w:t>
      </w:r>
      <w:r>
        <w:rPr>
          <w:rFonts w:ascii="Times New Roman" w:hAnsi="Times New Roman"/>
          <w:lang w:val="hr-HR"/>
        </w:rPr>
        <w:t>За</w:t>
      </w:r>
      <w:r w:rsidR="004A3A76" w:rsidRPr="00295637">
        <w:rPr>
          <w:rFonts w:ascii="Times New Roman" w:hAnsi="Times New Roman"/>
          <w:lang w:val="hr-HR"/>
        </w:rPr>
        <w:t xml:space="preserve"> </w:t>
      </w:r>
      <w:r>
        <w:rPr>
          <w:rFonts w:ascii="Times New Roman" w:hAnsi="Times New Roman"/>
          <w:lang w:val="hr-HR"/>
        </w:rPr>
        <w:t>одрживост</w:t>
      </w:r>
      <w:r w:rsidR="004A3A76" w:rsidRPr="00295637">
        <w:rPr>
          <w:rFonts w:ascii="Times New Roman" w:hAnsi="Times New Roman"/>
          <w:lang w:val="hr-HR"/>
        </w:rPr>
        <w:t xml:space="preserve"> </w:t>
      </w:r>
      <w:r>
        <w:rPr>
          <w:rFonts w:ascii="Times New Roman" w:hAnsi="Times New Roman"/>
          <w:lang w:val="hr-HR"/>
        </w:rPr>
        <w:t>овог</w:t>
      </w:r>
      <w:r w:rsidR="004A3A76" w:rsidRPr="00295637">
        <w:rPr>
          <w:rFonts w:ascii="Times New Roman" w:hAnsi="Times New Roman"/>
          <w:lang w:val="hr-HR"/>
        </w:rPr>
        <w:t xml:space="preserve"> </w:t>
      </w:r>
      <w:r>
        <w:rPr>
          <w:rFonts w:ascii="Times New Roman" w:hAnsi="Times New Roman"/>
          <w:lang w:val="hr-HR"/>
        </w:rPr>
        <w:t>процеса</w:t>
      </w:r>
      <w:r w:rsidR="004A3A76" w:rsidRPr="00295637">
        <w:rPr>
          <w:rFonts w:ascii="Times New Roman" w:hAnsi="Times New Roman"/>
          <w:lang w:val="hr-HR"/>
        </w:rPr>
        <w:t xml:space="preserve"> </w:t>
      </w:r>
      <w:r>
        <w:rPr>
          <w:rFonts w:ascii="Times New Roman" w:hAnsi="Times New Roman"/>
          <w:lang w:val="hr-HR"/>
        </w:rPr>
        <w:t>посебно</w:t>
      </w:r>
      <w:r w:rsidR="004A3A76" w:rsidRPr="00295637">
        <w:rPr>
          <w:rFonts w:ascii="Times New Roman" w:hAnsi="Times New Roman"/>
          <w:lang w:val="hr-HR"/>
        </w:rPr>
        <w:t xml:space="preserve"> </w:t>
      </w:r>
      <w:r>
        <w:rPr>
          <w:rFonts w:ascii="Times New Roman" w:hAnsi="Times New Roman"/>
          <w:lang w:val="hr-HR"/>
        </w:rPr>
        <w:t>је</w:t>
      </w:r>
      <w:r w:rsidR="004A3A76" w:rsidRPr="00295637">
        <w:rPr>
          <w:rFonts w:ascii="Times New Roman" w:hAnsi="Times New Roman"/>
          <w:lang w:val="hr-HR"/>
        </w:rPr>
        <w:t xml:space="preserve"> </w:t>
      </w:r>
      <w:r>
        <w:rPr>
          <w:rFonts w:ascii="Times New Roman" w:hAnsi="Times New Roman"/>
          <w:lang w:val="hr-HR"/>
        </w:rPr>
        <w:t>значајно</w:t>
      </w:r>
      <w:r w:rsidR="004A3A76" w:rsidRPr="00295637">
        <w:rPr>
          <w:rFonts w:ascii="Times New Roman" w:hAnsi="Times New Roman"/>
          <w:lang w:val="hr-HR"/>
        </w:rPr>
        <w:t xml:space="preserve"> </w:t>
      </w:r>
      <w:r>
        <w:rPr>
          <w:rFonts w:ascii="Times New Roman" w:hAnsi="Times New Roman"/>
          <w:lang w:val="hr-HR"/>
        </w:rPr>
        <w:t>што</w:t>
      </w:r>
      <w:r w:rsidR="004A3A76" w:rsidRPr="00295637">
        <w:rPr>
          <w:rFonts w:ascii="Times New Roman" w:hAnsi="Times New Roman"/>
          <w:lang w:val="hr-HR"/>
        </w:rPr>
        <w:t xml:space="preserve"> </w:t>
      </w:r>
      <w:r>
        <w:rPr>
          <w:rFonts w:ascii="Times New Roman" w:hAnsi="Times New Roman"/>
          <w:lang w:val="hr-HR"/>
        </w:rPr>
        <w:t>су</w:t>
      </w:r>
      <w:r w:rsidR="004A3A76" w:rsidRPr="00295637">
        <w:rPr>
          <w:rFonts w:ascii="Times New Roman" w:hAnsi="Times New Roman"/>
          <w:lang w:val="hr-HR"/>
        </w:rPr>
        <w:t xml:space="preserve"> </w:t>
      </w:r>
      <w:r>
        <w:rPr>
          <w:rFonts w:ascii="Times New Roman" w:hAnsi="Times New Roman"/>
          <w:lang w:val="hr-HR"/>
        </w:rPr>
        <w:t>као</w:t>
      </w:r>
      <w:r w:rsidR="004A3A76" w:rsidRPr="00295637">
        <w:rPr>
          <w:rFonts w:ascii="Times New Roman" w:hAnsi="Times New Roman"/>
          <w:lang w:val="hr-HR"/>
        </w:rPr>
        <w:t xml:space="preserve"> </w:t>
      </w:r>
      <w:r>
        <w:rPr>
          <w:rFonts w:ascii="Times New Roman" w:hAnsi="Times New Roman"/>
          <w:lang w:val="hr-HR"/>
        </w:rPr>
        <w:t>савјетници</w:t>
      </w:r>
      <w:r w:rsidR="004A3A76" w:rsidRPr="00295637">
        <w:rPr>
          <w:rFonts w:ascii="Times New Roman" w:hAnsi="Times New Roman"/>
          <w:lang w:val="hr-HR"/>
        </w:rPr>
        <w:t xml:space="preserve"> </w:t>
      </w:r>
      <w:r>
        <w:rPr>
          <w:rFonts w:ascii="Times New Roman" w:hAnsi="Times New Roman"/>
          <w:lang w:val="hr-HR"/>
        </w:rPr>
        <w:t>за</w:t>
      </w:r>
      <w:r w:rsidR="004A3A76" w:rsidRPr="00295637">
        <w:rPr>
          <w:rFonts w:ascii="Times New Roman" w:hAnsi="Times New Roman"/>
          <w:lang w:val="hr-HR"/>
        </w:rPr>
        <w:t xml:space="preserve"> </w:t>
      </w:r>
      <w:r>
        <w:rPr>
          <w:rFonts w:ascii="Times New Roman" w:hAnsi="Times New Roman"/>
          <w:lang w:val="hr-HR"/>
        </w:rPr>
        <w:t>равноправност</w:t>
      </w:r>
      <w:r w:rsidR="004A3A76" w:rsidRPr="00295637">
        <w:rPr>
          <w:rFonts w:ascii="Times New Roman" w:hAnsi="Times New Roman"/>
          <w:lang w:val="hr-HR"/>
        </w:rPr>
        <w:t xml:space="preserve"> </w:t>
      </w:r>
      <w:r>
        <w:rPr>
          <w:rFonts w:ascii="Times New Roman" w:hAnsi="Times New Roman"/>
          <w:lang w:val="hr-HR"/>
        </w:rPr>
        <w:t>полова</w:t>
      </w:r>
      <w:r w:rsidR="004A3A76" w:rsidRPr="00295637">
        <w:rPr>
          <w:rFonts w:ascii="Times New Roman" w:hAnsi="Times New Roman"/>
          <w:lang w:val="hr-HR"/>
        </w:rPr>
        <w:t xml:space="preserve"> </w:t>
      </w:r>
      <w:r>
        <w:rPr>
          <w:rFonts w:ascii="Times New Roman" w:hAnsi="Times New Roman"/>
          <w:lang w:val="hr-HR"/>
        </w:rPr>
        <w:t>у</w:t>
      </w:r>
      <w:r w:rsidR="004A3A76" w:rsidRPr="00295637">
        <w:rPr>
          <w:rFonts w:ascii="Times New Roman" w:hAnsi="Times New Roman"/>
          <w:lang w:val="hr-HR"/>
        </w:rPr>
        <w:t xml:space="preserve"> </w:t>
      </w:r>
      <w:r>
        <w:rPr>
          <w:rFonts w:ascii="Times New Roman" w:hAnsi="Times New Roman"/>
          <w:lang w:val="hr-HR"/>
        </w:rPr>
        <w:t>процесу</w:t>
      </w:r>
      <w:r w:rsidR="004A3A76" w:rsidRPr="00295637">
        <w:rPr>
          <w:rFonts w:ascii="Times New Roman" w:hAnsi="Times New Roman"/>
          <w:lang w:val="hr-HR"/>
        </w:rPr>
        <w:t xml:space="preserve"> „</w:t>
      </w:r>
      <w:r>
        <w:rPr>
          <w:rFonts w:ascii="Times New Roman" w:hAnsi="Times New Roman"/>
          <w:lang w:val="hr-HR"/>
        </w:rPr>
        <w:t>Печат</w:t>
      </w:r>
      <w:r w:rsidR="00644C7A">
        <w:rPr>
          <w:rFonts w:ascii="Times New Roman" w:hAnsi="Times New Roman"/>
          <w:lang w:val="hr-HR"/>
        </w:rPr>
        <w:t xml:space="preserve"> </w:t>
      </w:r>
      <w:r>
        <w:rPr>
          <w:rFonts w:ascii="Times New Roman" w:hAnsi="Times New Roman"/>
          <w:lang w:val="hr-HR"/>
        </w:rPr>
        <w:t>равноправности</w:t>
      </w:r>
      <w:r w:rsidR="00644C7A">
        <w:rPr>
          <w:rFonts w:ascii="Times New Roman" w:hAnsi="Times New Roman"/>
          <w:lang w:val="hr-HR"/>
        </w:rPr>
        <w:t xml:space="preserve"> </w:t>
      </w:r>
      <w:r>
        <w:rPr>
          <w:rFonts w:ascii="Times New Roman" w:hAnsi="Times New Roman"/>
          <w:lang w:val="hr-HR"/>
        </w:rPr>
        <w:t>полова</w:t>
      </w:r>
      <w:r w:rsidR="004A3A76" w:rsidRPr="00295637">
        <w:rPr>
          <w:rFonts w:ascii="Times New Roman" w:hAnsi="Times New Roman"/>
          <w:lang w:val="hr-HR"/>
        </w:rPr>
        <w:t xml:space="preserve">“ </w:t>
      </w:r>
      <w:r>
        <w:rPr>
          <w:rFonts w:ascii="Times New Roman" w:hAnsi="Times New Roman"/>
          <w:lang w:val="hr-HR"/>
        </w:rPr>
        <w:t>цертифици</w:t>
      </w:r>
      <w:r w:rsidR="000D058D">
        <w:rPr>
          <w:rFonts w:ascii="Times New Roman" w:hAnsi="Times New Roman"/>
          <w:lang w:val="sr-Cyrl-BA"/>
        </w:rPr>
        <w:t>кована</w:t>
      </w:r>
      <w:r w:rsidR="004A3A76" w:rsidRPr="00295637">
        <w:rPr>
          <w:rFonts w:ascii="Times New Roman" w:hAnsi="Times New Roman"/>
          <w:lang w:val="hr-HR"/>
        </w:rPr>
        <w:t xml:space="preserve"> </w:t>
      </w:r>
      <w:r>
        <w:rPr>
          <w:rFonts w:ascii="Times New Roman" w:hAnsi="Times New Roman"/>
          <w:lang w:val="hr-HR"/>
        </w:rPr>
        <w:t>и</w:t>
      </w:r>
      <w:r w:rsidR="004A3A76" w:rsidRPr="00295637">
        <w:rPr>
          <w:rFonts w:ascii="Times New Roman" w:hAnsi="Times New Roman"/>
          <w:lang w:val="hr-HR"/>
        </w:rPr>
        <w:t xml:space="preserve"> </w:t>
      </w:r>
      <w:r>
        <w:rPr>
          <w:rFonts w:ascii="Times New Roman" w:hAnsi="Times New Roman"/>
          <w:lang w:val="hr-HR"/>
        </w:rPr>
        <w:t>четири</w:t>
      </w:r>
      <w:r w:rsidR="004A3A76" w:rsidRPr="00295637">
        <w:rPr>
          <w:rFonts w:ascii="Times New Roman" w:hAnsi="Times New Roman"/>
          <w:lang w:val="hr-HR"/>
        </w:rPr>
        <w:t xml:space="preserve"> </w:t>
      </w:r>
      <w:r>
        <w:rPr>
          <w:rFonts w:ascii="Times New Roman" w:hAnsi="Times New Roman"/>
          <w:lang w:val="hr-HR"/>
        </w:rPr>
        <w:t>лица</w:t>
      </w:r>
      <w:r w:rsidR="004A3A76" w:rsidRPr="00295637">
        <w:rPr>
          <w:rFonts w:ascii="Times New Roman" w:hAnsi="Times New Roman"/>
          <w:lang w:val="hr-HR"/>
        </w:rPr>
        <w:t xml:space="preserve"> </w:t>
      </w:r>
      <w:r>
        <w:rPr>
          <w:rFonts w:ascii="Times New Roman" w:hAnsi="Times New Roman"/>
          <w:lang w:val="hr-HR"/>
        </w:rPr>
        <w:t>запослена</w:t>
      </w:r>
      <w:r w:rsidR="004A3A76" w:rsidRPr="00295637">
        <w:rPr>
          <w:rFonts w:ascii="Times New Roman" w:hAnsi="Times New Roman"/>
          <w:lang w:val="hr-HR"/>
        </w:rPr>
        <w:t xml:space="preserve"> </w:t>
      </w:r>
      <w:r>
        <w:rPr>
          <w:rFonts w:ascii="Times New Roman" w:hAnsi="Times New Roman"/>
          <w:lang w:val="hr-HR"/>
        </w:rPr>
        <w:t>у</w:t>
      </w:r>
      <w:r w:rsidR="004A3A76" w:rsidRPr="00295637">
        <w:rPr>
          <w:rFonts w:ascii="Times New Roman" w:hAnsi="Times New Roman"/>
          <w:lang w:val="hr-HR"/>
        </w:rPr>
        <w:t xml:space="preserve"> </w:t>
      </w:r>
      <w:r>
        <w:rPr>
          <w:rFonts w:ascii="Times New Roman" w:hAnsi="Times New Roman"/>
          <w:lang w:val="hr-HR"/>
        </w:rPr>
        <w:t>АР</w:t>
      </w:r>
      <w:r w:rsidR="000D058D">
        <w:rPr>
          <w:rFonts w:ascii="Times New Roman" w:hAnsi="Times New Roman"/>
          <w:lang w:val="sr-Cyrl-BA"/>
        </w:rPr>
        <w:t>П</w:t>
      </w:r>
      <w:r w:rsidR="00870AE1">
        <w:rPr>
          <w:rFonts w:ascii="Times New Roman" w:hAnsi="Times New Roman"/>
          <w:lang w:val="hr-HR"/>
        </w:rPr>
        <w:t xml:space="preserve"> </w:t>
      </w:r>
      <w:r>
        <w:rPr>
          <w:rFonts w:ascii="Times New Roman" w:hAnsi="Times New Roman"/>
          <w:lang w:val="hr-HR"/>
        </w:rPr>
        <w:t>БиХ</w:t>
      </w:r>
      <w:r w:rsidR="00870AE1">
        <w:rPr>
          <w:rFonts w:ascii="Times New Roman" w:hAnsi="Times New Roman"/>
          <w:lang w:val="hr-HR"/>
        </w:rPr>
        <w:t xml:space="preserve"> </w:t>
      </w:r>
      <w:r>
        <w:rPr>
          <w:rFonts w:ascii="Times New Roman" w:hAnsi="Times New Roman"/>
          <w:lang w:val="hr-HR"/>
        </w:rPr>
        <w:t>МЉПИ</w:t>
      </w:r>
      <w:r w:rsidR="00870AE1">
        <w:rPr>
          <w:rFonts w:ascii="Times New Roman" w:hAnsi="Times New Roman"/>
          <w:lang w:val="hr-HR"/>
        </w:rPr>
        <w:t xml:space="preserve"> </w:t>
      </w:r>
      <w:r>
        <w:rPr>
          <w:rFonts w:ascii="Times New Roman" w:hAnsi="Times New Roman"/>
          <w:lang w:val="hr-HR"/>
        </w:rPr>
        <w:t>БиХ</w:t>
      </w:r>
      <w:r w:rsidR="009E54A2" w:rsidRPr="00295637">
        <w:rPr>
          <w:rFonts w:ascii="Times New Roman" w:hAnsi="Times New Roman"/>
          <w:lang w:val="hr-HR"/>
        </w:rPr>
        <w:t xml:space="preserve"> </w:t>
      </w:r>
    </w:p>
    <w:p w:rsidR="00813047" w:rsidRPr="00295637" w:rsidRDefault="00813047" w:rsidP="0086268D">
      <w:pPr>
        <w:jc w:val="both"/>
        <w:rPr>
          <w:rFonts w:ascii="Times New Roman" w:hAnsi="Times New Roman"/>
          <w:lang w:val="hr-HR"/>
        </w:rPr>
      </w:pPr>
    </w:p>
    <w:p w:rsidR="00A26F45" w:rsidRPr="006820FB" w:rsidRDefault="00C6214E" w:rsidP="0086268D">
      <w:pPr>
        <w:pStyle w:val="NormalWeb"/>
        <w:spacing w:before="0" w:beforeAutospacing="0" w:after="0" w:afterAutospacing="0"/>
        <w:jc w:val="both"/>
        <w:rPr>
          <w:lang w:val="hr-HR"/>
        </w:rPr>
      </w:pPr>
      <w:r>
        <w:t>Поред</w:t>
      </w:r>
      <w:r w:rsidR="00625DED" w:rsidRPr="00295637">
        <w:t xml:space="preserve"> </w:t>
      </w:r>
      <w:r>
        <w:t>тога</w:t>
      </w:r>
      <w:r w:rsidR="00625DED" w:rsidRPr="00295637">
        <w:t xml:space="preserve">, </w:t>
      </w:r>
      <w:r>
        <w:t>у</w:t>
      </w:r>
      <w:r w:rsidR="00625DED" w:rsidRPr="00295637">
        <w:t xml:space="preserve"> </w:t>
      </w:r>
      <w:r>
        <w:rPr>
          <w:lang w:val="hr-HR"/>
        </w:rPr>
        <w:t>оквиру</w:t>
      </w:r>
      <w:r w:rsidR="00625DED" w:rsidRPr="006820FB">
        <w:rPr>
          <w:lang w:val="hr-HR"/>
        </w:rPr>
        <w:t xml:space="preserve"> </w:t>
      </w:r>
      <w:r>
        <w:rPr>
          <w:lang w:val="hr-HR"/>
        </w:rPr>
        <w:t>пројекта</w:t>
      </w:r>
      <w:r w:rsidR="00625DED" w:rsidRPr="006820FB">
        <w:rPr>
          <w:lang w:val="hr-HR"/>
        </w:rPr>
        <w:t xml:space="preserve"> </w:t>
      </w:r>
      <w:r w:rsidR="009624AA" w:rsidRPr="006820FB">
        <w:rPr>
          <w:lang w:val="hr-HR"/>
        </w:rPr>
        <w:t>„</w:t>
      </w:r>
      <w:r>
        <w:rPr>
          <w:lang w:val="hr-HR"/>
        </w:rPr>
        <w:t>Печат</w:t>
      </w:r>
      <w:r w:rsidR="00644C7A">
        <w:rPr>
          <w:lang w:val="hr-HR"/>
        </w:rPr>
        <w:t xml:space="preserve"> </w:t>
      </w:r>
      <w:r>
        <w:rPr>
          <w:lang w:val="hr-HR"/>
        </w:rPr>
        <w:t>равноправности</w:t>
      </w:r>
      <w:r w:rsidR="00644C7A">
        <w:rPr>
          <w:lang w:val="hr-HR"/>
        </w:rPr>
        <w:t xml:space="preserve"> </w:t>
      </w:r>
      <w:r>
        <w:rPr>
          <w:lang w:val="hr-HR"/>
        </w:rPr>
        <w:t>полова</w:t>
      </w:r>
      <w:r w:rsidR="0098627A" w:rsidRPr="006820FB">
        <w:rPr>
          <w:lang w:val="hr-HR"/>
        </w:rPr>
        <w:t xml:space="preserve"> - </w:t>
      </w:r>
      <w:r w:rsidR="000D058D" w:rsidRPr="000D058D">
        <w:rPr>
          <w:i/>
          <w:iCs/>
          <w:lang w:val="hr-BA"/>
        </w:rPr>
        <w:t>SEAL</w:t>
      </w:r>
      <w:r w:rsidR="00625DED" w:rsidRPr="006820FB">
        <w:rPr>
          <w:lang w:val="hr-HR"/>
        </w:rPr>
        <w:t xml:space="preserve"> </w:t>
      </w:r>
      <w:r>
        <w:rPr>
          <w:lang w:val="hr-HR"/>
        </w:rPr>
        <w:t>у</w:t>
      </w:r>
      <w:r w:rsidR="00625DED" w:rsidRPr="006820FB">
        <w:rPr>
          <w:lang w:val="hr-HR"/>
        </w:rPr>
        <w:t xml:space="preserve"> </w:t>
      </w:r>
      <w:r>
        <w:rPr>
          <w:lang w:val="hr-HR"/>
        </w:rPr>
        <w:t>јавном</w:t>
      </w:r>
      <w:r w:rsidR="00625DED" w:rsidRPr="006820FB">
        <w:rPr>
          <w:lang w:val="hr-HR"/>
        </w:rPr>
        <w:t xml:space="preserve"> </w:t>
      </w:r>
      <w:r>
        <w:rPr>
          <w:lang w:val="hr-HR"/>
        </w:rPr>
        <w:t>сектору</w:t>
      </w:r>
      <w:r w:rsidR="0098627A" w:rsidRPr="006820FB">
        <w:rPr>
          <w:lang w:val="hr-HR"/>
        </w:rPr>
        <w:t>“</w:t>
      </w:r>
      <w:r w:rsidR="00625DED" w:rsidRPr="006820FB">
        <w:rPr>
          <w:lang w:val="hr-HR"/>
        </w:rPr>
        <w:t xml:space="preserve">, </w:t>
      </w:r>
      <w:r>
        <w:rPr>
          <w:lang w:val="hr-HR"/>
        </w:rPr>
        <w:t>у</w:t>
      </w:r>
      <w:r w:rsidR="00625DED" w:rsidRPr="006820FB">
        <w:rPr>
          <w:lang w:val="hr-HR"/>
        </w:rPr>
        <w:t xml:space="preserve"> </w:t>
      </w:r>
      <w:r>
        <w:rPr>
          <w:lang w:val="hr-HR"/>
        </w:rPr>
        <w:t>сарадњи</w:t>
      </w:r>
      <w:r w:rsidR="00870AE1">
        <w:rPr>
          <w:lang w:val="hr-HR"/>
        </w:rPr>
        <w:t xml:space="preserve"> </w:t>
      </w:r>
      <w:r>
        <w:rPr>
          <w:lang w:val="hr-HR"/>
        </w:rPr>
        <w:t>са</w:t>
      </w:r>
      <w:r w:rsidR="00625DED" w:rsidRPr="006820FB">
        <w:rPr>
          <w:lang w:val="hr-HR"/>
        </w:rPr>
        <w:t xml:space="preserve"> </w:t>
      </w:r>
      <w:r w:rsidR="000D058D" w:rsidRPr="000D058D">
        <w:rPr>
          <w:i/>
          <w:lang w:val="hr-BA"/>
        </w:rPr>
        <w:t>UNDP</w:t>
      </w:r>
      <w:r w:rsidR="00870AE1">
        <w:rPr>
          <w:lang w:val="hr-HR"/>
        </w:rPr>
        <w:t>-</w:t>
      </w:r>
      <w:r>
        <w:rPr>
          <w:lang w:val="hr-HR"/>
        </w:rPr>
        <w:t>ом</w:t>
      </w:r>
      <w:r w:rsidR="00870AE1">
        <w:rPr>
          <w:lang w:val="hr-HR"/>
        </w:rPr>
        <w:t xml:space="preserve">, </w:t>
      </w:r>
      <w:r>
        <w:rPr>
          <w:lang w:val="hr-HR"/>
        </w:rPr>
        <w:t>реализ</w:t>
      </w:r>
      <w:r w:rsidR="000D058D">
        <w:rPr>
          <w:lang w:val="sr-Cyrl-BA"/>
        </w:rPr>
        <w:t>оване</w:t>
      </w:r>
      <w:r w:rsidR="00870AE1">
        <w:rPr>
          <w:lang w:val="hr-HR"/>
        </w:rPr>
        <w:t xml:space="preserve"> </w:t>
      </w:r>
      <w:r>
        <w:rPr>
          <w:lang w:val="hr-HR"/>
        </w:rPr>
        <w:t>су</w:t>
      </w:r>
      <w:r w:rsidR="00870AE1">
        <w:rPr>
          <w:lang w:val="hr-HR"/>
        </w:rPr>
        <w:t xml:space="preserve"> </w:t>
      </w:r>
      <w:r>
        <w:rPr>
          <w:lang w:val="hr-HR"/>
        </w:rPr>
        <w:t>активности</w:t>
      </w:r>
      <w:r w:rsidR="00870AE1">
        <w:rPr>
          <w:lang w:val="hr-HR"/>
        </w:rPr>
        <w:t xml:space="preserve"> </w:t>
      </w:r>
      <w:r>
        <w:rPr>
          <w:lang w:val="hr-HR"/>
        </w:rPr>
        <w:t>са</w:t>
      </w:r>
      <w:r w:rsidR="00625DED" w:rsidRPr="006820FB">
        <w:rPr>
          <w:lang w:val="hr-HR"/>
        </w:rPr>
        <w:t xml:space="preserve"> </w:t>
      </w:r>
      <w:r>
        <w:rPr>
          <w:lang w:val="hr-HR"/>
        </w:rPr>
        <w:t>ВСТ</w:t>
      </w:r>
      <w:r w:rsidR="000D058D">
        <w:rPr>
          <w:lang w:val="sr-Cyrl-BA"/>
        </w:rPr>
        <w:t>С</w:t>
      </w:r>
      <w:r w:rsidR="00625DED" w:rsidRPr="006820FB">
        <w:rPr>
          <w:lang w:val="hr-HR"/>
        </w:rPr>
        <w:t xml:space="preserve"> </w:t>
      </w:r>
      <w:r>
        <w:rPr>
          <w:lang w:val="hr-HR"/>
        </w:rPr>
        <w:t>који</w:t>
      </w:r>
      <w:r w:rsidR="00625DED" w:rsidRPr="006820FB">
        <w:rPr>
          <w:lang w:val="hr-HR"/>
        </w:rPr>
        <w:t xml:space="preserve"> </w:t>
      </w:r>
      <w:r>
        <w:rPr>
          <w:lang w:val="hr-HR"/>
        </w:rPr>
        <w:t>је</w:t>
      </w:r>
      <w:r w:rsidR="00625DED" w:rsidRPr="006820FB">
        <w:rPr>
          <w:lang w:val="hr-HR"/>
        </w:rPr>
        <w:t xml:space="preserve"> </w:t>
      </w:r>
      <w:r>
        <w:rPr>
          <w:lang w:val="hr-HR"/>
        </w:rPr>
        <w:t>добио</w:t>
      </w:r>
      <w:r w:rsidR="00625DED" w:rsidRPr="006820FB">
        <w:rPr>
          <w:lang w:val="hr-HR"/>
        </w:rPr>
        <w:t xml:space="preserve"> „</w:t>
      </w:r>
      <w:r>
        <w:rPr>
          <w:lang w:val="hr-HR"/>
        </w:rPr>
        <w:t>Сребни</w:t>
      </w:r>
      <w:r w:rsidR="00625DED" w:rsidRPr="006820FB">
        <w:rPr>
          <w:lang w:val="hr-HR"/>
        </w:rPr>
        <w:t xml:space="preserve"> </w:t>
      </w:r>
      <w:r>
        <w:rPr>
          <w:lang w:val="hr-HR"/>
        </w:rPr>
        <w:t>печат</w:t>
      </w:r>
      <w:r w:rsidR="00625DED" w:rsidRPr="006820FB">
        <w:rPr>
          <w:lang w:val="hr-HR"/>
        </w:rPr>
        <w:t xml:space="preserve"> </w:t>
      </w:r>
      <w:r>
        <w:rPr>
          <w:lang w:val="hr-HR"/>
        </w:rPr>
        <w:t>равноправности</w:t>
      </w:r>
      <w:r w:rsidR="00625DED" w:rsidRPr="006820FB">
        <w:rPr>
          <w:lang w:val="hr-HR"/>
        </w:rPr>
        <w:t xml:space="preserve"> </w:t>
      </w:r>
      <w:r>
        <w:rPr>
          <w:lang w:val="hr-HR"/>
        </w:rPr>
        <w:t>полова</w:t>
      </w:r>
      <w:r w:rsidR="00625DED" w:rsidRPr="006820FB">
        <w:rPr>
          <w:lang w:val="hr-HR"/>
        </w:rPr>
        <w:t xml:space="preserve">“ </w:t>
      </w:r>
      <w:r>
        <w:rPr>
          <w:lang w:val="hr-HR"/>
        </w:rPr>
        <w:t>као</w:t>
      </w:r>
      <w:r w:rsidR="00625DED" w:rsidRPr="006820FB">
        <w:rPr>
          <w:lang w:val="hr-HR"/>
        </w:rPr>
        <w:t xml:space="preserve"> </w:t>
      </w:r>
      <w:r>
        <w:rPr>
          <w:lang w:val="hr-HR"/>
        </w:rPr>
        <w:t>прва</w:t>
      </w:r>
      <w:r w:rsidR="00625DED" w:rsidRPr="006820FB">
        <w:rPr>
          <w:lang w:val="hr-HR"/>
        </w:rPr>
        <w:t xml:space="preserve"> </w:t>
      </w:r>
      <w:r>
        <w:rPr>
          <w:lang w:val="hr-HR"/>
        </w:rPr>
        <w:t>институција</w:t>
      </w:r>
      <w:r w:rsidR="00625DED" w:rsidRPr="006820FB">
        <w:rPr>
          <w:lang w:val="hr-HR"/>
        </w:rPr>
        <w:t xml:space="preserve"> </w:t>
      </w:r>
      <w:r>
        <w:rPr>
          <w:lang w:val="hr-HR"/>
        </w:rPr>
        <w:t>у</w:t>
      </w:r>
      <w:r w:rsidR="00625DED" w:rsidRPr="006820FB">
        <w:rPr>
          <w:lang w:val="hr-HR"/>
        </w:rPr>
        <w:t xml:space="preserve"> </w:t>
      </w:r>
      <w:r>
        <w:rPr>
          <w:lang w:val="hr-HR"/>
        </w:rPr>
        <w:t>Европи</w:t>
      </w:r>
      <w:r w:rsidR="00870AE1">
        <w:rPr>
          <w:lang w:val="hr-HR"/>
        </w:rPr>
        <w:t xml:space="preserve"> </w:t>
      </w:r>
      <w:r>
        <w:rPr>
          <w:lang w:val="hr-HR"/>
        </w:rPr>
        <w:t>и</w:t>
      </w:r>
      <w:r w:rsidR="00870AE1">
        <w:rPr>
          <w:lang w:val="hr-HR"/>
        </w:rPr>
        <w:t xml:space="preserve"> </w:t>
      </w:r>
      <w:r>
        <w:rPr>
          <w:lang w:val="hr-HR"/>
        </w:rPr>
        <w:t>на</w:t>
      </w:r>
      <w:r w:rsidR="00870AE1">
        <w:rPr>
          <w:lang w:val="hr-HR"/>
        </w:rPr>
        <w:t xml:space="preserve"> </w:t>
      </w:r>
      <w:r>
        <w:rPr>
          <w:lang w:val="hr-HR"/>
        </w:rPr>
        <w:t>Бакану</w:t>
      </w:r>
      <w:r w:rsidR="00870AE1">
        <w:rPr>
          <w:lang w:val="hr-HR"/>
        </w:rPr>
        <w:t xml:space="preserve"> </w:t>
      </w:r>
      <w:r>
        <w:rPr>
          <w:lang w:val="hr-HR"/>
        </w:rPr>
        <w:t>са</w:t>
      </w:r>
      <w:r w:rsidR="00625DED" w:rsidRPr="006820FB">
        <w:rPr>
          <w:lang w:val="hr-HR"/>
        </w:rPr>
        <w:t xml:space="preserve"> </w:t>
      </w:r>
      <w:r>
        <w:rPr>
          <w:lang w:val="hr-HR"/>
        </w:rPr>
        <w:t>овом</w:t>
      </w:r>
      <w:r w:rsidR="00625DED" w:rsidRPr="006820FB">
        <w:rPr>
          <w:lang w:val="hr-HR"/>
        </w:rPr>
        <w:t xml:space="preserve"> </w:t>
      </w:r>
      <w:r>
        <w:rPr>
          <w:lang w:val="hr-HR"/>
        </w:rPr>
        <w:t>врстом</w:t>
      </w:r>
      <w:r w:rsidR="00625DED" w:rsidRPr="006820FB">
        <w:rPr>
          <w:lang w:val="hr-HR"/>
        </w:rPr>
        <w:t xml:space="preserve"> </w:t>
      </w:r>
      <w:r>
        <w:rPr>
          <w:lang w:val="hr-HR"/>
        </w:rPr>
        <w:t>признања</w:t>
      </w:r>
      <w:r w:rsidR="00625DED" w:rsidRPr="006820FB">
        <w:rPr>
          <w:lang w:val="hr-HR"/>
        </w:rPr>
        <w:t xml:space="preserve">. </w:t>
      </w:r>
      <w:r>
        <w:rPr>
          <w:lang w:val="hr-HR"/>
        </w:rPr>
        <w:t>Започете</w:t>
      </w:r>
      <w:r w:rsidR="00625DED" w:rsidRPr="006820FB">
        <w:rPr>
          <w:lang w:val="hr-HR"/>
        </w:rPr>
        <w:t xml:space="preserve"> </w:t>
      </w:r>
      <w:r>
        <w:rPr>
          <w:lang w:val="hr-HR"/>
        </w:rPr>
        <w:t>су</w:t>
      </w:r>
      <w:r w:rsidR="00625DED" w:rsidRPr="006820FB">
        <w:rPr>
          <w:lang w:val="hr-HR"/>
        </w:rPr>
        <w:t xml:space="preserve"> </w:t>
      </w:r>
      <w:r>
        <w:rPr>
          <w:lang w:val="hr-HR"/>
        </w:rPr>
        <w:t>активности</w:t>
      </w:r>
      <w:r w:rsidR="00625DED" w:rsidRPr="006820FB">
        <w:rPr>
          <w:lang w:val="hr-HR"/>
        </w:rPr>
        <w:t xml:space="preserve"> </w:t>
      </w:r>
      <w:r>
        <w:rPr>
          <w:lang w:val="hr-HR"/>
        </w:rPr>
        <w:t>на</w:t>
      </w:r>
      <w:r w:rsidR="00625DED" w:rsidRPr="006820FB">
        <w:rPr>
          <w:lang w:val="hr-HR"/>
        </w:rPr>
        <w:t xml:space="preserve"> </w:t>
      </w:r>
      <w:r w:rsidR="000D058D">
        <w:rPr>
          <w:lang w:val="sr-Cyrl-BA"/>
        </w:rPr>
        <w:t>спровођењу</w:t>
      </w:r>
      <w:r w:rsidR="009B12F4">
        <w:rPr>
          <w:lang w:val="hr-HR"/>
        </w:rPr>
        <w:t xml:space="preserve"> </w:t>
      </w:r>
      <w:r w:rsidR="003601A7">
        <w:rPr>
          <w:lang w:val="sr-Cyrl-BA"/>
        </w:rPr>
        <w:t>„П</w:t>
      </w:r>
      <w:r>
        <w:rPr>
          <w:lang w:val="hr-HR"/>
        </w:rPr>
        <w:t>ечата</w:t>
      </w:r>
      <w:r w:rsidR="003601A7">
        <w:rPr>
          <w:lang w:val="sr-Cyrl-BA"/>
        </w:rPr>
        <w:t>“</w:t>
      </w:r>
      <w:r w:rsidR="00625DED" w:rsidRPr="006820FB">
        <w:rPr>
          <w:lang w:val="hr-HR"/>
        </w:rPr>
        <w:t xml:space="preserve"> </w:t>
      </w:r>
      <w:r>
        <w:rPr>
          <w:lang w:val="hr-HR"/>
        </w:rPr>
        <w:t>у</w:t>
      </w:r>
      <w:r w:rsidR="00625DED" w:rsidRPr="006820FB">
        <w:rPr>
          <w:lang w:val="hr-HR"/>
        </w:rPr>
        <w:t xml:space="preserve"> </w:t>
      </w:r>
      <w:r>
        <w:rPr>
          <w:lang w:val="hr-HR"/>
        </w:rPr>
        <w:t>Министарству</w:t>
      </w:r>
      <w:r w:rsidR="00625DED" w:rsidRPr="006820FB">
        <w:rPr>
          <w:lang w:val="hr-HR"/>
        </w:rPr>
        <w:t xml:space="preserve"> </w:t>
      </w:r>
      <w:r w:rsidR="000D058D">
        <w:rPr>
          <w:lang w:val="sr-Cyrl-BA"/>
        </w:rPr>
        <w:t>безбједности</w:t>
      </w:r>
      <w:r w:rsidR="00A47FDE" w:rsidRPr="006820FB">
        <w:rPr>
          <w:lang w:val="hr-HR"/>
        </w:rPr>
        <w:t xml:space="preserve"> </w:t>
      </w:r>
      <w:r>
        <w:rPr>
          <w:lang w:val="hr-HR"/>
        </w:rPr>
        <w:t>БиХ</w:t>
      </w:r>
      <w:r w:rsidR="00625DED" w:rsidRPr="006820FB">
        <w:rPr>
          <w:lang w:val="hr-HR"/>
        </w:rPr>
        <w:t xml:space="preserve"> </w:t>
      </w:r>
      <w:r>
        <w:rPr>
          <w:lang w:val="hr-HR"/>
        </w:rPr>
        <w:t>и</w:t>
      </w:r>
      <w:r w:rsidR="00625DED" w:rsidRPr="006820FB">
        <w:rPr>
          <w:lang w:val="hr-HR"/>
        </w:rPr>
        <w:t xml:space="preserve"> </w:t>
      </w:r>
      <w:r>
        <w:rPr>
          <w:lang w:val="hr-HR"/>
        </w:rPr>
        <w:t>управним</w:t>
      </w:r>
      <w:r w:rsidR="00625DED" w:rsidRPr="006820FB">
        <w:rPr>
          <w:lang w:val="hr-HR"/>
        </w:rPr>
        <w:t xml:space="preserve"> </w:t>
      </w:r>
      <w:r>
        <w:rPr>
          <w:lang w:val="hr-HR"/>
        </w:rPr>
        <w:t>организациј</w:t>
      </w:r>
      <w:r w:rsidR="00267394">
        <w:rPr>
          <w:lang w:val="bs-Cyrl-BA"/>
        </w:rPr>
        <w:t>а</w:t>
      </w:r>
      <w:r>
        <w:rPr>
          <w:lang w:val="hr-HR"/>
        </w:rPr>
        <w:t>ма</w:t>
      </w:r>
      <w:r w:rsidR="00625DED" w:rsidRPr="006820FB">
        <w:rPr>
          <w:lang w:val="hr-HR"/>
        </w:rPr>
        <w:t xml:space="preserve"> </w:t>
      </w:r>
      <w:r>
        <w:rPr>
          <w:lang w:val="hr-HR"/>
        </w:rPr>
        <w:t>у</w:t>
      </w:r>
      <w:r w:rsidR="00625DED" w:rsidRPr="006820FB">
        <w:rPr>
          <w:lang w:val="hr-HR"/>
        </w:rPr>
        <w:t xml:space="preserve"> </w:t>
      </w:r>
      <w:r>
        <w:rPr>
          <w:lang w:val="hr-HR"/>
        </w:rPr>
        <w:t>саставу</w:t>
      </w:r>
      <w:r w:rsidR="00625DED" w:rsidRPr="006820FB">
        <w:rPr>
          <w:lang w:val="hr-HR"/>
        </w:rPr>
        <w:t xml:space="preserve"> </w:t>
      </w:r>
      <w:r>
        <w:rPr>
          <w:lang w:val="hr-HR"/>
        </w:rPr>
        <w:t>Министарства</w:t>
      </w:r>
      <w:r w:rsidR="00625DED" w:rsidRPr="006820FB">
        <w:rPr>
          <w:lang w:val="hr-HR"/>
        </w:rPr>
        <w:t>.</w:t>
      </w:r>
      <w:r w:rsidR="002C25E6" w:rsidRPr="001C22EE">
        <w:rPr>
          <w:lang w:val="hr-HR"/>
        </w:rPr>
        <w:t xml:space="preserve"> </w:t>
      </w:r>
      <w:r w:rsidR="00813047" w:rsidRPr="00B876BD">
        <w:rPr>
          <w:lang w:val="hr-HR"/>
        </w:rPr>
        <w:t>„</w:t>
      </w:r>
      <w:r>
        <w:rPr>
          <w:lang w:val="hr-HR"/>
        </w:rPr>
        <w:t>Печат</w:t>
      </w:r>
      <w:r w:rsidR="00813047" w:rsidRPr="00B876BD">
        <w:rPr>
          <w:lang w:val="hr-HR"/>
        </w:rPr>
        <w:t xml:space="preserve">“ </w:t>
      </w:r>
      <w:r>
        <w:rPr>
          <w:lang w:val="hr-HR"/>
        </w:rPr>
        <w:t>је</w:t>
      </w:r>
      <w:r w:rsidR="00813047" w:rsidRPr="00B876BD">
        <w:rPr>
          <w:lang w:val="hr-HR"/>
        </w:rPr>
        <w:t xml:space="preserve"> </w:t>
      </w:r>
      <w:r w:rsidR="000D058D" w:rsidRPr="000D058D">
        <w:rPr>
          <w:i/>
          <w:lang w:val="hr-BA"/>
        </w:rPr>
        <w:t>UNDP</w:t>
      </w:r>
      <w:r w:rsidR="00813047" w:rsidRPr="006820FB">
        <w:rPr>
          <w:lang w:val="hr-HR"/>
        </w:rPr>
        <w:t>-</w:t>
      </w:r>
      <w:r>
        <w:rPr>
          <w:lang w:val="hr-HR"/>
        </w:rPr>
        <w:t>ов</w:t>
      </w:r>
      <w:r w:rsidR="00813047" w:rsidRPr="006820FB">
        <w:rPr>
          <w:lang w:val="hr-HR"/>
        </w:rPr>
        <w:t xml:space="preserve"> </w:t>
      </w:r>
      <w:r>
        <w:rPr>
          <w:lang w:val="hr-HR"/>
        </w:rPr>
        <w:t>алат</w:t>
      </w:r>
      <w:r w:rsidR="00813047" w:rsidRPr="006820FB">
        <w:rPr>
          <w:lang w:val="hr-HR"/>
        </w:rPr>
        <w:t xml:space="preserve"> </w:t>
      </w:r>
      <w:r>
        <w:rPr>
          <w:lang w:val="hr-HR"/>
        </w:rPr>
        <w:t>за</w:t>
      </w:r>
      <w:r w:rsidR="00813047" w:rsidRPr="006820FB">
        <w:rPr>
          <w:lang w:val="hr-HR"/>
        </w:rPr>
        <w:t xml:space="preserve"> </w:t>
      </w:r>
      <w:r>
        <w:rPr>
          <w:lang w:val="hr-HR"/>
        </w:rPr>
        <w:t>системску</w:t>
      </w:r>
      <w:r w:rsidR="00813047" w:rsidRPr="006820FB">
        <w:rPr>
          <w:lang w:val="hr-HR"/>
        </w:rPr>
        <w:t xml:space="preserve"> </w:t>
      </w:r>
      <w:r>
        <w:rPr>
          <w:lang w:val="hr-HR"/>
        </w:rPr>
        <w:t>трансформацију</w:t>
      </w:r>
      <w:r w:rsidR="00813047" w:rsidRPr="006820FB">
        <w:rPr>
          <w:lang w:val="hr-HR"/>
        </w:rPr>
        <w:t xml:space="preserve"> </w:t>
      </w:r>
      <w:r>
        <w:rPr>
          <w:lang w:val="hr-HR"/>
        </w:rPr>
        <w:t>институција</w:t>
      </w:r>
      <w:r w:rsidR="00813047" w:rsidRPr="006820FB">
        <w:rPr>
          <w:lang w:val="hr-HR"/>
        </w:rPr>
        <w:t xml:space="preserve"> </w:t>
      </w:r>
      <w:r>
        <w:rPr>
          <w:lang w:val="hr-HR"/>
        </w:rPr>
        <w:t>ка</w:t>
      </w:r>
      <w:r w:rsidR="00813047" w:rsidRPr="006820FB">
        <w:rPr>
          <w:lang w:val="hr-HR"/>
        </w:rPr>
        <w:t xml:space="preserve"> </w:t>
      </w:r>
      <w:r>
        <w:rPr>
          <w:lang w:val="hr-HR"/>
        </w:rPr>
        <w:t>равноправности</w:t>
      </w:r>
      <w:r w:rsidR="00813047" w:rsidRPr="006820FB">
        <w:rPr>
          <w:lang w:val="hr-HR"/>
        </w:rPr>
        <w:t xml:space="preserve"> </w:t>
      </w:r>
      <w:r>
        <w:rPr>
          <w:lang w:val="hr-HR"/>
        </w:rPr>
        <w:t>полова</w:t>
      </w:r>
      <w:r w:rsidR="00813047" w:rsidRPr="006820FB">
        <w:rPr>
          <w:lang w:val="hr-HR"/>
        </w:rPr>
        <w:t xml:space="preserve">. </w:t>
      </w:r>
      <w:r>
        <w:rPr>
          <w:lang w:val="hr-HR"/>
        </w:rPr>
        <w:t>АР</w:t>
      </w:r>
      <w:r w:rsidR="000D058D">
        <w:rPr>
          <w:lang w:val="sr-Cyrl-BA"/>
        </w:rPr>
        <w:t>П</w:t>
      </w:r>
      <w:r w:rsidR="009E54A2" w:rsidRPr="006820FB">
        <w:rPr>
          <w:lang w:val="hr-HR"/>
        </w:rPr>
        <w:t xml:space="preserve"> </w:t>
      </w:r>
      <w:r>
        <w:rPr>
          <w:lang w:val="hr-HR"/>
        </w:rPr>
        <w:t>БиХ</w:t>
      </w:r>
      <w:r w:rsidR="009E54A2" w:rsidRPr="006820FB">
        <w:rPr>
          <w:lang w:val="hr-HR"/>
        </w:rPr>
        <w:t xml:space="preserve"> </w:t>
      </w:r>
      <w:r>
        <w:rPr>
          <w:lang w:val="hr-HR"/>
        </w:rPr>
        <w:t>МЉПИ</w:t>
      </w:r>
      <w:r w:rsidR="00813047" w:rsidRPr="006820FB">
        <w:rPr>
          <w:lang w:val="hr-HR"/>
        </w:rPr>
        <w:t xml:space="preserve"> </w:t>
      </w:r>
      <w:r>
        <w:rPr>
          <w:lang w:val="hr-HR"/>
        </w:rPr>
        <w:t>БиХ</w:t>
      </w:r>
      <w:r w:rsidR="002413AD">
        <w:rPr>
          <w:lang w:val="hr-HR"/>
        </w:rPr>
        <w:t xml:space="preserve"> </w:t>
      </w:r>
      <w:r>
        <w:rPr>
          <w:lang w:val="hr-HR"/>
        </w:rPr>
        <w:t>је</w:t>
      </w:r>
      <w:r w:rsidR="00813047" w:rsidRPr="006820FB">
        <w:rPr>
          <w:lang w:val="hr-HR"/>
        </w:rPr>
        <w:t xml:space="preserve"> </w:t>
      </w:r>
      <w:r>
        <w:rPr>
          <w:lang w:val="hr-HR"/>
        </w:rPr>
        <w:t>у</w:t>
      </w:r>
      <w:r w:rsidR="00813047" w:rsidRPr="006820FB">
        <w:rPr>
          <w:lang w:val="hr-HR"/>
        </w:rPr>
        <w:t xml:space="preserve"> </w:t>
      </w:r>
      <w:r>
        <w:rPr>
          <w:lang w:val="hr-HR"/>
        </w:rPr>
        <w:t>ове</w:t>
      </w:r>
      <w:r w:rsidR="00813047" w:rsidRPr="006820FB">
        <w:rPr>
          <w:lang w:val="hr-HR"/>
        </w:rPr>
        <w:t xml:space="preserve"> </w:t>
      </w:r>
      <w:r>
        <w:rPr>
          <w:lang w:val="hr-HR"/>
        </w:rPr>
        <w:t>активности</w:t>
      </w:r>
      <w:r w:rsidR="00813047" w:rsidRPr="006820FB">
        <w:rPr>
          <w:lang w:val="hr-HR"/>
        </w:rPr>
        <w:t xml:space="preserve"> </w:t>
      </w:r>
      <w:r>
        <w:rPr>
          <w:lang w:val="hr-HR"/>
        </w:rPr>
        <w:t>активно</w:t>
      </w:r>
      <w:r w:rsidR="00813047" w:rsidRPr="006820FB">
        <w:rPr>
          <w:lang w:val="hr-HR"/>
        </w:rPr>
        <w:t xml:space="preserve"> </w:t>
      </w:r>
      <w:r>
        <w:rPr>
          <w:lang w:val="hr-HR"/>
        </w:rPr>
        <w:t>укључена</w:t>
      </w:r>
      <w:r w:rsidR="00813047" w:rsidRPr="006820FB">
        <w:rPr>
          <w:lang w:val="hr-HR"/>
        </w:rPr>
        <w:t xml:space="preserve"> </w:t>
      </w:r>
      <w:r>
        <w:rPr>
          <w:lang w:val="hr-HR"/>
        </w:rPr>
        <w:t>као</w:t>
      </w:r>
      <w:r w:rsidR="00813047" w:rsidRPr="006820FB">
        <w:rPr>
          <w:lang w:val="hr-HR"/>
        </w:rPr>
        <w:t xml:space="preserve"> </w:t>
      </w:r>
      <w:r>
        <w:rPr>
          <w:lang w:val="hr-HR"/>
        </w:rPr>
        <w:t>копредсједавајући</w:t>
      </w:r>
      <w:r w:rsidR="00DF6743" w:rsidRPr="006820FB">
        <w:rPr>
          <w:lang w:val="hr-HR"/>
        </w:rPr>
        <w:t xml:space="preserve"> (</w:t>
      </w:r>
      <w:r w:rsidR="000D058D" w:rsidRPr="000D058D">
        <w:rPr>
          <w:i/>
          <w:lang w:val="hr-HR"/>
        </w:rPr>
        <w:t>co-lead</w:t>
      </w:r>
      <w:r w:rsidR="00DF6743" w:rsidRPr="006820FB">
        <w:rPr>
          <w:lang w:val="hr-HR"/>
        </w:rPr>
        <w:t>)</w:t>
      </w:r>
      <w:r w:rsidR="00813047" w:rsidRPr="006820FB">
        <w:rPr>
          <w:lang w:val="hr-HR"/>
        </w:rPr>
        <w:t xml:space="preserve">, </w:t>
      </w:r>
      <w:r>
        <w:rPr>
          <w:lang w:val="hr-HR"/>
        </w:rPr>
        <w:t>као</w:t>
      </w:r>
      <w:r w:rsidR="00813047" w:rsidRPr="006820FB">
        <w:rPr>
          <w:lang w:val="hr-HR"/>
        </w:rPr>
        <w:t xml:space="preserve"> </w:t>
      </w:r>
      <w:r>
        <w:rPr>
          <w:lang w:val="hr-HR"/>
        </w:rPr>
        <w:t>и</w:t>
      </w:r>
      <w:r w:rsidR="00813047" w:rsidRPr="006820FB">
        <w:rPr>
          <w:lang w:val="hr-HR"/>
        </w:rPr>
        <w:t xml:space="preserve"> </w:t>
      </w:r>
      <w:r>
        <w:rPr>
          <w:lang w:val="hr-HR"/>
        </w:rPr>
        <w:t>кроз</w:t>
      </w:r>
      <w:r w:rsidR="00813047" w:rsidRPr="006820FB">
        <w:rPr>
          <w:lang w:val="hr-HR"/>
        </w:rPr>
        <w:t xml:space="preserve"> </w:t>
      </w:r>
      <w:r>
        <w:rPr>
          <w:lang w:val="hr-HR"/>
        </w:rPr>
        <w:t>промоцију</w:t>
      </w:r>
      <w:r w:rsidR="00813047" w:rsidRPr="006820FB">
        <w:rPr>
          <w:lang w:val="hr-HR"/>
        </w:rPr>
        <w:t xml:space="preserve"> </w:t>
      </w:r>
      <w:r>
        <w:rPr>
          <w:lang w:val="hr-HR"/>
        </w:rPr>
        <w:t>и</w:t>
      </w:r>
      <w:r w:rsidR="00813047" w:rsidRPr="006820FB">
        <w:rPr>
          <w:lang w:val="hr-HR"/>
        </w:rPr>
        <w:t xml:space="preserve"> </w:t>
      </w:r>
      <w:r>
        <w:rPr>
          <w:lang w:val="hr-HR"/>
        </w:rPr>
        <w:t>институционално</w:t>
      </w:r>
      <w:r w:rsidR="00813047" w:rsidRPr="006820FB">
        <w:rPr>
          <w:lang w:val="hr-HR"/>
        </w:rPr>
        <w:t xml:space="preserve"> </w:t>
      </w:r>
      <w:r>
        <w:rPr>
          <w:lang w:val="hr-HR"/>
        </w:rPr>
        <w:t>позиционирање</w:t>
      </w:r>
      <w:r w:rsidR="00813047" w:rsidRPr="006820FB">
        <w:rPr>
          <w:lang w:val="hr-HR"/>
        </w:rPr>
        <w:t xml:space="preserve"> </w:t>
      </w:r>
      <w:r>
        <w:rPr>
          <w:lang w:val="hr-HR"/>
        </w:rPr>
        <w:t>поменутог</w:t>
      </w:r>
      <w:r w:rsidR="00813047" w:rsidRPr="006820FB">
        <w:rPr>
          <w:lang w:val="hr-HR"/>
        </w:rPr>
        <w:t xml:space="preserve"> </w:t>
      </w:r>
      <w:r>
        <w:rPr>
          <w:lang w:val="hr-HR"/>
        </w:rPr>
        <w:t>алата</w:t>
      </w:r>
      <w:r w:rsidR="00813047" w:rsidRPr="006820FB">
        <w:rPr>
          <w:lang w:val="hr-HR"/>
        </w:rPr>
        <w:t xml:space="preserve">. </w:t>
      </w:r>
      <w:r>
        <w:rPr>
          <w:lang w:val="hr-HR"/>
        </w:rPr>
        <w:t>Овај</w:t>
      </w:r>
      <w:r w:rsidR="00813047" w:rsidRPr="006820FB">
        <w:rPr>
          <w:lang w:val="hr-HR"/>
        </w:rPr>
        <w:t xml:space="preserve"> </w:t>
      </w:r>
      <w:r>
        <w:rPr>
          <w:lang w:val="hr-HR"/>
        </w:rPr>
        <w:t>механизам</w:t>
      </w:r>
      <w:r w:rsidR="00813047" w:rsidRPr="006820FB">
        <w:rPr>
          <w:lang w:val="hr-HR"/>
        </w:rPr>
        <w:t xml:space="preserve"> </w:t>
      </w:r>
      <w:r>
        <w:rPr>
          <w:lang w:val="hr-HR"/>
        </w:rPr>
        <w:t>помаже</w:t>
      </w:r>
      <w:r w:rsidR="00813047" w:rsidRPr="006820FB">
        <w:rPr>
          <w:lang w:val="hr-HR"/>
        </w:rPr>
        <w:t xml:space="preserve"> </w:t>
      </w:r>
      <w:r>
        <w:rPr>
          <w:lang w:val="hr-HR"/>
        </w:rPr>
        <w:t>институцијама</w:t>
      </w:r>
      <w:r w:rsidR="00813047" w:rsidRPr="006820FB">
        <w:rPr>
          <w:lang w:val="hr-HR"/>
        </w:rPr>
        <w:t xml:space="preserve"> </w:t>
      </w:r>
      <w:r>
        <w:rPr>
          <w:lang w:val="hr-HR"/>
        </w:rPr>
        <w:t>да</w:t>
      </w:r>
      <w:r w:rsidR="00813047" w:rsidRPr="006820FB">
        <w:rPr>
          <w:lang w:val="hr-HR"/>
        </w:rPr>
        <w:t xml:space="preserve"> </w:t>
      </w:r>
      <w:r>
        <w:rPr>
          <w:lang w:val="hr-HR"/>
        </w:rPr>
        <w:t>развијају</w:t>
      </w:r>
      <w:r w:rsidR="00813047" w:rsidRPr="006820FB">
        <w:rPr>
          <w:lang w:val="hr-HR"/>
        </w:rPr>
        <w:t xml:space="preserve"> </w:t>
      </w:r>
      <w:r>
        <w:rPr>
          <w:lang w:val="hr-HR"/>
        </w:rPr>
        <w:t>и</w:t>
      </w:r>
      <w:r w:rsidR="00813047" w:rsidRPr="006820FB">
        <w:rPr>
          <w:lang w:val="hr-HR"/>
        </w:rPr>
        <w:t xml:space="preserve"> </w:t>
      </w:r>
      <w:r>
        <w:rPr>
          <w:lang w:val="hr-HR"/>
        </w:rPr>
        <w:t>примјењују</w:t>
      </w:r>
      <w:r w:rsidR="00813047" w:rsidRPr="006820FB">
        <w:rPr>
          <w:lang w:val="hr-HR"/>
        </w:rPr>
        <w:t xml:space="preserve"> </w:t>
      </w:r>
      <w:r>
        <w:rPr>
          <w:lang w:val="hr-HR"/>
        </w:rPr>
        <w:t>родно</w:t>
      </w:r>
      <w:r w:rsidR="00813047" w:rsidRPr="006820FB">
        <w:rPr>
          <w:lang w:val="hr-HR"/>
        </w:rPr>
        <w:t xml:space="preserve"> </w:t>
      </w:r>
      <w:r>
        <w:rPr>
          <w:lang w:val="hr-HR"/>
        </w:rPr>
        <w:t>одговорне</w:t>
      </w:r>
      <w:r w:rsidR="00813047" w:rsidRPr="006820FB">
        <w:rPr>
          <w:lang w:val="hr-HR"/>
        </w:rPr>
        <w:t xml:space="preserve"> </w:t>
      </w:r>
      <w:r>
        <w:rPr>
          <w:lang w:val="hr-HR"/>
        </w:rPr>
        <w:t>политике</w:t>
      </w:r>
      <w:r w:rsidR="00813047" w:rsidRPr="006820FB">
        <w:rPr>
          <w:lang w:val="hr-HR"/>
        </w:rPr>
        <w:t xml:space="preserve">, </w:t>
      </w:r>
      <w:r>
        <w:rPr>
          <w:lang w:val="hr-HR"/>
        </w:rPr>
        <w:t>постигну</w:t>
      </w:r>
      <w:r w:rsidR="00813047" w:rsidRPr="006820FB">
        <w:rPr>
          <w:lang w:val="hr-HR"/>
        </w:rPr>
        <w:t xml:space="preserve"> </w:t>
      </w:r>
      <w:r>
        <w:rPr>
          <w:lang w:val="hr-HR"/>
        </w:rPr>
        <w:t>паритет</w:t>
      </w:r>
      <w:r w:rsidR="00813047" w:rsidRPr="006820FB">
        <w:rPr>
          <w:lang w:val="hr-HR"/>
        </w:rPr>
        <w:t xml:space="preserve">, </w:t>
      </w:r>
      <w:r>
        <w:rPr>
          <w:lang w:val="hr-HR"/>
        </w:rPr>
        <w:t>елимини</w:t>
      </w:r>
      <w:r w:rsidR="000D058D">
        <w:rPr>
          <w:lang w:val="sr-Cyrl-BA"/>
        </w:rPr>
        <w:t>шу</w:t>
      </w:r>
      <w:r w:rsidR="00813047" w:rsidRPr="006820FB">
        <w:rPr>
          <w:lang w:val="hr-HR"/>
        </w:rPr>
        <w:t xml:space="preserve"> </w:t>
      </w:r>
      <w:r>
        <w:rPr>
          <w:lang w:val="hr-HR"/>
        </w:rPr>
        <w:t>родни</w:t>
      </w:r>
      <w:r w:rsidR="00813047" w:rsidRPr="006820FB">
        <w:rPr>
          <w:lang w:val="hr-HR"/>
        </w:rPr>
        <w:t xml:space="preserve"> </w:t>
      </w:r>
      <w:r>
        <w:rPr>
          <w:lang w:val="hr-HR"/>
        </w:rPr>
        <w:t>јаз</w:t>
      </w:r>
      <w:r w:rsidR="00813047" w:rsidRPr="006820FB">
        <w:rPr>
          <w:lang w:val="hr-HR"/>
        </w:rPr>
        <w:t xml:space="preserve"> </w:t>
      </w:r>
      <w:r>
        <w:rPr>
          <w:lang w:val="hr-HR"/>
        </w:rPr>
        <w:t>у</w:t>
      </w:r>
      <w:r w:rsidR="00813047" w:rsidRPr="006820FB">
        <w:rPr>
          <w:lang w:val="hr-HR"/>
        </w:rPr>
        <w:t xml:space="preserve"> </w:t>
      </w:r>
      <w:r>
        <w:rPr>
          <w:lang w:val="hr-HR"/>
        </w:rPr>
        <w:t>пла</w:t>
      </w:r>
      <w:r w:rsidR="000D058D">
        <w:rPr>
          <w:lang w:val="sr-Cyrl-BA"/>
        </w:rPr>
        <w:t>т</w:t>
      </w:r>
      <w:r>
        <w:rPr>
          <w:lang w:val="hr-HR"/>
        </w:rPr>
        <w:t>ама</w:t>
      </w:r>
      <w:r w:rsidR="00813047" w:rsidRPr="006820FB">
        <w:rPr>
          <w:lang w:val="hr-HR"/>
        </w:rPr>
        <w:t xml:space="preserve">, </w:t>
      </w:r>
      <w:r>
        <w:rPr>
          <w:lang w:val="hr-HR"/>
        </w:rPr>
        <w:t>превазиђу</w:t>
      </w:r>
      <w:r w:rsidR="00813047" w:rsidRPr="006820FB">
        <w:rPr>
          <w:lang w:val="hr-HR"/>
        </w:rPr>
        <w:t xml:space="preserve"> </w:t>
      </w:r>
      <w:r w:rsidR="003B0C31" w:rsidRPr="006820FB">
        <w:rPr>
          <w:lang w:val="hr-HR"/>
        </w:rPr>
        <w:t>“</w:t>
      </w:r>
      <w:r>
        <w:rPr>
          <w:lang w:val="hr-HR"/>
        </w:rPr>
        <w:t>стаклени</w:t>
      </w:r>
      <w:r w:rsidR="00813047" w:rsidRPr="006820FB">
        <w:rPr>
          <w:lang w:val="hr-HR"/>
        </w:rPr>
        <w:t xml:space="preserve"> </w:t>
      </w:r>
      <w:r>
        <w:rPr>
          <w:lang w:val="hr-HR"/>
        </w:rPr>
        <w:t>строп</w:t>
      </w:r>
      <w:r w:rsidR="003B0C31" w:rsidRPr="006820FB">
        <w:rPr>
          <w:lang w:val="hr-HR"/>
        </w:rPr>
        <w:t>”</w:t>
      </w:r>
      <w:r w:rsidR="00813047" w:rsidRPr="006820FB">
        <w:rPr>
          <w:lang w:val="hr-HR"/>
        </w:rPr>
        <w:t xml:space="preserve"> </w:t>
      </w:r>
      <w:r>
        <w:rPr>
          <w:lang w:val="hr-HR"/>
        </w:rPr>
        <w:t>и</w:t>
      </w:r>
      <w:r w:rsidR="00813047" w:rsidRPr="006820FB">
        <w:rPr>
          <w:lang w:val="hr-HR"/>
        </w:rPr>
        <w:t xml:space="preserve"> </w:t>
      </w:r>
      <w:r>
        <w:rPr>
          <w:lang w:val="hr-HR"/>
        </w:rPr>
        <w:t>систематски</w:t>
      </w:r>
      <w:r w:rsidR="00813047" w:rsidRPr="006820FB">
        <w:rPr>
          <w:lang w:val="hr-HR"/>
        </w:rPr>
        <w:t xml:space="preserve"> </w:t>
      </w:r>
      <w:r>
        <w:rPr>
          <w:lang w:val="hr-HR"/>
        </w:rPr>
        <w:t>адресирају</w:t>
      </w:r>
      <w:r w:rsidR="00813047" w:rsidRPr="006820FB">
        <w:rPr>
          <w:lang w:val="hr-HR"/>
        </w:rPr>
        <w:t xml:space="preserve"> </w:t>
      </w:r>
      <w:r>
        <w:rPr>
          <w:lang w:val="hr-HR"/>
        </w:rPr>
        <w:t>сексуално</w:t>
      </w:r>
      <w:r w:rsidR="00813047" w:rsidRPr="006820FB">
        <w:rPr>
          <w:lang w:val="hr-HR"/>
        </w:rPr>
        <w:t xml:space="preserve"> </w:t>
      </w:r>
      <w:r>
        <w:rPr>
          <w:lang w:val="hr-HR"/>
        </w:rPr>
        <w:t>узнемиравање</w:t>
      </w:r>
      <w:r w:rsidR="00813047" w:rsidRPr="006820FB">
        <w:rPr>
          <w:lang w:val="hr-HR"/>
        </w:rPr>
        <w:t xml:space="preserve"> </w:t>
      </w:r>
      <w:r>
        <w:rPr>
          <w:lang w:val="hr-HR"/>
        </w:rPr>
        <w:t>на</w:t>
      </w:r>
      <w:r w:rsidR="00813047" w:rsidRPr="006820FB">
        <w:rPr>
          <w:lang w:val="hr-HR"/>
        </w:rPr>
        <w:t xml:space="preserve"> </w:t>
      </w:r>
      <w:r>
        <w:rPr>
          <w:lang w:val="hr-HR"/>
        </w:rPr>
        <w:t>радном</w:t>
      </w:r>
      <w:r w:rsidR="00813047" w:rsidRPr="006820FB">
        <w:rPr>
          <w:lang w:val="hr-HR"/>
        </w:rPr>
        <w:t xml:space="preserve"> </w:t>
      </w:r>
      <w:r>
        <w:rPr>
          <w:lang w:val="hr-HR"/>
        </w:rPr>
        <w:t>мјесту</w:t>
      </w:r>
      <w:r w:rsidR="00813047" w:rsidRPr="006820FB">
        <w:rPr>
          <w:lang w:val="hr-HR"/>
        </w:rPr>
        <w:t>.</w:t>
      </w:r>
      <w:r w:rsidR="00A26F45">
        <w:rPr>
          <w:lang w:val="hr-HR"/>
        </w:rPr>
        <w:t xml:space="preserve"> </w:t>
      </w:r>
      <w:r>
        <w:rPr>
          <w:lang w:val="hr-HR"/>
        </w:rPr>
        <w:t>На</w:t>
      </w:r>
      <w:r w:rsidR="00A26F45">
        <w:rPr>
          <w:lang w:val="hr-HR"/>
        </w:rPr>
        <w:t xml:space="preserve"> </w:t>
      </w:r>
      <w:r>
        <w:rPr>
          <w:lang w:val="hr-HR"/>
        </w:rPr>
        <w:t>тај</w:t>
      </w:r>
      <w:r w:rsidR="00A26F45">
        <w:rPr>
          <w:lang w:val="hr-HR"/>
        </w:rPr>
        <w:t xml:space="preserve"> </w:t>
      </w:r>
      <w:r>
        <w:rPr>
          <w:lang w:val="hr-HR"/>
        </w:rPr>
        <w:t>начин</w:t>
      </w:r>
      <w:r w:rsidR="00A26F45">
        <w:rPr>
          <w:lang w:val="hr-HR"/>
        </w:rPr>
        <w:t xml:space="preserve">, </w:t>
      </w:r>
      <w:r w:rsidR="002413AD">
        <w:rPr>
          <w:lang w:val="hr-HR"/>
        </w:rPr>
        <w:t>„</w:t>
      </w:r>
      <w:r w:rsidR="003601A7">
        <w:rPr>
          <w:lang w:val="sr-Cyrl-BA"/>
        </w:rPr>
        <w:t>П</w:t>
      </w:r>
      <w:r>
        <w:rPr>
          <w:lang w:val="hr-HR"/>
        </w:rPr>
        <w:t>ечат</w:t>
      </w:r>
      <w:r w:rsidR="002413AD">
        <w:rPr>
          <w:lang w:val="hr-HR"/>
        </w:rPr>
        <w:t>“</w:t>
      </w:r>
      <w:r w:rsidR="00A26F45">
        <w:rPr>
          <w:lang w:val="hr-HR"/>
        </w:rPr>
        <w:t xml:space="preserve"> </w:t>
      </w:r>
      <w:r>
        <w:rPr>
          <w:lang w:val="hr-HR"/>
        </w:rPr>
        <w:t>доприноси</w:t>
      </w:r>
      <w:r w:rsidR="00A26F45">
        <w:rPr>
          <w:lang w:val="hr-HR"/>
        </w:rPr>
        <w:t xml:space="preserve"> </w:t>
      </w:r>
      <w:r>
        <w:rPr>
          <w:lang w:val="hr-HR"/>
        </w:rPr>
        <w:t>увођењу</w:t>
      </w:r>
      <w:r w:rsidR="00A26F45">
        <w:rPr>
          <w:lang w:val="hr-HR"/>
        </w:rPr>
        <w:t xml:space="preserve"> </w:t>
      </w:r>
      <w:r>
        <w:rPr>
          <w:lang w:val="hr-HR"/>
        </w:rPr>
        <w:t>равноправности</w:t>
      </w:r>
      <w:r w:rsidR="00A26F45">
        <w:rPr>
          <w:lang w:val="hr-HR"/>
        </w:rPr>
        <w:t xml:space="preserve"> </w:t>
      </w:r>
      <w:r>
        <w:rPr>
          <w:lang w:val="hr-HR"/>
        </w:rPr>
        <w:t>полова</w:t>
      </w:r>
      <w:r w:rsidR="00A26F45">
        <w:rPr>
          <w:lang w:val="hr-HR"/>
        </w:rPr>
        <w:t xml:space="preserve"> </w:t>
      </w:r>
      <w:r>
        <w:rPr>
          <w:lang w:val="hr-HR"/>
        </w:rPr>
        <w:t>у</w:t>
      </w:r>
      <w:r w:rsidR="00A26F45">
        <w:rPr>
          <w:lang w:val="hr-HR"/>
        </w:rPr>
        <w:t xml:space="preserve"> </w:t>
      </w:r>
      <w:r w:rsidR="00DF7B6D">
        <w:rPr>
          <w:lang w:val="sr-Cyrl-BA"/>
        </w:rPr>
        <w:t>област дјеловања</w:t>
      </w:r>
      <w:r w:rsidR="00A26F45">
        <w:rPr>
          <w:lang w:val="hr-HR"/>
        </w:rPr>
        <w:t xml:space="preserve"> </w:t>
      </w:r>
      <w:r>
        <w:rPr>
          <w:lang w:val="hr-HR"/>
        </w:rPr>
        <w:t>рада</w:t>
      </w:r>
      <w:r w:rsidR="00A26F45">
        <w:rPr>
          <w:lang w:val="hr-HR"/>
        </w:rPr>
        <w:t xml:space="preserve"> </w:t>
      </w:r>
      <w:r>
        <w:rPr>
          <w:lang w:val="hr-HR"/>
        </w:rPr>
        <w:t>институција</w:t>
      </w:r>
      <w:r w:rsidR="00A26F45">
        <w:rPr>
          <w:lang w:val="hr-HR"/>
        </w:rPr>
        <w:t xml:space="preserve"> </w:t>
      </w:r>
      <w:r>
        <w:rPr>
          <w:lang w:val="hr-HR"/>
        </w:rPr>
        <w:t>и</w:t>
      </w:r>
      <w:r w:rsidR="00A26F45">
        <w:rPr>
          <w:lang w:val="hr-HR"/>
        </w:rPr>
        <w:t xml:space="preserve"> </w:t>
      </w:r>
      <w:r>
        <w:rPr>
          <w:lang w:val="hr-HR"/>
        </w:rPr>
        <w:t>приватног</w:t>
      </w:r>
      <w:r w:rsidR="00A26F45">
        <w:rPr>
          <w:lang w:val="hr-HR"/>
        </w:rPr>
        <w:t xml:space="preserve"> </w:t>
      </w:r>
      <w:r>
        <w:rPr>
          <w:lang w:val="hr-HR"/>
        </w:rPr>
        <w:t>сектора</w:t>
      </w:r>
      <w:r w:rsidR="00A26F45">
        <w:rPr>
          <w:lang w:val="hr-HR"/>
        </w:rPr>
        <w:t xml:space="preserve">, </w:t>
      </w:r>
      <w:r>
        <w:rPr>
          <w:lang w:val="hr-HR"/>
        </w:rPr>
        <w:t>у</w:t>
      </w:r>
      <w:r w:rsidR="006421C9">
        <w:rPr>
          <w:lang w:val="hr-HR"/>
        </w:rPr>
        <w:t xml:space="preserve"> </w:t>
      </w:r>
      <w:r>
        <w:rPr>
          <w:lang w:val="hr-HR"/>
        </w:rPr>
        <w:t>складу</w:t>
      </w:r>
      <w:r w:rsidR="00A26F45">
        <w:rPr>
          <w:lang w:val="hr-HR"/>
        </w:rPr>
        <w:t xml:space="preserve"> </w:t>
      </w:r>
      <w:r>
        <w:rPr>
          <w:lang w:val="hr-HR"/>
        </w:rPr>
        <w:t>домаћим</w:t>
      </w:r>
      <w:r w:rsidR="00A26F45">
        <w:rPr>
          <w:lang w:val="hr-HR"/>
        </w:rPr>
        <w:t xml:space="preserve"> </w:t>
      </w:r>
      <w:r>
        <w:rPr>
          <w:lang w:val="hr-HR"/>
        </w:rPr>
        <w:t>и</w:t>
      </w:r>
      <w:r w:rsidR="00A26F45">
        <w:rPr>
          <w:lang w:val="hr-HR"/>
        </w:rPr>
        <w:t xml:space="preserve"> </w:t>
      </w:r>
      <w:r>
        <w:rPr>
          <w:lang w:val="hr-HR"/>
        </w:rPr>
        <w:t>међународним</w:t>
      </w:r>
      <w:r w:rsidR="00A26F45">
        <w:rPr>
          <w:lang w:val="hr-HR"/>
        </w:rPr>
        <w:t xml:space="preserve"> </w:t>
      </w:r>
      <w:r>
        <w:rPr>
          <w:lang w:val="hr-HR"/>
        </w:rPr>
        <w:t>стандардима</w:t>
      </w:r>
      <w:r w:rsidR="00A26F45">
        <w:rPr>
          <w:lang w:val="hr-HR"/>
        </w:rPr>
        <w:t>.</w:t>
      </w:r>
    </w:p>
    <w:p w:rsidR="002C25E6" w:rsidRPr="006820FB" w:rsidRDefault="002C25E6" w:rsidP="0086268D">
      <w:pPr>
        <w:pStyle w:val="NormalWeb"/>
        <w:spacing w:before="0" w:beforeAutospacing="0" w:after="0" w:afterAutospacing="0"/>
        <w:jc w:val="both"/>
        <w:rPr>
          <w:lang w:val="hr-HR"/>
        </w:rPr>
      </w:pPr>
    </w:p>
    <w:p w:rsidR="001E624D" w:rsidRPr="00295637" w:rsidRDefault="00C6214E" w:rsidP="0086268D">
      <w:pPr>
        <w:jc w:val="both"/>
        <w:rPr>
          <w:rFonts w:ascii="Times New Roman" w:hAnsi="Times New Roman"/>
          <w:lang w:val="hr-HR"/>
        </w:rPr>
      </w:pPr>
      <w:r>
        <w:rPr>
          <w:rFonts w:ascii="Times New Roman" w:hAnsi="Times New Roman"/>
          <w:szCs w:val="24"/>
        </w:rPr>
        <w:t>У</w:t>
      </w:r>
      <w:r w:rsidR="00EF7C70" w:rsidRPr="00295637">
        <w:rPr>
          <w:rFonts w:ascii="Times New Roman" w:hAnsi="Times New Roman"/>
          <w:szCs w:val="24"/>
        </w:rPr>
        <w:t xml:space="preserve"> </w:t>
      </w:r>
      <w:r>
        <w:rPr>
          <w:rFonts w:ascii="Times New Roman" w:hAnsi="Times New Roman"/>
          <w:szCs w:val="24"/>
        </w:rPr>
        <w:t>октобру</w:t>
      </w:r>
      <w:r w:rsidR="00EF7C70" w:rsidRPr="00295637">
        <w:rPr>
          <w:rFonts w:ascii="Times New Roman" w:hAnsi="Times New Roman"/>
          <w:szCs w:val="24"/>
        </w:rPr>
        <w:t xml:space="preserve"> 2024. </w:t>
      </w:r>
      <w:r>
        <w:rPr>
          <w:rFonts w:ascii="Times New Roman" w:hAnsi="Times New Roman"/>
          <w:szCs w:val="24"/>
        </w:rPr>
        <w:t>године</w:t>
      </w:r>
      <w:r w:rsidR="00EF7C70" w:rsidRPr="00295637">
        <w:rPr>
          <w:rFonts w:ascii="Times New Roman" w:hAnsi="Times New Roman"/>
          <w:szCs w:val="24"/>
        </w:rPr>
        <w:t xml:space="preserve"> </w:t>
      </w:r>
      <w:r>
        <w:rPr>
          <w:rFonts w:ascii="Times New Roman" w:hAnsi="Times New Roman"/>
          <w:szCs w:val="24"/>
        </w:rPr>
        <w:t>је</w:t>
      </w:r>
      <w:r w:rsidR="002C25E6" w:rsidRPr="00295637">
        <w:rPr>
          <w:rFonts w:ascii="Times New Roman" w:hAnsi="Times New Roman"/>
          <w:szCs w:val="24"/>
        </w:rPr>
        <w:t xml:space="preserve"> </w:t>
      </w:r>
      <w:r>
        <w:rPr>
          <w:rFonts w:ascii="Times New Roman" w:hAnsi="Times New Roman"/>
          <w:szCs w:val="24"/>
        </w:rPr>
        <w:t>на</w:t>
      </w:r>
      <w:r w:rsidR="001E624D" w:rsidRPr="00295637">
        <w:rPr>
          <w:rFonts w:ascii="Times New Roman" w:hAnsi="Times New Roman"/>
          <w:szCs w:val="24"/>
        </w:rPr>
        <w:t xml:space="preserve"> 6. </w:t>
      </w:r>
      <w:r>
        <w:rPr>
          <w:rFonts w:ascii="Times New Roman" w:hAnsi="Times New Roman"/>
          <w:szCs w:val="24"/>
        </w:rPr>
        <w:t>хитној</w:t>
      </w:r>
      <w:r w:rsidR="001E624D" w:rsidRPr="00295637">
        <w:rPr>
          <w:rFonts w:ascii="Times New Roman" w:hAnsi="Times New Roman"/>
          <w:szCs w:val="24"/>
        </w:rPr>
        <w:t xml:space="preserve"> </w:t>
      </w:r>
      <w:r>
        <w:rPr>
          <w:rFonts w:ascii="Times New Roman" w:hAnsi="Times New Roman"/>
          <w:szCs w:val="24"/>
        </w:rPr>
        <w:t>сједници</w:t>
      </w:r>
      <w:r w:rsidR="001E624D" w:rsidRPr="00295637">
        <w:rPr>
          <w:rFonts w:ascii="Times New Roman" w:hAnsi="Times New Roman"/>
          <w:szCs w:val="24"/>
        </w:rPr>
        <w:t xml:space="preserve"> </w:t>
      </w:r>
      <w:r>
        <w:rPr>
          <w:rFonts w:ascii="Times New Roman" w:hAnsi="Times New Roman"/>
          <w:szCs w:val="24"/>
        </w:rPr>
        <w:t>Дома</w:t>
      </w:r>
      <w:r w:rsidR="001E624D" w:rsidRPr="00295637">
        <w:rPr>
          <w:rFonts w:ascii="Times New Roman" w:hAnsi="Times New Roman"/>
          <w:szCs w:val="24"/>
        </w:rPr>
        <w:t xml:space="preserve"> </w:t>
      </w:r>
      <w:r>
        <w:rPr>
          <w:rFonts w:ascii="Times New Roman" w:hAnsi="Times New Roman"/>
          <w:szCs w:val="24"/>
        </w:rPr>
        <w:t>народа</w:t>
      </w:r>
      <w:r w:rsidR="001E624D" w:rsidRPr="00295637">
        <w:rPr>
          <w:rFonts w:ascii="Times New Roman" w:hAnsi="Times New Roman"/>
          <w:szCs w:val="24"/>
        </w:rPr>
        <w:t xml:space="preserve"> </w:t>
      </w:r>
      <w:r>
        <w:rPr>
          <w:rFonts w:ascii="Times New Roman" w:hAnsi="Times New Roman"/>
          <w:szCs w:val="24"/>
        </w:rPr>
        <w:t>ПС</w:t>
      </w:r>
      <w:r w:rsidR="009E54A2" w:rsidRPr="00295637">
        <w:rPr>
          <w:rFonts w:ascii="Times New Roman" w:hAnsi="Times New Roman"/>
          <w:szCs w:val="24"/>
        </w:rPr>
        <w:t xml:space="preserve"> </w:t>
      </w:r>
      <w:r>
        <w:rPr>
          <w:rFonts w:ascii="Times New Roman" w:hAnsi="Times New Roman"/>
          <w:szCs w:val="24"/>
        </w:rPr>
        <w:t>БиХ</w:t>
      </w:r>
      <w:r w:rsidR="009E54A2" w:rsidRPr="00295637">
        <w:rPr>
          <w:rFonts w:ascii="Times New Roman" w:hAnsi="Times New Roman"/>
          <w:szCs w:val="24"/>
        </w:rPr>
        <w:t xml:space="preserve"> </w:t>
      </w:r>
      <w:r w:rsidR="002C25E6" w:rsidRPr="00295637">
        <w:rPr>
          <w:rFonts w:ascii="Times New Roman" w:hAnsi="Times New Roman"/>
          <w:szCs w:val="24"/>
        </w:rPr>
        <w:t xml:space="preserve"> </w:t>
      </w:r>
      <w:r>
        <w:rPr>
          <w:rFonts w:ascii="Times New Roman" w:hAnsi="Times New Roman"/>
          <w:szCs w:val="24"/>
        </w:rPr>
        <w:t>усвојен</w:t>
      </w:r>
      <w:r w:rsidR="001E624D" w:rsidRPr="00295637">
        <w:rPr>
          <w:rFonts w:ascii="Times New Roman" w:hAnsi="Times New Roman"/>
          <w:szCs w:val="24"/>
        </w:rPr>
        <w:t xml:space="preserve"> </w:t>
      </w:r>
      <w:r>
        <w:rPr>
          <w:rFonts w:ascii="Times New Roman" w:hAnsi="Times New Roman"/>
          <w:szCs w:val="24"/>
        </w:rPr>
        <w:t>Стратешки</w:t>
      </w:r>
      <w:r w:rsidR="001E624D" w:rsidRPr="00295637">
        <w:rPr>
          <w:rFonts w:ascii="Times New Roman" w:hAnsi="Times New Roman"/>
          <w:szCs w:val="24"/>
        </w:rPr>
        <w:t xml:space="preserve"> </w:t>
      </w:r>
      <w:r>
        <w:rPr>
          <w:rFonts w:ascii="Times New Roman" w:hAnsi="Times New Roman"/>
          <w:szCs w:val="24"/>
        </w:rPr>
        <w:t>план</w:t>
      </w:r>
      <w:r w:rsidR="001E624D" w:rsidRPr="00295637">
        <w:rPr>
          <w:rFonts w:ascii="Times New Roman" w:hAnsi="Times New Roman"/>
          <w:szCs w:val="24"/>
        </w:rPr>
        <w:t xml:space="preserve"> </w:t>
      </w:r>
      <w:r>
        <w:rPr>
          <w:rFonts w:ascii="Times New Roman" w:hAnsi="Times New Roman"/>
          <w:szCs w:val="24"/>
        </w:rPr>
        <w:t>руралног</w:t>
      </w:r>
      <w:r w:rsidR="00D566E5" w:rsidRPr="00295637">
        <w:rPr>
          <w:rFonts w:ascii="Times New Roman" w:hAnsi="Times New Roman"/>
          <w:szCs w:val="24"/>
        </w:rPr>
        <w:t xml:space="preserve"> </w:t>
      </w:r>
      <w:r>
        <w:rPr>
          <w:rFonts w:ascii="Times New Roman" w:hAnsi="Times New Roman"/>
          <w:szCs w:val="24"/>
        </w:rPr>
        <w:t>развоја</w:t>
      </w:r>
      <w:r w:rsidR="00D30E48">
        <w:rPr>
          <w:rFonts w:ascii="Times New Roman" w:hAnsi="Times New Roman"/>
          <w:szCs w:val="24"/>
        </w:rPr>
        <w:t xml:space="preserve"> </w:t>
      </w:r>
      <w:r>
        <w:rPr>
          <w:rFonts w:ascii="Times New Roman" w:hAnsi="Times New Roman"/>
          <w:szCs w:val="24"/>
        </w:rPr>
        <w:t>БиХ</w:t>
      </w:r>
      <w:r w:rsidR="00D566E5" w:rsidRPr="00295637">
        <w:rPr>
          <w:rFonts w:ascii="Times New Roman" w:hAnsi="Times New Roman"/>
          <w:szCs w:val="24"/>
        </w:rPr>
        <w:t xml:space="preserve"> </w:t>
      </w:r>
      <w:r>
        <w:rPr>
          <w:rFonts w:ascii="Times New Roman" w:hAnsi="Times New Roman"/>
          <w:szCs w:val="24"/>
        </w:rPr>
        <w:t>за</w:t>
      </w:r>
      <w:r w:rsidR="00D566E5" w:rsidRPr="00295637">
        <w:rPr>
          <w:rFonts w:ascii="Times New Roman" w:hAnsi="Times New Roman"/>
          <w:szCs w:val="24"/>
        </w:rPr>
        <w:t xml:space="preserve"> </w:t>
      </w:r>
      <w:r>
        <w:rPr>
          <w:rFonts w:ascii="Times New Roman" w:hAnsi="Times New Roman"/>
          <w:szCs w:val="24"/>
        </w:rPr>
        <w:t>период</w:t>
      </w:r>
      <w:r w:rsidR="00D566E5" w:rsidRPr="00295637">
        <w:rPr>
          <w:rFonts w:ascii="Times New Roman" w:hAnsi="Times New Roman"/>
          <w:szCs w:val="24"/>
        </w:rPr>
        <w:t xml:space="preserve"> 2023</w:t>
      </w:r>
      <w:r w:rsidR="009B12F4">
        <w:rPr>
          <w:rFonts w:ascii="Times New Roman" w:hAnsi="Times New Roman"/>
          <w:szCs w:val="24"/>
        </w:rPr>
        <w:t>-</w:t>
      </w:r>
      <w:r w:rsidR="00D566E5" w:rsidRPr="00295637">
        <w:rPr>
          <w:rFonts w:ascii="Times New Roman" w:hAnsi="Times New Roman"/>
          <w:szCs w:val="24"/>
        </w:rPr>
        <w:t>2027</w:t>
      </w:r>
      <w:r w:rsidR="009B12F4">
        <w:rPr>
          <w:rFonts w:ascii="Times New Roman" w:hAnsi="Times New Roman"/>
          <w:szCs w:val="24"/>
        </w:rPr>
        <w:t xml:space="preserve">. </w:t>
      </w:r>
      <w:r>
        <w:rPr>
          <w:rFonts w:ascii="Times New Roman" w:hAnsi="Times New Roman"/>
          <w:szCs w:val="24"/>
        </w:rPr>
        <w:t>година</w:t>
      </w:r>
      <w:r w:rsidR="001E624D" w:rsidRPr="00295637">
        <w:rPr>
          <w:rFonts w:ascii="Times New Roman" w:hAnsi="Times New Roman"/>
          <w:szCs w:val="24"/>
        </w:rPr>
        <w:t xml:space="preserve"> </w:t>
      </w:r>
      <w:r w:rsidR="00480C50" w:rsidRPr="00295637">
        <w:rPr>
          <w:rFonts w:ascii="Times New Roman" w:hAnsi="Times New Roman"/>
          <w:szCs w:val="24"/>
        </w:rPr>
        <w:t xml:space="preserve">- </w:t>
      </w:r>
      <w:r>
        <w:rPr>
          <w:rFonts w:ascii="Times New Roman" w:hAnsi="Times New Roman"/>
          <w:szCs w:val="24"/>
        </w:rPr>
        <w:t>Оквирни</w:t>
      </w:r>
      <w:r w:rsidR="001E624D" w:rsidRPr="00295637">
        <w:rPr>
          <w:rFonts w:ascii="Times New Roman" w:hAnsi="Times New Roman"/>
          <w:szCs w:val="24"/>
        </w:rPr>
        <w:t xml:space="preserve"> </w:t>
      </w:r>
      <w:r>
        <w:rPr>
          <w:rFonts w:ascii="Times New Roman" w:hAnsi="Times New Roman"/>
          <w:szCs w:val="24"/>
        </w:rPr>
        <w:t>документ</w:t>
      </w:r>
      <w:r w:rsidR="00267394">
        <w:rPr>
          <w:rFonts w:ascii="Times New Roman" w:hAnsi="Times New Roman"/>
          <w:szCs w:val="24"/>
          <w:lang w:val="bs-Cyrl-BA"/>
        </w:rPr>
        <w:t xml:space="preserve"> (СПРР)</w:t>
      </w:r>
      <w:r w:rsidR="001E624D" w:rsidRPr="00295637">
        <w:rPr>
          <w:rFonts w:ascii="Times New Roman" w:hAnsi="Times New Roman"/>
          <w:szCs w:val="24"/>
        </w:rPr>
        <w:t>.</w:t>
      </w:r>
      <w:r w:rsidR="00EF7C70" w:rsidRPr="00295637">
        <w:rPr>
          <w:rFonts w:ascii="Times New Roman" w:hAnsi="Times New Roman"/>
          <w:szCs w:val="24"/>
        </w:rPr>
        <w:t xml:space="preserve"> </w:t>
      </w:r>
      <w:r>
        <w:rPr>
          <w:rFonts w:ascii="Times New Roman" w:hAnsi="Times New Roman"/>
          <w:szCs w:val="24"/>
        </w:rPr>
        <w:t>У</w:t>
      </w:r>
      <w:r w:rsidR="001E624D" w:rsidRPr="00295637">
        <w:rPr>
          <w:rFonts w:ascii="Times New Roman" w:hAnsi="Times New Roman"/>
          <w:szCs w:val="24"/>
        </w:rPr>
        <w:t xml:space="preserve"> </w:t>
      </w:r>
      <w:r>
        <w:rPr>
          <w:rFonts w:ascii="Times New Roman" w:hAnsi="Times New Roman"/>
          <w:szCs w:val="24"/>
        </w:rPr>
        <w:t>дијелу</w:t>
      </w:r>
      <w:r w:rsidR="001E624D" w:rsidRPr="00295637">
        <w:rPr>
          <w:rFonts w:ascii="Times New Roman" w:hAnsi="Times New Roman"/>
          <w:szCs w:val="24"/>
        </w:rPr>
        <w:t xml:space="preserve"> </w:t>
      </w:r>
      <w:r>
        <w:rPr>
          <w:rFonts w:ascii="Times New Roman" w:hAnsi="Times New Roman"/>
          <w:szCs w:val="24"/>
        </w:rPr>
        <w:t>који</w:t>
      </w:r>
      <w:r w:rsidR="001E624D" w:rsidRPr="00295637">
        <w:rPr>
          <w:rFonts w:ascii="Times New Roman" w:hAnsi="Times New Roman"/>
          <w:szCs w:val="24"/>
        </w:rPr>
        <w:t xml:space="preserve"> </w:t>
      </w:r>
      <w:r>
        <w:rPr>
          <w:rFonts w:ascii="Times New Roman" w:hAnsi="Times New Roman"/>
          <w:szCs w:val="24"/>
        </w:rPr>
        <w:t>се</w:t>
      </w:r>
      <w:r w:rsidR="001E624D" w:rsidRPr="00295637">
        <w:rPr>
          <w:rFonts w:ascii="Times New Roman" w:hAnsi="Times New Roman"/>
          <w:szCs w:val="24"/>
        </w:rPr>
        <w:t xml:space="preserve"> </w:t>
      </w:r>
      <w:r>
        <w:rPr>
          <w:rFonts w:ascii="Times New Roman" w:hAnsi="Times New Roman"/>
          <w:szCs w:val="24"/>
        </w:rPr>
        <w:t>односи</w:t>
      </w:r>
      <w:r w:rsidR="001E624D" w:rsidRPr="00295637">
        <w:rPr>
          <w:rFonts w:ascii="Times New Roman" w:hAnsi="Times New Roman"/>
          <w:szCs w:val="24"/>
        </w:rPr>
        <w:t xml:space="preserve"> </w:t>
      </w:r>
      <w:r>
        <w:rPr>
          <w:rFonts w:ascii="Times New Roman" w:hAnsi="Times New Roman"/>
          <w:szCs w:val="24"/>
        </w:rPr>
        <w:t>на</w:t>
      </w:r>
      <w:r w:rsidR="001E624D" w:rsidRPr="00295637">
        <w:rPr>
          <w:rFonts w:ascii="Times New Roman" w:hAnsi="Times New Roman"/>
          <w:szCs w:val="24"/>
        </w:rPr>
        <w:t xml:space="preserve"> </w:t>
      </w:r>
      <w:r>
        <w:rPr>
          <w:rFonts w:ascii="Times New Roman" w:hAnsi="Times New Roman"/>
          <w:szCs w:val="24"/>
        </w:rPr>
        <w:t>анализу</w:t>
      </w:r>
      <w:r w:rsidR="001E624D" w:rsidRPr="00295637">
        <w:rPr>
          <w:rFonts w:ascii="Times New Roman" w:hAnsi="Times New Roman"/>
          <w:szCs w:val="24"/>
        </w:rPr>
        <w:t xml:space="preserve"> </w:t>
      </w:r>
      <w:r>
        <w:rPr>
          <w:rFonts w:ascii="Times New Roman" w:hAnsi="Times New Roman"/>
          <w:szCs w:val="24"/>
        </w:rPr>
        <w:t>стања</w:t>
      </w:r>
      <w:r w:rsidR="001E624D" w:rsidRPr="00295637">
        <w:rPr>
          <w:rFonts w:ascii="Times New Roman" w:hAnsi="Times New Roman"/>
          <w:szCs w:val="24"/>
        </w:rPr>
        <w:t xml:space="preserve"> </w:t>
      </w:r>
      <w:r>
        <w:rPr>
          <w:rFonts w:ascii="Times New Roman" w:hAnsi="Times New Roman"/>
          <w:szCs w:val="24"/>
        </w:rPr>
        <w:t>пољопривреде</w:t>
      </w:r>
      <w:r w:rsidR="001E624D" w:rsidRPr="00295637">
        <w:rPr>
          <w:rFonts w:ascii="Times New Roman" w:hAnsi="Times New Roman"/>
          <w:szCs w:val="24"/>
        </w:rPr>
        <w:t xml:space="preserve"> </w:t>
      </w:r>
      <w:r>
        <w:rPr>
          <w:rFonts w:ascii="Times New Roman" w:hAnsi="Times New Roman"/>
          <w:szCs w:val="24"/>
        </w:rPr>
        <w:t>и</w:t>
      </w:r>
      <w:r w:rsidR="001E624D" w:rsidRPr="00295637">
        <w:rPr>
          <w:rFonts w:ascii="Times New Roman" w:hAnsi="Times New Roman"/>
          <w:szCs w:val="24"/>
        </w:rPr>
        <w:t xml:space="preserve"> </w:t>
      </w:r>
      <w:r>
        <w:rPr>
          <w:rFonts w:ascii="Times New Roman" w:hAnsi="Times New Roman"/>
          <w:szCs w:val="24"/>
        </w:rPr>
        <w:t>руралног</w:t>
      </w:r>
      <w:r w:rsidR="001E624D" w:rsidRPr="00295637">
        <w:rPr>
          <w:rFonts w:ascii="Times New Roman" w:hAnsi="Times New Roman"/>
          <w:szCs w:val="24"/>
        </w:rPr>
        <w:t xml:space="preserve"> </w:t>
      </w:r>
      <w:r>
        <w:rPr>
          <w:rFonts w:ascii="Times New Roman" w:hAnsi="Times New Roman"/>
          <w:szCs w:val="24"/>
        </w:rPr>
        <w:t>развоја</w:t>
      </w:r>
      <w:r w:rsidR="00EF7C70" w:rsidRPr="00295637">
        <w:rPr>
          <w:rFonts w:ascii="Times New Roman" w:hAnsi="Times New Roman"/>
          <w:szCs w:val="24"/>
        </w:rPr>
        <w:t>,</w:t>
      </w:r>
      <w:r w:rsidR="001E624D" w:rsidRPr="00295637">
        <w:rPr>
          <w:rFonts w:ascii="Times New Roman" w:hAnsi="Times New Roman"/>
          <w:szCs w:val="24"/>
        </w:rPr>
        <w:t xml:space="preserve"> </w:t>
      </w:r>
      <w:r>
        <w:rPr>
          <w:rFonts w:ascii="Times New Roman" w:hAnsi="Times New Roman"/>
          <w:szCs w:val="24"/>
        </w:rPr>
        <w:t>израђено</w:t>
      </w:r>
      <w:r w:rsidR="001E624D" w:rsidRPr="00295637">
        <w:rPr>
          <w:rFonts w:ascii="Times New Roman" w:hAnsi="Times New Roman"/>
          <w:szCs w:val="24"/>
        </w:rPr>
        <w:t xml:space="preserve"> </w:t>
      </w:r>
      <w:r>
        <w:rPr>
          <w:rFonts w:ascii="Times New Roman" w:hAnsi="Times New Roman"/>
          <w:szCs w:val="24"/>
        </w:rPr>
        <w:t>је</w:t>
      </w:r>
      <w:r w:rsidR="001E624D" w:rsidRPr="00295637">
        <w:rPr>
          <w:rFonts w:ascii="Times New Roman" w:hAnsi="Times New Roman"/>
          <w:szCs w:val="24"/>
        </w:rPr>
        <w:t xml:space="preserve"> </w:t>
      </w:r>
      <w:r>
        <w:rPr>
          <w:rFonts w:ascii="Times New Roman" w:hAnsi="Times New Roman"/>
          <w:szCs w:val="24"/>
        </w:rPr>
        <w:t>поглавље</w:t>
      </w:r>
      <w:r w:rsidR="001E624D" w:rsidRPr="00295637">
        <w:rPr>
          <w:rFonts w:ascii="Times New Roman" w:hAnsi="Times New Roman"/>
          <w:szCs w:val="24"/>
        </w:rPr>
        <w:t xml:space="preserve"> </w:t>
      </w:r>
      <w:r w:rsidR="002413AD">
        <w:rPr>
          <w:rFonts w:ascii="Times New Roman" w:hAnsi="Times New Roman"/>
          <w:szCs w:val="24"/>
        </w:rPr>
        <w:t>–</w:t>
      </w:r>
      <w:r w:rsidR="001E624D" w:rsidRPr="00295637">
        <w:rPr>
          <w:rFonts w:ascii="Times New Roman" w:hAnsi="Times New Roman"/>
          <w:szCs w:val="24"/>
        </w:rPr>
        <w:t xml:space="preserve"> </w:t>
      </w:r>
      <w:r w:rsidR="002413AD">
        <w:rPr>
          <w:rFonts w:ascii="Times New Roman" w:hAnsi="Times New Roman"/>
          <w:szCs w:val="24"/>
        </w:rPr>
        <w:t>„</w:t>
      </w:r>
      <w:r>
        <w:rPr>
          <w:rFonts w:ascii="Times New Roman" w:hAnsi="Times New Roman"/>
          <w:szCs w:val="24"/>
        </w:rPr>
        <w:t>Равноправност</w:t>
      </w:r>
      <w:r w:rsidR="001E624D" w:rsidRPr="00295637">
        <w:rPr>
          <w:rFonts w:ascii="Times New Roman" w:hAnsi="Times New Roman"/>
          <w:szCs w:val="24"/>
        </w:rPr>
        <w:t xml:space="preserve"> </w:t>
      </w:r>
      <w:r>
        <w:rPr>
          <w:rFonts w:ascii="Times New Roman" w:hAnsi="Times New Roman"/>
          <w:szCs w:val="24"/>
        </w:rPr>
        <w:t>полова</w:t>
      </w:r>
      <w:r w:rsidR="002413AD">
        <w:rPr>
          <w:rFonts w:ascii="Times New Roman" w:hAnsi="Times New Roman"/>
          <w:szCs w:val="24"/>
        </w:rPr>
        <w:t>“</w:t>
      </w:r>
      <w:r w:rsidR="001E624D" w:rsidRPr="00295637">
        <w:rPr>
          <w:rFonts w:ascii="Times New Roman" w:hAnsi="Times New Roman"/>
          <w:szCs w:val="24"/>
        </w:rPr>
        <w:t xml:space="preserve">, </w:t>
      </w:r>
      <w:r>
        <w:rPr>
          <w:rFonts w:ascii="Times New Roman" w:hAnsi="Times New Roman"/>
          <w:szCs w:val="24"/>
        </w:rPr>
        <w:t>у</w:t>
      </w:r>
      <w:r w:rsidR="001E624D" w:rsidRPr="00295637">
        <w:rPr>
          <w:rFonts w:ascii="Times New Roman" w:hAnsi="Times New Roman"/>
          <w:szCs w:val="24"/>
        </w:rPr>
        <w:t xml:space="preserve"> </w:t>
      </w:r>
      <w:r>
        <w:rPr>
          <w:rFonts w:ascii="Times New Roman" w:hAnsi="Times New Roman"/>
          <w:szCs w:val="24"/>
        </w:rPr>
        <w:t>којој</w:t>
      </w:r>
      <w:r w:rsidR="001E624D" w:rsidRPr="00295637">
        <w:rPr>
          <w:rFonts w:ascii="Times New Roman" w:hAnsi="Times New Roman"/>
          <w:szCs w:val="24"/>
        </w:rPr>
        <w:t xml:space="preserve"> </w:t>
      </w:r>
      <w:r>
        <w:rPr>
          <w:rFonts w:ascii="Times New Roman" w:hAnsi="Times New Roman"/>
          <w:szCs w:val="24"/>
        </w:rPr>
        <w:t>су</w:t>
      </w:r>
      <w:r w:rsidR="001E624D" w:rsidRPr="00295637">
        <w:rPr>
          <w:rFonts w:ascii="Times New Roman" w:hAnsi="Times New Roman"/>
          <w:szCs w:val="24"/>
        </w:rPr>
        <w:t xml:space="preserve"> </w:t>
      </w:r>
      <w:r>
        <w:rPr>
          <w:rFonts w:ascii="Times New Roman" w:hAnsi="Times New Roman"/>
          <w:szCs w:val="24"/>
        </w:rPr>
        <w:t>анализирана</w:t>
      </w:r>
      <w:r w:rsidR="001E624D" w:rsidRPr="00295637">
        <w:rPr>
          <w:rFonts w:ascii="Times New Roman" w:hAnsi="Times New Roman"/>
          <w:szCs w:val="24"/>
        </w:rPr>
        <w:t xml:space="preserve"> </w:t>
      </w:r>
      <w:r>
        <w:rPr>
          <w:rFonts w:ascii="Times New Roman" w:hAnsi="Times New Roman"/>
          <w:szCs w:val="24"/>
        </w:rPr>
        <w:t>питања</w:t>
      </w:r>
      <w:r w:rsidR="001E624D" w:rsidRPr="00295637">
        <w:rPr>
          <w:rFonts w:ascii="Times New Roman" w:hAnsi="Times New Roman"/>
          <w:szCs w:val="24"/>
        </w:rPr>
        <w:t xml:space="preserve"> </w:t>
      </w:r>
      <w:r>
        <w:rPr>
          <w:rFonts w:ascii="Times New Roman" w:hAnsi="Times New Roman"/>
          <w:szCs w:val="24"/>
        </w:rPr>
        <w:t>у</w:t>
      </w:r>
      <w:r w:rsidR="004F0ED7">
        <w:rPr>
          <w:rFonts w:ascii="Times New Roman" w:hAnsi="Times New Roman"/>
          <w:szCs w:val="24"/>
        </w:rPr>
        <w:t xml:space="preserve"> </w:t>
      </w:r>
      <w:r>
        <w:rPr>
          <w:rFonts w:ascii="Times New Roman" w:hAnsi="Times New Roman"/>
          <w:szCs w:val="24"/>
        </w:rPr>
        <w:t>вези</w:t>
      </w:r>
      <w:r w:rsidR="004F0ED7">
        <w:rPr>
          <w:rFonts w:ascii="Times New Roman" w:hAnsi="Times New Roman"/>
          <w:szCs w:val="24"/>
        </w:rPr>
        <w:t xml:space="preserve"> </w:t>
      </w:r>
      <w:r>
        <w:rPr>
          <w:rFonts w:ascii="Times New Roman" w:hAnsi="Times New Roman"/>
          <w:szCs w:val="24"/>
        </w:rPr>
        <w:t>са</w:t>
      </w:r>
      <w:r w:rsidR="00480C50" w:rsidRPr="00295637">
        <w:rPr>
          <w:rFonts w:ascii="Times New Roman" w:hAnsi="Times New Roman"/>
          <w:szCs w:val="24"/>
        </w:rPr>
        <w:t xml:space="preserve"> </w:t>
      </w:r>
      <w:r>
        <w:rPr>
          <w:rFonts w:ascii="Times New Roman" w:hAnsi="Times New Roman"/>
          <w:szCs w:val="24"/>
        </w:rPr>
        <w:t>статусом</w:t>
      </w:r>
      <w:r w:rsidR="00480C50" w:rsidRPr="00295637">
        <w:rPr>
          <w:rFonts w:ascii="Times New Roman" w:hAnsi="Times New Roman"/>
          <w:szCs w:val="24"/>
        </w:rPr>
        <w:t xml:space="preserve"> </w:t>
      </w:r>
      <w:r>
        <w:rPr>
          <w:rFonts w:ascii="Times New Roman" w:hAnsi="Times New Roman"/>
          <w:szCs w:val="24"/>
        </w:rPr>
        <w:t>жена</w:t>
      </w:r>
      <w:r w:rsidR="00480C50" w:rsidRPr="00295637">
        <w:rPr>
          <w:rFonts w:ascii="Times New Roman" w:hAnsi="Times New Roman"/>
          <w:szCs w:val="24"/>
        </w:rPr>
        <w:t xml:space="preserve"> </w:t>
      </w:r>
      <w:r>
        <w:rPr>
          <w:rFonts w:ascii="Times New Roman" w:hAnsi="Times New Roman"/>
          <w:szCs w:val="24"/>
        </w:rPr>
        <w:t>у</w:t>
      </w:r>
      <w:r w:rsidR="00480C50" w:rsidRPr="00295637">
        <w:rPr>
          <w:rFonts w:ascii="Times New Roman" w:hAnsi="Times New Roman"/>
          <w:szCs w:val="24"/>
        </w:rPr>
        <w:t xml:space="preserve"> </w:t>
      </w:r>
      <w:r>
        <w:rPr>
          <w:rFonts w:ascii="Times New Roman" w:hAnsi="Times New Roman"/>
          <w:szCs w:val="24"/>
        </w:rPr>
        <w:t>овој</w:t>
      </w:r>
      <w:r w:rsidR="00480C50" w:rsidRPr="00295637">
        <w:rPr>
          <w:rFonts w:ascii="Times New Roman" w:hAnsi="Times New Roman"/>
          <w:szCs w:val="24"/>
        </w:rPr>
        <w:t xml:space="preserve"> </w:t>
      </w:r>
      <w:r>
        <w:rPr>
          <w:rFonts w:ascii="Times New Roman" w:hAnsi="Times New Roman"/>
          <w:szCs w:val="24"/>
        </w:rPr>
        <w:t>области</w:t>
      </w:r>
      <w:r w:rsidR="00480C50" w:rsidRPr="00295637">
        <w:rPr>
          <w:rFonts w:ascii="Times New Roman" w:hAnsi="Times New Roman"/>
          <w:szCs w:val="24"/>
        </w:rPr>
        <w:t>.</w:t>
      </w:r>
      <w:r w:rsidR="00EF7C70" w:rsidRPr="00295637">
        <w:rPr>
          <w:rFonts w:ascii="Times New Roman" w:hAnsi="Times New Roman"/>
          <w:szCs w:val="24"/>
        </w:rPr>
        <w:t xml:space="preserve"> </w:t>
      </w:r>
      <w:r>
        <w:rPr>
          <w:rFonts w:ascii="Times New Roman" w:hAnsi="Times New Roman"/>
          <w:szCs w:val="24"/>
        </w:rPr>
        <w:t>У</w:t>
      </w:r>
      <w:r w:rsidR="00EF7C70" w:rsidRPr="00295637">
        <w:rPr>
          <w:rFonts w:ascii="Times New Roman" w:hAnsi="Times New Roman"/>
          <w:szCs w:val="24"/>
        </w:rPr>
        <w:t xml:space="preserve"> </w:t>
      </w:r>
      <w:r>
        <w:rPr>
          <w:rFonts w:ascii="Times New Roman" w:hAnsi="Times New Roman"/>
          <w:szCs w:val="24"/>
        </w:rPr>
        <w:t>поменутом</w:t>
      </w:r>
      <w:r w:rsidR="00EF7C70" w:rsidRPr="00295637">
        <w:rPr>
          <w:rFonts w:ascii="Times New Roman" w:hAnsi="Times New Roman"/>
          <w:szCs w:val="24"/>
        </w:rPr>
        <w:t xml:space="preserve"> </w:t>
      </w:r>
      <w:r>
        <w:rPr>
          <w:rFonts w:ascii="Times New Roman" w:hAnsi="Times New Roman"/>
          <w:szCs w:val="24"/>
        </w:rPr>
        <w:t>плану</w:t>
      </w:r>
      <w:r w:rsidR="00EF7C70" w:rsidRPr="00295637">
        <w:rPr>
          <w:rFonts w:ascii="Times New Roman" w:hAnsi="Times New Roman"/>
          <w:szCs w:val="24"/>
        </w:rPr>
        <w:t xml:space="preserve"> </w:t>
      </w:r>
      <w:r>
        <w:rPr>
          <w:rFonts w:ascii="Times New Roman" w:hAnsi="Times New Roman"/>
          <w:szCs w:val="24"/>
        </w:rPr>
        <w:t>је</w:t>
      </w:r>
      <w:r w:rsidR="00EF7C70" w:rsidRPr="00295637">
        <w:rPr>
          <w:rFonts w:ascii="Times New Roman" w:hAnsi="Times New Roman"/>
          <w:szCs w:val="24"/>
        </w:rPr>
        <w:t xml:space="preserve"> </w:t>
      </w:r>
      <w:r>
        <w:rPr>
          <w:rFonts w:ascii="Times New Roman" w:hAnsi="Times New Roman"/>
          <w:szCs w:val="24"/>
        </w:rPr>
        <w:t>у</w:t>
      </w:r>
      <w:r w:rsidR="009B12F4">
        <w:rPr>
          <w:rFonts w:ascii="Times New Roman" w:hAnsi="Times New Roman"/>
          <w:szCs w:val="24"/>
        </w:rPr>
        <w:t xml:space="preserve"> </w:t>
      </w:r>
      <w:r>
        <w:rPr>
          <w:rFonts w:ascii="Times New Roman" w:hAnsi="Times New Roman"/>
          <w:szCs w:val="24"/>
        </w:rPr>
        <w:t>циљу</w:t>
      </w:r>
      <w:r w:rsidR="009B12F4">
        <w:rPr>
          <w:rFonts w:ascii="Times New Roman" w:hAnsi="Times New Roman"/>
          <w:szCs w:val="24"/>
        </w:rPr>
        <w:t xml:space="preserve"> </w:t>
      </w:r>
      <w:r>
        <w:rPr>
          <w:rFonts w:ascii="Times New Roman" w:hAnsi="Times New Roman"/>
          <w:szCs w:val="24"/>
        </w:rPr>
        <w:t>унапређења</w:t>
      </w:r>
      <w:r w:rsidR="001E624D" w:rsidRPr="00295637">
        <w:rPr>
          <w:rFonts w:ascii="Times New Roman" w:hAnsi="Times New Roman"/>
          <w:szCs w:val="24"/>
        </w:rPr>
        <w:t xml:space="preserve"> </w:t>
      </w:r>
      <w:r>
        <w:rPr>
          <w:rFonts w:ascii="Times New Roman" w:hAnsi="Times New Roman"/>
          <w:szCs w:val="24"/>
        </w:rPr>
        <w:t>досадашњег</w:t>
      </w:r>
      <w:r w:rsidR="00480C50" w:rsidRPr="00295637">
        <w:rPr>
          <w:rFonts w:ascii="Times New Roman" w:hAnsi="Times New Roman"/>
          <w:szCs w:val="24"/>
        </w:rPr>
        <w:t xml:space="preserve"> </w:t>
      </w:r>
      <w:r>
        <w:rPr>
          <w:rFonts w:ascii="Times New Roman" w:hAnsi="Times New Roman"/>
          <w:szCs w:val="24"/>
        </w:rPr>
        <w:t>стања</w:t>
      </w:r>
      <w:r w:rsidR="00480C50" w:rsidRPr="00295637">
        <w:rPr>
          <w:rFonts w:ascii="Times New Roman" w:hAnsi="Times New Roman"/>
          <w:szCs w:val="24"/>
        </w:rPr>
        <w:t xml:space="preserve"> </w:t>
      </w:r>
      <w:r>
        <w:rPr>
          <w:rFonts w:ascii="Times New Roman" w:hAnsi="Times New Roman"/>
          <w:szCs w:val="24"/>
        </w:rPr>
        <w:t>програмирана</w:t>
      </w:r>
      <w:r w:rsidR="00480C50" w:rsidRPr="00295637">
        <w:rPr>
          <w:rFonts w:ascii="Times New Roman" w:hAnsi="Times New Roman"/>
          <w:szCs w:val="24"/>
        </w:rPr>
        <w:t xml:space="preserve"> </w:t>
      </w:r>
      <w:r>
        <w:rPr>
          <w:rFonts w:ascii="Times New Roman" w:hAnsi="Times New Roman"/>
          <w:szCs w:val="24"/>
        </w:rPr>
        <w:t>и</w:t>
      </w:r>
      <w:r w:rsidR="001E624D" w:rsidRPr="00295637">
        <w:rPr>
          <w:rFonts w:ascii="Times New Roman" w:hAnsi="Times New Roman"/>
          <w:szCs w:val="24"/>
        </w:rPr>
        <w:t xml:space="preserve"> </w:t>
      </w:r>
      <w:r>
        <w:rPr>
          <w:rFonts w:ascii="Times New Roman" w:hAnsi="Times New Roman"/>
          <w:szCs w:val="24"/>
        </w:rPr>
        <w:t>стратешка</w:t>
      </w:r>
      <w:r w:rsidR="001E624D" w:rsidRPr="00295637">
        <w:rPr>
          <w:rFonts w:ascii="Times New Roman" w:hAnsi="Times New Roman"/>
          <w:szCs w:val="24"/>
        </w:rPr>
        <w:t xml:space="preserve"> </w:t>
      </w:r>
      <w:r>
        <w:rPr>
          <w:rFonts w:ascii="Times New Roman" w:hAnsi="Times New Roman"/>
          <w:szCs w:val="24"/>
        </w:rPr>
        <w:t>Мјера</w:t>
      </w:r>
      <w:r w:rsidR="001E624D" w:rsidRPr="00295637">
        <w:rPr>
          <w:rFonts w:ascii="Times New Roman" w:hAnsi="Times New Roman"/>
          <w:szCs w:val="24"/>
        </w:rPr>
        <w:t xml:space="preserve"> 12: </w:t>
      </w:r>
      <w:r w:rsidR="002413AD">
        <w:rPr>
          <w:rFonts w:ascii="Times New Roman" w:hAnsi="Times New Roman"/>
          <w:szCs w:val="24"/>
        </w:rPr>
        <w:t>„</w:t>
      </w:r>
      <w:r>
        <w:rPr>
          <w:rFonts w:ascii="Times New Roman" w:hAnsi="Times New Roman"/>
          <w:szCs w:val="24"/>
        </w:rPr>
        <w:t>Мултидисциплинарне</w:t>
      </w:r>
      <w:r w:rsidR="001E624D" w:rsidRPr="00295637">
        <w:rPr>
          <w:rFonts w:ascii="Times New Roman" w:hAnsi="Times New Roman"/>
          <w:szCs w:val="24"/>
        </w:rPr>
        <w:t xml:space="preserve"> </w:t>
      </w:r>
      <w:r>
        <w:rPr>
          <w:rFonts w:ascii="Times New Roman" w:hAnsi="Times New Roman"/>
          <w:szCs w:val="24"/>
        </w:rPr>
        <w:t>активности</w:t>
      </w:r>
      <w:r w:rsidR="002413AD">
        <w:rPr>
          <w:rFonts w:ascii="Times New Roman" w:hAnsi="Times New Roman"/>
          <w:szCs w:val="24"/>
        </w:rPr>
        <w:t>“</w:t>
      </w:r>
      <w:r w:rsidR="00480C50" w:rsidRPr="00295637">
        <w:rPr>
          <w:rFonts w:ascii="Times New Roman" w:hAnsi="Times New Roman"/>
          <w:szCs w:val="24"/>
        </w:rPr>
        <w:t xml:space="preserve"> </w:t>
      </w:r>
      <w:r>
        <w:rPr>
          <w:rFonts w:ascii="Times New Roman" w:hAnsi="Times New Roman"/>
          <w:szCs w:val="24"/>
        </w:rPr>
        <w:t>која</w:t>
      </w:r>
      <w:r w:rsidR="00480C50" w:rsidRPr="00295637">
        <w:rPr>
          <w:rFonts w:ascii="Times New Roman" w:hAnsi="Times New Roman"/>
          <w:szCs w:val="24"/>
        </w:rPr>
        <w:t xml:space="preserve"> </w:t>
      </w:r>
      <w:r>
        <w:rPr>
          <w:rFonts w:ascii="Times New Roman" w:hAnsi="Times New Roman"/>
          <w:szCs w:val="24"/>
        </w:rPr>
        <w:t>се</w:t>
      </w:r>
      <w:r w:rsidR="00480C50" w:rsidRPr="00295637">
        <w:rPr>
          <w:rFonts w:ascii="Times New Roman" w:hAnsi="Times New Roman"/>
          <w:szCs w:val="24"/>
        </w:rPr>
        <w:t xml:space="preserve">, </w:t>
      </w:r>
      <w:r>
        <w:rPr>
          <w:rFonts w:ascii="Times New Roman" w:hAnsi="Times New Roman"/>
          <w:szCs w:val="24"/>
        </w:rPr>
        <w:t>између</w:t>
      </w:r>
      <w:r w:rsidR="001E624D" w:rsidRPr="00295637">
        <w:rPr>
          <w:rFonts w:ascii="Times New Roman" w:hAnsi="Times New Roman"/>
          <w:szCs w:val="24"/>
        </w:rPr>
        <w:t xml:space="preserve"> </w:t>
      </w:r>
      <w:r>
        <w:rPr>
          <w:rFonts w:ascii="Times New Roman" w:hAnsi="Times New Roman"/>
          <w:szCs w:val="24"/>
        </w:rPr>
        <w:t>осталог</w:t>
      </w:r>
      <w:r w:rsidR="00480C50" w:rsidRPr="00295637">
        <w:rPr>
          <w:rFonts w:ascii="Times New Roman" w:hAnsi="Times New Roman"/>
          <w:szCs w:val="24"/>
        </w:rPr>
        <w:t>,</w:t>
      </w:r>
      <w:r w:rsidR="001E624D" w:rsidRPr="00295637">
        <w:rPr>
          <w:rFonts w:ascii="Times New Roman" w:hAnsi="Times New Roman"/>
          <w:szCs w:val="24"/>
        </w:rPr>
        <w:t xml:space="preserve"> </w:t>
      </w:r>
      <w:r>
        <w:rPr>
          <w:rFonts w:ascii="Times New Roman" w:hAnsi="Times New Roman"/>
          <w:szCs w:val="24"/>
        </w:rPr>
        <w:t>односи</w:t>
      </w:r>
      <w:r w:rsidR="001E624D" w:rsidRPr="00295637">
        <w:rPr>
          <w:rFonts w:ascii="Times New Roman" w:hAnsi="Times New Roman"/>
          <w:szCs w:val="24"/>
        </w:rPr>
        <w:t xml:space="preserve"> </w:t>
      </w:r>
      <w:r>
        <w:rPr>
          <w:rFonts w:ascii="Times New Roman" w:hAnsi="Times New Roman"/>
          <w:szCs w:val="24"/>
        </w:rPr>
        <w:t>на</w:t>
      </w:r>
      <w:r w:rsidR="001E624D" w:rsidRPr="00295637">
        <w:rPr>
          <w:rFonts w:ascii="Times New Roman" w:hAnsi="Times New Roman"/>
          <w:szCs w:val="24"/>
        </w:rPr>
        <w:t xml:space="preserve"> </w:t>
      </w:r>
      <w:r>
        <w:rPr>
          <w:rFonts w:ascii="Times New Roman" w:hAnsi="Times New Roman"/>
          <w:szCs w:val="24"/>
        </w:rPr>
        <w:t>питање</w:t>
      </w:r>
      <w:r w:rsidR="001E624D" w:rsidRPr="00295637">
        <w:rPr>
          <w:rFonts w:ascii="Times New Roman" w:hAnsi="Times New Roman"/>
          <w:szCs w:val="24"/>
        </w:rPr>
        <w:t xml:space="preserve"> </w:t>
      </w:r>
      <w:r>
        <w:rPr>
          <w:rFonts w:ascii="Times New Roman" w:hAnsi="Times New Roman"/>
          <w:szCs w:val="24"/>
        </w:rPr>
        <w:t>равноправности</w:t>
      </w:r>
      <w:r w:rsidR="001E624D" w:rsidRPr="00295637">
        <w:rPr>
          <w:rFonts w:ascii="Times New Roman" w:hAnsi="Times New Roman"/>
          <w:szCs w:val="24"/>
        </w:rPr>
        <w:t xml:space="preserve"> </w:t>
      </w:r>
      <w:r>
        <w:rPr>
          <w:rFonts w:ascii="Times New Roman" w:hAnsi="Times New Roman"/>
          <w:szCs w:val="24"/>
        </w:rPr>
        <w:t>полова</w:t>
      </w:r>
      <w:r w:rsidR="001E624D" w:rsidRPr="00295637">
        <w:rPr>
          <w:rFonts w:ascii="Times New Roman" w:hAnsi="Times New Roman"/>
          <w:szCs w:val="24"/>
        </w:rPr>
        <w:t xml:space="preserve"> </w:t>
      </w:r>
      <w:r>
        <w:rPr>
          <w:rFonts w:ascii="Times New Roman" w:hAnsi="Times New Roman"/>
          <w:szCs w:val="24"/>
        </w:rPr>
        <w:t>и</w:t>
      </w:r>
      <w:r w:rsidR="001E624D" w:rsidRPr="00295637">
        <w:rPr>
          <w:rFonts w:ascii="Times New Roman" w:hAnsi="Times New Roman"/>
          <w:szCs w:val="24"/>
        </w:rPr>
        <w:t xml:space="preserve"> </w:t>
      </w:r>
      <w:r>
        <w:rPr>
          <w:rFonts w:ascii="Times New Roman" w:hAnsi="Times New Roman"/>
          <w:szCs w:val="24"/>
        </w:rPr>
        <w:t>истицања</w:t>
      </w:r>
      <w:r w:rsidR="001E624D" w:rsidRPr="00295637">
        <w:rPr>
          <w:rFonts w:ascii="Times New Roman" w:hAnsi="Times New Roman"/>
          <w:szCs w:val="24"/>
        </w:rPr>
        <w:t xml:space="preserve"> </w:t>
      </w:r>
      <w:r>
        <w:rPr>
          <w:rFonts w:ascii="Times New Roman" w:hAnsi="Times New Roman"/>
          <w:szCs w:val="24"/>
        </w:rPr>
        <w:t>важности</w:t>
      </w:r>
      <w:r w:rsidR="001E624D" w:rsidRPr="00295637">
        <w:rPr>
          <w:rFonts w:ascii="Times New Roman" w:hAnsi="Times New Roman"/>
          <w:szCs w:val="24"/>
        </w:rPr>
        <w:t xml:space="preserve"> </w:t>
      </w:r>
      <w:r>
        <w:rPr>
          <w:rFonts w:ascii="Times New Roman" w:hAnsi="Times New Roman"/>
          <w:szCs w:val="24"/>
        </w:rPr>
        <w:t>активне</w:t>
      </w:r>
      <w:r w:rsidR="001E624D" w:rsidRPr="00295637">
        <w:rPr>
          <w:rFonts w:ascii="Times New Roman" w:hAnsi="Times New Roman"/>
          <w:szCs w:val="24"/>
        </w:rPr>
        <w:t xml:space="preserve"> </w:t>
      </w:r>
      <w:r>
        <w:rPr>
          <w:rFonts w:ascii="Times New Roman" w:hAnsi="Times New Roman"/>
          <w:szCs w:val="24"/>
        </w:rPr>
        <w:t>улоге</w:t>
      </w:r>
      <w:r w:rsidR="001E624D" w:rsidRPr="00295637">
        <w:rPr>
          <w:rFonts w:ascii="Times New Roman" w:hAnsi="Times New Roman"/>
          <w:szCs w:val="24"/>
        </w:rPr>
        <w:t xml:space="preserve"> </w:t>
      </w:r>
      <w:r>
        <w:rPr>
          <w:rFonts w:ascii="Times New Roman" w:hAnsi="Times New Roman"/>
          <w:szCs w:val="24"/>
        </w:rPr>
        <w:t>жена</w:t>
      </w:r>
      <w:r w:rsidR="001E624D" w:rsidRPr="00295637">
        <w:rPr>
          <w:rFonts w:ascii="Times New Roman" w:hAnsi="Times New Roman"/>
          <w:szCs w:val="24"/>
        </w:rPr>
        <w:t xml:space="preserve"> </w:t>
      </w:r>
      <w:r>
        <w:rPr>
          <w:rFonts w:ascii="Times New Roman" w:hAnsi="Times New Roman"/>
          <w:szCs w:val="24"/>
        </w:rPr>
        <w:t>у</w:t>
      </w:r>
      <w:r w:rsidR="001E624D" w:rsidRPr="00295637">
        <w:rPr>
          <w:rFonts w:ascii="Times New Roman" w:hAnsi="Times New Roman"/>
          <w:szCs w:val="24"/>
        </w:rPr>
        <w:t xml:space="preserve"> </w:t>
      </w:r>
      <w:r>
        <w:rPr>
          <w:rFonts w:ascii="Times New Roman" w:hAnsi="Times New Roman"/>
          <w:szCs w:val="24"/>
        </w:rPr>
        <w:t>пољопривредном</w:t>
      </w:r>
      <w:r w:rsidR="001E624D" w:rsidRPr="00295637">
        <w:rPr>
          <w:rFonts w:ascii="Times New Roman" w:hAnsi="Times New Roman"/>
          <w:szCs w:val="24"/>
        </w:rPr>
        <w:t xml:space="preserve"> </w:t>
      </w:r>
      <w:r>
        <w:rPr>
          <w:rFonts w:ascii="Times New Roman" w:hAnsi="Times New Roman"/>
          <w:szCs w:val="24"/>
        </w:rPr>
        <w:t>сектору</w:t>
      </w:r>
      <w:r w:rsidR="001E624D" w:rsidRPr="00295637">
        <w:rPr>
          <w:rFonts w:ascii="Times New Roman" w:hAnsi="Times New Roman"/>
          <w:szCs w:val="24"/>
        </w:rPr>
        <w:t xml:space="preserve">, </w:t>
      </w:r>
      <w:r>
        <w:rPr>
          <w:rFonts w:ascii="Times New Roman" w:hAnsi="Times New Roman"/>
          <w:szCs w:val="24"/>
        </w:rPr>
        <w:t>а</w:t>
      </w:r>
      <w:r w:rsidR="001E624D" w:rsidRPr="00295637">
        <w:rPr>
          <w:rFonts w:ascii="Times New Roman" w:hAnsi="Times New Roman"/>
          <w:szCs w:val="24"/>
        </w:rPr>
        <w:t xml:space="preserve"> </w:t>
      </w:r>
      <w:r>
        <w:rPr>
          <w:rFonts w:ascii="Times New Roman" w:hAnsi="Times New Roman"/>
          <w:szCs w:val="24"/>
        </w:rPr>
        <w:t>у</w:t>
      </w:r>
      <w:r w:rsidR="004F0ED7">
        <w:rPr>
          <w:rFonts w:ascii="Times New Roman" w:hAnsi="Times New Roman"/>
          <w:szCs w:val="24"/>
        </w:rPr>
        <w:t xml:space="preserve"> </w:t>
      </w:r>
      <w:r>
        <w:rPr>
          <w:rFonts w:ascii="Times New Roman" w:hAnsi="Times New Roman"/>
          <w:szCs w:val="24"/>
        </w:rPr>
        <w:t>складу</w:t>
      </w:r>
      <w:r w:rsidR="004F0ED7">
        <w:rPr>
          <w:rFonts w:ascii="Times New Roman" w:hAnsi="Times New Roman"/>
          <w:szCs w:val="24"/>
        </w:rPr>
        <w:t xml:space="preserve"> </w:t>
      </w:r>
      <w:r>
        <w:rPr>
          <w:rFonts w:ascii="Times New Roman" w:hAnsi="Times New Roman"/>
          <w:szCs w:val="24"/>
        </w:rPr>
        <w:t>са</w:t>
      </w:r>
      <w:r w:rsidR="001E624D" w:rsidRPr="00295637">
        <w:rPr>
          <w:rFonts w:ascii="Times New Roman" w:hAnsi="Times New Roman"/>
          <w:szCs w:val="24"/>
        </w:rPr>
        <w:t xml:space="preserve"> </w:t>
      </w:r>
      <w:r>
        <w:rPr>
          <w:rFonts w:ascii="Times New Roman" w:hAnsi="Times New Roman"/>
          <w:szCs w:val="24"/>
        </w:rPr>
        <w:t>постојећом</w:t>
      </w:r>
      <w:r w:rsidR="001E624D" w:rsidRPr="00295637">
        <w:rPr>
          <w:rFonts w:ascii="Times New Roman" w:hAnsi="Times New Roman"/>
          <w:szCs w:val="24"/>
        </w:rPr>
        <w:t xml:space="preserve"> </w:t>
      </w:r>
      <w:r>
        <w:rPr>
          <w:rFonts w:ascii="Times New Roman" w:hAnsi="Times New Roman"/>
          <w:szCs w:val="24"/>
        </w:rPr>
        <w:t>праксом</w:t>
      </w:r>
      <w:r w:rsidR="001E624D" w:rsidRPr="00295637">
        <w:rPr>
          <w:rFonts w:ascii="Times New Roman" w:hAnsi="Times New Roman"/>
          <w:szCs w:val="24"/>
        </w:rPr>
        <w:t xml:space="preserve"> </w:t>
      </w:r>
      <w:r>
        <w:rPr>
          <w:rFonts w:ascii="Times New Roman" w:hAnsi="Times New Roman"/>
          <w:szCs w:val="24"/>
        </w:rPr>
        <w:t>ЕУ</w:t>
      </w:r>
      <w:r w:rsidR="001E624D" w:rsidRPr="00295637">
        <w:rPr>
          <w:rFonts w:ascii="Times New Roman" w:hAnsi="Times New Roman"/>
          <w:szCs w:val="24"/>
        </w:rPr>
        <w:t xml:space="preserve">. </w:t>
      </w:r>
      <w:r>
        <w:rPr>
          <w:rFonts w:ascii="Times New Roman" w:hAnsi="Times New Roman"/>
          <w:szCs w:val="24"/>
        </w:rPr>
        <w:t>Током</w:t>
      </w:r>
      <w:r w:rsidR="001E624D" w:rsidRPr="00295637">
        <w:rPr>
          <w:rFonts w:ascii="Times New Roman" w:hAnsi="Times New Roman"/>
          <w:szCs w:val="24"/>
        </w:rPr>
        <w:t xml:space="preserve"> </w:t>
      </w:r>
      <w:r w:rsidR="00DF7B6D">
        <w:rPr>
          <w:rFonts w:ascii="Times New Roman" w:hAnsi="Times New Roman"/>
          <w:szCs w:val="24"/>
          <w:lang w:val="sr-Cyrl-BA"/>
        </w:rPr>
        <w:t>спровођења</w:t>
      </w:r>
      <w:r w:rsidR="001E624D" w:rsidRPr="00295637">
        <w:rPr>
          <w:rFonts w:ascii="Times New Roman" w:hAnsi="Times New Roman"/>
          <w:szCs w:val="24"/>
        </w:rPr>
        <w:t xml:space="preserve"> </w:t>
      </w:r>
      <w:r>
        <w:rPr>
          <w:rFonts w:ascii="Times New Roman" w:hAnsi="Times New Roman"/>
          <w:szCs w:val="24"/>
        </w:rPr>
        <w:t>СПРР</w:t>
      </w:r>
      <w:r w:rsidR="00D30E48">
        <w:rPr>
          <w:rFonts w:ascii="Times New Roman" w:hAnsi="Times New Roman"/>
          <w:szCs w:val="24"/>
        </w:rPr>
        <w:t xml:space="preserve"> </w:t>
      </w:r>
      <w:r>
        <w:rPr>
          <w:rFonts w:ascii="Times New Roman" w:hAnsi="Times New Roman"/>
          <w:szCs w:val="24"/>
        </w:rPr>
        <w:t>БиХ</w:t>
      </w:r>
      <w:r w:rsidR="001E624D" w:rsidRPr="00295637">
        <w:rPr>
          <w:rFonts w:ascii="Times New Roman" w:hAnsi="Times New Roman"/>
          <w:szCs w:val="24"/>
        </w:rPr>
        <w:t xml:space="preserve"> 2023</w:t>
      </w:r>
      <w:r w:rsidR="009B12F4">
        <w:rPr>
          <w:rFonts w:ascii="Times New Roman" w:hAnsi="Times New Roman"/>
          <w:szCs w:val="24"/>
        </w:rPr>
        <w:t>-</w:t>
      </w:r>
      <w:r w:rsidR="001E624D" w:rsidRPr="00295637">
        <w:rPr>
          <w:rFonts w:ascii="Times New Roman" w:hAnsi="Times New Roman"/>
          <w:szCs w:val="24"/>
        </w:rPr>
        <w:t>2027</w:t>
      </w:r>
      <w:r w:rsidR="009B12F4">
        <w:rPr>
          <w:rFonts w:ascii="Times New Roman" w:hAnsi="Times New Roman"/>
          <w:szCs w:val="24"/>
        </w:rPr>
        <w:t xml:space="preserve">. </w:t>
      </w:r>
      <w:r>
        <w:rPr>
          <w:rFonts w:ascii="Times New Roman" w:hAnsi="Times New Roman"/>
          <w:szCs w:val="24"/>
        </w:rPr>
        <w:t>година</w:t>
      </w:r>
      <w:r w:rsidR="001E624D" w:rsidRPr="00295637">
        <w:rPr>
          <w:rFonts w:ascii="Times New Roman" w:hAnsi="Times New Roman"/>
          <w:szCs w:val="24"/>
        </w:rPr>
        <w:t xml:space="preserve"> </w:t>
      </w:r>
      <w:r>
        <w:rPr>
          <w:rFonts w:ascii="Times New Roman" w:hAnsi="Times New Roman"/>
          <w:szCs w:val="24"/>
        </w:rPr>
        <w:t>посебно</w:t>
      </w:r>
      <w:r w:rsidR="001E624D" w:rsidRPr="00295637">
        <w:rPr>
          <w:rFonts w:ascii="Times New Roman" w:hAnsi="Times New Roman"/>
          <w:szCs w:val="24"/>
        </w:rPr>
        <w:t xml:space="preserve"> </w:t>
      </w:r>
      <w:r>
        <w:rPr>
          <w:rFonts w:ascii="Times New Roman" w:hAnsi="Times New Roman"/>
          <w:szCs w:val="24"/>
        </w:rPr>
        <w:t>ће</w:t>
      </w:r>
      <w:r w:rsidR="001E624D" w:rsidRPr="00295637">
        <w:rPr>
          <w:rFonts w:ascii="Times New Roman" w:hAnsi="Times New Roman"/>
          <w:szCs w:val="24"/>
        </w:rPr>
        <w:t xml:space="preserve"> </w:t>
      </w:r>
      <w:r>
        <w:rPr>
          <w:rFonts w:ascii="Times New Roman" w:hAnsi="Times New Roman"/>
          <w:szCs w:val="24"/>
        </w:rPr>
        <w:t>се</w:t>
      </w:r>
      <w:r w:rsidR="001E624D" w:rsidRPr="00295637">
        <w:rPr>
          <w:rFonts w:ascii="Times New Roman" w:hAnsi="Times New Roman"/>
          <w:szCs w:val="24"/>
        </w:rPr>
        <w:t xml:space="preserve"> </w:t>
      </w:r>
      <w:r>
        <w:rPr>
          <w:rFonts w:ascii="Times New Roman" w:hAnsi="Times New Roman"/>
          <w:szCs w:val="24"/>
        </w:rPr>
        <w:t>пратити</w:t>
      </w:r>
      <w:r w:rsidR="001E624D" w:rsidRPr="00295637">
        <w:rPr>
          <w:rFonts w:ascii="Times New Roman" w:hAnsi="Times New Roman"/>
          <w:szCs w:val="24"/>
        </w:rPr>
        <w:t xml:space="preserve"> </w:t>
      </w:r>
      <w:r>
        <w:rPr>
          <w:rFonts w:ascii="Times New Roman" w:hAnsi="Times New Roman"/>
          <w:szCs w:val="24"/>
        </w:rPr>
        <w:t>кориш</w:t>
      </w:r>
      <w:r w:rsidR="00DF7B6D">
        <w:rPr>
          <w:rFonts w:ascii="Times New Roman" w:hAnsi="Times New Roman"/>
          <w:szCs w:val="24"/>
          <w:lang w:val="sr-Cyrl-BA"/>
        </w:rPr>
        <w:t>ћ</w:t>
      </w:r>
      <w:r>
        <w:rPr>
          <w:rFonts w:ascii="Times New Roman" w:hAnsi="Times New Roman"/>
          <w:szCs w:val="24"/>
        </w:rPr>
        <w:t>ење</w:t>
      </w:r>
      <w:r w:rsidR="001E624D" w:rsidRPr="00295637">
        <w:rPr>
          <w:rFonts w:ascii="Times New Roman" w:hAnsi="Times New Roman"/>
          <w:szCs w:val="24"/>
        </w:rPr>
        <w:t xml:space="preserve"> </w:t>
      </w:r>
      <w:r>
        <w:rPr>
          <w:rFonts w:ascii="Times New Roman" w:hAnsi="Times New Roman"/>
          <w:szCs w:val="24"/>
        </w:rPr>
        <w:t>подршке</w:t>
      </w:r>
      <w:r w:rsidR="001E624D" w:rsidRPr="00295637">
        <w:rPr>
          <w:rFonts w:ascii="Times New Roman" w:hAnsi="Times New Roman"/>
          <w:szCs w:val="24"/>
        </w:rPr>
        <w:t xml:space="preserve"> </w:t>
      </w:r>
      <w:r>
        <w:rPr>
          <w:rFonts w:ascii="Times New Roman" w:hAnsi="Times New Roman"/>
          <w:szCs w:val="24"/>
        </w:rPr>
        <w:t>у</w:t>
      </w:r>
      <w:r w:rsidR="001E624D" w:rsidRPr="00295637">
        <w:rPr>
          <w:rFonts w:ascii="Times New Roman" w:hAnsi="Times New Roman"/>
          <w:szCs w:val="24"/>
        </w:rPr>
        <w:t xml:space="preserve"> </w:t>
      </w:r>
      <w:r>
        <w:rPr>
          <w:rFonts w:ascii="Times New Roman" w:hAnsi="Times New Roman"/>
          <w:szCs w:val="24"/>
        </w:rPr>
        <w:t>оквиру</w:t>
      </w:r>
      <w:r w:rsidR="001E624D" w:rsidRPr="00295637">
        <w:rPr>
          <w:rFonts w:ascii="Times New Roman" w:hAnsi="Times New Roman"/>
          <w:szCs w:val="24"/>
        </w:rPr>
        <w:t xml:space="preserve"> </w:t>
      </w:r>
      <w:r>
        <w:rPr>
          <w:rFonts w:ascii="Times New Roman" w:hAnsi="Times New Roman"/>
          <w:szCs w:val="24"/>
        </w:rPr>
        <w:t>мјера</w:t>
      </w:r>
      <w:r w:rsidR="001E624D" w:rsidRPr="00295637">
        <w:rPr>
          <w:rFonts w:ascii="Times New Roman" w:hAnsi="Times New Roman"/>
          <w:szCs w:val="24"/>
        </w:rPr>
        <w:t xml:space="preserve"> </w:t>
      </w:r>
      <w:r>
        <w:rPr>
          <w:rFonts w:ascii="Times New Roman" w:hAnsi="Times New Roman"/>
          <w:szCs w:val="24"/>
        </w:rPr>
        <w:t>према</w:t>
      </w:r>
      <w:r w:rsidR="001E624D" w:rsidRPr="00295637">
        <w:rPr>
          <w:rFonts w:ascii="Times New Roman" w:hAnsi="Times New Roman"/>
          <w:szCs w:val="24"/>
        </w:rPr>
        <w:t xml:space="preserve"> </w:t>
      </w:r>
      <w:r>
        <w:rPr>
          <w:rFonts w:ascii="Times New Roman" w:hAnsi="Times New Roman"/>
          <w:szCs w:val="24"/>
        </w:rPr>
        <w:t>пољопривредним</w:t>
      </w:r>
      <w:r w:rsidR="001E624D" w:rsidRPr="00295637">
        <w:rPr>
          <w:rFonts w:ascii="Times New Roman" w:hAnsi="Times New Roman"/>
          <w:szCs w:val="24"/>
        </w:rPr>
        <w:t xml:space="preserve"> </w:t>
      </w:r>
      <w:r>
        <w:rPr>
          <w:rFonts w:ascii="Times New Roman" w:hAnsi="Times New Roman"/>
          <w:szCs w:val="24"/>
        </w:rPr>
        <w:t>газдинствима</w:t>
      </w:r>
      <w:r w:rsidR="001E624D" w:rsidRPr="00295637">
        <w:rPr>
          <w:rFonts w:ascii="Times New Roman" w:hAnsi="Times New Roman"/>
          <w:szCs w:val="24"/>
        </w:rPr>
        <w:t xml:space="preserve"> </w:t>
      </w:r>
      <w:r>
        <w:rPr>
          <w:rFonts w:ascii="Times New Roman" w:hAnsi="Times New Roman"/>
          <w:szCs w:val="24"/>
        </w:rPr>
        <w:t>и</w:t>
      </w:r>
      <w:r w:rsidR="001E624D" w:rsidRPr="00295637">
        <w:rPr>
          <w:rFonts w:ascii="Times New Roman" w:hAnsi="Times New Roman"/>
          <w:szCs w:val="24"/>
        </w:rPr>
        <w:t xml:space="preserve"> </w:t>
      </w:r>
      <w:r>
        <w:rPr>
          <w:rFonts w:ascii="Times New Roman" w:hAnsi="Times New Roman"/>
          <w:szCs w:val="24"/>
        </w:rPr>
        <w:t>предузећима</w:t>
      </w:r>
      <w:r w:rsidR="001E624D" w:rsidRPr="00295637">
        <w:rPr>
          <w:rFonts w:ascii="Times New Roman" w:hAnsi="Times New Roman"/>
          <w:szCs w:val="24"/>
        </w:rPr>
        <w:t xml:space="preserve"> </w:t>
      </w:r>
      <w:r>
        <w:rPr>
          <w:rFonts w:ascii="Times New Roman" w:hAnsi="Times New Roman"/>
          <w:szCs w:val="24"/>
        </w:rPr>
        <w:t>којима</w:t>
      </w:r>
      <w:r w:rsidR="001E624D" w:rsidRPr="00295637">
        <w:rPr>
          <w:rFonts w:ascii="Times New Roman" w:hAnsi="Times New Roman"/>
          <w:szCs w:val="24"/>
        </w:rPr>
        <w:t xml:space="preserve"> </w:t>
      </w:r>
      <w:r>
        <w:rPr>
          <w:rFonts w:ascii="Times New Roman" w:hAnsi="Times New Roman"/>
          <w:szCs w:val="24"/>
        </w:rPr>
        <w:t>управљају</w:t>
      </w:r>
      <w:r w:rsidR="001E624D" w:rsidRPr="00295637">
        <w:rPr>
          <w:rFonts w:ascii="Times New Roman" w:hAnsi="Times New Roman"/>
          <w:szCs w:val="24"/>
        </w:rPr>
        <w:t xml:space="preserve"> </w:t>
      </w:r>
      <w:r>
        <w:rPr>
          <w:rFonts w:ascii="Times New Roman" w:hAnsi="Times New Roman"/>
          <w:szCs w:val="24"/>
        </w:rPr>
        <w:t>жене</w:t>
      </w:r>
      <w:r w:rsidR="001E624D" w:rsidRPr="00295637">
        <w:rPr>
          <w:rFonts w:ascii="Times New Roman" w:hAnsi="Times New Roman"/>
          <w:szCs w:val="24"/>
        </w:rPr>
        <w:t xml:space="preserve">. </w:t>
      </w:r>
      <w:r>
        <w:rPr>
          <w:rFonts w:ascii="Times New Roman" w:hAnsi="Times New Roman"/>
          <w:szCs w:val="24"/>
        </w:rPr>
        <w:t>Показатељи</w:t>
      </w:r>
      <w:r w:rsidR="001E624D" w:rsidRPr="00295637">
        <w:rPr>
          <w:rFonts w:ascii="Times New Roman" w:hAnsi="Times New Roman"/>
          <w:szCs w:val="24"/>
        </w:rPr>
        <w:t xml:space="preserve"> </w:t>
      </w:r>
      <w:r>
        <w:rPr>
          <w:rFonts w:ascii="Times New Roman" w:hAnsi="Times New Roman"/>
          <w:szCs w:val="24"/>
        </w:rPr>
        <w:t>праћења</w:t>
      </w:r>
      <w:r w:rsidR="001E624D" w:rsidRPr="00295637">
        <w:rPr>
          <w:rFonts w:ascii="Times New Roman" w:hAnsi="Times New Roman"/>
          <w:szCs w:val="24"/>
        </w:rPr>
        <w:t xml:space="preserve"> </w:t>
      </w:r>
      <w:r>
        <w:rPr>
          <w:rFonts w:ascii="Times New Roman" w:hAnsi="Times New Roman"/>
          <w:szCs w:val="24"/>
        </w:rPr>
        <w:t>и</w:t>
      </w:r>
      <w:r w:rsidR="001E624D" w:rsidRPr="00295637">
        <w:rPr>
          <w:rFonts w:ascii="Times New Roman" w:hAnsi="Times New Roman"/>
          <w:szCs w:val="24"/>
        </w:rPr>
        <w:t xml:space="preserve"> </w:t>
      </w:r>
      <w:r>
        <w:rPr>
          <w:rFonts w:ascii="Times New Roman" w:hAnsi="Times New Roman"/>
          <w:szCs w:val="24"/>
        </w:rPr>
        <w:t>евалуације</w:t>
      </w:r>
      <w:r w:rsidR="001E624D" w:rsidRPr="00295637">
        <w:rPr>
          <w:rFonts w:ascii="Times New Roman" w:hAnsi="Times New Roman"/>
          <w:szCs w:val="24"/>
        </w:rPr>
        <w:t xml:space="preserve"> </w:t>
      </w:r>
      <w:r w:rsidR="00DF7B6D">
        <w:rPr>
          <w:rFonts w:ascii="Times New Roman" w:hAnsi="Times New Roman"/>
          <w:szCs w:val="24"/>
        </w:rPr>
        <w:t>би</w:t>
      </w:r>
      <w:r>
        <w:rPr>
          <w:rFonts w:ascii="Times New Roman" w:hAnsi="Times New Roman"/>
          <w:szCs w:val="24"/>
        </w:rPr>
        <w:t>ће</w:t>
      </w:r>
      <w:r w:rsidR="009B12F4" w:rsidRPr="00295637">
        <w:rPr>
          <w:rFonts w:ascii="Times New Roman" w:hAnsi="Times New Roman"/>
          <w:szCs w:val="24"/>
        </w:rPr>
        <w:t xml:space="preserve"> </w:t>
      </w:r>
      <w:r>
        <w:rPr>
          <w:rFonts w:ascii="Times New Roman" w:hAnsi="Times New Roman"/>
          <w:szCs w:val="24"/>
        </w:rPr>
        <w:t>разврстани</w:t>
      </w:r>
      <w:r w:rsidR="001E624D" w:rsidRPr="00295637">
        <w:rPr>
          <w:rFonts w:ascii="Times New Roman" w:hAnsi="Times New Roman"/>
          <w:szCs w:val="24"/>
        </w:rPr>
        <w:t xml:space="preserve"> </w:t>
      </w:r>
      <w:r>
        <w:rPr>
          <w:rFonts w:ascii="Times New Roman" w:hAnsi="Times New Roman"/>
          <w:szCs w:val="24"/>
        </w:rPr>
        <w:t>према</w:t>
      </w:r>
      <w:r w:rsidR="001E624D" w:rsidRPr="00295637">
        <w:rPr>
          <w:rFonts w:ascii="Times New Roman" w:hAnsi="Times New Roman"/>
          <w:szCs w:val="24"/>
        </w:rPr>
        <w:t xml:space="preserve"> </w:t>
      </w:r>
      <w:r>
        <w:rPr>
          <w:rFonts w:ascii="Times New Roman" w:hAnsi="Times New Roman"/>
          <w:szCs w:val="24"/>
        </w:rPr>
        <w:t>полу</w:t>
      </w:r>
      <w:r w:rsidR="001E624D" w:rsidRPr="00295637">
        <w:rPr>
          <w:rFonts w:ascii="Times New Roman" w:hAnsi="Times New Roman"/>
          <w:szCs w:val="24"/>
        </w:rPr>
        <w:t xml:space="preserve">. </w:t>
      </w:r>
      <w:r>
        <w:rPr>
          <w:rFonts w:ascii="Times New Roman" w:hAnsi="Times New Roman"/>
          <w:szCs w:val="24"/>
        </w:rPr>
        <w:t>Активности</w:t>
      </w:r>
      <w:r w:rsidR="001E624D" w:rsidRPr="00295637">
        <w:rPr>
          <w:rFonts w:ascii="Times New Roman" w:hAnsi="Times New Roman"/>
          <w:szCs w:val="24"/>
        </w:rPr>
        <w:t xml:space="preserve"> </w:t>
      </w:r>
      <w:r>
        <w:rPr>
          <w:rFonts w:ascii="Times New Roman" w:hAnsi="Times New Roman"/>
          <w:szCs w:val="24"/>
        </w:rPr>
        <w:t>информи</w:t>
      </w:r>
      <w:r w:rsidR="00DF7B6D">
        <w:rPr>
          <w:rFonts w:ascii="Times New Roman" w:hAnsi="Times New Roman"/>
          <w:szCs w:val="24"/>
          <w:lang w:val="sr-Cyrl-BA"/>
        </w:rPr>
        <w:t>с</w:t>
      </w:r>
      <w:r>
        <w:rPr>
          <w:rFonts w:ascii="Times New Roman" w:hAnsi="Times New Roman"/>
          <w:szCs w:val="24"/>
        </w:rPr>
        <w:t>ања</w:t>
      </w:r>
      <w:r w:rsidR="001E624D" w:rsidRPr="00295637">
        <w:rPr>
          <w:rFonts w:ascii="Times New Roman" w:hAnsi="Times New Roman"/>
          <w:szCs w:val="24"/>
        </w:rPr>
        <w:t xml:space="preserve"> </w:t>
      </w:r>
      <w:r>
        <w:rPr>
          <w:rFonts w:ascii="Times New Roman" w:hAnsi="Times New Roman"/>
          <w:szCs w:val="24"/>
        </w:rPr>
        <w:t>и</w:t>
      </w:r>
      <w:r w:rsidR="001E624D" w:rsidRPr="00295637">
        <w:rPr>
          <w:rFonts w:ascii="Times New Roman" w:hAnsi="Times New Roman"/>
          <w:szCs w:val="24"/>
        </w:rPr>
        <w:t xml:space="preserve"> </w:t>
      </w:r>
      <w:r>
        <w:rPr>
          <w:rFonts w:ascii="Times New Roman" w:hAnsi="Times New Roman"/>
          <w:szCs w:val="24"/>
        </w:rPr>
        <w:t>промоције</w:t>
      </w:r>
      <w:r w:rsidR="001E624D" w:rsidRPr="00295637">
        <w:rPr>
          <w:rFonts w:ascii="Times New Roman" w:hAnsi="Times New Roman"/>
          <w:szCs w:val="24"/>
        </w:rPr>
        <w:t xml:space="preserve"> </w:t>
      </w:r>
      <w:r>
        <w:rPr>
          <w:rFonts w:ascii="Times New Roman" w:hAnsi="Times New Roman"/>
          <w:szCs w:val="24"/>
        </w:rPr>
        <w:t>ће</w:t>
      </w:r>
      <w:r w:rsidR="001E624D" w:rsidRPr="00295637">
        <w:rPr>
          <w:rFonts w:ascii="Times New Roman" w:hAnsi="Times New Roman"/>
          <w:szCs w:val="24"/>
        </w:rPr>
        <w:t xml:space="preserve">, </w:t>
      </w:r>
      <w:r w:rsidR="00DF7B6D">
        <w:rPr>
          <w:rFonts w:ascii="Times New Roman" w:hAnsi="Times New Roman"/>
          <w:szCs w:val="24"/>
        </w:rPr>
        <w:t>такође</w:t>
      </w:r>
      <w:r w:rsidR="001E624D" w:rsidRPr="00295637">
        <w:rPr>
          <w:rFonts w:ascii="Times New Roman" w:hAnsi="Times New Roman"/>
          <w:szCs w:val="24"/>
        </w:rPr>
        <w:t xml:space="preserve">, </w:t>
      </w:r>
      <w:r>
        <w:rPr>
          <w:rFonts w:ascii="Times New Roman" w:hAnsi="Times New Roman"/>
          <w:szCs w:val="24"/>
        </w:rPr>
        <w:t>бити</w:t>
      </w:r>
      <w:r w:rsidR="001E624D" w:rsidRPr="00295637">
        <w:rPr>
          <w:rFonts w:ascii="Times New Roman" w:hAnsi="Times New Roman"/>
          <w:szCs w:val="24"/>
        </w:rPr>
        <w:t xml:space="preserve"> </w:t>
      </w:r>
      <w:r>
        <w:rPr>
          <w:rFonts w:ascii="Times New Roman" w:hAnsi="Times New Roman"/>
          <w:szCs w:val="24"/>
        </w:rPr>
        <w:t>усмјерене</w:t>
      </w:r>
      <w:r w:rsidR="001E624D" w:rsidRPr="00295637">
        <w:rPr>
          <w:rFonts w:ascii="Times New Roman" w:hAnsi="Times New Roman"/>
          <w:szCs w:val="24"/>
        </w:rPr>
        <w:t xml:space="preserve"> </w:t>
      </w:r>
      <w:r>
        <w:rPr>
          <w:rFonts w:ascii="Times New Roman" w:hAnsi="Times New Roman"/>
          <w:szCs w:val="24"/>
        </w:rPr>
        <w:t>на</w:t>
      </w:r>
      <w:r w:rsidR="001E624D" w:rsidRPr="00295637">
        <w:rPr>
          <w:rFonts w:ascii="Times New Roman" w:hAnsi="Times New Roman"/>
          <w:szCs w:val="24"/>
        </w:rPr>
        <w:t xml:space="preserve"> </w:t>
      </w:r>
      <w:r>
        <w:rPr>
          <w:rFonts w:ascii="Times New Roman" w:hAnsi="Times New Roman"/>
          <w:szCs w:val="24"/>
        </w:rPr>
        <w:t>равноправно</w:t>
      </w:r>
      <w:r w:rsidR="001E624D" w:rsidRPr="00295637">
        <w:rPr>
          <w:rFonts w:ascii="Times New Roman" w:hAnsi="Times New Roman"/>
          <w:szCs w:val="24"/>
        </w:rPr>
        <w:t xml:space="preserve"> </w:t>
      </w:r>
      <w:r>
        <w:rPr>
          <w:rFonts w:ascii="Times New Roman" w:hAnsi="Times New Roman"/>
          <w:szCs w:val="24"/>
        </w:rPr>
        <w:t>учешће</w:t>
      </w:r>
      <w:r w:rsidR="001E624D" w:rsidRPr="00295637">
        <w:rPr>
          <w:rFonts w:ascii="Times New Roman" w:hAnsi="Times New Roman"/>
          <w:szCs w:val="24"/>
        </w:rPr>
        <w:t xml:space="preserve"> </w:t>
      </w:r>
      <w:r>
        <w:rPr>
          <w:rFonts w:ascii="Times New Roman" w:hAnsi="Times New Roman"/>
          <w:szCs w:val="24"/>
        </w:rPr>
        <w:t>жена</w:t>
      </w:r>
      <w:r w:rsidR="001E624D" w:rsidRPr="00295637">
        <w:rPr>
          <w:rFonts w:ascii="Times New Roman" w:hAnsi="Times New Roman"/>
          <w:szCs w:val="24"/>
        </w:rPr>
        <w:t xml:space="preserve"> </w:t>
      </w:r>
      <w:r>
        <w:rPr>
          <w:rFonts w:ascii="Times New Roman" w:hAnsi="Times New Roman"/>
          <w:szCs w:val="24"/>
        </w:rPr>
        <w:t>и</w:t>
      </w:r>
      <w:r w:rsidR="001E624D" w:rsidRPr="00295637">
        <w:rPr>
          <w:rFonts w:ascii="Times New Roman" w:hAnsi="Times New Roman"/>
          <w:szCs w:val="24"/>
        </w:rPr>
        <w:t xml:space="preserve"> </w:t>
      </w:r>
      <w:r>
        <w:rPr>
          <w:rFonts w:ascii="Times New Roman" w:hAnsi="Times New Roman"/>
          <w:szCs w:val="24"/>
        </w:rPr>
        <w:t>мушкараца</w:t>
      </w:r>
      <w:r w:rsidR="001E624D" w:rsidRPr="00295637">
        <w:rPr>
          <w:rFonts w:ascii="Times New Roman" w:hAnsi="Times New Roman"/>
          <w:szCs w:val="24"/>
        </w:rPr>
        <w:t>.</w:t>
      </w:r>
      <w:r w:rsidR="004D1855" w:rsidRPr="00295637">
        <w:rPr>
          <w:rFonts w:ascii="Times New Roman" w:hAnsi="Times New Roman"/>
          <w:szCs w:val="24"/>
        </w:rPr>
        <w:t xml:space="preserve"> </w:t>
      </w:r>
      <w:r>
        <w:rPr>
          <w:rFonts w:ascii="Times New Roman" w:hAnsi="Times New Roman"/>
          <w:szCs w:val="24"/>
        </w:rPr>
        <w:t>По</w:t>
      </w:r>
      <w:r w:rsidR="001E624D" w:rsidRPr="00295637">
        <w:rPr>
          <w:rFonts w:ascii="Times New Roman" w:hAnsi="Times New Roman"/>
          <w:szCs w:val="24"/>
        </w:rPr>
        <w:t xml:space="preserve"> </w:t>
      </w:r>
      <w:r>
        <w:rPr>
          <w:rFonts w:ascii="Times New Roman" w:hAnsi="Times New Roman"/>
          <w:szCs w:val="24"/>
        </w:rPr>
        <w:t>узору</w:t>
      </w:r>
      <w:r w:rsidR="001E624D" w:rsidRPr="00295637">
        <w:rPr>
          <w:rFonts w:ascii="Times New Roman" w:hAnsi="Times New Roman"/>
          <w:szCs w:val="24"/>
        </w:rPr>
        <w:t xml:space="preserve"> </w:t>
      </w:r>
      <w:r>
        <w:rPr>
          <w:rFonts w:ascii="Times New Roman" w:hAnsi="Times New Roman"/>
          <w:szCs w:val="24"/>
        </w:rPr>
        <w:t>на</w:t>
      </w:r>
      <w:r w:rsidR="001E624D" w:rsidRPr="00295637">
        <w:rPr>
          <w:rFonts w:ascii="Times New Roman" w:hAnsi="Times New Roman"/>
          <w:szCs w:val="24"/>
        </w:rPr>
        <w:t xml:space="preserve"> </w:t>
      </w:r>
      <w:r>
        <w:rPr>
          <w:rFonts w:ascii="Times New Roman" w:hAnsi="Times New Roman"/>
          <w:szCs w:val="24"/>
        </w:rPr>
        <w:t>ЕУ</w:t>
      </w:r>
      <w:r w:rsidR="001E624D" w:rsidRPr="00295637">
        <w:rPr>
          <w:rFonts w:ascii="Times New Roman" w:hAnsi="Times New Roman"/>
          <w:szCs w:val="24"/>
        </w:rPr>
        <w:t xml:space="preserve">, </w:t>
      </w:r>
      <w:r>
        <w:rPr>
          <w:rFonts w:ascii="Times New Roman" w:hAnsi="Times New Roman"/>
          <w:szCs w:val="24"/>
        </w:rPr>
        <w:t>овом</w:t>
      </w:r>
      <w:r w:rsidR="001E624D" w:rsidRPr="00295637">
        <w:rPr>
          <w:rFonts w:ascii="Times New Roman" w:hAnsi="Times New Roman"/>
          <w:szCs w:val="24"/>
        </w:rPr>
        <w:t xml:space="preserve"> </w:t>
      </w:r>
      <w:r>
        <w:rPr>
          <w:rFonts w:ascii="Times New Roman" w:hAnsi="Times New Roman"/>
          <w:szCs w:val="24"/>
        </w:rPr>
        <w:t>мјером</w:t>
      </w:r>
      <w:r w:rsidR="001E624D" w:rsidRPr="00295637">
        <w:rPr>
          <w:rFonts w:ascii="Times New Roman" w:hAnsi="Times New Roman"/>
          <w:szCs w:val="24"/>
        </w:rPr>
        <w:t xml:space="preserve"> </w:t>
      </w:r>
      <w:r>
        <w:rPr>
          <w:rFonts w:ascii="Times New Roman" w:hAnsi="Times New Roman"/>
          <w:szCs w:val="24"/>
        </w:rPr>
        <w:t>се</w:t>
      </w:r>
      <w:r w:rsidR="001E624D" w:rsidRPr="00295637">
        <w:rPr>
          <w:rFonts w:ascii="Times New Roman" w:hAnsi="Times New Roman"/>
          <w:szCs w:val="24"/>
        </w:rPr>
        <w:t xml:space="preserve"> </w:t>
      </w:r>
      <w:r>
        <w:rPr>
          <w:rFonts w:ascii="Times New Roman" w:hAnsi="Times New Roman"/>
          <w:szCs w:val="24"/>
        </w:rPr>
        <w:t>подржавају</w:t>
      </w:r>
      <w:r w:rsidR="001E624D" w:rsidRPr="00295637">
        <w:rPr>
          <w:rFonts w:ascii="Times New Roman" w:hAnsi="Times New Roman"/>
          <w:szCs w:val="24"/>
        </w:rPr>
        <w:t xml:space="preserve"> </w:t>
      </w:r>
      <w:r>
        <w:rPr>
          <w:rFonts w:ascii="Times New Roman" w:hAnsi="Times New Roman"/>
          <w:szCs w:val="24"/>
        </w:rPr>
        <w:t>жене</w:t>
      </w:r>
      <w:r w:rsidR="001E624D" w:rsidRPr="00295637">
        <w:rPr>
          <w:rFonts w:ascii="Times New Roman" w:hAnsi="Times New Roman"/>
          <w:szCs w:val="24"/>
        </w:rPr>
        <w:t xml:space="preserve"> </w:t>
      </w:r>
      <w:r>
        <w:rPr>
          <w:rFonts w:ascii="Times New Roman" w:hAnsi="Times New Roman"/>
          <w:szCs w:val="24"/>
        </w:rPr>
        <w:t>и</w:t>
      </w:r>
      <w:r w:rsidR="001E624D" w:rsidRPr="00295637">
        <w:rPr>
          <w:rFonts w:ascii="Times New Roman" w:hAnsi="Times New Roman"/>
          <w:szCs w:val="24"/>
        </w:rPr>
        <w:t xml:space="preserve"> </w:t>
      </w:r>
      <w:r>
        <w:rPr>
          <w:rFonts w:ascii="Times New Roman" w:hAnsi="Times New Roman"/>
          <w:szCs w:val="24"/>
        </w:rPr>
        <w:t>млади</w:t>
      </w:r>
      <w:r w:rsidR="001E624D" w:rsidRPr="00295637">
        <w:rPr>
          <w:rFonts w:ascii="Times New Roman" w:hAnsi="Times New Roman"/>
          <w:szCs w:val="24"/>
        </w:rPr>
        <w:t xml:space="preserve"> </w:t>
      </w:r>
      <w:r>
        <w:rPr>
          <w:rFonts w:ascii="Times New Roman" w:hAnsi="Times New Roman"/>
          <w:szCs w:val="24"/>
        </w:rPr>
        <w:t>пољопривредни</w:t>
      </w:r>
      <w:r w:rsidR="001E624D" w:rsidRPr="00295637">
        <w:rPr>
          <w:rFonts w:ascii="Times New Roman" w:hAnsi="Times New Roman"/>
          <w:szCs w:val="24"/>
        </w:rPr>
        <w:t xml:space="preserve"> </w:t>
      </w:r>
      <w:r>
        <w:rPr>
          <w:rFonts w:ascii="Times New Roman" w:hAnsi="Times New Roman"/>
          <w:szCs w:val="24"/>
        </w:rPr>
        <w:t>произвођачи</w:t>
      </w:r>
      <w:r w:rsidR="001E624D" w:rsidRPr="00295637">
        <w:rPr>
          <w:rFonts w:ascii="Times New Roman" w:hAnsi="Times New Roman"/>
          <w:szCs w:val="24"/>
        </w:rPr>
        <w:t xml:space="preserve"> </w:t>
      </w:r>
      <w:r>
        <w:rPr>
          <w:rFonts w:ascii="Times New Roman" w:hAnsi="Times New Roman"/>
          <w:szCs w:val="24"/>
        </w:rPr>
        <w:t>којима</w:t>
      </w:r>
      <w:r w:rsidR="001E624D" w:rsidRPr="00295637">
        <w:rPr>
          <w:rFonts w:ascii="Times New Roman" w:hAnsi="Times New Roman"/>
          <w:szCs w:val="24"/>
        </w:rPr>
        <w:t xml:space="preserve"> </w:t>
      </w:r>
      <w:r>
        <w:rPr>
          <w:rFonts w:ascii="Times New Roman" w:hAnsi="Times New Roman"/>
          <w:szCs w:val="24"/>
        </w:rPr>
        <w:t>може</w:t>
      </w:r>
      <w:r w:rsidR="001E624D" w:rsidRPr="00295637">
        <w:rPr>
          <w:rFonts w:ascii="Times New Roman" w:hAnsi="Times New Roman"/>
          <w:szCs w:val="24"/>
        </w:rPr>
        <w:t xml:space="preserve"> </w:t>
      </w:r>
      <w:r>
        <w:rPr>
          <w:rFonts w:ascii="Times New Roman" w:hAnsi="Times New Roman"/>
          <w:szCs w:val="24"/>
        </w:rPr>
        <w:t>бити</w:t>
      </w:r>
      <w:r w:rsidR="001E624D" w:rsidRPr="00295637">
        <w:rPr>
          <w:rFonts w:ascii="Times New Roman" w:hAnsi="Times New Roman"/>
          <w:szCs w:val="24"/>
        </w:rPr>
        <w:t xml:space="preserve"> </w:t>
      </w:r>
      <w:r>
        <w:rPr>
          <w:rFonts w:ascii="Times New Roman" w:hAnsi="Times New Roman"/>
          <w:szCs w:val="24"/>
        </w:rPr>
        <w:t>додијељена</w:t>
      </w:r>
      <w:r w:rsidR="001E624D" w:rsidRPr="00295637">
        <w:rPr>
          <w:rFonts w:ascii="Times New Roman" w:hAnsi="Times New Roman"/>
          <w:szCs w:val="24"/>
        </w:rPr>
        <w:t xml:space="preserve"> </w:t>
      </w:r>
      <w:r>
        <w:rPr>
          <w:rFonts w:ascii="Times New Roman" w:hAnsi="Times New Roman"/>
          <w:szCs w:val="24"/>
        </w:rPr>
        <w:t>почетна</w:t>
      </w:r>
      <w:r w:rsidR="001E624D" w:rsidRPr="00295637">
        <w:rPr>
          <w:rFonts w:ascii="Times New Roman" w:hAnsi="Times New Roman"/>
          <w:szCs w:val="24"/>
        </w:rPr>
        <w:t xml:space="preserve"> </w:t>
      </w:r>
      <w:r>
        <w:rPr>
          <w:rFonts w:ascii="Times New Roman" w:hAnsi="Times New Roman"/>
          <w:szCs w:val="24"/>
        </w:rPr>
        <w:t>помоћ</w:t>
      </w:r>
      <w:r w:rsidR="001E624D" w:rsidRPr="00295637">
        <w:rPr>
          <w:rFonts w:ascii="Times New Roman" w:hAnsi="Times New Roman"/>
          <w:szCs w:val="24"/>
        </w:rPr>
        <w:t xml:space="preserve"> </w:t>
      </w:r>
      <w:r>
        <w:rPr>
          <w:rFonts w:ascii="Times New Roman" w:hAnsi="Times New Roman"/>
          <w:szCs w:val="24"/>
        </w:rPr>
        <w:t>за</w:t>
      </w:r>
      <w:r w:rsidR="001E624D" w:rsidRPr="00295637">
        <w:rPr>
          <w:rFonts w:ascii="Times New Roman" w:hAnsi="Times New Roman"/>
          <w:szCs w:val="24"/>
        </w:rPr>
        <w:t xml:space="preserve"> </w:t>
      </w:r>
      <w:r>
        <w:rPr>
          <w:rFonts w:ascii="Times New Roman" w:hAnsi="Times New Roman"/>
          <w:szCs w:val="24"/>
        </w:rPr>
        <w:t>покретање</w:t>
      </w:r>
      <w:r w:rsidR="001E624D" w:rsidRPr="00295637">
        <w:rPr>
          <w:rFonts w:ascii="Times New Roman" w:hAnsi="Times New Roman"/>
          <w:szCs w:val="24"/>
        </w:rPr>
        <w:t xml:space="preserve"> </w:t>
      </w:r>
      <w:r>
        <w:rPr>
          <w:rFonts w:ascii="Times New Roman" w:hAnsi="Times New Roman"/>
          <w:szCs w:val="24"/>
        </w:rPr>
        <w:t>пословања</w:t>
      </w:r>
      <w:r w:rsidR="001E624D" w:rsidRPr="00295637">
        <w:rPr>
          <w:rFonts w:ascii="Times New Roman" w:hAnsi="Times New Roman"/>
          <w:szCs w:val="24"/>
        </w:rPr>
        <w:t xml:space="preserve">, </w:t>
      </w:r>
      <w:r>
        <w:rPr>
          <w:rFonts w:ascii="Times New Roman" w:hAnsi="Times New Roman"/>
          <w:szCs w:val="24"/>
        </w:rPr>
        <w:t>односно</w:t>
      </w:r>
      <w:r w:rsidR="001E624D" w:rsidRPr="00295637">
        <w:rPr>
          <w:rFonts w:ascii="Times New Roman" w:hAnsi="Times New Roman"/>
          <w:szCs w:val="24"/>
        </w:rPr>
        <w:t xml:space="preserve"> </w:t>
      </w:r>
      <w:r>
        <w:rPr>
          <w:rFonts w:ascii="Times New Roman" w:hAnsi="Times New Roman"/>
          <w:szCs w:val="24"/>
        </w:rPr>
        <w:t>за</w:t>
      </w:r>
      <w:r w:rsidR="001E624D" w:rsidRPr="00295637">
        <w:rPr>
          <w:rFonts w:ascii="Times New Roman" w:hAnsi="Times New Roman"/>
          <w:szCs w:val="24"/>
        </w:rPr>
        <w:t xml:space="preserve"> </w:t>
      </w:r>
      <w:r>
        <w:rPr>
          <w:rFonts w:ascii="Times New Roman" w:hAnsi="Times New Roman"/>
          <w:szCs w:val="24"/>
        </w:rPr>
        <w:t>оснивање</w:t>
      </w:r>
      <w:r w:rsidR="001E624D" w:rsidRPr="00295637">
        <w:rPr>
          <w:rFonts w:ascii="Times New Roman" w:hAnsi="Times New Roman"/>
          <w:szCs w:val="24"/>
        </w:rPr>
        <w:t xml:space="preserve"> </w:t>
      </w:r>
      <w:r>
        <w:rPr>
          <w:rFonts w:ascii="Times New Roman" w:hAnsi="Times New Roman"/>
          <w:szCs w:val="24"/>
        </w:rPr>
        <w:t>руралних</w:t>
      </w:r>
      <w:r w:rsidR="001E624D" w:rsidRPr="00295637">
        <w:rPr>
          <w:rFonts w:ascii="Times New Roman" w:hAnsi="Times New Roman"/>
          <w:szCs w:val="24"/>
        </w:rPr>
        <w:t xml:space="preserve"> </w:t>
      </w:r>
      <w:r>
        <w:rPr>
          <w:rFonts w:ascii="Times New Roman" w:hAnsi="Times New Roman"/>
          <w:szCs w:val="24"/>
        </w:rPr>
        <w:t>предузећа</w:t>
      </w:r>
      <w:r w:rsidR="001E624D" w:rsidRPr="00295637">
        <w:rPr>
          <w:rFonts w:ascii="Times New Roman" w:hAnsi="Times New Roman"/>
          <w:szCs w:val="24"/>
        </w:rPr>
        <w:t xml:space="preserve"> </w:t>
      </w:r>
      <w:r>
        <w:rPr>
          <w:rFonts w:ascii="Times New Roman" w:hAnsi="Times New Roman"/>
          <w:szCs w:val="24"/>
        </w:rPr>
        <w:t>из</w:t>
      </w:r>
      <w:r w:rsidR="001E624D" w:rsidRPr="00295637">
        <w:rPr>
          <w:rFonts w:ascii="Times New Roman" w:hAnsi="Times New Roman"/>
          <w:szCs w:val="24"/>
        </w:rPr>
        <w:t xml:space="preserve"> </w:t>
      </w:r>
      <w:r>
        <w:rPr>
          <w:rFonts w:ascii="Times New Roman" w:hAnsi="Times New Roman"/>
          <w:szCs w:val="24"/>
        </w:rPr>
        <w:t>области</w:t>
      </w:r>
      <w:r w:rsidR="001E624D" w:rsidRPr="00295637">
        <w:rPr>
          <w:rFonts w:ascii="Times New Roman" w:hAnsi="Times New Roman"/>
          <w:szCs w:val="24"/>
        </w:rPr>
        <w:t xml:space="preserve"> </w:t>
      </w:r>
      <w:r>
        <w:rPr>
          <w:rFonts w:ascii="Times New Roman" w:hAnsi="Times New Roman"/>
          <w:szCs w:val="24"/>
        </w:rPr>
        <w:t>пољопривреде</w:t>
      </w:r>
      <w:r w:rsidR="001E624D" w:rsidRPr="00295637">
        <w:rPr>
          <w:rFonts w:ascii="Times New Roman" w:hAnsi="Times New Roman"/>
          <w:szCs w:val="24"/>
        </w:rPr>
        <w:t xml:space="preserve">. </w:t>
      </w:r>
      <w:r>
        <w:rPr>
          <w:rFonts w:ascii="Times New Roman" w:hAnsi="Times New Roman"/>
          <w:szCs w:val="24"/>
        </w:rPr>
        <w:t>Осим</w:t>
      </w:r>
      <w:r w:rsidR="001E624D" w:rsidRPr="00295637">
        <w:rPr>
          <w:rFonts w:ascii="Times New Roman" w:hAnsi="Times New Roman"/>
          <w:szCs w:val="24"/>
        </w:rPr>
        <w:t xml:space="preserve"> </w:t>
      </w:r>
      <w:r>
        <w:rPr>
          <w:rFonts w:ascii="Times New Roman" w:hAnsi="Times New Roman"/>
          <w:szCs w:val="24"/>
        </w:rPr>
        <w:t>пољопривредних</w:t>
      </w:r>
      <w:r w:rsidR="001E624D" w:rsidRPr="00295637">
        <w:rPr>
          <w:rFonts w:ascii="Times New Roman" w:hAnsi="Times New Roman"/>
          <w:szCs w:val="24"/>
        </w:rPr>
        <w:t xml:space="preserve">, </w:t>
      </w:r>
      <w:r>
        <w:rPr>
          <w:rFonts w:ascii="Times New Roman" w:hAnsi="Times New Roman"/>
          <w:szCs w:val="24"/>
        </w:rPr>
        <w:t>мјера</w:t>
      </w:r>
      <w:r w:rsidR="001E624D" w:rsidRPr="00295637">
        <w:rPr>
          <w:rFonts w:ascii="Times New Roman" w:hAnsi="Times New Roman"/>
          <w:szCs w:val="24"/>
        </w:rPr>
        <w:t xml:space="preserve"> </w:t>
      </w:r>
      <w:r>
        <w:rPr>
          <w:rFonts w:ascii="Times New Roman" w:hAnsi="Times New Roman"/>
          <w:szCs w:val="24"/>
        </w:rPr>
        <w:t>подразумијева</w:t>
      </w:r>
      <w:r w:rsidR="009B12F4">
        <w:rPr>
          <w:rFonts w:ascii="Times New Roman" w:hAnsi="Times New Roman"/>
          <w:szCs w:val="24"/>
        </w:rPr>
        <w:t xml:space="preserve"> </w:t>
      </w:r>
      <w:r>
        <w:rPr>
          <w:rFonts w:ascii="Times New Roman" w:hAnsi="Times New Roman"/>
          <w:szCs w:val="24"/>
        </w:rPr>
        <w:t>помоћ</w:t>
      </w:r>
      <w:r w:rsidR="009B12F4">
        <w:rPr>
          <w:rFonts w:ascii="Times New Roman" w:hAnsi="Times New Roman"/>
          <w:szCs w:val="24"/>
        </w:rPr>
        <w:t xml:space="preserve"> </w:t>
      </w:r>
      <w:r>
        <w:rPr>
          <w:rFonts w:ascii="Times New Roman" w:hAnsi="Times New Roman"/>
          <w:szCs w:val="24"/>
        </w:rPr>
        <w:t>и</w:t>
      </w:r>
      <w:r w:rsidR="001E624D" w:rsidRPr="00295637">
        <w:rPr>
          <w:rFonts w:ascii="Times New Roman" w:hAnsi="Times New Roman"/>
          <w:szCs w:val="24"/>
        </w:rPr>
        <w:t xml:space="preserve"> </w:t>
      </w:r>
      <w:r>
        <w:rPr>
          <w:rFonts w:ascii="Times New Roman" w:hAnsi="Times New Roman"/>
          <w:szCs w:val="24"/>
        </w:rPr>
        <w:t>додјелу</w:t>
      </w:r>
      <w:r w:rsidR="001E624D" w:rsidRPr="00295637">
        <w:rPr>
          <w:rFonts w:ascii="Times New Roman" w:hAnsi="Times New Roman"/>
          <w:szCs w:val="24"/>
        </w:rPr>
        <w:t xml:space="preserve"> </w:t>
      </w:r>
      <w:r>
        <w:rPr>
          <w:rFonts w:ascii="Times New Roman" w:hAnsi="Times New Roman"/>
          <w:szCs w:val="24"/>
        </w:rPr>
        <w:t>средстава</w:t>
      </w:r>
      <w:r w:rsidR="001E624D" w:rsidRPr="00295637">
        <w:rPr>
          <w:rFonts w:ascii="Times New Roman" w:hAnsi="Times New Roman"/>
          <w:szCs w:val="24"/>
        </w:rPr>
        <w:t xml:space="preserve"> </w:t>
      </w:r>
      <w:r>
        <w:rPr>
          <w:rFonts w:ascii="Times New Roman" w:hAnsi="Times New Roman"/>
          <w:szCs w:val="24"/>
        </w:rPr>
        <w:t>за</w:t>
      </w:r>
      <w:r w:rsidR="001E624D" w:rsidRPr="00295637">
        <w:rPr>
          <w:rFonts w:ascii="Times New Roman" w:hAnsi="Times New Roman"/>
          <w:szCs w:val="24"/>
        </w:rPr>
        <w:t xml:space="preserve"> </w:t>
      </w:r>
      <w:r>
        <w:rPr>
          <w:rFonts w:ascii="Times New Roman" w:hAnsi="Times New Roman"/>
          <w:szCs w:val="24"/>
        </w:rPr>
        <w:t>непољопривредне</w:t>
      </w:r>
      <w:r w:rsidR="001E624D" w:rsidRPr="00295637">
        <w:rPr>
          <w:rFonts w:ascii="Times New Roman" w:hAnsi="Times New Roman"/>
          <w:szCs w:val="24"/>
        </w:rPr>
        <w:t xml:space="preserve"> </w:t>
      </w:r>
      <w:r>
        <w:rPr>
          <w:rFonts w:ascii="Times New Roman" w:hAnsi="Times New Roman"/>
          <w:szCs w:val="24"/>
        </w:rPr>
        <w:t>дјелатности</w:t>
      </w:r>
      <w:r w:rsidR="001E624D" w:rsidRPr="00295637">
        <w:rPr>
          <w:rFonts w:ascii="Times New Roman" w:hAnsi="Times New Roman"/>
          <w:szCs w:val="24"/>
        </w:rPr>
        <w:t xml:space="preserve"> </w:t>
      </w:r>
      <w:r>
        <w:rPr>
          <w:rFonts w:ascii="Times New Roman" w:hAnsi="Times New Roman"/>
          <w:szCs w:val="24"/>
        </w:rPr>
        <w:t>на</w:t>
      </w:r>
      <w:r w:rsidR="001E624D" w:rsidRPr="00295637">
        <w:rPr>
          <w:rFonts w:ascii="Times New Roman" w:hAnsi="Times New Roman"/>
          <w:szCs w:val="24"/>
        </w:rPr>
        <w:t xml:space="preserve"> </w:t>
      </w:r>
      <w:r>
        <w:rPr>
          <w:rFonts w:ascii="Times New Roman" w:hAnsi="Times New Roman"/>
          <w:szCs w:val="24"/>
        </w:rPr>
        <w:t>руралном</w:t>
      </w:r>
      <w:r w:rsidR="001E624D" w:rsidRPr="00295637">
        <w:rPr>
          <w:rFonts w:ascii="Times New Roman" w:hAnsi="Times New Roman"/>
          <w:szCs w:val="24"/>
        </w:rPr>
        <w:t xml:space="preserve"> </w:t>
      </w:r>
      <w:r>
        <w:rPr>
          <w:rFonts w:ascii="Times New Roman" w:hAnsi="Times New Roman"/>
          <w:szCs w:val="24"/>
        </w:rPr>
        <w:t>простору</w:t>
      </w:r>
      <w:r w:rsidR="001E624D" w:rsidRPr="00295637">
        <w:rPr>
          <w:rFonts w:ascii="Times New Roman" w:hAnsi="Times New Roman"/>
          <w:szCs w:val="24"/>
        </w:rPr>
        <w:t xml:space="preserve">, </w:t>
      </w:r>
      <w:r>
        <w:rPr>
          <w:rFonts w:ascii="Times New Roman" w:hAnsi="Times New Roman"/>
          <w:szCs w:val="24"/>
        </w:rPr>
        <w:t>средства</w:t>
      </w:r>
      <w:r w:rsidR="001E624D" w:rsidRPr="00295637">
        <w:rPr>
          <w:rFonts w:ascii="Times New Roman" w:hAnsi="Times New Roman"/>
          <w:szCs w:val="24"/>
        </w:rPr>
        <w:t xml:space="preserve"> </w:t>
      </w:r>
      <w:r>
        <w:rPr>
          <w:rFonts w:ascii="Times New Roman" w:hAnsi="Times New Roman"/>
          <w:szCs w:val="24"/>
        </w:rPr>
        <w:t>која</w:t>
      </w:r>
      <w:r w:rsidR="001E624D" w:rsidRPr="00295637">
        <w:rPr>
          <w:rFonts w:ascii="Times New Roman" w:hAnsi="Times New Roman"/>
          <w:szCs w:val="24"/>
        </w:rPr>
        <w:t xml:space="preserve"> </w:t>
      </w:r>
      <w:r>
        <w:rPr>
          <w:rFonts w:ascii="Times New Roman" w:hAnsi="Times New Roman"/>
          <w:szCs w:val="24"/>
        </w:rPr>
        <w:t>се</w:t>
      </w:r>
      <w:r w:rsidR="001E624D" w:rsidRPr="00295637">
        <w:rPr>
          <w:rFonts w:ascii="Times New Roman" w:hAnsi="Times New Roman"/>
          <w:szCs w:val="24"/>
        </w:rPr>
        <w:t xml:space="preserve"> </w:t>
      </w:r>
      <w:r>
        <w:rPr>
          <w:rFonts w:ascii="Times New Roman" w:hAnsi="Times New Roman"/>
          <w:szCs w:val="24"/>
        </w:rPr>
        <w:t>додјељују</w:t>
      </w:r>
      <w:r w:rsidR="001E624D" w:rsidRPr="00295637">
        <w:rPr>
          <w:rFonts w:ascii="Times New Roman" w:hAnsi="Times New Roman"/>
          <w:szCs w:val="24"/>
        </w:rPr>
        <w:t xml:space="preserve"> </w:t>
      </w:r>
      <w:r>
        <w:rPr>
          <w:rFonts w:ascii="Times New Roman" w:hAnsi="Times New Roman"/>
          <w:szCs w:val="24"/>
        </w:rPr>
        <w:t>пољопривредницима</w:t>
      </w:r>
      <w:r w:rsidR="001E624D" w:rsidRPr="00295637">
        <w:rPr>
          <w:rFonts w:ascii="Times New Roman" w:hAnsi="Times New Roman"/>
          <w:szCs w:val="24"/>
        </w:rPr>
        <w:t xml:space="preserve"> </w:t>
      </w:r>
      <w:r>
        <w:rPr>
          <w:rFonts w:ascii="Times New Roman" w:hAnsi="Times New Roman"/>
          <w:szCs w:val="24"/>
        </w:rPr>
        <w:t>или</w:t>
      </w:r>
      <w:r w:rsidR="001E624D" w:rsidRPr="00295637">
        <w:rPr>
          <w:rFonts w:ascii="Times New Roman" w:hAnsi="Times New Roman"/>
          <w:szCs w:val="24"/>
        </w:rPr>
        <w:t xml:space="preserve"> </w:t>
      </w:r>
      <w:r>
        <w:rPr>
          <w:rFonts w:ascii="Times New Roman" w:hAnsi="Times New Roman"/>
          <w:szCs w:val="24"/>
        </w:rPr>
        <w:t>члановима</w:t>
      </w:r>
      <w:r w:rsidR="001E624D" w:rsidRPr="00295637">
        <w:rPr>
          <w:rFonts w:ascii="Times New Roman" w:hAnsi="Times New Roman"/>
          <w:szCs w:val="24"/>
        </w:rPr>
        <w:t xml:space="preserve"> </w:t>
      </w:r>
      <w:r>
        <w:rPr>
          <w:rFonts w:ascii="Times New Roman" w:hAnsi="Times New Roman"/>
          <w:szCs w:val="24"/>
        </w:rPr>
        <w:t>домаћинства</w:t>
      </w:r>
      <w:r w:rsidR="001E624D" w:rsidRPr="00295637">
        <w:rPr>
          <w:rFonts w:ascii="Times New Roman" w:hAnsi="Times New Roman"/>
          <w:szCs w:val="24"/>
        </w:rPr>
        <w:t xml:space="preserve"> </w:t>
      </w:r>
      <w:r>
        <w:rPr>
          <w:rFonts w:ascii="Times New Roman" w:hAnsi="Times New Roman"/>
          <w:szCs w:val="24"/>
        </w:rPr>
        <w:t>пољопривредног</w:t>
      </w:r>
      <w:r w:rsidR="001E624D" w:rsidRPr="00295637">
        <w:rPr>
          <w:rFonts w:ascii="Times New Roman" w:hAnsi="Times New Roman"/>
          <w:szCs w:val="24"/>
        </w:rPr>
        <w:t xml:space="preserve"> </w:t>
      </w:r>
      <w:r>
        <w:rPr>
          <w:rFonts w:ascii="Times New Roman" w:hAnsi="Times New Roman"/>
          <w:szCs w:val="24"/>
        </w:rPr>
        <w:t>газдинства</w:t>
      </w:r>
      <w:r w:rsidR="001E624D" w:rsidRPr="00295637">
        <w:rPr>
          <w:rFonts w:ascii="Times New Roman" w:hAnsi="Times New Roman"/>
          <w:szCs w:val="24"/>
        </w:rPr>
        <w:t xml:space="preserve"> </w:t>
      </w:r>
      <w:r>
        <w:rPr>
          <w:rFonts w:ascii="Times New Roman" w:hAnsi="Times New Roman"/>
          <w:szCs w:val="24"/>
        </w:rPr>
        <w:t>који</w:t>
      </w:r>
      <w:r w:rsidR="001E624D" w:rsidRPr="00295637">
        <w:rPr>
          <w:rFonts w:ascii="Times New Roman" w:hAnsi="Times New Roman"/>
          <w:szCs w:val="24"/>
        </w:rPr>
        <w:t xml:space="preserve"> </w:t>
      </w:r>
      <w:r>
        <w:rPr>
          <w:rFonts w:ascii="Times New Roman" w:hAnsi="Times New Roman"/>
          <w:szCs w:val="24"/>
        </w:rPr>
        <w:t>у</w:t>
      </w:r>
      <w:r w:rsidR="001E624D" w:rsidRPr="00295637">
        <w:rPr>
          <w:rFonts w:ascii="Times New Roman" w:hAnsi="Times New Roman"/>
          <w:szCs w:val="24"/>
        </w:rPr>
        <w:t xml:space="preserve"> </w:t>
      </w:r>
      <w:r>
        <w:rPr>
          <w:rFonts w:ascii="Times New Roman" w:hAnsi="Times New Roman"/>
          <w:szCs w:val="24"/>
        </w:rPr>
        <w:t>тренутку</w:t>
      </w:r>
      <w:r w:rsidR="001E624D" w:rsidRPr="00295637">
        <w:rPr>
          <w:rFonts w:ascii="Times New Roman" w:hAnsi="Times New Roman"/>
          <w:szCs w:val="24"/>
        </w:rPr>
        <w:t xml:space="preserve"> </w:t>
      </w:r>
      <w:r>
        <w:rPr>
          <w:rFonts w:ascii="Times New Roman" w:hAnsi="Times New Roman"/>
          <w:szCs w:val="24"/>
        </w:rPr>
        <w:t>проширења</w:t>
      </w:r>
      <w:r w:rsidR="001E624D" w:rsidRPr="00295637">
        <w:rPr>
          <w:rFonts w:ascii="Times New Roman" w:hAnsi="Times New Roman"/>
          <w:szCs w:val="24"/>
        </w:rPr>
        <w:t xml:space="preserve"> </w:t>
      </w:r>
      <w:r>
        <w:rPr>
          <w:rFonts w:ascii="Times New Roman" w:hAnsi="Times New Roman"/>
          <w:szCs w:val="24"/>
        </w:rPr>
        <w:t>дјелатности</w:t>
      </w:r>
      <w:r w:rsidR="001E624D" w:rsidRPr="00295637">
        <w:rPr>
          <w:rFonts w:ascii="Times New Roman" w:hAnsi="Times New Roman"/>
          <w:szCs w:val="24"/>
        </w:rPr>
        <w:t xml:space="preserve"> </w:t>
      </w:r>
      <w:r>
        <w:rPr>
          <w:rFonts w:ascii="Times New Roman" w:hAnsi="Times New Roman"/>
          <w:szCs w:val="24"/>
        </w:rPr>
        <w:t>на</w:t>
      </w:r>
      <w:r w:rsidR="001E624D" w:rsidRPr="00295637">
        <w:rPr>
          <w:rFonts w:ascii="Times New Roman" w:hAnsi="Times New Roman"/>
          <w:szCs w:val="24"/>
        </w:rPr>
        <w:t xml:space="preserve"> </w:t>
      </w:r>
      <w:r>
        <w:rPr>
          <w:rFonts w:ascii="Times New Roman" w:hAnsi="Times New Roman"/>
          <w:szCs w:val="24"/>
        </w:rPr>
        <w:t>непољопривредне</w:t>
      </w:r>
      <w:r w:rsidR="001E624D" w:rsidRPr="00295637">
        <w:rPr>
          <w:rFonts w:ascii="Times New Roman" w:hAnsi="Times New Roman"/>
          <w:szCs w:val="24"/>
        </w:rPr>
        <w:t xml:space="preserve"> </w:t>
      </w:r>
      <w:r>
        <w:rPr>
          <w:rFonts w:ascii="Times New Roman" w:hAnsi="Times New Roman"/>
          <w:szCs w:val="24"/>
        </w:rPr>
        <w:t>активности</w:t>
      </w:r>
      <w:r w:rsidR="001E624D" w:rsidRPr="00295637">
        <w:rPr>
          <w:rFonts w:ascii="Times New Roman" w:hAnsi="Times New Roman"/>
          <w:szCs w:val="24"/>
        </w:rPr>
        <w:t xml:space="preserve"> </w:t>
      </w:r>
      <w:r>
        <w:rPr>
          <w:rFonts w:ascii="Times New Roman" w:hAnsi="Times New Roman"/>
          <w:szCs w:val="24"/>
        </w:rPr>
        <w:t>у</w:t>
      </w:r>
      <w:r w:rsidR="001E624D" w:rsidRPr="00295637">
        <w:rPr>
          <w:rFonts w:ascii="Times New Roman" w:hAnsi="Times New Roman"/>
          <w:szCs w:val="24"/>
        </w:rPr>
        <w:t xml:space="preserve"> </w:t>
      </w:r>
      <w:r>
        <w:rPr>
          <w:rFonts w:ascii="Times New Roman" w:hAnsi="Times New Roman"/>
          <w:szCs w:val="24"/>
        </w:rPr>
        <w:t>оквиру</w:t>
      </w:r>
      <w:r w:rsidR="001E624D" w:rsidRPr="00295637">
        <w:rPr>
          <w:rFonts w:ascii="Times New Roman" w:hAnsi="Times New Roman"/>
          <w:szCs w:val="24"/>
        </w:rPr>
        <w:t xml:space="preserve"> </w:t>
      </w:r>
      <w:r>
        <w:rPr>
          <w:rFonts w:ascii="Times New Roman" w:hAnsi="Times New Roman"/>
          <w:szCs w:val="24"/>
        </w:rPr>
        <w:t>микро</w:t>
      </w:r>
      <w:r w:rsidR="001E624D" w:rsidRPr="00295637">
        <w:rPr>
          <w:rFonts w:ascii="Times New Roman" w:hAnsi="Times New Roman"/>
          <w:szCs w:val="24"/>
        </w:rPr>
        <w:t xml:space="preserve"> </w:t>
      </w:r>
      <w:r>
        <w:rPr>
          <w:rFonts w:ascii="Times New Roman" w:hAnsi="Times New Roman"/>
          <w:szCs w:val="24"/>
        </w:rPr>
        <w:t>или</w:t>
      </w:r>
      <w:r w:rsidR="001E624D" w:rsidRPr="00295637">
        <w:rPr>
          <w:rFonts w:ascii="Times New Roman" w:hAnsi="Times New Roman"/>
          <w:szCs w:val="24"/>
        </w:rPr>
        <w:t xml:space="preserve"> </w:t>
      </w:r>
      <w:r>
        <w:rPr>
          <w:rFonts w:ascii="Times New Roman" w:hAnsi="Times New Roman"/>
          <w:szCs w:val="24"/>
        </w:rPr>
        <w:t>малих</w:t>
      </w:r>
      <w:r w:rsidR="001E624D" w:rsidRPr="00295637">
        <w:rPr>
          <w:rFonts w:ascii="Times New Roman" w:hAnsi="Times New Roman"/>
          <w:szCs w:val="24"/>
        </w:rPr>
        <w:t xml:space="preserve"> </w:t>
      </w:r>
      <w:r>
        <w:rPr>
          <w:rFonts w:ascii="Times New Roman" w:hAnsi="Times New Roman"/>
          <w:szCs w:val="24"/>
        </w:rPr>
        <w:t>предузећа</w:t>
      </w:r>
      <w:r w:rsidR="001E624D" w:rsidRPr="00295637">
        <w:rPr>
          <w:rFonts w:ascii="Times New Roman" w:hAnsi="Times New Roman"/>
          <w:szCs w:val="24"/>
        </w:rPr>
        <w:t xml:space="preserve"> </w:t>
      </w:r>
      <w:r>
        <w:rPr>
          <w:rFonts w:ascii="Times New Roman" w:hAnsi="Times New Roman"/>
          <w:szCs w:val="24"/>
        </w:rPr>
        <w:t>обављају</w:t>
      </w:r>
      <w:r w:rsidR="001E624D" w:rsidRPr="00295637">
        <w:rPr>
          <w:rFonts w:ascii="Times New Roman" w:hAnsi="Times New Roman"/>
          <w:szCs w:val="24"/>
        </w:rPr>
        <w:t xml:space="preserve"> </w:t>
      </w:r>
      <w:r>
        <w:rPr>
          <w:rFonts w:ascii="Times New Roman" w:hAnsi="Times New Roman"/>
          <w:szCs w:val="24"/>
        </w:rPr>
        <w:t>пољопривредну</w:t>
      </w:r>
      <w:r w:rsidR="001E624D" w:rsidRPr="00295637">
        <w:rPr>
          <w:rFonts w:ascii="Times New Roman" w:hAnsi="Times New Roman"/>
          <w:szCs w:val="24"/>
        </w:rPr>
        <w:t xml:space="preserve"> </w:t>
      </w:r>
      <w:r>
        <w:rPr>
          <w:rFonts w:ascii="Times New Roman" w:hAnsi="Times New Roman"/>
          <w:szCs w:val="24"/>
        </w:rPr>
        <w:t>дјелатност</w:t>
      </w:r>
      <w:r w:rsidR="001E624D" w:rsidRPr="00295637">
        <w:rPr>
          <w:rFonts w:ascii="Times New Roman" w:hAnsi="Times New Roman"/>
          <w:szCs w:val="24"/>
        </w:rPr>
        <w:t xml:space="preserve"> </w:t>
      </w:r>
      <w:r>
        <w:rPr>
          <w:rFonts w:ascii="Times New Roman" w:hAnsi="Times New Roman"/>
          <w:szCs w:val="24"/>
        </w:rPr>
        <w:t>на</w:t>
      </w:r>
      <w:r w:rsidR="00290859">
        <w:rPr>
          <w:rFonts w:ascii="Times New Roman" w:hAnsi="Times New Roman"/>
          <w:szCs w:val="24"/>
        </w:rPr>
        <w:t xml:space="preserve"> </w:t>
      </w:r>
      <w:r>
        <w:rPr>
          <w:rFonts w:ascii="Times New Roman" w:hAnsi="Times New Roman"/>
          <w:szCs w:val="24"/>
        </w:rPr>
        <w:t>пољопривредном</w:t>
      </w:r>
      <w:r w:rsidR="00290859">
        <w:rPr>
          <w:rFonts w:ascii="Times New Roman" w:hAnsi="Times New Roman"/>
          <w:szCs w:val="24"/>
        </w:rPr>
        <w:t xml:space="preserve"> </w:t>
      </w:r>
      <w:r>
        <w:rPr>
          <w:rFonts w:ascii="Times New Roman" w:hAnsi="Times New Roman"/>
          <w:szCs w:val="24"/>
        </w:rPr>
        <w:t>газдинству</w:t>
      </w:r>
      <w:r w:rsidR="00290859">
        <w:rPr>
          <w:rFonts w:ascii="Times New Roman" w:hAnsi="Times New Roman"/>
          <w:szCs w:val="24"/>
        </w:rPr>
        <w:t xml:space="preserve">. </w:t>
      </w:r>
      <w:r>
        <w:rPr>
          <w:rFonts w:ascii="Times New Roman" w:hAnsi="Times New Roman"/>
          <w:szCs w:val="24"/>
        </w:rPr>
        <w:t>Исто</w:t>
      </w:r>
      <w:r w:rsidR="001E624D" w:rsidRPr="00295637">
        <w:rPr>
          <w:rFonts w:ascii="Times New Roman" w:hAnsi="Times New Roman"/>
          <w:szCs w:val="24"/>
        </w:rPr>
        <w:t xml:space="preserve"> </w:t>
      </w:r>
      <w:r>
        <w:rPr>
          <w:rFonts w:ascii="Times New Roman" w:hAnsi="Times New Roman"/>
          <w:szCs w:val="24"/>
        </w:rPr>
        <w:t>тако</w:t>
      </w:r>
      <w:r w:rsidR="001E624D" w:rsidRPr="00295637">
        <w:rPr>
          <w:rFonts w:ascii="Times New Roman" w:hAnsi="Times New Roman"/>
          <w:szCs w:val="24"/>
        </w:rPr>
        <w:t xml:space="preserve"> </w:t>
      </w:r>
      <w:r>
        <w:rPr>
          <w:rFonts w:ascii="Times New Roman" w:hAnsi="Times New Roman"/>
          <w:szCs w:val="24"/>
        </w:rPr>
        <w:t>је</w:t>
      </w:r>
      <w:r w:rsidR="001E624D" w:rsidRPr="00295637">
        <w:rPr>
          <w:rFonts w:ascii="Times New Roman" w:hAnsi="Times New Roman"/>
          <w:szCs w:val="24"/>
        </w:rPr>
        <w:t xml:space="preserve"> </w:t>
      </w:r>
      <w:r>
        <w:rPr>
          <w:rFonts w:ascii="Times New Roman" w:hAnsi="Times New Roman"/>
          <w:szCs w:val="24"/>
        </w:rPr>
        <w:t>веома</w:t>
      </w:r>
      <w:r w:rsidR="001E624D" w:rsidRPr="00295637">
        <w:rPr>
          <w:rFonts w:ascii="Times New Roman" w:hAnsi="Times New Roman"/>
          <w:szCs w:val="24"/>
        </w:rPr>
        <w:t xml:space="preserve"> </w:t>
      </w:r>
      <w:r>
        <w:rPr>
          <w:rFonts w:ascii="Times New Roman" w:hAnsi="Times New Roman"/>
          <w:szCs w:val="24"/>
        </w:rPr>
        <w:t>важно</w:t>
      </w:r>
      <w:r w:rsidR="001E624D" w:rsidRPr="00295637">
        <w:rPr>
          <w:rFonts w:ascii="Times New Roman" w:hAnsi="Times New Roman"/>
          <w:szCs w:val="24"/>
        </w:rPr>
        <w:t xml:space="preserve"> </w:t>
      </w:r>
      <w:r>
        <w:rPr>
          <w:rFonts w:ascii="Times New Roman" w:hAnsi="Times New Roman"/>
          <w:szCs w:val="24"/>
        </w:rPr>
        <w:t>охрабрити</w:t>
      </w:r>
      <w:r w:rsidR="001E624D" w:rsidRPr="00295637">
        <w:rPr>
          <w:rFonts w:ascii="Times New Roman" w:hAnsi="Times New Roman"/>
          <w:szCs w:val="24"/>
        </w:rPr>
        <w:t xml:space="preserve"> </w:t>
      </w:r>
      <w:r>
        <w:rPr>
          <w:rFonts w:ascii="Times New Roman" w:hAnsi="Times New Roman"/>
          <w:szCs w:val="24"/>
        </w:rPr>
        <w:t>учешће</w:t>
      </w:r>
      <w:r w:rsidR="001E624D" w:rsidRPr="00295637">
        <w:rPr>
          <w:rFonts w:ascii="Times New Roman" w:hAnsi="Times New Roman"/>
          <w:szCs w:val="24"/>
        </w:rPr>
        <w:t xml:space="preserve"> </w:t>
      </w:r>
      <w:r>
        <w:rPr>
          <w:rFonts w:ascii="Times New Roman" w:hAnsi="Times New Roman"/>
          <w:szCs w:val="24"/>
        </w:rPr>
        <w:t>младих</w:t>
      </w:r>
      <w:r w:rsidR="001E624D" w:rsidRPr="00295637">
        <w:rPr>
          <w:rFonts w:ascii="Times New Roman" w:hAnsi="Times New Roman"/>
          <w:szCs w:val="24"/>
        </w:rPr>
        <w:t xml:space="preserve"> </w:t>
      </w:r>
      <w:r>
        <w:rPr>
          <w:rFonts w:ascii="Times New Roman" w:hAnsi="Times New Roman"/>
          <w:szCs w:val="24"/>
        </w:rPr>
        <w:t>људи</w:t>
      </w:r>
      <w:r w:rsidR="001E624D" w:rsidRPr="00295637">
        <w:rPr>
          <w:rFonts w:ascii="Times New Roman" w:hAnsi="Times New Roman"/>
          <w:szCs w:val="24"/>
        </w:rPr>
        <w:t xml:space="preserve">, </w:t>
      </w:r>
      <w:r>
        <w:rPr>
          <w:rFonts w:ascii="Times New Roman" w:hAnsi="Times New Roman"/>
          <w:szCs w:val="24"/>
        </w:rPr>
        <w:t>односно</w:t>
      </w:r>
      <w:r w:rsidR="001E624D" w:rsidRPr="00295637">
        <w:rPr>
          <w:rFonts w:ascii="Times New Roman" w:hAnsi="Times New Roman"/>
          <w:szCs w:val="24"/>
        </w:rPr>
        <w:t xml:space="preserve"> </w:t>
      </w:r>
      <w:r>
        <w:rPr>
          <w:rFonts w:ascii="Times New Roman" w:hAnsi="Times New Roman"/>
          <w:szCs w:val="24"/>
        </w:rPr>
        <w:t>жена</w:t>
      </w:r>
      <w:r w:rsidR="001E624D" w:rsidRPr="00295637">
        <w:rPr>
          <w:rFonts w:ascii="Times New Roman" w:hAnsi="Times New Roman"/>
          <w:szCs w:val="24"/>
        </w:rPr>
        <w:t xml:space="preserve"> </w:t>
      </w:r>
      <w:r>
        <w:rPr>
          <w:rFonts w:ascii="Times New Roman" w:hAnsi="Times New Roman"/>
          <w:szCs w:val="24"/>
        </w:rPr>
        <w:t>у</w:t>
      </w:r>
      <w:r w:rsidR="001E624D" w:rsidRPr="00295637">
        <w:rPr>
          <w:rFonts w:ascii="Times New Roman" w:hAnsi="Times New Roman"/>
          <w:szCs w:val="24"/>
        </w:rPr>
        <w:t xml:space="preserve"> </w:t>
      </w:r>
      <w:r>
        <w:rPr>
          <w:rFonts w:ascii="Times New Roman" w:hAnsi="Times New Roman"/>
          <w:szCs w:val="24"/>
        </w:rPr>
        <w:t>различитим</w:t>
      </w:r>
      <w:r w:rsidR="001E624D" w:rsidRPr="00295637">
        <w:rPr>
          <w:rFonts w:ascii="Times New Roman" w:hAnsi="Times New Roman"/>
          <w:szCs w:val="24"/>
        </w:rPr>
        <w:t xml:space="preserve"> </w:t>
      </w:r>
      <w:r>
        <w:rPr>
          <w:rFonts w:ascii="Times New Roman" w:hAnsi="Times New Roman"/>
          <w:szCs w:val="24"/>
        </w:rPr>
        <w:t>удружењима</w:t>
      </w:r>
      <w:r w:rsidR="001E624D" w:rsidRPr="00295637">
        <w:rPr>
          <w:rFonts w:ascii="Times New Roman" w:hAnsi="Times New Roman"/>
          <w:szCs w:val="24"/>
        </w:rPr>
        <w:t xml:space="preserve"> </w:t>
      </w:r>
      <w:r>
        <w:rPr>
          <w:rFonts w:ascii="Times New Roman" w:hAnsi="Times New Roman"/>
          <w:szCs w:val="24"/>
        </w:rPr>
        <w:t>која</w:t>
      </w:r>
      <w:r w:rsidR="001E624D" w:rsidRPr="00295637">
        <w:rPr>
          <w:rFonts w:ascii="Times New Roman" w:hAnsi="Times New Roman"/>
          <w:szCs w:val="24"/>
        </w:rPr>
        <w:t xml:space="preserve"> </w:t>
      </w:r>
      <w:r>
        <w:rPr>
          <w:rFonts w:ascii="Times New Roman" w:hAnsi="Times New Roman"/>
          <w:szCs w:val="24"/>
        </w:rPr>
        <w:t>се</w:t>
      </w:r>
      <w:r w:rsidR="001E624D" w:rsidRPr="00295637">
        <w:rPr>
          <w:rFonts w:ascii="Times New Roman" w:hAnsi="Times New Roman"/>
          <w:szCs w:val="24"/>
        </w:rPr>
        <w:t xml:space="preserve"> </w:t>
      </w:r>
      <w:r>
        <w:rPr>
          <w:rFonts w:ascii="Times New Roman" w:hAnsi="Times New Roman"/>
          <w:szCs w:val="24"/>
        </w:rPr>
        <w:t>баве</w:t>
      </w:r>
      <w:r w:rsidR="001E624D" w:rsidRPr="00295637">
        <w:rPr>
          <w:rFonts w:ascii="Times New Roman" w:hAnsi="Times New Roman"/>
          <w:szCs w:val="24"/>
        </w:rPr>
        <w:t xml:space="preserve"> </w:t>
      </w:r>
      <w:r>
        <w:rPr>
          <w:rFonts w:ascii="Times New Roman" w:hAnsi="Times New Roman"/>
          <w:szCs w:val="24"/>
        </w:rPr>
        <w:t>питањима</w:t>
      </w:r>
      <w:r w:rsidR="001E624D" w:rsidRPr="00295637">
        <w:rPr>
          <w:rFonts w:ascii="Times New Roman" w:hAnsi="Times New Roman"/>
          <w:szCs w:val="24"/>
        </w:rPr>
        <w:t xml:space="preserve"> </w:t>
      </w:r>
      <w:r>
        <w:rPr>
          <w:rFonts w:ascii="Times New Roman" w:hAnsi="Times New Roman"/>
          <w:szCs w:val="24"/>
        </w:rPr>
        <w:t>пољопривреде</w:t>
      </w:r>
      <w:r w:rsidR="001E624D" w:rsidRPr="00295637">
        <w:rPr>
          <w:rFonts w:ascii="Times New Roman" w:hAnsi="Times New Roman"/>
          <w:szCs w:val="24"/>
        </w:rPr>
        <w:t xml:space="preserve"> </w:t>
      </w:r>
      <w:r>
        <w:rPr>
          <w:rFonts w:ascii="Times New Roman" w:hAnsi="Times New Roman"/>
          <w:szCs w:val="24"/>
        </w:rPr>
        <w:t>и</w:t>
      </w:r>
      <w:r w:rsidR="001E624D" w:rsidRPr="00295637">
        <w:rPr>
          <w:rFonts w:ascii="Times New Roman" w:hAnsi="Times New Roman"/>
          <w:szCs w:val="24"/>
        </w:rPr>
        <w:t xml:space="preserve"> </w:t>
      </w:r>
      <w:r>
        <w:rPr>
          <w:rFonts w:ascii="Times New Roman" w:hAnsi="Times New Roman"/>
          <w:szCs w:val="24"/>
        </w:rPr>
        <w:t>руралног</w:t>
      </w:r>
      <w:r w:rsidR="001E624D" w:rsidRPr="00295637">
        <w:rPr>
          <w:rFonts w:ascii="Times New Roman" w:hAnsi="Times New Roman"/>
          <w:szCs w:val="24"/>
        </w:rPr>
        <w:t xml:space="preserve"> </w:t>
      </w:r>
      <w:r>
        <w:rPr>
          <w:rFonts w:ascii="Times New Roman" w:hAnsi="Times New Roman"/>
          <w:szCs w:val="24"/>
        </w:rPr>
        <w:t>развоја</w:t>
      </w:r>
      <w:r w:rsidR="001E624D" w:rsidRPr="00295637">
        <w:rPr>
          <w:rFonts w:ascii="Times New Roman" w:hAnsi="Times New Roman"/>
          <w:szCs w:val="24"/>
        </w:rPr>
        <w:t>.</w:t>
      </w:r>
    </w:p>
    <w:p w:rsidR="005A1BB6" w:rsidRPr="00295637" w:rsidRDefault="005A1BB6" w:rsidP="0086268D">
      <w:pPr>
        <w:pStyle w:val="NormalWeb"/>
        <w:spacing w:before="0" w:beforeAutospacing="0" w:after="0" w:afterAutospacing="0"/>
        <w:jc w:val="both"/>
        <w:rPr>
          <w:lang w:val="bs-Latn-BA"/>
        </w:rPr>
      </w:pPr>
    </w:p>
    <w:p w:rsidR="00DF6743" w:rsidRPr="006820FB" w:rsidRDefault="00C6214E" w:rsidP="0086268D">
      <w:pPr>
        <w:pStyle w:val="NormalWeb"/>
        <w:spacing w:before="0" w:beforeAutospacing="0" w:after="0" w:afterAutospacing="0"/>
        <w:jc w:val="both"/>
        <w:rPr>
          <w:lang w:val="hr-HR"/>
        </w:rPr>
      </w:pPr>
      <w:r>
        <w:rPr>
          <w:lang w:val="bs-Latn-BA"/>
        </w:rPr>
        <w:t>Заједничка</w:t>
      </w:r>
      <w:r w:rsidR="005A1BB6" w:rsidRPr="00295637">
        <w:rPr>
          <w:lang w:val="bs-Latn-BA"/>
        </w:rPr>
        <w:t xml:space="preserve"> </w:t>
      </w:r>
      <w:r>
        <w:rPr>
          <w:lang w:val="bs-Latn-BA"/>
        </w:rPr>
        <w:t>иницијатива</w:t>
      </w:r>
      <w:r w:rsidR="005A1BB6" w:rsidRPr="00295637">
        <w:rPr>
          <w:lang w:val="bs-Latn-BA"/>
        </w:rPr>
        <w:t xml:space="preserve"> </w:t>
      </w:r>
      <w:r>
        <w:rPr>
          <w:lang w:val="bs-Latn-BA"/>
        </w:rPr>
        <w:t>АР</w:t>
      </w:r>
      <w:r w:rsidR="00DF7B6D">
        <w:rPr>
          <w:lang w:val="sr-Cyrl-BA"/>
        </w:rPr>
        <w:t>П</w:t>
      </w:r>
      <w:r w:rsidR="009B12F4">
        <w:rPr>
          <w:lang w:val="bs-Latn-BA"/>
        </w:rPr>
        <w:t xml:space="preserve"> </w:t>
      </w:r>
      <w:r>
        <w:rPr>
          <w:lang w:val="bs-Latn-BA"/>
        </w:rPr>
        <w:t>БиХ</w:t>
      </w:r>
      <w:r w:rsidR="009B12F4">
        <w:rPr>
          <w:lang w:val="bs-Latn-BA"/>
        </w:rPr>
        <w:t xml:space="preserve"> </w:t>
      </w:r>
      <w:r>
        <w:rPr>
          <w:lang w:val="bs-Latn-BA"/>
        </w:rPr>
        <w:t>МЉПИ</w:t>
      </w:r>
      <w:r w:rsidR="009B12F4">
        <w:rPr>
          <w:lang w:val="bs-Latn-BA"/>
        </w:rPr>
        <w:t xml:space="preserve"> </w:t>
      </w:r>
      <w:r>
        <w:rPr>
          <w:lang w:val="bs-Latn-BA"/>
        </w:rPr>
        <w:t>БиХ</w:t>
      </w:r>
      <w:r w:rsidR="005A1BB6" w:rsidRPr="00295637">
        <w:rPr>
          <w:lang w:val="bs-Latn-BA"/>
        </w:rPr>
        <w:t xml:space="preserve"> </w:t>
      </w:r>
      <w:r>
        <w:rPr>
          <w:lang w:val="bs-Latn-BA"/>
        </w:rPr>
        <w:t>и</w:t>
      </w:r>
      <w:r w:rsidR="005A1BB6" w:rsidRPr="00295637">
        <w:rPr>
          <w:lang w:val="bs-Latn-BA"/>
        </w:rPr>
        <w:t xml:space="preserve"> </w:t>
      </w:r>
      <w:r w:rsidR="00DF7B6D" w:rsidRPr="00DF7B6D">
        <w:rPr>
          <w:i/>
          <w:lang w:val="bs-Latn-BA"/>
        </w:rPr>
        <w:t>UNDP</w:t>
      </w:r>
      <w:r w:rsidR="005A1BB6" w:rsidRPr="00295637">
        <w:rPr>
          <w:lang w:val="bs-Latn-BA"/>
        </w:rPr>
        <w:t>-</w:t>
      </w:r>
      <w:r>
        <w:rPr>
          <w:lang w:val="bs-Latn-BA"/>
        </w:rPr>
        <w:t>а</w:t>
      </w:r>
      <w:r w:rsidR="005A1BB6" w:rsidRPr="00295637">
        <w:rPr>
          <w:lang w:val="bs-Latn-BA"/>
        </w:rPr>
        <w:t xml:space="preserve"> „</w:t>
      </w:r>
      <w:r>
        <w:rPr>
          <w:lang w:val="bs-Latn-BA"/>
        </w:rPr>
        <w:t>Форум</w:t>
      </w:r>
      <w:r w:rsidR="005A1BB6" w:rsidRPr="00295637">
        <w:rPr>
          <w:lang w:val="bs-Latn-BA"/>
        </w:rPr>
        <w:t xml:space="preserve"> </w:t>
      </w:r>
      <w:r>
        <w:rPr>
          <w:lang w:val="bs-Latn-BA"/>
        </w:rPr>
        <w:t>жена</w:t>
      </w:r>
      <w:r w:rsidR="005A1BB6" w:rsidRPr="00295637">
        <w:rPr>
          <w:lang w:val="bs-Latn-BA"/>
        </w:rPr>
        <w:t xml:space="preserve"> </w:t>
      </w:r>
      <w:r>
        <w:rPr>
          <w:lang w:val="bs-Latn-BA"/>
        </w:rPr>
        <w:t>за</w:t>
      </w:r>
      <w:r w:rsidR="005A1BB6" w:rsidRPr="00295637">
        <w:rPr>
          <w:lang w:val="bs-Latn-BA"/>
        </w:rPr>
        <w:t xml:space="preserve"> </w:t>
      </w:r>
      <w:r>
        <w:rPr>
          <w:lang w:val="bs-Latn-BA"/>
        </w:rPr>
        <w:t>развој</w:t>
      </w:r>
      <w:r w:rsidR="005A1BB6" w:rsidRPr="00295637">
        <w:rPr>
          <w:lang w:val="bs-Latn-BA"/>
        </w:rPr>
        <w:t xml:space="preserve">“ </w:t>
      </w:r>
      <w:r>
        <w:rPr>
          <w:lang w:val="bs-Latn-BA"/>
        </w:rPr>
        <w:t>је</w:t>
      </w:r>
      <w:r w:rsidR="005A1BB6" w:rsidRPr="00295637">
        <w:rPr>
          <w:lang w:val="bs-Latn-BA"/>
        </w:rPr>
        <w:t xml:space="preserve"> </w:t>
      </w:r>
      <w:r>
        <w:rPr>
          <w:lang w:val="bs-Latn-BA"/>
        </w:rPr>
        <w:t>у</w:t>
      </w:r>
      <w:r w:rsidR="005A1BB6" w:rsidRPr="00295637">
        <w:rPr>
          <w:lang w:val="bs-Latn-BA"/>
        </w:rPr>
        <w:t xml:space="preserve"> </w:t>
      </w:r>
      <w:r>
        <w:rPr>
          <w:lang w:val="bs-Latn-BA"/>
        </w:rPr>
        <w:t>извјештајном</w:t>
      </w:r>
      <w:r w:rsidR="005A1BB6" w:rsidRPr="00295637">
        <w:rPr>
          <w:lang w:val="bs-Latn-BA"/>
        </w:rPr>
        <w:t xml:space="preserve"> </w:t>
      </w:r>
      <w:r>
        <w:rPr>
          <w:lang w:val="bs-Latn-BA"/>
        </w:rPr>
        <w:t>периоду</w:t>
      </w:r>
      <w:r w:rsidR="005A1BB6" w:rsidRPr="00295637">
        <w:rPr>
          <w:lang w:val="bs-Latn-BA"/>
        </w:rPr>
        <w:t xml:space="preserve"> </w:t>
      </w:r>
      <w:r>
        <w:rPr>
          <w:lang w:val="bs-Latn-BA"/>
        </w:rPr>
        <w:t>израстао</w:t>
      </w:r>
      <w:r w:rsidR="00DF6743" w:rsidRPr="00295637">
        <w:rPr>
          <w:lang w:val="bs-Latn-BA"/>
        </w:rPr>
        <w:t xml:space="preserve"> </w:t>
      </w:r>
      <w:r>
        <w:rPr>
          <w:lang w:val="bs-Latn-BA"/>
        </w:rPr>
        <w:t>у</w:t>
      </w:r>
      <w:r w:rsidR="00DF6743" w:rsidRPr="00295637">
        <w:rPr>
          <w:lang w:val="bs-Latn-BA"/>
        </w:rPr>
        <w:t xml:space="preserve"> </w:t>
      </w:r>
      <w:r>
        <w:rPr>
          <w:lang w:val="hr-HR"/>
        </w:rPr>
        <w:t>динамичну</w:t>
      </w:r>
      <w:r w:rsidR="00DF6743" w:rsidRPr="006820FB">
        <w:rPr>
          <w:lang w:val="hr-HR"/>
        </w:rPr>
        <w:t xml:space="preserve"> </w:t>
      </w:r>
      <w:r>
        <w:rPr>
          <w:lang w:val="hr-HR"/>
        </w:rPr>
        <w:t>платформу</w:t>
      </w:r>
      <w:r w:rsidR="00DF6743" w:rsidRPr="006820FB">
        <w:rPr>
          <w:lang w:val="hr-HR"/>
        </w:rPr>
        <w:t xml:space="preserve"> </w:t>
      </w:r>
      <w:r>
        <w:rPr>
          <w:lang w:val="hr-HR"/>
        </w:rPr>
        <w:t>која</w:t>
      </w:r>
      <w:r w:rsidR="00DF6743" w:rsidRPr="006820FB">
        <w:rPr>
          <w:lang w:val="hr-HR"/>
        </w:rPr>
        <w:t xml:space="preserve"> </w:t>
      </w:r>
      <w:r>
        <w:rPr>
          <w:lang w:val="hr-HR"/>
        </w:rPr>
        <w:t>окупља</w:t>
      </w:r>
      <w:r w:rsidR="00DF6743" w:rsidRPr="006820FB">
        <w:rPr>
          <w:lang w:val="hr-HR"/>
        </w:rPr>
        <w:t xml:space="preserve"> </w:t>
      </w:r>
      <w:r>
        <w:rPr>
          <w:lang w:val="hr-HR"/>
        </w:rPr>
        <w:t>више</w:t>
      </w:r>
      <w:r w:rsidR="00DF6743" w:rsidRPr="006820FB">
        <w:rPr>
          <w:lang w:val="hr-HR"/>
        </w:rPr>
        <w:t xml:space="preserve"> </w:t>
      </w:r>
      <w:r>
        <w:rPr>
          <w:lang w:val="hr-HR"/>
        </w:rPr>
        <w:t>од</w:t>
      </w:r>
      <w:r w:rsidR="00DF6743" w:rsidRPr="006820FB">
        <w:rPr>
          <w:lang w:val="hr-HR"/>
        </w:rPr>
        <w:t xml:space="preserve"> 2.000 </w:t>
      </w:r>
      <w:r>
        <w:rPr>
          <w:lang w:val="hr-HR"/>
        </w:rPr>
        <w:t>стручњакиња</w:t>
      </w:r>
      <w:r w:rsidR="00DF6743" w:rsidRPr="006820FB">
        <w:rPr>
          <w:lang w:val="hr-HR"/>
        </w:rPr>
        <w:t xml:space="preserve">, </w:t>
      </w:r>
      <w:r>
        <w:rPr>
          <w:lang w:val="hr-HR"/>
        </w:rPr>
        <w:t>лидерки</w:t>
      </w:r>
      <w:r w:rsidR="00DF6743" w:rsidRPr="006820FB">
        <w:rPr>
          <w:lang w:val="hr-HR"/>
        </w:rPr>
        <w:t xml:space="preserve"> </w:t>
      </w:r>
      <w:r>
        <w:rPr>
          <w:lang w:val="hr-HR"/>
        </w:rPr>
        <w:t>и</w:t>
      </w:r>
      <w:r w:rsidR="00DF6743" w:rsidRPr="006820FB">
        <w:rPr>
          <w:lang w:val="hr-HR"/>
        </w:rPr>
        <w:t xml:space="preserve"> </w:t>
      </w:r>
      <w:r>
        <w:rPr>
          <w:lang w:val="hr-HR"/>
        </w:rPr>
        <w:t>активисткиња</w:t>
      </w:r>
      <w:r w:rsidR="00DF6743" w:rsidRPr="006820FB">
        <w:rPr>
          <w:lang w:val="hr-HR"/>
        </w:rPr>
        <w:t xml:space="preserve"> </w:t>
      </w:r>
      <w:r>
        <w:rPr>
          <w:lang w:val="hr-HR"/>
        </w:rPr>
        <w:t>из</w:t>
      </w:r>
      <w:r w:rsidR="00DF6743" w:rsidRPr="006820FB">
        <w:rPr>
          <w:lang w:val="hr-HR"/>
        </w:rPr>
        <w:t xml:space="preserve"> </w:t>
      </w:r>
      <w:r>
        <w:rPr>
          <w:lang w:val="hr-HR"/>
        </w:rPr>
        <w:t>различитих</w:t>
      </w:r>
      <w:r w:rsidR="00DF6743" w:rsidRPr="006820FB">
        <w:rPr>
          <w:lang w:val="hr-HR"/>
        </w:rPr>
        <w:t xml:space="preserve"> </w:t>
      </w:r>
      <w:r>
        <w:rPr>
          <w:lang w:val="hr-HR"/>
        </w:rPr>
        <w:t>сектора</w:t>
      </w:r>
      <w:r w:rsidR="00DF6743" w:rsidRPr="006820FB">
        <w:rPr>
          <w:lang w:val="hr-HR"/>
        </w:rPr>
        <w:t xml:space="preserve"> </w:t>
      </w:r>
      <w:r>
        <w:rPr>
          <w:lang w:val="hr-HR"/>
        </w:rPr>
        <w:t>како</w:t>
      </w:r>
      <w:r w:rsidR="00DF6743" w:rsidRPr="006820FB">
        <w:rPr>
          <w:lang w:val="hr-HR"/>
        </w:rPr>
        <w:t xml:space="preserve"> </w:t>
      </w:r>
      <w:r>
        <w:rPr>
          <w:lang w:val="hr-HR"/>
        </w:rPr>
        <w:t>би</w:t>
      </w:r>
      <w:r w:rsidR="00DF6743" w:rsidRPr="006820FB">
        <w:rPr>
          <w:lang w:val="hr-HR"/>
        </w:rPr>
        <w:t xml:space="preserve"> </w:t>
      </w:r>
      <w:r>
        <w:rPr>
          <w:lang w:val="hr-HR"/>
        </w:rPr>
        <w:t>заједнички</w:t>
      </w:r>
      <w:r w:rsidR="00DF6743" w:rsidRPr="006820FB">
        <w:rPr>
          <w:lang w:val="hr-HR"/>
        </w:rPr>
        <w:t xml:space="preserve"> </w:t>
      </w:r>
      <w:r>
        <w:rPr>
          <w:lang w:val="hr-HR"/>
        </w:rPr>
        <w:t>радиле</w:t>
      </w:r>
      <w:r w:rsidR="00DF6743" w:rsidRPr="006820FB">
        <w:rPr>
          <w:lang w:val="hr-HR"/>
        </w:rPr>
        <w:t xml:space="preserve"> </w:t>
      </w:r>
      <w:r>
        <w:rPr>
          <w:lang w:val="hr-HR"/>
        </w:rPr>
        <w:t>на</w:t>
      </w:r>
      <w:r w:rsidR="00DF6743" w:rsidRPr="006820FB">
        <w:rPr>
          <w:lang w:val="hr-HR"/>
        </w:rPr>
        <w:t xml:space="preserve"> </w:t>
      </w:r>
      <w:r>
        <w:rPr>
          <w:lang w:val="hr-HR"/>
        </w:rPr>
        <w:t>равноправности</w:t>
      </w:r>
      <w:r w:rsidR="00DF6743" w:rsidRPr="006820FB">
        <w:rPr>
          <w:lang w:val="hr-HR"/>
        </w:rPr>
        <w:t xml:space="preserve"> </w:t>
      </w:r>
      <w:r>
        <w:rPr>
          <w:lang w:val="hr-HR"/>
        </w:rPr>
        <w:t>полова</w:t>
      </w:r>
      <w:r w:rsidR="003B0C31" w:rsidRPr="006820FB">
        <w:rPr>
          <w:lang w:val="hr-HR"/>
        </w:rPr>
        <w:t xml:space="preserve"> </w:t>
      </w:r>
      <w:r>
        <w:rPr>
          <w:lang w:val="hr-HR"/>
        </w:rPr>
        <w:t>и</w:t>
      </w:r>
      <w:r w:rsidR="00DF6743" w:rsidRPr="006820FB">
        <w:rPr>
          <w:lang w:val="hr-HR"/>
        </w:rPr>
        <w:t xml:space="preserve"> </w:t>
      </w:r>
      <w:r>
        <w:rPr>
          <w:lang w:val="hr-HR"/>
        </w:rPr>
        <w:t>економском</w:t>
      </w:r>
      <w:r w:rsidR="00DF6743" w:rsidRPr="006820FB">
        <w:rPr>
          <w:lang w:val="hr-HR"/>
        </w:rPr>
        <w:t xml:space="preserve"> </w:t>
      </w:r>
      <w:r>
        <w:rPr>
          <w:lang w:val="hr-HR"/>
        </w:rPr>
        <w:t>оснаживању</w:t>
      </w:r>
      <w:r w:rsidR="00DF6743" w:rsidRPr="006820FB">
        <w:rPr>
          <w:lang w:val="hr-HR"/>
        </w:rPr>
        <w:t xml:space="preserve"> </w:t>
      </w:r>
      <w:r>
        <w:rPr>
          <w:lang w:val="hr-HR"/>
        </w:rPr>
        <w:t>жена</w:t>
      </w:r>
      <w:r w:rsidR="00DF6743" w:rsidRPr="006820FB">
        <w:rPr>
          <w:lang w:val="hr-HR"/>
        </w:rPr>
        <w:t xml:space="preserve"> </w:t>
      </w:r>
      <w:r>
        <w:rPr>
          <w:lang w:val="hr-HR"/>
        </w:rPr>
        <w:t>у</w:t>
      </w:r>
      <w:r w:rsidR="00DF6743" w:rsidRPr="006820FB">
        <w:rPr>
          <w:lang w:val="hr-HR"/>
        </w:rPr>
        <w:t xml:space="preserve"> </w:t>
      </w:r>
      <w:r>
        <w:rPr>
          <w:lang w:val="hr-HR"/>
        </w:rPr>
        <w:t>Босни</w:t>
      </w:r>
      <w:r w:rsidR="00DF6743" w:rsidRPr="006820FB">
        <w:rPr>
          <w:lang w:val="hr-HR"/>
        </w:rPr>
        <w:t xml:space="preserve"> </w:t>
      </w:r>
      <w:r>
        <w:rPr>
          <w:lang w:val="hr-HR"/>
        </w:rPr>
        <w:t>и</w:t>
      </w:r>
      <w:r w:rsidR="00DF6743" w:rsidRPr="006820FB">
        <w:rPr>
          <w:lang w:val="hr-HR"/>
        </w:rPr>
        <w:t xml:space="preserve"> </w:t>
      </w:r>
      <w:r>
        <w:rPr>
          <w:lang w:val="hr-HR"/>
        </w:rPr>
        <w:t>Херцеговини</w:t>
      </w:r>
      <w:r w:rsidR="00DF6743" w:rsidRPr="006820FB">
        <w:rPr>
          <w:lang w:val="hr-HR"/>
        </w:rPr>
        <w:t xml:space="preserve">. </w:t>
      </w:r>
      <w:r>
        <w:rPr>
          <w:lang w:val="hr-HR"/>
        </w:rPr>
        <w:t>Кроз</w:t>
      </w:r>
      <w:r w:rsidR="00DF6743" w:rsidRPr="006820FB">
        <w:rPr>
          <w:lang w:val="hr-HR"/>
        </w:rPr>
        <w:t xml:space="preserve"> </w:t>
      </w:r>
      <w:r>
        <w:rPr>
          <w:lang w:val="hr-HR"/>
        </w:rPr>
        <w:t>овај</w:t>
      </w:r>
      <w:r w:rsidR="00DF6743" w:rsidRPr="006820FB">
        <w:rPr>
          <w:lang w:val="hr-HR"/>
        </w:rPr>
        <w:t xml:space="preserve"> </w:t>
      </w:r>
      <w:r>
        <w:rPr>
          <w:lang w:val="hr-HR"/>
        </w:rPr>
        <w:t>форум</w:t>
      </w:r>
      <w:r w:rsidR="00DF6743" w:rsidRPr="006820FB">
        <w:rPr>
          <w:lang w:val="hr-HR"/>
        </w:rPr>
        <w:t xml:space="preserve">, </w:t>
      </w:r>
      <w:r>
        <w:rPr>
          <w:lang w:val="hr-HR"/>
        </w:rPr>
        <w:t>различити</w:t>
      </w:r>
      <w:r w:rsidR="00DF6743" w:rsidRPr="006820FB">
        <w:rPr>
          <w:lang w:val="hr-HR"/>
        </w:rPr>
        <w:t xml:space="preserve"> </w:t>
      </w:r>
      <w:r>
        <w:rPr>
          <w:lang w:val="hr-HR"/>
        </w:rPr>
        <w:t>актери</w:t>
      </w:r>
      <w:r w:rsidR="00DF6743" w:rsidRPr="006820FB">
        <w:rPr>
          <w:lang w:val="hr-HR"/>
        </w:rPr>
        <w:t xml:space="preserve"> - </w:t>
      </w:r>
      <w:r>
        <w:rPr>
          <w:lang w:val="hr-HR"/>
        </w:rPr>
        <w:t>од</w:t>
      </w:r>
      <w:r w:rsidR="00DF6743" w:rsidRPr="006820FB">
        <w:rPr>
          <w:lang w:val="hr-HR"/>
        </w:rPr>
        <w:t xml:space="preserve"> </w:t>
      </w:r>
      <w:r>
        <w:rPr>
          <w:lang w:val="hr-HR"/>
        </w:rPr>
        <w:t>економиста</w:t>
      </w:r>
      <w:r w:rsidR="00DF6743" w:rsidRPr="006820FB">
        <w:rPr>
          <w:lang w:val="hr-HR"/>
        </w:rPr>
        <w:t xml:space="preserve">, </w:t>
      </w:r>
      <w:r>
        <w:rPr>
          <w:lang w:val="hr-HR"/>
        </w:rPr>
        <w:t>академске</w:t>
      </w:r>
      <w:r w:rsidR="00DF6743" w:rsidRPr="006820FB">
        <w:rPr>
          <w:lang w:val="hr-HR"/>
        </w:rPr>
        <w:t xml:space="preserve"> </w:t>
      </w:r>
      <w:r>
        <w:rPr>
          <w:lang w:val="hr-HR"/>
        </w:rPr>
        <w:t>заједнице</w:t>
      </w:r>
      <w:r w:rsidR="00DF6743" w:rsidRPr="006820FB">
        <w:rPr>
          <w:lang w:val="hr-HR"/>
        </w:rPr>
        <w:t xml:space="preserve"> </w:t>
      </w:r>
      <w:r>
        <w:rPr>
          <w:lang w:val="hr-HR"/>
        </w:rPr>
        <w:t>до</w:t>
      </w:r>
      <w:r w:rsidR="00DF6743" w:rsidRPr="006820FB">
        <w:rPr>
          <w:lang w:val="hr-HR"/>
        </w:rPr>
        <w:t xml:space="preserve"> </w:t>
      </w:r>
      <w:r>
        <w:rPr>
          <w:lang w:val="hr-HR"/>
        </w:rPr>
        <w:t>невладиних</w:t>
      </w:r>
      <w:r w:rsidR="00DF6743" w:rsidRPr="006820FB">
        <w:rPr>
          <w:lang w:val="hr-HR"/>
        </w:rPr>
        <w:t xml:space="preserve"> </w:t>
      </w:r>
      <w:r>
        <w:rPr>
          <w:lang w:val="hr-HR"/>
        </w:rPr>
        <w:t>организација</w:t>
      </w:r>
      <w:r w:rsidR="00DF6743" w:rsidRPr="006820FB">
        <w:rPr>
          <w:lang w:val="hr-HR"/>
        </w:rPr>
        <w:t xml:space="preserve"> </w:t>
      </w:r>
      <w:r>
        <w:rPr>
          <w:lang w:val="hr-HR"/>
        </w:rPr>
        <w:t>и</w:t>
      </w:r>
      <w:r w:rsidR="00DF6743" w:rsidRPr="006820FB">
        <w:rPr>
          <w:lang w:val="hr-HR"/>
        </w:rPr>
        <w:t xml:space="preserve"> </w:t>
      </w:r>
      <w:r>
        <w:rPr>
          <w:lang w:val="hr-HR"/>
        </w:rPr>
        <w:t>пословних</w:t>
      </w:r>
      <w:r w:rsidR="00DF6743" w:rsidRPr="006820FB">
        <w:rPr>
          <w:lang w:val="hr-HR"/>
        </w:rPr>
        <w:t xml:space="preserve"> </w:t>
      </w:r>
      <w:r>
        <w:rPr>
          <w:lang w:val="hr-HR"/>
        </w:rPr>
        <w:t>лидера</w:t>
      </w:r>
      <w:r w:rsidR="00DF6743" w:rsidRPr="006820FB">
        <w:rPr>
          <w:lang w:val="hr-HR"/>
        </w:rPr>
        <w:t xml:space="preserve"> - </w:t>
      </w:r>
      <w:r>
        <w:rPr>
          <w:lang w:val="hr-HR"/>
        </w:rPr>
        <w:t>сарађују</w:t>
      </w:r>
      <w:r w:rsidR="00DF6743" w:rsidRPr="006820FB">
        <w:rPr>
          <w:lang w:val="hr-HR"/>
        </w:rPr>
        <w:t xml:space="preserve"> </w:t>
      </w:r>
      <w:r>
        <w:rPr>
          <w:lang w:val="hr-HR"/>
        </w:rPr>
        <w:t>на</w:t>
      </w:r>
      <w:r w:rsidR="00DF6743" w:rsidRPr="006820FB">
        <w:rPr>
          <w:lang w:val="hr-HR"/>
        </w:rPr>
        <w:t xml:space="preserve"> </w:t>
      </w:r>
      <w:r>
        <w:rPr>
          <w:lang w:val="hr-HR"/>
        </w:rPr>
        <w:t>обликовању</w:t>
      </w:r>
      <w:r w:rsidR="00DF6743" w:rsidRPr="006820FB">
        <w:rPr>
          <w:lang w:val="hr-HR"/>
        </w:rPr>
        <w:t xml:space="preserve"> </w:t>
      </w:r>
      <w:r>
        <w:rPr>
          <w:lang w:val="hr-HR"/>
        </w:rPr>
        <w:t>политика</w:t>
      </w:r>
      <w:r w:rsidR="00DF6743" w:rsidRPr="006820FB">
        <w:rPr>
          <w:lang w:val="hr-HR"/>
        </w:rPr>
        <w:t xml:space="preserve"> </w:t>
      </w:r>
      <w:r>
        <w:rPr>
          <w:lang w:val="hr-HR"/>
        </w:rPr>
        <w:t>и</w:t>
      </w:r>
      <w:r w:rsidR="00DF6743" w:rsidRPr="006820FB">
        <w:rPr>
          <w:lang w:val="hr-HR"/>
        </w:rPr>
        <w:t xml:space="preserve"> </w:t>
      </w:r>
      <w:r>
        <w:rPr>
          <w:lang w:val="hr-HR"/>
        </w:rPr>
        <w:t>рјешења</w:t>
      </w:r>
      <w:r w:rsidR="00DF6743" w:rsidRPr="006820FB">
        <w:rPr>
          <w:lang w:val="hr-HR"/>
        </w:rPr>
        <w:t xml:space="preserve"> </w:t>
      </w:r>
      <w:r>
        <w:rPr>
          <w:lang w:val="hr-HR"/>
        </w:rPr>
        <w:t>која</w:t>
      </w:r>
      <w:r w:rsidR="00DF6743" w:rsidRPr="006820FB">
        <w:rPr>
          <w:lang w:val="hr-HR"/>
        </w:rPr>
        <w:t xml:space="preserve"> </w:t>
      </w:r>
      <w:r>
        <w:rPr>
          <w:lang w:val="hr-HR"/>
        </w:rPr>
        <w:t>омогућавају</w:t>
      </w:r>
      <w:r w:rsidR="00DF6743" w:rsidRPr="006820FB">
        <w:rPr>
          <w:lang w:val="hr-HR"/>
        </w:rPr>
        <w:t xml:space="preserve"> </w:t>
      </w:r>
      <w:r>
        <w:rPr>
          <w:lang w:val="hr-HR"/>
        </w:rPr>
        <w:t>стварање</w:t>
      </w:r>
      <w:r w:rsidR="00DF6743" w:rsidRPr="006820FB">
        <w:rPr>
          <w:lang w:val="hr-HR"/>
        </w:rPr>
        <w:t xml:space="preserve"> </w:t>
      </w:r>
      <w:r>
        <w:rPr>
          <w:lang w:val="hr-HR"/>
        </w:rPr>
        <w:t>праведнијег</w:t>
      </w:r>
      <w:r w:rsidR="00DF6743" w:rsidRPr="006820FB">
        <w:rPr>
          <w:lang w:val="hr-HR"/>
        </w:rPr>
        <w:t xml:space="preserve"> </w:t>
      </w:r>
      <w:r>
        <w:rPr>
          <w:lang w:val="hr-HR"/>
        </w:rPr>
        <w:t>и</w:t>
      </w:r>
      <w:r w:rsidR="00DF6743" w:rsidRPr="006820FB">
        <w:rPr>
          <w:lang w:val="hr-HR"/>
        </w:rPr>
        <w:t xml:space="preserve"> </w:t>
      </w:r>
      <w:r>
        <w:rPr>
          <w:lang w:val="hr-HR"/>
        </w:rPr>
        <w:t>равноправнијег</w:t>
      </w:r>
      <w:r w:rsidR="00DF6743" w:rsidRPr="006820FB">
        <w:rPr>
          <w:lang w:val="hr-HR"/>
        </w:rPr>
        <w:t xml:space="preserve"> </w:t>
      </w:r>
      <w:r>
        <w:rPr>
          <w:lang w:val="hr-HR"/>
        </w:rPr>
        <w:t>друштва</w:t>
      </w:r>
      <w:r w:rsidR="00DF6743" w:rsidRPr="006820FB">
        <w:rPr>
          <w:lang w:val="hr-HR"/>
        </w:rPr>
        <w:t xml:space="preserve">. </w:t>
      </w:r>
    </w:p>
    <w:p w:rsidR="001E0A6B" w:rsidRPr="00295637" w:rsidRDefault="001E0A6B" w:rsidP="0086268D">
      <w:pPr>
        <w:tabs>
          <w:tab w:val="left" w:pos="284"/>
          <w:tab w:val="left" w:pos="630"/>
          <w:tab w:val="left" w:pos="1080"/>
        </w:tabs>
        <w:jc w:val="both"/>
        <w:rPr>
          <w:rFonts w:ascii="Times New Roman" w:hAnsi="Times New Roman"/>
          <w:szCs w:val="24"/>
          <w:lang w:val="bs-Latn-BA"/>
        </w:rPr>
      </w:pPr>
    </w:p>
    <w:p w:rsidR="00A8064D"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У</w:t>
      </w:r>
      <w:r w:rsidR="00A8064D" w:rsidRPr="00295637">
        <w:rPr>
          <w:rFonts w:ascii="Times New Roman" w:hAnsi="Times New Roman"/>
          <w:szCs w:val="24"/>
          <w:lang w:val="bs-Latn-BA"/>
        </w:rPr>
        <w:t xml:space="preserve"> </w:t>
      </w:r>
      <w:r>
        <w:rPr>
          <w:rFonts w:ascii="Times New Roman" w:hAnsi="Times New Roman"/>
          <w:szCs w:val="24"/>
          <w:lang w:val="bs-Latn-BA"/>
        </w:rPr>
        <w:t>ФБиХ</w:t>
      </w:r>
      <w:r w:rsidR="004D1855" w:rsidRPr="00295637">
        <w:rPr>
          <w:rFonts w:ascii="Times New Roman" w:hAnsi="Times New Roman"/>
          <w:szCs w:val="24"/>
          <w:lang w:val="bs-Latn-BA"/>
        </w:rPr>
        <w:t xml:space="preserve"> </w:t>
      </w:r>
      <w:r>
        <w:rPr>
          <w:rFonts w:ascii="Times New Roman" w:hAnsi="Times New Roman"/>
          <w:szCs w:val="24"/>
          <w:lang w:val="bs-Latn-BA"/>
        </w:rPr>
        <w:t>је</w:t>
      </w:r>
      <w:r w:rsidR="004D1855" w:rsidRPr="00295637">
        <w:rPr>
          <w:rFonts w:ascii="Times New Roman" w:hAnsi="Times New Roman"/>
          <w:szCs w:val="24"/>
          <w:lang w:val="bs-Latn-BA"/>
        </w:rPr>
        <w:t xml:space="preserve"> </w:t>
      </w:r>
      <w:r>
        <w:rPr>
          <w:rFonts w:ascii="Times New Roman" w:hAnsi="Times New Roman"/>
          <w:szCs w:val="24"/>
          <w:lang w:val="bs-Latn-BA"/>
        </w:rPr>
        <w:t>у</w:t>
      </w:r>
      <w:r w:rsidR="004D1855" w:rsidRPr="00295637">
        <w:rPr>
          <w:rFonts w:ascii="Times New Roman" w:hAnsi="Times New Roman"/>
          <w:szCs w:val="24"/>
          <w:lang w:val="bs-Latn-BA"/>
        </w:rPr>
        <w:t xml:space="preserve"> </w:t>
      </w:r>
      <w:r w:rsidR="00A8064D" w:rsidRPr="00295637">
        <w:rPr>
          <w:rFonts w:ascii="Times New Roman" w:hAnsi="Times New Roman"/>
          <w:szCs w:val="24"/>
          <w:lang w:val="bs-Latn-BA"/>
        </w:rPr>
        <w:t xml:space="preserve">2024. </w:t>
      </w:r>
      <w:r>
        <w:rPr>
          <w:rFonts w:ascii="Times New Roman" w:hAnsi="Times New Roman"/>
          <w:szCs w:val="24"/>
          <w:lang w:val="bs-Latn-BA"/>
        </w:rPr>
        <w:t>години</w:t>
      </w:r>
      <w:r w:rsidR="00A8064D" w:rsidRPr="00295637">
        <w:rPr>
          <w:rFonts w:ascii="Times New Roman" w:hAnsi="Times New Roman"/>
          <w:szCs w:val="24"/>
          <w:lang w:val="bs-Latn-BA"/>
        </w:rPr>
        <w:t xml:space="preserve"> </w:t>
      </w:r>
      <w:r>
        <w:rPr>
          <w:rFonts w:ascii="Times New Roman" w:hAnsi="Times New Roman"/>
          <w:szCs w:val="24"/>
          <w:lang w:val="bs-Latn-BA"/>
        </w:rPr>
        <w:t>унапријеђен</w:t>
      </w:r>
      <w:r w:rsidR="00A8064D" w:rsidRPr="00295637">
        <w:rPr>
          <w:rFonts w:ascii="Times New Roman" w:hAnsi="Times New Roman"/>
          <w:szCs w:val="24"/>
          <w:lang w:val="bs-Latn-BA"/>
        </w:rPr>
        <w:t xml:space="preserve"> </w:t>
      </w:r>
      <w:r>
        <w:rPr>
          <w:rFonts w:ascii="Times New Roman" w:hAnsi="Times New Roman"/>
          <w:szCs w:val="24"/>
          <w:lang w:val="bs-Latn-BA"/>
        </w:rPr>
        <w:t>законски</w:t>
      </w:r>
      <w:r w:rsidR="00A8064D" w:rsidRPr="00295637">
        <w:rPr>
          <w:rFonts w:ascii="Times New Roman" w:hAnsi="Times New Roman"/>
          <w:szCs w:val="24"/>
          <w:lang w:val="bs-Latn-BA"/>
        </w:rPr>
        <w:t xml:space="preserve"> </w:t>
      </w:r>
      <w:r>
        <w:rPr>
          <w:rFonts w:ascii="Times New Roman" w:hAnsi="Times New Roman"/>
          <w:szCs w:val="24"/>
          <w:lang w:val="bs-Latn-BA"/>
        </w:rPr>
        <w:t>оквир</w:t>
      </w:r>
      <w:r w:rsidR="00A8064D" w:rsidRPr="00295637">
        <w:rPr>
          <w:rFonts w:ascii="Times New Roman" w:hAnsi="Times New Roman"/>
          <w:szCs w:val="24"/>
          <w:lang w:val="bs-Latn-BA"/>
        </w:rPr>
        <w:t xml:space="preserve"> </w:t>
      </w:r>
      <w:r>
        <w:rPr>
          <w:rFonts w:ascii="Times New Roman" w:hAnsi="Times New Roman"/>
          <w:szCs w:val="24"/>
          <w:lang w:val="bs-Latn-BA"/>
        </w:rPr>
        <w:t>који</w:t>
      </w:r>
      <w:r w:rsidR="00A8064D" w:rsidRPr="00295637">
        <w:rPr>
          <w:rFonts w:ascii="Times New Roman" w:hAnsi="Times New Roman"/>
          <w:szCs w:val="24"/>
          <w:lang w:val="bs-Latn-BA"/>
        </w:rPr>
        <w:t xml:space="preserve"> </w:t>
      </w:r>
      <w:r>
        <w:rPr>
          <w:rFonts w:ascii="Times New Roman" w:hAnsi="Times New Roman"/>
          <w:szCs w:val="24"/>
          <w:lang w:val="bs-Latn-BA"/>
        </w:rPr>
        <w:t>пружа</w:t>
      </w:r>
      <w:r w:rsidR="00A8064D" w:rsidRPr="00295637">
        <w:rPr>
          <w:rFonts w:ascii="Times New Roman" w:hAnsi="Times New Roman"/>
          <w:szCs w:val="24"/>
          <w:lang w:val="bs-Latn-BA"/>
        </w:rPr>
        <w:t xml:space="preserve"> </w:t>
      </w:r>
      <w:r w:rsidR="00DF7B6D">
        <w:rPr>
          <w:rFonts w:ascii="Times New Roman" w:hAnsi="Times New Roman"/>
          <w:szCs w:val="24"/>
          <w:lang w:val="sr-Cyrl-BA"/>
        </w:rPr>
        <w:t>безбједност</w:t>
      </w:r>
      <w:r w:rsidR="00A8064D" w:rsidRPr="00295637">
        <w:rPr>
          <w:rFonts w:ascii="Times New Roman" w:hAnsi="Times New Roman"/>
          <w:szCs w:val="24"/>
          <w:lang w:val="bs-Latn-BA"/>
        </w:rPr>
        <w:t xml:space="preserve"> </w:t>
      </w:r>
      <w:r>
        <w:rPr>
          <w:rFonts w:ascii="Times New Roman" w:hAnsi="Times New Roman"/>
          <w:szCs w:val="24"/>
          <w:lang w:val="bs-Latn-BA"/>
        </w:rPr>
        <w:t>и</w:t>
      </w:r>
      <w:r w:rsidR="00A8064D" w:rsidRPr="00295637">
        <w:rPr>
          <w:rFonts w:ascii="Times New Roman" w:hAnsi="Times New Roman"/>
          <w:szCs w:val="24"/>
          <w:lang w:val="bs-Latn-BA"/>
        </w:rPr>
        <w:t xml:space="preserve"> </w:t>
      </w:r>
      <w:r>
        <w:rPr>
          <w:rFonts w:ascii="Times New Roman" w:hAnsi="Times New Roman"/>
          <w:szCs w:val="24"/>
          <w:lang w:val="bs-Latn-BA"/>
        </w:rPr>
        <w:t>стабилност</w:t>
      </w:r>
      <w:r w:rsidR="00A8064D" w:rsidRPr="00295637">
        <w:rPr>
          <w:rFonts w:ascii="Times New Roman" w:hAnsi="Times New Roman"/>
          <w:szCs w:val="24"/>
          <w:lang w:val="bs-Latn-BA"/>
        </w:rPr>
        <w:t xml:space="preserve"> </w:t>
      </w:r>
      <w:r>
        <w:rPr>
          <w:rFonts w:ascii="Times New Roman" w:hAnsi="Times New Roman"/>
          <w:szCs w:val="24"/>
          <w:lang w:val="bs-Latn-BA"/>
        </w:rPr>
        <w:t>жене</w:t>
      </w:r>
      <w:r w:rsidR="00A8064D" w:rsidRPr="00295637">
        <w:rPr>
          <w:rFonts w:ascii="Times New Roman" w:hAnsi="Times New Roman"/>
          <w:szCs w:val="24"/>
          <w:lang w:val="bs-Latn-BA"/>
        </w:rPr>
        <w:t xml:space="preserve"> </w:t>
      </w:r>
      <w:r>
        <w:rPr>
          <w:rFonts w:ascii="Times New Roman" w:hAnsi="Times New Roman"/>
          <w:szCs w:val="24"/>
          <w:lang w:val="bs-Latn-BA"/>
        </w:rPr>
        <w:t>на</w:t>
      </w:r>
      <w:r w:rsidR="00A8064D" w:rsidRPr="00295637">
        <w:rPr>
          <w:rFonts w:ascii="Times New Roman" w:hAnsi="Times New Roman"/>
          <w:szCs w:val="24"/>
          <w:lang w:val="bs-Latn-BA"/>
        </w:rPr>
        <w:t xml:space="preserve"> </w:t>
      </w:r>
      <w:r>
        <w:rPr>
          <w:rFonts w:ascii="Times New Roman" w:hAnsi="Times New Roman"/>
          <w:szCs w:val="24"/>
          <w:lang w:val="bs-Latn-BA"/>
        </w:rPr>
        <w:t>радном</w:t>
      </w:r>
      <w:r w:rsidR="00A8064D" w:rsidRPr="00295637">
        <w:rPr>
          <w:rFonts w:ascii="Times New Roman" w:hAnsi="Times New Roman"/>
          <w:szCs w:val="24"/>
          <w:lang w:val="bs-Latn-BA"/>
        </w:rPr>
        <w:t xml:space="preserve"> </w:t>
      </w:r>
      <w:r>
        <w:rPr>
          <w:rFonts w:ascii="Times New Roman" w:hAnsi="Times New Roman"/>
          <w:szCs w:val="24"/>
          <w:lang w:val="bs-Latn-BA"/>
        </w:rPr>
        <w:t>мјесту</w:t>
      </w:r>
      <w:r w:rsidR="00A8064D" w:rsidRPr="00295637">
        <w:rPr>
          <w:rFonts w:ascii="Times New Roman" w:hAnsi="Times New Roman"/>
          <w:szCs w:val="24"/>
          <w:lang w:val="bs-Latn-BA"/>
        </w:rPr>
        <w:t xml:space="preserve">. </w:t>
      </w:r>
      <w:r>
        <w:rPr>
          <w:rFonts w:ascii="Times New Roman" w:hAnsi="Times New Roman"/>
          <w:szCs w:val="24"/>
          <w:lang w:val="bs-Latn-BA"/>
        </w:rPr>
        <w:t>Донесена</w:t>
      </w:r>
      <w:r w:rsidR="00A8064D" w:rsidRPr="00295637">
        <w:rPr>
          <w:rFonts w:ascii="Times New Roman" w:hAnsi="Times New Roman"/>
          <w:szCs w:val="24"/>
          <w:lang w:val="bs-Latn-BA"/>
        </w:rPr>
        <w:t xml:space="preserve"> </w:t>
      </w:r>
      <w:r>
        <w:rPr>
          <w:rFonts w:ascii="Times New Roman" w:hAnsi="Times New Roman"/>
          <w:szCs w:val="24"/>
          <w:lang w:val="bs-Latn-BA"/>
        </w:rPr>
        <w:t>је</w:t>
      </w:r>
      <w:r w:rsidR="00A8064D" w:rsidRPr="00295637">
        <w:rPr>
          <w:rFonts w:ascii="Times New Roman" w:hAnsi="Times New Roman"/>
          <w:szCs w:val="24"/>
          <w:lang w:val="bs-Latn-BA"/>
        </w:rPr>
        <w:t xml:space="preserve"> </w:t>
      </w:r>
      <w:r>
        <w:rPr>
          <w:rFonts w:ascii="Times New Roman" w:hAnsi="Times New Roman"/>
          <w:szCs w:val="24"/>
          <w:lang w:val="bs-Latn-BA"/>
        </w:rPr>
        <w:t>уредба</w:t>
      </w:r>
      <w:r w:rsidR="00A8064D" w:rsidRPr="00295637">
        <w:rPr>
          <w:rFonts w:ascii="Times New Roman" w:hAnsi="Times New Roman"/>
          <w:szCs w:val="24"/>
          <w:lang w:val="bs-Latn-BA"/>
        </w:rPr>
        <w:t xml:space="preserve"> </w:t>
      </w:r>
      <w:r>
        <w:rPr>
          <w:rFonts w:ascii="Times New Roman" w:hAnsi="Times New Roman"/>
          <w:szCs w:val="24"/>
          <w:lang w:val="bs-Latn-BA"/>
        </w:rPr>
        <w:t>која</w:t>
      </w:r>
      <w:r w:rsidR="00A8064D" w:rsidRPr="00295637">
        <w:rPr>
          <w:rFonts w:ascii="Times New Roman" w:hAnsi="Times New Roman"/>
          <w:szCs w:val="24"/>
          <w:lang w:val="bs-Latn-BA"/>
        </w:rPr>
        <w:t xml:space="preserve"> </w:t>
      </w:r>
      <w:r>
        <w:rPr>
          <w:rFonts w:ascii="Times New Roman" w:hAnsi="Times New Roman"/>
          <w:szCs w:val="24"/>
          <w:lang w:val="bs-Latn-BA"/>
        </w:rPr>
        <w:t>свим</w:t>
      </w:r>
      <w:r w:rsidR="00A8064D" w:rsidRPr="00295637">
        <w:rPr>
          <w:rFonts w:ascii="Times New Roman" w:hAnsi="Times New Roman"/>
          <w:szCs w:val="24"/>
          <w:lang w:val="bs-Latn-BA"/>
        </w:rPr>
        <w:t xml:space="preserve"> </w:t>
      </w:r>
      <w:r>
        <w:rPr>
          <w:rFonts w:ascii="Times New Roman" w:hAnsi="Times New Roman"/>
          <w:szCs w:val="24"/>
          <w:lang w:val="bs-Latn-BA"/>
        </w:rPr>
        <w:t>породиљама</w:t>
      </w:r>
      <w:r w:rsidR="00A8064D" w:rsidRPr="00295637">
        <w:rPr>
          <w:rFonts w:ascii="Times New Roman" w:hAnsi="Times New Roman"/>
          <w:szCs w:val="24"/>
          <w:lang w:val="bs-Latn-BA"/>
        </w:rPr>
        <w:t xml:space="preserve"> </w:t>
      </w:r>
      <w:r>
        <w:rPr>
          <w:rFonts w:ascii="Times New Roman" w:hAnsi="Times New Roman"/>
          <w:szCs w:val="24"/>
          <w:lang w:val="bs-Latn-BA"/>
        </w:rPr>
        <w:t>о</w:t>
      </w:r>
      <w:r w:rsidR="00DF7B6D">
        <w:rPr>
          <w:rFonts w:ascii="Times New Roman" w:hAnsi="Times New Roman"/>
          <w:szCs w:val="24"/>
          <w:lang w:val="sr-Cyrl-BA"/>
        </w:rPr>
        <w:t>безбјеђује</w:t>
      </w:r>
      <w:r w:rsidR="00A8064D" w:rsidRPr="00295637">
        <w:rPr>
          <w:rFonts w:ascii="Times New Roman" w:hAnsi="Times New Roman"/>
          <w:szCs w:val="24"/>
          <w:lang w:val="bs-Latn-BA"/>
        </w:rPr>
        <w:t xml:space="preserve"> </w:t>
      </w:r>
      <w:r>
        <w:rPr>
          <w:rFonts w:ascii="Times New Roman" w:hAnsi="Times New Roman"/>
          <w:szCs w:val="24"/>
          <w:lang w:val="bs-Latn-BA"/>
        </w:rPr>
        <w:t>једнократну</w:t>
      </w:r>
      <w:r w:rsidR="00A8064D" w:rsidRPr="00295637">
        <w:rPr>
          <w:rFonts w:ascii="Times New Roman" w:hAnsi="Times New Roman"/>
          <w:szCs w:val="24"/>
          <w:lang w:val="bs-Latn-BA"/>
        </w:rPr>
        <w:t xml:space="preserve"> </w:t>
      </w:r>
      <w:r>
        <w:rPr>
          <w:rFonts w:ascii="Times New Roman" w:hAnsi="Times New Roman"/>
          <w:szCs w:val="24"/>
          <w:lang w:val="bs-Latn-BA"/>
        </w:rPr>
        <w:t>помоћ</w:t>
      </w:r>
      <w:r w:rsidR="00A8064D" w:rsidRPr="00295637">
        <w:rPr>
          <w:rFonts w:ascii="Times New Roman" w:hAnsi="Times New Roman"/>
          <w:szCs w:val="24"/>
          <w:lang w:val="bs-Latn-BA"/>
        </w:rPr>
        <w:t xml:space="preserve"> </w:t>
      </w:r>
      <w:r>
        <w:rPr>
          <w:rFonts w:ascii="Times New Roman" w:hAnsi="Times New Roman"/>
          <w:szCs w:val="24"/>
          <w:lang w:val="bs-Latn-BA"/>
        </w:rPr>
        <w:t>од</w:t>
      </w:r>
      <w:r w:rsidR="00A8064D" w:rsidRPr="00295637">
        <w:rPr>
          <w:rFonts w:ascii="Times New Roman" w:hAnsi="Times New Roman"/>
          <w:szCs w:val="24"/>
          <w:lang w:val="bs-Latn-BA"/>
        </w:rPr>
        <w:t xml:space="preserve"> 1.000 </w:t>
      </w:r>
      <w:r>
        <w:rPr>
          <w:rFonts w:ascii="Times New Roman" w:hAnsi="Times New Roman"/>
          <w:szCs w:val="24"/>
          <w:lang w:val="bs-Latn-BA"/>
        </w:rPr>
        <w:t>КМ</w:t>
      </w:r>
      <w:r w:rsidR="00A8064D" w:rsidRPr="00295637">
        <w:rPr>
          <w:rFonts w:ascii="Times New Roman" w:hAnsi="Times New Roman"/>
          <w:szCs w:val="24"/>
          <w:lang w:val="bs-Latn-BA"/>
        </w:rPr>
        <w:t xml:space="preserve">. </w:t>
      </w:r>
      <w:r>
        <w:rPr>
          <w:rFonts w:ascii="Times New Roman" w:hAnsi="Times New Roman"/>
          <w:szCs w:val="24"/>
          <w:lang w:val="bs-Latn-BA"/>
        </w:rPr>
        <w:t>Уз</w:t>
      </w:r>
      <w:r w:rsidR="00A8064D" w:rsidRPr="00295637">
        <w:rPr>
          <w:rFonts w:ascii="Times New Roman" w:hAnsi="Times New Roman"/>
          <w:szCs w:val="24"/>
          <w:lang w:val="bs-Latn-BA"/>
        </w:rPr>
        <w:t xml:space="preserve"> </w:t>
      </w:r>
      <w:r>
        <w:rPr>
          <w:rFonts w:ascii="Times New Roman" w:hAnsi="Times New Roman"/>
          <w:szCs w:val="24"/>
          <w:lang w:val="bs-Latn-BA"/>
        </w:rPr>
        <w:t>то</w:t>
      </w:r>
      <w:r w:rsidR="00A8064D" w:rsidRPr="00295637">
        <w:rPr>
          <w:rFonts w:ascii="Times New Roman" w:hAnsi="Times New Roman"/>
          <w:szCs w:val="24"/>
          <w:lang w:val="bs-Latn-BA"/>
        </w:rPr>
        <w:t xml:space="preserve">, </w:t>
      </w:r>
      <w:r>
        <w:rPr>
          <w:rFonts w:ascii="Times New Roman" w:hAnsi="Times New Roman"/>
          <w:szCs w:val="24"/>
          <w:lang w:val="bs-Latn-BA"/>
        </w:rPr>
        <w:t>планиране</w:t>
      </w:r>
      <w:r w:rsidR="00A8064D" w:rsidRPr="00295637">
        <w:rPr>
          <w:rFonts w:ascii="Times New Roman" w:hAnsi="Times New Roman"/>
          <w:szCs w:val="24"/>
          <w:lang w:val="bs-Latn-BA"/>
        </w:rPr>
        <w:t xml:space="preserve"> </w:t>
      </w:r>
      <w:r>
        <w:rPr>
          <w:rFonts w:ascii="Times New Roman" w:hAnsi="Times New Roman"/>
          <w:szCs w:val="24"/>
          <w:lang w:val="bs-Latn-BA"/>
        </w:rPr>
        <w:t>измјене</w:t>
      </w:r>
      <w:r w:rsidR="00A8064D" w:rsidRPr="00295637">
        <w:rPr>
          <w:rFonts w:ascii="Times New Roman" w:hAnsi="Times New Roman"/>
          <w:szCs w:val="24"/>
          <w:lang w:val="bs-Latn-BA"/>
        </w:rPr>
        <w:t xml:space="preserve"> </w:t>
      </w:r>
      <w:r>
        <w:rPr>
          <w:rFonts w:ascii="Times New Roman" w:hAnsi="Times New Roman"/>
          <w:szCs w:val="24"/>
          <w:lang w:val="bs-Latn-BA"/>
        </w:rPr>
        <w:t>у</w:t>
      </w:r>
      <w:r w:rsidR="004F0ED7">
        <w:rPr>
          <w:rFonts w:ascii="Times New Roman" w:hAnsi="Times New Roman"/>
          <w:szCs w:val="24"/>
          <w:lang w:val="bs-Latn-BA"/>
        </w:rPr>
        <w:t xml:space="preserve"> </w:t>
      </w:r>
      <w:r>
        <w:rPr>
          <w:rFonts w:ascii="Times New Roman" w:hAnsi="Times New Roman"/>
          <w:szCs w:val="24"/>
          <w:lang w:val="bs-Latn-BA"/>
        </w:rPr>
        <w:t>вези</w:t>
      </w:r>
      <w:r w:rsidR="004F0ED7">
        <w:rPr>
          <w:rFonts w:ascii="Times New Roman" w:hAnsi="Times New Roman"/>
          <w:szCs w:val="24"/>
          <w:lang w:val="bs-Latn-BA"/>
        </w:rPr>
        <w:t xml:space="preserve"> </w:t>
      </w:r>
      <w:r>
        <w:rPr>
          <w:rFonts w:ascii="Times New Roman" w:hAnsi="Times New Roman"/>
          <w:szCs w:val="24"/>
          <w:lang w:val="bs-Latn-BA"/>
        </w:rPr>
        <w:t>са</w:t>
      </w:r>
      <w:r w:rsidR="00A8064D" w:rsidRPr="00295637">
        <w:rPr>
          <w:rFonts w:ascii="Times New Roman" w:hAnsi="Times New Roman"/>
          <w:szCs w:val="24"/>
          <w:lang w:val="bs-Latn-BA"/>
        </w:rPr>
        <w:t xml:space="preserve"> </w:t>
      </w:r>
      <w:r>
        <w:rPr>
          <w:rFonts w:ascii="Times New Roman" w:hAnsi="Times New Roman"/>
          <w:szCs w:val="24"/>
          <w:lang w:val="bs-Latn-BA"/>
        </w:rPr>
        <w:t>Законом</w:t>
      </w:r>
      <w:r w:rsidR="00A8064D" w:rsidRPr="00295637">
        <w:rPr>
          <w:rFonts w:ascii="Times New Roman" w:hAnsi="Times New Roman"/>
          <w:szCs w:val="24"/>
          <w:lang w:val="bs-Latn-BA"/>
        </w:rPr>
        <w:t xml:space="preserve"> </w:t>
      </w:r>
      <w:r>
        <w:rPr>
          <w:rFonts w:ascii="Times New Roman" w:hAnsi="Times New Roman"/>
          <w:szCs w:val="24"/>
          <w:lang w:val="bs-Latn-BA"/>
        </w:rPr>
        <w:t>о</w:t>
      </w:r>
      <w:r w:rsidR="00A8064D" w:rsidRPr="00295637">
        <w:rPr>
          <w:rFonts w:ascii="Times New Roman" w:hAnsi="Times New Roman"/>
          <w:szCs w:val="24"/>
          <w:lang w:val="bs-Latn-BA"/>
        </w:rPr>
        <w:t xml:space="preserve"> </w:t>
      </w:r>
      <w:r>
        <w:rPr>
          <w:rFonts w:ascii="Times New Roman" w:hAnsi="Times New Roman"/>
          <w:szCs w:val="24"/>
          <w:lang w:val="bs-Latn-BA"/>
        </w:rPr>
        <w:t>раду</w:t>
      </w:r>
      <w:r w:rsidR="00A8064D" w:rsidRPr="00295637">
        <w:rPr>
          <w:rFonts w:ascii="Times New Roman" w:hAnsi="Times New Roman"/>
          <w:szCs w:val="24"/>
          <w:lang w:val="bs-Latn-BA"/>
        </w:rPr>
        <w:t xml:space="preserve"> </w:t>
      </w:r>
      <w:r>
        <w:rPr>
          <w:rFonts w:ascii="Times New Roman" w:hAnsi="Times New Roman"/>
          <w:szCs w:val="24"/>
          <w:lang w:val="bs-Latn-BA"/>
        </w:rPr>
        <w:t>доносе</w:t>
      </w:r>
      <w:r w:rsidR="00A8064D" w:rsidRPr="00295637">
        <w:rPr>
          <w:rFonts w:ascii="Times New Roman" w:hAnsi="Times New Roman"/>
          <w:szCs w:val="24"/>
          <w:lang w:val="bs-Latn-BA"/>
        </w:rPr>
        <w:t xml:space="preserve"> </w:t>
      </w:r>
      <w:r>
        <w:rPr>
          <w:rFonts w:ascii="Times New Roman" w:hAnsi="Times New Roman"/>
          <w:szCs w:val="24"/>
          <w:lang w:val="bs-Latn-BA"/>
        </w:rPr>
        <w:t>још</w:t>
      </w:r>
      <w:r w:rsidR="00A8064D" w:rsidRPr="00295637">
        <w:rPr>
          <w:rFonts w:ascii="Times New Roman" w:hAnsi="Times New Roman"/>
          <w:szCs w:val="24"/>
          <w:lang w:val="bs-Latn-BA"/>
        </w:rPr>
        <w:t xml:space="preserve"> </w:t>
      </w:r>
      <w:r>
        <w:rPr>
          <w:rFonts w:ascii="Times New Roman" w:hAnsi="Times New Roman"/>
          <w:szCs w:val="24"/>
          <w:lang w:val="bs-Latn-BA"/>
        </w:rPr>
        <w:t>јачу</w:t>
      </w:r>
      <w:r w:rsidR="00A8064D" w:rsidRPr="00295637">
        <w:rPr>
          <w:rFonts w:ascii="Times New Roman" w:hAnsi="Times New Roman"/>
          <w:szCs w:val="24"/>
          <w:lang w:val="bs-Latn-BA"/>
        </w:rPr>
        <w:t xml:space="preserve"> </w:t>
      </w:r>
      <w:r>
        <w:rPr>
          <w:rFonts w:ascii="Times New Roman" w:hAnsi="Times New Roman"/>
          <w:szCs w:val="24"/>
          <w:lang w:val="bs-Latn-BA"/>
        </w:rPr>
        <w:t>заштиту</w:t>
      </w:r>
      <w:r w:rsidR="00A8064D" w:rsidRPr="00295637">
        <w:rPr>
          <w:rFonts w:ascii="Times New Roman" w:hAnsi="Times New Roman"/>
          <w:szCs w:val="24"/>
          <w:lang w:val="bs-Latn-BA"/>
        </w:rPr>
        <w:t xml:space="preserve"> </w:t>
      </w:r>
      <w:r>
        <w:rPr>
          <w:rFonts w:ascii="Times New Roman" w:hAnsi="Times New Roman"/>
          <w:szCs w:val="24"/>
          <w:lang w:val="bs-Latn-BA"/>
        </w:rPr>
        <w:t>жена</w:t>
      </w:r>
      <w:r w:rsidR="00A8064D" w:rsidRPr="00295637">
        <w:rPr>
          <w:rFonts w:ascii="Times New Roman" w:hAnsi="Times New Roman"/>
          <w:szCs w:val="24"/>
          <w:lang w:val="bs-Latn-BA"/>
        </w:rPr>
        <w:t xml:space="preserve"> - </w:t>
      </w:r>
      <w:r>
        <w:rPr>
          <w:rFonts w:ascii="Times New Roman" w:hAnsi="Times New Roman"/>
          <w:szCs w:val="24"/>
          <w:lang w:val="bs-Latn-BA"/>
        </w:rPr>
        <w:t>забрану</w:t>
      </w:r>
      <w:r w:rsidR="00A8064D" w:rsidRPr="00295637">
        <w:rPr>
          <w:rFonts w:ascii="Times New Roman" w:hAnsi="Times New Roman"/>
          <w:szCs w:val="24"/>
          <w:lang w:val="bs-Latn-BA"/>
        </w:rPr>
        <w:t xml:space="preserve"> </w:t>
      </w:r>
      <w:r>
        <w:rPr>
          <w:rFonts w:ascii="Times New Roman" w:hAnsi="Times New Roman"/>
          <w:szCs w:val="24"/>
          <w:lang w:val="bs-Latn-BA"/>
        </w:rPr>
        <w:t>отказа</w:t>
      </w:r>
      <w:r w:rsidR="00A8064D" w:rsidRPr="00295637">
        <w:rPr>
          <w:rFonts w:ascii="Times New Roman" w:hAnsi="Times New Roman"/>
          <w:szCs w:val="24"/>
          <w:lang w:val="bs-Latn-BA"/>
        </w:rPr>
        <w:t xml:space="preserve"> </w:t>
      </w:r>
      <w:r>
        <w:rPr>
          <w:rFonts w:ascii="Times New Roman" w:hAnsi="Times New Roman"/>
          <w:szCs w:val="24"/>
          <w:lang w:val="bs-Latn-BA"/>
        </w:rPr>
        <w:t>током</w:t>
      </w:r>
      <w:r w:rsidR="00A8064D" w:rsidRPr="00295637">
        <w:rPr>
          <w:rFonts w:ascii="Times New Roman" w:hAnsi="Times New Roman"/>
          <w:szCs w:val="24"/>
          <w:lang w:val="bs-Latn-BA"/>
        </w:rPr>
        <w:t xml:space="preserve"> </w:t>
      </w:r>
      <w:r>
        <w:rPr>
          <w:rFonts w:ascii="Times New Roman" w:hAnsi="Times New Roman"/>
          <w:szCs w:val="24"/>
          <w:lang w:val="bs-Latn-BA"/>
        </w:rPr>
        <w:t>трудноће</w:t>
      </w:r>
      <w:r w:rsidR="00A8064D" w:rsidRPr="00295637">
        <w:rPr>
          <w:rFonts w:ascii="Times New Roman" w:hAnsi="Times New Roman"/>
          <w:szCs w:val="24"/>
          <w:lang w:val="bs-Latn-BA"/>
        </w:rPr>
        <w:t xml:space="preserve"> </w:t>
      </w:r>
      <w:r>
        <w:rPr>
          <w:rFonts w:ascii="Times New Roman" w:hAnsi="Times New Roman"/>
          <w:szCs w:val="24"/>
          <w:lang w:val="bs-Latn-BA"/>
        </w:rPr>
        <w:t>и</w:t>
      </w:r>
      <w:r w:rsidR="00A8064D" w:rsidRPr="00295637">
        <w:rPr>
          <w:rFonts w:ascii="Times New Roman" w:hAnsi="Times New Roman"/>
          <w:szCs w:val="24"/>
          <w:lang w:val="bs-Latn-BA"/>
        </w:rPr>
        <w:t xml:space="preserve"> </w:t>
      </w:r>
      <w:r>
        <w:rPr>
          <w:rFonts w:ascii="Times New Roman" w:hAnsi="Times New Roman"/>
          <w:szCs w:val="24"/>
          <w:lang w:val="bs-Latn-BA"/>
        </w:rPr>
        <w:t>породиљског</w:t>
      </w:r>
      <w:r w:rsidR="00A8064D" w:rsidRPr="00295637">
        <w:rPr>
          <w:rFonts w:ascii="Times New Roman" w:hAnsi="Times New Roman"/>
          <w:szCs w:val="24"/>
          <w:lang w:val="bs-Latn-BA"/>
        </w:rPr>
        <w:t xml:space="preserve"> </w:t>
      </w:r>
      <w:r>
        <w:rPr>
          <w:rFonts w:ascii="Times New Roman" w:hAnsi="Times New Roman"/>
          <w:szCs w:val="24"/>
          <w:lang w:val="bs-Latn-BA"/>
        </w:rPr>
        <w:t>одсуства</w:t>
      </w:r>
      <w:r w:rsidR="00A8064D" w:rsidRPr="00295637">
        <w:rPr>
          <w:rFonts w:ascii="Times New Roman" w:hAnsi="Times New Roman"/>
          <w:szCs w:val="24"/>
          <w:lang w:val="bs-Latn-BA"/>
        </w:rPr>
        <w:t xml:space="preserve">, </w:t>
      </w:r>
      <w:r>
        <w:rPr>
          <w:rFonts w:ascii="Times New Roman" w:hAnsi="Times New Roman"/>
          <w:szCs w:val="24"/>
          <w:lang w:val="bs-Latn-BA"/>
        </w:rPr>
        <w:t>флексибилне</w:t>
      </w:r>
      <w:r w:rsidR="00A8064D" w:rsidRPr="00295637">
        <w:rPr>
          <w:rFonts w:ascii="Times New Roman" w:hAnsi="Times New Roman"/>
          <w:szCs w:val="24"/>
          <w:lang w:val="bs-Latn-BA"/>
        </w:rPr>
        <w:t xml:space="preserve"> </w:t>
      </w:r>
      <w:r>
        <w:rPr>
          <w:rFonts w:ascii="Times New Roman" w:hAnsi="Times New Roman"/>
          <w:szCs w:val="24"/>
          <w:lang w:val="bs-Latn-BA"/>
        </w:rPr>
        <w:t>радне</w:t>
      </w:r>
      <w:r w:rsidR="00A8064D" w:rsidRPr="00295637">
        <w:rPr>
          <w:rFonts w:ascii="Times New Roman" w:hAnsi="Times New Roman"/>
          <w:szCs w:val="24"/>
          <w:lang w:val="bs-Latn-BA"/>
        </w:rPr>
        <w:t xml:space="preserve"> </w:t>
      </w:r>
      <w:r>
        <w:rPr>
          <w:rFonts w:ascii="Times New Roman" w:hAnsi="Times New Roman"/>
          <w:szCs w:val="24"/>
          <w:lang w:val="bs-Latn-BA"/>
        </w:rPr>
        <w:t>аранжмане</w:t>
      </w:r>
      <w:r w:rsidR="00132DF8" w:rsidRPr="00295637">
        <w:rPr>
          <w:rFonts w:ascii="Times New Roman" w:hAnsi="Times New Roman"/>
          <w:szCs w:val="24"/>
          <w:lang w:val="bs-Latn-BA"/>
        </w:rPr>
        <w:t>,</w:t>
      </w:r>
      <w:r w:rsidR="00A8064D" w:rsidRPr="00295637">
        <w:rPr>
          <w:rFonts w:ascii="Times New Roman" w:hAnsi="Times New Roman"/>
          <w:szCs w:val="24"/>
          <w:lang w:val="bs-Latn-BA"/>
        </w:rPr>
        <w:t xml:space="preserve"> </w:t>
      </w:r>
      <w:r>
        <w:rPr>
          <w:rFonts w:ascii="Times New Roman" w:hAnsi="Times New Roman"/>
          <w:szCs w:val="24"/>
          <w:lang w:val="bs-Latn-BA"/>
        </w:rPr>
        <w:t>те</w:t>
      </w:r>
      <w:r w:rsidR="00A8064D" w:rsidRPr="00295637">
        <w:rPr>
          <w:rFonts w:ascii="Times New Roman" w:hAnsi="Times New Roman"/>
          <w:szCs w:val="24"/>
          <w:lang w:val="bs-Latn-BA"/>
        </w:rPr>
        <w:t xml:space="preserve"> </w:t>
      </w:r>
      <w:r>
        <w:rPr>
          <w:rFonts w:ascii="Times New Roman" w:hAnsi="Times New Roman"/>
          <w:szCs w:val="24"/>
          <w:lang w:val="bs-Latn-BA"/>
        </w:rPr>
        <w:t>продужене</w:t>
      </w:r>
      <w:r w:rsidR="00A8064D" w:rsidRPr="00295637">
        <w:rPr>
          <w:rFonts w:ascii="Times New Roman" w:hAnsi="Times New Roman"/>
          <w:szCs w:val="24"/>
          <w:lang w:val="bs-Latn-BA"/>
        </w:rPr>
        <w:t xml:space="preserve"> </w:t>
      </w:r>
      <w:r>
        <w:rPr>
          <w:rFonts w:ascii="Times New Roman" w:hAnsi="Times New Roman"/>
          <w:szCs w:val="24"/>
          <w:lang w:val="bs-Latn-BA"/>
        </w:rPr>
        <w:t>паузе</w:t>
      </w:r>
      <w:r w:rsidR="00A8064D" w:rsidRPr="00295637">
        <w:rPr>
          <w:rFonts w:ascii="Times New Roman" w:hAnsi="Times New Roman"/>
          <w:szCs w:val="24"/>
          <w:lang w:val="bs-Latn-BA"/>
        </w:rPr>
        <w:t xml:space="preserve"> </w:t>
      </w:r>
      <w:r>
        <w:rPr>
          <w:rFonts w:ascii="Times New Roman" w:hAnsi="Times New Roman"/>
          <w:szCs w:val="24"/>
          <w:lang w:val="bs-Latn-BA"/>
        </w:rPr>
        <w:t>за</w:t>
      </w:r>
      <w:r w:rsidR="00A8064D" w:rsidRPr="00295637">
        <w:rPr>
          <w:rFonts w:ascii="Times New Roman" w:hAnsi="Times New Roman"/>
          <w:szCs w:val="24"/>
          <w:lang w:val="bs-Latn-BA"/>
        </w:rPr>
        <w:t xml:space="preserve"> </w:t>
      </w:r>
      <w:r>
        <w:rPr>
          <w:rFonts w:ascii="Times New Roman" w:hAnsi="Times New Roman"/>
          <w:szCs w:val="24"/>
          <w:lang w:val="bs-Latn-BA"/>
        </w:rPr>
        <w:t>дојење</w:t>
      </w:r>
      <w:r w:rsidR="00A8064D" w:rsidRPr="00295637">
        <w:rPr>
          <w:rFonts w:ascii="Times New Roman" w:hAnsi="Times New Roman"/>
          <w:szCs w:val="24"/>
          <w:lang w:val="bs-Latn-BA"/>
        </w:rPr>
        <w:t xml:space="preserve">. </w:t>
      </w:r>
      <w:r>
        <w:rPr>
          <w:rFonts w:ascii="Times New Roman" w:hAnsi="Times New Roman"/>
          <w:szCs w:val="24"/>
          <w:lang w:val="bs-Latn-BA"/>
        </w:rPr>
        <w:t>Разматрају</w:t>
      </w:r>
      <w:r w:rsidR="00A8064D" w:rsidRPr="00295637">
        <w:rPr>
          <w:rFonts w:ascii="Times New Roman" w:hAnsi="Times New Roman"/>
          <w:szCs w:val="24"/>
          <w:lang w:val="bs-Latn-BA"/>
        </w:rPr>
        <w:t xml:space="preserve"> </w:t>
      </w:r>
      <w:r>
        <w:rPr>
          <w:rFonts w:ascii="Times New Roman" w:hAnsi="Times New Roman"/>
          <w:szCs w:val="24"/>
          <w:lang w:val="bs-Latn-BA"/>
        </w:rPr>
        <w:t>се</w:t>
      </w:r>
      <w:r w:rsidR="00A8064D" w:rsidRPr="00295637">
        <w:rPr>
          <w:rFonts w:ascii="Times New Roman" w:hAnsi="Times New Roman"/>
          <w:szCs w:val="24"/>
          <w:lang w:val="bs-Latn-BA"/>
        </w:rPr>
        <w:t xml:space="preserve"> </w:t>
      </w:r>
      <w:r>
        <w:rPr>
          <w:rFonts w:ascii="Times New Roman" w:hAnsi="Times New Roman"/>
          <w:szCs w:val="24"/>
          <w:lang w:val="bs-Latn-BA"/>
        </w:rPr>
        <w:t>и</w:t>
      </w:r>
      <w:r w:rsidR="00A8064D" w:rsidRPr="00295637">
        <w:rPr>
          <w:rFonts w:ascii="Times New Roman" w:hAnsi="Times New Roman"/>
          <w:szCs w:val="24"/>
          <w:lang w:val="bs-Latn-BA"/>
        </w:rPr>
        <w:t xml:space="preserve"> </w:t>
      </w:r>
      <w:r>
        <w:rPr>
          <w:rFonts w:ascii="Times New Roman" w:hAnsi="Times New Roman"/>
          <w:szCs w:val="24"/>
          <w:lang w:val="bs-Latn-BA"/>
        </w:rPr>
        <w:t>додатни</w:t>
      </w:r>
      <w:r w:rsidR="00A8064D" w:rsidRPr="00295637">
        <w:rPr>
          <w:rFonts w:ascii="Times New Roman" w:hAnsi="Times New Roman"/>
          <w:szCs w:val="24"/>
          <w:lang w:val="bs-Latn-BA"/>
        </w:rPr>
        <w:t xml:space="preserve"> </w:t>
      </w:r>
      <w:r>
        <w:rPr>
          <w:rFonts w:ascii="Times New Roman" w:hAnsi="Times New Roman"/>
          <w:szCs w:val="24"/>
          <w:lang w:val="bs-Latn-BA"/>
        </w:rPr>
        <w:t>кораци</w:t>
      </w:r>
      <w:r w:rsidR="00A8064D" w:rsidRPr="00295637">
        <w:rPr>
          <w:rFonts w:ascii="Times New Roman" w:hAnsi="Times New Roman"/>
          <w:szCs w:val="24"/>
          <w:lang w:val="bs-Latn-BA"/>
        </w:rPr>
        <w:t xml:space="preserve"> </w:t>
      </w:r>
      <w:r>
        <w:rPr>
          <w:rFonts w:ascii="Times New Roman" w:hAnsi="Times New Roman"/>
          <w:szCs w:val="24"/>
          <w:lang w:val="bs-Latn-BA"/>
        </w:rPr>
        <w:t>попут</w:t>
      </w:r>
      <w:r w:rsidR="00A8064D" w:rsidRPr="00295637">
        <w:rPr>
          <w:rFonts w:ascii="Times New Roman" w:hAnsi="Times New Roman"/>
          <w:szCs w:val="24"/>
          <w:lang w:val="bs-Latn-BA"/>
        </w:rPr>
        <w:t xml:space="preserve"> </w:t>
      </w:r>
      <w:r>
        <w:rPr>
          <w:rFonts w:ascii="Times New Roman" w:hAnsi="Times New Roman"/>
          <w:szCs w:val="24"/>
          <w:lang w:val="bs-Latn-BA"/>
        </w:rPr>
        <w:t>продужења</w:t>
      </w:r>
      <w:r w:rsidR="00A8064D" w:rsidRPr="00295637">
        <w:rPr>
          <w:rFonts w:ascii="Times New Roman" w:hAnsi="Times New Roman"/>
          <w:szCs w:val="24"/>
          <w:lang w:val="bs-Latn-BA"/>
        </w:rPr>
        <w:t xml:space="preserve"> </w:t>
      </w:r>
      <w:r>
        <w:rPr>
          <w:rFonts w:ascii="Times New Roman" w:hAnsi="Times New Roman"/>
          <w:szCs w:val="24"/>
          <w:lang w:val="bs-Latn-BA"/>
        </w:rPr>
        <w:t>породиљског</w:t>
      </w:r>
      <w:r w:rsidR="00A8064D" w:rsidRPr="00295637">
        <w:rPr>
          <w:rFonts w:ascii="Times New Roman" w:hAnsi="Times New Roman"/>
          <w:szCs w:val="24"/>
          <w:lang w:val="bs-Latn-BA"/>
        </w:rPr>
        <w:t xml:space="preserve"> </w:t>
      </w:r>
      <w:r>
        <w:rPr>
          <w:rFonts w:ascii="Times New Roman" w:hAnsi="Times New Roman"/>
          <w:szCs w:val="24"/>
          <w:lang w:val="bs-Latn-BA"/>
        </w:rPr>
        <w:t>одсуства</w:t>
      </w:r>
      <w:r w:rsidR="00A8064D" w:rsidRPr="00295637">
        <w:rPr>
          <w:rFonts w:ascii="Times New Roman" w:hAnsi="Times New Roman"/>
          <w:szCs w:val="24"/>
          <w:lang w:val="bs-Latn-BA"/>
        </w:rPr>
        <w:t xml:space="preserve"> </w:t>
      </w:r>
      <w:r>
        <w:rPr>
          <w:rFonts w:ascii="Times New Roman" w:hAnsi="Times New Roman"/>
          <w:szCs w:val="24"/>
          <w:lang w:val="bs-Latn-BA"/>
        </w:rPr>
        <w:t>и</w:t>
      </w:r>
      <w:r w:rsidR="00A8064D" w:rsidRPr="00295637">
        <w:rPr>
          <w:rFonts w:ascii="Times New Roman" w:hAnsi="Times New Roman"/>
          <w:szCs w:val="24"/>
          <w:lang w:val="bs-Latn-BA"/>
        </w:rPr>
        <w:t xml:space="preserve"> </w:t>
      </w:r>
      <w:r>
        <w:rPr>
          <w:rFonts w:ascii="Times New Roman" w:hAnsi="Times New Roman"/>
          <w:szCs w:val="24"/>
          <w:lang w:val="bs-Latn-BA"/>
        </w:rPr>
        <w:t>увођења</w:t>
      </w:r>
      <w:r w:rsidR="00A8064D" w:rsidRPr="00295637">
        <w:rPr>
          <w:rFonts w:ascii="Times New Roman" w:hAnsi="Times New Roman"/>
          <w:szCs w:val="24"/>
          <w:lang w:val="bs-Latn-BA"/>
        </w:rPr>
        <w:t xml:space="preserve"> </w:t>
      </w:r>
      <w:r>
        <w:rPr>
          <w:rFonts w:ascii="Times New Roman" w:hAnsi="Times New Roman"/>
          <w:szCs w:val="24"/>
          <w:lang w:val="bs-Latn-BA"/>
        </w:rPr>
        <w:t>бенефицираног</w:t>
      </w:r>
      <w:r w:rsidR="00A8064D" w:rsidRPr="00295637">
        <w:rPr>
          <w:rFonts w:ascii="Times New Roman" w:hAnsi="Times New Roman"/>
          <w:szCs w:val="24"/>
          <w:lang w:val="bs-Latn-BA"/>
        </w:rPr>
        <w:t xml:space="preserve"> </w:t>
      </w:r>
      <w:r>
        <w:rPr>
          <w:rFonts w:ascii="Times New Roman" w:hAnsi="Times New Roman"/>
          <w:szCs w:val="24"/>
          <w:lang w:val="bs-Latn-BA"/>
        </w:rPr>
        <w:t>радног</w:t>
      </w:r>
      <w:r w:rsidR="00A8064D" w:rsidRPr="00295637">
        <w:rPr>
          <w:rFonts w:ascii="Times New Roman" w:hAnsi="Times New Roman"/>
          <w:szCs w:val="24"/>
          <w:lang w:val="bs-Latn-BA"/>
        </w:rPr>
        <w:t xml:space="preserve"> </w:t>
      </w:r>
      <w:r>
        <w:rPr>
          <w:rFonts w:ascii="Times New Roman" w:hAnsi="Times New Roman"/>
          <w:szCs w:val="24"/>
          <w:lang w:val="bs-Latn-BA"/>
        </w:rPr>
        <w:t>стажа</w:t>
      </w:r>
      <w:r w:rsidR="00A8064D" w:rsidRPr="00295637">
        <w:rPr>
          <w:rFonts w:ascii="Times New Roman" w:hAnsi="Times New Roman"/>
          <w:szCs w:val="24"/>
          <w:lang w:val="bs-Latn-BA"/>
        </w:rPr>
        <w:t xml:space="preserve"> </w:t>
      </w:r>
      <w:r>
        <w:rPr>
          <w:rFonts w:ascii="Times New Roman" w:hAnsi="Times New Roman"/>
          <w:szCs w:val="24"/>
          <w:lang w:val="bs-Latn-BA"/>
        </w:rPr>
        <w:t>за</w:t>
      </w:r>
      <w:r w:rsidR="00A8064D" w:rsidRPr="00295637">
        <w:rPr>
          <w:rFonts w:ascii="Times New Roman" w:hAnsi="Times New Roman"/>
          <w:szCs w:val="24"/>
          <w:lang w:val="bs-Latn-BA"/>
        </w:rPr>
        <w:t xml:space="preserve"> </w:t>
      </w:r>
      <w:r>
        <w:rPr>
          <w:rFonts w:ascii="Times New Roman" w:hAnsi="Times New Roman"/>
          <w:szCs w:val="24"/>
          <w:lang w:val="bs-Latn-BA"/>
        </w:rPr>
        <w:t>свако</w:t>
      </w:r>
      <w:r w:rsidR="00A8064D" w:rsidRPr="00295637">
        <w:rPr>
          <w:rFonts w:ascii="Times New Roman" w:hAnsi="Times New Roman"/>
          <w:szCs w:val="24"/>
          <w:lang w:val="bs-Latn-BA"/>
        </w:rPr>
        <w:t xml:space="preserve"> </w:t>
      </w:r>
      <w:r>
        <w:rPr>
          <w:rFonts w:ascii="Times New Roman" w:hAnsi="Times New Roman"/>
          <w:szCs w:val="24"/>
          <w:lang w:val="bs-Latn-BA"/>
        </w:rPr>
        <w:t>рођено</w:t>
      </w:r>
      <w:r w:rsidR="00A8064D" w:rsidRPr="00295637">
        <w:rPr>
          <w:rFonts w:ascii="Times New Roman" w:hAnsi="Times New Roman"/>
          <w:szCs w:val="24"/>
          <w:lang w:val="bs-Latn-BA"/>
        </w:rPr>
        <w:t xml:space="preserve"> </w:t>
      </w:r>
      <w:r>
        <w:rPr>
          <w:rFonts w:ascii="Times New Roman" w:hAnsi="Times New Roman"/>
          <w:szCs w:val="24"/>
          <w:lang w:val="bs-Latn-BA"/>
        </w:rPr>
        <w:t>дијете</w:t>
      </w:r>
      <w:r w:rsidR="00A8064D" w:rsidRPr="00295637">
        <w:rPr>
          <w:rFonts w:ascii="Times New Roman" w:hAnsi="Times New Roman"/>
          <w:szCs w:val="24"/>
          <w:lang w:val="bs-Latn-BA"/>
        </w:rPr>
        <w:t xml:space="preserve">, </w:t>
      </w:r>
      <w:r>
        <w:rPr>
          <w:rFonts w:ascii="Times New Roman" w:hAnsi="Times New Roman"/>
          <w:szCs w:val="24"/>
          <w:lang w:val="bs-Latn-BA"/>
        </w:rPr>
        <w:t>чиме</w:t>
      </w:r>
      <w:r w:rsidR="00A8064D" w:rsidRPr="00295637">
        <w:rPr>
          <w:rFonts w:ascii="Times New Roman" w:hAnsi="Times New Roman"/>
          <w:szCs w:val="24"/>
          <w:lang w:val="bs-Latn-BA"/>
        </w:rPr>
        <w:t xml:space="preserve"> </w:t>
      </w:r>
      <w:r>
        <w:rPr>
          <w:rFonts w:ascii="Times New Roman" w:hAnsi="Times New Roman"/>
          <w:szCs w:val="24"/>
          <w:lang w:val="bs-Latn-BA"/>
        </w:rPr>
        <w:t>би</w:t>
      </w:r>
      <w:r w:rsidR="00A8064D" w:rsidRPr="00295637">
        <w:rPr>
          <w:rFonts w:ascii="Times New Roman" w:hAnsi="Times New Roman"/>
          <w:szCs w:val="24"/>
          <w:lang w:val="bs-Latn-BA"/>
        </w:rPr>
        <w:t xml:space="preserve"> </w:t>
      </w:r>
      <w:r>
        <w:rPr>
          <w:rFonts w:ascii="Times New Roman" w:hAnsi="Times New Roman"/>
          <w:szCs w:val="24"/>
          <w:lang w:val="bs-Latn-BA"/>
        </w:rPr>
        <w:t>се</w:t>
      </w:r>
      <w:r w:rsidR="00A8064D" w:rsidRPr="00295637">
        <w:rPr>
          <w:rFonts w:ascii="Times New Roman" w:hAnsi="Times New Roman"/>
          <w:szCs w:val="24"/>
          <w:lang w:val="bs-Latn-BA"/>
        </w:rPr>
        <w:t xml:space="preserve"> </w:t>
      </w:r>
      <w:r>
        <w:rPr>
          <w:rFonts w:ascii="Times New Roman" w:hAnsi="Times New Roman"/>
          <w:szCs w:val="24"/>
          <w:lang w:val="bs-Latn-BA"/>
        </w:rPr>
        <w:t>додатно</w:t>
      </w:r>
      <w:r w:rsidR="00A8064D" w:rsidRPr="00295637">
        <w:rPr>
          <w:rFonts w:ascii="Times New Roman" w:hAnsi="Times New Roman"/>
          <w:szCs w:val="24"/>
          <w:lang w:val="bs-Latn-BA"/>
        </w:rPr>
        <w:t xml:space="preserve"> </w:t>
      </w:r>
      <w:r>
        <w:rPr>
          <w:rFonts w:ascii="Times New Roman" w:hAnsi="Times New Roman"/>
          <w:szCs w:val="24"/>
          <w:lang w:val="bs-Latn-BA"/>
        </w:rPr>
        <w:t>унаприједила</w:t>
      </w:r>
      <w:r w:rsidR="00A8064D" w:rsidRPr="00295637">
        <w:rPr>
          <w:rFonts w:ascii="Times New Roman" w:hAnsi="Times New Roman"/>
          <w:szCs w:val="24"/>
          <w:lang w:val="bs-Latn-BA"/>
        </w:rPr>
        <w:t xml:space="preserve"> </w:t>
      </w:r>
      <w:r>
        <w:rPr>
          <w:rFonts w:ascii="Times New Roman" w:hAnsi="Times New Roman"/>
          <w:szCs w:val="24"/>
          <w:lang w:val="bs-Latn-BA"/>
        </w:rPr>
        <w:t>демографска</w:t>
      </w:r>
      <w:r w:rsidR="00A8064D" w:rsidRPr="00295637">
        <w:rPr>
          <w:rFonts w:ascii="Times New Roman" w:hAnsi="Times New Roman"/>
          <w:szCs w:val="24"/>
          <w:lang w:val="bs-Latn-BA"/>
        </w:rPr>
        <w:t xml:space="preserve"> </w:t>
      </w:r>
      <w:r>
        <w:rPr>
          <w:rFonts w:ascii="Times New Roman" w:hAnsi="Times New Roman"/>
          <w:szCs w:val="24"/>
          <w:lang w:val="bs-Latn-BA"/>
        </w:rPr>
        <w:t>слика</w:t>
      </w:r>
      <w:r w:rsidR="00A8064D" w:rsidRPr="00295637">
        <w:rPr>
          <w:rFonts w:ascii="Times New Roman" w:hAnsi="Times New Roman"/>
          <w:szCs w:val="24"/>
          <w:lang w:val="bs-Latn-BA"/>
        </w:rPr>
        <w:t xml:space="preserve"> </w:t>
      </w:r>
      <w:r>
        <w:rPr>
          <w:rFonts w:ascii="Times New Roman" w:hAnsi="Times New Roman"/>
          <w:szCs w:val="24"/>
          <w:lang w:val="bs-Latn-BA"/>
        </w:rPr>
        <w:t>земље</w:t>
      </w:r>
      <w:r w:rsidR="00A8064D" w:rsidRPr="00295637">
        <w:rPr>
          <w:rFonts w:ascii="Times New Roman" w:hAnsi="Times New Roman"/>
          <w:szCs w:val="24"/>
          <w:lang w:val="bs-Latn-BA"/>
        </w:rPr>
        <w:t>.</w:t>
      </w:r>
    </w:p>
    <w:p w:rsidR="008D56A8" w:rsidRPr="00295637" w:rsidRDefault="008D56A8" w:rsidP="0086268D">
      <w:pPr>
        <w:tabs>
          <w:tab w:val="left" w:pos="284"/>
          <w:tab w:val="left" w:pos="630"/>
          <w:tab w:val="left" w:pos="1080"/>
        </w:tabs>
        <w:jc w:val="both"/>
        <w:rPr>
          <w:rFonts w:ascii="Times New Roman" w:hAnsi="Times New Roman"/>
          <w:szCs w:val="24"/>
          <w:lang w:val="bs-Latn-BA"/>
        </w:rPr>
      </w:pPr>
    </w:p>
    <w:p w:rsidR="008D56A8"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ФМРСП</w:t>
      </w:r>
      <w:r w:rsidR="00A8064D" w:rsidRPr="00295637">
        <w:rPr>
          <w:rFonts w:ascii="Times New Roman" w:hAnsi="Times New Roman"/>
          <w:szCs w:val="24"/>
          <w:lang w:val="bs-Latn-BA"/>
        </w:rPr>
        <w:t xml:space="preserve"> </w:t>
      </w:r>
      <w:r>
        <w:rPr>
          <w:rFonts w:ascii="Times New Roman" w:hAnsi="Times New Roman"/>
          <w:szCs w:val="24"/>
          <w:lang w:val="bs-Latn-BA"/>
        </w:rPr>
        <w:t>је</w:t>
      </w:r>
      <w:r w:rsidR="00290859">
        <w:rPr>
          <w:rFonts w:ascii="Times New Roman" w:hAnsi="Times New Roman"/>
          <w:szCs w:val="24"/>
          <w:lang w:val="bs-Latn-BA"/>
        </w:rPr>
        <w:t xml:space="preserve"> </w:t>
      </w:r>
      <w:r>
        <w:rPr>
          <w:rFonts w:ascii="Times New Roman" w:hAnsi="Times New Roman"/>
          <w:szCs w:val="24"/>
          <w:lang w:val="bs-Latn-BA"/>
        </w:rPr>
        <w:t>провело</w:t>
      </w:r>
      <w:r w:rsidR="00A8064D" w:rsidRPr="00295637">
        <w:rPr>
          <w:rFonts w:ascii="Times New Roman" w:hAnsi="Times New Roman"/>
          <w:szCs w:val="24"/>
          <w:lang w:val="bs-Latn-BA"/>
        </w:rPr>
        <w:t xml:space="preserve"> </w:t>
      </w:r>
      <w:r>
        <w:rPr>
          <w:rFonts w:ascii="Times New Roman" w:hAnsi="Times New Roman"/>
          <w:szCs w:val="24"/>
          <w:lang w:val="bs-Latn-BA"/>
        </w:rPr>
        <w:t>низ</w:t>
      </w:r>
      <w:r w:rsidR="00A8064D" w:rsidRPr="00295637">
        <w:rPr>
          <w:rFonts w:ascii="Times New Roman" w:hAnsi="Times New Roman"/>
          <w:szCs w:val="24"/>
          <w:lang w:val="bs-Latn-BA"/>
        </w:rPr>
        <w:t xml:space="preserve"> </w:t>
      </w:r>
      <w:r>
        <w:rPr>
          <w:rFonts w:ascii="Times New Roman" w:hAnsi="Times New Roman"/>
          <w:szCs w:val="24"/>
          <w:lang w:val="bs-Latn-BA"/>
        </w:rPr>
        <w:t>активности</w:t>
      </w:r>
      <w:r w:rsidR="00A8064D" w:rsidRPr="00295637">
        <w:rPr>
          <w:rFonts w:ascii="Times New Roman" w:hAnsi="Times New Roman"/>
          <w:szCs w:val="24"/>
          <w:lang w:val="bs-Latn-BA"/>
        </w:rPr>
        <w:t xml:space="preserve"> </w:t>
      </w:r>
      <w:r>
        <w:rPr>
          <w:rFonts w:ascii="Times New Roman" w:hAnsi="Times New Roman"/>
          <w:szCs w:val="24"/>
          <w:lang w:val="bs-Latn-BA"/>
        </w:rPr>
        <w:t>у</w:t>
      </w:r>
      <w:r w:rsidR="00A8064D" w:rsidRPr="00295637">
        <w:rPr>
          <w:rFonts w:ascii="Times New Roman" w:hAnsi="Times New Roman"/>
          <w:szCs w:val="24"/>
          <w:lang w:val="bs-Latn-BA"/>
        </w:rPr>
        <w:t xml:space="preserve"> </w:t>
      </w:r>
      <w:r>
        <w:rPr>
          <w:rFonts w:ascii="Times New Roman" w:hAnsi="Times New Roman"/>
          <w:szCs w:val="24"/>
          <w:lang w:val="bs-Latn-BA"/>
        </w:rPr>
        <w:t>области</w:t>
      </w:r>
      <w:r w:rsidR="00A8064D" w:rsidRPr="00295637">
        <w:rPr>
          <w:rFonts w:ascii="Times New Roman" w:hAnsi="Times New Roman"/>
          <w:szCs w:val="24"/>
          <w:lang w:val="bs-Latn-BA"/>
        </w:rPr>
        <w:t xml:space="preserve"> </w:t>
      </w:r>
      <w:r>
        <w:rPr>
          <w:rFonts w:ascii="Times New Roman" w:hAnsi="Times New Roman"/>
          <w:szCs w:val="24"/>
          <w:lang w:val="bs-Latn-BA"/>
        </w:rPr>
        <w:t>запошљавања</w:t>
      </w:r>
      <w:r w:rsidR="00A8064D" w:rsidRPr="00295637">
        <w:rPr>
          <w:rFonts w:ascii="Times New Roman" w:hAnsi="Times New Roman"/>
          <w:szCs w:val="24"/>
          <w:lang w:val="bs-Latn-BA"/>
        </w:rPr>
        <w:t xml:space="preserve">, </w:t>
      </w:r>
      <w:r>
        <w:rPr>
          <w:rFonts w:ascii="Times New Roman" w:hAnsi="Times New Roman"/>
          <w:szCs w:val="24"/>
          <w:lang w:val="bs-Latn-BA"/>
        </w:rPr>
        <w:t>социјалне</w:t>
      </w:r>
      <w:r w:rsidR="00A8064D" w:rsidRPr="00295637">
        <w:rPr>
          <w:rFonts w:ascii="Times New Roman" w:hAnsi="Times New Roman"/>
          <w:szCs w:val="24"/>
          <w:lang w:val="bs-Latn-BA"/>
        </w:rPr>
        <w:t xml:space="preserve"> </w:t>
      </w:r>
      <w:r w:rsidR="00DF7B6D">
        <w:rPr>
          <w:rFonts w:ascii="Times New Roman" w:hAnsi="Times New Roman"/>
          <w:szCs w:val="24"/>
          <w:lang w:val="sr-Cyrl-BA"/>
        </w:rPr>
        <w:t>безбједности</w:t>
      </w:r>
      <w:r w:rsidR="00A8064D" w:rsidRPr="00295637">
        <w:rPr>
          <w:rFonts w:ascii="Times New Roman" w:hAnsi="Times New Roman"/>
          <w:szCs w:val="24"/>
          <w:lang w:val="bs-Latn-BA"/>
        </w:rPr>
        <w:t xml:space="preserve"> </w:t>
      </w:r>
      <w:r>
        <w:rPr>
          <w:rFonts w:ascii="Times New Roman" w:hAnsi="Times New Roman"/>
          <w:szCs w:val="24"/>
          <w:lang w:val="bs-Latn-BA"/>
        </w:rPr>
        <w:t>и</w:t>
      </w:r>
      <w:r w:rsidR="00A8064D" w:rsidRPr="00295637">
        <w:rPr>
          <w:rFonts w:ascii="Times New Roman" w:hAnsi="Times New Roman"/>
          <w:szCs w:val="24"/>
          <w:lang w:val="bs-Latn-BA"/>
        </w:rPr>
        <w:t xml:space="preserve"> </w:t>
      </w:r>
      <w:r>
        <w:rPr>
          <w:rFonts w:ascii="Times New Roman" w:hAnsi="Times New Roman"/>
          <w:szCs w:val="24"/>
          <w:lang w:val="bs-Latn-BA"/>
        </w:rPr>
        <w:t>заштите</w:t>
      </w:r>
      <w:r w:rsidR="00A8064D" w:rsidRPr="00295637">
        <w:rPr>
          <w:rFonts w:ascii="Times New Roman" w:hAnsi="Times New Roman"/>
          <w:szCs w:val="24"/>
          <w:lang w:val="bs-Latn-BA"/>
        </w:rPr>
        <w:t xml:space="preserve"> </w:t>
      </w:r>
      <w:r>
        <w:rPr>
          <w:rFonts w:ascii="Times New Roman" w:hAnsi="Times New Roman"/>
          <w:szCs w:val="24"/>
          <w:lang w:val="bs-Latn-BA"/>
        </w:rPr>
        <w:t>радних</w:t>
      </w:r>
      <w:r w:rsidR="00A8064D" w:rsidRPr="00295637">
        <w:rPr>
          <w:rFonts w:ascii="Times New Roman" w:hAnsi="Times New Roman"/>
          <w:szCs w:val="24"/>
          <w:lang w:val="bs-Latn-BA"/>
        </w:rPr>
        <w:t xml:space="preserve"> </w:t>
      </w:r>
      <w:r>
        <w:rPr>
          <w:rFonts w:ascii="Times New Roman" w:hAnsi="Times New Roman"/>
          <w:szCs w:val="24"/>
          <w:lang w:val="bs-Latn-BA"/>
        </w:rPr>
        <w:t>права</w:t>
      </w:r>
      <w:r w:rsidR="00A8064D" w:rsidRPr="00295637">
        <w:rPr>
          <w:rFonts w:ascii="Times New Roman" w:hAnsi="Times New Roman"/>
          <w:szCs w:val="24"/>
          <w:lang w:val="bs-Latn-BA"/>
        </w:rPr>
        <w:t xml:space="preserve">. </w:t>
      </w:r>
      <w:r>
        <w:rPr>
          <w:rFonts w:ascii="Times New Roman" w:hAnsi="Times New Roman"/>
          <w:szCs w:val="24"/>
          <w:lang w:val="bs-Latn-BA"/>
        </w:rPr>
        <w:t>Израђен</w:t>
      </w:r>
      <w:r w:rsidR="00A8064D" w:rsidRPr="00295637">
        <w:rPr>
          <w:rFonts w:ascii="Times New Roman" w:hAnsi="Times New Roman"/>
          <w:szCs w:val="24"/>
          <w:lang w:val="bs-Latn-BA"/>
        </w:rPr>
        <w:t xml:space="preserve"> </w:t>
      </w:r>
      <w:r>
        <w:rPr>
          <w:rFonts w:ascii="Times New Roman" w:hAnsi="Times New Roman"/>
          <w:szCs w:val="24"/>
          <w:lang w:val="bs-Latn-BA"/>
        </w:rPr>
        <w:t>је</w:t>
      </w:r>
      <w:r w:rsidR="00A8064D" w:rsidRPr="00295637">
        <w:rPr>
          <w:rFonts w:ascii="Times New Roman" w:hAnsi="Times New Roman"/>
          <w:szCs w:val="24"/>
          <w:lang w:val="bs-Latn-BA"/>
        </w:rPr>
        <w:t xml:space="preserve"> </w:t>
      </w:r>
      <w:r>
        <w:rPr>
          <w:rStyle w:val="Strong"/>
          <w:rFonts w:ascii="Times New Roman" w:hAnsi="Times New Roman"/>
          <w:b w:val="0"/>
          <w:szCs w:val="24"/>
          <w:lang w:val="bs-Latn-BA"/>
        </w:rPr>
        <w:t>Нацрт</w:t>
      </w:r>
      <w:r w:rsidR="00163AC2">
        <w:rPr>
          <w:rStyle w:val="Strong"/>
          <w:rFonts w:ascii="Times New Roman" w:hAnsi="Times New Roman"/>
          <w:b w:val="0"/>
          <w:szCs w:val="24"/>
          <w:lang w:val="bs-Latn-BA"/>
        </w:rPr>
        <w:t xml:space="preserve"> </w:t>
      </w:r>
      <w:r>
        <w:rPr>
          <w:rStyle w:val="Strong"/>
          <w:rFonts w:ascii="Times New Roman" w:hAnsi="Times New Roman"/>
          <w:b w:val="0"/>
          <w:szCs w:val="24"/>
          <w:lang w:val="bs-Latn-BA"/>
        </w:rPr>
        <w:t>закона</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о</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посредовању</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у</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запошљавању</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и</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социјалној</w:t>
      </w:r>
      <w:r w:rsidR="00A8064D" w:rsidRPr="00295637">
        <w:rPr>
          <w:rStyle w:val="Strong"/>
          <w:rFonts w:ascii="Times New Roman" w:hAnsi="Times New Roman"/>
          <w:b w:val="0"/>
          <w:szCs w:val="24"/>
          <w:lang w:val="bs-Latn-BA"/>
        </w:rPr>
        <w:t xml:space="preserve"> </w:t>
      </w:r>
      <w:r w:rsidR="00DF7B6D">
        <w:rPr>
          <w:rStyle w:val="Strong"/>
          <w:rFonts w:ascii="Times New Roman" w:hAnsi="Times New Roman"/>
          <w:b w:val="0"/>
          <w:szCs w:val="24"/>
          <w:lang w:val="sr-Cyrl-BA"/>
        </w:rPr>
        <w:t>безбједности</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незапослених</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лица</w:t>
      </w:r>
      <w:r w:rsidR="00A8064D" w:rsidRPr="004F0ED7">
        <w:rPr>
          <w:rFonts w:ascii="Times New Roman" w:hAnsi="Times New Roman"/>
          <w:szCs w:val="24"/>
          <w:lang w:val="bs-Latn-BA"/>
        </w:rPr>
        <w:t>,</w:t>
      </w:r>
      <w:r w:rsidR="00A8064D" w:rsidRPr="00295637">
        <w:rPr>
          <w:rFonts w:ascii="Times New Roman" w:hAnsi="Times New Roman"/>
          <w:szCs w:val="24"/>
          <w:lang w:val="bs-Latn-BA"/>
        </w:rPr>
        <w:t xml:space="preserve"> </w:t>
      </w:r>
      <w:r>
        <w:rPr>
          <w:rFonts w:ascii="Times New Roman" w:hAnsi="Times New Roman"/>
          <w:szCs w:val="24"/>
          <w:lang w:val="bs-Latn-BA"/>
        </w:rPr>
        <w:t>који</w:t>
      </w:r>
      <w:r w:rsidR="00A8064D" w:rsidRPr="00295637">
        <w:rPr>
          <w:rFonts w:ascii="Times New Roman" w:hAnsi="Times New Roman"/>
          <w:szCs w:val="24"/>
          <w:lang w:val="bs-Latn-BA"/>
        </w:rPr>
        <w:t xml:space="preserve"> </w:t>
      </w:r>
      <w:r>
        <w:rPr>
          <w:rFonts w:ascii="Times New Roman" w:hAnsi="Times New Roman"/>
          <w:szCs w:val="24"/>
          <w:lang w:val="bs-Latn-BA"/>
        </w:rPr>
        <w:t>је</w:t>
      </w:r>
      <w:r w:rsidR="00A8064D" w:rsidRPr="00295637">
        <w:rPr>
          <w:rFonts w:ascii="Times New Roman" w:hAnsi="Times New Roman"/>
          <w:szCs w:val="24"/>
          <w:lang w:val="bs-Latn-BA"/>
        </w:rPr>
        <w:t xml:space="preserve"> </w:t>
      </w:r>
      <w:r>
        <w:rPr>
          <w:rFonts w:ascii="Times New Roman" w:hAnsi="Times New Roman"/>
          <w:szCs w:val="24"/>
          <w:lang w:val="bs-Latn-BA"/>
        </w:rPr>
        <w:t>усвојен</w:t>
      </w:r>
      <w:r w:rsidR="00A8064D" w:rsidRPr="00295637">
        <w:rPr>
          <w:rFonts w:ascii="Times New Roman" w:hAnsi="Times New Roman"/>
          <w:szCs w:val="24"/>
          <w:lang w:val="bs-Latn-BA"/>
        </w:rPr>
        <w:t xml:space="preserve"> </w:t>
      </w:r>
      <w:r>
        <w:rPr>
          <w:rFonts w:ascii="Times New Roman" w:hAnsi="Times New Roman"/>
          <w:szCs w:val="24"/>
          <w:lang w:val="bs-Latn-BA"/>
        </w:rPr>
        <w:t>у</w:t>
      </w:r>
      <w:r w:rsidR="00A8064D" w:rsidRPr="00295637">
        <w:rPr>
          <w:rFonts w:ascii="Times New Roman" w:hAnsi="Times New Roman"/>
          <w:szCs w:val="24"/>
          <w:lang w:val="bs-Latn-BA"/>
        </w:rPr>
        <w:t xml:space="preserve"> </w:t>
      </w:r>
      <w:r>
        <w:rPr>
          <w:rFonts w:ascii="Times New Roman" w:hAnsi="Times New Roman"/>
          <w:szCs w:val="24"/>
          <w:lang w:val="bs-Latn-BA"/>
        </w:rPr>
        <w:t>оба</w:t>
      </w:r>
      <w:r w:rsidR="00A8064D" w:rsidRPr="00295637">
        <w:rPr>
          <w:rFonts w:ascii="Times New Roman" w:hAnsi="Times New Roman"/>
          <w:szCs w:val="24"/>
          <w:lang w:val="bs-Latn-BA"/>
        </w:rPr>
        <w:t xml:space="preserve"> </w:t>
      </w:r>
      <w:r>
        <w:rPr>
          <w:rFonts w:ascii="Times New Roman" w:hAnsi="Times New Roman"/>
          <w:szCs w:val="24"/>
          <w:lang w:val="bs-Latn-BA"/>
        </w:rPr>
        <w:t>дома</w:t>
      </w:r>
      <w:r w:rsidR="00A8064D" w:rsidRPr="00295637">
        <w:rPr>
          <w:rFonts w:ascii="Times New Roman" w:hAnsi="Times New Roman"/>
          <w:szCs w:val="24"/>
          <w:lang w:val="bs-Latn-BA"/>
        </w:rPr>
        <w:t xml:space="preserve"> </w:t>
      </w:r>
      <w:r>
        <w:rPr>
          <w:rFonts w:ascii="Times New Roman" w:hAnsi="Times New Roman"/>
          <w:szCs w:val="24"/>
          <w:lang w:val="bs-Latn-BA"/>
        </w:rPr>
        <w:t>Парламента</w:t>
      </w:r>
      <w:r w:rsidR="00A8064D" w:rsidRPr="00295637">
        <w:rPr>
          <w:rFonts w:ascii="Times New Roman" w:hAnsi="Times New Roman"/>
          <w:szCs w:val="24"/>
          <w:lang w:val="bs-Latn-BA"/>
        </w:rPr>
        <w:t xml:space="preserve"> </w:t>
      </w:r>
      <w:r>
        <w:rPr>
          <w:rFonts w:ascii="Times New Roman" w:hAnsi="Times New Roman"/>
          <w:szCs w:val="24"/>
          <w:lang w:val="bs-Latn-BA"/>
        </w:rPr>
        <w:t>ФБиХ</w:t>
      </w:r>
      <w:r w:rsidR="00A8064D" w:rsidRPr="00295637">
        <w:rPr>
          <w:rFonts w:ascii="Times New Roman" w:hAnsi="Times New Roman"/>
          <w:szCs w:val="24"/>
          <w:lang w:val="bs-Latn-BA"/>
        </w:rPr>
        <w:t xml:space="preserve"> </w:t>
      </w:r>
      <w:r>
        <w:rPr>
          <w:rFonts w:ascii="Times New Roman" w:hAnsi="Times New Roman"/>
          <w:szCs w:val="24"/>
          <w:lang w:val="bs-Latn-BA"/>
        </w:rPr>
        <w:t>и</w:t>
      </w:r>
      <w:r w:rsidR="00A8064D" w:rsidRPr="00295637">
        <w:rPr>
          <w:rFonts w:ascii="Times New Roman" w:hAnsi="Times New Roman"/>
          <w:szCs w:val="24"/>
          <w:lang w:val="bs-Latn-BA"/>
        </w:rPr>
        <w:t xml:space="preserve"> </w:t>
      </w:r>
      <w:r>
        <w:rPr>
          <w:rFonts w:ascii="Times New Roman" w:hAnsi="Times New Roman"/>
          <w:szCs w:val="24"/>
          <w:lang w:val="bs-Latn-BA"/>
        </w:rPr>
        <w:t>упућен</w:t>
      </w:r>
      <w:r w:rsidR="00A8064D" w:rsidRPr="00295637">
        <w:rPr>
          <w:rFonts w:ascii="Times New Roman" w:hAnsi="Times New Roman"/>
          <w:szCs w:val="24"/>
          <w:lang w:val="bs-Latn-BA"/>
        </w:rPr>
        <w:t xml:space="preserve"> </w:t>
      </w:r>
      <w:r>
        <w:rPr>
          <w:rFonts w:ascii="Times New Roman" w:hAnsi="Times New Roman"/>
          <w:szCs w:val="24"/>
          <w:lang w:val="bs-Latn-BA"/>
        </w:rPr>
        <w:t>у</w:t>
      </w:r>
      <w:r w:rsidR="00A8064D" w:rsidRPr="00295637">
        <w:rPr>
          <w:rFonts w:ascii="Times New Roman" w:hAnsi="Times New Roman"/>
          <w:szCs w:val="24"/>
          <w:lang w:val="bs-Latn-BA"/>
        </w:rPr>
        <w:t xml:space="preserve"> </w:t>
      </w:r>
      <w:r>
        <w:rPr>
          <w:rFonts w:ascii="Times New Roman" w:hAnsi="Times New Roman"/>
          <w:szCs w:val="24"/>
          <w:lang w:val="bs-Latn-BA"/>
        </w:rPr>
        <w:t>јавну</w:t>
      </w:r>
      <w:r w:rsidR="00A8064D" w:rsidRPr="00295637">
        <w:rPr>
          <w:rFonts w:ascii="Times New Roman" w:hAnsi="Times New Roman"/>
          <w:szCs w:val="24"/>
          <w:lang w:val="bs-Latn-BA"/>
        </w:rPr>
        <w:t xml:space="preserve"> </w:t>
      </w:r>
      <w:r>
        <w:rPr>
          <w:rFonts w:ascii="Times New Roman" w:hAnsi="Times New Roman"/>
          <w:szCs w:val="24"/>
          <w:lang w:val="bs-Latn-BA"/>
        </w:rPr>
        <w:t>расправу</w:t>
      </w:r>
      <w:r w:rsidR="00A8064D" w:rsidRPr="00295637">
        <w:rPr>
          <w:rFonts w:ascii="Times New Roman" w:hAnsi="Times New Roman"/>
          <w:szCs w:val="24"/>
          <w:lang w:val="bs-Latn-BA"/>
        </w:rPr>
        <w:t xml:space="preserve">. </w:t>
      </w:r>
      <w:r>
        <w:rPr>
          <w:rFonts w:ascii="Times New Roman" w:hAnsi="Times New Roman"/>
          <w:szCs w:val="24"/>
          <w:lang w:val="bs-Latn-BA"/>
        </w:rPr>
        <w:t>Нацрт</w:t>
      </w:r>
      <w:r w:rsidR="00A8064D" w:rsidRPr="00295637">
        <w:rPr>
          <w:rFonts w:ascii="Times New Roman" w:hAnsi="Times New Roman"/>
          <w:szCs w:val="24"/>
          <w:lang w:val="bs-Latn-BA"/>
        </w:rPr>
        <w:t xml:space="preserve"> </w:t>
      </w:r>
      <w:r>
        <w:rPr>
          <w:rFonts w:ascii="Times New Roman" w:hAnsi="Times New Roman"/>
          <w:szCs w:val="24"/>
          <w:lang w:val="bs-Latn-BA"/>
        </w:rPr>
        <w:t>предвиђа</w:t>
      </w:r>
      <w:r w:rsidR="00A8064D" w:rsidRPr="00295637">
        <w:rPr>
          <w:rFonts w:ascii="Times New Roman" w:hAnsi="Times New Roman"/>
          <w:szCs w:val="24"/>
          <w:lang w:val="bs-Latn-BA"/>
        </w:rPr>
        <w:t xml:space="preserve"> </w:t>
      </w:r>
      <w:r>
        <w:rPr>
          <w:rFonts w:ascii="Times New Roman" w:hAnsi="Times New Roman"/>
          <w:szCs w:val="24"/>
          <w:lang w:val="bs-Latn-BA"/>
        </w:rPr>
        <w:t>одвајање</w:t>
      </w:r>
      <w:r w:rsidR="00A8064D" w:rsidRPr="00295637">
        <w:rPr>
          <w:rFonts w:ascii="Times New Roman" w:hAnsi="Times New Roman"/>
          <w:szCs w:val="24"/>
          <w:lang w:val="bs-Latn-BA"/>
        </w:rPr>
        <w:t xml:space="preserve"> </w:t>
      </w:r>
      <w:r>
        <w:rPr>
          <w:rFonts w:ascii="Times New Roman" w:hAnsi="Times New Roman"/>
          <w:szCs w:val="24"/>
          <w:lang w:val="bs-Latn-BA"/>
        </w:rPr>
        <w:t>активних</w:t>
      </w:r>
      <w:r w:rsidR="00A8064D" w:rsidRPr="00295637">
        <w:rPr>
          <w:rFonts w:ascii="Times New Roman" w:hAnsi="Times New Roman"/>
          <w:szCs w:val="24"/>
          <w:lang w:val="bs-Latn-BA"/>
        </w:rPr>
        <w:t xml:space="preserve"> </w:t>
      </w:r>
      <w:r>
        <w:rPr>
          <w:rFonts w:ascii="Times New Roman" w:hAnsi="Times New Roman"/>
          <w:szCs w:val="24"/>
          <w:lang w:val="bs-Latn-BA"/>
        </w:rPr>
        <w:t>од</w:t>
      </w:r>
      <w:r w:rsidR="00A8064D" w:rsidRPr="00295637">
        <w:rPr>
          <w:rFonts w:ascii="Times New Roman" w:hAnsi="Times New Roman"/>
          <w:szCs w:val="24"/>
          <w:lang w:val="bs-Latn-BA"/>
        </w:rPr>
        <w:t xml:space="preserve"> </w:t>
      </w:r>
      <w:r>
        <w:rPr>
          <w:rFonts w:ascii="Times New Roman" w:hAnsi="Times New Roman"/>
          <w:szCs w:val="24"/>
          <w:lang w:val="bs-Latn-BA"/>
        </w:rPr>
        <w:t>пасивних</w:t>
      </w:r>
      <w:r w:rsidR="00A8064D" w:rsidRPr="00295637">
        <w:rPr>
          <w:rFonts w:ascii="Times New Roman" w:hAnsi="Times New Roman"/>
          <w:szCs w:val="24"/>
          <w:lang w:val="bs-Latn-BA"/>
        </w:rPr>
        <w:t xml:space="preserve"> </w:t>
      </w:r>
      <w:r>
        <w:rPr>
          <w:rFonts w:ascii="Times New Roman" w:hAnsi="Times New Roman"/>
          <w:szCs w:val="24"/>
          <w:lang w:val="bs-Latn-BA"/>
        </w:rPr>
        <w:t>тражилаца</w:t>
      </w:r>
      <w:r w:rsidR="00A8064D" w:rsidRPr="00295637">
        <w:rPr>
          <w:rFonts w:ascii="Times New Roman" w:hAnsi="Times New Roman"/>
          <w:szCs w:val="24"/>
          <w:lang w:val="bs-Latn-BA"/>
        </w:rPr>
        <w:t xml:space="preserve"> </w:t>
      </w:r>
      <w:r>
        <w:rPr>
          <w:rFonts w:ascii="Times New Roman" w:hAnsi="Times New Roman"/>
          <w:szCs w:val="24"/>
          <w:lang w:val="bs-Latn-BA"/>
        </w:rPr>
        <w:t>посла</w:t>
      </w:r>
      <w:r w:rsidR="00A8064D" w:rsidRPr="00295637">
        <w:rPr>
          <w:rFonts w:ascii="Times New Roman" w:hAnsi="Times New Roman"/>
          <w:szCs w:val="24"/>
          <w:lang w:val="bs-Latn-BA"/>
        </w:rPr>
        <w:t xml:space="preserve"> </w:t>
      </w:r>
      <w:r>
        <w:rPr>
          <w:rFonts w:ascii="Times New Roman" w:hAnsi="Times New Roman"/>
          <w:szCs w:val="24"/>
          <w:lang w:val="bs-Latn-BA"/>
        </w:rPr>
        <w:t>и</w:t>
      </w:r>
      <w:r w:rsidR="00A8064D" w:rsidRPr="00295637">
        <w:rPr>
          <w:rFonts w:ascii="Times New Roman" w:hAnsi="Times New Roman"/>
          <w:szCs w:val="24"/>
          <w:lang w:val="bs-Latn-BA"/>
        </w:rPr>
        <w:t xml:space="preserve"> </w:t>
      </w:r>
      <w:r>
        <w:rPr>
          <w:rFonts w:ascii="Times New Roman" w:hAnsi="Times New Roman"/>
          <w:szCs w:val="24"/>
          <w:lang w:val="bs-Latn-BA"/>
        </w:rPr>
        <w:t>јачање</w:t>
      </w:r>
      <w:r w:rsidR="00A8064D" w:rsidRPr="00295637">
        <w:rPr>
          <w:rFonts w:ascii="Times New Roman" w:hAnsi="Times New Roman"/>
          <w:szCs w:val="24"/>
          <w:lang w:val="bs-Latn-BA"/>
        </w:rPr>
        <w:t xml:space="preserve"> </w:t>
      </w:r>
      <w:r>
        <w:rPr>
          <w:rFonts w:ascii="Times New Roman" w:hAnsi="Times New Roman"/>
          <w:szCs w:val="24"/>
          <w:lang w:val="bs-Latn-BA"/>
        </w:rPr>
        <w:t>функције</w:t>
      </w:r>
      <w:r w:rsidR="00A8064D" w:rsidRPr="00295637">
        <w:rPr>
          <w:rFonts w:ascii="Times New Roman" w:hAnsi="Times New Roman"/>
          <w:szCs w:val="24"/>
          <w:lang w:val="bs-Latn-BA"/>
        </w:rPr>
        <w:t xml:space="preserve"> </w:t>
      </w:r>
      <w:r>
        <w:rPr>
          <w:rFonts w:ascii="Times New Roman" w:hAnsi="Times New Roman"/>
          <w:szCs w:val="24"/>
          <w:lang w:val="bs-Latn-BA"/>
        </w:rPr>
        <w:t>посредовања</w:t>
      </w:r>
      <w:r w:rsidR="00A8064D" w:rsidRPr="00295637">
        <w:rPr>
          <w:rFonts w:ascii="Times New Roman" w:hAnsi="Times New Roman"/>
          <w:szCs w:val="24"/>
          <w:lang w:val="bs-Latn-BA"/>
        </w:rPr>
        <w:t xml:space="preserve"> </w:t>
      </w:r>
      <w:r>
        <w:rPr>
          <w:rFonts w:ascii="Times New Roman" w:hAnsi="Times New Roman"/>
          <w:szCs w:val="24"/>
          <w:lang w:val="bs-Latn-BA"/>
        </w:rPr>
        <w:t>у</w:t>
      </w:r>
      <w:r w:rsidR="00A8064D" w:rsidRPr="00295637">
        <w:rPr>
          <w:rFonts w:ascii="Times New Roman" w:hAnsi="Times New Roman"/>
          <w:szCs w:val="24"/>
          <w:lang w:val="bs-Latn-BA"/>
        </w:rPr>
        <w:t xml:space="preserve"> </w:t>
      </w:r>
      <w:r>
        <w:rPr>
          <w:rFonts w:ascii="Times New Roman" w:hAnsi="Times New Roman"/>
          <w:szCs w:val="24"/>
          <w:lang w:val="bs-Latn-BA"/>
        </w:rPr>
        <w:t>запошљавању</w:t>
      </w:r>
      <w:r w:rsidR="00A8064D" w:rsidRPr="00295637">
        <w:rPr>
          <w:rFonts w:ascii="Times New Roman" w:hAnsi="Times New Roman"/>
          <w:szCs w:val="24"/>
          <w:lang w:val="bs-Latn-BA"/>
        </w:rPr>
        <w:t xml:space="preserve">. </w:t>
      </w:r>
      <w:r>
        <w:rPr>
          <w:rFonts w:ascii="Times New Roman" w:hAnsi="Times New Roman"/>
          <w:szCs w:val="24"/>
          <w:lang w:val="bs-Latn-BA"/>
        </w:rPr>
        <w:t>У</w:t>
      </w:r>
      <w:r w:rsidR="00A8064D" w:rsidRPr="00295637">
        <w:rPr>
          <w:rFonts w:ascii="Times New Roman" w:hAnsi="Times New Roman"/>
          <w:szCs w:val="24"/>
          <w:lang w:val="bs-Latn-BA"/>
        </w:rPr>
        <w:t xml:space="preserve"> </w:t>
      </w:r>
      <w:r>
        <w:rPr>
          <w:rFonts w:ascii="Times New Roman" w:hAnsi="Times New Roman"/>
          <w:szCs w:val="24"/>
          <w:lang w:val="bs-Latn-BA"/>
        </w:rPr>
        <w:t>оквиру</w:t>
      </w:r>
      <w:r w:rsidR="00A8064D" w:rsidRPr="00295637">
        <w:rPr>
          <w:rFonts w:ascii="Times New Roman" w:hAnsi="Times New Roman"/>
          <w:szCs w:val="24"/>
          <w:lang w:val="bs-Latn-BA"/>
        </w:rPr>
        <w:t xml:space="preserve"> </w:t>
      </w:r>
      <w:r w:rsidR="00DF7B6D">
        <w:rPr>
          <w:rStyle w:val="Strong"/>
          <w:rFonts w:ascii="Times New Roman" w:hAnsi="Times New Roman"/>
          <w:b w:val="0"/>
          <w:szCs w:val="24"/>
          <w:lang w:val="sr-Cyrl-BA"/>
        </w:rPr>
        <w:t>спровођења</w:t>
      </w:r>
      <w:r w:rsidR="00A8064D" w:rsidRPr="00295637">
        <w:rPr>
          <w:rStyle w:val="Strong"/>
          <w:rFonts w:ascii="Times New Roman" w:hAnsi="Times New Roman"/>
          <w:szCs w:val="24"/>
          <w:lang w:val="bs-Latn-BA"/>
        </w:rPr>
        <w:t xml:space="preserve"> </w:t>
      </w:r>
      <w:r>
        <w:rPr>
          <w:rStyle w:val="Strong"/>
          <w:rFonts w:ascii="Times New Roman" w:hAnsi="Times New Roman"/>
          <w:b w:val="0"/>
          <w:szCs w:val="24"/>
          <w:lang w:val="bs-Latn-BA"/>
        </w:rPr>
        <w:t>Закона</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о</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посредовању</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у</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запошљавању</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и</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социјалној</w:t>
      </w:r>
      <w:r w:rsidR="00A8064D" w:rsidRPr="00295637">
        <w:rPr>
          <w:rStyle w:val="Strong"/>
          <w:rFonts w:ascii="Times New Roman" w:hAnsi="Times New Roman"/>
          <w:b w:val="0"/>
          <w:szCs w:val="24"/>
          <w:lang w:val="bs-Latn-BA"/>
        </w:rPr>
        <w:t xml:space="preserve"> </w:t>
      </w:r>
      <w:r w:rsidR="00DF7B6D">
        <w:rPr>
          <w:rStyle w:val="Strong"/>
          <w:rFonts w:ascii="Times New Roman" w:hAnsi="Times New Roman"/>
          <w:b w:val="0"/>
          <w:szCs w:val="24"/>
          <w:lang w:val="sr-Cyrl-BA"/>
        </w:rPr>
        <w:t>безбједности</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незапослених</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лица</w:t>
      </w:r>
      <w:r w:rsidR="00A8064D" w:rsidRPr="00295637">
        <w:rPr>
          <w:rFonts w:ascii="Times New Roman" w:hAnsi="Times New Roman"/>
          <w:szCs w:val="24"/>
          <w:lang w:val="bs-Latn-BA"/>
        </w:rPr>
        <w:t xml:space="preserve">, </w:t>
      </w:r>
      <w:r>
        <w:rPr>
          <w:rFonts w:ascii="Times New Roman" w:hAnsi="Times New Roman"/>
          <w:szCs w:val="24"/>
          <w:lang w:val="bs-Latn-BA"/>
        </w:rPr>
        <w:t>извршен</w:t>
      </w:r>
      <w:r w:rsidR="00A8064D" w:rsidRPr="00295637">
        <w:rPr>
          <w:rFonts w:ascii="Times New Roman" w:hAnsi="Times New Roman"/>
          <w:szCs w:val="24"/>
          <w:lang w:val="bs-Latn-BA"/>
        </w:rPr>
        <w:t xml:space="preserve"> </w:t>
      </w:r>
      <w:r>
        <w:rPr>
          <w:rFonts w:ascii="Times New Roman" w:hAnsi="Times New Roman"/>
          <w:szCs w:val="24"/>
          <w:lang w:val="bs-Latn-BA"/>
        </w:rPr>
        <w:t>је</w:t>
      </w:r>
      <w:r w:rsidR="00A8064D" w:rsidRPr="00295637">
        <w:rPr>
          <w:rFonts w:ascii="Times New Roman" w:hAnsi="Times New Roman"/>
          <w:szCs w:val="24"/>
          <w:lang w:val="bs-Latn-BA"/>
        </w:rPr>
        <w:t xml:space="preserve"> </w:t>
      </w:r>
      <w:r>
        <w:rPr>
          <w:rFonts w:ascii="Times New Roman" w:hAnsi="Times New Roman"/>
          <w:szCs w:val="24"/>
          <w:lang w:val="bs-Latn-BA"/>
        </w:rPr>
        <w:t>надзор</w:t>
      </w:r>
      <w:r w:rsidR="00A8064D" w:rsidRPr="00295637">
        <w:rPr>
          <w:rFonts w:ascii="Times New Roman" w:hAnsi="Times New Roman"/>
          <w:szCs w:val="24"/>
          <w:lang w:val="bs-Latn-BA"/>
        </w:rPr>
        <w:t xml:space="preserve"> </w:t>
      </w:r>
      <w:r>
        <w:rPr>
          <w:rFonts w:ascii="Times New Roman" w:hAnsi="Times New Roman"/>
          <w:szCs w:val="24"/>
          <w:lang w:val="bs-Latn-BA"/>
        </w:rPr>
        <w:t>над</w:t>
      </w:r>
      <w:r w:rsidR="00A8064D" w:rsidRPr="00295637">
        <w:rPr>
          <w:rFonts w:ascii="Times New Roman" w:hAnsi="Times New Roman"/>
          <w:szCs w:val="24"/>
          <w:lang w:val="bs-Latn-BA"/>
        </w:rPr>
        <w:t xml:space="preserve"> </w:t>
      </w:r>
      <w:r>
        <w:rPr>
          <w:rFonts w:ascii="Times New Roman" w:hAnsi="Times New Roman"/>
          <w:szCs w:val="24"/>
          <w:lang w:val="bs-Latn-BA"/>
        </w:rPr>
        <w:t>радом</w:t>
      </w:r>
      <w:r w:rsidR="00A8064D" w:rsidRPr="00295637">
        <w:rPr>
          <w:rFonts w:ascii="Times New Roman" w:hAnsi="Times New Roman"/>
          <w:szCs w:val="24"/>
          <w:lang w:val="bs-Latn-BA"/>
        </w:rPr>
        <w:t xml:space="preserve"> </w:t>
      </w:r>
      <w:r>
        <w:rPr>
          <w:rFonts w:ascii="Times New Roman" w:hAnsi="Times New Roman"/>
          <w:szCs w:val="24"/>
          <w:lang w:val="bs-Latn-BA"/>
        </w:rPr>
        <w:t>ФЗЗ</w:t>
      </w:r>
      <w:r w:rsidR="00A8064D" w:rsidRPr="00295637">
        <w:rPr>
          <w:rFonts w:ascii="Times New Roman" w:hAnsi="Times New Roman"/>
          <w:szCs w:val="24"/>
          <w:lang w:val="bs-Latn-BA"/>
        </w:rPr>
        <w:t xml:space="preserve">, </w:t>
      </w:r>
      <w:r>
        <w:rPr>
          <w:rFonts w:ascii="Times New Roman" w:hAnsi="Times New Roman"/>
          <w:szCs w:val="24"/>
          <w:lang w:val="bs-Latn-BA"/>
        </w:rPr>
        <w:t>а</w:t>
      </w:r>
      <w:r w:rsidR="00A8064D" w:rsidRPr="00295637">
        <w:rPr>
          <w:rFonts w:ascii="Times New Roman" w:hAnsi="Times New Roman"/>
          <w:szCs w:val="24"/>
          <w:lang w:val="bs-Latn-BA"/>
        </w:rPr>
        <w:t xml:space="preserve"> </w:t>
      </w:r>
      <w:r>
        <w:rPr>
          <w:rFonts w:ascii="Times New Roman" w:hAnsi="Times New Roman"/>
          <w:szCs w:val="24"/>
          <w:lang w:val="bs-Latn-BA"/>
        </w:rPr>
        <w:t>одобрена</w:t>
      </w:r>
      <w:r w:rsidR="00A8064D" w:rsidRPr="00295637">
        <w:rPr>
          <w:rFonts w:ascii="Times New Roman" w:hAnsi="Times New Roman"/>
          <w:szCs w:val="24"/>
          <w:lang w:val="bs-Latn-BA"/>
        </w:rPr>
        <w:t xml:space="preserve"> </w:t>
      </w:r>
      <w:r>
        <w:rPr>
          <w:rFonts w:ascii="Times New Roman" w:hAnsi="Times New Roman"/>
          <w:szCs w:val="24"/>
          <w:lang w:val="bs-Latn-BA"/>
        </w:rPr>
        <w:t>су</w:t>
      </w:r>
      <w:r w:rsidR="00A8064D" w:rsidRPr="00295637">
        <w:rPr>
          <w:rFonts w:ascii="Times New Roman" w:hAnsi="Times New Roman"/>
          <w:szCs w:val="24"/>
          <w:lang w:val="bs-Latn-BA"/>
        </w:rPr>
        <w:t xml:space="preserve"> </w:t>
      </w:r>
      <w:r>
        <w:rPr>
          <w:rFonts w:ascii="Times New Roman" w:hAnsi="Times New Roman"/>
          <w:szCs w:val="24"/>
          <w:lang w:val="bs-Latn-BA"/>
        </w:rPr>
        <w:t>средства</w:t>
      </w:r>
      <w:r w:rsidR="00A8064D" w:rsidRPr="00295637">
        <w:rPr>
          <w:rFonts w:ascii="Times New Roman" w:hAnsi="Times New Roman"/>
          <w:szCs w:val="24"/>
          <w:lang w:val="bs-Latn-BA"/>
        </w:rPr>
        <w:t xml:space="preserve"> </w:t>
      </w:r>
      <w:r>
        <w:rPr>
          <w:rFonts w:ascii="Times New Roman" w:hAnsi="Times New Roman"/>
          <w:szCs w:val="24"/>
          <w:lang w:val="bs-Latn-BA"/>
        </w:rPr>
        <w:t>за</w:t>
      </w:r>
      <w:r w:rsidR="00A8064D" w:rsidRPr="00295637">
        <w:rPr>
          <w:rFonts w:ascii="Times New Roman" w:hAnsi="Times New Roman"/>
          <w:szCs w:val="24"/>
          <w:lang w:val="bs-Latn-BA"/>
        </w:rPr>
        <w:t xml:space="preserve"> </w:t>
      </w:r>
      <w:r>
        <w:rPr>
          <w:rFonts w:ascii="Times New Roman" w:hAnsi="Times New Roman"/>
          <w:szCs w:val="24"/>
          <w:lang w:val="bs-Latn-BA"/>
        </w:rPr>
        <w:t>кантоналне</w:t>
      </w:r>
      <w:r w:rsidR="00A8064D" w:rsidRPr="00295637">
        <w:rPr>
          <w:rFonts w:ascii="Times New Roman" w:hAnsi="Times New Roman"/>
          <w:szCs w:val="24"/>
          <w:lang w:val="bs-Latn-BA"/>
        </w:rPr>
        <w:t xml:space="preserve"> </w:t>
      </w:r>
      <w:r>
        <w:rPr>
          <w:rFonts w:ascii="Times New Roman" w:hAnsi="Times New Roman"/>
          <w:szCs w:val="24"/>
          <w:lang w:val="bs-Latn-BA"/>
        </w:rPr>
        <w:t>службе</w:t>
      </w:r>
      <w:r w:rsidR="00A8064D" w:rsidRPr="00295637">
        <w:rPr>
          <w:rFonts w:ascii="Times New Roman" w:hAnsi="Times New Roman"/>
          <w:szCs w:val="24"/>
          <w:lang w:val="bs-Latn-BA"/>
        </w:rPr>
        <w:t xml:space="preserve"> </w:t>
      </w:r>
      <w:r>
        <w:rPr>
          <w:rFonts w:ascii="Times New Roman" w:hAnsi="Times New Roman"/>
          <w:szCs w:val="24"/>
          <w:lang w:val="bs-Latn-BA"/>
        </w:rPr>
        <w:t>запошљавања</w:t>
      </w:r>
      <w:r w:rsidR="00A8064D" w:rsidRPr="00295637">
        <w:rPr>
          <w:rFonts w:ascii="Times New Roman" w:hAnsi="Times New Roman"/>
          <w:szCs w:val="24"/>
          <w:lang w:val="bs-Latn-BA"/>
        </w:rPr>
        <w:t xml:space="preserve"> </w:t>
      </w:r>
      <w:r>
        <w:rPr>
          <w:rFonts w:ascii="Times New Roman" w:hAnsi="Times New Roman"/>
          <w:szCs w:val="24"/>
          <w:lang w:val="bs-Latn-BA"/>
        </w:rPr>
        <w:t>како</w:t>
      </w:r>
      <w:r w:rsidR="00A8064D" w:rsidRPr="00295637">
        <w:rPr>
          <w:rFonts w:ascii="Times New Roman" w:hAnsi="Times New Roman"/>
          <w:szCs w:val="24"/>
          <w:lang w:val="bs-Latn-BA"/>
        </w:rPr>
        <w:t xml:space="preserve"> </w:t>
      </w:r>
      <w:r>
        <w:rPr>
          <w:rFonts w:ascii="Times New Roman" w:hAnsi="Times New Roman"/>
          <w:szCs w:val="24"/>
          <w:lang w:val="bs-Latn-BA"/>
        </w:rPr>
        <w:t>би</w:t>
      </w:r>
      <w:r w:rsidR="00A8064D" w:rsidRPr="00295637">
        <w:rPr>
          <w:rFonts w:ascii="Times New Roman" w:hAnsi="Times New Roman"/>
          <w:szCs w:val="24"/>
          <w:lang w:val="bs-Latn-BA"/>
        </w:rPr>
        <w:t xml:space="preserve"> </w:t>
      </w:r>
      <w:r>
        <w:rPr>
          <w:rFonts w:ascii="Times New Roman" w:hAnsi="Times New Roman"/>
          <w:szCs w:val="24"/>
          <w:lang w:val="bs-Latn-BA"/>
        </w:rPr>
        <w:t>се</w:t>
      </w:r>
      <w:r w:rsidR="00A8064D" w:rsidRPr="00295637">
        <w:rPr>
          <w:rFonts w:ascii="Times New Roman" w:hAnsi="Times New Roman"/>
          <w:szCs w:val="24"/>
          <w:lang w:val="bs-Latn-BA"/>
        </w:rPr>
        <w:t xml:space="preserve"> </w:t>
      </w:r>
      <w:r>
        <w:rPr>
          <w:rFonts w:ascii="Times New Roman" w:hAnsi="Times New Roman"/>
          <w:szCs w:val="24"/>
          <w:lang w:val="bs-Latn-BA"/>
        </w:rPr>
        <w:t>о</w:t>
      </w:r>
      <w:r w:rsidR="00DF7B6D">
        <w:rPr>
          <w:rFonts w:ascii="Times New Roman" w:hAnsi="Times New Roman"/>
          <w:szCs w:val="24"/>
          <w:lang w:val="sr-Cyrl-BA"/>
        </w:rPr>
        <w:t>безбиједила</w:t>
      </w:r>
      <w:r w:rsidR="00A8064D" w:rsidRPr="00295637">
        <w:rPr>
          <w:rFonts w:ascii="Times New Roman" w:hAnsi="Times New Roman"/>
          <w:szCs w:val="24"/>
          <w:lang w:val="bs-Latn-BA"/>
        </w:rPr>
        <w:t xml:space="preserve"> </w:t>
      </w:r>
      <w:r>
        <w:rPr>
          <w:rFonts w:ascii="Times New Roman" w:hAnsi="Times New Roman"/>
          <w:szCs w:val="24"/>
          <w:lang w:val="bs-Latn-BA"/>
        </w:rPr>
        <w:t>финансијска</w:t>
      </w:r>
      <w:r w:rsidR="00A8064D" w:rsidRPr="00295637">
        <w:rPr>
          <w:rFonts w:ascii="Times New Roman" w:hAnsi="Times New Roman"/>
          <w:szCs w:val="24"/>
          <w:lang w:val="bs-Latn-BA"/>
        </w:rPr>
        <w:t xml:space="preserve"> </w:t>
      </w:r>
      <w:r>
        <w:rPr>
          <w:rFonts w:ascii="Times New Roman" w:hAnsi="Times New Roman"/>
          <w:szCs w:val="24"/>
          <w:lang w:val="bs-Latn-BA"/>
        </w:rPr>
        <w:t>стабилност</w:t>
      </w:r>
      <w:r w:rsidR="00A8064D" w:rsidRPr="00295637">
        <w:rPr>
          <w:rFonts w:ascii="Times New Roman" w:hAnsi="Times New Roman"/>
          <w:szCs w:val="24"/>
          <w:lang w:val="bs-Latn-BA"/>
        </w:rPr>
        <w:t xml:space="preserve"> </w:t>
      </w:r>
      <w:r>
        <w:rPr>
          <w:rFonts w:ascii="Times New Roman" w:hAnsi="Times New Roman"/>
          <w:szCs w:val="24"/>
          <w:lang w:val="bs-Latn-BA"/>
        </w:rPr>
        <w:t>система</w:t>
      </w:r>
      <w:r w:rsidR="00A8064D" w:rsidRPr="00295637">
        <w:rPr>
          <w:rFonts w:ascii="Times New Roman" w:hAnsi="Times New Roman"/>
          <w:szCs w:val="24"/>
          <w:lang w:val="bs-Latn-BA"/>
        </w:rPr>
        <w:t xml:space="preserve">. </w:t>
      </w:r>
      <w:r>
        <w:rPr>
          <w:rFonts w:ascii="Times New Roman" w:hAnsi="Times New Roman"/>
          <w:szCs w:val="24"/>
          <w:lang w:val="bs-Latn-BA"/>
        </w:rPr>
        <w:t>Израђен</w:t>
      </w:r>
      <w:r w:rsidR="00A8064D" w:rsidRPr="00295637">
        <w:rPr>
          <w:rFonts w:ascii="Times New Roman" w:hAnsi="Times New Roman"/>
          <w:szCs w:val="24"/>
          <w:lang w:val="bs-Latn-BA"/>
        </w:rPr>
        <w:t xml:space="preserve"> </w:t>
      </w:r>
      <w:r>
        <w:rPr>
          <w:rFonts w:ascii="Times New Roman" w:hAnsi="Times New Roman"/>
          <w:szCs w:val="24"/>
          <w:lang w:val="bs-Latn-BA"/>
        </w:rPr>
        <w:t>је</w:t>
      </w:r>
      <w:r w:rsidR="00A8064D" w:rsidRPr="00295637">
        <w:rPr>
          <w:rFonts w:ascii="Times New Roman" w:hAnsi="Times New Roman"/>
          <w:szCs w:val="24"/>
          <w:lang w:val="bs-Latn-BA"/>
        </w:rPr>
        <w:t xml:space="preserve"> </w:t>
      </w:r>
      <w:r>
        <w:rPr>
          <w:rStyle w:val="Strong"/>
          <w:rFonts w:ascii="Times New Roman" w:hAnsi="Times New Roman"/>
          <w:b w:val="0"/>
          <w:szCs w:val="24"/>
          <w:lang w:val="bs-Latn-BA"/>
        </w:rPr>
        <w:t>Извјештај</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о</w:t>
      </w:r>
      <w:r w:rsidR="00A8064D" w:rsidRPr="00295637">
        <w:rPr>
          <w:rStyle w:val="Strong"/>
          <w:rFonts w:ascii="Times New Roman" w:hAnsi="Times New Roman"/>
          <w:b w:val="0"/>
          <w:szCs w:val="24"/>
          <w:lang w:val="bs-Latn-BA"/>
        </w:rPr>
        <w:t xml:space="preserve"> </w:t>
      </w:r>
      <w:r w:rsidR="00DF7B6D">
        <w:rPr>
          <w:rStyle w:val="Strong"/>
          <w:rFonts w:ascii="Times New Roman" w:hAnsi="Times New Roman"/>
          <w:b w:val="0"/>
          <w:szCs w:val="24"/>
          <w:lang w:val="sr-Cyrl-BA"/>
        </w:rPr>
        <w:t>спровођењу</w:t>
      </w:r>
      <w:r w:rsidR="00A8064D" w:rsidRPr="00295637">
        <w:rPr>
          <w:rStyle w:val="Strong"/>
          <w:rFonts w:ascii="Times New Roman" w:hAnsi="Times New Roman"/>
          <w:b w:val="0"/>
          <w:szCs w:val="24"/>
          <w:lang w:val="bs-Latn-BA"/>
        </w:rPr>
        <w:t xml:space="preserve"> </w:t>
      </w:r>
      <w:r>
        <w:rPr>
          <w:rStyle w:val="Strong"/>
          <w:rFonts w:ascii="Times New Roman" w:hAnsi="Times New Roman"/>
          <w:b w:val="0"/>
          <w:szCs w:val="24"/>
          <w:lang w:val="bs-Latn-BA"/>
        </w:rPr>
        <w:t>закона</w:t>
      </w:r>
      <w:r w:rsidR="00A8064D" w:rsidRPr="004F0ED7">
        <w:rPr>
          <w:rFonts w:ascii="Times New Roman" w:hAnsi="Times New Roman"/>
          <w:szCs w:val="24"/>
          <w:lang w:val="bs-Latn-BA"/>
        </w:rPr>
        <w:t>,</w:t>
      </w:r>
      <w:r w:rsidR="00A8064D" w:rsidRPr="00295637">
        <w:rPr>
          <w:rFonts w:ascii="Times New Roman" w:hAnsi="Times New Roman"/>
          <w:szCs w:val="24"/>
          <w:lang w:val="bs-Latn-BA"/>
        </w:rPr>
        <w:t xml:space="preserve"> </w:t>
      </w:r>
      <w:r>
        <w:rPr>
          <w:rFonts w:ascii="Times New Roman" w:hAnsi="Times New Roman"/>
          <w:szCs w:val="24"/>
          <w:lang w:val="bs-Latn-BA"/>
        </w:rPr>
        <w:t>у</w:t>
      </w:r>
      <w:r w:rsidR="00A8064D" w:rsidRPr="00295637">
        <w:rPr>
          <w:rFonts w:ascii="Times New Roman" w:hAnsi="Times New Roman"/>
          <w:szCs w:val="24"/>
          <w:lang w:val="bs-Latn-BA"/>
        </w:rPr>
        <w:t xml:space="preserve"> </w:t>
      </w:r>
      <w:r>
        <w:rPr>
          <w:rFonts w:ascii="Times New Roman" w:hAnsi="Times New Roman"/>
          <w:szCs w:val="24"/>
          <w:lang w:val="bs-Latn-BA"/>
        </w:rPr>
        <w:t>којем</w:t>
      </w:r>
      <w:r w:rsidR="00A8064D" w:rsidRPr="00295637">
        <w:rPr>
          <w:rFonts w:ascii="Times New Roman" w:hAnsi="Times New Roman"/>
          <w:szCs w:val="24"/>
          <w:lang w:val="bs-Latn-BA"/>
        </w:rPr>
        <w:t xml:space="preserve"> </w:t>
      </w:r>
      <w:r>
        <w:rPr>
          <w:rFonts w:ascii="Times New Roman" w:hAnsi="Times New Roman"/>
          <w:szCs w:val="24"/>
          <w:lang w:val="bs-Latn-BA"/>
        </w:rPr>
        <w:t>су</w:t>
      </w:r>
      <w:r w:rsidR="00A8064D" w:rsidRPr="00295637">
        <w:rPr>
          <w:rFonts w:ascii="Times New Roman" w:hAnsi="Times New Roman"/>
          <w:szCs w:val="24"/>
          <w:lang w:val="bs-Latn-BA"/>
        </w:rPr>
        <w:t xml:space="preserve"> </w:t>
      </w:r>
      <w:r>
        <w:rPr>
          <w:rFonts w:ascii="Times New Roman" w:hAnsi="Times New Roman"/>
          <w:szCs w:val="24"/>
          <w:lang w:val="bs-Latn-BA"/>
        </w:rPr>
        <w:t>анализирани</w:t>
      </w:r>
      <w:r w:rsidR="00A8064D" w:rsidRPr="00295637">
        <w:rPr>
          <w:rFonts w:ascii="Times New Roman" w:hAnsi="Times New Roman"/>
          <w:szCs w:val="24"/>
          <w:lang w:val="bs-Latn-BA"/>
        </w:rPr>
        <w:t xml:space="preserve"> </w:t>
      </w:r>
      <w:r>
        <w:rPr>
          <w:rFonts w:ascii="Times New Roman" w:hAnsi="Times New Roman"/>
          <w:szCs w:val="24"/>
          <w:lang w:val="bs-Latn-BA"/>
        </w:rPr>
        <w:t>учинци</w:t>
      </w:r>
      <w:r w:rsidR="00A8064D" w:rsidRPr="00295637">
        <w:rPr>
          <w:rFonts w:ascii="Times New Roman" w:hAnsi="Times New Roman"/>
          <w:szCs w:val="24"/>
          <w:lang w:val="bs-Latn-BA"/>
        </w:rPr>
        <w:t xml:space="preserve"> </w:t>
      </w:r>
      <w:r>
        <w:rPr>
          <w:rFonts w:ascii="Times New Roman" w:hAnsi="Times New Roman"/>
          <w:szCs w:val="24"/>
          <w:lang w:val="bs-Latn-BA"/>
        </w:rPr>
        <w:t>политика</w:t>
      </w:r>
      <w:r w:rsidR="00A8064D" w:rsidRPr="00295637">
        <w:rPr>
          <w:rFonts w:ascii="Times New Roman" w:hAnsi="Times New Roman"/>
          <w:szCs w:val="24"/>
          <w:lang w:val="bs-Latn-BA"/>
        </w:rPr>
        <w:t xml:space="preserve"> </w:t>
      </w:r>
      <w:r>
        <w:rPr>
          <w:rFonts w:ascii="Times New Roman" w:hAnsi="Times New Roman"/>
          <w:szCs w:val="24"/>
          <w:lang w:val="bs-Latn-BA"/>
        </w:rPr>
        <w:t>запошљавања</w:t>
      </w:r>
      <w:r w:rsidR="00A8064D" w:rsidRPr="00295637">
        <w:rPr>
          <w:rFonts w:ascii="Times New Roman" w:hAnsi="Times New Roman"/>
          <w:szCs w:val="24"/>
          <w:lang w:val="bs-Latn-BA"/>
        </w:rPr>
        <w:t xml:space="preserve"> </w:t>
      </w:r>
      <w:r>
        <w:rPr>
          <w:rFonts w:ascii="Times New Roman" w:hAnsi="Times New Roman"/>
          <w:szCs w:val="24"/>
          <w:lang w:val="bs-Latn-BA"/>
        </w:rPr>
        <w:t>и</w:t>
      </w:r>
      <w:r w:rsidR="00A8064D" w:rsidRPr="00295637">
        <w:rPr>
          <w:rFonts w:ascii="Times New Roman" w:hAnsi="Times New Roman"/>
          <w:szCs w:val="24"/>
          <w:lang w:val="bs-Latn-BA"/>
        </w:rPr>
        <w:t xml:space="preserve"> </w:t>
      </w:r>
      <w:r>
        <w:rPr>
          <w:rFonts w:ascii="Times New Roman" w:hAnsi="Times New Roman"/>
          <w:szCs w:val="24"/>
          <w:lang w:val="bs-Latn-BA"/>
        </w:rPr>
        <w:t>предложене</w:t>
      </w:r>
      <w:r w:rsidR="00A8064D" w:rsidRPr="00295637">
        <w:rPr>
          <w:rFonts w:ascii="Times New Roman" w:hAnsi="Times New Roman"/>
          <w:szCs w:val="24"/>
          <w:lang w:val="bs-Latn-BA"/>
        </w:rPr>
        <w:t xml:space="preserve"> </w:t>
      </w:r>
      <w:r>
        <w:rPr>
          <w:rFonts w:ascii="Times New Roman" w:hAnsi="Times New Roman"/>
          <w:szCs w:val="24"/>
          <w:lang w:val="bs-Latn-BA"/>
        </w:rPr>
        <w:t>мјере</w:t>
      </w:r>
      <w:r w:rsidR="00A8064D" w:rsidRPr="00295637">
        <w:rPr>
          <w:rFonts w:ascii="Times New Roman" w:hAnsi="Times New Roman"/>
          <w:szCs w:val="24"/>
          <w:lang w:val="bs-Latn-BA"/>
        </w:rPr>
        <w:t xml:space="preserve"> </w:t>
      </w:r>
      <w:r>
        <w:rPr>
          <w:rFonts w:ascii="Times New Roman" w:hAnsi="Times New Roman"/>
          <w:szCs w:val="24"/>
          <w:lang w:val="bs-Latn-BA"/>
        </w:rPr>
        <w:t>за</w:t>
      </w:r>
      <w:r w:rsidR="00A8064D" w:rsidRPr="00295637">
        <w:rPr>
          <w:rFonts w:ascii="Times New Roman" w:hAnsi="Times New Roman"/>
          <w:szCs w:val="24"/>
          <w:lang w:val="bs-Latn-BA"/>
        </w:rPr>
        <w:t xml:space="preserve"> </w:t>
      </w:r>
      <w:r>
        <w:rPr>
          <w:rFonts w:ascii="Times New Roman" w:hAnsi="Times New Roman"/>
          <w:szCs w:val="24"/>
          <w:lang w:val="bs-Latn-BA"/>
        </w:rPr>
        <w:t>даља</w:t>
      </w:r>
      <w:r w:rsidR="00A8064D" w:rsidRPr="00295637">
        <w:rPr>
          <w:rFonts w:ascii="Times New Roman" w:hAnsi="Times New Roman"/>
          <w:szCs w:val="24"/>
          <w:lang w:val="bs-Latn-BA"/>
        </w:rPr>
        <w:t xml:space="preserve"> </w:t>
      </w:r>
      <w:r>
        <w:rPr>
          <w:rFonts w:ascii="Times New Roman" w:hAnsi="Times New Roman"/>
          <w:szCs w:val="24"/>
          <w:lang w:val="bs-Latn-BA"/>
        </w:rPr>
        <w:t>побољшања</w:t>
      </w:r>
      <w:r w:rsidR="00A8064D" w:rsidRPr="00295637">
        <w:rPr>
          <w:rFonts w:ascii="Times New Roman" w:hAnsi="Times New Roman"/>
          <w:szCs w:val="24"/>
          <w:lang w:val="bs-Latn-BA"/>
        </w:rPr>
        <w:t>.</w:t>
      </w:r>
    </w:p>
    <w:p w:rsidR="00B876BD" w:rsidRPr="00726439" w:rsidRDefault="00B876BD" w:rsidP="0086268D">
      <w:pPr>
        <w:tabs>
          <w:tab w:val="left" w:pos="284"/>
          <w:tab w:val="left" w:pos="630"/>
          <w:tab w:val="left" w:pos="1080"/>
        </w:tabs>
        <w:jc w:val="both"/>
        <w:rPr>
          <w:rFonts w:ascii="Times New Roman" w:hAnsi="Times New Roman"/>
          <w:szCs w:val="24"/>
          <w:lang w:val="bs-Latn-BA"/>
        </w:rPr>
      </w:pPr>
    </w:p>
    <w:p w:rsidR="00A8064D" w:rsidRPr="00295637" w:rsidRDefault="00C6214E" w:rsidP="0086268D">
      <w:pPr>
        <w:pStyle w:val="NormalWeb"/>
        <w:spacing w:before="0" w:beforeAutospacing="0" w:after="0" w:afterAutospacing="0"/>
        <w:jc w:val="both"/>
        <w:rPr>
          <w:rStyle w:val="Strong"/>
          <w:b w:val="0"/>
          <w:bCs w:val="0"/>
          <w:lang w:val="bs-Latn-BA"/>
        </w:rPr>
      </w:pPr>
      <w:r>
        <w:rPr>
          <w:lang w:val="bs-Latn-BA"/>
        </w:rPr>
        <w:t>ФМРПО</w:t>
      </w:r>
      <w:r w:rsidR="00A8064D" w:rsidRPr="00295637">
        <w:rPr>
          <w:lang w:val="bs-Latn-BA"/>
        </w:rPr>
        <w:t xml:space="preserve"> </w:t>
      </w:r>
      <w:r w:rsidR="00DF7B6D">
        <w:rPr>
          <w:lang w:val="sr-Cyrl-BA"/>
        </w:rPr>
        <w:t>с</w:t>
      </w:r>
      <w:r>
        <w:rPr>
          <w:lang w:val="bs-Latn-BA"/>
        </w:rPr>
        <w:t>проводи</w:t>
      </w:r>
      <w:r w:rsidR="00A8064D" w:rsidRPr="00295637">
        <w:rPr>
          <w:lang w:val="bs-Latn-BA"/>
        </w:rPr>
        <w:t xml:space="preserve"> </w:t>
      </w:r>
      <w:r>
        <w:rPr>
          <w:lang w:val="bs-Latn-BA"/>
        </w:rPr>
        <w:t>активности</w:t>
      </w:r>
      <w:r w:rsidR="00A8064D" w:rsidRPr="00295637">
        <w:rPr>
          <w:lang w:val="bs-Latn-BA"/>
        </w:rPr>
        <w:t xml:space="preserve"> </w:t>
      </w:r>
      <w:r>
        <w:rPr>
          <w:lang w:val="bs-Latn-BA"/>
        </w:rPr>
        <w:t>на</w:t>
      </w:r>
      <w:r w:rsidR="00A8064D" w:rsidRPr="00295637">
        <w:rPr>
          <w:lang w:val="bs-Latn-BA"/>
        </w:rPr>
        <w:t xml:space="preserve"> </w:t>
      </w:r>
      <w:r>
        <w:rPr>
          <w:lang w:val="bs-Latn-BA"/>
        </w:rPr>
        <w:t>изради</w:t>
      </w:r>
      <w:r w:rsidR="00A8064D" w:rsidRPr="00295637">
        <w:rPr>
          <w:lang w:val="bs-Latn-BA"/>
        </w:rPr>
        <w:t xml:space="preserve"> </w:t>
      </w:r>
      <w:r>
        <w:rPr>
          <w:lang w:val="bs-Latn-BA"/>
        </w:rPr>
        <w:t>и</w:t>
      </w:r>
      <w:r w:rsidR="00A8064D" w:rsidRPr="00295637">
        <w:rPr>
          <w:lang w:val="bs-Latn-BA"/>
        </w:rPr>
        <w:t xml:space="preserve"> </w:t>
      </w:r>
      <w:r>
        <w:rPr>
          <w:lang w:val="bs-Latn-BA"/>
        </w:rPr>
        <w:t>усклађивању</w:t>
      </w:r>
      <w:r w:rsidR="00A8064D" w:rsidRPr="00295637">
        <w:rPr>
          <w:lang w:val="bs-Latn-BA"/>
        </w:rPr>
        <w:t xml:space="preserve"> </w:t>
      </w:r>
      <w:r>
        <w:rPr>
          <w:lang w:val="bs-Latn-BA"/>
        </w:rPr>
        <w:t>законских</w:t>
      </w:r>
      <w:r w:rsidR="00A8064D" w:rsidRPr="00295637">
        <w:rPr>
          <w:lang w:val="bs-Latn-BA"/>
        </w:rPr>
        <w:t xml:space="preserve"> </w:t>
      </w:r>
      <w:r>
        <w:rPr>
          <w:lang w:val="bs-Latn-BA"/>
        </w:rPr>
        <w:t>и</w:t>
      </w:r>
      <w:r w:rsidR="00A8064D" w:rsidRPr="00295637">
        <w:rPr>
          <w:lang w:val="bs-Latn-BA"/>
        </w:rPr>
        <w:t xml:space="preserve"> </w:t>
      </w:r>
      <w:r>
        <w:rPr>
          <w:lang w:val="bs-Latn-BA"/>
        </w:rPr>
        <w:t>подзаконских</w:t>
      </w:r>
      <w:r w:rsidR="00A8064D" w:rsidRPr="00295637">
        <w:rPr>
          <w:lang w:val="bs-Latn-BA"/>
        </w:rPr>
        <w:t xml:space="preserve"> </w:t>
      </w:r>
      <w:r>
        <w:rPr>
          <w:lang w:val="bs-Latn-BA"/>
        </w:rPr>
        <w:t>прописа</w:t>
      </w:r>
      <w:r w:rsidR="00A8064D" w:rsidRPr="00295637">
        <w:rPr>
          <w:lang w:val="bs-Latn-BA"/>
        </w:rPr>
        <w:t xml:space="preserve"> </w:t>
      </w:r>
      <w:r w:rsidR="00DF7B6D">
        <w:rPr>
          <w:lang w:val="sr-Cyrl-BA"/>
        </w:rPr>
        <w:t>с</w:t>
      </w:r>
      <w:r w:rsidR="00A8064D" w:rsidRPr="00295637">
        <w:rPr>
          <w:lang w:val="bs-Latn-BA"/>
        </w:rPr>
        <w:t xml:space="preserve"> </w:t>
      </w:r>
      <w:r>
        <w:rPr>
          <w:lang w:val="bs-Latn-BA"/>
        </w:rPr>
        <w:t>циљ</w:t>
      </w:r>
      <w:r w:rsidR="00DF7B6D">
        <w:rPr>
          <w:lang w:val="sr-Cyrl-BA"/>
        </w:rPr>
        <w:t>ем</w:t>
      </w:r>
      <w:r w:rsidR="00A8064D" w:rsidRPr="00295637">
        <w:rPr>
          <w:lang w:val="bs-Latn-BA"/>
        </w:rPr>
        <w:t xml:space="preserve"> </w:t>
      </w:r>
      <w:r>
        <w:rPr>
          <w:lang w:val="bs-Latn-BA"/>
        </w:rPr>
        <w:t>унапређења</w:t>
      </w:r>
      <w:r w:rsidR="00A8064D" w:rsidRPr="00295637">
        <w:rPr>
          <w:lang w:val="bs-Latn-BA"/>
        </w:rPr>
        <w:t xml:space="preserve"> </w:t>
      </w:r>
      <w:r>
        <w:rPr>
          <w:lang w:val="bs-Latn-BA"/>
        </w:rPr>
        <w:t>пословног</w:t>
      </w:r>
      <w:r w:rsidR="00A8064D" w:rsidRPr="00295637">
        <w:rPr>
          <w:lang w:val="bs-Latn-BA"/>
        </w:rPr>
        <w:t xml:space="preserve"> </w:t>
      </w:r>
      <w:r>
        <w:rPr>
          <w:lang w:val="bs-Latn-BA"/>
        </w:rPr>
        <w:t>амбијента</w:t>
      </w:r>
      <w:r w:rsidR="00A8064D" w:rsidRPr="00295637">
        <w:rPr>
          <w:lang w:val="bs-Latn-BA"/>
        </w:rPr>
        <w:t xml:space="preserve"> </w:t>
      </w:r>
      <w:r>
        <w:rPr>
          <w:lang w:val="bs-Latn-BA"/>
        </w:rPr>
        <w:t>у</w:t>
      </w:r>
      <w:r w:rsidR="00A8064D" w:rsidRPr="00295637">
        <w:rPr>
          <w:lang w:val="bs-Latn-BA"/>
        </w:rPr>
        <w:t xml:space="preserve"> </w:t>
      </w:r>
      <w:r>
        <w:rPr>
          <w:lang w:val="bs-Latn-BA"/>
        </w:rPr>
        <w:t>ФБиХ</w:t>
      </w:r>
      <w:r w:rsidR="00A8064D" w:rsidRPr="00295637">
        <w:rPr>
          <w:lang w:val="bs-Latn-BA"/>
        </w:rPr>
        <w:t xml:space="preserve">. </w:t>
      </w:r>
      <w:r>
        <w:rPr>
          <w:lang w:val="bs-Latn-BA"/>
        </w:rPr>
        <w:t>Посебан</w:t>
      </w:r>
      <w:r w:rsidR="00A8064D" w:rsidRPr="00295637">
        <w:rPr>
          <w:lang w:val="bs-Latn-BA"/>
        </w:rPr>
        <w:t xml:space="preserve"> </w:t>
      </w:r>
      <w:r>
        <w:rPr>
          <w:lang w:val="bs-Latn-BA"/>
        </w:rPr>
        <w:t>нагласак</w:t>
      </w:r>
      <w:r w:rsidR="00A8064D" w:rsidRPr="00295637">
        <w:rPr>
          <w:lang w:val="bs-Latn-BA"/>
        </w:rPr>
        <w:t xml:space="preserve"> </w:t>
      </w:r>
      <w:r>
        <w:rPr>
          <w:lang w:val="bs-Latn-BA"/>
        </w:rPr>
        <w:t>стављен</w:t>
      </w:r>
      <w:r w:rsidR="00A8064D" w:rsidRPr="00295637">
        <w:rPr>
          <w:lang w:val="bs-Latn-BA"/>
        </w:rPr>
        <w:t xml:space="preserve"> </w:t>
      </w:r>
      <w:r>
        <w:rPr>
          <w:lang w:val="bs-Latn-BA"/>
        </w:rPr>
        <w:t>је</w:t>
      </w:r>
      <w:r w:rsidR="00A8064D" w:rsidRPr="00295637">
        <w:rPr>
          <w:lang w:val="bs-Latn-BA"/>
        </w:rPr>
        <w:t xml:space="preserve"> </w:t>
      </w:r>
      <w:r>
        <w:rPr>
          <w:lang w:val="bs-Latn-BA"/>
        </w:rPr>
        <w:t>на</w:t>
      </w:r>
      <w:r w:rsidR="00A8064D" w:rsidRPr="00295637">
        <w:rPr>
          <w:lang w:val="bs-Latn-BA"/>
        </w:rPr>
        <w:t xml:space="preserve"> </w:t>
      </w:r>
      <w:r>
        <w:rPr>
          <w:lang w:val="bs-Latn-BA"/>
        </w:rPr>
        <w:t>интеграцију</w:t>
      </w:r>
      <w:r w:rsidR="00A8064D" w:rsidRPr="00295637">
        <w:rPr>
          <w:lang w:val="bs-Latn-BA"/>
        </w:rPr>
        <w:t xml:space="preserve"> </w:t>
      </w:r>
      <w:r>
        <w:rPr>
          <w:lang w:val="bs-Latn-BA"/>
        </w:rPr>
        <w:t>стандарда</w:t>
      </w:r>
      <w:r w:rsidR="00A8064D" w:rsidRPr="00295637">
        <w:rPr>
          <w:lang w:val="bs-Latn-BA"/>
        </w:rPr>
        <w:t xml:space="preserve"> </w:t>
      </w:r>
      <w:r>
        <w:rPr>
          <w:lang w:val="bs-Latn-BA"/>
        </w:rPr>
        <w:t>равноправности</w:t>
      </w:r>
      <w:r w:rsidR="00A8064D" w:rsidRPr="00295637">
        <w:rPr>
          <w:lang w:val="bs-Latn-BA"/>
        </w:rPr>
        <w:t xml:space="preserve"> </w:t>
      </w:r>
      <w:r>
        <w:rPr>
          <w:lang w:val="bs-Latn-BA"/>
        </w:rPr>
        <w:t>полова</w:t>
      </w:r>
      <w:r w:rsidR="00A8064D" w:rsidRPr="00295637">
        <w:rPr>
          <w:lang w:val="bs-Latn-BA"/>
        </w:rPr>
        <w:t xml:space="preserve"> </w:t>
      </w:r>
      <w:r>
        <w:rPr>
          <w:lang w:val="bs-Latn-BA"/>
        </w:rPr>
        <w:t>у</w:t>
      </w:r>
      <w:r w:rsidR="00A8064D" w:rsidRPr="00295637">
        <w:rPr>
          <w:lang w:val="bs-Latn-BA"/>
        </w:rPr>
        <w:t xml:space="preserve"> </w:t>
      </w:r>
      <w:r>
        <w:rPr>
          <w:lang w:val="bs-Latn-BA"/>
        </w:rPr>
        <w:t>све</w:t>
      </w:r>
      <w:r w:rsidR="00A8064D" w:rsidRPr="00295637">
        <w:rPr>
          <w:lang w:val="bs-Latn-BA"/>
        </w:rPr>
        <w:t xml:space="preserve"> </w:t>
      </w:r>
      <w:r>
        <w:rPr>
          <w:lang w:val="bs-Latn-BA"/>
        </w:rPr>
        <w:t>релевантне</w:t>
      </w:r>
      <w:r w:rsidR="00A8064D" w:rsidRPr="00295637">
        <w:rPr>
          <w:lang w:val="bs-Latn-BA"/>
        </w:rPr>
        <w:t xml:space="preserve"> </w:t>
      </w:r>
      <w:r>
        <w:rPr>
          <w:lang w:val="bs-Latn-BA"/>
        </w:rPr>
        <w:t>прописе</w:t>
      </w:r>
      <w:r w:rsidR="00A8064D" w:rsidRPr="00295637">
        <w:rPr>
          <w:lang w:val="bs-Latn-BA"/>
        </w:rPr>
        <w:t xml:space="preserve">. </w:t>
      </w:r>
      <w:r>
        <w:rPr>
          <w:lang w:val="bs-Latn-BA"/>
        </w:rPr>
        <w:t>У</w:t>
      </w:r>
      <w:r w:rsidR="00A8064D" w:rsidRPr="00295637">
        <w:rPr>
          <w:lang w:val="bs-Latn-BA"/>
        </w:rPr>
        <w:t xml:space="preserve"> </w:t>
      </w:r>
      <w:r>
        <w:rPr>
          <w:lang w:val="bs-Latn-BA"/>
        </w:rPr>
        <w:t>протеклом</w:t>
      </w:r>
      <w:r w:rsidR="00A8064D" w:rsidRPr="00295637">
        <w:rPr>
          <w:lang w:val="bs-Latn-BA"/>
        </w:rPr>
        <w:t xml:space="preserve"> </w:t>
      </w:r>
      <w:r>
        <w:rPr>
          <w:lang w:val="bs-Latn-BA"/>
        </w:rPr>
        <w:t>периоду</w:t>
      </w:r>
      <w:r w:rsidR="00A8064D" w:rsidRPr="00295637">
        <w:rPr>
          <w:lang w:val="bs-Latn-BA"/>
        </w:rPr>
        <w:t xml:space="preserve"> </w:t>
      </w:r>
      <w:r>
        <w:rPr>
          <w:lang w:val="bs-Latn-BA"/>
        </w:rPr>
        <w:t>реализ</w:t>
      </w:r>
      <w:r w:rsidR="00DF7B6D">
        <w:rPr>
          <w:lang w:val="sr-Cyrl-BA"/>
        </w:rPr>
        <w:t>оване</w:t>
      </w:r>
      <w:r w:rsidR="00A8064D" w:rsidRPr="00295637">
        <w:rPr>
          <w:lang w:val="bs-Latn-BA"/>
        </w:rPr>
        <w:t xml:space="preserve"> </w:t>
      </w:r>
      <w:r>
        <w:rPr>
          <w:lang w:val="bs-Latn-BA"/>
        </w:rPr>
        <w:t>су</w:t>
      </w:r>
      <w:r w:rsidR="00A8064D" w:rsidRPr="00295637">
        <w:rPr>
          <w:lang w:val="bs-Latn-BA"/>
        </w:rPr>
        <w:t xml:space="preserve"> </w:t>
      </w:r>
      <w:r>
        <w:rPr>
          <w:lang w:val="bs-Latn-BA"/>
        </w:rPr>
        <w:t>сљедеће</w:t>
      </w:r>
      <w:r w:rsidR="00A8064D" w:rsidRPr="00295637">
        <w:rPr>
          <w:lang w:val="bs-Latn-BA"/>
        </w:rPr>
        <w:t xml:space="preserve"> </w:t>
      </w:r>
      <w:r>
        <w:rPr>
          <w:lang w:val="bs-Latn-BA"/>
        </w:rPr>
        <w:t>законодавне</w:t>
      </w:r>
      <w:r w:rsidR="00A8064D" w:rsidRPr="00295637">
        <w:rPr>
          <w:lang w:val="bs-Latn-BA"/>
        </w:rPr>
        <w:t xml:space="preserve"> </w:t>
      </w:r>
      <w:r>
        <w:rPr>
          <w:lang w:val="bs-Latn-BA"/>
        </w:rPr>
        <w:t>иницијативе</w:t>
      </w:r>
      <w:r w:rsidR="00A8064D" w:rsidRPr="00295637">
        <w:rPr>
          <w:lang w:val="bs-Latn-BA"/>
        </w:rPr>
        <w:t>:</w:t>
      </w:r>
      <w:r w:rsidR="00420DC8" w:rsidRPr="00295637">
        <w:rPr>
          <w:lang w:val="bs-Latn-BA"/>
        </w:rPr>
        <w:t xml:space="preserve"> </w:t>
      </w:r>
      <w:r>
        <w:rPr>
          <w:rStyle w:val="Strong"/>
          <w:b w:val="0"/>
          <w:lang w:val="bs-Latn-BA"/>
        </w:rPr>
        <w:t>Закон</w:t>
      </w:r>
      <w:r w:rsidR="00A8064D" w:rsidRPr="00295637">
        <w:rPr>
          <w:rStyle w:val="Strong"/>
          <w:b w:val="0"/>
          <w:lang w:val="bs-Latn-BA"/>
        </w:rPr>
        <w:t xml:space="preserve"> </w:t>
      </w:r>
      <w:r>
        <w:rPr>
          <w:rStyle w:val="Strong"/>
          <w:b w:val="0"/>
          <w:lang w:val="bs-Latn-BA"/>
        </w:rPr>
        <w:t>о</w:t>
      </w:r>
      <w:r w:rsidR="00A8064D" w:rsidRPr="00295637">
        <w:rPr>
          <w:rStyle w:val="Strong"/>
          <w:b w:val="0"/>
          <w:lang w:val="bs-Latn-BA"/>
        </w:rPr>
        <w:t xml:space="preserve"> </w:t>
      </w:r>
      <w:r>
        <w:rPr>
          <w:rStyle w:val="Strong"/>
          <w:b w:val="0"/>
          <w:lang w:val="bs-Latn-BA"/>
        </w:rPr>
        <w:t>подстицају</w:t>
      </w:r>
      <w:r w:rsidR="00A8064D" w:rsidRPr="00295637">
        <w:rPr>
          <w:rStyle w:val="Strong"/>
          <w:b w:val="0"/>
          <w:lang w:val="bs-Latn-BA"/>
        </w:rPr>
        <w:t xml:space="preserve"> </w:t>
      </w:r>
      <w:r>
        <w:rPr>
          <w:rStyle w:val="Strong"/>
          <w:b w:val="0"/>
          <w:lang w:val="bs-Latn-BA"/>
        </w:rPr>
        <w:t>развоја</w:t>
      </w:r>
      <w:r w:rsidR="00A8064D" w:rsidRPr="00295637">
        <w:rPr>
          <w:rStyle w:val="Strong"/>
          <w:b w:val="0"/>
          <w:lang w:val="bs-Latn-BA"/>
        </w:rPr>
        <w:t xml:space="preserve"> </w:t>
      </w:r>
      <w:r>
        <w:rPr>
          <w:rStyle w:val="Strong"/>
          <w:b w:val="0"/>
          <w:lang w:val="bs-Latn-BA"/>
        </w:rPr>
        <w:t>малог</w:t>
      </w:r>
      <w:r w:rsidR="00A8064D" w:rsidRPr="00295637">
        <w:rPr>
          <w:rStyle w:val="Strong"/>
          <w:b w:val="0"/>
          <w:lang w:val="bs-Latn-BA"/>
        </w:rPr>
        <w:t xml:space="preserve"> </w:t>
      </w:r>
      <w:r>
        <w:rPr>
          <w:rStyle w:val="Strong"/>
          <w:b w:val="0"/>
          <w:lang w:val="bs-Latn-BA"/>
        </w:rPr>
        <w:t>привредника</w:t>
      </w:r>
      <w:r w:rsidR="00A8064D" w:rsidRPr="00295637">
        <w:rPr>
          <w:rStyle w:val="Strong"/>
          <w:b w:val="0"/>
          <w:lang w:val="bs-Latn-BA"/>
        </w:rPr>
        <w:t xml:space="preserve"> </w:t>
      </w:r>
      <w:r>
        <w:rPr>
          <w:rStyle w:val="Strong"/>
          <w:b w:val="0"/>
          <w:lang w:val="bs-Latn-BA"/>
        </w:rPr>
        <w:t>ФБиХ</w:t>
      </w:r>
      <w:r w:rsidR="00420DC8" w:rsidRPr="00295637">
        <w:rPr>
          <w:lang w:val="bs-Latn-BA"/>
        </w:rPr>
        <w:t xml:space="preserve">, </w:t>
      </w:r>
      <w:r>
        <w:rPr>
          <w:rStyle w:val="Strong"/>
          <w:b w:val="0"/>
          <w:lang w:val="bs-Latn-BA"/>
        </w:rPr>
        <w:t>Нацрт</w:t>
      </w:r>
      <w:r w:rsidR="00163AC2">
        <w:rPr>
          <w:rStyle w:val="Strong"/>
          <w:b w:val="0"/>
          <w:lang w:val="bs-Latn-BA"/>
        </w:rPr>
        <w:t xml:space="preserve"> </w:t>
      </w:r>
      <w:r>
        <w:rPr>
          <w:rStyle w:val="Strong"/>
          <w:b w:val="0"/>
          <w:lang w:val="bs-Latn-BA"/>
        </w:rPr>
        <w:t>закона</w:t>
      </w:r>
      <w:r w:rsidR="00A8064D" w:rsidRPr="00295637">
        <w:rPr>
          <w:rStyle w:val="Strong"/>
          <w:b w:val="0"/>
          <w:lang w:val="bs-Latn-BA"/>
        </w:rPr>
        <w:t xml:space="preserve"> </w:t>
      </w:r>
      <w:r>
        <w:rPr>
          <w:rStyle w:val="Strong"/>
          <w:b w:val="0"/>
          <w:lang w:val="bs-Latn-BA"/>
        </w:rPr>
        <w:t>о</w:t>
      </w:r>
      <w:r w:rsidR="00A8064D" w:rsidRPr="00295637">
        <w:rPr>
          <w:rStyle w:val="Strong"/>
          <w:b w:val="0"/>
          <w:lang w:val="bs-Latn-BA"/>
        </w:rPr>
        <w:t xml:space="preserve"> </w:t>
      </w:r>
      <w:r>
        <w:rPr>
          <w:rStyle w:val="Strong"/>
          <w:b w:val="0"/>
          <w:lang w:val="bs-Latn-BA"/>
        </w:rPr>
        <w:t>друштвеном</w:t>
      </w:r>
      <w:r w:rsidR="00A8064D" w:rsidRPr="00295637">
        <w:rPr>
          <w:rStyle w:val="Strong"/>
          <w:b w:val="0"/>
          <w:lang w:val="bs-Latn-BA"/>
        </w:rPr>
        <w:t xml:space="preserve"> </w:t>
      </w:r>
      <w:r>
        <w:rPr>
          <w:rStyle w:val="Strong"/>
          <w:b w:val="0"/>
          <w:lang w:val="bs-Latn-BA"/>
        </w:rPr>
        <w:t>предузетништву</w:t>
      </w:r>
      <w:r w:rsidR="00A8064D" w:rsidRPr="00295637">
        <w:rPr>
          <w:rStyle w:val="Strong"/>
          <w:b w:val="0"/>
          <w:lang w:val="bs-Latn-BA"/>
        </w:rPr>
        <w:t xml:space="preserve"> </w:t>
      </w:r>
      <w:r>
        <w:rPr>
          <w:rStyle w:val="Strong"/>
          <w:b w:val="0"/>
          <w:lang w:val="bs-Latn-BA"/>
        </w:rPr>
        <w:t>и</w:t>
      </w:r>
      <w:r w:rsidR="00420DC8" w:rsidRPr="00295637">
        <w:rPr>
          <w:rStyle w:val="Strong"/>
          <w:b w:val="0"/>
          <w:lang w:val="bs-Latn-BA"/>
        </w:rPr>
        <w:t xml:space="preserve"> </w:t>
      </w:r>
      <w:r>
        <w:rPr>
          <w:rStyle w:val="Strong"/>
          <w:b w:val="0"/>
          <w:lang w:val="bs-Latn-BA"/>
        </w:rPr>
        <w:t>Правилник</w:t>
      </w:r>
      <w:r w:rsidR="00A8064D" w:rsidRPr="00295637">
        <w:rPr>
          <w:rStyle w:val="Strong"/>
          <w:b w:val="0"/>
          <w:lang w:val="bs-Latn-BA"/>
        </w:rPr>
        <w:t xml:space="preserve"> </w:t>
      </w:r>
      <w:r>
        <w:rPr>
          <w:rStyle w:val="Strong"/>
          <w:b w:val="0"/>
          <w:lang w:val="bs-Latn-BA"/>
        </w:rPr>
        <w:t>о</w:t>
      </w:r>
      <w:r w:rsidR="00A8064D" w:rsidRPr="00295637">
        <w:rPr>
          <w:rStyle w:val="Strong"/>
          <w:b w:val="0"/>
          <w:lang w:val="bs-Latn-BA"/>
        </w:rPr>
        <w:t xml:space="preserve"> </w:t>
      </w:r>
      <w:r>
        <w:rPr>
          <w:rStyle w:val="Strong"/>
          <w:b w:val="0"/>
          <w:lang w:val="bs-Latn-BA"/>
        </w:rPr>
        <w:t>поступцима</w:t>
      </w:r>
      <w:r w:rsidR="00A8064D" w:rsidRPr="00295637">
        <w:rPr>
          <w:rStyle w:val="Strong"/>
          <w:b w:val="0"/>
          <w:lang w:val="bs-Latn-BA"/>
        </w:rPr>
        <w:t xml:space="preserve"> </w:t>
      </w:r>
      <w:r>
        <w:rPr>
          <w:rStyle w:val="Strong"/>
          <w:b w:val="0"/>
          <w:lang w:val="bs-Latn-BA"/>
        </w:rPr>
        <w:t>у</w:t>
      </w:r>
      <w:r w:rsidR="00A8064D" w:rsidRPr="00295637">
        <w:rPr>
          <w:rStyle w:val="Strong"/>
          <w:b w:val="0"/>
          <w:lang w:val="bs-Latn-BA"/>
        </w:rPr>
        <w:t xml:space="preserve"> </w:t>
      </w:r>
      <w:r w:rsidR="00DF7B6D">
        <w:rPr>
          <w:rStyle w:val="Strong"/>
          <w:b w:val="0"/>
          <w:lang w:val="sr-Cyrl-BA"/>
        </w:rPr>
        <w:t>спровођењу</w:t>
      </w:r>
      <w:r w:rsidR="00A8064D" w:rsidRPr="00295637">
        <w:rPr>
          <w:rStyle w:val="Strong"/>
          <w:b w:val="0"/>
          <w:lang w:val="bs-Latn-BA"/>
        </w:rPr>
        <w:t xml:space="preserve"> </w:t>
      </w:r>
      <w:r>
        <w:rPr>
          <w:rStyle w:val="Strong"/>
          <w:b w:val="0"/>
          <w:lang w:val="bs-Latn-BA"/>
        </w:rPr>
        <w:t>подстицаја</w:t>
      </w:r>
      <w:r w:rsidR="00A8064D" w:rsidRPr="00295637">
        <w:rPr>
          <w:rStyle w:val="Strong"/>
          <w:b w:val="0"/>
          <w:lang w:val="bs-Latn-BA"/>
        </w:rPr>
        <w:t xml:space="preserve"> </w:t>
      </w:r>
      <w:r>
        <w:rPr>
          <w:rStyle w:val="Strong"/>
          <w:b w:val="0"/>
          <w:lang w:val="bs-Latn-BA"/>
        </w:rPr>
        <w:t>развоја</w:t>
      </w:r>
      <w:r w:rsidR="00A8064D" w:rsidRPr="00295637">
        <w:rPr>
          <w:rStyle w:val="Strong"/>
          <w:b w:val="0"/>
          <w:lang w:val="bs-Latn-BA"/>
        </w:rPr>
        <w:t xml:space="preserve"> </w:t>
      </w:r>
      <w:r>
        <w:rPr>
          <w:rStyle w:val="Strong"/>
          <w:b w:val="0"/>
          <w:lang w:val="bs-Latn-BA"/>
        </w:rPr>
        <w:t>мале</w:t>
      </w:r>
      <w:r w:rsidR="00A8064D" w:rsidRPr="00295637">
        <w:rPr>
          <w:rStyle w:val="Strong"/>
          <w:b w:val="0"/>
          <w:lang w:val="bs-Latn-BA"/>
        </w:rPr>
        <w:t xml:space="preserve"> </w:t>
      </w:r>
      <w:r>
        <w:rPr>
          <w:rStyle w:val="Strong"/>
          <w:b w:val="0"/>
          <w:lang w:val="bs-Latn-BA"/>
        </w:rPr>
        <w:t>привреде</w:t>
      </w:r>
      <w:r w:rsidR="00A8064D" w:rsidRPr="00295637">
        <w:rPr>
          <w:rStyle w:val="Strong"/>
          <w:b w:val="0"/>
          <w:lang w:val="bs-Latn-BA"/>
        </w:rPr>
        <w:t xml:space="preserve"> </w:t>
      </w:r>
      <w:r>
        <w:rPr>
          <w:rStyle w:val="Strong"/>
          <w:b w:val="0"/>
          <w:lang w:val="bs-Latn-BA"/>
        </w:rPr>
        <w:t>у</w:t>
      </w:r>
      <w:r w:rsidR="00A8064D" w:rsidRPr="00295637">
        <w:rPr>
          <w:rStyle w:val="Strong"/>
          <w:b w:val="0"/>
          <w:lang w:val="bs-Latn-BA"/>
        </w:rPr>
        <w:t xml:space="preserve"> </w:t>
      </w:r>
      <w:r>
        <w:rPr>
          <w:rStyle w:val="Strong"/>
          <w:b w:val="0"/>
          <w:lang w:val="bs-Latn-BA"/>
        </w:rPr>
        <w:t>ФБиХ</w:t>
      </w:r>
      <w:r w:rsidR="00420DC8" w:rsidRPr="00295637">
        <w:rPr>
          <w:rStyle w:val="Strong"/>
          <w:b w:val="0"/>
          <w:lang w:val="bs-Latn-BA"/>
        </w:rPr>
        <w:t>.</w:t>
      </w:r>
    </w:p>
    <w:p w:rsidR="00420DC8" w:rsidRPr="00295637" w:rsidRDefault="00420DC8" w:rsidP="0086268D">
      <w:pPr>
        <w:tabs>
          <w:tab w:val="left" w:pos="284"/>
          <w:tab w:val="left" w:pos="630"/>
          <w:tab w:val="left" w:pos="1080"/>
        </w:tabs>
        <w:jc w:val="both"/>
        <w:rPr>
          <w:rFonts w:asciiTheme="minorHAnsi" w:hAnsiTheme="minorHAnsi" w:cstheme="minorHAnsi"/>
          <w:szCs w:val="24"/>
          <w:lang w:val="bs-Latn-BA"/>
        </w:rPr>
      </w:pPr>
    </w:p>
    <w:p w:rsidR="00077F23" w:rsidRPr="00295637" w:rsidRDefault="00C6214E" w:rsidP="0086268D">
      <w:pPr>
        <w:pStyle w:val="ListParagraph"/>
        <w:ind w:left="0"/>
        <w:jc w:val="both"/>
        <w:rPr>
          <w:rFonts w:ascii="Times New Roman" w:hAnsi="Times New Roman"/>
          <w:lang w:val="sr-Cyrl-BA"/>
        </w:rPr>
      </w:pP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Републици</w:t>
      </w:r>
      <w:r w:rsidR="00077F23" w:rsidRPr="00295637">
        <w:rPr>
          <w:rFonts w:ascii="Times New Roman" w:hAnsi="Times New Roman"/>
          <w:lang w:val="sr-Latn-BA"/>
        </w:rPr>
        <w:t xml:space="preserve"> </w:t>
      </w:r>
      <w:r>
        <w:rPr>
          <w:rFonts w:ascii="Times New Roman" w:hAnsi="Times New Roman"/>
          <w:lang w:val="sr-Latn-BA"/>
        </w:rPr>
        <w:t>Српској</w:t>
      </w:r>
      <w:r w:rsidR="00077F23" w:rsidRPr="00295637">
        <w:rPr>
          <w:rFonts w:ascii="Times New Roman" w:hAnsi="Times New Roman"/>
          <w:lang w:val="sr-Latn-BA"/>
        </w:rPr>
        <w:t xml:space="preserve">, </w:t>
      </w:r>
      <w:r>
        <w:rPr>
          <w:rFonts w:ascii="Times New Roman" w:hAnsi="Times New Roman"/>
          <w:lang w:val="sr-Latn-BA"/>
        </w:rPr>
        <w:t>системско</w:t>
      </w:r>
      <w:r w:rsidR="00077F23" w:rsidRPr="00295637">
        <w:rPr>
          <w:rFonts w:ascii="Times New Roman" w:hAnsi="Times New Roman"/>
          <w:lang w:val="sr-Latn-BA"/>
        </w:rPr>
        <w:t xml:space="preserve"> </w:t>
      </w:r>
      <w:r>
        <w:rPr>
          <w:rFonts w:ascii="Times New Roman" w:hAnsi="Times New Roman"/>
          <w:lang w:val="sr-Latn-BA"/>
        </w:rPr>
        <w:t>законодавство</w:t>
      </w:r>
      <w:r w:rsidR="00077F23" w:rsidRPr="00295637">
        <w:rPr>
          <w:rFonts w:ascii="Times New Roman" w:hAnsi="Times New Roman"/>
          <w:lang w:val="sr-Latn-BA"/>
        </w:rPr>
        <w:t xml:space="preserve"> </w:t>
      </w:r>
      <w:r>
        <w:rPr>
          <w:rFonts w:ascii="Times New Roman" w:hAnsi="Times New Roman"/>
          <w:lang w:val="sr-Latn-BA"/>
        </w:rPr>
        <w:t>из</w:t>
      </w:r>
      <w:r w:rsidR="00077F23" w:rsidRPr="00295637">
        <w:rPr>
          <w:rFonts w:ascii="Times New Roman" w:hAnsi="Times New Roman"/>
          <w:lang w:val="sr-Latn-BA"/>
        </w:rPr>
        <w:t xml:space="preserve"> </w:t>
      </w:r>
      <w:r>
        <w:rPr>
          <w:rFonts w:ascii="Times New Roman" w:hAnsi="Times New Roman"/>
          <w:lang w:val="sr-Latn-BA"/>
        </w:rPr>
        <w:t>ове</w:t>
      </w:r>
      <w:r w:rsidR="00077F23" w:rsidRPr="00295637">
        <w:rPr>
          <w:rFonts w:ascii="Times New Roman" w:hAnsi="Times New Roman"/>
          <w:lang w:val="sr-Latn-BA"/>
        </w:rPr>
        <w:t xml:space="preserve"> </w:t>
      </w:r>
      <w:r>
        <w:rPr>
          <w:rFonts w:ascii="Times New Roman" w:hAnsi="Times New Roman"/>
          <w:lang w:val="sr-Latn-BA"/>
        </w:rPr>
        <w:t>области</w:t>
      </w:r>
      <w:r w:rsidR="00077F23" w:rsidRPr="00295637">
        <w:rPr>
          <w:rFonts w:ascii="Times New Roman" w:hAnsi="Times New Roman"/>
          <w:lang w:val="sr-Latn-BA"/>
        </w:rPr>
        <w:t xml:space="preserve"> </w:t>
      </w:r>
      <w:r>
        <w:rPr>
          <w:rFonts w:ascii="Times New Roman" w:hAnsi="Times New Roman"/>
          <w:lang w:val="sr-Latn-BA"/>
        </w:rPr>
        <w:t>усклађено</w:t>
      </w:r>
      <w:r w:rsidR="00077F23" w:rsidRPr="00295637">
        <w:rPr>
          <w:rFonts w:ascii="Times New Roman" w:hAnsi="Times New Roman"/>
          <w:lang w:val="sr-Latn-BA"/>
        </w:rPr>
        <w:t xml:space="preserve"> </w:t>
      </w:r>
      <w:r>
        <w:rPr>
          <w:rFonts w:ascii="Times New Roman" w:hAnsi="Times New Roman"/>
          <w:lang w:val="sr-Latn-BA"/>
        </w:rPr>
        <w:t>је</w:t>
      </w:r>
      <w:r w:rsidR="00077F23" w:rsidRPr="00295637">
        <w:rPr>
          <w:rFonts w:ascii="Times New Roman" w:hAnsi="Times New Roman"/>
          <w:lang w:val="sr-Latn-BA"/>
        </w:rPr>
        <w:t xml:space="preserve"> </w:t>
      </w:r>
      <w:r>
        <w:rPr>
          <w:rFonts w:ascii="Times New Roman" w:hAnsi="Times New Roman"/>
          <w:lang w:val="sr-Latn-BA"/>
        </w:rPr>
        <w:t>са</w:t>
      </w:r>
      <w:r w:rsidR="00077F23" w:rsidRPr="00295637">
        <w:rPr>
          <w:rFonts w:ascii="Times New Roman" w:hAnsi="Times New Roman"/>
          <w:lang w:val="sr-Latn-BA"/>
        </w:rPr>
        <w:t xml:space="preserve"> </w:t>
      </w:r>
      <w:r>
        <w:rPr>
          <w:rFonts w:ascii="Times New Roman" w:hAnsi="Times New Roman"/>
          <w:lang w:val="sr-Latn-BA"/>
        </w:rPr>
        <w:t>стандардима</w:t>
      </w:r>
      <w:r w:rsidR="00077F23" w:rsidRPr="00295637">
        <w:rPr>
          <w:rFonts w:ascii="Times New Roman" w:hAnsi="Times New Roman"/>
          <w:lang w:val="sr-Latn-BA"/>
        </w:rPr>
        <w:t xml:space="preserve"> </w:t>
      </w:r>
      <w:r>
        <w:rPr>
          <w:rFonts w:ascii="Times New Roman" w:hAnsi="Times New Roman"/>
          <w:lang w:val="sr-Latn-BA"/>
        </w:rPr>
        <w:t>за</w:t>
      </w:r>
      <w:r w:rsidR="00077F23" w:rsidRPr="00295637">
        <w:rPr>
          <w:rFonts w:ascii="Times New Roman" w:hAnsi="Times New Roman"/>
          <w:lang w:val="sr-Latn-BA"/>
        </w:rPr>
        <w:t xml:space="preserve"> </w:t>
      </w:r>
      <w:r>
        <w:rPr>
          <w:rFonts w:ascii="Times New Roman" w:hAnsi="Times New Roman"/>
          <w:lang w:val="sr-Latn-BA"/>
        </w:rPr>
        <w:t>равноправност</w:t>
      </w:r>
      <w:r w:rsidR="00077F23" w:rsidRPr="00295637">
        <w:rPr>
          <w:rFonts w:ascii="Times New Roman" w:hAnsi="Times New Roman"/>
          <w:lang w:val="sr-Latn-BA"/>
        </w:rPr>
        <w:t xml:space="preserve"> </w:t>
      </w:r>
      <w:r>
        <w:rPr>
          <w:rFonts w:ascii="Times New Roman" w:hAnsi="Times New Roman"/>
          <w:lang w:val="sr-Latn-BA"/>
        </w:rPr>
        <w:t>полова</w:t>
      </w:r>
      <w:r w:rsidR="00077F23" w:rsidRPr="00295637">
        <w:rPr>
          <w:rFonts w:ascii="Times New Roman" w:hAnsi="Times New Roman"/>
          <w:lang w:val="sr-Latn-BA"/>
        </w:rPr>
        <w:t xml:space="preserve">. </w:t>
      </w:r>
      <w:r>
        <w:rPr>
          <w:rFonts w:ascii="Times New Roman" w:hAnsi="Times New Roman"/>
          <w:lang w:val="sr-Latn-BA"/>
        </w:rPr>
        <w:t>П</w:t>
      </w:r>
      <w:r>
        <w:rPr>
          <w:rFonts w:ascii="Times New Roman" w:hAnsi="Times New Roman"/>
          <w:lang w:val="sr-Cyrl-BA"/>
        </w:rPr>
        <w:t>равни</w:t>
      </w:r>
      <w:r w:rsidR="00077F23" w:rsidRPr="00295637">
        <w:rPr>
          <w:rFonts w:ascii="Times New Roman" w:hAnsi="Times New Roman"/>
          <w:lang w:val="sr-Cyrl-BA"/>
        </w:rPr>
        <w:t xml:space="preserve"> </w:t>
      </w:r>
      <w:r>
        <w:rPr>
          <w:rFonts w:ascii="Times New Roman" w:hAnsi="Times New Roman"/>
          <w:lang w:val="sr-Cyrl-BA"/>
        </w:rPr>
        <w:t>оквир</w:t>
      </w:r>
      <w:r w:rsidR="00077F23" w:rsidRPr="00295637">
        <w:rPr>
          <w:rFonts w:ascii="Times New Roman" w:hAnsi="Times New Roman"/>
          <w:lang w:val="sr-Cyrl-BA"/>
        </w:rPr>
        <w:t xml:space="preserve"> </w:t>
      </w:r>
      <w:r>
        <w:rPr>
          <w:rFonts w:ascii="Times New Roman" w:hAnsi="Times New Roman"/>
          <w:lang w:val="sr-Cyrl-BA"/>
        </w:rPr>
        <w:t>који</w:t>
      </w:r>
      <w:r w:rsidR="00077F23" w:rsidRPr="00295637">
        <w:rPr>
          <w:rFonts w:ascii="Times New Roman" w:hAnsi="Times New Roman"/>
          <w:lang w:val="sr-Cyrl-BA"/>
        </w:rPr>
        <w:t xml:space="preserve"> </w:t>
      </w:r>
      <w:r>
        <w:rPr>
          <w:rFonts w:ascii="Times New Roman" w:hAnsi="Times New Roman"/>
          <w:lang w:val="sr-Cyrl-BA"/>
        </w:rPr>
        <w:t>промови</w:t>
      </w:r>
      <w:r w:rsidR="00DF7B6D">
        <w:rPr>
          <w:rFonts w:ascii="Times New Roman" w:hAnsi="Times New Roman"/>
          <w:lang w:val="sr-Cyrl-BA"/>
        </w:rPr>
        <w:t>ше</w:t>
      </w:r>
      <w:r w:rsidR="00163AC2">
        <w:rPr>
          <w:rFonts w:ascii="Times New Roman" w:hAnsi="Times New Roman"/>
          <w:lang w:val="sr-Cyrl-BA"/>
        </w:rPr>
        <w:t xml:space="preserve">, </w:t>
      </w:r>
      <w:r w:rsidR="00DF7B6D">
        <w:rPr>
          <w:rFonts w:ascii="Times New Roman" w:hAnsi="Times New Roman"/>
          <w:lang w:val="sr-Cyrl-BA"/>
        </w:rPr>
        <w:t>спроводи</w:t>
      </w:r>
      <w:r w:rsidR="00077F23" w:rsidRPr="00295637">
        <w:rPr>
          <w:rFonts w:ascii="Times New Roman" w:hAnsi="Times New Roman"/>
          <w:lang w:val="sr-Cyrl-BA"/>
        </w:rPr>
        <w:t xml:space="preserve"> </w:t>
      </w:r>
      <w:r>
        <w:rPr>
          <w:rFonts w:ascii="Times New Roman" w:hAnsi="Times New Roman"/>
          <w:lang w:val="sr-Cyrl-BA"/>
        </w:rPr>
        <w:t>и</w:t>
      </w:r>
      <w:r w:rsidR="00077F23" w:rsidRPr="00295637">
        <w:rPr>
          <w:rFonts w:ascii="Times New Roman" w:hAnsi="Times New Roman"/>
          <w:lang w:val="sr-Cyrl-BA"/>
        </w:rPr>
        <w:t xml:space="preserve"> </w:t>
      </w:r>
      <w:r>
        <w:rPr>
          <w:rFonts w:ascii="Times New Roman" w:hAnsi="Times New Roman"/>
          <w:lang w:val="sr-Cyrl-BA"/>
        </w:rPr>
        <w:t>прати</w:t>
      </w:r>
      <w:r w:rsidR="00077F23" w:rsidRPr="00295637">
        <w:rPr>
          <w:rFonts w:ascii="Times New Roman" w:hAnsi="Times New Roman"/>
          <w:lang w:val="sr-Cyrl-BA"/>
        </w:rPr>
        <w:t xml:space="preserve"> </w:t>
      </w:r>
      <w:r>
        <w:rPr>
          <w:rFonts w:ascii="Times New Roman" w:hAnsi="Times New Roman"/>
          <w:lang w:val="sr-Cyrl-BA"/>
        </w:rPr>
        <w:t>равноправност</w:t>
      </w:r>
      <w:r w:rsidR="00077F23" w:rsidRPr="00295637">
        <w:rPr>
          <w:rFonts w:ascii="Times New Roman" w:hAnsi="Times New Roman"/>
          <w:lang w:val="sr-Cyrl-BA"/>
        </w:rPr>
        <w:t xml:space="preserve"> </w:t>
      </w:r>
      <w:r>
        <w:rPr>
          <w:rFonts w:ascii="Times New Roman" w:hAnsi="Times New Roman"/>
          <w:lang w:val="sr-Cyrl-BA"/>
        </w:rPr>
        <w:t>и</w:t>
      </w:r>
      <w:r w:rsidR="00077F23" w:rsidRPr="00295637">
        <w:rPr>
          <w:rFonts w:ascii="Times New Roman" w:hAnsi="Times New Roman"/>
          <w:lang w:val="sr-Cyrl-BA"/>
        </w:rPr>
        <w:t xml:space="preserve"> </w:t>
      </w:r>
      <w:r>
        <w:rPr>
          <w:rFonts w:ascii="Times New Roman" w:hAnsi="Times New Roman"/>
          <w:lang w:val="sr-Cyrl-BA"/>
        </w:rPr>
        <w:t>забрану</w:t>
      </w:r>
      <w:r w:rsidR="00077F23" w:rsidRPr="00295637">
        <w:rPr>
          <w:rFonts w:ascii="Times New Roman" w:hAnsi="Times New Roman"/>
          <w:lang w:val="sr-Cyrl-BA"/>
        </w:rPr>
        <w:t xml:space="preserve"> </w:t>
      </w:r>
      <w:r>
        <w:rPr>
          <w:rFonts w:ascii="Times New Roman" w:hAnsi="Times New Roman"/>
          <w:lang w:val="sr-Cyrl-BA"/>
        </w:rPr>
        <w:t>дискриминације</w:t>
      </w:r>
      <w:r w:rsidR="00077F23" w:rsidRPr="00295637">
        <w:rPr>
          <w:rFonts w:ascii="Times New Roman" w:hAnsi="Times New Roman"/>
          <w:lang w:val="sr-Cyrl-BA"/>
        </w:rPr>
        <w:t xml:space="preserve"> </w:t>
      </w:r>
      <w:r>
        <w:rPr>
          <w:rFonts w:ascii="Times New Roman" w:hAnsi="Times New Roman"/>
          <w:lang w:val="sr-Cyrl-BA"/>
        </w:rPr>
        <w:t>по</w:t>
      </w:r>
      <w:r w:rsidR="00077F23" w:rsidRPr="00295637">
        <w:rPr>
          <w:rFonts w:ascii="Times New Roman" w:hAnsi="Times New Roman"/>
          <w:lang w:val="sr-Cyrl-BA"/>
        </w:rPr>
        <w:t xml:space="preserve"> </w:t>
      </w:r>
      <w:r>
        <w:rPr>
          <w:rFonts w:ascii="Times New Roman" w:hAnsi="Times New Roman"/>
          <w:lang w:val="hr-HR"/>
        </w:rPr>
        <w:t>основу</w:t>
      </w:r>
      <w:r w:rsidR="000F7324">
        <w:rPr>
          <w:rFonts w:ascii="Times New Roman" w:hAnsi="Times New Roman"/>
          <w:lang w:val="sr-Cyrl-BA"/>
        </w:rPr>
        <w:t xml:space="preserve"> </w:t>
      </w:r>
      <w:r>
        <w:rPr>
          <w:rFonts w:ascii="Times New Roman" w:hAnsi="Times New Roman"/>
          <w:lang w:val="sr-Cyrl-BA"/>
        </w:rPr>
        <w:t>пола</w:t>
      </w:r>
      <w:r w:rsidR="000F7324">
        <w:rPr>
          <w:rFonts w:ascii="Times New Roman" w:hAnsi="Times New Roman"/>
          <w:lang w:val="sr-Cyrl-BA"/>
        </w:rPr>
        <w:t xml:space="preserve"> </w:t>
      </w:r>
      <w:r>
        <w:rPr>
          <w:rFonts w:ascii="Times New Roman" w:hAnsi="Times New Roman"/>
          <w:lang w:val="sr-Cyrl-BA"/>
        </w:rPr>
        <w:t>у</w:t>
      </w:r>
      <w:r w:rsidR="00077F23" w:rsidRPr="00295637">
        <w:rPr>
          <w:rFonts w:ascii="Times New Roman" w:hAnsi="Times New Roman"/>
          <w:lang w:val="sr-Cyrl-BA"/>
        </w:rPr>
        <w:t xml:space="preserve"> </w:t>
      </w:r>
      <w:r>
        <w:rPr>
          <w:rFonts w:ascii="Times New Roman" w:hAnsi="Times New Roman"/>
          <w:lang w:val="hr-HR"/>
        </w:rPr>
        <w:t>области</w:t>
      </w:r>
      <w:r w:rsidR="00077F23" w:rsidRPr="00295637">
        <w:rPr>
          <w:rFonts w:ascii="Times New Roman" w:hAnsi="Times New Roman"/>
          <w:lang w:val="sr-Cyrl-BA"/>
        </w:rPr>
        <w:t xml:space="preserve"> </w:t>
      </w:r>
      <w:r>
        <w:rPr>
          <w:rFonts w:ascii="Times New Roman" w:hAnsi="Times New Roman"/>
          <w:lang w:val="sr-Cyrl-BA"/>
        </w:rPr>
        <w:t>запослености</w:t>
      </w:r>
      <w:r w:rsidR="00077F23" w:rsidRPr="00295637">
        <w:rPr>
          <w:rFonts w:ascii="Times New Roman" w:hAnsi="Times New Roman"/>
          <w:lang w:val="sr-Cyrl-BA"/>
        </w:rPr>
        <w:t xml:space="preserve"> </w:t>
      </w:r>
      <w:r>
        <w:rPr>
          <w:rFonts w:ascii="Times New Roman" w:hAnsi="Times New Roman"/>
          <w:lang w:val="sr-Cyrl-BA"/>
        </w:rPr>
        <w:t>и</w:t>
      </w:r>
      <w:r w:rsidR="00077F23" w:rsidRPr="00295637">
        <w:rPr>
          <w:rFonts w:ascii="Times New Roman" w:hAnsi="Times New Roman"/>
          <w:lang w:val="sr-Cyrl-BA"/>
        </w:rPr>
        <w:t xml:space="preserve"> </w:t>
      </w:r>
      <w:r>
        <w:rPr>
          <w:rFonts w:ascii="Times New Roman" w:hAnsi="Times New Roman"/>
          <w:lang w:val="sr-Cyrl-BA"/>
        </w:rPr>
        <w:t>економске</w:t>
      </w:r>
      <w:r w:rsidR="00077F23" w:rsidRPr="00295637">
        <w:rPr>
          <w:rFonts w:ascii="Times New Roman" w:hAnsi="Times New Roman"/>
          <w:lang w:val="sr-Cyrl-BA"/>
        </w:rPr>
        <w:t xml:space="preserve"> </w:t>
      </w:r>
      <w:r>
        <w:rPr>
          <w:rFonts w:ascii="Times New Roman" w:hAnsi="Times New Roman"/>
          <w:lang w:val="sr-Cyrl-BA"/>
        </w:rPr>
        <w:t>користи</w:t>
      </w:r>
      <w:r w:rsidR="00077F23" w:rsidRPr="00295637">
        <w:rPr>
          <w:rFonts w:ascii="Times New Roman" w:hAnsi="Times New Roman"/>
          <w:lang w:val="sr-Cyrl-BA"/>
        </w:rPr>
        <w:t xml:space="preserve"> </w:t>
      </w:r>
      <w:r>
        <w:rPr>
          <w:rFonts w:ascii="Times New Roman" w:hAnsi="Times New Roman"/>
          <w:lang w:val="sr-Cyrl-BA"/>
        </w:rPr>
        <w:t>има</w:t>
      </w:r>
      <w:r w:rsidR="00077F23" w:rsidRPr="00295637">
        <w:rPr>
          <w:rFonts w:ascii="Times New Roman" w:hAnsi="Times New Roman"/>
          <w:lang w:val="sr-Cyrl-BA"/>
        </w:rPr>
        <w:t xml:space="preserve"> </w:t>
      </w:r>
      <w:r>
        <w:rPr>
          <w:rFonts w:ascii="Times New Roman" w:hAnsi="Times New Roman"/>
          <w:lang w:val="sr-Cyrl-BA"/>
        </w:rPr>
        <w:t>достигнути</w:t>
      </w:r>
      <w:r w:rsidR="00077F23" w:rsidRPr="00295637">
        <w:rPr>
          <w:rFonts w:ascii="Times New Roman" w:hAnsi="Times New Roman"/>
          <w:lang w:val="sr-Cyrl-BA"/>
        </w:rPr>
        <w:t xml:space="preserve"> </w:t>
      </w:r>
      <w:r>
        <w:rPr>
          <w:rFonts w:ascii="Times New Roman" w:hAnsi="Times New Roman"/>
          <w:lang w:val="sr-Cyrl-BA"/>
        </w:rPr>
        <w:t>проценат</w:t>
      </w:r>
      <w:r w:rsidR="00077F23" w:rsidRPr="00295637">
        <w:rPr>
          <w:rFonts w:ascii="Times New Roman" w:hAnsi="Times New Roman"/>
          <w:lang w:val="sr-Cyrl-BA"/>
        </w:rPr>
        <w:t xml:space="preserve"> </w:t>
      </w:r>
      <w:r>
        <w:rPr>
          <w:rFonts w:ascii="Times New Roman" w:hAnsi="Times New Roman"/>
          <w:lang w:val="sr-Cyrl-BA"/>
        </w:rPr>
        <w:t>постигнућа</w:t>
      </w:r>
      <w:r w:rsidR="00077F23" w:rsidRPr="00295637">
        <w:rPr>
          <w:rFonts w:ascii="Times New Roman" w:hAnsi="Times New Roman"/>
          <w:lang w:val="sr-Cyrl-BA"/>
        </w:rPr>
        <w:t xml:space="preserve"> 96% (</w:t>
      </w:r>
      <w:r>
        <w:rPr>
          <w:rFonts w:ascii="Times New Roman" w:hAnsi="Times New Roman"/>
          <w:lang w:val="sr-Cyrl-BA"/>
        </w:rPr>
        <w:t>индикатор</w:t>
      </w:r>
      <w:r w:rsidR="00077F23" w:rsidRPr="00295637">
        <w:rPr>
          <w:rFonts w:ascii="Times New Roman" w:hAnsi="Times New Roman"/>
          <w:lang w:val="sr-Cyrl-BA"/>
        </w:rPr>
        <w:t xml:space="preserve"> </w:t>
      </w:r>
      <w:r>
        <w:rPr>
          <w:rFonts w:ascii="Times New Roman" w:hAnsi="Times New Roman"/>
          <w:lang w:val="sr-Cyrl-BA"/>
        </w:rPr>
        <w:t>по</w:t>
      </w:r>
      <w:r w:rsidR="00077F23" w:rsidRPr="00295637">
        <w:rPr>
          <w:rFonts w:ascii="Times New Roman" w:hAnsi="Times New Roman"/>
          <w:lang w:val="sr-Cyrl-BA"/>
        </w:rPr>
        <w:t xml:space="preserve"> </w:t>
      </w:r>
      <w:r>
        <w:rPr>
          <w:rFonts w:ascii="Times New Roman" w:hAnsi="Times New Roman"/>
          <w:lang w:val="sr-Cyrl-BA"/>
        </w:rPr>
        <w:t>методологији</w:t>
      </w:r>
      <w:r w:rsidR="00077F23" w:rsidRPr="00295637">
        <w:rPr>
          <w:rFonts w:ascii="Times New Roman" w:hAnsi="Times New Roman"/>
          <w:lang w:val="sr-Cyrl-BA"/>
        </w:rPr>
        <w:t xml:space="preserve"> </w:t>
      </w:r>
      <w:r>
        <w:rPr>
          <w:rFonts w:ascii="Times New Roman" w:hAnsi="Times New Roman"/>
          <w:lang w:val="sr-Cyrl-BA"/>
        </w:rPr>
        <w:t>УН</w:t>
      </w:r>
      <w:r w:rsidR="00326F66">
        <w:rPr>
          <w:rFonts w:ascii="Times New Roman" w:hAnsi="Times New Roman"/>
          <w:lang w:val="bs-Latn-BA"/>
        </w:rPr>
        <w:t xml:space="preserve"> </w:t>
      </w:r>
      <w:r w:rsidR="00DF7B6D" w:rsidRPr="00DF7B6D">
        <w:rPr>
          <w:rFonts w:ascii="Times New Roman" w:hAnsi="Times New Roman"/>
          <w:i/>
          <w:lang w:val="bs-Latn-BA"/>
        </w:rPr>
        <w:t>SDG</w:t>
      </w:r>
      <w:r w:rsidR="00077F23" w:rsidRPr="00295637">
        <w:rPr>
          <w:rFonts w:ascii="Times New Roman" w:hAnsi="Times New Roman"/>
          <w:lang w:val="sr-Cyrl-BA"/>
        </w:rPr>
        <w:t xml:space="preserve">, </w:t>
      </w:r>
      <w:r>
        <w:rPr>
          <w:rFonts w:ascii="Times New Roman" w:hAnsi="Times New Roman"/>
          <w:lang w:val="sr-Cyrl-BA"/>
        </w:rPr>
        <w:t>Циљ</w:t>
      </w:r>
      <w:r w:rsidR="00077F23" w:rsidRPr="00295637">
        <w:rPr>
          <w:rFonts w:ascii="Times New Roman" w:hAnsi="Times New Roman"/>
          <w:lang w:val="sr-Cyrl-BA"/>
        </w:rPr>
        <w:t xml:space="preserve"> 5)</w:t>
      </w:r>
      <w:r w:rsidR="00077F23" w:rsidRPr="00295637">
        <w:rPr>
          <w:rFonts w:ascii="Times New Roman" w:hAnsi="Times New Roman"/>
          <w:lang w:val="sr-Latn-BA"/>
        </w:rPr>
        <w:t xml:space="preserve">. </w:t>
      </w:r>
      <w:r>
        <w:rPr>
          <w:rFonts w:ascii="Times New Roman" w:hAnsi="Times New Roman"/>
          <w:lang w:val="sr-Cyrl-BA"/>
        </w:rPr>
        <w:t>Радно</w:t>
      </w:r>
      <w:r w:rsidR="00077F23" w:rsidRPr="00295637">
        <w:rPr>
          <w:rFonts w:ascii="Times New Roman" w:hAnsi="Times New Roman"/>
          <w:lang w:val="sr-Cyrl-BA"/>
        </w:rPr>
        <w:t xml:space="preserve"> </w:t>
      </w:r>
      <w:r>
        <w:rPr>
          <w:rFonts w:ascii="Times New Roman" w:hAnsi="Times New Roman"/>
          <w:lang w:val="sr-Cyrl-BA"/>
        </w:rPr>
        <w:t>законодавство</w:t>
      </w:r>
      <w:r w:rsidR="00077F23"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077F23" w:rsidRPr="00295637">
        <w:rPr>
          <w:rFonts w:ascii="Times New Roman" w:hAnsi="Times New Roman"/>
          <w:lang w:val="sr-Cyrl-BA"/>
        </w:rPr>
        <w:t xml:space="preserve"> </w:t>
      </w:r>
      <w:r>
        <w:rPr>
          <w:rFonts w:ascii="Times New Roman" w:hAnsi="Times New Roman"/>
          <w:lang w:val="sr-Cyrl-BA"/>
        </w:rPr>
        <w:t>садржи</w:t>
      </w:r>
      <w:r w:rsidR="00077F23" w:rsidRPr="00295637">
        <w:rPr>
          <w:rFonts w:ascii="Times New Roman" w:hAnsi="Times New Roman"/>
          <w:lang w:val="sr-Cyrl-BA"/>
        </w:rPr>
        <w:t xml:space="preserve"> </w:t>
      </w:r>
      <w:r>
        <w:rPr>
          <w:rFonts w:ascii="Times New Roman" w:hAnsi="Times New Roman"/>
          <w:lang w:val="sr-Cyrl-BA"/>
        </w:rPr>
        <w:t>највише</w:t>
      </w:r>
      <w:r w:rsidR="00077F23" w:rsidRPr="00295637">
        <w:rPr>
          <w:rFonts w:ascii="Times New Roman" w:hAnsi="Times New Roman"/>
          <w:lang w:val="sr-Cyrl-BA"/>
        </w:rPr>
        <w:t xml:space="preserve"> </w:t>
      </w:r>
      <w:r>
        <w:rPr>
          <w:rFonts w:ascii="Times New Roman" w:hAnsi="Times New Roman"/>
          <w:lang w:val="sr-Cyrl-BA"/>
        </w:rPr>
        <w:t>стандарде</w:t>
      </w:r>
      <w:r w:rsidR="00077F23" w:rsidRPr="00295637">
        <w:rPr>
          <w:rFonts w:ascii="Times New Roman" w:hAnsi="Times New Roman"/>
          <w:lang w:val="sr-Cyrl-BA"/>
        </w:rPr>
        <w:t xml:space="preserve"> </w:t>
      </w:r>
      <w:r>
        <w:rPr>
          <w:rFonts w:ascii="Times New Roman" w:hAnsi="Times New Roman"/>
          <w:lang w:val="sr-Cyrl-BA"/>
        </w:rPr>
        <w:t>забране</w:t>
      </w:r>
      <w:r w:rsidR="00077F23" w:rsidRPr="00295637">
        <w:rPr>
          <w:rFonts w:ascii="Times New Roman" w:hAnsi="Times New Roman"/>
          <w:lang w:val="sr-Cyrl-BA"/>
        </w:rPr>
        <w:t xml:space="preserve"> </w:t>
      </w:r>
      <w:r>
        <w:rPr>
          <w:rFonts w:ascii="Times New Roman" w:hAnsi="Times New Roman"/>
          <w:lang w:val="sr-Cyrl-BA"/>
        </w:rPr>
        <w:t>дискриминације</w:t>
      </w:r>
      <w:r w:rsidR="00077F23" w:rsidRPr="00295637">
        <w:rPr>
          <w:rFonts w:ascii="Times New Roman" w:hAnsi="Times New Roman"/>
          <w:lang w:val="sr-Cyrl-BA"/>
        </w:rPr>
        <w:t xml:space="preserve"> </w:t>
      </w:r>
      <w:r>
        <w:rPr>
          <w:rFonts w:ascii="Times New Roman" w:hAnsi="Times New Roman"/>
          <w:lang w:val="sr-Cyrl-BA"/>
        </w:rPr>
        <w:t>и</w:t>
      </w:r>
      <w:r w:rsidR="00077F23" w:rsidRPr="00295637">
        <w:rPr>
          <w:rFonts w:ascii="Times New Roman" w:hAnsi="Times New Roman"/>
          <w:lang w:val="sr-Cyrl-BA"/>
        </w:rPr>
        <w:t xml:space="preserve"> </w:t>
      </w:r>
      <w:r>
        <w:rPr>
          <w:rFonts w:ascii="Times New Roman" w:hAnsi="Times New Roman"/>
          <w:lang w:val="sr-Cyrl-BA"/>
        </w:rPr>
        <w:t>насиља</w:t>
      </w:r>
      <w:r w:rsidR="00077F23" w:rsidRPr="00295637">
        <w:rPr>
          <w:rFonts w:ascii="Times New Roman" w:hAnsi="Times New Roman"/>
          <w:lang w:val="sr-Cyrl-BA"/>
        </w:rPr>
        <w:t xml:space="preserve"> </w:t>
      </w:r>
      <w:r>
        <w:rPr>
          <w:rFonts w:ascii="Times New Roman" w:hAnsi="Times New Roman"/>
          <w:lang w:val="sr-Cyrl-BA"/>
        </w:rPr>
        <w:t>по</w:t>
      </w:r>
      <w:r w:rsidR="00077F23" w:rsidRPr="00295637">
        <w:rPr>
          <w:rFonts w:ascii="Times New Roman" w:hAnsi="Times New Roman"/>
          <w:lang w:val="sr-Cyrl-BA"/>
        </w:rPr>
        <w:t xml:space="preserve"> </w:t>
      </w:r>
      <w:r>
        <w:rPr>
          <w:rFonts w:ascii="Times New Roman" w:hAnsi="Times New Roman"/>
          <w:lang w:val="hr-HR"/>
        </w:rPr>
        <w:t>основу</w:t>
      </w:r>
      <w:r w:rsidR="00077F23" w:rsidRPr="00295637">
        <w:rPr>
          <w:rFonts w:ascii="Times New Roman" w:hAnsi="Times New Roman"/>
          <w:lang w:val="sr-Cyrl-BA"/>
        </w:rPr>
        <w:t xml:space="preserve"> </w:t>
      </w:r>
      <w:r>
        <w:rPr>
          <w:rFonts w:ascii="Times New Roman" w:hAnsi="Times New Roman"/>
          <w:lang w:val="sr-Cyrl-BA"/>
        </w:rPr>
        <w:t>пола</w:t>
      </w:r>
      <w:r w:rsidR="00077F23" w:rsidRPr="00295637">
        <w:rPr>
          <w:rFonts w:ascii="Times New Roman" w:hAnsi="Times New Roman"/>
          <w:lang w:val="sr-Cyrl-BA"/>
        </w:rPr>
        <w:t xml:space="preserve">, </w:t>
      </w:r>
      <w:r>
        <w:rPr>
          <w:rFonts w:ascii="Times New Roman" w:hAnsi="Times New Roman"/>
          <w:lang w:val="sr-Cyrl-BA"/>
        </w:rPr>
        <w:t>као</w:t>
      </w:r>
      <w:r w:rsidR="00077F23" w:rsidRPr="00295637">
        <w:rPr>
          <w:rFonts w:ascii="Times New Roman" w:hAnsi="Times New Roman"/>
          <w:lang w:val="sr-Cyrl-BA"/>
        </w:rPr>
        <w:t xml:space="preserve"> </w:t>
      </w:r>
      <w:r>
        <w:rPr>
          <w:rFonts w:ascii="Times New Roman" w:hAnsi="Times New Roman"/>
          <w:lang w:val="sr-Cyrl-BA"/>
        </w:rPr>
        <w:t>и</w:t>
      </w:r>
      <w:r w:rsidR="00077F23" w:rsidRPr="00295637">
        <w:rPr>
          <w:rFonts w:ascii="Times New Roman" w:hAnsi="Times New Roman"/>
          <w:lang w:val="sr-Cyrl-BA"/>
        </w:rPr>
        <w:t xml:space="preserve"> </w:t>
      </w:r>
      <w:r>
        <w:rPr>
          <w:rFonts w:ascii="Times New Roman" w:hAnsi="Times New Roman"/>
          <w:lang w:val="sr-Cyrl-BA"/>
        </w:rPr>
        <w:t>заштите</w:t>
      </w:r>
      <w:r w:rsidR="00077F23" w:rsidRPr="00295637">
        <w:rPr>
          <w:rFonts w:ascii="Times New Roman" w:hAnsi="Times New Roman"/>
          <w:lang w:val="sr-Cyrl-BA"/>
        </w:rPr>
        <w:t xml:space="preserve"> </w:t>
      </w:r>
      <w:r>
        <w:rPr>
          <w:rFonts w:ascii="Times New Roman" w:hAnsi="Times New Roman"/>
          <w:lang w:val="sr-Cyrl-BA"/>
        </w:rPr>
        <w:t>права</w:t>
      </w:r>
      <w:r w:rsidR="00077F23" w:rsidRPr="00295637">
        <w:rPr>
          <w:rFonts w:ascii="Times New Roman" w:hAnsi="Times New Roman"/>
          <w:lang w:val="sr-Cyrl-BA"/>
        </w:rPr>
        <w:t>.</w:t>
      </w:r>
    </w:p>
    <w:p w:rsidR="00077F23" w:rsidRPr="00295637" w:rsidRDefault="00077F23" w:rsidP="0086268D">
      <w:pPr>
        <w:pStyle w:val="ListParagraph"/>
        <w:ind w:left="0"/>
        <w:jc w:val="both"/>
        <w:rPr>
          <w:rFonts w:ascii="Times New Roman" w:hAnsi="Times New Roman"/>
          <w:lang w:val="sr-Cyrl-BA"/>
        </w:rPr>
      </w:pPr>
    </w:p>
    <w:p w:rsidR="00077F23" w:rsidRPr="00A26F45" w:rsidRDefault="00C6214E" w:rsidP="0086268D">
      <w:pPr>
        <w:pStyle w:val="ListParagraph"/>
        <w:ind w:left="0"/>
        <w:jc w:val="both"/>
        <w:rPr>
          <w:rFonts w:ascii="Times New Roman" w:hAnsi="Times New Roman"/>
          <w:strike/>
          <w:lang w:val="sr-Latn-BA"/>
        </w:rPr>
      </w:pP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извјештајном</w:t>
      </w:r>
      <w:r w:rsidR="00077F23" w:rsidRPr="00295637">
        <w:rPr>
          <w:rFonts w:ascii="Times New Roman" w:hAnsi="Times New Roman"/>
          <w:lang w:val="sr-Latn-BA"/>
        </w:rPr>
        <w:t xml:space="preserve"> </w:t>
      </w:r>
      <w:r>
        <w:rPr>
          <w:rFonts w:ascii="Times New Roman" w:hAnsi="Times New Roman"/>
          <w:lang w:val="sr-Latn-BA"/>
        </w:rPr>
        <w:t>периоду</w:t>
      </w:r>
      <w:r w:rsidR="00077F23" w:rsidRPr="00295637">
        <w:rPr>
          <w:rFonts w:ascii="Times New Roman" w:hAnsi="Times New Roman"/>
          <w:lang w:val="sr-Latn-BA"/>
        </w:rPr>
        <w:t xml:space="preserve">, </w:t>
      </w:r>
      <w:r>
        <w:rPr>
          <w:rFonts w:ascii="Times New Roman" w:hAnsi="Times New Roman"/>
          <w:lang w:val="sr-Latn-BA"/>
        </w:rPr>
        <w:t>ЦЈРП</w:t>
      </w:r>
      <w:r w:rsidR="00077F23" w:rsidRPr="00295637">
        <w:rPr>
          <w:rFonts w:ascii="Times New Roman" w:hAnsi="Times New Roman"/>
          <w:lang w:val="sr-Latn-BA"/>
        </w:rPr>
        <w:t xml:space="preserve"> </w:t>
      </w:r>
      <w:r>
        <w:rPr>
          <w:rFonts w:ascii="Times New Roman" w:hAnsi="Times New Roman"/>
          <w:lang w:val="sr-Latn-BA"/>
        </w:rPr>
        <w:t>РС</w:t>
      </w:r>
      <w:r w:rsidR="00077F23" w:rsidRPr="00295637">
        <w:rPr>
          <w:rFonts w:ascii="Times New Roman" w:hAnsi="Times New Roman"/>
          <w:lang w:val="sr-Cyrl-BA"/>
        </w:rPr>
        <w:t xml:space="preserve"> </w:t>
      </w:r>
      <w:r>
        <w:rPr>
          <w:rFonts w:ascii="Times New Roman" w:hAnsi="Times New Roman"/>
          <w:lang w:val="sr-Cyrl-BA"/>
        </w:rPr>
        <w:t>је</w:t>
      </w:r>
      <w:r w:rsidR="00163AC2">
        <w:rPr>
          <w:rFonts w:ascii="Times New Roman" w:hAnsi="Times New Roman"/>
          <w:lang w:val="sr-Cyrl-BA"/>
        </w:rPr>
        <w:t xml:space="preserve"> </w:t>
      </w:r>
      <w:r>
        <w:rPr>
          <w:rFonts w:ascii="Times New Roman" w:hAnsi="Times New Roman"/>
          <w:lang w:val="sr-Cyrl-BA"/>
        </w:rPr>
        <w:t>дао</w:t>
      </w:r>
      <w:r w:rsidR="00163AC2">
        <w:rPr>
          <w:rFonts w:ascii="Times New Roman" w:hAnsi="Times New Roman"/>
          <w:lang w:val="sr-Cyrl-BA"/>
        </w:rPr>
        <w:t xml:space="preserve"> </w:t>
      </w:r>
      <w:r>
        <w:rPr>
          <w:rFonts w:ascii="Times New Roman" w:hAnsi="Times New Roman"/>
          <w:lang w:val="sr-Cyrl-BA"/>
        </w:rPr>
        <w:t>мишљење</w:t>
      </w:r>
      <w:r w:rsidR="00163AC2">
        <w:rPr>
          <w:rFonts w:ascii="Times New Roman" w:hAnsi="Times New Roman"/>
          <w:lang w:val="sr-Cyrl-BA"/>
        </w:rPr>
        <w:t xml:space="preserve"> </w:t>
      </w:r>
      <w:r>
        <w:rPr>
          <w:rFonts w:ascii="Times New Roman" w:hAnsi="Times New Roman"/>
          <w:lang w:val="sr-Cyrl-BA"/>
        </w:rPr>
        <w:t>о</w:t>
      </w:r>
      <w:r w:rsidR="00163AC2">
        <w:rPr>
          <w:rFonts w:ascii="Times New Roman" w:hAnsi="Times New Roman"/>
          <w:lang w:val="sr-Cyrl-BA"/>
        </w:rPr>
        <w:t xml:space="preserve"> </w:t>
      </w:r>
      <w:r>
        <w:rPr>
          <w:rFonts w:ascii="Times New Roman" w:hAnsi="Times New Roman"/>
          <w:lang w:val="sr-Cyrl-BA"/>
        </w:rPr>
        <w:t>усклађености</w:t>
      </w:r>
      <w:r w:rsidR="00163AC2">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077F23" w:rsidRPr="00295637">
        <w:rPr>
          <w:rFonts w:ascii="Times New Roman" w:hAnsi="Times New Roman"/>
          <w:lang w:val="sr-Cyrl-BA"/>
        </w:rPr>
        <w:t xml:space="preserve"> </w:t>
      </w:r>
      <w:r>
        <w:rPr>
          <w:rFonts w:ascii="Times New Roman" w:hAnsi="Times New Roman"/>
          <w:lang w:val="sr-Cyrl-BA"/>
        </w:rPr>
        <w:t>З</w:t>
      </w:r>
      <w:r>
        <w:rPr>
          <w:rFonts w:ascii="Times New Roman" w:hAnsi="Times New Roman"/>
          <w:lang w:val="bs-Latn-BA"/>
        </w:rPr>
        <w:t>оР</w:t>
      </w:r>
      <w:r w:rsidR="00DF7B6D">
        <w:rPr>
          <w:rFonts w:ascii="Times New Roman" w:hAnsi="Times New Roman"/>
          <w:lang w:val="sr-Cyrl-BA"/>
        </w:rPr>
        <w:t>П</w:t>
      </w:r>
      <w:r w:rsidR="00077F23" w:rsidRPr="00295637">
        <w:rPr>
          <w:rFonts w:ascii="Times New Roman" w:hAnsi="Times New Roman"/>
          <w:lang w:val="sr-Cyrl-BA"/>
        </w:rPr>
        <w:t xml:space="preserve"> </w:t>
      </w:r>
      <w:r>
        <w:rPr>
          <w:rFonts w:ascii="Times New Roman" w:hAnsi="Times New Roman"/>
          <w:lang w:val="sr-Cyrl-BA"/>
        </w:rPr>
        <w:t>БиХ</w:t>
      </w:r>
      <w:r w:rsidR="00077F23" w:rsidRPr="00295637">
        <w:rPr>
          <w:rFonts w:ascii="Times New Roman" w:hAnsi="Times New Roman"/>
          <w:lang w:val="sr-Cyrl-BA"/>
        </w:rPr>
        <w:t xml:space="preserve"> </w:t>
      </w:r>
      <w:r>
        <w:rPr>
          <w:rFonts w:ascii="Times New Roman" w:hAnsi="Times New Roman"/>
          <w:lang w:val="sr-Cyrl-BA"/>
        </w:rPr>
        <w:t>у</w:t>
      </w:r>
      <w:r w:rsidR="00077F23" w:rsidRPr="00295637">
        <w:rPr>
          <w:rFonts w:ascii="Times New Roman" w:hAnsi="Times New Roman"/>
          <w:lang w:val="sr-Cyrl-BA"/>
        </w:rPr>
        <w:t xml:space="preserve"> </w:t>
      </w:r>
      <w:r>
        <w:rPr>
          <w:rFonts w:ascii="Times New Roman" w:hAnsi="Times New Roman"/>
          <w:lang w:val="sr-Cyrl-BA"/>
        </w:rPr>
        <w:t>прописаном</w:t>
      </w:r>
      <w:r w:rsidR="00077F23" w:rsidRPr="00295637">
        <w:rPr>
          <w:rFonts w:ascii="Times New Roman" w:hAnsi="Times New Roman"/>
          <w:lang w:val="sr-Cyrl-BA"/>
        </w:rPr>
        <w:t xml:space="preserve"> </w:t>
      </w:r>
      <w:r>
        <w:rPr>
          <w:rFonts w:ascii="Times New Roman" w:hAnsi="Times New Roman"/>
          <w:lang w:val="sr-Cyrl-BA"/>
        </w:rPr>
        <w:t>року</w:t>
      </w:r>
      <w:r w:rsidR="00077F23" w:rsidRPr="00295637">
        <w:rPr>
          <w:rFonts w:ascii="Times New Roman" w:hAnsi="Times New Roman"/>
          <w:lang w:val="sr-Cyrl-BA"/>
        </w:rPr>
        <w:t xml:space="preserve"> </w:t>
      </w:r>
      <w:r>
        <w:rPr>
          <w:rFonts w:ascii="Times New Roman" w:hAnsi="Times New Roman"/>
          <w:lang w:val="sr-Cyrl-BA"/>
        </w:rPr>
        <w:t>на</w:t>
      </w:r>
      <w:r w:rsidR="00077F23" w:rsidRPr="00295637">
        <w:rPr>
          <w:rFonts w:ascii="Times New Roman" w:hAnsi="Times New Roman"/>
          <w:lang w:val="sr-Cyrl-BA"/>
        </w:rPr>
        <w:t xml:space="preserve"> </w:t>
      </w:r>
      <w:r>
        <w:rPr>
          <w:rFonts w:ascii="Times New Roman" w:hAnsi="Times New Roman"/>
          <w:lang w:val="bs-Latn-BA"/>
        </w:rPr>
        <w:t>шест</w:t>
      </w:r>
      <w:r w:rsidR="008B55ED" w:rsidRPr="00295637">
        <w:rPr>
          <w:rFonts w:ascii="Times New Roman" w:hAnsi="Times New Roman"/>
          <w:lang w:val="bs-Latn-BA"/>
        </w:rPr>
        <w:t xml:space="preserve"> </w:t>
      </w:r>
      <w:r>
        <w:rPr>
          <w:rFonts w:ascii="Times New Roman" w:hAnsi="Times New Roman"/>
          <w:lang w:val="bs-Latn-BA"/>
        </w:rPr>
        <w:t>аката</w:t>
      </w:r>
      <w:r w:rsidR="008B55ED" w:rsidRPr="00295637">
        <w:rPr>
          <w:rFonts w:ascii="Times New Roman" w:hAnsi="Times New Roman"/>
          <w:lang w:val="bs-Latn-BA"/>
        </w:rPr>
        <w:t xml:space="preserve"> </w:t>
      </w:r>
      <w:r>
        <w:rPr>
          <w:rFonts w:ascii="Times New Roman" w:hAnsi="Times New Roman"/>
          <w:lang w:val="bs-Latn-BA"/>
        </w:rPr>
        <w:t>из</w:t>
      </w:r>
      <w:r w:rsidR="008B55ED" w:rsidRPr="00295637">
        <w:rPr>
          <w:rFonts w:ascii="Times New Roman" w:hAnsi="Times New Roman"/>
          <w:lang w:val="bs-Latn-BA"/>
        </w:rPr>
        <w:t xml:space="preserve"> </w:t>
      </w:r>
      <w:r>
        <w:rPr>
          <w:rFonts w:ascii="Times New Roman" w:hAnsi="Times New Roman"/>
          <w:lang w:val="bs-Latn-BA"/>
        </w:rPr>
        <w:t>области</w:t>
      </w:r>
      <w:r w:rsidR="008B55ED" w:rsidRPr="00295637">
        <w:rPr>
          <w:rFonts w:ascii="Times New Roman" w:hAnsi="Times New Roman"/>
          <w:lang w:val="bs-Latn-BA"/>
        </w:rPr>
        <w:t xml:space="preserve"> </w:t>
      </w:r>
      <w:r>
        <w:rPr>
          <w:rFonts w:ascii="Times New Roman" w:hAnsi="Times New Roman"/>
          <w:lang w:val="bs-Latn-BA"/>
        </w:rPr>
        <w:t>рада</w:t>
      </w:r>
      <w:r w:rsidR="00BA19C5">
        <w:rPr>
          <w:rFonts w:ascii="Times New Roman" w:hAnsi="Times New Roman"/>
          <w:lang w:val="bs-Latn-BA"/>
        </w:rPr>
        <w:t>,</w:t>
      </w:r>
      <w:r w:rsidR="008B55ED" w:rsidRPr="00295637">
        <w:rPr>
          <w:rFonts w:ascii="Times New Roman" w:hAnsi="Times New Roman"/>
          <w:lang w:val="bs-Latn-BA"/>
        </w:rPr>
        <w:t xml:space="preserve"> </w:t>
      </w:r>
      <w:r>
        <w:rPr>
          <w:rFonts w:ascii="Times New Roman" w:hAnsi="Times New Roman"/>
          <w:lang w:val="bs-Latn-BA"/>
        </w:rPr>
        <w:t>запошљавања</w:t>
      </w:r>
      <w:r w:rsidR="00BA19C5">
        <w:rPr>
          <w:rFonts w:ascii="Times New Roman" w:hAnsi="Times New Roman"/>
          <w:lang w:val="bs-Latn-BA"/>
        </w:rPr>
        <w:t xml:space="preserve"> </w:t>
      </w:r>
      <w:r>
        <w:rPr>
          <w:rFonts w:ascii="Times New Roman" w:hAnsi="Times New Roman"/>
          <w:lang w:val="bs-Latn-BA"/>
        </w:rPr>
        <w:t>и</w:t>
      </w:r>
      <w:r w:rsidR="00BA19C5">
        <w:rPr>
          <w:rFonts w:ascii="Times New Roman" w:hAnsi="Times New Roman"/>
          <w:lang w:val="bs-Latn-BA"/>
        </w:rPr>
        <w:t xml:space="preserve"> </w:t>
      </w:r>
      <w:r>
        <w:rPr>
          <w:rFonts w:ascii="Times New Roman" w:hAnsi="Times New Roman"/>
          <w:lang w:val="bs-Latn-BA"/>
        </w:rPr>
        <w:t>приступа</w:t>
      </w:r>
      <w:r w:rsidR="00BA19C5">
        <w:rPr>
          <w:rFonts w:ascii="Times New Roman" w:hAnsi="Times New Roman"/>
          <w:lang w:val="bs-Latn-BA"/>
        </w:rPr>
        <w:t xml:space="preserve"> </w:t>
      </w:r>
      <w:r>
        <w:rPr>
          <w:rFonts w:ascii="Times New Roman" w:hAnsi="Times New Roman"/>
          <w:lang w:val="bs-Latn-BA"/>
        </w:rPr>
        <w:t>ресурсима</w:t>
      </w:r>
      <w:r w:rsidR="00BA19C5">
        <w:rPr>
          <w:rFonts w:ascii="Times New Roman" w:hAnsi="Times New Roman"/>
          <w:lang w:val="bs-Latn-BA"/>
        </w:rPr>
        <w:t xml:space="preserve">, </w:t>
      </w:r>
      <w:r>
        <w:rPr>
          <w:rFonts w:ascii="Times New Roman" w:hAnsi="Times New Roman"/>
          <w:lang w:val="bs-Latn-BA"/>
        </w:rPr>
        <w:t>укључујући</w:t>
      </w:r>
      <w:r w:rsidR="00BA19C5">
        <w:rPr>
          <w:rFonts w:ascii="Times New Roman" w:hAnsi="Times New Roman"/>
          <w:lang w:val="bs-Latn-BA"/>
        </w:rPr>
        <w:t xml:space="preserve"> </w:t>
      </w:r>
      <w:r>
        <w:rPr>
          <w:rFonts w:ascii="Times New Roman" w:hAnsi="Times New Roman"/>
          <w:lang w:val="bs-Latn-BA"/>
        </w:rPr>
        <w:t>предузетништво</w:t>
      </w:r>
      <w:r w:rsidR="00BA19C5">
        <w:rPr>
          <w:rFonts w:ascii="Times New Roman" w:hAnsi="Times New Roman"/>
          <w:lang w:val="bs-Latn-BA"/>
        </w:rPr>
        <w:t>,</w:t>
      </w:r>
      <w:r w:rsidR="00163AC2">
        <w:rPr>
          <w:rFonts w:ascii="Times New Roman" w:hAnsi="Times New Roman"/>
          <w:lang w:val="bs-Latn-BA"/>
        </w:rPr>
        <w:t xml:space="preserve"> </w:t>
      </w:r>
      <w:r>
        <w:rPr>
          <w:rFonts w:ascii="Times New Roman" w:hAnsi="Times New Roman"/>
          <w:lang w:val="bs-Latn-BA"/>
        </w:rPr>
        <w:t>и</w:t>
      </w:r>
      <w:r w:rsidR="00163AC2">
        <w:rPr>
          <w:rFonts w:ascii="Times New Roman" w:hAnsi="Times New Roman"/>
          <w:lang w:val="bs-Latn-BA"/>
        </w:rPr>
        <w:t xml:space="preserve"> </w:t>
      </w:r>
      <w:r>
        <w:rPr>
          <w:rFonts w:ascii="Times New Roman" w:hAnsi="Times New Roman"/>
          <w:lang w:val="bs-Latn-BA"/>
        </w:rPr>
        <w:t>сви</w:t>
      </w:r>
      <w:r w:rsidR="00163AC2">
        <w:rPr>
          <w:rFonts w:ascii="Times New Roman" w:hAnsi="Times New Roman"/>
          <w:lang w:val="bs-Latn-BA"/>
        </w:rPr>
        <w:t xml:space="preserve"> </w:t>
      </w:r>
      <w:r>
        <w:rPr>
          <w:rFonts w:ascii="Times New Roman" w:hAnsi="Times New Roman"/>
          <w:lang w:val="bs-Latn-BA"/>
        </w:rPr>
        <w:t>акти</w:t>
      </w:r>
      <w:r w:rsidR="00163AC2">
        <w:rPr>
          <w:rFonts w:ascii="Times New Roman" w:hAnsi="Times New Roman"/>
          <w:lang w:val="bs-Latn-BA"/>
        </w:rPr>
        <w:t xml:space="preserve"> </w:t>
      </w:r>
      <w:r>
        <w:rPr>
          <w:rFonts w:ascii="Times New Roman" w:hAnsi="Times New Roman"/>
          <w:lang w:val="bs-Latn-BA"/>
        </w:rPr>
        <w:t>су</w:t>
      </w:r>
      <w:r w:rsidR="00163AC2">
        <w:rPr>
          <w:rFonts w:ascii="Times New Roman" w:hAnsi="Times New Roman"/>
          <w:lang w:val="bs-Latn-BA"/>
        </w:rPr>
        <w:t xml:space="preserve"> </w:t>
      </w:r>
      <w:r>
        <w:rPr>
          <w:rFonts w:ascii="Times New Roman" w:hAnsi="Times New Roman"/>
          <w:lang w:val="bs-Latn-BA"/>
        </w:rPr>
        <w:t>усклађени</w:t>
      </w:r>
      <w:r w:rsidR="00163AC2">
        <w:rPr>
          <w:rFonts w:ascii="Times New Roman" w:hAnsi="Times New Roman"/>
          <w:lang w:val="bs-Latn-BA"/>
        </w:rPr>
        <w:t xml:space="preserve"> </w:t>
      </w:r>
      <w:r>
        <w:rPr>
          <w:rFonts w:ascii="Times New Roman" w:hAnsi="Times New Roman"/>
          <w:lang w:val="bs-Latn-BA"/>
        </w:rPr>
        <w:t>са</w:t>
      </w:r>
      <w:r w:rsidR="008B55ED" w:rsidRPr="00295637">
        <w:rPr>
          <w:rFonts w:ascii="Times New Roman" w:hAnsi="Times New Roman"/>
          <w:lang w:val="bs-Latn-BA"/>
        </w:rPr>
        <w:t xml:space="preserve"> </w:t>
      </w:r>
      <w:r>
        <w:rPr>
          <w:rFonts w:ascii="Times New Roman" w:hAnsi="Times New Roman"/>
          <w:lang w:val="bs-Latn-BA"/>
        </w:rPr>
        <w:t>ЗоР</w:t>
      </w:r>
      <w:r w:rsidR="00DF7B6D">
        <w:rPr>
          <w:rFonts w:ascii="Times New Roman" w:hAnsi="Times New Roman"/>
          <w:lang w:val="sr-Cyrl-BA"/>
        </w:rPr>
        <w:t>П</w:t>
      </w:r>
      <w:r w:rsidR="008B55ED" w:rsidRPr="00295637">
        <w:rPr>
          <w:rFonts w:ascii="Times New Roman" w:hAnsi="Times New Roman"/>
          <w:lang w:val="bs-Latn-BA"/>
        </w:rPr>
        <w:t>-</w:t>
      </w:r>
      <w:r>
        <w:rPr>
          <w:rFonts w:ascii="Times New Roman" w:hAnsi="Times New Roman"/>
          <w:lang w:val="bs-Latn-BA"/>
        </w:rPr>
        <w:t>ом</w:t>
      </w:r>
      <w:r w:rsidR="008B55ED" w:rsidRPr="00295637">
        <w:rPr>
          <w:rFonts w:ascii="Times New Roman" w:hAnsi="Times New Roman"/>
          <w:lang w:val="bs-Latn-BA"/>
        </w:rPr>
        <w:t xml:space="preserve">. </w:t>
      </w:r>
      <w:r>
        <w:rPr>
          <w:rFonts w:ascii="Times New Roman" w:hAnsi="Times New Roman"/>
          <w:lang w:val="sr-Latn-BA"/>
        </w:rPr>
        <w:t>Израђен</w:t>
      </w:r>
      <w:r w:rsidR="00077F23" w:rsidRPr="00726439">
        <w:rPr>
          <w:rFonts w:ascii="Times New Roman" w:hAnsi="Times New Roman"/>
          <w:lang w:val="sr-Latn-BA"/>
        </w:rPr>
        <w:t xml:space="preserve"> </w:t>
      </w:r>
      <w:r>
        <w:rPr>
          <w:rFonts w:ascii="Times New Roman" w:hAnsi="Times New Roman"/>
          <w:lang w:val="sr-Latn-BA"/>
        </w:rPr>
        <w:t>је</w:t>
      </w:r>
      <w:r w:rsidR="00077F23" w:rsidRPr="00726439">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они</w:t>
      </w:r>
      <w:r w:rsidR="00077F23" w:rsidRPr="00726439">
        <w:rPr>
          <w:rFonts w:ascii="Times New Roman" w:hAnsi="Times New Roman"/>
          <w:lang w:val="sr-Cyrl-BA"/>
        </w:rPr>
        <w:t xml:space="preserve"> </w:t>
      </w:r>
      <w:r>
        <w:rPr>
          <w:rFonts w:ascii="Times New Roman" w:hAnsi="Times New Roman"/>
          <w:lang w:val="sr-Cyrl-BA"/>
        </w:rPr>
        <w:t>план</w:t>
      </w:r>
      <w:r w:rsidR="00077F23" w:rsidRPr="00726439">
        <w:rPr>
          <w:rFonts w:ascii="Times New Roman" w:hAnsi="Times New Roman"/>
          <w:lang w:val="sr-Cyrl-BA"/>
        </w:rPr>
        <w:t xml:space="preserve"> </w:t>
      </w:r>
      <w:r>
        <w:rPr>
          <w:rFonts w:ascii="Times New Roman" w:hAnsi="Times New Roman"/>
          <w:lang w:val="sr-Cyrl-BA"/>
        </w:rPr>
        <w:t>за</w:t>
      </w:r>
      <w:r w:rsidR="00077F23" w:rsidRPr="00726439">
        <w:rPr>
          <w:rFonts w:ascii="Times New Roman" w:hAnsi="Times New Roman"/>
          <w:lang w:val="sr-Cyrl-BA"/>
        </w:rPr>
        <w:t xml:space="preserve"> </w:t>
      </w:r>
      <w:r w:rsidR="00DF7B6D">
        <w:rPr>
          <w:rFonts w:ascii="Times New Roman" w:hAnsi="Times New Roman"/>
          <w:lang w:val="sr-Cyrl-BA"/>
        </w:rPr>
        <w:t>спровођење</w:t>
      </w:r>
      <w:r w:rsidR="00077F23" w:rsidRPr="00726439">
        <w:rPr>
          <w:rFonts w:ascii="Times New Roman" w:hAnsi="Times New Roman"/>
          <w:lang w:val="sr-Cyrl-BA"/>
        </w:rPr>
        <w:t xml:space="preserve"> </w:t>
      </w:r>
      <w:r>
        <w:rPr>
          <w:rFonts w:ascii="Times New Roman" w:hAnsi="Times New Roman"/>
          <w:lang w:val="sr-Cyrl-BA"/>
        </w:rPr>
        <w:t>Стратегије</w:t>
      </w:r>
      <w:r w:rsidR="00077F23" w:rsidRPr="00726439">
        <w:rPr>
          <w:rFonts w:ascii="Times New Roman" w:hAnsi="Times New Roman"/>
          <w:lang w:val="sr-Cyrl-BA"/>
        </w:rPr>
        <w:t xml:space="preserve"> </w:t>
      </w:r>
      <w:r>
        <w:rPr>
          <w:rFonts w:ascii="Times New Roman" w:hAnsi="Times New Roman"/>
          <w:lang w:val="sr-Cyrl-BA"/>
        </w:rPr>
        <w:t>запошљавања</w:t>
      </w:r>
      <w:r w:rsidR="00077F23" w:rsidRPr="00726439">
        <w:rPr>
          <w:rFonts w:ascii="Times New Roman" w:hAnsi="Times New Roman"/>
          <w:lang w:val="sr-Cyrl-BA"/>
        </w:rPr>
        <w:t xml:space="preserve"> </w:t>
      </w:r>
      <w:r>
        <w:rPr>
          <w:rFonts w:ascii="Times New Roman" w:hAnsi="Times New Roman"/>
          <w:lang w:val="sr-Cyrl-BA"/>
        </w:rPr>
        <w:t>РС</w:t>
      </w:r>
      <w:r w:rsidR="00077F23" w:rsidRPr="00726439">
        <w:rPr>
          <w:rFonts w:ascii="Times New Roman" w:hAnsi="Times New Roman"/>
          <w:lang w:val="sr-Cyrl-BA"/>
        </w:rPr>
        <w:t xml:space="preserve"> </w:t>
      </w:r>
      <w:r>
        <w:rPr>
          <w:rFonts w:ascii="Times New Roman" w:hAnsi="Times New Roman"/>
          <w:lang w:val="sr-Cyrl-BA"/>
        </w:rPr>
        <w:t>за</w:t>
      </w:r>
      <w:r w:rsidR="00077F23" w:rsidRPr="00726439">
        <w:rPr>
          <w:rFonts w:ascii="Times New Roman" w:hAnsi="Times New Roman"/>
          <w:lang w:val="sr-Cyrl-BA"/>
        </w:rPr>
        <w:t xml:space="preserve"> </w:t>
      </w:r>
      <w:r>
        <w:rPr>
          <w:rFonts w:ascii="Times New Roman" w:hAnsi="Times New Roman"/>
          <w:lang w:val="sr-Cyrl-BA"/>
        </w:rPr>
        <w:t>временск</w:t>
      </w:r>
      <w:r>
        <w:rPr>
          <w:rFonts w:ascii="Times New Roman" w:hAnsi="Times New Roman"/>
          <w:lang w:val="hr-HR"/>
        </w:rPr>
        <w:t>и</w:t>
      </w:r>
      <w:r w:rsidR="00077F23" w:rsidRPr="00726439">
        <w:rPr>
          <w:rFonts w:ascii="Times New Roman" w:hAnsi="Times New Roman"/>
          <w:lang w:val="sr-Cyrl-BA"/>
        </w:rPr>
        <w:t xml:space="preserve"> </w:t>
      </w:r>
      <w:r>
        <w:rPr>
          <w:rFonts w:ascii="Times New Roman" w:hAnsi="Times New Roman"/>
          <w:lang w:val="hr-HR"/>
        </w:rPr>
        <w:t>период</w:t>
      </w:r>
      <w:r w:rsidR="00077F23" w:rsidRPr="00726439">
        <w:rPr>
          <w:rFonts w:ascii="Times New Roman" w:hAnsi="Times New Roman"/>
          <w:lang w:val="sr-Cyrl-BA"/>
        </w:rPr>
        <w:t xml:space="preserve"> 2024</w:t>
      </w:r>
      <w:r w:rsidR="00163AC2">
        <w:rPr>
          <w:rFonts w:ascii="Times New Roman" w:hAnsi="Times New Roman"/>
          <w:lang w:val="bs-Latn-BA"/>
        </w:rPr>
        <w:t>-</w:t>
      </w:r>
      <w:r w:rsidR="00077F23" w:rsidRPr="00726439">
        <w:rPr>
          <w:rFonts w:ascii="Times New Roman" w:hAnsi="Times New Roman"/>
          <w:lang w:val="sr-Cyrl-BA"/>
        </w:rPr>
        <w:t>2026.</w:t>
      </w:r>
      <w:r w:rsidR="00726439">
        <w:rPr>
          <w:rFonts w:ascii="Times New Roman" w:hAnsi="Times New Roman"/>
          <w:lang w:val="bs-Latn-BA"/>
        </w:rPr>
        <w:t xml:space="preserve"> </w:t>
      </w:r>
      <w:r>
        <w:rPr>
          <w:rFonts w:ascii="Times New Roman" w:hAnsi="Times New Roman"/>
          <w:lang w:val="sr-Cyrl-BA"/>
        </w:rPr>
        <w:t>година</w:t>
      </w:r>
      <w:r w:rsidR="00077F23" w:rsidRPr="00726439">
        <w:rPr>
          <w:rFonts w:ascii="Times New Roman" w:hAnsi="Times New Roman"/>
          <w:lang w:val="sr-Latn-BA"/>
        </w:rPr>
        <w:t>.</w:t>
      </w:r>
    </w:p>
    <w:p w:rsidR="00267394" w:rsidRPr="00295637" w:rsidRDefault="00267394" w:rsidP="0086268D">
      <w:pPr>
        <w:tabs>
          <w:tab w:val="left" w:pos="284"/>
          <w:tab w:val="left" w:pos="630"/>
          <w:tab w:val="left" w:pos="1080"/>
        </w:tabs>
        <w:jc w:val="both"/>
        <w:rPr>
          <w:rFonts w:asciiTheme="minorHAnsi" w:hAnsiTheme="minorHAnsi" w:cstheme="minorHAnsi"/>
          <w:szCs w:val="24"/>
          <w:lang w:val="bs-Latn-BA"/>
        </w:rPr>
      </w:pPr>
    </w:p>
    <w:p w:rsidR="00356C2C" w:rsidRPr="00295637" w:rsidRDefault="00DF7B6D" w:rsidP="00415930">
      <w:pPr>
        <w:tabs>
          <w:tab w:val="left" w:pos="284"/>
          <w:tab w:val="left" w:pos="630"/>
          <w:tab w:val="left" w:pos="1080"/>
        </w:tabs>
        <w:ind w:left="900"/>
        <w:jc w:val="both"/>
        <w:rPr>
          <w:rFonts w:ascii="Times New Roman" w:hAnsi="Times New Roman"/>
          <w:szCs w:val="24"/>
          <w:lang w:val="bs-Latn-BA"/>
        </w:rPr>
      </w:pPr>
      <w:r>
        <w:rPr>
          <w:rFonts w:ascii="Times New Roman" w:eastAsia="Calibri" w:hAnsi="Times New Roman"/>
          <w:szCs w:val="24"/>
          <w:lang w:val="bs-Latn-BA"/>
        </w:rPr>
        <w:t>I</w:t>
      </w:r>
      <w:r w:rsidR="00415930">
        <w:rPr>
          <w:rFonts w:ascii="Times New Roman" w:eastAsia="Calibri" w:hAnsi="Times New Roman"/>
          <w:szCs w:val="24"/>
          <w:lang w:val="bs-Latn-BA"/>
        </w:rPr>
        <w:t xml:space="preserve"> 3.2. </w:t>
      </w:r>
      <w:r w:rsidR="00C6214E">
        <w:rPr>
          <w:rFonts w:ascii="Times New Roman" w:eastAsia="Calibri" w:hAnsi="Times New Roman"/>
          <w:szCs w:val="24"/>
          <w:lang w:val="bs-Latn-BA"/>
        </w:rPr>
        <w:t>Редовно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прикупљање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анализа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објављивање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податка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разврстаних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полу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учешћу</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мушкараца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тржишту</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економском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животу</w:t>
      </w:r>
      <w:r w:rsidR="00356C2C" w:rsidRPr="00295637">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295637">
        <w:rPr>
          <w:rFonts w:ascii="Times New Roman" w:hAnsi="Times New Roman"/>
          <w:szCs w:val="24"/>
          <w:lang w:val="bs-Latn-BA"/>
        </w:rPr>
        <w:t xml:space="preserve"> </w:t>
      </w:r>
      <w:r w:rsidR="00C6214E">
        <w:rPr>
          <w:rFonts w:ascii="Times New Roman" w:hAnsi="Times New Roman"/>
          <w:szCs w:val="24"/>
          <w:lang w:val="bs-Latn-BA"/>
        </w:rPr>
        <w:t>учешће</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мјестима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одлучивања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напредовање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каријери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приход</w:t>
      </w:r>
      <w:r w:rsidR="00356C2C" w:rsidRPr="00295637">
        <w:rPr>
          <w:rFonts w:ascii="Times New Roman" w:hAnsi="Times New Roman"/>
          <w:szCs w:val="24"/>
          <w:lang w:val="bs-Latn-BA"/>
        </w:rPr>
        <w:t xml:space="preserve">, </w:t>
      </w:r>
      <w:r w:rsidR="00C6214E">
        <w:rPr>
          <w:rFonts w:ascii="Times New Roman" w:hAnsi="Times New Roman"/>
          <w:szCs w:val="24"/>
          <w:lang w:val="bs-Latn-BA"/>
        </w:rPr>
        <w:t>наднице</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рад</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неодређено</w:t>
      </w:r>
      <w:r w:rsidR="00356C2C" w:rsidRPr="00295637">
        <w:rPr>
          <w:rFonts w:ascii="Times New Roman" w:hAnsi="Times New Roman"/>
          <w:szCs w:val="24"/>
          <w:lang w:val="bs-Latn-BA"/>
        </w:rPr>
        <w:t>/</w:t>
      </w:r>
      <w:r w:rsidR="00C6214E">
        <w:rPr>
          <w:rFonts w:ascii="Times New Roman" w:hAnsi="Times New Roman"/>
          <w:szCs w:val="24"/>
          <w:lang w:val="bs-Latn-BA"/>
        </w:rPr>
        <w:t>одређено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вријеме</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услови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пословног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уговора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приступ</w:t>
      </w:r>
      <w:r w:rsidR="00356C2C" w:rsidRPr="00295637">
        <w:rPr>
          <w:rFonts w:ascii="Times New Roman" w:hAnsi="Times New Roman"/>
          <w:szCs w:val="24"/>
          <w:lang w:val="bs-Latn-BA"/>
        </w:rPr>
        <w:t xml:space="preserve"> </w:t>
      </w:r>
      <w:r w:rsidR="00C6214E">
        <w:rPr>
          <w:rFonts w:ascii="Times New Roman" w:hAnsi="Times New Roman"/>
          <w:szCs w:val="24"/>
          <w:lang w:val="bs-Latn-BA"/>
        </w:rPr>
        <w:t>кредитима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итд</w:t>
      </w:r>
      <w:r w:rsidR="00356C2C" w:rsidRPr="00295637">
        <w:rPr>
          <w:rFonts w:ascii="Times New Roman" w:hAnsi="Times New Roman"/>
          <w:szCs w:val="24"/>
          <w:lang w:val="bs-Latn-BA"/>
        </w:rPr>
        <w:t xml:space="preserve">.   </w:t>
      </w:r>
    </w:p>
    <w:p w:rsidR="00D403F9" w:rsidRPr="00295637" w:rsidRDefault="00D403F9" w:rsidP="0086268D">
      <w:pPr>
        <w:jc w:val="both"/>
        <w:rPr>
          <w:rFonts w:ascii="Times New Roman" w:hAnsi="Times New Roman"/>
          <w:szCs w:val="24"/>
        </w:rPr>
      </w:pPr>
    </w:p>
    <w:p w:rsidR="00103547" w:rsidRPr="00295637" w:rsidRDefault="00C6214E" w:rsidP="0086268D">
      <w:pPr>
        <w:jc w:val="both"/>
        <w:rPr>
          <w:rFonts w:ascii="Times New Roman" w:hAnsi="Times New Roman"/>
          <w:szCs w:val="24"/>
        </w:rPr>
      </w:pPr>
      <w:r>
        <w:rPr>
          <w:rFonts w:ascii="Times New Roman" w:hAnsi="Times New Roman"/>
          <w:szCs w:val="24"/>
        </w:rPr>
        <w:t>АР</w:t>
      </w:r>
      <w:r w:rsidR="00DF7B6D">
        <w:rPr>
          <w:rFonts w:ascii="Times New Roman" w:hAnsi="Times New Roman"/>
          <w:szCs w:val="24"/>
          <w:lang w:val="sr-Cyrl-BA"/>
        </w:rPr>
        <w:t>П</w:t>
      </w:r>
      <w:r w:rsidR="009E54A2" w:rsidRPr="00295637">
        <w:rPr>
          <w:rFonts w:ascii="Times New Roman" w:hAnsi="Times New Roman"/>
          <w:szCs w:val="24"/>
        </w:rPr>
        <w:t xml:space="preserve"> </w:t>
      </w:r>
      <w:r>
        <w:rPr>
          <w:rFonts w:ascii="Times New Roman" w:hAnsi="Times New Roman"/>
          <w:szCs w:val="24"/>
        </w:rPr>
        <w:t>БиХ</w:t>
      </w:r>
      <w:r w:rsidR="009E54A2" w:rsidRPr="00295637">
        <w:rPr>
          <w:rFonts w:ascii="Times New Roman" w:hAnsi="Times New Roman"/>
          <w:szCs w:val="24"/>
        </w:rPr>
        <w:t xml:space="preserve"> </w:t>
      </w:r>
      <w:r>
        <w:rPr>
          <w:rFonts w:ascii="Times New Roman" w:hAnsi="Times New Roman"/>
          <w:szCs w:val="24"/>
        </w:rPr>
        <w:t>МЉПИ</w:t>
      </w:r>
      <w:r w:rsidR="00103547" w:rsidRPr="00295637">
        <w:rPr>
          <w:rFonts w:ascii="Times New Roman" w:hAnsi="Times New Roman"/>
          <w:szCs w:val="24"/>
        </w:rPr>
        <w:t xml:space="preserve"> </w:t>
      </w:r>
      <w:r>
        <w:rPr>
          <w:rFonts w:ascii="Times New Roman" w:hAnsi="Times New Roman"/>
          <w:szCs w:val="24"/>
        </w:rPr>
        <w:t>БиХ</w:t>
      </w:r>
      <w:r w:rsidR="00B60458">
        <w:rPr>
          <w:rFonts w:ascii="Times New Roman" w:hAnsi="Times New Roman"/>
          <w:szCs w:val="24"/>
        </w:rPr>
        <w:t xml:space="preserve"> </w:t>
      </w:r>
      <w:r>
        <w:rPr>
          <w:rFonts w:ascii="Times New Roman" w:hAnsi="Times New Roman"/>
          <w:szCs w:val="24"/>
        </w:rPr>
        <w:t>произвела</w:t>
      </w:r>
      <w:r w:rsidR="00FC6845" w:rsidRPr="00295637">
        <w:rPr>
          <w:rFonts w:ascii="Times New Roman" w:hAnsi="Times New Roman"/>
          <w:szCs w:val="24"/>
        </w:rPr>
        <w:t xml:space="preserve"> </w:t>
      </w:r>
      <w:r>
        <w:rPr>
          <w:rFonts w:ascii="Times New Roman" w:hAnsi="Times New Roman"/>
          <w:szCs w:val="24"/>
        </w:rPr>
        <w:t>је</w:t>
      </w:r>
      <w:r w:rsidR="00163AC2" w:rsidRPr="00295637">
        <w:rPr>
          <w:rFonts w:ascii="Times New Roman" w:hAnsi="Times New Roman"/>
          <w:szCs w:val="24"/>
        </w:rPr>
        <w:t xml:space="preserve"> </w:t>
      </w:r>
      <w:r>
        <w:rPr>
          <w:rFonts w:ascii="Times New Roman" w:hAnsi="Times New Roman"/>
          <w:szCs w:val="24"/>
        </w:rPr>
        <w:t>садржај</w:t>
      </w:r>
      <w:r w:rsidR="00103547" w:rsidRPr="00295637">
        <w:rPr>
          <w:rFonts w:ascii="Times New Roman" w:hAnsi="Times New Roman"/>
          <w:szCs w:val="24"/>
        </w:rPr>
        <w:t xml:space="preserve"> </w:t>
      </w:r>
      <w:r>
        <w:rPr>
          <w:rFonts w:ascii="Times New Roman" w:hAnsi="Times New Roman"/>
          <w:szCs w:val="24"/>
        </w:rPr>
        <w:t>онл</w:t>
      </w:r>
      <w:r w:rsidR="00DF7B6D">
        <w:rPr>
          <w:rFonts w:ascii="Times New Roman" w:hAnsi="Times New Roman"/>
          <w:szCs w:val="24"/>
          <w:lang w:val="sr-Cyrl-BA"/>
        </w:rPr>
        <w:t>ајн</w:t>
      </w:r>
      <w:r w:rsidR="00650D2E" w:rsidRPr="00295637">
        <w:rPr>
          <w:rFonts w:ascii="Times New Roman" w:hAnsi="Times New Roman"/>
          <w:szCs w:val="24"/>
        </w:rPr>
        <w:t xml:space="preserve"> </w:t>
      </w:r>
      <w:r>
        <w:rPr>
          <w:rFonts w:ascii="Times New Roman" w:hAnsi="Times New Roman"/>
          <w:szCs w:val="24"/>
        </w:rPr>
        <w:t>анкете</w:t>
      </w:r>
      <w:r w:rsidR="00103547" w:rsidRPr="00295637">
        <w:rPr>
          <w:rFonts w:ascii="Times New Roman" w:hAnsi="Times New Roman"/>
          <w:szCs w:val="24"/>
        </w:rPr>
        <w:t xml:space="preserve"> </w:t>
      </w:r>
      <w:r>
        <w:rPr>
          <w:rFonts w:ascii="Times New Roman" w:hAnsi="Times New Roman"/>
          <w:szCs w:val="24"/>
        </w:rPr>
        <w:t>именованих</w:t>
      </w:r>
      <w:r w:rsidR="00103547" w:rsidRPr="00295637">
        <w:rPr>
          <w:rFonts w:ascii="Times New Roman" w:hAnsi="Times New Roman"/>
          <w:szCs w:val="24"/>
        </w:rPr>
        <w:t xml:space="preserve"> </w:t>
      </w:r>
      <w:r>
        <w:rPr>
          <w:rFonts w:ascii="Times New Roman" w:hAnsi="Times New Roman"/>
          <w:szCs w:val="24"/>
        </w:rPr>
        <w:t>и</w:t>
      </w:r>
      <w:r w:rsidR="00103547" w:rsidRPr="00295637">
        <w:rPr>
          <w:rFonts w:ascii="Times New Roman" w:hAnsi="Times New Roman"/>
          <w:szCs w:val="24"/>
        </w:rPr>
        <w:t xml:space="preserve"> </w:t>
      </w:r>
      <w:r>
        <w:rPr>
          <w:rFonts w:ascii="Times New Roman" w:hAnsi="Times New Roman"/>
          <w:szCs w:val="24"/>
        </w:rPr>
        <w:t>запослених</w:t>
      </w:r>
      <w:r w:rsidR="00103547" w:rsidRPr="00295637">
        <w:rPr>
          <w:rFonts w:ascii="Times New Roman" w:hAnsi="Times New Roman"/>
          <w:szCs w:val="24"/>
        </w:rPr>
        <w:t xml:space="preserve"> </w:t>
      </w:r>
      <w:r>
        <w:rPr>
          <w:rFonts w:ascii="Times New Roman" w:hAnsi="Times New Roman"/>
          <w:szCs w:val="24"/>
        </w:rPr>
        <w:t>у</w:t>
      </w:r>
      <w:r w:rsidR="00103547" w:rsidRPr="00295637">
        <w:rPr>
          <w:rFonts w:ascii="Times New Roman" w:hAnsi="Times New Roman"/>
          <w:szCs w:val="24"/>
        </w:rPr>
        <w:t xml:space="preserve"> </w:t>
      </w:r>
      <w:r>
        <w:rPr>
          <w:rFonts w:ascii="Times New Roman" w:hAnsi="Times New Roman"/>
          <w:szCs w:val="24"/>
        </w:rPr>
        <w:t>Институцијама</w:t>
      </w:r>
      <w:r w:rsidR="00103547" w:rsidRPr="00295637">
        <w:rPr>
          <w:rFonts w:ascii="Times New Roman" w:hAnsi="Times New Roman"/>
          <w:szCs w:val="24"/>
        </w:rPr>
        <w:t xml:space="preserve"> </w:t>
      </w:r>
      <w:r>
        <w:rPr>
          <w:rFonts w:ascii="Times New Roman" w:hAnsi="Times New Roman"/>
          <w:szCs w:val="24"/>
        </w:rPr>
        <w:t>БиХ</w:t>
      </w:r>
      <w:r w:rsidR="00103547" w:rsidRPr="00295637">
        <w:rPr>
          <w:rFonts w:ascii="Times New Roman" w:hAnsi="Times New Roman"/>
          <w:szCs w:val="24"/>
        </w:rPr>
        <w:t xml:space="preserve"> </w:t>
      </w:r>
      <w:r>
        <w:rPr>
          <w:rFonts w:ascii="Times New Roman" w:hAnsi="Times New Roman"/>
          <w:szCs w:val="24"/>
        </w:rPr>
        <w:t>о</w:t>
      </w:r>
      <w:r w:rsidR="00103547" w:rsidRPr="00295637">
        <w:rPr>
          <w:rFonts w:ascii="Times New Roman" w:hAnsi="Times New Roman"/>
          <w:szCs w:val="24"/>
        </w:rPr>
        <w:t xml:space="preserve"> </w:t>
      </w:r>
      <w:r>
        <w:rPr>
          <w:rFonts w:ascii="Times New Roman" w:hAnsi="Times New Roman"/>
          <w:szCs w:val="24"/>
        </w:rPr>
        <w:t>равноправности</w:t>
      </w:r>
      <w:r w:rsidR="00103547" w:rsidRPr="00295637">
        <w:rPr>
          <w:rFonts w:ascii="Times New Roman" w:hAnsi="Times New Roman"/>
          <w:szCs w:val="24"/>
        </w:rPr>
        <w:t xml:space="preserve"> </w:t>
      </w:r>
      <w:r>
        <w:rPr>
          <w:rFonts w:ascii="Times New Roman" w:hAnsi="Times New Roman"/>
          <w:szCs w:val="24"/>
        </w:rPr>
        <w:t>полова</w:t>
      </w:r>
      <w:r w:rsidR="00103547" w:rsidRPr="00295637">
        <w:rPr>
          <w:rFonts w:ascii="Times New Roman" w:hAnsi="Times New Roman"/>
          <w:szCs w:val="24"/>
        </w:rPr>
        <w:t xml:space="preserve"> (</w:t>
      </w:r>
      <w:r>
        <w:rPr>
          <w:rFonts w:ascii="Times New Roman" w:hAnsi="Times New Roman"/>
          <w:szCs w:val="24"/>
        </w:rPr>
        <w:t>познавање</w:t>
      </w:r>
      <w:r w:rsidR="00103547" w:rsidRPr="00295637">
        <w:rPr>
          <w:rFonts w:ascii="Times New Roman" w:hAnsi="Times New Roman"/>
          <w:szCs w:val="24"/>
        </w:rPr>
        <w:t xml:space="preserve">, </w:t>
      </w:r>
      <w:r>
        <w:rPr>
          <w:rFonts w:ascii="Times New Roman" w:hAnsi="Times New Roman"/>
          <w:szCs w:val="24"/>
        </w:rPr>
        <w:t>употреба</w:t>
      </w:r>
      <w:r w:rsidR="00103547" w:rsidRPr="00295637">
        <w:rPr>
          <w:rFonts w:ascii="Times New Roman" w:hAnsi="Times New Roman"/>
          <w:szCs w:val="24"/>
        </w:rPr>
        <w:t xml:space="preserve">, </w:t>
      </w:r>
      <w:r>
        <w:rPr>
          <w:rFonts w:ascii="Times New Roman" w:hAnsi="Times New Roman"/>
          <w:szCs w:val="24"/>
        </w:rPr>
        <w:t>ставови</w:t>
      </w:r>
      <w:r w:rsidR="00103547" w:rsidRPr="00295637">
        <w:rPr>
          <w:rFonts w:ascii="Times New Roman" w:hAnsi="Times New Roman"/>
          <w:szCs w:val="24"/>
        </w:rPr>
        <w:t xml:space="preserve">) </w:t>
      </w:r>
      <w:r>
        <w:rPr>
          <w:rFonts w:ascii="Times New Roman" w:hAnsi="Times New Roman"/>
          <w:szCs w:val="24"/>
        </w:rPr>
        <w:t>и</w:t>
      </w:r>
      <w:r w:rsidR="00103547" w:rsidRPr="00295637">
        <w:rPr>
          <w:rFonts w:ascii="Times New Roman" w:hAnsi="Times New Roman"/>
          <w:szCs w:val="24"/>
        </w:rPr>
        <w:t xml:space="preserve"> </w:t>
      </w:r>
      <w:r>
        <w:rPr>
          <w:rFonts w:ascii="Times New Roman" w:hAnsi="Times New Roman"/>
          <w:szCs w:val="24"/>
        </w:rPr>
        <w:t>дистрибуи</w:t>
      </w:r>
      <w:r w:rsidR="00DF7B6D">
        <w:rPr>
          <w:rFonts w:ascii="Times New Roman" w:hAnsi="Times New Roman"/>
          <w:szCs w:val="24"/>
          <w:lang w:val="sr-Cyrl-BA"/>
        </w:rPr>
        <w:t>с</w:t>
      </w:r>
      <w:r>
        <w:rPr>
          <w:rFonts w:ascii="Times New Roman" w:hAnsi="Times New Roman"/>
          <w:szCs w:val="24"/>
        </w:rPr>
        <w:t>ала</w:t>
      </w:r>
      <w:r w:rsidR="00103547" w:rsidRPr="00295637">
        <w:rPr>
          <w:rFonts w:ascii="Times New Roman" w:hAnsi="Times New Roman"/>
          <w:szCs w:val="24"/>
        </w:rPr>
        <w:t xml:space="preserve"> </w:t>
      </w:r>
      <w:r>
        <w:rPr>
          <w:rFonts w:ascii="Times New Roman" w:hAnsi="Times New Roman"/>
          <w:szCs w:val="24"/>
        </w:rPr>
        <w:t>писма</w:t>
      </w:r>
      <w:r w:rsidR="00103547" w:rsidRPr="00295637">
        <w:rPr>
          <w:rFonts w:ascii="Times New Roman" w:hAnsi="Times New Roman"/>
          <w:szCs w:val="24"/>
        </w:rPr>
        <w:t xml:space="preserve"> </w:t>
      </w:r>
      <w:r>
        <w:rPr>
          <w:rFonts w:ascii="Times New Roman" w:hAnsi="Times New Roman"/>
          <w:szCs w:val="24"/>
        </w:rPr>
        <w:t>органима</w:t>
      </w:r>
      <w:r w:rsidR="00103547" w:rsidRPr="00295637">
        <w:rPr>
          <w:rFonts w:ascii="Times New Roman" w:hAnsi="Times New Roman"/>
          <w:szCs w:val="24"/>
        </w:rPr>
        <w:t xml:space="preserve"> </w:t>
      </w:r>
      <w:r>
        <w:rPr>
          <w:rFonts w:ascii="Times New Roman" w:hAnsi="Times New Roman"/>
          <w:szCs w:val="24"/>
        </w:rPr>
        <w:t>управе</w:t>
      </w:r>
      <w:r w:rsidR="00103547" w:rsidRPr="00295637">
        <w:rPr>
          <w:rFonts w:ascii="Times New Roman" w:hAnsi="Times New Roman"/>
          <w:szCs w:val="24"/>
        </w:rPr>
        <w:t xml:space="preserve"> </w:t>
      </w:r>
      <w:r>
        <w:rPr>
          <w:rFonts w:ascii="Times New Roman" w:hAnsi="Times New Roman"/>
          <w:szCs w:val="24"/>
        </w:rPr>
        <w:t>и</w:t>
      </w:r>
      <w:r w:rsidR="00103547" w:rsidRPr="00295637">
        <w:rPr>
          <w:rFonts w:ascii="Times New Roman" w:hAnsi="Times New Roman"/>
          <w:szCs w:val="24"/>
        </w:rPr>
        <w:t xml:space="preserve"> </w:t>
      </w:r>
      <w:r>
        <w:rPr>
          <w:rFonts w:ascii="Times New Roman" w:hAnsi="Times New Roman"/>
          <w:szCs w:val="24"/>
        </w:rPr>
        <w:t>управним</w:t>
      </w:r>
      <w:r w:rsidR="00103547" w:rsidRPr="00295637">
        <w:rPr>
          <w:rFonts w:ascii="Times New Roman" w:hAnsi="Times New Roman"/>
          <w:szCs w:val="24"/>
        </w:rPr>
        <w:t xml:space="preserve"> </w:t>
      </w:r>
      <w:r>
        <w:rPr>
          <w:rFonts w:ascii="Times New Roman" w:hAnsi="Times New Roman"/>
          <w:szCs w:val="24"/>
        </w:rPr>
        <w:t>организацијама</w:t>
      </w:r>
      <w:r w:rsidR="00103547" w:rsidRPr="00295637">
        <w:rPr>
          <w:rFonts w:ascii="Times New Roman" w:hAnsi="Times New Roman"/>
          <w:szCs w:val="24"/>
        </w:rPr>
        <w:t xml:space="preserve"> </w:t>
      </w:r>
      <w:r>
        <w:rPr>
          <w:rFonts w:ascii="Times New Roman" w:hAnsi="Times New Roman"/>
          <w:szCs w:val="24"/>
        </w:rPr>
        <w:t>на</w:t>
      </w:r>
      <w:r w:rsidR="00103547" w:rsidRPr="00295637">
        <w:rPr>
          <w:rFonts w:ascii="Times New Roman" w:hAnsi="Times New Roman"/>
          <w:szCs w:val="24"/>
        </w:rPr>
        <w:t xml:space="preserve"> </w:t>
      </w:r>
      <w:r>
        <w:rPr>
          <w:rFonts w:ascii="Times New Roman" w:hAnsi="Times New Roman"/>
          <w:szCs w:val="24"/>
        </w:rPr>
        <w:t>нивоу</w:t>
      </w:r>
      <w:r w:rsidR="00415930">
        <w:rPr>
          <w:rFonts w:ascii="Times New Roman" w:hAnsi="Times New Roman"/>
          <w:szCs w:val="24"/>
        </w:rPr>
        <w:t xml:space="preserve"> </w:t>
      </w:r>
      <w:r>
        <w:rPr>
          <w:rFonts w:ascii="Times New Roman" w:hAnsi="Times New Roman"/>
          <w:szCs w:val="24"/>
        </w:rPr>
        <w:t>БиХ</w:t>
      </w:r>
      <w:r w:rsidR="00103547" w:rsidRPr="00295637">
        <w:rPr>
          <w:rFonts w:ascii="Times New Roman" w:hAnsi="Times New Roman"/>
          <w:szCs w:val="24"/>
        </w:rPr>
        <w:t xml:space="preserve"> </w:t>
      </w:r>
      <w:r w:rsidR="00DF7B6D">
        <w:rPr>
          <w:rFonts w:ascii="Times New Roman" w:hAnsi="Times New Roman"/>
          <w:szCs w:val="24"/>
          <w:lang w:val="sr-Cyrl-BA"/>
        </w:rPr>
        <w:t>с</w:t>
      </w:r>
      <w:r w:rsidR="00103547" w:rsidRPr="00295637">
        <w:rPr>
          <w:rFonts w:ascii="Times New Roman" w:hAnsi="Times New Roman"/>
          <w:szCs w:val="24"/>
        </w:rPr>
        <w:t xml:space="preserve"> </w:t>
      </w:r>
      <w:r>
        <w:rPr>
          <w:rFonts w:ascii="Times New Roman" w:hAnsi="Times New Roman"/>
          <w:szCs w:val="24"/>
        </w:rPr>
        <w:t>циљ</w:t>
      </w:r>
      <w:r w:rsidR="00DF7B6D">
        <w:rPr>
          <w:rFonts w:ascii="Times New Roman" w:hAnsi="Times New Roman"/>
          <w:szCs w:val="24"/>
          <w:lang w:val="sr-Cyrl-BA"/>
        </w:rPr>
        <w:t>ем</w:t>
      </w:r>
      <w:r w:rsidR="00103547" w:rsidRPr="00295637">
        <w:rPr>
          <w:rFonts w:ascii="Times New Roman" w:hAnsi="Times New Roman"/>
          <w:szCs w:val="24"/>
        </w:rPr>
        <w:t xml:space="preserve"> </w:t>
      </w:r>
      <w:r>
        <w:rPr>
          <w:rFonts w:ascii="Times New Roman" w:hAnsi="Times New Roman"/>
          <w:szCs w:val="24"/>
        </w:rPr>
        <w:t>добијања</w:t>
      </w:r>
      <w:r w:rsidR="00103547" w:rsidRPr="00295637">
        <w:rPr>
          <w:rFonts w:ascii="Times New Roman" w:hAnsi="Times New Roman"/>
          <w:szCs w:val="24"/>
        </w:rPr>
        <w:t xml:space="preserve"> </w:t>
      </w:r>
      <w:r>
        <w:rPr>
          <w:rFonts w:ascii="Times New Roman" w:hAnsi="Times New Roman"/>
          <w:szCs w:val="24"/>
        </w:rPr>
        <w:t>подршке</w:t>
      </w:r>
      <w:r w:rsidR="00103547" w:rsidRPr="00295637">
        <w:rPr>
          <w:rFonts w:ascii="Times New Roman" w:hAnsi="Times New Roman"/>
          <w:szCs w:val="24"/>
        </w:rPr>
        <w:t xml:space="preserve"> </w:t>
      </w:r>
      <w:r>
        <w:rPr>
          <w:rFonts w:ascii="Times New Roman" w:hAnsi="Times New Roman"/>
          <w:szCs w:val="24"/>
        </w:rPr>
        <w:t>руководстава</w:t>
      </w:r>
      <w:r w:rsidR="00103547" w:rsidRPr="00295637">
        <w:rPr>
          <w:rFonts w:ascii="Times New Roman" w:hAnsi="Times New Roman"/>
          <w:szCs w:val="24"/>
        </w:rPr>
        <w:t xml:space="preserve"> </w:t>
      </w:r>
      <w:r>
        <w:rPr>
          <w:rFonts w:ascii="Times New Roman" w:hAnsi="Times New Roman"/>
          <w:szCs w:val="24"/>
        </w:rPr>
        <w:t>органа</w:t>
      </w:r>
      <w:r w:rsidR="00103547" w:rsidRPr="00295637">
        <w:rPr>
          <w:rFonts w:ascii="Times New Roman" w:hAnsi="Times New Roman"/>
          <w:szCs w:val="24"/>
        </w:rPr>
        <w:t xml:space="preserve"> </w:t>
      </w:r>
      <w:r>
        <w:rPr>
          <w:rFonts w:ascii="Times New Roman" w:hAnsi="Times New Roman"/>
          <w:szCs w:val="24"/>
        </w:rPr>
        <w:t>и</w:t>
      </w:r>
      <w:r w:rsidR="00103547" w:rsidRPr="00295637">
        <w:rPr>
          <w:rFonts w:ascii="Times New Roman" w:hAnsi="Times New Roman"/>
          <w:szCs w:val="24"/>
        </w:rPr>
        <w:t xml:space="preserve"> </w:t>
      </w:r>
      <w:r>
        <w:rPr>
          <w:rFonts w:ascii="Times New Roman" w:hAnsi="Times New Roman"/>
          <w:szCs w:val="24"/>
        </w:rPr>
        <w:t>организација</w:t>
      </w:r>
      <w:r w:rsidR="00103547" w:rsidRPr="00295637">
        <w:rPr>
          <w:rFonts w:ascii="Times New Roman" w:hAnsi="Times New Roman"/>
          <w:szCs w:val="24"/>
        </w:rPr>
        <w:t xml:space="preserve"> </w:t>
      </w:r>
      <w:r>
        <w:rPr>
          <w:rFonts w:ascii="Times New Roman" w:hAnsi="Times New Roman"/>
          <w:szCs w:val="24"/>
        </w:rPr>
        <w:t>да</w:t>
      </w:r>
      <w:r w:rsidR="00103547" w:rsidRPr="00295637">
        <w:rPr>
          <w:rFonts w:ascii="Times New Roman" w:hAnsi="Times New Roman"/>
          <w:szCs w:val="24"/>
        </w:rPr>
        <w:t xml:space="preserve"> </w:t>
      </w:r>
      <w:r>
        <w:rPr>
          <w:rFonts w:ascii="Times New Roman" w:hAnsi="Times New Roman"/>
          <w:szCs w:val="24"/>
        </w:rPr>
        <w:t>што</w:t>
      </w:r>
      <w:r w:rsidR="00103547" w:rsidRPr="00295637">
        <w:rPr>
          <w:rFonts w:ascii="Times New Roman" w:hAnsi="Times New Roman"/>
          <w:szCs w:val="24"/>
        </w:rPr>
        <w:t xml:space="preserve"> </w:t>
      </w:r>
      <w:r>
        <w:rPr>
          <w:rFonts w:ascii="Times New Roman" w:hAnsi="Times New Roman"/>
          <w:szCs w:val="24"/>
        </w:rPr>
        <w:t>већи</w:t>
      </w:r>
      <w:r w:rsidR="00103547" w:rsidRPr="00295637">
        <w:rPr>
          <w:rFonts w:ascii="Times New Roman" w:hAnsi="Times New Roman"/>
          <w:szCs w:val="24"/>
        </w:rPr>
        <w:t xml:space="preserve"> </w:t>
      </w:r>
      <w:r>
        <w:rPr>
          <w:rFonts w:ascii="Times New Roman" w:hAnsi="Times New Roman"/>
          <w:szCs w:val="24"/>
        </w:rPr>
        <w:t>број</w:t>
      </w:r>
      <w:r w:rsidR="00103547" w:rsidRPr="00295637">
        <w:rPr>
          <w:rFonts w:ascii="Times New Roman" w:hAnsi="Times New Roman"/>
          <w:szCs w:val="24"/>
        </w:rPr>
        <w:t xml:space="preserve"> </w:t>
      </w:r>
      <w:r>
        <w:rPr>
          <w:rFonts w:ascii="Times New Roman" w:hAnsi="Times New Roman"/>
          <w:szCs w:val="24"/>
        </w:rPr>
        <w:t>државних</w:t>
      </w:r>
      <w:r w:rsidR="00103547" w:rsidRPr="00295637">
        <w:rPr>
          <w:rFonts w:ascii="Times New Roman" w:hAnsi="Times New Roman"/>
          <w:szCs w:val="24"/>
        </w:rPr>
        <w:t xml:space="preserve"> </w:t>
      </w:r>
      <w:r>
        <w:rPr>
          <w:rFonts w:ascii="Times New Roman" w:hAnsi="Times New Roman"/>
          <w:szCs w:val="24"/>
        </w:rPr>
        <w:t>службеника</w:t>
      </w:r>
      <w:r w:rsidR="00103547" w:rsidRPr="00295637">
        <w:rPr>
          <w:rFonts w:ascii="Times New Roman" w:hAnsi="Times New Roman"/>
          <w:szCs w:val="24"/>
        </w:rPr>
        <w:t xml:space="preserve"> </w:t>
      </w:r>
      <w:r>
        <w:rPr>
          <w:rFonts w:ascii="Times New Roman" w:hAnsi="Times New Roman"/>
          <w:szCs w:val="24"/>
        </w:rPr>
        <w:t>испуни</w:t>
      </w:r>
      <w:r w:rsidR="00103547" w:rsidRPr="00295637">
        <w:rPr>
          <w:rFonts w:ascii="Times New Roman" w:hAnsi="Times New Roman"/>
          <w:szCs w:val="24"/>
        </w:rPr>
        <w:t xml:space="preserve"> </w:t>
      </w:r>
      <w:r>
        <w:rPr>
          <w:rFonts w:ascii="Times New Roman" w:hAnsi="Times New Roman"/>
          <w:szCs w:val="24"/>
        </w:rPr>
        <w:t>анкету</w:t>
      </w:r>
      <w:r w:rsidR="00103547" w:rsidRPr="00295637">
        <w:rPr>
          <w:rFonts w:ascii="Times New Roman" w:hAnsi="Times New Roman"/>
          <w:szCs w:val="24"/>
        </w:rPr>
        <w:t xml:space="preserve">. </w:t>
      </w:r>
    </w:p>
    <w:p w:rsidR="00103547" w:rsidRPr="00295637" w:rsidRDefault="00103547" w:rsidP="0086268D">
      <w:pPr>
        <w:jc w:val="both"/>
        <w:rPr>
          <w:rFonts w:ascii="Times New Roman" w:hAnsi="Times New Roman"/>
          <w:szCs w:val="24"/>
        </w:rPr>
      </w:pPr>
    </w:p>
    <w:p w:rsidR="00650D2E" w:rsidRDefault="00C6214E" w:rsidP="00B60458">
      <w:pPr>
        <w:tabs>
          <w:tab w:val="left" w:pos="284"/>
          <w:tab w:val="left" w:pos="630"/>
          <w:tab w:val="left" w:pos="1080"/>
        </w:tabs>
        <w:jc w:val="both"/>
        <w:rPr>
          <w:rFonts w:ascii="Times New Roman" w:eastAsia="Calibri" w:hAnsi="Times New Roman"/>
          <w:szCs w:val="24"/>
          <w:lang w:val="bs-Latn-BA"/>
        </w:rPr>
      </w:pPr>
      <w:r>
        <w:rPr>
          <w:rFonts w:ascii="Times New Roman" w:hAnsi="Times New Roman"/>
          <w:szCs w:val="24"/>
          <w:lang w:val="bs-Latn-BA"/>
        </w:rPr>
        <w:t>АРЗ</w:t>
      </w:r>
      <w:r w:rsidR="00B60458">
        <w:rPr>
          <w:rFonts w:ascii="Times New Roman" w:hAnsi="Times New Roman"/>
          <w:szCs w:val="24"/>
          <w:lang w:val="bs-Latn-BA"/>
        </w:rPr>
        <w:t xml:space="preserve"> </w:t>
      </w:r>
      <w:r>
        <w:rPr>
          <w:rFonts w:ascii="Times New Roman" w:hAnsi="Times New Roman"/>
          <w:szCs w:val="24"/>
          <w:lang w:val="bs-Latn-BA"/>
        </w:rPr>
        <w:t>БиХ</w:t>
      </w:r>
      <w:r w:rsidR="00650D2E" w:rsidRPr="00295637">
        <w:rPr>
          <w:rFonts w:ascii="Times New Roman" w:hAnsi="Times New Roman"/>
          <w:szCs w:val="24"/>
          <w:lang w:val="bs-Latn-BA"/>
        </w:rPr>
        <w:t xml:space="preserve">, </w:t>
      </w:r>
      <w:r>
        <w:rPr>
          <w:rFonts w:ascii="Times New Roman" w:hAnsi="Times New Roman"/>
          <w:szCs w:val="24"/>
          <w:lang w:val="bs-Latn-BA"/>
        </w:rPr>
        <w:t>у</w:t>
      </w:r>
      <w:r w:rsidR="00650D2E" w:rsidRPr="00295637">
        <w:rPr>
          <w:rFonts w:ascii="Times New Roman" w:hAnsi="Times New Roman"/>
          <w:szCs w:val="24"/>
          <w:lang w:val="bs-Latn-BA"/>
        </w:rPr>
        <w:t xml:space="preserve"> </w:t>
      </w:r>
      <w:r>
        <w:rPr>
          <w:rFonts w:ascii="Times New Roman" w:hAnsi="Times New Roman"/>
          <w:szCs w:val="24"/>
          <w:lang w:val="bs-Latn-BA"/>
        </w:rPr>
        <w:t>сарадњи</w:t>
      </w:r>
      <w:r w:rsidR="00163AC2">
        <w:rPr>
          <w:rFonts w:ascii="Times New Roman" w:hAnsi="Times New Roman"/>
          <w:szCs w:val="24"/>
          <w:lang w:val="bs-Latn-BA"/>
        </w:rPr>
        <w:t xml:space="preserve"> </w:t>
      </w:r>
      <w:r>
        <w:rPr>
          <w:rFonts w:ascii="Times New Roman" w:hAnsi="Times New Roman"/>
          <w:szCs w:val="24"/>
          <w:lang w:val="bs-Latn-BA"/>
        </w:rPr>
        <w:t>са</w:t>
      </w:r>
      <w:r w:rsidR="00650D2E" w:rsidRPr="00295637">
        <w:rPr>
          <w:rFonts w:ascii="Times New Roman" w:hAnsi="Times New Roman"/>
          <w:szCs w:val="24"/>
          <w:lang w:val="bs-Latn-BA"/>
        </w:rPr>
        <w:t xml:space="preserve"> </w:t>
      </w:r>
      <w:r>
        <w:rPr>
          <w:rFonts w:ascii="Times New Roman" w:hAnsi="Times New Roman"/>
          <w:szCs w:val="24"/>
          <w:lang w:val="bs-Latn-BA"/>
        </w:rPr>
        <w:t>ФЗЗ</w:t>
      </w:r>
      <w:r w:rsidR="00650D2E" w:rsidRPr="00295637">
        <w:rPr>
          <w:rFonts w:ascii="Times New Roman" w:hAnsi="Times New Roman"/>
          <w:szCs w:val="24"/>
          <w:lang w:val="bs-Latn-BA"/>
        </w:rPr>
        <w:t xml:space="preserve">, </w:t>
      </w:r>
      <w:r>
        <w:rPr>
          <w:rFonts w:ascii="Times New Roman" w:hAnsi="Times New Roman"/>
          <w:szCs w:val="24"/>
          <w:lang w:val="bs-Latn-BA"/>
        </w:rPr>
        <w:t>ЗЗЗ</w:t>
      </w:r>
      <w:r w:rsidR="00650D2E" w:rsidRPr="00295637">
        <w:rPr>
          <w:rFonts w:ascii="Times New Roman" w:hAnsi="Times New Roman"/>
          <w:szCs w:val="24"/>
          <w:lang w:val="bs-Latn-BA"/>
        </w:rPr>
        <w:t xml:space="preserve"> </w:t>
      </w:r>
      <w:r>
        <w:rPr>
          <w:rFonts w:ascii="Times New Roman" w:hAnsi="Times New Roman"/>
          <w:szCs w:val="24"/>
          <w:lang w:val="bs-Latn-BA"/>
        </w:rPr>
        <w:t>РС</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Pr>
          <w:rFonts w:ascii="Times New Roman" w:hAnsi="Times New Roman"/>
          <w:szCs w:val="24"/>
          <w:lang w:val="bs-Latn-BA"/>
        </w:rPr>
        <w:t>ЗЗЗ</w:t>
      </w:r>
      <w:r w:rsidR="00650D2E" w:rsidRPr="00295637">
        <w:rPr>
          <w:rFonts w:ascii="Times New Roman" w:hAnsi="Times New Roman"/>
          <w:szCs w:val="24"/>
          <w:lang w:val="bs-Latn-BA"/>
        </w:rPr>
        <w:t xml:space="preserve"> </w:t>
      </w:r>
      <w:r>
        <w:rPr>
          <w:rFonts w:ascii="Times New Roman" w:hAnsi="Times New Roman"/>
          <w:szCs w:val="24"/>
          <w:lang w:val="bs-Latn-BA"/>
        </w:rPr>
        <w:t>БД</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650D2E" w:rsidRPr="00295637">
        <w:rPr>
          <w:rFonts w:ascii="Times New Roman" w:hAnsi="Times New Roman"/>
          <w:szCs w:val="24"/>
          <w:lang w:val="bs-Latn-BA"/>
        </w:rPr>
        <w:t xml:space="preserve"> </w:t>
      </w:r>
      <w:r>
        <w:rPr>
          <w:rFonts w:ascii="Times New Roman" w:hAnsi="Times New Roman"/>
          <w:szCs w:val="24"/>
          <w:lang w:val="bs-Latn-BA"/>
        </w:rPr>
        <w:t>је</w:t>
      </w:r>
      <w:r w:rsidR="00650D2E" w:rsidRPr="00295637">
        <w:rPr>
          <w:rFonts w:ascii="Times New Roman" w:hAnsi="Times New Roman"/>
          <w:szCs w:val="24"/>
          <w:lang w:val="bs-Latn-BA"/>
        </w:rPr>
        <w:t xml:space="preserve"> </w:t>
      </w:r>
      <w:r>
        <w:rPr>
          <w:rFonts w:ascii="Times New Roman" w:hAnsi="Times New Roman"/>
          <w:szCs w:val="24"/>
          <w:lang w:val="bs-Latn-BA"/>
        </w:rPr>
        <w:t>израдила</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Pr>
          <w:rFonts w:ascii="Times New Roman" w:hAnsi="Times New Roman"/>
          <w:szCs w:val="24"/>
          <w:lang w:val="bs-Latn-BA"/>
        </w:rPr>
        <w:t>АС</w:t>
      </w:r>
      <w:r w:rsidR="00163AC2">
        <w:rPr>
          <w:rFonts w:ascii="Times New Roman" w:hAnsi="Times New Roman"/>
          <w:szCs w:val="24"/>
          <w:lang w:val="bs-Latn-BA"/>
        </w:rPr>
        <w:t xml:space="preserve"> </w:t>
      </w:r>
      <w:r>
        <w:rPr>
          <w:rFonts w:ascii="Times New Roman" w:hAnsi="Times New Roman"/>
          <w:szCs w:val="24"/>
          <w:lang w:val="bs-Latn-BA"/>
        </w:rPr>
        <w:t>БиХ</w:t>
      </w:r>
      <w:r w:rsidR="00650D2E" w:rsidRPr="00295637">
        <w:rPr>
          <w:rFonts w:ascii="Times New Roman" w:hAnsi="Times New Roman"/>
          <w:szCs w:val="24"/>
          <w:lang w:val="bs-Latn-BA"/>
        </w:rPr>
        <w:t xml:space="preserve"> </w:t>
      </w:r>
      <w:r>
        <w:rPr>
          <w:rFonts w:ascii="Times New Roman" w:hAnsi="Times New Roman"/>
          <w:szCs w:val="24"/>
          <w:lang w:val="bs-Latn-BA"/>
        </w:rPr>
        <w:t>доставила</w:t>
      </w:r>
      <w:r w:rsidR="00650D2E" w:rsidRPr="00295637">
        <w:rPr>
          <w:rFonts w:ascii="Times New Roman" w:hAnsi="Times New Roman"/>
          <w:szCs w:val="24"/>
          <w:lang w:val="bs-Latn-BA"/>
        </w:rPr>
        <w:t xml:space="preserve"> 12 </w:t>
      </w:r>
      <w:r>
        <w:rPr>
          <w:rFonts w:ascii="Times New Roman" w:hAnsi="Times New Roman"/>
          <w:szCs w:val="24"/>
          <w:lang w:val="bs-Latn-BA"/>
        </w:rPr>
        <w:t>статистичких</w:t>
      </w:r>
      <w:r w:rsidR="00650D2E" w:rsidRPr="00295637">
        <w:rPr>
          <w:rFonts w:ascii="Times New Roman" w:hAnsi="Times New Roman"/>
          <w:szCs w:val="24"/>
          <w:lang w:val="bs-Latn-BA"/>
        </w:rPr>
        <w:t xml:space="preserve"> </w:t>
      </w:r>
      <w:r>
        <w:rPr>
          <w:rFonts w:ascii="Times New Roman" w:hAnsi="Times New Roman"/>
          <w:szCs w:val="24"/>
          <w:lang w:val="bs-Latn-BA"/>
        </w:rPr>
        <w:t>извјештаја</w:t>
      </w:r>
      <w:r w:rsidR="00163AC2">
        <w:rPr>
          <w:rFonts w:ascii="Times New Roman" w:hAnsi="Times New Roman"/>
          <w:szCs w:val="24"/>
          <w:lang w:val="bs-Latn-BA"/>
        </w:rPr>
        <w:t xml:space="preserve"> </w:t>
      </w:r>
      <w:r>
        <w:rPr>
          <w:rFonts w:ascii="Times New Roman" w:hAnsi="Times New Roman"/>
          <w:szCs w:val="24"/>
          <w:lang w:val="bs-Latn-BA"/>
        </w:rPr>
        <w:t>у</w:t>
      </w:r>
      <w:r w:rsidR="00163AC2">
        <w:rPr>
          <w:rFonts w:ascii="Times New Roman" w:hAnsi="Times New Roman"/>
          <w:szCs w:val="24"/>
          <w:lang w:val="bs-Latn-BA"/>
        </w:rPr>
        <w:t xml:space="preserve"> </w:t>
      </w:r>
      <w:r>
        <w:rPr>
          <w:rFonts w:ascii="Times New Roman" w:hAnsi="Times New Roman"/>
          <w:szCs w:val="24"/>
          <w:lang w:val="bs-Latn-BA"/>
        </w:rPr>
        <w:t>вези</w:t>
      </w:r>
      <w:r w:rsidR="00163AC2">
        <w:rPr>
          <w:rFonts w:ascii="Times New Roman" w:hAnsi="Times New Roman"/>
          <w:szCs w:val="24"/>
          <w:lang w:val="bs-Latn-BA"/>
        </w:rPr>
        <w:t xml:space="preserve"> </w:t>
      </w:r>
      <w:r>
        <w:rPr>
          <w:rFonts w:ascii="Times New Roman" w:hAnsi="Times New Roman"/>
          <w:szCs w:val="24"/>
          <w:lang w:val="bs-Latn-BA"/>
        </w:rPr>
        <w:t>са</w:t>
      </w:r>
      <w:r w:rsidR="00650D2E" w:rsidRPr="00295637">
        <w:rPr>
          <w:rFonts w:ascii="Times New Roman" w:hAnsi="Times New Roman"/>
          <w:szCs w:val="24"/>
          <w:lang w:val="bs-Latn-BA"/>
        </w:rPr>
        <w:t xml:space="preserve"> </w:t>
      </w:r>
      <w:r>
        <w:rPr>
          <w:rFonts w:ascii="Times New Roman" w:hAnsi="Times New Roman"/>
          <w:szCs w:val="24"/>
          <w:lang w:val="bs-Latn-BA"/>
        </w:rPr>
        <w:t>кретањем</w:t>
      </w:r>
      <w:r w:rsidR="00650D2E" w:rsidRPr="00295637">
        <w:rPr>
          <w:rFonts w:ascii="Times New Roman" w:hAnsi="Times New Roman"/>
          <w:szCs w:val="24"/>
          <w:lang w:val="bs-Latn-BA"/>
        </w:rPr>
        <w:t xml:space="preserve"> </w:t>
      </w:r>
      <w:r>
        <w:rPr>
          <w:rFonts w:ascii="Times New Roman" w:hAnsi="Times New Roman"/>
          <w:szCs w:val="24"/>
          <w:lang w:val="bs-Latn-BA"/>
        </w:rPr>
        <w:t>регистр</w:t>
      </w:r>
      <w:r w:rsidR="00DF7B6D">
        <w:rPr>
          <w:rFonts w:ascii="Times New Roman" w:hAnsi="Times New Roman"/>
          <w:szCs w:val="24"/>
          <w:lang w:val="sr-Cyrl-BA"/>
        </w:rPr>
        <w:t>оване</w:t>
      </w:r>
      <w:r w:rsidR="00650D2E" w:rsidRPr="00295637">
        <w:rPr>
          <w:rFonts w:ascii="Times New Roman" w:hAnsi="Times New Roman"/>
          <w:szCs w:val="24"/>
          <w:lang w:val="bs-Latn-BA"/>
        </w:rPr>
        <w:t xml:space="preserve"> </w:t>
      </w:r>
      <w:r>
        <w:rPr>
          <w:rFonts w:ascii="Times New Roman" w:hAnsi="Times New Roman"/>
          <w:szCs w:val="24"/>
          <w:lang w:val="bs-Latn-BA"/>
        </w:rPr>
        <w:t>незапослености</w:t>
      </w:r>
      <w:r w:rsidR="00650D2E" w:rsidRPr="00295637">
        <w:rPr>
          <w:rFonts w:ascii="Times New Roman" w:hAnsi="Times New Roman"/>
          <w:szCs w:val="24"/>
          <w:lang w:val="bs-Latn-BA"/>
        </w:rPr>
        <w:t xml:space="preserve"> </w:t>
      </w:r>
      <w:r>
        <w:rPr>
          <w:rFonts w:ascii="Times New Roman" w:hAnsi="Times New Roman"/>
          <w:szCs w:val="24"/>
          <w:lang w:val="bs-Latn-BA"/>
        </w:rPr>
        <w:t>у</w:t>
      </w:r>
      <w:r w:rsidR="003F220C" w:rsidRPr="00295637">
        <w:rPr>
          <w:rFonts w:ascii="Times New Roman" w:hAnsi="Times New Roman"/>
          <w:szCs w:val="24"/>
          <w:lang w:val="bs-Latn-BA"/>
        </w:rPr>
        <w:t xml:space="preserve"> </w:t>
      </w:r>
      <w:r>
        <w:rPr>
          <w:rFonts w:ascii="Times New Roman" w:hAnsi="Times New Roman"/>
          <w:szCs w:val="24"/>
          <w:lang w:val="bs-Latn-BA"/>
        </w:rPr>
        <w:t>БиХ</w:t>
      </w:r>
      <w:r w:rsidR="00650D2E" w:rsidRPr="00295637">
        <w:rPr>
          <w:rFonts w:ascii="Times New Roman" w:hAnsi="Times New Roman"/>
          <w:szCs w:val="24"/>
          <w:lang w:val="bs-Latn-BA"/>
        </w:rPr>
        <w:t xml:space="preserve">, </w:t>
      </w:r>
      <w:r>
        <w:rPr>
          <w:rFonts w:ascii="Times New Roman" w:hAnsi="Times New Roman"/>
          <w:szCs w:val="24"/>
          <w:lang w:val="bs-Latn-BA"/>
        </w:rPr>
        <w:t>припремила</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Pr>
          <w:rFonts w:ascii="Times New Roman" w:hAnsi="Times New Roman"/>
          <w:szCs w:val="24"/>
          <w:lang w:val="bs-Latn-BA"/>
        </w:rPr>
        <w:t>објавила</w:t>
      </w:r>
      <w:r w:rsidR="00650D2E" w:rsidRPr="00295637">
        <w:rPr>
          <w:rFonts w:ascii="Times New Roman" w:hAnsi="Times New Roman"/>
          <w:szCs w:val="24"/>
          <w:lang w:val="bs-Latn-BA"/>
        </w:rPr>
        <w:t xml:space="preserve"> 12 </w:t>
      </w:r>
      <w:r>
        <w:rPr>
          <w:rFonts w:ascii="Times New Roman" w:hAnsi="Times New Roman"/>
          <w:szCs w:val="24"/>
          <w:lang w:val="bs-Latn-BA"/>
        </w:rPr>
        <w:t>статистичких</w:t>
      </w:r>
      <w:r w:rsidR="00650D2E" w:rsidRPr="00295637">
        <w:rPr>
          <w:rFonts w:ascii="Times New Roman" w:hAnsi="Times New Roman"/>
          <w:szCs w:val="24"/>
          <w:lang w:val="bs-Latn-BA"/>
        </w:rPr>
        <w:t xml:space="preserve"> </w:t>
      </w:r>
      <w:r>
        <w:rPr>
          <w:rFonts w:ascii="Times New Roman" w:hAnsi="Times New Roman"/>
          <w:szCs w:val="24"/>
          <w:lang w:val="bs-Latn-BA"/>
        </w:rPr>
        <w:t>саоп</w:t>
      </w:r>
      <w:r w:rsidR="00DF7B6D">
        <w:rPr>
          <w:rFonts w:ascii="Times New Roman" w:hAnsi="Times New Roman"/>
          <w:szCs w:val="24"/>
          <w:lang w:val="sr-Cyrl-BA"/>
        </w:rPr>
        <w:t>шт</w:t>
      </w:r>
      <w:r>
        <w:rPr>
          <w:rFonts w:ascii="Times New Roman" w:hAnsi="Times New Roman"/>
          <w:szCs w:val="24"/>
          <w:lang w:val="bs-Latn-BA"/>
        </w:rPr>
        <w:t>ења</w:t>
      </w:r>
      <w:r w:rsidR="00650D2E" w:rsidRPr="00295637">
        <w:rPr>
          <w:rFonts w:ascii="Times New Roman" w:hAnsi="Times New Roman"/>
          <w:szCs w:val="24"/>
          <w:lang w:val="bs-Latn-BA"/>
        </w:rPr>
        <w:t xml:space="preserve"> </w:t>
      </w:r>
      <w:r>
        <w:rPr>
          <w:rFonts w:ascii="Times New Roman" w:hAnsi="Times New Roman"/>
          <w:szCs w:val="24"/>
          <w:lang w:val="bs-Latn-BA"/>
        </w:rPr>
        <w:t>о</w:t>
      </w:r>
      <w:r w:rsidR="00650D2E" w:rsidRPr="00295637">
        <w:rPr>
          <w:rFonts w:ascii="Times New Roman" w:hAnsi="Times New Roman"/>
          <w:szCs w:val="24"/>
          <w:lang w:val="bs-Latn-BA"/>
        </w:rPr>
        <w:t xml:space="preserve"> </w:t>
      </w:r>
      <w:r>
        <w:rPr>
          <w:rFonts w:ascii="Times New Roman" w:hAnsi="Times New Roman"/>
          <w:szCs w:val="24"/>
          <w:lang w:val="bs-Latn-BA"/>
        </w:rPr>
        <w:t>стању</w:t>
      </w:r>
      <w:r w:rsidR="00650D2E" w:rsidRPr="00295637">
        <w:rPr>
          <w:rFonts w:ascii="Times New Roman" w:hAnsi="Times New Roman"/>
          <w:szCs w:val="24"/>
          <w:lang w:val="bs-Latn-BA"/>
        </w:rPr>
        <w:t xml:space="preserve"> </w:t>
      </w:r>
      <w:r>
        <w:rPr>
          <w:rFonts w:ascii="Times New Roman" w:hAnsi="Times New Roman"/>
          <w:szCs w:val="24"/>
          <w:lang w:val="bs-Latn-BA"/>
        </w:rPr>
        <w:t>на</w:t>
      </w:r>
      <w:r w:rsidR="00650D2E" w:rsidRPr="00295637">
        <w:rPr>
          <w:rFonts w:ascii="Times New Roman" w:hAnsi="Times New Roman"/>
          <w:szCs w:val="24"/>
          <w:lang w:val="bs-Latn-BA"/>
        </w:rPr>
        <w:t xml:space="preserve"> </w:t>
      </w:r>
      <w:r>
        <w:rPr>
          <w:rFonts w:ascii="Times New Roman" w:hAnsi="Times New Roman"/>
          <w:szCs w:val="24"/>
          <w:lang w:val="bs-Latn-BA"/>
        </w:rPr>
        <w:t>тржишту</w:t>
      </w:r>
      <w:r w:rsidR="00650D2E" w:rsidRPr="00295637">
        <w:rPr>
          <w:rFonts w:ascii="Times New Roman" w:hAnsi="Times New Roman"/>
          <w:szCs w:val="24"/>
          <w:lang w:val="bs-Latn-BA"/>
        </w:rPr>
        <w:t xml:space="preserve"> </w:t>
      </w:r>
      <w:r>
        <w:rPr>
          <w:rFonts w:ascii="Times New Roman" w:hAnsi="Times New Roman"/>
          <w:szCs w:val="24"/>
          <w:lang w:val="bs-Latn-BA"/>
        </w:rPr>
        <w:t>рада</w:t>
      </w:r>
      <w:r w:rsidR="00650D2E" w:rsidRPr="00295637">
        <w:rPr>
          <w:rFonts w:ascii="Times New Roman" w:hAnsi="Times New Roman"/>
          <w:szCs w:val="24"/>
          <w:lang w:val="bs-Latn-BA"/>
        </w:rPr>
        <w:t xml:space="preserve"> </w:t>
      </w:r>
      <w:r>
        <w:rPr>
          <w:rFonts w:ascii="Times New Roman" w:hAnsi="Times New Roman"/>
          <w:szCs w:val="24"/>
          <w:lang w:val="bs-Latn-BA"/>
        </w:rPr>
        <w:t>у</w:t>
      </w:r>
      <w:r w:rsidR="00B60458">
        <w:rPr>
          <w:rFonts w:ascii="Times New Roman" w:hAnsi="Times New Roman"/>
          <w:szCs w:val="24"/>
          <w:lang w:val="bs-Latn-BA"/>
        </w:rPr>
        <w:t xml:space="preserve"> </w:t>
      </w:r>
      <w:r>
        <w:rPr>
          <w:rFonts w:ascii="Times New Roman" w:hAnsi="Times New Roman"/>
          <w:szCs w:val="24"/>
          <w:lang w:val="bs-Latn-BA"/>
        </w:rPr>
        <w:t>БиХ</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Pr>
          <w:rFonts w:ascii="Times New Roman" w:hAnsi="Times New Roman"/>
          <w:szCs w:val="24"/>
          <w:lang w:val="bs-Latn-BA"/>
        </w:rPr>
        <w:t>ентитетима</w:t>
      </w:r>
      <w:r w:rsidR="00650D2E" w:rsidRPr="00295637">
        <w:rPr>
          <w:rFonts w:ascii="Times New Roman" w:hAnsi="Times New Roman"/>
          <w:szCs w:val="24"/>
          <w:lang w:val="bs-Latn-BA"/>
        </w:rPr>
        <w:t xml:space="preserve"> </w:t>
      </w:r>
      <w:r>
        <w:rPr>
          <w:rFonts w:ascii="Times New Roman" w:hAnsi="Times New Roman"/>
          <w:szCs w:val="24"/>
          <w:lang w:val="bs-Latn-BA"/>
        </w:rPr>
        <w:t>о</w:t>
      </w:r>
      <w:r w:rsidR="00650D2E" w:rsidRPr="00295637">
        <w:rPr>
          <w:rFonts w:ascii="Times New Roman" w:hAnsi="Times New Roman"/>
          <w:szCs w:val="24"/>
          <w:lang w:val="bs-Latn-BA"/>
        </w:rPr>
        <w:t xml:space="preserve"> </w:t>
      </w:r>
      <w:r>
        <w:rPr>
          <w:rFonts w:ascii="Times New Roman" w:hAnsi="Times New Roman"/>
          <w:szCs w:val="24"/>
          <w:lang w:val="bs-Latn-BA"/>
        </w:rPr>
        <w:t>обиму</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Pr>
          <w:rFonts w:ascii="Times New Roman" w:hAnsi="Times New Roman"/>
          <w:szCs w:val="24"/>
          <w:lang w:val="bs-Latn-BA"/>
        </w:rPr>
        <w:t>обиљежјима</w:t>
      </w:r>
      <w:r w:rsidR="00650D2E" w:rsidRPr="00295637">
        <w:rPr>
          <w:rFonts w:ascii="Times New Roman" w:hAnsi="Times New Roman"/>
          <w:szCs w:val="24"/>
          <w:lang w:val="bs-Latn-BA"/>
        </w:rPr>
        <w:t xml:space="preserve"> </w:t>
      </w:r>
      <w:r>
        <w:rPr>
          <w:rFonts w:ascii="Times New Roman" w:hAnsi="Times New Roman"/>
          <w:szCs w:val="24"/>
          <w:lang w:val="bs-Latn-BA"/>
        </w:rPr>
        <w:t>запослености</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Pr>
          <w:rFonts w:ascii="Times New Roman" w:hAnsi="Times New Roman"/>
          <w:szCs w:val="24"/>
          <w:lang w:val="bs-Latn-BA"/>
        </w:rPr>
        <w:t>незапослености</w:t>
      </w:r>
      <w:r w:rsidR="00650D2E" w:rsidRPr="00295637">
        <w:rPr>
          <w:rFonts w:ascii="Times New Roman" w:hAnsi="Times New Roman"/>
          <w:szCs w:val="24"/>
          <w:lang w:val="bs-Latn-BA"/>
        </w:rPr>
        <w:t xml:space="preserve">, </w:t>
      </w:r>
      <w:r>
        <w:rPr>
          <w:rFonts w:ascii="Times New Roman" w:hAnsi="Times New Roman"/>
          <w:szCs w:val="24"/>
          <w:lang w:val="bs-Latn-BA"/>
        </w:rPr>
        <w:t>сачинила</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Pr>
          <w:rFonts w:ascii="Times New Roman" w:hAnsi="Times New Roman"/>
          <w:szCs w:val="24"/>
          <w:lang w:val="bs-Latn-BA"/>
        </w:rPr>
        <w:t>објавила</w:t>
      </w:r>
      <w:r w:rsidR="00650D2E" w:rsidRPr="00295637">
        <w:rPr>
          <w:rFonts w:ascii="Times New Roman" w:hAnsi="Times New Roman"/>
          <w:szCs w:val="24"/>
          <w:lang w:val="bs-Latn-BA"/>
        </w:rPr>
        <w:t xml:space="preserve"> „</w:t>
      </w:r>
      <w:r>
        <w:rPr>
          <w:rFonts w:ascii="Times New Roman" w:hAnsi="Times New Roman"/>
          <w:szCs w:val="24"/>
          <w:lang w:val="bs-Latn-BA"/>
        </w:rPr>
        <w:t>Преглед</w:t>
      </w:r>
      <w:r w:rsidR="00650D2E" w:rsidRPr="00295637">
        <w:rPr>
          <w:rFonts w:ascii="Times New Roman" w:hAnsi="Times New Roman"/>
          <w:szCs w:val="24"/>
          <w:lang w:val="bs-Latn-BA"/>
        </w:rPr>
        <w:t xml:space="preserve"> </w:t>
      </w:r>
      <w:r>
        <w:rPr>
          <w:rFonts w:ascii="Times New Roman" w:hAnsi="Times New Roman"/>
          <w:szCs w:val="24"/>
          <w:lang w:val="bs-Latn-BA"/>
        </w:rPr>
        <w:t>политика</w:t>
      </w:r>
      <w:r w:rsidR="00650D2E" w:rsidRPr="00295637">
        <w:rPr>
          <w:rFonts w:ascii="Times New Roman" w:hAnsi="Times New Roman"/>
          <w:szCs w:val="24"/>
          <w:lang w:val="bs-Latn-BA"/>
        </w:rPr>
        <w:t xml:space="preserve"> </w:t>
      </w:r>
      <w:r>
        <w:rPr>
          <w:rFonts w:ascii="Times New Roman" w:hAnsi="Times New Roman"/>
          <w:szCs w:val="24"/>
          <w:lang w:val="bs-Latn-BA"/>
        </w:rPr>
        <w:t>запошљавања</w:t>
      </w:r>
      <w:r w:rsidR="00650D2E" w:rsidRPr="00295637">
        <w:rPr>
          <w:rFonts w:ascii="Times New Roman" w:hAnsi="Times New Roman"/>
          <w:szCs w:val="24"/>
          <w:lang w:val="bs-Latn-BA"/>
        </w:rPr>
        <w:t xml:space="preserve"> </w:t>
      </w:r>
      <w:r>
        <w:rPr>
          <w:rFonts w:ascii="Times New Roman" w:hAnsi="Times New Roman"/>
          <w:szCs w:val="24"/>
          <w:lang w:val="bs-Latn-BA"/>
        </w:rPr>
        <w:t>у</w:t>
      </w:r>
      <w:r w:rsidR="00650D2E" w:rsidRPr="00295637">
        <w:rPr>
          <w:rFonts w:ascii="Times New Roman" w:hAnsi="Times New Roman"/>
          <w:szCs w:val="24"/>
          <w:lang w:val="bs-Latn-BA"/>
        </w:rPr>
        <w:t xml:space="preserve"> </w:t>
      </w:r>
      <w:r>
        <w:rPr>
          <w:rFonts w:ascii="Times New Roman" w:hAnsi="Times New Roman"/>
          <w:szCs w:val="24"/>
          <w:lang w:val="bs-Latn-BA"/>
        </w:rPr>
        <w:t>БиХ</w:t>
      </w:r>
      <w:r w:rsidR="00650D2E" w:rsidRPr="00295637">
        <w:rPr>
          <w:rFonts w:ascii="Times New Roman" w:hAnsi="Times New Roman"/>
          <w:szCs w:val="24"/>
          <w:lang w:val="bs-Latn-BA"/>
        </w:rPr>
        <w:t xml:space="preserve"> </w:t>
      </w:r>
      <w:r>
        <w:rPr>
          <w:rFonts w:ascii="Times New Roman" w:hAnsi="Times New Roman"/>
          <w:szCs w:val="24"/>
          <w:lang w:val="bs-Latn-BA"/>
        </w:rPr>
        <w:t>за</w:t>
      </w:r>
      <w:r w:rsidR="00650D2E" w:rsidRPr="00295637">
        <w:rPr>
          <w:rFonts w:ascii="Times New Roman" w:hAnsi="Times New Roman"/>
          <w:szCs w:val="24"/>
          <w:lang w:val="bs-Latn-BA"/>
        </w:rPr>
        <w:t xml:space="preserve"> 2023. </w:t>
      </w:r>
      <w:r>
        <w:rPr>
          <w:rFonts w:ascii="Times New Roman" w:hAnsi="Times New Roman"/>
          <w:szCs w:val="24"/>
          <w:lang w:val="bs-Latn-BA"/>
        </w:rPr>
        <w:t>годину</w:t>
      </w:r>
      <w:r w:rsidR="00650D2E" w:rsidRPr="00295637">
        <w:rPr>
          <w:rFonts w:ascii="Times New Roman" w:hAnsi="Times New Roman"/>
          <w:szCs w:val="24"/>
          <w:lang w:val="bs-Latn-BA"/>
        </w:rPr>
        <w:t xml:space="preserve">“, </w:t>
      </w:r>
      <w:r>
        <w:rPr>
          <w:rFonts w:ascii="Times New Roman" w:hAnsi="Times New Roman"/>
          <w:szCs w:val="24"/>
          <w:lang w:val="bs-Latn-BA"/>
        </w:rPr>
        <w:t>сачинила</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Pr>
          <w:rFonts w:ascii="Times New Roman" w:hAnsi="Times New Roman"/>
          <w:szCs w:val="24"/>
          <w:lang w:val="bs-Latn-BA"/>
        </w:rPr>
        <w:t>објавила</w:t>
      </w:r>
      <w:r w:rsidR="00650D2E" w:rsidRPr="00295637">
        <w:rPr>
          <w:rFonts w:ascii="Times New Roman" w:hAnsi="Times New Roman"/>
          <w:szCs w:val="24"/>
          <w:lang w:val="bs-Latn-BA"/>
        </w:rPr>
        <w:t xml:space="preserve"> „</w:t>
      </w:r>
      <w:r>
        <w:rPr>
          <w:rFonts w:ascii="Times New Roman" w:hAnsi="Times New Roman"/>
          <w:szCs w:val="24"/>
          <w:lang w:val="bs-Latn-BA"/>
        </w:rPr>
        <w:t>Смјернице</w:t>
      </w:r>
      <w:r w:rsidR="00650D2E" w:rsidRPr="00295637">
        <w:rPr>
          <w:rFonts w:ascii="Times New Roman" w:hAnsi="Times New Roman"/>
          <w:szCs w:val="24"/>
          <w:lang w:val="bs-Latn-BA"/>
        </w:rPr>
        <w:t xml:space="preserve"> </w:t>
      </w:r>
      <w:r>
        <w:rPr>
          <w:rFonts w:ascii="Times New Roman" w:hAnsi="Times New Roman"/>
          <w:szCs w:val="24"/>
          <w:lang w:val="bs-Latn-BA"/>
        </w:rPr>
        <w:t>политика</w:t>
      </w:r>
      <w:r w:rsidR="00650D2E" w:rsidRPr="00295637">
        <w:rPr>
          <w:rFonts w:ascii="Times New Roman" w:hAnsi="Times New Roman"/>
          <w:szCs w:val="24"/>
          <w:lang w:val="bs-Latn-BA"/>
        </w:rPr>
        <w:t xml:space="preserve"> </w:t>
      </w:r>
      <w:r>
        <w:rPr>
          <w:rFonts w:ascii="Times New Roman" w:hAnsi="Times New Roman"/>
          <w:szCs w:val="24"/>
          <w:lang w:val="bs-Latn-BA"/>
        </w:rPr>
        <w:t>запошљавања</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Pr>
          <w:rFonts w:ascii="Times New Roman" w:hAnsi="Times New Roman"/>
          <w:szCs w:val="24"/>
          <w:lang w:val="bs-Latn-BA"/>
        </w:rPr>
        <w:t>активних</w:t>
      </w:r>
      <w:r w:rsidR="00650D2E" w:rsidRPr="00295637">
        <w:rPr>
          <w:rFonts w:ascii="Times New Roman" w:hAnsi="Times New Roman"/>
          <w:szCs w:val="24"/>
          <w:lang w:val="bs-Latn-BA"/>
        </w:rPr>
        <w:t xml:space="preserve"> </w:t>
      </w:r>
      <w:r>
        <w:rPr>
          <w:rFonts w:ascii="Times New Roman" w:hAnsi="Times New Roman"/>
          <w:szCs w:val="24"/>
          <w:lang w:val="bs-Latn-BA"/>
        </w:rPr>
        <w:t>мјера</w:t>
      </w:r>
      <w:r w:rsidR="00650D2E" w:rsidRPr="00295637">
        <w:rPr>
          <w:rFonts w:ascii="Times New Roman" w:hAnsi="Times New Roman"/>
          <w:szCs w:val="24"/>
          <w:lang w:val="bs-Latn-BA"/>
        </w:rPr>
        <w:t xml:space="preserve"> </w:t>
      </w:r>
      <w:r>
        <w:rPr>
          <w:rFonts w:ascii="Times New Roman" w:hAnsi="Times New Roman"/>
          <w:szCs w:val="24"/>
          <w:lang w:val="bs-Latn-BA"/>
        </w:rPr>
        <w:t>запошљавања</w:t>
      </w:r>
      <w:r w:rsidR="00650D2E" w:rsidRPr="00295637">
        <w:rPr>
          <w:rFonts w:ascii="Times New Roman" w:hAnsi="Times New Roman"/>
          <w:szCs w:val="24"/>
          <w:lang w:val="bs-Latn-BA"/>
        </w:rPr>
        <w:t xml:space="preserve"> </w:t>
      </w:r>
      <w:r>
        <w:rPr>
          <w:rFonts w:ascii="Times New Roman" w:hAnsi="Times New Roman"/>
          <w:szCs w:val="24"/>
          <w:lang w:val="bs-Latn-BA"/>
        </w:rPr>
        <w:t>у</w:t>
      </w:r>
      <w:r w:rsidR="00D30E48">
        <w:rPr>
          <w:rFonts w:ascii="Times New Roman" w:hAnsi="Times New Roman"/>
          <w:szCs w:val="24"/>
          <w:lang w:val="bs-Latn-BA"/>
        </w:rPr>
        <w:t xml:space="preserve"> </w:t>
      </w:r>
      <w:r>
        <w:rPr>
          <w:rFonts w:ascii="Times New Roman" w:hAnsi="Times New Roman"/>
          <w:szCs w:val="24"/>
          <w:lang w:val="bs-Latn-BA"/>
        </w:rPr>
        <w:t>БиХ</w:t>
      </w:r>
      <w:r w:rsidR="00650D2E" w:rsidRPr="00295637">
        <w:rPr>
          <w:rFonts w:ascii="Times New Roman" w:hAnsi="Times New Roman"/>
          <w:szCs w:val="24"/>
          <w:lang w:val="bs-Latn-BA"/>
        </w:rPr>
        <w:t xml:space="preserve"> </w:t>
      </w:r>
      <w:r>
        <w:rPr>
          <w:rFonts w:ascii="Times New Roman" w:hAnsi="Times New Roman"/>
          <w:szCs w:val="24"/>
          <w:lang w:val="bs-Latn-BA"/>
        </w:rPr>
        <w:t>за</w:t>
      </w:r>
      <w:r w:rsidR="00650D2E" w:rsidRPr="00295637">
        <w:rPr>
          <w:rFonts w:ascii="Times New Roman" w:hAnsi="Times New Roman"/>
          <w:szCs w:val="24"/>
          <w:lang w:val="bs-Latn-BA"/>
        </w:rPr>
        <w:t xml:space="preserve"> 2023. </w:t>
      </w:r>
      <w:r>
        <w:rPr>
          <w:rFonts w:ascii="Times New Roman" w:hAnsi="Times New Roman"/>
          <w:szCs w:val="24"/>
          <w:lang w:val="bs-Latn-BA"/>
        </w:rPr>
        <w:t>годину</w:t>
      </w:r>
      <w:r w:rsidR="00650D2E" w:rsidRPr="00295637">
        <w:rPr>
          <w:rFonts w:ascii="Times New Roman" w:hAnsi="Times New Roman"/>
          <w:szCs w:val="24"/>
          <w:lang w:val="bs-Latn-BA"/>
        </w:rPr>
        <w:t xml:space="preserve">“, </w:t>
      </w:r>
      <w:r>
        <w:rPr>
          <w:rFonts w:ascii="Times New Roman" w:hAnsi="Times New Roman"/>
          <w:szCs w:val="24"/>
          <w:lang w:val="bs-Latn-BA"/>
        </w:rPr>
        <w:t>сачинила</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Pr>
          <w:rFonts w:ascii="Times New Roman" w:hAnsi="Times New Roman"/>
          <w:szCs w:val="24"/>
          <w:lang w:val="bs-Latn-BA"/>
        </w:rPr>
        <w:t>објавила</w:t>
      </w:r>
      <w:r w:rsidR="00650D2E" w:rsidRPr="00295637">
        <w:rPr>
          <w:rFonts w:ascii="Times New Roman" w:hAnsi="Times New Roman"/>
          <w:szCs w:val="24"/>
          <w:lang w:val="bs-Latn-BA"/>
        </w:rPr>
        <w:t xml:space="preserve"> „</w:t>
      </w:r>
      <w:r>
        <w:rPr>
          <w:rFonts w:ascii="Times New Roman" w:hAnsi="Times New Roman"/>
          <w:szCs w:val="24"/>
          <w:lang w:val="bs-Latn-BA"/>
        </w:rPr>
        <w:t>Истраживање</w:t>
      </w:r>
      <w:r w:rsidR="00650D2E" w:rsidRPr="00295637">
        <w:rPr>
          <w:rFonts w:ascii="Times New Roman" w:hAnsi="Times New Roman"/>
          <w:szCs w:val="24"/>
          <w:lang w:val="bs-Latn-BA"/>
        </w:rPr>
        <w:t xml:space="preserve"> </w:t>
      </w:r>
      <w:r>
        <w:rPr>
          <w:rFonts w:ascii="Times New Roman" w:hAnsi="Times New Roman"/>
          <w:szCs w:val="24"/>
          <w:lang w:val="bs-Latn-BA"/>
        </w:rPr>
        <w:t>тржишта</w:t>
      </w:r>
      <w:r w:rsidR="00650D2E" w:rsidRPr="00295637">
        <w:rPr>
          <w:rFonts w:ascii="Times New Roman" w:hAnsi="Times New Roman"/>
          <w:szCs w:val="24"/>
          <w:lang w:val="bs-Latn-BA"/>
        </w:rPr>
        <w:t xml:space="preserve"> </w:t>
      </w:r>
      <w:r>
        <w:rPr>
          <w:rFonts w:ascii="Times New Roman" w:hAnsi="Times New Roman"/>
          <w:szCs w:val="24"/>
          <w:lang w:val="bs-Latn-BA"/>
        </w:rPr>
        <w:t>рада</w:t>
      </w:r>
      <w:r w:rsidR="00650D2E" w:rsidRPr="00295637">
        <w:rPr>
          <w:rFonts w:ascii="Times New Roman" w:hAnsi="Times New Roman"/>
          <w:szCs w:val="24"/>
          <w:lang w:val="bs-Latn-BA"/>
        </w:rPr>
        <w:t xml:space="preserve"> </w:t>
      </w:r>
      <w:r>
        <w:rPr>
          <w:rFonts w:ascii="Times New Roman" w:hAnsi="Times New Roman"/>
          <w:szCs w:val="24"/>
          <w:lang w:val="bs-Latn-BA"/>
        </w:rPr>
        <w:t>у</w:t>
      </w:r>
      <w:r w:rsidR="00D30E48">
        <w:rPr>
          <w:rFonts w:ascii="Times New Roman" w:hAnsi="Times New Roman"/>
          <w:szCs w:val="24"/>
          <w:lang w:val="bs-Latn-BA"/>
        </w:rPr>
        <w:t xml:space="preserve"> </w:t>
      </w:r>
      <w:r>
        <w:rPr>
          <w:rFonts w:ascii="Times New Roman" w:hAnsi="Times New Roman"/>
          <w:szCs w:val="24"/>
          <w:lang w:val="bs-Latn-BA"/>
        </w:rPr>
        <w:t>БиХ</w:t>
      </w:r>
      <w:r w:rsidR="00B60458">
        <w:rPr>
          <w:rFonts w:ascii="Times New Roman" w:hAnsi="Times New Roman"/>
          <w:szCs w:val="24"/>
          <w:lang w:val="bs-Latn-BA"/>
        </w:rPr>
        <w:t xml:space="preserve"> 2023/2024</w:t>
      </w:r>
      <w:r w:rsidR="00DF7B6D">
        <w:rPr>
          <w:rFonts w:ascii="Times New Roman" w:hAnsi="Times New Roman"/>
          <w:szCs w:val="24"/>
          <w:lang w:val="sr-Cyrl-BA"/>
        </w:rPr>
        <w:t>.</w:t>
      </w:r>
      <w:r w:rsidR="00B60458">
        <w:rPr>
          <w:rFonts w:ascii="Times New Roman" w:hAnsi="Times New Roman"/>
          <w:szCs w:val="24"/>
          <w:lang w:val="bs-Latn-BA"/>
        </w:rPr>
        <w:t>“,</w:t>
      </w:r>
      <w:r w:rsidR="00650D2E" w:rsidRPr="00295637">
        <w:rPr>
          <w:rFonts w:ascii="Times New Roman" w:hAnsi="Times New Roman"/>
          <w:szCs w:val="24"/>
          <w:lang w:val="bs-Latn-BA"/>
        </w:rPr>
        <w:t xml:space="preserve"> </w:t>
      </w:r>
      <w:r>
        <w:rPr>
          <w:rFonts w:ascii="Times New Roman" w:hAnsi="Times New Roman"/>
          <w:szCs w:val="24"/>
          <w:lang w:val="bs-Latn-BA"/>
        </w:rPr>
        <w:t>сачинила</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Pr>
          <w:rFonts w:ascii="Times New Roman" w:hAnsi="Times New Roman"/>
          <w:szCs w:val="24"/>
          <w:lang w:val="bs-Latn-BA"/>
        </w:rPr>
        <w:t>доставила</w:t>
      </w:r>
      <w:r w:rsidR="00650D2E" w:rsidRPr="00295637">
        <w:rPr>
          <w:rFonts w:ascii="Times New Roman" w:hAnsi="Times New Roman"/>
          <w:szCs w:val="24"/>
          <w:lang w:val="bs-Latn-BA"/>
        </w:rPr>
        <w:t xml:space="preserve"> </w:t>
      </w:r>
      <w:r>
        <w:rPr>
          <w:rFonts w:ascii="Times New Roman" w:hAnsi="Times New Roman"/>
          <w:szCs w:val="24"/>
          <w:lang w:val="bs-Latn-BA"/>
        </w:rPr>
        <w:t>податке</w:t>
      </w:r>
      <w:r w:rsidR="00650D2E" w:rsidRPr="00295637">
        <w:rPr>
          <w:rFonts w:ascii="Times New Roman" w:hAnsi="Times New Roman"/>
          <w:szCs w:val="24"/>
          <w:lang w:val="bs-Latn-BA"/>
        </w:rPr>
        <w:t xml:space="preserve"> </w:t>
      </w:r>
      <w:r>
        <w:rPr>
          <w:rFonts w:ascii="Times New Roman" w:hAnsi="Times New Roman"/>
          <w:szCs w:val="24"/>
          <w:lang w:val="bs-Latn-BA"/>
        </w:rPr>
        <w:t>за</w:t>
      </w:r>
      <w:r w:rsidR="00650D2E" w:rsidRPr="00295637">
        <w:rPr>
          <w:rFonts w:ascii="Times New Roman" w:hAnsi="Times New Roman"/>
          <w:szCs w:val="24"/>
          <w:lang w:val="bs-Latn-BA"/>
        </w:rPr>
        <w:t xml:space="preserve"> </w:t>
      </w:r>
      <w:r>
        <w:rPr>
          <w:rFonts w:ascii="Times New Roman" w:hAnsi="Times New Roman"/>
          <w:szCs w:val="24"/>
          <w:lang w:val="bs-Latn-BA"/>
        </w:rPr>
        <w:t>Билтен</w:t>
      </w:r>
      <w:r w:rsidR="00650D2E" w:rsidRPr="00295637">
        <w:rPr>
          <w:rFonts w:ascii="Times New Roman" w:hAnsi="Times New Roman"/>
          <w:szCs w:val="24"/>
          <w:lang w:val="bs-Latn-BA"/>
        </w:rPr>
        <w:t xml:space="preserve"> </w:t>
      </w:r>
      <w:r>
        <w:rPr>
          <w:rFonts w:ascii="Times New Roman" w:hAnsi="Times New Roman"/>
          <w:szCs w:val="24"/>
          <w:lang w:val="bs-Latn-BA"/>
        </w:rPr>
        <w:t>Центра</w:t>
      </w:r>
      <w:r w:rsidR="00650D2E" w:rsidRPr="00295637">
        <w:rPr>
          <w:rFonts w:ascii="Times New Roman" w:hAnsi="Times New Roman"/>
          <w:szCs w:val="24"/>
          <w:lang w:val="bs-Latn-BA"/>
        </w:rPr>
        <w:t xml:space="preserve"> </w:t>
      </w:r>
      <w:r>
        <w:rPr>
          <w:rFonts w:ascii="Times New Roman" w:hAnsi="Times New Roman"/>
          <w:szCs w:val="24"/>
          <w:lang w:val="bs-Latn-BA"/>
        </w:rPr>
        <w:t>јавних</w:t>
      </w:r>
      <w:r w:rsidR="00650D2E" w:rsidRPr="00295637">
        <w:rPr>
          <w:rFonts w:ascii="Times New Roman" w:hAnsi="Times New Roman"/>
          <w:szCs w:val="24"/>
          <w:lang w:val="bs-Latn-BA"/>
        </w:rPr>
        <w:t xml:space="preserve"> </w:t>
      </w:r>
      <w:r>
        <w:rPr>
          <w:rFonts w:ascii="Times New Roman" w:hAnsi="Times New Roman"/>
          <w:szCs w:val="24"/>
          <w:lang w:val="bs-Latn-BA"/>
        </w:rPr>
        <w:t>служби</w:t>
      </w:r>
      <w:r w:rsidR="00415930">
        <w:rPr>
          <w:rFonts w:ascii="Times New Roman" w:hAnsi="Times New Roman"/>
          <w:szCs w:val="24"/>
          <w:lang w:val="bs-Latn-BA"/>
        </w:rPr>
        <w:t xml:space="preserve"> </w:t>
      </w:r>
      <w:r>
        <w:rPr>
          <w:rFonts w:ascii="Times New Roman" w:hAnsi="Times New Roman"/>
          <w:szCs w:val="24"/>
          <w:lang w:val="bs-Latn-BA"/>
        </w:rPr>
        <w:t>за</w:t>
      </w:r>
      <w:r w:rsidR="00415930">
        <w:rPr>
          <w:rFonts w:ascii="Times New Roman" w:hAnsi="Times New Roman"/>
          <w:szCs w:val="24"/>
          <w:lang w:val="bs-Latn-BA"/>
        </w:rPr>
        <w:t xml:space="preserve"> </w:t>
      </w:r>
      <w:r>
        <w:rPr>
          <w:rFonts w:ascii="Times New Roman" w:hAnsi="Times New Roman"/>
          <w:szCs w:val="24"/>
          <w:lang w:val="bs-Latn-BA"/>
        </w:rPr>
        <w:t>запошљавање</w:t>
      </w:r>
      <w:r w:rsidR="00415930">
        <w:rPr>
          <w:rFonts w:ascii="Times New Roman" w:hAnsi="Times New Roman"/>
          <w:szCs w:val="24"/>
          <w:lang w:val="bs-Latn-BA"/>
        </w:rPr>
        <w:t xml:space="preserve"> </w:t>
      </w:r>
      <w:r>
        <w:rPr>
          <w:rFonts w:ascii="Times New Roman" w:hAnsi="Times New Roman"/>
          <w:szCs w:val="24"/>
          <w:lang w:val="bs-Latn-BA"/>
        </w:rPr>
        <w:t>земаља</w:t>
      </w:r>
      <w:r w:rsidR="00415930">
        <w:rPr>
          <w:rFonts w:ascii="Times New Roman" w:hAnsi="Times New Roman"/>
          <w:szCs w:val="24"/>
          <w:lang w:val="bs-Latn-BA"/>
        </w:rPr>
        <w:t xml:space="preserve"> </w:t>
      </w:r>
      <w:r>
        <w:rPr>
          <w:rFonts w:ascii="Times New Roman" w:hAnsi="Times New Roman"/>
          <w:szCs w:val="24"/>
          <w:lang w:val="bs-Latn-BA"/>
        </w:rPr>
        <w:t>Југоисточне</w:t>
      </w:r>
      <w:r w:rsidR="00650D2E" w:rsidRPr="00295637">
        <w:rPr>
          <w:rFonts w:ascii="Times New Roman" w:hAnsi="Times New Roman"/>
          <w:szCs w:val="24"/>
          <w:lang w:val="bs-Latn-BA"/>
        </w:rPr>
        <w:t xml:space="preserve"> </w:t>
      </w:r>
      <w:r>
        <w:rPr>
          <w:rFonts w:ascii="Times New Roman" w:hAnsi="Times New Roman"/>
          <w:szCs w:val="24"/>
          <w:lang w:val="bs-Latn-BA"/>
        </w:rPr>
        <w:t>Европе</w:t>
      </w:r>
      <w:r w:rsidR="00650D2E" w:rsidRPr="00295637">
        <w:rPr>
          <w:rFonts w:ascii="Times New Roman" w:hAnsi="Times New Roman"/>
          <w:szCs w:val="24"/>
          <w:lang w:val="bs-Latn-BA"/>
        </w:rPr>
        <w:t xml:space="preserve"> (</w:t>
      </w:r>
      <w:r w:rsidR="00DF7B6D" w:rsidRPr="00DF7B6D">
        <w:rPr>
          <w:rFonts w:ascii="Times New Roman" w:hAnsi="Times New Roman"/>
          <w:i/>
          <w:szCs w:val="24"/>
          <w:lang w:val="bs-Latn-BA"/>
        </w:rPr>
        <w:t>CPESSEC</w:t>
      </w:r>
      <w:r w:rsidR="00650D2E" w:rsidRPr="00295637">
        <w:rPr>
          <w:rFonts w:ascii="Times New Roman" w:hAnsi="Times New Roman"/>
          <w:szCs w:val="24"/>
          <w:lang w:val="bs-Latn-BA"/>
        </w:rPr>
        <w:t xml:space="preserve">). </w:t>
      </w:r>
      <w:r>
        <w:rPr>
          <w:rFonts w:ascii="Times New Roman" w:hAnsi="Times New Roman"/>
          <w:szCs w:val="24"/>
          <w:lang w:val="bs-Latn-BA"/>
        </w:rPr>
        <w:t>Сви</w:t>
      </w:r>
      <w:r w:rsidR="00650D2E" w:rsidRPr="00295637">
        <w:rPr>
          <w:rFonts w:ascii="Times New Roman" w:hAnsi="Times New Roman"/>
          <w:szCs w:val="24"/>
          <w:lang w:val="bs-Latn-BA"/>
        </w:rPr>
        <w:t xml:space="preserve"> </w:t>
      </w:r>
      <w:r>
        <w:rPr>
          <w:rFonts w:ascii="Times New Roman" w:hAnsi="Times New Roman"/>
          <w:szCs w:val="24"/>
          <w:lang w:val="bs-Latn-BA"/>
        </w:rPr>
        <w:t>поменути</w:t>
      </w:r>
      <w:r w:rsidR="00650D2E" w:rsidRPr="00295637">
        <w:rPr>
          <w:rFonts w:ascii="Times New Roman" w:hAnsi="Times New Roman"/>
          <w:szCs w:val="24"/>
          <w:lang w:val="bs-Latn-BA"/>
        </w:rPr>
        <w:t xml:space="preserve"> </w:t>
      </w:r>
      <w:r>
        <w:rPr>
          <w:rFonts w:ascii="Times New Roman" w:hAnsi="Times New Roman"/>
          <w:szCs w:val="24"/>
          <w:lang w:val="bs-Latn-BA"/>
        </w:rPr>
        <w:t>документи</w:t>
      </w:r>
      <w:r w:rsidR="00650D2E" w:rsidRPr="00295637">
        <w:rPr>
          <w:rFonts w:ascii="Times New Roman" w:hAnsi="Times New Roman"/>
          <w:szCs w:val="24"/>
          <w:lang w:val="bs-Latn-BA"/>
        </w:rPr>
        <w:t xml:space="preserve">, </w:t>
      </w:r>
      <w:r>
        <w:rPr>
          <w:rFonts w:ascii="Times New Roman" w:hAnsi="Times New Roman"/>
          <w:szCs w:val="24"/>
          <w:lang w:val="bs-Latn-BA"/>
        </w:rPr>
        <w:t>који</w:t>
      </w:r>
      <w:r w:rsidR="00650D2E" w:rsidRPr="00295637">
        <w:rPr>
          <w:rFonts w:ascii="Times New Roman" w:hAnsi="Times New Roman"/>
          <w:szCs w:val="24"/>
          <w:lang w:val="bs-Latn-BA"/>
        </w:rPr>
        <w:t xml:space="preserve"> </w:t>
      </w:r>
      <w:r>
        <w:rPr>
          <w:rFonts w:ascii="Times New Roman" w:hAnsi="Times New Roman"/>
          <w:szCs w:val="24"/>
          <w:lang w:val="bs-Latn-BA"/>
        </w:rPr>
        <w:t>се</w:t>
      </w:r>
      <w:r w:rsidR="00650D2E" w:rsidRPr="00295637">
        <w:rPr>
          <w:rFonts w:ascii="Times New Roman" w:hAnsi="Times New Roman"/>
          <w:szCs w:val="24"/>
          <w:lang w:val="bs-Latn-BA"/>
        </w:rPr>
        <w:t xml:space="preserve"> </w:t>
      </w:r>
      <w:r>
        <w:rPr>
          <w:rFonts w:ascii="Times New Roman" w:hAnsi="Times New Roman"/>
          <w:szCs w:val="24"/>
          <w:lang w:val="bs-Latn-BA"/>
        </w:rPr>
        <w:t>односе</w:t>
      </w:r>
      <w:r w:rsidR="00650D2E" w:rsidRPr="00295637">
        <w:rPr>
          <w:rFonts w:ascii="Times New Roman" w:hAnsi="Times New Roman"/>
          <w:szCs w:val="24"/>
          <w:lang w:val="bs-Latn-BA"/>
        </w:rPr>
        <w:t xml:space="preserve"> </w:t>
      </w:r>
      <w:r>
        <w:rPr>
          <w:rFonts w:ascii="Times New Roman" w:hAnsi="Times New Roman"/>
          <w:szCs w:val="24"/>
          <w:lang w:val="bs-Latn-BA"/>
        </w:rPr>
        <w:t>искључиво</w:t>
      </w:r>
      <w:r w:rsidR="00650D2E" w:rsidRPr="00295637">
        <w:rPr>
          <w:rFonts w:ascii="Times New Roman" w:hAnsi="Times New Roman"/>
          <w:szCs w:val="24"/>
          <w:lang w:val="bs-Latn-BA"/>
        </w:rPr>
        <w:t xml:space="preserve"> </w:t>
      </w:r>
      <w:r>
        <w:rPr>
          <w:rFonts w:ascii="Times New Roman" w:hAnsi="Times New Roman"/>
          <w:szCs w:val="24"/>
          <w:lang w:val="bs-Latn-BA"/>
        </w:rPr>
        <w:t>на</w:t>
      </w:r>
      <w:r w:rsidR="00650D2E" w:rsidRPr="00295637">
        <w:rPr>
          <w:rFonts w:ascii="Times New Roman" w:hAnsi="Times New Roman"/>
          <w:szCs w:val="24"/>
          <w:lang w:val="bs-Latn-BA"/>
        </w:rPr>
        <w:t xml:space="preserve"> </w:t>
      </w:r>
      <w:r>
        <w:rPr>
          <w:rFonts w:ascii="Times New Roman" w:hAnsi="Times New Roman"/>
          <w:szCs w:val="24"/>
          <w:lang w:val="bs-Latn-BA"/>
        </w:rPr>
        <w:t>стање</w:t>
      </w:r>
      <w:r w:rsidR="00163AC2">
        <w:rPr>
          <w:rFonts w:ascii="Times New Roman" w:hAnsi="Times New Roman"/>
          <w:szCs w:val="24"/>
          <w:lang w:val="bs-Latn-BA"/>
        </w:rPr>
        <w:t xml:space="preserve"> </w:t>
      </w:r>
      <w:r>
        <w:rPr>
          <w:rFonts w:ascii="Times New Roman" w:hAnsi="Times New Roman"/>
          <w:szCs w:val="24"/>
          <w:lang w:val="bs-Latn-BA"/>
        </w:rPr>
        <w:t>и</w:t>
      </w:r>
      <w:r w:rsidR="00163AC2">
        <w:rPr>
          <w:rFonts w:ascii="Times New Roman" w:hAnsi="Times New Roman"/>
          <w:szCs w:val="24"/>
          <w:lang w:val="bs-Latn-BA"/>
        </w:rPr>
        <w:t xml:space="preserve"> </w:t>
      </w:r>
      <w:r>
        <w:rPr>
          <w:rFonts w:ascii="Times New Roman" w:hAnsi="Times New Roman"/>
          <w:szCs w:val="24"/>
          <w:lang w:val="bs-Latn-BA"/>
        </w:rPr>
        <w:t>кретање</w:t>
      </w:r>
      <w:r w:rsidR="00163AC2">
        <w:rPr>
          <w:rFonts w:ascii="Times New Roman" w:hAnsi="Times New Roman"/>
          <w:szCs w:val="24"/>
          <w:lang w:val="bs-Latn-BA"/>
        </w:rPr>
        <w:t xml:space="preserve"> </w:t>
      </w:r>
      <w:r>
        <w:rPr>
          <w:rFonts w:ascii="Times New Roman" w:hAnsi="Times New Roman"/>
          <w:szCs w:val="24"/>
          <w:lang w:val="bs-Latn-BA"/>
        </w:rPr>
        <w:t>на</w:t>
      </w:r>
      <w:r w:rsidR="00163AC2">
        <w:rPr>
          <w:rFonts w:ascii="Times New Roman" w:hAnsi="Times New Roman"/>
          <w:szCs w:val="24"/>
          <w:lang w:val="bs-Latn-BA"/>
        </w:rPr>
        <w:t xml:space="preserve"> </w:t>
      </w:r>
      <w:r>
        <w:rPr>
          <w:rFonts w:ascii="Times New Roman" w:hAnsi="Times New Roman"/>
          <w:szCs w:val="24"/>
          <w:lang w:val="bs-Latn-BA"/>
        </w:rPr>
        <w:t>тржишту</w:t>
      </w:r>
      <w:r w:rsidR="00163AC2">
        <w:rPr>
          <w:rFonts w:ascii="Times New Roman" w:hAnsi="Times New Roman"/>
          <w:szCs w:val="24"/>
          <w:lang w:val="bs-Latn-BA"/>
        </w:rPr>
        <w:t xml:space="preserve"> </w:t>
      </w:r>
      <w:r>
        <w:rPr>
          <w:rFonts w:ascii="Times New Roman" w:hAnsi="Times New Roman"/>
          <w:szCs w:val="24"/>
          <w:lang w:val="bs-Latn-BA"/>
        </w:rPr>
        <w:t>рада</w:t>
      </w:r>
      <w:r w:rsidR="00163AC2">
        <w:rPr>
          <w:rFonts w:ascii="Times New Roman" w:hAnsi="Times New Roman"/>
          <w:szCs w:val="24"/>
          <w:lang w:val="bs-Latn-BA"/>
        </w:rPr>
        <w:t xml:space="preserve"> </w:t>
      </w:r>
      <w:r>
        <w:rPr>
          <w:rFonts w:ascii="Times New Roman" w:hAnsi="Times New Roman"/>
          <w:szCs w:val="24"/>
          <w:lang w:val="bs-Latn-BA"/>
        </w:rPr>
        <w:t>са</w:t>
      </w:r>
      <w:r w:rsidR="00650D2E" w:rsidRPr="00295637">
        <w:rPr>
          <w:rFonts w:ascii="Times New Roman" w:hAnsi="Times New Roman"/>
          <w:szCs w:val="24"/>
          <w:lang w:val="bs-Latn-BA"/>
        </w:rPr>
        <w:t xml:space="preserve"> </w:t>
      </w:r>
      <w:r>
        <w:rPr>
          <w:rFonts w:ascii="Times New Roman" w:hAnsi="Times New Roman"/>
          <w:szCs w:val="24"/>
          <w:lang w:val="bs-Latn-BA"/>
        </w:rPr>
        <w:t>аспекта</w:t>
      </w:r>
      <w:r w:rsidR="00650D2E" w:rsidRPr="00295637">
        <w:rPr>
          <w:rFonts w:ascii="Times New Roman" w:hAnsi="Times New Roman"/>
          <w:szCs w:val="24"/>
          <w:lang w:val="bs-Latn-BA"/>
        </w:rPr>
        <w:t xml:space="preserve"> </w:t>
      </w:r>
      <w:r>
        <w:rPr>
          <w:rFonts w:ascii="Times New Roman" w:hAnsi="Times New Roman"/>
          <w:szCs w:val="24"/>
          <w:lang w:val="bs-Latn-BA"/>
        </w:rPr>
        <w:t>незапослености</w:t>
      </w:r>
      <w:r w:rsidR="00650D2E" w:rsidRPr="00295637">
        <w:rPr>
          <w:rFonts w:ascii="Times New Roman" w:hAnsi="Times New Roman"/>
          <w:szCs w:val="24"/>
          <w:lang w:val="bs-Latn-BA"/>
        </w:rPr>
        <w:t xml:space="preserve"> </w:t>
      </w:r>
      <w:r>
        <w:rPr>
          <w:rFonts w:ascii="Times New Roman" w:hAnsi="Times New Roman"/>
          <w:szCs w:val="24"/>
          <w:lang w:val="bs-Latn-BA"/>
        </w:rPr>
        <w:t>и</w:t>
      </w:r>
      <w:r w:rsidR="00650D2E" w:rsidRPr="00295637">
        <w:rPr>
          <w:rFonts w:ascii="Times New Roman" w:hAnsi="Times New Roman"/>
          <w:szCs w:val="24"/>
          <w:lang w:val="bs-Latn-BA"/>
        </w:rPr>
        <w:t xml:space="preserve"> </w:t>
      </w:r>
      <w:r w:rsidR="00DF7B6D">
        <w:rPr>
          <w:rFonts w:ascii="Times New Roman" w:hAnsi="Times New Roman"/>
          <w:szCs w:val="24"/>
          <w:lang w:val="sr-Cyrl-BA"/>
        </w:rPr>
        <w:t>спровођења</w:t>
      </w:r>
      <w:r w:rsidR="00650D2E" w:rsidRPr="00295637">
        <w:rPr>
          <w:rFonts w:ascii="Times New Roman" w:hAnsi="Times New Roman"/>
          <w:szCs w:val="24"/>
          <w:lang w:val="bs-Latn-BA"/>
        </w:rPr>
        <w:t xml:space="preserve"> </w:t>
      </w:r>
      <w:r>
        <w:rPr>
          <w:rFonts w:ascii="Times New Roman" w:hAnsi="Times New Roman"/>
          <w:szCs w:val="24"/>
          <w:lang w:val="bs-Latn-BA"/>
        </w:rPr>
        <w:t>активних</w:t>
      </w:r>
      <w:r w:rsidR="00650D2E" w:rsidRPr="00295637">
        <w:rPr>
          <w:rFonts w:ascii="Times New Roman" w:hAnsi="Times New Roman"/>
          <w:szCs w:val="24"/>
          <w:lang w:val="bs-Latn-BA"/>
        </w:rPr>
        <w:t xml:space="preserve"> </w:t>
      </w:r>
      <w:r>
        <w:rPr>
          <w:rFonts w:ascii="Times New Roman" w:hAnsi="Times New Roman"/>
          <w:szCs w:val="24"/>
          <w:lang w:val="bs-Latn-BA"/>
        </w:rPr>
        <w:t>политика</w:t>
      </w:r>
      <w:r w:rsidR="00650D2E" w:rsidRPr="00295637">
        <w:rPr>
          <w:rFonts w:ascii="Times New Roman" w:hAnsi="Times New Roman"/>
          <w:szCs w:val="24"/>
          <w:lang w:val="bs-Latn-BA"/>
        </w:rPr>
        <w:t xml:space="preserve"> </w:t>
      </w:r>
      <w:r>
        <w:rPr>
          <w:rFonts w:ascii="Times New Roman" w:hAnsi="Times New Roman"/>
          <w:szCs w:val="24"/>
          <w:lang w:val="bs-Latn-BA"/>
        </w:rPr>
        <w:t>запошљавања</w:t>
      </w:r>
      <w:r w:rsidR="00650D2E" w:rsidRPr="00295637">
        <w:rPr>
          <w:rFonts w:ascii="Times New Roman" w:hAnsi="Times New Roman"/>
          <w:szCs w:val="24"/>
          <w:lang w:val="bs-Latn-BA"/>
        </w:rPr>
        <w:t xml:space="preserve">, </w:t>
      </w:r>
      <w:r>
        <w:rPr>
          <w:rFonts w:ascii="Times New Roman" w:hAnsi="Times New Roman"/>
          <w:szCs w:val="24"/>
          <w:lang w:val="bs-Latn-BA"/>
        </w:rPr>
        <w:t>израђени</w:t>
      </w:r>
      <w:r w:rsidR="00650D2E" w:rsidRPr="00295637">
        <w:rPr>
          <w:rFonts w:ascii="Times New Roman" w:hAnsi="Times New Roman"/>
          <w:szCs w:val="24"/>
          <w:lang w:val="bs-Latn-BA"/>
        </w:rPr>
        <w:t xml:space="preserve"> </w:t>
      </w:r>
      <w:r>
        <w:rPr>
          <w:rFonts w:ascii="Times New Roman" w:hAnsi="Times New Roman"/>
          <w:szCs w:val="24"/>
          <w:lang w:val="bs-Latn-BA"/>
        </w:rPr>
        <w:t>су</w:t>
      </w:r>
      <w:r w:rsidR="00650D2E" w:rsidRPr="00295637">
        <w:rPr>
          <w:rFonts w:ascii="Times New Roman" w:hAnsi="Times New Roman"/>
          <w:szCs w:val="24"/>
          <w:lang w:val="bs-Latn-BA"/>
        </w:rPr>
        <w:t xml:space="preserve"> </w:t>
      </w:r>
      <w:r>
        <w:rPr>
          <w:rFonts w:ascii="Times New Roman" w:hAnsi="Times New Roman"/>
          <w:szCs w:val="24"/>
          <w:lang w:val="bs-Latn-BA"/>
        </w:rPr>
        <w:t>у</w:t>
      </w:r>
      <w:r w:rsidR="00415930">
        <w:rPr>
          <w:rFonts w:ascii="Times New Roman" w:hAnsi="Times New Roman"/>
          <w:szCs w:val="24"/>
          <w:lang w:val="bs-Latn-BA"/>
        </w:rPr>
        <w:t xml:space="preserve"> </w:t>
      </w:r>
      <w:r>
        <w:rPr>
          <w:rFonts w:ascii="Times New Roman" w:hAnsi="Times New Roman"/>
          <w:szCs w:val="24"/>
          <w:lang w:val="bs-Latn-BA"/>
        </w:rPr>
        <w:t>складу</w:t>
      </w:r>
      <w:r w:rsidR="00415930">
        <w:rPr>
          <w:rFonts w:ascii="Times New Roman" w:hAnsi="Times New Roman"/>
          <w:szCs w:val="24"/>
          <w:lang w:val="bs-Latn-BA"/>
        </w:rPr>
        <w:t xml:space="preserve"> </w:t>
      </w:r>
      <w:r>
        <w:rPr>
          <w:rFonts w:ascii="Times New Roman" w:hAnsi="Times New Roman"/>
          <w:szCs w:val="24"/>
          <w:lang w:val="bs-Latn-BA"/>
        </w:rPr>
        <w:t>са</w:t>
      </w:r>
      <w:r w:rsidR="00650D2E" w:rsidRPr="00295637">
        <w:rPr>
          <w:rFonts w:ascii="Times New Roman" w:hAnsi="Times New Roman"/>
          <w:szCs w:val="24"/>
          <w:lang w:val="bs-Latn-BA"/>
        </w:rPr>
        <w:t xml:space="preserve"> </w:t>
      </w:r>
      <w:r>
        <w:rPr>
          <w:rFonts w:ascii="Times New Roman" w:hAnsi="Times New Roman"/>
          <w:szCs w:val="24"/>
          <w:lang w:val="bs-Latn-BA"/>
        </w:rPr>
        <w:t>стандардима</w:t>
      </w:r>
      <w:r w:rsidR="00650D2E" w:rsidRPr="00295637">
        <w:rPr>
          <w:rFonts w:ascii="Times New Roman" w:hAnsi="Times New Roman"/>
          <w:szCs w:val="24"/>
          <w:lang w:val="bs-Latn-BA"/>
        </w:rPr>
        <w:t xml:space="preserve"> </w:t>
      </w:r>
      <w:r>
        <w:rPr>
          <w:rFonts w:ascii="Times New Roman" w:hAnsi="Times New Roman"/>
          <w:szCs w:val="24"/>
          <w:lang w:val="bs-Latn-BA"/>
        </w:rPr>
        <w:t>у</w:t>
      </w:r>
      <w:r w:rsidR="00415930">
        <w:rPr>
          <w:rFonts w:ascii="Times New Roman" w:hAnsi="Times New Roman"/>
          <w:szCs w:val="24"/>
          <w:lang w:val="bs-Latn-BA"/>
        </w:rPr>
        <w:t xml:space="preserve"> </w:t>
      </w:r>
      <w:r>
        <w:rPr>
          <w:rFonts w:ascii="Times New Roman" w:hAnsi="Times New Roman"/>
          <w:szCs w:val="24"/>
          <w:lang w:val="bs-Latn-BA"/>
        </w:rPr>
        <w:t>вези</w:t>
      </w:r>
      <w:r w:rsidR="00415930">
        <w:rPr>
          <w:rFonts w:ascii="Times New Roman" w:hAnsi="Times New Roman"/>
          <w:szCs w:val="24"/>
          <w:lang w:val="bs-Latn-BA"/>
        </w:rPr>
        <w:t xml:space="preserve"> </w:t>
      </w:r>
      <w:r>
        <w:rPr>
          <w:rFonts w:ascii="Times New Roman" w:hAnsi="Times New Roman"/>
          <w:szCs w:val="24"/>
          <w:lang w:val="bs-Latn-BA"/>
        </w:rPr>
        <w:t>са</w:t>
      </w:r>
      <w:r w:rsidR="00650D2E" w:rsidRPr="00295637">
        <w:rPr>
          <w:rFonts w:ascii="Times New Roman" w:hAnsi="Times New Roman"/>
          <w:szCs w:val="24"/>
          <w:lang w:val="bs-Latn-BA"/>
        </w:rPr>
        <w:t xml:space="preserve"> </w:t>
      </w:r>
      <w:r>
        <w:rPr>
          <w:rFonts w:ascii="Times New Roman" w:hAnsi="Times New Roman"/>
          <w:szCs w:val="24"/>
          <w:lang w:val="bs-Latn-BA"/>
        </w:rPr>
        <w:t>равноправношћу</w:t>
      </w:r>
      <w:r w:rsidR="00650D2E" w:rsidRPr="00295637">
        <w:rPr>
          <w:rFonts w:ascii="Times New Roman" w:hAnsi="Times New Roman"/>
          <w:szCs w:val="24"/>
          <w:lang w:val="bs-Latn-BA"/>
        </w:rPr>
        <w:t xml:space="preserve"> </w:t>
      </w:r>
      <w:r>
        <w:rPr>
          <w:rFonts w:ascii="Times New Roman" w:hAnsi="Times New Roman"/>
          <w:szCs w:val="24"/>
          <w:lang w:val="bs-Latn-BA"/>
        </w:rPr>
        <w:t>полова</w:t>
      </w:r>
      <w:r w:rsidR="00650D2E" w:rsidRPr="00295637">
        <w:rPr>
          <w:rFonts w:ascii="Times New Roman" w:hAnsi="Times New Roman"/>
          <w:szCs w:val="24"/>
          <w:lang w:val="bs-Latn-BA"/>
        </w:rPr>
        <w:t xml:space="preserve">, </w:t>
      </w:r>
      <w:r>
        <w:rPr>
          <w:rFonts w:ascii="Times New Roman" w:hAnsi="Times New Roman"/>
          <w:szCs w:val="24"/>
          <w:lang w:val="bs-Latn-BA"/>
        </w:rPr>
        <w:t>а</w:t>
      </w:r>
      <w:r w:rsidR="00650D2E" w:rsidRPr="00295637">
        <w:rPr>
          <w:rFonts w:ascii="Times New Roman" w:hAnsi="Times New Roman"/>
          <w:szCs w:val="24"/>
          <w:lang w:val="bs-Latn-BA"/>
        </w:rPr>
        <w:t xml:space="preserve"> </w:t>
      </w:r>
      <w:r>
        <w:rPr>
          <w:rFonts w:ascii="Times New Roman" w:hAnsi="Times New Roman"/>
          <w:szCs w:val="24"/>
          <w:lang w:val="bs-Latn-BA"/>
        </w:rPr>
        <w:t>наведени</w:t>
      </w:r>
      <w:r w:rsidR="00650D2E" w:rsidRPr="00295637">
        <w:rPr>
          <w:rFonts w:ascii="Times New Roman" w:hAnsi="Times New Roman"/>
          <w:szCs w:val="24"/>
          <w:lang w:val="bs-Latn-BA"/>
        </w:rPr>
        <w:t xml:space="preserve"> </w:t>
      </w:r>
      <w:r>
        <w:rPr>
          <w:rFonts w:ascii="Times New Roman" w:hAnsi="Times New Roman"/>
          <w:szCs w:val="24"/>
          <w:lang w:val="bs-Latn-BA"/>
        </w:rPr>
        <w:t>подаци</w:t>
      </w:r>
      <w:r w:rsidR="00650D2E" w:rsidRPr="00295637">
        <w:rPr>
          <w:rFonts w:ascii="Times New Roman" w:eastAsia="Calibri" w:hAnsi="Times New Roman"/>
          <w:szCs w:val="24"/>
          <w:lang w:val="bs-Latn-BA"/>
        </w:rPr>
        <w:t xml:space="preserve"> </w:t>
      </w:r>
      <w:r w:rsidR="00DF7B6D">
        <w:rPr>
          <w:rFonts w:ascii="Times New Roman" w:eastAsia="Calibri" w:hAnsi="Times New Roman"/>
          <w:szCs w:val="24"/>
          <w:lang w:val="bs-Latn-BA"/>
        </w:rPr>
        <w:t>су</w:t>
      </w:r>
      <w:r w:rsidR="00DF7B6D">
        <w:rPr>
          <w:rFonts w:ascii="Times New Roman" w:hAnsi="Times New Roman"/>
          <w:szCs w:val="24"/>
          <w:lang w:val="bs-Latn-BA"/>
        </w:rPr>
        <w:t xml:space="preserve"> </w:t>
      </w:r>
      <w:r>
        <w:rPr>
          <w:rFonts w:ascii="Times New Roman" w:hAnsi="Times New Roman"/>
          <w:szCs w:val="24"/>
          <w:lang w:val="bs-Latn-BA"/>
        </w:rPr>
        <w:t>разв</w:t>
      </w:r>
      <w:r>
        <w:rPr>
          <w:rFonts w:ascii="Times New Roman" w:eastAsia="Calibri" w:hAnsi="Times New Roman"/>
          <w:szCs w:val="24"/>
          <w:lang w:val="bs-Latn-BA"/>
        </w:rPr>
        <w:t>рстани</w:t>
      </w:r>
      <w:r w:rsidR="00650D2E" w:rsidRPr="00295637">
        <w:rPr>
          <w:rFonts w:ascii="Times New Roman" w:eastAsia="Calibri" w:hAnsi="Times New Roman"/>
          <w:szCs w:val="24"/>
          <w:lang w:val="bs-Latn-BA"/>
        </w:rPr>
        <w:t xml:space="preserve"> </w:t>
      </w:r>
      <w:r>
        <w:rPr>
          <w:rFonts w:ascii="Times New Roman" w:eastAsia="Calibri" w:hAnsi="Times New Roman"/>
          <w:szCs w:val="24"/>
          <w:lang w:val="bs-Latn-BA"/>
        </w:rPr>
        <w:t>по</w:t>
      </w:r>
      <w:r w:rsidR="00650D2E" w:rsidRPr="00295637">
        <w:rPr>
          <w:rFonts w:ascii="Times New Roman" w:eastAsia="Calibri" w:hAnsi="Times New Roman"/>
          <w:szCs w:val="24"/>
          <w:lang w:val="bs-Latn-BA"/>
        </w:rPr>
        <w:t xml:space="preserve"> </w:t>
      </w:r>
      <w:r>
        <w:rPr>
          <w:rFonts w:ascii="Times New Roman" w:eastAsia="Calibri" w:hAnsi="Times New Roman"/>
          <w:szCs w:val="24"/>
          <w:lang w:val="bs-Latn-BA"/>
        </w:rPr>
        <w:t>полу</w:t>
      </w:r>
      <w:r w:rsidR="00650D2E" w:rsidRPr="00295637">
        <w:rPr>
          <w:rFonts w:ascii="Times New Roman" w:eastAsia="Calibri" w:hAnsi="Times New Roman"/>
          <w:szCs w:val="24"/>
          <w:lang w:val="bs-Latn-BA"/>
        </w:rPr>
        <w:t xml:space="preserve">. </w:t>
      </w:r>
      <w:r>
        <w:rPr>
          <w:rFonts w:ascii="Times New Roman" w:eastAsia="Calibri" w:hAnsi="Times New Roman"/>
          <w:szCs w:val="24"/>
          <w:lang w:val="bs-Latn-BA"/>
        </w:rPr>
        <w:t>Сви</w:t>
      </w:r>
      <w:r w:rsidR="00650D2E" w:rsidRPr="00295637">
        <w:rPr>
          <w:rFonts w:ascii="Times New Roman" w:eastAsia="Calibri" w:hAnsi="Times New Roman"/>
          <w:szCs w:val="24"/>
          <w:lang w:val="bs-Latn-BA"/>
        </w:rPr>
        <w:t xml:space="preserve"> </w:t>
      </w:r>
      <w:r>
        <w:rPr>
          <w:rFonts w:ascii="Times New Roman" w:eastAsia="Calibri" w:hAnsi="Times New Roman"/>
          <w:szCs w:val="24"/>
          <w:lang w:val="bs-Latn-BA"/>
        </w:rPr>
        <w:t>документи</w:t>
      </w:r>
      <w:r w:rsidR="00163AC2">
        <w:rPr>
          <w:rFonts w:ascii="Times New Roman" w:eastAsia="Calibri" w:hAnsi="Times New Roman"/>
          <w:szCs w:val="24"/>
          <w:lang w:val="bs-Latn-BA"/>
        </w:rPr>
        <w:t xml:space="preserve"> </w:t>
      </w:r>
      <w:r>
        <w:rPr>
          <w:rFonts w:ascii="Times New Roman" w:eastAsia="Calibri" w:hAnsi="Times New Roman"/>
          <w:szCs w:val="24"/>
          <w:lang w:val="bs-Latn-BA"/>
        </w:rPr>
        <w:t>су</w:t>
      </w:r>
      <w:r w:rsidR="00163AC2">
        <w:rPr>
          <w:rFonts w:ascii="Times New Roman" w:eastAsia="Calibri" w:hAnsi="Times New Roman"/>
          <w:szCs w:val="24"/>
          <w:lang w:val="bs-Latn-BA"/>
        </w:rPr>
        <w:t xml:space="preserve">, </w:t>
      </w:r>
      <w:r w:rsidR="00DF7B6D">
        <w:rPr>
          <w:rFonts w:ascii="Times New Roman" w:eastAsia="Calibri" w:hAnsi="Times New Roman"/>
          <w:szCs w:val="24"/>
          <w:lang w:val="bs-Latn-BA"/>
        </w:rPr>
        <w:t>такође</w:t>
      </w:r>
      <w:r w:rsidR="00163AC2">
        <w:rPr>
          <w:rFonts w:ascii="Times New Roman" w:eastAsia="Calibri" w:hAnsi="Times New Roman"/>
          <w:szCs w:val="24"/>
          <w:lang w:val="bs-Latn-BA"/>
        </w:rPr>
        <w:t xml:space="preserve">, </w:t>
      </w:r>
      <w:r>
        <w:rPr>
          <w:rFonts w:ascii="Times New Roman" w:eastAsia="Calibri" w:hAnsi="Times New Roman"/>
          <w:szCs w:val="24"/>
          <w:lang w:val="bs-Latn-BA"/>
        </w:rPr>
        <w:t>доступни</w:t>
      </w:r>
      <w:r w:rsidR="00163AC2">
        <w:rPr>
          <w:rFonts w:ascii="Times New Roman" w:eastAsia="Calibri" w:hAnsi="Times New Roman"/>
          <w:szCs w:val="24"/>
          <w:lang w:val="bs-Latn-BA"/>
        </w:rPr>
        <w:t xml:space="preserve"> </w:t>
      </w:r>
      <w:r>
        <w:rPr>
          <w:rFonts w:ascii="Times New Roman" w:eastAsia="Calibri" w:hAnsi="Times New Roman"/>
          <w:szCs w:val="24"/>
          <w:lang w:val="bs-Latn-BA"/>
        </w:rPr>
        <w:t>на</w:t>
      </w:r>
      <w:r w:rsidR="00163AC2">
        <w:rPr>
          <w:rFonts w:ascii="Times New Roman" w:eastAsia="Calibri" w:hAnsi="Times New Roman"/>
          <w:szCs w:val="24"/>
          <w:lang w:val="bs-Latn-BA"/>
        </w:rPr>
        <w:t xml:space="preserve"> </w:t>
      </w:r>
      <w:r w:rsidR="00F82DDB">
        <w:rPr>
          <w:rFonts w:ascii="Times New Roman" w:eastAsia="Calibri" w:hAnsi="Times New Roman"/>
          <w:szCs w:val="24"/>
          <w:lang w:val="sr-Cyrl-BA"/>
        </w:rPr>
        <w:t>веб-</w:t>
      </w:r>
      <w:r>
        <w:rPr>
          <w:rFonts w:ascii="Times New Roman" w:eastAsia="Calibri" w:hAnsi="Times New Roman"/>
          <w:szCs w:val="24"/>
          <w:lang w:val="bs-Latn-BA"/>
        </w:rPr>
        <w:t>страници</w:t>
      </w:r>
      <w:r w:rsidR="00650D2E" w:rsidRPr="00295637">
        <w:rPr>
          <w:rFonts w:ascii="Times New Roman" w:eastAsia="Calibri" w:hAnsi="Times New Roman"/>
          <w:szCs w:val="24"/>
          <w:lang w:val="bs-Latn-BA"/>
        </w:rPr>
        <w:t xml:space="preserve"> </w:t>
      </w:r>
      <w:r>
        <w:rPr>
          <w:rFonts w:ascii="Times New Roman" w:eastAsia="Calibri" w:hAnsi="Times New Roman"/>
          <w:szCs w:val="24"/>
          <w:lang w:val="bs-Latn-BA"/>
        </w:rPr>
        <w:t>АРЗ</w:t>
      </w:r>
      <w:r w:rsidR="009E54A2" w:rsidRPr="00295637">
        <w:rPr>
          <w:rFonts w:ascii="Times New Roman" w:eastAsia="Calibri" w:hAnsi="Times New Roman"/>
          <w:szCs w:val="24"/>
          <w:lang w:val="bs-Latn-BA"/>
        </w:rPr>
        <w:t xml:space="preserve"> </w:t>
      </w:r>
      <w:r>
        <w:rPr>
          <w:rFonts w:ascii="Times New Roman" w:eastAsia="Calibri" w:hAnsi="Times New Roman"/>
          <w:szCs w:val="24"/>
          <w:lang w:val="bs-Latn-BA"/>
        </w:rPr>
        <w:t>БиХ</w:t>
      </w:r>
      <w:r w:rsidR="009E54A2" w:rsidRPr="00295637">
        <w:rPr>
          <w:rFonts w:ascii="Times New Roman" w:eastAsia="Calibri" w:hAnsi="Times New Roman"/>
          <w:szCs w:val="24"/>
          <w:lang w:val="bs-Latn-BA"/>
        </w:rPr>
        <w:t xml:space="preserve"> </w:t>
      </w:r>
    </w:p>
    <w:p w:rsidR="00B60458" w:rsidRPr="00B60458" w:rsidRDefault="00B60458" w:rsidP="00B60458">
      <w:pPr>
        <w:tabs>
          <w:tab w:val="left" w:pos="284"/>
          <w:tab w:val="left" w:pos="630"/>
          <w:tab w:val="left" w:pos="1080"/>
        </w:tabs>
        <w:jc w:val="both"/>
        <w:rPr>
          <w:rFonts w:ascii="Times New Roman" w:eastAsia="Calibri" w:hAnsi="Times New Roman"/>
          <w:szCs w:val="24"/>
          <w:lang w:val="bs-Latn-BA"/>
        </w:rPr>
      </w:pPr>
    </w:p>
    <w:p w:rsidR="00A92736" w:rsidRPr="00295637" w:rsidRDefault="00C6214E" w:rsidP="0086268D">
      <w:pPr>
        <w:jc w:val="both"/>
        <w:rPr>
          <w:rFonts w:ascii="Times New Roman" w:hAnsi="Times New Roman"/>
          <w:szCs w:val="24"/>
          <w:lang w:val="bs-Latn-BA"/>
        </w:rPr>
      </w:pPr>
      <w:r>
        <w:rPr>
          <w:rFonts w:ascii="Times New Roman" w:hAnsi="Times New Roman"/>
          <w:szCs w:val="24"/>
          <w:lang w:val="bs-Latn-BA"/>
        </w:rPr>
        <w:t>У</w:t>
      </w:r>
      <w:r w:rsidR="0026752C" w:rsidRPr="00295637">
        <w:rPr>
          <w:rFonts w:ascii="Times New Roman" w:hAnsi="Times New Roman"/>
          <w:szCs w:val="24"/>
          <w:lang w:val="bs-Latn-BA"/>
        </w:rPr>
        <w:t xml:space="preserve"> </w:t>
      </w:r>
      <w:r>
        <w:rPr>
          <w:rFonts w:ascii="Times New Roman" w:hAnsi="Times New Roman"/>
          <w:szCs w:val="24"/>
          <w:lang w:val="bs-Latn-BA"/>
        </w:rPr>
        <w:t>ФБиХ</w:t>
      </w:r>
      <w:r w:rsidR="0026752C" w:rsidRPr="00295637">
        <w:rPr>
          <w:rFonts w:ascii="Times New Roman" w:hAnsi="Times New Roman"/>
          <w:szCs w:val="24"/>
          <w:lang w:val="bs-Latn-BA"/>
        </w:rPr>
        <w:t xml:space="preserve"> </w:t>
      </w:r>
      <w:r>
        <w:rPr>
          <w:rFonts w:ascii="Times New Roman" w:hAnsi="Times New Roman"/>
          <w:szCs w:val="24"/>
          <w:lang w:val="bs-Latn-BA"/>
        </w:rPr>
        <w:t>је</w:t>
      </w:r>
      <w:r w:rsidR="0026752C" w:rsidRPr="00295637">
        <w:rPr>
          <w:rFonts w:ascii="Times New Roman" w:hAnsi="Times New Roman"/>
          <w:szCs w:val="24"/>
          <w:lang w:val="bs-Latn-BA"/>
        </w:rPr>
        <w:t xml:space="preserve"> </w:t>
      </w:r>
      <w:r>
        <w:rPr>
          <w:rFonts w:ascii="Times New Roman" w:hAnsi="Times New Roman"/>
          <w:szCs w:val="24"/>
          <w:lang w:val="bs-Latn-BA"/>
        </w:rPr>
        <w:t>кроз</w:t>
      </w:r>
      <w:r w:rsidR="00D256F6" w:rsidRPr="00295637">
        <w:rPr>
          <w:rFonts w:ascii="Times New Roman" w:hAnsi="Times New Roman"/>
          <w:szCs w:val="24"/>
          <w:lang w:val="bs-Latn-BA"/>
        </w:rPr>
        <w:t xml:space="preserve"> </w:t>
      </w:r>
      <w:r>
        <w:rPr>
          <w:rFonts w:ascii="Times New Roman" w:hAnsi="Times New Roman"/>
          <w:szCs w:val="24"/>
          <w:lang w:val="bs-Latn-BA"/>
        </w:rPr>
        <w:t>различите</w:t>
      </w:r>
      <w:r w:rsidR="00D256F6" w:rsidRPr="00295637">
        <w:rPr>
          <w:rFonts w:ascii="Times New Roman" w:hAnsi="Times New Roman"/>
          <w:szCs w:val="24"/>
          <w:lang w:val="bs-Latn-BA"/>
        </w:rPr>
        <w:t xml:space="preserve"> </w:t>
      </w:r>
      <w:r>
        <w:rPr>
          <w:rFonts w:ascii="Times New Roman" w:hAnsi="Times New Roman"/>
          <w:szCs w:val="24"/>
          <w:lang w:val="bs-Latn-BA"/>
        </w:rPr>
        <w:t>програме</w:t>
      </w:r>
      <w:r w:rsidR="00D256F6" w:rsidRPr="00295637">
        <w:rPr>
          <w:rFonts w:ascii="Times New Roman" w:hAnsi="Times New Roman"/>
          <w:szCs w:val="24"/>
          <w:lang w:val="bs-Latn-BA"/>
        </w:rPr>
        <w:t xml:space="preserve"> </w:t>
      </w:r>
      <w:r>
        <w:rPr>
          <w:rFonts w:ascii="Times New Roman" w:hAnsi="Times New Roman"/>
          <w:szCs w:val="24"/>
          <w:lang w:val="bs-Latn-BA"/>
        </w:rPr>
        <w:t>запошљавања</w:t>
      </w:r>
      <w:r w:rsidR="00D256F6" w:rsidRPr="00295637">
        <w:rPr>
          <w:rFonts w:ascii="Times New Roman" w:hAnsi="Times New Roman"/>
          <w:szCs w:val="24"/>
          <w:lang w:val="bs-Latn-BA"/>
        </w:rPr>
        <w:t xml:space="preserve">, </w:t>
      </w:r>
      <w:r>
        <w:rPr>
          <w:rFonts w:ascii="Times New Roman" w:hAnsi="Times New Roman"/>
          <w:szCs w:val="24"/>
          <w:lang w:val="bs-Latn-BA"/>
        </w:rPr>
        <w:t>у</w:t>
      </w:r>
      <w:r w:rsidR="00D256F6" w:rsidRPr="00295637">
        <w:rPr>
          <w:rFonts w:ascii="Times New Roman" w:hAnsi="Times New Roman"/>
          <w:szCs w:val="24"/>
          <w:lang w:val="bs-Latn-BA"/>
        </w:rPr>
        <w:t xml:space="preserve"> 2024. </w:t>
      </w:r>
      <w:r>
        <w:rPr>
          <w:rFonts w:ascii="Times New Roman" w:hAnsi="Times New Roman"/>
          <w:szCs w:val="24"/>
          <w:lang w:val="bs-Latn-BA"/>
        </w:rPr>
        <w:t>години</w:t>
      </w:r>
      <w:r w:rsidR="00D256F6" w:rsidRPr="00295637">
        <w:rPr>
          <w:rFonts w:ascii="Times New Roman" w:hAnsi="Times New Roman"/>
          <w:szCs w:val="24"/>
          <w:lang w:val="bs-Latn-BA"/>
        </w:rPr>
        <w:t xml:space="preserve"> </w:t>
      </w:r>
      <w:r>
        <w:rPr>
          <w:rFonts w:ascii="Times New Roman" w:hAnsi="Times New Roman"/>
          <w:szCs w:val="24"/>
          <w:lang w:val="bs-Latn-BA"/>
        </w:rPr>
        <w:t>запослено</w:t>
      </w:r>
      <w:r w:rsidR="00D256F6" w:rsidRPr="00295637">
        <w:rPr>
          <w:rFonts w:ascii="Times New Roman" w:hAnsi="Times New Roman"/>
          <w:szCs w:val="24"/>
          <w:lang w:val="bs-Latn-BA"/>
        </w:rPr>
        <w:t xml:space="preserve"> </w:t>
      </w:r>
      <w:r>
        <w:rPr>
          <w:rFonts w:ascii="Times New Roman" w:hAnsi="Times New Roman"/>
          <w:szCs w:val="24"/>
          <w:lang w:val="bs-Latn-BA"/>
        </w:rPr>
        <w:t>је</w:t>
      </w:r>
      <w:r w:rsidR="00D256F6" w:rsidRPr="00295637">
        <w:rPr>
          <w:rFonts w:ascii="Times New Roman" w:hAnsi="Times New Roman"/>
          <w:szCs w:val="24"/>
          <w:lang w:val="bs-Latn-BA"/>
        </w:rPr>
        <w:t xml:space="preserve"> 6.540 </w:t>
      </w:r>
      <w:r>
        <w:rPr>
          <w:rFonts w:ascii="Times New Roman" w:hAnsi="Times New Roman"/>
          <w:szCs w:val="24"/>
          <w:lang w:val="bs-Latn-BA"/>
        </w:rPr>
        <w:t>жена</w:t>
      </w:r>
      <w:r w:rsidR="00D256F6" w:rsidRPr="00295637">
        <w:rPr>
          <w:rFonts w:ascii="Times New Roman" w:hAnsi="Times New Roman"/>
          <w:szCs w:val="24"/>
          <w:lang w:val="bs-Latn-BA"/>
        </w:rPr>
        <w:t xml:space="preserve">, </w:t>
      </w:r>
      <w:r>
        <w:rPr>
          <w:rFonts w:ascii="Times New Roman" w:hAnsi="Times New Roman"/>
          <w:szCs w:val="24"/>
          <w:lang w:val="bs-Latn-BA"/>
        </w:rPr>
        <w:t>што</w:t>
      </w:r>
      <w:r w:rsidR="00D256F6" w:rsidRPr="00295637">
        <w:rPr>
          <w:rFonts w:ascii="Times New Roman" w:hAnsi="Times New Roman"/>
          <w:szCs w:val="24"/>
          <w:lang w:val="bs-Latn-BA"/>
        </w:rPr>
        <w:t xml:space="preserve"> </w:t>
      </w:r>
      <w:r>
        <w:rPr>
          <w:rFonts w:ascii="Times New Roman" w:hAnsi="Times New Roman"/>
          <w:szCs w:val="24"/>
          <w:lang w:val="bs-Latn-BA"/>
        </w:rPr>
        <w:t>чини</w:t>
      </w:r>
      <w:r w:rsidR="00D256F6" w:rsidRPr="00295637">
        <w:rPr>
          <w:rFonts w:ascii="Times New Roman" w:hAnsi="Times New Roman"/>
          <w:szCs w:val="24"/>
          <w:lang w:val="bs-Latn-BA"/>
        </w:rPr>
        <w:t xml:space="preserve"> 56% </w:t>
      </w:r>
      <w:r>
        <w:rPr>
          <w:rFonts w:ascii="Times New Roman" w:hAnsi="Times New Roman"/>
          <w:szCs w:val="24"/>
          <w:lang w:val="bs-Latn-BA"/>
        </w:rPr>
        <w:t>укупно</w:t>
      </w:r>
      <w:r w:rsidR="00D256F6" w:rsidRPr="00295637">
        <w:rPr>
          <w:rFonts w:ascii="Times New Roman" w:hAnsi="Times New Roman"/>
          <w:szCs w:val="24"/>
          <w:lang w:val="bs-Latn-BA"/>
        </w:rPr>
        <w:t xml:space="preserve"> </w:t>
      </w:r>
      <w:r>
        <w:rPr>
          <w:rFonts w:ascii="Times New Roman" w:hAnsi="Times New Roman"/>
          <w:szCs w:val="24"/>
          <w:lang w:val="bs-Latn-BA"/>
        </w:rPr>
        <w:t>запослених</w:t>
      </w:r>
      <w:r w:rsidR="00D256F6" w:rsidRPr="00295637">
        <w:rPr>
          <w:rFonts w:ascii="Times New Roman" w:hAnsi="Times New Roman"/>
          <w:szCs w:val="24"/>
          <w:lang w:val="bs-Latn-BA"/>
        </w:rPr>
        <w:t xml:space="preserve"> </w:t>
      </w:r>
      <w:r>
        <w:rPr>
          <w:rFonts w:ascii="Times New Roman" w:hAnsi="Times New Roman"/>
          <w:szCs w:val="24"/>
          <w:lang w:val="bs-Latn-BA"/>
        </w:rPr>
        <w:t>путем</w:t>
      </w:r>
      <w:r w:rsidR="00D256F6" w:rsidRPr="00295637">
        <w:rPr>
          <w:rFonts w:ascii="Times New Roman" w:hAnsi="Times New Roman"/>
          <w:szCs w:val="24"/>
          <w:lang w:val="bs-Latn-BA"/>
        </w:rPr>
        <w:t xml:space="preserve"> </w:t>
      </w:r>
      <w:r>
        <w:rPr>
          <w:rFonts w:ascii="Times New Roman" w:hAnsi="Times New Roman"/>
          <w:szCs w:val="24"/>
          <w:lang w:val="bs-Latn-BA"/>
        </w:rPr>
        <w:t>ових</w:t>
      </w:r>
      <w:r w:rsidR="00D256F6" w:rsidRPr="00295637">
        <w:rPr>
          <w:rFonts w:ascii="Times New Roman" w:hAnsi="Times New Roman"/>
          <w:szCs w:val="24"/>
          <w:lang w:val="bs-Latn-BA"/>
        </w:rPr>
        <w:t xml:space="preserve"> </w:t>
      </w:r>
      <w:r>
        <w:rPr>
          <w:rFonts w:ascii="Times New Roman" w:hAnsi="Times New Roman"/>
          <w:szCs w:val="24"/>
          <w:lang w:val="bs-Latn-BA"/>
        </w:rPr>
        <w:t>мјера</w:t>
      </w:r>
      <w:r w:rsidR="00D256F6" w:rsidRPr="00295637">
        <w:rPr>
          <w:rFonts w:ascii="Times New Roman" w:hAnsi="Times New Roman"/>
          <w:szCs w:val="24"/>
          <w:lang w:val="bs-Latn-BA"/>
        </w:rPr>
        <w:t xml:space="preserve">. </w:t>
      </w:r>
      <w:r>
        <w:rPr>
          <w:rFonts w:ascii="Times New Roman" w:hAnsi="Times New Roman"/>
          <w:szCs w:val="24"/>
          <w:lang w:val="bs-Latn-BA"/>
        </w:rPr>
        <w:t>Додатно</w:t>
      </w:r>
      <w:r w:rsidR="00D256F6" w:rsidRPr="00295637">
        <w:rPr>
          <w:rFonts w:ascii="Times New Roman" w:hAnsi="Times New Roman"/>
          <w:szCs w:val="24"/>
          <w:lang w:val="bs-Latn-BA"/>
        </w:rPr>
        <w:t xml:space="preserve">, </w:t>
      </w:r>
      <w:r>
        <w:rPr>
          <w:rFonts w:ascii="Times New Roman" w:hAnsi="Times New Roman"/>
          <w:szCs w:val="24"/>
          <w:lang w:val="bs-Latn-BA"/>
        </w:rPr>
        <w:t>грант</w:t>
      </w:r>
      <w:r w:rsidR="00D256F6" w:rsidRPr="00295637">
        <w:rPr>
          <w:rFonts w:ascii="Times New Roman" w:hAnsi="Times New Roman"/>
          <w:szCs w:val="24"/>
          <w:lang w:val="bs-Latn-BA"/>
        </w:rPr>
        <w:t xml:space="preserve"> </w:t>
      </w:r>
      <w:r>
        <w:rPr>
          <w:rFonts w:ascii="Times New Roman" w:hAnsi="Times New Roman"/>
          <w:szCs w:val="24"/>
          <w:lang w:val="bs-Latn-BA"/>
        </w:rPr>
        <w:t>средства</w:t>
      </w:r>
      <w:r w:rsidR="00D256F6" w:rsidRPr="00295637">
        <w:rPr>
          <w:rFonts w:ascii="Times New Roman" w:hAnsi="Times New Roman"/>
          <w:szCs w:val="24"/>
          <w:lang w:val="bs-Latn-BA"/>
        </w:rPr>
        <w:t xml:space="preserve"> </w:t>
      </w:r>
      <w:r>
        <w:rPr>
          <w:rFonts w:ascii="Times New Roman" w:hAnsi="Times New Roman"/>
          <w:szCs w:val="24"/>
          <w:lang w:val="bs-Latn-BA"/>
        </w:rPr>
        <w:t>додијељена</w:t>
      </w:r>
      <w:r w:rsidR="00D256F6" w:rsidRPr="00295637">
        <w:rPr>
          <w:rFonts w:ascii="Times New Roman" w:hAnsi="Times New Roman"/>
          <w:szCs w:val="24"/>
          <w:lang w:val="bs-Latn-BA"/>
        </w:rPr>
        <w:t xml:space="preserve"> </w:t>
      </w:r>
      <w:r>
        <w:rPr>
          <w:rFonts w:ascii="Times New Roman" w:hAnsi="Times New Roman"/>
          <w:szCs w:val="24"/>
          <w:lang w:val="bs-Latn-BA"/>
        </w:rPr>
        <w:t>су</w:t>
      </w:r>
      <w:r w:rsidR="00D256F6" w:rsidRPr="00295637">
        <w:rPr>
          <w:rFonts w:ascii="Times New Roman" w:hAnsi="Times New Roman"/>
          <w:szCs w:val="24"/>
          <w:lang w:val="bs-Latn-BA"/>
        </w:rPr>
        <w:t xml:space="preserve"> </w:t>
      </w:r>
      <w:r>
        <w:rPr>
          <w:rFonts w:ascii="Times New Roman" w:hAnsi="Times New Roman"/>
          <w:szCs w:val="24"/>
          <w:lang w:val="bs-Latn-BA"/>
        </w:rPr>
        <w:t>за</w:t>
      </w:r>
      <w:r w:rsidR="00D256F6" w:rsidRPr="00295637">
        <w:rPr>
          <w:rFonts w:ascii="Times New Roman" w:hAnsi="Times New Roman"/>
          <w:szCs w:val="24"/>
          <w:lang w:val="bs-Latn-BA"/>
        </w:rPr>
        <w:t xml:space="preserve"> 50 </w:t>
      </w:r>
      <w:r>
        <w:rPr>
          <w:rFonts w:ascii="Times New Roman" w:hAnsi="Times New Roman"/>
          <w:szCs w:val="24"/>
          <w:lang w:val="bs-Latn-BA"/>
        </w:rPr>
        <w:t>компанија</w:t>
      </w:r>
      <w:r w:rsidR="00D256F6" w:rsidRPr="00295637">
        <w:rPr>
          <w:rFonts w:ascii="Times New Roman" w:hAnsi="Times New Roman"/>
          <w:szCs w:val="24"/>
          <w:lang w:val="bs-Latn-BA"/>
        </w:rPr>
        <w:t xml:space="preserve"> </w:t>
      </w:r>
      <w:r>
        <w:rPr>
          <w:rFonts w:ascii="Times New Roman" w:hAnsi="Times New Roman"/>
          <w:szCs w:val="24"/>
          <w:lang w:val="bs-Latn-BA"/>
        </w:rPr>
        <w:t>у</w:t>
      </w:r>
      <w:r w:rsidR="00D256F6" w:rsidRPr="00295637">
        <w:rPr>
          <w:rFonts w:ascii="Times New Roman" w:hAnsi="Times New Roman"/>
          <w:szCs w:val="24"/>
          <w:lang w:val="bs-Latn-BA"/>
        </w:rPr>
        <w:t xml:space="preserve"> </w:t>
      </w:r>
      <w:r>
        <w:rPr>
          <w:rFonts w:ascii="Times New Roman" w:hAnsi="Times New Roman"/>
          <w:szCs w:val="24"/>
          <w:lang w:val="bs-Latn-BA"/>
        </w:rPr>
        <w:t>власништву</w:t>
      </w:r>
      <w:r w:rsidR="00D256F6" w:rsidRPr="00295637">
        <w:rPr>
          <w:rFonts w:ascii="Times New Roman" w:hAnsi="Times New Roman"/>
          <w:szCs w:val="24"/>
          <w:lang w:val="bs-Latn-BA"/>
        </w:rPr>
        <w:t xml:space="preserve"> </w:t>
      </w:r>
      <w:r>
        <w:rPr>
          <w:rFonts w:ascii="Times New Roman" w:hAnsi="Times New Roman"/>
          <w:szCs w:val="24"/>
          <w:lang w:val="bs-Latn-BA"/>
        </w:rPr>
        <w:t>жена</w:t>
      </w:r>
      <w:r w:rsidR="00D256F6" w:rsidRPr="00295637">
        <w:rPr>
          <w:rFonts w:ascii="Times New Roman" w:hAnsi="Times New Roman"/>
          <w:szCs w:val="24"/>
          <w:lang w:val="bs-Latn-BA"/>
        </w:rPr>
        <w:t xml:space="preserve">, </w:t>
      </w:r>
      <w:r>
        <w:rPr>
          <w:rFonts w:ascii="Times New Roman" w:hAnsi="Times New Roman"/>
          <w:szCs w:val="24"/>
          <w:lang w:val="bs-Latn-BA"/>
        </w:rPr>
        <w:t>док</w:t>
      </w:r>
      <w:r w:rsidR="00D256F6" w:rsidRPr="00295637">
        <w:rPr>
          <w:rFonts w:ascii="Times New Roman" w:hAnsi="Times New Roman"/>
          <w:szCs w:val="24"/>
          <w:lang w:val="bs-Latn-BA"/>
        </w:rPr>
        <w:t xml:space="preserve"> </w:t>
      </w:r>
      <w:r>
        <w:rPr>
          <w:rFonts w:ascii="Times New Roman" w:hAnsi="Times New Roman"/>
          <w:szCs w:val="24"/>
          <w:lang w:val="bs-Latn-BA"/>
        </w:rPr>
        <w:t>је</w:t>
      </w:r>
      <w:r w:rsidR="00D256F6" w:rsidRPr="00295637">
        <w:rPr>
          <w:rFonts w:ascii="Times New Roman" w:hAnsi="Times New Roman"/>
          <w:szCs w:val="24"/>
          <w:lang w:val="bs-Latn-BA"/>
        </w:rPr>
        <w:t xml:space="preserve"> </w:t>
      </w:r>
      <w:r>
        <w:rPr>
          <w:rFonts w:ascii="Times New Roman" w:hAnsi="Times New Roman"/>
          <w:szCs w:val="24"/>
          <w:lang w:val="bs-Latn-BA"/>
        </w:rPr>
        <w:t>подржано</w:t>
      </w:r>
      <w:r w:rsidR="00D256F6" w:rsidRPr="00295637">
        <w:rPr>
          <w:rFonts w:ascii="Times New Roman" w:hAnsi="Times New Roman"/>
          <w:szCs w:val="24"/>
          <w:lang w:val="bs-Latn-BA"/>
        </w:rPr>
        <w:t xml:space="preserve"> </w:t>
      </w:r>
      <w:r>
        <w:rPr>
          <w:rFonts w:ascii="Times New Roman" w:hAnsi="Times New Roman"/>
          <w:szCs w:val="24"/>
          <w:lang w:val="bs-Latn-BA"/>
        </w:rPr>
        <w:t>оснивање</w:t>
      </w:r>
      <w:r w:rsidR="00D256F6" w:rsidRPr="00295637">
        <w:rPr>
          <w:rFonts w:ascii="Times New Roman" w:hAnsi="Times New Roman"/>
          <w:szCs w:val="24"/>
          <w:lang w:val="bs-Latn-BA"/>
        </w:rPr>
        <w:t xml:space="preserve"> 13 </w:t>
      </w:r>
      <w:r>
        <w:rPr>
          <w:rFonts w:ascii="Times New Roman" w:hAnsi="Times New Roman"/>
          <w:szCs w:val="24"/>
          <w:lang w:val="bs-Latn-BA"/>
        </w:rPr>
        <w:t>нових</w:t>
      </w:r>
      <w:r w:rsidR="00D256F6" w:rsidRPr="00295637">
        <w:rPr>
          <w:rFonts w:ascii="Times New Roman" w:hAnsi="Times New Roman"/>
          <w:szCs w:val="24"/>
          <w:lang w:val="bs-Latn-BA"/>
        </w:rPr>
        <w:t xml:space="preserve"> </w:t>
      </w:r>
      <w:r>
        <w:rPr>
          <w:rFonts w:ascii="Times New Roman" w:hAnsi="Times New Roman"/>
          <w:szCs w:val="24"/>
          <w:lang w:val="bs-Latn-BA"/>
        </w:rPr>
        <w:t>женских</w:t>
      </w:r>
      <w:r w:rsidR="00D256F6" w:rsidRPr="00295637">
        <w:rPr>
          <w:rFonts w:ascii="Times New Roman" w:hAnsi="Times New Roman"/>
          <w:szCs w:val="24"/>
          <w:lang w:val="bs-Latn-BA"/>
        </w:rPr>
        <w:t xml:space="preserve"> </w:t>
      </w:r>
      <w:r>
        <w:rPr>
          <w:rFonts w:ascii="Times New Roman" w:hAnsi="Times New Roman"/>
          <w:szCs w:val="24"/>
          <w:lang w:val="bs-Latn-BA"/>
        </w:rPr>
        <w:t>бизниса</w:t>
      </w:r>
      <w:r w:rsidR="00D256F6" w:rsidRPr="00295637">
        <w:rPr>
          <w:rFonts w:ascii="Times New Roman" w:hAnsi="Times New Roman"/>
          <w:szCs w:val="24"/>
          <w:lang w:val="bs-Latn-BA"/>
        </w:rPr>
        <w:t>.</w:t>
      </w:r>
    </w:p>
    <w:p w:rsidR="00650D2E" w:rsidRPr="00295637" w:rsidRDefault="00650D2E" w:rsidP="0086268D">
      <w:pPr>
        <w:jc w:val="both"/>
        <w:rPr>
          <w:rFonts w:ascii="Times New Roman" w:hAnsi="Times New Roman"/>
          <w:b/>
          <w:szCs w:val="24"/>
          <w:lang w:val="bs-Latn-BA"/>
        </w:rPr>
      </w:pPr>
    </w:p>
    <w:p w:rsidR="00077F23" w:rsidRPr="00295637" w:rsidRDefault="00C6214E" w:rsidP="0086268D">
      <w:pPr>
        <w:pStyle w:val="ListParagraph"/>
        <w:ind w:left="0"/>
        <w:jc w:val="both"/>
        <w:rPr>
          <w:rFonts w:ascii="Times New Roman" w:hAnsi="Times New Roman"/>
          <w:szCs w:val="24"/>
          <w:lang w:val="bs-Latn-BA"/>
        </w:rPr>
      </w:pPr>
      <w:r>
        <w:rPr>
          <w:rFonts w:ascii="Times New Roman" w:hAnsi="Times New Roman"/>
          <w:lang w:val="sr-Latn-BA"/>
        </w:rPr>
        <w:t>Статистички</w:t>
      </w:r>
      <w:r w:rsidR="00077F23" w:rsidRPr="00295637">
        <w:rPr>
          <w:rFonts w:ascii="Times New Roman" w:hAnsi="Times New Roman"/>
          <w:lang w:val="sr-Latn-BA"/>
        </w:rPr>
        <w:t xml:space="preserve"> </w:t>
      </w:r>
      <w:r>
        <w:rPr>
          <w:rFonts w:ascii="Times New Roman" w:hAnsi="Times New Roman"/>
          <w:lang w:val="sr-Latn-BA"/>
        </w:rPr>
        <w:t>билтени</w:t>
      </w:r>
      <w:r w:rsidR="00077F23" w:rsidRPr="00295637">
        <w:rPr>
          <w:rFonts w:ascii="Times New Roman" w:hAnsi="Times New Roman"/>
          <w:lang w:val="sr-Latn-BA"/>
        </w:rPr>
        <w:t xml:space="preserve"> „</w:t>
      </w:r>
      <w:r>
        <w:rPr>
          <w:rFonts w:ascii="Times New Roman" w:hAnsi="Times New Roman"/>
          <w:lang w:val="sr-Latn-BA"/>
        </w:rPr>
        <w:t>Жене</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мушкарци</w:t>
      </w:r>
      <w:r w:rsidR="00077F23" w:rsidRPr="00295637">
        <w:rPr>
          <w:rFonts w:ascii="Times New Roman" w:hAnsi="Times New Roman"/>
          <w:lang w:val="sr-Latn-BA"/>
        </w:rPr>
        <w:t xml:space="preserve"> </w:t>
      </w: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Републици</w:t>
      </w:r>
      <w:r w:rsidR="00077F23" w:rsidRPr="00295637">
        <w:rPr>
          <w:rFonts w:ascii="Times New Roman" w:hAnsi="Times New Roman"/>
          <w:lang w:val="sr-Latn-BA"/>
        </w:rPr>
        <w:t xml:space="preserve"> </w:t>
      </w:r>
      <w:r>
        <w:rPr>
          <w:rFonts w:ascii="Times New Roman" w:hAnsi="Times New Roman"/>
          <w:lang w:val="sr-Latn-BA"/>
        </w:rPr>
        <w:t>Српској</w:t>
      </w:r>
      <w:r w:rsidR="00077F23" w:rsidRPr="00295637">
        <w:rPr>
          <w:rFonts w:ascii="Times New Roman" w:hAnsi="Times New Roman"/>
          <w:lang w:val="sr-Latn-BA"/>
        </w:rPr>
        <w:t>“</w:t>
      </w:r>
      <w:r w:rsidR="00D64798">
        <w:rPr>
          <w:rFonts w:ascii="Times New Roman" w:hAnsi="Times New Roman"/>
          <w:lang w:val="sr-Latn-BA"/>
        </w:rPr>
        <w:t xml:space="preserve"> </w:t>
      </w:r>
      <w:r>
        <w:rPr>
          <w:rFonts w:ascii="Times New Roman" w:hAnsi="Times New Roman"/>
          <w:lang w:val="sr-Latn-BA"/>
        </w:rPr>
        <w:t>и</w:t>
      </w:r>
      <w:r w:rsidR="00D64798">
        <w:rPr>
          <w:rFonts w:ascii="Times New Roman" w:hAnsi="Times New Roman"/>
          <w:lang w:val="sr-Latn-BA"/>
        </w:rPr>
        <w:t xml:space="preserve"> „</w:t>
      </w:r>
      <w:r>
        <w:rPr>
          <w:rFonts w:ascii="Times New Roman" w:hAnsi="Times New Roman"/>
          <w:lang w:val="sr-Latn-BA"/>
        </w:rPr>
        <w:t>Жене</w:t>
      </w:r>
      <w:r w:rsidR="00D64798">
        <w:rPr>
          <w:rFonts w:ascii="Times New Roman" w:hAnsi="Times New Roman"/>
          <w:lang w:val="sr-Latn-BA"/>
        </w:rPr>
        <w:t xml:space="preserve"> </w:t>
      </w:r>
      <w:r>
        <w:rPr>
          <w:rFonts w:ascii="Times New Roman" w:hAnsi="Times New Roman"/>
          <w:lang w:val="sr-Latn-BA"/>
        </w:rPr>
        <w:t>и</w:t>
      </w:r>
      <w:r w:rsidR="00D64798">
        <w:rPr>
          <w:rFonts w:ascii="Times New Roman" w:hAnsi="Times New Roman"/>
          <w:lang w:val="sr-Latn-BA"/>
        </w:rPr>
        <w:t xml:space="preserve"> </w:t>
      </w:r>
      <w:r>
        <w:rPr>
          <w:rFonts w:ascii="Times New Roman" w:hAnsi="Times New Roman"/>
          <w:lang w:val="sr-Latn-BA"/>
        </w:rPr>
        <w:t>мушкарци</w:t>
      </w:r>
      <w:r w:rsidR="00D64798">
        <w:rPr>
          <w:rFonts w:ascii="Times New Roman" w:hAnsi="Times New Roman"/>
          <w:lang w:val="sr-Latn-BA"/>
        </w:rPr>
        <w:t xml:space="preserve"> </w:t>
      </w:r>
      <w:r>
        <w:rPr>
          <w:rFonts w:ascii="Times New Roman" w:hAnsi="Times New Roman"/>
          <w:lang w:val="sr-Latn-BA"/>
        </w:rPr>
        <w:t>у</w:t>
      </w:r>
      <w:r w:rsidR="00D64798">
        <w:rPr>
          <w:rFonts w:ascii="Times New Roman" w:hAnsi="Times New Roman"/>
          <w:lang w:val="sr-Latn-BA"/>
        </w:rPr>
        <w:t xml:space="preserve"> </w:t>
      </w:r>
      <w:r>
        <w:rPr>
          <w:rFonts w:ascii="Times New Roman" w:hAnsi="Times New Roman"/>
          <w:lang w:val="sr-Latn-BA"/>
        </w:rPr>
        <w:t>Федерацији</w:t>
      </w:r>
      <w:r w:rsidR="00D64798">
        <w:rPr>
          <w:rFonts w:ascii="Times New Roman" w:hAnsi="Times New Roman"/>
          <w:lang w:val="sr-Latn-BA"/>
        </w:rPr>
        <w:t xml:space="preserve"> </w:t>
      </w:r>
      <w:r>
        <w:rPr>
          <w:rFonts w:ascii="Times New Roman" w:hAnsi="Times New Roman"/>
          <w:lang w:val="sr-Latn-BA"/>
        </w:rPr>
        <w:t>Босне</w:t>
      </w:r>
      <w:r w:rsidR="00D64798">
        <w:rPr>
          <w:rFonts w:ascii="Times New Roman" w:hAnsi="Times New Roman"/>
          <w:lang w:val="sr-Latn-BA"/>
        </w:rPr>
        <w:t xml:space="preserve"> </w:t>
      </w:r>
      <w:r>
        <w:rPr>
          <w:rFonts w:ascii="Times New Roman" w:hAnsi="Times New Roman"/>
          <w:lang w:val="sr-Latn-BA"/>
        </w:rPr>
        <w:t>и</w:t>
      </w:r>
      <w:r w:rsidR="00D64798">
        <w:rPr>
          <w:rFonts w:ascii="Times New Roman" w:hAnsi="Times New Roman"/>
          <w:lang w:val="sr-Latn-BA"/>
        </w:rPr>
        <w:t xml:space="preserve"> </w:t>
      </w:r>
      <w:r>
        <w:rPr>
          <w:rFonts w:ascii="Times New Roman" w:hAnsi="Times New Roman"/>
          <w:lang w:val="sr-Latn-BA"/>
        </w:rPr>
        <w:t>Херцеговине</w:t>
      </w:r>
      <w:r w:rsidR="00D64798">
        <w:rPr>
          <w:rFonts w:ascii="Times New Roman" w:hAnsi="Times New Roman"/>
          <w:lang w:val="sr-Latn-BA"/>
        </w:rPr>
        <w:t>“</w:t>
      </w:r>
      <w:r w:rsidR="00077F23" w:rsidRPr="00295637">
        <w:rPr>
          <w:rFonts w:ascii="Times New Roman" w:hAnsi="Times New Roman"/>
          <w:lang w:val="sr-Latn-BA"/>
        </w:rPr>
        <w:t xml:space="preserve">, </w:t>
      </w: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поглављу</w:t>
      </w:r>
      <w:r w:rsidR="00077F23" w:rsidRPr="00295637">
        <w:rPr>
          <w:rFonts w:ascii="Times New Roman" w:hAnsi="Times New Roman"/>
          <w:lang w:val="sr-Latn-BA"/>
        </w:rPr>
        <w:t xml:space="preserve"> „</w:t>
      </w:r>
      <w:r>
        <w:rPr>
          <w:rFonts w:ascii="Times New Roman" w:hAnsi="Times New Roman"/>
          <w:lang w:val="sr-Latn-BA"/>
        </w:rPr>
        <w:t>Запосленост</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незапосленост</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Власт</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утицај</w:t>
      </w:r>
      <w:r w:rsidR="00077F23" w:rsidRPr="00295637">
        <w:rPr>
          <w:rFonts w:ascii="Times New Roman" w:hAnsi="Times New Roman"/>
          <w:lang w:val="sr-Latn-BA"/>
        </w:rPr>
        <w:t xml:space="preserve">“, </w:t>
      </w:r>
      <w:r>
        <w:rPr>
          <w:rFonts w:ascii="Times New Roman" w:hAnsi="Times New Roman"/>
          <w:lang w:val="sr-Latn-BA"/>
        </w:rPr>
        <w:t>сваке</w:t>
      </w:r>
      <w:r w:rsidR="00077F23" w:rsidRPr="00295637">
        <w:rPr>
          <w:rFonts w:ascii="Times New Roman" w:hAnsi="Times New Roman"/>
          <w:lang w:val="sr-Latn-BA"/>
        </w:rPr>
        <w:t xml:space="preserve"> </w:t>
      </w:r>
      <w:r>
        <w:rPr>
          <w:rFonts w:ascii="Times New Roman" w:hAnsi="Times New Roman"/>
          <w:lang w:val="sr-Latn-BA"/>
        </w:rPr>
        <w:t>двије</w:t>
      </w:r>
      <w:r w:rsidR="00077F23" w:rsidRPr="00295637">
        <w:rPr>
          <w:rFonts w:ascii="Times New Roman" w:hAnsi="Times New Roman"/>
          <w:lang w:val="sr-Latn-BA"/>
        </w:rPr>
        <w:t xml:space="preserve"> </w:t>
      </w:r>
      <w:r>
        <w:rPr>
          <w:rFonts w:ascii="Times New Roman" w:hAnsi="Times New Roman"/>
          <w:lang w:val="sr-Latn-BA"/>
        </w:rPr>
        <w:t>године</w:t>
      </w:r>
      <w:r w:rsidR="00077F23" w:rsidRPr="00295637">
        <w:rPr>
          <w:rFonts w:ascii="Times New Roman" w:hAnsi="Times New Roman"/>
          <w:lang w:val="sr-Latn-BA"/>
        </w:rPr>
        <w:t xml:space="preserve"> </w:t>
      </w:r>
      <w:r>
        <w:rPr>
          <w:rFonts w:ascii="Times New Roman" w:hAnsi="Times New Roman"/>
          <w:lang w:val="sr-Latn-BA"/>
        </w:rPr>
        <w:t>публи</w:t>
      </w:r>
      <w:r w:rsidR="00F82DDB">
        <w:rPr>
          <w:rFonts w:ascii="Times New Roman" w:hAnsi="Times New Roman"/>
          <w:lang w:val="sr-Cyrl-BA"/>
        </w:rPr>
        <w:t>кује</w:t>
      </w:r>
      <w:r w:rsidR="00077F23" w:rsidRPr="00295637">
        <w:rPr>
          <w:rFonts w:ascii="Times New Roman" w:hAnsi="Times New Roman"/>
          <w:lang w:val="sr-Latn-BA"/>
        </w:rPr>
        <w:t xml:space="preserve"> </w:t>
      </w:r>
      <w:r>
        <w:rPr>
          <w:rFonts w:ascii="Times New Roman" w:hAnsi="Times New Roman"/>
          <w:lang w:val="sr-Latn-BA"/>
        </w:rPr>
        <w:t>податке</w:t>
      </w:r>
      <w:r w:rsidR="00077F23" w:rsidRPr="00295637">
        <w:rPr>
          <w:rFonts w:ascii="Times New Roman" w:hAnsi="Times New Roman"/>
          <w:lang w:val="sr-Latn-BA"/>
        </w:rPr>
        <w:t xml:space="preserve"> </w:t>
      </w:r>
      <w:r>
        <w:rPr>
          <w:rFonts w:ascii="Times New Roman" w:hAnsi="Times New Roman"/>
          <w:lang w:val="sr-Latn-BA"/>
        </w:rPr>
        <w:t>разврстане</w:t>
      </w:r>
      <w:r w:rsidR="00077F23" w:rsidRPr="00295637">
        <w:rPr>
          <w:rFonts w:ascii="Times New Roman" w:hAnsi="Times New Roman"/>
          <w:lang w:val="sr-Latn-BA"/>
        </w:rPr>
        <w:t xml:space="preserve"> </w:t>
      </w:r>
      <w:r>
        <w:rPr>
          <w:rFonts w:ascii="Times New Roman" w:hAnsi="Times New Roman"/>
          <w:lang w:val="sr-Latn-BA"/>
        </w:rPr>
        <w:t>по</w:t>
      </w:r>
      <w:r w:rsidR="00077F23" w:rsidRPr="00295637">
        <w:rPr>
          <w:rFonts w:ascii="Times New Roman" w:hAnsi="Times New Roman"/>
          <w:lang w:val="sr-Latn-BA"/>
        </w:rPr>
        <w:t xml:space="preserve"> </w:t>
      </w:r>
      <w:r>
        <w:rPr>
          <w:rFonts w:ascii="Times New Roman" w:hAnsi="Times New Roman"/>
          <w:lang w:val="sr-Latn-BA"/>
        </w:rPr>
        <w:t>полу</w:t>
      </w:r>
      <w:r w:rsidR="00077F23" w:rsidRPr="00295637">
        <w:rPr>
          <w:rFonts w:ascii="Times New Roman" w:hAnsi="Times New Roman"/>
          <w:lang w:val="sr-Latn-BA"/>
        </w:rPr>
        <w:t xml:space="preserve"> </w:t>
      </w:r>
      <w:r>
        <w:rPr>
          <w:rFonts w:ascii="Times New Roman" w:hAnsi="Times New Roman"/>
          <w:lang w:val="sr-Latn-BA"/>
        </w:rPr>
        <w:t>о</w:t>
      </w:r>
      <w:r w:rsidR="00077F23" w:rsidRPr="00295637">
        <w:rPr>
          <w:rFonts w:ascii="Times New Roman" w:hAnsi="Times New Roman"/>
          <w:lang w:val="sr-Latn-BA"/>
        </w:rPr>
        <w:t xml:space="preserve"> </w:t>
      </w:r>
      <w:r>
        <w:rPr>
          <w:rFonts w:ascii="Times New Roman" w:hAnsi="Times New Roman"/>
          <w:lang w:val="sr-Latn-BA"/>
        </w:rPr>
        <w:t>подацима</w:t>
      </w:r>
      <w:r w:rsidR="00077F23" w:rsidRPr="00295637">
        <w:rPr>
          <w:rFonts w:ascii="Times New Roman" w:hAnsi="Times New Roman"/>
          <w:lang w:val="sr-Latn-BA"/>
        </w:rPr>
        <w:t xml:space="preserve"> </w:t>
      </w:r>
      <w:r>
        <w:rPr>
          <w:rFonts w:ascii="Times New Roman" w:hAnsi="Times New Roman"/>
          <w:lang w:val="sr-Latn-BA"/>
        </w:rPr>
        <w:t>из</w:t>
      </w:r>
      <w:r w:rsidR="00077F23" w:rsidRPr="00295637">
        <w:rPr>
          <w:rFonts w:ascii="Times New Roman" w:hAnsi="Times New Roman"/>
          <w:lang w:val="sr-Latn-BA"/>
        </w:rPr>
        <w:t xml:space="preserve"> </w:t>
      </w:r>
      <w:r>
        <w:rPr>
          <w:rFonts w:ascii="Times New Roman" w:hAnsi="Times New Roman"/>
          <w:lang w:val="sr-Latn-BA"/>
        </w:rPr>
        <w:t>анкете</w:t>
      </w:r>
      <w:r w:rsidR="00077F23" w:rsidRPr="00295637">
        <w:rPr>
          <w:rFonts w:ascii="Times New Roman" w:hAnsi="Times New Roman"/>
          <w:lang w:val="sr-Latn-BA"/>
        </w:rPr>
        <w:t xml:space="preserve"> </w:t>
      </w:r>
      <w:r>
        <w:rPr>
          <w:rFonts w:ascii="Times New Roman" w:hAnsi="Times New Roman"/>
          <w:lang w:val="sr-Latn-BA"/>
        </w:rPr>
        <w:t>о</w:t>
      </w:r>
      <w:r w:rsidR="00077F23" w:rsidRPr="00295637">
        <w:rPr>
          <w:rFonts w:ascii="Times New Roman" w:hAnsi="Times New Roman"/>
          <w:lang w:val="sr-Latn-BA"/>
        </w:rPr>
        <w:t xml:space="preserve"> </w:t>
      </w:r>
      <w:r>
        <w:rPr>
          <w:rFonts w:ascii="Times New Roman" w:hAnsi="Times New Roman"/>
          <w:lang w:val="sr-Latn-BA"/>
        </w:rPr>
        <w:t>радној</w:t>
      </w:r>
      <w:r w:rsidR="00077F23" w:rsidRPr="00295637">
        <w:rPr>
          <w:rFonts w:ascii="Times New Roman" w:hAnsi="Times New Roman"/>
          <w:lang w:val="sr-Latn-BA"/>
        </w:rPr>
        <w:t xml:space="preserve"> </w:t>
      </w:r>
      <w:r>
        <w:rPr>
          <w:rFonts w:ascii="Times New Roman" w:hAnsi="Times New Roman"/>
          <w:lang w:val="sr-Latn-BA"/>
        </w:rPr>
        <w:t>снази</w:t>
      </w:r>
      <w:r w:rsidR="00077F23" w:rsidRPr="00295637">
        <w:rPr>
          <w:rFonts w:ascii="Times New Roman" w:hAnsi="Times New Roman"/>
          <w:lang w:val="sr-Latn-BA"/>
        </w:rPr>
        <w:t xml:space="preserve">, </w:t>
      </w:r>
      <w:r>
        <w:rPr>
          <w:rFonts w:ascii="Times New Roman" w:hAnsi="Times New Roman"/>
          <w:lang w:val="sr-Latn-BA"/>
        </w:rPr>
        <w:t>запослености</w:t>
      </w:r>
      <w:r w:rsidR="00077F23" w:rsidRPr="00295637">
        <w:rPr>
          <w:rFonts w:ascii="Times New Roman" w:hAnsi="Times New Roman"/>
          <w:lang w:val="sr-Latn-BA"/>
        </w:rPr>
        <w:t xml:space="preserve">, </w:t>
      </w:r>
      <w:r>
        <w:rPr>
          <w:rFonts w:ascii="Times New Roman" w:hAnsi="Times New Roman"/>
          <w:lang w:val="sr-Latn-BA"/>
        </w:rPr>
        <w:t>незапослености</w:t>
      </w:r>
      <w:r w:rsidR="00077F23" w:rsidRPr="00295637">
        <w:rPr>
          <w:rFonts w:ascii="Times New Roman" w:hAnsi="Times New Roman"/>
          <w:lang w:val="sr-Latn-BA"/>
        </w:rPr>
        <w:t xml:space="preserve">, </w:t>
      </w:r>
      <w:r>
        <w:rPr>
          <w:rFonts w:ascii="Times New Roman" w:hAnsi="Times New Roman"/>
          <w:lang w:val="sr-Latn-BA"/>
        </w:rPr>
        <w:t>просјечним</w:t>
      </w:r>
      <w:r w:rsidR="00077F23" w:rsidRPr="00295637">
        <w:rPr>
          <w:rFonts w:ascii="Times New Roman" w:hAnsi="Times New Roman"/>
          <w:lang w:val="sr-Latn-BA"/>
        </w:rPr>
        <w:t xml:space="preserve"> </w:t>
      </w:r>
      <w:r>
        <w:rPr>
          <w:rFonts w:ascii="Times New Roman" w:hAnsi="Times New Roman"/>
          <w:lang w:val="sr-Latn-BA"/>
        </w:rPr>
        <w:t>пла</w:t>
      </w:r>
      <w:r w:rsidR="00F82DDB">
        <w:rPr>
          <w:rFonts w:ascii="Times New Roman" w:hAnsi="Times New Roman"/>
          <w:lang w:val="sr-Cyrl-BA"/>
        </w:rPr>
        <w:t>т</w:t>
      </w:r>
      <w:r>
        <w:rPr>
          <w:rFonts w:ascii="Times New Roman" w:hAnsi="Times New Roman"/>
          <w:lang w:val="sr-Latn-BA"/>
        </w:rPr>
        <w:t>ама</w:t>
      </w:r>
      <w:r w:rsidR="00077F23" w:rsidRPr="00295637">
        <w:rPr>
          <w:rFonts w:ascii="Times New Roman" w:hAnsi="Times New Roman"/>
          <w:lang w:val="sr-Latn-BA"/>
        </w:rPr>
        <w:t xml:space="preserve"> </w:t>
      </w:r>
      <w:r>
        <w:rPr>
          <w:rFonts w:ascii="Times New Roman" w:hAnsi="Times New Roman"/>
          <w:lang w:val="sr-Latn-BA"/>
        </w:rPr>
        <w:t>по</w:t>
      </w:r>
      <w:r w:rsidR="00077F23" w:rsidRPr="00295637">
        <w:rPr>
          <w:rFonts w:ascii="Times New Roman" w:hAnsi="Times New Roman"/>
          <w:lang w:val="sr-Latn-BA"/>
        </w:rPr>
        <w:t xml:space="preserve"> </w:t>
      </w:r>
      <w:r>
        <w:rPr>
          <w:rFonts w:ascii="Times New Roman" w:hAnsi="Times New Roman"/>
          <w:lang w:val="sr-Latn-BA"/>
        </w:rPr>
        <w:t>дјелатностима</w:t>
      </w:r>
      <w:r w:rsidR="00077F23" w:rsidRPr="00295637">
        <w:rPr>
          <w:rFonts w:ascii="Times New Roman" w:hAnsi="Times New Roman"/>
          <w:lang w:val="sr-Latn-BA"/>
        </w:rPr>
        <w:t xml:space="preserve">, </w:t>
      </w:r>
      <w:r>
        <w:rPr>
          <w:rFonts w:ascii="Times New Roman" w:hAnsi="Times New Roman"/>
          <w:lang w:val="sr-Latn-BA"/>
        </w:rPr>
        <w:t>лицима</w:t>
      </w:r>
      <w:r w:rsidR="00077F23" w:rsidRPr="00295637">
        <w:rPr>
          <w:rFonts w:ascii="Times New Roman" w:hAnsi="Times New Roman"/>
          <w:lang w:val="sr-Latn-BA"/>
        </w:rPr>
        <w:t xml:space="preserve"> </w:t>
      </w:r>
      <w:r>
        <w:rPr>
          <w:rFonts w:ascii="Times New Roman" w:hAnsi="Times New Roman"/>
          <w:lang w:val="sr-Latn-BA"/>
        </w:rPr>
        <w:t>која</w:t>
      </w:r>
      <w:r w:rsidR="00077F23" w:rsidRPr="00295637">
        <w:rPr>
          <w:rFonts w:ascii="Times New Roman" w:hAnsi="Times New Roman"/>
          <w:lang w:val="sr-Latn-BA"/>
        </w:rPr>
        <w:t xml:space="preserve"> </w:t>
      </w:r>
      <w:r>
        <w:rPr>
          <w:rFonts w:ascii="Times New Roman" w:hAnsi="Times New Roman"/>
          <w:lang w:val="sr-Latn-BA"/>
        </w:rPr>
        <w:t>траже</w:t>
      </w:r>
      <w:r w:rsidR="00077F23" w:rsidRPr="00295637">
        <w:rPr>
          <w:rFonts w:ascii="Times New Roman" w:hAnsi="Times New Roman"/>
          <w:lang w:val="sr-Latn-BA"/>
        </w:rPr>
        <w:t xml:space="preserve"> </w:t>
      </w:r>
      <w:r>
        <w:rPr>
          <w:rFonts w:ascii="Times New Roman" w:hAnsi="Times New Roman"/>
          <w:lang w:val="sr-Latn-BA"/>
        </w:rPr>
        <w:t>запослење</w:t>
      </w:r>
      <w:r w:rsidR="00077F23" w:rsidRPr="00295637">
        <w:rPr>
          <w:rFonts w:ascii="Times New Roman" w:hAnsi="Times New Roman"/>
          <w:lang w:val="sr-Latn-BA"/>
        </w:rPr>
        <w:t xml:space="preserve">, </w:t>
      </w:r>
      <w:r>
        <w:rPr>
          <w:rFonts w:ascii="Times New Roman" w:hAnsi="Times New Roman"/>
          <w:lang w:val="sr-Latn-BA"/>
        </w:rPr>
        <w:t>укључујући</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лица</w:t>
      </w:r>
      <w:r w:rsidR="00163AC2">
        <w:rPr>
          <w:rFonts w:ascii="Times New Roman" w:hAnsi="Times New Roman"/>
          <w:lang w:val="sr-Latn-BA"/>
        </w:rPr>
        <w:t xml:space="preserve"> </w:t>
      </w:r>
      <w:r>
        <w:rPr>
          <w:rFonts w:ascii="Times New Roman" w:hAnsi="Times New Roman"/>
          <w:lang w:val="sr-Latn-BA"/>
        </w:rPr>
        <w:t>са</w:t>
      </w:r>
      <w:r w:rsidR="00077F23" w:rsidRPr="00295637">
        <w:rPr>
          <w:rFonts w:ascii="Times New Roman" w:hAnsi="Times New Roman"/>
          <w:lang w:val="sr-Latn-BA"/>
        </w:rPr>
        <w:t xml:space="preserve"> </w:t>
      </w:r>
      <w:r>
        <w:rPr>
          <w:rFonts w:ascii="Times New Roman" w:hAnsi="Times New Roman"/>
          <w:lang w:val="sr-Latn-BA"/>
        </w:rPr>
        <w:t>инвалидитетом</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националне</w:t>
      </w:r>
      <w:r w:rsidR="00077F23" w:rsidRPr="00295637">
        <w:rPr>
          <w:rFonts w:ascii="Times New Roman" w:hAnsi="Times New Roman"/>
          <w:lang w:val="sr-Latn-BA"/>
        </w:rPr>
        <w:t xml:space="preserve"> </w:t>
      </w:r>
      <w:r>
        <w:rPr>
          <w:rFonts w:ascii="Times New Roman" w:hAnsi="Times New Roman"/>
          <w:lang w:val="sr-Latn-BA"/>
        </w:rPr>
        <w:t>мањине</w:t>
      </w:r>
      <w:r w:rsidR="00077F23" w:rsidRPr="00295637">
        <w:rPr>
          <w:rFonts w:ascii="Times New Roman" w:hAnsi="Times New Roman"/>
          <w:lang w:val="sr-Latn-BA"/>
        </w:rPr>
        <w:t xml:space="preserve">, </w:t>
      </w:r>
      <w:r>
        <w:rPr>
          <w:rFonts w:ascii="Times New Roman" w:hAnsi="Times New Roman"/>
          <w:lang w:val="sr-Latn-BA"/>
        </w:rPr>
        <w:t>пројектима</w:t>
      </w:r>
      <w:r w:rsidR="00077F23" w:rsidRPr="00295637">
        <w:rPr>
          <w:rFonts w:ascii="Times New Roman" w:hAnsi="Times New Roman"/>
          <w:lang w:val="sr-Latn-BA"/>
        </w:rPr>
        <w:t xml:space="preserve"> </w:t>
      </w:r>
      <w:r>
        <w:rPr>
          <w:rFonts w:ascii="Times New Roman" w:hAnsi="Times New Roman"/>
          <w:lang w:val="sr-Latn-BA"/>
        </w:rPr>
        <w:t>запошљавања</w:t>
      </w:r>
      <w:r w:rsidR="00077F23" w:rsidRPr="00295637">
        <w:rPr>
          <w:rFonts w:ascii="Times New Roman" w:hAnsi="Times New Roman"/>
          <w:lang w:val="sr-Latn-BA"/>
        </w:rPr>
        <w:t xml:space="preserve"> </w:t>
      </w:r>
      <w:r>
        <w:rPr>
          <w:rFonts w:ascii="Times New Roman" w:hAnsi="Times New Roman"/>
          <w:lang w:val="sr-Latn-BA"/>
        </w:rPr>
        <w:t>приправника</w:t>
      </w:r>
      <w:r w:rsidR="00077F23" w:rsidRPr="00295637">
        <w:rPr>
          <w:rFonts w:ascii="Times New Roman" w:hAnsi="Times New Roman"/>
          <w:lang w:val="sr-Latn-BA"/>
        </w:rPr>
        <w:t xml:space="preserve">, </w:t>
      </w:r>
      <w:r>
        <w:rPr>
          <w:rFonts w:ascii="Times New Roman" w:hAnsi="Times New Roman"/>
          <w:lang w:val="sr-Latn-BA"/>
        </w:rPr>
        <w:t>као</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чланству</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одлучивању</w:t>
      </w:r>
      <w:r w:rsidR="00077F23" w:rsidRPr="00295637">
        <w:rPr>
          <w:rFonts w:ascii="Times New Roman" w:hAnsi="Times New Roman"/>
          <w:lang w:val="sr-Latn-BA"/>
        </w:rPr>
        <w:t xml:space="preserve"> </w:t>
      </w: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синдикатима</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пословним</w:t>
      </w:r>
      <w:r w:rsidR="00077F23" w:rsidRPr="00295637">
        <w:rPr>
          <w:rFonts w:ascii="Times New Roman" w:hAnsi="Times New Roman"/>
          <w:lang w:val="sr-Latn-BA"/>
        </w:rPr>
        <w:t xml:space="preserve"> </w:t>
      </w:r>
      <w:r>
        <w:rPr>
          <w:rFonts w:ascii="Times New Roman" w:hAnsi="Times New Roman"/>
          <w:lang w:val="sr-Latn-BA"/>
        </w:rPr>
        <w:t>субјектима</w:t>
      </w:r>
      <w:r w:rsidR="00077F23" w:rsidRPr="00295637">
        <w:rPr>
          <w:rFonts w:ascii="Times New Roman" w:hAnsi="Times New Roman"/>
          <w:lang w:val="sr-Latn-BA"/>
        </w:rPr>
        <w:t xml:space="preserve">. </w:t>
      </w:r>
      <w:r>
        <w:rPr>
          <w:rFonts w:ascii="Times New Roman" w:hAnsi="Times New Roman"/>
          <w:lang w:val="sr-Latn-BA"/>
        </w:rPr>
        <w:t>За</w:t>
      </w:r>
      <w:r w:rsidR="00077F23" w:rsidRPr="00295637">
        <w:rPr>
          <w:rFonts w:ascii="Times New Roman" w:hAnsi="Times New Roman"/>
          <w:lang w:val="sr-Latn-BA"/>
        </w:rPr>
        <w:t xml:space="preserve"> </w:t>
      </w:r>
      <w:r>
        <w:rPr>
          <w:rFonts w:ascii="Times New Roman" w:hAnsi="Times New Roman"/>
          <w:lang w:val="sr-Latn-BA"/>
        </w:rPr>
        <w:t>област</w:t>
      </w:r>
      <w:r w:rsidR="00077F23" w:rsidRPr="00295637">
        <w:rPr>
          <w:rFonts w:ascii="Times New Roman" w:hAnsi="Times New Roman"/>
          <w:lang w:val="sr-Latn-BA"/>
        </w:rPr>
        <w:t xml:space="preserve"> </w:t>
      </w:r>
      <w:r>
        <w:rPr>
          <w:rFonts w:ascii="Times New Roman" w:hAnsi="Times New Roman"/>
          <w:lang w:val="sr-Latn-BA"/>
        </w:rPr>
        <w:t>економских</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социјалних</w:t>
      </w:r>
      <w:r w:rsidR="00077F23" w:rsidRPr="00295637">
        <w:rPr>
          <w:rFonts w:ascii="Times New Roman" w:hAnsi="Times New Roman"/>
          <w:lang w:val="sr-Latn-BA"/>
        </w:rPr>
        <w:t xml:space="preserve"> </w:t>
      </w:r>
      <w:r>
        <w:rPr>
          <w:rFonts w:ascii="Times New Roman" w:hAnsi="Times New Roman"/>
          <w:lang w:val="sr-Latn-BA"/>
        </w:rPr>
        <w:t>права</w:t>
      </w:r>
      <w:r w:rsidR="00077F23" w:rsidRPr="00295637">
        <w:rPr>
          <w:rFonts w:ascii="Times New Roman" w:hAnsi="Times New Roman"/>
          <w:lang w:val="sr-Latn-BA"/>
        </w:rPr>
        <w:t xml:space="preserve"> </w:t>
      </w:r>
      <w:r w:rsidR="00F82DDB">
        <w:rPr>
          <w:rFonts w:ascii="Times New Roman" w:hAnsi="Times New Roman"/>
          <w:lang w:val="sr-Latn-BA"/>
        </w:rPr>
        <w:t>такође</w:t>
      </w:r>
      <w:r w:rsidR="00077F23" w:rsidRPr="00295637">
        <w:rPr>
          <w:rFonts w:ascii="Times New Roman" w:hAnsi="Times New Roman"/>
          <w:lang w:val="sr-Latn-BA"/>
        </w:rPr>
        <w:t xml:space="preserve"> </w:t>
      </w:r>
      <w:r>
        <w:rPr>
          <w:rFonts w:ascii="Times New Roman" w:hAnsi="Times New Roman"/>
          <w:lang w:val="sr-Latn-BA"/>
        </w:rPr>
        <w:t>су</w:t>
      </w:r>
      <w:r w:rsidR="00077F23" w:rsidRPr="00295637">
        <w:rPr>
          <w:rFonts w:ascii="Times New Roman" w:hAnsi="Times New Roman"/>
          <w:lang w:val="sr-Latn-BA"/>
        </w:rPr>
        <w:t xml:space="preserve"> </w:t>
      </w:r>
      <w:r>
        <w:rPr>
          <w:rFonts w:ascii="Times New Roman" w:hAnsi="Times New Roman"/>
          <w:lang w:val="sr-Latn-BA"/>
        </w:rPr>
        <w:t>битни</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подаци</w:t>
      </w:r>
      <w:r w:rsidR="00077F23" w:rsidRPr="00295637">
        <w:rPr>
          <w:rFonts w:ascii="Times New Roman" w:hAnsi="Times New Roman"/>
          <w:lang w:val="sr-Latn-BA"/>
        </w:rPr>
        <w:t xml:space="preserve"> </w:t>
      </w:r>
      <w:r>
        <w:rPr>
          <w:rFonts w:ascii="Times New Roman" w:hAnsi="Times New Roman"/>
          <w:lang w:val="sr-Latn-BA"/>
        </w:rPr>
        <w:t>из</w:t>
      </w:r>
      <w:r w:rsidR="00077F23" w:rsidRPr="00295637">
        <w:rPr>
          <w:rFonts w:ascii="Times New Roman" w:hAnsi="Times New Roman"/>
          <w:lang w:val="sr-Latn-BA"/>
        </w:rPr>
        <w:t xml:space="preserve"> </w:t>
      </w:r>
      <w:r>
        <w:rPr>
          <w:rFonts w:ascii="Times New Roman" w:hAnsi="Times New Roman"/>
          <w:lang w:val="sr-Latn-BA"/>
        </w:rPr>
        <w:t>билтена</w:t>
      </w:r>
      <w:r w:rsidR="00077F23" w:rsidRPr="00295637">
        <w:rPr>
          <w:rFonts w:ascii="Times New Roman" w:hAnsi="Times New Roman"/>
          <w:lang w:val="sr-Latn-BA"/>
        </w:rPr>
        <w:t xml:space="preserve"> </w:t>
      </w: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поглављу</w:t>
      </w:r>
      <w:r w:rsidR="00077F23" w:rsidRPr="00295637">
        <w:rPr>
          <w:rFonts w:ascii="Times New Roman" w:hAnsi="Times New Roman"/>
          <w:lang w:val="sr-Latn-BA"/>
        </w:rPr>
        <w:t xml:space="preserve"> „</w:t>
      </w:r>
      <w:r>
        <w:rPr>
          <w:rFonts w:ascii="Times New Roman" w:hAnsi="Times New Roman"/>
          <w:lang w:val="sr-Latn-BA"/>
        </w:rPr>
        <w:t>Животни</w:t>
      </w:r>
      <w:r w:rsidR="00077F23" w:rsidRPr="00295637">
        <w:rPr>
          <w:rFonts w:ascii="Times New Roman" w:hAnsi="Times New Roman"/>
          <w:lang w:val="sr-Latn-BA"/>
        </w:rPr>
        <w:t xml:space="preserve"> </w:t>
      </w:r>
      <w:r>
        <w:rPr>
          <w:rFonts w:ascii="Times New Roman" w:hAnsi="Times New Roman"/>
          <w:lang w:val="sr-Latn-BA"/>
        </w:rPr>
        <w:t>стандард</w:t>
      </w:r>
      <w:r w:rsidR="00077F23" w:rsidRPr="00295637">
        <w:rPr>
          <w:rFonts w:ascii="Times New Roman" w:hAnsi="Times New Roman"/>
          <w:lang w:val="sr-Latn-BA"/>
        </w:rPr>
        <w:t xml:space="preserve">“, </w:t>
      </w:r>
      <w:r>
        <w:rPr>
          <w:rFonts w:ascii="Times New Roman" w:hAnsi="Times New Roman"/>
          <w:lang w:val="sr-Latn-BA"/>
        </w:rPr>
        <w:t>које</w:t>
      </w:r>
      <w:r w:rsidR="00077F23" w:rsidRPr="00295637">
        <w:rPr>
          <w:rFonts w:ascii="Times New Roman" w:hAnsi="Times New Roman"/>
          <w:lang w:val="sr-Latn-BA"/>
        </w:rPr>
        <w:t xml:space="preserve"> </w:t>
      </w:r>
      <w:r>
        <w:rPr>
          <w:rFonts w:ascii="Times New Roman" w:hAnsi="Times New Roman"/>
          <w:lang w:val="sr-Latn-BA"/>
        </w:rPr>
        <w:t>даје</w:t>
      </w:r>
      <w:r w:rsidR="00077F23" w:rsidRPr="00295637">
        <w:rPr>
          <w:rFonts w:ascii="Times New Roman" w:hAnsi="Times New Roman"/>
          <w:lang w:val="sr-Latn-BA"/>
        </w:rPr>
        <w:t xml:space="preserve"> </w:t>
      </w:r>
      <w:r>
        <w:rPr>
          <w:rFonts w:ascii="Times New Roman" w:hAnsi="Times New Roman"/>
          <w:lang w:val="sr-Latn-BA"/>
        </w:rPr>
        <w:t>релативне</w:t>
      </w:r>
      <w:r w:rsidR="00077F23" w:rsidRPr="00295637">
        <w:rPr>
          <w:rFonts w:ascii="Times New Roman" w:hAnsi="Times New Roman"/>
          <w:lang w:val="sr-Latn-BA"/>
        </w:rPr>
        <w:t xml:space="preserve"> </w:t>
      </w:r>
      <w:r>
        <w:rPr>
          <w:rFonts w:ascii="Times New Roman" w:hAnsi="Times New Roman"/>
          <w:lang w:val="sr-Latn-BA"/>
        </w:rPr>
        <w:t>стопе</w:t>
      </w:r>
      <w:r w:rsidR="00077F23" w:rsidRPr="00295637">
        <w:rPr>
          <w:rFonts w:ascii="Times New Roman" w:hAnsi="Times New Roman"/>
          <w:lang w:val="sr-Latn-BA"/>
        </w:rPr>
        <w:t xml:space="preserve"> </w:t>
      </w:r>
      <w:r>
        <w:rPr>
          <w:rFonts w:ascii="Times New Roman" w:hAnsi="Times New Roman"/>
          <w:lang w:val="sr-Latn-BA"/>
        </w:rPr>
        <w:t>сиромаштва</w:t>
      </w:r>
      <w:r w:rsidR="00077F23" w:rsidRPr="00295637">
        <w:rPr>
          <w:rFonts w:ascii="Times New Roman" w:hAnsi="Times New Roman"/>
          <w:lang w:val="sr-Latn-BA"/>
        </w:rPr>
        <w:t xml:space="preserve"> </w:t>
      </w:r>
      <w:r>
        <w:rPr>
          <w:rFonts w:ascii="Times New Roman" w:hAnsi="Times New Roman"/>
          <w:lang w:val="sr-Latn-BA"/>
        </w:rPr>
        <w:t>према</w:t>
      </w:r>
      <w:r w:rsidR="00077F23" w:rsidRPr="00295637">
        <w:rPr>
          <w:rFonts w:ascii="Times New Roman" w:hAnsi="Times New Roman"/>
          <w:lang w:val="sr-Latn-BA"/>
        </w:rPr>
        <w:t xml:space="preserve"> </w:t>
      </w:r>
      <w:r>
        <w:rPr>
          <w:rFonts w:ascii="Times New Roman" w:hAnsi="Times New Roman"/>
          <w:lang w:val="sr-Latn-BA"/>
        </w:rPr>
        <w:t>полу</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старости</w:t>
      </w:r>
      <w:r w:rsidR="00077F23" w:rsidRPr="00295637">
        <w:rPr>
          <w:rFonts w:ascii="Times New Roman" w:hAnsi="Times New Roman"/>
          <w:lang w:val="sr-Latn-BA"/>
        </w:rPr>
        <w:t xml:space="preserve"> </w:t>
      </w:r>
      <w:r>
        <w:rPr>
          <w:rFonts w:ascii="Times New Roman" w:hAnsi="Times New Roman"/>
          <w:lang w:val="sr-Latn-BA"/>
        </w:rPr>
        <w:t>носиоца</w:t>
      </w:r>
      <w:r w:rsidR="00077F23" w:rsidRPr="00295637">
        <w:rPr>
          <w:rFonts w:ascii="Times New Roman" w:hAnsi="Times New Roman"/>
          <w:lang w:val="sr-Latn-BA"/>
        </w:rPr>
        <w:t xml:space="preserve"> </w:t>
      </w:r>
      <w:r>
        <w:rPr>
          <w:rFonts w:ascii="Times New Roman" w:hAnsi="Times New Roman"/>
          <w:lang w:val="sr-Latn-BA"/>
        </w:rPr>
        <w:t>домаћинства</w:t>
      </w:r>
      <w:r w:rsidR="00077F23" w:rsidRPr="00295637">
        <w:rPr>
          <w:rFonts w:ascii="Times New Roman" w:hAnsi="Times New Roman"/>
          <w:lang w:val="sr-Latn-BA"/>
        </w:rPr>
        <w:t xml:space="preserve">, </w:t>
      </w:r>
      <w:r>
        <w:rPr>
          <w:rFonts w:ascii="Times New Roman" w:hAnsi="Times New Roman"/>
          <w:lang w:val="sr-Latn-BA"/>
        </w:rPr>
        <w:t>као</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подаци</w:t>
      </w:r>
      <w:r w:rsidR="00077F23" w:rsidRPr="00295637">
        <w:rPr>
          <w:rFonts w:ascii="Times New Roman" w:hAnsi="Times New Roman"/>
          <w:lang w:val="sr-Latn-BA"/>
        </w:rPr>
        <w:t xml:space="preserve"> </w:t>
      </w:r>
      <w:r>
        <w:rPr>
          <w:rFonts w:ascii="Times New Roman" w:hAnsi="Times New Roman"/>
          <w:lang w:val="sr-Latn-BA"/>
        </w:rPr>
        <w:t>из</w:t>
      </w:r>
      <w:r w:rsidR="00077F23" w:rsidRPr="00295637">
        <w:rPr>
          <w:rFonts w:ascii="Times New Roman" w:hAnsi="Times New Roman"/>
          <w:lang w:val="sr-Latn-BA"/>
        </w:rPr>
        <w:t xml:space="preserve"> </w:t>
      </w:r>
      <w:r>
        <w:rPr>
          <w:rFonts w:ascii="Times New Roman" w:hAnsi="Times New Roman"/>
          <w:lang w:val="sr-Latn-BA"/>
        </w:rPr>
        <w:t>поглавља</w:t>
      </w:r>
      <w:r w:rsidR="00077F23" w:rsidRPr="00295637">
        <w:rPr>
          <w:rFonts w:ascii="Times New Roman" w:hAnsi="Times New Roman"/>
          <w:lang w:val="sr-Latn-BA"/>
        </w:rPr>
        <w:t xml:space="preserve"> „</w:t>
      </w:r>
      <w:r>
        <w:rPr>
          <w:rFonts w:ascii="Times New Roman" w:hAnsi="Times New Roman"/>
          <w:lang w:val="sr-Latn-BA"/>
        </w:rPr>
        <w:t>Власништво</w:t>
      </w:r>
      <w:r w:rsidR="00077F23" w:rsidRPr="00295637">
        <w:rPr>
          <w:rFonts w:ascii="Times New Roman" w:hAnsi="Times New Roman"/>
          <w:lang w:val="sr-Latn-BA"/>
        </w:rPr>
        <w:t xml:space="preserve"> </w:t>
      </w:r>
      <w:r>
        <w:rPr>
          <w:rFonts w:ascii="Times New Roman" w:hAnsi="Times New Roman"/>
          <w:lang w:val="sr-Latn-BA"/>
        </w:rPr>
        <w:t>над</w:t>
      </w:r>
      <w:r w:rsidR="00077F23" w:rsidRPr="00295637">
        <w:rPr>
          <w:rFonts w:ascii="Times New Roman" w:hAnsi="Times New Roman"/>
          <w:lang w:val="sr-Latn-BA"/>
        </w:rPr>
        <w:t xml:space="preserve"> </w:t>
      </w:r>
      <w:r>
        <w:rPr>
          <w:rFonts w:ascii="Times New Roman" w:hAnsi="Times New Roman"/>
          <w:lang w:val="sr-Latn-BA"/>
        </w:rPr>
        <w:t>имовином</w:t>
      </w:r>
      <w:r w:rsidR="00077F23" w:rsidRPr="00295637">
        <w:rPr>
          <w:rFonts w:ascii="Times New Roman" w:hAnsi="Times New Roman"/>
          <w:lang w:val="sr-Latn-BA"/>
        </w:rPr>
        <w:t xml:space="preserve">“, </w:t>
      </w:r>
      <w:r>
        <w:rPr>
          <w:rFonts w:ascii="Times New Roman" w:hAnsi="Times New Roman"/>
          <w:lang w:val="sr-Latn-BA"/>
        </w:rPr>
        <w:t>које</w:t>
      </w:r>
      <w:r w:rsidR="00077F23" w:rsidRPr="00295637">
        <w:rPr>
          <w:rFonts w:ascii="Times New Roman" w:hAnsi="Times New Roman"/>
          <w:lang w:val="sr-Latn-BA"/>
        </w:rPr>
        <w:t xml:space="preserve"> </w:t>
      </w:r>
      <w:r>
        <w:rPr>
          <w:rFonts w:ascii="Times New Roman" w:hAnsi="Times New Roman"/>
          <w:lang w:val="sr-Latn-BA"/>
        </w:rPr>
        <w:t>даје</w:t>
      </w:r>
      <w:r w:rsidR="00077F23" w:rsidRPr="00295637">
        <w:rPr>
          <w:rFonts w:ascii="Times New Roman" w:hAnsi="Times New Roman"/>
          <w:lang w:val="sr-Latn-BA"/>
        </w:rPr>
        <w:t xml:space="preserve"> </w:t>
      </w:r>
      <w:r>
        <w:rPr>
          <w:rFonts w:ascii="Times New Roman" w:hAnsi="Times New Roman"/>
          <w:lang w:val="sr-Latn-BA"/>
        </w:rPr>
        <w:t>податке</w:t>
      </w:r>
      <w:r w:rsidR="00077F23" w:rsidRPr="00295637">
        <w:rPr>
          <w:rFonts w:ascii="Times New Roman" w:hAnsi="Times New Roman"/>
          <w:lang w:val="sr-Latn-BA"/>
        </w:rPr>
        <w:t xml:space="preserve"> </w:t>
      </w:r>
      <w:r>
        <w:rPr>
          <w:rFonts w:ascii="Times New Roman" w:hAnsi="Times New Roman"/>
          <w:lang w:val="sr-Latn-BA"/>
        </w:rPr>
        <w:t>по</w:t>
      </w:r>
      <w:r w:rsidR="00077F23" w:rsidRPr="00295637">
        <w:rPr>
          <w:rFonts w:ascii="Times New Roman" w:hAnsi="Times New Roman"/>
          <w:lang w:val="sr-Latn-BA"/>
        </w:rPr>
        <w:t xml:space="preserve"> </w:t>
      </w:r>
      <w:r>
        <w:rPr>
          <w:rFonts w:ascii="Times New Roman" w:hAnsi="Times New Roman"/>
          <w:lang w:val="sr-Latn-BA"/>
        </w:rPr>
        <w:t>полу</w:t>
      </w:r>
      <w:r w:rsidR="00077F23" w:rsidRPr="00295637">
        <w:rPr>
          <w:rFonts w:ascii="Times New Roman" w:hAnsi="Times New Roman"/>
          <w:lang w:val="sr-Latn-BA"/>
        </w:rPr>
        <w:t xml:space="preserve"> </w:t>
      </w:r>
      <w:r>
        <w:rPr>
          <w:rFonts w:ascii="Times New Roman" w:hAnsi="Times New Roman"/>
          <w:lang w:val="sr-Latn-BA"/>
        </w:rPr>
        <w:t>о</w:t>
      </w:r>
      <w:r w:rsidR="00077F23" w:rsidRPr="00295637">
        <w:rPr>
          <w:rFonts w:ascii="Times New Roman" w:hAnsi="Times New Roman"/>
          <w:lang w:val="sr-Latn-BA"/>
        </w:rPr>
        <w:t xml:space="preserve"> </w:t>
      </w:r>
      <w:r>
        <w:rPr>
          <w:rFonts w:ascii="Times New Roman" w:hAnsi="Times New Roman"/>
          <w:lang w:val="sr-Latn-BA"/>
        </w:rPr>
        <w:t>власништву</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сувласништву</w:t>
      </w:r>
      <w:r w:rsidR="00077F23" w:rsidRPr="00295637">
        <w:rPr>
          <w:rFonts w:ascii="Times New Roman" w:hAnsi="Times New Roman"/>
          <w:lang w:val="sr-Latn-BA"/>
        </w:rPr>
        <w:t xml:space="preserve"> </w:t>
      </w:r>
      <w:r>
        <w:rPr>
          <w:rFonts w:ascii="Times New Roman" w:hAnsi="Times New Roman"/>
          <w:lang w:val="sr-Latn-BA"/>
        </w:rPr>
        <w:t>над</w:t>
      </w:r>
      <w:r w:rsidR="00077F23" w:rsidRPr="00295637">
        <w:rPr>
          <w:rFonts w:ascii="Times New Roman" w:hAnsi="Times New Roman"/>
          <w:lang w:val="sr-Latn-BA"/>
        </w:rPr>
        <w:t xml:space="preserve"> </w:t>
      </w:r>
      <w:r>
        <w:rPr>
          <w:rFonts w:ascii="Times New Roman" w:hAnsi="Times New Roman"/>
          <w:lang w:val="sr-Latn-BA"/>
        </w:rPr>
        <w:t>непокретностима</w:t>
      </w:r>
      <w:r w:rsidR="00077F23" w:rsidRPr="00295637">
        <w:rPr>
          <w:rFonts w:ascii="Times New Roman" w:hAnsi="Times New Roman"/>
          <w:lang w:val="sr-Latn-BA"/>
        </w:rPr>
        <w:t>.</w:t>
      </w:r>
    </w:p>
    <w:p w:rsidR="00077F23" w:rsidRPr="00295637" w:rsidRDefault="00077F23" w:rsidP="0086268D">
      <w:pPr>
        <w:pStyle w:val="ListParagraph"/>
        <w:ind w:left="0"/>
        <w:jc w:val="both"/>
        <w:rPr>
          <w:rFonts w:ascii="Times New Roman" w:hAnsi="Times New Roman"/>
          <w:lang w:val="sr-Latn-BA"/>
        </w:rPr>
      </w:pPr>
    </w:p>
    <w:p w:rsidR="00077F23"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извјештајном</w:t>
      </w:r>
      <w:r w:rsidR="00077F23" w:rsidRPr="00295637">
        <w:rPr>
          <w:rFonts w:ascii="Times New Roman" w:hAnsi="Times New Roman"/>
          <w:lang w:val="sr-Latn-BA"/>
        </w:rPr>
        <w:t xml:space="preserve"> </w:t>
      </w:r>
      <w:r>
        <w:rPr>
          <w:rFonts w:ascii="Times New Roman" w:hAnsi="Times New Roman"/>
          <w:lang w:val="sr-Latn-BA"/>
        </w:rPr>
        <w:t>периоду</w:t>
      </w:r>
      <w:r w:rsidR="00077F23" w:rsidRPr="00295637">
        <w:rPr>
          <w:rFonts w:ascii="Times New Roman" w:hAnsi="Times New Roman"/>
          <w:lang w:val="sr-Latn-BA"/>
        </w:rPr>
        <w:t xml:space="preserve"> </w:t>
      </w:r>
      <w:r>
        <w:rPr>
          <w:rFonts w:ascii="Times New Roman" w:hAnsi="Times New Roman"/>
          <w:lang w:val="sr-Latn-BA"/>
        </w:rPr>
        <w:t>вођена</w:t>
      </w:r>
      <w:r w:rsidR="00077F23" w:rsidRPr="00295637">
        <w:rPr>
          <w:rFonts w:ascii="Times New Roman" w:hAnsi="Times New Roman"/>
          <w:lang w:val="sr-Latn-BA"/>
        </w:rPr>
        <w:t xml:space="preserve"> </w:t>
      </w:r>
      <w:r>
        <w:rPr>
          <w:rFonts w:ascii="Times New Roman" w:hAnsi="Times New Roman"/>
          <w:lang w:val="sr-Latn-BA"/>
        </w:rPr>
        <w:t>је</w:t>
      </w:r>
      <w:r w:rsidR="00262CA2" w:rsidRPr="00295637">
        <w:rPr>
          <w:rFonts w:ascii="Times New Roman" w:hAnsi="Times New Roman"/>
          <w:lang w:val="sr-Latn-BA"/>
        </w:rPr>
        <w:t xml:space="preserve"> </w:t>
      </w:r>
      <w:r>
        <w:rPr>
          <w:rFonts w:ascii="Times New Roman" w:hAnsi="Times New Roman"/>
          <w:lang w:val="sr-Latn-BA"/>
        </w:rPr>
        <w:t>администра</w:t>
      </w:r>
      <w:r w:rsidR="00F82DDB">
        <w:rPr>
          <w:rFonts w:ascii="Times New Roman" w:hAnsi="Times New Roman"/>
          <w:lang w:val="sr-Cyrl-BA"/>
        </w:rPr>
        <w:t>тивна</w:t>
      </w:r>
      <w:r w:rsidR="00077F23" w:rsidRPr="00295637">
        <w:rPr>
          <w:rFonts w:ascii="Times New Roman" w:hAnsi="Times New Roman"/>
          <w:lang w:val="sr-Latn-BA"/>
        </w:rPr>
        <w:t xml:space="preserve"> </w:t>
      </w:r>
      <w:r>
        <w:rPr>
          <w:rFonts w:ascii="Times New Roman" w:hAnsi="Times New Roman"/>
          <w:lang w:val="sr-Latn-BA"/>
        </w:rPr>
        <w:t>евиденција</w:t>
      </w:r>
      <w:r w:rsidR="00077F23" w:rsidRPr="00295637">
        <w:rPr>
          <w:rFonts w:ascii="Times New Roman" w:hAnsi="Times New Roman"/>
          <w:lang w:val="sr-Latn-BA"/>
        </w:rPr>
        <w:t xml:space="preserve"> </w:t>
      </w:r>
      <w:r>
        <w:rPr>
          <w:rFonts w:ascii="Times New Roman" w:hAnsi="Times New Roman"/>
          <w:lang w:val="sr-Latn-BA"/>
        </w:rPr>
        <w:t>повреда</w:t>
      </w:r>
      <w:r w:rsidR="00077F23" w:rsidRPr="00295637">
        <w:rPr>
          <w:rFonts w:ascii="Times New Roman" w:hAnsi="Times New Roman"/>
          <w:lang w:val="sr-Latn-BA"/>
        </w:rPr>
        <w:t xml:space="preserve"> </w:t>
      </w:r>
      <w:r>
        <w:rPr>
          <w:rFonts w:ascii="Times New Roman" w:hAnsi="Times New Roman"/>
          <w:lang w:val="sr-Latn-BA"/>
        </w:rPr>
        <w:t>на</w:t>
      </w:r>
      <w:r w:rsidR="00077F23" w:rsidRPr="00295637">
        <w:rPr>
          <w:rFonts w:ascii="Times New Roman" w:hAnsi="Times New Roman"/>
          <w:lang w:val="sr-Latn-BA"/>
        </w:rPr>
        <w:t xml:space="preserve"> </w:t>
      </w:r>
      <w:r>
        <w:rPr>
          <w:rFonts w:ascii="Times New Roman" w:hAnsi="Times New Roman"/>
          <w:lang w:val="sr-Latn-BA"/>
        </w:rPr>
        <w:t>раду</w:t>
      </w:r>
      <w:r w:rsidR="00077F23" w:rsidRPr="00295637">
        <w:rPr>
          <w:rFonts w:ascii="Times New Roman" w:hAnsi="Times New Roman"/>
          <w:lang w:val="sr-Latn-BA"/>
        </w:rPr>
        <w:t xml:space="preserve"> </w:t>
      </w:r>
      <w:r>
        <w:rPr>
          <w:rFonts w:ascii="Times New Roman" w:hAnsi="Times New Roman"/>
          <w:lang w:val="sr-Latn-BA"/>
        </w:rPr>
        <w:t>разврстана</w:t>
      </w:r>
      <w:r w:rsidR="00077F23" w:rsidRPr="00295637">
        <w:rPr>
          <w:rFonts w:ascii="Times New Roman" w:hAnsi="Times New Roman"/>
          <w:lang w:val="sr-Latn-BA"/>
        </w:rPr>
        <w:t xml:space="preserve"> </w:t>
      </w:r>
      <w:r>
        <w:rPr>
          <w:rFonts w:ascii="Times New Roman" w:hAnsi="Times New Roman"/>
          <w:lang w:val="sr-Latn-BA"/>
        </w:rPr>
        <w:t>према</w:t>
      </w:r>
      <w:r w:rsidR="00077F23" w:rsidRPr="00295637">
        <w:rPr>
          <w:rFonts w:ascii="Times New Roman" w:hAnsi="Times New Roman"/>
          <w:lang w:val="sr-Latn-BA"/>
        </w:rPr>
        <w:t xml:space="preserve"> </w:t>
      </w:r>
      <w:r>
        <w:rPr>
          <w:rFonts w:ascii="Times New Roman" w:hAnsi="Times New Roman"/>
          <w:lang w:val="sr-Latn-BA"/>
        </w:rPr>
        <w:t>полу</w:t>
      </w:r>
      <w:r w:rsidR="00077F23" w:rsidRPr="00295637">
        <w:rPr>
          <w:rFonts w:ascii="Times New Roman" w:hAnsi="Times New Roman"/>
          <w:lang w:val="sr-Latn-BA"/>
        </w:rPr>
        <w:t xml:space="preserve"> </w:t>
      </w:r>
      <w:r>
        <w:rPr>
          <w:rFonts w:ascii="Times New Roman" w:hAnsi="Times New Roman"/>
          <w:lang w:val="sr-Latn-BA"/>
        </w:rPr>
        <w:t>од</w:t>
      </w:r>
      <w:r w:rsidR="00077F23" w:rsidRPr="00295637">
        <w:rPr>
          <w:rFonts w:ascii="Times New Roman" w:hAnsi="Times New Roman"/>
          <w:lang w:val="sr-Latn-BA"/>
        </w:rPr>
        <w:t xml:space="preserve"> </w:t>
      </w:r>
      <w:r>
        <w:rPr>
          <w:rFonts w:ascii="Times New Roman" w:hAnsi="Times New Roman"/>
          <w:lang w:val="sr-Latn-BA"/>
        </w:rPr>
        <w:t>стране</w:t>
      </w:r>
      <w:r w:rsidR="00077F23" w:rsidRPr="00295637">
        <w:rPr>
          <w:rFonts w:ascii="Times New Roman" w:hAnsi="Times New Roman"/>
          <w:lang w:val="sr-Latn-BA"/>
        </w:rPr>
        <w:t xml:space="preserve"> </w:t>
      </w:r>
      <w:r>
        <w:rPr>
          <w:rFonts w:ascii="Times New Roman" w:hAnsi="Times New Roman"/>
          <w:lang w:val="sr-Latn-BA"/>
        </w:rPr>
        <w:t>МРБИЗ</w:t>
      </w:r>
      <w:r w:rsidR="00E25721" w:rsidRPr="00295637">
        <w:rPr>
          <w:rFonts w:ascii="Times New Roman" w:hAnsi="Times New Roman"/>
          <w:lang w:val="sr-Latn-BA"/>
        </w:rPr>
        <w:t xml:space="preserve"> </w:t>
      </w:r>
      <w:r>
        <w:rPr>
          <w:rFonts w:ascii="Times New Roman" w:hAnsi="Times New Roman"/>
          <w:lang w:val="sr-Latn-BA"/>
        </w:rPr>
        <w:t>РС</w:t>
      </w:r>
      <w:r w:rsidR="001C66BC">
        <w:rPr>
          <w:rFonts w:ascii="Times New Roman" w:hAnsi="Times New Roman"/>
          <w:lang w:val="sr-Latn-BA"/>
        </w:rPr>
        <w:t xml:space="preserve">. </w:t>
      </w:r>
      <w:r>
        <w:rPr>
          <w:rFonts w:ascii="Times New Roman" w:hAnsi="Times New Roman"/>
          <w:lang w:val="sr-Latn-BA"/>
        </w:rPr>
        <w:t>Према</w:t>
      </w:r>
      <w:r w:rsidR="00077F23" w:rsidRPr="00295637">
        <w:rPr>
          <w:rFonts w:ascii="Times New Roman" w:hAnsi="Times New Roman"/>
          <w:lang w:val="sr-Latn-BA"/>
        </w:rPr>
        <w:t xml:space="preserve"> </w:t>
      </w:r>
      <w:r>
        <w:rPr>
          <w:rFonts w:ascii="Times New Roman" w:hAnsi="Times New Roman"/>
          <w:lang w:val="sr-Latn-BA"/>
        </w:rPr>
        <w:t>подацима</w:t>
      </w:r>
      <w:r w:rsidR="00077F23" w:rsidRPr="00295637">
        <w:rPr>
          <w:rFonts w:ascii="Times New Roman" w:hAnsi="Times New Roman"/>
          <w:lang w:val="sr-Latn-BA"/>
        </w:rPr>
        <w:t xml:space="preserve">, </w:t>
      </w:r>
      <w:r>
        <w:rPr>
          <w:rFonts w:ascii="Times New Roman" w:hAnsi="Times New Roman"/>
          <w:lang w:val="sr-Latn-BA"/>
        </w:rPr>
        <w:t>евидентирано</w:t>
      </w:r>
      <w:r w:rsidR="00077F23" w:rsidRPr="00295637">
        <w:rPr>
          <w:rFonts w:ascii="Times New Roman" w:hAnsi="Times New Roman"/>
          <w:lang w:val="sr-Latn-BA"/>
        </w:rPr>
        <w:t xml:space="preserve"> </w:t>
      </w:r>
      <w:r>
        <w:rPr>
          <w:rFonts w:ascii="Times New Roman" w:hAnsi="Times New Roman"/>
          <w:lang w:val="sr-Latn-BA"/>
        </w:rPr>
        <w:t>је</w:t>
      </w:r>
      <w:r w:rsidR="00077F23" w:rsidRPr="00295637">
        <w:rPr>
          <w:rFonts w:ascii="Times New Roman" w:hAnsi="Times New Roman"/>
          <w:lang w:val="sr-Latn-BA"/>
        </w:rPr>
        <w:t xml:space="preserve"> 747 </w:t>
      </w:r>
      <w:r>
        <w:rPr>
          <w:rFonts w:ascii="Times New Roman" w:hAnsi="Times New Roman"/>
          <w:lang w:val="sr-Latn-BA"/>
        </w:rPr>
        <w:t>повреда</w:t>
      </w:r>
      <w:r w:rsidR="00077F23" w:rsidRPr="00295637">
        <w:rPr>
          <w:rFonts w:ascii="Times New Roman" w:hAnsi="Times New Roman"/>
          <w:lang w:val="sr-Latn-BA"/>
        </w:rPr>
        <w:t xml:space="preserve"> </w:t>
      </w:r>
      <w:r>
        <w:rPr>
          <w:rFonts w:ascii="Times New Roman" w:hAnsi="Times New Roman"/>
          <w:lang w:val="sr-Latn-BA"/>
        </w:rPr>
        <w:t>жена</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1124 </w:t>
      </w:r>
      <w:r>
        <w:rPr>
          <w:rFonts w:ascii="Times New Roman" w:hAnsi="Times New Roman"/>
          <w:lang w:val="sr-Latn-BA"/>
        </w:rPr>
        <w:t>повреде</w:t>
      </w:r>
      <w:r w:rsidR="00077F23" w:rsidRPr="00295637">
        <w:rPr>
          <w:rFonts w:ascii="Times New Roman" w:hAnsi="Times New Roman"/>
          <w:lang w:val="sr-Latn-BA"/>
        </w:rPr>
        <w:t xml:space="preserve"> </w:t>
      </w:r>
      <w:r>
        <w:rPr>
          <w:rFonts w:ascii="Times New Roman" w:hAnsi="Times New Roman"/>
          <w:lang w:val="sr-Latn-BA"/>
        </w:rPr>
        <w:t>мушкараца</w:t>
      </w:r>
      <w:r w:rsidR="00077F23" w:rsidRPr="00295637">
        <w:rPr>
          <w:rFonts w:ascii="Times New Roman" w:hAnsi="Times New Roman"/>
          <w:lang w:val="sr-Latn-BA"/>
        </w:rPr>
        <w:t xml:space="preserve"> </w:t>
      </w:r>
      <w:r>
        <w:rPr>
          <w:rFonts w:ascii="Times New Roman" w:hAnsi="Times New Roman"/>
          <w:lang w:val="sr-Latn-BA"/>
        </w:rPr>
        <w:t>од</w:t>
      </w:r>
      <w:r w:rsidR="00077F23" w:rsidRPr="00295637">
        <w:rPr>
          <w:rFonts w:ascii="Times New Roman" w:hAnsi="Times New Roman"/>
          <w:lang w:val="sr-Latn-BA"/>
        </w:rPr>
        <w:t xml:space="preserve"> </w:t>
      </w:r>
      <w:r>
        <w:rPr>
          <w:rFonts w:ascii="Times New Roman" w:hAnsi="Times New Roman"/>
          <w:lang w:val="sr-Latn-BA"/>
        </w:rPr>
        <w:t>укупно</w:t>
      </w:r>
      <w:r w:rsidR="00077F23" w:rsidRPr="00295637">
        <w:rPr>
          <w:rFonts w:ascii="Times New Roman" w:hAnsi="Times New Roman"/>
          <w:lang w:val="sr-Latn-BA"/>
        </w:rPr>
        <w:t xml:space="preserve"> 1871 </w:t>
      </w:r>
      <w:r>
        <w:rPr>
          <w:rFonts w:ascii="Times New Roman" w:hAnsi="Times New Roman"/>
          <w:lang w:val="sr-Latn-BA"/>
        </w:rPr>
        <w:t>повреде</w:t>
      </w:r>
      <w:r w:rsidR="00077F23" w:rsidRPr="00295637">
        <w:rPr>
          <w:rFonts w:ascii="Times New Roman" w:hAnsi="Times New Roman"/>
          <w:lang w:val="sr-Latn-BA"/>
        </w:rPr>
        <w:t xml:space="preserve"> </w:t>
      </w:r>
      <w:r>
        <w:rPr>
          <w:rFonts w:ascii="Times New Roman" w:hAnsi="Times New Roman"/>
          <w:lang w:val="sr-Latn-BA"/>
        </w:rPr>
        <w:t>на</w:t>
      </w:r>
      <w:r w:rsidR="00077F23" w:rsidRPr="00295637">
        <w:rPr>
          <w:rFonts w:ascii="Times New Roman" w:hAnsi="Times New Roman"/>
          <w:lang w:val="sr-Latn-BA"/>
        </w:rPr>
        <w:t xml:space="preserve"> </w:t>
      </w:r>
      <w:r>
        <w:rPr>
          <w:rFonts w:ascii="Times New Roman" w:hAnsi="Times New Roman"/>
          <w:lang w:val="sr-Latn-BA"/>
        </w:rPr>
        <w:t>раду</w:t>
      </w:r>
      <w:r w:rsidR="00077F23" w:rsidRPr="00295637">
        <w:rPr>
          <w:rFonts w:ascii="Times New Roman" w:hAnsi="Times New Roman"/>
          <w:lang w:val="sr-Latn-BA"/>
        </w:rPr>
        <w:t xml:space="preserve">. </w:t>
      </w:r>
      <w:r>
        <w:rPr>
          <w:rFonts w:ascii="Times New Roman" w:hAnsi="Times New Roman"/>
          <w:lang w:val="sr-Latn-BA"/>
        </w:rPr>
        <w:t>МРБИЗ</w:t>
      </w:r>
      <w:r w:rsidR="00E25721" w:rsidRPr="00295637">
        <w:rPr>
          <w:rFonts w:ascii="Times New Roman" w:hAnsi="Times New Roman"/>
          <w:lang w:val="sr-Latn-BA"/>
        </w:rPr>
        <w:t xml:space="preserve"> </w:t>
      </w:r>
      <w:r>
        <w:rPr>
          <w:rFonts w:ascii="Times New Roman" w:hAnsi="Times New Roman"/>
          <w:lang w:val="sr-Latn-BA"/>
        </w:rPr>
        <w:t>РС</w:t>
      </w:r>
      <w:r w:rsidR="00E25721" w:rsidRPr="00295637">
        <w:rPr>
          <w:rFonts w:ascii="Times New Roman" w:hAnsi="Times New Roman"/>
          <w:lang w:val="sr-Latn-BA"/>
        </w:rPr>
        <w:t xml:space="preserve"> </w:t>
      </w:r>
      <w:r>
        <w:rPr>
          <w:rFonts w:ascii="Times New Roman" w:hAnsi="Times New Roman"/>
          <w:lang w:val="sr-Latn-BA"/>
        </w:rPr>
        <w:t>води</w:t>
      </w:r>
      <w:r w:rsidR="00077F23" w:rsidRPr="00295637">
        <w:rPr>
          <w:rFonts w:ascii="Times New Roman" w:hAnsi="Times New Roman"/>
          <w:lang w:val="sr-Latn-BA"/>
        </w:rPr>
        <w:t xml:space="preserve"> </w:t>
      </w:r>
      <w:r>
        <w:rPr>
          <w:rFonts w:ascii="Times New Roman" w:hAnsi="Times New Roman"/>
          <w:lang w:val="sr-Latn-BA"/>
        </w:rPr>
        <w:t>евиденцију</w:t>
      </w:r>
      <w:r w:rsidR="00077F23" w:rsidRPr="00295637">
        <w:rPr>
          <w:rFonts w:ascii="Times New Roman" w:hAnsi="Times New Roman"/>
          <w:lang w:val="sr-Latn-BA"/>
        </w:rPr>
        <w:t xml:space="preserve"> </w:t>
      </w:r>
      <w:r>
        <w:rPr>
          <w:rFonts w:ascii="Times New Roman" w:hAnsi="Times New Roman"/>
          <w:lang w:val="sr-Latn-BA"/>
        </w:rPr>
        <w:t>о</w:t>
      </w:r>
      <w:r w:rsidR="00077F23" w:rsidRPr="00295637">
        <w:rPr>
          <w:rFonts w:ascii="Times New Roman" w:hAnsi="Times New Roman"/>
          <w:lang w:val="sr-Latn-BA"/>
        </w:rPr>
        <w:t xml:space="preserve"> </w:t>
      </w:r>
      <w:r>
        <w:rPr>
          <w:rFonts w:ascii="Times New Roman" w:hAnsi="Times New Roman"/>
          <w:lang w:val="sr-Latn-BA"/>
        </w:rPr>
        <w:t>лаким</w:t>
      </w:r>
      <w:r w:rsidR="00077F23" w:rsidRPr="00295637">
        <w:rPr>
          <w:rFonts w:ascii="Times New Roman" w:hAnsi="Times New Roman"/>
          <w:lang w:val="sr-Latn-BA"/>
        </w:rPr>
        <w:t xml:space="preserve"> </w:t>
      </w:r>
      <w:r>
        <w:rPr>
          <w:rFonts w:ascii="Times New Roman" w:hAnsi="Times New Roman"/>
          <w:lang w:val="sr-Latn-BA"/>
        </w:rPr>
        <w:t>повредама</w:t>
      </w:r>
      <w:r w:rsidR="00077F23" w:rsidRPr="00295637">
        <w:rPr>
          <w:rFonts w:ascii="Times New Roman" w:hAnsi="Times New Roman"/>
          <w:lang w:val="sr-Latn-BA"/>
        </w:rPr>
        <w:t xml:space="preserve"> </w:t>
      </w:r>
      <w:r>
        <w:rPr>
          <w:rFonts w:ascii="Times New Roman" w:hAnsi="Times New Roman"/>
          <w:lang w:val="sr-Latn-BA"/>
        </w:rPr>
        <w:t>на</w:t>
      </w:r>
      <w:r w:rsidR="00077F23" w:rsidRPr="00295637">
        <w:rPr>
          <w:rFonts w:ascii="Times New Roman" w:hAnsi="Times New Roman"/>
          <w:lang w:val="sr-Latn-BA"/>
        </w:rPr>
        <w:t xml:space="preserve"> </w:t>
      </w:r>
      <w:r>
        <w:rPr>
          <w:rFonts w:ascii="Times New Roman" w:hAnsi="Times New Roman"/>
          <w:lang w:val="sr-Latn-BA"/>
        </w:rPr>
        <w:t>раду</w:t>
      </w:r>
      <w:r w:rsidR="00077F23" w:rsidRPr="00295637">
        <w:rPr>
          <w:rFonts w:ascii="Times New Roman" w:hAnsi="Times New Roman"/>
          <w:lang w:val="sr-Latn-BA"/>
        </w:rPr>
        <w:t xml:space="preserve">. </w:t>
      </w:r>
      <w:r>
        <w:rPr>
          <w:rFonts w:ascii="Times New Roman" w:hAnsi="Times New Roman"/>
          <w:lang w:val="sr-Latn-BA"/>
        </w:rPr>
        <w:t>Израђен</w:t>
      </w:r>
      <w:r w:rsidR="00077F23" w:rsidRPr="00295637">
        <w:rPr>
          <w:rFonts w:ascii="Times New Roman" w:hAnsi="Times New Roman"/>
          <w:lang w:val="sr-Latn-BA"/>
        </w:rPr>
        <w:t xml:space="preserve"> </w:t>
      </w:r>
      <w:r>
        <w:rPr>
          <w:rFonts w:ascii="Times New Roman" w:hAnsi="Times New Roman"/>
          <w:lang w:val="sr-Latn-BA"/>
        </w:rPr>
        <w:t>је</w:t>
      </w:r>
      <w:r w:rsidR="00077F23" w:rsidRPr="00295637">
        <w:rPr>
          <w:rFonts w:ascii="Times New Roman" w:hAnsi="Times New Roman"/>
          <w:lang w:val="sr-Latn-BA"/>
        </w:rPr>
        <w:t xml:space="preserve"> </w:t>
      </w:r>
      <w:r>
        <w:rPr>
          <w:rFonts w:ascii="Times New Roman" w:hAnsi="Times New Roman"/>
          <w:lang w:val="sr-Latn-BA"/>
        </w:rPr>
        <w:t>Регистар</w:t>
      </w:r>
      <w:r w:rsidR="00077F23" w:rsidRPr="00295637">
        <w:rPr>
          <w:rFonts w:ascii="Times New Roman" w:hAnsi="Times New Roman"/>
          <w:lang w:val="sr-Latn-BA"/>
        </w:rPr>
        <w:t xml:space="preserve"> </w:t>
      </w:r>
      <w:r>
        <w:rPr>
          <w:rFonts w:ascii="Times New Roman" w:hAnsi="Times New Roman"/>
          <w:lang w:val="sr-Latn-BA"/>
        </w:rPr>
        <w:t>повреда</w:t>
      </w:r>
      <w:r w:rsidR="00077F23" w:rsidRPr="00295637">
        <w:rPr>
          <w:rFonts w:ascii="Times New Roman" w:hAnsi="Times New Roman"/>
          <w:lang w:val="sr-Latn-BA"/>
        </w:rPr>
        <w:t xml:space="preserve"> </w:t>
      </w:r>
      <w:r>
        <w:rPr>
          <w:rFonts w:ascii="Times New Roman" w:hAnsi="Times New Roman"/>
          <w:lang w:val="sr-Latn-BA"/>
        </w:rPr>
        <w:t>на</w:t>
      </w:r>
      <w:r w:rsidR="00077F23" w:rsidRPr="00295637">
        <w:rPr>
          <w:rFonts w:ascii="Times New Roman" w:hAnsi="Times New Roman"/>
          <w:lang w:val="sr-Latn-BA"/>
        </w:rPr>
        <w:t xml:space="preserve"> </w:t>
      </w:r>
      <w:r>
        <w:rPr>
          <w:rFonts w:ascii="Times New Roman" w:hAnsi="Times New Roman"/>
          <w:lang w:val="sr-Latn-BA"/>
        </w:rPr>
        <w:t>раду</w:t>
      </w:r>
      <w:r w:rsidR="00077F23" w:rsidRPr="00295637">
        <w:rPr>
          <w:rFonts w:ascii="Times New Roman" w:hAnsi="Times New Roman"/>
          <w:lang w:val="sr-Latn-BA"/>
        </w:rPr>
        <w:t xml:space="preserve">, </w:t>
      </w:r>
      <w:r>
        <w:rPr>
          <w:rFonts w:ascii="Times New Roman" w:hAnsi="Times New Roman"/>
          <w:lang w:val="sr-Latn-BA"/>
        </w:rPr>
        <w:t>који</w:t>
      </w:r>
      <w:r w:rsidR="00077F23" w:rsidRPr="00295637">
        <w:rPr>
          <w:rFonts w:ascii="Times New Roman" w:hAnsi="Times New Roman"/>
          <w:lang w:val="sr-Latn-BA"/>
        </w:rPr>
        <w:t xml:space="preserve"> </w:t>
      </w:r>
      <w:r>
        <w:rPr>
          <w:rFonts w:ascii="Times New Roman" w:hAnsi="Times New Roman"/>
          <w:lang w:val="sr-Latn-BA"/>
        </w:rPr>
        <w:t>је</w:t>
      </w:r>
      <w:r w:rsidR="00077F23" w:rsidRPr="00295637">
        <w:rPr>
          <w:rFonts w:ascii="Times New Roman" w:hAnsi="Times New Roman"/>
          <w:lang w:val="sr-Latn-BA"/>
        </w:rPr>
        <w:t xml:space="preserve"> </w:t>
      </w:r>
      <w:r>
        <w:rPr>
          <w:rFonts w:ascii="Times New Roman" w:hAnsi="Times New Roman"/>
          <w:lang w:val="sr-Latn-BA"/>
        </w:rPr>
        <w:t>премјештен</w:t>
      </w:r>
      <w:r w:rsidR="00077F23" w:rsidRPr="00295637">
        <w:rPr>
          <w:rFonts w:ascii="Times New Roman" w:hAnsi="Times New Roman"/>
          <w:lang w:val="sr-Latn-BA"/>
        </w:rPr>
        <w:t xml:space="preserve"> </w:t>
      </w:r>
      <w:r>
        <w:rPr>
          <w:rFonts w:ascii="Times New Roman" w:hAnsi="Times New Roman"/>
          <w:lang w:val="sr-Latn-BA"/>
        </w:rPr>
        <w:t>из</w:t>
      </w:r>
      <w:r w:rsidR="00077F23" w:rsidRPr="00295637">
        <w:rPr>
          <w:rFonts w:ascii="Times New Roman" w:hAnsi="Times New Roman"/>
          <w:lang w:val="sr-Latn-BA"/>
        </w:rPr>
        <w:t xml:space="preserve"> </w:t>
      </w:r>
      <w:r>
        <w:rPr>
          <w:rFonts w:ascii="Times New Roman" w:hAnsi="Times New Roman"/>
          <w:lang w:val="sr-Latn-BA"/>
        </w:rPr>
        <w:t>надлежности</w:t>
      </w:r>
      <w:r w:rsidR="00077F23" w:rsidRPr="00295637">
        <w:rPr>
          <w:rFonts w:ascii="Times New Roman" w:hAnsi="Times New Roman"/>
          <w:lang w:val="sr-Latn-BA"/>
        </w:rPr>
        <w:t xml:space="preserve"> </w:t>
      </w:r>
      <w:r>
        <w:rPr>
          <w:rFonts w:ascii="Times New Roman" w:hAnsi="Times New Roman"/>
          <w:lang w:val="sr-Latn-BA"/>
        </w:rPr>
        <w:t>МРБИЗ</w:t>
      </w:r>
      <w:r w:rsidR="00E25721" w:rsidRPr="00295637">
        <w:rPr>
          <w:rFonts w:ascii="Times New Roman" w:hAnsi="Times New Roman"/>
          <w:lang w:val="sr-Latn-BA"/>
        </w:rPr>
        <w:t xml:space="preserve"> </w:t>
      </w:r>
      <w:r>
        <w:rPr>
          <w:rFonts w:ascii="Times New Roman" w:hAnsi="Times New Roman"/>
          <w:lang w:val="sr-Latn-BA"/>
        </w:rPr>
        <w:t>РС</w:t>
      </w:r>
      <w:r w:rsidR="00E25721" w:rsidRPr="00295637">
        <w:rPr>
          <w:rFonts w:ascii="Times New Roman" w:hAnsi="Times New Roman"/>
          <w:lang w:val="sr-Latn-BA"/>
        </w:rPr>
        <w:t xml:space="preserve"> </w:t>
      </w:r>
      <w:r>
        <w:rPr>
          <w:rFonts w:ascii="Times New Roman" w:hAnsi="Times New Roman"/>
          <w:lang w:val="sr-Latn-BA"/>
        </w:rPr>
        <w:t>у</w:t>
      </w:r>
      <w:r w:rsidR="00E25721" w:rsidRPr="00295637">
        <w:rPr>
          <w:rFonts w:ascii="Times New Roman" w:hAnsi="Times New Roman"/>
          <w:lang w:val="sr-Latn-BA"/>
        </w:rPr>
        <w:t xml:space="preserve"> </w:t>
      </w:r>
      <w:r>
        <w:rPr>
          <w:rFonts w:ascii="Times New Roman" w:hAnsi="Times New Roman"/>
          <w:lang w:val="sr-Latn-BA"/>
        </w:rPr>
        <w:t>надлежност</w:t>
      </w:r>
      <w:r w:rsidR="00077F23" w:rsidRPr="00295637">
        <w:rPr>
          <w:rFonts w:ascii="Times New Roman" w:hAnsi="Times New Roman"/>
          <w:lang w:val="sr-Latn-BA"/>
        </w:rPr>
        <w:t xml:space="preserve"> </w:t>
      </w:r>
      <w:r>
        <w:rPr>
          <w:rFonts w:ascii="Times New Roman" w:hAnsi="Times New Roman"/>
          <w:lang w:val="sr-Latn-BA"/>
        </w:rPr>
        <w:t>МЗСЗ</w:t>
      </w:r>
      <w:r w:rsidR="00E25721" w:rsidRPr="00295637">
        <w:rPr>
          <w:rFonts w:ascii="Times New Roman" w:hAnsi="Times New Roman"/>
          <w:lang w:val="sr-Latn-BA"/>
        </w:rPr>
        <w:t xml:space="preserve"> </w:t>
      </w:r>
      <w:r>
        <w:rPr>
          <w:rFonts w:ascii="Times New Roman" w:hAnsi="Times New Roman"/>
          <w:lang w:val="sr-Latn-BA"/>
        </w:rPr>
        <w:t>РС</w:t>
      </w:r>
      <w:r w:rsidR="00077F23" w:rsidRPr="00295637">
        <w:rPr>
          <w:rFonts w:ascii="Times New Roman" w:hAnsi="Times New Roman"/>
          <w:lang w:val="sr-Latn-BA"/>
        </w:rPr>
        <w:t>.</w:t>
      </w:r>
    </w:p>
    <w:p w:rsidR="00077F23" w:rsidRPr="00295637" w:rsidRDefault="00077F23" w:rsidP="0086268D">
      <w:pPr>
        <w:pStyle w:val="ListParagraph"/>
        <w:ind w:left="0"/>
        <w:jc w:val="both"/>
        <w:rPr>
          <w:rFonts w:ascii="Times New Roman" w:hAnsi="Times New Roman"/>
          <w:lang w:val="sr-Latn-BA"/>
        </w:rPr>
      </w:pPr>
    </w:p>
    <w:p w:rsidR="00650D2E" w:rsidRDefault="00C6214E" w:rsidP="0086268D">
      <w:pPr>
        <w:jc w:val="both"/>
        <w:rPr>
          <w:rFonts w:ascii="Times New Roman" w:hAnsi="Times New Roman"/>
          <w:lang w:val="sr-Latn-BA"/>
        </w:rPr>
      </w:pPr>
      <w:r>
        <w:rPr>
          <w:rFonts w:ascii="Times New Roman" w:hAnsi="Times New Roman"/>
          <w:lang w:val="sr-Latn-BA"/>
        </w:rPr>
        <w:t>У</w:t>
      </w:r>
      <w:r w:rsidR="00077F23" w:rsidRPr="00295637">
        <w:rPr>
          <w:rFonts w:ascii="Times New Roman" w:hAnsi="Times New Roman"/>
          <w:lang w:val="sr-Latn-BA"/>
        </w:rPr>
        <w:t xml:space="preserve"> 2024. </w:t>
      </w:r>
      <w:r>
        <w:rPr>
          <w:rFonts w:ascii="Times New Roman" w:hAnsi="Times New Roman"/>
          <w:lang w:val="sr-Latn-BA"/>
        </w:rPr>
        <w:t>години</w:t>
      </w:r>
      <w:r w:rsidR="00077F23" w:rsidRPr="00295637">
        <w:rPr>
          <w:rFonts w:ascii="Times New Roman" w:hAnsi="Times New Roman"/>
          <w:lang w:val="sr-Latn-BA"/>
        </w:rPr>
        <w:t xml:space="preserve">, </w:t>
      </w: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координацији</w:t>
      </w:r>
      <w:r w:rsidR="00077F23" w:rsidRPr="00295637">
        <w:rPr>
          <w:rFonts w:ascii="Times New Roman" w:hAnsi="Times New Roman"/>
          <w:lang w:val="sr-Latn-BA"/>
        </w:rPr>
        <w:t xml:space="preserve"> </w:t>
      </w:r>
      <w:r>
        <w:rPr>
          <w:rFonts w:ascii="Times New Roman" w:hAnsi="Times New Roman"/>
          <w:lang w:val="sr-Latn-BA"/>
        </w:rPr>
        <w:t>МРБ</w:t>
      </w:r>
      <w:r w:rsidR="00F82DDB">
        <w:rPr>
          <w:rFonts w:ascii="Times New Roman" w:hAnsi="Times New Roman"/>
          <w:lang w:val="sr-Cyrl-BA"/>
        </w:rPr>
        <w:t>И</w:t>
      </w:r>
      <w:r>
        <w:rPr>
          <w:rFonts w:ascii="Times New Roman" w:hAnsi="Times New Roman"/>
          <w:lang w:val="sr-Latn-BA"/>
        </w:rPr>
        <w:t>З</w:t>
      </w:r>
      <w:r w:rsidR="00CA10D5">
        <w:rPr>
          <w:rFonts w:ascii="Times New Roman" w:hAnsi="Times New Roman"/>
          <w:lang w:val="sr-Latn-BA"/>
        </w:rPr>
        <w:t xml:space="preserve"> </w:t>
      </w:r>
      <w:r>
        <w:rPr>
          <w:rFonts w:ascii="Times New Roman" w:hAnsi="Times New Roman"/>
          <w:lang w:val="sr-Latn-BA"/>
        </w:rPr>
        <w:t>РС</w:t>
      </w:r>
      <w:r w:rsidR="00077F23" w:rsidRPr="00295637">
        <w:rPr>
          <w:rFonts w:ascii="Times New Roman" w:hAnsi="Times New Roman"/>
          <w:lang w:val="sr-Latn-BA"/>
        </w:rPr>
        <w:t xml:space="preserve">, </w:t>
      </w:r>
      <w:r>
        <w:rPr>
          <w:rFonts w:ascii="Times New Roman" w:hAnsi="Times New Roman"/>
          <w:lang w:val="sr-Latn-BA"/>
        </w:rPr>
        <w:t>прикупљани</w:t>
      </w:r>
      <w:r w:rsidR="00077F23" w:rsidRPr="00295637">
        <w:rPr>
          <w:rFonts w:ascii="Times New Roman" w:hAnsi="Times New Roman"/>
          <w:lang w:val="sr-Latn-BA"/>
        </w:rPr>
        <w:t xml:space="preserve"> </w:t>
      </w:r>
      <w:r>
        <w:rPr>
          <w:rFonts w:ascii="Times New Roman" w:hAnsi="Times New Roman"/>
          <w:lang w:val="sr-Latn-BA"/>
        </w:rPr>
        <w:t>су</w:t>
      </w:r>
      <w:r w:rsidR="00077F23" w:rsidRPr="00295637">
        <w:rPr>
          <w:rFonts w:ascii="Times New Roman" w:hAnsi="Times New Roman"/>
          <w:lang w:val="sr-Latn-BA"/>
        </w:rPr>
        <w:t xml:space="preserve"> </w:t>
      </w:r>
      <w:r>
        <w:rPr>
          <w:rFonts w:ascii="Times New Roman" w:hAnsi="Times New Roman"/>
          <w:lang w:val="sr-Latn-BA"/>
        </w:rPr>
        <w:t>подаци</w:t>
      </w:r>
      <w:r w:rsidR="00077F23" w:rsidRPr="00295637">
        <w:rPr>
          <w:rFonts w:ascii="Times New Roman" w:hAnsi="Times New Roman"/>
          <w:lang w:val="sr-Latn-BA"/>
        </w:rPr>
        <w:t xml:space="preserve"> </w:t>
      </w:r>
      <w:r>
        <w:rPr>
          <w:rFonts w:ascii="Times New Roman" w:hAnsi="Times New Roman"/>
          <w:lang w:val="sr-Latn-BA"/>
        </w:rPr>
        <w:t>за</w:t>
      </w:r>
      <w:r w:rsidR="00077F23" w:rsidRPr="00295637">
        <w:rPr>
          <w:rFonts w:ascii="Times New Roman" w:hAnsi="Times New Roman"/>
          <w:lang w:val="sr-Latn-BA"/>
        </w:rPr>
        <w:t xml:space="preserve"> </w:t>
      </w:r>
      <w:r>
        <w:rPr>
          <w:rFonts w:ascii="Times New Roman" w:hAnsi="Times New Roman"/>
          <w:lang w:val="sr-Latn-BA"/>
        </w:rPr>
        <w:t>оцјену</w:t>
      </w:r>
      <w:r w:rsidR="00077F23" w:rsidRPr="00295637">
        <w:rPr>
          <w:rFonts w:ascii="Times New Roman" w:hAnsi="Times New Roman"/>
          <w:lang w:val="sr-Latn-BA"/>
        </w:rPr>
        <w:t xml:space="preserve"> </w:t>
      </w:r>
      <w:r>
        <w:rPr>
          <w:rFonts w:ascii="Times New Roman" w:hAnsi="Times New Roman"/>
          <w:lang w:val="sr-Latn-BA"/>
        </w:rPr>
        <w:t>стања</w:t>
      </w:r>
      <w:r w:rsidR="00077F23" w:rsidRPr="00295637">
        <w:rPr>
          <w:rFonts w:ascii="Times New Roman" w:hAnsi="Times New Roman"/>
          <w:lang w:val="sr-Latn-BA"/>
        </w:rPr>
        <w:t xml:space="preserve"> </w:t>
      </w:r>
      <w:r>
        <w:rPr>
          <w:rFonts w:ascii="Times New Roman" w:hAnsi="Times New Roman"/>
          <w:lang w:val="sr-Latn-BA"/>
        </w:rPr>
        <w:t>по</w:t>
      </w:r>
      <w:r w:rsidR="00077F23" w:rsidRPr="00295637">
        <w:rPr>
          <w:rFonts w:ascii="Times New Roman" w:hAnsi="Times New Roman"/>
          <w:lang w:val="sr-Latn-BA"/>
        </w:rPr>
        <w:t xml:space="preserve"> </w:t>
      </w:r>
      <w:r>
        <w:rPr>
          <w:rFonts w:ascii="Times New Roman" w:hAnsi="Times New Roman"/>
          <w:lang w:val="sr-Latn-BA"/>
        </w:rPr>
        <w:t>упитнику</w:t>
      </w:r>
      <w:r w:rsidR="00077F23" w:rsidRPr="00295637">
        <w:rPr>
          <w:rFonts w:ascii="Times New Roman" w:hAnsi="Times New Roman"/>
          <w:lang w:val="sr-Latn-BA"/>
        </w:rPr>
        <w:t xml:space="preserve"> </w:t>
      </w:r>
      <w:r w:rsidR="00F82DDB" w:rsidRPr="00F82DDB">
        <w:rPr>
          <w:rFonts w:ascii="Times New Roman" w:hAnsi="Times New Roman"/>
          <w:i/>
          <w:lang w:val="sr-Latn-BA"/>
        </w:rPr>
        <w:t>OECD</w:t>
      </w:r>
      <w:r w:rsidR="00077F23" w:rsidRPr="00295637">
        <w:rPr>
          <w:rFonts w:ascii="Times New Roman" w:hAnsi="Times New Roman"/>
          <w:lang w:val="sr-Latn-BA"/>
        </w:rPr>
        <w:t xml:space="preserve"> </w:t>
      </w:r>
      <w:r>
        <w:rPr>
          <w:rFonts w:ascii="Times New Roman" w:hAnsi="Times New Roman"/>
          <w:lang w:val="sr-Latn-BA"/>
        </w:rPr>
        <w:t>за</w:t>
      </w:r>
      <w:r w:rsidR="00077F23" w:rsidRPr="00295637">
        <w:rPr>
          <w:rFonts w:ascii="Times New Roman" w:hAnsi="Times New Roman"/>
          <w:lang w:val="sr-Latn-BA"/>
        </w:rPr>
        <w:t xml:space="preserve"> </w:t>
      </w:r>
      <w:r>
        <w:rPr>
          <w:rFonts w:ascii="Times New Roman" w:hAnsi="Times New Roman"/>
          <w:lang w:val="sr-Latn-BA"/>
        </w:rPr>
        <w:t>квалитативне</w:t>
      </w:r>
      <w:r w:rsidR="00077F23" w:rsidRPr="00295637">
        <w:rPr>
          <w:rFonts w:ascii="Times New Roman" w:hAnsi="Times New Roman"/>
          <w:lang w:val="sr-Latn-BA"/>
        </w:rPr>
        <w:t xml:space="preserve"> </w:t>
      </w:r>
      <w:r>
        <w:rPr>
          <w:rFonts w:ascii="Times New Roman" w:hAnsi="Times New Roman"/>
          <w:lang w:val="sr-Latn-BA"/>
        </w:rPr>
        <w:t>индикаторе</w:t>
      </w:r>
      <w:r w:rsidR="00077F23" w:rsidRPr="00295637">
        <w:rPr>
          <w:rFonts w:ascii="Times New Roman" w:hAnsi="Times New Roman"/>
          <w:lang w:val="sr-Latn-BA"/>
        </w:rPr>
        <w:t xml:space="preserve"> </w:t>
      </w:r>
      <w:r>
        <w:rPr>
          <w:rFonts w:ascii="Times New Roman" w:hAnsi="Times New Roman"/>
          <w:lang w:val="sr-Latn-BA"/>
        </w:rPr>
        <w:t>за</w:t>
      </w:r>
      <w:r w:rsidR="00077F23" w:rsidRPr="00295637">
        <w:rPr>
          <w:rFonts w:ascii="Times New Roman" w:hAnsi="Times New Roman"/>
          <w:lang w:val="sr-Latn-BA"/>
        </w:rPr>
        <w:t xml:space="preserve"> </w:t>
      </w:r>
      <w:r>
        <w:rPr>
          <w:rFonts w:ascii="Times New Roman" w:hAnsi="Times New Roman"/>
          <w:lang w:val="sr-Latn-BA"/>
        </w:rPr>
        <w:t>димензију</w:t>
      </w:r>
      <w:r w:rsidR="00077F23" w:rsidRPr="00295637">
        <w:rPr>
          <w:rFonts w:ascii="Times New Roman" w:hAnsi="Times New Roman"/>
          <w:lang w:val="sr-Latn-BA"/>
        </w:rPr>
        <w:t xml:space="preserve"> </w:t>
      </w:r>
      <w:r>
        <w:rPr>
          <w:rFonts w:ascii="Times New Roman" w:hAnsi="Times New Roman"/>
          <w:lang w:val="sr-Latn-BA"/>
        </w:rPr>
        <w:t>запослености</w:t>
      </w:r>
      <w:r w:rsidR="00CA10D5">
        <w:rPr>
          <w:rStyle w:val="FootnoteReference"/>
          <w:rFonts w:ascii="Times New Roman" w:hAnsi="Times New Roman"/>
          <w:lang w:val="sr-Latn-BA"/>
        </w:rPr>
        <w:footnoteReference w:id="3"/>
      </w:r>
      <w:r w:rsidR="00077F23" w:rsidRPr="00295637">
        <w:rPr>
          <w:rFonts w:ascii="Times New Roman" w:hAnsi="Times New Roman"/>
          <w:lang w:val="sr-Latn-BA"/>
        </w:rPr>
        <w:t xml:space="preserve">. </w:t>
      </w: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оквиру</w:t>
      </w:r>
      <w:r w:rsidR="00077F23" w:rsidRPr="00295637">
        <w:rPr>
          <w:rFonts w:ascii="Times New Roman" w:hAnsi="Times New Roman"/>
          <w:lang w:val="sr-Latn-BA"/>
        </w:rPr>
        <w:t xml:space="preserve"> </w:t>
      </w:r>
      <w:r>
        <w:rPr>
          <w:rFonts w:ascii="Times New Roman" w:hAnsi="Times New Roman"/>
          <w:lang w:val="sr-Latn-BA"/>
        </w:rPr>
        <w:t>поддимензије</w:t>
      </w:r>
      <w:r w:rsidR="00077F23" w:rsidRPr="00295637">
        <w:rPr>
          <w:rFonts w:ascii="Times New Roman" w:hAnsi="Times New Roman"/>
          <w:lang w:val="sr-Latn-BA"/>
        </w:rPr>
        <w:t xml:space="preserve"> 1: </w:t>
      </w:r>
      <w:r>
        <w:rPr>
          <w:rFonts w:ascii="Times New Roman" w:hAnsi="Times New Roman"/>
          <w:lang w:val="sr-Latn-BA"/>
        </w:rPr>
        <w:t>Управљање</w:t>
      </w:r>
      <w:r w:rsidR="00077F23" w:rsidRPr="00295637">
        <w:rPr>
          <w:rFonts w:ascii="Times New Roman" w:hAnsi="Times New Roman"/>
          <w:lang w:val="sr-Latn-BA"/>
        </w:rPr>
        <w:t xml:space="preserve"> </w:t>
      </w:r>
      <w:r>
        <w:rPr>
          <w:rFonts w:ascii="Times New Roman" w:hAnsi="Times New Roman"/>
          <w:lang w:val="sr-Latn-BA"/>
        </w:rPr>
        <w:t>инклузивним</w:t>
      </w:r>
      <w:r w:rsidR="00077F23" w:rsidRPr="00295637">
        <w:rPr>
          <w:rFonts w:ascii="Times New Roman" w:hAnsi="Times New Roman"/>
          <w:lang w:val="sr-Latn-BA"/>
        </w:rPr>
        <w:t xml:space="preserve"> </w:t>
      </w:r>
      <w:r>
        <w:rPr>
          <w:rFonts w:ascii="Times New Roman" w:hAnsi="Times New Roman"/>
          <w:lang w:val="sr-Latn-BA"/>
        </w:rPr>
        <w:t>тржиштем</w:t>
      </w:r>
      <w:r w:rsidR="00077F23" w:rsidRPr="00295637">
        <w:rPr>
          <w:rFonts w:ascii="Times New Roman" w:hAnsi="Times New Roman"/>
          <w:lang w:val="sr-Latn-BA"/>
        </w:rPr>
        <w:t xml:space="preserve"> </w:t>
      </w:r>
      <w:r>
        <w:rPr>
          <w:rFonts w:ascii="Times New Roman" w:hAnsi="Times New Roman"/>
          <w:lang w:val="sr-Latn-BA"/>
        </w:rPr>
        <w:t>рада</w:t>
      </w:r>
      <w:r w:rsidR="00077F23" w:rsidRPr="00295637">
        <w:rPr>
          <w:rFonts w:ascii="Times New Roman" w:hAnsi="Times New Roman"/>
          <w:lang w:val="sr-Latn-BA"/>
        </w:rPr>
        <w:t xml:space="preserve">, </w:t>
      </w: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одјељку</w:t>
      </w:r>
      <w:r w:rsidR="00077F23" w:rsidRPr="00295637">
        <w:rPr>
          <w:rFonts w:ascii="Times New Roman" w:hAnsi="Times New Roman"/>
          <w:lang w:val="sr-Latn-BA"/>
        </w:rPr>
        <w:t xml:space="preserve"> Q</w:t>
      </w:r>
      <w:r>
        <w:rPr>
          <w:rFonts w:ascii="Times New Roman" w:hAnsi="Times New Roman"/>
          <w:lang w:val="sr-Latn-BA"/>
        </w:rPr>
        <w:t>Л</w:t>
      </w:r>
      <w:r w:rsidR="00077F23" w:rsidRPr="00295637">
        <w:rPr>
          <w:rFonts w:ascii="Times New Roman" w:hAnsi="Times New Roman"/>
          <w:lang w:val="sr-Latn-BA"/>
        </w:rPr>
        <w:t xml:space="preserve">4. </w:t>
      </w:r>
      <w:r>
        <w:rPr>
          <w:rFonts w:ascii="Times New Roman" w:hAnsi="Times New Roman"/>
          <w:lang w:val="sr-Latn-BA"/>
        </w:rPr>
        <w:t>Инклузивне</w:t>
      </w:r>
      <w:r w:rsidR="00077F23" w:rsidRPr="00295637">
        <w:rPr>
          <w:rFonts w:ascii="Times New Roman" w:hAnsi="Times New Roman"/>
          <w:lang w:val="sr-Latn-BA"/>
        </w:rPr>
        <w:t xml:space="preserve"> </w:t>
      </w:r>
      <w:r>
        <w:rPr>
          <w:rFonts w:ascii="Times New Roman" w:hAnsi="Times New Roman"/>
          <w:lang w:val="sr-Latn-BA"/>
        </w:rPr>
        <w:t>политике</w:t>
      </w:r>
      <w:r w:rsidR="00077F23" w:rsidRPr="00295637">
        <w:rPr>
          <w:rFonts w:ascii="Times New Roman" w:hAnsi="Times New Roman"/>
          <w:lang w:val="sr-Latn-BA"/>
        </w:rPr>
        <w:t xml:space="preserve"> </w:t>
      </w:r>
      <w:r>
        <w:rPr>
          <w:rFonts w:ascii="Times New Roman" w:hAnsi="Times New Roman"/>
          <w:lang w:val="sr-Latn-BA"/>
        </w:rPr>
        <w:t>запошљавања</w:t>
      </w:r>
      <w:r w:rsidR="00077F23" w:rsidRPr="00295637">
        <w:rPr>
          <w:rFonts w:ascii="Times New Roman" w:hAnsi="Times New Roman"/>
          <w:lang w:val="sr-Latn-BA"/>
        </w:rPr>
        <w:t xml:space="preserve">, </w:t>
      </w:r>
      <w:r>
        <w:rPr>
          <w:rFonts w:ascii="Times New Roman" w:hAnsi="Times New Roman"/>
          <w:lang w:val="sr-Latn-BA"/>
        </w:rPr>
        <w:t>ЦЈРП</w:t>
      </w:r>
      <w:r w:rsidR="00077F23" w:rsidRPr="00295637">
        <w:rPr>
          <w:rFonts w:ascii="Times New Roman" w:hAnsi="Times New Roman"/>
          <w:lang w:val="sr-Latn-BA"/>
        </w:rPr>
        <w:t xml:space="preserve"> </w:t>
      </w:r>
      <w:r>
        <w:rPr>
          <w:rFonts w:ascii="Times New Roman" w:hAnsi="Times New Roman"/>
          <w:lang w:val="sr-Latn-BA"/>
        </w:rPr>
        <w:t>РС</w:t>
      </w:r>
      <w:r w:rsidR="00077F23" w:rsidRPr="00295637">
        <w:rPr>
          <w:rFonts w:ascii="Times New Roman" w:hAnsi="Times New Roman"/>
          <w:lang w:val="sr-Latn-BA"/>
        </w:rPr>
        <w:t xml:space="preserve"> </w:t>
      </w:r>
      <w:r>
        <w:rPr>
          <w:rFonts w:ascii="Times New Roman" w:hAnsi="Times New Roman"/>
          <w:lang w:val="sr-Latn-BA"/>
        </w:rPr>
        <w:t>је</w:t>
      </w:r>
      <w:r w:rsidR="00077F23" w:rsidRPr="00295637">
        <w:rPr>
          <w:rFonts w:ascii="Times New Roman" w:hAnsi="Times New Roman"/>
          <w:lang w:val="sr-Latn-BA"/>
        </w:rPr>
        <w:t xml:space="preserve"> </w:t>
      </w:r>
      <w:r>
        <w:rPr>
          <w:rFonts w:ascii="Times New Roman" w:hAnsi="Times New Roman"/>
          <w:lang w:val="sr-Latn-BA"/>
        </w:rPr>
        <w:t>извијестио</w:t>
      </w:r>
      <w:r w:rsidR="00077F23" w:rsidRPr="00295637">
        <w:rPr>
          <w:rFonts w:ascii="Times New Roman" w:hAnsi="Times New Roman"/>
          <w:lang w:val="sr-Latn-BA"/>
        </w:rPr>
        <w:t xml:space="preserve"> </w:t>
      </w:r>
      <w:r>
        <w:rPr>
          <w:rFonts w:ascii="Times New Roman" w:hAnsi="Times New Roman"/>
          <w:lang w:val="sr-Latn-BA"/>
        </w:rPr>
        <w:t>о</w:t>
      </w:r>
      <w:r w:rsidR="00077F23" w:rsidRPr="00295637">
        <w:rPr>
          <w:rFonts w:ascii="Times New Roman" w:hAnsi="Times New Roman"/>
          <w:lang w:val="sr-Latn-BA"/>
        </w:rPr>
        <w:t xml:space="preserve"> </w:t>
      </w:r>
      <w:r>
        <w:rPr>
          <w:rFonts w:ascii="Times New Roman" w:hAnsi="Times New Roman"/>
          <w:lang w:val="sr-Latn-BA"/>
        </w:rPr>
        <w:t>мјерама</w:t>
      </w:r>
      <w:r w:rsidR="00077F23" w:rsidRPr="00295637">
        <w:rPr>
          <w:rFonts w:ascii="Times New Roman" w:hAnsi="Times New Roman"/>
          <w:lang w:val="sr-Latn-BA"/>
        </w:rPr>
        <w:t xml:space="preserve"> </w:t>
      </w:r>
      <w:r>
        <w:rPr>
          <w:rFonts w:ascii="Times New Roman" w:hAnsi="Times New Roman"/>
          <w:lang w:val="sr-Latn-BA"/>
        </w:rPr>
        <w:t>из</w:t>
      </w:r>
      <w:r w:rsidR="00077F23" w:rsidRPr="00295637">
        <w:rPr>
          <w:rFonts w:ascii="Times New Roman" w:hAnsi="Times New Roman"/>
          <w:lang w:val="sr-Latn-BA"/>
        </w:rPr>
        <w:t xml:space="preserve"> </w:t>
      </w:r>
      <w:r>
        <w:rPr>
          <w:rFonts w:ascii="Times New Roman" w:hAnsi="Times New Roman"/>
          <w:lang w:val="sr-Latn-BA"/>
        </w:rPr>
        <w:t>ГАП</w:t>
      </w:r>
      <w:r w:rsidR="00077F23" w:rsidRPr="00295637">
        <w:rPr>
          <w:rFonts w:ascii="Times New Roman" w:hAnsi="Times New Roman"/>
          <w:lang w:val="sr-Latn-BA"/>
        </w:rPr>
        <w:t xml:space="preserve"> </w:t>
      </w:r>
      <w:r>
        <w:rPr>
          <w:rFonts w:ascii="Times New Roman" w:hAnsi="Times New Roman"/>
          <w:lang w:val="sr-Latn-BA"/>
        </w:rPr>
        <w:t>БиХ</w:t>
      </w:r>
      <w:r w:rsidR="00077F23" w:rsidRPr="00295637">
        <w:rPr>
          <w:rFonts w:ascii="Times New Roman" w:hAnsi="Times New Roman"/>
          <w:lang w:val="sr-Latn-BA"/>
        </w:rPr>
        <w:t xml:space="preserve">, </w:t>
      </w:r>
      <w:r>
        <w:rPr>
          <w:rFonts w:ascii="Times New Roman" w:hAnsi="Times New Roman"/>
          <w:lang w:val="sr-Latn-BA"/>
        </w:rPr>
        <w:t>о</w:t>
      </w:r>
      <w:r w:rsidR="00077F23" w:rsidRPr="00295637">
        <w:rPr>
          <w:rFonts w:ascii="Times New Roman" w:hAnsi="Times New Roman"/>
          <w:lang w:val="sr-Latn-BA"/>
        </w:rPr>
        <w:t xml:space="preserve"> </w:t>
      </w:r>
      <w:r>
        <w:rPr>
          <w:rFonts w:ascii="Times New Roman" w:hAnsi="Times New Roman"/>
          <w:lang w:val="sr-Latn-BA"/>
        </w:rPr>
        <w:t>претходно</w:t>
      </w:r>
      <w:r w:rsidR="00077F23" w:rsidRPr="00295637">
        <w:rPr>
          <w:rFonts w:ascii="Times New Roman" w:hAnsi="Times New Roman"/>
          <w:lang w:val="sr-Latn-BA"/>
        </w:rPr>
        <w:t xml:space="preserve"> </w:t>
      </w:r>
      <w:r>
        <w:rPr>
          <w:rFonts w:ascii="Times New Roman" w:hAnsi="Times New Roman"/>
          <w:lang w:val="sr-Latn-BA"/>
        </w:rPr>
        <w:t>урађеној</w:t>
      </w:r>
      <w:r w:rsidR="00077F23" w:rsidRPr="00295637">
        <w:rPr>
          <w:rFonts w:ascii="Times New Roman" w:hAnsi="Times New Roman"/>
          <w:lang w:val="sr-Latn-BA"/>
        </w:rPr>
        <w:t xml:space="preserve"> </w:t>
      </w:r>
      <w:r>
        <w:rPr>
          <w:rFonts w:ascii="Times New Roman" w:hAnsi="Times New Roman"/>
          <w:lang w:val="sr-Latn-BA"/>
        </w:rPr>
        <w:t>студији</w:t>
      </w:r>
      <w:r w:rsidR="00077F23" w:rsidRPr="00295637">
        <w:rPr>
          <w:rFonts w:ascii="Times New Roman" w:hAnsi="Times New Roman"/>
          <w:lang w:val="sr-Latn-BA"/>
        </w:rPr>
        <w:t xml:space="preserve"> </w:t>
      </w:r>
      <w:r>
        <w:rPr>
          <w:rFonts w:ascii="Times New Roman" w:hAnsi="Times New Roman"/>
          <w:lang w:val="sr-Latn-BA"/>
        </w:rPr>
        <w:t>о</w:t>
      </w:r>
      <w:r w:rsidR="00077F23" w:rsidRPr="00295637">
        <w:rPr>
          <w:rFonts w:ascii="Times New Roman" w:hAnsi="Times New Roman"/>
          <w:lang w:val="sr-Latn-BA"/>
        </w:rPr>
        <w:t xml:space="preserve"> </w:t>
      </w:r>
      <w:r>
        <w:rPr>
          <w:rFonts w:ascii="Times New Roman" w:hAnsi="Times New Roman"/>
          <w:lang w:val="sr-Latn-BA"/>
        </w:rPr>
        <w:t>социоекономским</w:t>
      </w:r>
      <w:r w:rsidR="00077F23" w:rsidRPr="00295637">
        <w:rPr>
          <w:rFonts w:ascii="Times New Roman" w:hAnsi="Times New Roman"/>
          <w:lang w:val="sr-Latn-BA"/>
        </w:rPr>
        <w:t xml:space="preserve"> </w:t>
      </w:r>
      <w:r>
        <w:rPr>
          <w:rFonts w:ascii="Times New Roman" w:hAnsi="Times New Roman"/>
          <w:lang w:val="sr-Latn-BA"/>
        </w:rPr>
        <w:t>родним</w:t>
      </w:r>
      <w:r w:rsidR="00077F23" w:rsidRPr="00295637">
        <w:rPr>
          <w:rFonts w:ascii="Times New Roman" w:hAnsi="Times New Roman"/>
          <w:lang w:val="sr-Latn-BA"/>
        </w:rPr>
        <w:t xml:space="preserve"> </w:t>
      </w:r>
      <w:r>
        <w:rPr>
          <w:rFonts w:ascii="Times New Roman" w:hAnsi="Times New Roman"/>
          <w:lang w:val="sr-Latn-BA"/>
        </w:rPr>
        <w:t>неједнакостима</w:t>
      </w:r>
      <w:r w:rsidR="00077F23" w:rsidRPr="00295637">
        <w:rPr>
          <w:rFonts w:ascii="Times New Roman" w:hAnsi="Times New Roman"/>
          <w:lang w:val="sr-Latn-BA"/>
        </w:rPr>
        <w:t xml:space="preserve"> </w:t>
      </w:r>
      <w:r>
        <w:rPr>
          <w:rFonts w:ascii="Times New Roman" w:hAnsi="Times New Roman"/>
          <w:lang w:val="sr-Latn-BA"/>
        </w:rPr>
        <w:t>у</w:t>
      </w:r>
      <w:r w:rsidR="00077F23" w:rsidRPr="00295637">
        <w:rPr>
          <w:rFonts w:ascii="Times New Roman" w:hAnsi="Times New Roman"/>
          <w:lang w:val="sr-Latn-BA"/>
        </w:rPr>
        <w:t xml:space="preserve"> </w:t>
      </w:r>
      <w:r>
        <w:rPr>
          <w:rFonts w:ascii="Times New Roman" w:hAnsi="Times New Roman"/>
          <w:lang w:val="sr-Latn-BA"/>
        </w:rPr>
        <w:t>Републици</w:t>
      </w:r>
      <w:r w:rsidR="00077F23" w:rsidRPr="00295637">
        <w:rPr>
          <w:rFonts w:ascii="Times New Roman" w:hAnsi="Times New Roman"/>
          <w:lang w:val="sr-Latn-BA"/>
        </w:rPr>
        <w:t xml:space="preserve"> </w:t>
      </w:r>
      <w:r>
        <w:rPr>
          <w:rFonts w:ascii="Times New Roman" w:hAnsi="Times New Roman"/>
          <w:lang w:val="sr-Latn-BA"/>
        </w:rPr>
        <w:t>Српској</w:t>
      </w:r>
      <w:r w:rsidR="00077F23" w:rsidRPr="00295637">
        <w:rPr>
          <w:rFonts w:ascii="Times New Roman" w:hAnsi="Times New Roman"/>
          <w:lang w:val="sr-Latn-BA"/>
        </w:rPr>
        <w:t xml:space="preserve"> </w:t>
      </w:r>
      <w:r>
        <w:rPr>
          <w:rFonts w:ascii="Times New Roman" w:hAnsi="Times New Roman"/>
          <w:lang w:val="sr-Latn-BA"/>
        </w:rPr>
        <w:t>из</w:t>
      </w:r>
      <w:r w:rsidR="00077F23" w:rsidRPr="00295637">
        <w:rPr>
          <w:rFonts w:ascii="Times New Roman" w:hAnsi="Times New Roman"/>
          <w:lang w:val="sr-Latn-BA"/>
        </w:rPr>
        <w:t xml:space="preserve"> 2016. </w:t>
      </w:r>
      <w:r>
        <w:rPr>
          <w:rFonts w:ascii="Times New Roman" w:hAnsi="Times New Roman"/>
          <w:lang w:val="sr-Latn-BA"/>
        </w:rPr>
        <w:t>године</w:t>
      </w:r>
      <w:r w:rsidR="00077F23" w:rsidRPr="00295637">
        <w:rPr>
          <w:rFonts w:ascii="Times New Roman" w:hAnsi="Times New Roman"/>
          <w:lang w:val="sr-Latn-BA"/>
        </w:rPr>
        <w:t xml:space="preserve">, </w:t>
      </w:r>
      <w:r w:rsidR="00F82DDB">
        <w:rPr>
          <w:rFonts w:ascii="Times New Roman" w:hAnsi="Times New Roman"/>
          <w:lang w:val="sr-Cyrl-BA"/>
        </w:rPr>
        <w:t>с</w:t>
      </w:r>
      <w:r w:rsidR="00077F23" w:rsidRPr="00295637">
        <w:rPr>
          <w:rFonts w:ascii="Times New Roman" w:hAnsi="Times New Roman"/>
          <w:lang w:val="sr-Latn-BA"/>
        </w:rPr>
        <w:t xml:space="preserve"> </w:t>
      </w:r>
      <w:r>
        <w:rPr>
          <w:rFonts w:ascii="Times New Roman" w:hAnsi="Times New Roman"/>
          <w:lang w:val="sr-Latn-BA"/>
        </w:rPr>
        <w:t>циљ</w:t>
      </w:r>
      <w:r w:rsidR="00F82DDB">
        <w:rPr>
          <w:rFonts w:ascii="Times New Roman" w:hAnsi="Times New Roman"/>
          <w:lang w:val="sr-Cyrl-BA"/>
        </w:rPr>
        <w:t>ем</w:t>
      </w:r>
      <w:r w:rsidR="00077F23" w:rsidRPr="00295637">
        <w:rPr>
          <w:rFonts w:ascii="Times New Roman" w:hAnsi="Times New Roman"/>
          <w:lang w:val="sr-Latn-BA"/>
        </w:rPr>
        <w:t xml:space="preserve"> </w:t>
      </w:r>
      <w:r>
        <w:rPr>
          <w:rFonts w:ascii="Times New Roman" w:hAnsi="Times New Roman"/>
          <w:lang w:val="sr-Latn-BA"/>
        </w:rPr>
        <w:t>да</w:t>
      </w:r>
      <w:r w:rsidR="00077F23" w:rsidRPr="00295637">
        <w:rPr>
          <w:rFonts w:ascii="Times New Roman" w:hAnsi="Times New Roman"/>
          <w:lang w:val="sr-Latn-BA"/>
        </w:rPr>
        <w:t xml:space="preserve"> </w:t>
      </w:r>
      <w:r>
        <w:rPr>
          <w:rFonts w:ascii="Times New Roman" w:hAnsi="Times New Roman"/>
          <w:lang w:val="sr-Latn-BA"/>
        </w:rPr>
        <w:t>се</w:t>
      </w:r>
      <w:r w:rsidR="00077F23" w:rsidRPr="00295637">
        <w:rPr>
          <w:rFonts w:ascii="Times New Roman" w:hAnsi="Times New Roman"/>
          <w:lang w:val="sr-Latn-BA"/>
        </w:rPr>
        <w:t xml:space="preserve"> </w:t>
      </w:r>
      <w:r>
        <w:rPr>
          <w:rFonts w:ascii="Times New Roman" w:hAnsi="Times New Roman"/>
          <w:lang w:val="sr-Latn-BA"/>
        </w:rPr>
        <w:t>о</w:t>
      </w:r>
      <w:r w:rsidR="00F82DDB">
        <w:rPr>
          <w:rFonts w:ascii="Times New Roman" w:hAnsi="Times New Roman"/>
          <w:lang w:val="sr-Cyrl-BA"/>
        </w:rPr>
        <w:t>безбиједи</w:t>
      </w:r>
      <w:r w:rsidR="00077F23" w:rsidRPr="00295637">
        <w:rPr>
          <w:rFonts w:ascii="Times New Roman" w:hAnsi="Times New Roman"/>
          <w:lang w:val="sr-Latn-BA"/>
        </w:rPr>
        <w:t xml:space="preserve"> </w:t>
      </w:r>
      <w:r>
        <w:rPr>
          <w:rFonts w:ascii="Times New Roman" w:hAnsi="Times New Roman"/>
          <w:lang w:val="sr-Latn-BA"/>
        </w:rPr>
        <w:t>систематско</w:t>
      </w:r>
      <w:r w:rsidR="00077F23" w:rsidRPr="00295637">
        <w:rPr>
          <w:rFonts w:ascii="Times New Roman" w:hAnsi="Times New Roman"/>
          <w:lang w:val="sr-Latn-BA"/>
        </w:rPr>
        <w:t xml:space="preserve"> </w:t>
      </w:r>
      <w:r>
        <w:rPr>
          <w:rFonts w:ascii="Times New Roman" w:hAnsi="Times New Roman"/>
          <w:lang w:val="sr-Latn-BA"/>
        </w:rPr>
        <w:t>проучавање</w:t>
      </w:r>
      <w:r w:rsidR="00077F23" w:rsidRPr="00295637">
        <w:rPr>
          <w:rFonts w:ascii="Times New Roman" w:hAnsi="Times New Roman"/>
          <w:lang w:val="sr-Latn-BA"/>
        </w:rPr>
        <w:t xml:space="preserve"> </w:t>
      </w:r>
      <w:r>
        <w:rPr>
          <w:rFonts w:ascii="Times New Roman" w:hAnsi="Times New Roman"/>
          <w:lang w:val="sr-Latn-BA"/>
        </w:rPr>
        <w:t>родних</w:t>
      </w:r>
      <w:r w:rsidR="00077F23" w:rsidRPr="00295637">
        <w:rPr>
          <w:rFonts w:ascii="Times New Roman" w:hAnsi="Times New Roman"/>
          <w:lang w:val="sr-Latn-BA"/>
        </w:rPr>
        <w:t xml:space="preserve"> </w:t>
      </w:r>
      <w:r>
        <w:rPr>
          <w:rFonts w:ascii="Times New Roman" w:hAnsi="Times New Roman"/>
          <w:lang w:val="sr-Latn-BA"/>
        </w:rPr>
        <w:t>социоекономских</w:t>
      </w:r>
      <w:r w:rsidR="00077F23" w:rsidRPr="00295637">
        <w:rPr>
          <w:rFonts w:ascii="Times New Roman" w:hAnsi="Times New Roman"/>
          <w:lang w:val="sr-Latn-BA"/>
        </w:rPr>
        <w:t xml:space="preserve"> </w:t>
      </w:r>
      <w:r>
        <w:rPr>
          <w:rFonts w:ascii="Times New Roman" w:hAnsi="Times New Roman"/>
          <w:lang w:val="sr-Latn-BA"/>
        </w:rPr>
        <w:t>разлика</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неједнакости</w:t>
      </w:r>
      <w:r w:rsidR="00077F23" w:rsidRPr="00295637">
        <w:rPr>
          <w:rFonts w:ascii="Times New Roman" w:hAnsi="Times New Roman"/>
          <w:lang w:val="sr-Latn-BA"/>
        </w:rPr>
        <w:t xml:space="preserve"> </w:t>
      </w:r>
      <w:r>
        <w:rPr>
          <w:rFonts w:ascii="Times New Roman" w:hAnsi="Times New Roman"/>
          <w:lang w:val="sr-Latn-BA"/>
        </w:rPr>
        <w:t>кроз</w:t>
      </w:r>
      <w:r w:rsidR="00077F23" w:rsidRPr="00295637">
        <w:rPr>
          <w:rFonts w:ascii="Times New Roman" w:hAnsi="Times New Roman"/>
          <w:lang w:val="sr-Latn-BA"/>
        </w:rPr>
        <w:t xml:space="preserve"> </w:t>
      </w:r>
      <w:r>
        <w:rPr>
          <w:rFonts w:ascii="Times New Roman" w:hAnsi="Times New Roman"/>
          <w:lang w:val="sr-Latn-BA"/>
        </w:rPr>
        <w:t>призму</w:t>
      </w:r>
      <w:r w:rsidR="00077F23" w:rsidRPr="00295637">
        <w:rPr>
          <w:rFonts w:ascii="Times New Roman" w:hAnsi="Times New Roman"/>
          <w:lang w:val="sr-Latn-BA"/>
        </w:rPr>
        <w:t xml:space="preserve"> </w:t>
      </w:r>
      <w:r>
        <w:rPr>
          <w:rFonts w:ascii="Times New Roman" w:hAnsi="Times New Roman"/>
          <w:lang w:val="sr-Latn-BA"/>
        </w:rPr>
        <w:t>животног</w:t>
      </w:r>
      <w:r w:rsidR="00077F23" w:rsidRPr="00295637">
        <w:rPr>
          <w:rFonts w:ascii="Times New Roman" w:hAnsi="Times New Roman"/>
          <w:lang w:val="sr-Latn-BA"/>
        </w:rPr>
        <w:t xml:space="preserve"> </w:t>
      </w:r>
      <w:r>
        <w:rPr>
          <w:rFonts w:ascii="Times New Roman" w:hAnsi="Times New Roman"/>
          <w:lang w:val="sr-Latn-BA"/>
        </w:rPr>
        <w:t>тока</w:t>
      </w:r>
      <w:r w:rsidR="00077F23" w:rsidRPr="00295637">
        <w:rPr>
          <w:rFonts w:ascii="Times New Roman" w:hAnsi="Times New Roman"/>
          <w:lang w:val="sr-Latn-BA"/>
        </w:rPr>
        <w:t xml:space="preserve">, </w:t>
      </w:r>
      <w:r>
        <w:rPr>
          <w:rFonts w:ascii="Times New Roman" w:hAnsi="Times New Roman"/>
          <w:lang w:val="sr-Latn-BA"/>
        </w:rPr>
        <w:t>јавним</w:t>
      </w:r>
      <w:r w:rsidR="00077F23" w:rsidRPr="00295637">
        <w:rPr>
          <w:rFonts w:ascii="Times New Roman" w:hAnsi="Times New Roman"/>
          <w:lang w:val="sr-Latn-BA"/>
        </w:rPr>
        <w:t xml:space="preserve"> </w:t>
      </w:r>
      <w:r>
        <w:rPr>
          <w:rFonts w:ascii="Times New Roman" w:hAnsi="Times New Roman"/>
          <w:lang w:val="sr-Latn-BA"/>
        </w:rPr>
        <w:t>политикама</w:t>
      </w:r>
      <w:r w:rsidR="00077F23" w:rsidRPr="00295637">
        <w:rPr>
          <w:rFonts w:ascii="Times New Roman" w:hAnsi="Times New Roman"/>
          <w:lang w:val="sr-Latn-BA"/>
        </w:rPr>
        <w:t xml:space="preserve"> </w:t>
      </w:r>
      <w:r>
        <w:rPr>
          <w:rFonts w:ascii="Times New Roman" w:hAnsi="Times New Roman"/>
          <w:lang w:val="sr-Latn-BA"/>
        </w:rPr>
        <w:t>за</w:t>
      </w:r>
      <w:r w:rsidR="00077F23" w:rsidRPr="00295637">
        <w:rPr>
          <w:rFonts w:ascii="Times New Roman" w:hAnsi="Times New Roman"/>
          <w:lang w:val="sr-Latn-BA"/>
        </w:rPr>
        <w:t xml:space="preserve"> </w:t>
      </w:r>
      <w:r>
        <w:rPr>
          <w:rFonts w:ascii="Times New Roman" w:hAnsi="Times New Roman"/>
          <w:lang w:val="sr-Latn-BA"/>
        </w:rPr>
        <w:t>развој</w:t>
      </w:r>
      <w:r w:rsidR="00077F23" w:rsidRPr="00295637">
        <w:rPr>
          <w:rFonts w:ascii="Times New Roman" w:hAnsi="Times New Roman"/>
          <w:lang w:val="sr-Latn-BA"/>
        </w:rPr>
        <w:t xml:space="preserve"> </w:t>
      </w:r>
      <w:r>
        <w:rPr>
          <w:rFonts w:ascii="Times New Roman" w:hAnsi="Times New Roman"/>
          <w:lang w:val="sr-Latn-BA"/>
        </w:rPr>
        <w:t>предузетништва</w:t>
      </w:r>
      <w:r w:rsidR="00077F23" w:rsidRPr="00295637">
        <w:rPr>
          <w:rFonts w:ascii="Times New Roman" w:hAnsi="Times New Roman"/>
          <w:lang w:val="sr-Latn-BA"/>
        </w:rPr>
        <w:t xml:space="preserve"> </w:t>
      </w:r>
      <w:r>
        <w:rPr>
          <w:rFonts w:ascii="Times New Roman" w:hAnsi="Times New Roman"/>
          <w:lang w:val="sr-Latn-BA"/>
        </w:rPr>
        <w:t>жена</w:t>
      </w:r>
      <w:r w:rsidR="00077F23" w:rsidRPr="00295637">
        <w:rPr>
          <w:rFonts w:ascii="Times New Roman" w:hAnsi="Times New Roman"/>
          <w:lang w:val="sr-Latn-BA"/>
        </w:rPr>
        <w:t xml:space="preserve">, </w:t>
      </w:r>
      <w:r>
        <w:rPr>
          <w:rFonts w:ascii="Times New Roman" w:hAnsi="Times New Roman"/>
          <w:lang w:val="sr-Latn-BA"/>
        </w:rPr>
        <w:t>подршци</w:t>
      </w:r>
      <w:r w:rsidR="00077F23" w:rsidRPr="00295637">
        <w:rPr>
          <w:rFonts w:ascii="Times New Roman" w:hAnsi="Times New Roman"/>
          <w:lang w:val="sr-Latn-BA"/>
        </w:rPr>
        <w:t xml:space="preserve"> </w:t>
      </w:r>
      <w:r>
        <w:rPr>
          <w:rFonts w:ascii="Times New Roman" w:hAnsi="Times New Roman"/>
          <w:lang w:val="sr-Latn-BA"/>
        </w:rPr>
        <w:t>женама</w:t>
      </w:r>
      <w:r w:rsidR="00077F23" w:rsidRPr="00295637">
        <w:rPr>
          <w:rFonts w:ascii="Times New Roman" w:hAnsi="Times New Roman"/>
          <w:lang w:val="sr-Latn-BA"/>
        </w:rPr>
        <w:t xml:space="preserve"> </w:t>
      </w:r>
      <w:r>
        <w:rPr>
          <w:rFonts w:ascii="Times New Roman" w:hAnsi="Times New Roman"/>
          <w:lang w:val="sr-Latn-BA"/>
        </w:rPr>
        <w:t>у</w:t>
      </w:r>
      <w:r w:rsidR="00077F23" w:rsidRPr="00295637">
        <w:rPr>
          <w:rFonts w:ascii="Times New Roman" w:hAnsi="Times New Roman"/>
          <w:lang w:val="sr-Latn-BA"/>
        </w:rPr>
        <w:t xml:space="preserve"> </w:t>
      </w:r>
      <w:r w:rsidR="00F82DDB" w:rsidRPr="00F82DDB">
        <w:rPr>
          <w:rFonts w:ascii="Times New Roman" w:hAnsi="Times New Roman"/>
          <w:i/>
          <w:lang w:val="sr-Latn-BA"/>
        </w:rPr>
        <w:t>STEM</w:t>
      </w:r>
      <w:r w:rsidR="00077F23" w:rsidRPr="00295637">
        <w:rPr>
          <w:rFonts w:ascii="Times New Roman" w:hAnsi="Times New Roman"/>
          <w:lang w:val="sr-Latn-BA"/>
        </w:rPr>
        <w:t xml:space="preserve"> </w:t>
      </w:r>
      <w:r>
        <w:rPr>
          <w:rFonts w:ascii="Times New Roman" w:hAnsi="Times New Roman"/>
          <w:lang w:val="sr-Latn-BA"/>
        </w:rPr>
        <w:t>областима</w:t>
      </w:r>
      <w:r w:rsidR="00077F23" w:rsidRPr="00295637">
        <w:rPr>
          <w:rFonts w:ascii="Times New Roman" w:hAnsi="Times New Roman"/>
          <w:lang w:val="sr-Latn-BA"/>
        </w:rPr>
        <w:t xml:space="preserve">, </w:t>
      </w:r>
      <w:r>
        <w:rPr>
          <w:rFonts w:ascii="Times New Roman" w:hAnsi="Times New Roman"/>
          <w:lang w:val="sr-Latn-BA"/>
        </w:rPr>
        <w:t>мјерама</w:t>
      </w:r>
      <w:r w:rsidR="00077F23" w:rsidRPr="00295637">
        <w:rPr>
          <w:rFonts w:ascii="Times New Roman" w:hAnsi="Times New Roman"/>
          <w:lang w:val="sr-Latn-BA"/>
        </w:rPr>
        <w:t xml:space="preserve"> </w:t>
      </w:r>
      <w:r>
        <w:rPr>
          <w:rFonts w:ascii="Times New Roman" w:hAnsi="Times New Roman"/>
          <w:lang w:val="sr-Latn-BA"/>
        </w:rPr>
        <w:t>за</w:t>
      </w:r>
      <w:r w:rsidR="00077F23" w:rsidRPr="00295637">
        <w:rPr>
          <w:rFonts w:ascii="Times New Roman" w:hAnsi="Times New Roman"/>
          <w:lang w:val="sr-Latn-BA"/>
        </w:rPr>
        <w:t xml:space="preserve"> </w:t>
      </w:r>
      <w:r>
        <w:rPr>
          <w:rFonts w:ascii="Times New Roman" w:hAnsi="Times New Roman"/>
          <w:lang w:val="sr-Latn-BA"/>
        </w:rPr>
        <w:t>смањење</w:t>
      </w:r>
      <w:r w:rsidR="00077F23" w:rsidRPr="00295637">
        <w:rPr>
          <w:rFonts w:ascii="Times New Roman" w:hAnsi="Times New Roman"/>
          <w:lang w:val="sr-Latn-BA"/>
        </w:rPr>
        <w:t xml:space="preserve"> </w:t>
      </w:r>
      <w:r>
        <w:rPr>
          <w:rFonts w:ascii="Times New Roman" w:hAnsi="Times New Roman"/>
          <w:lang w:val="sr-Latn-BA"/>
        </w:rPr>
        <w:t>полних</w:t>
      </w:r>
      <w:r w:rsidR="00077F23" w:rsidRPr="00295637">
        <w:rPr>
          <w:rFonts w:ascii="Times New Roman" w:hAnsi="Times New Roman"/>
          <w:lang w:val="sr-Latn-BA"/>
        </w:rPr>
        <w:t xml:space="preserve"> </w:t>
      </w:r>
      <w:r>
        <w:rPr>
          <w:rFonts w:ascii="Times New Roman" w:hAnsi="Times New Roman"/>
          <w:lang w:val="sr-Latn-BA"/>
        </w:rPr>
        <w:t>стереотипа</w:t>
      </w:r>
      <w:r w:rsidR="00077F23" w:rsidRPr="00295637">
        <w:rPr>
          <w:rFonts w:ascii="Times New Roman" w:hAnsi="Times New Roman"/>
          <w:lang w:val="sr-Latn-BA"/>
        </w:rPr>
        <w:t xml:space="preserve">, </w:t>
      </w:r>
      <w:r>
        <w:rPr>
          <w:rFonts w:ascii="Times New Roman" w:hAnsi="Times New Roman"/>
          <w:lang w:val="sr-Latn-BA"/>
        </w:rPr>
        <w:t>кампањама</w:t>
      </w:r>
      <w:r w:rsidR="00077F23" w:rsidRPr="00295637">
        <w:rPr>
          <w:rFonts w:ascii="Times New Roman" w:hAnsi="Times New Roman"/>
          <w:lang w:val="sr-Latn-BA"/>
        </w:rPr>
        <w:t xml:space="preserve"> </w:t>
      </w:r>
      <w:r>
        <w:rPr>
          <w:rFonts w:ascii="Times New Roman" w:hAnsi="Times New Roman"/>
          <w:lang w:val="sr-Latn-BA"/>
        </w:rPr>
        <w:t>за</w:t>
      </w:r>
      <w:r w:rsidR="00077F23" w:rsidRPr="00295637">
        <w:rPr>
          <w:rFonts w:ascii="Times New Roman" w:hAnsi="Times New Roman"/>
          <w:lang w:val="sr-Latn-BA"/>
        </w:rPr>
        <w:t xml:space="preserve"> </w:t>
      </w:r>
      <w:r>
        <w:rPr>
          <w:rFonts w:ascii="Times New Roman" w:hAnsi="Times New Roman"/>
          <w:lang w:val="sr-Latn-BA"/>
        </w:rPr>
        <w:t>смањење</w:t>
      </w:r>
      <w:r w:rsidR="00077F23" w:rsidRPr="00295637">
        <w:rPr>
          <w:rFonts w:ascii="Times New Roman" w:hAnsi="Times New Roman"/>
          <w:lang w:val="sr-Latn-BA"/>
        </w:rPr>
        <w:t xml:space="preserve"> </w:t>
      </w:r>
      <w:r>
        <w:rPr>
          <w:rFonts w:ascii="Times New Roman" w:hAnsi="Times New Roman"/>
          <w:lang w:val="sr-Latn-BA"/>
        </w:rPr>
        <w:t>дискриминације</w:t>
      </w:r>
      <w:r w:rsidR="00077F23" w:rsidRPr="00295637">
        <w:rPr>
          <w:rFonts w:ascii="Times New Roman" w:hAnsi="Times New Roman"/>
          <w:lang w:val="sr-Latn-BA"/>
        </w:rPr>
        <w:t xml:space="preserve"> </w:t>
      </w:r>
      <w:r>
        <w:rPr>
          <w:rFonts w:ascii="Times New Roman" w:hAnsi="Times New Roman"/>
          <w:lang w:val="sr-Latn-BA"/>
        </w:rPr>
        <w:t>по</w:t>
      </w:r>
      <w:r w:rsidR="00077F23" w:rsidRPr="00295637">
        <w:rPr>
          <w:rFonts w:ascii="Times New Roman" w:hAnsi="Times New Roman"/>
          <w:lang w:val="sr-Latn-BA"/>
        </w:rPr>
        <w:t xml:space="preserve"> </w:t>
      </w:r>
      <w:r>
        <w:rPr>
          <w:rFonts w:ascii="Times New Roman" w:hAnsi="Times New Roman"/>
          <w:lang w:val="sr-Latn-BA"/>
        </w:rPr>
        <w:t>основу</w:t>
      </w:r>
      <w:r w:rsidR="00077F23" w:rsidRPr="00295637">
        <w:rPr>
          <w:rFonts w:ascii="Times New Roman" w:hAnsi="Times New Roman"/>
          <w:lang w:val="sr-Latn-BA"/>
        </w:rPr>
        <w:t xml:space="preserve"> </w:t>
      </w:r>
      <w:r>
        <w:rPr>
          <w:rFonts w:ascii="Times New Roman" w:hAnsi="Times New Roman"/>
          <w:lang w:val="sr-Latn-BA"/>
        </w:rPr>
        <w:t>пола</w:t>
      </w:r>
      <w:r w:rsidR="00077F23" w:rsidRPr="00295637">
        <w:rPr>
          <w:rFonts w:ascii="Times New Roman" w:hAnsi="Times New Roman"/>
          <w:lang w:val="sr-Latn-BA"/>
        </w:rPr>
        <w:t xml:space="preserve">, </w:t>
      </w:r>
      <w:r>
        <w:rPr>
          <w:rFonts w:ascii="Times New Roman" w:hAnsi="Times New Roman"/>
          <w:lang w:val="sr-Latn-BA"/>
        </w:rPr>
        <w:t>процјенама</w:t>
      </w:r>
      <w:r w:rsidR="00077F23" w:rsidRPr="00295637">
        <w:rPr>
          <w:rFonts w:ascii="Times New Roman" w:hAnsi="Times New Roman"/>
          <w:lang w:val="sr-Latn-BA"/>
        </w:rPr>
        <w:t xml:space="preserve"> </w:t>
      </w:r>
      <w:r>
        <w:rPr>
          <w:rFonts w:ascii="Times New Roman" w:hAnsi="Times New Roman"/>
          <w:lang w:val="sr-Latn-BA"/>
        </w:rPr>
        <w:t>утицаја</w:t>
      </w:r>
      <w:r w:rsidR="00077F23" w:rsidRPr="00295637">
        <w:rPr>
          <w:rFonts w:ascii="Times New Roman" w:hAnsi="Times New Roman"/>
          <w:lang w:val="sr-Latn-BA"/>
        </w:rPr>
        <w:t xml:space="preserve"> </w:t>
      </w:r>
      <w:r>
        <w:rPr>
          <w:rFonts w:ascii="Times New Roman" w:hAnsi="Times New Roman"/>
          <w:lang w:val="sr-Latn-BA"/>
        </w:rPr>
        <w:t>мјера</w:t>
      </w:r>
      <w:r w:rsidR="00077F23" w:rsidRPr="00295637">
        <w:rPr>
          <w:rFonts w:ascii="Times New Roman" w:hAnsi="Times New Roman"/>
          <w:lang w:val="sr-Latn-BA"/>
        </w:rPr>
        <w:t xml:space="preserve"> </w:t>
      </w:r>
      <w:r>
        <w:rPr>
          <w:rFonts w:ascii="Times New Roman" w:hAnsi="Times New Roman"/>
          <w:lang w:val="sr-Latn-BA"/>
        </w:rPr>
        <w:t>за</w:t>
      </w:r>
      <w:r w:rsidR="00077F23" w:rsidRPr="00295637">
        <w:rPr>
          <w:rFonts w:ascii="Times New Roman" w:hAnsi="Times New Roman"/>
          <w:lang w:val="sr-Latn-BA"/>
        </w:rPr>
        <w:t xml:space="preserve"> </w:t>
      </w:r>
      <w:r>
        <w:rPr>
          <w:rFonts w:ascii="Times New Roman" w:hAnsi="Times New Roman"/>
          <w:lang w:val="sr-Latn-BA"/>
        </w:rPr>
        <w:t>смањење</w:t>
      </w:r>
      <w:r w:rsidR="00077F23" w:rsidRPr="00295637">
        <w:rPr>
          <w:rFonts w:ascii="Times New Roman" w:hAnsi="Times New Roman"/>
          <w:lang w:val="sr-Latn-BA"/>
        </w:rPr>
        <w:t xml:space="preserve"> </w:t>
      </w:r>
      <w:r>
        <w:rPr>
          <w:rFonts w:ascii="Times New Roman" w:hAnsi="Times New Roman"/>
          <w:lang w:val="sr-Latn-BA"/>
        </w:rPr>
        <w:t>полних</w:t>
      </w:r>
      <w:r w:rsidR="00077F23" w:rsidRPr="00295637">
        <w:rPr>
          <w:rFonts w:ascii="Times New Roman" w:hAnsi="Times New Roman"/>
          <w:lang w:val="sr-Latn-BA"/>
        </w:rPr>
        <w:t xml:space="preserve"> </w:t>
      </w:r>
      <w:r>
        <w:rPr>
          <w:rFonts w:ascii="Times New Roman" w:hAnsi="Times New Roman"/>
          <w:lang w:val="sr-Latn-BA"/>
        </w:rPr>
        <w:t>неједнакости</w:t>
      </w:r>
      <w:r w:rsidR="00077F23" w:rsidRPr="00295637">
        <w:rPr>
          <w:rFonts w:ascii="Times New Roman" w:hAnsi="Times New Roman"/>
          <w:lang w:val="sr-Latn-BA"/>
        </w:rPr>
        <w:t xml:space="preserve">, </w:t>
      </w:r>
      <w:r>
        <w:rPr>
          <w:rFonts w:ascii="Times New Roman" w:hAnsi="Times New Roman"/>
          <w:lang w:val="sr-Latn-BA"/>
        </w:rPr>
        <w:t>о</w:t>
      </w:r>
      <w:r w:rsidR="00077F23" w:rsidRPr="00295637">
        <w:rPr>
          <w:rFonts w:ascii="Times New Roman" w:hAnsi="Times New Roman"/>
          <w:lang w:val="sr-Latn-BA"/>
        </w:rPr>
        <w:t xml:space="preserve"> </w:t>
      </w:r>
      <w:r>
        <w:rPr>
          <w:rFonts w:ascii="Times New Roman" w:hAnsi="Times New Roman"/>
          <w:lang w:val="sr-Latn-BA"/>
        </w:rPr>
        <w:t>роднобуџетским</w:t>
      </w:r>
      <w:r w:rsidR="00077F23" w:rsidRPr="00295637">
        <w:rPr>
          <w:rFonts w:ascii="Times New Roman" w:hAnsi="Times New Roman"/>
          <w:lang w:val="sr-Latn-BA"/>
        </w:rPr>
        <w:t xml:space="preserve"> </w:t>
      </w:r>
      <w:r>
        <w:rPr>
          <w:rFonts w:ascii="Times New Roman" w:hAnsi="Times New Roman"/>
          <w:lang w:val="sr-Latn-BA"/>
        </w:rPr>
        <w:t>мјерама</w:t>
      </w:r>
      <w:r w:rsidR="00077F23" w:rsidRPr="00295637">
        <w:rPr>
          <w:rFonts w:ascii="Times New Roman" w:hAnsi="Times New Roman"/>
          <w:lang w:val="sr-Latn-BA"/>
        </w:rPr>
        <w:t xml:space="preserve"> </w:t>
      </w:r>
      <w:r>
        <w:rPr>
          <w:rFonts w:ascii="Times New Roman" w:hAnsi="Times New Roman"/>
          <w:lang w:val="sr-Latn-BA"/>
        </w:rPr>
        <w:t>и</w:t>
      </w:r>
      <w:r w:rsidR="00077F23" w:rsidRPr="00295637">
        <w:rPr>
          <w:rFonts w:ascii="Times New Roman" w:hAnsi="Times New Roman"/>
          <w:lang w:val="sr-Latn-BA"/>
        </w:rPr>
        <w:t xml:space="preserve"> </w:t>
      </w:r>
      <w:r>
        <w:rPr>
          <w:rFonts w:ascii="Times New Roman" w:hAnsi="Times New Roman"/>
          <w:lang w:val="sr-Latn-BA"/>
        </w:rPr>
        <w:t>о</w:t>
      </w:r>
      <w:r w:rsidR="00077F23" w:rsidRPr="00295637">
        <w:rPr>
          <w:rFonts w:ascii="Times New Roman" w:hAnsi="Times New Roman"/>
          <w:lang w:val="sr-Latn-BA"/>
        </w:rPr>
        <w:t xml:space="preserve"> </w:t>
      </w:r>
      <w:r>
        <w:rPr>
          <w:rFonts w:ascii="Times New Roman" w:hAnsi="Times New Roman"/>
          <w:lang w:val="sr-Latn-BA"/>
        </w:rPr>
        <w:t>КО</w:t>
      </w:r>
      <w:r w:rsidR="00B60458">
        <w:rPr>
          <w:rFonts w:ascii="Times New Roman" w:hAnsi="Times New Roman"/>
          <w:lang w:val="sr-Latn-BA"/>
        </w:rPr>
        <w:t xml:space="preserve"> </w:t>
      </w:r>
      <w:r>
        <w:rPr>
          <w:rFonts w:ascii="Times New Roman" w:hAnsi="Times New Roman"/>
          <w:lang w:val="sr-Latn-BA"/>
        </w:rPr>
        <w:t>за</w:t>
      </w:r>
      <w:r w:rsidR="00B60458">
        <w:rPr>
          <w:rFonts w:ascii="Times New Roman" w:hAnsi="Times New Roman"/>
          <w:lang w:val="sr-Latn-BA"/>
        </w:rPr>
        <w:t xml:space="preserve"> </w:t>
      </w:r>
      <w:r>
        <w:rPr>
          <w:rFonts w:ascii="Times New Roman" w:hAnsi="Times New Roman"/>
          <w:lang w:val="sr-Latn-BA"/>
        </w:rPr>
        <w:t>праћење</w:t>
      </w:r>
      <w:r w:rsidR="00262CA2">
        <w:rPr>
          <w:rFonts w:ascii="Times New Roman" w:hAnsi="Times New Roman"/>
          <w:lang w:val="sr-Latn-BA"/>
        </w:rPr>
        <w:t xml:space="preserve"> </w:t>
      </w:r>
      <w:r>
        <w:rPr>
          <w:rFonts w:ascii="Times New Roman" w:hAnsi="Times New Roman"/>
          <w:lang w:val="sr-Latn-BA"/>
        </w:rPr>
        <w:t>ГАП</w:t>
      </w:r>
      <w:r w:rsidR="00262CA2">
        <w:rPr>
          <w:rFonts w:ascii="Times New Roman" w:hAnsi="Times New Roman"/>
          <w:lang w:val="sr-Latn-BA"/>
        </w:rPr>
        <w:t>-</w:t>
      </w:r>
      <w:r>
        <w:rPr>
          <w:rFonts w:ascii="Times New Roman" w:hAnsi="Times New Roman"/>
          <w:lang w:val="sr-Latn-BA"/>
        </w:rPr>
        <w:t>а</w:t>
      </w:r>
      <w:r w:rsidR="00262CA2">
        <w:rPr>
          <w:rFonts w:ascii="Times New Roman" w:hAnsi="Times New Roman"/>
          <w:lang w:val="sr-Latn-BA"/>
        </w:rPr>
        <w:t xml:space="preserve"> </w:t>
      </w:r>
      <w:r>
        <w:rPr>
          <w:rFonts w:ascii="Times New Roman" w:hAnsi="Times New Roman"/>
          <w:lang w:val="sr-Latn-BA"/>
        </w:rPr>
        <w:t>БиХ</w:t>
      </w:r>
      <w:r w:rsidR="00B60458">
        <w:rPr>
          <w:rFonts w:ascii="Times New Roman" w:hAnsi="Times New Roman"/>
          <w:lang w:val="sr-Latn-BA"/>
        </w:rPr>
        <w:t xml:space="preserve"> </w:t>
      </w:r>
      <w:r>
        <w:rPr>
          <w:rFonts w:ascii="Times New Roman" w:hAnsi="Times New Roman"/>
          <w:lang w:val="sr-Latn-BA"/>
        </w:rPr>
        <w:t>у</w:t>
      </w:r>
      <w:r w:rsidR="00B60458">
        <w:rPr>
          <w:rFonts w:ascii="Times New Roman" w:hAnsi="Times New Roman"/>
          <w:lang w:val="sr-Latn-BA"/>
        </w:rPr>
        <w:t xml:space="preserve"> </w:t>
      </w:r>
      <w:r>
        <w:rPr>
          <w:rFonts w:ascii="Times New Roman" w:hAnsi="Times New Roman"/>
          <w:lang w:val="sr-Latn-BA"/>
        </w:rPr>
        <w:t>РС</w:t>
      </w:r>
      <w:r w:rsidR="00B60458">
        <w:rPr>
          <w:rFonts w:ascii="Times New Roman" w:hAnsi="Times New Roman"/>
          <w:lang w:val="sr-Latn-BA"/>
        </w:rPr>
        <w:t xml:space="preserve">. </w:t>
      </w:r>
    </w:p>
    <w:p w:rsidR="00077F23" w:rsidRPr="00295637" w:rsidRDefault="00077F23" w:rsidP="0086268D">
      <w:pPr>
        <w:jc w:val="both"/>
        <w:rPr>
          <w:rFonts w:ascii="Times New Roman" w:hAnsi="Times New Roman"/>
          <w:szCs w:val="24"/>
        </w:rPr>
      </w:pPr>
    </w:p>
    <w:p w:rsidR="00356C2C" w:rsidRPr="00295637" w:rsidRDefault="00F82DDB" w:rsidP="00415930">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415930">
        <w:rPr>
          <w:rFonts w:ascii="Times New Roman" w:hAnsi="Times New Roman"/>
          <w:szCs w:val="24"/>
          <w:lang w:val="bs-Latn-BA"/>
        </w:rPr>
        <w:t xml:space="preserve"> 3.3. </w:t>
      </w:r>
      <w:r w:rsidR="00C6214E">
        <w:rPr>
          <w:rFonts w:ascii="Times New Roman" w:hAnsi="Times New Roman"/>
          <w:szCs w:val="24"/>
          <w:lang w:val="bs-Latn-BA"/>
        </w:rPr>
        <w:t>Израда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отклањање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дискриминације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основу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сексуалног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узнемиравања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запошљавања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приступа</w:t>
      </w:r>
      <w:r w:rsidR="00356C2C" w:rsidRPr="00295637">
        <w:rPr>
          <w:rFonts w:ascii="Times New Roman" w:hAnsi="Times New Roman"/>
          <w:szCs w:val="24"/>
          <w:lang w:val="bs-Latn-BA"/>
        </w:rPr>
        <w:t xml:space="preserve"> </w:t>
      </w:r>
      <w:r w:rsidR="00C6214E">
        <w:rPr>
          <w:rFonts w:ascii="Times New Roman" w:hAnsi="Times New Roman"/>
          <w:szCs w:val="24"/>
          <w:lang w:val="bs-Latn-BA"/>
        </w:rPr>
        <w:t>економским</w:t>
      </w:r>
      <w:r w:rsidR="00356C2C" w:rsidRPr="00295637">
        <w:rPr>
          <w:rFonts w:ascii="Times New Roman" w:hAnsi="Times New Roman"/>
          <w:szCs w:val="24"/>
          <w:lang w:val="bs-Latn-BA"/>
        </w:rPr>
        <w:t xml:space="preserve"> </w:t>
      </w:r>
      <w:r w:rsidR="00C6214E">
        <w:rPr>
          <w:rFonts w:ascii="Times New Roman" w:hAnsi="Times New Roman"/>
          <w:szCs w:val="24"/>
          <w:lang w:val="bs-Latn-BA"/>
        </w:rPr>
        <w:t>ресурсима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295637">
        <w:rPr>
          <w:rFonts w:ascii="Times New Roman" w:hAnsi="Times New Roman"/>
          <w:szCs w:val="24"/>
          <w:lang w:val="bs-Latn-BA"/>
        </w:rPr>
        <w:t xml:space="preserve"> </w:t>
      </w:r>
      <w:r w:rsidR="00C6214E">
        <w:rPr>
          <w:rFonts w:ascii="Times New Roman" w:hAnsi="Times New Roman"/>
          <w:szCs w:val="24"/>
          <w:lang w:val="bs-Latn-BA"/>
        </w:rPr>
        <w:t>јачање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институционалних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капацитета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примјену</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домаћих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овој</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увођење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родно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одговорних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буџета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те</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успостављање</w:t>
      </w:r>
      <w:r w:rsidR="00262CA2">
        <w:rPr>
          <w:rFonts w:ascii="Times New Roman" w:hAnsi="Times New Roman"/>
          <w:szCs w:val="24"/>
          <w:lang w:val="bs-Latn-BA"/>
        </w:rPr>
        <w:t xml:space="preserve"> </w:t>
      </w:r>
      <w:r w:rsidR="00C6214E">
        <w:rPr>
          <w:rFonts w:ascii="Times New Roman" w:hAnsi="Times New Roman"/>
          <w:szCs w:val="24"/>
          <w:lang w:val="bs-Latn-BA"/>
        </w:rPr>
        <w:t>одговарајућих</w:t>
      </w:r>
      <w:r w:rsidR="00262CA2">
        <w:rPr>
          <w:rFonts w:ascii="Times New Roman" w:hAnsi="Times New Roman"/>
          <w:szCs w:val="24"/>
          <w:lang w:val="bs-Latn-BA"/>
        </w:rPr>
        <w:t xml:space="preserve"> </w:t>
      </w:r>
      <w:r w:rsidR="00C6214E">
        <w:rPr>
          <w:rFonts w:ascii="Times New Roman" w:hAnsi="Times New Roman"/>
          <w:szCs w:val="24"/>
          <w:lang w:val="bs-Latn-BA"/>
        </w:rPr>
        <w:t>институционалних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механизама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који</w:t>
      </w:r>
      <w:r w:rsidR="00356C2C" w:rsidRPr="00295637">
        <w:rPr>
          <w:rFonts w:ascii="Times New Roman" w:hAnsi="Times New Roman"/>
          <w:szCs w:val="24"/>
          <w:lang w:val="bs-Latn-BA"/>
        </w:rPr>
        <w:t xml:space="preserve"> </w:t>
      </w:r>
      <w:r w:rsidR="00C6214E">
        <w:rPr>
          <w:rFonts w:ascii="Times New Roman" w:hAnsi="Times New Roman"/>
          <w:szCs w:val="24"/>
          <w:lang w:val="bs-Latn-BA"/>
        </w:rPr>
        <w:t>ће</w:t>
      </w:r>
      <w:r w:rsidR="00356C2C" w:rsidRPr="00295637">
        <w:rPr>
          <w:rFonts w:ascii="Times New Roman" w:hAnsi="Times New Roman"/>
          <w:szCs w:val="24"/>
          <w:lang w:val="bs-Latn-BA"/>
        </w:rPr>
        <w:t xml:space="preserve"> </w:t>
      </w:r>
      <w:r w:rsidR="00C6214E">
        <w:rPr>
          <w:rFonts w:ascii="Times New Roman" w:hAnsi="Times New Roman"/>
          <w:szCs w:val="24"/>
          <w:lang w:val="bs-Latn-BA"/>
        </w:rPr>
        <w:t>координи</w:t>
      </w:r>
      <w:r>
        <w:rPr>
          <w:rFonts w:ascii="Times New Roman" w:hAnsi="Times New Roman"/>
          <w:szCs w:val="24"/>
          <w:lang w:val="sr-Cyrl-BA"/>
        </w:rPr>
        <w:t>с</w:t>
      </w:r>
      <w:r w:rsidR="00C6214E">
        <w:rPr>
          <w:rFonts w:ascii="Times New Roman" w:hAnsi="Times New Roman"/>
          <w:szCs w:val="24"/>
          <w:lang w:val="bs-Latn-BA"/>
        </w:rPr>
        <w:t>ати</w:t>
      </w:r>
      <w:r w:rsidR="00356C2C" w:rsidRPr="00295637">
        <w:rPr>
          <w:rFonts w:ascii="Times New Roman" w:hAnsi="Times New Roman"/>
          <w:szCs w:val="24"/>
          <w:lang w:val="bs-Latn-BA"/>
        </w:rPr>
        <w:t xml:space="preserve"> </w:t>
      </w:r>
      <w:r>
        <w:rPr>
          <w:rFonts w:ascii="Times New Roman" w:hAnsi="Times New Roman"/>
          <w:szCs w:val="24"/>
          <w:lang w:val="sr-Cyrl-BA"/>
        </w:rPr>
        <w:t>спровођењем</w:t>
      </w:r>
      <w:r w:rsidR="00356C2C" w:rsidRPr="00295637">
        <w:rPr>
          <w:rFonts w:ascii="Times New Roman" w:hAnsi="Times New Roman"/>
          <w:szCs w:val="24"/>
          <w:lang w:val="bs-Latn-BA"/>
        </w:rPr>
        <w:t xml:space="preserve"> </w:t>
      </w:r>
      <w:r w:rsidR="00C6214E">
        <w:rPr>
          <w:rFonts w:ascii="Times New Roman" w:hAnsi="Times New Roman"/>
          <w:szCs w:val="24"/>
          <w:lang w:val="bs-Latn-BA"/>
        </w:rPr>
        <w:t>ових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мјера</w:t>
      </w:r>
      <w:r w:rsidR="00356C2C" w:rsidRPr="00295637">
        <w:rPr>
          <w:rFonts w:ascii="Times New Roman" w:hAnsi="Times New Roman"/>
          <w:szCs w:val="24"/>
          <w:lang w:val="bs-Latn-BA"/>
        </w:rPr>
        <w:t xml:space="preserve">. </w:t>
      </w:r>
    </w:p>
    <w:p w:rsidR="008D56A8" w:rsidRPr="00295637" w:rsidRDefault="008D56A8" w:rsidP="0086268D">
      <w:pPr>
        <w:tabs>
          <w:tab w:val="left" w:pos="284"/>
          <w:tab w:val="left" w:pos="630"/>
          <w:tab w:val="left" w:pos="1080"/>
        </w:tabs>
        <w:ind w:left="1080"/>
        <w:jc w:val="both"/>
        <w:rPr>
          <w:rFonts w:ascii="Times New Roman" w:hAnsi="Times New Roman"/>
          <w:szCs w:val="24"/>
          <w:lang w:val="bs-Latn-BA"/>
        </w:rPr>
      </w:pPr>
    </w:p>
    <w:p w:rsidR="00CB31FB" w:rsidRPr="00295637" w:rsidRDefault="00C6214E" w:rsidP="0086268D">
      <w:pPr>
        <w:jc w:val="both"/>
        <w:rPr>
          <w:rFonts w:ascii="Times New Roman" w:hAnsi="Times New Roman"/>
          <w:szCs w:val="24"/>
          <w:lang w:val="bs-Latn-BA"/>
        </w:rPr>
      </w:pPr>
      <w:r>
        <w:rPr>
          <w:rFonts w:ascii="Times New Roman" w:hAnsi="Times New Roman"/>
          <w:bCs/>
          <w:iCs/>
          <w:szCs w:val="24"/>
          <w:lang w:val="hr-HR"/>
        </w:rPr>
        <w:t>АРЗ</w:t>
      </w:r>
      <w:r w:rsidR="009E54A2" w:rsidRPr="00295637">
        <w:rPr>
          <w:rFonts w:ascii="Times New Roman" w:hAnsi="Times New Roman"/>
          <w:bCs/>
          <w:iCs/>
          <w:szCs w:val="24"/>
          <w:lang w:val="hr-HR"/>
        </w:rPr>
        <w:t xml:space="preserve"> </w:t>
      </w:r>
      <w:r>
        <w:rPr>
          <w:rFonts w:ascii="Times New Roman" w:hAnsi="Times New Roman"/>
          <w:bCs/>
          <w:iCs/>
          <w:szCs w:val="24"/>
          <w:lang w:val="hr-HR"/>
        </w:rPr>
        <w:t>БиХ</w:t>
      </w:r>
      <w:r w:rsidR="009E54A2" w:rsidRPr="00295637">
        <w:rPr>
          <w:rFonts w:ascii="Times New Roman" w:hAnsi="Times New Roman"/>
          <w:bCs/>
          <w:iCs/>
          <w:szCs w:val="24"/>
          <w:lang w:val="hr-HR"/>
        </w:rPr>
        <w:t xml:space="preserve"> </w:t>
      </w:r>
      <w:r>
        <w:rPr>
          <w:rFonts w:ascii="Times New Roman" w:hAnsi="Times New Roman"/>
          <w:bCs/>
          <w:iCs/>
          <w:szCs w:val="24"/>
          <w:lang w:val="hr-HR"/>
        </w:rPr>
        <w:t>и</w:t>
      </w:r>
      <w:r w:rsidR="00CB31FB" w:rsidRPr="00295637">
        <w:rPr>
          <w:rFonts w:ascii="Times New Roman" w:hAnsi="Times New Roman"/>
          <w:bCs/>
          <w:iCs/>
          <w:szCs w:val="24"/>
          <w:lang w:val="hr-HR"/>
        </w:rPr>
        <w:t xml:space="preserve"> </w:t>
      </w:r>
      <w:r>
        <w:rPr>
          <w:rFonts w:ascii="Times New Roman" w:hAnsi="Times New Roman"/>
          <w:bCs/>
          <w:iCs/>
          <w:szCs w:val="24"/>
          <w:lang w:val="hr-HR"/>
        </w:rPr>
        <w:t>заводи</w:t>
      </w:r>
      <w:r w:rsidR="00CB31FB" w:rsidRPr="00295637">
        <w:rPr>
          <w:rFonts w:ascii="Times New Roman" w:hAnsi="Times New Roman"/>
          <w:bCs/>
          <w:iCs/>
          <w:szCs w:val="24"/>
          <w:lang w:val="hr-HR"/>
        </w:rPr>
        <w:t xml:space="preserve"> </w:t>
      </w:r>
      <w:r>
        <w:rPr>
          <w:rFonts w:ascii="Times New Roman" w:hAnsi="Times New Roman"/>
          <w:bCs/>
          <w:iCs/>
          <w:szCs w:val="24"/>
          <w:lang w:val="hr-HR"/>
        </w:rPr>
        <w:t>за</w:t>
      </w:r>
      <w:r w:rsidR="00CB31FB" w:rsidRPr="00295637">
        <w:rPr>
          <w:rFonts w:ascii="Times New Roman" w:hAnsi="Times New Roman"/>
          <w:bCs/>
          <w:iCs/>
          <w:szCs w:val="24"/>
          <w:lang w:val="hr-HR"/>
        </w:rPr>
        <w:t xml:space="preserve"> </w:t>
      </w:r>
      <w:r>
        <w:rPr>
          <w:rFonts w:ascii="Times New Roman" w:hAnsi="Times New Roman"/>
          <w:bCs/>
          <w:iCs/>
          <w:szCs w:val="24"/>
          <w:lang w:val="hr-HR"/>
        </w:rPr>
        <w:t>запошљавање</w:t>
      </w:r>
      <w:r w:rsidR="00CB31FB" w:rsidRPr="00295637">
        <w:rPr>
          <w:rFonts w:ascii="Times New Roman" w:hAnsi="Times New Roman"/>
          <w:bCs/>
          <w:iCs/>
          <w:szCs w:val="24"/>
          <w:lang w:val="hr-HR"/>
        </w:rPr>
        <w:t xml:space="preserve"> </w:t>
      </w:r>
      <w:r>
        <w:rPr>
          <w:rFonts w:ascii="Times New Roman" w:hAnsi="Times New Roman"/>
          <w:bCs/>
          <w:iCs/>
          <w:szCs w:val="24"/>
          <w:lang w:val="hr-HR"/>
        </w:rPr>
        <w:t>ентитета</w:t>
      </w:r>
      <w:r w:rsidR="00CB31FB" w:rsidRPr="00295637">
        <w:rPr>
          <w:rFonts w:ascii="Times New Roman" w:hAnsi="Times New Roman"/>
          <w:bCs/>
          <w:iCs/>
          <w:szCs w:val="24"/>
          <w:lang w:val="hr-HR"/>
        </w:rPr>
        <w:t xml:space="preserve"> </w:t>
      </w:r>
      <w:r>
        <w:rPr>
          <w:rFonts w:ascii="Times New Roman" w:hAnsi="Times New Roman"/>
          <w:bCs/>
          <w:iCs/>
          <w:szCs w:val="24"/>
          <w:lang w:val="hr-HR"/>
        </w:rPr>
        <w:t>и</w:t>
      </w:r>
      <w:r w:rsidR="00CB31FB" w:rsidRPr="00295637">
        <w:rPr>
          <w:rFonts w:ascii="Times New Roman" w:hAnsi="Times New Roman"/>
          <w:bCs/>
          <w:iCs/>
          <w:szCs w:val="24"/>
          <w:lang w:val="hr-HR"/>
        </w:rPr>
        <w:t xml:space="preserve"> </w:t>
      </w:r>
      <w:r>
        <w:rPr>
          <w:rFonts w:ascii="Times New Roman" w:hAnsi="Times New Roman"/>
          <w:bCs/>
          <w:iCs/>
          <w:szCs w:val="24"/>
          <w:lang w:val="hr-HR"/>
        </w:rPr>
        <w:t>БД</w:t>
      </w:r>
      <w:r w:rsidR="00050016">
        <w:rPr>
          <w:rFonts w:ascii="Times New Roman" w:hAnsi="Times New Roman"/>
          <w:bCs/>
          <w:iCs/>
          <w:szCs w:val="24"/>
          <w:lang w:val="hr-HR"/>
        </w:rPr>
        <w:t xml:space="preserve"> </w:t>
      </w:r>
      <w:r>
        <w:rPr>
          <w:rFonts w:ascii="Times New Roman" w:hAnsi="Times New Roman"/>
          <w:bCs/>
          <w:iCs/>
          <w:szCs w:val="24"/>
          <w:lang w:val="hr-HR"/>
        </w:rPr>
        <w:t>БиХ</w:t>
      </w:r>
      <w:r w:rsidR="00CB31FB" w:rsidRPr="00295637">
        <w:rPr>
          <w:rFonts w:ascii="Times New Roman" w:hAnsi="Times New Roman"/>
          <w:bCs/>
          <w:iCs/>
          <w:szCs w:val="24"/>
          <w:lang w:val="hr-HR"/>
        </w:rPr>
        <w:t xml:space="preserve"> </w:t>
      </w:r>
      <w:r>
        <w:rPr>
          <w:rFonts w:ascii="Times New Roman" w:hAnsi="Times New Roman"/>
          <w:bCs/>
          <w:iCs/>
          <w:szCs w:val="24"/>
          <w:lang w:val="hr-HR"/>
        </w:rPr>
        <w:t>о</w:t>
      </w:r>
      <w:r w:rsidR="00F82DDB">
        <w:rPr>
          <w:rFonts w:ascii="Times New Roman" w:hAnsi="Times New Roman"/>
          <w:bCs/>
          <w:iCs/>
          <w:szCs w:val="24"/>
          <w:lang w:val="sr-Cyrl-BA"/>
        </w:rPr>
        <w:t>безбиједили</w:t>
      </w:r>
      <w:r w:rsidR="00CB31FB" w:rsidRPr="00295637">
        <w:rPr>
          <w:rFonts w:ascii="Times New Roman" w:hAnsi="Times New Roman"/>
          <w:bCs/>
          <w:iCs/>
          <w:szCs w:val="24"/>
          <w:lang w:val="hr-HR"/>
        </w:rPr>
        <w:t xml:space="preserve"> </w:t>
      </w:r>
      <w:r>
        <w:rPr>
          <w:rFonts w:ascii="Times New Roman" w:hAnsi="Times New Roman"/>
          <w:bCs/>
          <w:iCs/>
          <w:szCs w:val="24"/>
          <w:lang w:val="hr-HR"/>
        </w:rPr>
        <w:t>су</w:t>
      </w:r>
      <w:r w:rsidR="00CB31FB" w:rsidRPr="00295637">
        <w:rPr>
          <w:rFonts w:ascii="Times New Roman" w:hAnsi="Times New Roman"/>
          <w:bCs/>
          <w:iCs/>
          <w:szCs w:val="24"/>
          <w:lang w:val="hr-HR"/>
        </w:rPr>
        <w:t xml:space="preserve"> </w:t>
      </w:r>
      <w:r>
        <w:rPr>
          <w:rFonts w:ascii="Times New Roman" w:hAnsi="Times New Roman"/>
          <w:bCs/>
          <w:iCs/>
          <w:szCs w:val="24"/>
          <w:lang w:val="hr-HR"/>
        </w:rPr>
        <w:t>једнак</w:t>
      </w:r>
      <w:r w:rsidR="00CB31FB" w:rsidRPr="00295637">
        <w:rPr>
          <w:rFonts w:ascii="Times New Roman" w:hAnsi="Times New Roman"/>
          <w:bCs/>
          <w:iCs/>
          <w:szCs w:val="24"/>
          <w:lang w:val="hr-HR"/>
        </w:rPr>
        <w:t xml:space="preserve"> </w:t>
      </w:r>
      <w:r>
        <w:rPr>
          <w:rFonts w:ascii="Times New Roman" w:hAnsi="Times New Roman"/>
          <w:bCs/>
          <w:iCs/>
          <w:szCs w:val="24"/>
          <w:lang w:val="hr-HR"/>
        </w:rPr>
        <w:t>приступ</w:t>
      </w:r>
      <w:r w:rsidR="00CB31FB" w:rsidRPr="00295637">
        <w:rPr>
          <w:rFonts w:ascii="Times New Roman" w:hAnsi="Times New Roman"/>
          <w:bCs/>
          <w:iCs/>
          <w:szCs w:val="24"/>
          <w:lang w:val="hr-HR"/>
        </w:rPr>
        <w:t xml:space="preserve"> </w:t>
      </w:r>
      <w:r>
        <w:rPr>
          <w:rFonts w:ascii="Times New Roman" w:hAnsi="Times New Roman"/>
          <w:bCs/>
          <w:iCs/>
          <w:szCs w:val="24"/>
          <w:lang w:val="hr-HR"/>
        </w:rPr>
        <w:t>и</w:t>
      </w:r>
      <w:r w:rsidR="00CB31FB" w:rsidRPr="00295637">
        <w:rPr>
          <w:rFonts w:ascii="Times New Roman" w:hAnsi="Times New Roman"/>
          <w:bCs/>
          <w:iCs/>
          <w:szCs w:val="24"/>
          <w:lang w:val="hr-HR"/>
        </w:rPr>
        <w:t xml:space="preserve"> </w:t>
      </w:r>
      <w:r>
        <w:rPr>
          <w:rFonts w:ascii="Times New Roman" w:hAnsi="Times New Roman"/>
          <w:bCs/>
          <w:iCs/>
          <w:szCs w:val="24"/>
          <w:lang w:val="hr-HR"/>
        </w:rPr>
        <w:t>кориш</w:t>
      </w:r>
      <w:r w:rsidR="00F82DDB">
        <w:rPr>
          <w:rFonts w:ascii="Times New Roman" w:hAnsi="Times New Roman"/>
          <w:bCs/>
          <w:iCs/>
          <w:szCs w:val="24"/>
          <w:lang w:val="sr-Cyrl-BA"/>
        </w:rPr>
        <w:t>ћ</w:t>
      </w:r>
      <w:r>
        <w:rPr>
          <w:rFonts w:ascii="Times New Roman" w:hAnsi="Times New Roman"/>
          <w:bCs/>
          <w:iCs/>
          <w:szCs w:val="24"/>
          <w:lang w:val="hr-HR"/>
        </w:rPr>
        <w:t>ење</w:t>
      </w:r>
      <w:r w:rsidR="00CB31FB" w:rsidRPr="00295637">
        <w:rPr>
          <w:rFonts w:ascii="Times New Roman" w:hAnsi="Times New Roman"/>
          <w:bCs/>
          <w:iCs/>
          <w:szCs w:val="24"/>
          <w:lang w:val="hr-HR"/>
        </w:rPr>
        <w:t xml:space="preserve"> </w:t>
      </w:r>
      <w:r>
        <w:rPr>
          <w:rFonts w:ascii="Times New Roman" w:hAnsi="Times New Roman"/>
          <w:bCs/>
          <w:iCs/>
          <w:szCs w:val="24"/>
          <w:lang w:val="hr-HR"/>
        </w:rPr>
        <w:t>свих</w:t>
      </w:r>
      <w:r w:rsidR="00CB31FB" w:rsidRPr="00295637">
        <w:rPr>
          <w:rFonts w:ascii="Times New Roman" w:hAnsi="Times New Roman"/>
          <w:bCs/>
          <w:iCs/>
          <w:szCs w:val="24"/>
          <w:lang w:val="hr-HR"/>
        </w:rPr>
        <w:t xml:space="preserve"> </w:t>
      </w:r>
      <w:r>
        <w:rPr>
          <w:rFonts w:ascii="Times New Roman" w:hAnsi="Times New Roman"/>
          <w:bCs/>
          <w:iCs/>
          <w:szCs w:val="24"/>
          <w:lang w:val="hr-HR"/>
        </w:rPr>
        <w:t>услуга</w:t>
      </w:r>
      <w:r w:rsidR="00CB31FB" w:rsidRPr="00295637">
        <w:rPr>
          <w:rFonts w:ascii="Times New Roman" w:hAnsi="Times New Roman"/>
          <w:bCs/>
          <w:iCs/>
          <w:szCs w:val="24"/>
          <w:lang w:val="hr-HR"/>
        </w:rPr>
        <w:t xml:space="preserve"> </w:t>
      </w:r>
      <w:r>
        <w:rPr>
          <w:rFonts w:ascii="Times New Roman" w:hAnsi="Times New Roman"/>
          <w:bCs/>
          <w:iCs/>
          <w:szCs w:val="24"/>
          <w:lang w:val="hr-HR"/>
        </w:rPr>
        <w:t>и</w:t>
      </w:r>
      <w:r w:rsidR="00CB31FB" w:rsidRPr="00295637">
        <w:rPr>
          <w:rFonts w:ascii="Times New Roman" w:hAnsi="Times New Roman"/>
          <w:bCs/>
          <w:iCs/>
          <w:szCs w:val="24"/>
          <w:lang w:val="hr-HR"/>
        </w:rPr>
        <w:t xml:space="preserve"> </w:t>
      </w:r>
      <w:r>
        <w:rPr>
          <w:rFonts w:ascii="Times New Roman" w:hAnsi="Times New Roman"/>
          <w:bCs/>
          <w:iCs/>
          <w:szCs w:val="24"/>
          <w:lang w:val="hr-HR"/>
        </w:rPr>
        <w:t>података</w:t>
      </w:r>
      <w:r w:rsidR="00CB31FB" w:rsidRPr="00295637">
        <w:rPr>
          <w:rFonts w:ascii="Times New Roman" w:hAnsi="Times New Roman"/>
          <w:bCs/>
          <w:iCs/>
          <w:szCs w:val="24"/>
          <w:lang w:val="hr-HR"/>
        </w:rPr>
        <w:t xml:space="preserve"> </w:t>
      </w:r>
      <w:r>
        <w:rPr>
          <w:rFonts w:ascii="Times New Roman" w:hAnsi="Times New Roman"/>
          <w:bCs/>
          <w:iCs/>
          <w:szCs w:val="24"/>
          <w:lang w:val="hr-HR"/>
        </w:rPr>
        <w:t>за</w:t>
      </w:r>
      <w:r w:rsidR="00CB31FB" w:rsidRPr="00295637">
        <w:rPr>
          <w:rFonts w:ascii="Times New Roman" w:hAnsi="Times New Roman"/>
          <w:bCs/>
          <w:iCs/>
          <w:szCs w:val="24"/>
          <w:lang w:val="hr-HR"/>
        </w:rPr>
        <w:t xml:space="preserve"> </w:t>
      </w:r>
      <w:r>
        <w:rPr>
          <w:rFonts w:ascii="Times New Roman" w:hAnsi="Times New Roman"/>
          <w:bCs/>
          <w:iCs/>
          <w:szCs w:val="24"/>
          <w:lang w:val="hr-HR"/>
        </w:rPr>
        <w:t>оба</w:t>
      </w:r>
      <w:r w:rsidR="00CB31FB" w:rsidRPr="00295637">
        <w:rPr>
          <w:rFonts w:ascii="Times New Roman" w:hAnsi="Times New Roman"/>
          <w:bCs/>
          <w:iCs/>
          <w:szCs w:val="24"/>
          <w:lang w:val="hr-HR"/>
        </w:rPr>
        <w:t xml:space="preserve"> </w:t>
      </w:r>
      <w:r>
        <w:rPr>
          <w:rFonts w:ascii="Times New Roman" w:hAnsi="Times New Roman"/>
          <w:bCs/>
          <w:iCs/>
          <w:szCs w:val="24"/>
          <w:lang w:val="hr-HR"/>
        </w:rPr>
        <w:t>пола</w:t>
      </w:r>
      <w:r w:rsidR="00CB31FB" w:rsidRPr="00295637">
        <w:rPr>
          <w:rFonts w:ascii="Times New Roman" w:hAnsi="Times New Roman"/>
          <w:bCs/>
          <w:iCs/>
          <w:szCs w:val="24"/>
          <w:lang w:val="hr-HR"/>
        </w:rPr>
        <w:t xml:space="preserve"> </w:t>
      </w:r>
      <w:r>
        <w:rPr>
          <w:rFonts w:ascii="Times New Roman" w:hAnsi="Times New Roman"/>
          <w:bCs/>
          <w:iCs/>
          <w:szCs w:val="24"/>
          <w:lang w:val="hr-HR"/>
        </w:rPr>
        <w:t>у</w:t>
      </w:r>
      <w:r w:rsidR="00CB31FB" w:rsidRPr="00295637">
        <w:rPr>
          <w:rFonts w:ascii="Times New Roman" w:hAnsi="Times New Roman"/>
          <w:bCs/>
          <w:iCs/>
          <w:szCs w:val="24"/>
          <w:lang w:val="hr-HR"/>
        </w:rPr>
        <w:t xml:space="preserve"> </w:t>
      </w:r>
      <w:r>
        <w:rPr>
          <w:rFonts w:ascii="Times New Roman" w:hAnsi="Times New Roman"/>
          <w:bCs/>
          <w:iCs/>
          <w:szCs w:val="24"/>
          <w:lang w:val="hr-HR"/>
        </w:rPr>
        <w:t>свим</w:t>
      </w:r>
      <w:r w:rsidR="00CB31FB" w:rsidRPr="00295637">
        <w:rPr>
          <w:rFonts w:ascii="Times New Roman" w:hAnsi="Times New Roman"/>
          <w:bCs/>
          <w:iCs/>
          <w:szCs w:val="24"/>
          <w:lang w:val="hr-HR"/>
        </w:rPr>
        <w:t xml:space="preserve"> </w:t>
      </w:r>
      <w:r>
        <w:rPr>
          <w:rFonts w:ascii="Times New Roman" w:hAnsi="Times New Roman"/>
          <w:bCs/>
          <w:iCs/>
          <w:szCs w:val="24"/>
          <w:lang w:val="hr-HR"/>
        </w:rPr>
        <w:t>активностима</w:t>
      </w:r>
      <w:r w:rsidR="00CB31FB" w:rsidRPr="00295637">
        <w:rPr>
          <w:rFonts w:ascii="Times New Roman" w:hAnsi="Times New Roman"/>
          <w:bCs/>
          <w:iCs/>
          <w:szCs w:val="24"/>
          <w:lang w:val="hr-HR"/>
        </w:rPr>
        <w:t xml:space="preserve"> </w:t>
      </w:r>
      <w:r>
        <w:rPr>
          <w:rFonts w:ascii="Times New Roman" w:hAnsi="Times New Roman"/>
          <w:bCs/>
          <w:iCs/>
          <w:szCs w:val="24"/>
          <w:lang w:val="hr-HR"/>
        </w:rPr>
        <w:t>које</w:t>
      </w:r>
      <w:r w:rsidR="00CB31FB" w:rsidRPr="00295637">
        <w:rPr>
          <w:rFonts w:ascii="Times New Roman" w:hAnsi="Times New Roman"/>
          <w:bCs/>
          <w:iCs/>
          <w:szCs w:val="24"/>
          <w:lang w:val="hr-HR"/>
        </w:rPr>
        <w:t xml:space="preserve"> </w:t>
      </w:r>
      <w:r>
        <w:rPr>
          <w:rFonts w:ascii="Times New Roman" w:hAnsi="Times New Roman"/>
          <w:bCs/>
          <w:iCs/>
          <w:szCs w:val="24"/>
          <w:lang w:val="hr-HR"/>
        </w:rPr>
        <w:t>се</w:t>
      </w:r>
      <w:r w:rsidR="00CB31FB" w:rsidRPr="00295637">
        <w:rPr>
          <w:rFonts w:ascii="Times New Roman" w:hAnsi="Times New Roman"/>
          <w:bCs/>
          <w:iCs/>
          <w:szCs w:val="24"/>
          <w:lang w:val="hr-HR"/>
        </w:rPr>
        <w:t xml:space="preserve"> </w:t>
      </w:r>
      <w:r>
        <w:rPr>
          <w:rFonts w:ascii="Times New Roman" w:hAnsi="Times New Roman"/>
          <w:bCs/>
          <w:iCs/>
          <w:szCs w:val="24"/>
          <w:lang w:val="hr-HR"/>
        </w:rPr>
        <w:t>односе</w:t>
      </w:r>
      <w:r w:rsidR="00CB31FB" w:rsidRPr="00295637">
        <w:rPr>
          <w:rFonts w:ascii="Times New Roman" w:hAnsi="Times New Roman"/>
          <w:bCs/>
          <w:iCs/>
          <w:szCs w:val="24"/>
          <w:lang w:val="hr-HR"/>
        </w:rPr>
        <w:t xml:space="preserve"> </w:t>
      </w:r>
      <w:r>
        <w:rPr>
          <w:rFonts w:ascii="Times New Roman" w:hAnsi="Times New Roman"/>
          <w:bCs/>
          <w:iCs/>
          <w:szCs w:val="24"/>
          <w:lang w:val="hr-HR"/>
        </w:rPr>
        <w:t>на</w:t>
      </w:r>
      <w:r w:rsidR="00CB31FB" w:rsidRPr="00295637">
        <w:rPr>
          <w:rFonts w:ascii="Times New Roman" w:hAnsi="Times New Roman"/>
          <w:bCs/>
          <w:iCs/>
          <w:szCs w:val="24"/>
          <w:lang w:val="hr-HR"/>
        </w:rPr>
        <w:t xml:space="preserve"> </w:t>
      </w:r>
      <w:r>
        <w:rPr>
          <w:rFonts w:ascii="Times New Roman" w:hAnsi="Times New Roman"/>
          <w:bCs/>
          <w:iCs/>
          <w:szCs w:val="24"/>
          <w:lang w:val="hr-HR"/>
        </w:rPr>
        <w:t>запошљавање</w:t>
      </w:r>
      <w:r w:rsidR="00CB31FB" w:rsidRPr="00295637">
        <w:rPr>
          <w:rFonts w:ascii="Times New Roman" w:hAnsi="Times New Roman"/>
          <w:bCs/>
          <w:iCs/>
          <w:szCs w:val="24"/>
          <w:lang w:val="hr-HR"/>
        </w:rPr>
        <w:t xml:space="preserve">, </w:t>
      </w:r>
      <w:r>
        <w:rPr>
          <w:rFonts w:ascii="Times New Roman" w:hAnsi="Times New Roman"/>
          <w:bCs/>
          <w:iCs/>
          <w:szCs w:val="24"/>
          <w:lang w:val="hr-HR"/>
        </w:rPr>
        <w:t>као</w:t>
      </w:r>
      <w:r w:rsidR="00CB31FB" w:rsidRPr="00295637">
        <w:rPr>
          <w:rFonts w:ascii="Times New Roman" w:hAnsi="Times New Roman"/>
          <w:bCs/>
          <w:iCs/>
          <w:szCs w:val="24"/>
          <w:lang w:val="hr-HR"/>
        </w:rPr>
        <w:t xml:space="preserve"> </w:t>
      </w:r>
      <w:r>
        <w:rPr>
          <w:rFonts w:ascii="Times New Roman" w:hAnsi="Times New Roman"/>
          <w:bCs/>
          <w:iCs/>
          <w:szCs w:val="24"/>
          <w:lang w:val="hr-HR"/>
        </w:rPr>
        <w:t>и</w:t>
      </w:r>
      <w:r w:rsidR="00CB31FB" w:rsidRPr="00295637">
        <w:rPr>
          <w:rFonts w:ascii="Times New Roman" w:hAnsi="Times New Roman"/>
          <w:bCs/>
          <w:iCs/>
          <w:szCs w:val="24"/>
          <w:lang w:val="hr-HR"/>
        </w:rPr>
        <w:t xml:space="preserve"> </w:t>
      </w:r>
      <w:r>
        <w:rPr>
          <w:rFonts w:ascii="Times New Roman" w:hAnsi="Times New Roman"/>
          <w:bCs/>
          <w:iCs/>
          <w:szCs w:val="24"/>
          <w:lang w:val="hr-HR"/>
        </w:rPr>
        <w:t>приступ</w:t>
      </w:r>
      <w:r w:rsidR="00CB31FB" w:rsidRPr="00295637">
        <w:rPr>
          <w:rFonts w:ascii="Times New Roman" w:hAnsi="Times New Roman"/>
          <w:bCs/>
          <w:iCs/>
          <w:szCs w:val="24"/>
          <w:lang w:val="hr-HR"/>
        </w:rPr>
        <w:t xml:space="preserve"> </w:t>
      </w:r>
      <w:r>
        <w:rPr>
          <w:rFonts w:ascii="Times New Roman" w:hAnsi="Times New Roman"/>
          <w:bCs/>
          <w:iCs/>
          <w:szCs w:val="24"/>
          <w:lang w:val="hr-HR"/>
        </w:rPr>
        <w:t>економским</w:t>
      </w:r>
      <w:r w:rsidR="00CB31FB" w:rsidRPr="00295637">
        <w:rPr>
          <w:rFonts w:ascii="Times New Roman" w:hAnsi="Times New Roman"/>
          <w:bCs/>
          <w:iCs/>
          <w:szCs w:val="24"/>
          <w:lang w:val="hr-HR"/>
        </w:rPr>
        <w:t xml:space="preserve"> </w:t>
      </w:r>
      <w:r>
        <w:rPr>
          <w:rFonts w:ascii="Times New Roman" w:hAnsi="Times New Roman"/>
          <w:bCs/>
          <w:iCs/>
          <w:szCs w:val="24"/>
          <w:lang w:val="hr-HR"/>
        </w:rPr>
        <w:t>и</w:t>
      </w:r>
      <w:r w:rsidR="00CB31FB" w:rsidRPr="00295637">
        <w:rPr>
          <w:rFonts w:ascii="Times New Roman" w:hAnsi="Times New Roman"/>
          <w:bCs/>
          <w:iCs/>
          <w:szCs w:val="24"/>
          <w:lang w:val="hr-HR"/>
        </w:rPr>
        <w:t xml:space="preserve"> </w:t>
      </w:r>
      <w:r>
        <w:rPr>
          <w:rFonts w:ascii="Times New Roman" w:hAnsi="Times New Roman"/>
          <w:bCs/>
          <w:iCs/>
          <w:szCs w:val="24"/>
          <w:lang w:val="hr-HR"/>
        </w:rPr>
        <w:t>свим</w:t>
      </w:r>
      <w:r w:rsidR="00CB31FB" w:rsidRPr="00295637">
        <w:rPr>
          <w:rFonts w:ascii="Times New Roman" w:hAnsi="Times New Roman"/>
          <w:bCs/>
          <w:iCs/>
          <w:szCs w:val="24"/>
          <w:lang w:val="hr-HR"/>
        </w:rPr>
        <w:t xml:space="preserve"> </w:t>
      </w:r>
      <w:r>
        <w:rPr>
          <w:rFonts w:ascii="Times New Roman" w:hAnsi="Times New Roman"/>
          <w:bCs/>
          <w:iCs/>
          <w:szCs w:val="24"/>
          <w:lang w:val="hr-HR"/>
        </w:rPr>
        <w:t>другим</w:t>
      </w:r>
      <w:r w:rsidR="00CB31FB" w:rsidRPr="00295637">
        <w:rPr>
          <w:rFonts w:ascii="Times New Roman" w:hAnsi="Times New Roman"/>
          <w:bCs/>
          <w:iCs/>
          <w:szCs w:val="24"/>
          <w:lang w:val="hr-HR"/>
        </w:rPr>
        <w:t xml:space="preserve"> </w:t>
      </w:r>
      <w:r>
        <w:rPr>
          <w:rFonts w:ascii="Times New Roman" w:hAnsi="Times New Roman"/>
          <w:bCs/>
          <w:iCs/>
          <w:szCs w:val="24"/>
          <w:lang w:val="hr-HR"/>
        </w:rPr>
        <w:t>ресурсима</w:t>
      </w:r>
      <w:r w:rsidR="00CB31FB" w:rsidRPr="00295637">
        <w:rPr>
          <w:rFonts w:ascii="Times New Roman" w:hAnsi="Times New Roman"/>
          <w:bCs/>
          <w:iCs/>
          <w:szCs w:val="24"/>
          <w:lang w:val="hr-HR"/>
        </w:rPr>
        <w:t xml:space="preserve">. </w:t>
      </w:r>
      <w:r>
        <w:rPr>
          <w:rFonts w:ascii="Times New Roman" w:hAnsi="Times New Roman"/>
          <w:bCs/>
          <w:iCs/>
          <w:szCs w:val="24"/>
          <w:lang w:val="hr-HR"/>
        </w:rPr>
        <w:t>У</w:t>
      </w:r>
      <w:r w:rsidR="00CB31FB" w:rsidRPr="00295637">
        <w:rPr>
          <w:rFonts w:ascii="Times New Roman" w:hAnsi="Times New Roman"/>
          <w:bCs/>
          <w:iCs/>
          <w:szCs w:val="24"/>
          <w:lang w:val="hr-HR"/>
        </w:rPr>
        <w:t xml:space="preserve"> </w:t>
      </w:r>
      <w:r>
        <w:rPr>
          <w:rFonts w:ascii="Times New Roman" w:hAnsi="Times New Roman"/>
          <w:bCs/>
          <w:iCs/>
          <w:szCs w:val="24"/>
          <w:lang w:val="hr-HR"/>
        </w:rPr>
        <w:t>дизајнирању</w:t>
      </w:r>
      <w:r w:rsidR="00CB31FB" w:rsidRPr="00295637">
        <w:rPr>
          <w:rFonts w:ascii="Times New Roman" w:hAnsi="Times New Roman"/>
          <w:bCs/>
          <w:iCs/>
          <w:szCs w:val="24"/>
          <w:lang w:val="hr-HR"/>
        </w:rPr>
        <w:t xml:space="preserve"> </w:t>
      </w:r>
      <w:r>
        <w:rPr>
          <w:rFonts w:ascii="Times New Roman" w:hAnsi="Times New Roman"/>
          <w:bCs/>
          <w:iCs/>
          <w:szCs w:val="24"/>
          <w:lang w:val="hr-HR"/>
        </w:rPr>
        <w:t>програма</w:t>
      </w:r>
      <w:r w:rsidR="00CB31FB" w:rsidRPr="00295637">
        <w:rPr>
          <w:rFonts w:ascii="Times New Roman" w:hAnsi="Times New Roman"/>
          <w:bCs/>
          <w:iCs/>
          <w:szCs w:val="24"/>
          <w:lang w:val="hr-HR"/>
        </w:rPr>
        <w:t xml:space="preserve"> </w:t>
      </w:r>
      <w:r>
        <w:rPr>
          <w:rFonts w:ascii="Times New Roman" w:hAnsi="Times New Roman"/>
          <w:bCs/>
          <w:iCs/>
          <w:szCs w:val="24"/>
          <w:lang w:val="hr-HR"/>
        </w:rPr>
        <w:t>запошљавања</w:t>
      </w:r>
      <w:r w:rsidR="00CB31FB" w:rsidRPr="00295637">
        <w:rPr>
          <w:rFonts w:ascii="Times New Roman" w:hAnsi="Times New Roman"/>
          <w:bCs/>
          <w:iCs/>
          <w:szCs w:val="24"/>
          <w:lang w:val="hr-HR"/>
        </w:rPr>
        <w:t xml:space="preserve"> </w:t>
      </w:r>
      <w:r>
        <w:rPr>
          <w:rFonts w:ascii="Times New Roman" w:hAnsi="Times New Roman"/>
          <w:bCs/>
          <w:iCs/>
          <w:szCs w:val="24"/>
          <w:lang w:val="hr-HR"/>
        </w:rPr>
        <w:t>посебна</w:t>
      </w:r>
      <w:r w:rsidR="00CB31FB" w:rsidRPr="00295637">
        <w:rPr>
          <w:rFonts w:ascii="Times New Roman" w:hAnsi="Times New Roman"/>
          <w:bCs/>
          <w:iCs/>
          <w:szCs w:val="24"/>
          <w:lang w:val="hr-HR"/>
        </w:rPr>
        <w:t xml:space="preserve"> </w:t>
      </w:r>
      <w:r>
        <w:rPr>
          <w:rFonts w:ascii="Times New Roman" w:hAnsi="Times New Roman"/>
          <w:bCs/>
          <w:iCs/>
          <w:szCs w:val="24"/>
          <w:lang w:val="hr-HR"/>
        </w:rPr>
        <w:t>пажња</w:t>
      </w:r>
      <w:r w:rsidR="00CB31FB" w:rsidRPr="00295637">
        <w:rPr>
          <w:rFonts w:ascii="Times New Roman" w:hAnsi="Times New Roman"/>
          <w:bCs/>
          <w:iCs/>
          <w:szCs w:val="24"/>
          <w:lang w:val="hr-HR"/>
        </w:rPr>
        <w:t xml:space="preserve"> </w:t>
      </w:r>
      <w:r>
        <w:rPr>
          <w:rFonts w:ascii="Times New Roman" w:hAnsi="Times New Roman"/>
          <w:bCs/>
          <w:iCs/>
          <w:szCs w:val="24"/>
          <w:lang w:val="hr-HR"/>
        </w:rPr>
        <w:t>је</w:t>
      </w:r>
      <w:r w:rsidR="00CB31FB" w:rsidRPr="00295637">
        <w:rPr>
          <w:rFonts w:ascii="Times New Roman" w:hAnsi="Times New Roman"/>
          <w:bCs/>
          <w:iCs/>
          <w:szCs w:val="24"/>
          <w:lang w:val="hr-HR"/>
        </w:rPr>
        <w:t xml:space="preserve"> </w:t>
      </w:r>
      <w:r>
        <w:rPr>
          <w:rFonts w:ascii="Times New Roman" w:hAnsi="Times New Roman"/>
          <w:bCs/>
          <w:iCs/>
          <w:szCs w:val="24"/>
          <w:lang w:val="hr-HR"/>
        </w:rPr>
        <w:t>посвећена</w:t>
      </w:r>
      <w:r w:rsidR="00CB31FB" w:rsidRPr="00295637">
        <w:rPr>
          <w:rFonts w:ascii="Times New Roman" w:hAnsi="Times New Roman"/>
          <w:bCs/>
          <w:iCs/>
          <w:szCs w:val="24"/>
          <w:lang w:val="hr-HR"/>
        </w:rPr>
        <w:t xml:space="preserve"> </w:t>
      </w:r>
      <w:r>
        <w:rPr>
          <w:rFonts w:ascii="Times New Roman" w:hAnsi="Times New Roman"/>
          <w:bCs/>
          <w:iCs/>
          <w:szCs w:val="24"/>
          <w:lang w:val="hr-HR"/>
        </w:rPr>
        <w:t>угроженим</w:t>
      </w:r>
      <w:r w:rsidR="00CB31FB" w:rsidRPr="00295637">
        <w:rPr>
          <w:rFonts w:ascii="Times New Roman" w:hAnsi="Times New Roman"/>
          <w:bCs/>
          <w:iCs/>
          <w:szCs w:val="24"/>
          <w:lang w:val="hr-HR"/>
        </w:rPr>
        <w:t xml:space="preserve"> </w:t>
      </w:r>
      <w:r>
        <w:rPr>
          <w:rFonts w:ascii="Times New Roman" w:hAnsi="Times New Roman"/>
          <w:bCs/>
          <w:iCs/>
          <w:szCs w:val="24"/>
          <w:lang w:val="hr-HR"/>
        </w:rPr>
        <w:t>групама</w:t>
      </w:r>
      <w:r w:rsidR="00CB31FB" w:rsidRPr="00295637">
        <w:rPr>
          <w:rFonts w:ascii="Times New Roman" w:hAnsi="Times New Roman"/>
          <w:bCs/>
          <w:iCs/>
          <w:szCs w:val="24"/>
          <w:lang w:val="hr-HR"/>
        </w:rPr>
        <w:t xml:space="preserve"> </w:t>
      </w:r>
      <w:r>
        <w:rPr>
          <w:rFonts w:ascii="Times New Roman" w:hAnsi="Times New Roman"/>
          <w:bCs/>
          <w:iCs/>
          <w:szCs w:val="24"/>
          <w:lang w:val="hr-HR"/>
        </w:rPr>
        <w:t>на</w:t>
      </w:r>
      <w:r w:rsidR="00CB31FB" w:rsidRPr="00295637">
        <w:rPr>
          <w:rFonts w:ascii="Times New Roman" w:hAnsi="Times New Roman"/>
          <w:bCs/>
          <w:iCs/>
          <w:szCs w:val="24"/>
          <w:lang w:val="hr-HR"/>
        </w:rPr>
        <w:t xml:space="preserve"> </w:t>
      </w:r>
      <w:r>
        <w:rPr>
          <w:rFonts w:ascii="Times New Roman" w:hAnsi="Times New Roman"/>
          <w:bCs/>
          <w:iCs/>
          <w:szCs w:val="24"/>
          <w:lang w:val="hr-HR"/>
        </w:rPr>
        <w:t>тржишту</w:t>
      </w:r>
      <w:r w:rsidR="00CB31FB" w:rsidRPr="00295637">
        <w:rPr>
          <w:rFonts w:ascii="Times New Roman" w:hAnsi="Times New Roman"/>
          <w:bCs/>
          <w:iCs/>
          <w:szCs w:val="24"/>
          <w:lang w:val="hr-HR"/>
        </w:rPr>
        <w:t xml:space="preserve"> </w:t>
      </w:r>
      <w:r>
        <w:rPr>
          <w:rFonts w:ascii="Times New Roman" w:hAnsi="Times New Roman"/>
          <w:bCs/>
          <w:iCs/>
          <w:szCs w:val="24"/>
          <w:lang w:val="hr-HR"/>
        </w:rPr>
        <w:t>рада</w:t>
      </w:r>
      <w:r w:rsidR="00CB31FB" w:rsidRPr="00295637">
        <w:rPr>
          <w:rFonts w:ascii="Times New Roman" w:hAnsi="Times New Roman"/>
          <w:bCs/>
          <w:iCs/>
          <w:szCs w:val="24"/>
          <w:lang w:val="hr-HR"/>
        </w:rPr>
        <w:t xml:space="preserve">, </w:t>
      </w:r>
      <w:r>
        <w:rPr>
          <w:rFonts w:ascii="Times New Roman" w:hAnsi="Times New Roman"/>
          <w:bCs/>
          <w:iCs/>
          <w:szCs w:val="24"/>
          <w:lang w:val="hr-HR"/>
        </w:rPr>
        <w:t>укључујући</w:t>
      </w:r>
      <w:r w:rsidR="00CB31FB" w:rsidRPr="00295637">
        <w:rPr>
          <w:rFonts w:ascii="Times New Roman" w:hAnsi="Times New Roman"/>
          <w:bCs/>
          <w:iCs/>
          <w:szCs w:val="24"/>
          <w:lang w:val="hr-HR"/>
        </w:rPr>
        <w:t xml:space="preserve"> </w:t>
      </w:r>
      <w:r>
        <w:rPr>
          <w:rFonts w:ascii="Times New Roman" w:hAnsi="Times New Roman"/>
          <w:bCs/>
          <w:iCs/>
          <w:szCs w:val="24"/>
          <w:lang w:val="hr-HR"/>
        </w:rPr>
        <w:t>жене</w:t>
      </w:r>
      <w:r w:rsidR="00CB31FB" w:rsidRPr="00295637">
        <w:rPr>
          <w:rFonts w:ascii="Times New Roman" w:hAnsi="Times New Roman"/>
          <w:bCs/>
          <w:iCs/>
          <w:szCs w:val="24"/>
          <w:lang w:val="hr-HR"/>
        </w:rPr>
        <w:t>.</w:t>
      </w:r>
      <w:r w:rsidR="0026752C" w:rsidRPr="00295637">
        <w:rPr>
          <w:rFonts w:ascii="Times New Roman" w:hAnsi="Times New Roman"/>
          <w:bCs/>
          <w:iCs/>
          <w:szCs w:val="24"/>
          <w:lang w:val="hr-HR"/>
        </w:rPr>
        <w:t xml:space="preserve"> </w:t>
      </w:r>
      <w:r>
        <w:rPr>
          <w:rFonts w:ascii="Times New Roman" w:hAnsi="Times New Roman"/>
          <w:szCs w:val="24"/>
          <w:lang w:val="bs-Latn-BA"/>
        </w:rPr>
        <w:t>АРЗ</w:t>
      </w:r>
      <w:r w:rsidR="00050016">
        <w:rPr>
          <w:rFonts w:ascii="Times New Roman" w:hAnsi="Times New Roman"/>
          <w:szCs w:val="24"/>
          <w:lang w:val="bs-Latn-BA"/>
        </w:rPr>
        <w:t xml:space="preserve"> </w:t>
      </w:r>
      <w:r>
        <w:rPr>
          <w:rFonts w:ascii="Times New Roman" w:hAnsi="Times New Roman"/>
          <w:szCs w:val="24"/>
          <w:lang w:val="bs-Latn-BA"/>
        </w:rPr>
        <w:t>БиХ</w:t>
      </w:r>
      <w:r w:rsidR="00CB31FB" w:rsidRPr="00295637">
        <w:rPr>
          <w:rFonts w:ascii="Times New Roman" w:hAnsi="Times New Roman"/>
          <w:szCs w:val="24"/>
          <w:lang w:val="bs-Latn-BA"/>
        </w:rPr>
        <w:t xml:space="preserve"> </w:t>
      </w:r>
      <w:r>
        <w:rPr>
          <w:rFonts w:ascii="Times New Roman" w:hAnsi="Times New Roman"/>
          <w:szCs w:val="24"/>
          <w:lang w:val="bs-Latn-BA"/>
        </w:rPr>
        <w:t>је</w:t>
      </w:r>
      <w:r w:rsidR="00CB31FB" w:rsidRPr="00295637">
        <w:rPr>
          <w:rFonts w:ascii="Times New Roman" w:hAnsi="Times New Roman"/>
          <w:szCs w:val="24"/>
          <w:lang w:val="bs-Latn-BA"/>
        </w:rPr>
        <w:t xml:space="preserve"> </w:t>
      </w:r>
      <w:r>
        <w:rPr>
          <w:rFonts w:ascii="Times New Roman" w:hAnsi="Times New Roman"/>
          <w:szCs w:val="24"/>
          <w:lang w:val="bs-Latn-BA"/>
        </w:rPr>
        <w:t>приликом</w:t>
      </w:r>
      <w:r w:rsidR="00CB31FB" w:rsidRPr="00295637">
        <w:rPr>
          <w:rFonts w:ascii="Times New Roman" w:hAnsi="Times New Roman"/>
          <w:szCs w:val="24"/>
          <w:lang w:val="bs-Latn-BA"/>
        </w:rPr>
        <w:t xml:space="preserve"> </w:t>
      </w:r>
      <w:r>
        <w:rPr>
          <w:rFonts w:ascii="Times New Roman" w:hAnsi="Times New Roman"/>
          <w:szCs w:val="24"/>
          <w:lang w:val="bs-Latn-BA"/>
        </w:rPr>
        <w:t>предлагања</w:t>
      </w:r>
      <w:r w:rsidR="00CB31FB" w:rsidRPr="00295637">
        <w:rPr>
          <w:rFonts w:ascii="Times New Roman" w:hAnsi="Times New Roman"/>
          <w:szCs w:val="24"/>
          <w:lang w:val="bs-Latn-BA"/>
        </w:rPr>
        <w:t xml:space="preserve"> </w:t>
      </w:r>
      <w:r>
        <w:rPr>
          <w:rFonts w:ascii="Times New Roman" w:hAnsi="Times New Roman"/>
          <w:szCs w:val="24"/>
          <w:lang w:val="bs-Latn-BA"/>
        </w:rPr>
        <w:t>буџета</w:t>
      </w:r>
      <w:r w:rsidR="00CB31FB" w:rsidRPr="00295637">
        <w:rPr>
          <w:rFonts w:ascii="Times New Roman" w:hAnsi="Times New Roman"/>
          <w:szCs w:val="24"/>
          <w:lang w:val="bs-Latn-BA"/>
        </w:rPr>
        <w:t xml:space="preserve"> </w:t>
      </w:r>
      <w:r>
        <w:rPr>
          <w:rFonts w:ascii="Times New Roman" w:hAnsi="Times New Roman"/>
          <w:szCs w:val="24"/>
          <w:lang w:val="bs-Latn-BA"/>
        </w:rPr>
        <w:t>за</w:t>
      </w:r>
      <w:r w:rsidR="00CB31FB" w:rsidRPr="00295637">
        <w:rPr>
          <w:rFonts w:ascii="Times New Roman" w:hAnsi="Times New Roman"/>
          <w:szCs w:val="24"/>
          <w:lang w:val="bs-Latn-BA"/>
        </w:rPr>
        <w:t xml:space="preserve"> 2025. </w:t>
      </w:r>
      <w:r>
        <w:rPr>
          <w:rFonts w:ascii="Times New Roman" w:hAnsi="Times New Roman"/>
          <w:szCs w:val="24"/>
          <w:lang w:val="bs-Latn-BA"/>
        </w:rPr>
        <w:t>годину</w:t>
      </w:r>
      <w:r w:rsidR="00CB31FB" w:rsidRPr="00295637">
        <w:rPr>
          <w:rFonts w:ascii="Times New Roman" w:hAnsi="Times New Roman"/>
          <w:szCs w:val="24"/>
          <w:lang w:val="bs-Latn-BA"/>
        </w:rPr>
        <w:t xml:space="preserve"> </w:t>
      </w:r>
      <w:r>
        <w:rPr>
          <w:rFonts w:ascii="Times New Roman" w:hAnsi="Times New Roman"/>
          <w:szCs w:val="24"/>
          <w:lang w:val="bs-Latn-BA"/>
        </w:rPr>
        <w:t>водила</w:t>
      </w:r>
      <w:r w:rsidR="00CB31FB" w:rsidRPr="00295637">
        <w:rPr>
          <w:rFonts w:ascii="Times New Roman" w:hAnsi="Times New Roman"/>
          <w:szCs w:val="24"/>
          <w:lang w:val="bs-Latn-BA"/>
        </w:rPr>
        <w:t xml:space="preserve"> </w:t>
      </w:r>
      <w:r>
        <w:rPr>
          <w:rFonts w:ascii="Times New Roman" w:hAnsi="Times New Roman"/>
          <w:szCs w:val="24"/>
          <w:lang w:val="bs-Latn-BA"/>
        </w:rPr>
        <w:t>рачуна</w:t>
      </w:r>
      <w:r w:rsidR="00CB31FB" w:rsidRPr="00295637">
        <w:rPr>
          <w:rFonts w:ascii="Times New Roman" w:hAnsi="Times New Roman"/>
          <w:szCs w:val="24"/>
          <w:lang w:val="bs-Latn-BA"/>
        </w:rPr>
        <w:t xml:space="preserve"> </w:t>
      </w:r>
      <w:r>
        <w:rPr>
          <w:rFonts w:ascii="Times New Roman" w:hAnsi="Times New Roman"/>
          <w:szCs w:val="24"/>
          <w:lang w:val="bs-Latn-BA"/>
        </w:rPr>
        <w:t>о</w:t>
      </w:r>
      <w:r w:rsidR="00CB31FB"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F90528" w:rsidRPr="00295637">
        <w:rPr>
          <w:rFonts w:ascii="Times New Roman" w:hAnsi="Times New Roman"/>
          <w:szCs w:val="24"/>
          <w:lang w:val="bs-Latn-BA"/>
        </w:rPr>
        <w:t xml:space="preserve"> </w:t>
      </w:r>
      <w:r>
        <w:rPr>
          <w:rFonts w:ascii="Times New Roman" w:hAnsi="Times New Roman"/>
          <w:szCs w:val="24"/>
          <w:lang w:val="bs-Latn-BA"/>
        </w:rPr>
        <w:t>полова</w:t>
      </w:r>
      <w:r w:rsidR="00CB31FB" w:rsidRPr="00295637">
        <w:rPr>
          <w:rFonts w:ascii="Times New Roman" w:hAnsi="Times New Roman"/>
          <w:szCs w:val="24"/>
          <w:lang w:val="bs-Latn-BA"/>
        </w:rPr>
        <w:t xml:space="preserve"> </w:t>
      </w:r>
      <w:r>
        <w:rPr>
          <w:rFonts w:ascii="Times New Roman" w:hAnsi="Times New Roman"/>
          <w:szCs w:val="24"/>
          <w:lang w:val="bs-Latn-BA"/>
        </w:rPr>
        <w:t>и</w:t>
      </w:r>
      <w:r w:rsidR="00CB31FB" w:rsidRPr="00295637">
        <w:rPr>
          <w:rFonts w:ascii="Times New Roman" w:hAnsi="Times New Roman"/>
          <w:szCs w:val="24"/>
          <w:lang w:val="bs-Latn-BA"/>
        </w:rPr>
        <w:t xml:space="preserve"> </w:t>
      </w:r>
      <w:r>
        <w:rPr>
          <w:rFonts w:ascii="Times New Roman" w:hAnsi="Times New Roman"/>
          <w:szCs w:val="24"/>
          <w:lang w:val="bs-Latn-BA"/>
        </w:rPr>
        <w:t>увођењу</w:t>
      </w:r>
      <w:r w:rsidR="00CB31FB" w:rsidRPr="00295637">
        <w:rPr>
          <w:rFonts w:ascii="Times New Roman" w:hAnsi="Times New Roman"/>
          <w:szCs w:val="24"/>
          <w:lang w:val="bs-Latn-BA"/>
        </w:rPr>
        <w:t xml:space="preserve"> </w:t>
      </w:r>
      <w:r>
        <w:rPr>
          <w:rFonts w:ascii="Times New Roman" w:hAnsi="Times New Roman"/>
          <w:szCs w:val="24"/>
          <w:lang w:val="bs-Latn-BA"/>
        </w:rPr>
        <w:t>родно</w:t>
      </w:r>
      <w:r w:rsidR="00CB31FB" w:rsidRPr="00295637">
        <w:rPr>
          <w:rFonts w:ascii="Times New Roman" w:hAnsi="Times New Roman"/>
          <w:szCs w:val="24"/>
          <w:lang w:val="bs-Latn-BA"/>
        </w:rPr>
        <w:t xml:space="preserve"> </w:t>
      </w:r>
      <w:r>
        <w:rPr>
          <w:rFonts w:ascii="Times New Roman" w:hAnsi="Times New Roman"/>
          <w:szCs w:val="24"/>
          <w:lang w:val="bs-Latn-BA"/>
        </w:rPr>
        <w:t>одговорног</w:t>
      </w:r>
      <w:r w:rsidR="00CB31FB" w:rsidRPr="00295637">
        <w:rPr>
          <w:rFonts w:ascii="Times New Roman" w:hAnsi="Times New Roman"/>
          <w:szCs w:val="24"/>
          <w:lang w:val="bs-Latn-BA"/>
        </w:rPr>
        <w:t xml:space="preserve"> </w:t>
      </w:r>
      <w:r>
        <w:rPr>
          <w:rFonts w:ascii="Times New Roman" w:hAnsi="Times New Roman"/>
          <w:szCs w:val="24"/>
          <w:lang w:val="bs-Latn-BA"/>
        </w:rPr>
        <w:t>буџетирања</w:t>
      </w:r>
      <w:r w:rsidR="00CB31FB" w:rsidRPr="00295637">
        <w:rPr>
          <w:rFonts w:ascii="Times New Roman" w:hAnsi="Times New Roman"/>
          <w:szCs w:val="24"/>
          <w:lang w:val="bs-Latn-BA"/>
        </w:rPr>
        <w:t>.</w:t>
      </w:r>
    </w:p>
    <w:p w:rsidR="008D56A8" w:rsidRPr="00295637" w:rsidRDefault="008D56A8" w:rsidP="0086268D">
      <w:pPr>
        <w:jc w:val="both"/>
        <w:rPr>
          <w:rFonts w:ascii="Times New Roman" w:hAnsi="Times New Roman"/>
          <w:bCs/>
          <w:iCs/>
          <w:szCs w:val="24"/>
          <w:lang w:val="hr-HR"/>
        </w:rPr>
      </w:pPr>
    </w:p>
    <w:p w:rsidR="00D256F6" w:rsidRPr="00295637" w:rsidRDefault="00C6214E" w:rsidP="0086268D">
      <w:pPr>
        <w:pStyle w:val="NormalWeb"/>
        <w:spacing w:before="0" w:beforeAutospacing="0" w:after="0" w:afterAutospacing="0"/>
        <w:jc w:val="both"/>
        <w:rPr>
          <w:lang w:val="bs-Latn-BA"/>
        </w:rPr>
      </w:pPr>
      <w:r>
        <w:rPr>
          <w:lang w:val="bs-Latn-BA"/>
        </w:rPr>
        <w:t>ФЗЗЗ</w:t>
      </w:r>
      <w:r w:rsidR="00D256F6" w:rsidRPr="00295637">
        <w:rPr>
          <w:lang w:val="bs-Latn-BA"/>
        </w:rPr>
        <w:t xml:space="preserve"> </w:t>
      </w:r>
      <w:r>
        <w:rPr>
          <w:lang w:val="bs-Latn-BA"/>
        </w:rPr>
        <w:t>у</w:t>
      </w:r>
      <w:r w:rsidR="00D256F6" w:rsidRPr="00295637">
        <w:rPr>
          <w:lang w:val="bs-Latn-BA"/>
        </w:rPr>
        <w:t xml:space="preserve"> </w:t>
      </w:r>
      <w:r>
        <w:rPr>
          <w:lang w:val="bs-Latn-BA"/>
        </w:rPr>
        <w:t>сарадњи</w:t>
      </w:r>
      <w:r w:rsidR="00262CA2">
        <w:rPr>
          <w:lang w:val="bs-Latn-BA"/>
        </w:rPr>
        <w:t xml:space="preserve"> </w:t>
      </w:r>
      <w:r>
        <w:rPr>
          <w:lang w:val="bs-Latn-BA"/>
        </w:rPr>
        <w:t>са</w:t>
      </w:r>
      <w:r w:rsidR="00D256F6" w:rsidRPr="00295637">
        <w:rPr>
          <w:lang w:val="bs-Latn-BA"/>
        </w:rPr>
        <w:t xml:space="preserve"> </w:t>
      </w:r>
      <w:r>
        <w:rPr>
          <w:lang w:val="bs-Latn-BA"/>
        </w:rPr>
        <w:t>кантоналним</w:t>
      </w:r>
      <w:r w:rsidR="00D256F6" w:rsidRPr="00295637">
        <w:rPr>
          <w:lang w:val="bs-Latn-BA"/>
        </w:rPr>
        <w:t xml:space="preserve"> </w:t>
      </w:r>
      <w:r>
        <w:rPr>
          <w:lang w:val="bs-Latn-BA"/>
        </w:rPr>
        <w:t>службама</w:t>
      </w:r>
      <w:r w:rsidR="00D256F6" w:rsidRPr="00295637">
        <w:rPr>
          <w:lang w:val="bs-Latn-BA"/>
        </w:rPr>
        <w:t xml:space="preserve"> </w:t>
      </w:r>
      <w:r>
        <w:rPr>
          <w:lang w:val="bs-Latn-BA"/>
        </w:rPr>
        <w:t>проводи</w:t>
      </w:r>
      <w:r w:rsidR="00D256F6" w:rsidRPr="00295637">
        <w:rPr>
          <w:lang w:val="bs-Latn-BA"/>
        </w:rPr>
        <w:t xml:space="preserve"> </w:t>
      </w:r>
      <w:r>
        <w:rPr>
          <w:lang w:val="bs-Latn-BA"/>
        </w:rPr>
        <w:t>програме</w:t>
      </w:r>
      <w:r w:rsidR="00D256F6" w:rsidRPr="00295637">
        <w:rPr>
          <w:lang w:val="bs-Latn-BA"/>
        </w:rPr>
        <w:t xml:space="preserve"> </w:t>
      </w:r>
      <w:r>
        <w:rPr>
          <w:lang w:val="bs-Latn-BA"/>
        </w:rPr>
        <w:t>активне</w:t>
      </w:r>
      <w:r w:rsidR="00D256F6" w:rsidRPr="00295637">
        <w:rPr>
          <w:lang w:val="bs-Latn-BA"/>
        </w:rPr>
        <w:t xml:space="preserve"> </w:t>
      </w:r>
      <w:r>
        <w:rPr>
          <w:lang w:val="bs-Latn-BA"/>
        </w:rPr>
        <w:t>политике</w:t>
      </w:r>
      <w:r w:rsidR="00D256F6" w:rsidRPr="00295637">
        <w:rPr>
          <w:lang w:val="bs-Latn-BA"/>
        </w:rPr>
        <w:t xml:space="preserve"> </w:t>
      </w:r>
      <w:r>
        <w:rPr>
          <w:lang w:val="bs-Latn-BA"/>
        </w:rPr>
        <w:t>запошљавања</w:t>
      </w:r>
      <w:r w:rsidR="00D256F6" w:rsidRPr="00295637">
        <w:rPr>
          <w:lang w:val="bs-Latn-BA"/>
        </w:rPr>
        <w:t xml:space="preserve"> </w:t>
      </w:r>
      <w:r>
        <w:rPr>
          <w:lang w:val="bs-Latn-BA"/>
        </w:rPr>
        <w:t>који</w:t>
      </w:r>
      <w:r w:rsidR="00D256F6" w:rsidRPr="00295637">
        <w:rPr>
          <w:lang w:val="bs-Latn-BA"/>
        </w:rPr>
        <w:t xml:space="preserve"> </w:t>
      </w:r>
      <w:r>
        <w:rPr>
          <w:lang w:val="bs-Latn-BA"/>
        </w:rPr>
        <w:t>укључују</w:t>
      </w:r>
      <w:r w:rsidR="00D256F6" w:rsidRPr="00295637">
        <w:rPr>
          <w:lang w:val="bs-Latn-BA"/>
        </w:rPr>
        <w:t xml:space="preserve"> </w:t>
      </w:r>
      <w:r>
        <w:rPr>
          <w:lang w:val="bs-Latn-BA"/>
        </w:rPr>
        <w:t>посебне</w:t>
      </w:r>
      <w:r w:rsidR="00D256F6" w:rsidRPr="00295637">
        <w:rPr>
          <w:lang w:val="bs-Latn-BA"/>
        </w:rPr>
        <w:t xml:space="preserve"> </w:t>
      </w:r>
      <w:r>
        <w:rPr>
          <w:lang w:val="bs-Latn-BA"/>
        </w:rPr>
        <w:t>мјере</w:t>
      </w:r>
      <w:r w:rsidR="00D256F6" w:rsidRPr="00295637">
        <w:rPr>
          <w:lang w:val="bs-Latn-BA"/>
        </w:rPr>
        <w:t xml:space="preserve"> </w:t>
      </w:r>
      <w:r>
        <w:rPr>
          <w:lang w:val="bs-Latn-BA"/>
        </w:rPr>
        <w:t>усмјерене</w:t>
      </w:r>
      <w:r w:rsidR="00D256F6" w:rsidRPr="00295637">
        <w:rPr>
          <w:lang w:val="bs-Latn-BA"/>
        </w:rPr>
        <w:t xml:space="preserve"> </w:t>
      </w:r>
      <w:r>
        <w:rPr>
          <w:lang w:val="bs-Latn-BA"/>
        </w:rPr>
        <w:t>на</w:t>
      </w:r>
      <w:r w:rsidR="00D256F6" w:rsidRPr="00295637">
        <w:rPr>
          <w:lang w:val="bs-Latn-BA"/>
        </w:rPr>
        <w:t xml:space="preserve"> </w:t>
      </w:r>
      <w:r>
        <w:rPr>
          <w:lang w:val="bs-Latn-BA"/>
        </w:rPr>
        <w:t>повећање</w:t>
      </w:r>
      <w:r w:rsidR="00D256F6" w:rsidRPr="00295637">
        <w:rPr>
          <w:lang w:val="bs-Latn-BA"/>
        </w:rPr>
        <w:t xml:space="preserve"> </w:t>
      </w:r>
      <w:r>
        <w:rPr>
          <w:lang w:val="bs-Latn-BA"/>
        </w:rPr>
        <w:t>запошљивости</w:t>
      </w:r>
      <w:r w:rsidR="00D256F6" w:rsidRPr="00295637">
        <w:rPr>
          <w:lang w:val="bs-Latn-BA"/>
        </w:rPr>
        <w:t xml:space="preserve"> </w:t>
      </w:r>
      <w:r>
        <w:rPr>
          <w:lang w:val="bs-Latn-BA"/>
        </w:rPr>
        <w:t>жена</w:t>
      </w:r>
      <w:r w:rsidR="00D256F6" w:rsidRPr="00295637">
        <w:rPr>
          <w:lang w:val="bs-Latn-BA"/>
        </w:rPr>
        <w:t xml:space="preserve">. </w:t>
      </w:r>
      <w:r>
        <w:rPr>
          <w:lang w:val="bs-Latn-BA"/>
        </w:rPr>
        <w:t>Циљ</w:t>
      </w:r>
      <w:r w:rsidR="00D256F6" w:rsidRPr="00295637">
        <w:rPr>
          <w:lang w:val="bs-Latn-BA"/>
        </w:rPr>
        <w:t xml:space="preserve"> </w:t>
      </w:r>
      <w:r>
        <w:rPr>
          <w:lang w:val="bs-Latn-BA"/>
        </w:rPr>
        <w:t>ових</w:t>
      </w:r>
      <w:r w:rsidR="00D256F6" w:rsidRPr="00295637">
        <w:rPr>
          <w:lang w:val="bs-Latn-BA"/>
        </w:rPr>
        <w:t xml:space="preserve"> </w:t>
      </w:r>
      <w:r>
        <w:rPr>
          <w:lang w:val="bs-Latn-BA"/>
        </w:rPr>
        <w:t>мјера</w:t>
      </w:r>
      <w:r w:rsidR="00D256F6" w:rsidRPr="00295637">
        <w:rPr>
          <w:lang w:val="bs-Latn-BA"/>
        </w:rPr>
        <w:t xml:space="preserve"> </w:t>
      </w:r>
      <w:r>
        <w:rPr>
          <w:lang w:val="bs-Latn-BA"/>
        </w:rPr>
        <w:t>је</w:t>
      </w:r>
      <w:r w:rsidR="00D256F6" w:rsidRPr="00295637">
        <w:rPr>
          <w:lang w:val="bs-Latn-BA"/>
        </w:rPr>
        <w:t xml:space="preserve"> </w:t>
      </w:r>
      <w:r>
        <w:rPr>
          <w:lang w:val="bs-Latn-BA"/>
        </w:rPr>
        <w:t>подстицати</w:t>
      </w:r>
      <w:r w:rsidR="00D256F6" w:rsidRPr="00295637">
        <w:rPr>
          <w:lang w:val="bs-Latn-BA"/>
        </w:rPr>
        <w:t xml:space="preserve"> </w:t>
      </w:r>
      <w:r>
        <w:rPr>
          <w:lang w:val="bs-Latn-BA"/>
        </w:rPr>
        <w:t>запошљавање</w:t>
      </w:r>
      <w:r w:rsidR="00D256F6" w:rsidRPr="00295637">
        <w:rPr>
          <w:lang w:val="bs-Latn-BA"/>
        </w:rPr>
        <w:t xml:space="preserve"> </w:t>
      </w:r>
      <w:r>
        <w:rPr>
          <w:lang w:val="bs-Latn-BA"/>
        </w:rPr>
        <w:t>жена</w:t>
      </w:r>
      <w:r w:rsidR="00D256F6" w:rsidRPr="00295637">
        <w:rPr>
          <w:lang w:val="bs-Latn-BA"/>
        </w:rPr>
        <w:t xml:space="preserve"> </w:t>
      </w:r>
      <w:r>
        <w:rPr>
          <w:lang w:val="bs-Latn-BA"/>
        </w:rPr>
        <w:t>у</w:t>
      </w:r>
      <w:r w:rsidR="00D256F6" w:rsidRPr="00295637">
        <w:rPr>
          <w:lang w:val="bs-Latn-BA"/>
        </w:rPr>
        <w:t xml:space="preserve"> </w:t>
      </w:r>
      <w:r>
        <w:rPr>
          <w:lang w:val="bs-Latn-BA"/>
        </w:rPr>
        <w:t>пословним</w:t>
      </w:r>
      <w:r w:rsidR="00D256F6" w:rsidRPr="00295637">
        <w:rPr>
          <w:lang w:val="bs-Latn-BA"/>
        </w:rPr>
        <w:t xml:space="preserve"> </w:t>
      </w:r>
      <w:r>
        <w:rPr>
          <w:lang w:val="bs-Latn-BA"/>
        </w:rPr>
        <w:t>субјектима</w:t>
      </w:r>
      <w:r w:rsidR="00D256F6" w:rsidRPr="00295637">
        <w:rPr>
          <w:lang w:val="bs-Latn-BA"/>
        </w:rPr>
        <w:t xml:space="preserve"> </w:t>
      </w:r>
      <w:r>
        <w:rPr>
          <w:lang w:val="bs-Latn-BA"/>
        </w:rPr>
        <w:t>те</w:t>
      </w:r>
      <w:r w:rsidR="00D256F6" w:rsidRPr="00295637">
        <w:rPr>
          <w:lang w:val="bs-Latn-BA"/>
        </w:rPr>
        <w:t xml:space="preserve"> </w:t>
      </w:r>
      <w:r>
        <w:rPr>
          <w:lang w:val="bs-Latn-BA"/>
        </w:rPr>
        <w:t>њихово</w:t>
      </w:r>
      <w:r w:rsidR="00D256F6" w:rsidRPr="00295637">
        <w:rPr>
          <w:lang w:val="bs-Latn-BA"/>
        </w:rPr>
        <w:t xml:space="preserve"> </w:t>
      </w:r>
      <w:r>
        <w:rPr>
          <w:lang w:val="bs-Latn-BA"/>
        </w:rPr>
        <w:t>самозапошљавање</w:t>
      </w:r>
      <w:r w:rsidR="00D256F6" w:rsidRPr="00295637">
        <w:rPr>
          <w:lang w:val="bs-Latn-BA"/>
        </w:rPr>
        <w:t xml:space="preserve"> </w:t>
      </w:r>
      <w:r>
        <w:rPr>
          <w:lang w:val="bs-Latn-BA"/>
        </w:rPr>
        <w:t>кроз</w:t>
      </w:r>
      <w:r w:rsidR="00D256F6" w:rsidRPr="00295637">
        <w:rPr>
          <w:lang w:val="bs-Latn-BA"/>
        </w:rPr>
        <w:t xml:space="preserve"> </w:t>
      </w:r>
      <w:r>
        <w:rPr>
          <w:lang w:val="bs-Latn-BA"/>
        </w:rPr>
        <w:t>покретање</w:t>
      </w:r>
      <w:r w:rsidR="00D256F6" w:rsidRPr="00295637">
        <w:rPr>
          <w:lang w:val="bs-Latn-BA"/>
        </w:rPr>
        <w:t xml:space="preserve"> </w:t>
      </w:r>
      <w:r>
        <w:rPr>
          <w:lang w:val="bs-Latn-BA"/>
        </w:rPr>
        <w:t>властитог</w:t>
      </w:r>
      <w:r w:rsidR="00D256F6" w:rsidRPr="00295637">
        <w:rPr>
          <w:lang w:val="bs-Latn-BA"/>
        </w:rPr>
        <w:t xml:space="preserve"> </w:t>
      </w:r>
      <w:r>
        <w:rPr>
          <w:lang w:val="bs-Latn-BA"/>
        </w:rPr>
        <w:t>бизниса</w:t>
      </w:r>
      <w:r w:rsidR="00D256F6" w:rsidRPr="00295637">
        <w:rPr>
          <w:lang w:val="bs-Latn-BA"/>
        </w:rPr>
        <w:t xml:space="preserve">. </w:t>
      </w:r>
      <w:r>
        <w:rPr>
          <w:lang w:val="bs-Latn-BA"/>
        </w:rPr>
        <w:t>У</w:t>
      </w:r>
      <w:r w:rsidR="00D256F6" w:rsidRPr="00295637">
        <w:rPr>
          <w:lang w:val="bs-Latn-BA"/>
        </w:rPr>
        <w:t xml:space="preserve"> </w:t>
      </w:r>
      <w:r>
        <w:rPr>
          <w:lang w:val="bs-Latn-BA"/>
        </w:rPr>
        <w:t>оквиру</w:t>
      </w:r>
      <w:r w:rsidR="00D256F6" w:rsidRPr="00295637">
        <w:rPr>
          <w:lang w:val="bs-Latn-BA"/>
        </w:rPr>
        <w:t xml:space="preserve"> </w:t>
      </w:r>
      <w:r>
        <w:rPr>
          <w:lang w:val="bs-Latn-BA"/>
        </w:rPr>
        <w:t>оп</w:t>
      </w:r>
      <w:r w:rsidR="00F82DDB">
        <w:rPr>
          <w:lang w:val="sr-Cyrl-BA"/>
        </w:rPr>
        <w:t>шт</w:t>
      </w:r>
      <w:r>
        <w:rPr>
          <w:lang w:val="bs-Latn-BA"/>
        </w:rPr>
        <w:t>их</w:t>
      </w:r>
      <w:r w:rsidR="00D256F6" w:rsidRPr="00295637">
        <w:rPr>
          <w:lang w:val="bs-Latn-BA"/>
        </w:rPr>
        <w:t xml:space="preserve"> </w:t>
      </w:r>
      <w:r>
        <w:rPr>
          <w:lang w:val="bs-Latn-BA"/>
        </w:rPr>
        <w:t>и</w:t>
      </w:r>
      <w:r w:rsidR="00D256F6" w:rsidRPr="00295637">
        <w:rPr>
          <w:lang w:val="bs-Latn-BA"/>
        </w:rPr>
        <w:t xml:space="preserve"> </w:t>
      </w:r>
      <w:r>
        <w:rPr>
          <w:lang w:val="bs-Latn-BA"/>
        </w:rPr>
        <w:t>посебних</w:t>
      </w:r>
      <w:r w:rsidR="00D256F6" w:rsidRPr="00295637">
        <w:rPr>
          <w:lang w:val="bs-Latn-BA"/>
        </w:rPr>
        <w:t xml:space="preserve"> </w:t>
      </w:r>
      <w:r>
        <w:rPr>
          <w:lang w:val="bs-Latn-BA"/>
        </w:rPr>
        <w:t>мјера</w:t>
      </w:r>
      <w:r w:rsidR="00D256F6" w:rsidRPr="00295637">
        <w:rPr>
          <w:lang w:val="bs-Latn-BA"/>
        </w:rPr>
        <w:t xml:space="preserve"> </w:t>
      </w:r>
      <w:r>
        <w:rPr>
          <w:lang w:val="bs-Latn-BA"/>
        </w:rPr>
        <w:t>активне</w:t>
      </w:r>
      <w:r w:rsidR="00D256F6" w:rsidRPr="00295637">
        <w:rPr>
          <w:lang w:val="bs-Latn-BA"/>
        </w:rPr>
        <w:t xml:space="preserve"> </w:t>
      </w:r>
      <w:r>
        <w:rPr>
          <w:lang w:val="bs-Latn-BA"/>
        </w:rPr>
        <w:t>политике</w:t>
      </w:r>
      <w:r w:rsidR="00D256F6" w:rsidRPr="00295637">
        <w:rPr>
          <w:lang w:val="bs-Latn-BA"/>
        </w:rPr>
        <w:t xml:space="preserve"> </w:t>
      </w:r>
      <w:r>
        <w:rPr>
          <w:lang w:val="bs-Latn-BA"/>
        </w:rPr>
        <w:t>у</w:t>
      </w:r>
      <w:r w:rsidR="00D256F6" w:rsidRPr="00295637">
        <w:rPr>
          <w:lang w:val="bs-Latn-BA"/>
        </w:rPr>
        <w:t xml:space="preserve"> 2024. </w:t>
      </w:r>
      <w:r>
        <w:rPr>
          <w:lang w:val="bs-Latn-BA"/>
        </w:rPr>
        <w:t>години</w:t>
      </w:r>
      <w:r w:rsidR="00D256F6" w:rsidRPr="00295637">
        <w:rPr>
          <w:lang w:val="bs-Latn-BA"/>
        </w:rPr>
        <w:t xml:space="preserve"> </w:t>
      </w:r>
      <w:r>
        <w:rPr>
          <w:lang w:val="bs-Latn-BA"/>
        </w:rPr>
        <w:t>обухваћено</w:t>
      </w:r>
      <w:r w:rsidR="00D256F6" w:rsidRPr="00295637">
        <w:rPr>
          <w:lang w:val="bs-Latn-BA"/>
        </w:rPr>
        <w:t xml:space="preserve"> </w:t>
      </w:r>
      <w:r>
        <w:rPr>
          <w:lang w:val="bs-Latn-BA"/>
        </w:rPr>
        <w:t>је</w:t>
      </w:r>
      <w:r w:rsidR="00D256F6" w:rsidRPr="00295637">
        <w:rPr>
          <w:lang w:val="bs-Latn-BA"/>
        </w:rPr>
        <w:t xml:space="preserve"> </w:t>
      </w:r>
      <w:r>
        <w:rPr>
          <w:lang w:val="bs-Latn-BA"/>
        </w:rPr>
        <w:t>укупно</w:t>
      </w:r>
      <w:r w:rsidR="00D256F6" w:rsidRPr="00295637">
        <w:rPr>
          <w:lang w:val="bs-Latn-BA"/>
        </w:rPr>
        <w:t xml:space="preserve"> </w:t>
      </w:r>
      <w:r w:rsidR="00D256F6" w:rsidRPr="00295637">
        <w:rPr>
          <w:rStyle w:val="Strong"/>
          <w:b w:val="0"/>
          <w:lang w:val="bs-Latn-BA"/>
        </w:rPr>
        <w:t xml:space="preserve">10.889 </w:t>
      </w:r>
      <w:r>
        <w:rPr>
          <w:rStyle w:val="Strong"/>
          <w:b w:val="0"/>
          <w:lang w:val="bs-Latn-BA"/>
        </w:rPr>
        <w:t>лица</w:t>
      </w:r>
      <w:r w:rsidR="00D256F6" w:rsidRPr="00295637">
        <w:rPr>
          <w:lang w:val="bs-Latn-BA"/>
        </w:rPr>
        <w:t xml:space="preserve">, </w:t>
      </w:r>
      <w:r>
        <w:rPr>
          <w:lang w:val="bs-Latn-BA"/>
        </w:rPr>
        <w:t>од</w:t>
      </w:r>
      <w:r w:rsidR="00D256F6" w:rsidRPr="00295637">
        <w:rPr>
          <w:lang w:val="bs-Latn-BA"/>
        </w:rPr>
        <w:t xml:space="preserve"> </w:t>
      </w:r>
      <w:r>
        <w:rPr>
          <w:lang w:val="bs-Latn-BA"/>
        </w:rPr>
        <w:t>чега</w:t>
      </w:r>
      <w:r w:rsidR="00D256F6" w:rsidRPr="00295637">
        <w:rPr>
          <w:lang w:val="bs-Latn-BA"/>
        </w:rPr>
        <w:t xml:space="preserve"> </w:t>
      </w:r>
      <w:r w:rsidR="00D256F6" w:rsidRPr="00295637">
        <w:rPr>
          <w:rStyle w:val="Strong"/>
          <w:b w:val="0"/>
          <w:lang w:val="bs-Latn-BA"/>
        </w:rPr>
        <w:t xml:space="preserve">4.998 </w:t>
      </w:r>
      <w:r>
        <w:rPr>
          <w:rStyle w:val="Strong"/>
          <w:b w:val="0"/>
          <w:lang w:val="bs-Latn-BA"/>
        </w:rPr>
        <w:t>жена</w:t>
      </w:r>
      <w:r w:rsidR="00D256F6" w:rsidRPr="00295637">
        <w:rPr>
          <w:lang w:val="bs-Latn-BA"/>
        </w:rPr>
        <w:t xml:space="preserve">, </w:t>
      </w:r>
      <w:r>
        <w:rPr>
          <w:lang w:val="bs-Latn-BA"/>
        </w:rPr>
        <w:t>што</w:t>
      </w:r>
      <w:r w:rsidR="00D256F6" w:rsidRPr="00295637">
        <w:rPr>
          <w:lang w:val="bs-Latn-BA"/>
        </w:rPr>
        <w:t xml:space="preserve"> </w:t>
      </w:r>
      <w:r>
        <w:rPr>
          <w:lang w:val="bs-Latn-BA"/>
        </w:rPr>
        <w:t>чини</w:t>
      </w:r>
      <w:r w:rsidR="00D256F6" w:rsidRPr="00295637">
        <w:rPr>
          <w:lang w:val="bs-Latn-BA"/>
        </w:rPr>
        <w:t xml:space="preserve"> </w:t>
      </w:r>
      <w:r w:rsidR="00D256F6" w:rsidRPr="00295637">
        <w:rPr>
          <w:rStyle w:val="Strong"/>
          <w:b w:val="0"/>
          <w:lang w:val="bs-Latn-BA"/>
        </w:rPr>
        <w:t>45,9%</w:t>
      </w:r>
      <w:r w:rsidR="00D256F6" w:rsidRPr="00295637">
        <w:rPr>
          <w:lang w:val="bs-Latn-BA"/>
        </w:rPr>
        <w:t xml:space="preserve"> </w:t>
      </w:r>
      <w:r>
        <w:rPr>
          <w:lang w:val="bs-Latn-BA"/>
        </w:rPr>
        <w:t>од</w:t>
      </w:r>
      <w:r w:rsidR="00D256F6" w:rsidRPr="00295637">
        <w:rPr>
          <w:lang w:val="bs-Latn-BA"/>
        </w:rPr>
        <w:t xml:space="preserve"> </w:t>
      </w:r>
      <w:r>
        <w:rPr>
          <w:lang w:val="bs-Latn-BA"/>
        </w:rPr>
        <w:t>укупног</w:t>
      </w:r>
      <w:r w:rsidR="00D256F6" w:rsidRPr="00295637">
        <w:rPr>
          <w:lang w:val="bs-Latn-BA"/>
        </w:rPr>
        <w:t xml:space="preserve"> </w:t>
      </w:r>
      <w:r>
        <w:rPr>
          <w:lang w:val="bs-Latn-BA"/>
        </w:rPr>
        <w:t>броја</w:t>
      </w:r>
      <w:r w:rsidR="00D256F6" w:rsidRPr="00295637">
        <w:rPr>
          <w:lang w:val="bs-Latn-BA"/>
        </w:rPr>
        <w:t xml:space="preserve"> </w:t>
      </w:r>
      <w:r>
        <w:rPr>
          <w:lang w:val="bs-Latn-BA"/>
        </w:rPr>
        <w:t>корисника</w:t>
      </w:r>
      <w:r w:rsidR="00D256F6" w:rsidRPr="00295637">
        <w:rPr>
          <w:lang w:val="bs-Latn-BA"/>
        </w:rPr>
        <w:t xml:space="preserve"> </w:t>
      </w:r>
      <w:r>
        <w:rPr>
          <w:lang w:val="bs-Latn-BA"/>
        </w:rPr>
        <w:t>програма</w:t>
      </w:r>
      <w:r w:rsidR="00D256F6" w:rsidRPr="00295637">
        <w:rPr>
          <w:lang w:val="bs-Latn-BA"/>
        </w:rPr>
        <w:t>.</w:t>
      </w:r>
    </w:p>
    <w:p w:rsidR="008D56A8" w:rsidRPr="00295637" w:rsidRDefault="008D56A8" w:rsidP="0086268D">
      <w:pPr>
        <w:pStyle w:val="NormalWeb"/>
        <w:spacing w:before="0" w:beforeAutospacing="0" w:after="0" w:afterAutospacing="0"/>
        <w:jc w:val="both"/>
        <w:rPr>
          <w:lang w:val="bs-Latn-BA"/>
        </w:rPr>
      </w:pPr>
    </w:p>
    <w:p w:rsidR="00D256F6" w:rsidRPr="00295637" w:rsidRDefault="00C6214E" w:rsidP="0086268D">
      <w:pPr>
        <w:pStyle w:val="NormalWeb"/>
        <w:spacing w:before="0" w:beforeAutospacing="0" w:after="0" w:afterAutospacing="0"/>
        <w:jc w:val="both"/>
        <w:rPr>
          <w:lang w:val="bs-Latn-BA"/>
        </w:rPr>
      </w:pPr>
      <w:r>
        <w:rPr>
          <w:lang w:val="bs-Latn-BA"/>
        </w:rPr>
        <w:t>ФМПВШ</w:t>
      </w:r>
      <w:r w:rsidR="00D256F6" w:rsidRPr="00295637">
        <w:rPr>
          <w:lang w:val="bs-Latn-BA"/>
        </w:rPr>
        <w:t xml:space="preserve"> </w:t>
      </w:r>
      <w:r>
        <w:rPr>
          <w:lang w:val="bs-Latn-BA"/>
        </w:rPr>
        <w:t>је</w:t>
      </w:r>
      <w:r w:rsidR="00B60458">
        <w:rPr>
          <w:lang w:val="bs-Latn-BA"/>
        </w:rPr>
        <w:t xml:space="preserve"> </w:t>
      </w:r>
      <w:r w:rsidR="00F82DDB">
        <w:rPr>
          <w:lang w:val="sr-Cyrl-BA"/>
        </w:rPr>
        <w:t>спровело</w:t>
      </w:r>
      <w:r w:rsidR="00D256F6" w:rsidRPr="00295637">
        <w:rPr>
          <w:lang w:val="bs-Latn-BA"/>
        </w:rPr>
        <w:t xml:space="preserve"> </w:t>
      </w:r>
      <w:r>
        <w:rPr>
          <w:lang w:val="bs-Latn-BA"/>
        </w:rPr>
        <w:t>низ</w:t>
      </w:r>
      <w:r w:rsidR="00D256F6" w:rsidRPr="00295637">
        <w:rPr>
          <w:lang w:val="bs-Latn-BA"/>
        </w:rPr>
        <w:t xml:space="preserve"> </w:t>
      </w:r>
      <w:r>
        <w:rPr>
          <w:lang w:val="bs-Latn-BA"/>
        </w:rPr>
        <w:t>мјера</w:t>
      </w:r>
      <w:r w:rsidR="00D256F6" w:rsidRPr="00295637">
        <w:rPr>
          <w:lang w:val="bs-Latn-BA"/>
        </w:rPr>
        <w:t xml:space="preserve"> </w:t>
      </w:r>
      <w:r w:rsidR="00F82DDB">
        <w:rPr>
          <w:lang w:val="sr-Cyrl-BA"/>
        </w:rPr>
        <w:t>с</w:t>
      </w:r>
      <w:r w:rsidR="00D256F6" w:rsidRPr="00295637">
        <w:rPr>
          <w:lang w:val="bs-Latn-BA"/>
        </w:rPr>
        <w:t xml:space="preserve"> </w:t>
      </w:r>
      <w:r>
        <w:rPr>
          <w:lang w:val="bs-Latn-BA"/>
        </w:rPr>
        <w:t>циљ</w:t>
      </w:r>
      <w:r w:rsidR="00F82DDB">
        <w:rPr>
          <w:lang w:val="sr-Cyrl-BA"/>
        </w:rPr>
        <w:t>ем</w:t>
      </w:r>
      <w:r w:rsidR="00D256F6" w:rsidRPr="00295637">
        <w:rPr>
          <w:lang w:val="bs-Latn-BA"/>
        </w:rPr>
        <w:t xml:space="preserve"> </w:t>
      </w:r>
      <w:r>
        <w:rPr>
          <w:lang w:val="bs-Latn-BA"/>
        </w:rPr>
        <w:t>сузбијања</w:t>
      </w:r>
      <w:r w:rsidR="00D256F6" w:rsidRPr="00295637">
        <w:rPr>
          <w:lang w:val="bs-Latn-BA"/>
        </w:rPr>
        <w:t xml:space="preserve"> </w:t>
      </w:r>
      <w:r>
        <w:rPr>
          <w:lang w:val="bs-Latn-BA"/>
        </w:rPr>
        <w:t>дискриминације</w:t>
      </w:r>
      <w:r w:rsidR="00D256F6" w:rsidRPr="00295637">
        <w:rPr>
          <w:lang w:val="bs-Latn-BA"/>
        </w:rPr>
        <w:t xml:space="preserve"> </w:t>
      </w:r>
      <w:r>
        <w:rPr>
          <w:lang w:val="bs-Latn-BA"/>
        </w:rPr>
        <w:t>на</w:t>
      </w:r>
      <w:r w:rsidR="00D256F6" w:rsidRPr="00295637">
        <w:rPr>
          <w:lang w:val="bs-Latn-BA"/>
        </w:rPr>
        <w:t xml:space="preserve"> </w:t>
      </w:r>
      <w:r>
        <w:rPr>
          <w:lang w:val="bs-Latn-BA"/>
        </w:rPr>
        <w:t>основу</w:t>
      </w:r>
      <w:r w:rsidR="00D256F6" w:rsidRPr="00295637">
        <w:rPr>
          <w:lang w:val="bs-Latn-BA"/>
        </w:rPr>
        <w:t xml:space="preserve"> </w:t>
      </w:r>
      <w:r>
        <w:rPr>
          <w:lang w:val="bs-Latn-BA"/>
        </w:rPr>
        <w:t>пола</w:t>
      </w:r>
      <w:r w:rsidR="00D256F6" w:rsidRPr="00295637">
        <w:rPr>
          <w:lang w:val="bs-Latn-BA"/>
        </w:rPr>
        <w:t xml:space="preserve"> </w:t>
      </w:r>
      <w:r>
        <w:rPr>
          <w:lang w:val="bs-Latn-BA"/>
        </w:rPr>
        <w:t>и</w:t>
      </w:r>
      <w:r w:rsidR="00D256F6" w:rsidRPr="00295637">
        <w:rPr>
          <w:lang w:val="bs-Latn-BA"/>
        </w:rPr>
        <w:t xml:space="preserve"> </w:t>
      </w:r>
      <w:r>
        <w:rPr>
          <w:lang w:val="bs-Latn-BA"/>
        </w:rPr>
        <w:t>сексуалног</w:t>
      </w:r>
      <w:r w:rsidR="00D256F6" w:rsidRPr="00295637">
        <w:rPr>
          <w:lang w:val="bs-Latn-BA"/>
        </w:rPr>
        <w:t xml:space="preserve"> </w:t>
      </w:r>
      <w:r>
        <w:rPr>
          <w:lang w:val="bs-Latn-BA"/>
        </w:rPr>
        <w:t>узнемиравања</w:t>
      </w:r>
      <w:r w:rsidR="00D256F6" w:rsidRPr="00295637">
        <w:rPr>
          <w:lang w:val="bs-Latn-BA"/>
        </w:rPr>
        <w:t xml:space="preserve"> </w:t>
      </w:r>
      <w:r>
        <w:rPr>
          <w:lang w:val="bs-Latn-BA"/>
        </w:rPr>
        <w:t>у</w:t>
      </w:r>
      <w:r w:rsidR="00D256F6" w:rsidRPr="00295637">
        <w:rPr>
          <w:lang w:val="bs-Latn-BA"/>
        </w:rPr>
        <w:t xml:space="preserve"> </w:t>
      </w:r>
      <w:r>
        <w:rPr>
          <w:lang w:val="bs-Latn-BA"/>
        </w:rPr>
        <w:t>области</w:t>
      </w:r>
      <w:r w:rsidR="00D256F6" w:rsidRPr="00295637">
        <w:rPr>
          <w:lang w:val="bs-Latn-BA"/>
        </w:rPr>
        <w:t xml:space="preserve"> </w:t>
      </w:r>
      <w:r>
        <w:rPr>
          <w:lang w:val="bs-Latn-BA"/>
        </w:rPr>
        <w:t>рада</w:t>
      </w:r>
      <w:r w:rsidR="00D256F6" w:rsidRPr="00295637">
        <w:rPr>
          <w:lang w:val="bs-Latn-BA"/>
        </w:rPr>
        <w:t xml:space="preserve">, </w:t>
      </w:r>
      <w:r>
        <w:rPr>
          <w:lang w:val="bs-Latn-BA"/>
        </w:rPr>
        <w:t>запошљавања</w:t>
      </w:r>
      <w:r w:rsidR="00D256F6" w:rsidRPr="00295637">
        <w:rPr>
          <w:lang w:val="bs-Latn-BA"/>
        </w:rPr>
        <w:t xml:space="preserve"> </w:t>
      </w:r>
      <w:r>
        <w:rPr>
          <w:lang w:val="bs-Latn-BA"/>
        </w:rPr>
        <w:t>и</w:t>
      </w:r>
      <w:r w:rsidR="00D256F6" w:rsidRPr="00295637">
        <w:rPr>
          <w:lang w:val="bs-Latn-BA"/>
        </w:rPr>
        <w:t xml:space="preserve"> </w:t>
      </w:r>
      <w:r>
        <w:rPr>
          <w:lang w:val="bs-Latn-BA"/>
        </w:rPr>
        <w:t>приступа</w:t>
      </w:r>
      <w:r w:rsidR="00D256F6" w:rsidRPr="00295637">
        <w:rPr>
          <w:lang w:val="bs-Latn-BA"/>
        </w:rPr>
        <w:t xml:space="preserve"> </w:t>
      </w:r>
      <w:r>
        <w:rPr>
          <w:lang w:val="bs-Latn-BA"/>
        </w:rPr>
        <w:t>економским</w:t>
      </w:r>
      <w:r w:rsidR="00D256F6" w:rsidRPr="00295637">
        <w:rPr>
          <w:lang w:val="bs-Latn-BA"/>
        </w:rPr>
        <w:t xml:space="preserve"> </w:t>
      </w:r>
      <w:r>
        <w:rPr>
          <w:lang w:val="bs-Latn-BA"/>
        </w:rPr>
        <w:t>ресурсима</w:t>
      </w:r>
      <w:r w:rsidR="00D256F6" w:rsidRPr="00295637">
        <w:rPr>
          <w:lang w:val="bs-Latn-BA"/>
        </w:rPr>
        <w:t xml:space="preserve">. </w:t>
      </w:r>
      <w:r>
        <w:rPr>
          <w:lang w:val="bs-Latn-BA"/>
        </w:rPr>
        <w:t>Усвајање</w:t>
      </w:r>
      <w:r w:rsidR="00D256F6" w:rsidRPr="00295637">
        <w:rPr>
          <w:lang w:val="bs-Latn-BA"/>
        </w:rPr>
        <w:t xml:space="preserve"> </w:t>
      </w:r>
      <w:r>
        <w:rPr>
          <w:lang w:val="bs-Latn-BA"/>
        </w:rPr>
        <w:t>Стратегије</w:t>
      </w:r>
      <w:r w:rsidR="00D256F6" w:rsidRPr="00295637">
        <w:rPr>
          <w:lang w:val="bs-Latn-BA"/>
        </w:rPr>
        <w:t xml:space="preserve"> </w:t>
      </w:r>
      <w:r>
        <w:rPr>
          <w:lang w:val="bs-Latn-BA"/>
        </w:rPr>
        <w:t>пољопривреде</w:t>
      </w:r>
      <w:r w:rsidR="00D256F6" w:rsidRPr="00295637">
        <w:rPr>
          <w:lang w:val="bs-Latn-BA"/>
        </w:rPr>
        <w:t xml:space="preserve"> </w:t>
      </w:r>
      <w:r>
        <w:rPr>
          <w:lang w:val="bs-Latn-BA"/>
        </w:rPr>
        <w:t>и</w:t>
      </w:r>
      <w:r w:rsidR="00D256F6" w:rsidRPr="00295637">
        <w:rPr>
          <w:lang w:val="bs-Latn-BA"/>
        </w:rPr>
        <w:t xml:space="preserve"> </w:t>
      </w:r>
      <w:r>
        <w:rPr>
          <w:lang w:val="bs-Latn-BA"/>
        </w:rPr>
        <w:t>руралног</w:t>
      </w:r>
      <w:r w:rsidR="00D256F6" w:rsidRPr="00295637">
        <w:rPr>
          <w:lang w:val="bs-Latn-BA"/>
        </w:rPr>
        <w:t xml:space="preserve"> </w:t>
      </w:r>
      <w:r>
        <w:rPr>
          <w:lang w:val="bs-Latn-BA"/>
        </w:rPr>
        <w:t>развоја</w:t>
      </w:r>
      <w:r w:rsidR="00D256F6" w:rsidRPr="00295637">
        <w:rPr>
          <w:lang w:val="bs-Latn-BA"/>
        </w:rPr>
        <w:t xml:space="preserve"> 2021</w:t>
      </w:r>
      <w:r w:rsidR="00262CA2">
        <w:rPr>
          <w:lang w:val="bs-Latn-BA"/>
        </w:rPr>
        <w:t>-</w:t>
      </w:r>
      <w:r w:rsidR="00D256F6" w:rsidRPr="00295637">
        <w:rPr>
          <w:lang w:val="bs-Latn-BA"/>
        </w:rPr>
        <w:t>2027</w:t>
      </w:r>
      <w:r w:rsidR="00262CA2">
        <w:rPr>
          <w:lang w:val="bs-Latn-BA"/>
        </w:rPr>
        <w:t xml:space="preserve">. </w:t>
      </w:r>
      <w:r>
        <w:rPr>
          <w:lang w:val="bs-Latn-BA"/>
        </w:rPr>
        <w:t>година</w:t>
      </w:r>
      <w:r w:rsidR="00D256F6" w:rsidRPr="00295637">
        <w:rPr>
          <w:lang w:val="bs-Latn-BA"/>
        </w:rPr>
        <w:t xml:space="preserve"> </w:t>
      </w:r>
      <w:r>
        <w:rPr>
          <w:lang w:val="bs-Latn-BA"/>
        </w:rPr>
        <w:t>ФБиХ</w:t>
      </w:r>
      <w:r w:rsidR="001C66BC">
        <w:rPr>
          <w:lang w:val="bs-Latn-BA"/>
        </w:rPr>
        <w:t xml:space="preserve">, </w:t>
      </w:r>
      <w:r>
        <w:rPr>
          <w:lang w:val="bs-Latn-BA"/>
        </w:rPr>
        <w:t>омогућило</w:t>
      </w:r>
      <w:r w:rsidR="00D256F6" w:rsidRPr="00295637">
        <w:rPr>
          <w:lang w:val="bs-Latn-BA"/>
        </w:rPr>
        <w:t xml:space="preserve"> </w:t>
      </w:r>
      <w:r>
        <w:rPr>
          <w:lang w:val="bs-Latn-BA"/>
        </w:rPr>
        <w:t>је</w:t>
      </w:r>
      <w:r w:rsidR="00D256F6" w:rsidRPr="00295637">
        <w:rPr>
          <w:lang w:val="bs-Latn-BA"/>
        </w:rPr>
        <w:t xml:space="preserve"> </w:t>
      </w:r>
      <w:r>
        <w:rPr>
          <w:lang w:val="bs-Latn-BA"/>
        </w:rPr>
        <w:t>увођење</w:t>
      </w:r>
      <w:r w:rsidR="00D256F6" w:rsidRPr="00295637">
        <w:rPr>
          <w:lang w:val="bs-Latn-BA"/>
        </w:rPr>
        <w:t xml:space="preserve"> </w:t>
      </w:r>
      <w:r>
        <w:rPr>
          <w:lang w:val="bs-Latn-BA"/>
        </w:rPr>
        <w:t>родно</w:t>
      </w:r>
      <w:r w:rsidR="00D256F6" w:rsidRPr="00295637">
        <w:rPr>
          <w:lang w:val="bs-Latn-BA"/>
        </w:rPr>
        <w:t xml:space="preserve"> </w:t>
      </w:r>
      <w:r>
        <w:rPr>
          <w:lang w:val="bs-Latn-BA"/>
        </w:rPr>
        <w:t>одговорних</w:t>
      </w:r>
      <w:r w:rsidR="00D256F6" w:rsidRPr="00295637">
        <w:rPr>
          <w:lang w:val="bs-Latn-BA"/>
        </w:rPr>
        <w:t xml:space="preserve"> </w:t>
      </w:r>
      <w:r>
        <w:rPr>
          <w:lang w:val="bs-Latn-BA"/>
        </w:rPr>
        <w:t>буџета</w:t>
      </w:r>
      <w:r w:rsidR="00D256F6" w:rsidRPr="00295637">
        <w:rPr>
          <w:lang w:val="bs-Latn-BA"/>
        </w:rPr>
        <w:t xml:space="preserve"> </w:t>
      </w:r>
      <w:r>
        <w:rPr>
          <w:lang w:val="bs-Latn-BA"/>
        </w:rPr>
        <w:t>и</w:t>
      </w:r>
      <w:r w:rsidR="00D256F6" w:rsidRPr="00295637">
        <w:rPr>
          <w:lang w:val="bs-Latn-BA"/>
        </w:rPr>
        <w:t xml:space="preserve"> </w:t>
      </w:r>
      <w:r>
        <w:rPr>
          <w:lang w:val="bs-Latn-BA"/>
        </w:rPr>
        <w:t>специфичних</w:t>
      </w:r>
      <w:r w:rsidR="00D256F6" w:rsidRPr="00295637">
        <w:rPr>
          <w:lang w:val="bs-Latn-BA"/>
        </w:rPr>
        <w:t xml:space="preserve"> </w:t>
      </w:r>
      <w:r>
        <w:rPr>
          <w:lang w:val="bs-Latn-BA"/>
        </w:rPr>
        <w:t>мјера</w:t>
      </w:r>
      <w:r w:rsidR="00D256F6" w:rsidRPr="00295637">
        <w:rPr>
          <w:lang w:val="bs-Latn-BA"/>
        </w:rPr>
        <w:t xml:space="preserve"> </w:t>
      </w:r>
      <w:r>
        <w:rPr>
          <w:lang w:val="bs-Latn-BA"/>
        </w:rPr>
        <w:t>подршке</w:t>
      </w:r>
      <w:r w:rsidR="00D256F6" w:rsidRPr="00295637">
        <w:rPr>
          <w:lang w:val="bs-Latn-BA"/>
        </w:rPr>
        <w:t xml:space="preserve">. </w:t>
      </w:r>
      <w:r>
        <w:rPr>
          <w:lang w:val="bs-Latn-BA"/>
        </w:rPr>
        <w:t>Програм</w:t>
      </w:r>
      <w:r w:rsidR="00D256F6" w:rsidRPr="00295637">
        <w:rPr>
          <w:lang w:val="bs-Latn-BA"/>
        </w:rPr>
        <w:t xml:space="preserve"> </w:t>
      </w:r>
      <w:r>
        <w:rPr>
          <w:lang w:val="bs-Latn-BA"/>
        </w:rPr>
        <w:t>утрошка</w:t>
      </w:r>
      <w:r w:rsidR="00D256F6" w:rsidRPr="00295637">
        <w:rPr>
          <w:lang w:val="bs-Latn-BA"/>
        </w:rPr>
        <w:t xml:space="preserve"> </w:t>
      </w:r>
      <w:r>
        <w:rPr>
          <w:lang w:val="bs-Latn-BA"/>
        </w:rPr>
        <w:t>средстава</w:t>
      </w:r>
      <w:r w:rsidR="00D256F6" w:rsidRPr="00295637">
        <w:rPr>
          <w:lang w:val="bs-Latn-BA"/>
        </w:rPr>
        <w:t xml:space="preserve"> </w:t>
      </w:r>
      <w:r>
        <w:rPr>
          <w:lang w:val="bs-Latn-BA"/>
        </w:rPr>
        <w:t>укључио</w:t>
      </w:r>
      <w:r w:rsidR="00D256F6" w:rsidRPr="00295637">
        <w:rPr>
          <w:lang w:val="bs-Latn-BA"/>
        </w:rPr>
        <w:t xml:space="preserve"> </w:t>
      </w:r>
      <w:r>
        <w:rPr>
          <w:lang w:val="bs-Latn-BA"/>
        </w:rPr>
        <w:t>је</w:t>
      </w:r>
      <w:r w:rsidR="00D256F6" w:rsidRPr="00295637">
        <w:rPr>
          <w:lang w:val="bs-Latn-BA"/>
        </w:rPr>
        <w:t xml:space="preserve"> </w:t>
      </w:r>
      <w:r>
        <w:rPr>
          <w:lang w:val="bs-Latn-BA"/>
        </w:rPr>
        <w:t>по</w:t>
      </w:r>
      <w:r w:rsidR="00D256F6" w:rsidRPr="00295637">
        <w:rPr>
          <w:lang w:val="bs-Latn-BA"/>
        </w:rPr>
        <w:t xml:space="preserve"> </w:t>
      </w:r>
      <w:r>
        <w:rPr>
          <w:lang w:val="bs-Latn-BA"/>
        </w:rPr>
        <w:t>први</w:t>
      </w:r>
      <w:r w:rsidR="00D256F6" w:rsidRPr="00295637">
        <w:rPr>
          <w:lang w:val="bs-Latn-BA"/>
        </w:rPr>
        <w:t xml:space="preserve"> </w:t>
      </w:r>
      <w:r>
        <w:rPr>
          <w:lang w:val="bs-Latn-BA"/>
        </w:rPr>
        <w:t>пут</w:t>
      </w:r>
      <w:r w:rsidR="00D256F6" w:rsidRPr="00295637">
        <w:rPr>
          <w:lang w:val="bs-Latn-BA"/>
        </w:rPr>
        <w:t xml:space="preserve"> </w:t>
      </w:r>
      <w:r>
        <w:rPr>
          <w:lang w:val="bs-Latn-BA"/>
        </w:rPr>
        <w:t>субвенције</w:t>
      </w:r>
      <w:r w:rsidR="00D256F6" w:rsidRPr="00295637">
        <w:rPr>
          <w:lang w:val="bs-Latn-BA"/>
        </w:rPr>
        <w:t xml:space="preserve"> </w:t>
      </w:r>
      <w:r>
        <w:rPr>
          <w:lang w:val="bs-Latn-BA"/>
        </w:rPr>
        <w:t>за</w:t>
      </w:r>
      <w:r w:rsidR="00D256F6" w:rsidRPr="00295637">
        <w:rPr>
          <w:lang w:val="bs-Latn-BA"/>
        </w:rPr>
        <w:t xml:space="preserve"> </w:t>
      </w:r>
      <w:r>
        <w:rPr>
          <w:lang w:val="bs-Latn-BA"/>
        </w:rPr>
        <w:t>младе</w:t>
      </w:r>
      <w:r w:rsidR="00D256F6" w:rsidRPr="00295637">
        <w:rPr>
          <w:lang w:val="bs-Latn-BA"/>
        </w:rPr>
        <w:t xml:space="preserve"> </w:t>
      </w:r>
      <w:r>
        <w:rPr>
          <w:lang w:val="bs-Latn-BA"/>
        </w:rPr>
        <w:t>пољопривреднике</w:t>
      </w:r>
      <w:r w:rsidR="00D256F6" w:rsidRPr="00295637">
        <w:rPr>
          <w:lang w:val="bs-Latn-BA"/>
        </w:rPr>
        <w:t xml:space="preserve"> </w:t>
      </w:r>
      <w:r>
        <w:rPr>
          <w:lang w:val="bs-Latn-BA"/>
        </w:rPr>
        <w:t>и</w:t>
      </w:r>
      <w:r w:rsidR="00D256F6" w:rsidRPr="00295637">
        <w:rPr>
          <w:lang w:val="bs-Latn-BA"/>
        </w:rPr>
        <w:t xml:space="preserve"> </w:t>
      </w:r>
      <w:r>
        <w:rPr>
          <w:lang w:val="bs-Latn-BA"/>
        </w:rPr>
        <w:t>повећао</w:t>
      </w:r>
      <w:r w:rsidR="00D256F6" w:rsidRPr="00295637">
        <w:rPr>
          <w:lang w:val="bs-Latn-BA"/>
        </w:rPr>
        <w:t xml:space="preserve"> </w:t>
      </w:r>
      <w:r>
        <w:rPr>
          <w:lang w:val="bs-Latn-BA"/>
        </w:rPr>
        <w:t>додатни</w:t>
      </w:r>
      <w:r w:rsidR="00D256F6" w:rsidRPr="00295637">
        <w:rPr>
          <w:lang w:val="bs-Latn-BA"/>
        </w:rPr>
        <w:t xml:space="preserve"> </w:t>
      </w:r>
      <w:r>
        <w:rPr>
          <w:lang w:val="bs-Latn-BA"/>
        </w:rPr>
        <w:t>износ</w:t>
      </w:r>
      <w:r w:rsidR="00D256F6" w:rsidRPr="00295637">
        <w:rPr>
          <w:lang w:val="bs-Latn-BA"/>
        </w:rPr>
        <w:t xml:space="preserve"> </w:t>
      </w:r>
      <w:r>
        <w:rPr>
          <w:lang w:val="bs-Latn-BA"/>
        </w:rPr>
        <w:t>улагања</w:t>
      </w:r>
      <w:r w:rsidR="00D256F6" w:rsidRPr="00295637">
        <w:rPr>
          <w:lang w:val="bs-Latn-BA"/>
        </w:rPr>
        <w:t xml:space="preserve"> </w:t>
      </w:r>
      <w:r>
        <w:rPr>
          <w:lang w:val="bs-Latn-BA"/>
        </w:rPr>
        <w:t>на</w:t>
      </w:r>
      <w:r w:rsidR="00D256F6" w:rsidRPr="00295637">
        <w:rPr>
          <w:lang w:val="bs-Latn-BA"/>
        </w:rPr>
        <w:t xml:space="preserve"> 10% </w:t>
      </w:r>
      <w:r>
        <w:rPr>
          <w:lang w:val="bs-Latn-BA"/>
        </w:rPr>
        <w:t>за</w:t>
      </w:r>
      <w:r w:rsidR="00D256F6" w:rsidRPr="00295637">
        <w:rPr>
          <w:lang w:val="bs-Latn-BA"/>
        </w:rPr>
        <w:t xml:space="preserve"> </w:t>
      </w:r>
      <w:r>
        <w:rPr>
          <w:lang w:val="bs-Latn-BA"/>
        </w:rPr>
        <w:t>жене</w:t>
      </w:r>
      <w:r w:rsidR="00D256F6" w:rsidRPr="00295637">
        <w:rPr>
          <w:lang w:val="bs-Latn-BA"/>
        </w:rPr>
        <w:t xml:space="preserve">, </w:t>
      </w:r>
      <w:r>
        <w:rPr>
          <w:lang w:val="bs-Latn-BA"/>
        </w:rPr>
        <w:t>младе</w:t>
      </w:r>
      <w:r w:rsidR="00D256F6" w:rsidRPr="00295637">
        <w:rPr>
          <w:lang w:val="bs-Latn-BA"/>
        </w:rPr>
        <w:t xml:space="preserve"> </w:t>
      </w:r>
      <w:r>
        <w:rPr>
          <w:lang w:val="bs-Latn-BA"/>
        </w:rPr>
        <w:t>пољопривреднике</w:t>
      </w:r>
      <w:r w:rsidR="00D256F6" w:rsidRPr="00295637">
        <w:rPr>
          <w:lang w:val="bs-Latn-BA"/>
        </w:rPr>
        <w:t xml:space="preserve"> </w:t>
      </w:r>
      <w:r>
        <w:rPr>
          <w:lang w:val="bs-Latn-BA"/>
        </w:rPr>
        <w:t>до</w:t>
      </w:r>
      <w:r w:rsidR="00D256F6" w:rsidRPr="00295637">
        <w:rPr>
          <w:lang w:val="bs-Latn-BA"/>
        </w:rPr>
        <w:t xml:space="preserve"> 40 </w:t>
      </w:r>
      <w:r>
        <w:rPr>
          <w:lang w:val="bs-Latn-BA"/>
        </w:rPr>
        <w:t>година</w:t>
      </w:r>
      <w:r w:rsidR="00D256F6" w:rsidRPr="00295637">
        <w:rPr>
          <w:lang w:val="bs-Latn-BA"/>
        </w:rPr>
        <w:t xml:space="preserve">, </w:t>
      </w:r>
      <w:r>
        <w:rPr>
          <w:lang w:val="bs-Latn-BA"/>
        </w:rPr>
        <w:t>домаћинства</w:t>
      </w:r>
      <w:r w:rsidR="00D256F6" w:rsidRPr="00295637">
        <w:rPr>
          <w:lang w:val="bs-Latn-BA"/>
        </w:rPr>
        <w:t xml:space="preserve"> </w:t>
      </w:r>
      <w:r>
        <w:rPr>
          <w:lang w:val="bs-Latn-BA"/>
        </w:rPr>
        <w:t>са</w:t>
      </w:r>
      <w:r w:rsidR="00D256F6" w:rsidRPr="00295637">
        <w:rPr>
          <w:lang w:val="bs-Latn-BA"/>
        </w:rPr>
        <w:t xml:space="preserve"> </w:t>
      </w:r>
      <w:r>
        <w:rPr>
          <w:lang w:val="bs-Latn-BA"/>
        </w:rPr>
        <w:t>троје</w:t>
      </w:r>
      <w:r w:rsidR="00D256F6" w:rsidRPr="00295637">
        <w:rPr>
          <w:lang w:val="bs-Latn-BA"/>
        </w:rPr>
        <w:t xml:space="preserve"> </w:t>
      </w:r>
      <w:r>
        <w:rPr>
          <w:lang w:val="bs-Latn-BA"/>
        </w:rPr>
        <w:t>и</w:t>
      </w:r>
      <w:r w:rsidR="00D256F6" w:rsidRPr="00295637">
        <w:rPr>
          <w:lang w:val="bs-Latn-BA"/>
        </w:rPr>
        <w:t xml:space="preserve"> </w:t>
      </w:r>
      <w:r>
        <w:rPr>
          <w:lang w:val="bs-Latn-BA"/>
        </w:rPr>
        <w:t>више</w:t>
      </w:r>
      <w:r w:rsidR="00D256F6" w:rsidRPr="00295637">
        <w:rPr>
          <w:lang w:val="bs-Latn-BA"/>
        </w:rPr>
        <w:t xml:space="preserve"> </w:t>
      </w:r>
      <w:r>
        <w:rPr>
          <w:lang w:val="bs-Latn-BA"/>
        </w:rPr>
        <w:t>дјеце</w:t>
      </w:r>
      <w:r w:rsidR="00D256F6" w:rsidRPr="00295637">
        <w:rPr>
          <w:lang w:val="bs-Latn-BA"/>
        </w:rPr>
        <w:t xml:space="preserve"> </w:t>
      </w:r>
      <w:r>
        <w:rPr>
          <w:lang w:val="bs-Latn-BA"/>
        </w:rPr>
        <w:t>те</w:t>
      </w:r>
      <w:r w:rsidR="00D256F6" w:rsidRPr="00295637">
        <w:rPr>
          <w:lang w:val="bs-Latn-BA"/>
        </w:rPr>
        <w:t xml:space="preserve"> </w:t>
      </w:r>
      <w:r>
        <w:rPr>
          <w:lang w:val="bs-Latn-BA"/>
        </w:rPr>
        <w:t>пољопривредна</w:t>
      </w:r>
      <w:r w:rsidR="00D256F6" w:rsidRPr="00295637">
        <w:rPr>
          <w:lang w:val="bs-Latn-BA"/>
        </w:rPr>
        <w:t xml:space="preserve"> </w:t>
      </w:r>
      <w:r>
        <w:rPr>
          <w:lang w:val="bs-Latn-BA"/>
        </w:rPr>
        <w:t>газдинства</w:t>
      </w:r>
      <w:r w:rsidR="00D256F6" w:rsidRPr="00295637">
        <w:rPr>
          <w:lang w:val="bs-Latn-BA"/>
        </w:rPr>
        <w:t xml:space="preserve"> </w:t>
      </w:r>
      <w:r>
        <w:rPr>
          <w:lang w:val="bs-Latn-BA"/>
        </w:rPr>
        <w:t>на</w:t>
      </w:r>
      <w:r w:rsidR="00D256F6" w:rsidRPr="00295637">
        <w:rPr>
          <w:lang w:val="bs-Latn-BA"/>
        </w:rPr>
        <w:t xml:space="preserve"> </w:t>
      </w:r>
      <w:r>
        <w:rPr>
          <w:lang w:val="bs-Latn-BA"/>
        </w:rPr>
        <w:t>надморској</w:t>
      </w:r>
      <w:r w:rsidR="00D256F6" w:rsidRPr="00295637">
        <w:rPr>
          <w:lang w:val="bs-Latn-BA"/>
        </w:rPr>
        <w:t xml:space="preserve"> </w:t>
      </w:r>
      <w:r>
        <w:rPr>
          <w:lang w:val="bs-Latn-BA"/>
        </w:rPr>
        <w:t>висини</w:t>
      </w:r>
      <w:r w:rsidR="00D256F6" w:rsidRPr="00295637">
        <w:rPr>
          <w:lang w:val="bs-Latn-BA"/>
        </w:rPr>
        <w:t xml:space="preserve"> </w:t>
      </w:r>
      <w:r>
        <w:rPr>
          <w:lang w:val="bs-Latn-BA"/>
        </w:rPr>
        <w:t>изнад</w:t>
      </w:r>
      <w:r w:rsidR="00D256F6" w:rsidRPr="00295637">
        <w:rPr>
          <w:lang w:val="bs-Latn-BA"/>
        </w:rPr>
        <w:t xml:space="preserve"> 600 </w:t>
      </w:r>
      <w:r>
        <w:rPr>
          <w:lang w:val="bs-Latn-BA"/>
        </w:rPr>
        <w:t>метара</w:t>
      </w:r>
      <w:r w:rsidR="00D256F6" w:rsidRPr="00295637">
        <w:rPr>
          <w:lang w:val="bs-Latn-BA"/>
        </w:rPr>
        <w:t xml:space="preserve">. </w:t>
      </w:r>
      <w:r>
        <w:rPr>
          <w:lang w:val="bs-Latn-BA"/>
        </w:rPr>
        <w:t>Ови</w:t>
      </w:r>
      <w:r w:rsidR="00D256F6" w:rsidRPr="00295637">
        <w:rPr>
          <w:lang w:val="bs-Latn-BA"/>
        </w:rPr>
        <w:t xml:space="preserve"> </w:t>
      </w:r>
      <w:r>
        <w:rPr>
          <w:lang w:val="bs-Latn-BA"/>
        </w:rPr>
        <w:t>механизми</w:t>
      </w:r>
      <w:r w:rsidR="00D256F6" w:rsidRPr="00295637">
        <w:rPr>
          <w:lang w:val="bs-Latn-BA"/>
        </w:rPr>
        <w:t xml:space="preserve"> </w:t>
      </w:r>
      <w:r>
        <w:rPr>
          <w:lang w:val="bs-Latn-BA"/>
        </w:rPr>
        <w:t>пружају</w:t>
      </w:r>
      <w:r w:rsidR="00D256F6" w:rsidRPr="00295637">
        <w:rPr>
          <w:lang w:val="bs-Latn-BA"/>
        </w:rPr>
        <w:t xml:space="preserve"> </w:t>
      </w:r>
      <w:r>
        <w:rPr>
          <w:lang w:val="bs-Latn-BA"/>
        </w:rPr>
        <w:t>бољу</w:t>
      </w:r>
      <w:r w:rsidR="00D256F6" w:rsidRPr="00295637">
        <w:rPr>
          <w:lang w:val="bs-Latn-BA"/>
        </w:rPr>
        <w:t xml:space="preserve"> </w:t>
      </w:r>
      <w:r>
        <w:rPr>
          <w:lang w:val="bs-Latn-BA"/>
        </w:rPr>
        <w:t>финансијску</w:t>
      </w:r>
      <w:r w:rsidR="00D256F6" w:rsidRPr="00295637">
        <w:rPr>
          <w:lang w:val="bs-Latn-BA"/>
        </w:rPr>
        <w:t xml:space="preserve"> </w:t>
      </w:r>
      <w:r>
        <w:rPr>
          <w:lang w:val="bs-Latn-BA"/>
        </w:rPr>
        <w:t>подршку</w:t>
      </w:r>
      <w:r w:rsidR="00D256F6" w:rsidRPr="00295637">
        <w:rPr>
          <w:lang w:val="bs-Latn-BA"/>
        </w:rPr>
        <w:t xml:space="preserve"> </w:t>
      </w:r>
      <w:r>
        <w:rPr>
          <w:lang w:val="bs-Latn-BA"/>
        </w:rPr>
        <w:t>женама</w:t>
      </w:r>
      <w:r w:rsidR="00D256F6" w:rsidRPr="00295637">
        <w:rPr>
          <w:lang w:val="bs-Latn-BA"/>
        </w:rPr>
        <w:t xml:space="preserve"> </w:t>
      </w:r>
      <w:r>
        <w:rPr>
          <w:lang w:val="bs-Latn-BA"/>
        </w:rPr>
        <w:t>и</w:t>
      </w:r>
      <w:r w:rsidR="00D256F6" w:rsidRPr="00295637">
        <w:rPr>
          <w:lang w:val="bs-Latn-BA"/>
        </w:rPr>
        <w:t xml:space="preserve"> </w:t>
      </w:r>
      <w:r>
        <w:rPr>
          <w:lang w:val="bs-Latn-BA"/>
        </w:rPr>
        <w:t>маргинализ</w:t>
      </w:r>
      <w:r w:rsidR="00F82DDB">
        <w:rPr>
          <w:lang w:val="sr-Cyrl-BA"/>
        </w:rPr>
        <w:t>ованим</w:t>
      </w:r>
      <w:r w:rsidR="00D256F6" w:rsidRPr="00295637">
        <w:rPr>
          <w:lang w:val="bs-Latn-BA"/>
        </w:rPr>
        <w:t xml:space="preserve"> </w:t>
      </w:r>
      <w:r>
        <w:rPr>
          <w:lang w:val="bs-Latn-BA"/>
        </w:rPr>
        <w:t>групама</w:t>
      </w:r>
      <w:r w:rsidR="00D256F6" w:rsidRPr="00295637">
        <w:rPr>
          <w:lang w:val="bs-Latn-BA"/>
        </w:rPr>
        <w:t xml:space="preserve">, </w:t>
      </w:r>
      <w:r>
        <w:rPr>
          <w:lang w:val="bs-Latn-BA"/>
        </w:rPr>
        <w:t>оснажујући</w:t>
      </w:r>
      <w:r w:rsidR="00D256F6" w:rsidRPr="00295637">
        <w:rPr>
          <w:lang w:val="bs-Latn-BA"/>
        </w:rPr>
        <w:t xml:space="preserve"> </w:t>
      </w:r>
      <w:r>
        <w:rPr>
          <w:lang w:val="bs-Latn-BA"/>
        </w:rPr>
        <w:t>их</w:t>
      </w:r>
      <w:r w:rsidR="00D256F6" w:rsidRPr="00295637">
        <w:rPr>
          <w:lang w:val="bs-Latn-BA"/>
        </w:rPr>
        <w:t xml:space="preserve"> </w:t>
      </w:r>
      <w:r>
        <w:rPr>
          <w:lang w:val="bs-Latn-BA"/>
        </w:rPr>
        <w:t>за</w:t>
      </w:r>
      <w:r w:rsidR="00D256F6" w:rsidRPr="00295637">
        <w:rPr>
          <w:lang w:val="bs-Latn-BA"/>
        </w:rPr>
        <w:t xml:space="preserve"> </w:t>
      </w:r>
      <w:r>
        <w:rPr>
          <w:lang w:val="bs-Latn-BA"/>
        </w:rPr>
        <w:t>активније</w:t>
      </w:r>
      <w:r w:rsidR="00D256F6" w:rsidRPr="00295637">
        <w:rPr>
          <w:lang w:val="bs-Latn-BA"/>
        </w:rPr>
        <w:t xml:space="preserve"> </w:t>
      </w:r>
      <w:r>
        <w:rPr>
          <w:lang w:val="bs-Latn-BA"/>
        </w:rPr>
        <w:t>учешће</w:t>
      </w:r>
      <w:r w:rsidR="00D256F6" w:rsidRPr="00295637">
        <w:rPr>
          <w:lang w:val="bs-Latn-BA"/>
        </w:rPr>
        <w:t xml:space="preserve"> </w:t>
      </w:r>
      <w:r>
        <w:rPr>
          <w:lang w:val="bs-Latn-BA"/>
        </w:rPr>
        <w:t>у</w:t>
      </w:r>
      <w:r w:rsidR="00D256F6" w:rsidRPr="00295637">
        <w:rPr>
          <w:lang w:val="bs-Latn-BA"/>
        </w:rPr>
        <w:t xml:space="preserve"> </w:t>
      </w:r>
      <w:r>
        <w:rPr>
          <w:lang w:val="bs-Latn-BA"/>
        </w:rPr>
        <w:t>пољопривреди</w:t>
      </w:r>
      <w:r w:rsidR="00D256F6" w:rsidRPr="00295637">
        <w:rPr>
          <w:lang w:val="bs-Latn-BA"/>
        </w:rPr>
        <w:t xml:space="preserve"> </w:t>
      </w:r>
      <w:r>
        <w:rPr>
          <w:lang w:val="bs-Latn-BA"/>
        </w:rPr>
        <w:t>и</w:t>
      </w:r>
      <w:r w:rsidR="00D256F6" w:rsidRPr="00295637">
        <w:rPr>
          <w:lang w:val="bs-Latn-BA"/>
        </w:rPr>
        <w:t xml:space="preserve"> </w:t>
      </w:r>
      <w:r>
        <w:rPr>
          <w:lang w:val="bs-Latn-BA"/>
        </w:rPr>
        <w:t>руралном</w:t>
      </w:r>
      <w:r w:rsidR="00D256F6" w:rsidRPr="00295637">
        <w:rPr>
          <w:lang w:val="bs-Latn-BA"/>
        </w:rPr>
        <w:t xml:space="preserve"> </w:t>
      </w:r>
      <w:r>
        <w:rPr>
          <w:lang w:val="bs-Latn-BA"/>
        </w:rPr>
        <w:t>развоју</w:t>
      </w:r>
      <w:r w:rsidR="00D256F6" w:rsidRPr="00295637">
        <w:rPr>
          <w:lang w:val="bs-Latn-BA"/>
        </w:rPr>
        <w:t>.</w:t>
      </w:r>
    </w:p>
    <w:p w:rsidR="008D56A8" w:rsidRPr="00295637" w:rsidRDefault="008D56A8" w:rsidP="0086268D">
      <w:pPr>
        <w:pStyle w:val="NormalWeb"/>
        <w:spacing w:before="0" w:beforeAutospacing="0" w:after="0" w:afterAutospacing="0"/>
        <w:jc w:val="both"/>
        <w:rPr>
          <w:lang w:val="bs-Latn-BA"/>
        </w:rPr>
      </w:pPr>
    </w:p>
    <w:p w:rsidR="00D256F6" w:rsidRPr="00FF477A"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Пројекат</w:t>
      </w:r>
      <w:r w:rsidR="00FF477A" w:rsidRPr="00295637">
        <w:rPr>
          <w:rFonts w:ascii="Times New Roman" w:hAnsi="Times New Roman"/>
          <w:szCs w:val="24"/>
          <w:lang w:val="bs-Latn-BA"/>
        </w:rPr>
        <w:t xml:space="preserve"> „</w:t>
      </w:r>
      <w:r>
        <w:rPr>
          <w:rFonts w:ascii="Times New Roman" w:hAnsi="Times New Roman"/>
          <w:szCs w:val="24"/>
          <w:lang w:val="bs-Latn-BA"/>
        </w:rPr>
        <w:t>Жене</w:t>
      </w:r>
      <w:r w:rsidR="00FF477A" w:rsidRPr="00295637">
        <w:rPr>
          <w:rFonts w:ascii="Times New Roman" w:hAnsi="Times New Roman"/>
          <w:szCs w:val="24"/>
          <w:lang w:val="bs-Latn-BA"/>
        </w:rPr>
        <w:t xml:space="preserve"> </w:t>
      </w:r>
      <w:r>
        <w:rPr>
          <w:rFonts w:ascii="Times New Roman" w:hAnsi="Times New Roman"/>
          <w:szCs w:val="24"/>
          <w:lang w:val="bs-Latn-BA"/>
        </w:rPr>
        <w:t>покретачице</w:t>
      </w:r>
      <w:r w:rsidR="00FF477A" w:rsidRPr="00295637">
        <w:rPr>
          <w:rFonts w:ascii="Times New Roman" w:hAnsi="Times New Roman"/>
          <w:szCs w:val="24"/>
          <w:lang w:val="bs-Latn-BA"/>
        </w:rPr>
        <w:t xml:space="preserve"> </w:t>
      </w:r>
      <w:r>
        <w:rPr>
          <w:rFonts w:ascii="Times New Roman" w:hAnsi="Times New Roman"/>
          <w:szCs w:val="24"/>
          <w:lang w:val="bs-Latn-BA"/>
        </w:rPr>
        <w:t>развоја</w:t>
      </w:r>
      <w:r w:rsidR="00FF477A" w:rsidRPr="00295637">
        <w:rPr>
          <w:rFonts w:ascii="Times New Roman" w:hAnsi="Times New Roman"/>
          <w:szCs w:val="24"/>
          <w:lang w:val="bs-Latn-BA"/>
        </w:rPr>
        <w:t xml:space="preserve"> </w:t>
      </w:r>
      <w:r>
        <w:rPr>
          <w:rFonts w:ascii="Times New Roman" w:hAnsi="Times New Roman"/>
          <w:szCs w:val="24"/>
          <w:lang w:val="bs-Latn-BA"/>
        </w:rPr>
        <w:t>у</w:t>
      </w:r>
      <w:r w:rsidR="00FF477A" w:rsidRPr="00295637">
        <w:rPr>
          <w:rFonts w:ascii="Times New Roman" w:hAnsi="Times New Roman"/>
          <w:szCs w:val="24"/>
          <w:lang w:val="bs-Latn-BA"/>
        </w:rPr>
        <w:t xml:space="preserve"> </w:t>
      </w:r>
      <w:r>
        <w:rPr>
          <w:rFonts w:ascii="Times New Roman" w:hAnsi="Times New Roman"/>
          <w:szCs w:val="24"/>
          <w:lang w:val="bs-Latn-BA"/>
        </w:rPr>
        <w:t>пољопривреди</w:t>
      </w:r>
      <w:r w:rsidR="00FF477A" w:rsidRPr="00295637">
        <w:rPr>
          <w:rFonts w:ascii="Times New Roman" w:hAnsi="Times New Roman"/>
          <w:szCs w:val="24"/>
          <w:lang w:val="bs-Latn-BA"/>
        </w:rPr>
        <w:t xml:space="preserve"> </w:t>
      </w:r>
      <w:r>
        <w:rPr>
          <w:rFonts w:ascii="Times New Roman" w:hAnsi="Times New Roman"/>
          <w:szCs w:val="24"/>
          <w:lang w:val="bs-Latn-BA"/>
        </w:rPr>
        <w:t>и</w:t>
      </w:r>
      <w:r w:rsidR="00FF477A" w:rsidRPr="00295637">
        <w:rPr>
          <w:rFonts w:ascii="Times New Roman" w:hAnsi="Times New Roman"/>
          <w:szCs w:val="24"/>
          <w:lang w:val="bs-Latn-BA"/>
        </w:rPr>
        <w:t xml:space="preserve"> </w:t>
      </w:r>
      <w:r>
        <w:rPr>
          <w:rFonts w:ascii="Times New Roman" w:hAnsi="Times New Roman"/>
          <w:szCs w:val="24"/>
          <w:lang w:val="bs-Latn-BA"/>
        </w:rPr>
        <w:t>у</w:t>
      </w:r>
      <w:r w:rsidR="00FF477A" w:rsidRPr="00295637">
        <w:rPr>
          <w:rFonts w:ascii="Times New Roman" w:hAnsi="Times New Roman"/>
          <w:szCs w:val="24"/>
          <w:lang w:val="bs-Latn-BA"/>
        </w:rPr>
        <w:t xml:space="preserve"> </w:t>
      </w:r>
      <w:r>
        <w:rPr>
          <w:rFonts w:ascii="Times New Roman" w:hAnsi="Times New Roman"/>
          <w:szCs w:val="24"/>
          <w:lang w:val="bs-Latn-BA"/>
        </w:rPr>
        <w:t>руралним</w:t>
      </w:r>
      <w:r w:rsidR="00FF477A" w:rsidRPr="00295637">
        <w:rPr>
          <w:rFonts w:ascii="Times New Roman" w:hAnsi="Times New Roman"/>
          <w:szCs w:val="24"/>
          <w:lang w:val="bs-Latn-BA"/>
        </w:rPr>
        <w:t xml:space="preserve"> </w:t>
      </w:r>
      <w:r>
        <w:rPr>
          <w:rFonts w:ascii="Times New Roman" w:hAnsi="Times New Roman"/>
          <w:szCs w:val="24"/>
          <w:lang w:val="bs-Latn-BA"/>
        </w:rPr>
        <w:t>срединама</w:t>
      </w:r>
      <w:r w:rsidR="00FF477A" w:rsidRPr="00295637">
        <w:rPr>
          <w:rFonts w:ascii="Times New Roman" w:hAnsi="Times New Roman"/>
          <w:szCs w:val="24"/>
          <w:lang w:val="bs-Latn-BA"/>
        </w:rPr>
        <w:t>“ (</w:t>
      </w:r>
      <w:r w:rsidR="00F82DDB" w:rsidRPr="00F82DDB">
        <w:rPr>
          <w:rFonts w:ascii="Times New Roman" w:hAnsi="Times New Roman"/>
          <w:i/>
          <w:iCs/>
          <w:szCs w:val="24"/>
        </w:rPr>
        <w:t xml:space="preserve">UN Women </w:t>
      </w:r>
      <w:r>
        <w:rPr>
          <w:rFonts w:ascii="Times New Roman" w:hAnsi="Times New Roman"/>
          <w:szCs w:val="24"/>
          <w:lang w:val="bs-Latn-BA"/>
        </w:rPr>
        <w:t>и</w:t>
      </w:r>
      <w:r w:rsidR="00FF477A" w:rsidRPr="00295637">
        <w:rPr>
          <w:rFonts w:ascii="Times New Roman" w:hAnsi="Times New Roman"/>
          <w:szCs w:val="24"/>
          <w:lang w:val="bs-Latn-BA"/>
        </w:rPr>
        <w:t xml:space="preserve"> </w:t>
      </w:r>
      <w:r>
        <w:rPr>
          <w:rFonts w:ascii="Times New Roman" w:hAnsi="Times New Roman"/>
          <w:szCs w:val="24"/>
          <w:lang w:val="bs-Latn-BA"/>
        </w:rPr>
        <w:t>ФАО</w:t>
      </w:r>
      <w:r w:rsidR="00FF477A" w:rsidRPr="00295637">
        <w:rPr>
          <w:rFonts w:ascii="Times New Roman" w:hAnsi="Times New Roman"/>
          <w:szCs w:val="24"/>
          <w:lang w:val="bs-Latn-BA"/>
        </w:rPr>
        <w:t xml:space="preserve">) </w:t>
      </w:r>
      <w:r>
        <w:rPr>
          <w:rFonts w:ascii="Times New Roman" w:hAnsi="Times New Roman"/>
          <w:shd w:val="clear" w:color="auto" w:fill="FFFFFF"/>
        </w:rPr>
        <w:t>има</w:t>
      </w:r>
      <w:r w:rsidR="00FF477A" w:rsidRPr="00295637">
        <w:rPr>
          <w:rFonts w:ascii="Times New Roman" w:hAnsi="Times New Roman"/>
          <w:shd w:val="clear" w:color="auto" w:fill="FFFFFF"/>
        </w:rPr>
        <w:t xml:space="preserve"> </w:t>
      </w:r>
      <w:r>
        <w:rPr>
          <w:rFonts w:ascii="Times New Roman" w:hAnsi="Times New Roman"/>
          <w:shd w:val="clear" w:color="auto" w:fill="FFFFFF"/>
        </w:rPr>
        <w:t>за</w:t>
      </w:r>
      <w:r w:rsidR="00FF477A" w:rsidRPr="00295637">
        <w:rPr>
          <w:rFonts w:ascii="Times New Roman" w:hAnsi="Times New Roman"/>
          <w:shd w:val="clear" w:color="auto" w:fill="FFFFFF"/>
        </w:rPr>
        <w:t xml:space="preserve"> </w:t>
      </w:r>
      <w:r>
        <w:rPr>
          <w:rFonts w:ascii="Times New Roman" w:hAnsi="Times New Roman"/>
          <w:shd w:val="clear" w:color="auto" w:fill="FFFFFF"/>
        </w:rPr>
        <w:t>циљ</w:t>
      </w:r>
      <w:r w:rsidR="00FF477A" w:rsidRPr="00295637">
        <w:rPr>
          <w:rFonts w:ascii="Times New Roman" w:hAnsi="Times New Roman"/>
          <w:shd w:val="clear" w:color="auto" w:fill="FFFFFF"/>
        </w:rPr>
        <w:t xml:space="preserve"> </w:t>
      </w:r>
      <w:r>
        <w:rPr>
          <w:rFonts w:ascii="Times New Roman" w:hAnsi="Times New Roman"/>
          <w:shd w:val="clear" w:color="auto" w:fill="FFFFFF"/>
        </w:rPr>
        <w:t>да</w:t>
      </w:r>
      <w:r w:rsidR="00FF477A" w:rsidRPr="00295637">
        <w:rPr>
          <w:rFonts w:ascii="Times New Roman" w:hAnsi="Times New Roman"/>
          <w:shd w:val="clear" w:color="auto" w:fill="FFFFFF"/>
        </w:rPr>
        <w:t xml:space="preserve"> </w:t>
      </w:r>
      <w:r>
        <w:rPr>
          <w:rFonts w:ascii="Times New Roman" w:hAnsi="Times New Roman"/>
          <w:shd w:val="clear" w:color="auto" w:fill="FFFFFF"/>
        </w:rPr>
        <w:t>отклони</w:t>
      </w:r>
      <w:r w:rsidR="00FF477A" w:rsidRPr="00295637">
        <w:rPr>
          <w:rFonts w:ascii="Times New Roman" w:hAnsi="Times New Roman"/>
          <w:shd w:val="clear" w:color="auto" w:fill="FFFFFF"/>
        </w:rPr>
        <w:t xml:space="preserve"> </w:t>
      </w:r>
      <w:r>
        <w:rPr>
          <w:rFonts w:ascii="Times New Roman" w:hAnsi="Times New Roman"/>
          <w:shd w:val="clear" w:color="auto" w:fill="FFFFFF"/>
        </w:rPr>
        <w:t>структуралне</w:t>
      </w:r>
      <w:r w:rsidR="00FF477A" w:rsidRPr="00295637">
        <w:rPr>
          <w:rFonts w:ascii="Times New Roman" w:hAnsi="Times New Roman"/>
          <w:shd w:val="clear" w:color="auto" w:fill="FFFFFF"/>
        </w:rPr>
        <w:t xml:space="preserve"> </w:t>
      </w:r>
      <w:r>
        <w:rPr>
          <w:rFonts w:ascii="Times New Roman" w:hAnsi="Times New Roman"/>
          <w:shd w:val="clear" w:color="auto" w:fill="FFFFFF"/>
        </w:rPr>
        <w:t>баријере</w:t>
      </w:r>
      <w:r w:rsidR="00FF477A" w:rsidRPr="00295637">
        <w:rPr>
          <w:rFonts w:ascii="Times New Roman" w:hAnsi="Times New Roman"/>
          <w:shd w:val="clear" w:color="auto" w:fill="FFFFFF"/>
        </w:rPr>
        <w:t xml:space="preserve"> </w:t>
      </w:r>
      <w:r>
        <w:rPr>
          <w:rFonts w:ascii="Times New Roman" w:hAnsi="Times New Roman"/>
          <w:shd w:val="clear" w:color="auto" w:fill="FFFFFF"/>
        </w:rPr>
        <w:t>кроз</w:t>
      </w:r>
      <w:r w:rsidR="00FF477A" w:rsidRPr="00295637">
        <w:rPr>
          <w:rFonts w:ascii="Times New Roman" w:hAnsi="Times New Roman"/>
          <w:shd w:val="clear" w:color="auto" w:fill="FFFFFF"/>
        </w:rPr>
        <w:t xml:space="preserve"> </w:t>
      </w:r>
      <w:r>
        <w:rPr>
          <w:rFonts w:ascii="Times New Roman" w:hAnsi="Times New Roman"/>
          <w:shd w:val="clear" w:color="auto" w:fill="FFFFFF"/>
        </w:rPr>
        <w:t>увођење</w:t>
      </w:r>
      <w:r w:rsidR="00FF477A" w:rsidRPr="00295637">
        <w:rPr>
          <w:rFonts w:ascii="Times New Roman" w:hAnsi="Times New Roman"/>
          <w:shd w:val="clear" w:color="auto" w:fill="FFFFFF"/>
        </w:rPr>
        <w:t xml:space="preserve"> </w:t>
      </w:r>
      <w:r>
        <w:rPr>
          <w:rFonts w:ascii="Times New Roman" w:hAnsi="Times New Roman"/>
          <w:shd w:val="clear" w:color="auto" w:fill="FFFFFF"/>
        </w:rPr>
        <w:t>технологија</w:t>
      </w:r>
      <w:r w:rsidR="00FF477A" w:rsidRPr="00295637">
        <w:rPr>
          <w:rFonts w:ascii="Times New Roman" w:hAnsi="Times New Roman"/>
          <w:shd w:val="clear" w:color="auto" w:fill="FFFFFF"/>
        </w:rPr>
        <w:t xml:space="preserve"> </w:t>
      </w:r>
      <w:r>
        <w:rPr>
          <w:rFonts w:ascii="Times New Roman" w:hAnsi="Times New Roman"/>
          <w:shd w:val="clear" w:color="auto" w:fill="FFFFFF"/>
        </w:rPr>
        <w:t>које</w:t>
      </w:r>
      <w:r w:rsidR="00FF477A" w:rsidRPr="00295637">
        <w:rPr>
          <w:rFonts w:ascii="Times New Roman" w:hAnsi="Times New Roman"/>
          <w:shd w:val="clear" w:color="auto" w:fill="FFFFFF"/>
        </w:rPr>
        <w:t xml:space="preserve"> </w:t>
      </w:r>
      <w:r>
        <w:rPr>
          <w:rFonts w:ascii="Times New Roman" w:hAnsi="Times New Roman"/>
          <w:shd w:val="clear" w:color="auto" w:fill="FFFFFF"/>
        </w:rPr>
        <w:t>би</w:t>
      </w:r>
      <w:r w:rsidR="00FF477A" w:rsidRPr="00295637">
        <w:rPr>
          <w:rFonts w:ascii="Times New Roman" w:hAnsi="Times New Roman"/>
          <w:shd w:val="clear" w:color="auto" w:fill="FFFFFF"/>
        </w:rPr>
        <w:t xml:space="preserve"> </w:t>
      </w:r>
      <w:r>
        <w:rPr>
          <w:rFonts w:ascii="Times New Roman" w:hAnsi="Times New Roman"/>
          <w:shd w:val="clear" w:color="auto" w:fill="FFFFFF"/>
        </w:rPr>
        <w:t>уштедјеле</w:t>
      </w:r>
      <w:r w:rsidR="00FF477A" w:rsidRPr="00295637">
        <w:rPr>
          <w:rFonts w:ascii="Times New Roman" w:hAnsi="Times New Roman"/>
          <w:shd w:val="clear" w:color="auto" w:fill="FFFFFF"/>
        </w:rPr>
        <w:t xml:space="preserve"> </w:t>
      </w:r>
      <w:r>
        <w:rPr>
          <w:rFonts w:ascii="Times New Roman" w:hAnsi="Times New Roman"/>
          <w:shd w:val="clear" w:color="auto" w:fill="FFFFFF"/>
        </w:rPr>
        <w:t>вријеме</w:t>
      </w:r>
      <w:r w:rsidR="00FF477A" w:rsidRPr="00295637">
        <w:rPr>
          <w:rFonts w:ascii="Times New Roman" w:hAnsi="Times New Roman"/>
          <w:shd w:val="clear" w:color="auto" w:fill="FFFFFF"/>
        </w:rPr>
        <w:t xml:space="preserve"> </w:t>
      </w:r>
      <w:r>
        <w:rPr>
          <w:rFonts w:ascii="Times New Roman" w:hAnsi="Times New Roman"/>
          <w:shd w:val="clear" w:color="auto" w:fill="FFFFFF"/>
        </w:rPr>
        <w:t>и</w:t>
      </w:r>
      <w:r w:rsidR="00FF477A" w:rsidRPr="00295637">
        <w:rPr>
          <w:rFonts w:ascii="Times New Roman" w:hAnsi="Times New Roman"/>
          <w:shd w:val="clear" w:color="auto" w:fill="FFFFFF"/>
        </w:rPr>
        <w:t xml:space="preserve"> </w:t>
      </w:r>
      <w:r>
        <w:rPr>
          <w:rFonts w:ascii="Times New Roman" w:hAnsi="Times New Roman"/>
          <w:shd w:val="clear" w:color="auto" w:fill="FFFFFF"/>
        </w:rPr>
        <w:t>рад</w:t>
      </w:r>
      <w:r w:rsidR="00FF477A" w:rsidRPr="00295637">
        <w:rPr>
          <w:rFonts w:ascii="Times New Roman" w:hAnsi="Times New Roman"/>
          <w:shd w:val="clear" w:color="auto" w:fill="FFFFFF"/>
        </w:rPr>
        <w:t xml:space="preserve">, </w:t>
      </w:r>
      <w:r>
        <w:rPr>
          <w:rFonts w:ascii="Times New Roman" w:hAnsi="Times New Roman"/>
          <w:shd w:val="clear" w:color="auto" w:fill="FFFFFF"/>
        </w:rPr>
        <w:t>те</w:t>
      </w:r>
      <w:r w:rsidR="00FF477A" w:rsidRPr="00295637">
        <w:rPr>
          <w:rFonts w:ascii="Times New Roman" w:hAnsi="Times New Roman"/>
          <w:shd w:val="clear" w:color="auto" w:fill="FFFFFF"/>
        </w:rPr>
        <w:t xml:space="preserve"> </w:t>
      </w:r>
      <w:r>
        <w:rPr>
          <w:rFonts w:ascii="Times New Roman" w:hAnsi="Times New Roman"/>
          <w:shd w:val="clear" w:color="auto" w:fill="FFFFFF"/>
        </w:rPr>
        <w:t>иновативне</w:t>
      </w:r>
      <w:r w:rsidR="00FF477A" w:rsidRPr="00295637">
        <w:rPr>
          <w:rFonts w:ascii="Times New Roman" w:hAnsi="Times New Roman"/>
          <w:shd w:val="clear" w:color="auto" w:fill="FFFFFF"/>
        </w:rPr>
        <w:t xml:space="preserve"> </w:t>
      </w:r>
      <w:r>
        <w:rPr>
          <w:rFonts w:ascii="Times New Roman" w:hAnsi="Times New Roman"/>
          <w:shd w:val="clear" w:color="auto" w:fill="FFFFFF"/>
        </w:rPr>
        <w:t>изворе</w:t>
      </w:r>
      <w:r w:rsidR="00FF477A" w:rsidRPr="00295637">
        <w:rPr>
          <w:rFonts w:ascii="Times New Roman" w:hAnsi="Times New Roman"/>
          <w:shd w:val="clear" w:color="auto" w:fill="FFFFFF"/>
        </w:rPr>
        <w:t xml:space="preserve"> </w:t>
      </w:r>
      <w:r>
        <w:rPr>
          <w:rFonts w:ascii="Times New Roman" w:hAnsi="Times New Roman"/>
          <w:shd w:val="clear" w:color="auto" w:fill="FFFFFF"/>
        </w:rPr>
        <w:t>финансирања</w:t>
      </w:r>
      <w:r w:rsidR="00FF477A" w:rsidRPr="00295637">
        <w:rPr>
          <w:rFonts w:ascii="Times New Roman" w:hAnsi="Times New Roman"/>
          <w:shd w:val="clear" w:color="auto" w:fill="FFFFFF"/>
        </w:rPr>
        <w:t xml:space="preserve">. </w:t>
      </w:r>
      <w:r w:rsidR="00F82DDB">
        <w:rPr>
          <w:rFonts w:ascii="Times New Roman" w:hAnsi="Times New Roman"/>
          <w:shd w:val="clear" w:color="auto" w:fill="FFFFFF"/>
        </w:rPr>
        <w:t>Такође</w:t>
      </w:r>
      <w:r w:rsidR="00FF477A" w:rsidRPr="00295637">
        <w:rPr>
          <w:rFonts w:ascii="Times New Roman" w:hAnsi="Times New Roman"/>
          <w:shd w:val="clear" w:color="auto" w:fill="FFFFFF"/>
        </w:rPr>
        <w:t xml:space="preserve">, </w:t>
      </w:r>
      <w:r>
        <w:rPr>
          <w:rFonts w:ascii="Times New Roman" w:hAnsi="Times New Roman"/>
          <w:shd w:val="clear" w:color="auto" w:fill="FFFFFF"/>
        </w:rPr>
        <w:t>циљ</w:t>
      </w:r>
      <w:r w:rsidR="00FF477A" w:rsidRPr="00295637">
        <w:rPr>
          <w:rFonts w:ascii="Times New Roman" w:hAnsi="Times New Roman"/>
          <w:shd w:val="clear" w:color="auto" w:fill="FFFFFF"/>
        </w:rPr>
        <w:t xml:space="preserve"> </w:t>
      </w:r>
      <w:r>
        <w:rPr>
          <w:rFonts w:ascii="Times New Roman" w:hAnsi="Times New Roman"/>
          <w:shd w:val="clear" w:color="auto" w:fill="FFFFFF"/>
        </w:rPr>
        <w:t>је</w:t>
      </w:r>
      <w:r w:rsidR="00FF477A" w:rsidRPr="00295637">
        <w:rPr>
          <w:rFonts w:ascii="Times New Roman" w:hAnsi="Times New Roman"/>
          <w:shd w:val="clear" w:color="auto" w:fill="FFFFFF"/>
        </w:rPr>
        <w:t xml:space="preserve"> </w:t>
      </w:r>
      <w:r>
        <w:rPr>
          <w:rFonts w:ascii="Times New Roman" w:hAnsi="Times New Roman"/>
          <w:shd w:val="clear" w:color="auto" w:fill="FFFFFF"/>
        </w:rPr>
        <w:t>оспособљавање</w:t>
      </w:r>
      <w:r w:rsidR="00262CA2">
        <w:rPr>
          <w:rFonts w:ascii="Times New Roman" w:hAnsi="Times New Roman"/>
          <w:shd w:val="clear" w:color="auto" w:fill="FFFFFF"/>
        </w:rPr>
        <w:t xml:space="preserve"> </w:t>
      </w:r>
      <w:r>
        <w:rPr>
          <w:rFonts w:ascii="Times New Roman" w:hAnsi="Times New Roman"/>
          <w:shd w:val="clear" w:color="auto" w:fill="FFFFFF"/>
        </w:rPr>
        <w:t>жена</w:t>
      </w:r>
      <w:r w:rsidR="00262CA2">
        <w:rPr>
          <w:rFonts w:ascii="Times New Roman" w:hAnsi="Times New Roman"/>
          <w:shd w:val="clear" w:color="auto" w:fill="FFFFFF"/>
        </w:rPr>
        <w:t xml:space="preserve"> </w:t>
      </w:r>
      <w:r>
        <w:rPr>
          <w:rFonts w:ascii="Times New Roman" w:hAnsi="Times New Roman"/>
          <w:shd w:val="clear" w:color="auto" w:fill="FFFFFF"/>
        </w:rPr>
        <w:t>да</w:t>
      </w:r>
      <w:r w:rsidR="00262CA2">
        <w:rPr>
          <w:rFonts w:ascii="Times New Roman" w:hAnsi="Times New Roman"/>
          <w:shd w:val="clear" w:color="auto" w:fill="FFFFFF"/>
        </w:rPr>
        <w:t xml:space="preserve"> </w:t>
      </w:r>
      <w:r>
        <w:rPr>
          <w:rFonts w:ascii="Times New Roman" w:hAnsi="Times New Roman"/>
          <w:shd w:val="clear" w:color="auto" w:fill="FFFFFF"/>
        </w:rPr>
        <w:t>се</w:t>
      </w:r>
      <w:r w:rsidR="00262CA2">
        <w:rPr>
          <w:rFonts w:ascii="Times New Roman" w:hAnsi="Times New Roman"/>
          <w:shd w:val="clear" w:color="auto" w:fill="FFFFFF"/>
        </w:rPr>
        <w:t xml:space="preserve"> </w:t>
      </w:r>
      <w:r>
        <w:rPr>
          <w:rFonts w:ascii="Times New Roman" w:hAnsi="Times New Roman"/>
          <w:shd w:val="clear" w:color="auto" w:fill="FFFFFF"/>
        </w:rPr>
        <w:t>боље</w:t>
      </w:r>
      <w:r w:rsidR="00262CA2">
        <w:rPr>
          <w:rFonts w:ascii="Times New Roman" w:hAnsi="Times New Roman"/>
          <w:shd w:val="clear" w:color="auto" w:fill="FFFFFF"/>
        </w:rPr>
        <w:t xml:space="preserve"> </w:t>
      </w:r>
      <w:r>
        <w:rPr>
          <w:rFonts w:ascii="Times New Roman" w:hAnsi="Times New Roman"/>
          <w:shd w:val="clear" w:color="auto" w:fill="FFFFFF"/>
        </w:rPr>
        <w:t>носе</w:t>
      </w:r>
      <w:r w:rsidR="00262CA2">
        <w:rPr>
          <w:rFonts w:ascii="Times New Roman" w:hAnsi="Times New Roman"/>
          <w:shd w:val="clear" w:color="auto" w:fill="FFFFFF"/>
        </w:rPr>
        <w:t xml:space="preserve"> </w:t>
      </w:r>
      <w:r>
        <w:rPr>
          <w:rFonts w:ascii="Times New Roman" w:hAnsi="Times New Roman"/>
          <w:shd w:val="clear" w:color="auto" w:fill="FFFFFF"/>
        </w:rPr>
        <w:t>са</w:t>
      </w:r>
      <w:r w:rsidR="00FF477A" w:rsidRPr="00295637">
        <w:rPr>
          <w:rFonts w:ascii="Times New Roman" w:hAnsi="Times New Roman"/>
          <w:shd w:val="clear" w:color="auto" w:fill="FFFFFF"/>
        </w:rPr>
        <w:t xml:space="preserve"> </w:t>
      </w:r>
      <w:r>
        <w:rPr>
          <w:rFonts w:ascii="Times New Roman" w:hAnsi="Times New Roman"/>
          <w:shd w:val="clear" w:color="auto" w:fill="FFFFFF"/>
        </w:rPr>
        <w:t>изазовима</w:t>
      </w:r>
      <w:r w:rsidR="00FF477A" w:rsidRPr="00295637">
        <w:rPr>
          <w:rFonts w:ascii="Times New Roman" w:hAnsi="Times New Roman"/>
          <w:shd w:val="clear" w:color="auto" w:fill="FFFFFF"/>
        </w:rPr>
        <w:t xml:space="preserve">, </w:t>
      </w:r>
      <w:r>
        <w:rPr>
          <w:rFonts w:ascii="Times New Roman" w:hAnsi="Times New Roman"/>
          <w:shd w:val="clear" w:color="auto" w:fill="FFFFFF"/>
        </w:rPr>
        <w:t>побољшавајући</w:t>
      </w:r>
      <w:r w:rsidR="00FF477A" w:rsidRPr="00295637">
        <w:rPr>
          <w:rFonts w:ascii="Times New Roman" w:hAnsi="Times New Roman"/>
          <w:shd w:val="clear" w:color="auto" w:fill="FFFFFF"/>
        </w:rPr>
        <w:t xml:space="preserve"> </w:t>
      </w:r>
      <w:r>
        <w:rPr>
          <w:rFonts w:ascii="Times New Roman" w:hAnsi="Times New Roman"/>
          <w:shd w:val="clear" w:color="auto" w:fill="FFFFFF"/>
        </w:rPr>
        <w:t>своје</w:t>
      </w:r>
      <w:r w:rsidR="00FF477A" w:rsidRPr="00295637">
        <w:rPr>
          <w:rFonts w:ascii="Times New Roman" w:hAnsi="Times New Roman"/>
          <w:shd w:val="clear" w:color="auto" w:fill="FFFFFF"/>
        </w:rPr>
        <w:t xml:space="preserve"> </w:t>
      </w:r>
      <w:r>
        <w:rPr>
          <w:rFonts w:ascii="Times New Roman" w:hAnsi="Times New Roman"/>
          <w:shd w:val="clear" w:color="auto" w:fill="FFFFFF"/>
        </w:rPr>
        <w:t>стандарде</w:t>
      </w:r>
      <w:r w:rsidR="00FF477A" w:rsidRPr="00295637">
        <w:rPr>
          <w:rFonts w:ascii="Times New Roman" w:hAnsi="Times New Roman"/>
          <w:shd w:val="clear" w:color="auto" w:fill="FFFFFF"/>
        </w:rPr>
        <w:t xml:space="preserve"> </w:t>
      </w:r>
      <w:r>
        <w:rPr>
          <w:rFonts w:ascii="Times New Roman" w:hAnsi="Times New Roman"/>
          <w:shd w:val="clear" w:color="auto" w:fill="FFFFFF"/>
        </w:rPr>
        <w:t>живљења</w:t>
      </w:r>
      <w:r w:rsidR="00FF477A" w:rsidRPr="00295637">
        <w:rPr>
          <w:rFonts w:ascii="Times New Roman" w:hAnsi="Times New Roman"/>
          <w:shd w:val="clear" w:color="auto" w:fill="FFFFFF"/>
        </w:rPr>
        <w:t xml:space="preserve"> </w:t>
      </w:r>
      <w:r>
        <w:rPr>
          <w:rFonts w:ascii="Times New Roman" w:hAnsi="Times New Roman"/>
          <w:shd w:val="clear" w:color="auto" w:fill="FFFFFF"/>
        </w:rPr>
        <w:t>и</w:t>
      </w:r>
      <w:r w:rsidR="00FF477A" w:rsidRPr="00295637">
        <w:rPr>
          <w:rFonts w:ascii="Times New Roman" w:hAnsi="Times New Roman"/>
          <w:shd w:val="clear" w:color="auto" w:fill="FFFFFF"/>
        </w:rPr>
        <w:t xml:space="preserve"> </w:t>
      </w:r>
      <w:r>
        <w:rPr>
          <w:rFonts w:ascii="Times New Roman" w:hAnsi="Times New Roman"/>
          <w:shd w:val="clear" w:color="auto" w:fill="FFFFFF"/>
        </w:rPr>
        <w:t>социоекономски</w:t>
      </w:r>
      <w:r w:rsidR="00FF477A" w:rsidRPr="00295637">
        <w:rPr>
          <w:rFonts w:ascii="Times New Roman" w:hAnsi="Times New Roman"/>
          <w:shd w:val="clear" w:color="auto" w:fill="FFFFFF"/>
        </w:rPr>
        <w:t xml:space="preserve"> </w:t>
      </w:r>
      <w:r>
        <w:rPr>
          <w:rFonts w:ascii="Times New Roman" w:hAnsi="Times New Roman"/>
          <w:shd w:val="clear" w:color="auto" w:fill="FFFFFF"/>
        </w:rPr>
        <w:t>положај</w:t>
      </w:r>
      <w:r w:rsidR="00FF477A" w:rsidRPr="00295637">
        <w:rPr>
          <w:rFonts w:ascii="Times New Roman" w:hAnsi="Times New Roman"/>
          <w:shd w:val="clear" w:color="auto" w:fill="FFFFFF"/>
        </w:rPr>
        <w:t xml:space="preserve">, </w:t>
      </w:r>
      <w:r>
        <w:rPr>
          <w:rFonts w:ascii="Times New Roman" w:hAnsi="Times New Roman"/>
          <w:shd w:val="clear" w:color="auto" w:fill="FFFFFF"/>
        </w:rPr>
        <w:t>те</w:t>
      </w:r>
      <w:r w:rsidR="00FF477A" w:rsidRPr="00295637">
        <w:rPr>
          <w:rFonts w:ascii="Times New Roman" w:hAnsi="Times New Roman"/>
          <w:shd w:val="clear" w:color="auto" w:fill="FFFFFF"/>
        </w:rPr>
        <w:t xml:space="preserve"> </w:t>
      </w:r>
      <w:r>
        <w:rPr>
          <w:rFonts w:ascii="Times New Roman" w:hAnsi="Times New Roman"/>
          <w:shd w:val="clear" w:color="auto" w:fill="FFFFFF"/>
        </w:rPr>
        <w:t>животе</w:t>
      </w:r>
      <w:r w:rsidR="00FF477A" w:rsidRPr="00295637">
        <w:rPr>
          <w:rFonts w:ascii="Times New Roman" w:hAnsi="Times New Roman"/>
          <w:shd w:val="clear" w:color="auto" w:fill="FFFFFF"/>
        </w:rPr>
        <w:t xml:space="preserve"> </w:t>
      </w:r>
      <w:r>
        <w:rPr>
          <w:rFonts w:ascii="Times New Roman" w:hAnsi="Times New Roman"/>
          <w:shd w:val="clear" w:color="auto" w:fill="FFFFFF"/>
        </w:rPr>
        <w:t>својих</w:t>
      </w:r>
      <w:r w:rsidR="00FF477A" w:rsidRPr="00295637">
        <w:rPr>
          <w:rFonts w:ascii="Times New Roman" w:hAnsi="Times New Roman"/>
          <w:shd w:val="clear" w:color="auto" w:fill="FFFFFF"/>
        </w:rPr>
        <w:t xml:space="preserve"> </w:t>
      </w:r>
      <w:r>
        <w:rPr>
          <w:rFonts w:ascii="Times New Roman" w:hAnsi="Times New Roman"/>
          <w:shd w:val="clear" w:color="auto" w:fill="FFFFFF"/>
        </w:rPr>
        <w:t>породица</w:t>
      </w:r>
      <w:r w:rsidR="00FF477A" w:rsidRPr="00295637">
        <w:rPr>
          <w:rFonts w:ascii="Times New Roman" w:hAnsi="Times New Roman"/>
          <w:shd w:val="clear" w:color="auto" w:fill="FFFFFF"/>
        </w:rPr>
        <w:t xml:space="preserve"> </w:t>
      </w:r>
      <w:r>
        <w:rPr>
          <w:rFonts w:ascii="Times New Roman" w:hAnsi="Times New Roman"/>
          <w:shd w:val="clear" w:color="auto" w:fill="FFFFFF"/>
        </w:rPr>
        <w:t>у</w:t>
      </w:r>
      <w:r w:rsidR="00FF477A" w:rsidRPr="00295637">
        <w:rPr>
          <w:rFonts w:ascii="Times New Roman" w:hAnsi="Times New Roman"/>
          <w:shd w:val="clear" w:color="auto" w:fill="FFFFFF"/>
        </w:rPr>
        <w:t xml:space="preserve"> </w:t>
      </w:r>
      <w:r>
        <w:rPr>
          <w:rFonts w:ascii="Times New Roman" w:hAnsi="Times New Roman"/>
          <w:shd w:val="clear" w:color="auto" w:fill="FFFFFF"/>
        </w:rPr>
        <w:t>руралним</w:t>
      </w:r>
      <w:r w:rsidR="00FF477A" w:rsidRPr="00295637">
        <w:rPr>
          <w:rFonts w:ascii="Times New Roman" w:hAnsi="Times New Roman"/>
          <w:shd w:val="clear" w:color="auto" w:fill="FFFFFF"/>
        </w:rPr>
        <w:t xml:space="preserve"> </w:t>
      </w:r>
      <w:r>
        <w:rPr>
          <w:rFonts w:ascii="Times New Roman" w:hAnsi="Times New Roman"/>
          <w:shd w:val="clear" w:color="auto" w:fill="FFFFFF"/>
        </w:rPr>
        <w:t>срединама</w:t>
      </w:r>
      <w:r w:rsidR="00FF477A" w:rsidRPr="00295637">
        <w:rPr>
          <w:rFonts w:ascii="Times New Roman" w:hAnsi="Times New Roman"/>
          <w:shd w:val="clear" w:color="auto" w:fill="FFFFFF"/>
        </w:rPr>
        <w:t>.</w:t>
      </w:r>
      <w:r w:rsidR="00FF477A" w:rsidRPr="00295637">
        <w:rPr>
          <w:rFonts w:ascii="Times New Roman" w:hAnsi="Times New Roman"/>
          <w:szCs w:val="24"/>
          <w:lang w:val="bs-Latn-BA"/>
        </w:rPr>
        <w:t xml:space="preserve"> </w:t>
      </w:r>
      <w:r>
        <w:rPr>
          <w:rFonts w:ascii="Times New Roman" w:hAnsi="Times New Roman"/>
          <w:szCs w:val="24"/>
          <w:lang w:val="bs-Latn-BA"/>
        </w:rPr>
        <w:t>Управни</w:t>
      </w:r>
      <w:r w:rsidR="00FF477A" w:rsidRPr="00295637">
        <w:rPr>
          <w:rFonts w:ascii="Times New Roman" w:hAnsi="Times New Roman"/>
          <w:szCs w:val="24"/>
          <w:lang w:val="bs-Latn-BA"/>
        </w:rPr>
        <w:t xml:space="preserve"> </w:t>
      </w:r>
      <w:r>
        <w:rPr>
          <w:rFonts w:ascii="Times New Roman" w:hAnsi="Times New Roman"/>
          <w:szCs w:val="24"/>
          <w:lang w:val="bs-Latn-BA"/>
        </w:rPr>
        <w:t>одбор</w:t>
      </w:r>
      <w:r w:rsidR="00FF477A" w:rsidRPr="00295637">
        <w:rPr>
          <w:rFonts w:ascii="Times New Roman" w:hAnsi="Times New Roman"/>
          <w:szCs w:val="24"/>
          <w:lang w:val="bs-Latn-BA"/>
        </w:rPr>
        <w:t xml:space="preserve"> </w:t>
      </w:r>
      <w:r>
        <w:rPr>
          <w:rFonts w:ascii="Times New Roman" w:hAnsi="Times New Roman"/>
          <w:szCs w:val="24"/>
          <w:lang w:val="bs-Latn-BA"/>
        </w:rPr>
        <w:t>пројекта</w:t>
      </w:r>
      <w:r w:rsidR="00FF477A" w:rsidRPr="00295637">
        <w:rPr>
          <w:rFonts w:ascii="Times New Roman" w:hAnsi="Times New Roman"/>
          <w:szCs w:val="24"/>
          <w:lang w:val="bs-Latn-BA"/>
        </w:rPr>
        <w:t xml:space="preserve">, </w:t>
      </w:r>
      <w:r>
        <w:rPr>
          <w:rFonts w:ascii="Times New Roman" w:hAnsi="Times New Roman"/>
          <w:szCs w:val="24"/>
          <w:lang w:val="bs-Latn-BA"/>
        </w:rPr>
        <w:t>поред</w:t>
      </w:r>
      <w:r w:rsidR="00FF477A" w:rsidRPr="00295637">
        <w:rPr>
          <w:rFonts w:ascii="Times New Roman" w:hAnsi="Times New Roman"/>
          <w:szCs w:val="24"/>
          <w:lang w:val="bs-Latn-BA"/>
        </w:rPr>
        <w:t xml:space="preserve"> </w:t>
      </w:r>
      <w:r>
        <w:rPr>
          <w:rFonts w:ascii="Times New Roman" w:hAnsi="Times New Roman"/>
          <w:szCs w:val="24"/>
          <w:lang w:val="bs-Latn-BA"/>
        </w:rPr>
        <w:t>АР</w:t>
      </w:r>
      <w:r w:rsidR="00F82DDB">
        <w:rPr>
          <w:rFonts w:ascii="Times New Roman" w:hAnsi="Times New Roman"/>
          <w:szCs w:val="24"/>
          <w:lang w:val="sr-Cyrl-BA"/>
        </w:rPr>
        <w:t>П</w:t>
      </w:r>
      <w:r w:rsidR="00262CA2">
        <w:rPr>
          <w:rFonts w:ascii="Times New Roman" w:hAnsi="Times New Roman"/>
          <w:szCs w:val="24"/>
          <w:lang w:val="bs-Latn-BA"/>
        </w:rPr>
        <w:t xml:space="preserve"> </w:t>
      </w:r>
      <w:r>
        <w:rPr>
          <w:rFonts w:ascii="Times New Roman" w:hAnsi="Times New Roman"/>
          <w:szCs w:val="24"/>
          <w:lang w:val="bs-Latn-BA"/>
        </w:rPr>
        <w:t>БиХ</w:t>
      </w:r>
      <w:r w:rsidR="00262CA2">
        <w:rPr>
          <w:rFonts w:ascii="Times New Roman" w:hAnsi="Times New Roman"/>
          <w:szCs w:val="24"/>
          <w:lang w:val="bs-Latn-BA"/>
        </w:rPr>
        <w:t xml:space="preserve"> </w:t>
      </w:r>
      <w:r>
        <w:rPr>
          <w:rFonts w:ascii="Times New Roman" w:hAnsi="Times New Roman"/>
          <w:szCs w:val="24"/>
          <w:lang w:val="bs-Latn-BA"/>
        </w:rPr>
        <w:t>МЉПИ</w:t>
      </w:r>
      <w:r w:rsidR="00262CA2">
        <w:rPr>
          <w:rFonts w:ascii="Times New Roman" w:hAnsi="Times New Roman"/>
          <w:szCs w:val="24"/>
          <w:lang w:val="bs-Latn-BA"/>
        </w:rPr>
        <w:t xml:space="preserve"> </w:t>
      </w:r>
      <w:r>
        <w:rPr>
          <w:rFonts w:ascii="Times New Roman" w:hAnsi="Times New Roman"/>
          <w:szCs w:val="24"/>
          <w:lang w:val="bs-Latn-BA"/>
        </w:rPr>
        <w:t>БиХ</w:t>
      </w:r>
      <w:r w:rsidR="00262CA2">
        <w:rPr>
          <w:rFonts w:ascii="Times New Roman" w:hAnsi="Times New Roman"/>
          <w:szCs w:val="24"/>
          <w:lang w:val="bs-Latn-BA"/>
        </w:rPr>
        <w:t xml:space="preserve">, </w:t>
      </w:r>
      <w:r>
        <w:rPr>
          <w:rFonts w:ascii="Times New Roman" w:hAnsi="Times New Roman"/>
          <w:szCs w:val="24"/>
          <w:lang w:val="bs-Latn-BA"/>
        </w:rPr>
        <w:t>ЦЈРП</w:t>
      </w:r>
      <w:r w:rsidR="00262CA2">
        <w:rPr>
          <w:rFonts w:ascii="Times New Roman" w:hAnsi="Times New Roman"/>
          <w:szCs w:val="24"/>
          <w:lang w:val="bs-Latn-BA"/>
        </w:rPr>
        <w:t xml:space="preserve"> </w:t>
      </w:r>
      <w:r>
        <w:rPr>
          <w:rFonts w:ascii="Times New Roman" w:hAnsi="Times New Roman"/>
          <w:szCs w:val="24"/>
          <w:lang w:val="bs-Latn-BA"/>
        </w:rPr>
        <w:t>РС</w:t>
      </w:r>
      <w:r w:rsidR="00262CA2">
        <w:rPr>
          <w:rFonts w:ascii="Times New Roman" w:hAnsi="Times New Roman"/>
          <w:szCs w:val="24"/>
          <w:lang w:val="bs-Latn-BA"/>
        </w:rPr>
        <w:t xml:space="preserve"> </w:t>
      </w:r>
      <w:r>
        <w:rPr>
          <w:rFonts w:ascii="Times New Roman" w:hAnsi="Times New Roman"/>
          <w:szCs w:val="24"/>
          <w:lang w:val="bs-Latn-BA"/>
        </w:rPr>
        <w:t>и</w:t>
      </w:r>
      <w:r w:rsidR="00262CA2">
        <w:rPr>
          <w:rFonts w:ascii="Times New Roman" w:hAnsi="Times New Roman"/>
          <w:szCs w:val="24"/>
          <w:lang w:val="bs-Latn-BA"/>
        </w:rPr>
        <w:t xml:space="preserve"> </w:t>
      </w:r>
      <w:r>
        <w:rPr>
          <w:rFonts w:ascii="Times New Roman" w:hAnsi="Times New Roman"/>
          <w:szCs w:val="24"/>
          <w:lang w:val="bs-Latn-BA"/>
        </w:rPr>
        <w:t>ГЦ</w:t>
      </w:r>
      <w:r w:rsidR="00262CA2">
        <w:rPr>
          <w:rFonts w:ascii="Times New Roman" w:hAnsi="Times New Roman"/>
          <w:szCs w:val="24"/>
          <w:lang w:val="bs-Latn-BA"/>
        </w:rPr>
        <w:t xml:space="preserve"> </w:t>
      </w:r>
      <w:r>
        <w:rPr>
          <w:rFonts w:ascii="Times New Roman" w:hAnsi="Times New Roman"/>
          <w:szCs w:val="24"/>
          <w:lang w:val="bs-Latn-BA"/>
        </w:rPr>
        <w:t>ФБиХ</w:t>
      </w:r>
      <w:r w:rsidR="00FF477A" w:rsidRPr="00295637">
        <w:rPr>
          <w:rFonts w:ascii="Times New Roman" w:hAnsi="Times New Roman"/>
          <w:szCs w:val="24"/>
          <w:lang w:val="bs-Latn-BA"/>
        </w:rPr>
        <w:t xml:space="preserve">, </w:t>
      </w:r>
      <w:r>
        <w:rPr>
          <w:rFonts w:ascii="Times New Roman" w:hAnsi="Times New Roman"/>
          <w:szCs w:val="24"/>
          <w:lang w:val="bs-Latn-BA"/>
        </w:rPr>
        <w:t>чине</w:t>
      </w:r>
      <w:r w:rsidR="00FF477A" w:rsidRPr="00295637">
        <w:rPr>
          <w:rFonts w:ascii="Times New Roman" w:hAnsi="Times New Roman"/>
          <w:szCs w:val="24"/>
          <w:lang w:val="bs-Latn-BA"/>
        </w:rPr>
        <w:t xml:space="preserve"> </w:t>
      </w:r>
      <w:r>
        <w:rPr>
          <w:rFonts w:ascii="Times New Roman" w:hAnsi="Times New Roman"/>
          <w:szCs w:val="24"/>
        </w:rPr>
        <w:t>представници</w:t>
      </w:r>
      <w:r w:rsidR="00FF477A" w:rsidRPr="00295637">
        <w:rPr>
          <w:rFonts w:ascii="Times New Roman" w:hAnsi="Times New Roman"/>
          <w:szCs w:val="24"/>
        </w:rPr>
        <w:t xml:space="preserve"> </w:t>
      </w:r>
      <w:r>
        <w:rPr>
          <w:rFonts w:ascii="Times New Roman" w:hAnsi="Times New Roman"/>
          <w:szCs w:val="24"/>
        </w:rPr>
        <w:t>М</w:t>
      </w:r>
      <w:r w:rsidR="00F82DDB">
        <w:rPr>
          <w:rFonts w:ascii="Times New Roman" w:hAnsi="Times New Roman"/>
          <w:szCs w:val="24"/>
          <w:lang w:val="sr-Cyrl-BA"/>
        </w:rPr>
        <w:t>С</w:t>
      </w:r>
      <w:r>
        <w:rPr>
          <w:rFonts w:ascii="Times New Roman" w:hAnsi="Times New Roman"/>
          <w:szCs w:val="24"/>
        </w:rPr>
        <w:t>ТЕО</w:t>
      </w:r>
      <w:r w:rsidR="00FF477A" w:rsidRPr="00295637">
        <w:rPr>
          <w:rFonts w:ascii="Times New Roman" w:hAnsi="Times New Roman"/>
          <w:szCs w:val="24"/>
        </w:rPr>
        <w:t xml:space="preserve"> </w:t>
      </w:r>
      <w:r>
        <w:rPr>
          <w:rFonts w:ascii="Times New Roman" w:hAnsi="Times New Roman"/>
          <w:szCs w:val="24"/>
        </w:rPr>
        <w:t>БиХ</w:t>
      </w:r>
      <w:r w:rsidR="00FF477A" w:rsidRPr="00295637">
        <w:rPr>
          <w:rFonts w:ascii="Times New Roman" w:hAnsi="Times New Roman"/>
          <w:szCs w:val="24"/>
        </w:rPr>
        <w:t xml:space="preserve">, </w:t>
      </w:r>
      <w:r>
        <w:rPr>
          <w:rFonts w:ascii="Times New Roman" w:hAnsi="Times New Roman"/>
          <w:szCs w:val="24"/>
        </w:rPr>
        <w:t>ФМПВШ</w:t>
      </w:r>
      <w:r w:rsidR="00FF477A" w:rsidRPr="00295637">
        <w:rPr>
          <w:rFonts w:ascii="Times New Roman" w:hAnsi="Times New Roman"/>
          <w:szCs w:val="24"/>
        </w:rPr>
        <w:t xml:space="preserve">, </w:t>
      </w:r>
      <w:r>
        <w:rPr>
          <w:rFonts w:ascii="Times New Roman" w:hAnsi="Times New Roman"/>
          <w:szCs w:val="24"/>
        </w:rPr>
        <w:t>МПШВ</w:t>
      </w:r>
      <w:r w:rsidR="00FF477A" w:rsidRPr="00295637">
        <w:rPr>
          <w:rFonts w:ascii="Times New Roman" w:hAnsi="Times New Roman"/>
          <w:szCs w:val="24"/>
        </w:rPr>
        <w:t xml:space="preserve"> </w:t>
      </w:r>
      <w:r>
        <w:rPr>
          <w:rFonts w:ascii="Times New Roman" w:hAnsi="Times New Roman"/>
          <w:szCs w:val="24"/>
        </w:rPr>
        <w:t>РС</w:t>
      </w:r>
      <w:r w:rsidR="00FF477A" w:rsidRPr="00295637">
        <w:rPr>
          <w:rFonts w:ascii="Times New Roman" w:hAnsi="Times New Roman"/>
          <w:szCs w:val="24"/>
        </w:rPr>
        <w:t xml:space="preserve">, </w:t>
      </w:r>
      <w:r>
        <w:rPr>
          <w:rFonts w:ascii="Times New Roman" w:hAnsi="Times New Roman"/>
          <w:szCs w:val="24"/>
        </w:rPr>
        <w:t>као</w:t>
      </w:r>
      <w:r w:rsidR="00FF477A" w:rsidRPr="00295637">
        <w:rPr>
          <w:rFonts w:ascii="Times New Roman" w:hAnsi="Times New Roman"/>
          <w:szCs w:val="24"/>
        </w:rPr>
        <w:t xml:space="preserve"> </w:t>
      </w:r>
      <w:r>
        <w:rPr>
          <w:rFonts w:ascii="Times New Roman" w:hAnsi="Times New Roman"/>
          <w:szCs w:val="24"/>
        </w:rPr>
        <w:t>и</w:t>
      </w:r>
      <w:r w:rsidR="00FF477A" w:rsidRPr="00295637">
        <w:rPr>
          <w:rFonts w:ascii="Times New Roman" w:hAnsi="Times New Roman"/>
          <w:szCs w:val="24"/>
        </w:rPr>
        <w:t xml:space="preserve"> </w:t>
      </w:r>
      <w:r>
        <w:rPr>
          <w:rFonts w:ascii="Times New Roman" w:hAnsi="Times New Roman"/>
          <w:szCs w:val="24"/>
        </w:rPr>
        <w:t>представника</w:t>
      </w:r>
      <w:r w:rsidR="00FF477A" w:rsidRPr="00295637">
        <w:rPr>
          <w:rFonts w:ascii="Times New Roman" w:hAnsi="Times New Roman"/>
          <w:szCs w:val="24"/>
        </w:rPr>
        <w:t xml:space="preserve"> </w:t>
      </w:r>
      <w:r>
        <w:rPr>
          <w:rFonts w:ascii="Times New Roman" w:hAnsi="Times New Roman"/>
          <w:szCs w:val="24"/>
        </w:rPr>
        <w:t>Шведске</w:t>
      </w:r>
      <w:r w:rsidR="00FF477A" w:rsidRPr="00295637">
        <w:rPr>
          <w:rFonts w:ascii="Times New Roman" w:hAnsi="Times New Roman"/>
          <w:szCs w:val="24"/>
        </w:rPr>
        <w:t xml:space="preserve"> </w:t>
      </w:r>
      <w:r>
        <w:rPr>
          <w:rFonts w:ascii="Times New Roman" w:hAnsi="Times New Roman"/>
          <w:szCs w:val="24"/>
        </w:rPr>
        <w:t>и</w:t>
      </w:r>
      <w:r w:rsidR="00FF477A" w:rsidRPr="00295637">
        <w:rPr>
          <w:rFonts w:ascii="Times New Roman" w:hAnsi="Times New Roman"/>
          <w:szCs w:val="24"/>
        </w:rPr>
        <w:t xml:space="preserve"> </w:t>
      </w:r>
      <w:r>
        <w:rPr>
          <w:rFonts w:ascii="Times New Roman" w:hAnsi="Times New Roman"/>
          <w:szCs w:val="24"/>
        </w:rPr>
        <w:t>УН</w:t>
      </w:r>
      <w:r w:rsidR="00FF477A" w:rsidRPr="00295637">
        <w:rPr>
          <w:rFonts w:ascii="Times New Roman" w:hAnsi="Times New Roman"/>
          <w:szCs w:val="24"/>
        </w:rPr>
        <w:t xml:space="preserve"> </w:t>
      </w:r>
      <w:r>
        <w:rPr>
          <w:rFonts w:ascii="Times New Roman" w:hAnsi="Times New Roman"/>
          <w:szCs w:val="24"/>
        </w:rPr>
        <w:t>агенција</w:t>
      </w:r>
      <w:r w:rsidR="00FF477A" w:rsidRPr="00295637">
        <w:rPr>
          <w:rFonts w:ascii="Times New Roman" w:hAnsi="Times New Roman"/>
          <w:szCs w:val="24"/>
        </w:rPr>
        <w:t xml:space="preserve"> </w:t>
      </w:r>
      <w:r>
        <w:rPr>
          <w:rFonts w:ascii="Times New Roman" w:hAnsi="Times New Roman"/>
          <w:szCs w:val="24"/>
        </w:rPr>
        <w:t>у</w:t>
      </w:r>
      <w:r w:rsidR="00FF477A">
        <w:rPr>
          <w:rFonts w:ascii="Times New Roman" w:hAnsi="Times New Roman"/>
          <w:szCs w:val="24"/>
        </w:rPr>
        <w:t xml:space="preserve"> </w:t>
      </w:r>
      <w:r>
        <w:rPr>
          <w:rFonts w:ascii="Times New Roman" w:hAnsi="Times New Roman"/>
          <w:szCs w:val="24"/>
        </w:rPr>
        <w:t>БиХ</w:t>
      </w:r>
      <w:r w:rsidR="00FF477A" w:rsidRPr="00295637">
        <w:rPr>
          <w:rFonts w:ascii="Times New Roman" w:hAnsi="Times New Roman"/>
          <w:szCs w:val="24"/>
        </w:rPr>
        <w:t>.</w:t>
      </w:r>
      <w:r w:rsidR="00262CA2">
        <w:rPr>
          <w:rFonts w:ascii="Times New Roman" w:hAnsi="Times New Roman"/>
          <w:szCs w:val="24"/>
        </w:rPr>
        <w:t xml:space="preserve"> </w:t>
      </w:r>
      <w:r>
        <w:rPr>
          <w:rFonts w:ascii="Times New Roman" w:hAnsi="Times New Roman"/>
          <w:szCs w:val="24"/>
        </w:rPr>
        <w:t>Поред</w:t>
      </w:r>
      <w:r w:rsidR="00262CA2">
        <w:rPr>
          <w:rFonts w:ascii="Times New Roman" w:hAnsi="Times New Roman"/>
          <w:szCs w:val="24"/>
        </w:rPr>
        <w:t xml:space="preserve"> </w:t>
      </w:r>
      <w:r>
        <w:rPr>
          <w:rFonts w:ascii="Times New Roman" w:hAnsi="Times New Roman"/>
          <w:szCs w:val="24"/>
        </w:rPr>
        <w:t>тога</w:t>
      </w:r>
      <w:r w:rsidR="00262CA2">
        <w:rPr>
          <w:rFonts w:ascii="Times New Roman" w:hAnsi="Times New Roman"/>
          <w:szCs w:val="24"/>
        </w:rPr>
        <w:t xml:space="preserve">, </w:t>
      </w:r>
      <w:r>
        <w:rPr>
          <w:rFonts w:ascii="Times New Roman" w:hAnsi="Times New Roman"/>
          <w:szCs w:val="24"/>
        </w:rPr>
        <w:t>АР</w:t>
      </w:r>
      <w:r w:rsidR="00F82DDB">
        <w:rPr>
          <w:rFonts w:ascii="Times New Roman" w:hAnsi="Times New Roman"/>
          <w:szCs w:val="24"/>
          <w:lang w:val="sr-Cyrl-BA"/>
        </w:rPr>
        <w:t>П</w:t>
      </w:r>
      <w:r w:rsidR="00262CA2">
        <w:rPr>
          <w:rFonts w:ascii="Times New Roman" w:hAnsi="Times New Roman"/>
          <w:szCs w:val="24"/>
        </w:rPr>
        <w:t xml:space="preserve"> </w:t>
      </w:r>
      <w:r>
        <w:rPr>
          <w:rFonts w:ascii="Times New Roman" w:hAnsi="Times New Roman"/>
          <w:szCs w:val="24"/>
        </w:rPr>
        <w:t>БиХ</w:t>
      </w:r>
      <w:r w:rsidR="00262CA2">
        <w:rPr>
          <w:rFonts w:ascii="Times New Roman" w:hAnsi="Times New Roman"/>
          <w:szCs w:val="24"/>
        </w:rPr>
        <w:t xml:space="preserve"> </w:t>
      </w:r>
      <w:r>
        <w:rPr>
          <w:rFonts w:ascii="Times New Roman" w:hAnsi="Times New Roman"/>
          <w:szCs w:val="24"/>
        </w:rPr>
        <w:t>МЉПИ</w:t>
      </w:r>
      <w:r w:rsidR="00262CA2">
        <w:rPr>
          <w:rFonts w:ascii="Times New Roman" w:hAnsi="Times New Roman"/>
          <w:szCs w:val="24"/>
        </w:rPr>
        <w:t xml:space="preserve"> </w:t>
      </w:r>
      <w:r>
        <w:rPr>
          <w:rFonts w:ascii="Times New Roman" w:hAnsi="Times New Roman"/>
          <w:szCs w:val="24"/>
        </w:rPr>
        <w:t>БиХ</w:t>
      </w:r>
      <w:r w:rsidR="00262CA2">
        <w:rPr>
          <w:rFonts w:ascii="Times New Roman" w:hAnsi="Times New Roman"/>
          <w:szCs w:val="24"/>
        </w:rPr>
        <w:t xml:space="preserve">, </w:t>
      </w:r>
      <w:r>
        <w:rPr>
          <w:rFonts w:ascii="Times New Roman" w:hAnsi="Times New Roman"/>
          <w:szCs w:val="24"/>
        </w:rPr>
        <w:t>ЦЈРП</w:t>
      </w:r>
      <w:r w:rsidR="00262CA2">
        <w:rPr>
          <w:rFonts w:ascii="Times New Roman" w:hAnsi="Times New Roman"/>
          <w:szCs w:val="24"/>
        </w:rPr>
        <w:t xml:space="preserve"> </w:t>
      </w:r>
      <w:r>
        <w:rPr>
          <w:rFonts w:ascii="Times New Roman" w:hAnsi="Times New Roman"/>
          <w:szCs w:val="24"/>
        </w:rPr>
        <w:t>РС</w:t>
      </w:r>
      <w:r w:rsidR="00262CA2">
        <w:rPr>
          <w:rFonts w:ascii="Times New Roman" w:hAnsi="Times New Roman"/>
          <w:szCs w:val="24"/>
        </w:rPr>
        <w:t xml:space="preserve"> </w:t>
      </w:r>
      <w:r>
        <w:rPr>
          <w:rFonts w:ascii="Times New Roman" w:hAnsi="Times New Roman"/>
          <w:szCs w:val="24"/>
        </w:rPr>
        <w:t>и</w:t>
      </w:r>
      <w:r w:rsidR="00262CA2">
        <w:rPr>
          <w:rFonts w:ascii="Times New Roman" w:hAnsi="Times New Roman"/>
          <w:szCs w:val="24"/>
        </w:rPr>
        <w:t xml:space="preserve"> </w:t>
      </w:r>
      <w:r>
        <w:rPr>
          <w:rFonts w:ascii="Times New Roman" w:hAnsi="Times New Roman"/>
          <w:szCs w:val="24"/>
        </w:rPr>
        <w:t>ГЦ</w:t>
      </w:r>
      <w:r w:rsidR="00262CA2">
        <w:rPr>
          <w:rFonts w:ascii="Times New Roman" w:hAnsi="Times New Roman"/>
          <w:szCs w:val="24"/>
        </w:rPr>
        <w:t xml:space="preserve"> </w:t>
      </w:r>
      <w:r>
        <w:rPr>
          <w:rFonts w:ascii="Times New Roman" w:hAnsi="Times New Roman"/>
          <w:szCs w:val="24"/>
        </w:rPr>
        <w:t>ФБиХ</w:t>
      </w:r>
      <w:r w:rsidR="00400D32">
        <w:rPr>
          <w:rFonts w:ascii="Times New Roman" w:hAnsi="Times New Roman"/>
          <w:szCs w:val="24"/>
        </w:rPr>
        <w:t xml:space="preserve"> </w:t>
      </w:r>
      <w:r>
        <w:rPr>
          <w:rFonts w:ascii="Times New Roman" w:hAnsi="Times New Roman"/>
          <w:szCs w:val="24"/>
        </w:rPr>
        <w:t>учествују</w:t>
      </w:r>
      <w:r w:rsidR="00400D32">
        <w:rPr>
          <w:rFonts w:ascii="Times New Roman" w:hAnsi="Times New Roman"/>
          <w:szCs w:val="24"/>
        </w:rPr>
        <w:t xml:space="preserve"> </w:t>
      </w:r>
      <w:r>
        <w:rPr>
          <w:rFonts w:ascii="Times New Roman" w:hAnsi="Times New Roman"/>
          <w:szCs w:val="24"/>
        </w:rPr>
        <w:t>и</w:t>
      </w:r>
      <w:r w:rsidR="00400D32">
        <w:rPr>
          <w:rFonts w:ascii="Times New Roman" w:hAnsi="Times New Roman"/>
          <w:szCs w:val="24"/>
        </w:rPr>
        <w:t xml:space="preserve"> </w:t>
      </w:r>
      <w:r>
        <w:rPr>
          <w:rFonts w:ascii="Times New Roman" w:hAnsi="Times New Roman"/>
          <w:szCs w:val="24"/>
        </w:rPr>
        <w:t>у</w:t>
      </w:r>
      <w:r w:rsidR="00400D32">
        <w:rPr>
          <w:rFonts w:ascii="Times New Roman" w:hAnsi="Times New Roman"/>
          <w:szCs w:val="24"/>
        </w:rPr>
        <w:t xml:space="preserve"> </w:t>
      </w:r>
      <w:r>
        <w:rPr>
          <w:rFonts w:ascii="Times New Roman" w:hAnsi="Times New Roman"/>
          <w:szCs w:val="24"/>
        </w:rPr>
        <w:t>раду</w:t>
      </w:r>
      <w:r w:rsidR="00400D32">
        <w:rPr>
          <w:rFonts w:ascii="Times New Roman" w:hAnsi="Times New Roman"/>
          <w:szCs w:val="24"/>
        </w:rPr>
        <w:t xml:space="preserve"> </w:t>
      </w:r>
      <w:r>
        <w:rPr>
          <w:rFonts w:ascii="Times New Roman" w:hAnsi="Times New Roman"/>
          <w:szCs w:val="24"/>
        </w:rPr>
        <w:t>Техничке</w:t>
      </w:r>
      <w:r w:rsidR="00400D32">
        <w:rPr>
          <w:rFonts w:ascii="Times New Roman" w:hAnsi="Times New Roman"/>
          <w:szCs w:val="24"/>
        </w:rPr>
        <w:t xml:space="preserve"> </w:t>
      </w:r>
      <w:r>
        <w:rPr>
          <w:rFonts w:ascii="Times New Roman" w:hAnsi="Times New Roman"/>
          <w:szCs w:val="24"/>
        </w:rPr>
        <w:t>радне</w:t>
      </w:r>
      <w:r w:rsidR="00400D32">
        <w:rPr>
          <w:rFonts w:ascii="Times New Roman" w:hAnsi="Times New Roman"/>
          <w:szCs w:val="24"/>
        </w:rPr>
        <w:t xml:space="preserve"> </w:t>
      </w:r>
      <w:r>
        <w:rPr>
          <w:rFonts w:ascii="Times New Roman" w:hAnsi="Times New Roman"/>
          <w:szCs w:val="24"/>
        </w:rPr>
        <w:t>групе</w:t>
      </w:r>
      <w:r w:rsidR="00400D32">
        <w:rPr>
          <w:rFonts w:ascii="Times New Roman" w:hAnsi="Times New Roman"/>
          <w:szCs w:val="24"/>
        </w:rPr>
        <w:t xml:space="preserve"> </w:t>
      </w:r>
      <w:r>
        <w:rPr>
          <w:rFonts w:ascii="Times New Roman" w:hAnsi="Times New Roman"/>
          <w:szCs w:val="24"/>
        </w:rPr>
        <w:t>поменутог</w:t>
      </w:r>
      <w:r w:rsidR="00400D32">
        <w:rPr>
          <w:rFonts w:ascii="Times New Roman" w:hAnsi="Times New Roman"/>
          <w:szCs w:val="24"/>
        </w:rPr>
        <w:t xml:space="preserve"> </w:t>
      </w:r>
      <w:r>
        <w:rPr>
          <w:rFonts w:ascii="Times New Roman" w:hAnsi="Times New Roman"/>
          <w:szCs w:val="24"/>
        </w:rPr>
        <w:t>пројекта</w:t>
      </w:r>
      <w:r w:rsidR="00400D32">
        <w:rPr>
          <w:rFonts w:ascii="Times New Roman" w:hAnsi="Times New Roman"/>
          <w:szCs w:val="24"/>
        </w:rPr>
        <w:t>.</w:t>
      </w:r>
      <w:r w:rsidR="00FF477A">
        <w:rPr>
          <w:rFonts w:ascii="Times New Roman" w:hAnsi="Times New Roman"/>
          <w:szCs w:val="24"/>
        </w:rPr>
        <w:t xml:space="preserve"> </w:t>
      </w:r>
      <w:r>
        <w:rPr>
          <w:rFonts w:ascii="Times New Roman" w:hAnsi="Times New Roman"/>
          <w:lang w:val="bs-Latn-BA"/>
        </w:rPr>
        <w:t>У</w:t>
      </w:r>
      <w:r w:rsidR="00FF477A" w:rsidRPr="00FF477A">
        <w:rPr>
          <w:rFonts w:ascii="Times New Roman" w:hAnsi="Times New Roman"/>
          <w:lang w:val="bs-Latn-BA"/>
        </w:rPr>
        <w:t xml:space="preserve"> </w:t>
      </w:r>
      <w:r>
        <w:rPr>
          <w:rFonts w:ascii="Times New Roman" w:hAnsi="Times New Roman"/>
          <w:lang w:val="bs-Latn-BA"/>
        </w:rPr>
        <w:t>оквиру</w:t>
      </w:r>
      <w:r w:rsidR="00FF477A" w:rsidRPr="00FF477A">
        <w:rPr>
          <w:rFonts w:ascii="Times New Roman" w:hAnsi="Times New Roman"/>
          <w:lang w:val="bs-Latn-BA"/>
        </w:rPr>
        <w:t xml:space="preserve"> </w:t>
      </w:r>
      <w:r>
        <w:rPr>
          <w:rFonts w:ascii="Times New Roman" w:hAnsi="Times New Roman"/>
          <w:lang w:val="bs-Latn-BA"/>
        </w:rPr>
        <w:t>учествовања</w:t>
      </w:r>
      <w:r w:rsidR="00B6082D">
        <w:rPr>
          <w:rFonts w:ascii="Times New Roman" w:hAnsi="Times New Roman"/>
          <w:lang w:val="bs-Latn-BA"/>
        </w:rPr>
        <w:t xml:space="preserve"> </w:t>
      </w:r>
      <w:r>
        <w:rPr>
          <w:rFonts w:ascii="Times New Roman" w:hAnsi="Times New Roman"/>
          <w:lang w:val="bs-Latn-BA"/>
        </w:rPr>
        <w:t>ФМПВШ</w:t>
      </w:r>
      <w:r w:rsidR="00D256F6" w:rsidRPr="00FF477A">
        <w:rPr>
          <w:rFonts w:ascii="Times New Roman" w:hAnsi="Times New Roman"/>
          <w:lang w:val="bs-Latn-BA"/>
        </w:rPr>
        <w:t xml:space="preserve"> </w:t>
      </w:r>
      <w:r>
        <w:rPr>
          <w:rFonts w:ascii="Times New Roman" w:hAnsi="Times New Roman"/>
          <w:lang w:val="bs-Latn-BA"/>
        </w:rPr>
        <w:t>у</w:t>
      </w:r>
      <w:r w:rsidR="00FF477A" w:rsidRPr="00FF477A">
        <w:rPr>
          <w:rFonts w:ascii="Times New Roman" w:hAnsi="Times New Roman"/>
          <w:lang w:val="bs-Latn-BA"/>
        </w:rPr>
        <w:t xml:space="preserve"> </w:t>
      </w:r>
      <w:r>
        <w:rPr>
          <w:rFonts w:ascii="Times New Roman" w:hAnsi="Times New Roman"/>
          <w:lang w:val="bs-Latn-BA"/>
        </w:rPr>
        <w:t>реализацији</w:t>
      </w:r>
      <w:r w:rsidR="00FF477A" w:rsidRPr="00FF477A">
        <w:rPr>
          <w:rFonts w:ascii="Times New Roman" w:hAnsi="Times New Roman"/>
          <w:lang w:val="bs-Latn-BA"/>
        </w:rPr>
        <w:t xml:space="preserve"> </w:t>
      </w:r>
      <w:r>
        <w:rPr>
          <w:rFonts w:ascii="Times New Roman" w:hAnsi="Times New Roman"/>
          <w:lang w:val="bs-Latn-BA"/>
        </w:rPr>
        <w:t>поменутог</w:t>
      </w:r>
      <w:r w:rsidR="00FF477A" w:rsidRPr="00FF477A">
        <w:rPr>
          <w:rFonts w:ascii="Times New Roman" w:hAnsi="Times New Roman"/>
          <w:lang w:val="bs-Latn-BA"/>
        </w:rPr>
        <w:t xml:space="preserve"> </w:t>
      </w:r>
      <w:r>
        <w:rPr>
          <w:rFonts w:ascii="Times New Roman" w:hAnsi="Times New Roman"/>
          <w:lang w:val="bs-Latn-BA"/>
        </w:rPr>
        <w:t>пројекта</w:t>
      </w:r>
      <w:r w:rsidR="00FF477A" w:rsidRPr="00FF477A">
        <w:rPr>
          <w:rFonts w:ascii="Times New Roman" w:hAnsi="Times New Roman"/>
          <w:lang w:val="bs-Latn-BA"/>
        </w:rPr>
        <w:t>,</w:t>
      </w:r>
      <w:r w:rsidR="00D256F6" w:rsidRPr="00FF477A">
        <w:rPr>
          <w:rFonts w:ascii="Times New Roman" w:hAnsi="Times New Roman"/>
          <w:lang w:val="bs-Latn-BA"/>
        </w:rPr>
        <w:t xml:space="preserve"> </w:t>
      </w:r>
      <w:r>
        <w:rPr>
          <w:rFonts w:ascii="Times New Roman" w:hAnsi="Times New Roman"/>
          <w:lang w:val="bs-Latn-BA"/>
        </w:rPr>
        <w:t>планиране</w:t>
      </w:r>
      <w:r w:rsidR="00D256F6" w:rsidRPr="00FF477A">
        <w:rPr>
          <w:rFonts w:ascii="Times New Roman" w:hAnsi="Times New Roman"/>
          <w:lang w:val="bs-Latn-BA"/>
        </w:rPr>
        <w:t xml:space="preserve"> </w:t>
      </w:r>
      <w:r>
        <w:rPr>
          <w:rFonts w:ascii="Times New Roman" w:hAnsi="Times New Roman"/>
          <w:lang w:val="bs-Latn-BA"/>
        </w:rPr>
        <w:t>су</w:t>
      </w:r>
      <w:r w:rsidR="00D256F6" w:rsidRPr="00FF477A">
        <w:rPr>
          <w:rFonts w:ascii="Times New Roman" w:hAnsi="Times New Roman"/>
          <w:lang w:val="bs-Latn-BA"/>
        </w:rPr>
        <w:t xml:space="preserve"> </w:t>
      </w:r>
      <w:r>
        <w:rPr>
          <w:rFonts w:ascii="Times New Roman" w:hAnsi="Times New Roman"/>
          <w:lang w:val="bs-Latn-BA"/>
        </w:rPr>
        <w:t>информативне</w:t>
      </w:r>
      <w:r w:rsidR="00D256F6" w:rsidRPr="00FF477A">
        <w:rPr>
          <w:rFonts w:ascii="Times New Roman" w:hAnsi="Times New Roman"/>
          <w:lang w:val="bs-Latn-BA"/>
        </w:rPr>
        <w:t xml:space="preserve"> </w:t>
      </w:r>
      <w:r>
        <w:rPr>
          <w:rFonts w:ascii="Times New Roman" w:hAnsi="Times New Roman"/>
          <w:lang w:val="bs-Latn-BA"/>
        </w:rPr>
        <w:t>сесије</w:t>
      </w:r>
      <w:r w:rsidR="00D256F6" w:rsidRPr="00FF477A">
        <w:rPr>
          <w:rFonts w:ascii="Times New Roman" w:hAnsi="Times New Roman"/>
          <w:lang w:val="bs-Latn-BA"/>
        </w:rPr>
        <w:t xml:space="preserve"> </w:t>
      </w:r>
      <w:r>
        <w:rPr>
          <w:rFonts w:ascii="Times New Roman" w:hAnsi="Times New Roman"/>
          <w:lang w:val="bs-Latn-BA"/>
        </w:rPr>
        <w:t>у</w:t>
      </w:r>
      <w:r w:rsidR="00D256F6" w:rsidRPr="00FF477A">
        <w:rPr>
          <w:rFonts w:ascii="Times New Roman" w:hAnsi="Times New Roman"/>
          <w:lang w:val="bs-Latn-BA"/>
        </w:rPr>
        <w:t xml:space="preserve"> </w:t>
      </w:r>
      <w:r>
        <w:rPr>
          <w:rFonts w:ascii="Times New Roman" w:hAnsi="Times New Roman"/>
          <w:lang w:val="bs-Latn-BA"/>
        </w:rPr>
        <w:t>три</w:t>
      </w:r>
      <w:r w:rsidR="00D256F6" w:rsidRPr="00FF477A">
        <w:rPr>
          <w:rFonts w:ascii="Times New Roman" w:hAnsi="Times New Roman"/>
          <w:lang w:val="bs-Latn-BA"/>
        </w:rPr>
        <w:t xml:space="preserve"> </w:t>
      </w:r>
      <w:r>
        <w:rPr>
          <w:rFonts w:ascii="Times New Roman" w:hAnsi="Times New Roman"/>
          <w:lang w:val="bs-Latn-BA"/>
        </w:rPr>
        <w:t>кантона</w:t>
      </w:r>
      <w:r w:rsidR="00D256F6" w:rsidRPr="00FF477A">
        <w:rPr>
          <w:rFonts w:ascii="Times New Roman" w:hAnsi="Times New Roman"/>
          <w:lang w:val="bs-Latn-BA"/>
        </w:rPr>
        <w:t xml:space="preserve"> </w:t>
      </w:r>
      <w:r>
        <w:rPr>
          <w:rFonts w:ascii="Times New Roman" w:hAnsi="Times New Roman"/>
          <w:lang w:val="bs-Latn-BA"/>
        </w:rPr>
        <w:t>како</w:t>
      </w:r>
      <w:r w:rsidR="00D256F6" w:rsidRPr="00FF477A">
        <w:rPr>
          <w:rFonts w:ascii="Times New Roman" w:hAnsi="Times New Roman"/>
          <w:lang w:val="bs-Latn-BA"/>
        </w:rPr>
        <w:t xml:space="preserve"> </w:t>
      </w:r>
      <w:r>
        <w:rPr>
          <w:rFonts w:ascii="Times New Roman" w:hAnsi="Times New Roman"/>
          <w:lang w:val="bs-Latn-BA"/>
        </w:rPr>
        <w:t>би</w:t>
      </w:r>
      <w:r w:rsidR="00D256F6" w:rsidRPr="00FF477A">
        <w:rPr>
          <w:rFonts w:ascii="Times New Roman" w:hAnsi="Times New Roman"/>
          <w:lang w:val="bs-Latn-BA"/>
        </w:rPr>
        <w:t xml:space="preserve"> </w:t>
      </w:r>
      <w:r>
        <w:rPr>
          <w:rFonts w:ascii="Times New Roman" w:hAnsi="Times New Roman"/>
          <w:lang w:val="bs-Latn-BA"/>
        </w:rPr>
        <w:t>се</w:t>
      </w:r>
      <w:r w:rsidR="00D256F6" w:rsidRPr="00FF477A">
        <w:rPr>
          <w:rFonts w:ascii="Times New Roman" w:hAnsi="Times New Roman"/>
          <w:lang w:val="bs-Latn-BA"/>
        </w:rPr>
        <w:t xml:space="preserve"> </w:t>
      </w:r>
      <w:r>
        <w:rPr>
          <w:rFonts w:ascii="Times New Roman" w:hAnsi="Times New Roman"/>
          <w:lang w:val="bs-Latn-BA"/>
        </w:rPr>
        <w:t>повећала</w:t>
      </w:r>
      <w:r w:rsidR="00D256F6" w:rsidRPr="00FF477A">
        <w:rPr>
          <w:rFonts w:ascii="Times New Roman" w:hAnsi="Times New Roman"/>
          <w:lang w:val="bs-Latn-BA"/>
        </w:rPr>
        <w:t xml:space="preserve"> </w:t>
      </w:r>
      <w:r>
        <w:rPr>
          <w:rFonts w:ascii="Times New Roman" w:hAnsi="Times New Roman"/>
          <w:lang w:val="bs-Latn-BA"/>
        </w:rPr>
        <w:t>доступност</w:t>
      </w:r>
      <w:r w:rsidR="00D256F6" w:rsidRPr="00FF477A">
        <w:rPr>
          <w:rFonts w:ascii="Times New Roman" w:hAnsi="Times New Roman"/>
          <w:lang w:val="bs-Latn-BA"/>
        </w:rPr>
        <w:t xml:space="preserve"> </w:t>
      </w:r>
      <w:r>
        <w:rPr>
          <w:rFonts w:ascii="Times New Roman" w:hAnsi="Times New Roman"/>
          <w:lang w:val="bs-Latn-BA"/>
        </w:rPr>
        <w:t>грант</w:t>
      </w:r>
      <w:r w:rsidR="00262CA2">
        <w:rPr>
          <w:rFonts w:ascii="Times New Roman" w:hAnsi="Times New Roman"/>
          <w:lang w:val="bs-Latn-BA"/>
        </w:rPr>
        <w:t xml:space="preserve"> </w:t>
      </w:r>
      <w:r>
        <w:rPr>
          <w:rFonts w:ascii="Times New Roman" w:hAnsi="Times New Roman"/>
          <w:lang w:val="bs-Latn-BA"/>
        </w:rPr>
        <w:t>средстава</w:t>
      </w:r>
      <w:r w:rsidR="00D256F6" w:rsidRPr="00FF477A">
        <w:rPr>
          <w:rFonts w:ascii="Times New Roman" w:hAnsi="Times New Roman"/>
          <w:lang w:val="bs-Latn-BA"/>
        </w:rPr>
        <w:t xml:space="preserve"> </w:t>
      </w:r>
      <w:r>
        <w:rPr>
          <w:rFonts w:ascii="Times New Roman" w:hAnsi="Times New Roman"/>
          <w:lang w:val="bs-Latn-BA"/>
        </w:rPr>
        <w:t>женама</w:t>
      </w:r>
      <w:r w:rsidR="00D256F6" w:rsidRPr="00FF477A">
        <w:rPr>
          <w:rFonts w:ascii="Times New Roman" w:hAnsi="Times New Roman"/>
          <w:lang w:val="bs-Latn-BA"/>
        </w:rPr>
        <w:t xml:space="preserve"> </w:t>
      </w:r>
      <w:r>
        <w:rPr>
          <w:rFonts w:ascii="Times New Roman" w:hAnsi="Times New Roman"/>
          <w:lang w:val="bs-Latn-BA"/>
        </w:rPr>
        <w:t>у</w:t>
      </w:r>
      <w:r w:rsidR="00D256F6" w:rsidRPr="00FF477A">
        <w:rPr>
          <w:rFonts w:ascii="Times New Roman" w:hAnsi="Times New Roman"/>
          <w:lang w:val="bs-Latn-BA"/>
        </w:rPr>
        <w:t xml:space="preserve"> </w:t>
      </w:r>
      <w:r>
        <w:rPr>
          <w:rFonts w:ascii="Times New Roman" w:hAnsi="Times New Roman"/>
          <w:lang w:val="bs-Latn-BA"/>
        </w:rPr>
        <w:t>руралним</w:t>
      </w:r>
      <w:r w:rsidR="00D256F6" w:rsidRPr="00FF477A">
        <w:rPr>
          <w:rFonts w:ascii="Times New Roman" w:hAnsi="Times New Roman"/>
          <w:lang w:val="bs-Latn-BA"/>
        </w:rPr>
        <w:t xml:space="preserve"> </w:t>
      </w:r>
      <w:r>
        <w:rPr>
          <w:rFonts w:ascii="Times New Roman" w:hAnsi="Times New Roman"/>
          <w:lang w:val="bs-Latn-BA"/>
        </w:rPr>
        <w:t>срединама</w:t>
      </w:r>
      <w:r w:rsidR="00D256F6" w:rsidRPr="00FF477A">
        <w:rPr>
          <w:rFonts w:ascii="Times New Roman" w:hAnsi="Times New Roman"/>
          <w:lang w:val="bs-Latn-BA"/>
        </w:rPr>
        <w:t xml:space="preserve">, </w:t>
      </w:r>
      <w:r>
        <w:rPr>
          <w:rFonts w:ascii="Times New Roman" w:hAnsi="Times New Roman"/>
          <w:lang w:val="bs-Latn-BA"/>
        </w:rPr>
        <w:t>уз</w:t>
      </w:r>
      <w:r w:rsidR="00D256F6" w:rsidRPr="00FF477A">
        <w:rPr>
          <w:rFonts w:ascii="Times New Roman" w:hAnsi="Times New Roman"/>
          <w:lang w:val="bs-Latn-BA"/>
        </w:rPr>
        <w:t xml:space="preserve"> </w:t>
      </w:r>
      <w:r>
        <w:rPr>
          <w:rFonts w:ascii="Times New Roman" w:hAnsi="Times New Roman"/>
          <w:lang w:val="bs-Latn-BA"/>
        </w:rPr>
        <w:t>обуке</w:t>
      </w:r>
      <w:r w:rsidR="00D256F6" w:rsidRPr="00FF477A">
        <w:rPr>
          <w:rFonts w:ascii="Times New Roman" w:hAnsi="Times New Roman"/>
          <w:lang w:val="bs-Latn-BA"/>
        </w:rPr>
        <w:t xml:space="preserve"> </w:t>
      </w:r>
      <w:r>
        <w:rPr>
          <w:rFonts w:ascii="Times New Roman" w:hAnsi="Times New Roman"/>
          <w:lang w:val="bs-Latn-BA"/>
        </w:rPr>
        <w:t>о</w:t>
      </w:r>
      <w:r w:rsidR="00D256F6" w:rsidRPr="00FF477A">
        <w:rPr>
          <w:rFonts w:ascii="Times New Roman" w:hAnsi="Times New Roman"/>
          <w:lang w:val="bs-Latn-BA"/>
        </w:rPr>
        <w:t xml:space="preserve"> </w:t>
      </w:r>
      <w:r>
        <w:rPr>
          <w:rFonts w:ascii="Times New Roman" w:hAnsi="Times New Roman"/>
          <w:lang w:val="bs-Latn-BA"/>
        </w:rPr>
        <w:t>финансијском</w:t>
      </w:r>
      <w:r w:rsidR="00D256F6" w:rsidRPr="00FF477A">
        <w:rPr>
          <w:rFonts w:ascii="Times New Roman" w:hAnsi="Times New Roman"/>
          <w:lang w:val="bs-Latn-BA"/>
        </w:rPr>
        <w:t xml:space="preserve"> </w:t>
      </w:r>
      <w:r>
        <w:rPr>
          <w:rFonts w:ascii="Times New Roman" w:hAnsi="Times New Roman"/>
          <w:lang w:val="bs-Latn-BA"/>
        </w:rPr>
        <w:t>управљању</w:t>
      </w:r>
      <w:r w:rsidR="00D256F6" w:rsidRPr="00FF477A">
        <w:rPr>
          <w:rFonts w:ascii="Times New Roman" w:hAnsi="Times New Roman"/>
          <w:lang w:val="bs-Latn-BA"/>
        </w:rPr>
        <w:t xml:space="preserve">, </w:t>
      </w:r>
      <w:r>
        <w:rPr>
          <w:rFonts w:ascii="Times New Roman" w:hAnsi="Times New Roman"/>
          <w:lang w:val="bs-Latn-BA"/>
        </w:rPr>
        <w:t>маркетиншким</w:t>
      </w:r>
      <w:r w:rsidR="00D256F6" w:rsidRPr="00FF477A">
        <w:rPr>
          <w:rFonts w:ascii="Times New Roman" w:hAnsi="Times New Roman"/>
          <w:lang w:val="bs-Latn-BA"/>
        </w:rPr>
        <w:t xml:space="preserve"> </w:t>
      </w:r>
      <w:r>
        <w:rPr>
          <w:rFonts w:ascii="Times New Roman" w:hAnsi="Times New Roman"/>
          <w:lang w:val="bs-Latn-BA"/>
        </w:rPr>
        <w:t>стратегијама</w:t>
      </w:r>
      <w:r w:rsidR="00D256F6" w:rsidRPr="00FF477A">
        <w:rPr>
          <w:rFonts w:ascii="Times New Roman" w:hAnsi="Times New Roman"/>
          <w:lang w:val="bs-Latn-BA"/>
        </w:rPr>
        <w:t xml:space="preserve"> </w:t>
      </w:r>
      <w:r>
        <w:rPr>
          <w:rFonts w:ascii="Times New Roman" w:hAnsi="Times New Roman"/>
          <w:lang w:val="bs-Latn-BA"/>
        </w:rPr>
        <w:t>и</w:t>
      </w:r>
      <w:r w:rsidR="00D256F6" w:rsidRPr="00FF477A">
        <w:rPr>
          <w:rFonts w:ascii="Times New Roman" w:hAnsi="Times New Roman"/>
          <w:lang w:val="bs-Latn-BA"/>
        </w:rPr>
        <w:t xml:space="preserve"> </w:t>
      </w:r>
      <w:r>
        <w:rPr>
          <w:rFonts w:ascii="Times New Roman" w:hAnsi="Times New Roman"/>
          <w:lang w:val="bs-Latn-BA"/>
        </w:rPr>
        <w:t>одрживим</w:t>
      </w:r>
      <w:r w:rsidR="00D256F6" w:rsidRPr="00FF477A">
        <w:rPr>
          <w:rFonts w:ascii="Times New Roman" w:hAnsi="Times New Roman"/>
          <w:lang w:val="bs-Latn-BA"/>
        </w:rPr>
        <w:t xml:space="preserve"> </w:t>
      </w:r>
      <w:r>
        <w:rPr>
          <w:rFonts w:ascii="Times New Roman" w:hAnsi="Times New Roman"/>
          <w:lang w:val="bs-Latn-BA"/>
        </w:rPr>
        <w:t>пољопривредним</w:t>
      </w:r>
      <w:r w:rsidR="00D256F6" w:rsidRPr="00FF477A">
        <w:rPr>
          <w:rFonts w:ascii="Times New Roman" w:hAnsi="Times New Roman"/>
          <w:lang w:val="bs-Latn-BA"/>
        </w:rPr>
        <w:t xml:space="preserve"> </w:t>
      </w:r>
      <w:r>
        <w:rPr>
          <w:rFonts w:ascii="Times New Roman" w:hAnsi="Times New Roman"/>
          <w:lang w:val="bs-Latn-BA"/>
        </w:rPr>
        <w:t>праксама</w:t>
      </w:r>
      <w:r w:rsidR="00D256F6" w:rsidRPr="00FF477A">
        <w:rPr>
          <w:rFonts w:ascii="Times New Roman" w:hAnsi="Times New Roman"/>
          <w:lang w:val="bs-Latn-BA"/>
        </w:rPr>
        <w:t xml:space="preserve">. </w:t>
      </w:r>
      <w:r>
        <w:rPr>
          <w:rFonts w:ascii="Times New Roman" w:hAnsi="Times New Roman"/>
          <w:lang w:val="bs-Latn-BA"/>
        </w:rPr>
        <w:t>Дигитални</w:t>
      </w:r>
      <w:r w:rsidR="00D256F6" w:rsidRPr="00FF477A">
        <w:rPr>
          <w:rFonts w:ascii="Times New Roman" w:hAnsi="Times New Roman"/>
          <w:lang w:val="bs-Latn-BA"/>
        </w:rPr>
        <w:t xml:space="preserve"> </w:t>
      </w:r>
      <w:r>
        <w:rPr>
          <w:rFonts w:ascii="Times New Roman" w:hAnsi="Times New Roman"/>
          <w:lang w:val="bs-Latn-BA"/>
        </w:rPr>
        <w:t>алат</w:t>
      </w:r>
      <w:r w:rsidR="00D256F6" w:rsidRPr="00FF477A">
        <w:rPr>
          <w:rFonts w:ascii="Times New Roman" w:hAnsi="Times New Roman"/>
          <w:lang w:val="bs-Latn-BA"/>
        </w:rPr>
        <w:t xml:space="preserve"> </w:t>
      </w:r>
      <w:r>
        <w:rPr>
          <w:rFonts w:ascii="Times New Roman" w:hAnsi="Times New Roman"/>
          <w:lang w:val="bs-Latn-BA"/>
        </w:rPr>
        <w:t>за</w:t>
      </w:r>
      <w:r w:rsidR="00D256F6" w:rsidRPr="00FF477A">
        <w:rPr>
          <w:rFonts w:ascii="Times New Roman" w:hAnsi="Times New Roman"/>
          <w:lang w:val="bs-Latn-BA"/>
        </w:rPr>
        <w:t xml:space="preserve"> </w:t>
      </w:r>
      <w:r>
        <w:rPr>
          <w:rFonts w:ascii="Times New Roman" w:hAnsi="Times New Roman"/>
          <w:lang w:val="bs-Latn-BA"/>
        </w:rPr>
        <w:t>праћење</w:t>
      </w:r>
      <w:r w:rsidR="00D256F6" w:rsidRPr="00FF477A">
        <w:rPr>
          <w:rFonts w:ascii="Times New Roman" w:hAnsi="Times New Roman"/>
          <w:lang w:val="bs-Latn-BA"/>
        </w:rPr>
        <w:t xml:space="preserve"> </w:t>
      </w:r>
      <w:r>
        <w:rPr>
          <w:rFonts w:ascii="Times New Roman" w:hAnsi="Times New Roman"/>
          <w:lang w:val="bs-Latn-BA"/>
        </w:rPr>
        <w:t>субвенција</w:t>
      </w:r>
      <w:r w:rsidR="00D256F6" w:rsidRPr="00FF477A">
        <w:rPr>
          <w:rFonts w:ascii="Times New Roman" w:hAnsi="Times New Roman"/>
          <w:lang w:val="bs-Latn-BA"/>
        </w:rPr>
        <w:t xml:space="preserve"> </w:t>
      </w:r>
      <w:r>
        <w:rPr>
          <w:rFonts w:ascii="Times New Roman" w:hAnsi="Times New Roman"/>
          <w:lang w:val="bs-Latn-BA"/>
        </w:rPr>
        <w:t>и</w:t>
      </w:r>
      <w:r w:rsidR="00D256F6" w:rsidRPr="00FF477A">
        <w:rPr>
          <w:rFonts w:ascii="Times New Roman" w:hAnsi="Times New Roman"/>
          <w:lang w:val="bs-Latn-BA"/>
        </w:rPr>
        <w:t xml:space="preserve"> </w:t>
      </w:r>
      <w:r>
        <w:rPr>
          <w:rFonts w:ascii="Times New Roman" w:hAnsi="Times New Roman"/>
          <w:lang w:val="bs-Latn-BA"/>
        </w:rPr>
        <w:t>пријава</w:t>
      </w:r>
      <w:r w:rsidR="00D256F6" w:rsidRPr="00FF477A">
        <w:rPr>
          <w:rFonts w:ascii="Times New Roman" w:hAnsi="Times New Roman"/>
          <w:lang w:val="bs-Latn-BA"/>
        </w:rPr>
        <w:t xml:space="preserve"> </w:t>
      </w:r>
      <w:r>
        <w:rPr>
          <w:rFonts w:ascii="Times New Roman" w:hAnsi="Times New Roman"/>
          <w:lang w:val="bs-Latn-BA"/>
        </w:rPr>
        <w:t>додатно</w:t>
      </w:r>
      <w:r w:rsidR="00D256F6" w:rsidRPr="00FF477A">
        <w:rPr>
          <w:rFonts w:ascii="Times New Roman" w:hAnsi="Times New Roman"/>
          <w:lang w:val="bs-Latn-BA"/>
        </w:rPr>
        <w:t xml:space="preserve"> </w:t>
      </w:r>
      <w:r>
        <w:rPr>
          <w:rFonts w:ascii="Times New Roman" w:hAnsi="Times New Roman"/>
          <w:lang w:val="bs-Latn-BA"/>
        </w:rPr>
        <w:t>ће</w:t>
      </w:r>
      <w:r w:rsidR="00D256F6" w:rsidRPr="00FF477A">
        <w:rPr>
          <w:rFonts w:ascii="Times New Roman" w:hAnsi="Times New Roman"/>
          <w:lang w:val="bs-Latn-BA"/>
        </w:rPr>
        <w:t xml:space="preserve"> </w:t>
      </w:r>
      <w:r>
        <w:rPr>
          <w:rFonts w:ascii="Times New Roman" w:hAnsi="Times New Roman"/>
          <w:lang w:val="bs-Latn-BA"/>
        </w:rPr>
        <w:t>унаприједити</w:t>
      </w:r>
      <w:r w:rsidR="00D256F6" w:rsidRPr="00FF477A">
        <w:rPr>
          <w:rFonts w:ascii="Times New Roman" w:hAnsi="Times New Roman"/>
          <w:lang w:val="bs-Latn-BA"/>
        </w:rPr>
        <w:t xml:space="preserve"> </w:t>
      </w:r>
      <w:r>
        <w:rPr>
          <w:rFonts w:ascii="Times New Roman" w:hAnsi="Times New Roman"/>
          <w:lang w:val="bs-Latn-BA"/>
        </w:rPr>
        <w:t>транспарентност</w:t>
      </w:r>
      <w:r w:rsidR="00D256F6" w:rsidRPr="00FF477A">
        <w:rPr>
          <w:rFonts w:ascii="Times New Roman" w:hAnsi="Times New Roman"/>
          <w:lang w:val="bs-Latn-BA"/>
        </w:rPr>
        <w:t xml:space="preserve"> </w:t>
      </w:r>
      <w:r>
        <w:rPr>
          <w:rFonts w:ascii="Times New Roman" w:hAnsi="Times New Roman"/>
          <w:lang w:val="bs-Latn-BA"/>
        </w:rPr>
        <w:t>и</w:t>
      </w:r>
      <w:r w:rsidR="00D256F6" w:rsidRPr="00FF477A">
        <w:rPr>
          <w:rFonts w:ascii="Times New Roman" w:hAnsi="Times New Roman"/>
          <w:lang w:val="bs-Latn-BA"/>
        </w:rPr>
        <w:t xml:space="preserve"> </w:t>
      </w:r>
      <w:r>
        <w:rPr>
          <w:rFonts w:ascii="Times New Roman" w:hAnsi="Times New Roman"/>
          <w:lang w:val="bs-Latn-BA"/>
        </w:rPr>
        <w:t>ефикасност</w:t>
      </w:r>
      <w:r w:rsidR="00D256F6" w:rsidRPr="00FF477A">
        <w:rPr>
          <w:rFonts w:ascii="Times New Roman" w:hAnsi="Times New Roman"/>
          <w:lang w:val="bs-Latn-BA"/>
        </w:rPr>
        <w:t xml:space="preserve"> </w:t>
      </w:r>
      <w:r>
        <w:rPr>
          <w:rFonts w:ascii="Times New Roman" w:hAnsi="Times New Roman"/>
          <w:lang w:val="bs-Latn-BA"/>
        </w:rPr>
        <w:t>у</w:t>
      </w:r>
      <w:r w:rsidR="00D256F6" w:rsidRPr="00FF477A">
        <w:rPr>
          <w:rFonts w:ascii="Times New Roman" w:hAnsi="Times New Roman"/>
          <w:lang w:val="bs-Latn-BA"/>
        </w:rPr>
        <w:t xml:space="preserve"> </w:t>
      </w:r>
      <w:r>
        <w:rPr>
          <w:rFonts w:ascii="Times New Roman" w:hAnsi="Times New Roman"/>
          <w:lang w:val="bs-Latn-BA"/>
        </w:rPr>
        <w:t>додјели</w:t>
      </w:r>
      <w:r w:rsidR="00D256F6" w:rsidRPr="00FF477A">
        <w:rPr>
          <w:rFonts w:ascii="Times New Roman" w:hAnsi="Times New Roman"/>
          <w:lang w:val="bs-Latn-BA"/>
        </w:rPr>
        <w:t xml:space="preserve"> </w:t>
      </w:r>
      <w:r>
        <w:rPr>
          <w:rFonts w:ascii="Times New Roman" w:hAnsi="Times New Roman"/>
          <w:lang w:val="bs-Latn-BA"/>
        </w:rPr>
        <w:t>средстава</w:t>
      </w:r>
      <w:r w:rsidR="00D256F6" w:rsidRPr="00FF477A">
        <w:rPr>
          <w:rFonts w:ascii="Times New Roman" w:hAnsi="Times New Roman"/>
          <w:lang w:val="bs-Latn-BA"/>
        </w:rPr>
        <w:t xml:space="preserve">. </w:t>
      </w:r>
      <w:r>
        <w:rPr>
          <w:rFonts w:ascii="Times New Roman" w:hAnsi="Times New Roman"/>
          <w:lang w:val="bs-Latn-BA"/>
        </w:rPr>
        <w:t>Подаци</w:t>
      </w:r>
      <w:r w:rsidR="00D256F6" w:rsidRPr="00FF477A">
        <w:rPr>
          <w:rFonts w:ascii="Times New Roman" w:hAnsi="Times New Roman"/>
          <w:lang w:val="bs-Latn-BA"/>
        </w:rPr>
        <w:t xml:space="preserve"> </w:t>
      </w:r>
      <w:r>
        <w:rPr>
          <w:rFonts w:ascii="Times New Roman" w:hAnsi="Times New Roman"/>
          <w:lang w:val="bs-Latn-BA"/>
        </w:rPr>
        <w:t>о</w:t>
      </w:r>
      <w:r w:rsidR="00D256F6" w:rsidRPr="00FF477A">
        <w:rPr>
          <w:rFonts w:ascii="Times New Roman" w:hAnsi="Times New Roman"/>
          <w:lang w:val="bs-Latn-BA"/>
        </w:rPr>
        <w:t xml:space="preserve"> </w:t>
      </w:r>
      <w:r>
        <w:rPr>
          <w:rFonts w:ascii="Times New Roman" w:hAnsi="Times New Roman"/>
          <w:lang w:val="bs-Latn-BA"/>
        </w:rPr>
        <w:t>додијељеним</w:t>
      </w:r>
      <w:r w:rsidR="00D256F6" w:rsidRPr="00FF477A">
        <w:rPr>
          <w:rFonts w:ascii="Times New Roman" w:hAnsi="Times New Roman"/>
          <w:lang w:val="bs-Latn-BA"/>
        </w:rPr>
        <w:t xml:space="preserve"> </w:t>
      </w:r>
      <w:r>
        <w:rPr>
          <w:rFonts w:ascii="Times New Roman" w:hAnsi="Times New Roman"/>
          <w:lang w:val="bs-Latn-BA"/>
        </w:rPr>
        <w:t>подстицајима</w:t>
      </w:r>
      <w:r w:rsidR="00D256F6" w:rsidRPr="00FF477A">
        <w:rPr>
          <w:rFonts w:ascii="Times New Roman" w:hAnsi="Times New Roman"/>
          <w:lang w:val="bs-Latn-BA"/>
        </w:rPr>
        <w:t xml:space="preserve"> </w:t>
      </w:r>
      <w:r>
        <w:rPr>
          <w:rFonts w:ascii="Times New Roman" w:hAnsi="Times New Roman"/>
          <w:lang w:val="bs-Latn-BA"/>
        </w:rPr>
        <w:t>показују</w:t>
      </w:r>
      <w:r w:rsidR="00D256F6" w:rsidRPr="00FF477A">
        <w:rPr>
          <w:rFonts w:ascii="Times New Roman" w:hAnsi="Times New Roman"/>
          <w:lang w:val="bs-Latn-BA"/>
        </w:rPr>
        <w:t xml:space="preserve"> </w:t>
      </w:r>
      <w:r>
        <w:rPr>
          <w:rFonts w:ascii="Times New Roman" w:hAnsi="Times New Roman"/>
          <w:lang w:val="bs-Latn-BA"/>
        </w:rPr>
        <w:t>да</w:t>
      </w:r>
      <w:r w:rsidR="00D256F6" w:rsidRPr="00FF477A">
        <w:rPr>
          <w:rFonts w:ascii="Times New Roman" w:hAnsi="Times New Roman"/>
          <w:lang w:val="bs-Latn-BA"/>
        </w:rPr>
        <w:t xml:space="preserve"> </w:t>
      </w:r>
      <w:r>
        <w:rPr>
          <w:rFonts w:ascii="Times New Roman" w:hAnsi="Times New Roman"/>
          <w:lang w:val="bs-Latn-BA"/>
        </w:rPr>
        <w:t>су</w:t>
      </w:r>
      <w:r w:rsidR="00D256F6" w:rsidRPr="00FF477A">
        <w:rPr>
          <w:rFonts w:ascii="Times New Roman" w:hAnsi="Times New Roman"/>
          <w:lang w:val="bs-Latn-BA"/>
        </w:rPr>
        <w:t xml:space="preserve"> </w:t>
      </w:r>
      <w:r>
        <w:rPr>
          <w:rFonts w:ascii="Times New Roman" w:hAnsi="Times New Roman"/>
          <w:lang w:val="bs-Latn-BA"/>
        </w:rPr>
        <w:t>жене</w:t>
      </w:r>
      <w:r w:rsidR="00D256F6" w:rsidRPr="00FF477A">
        <w:rPr>
          <w:rFonts w:ascii="Times New Roman" w:hAnsi="Times New Roman"/>
          <w:lang w:val="bs-Latn-BA"/>
        </w:rPr>
        <w:t xml:space="preserve"> </w:t>
      </w:r>
      <w:r>
        <w:rPr>
          <w:rFonts w:ascii="Times New Roman" w:hAnsi="Times New Roman"/>
          <w:lang w:val="bs-Latn-BA"/>
        </w:rPr>
        <w:t>оствариле</w:t>
      </w:r>
      <w:r w:rsidR="00D256F6" w:rsidRPr="00FF477A">
        <w:rPr>
          <w:rFonts w:ascii="Times New Roman" w:hAnsi="Times New Roman"/>
          <w:lang w:val="bs-Latn-BA"/>
        </w:rPr>
        <w:t xml:space="preserve"> 19,07% </w:t>
      </w:r>
      <w:r>
        <w:rPr>
          <w:rFonts w:ascii="Times New Roman" w:hAnsi="Times New Roman"/>
          <w:lang w:val="bs-Latn-BA"/>
        </w:rPr>
        <w:t>укупних</w:t>
      </w:r>
      <w:r w:rsidR="00D256F6" w:rsidRPr="00FF477A">
        <w:rPr>
          <w:rFonts w:ascii="Times New Roman" w:hAnsi="Times New Roman"/>
          <w:lang w:val="bs-Latn-BA"/>
        </w:rPr>
        <w:t xml:space="preserve"> </w:t>
      </w:r>
      <w:r>
        <w:rPr>
          <w:rFonts w:ascii="Times New Roman" w:hAnsi="Times New Roman"/>
          <w:lang w:val="bs-Latn-BA"/>
        </w:rPr>
        <w:t>субвенција</w:t>
      </w:r>
      <w:r w:rsidR="00D256F6" w:rsidRPr="00FF477A">
        <w:rPr>
          <w:rFonts w:ascii="Times New Roman" w:hAnsi="Times New Roman"/>
          <w:lang w:val="bs-Latn-BA"/>
        </w:rPr>
        <w:t xml:space="preserve">, </w:t>
      </w:r>
      <w:r>
        <w:rPr>
          <w:rFonts w:ascii="Times New Roman" w:hAnsi="Times New Roman"/>
          <w:lang w:val="bs-Latn-BA"/>
        </w:rPr>
        <w:t>док</w:t>
      </w:r>
      <w:r w:rsidR="00D256F6" w:rsidRPr="00FF477A">
        <w:rPr>
          <w:rFonts w:ascii="Times New Roman" w:hAnsi="Times New Roman"/>
          <w:lang w:val="bs-Latn-BA"/>
        </w:rPr>
        <w:t xml:space="preserve"> </w:t>
      </w:r>
      <w:r>
        <w:rPr>
          <w:rFonts w:ascii="Times New Roman" w:hAnsi="Times New Roman"/>
          <w:lang w:val="bs-Latn-BA"/>
        </w:rPr>
        <w:t>су</w:t>
      </w:r>
      <w:r w:rsidR="00D256F6" w:rsidRPr="00FF477A">
        <w:rPr>
          <w:rFonts w:ascii="Times New Roman" w:hAnsi="Times New Roman"/>
          <w:lang w:val="bs-Latn-BA"/>
        </w:rPr>
        <w:t xml:space="preserve"> </w:t>
      </w:r>
      <w:r>
        <w:rPr>
          <w:rFonts w:ascii="Times New Roman" w:hAnsi="Times New Roman"/>
          <w:lang w:val="bs-Latn-BA"/>
        </w:rPr>
        <w:t>мушкарци</w:t>
      </w:r>
      <w:r w:rsidR="00D256F6" w:rsidRPr="00FF477A">
        <w:rPr>
          <w:rFonts w:ascii="Times New Roman" w:hAnsi="Times New Roman"/>
          <w:lang w:val="bs-Latn-BA"/>
        </w:rPr>
        <w:t xml:space="preserve"> </w:t>
      </w:r>
      <w:r>
        <w:rPr>
          <w:rFonts w:ascii="Times New Roman" w:hAnsi="Times New Roman"/>
          <w:lang w:val="bs-Latn-BA"/>
        </w:rPr>
        <w:t>примили</w:t>
      </w:r>
      <w:r w:rsidR="00D256F6" w:rsidRPr="00FF477A">
        <w:rPr>
          <w:rFonts w:ascii="Times New Roman" w:hAnsi="Times New Roman"/>
          <w:lang w:val="bs-Latn-BA"/>
        </w:rPr>
        <w:t xml:space="preserve"> 80,93%. </w:t>
      </w:r>
      <w:r>
        <w:rPr>
          <w:rFonts w:ascii="Times New Roman" w:hAnsi="Times New Roman"/>
          <w:lang w:val="bs-Latn-BA"/>
        </w:rPr>
        <w:t>Очекује</w:t>
      </w:r>
      <w:r w:rsidR="00D256F6" w:rsidRPr="00FF477A">
        <w:rPr>
          <w:rFonts w:ascii="Times New Roman" w:hAnsi="Times New Roman"/>
          <w:lang w:val="bs-Latn-BA"/>
        </w:rPr>
        <w:t xml:space="preserve"> </w:t>
      </w:r>
      <w:r>
        <w:rPr>
          <w:rFonts w:ascii="Times New Roman" w:hAnsi="Times New Roman"/>
          <w:lang w:val="bs-Latn-BA"/>
        </w:rPr>
        <w:t>се</w:t>
      </w:r>
      <w:r w:rsidR="00D256F6" w:rsidRPr="00FF477A">
        <w:rPr>
          <w:rFonts w:ascii="Times New Roman" w:hAnsi="Times New Roman"/>
          <w:lang w:val="bs-Latn-BA"/>
        </w:rPr>
        <w:t xml:space="preserve"> </w:t>
      </w:r>
      <w:r>
        <w:rPr>
          <w:rFonts w:ascii="Times New Roman" w:hAnsi="Times New Roman"/>
          <w:lang w:val="bs-Latn-BA"/>
        </w:rPr>
        <w:t>да</w:t>
      </w:r>
      <w:r w:rsidR="00D256F6" w:rsidRPr="00FF477A">
        <w:rPr>
          <w:rFonts w:ascii="Times New Roman" w:hAnsi="Times New Roman"/>
          <w:lang w:val="bs-Latn-BA"/>
        </w:rPr>
        <w:t xml:space="preserve"> </w:t>
      </w:r>
      <w:r>
        <w:rPr>
          <w:rFonts w:ascii="Times New Roman" w:hAnsi="Times New Roman"/>
          <w:lang w:val="bs-Latn-BA"/>
        </w:rPr>
        <w:t>ће</w:t>
      </w:r>
      <w:r w:rsidR="00D256F6" w:rsidRPr="00FF477A">
        <w:rPr>
          <w:rFonts w:ascii="Times New Roman" w:hAnsi="Times New Roman"/>
          <w:lang w:val="bs-Latn-BA"/>
        </w:rPr>
        <w:t xml:space="preserve"> </w:t>
      </w:r>
      <w:r>
        <w:rPr>
          <w:rFonts w:ascii="Times New Roman" w:hAnsi="Times New Roman"/>
          <w:lang w:val="bs-Latn-BA"/>
        </w:rPr>
        <w:t>ове</w:t>
      </w:r>
      <w:r w:rsidR="00D256F6" w:rsidRPr="00FF477A">
        <w:rPr>
          <w:rFonts w:ascii="Times New Roman" w:hAnsi="Times New Roman"/>
          <w:lang w:val="bs-Latn-BA"/>
        </w:rPr>
        <w:t xml:space="preserve"> </w:t>
      </w:r>
      <w:r>
        <w:rPr>
          <w:rFonts w:ascii="Times New Roman" w:hAnsi="Times New Roman"/>
          <w:lang w:val="bs-Latn-BA"/>
        </w:rPr>
        <w:t>мјере</w:t>
      </w:r>
      <w:r w:rsidR="00D256F6" w:rsidRPr="00FF477A">
        <w:rPr>
          <w:rFonts w:ascii="Times New Roman" w:hAnsi="Times New Roman"/>
          <w:lang w:val="bs-Latn-BA"/>
        </w:rPr>
        <w:t xml:space="preserve"> </w:t>
      </w:r>
      <w:r>
        <w:rPr>
          <w:rFonts w:ascii="Times New Roman" w:hAnsi="Times New Roman"/>
          <w:lang w:val="bs-Latn-BA"/>
        </w:rPr>
        <w:t>дугорочно</w:t>
      </w:r>
      <w:r w:rsidR="00D256F6" w:rsidRPr="00FF477A">
        <w:rPr>
          <w:rFonts w:ascii="Times New Roman" w:hAnsi="Times New Roman"/>
          <w:lang w:val="bs-Latn-BA"/>
        </w:rPr>
        <w:t xml:space="preserve"> </w:t>
      </w:r>
      <w:r>
        <w:rPr>
          <w:rFonts w:ascii="Times New Roman" w:hAnsi="Times New Roman"/>
          <w:lang w:val="bs-Latn-BA"/>
        </w:rPr>
        <w:t>допринијети</w:t>
      </w:r>
      <w:r w:rsidR="00D256F6" w:rsidRPr="00FF477A">
        <w:rPr>
          <w:rFonts w:ascii="Times New Roman" w:hAnsi="Times New Roman"/>
          <w:lang w:val="bs-Latn-BA"/>
        </w:rPr>
        <w:t xml:space="preserve"> </w:t>
      </w:r>
      <w:r>
        <w:rPr>
          <w:rFonts w:ascii="Times New Roman" w:hAnsi="Times New Roman"/>
          <w:lang w:val="bs-Latn-BA"/>
        </w:rPr>
        <w:t>већем</w:t>
      </w:r>
      <w:r w:rsidR="00D256F6" w:rsidRPr="00FF477A">
        <w:rPr>
          <w:rFonts w:ascii="Times New Roman" w:hAnsi="Times New Roman"/>
          <w:lang w:val="bs-Latn-BA"/>
        </w:rPr>
        <w:t xml:space="preserve"> </w:t>
      </w:r>
      <w:r>
        <w:rPr>
          <w:rFonts w:ascii="Times New Roman" w:hAnsi="Times New Roman"/>
          <w:lang w:val="bs-Latn-BA"/>
        </w:rPr>
        <w:t>укључивању</w:t>
      </w:r>
      <w:r w:rsidR="00D256F6" w:rsidRPr="00FF477A">
        <w:rPr>
          <w:rFonts w:ascii="Times New Roman" w:hAnsi="Times New Roman"/>
          <w:lang w:val="bs-Latn-BA"/>
        </w:rPr>
        <w:t xml:space="preserve"> </w:t>
      </w:r>
      <w:r>
        <w:rPr>
          <w:rFonts w:ascii="Times New Roman" w:hAnsi="Times New Roman"/>
          <w:lang w:val="bs-Latn-BA"/>
        </w:rPr>
        <w:t>жена</w:t>
      </w:r>
      <w:r w:rsidR="00D256F6" w:rsidRPr="00FF477A">
        <w:rPr>
          <w:rFonts w:ascii="Times New Roman" w:hAnsi="Times New Roman"/>
          <w:lang w:val="bs-Latn-BA"/>
        </w:rPr>
        <w:t xml:space="preserve"> </w:t>
      </w:r>
      <w:r>
        <w:rPr>
          <w:rFonts w:ascii="Times New Roman" w:hAnsi="Times New Roman"/>
          <w:lang w:val="bs-Latn-BA"/>
        </w:rPr>
        <w:t>у</w:t>
      </w:r>
      <w:r w:rsidR="00D256F6" w:rsidRPr="00FF477A">
        <w:rPr>
          <w:rFonts w:ascii="Times New Roman" w:hAnsi="Times New Roman"/>
          <w:lang w:val="bs-Latn-BA"/>
        </w:rPr>
        <w:t xml:space="preserve"> </w:t>
      </w:r>
      <w:r>
        <w:rPr>
          <w:rFonts w:ascii="Times New Roman" w:hAnsi="Times New Roman"/>
          <w:lang w:val="bs-Latn-BA"/>
        </w:rPr>
        <w:t>пољопривреду</w:t>
      </w:r>
      <w:r w:rsidR="00D256F6" w:rsidRPr="00FF477A">
        <w:rPr>
          <w:rFonts w:ascii="Times New Roman" w:hAnsi="Times New Roman"/>
          <w:lang w:val="bs-Latn-BA"/>
        </w:rPr>
        <w:t xml:space="preserve"> </w:t>
      </w:r>
      <w:r>
        <w:rPr>
          <w:rFonts w:ascii="Times New Roman" w:hAnsi="Times New Roman"/>
          <w:lang w:val="bs-Latn-BA"/>
        </w:rPr>
        <w:t>и</w:t>
      </w:r>
      <w:r w:rsidR="00D256F6" w:rsidRPr="00FF477A">
        <w:rPr>
          <w:rFonts w:ascii="Times New Roman" w:hAnsi="Times New Roman"/>
          <w:lang w:val="bs-Latn-BA"/>
        </w:rPr>
        <w:t xml:space="preserve"> </w:t>
      </w:r>
      <w:r>
        <w:rPr>
          <w:rFonts w:ascii="Times New Roman" w:hAnsi="Times New Roman"/>
          <w:lang w:val="bs-Latn-BA"/>
        </w:rPr>
        <w:t>смањењу</w:t>
      </w:r>
      <w:r w:rsidR="00D256F6" w:rsidRPr="00FF477A">
        <w:rPr>
          <w:rFonts w:ascii="Times New Roman" w:hAnsi="Times New Roman"/>
          <w:lang w:val="bs-Latn-BA"/>
        </w:rPr>
        <w:t xml:space="preserve"> </w:t>
      </w:r>
      <w:r>
        <w:rPr>
          <w:rFonts w:ascii="Times New Roman" w:hAnsi="Times New Roman"/>
          <w:lang w:val="bs-Latn-BA"/>
        </w:rPr>
        <w:t>економских</w:t>
      </w:r>
      <w:r w:rsidR="00D256F6" w:rsidRPr="00FF477A">
        <w:rPr>
          <w:rFonts w:ascii="Times New Roman" w:hAnsi="Times New Roman"/>
          <w:lang w:val="bs-Latn-BA"/>
        </w:rPr>
        <w:t xml:space="preserve"> </w:t>
      </w:r>
      <w:r>
        <w:rPr>
          <w:rFonts w:ascii="Times New Roman" w:hAnsi="Times New Roman"/>
          <w:lang w:val="bs-Latn-BA"/>
        </w:rPr>
        <w:t>разлика</w:t>
      </w:r>
      <w:r w:rsidR="00D256F6" w:rsidRPr="00FF477A">
        <w:rPr>
          <w:rFonts w:ascii="Times New Roman" w:hAnsi="Times New Roman"/>
          <w:lang w:val="bs-Latn-BA"/>
        </w:rPr>
        <w:t>.</w:t>
      </w:r>
    </w:p>
    <w:p w:rsidR="008D56A8" w:rsidRPr="00295637" w:rsidRDefault="008D56A8" w:rsidP="0086268D">
      <w:pPr>
        <w:pStyle w:val="NormalWeb"/>
        <w:spacing w:before="0" w:beforeAutospacing="0" w:after="0" w:afterAutospacing="0"/>
        <w:jc w:val="both"/>
        <w:rPr>
          <w:lang w:val="bs-Latn-BA"/>
        </w:rPr>
      </w:pPr>
    </w:p>
    <w:p w:rsidR="00A92736" w:rsidRPr="00295637" w:rsidRDefault="00C6214E" w:rsidP="00477C5C">
      <w:pPr>
        <w:pStyle w:val="NormalWeb"/>
        <w:spacing w:before="0" w:beforeAutospacing="0" w:after="0" w:afterAutospacing="0"/>
        <w:jc w:val="both"/>
        <w:rPr>
          <w:lang w:val="bs-Latn-BA"/>
        </w:rPr>
      </w:pPr>
      <w:r>
        <w:rPr>
          <w:lang w:val="bs-Latn-BA"/>
        </w:rPr>
        <w:t>Програми</w:t>
      </w:r>
      <w:r w:rsidR="00D256F6" w:rsidRPr="00295637">
        <w:rPr>
          <w:lang w:val="bs-Latn-BA"/>
        </w:rPr>
        <w:t xml:space="preserve"> </w:t>
      </w:r>
      <w:r>
        <w:rPr>
          <w:lang w:val="bs-Latn-BA"/>
        </w:rPr>
        <w:t>подршке</w:t>
      </w:r>
      <w:r w:rsidR="00D256F6" w:rsidRPr="00295637">
        <w:rPr>
          <w:lang w:val="bs-Latn-BA"/>
        </w:rPr>
        <w:t xml:space="preserve"> </w:t>
      </w:r>
      <w:r>
        <w:rPr>
          <w:lang w:val="bs-Latn-BA"/>
        </w:rPr>
        <w:t>развоју</w:t>
      </w:r>
      <w:r w:rsidR="00D256F6" w:rsidRPr="00295637">
        <w:rPr>
          <w:lang w:val="bs-Latn-BA"/>
        </w:rPr>
        <w:t xml:space="preserve"> </w:t>
      </w:r>
      <w:r>
        <w:rPr>
          <w:lang w:val="bs-Latn-BA"/>
        </w:rPr>
        <w:t>туризма</w:t>
      </w:r>
      <w:r w:rsidR="00D256F6" w:rsidRPr="00295637">
        <w:rPr>
          <w:lang w:val="bs-Latn-BA"/>
        </w:rPr>
        <w:t xml:space="preserve"> </w:t>
      </w:r>
      <w:r>
        <w:rPr>
          <w:lang w:val="bs-Latn-BA"/>
        </w:rPr>
        <w:t>у</w:t>
      </w:r>
      <w:r w:rsidR="00D256F6" w:rsidRPr="00295637">
        <w:rPr>
          <w:lang w:val="bs-Latn-BA"/>
        </w:rPr>
        <w:t xml:space="preserve"> </w:t>
      </w:r>
      <w:r>
        <w:rPr>
          <w:lang w:val="bs-Latn-BA"/>
        </w:rPr>
        <w:t>руралним</w:t>
      </w:r>
      <w:r w:rsidR="00D256F6" w:rsidRPr="00295637">
        <w:rPr>
          <w:lang w:val="bs-Latn-BA"/>
        </w:rPr>
        <w:t xml:space="preserve"> </w:t>
      </w:r>
      <w:r>
        <w:rPr>
          <w:lang w:val="bs-Latn-BA"/>
        </w:rPr>
        <w:t>областима</w:t>
      </w:r>
      <w:r w:rsidR="00D256F6" w:rsidRPr="00295637">
        <w:rPr>
          <w:lang w:val="bs-Latn-BA"/>
        </w:rPr>
        <w:t xml:space="preserve">, </w:t>
      </w:r>
      <w:r>
        <w:rPr>
          <w:lang w:val="bs-Latn-BA"/>
        </w:rPr>
        <w:t>које</w:t>
      </w:r>
      <w:r w:rsidR="00D256F6" w:rsidRPr="00295637">
        <w:rPr>
          <w:lang w:val="bs-Latn-BA"/>
        </w:rPr>
        <w:t xml:space="preserve"> </w:t>
      </w:r>
      <w:r w:rsidR="00F82DDB">
        <w:rPr>
          <w:lang w:val="sr-Cyrl-BA"/>
        </w:rPr>
        <w:t>спроводи</w:t>
      </w:r>
      <w:r w:rsidR="00D256F6" w:rsidRPr="00295637">
        <w:rPr>
          <w:lang w:val="bs-Latn-BA"/>
        </w:rPr>
        <w:t xml:space="preserve"> </w:t>
      </w:r>
      <w:r>
        <w:rPr>
          <w:lang w:val="bs-Latn-BA"/>
        </w:rPr>
        <w:t>ФМОИТ</w:t>
      </w:r>
      <w:r w:rsidR="00D256F6" w:rsidRPr="00295637">
        <w:rPr>
          <w:lang w:val="bs-Latn-BA"/>
        </w:rPr>
        <w:t xml:space="preserve">, </w:t>
      </w:r>
      <w:r>
        <w:rPr>
          <w:lang w:val="bs-Latn-BA"/>
        </w:rPr>
        <w:t>представљају</w:t>
      </w:r>
      <w:r w:rsidR="00D256F6" w:rsidRPr="00295637">
        <w:rPr>
          <w:lang w:val="bs-Latn-BA"/>
        </w:rPr>
        <w:t xml:space="preserve"> </w:t>
      </w:r>
      <w:r>
        <w:rPr>
          <w:lang w:val="bs-Latn-BA"/>
        </w:rPr>
        <w:t>значајан</w:t>
      </w:r>
      <w:r w:rsidR="00D256F6" w:rsidRPr="00295637">
        <w:rPr>
          <w:lang w:val="bs-Latn-BA"/>
        </w:rPr>
        <w:t xml:space="preserve"> </w:t>
      </w:r>
      <w:r>
        <w:rPr>
          <w:lang w:val="bs-Latn-BA"/>
        </w:rPr>
        <w:t>корак</w:t>
      </w:r>
      <w:r w:rsidR="005C6533" w:rsidRPr="00295637">
        <w:rPr>
          <w:lang w:val="bs-Latn-BA"/>
        </w:rPr>
        <w:t xml:space="preserve"> </w:t>
      </w:r>
      <w:r>
        <w:rPr>
          <w:lang w:val="bs-Latn-BA"/>
        </w:rPr>
        <w:t>у</w:t>
      </w:r>
      <w:r w:rsidR="005C6533" w:rsidRPr="00295637">
        <w:rPr>
          <w:lang w:val="bs-Latn-BA"/>
        </w:rPr>
        <w:t xml:space="preserve"> </w:t>
      </w:r>
      <w:r>
        <w:rPr>
          <w:lang w:val="bs-Latn-BA"/>
        </w:rPr>
        <w:t>погледу</w:t>
      </w:r>
      <w:r w:rsidR="005C6533" w:rsidRPr="00295637">
        <w:rPr>
          <w:lang w:val="bs-Latn-BA"/>
        </w:rPr>
        <w:t xml:space="preserve"> </w:t>
      </w:r>
      <w:r>
        <w:rPr>
          <w:lang w:val="bs-Latn-BA"/>
        </w:rPr>
        <w:t>равноправности</w:t>
      </w:r>
      <w:r w:rsidR="005C6533" w:rsidRPr="00295637">
        <w:rPr>
          <w:lang w:val="bs-Latn-BA"/>
        </w:rPr>
        <w:t xml:space="preserve"> </w:t>
      </w:r>
      <w:r>
        <w:rPr>
          <w:lang w:val="bs-Latn-BA"/>
        </w:rPr>
        <w:t>полова</w:t>
      </w:r>
      <w:r w:rsidR="00D256F6" w:rsidRPr="00295637">
        <w:rPr>
          <w:lang w:val="bs-Latn-BA"/>
        </w:rPr>
        <w:t xml:space="preserve"> </w:t>
      </w:r>
      <w:r>
        <w:rPr>
          <w:lang w:val="bs-Latn-BA"/>
        </w:rPr>
        <w:t>у</w:t>
      </w:r>
      <w:r w:rsidR="00D256F6" w:rsidRPr="00295637">
        <w:rPr>
          <w:lang w:val="bs-Latn-BA"/>
        </w:rPr>
        <w:t xml:space="preserve"> </w:t>
      </w:r>
      <w:r>
        <w:rPr>
          <w:lang w:val="bs-Latn-BA"/>
        </w:rPr>
        <w:t>области</w:t>
      </w:r>
      <w:r w:rsidR="00D256F6" w:rsidRPr="00295637">
        <w:rPr>
          <w:lang w:val="bs-Latn-BA"/>
        </w:rPr>
        <w:t xml:space="preserve"> </w:t>
      </w:r>
      <w:r>
        <w:rPr>
          <w:lang w:val="bs-Latn-BA"/>
        </w:rPr>
        <w:t>рада</w:t>
      </w:r>
      <w:r w:rsidR="00D256F6" w:rsidRPr="00295637">
        <w:rPr>
          <w:lang w:val="bs-Latn-BA"/>
        </w:rPr>
        <w:t xml:space="preserve">, </w:t>
      </w:r>
      <w:r>
        <w:rPr>
          <w:lang w:val="bs-Latn-BA"/>
        </w:rPr>
        <w:t>запошљавања</w:t>
      </w:r>
      <w:r w:rsidR="00D256F6" w:rsidRPr="00295637">
        <w:rPr>
          <w:lang w:val="bs-Latn-BA"/>
        </w:rPr>
        <w:t xml:space="preserve"> </w:t>
      </w:r>
      <w:r>
        <w:rPr>
          <w:lang w:val="bs-Latn-BA"/>
        </w:rPr>
        <w:t>и</w:t>
      </w:r>
      <w:r w:rsidR="00D256F6" w:rsidRPr="00295637">
        <w:rPr>
          <w:lang w:val="bs-Latn-BA"/>
        </w:rPr>
        <w:t xml:space="preserve"> </w:t>
      </w:r>
      <w:r>
        <w:rPr>
          <w:lang w:val="bs-Latn-BA"/>
        </w:rPr>
        <w:t>приступа</w:t>
      </w:r>
      <w:r w:rsidR="00D256F6" w:rsidRPr="00295637">
        <w:rPr>
          <w:lang w:val="bs-Latn-BA"/>
        </w:rPr>
        <w:t xml:space="preserve"> </w:t>
      </w:r>
      <w:r>
        <w:rPr>
          <w:lang w:val="bs-Latn-BA"/>
        </w:rPr>
        <w:t>економским</w:t>
      </w:r>
      <w:r w:rsidR="00D256F6" w:rsidRPr="00295637">
        <w:rPr>
          <w:lang w:val="bs-Latn-BA"/>
        </w:rPr>
        <w:t xml:space="preserve"> </w:t>
      </w:r>
      <w:r>
        <w:rPr>
          <w:lang w:val="bs-Latn-BA"/>
        </w:rPr>
        <w:t>ресурсима</w:t>
      </w:r>
      <w:r w:rsidR="00D256F6" w:rsidRPr="00295637">
        <w:rPr>
          <w:lang w:val="bs-Latn-BA"/>
        </w:rPr>
        <w:t xml:space="preserve">. </w:t>
      </w:r>
      <w:r>
        <w:rPr>
          <w:lang w:val="bs-Latn-BA"/>
        </w:rPr>
        <w:t>Посебно</w:t>
      </w:r>
      <w:r w:rsidR="00D256F6" w:rsidRPr="00295637">
        <w:rPr>
          <w:lang w:val="bs-Latn-BA"/>
        </w:rPr>
        <w:t xml:space="preserve"> </w:t>
      </w:r>
      <w:r>
        <w:rPr>
          <w:lang w:val="bs-Latn-BA"/>
        </w:rPr>
        <w:t>су</w:t>
      </w:r>
      <w:r w:rsidR="00D256F6" w:rsidRPr="00295637">
        <w:rPr>
          <w:lang w:val="bs-Latn-BA"/>
        </w:rPr>
        <w:t xml:space="preserve"> </w:t>
      </w:r>
      <w:r>
        <w:rPr>
          <w:lang w:val="bs-Latn-BA"/>
        </w:rPr>
        <w:t>осмишљени</w:t>
      </w:r>
      <w:r w:rsidR="00D256F6" w:rsidRPr="00295637">
        <w:rPr>
          <w:lang w:val="bs-Latn-BA"/>
        </w:rPr>
        <w:t xml:space="preserve"> </w:t>
      </w:r>
      <w:r>
        <w:rPr>
          <w:lang w:val="bs-Latn-BA"/>
        </w:rPr>
        <w:t>да</w:t>
      </w:r>
      <w:r w:rsidR="00D256F6" w:rsidRPr="00295637">
        <w:rPr>
          <w:lang w:val="bs-Latn-BA"/>
        </w:rPr>
        <w:t xml:space="preserve"> </w:t>
      </w:r>
      <w:r>
        <w:rPr>
          <w:lang w:val="bs-Latn-BA"/>
        </w:rPr>
        <w:t>подрже</w:t>
      </w:r>
      <w:r w:rsidR="00D256F6" w:rsidRPr="00295637">
        <w:rPr>
          <w:lang w:val="bs-Latn-BA"/>
        </w:rPr>
        <w:t xml:space="preserve"> </w:t>
      </w:r>
      <w:r>
        <w:rPr>
          <w:lang w:val="bs-Latn-BA"/>
        </w:rPr>
        <w:t>жене</w:t>
      </w:r>
      <w:r w:rsidR="00D256F6" w:rsidRPr="00295637">
        <w:rPr>
          <w:lang w:val="bs-Latn-BA"/>
        </w:rPr>
        <w:t xml:space="preserve"> </w:t>
      </w:r>
      <w:r>
        <w:rPr>
          <w:lang w:val="bs-Latn-BA"/>
        </w:rPr>
        <w:t>и</w:t>
      </w:r>
      <w:r w:rsidR="00D256F6" w:rsidRPr="00295637">
        <w:rPr>
          <w:lang w:val="bs-Latn-BA"/>
        </w:rPr>
        <w:t xml:space="preserve"> </w:t>
      </w:r>
      <w:r>
        <w:rPr>
          <w:lang w:val="bs-Latn-BA"/>
        </w:rPr>
        <w:t>младе</w:t>
      </w:r>
      <w:r w:rsidR="00D256F6" w:rsidRPr="00295637">
        <w:rPr>
          <w:lang w:val="bs-Latn-BA"/>
        </w:rPr>
        <w:t xml:space="preserve"> </w:t>
      </w:r>
      <w:r>
        <w:rPr>
          <w:lang w:val="bs-Latn-BA"/>
        </w:rPr>
        <w:t>до</w:t>
      </w:r>
      <w:r w:rsidR="00D256F6" w:rsidRPr="00295637">
        <w:rPr>
          <w:lang w:val="bs-Latn-BA"/>
        </w:rPr>
        <w:t xml:space="preserve"> 30 </w:t>
      </w:r>
      <w:r>
        <w:rPr>
          <w:lang w:val="bs-Latn-BA"/>
        </w:rPr>
        <w:t>година</w:t>
      </w:r>
      <w:r w:rsidR="00D256F6" w:rsidRPr="00295637">
        <w:rPr>
          <w:lang w:val="bs-Latn-BA"/>
        </w:rPr>
        <w:t xml:space="preserve"> </w:t>
      </w:r>
      <w:r>
        <w:rPr>
          <w:lang w:val="bs-Latn-BA"/>
        </w:rPr>
        <w:t>као</w:t>
      </w:r>
      <w:r w:rsidR="00D256F6" w:rsidRPr="00295637">
        <w:rPr>
          <w:lang w:val="bs-Latn-BA"/>
        </w:rPr>
        <w:t xml:space="preserve"> </w:t>
      </w:r>
      <w:r>
        <w:rPr>
          <w:lang w:val="bs-Latn-BA"/>
        </w:rPr>
        <w:t>носиоце</w:t>
      </w:r>
      <w:r w:rsidR="00D256F6" w:rsidRPr="00295637">
        <w:rPr>
          <w:lang w:val="bs-Latn-BA"/>
        </w:rPr>
        <w:t xml:space="preserve"> </w:t>
      </w:r>
      <w:r>
        <w:rPr>
          <w:lang w:val="bs-Latn-BA"/>
        </w:rPr>
        <w:t>домаћинстава</w:t>
      </w:r>
      <w:r w:rsidR="00D256F6" w:rsidRPr="00295637">
        <w:rPr>
          <w:lang w:val="bs-Latn-BA"/>
        </w:rPr>
        <w:t xml:space="preserve"> </w:t>
      </w:r>
      <w:r>
        <w:rPr>
          <w:lang w:val="bs-Latn-BA"/>
        </w:rPr>
        <w:t>и</w:t>
      </w:r>
      <w:r w:rsidR="00D256F6" w:rsidRPr="00295637">
        <w:rPr>
          <w:lang w:val="bs-Latn-BA"/>
        </w:rPr>
        <w:t xml:space="preserve"> </w:t>
      </w:r>
      <w:r>
        <w:rPr>
          <w:lang w:val="bs-Latn-BA"/>
        </w:rPr>
        <w:t>угоститељских</w:t>
      </w:r>
      <w:r w:rsidR="00D256F6" w:rsidRPr="00295637">
        <w:rPr>
          <w:lang w:val="bs-Latn-BA"/>
        </w:rPr>
        <w:t xml:space="preserve"> </w:t>
      </w:r>
      <w:r>
        <w:rPr>
          <w:lang w:val="bs-Latn-BA"/>
        </w:rPr>
        <w:t>дјелатности</w:t>
      </w:r>
      <w:r w:rsidR="00D256F6" w:rsidRPr="00295637">
        <w:rPr>
          <w:lang w:val="bs-Latn-BA"/>
        </w:rPr>
        <w:t xml:space="preserve">, </w:t>
      </w:r>
      <w:r>
        <w:rPr>
          <w:lang w:val="bs-Latn-BA"/>
        </w:rPr>
        <w:t>омогућавајући</w:t>
      </w:r>
      <w:r w:rsidR="00D256F6" w:rsidRPr="00295637">
        <w:rPr>
          <w:lang w:val="bs-Latn-BA"/>
        </w:rPr>
        <w:t xml:space="preserve"> </w:t>
      </w:r>
      <w:r>
        <w:rPr>
          <w:lang w:val="bs-Latn-BA"/>
        </w:rPr>
        <w:t>им</w:t>
      </w:r>
      <w:r w:rsidR="00D256F6" w:rsidRPr="00295637">
        <w:rPr>
          <w:lang w:val="bs-Latn-BA"/>
        </w:rPr>
        <w:t xml:space="preserve"> </w:t>
      </w:r>
      <w:r>
        <w:rPr>
          <w:lang w:val="bs-Latn-BA"/>
        </w:rPr>
        <w:t>приступ</w:t>
      </w:r>
      <w:r w:rsidR="00D256F6" w:rsidRPr="00295637">
        <w:rPr>
          <w:lang w:val="bs-Latn-BA"/>
        </w:rPr>
        <w:t xml:space="preserve"> </w:t>
      </w:r>
      <w:r>
        <w:rPr>
          <w:lang w:val="bs-Latn-BA"/>
        </w:rPr>
        <w:t>финансијским</w:t>
      </w:r>
      <w:r w:rsidR="00D256F6" w:rsidRPr="00295637">
        <w:rPr>
          <w:lang w:val="bs-Latn-BA"/>
        </w:rPr>
        <w:t xml:space="preserve"> </w:t>
      </w:r>
      <w:r>
        <w:rPr>
          <w:lang w:val="bs-Latn-BA"/>
        </w:rPr>
        <w:t>средствима</w:t>
      </w:r>
      <w:r w:rsidR="00D256F6" w:rsidRPr="00295637">
        <w:rPr>
          <w:lang w:val="bs-Latn-BA"/>
        </w:rPr>
        <w:t xml:space="preserve"> </w:t>
      </w:r>
      <w:r>
        <w:rPr>
          <w:lang w:val="bs-Latn-BA"/>
        </w:rPr>
        <w:t>за</w:t>
      </w:r>
      <w:r w:rsidR="00D256F6" w:rsidRPr="00295637">
        <w:rPr>
          <w:lang w:val="bs-Latn-BA"/>
        </w:rPr>
        <w:t xml:space="preserve"> </w:t>
      </w:r>
      <w:r>
        <w:rPr>
          <w:lang w:val="bs-Latn-BA"/>
        </w:rPr>
        <w:t>унапређење</w:t>
      </w:r>
      <w:r w:rsidR="00D256F6" w:rsidRPr="00295637">
        <w:rPr>
          <w:lang w:val="bs-Latn-BA"/>
        </w:rPr>
        <w:t xml:space="preserve"> </w:t>
      </w:r>
      <w:r>
        <w:rPr>
          <w:lang w:val="bs-Latn-BA"/>
        </w:rPr>
        <w:t>смјештајних</w:t>
      </w:r>
      <w:r w:rsidR="00D256F6" w:rsidRPr="00295637">
        <w:rPr>
          <w:lang w:val="bs-Latn-BA"/>
        </w:rPr>
        <w:t xml:space="preserve"> </w:t>
      </w:r>
      <w:r>
        <w:rPr>
          <w:lang w:val="bs-Latn-BA"/>
        </w:rPr>
        <w:t>капацитета</w:t>
      </w:r>
      <w:r w:rsidR="00D256F6" w:rsidRPr="00295637">
        <w:rPr>
          <w:lang w:val="bs-Latn-BA"/>
        </w:rPr>
        <w:t xml:space="preserve">, </w:t>
      </w:r>
      <w:r>
        <w:rPr>
          <w:lang w:val="bs-Latn-BA"/>
        </w:rPr>
        <w:t>еколошки</w:t>
      </w:r>
      <w:r w:rsidR="00D256F6" w:rsidRPr="00295637">
        <w:rPr>
          <w:lang w:val="bs-Latn-BA"/>
        </w:rPr>
        <w:t xml:space="preserve"> </w:t>
      </w:r>
      <w:r>
        <w:rPr>
          <w:lang w:val="bs-Latn-BA"/>
        </w:rPr>
        <w:t>прихватљиву</w:t>
      </w:r>
      <w:r w:rsidR="00D256F6" w:rsidRPr="00295637">
        <w:rPr>
          <w:lang w:val="bs-Latn-BA"/>
        </w:rPr>
        <w:t xml:space="preserve"> </w:t>
      </w:r>
      <w:r>
        <w:rPr>
          <w:lang w:val="bs-Latn-BA"/>
        </w:rPr>
        <w:t>опрему</w:t>
      </w:r>
      <w:r w:rsidR="00D256F6" w:rsidRPr="00295637">
        <w:rPr>
          <w:lang w:val="bs-Latn-BA"/>
        </w:rPr>
        <w:t xml:space="preserve">, </w:t>
      </w:r>
      <w:r>
        <w:rPr>
          <w:lang w:val="bs-Latn-BA"/>
        </w:rPr>
        <w:t>едукацију</w:t>
      </w:r>
      <w:r w:rsidR="00D256F6" w:rsidRPr="00295637">
        <w:rPr>
          <w:lang w:val="bs-Latn-BA"/>
        </w:rPr>
        <w:t xml:space="preserve"> </w:t>
      </w:r>
      <w:r>
        <w:rPr>
          <w:lang w:val="bs-Latn-BA"/>
        </w:rPr>
        <w:t>и</w:t>
      </w:r>
      <w:r w:rsidR="00D256F6" w:rsidRPr="00295637">
        <w:rPr>
          <w:lang w:val="bs-Latn-BA"/>
        </w:rPr>
        <w:t xml:space="preserve"> </w:t>
      </w:r>
      <w:r>
        <w:rPr>
          <w:lang w:val="bs-Latn-BA"/>
        </w:rPr>
        <w:t>промоцију</w:t>
      </w:r>
      <w:r w:rsidR="00D256F6" w:rsidRPr="00295637">
        <w:rPr>
          <w:lang w:val="bs-Latn-BA"/>
        </w:rPr>
        <w:t xml:space="preserve">. </w:t>
      </w:r>
      <w:r>
        <w:rPr>
          <w:lang w:val="bs-Latn-BA"/>
        </w:rPr>
        <w:t>Кроз</w:t>
      </w:r>
      <w:r w:rsidR="00D256F6" w:rsidRPr="00295637">
        <w:rPr>
          <w:lang w:val="bs-Latn-BA"/>
        </w:rPr>
        <w:t xml:space="preserve"> </w:t>
      </w:r>
      <w:r>
        <w:rPr>
          <w:lang w:val="bs-Latn-BA"/>
        </w:rPr>
        <w:t>ове</w:t>
      </w:r>
      <w:r w:rsidR="00D256F6" w:rsidRPr="00295637">
        <w:rPr>
          <w:lang w:val="bs-Latn-BA"/>
        </w:rPr>
        <w:t xml:space="preserve"> </w:t>
      </w:r>
      <w:r>
        <w:rPr>
          <w:lang w:val="bs-Latn-BA"/>
        </w:rPr>
        <w:t>програме</w:t>
      </w:r>
      <w:r w:rsidR="00D256F6" w:rsidRPr="00295637">
        <w:rPr>
          <w:lang w:val="bs-Latn-BA"/>
        </w:rPr>
        <w:t xml:space="preserve"> </w:t>
      </w:r>
      <w:r>
        <w:rPr>
          <w:lang w:val="bs-Latn-BA"/>
        </w:rPr>
        <w:t>о</w:t>
      </w:r>
      <w:r w:rsidR="00F82DDB">
        <w:rPr>
          <w:lang w:val="sr-Cyrl-BA"/>
        </w:rPr>
        <w:t>безбјеђује</w:t>
      </w:r>
      <w:r w:rsidR="00D256F6" w:rsidRPr="00295637">
        <w:rPr>
          <w:lang w:val="bs-Latn-BA"/>
        </w:rPr>
        <w:t xml:space="preserve"> </w:t>
      </w:r>
      <w:r>
        <w:rPr>
          <w:lang w:val="bs-Latn-BA"/>
        </w:rPr>
        <w:t>се</w:t>
      </w:r>
      <w:r w:rsidR="00D256F6" w:rsidRPr="00295637">
        <w:rPr>
          <w:lang w:val="bs-Latn-BA"/>
        </w:rPr>
        <w:t xml:space="preserve"> </w:t>
      </w:r>
      <w:r>
        <w:rPr>
          <w:lang w:val="bs-Latn-BA"/>
        </w:rPr>
        <w:t>равноправнији</w:t>
      </w:r>
      <w:r w:rsidR="00D256F6" w:rsidRPr="00295637">
        <w:rPr>
          <w:lang w:val="bs-Latn-BA"/>
        </w:rPr>
        <w:t xml:space="preserve"> </w:t>
      </w:r>
      <w:r>
        <w:rPr>
          <w:lang w:val="bs-Latn-BA"/>
        </w:rPr>
        <w:t>положај</w:t>
      </w:r>
      <w:r w:rsidR="00D256F6" w:rsidRPr="00295637">
        <w:rPr>
          <w:lang w:val="bs-Latn-BA"/>
        </w:rPr>
        <w:t xml:space="preserve"> </w:t>
      </w:r>
      <w:r>
        <w:rPr>
          <w:lang w:val="bs-Latn-BA"/>
        </w:rPr>
        <w:t>жена</w:t>
      </w:r>
      <w:r w:rsidR="00D256F6" w:rsidRPr="00295637">
        <w:rPr>
          <w:lang w:val="bs-Latn-BA"/>
        </w:rPr>
        <w:t xml:space="preserve"> </w:t>
      </w:r>
      <w:r>
        <w:rPr>
          <w:lang w:val="bs-Latn-BA"/>
        </w:rPr>
        <w:t>на</w:t>
      </w:r>
      <w:r w:rsidR="00D256F6" w:rsidRPr="00295637">
        <w:rPr>
          <w:lang w:val="bs-Latn-BA"/>
        </w:rPr>
        <w:t xml:space="preserve"> </w:t>
      </w:r>
      <w:r>
        <w:rPr>
          <w:lang w:val="bs-Latn-BA"/>
        </w:rPr>
        <w:t>тржишту</w:t>
      </w:r>
      <w:r w:rsidR="00D256F6" w:rsidRPr="00295637">
        <w:rPr>
          <w:lang w:val="bs-Latn-BA"/>
        </w:rPr>
        <w:t xml:space="preserve"> </w:t>
      </w:r>
      <w:r>
        <w:rPr>
          <w:lang w:val="bs-Latn-BA"/>
        </w:rPr>
        <w:t>рада</w:t>
      </w:r>
      <w:r w:rsidR="00D256F6" w:rsidRPr="00295637">
        <w:rPr>
          <w:lang w:val="bs-Latn-BA"/>
        </w:rPr>
        <w:t xml:space="preserve"> </w:t>
      </w:r>
      <w:r>
        <w:rPr>
          <w:lang w:val="bs-Latn-BA"/>
        </w:rPr>
        <w:t>и</w:t>
      </w:r>
      <w:r w:rsidR="00D256F6" w:rsidRPr="00295637">
        <w:rPr>
          <w:lang w:val="bs-Latn-BA"/>
        </w:rPr>
        <w:t xml:space="preserve"> </w:t>
      </w:r>
      <w:r>
        <w:rPr>
          <w:lang w:val="bs-Latn-BA"/>
        </w:rPr>
        <w:t>смањују</w:t>
      </w:r>
      <w:r w:rsidR="00D256F6" w:rsidRPr="00295637">
        <w:rPr>
          <w:lang w:val="bs-Latn-BA"/>
        </w:rPr>
        <w:t xml:space="preserve"> </w:t>
      </w:r>
      <w:r>
        <w:rPr>
          <w:lang w:val="bs-Latn-BA"/>
        </w:rPr>
        <w:t>препреке</w:t>
      </w:r>
      <w:r w:rsidR="00D256F6" w:rsidRPr="00295637">
        <w:rPr>
          <w:lang w:val="bs-Latn-BA"/>
        </w:rPr>
        <w:t xml:space="preserve"> </w:t>
      </w:r>
      <w:r>
        <w:rPr>
          <w:lang w:val="bs-Latn-BA"/>
        </w:rPr>
        <w:t>у</w:t>
      </w:r>
      <w:r w:rsidR="00D256F6" w:rsidRPr="00295637">
        <w:rPr>
          <w:lang w:val="bs-Latn-BA"/>
        </w:rPr>
        <w:t xml:space="preserve"> </w:t>
      </w:r>
      <w:r>
        <w:rPr>
          <w:lang w:val="bs-Latn-BA"/>
        </w:rPr>
        <w:t>приступу</w:t>
      </w:r>
      <w:r w:rsidR="00D256F6" w:rsidRPr="00295637">
        <w:rPr>
          <w:lang w:val="bs-Latn-BA"/>
        </w:rPr>
        <w:t xml:space="preserve"> </w:t>
      </w:r>
      <w:r>
        <w:rPr>
          <w:lang w:val="bs-Latn-BA"/>
        </w:rPr>
        <w:t>средствима</w:t>
      </w:r>
      <w:r w:rsidR="00D256F6" w:rsidRPr="00295637">
        <w:rPr>
          <w:lang w:val="bs-Latn-BA"/>
        </w:rPr>
        <w:t xml:space="preserve"> </w:t>
      </w:r>
      <w:r>
        <w:rPr>
          <w:lang w:val="bs-Latn-BA"/>
        </w:rPr>
        <w:t>подршке</w:t>
      </w:r>
      <w:r w:rsidR="00D256F6" w:rsidRPr="00295637">
        <w:rPr>
          <w:lang w:val="bs-Latn-BA"/>
        </w:rPr>
        <w:t xml:space="preserve">, </w:t>
      </w:r>
      <w:r>
        <w:rPr>
          <w:lang w:val="bs-Latn-BA"/>
        </w:rPr>
        <w:t>чиме</w:t>
      </w:r>
      <w:r w:rsidR="00D256F6" w:rsidRPr="00295637">
        <w:rPr>
          <w:lang w:val="bs-Latn-BA"/>
        </w:rPr>
        <w:t xml:space="preserve"> </w:t>
      </w:r>
      <w:r>
        <w:rPr>
          <w:lang w:val="bs-Latn-BA"/>
        </w:rPr>
        <w:t>се</w:t>
      </w:r>
      <w:r w:rsidR="00D256F6" w:rsidRPr="00295637">
        <w:rPr>
          <w:lang w:val="bs-Latn-BA"/>
        </w:rPr>
        <w:t xml:space="preserve"> </w:t>
      </w:r>
      <w:r>
        <w:rPr>
          <w:lang w:val="bs-Latn-BA"/>
        </w:rPr>
        <w:t>активно</w:t>
      </w:r>
      <w:r w:rsidR="00D256F6" w:rsidRPr="00295637">
        <w:rPr>
          <w:lang w:val="bs-Latn-BA"/>
        </w:rPr>
        <w:t xml:space="preserve"> </w:t>
      </w:r>
      <w:r>
        <w:rPr>
          <w:lang w:val="bs-Latn-BA"/>
        </w:rPr>
        <w:t>доприноси</w:t>
      </w:r>
      <w:r w:rsidR="00D256F6" w:rsidRPr="00295637">
        <w:rPr>
          <w:lang w:val="bs-Latn-BA"/>
        </w:rPr>
        <w:t xml:space="preserve"> </w:t>
      </w:r>
      <w:r w:rsidR="00F82DDB">
        <w:rPr>
          <w:lang w:val="sr-Cyrl-BA"/>
        </w:rPr>
        <w:t>спровођењу</w:t>
      </w:r>
      <w:r w:rsidR="00D256F6" w:rsidRPr="00295637">
        <w:rPr>
          <w:lang w:val="bs-Latn-BA"/>
        </w:rPr>
        <w:t xml:space="preserve"> </w:t>
      </w:r>
      <w:r>
        <w:rPr>
          <w:lang w:val="bs-Latn-BA"/>
        </w:rPr>
        <w:t>мјера</w:t>
      </w:r>
      <w:r w:rsidR="00D256F6" w:rsidRPr="00295637">
        <w:rPr>
          <w:lang w:val="bs-Latn-BA"/>
        </w:rPr>
        <w:t xml:space="preserve"> </w:t>
      </w:r>
      <w:r>
        <w:rPr>
          <w:lang w:val="bs-Latn-BA"/>
        </w:rPr>
        <w:t>за</w:t>
      </w:r>
      <w:r w:rsidR="00D256F6" w:rsidRPr="00295637">
        <w:rPr>
          <w:lang w:val="bs-Latn-BA"/>
        </w:rPr>
        <w:t xml:space="preserve"> </w:t>
      </w:r>
      <w:r>
        <w:rPr>
          <w:lang w:val="bs-Latn-BA"/>
        </w:rPr>
        <w:t>елиминацију</w:t>
      </w:r>
      <w:r w:rsidR="00D256F6" w:rsidRPr="00295637">
        <w:rPr>
          <w:lang w:val="bs-Latn-BA"/>
        </w:rPr>
        <w:t xml:space="preserve"> </w:t>
      </w:r>
      <w:r>
        <w:rPr>
          <w:lang w:val="bs-Latn-BA"/>
        </w:rPr>
        <w:t>дискриминације</w:t>
      </w:r>
      <w:r w:rsidR="00D256F6" w:rsidRPr="00295637">
        <w:rPr>
          <w:lang w:val="bs-Latn-BA"/>
        </w:rPr>
        <w:t xml:space="preserve"> </w:t>
      </w:r>
      <w:r>
        <w:rPr>
          <w:lang w:val="bs-Latn-BA"/>
        </w:rPr>
        <w:t>на</w:t>
      </w:r>
      <w:r w:rsidR="000C3D5B" w:rsidRPr="00295637">
        <w:rPr>
          <w:lang w:val="bs-Latn-BA"/>
        </w:rPr>
        <w:t xml:space="preserve"> </w:t>
      </w:r>
      <w:r>
        <w:rPr>
          <w:lang w:val="bs-Latn-BA"/>
        </w:rPr>
        <w:t>основу</w:t>
      </w:r>
      <w:r w:rsidR="000C3D5B" w:rsidRPr="00295637">
        <w:rPr>
          <w:lang w:val="bs-Latn-BA"/>
        </w:rPr>
        <w:t xml:space="preserve"> </w:t>
      </w:r>
      <w:r>
        <w:rPr>
          <w:lang w:val="bs-Latn-BA"/>
        </w:rPr>
        <w:t>пола</w:t>
      </w:r>
      <w:r w:rsidR="000C3D5B" w:rsidRPr="00295637">
        <w:rPr>
          <w:lang w:val="bs-Latn-BA"/>
        </w:rPr>
        <w:t xml:space="preserve"> </w:t>
      </w:r>
      <w:r>
        <w:rPr>
          <w:lang w:val="bs-Latn-BA"/>
        </w:rPr>
        <w:t>у</w:t>
      </w:r>
      <w:r w:rsidR="00D256F6" w:rsidRPr="00295637">
        <w:rPr>
          <w:lang w:val="bs-Latn-BA"/>
        </w:rPr>
        <w:t xml:space="preserve"> </w:t>
      </w:r>
      <w:r>
        <w:rPr>
          <w:lang w:val="bs-Latn-BA"/>
        </w:rPr>
        <w:t>економији</w:t>
      </w:r>
      <w:r w:rsidR="00D256F6" w:rsidRPr="00295637">
        <w:rPr>
          <w:lang w:val="bs-Latn-BA"/>
        </w:rPr>
        <w:t>.</w:t>
      </w:r>
      <w:r w:rsidR="00477C5C">
        <w:rPr>
          <w:lang w:val="bs-Latn-BA"/>
        </w:rPr>
        <w:t xml:space="preserve"> </w:t>
      </w:r>
      <w:r>
        <w:rPr>
          <w:lang w:val="bs-Latn-BA"/>
        </w:rPr>
        <w:t>Увођењем</w:t>
      </w:r>
      <w:r w:rsidR="00D256F6" w:rsidRPr="00295637">
        <w:rPr>
          <w:lang w:val="bs-Latn-BA"/>
        </w:rPr>
        <w:t xml:space="preserve"> </w:t>
      </w:r>
      <w:r>
        <w:rPr>
          <w:lang w:val="bs-Latn-BA"/>
        </w:rPr>
        <w:t>родно</w:t>
      </w:r>
      <w:r w:rsidR="00D256F6" w:rsidRPr="00295637">
        <w:rPr>
          <w:lang w:val="bs-Latn-BA"/>
        </w:rPr>
        <w:t xml:space="preserve"> </w:t>
      </w:r>
      <w:r>
        <w:rPr>
          <w:lang w:val="bs-Latn-BA"/>
        </w:rPr>
        <w:t>одговорних</w:t>
      </w:r>
      <w:r w:rsidR="00D256F6" w:rsidRPr="00295637">
        <w:rPr>
          <w:lang w:val="bs-Latn-BA"/>
        </w:rPr>
        <w:t xml:space="preserve"> </w:t>
      </w:r>
      <w:r>
        <w:rPr>
          <w:lang w:val="bs-Latn-BA"/>
        </w:rPr>
        <w:t>буџета</w:t>
      </w:r>
      <w:r w:rsidR="00D256F6" w:rsidRPr="00295637">
        <w:rPr>
          <w:lang w:val="bs-Latn-BA"/>
        </w:rPr>
        <w:t xml:space="preserve"> </w:t>
      </w:r>
      <w:r>
        <w:rPr>
          <w:lang w:val="bs-Latn-BA"/>
        </w:rPr>
        <w:t>у</w:t>
      </w:r>
      <w:r w:rsidR="00D256F6" w:rsidRPr="00295637">
        <w:rPr>
          <w:lang w:val="bs-Latn-BA"/>
        </w:rPr>
        <w:t xml:space="preserve"> </w:t>
      </w:r>
      <w:r>
        <w:rPr>
          <w:lang w:val="bs-Latn-BA"/>
        </w:rPr>
        <w:t>програме</w:t>
      </w:r>
      <w:r w:rsidR="00D256F6" w:rsidRPr="00295637">
        <w:rPr>
          <w:lang w:val="bs-Latn-BA"/>
        </w:rPr>
        <w:t xml:space="preserve"> </w:t>
      </w:r>
      <w:r>
        <w:rPr>
          <w:lang w:val="bs-Latn-BA"/>
        </w:rPr>
        <w:t>подршке</w:t>
      </w:r>
      <w:r w:rsidR="00D256F6" w:rsidRPr="00295637">
        <w:rPr>
          <w:lang w:val="bs-Latn-BA"/>
        </w:rPr>
        <w:t xml:space="preserve"> </w:t>
      </w:r>
      <w:r>
        <w:rPr>
          <w:lang w:val="bs-Latn-BA"/>
        </w:rPr>
        <w:t>развоју</w:t>
      </w:r>
      <w:r w:rsidR="00D256F6" w:rsidRPr="00295637">
        <w:rPr>
          <w:lang w:val="bs-Latn-BA"/>
        </w:rPr>
        <w:t xml:space="preserve"> </w:t>
      </w:r>
      <w:r>
        <w:rPr>
          <w:lang w:val="bs-Latn-BA"/>
        </w:rPr>
        <w:t>туризма</w:t>
      </w:r>
      <w:r w:rsidR="00D256F6" w:rsidRPr="00295637">
        <w:rPr>
          <w:lang w:val="bs-Latn-BA"/>
        </w:rPr>
        <w:t xml:space="preserve"> </w:t>
      </w:r>
      <w:r>
        <w:rPr>
          <w:lang w:val="bs-Latn-BA"/>
        </w:rPr>
        <w:t>јачају</w:t>
      </w:r>
      <w:r w:rsidR="00D256F6" w:rsidRPr="00295637">
        <w:rPr>
          <w:lang w:val="bs-Latn-BA"/>
        </w:rPr>
        <w:t xml:space="preserve"> </w:t>
      </w:r>
      <w:r>
        <w:rPr>
          <w:lang w:val="bs-Latn-BA"/>
        </w:rPr>
        <w:t>се</w:t>
      </w:r>
      <w:r w:rsidR="00D256F6" w:rsidRPr="00295637">
        <w:rPr>
          <w:lang w:val="bs-Latn-BA"/>
        </w:rPr>
        <w:t xml:space="preserve"> </w:t>
      </w:r>
      <w:r>
        <w:rPr>
          <w:lang w:val="bs-Latn-BA"/>
        </w:rPr>
        <w:t>институционални</w:t>
      </w:r>
      <w:r w:rsidR="00D256F6" w:rsidRPr="00295637">
        <w:rPr>
          <w:lang w:val="bs-Latn-BA"/>
        </w:rPr>
        <w:t xml:space="preserve"> </w:t>
      </w:r>
      <w:r>
        <w:rPr>
          <w:lang w:val="bs-Latn-BA"/>
        </w:rPr>
        <w:t>капацитети</w:t>
      </w:r>
      <w:r w:rsidR="00D256F6" w:rsidRPr="00295637">
        <w:rPr>
          <w:lang w:val="bs-Latn-BA"/>
        </w:rPr>
        <w:t xml:space="preserve"> </w:t>
      </w:r>
      <w:r>
        <w:rPr>
          <w:lang w:val="bs-Latn-BA"/>
        </w:rPr>
        <w:t>за</w:t>
      </w:r>
      <w:r w:rsidR="00D256F6" w:rsidRPr="00295637">
        <w:rPr>
          <w:lang w:val="bs-Latn-BA"/>
        </w:rPr>
        <w:t xml:space="preserve"> </w:t>
      </w:r>
      <w:r>
        <w:rPr>
          <w:lang w:val="bs-Latn-BA"/>
        </w:rPr>
        <w:t>примјену</w:t>
      </w:r>
      <w:r w:rsidR="00D256F6" w:rsidRPr="00295637">
        <w:rPr>
          <w:lang w:val="bs-Latn-BA"/>
        </w:rPr>
        <w:t xml:space="preserve"> </w:t>
      </w:r>
      <w:r>
        <w:rPr>
          <w:lang w:val="bs-Latn-BA"/>
        </w:rPr>
        <w:t>међународних</w:t>
      </w:r>
      <w:r w:rsidR="00D256F6" w:rsidRPr="00295637">
        <w:rPr>
          <w:lang w:val="bs-Latn-BA"/>
        </w:rPr>
        <w:t xml:space="preserve"> </w:t>
      </w:r>
      <w:r>
        <w:rPr>
          <w:lang w:val="bs-Latn-BA"/>
        </w:rPr>
        <w:t>и</w:t>
      </w:r>
      <w:r w:rsidR="00D256F6" w:rsidRPr="00295637">
        <w:rPr>
          <w:lang w:val="bs-Latn-BA"/>
        </w:rPr>
        <w:t xml:space="preserve"> </w:t>
      </w:r>
      <w:r>
        <w:rPr>
          <w:lang w:val="bs-Latn-BA"/>
        </w:rPr>
        <w:t>домаћих</w:t>
      </w:r>
      <w:r w:rsidR="00D256F6" w:rsidRPr="00295637">
        <w:rPr>
          <w:lang w:val="bs-Latn-BA"/>
        </w:rPr>
        <w:t xml:space="preserve"> </w:t>
      </w:r>
      <w:r>
        <w:rPr>
          <w:lang w:val="bs-Latn-BA"/>
        </w:rPr>
        <w:t>стандарда</w:t>
      </w:r>
      <w:r w:rsidR="00D256F6" w:rsidRPr="00295637">
        <w:rPr>
          <w:lang w:val="bs-Latn-BA"/>
        </w:rPr>
        <w:t xml:space="preserve"> </w:t>
      </w:r>
      <w:r>
        <w:rPr>
          <w:lang w:val="bs-Latn-BA"/>
        </w:rPr>
        <w:t>у</w:t>
      </w:r>
      <w:r w:rsidR="00D256F6" w:rsidRPr="00295637">
        <w:rPr>
          <w:lang w:val="bs-Latn-BA"/>
        </w:rPr>
        <w:t xml:space="preserve"> </w:t>
      </w:r>
      <w:r>
        <w:rPr>
          <w:lang w:val="bs-Latn-BA"/>
        </w:rPr>
        <w:t>области</w:t>
      </w:r>
      <w:r w:rsidR="00D256F6" w:rsidRPr="00295637">
        <w:rPr>
          <w:lang w:val="bs-Latn-BA"/>
        </w:rPr>
        <w:t xml:space="preserve"> </w:t>
      </w:r>
      <w:r>
        <w:rPr>
          <w:lang w:val="bs-Latn-BA"/>
        </w:rPr>
        <w:t>равноправности</w:t>
      </w:r>
      <w:r w:rsidR="00D256F6" w:rsidRPr="00295637">
        <w:rPr>
          <w:lang w:val="bs-Latn-BA"/>
        </w:rPr>
        <w:t xml:space="preserve"> </w:t>
      </w:r>
      <w:r>
        <w:rPr>
          <w:lang w:val="bs-Latn-BA"/>
        </w:rPr>
        <w:t>полова</w:t>
      </w:r>
      <w:r w:rsidR="00D256F6" w:rsidRPr="00295637">
        <w:rPr>
          <w:lang w:val="bs-Latn-BA"/>
        </w:rPr>
        <w:t xml:space="preserve">. </w:t>
      </w:r>
      <w:r>
        <w:rPr>
          <w:lang w:val="bs-Latn-BA"/>
        </w:rPr>
        <w:t>Критериј</w:t>
      </w:r>
      <w:r w:rsidR="00F82DDB">
        <w:rPr>
          <w:lang w:val="sr-Cyrl-BA"/>
        </w:rPr>
        <w:t>уми</w:t>
      </w:r>
      <w:r w:rsidR="00D256F6" w:rsidRPr="00295637">
        <w:rPr>
          <w:lang w:val="bs-Latn-BA"/>
        </w:rPr>
        <w:t xml:space="preserve"> </w:t>
      </w:r>
      <w:r>
        <w:rPr>
          <w:lang w:val="bs-Latn-BA"/>
        </w:rPr>
        <w:t>додјеле</w:t>
      </w:r>
      <w:r w:rsidR="00D256F6" w:rsidRPr="00295637">
        <w:rPr>
          <w:lang w:val="bs-Latn-BA"/>
        </w:rPr>
        <w:t xml:space="preserve"> </w:t>
      </w:r>
      <w:r>
        <w:rPr>
          <w:lang w:val="bs-Latn-BA"/>
        </w:rPr>
        <w:t>средстава</w:t>
      </w:r>
      <w:r w:rsidR="00D256F6" w:rsidRPr="00295637">
        <w:rPr>
          <w:lang w:val="bs-Latn-BA"/>
        </w:rPr>
        <w:t xml:space="preserve"> </w:t>
      </w:r>
      <w:r>
        <w:rPr>
          <w:lang w:val="bs-Latn-BA"/>
        </w:rPr>
        <w:t>јасно</w:t>
      </w:r>
      <w:r w:rsidR="00D256F6" w:rsidRPr="00295637">
        <w:rPr>
          <w:lang w:val="bs-Latn-BA"/>
        </w:rPr>
        <w:t xml:space="preserve"> </w:t>
      </w:r>
      <w:r>
        <w:rPr>
          <w:lang w:val="bs-Latn-BA"/>
        </w:rPr>
        <w:t>препознају</w:t>
      </w:r>
      <w:r w:rsidR="00D256F6" w:rsidRPr="00295637">
        <w:rPr>
          <w:lang w:val="bs-Latn-BA"/>
        </w:rPr>
        <w:t xml:space="preserve"> </w:t>
      </w:r>
      <w:r>
        <w:rPr>
          <w:lang w:val="bs-Latn-BA"/>
        </w:rPr>
        <w:t>значај</w:t>
      </w:r>
      <w:r w:rsidR="00D256F6" w:rsidRPr="00295637">
        <w:rPr>
          <w:lang w:val="bs-Latn-BA"/>
        </w:rPr>
        <w:t xml:space="preserve"> </w:t>
      </w:r>
      <w:r>
        <w:rPr>
          <w:lang w:val="bs-Latn-BA"/>
        </w:rPr>
        <w:t>економског</w:t>
      </w:r>
      <w:r w:rsidR="00D256F6" w:rsidRPr="00295637">
        <w:rPr>
          <w:lang w:val="bs-Latn-BA"/>
        </w:rPr>
        <w:t xml:space="preserve"> </w:t>
      </w:r>
      <w:r>
        <w:rPr>
          <w:lang w:val="bs-Latn-BA"/>
        </w:rPr>
        <w:t>оснаживања</w:t>
      </w:r>
      <w:r w:rsidR="00D256F6" w:rsidRPr="00295637">
        <w:rPr>
          <w:lang w:val="bs-Latn-BA"/>
        </w:rPr>
        <w:t xml:space="preserve"> </w:t>
      </w:r>
      <w:r>
        <w:rPr>
          <w:lang w:val="bs-Latn-BA"/>
        </w:rPr>
        <w:t>жена</w:t>
      </w:r>
      <w:r w:rsidR="00D256F6" w:rsidRPr="00295637">
        <w:rPr>
          <w:lang w:val="bs-Latn-BA"/>
        </w:rPr>
        <w:t xml:space="preserve"> </w:t>
      </w:r>
      <w:r>
        <w:rPr>
          <w:lang w:val="bs-Latn-BA"/>
        </w:rPr>
        <w:t>и</w:t>
      </w:r>
      <w:r w:rsidR="00D256F6" w:rsidRPr="00295637">
        <w:rPr>
          <w:lang w:val="bs-Latn-BA"/>
        </w:rPr>
        <w:t xml:space="preserve"> </w:t>
      </w:r>
      <w:r>
        <w:rPr>
          <w:lang w:val="bs-Latn-BA"/>
        </w:rPr>
        <w:t>младих</w:t>
      </w:r>
      <w:r w:rsidR="00D256F6" w:rsidRPr="00295637">
        <w:rPr>
          <w:lang w:val="bs-Latn-BA"/>
        </w:rPr>
        <w:t xml:space="preserve">, </w:t>
      </w:r>
      <w:r>
        <w:rPr>
          <w:lang w:val="bs-Latn-BA"/>
        </w:rPr>
        <w:t>чиме</w:t>
      </w:r>
      <w:r w:rsidR="00D256F6" w:rsidRPr="00295637">
        <w:rPr>
          <w:lang w:val="bs-Latn-BA"/>
        </w:rPr>
        <w:t xml:space="preserve"> </w:t>
      </w:r>
      <w:r>
        <w:rPr>
          <w:lang w:val="bs-Latn-BA"/>
        </w:rPr>
        <w:t>се</w:t>
      </w:r>
      <w:r w:rsidR="00D256F6" w:rsidRPr="00295637">
        <w:rPr>
          <w:lang w:val="bs-Latn-BA"/>
        </w:rPr>
        <w:t xml:space="preserve"> </w:t>
      </w:r>
      <w:r>
        <w:rPr>
          <w:lang w:val="bs-Latn-BA"/>
        </w:rPr>
        <w:t>директно</w:t>
      </w:r>
      <w:r w:rsidR="00D256F6" w:rsidRPr="00295637">
        <w:rPr>
          <w:lang w:val="bs-Latn-BA"/>
        </w:rPr>
        <w:t xml:space="preserve"> </w:t>
      </w:r>
      <w:r>
        <w:rPr>
          <w:lang w:val="bs-Latn-BA"/>
        </w:rPr>
        <w:t>подржава</w:t>
      </w:r>
      <w:r w:rsidR="00D256F6" w:rsidRPr="00295637">
        <w:rPr>
          <w:lang w:val="bs-Latn-BA"/>
        </w:rPr>
        <w:t xml:space="preserve"> </w:t>
      </w:r>
      <w:r w:rsidR="00F82DDB">
        <w:rPr>
          <w:lang w:val="sr-Cyrl-BA"/>
        </w:rPr>
        <w:t>спровођење</w:t>
      </w:r>
      <w:r w:rsidR="00D256F6" w:rsidRPr="00295637">
        <w:rPr>
          <w:lang w:val="bs-Latn-BA"/>
        </w:rPr>
        <w:t xml:space="preserve"> </w:t>
      </w:r>
      <w:r>
        <w:rPr>
          <w:lang w:val="bs-Latn-BA"/>
        </w:rPr>
        <w:t>стратегија</w:t>
      </w:r>
      <w:r w:rsidR="00D256F6" w:rsidRPr="00295637">
        <w:rPr>
          <w:lang w:val="bs-Latn-BA"/>
        </w:rPr>
        <w:t xml:space="preserve"> </w:t>
      </w:r>
      <w:r>
        <w:rPr>
          <w:lang w:val="bs-Latn-BA"/>
        </w:rPr>
        <w:t>и</w:t>
      </w:r>
      <w:r w:rsidR="00D256F6" w:rsidRPr="00295637">
        <w:rPr>
          <w:lang w:val="bs-Latn-BA"/>
        </w:rPr>
        <w:t xml:space="preserve"> </w:t>
      </w:r>
      <w:r>
        <w:rPr>
          <w:lang w:val="bs-Latn-BA"/>
        </w:rPr>
        <w:t>акционих</w:t>
      </w:r>
      <w:r w:rsidR="00D256F6" w:rsidRPr="00295637">
        <w:rPr>
          <w:lang w:val="bs-Latn-BA"/>
        </w:rPr>
        <w:t xml:space="preserve"> </w:t>
      </w:r>
      <w:r>
        <w:rPr>
          <w:lang w:val="bs-Latn-BA"/>
        </w:rPr>
        <w:t>планова</w:t>
      </w:r>
      <w:r w:rsidR="00D256F6" w:rsidRPr="00295637">
        <w:rPr>
          <w:lang w:val="bs-Latn-BA"/>
        </w:rPr>
        <w:t xml:space="preserve"> </w:t>
      </w:r>
      <w:r>
        <w:rPr>
          <w:lang w:val="bs-Latn-BA"/>
        </w:rPr>
        <w:t>у</w:t>
      </w:r>
      <w:r w:rsidR="00D256F6" w:rsidRPr="00295637">
        <w:rPr>
          <w:lang w:val="bs-Latn-BA"/>
        </w:rPr>
        <w:t xml:space="preserve"> </w:t>
      </w:r>
      <w:r>
        <w:rPr>
          <w:lang w:val="bs-Latn-BA"/>
        </w:rPr>
        <w:t>овој</w:t>
      </w:r>
      <w:r w:rsidR="00D256F6" w:rsidRPr="00295637">
        <w:rPr>
          <w:lang w:val="bs-Latn-BA"/>
        </w:rPr>
        <w:t xml:space="preserve"> </w:t>
      </w:r>
      <w:r>
        <w:rPr>
          <w:lang w:val="bs-Latn-BA"/>
        </w:rPr>
        <w:t>области</w:t>
      </w:r>
      <w:r w:rsidR="00D256F6" w:rsidRPr="00295637">
        <w:rPr>
          <w:lang w:val="bs-Latn-BA"/>
        </w:rPr>
        <w:t>.</w:t>
      </w:r>
      <w:bookmarkStart w:id="27" w:name="_Toc193788529"/>
      <w:r w:rsidR="00477C5C">
        <w:rPr>
          <w:lang w:val="bs-Latn-BA"/>
        </w:rPr>
        <w:t xml:space="preserve"> </w:t>
      </w:r>
      <w:r>
        <w:rPr>
          <w:lang w:val="bs-Latn-BA"/>
        </w:rPr>
        <w:t>Иако</w:t>
      </w:r>
      <w:r w:rsidR="00D256F6" w:rsidRPr="00295637">
        <w:rPr>
          <w:lang w:val="bs-Latn-BA"/>
        </w:rPr>
        <w:t xml:space="preserve"> </w:t>
      </w:r>
      <w:r>
        <w:rPr>
          <w:lang w:val="bs-Latn-BA"/>
        </w:rPr>
        <w:t>су</w:t>
      </w:r>
      <w:r w:rsidR="00D256F6" w:rsidRPr="00295637">
        <w:rPr>
          <w:lang w:val="bs-Latn-BA"/>
        </w:rPr>
        <w:t xml:space="preserve"> </w:t>
      </w:r>
      <w:r>
        <w:rPr>
          <w:lang w:val="bs-Latn-BA"/>
        </w:rPr>
        <w:t>укупни</w:t>
      </w:r>
      <w:r w:rsidR="00D256F6" w:rsidRPr="00295637">
        <w:rPr>
          <w:lang w:val="bs-Latn-BA"/>
        </w:rPr>
        <w:t xml:space="preserve"> </w:t>
      </w:r>
      <w:r>
        <w:rPr>
          <w:lang w:val="bs-Latn-BA"/>
        </w:rPr>
        <w:t>резултати</w:t>
      </w:r>
      <w:r w:rsidR="00D256F6" w:rsidRPr="00295637">
        <w:rPr>
          <w:lang w:val="bs-Latn-BA"/>
        </w:rPr>
        <w:t xml:space="preserve"> </w:t>
      </w:r>
      <w:r>
        <w:rPr>
          <w:lang w:val="bs-Latn-BA"/>
        </w:rPr>
        <w:t>програма</w:t>
      </w:r>
      <w:r w:rsidR="00D256F6" w:rsidRPr="00295637">
        <w:rPr>
          <w:lang w:val="bs-Latn-BA"/>
        </w:rPr>
        <w:t xml:space="preserve"> </w:t>
      </w:r>
      <w:r>
        <w:rPr>
          <w:lang w:val="bs-Latn-BA"/>
        </w:rPr>
        <w:t>активне</w:t>
      </w:r>
      <w:r w:rsidR="00D256F6" w:rsidRPr="00295637">
        <w:rPr>
          <w:lang w:val="bs-Latn-BA"/>
        </w:rPr>
        <w:t xml:space="preserve"> </w:t>
      </w:r>
      <w:r>
        <w:rPr>
          <w:lang w:val="bs-Latn-BA"/>
        </w:rPr>
        <w:t>политике</w:t>
      </w:r>
      <w:r w:rsidR="00D256F6" w:rsidRPr="00295637">
        <w:rPr>
          <w:lang w:val="bs-Latn-BA"/>
        </w:rPr>
        <w:t xml:space="preserve"> </w:t>
      </w:r>
      <w:r>
        <w:rPr>
          <w:lang w:val="bs-Latn-BA"/>
        </w:rPr>
        <w:t>запошљавања</w:t>
      </w:r>
      <w:r w:rsidR="00D256F6" w:rsidRPr="00295637">
        <w:rPr>
          <w:lang w:val="bs-Latn-BA"/>
        </w:rPr>
        <w:t xml:space="preserve"> </w:t>
      </w:r>
      <w:r>
        <w:rPr>
          <w:lang w:val="bs-Latn-BA"/>
        </w:rPr>
        <w:t>значајни</w:t>
      </w:r>
      <w:r w:rsidR="00D256F6" w:rsidRPr="00295637">
        <w:rPr>
          <w:lang w:val="bs-Latn-BA"/>
        </w:rPr>
        <w:t xml:space="preserve">, </w:t>
      </w:r>
      <w:r>
        <w:rPr>
          <w:lang w:val="bs-Latn-BA"/>
        </w:rPr>
        <w:t>постоји</w:t>
      </w:r>
      <w:r w:rsidR="00D256F6" w:rsidRPr="00295637">
        <w:rPr>
          <w:lang w:val="bs-Latn-BA"/>
        </w:rPr>
        <w:t xml:space="preserve"> </w:t>
      </w:r>
      <w:r>
        <w:rPr>
          <w:lang w:val="bs-Latn-BA"/>
        </w:rPr>
        <w:t>изазов</w:t>
      </w:r>
      <w:r w:rsidR="00D256F6" w:rsidRPr="00295637">
        <w:rPr>
          <w:lang w:val="bs-Latn-BA"/>
        </w:rPr>
        <w:t xml:space="preserve"> </w:t>
      </w:r>
      <w:r>
        <w:rPr>
          <w:lang w:val="bs-Latn-BA"/>
        </w:rPr>
        <w:t>у</w:t>
      </w:r>
      <w:r w:rsidR="00D256F6" w:rsidRPr="00295637">
        <w:rPr>
          <w:lang w:val="bs-Latn-BA"/>
        </w:rPr>
        <w:t xml:space="preserve"> </w:t>
      </w:r>
      <w:r>
        <w:rPr>
          <w:lang w:val="bs-Latn-BA"/>
        </w:rPr>
        <w:t>прецизној</w:t>
      </w:r>
      <w:r w:rsidR="00D256F6" w:rsidRPr="00295637">
        <w:rPr>
          <w:lang w:val="bs-Latn-BA"/>
        </w:rPr>
        <w:t xml:space="preserve"> </w:t>
      </w:r>
      <w:r>
        <w:rPr>
          <w:lang w:val="bs-Latn-BA"/>
        </w:rPr>
        <w:t>евиденцији</w:t>
      </w:r>
      <w:r w:rsidR="00D256F6" w:rsidRPr="00295637">
        <w:rPr>
          <w:lang w:val="bs-Latn-BA"/>
        </w:rPr>
        <w:t xml:space="preserve"> </w:t>
      </w:r>
      <w:r>
        <w:rPr>
          <w:lang w:val="bs-Latn-BA"/>
        </w:rPr>
        <w:t>структуре</w:t>
      </w:r>
      <w:r w:rsidR="00D256F6" w:rsidRPr="00295637">
        <w:rPr>
          <w:lang w:val="bs-Latn-BA"/>
        </w:rPr>
        <w:t xml:space="preserve"> </w:t>
      </w:r>
      <w:r>
        <w:rPr>
          <w:lang w:val="bs-Latn-BA"/>
        </w:rPr>
        <w:t>корисника</w:t>
      </w:r>
      <w:r w:rsidR="00D256F6" w:rsidRPr="00295637">
        <w:rPr>
          <w:lang w:val="bs-Latn-BA"/>
        </w:rPr>
        <w:t xml:space="preserve">, </w:t>
      </w:r>
      <w:r>
        <w:rPr>
          <w:lang w:val="bs-Latn-BA"/>
        </w:rPr>
        <w:t>посебно</w:t>
      </w:r>
      <w:r w:rsidR="00D256F6" w:rsidRPr="00295637">
        <w:rPr>
          <w:lang w:val="bs-Latn-BA"/>
        </w:rPr>
        <w:t xml:space="preserve"> </w:t>
      </w:r>
      <w:r>
        <w:rPr>
          <w:lang w:val="bs-Latn-BA"/>
        </w:rPr>
        <w:t>у</w:t>
      </w:r>
      <w:r w:rsidR="00D256F6" w:rsidRPr="00295637">
        <w:rPr>
          <w:lang w:val="bs-Latn-BA"/>
        </w:rPr>
        <w:t xml:space="preserve"> </w:t>
      </w:r>
      <w:r>
        <w:rPr>
          <w:lang w:val="bs-Latn-BA"/>
        </w:rPr>
        <w:t>сегменту</w:t>
      </w:r>
      <w:r w:rsidR="00D256F6" w:rsidRPr="00295637">
        <w:rPr>
          <w:lang w:val="bs-Latn-BA"/>
        </w:rPr>
        <w:t xml:space="preserve"> </w:t>
      </w:r>
      <w:r>
        <w:rPr>
          <w:lang w:val="bs-Latn-BA"/>
        </w:rPr>
        <w:t>специфичних</w:t>
      </w:r>
      <w:r w:rsidR="00D256F6" w:rsidRPr="00295637">
        <w:rPr>
          <w:lang w:val="bs-Latn-BA"/>
        </w:rPr>
        <w:t xml:space="preserve"> </w:t>
      </w:r>
      <w:r>
        <w:rPr>
          <w:lang w:val="bs-Latn-BA"/>
        </w:rPr>
        <w:t>категорија</w:t>
      </w:r>
      <w:r w:rsidR="00D256F6" w:rsidRPr="00295637">
        <w:rPr>
          <w:lang w:val="bs-Latn-BA"/>
        </w:rPr>
        <w:t xml:space="preserve"> </w:t>
      </w:r>
      <w:r>
        <w:rPr>
          <w:lang w:val="bs-Latn-BA"/>
        </w:rPr>
        <w:t>жена</w:t>
      </w:r>
      <w:r w:rsidR="00D256F6" w:rsidRPr="00295637">
        <w:rPr>
          <w:lang w:val="bs-Latn-BA"/>
        </w:rPr>
        <w:t xml:space="preserve"> </w:t>
      </w:r>
      <w:r>
        <w:rPr>
          <w:lang w:val="bs-Latn-BA"/>
        </w:rPr>
        <w:t>из</w:t>
      </w:r>
      <w:r w:rsidR="00D256F6" w:rsidRPr="00295637">
        <w:rPr>
          <w:lang w:val="bs-Latn-BA"/>
        </w:rPr>
        <w:t xml:space="preserve"> </w:t>
      </w:r>
      <w:r>
        <w:rPr>
          <w:lang w:val="bs-Latn-BA"/>
        </w:rPr>
        <w:t>циљне</w:t>
      </w:r>
      <w:r w:rsidR="00D256F6" w:rsidRPr="00295637">
        <w:rPr>
          <w:lang w:val="bs-Latn-BA"/>
        </w:rPr>
        <w:t xml:space="preserve"> </w:t>
      </w:r>
      <w:r>
        <w:rPr>
          <w:lang w:val="bs-Latn-BA"/>
        </w:rPr>
        <w:t>групе</w:t>
      </w:r>
      <w:r w:rsidR="00D256F6" w:rsidRPr="00295637">
        <w:rPr>
          <w:lang w:val="bs-Latn-BA"/>
        </w:rPr>
        <w:t xml:space="preserve">. </w:t>
      </w:r>
      <w:r>
        <w:rPr>
          <w:lang w:val="bs-Latn-BA"/>
        </w:rPr>
        <w:t>У</w:t>
      </w:r>
      <w:r w:rsidR="00D256F6" w:rsidRPr="00295637">
        <w:rPr>
          <w:lang w:val="bs-Latn-BA"/>
        </w:rPr>
        <w:t xml:space="preserve"> </w:t>
      </w:r>
      <w:r>
        <w:rPr>
          <w:lang w:val="bs-Latn-BA"/>
        </w:rPr>
        <w:t>оквиру</w:t>
      </w:r>
      <w:r w:rsidR="00D256F6" w:rsidRPr="00295637">
        <w:rPr>
          <w:lang w:val="bs-Latn-BA"/>
        </w:rPr>
        <w:t xml:space="preserve"> </w:t>
      </w:r>
      <w:r>
        <w:rPr>
          <w:lang w:val="bs-Latn-BA"/>
        </w:rPr>
        <w:t>укупног</w:t>
      </w:r>
      <w:r w:rsidR="00D256F6" w:rsidRPr="00295637">
        <w:rPr>
          <w:lang w:val="bs-Latn-BA"/>
        </w:rPr>
        <w:t xml:space="preserve"> </w:t>
      </w:r>
      <w:r>
        <w:rPr>
          <w:lang w:val="bs-Latn-BA"/>
        </w:rPr>
        <w:t>броја</w:t>
      </w:r>
      <w:r w:rsidR="00D256F6" w:rsidRPr="00295637">
        <w:rPr>
          <w:lang w:val="bs-Latn-BA"/>
        </w:rPr>
        <w:t xml:space="preserve"> </w:t>
      </w:r>
      <w:r>
        <w:rPr>
          <w:lang w:val="bs-Latn-BA"/>
        </w:rPr>
        <w:t>жена</w:t>
      </w:r>
      <w:r w:rsidR="00D256F6" w:rsidRPr="00295637">
        <w:rPr>
          <w:lang w:val="bs-Latn-BA"/>
        </w:rPr>
        <w:t xml:space="preserve"> </w:t>
      </w:r>
      <w:r>
        <w:rPr>
          <w:lang w:val="bs-Latn-BA"/>
        </w:rPr>
        <w:t>обухваћених</w:t>
      </w:r>
      <w:r w:rsidR="00D256F6" w:rsidRPr="00295637">
        <w:rPr>
          <w:lang w:val="bs-Latn-BA"/>
        </w:rPr>
        <w:t xml:space="preserve"> </w:t>
      </w:r>
      <w:r>
        <w:rPr>
          <w:lang w:val="bs-Latn-BA"/>
        </w:rPr>
        <w:t>мјерама</w:t>
      </w:r>
      <w:r w:rsidR="00D256F6" w:rsidRPr="00295637">
        <w:rPr>
          <w:lang w:val="bs-Latn-BA"/>
        </w:rPr>
        <w:t xml:space="preserve"> </w:t>
      </w:r>
      <w:r>
        <w:rPr>
          <w:lang w:val="bs-Latn-BA"/>
        </w:rPr>
        <w:t>активне</w:t>
      </w:r>
      <w:r w:rsidR="00D256F6" w:rsidRPr="00295637">
        <w:rPr>
          <w:lang w:val="bs-Latn-BA"/>
        </w:rPr>
        <w:t xml:space="preserve"> </w:t>
      </w:r>
      <w:r>
        <w:rPr>
          <w:lang w:val="bs-Latn-BA"/>
        </w:rPr>
        <w:t>политике</w:t>
      </w:r>
      <w:r w:rsidR="00D256F6" w:rsidRPr="00295637">
        <w:rPr>
          <w:lang w:val="bs-Latn-BA"/>
        </w:rPr>
        <w:t xml:space="preserve"> </w:t>
      </w:r>
      <w:r>
        <w:rPr>
          <w:lang w:val="bs-Latn-BA"/>
        </w:rPr>
        <w:t>запошљавања</w:t>
      </w:r>
      <w:r w:rsidR="00D256F6" w:rsidRPr="00295637">
        <w:rPr>
          <w:lang w:val="bs-Latn-BA"/>
        </w:rPr>
        <w:t xml:space="preserve"> </w:t>
      </w:r>
      <w:r>
        <w:rPr>
          <w:lang w:val="bs-Latn-BA"/>
        </w:rPr>
        <w:t>у</w:t>
      </w:r>
      <w:r w:rsidR="00D256F6" w:rsidRPr="00295637">
        <w:rPr>
          <w:lang w:val="bs-Latn-BA"/>
        </w:rPr>
        <w:t xml:space="preserve"> 2024. </w:t>
      </w:r>
      <w:r>
        <w:rPr>
          <w:lang w:val="bs-Latn-BA"/>
        </w:rPr>
        <w:t>години</w:t>
      </w:r>
      <w:r w:rsidR="00D256F6" w:rsidRPr="00295637">
        <w:rPr>
          <w:lang w:val="bs-Latn-BA"/>
        </w:rPr>
        <w:t xml:space="preserve">, </w:t>
      </w:r>
      <w:r>
        <w:rPr>
          <w:lang w:val="bs-Latn-BA"/>
        </w:rPr>
        <w:t>вјероватно</w:t>
      </w:r>
      <w:r w:rsidR="00D256F6" w:rsidRPr="00295637">
        <w:rPr>
          <w:lang w:val="bs-Latn-BA"/>
        </w:rPr>
        <w:t xml:space="preserve"> </w:t>
      </w:r>
      <w:r>
        <w:rPr>
          <w:lang w:val="bs-Latn-BA"/>
        </w:rPr>
        <w:t>је</w:t>
      </w:r>
      <w:r w:rsidR="00D256F6" w:rsidRPr="00295637">
        <w:rPr>
          <w:lang w:val="bs-Latn-BA"/>
        </w:rPr>
        <w:t xml:space="preserve"> </w:t>
      </w:r>
      <w:r>
        <w:rPr>
          <w:lang w:val="bs-Latn-BA"/>
        </w:rPr>
        <w:t>присутан</w:t>
      </w:r>
      <w:r w:rsidR="00D256F6" w:rsidRPr="00295637">
        <w:rPr>
          <w:lang w:val="bs-Latn-BA"/>
        </w:rPr>
        <w:t xml:space="preserve"> </w:t>
      </w:r>
      <w:r>
        <w:rPr>
          <w:lang w:val="bs-Latn-BA"/>
        </w:rPr>
        <w:t>значајан</w:t>
      </w:r>
      <w:r w:rsidR="00D256F6" w:rsidRPr="00295637">
        <w:rPr>
          <w:lang w:val="bs-Latn-BA"/>
        </w:rPr>
        <w:t xml:space="preserve"> </w:t>
      </w:r>
      <w:r>
        <w:rPr>
          <w:lang w:val="bs-Latn-BA"/>
        </w:rPr>
        <w:t>број</w:t>
      </w:r>
      <w:r w:rsidR="00D256F6" w:rsidRPr="00295637">
        <w:rPr>
          <w:lang w:val="bs-Latn-BA"/>
        </w:rPr>
        <w:t xml:space="preserve"> </w:t>
      </w:r>
      <w:r>
        <w:rPr>
          <w:lang w:val="bs-Latn-BA"/>
        </w:rPr>
        <w:t>жена</w:t>
      </w:r>
      <w:r w:rsidR="00D256F6" w:rsidRPr="00295637">
        <w:rPr>
          <w:lang w:val="bs-Latn-BA"/>
        </w:rPr>
        <w:t xml:space="preserve"> </w:t>
      </w:r>
      <w:r>
        <w:rPr>
          <w:lang w:val="bs-Latn-BA"/>
        </w:rPr>
        <w:t>из</w:t>
      </w:r>
      <w:r w:rsidR="00D256F6" w:rsidRPr="00295637">
        <w:rPr>
          <w:lang w:val="bs-Latn-BA"/>
        </w:rPr>
        <w:t xml:space="preserve"> </w:t>
      </w:r>
      <w:r>
        <w:rPr>
          <w:lang w:val="bs-Latn-BA"/>
        </w:rPr>
        <w:t>рањивих</w:t>
      </w:r>
      <w:r w:rsidR="00D256F6" w:rsidRPr="00295637">
        <w:rPr>
          <w:lang w:val="bs-Latn-BA"/>
        </w:rPr>
        <w:t xml:space="preserve"> </w:t>
      </w:r>
      <w:r>
        <w:rPr>
          <w:lang w:val="bs-Latn-BA"/>
        </w:rPr>
        <w:t>категорија</w:t>
      </w:r>
      <w:r w:rsidR="00D256F6" w:rsidRPr="00295637">
        <w:rPr>
          <w:lang w:val="bs-Latn-BA"/>
        </w:rPr>
        <w:t xml:space="preserve">, </w:t>
      </w:r>
      <w:r>
        <w:rPr>
          <w:lang w:val="bs-Latn-BA"/>
        </w:rPr>
        <w:t>али</w:t>
      </w:r>
      <w:r w:rsidR="00D256F6" w:rsidRPr="00295637">
        <w:rPr>
          <w:lang w:val="bs-Latn-BA"/>
        </w:rPr>
        <w:t xml:space="preserve"> </w:t>
      </w:r>
      <w:r>
        <w:rPr>
          <w:lang w:val="bs-Latn-BA"/>
        </w:rPr>
        <w:t>не</w:t>
      </w:r>
      <w:r w:rsidR="00D256F6" w:rsidRPr="00295637">
        <w:rPr>
          <w:lang w:val="bs-Latn-BA"/>
        </w:rPr>
        <w:t xml:space="preserve"> </w:t>
      </w:r>
      <w:r>
        <w:rPr>
          <w:lang w:val="bs-Latn-BA"/>
        </w:rPr>
        <w:t>постоји</w:t>
      </w:r>
      <w:r w:rsidR="00D256F6" w:rsidRPr="00295637">
        <w:rPr>
          <w:lang w:val="bs-Latn-BA"/>
        </w:rPr>
        <w:t xml:space="preserve"> </w:t>
      </w:r>
      <w:r>
        <w:rPr>
          <w:lang w:val="bs-Latn-BA"/>
        </w:rPr>
        <w:t>систематска</w:t>
      </w:r>
      <w:r w:rsidR="00D256F6" w:rsidRPr="00295637">
        <w:rPr>
          <w:lang w:val="bs-Latn-BA"/>
        </w:rPr>
        <w:t xml:space="preserve"> </w:t>
      </w:r>
      <w:r>
        <w:rPr>
          <w:lang w:val="bs-Latn-BA"/>
        </w:rPr>
        <w:t>евиденција</w:t>
      </w:r>
      <w:r w:rsidR="00D256F6" w:rsidRPr="00295637">
        <w:rPr>
          <w:lang w:val="bs-Latn-BA"/>
        </w:rPr>
        <w:t xml:space="preserve"> </w:t>
      </w:r>
      <w:r>
        <w:rPr>
          <w:lang w:val="bs-Latn-BA"/>
        </w:rPr>
        <w:t>која</w:t>
      </w:r>
      <w:r w:rsidR="00D256F6" w:rsidRPr="00295637">
        <w:rPr>
          <w:lang w:val="bs-Latn-BA"/>
        </w:rPr>
        <w:t xml:space="preserve"> </w:t>
      </w:r>
      <w:r>
        <w:rPr>
          <w:lang w:val="bs-Latn-BA"/>
        </w:rPr>
        <w:t>би</w:t>
      </w:r>
      <w:r w:rsidR="00D256F6" w:rsidRPr="00295637">
        <w:rPr>
          <w:lang w:val="bs-Latn-BA"/>
        </w:rPr>
        <w:t xml:space="preserve"> </w:t>
      </w:r>
      <w:r>
        <w:rPr>
          <w:lang w:val="bs-Latn-BA"/>
        </w:rPr>
        <w:t>тачно</w:t>
      </w:r>
      <w:r w:rsidR="00D256F6" w:rsidRPr="00295637">
        <w:rPr>
          <w:lang w:val="bs-Latn-BA"/>
        </w:rPr>
        <w:t xml:space="preserve"> </w:t>
      </w:r>
      <w:r>
        <w:rPr>
          <w:lang w:val="bs-Latn-BA"/>
        </w:rPr>
        <w:t>одредила</w:t>
      </w:r>
      <w:r w:rsidR="00D256F6" w:rsidRPr="00295637">
        <w:rPr>
          <w:lang w:val="bs-Latn-BA"/>
        </w:rPr>
        <w:t xml:space="preserve"> </w:t>
      </w:r>
      <w:r>
        <w:rPr>
          <w:lang w:val="bs-Latn-BA"/>
        </w:rPr>
        <w:t>њихов</w:t>
      </w:r>
      <w:r w:rsidR="00D256F6" w:rsidRPr="00295637">
        <w:rPr>
          <w:lang w:val="bs-Latn-BA"/>
        </w:rPr>
        <w:t xml:space="preserve"> </w:t>
      </w:r>
      <w:r>
        <w:rPr>
          <w:lang w:val="bs-Latn-BA"/>
        </w:rPr>
        <w:t>број</w:t>
      </w:r>
      <w:r w:rsidR="00D256F6" w:rsidRPr="00295637">
        <w:rPr>
          <w:lang w:val="bs-Latn-BA"/>
        </w:rPr>
        <w:t xml:space="preserve"> </w:t>
      </w:r>
      <w:r>
        <w:rPr>
          <w:lang w:val="bs-Latn-BA"/>
        </w:rPr>
        <w:t>и</w:t>
      </w:r>
      <w:r w:rsidR="00D256F6" w:rsidRPr="00295637">
        <w:rPr>
          <w:lang w:val="bs-Latn-BA"/>
        </w:rPr>
        <w:t xml:space="preserve"> </w:t>
      </w:r>
      <w:r>
        <w:rPr>
          <w:lang w:val="bs-Latn-BA"/>
        </w:rPr>
        <w:t>структуру</w:t>
      </w:r>
      <w:r w:rsidR="00D256F6" w:rsidRPr="00295637">
        <w:rPr>
          <w:lang w:val="bs-Latn-BA"/>
        </w:rPr>
        <w:t>.</w:t>
      </w:r>
      <w:bookmarkEnd w:id="27"/>
    </w:p>
    <w:p w:rsidR="003674C0" w:rsidRPr="00295637" w:rsidRDefault="003674C0" w:rsidP="0086268D">
      <w:pPr>
        <w:pStyle w:val="Default"/>
        <w:jc w:val="both"/>
        <w:rPr>
          <w:color w:val="auto"/>
        </w:rPr>
      </w:pPr>
    </w:p>
    <w:p w:rsidR="00077F23" w:rsidRPr="00295637" w:rsidRDefault="00C6214E" w:rsidP="0086268D">
      <w:pPr>
        <w:pStyle w:val="ListParagraph"/>
        <w:ind w:left="0"/>
        <w:jc w:val="both"/>
        <w:rPr>
          <w:rFonts w:ascii="Times New Roman" w:hAnsi="Times New Roman"/>
          <w:lang w:val="sr-Latn-BA"/>
        </w:rPr>
      </w:pPr>
      <w:r>
        <w:rPr>
          <w:rFonts w:ascii="Times New Roman" w:hAnsi="Times New Roman"/>
          <w:lang w:val="sr-Cyrl-BA"/>
        </w:rPr>
        <w:t>На</w:t>
      </w:r>
      <w:r w:rsidR="00077F23" w:rsidRPr="00295637">
        <w:rPr>
          <w:rFonts w:ascii="Times New Roman" w:hAnsi="Times New Roman"/>
          <w:lang w:val="sr-Cyrl-BA"/>
        </w:rPr>
        <w:t xml:space="preserve"> </w:t>
      </w:r>
      <w:r>
        <w:rPr>
          <w:rFonts w:ascii="Times New Roman" w:hAnsi="Times New Roman"/>
          <w:lang w:val="hr-HR"/>
        </w:rPr>
        <w:t>основу</w:t>
      </w:r>
      <w:r w:rsidR="00077F23"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оног</w:t>
      </w:r>
      <w:r w:rsidR="00077F23" w:rsidRPr="00295637">
        <w:rPr>
          <w:rFonts w:ascii="Times New Roman" w:hAnsi="Times New Roman"/>
          <w:lang w:val="sr-Cyrl-BA"/>
        </w:rPr>
        <w:t xml:space="preserve"> </w:t>
      </w:r>
      <w:r>
        <w:rPr>
          <w:rFonts w:ascii="Times New Roman" w:hAnsi="Times New Roman"/>
          <w:lang w:val="sr-Cyrl-BA"/>
        </w:rPr>
        <w:t>плана</w:t>
      </w:r>
      <w:r w:rsidR="00077F23" w:rsidRPr="00295637">
        <w:rPr>
          <w:rFonts w:ascii="Times New Roman" w:hAnsi="Times New Roman"/>
          <w:lang w:val="sr-Latn-BA"/>
        </w:rPr>
        <w:t xml:space="preserve"> </w:t>
      </w:r>
      <w:r>
        <w:rPr>
          <w:rFonts w:ascii="Times New Roman" w:hAnsi="Times New Roman"/>
          <w:lang w:val="sr-Latn-BA"/>
        </w:rPr>
        <w:t>за</w:t>
      </w:r>
      <w:r w:rsidR="00077F23" w:rsidRPr="00295637">
        <w:rPr>
          <w:rFonts w:ascii="Times New Roman" w:hAnsi="Times New Roman"/>
          <w:lang w:val="sr-Latn-BA"/>
        </w:rPr>
        <w:t xml:space="preserve"> </w:t>
      </w:r>
      <w:r w:rsidR="00F82DDB">
        <w:rPr>
          <w:rFonts w:ascii="Times New Roman" w:hAnsi="Times New Roman"/>
          <w:lang w:val="sr-Cyrl-BA"/>
        </w:rPr>
        <w:t>спровођење</w:t>
      </w:r>
      <w:r w:rsidR="00077F23" w:rsidRPr="00295637">
        <w:rPr>
          <w:rFonts w:ascii="Times New Roman" w:hAnsi="Times New Roman"/>
          <w:lang w:val="sr-Latn-BA"/>
        </w:rPr>
        <w:t xml:space="preserve"> </w:t>
      </w:r>
      <w:r>
        <w:rPr>
          <w:rFonts w:ascii="Times New Roman" w:hAnsi="Times New Roman"/>
          <w:lang w:val="sr-Latn-BA"/>
        </w:rPr>
        <w:t>Стратегије</w:t>
      </w:r>
      <w:r w:rsidR="00077F23" w:rsidRPr="00295637">
        <w:rPr>
          <w:rFonts w:ascii="Times New Roman" w:hAnsi="Times New Roman"/>
          <w:lang w:val="sr-Latn-BA"/>
        </w:rPr>
        <w:t xml:space="preserve"> </w:t>
      </w:r>
      <w:r>
        <w:rPr>
          <w:rFonts w:ascii="Times New Roman" w:hAnsi="Times New Roman"/>
          <w:lang w:val="sr-Latn-BA"/>
        </w:rPr>
        <w:t>запошљавања</w:t>
      </w:r>
      <w:r w:rsidR="00077F23" w:rsidRPr="00295637">
        <w:rPr>
          <w:rFonts w:ascii="Times New Roman" w:hAnsi="Times New Roman"/>
          <w:lang w:val="sr-Latn-BA"/>
        </w:rPr>
        <w:t xml:space="preserve"> </w:t>
      </w:r>
      <w:r>
        <w:rPr>
          <w:rFonts w:ascii="Times New Roman" w:hAnsi="Times New Roman"/>
          <w:lang w:val="sr-Latn-BA"/>
        </w:rPr>
        <w:t>Републике</w:t>
      </w:r>
      <w:r w:rsidR="001C66BC">
        <w:rPr>
          <w:rFonts w:ascii="Times New Roman" w:hAnsi="Times New Roman"/>
          <w:lang w:val="sr-Latn-BA"/>
        </w:rPr>
        <w:t xml:space="preserve"> </w:t>
      </w:r>
      <w:r>
        <w:rPr>
          <w:rFonts w:ascii="Times New Roman" w:hAnsi="Times New Roman"/>
          <w:lang w:val="sr-Latn-BA"/>
        </w:rPr>
        <w:t>Српске</w:t>
      </w:r>
      <w:r w:rsidR="001C66BC">
        <w:rPr>
          <w:rFonts w:ascii="Times New Roman" w:hAnsi="Times New Roman"/>
          <w:lang w:val="sr-Latn-BA"/>
        </w:rPr>
        <w:t xml:space="preserve"> </w:t>
      </w:r>
      <w:r>
        <w:rPr>
          <w:rFonts w:ascii="Times New Roman" w:hAnsi="Times New Roman"/>
          <w:lang w:val="sr-Latn-BA"/>
        </w:rPr>
        <w:t>за</w:t>
      </w:r>
      <w:r w:rsidR="00077F23" w:rsidRPr="00295637">
        <w:rPr>
          <w:rFonts w:ascii="Times New Roman" w:hAnsi="Times New Roman"/>
          <w:lang w:val="sr-Latn-BA"/>
        </w:rPr>
        <w:t xml:space="preserve"> 2024. </w:t>
      </w:r>
      <w:r>
        <w:rPr>
          <w:rFonts w:ascii="Times New Roman" w:hAnsi="Times New Roman"/>
          <w:lang w:val="sr-Latn-BA"/>
        </w:rPr>
        <w:t>годину</w:t>
      </w:r>
      <w:r w:rsidR="00077F23" w:rsidRPr="00295637">
        <w:rPr>
          <w:rFonts w:ascii="Times New Roman" w:hAnsi="Times New Roman"/>
          <w:lang w:val="sr-Cyrl-BA"/>
        </w:rPr>
        <w:t xml:space="preserve">, </w:t>
      </w:r>
      <w:r>
        <w:rPr>
          <w:rFonts w:ascii="Times New Roman" w:hAnsi="Times New Roman"/>
          <w:lang w:val="sr-Cyrl-BA"/>
        </w:rPr>
        <w:t>ЈУ</w:t>
      </w:r>
      <w:r w:rsidR="00077F23" w:rsidRPr="00295637">
        <w:rPr>
          <w:rFonts w:ascii="Times New Roman" w:hAnsi="Times New Roman"/>
          <w:lang w:val="sr-Cyrl-BA"/>
        </w:rPr>
        <w:t xml:space="preserve"> </w:t>
      </w:r>
      <w:r>
        <w:rPr>
          <w:rFonts w:ascii="Times New Roman" w:hAnsi="Times New Roman"/>
          <w:lang w:val="sr-Cyrl-BA"/>
        </w:rPr>
        <w:t>З</w:t>
      </w:r>
      <w:r>
        <w:rPr>
          <w:rFonts w:ascii="Times New Roman" w:hAnsi="Times New Roman"/>
          <w:lang w:val="bs-Latn-BA"/>
        </w:rPr>
        <w:t>ЗЗ</w:t>
      </w:r>
      <w:r w:rsidR="003F220C" w:rsidRPr="00295637">
        <w:rPr>
          <w:rFonts w:ascii="Times New Roman" w:hAnsi="Times New Roman"/>
          <w:lang w:val="bs-Latn-BA"/>
        </w:rPr>
        <w:t xml:space="preserve"> </w:t>
      </w:r>
      <w:r>
        <w:rPr>
          <w:rFonts w:ascii="Times New Roman" w:hAnsi="Times New Roman"/>
          <w:lang w:val="bs-Latn-BA"/>
        </w:rPr>
        <w:t>РС</w:t>
      </w:r>
      <w:r w:rsidR="00077F23" w:rsidRPr="00295637">
        <w:rPr>
          <w:rFonts w:ascii="Times New Roman" w:hAnsi="Times New Roman"/>
          <w:lang w:val="sr-Cyrl-BA"/>
        </w:rPr>
        <w:t xml:space="preserve"> </w:t>
      </w:r>
      <w:r>
        <w:rPr>
          <w:rFonts w:ascii="Times New Roman" w:hAnsi="Times New Roman"/>
          <w:lang w:val="sr-Cyrl-BA"/>
        </w:rPr>
        <w:t>сачинио</w:t>
      </w:r>
      <w:r w:rsidR="00077F23" w:rsidRPr="00295637">
        <w:rPr>
          <w:rFonts w:ascii="Times New Roman" w:hAnsi="Times New Roman"/>
          <w:lang w:val="sr-Cyrl-BA"/>
        </w:rPr>
        <w:t xml:space="preserve"> </w:t>
      </w:r>
      <w:r>
        <w:rPr>
          <w:rFonts w:ascii="Times New Roman" w:hAnsi="Times New Roman"/>
          <w:lang w:val="bs-Latn-BA"/>
        </w:rPr>
        <w:t>је</w:t>
      </w:r>
      <w:r w:rsidR="00A839DA" w:rsidRPr="00295637">
        <w:rPr>
          <w:rFonts w:ascii="Times New Roman" w:hAnsi="Times New Roman"/>
          <w:lang w:val="sr-Cyrl-BA"/>
        </w:rPr>
        <w:t xml:space="preserve"> </w:t>
      </w:r>
      <w:r>
        <w:rPr>
          <w:rFonts w:ascii="Times New Roman" w:hAnsi="Times New Roman"/>
          <w:lang w:val="sr-Cyrl-BA"/>
        </w:rPr>
        <w:t>Приједлог</w:t>
      </w:r>
      <w:r w:rsidR="00077F23" w:rsidRPr="00295637">
        <w:rPr>
          <w:rFonts w:ascii="Times New Roman" w:hAnsi="Times New Roman"/>
          <w:lang w:val="sr-Cyrl-BA"/>
        </w:rPr>
        <w:t xml:space="preserve"> </w:t>
      </w:r>
      <w:r>
        <w:rPr>
          <w:rFonts w:ascii="Times New Roman" w:hAnsi="Times New Roman"/>
          <w:lang w:val="sr-Cyrl-BA"/>
        </w:rPr>
        <w:t>програма</w:t>
      </w:r>
      <w:r w:rsidR="00077F23" w:rsidRPr="00295637">
        <w:rPr>
          <w:rFonts w:ascii="Times New Roman" w:hAnsi="Times New Roman"/>
          <w:lang w:val="sr-Cyrl-BA"/>
        </w:rPr>
        <w:t xml:space="preserve"> </w:t>
      </w:r>
      <w:r>
        <w:rPr>
          <w:rFonts w:ascii="Times New Roman" w:hAnsi="Times New Roman"/>
          <w:lang w:val="sr-Cyrl-BA"/>
        </w:rPr>
        <w:t>запошљавања</w:t>
      </w:r>
      <w:r w:rsidR="00077F23" w:rsidRPr="00295637">
        <w:rPr>
          <w:rFonts w:ascii="Times New Roman" w:hAnsi="Times New Roman"/>
          <w:lang w:val="sr-Cyrl-BA"/>
        </w:rPr>
        <w:t xml:space="preserve"> </w:t>
      </w:r>
      <w:r>
        <w:rPr>
          <w:rFonts w:ascii="Times New Roman" w:hAnsi="Times New Roman"/>
          <w:lang w:val="sr-Cyrl-BA"/>
        </w:rPr>
        <w:t>у</w:t>
      </w:r>
      <w:r w:rsidR="00077F23"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077F23" w:rsidRPr="00295637">
        <w:rPr>
          <w:rFonts w:ascii="Times New Roman" w:hAnsi="Times New Roman"/>
          <w:lang w:val="sr-Cyrl-BA"/>
        </w:rPr>
        <w:t xml:space="preserve"> </w:t>
      </w:r>
      <w:r>
        <w:rPr>
          <w:rFonts w:ascii="Times New Roman" w:hAnsi="Times New Roman"/>
          <w:lang w:val="sr-Cyrl-BA"/>
        </w:rPr>
        <w:t>за</w:t>
      </w:r>
      <w:r w:rsidR="00077F23" w:rsidRPr="00295637">
        <w:rPr>
          <w:rFonts w:ascii="Times New Roman" w:hAnsi="Times New Roman"/>
          <w:lang w:val="sr-Cyrl-BA"/>
        </w:rPr>
        <w:t xml:space="preserve"> </w:t>
      </w:r>
      <w:r>
        <w:rPr>
          <w:rFonts w:ascii="Times New Roman" w:hAnsi="Times New Roman"/>
          <w:lang w:val="sr-Cyrl-BA"/>
        </w:rPr>
        <w:t>реализацију</w:t>
      </w:r>
      <w:r w:rsidR="00077F23"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оног</w:t>
      </w:r>
      <w:r w:rsidR="00077F23" w:rsidRPr="00295637">
        <w:rPr>
          <w:rFonts w:ascii="Times New Roman" w:hAnsi="Times New Roman"/>
          <w:lang w:val="sr-Cyrl-BA"/>
        </w:rPr>
        <w:t xml:space="preserve"> </w:t>
      </w:r>
      <w:r>
        <w:rPr>
          <w:rFonts w:ascii="Times New Roman" w:hAnsi="Times New Roman"/>
          <w:lang w:val="sr-Cyrl-BA"/>
        </w:rPr>
        <w:t>плана</w:t>
      </w:r>
      <w:r w:rsidR="00077F23" w:rsidRPr="00295637">
        <w:rPr>
          <w:rFonts w:ascii="Times New Roman" w:hAnsi="Times New Roman"/>
          <w:lang w:val="sr-Cyrl-BA"/>
        </w:rPr>
        <w:t xml:space="preserve"> </w:t>
      </w:r>
      <w:r>
        <w:rPr>
          <w:rFonts w:ascii="Times New Roman" w:hAnsi="Times New Roman"/>
          <w:lang w:val="sr-Cyrl-BA"/>
        </w:rPr>
        <w:t>запошљавања</w:t>
      </w:r>
      <w:r w:rsidR="00077F23" w:rsidRPr="00295637">
        <w:rPr>
          <w:rFonts w:ascii="Times New Roman" w:hAnsi="Times New Roman"/>
          <w:lang w:val="sr-Cyrl-BA"/>
        </w:rPr>
        <w:t xml:space="preserve"> </w:t>
      </w:r>
      <w:r>
        <w:rPr>
          <w:rFonts w:ascii="Times New Roman" w:hAnsi="Times New Roman"/>
          <w:lang w:val="sr-Cyrl-BA"/>
        </w:rPr>
        <w:t>у</w:t>
      </w:r>
      <w:r w:rsidR="00077F23" w:rsidRPr="00295637">
        <w:rPr>
          <w:rFonts w:ascii="Times New Roman" w:hAnsi="Times New Roman"/>
          <w:lang w:val="sr-Cyrl-BA"/>
        </w:rPr>
        <w:t xml:space="preserve"> 2024. </w:t>
      </w:r>
      <w:r>
        <w:rPr>
          <w:rFonts w:ascii="Times New Roman" w:hAnsi="Times New Roman"/>
          <w:lang w:val="sr-Cyrl-BA"/>
        </w:rPr>
        <w:t>години</w:t>
      </w:r>
      <w:r w:rsidR="00077F23" w:rsidRPr="00295637">
        <w:rPr>
          <w:rFonts w:ascii="Times New Roman" w:hAnsi="Times New Roman"/>
          <w:lang w:val="sr-Cyrl-BA"/>
        </w:rPr>
        <w:t xml:space="preserve"> </w:t>
      </w:r>
      <w:r>
        <w:rPr>
          <w:rFonts w:ascii="Times New Roman" w:hAnsi="Times New Roman"/>
          <w:lang w:val="sr-Cyrl-BA"/>
        </w:rPr>
        <w:t>и</w:t>
      </w:r>
      <w:r w:rsidR="00077F23" w:rsidRPr="00295637">
        <w:rPr>
          <w:rFonts w:ascii="Times New Roman" w:hAnsi="Times New Roman"/>
          <w:lang w:val="sr-Cyrl-BA"/>
        </w:rPr>
        <w:t xml:space="preserve"> </w:t>
      </w:r>
      <w:r>
        <w:rPr>
          <w:rFonts w:ascii="Times New Roman" w:hAnsi="Times New Roman"/>
          <w:lang w:val="sr-Cyrl-BA"/>
        </w:rPr>
        <w:t>програме</w:t>
      </w:r>
      <w:r w:rsidR="00077F23" w:rsidRPr="00295637">
        <w:rPr>
          <w:rFonts w:ascii="Times New Roman" w:hAnsi="Times New Roman"/>
          <w:lang w:val="sr-Cyrl-BA"/>
        </w:rPr>
        <w:t xml:space="preserve"> </w:t>
      </w:r>
      <w:r>
        <w:rPr>
          <w:rFonts w:ascii="Times New Roman" w:hAnsi="Times New Roman"/>
          <w:lang w:val="sr-Cyrl-BA"/>
        </w:rPr>
        <w:t>за</w:t>
      </w:r>
      <w:r w:rsidR="00077F23" w:rsidRPr="00295637">
        <w:rPr>
          <w:rFonts w:ascii="Times New Roman" w:hAnsi="Times New Roman"/>
          <w:lang w:val="sr-Cyrl-BA"/>
        </w:rPr>
        <w:t xml:space="preserve"> </w:t>
      </w:r>
      <w:r>
        <w:rPr>
          <w:rFonts w:ascii="Times New Roman" w:hAnsi="Times New Roman"/>
          <w:lang w:val="sr-Cyrl-BA"/>
        </w:rPr>
        <w:t>сваку</w:t>
      </w:r>
      <w:r w:rsidR="00077F23" w:rsidRPr="00295637">
        <w:rPr>
          <w:rFonts w:ascii="Times New Roman" w:hAnsi="Times New Roman"/>
          <w:lang w:val="sr-Cyrl-BA"/>
        </w:rPr>
        <w:t xml:space="preserve"> </w:t>
      </w:r>
      <w:r>
        <w:rPr>
          <w:rFonts w:ascii="Times New Roman" w:hAnsi="Times New Roman"/>
          <w:lang w:val="sr-Cyrl-BA"/>
        </w:rPr>
        <w:t>од</w:t>
      </w:r>
      <w:r w:rsidR="00077F23" w:rsidRPr="00295637">
        <w:rPr>
          <w:rFonts w:ascii="Times New Roman" w:hAnsi="Times New Roman"/>
          <w:lang w:val="sr-Cyrl-BA"/>
        </w:rPr>
        <w:t xml:space="preserve"> </w:t>
      </w:r>
      <w:r>
        <w:rPr>
          <w:rFonts w:ascii="Times New Roman" w:hAnsi="Times New Roman"/>
          <w:lang w:val="sr-Cyrl-BA"/>
        </w:rPr>
        <w:t>мјера</w:t>
      </w:r>
      <w:r w:rsidR="00077F23" w:rsidRPr="00295637">
        <w:rPr>
          <w:rFonts w:ascii="Times New Roman" w:hAnsi="Times New Roman"/>
          <w:lang w:val="sr-Cyrl-BA"/>
        </w:rPr>
        <w:t xml:space="preserve"> </w:t>
      </w:r>
      <w:r>
        <w:rPr>
          <w:rFonts w:ascii="Times New Roman" w:hAnsi="Times New Roman"/>
          <w:lang w:val="sr-Cyrl-BA"/>
        </w:rPr>
        <w:t>из</w:t>
      </w:r>
      <w:r w:rsidR="00077F23"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оног</w:t>
      </w:r>
      <w:r w:rsidR="00077F23" w:rsidRPr="00295637">
        <w:rPr>
          <w:rFonts w:ascii="Times New Roman" w:hAnsi="Times New Roman"/>
          <w:lang w:val="sr-Cyrl-BA"/>
        </w:rPr>
        <w:t xml:space="preserve"> </w:t>
      </w:r>
      <w:r>
        <w:rPr>
          <w:rFonts w:ascii="Times New Roman" w:hAnsi="Times New Roman"/>
          <w:lang w:val="sr-Cyrl-BA"/>
        </w:rPr>
        <w:t>плана</w:t>
      </w:r>
      <w:r w:rsidR="00077F23" w:rsidRPr="00295637">
        <w:rPr>
          <w:rFonts w:ascii="Times New Roman" w:hAnsi="Times New Roman"/>
          <w:lang w:val="sr-Cyrl-BA"/>
        </w:rPr>
        <w:t xml:space="preserve">. </w:t>
      </w:r>
      <w:r>
        <w:rPr>
          <w:rFonts w:ascii="Times New Roman" w:hAnsi="Times New Roman"/>
          <w:lang w:val="sr-Cyrl-BA"/>
        </w:rPr>
        <w:t>Индикатор</w:t>
      </w:r>
      <w:r w:rsidR="00077F23" w:rsidRPr="00295637">
        <w:rPr>
          <w:rFonts w:ascii="Times New Roman" w:hAnsi="Times New Roman"/>
          <w:lang w:val="sr-Latn-BA"/>
        </w:rPr>
        <w:t xml:space="preserve"> </w:t>
      </w:r>
      <w:r>
        <w:rPr>
          <w:rFonts w:ascii="Times New Roman" w:hAnsi="Times New Roman"/>
          <w:lang w:val="sr-Cyrl-BA"/>
        </w:rPr>
        <w:t>запошљавањ</w:t>
      </w:r>
      <w:r>
        <w:rPr>
          <w:rFonts w:ascii="Times New Roman" w:hAnsi="Times New Roman"/>
          <w:lang w:val="sr-Latn-BA"/>
        </w:rPr>
        <w:t>а</w:t>
      </w:r>
      <w:r w:rsidR="00077F23" w:rsidRPr="00295637">
        <w:rPr>
          <w:rFonts w:ascii="Times New Roman" w:hAnsi="Times New Roman"/>
          <w:lang w:val="sr-Cyrl-BA"/>
        </w:rPr>
        <w:t xml:space="preserve"> </w:t>
      </w:r>
      <w:r>
        <w:rPr>
          <w:rFonts w:ascii="Times New Roman" w:hAnsi="Times New Roman"/>
          <w:lang w:val="sr-Cyrl-BA"/>
        </w:rPr>
        <w:t>жена</w:t>
      </w:r>
      <w:r w:rsidR="00077F23" w:rsidRPr="00295637">
        <w:rPr>
          <w:rFonts w:ascii="Times New Roman" w:hAnsi="Times New Roman"/>
          <w:lang w:val="sr-Cyrl-BA"/>
        </w:rPr>
        <w:t xml:space="preserve"> </w:t>
      </w:r>
      <w:r>
        <w:rPr>
          <w:rFonts w:ascii="Times New Roman" w:hAnsi="Times New Roman"/>
          <w:lang w:val="sr-Cyrl-BA"/>
        </w:rPr>
        <w:t>се</w:t>
      </w:r>
      <w:r w:rsidR="00077F23" w:rsidRPr="00295637">
        <w:rPr>
          <w:rFonts w:ascii="Times New Roman" w:hAnsi="Times New Roman"/>
          <w:lang w:val="sr-Cyrl-BA"/>
        </w:rPr>
        <w:t xml:space="preserve"> </w:t>
      </w:r>
      <w:r>
        <w:rPr>
          <w:rFonts w:ascii="Times New Roman" w:hAnsi="Times New Roman"/>
          <w:lang w:val="sr-Cyrl-BA"/>
        </w:rPr>
        <w:t>реализ</w:t>
      </w:r>
      <w:r w:rsidR="00F82DDB">
        <w:rPr>
          <w:rFonts w:ascii="Times New Roman" w:hAnsi="Times New Roman"/>
          <w:lang w:val="sr-Cyrl-BA"/>
        </w:rPr>
        <w:t>овао</w:t>
      </w:r>
      <w:r w:rsidR="00077F23" w:rsidRPr="00295637">
        <w:rPr>
          <w:rFonts w:ascii="Times New Roman" w:hAnsi="Times New Roman"/>
          <w:lang w:val="sr-Cyrl-BA"/>
        </w:rPr>
        <w:t xml:space="preserve"> </w:t>
      </w:r>
      <w:r>
        <w:rPr>
          <w:rFonts w:ascii="Times New Roman" w:hAnsi="Times New Roman"/>
          <w:lang w:val="sr-Cyrl-BA"/>
        </w:rPr>
        <w:t>кроз</w:t>
      </w:r>
      <w:r w:rsidR="00077F23" w:rsidRPr="00295637">
        <w:rPr>
          <w:rFonts w:ascii="Times New Roman" w:hAnsi="Times New Roman"/>
          <w:lang w:val="sr-Cyrl-BA"/>
        </w:rPr>
        <w:t xml:space="preserve"> </w:t>
      </w:r>
      <w:r>
        <w:rPr>
          <w:rFonts w:ascii="Times New Roman" w:hAnsi="Times New Roman"/>
          <w:lang w:val="sr-Cyrl-BA"/>
        </w:rPr>
        <w:t>програме</w:t>
      </w:r>
      <w:r w:rsidR="00077F23" w:rsidRPr="00295637">
        <w:rPr>
          <w:rFonts w:ascii="Times New Roman" w:hAnsi="Times New Roman"/>
          <w:lang w:val="sr-Cyrl-BA"/>
        </w:rPr>
        <w:t xml:space="preserve"> </w:t>
      </w:r>
      <w:r>
        <w:rPr>
          <w:rFonts w:ascii="Times New Roman" w:hAnsi="Times New Roman"/>
          <w:lang w:val="sr-Cyrl-BA"/>
        </w:rPr>
        <w:t>запошљавања</w:t>
      </w:r>
      <w:r w:rsidR="00077F23" w:rsidRPr="00295637">
        <w:rPr>
          <w:rFonts w:ascii="Times New Roman" w:hAnsi="Times New Roman"/>
          <w:lang w:val="sr-Cyrl-BA"/>
        </w:rPr>
        <w:t xml:space="preserve"> </w:t>
      </w:r>
      <w:r>
        <w:rPr>
          <w:rFonts w:ascii="Times New Roman" w:hAnsi="Times New Roman"/>
          <w:lang w:val="sr-Cyrl-BA"/>
        </w:rPr>
        <w:t>који</w:t>
      </w:r>
      <w:r w:rsidR="00077F23" w:rsidRPr="00295637">
        <w:rPr>
          <w:rFonts w:ascii="Times New Roman" w:hAnsi="Times New Roman"/>
          <w:lang w:val="sr-Cyrl-BA"/>
        </w:rPr>
        <w:t xml:space="preserve"> </w:t>
      </w:r>
      <w:r>
        <w:rPr>
          <w:rFonts w:ascii="Times New Roman" w:hAnsi="Times New Roman"/>
          <w:lang w:val="sr-Cyrl-BA"/>
        </w:rPr>
        <w:t>су</w:t>
      </w:r>
      <w:r w:rsidR="00077F23" w:rsidRPr="00295637">
        <w:rPr>
          <w:rFonts w:ascii="Times New Roman" w:hAnsi="Times New Roman"/>
          <w:lang w:val="sr-Cyrl-BA"/>
        </w:rPr>
        <w:t xml:space="preserve"> </w:t>
      </w:r>
      <w:r>
        <w:rPr>
          <w:rFonts w:ascii="Times New Roman" w:hAnsi="Times New Roman"/>
          <w:lang w:val="sr-Cyrl-BA"/>
        </w:rPr>
        <w:t>саставни</w:t>
      </w:r>
      <w:r w:rsidR="00077F23" w:rsidRPr="00295637">
        <w:rPr>
          <w:rFonts w:ascii="Times New Roman" w:hAnsi="Times New Roman"/>
          <w:lang w:val="sr-Cyrl-BA"/>
        </w:rPr>
        <w:t xml:space="preserve"> </w:t>
      </w:r>
      <w:r>
        <w:rPr>
          <w:rFonts w:ascii="Times New Roman" w:hAnsi="Times New Roman"/>
          <w:lang w:val="sr-Cyrl-BA"/>
        </w:rPr>
        <w:t>дио</w:t>
      </w:r>
      <w:r w:rsidR="00077F23"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оног</w:t>
      </w:r>
      <w:r w:rsidR="00077F23" w:rsidRPr="00295637">
        <w:rPr>
          <w:rFonts w:ascii="Times New Roman" w:hAnsi="Times New Roman"/>
          <w:lang w:val="sr-Cyrl-BA"/>
        </w:rPr>
        <w:t xml:space="preserve"> </w:t>
      </w:r>
      <w:r>
        <w:rPr>
          <w:rFonts w:ascii="Times New Roman" w:hAnsi="Times New Roman"/>
          <w:lang w:val="sr-Cyrl-BA"/>
        </w:rPr>
        <w:t>плана</w:t>
      </w:r>
      <w:r w:rsidR="00077F23" w:rsidRPr="00295637">
        <w:rPr>
          <w:rFonts w:ascii="Times New Roman" w:hAnsi="Times New Roman"/>
          <w:lang w:val="sr-Cyrl-BA"/>
        </w:rPr>
        <w:t xml:space="preserve"> </w:t>
      </w:r>
      <w:r>
        <w:rPr>
          <w:rFonts w:ascii="Times New Roman" w:hAnsi="Times New Roman"/>
          <w:lang w:val="sr-Cyrl-BA"/>
        </w:rPr>
        <w:t>запошљавања</w:t>
      </w:r>
      <w:r w:rsidR="00077F23" w:rsidRPr="00295637">
        <w:rPr>
          <w:rFonts w:ascii="Times New Roman" w:hAnsi="Times New Roman"/>
          <w:lang w:val="sr-Cyrl-BA"/>
        </w:rPr>
        <w:t xml:space="preserve"> </w:t>
      </w:r>
      <w:r>
        <w:rPr>
          <w:rFonts w:ascii="Times New Roman" w:hAnsi="Times New Roman"/>
          <w:lang w:val="sr-Cyrl-BA"/>
        </w:rPr>
        <w:t>за</w:t>
      </w:r>
      <w:r w:rsidR="00077F23" w:rsidRPr="00295637">
        <w:rPr>
          <w:rFonts w:ascii="Times New Roman" w:hAnsi="Times New Roman"/>
          <w:lang w:val="sr-Cyrl-BA"/>
        </w:rPr>
        <w:t xml:space="preserve"> 2024. </w:t>
      </w:r>
      <w:r>
        <w:rPr>
          <w:rFonts w:ascii="Times New Roman" w:hAnsi="Times New Roman"/>
          <w:lang w:val="sr-Cyrl-BA"/>
        </w:rPr>
        <w:t>годину</w:t>
      </w:r>
      <w:r w:rsidR="00077F23" w:rsidRPr="00295637">
        <w:rPr>
          <w:rFonts w:ascii="Times New Roman" w:hAnsi="Times New Roman"/>
          <w:lang w:val="sr-Cyrl-BA"/>
        </w:rPr>
        <w:t xml:space="preserve">. </w:t>
      </w:r>
      <w:r>
        <w:rPr>
          <w:rFonts w:ascii="Times New Roman" w:hAnsi="Times New Roman"/>
          <w:lang w:val="sr-Cyrl-BA"/>
        </w:rPr>
        <w:t>У</w:t>
      </w:r>
      <w:r w:rsidR="00077F23" w:rsidRPr="00295637">
        <w:rPr>
          <w:rFonts w:ascii="Times New Roman" w:hAnsi="Times New Roman"/>
          <w:lang w:val="sr-Cyrl-BA"/>
        </w:rPr>
        <w:t xml:space="preserve"> </w:t>
      </w:r>
      <w:r>
        <w:rPr>
          <w:rFonts w:ascii="Times New Roman" w:hAnsi="Times New Roman"/>
          <w:lang w:val="sr-Cyrl-BA"/>
        </w:rPr>
        <w:t>извјештајном</w:t>
      </w:r>
      <w:r w:rsidR="00077F23" w:rsidRPr="00295637">
        <w:rPr>
          <w:rFonts w:ascii="Times New Roman" w:hAnsi="Times New Roman"/>
          <w:lang w:val="sr-Cyrl-BA"/>
        </w:rPr>
        <w:t xml:space="preserve"> </w:t>
      </w:r>
      <w:r>
        <w:rPr>
          <w:rFonts w:ascii="Times New Roman" w:hAnsi="Times New Roman"/>
          <w:lang w:val="hr-HR"/>
        </w:rPr>
        <w:t>периоду</w:t>
      </w:r>
      <w:r w:rsidR="00077F23" w:rsidRPr="00295637">
        <w:rPr>
          <w:rFonts w:ascii="Times New Roman" w:hAnsi="Times New Roman"/>
          <w:lang w:val="sr-Cyrl-BA"/>
        </w:rPr>
        <w:t xml:space="preserve"> </w:t>
      </w:r>
      <w:r>
        <w:rPr>
          <w:rFonts w:ascii="Times New Roman" w:hAnsi="Times New Roman"/>
          <w:lang w:val="sr-Cyrl-BA"/>
        </w:rPr>
        <w:t>реализ</w:t>
      </w:r>
      <w:r w:rsidR="00F82DDB">
        <w:rPr>
          <w:rFonts w:ascii="Times New Roman" w:hAnsi="Times New Roman"/>
          <w:lang w:val="sr-Cyrl-BA"/>
        </w:rPr>
        <w:t>овано</w:t>
      </w:r>
      <w:r w:rsidR="00077F23" w:rsidRPr="00295637">
        <w:rPr>
          <w:rFonts w:ascii="Times New Roman" w:hAnsi="Times New Roman"/>
          <w:lang w:val="sr-Cyrl-BA"/>
        </w:rPr>
        <w:t xml:space="preserve"> </w:t>
      </w:r>
      <w:r>
        <w:rPr>
          <w:rFonts w:ascii="Times New Roman" w:hAnsi="Times New Roman"/>
          <w:lang w:val="sr-Cyrl-BA"/>
        </w:rPr>
        <w:t>је</w:t>
      </w:r>
      <w:r w:rsidR="00077F23" w:rsidRPr="00295637">
        <w:rPr>
          <w:rFonts w:ascii="Times New Roman" w:hAnsi="Times New Roman"/>
          <w:lang w:val="sr-Cyrl-BA"/>
        </w:rPr>
        <w:t xml:space="preserve"> 5 </w:t>
      </w:r>
      <w:r>
        <w:rPr>
          <w:rFonts w:ascii="Times New Roman" w:hAnsi="Times New Roman"/>
          <w:lang w:val="sr-Cyrl-BA"/>
        </w:rPr>
        <w:t>програма</w:t>
      </w:r>
      <w:r w:rsidR="00077F23" w:rsidRPr="00295637">
        <w:rPr>
          <w:rFonts w:ascii="Times New Roman" w:hAnsi="Times New Roman"/>
          <w:lang w:val="sr-Cyrl-BA"/>
        </w:rPr>
        <w:t xml:space="preserve"> </w:t>
      </w:r>
      <w:r>
        <w:rPr>
          <w:rFonts w:ascii="Times New Roman" w:hAnsi="Times New Roman"/>
          <w:lang w:val="sr-Cyrl-BA"/>
        </w:rPr>
        <w:t>запошљавања</w:t>
      </w:r>
      <w:r w:rsidR="00077F23" w:rsidRPr="00295637">
        <w:rPr>
          <w:rFonts w:ascii="Times New Roman" w:hAnsi="Times New Roman"/>
          <w:lang w:val="sr-Cyrl-BA"/>
        </w:rPr>
        <w:t xml:space="preserve">. </w:t>
      </w:r>
      <w:r>
        <w:rPr>
          <w:rFonts w:ascii="Times New Roman" w:hAnsi="Times New Roman"/>
          <w:lang w:val="sr-Cyrl-BA"/>
        </w:rPr>
        <w:t>Укупно</w:t>
      </w:r>
      <w:r w:rsidR="00077F23" w:rsidRPr="00295637">
        <w:rPr>
          <w:rFonts w:ascii="Times New Roman" w:hAnsi="Times New Roman"/>
          <w:lang w:val="sr-Cyrl-BA"/>
        </w:rPr>
        <w:t xml:space="preserve"> </w:t>
      </w:r>
      <w:r>
        <w:rPr>
          <w:rFonts w:ascii="Times New Roman" w:hAnsi="Times New Roman"/>
          <w:lang w:val="sr-Cyrl-BA"/>
        </w:rPr>
        <w:t>по</w:t>
      </w:r>
      <w:r w:rsidR="00077F23"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оном</w:t>
      </w:r>
      <w:r w:rsidR="00077F23" w:rsidRPr="00295637">
        <w:rPr>
          <w:rFonts w:ascii="Times New Roman" w:hAnsi="Times New Roman"/>
          <w:lang w:val="sr-Cyrl-BA"/>
        </w:rPr>
        <w:t xml:space="preserve"> </w:t>
      </w:r>
      <w:r>
        <w:rPr>
          <w:rFonts w:ascii="Times New Roman" w:hAnsi="Times New Roman"/>
          <w:lang w:val="sr-Cyrl-BA"/>
        </w:rPr>
        <w:t>плану</w:t>
      </w:r>
      <w:r w:rsidR="00077F23" w:rsidRPr="00295637">
        <w:rPr>
          <w:rFonts w:ascii="Times New Roman" w:hAnsi="Times New Roman"/>
          <w:lang w:val="sr-Cyrl-BA"/>
        </w:rPr>
        <w:t xml:space="preserve"> </w:t>
      </w:r>
      <w:r>
        <w:rPr>
          <w:rFonts w:ascii="Times New Roman" w:hAnsi="Times New Roman"/>
          <w:lang w:val="sr-Cyrl-BA"/>
        </w:rPr>
        <w:t>за</w:t>
      </w:r>
      <w:r w:rsidR="00077F23" w:rsidRPr="00295637">
        <w:rPr>
          <w:rFonts w:ascii="Times New Roman" w:hAnsi="Times New Roman"/>
          <w:lang w:val="sr-Cyrl-BA"/>
        </w:rPr>
        <w:t xml:space="preserve"> 2024. </w:t>
      </w:r>
      <w:r>
        <w:rPr>
          <w:rFonts w:ascii="Times New Roman" w:hAnsi="Times New Roman"/>
          <w:lang w:val="sr-Cyrl-BA"/>
        </w:rPr>
        <w:t>годину</w:t>
      </w:r>
      <w:r w:rsidR="00077F23" w:rsidRPr="00295637">
        <w:rPr>
          <w:rFonts w:ascii="Times New Roman" w:hAnsi="Times New Roman"/>
          <w:lang w:val="sr-Cyrl-BA"/>
        </w:rPr>
        <w:t xml:space="preserve"> </w:t>
      </w:r>
      <w:r>
        <w:rPr>
          <w:rFonts w:ascii="Times New Roman" w:hAnsi="Times New Roman"/>
          <w:lang w:val="sr-Cyrl-BA"/>
        </w:rPr>
        <w:t>запослено</w:t>
      </w:r>
      <w:r w:rsidR="00077F23" w:rsidRPr="00295637">
        <w:rPr>
          <w:rFonts w:ascii="Times New Roman" w:hAnsi="Times New Roman"/>
          <w:lang w:val="sr-Cyrl-BA"/>
        </w:rPr>
        <w:t xml:space="preserve"> </w:t>
      </w:r>
      <w:r>
        <w:rPr>
          <w:rFonts w:ascii="Times New Roman" w:hAnsi="Times New Roman"/>
          <w:lang w:val="sr-Cyrl-BA"/>
        </w:rPr>
        <w:t>је</w:t>
      </w:r>
      <w:r w:rsidR="00077F23" w:rsidRPr="00295637">
        <w:rPr>
          <w:rFonts w:ascii="Times New Roman" w:hAnsi="Times New Roman"/>
          <w:lang w:val="sr-Latn-BA"/>
        </w:rPr>
        <w:t>:</w:t>
      </w:r>
      <w:r w:rsidR="003F220C" w:rsidRPr="00295637">
        <w:rPr>
          <w:rFonts w:ascii="Times New Roman" w:hAnsi="Times New Roman"/>
          <w:lang w:val="sr-Latn-BA"/>
        </w:rPr>
        <w:t xml:space="preserve"> </w:t>
      </w:r>
      <w:r w:rsidR="00077F23" w:rsidRPr="00295637">
        <w:rPr>
          <w:rFonts w:ascii="Times New Roman" w:hAnsi="Times New Roman"/>
          <w:lang w:val="sr-Cyrl-BA"/>
        </w:rPr>
        <w:t xml:space="preserve">885 </w:t>
      </w:r>
      <w:r>
        <w:rPr>
          <w:rFonts w:ascii="Times New Roman" w:hAnsi="Times New Roman"/>
          <w:lang w:val="hr-HR"/>
        </w:rPr>
        <w:t>лица</w:t>
      </w:r>
      <w:r w:rsidR="00077F23" w:rsidRPr="00295637">
        <w:rPr>
          <w:rFonts w:ascii="Times New Roman" w:hAnsi="Times New Roman"/>
          <w:lang w:val="sr-Latn-BA"/>
        </w:rPr>
        <w:t>,</w:t>
      </w:r>
      <w:r w:rsidR="00077F23" w:rsidRPr="00295637">
        <w:rPr>
          <w:rFonts w:ascii="Times New Roman" w:hAnsi="Times New Roman"/>
          <w:lang w:val="sr-Cyrl-BA"/>
        </w:rPr>
        <w:t xml:space="preserve"> </w:t>
      </w:r>
      <w:r>
        <w:rPr>
          <w:rFonts w:ascii="Times New Roman" w:hAnsi="Times New Roman"/>
          <w:lang w:val="sr-Cyrl-BA"/>
        </w:rPr>
        <w:t>од</w:t>
      </w:r>
      <w:r w:rsidR="00077F23" w:rsidRPr="00295637">
        <w:rPr>
          <w:rFonts w:ascii="Times New Roman" w:hAnsi="Times New Roman"/>
          <w:lang w:val="sr-Cyrl-BA"/>
        </w:rPr>
        <w:t xml:space="preserve"> </w:t>
      </w:r>
      <w:r>
        <w:rPr>
          <w:rFonts w:ascii="Times New Roman" w:hAnsi="Times New Roman"/>
          <w:lang w:val="sr-Latn-BA"/>
        </w:rPr>
        <w:t>че</w:t>
      </w:r>
      <w:r>
        <w:rPr>
          <w:rFonts w:ascii="Times New Roman" w:hAnsi="Times New Roman"/>
          <w:lang w:val="sr-Cyrl-BA"/>
        </w:rPr>
        <w:t>га</w:t>
      </w:r>
      <w:r w:rsidR="00077F23" w:rsidRPr="00295637">
        <w:rPr>
          <w:rFonts w:ascii="Times New Roman" w:hAnsi="Times New Roman"/>
          <w:lang w:val="sr-Cyrl-BA"/>
        </w:rPr>
        <w:t xml:space="preserve"> 466 </w:t>
      </w:r>
      <w:r>
        <w:rPr>
          <w:rFonts w:ascii="Times New Roman" w:hAnsi="Times New Roman"/>
          <w:lang w:val="sr-Cyrl-BA"/>
        </w:rPr>
        <w:t>жена</w:t>
      </w:r>
      <w:r w:rsidR="00077F23" w:rsidRPr="00295637">
        <w:rPr>
          <w:rFonts w:ascii="Times New Roman" w:hAnsi="Times New Roman"/>
          <w:lang w:val="sr-Latn-BA"/>
        </w:rPr>
        <w:t>;</w:t>
      </w:r>
      <w:r w:rsidR="003F220C" w:rsidRPr="00295637">
        <w:rPr>
          <w:rFonts w:ascii="Times New Roman" w:hAnsi="Times New Roman"/>
          <w:lang w:val="sr-Latn-BA"/>
        </w:rPr>
        <w:t xml:space="preserve"> </w:t>
      </w:r>
      <w:r>
        <w:rPr>
          <w:rFonts w:ascii="Times New Roman" w:hAnsi="Times New Roman"/>
          <w:lang w:val="sr-Latn-BA"/>
        </w:rPr>
        <w:t>п</w:t>
      </w:r>
      <w:r>
        <w:rPr>
          <w:rFonts w:ascii="Times New Roman" w:hAnsi="Times New Roman"/>
          <w:lang w:val="sr-Cyrl-BA"/>
        </w:rPr>
        <w:t>о</w:t>
      </w:r>
      <w:r w:rsidR="00077F23" w:rsidRPr="00295637">
        <w:rPr>
          <w:rFonts w:ascii="Times New Roman" w:hAnsi="Times New Roman"/>
          <w:lang w:val="sr-Cyrl-BA"/>
        </w:rPr>
        <w:t xml:space="preserve"> </w:t>
      </w:r>
      <w:r>
        <w:rPr>
          <w:rFonts w:ascii="Times New Roman" w:hAnsi="Times New Roman"/>
          <w:lang w:val="sr-Cyrl-BA"/>
        </w:rPr>
        <w:t>програму</w:t>
      </w:r>
      <w:r w:rsidR="00077F23"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дршке</w:t>
      </w:r>
      <w:r w:rsidR="00077F23" w:rsidRPr="00295637">
        <w:rPr>
          <w:rFonts w:ascii="Times New Roman" w:hAnsi="Times New Roman"/>
          <w:lang w:val="sr-Cyrl-BA"/>
        </w:rPr>
        <w:t xml:space="preserve"> </w:t>
      </w:r>
      <w:r>
        <w:rPr>
          <w:rFonts w:ascii="Times New Roman" w:hAnsi="Times New Roman"/>
          <w:lang w:val="sr-Cyrl-BA"/>
        </w:rPr>
        <w:t>запошљавањ</w:t>
      </w:r>
      <w:r>
        <w:rPr>
          <w:rFonts w:ascii="Times New Roman" w:hAnsi="Times New Roman"/>
          <w:lang w:val="sr-Latn-BA"/>
        </w:rPr>
        <w:t>а</w:t>
      </w:r>
      <w:r w:rsidR="00077F23" w:rsidRPr="00295637">
        <w:rPr>
          <w:rFonts w:ascii="Times New Roman" w:hAnsi="Times New Roman"/>
          <w:lang w:val="sr-Cyrl-BA"/>
        </w:rPr>
        <w:t xml:space="preserve"> </w:t>
      </w:r>
      <w:r>
        <w:rPr>
          <w:rFonts w:ascii="Times New Roman" w:hAnsi="Times New Roman"/>
          <w:lang w:val="sr-Cyrl-BA"/>
        </w:rPr>
        <w:t>младих</w:t>
      </w:r>
      <w:r w:rsidR="00077F23" w:rsidRPr="00295637">
        <w:rPr>
          <w:rFonts w:ascii="Times New Roman" w:hAnsi="Times New Roman"/>
          <w:lang w:val="sr-Cyrl-BA"/>
        </w:rPr>
        <w:t xml:space="preserve"> </w:t>
      </w:r>
      <w:r>
        <w:rPr>
          <w:rFonts w:ascii="Times New Roman" w:hAnsi="Times New Roman"/>
          <w:lang w:val="sr-Cyrl-BA"/>
        </w:rPr>
        <w:t>са</w:t>
      </w:r>
      <w:r w:rsidR="00077F23" w:rsidRPr="00295637">
        <w:rPr>
          <w:rFonts w:ascii="Times New Roman" w:hAnsi="Times New Roman"/>
          <w:lang w:val="sr-Cyrl-BA"/>
        </w:rPr>
        <w:t xml:space="preserve"> </w:t>
      </w:r>
      <w:r>
        <w:rPr>
          <w:rFonts w:ascii="Times New Roman" w:hAnsi="Times New Roman"/>
          <w:lang w:val="sr-Cyrl-BA"/>
        </w:rPr>
        <w:t>ВСС</w:t>
      </w:r>
      <w:r w:rsidR="00077F23" w:rsidRPr="00295637">
        <w:rPr>
          <w:rFonts w:ascii="Times New Roman" w:hAnsi="Times New Roman"/>
          <w:lang w:val="sr-Cyrl-BA"/>
        </w:rPr>
        <w:t xml:space="preserve"> </w:t>
      </w:r>
      <w:r>
        <w:rPr>
          <w:rFonts w:ascii="Times New Roman" w:hAnsi="Times New Roman"/>
          <w:lang w:val="sr-Cyrl-BA"/>
        </w:rPr>
        <w:t>у</w:t>
      </w:r>
      <w:r w:rsidR="00077F23" w:rsidRPr="00295637">
        <w:rPr>
          <w:rFonts w:ascii="Times New Roman" w:hAnsi="Times New Roman"/>
          <w:lang w:val="sr-Cyrl-BA"/>
        </w:rPr>
        <w:t xml:space="preserve"> </w:t>
      </w:r>
      <w:r>
        <w:rPr>
          <w:rFonts w:ascii="Times New Roman" w:hAnsi="Times New Roman"/>
          <w:lang w:val="sr-Cyrl-BA"/>
        </w:rPr>
        <w:t>статусу</w:t>
      </w:r>
      <w:r w:rsidR="00077F23" w:rsidRPr="00295637">
        <w:rPr>
          <w:rFonts w:ascii="Times New Roman" w:hAnsi="Times New Roman"/>
          <w:lang w:val="sr-Cyrl-BA"/>
        </w:rPr>
        <w:t xml:space="preserve"> </w:t>
      </w:r>
      <w:r>
        <w:rPr>
          <w:rFonts w:ascii="Times New Roman" w:hAnsi="Times New Roman"/>
          <w:lang w:val="sr-Cyrl-BA"/>
        </w:rPr>
        <w:t>приправника</w:t>
      </w:r>
      <w:r w:rsidR="00077F23" w:rsidRPr="00295637">
        <w:rPr>
          <w:rFonts w:ascii="Times New Roman" w:hAnsi="Times New Roman"/>
          <w:lang w:val="sr-Cyrl-BA"/>
        </w:rPr>
        <w:t xml:space="preserve"> </w:t>
      </w:r>
      <w:r>
        <w:rPr>
          <w:rFonts w:ascii="Times New Roman" w:hAnsi="Times New Roman"/>
          <w:lang w:val="sr-Cyrl-BA"/>
        </w:rPr>
        <w:t>запослено</w:t>
      </w:r>
      <w:r w:rsidR="00077F23" w:rsidRPr="00295637">
        <w:rPr>
          <w:rFonts w:ascii="Times New Roman" w:hAnsi="Times New Roman"/>
          <w:lang w:val="sr-Cyrl-BA"/>
        </w:rPr>
        <w:t xml:space="preserve"> </w:t>
      </w:r>
      <w:r>
        <w:rPr>
          <w:rFonts w:ascii="Times New Roman" w:hAnsi="Times New Roman"/>
          <w:lang w:val="sr-Cyrl-BA"/>
        </w:rPr>
        <w:t>је</w:t>
      </w:r>
      <w:r w:rsidR="00077F23" w:rsidRPr="00295637">
        <w:rPr>
          <w:rFonts w:ascii="Times New Roman" w:hAnsi="Times New Roman"/>
          <w:lang w:val="sr-Cyrl-BA"/>
        </w:rPr>
        <w:t xml:space="preserve"> 137 </w:t>
      </w:r>
      <w:r>
        <w:rPr>
          <w:rFonts w:ascii="Times New Roman" w:hAnsi="Times New Roman"/>
          <w:lang w:val="sr-Cyrl-BA"/>
        </w:rPr>
        <w:t>жена</w:t>
      </w:r>
      <w:r w:rsidR="00077F23" w:rsidRPr="00295637">
        <w:rPr>
          <w:rFonts w:ascii="Times New Roman" w:hAnsi="Times New Roman"/>
          <w:lang w:val="sr-Latn-BA"/>
        </w:rPr>
        <w:t>;</w:t>
      </w:r>
      <w:r w:rsidR="003F220C" w:rsidRPr="00295637">
        <w:rPr>
          <w:rFonts w:ascii="Times New Roman" w:hAnsi="Times New Roman"/>
          <w:lang w:val="sr-Latn-BA"/>
        </w:rPr>
        <w:t xml:space="preserve"> </w:t>
      </w:r>
      <w:r>
        <w:rPr>
          <w:rFonts w:ascii="Times New Roman" w:hAnsi="Times New Roman"/>
          <w:lang w:val="sr-Latn-BA"/>
        </w:rPr>
        <w:t>по</w:t>
      </w:r>
      <w:r w:rsidR="00077F23" w:rsidRPr="00295637">
        <w:rPr>
          <w:rFonts w:ascii="Times New Roman" w:hAnsi="Times New Roman"/>
          <w:lang w:val="sr-Latn-BA"/>
        </w:rPr>
        <w:t xml:space="preserve"> </w:t>
      </w:r>
      <w:r>
        <w:rPr>
          <w:rFonts w:ascii="Times New Roman" w:hAnsi="Times New Roman"/>
          <w:lang w:val="sr-Latn-BA"/>
        </w:rPr>
        <w:t>п</w:t>
      </w:r>
      <w:r>
        <w:rPr>
          <w:rFonts w:ascii="Times New Roman" w:hAnsi="Times New Roman"/>
          <w:lang w:val="sr-Cyrl-BA"/>
        </w:rPr>
        <w:t>рограм</w:t>
      </w:r>
      <w:r>
        <w:rPr>
          <w:rFonts w:ascii="Times New Roman" w:hAnsi="Times New Roman"/>
          <w:lang w:val="sr-Latn-BA"/>
        </w:rPr>
        <w:t>у</w:t>
      </w:r>
      <w:r w:rsidR="00077F23" w:rsidRPr="00295637">
        <w:rPr>
          <w:rFonts w:ascii="Times New Roman" w:hAnsi="Times New Roman"/>
          <w:lang w:val="sr-Cyrl-BA"/>
        </w:rPr>
        <w:t xml:space="preserve"> </w:t>
      </w:r>
      <w:r>
        <w:rPr>
          <w:rFonts w:ascii="Times New Roman" w:hAnsi="Times New Roman"/>
          <w:lang w:val="sr-Cyrl-BA"/>
        </w:rPr>
        <w:t>самозапошљавања</w:t>
      </w:r>
      <w:r w:rsidR="00077F23" w:rsidRPr="00295637">
        <w:rPr>
          <w:rFonts w:ascii="Times New Roman" w:hAnsi="Times New Roman"/>
          <w:lang w:val="sr-Latn-BA"/>
        </w:rPr>
        <w:t xml:space="preserve"> </w:t>
      </w:r>
      <w:r>
        <w:rPr>
          <w:rFonts w:ascii="Times New Roman" w:hAnsi="Times New Roman"/>
          <w:lang w:val="sr-Latn-BA"/>
        </w:rPr>
        <w:t>запослено</w:t>
      </w:r>
      <w:r w:rsidR="00077F23" w:rsidRPr="00295637">
        <w:rPr>
          <w:rFonts w:ascii="Times New Roman" w:hAnsi="Times New Roman"/>
          <w:lang w:val="sr-Latn-BA"/>
        </w:rPr>
        <w:t xml:space="preserve"> </w:t>
      </w:r>
      <w:r>
        <w:rPr>
          <w:rFonts w:ascii="Times New Roman" w:hAnsi="Times New Roman"/>
          <w:lang w:val="sr-Latn-BA"/>
        </w:rPr>
        <w:t>је</w:t>
      </w:r>
      <w:r w:rsidR="00077F23" w:rsidRPr="00295637">
        <w:rPr>
          <w:rFonts w:ascii="Times New Roman" w:hAnsi="Times New Roman"/>
          <w:lang w:val="sr-Cyrl-BA"/>
        </w:rPr>
        <w:t xml:space="preserve"> 120</w:t>
      </w:r>
      <w:r w:rsidR="00077F23" w:rsidRPr="00295637">
        <w:rPr>
          <w:rFonts w:ascii="Times New Roman" w:hAnsi="Times New Roman"/>
          <w:lang w:val="sr-Latn-BA"/>
        </w:rPr>
        <w:t xml:space="preserve"> </w:t>
      </w:r>
      <w:r>
        <w:rPr>
          <w:rFonts w:ascii="Times New Roman" w:hAnsi="Times New Roman"/>
          <w:lang w:val="sr-Latn-BA"/>
        </w:rPr>
        <w:t>жена</w:t>
      </w:r>
      <w:r w:rsidR="00A839DA">
        <w:rPr>
          <w:rFonts w:ascii="Times New Roman" w:hAnsi="Times New Roman"/>
          <w:lang w:val="sr-Latn-BA"/>
        </w:rPr>
        <w:t>,</w:t>
      </w:r>
      <w:r w:rsidR="003F220C" w:rsidRPr="00295637">
        <w:rPr>
          <w:rFonts w:ascii="Times New Roman" w:hAnsi="Times New Roman"/>
          <w:lang w:val="sr-Latn-BA"/>
        </w:rPr>
        <w:t xml:space="preserve"> </w:t>
      </w:r>
      <w:r>
        <w:rPr>
          <w:rFonts w:ascii="Times New Roman" w:hAnsi="Times New Roman"/>
          <w:lang w:val="sr-Latn-BA"/>
        </w:rPr>
        <w:t>а</w:t>
      </w:r>
      <w:r w:rsidR="003F220C" w:rsidRPr="00295637">
        <w:rPr>
          <w:rFonts w:ascii="Times New Roman" w:hAnsi="Times New Roman"/>
          <w:lang w:val="sr-Latn-BA"/>
        </w:rPr>
        <w:t xml:space="preserve"> </w:t>
      </w:r>
      <w:r>
        <w:rPr>
          <w:rFonts w:ascii="Times New Roman" w:hAnsi="Times New Roman"/>
          <w:lang w:val="sr-Cyrl-BA"/>
        </w:rPr>
        <w:t>по</w:t>
      </w:r>
      <w:r w:rsidR="00077F23" w:rsidRPr="00295637">
        <w:rPr>
          <w:rFonts w:ascii="Times New Roman" w:hAnsi="Times New Roman"/>
          <w:lang w:val="sr-Cyrl-BA"/>
        </w:rPr>
        <w:t xml:space="preserve"> </w:t>
      </w:r>
      <w:r>
        <w:rPr>
          <w:rFonts w:ascii="Times New Roman" w:hAnsi="Times New Roman"/>
          <w:lang w:val="sr-Cyrl-BA"/>
        </w:rPr>
        <w:t>програму</w:t>
      </w:r>
      <w:r w:rsidR="00077F23" w:rsidRPr="00295637">
        <w:rPr>
          <w:rFonts w:ascii="Times New Roman" w:hAnsi="Times New Roman"/>
          <w:lang w:val="sr-Cyrl-BA"/>
        </w:rPr>
        <w:t xml:space="preserve"> </w:t>
      </w:r>
      <w:r>
        <w:rPr>
          <w:rFonts w:ascii="Times New Roman" w:hAnsi="Times New Roman"/>
          <w:lang w:val="sr-Cyrl-BA"/>
        </w:rPr>
        <w:t>запошљавањ</w:t>
      </w:r>
      <w:r>
        <w:rPr>
          <w:rFonts w:ascii="Times New Roman" w:hAnsi="Times New Roman"/>
          <w:lang w:val="sr-Latn-BA"/>
        </w:rPr>
        <w:t>а</w:t>
      </w:r>
      <w:r w:rsidR="00077F23" w:rsidRPr="00295637">
        <w:rPr>
          <w:rFonts w:ascii="Times New Roman" w:hAnsi="Times New Roman"/>
          <w:lang w:val="sr-Cyrl-BA"/>
        </w:rPr>
        <w:t xml:space="preserve"> </w:t>
      </w:r>
      <w:r>
        <w:rPr>
          <w:rFonts w:ascii="Times New Roman" w:hAnsi="Times New Roman"/>
          <w:lang w:val="sr-Cyrl-BA"/>
        </w:rPr>
        <w:t>код</w:t>
      </w:r>
      <w:r w:rsidR="00077F23" w:rsidRPr="00295637">
        <w:rPr>
          <w:rFonts w:ascii="Times New Roman" w:hAnsi="Times New Roman"/>
          <w:lang w:val="sr-Cyrl-BA"/>
        </w:rPr>
        <w:t xml:space="preserve"> </w:t>
      </w:r>
      <w:r>
        <w:rPr>
          <w:rFonts w:ascii="Times New Roman" w:hAnsi="Times New Roman"/>
          <w:lang w:val="sr-Cyrl-BA"/>
        </w:rPr>
        <w:t>послода</w:t>
      </w:r>
      <w:r>
        <w:rPr>
          <w:rFonts w:ascii="Times New Roman" w:hAnsi="Times New Roman"/>
          <w:lang w:val="sr-Latn-BA"/>
        </w:rPr>
        <w:t>в</w:t>
      </w:r>
      <w:r>
        <w:rPr>
          <w:rFonts w:ascii="Times New Roman" w:hAnsi="Times New Roman"/>
          <w:lang w:val="sr-Cyrl-BA"/>
        </w:rPr>
        <w:t>ца</w:t>
      </w:r>
      <w:r w:rsidR="00077F23" w:rsidRPr="00295637">
        <w:rPr>
          <w:rFonts w:ascii="Times New Roman" w:hAnsi="Times New Roman"/>
          <w:lang w:val="sr-Latn-BA"/>
        </w:rPr>
        <w:t xml:space="preserve"> </w:t>
      </w:r>
      <w:r>
        <w:rPr>
          <w:rFonts w:ascii="Times New Roman" w:hAnsi="Times New Roman"/>
          <w:lang w:val="sr-Latn-BA"/>
        </w:rPr>
        <w:t>запослено</w:t>
      </w:r>
      <w:r w:rsidR="00077F23" w:rsidRPr="00295637">
        <w:rPr>
          <w:rFonts w:ascii="Times New Roman" w:hAnsi="Times New Roman"/>
          <w:lang w:val="sr-Latn-BA"/>
        </w:rPr>
        <w:t xml:space="preserve"> </w:t>
      </w:r>
      <w:r>
        <w:rPr>
          <w:rFonts w:ascii="Times New Roman" w:hAnsi="Times New Roman"/>
          <w:lang w:val="sr-Latn-BA"/>
        </w:rPr>
        <w:t>је</w:t>
      </w:r>
      <w:r w:rsidR="00077F23" w:rsidRPr="00295637">
        <w:rPr>
          <w:rFonts w:ascii="Times New Roman" w:hAnsi="Times New Roman"/>
          <w:lang w:val="sr-Cyrl-BA"/>
        </w:rPr>
        <w:t xml:space="preserve"> 209 </w:t>
      </w:r>
      <w:r>
        <w:rPr>
          <w:rFonts w:ascii="Times New Roman" w:hAnsi="Times New Roman"/>
          <w:lang w:val="sr-Cyrl-BA"/>
        </w:rPr>
        <w:t>жена</w:t>
      </w:r>
      <w:r w:rsidR="00077F23" w:rsidRPr="00295637">
        <w:rPr>
          <w:rFonts w:ascii="Times New Roman" w:hAnsi="Times New Roman"/>
          <w:lang w:val="sr-Cyrl-BA"/>
        </w:rPr>
        <w:t>.</w:t>
      </w:r>
    </w:p>
    <w:p w:rsidR="00077F23" w:rsidRPr="00295637" w:rsidRDefault="00077F23" w:rsidP="0086268D">
      <w:pPr>
        <w:pStyle w:val="ListParagraph"/>
        <w:ind w:left="0"/>
        <w:jc w:val="both"/>
        <w:rPr>
          <w:rFonts w:ascii="Times New Roman" w:hAnsi="Times New Roman"/>
          <w:lang w:val="sr-Cyrl-BA"/>
        </w:rPr>
      </w:pPr>
    </w:p>
    <w:p w:rsidR="00077F23" w:rsidRPr="00295637" w:rsidRDefault="00C6214E" w:rsidP="0086268D">
      <w:pPr>
        <w:jc w:val="both"/>
        <w:rPr>
          <w:rFonts w:ascii="Times New Roman" w:hAnsi="Times New Roman"/>
          <w:szCs w:val="24"/>
        </w:rPr>
      </w:pPr>
      <w:r>
        <w:rPr>
          <w:rFonts w:ascii="Times New Roman" w:hAnsi="Times New Roman"/>
          <w:szCs w:val="24"/>
        </w:rPr>
        <w:t>У</w:t>
      </w:r>
      <w:r w:rsidR="0040425A">
        <w:rPr>
          <w:rFonts w:ascii="Times New Roman" w:hAnsi="Times New Roman"/>
          <w:szCs w:val="24"/>
        </w:rPr>
        <w:t xml:space="preserve"> </w:t>
      </w:r>
      <w:r>
        <w:rPr>
          <w:rFonts w:ascii="Times New Roman" w:hAnsi="Times New Roman"/>
          <w:szCs w:val="24"/>
        </w:rPr>
        <w:t>складу</w:t>
      </w:r>
      <w:r w:rsidR="0040425A">
        <w:rPr>
          <w:rFonts w:ascii="Times New Roman" w:hAnsi="Times New Roman"/>
          <w:szCs w:val="24"/>
        </w:rPr>
        <w:t xml:space="preserve"> </w:t>
      </w:r>
      <w:r>
        <w:rPr>
          <w:rFonts w:ascii="Times New Roman" w:hAnsi="Times New Roman"/>
          <w:szCs w:val="24"/>
        </w:rPr>
        <w:t>са</w:t>
      </w:r>
      <w:r w:rsidR="00077F23" w:rsidRPr="00295637">
        <w:rPr>
          <w:rFonts w:ascii="Times New Roman" w:hAnsi="Times New Roman"/>
          <w:szCs w:val="24"/>
        </w:rPr>
        <w:t xml:space="preserve"> </w:t>
      </w:r>
      <w:r>
        <w:rPr>
          <w:rFonts w:ascii="Times New Roman" w:hAnsi="Times New Roman"/>
          <w:szCs w:val="24"/>
        </w:rPr>
        <w:t>Законом</w:t>
      </w:r>
      <w:r w:rsidR="00077F23" w:rsidRPr="00295637">
        <w:rPr>
          <w:rFonts w:ascii="Times New Roman" w:hAnsi="Times New Roman"/>
          <w:szCs w:val="24"/>
        </w:rPr>
        <w:t xml:space="preserve"> </w:t>
      </w:r>
      <w:r>
        <w:rPr>
          <w:rFonts w:ascii="Times New Roman" w:hAnsi="Times New Roman"/>
          <w:szCs w:val="24"/>
        </w:rPr>
        <w:t>о</w:t>
      </w:r>
      <w:r w:rsidR="00077F23" w:rsidRPr="00295637">
        <w:rPr>
          <w:rFonts w:ascii="Times New Roman" w:hAnsi="Times New Roman"/>
          <w:szCs w:val="24"/>
        </w:rPr>
        <w:t xml:space="preserve"> </w:t>
      </w:r>
      <w:r>
        <w:rPr>
          <w:rFonts w:ascii="Times New Roman" w:hAnsi="Times New Roman"/>
          <w:szCs w:val="24"/>
        </w:rPr>
        <w:t>заштити</w:t>
      </w:r>
      <w:r w:rsidR="00077F23" w:rsidRPr="00295637">
        <w:rPr>
          <w:rFonts w:ascii="Times New Roman" w:hAnsi="Times New Roman"/>
          <w:szCs w:val="24"/>
        </w:rPr>
        <w:t xml:space="preserve"> </w:t>
      </w:r>
      <w:r>
        <w:rPr>
          <w:rFonts w:ascii="Times New Roman" w:hAnsi="Times New Roman"/>
          <w:szCs w:val="24"/>
        </w:rPr>
        <w:t>од</w:t>
      </w:r>
      <w:r w:rsidR="00077F23" w:rsidRPr="00295637">
        <w:rPr>
          <w:rFonts w:ascii="Times New Roman" w:hAnsi="Times New Roman"/>
          <w:szCs w:val="24"/>
        </w:rPr>
        <w:t xml:space="preserve"> </w:t>
      </w:r>
      <w:r>
        <w:rPr>
          <w:rFonts w:ascii="Times New Roman" w:hAnsi="Times New Roman"/>
          <w:szCs w:val="24"/>
        </w:rPr>
        <w:t>узнемиравања</w:t>
      </w:r>
      <w:r w:rsidR="00077F23" w:rsidRPr="00295637">
        <w:rPr>
          <w:rFonts w:ascii="Times New Roman" w:hAnsi="Times New Roman"/>
          <w:szCs w:val="24"/>
        </w:rPr>
        <w:t xml:space="preserve"> </w:t>
      </w:r>
      <w:r>
        <w:rPr>
          <w:rFonts w:ascii="Times New Roman" w:hAnsi="Times New Roman"/>
          <w:szCs w:val="24"/>
        </w:rPr>
        <w:t>на</w:t>
      </w:r>
      <w:r w:rsidR="00077F23" w:rsidRPr="00295637">
        <w:rPr>
          <w:rFonts w:ascii="Times New Roman" w:hAnsi="Times New Roman"/>
          <w:szCs w:val="24"/>
        </w:rPr>
        <w:t xml:space="preserve"> </w:t>
      </w:r>
      <w:r>
        <w:rPr>
          <w:rFonts w:ascii="Times New Roman" w:hAnsi="Times New Roman"/>
          <w:szCs w:val="24"/>
        </w:rPr>
        <w:t>раду</w:t>
      </w:r>
      <w:r w:rsidR="00077F23" w:rsidRPr="00295637">
        <w:rPr>
          <w:rFonts w:ascii="Times New Roman" w:hAnsi="Times New Roman"/>
          <w:szCs w:val="24"/>
        </w:rPr>
        <w:t xml:space="preserve"> </w:t>
      </w:r>
      <w:r>
        <w:rPr>
          <w:rFonts w:ascii="Times New Roman" w:hAnsi="Times New Roman"/>
          <w:szCs w:val="24"/>
        </w:rPr>
        <w:t>РС</w:t>
      </w:r>
      <w:r w:rsidR="00077F23" w:rsidRPr="00295637">
        <w:rPr>
          <w:rFonts w:ascii="Times New Roman" w:hAnsi="Times New Roman"/>
          <w:szCs w:val="24"/>
        </w:rPr>
        <w:t xml:space="preserve"> (</w:t>
      </w:r>
      <w:r>
        <w:rPr>
          <w:rFonts w:ascii="Times New Roman" w:hAnsi="Times New Roman"/>
          <w:szCs w:val="24"/>
        </w:rPr>
        <w:t>видјети</w:t>
      </w:r>
      <w:r w:rsidR="00077F23" w:rsidRPr="00295637">
        <w:rPr>
          <w:rFonts w:ascii="Times New Roman" w:hAnsi="Times New Roman"/>
          <w:szCs w:val="24"/>
        </w:rPr>
        <w:t xml:space="preserve"> </w:t>
      </w:r>
      <w:r>
        <w:rPr>
          <w:rFonts w:ascii="Times New Roman" w:hAnsi="Times New Roman"/>
          <w:szCs w:val="24"/>
        </w:rPr>
        <w:t>дио</w:t>
      </w:r>
      <w:r w:rsidR="0040425A">
        <w:rPr>
          <w:rFonts w:ascii="Times New Roman" w:hAnsi="Times New Roman"/>
          <w:szCs w:val="24"/>
        </w:rPr>
        <w:t xml:space="preserve"> </w:t>
      </w:r>
      <w:r w:rsidR="00F82DDB">
        <w:rPr>
          <w:rFonts w:ascii="Times New Roman" w:hAnsi="Times New Roman"/>
          <w:szCs w:val="24"/>
        </w:rPr>
        <w:t>I</w:t>
      </w:r>
      <w:r w:rsidR="0040425A">
        <w:rPr>
          <w:rFonts w:ascii="Times New Roman" w:hAnsi="Times New Roman"/>
          <w:szCs w:val="24"/>
        </w:rPr>
        <w:t xml:space="preserve"> 1.</w:t>
      </w:r>
      <w:r w:rsidR="007C3593">
        <w:rPr>
          <w:rFonts w:ascii="Times New Roman" w:hAnsi="Times New Roman"/>
          <w:szCs w:val="24"/>
        </w:rPr>
        <w:t>9)</w:t>
      </w:r>
      <w:r w:rsidR="00077F23" w:rsidRPr="00295637">
        <w:rPr>
          <w:rFonts w:ascii="Times New Roman" w:hAnsi="Times New Roman"/>
          <w:szCs w:val="24"/>
        </w:rPr>
        <w:t xml:space="preserve"> </w:t>
      </w:r>
      <w:r>
        <w:rPr>
          <w:rFonts w:ascii="Times New Roman" w:hAnsi="Times New Roman"/>
          <w:szCs w:val="24"/>
        </w:rPr>
        <w:t>прописано</w:t>
      </w:r>
      <w:r w:rsidR="00077F23" w:rsidRPr="00295637">
        <w:rPr>
          <w:rFonts w:ascii="Times New Roman" w:hAnsi="Times New Roman"/>
          <w:szCs w:val="24"/>
        </w:rPr>
        <w:t xml:space="preserve"> </w:t>
      </w:r>
      <w:r>
        <w:rPr>
          <w:rFonts w:ascii="Times New Roman" w:hAnsi="Times New Roman"/>
          <w:szCs w:val="24"/>
        </w:rPr>
        <w:t>је</w:t>
      </w:r>
      <w:r w:rsidR="00077F23" w:rsidRPr="00295637">
        <w:rPr>
          <w:rFonts w:ascii="Times New Roman" w:hAnsi="Times New Roman"/>
          <w:szCs w:val="24"/>
        </w:rPr>
        <w:t xml:space="preserve"> </w:t>
      </w:r>
      <w:r>
        <w:rPr>
          <w:rFonts w:ascii="Times New Roman" w:hAnsi="Times New Roman"/>
          <w:szCs w:val="24"/>
        </w:rPr>
        <w:t>да</w:t>
      </w:r>
      <w:r w:rsidR="00077F23" w:rsidRPr="00295637">
        <w:rPr>
          <w:rFonts w:ascii="Times New Roman" w:hAnsi="Times New Roman"/>
          <w:szCs w:val="24"/>
        </w:rPr>
        <w:t xml:space="preserve"> </w:t>
      </w:r>
      <w:r>
        <w:rPr>
          <w:rFonts w:ascii="Times New Roman" w:hAnsi="Times New Roman"/>
          <w:szCs w:val="24"/>
        </w:rPr>
        <w:t>је</w:t>
      </w:r>
      <w:r w:rsidR="00077F23" w:rsidRPr="00295637">
        <w:rPr>
          <w:rFonts w:ascii="Times New Roman" w:hAnsi="Times New Roman"/>
          <w:szCs w:val="24"/>
        </w:rPr>
        <w:t xml:space="preserve"> </w:t>
      </w:r>
      <w:r>
        <w:rPr>
          <w:rFonts w:ascii="Times New Roman" w:hAnsi="Times New Roman"/>
          <w:szCs w:val="24"/>
        </w:rPr>
        <w:t>сваки</w:t>
      </w:r>
      <w:r w:rsidR="00077F23" w:rsidRPr="00295637">
        <w:rPr>
          <w:rFonts w:ascii="Times New Roman" w:hAnsi="Times New Roman"/>
          <w:szCs w:val="24"/>
        </w:rPr>
        <w:t xml:space="preserve"> </w:t>
      </w:r>
      <w:r>
        <w:rPr>
          <w:rFonts w:ascii="Times New Roman" w:hAnsi="Times New Roman"/>
          <w:szCs w:val="24"/>
        </w:rPr>
        <w:t>послодавац</w:t>
      </w:r>
      <w:r w:rsidR="00077F23" w:rsidRPr="00295637">
        <w:rPr>
          <w:rFonts w:ascii="Times New Roman" w:hAnsi="Times New Roman"/>
          <w:szCs w:val="24"/>
        </w:rPr>
        <w:t xml:space="preserve">, </w:t>
      </w:r>
      <w:r>
        <w:rPr>
          <w:rFonts w:ascii="Times New Roman" w:hAnsi="Times New Roman"/>
          <w:szCs w:val="24"/>
        </w:rPr>
        <w:t>који</w:t>
      </w:r>
      <w:r w:rsidR="00077F23" w:rsidRPr="00295637">
        <w:rPr>
          <w:rFonts w:ascii="Times New Roman" w:hAnsi="Times New Roman"/>
          <w:szCs w:val="24"/>
        </w:rPr>
        <w:t xml:space="preserve"> </w:t>
      </w:r>
      <w:r>
        <w:rPr>
          <w:rFonts w:ascii="Times New Roman" w:hAnsi="Times New Roman"/>
          <w:szCs w:val="24"/>
        </w:rPr>
        <w:t>запошљава</w:t>
      </w:r>
      <w:r w:rsidR="00077F23" w:rsidRPr="00295637">
        <w:rPr>
          <w:rFonts w:ascii="Times New Roman" w:hAnsi="Times New Roman"/>
          <w:szCs w:val="24"/>
        </w:rPr>
        <w:t xml:space="preserve"> 15 </w:t>
      </w:r>
      <w:r>
        <w:rPr>
          <w:rFonts w:ascii="Times New Roman" w:hAnsi="Times New Roman"/>
          <w:szCs w:val="24"/>
        </w:rPr>
        <w:t>и</w:t>
      </w:r>
      <w:r w:rsidR="00077F23" w:rsidRPr="00295637">
        <w:rPr>
          <w:rFonts w:ascii="Times New Roman" w:hAnsi="Times New Roman"/>
          <w:szCs w:val="24"/>
        </w:rPr>
        <w:t xml:space="preserve"> </w:t>
      </w:r>
      <w:r>
        <w:rPr>
          <w:rFonts w:ascii="Times New Roman" w:hAnsi="Times New Roman"/>
          <w:szCs w:val="24"/>
        </w:rPr>
        <w:t>више</w:t>
      </w:r>
      <w:r w:rsidR="00077F23" w:rsidRPr="00295637">
        <w:rPr>
          <w:rFonts w:ascii="Times New Roman" w:hAnsi="Times New Roman"/>
          <w:szCs w:val="24"/>
        </w:rPr>
        <w:t xml:space="preserve"> </w:t>
      </w:r>
      <w:r>
        <w:rPr>
          <w:rFonts w:ascii="Times New Roman" w:hAnsi="Times New Roman"/>
          <w:szCs w:val="24"/>
        </w:rPr>
        <w:t>радника</w:t>
      </w:r>
      <w:r w:rsidR="00077F23" w:rsidRPr="00295637">
        <w:rPr>
          <w:rFonts w:ascii="Times New Roman" w:hAnsi="Times New Roman"/>
          <w:szCs w:val="24"/>
        </w:rPr>
        <w:t xml:space="preserve">, </w:t>
      </w:r>
      <w:r>
        <w:rPr>
          <w:rFonts w:ascii="Times New Roman" w:hAnsi="Times New Roman"/>
          <w:szCs w:val="24"/>
        </w:rPr>
        <w:t>дужан</w:t>
      </w:r>
      <w:r w:rsidR="00077F23" w:rsidRPr="00295637">
        <w:rPr>
          <w:rFonts w:ascii="Times New Roman" w:hAnsi="Times New Roman"/>
          <w:szCs w:val="24"/>
        </w:rPr>
        <w:t xml:space="preserve"> </w:t>
      </w:r>
      <w:r>
        <w:rPr>
          <w:rFonts w:ascii="Times New Roman" w:hAnsi="Times New Roman"/>
          <w:szCs w:val="24"/>
        </w:rPr>
        <w:t>донијети</w:t>
      </w:r>
      <w:r w:rsidR="00077F23" w:rsidRPr="00295637">
        <w:rPr>
          <w:rFonts w:ascii="Times New Roman" w:hAnsi="Times New Roman"/>
          <w:szCs w:val="24"/>
        </w:rPr>
        <w:t xml:space="preserve"> </w:t>
      </w:r>
      <w:r>
        <w:rPr>
          <w:rFonts w:ascii="Times New Roman" w:hAnsi="Times New Roman"/>
          <w:szCs w:val="24"/>
        </w:rPr>
        <w:t>оп</w:t>
      </w:r>
      <w:r w:rsidR="00F82DDB">
        <w:rPr>
          <w:rFonts w:ascii="Times New Roman" w:hAnsi="Times New Roman"/>
          <w:szCs w:val="24"/>
          <w:lang w:val="sr-Cyrl-BA"/>
        </w:rPr>
        <w:t>шт</w:t>
      </w:r>
      <w:r>
        <w:rPr>
          <w:rFonts w:ascii="Times New Roman" w:hAnsi="Times New Roman"/>
          <w:szCs w:val="24"/>
        </w:rPr>
        <w:t>и</w:t>
      </w:r>
      <w:r w:rsidR="00077F23" w:rsidRPr="00295637">
        <w:rPr>
          <w:rFonts w:ascii="Times New Roman" w:hAnsi="Times New Roman"/>
          <w:szCs w:val="24"/>
        </w:rPr>
        <w:t xml:space="preserve"> </w:t>
      </w:r>
      <w:r>
        <w:rPr>
          <w:rFonts w:ascii="Times New Roman" w:hAnsi="Times New Roman"/>
          <w:szCs w:val="24"/>
        </w:rPr>
        <w:t>акт</w:t>
      </w:r>
      <w:r w:rsidR="00077F23" w:rsidRPr="00295637">
        <w:rPr>
          <w:rFonts w:ascii="Times New Roman" w:hAnsi="Times New Roman"/>
          <w:szCs w:val="24"/>
        </w:rPr>
        <w:t xml:space="preserve"> </w:t>
      </w:r>
      <w:r>
        <w:rPr>
          <w:rFonts w:ascii="Times New Roman" w:hAnsi="Times New Roman"/>
          <w:szCs w:val="24"/>
        </w:rPr>
        <w:t>којим</w:t>
      </w:r>
      <w:r w:rsidR="00077F23" w:rsidRPr="00295637">
        <w:rPr>
          <w:rFonts w:ascii="Times New Roman" w:hAnsi="Times New Roman"/>
          <w:szCs w:val="24"/>
        </w:rPr>
        <w:t xml:space="preserve"> </w:t>
      </w:r>
      <w:r>
        <w:rPr>
          <w:rFonts w:ascii="Times New Roman" w:hAnsi="Times New Roman"/>
          <w:szCs w:val="24"/>
        </w:rPr>
        <w:t>прописује</w:t>
      </w:r>
      <w:r w:rsidR="00077F23" w:rsidRPr="00295637">
        <w:rPr>
          <w:rFonts w:ascii="Times New Roman" w:hAnsi="Times New Roman"/>
          <w:szCs w:val="24"/>
        </w:rPr>
        <w:t xml:space="preserve"> </w:t>
      </w:r>
      <w:r>
        <w:rPr>
          <w:rFonts w:ascii="Times New Roman" w:hAnsi="Times New Roman"/>
          <w:szCs w:val="24"/>
        </w:rPr>
        <w:t>поступак</w:t>
      </w:r>
      <w:r w:rsidR="00077F23" w:rsidRPr="00295637">
        <w:rPr>
          <w:rFonts w:ascii="Times New Roman" w:hAnsi="Times New Roman"/>
          <w:szCs w:val="24"/>
        </w:rPr>
        <w:t xml:space="preserve"> </w:t>
      </w:r>
      <w:r>
        <w:rPr>
          <w:rFonts w:ascii="Times New Roman" w:hAnsi="Times New Roman"/>
          <w:szCs w:val="24"/>
        </w:rPr>
        <w:t>заштите</w:t>
      </w:r>
      <w:r w:rsidR="00077F23" w:rsidRPr="00295637">
        <w:rPr>
          <w:rFonts w:ascii="Times New Roman" w:hAnsi="Times New Roman"/>
          <w:szCs w:val="24"/>
        </w:rPr>
        <w:t xml:space="preserve"> </w:t>
      </w:r>
      <w:r>
        <w:rPr>
          <w:rFonts w:ascii="Times New Roman" w:hAnsi="Times New Roman"/>
          <w:szCs w:val="24"/>
        </w:rPr>
        <w:t>од</w:t>
      </w:r>
      <w:r w:rsidR="00077F23" w:rsidRPr="00295637">
        <w:rPr>
          <w:rFonts w:ascii="Times New Roman" w:hAnsi="Times New Roman"/>
          <w:szCs w:val="24"/>
        </w:rPr>
        <w:t xml:space="preserve"> </w:t>
      </w:r>
      <w:r>
        <w:rPr>
          <w:rFonts w:ascii="Times New Roman" w:hAnsi="Times New Roman"/>
          <w:szCs w:val="24"/>
        </w:rPr>
        <w:t>узнемиравања</w:t>
      </w:r>
      <w:r w:rsidR="00077F23" w:rsidRPr="00295637">
        <w:rPr>
          <w:rFonts w:ascii="Times New Roman" w:hAnsi="Times New Roman"/>
          <w:szCs w:val="24"/>
        </w:rPr>
        <w:t xml:space="preserve"> </w:t>
      </w:r>
      <w:r>
        <w:rPr>
          <w:rFonts w:ascii="Times New Roman" w:hAnsi="Times New Roman"/>
          <w:szCs w:val="24"/>
        </w:rPr>
        <w:t>на</w:t>
      </w:r>
      <w:r w:rsidR="00077F23" w:rsidRPr="00295637">
        <w:rPr>
          <w:rFonts w:ascii="Times New Roman" w:hAnsi="Times New Roman"/>
          <w:szCs w:val="24"/>
        </w:rPr>
        <w:t xml:space="preserve"> </w:t>
      </w:r>
      <w:r>
        <w:rPr>
          <w:rFonts w:ascii="Times New Roman" w:hAnsi="Times New Roman"/>
          <w:szCs w:val="24"/>
        </w:rPr>
        <w:t>раду</w:t>
      </w:r>
      <w:r w:rsidR="00077F23" w:rsidRPr="00295637">
        <w:rPr>
          <w:rFonts w:ascii="Times New Roman" w:hAnsi="Times New Roman"/>
          <w:szCs w:val="24"/>
        </w:rPr>
        <w:t xml:space="preserve">. </w:t>
      </w:r>
      <w:r>
        <w:rPr>
          <w:rFonts w:ascii="Times New Roman" w:hAnsi="Times New Roman"/>
          <w:szCs w:val="24"/>
        </w:rPr>
        <w:t>Ради</w:t>
      </w:r>
      <w:r w:rsidR="00077F23" w:rsidRPr="00295637">
        <w:rPr>
          <w:rFonts w:ascii="Times New Roman" w:hAnsi="Times New Roman"/>
          <w:szCs w:val="24"/>
        </w:rPr>
        <w:t xml:space="preserve"> </w:t>
      </w:r>
      <w:r>
        <w:rPr>
          <w:rFonts w:ascii="Times New Roman" w:hAnsi="Times New Roman"/>
          <w:szCs w:val="24"/>
        </w:rPr>
        <w:t>олакшавања</w:t>
      </w:r>
      <w:r w:rsidR="00077F23" w:rsidRPr="00295637">
        <w:rPr>
          <w:rFonts w:ascii="Times New Roman" w:hAnsi="Times New Roman"/>
          <w:szCs w:val="24"/>
        </w:rPr>
        <w:t xml:space="preserve"> </w:t>
      </w:r>
      <w:r>
        <w:rPr>
          <w:rFonts w:ascii="Times New Roman" w:hAnsi="Times New Roman"/>
          <w:szCs w:val="24"/>
        </w:rPr>
        <w:t>доношења</w:t>
      </w:r>
      <w:r w:rsidR="00077F23" w:rsidRPr="00295637">
        <w:rPr>
          <w:rFonts w:ascii="Times New Roman" w:hAnsi="Times New Roman"/>
          <w:szCs w:val="24"/>
        </w:rPr>
        <w:t xml:space="preserve"> </w:t>
      </w:r>
      <w:r>
        <w:rPr>
          <w:rFonts w:ascii="Times New Roman" w:hAnsi="Times New Roman"/>
          <w:szCs w:val="24"/>
        </w:rPr>
        <w:t>овог</w:t>
      </w:r>
      <w:r w:rsidR="00077F23" w:rsidRPr="00295637">
        <w:rPr>
          <w:rFonts w:ascii="Times New Roman" w:hAnsi="Times New Roman"/>
          <w:szCs w:val="24"/>
        </w:rPr>
        <w:t xml:space="preserve"> </w:t>
      </w:r>
      <w:r>
        <w:rPr>
          <w:rFonts w:ascii="Times New Roman" w:hAnsi="Times New Roman"/>
          <w:szCs w:val="24"/>
        </w:rPr>
        <w:t>оп</w:t>
      </w:r>
      <w:r w:rsidR="00F82DDB">
        <w:rPr>
          <w:rFonts w:ascii="Times New Roman" w:hAnsi="Times New Roman"/>
          <w:szCs w:val="24"/>
          <w:lang w:val="sr-Cyrl-BA"/>
        </w:rPr>
        <w:t>шт</w:t>
      </w:r>
      <w:r>
        <w:rPr>
          <w:rFonts w:ascii="Times New Roman" w:hAnsi="Times New Roman"/>
          <w:szCs w:val="24"/>
        </w:rPr>
        <w:t>ег</w:t>
      </w:r>
      <w:r w:rsidR="00077F23" w:rsidRPr="00295637">
        <w:rPr>
          <w:rFonts w:ascii="Times New Roman" w:hAnsi="Times New Roman"/>
          <w:szCs w:val="24"/>
        </w:rPr>
        <w:t xml:space="preserve"> </w:t>
      </w:r>
      <w:r>
        <w:rPr>
          <w:rFonts w:ascii="Times New Roman" w:hAnsi="Times New Roman"/>
          <w:szCs w:val="24"/>
        </w:rPr>
        <w:t>акта</w:t>
      </w:r>
      <w:r w:rsidR="00077F23" w:rsidRPr="00295637">
        <w:rPr>
          <w:rFonts w:ascii="Times New Roman" w:hAnsi="Times New Roman"/>
          <w:szCs w:val="24"/>
        </w:rPr>
        <w:t xml:space="preserve">, </w:t>
      </w:r>
      <w:r>
        <w:rPr>
          <w:rFonts w:ascii="Times New Roman" w:hAnsi="Times New Roman"/>
          <w:szCs w:val="24"/>
        </w:rPr>
        <w:t>организ</w:t>
      </w:r>
      <w:r w:rsidR="00F82DDB">
        <w:rPr>
          <w:rFonts w:ascii="Times New Roman" w:hAnsi="Times New Roman"/>
          <w:szCs w:val="24"/>
          <w:lang w:val="sr-Cyrl-BA"/>
        </w:rPr>
        <w:t>овани</w:t>
      </w:r>
      <w:r w:rsidR="00077F23" w:rsidRPr="00295637">
        <w:rPr>
          <w:rFonts w:ascii="Times New Roman" w:hAnsi="Times New Roman"/>
          <w:szCs w:val="24"/>
        </w:rPr>
        <w:t xml:space="preserve"> </w:t>
      </w:r>
      <w:r>
        <w:rPr>
          <w:rFonts w:ascii="Times New Roman" w:hAnsi="Times New Roman"/>
          <w:szCs w:val="24"/>
        </w:rPr>
        <w:t>су</w:t>
      </w:r>
      <w:r w:rsidR="00077F23" w:rsidRPr="00295637">
        <w:rPr>
          <w:rFonts w:ascii="Times New Roman" w:hAnsi="Times New Roman"/>
          <w:szCs w:val="24"/>
        </w:rPr>
        <w:t xml:space="preserve"> </w:t>
      </w:r>
      <w:r>
        <w:rPr>
          <w:rFonts w:ascii="Times New Roman" w:hAnsi="Times New Roman"/>
          <w:szCs w:val="24"/>
        </w:rPr>
        <w:t>семинари</w:t>
      </w:r>
      <w:r w:rsidR="00077F23" w:rsidRPr="00295637">
        <w:rPr>
          <w:rFonts w:ascii="Times New Roman" w:hAnsi="Times New Roman"/>
          <w:szCs w:val="24"/>
        </w:rPr>
        <w:t>/</w:t>
      </w:r>
      <w:r>
        <w:rPr>
          <w:rFonts w:ascii="Times New Roman" w:hAnsi="Times New Roman"/>
          <w:szCs w:val="24"/>
        </w:rPr>
        <w:t>вебинари</w:t>
      </w:r>
      <w:r w:rsidR="00B2600A" w:rsidRPr="00295637">
        <w:rPr>
          <w:rStyle w:val="FootnoteReference"/>
          <w:rFonts w:ascii="Times New Roman" w:hAnsi="Times New Roman"/>
          <w:szCs w:val="24"/>
        </w:rPr>
        <w:footnoteReference w:id="4"/>
      </w:r>
      <w:r w:rsidR="00077F23" w:rsidRPr="00295637">
        <w:rPr>
          <w:rFonts w:ascii="Times New Roman" w:hAnsi="Times New Roman"/>
          <w:szCs w:val="24"/>
        </w:rPr>
        <w:t xml:space="preserve"> </w:t>
      </w:r>
      <w:r>
        <w:rPr>
          <w:rFonts w:ascii="Times New Roman" w:hAnsi="Times New Roman"/>
          <w:szCs w:val="24"/>
        </w:rPr>
        <w:t>о</w:t>
      </w:r>
      <w:r w:rsidR="00077F23" w:rsidRPr="00295637">
        <w:rPr>
          <w:rFonts w:ascii="Times New Roman" w:hAnsi="Times New Roman"/>
          <w:szCs w:val="24"/>
        </w:rPr>
        <w:t xml:space="preserve"> </w:t>
      </w:r>
      <w:r>
        <w:rPr>
          <w:rFonts w:ascii="Times New Roman" w:hAnsi="Times New Roman"/>
          <w:szCs w:val="24"/>
        </w:rPr>
        <w:t>примјени</w:t>
      </w:r>
      <w:r w:rsidR="00077F23" w:rsidRPr="00295637">
        <w:rPr>
          <w:rFonts w:ascii="Times New Roman" w:hAnsi="Times New Roman"/>
          <w:szCs w:val="24"/>
        </w:rPr>
        <w:t xml:space="preserve"> </w:t>
      </w:r>
      <w:r>
        <w:rPr>
          <w:rFonts w:ascii="Times New Roman" w:hAnsi="Times New Roman"/>
          <w:szCs w:val="24"/>
        </w:rPr>
        <w:t>овог</w:t>
      </w:r>
      <w:r w:rsidR="00077F23" w:rsidRPr="00295637">
        <w:rPr>
          <w:rFonts w:ascii="Times New Roman" w:hAnsi="Times New Roman"/>
          <w:szCs w:val="24"/>
        </w:rPr>
        <w:t xml:space="preserve"> </w:t>
      </w:r>
      <w:r>
        <w:rPr>
          <w:rFonts w:ascii="Times New Roman" w:hAnsi="Times New Roman"/>
          <w:szCs w:val="24"/>
        </w:rPr>
        <w:t>закона</w:t>
      </w:r>
      <w:r w:rsidR="00077F23" w:rsidRPr="00295637">
        <w:rPr>
          <w:rFonts w:ascii="Times New Roman" w:hAnsi="Times New Roman"/>
          <w:szCs w:val="24"/>
        </w:rPr>
        <w:t xml:space="preserve">, </w:t>
      </w:r>
      <w:r>
        <w:rPr>
          <w:rFonts w:ascii="Times New Roman" w:hAnsi="Times New Roman"/>
          <w:szCs w:val="24"/>
        </w:rPr>
        <w:t>намијењени</w:t>
      </w:r>
      <w:r w:rsidR="00077F23" w:rsidRPr="00295637">
        <w:rPr>
          <w:rFonts w:ascii="Times New Roman" w:hAnsi="Times New Roman"/>
          <w:szCs w:val="24"/>
        </w:rPr>
        <w:t xml:space="preserve"> </w:t>
      </w:r>
      <w:r>
        <w:rPr>
          <w:rFonts w:ascii="Times New Roman" w:hAnsi="Times New Roman"/>
          <w:szCs w:val="24"/>
        </w:rPr>
        <w:t>шефовима</w:t>
      </w:r>
      <w:r w:rsidR="00077F23" w:rsidRPr="00295637">
        <w:rPr>
          <w:rFonts w:ascii="Times New Roman" w:hAnsi="Times New Roman"/>
          <w:szCs w:val="24"/>
        </w:rPr>
        <w:t xml:space="preserve"> </w:t>
      </w:r>
      <w:r>
        <w:rPr>
          <w:rFonts w:ascii="Times New Roman" w:hAnsi="Times New Roman"/>
          <w:szCs w:val="24"/>
        </w:rPr>
        <w:t>правних</w:t>
      </w:r>
      <w:r w:rsidR="00077F23" w:rsidRPr="00295637">
        <w:rPr>
          <w:rFonts w:ascii="Times New Roman" w:hAnsi="Times New Roman"/>
          <w:szCs w:val="24"/>
        </w:rPr>
        <w:t xml:space="preserve"> </w:t>
      </w:r>
      <w:r>
        <w:rPr>
          <w:rFonts w:ascii="Times New Roman" w:hAnsi="Times New Roman"/>
          <w:szCs w:val="24"/>
        </w:rPr>
        <w:t>служби</w:t>
      </w:r>
      <w:r w:rsidR="00077F23" w:rsidRPr="00295637">
        <w:rPr>
          <w:rFonts w:ascii="Times New Roman" w:hAnsi="Times New Roman"/>
          <w:szCs w:val="24"/>
        </w:rPr>
        <w:t xml:space="preserve"> </w:t>
      </w:r>
      <w:r>
        <w:rPr>
          <w:rFonts w:ascii="Times New Roman" w:hAnsi="Times New Roman"/>
          <w:szCs w:val="24"/>
        </w:rPr>
        <w:t>у</w:t>
      </w:r>
      <w:r w:rsidR="00077F23" w:rsidRPr="00295637">
        <w:rPr>
          <w:rFonts w:ascii="Times New Roman" w:hAnsi="Times New Roman"/>
          <w:szCs w:val="24"/>
        </w:rPr>
        <w:t xml:space="preserve"> </w:t>
      </w:r>
      <w:r>
        <w:rPr>
          <w:rFonts w:ascii="Times New Roman" w:hAnsi="Times New Roman"/>
          <w:szCs w:val="24"/>
        </w:rPr>
        <w:t>јавном</w:t>
      </w:r>
      <w:r w:rsidR="00077F23" w:rsidRPr="00295637">
        <w:rPr>
          <w:rFonts w:ascii="Times New Roman" w:hAnsi="Times New Roman"/>
          <w:szCs w:val="24"/>
        </w:rPr>
        <w:t xml:space="preserve"> </w:t>
      </w:r>
      <w:r>
        <w:rPr>
          <w:rFonts w:ascii="Times New Roman" w:hAnsi="Times New Roman"/>
          <w:szCs w:val="24"/>
        </w:rPr>
        <w:t>и</w:t>
      </w:r>
      <w:r w:rsidR="00077F23" w:rsidRPr="00295637">
        <w:rPr>
          <w:rFonts w:ascii="Times New Roman" w:hAnsi="Times New Roman"/>
          <w:szCs w:val="24"/>
        </w:rPr>
        <w:t xml:space="preserve"> </w:t>
      </w:r>
      <w:r>
        <w:rPr>
          <w:rFonts w:ascii="Times New Roman" w:hAnsi="Times New Roman"/>
          <w:szCs w:val="24"/>
        </w:rPr>
        <w:t>приватном</w:t>
      </w:r>
      <w:r w:rsidR="00077F23" w:rsidRPr="00295637">
        <w:rPr>
          <w:rFonts w:ascii="Times New Roman" w:hAnsi="Times New Roman"/>
          <w:szCs w:val="24"/>
        </w:rPr>
        <w:t xml:space="preserve"> </w:t>
      </w:r>
      <w:r>
        <w:rPr>
          <w:rFonts w:ascii="Times New Roman" w:hAnsi="Times New Roman"/>
          <w:szCs w:val="24"/>
        </w:rPr>
        <w:t>сектору</w:t>
      </w:r>
      <w:r w:rsidR="00077F23" w:rsidRPr="00295637">
        <w:rPr>
          <w:rFonts w:ascii="Times New Roman" w:hAnsi="Times New Roman"/>
          <w:szCs w:val="24"/>
        </w:rPr>
        <w:t xml:space="preserve">, </w:t>
      </w:r>
      <w:r>
        <w:rPr>
          <w:rFonts w:ascii="Times New Roman" w:hAnsi="Times New Roman"/>
          <w:szCs w:val="24"/>
        </w:rPr>
        <w:t>адвокатима</w:t>
      </w:r>
      <w:r w:rsidR="00077F23" w:rsidRPr="00295637">
        <w:rPr>
          <w:rFonts w:ascii="Times New Roman" w:hAnsi="Times New Roman"/>
          <w:szCs w:val="24"/>
        </w:rPr>
        <w:t xml:space="preserve"> </w:t>
      </w:r>
      <w:r>
        <w:rPr>
          <w:rFonts w:ascii="Times New Roman" w:hAnsi="Times New Roman"/>
          <w:szCs w:val="24"/>
        </w:rPr>
        <w:t>и</w:t>
      </w:r>
      <w:r w:rsidR="00077F23" w:rsidRPr="00295637">
        <w:rPr>
          <w:rFonts w:ascii="Times New Roman" w:hAnsi="Times New Roman"/>
          <w:szCs w:val="24"/>
        </w:rPr>
        <w:t xml:space="preserve"> </w:t>
      </w:r>
      <w:r>
        <w:rPr>
          <w:rFonts w:ascii="Times New Roman" w:hAnsi="Times New Roman"/>
          <w:szCs w:val="24"/>
        </w:rPr>
        <w:t>правницима</w:t>
      </w:r>
      <w:r w:rsidR="00077F23" w:rsidRPr="00295637">
        <w:rPr>
          <w:rFonts w:ascii="Times New Roman" w:hAnsi="Times New Roman"/>
          <w:szCs w:val="24"/>
        </w:rPr>
        <w:t xml:space="preserve"> </w:t>
      </w:r>
      <w:r>
        <w:rPr>
          <w:rFonts w:ascii="Times New Roman" w:hAnsi="Times New Roman"/>
          <w:szCs w:val="24"/>
        </w:rPr>
        <w:t>у</w:t>
      </w:r>
      <w:r w:rsidR="00077F23" w:rsidRPr="00295637">
        <w:rPr>
          <w:rFonts w:ascii="Times New Roman" w:hAnsi="Times New Roman"/>
          <w:szCs w:val="24"/>
        </w:rPr>
        <w:t xml:space="preserve"> </w:t>
      </w:r>
      <w:r>
        <w:rPr>
          <w:rFonts w:ascii="Times New Roman" w:hAnsi="Times New Roman"/>
          <w:szCs w:val="24"/>
        </w:rPr>
        <w:t>привредним</w:t>
      </w:r>
      <w:r w:rsidR="00077F23" w:rsidRPr="00295637">
        <w:rPr>
          <w:rFonts w:ascii="Times New Roman" w:hAnsi="Times New Roman"/>
          <w:szCs w:val="24"/>
        </w:rPr>
        <w:t xml:space="preserve"> </w:t>
      </w:r>
      <w:r>
        <w:rPr>
          <w:rFonts w:ascii="Times New Roman" w:hAnsi="Times New Roman"/>
          <w:szCs w:val="24"/>
        </w:rPr>
        <w:t>друштвима</w:t>
      </w:r>
      <w:r w:rsidR="00077F23" w:rsidRPr="00295637">
        <w:rPr>
          <w:rFonts w:ascii="Times New Roman" w:hAnsi="Times New Roman"/>
          <w:szCs w:val="24"/>
        </w:rPr>
        <w:t xml:space="preserve">, </w:t>
      </w:r>
      <w:r>
        <w:rPr>
          <w:rFonts w:ascii="Times New Roman" w:hAnsi="Times New Roman"/>
          <w:szCs w:val="24"/>
        </w:rPr>
        <w:t>јавним</w:t>
      </w:r>
      <w:r w:rsidR="00077F23" w:rsidRPr="00295637">
        <w:rPr>
          <w:rFonts w:ascii="Times New Roman" w:hAnsi="Times New Roman"/>
          <w:szCs w:val="24"/>
        </w:rPr>
        <w:t xml:space="preserve"> </w:t>
      </w:r>
      <w:r>
        <w:rPr>
          <w:rFonts w:ascii="Times New Roman" w:hAnsi="Times New Roman"/>
          <w:szCs w:val="24"/>
        </w:rPr>
        <w:t>установама</w:t>
      </w:r>
      <w:r w:rsidR="00077F23" w:rsidRPr="00295637">
        <w:rPr>
          <w:rFonts w:ascii="Times New Roman" w:hAnsi="Times New Roman"/>
          <w:szCs w:val="24"/>
        </w:rPr>
        <w:t xml:space="preserve"> </w:t>
      </w:r>
      <w:r>
        <w:rPr>
          <w:rFonts w:ascii="Times New Roman" w:hAnsi="Times New Roman"/>
          <w:szCs w:val="24"/>
        </w:rPr>
        <w:t>и</w:t>
      </w:r>
      <w:r w:rsidR="00077F23" w:rsidRPr="00295637">
        <w:rPr>
          <w:rFonts w:ascii="Times New Roman" w:hAnsi="Times New Roman"/>
          <w:szCs w:val="24"/>
        </w:rPr>
        <w:t xml:space="preserve"> </w:t>
      </w:r>
      <w:r>
        <w:rPr>
          <w:rFonts w:ascii="Times New Roman" w:hAnsi="Times New Roman"/>
          <w:szCs w:val="24"/>
        </w:rPr>
        <w:t>институцијама</w:t>
      </w:r>
      <w:r w:rsidR="00077F23" w:rsidRPr="00295637">
        <w:rPr>
          <w:rFonts w:ascii="Times New Roman" w:hAnsi="Times New Roman"/>
          <w:szCs w:val="24"/>
        </w:rPr>
        <w:t xml:space="preserve">, </w:t>
      </w:r>
      <w:r>
        <w:rPr>
          <w:rFonts w:ascii="Times New Roman" w:hAnsi="Times New Roman"/>
          <w:szCs w:val="24"/>
        </w:rPr>
        <w:t>власницима</w:t>
      </w:r>
      <w:r w:rsidR="00077F23" w:rsidRPr="00295637">
        <w:rPr>
          <w:rFonts w:ascii="Times New Roman" w:hAnsi="Times New Roman"/>
          <w:szCs w:val="24"/>
        </w:rPr>
        <w:t xml:space="preserve">, </w:t>
      </w:r>
      <w:r>
        <w:rPr>
          <w:rFonts w:ascii="Times New Roman" w:hAnsi="Times New Roman"/>
          <w:szCs w:val="24"/>
        </w:rPr>
        <w:t>директорима</w:t>
      </w:r>
      <w:r w:rsidR="00077F23" w:rsidRPr="00295637">
        <w:rPr>
          <w:rFonts w:ascii="Times New Roman" w:hAnsi="Times New Roman"/>
          <w:szCs w:val="24"/>
        </w:rPr>
        <w:t xml:space="preserve"> </w:t>
      </w:r>
      <w:r>
        <w:rPr>
          <w:rFonts w:ascii="Times New Roman" w:hAnsi="Times New Roman"/>
          <w:szCs w:val="24"/>
        </w:rPr>
        <w:t>и</w:t>
      </w:r>
      <w:r w:rsidR="00077F23" w:rsidRPr="00295637">
        <w:rPr>
          <w:rFonts w:ascii="Times New Roman" w:hAnsi="Times New Roman"/>
          <w:szCs w:val="24"/>
        </w:rPr>
        <w:t xml:space="preserve"> </w:t>
      </w:r>
      <w:r>
        <w:rPr>
          <w:rFonts w:ascii="Times New Roman" w:hAnsi="Times New Roman"/>
          <w:szCs w:val="24"/>
        </w:rPr>
        <w:t>ХР</w:t>
      </w:r>
      <w:r w:rsidR="00077F23" w:rsidRPr="00295637">
        <w:rPr>
          <w:rFonts w:ascii="Times New Roman" w:hAnsi="Times New Roman"/>
          <w:szCs w:val="24"/>
        </w:rPr>
        <w:t xml:space="preserve"> </w:t>
      </w:r>
      <w:r>
        <w:rPr>
          <w:rFonts w:ascii="Times New Roman" w:hAnsi="Times New Roman"/>
          <w:szCs w:val="24"/>
        </w:rPr>
        <w:t>менаџерима</w:t>
      </w:r>
      <w:r w:rsidR="00077F23" w:rsidRPr="00295637">
        <w:rPr>
          <w:rFonts w:ascii="Times New Roman" w:hAnsi="Times New Roman"/>
          <w:szCs w:val="24"/>
        </w:rPr>
        <w:t xml:space="preserve"> </w:t>
      </w:r>
      <w:r>
        <w:rPr>
          <w:rFonts w:ascii="Times New Roman" w:hAnsi="Times New Roman"/>
          <w:szCs w:val="24"/>
        </w:rPr>
        <w:t>и</w:t>
      </w:r>
      <w:r w:rsidR="00077F23" w:rsidRPr="00295637">
        <w:rPr>
          <w:rFonts w:ascii="Times New Roman" w:hAnsi="Times New Roman"/>
          <w:szCs w:val="24"/>
        </w:rPr>
        <w:t xml:space="preserve"> </w:t>
      </w:r>
      <w:r>
        <w:rPr>
          <w:rFonts w:ascii="Times New Roman" w:hAnsi="Times New Roman"/>
          <w:szCs w:val="24"/>
        </w:rPr>
        <w:t>свима</w:t>
      </w:r>
      <w:r w:rsidR="00077F23" w:rsidRPr="00295637">
        <w:rPr>
          <w:rFonts w:ascii="Times New Roman" w:hAnsi="Times New Roman"/>
          <w:szCs w:val="24"/>
        </w:rPr>
        <w:t xml:space="preserve"> </w:t>
      </w:r>
      <w:r>
        <w:rPr>
          <w:rFonts w:ascii="Times New Roman" w:hAnsi="Times New Roman"/>
          <w:szCs w:val="24"/>
        </w:rPr>
        <w:t>онима</w:t>
      </w:r>
      <w:r w:rsidR="00077F23" w:rsidRPr="00295637">
        <w:rPr>
          <w:rFonts w:ascii="Times New Roman" w:hAnsi="Times New Roman"/>
          <w:szCs w:val="24"/>
        </w:rPr>
        <w:t xml:space="preserve"> </w:t>
      </w:r>
      <w:r>
        <w:rPr>
          <w:rFonts w:ascii="Times New Roman" w:hAnsi="Times New Roman"/>
          <w:szCs w:val="24"/>
        </w:rPr>
        <w:t>које</w:t>
      </w:r>
      <w:r w:rsidR="00077F23" w:rsidRPr="00295637">
        <w:rPr>
          <w:rFonts w:ascii="Times New Roman" w:hAnsi="Times New Roman"/>
          <w:szCs w:val="24"/>
        </w:rPr>
        <w:t xml:space="preserve"> </w:t>
      </w:r>
      <w:r>
        <w:rPr>
          <w:rFonts w:ascii="Times New Roman" w:hAnsi="Times New Roman"/>
          <w:szCs w:val="24"/>
        </w:rPr>
        <w:t>интерес</w:t>
      </w:r>
      <w:r w:rsidR="00F82DDB">
        <w:rPr>
          <w:rFonts w:ascii="Times New Roman" w:hAnsi="Times New Roman"/>
          <w:szCs w:val="24"/>
          <w:lang w:val="sr-Cyrl-BA"/>
        </w:rPr>
        <w:t>ује</w:t>
      </w:r>
      <w:r w:rsidR="00077F23" w:rsidRPr="00295637">
        <w:rPr>
          <w:rFonts w:ascii="Times New Roman" w:hAnsi="Times New Roman"/>
          <w:szCs w:val="24"/>
        </w:rPr>
        <w:t xml:space="preserve"> </w:t>
      </w:r>
      <w:r>
        <w:rPr>
          <w:rFonts w:ascii="Times New Roman" w:hAnsi="Times New Roman"/>
          <w:szCs w:val="24"/>
        </w:rPr>
        <w:t>наведена</w:t>
      </w:r>
      <w:r w:rsidR="00077F23" w:rsidRPr="00295637">
        <w:rPr>
          <w:rFonts w:ascii="Times New Roman" w:hAnsi="Times New Roman"/>
          <w:szCs w:val="24"/>
        </w:rPr>
        <w:t xml:space="preserve"> </w:t>
      </w:r>
      <w:r>
        <w:rPr>
          <w:rFonts w:ascii="Times New Roman" w:hAnsi="Times New Roman"/>
          <w:szCs w:val="24"/>
        </w:rPr>
        <w:t>проблематика</w:t>
      </w:r>
      <w:r w:rsidR="00077F23" w:rsidRPr="00295637">
        <w:rPr>
          <w:rFonts w:ascii="Times New Roman" w:hAnsi="Times New Roman"/>
          <w:szCs w:val="24"/>
        </w:rPr>
        <w:t xml:space="preserve">, </w:t>
      </w:r>
      <w:r>
        <w:rPr>
          <w:rFonts w:ascii="Times New Roman" w:hAnsi="Times New Roman"/>
          <w:szCs w:val="24"/>
        </w:rPr>
        <w:t>односно</w:t>
      </w:r>
      <w:r w:rsidR="00077F23" w:rsidRPr="00295637">
        <w:rPr>
          <w:rFonts w:ascii="Times New Roman" w:hAnsi="Times New Roman"/>
          <w:szCs w:val="24"/>
        </w:rPr>
        <w:t xml:space="preserve"> </w:t>
      </w:r>
      <w:r>
        <w:rPr>
          <w:rFonts w:ascii="Times New Roman" w:hAnsi="Times New Roman"/>
          <w:szCs w:val="24"/>
        </w:rPr>
        <w:t>онима</w:t>
      </w:r>
      <w:r w:rsidR="00077F23" w:rsidRPr="00295637">
        <w:rPr>
          <w:rFonts w:ascii="Times New Roman" w:hAnsi="Times New Roman"/>
          <w:szCs w:val="24"/>
        </w:rPr>
        <w:t xml:space="preserve"> </w:t>
      </w:r>
      <w:r>
        <w:rPr>
          <w:rFonts w:ascii="Times New Roman" w:hAnsi="Times New Roman"/>
          <w:szCs w:val="24"/>
        </w:rPr>
        <w:t>који</w:t>
      </w:r>
      <w:r w:rsidR="00077F23" w:rsidRPr="00295637">
        <w:rPr>
          <w:rFonts w:ascii="Times New Roman" w:hAnsi="Times New Roman"/>
          <w:szCs w:val="24"/>
        </w:rPr>
        <w:t xml:space="preserve"> </w:t>
      </w:r>
      <w:r>
        <w:rPr>
          <w:rFonts w:ascii="Times New Roman" w:hAnsi="Times New Roman"/>
          <w:szCs w:val="24"/>
        </w:rPr>
        <w:t>прате</w:t>
      </w:r>
      <w:r w:rsidR="00077F23" w:rsidRPr="00295637">
        <w:rPr>
          <w:rFonts w:ascii="Times New Roman" w:hAnsi="Times New Roman"/>
          <w:szCs w:val="24"/>
        </w:rPr>
        <w:t xml:space="preserve"> </w:t>
      </w:r>
      <w:r>
        <w:rPr>
          <w:rFonts w:ascii="Times New Roman" w:hAnsi="Times New Roman"/>
          <w:szCs w:val="24"/>
        </w:rPr>
        <w:t>актуелности</w:t>
      </w:r>
      <w:r w:rsidR="00077F23" w:rsidRPr="00295637">
        <w:rPr>
          <w:rFonts w:ascii="Times New Roman" w:hAnsi="Times New Roman"/>
          <w:szCs w:val="24"/>
        </w:rPr>
        <w:t xml:space="preserve"> </w:t>
      </w:r>
      <w:r>
        <w:rPr>
          <w:rFonts w:ascii="Times New Roman" w:hAnsi="Times New Roman"/>
          <w:szCs w:val="24"/>
        </w:rPr>
        <w:t>из</w:t>
      </w:r>
      <w:r w:rsidR="00077F23" w:rsidRPr="00295637">
        <w:rPr>
          <w:rFonts w:ascii="Times New Roman" w:hAnsi="Times New Roman"/>
          <w:szCs w:val="24"/>
        </w:rPr>
        <w:t xml:space="preserve"> </w:t>
      </w:r>
      <w:r>
        <w:rPr>
          <w:rFonts w:ascii="Times New Roman" w:hAnsi="Times New Roman"/>
          <w:szCs w:val="24"/>
        </w:rPr>
        <w:t>области</w:t>
      </w:r>
      <w:r w:rsidR="00077F23" w:rsidRPr="00295637">
        <w:rPr>
          <w:rFonts w:ascii="Times New Roman" w:hAnsi="Times New Roman"/>
          <w:szCs w:val="24"/>
        </w:rPr>
        <w:t xml:space="preserve"> </w:t>
      </w:r>
      <w:r>
        <w:rPr>
          <w:rFonts w:ascii="Times New Roman" w:hAnsi="Times New Roman"/>
          <w:szCs w:val="24"/>
        </w:rPr>
        <w:t>рада</w:t>
      </w:r>
      <w:r w:rsidR="00077F23" w:rsidRPr="00295637">
        <w:rPr>
          <w:rFonts w:ascii="Times New Roman" w:hAnsi="Times New Roman"/>
          <w:szCs w:val="24"/>
        </w:rPr>
        <w:t xml:space="preserve">, </w:t>
      </w:r>
      <w:r>
        <w:rPr>
          <w:rFonts w:ascii="Times New Roman" w:hAnsi="Times New Roman"/>
          <w:szCs w:val="24"/>
        </w:rPr>
        <w:t>и</w:t>
      </w:r>
      <w:r w:rsidR="00077F23" w:rsidRPr="00295637">
        <w:rPr>
          <w:rFonts w:ascii="Times New Roman" w:hAnsi="Times New Roman"/>
          <w:szCs w:val="24"/>
        </w:rPr>
        <w:t xml:space="preserve"> </w:t>
      </w:r>
      <w:r>
        <w:rPr>
          <w:rFonts w:ascii="Times New Roman" w:hAnsi="Times New Roman"/>
          <w:szCs w:val="24"/>
        </w:rPr>
        <w:t>који</w:t>
      </w:r>
      <w:r w:rsidR="00077F23" w:rsidRPr="00295637">
        <w:rPr>
          <w:rFonts w:ascii="Times New Roman" w:hAnsi="Times New Roman"/>
          <w:szCs w:val="24"/>
        </w:rPr>
        <w:t xml:space="preserve"> </w:t>
      </w:r>
      <w:r>
        <w:rPr>
          <w:rFonts w:ascii="Times New Roman" w:hAnsi="Times New Roman"/>
          <w:szCs w:val="24"/>
        </w:rPr>
        <w:t>желе</w:t>
      </w:r>
      <w:r w:rsidR="00077F23" w:rsidRPr="00295637">
        <w:rPr>
          <w:rFonts w:ascii="Times New Roman" w:hAnsi="Times New Roman"/>
          <w:szCs w:val="24"/>
        </w:rPr>
        <w:t xml:space="preserve"> </w:t>
      </w:r>
      <w:r>
        <w:rPr>
          <w:rFonts w:ascii="Times New Roman" w:hAnsi="Times New Roman"/>
          <w:szCs w:val="24"/>
        </w:rPr>
        <w:t>унаприједити</w:t>
      </w:r>
      <w:r w:rsidR="00077F23" w:rsidRPr="00295637">
        <w:rPr>
          <w:rFonts w:ascii="Times New Roman" w:hAnsi="Times New Roman"/>
          <w:szCs w:val="24"/>
        </w:rPr>
        <w:t xml:space="preserve"> </w:t>
      </w:r>
      <w:r>
        <w:rPr>
          <w:rFonts w:ascii="Times New Roman" w:hAnsi="Times New Roman"/>
          <w:szCs w:val="24"/>
        </w:rPr>
        <w:t>своје</w:t>
      </w:r>
      <w:r w:rsidR="00077F23" w:rsidRPr="00295637">
        <w:rPr>
          <w:rFonts w:ascii="Times New Roman" w:hAnsi="Times New Roman"/>
          <w:szCs w:val="24"/>
        </w:rPr>
        <w:t xml:space="preserve"> </w:t>
      </w:r>
      <w:r>
        <w:rPr>
          <w:rFonts w:ascii="Times New Roman" w:hAnsi="Times New Roman"/>
          <w:szCs w:val="24"/>
        </w:rPr>
        <w:t>компетенције</w:t>
      </w:r>
      <w:r w:rsidR="00077F23" w:rsidRPr="00295637">
        <w:rPr>
          <w:rFonts w:ascii="Times New Roman" w:hAnsi="Times New Roman"/>
          <w:szCs w:val="24"/>
        </w:rPr>
        <w:t xml:space="preserve">. </w:t>
      </w:r>
    </w:p>
    <w:p w:rsidR="00077F23" w:rsidRPr="00295637" w:rsidRDefault="00077F23" w:rsidP="0086268D">
      <w:pPr>
        <w:jc w:val="both"/>
        <w:rPr>
          <w:rFonts w:ascii="Times New Roman" w:hAnsi="Times New Roman"/>
          <w:szCs w:val="24"/>
        </w:rPr>
      </w:pPr>
    </w:p>
    <w:p w:rsidR="00077F23" w:rsidRPr="00295637" w:rsidRDefault="00C6214E" w:rsidP="0086268D">
      <w:pPr>
        <w:jc w:val="both"/>
        <w:rPr>
          <w:rFonts w:ascii="Times New Roman" w:hAnsi="Times New Roman"/>
          <w:szCs w:val="24"/>
        </w:rPr>
      </w:pPr>
      <w:r>
        <w:rPr>
          <w:rFonts w:ascii="Times New Roman" w:hAnsi="Times New Roman"/>
          <w:szCs w:val="24"/>
        </w:rPr>
        <w:t>Стручни</w:t>
      </w:r>
      <w:r w:rsidR="00077F23" w:rsidRPr="000C4402">
        <w:rPr>
          <w:rFonts w:ascii="Times New Roman" w:hAnsi="Times New Roman"/>
          <w:szCs w:val="24"/>
        </w:rPr>
        <w:t xml:space="preserve"> </w:t>
      </w:r>
      <w:r>
        <w:rPr>
          <w:rFonts w:ascii="Times New Roman" w:hAnsi="Times New Roman"/>
          <w:szCs w:val="24"/>
        </w:rPr>
        <w:t>тим</w:t>
      </w:r>
      <w:r w:rsidR="00077F23" w:rsidRPr="000C4402">
        <w:rPr>
          <w:rFonts w:ascii="Times New Roman" w:hAnsi="Times New Roman"/>
          <w:szCs w:val="24"/>
        </w:rPr>
        <w:t xml:space="preserve"> </w:t>
      </w:r>
      <w:r>
        <w:rPr>
          <w:rFonts w:ascii="Times New Roman" w:hAnsi="Times New Roman"/>
          <w:szCs w:val="24"/>
        </w:rPr>
        <w:t>Уније</w:t>
      </w:r>
      <w:r w:rsidR="00077F23" w:rsidRPr="000C4402">
        <w:rPr>
          <w:rFonts w:ascii="Times New Roman" w:hAnsi="Times New Roman"/>
          <w:szCs w:val="24"/>
        </w:rPr>
        <w:t xml:space="preserve"> </w:t>
      </w:r>
      <w:r>
        <w:rPr>
          <w:rFonts w:ascii="Times New Roman" w:hAnsi="Times New Roman"/>
          <w:szCs w:val="24"/>
        </w:rPr>
        <w:t>удружења</w:t>
      </w:r>
      <w:r w:rsidR="00077F23" w:rsidRPr="000C4402">
        <w:rPr>
          <w:rFonts w:ascii="Times New Roman" w:hAnsi="Times New Roman"/>
          <w:szCs w:val="24"/>
        </w:rPr>
        <w:t xml:space="preserve"> </w:t>
      </w:r>
      <w:r>
        <w:rPr>
          <w:rFonts w:ascii="Times New Roman" w:hAnsi="Times New Roman"/>
          <w:szCs w:val="24"/>
        </w:rPr>
        <w:t>послодаваца</w:t>
      </w:r>
      <w:r w:rsidR="00077F23" w:rsidRPr="000C4402">
        <w:rPr>
          <w:rFonts w:ascii="Times New Roman" w:hAnsi="Times New Roman"/>
          <w:szCs w:val="24"/>
        </w:rPr>
        <w:t xml:space="preserve"> </w:t>
      </w:r>
      <w:r>
        <w:rPr>
          <w:rFonts w:ascii="Times New Roman" w:hAnsi="Times New Roman"/>
          <w:szCs w:val="24"/>
        </w:rPr>
        <w:t>РС</w:t>
      </w:r>
      <w:r w:rsidR="00077F23" w:rsidRPr="000C4402">
        <w:rPr>
          <w:rFonts w:ascii="Times New Roman" w:hAnsi="Times New Roman"/>
          <w:szCs w:val="24"/>
        </w:rPr>
        <w:t xml:space="preserve">, </w:t>
      </w:r>
      <w:r>
        <w:rPr>
          <w:rFonts w:ascii="Times New Roman" w:hAnsi="Times New Roman"/>
          <w:szCs w:val="24"/>
        </w:rPr>
        <w:t>ради</w:t>
      </w:r>
      <w:r w:rsidR="00077F23" w:rsidRPr="000C4402">
        <w:rPr>
          <w:rFonts w:ascii="Times New Roman" w:hAnsi="Times New Roman"/>
          <w:szCs w:val="24"/>
        </w:rPr>
        <w:t xml:space="preserve"> </w:t>
      </w:r>
      <w:r>
        <w:rPr>
          <w:rFonts w:ascii="Times New Roman" w:hAnsi="Times New Roman"/>
          <w:szCs w:val="24"/>
        </w:rPr>
        <w:t>олакшавања</w:t>
      </w:r>
      <w:r w:rsidR="00077F23" w:rsidRPr="000C4402">
        <w:rPr>
          <w:rFonts w:ascii="Times New Roman" w:hAnsi="Times New Roman"/>
          <w:szCs w:val="24"/>
        </w:rPr>
        <w:t xml:space="preserve"> </w:t>
      </w:r>
      <w:r>
        <w:rPr>
          <w:rFonts w:ascii="Times New Roman" w:hAnsi="Times New Roman"/>
          <w:szCs w:val="24"/>
        </w:rPr>
        <w:t>примјене</w:t>
      </w:r>
      <w:r w:rsidR="00077F23" w:rsidRPr="00295637">
        <w:rPr>
          <w:rFonts w:ascii="Times New Roman" w:hAnsi="Times New Roman"/>
          <w:szCs w:val="24"/>
        </w:rPr>
        <w:t xml:space="preserve"> </w:t>
      </w:r>
      <w:r>
        <w:rPr>
          <w:rFonts w:ascii="Times New Roman" w:hAnsi="Times New Roman"/>
          <w:szCs w:val="24"/>
        </w:rPr>
        <w:t>Закона</w:t>
      </w:r>
      <w:r w:rsidR="000C4402">
        <w:rPr>
          <w:rFonts w:ascii="Times New Roman" w:hAnsi="Times New Roman"/>
          <w:szCs w:val="24"/>
        </w:rPr>
        <w:t xml:space="preserve"> </w:t>
      </w:r>
      <w:r>
        <w:rPr>
          <w:rFonts w:ascii="Times New Roman" w:hAnsi="Times New Roman"/>
          <w:szCs w:val="24"/>
        </w:rPr>
        <w:t>за</w:t>
      </w:r>
      <w:r w:rsidR="000C4402">
        <w:rPr>
          <w:rFonts w:ascii="Times New Roman" w:hAnsi="Times New Roman"/>
          <w:szCs w:val="24"/>
        </w:rPr>
        <w:t xml:space="preserve"> </w:t>
      </w:r>
      <w:r>
        <w:rPr>
          <w:rFonts w:ascii="Times New Roman" w:hAnsi="Times New Roman"/>
          <w:szCs w:val="24"/>
        </w:rPr>
        <w:t>послодавце</w:t>
      </w:r>
      <w:r w:rsidR="000C4402">
        <w:rPr>
          <w:rFonts w:ascii="Times New Roman" w:hAnsi="Times New Roman"/>
          <w:szCs w:val="24"/>
        </w:rPr>
        <w:t xml:space="preserve">, </w:t>
      </w:r>
      <w:r>
        <w:rPr>
          <w:rFonts w:ascii="Times New Roman" w:hAnsi="Times New Roman"/>
          <w:szCs w:val="24"/>
        </w:rPr>
        <w:t>припремио</w:t>
      </w:r>
      <w:r w:rsidR="000C4402">
        <w:rPr>
          <w:rFonts w:ascii="Times New Roman" w:hAnsi="Times New Roman"/>
          <w:szCs w:val="24"/>
        </w:rPr>
        <w:t xml:space="preserve"> </w:t>
      </w:r>
      <w:r>
        <w:rPr>
          <w:rFonts w:ascii="Times New Roman" w:hAnsi="Times New Roman"/>
          <w:szCs w:val="24"/>
        </w:rPr>
        <w:t>је</w:t>
      </w:r>
      <w:r w:rsidR="000C4402">
        <w:rPr>
          <w:rFonts w:ascii="Times New Roman" w:hAnsi="Times New Roman"/>
          <w:szCs w:val="24"/>
        </w:rPr>
        <w:t xml:space="preserve"> </w:t>
      </w:r>
      <w:r>
        <w:rPr>
          <w:rFonts w:ascii="Times New Roman" w:hAnsi="Times New Roman"/>
          <w:szCs w:val="24"/>
        </w:rPr>
        <w:t>модел</w:t>
      </w:r>
      <w:r w:rsidR="00077F23" w:rsidRPr="00295637">
        <w:rPr>
          <w:rFonts w:ascii="Times New Roman" w:hAnsi="Times New Roman"/>
          <w:szCs w:val="24"/>
        </w:rPr>
        <w:t xml:space="preserve"> </w:t>
      </w:r>
      <w:r>
        <w:rPr>
          <w:rFonts w:ascii="Times New Roman" w:hAnsi="Times New Roman"/>
          <w:szCs w:val="24"/>
        </w:rPr>
        <w:t>Правилника</w:t>
      </w:r>
      <w:r w:rsidR="00077F23" w:rsidRPr="00295637">
        <w:rPr>
          <w:rFonts w:ascii="Times New Roman" w:hAnsi="Times New Roman"/>
          <w:szCs w:val="24"/>
        </w:rPr>
        <w:t xml:space="preserve"> </w:t>
      </w:r>
      <w:r>
        <w:rPr>
          <w:rFonts w:ascii="Times New Roman" w:hAnsi="Times New Roman"/>
          <w:szCs w:val="24"/>
        </w:rPr>
        <w:t>о</w:t>
      </w:r>
      <w:r w:rsidR="00077F23" w:rsidRPr="00295637">
        <w:rPr>
          <w:rFonts w:ascii="Times New Roman" w:hAnsi="Times New Roman"/>
          <w:szCs w:val="24"/>
        </w:rPr>
        <w:t xml:space="preserve"> </w:t>
      </w:r>
      <w:r>
        <w:rPr>
          <w:rFonts w:ascii="Times New Roman" w:hAnsi="Times New Roman"/>
          <w:szCs w:val="24"/>
        </w:rPr>
        <w:t>заштити</w:t>
      </w:r>
      <w:r w:rsidR="00077F23" w:rsidRPr="00295637">
        <w:rPr>
          <w:rFonts w:ascii="Times New Roman" w:hAnsi="Times New Roman"/>
          <w:szCs w:val="24"/>
        </w:rPr>
        <w:t xml:space="preserve"> </w:t>
      </w:r>
      <w:r>
        <w:rPr>
          <w:rFonts w:ascii="Times New Roman" w:hAnsi="Times New Roman"/>
          <w:szCs w:val="24"/>
        </w:rPr>
        <w:t>од</w:t>
      </w:r>
      <w:r w:rsidR="00077F23" w:rsidRPr="00295637">
        <w:rPr>
          <w:rFonts w:ascii="Times New Roman" w:hAnsi="Times New Roman"/>
          <w:szCs w:val="24"/>
        </w:rPr>
        <w:t xml:space="preserve"> </w:t>
      </w:r>
      <w:r>
        <w:rPr>
          <w:rFonts w:ascii="Times New Roman" w:hAnsi="Times New Roman"/>
          <w:szCs w:val="24"/>
        </w:rPr>
        <w:t>узнемиравања</w:t>
      </w:r>
      <w:r w:rsidR="00077F23" w:rsidRPr="00295637">
        <w:rPr>
          <w:rFonts w:ascii="Times New Roman" w:hAnsi="Times New Roman"/>
          <w:szCs w:val="24"/>
        </w:rPr>
        <w:t xml:space="preserve"> </w:t>
      </w:r>
      <w:r>
        <w:rPr>
          <w:rFonts w:ascii="Times New Roman" w:hAnsi="Times New Roman"/>
          <w:szCs w:val="24"/>
        </w:rPr>
        <w:t>на</w:t>
      </w:r>
      <w:r w:rsidR="00077F23" w:rsidRPr="00295637">
        <w:rPr>
          <w:rFonts w:ascii="Times New Roman" w:hAnsi="Times New Roman"/>
          <w:szCs w:val="24"/>
        </w:rPr>
        <w:t xml:space="preserve"> </w:t>
      </w:r>
      <w:r>
        <w:rPr>
          <w:rFonts w:ascii="Times New Roman" w:hAnsi="Times New Roman"/>
          <w:szCs w:val="24"/>
        </w:rPr>
        <w:t>раду</w:t>
      </w:r>
      <w:r w:rsidR="00077F23" w:rsidRPr="00295637">
        <w:rPr>
          <w:rFonts w:ascii="Times New Roman" w:hAnsi="Times New Roman"/>
          <w:szCs w:val="24"/>
        </w:rPr>
        <w:t xml:space="preserve">. </w:t>
      </w:r>
      <w:r w:rsidR="00F82DDB">
        <w:rPr>
          <w:rFonts w:ascii="Times New Roman" w:hAnsi="Times New Roman"/>
          <w:szCs w:val="24"/>
        </w:rPr>
        <w:t>Такође</w:t>
      </w:r>
      <w:r w:rsidR="00077F23" w:rsidRPr="00295637">
        <w:rPr>
          <w:rFonts w:ascii="Times New Roman" w:hAnsi="Times New Roman"/>
          <w:szCs w:val="24"/>
        </w:rPr>
        <w:t xml:space="preserve">, </w:t>
      </w:r>
      <w:r>
        <w:rPr>
          <w:rFonts w:ascii="Times New Roman" w:hAnsi="Times New Roman"/>
          <w:szCs w:val="24"/>
        </w:rPr>
        <w:t>објављен</w:t>
      </w:r>
      <w:r w:rsidR="00077F23" w:rsidRPr="00295637">
        <w:rPr>
          <w:rFonts w:ascii="Times New Roman" w:hAnsi="Times New Roman"/>
          <w:szCs w:val="24"/>
        </w:rPr>
        <w:t xml:space="preserve"> </w:t>
      </w:r>
      <w:r>
        <w:rPr>
          <w:rFonts w:ascii="Times New Roman" w:hAnsi="Times New Roman"/>
          <w:szCs w:val="24"/>
        </w:rPr>
        <w:t>је</w:t>
      </w:r>
      <w:r w:rsidR="00077F23" w:rsidRPr="00295637">
        <w:rPr>
          <w:rFonts w:ascii="Times New Roman" w:hAnsi="Times New Roman"/>
          <w:szCs w:val="24"/>
        </w:rPr>
        <w:t xml:space="preserve"> </w:t>
      </w:r>
      <w:r>
        <w:rPr>
          <w:rFonts w:ascii="Times New Roman" w:hAnsi="Times New Roman"/>
          <w:szCs w:val="24"/>
        </w:rPr>
        <w:t>стручни</w:t>
      </w:r>
      <w:r w:rsidR="00077F23" w:rsidRPr="00295637">
        <w:rPr>
          <w:rFonts w:ascii="Times New Roman" w:hAnsi="Times New Roman"/>
          <w:szCs w:val="24"/>
        </w:rPr>
        <w:t xml:space="preserve"> </w:t>
      </w:r>
      <w:r>
        <w:rPr>
          <w:rFonts w:ascii="Times New Roman" w:hAnsi="Times New Roman"/>
          <w:szCs w:val="24"/>
        </w:rPr>
        <w:t>чланак</w:t>
      </w:r>
      <w:r w:rsidR="00077F23" w:rsidRPr="00295637">
        <w:rPr>
          <w:rFonts w:ascii="Times New Roman" w:hAnsi="Times New Roman"/>
          <w:szCs w:val="24"/>
        </w:rPr>
        <w:t xml:space="preserve"> </w:t>
      </w:r>
      <w:r>
        <w:rPr>
          <w:rFonts w:ascii="Times New Roman" w:hAnsi="Times New Roman"/>
          <w:szCs w:val="24"/>
        </w:rPr>
        <w:t>на</w:t>
      </w:r>
      <w:r w:rsidR="00077F23" w:rsidRPr="00295637">
        <w:rPr>
          <w:rFonts w:ascii="Times New Roman" w:hAnsi="Times New Roman"/>
          <w:szCs w:val="24"/>
        </w:rPr>
        <w:t xml:space="preserve"> </w:t>
      </w:r>
      <w:r>
        <w:rPr>
          <w:rFonts w:ascii="Times New Roman" w:hAnsi="Times New Roman"/>
          <w:szCs w:val="24"/>
        </w:rPr>
        <w:t>тему</w:t>
      </w:r>
      <w:r w:rsidR="000C4402">
        <w:rPr>
          <w:rFonts w:ascii="Times New Roman" w:hAnsi="Times New Roman"/>
          <w:szCs w:val="24"/>
        </w:rPr>
        <w:t xml:space="preserve"> </w:t>
      </w:r>
      <w:r>
        <w:rPr>
          <w:rFonts w:ascii="Times New Roman" w:hAnsi="Times New Roman"/>
          <w:szCs w:val="24"/>
        </w:rPr>
        <w:t>примјене</w:t>
      </w:r>
      <w:r w:rsidR="000C4402">
        <w:rPr>
          <w:rFonts w:ascii="Times New Roman" w:hAnsi="Times New Roman"/>
          <w:szCs w:val="24"/>
        </w:rPr>
        <w:t xml:space="preserve"> </w:t>
      </w:r>
      <w:r>
        <w:rPr>
          <w:rFonts w:ascii="Times New Roman" w:hAnsi="Times New Roman"/>
          <w:szCs w:val="24"/>
        </w:rPr>
        <w:t>Закона</w:t>
      </w:r>
      <w:r w:rsidR="000C4402">
        <w:rPr>
          <w:rFonts w:ascii="Times New Roman" w:hAnsi="Times New Roman"/>
          <w:szCs w:val="24"/>
        </w:rPr>
        <w:t xml:space="preserve">, </w:t>
      </w:r>
      <w:r>
        <w:rPr>
          <w:rFonts w:ascii="Times New Roman" w:hAnsi="Times New Roman"/>
          <w:szCs w:val="24"/>
        </w:rPr>
        <w:t>под</w:t>
      </w:r>
      <w:r w:rsidR="000C4402">
        <w:rPr>
          <w:rFonts w:ascii="Times New Roman" w:hAnsi="Times New Roman"/>
          <w:szCs w:val="24"/>
        </w:rPr>
        <w:t xml:space="preserve"> </w:t>
      </w:r>
      <w:r>
        <w:rPr>
          <w:rFonts w:ascii="Times New Roman" w:hAnsi="Times New Roman"/>
          <w:szCs w:val="24"/>
        </w:rPr>
        <w:t>називом</w:t>
      </w:r>
      <w:r w:rsidR="000C4402">
        <w:rPr>
          <w:rFonts w:ascii="Times New Roman" w:hAnsi="Times New Roman"/>
          <w:szCs w:val="24"/>
        </w:rPr>
        <w:t xml:space="preserve"> „</w:t>
      </w:r>
      <w:r>
        <w:rPr>
          <w:rFonts w:ascii="Times New Roman" w:hAnsi="Times New Roman"/>
          <w:szCs w:val="24"/>
        </w:rPr>
        <w:t>Поступци</w:t>
      </w:r>
      <w:r w:rsidR="00077F23" w:rsidRPr="00295637">
        <w:rPr>
          <w:rFonts w:ascii="Times New Roman" w:hAnsi="Times New Roman"/>
          <w:szCs w:val="24"/>
        </w:rPr>
        <w:t xml:space="preserve"> </w:t>
      </w:r>
      <w:r>
        <w:rPr>
          <w:rFonts w:ascii="Times New Roman" w:hAnsi="Times New Roman"/>
          <w:szCs w:val="24"/>
        </w:rPr>
        <w:t>за</w:t>
      </w:r>
      <w:r w:rsidR="00077F23" w:rsidRPr="00295637">
        <w:rPr>
          <w:rFonts w:ascii="Times New Roman" w:hAnsi="Times New Roman"/>
          <w:szCs w:val="24"/>
        </w:rPr>
        <w:t xml:space="preserve"> </w:t>
      </w:r>
      <w:r>
        <w:rPr>
          <w:rFonts w:ascii="Times New Roman" w:hAnsi="Times New Roman"/>
          <w:szCs w:val="24"/>
        </w:rPr>
        <w:t>заштиту</w:t>
      </w:r>
      <w:r w:rsidR="000C4402">
        <w:rPr>
          <w:rFonts w:ascii="Times New Roman" w:hAnsi="Times New Roman"/>
          <w:szCs w:val="24"/>
        </w:rPr>
        <w:t xml:space="preserve"> </w:t>
      </w:r>
      <w:r>
        <w:rPr>
          <w:rFonts w:ascii="Times New Roman" w:hAnsi="Times New Roman"/>
          <w:szCs w:val="24"/>
        </w:rPr>
        <w:t>од</w:t>
      </w:r>
      <w:r w:rsidR="000C4402">
        <w:rPr>
          <w:rFonts w:ascii="Times New Roman" w:hAnsi="Times New Roman"/>
          <w:szCs w:val="24"/>
        </w:rPr>
        <w:t xml:space="preserve"> </w:t>
      </w:r>
      <w:r>
        <w:rPr>
          <w:rFonts w:ascii="Times New Roman" w:hAnsi="Times New Roman"/>
          <w:szCs w:val="24"/>
        </w:rPr>
        <w:t>узнемиравања</w:t>
      </w:r>
      <w:r w:rsidR="000C4402">
        <w:rPr>
          <w:rFonts w:ascii="Times New Roman" w:hAnsi="Times New Roman"/>
          <w:szCs w:val="24"/>
        </w:rPr>
        <w:t xml:space="preserve"> </w:t>
      </w:r>
      <w:r>
        <w:rPr>
          <w:rFonts w:ascii="Times New Roman" w:hAnsi="Times New Roman"/>
          <w:szCs w:val="24"/>
        </w:rPr>
        <w:t>на</w:t>
      </w:r>
      <w:r w:rsidR="000C4402">
        <w:rPr>
          <w:rFonts w:ascii="Times New Roman" w:hAnsi="Times New Roman"/>
          <w:szCs w:val="24"/>
        </w:rPr>
        <w:t xml:space="preserve"> </w:t>
      </w:r>
      <w:r>
        <w:rPr>
          <w:rFonts w:ascii="Times New Roman" w:hAnsi="Times New Roman"/>
          <w:szCs w:val="24"/>
        </w:rPr>
        <w:t>раду</w:t>
      </w:r>
      <w:r w:rsidR="000C4402">
        <w:rPr>
          <w:rFonts w:ascii="Times New Roman" w:hAnsi="Times New Roman"/>
          <w:szCs w:val="24"/>
        </w:rPr>
        <w:t>“</w:t>
      </w:r>
      <w:r w:rsidR="00077F23" w:rsidRPr="00295637">
        <w:rPr>
          <w:rFonts w:ascii="Times New Roman" w:hAnsi="Times New Roman"/>
          <w:szCs w:val="24"/>
        </w:rPr>
        <w:t>.</w:t>
      </w:r>
    </w:p>
    <w:p w:rsidR="00077F23" w:rsidRPr="00295637" w:rsidRDefault="00077F23" w:rsidP="0086268D">
      <w:pPr>
        <w:pStyle w:val="ListParagraph"/>
        <w:ind w:left="0"/>
        <w:jc w:val="both"/>
        <w:rPr>
          <w:rFonts w:ascii="Times New Roman" w:hAnsi="Times New Roman"/>
          <w:lang w:val="sr-Cyrl-BA"/>
        </w:rPr>
      </w:pPr>
    </w:p>
    <w:p w:rsidR="00077F23" w:rsidRPr="00295637" w:rsidRDefault="00C6214E" w:rsidP="0086268D">
      <w:pPr>
        <w:pStyle w:val="HTMLPreformatted"/>
        <w:jc w:val="both"/>
        <w:rPr>
          <w:rFonts w:ascii="Times New Roman" w:hAnsi="Times New Roman"/>
          <w:sz w:val="24"/>
          <w:szCs w:val="24"/>
          <w:lang w:val="sr-Cyrl-BA"/>
        </w:rPr>
      </w:pPr>
      <w:r>
        <w:rPr>
          <w:rFonts w:ascii="Times New Roman" w:hAnsi="Times New Roman"/>
          <w:sz w:val="24"/>
          <w:szCs w:val="24"/>
          <w:lang w:val="sr-Latn-BA"/>
        </w:rPr>
        <w:t>МПП</w:t>
      </w:r>
      <w:r w:rsidR="00077F23" w:rsidRPr="00295637">
        <w:rPr>
          <w:rFonts w:ascii="Times New Roman" w:hAnsi="Times New Roman"/>
          <w:sz w:val="24"/>
          <w:szCs w:val="24"/>
          <w:lang w:val="sr-Latn-BA"/>
        </w:rPr>
        <w:t xml:space="preserve"> </w:t>
      </w:r>
      <w:r>
        <w:rPr>
          <w:rFonts w:ascii="Times New Roman" w:hAnsi="Times New Roman"/>
          <w:sz w:val="24"/>
          <w:szCs w:val="24"/>
          <w:lang w:val="sr-Latn-BA"/>
        </w:rPr>
        <w:t>је</w:t>
      </w:r>
      <w:r w:rsidR="00077F23" w:rsidRPr="00295637">
        <w:rPr>
          <w:rFonts w:ascii="Times New Roman" w:hAnsi="Times New Roman"/>
          <w:sz w:val="24"/>
          <w:szCs w:val="24"/>
          <w:lang w:val="sr-Latn-BA"/>
        </w:rPr>
        <w:t xml:space="preserve"> </w:t>
      </w:r>
      <w:r>
        <w:rPr>
          <w:rFonts w:ascii="Times New Roman" w:hAnsi="Times New Roman"/>
          <w:sz w:val="24"/>
          <w:szCs w:val="24"/>
          <w:lang w:val="sr-Latn-BA"/>
        </w:rPr>
        <w:t>подржало</w:t>
      </w:r>
      <w:r w:rsidR="00077F23" w:rsidRPr="00295637">
        <w:rPr>
          <w:rFonts w:ascii="Times New Roman" w:hAnsi="Times New Roman"/>
          <w:sz w:val="24"/>
          <w:szCs w:val="24"/>
          <w:lang w:val="sr-Latn-BA"/>
        </w:rPr>
        <w:t xml:space="preserve"> </w:t>
      </w:r>
      <w:r>
        <w:rPr>
          <w:rFonts w:ascii="Times New Roman" w:hAnsi="Times New Roman"/>
          <w:sz w:val="24"/>
          <w:szCs w:val="24"/>
          <w:lang w:val="sr-Cyrl-BA"/>
        </w:rPr>
        <w:t>оснивањ</w:t>
      </w:r>
      <w:r>
        <w:rPr>
          <w:rFonts w:ascii="Times New Roman" w:hAnsi="Times New Roman"/>
          <w:sz w:val="24"/>
          <w:szCs w:val="24"/>
          <w:lang w:val="sr-Latn-BA"/>
        </w:rPr>
        <w:t>е</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и</w:t>
      </w:r>
      <w:r w:rsidR="00077F23" w:rsidRPr="00295637">
        <w:rPr>
          <w:rFonts w:ascii="Times New Roman" w:hAnsi="Times New Roman"/>
          <w:sz w:val="24"/>
          <w:szCs w:val="24"/>
          <w:lang w:val="sr-Cyrl-BA"/>
        </w:rPr>
        <w:t xml:space="preserve"> </w:t>
      </w:r>
      <w:r>
        <w:rPr>
          <w:rFonts w:ascii="Times New Roman" w:hAnsi="Times New Roman"/>
          <w:sz w:val="24"/>
          <w:szCs w:val="24"/>
          <w:lang w:val="sr-Latn-BA"/>
        </w:rPr>
        <w:t>рад</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Клуба</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успјешних</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п</w:t>
      </w:r>
      <w:r>
        <w:rPr>
          <w:rFonts w:ascii="Times New Roman" w:hAnsi="Times New Roman"/>
          <w:sz w:val="24"/>
          <w:szCs w:val="24"/>
          <w:lang w:val="hr-HR"/>
        </w:rPr>
        <w:t>ре</w:t>
      </w:r>
      <w:r>
        <w:rPr>
          <w:rFonts w:ascii="Times New Roman" w:hAnsi="Times New Roman"/>
          <w:sz w:val="24"/>
          <w:szCs w:val="24"/>
          <w:lang w:val="sr-Cyrl-BA"/>
        </w:rPr>
        <w:t>дузетница</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који</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је</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формиран</w:t>
      </w:r>
      <w:r w:rsidR="00077F23" w:rsidRPr="000C4402">
        <w:rPr>
          <w:rFonts w:ascii="Times New Roman" w:hAnsi="Times New Roman"/>
          <w:sz w:val="24"/>
          <w:szCs w:val="24"/>
          <w:lang w:val="sr-Cyrl-BA"/>
        </w:rPr>
        <w:t xml:space="preserve"> </w:t>
      </w:r>
      <w:r>
        <w:rPr>
          <w:rFonts w:ascii="Times New Roman" w:hAnsi="Times New Roman"/>
          <w:sz w:val="24"/>
          <w:szCs w:val="24"/>
          <w:lang w:val="sr-Cyrl-BA"/>
        </w:rPr>
        <w:t>од</w:t>
      </w:r>
      <w:r w:rsidR="00077F23" w:rsidRPr="000C4402">
        <w:rPr>
          <w:rFonts w:ascii="Times New Roman" w:hAnsi="Times New Roman"/>
          <w:sz w:val="24"/>
          <w:szCs w:val="24"/>
          <w:lang w:val="sr-Cyrl-BA"/>
        </w:rPr>
        <w:t xml:space="preserve"> </w:t>
      </w:r>
      <w:r>
        <w:rPr>
          <w:rFonts w:ascii="Times New Roman" w:hAnsi="Times New Roman"/>
          <w:sz w:val="24"/>
          <w:szCs w:val="24"/>
          <w:lang w:val="sr-Cyrl-BA"/>
        </w:rPr>
        <w:t>стране</w:t>
      </w:r>
      <w:r w:rsidR="00077F23" w:rsidRPr="000C4402">
        <w:rPr>
          <w:rFonts w:ascii="Times New Roman" w:hAnsi="Times New Roman"/>
          <w:sz w:val="24"/>
          <w:szCs w:val="24"/>
          <w:lang w:val="sr-Cyrl-BA"/>
        </w:rPr>
        <w:t xml:space="preserve"> </w:t>
      </w:r>
      <w:r>
        <w:rPr>
          <w:rFonts w:ascii="Times New Roman" w:hAnsi="Times New Roman"/>
          <w:sz w:val="24"/>
          <w:szCs w:val="24"/>
          <w:lang w:val="hr-HR"/>
        </w:rPr>
        <w:t>Занатско</w:t>
      </w:r>
      <w:r w:rsidR="00077F23" w:rsidRPr="00295637">
        <w:rPr>
          <w:rFonts w:ascii="Times New Roman" w:hAnsi="Times New Roman"/>
          <w:sz w:val="24"/>
          <w:szCs w:val="24"/>
          <w:lang w:val="sr-Cyrl-BA"/>
        </w:rPr>
        <w:t>-</w:t>
      </w:r>
      <w:r>
        <w:rPr>
          <w:rFonts w:ascii="Times New Roman" w:hAnsi="Times New Roman"/>
          <w:sz w:val="24"/>
          <w:szCs w:val="24"/>
          <w:lang w:val="sr-Cyrl-BA"/>
        </w:rPr>
        <w:t>п</w:t>
      </w:r>
      <w:r>
        <w:rPr>
          <w:rFonts w:ascii="Times New Roman" w:hAnsi="Times New Roman"/>
          <w:sz w:val="24"/>
          <w:szCs w:val="24"/>
          <w:lang w:val="hr-HR"/>
        </w:rPr>
        <w:t>ре</w:t>
      </w:r>
      <w:r>
        <w:rPr>
          <w:rFonts w:ascii="Times New Roman" w:hAnsi="Times New Roman"/>
          <w:sz w:val="24"/>
          <w:szCs w:val="24"/>
          <w:lang w:val="sr-Cyrl-BA"/>
        </w:rPr>
        <w:t>дузетничке</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коморе</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регије</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Бања</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Лука</w:t>
      </w:r>
      <w:r w:rsidR="00077F23" w:rsidRPr="00295637">
        <w:rPr>
          <w:rFonts w:ascii="Times New Roman" w:hAnsi="Times New Roman"/>
          <w:sz w:val="24"/>
          <w:szCs w:val="24"/>
          <w:lang w:val="sr-Cyrl-BA"/>
        </w:rPr>
        <w:t xml:space="preserve"> </w:t>
      </w:r>
      <w:r w:rsidR="00F82DDB">
        <w:rPr>
          <w:rFonts w:ascii="Times New Roman" w:hAnsi="Times New Roman"/>
          <w:sz w:val="24"/>
          <w:szCs w:val="24"/>
          <w:lang w:val="sr-Cyrl-BA"/>
        </w:rPr>
        <w:t>с</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циљ</w:t>
      </w:r>
      <w:r w:rsidR="00F82DDB">
        <w:rPr>
          <w:rFonts w:ascii="Times New Roman" w:hAnsi="Times New Roman"/>
          <w:sz w:val="24"/>
          <w:szCs w:val="24"/>
          <w:lang w:val="sr-Cyrl-BA"/>
        </w:rPr>
        <w:t>ем</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по</w:t>
      </w:r>
      <w:r>
        <w:rPr>
          <w:rFonts w:ascii="Times New Roman" w:hAnsi="Times New Roman"/>
          <w:sz w:val="24"/>
          <w:szCs w:val="24"/>
          <w:lang w:val="hr-HR"/>
        </w:rPr>
        <w:t>дршке</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ово</w:t>
      </w:r>
      <w:r>
        <w:rPr>
          <w:rFonts w:ascii="Times New Roman" w:hAnsi="Times New Roman"/>
          <w:sz w:val="24"/>
          <w:szCs w:val="24"/>
          <w:lang w:val="hr-HR"/>
        </w:rPr>
        <w:t>ј</w:t>
      </w:r>
      <w:r w:rsidR="00077F23" w:rsidRPr="00295637">
        <w:rPr>
          <w:rFonts w:ascii="Times New Roman" w:hAnsi="Times New Roman"/>
          <w:sz w:val="24"/>
          <w:szCs w:val="24"/>
          <w:lang w:val="sr-Cyrl-BA"/>
        </w:rPr>
        <w:t xml:space="preserve"> </w:t>
      </w:r>
      <w:r>
        <w:rPr>
          <w:rFonts w:ascii="Times New Roman" w:hAnsi="Times New Roman"/>
          <w:sz w:val="24"/>
          <w:szCs w:val="24"/>
          <w:lang w:val="hr-HR"/>
        </w:rPr>
        <w:t>области</w:t>
      </w:r>
      <w:r w:rsidR="00077F23" w:rsidRPr="00295637">
        <w:rPr>
          <w:rFonts w:ascii="Times New Roman" w:hAnsi="Times New Roman"/>
          <w:sz w:val="24"/>
          <w:szCs w:val="24"/>
          <w:lang w:val="sr-Cyrl-BA"/>
        </w:rPr>
        <w:t xml:space="preserve">. </w:t>
      </w:r>
      <w:r>
        <w:rPr>
          <w:rFonts w:ascii="Times New Roman" w:hAnsi="Times New Roman"/>
          <w:sz w:val="24"/>
          <w:szCs w:val="24"/>
          <w:lang w:val="sr-Latn-BA"/>
        </w:rPr>
        <w:t>Подржана</w:t>
      </w:r>
      <w:r w:rsidR="00077F23" w:rsidRPr="00295637">
        <w:rPr>
          <w:rFonts w:ascii="Times New Roman" w:hAnsi="Times New Roman"/>
          <w:sz w:val="24"/>
          <w:szCs w:val="24"/>
          <w:lang w:val="sr-Latn-BA"/>
        </w:rPr>
        <w:t xml:space="preserve"> </w:t>
      </w:r>
      <w:r>
        <w:rPr>
          <w:rFonts w:ascii="Times New Roman" w:hAnsi="Times New Roman"/>
          <w:sz w:val="24"/>
          <w:szCs w:val="24"/>
          <w:lang w:val="sr-Latn-BA"/>
        </w:rPr>
        <w:t>су</w:t>
      </w:r>
      <w:r w:rsidR="00077F23" w:rsidRPr="00295637">
        <w:rPr>
          <w:rFonts w:ascii="Times New Roman" w:hAnsi="Times New Roman"/>
          <w:sz w:val="24"/>
          <w:szCs w:val="24"/>
          <w:lang w:val="sr-Latn-BA"/>
        </w:rPr>
        <w:t xml:space="preserve"> </w:t>
      </w:r>
      <w:r>
        <w:rPr>
          <w:rFonts w:ascii="Times New Roman" w:hAnsi="Times New Roman"/>
          <w:sz w:val="24"/>
          <w:szCs w:val="24"/>
          <w:lang w:val="sr-Latn-BA"/>
        </w:rPr>
        <w:t>три</w:t>
      </w:r>
      <w:r w:rsidR="00077F23" w:rsidRPr="00295637">
        <w:rPr>
          <w:rFonts w:ascii="Times New Roman" w:hAnsi="Times New Roman"/>
          <w:sz w:val="24"/>
          <w:szCs w:val="24"/>
          <w:lang w:val="sr-Latn-BA"/>
        </w:rPr>
        <w:t xml:space="preserve"> </w:t>
      </w:r>
      <w:r>
        <w:rPr>
          <w:rFonts w:ascii="Times New Roman" w:hAnsi="Times New Roman"/>
          <w:sz w:val="24"/>
          <w:szCs w:val="24"/>
          <w:lang w:val="sr-Latn-BA"/>
        </w:rPr>
        <w:t>предузећа</w:t>
      </w:r>
      <w:r w:rsidR="000C4402">
        <w:rPr>
          <w:rFonts w:ascii="Times New Roman" w:hAnsi="Times New Roman"/>
          <w:sz w:val="24"/>
          <w:szCs w:val="24"/>
          <w:lang w:val="sr-Latn-BA"/>
        </w:rPr>
        <w:t xml:space="preserve"> </w:t>
      </w:r>
      <w:r>
        <w:rPr>
          <w:rFonts w:ascii="Times New Roman" w:hAnsi="Times New Roman"/>
          <w:sz w:val="24"/>
          <w:szCs w:val="24"/>
          <w:lang w:val="sr-Latn-BA"/>
        </w:rPr>
        <w:t>која</w:t>
      </w:r>
      <w:r w:rsidR="000C4402">
        <w:rPr>
          <w:rFonts w:ascii="Times New Roman" w:hAnsi="Times New Roman"/>
          <w:sz w:val="24"/>
          <w:szCs w:val="24"/>
          <w:lang w:val="sr-Latn-BA"/>
        </w:rPr>
        <w:t xml:space="preserve"> </w:t>
      </w:r>
      <w:r>
        <w:rPr>
          <w:rFonts w:ascii="Times New Roman" w:hAnsi="Times New Roman"/>
          <w:sz w:val="24"/>
          <w:szCs w:val="24"/>
          <w:lang w:val="sr-Latn-BA"/>
        </w:rPr>
        <w:t>воде</w:t>
      </w:r>
      <w:r w:rsidR="000C4402">
        <w:rPr>
          <w:rFonts w:ascii="Times New Roman" w:hAnsi="Times New Roman"/>
          <w:sz w:val="24"/>
          <w:szCs w:val="24"/>
          <w:lang w:val="sr-Latn-BA"/>
        </w:rPr>
        <w:t xml:space="preserve"> </w:t>
      </w:r>
      <w:r>
        <w:rPr>
          <w:rFonts w:ascii="Times New Roman" w:hAnsi="Times New Roman"/>
          <w:sz w:val="24"/>
          <w:szCs w:val="24"/>
          <w:lang w:val="sr-Latn-BA"/>
        </w:rPr>
        <w:t>жене</w:t>
      </w:r>
      <w:r w:rsidR="000C4402">
        <w:rPr>
          <w:rFonts w:ascii="Times New Roman" w:hAnsi="Times New Roman"/>
          <w:sz w:val="24"/>
          <w:szCs w:val="24"/>
          <w:lang w:val="sr-Latn-BA"/>
        </w:rPr>
        <w:t xml:space="preserve"> </w:t>
      </w:r>
      <w:r>
        <w:rPr>
          <w:rFonts w:ascii="Times New Roman" w:hAnsi="Times New Roman"/>
          <w:sz w:val="24"/>
          <w:szCs w:val="24"/>
          <w:lang w:val="sr-Latn-BA"/>
        </w:rPr>
        <w:t>с</w:t>
      </w:r>
      <w:r w:rsidR="00077F23" w:rsidRPr="00295637">
        <w:rPr>
          <w:rFonts w:ascii="Times New Roman" w:hAnsi="Times New Roman"/>
          <w:sz w:val="24"/>
          <w:szCs w:val="24"/>
          <w:lang w:val="sr-Latn-BA"/>
        </w:rPr>
        <w:t xml:space="preserve"> </w:t>
      </w:r>
      <w:r w:rsidR="00077F23" w:rsidRPr="00295637">
        <w:rPr>
          <w:rFonts w:ascii="Times New Roman" w:hAnsi="Times New Roman"/>
          <w:sz w:val="24"/>
          <w:szCs w:val="24"/>
          <w:lang w:val="sr-Cyrl-BA"/>
        </w:rPr>
        <w:t xml:space="preserve">15.000,00 </w:t>
      </w:r>
      <w:r>
        <w:rPr>
          <w:rFonts w:ascii="Times New Roman" w:hAnsi="Times New Roman"/>
          <w:sz w:val="24"/>
          <w:szCs w:val="24"/>
          <w:lang w:val="sr-Cyrl-BA"/>
        </w:rPr>
        <w:t>КМ</w:t>
      </w:r>
      <w:r w:rsidR="00077F23" w:rsidRPr="00295637">
        <w:rPr>
          <w:rFonts w:ascii="Times New Roman" w:hAnsi="Times New Roman"/>
          <w:sz w:val="24"/>
          <w:szCs w:val="24"/>
          <w:lang w:val="sr-Latn-BA"/>
        </w:rPr>
        <w:t xml:space="preserve">: </w:t>
      </w:r>
      <w:r>
        <w:rPr>
          <w:rFonts w:ascii="Times New Roman" w:hAnsi="Times New Roman"/>
          <w:sz w:val="24"/>
          <w:szCs w:val="24"/>
          <w:lang w:val="sr-Cyrl-BA"/>
        </w:rPr>
        <w:t>два</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пројекта</w:t>
      </w:r>
      <w:r w:rsidR="00767F34" w:rsidRPr="00295637">
        <w:rPr>
          <w:rFonts w:ascii="Times New Roman" w:hAnsi="Times New Roman"/>
          <w:sz w:val="24"/>
          <w:szCs w:val="24"/>
          <w:lang w:val="sr-Cyrl-BA"/>
        </w:rPr>
        <w:t xml:space="preserve"> </w:t>
      </w:r>
      <w:r>
        <w:rPr>
          <w:rFonts w:ascii="Times New Roman" w:hAnsi="Times New Roman"/>
          <w:sz w:val="24"/>
          <w:szCs w:val="24"/>
          <w:lang w:val="sr-Cyrl-BA"/>
        </w:rPr>
        <w:t>одржавања</w:t>
      </w:r>
      <w:r w:rsidR="00767F34" w:rsidRPr="00295637">
        <w:rPr>
          <w:rFonts w:ascii="Times New Roman" w:hAnsi="Times New Roman"/>
          <w:sz w:val="24"/>
          <w:szCs w:val="24"/>
          <w:lang w:val="sr-Cyrl-BA"/>
        </w:rPr>
        <w:t xml:space="preserve"> </w:t>
      </w:r>
      <w:r>
        <w:rPr>
          <w:rFonts w:ascii="Times New Roman" w:hAnsi="Times New Roman"/>
          <w:sz w:val="24"/>
          <w:szCs w:val="24"/>
          <w:lang w:val="sr-Cyrl-BA"/>
        </w:rPr>
        <w:t>манифестација</w:t>
      </w:r>
      <w:r w:rsidR="00767F34" w:rsidRPr="00295637">
        <w:rPr>
          <w:rFonts w:ascii="Times New Roman" w:hAnsi="Times New Roman"/>
          <w:sz w:val="24"/>
          <w:szCs w:val="24"/>
          <w:lang w:val="sr-Cyrl-BA"/>
        </w:rPr>
        <w:t xml:space="preserve"> </w:t>
      </w:r>
      <w:r>
        <w:rPr>
          <w:rFonts w:ascii="Times New Roman" w:hAnsi="Times New Roman"/>
          <w:sz w:val="24"/>
          <w:szCs w:val="24"/>
          <w:lang w:val="sr-Cyrl-BA"/>
        </w:rPr>
        <w:t>и</w:t>
      </w:r>
      <w:r w:rsidR="00767F34" w:rsidRPr="00295637">
        <w:rPr>
          <w:rFonts w:ascii="Times New Roman" w:hAnsi="Times New Roman"/>
          <w:sz w:val="24"/>
          <w:szCs w:val="24"/>
          <w:lang w:val="sr-Cyrl-BA"/>
        </w:rPr>
        <w:t xml:space="preserve"> </w:t>
      </w:r>
      <w:r>
        <w:rPr>
          <w:rFonts w:ascii="Times New Roman" w:hAnsi="Times New Roman"/>
          <w:sz w:val="24"/>
          <w:szCs w:val="24"/>
          <w:lang w:val="sr-Cyrl-BA"/>
        </w:rPr>
        <w:t>један</w:t>
      </w:r>
      <w:r w:rsidR="000C4402">
        <w:rPr>
          <w:rFonts w:ascii="Times New Roman" w:hAnsi="Times New Roman"/>
          <w:sz w:val="24"/>
          <w:szCs w:val="24"/>
          <w:lang w:val="sr-Cyrl-BA"/>
        </w:rPr>
        <w:t xml:space="preserve"> </w:t>
      </w:r>
      <w:r>
        <w:rPr>
          <w:rFonts w:ascii="Times New Roman" w:hAnsi="Times New Roman"/>
          <w:sz w:val="24"/>
          <w:szCs w:val="24"/>
          <w:lang w:val="sr-Cyrl-BA"/>
        </w:rPr>
        <w:t>пројект</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реконструкције</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угоститељског</w:t>
      </w:r>
      <w:r w:rsidR="00077F23" w:rsidRPr="00295637">
        <w:rPr>
          <w:rFonts w:ascii="Times New Roman" w:hAnsi="Times New Roman"/>
          <w:sz w:val="24"/>
          <w:szCs w:val="24"/>
          <w:lang w:val="sr-Cyrl-BA"/>
        </w:rPr>
        <w:t xml:space="preserve"> </w:t>
      </w:r>
      <w:r>
        <w:rPr>
          <w:rFonts w:ascii="Times New Roman" w:hAnsi="Times New Roman"/>
          <w:sz w:val="24"/>
          <w:szCs w:val="24"/>
          <w:lang w:val="sr-Cyrl-BA"/>
        </w:rPr>
        <w:t>објекта</w:t>
      </w:r>
      <w:r w:rsidR="00077F23" w:rsidRPr="00295637">
        <w:rPr>
          <w:rFonts w:ascii="Times New Roman" w:hAnsi="Times New Roman"/>
          <w:sz w:val="24"/>
          <w:szCs w:val="24"/>
          <w:lang w:val="sr-Cyrl-BA"/>
        </w:rPr>
        <w:t>.</w:t>
      </w:r>
    </w:p>
    <w:p w:rsidR="00077F23" w:rsidRPr="00295637" w:rsidRDefault="00077F23" w:rsidP="0086268D">
      <w:pPr>
        <w:pStyle w:val="HTMLPreformatted"/>
        <w:jc w:val="both"/>
        <w:rPr>
          <w:rFonts w:ascii="Times New Roman" w:hAnsi="Times New Roman"/>
          <w:lang w:val="sr-Cyrl-BA"/>
        </w:rPr>
      </w:pPr>
    </w:p>
    <w:p w:rsidR="003935D2" w:rsidRPr="005F3F76" w:rsidRDefault="00C6214E" w:rsidP="003935D2">
      <w:pPr>
        <w:tabs>
          <w:tab w:val="left" w:pos="1080"/>
        </w:tabs>
        <w:jc w:val="both"/>
        <w:rPr>
          <w:rFonts w:ascii="Times New Roman" w:hAnsi="Times New Roman"/>
          <w:lang w:val="sr-Latn-RS"/>
        </w:rPr>
      </w:pPr>
      <w:r>
        <w:rPr>
          <w:rFonts w:ascii="Times New Roman" w:hAnsi="Times New Roman"/>
          <w:lang w:val="bs-Latn-BA"/>
        </w:rPr>
        <w:t>Одје</w:t>
      </w:r>
      <w:r w:rsidR="0077610E">
        <w:rPr>
          <w:rFonts w:ascii="Times New Roman" w:hAnsi="Times New Roman"/>
          <w:lang w:val="sr-Cyrl-BA"/>
        </w:rPr>
        <w:t>љење</w:t>
      </w:r>
      <w:r w:rsidR="003935D2">
        <w:rPr>
          <w:rFonts w:ascii="Times New Roman" w:hAnsi="Times New Roman"/>
          <w:lang w:val="bs-Latn-BA"/>
        </w:rPr>
        <w:t xml:space="preserve"> </w:t>
      </w:r>
      <w:r>
        <w:rPr>
          <w:rFonts w:ascii="Times New Roman" w:hAnsi="Times New Roman"/>
          <w:lang w:val="bs-Latn-BA"/>
        </w:rPr>
        <w:t>за</w:t>
      </w:r>
      <w:r w:rsidR="003935D2">
        <w:rPr>
          <w:rFonts w:ascii="Times New Roman" w:hAnsi="Times New Roman"/>
          <w:lang w:val="bs-Latn-BA"/>
        </w:rPr>
        <w:t xml:space="preserve"> </w:t>
      </w:r>
      <w:r>
        <w:rPr>
          <w:rFonts w:ascii="Times New Roman" w:hAnsi="Times New Roman"/>
          <w:lang w:val="bs-Latn-BA"/>
        </w:rPr>
        <w:t>европске</w:t>
      </w:r>
      <w:r w:rsidR="003935D2">
        <w:rPr>
          <w:rFonts w:ascii="Times New Roman" w:hAnsi="Times New Roman"/>
          <w:lang w:val="bs-Latn-BA"/>
        </w:rPr>
        <w:t xml:space="preserve"> </w:t>
      </w:r>
      <w:r>
        <w:rPr>
          <w:rFonts w:ascii="Times New Roman" w:hAnsi="Times New Roman"/>
          <w:lang w:val="bs-Latn-BA"/>
        </w:rPr>
        <w:t>интеграције</w:t>
      </w:r>
      <w:r w:rsidR="003935D2">
        <w:rPr>
          <w:rFonts w:ascii="Times New Roman" w:hAnsi="Times New Roman"/>
          <w:lang w:val="bs-Latn-BA"/>
        </w:rPr>
        <w:t xml:space="preserve"> </w:t>
      </w:r>
      <w:r>
        <w:rPr>
          <w:rFonts w:ascii="Times New Roman" w:hAnsi="Times New Roman"/>
          <w:lang w:val="bs-Latn-BA"/>
        </w:rPr>
        <w:t>и</w:t>
      </w:r>
      <w:r w:rsidR="003935D2">
        <w:rPr>
          <w:rFonts w:ascii="Times New Roman" w:hAnsi="Times New Roman"/>
          <w:lang w:val="bs-Latn-BA"/>
        </w:rPr>
        <w:t xml:space="preserve"> </w:t>
      </w:r>
      <w:r>
        <w:rPr>
          <w:rFonts w:ascii="Times New Roman" w:hAnsi="Times New Roman"/>
          <w:lang w:val="bs-Latn-BA"/>
        </w:rPr>
        <w:t>међународну</w:t>
      </w:r>
      <w:r w:rsidR="003935D2">
        <w:rPr>
          <w:rFonts w:ascii="Times New Roman" w:hAnsi="Times New Roman"/>
          <w:lang w:val="bs-Latn-BA"/>
        </w:rPr>
        <w:t xml:space="preserve"> </w:t>
      </w:r>
      <w:r>
        <w:rPr>
          <w:rFonts w:ascii="Times New Roman" w:hAnsi="Times New Roman"/>
          <w:lang w:val="bs-Latn-BA"/>
        </w:rPr>
        <w:t>сарадњу</w:t>
      </w:r>
      <w:r w:rsidR="000C4402">
        <w:rPr>
          <w:rFonts w:ascii="Times New Roman" w:hAnsi="Times New Roman"/>
          <w:lang w:val="bs-Latn-BA"/>
        </w:rPr>
        <w:t xml:space="preserve"> </w:t>
      </w:r>
      <w:r>
        <w:rPr>
          <w:rFonts w:ascii="Times New Roman" w:hAnsi="Times New Roman"/>
          <w:lang w:val="bs-Latn-BA"/>
        </w:rPr>
        <w:t>Владе</w:t>
      </w:r>
      <w:r w:rsidR="000C4402">
        <w:rPr>
          <w:rFonts w:ascii="Times New Roman" w:hAnsi="Times New Roman"/>
          <w:lang w:val="bs-Latn-BA"/>
        </w:rPr>
        <w:t xml:space="preserve"> </w:t>
      </w:r>
      <w:r>
        <w:rPr>
          <w:rFonts w:ascii="Times New Roman" w:hAnsi="Times New Roman"/>
          <w:lang w:val="bs-Latn-BA"/>
        </w:rPr>
        <w:t>БД</w:t>
      </w:r>
      <w:r w:rsidR="000C4402">
        <w:rPr>
          <w:rFonts w:ascii="Times New Roman" w:hAnsi="Times New Roman"/>
          <w:lang w:val="bs-Latn-BA"/>
        </w:rPr>
        <w:t xml:space="preserve"> </w:t>
      </w:r>
      <w:r>
        <w:rPr>
          <w:rFonts w:ascii="Times New Roman" w:hAnsi="Times New Roman"/>
          <w:lang w:val="bs-Latn-BA"/>
        </w:rPr>
        <w:t>БиХ</w:t>
      </w:r>
      <w:r w:rsidR="00BD02E2">
        <w:rPr>
          <w:rFonts w:ascii="Times New Roman" w:hAnsi="Times New Roman"/>
          <w:lang w:val="bs-Latn-BA"/>
        </w:rPr>
        <w:t xml:space="preserve"> </w:t>
      </w:r>
      <w:r>
        <w:rPr>
          <w:rFonts w:ascii="Times New Roman" w:hAnsi="Times New Roman"/>
          <w:lang w:val="bs-Latn-BA"/>
        </w:rPr>
        <w:t>потписа</w:t>
      </w:r>
      <w:r w:rsidR="0077610E">
        <w:rPr>
          <w:rFonts w:ascii="Times New Roman" w:hAnsi="Times New Roman"/>
          <w:lang w:val="sr-Cyrl-BA"/>
        </w:rPr>
        <w:t>л</w:t>
      </w:r>
      <w:r>
        <w:rPr>
          <w:rFonts w:ascii="Times New Roman" w:hAnsi="Times New Roman"/>
          <w:lang w:val="bs-Latn-BA"/>
        </w:rPr>
        <w:t>о</w:t>
      </w:r>
      <w:r w:rsidR="003935D2">
        <w:rPr>
          <w:rFonts w:ascii="Times New Roman" w:hAnsi="Times New Roman"/>
          <w:lang w:val="bs-Latn-BA"/>
        </w:rPr>
        <w:t xml:space="preserve"> </w:t>
      </w:r>
      <w:r>
        <w:rPr>
          <w:rFonts w:ascii="Times New Roman" w:hAnsi="Times New Roman"/>
          <w:lang w:val="bs-Latn-BA"/>
        </w:rPr>
        <w:t>је</w:t>
      </w:r>
      <w:r w:rsidR="000C4402">
        <w:rPr>
          <w:rFonts w:ascii="Times New Roman" w:hAnsi="Times New Roman"/>
          <w:lang w:val="bs-Latn-BA"/>
        </w:rPr>
        <w:t xml:space="preserve"> </w:t>
      </w:r>
      <w:r>
        <w:rPr>
          <w:rFonts w:ascii="Times New Roman" w:hAnsi="Times New Roman"/>
          <w:lang w:val="bs-Latn-BA"/>
        </w:rPr>
        <w:t>Меморандум</w:t>
      </w:r>
      <w:r w:rsidR="003935D2">
        <w:rPr>
          <w:rFonts w:ascii="Times New Roman" w:hAnsi="Times New Roman"/>
          <w:lang w:val="bs-Latn-BA"/>
        </w:rPr>
        <w:t xml:space="preserve"> </w:t>
      </w:r>
      <w:r>
        <w:rPr>
          <w:rFonts w:ascii="Times New Roman" w:hAnsi="Times New Roman"/>
          <w:lang w:val="bs-Latn-BA"/>
        </w:rPr>
        <w:t>о</w:t>
      </w:r>
      <w:r w:rsidR="003935D2">
        <w:rPr>
          <w:rFonts w:ascii="Times New Roman" w:hAnsi="Times New Roman"/>
          <w:lang w:val="bs-Latn-BA"/>
        </w:rPr>
        <w:t xml:space="preserve"> </w:t>
      </w:r>
      <w:r>
        <w:rPr>
          <w:rFonts w:ascii="Times New Roman" w:hAnsi="Times New Roman"/>
          <w:lang w:val="bs-Latn-BA"/>
        </w:rPr>
        <w:t>сарадњи</w:t>
      </w:r>
      <w:r w:rsidR="003935D2">
        <w:rPr>
          <w:rFonts w:ascii="Times New Roman" w:hAnsi="Times New Roman"/>
          <w:lang w:val="bs-Latn-BA"/>
        </w:rPr>
        <w:t xml:space="preserve"> </w:t>
      </w:r>
      <w:r>
        <w:rPr>
          <w:rFonts w:ascii="Times New Roman" w:hAnsi="Times New Roman"/>
          <w:lang w:val="bs-Latn-BA"/>
        </w:rPr>
        <w:t>на</w:t>
      </w:r>
      <w:r w:rsidR="003935D2">
        <w:rPr>
          <w:rFonts w:ascii="Times New Roman" w:hAnsi="Times New Roman"/>
          <w:lang w:val="bs-Latn-BA"/>
        </w:rPr>
        <w:t xml:space="preserve"> </w:t>
      </w:r>
      <w:r>
        <w:rPr>
          <w:rFonts w:ascii="Times New Roman" w:hAnsi="Times New Roman"/>
          <w:lang w:val="bs-Latn-BA"/>
        </w:rPr>
        <w:t>пројекту</w:t>
      </w:r>
      <w:r w:rsidR="003935D2">
        <w:rPr>
          <w:rFonts w:ascii="Times New Roman" w:hAnsi="Times New Roman"/>
          <w:lang w:val="bs-Latn-BA"/>
        </w:rPr>
        <w:t xml:space="preserve"> „</w:t>
      </w:r>
      <w:r>
        <w:rPr>
          <w:rFonts w:ascii="Times New Roman" w:hAnsi="Times New Roman"/>
          <w:lang w:val="bs-Latn-BA"/>
        </w:rPr>
        <w:t>Међусекторско</w:t>
      </w:r>
      <w:r w:rsidR="003935D2">
        <w:rPr>
          <w:rFonts w:ascii="Times New Roman" w:hAnsi="Times New Roman"/>
          <w:lang w:val="bs-Latn-BA"/>
        </w:rPr>
        <w:t xml:space="preserve"> </w:t>
      </w:r>
      <w:r>
        <w:rPr>
          <w:rFonts w:ascii="Times New Roman" w:hAnsi="Times New Roman"/>
          <w:lang w:val="bs-Latn-BA"/>
        </w:rPr>
        <w:t>партнерство</w:t>
      </w:r>
      <w:r w:rsidR="003935D2">
        <w:rPr>
          <w:rFonts w:ascii="Times New Roman" w:hAnsi="Times New Roman"/>
          <w:lang w:val="bs-Latn-BA"/>
        </w:rPr>
        <w:t xml:space="preserve"> </w:t>
      </w:r>
      <w:r>
        <w:rPr>
          <w:rFonts w:ascii="Times New Roman" w:hAnsi="Times New Roman"/>
          <w:lang w:val="bs-Latn-BA"/>
        </w:rPr>
        <w:t>за</w:t>
      </w:r>
      <w:r w:rsidR="003935D2">
        <w:rPr>
          <w:rFonts w:ascii="Times New Roman" w:hAnsi="Times New Roman"/>
          <w:lang w:val="bs-Latn-BA"/>
        </w:rPr>
        <w:t xml:space="preserve"> </w:t>
      </w:r>
      <w:r>
        <w:rPr>
          <w:rFonts w:ascii="Times New Roman" w:hAnsi="Times New Roman"/>
          <w:lang w:val="bs-Latn-BA"/>
        </w:rPr>
        <w:t>људска</w:t>
      </w:r>
      <w:r w:rsidR="003935D2">
        <w:rPr>
          <w:rFonts w:ascii="Times New Roman" w:hAnsi="Times New Roman"/>
          <w:lang w:val="bs-Latn-BA"/>
        </w:rPr>
        <w:t xml:space="preserve"> </w:t>
      </w:r>
      <w:r>
        <w:rPr>
          <w:rFonts w:ascii="Times New Roman" w:hAnsi="Times New Roman"/>
          <w:lang w:val="bs-Latn-BA"/>
        </w:rPr>
        <w:t>права</w:t>
      </w:r>
      <w:r w:rsidR="003935D2">
        <w:rPr>
          <w:rFonts w:ascii="Times New Roman" w:hAnsi="Times New Roman"/>
          <w:lang w:val="bs-Latn-BA"/>
        </w:rPr>
        <w:t xml:space="preserve"> </w:t>
      </w:r>
      <w:r>
        <w:rPr>
          <w:rFonts w:ascii="Times New Roman" w:hAnsi="Times New Roman"/>
          <w:lang w:val="bs-Latn-BA"/>
        </w:rPr>
        <w:t>и</w:t>
      </w:r>
      <w:r w:rsidR="003935D2">
        <w:rPr>
          <w:rFonts w:ascii="Times New Roman" w:hAnsi="Times New Roman"/>
          <w:lang w:val="bs-Latn-BA"/>
        </w:rPr>
        <w:t xml:space="preserve"> </w:t>
      </w:r>
      <w:r>
        <w:rPr>
          <w:rFonts w:ascii="Times New Roman" w:hAnsi="Times New Roman"/>
          <w:lang w:val="bs-Latn-BA"/>
        </w:rPr>
        <w:t>родну</w:t>
      </w:r>
      <w:r w:rsidR="000C4402">
        <w:rPr>
          <w:rFonts w:ascii="Times New Roman" w:hAnsi="Times New Roman"/>
          <w:lang w:val="bs-Latn-BA"/>
        </w:rPr>
        <w:t xml:space="preserve"> </w:t>
      </w:r>
      <w:r>
        <w:rPr>
          <w:rFonts w:ascii="Times New Roman" w:hAnsi="Times New Roman"/>
          <w:lang w:val="bs-Latn-BA"/>
        </w:rPr>
        <w:t>равноправност</w:t>
      </w:r>
      <w:r w:rsidR="000C4402">
        <w:rPr>
          <w:rFonts w:ascii="Times New Roman" w:hAnsi="Times New Roman"/>
          <w:lang w:val="bs-Latn-BA"/>
        </w:rPr>
        <w:t xml:space="preserve"> </w:t>
      </w:r>
      <w:r>
        <w:rPr>
          <w:rFonts w:ascii="Times New Roman" w:hAnsi="Times New Roman"/>
          <w:lang w:val="bs-Latn-BA"/>
        </w:rPr>
        <w:t>на</w:t>
      </w:r>
      <w:r w:rsidR="000C4402">
        <w:rPr>
          <w:rFonts w:ascii="Times New Roman" w:hAnsi="Times New Roman"/>
          <w:lang w:val="bs-Latn-BA"/>
        </w:rPr>
        <w:t xml:space="preserve"> </w:t>
      </w:r>
      <w:r>
        <w:rPr>
          <w:rFonts w:ascii="Times New Roman" w:hAnsi="Times New Roman"/>
          <w:lang w:val="bs-Latn-BA"/>
        </w:rPr>
        <w:t>тржишту</w:t>
      </w:r>
      <w:r w:rsidR="000C4402">
        <w:rPr>
          <w:rFonts w:ascii="Times New Roman" w:hAnsi="Times New Roman"/>
          <w:lang w:val="bs-Latn-BA"/>
        </w:rPr>
        <w:t xml:space="preserve"> </w:t>
      </w:r>
      <w:r>
        <w:rPr>
          <w:rFonts w:ascii="Times New Roman" w:hAnsi="Times New Roman"/>
          <w:lang w:val="bs-Latn-BA"/>
        </w:rPr>
        <w:t>рада</w:t>
      </w:r>
      <w:r w:rsidR="000C4402">
        <w:rPr>
          <w:rFonts w:ascii="Times New Roman" w:hAnsi="Times New Roman"/>
          <w:lang w:val="bs-Latn-BA"/>
        </w:rPr>
        <w:t xml:space="preserve">“ </w:t>
      </w:r>
      <w:r>
        <w:rPr>
          <w:rFonts w:ascii="Times New Roman" w:hAnsi="Times New Roman"/>
          <w:lang w:val="bs-Latn-BA"/>
        </w:rPr>
        <w:t>са</w:t>
      </w:r>
      <w:r w:rsidR="00BD02E2">
        <w:rPr>
          <w:rFonts w:ascii="Times New Roman" w:hAnsi="Times New Roman"/>
          <w:lang w:val="bs-Latn-BA"/>
        </w:rPr>
        <w:t xml:space="preserve"> </w:t>
      </w:r>
      <w:r>
        <w:rPr>
          <w:rFonts w:ascii="Times New Roman" w:hAnsi="Times New Roman"/>
          <w:lang w:val="bs-Latn-BA"/>
        </w:rPr>
        <w:t>Фондацијом</w:t>
      </w:r>
      <w:r w:rsidR="003935D2">
        <w:rPr>
          <w:rFonts w:ascii="Times New Roman" w:hAnsi="Times New Roman"/>
          <w:lang w:val="bs-Latn-BA"/>
        </w:rPr>
        <w:t xml:space="preserve"> </w:t>
      </w:r>
      <w:r w:rsidR="000C4402">
        <w:rPr>
          <w:rFonts w:ascii="Times New Roman" w:hAnsi="Times New Roman"/>
          <w:lang w:val="bs-Latn-BA"/>
        </w:rPr>
        <w:t>„</w:t>
      </w:r>
      <w:r w:rsidR="0077610E" w:rsidRPr="0077610E">
        <w:rPr>
          <w:rFonts w:ascii="Times New Roman" w:hAnsi="Times New Roman"/>
          <w:i/>
          <w:lang w:val="bs-Latn-BA"/>
        </w:rPr>
        <w:t>Infohouse</w:t>
      </w:r>
      <w:r w:rsidR="00BD02E2">
        <w:rPr>
          <w:rFonts w:ascii="Times New Roman" w:hAnsi="Times New Roman"/>
          <w:lang w:val="bs-Latn-BA"/>
        </w:rPr>
        <w:t xml:space="preserve">“ </w:t>
      </w:r>
      <w:r>
        <w:rPr>
          <w:rFonts w:ascii="Times New Roman" w:hAnsi="Times New Roman"/>
          <w:lang w:val="bs-Latn-BA"/>
        </w:rPr>
        <w:t>из</w:t>
      </w:r>
      <w:r w:rsidR="00BD02E2">
        <w:rPr>
          <w:rFonts w:ascii="Times New Roman" w:hAnsi="Times New Roman"/>
          <w:lang w:val="bs-Latn-BA"/>
        </w:rPr>
        <w:t xml:space="preserve"> </w:t>
      </w:r>
      <w:r>
        <w:rPr>
          <w:rFonts w:ascii="Times New Roman" w:hAnsi="Times New Roman"/>
          <w:lang w:val="bs-Latn-BA"/>
        </w:rPr>
        <w:t>Сарајева</w:t>
      </w:r>
      <w:r w:rsidR="00BD02E2">
        <w:rPr>
          <w:rFonts w:ascii="Times New Roman" w:hAnsi="Times New Roman"/>
          <w:lang w:val="bs-Latn-BA"/>
        </w:rPr>
        <w:t xml:space="preserve"> </w:t>
      </w:r>
      <w:r>
        <w:rPr>
          <w:rFonts w:ascii="Times New Roman" w:hAnsi="Times New Roman"/>
          <w:lang w:val="bs-Latn-BA"/>
        </w:rPr>
        <w:t>и</w:t>
      </w:r>
      <w:r w:rsidR="00BD02E2">
        <w:rPr>
          <w:rFonts w:ascii="Times New Roman" w:hAnsi="Times New Roman"/>
          <w:lang w:val="bs-Latn-BA"/>
        </w:rPr>
        <w:t xml:space="preserve"> </w:t>
      </w:r>
      <w:r>
        <w:rPr>
          <w:rFonts w:ascii="Times New Roman" w:hAnsi="Times New Roman"/>
          <w:lang w:val="bs-Latn-BA"/>
        </w:rPr>
        <w:t>Фондацијом</w:t>
      </w:r>
      <w:r w:rsidR="003935D2">
        <w:rPr>
          <w:rFonts w:ascii="Times New Roman" w:hAnsi="Times New Roman"/>
          <w:lang w:val="bs-Latn-BA"/>
        </w:rPr>
        <w:t xml:space="preserve"> „</w:t>
      </w:r>
      <w:r>
        <w:rPr>
          <w:rFonts w:ascii="Times New Roman" w:hAnsi="Times New Roman"/>
          <w:lang w:val="bs-Latn-BA"/>
        </w:rPr>
        <w:t>Лара</w:t>
      </w:r>
      <w:r w:rsidR="003935D2">
        <w:rPr>
          <w:rFonts w:ascii="Times New Roman" w:hAnsi="Times New Roman"/>
          <w:lang w:val="bs-Latn-BA"/>
        </w:rPr>
        <w:t xml:space="preserve">“ </w:t>
      </w:r>
      <w:r>
        <w:rPr>
          <w:rFonts w:ascii="Times New Roman" w:hAnsi="Times New Roman"/>
          <w:lang w:val="bs-Latn-BA"/>
        </w:rPr>
        <w:t>из</w:t>
      </w:r>
      <w:r w:rsidR="003935D2">
        <w:rPr>
          <w:rFonts w:ascii="Times New Roman" w:hAnsi="Times New Roman"/>
          <w:lang w:val="bs-Latn-BA"/>
        </w:rPr>
        <w:t xml:space="preserve"> </w:t>
      </w:r>
      <w:r>
        <w:rPr>
          <w:rFonts w:ascii="Times New Roman" w:hAnsi="Times New Roman"/>
          <w:lang w:val="bs-Latn-BA"/>
        </w:rPr>
        <w:t>Бијељине</w:t>
      </w:r>
      <w:r w:rsidR="003935D2">
        <w:rPr>
          <w:rFonts w:ascii="Times New Roman" w:hAnsi="Times New Roman"/>
          <w:lang w:val="bs-Latn-BA"/>
        </w:rPr>
        <w:t xml:space="preserve"> </w:t>
      </w:r>
      <w:r w:rsidR="0077610E">
        <w:rPr>
          <w:rFonts w:ascii="Times New Roman" w:hAnsi="Times New Roman"/>
          <w:lang w:val="sr-Cyrl-BA"/>
        </w:rPr>
        <w:t>с</w:t>
      </w:r>
      <w:r w:rsidR="003935D2">
        <w:rPr>
          <w:rFonts w:ascii="Times New Roman" w:hAnsi="Times New Roman"/>
          <w:lang w:val="bs-Latn-BA"/>
        </w:rPr>
        <w:t xml:space="preserve"> </w:t>
      </w:r>
      <w:r>
        <w:rPr>
          <w:rFonts w:ascii="Times New Roman" w:hAnsi="Times New Roman"/>
          <w:lang w:val="sr-Latn-RS"/>
        </w:rPr>
        <w:t>циљ</w:t>
      </w:r>
      <w:r w:rsidR="0077610E">
        <w:rPr>
          <w:rFonts w:ascii="Times New Roman" w:hAnsi="Times New Roman"/>
          <w:lang w:val="sr-Cyrl-BA"/>
        </w:rPr>
        <w:t>ем</w:t>
      </w:r>
      <w:r w:rsidR="003935D2" w:rsidRPr="005F3F76">
        <w:rPr>
          <w:rFonts w:ascii="Times New Roman" w:hAnsi="Times New Roman"/>
          <w:lang w:val="sr-Latn-RS"/>
        </w:rPr>
        <w:t xml:space="preserve"> </w:t>
      </w:r>
      <w:r>
        <w:rPr>
          <w:rFonts w:ascii="Times New Roman" w:hAnsi="Times New Roman"/>
          <w:lang w:val="sr-Latn-RS"/>
        </w:rPr>
        <w:t>подршке</w:t>
      </w:r>
      <w:r w:rsidR="003935D2" w:rsidRPr="005F3F76">
        <w:rPr>
          <w:rFonts w:ascii="Times New Roman" w:hAnsi="Times New Roman"/>
          <w:lang w:val="sr-Latn-RS"/>
        </w:rPr>
        <w:t xml:space="preserve"> </w:t>
      </w:r>
      <w:r>
        <w:rPr>
          <w:rFonts w:ascii="Times New Roman" w:hAnsi="Times New Roman"/>
          <w:lang w:val="sr-Latn-RS"/>
        </w:rPr>
        <w:t>активностима</w:t>
      </w:r>
      <w:r w:rsidR="003935D2" w:rsidRPr="005F3F76">
        <w:rPr>
          <w:rFonts w:ascii="Times New Roman" w:hAnsi="Times New Roman"/>
          <w:lang w:val="sr-Latn-RS"/>
        </w:rPr>
        <w:t xml:space="preserve"> </w:t>
      </w:r>
      <w:r>
        <w:rPr>
          <w:rFonts w:ascii="Times New Roman" w:hAnsi="Times New Roman"/>
          <w:lang w:val="sr-Latn-RS"/>
        </w:rPr>
        <w:t>пројекта</w:t>
      </w:r>
      <w:r w:rsidR="003935D2" w:rsidRPr="005F3F76">
        <w:rPr>
          <w:rFonts w:ascii="Times New Roman" w:hAnsi="Times New Roman"/>
          <w:lang w:val="sr-Latn-RS"/>
        </w:rPr>
        <w:t xml:space="preserve"> </w:t>
      </w:r>
      <w:r>
        <w:rPr>
          <w:rFonts w:ascii="Times New Roman" w:hAnsi="Times New Roman"/>
          <w:lang w:val="sr-Latn-RS"/>
        </w:rPr>
        <w:t>у</w:t>
      </w:r>
      <w:r w:rsidR="003935D2" w:rsidRPr="005F3F76">
        <w:rPr>
          <w:rFonts w:ascii="Times New Roman" w:hAnsi="Times New Roman"/>
          <w:lang w:val="sr-Latn-RS"/>
        </w:rPr>
        <w:t xml:space="preserve"> </w:t>
      </w:r>
      <w:r>
        <w:rPr>
          <w:rFonts w:ascii="Times New Roman" w:hAnsi="Times New Roman"/>
          <w:lang w:val="sr-Latn-RS"/>
        </w:rPr>
        <w:t>креирању</w:t>
      </w:r>
      <w:r w:rsidR="003935D2" w:rsidRPr="005F3F76">
        <w:rPr>
          <w:rFonts w:ascii="Times New Roman" w:hAnsi="Times New Roman"/>
          <w:lang w:val="sr-Latn-RS"/>
        </w:rPr>
        <w:t xml:space="preserve"> </w:t>
      </w:r>
      <w:r>
        <w:rPr>
          <w:rFonts w:ascii="Times New Roman" w:hAnsi="Times New Roman"/>
          <w:lang w:val="sr-Latn-RS"/>
        </w:rPr>
        <w:t>повољнијег</w:t>
      </w:r>
      <w:r w:rsidR="003935D2" w:rsidRPr="005F3F76">
        <w:rPr>
          <w:rFonts w:ascii="Times New Roman" w:hAnsi="Times New Roman"/>
          <w:lang w:val="sr-Latn-RS"/>
        </w:rPr>
        <w:t xml:space="preserve"> </w:t>
      </w:r>
      <w:r>
        <w:rPr>
          <w:rFonts w:ascii="Times New Roman" w:hAnsi="Times New Roman"/>
          <w:lang w:val="sr-Latn-RS"/>
        </w:rPr>
        <w:t>пословног</w:t>
      </w:r>
      <w:r w:rsidR="003935D2" w:rsidRPr="005F3F76">
        <w:rPr>
          <w:rFonts w:ascii="Times New Roman" w:hAnsi="Times New Roman"/>
          <w:lang w:val="sr-Latn-RS"/>
        </w:rPr>
        <w:t xml:space="preserve"> </w:t>
      </w:r>
      <w:r>
        <w:rPr>
          <w:rFonts w:ascii="Times New Roman" w:hAnsi="Times New Roman"/>
          <w:lang w:val="sr-Latn-RS"/>
        </w:rPr>
        <w:t>амбијента</w:t>
      </w:r>
      <w:r w:rsidR="003935D2" w:rsidRPr="005F3F76">
        <w:rPr>
          <w:rFonts w:ascii="Times New Roman" w:hAnsi="Times New Roman"/>
          <w:lang w:val="sr-Latn-RS"/>
        </w:rPr>
        <w:t xml:space="preserve"> </w:t>
      </w:r>
      <w:r>
        <w:rPr>
          <w:rFonts w:ascii="Times New Roman" w:hAnsi="Times New Roman"/>
          <w:lang w:val="sr-Latn-RS"/>
        </w:rPr>
        <w:t>и</w:t>
      </w:r>
      <w:r w:rsidR="003935D2" w:rsidRPr="005F3F76">
        <w:rPr>
          <w:rFonts w:ascii="Times New Roman" w:hAnsi="Times New Roman"/>
          <w:lang w:val="sr-Latn-RS"/>
        </w:rPr>
        <w:t xml:space="preserve"> </w:t>
      </w:r>
      <w:r>
        <w:rPr>
          <w:rFonts w:ascii="Times New Roman" w:hAnsi="Times New Roman"/>
          <w:lang w:val="sr-Latn-RS"/>
        </w:rPr>
        <w:t>равноправнијег</w:t>
      </w:r>
      <w:r w:rsidR="003935D2" w:rsidRPr="005F3F76">
        <w:rPr>
          <w:rFonts w:ascii="Times New Roman" w:hAnsi="Times New Roman"/>
          <w:lang w:val="sr-Latn-RS"/>
        </w:rPr>
        <w:t xml:space="preserve"> </w:t>
      </w:r>
      <w:r>
        <w:rPr>
          <w:rFonts w:ascii="Times New Roman" w:hAnsi="Times New Roman"/>
          <w:lang w:val="sr-Latn-RS"/>
        </w:rPr>
        <w:t>приступа</w:t>
      </w:r>
      <w:r w:rsidR="003935D2" w:rsidRPr="005F3F76">
        <w:rPr>
          <w:rFonts w:ascii="Times New Roman" w:hAnsi="Times New Roman"/>
          <w:lang w:val="sr-Latn-RS"/>
        </w:rPr>
        <w:t xml:space="preserve"> </w:t>
      </w:r>
      <w:r>
        <w:rPr>
          <w:rFonts w:ascii="Times New Roman" w:hAnsi="Times New Roman"/>
          <w:lang w:val="sr-Latn-RS"/>
        </w:rPr>
        <w:t>жена</w:t>
      </w:r>
      <w:r w:rsidR="003935D2" w:rsidRPr="005F3F76">
        <w:rPr>
          <w:rFonts w:ascii="Times New Roman" w:hAnsi="Times New Roman"/>
          <w:lang w:val="sr-Latn-RS"/>
        </w:rPr>
        <w:t xml:space="preserve"> </w:t>
      </w:r>
      <w:r>
        <w:rPr>
          <w:rFonts w:ascii="Times New Roman" w:hAnsi="Times New Roman"/>
          <w:lang w:val="sr-Latn-RS"/>
        </w:rPr>
        <w:t>тржишту</w:t>
      </w:r>
      <w:r w:rsidR="003935D2" w:rsidRPr="005F3F76">
        <w:rPr>
          <w:rFonts w:ascii="Times New Roman" w:hAnsi="Times New Roman"/>
          <w:lang w:val="sr-Latn-RS"/>
        </w:rPr>
        <w:t xml:space="preserve"> </w:t>
      </w:r>
      <w:r>
        <w:rPr>
          <w:rFonts w:ascii="Times New Roman" w:hAnsi="Times New Roman"/>
          <w:lang w:val="sr-Latn-RS"/>
        </w:rPr>
        <w:t>рада</w:t>
      </w:r>
      <w:r w:rsidR="003935D2" w:rsidRPr="005F3F76">
        <w:rPr>
          <w:rFonts w:ascii="Times New Roman" w:hAnsi="Times New Roman"/>
          <w:lang w:val="sr-Latn-RS"/>
        </w:rPr>
        <w:t xml:space="preserve">, </w:t>
      </w:r>
      <w:r>
        <w:rPr>
          <w:rFonts w:ascii="Times New Roman" w:hAnsi="Times New Roman"/>
          <w:lang w:val="sr-Latn-RS"/>
        </w:rPr>
        <w:t>чији</w:t>
      </w:r>
      <w:r w:rsidR="003935D2" w:rsidRPr="005F3F76">
        <w:rPr>
          <w:rFonts w:ascii="Times New Roman" w:hAnsi="Times New Roman"/>
          <w:lang w:val="sr-Latn-RS"/>
        </w:rPr>
        <w:t xml:space="preserve"> </w:t>
      </w:r>
      <w:r>
        <w:rPr>
          <w:rFonts w:ascii="Times New Roman" w:hAnsi="Times New Roman"/>
          <w:lang w:val="sr-Latn-RS"/>
        </w:rPr>
        <w:t>је</w:t>
      </w:r>
      <w:r w:rsidR="003935D2" w:rsidRPr="005F3F76">
        <w:rPr>
          <w:rFonts w:ascii="Times New Roman" w:hAnsi="Times New Roman"/>
          <w:lang w:val="sr-Latn-RS"/>
        </w:rPr>
        <w:t xml:space="preserve"> </w:t>
      </w:r>
      <w:r>
        <w:rPr>
          <w:rFonts w:ascii="Times New Roman" w:hAnsi="Times New Roman"/>
          <w:lang w:val="sr-Latn-RS"/>
        </w:rPr>
        <w:t>свеукупни</w:t>
      </w:r>
      <w:r w:rsidR="003935D2" w:rsidRPr="005F3F76">
        <w:rPr>
          <w:rFonts w:ascii="Times New Roman" w:hAnsi="Times New Roman"/>
          <w:lang w:val="sr-Latn-RS"/>
        </w:rPr>
        <w:t xml:space="preserve"> </w:t>
      </w:r>
      <w:r>
        <w:rPr>
          <w:rFonts w:ascii="Times New Roman" w:hAnsi="Times New Roman"/>
          <w:lang w:val="sr-Latn-RS"/>
        </w:rPr>
        <w:t>циљ</w:t>
      </w:r>
      <w:r w:rsidR="003935D2" w:rsidRPr="005F3F76">
        <w:rPr>
          <w:rFonts w:ascii="Times New Roman" w:hAnsi="Times New Roman"/>
          <w:lang w:val="sr-Latn-RS"/>
        </w:rPr>
        <w:t xml:space="preserve"> </w:t>
      </w:r>
      <w:r>
        <w:rPr>
          <w:rFonts w:ascii="Times New Roman" w:hAnsi="Times New Roman"/>
          <w:lang w:val="sr-Latn-RS"/>
        </w:rPr>
        <w:t>допринијети</w:t>
      </w:r>
      <w:r w:rsidR="003935D2" w:rsidRPr="005F3F76">
        <w:rPr>
          <w:rFonts w:ascii="Times New Roman" w:hAnsi="Times New Roman"/>
          <w:lang w:val="sr-Latn-RS"/>
        </w:rPr>
        <w:t xml:space="preserve"> </w:t>
      </w:r>
      <w:r>
        <w:rPr>
          <w:rFonts w:ascii="Times New Roman" w:hAnsi="Times New Roman"/>
          <w:lang w:val="sr-Latn-RS"/>
        </w:rPr>
        <w:t>елиминацији</w:t>
      </w:r>
      <w:r w:rsidR="003935D2" w:rsidRPr="005F3F76">
        <w:rPr>
          <w:rFonts w:ascii="Times New Roman" w:hAnsi="Times New Roman"/>
          <w:lang w:val="sr-Latn-RS"/>
        </w:rPr>
        <w:t xml:space="preserve"> </w:t>
      </w:r>
      <w:r>
        <w:rPr>
          <w:rFonts w:ascii="Times New Roman" w:hAnsi="Times New Roman"/>
          <w:lang w:val="sr-Latn-RS"/>
        </w:rPr>
        <w:t>дискриминације</w:t>
      </w:r>
      <w:r w:rsidR="003935D2" w:rsidRPr="005F3F76">
        <w:rPr>
          <w:rFonts w:ascii="Times New Roman" w:hAnsi="Times New Roman"/>
          <w:lang w:val="sr-Latn-RS"/>
        </w:rPr>
        <w:t xml:space="preserve"> </w:t>
      </w:r>
      <w:r>
        <w:rPr>
          <w:rFonts w:ascii="Times New Roman" w:hAnsi="Times New Roman"/>
          <w:lang w:val="sr-Latn-RS"/>
        </w:rPr>
        <w:t>жена</w:t>
      </w:r>
      <w:r w:rsidR="003935D2" w:rsidRPr="005F3F76">
        <w:rPr>
          <w:rFonts w:ascii="Times New Roman" w:hAnsi="Times New Roman"/>
          <w:lang w:val="sr-Latn-RS"/>
        </w:rPr>
        <w:t xml:space="preserve"> </w:t>
      </w:r>
      <w:r>
        <w:rPr>
          <w:rFonts w:ascii="Times New Roman" w:hAnsi="Times New Roman"/>
          <w:lang w:val="sr-Latn-RS"/>
        </w:rPr>
        <w:t>на</w:t>
      </w:r>
      <w:r w:rsidR="003935D2" w:rsidRPr="005F3F76">
        <w:rPr>
          <w:rFonts w:ascii="Times New Roman" w:hAnsi="Times New Roman"/>
          <w:lang w:val="sr-Latn-RS"/>
        </w:rPr>
        <w:t xml:space="preserve"> </w:t>
      </w:r>
      <w:r>
        <w:rPr>
          <w:rFonts w:ascii="Times New Roman" w:hAnsi="Times New Roman"/>
          <w:lang w:val="sr-Latn-RS"/>
        </w:rPr>
        <w:t>тржишту</w:t>
      </w:r>
      <w:r w:rsidR="003935D2" w:rsidRPr="005F3F76">
        <w:rPr>
          <w:rFonts w:ascii="Times New Roman" w:hAnsi="Times New Roman"/>
          <w:lang w:val="sr-Latn-RS"/>
        </w:rPr>
        <w:t xml:space="preserve"> </w:t>
      </w:r>
      <w:r>
        <w:rPr>
          <w:rFonts w:ascii="Times New Roman" w:hAnsi="Times New Roman"/>
          <w:lang w:val="sr-Latn-RS"/>
        </w:rPr>
        <w:t>рада</w:t>
      </w:r>
      <w:r w:rsidR="003935D2" w:rsidRPr="005F3F76">
        <w:rPr>
          <w:rFonts w:ascii="Times New Roman" w:hAnsi="Times New Roman"/>
          <w:lang w:val="sr-Latn-RS"/>
        </w:rPr>
        <w:t xml:space="preserve"> </w:t>
      </w:r>
      <w:r>
        <w:rPr>
          <w:rFonts w:ascii="Times New Roman" w:hAnsi="Times New Roman"/>
          <w:lang w:val="sr-Latn-RS"/>
        </w:rPr>
        <w:t>и</w:t>
      </w:r>
      <w:r w:rsidR="003935D2" w:rsidRPr="005F3F76">
        <w:rPr>
          <w:rFonts w:ascii="Times New Roman" w:hAnsi="Times New Roman"/>
          <w:lang w:val="sr-Latn-RS"/>
        </w:rPr>
        <w:t xml:space="preserve"> </w:t>
      </w:r>
      <w:r>
        <w:rPr>
          <w:rFonts w:ascii="Times New Roman" w:hAnsi="Times New Roman"/>
          <w:lang w:val="sr-Latn-RS"/>
        </w:rPr>
        <w:t>промови</w:t>
      </w:r>
      <w:r w:rsidR="0077610E">
        <w:rPr>
          <w:rFonts w:ascii="Times New Roman" w:hAnsi="Times New Roman"/>
          <w:lang w:val="sr-Cyrl-BA"/>
        </w:rPr>
        <w:t>с</w:t>
      </w:r>
      <w:r>
        <w:rPr>
          <w:rFonts w:ascii="Times New Roman" w:hAnsi="Times New Roman"/>
          <w:lang w:val="sr-Latn-RS"/>
        </w:rPr>
        <w:t>ању</w:t>
      </w:r>
      <w:r w:rsidR="003935D2" w:rsidRPr="005F3F76">
        <w:rPr>
          <w:rFonts w:ascii="Times New Roman" w:hAnsi="Times New Roman"/>
          <w:lang w:val="sr-Latn-RS"/>
        </w:rPr>
        <w:t xml:space="preserve"> </w:t>
      </w:r>
      <w:r>
        <w:rPr>
          <w:rFonts w:ascii="Times New Roman" w:hAnsi="Times New Roman"/>
          <w:lang w:val="sr-Latn-RS"/>
        </w:rPr>
        <w:t>економских</w:t>
      </w:r>
      <w:r w:rsidR="000C4402">
        <w:rPr>
          <w:rFonts w:ascii="Times New Roman" w:hAnsi="Times New Roman"/>
          <w:lang w:val="sr-Latn-RS"/>
        </w:rPr>
        <w:t xml:space="preserve"> </w:t>
      </w:r>
      <w:r>
        <w:rPr>
          <w:rFonts w:ascii="Times New Roman" w:hAnsi="Times New Roman"/>
          <w:lang w:val="sr-Latn-RS"/>
        </w:rPr>
        <w:t>и</w:t>
      </w:r>
      <w:r w:rsidR="000C4402">
        <w:rPr>
          <w:rFonts w:ascii="Times New Roman" w:hAnsi="Times New Roman"/>
          <w:lang w:val="sr-Latn-RS"/>
        </w:rPr>
        <w:t xml:space="preserve"> </w:t>
      </w:r>
      <w:r>
        <w:rPr>
          <w:rFonts w:ascii="Times New Roman" w:hAnsi="Times New Roman"/>
          <w:lang w:val="sr-Latn-RS"/>
        </w:rPr>
        <w:t>социјалних</w:t>
      </w:r>
      <w:r w:rsidR="000C4402">
        <w:rPr>
          <w:rFonts w:ascii="Times New Roman" w:hAnsi="Times New Roman"/>
          <w:lang w:val="sr-Latn-RS"/>
        </w:rPr>
        <w:t xml:space="preserve"> </w:t>
      </w:r>
      <w:r>
        <w:rPr>
          <w:rFonts w:ascii="Times New Roman" w:hAnsi="Times New Roman"/>
          <w:lang w:val="sr-Latn-RS"/>
        </w:rPr>
        <w:t>права</w:t>
      </w:r>
      <w:r w:rsidR="000C4402">
        <w:rPr>
          <w:rFonts w:ascii="Times New Roman" w:hAnsi="Times New Roman"/>
          <w:lang w:val="sr-Latn-RS"/>
        </w:rPr>
        <w:t xml:space="preserve"> </w:t>
      </w:r>
      <w:r>
        <w:rPr>
          <w:rFonts w:ascii="Times New Roman" w:hAnsi="Times New Roman"/>
          <w:lang w:val="sr-Latn-RS"/>
        </w:rPr>
        <w:t>жена</w:t>
      </w:r>
      <w:r w:rsidR="000C4402">
        <w:rPr>
          <w:rFonts w:ascii="Times New Roman" w:hAnsi="Times New Roman"/>
          <w:lang w:val="sr-Latn-RS"/>
        </w:rPr>
        <w:t xml:space="preserve"> </w:t>
      </w:r>
      <w:r>
        <w:rPr>
          <w:rFonts w:ascii="Times New Roman" w:hAnsi="Times New Roman"/>
          <w:lang w:val="sr-Latn-RS"/>
        </w:rPr>
        <w:t>те</w:t>
      </w:r>
      <w:r w:rsidR="003935D2">
        <w:rPr>
          <w:rFonts w:ascii="Times New Roman" w:hAnsi="Times New Roman"/>
          <w:lang w:val="sr-Latn-RS"/>
        </w:rPr>
        <w:t xml:space="preserve"> </w:t>
      </w:r>
      <w:r>
        <w:rPr>
          <w:rFonts w:ascii="Times New Roman" w:hAnsi="Times New Roman"/>
          <w:lang w:val="sr-Latn-RS"/>
        </w:rPr>
        <w:t>пружити</w:t>
      </w:r>
      <w:r w:rsidR="003935D2" w:rsidRPr="005F3F76">
        <w:rPr>
          <w:rFonts w:ascii="Times New Roman" w:hAnsi="Times New Roman"/>
          <w:lang w:val="sr-Latn-RS"/>
        </w:rPr>
        <w:t xml:space="preserve"> </w:t>
      </w:r>
      <w:r>
        <w:rPr>
          <w:rFonts w:ascii="Times New Roman" w:hAnsi="Times New Roman"/>
          <w:lang w:val="sr-Latn-RS"/>
        </w:rPr>
        <w:t>подршку</w:t>
      </w:r>
      <w:r w:rsidR="003935D2" w:rsidRPr="005F3F76">
        <w:rPr>
          <w:rFonts w:ascii="Times New Roman" w:hAnsi="Times New Roman"/>
          <w:lang w:val="sr-Latn-RS"/>
        </w:rPr>
        <w:t xml:space="preserve"> </w:t>
      </w:r>
      <w:r w:rsidR="0077610E">
        <w:rPr>
          <w:rFonts w:ascii="Times New Roman" w:hAnsi="Times New Roman"/>
          <w:lang w:val="sr-Cyrl-BA"/>
        </w:rPr>
        <w:t>спровођењу</w:t>
      </w:r>
      <w:r w:rsidR="003935D2" w:rsidRPr="005F3F76">
        <w:rPr>
          <w:rFonts w:ascii="Times New Roman" w:hAnsi="Times New Roman"/>
          <w:lang w:val="sr-Latn-RS"/>
        </w:rPr>
        <w:t xml:space="preserve"> </w:t>
      </w:r>
      <w:r>
        <w:rPr>
          <w:rFonts w:ascii="Times New Roman" w:hAnsi="Times New Roman"/>
          <w:lang w:val="sr-Latn-RS"/>
        </w:rPr>
        <w:t>активности</w:t>
      </w:r>
      <w:r w:rsidR="003935D2" w:rsidRPr="005F3F76">
        <w:rPr>
          <w:rFonts w:ascii="Times New Roman" w:hAnsi="Times New Roman"/>
          <w:lang w:val="sr-Latn-RS"/>
        </w:rPr>
        <w:t xml:space="preserve"> </w:t>
      </w:r>
      <w:r>
        <w:rPr>
          <w:rFonts w:ascii="Times New Roman" w:hAnsi="Times New Roman"/>
          <w:lang w:val="sr-Latn-RS"/>
        </w:rPr>
        <w:t>пројекта</w:t>
      </w:r>
      <w:r w:rsidR="003935D2" w:rsidRPr="005F3F76">
        <w:rPr>
          <w:rFonts w:ascii="Times New Roman" w:hAnsi="Times New Roman"/>
          <w:lang w:val="sr-Latn-RS"/>
        </w:rPr>
        <w:t xml:space="preserve"> </w:t>
      </w:r>
      <w:r>
        <w:rPr>
          <w:rFonts w:ascii="Times New Roman" w:hAnsi="Times New Roman"/>
          <w:lang w:val="sr-Latn-RS"/>
        </w:rPr>
        <w:t>кроз</w:t>
      </w:r>
      <w:r w:rsidR="003935D2">
        <w:rPr>
          <w:rFonts w:ascii="Times New Roman" w:hAnsi="Times New Roman"/>
          <w:lang w:val="sr-Latn-RS"/>
        </w:rPr>
        <w:t xml:space="preserve"> </w:t>
      </w:r>
      <w:r>
        <w:rPr>
          <w:rFonts w:ascii="Times New Roman" w:hAnsi="Times New Roman"/>
          <w:lang w:val="sr-Latn-RS"/>
        </w:rPr>
        <w:t>учешће</w:t>
      </w:r>
      <w:r w:rsidR="003935D2">
        <w:rPr>
          <w:rFonts w:ascii="Times New Roman" w:hAnsi="Times New Roman"/>
          <w:lang w:val="sr-Latn-RS"/>
        </w:rPr>
        <w:t xml:space="preserve"> </w:t>
      </w:r>
      <w:r>
        <w:rPr>
          <w:rFonts w:ascii="Times New Roman" w:hAnsi="Times New Roman"/>
          <w:lang w:val="sr-Latn-RS"/>
        </w:rPr>
        <w:t>у</w:t>
      </w:r>
      <w:r w:rsidR="003935D2">
        <w:rPr>
          <w:rFonts w:ascii="Times New Roman" w:hAnsi="Times New Roman"/>
          <w:lang w:val="sr-Latn-RS"/>
        </w:rPr>
        <w:t xml:space="preserve"> </w:t>
      </w:r>
      <w:r>
        <w:rPr>
          <w:rFonts w:ascii="Times New Roman" w:hAnsi="Times New Roman"/>
          <w:lang w:val="sr-Latn-RS"/>
        </w:rPr>
        <w:t>Савјетодавном</w:t>
      </w:r>
      <w:r w:rsidR="003935D2">
        <w:rPr>
          <w:rFonts w:ascii="Times New Roman" w:hAnsi="Times New Roman"/>
          <w:lang w:val="sr-Latn-RS"/>
        </w:rPr>
        <w:t xml:space="preserve"> </w:t>
      </w:r>
      <w:r>
        <w:rPr>
          <w:rFonts w:ascii="Times New Roman" w:hAnsi="Times New Roman"/>
          <w:lang w:val="sr-Latn-RS"/>
        </w:rPr>
        <w:t>одбору</w:t>
      </w:r>
      <w:r w:rsidR="003935D2">
        <w:rPr>
          <w:rFonts w:ascii="Times New Roman" w:hAnsi="Times New Roman"/>
          <w:lang w:val="sr-Latn-RS"/>
        </w:rPr>
        <w:t>.</w:t>
      </w:r>
    </w:p>
    <w:p w:rsidR="003935D2" w:rsidRDefault="003935D2" w:rsidP="0086268D">
      <w:pPr>
        <w:pStyle w:val="HTMLPreformatted"/>
        <w:jc w:val="both"/>
        <w:rPr>
          <w:rStyle w:val="y2iqfc"/>
          <w:rFonts w:ascii="Times New Roman" w:hAnsi="Times New Roman" w:cs="Times New Roman"/>
          <w:sz w:val="24"/>
          <w:szCs w:val="24"/>
        </w:rPr>
      </w:pPr>
    </w:p>
    <w:p w:rsidR="003674C0" w:rsidRPr="00295637" w:rsidRDefault="00C6214E" w:rsidP="0086268D">
      <w:pPr>
        <w:pStyle w:val="HTMLPreformatted"/>
        <w:jc w:val="both"/>
        <w:rPr>
          <w:rFonts w:ascii="Times New Roman" w:hAnsi="Times New Roman" w:cs="Times New Roman"/>
          <w:sz w:val="24"/>
          <w:szCs w:val="24"/>
          <w:lang w:val="en-US"/>
        </w:rPr>
      </w:pPr>
      <w:r>
        <w:rPr>
          <w:rStyle w:val="y2iqfc"/>
          <w:rFonts w:ascii="Times New Roman" w:hAnsi="Times New Roman" w:cs="Times New Roman"/>
          <w:sz w:val="24"/>
          <w:szCs w:val="24"/>
        </w:rPr>
        <w:t>У</w:t>
      </w:r>
      <w:r w:rsidR="00E36B1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партнерству</w:t>
      </w:r>
      <w:r w:rsidR="00E36B1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w:t>
      </w:r>
      <w:r w:rsidR="003674C0" w:rsidRPr="00E36B14">
        <w:rPr>
          <w:rStyle w:val="y2iqfc"/>
          <w:rFonts w:ascii="Times New Roman" w:hAnsi="Times New Roman" w:cs="Times New Roman"/>
          <w:sz w:val="24"/>
          <w:szCs w:val="24"/>
        </w:rPr>
        <w:t xml:space="preserve"> „</w:t>
      </w:r>
      <w:r w:rsidR="0077610E" w:rsidRPr="0077610E">
        <w:rPr>
          <w:rFonts w:ascii="Times New Roman" w:hAnsi="Times New Roman" w:cs="Times New Roman"/>
          <w:i/>
          <w:sz w:val="24"/>
          <w:szCs w:val="24"/>
          <w:lang w:val="hr-BA"/>
        </w:rPr>
        <w:t>DM drogerie markt ltd</w:t>
      </w:r>
      <w:r w:rsidR="003674C0" w:rsidRPr="00E36B14">
        <w:rPr>
          <w:rStyle w:val="y2iqfc"/>
          <w:rFonts w:ascii="Times New Roman" w:hAnsi="Times New Roman" w:cs="Times New Roman"/>
          <w:sz w:val="24"/>
          <w:szCs w:val="24"/>
        </w:rPr>
        <w:t>“,</w:t>
      </w:r>
      <w:r w:rsidR="003674C0" w:rsidRPr="00295637">
        <w:rPr>
          <w:rStyle w:val="y2iqfc"/>
          <w:rFonts w:ascii="Times New Roman" w:hAnsi="Times New Roman" w:cs="Times New Roman"/>
          <w:sz w:val="24"/>
          <w:szCs w:val="24"/>
        </w:rPr>
        <w:t xml:space="preserve"> </w:t>
      </w:r>
      <w:r w:rsidR="0077610E" w:rsidRPr="0077610E">
        <w:rPr>
          <w:rFonts w:ascii="Times New Roman" w:hAnsi="Times New Roman" w:cs="Times New Roman"/>
          <w:i/>
          <w:sz w:val="24"/>
          <w:szCs w:val="24"/>
          <w:lang w:val="hr-BA"/>
        </w:rPr>
        <w:t>UNFPA</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пилотирао</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програм</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усмјерен</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жене</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старости</w:t>
      </w:r>
      <w:r w:rsidR="003674C0" w:rsidRPr="00295637">
        <w:rPr>
          <w:rStyle w:val="y2iqfc"/>
          <w:rFonts w:ascii="Times New Roman" w:hAnsi="Times New Roman" w:cs="Times New Roman"/>
          <w:sz w:val="24"/>
          <w:szCs w:val="24"/>
        </w:rPr>
        <w:t xml:space="preserve"> 40-49 </w:t>
      </w:r>
      <w:r>
        <w:rPr>
          <w:rStyle w:val="y2iqfc"/>
          <w:rFonts w:ascii="Times New Roman" w:hAnsi="Times New Roman" w:cs="Times New Roman"/>
          <w:sz w:val="24"/>
          <w:szCs w:val="24"/>
        </w:rPr>
        <w:t>година</w:t>
      </w:r>
      <w:r w:rsidR="00BD0C75" w:rsidRPr="00295637">
        <w:rPr>
          <w:rStyle w:val="y2iqfc"/>
          <w:rFonts w:ascii="Times New Roman" w:hAnsi="Times New Roman" w:cs="Times New Roman"/>
          <w:sz w:val="24"/>
          <w:szCs w:val="24"/>
        </w:rPr>
        <w:t>,</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што</w:t>
      </w:r>
      <w:r w:rsidR="00BD0C75"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BD0C75"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често</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занемарена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демографска</w:t>
      </w:r>
      <w:r w:rsidR="00BD0C75"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група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политикама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запошљавања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Комбин</w:t>
      </w:r>
      <w:r w:rsidR="0077610E">
        <w:rPr>
          <w:rStyle w:val="y2iqfc"/>
          <w:rFonts w:ascii="Times New Roman" w:hAnsi="Times New Roman" w:cs="Times New Roman"/>
          <w:sz w:val="24"/>
          <w:szCs w:val="24"/>
          <w:lang w:val="sr-Cyrl-BA"/>
        </w:rPr>
        <w:t>ујући</w:t>
      </w:r>
      <w:r w:rsidR="00E36B1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развој</w:t>
      </w:r>
      <w:r w:rsidR="00E36B1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вјештина</w:t>
      </w:r>
      <w:r w:rsidR="00E36B1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обуком</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радном</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мјесту</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иницијатива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оснажила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жене</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практичним</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начинима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повратка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тржиште</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рада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прекидајући</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обрасце</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економске</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зависности</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дуготрајне</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незапослености</w:t>
      </w:r>
      <w:r w:rsidR="003674C0" w:rsidRPr="00295637">
        <w:rPr>
          <w:rStyle w:val="y2iqfc"/>
          <w:rFonts w:ascii="Times New Roman" w:hAnsi="Times New Roman" w:cs="Times New Roman"/>
          <w:sz w:val="24"/>
          <w:szCs w:val="24"/>
        </w:rPr>
        <w:t>.</w:t>
      </w:r>
    </w:p>
    <w:p w:rsidR="008D56A8" w:rsidRPr="00295637" w:rsidRDefault="008D56A8" w:rsidP="0086268D">
      <w:pPr>
        <w:pStyle w:val="Default"/>
        <w:jc w:val="both"/>
        <w:rPr>
          <w:color w:val="auto"/>
        </w:rPr>
      </w:pPr>
    </w:p>
    <w:p w:rsidR="003674C0" w:rsidRPr="00295637" w:rsidRDefault="00C6214E" w:rsidP="0086268D">
      <w:pPr>
        <w:pStyle w:val="HTMLPreformatted"/>
        <w:jc w:val="both"/>
        <w:rPr>
          <w:rFonts w:ascii="Times New Roman" w:hAnsi="Times New Roman" w:cs="Times New Roman"/>
          <w:sz w:val="24"/>
          <w:szCs w:val="24"/>
          <w:lang w:val="en-US"/>
        </w:rPr>
      </w:pPr>
      <w:r>
        <w:rPr>
          <w:rFonts w:ascii="Times New Roman" w:hAnsi="Times New Roman" w:cs="Times New Roman"/>
          <w:sz w:val="24"/>
          <w:szCs w:val="24"/>
        </w:rPr>
        <w:t>ЕУ</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је</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финансирала</w:t>
      </w:r>
      <w:r w:rsidR="00E36B14">
        <w:rPr>
          <w:rFonts w:ascii="Times New Roman" w:hAnsi="Times New Roman" w:cs="Times New Roman"/>
          <w:sz w:val="24"/>
          <w:szCs w:val="24"/>
        </w:rPr>
        <w:t xml:space="preserve"> </w:t>
      </w:r>
      <w:r>
        <w:rPr>
          <w:rFonts w:ascii="Times New Roman" w:hAnsi="Times New Roman" w:cs="Times New Roman"/>
          <w:sz w:val="24"/>
          <w:szCs w:val="24"/>
        </w:rPr>
        <w:t>пројекат</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Међусекторско</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партнерство</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за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људска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права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и</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равноправност</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полова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у</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раду</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који</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доприноси</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смањењу</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дискриминације</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жена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на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тржишту</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рада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промови</w:t>
      </w:r>
      <w:r w:rsidR="00216930">
        <w:rPr>
          <w:rFonts w:ascii="Times New Roman" w:hAnsi="Times New Roman" w:cs="Times New Roman"/>
          <w:sz w:val="24"/>
          <w:szCs w:val="24"/>
          <w:lang w:val="sr-Cyrl-BA"/>
        </w:rPr>
        <w:t>шући</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њихова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економска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и</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социјална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права</w:t>
      </w:r>
      <w:r w:rsidR="00BD0C75" w:rsidRPr="00295637">
        <w:rPr>
          <w:rFonts w:ascii="Times New Roman" w:hAnsi="Times New Roman" w:cs="Times New Roman"/>
          <w:sz w:val="24"/>
          <w:szCs w:val="24"/>
        </w:rPr>
        <w:t xml:space="preserve">. </w:t>
      </w:r>
      <w:r>
        <w:rPr>
          <w:rFonts w:ascii="Times New Roman" w:hAnsi="Times New Roman" w:cs="Times New Roman"/>
          <w:sz w:val="24"/>
          <w:szCs w:val="24"/>
        </w:rPr>
        <w:t>Планирано</w:t>
      </w:r>
      <w:r w:rsidR="00BD0C75" w:rsidRPr="00295637">
        <w:rPr>
          <w:rFonts w:ascii="Times New Roman" w:hAnsi="Times New Roman" w:cs="Times New Roman"/>
          <w:sz w:val="24"/>
          <w:szCs w:val="24"/>
        </w:rPr>
        <w:t xml:space="preserve"> </w:t>
      </w:r>
      <w:r>
        <w:rPr>
          <w:rFonts w:ascii="Times New Roman" w:hAnsi="Times New Roman" w:cs="Times New Roman"/>
          <w:sz w:val="24"/>
          <w:szCs w:val="24"/>
        </w:rPr>
        <w:t>је</w:t>
      </w:r>
      <w:r w:rsidR="00BD0C75" w:rsidRPr="00295637">
        <w:rPr>
          <w:rFonts w:ascii="Times New Roman" w:hAnsi="Times New Roman" w:cs="Times New Roman"/>
          <w:sz w:val="24"/>
          <w:szCs w:val="24"/>
        </w:rPr>
        <w:t xml:space="preserve"> </w:t>
      </w:r>
      <w:r>
        <w:rPr>
          <w:rFonts w:ascii="Times New Roman" w:hAnsi="Times New Roman" w:cs="Times New Roman"/>
          <w:sz w:val="24"/>
          <w:szCs w:val="24"/>
        </w:rPr>
        <w:t>да</w:t>
      </w:r>
      <w:r w:rsidR="00BD0C75" w:rsidRPr="00295637">
        <w:rPr>
          <w:rFonts w:ascii="Times New Roman" w:hAnsi="Times New Roman" w:cs="Times New Roman"/>
          <w:sz w:val="24"/>
          <w:szCs w:val="24"/>
        </w:rPr>
        <w:t xml:space="preserve"> </w:t>
      </w:r>
      <w:r>
        <w:rPr>
          <w:rFonts w:ascii="Times New Roman" w:hAnsi="Times New Roman" w:cs="Times New Roman"/>
          <w:sz w:val="24"/>
          <w:szCs w:val="24"/>
        </w:rPr>
        <w:t>до</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краја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пројекта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који</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завршава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половином</w:t>
      </w:r>
      <w:r w:rsidR="003674C0" w:rsidRPr="00295637">
        <w:rPr>
          <w:rFonts w:ascii="Times New Roman" w:hAnsi="Times New Roman" w:cs="Times New Roman"/>
          <w:sz w:val="24"/>
          <w:szCs w:val="24"/>
        </w:rPr>
        <w:t xml:space="preserve"> 2025. </w:t>
      </w:r>
      <w:r>
        <w:rPr>
          <w:rFonts w:ascii="Times New Roman" w:hAnsi="Times New Roman" w:cs="Times New Roman"/>
          <w:sz w:val="24"/>
          <w:szCs w:val="24"/>
        </w:rPr>
        <w:t>године</w:t>
      </w:r>
      <w:r w:rsidR="00BD0C75" w:rsidRPr="00295637">
        <w:rPr>
          <w:rFonts w:ascii="Times New Roman" w:hAnsi="Times New Roman" w:cs="Times New Roman"/>
          <w:sz w:val="24"/>
          <w:szCs w:val="24"/>
        </w:rPr>
        <w:t xml:space="preserve">, </w:t>
      </w:r>
      <w:r>
        <w:rPr>
          <w:rFonts w:ascii="Times New Roman" w:hAnsi="Times New Roman" w:cs="Times New Roman"/>
          <w:sz w:val="24"/>
          <w:szCs w:val="24"/>
        </w:rPr>
        <w:t>најмање</w:t>
      </w:r>
      <w:r w:rsidR="00BD0C75" w:rsidRPr="00295637">
        <w:rPr>
          <w:rFonts w:ascii="Times New Roman" w:hAnsi="Times New Roman" w:cs="Times New Roman"/>
          <w:sz w:val="24"/>
          <w:szCs w:val="24"/>
        </w:rPr>
        <w:t xml:space="preserve"> 10 </w:t>
      </w:r>
      <w:r>
        <w:rPr>
          <w:rFonts w:ascii="Times New Roman" w:hAnsi="Times New Roman" w:cs="Times New Roman"/>
          <w:sz w:val="24"/>
          <w:szCs w:val="24"/>
        </w:rPr>
        <w:t>бх</w:t>
      </w:r>
      <w:r w:rsidR="00BD0C75" w:rsidRPr="00295637">
        <w:rPr>
          <w:rFonts w:ascii="Times New Roman" w:hAnsi="Times New Roman" w:cs="Times New Roman"/>
          <w:sz w:val="24"/>
          <w:szCs w:val="24"/>
        </w:rPr>
        <w:t xml:space="preserve">. </w:t>
      </w:r>
      <w:r>
        <w:rPr>
          <w:rFonts w:ascii="Times New Roman" w:hAnsi="Times New Roman" w:cs="Times New Roman"/>
          <w:sz w:val="24"/>
          <w:szCs w:val="24"/>
        </w:rPr>
        <w:t>компанија</w:t>
      </w:r>
      <w:r w:rsidR="00BD0C75" w:rsidRPr="00295637">
        <w:rPr>
          <w:rFonts w:ascii="Times New Roman" w:hAnsi="Times New Roman" w:cs="Times New Roman"/>
          <w:sz w:val="24"/>
          <w:szCs w:val="24"/>
        </w:rPr>
        <w:t xml:space="preserve"> </w:t>
      </w:r>
      <w:r>
        <w:rPr>
          <w:rFonts w:ascii="Times New Roman" w:hAnsi="Times New Roman" w:cs="Times New Roman"/>
          <w:sz w:val="24"/>
          <w:szCs w:val="24"/>
        </w:rPr>
        <w:t>проводи</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процес</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дужне</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пажње</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у</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вези</w:t>
      </w:r>
      <w:r w:rsidR="00E36B14">
        <w:rPr>
          <w:rFonts w:ascii="Times New Roman" w:hAnsi="Times New Roman" w:cs="Times New Roman"/>
          <w:sz w:val="24"/>
          <w:szCs w:val="24"/>
        </w:rPr>
        <w:t xml:space="preserve"> </w:t>
      </w:r>
      <w:r>
        <w:rPr>
          <w:rFonts w:ascii="Times New Roman" w:hAnsi="Times New Roman" w:cs="Times New Roman"/>
          <w:sz w:val="24"/>
          <w:szCs w:val="24"/>
        </w:rPr>
        <w:t>са</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људским</w:t>
      </w:r>
      <w:r w:rsidR="003674C0" w:rsidRPr="00295637">
        <w:rPr>
          <w:rFonts w:ascii="Times New Roman" w:hAnsi="Times New Roman" w:cs="Times New Roman"/>
          <w:sz w:val="24"/>
          <w:szCs w:val="24"/>
        </w:rPr>
        <w:t xml:space="preserve"> </w:t>
      </w:r>
      <w:r>
        <w:rPr>
          <w:rFonts w:ascii="Times New Roman" w:hAnsi="Times New Roman" w:cs="Times New Roman"/>
          <w:sz w:val="24"/>
          <w:szCs w:val="24"/>
        </w:rPr>
        <w:t>правима</w:t>
      </w:r>
      <w:r w:rsidR="003674C0" w:rsidRPr="00295637">
        <w:rPr>
          <w:rFonts w:ascii="Times New Roman" w:hAnsi="Times New Roman" w:cs="Times New Roman"/>
          <w:sz w:val="24"/>
          <w:szCs w:val="24"/>
        </w:rPr>
        <w:t xml:space="preserve"> </w:t>
      </w:r>
      <w:r>
        <w:rPr>
          <w:rStyle w:val="y2iqfc"/>
          <w:rFonts w:ascii="Times New Roman" w:hAnsi="Times New Roman" w:cs="Times New Roman"/>
          <w:sz w:val="24"/>
          <w:szCs w:val="24"/>
        </w:rPr>
        <w:t>и</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216930">
        <w:rPr>
          <w:rStyle w:val="y2iqfc"/>
          <w:rFonts w:ascii="Times New Roman" w:hAnsi="Times New Roman" w:cs="Times New Roman"/>
          <w:sz w:val="24"/>
          <w:szCs w:val="24"/>
          <w:lang w:val="sr-Cyrl-BA"/>
        </w:rPr>
        <w:t>безбиједи</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усклађеност</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интерних</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политика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релевантним</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законодавством</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БиХ</w:t>
      </w:r>
      <w:r w:rsidR="00BD0C75" w:rsidRPr="00295637">
        <w:rPr>
          <w:rStyle w:val="y2iqfc"/>
          <w:rFonts w:ascii="Times New Roman" w:hAnsi="Times New Roman" w:cs="Times New Roman"/>
          <w:sz w:val="24"/>
          <w:szCs w:val="24"/>
        </w:rPr>
        <w:t>,</w:t>
      </w:r>
      <w:r w:rsidR="0080103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као</w:t>
      </w:r>
      <w:r w:rsidR="0080103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80103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конкретније</w:t>
      </w:r>
      <w:r w:rsidR="0080103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спречавање</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дискриминације</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0C3D5B"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основу</w:t>
      </w:r>
      <w:r w:rsidR="000C3D5B"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пола</w:t>
      </w:r>
      <w:r w:rsidR="000C3D5B"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тржишту</w:t>
      </w:r>
      <w:r w:rsidR="003674C0"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рада</w:t>
      </w:r>
      <w:r w:rsidR="003674C0" w:rsidRPr="00295637">
        <w:rPr>
          <w:rStyle w:val="y2iqfc"/>
          <w:rFonts w:ascii="Times New Roman" w:hAnsi="Times New Roman" w:cs="Times New Roman"/>
          <w:sz w:val="24"/>
          <w:szCs w:val="24"/>
        </w:rPr>
        <w:t>.</w:t>
      </w:r>
      <w:r w:rsidR="00E36B1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Пројекат</w:t>
      </w:r>
      <w:r w:rsidR="00A52F1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проводи</w:t>
      </w:r>
      <w:r w:rsidR="00A52F1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Фондација</w:t>
      </w:r>
      <w:r w:rsidR="00A52F1A" w:rsidRPr="00295637">
        <w:rPr>
          <w:rStyle w:val="y2iqfc"/>
          <w:rFonts w:ascii="Times New Roman" w:hAnsi="Times New Roman" w:cs="Times New Roman"/>
          <w:sz w:val="24"/>
          <w:szCs w:val="24"/>
        </w:rPr>
        <w:t xml:space="preserve"> </w:t>
      </w:r>
      <w:r w:rsidR="00801034" w:rsidRPr="00801034">
        <w:rPr>
          <w:rFonts w:ascii="Times New Roman" w:hAnsi="Times New Roman" w:cs="Times New Roman"/>
          <w:sz w:val="24"/>
          <w:szCs w:val="24"/>
          <w:lang w:val="hr-BA"/>
        </w:rPr>
        <w:t>„</w:t>
      </w:r>
      <w:r w:rsidR="00216930" w:rsidRPr="00216930">
        <w:rPr>
          <w:rFonts w:ascii="Times New Roman" w:hAnsi="Times New Roman" w:cs="Times New Roman"/>
          <w:i/>
          <w:sz w:val="24"/>
          <w:szCs w:val="24"/>
          <w:lang w:val="hr-BA"/>
        </w:rPr>
        <w:t>Infohouse</w:t>
      </w:r>
      <w:r w:rsidR="00801034" w:rsidRPr="00801034">
        <w:rPr>
          <w:rFonts w:ascii="Times New Roman" w:hAnsi="Times New Roman" w:cs="Times New Roman"/>
          <w:sz w:val="24"/>
          <w:szCs w:val="24"/>
          <w:lang w:val="hr-BA"/>
        </w:rPr>
        <w:t>“</w:t>
      </w:r>
      <w:r w:rsidR="00801034">
        <w:rPr>
          <w:rFonts w:ascii="Times New Roman" w:hAnsi="Times New Roman" w:cs="Times New Roman"/>
          <w:sz w:val="24"/>
          <w:szCs w:val="24"/>
          <w:lang w:val="hr-BA"/>
        </w:rPr>
        <w:t xml:space="preserve"> </w:t>
      </w:r>
      <w:r>
        <w:rPr>
          <w:rStyle w:val="y2iqfc"/>
          <w:rFonts w:ascii="Times New Roman" w:hAnsi="Times New Roman" w:cs="Times New Roman"/>
          <w:sz w:val="24"/>
          <w:szCs w:val="24"/>
        </w:rPr>
        <w:t>из</w:t>
      </w:r>
      <w:r w:rsidR="00A52F1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Сарајева</w:t>
      </w:r>
      <w:r w:rsidR="00A52F1A" w:rsidRPr="00295637">
        <w:rPr>
          <w:rStyle w:val="y2iqfc"/>
          <w:rFonts w:ascii="Times New Roman" w:hAnsi="Times New Roman" w:cs="Times New Roman"/>
          <w:sz w:val="24"/>
          <w:szCs w:val="24"/>
        </w:rPr>
        <w:t xml:space="preserve">. </w:t>
      </w:r>
    </w:p>
    <w:p w:rsidR="003674C0" w:rsidRPr="00295637" w:rsidRDefault="003674C0" w:rsidP="0086268D">
      <w:pPr>
        <w:pStyle w:val="Default"/>
        <w:jc w:val="both"/>
        <w:rPr>
          <w:color w:val="auto"/>
        </w:rPr>
      </w:pPr>
    </w:p>
    <w:p w:rsidR="00FB441D" w:rsidRPr="00295637" w:rsidRDefault="00216930" w:rsidP="0086268D">
      <w:pPr>
        <w:pStyle w:val="HTMLPreformatted"/>
        <w:jc w:val="both"/>
        <w:rPr>
          <w:rFonts w:ascii="Times New Roman" w:hAnsi="Times New Roman" w:cs="Times New Roman"/>
          <w:sz w:val="24"/>
          <w:szCs w:val="24"/>
          <w:lang w:val="en-US"/>
        </w:rPr>
      </w:pPr>
      <w:r>
        <w:rPr>
          <w:rFonts w:ascii="Times New Roman" w:hAnsi="Times New Roman" w:cs="Times New Roman"/>
          <w:sz w:val="24"/>
          <w:szCs w:val="24"/>
        </w:rPr>
        <w:t>Такође</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ЕУ</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финансира</w:t>
      </w:r>
      <w:r w:rsidR="00E36B14">
        <w:rPr>
          <w:rFonts w:ascii="Times New Roman" w:hAnsi="Times New Roman" w:cs="Times New Roman"/>
          <w:sz w:val="24"/>
          <w:szCs w:val="24"/>
        </w:rPr>
        <w:t xml:space="preserve"> </w:t>
      </w:r>
      <w:r w:rsidR="00C6214E">
        <w:rPr>
          <w:rFonts w:ascii="Times New Roman" w:hAnsi="Times New Roman" w:cs="Times New Roman"/>
          <w:sz w:val="24"/>
          <w:szCs w:val="24"/>
        </w:rPr>
        <w:t>и</w:t>
      </w:r>
      <w:r w:rsidR="00E36B14">
        <w:rPr>
          <w:rFonts w:ascii="Times New Roman" w:hAnsi="Times New Roman" w:cs="Times New Roman"/>
          <w:sz w:val="24"/>
          <w:szCs w:val="24"/>
        </w:rPr>
        <w:t xml:space="preserve"> </w:t>
      </w:r>
      <w:r w:rsidR="00C6214E">
        <w:rPr>
          <w:rFonts w:ascii="Times New Roman" w:hAnsi="Times New Roman" w:cs="Times New Roman"/>
          <w:sz w:val="24"/>
          <w:szCs w:val="24"/>
        </w:rPr>
        <w:t>пројекат</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Рад</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и</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људска</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права</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кроз</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дигитализацију</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који</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проводи</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удружење</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Лир</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еволуција</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из</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Бање</w:t>
      </w:r>
      <w:r w:rsidR="00B91D3B" w:rsidRPr="00295637">
        <w:rPr>
          <w:rFonts w:ascii="Times New Roman" w:hAnsi="Times New Roman" w:cs="Times New Roman"/>
          <w:sz w:val="24"/>
          <w:szCs w:val="24"/>
        </w:rPr>
        <w:t xml:space="preserve"> </w:t>
      </w:r>
      <w:r w:rsidR="00C6214E">
        <w:rPr>
          <w:rFonts w:ascii="Times New Roman" w:hAnsi="Times New Roman" w:cs="Times New Roman"/>
          <w:sz w:val="24"/>
          <w:szCs w:val="24"/>
        </w:rPr>
        <w:t>Луке</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и</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који</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је</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усмјерен</w:t>
      </w:r>
      <w:r w:rsidR="00A52F1A" w:rsidRPr="00295637">
        <w:rPr>
          <w:rFonts w:ascii="Times New Roman" w:hAnsi="Times New Roman" w:cs="Times New Roman"/>
          <w:sz w:val="24"/>
          <w:szCs w:val="24"/>
        </w:rPr>
        <w:t xml:space="preserve"> </w:t>
      </w:r>
      <w:r w:rsidR="00C6214E">
        <w:rPr>
          <w:rFonts w:ascii="Times New Roman" w:hAnsi="Times New Roman" w:cs="Times New Roman"/>
          <w:sz w:val="24"/>
          <w:szCs w:val="24"/>
        </w:rPr>
        <w:t>на</w:t>
      </w:r>
      <w:r w:rsidR="00E36B14">
        <w:rPr>
          <w:rFonts w:ascii="Times New Roman" w:hAnsi="Times New Roman" w:cs="Times New Roman"/>
          <w:sz w:val="24"/>
          <w:szCs w:val="24"/>
        </w:rPr>
        <w:t xml:space="preserve"> </w:t>
      </w:r>
      <w:r w:rsidR="00C6214E">
        <w:rPr>
          <w:rStyle w:val="y2iqfc"/>
          <w:rFonts w:ascii="Times New Roman" w:hAnsi="Times New Roman" w:cs="Times New Roman"/>
          <w:sz w:val="24"/>
          <w:szCs w:val="24"/>
        </w:rPr>
        <w:t>унапређење</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знања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запослених</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лица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из</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маргинализ</w:t>
      </w:r>
      <w:r>
        <w:rPr>
          <w:rStyle w:val="y2iqfc"/>
          <w:rFonts w:ascii="Times New Roman" w:hAnsi="Times New Roman" w:cs="Times New Roman"/>
          <w:sz w:val="24"/>
          <w:szCs w:val="24"/>
          <w:lang w:val="sr-Cyrl-BA"/>
        </w:rPr>
        <w:t>ованих</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група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жена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младих</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лица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са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инвалидитетом</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у</w:t>
      </w:r>
      <w:r w:rsidR="00A52F1A" w:rsidRPr="00295637">
        <w:rPr>
          <w:rStyle w:val="y2iqfc"/>
          <w:rFonts w:ascii="Times New Roman" w:hAnsi="Times New Roman" w:cs="Times New Roman"/>
          <w:sz w:val="24"/>
          <w:szCs w:val="24"/>
        </w:rPr>
        <w:t xml:space="preserve"> 10 </w:t>
      </w:r>
      <w:r w:rsidR="00C6214E">
        <w:rPr>
          <w:rStyle w:val="y2iqfc"/>
          <w:rFonts w:ascii="Times New Roman" w:hAnsi="Times New Roman" w:cs="Times New Roman"/>
          <w:sz w:val="24"/>
          <w:szCs w:val="24"/>
        </w:rPr>
        <w:t>оп</w:t>
      </w:r>
      <w:r>
        <w:rPr>
          <w:rStyle w:val="y2iqfc"/>
          <w:rFonts w:ascii="Times New Roman" w:hAnsi="Times New Roman" w:cs="Times New Roman"/>
          <w:sz w:val="24"/>
          <w:szCs w:val="24"/>
          <w:lang w:val="sr-Cyrl-BA"/>
        </w:rPr>
        <w:t>шт</w:t>
      </w:r>
      <w:r w:rsidR="00C6214E">
        <w:rPr>
          <w:rStyle w:val="y2iqfc"/>
          <w:rFonts w:ascii="Times New Roman" w:hAnsi="Times New Roman" w:cs="Times New Roman"/>
          <w:sz w:val="24"/>
          <w:szCs w:val="24"/>
        </w:rPr>
        <w:t>ина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о</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дигиталним</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правима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и</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њиховим</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радним</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правима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те</w:t>
      </w:r>
      <w:r w:rsidR="00A52F1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lang w:val="sr-Cyrl-BA"/>
        </w:rPr>
        <w:t>безбједности</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и</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заштити</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на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раду</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и</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могућностима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достојанственог</w:t>
      </w:r>
      <w:r w:rsidR="00C642D4"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рада</w:t>
      </w:r>
      <w:r w:rsidR="00C642D4"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и</w:t>
      </w:r>
      <w:r w:rsidR="00C642D4"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побољшања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квалитета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живота</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кориш</w:t>
      </w:r>
      <w:r>
        <w:rPr>
          <w:rStyle w:val="y2iqfc"/>
          <w:rFonts w:ascii="Times New Roman" w:hAnsi="Times New Roman" w:cs="Times New Roman"/>
          <w:sz w:val="24"/>
          <w:szCs w:val="24"/>
          <w:lang w:val="sr-Cyrl-BA"/>
        </w:rPr>
        <w:t>ћ</w:t>
      </w:r>
      <w:r w:rsidR="00C6214E">
        <w:rPr>
          <w:rStyle w:val="y2iqfc"/>
          <w:rFonts w:ascii="Times New Roman" w:hAnsi="Times New Roman" w:cs="Times New Roman"/>
          <w:sz w:val="24"/>
          <w:szCs w:val="24"/>
        </w:rPr>
        <w:t>ењем</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информаци</w:t>
      </w:r>
      <w:r>
        <w:rPr>
          <w:rStyle w:val="y2iqfc"/>
          <w:rFonts w:ascii="Times New Roman" w:hAnsi="Times New Roman" w:cs="Times New Roman"/>
          <w:sz w:val="24"/>
          <w:szCs w:val="24"/>
          <w:lang w:val="sr-Cyrl-BA"/>
        </w:rPr>
        <w:t>оно</w:t>
      </w:r>
      <w:r w:rsidR="00A52F1A" w:rsidRPr="00295637">
        <w:rPr>
          <w:rStyle w:val="y2iqfc"/>
          <w:rFonts w:ascii="Times New Roman" w:hAnsi="Times New Roman" w:cs="Times New Roman"/>
          <w:sz w:val="24"/>
          <w:szCs w:val="24"/>
        </w:rPr>
        <w:t>-</w:t>
      </w:r>
      <w:r w:rsidR="00C6214E">
        <w:rPr>
          <w:rStyle w:val="y2iqfc"/>
          <w:rFonts w:ascii="Times New Roman" w:hAnsi="Times New Roman" w:cs="Times New Roman"/>
          <w:sz w:val="24"/>
          <w:szCs w:val="24"/>
        </w:rPr>
        <w:t>комуникаци</w:t>
      </w:r>
      <w:r>
        <w:rPr>
          <w:rStyle w:val="y2iqfc"/>
          <w:rFonts w:ascii="Times New Roman" w:hAnsi="Times New Roman" w:cs="Times New Roman"/>
          <w:sz w:val="24"/>
          <w:szCs w:val="24"/>
          <w:lang w:val="sr-Cyrl-BA"/>
        </w:rPr>
        <w:t>оне</w:t>
      </w:r>
      <w:r w:rsidR="00A52F1A"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технологије</w:t>
      </w:r>
      <w:r w:rsidR="00C642D4" w:rsidRPr="00295637">
        <w:rPr>
          <w:rStyle w:val="y2iqfc"/>
          <w:rFonts w:ascii="Times New Roman" w:hAnsi="Times New Roman" w:cs="Times New Roman"/>
          <w:sz w:val="24"/>
          <w:szCs w:val="24"/>
        </w:rPr>
        <w:t>.</w:t>
      </w:r>
      <w:r w:rsidR="00A52F1A" w:rsidRPr="00295637">
        <w:rPr>
          <w:rStyle w:val="y2iqfc"/>
          <w:rFonts w:ascii="Times New Roman" w:hAnsi="Times New Roman" w:cs="Times New Roman"/>
          <w:sz w:val="24"/>
          <w:szCs w:val="24"/>
        </w:rPr>
        <w:t xml:space="preserve"> </w:t>
      </w:r>
    </w:p>
    <w:p w:rsidR="00FB441D" w:rsidRPr="00295637" w:rsidRDefault="00FB441D" w:rsidP="0086268D">
      <w:pPr>
        <w:pStyle w:val="Default"/>
        <w:rPr>
          <w:color w:val="FF0000"/>
        </w:rPr>
      </w:pPr>
    </w:p>
    <w:p w:rsidR="00F2146D" w:rsidRPr="00295637" w:rsidRDefault="00216930" w:rsidP="00801034">
      <w:pPr>
        <w:tabs>
          <w:tab w:val="left" w:pos="284"/>
          <w:tab w:val="left" w:pos="630"/>
          <w:tab w:val="left" w:pos="1080"/>
          <w:tab w:val="left" w:pos="2552"/>
        </w:tabs>
        <w:ind w:left="900"/>
        <w:jc w:val="both"/>
        <w:rPr>
          <w:rFonts w:ascii="Times New Roman" w:hAnsi="Times New Roman"/>
          <w:szCs w:val="24"/>
          <w:lang w:val="bs-Latn-BA"/>
        </w:rPr>
      </w:pPr>
      <w:r>
        <w:rPr>
          <w:rFonts w:ascii="Times New Roman" w:hAnsi="Times New Roman"/>
          <w:szCs w:val="24"/>
          <w:lang w:val="bs-Latn-BA"/>
        </w:rPr>
        <w:t>I</w:t>
      </w:r>
      <w:r w:rsidR="00801034">
        <w:rPr>
          <w:rFonts w:ascii="Times New Roman" w:hAnsi="Times New Roman"/>
          <w:szCs w:val="24"/>
          <w:lang w:val="bs-Latn-BA"/>
        </w:rPr>
        <w:t xml:space="preserve"> 3.4. </w:t>
      </w:r>
      <w:r w:rsidR="00C6214E">
        <w:rPr>
          <w:rFonts w:ascii="Times New Roman" w:hAnsi="Times New Roman"/>
          <w:szCs w:val="24"/>
          <w:lang w:val="bs-Latn-BA"/>
        </w:rPr>
        <w:t>Подршка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истраживањима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повећање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учешћа</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радној</w:t>
      </w:r>
      <w:r w:rsidR="00356C2C" w:rsidRPr="00295637">
        <w:rPr>
          <w:rFonts w:ascii="Times New Roman" w:hAnsi="Times New Roman"/>
          <w:szCs w:val="24"/>
          <w:lang w:val="bs-Latn-BA"/>
        </w:rPr>
        <w:t xml:space="preserve"> </w:t>
      </w:r>
      <w:r w:rsidR="00C6214E">
        <w:rPr>
          <w:rFonts w:ascii="Times New Roman" w:hAnsi="Times New Roman"/>
          <w:szCs w:val="24"/>
          <w:lang w:val="bs-Latn-BA"/>
        </w:rPr>
        <w:t>снази</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смањење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незапослености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развоја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женског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предузетништва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као</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заступљености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пољопривредној</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производњи</w:t>
      </w:r>
      <w:r w:rsidR="00E36B14">
        <w:rPr>
          <w:rFonts w:ascii="Times New Roman" w:hAnsi="Times New Roman"/>
          <w:szCs w:val="24"/>
          <w:lang w:val="bs-Latn-BA"/>
        </w:rPr>
        <w:t xml:space="preserve"> </w:t>
      </w:r>
      <w:r w:rsidR="00C6214E">
        <w:rPr>
          <w:rFonts w:ascii="Times New Roman" w:hAnsi="Times New Roman"/>
          <w:szCs w:val="24"/>
          <w:lang w:val="bs-Latn-BA"/>
        </w:rPr>
        <w:t>и</w:t>
      </w:r>
      <w:r w:rsidR="00E36B14">
        <w:rPr>
          <w:rFonts w:ascii="Times New Roman" w:hAnsi="Times New Roman"/>
          <w:szCs w:val="24"/>
          <w:lang w:val="bs-Latn-BA"/>
        </w:rPr>
        <w:t xml:space="preserve"> </w:t>
      </w:r>
      <w:r w:rsidR="00C6214E">
        <w:rPr>
          <w:rFonts w:ascii="Times New Roman" w:hAnsi="Times New Roman"/>
          <w:szCs w:val="24"/>
          <w:lang w:val="bs-Latn-BA"/>
        </w:rPr>
        <w:t>неформалном</w:t>
      </w:r>
      <w:r w:rsidR="00E36B14">
        <w:rPr>
          <w:rFonts w:ascii="Times New Roman" w:hAnsi="Times New Roman"/>
          <w:szCs w:val="24"/>
          <w:lang w:val="bs-Latn-BA"/>
        </w:rPr>
        <w:t xml:space="preserve"> </w:t>
      </w:r>
      <w:r w:rsidR="00C6214E">
        <w:rPr>
          <w:rFonts w:ascii="Times New Roman" w:hAnsi="Times New Roman"/>
          <w:szCs w:val="24"/>
          <w:lang w:val="bs-Latn-BA"/>
        </w:rPr>
        <w:t>сектору</w:t>
      </w:r>
      <w:r w:rsidR="00E36B14">
        <w:rPr>
          <w:rFonts w:ascii="Times New Roman" w:hAnsi="Times New Roman"/>
          <w:szCs w:val="24"/>
          <w:lang w:val="bs-Latn-BA"/>
        </w:rPr>
        <w:t xml:space="preserve">, </w:t>
      </w:r>
      <w:r w:rsidR="00C6214E">
        <w:rPr>
          <w:rFonts w:ascii="Times New Roman" w:hAnsi="Times New Roman"/>
          <w:szCs w:val="24"/>
          <w:lang w:val="bs-Latn-BA"/>
        </w:rPr>
        <w:t>те</w:t>
      </w:r>
      <w:r w:rsidR="00E36B14">
        <w:rPr>
          <w:rFonts w:ascii="Times New Roman" w:hAnsi="Times New Roman"/>
          <w:szCs w:val="24"/>
          <w:lang w:val="bs-Latn-BA"/>
        </w:rPr>
        <w:t xml:space="preserve"> </w:t>
      </w:r>
      <w:r w:rsidR="00C6214E">
        <w:rPr>
          <w:rFonts w:ascii="Times New Roman" w:hAnsi="Times New Roman"/>
          <w:szCs w:val="24"/>
          <w:lang w:val="bs-Latn-BA"/>
        </w:rPr>
        <w:t>економско</w:t>
      </w:r>
      <w:r w:rsidR="00E36B14">
        <w:rPr>
          <w:rFonts w:ascii="Times New Roman" w:hAnsi="Times New Roman"/>
          <w:szCs w:val="24"/>
          <w:lang w:val="bs-Latn-BA"/>
        </w:rPr>
        <w:t xml:space="preserve"> </w:t>
      </w:r>
      <w:r w:rsidR="00C6214E">
        <w:rPr>
          <w:rFonts w:ascii="Times New Roman" w:hAnsi="Times New Roman"/>
          <w:szCs w:val="24"/>
          <w:lang w:val="bs-Latn-BA"/>
        </w:rPr>
        <w:t>и</w:t>
      </w:r>
      <w:r w:rsidR="00E36B14">
        <w:rPr>
          <w:rFonts w:ascii="Times New Roman" w:hAnsi="Times New Roman"/>
          <w:szCs w:val="24"/>
          <w:lang w:val="bs-Latn-BA"/>
        </w:rPr>
        <w:t xml:space="preserve"> </w:t>
      </w:r>
      <w:r w:rsidR="00C6214E">
        <w:rPr>
          <w:rFonts w:ascii="Times New Roman" w:hAnsi="Times New Roman"/>
          <w:szCs w:val="24"/>
          <w:lang w:val="bs-Latn-BA"/>
        </w:rPr>
        <w:t>друштвено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оснаживања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w:t>
      </w:r>
    </w:p>
    <w:p w:rsidR="008D56A8" w:rsidRPr="00295637" w:rsidRDefault="008D56A8" w:rsidP="0086268D">
      <w:pPr>
        <w:pStyle w:val="NormalWeb"/>
        <w:spacing w:before="0" w:beforeAutospacing="0" w:after="0" w:afterAutospacing="0"/>
        <w:jc w:val="both"/>
        <w:rPr>
          <w:lang w:val="bs-Latn-BA"/>
        </w:rPr>
      </w:pPr>
    </w:p>
    <w:p w:rsidR="00854CDD" w:rsidRPr="006820FB" w:rsidRDefault="00C6214E" w:rsidP="0086268D">
      <w:pPr>
        <w:pStyle w:val="NormalWeb"/>
        <w:spacing w:before="0" w:beforeAutospacing="0" w:after="0" w:afterAutospacing="0"/>
        <w:jc w:val="both"/>
        <w:rPr>
          <w:lang w:val="hr-HR"/>
        </w:rPr>
      </w:pPr>
      <w:r>
        <w:rPr>
          <w:lang w:val="bs-Latn-BA"/>
        </w:rPr>
        <w:t>У</w:t>
      </w:r>
      <w:r w:rsidR="00854CDD" w:rsidRPr="00295637">
        <w:rPr>
          <w:lang w:val="bs-Latn-BA"/>
        </w:rPr>
        <w:t xml:space="preserve"> </w:t>
      </w:r>
      <w:r>
        <w:rPr>
          <w:lang w:val="bs-Latn-BA"/>
        </w:rPr>
        <w:t>октобру</w:t>
      </w:r>
      <w:r w:rsidR="00854CDD" w:rsidRPr="00295637">
        <w:rPr>
          <w:lang w:val="bs-Latn-BA"/>
        </w:rPr>
        <w:t xml:space="preserve"> 2023. </w:t>
      </w:r>
      <w:r>
        <w:rPr>
          <w:lang w:val="bs-Latn-BA"/>
        </w:rPr>
        <w:t>године</w:t>
      </w:r>
      <w:r w:rsidR="00854CDD" w:rsidRPr="00295637">
        <w:rPr>
          <w:lang w:val="bs-Latn-BA"/>
        </w:rPr>
        <w:t xml:space="preserve"> </w:t>
      </w:r>
      <w:r>
        <w:rPr>
          <w:lang w:val="bs-Latn-BA"/>
        </w:rPr>
        <w:t>АР</w:t>
      </w:r>
      <w:r w:rsidR="00216930">
        <w:rPr>
          <w:lang w:val="sr-Cyrl-BA"/>
        </w:rPr>
        <w:t>П</w:t>
      </w:r>
      <w:r w:rsidR="00E36B14">
        <w:rPr>
          <w:lang w:val="bs-Latn-BA"/>
        </w:rPr>
        <w:t xml:space="preserve"> </w:t>
      </w:r>
      <w:r>
        <w:rPr>
          <w:lang w:val="bs-Latn-BA"/>
        </w:rPr>
        <w:t>БиХ</w:t>
      </w:r>
      <w:r w:rsidR="00E36B14">
        <w:rPr>
          <w:lang w:val="bs-Latn-BA"/>
        </w:rPr>
        <w:t xml:space="preserve"> </w:t>
      </w:r>
      <w:r>
        <w:rPr>
          <w:lang w:val="bs-Latn-BA"/>
        </w:rPr>
        <w:t>МЉПИ</w:t>
      </w:r>
      <w:r w:rsidR="00E36B14">
        <w:rPr>
          <w:lang w:val="bs-Latn-BA"/>
        </w:rPr>
        <w:t xml:space="preserve"> </w:t>
      </w:r>
      <w:r>
        <w:rPr>
          <w:lang w:val="bs-Latn-BA"/>
        </w:rPr>
        <w:t>БиХ</w:t>
      </w:r>
      <w:r w:rsidR="00854CDD" w:rsidRPr="00295637">
        <w:rPr>
          <w:lang w:val="bs-Latn-BA"/>
        </w:rPr>
        <w:t xml:space="preserve"> </w:t>
      </w:r>
      <w:r>
        <w:rPr>
          <w:lang w:val="bs-Latn-BA"/>
        </w:rPr>
        <w:t>је</w:t>
      </w:r>
      <w:r w:rsidR="00854CDD" w:rsidRPr="00295637">
        <w:rPr>
          <w:lang w:val="bs-Latn-BA"/>
        </w:rPr>
        <w:t xml:space="preserve"> </w:t>
      </w:r>
      <w:r>
        <w:rPr>
          <w:lang w:val="bs-Latn-BA"/>
        </w:rPr>
        <w:t>у</w:t>
      </w:r>
      <w:r w:rsidR="00854CDD" w:rsidRPr="00295637">
        <w:rPr>
          <w:lang w:val="bs-Latn-BA"/>
        </w:rPr>
        <w:t xml:space="preserve"> </w:t>
      </w:r>
      <w:r>
        <w:rPr>
          <w:lang w:val="bs-Latn-BA"/>
        </w:rPr>
        <w:t>партнерству</w:t>
      </w:r>
      <w:r w:rsidR="00854CDD" w:rsidRPr="00295637">
        <w:rPr>
          <w:lang w:val="bs-Latn-BA"/>
        </w:rPr>
        <w:t xml:space="preserve"> </w:t>
      </w:r>
      <w:r>
        <w:rPr>
          <w:lang w:val="bs-Latn-BA"/>
        </w:rPr>
        <w:t>са</w:t>
      </w:r>
      <w:r w:rsidR="00854CDD" w:rsidRPr="00295637">
        <w:rPr>
          <w:lang w:val="bs-Latn-BA"/>
        </w:rPr>
        <w:t xml:space="preserve"> </w:t>
      </w:r>
      <w:r>
        <w:rPr>
          <w:lang w:val="bs-Latn-BA"/>
        </w:rPr>
        <w:t>УНДП</w:t>
      </w:r>
      <w:r w:rsidR="00854CDD" w:rsidRPr="00295637">
        <w:rPr>
          <w:lang w:val="bs-Latn-BA"/>
        </w:rPr>
        <w:t>-</w:t>
      </w:r>
      <w:r>
        <w:rPr>
          <w:lang w:val="bs-Latn-BA"/>
        </w:rPr>
        <w:t>ом</w:t>
      </w:r>
      <w:r w:rsidR="00854CDD" w:rsidRPr="00295637">
        <w:rPr>
          <w:lang w:val="bs-Latn-BA"/>
        </w:rPr>
        <w:t xml:space="preserve"> </w:t>
      </w:r>
      <w:r>
        <w:rPr>
          <w:lang w:val="bs-Latn-BA"/>
        </w:rPr>
        <w:t>објавила</w:t>
      </w:r>
      <w:r w:rsidR="00854CDD" w:rsidRPr="00295637">
        <w:rPr>
          <w:lang w:val="bs-Latn-BA"/>
        </w:rPr>
        <w:t xml:space="preserve"> </w:t>
      </w:r>
      <w:r>
        <w:rPr>
          <w:lang w:val="bs-Latn-BA"/>
        </w:rPr>
        <w:t>анализу</w:t>
      </w:r>
      <w:r w:rsidR="00854CDD" w:rsidRPr="00295637">
        <w:rPr>
          <w:lang w:val="bs-Latn-BA"/>
        </w:rPr>
        <w:t xml:space="preserve"> „</w:t>
      </w:r>
      <w:r>
        <w:rPr>
          <w:lang w:val="bs-Latn-BA"/>
        </w:rPr>
        <w:t>Политике</w:t>
      </w:r>
      <w:r w:rsidR="00854CDD" w:rsidRPr="00295637">
        <w:rPr>
          <w:lang w:val="bs-Latn-BA"/>
        </w:rPr>
        <w:t xml:space="preserve">, </w:t>
      </w:r>
      <w:r>
        <w:rPr>
          <w:lang w:val="bs-Latn-BA"/>
        </w:rPr>
        <w:t>подстицаји</w:t>
      </w:r>
      <w:r w:rsidR="00854CDD" w:rsidRPr="00295637">
        <w:rPr>
          <w:lang w:val="bs-Latn-BA"/>
        </w:rPr>
        <w:t xml:space="preserve"> </w:t>
      </w:r>
      <w:r>
        <w:rPr>
          <w:lang w:val="bs-Latn-BA"/>
        </w:rPr>
        <w:t>и</w:t>
      </w:r>
      <w:r w:rsidR="00854CDD" w:rsidRPr="00295637">
        <w:rPr>
          <w:lang w:val="bs-Latn-BA"/>
        </w:rPr>
        <w:t xml:space="preserve"> </w:t>
      </w:r>
      <w:r>
        <w:rPr>
          <w:lang w:val="bs-Latn-BA"/>
        </w:rPr>
        <w:t>афирмаци</w:t>
      </w:r>
      <w:r w:rsidR="00216930">
        <w:rPr>
          <w:lang w:val="sr-Cyrl-BA"/>
        </w:rPr>
        <w:t>оне</w:t>
      </w:r>
      <w:r w:rsidR="00854CDD" w:rsidRPr="00295637">
        <w:rPr>
          <w:lang w:val="bs-Latn-BA"/>
        </w:rPr>
        <w:t xml:space="preserve"> </w:t>
      </w:r>
      <w:r>
        <w:rPr>
          <w:lang w:val="bs-Latn-BA"/>
        </w:rPr>
        <w:t>мјере</w:t>
      </w:r>
      <w:r w:rsidR="00854CDD" w:rsidRPr="00295637">
        <w:rPr>
          <w:lang w:val="bs-Latn-BA"/>
        </w:rPr>
        <w:t xml:space="preserve"> </w:t>
      </w:r>
      <w:r>
        <w:rPr>
          <w:lang w:val="bs-Latn-BA"/>
        </w:rPr>
        <w:t>за</w:t>
      </w:r>
      <w:r w:rsidR="00854CDD" w:rsidRPr="00295637">
        <w:rPr>
          <w:lang w:val="bs-Latn-BA"/>
        </w:rPr>
        <w:t xml:space="preserve"> </w:t>
      </w:r>
      <w:r>
        <w:rPr>
          <w:lang w:val="bs-Latn-BA"/>
        </w:rPr>
        <w:t>унапређење</w:t>
      </w:r>
      <w:r w:rsidR="00854CDD" w:rsidRPr="00295637">
        <w:rPr>
          <w:lang w:val="bs-Latn-BA"/>
        </w:rPr>
        <w:t xml:space="preserve"> </w:t>
      </w:r>
      <w:r>
        <w:rPr>
          <w:lang w:val="bs-Latn-BA"/>
        </w:rPr>
        <w:t>положаја</w:t>
      </w:r>
      <w:r w:rsidR="00854CDD" w:rsidRPr="00295637">
        <w:rPr>
          <w:lang w:val="bs-Latn-BA"/>
        </w:rPr>
        <w:t xml:space="preserve"> </w:t>
      </w:r>
      <w:r>
        <w:rPr>
          <w:lang w:val="bs-Latn-BA"/>
        </w:rPr>
        <w:t>жена</w:t>
      </w:r>
      <w:r w:rsidR="00854CDD" w:rsidRPr="00295637">
        <w:rPr>
          <w:lang w:val="bs-Latn-BA"/>
        </w:rPr>
        <w:t xml:space="preserve"> </w:t>
      </w:r>
      <w:r>
        <w:rPr>
          <w:lang w:val="bs-Latn-BA"/>
        </w:rPr>
        <w:t>на</w:t>
      </w:r>
      <w:r w:rsidR="00854CDD" w:rsidRPr="00295637">
        <w:rPr>
          <w:lang w:val="bs-Latn-BA"/>
        </w:rPr>
        <w:t xml:space="preserve"> </w:t>
      </w:r>
      <w:r>
        <w:rPr>
          <w:lang w:val="bs-Latn-BA"/>
        </w:rPr>
        <w:t>тржишту</w:t>
      </w:r>
      <w:r w:rsidR="00854CDD" w:rsidRPr="00295637">
        <w:rPr>
          <w:lang w:val="bs-Latn-BA"/>
        </w:rPr>
        <w:t xml:space="preserve"> </w:t>
      </w:r>
      <w:r>
        <w:rPr>
          <w:lang w:val="bs-Latn-BA"/>
        </w:rPr>
        <w:t>рада</w:t>
      </w:r>
      <w:r w:rsidR="00854CDD" w:rsidRPr="00295637">
        <w:rPr>
          <w:lang w:val="bs-Latn-BA"/>
        </w:rPr>
        <w:t xml:space="preserve"> </w:t>
      </w:r>
      <w:r>
        <w:rPr>
          <w:lang w:val="bs-Latn-BA"/>
        </w:rPr>
        <w:t>у</w:t>
      </w:r>
      <w:r w:rsidR="00854CDD" w:rsidRPr="00295637">
        <w:rPr>
          <w:lang w:val="bs-Latn-BA"/>
        </w:rPr>
        <w:t xml:space="preserve"> </w:t>
      </w:r>
      <w:r>
        <w:rPr>
          <w:lang w:val="bs-Latn-BA"/>
        </w:rPr>
        <w:t>Босни</w:t>
      </w:r>
      <w:r w:rsidR="00854CDD" w:rsidRPr="00295637">
        <w:rPr>
          <w:lang w:val="bs-Latn-BA"/>
        </w:rPr>
        <w:t xml:space="preserve"> </w:t>
      </w:r>
      <w:r>
        <w:rPr>
          <w:lang w:val="bs-Latn-BA"/>
        </w:rPr>
        <w:t>и</w:t>
      </w:r>
      <w:r w:rsidR="00E54846" w:rsidRPr="00295637">
        <w:rPr>
          <w:lang w:val="bs-Latn-BA"/>
        </w:rPr>
        <w:t xml:space="preserve"> </w:t>
      </w:r>
      <w:r>
        <w:rPr>
          <w:lang w:val="bs-Latn-BA"/>
        </w:rPr>
        <w:t>Херцеговини</w:t>
      </w:r>
      <w:r w:rsidR="00E54846" w:rsidRPr="00295637">
        <w:rPr>
          <w:lang w:val="bs-Latn-BA"/>
        </w:rPr>
        <w:t xml:space="preserve">“. </w:t>
      </w:r>
      <w:r>
        <w:rPr>
          <w:lang w:val="bs-Latn-BA"/>
        </w:rPr>
        <w:t>Публикација</w:t>
      </w:r>
      <w:r w:rsidR="00351C40" w:rsidRPr="00295637">
        <w:rPr>
          <w:lang w:val="bs-Latn-BA"/>
        </w:rPr>
        <w:t xml:space="preserve">, </w:t>
      </w:r>
      <w:r>
        <w:rPr>
          <w:lang w:val="bs-Latn-BA"/>
        </w:rPr>
        <w:t>која</w:t>
      </w:r>
      <w:r w:rsidR="00854CDD" w:rsidRPr="00295637">
        <w:rPr>
          <w:lang w:val="bs-Latn-BA"/>
        </w:rPr>
        <w:t xml:space="preserve"> </w:t>
      </w:r>
      <w:r>
        <w:t>се</w:t>
      </w:r>
      <w:r w:rsidR="00854CDD" w:rsidRPr="00295637">
        <w:t xml:space="preserve"> </w:t>
      </w:r>
      <w:r>
        <w:rPr>
          <w:lang w:val="hr-HR"/>
        </w:rPr>
        <w:t>фокусира</w:t>
      </w:r>
      <w:r w:rsidR="00854CDD" w:rsidRPr="006820FB">
        <w:rPr>
          <w:lang w:val="hr-HR"/>
        </w:rPr>
        <w:t xml:space="preserve"> </w:t>
      </w:r>
      <w:r>
        <w:rPr>
          <w:lang w:val="hr-HR"/>
        </w:rPr>
        <w:t>на</w:t>
      </w:r>
      <w:r w:rsidR="00854CDD" w:rsidRPr="006820FB">
        <w:rPr>
          <w:lang w:val="hr-HR"/>
        </w:rPr>
        <w:t xml:space="preserve"> </w:t>
      </w:r>
      <w:r>
        <w:rPr>
          <w:lang w:val="hr-HR"/>
        </w:rPr>
        <w:t>статус</w:t>
      </w:r>
      <w:r w:rsidR="00854CDD" w:rsidRPr="006820FB">
        <w:rPr>
          <w:lang w:val="hr-HR"/>
        </w:rPr>
        <w:t xml:space="preserve"> </w:t>
      </w:r>
      <w:r>
        <w:rPr>
          <w:lang w:val="hr-HR"/>
        </w:rPr>
        <w:t>жена</w:t>
      </w:r>
      <w:r w:rsidR="00854CDD" w:rsidRPr="006820FB">
        <w:rPr>
          <w:lang w:val="hr-HR"/>
        </w:rPr>
        <w:t xml:space="preserve"> </w:t>
      </w:r>
      <w:r>
        <w:rPr>
          <w:lang w:val="hr-HR"/>
        </w:rPr>
        <w:t>на</w:t>
      </w:r>
      <w:r w:rsidR="00854CDD" w:rsidRPr="006820FB">
        <w:rPr>
          <w:lang w:val="hr-HR"/>
        </w:rPr>
        <w:t xml:space="preserve"> </w:t>
      </w:r>
      <w:r>
        <w:rPr>
          <w:lang w:val="hr-HR"/>
        </w:rPr>
        <w:t>тржишту</w:t>
      </w:r>
      <w:r w:rsidR="00854CDD" w:rsidRPr="006820FB">
        <w:rPr>
          <w:lang w:val="hr-HR"/>
        </w:rPr>
        <w:t xml:space="preserve"> </w:t>
      </w:r>
      <w:r>
        <w:rPr>
          <w:lang w:val="hr-HR"/>
        </w:rPr>
        <w:t>рада</w:t>
      </w:r>
      <w:r w:rsidR="00854CDD" w:rsidRPr="006820FB">
        <w:rPr>
          <w:lang w:val="hr-HR"/>
        </w:rPr>
        <w:t xml:space="preserve"> </w:t>
      </w:r>
      <w:r>
        <w:rPr>
          <w:lang w:val="hr-HR"/>
        </w:rPr>
        <w:t>у</w:t>
      </w:r>
      <w:r w:rsidR="00854CDD" w:rsidRPr="006820FB">
        <w:rPr>
          <w:lang w:val="hr-HR"/>
        </w:rPr>
        <w:t xml:space="preserve"> </w:t>
      </w:r>
      <w:r>
        <w:rPr>
          <w:lang w:val="hr-HR"/>
        </w:rPr>
        <w:t>Босни</w:t>
      </w:r>
      <w:r w:rsidR="00351C40" w:rsidRPr="006820FB">
        <w:rPr>
          <w:lang w:val="hr-HR"/>
        </w:rPr>
        <w:t xml:space="preserve"> </w:t>
      </w:r>
      <w:r>
        <w:rPr>
          <w:lang w:val="hr-HR"/>
        </w:rPr>
        <w:t>и</w:t>
      </w:r>
      <w:r w:rsidR="00351C40" w:rsidRPr="006820FB">
        <w:rPr>
          <w:lang w:val="hr-HR"/>
        </w:rPr>
        <w:t xml:space="preserve"> </w:t>
      </w:r>
      <w:r>
        <w:rPr>
          <w:lang w:val="hr-HR"/>
        </w:rPr>
        <w:t>Херцеговини</w:t>
      </w:r>
      <w:r w:rsidR="00351C40" w:rsidRPr="006820FB">
        <w:rPr>
          <w:lang w:val="hr-HR"/>
        </w:rPr>
        <w:t xml:space="preserve">, </w:t>
      </w:r>
      <w:r>
        <w:rPr>
          <w:lang w:val="hr-HR"/>
        </w:rPr>
        <w:t>идентифи</w:t>
      </w:r>
      <w:r w:rsidR="00216930">
        <w:rPr>
          <w:lang w:val="sr-Cyrl-BA"/>
        </w:rPr>
        <w:t>кује</w:t>
      </w:r>
      <w:r w:rsidR="00854CDD" w:rsidRPr="006820FB">
        <w:rPr>
          <w:lang w:val="hr-HR"/>
        </w:rPr>
        <w:t xml:space="preserve"> </w:t>
      </w:r>
      <w:r>
        <w:rPr>
          <w:lang w:val="hr-HR"/>
        </w:rPr>
        <w:t>основне</w:t>
      </w:r>
      <w:r w:rsidR="00854CDD" w:rsidRPr="006820FB">
        <w:rPr>
          <w:lang w:val="hr-HR"/>
        </w:rPr>
        <w:t xml:space="preserve"> </w:t>
      </w:r>
      <w:r>
        <w:rPr>
          <w:lang w:val="hr-HR"/>
        </w:rPr>
        <w:t>узроке</w:t>
      </w:r>
      <w:r w:rsidR="00854CDD" w:rsidRPr="006820FB">
        <w:rPr>
          <w:lang w:val="hr-HR"/>
        </w:rPr>
        <w:t xml:space="preserve"> </w:t>
      </w:r>
      <w:r>
        <w:rPr>
          <w:lang w:val="hr-HR"/>
        </w:rPr>
        <w:t>неједнаког</w:t>
      </w:r>
      <w:r w:rsidR="00854CDD" w:rsidRPr="006820FB">
        <w:rPr>
          <w:lang w:val="hr-HR"/>
        </w:rPr>
        <w:t xml:space="preserve"> </w:t>
      </w:r>
      <w:r>
        <w:rPr>
          <w:lang w:val="hr-HR"/>
        </w:rPr>
        <w:t>положаја</w:t>
      </w:r>
      <w:r w:rsidR="00854CDD" w:rsidRPr="006820FB">
        <w:rPr>
          <w:lang w:val="hr-HR"/>
        </w:rPr>
        <w:t xml:space="preserve"> </w:t>
      </w:r>
      <w:r>
        <w:rPr>
          <w:lang w:val="hr-HR"/>
        </w:rPr>
        <w:t>жена</w:t>
      </w:r>
      <w:r w:rsidR="00854CDD" w:rsidRPr="006820FB">
        <w:rPr>
          <w:lang w:val="hr-HR"/>
        </w:rPr>
        <w:t xml:space="preserve"> </w:t>
      </w:r>
      <w:r>
        <w:rPr>
          <w:lang w:val="hr-HR"/>
        </w:rPr>
        <w:t>и</w:t>
      </w:r>
      <w:r w:rsidR="00854CDD" w:rsidRPr="006820FB">
        <w:rPr>
          <w:lang w:val="hr-HR"/>
        </w:rPr>
        <w:t xml:space="preserve"> </w:t>
      </w:r>
      <w:r>
        <w:rPr>
          <w:lang w:val="hr-HR"/>
        </w:rPr>
        <w:t>предлаже</w:t>
      </w:r>
      <w:r w:rsidR="00854CDD" w:rsidRPr="006820FB">
        <w:rPr>
          <w:lang w:val="hr-HR"/>
        </w:rPr>
        <w:t xml:space="preserve"> </w:t>
      </w:r>
      <w:r>
        <w:rPr>
          <w:lang w:val="hr-HR"/>
        </w:rPr>
        <w:t>мјере</w:t>
      </w:r>
      <w:r w:rsidR="00854CDD" w:rsidRPr="006820FB">
        <w:rPr>
          <w:lang w:val="hr-HR"/>
        </w:rPr>
        <w:t xml:space="preserve"> </w:t>
      </w:r>
      <w:r>
        <w:rPr>
          <w:lang w:val="hr-HR"/>
        </w:rPr>
        <w:t>које</w:t>
      </w:r>
      <w:r w:rsidR="00854CDD" w:rsidRPr="006820FB">
        <w:rPr>
          <w:lang w:val="hr-HR"/>
        </w:rPr>
        <w:t xml:space="preserve"> </w:t>
      </w:r>
      <w:r>
        <w:rPr>
          <w:lang w:val="hr-HR"/>
        </w:rPr>
        <w:t>могу</w:t>
      </w:r>
      <w:r w:rsidR="00854CDD" w:rsidRPr="006820FB">
        <w:rPr>
          <w:lang w:val="hr-HR"/>
        </w:rPr>
        <w:t xml:space="preserve"> </w:t>
      </w:r>
      <w:r>
        <w:rPr>
          <w:lang w:val="hr-HR"/>
        </w:rPr>
        <w:t>покренути</w:t>
      </w:r>
      <w:r w:rsidR="00854CDD" w:rsidRPr="006820FB">
        <w:rPr>
          <w:lang w:val="hr-HR"/>
        </w:rPr>
        <w:t xml:space="preserve"> </w:t>
      </w:r>
      <w:r>
        <w:rPr>
          <w:lang w:val="hr-HR"/>
        </w:rPr>
        <w:t>системске</w:t>
      </w:r>
      <w:r w:rsidR="00854CDD" w:rsidRPr="006820FB">
        <w:rPr>
          <w:lang w:val="hr-HR"/>
        </w:rPr>
        <w:t xml:space="preserve"> </w:t>
      </w:r>
      <w:r>
        <w:rPr>
          <w:lang w:val="hr-HR"/>
        </w:rPr>
        <w:t>промјене</w:t>
      </w:r>
      <w:r w:rsidR="00854CDD" w:rsidRPr="006820FB">
        <w:rPr>
          <w:lang w:val="hr-HR"/>
        </w:rPr>
        <w:t xml:space="preserve"> </w:t>
      </w:r>
      <w:r>
        <w:rPr>
          <w:lang w:val="hr-HR"/>
        </w:rPr>
        <w:t>потребне</w:t>
      </w:r>
      <w:r w:rsidR="00854CDD" w:rsidRPr="006820FB">
        <w:rPr>
          <w:lang w:val="hr-HR"/>
        </w:rPr>
        <w:t xml:space="preserve"> </w:t>
      </w:r>
      <w:r>
        <w:rPr>
          <w:lang w:val="hr-HR"/>
        </w:rPr>
        <w:t>за</w:t>
      </w:r>
      <w:r w:rsidR="00854CDD" w:rsidRPr="006820FB">
        <w:rPr>
          <w:lang w:val="hr-HR"/>
        </w:rPr>
        <w:t xml:space="preserve"> </w:t>
      </w:r>
      <w:r>
        <w:rPr>
          <w:lang w:val="hr-HR"/>
        </w:rPr>
        <w:t>унапређење</w:t>
      </w:r>
      <w:r w:rsidR="00854CDD" w:rsidRPr="006820FB">
        <w:rPr>
          <w:lang w:val="hr-HR"/>
        </w:rPr>
        <w:t xml:space="preserve"> </w:t>
      </w:r>
      <w:r>
        <w:rPr>
          <w:lang w:val="hr-HR"/>
        </w:rPr>
        <w:t>положаја</w:t>
      </w:r>
      <w:r w:rsidR="00854CDD" w:rsidRPr="006820FB">
        <w:rPr>
          <w:lang w:val="hr-HR"/>
        </w:rPr>
        <w:t xml:space="preserve"> </w:t>
      </w:r>
      <w:r>
        <w:rPr>
          <w:lang w:val="hr-HR"/>
        </w:rPr>
        <w:t>жена</w:t>
      </w:r>
      <w:r w:rsidR="00854CDD" w:rsidRPr="006820FB">
        <w:rPr>
          <w:lang w:val="hr-HR"/>
        </w:rPr>
        <w:t xml:space="preserve"> </w:t>
      </w:r>
      <w:r>
        <w:rPr>
          <w:lang w:val="hr-HR"/>
        </w:rPr>
        <w:t>на</w:t>
      </w:r>
      <w:r w:rsidR="00854CDD" w:rsidRPr="006820FB">
        <w:rPr>
          <w:lang w:val="hr-HR"/>
        </w:rPr>
        <w:t xml:space="preserve"> </w:t>
      </w:r>
      <w:r>
        <w:rPr>
          <w:lang w:val="hr-HR"/>
        </w:rPr>
        <w:t>тржишту</w:t>
      </w:r>
      <w:r w:rsidR="00854CDD" w:rsidRPr="006820FB">
        <w:rPr>
          <w:lang w:val="hr-HR"/>
        </w:rPr>
        <w:t xml:space="preserve"> </w:t>
      </w:r>
      <w:r>
        <w:rPr>
          <w:lang w:val="hr-HR"/>
        </w:rPr>
        <w:t>рада</w:t>
      </w:r>
      <w:r w:rsidR="00854CDD" w:rsidRPr="006820FB">
        <w:rPr>
          <w:lang w:val="hr-HR"/>
        </w:rPr>
        <w:t>.</w:t>
      </w:r>
    </w:p>
    <w:p w:rsidR="00854CDD" w:rsidRPr="00295637" w:rsidRDefault="00854CDD" w:rsidP="0086268D">
      <w:pPr>
        <w:pStyle w:val="NormalWeb"/>
        <w:spacing w:before="0" w:beforeAutospacing="0" w:after="0" w:afterAutospacing="0"/>
        <w:jc w:val="both"/>
        <w:rPr>
          <w:lang w:val="bs-Latn-BA"/>
        </w:rPr>
      </w:pPr>
    </w:p>
    <w:p w:rsidR="0066207A" w:rsidRPr="00295637" w:rsidRDefault="00C6214E" w:rsidP="0086268D">
      <w:pPr>
        <w:pStyle w:val="NormalWeb"/>
        <w:spacing w:before="0" w:beforeAutospacing="0" w:after="0" w:afterAutospacing="0"/>
        <w:jc w:val="both"/>
        <w:rPr>
          <w:lang w:val="bs-Latn-BA"/>
        </w:rPr>
      </w:pPr>
      <w:r>
        <w:rPr>
          <w:lang w:val="bs-Latn-BA"/>
        </w:rPr>
        <w:t>За</w:t>
      </w:r>
      <w:r w:rsidR="0066207A" w:rsidRPr="00295637">
        <w:rPr>
          <w:lang w:val="bs-Latn-BA"/>
        </w:rPr>
        <w:t xml:space="preserve"> </w:t>
      </w:r>
      <w:r>
        <w:rPr>
          <w:lang w:val="bs-Latn-BA"/>
        </w:rPr>
        <w:t>вријеме</w:t>
      </w:r>
      <w:r w:rsidR="0066207A" w:rsidRPr="00295637">
        <w:rPr>
          <w:lang w:val="bs-Latn-BA"/>
        </w:rPr>
        <w:t xml:space="preserve"> </w:t>
      </w:r>
      <w:r>
        <w:rPr>
          <w:lang w:val="bs-Latn-BA"/>
        </w:rPr>
        <w:t>прихвата</w:t>
      </w:r>
      <w:r w:rsidR="0066207A" w:rsidRPr="00295637">
        <w:rPr>
          <w:lang w:val="bs-Latn-BA"/>
        </w:rPr>
        <w:t xml:space="preserve"> </w:t>
      </w:r>
      <w:r>
        <w:rPr>
          <w:lang w:val="bs-Latn-BA"/>
        </w:rPr>
        <w:t>тражилаца</w:t>
      </w:r>
      <w:r w:rsidR="0066207A" w:rsidRPr="00295637">
        <w:rPr>
          <w:lang w:val="bs-Latn-BA"/>
        </w:rPr>
        <w:t xml:space="preserve"> </w:t>
      </w:r>
      <w:r>
        <w:rPr>
          <w:lang w:val="bs-Latn-BA"/>
        </w:rPr>
        <w:t>азила</w:t>
      </w:r>
      <w:r w:rsidR="0066207A" w:rsidRPr="00295637">
        <w:rPr>
          <w:lang w:val="bs-Latn-BA"/>
        </w:rPr>
        <w:t xml:space="preserve"> </w:t>
      </w:r>
      <w:r>
        <w:rPr>
          <w:lang w:val="bs-Latn-BA"/>
        </w:rPr>
        <w:t>у</w:t>
      </w:r>
      <w:r w:rsidR="0066207A" w:rsidRPr="00295637">
        <w:rPr>
          <w:lang w:val="bs-Latn-BA"/>
        </w:rPr>
        <w:t xml:space="preserve"> </w:t>
      </w:r>
      <w:r>
        <w:rPr>
          <w:lang w:val="bs-Latn-BA"/>
        </w:rPr>
        <w:t>Босни</w:t>
      </w:r>
      <w:r w:rsidR="0066207A" w:rsidRPr="00295637">
        <w:rPr>
          <w:lang w:val="bs-Latn-BA"/>
        </w:rPr>
        <w:t xml:space="preserve"> </w:t>
      </w:r>
      <w:r>
        <w:rPr>
          <w:lang w:val="bs-Latn-BA"/>
        </w:rPr>
        <w:t>и</w:t>
      </w:r>
      <w:r w:rsidR="0066207A" w:rsidRPr="00295637">
        <w:rPr>
          <w:lang w:val="bs-Latn-BA"/>
        </w:rPr>
        <w:t xml:space="preserve"> </w:t>
      </w:r>
      <w:r>
        <w:rPr>
          <w:lang w:val="bs-Latn-BA"/>
        </w:rPr>
        <w:t>Херцеговини</w:t>
      </w:r>
      <w:r w:rsidR="0066207A" w:rsidRPr="00295637">
        <w:rPr>
          <w:lang w:val="bs-Latn-BA"/>
        </w:rPr>
        <w:t xml:space="preserve">, </w:t>
      </w:r>
      <w:r>
        <w:rPr>
          <w:lang w:val="bs-Latn-BA"/>
        </w:rPr>
        <w:t>у</w:t>
      </w:r>
      <w:r w:rsidR="0066207A" w:rsidRPr="00295637">
        <w:rPr>
          <w:lang w:val="bs-Latn-BA"/>
        </w:rPr>
        <w:t xml:space="preserve"> </w:t>
      </w:r>
      <w:r>
        <w:rPr>
          <w:lang w:val="bs-Latn-BA"/>
        </w:rPr>
        <w:t>азилантском</w:t>
      </w:r>
      <w:r w:rsidR="0066207A" w:rsidRPr="00295637">
        <w:rPr>
          <w:lang w:val="bs-Latn-BA"/>
        </w:rPr>
        <w:t xml:space="preserve"> </w:t>
      </w:r>
      <w:r>
        <w:rPr>
          <w:lang w:val="bs-Latn-BA"/>
        </w:rPr>
        <w:t>центру</w:t>
      </w:r>
      <w:r w:rsidR="0066207A" w:rsidRPr="00295637">
        <w:rPr>
          <w:lang w:val="bs-Latn-BA"/>
        </w:rPr>
        <w:t xml:space="preserve"> </w:t>
      </w:r>
      <w:r>
        <w:rPr>
          <w:lang w:val="bs-Latn-BA"/>
        </w:rPr>
        <w:t>М</w:t>
      </w:r>
      <w:r w:rsidR="00216930">
        <w:rPr>
          <w:lang w:val="sr-Cyrl-BA"/>
        </w:rPr>
        <w:t>Б</w:t>
      </w:r>
      <w:r w:rsidR="00E36B14">
        <w:rPr>
          <w:lang w:val="bs-Latn-BA"/>
        </w:rPr>
        <w:t xml:space="preserve"> </w:t>
      </w:r>
      <w:r>
        <w:rPr>
          <w:lang w:val="bs-Latn-BA"/>
        </w:rPr>
        <w:t>БиХ</w:t>
      </w:r>
      <w:r w:rsidR="0066207A" w:rsidRPr="00295637">
        <w:rPr>
          <w:lang w:val="bs-Latn-BA"/>
        </w:rPr>
        <w:t xml:space="preserve"> </w:t>
      </w:r>
      <w:r>
        <w:rPr>
          <w:lang w:val="bs-Latn-BA"/>
        </w:rPr>
        <w:t>у</w:t>
      </w:r>
      <w:r w:rsidR="0066207A" w:rsidRPr="00295637">
        <w:rPr>
          <w:lang w:val="bs-Latn-BA"/>
        </w:rPr>
        <w:t xml:space="preserve"> </w:t>
      </w:r>
      <w:r>
        <w:rPr>
          <w:lang w:val="bs-Latn-BA"/>
        </w:rPr>
        <w:t>континуитету</w:t>
      </w:r>
      <w:r w:rsidR="0066207A" w:rsidRPr="00295637">
        <w:rPr>
          <w:lang w:val="bs-Latn-BA"/>
        </w:rPr>
        <w:t xml:space="preserve"> </w:t>
      </w:r>
      <w:r>
        <w:rPr>
          <w:lang w:val="bs-Latn-BA"/>
        </w:rPr>
        <w:t>се</w:t>
      </w:r>
      <w:r w:rsidR="0066207A" w:rsidRPr="00295637">
        <w:rPr>
          <w:lang w:val="bs-Latn-BA"/>
        </w:rPr>
        <w:t xml:space="preserve"> </w:t>
      </w:r>
      <w:r>
        <w:rPr>
          <w:lang w:val="bs-Latn-BA"/>
        </w:rPr>
        <w:t>одржавају</w:t>
      </w:r>
      <w:r w:rsidR="0066207A" w:rsidRPr="00295637">
        <w:rPr>
          <w:lang w:val="bs-Latn-BA"/>
        </w:rPr>
        <w:t xml:space="preserve"> </w:t>
      </w:r>
      <w:r>
        <w:rPr>
          <w:lang w:val="bs-Latn-BA"/>
        </w:rPr>
        <w:t>едукације</w:t>
      </w:r>
      <w:r w:rsidR="0066207A" w:rsidRPr="00295637">
        <w:rPr>
          <w:lang w:val="bs-Latn-BA"/>
        </w:rPr>
        <w:t xml:space="preserve"> </w:t>
      </w:r>
      <w:r>
        <w:rPr>
          <w:lang w:val="bs-Latn-BA"/>
        </w:rPr>
        <w:t>и</w:t>
      </w:r>
      <w:r w:rsidR="0066207A" w:rsidRPr="00295637">
        <w:rPr>
          <w:lang w:val="bs-Latn-BA"/>
        </w:rPr>
        <w:t xml:space="preserve"> </w:t>
      </w:r>
      <w:r>
        <w:rPr>
          <w:lang w:val="bs-Latn-BA"/>
        </w:rPr>
        <w:t>радионице</w:t>
      </w:r>
      <w:r w:rsidR="0066207A" w:rsidRPr="00295637">
        <w:rPr>
          <w:lang w:val="bs-Latn-BA"/>
        </w:rPr>
        <w:t xml:space="preserve"> </w:t>
      </w:r>
      <w:r>
        <w:rPr>
          <w:lang w:val="bs-Latn-BA"/>
        </w:rPr>
        <w:t>за</w:t>
      </w:r>
      <w:r w:rsidR="0066207A" w:rsidRPr="00295637">
        <w:rPr>
          <w:lang w:val="bs-Latn-BA"/>
        </w:rPr>
        <w:t xml:space="preserve"> </w:t>
      </w:r>
      <w:r>
        <w:rPr>
          <w:lang w:val="bs-Latn-BA"/>
        </w:rPr>
        <w:t>запослене</w:t>
      </w:r>
      <w:r w:rsidR="0066207A" w:rsidRPr="00295637">
        <w:rPr>
          <w:lang w:val="bs-Latn-BA"/>
        </w:rPr>
        <w:t xml:space="preserve"> </w:t>
      </w:r>
      <w:r>
        <w:rPr>
          <w:lang w:val="bs-Latn-BA"/>
        </w:rPr>
        <w:t>и</w:t>
      </w:r>
      <w:r w:rsidR="0066207A" w:rsidRPr="00295637">
        <w:rPr>
          <w:lang w:val="bs-Latn-BA"/>
        </w:rPr>
        <w:t xml:space="preserve"> </w:t>
      </w:r>
      <w:r>
        <w:rPr>
          <w:lang w:val="bs-Latn-BA"/>
        </w:rPr>
        <w:t>тражи</w:t>
      </w:r>
      <w:r w:rsidR="00216930">
        <w:rPr>
          <w:lang w:val="sr-Cyrl-BA"/>
        </w:rPr>
        <w:t>оце</w:t>
      </w:r>
      <w:r w:rsidR="0066207A" w:rsidRPr="00295637">
        <w:rPr>
          <w:lang w:val="bs-Latn-BA"/>
        </w:rPr>
        <w:t xml:space="preserve"> </w:t>
      </w:r>
      <w:r>
        <w:rPr>
          <w:lang w:val="bs-Latn-BA"/>
        </w:rPr>
        <w:t>азила</w:t>
      </w:r>
      <w:r w:rsidR="0066207A" w:rsidRPr="00295637">
        <w:rPr>
          <w:lang w:val="bs-Latn-BA"/>
        </w:rPr>
        <w:t xml:space="preserve"> </w:t>
      </w:r>
      <w:r w:rsidR="00216930">
        <w:rPr>
          <w:lang w:val="sr-Cyrl-BA"/>
        </w:rPr>
        <w:t>с</w:t>
      </w:r>
      <w:r w:rsidR="0066207A" w:rsidRPr="00295637">
        <w:rPr>
          <w:lang w:val="bs-Latn-BA"/>
        </w:rPr>
        <w:t xml:space="preserve"> </w:t>
      </w:r>
      <w:r>
        <w:rPr>
          <w:lang w:val="bs-Latn-BA"/>
        </w:rPr>
        <w:t>циљ</w:t>
      </w:r>
      <w:r w:rsidR="00216930">
        <w:rPr>
          <w:lang w:val="sr-Cyrl-BA"/>
        </w:rPr>
        <w:t>ем</w:t>
      </w:r>
      <w:r w:rsidR="0066207A" w:rsidRPr="00295637">
        <w:rPr>
          <w:lang w:val="bs-Latn-BA"/>
        </w:rPr>
        <w:t xml:space="preserve"> </w:t>
      </w:r>
      <w:r>
        <w:rPr>
          <w:lang w:val="bs-Latn-BA"/>
        </w:rPr>
        <w:t>унапређења</w:t>
      </w:r>
      <w:r w:rsidR="0066207A" w:rsidRPr="00295637">
        <w:rPr>
          <w:lang w:val="bs-Latn-BA"/>
        </w:rPr>
        <w:t xml:space="preserve"> </w:t>
      </w:r>
      <w:r>
        <w:rPr>
          <w:lang w:val="bs-Latn-BA"/>
        </w:rPr>
        <w:t>приступа</w:t>
      </w:r>
      <w:r w:rsidR="0066207A" w:rsidRPr="00295637">
        <w:rPr>
          <w:lang w:val="bs-Latn-BA"/>
        </w:rPr>
        <w:t xml:space="preserve"> </w:t>
      </w:r>
      <w:r>
        <w:rPr>
          <w:lang w:val="bs-Latn-BA"/>
        </w:rPr>
        <w:t>образовању</w:t>
      </w:r>
      <w:r w:rsidR="0066207A" w:rsidRPr="00295637">
        <w:rPr>
          <w:lang w:val="bs-Latn-BA"/>
        </w:rPr>
        <w:t xml:space="preserve"> </w:t>
      </w:r>
      <w:r>
        <w:rPr>
          <w:lang w:val="bs-Latn-BA"/>
        </w:rPr>
        <w:t>и</w:t>
      </w:r>
      <w:r w:rsidR="0066207A" w:rsidRPr="00295637">
        <w:rPr>
          <w:lang w:val="bs-Latn-BA"/>
        </w:rPr>
        <w:t xml:space="preserve"> </w:t>
      </w:r>
      <w:r>
        <w:rPr>
          <w:lang w:val="bs-Latn-BA"/>
        </w:rPr>
        <w:t>економским</w:t>
      </w:r>
      <w:r w:rsidR="0066207A" w:rsidRPr="00295637">
        <w:rPr>
          <w:lang w:val="bs-Latn-BA"/>
        </w:rPr>
        <w:t xml:space="preserve"> </w:t>
      </w:r>
      <w:r>
        <w:rPr>
          <w:lang w:val="bs-Latn-BA"/>
        </w:rPr>
        <w:t>ресурсима</w:t>
      </w:r>
      <w:r w:rsidR="0066207A" w:rsidRPr="00295637">
        <w:rPr>
          <w:lang w:val="bs-Latn-BA"/>
        </w:rPr>
        <w:t xml:space="preserve"> </w:t>
      </w:r>
      <w:r>
        <w:rPr>
          <w:lang w:val="bs-Latn-BA"/>
        </w:rPr>
        <w:t>за</w:t>
      </w:r>
      <w:r w:rsidR="00CD457C" w:rsidRPr="00295637">
        <w:rPr>
          <w:lang w:val="bs-Latn-BA"/>
        </w:rPr>
        <w:t xml:space="preserve"> </w:t>
      </w:r>
      <w:r>
        <w:rPr>
          <w:lang w:val="bs-Latn-BA"/>
        </w:rPr>
        <w:t>жене</w:t>
      </w:r>
      <w:r w:rsidR="0066207A" w:rsidRPr="00295637">
        <w:rPr>
          <w:lang w:val="bs-Latn-BA"/>
        </w:rPr>
        <w:t xml:space="preserve">, </w:t>
      </w:r>
      <w:r>
        <w:rPr>
          <w:lang w:val="bs-Latn-BA"/>
        </w:rPr>
        <w:t>дјевојчице</w:t>
      </w:r>
      <w:r w:rsidR="0066207A" w:rsidRPr="00295637">
        <w:rPr>
          <w:lang w:val="bs-Latn-BA"/>
        </w:rPr>
        <w:t xml:space="preserve">, </w:t>
      </w:r>
      <w:r>
        <w:rPr>
          <w:lang w:val="bs-Latn-BA"/>
        </w:rPr>
        <w:t>али</w:t>
      </w:r>
      <w:r w:rsidR="0066207A" w:rsidRPr="00295637">
        <w:rPr>
          <w:lang w:val="bs-Latn-BA"/>
        </w:rPr>
        <w:t xml:space="preserve"> </w:t>
      </w:r>
      <w:r>
        <w:rPr>
          <w:lang w:val="bs-Latn-BA"/>
        </w:rPr>
        <w:t>и</w:t>
      </w:r>
      <w:r w:rsidR="0066207A" w:rsidRPr="00295637">
        <w:rPr>
          <w:lang w:val="bs-Latn-BA"/>
        </w:rPr>
        <w:t xml:space="preserve"> </w:t>
      </w:r>
      <w:r>
        <w:rPr>
          <w:lang w:val="bs-Latn-BA"/>
        </w:rPr>
        <w:t>мушкарце</w:t>
      </w:r>
      <w:r w:rsidR="0066207A" w:rsidRPr="00295637">
        <w:rPr>
          <w:lang w:val="bs-Latn-BA"/>
        </w:rPr>
        <w:t xml:space="preserve">, </w:t>
      </w:r>
      <w:r>
        <w:rPr>
          <w:lang w:val="bs-Latn-BA"/>
        </w:rPr>
        <w:t>нарочито</w:t>
      </w:r>
      <w:r w:rsidR="0066207A" w:rsidRPr="00295637">
        <w:rPr>
          <w:lang w:val="bs-Latn-BA"/>
        </w:rPr>
        <w:t xml:space="preserve"> </w:t>
      </w:r>
      <w:r>
        <w:rPr>
          <w:lang w:val="bs-Latn-BA"/>
        </w:rPr>
        <w:t>у</w:t>
      </w:r>
      <w:r w:rsidR="0066207A" w:rsidRPr="00295637">
        <w:rPr>
          <w:lang w:val="bs-Latn-BA"/>
        </w:rPr>
        <w:t xml:space="preserve"> </w:t>
      </w:r>
      <w:r>
        <w:rPr>
          <w:lang w:val="bs-Latn-BA"/>
        </w:rPr>
        <w:t>контексту</w:t>
      </w:r>
      <w:r w:rsidR="0066207A" w:rsidRPr="00295637">
        <w:rPr>
          <w:lang w:val="bs-Latn-BA"/>
        </w:rPr>
        <w:t xml:space="preserve"> </w:t>
      </w:r>
      <w:r>
        <w:rPr>
          <w:lang w:val="bs-Latn-BA"/>
        </w:rPr>
        <w:t>заштите</w:t>
      </w:r>
      <w:r w:rsidR="0066207A" w:rsidRPr="00295637">
        <w:rPr>
          <w:lang w:val="bs-Latn-BA"/>
        </w:rPr>
        <w:t xml:space="preserve"> </w:t>
      </w:r>
      <w:r>
        <w:rPr>
          <w:lang w:val="bs-Latn-BA"/>
        </w:rPr>
        <w:t>од</w:t>
      </w:r>
      <w:r w:rsidR="0066207A" w:rsidRPr="00295637">
        <w:rPr>
          <w:lang w:val="bs-Latn-BA"/>
        </w:rPr>
        <w:t xml:space="preserve"> </w:t>
      </w:r>
      <w:r>
        <w:rPr>
          <w:lang w:val="bs-Latn-BA"/>
        </w:rPr>
        <w:t>трговине</w:t>
      </w:r>
      <w:r w:rsidR="0066207A" w:rsidRPr="00295637">
        <w:rPr>
          <w:lang w:val="bs-Latn-BA"/>
        </w:rPr>
        <w:t xml:space="preserve"> </w:t>
      </w:r>
      <w:r>
        <w:rPr>
          <w:lang w:val="bs-Latn-BA"/>
        </w:rPr>
        <w:t>људима</w:t>
      </w:r>
      <w:r w:rsidR="0066207A" w:rsidRPr="00295637">
        <w:rPr>
          <w:lang w:val="bs-Latn-BA"/>
        </w:rPr>
        <w:t xml:space="preserve"> </w:t>
      </w:r>
      <w:r>
        <w:rPr>
          <w:lang w:val="bs-Latn-BA"/>
        </w:rPr>
        <w:t>и</w:t>
      </w:r>
      <w:r w:rsidR="0066207A" w:rsidRPr="00295637">
        <w:rPr>
          <w:lang w:val="bs-Latn-BA"/>
        </w:rPr>
        <w:t xml:space="preserve"> </w:t>
      </w:r>
      <w:r>
        <w:rPr>
          <w:lang w:val="bs-Latn-BA"/>
        </w:rPr>
        <w:t>експлоатације</w:t>
      </w:r>
      <w:r w:rsidR="0066207A" w:rsidRPr="00295637">
        <w:rPr>
          <w:lang w:val="bs-Latn-BA"/>
        </w:rPr>
        <w:t xml:space="preserve">. </w:t>
      </w:r>
    </w:p>
    <w:p w:rsidR="0066207A" w:rsidRPr="00295637" w:rsidRDefault="0066207A" w:rsidP="0086268D">
      <w:pPr>
        <w:pStyle w:val="NormalWeb"/>
        <w:spacing w:before="0" w:beforeAutospacing="0" w:after="0" w:afterAutospacing="0"/>
        <w:jc w:val="both"/>
        <w:rPr>
          <w:lang w:val="bs-Latn-BA"/>
        </w:rPr>
      </w:pPr>
    </w:p>
    <w:p w:rsidR="003547F5" w:rsidRPr="00295637" w:rsidRDefault="00C6214E" w:rsidP="0086268D">
      <w:pPr>
        <w:pStyle w:val="NormalWeb"/>
        <w:spacing w:before="0" w:beforeAutospacing="0" w:after="0" w:afterAutospacing="0"/>
        <w:jc w:val="both"/>
        <w:rPr>
          <w:lang w:val="bs-Latn-BA"/>
        </w:rPr>
      </w:pPr>
      <w:r>
        <w:rPr>
          <w:lang w:val="bs-Latn-BA"/>
        </w:rPr>
        <w:t>ФМРПО</w:t>
      </w:r>
      <w:r w:rsidR="003547F5" w:rsidRPr="00295637">
        <w:rPr>
          <w:lang w:val="bs-Latn-BA"/>
        </w:rPr>
        <w:t xml:space="preserve"> </w:t>
      </w:r>
      <w:r>
        <w:rPr>
          <w:lang w:val="bs-Latn-BA"/>
        </w:rPr>
        <w:t>проводи</w:t>
      </w:r>
      <w:r w:rsidR="003547F5" w:rsidRPr="00295637">
        <w:rPr>
          <w:lang w:val="bs-Latn-BA"/>
        </w:rPr>
        <w:t xml:space="preserve"> </w:t>
      </w:r>
      <w:r>
        <w:rPr>
          <w:lang w:val="bs-Latn-BA"/>
        </w:rPr>
        <w:t>програме</w:t>
      </w:r>
      <w:r w:rsidR="003547F5" w:rsidRPr="00295637">
        <w:rPr>
          <w:lang w:val="bs-Latn-BA"/>
        </w:rPr>
        <w:t xml:space="preserve"> </w:t>
      </w:r>
      <w:r>
        <w:rPr>
          <w:lang w:val="bs-Latn-BA"/>
        </w:rPr>
        <w:t>подстицаја</w:t>
      </w:r>
      <w:r w:rsidR="003547F5" w:rsidRPr="00295637">
        <w:rPr>
          <w:lang w:val="bs-Latn-BA"/>
        </w:rPr>
        <w:t xml:space="preserve"> </w:t>
      </w:r>
      <w:r>
        <w:rPr>
          <w:lang w:val="bs-Latn-BA"/>
        </w:rPr>
        <w:t>из</w:t>
      </w:r>
      <w:r w:rsidR="003547F5" w:rsidRPr="00295637">
        <w:rPr>
          <w:lang w:val="bs-Latn-BA"/>
        </w:rPr>
        <w:t xml:space="preserve"> </w:t>
      </w:r>
      <w:r>
        <w:rPr>
          <w:lang w:val="bs-Latn-BA"/>
        </w:rPr>
        <w:t>своје</w:t>
      </w:r>
      <w:r w:rsidR="003547F5" w:rsidRPr="00295637">
        <w:rPr>
          <w:lang w:val="bs-Latn-BA"/>
        </w:rPr>
        <w:t xml:space="preserve"> </w:t>
      </w:r>
      <w:r>
        <w:rPr>
          <w:lang w:val="bs-Latn-BA"/>
        </w:rPr>
        <w:t>надлежности</w:t>
      </w:r>
      <w:r w:rsidR="003547F5" w:rsidRPr="00295637">
        <w:rPr>
          <w:lang w:val="bs-Latn-BA"/>
        </w:rPr>
        <w:t xml:space="preserve">, </w:t>
      </w:r>
      <w:r>
        <w:rPr>
          <w:lang w:val="bs-Latn-BA"/>
        </w:rPr>
        <w:t>укључујући</w:t>
      </w:r>
      <w:r w:rsidR="003547F5" w:rsidRPr="00295637">
        <w:rPr>
          <w:lang w:val="bs-Latn-BA"/>
        </w:rPr>
        <w:t>:</w:t>
      </w:r>
      <w:r w:rsidR="00BF30C3" w:rsidRPr="00295637">
        <w:rPr>
          <w:lang w:val="bs-Latn-BA"/>
        </w:rPr>
        <w:t xml:space="preserve"> </w:t>
      </w:r>
      <w:r>
        <w:rPr>
          <w:lang w:val="bs-Latn-BA"/>
        </w:rPr>
        <w:t>подстицаје</w:t>
      </w:r>
      <w:r w:rsidR="003547F5" w:rsidRPr="00295637">
        <w:rPr>
          <w:lang w:val="bs-Latn-BA"/>
        </w:rPr>
        <w:t xml:space="preserve"> </w:t>
      </w:r>
      <w:r>
        <w:rPr>
          <w:lang w:val="bs-Latn-BA"/>
        </w:rPr>
        <w:t>за</w:t>
      </w:r>
      <w:r w:rsidR="003547F5" w:rsidRPr="00295637">
        <w:rPr>
          <w:lang w:val="bs-Latn-BA"/>
        </w:rPr>
        <w:t xml:space="preserve"> </w:t>
      </w:r>
      <w:r>
        <w:rPr>
          <w:lang w:val="bs-Latn-BA"/>
        </w:rPr>
        <w:t>развој</w:t>
      </w:r>
      <w:r w:rsidR="003547F5" w:rsidRPr="00295637">
        <w:rPr>
          <w:lang w:val="bs-Latn-BA"/>
        </w:rPr>
        <w:t xml:space="preserve"> </w:t>
      </w:r>
      <w:r>
        <w:rPr>
          <w:lang w:val="bs-Latn-BA"/>
        </w:rPr>
        <w:t>мале</w:t>
      </w:r>
      <w:r w:rsidR="003547F5" w:rsidRPr="00295637">
        <w:rPr>
          <w:lang w:val="bs-Latn-BA"/>
        </w:rPr>
        <w:t xml:space="preserve"> </w:t>
      </w:r>
      <w:r>
        <w:rPr>
          <w:lang w:val="bs-Latn-BA"/>
        </w:rPr>
        <w:t>привреде</w:t>
      </w:r>
      <w:r w:rsidR="003547F5" w:rsidRPr="00295637">
        <w:rPr>
          <w:lang w:val="bs-Latn-BA"/>
        </w:rPr>
        <w:t>,</w:t>
      </w:r>
      <w:r w:rsidR="00BF30C3" w:rsidRPr="00295637">
        <w:rPr>
          <w:lang w:val="bs-Latn-BA"/>
        </w:rPr>
        <w:t xml:space="preserve"> </w:t>
      </w:r>
      <w:r>
        <w:rPr>
          <w:lang w:val="bs-Latn-BA"/>
        </w:rPr>
        <w:t>подстицаје</w:t>
      </w:r>
      <w:r w:rsidR="003547F5" w:rsidRPr="00295637">
        <w:rPr>
          <w:lang w:val="bs-Latn-BA"/>
        </w:rPr>
        <w:t xml:space="preserve"> </w:t>
      </w:r>
      <w:r>
        <w:rPr>
          <w:lang w:val="bs-Latn-BA"/>
        </w:rPr>
        <w:t>за</w:t>
      </w:r>
      <w:r w:rsidR="003547F5" w:rsidRPr="00295637">
        <w:rPr>
          <w:lang w:val="bs-Latn-BA"/>
        </w:rPr>
        <w:t xml:space="preserve"> </w:t>
      </w:r>
      <w:r>
        <w:rPr>
          <w:lang w:val="bs-Latn-BA"/>
        </w:rPr>
        <w:t>опстанак</w:t>
      </w:r>
      <w:r w:rsidR="003547F5" w:rsidRPr="00295637">
        <w:rPr>
          <w:lang w:val="bs-Latn-BA"/>
        </w:rPr>
        <w:t xml:space="preserve"> </w:t>
      </w:r>
      <w:r>
        <w:rPr>
          <w:lang w:val="bs-Latn-BA"/>
        </w:rPr>
        <w:t>традиционалних</w:t>
      </w:r>
      <w:r w:rsidR="003547F5" w:rsidRPr="00295637">
        <w:rPr>
          <w:lang w:val="bs-Latn-BA"/>
        </w:rPr>
        <w:t xml:space="preserve"> </w:t>
      </w:r>
      <w:r>
        <w:rPr>
          <w:lang w:val="bs-Latn-BA"/>
        </w:rPr>
        <w:t>и</w:t>
      </w:r>
      <w:r w:rsidR="003547F5" w:rsidRPr="00295637">
        <w:rPr>
          <w:lang w:val="bs-Latn-BA"/>
        </w:rPr>
        <w:t xml:space="preserve"> </w:t>
      </w:r>
      <w:r>
        <w:rPr>
          <w:lang w:val="bs-Latn-BA"/>
        </w:rPr>
        <w:t>старих</w:t>
      </w:r>
      <w:r w:rsidR="003547F5" w:rsidRPr="00295637">
        <w:rPr>
          <w:lang w:val="bs-Latn-BA"/>
        </w:rPr>
        <w:t xml:space="preserve"> </w:t>
      </w:r>
      <w:r>
        <w:rPr>
          <w:lang w:val="bs-Latn-BA"/>
        </w:rPr>
        <w:t>заната</w:t>
      </w:r>
      <w:r w:rsidR="003547F5" w:rsidRPr="00295637">
        <w:rPr>
          <w:lang w:val="bs-Latn-BA"/>
        </w:rPr>
        <w:t>,</w:t>
      </w:r>
      <w:r w:rsidR="00BF30C3" w:rsidRPr="00295637">
        <w:rPr>
          <w:lang w:val="bs-Latn-BA"/>
        </w:rPr>
        <w:t xml:space="preserve"> </w:t>
      </w:r>
      <w:r>
        <w:rPr>
          <w:lang w:val="bs-Latn-BA"/>
        </w:rPr>
        <w:t>реализацију</w:t>
      </w:r>
      <w:r w:rsidR="003547F5" w:rsidRPr="00295637">
        <w:rPr>
          <w:lang w:val="bs-Latn-BA"/>
        </w:rPr>
        <w:t xml:space="preserve"> </w:t>
      </w:r>
      <w:r>
        <w:rPr>
          <w:lang w:val="bs-Latn-BA"/>
        </w:rPr>
        <w:t>и</w:t>
      </w:r>
      <w:r w:rsidR="003547F5" w:rsidRPr="00295637">
        <w:rPr>
          <w:lang w:val="bs-Latn-BA"/>
        </w:rPr>
        <w:t xml:space="preserve"> </w:t>
      </w:r>
      <w:r>
        <w:rPr>
          <w:lang w:val="bs-Latn-BA"/>
        </w:rPr>
        <w:t>праћење</w:t>
      </w:r>
      <w:r w:rsidR="003547F5" w:rsidRPr="00295637">
        <w:rPr>
          <w:lang w:val="bs-Latn-BA"/>
        </w:rPr>
        <w:t xml:space="preserve"> </w:t>
      </w:r>
      <w:r w:rsidR="00216930">
        <w:rPr>
          <w:lang w:val="sr-Cyrl-BA"/>
        </w:rPr>
        <w:t>спровођења</w:t>
      </w:r>
      <w:r w:rsidR="003547F5" w:rsidRPr="00295637">
        <w:rPr>
          <w:lang w:val="bs-Latn-BA"/>
        </w:rPr>
        <w:t xml:space="preserve"> </w:t>
      </w:r>
      <w:r>
        <w:rPr>
          <w:lang w:val="bs-Latn-BA"/>
        </w:rPr>
        <w:t>кредитно</w:t>
      </w:r>
      <w:r w:rsidR="003547F5" w:rsidRPr="00295637">
        <w:rPr>
          <w:lang w:val="bs-Latn-BA"/>
        </w:rPr>
        <w:t>-</w:t>
      </w:r>
      <w:r>
        <w:rPr>
          <w:lang w:val="bs-Latn-BA"/>
        </w:rPr>
        <w:t>гарант</w:t>
      </w:r>
      <w:r w:rsidR="00216930">
        <w:rPr>
          <w:lang w:val="sr-Cyrl-BA"/>
        </w:rPr>
        <w:t>ујућих</w:t>
      </w:r>
      <w:r w:rsidR="003547F5" w:rsidRPr="00295637">
        <w:rPr>
          <w:lang w:val="bs-Latn-BA"/>
        </w:rPr>
        <w:t xml:space="preserve"> </w:t>
      </w:r>
      <w:r>
        <w:rPr>
          <w:lang w:val="bs-Latn-BA"/>
        </w:rPr>
        <w:t>програма</w:t>
      </w:r>
      <w:r w:rsidR="003547F5" w:rsidRPr="00295637">
        <w:rPr>
          <w:lang w:val="bs-Latn-BA"/>
        </w:rPr>
        <w:t xml:space="preserve"> </w:t>
      </w:r>
      <w:r>
        <w:rPr>
          <w:lang w:val="bs-Latn-BA"/>
        </w:rPr>
        <w:t>и</w:t>
      </w:r>
      <w:r w:rsidR="003547F5" w:rsidRPr="00295637">
        <w:rPr>
          <w:lang w:val="bs-Latn-BA"/>
        </w:rPr>
        <w:t xml:space="preserve"> </w:t>
      </w:r>
      <w:r>
        <w:rPr>
          <w:lang w:val="bs-Latn-BA"/>
        </w:rPr>
        <w:t>субвенциони</w:t>
      </w:r>
      <w:r w:rsidR="00216930">
        <w:rPr>
          <w:lang w:val="sr-Cyrl-BA"/>
        </w:rPr>
        <w:t>с</w:t>
      </w:r>
      <w:r>
        <w:rPr>
          <w:lang w:val="bs-Latn-BA"/>
        </w:rPr>
        <w:t>ање</w:t>
      </w:r>
      <w:r w:rsidR="003547F5" w:rsidRPr="00295637">
        <w:rPr>
          <w:lang w:val="bs-Latn-BA"/>
        </w:rPr>
        <w:t xml:space="preserve"> </w:t>
      </w:r>
      <w:r>
        <w:rPr>
          <w:lang w:val="bs-Latn-BA"/>
        </w:rPr>
        <w:t>камата</w:t>
      </w:r>
      <w:r w:rsidR="003547F5" w:rsidRPr="00295637">
        <w:rPr>
          <w:lang w:val="bs-Latn-BA"/>
        </w:rPr>
        <w:t>,</w:t>
      </w:r>
      <w:r w:rsidR="00BF30C3" w:rsidRPr="00295637">
        <w:rPr>
          <w:lang w:val="bs-Latn-BA"/>
        </w:rPr>
        <w:t xml:space="preserve"> </w:t>
      </w:r>
      <w:r>
        <w:rPr>
          <w:lang w:val="bs-Latn-BA"/>
        </w:rPr>
        <w:t>подршку</w:t>
      </w:r>
      <w:r w:rsidR="003547F5" w:rsidRPr="00295637">
        <w:rPr>
          <w:lang w:val="bs-Latn-BA"/>
        </w:rPr>
        <w:t xml:space="preserve"> </w:t>
      </w:r>
      <w:r>
        <w:rPr>
          <w:lang w:val="bs-Latn-BA"/>
        </w:rPr>
        <w:t>дигитализацији</w:t>
      </w:r>
      <w:r w:rsidR="00E36B14">
        <w:rPr>
          <w:lang w:val="bs-Latn-BA"/>
        </w:rPr>
        <w:t xml:space="preserve"> </w:t>
      </w:r>
      <w:r>
        <w:rPr>
          <w:lang w:val="bs-Latn-BA"/>
        </w:rPr>
        <w:t>пословања</w:t>
      </w:r>
      <w:r w:rsidR="00E36B14">
        <w:rPr>
          <w:lang w:val="bs-Latn-BA"/>
        </w:rPr>
        <w:t xml:space="preserve"> </w:t>
      </w:r>
      <w:r>
        <w:rPr>
          <w:lang w:val="bs-Latn-BA"/>
        </w:rPr>
        <w:t>малих</w:t>
      </w:r>
      <w:r w:rsidR="00E36B14">
        <w:rPr>
          <w:lang w:val="bs-Latn-BA"/>
        </w:rPr>
        <w:t xml:space="preserve"> </w:t>
      </w:r>
      <w:r>
        <w:rPr>
          <w:lang w:val="bs-Latn-BA"/>
        </w:rPr>
        <w:t>и</w:t>
      </w:r>
      <w:r w:rsidR="00E36B14">
        <w:rPr>
          <w:lang w:val="bs-Latn-BA"/>
        </w:rPr>
        <w:t xml:space="preserve"> </w:t>
      </w:r>
      <w:r>
        <w:rPr>
          <w:lang w:val="bs-Latn-BA"/>
        </w:rPr>
        <w:t>средњих</w:t>
      </w:r>
      <w:r w:rsidR="00E36B14">
        <w:rPr>
          <w:lang w:val="bs-Latn-BA"/>
        </w:rPr>
        <w:t xml:space="preserve"> </w:t>
      </w:r>
      <w:r>
        <w:rPr>
          <w:lang w:val="bs-Latn-BA"/>
        </w:rPr>
        <w:t>предузећа</w:t>
      </w:r>
      <w:r w:rsidR="003547F5" w:rsidRPr="00295637">
        <w:rPr>
          <w:lang w:val="bs-Latn-BA"/>
        </w:rPr>
        <w:t>,</w:t>
      </w:r>
      <w:r w:rsidR="00BF30C3" w:rsidRPr="00295637">
        <w:rPr>
          <w:lang w:val="bs-Latn-BA"/>
        </w:rPr>
        <w:t xml:space="preserve"> </w:t>
      </w:r>
      <w:r>
        <w:rPr>
          <w:lang w:val="bs-Latn-BA"/>
        </w:rPr>
        <w:t>подршку</w:t>
      </w:r>
      <w:r w:rsidR="00E36B14">
        <w:rPr>
          <w:lang w:val="bs-Latn-BA"/>
        </w:rPr>
        <w:t xml:space="preserve"> „</w:t>
      </w:r>
      <w:r w:rsidR="00216930" w:rsidRPr="00216930">
        <w:rPr>
          <w:i/>
          <w:lang w:val="bs-Latn-BA"/>
        </w:rPr>
        <w:t>start up</w:t>
      </w:r>
      <w:r w:rsidR="00E36B14">
        <w:rPr>
          <w:lang w:val="bs-Latn-BA"/>
        </w:rPr>
        <w:t>“</w:t>
      </w:r>
      <w:r w:rsidR="003547F5" w:rsidRPr="00295637">
        <w:rPr>
          <w:lang w:val="bs-Latn-BA"/>
        </w:rPr>
        <w:t xml:space="preserve"> </w:t>
      </w:r>
      <w:r>
        <w:rPr>
          <w:lang w:val="bs-Latn-BA"/>
        </w:rPr>
        <w:t>и</w:t>
      </w:r>
      <w:r w:rsidR="00BF30C3" w:rsidRPr="00295637">
        <w:rPr>
          <w:lang w:val="bs-Latn-BA"/>
        </w:rPr>
        <w:t xml:space="preserve"> </w:t>
      </w:r>
      <w:r>
        <w:rPr>
          <w:lang w:val="bs-Latn-BA"/>
        </w:rPr>
        <w:t>подршку</w:t>
      </w:r>
      <w:r w:rsidR="003547F5" w:rsidRPr="00295637">
        <w:rPr>
          <w:lang w:val="bs-Latn-BA"/>
        </w:rPr>
        <w:t xml:space="preserve"> </w:t>
      </w:r>
      <w:r>
        <w:rPr>
          <w:lang w:val="bs-Latn-BA"/>
        </w:rPr>
        <w:t>малим</w:t>
      </w:r>
      <w:r w:rsidR="003547F5" w:rsidRPr="00295637">
        <w:rPr>
          <w:lang w:val="bs-Latn-BA"/>
        </w:rPr>
        <w:t xml:space="preserve"> </w:t>
      </w:r>
      <w:r>
        <w:rPr>
          <w:lang w:val="bs-Latn-BA"/>
        </w:rPr>
        <w:t>и</w:t>
      </w:r>
      <w:r w:rsidR="003547F5" w:rsidRPr="00295637">
        <w:rPr>
          <w:lang w:val="bs-Latn-BA"/>
        </w:rPr>
        <w:t xml:space="preserve"> </w:t>
      </w:r>
      <w:r>
        <w:rPr>
          <w:lang w:val="bs-Latn-BA"/>
        </w:rPr>
        <w:t>средњим</w:t>
      </w:r>
      <w:r w:rsidR="003547F5" w:rsidRPr="00295637">
        <w:rPr>
          <w:lang w:val="bs-Latn-BA"/>
        </w:rPr>
        <w:t xml:space="preserve"> </w:t>
      </w:r>
      <w:r>
        <w:rPr>
          <w:lang w:val="bs-Latn-BA"/>
        </w:rPr>
        <w:t>предузећима</w:t>
      </w:r>
      <w:r w:rsidR="003547F5" w:rsidRPr="00295637">
        <w:rPr>
          <w:lang w:val="bs-Latn-BA"/>
        </w:rPr>
        <w:t xml:space="preserve"> </w:t>
      </w:r>
      <w:r>
        <w:rPr>
          <w:lang w:val="bs-Latn-BA"/>
        </w:rPr>
        <w:t>на</w:t>
      </w:r>
      <w:r w:rsidR="003547F5" w:rsidRPr="00295637">
        <w:rPr>
          <w:lang w:val="bs-Latn-BA"/>
        </w:rPr>
        <w:t xml:space="preserve"> </w:t>
      </w:r>
      <w:r>
        <w:rPr>
          <w:lang w:val="bs-Latn-BA"/>
        </w:rPr>
        <w:t>побољшању</w:t>
      </w:r>
      <w:r w:rsidR="003547F5" w:rsidRPr="00295637">
        <w:rPr>
          <w:lang w:val="bs-Latn-BA"/>
        </w:rPr>
        <w:t xml:space="preserve"> </w:t>
      </w:r>
      <w:r>
        <w:rPr>
          <w:lang w:val="bs-Latn-BA"/>
        </w:rPr>
        <w:t>енергетске</w:t>
      </w:r>
      <w:r w:rsidR="00E36B14">
        <w:rPr>
          <w:lang w:val="bs-Latn-BA"/>
        </w:rPr>
        <w:t xml:space="preserve"> </w:t>
      </w:r>
      <w:r>
        <w:rPr>
          <w:lang w:val="bs-Latn-BA"/>
        </w:rPr>
        <w:t>ефикасности</w:t>
      </w:r>
      <w:r w:rsidR="00E36B14">
        <w:rPr>
          <w:lang w:val="bs-Latn-BA"/>
        </w:rPr>
        <w:t xml:space="preserve"> </w:t>
      </w:r>
      <w:r>
        <w:rPr>
          <w:lang w:val="bs-Latn-BA"/>
        </w:rPr>
        <w:t>и</w:t>
      </w:r>
      <w:r w:rsidR="00E36B14">
        <w:rPr>
          <w:lang w:val="bs-Latn-BA"/>
        </w:rPr>
        <w:t xml:space="preserve"> </w:t>
      </w:r>
      <w:r>
        <w:rPr>
          <w:lang w:val="bs-Latn-BA"/>
        </w:rPr>
        <w:t>принципима</w:t>
      </w:r>
      <w:r w:rsidR="00E36B14">
        <w:rPr>
          <w:lang w:val="bs-Latn-BA"/>
        </w:rPr>
        <w:t xml:space="preserve"> „</w:t>
      </w:r>
      <w:r>
        <w:rPr>
          <w:lang w:val="bs-Latn-BA"/>
        </w:rPr>
        <w:t>зелене</w:t>
      </w:r>
      <w:r w:rsidR="00E36B14">
        <w:rPr>
          <w:lang w:val="bs-Latn-BA"/>
        </w:rPr>
        <w:t xml:space="preserve"> </w:t>
      </w:r>
      <w:r>
        <w:rPr>
          <w:lang w:val="bs-Latn-BA"/>
        </w:rPr>
        <w:t>економије</w:t>
      </w:r>
      <w:r w:rsidR="00E36B14">
        <w:rPr>
          <w:lang w:val="bs-Latn-BA"/>
        </w:rPr>
        <w:t xml:space="preserve">“ </w:t>
      </w:r>
      <w:r>
        <w:rPr>
          <w:lang w:val="bs-Latn-BA"/>
        </w:rPr>
        <w:t>и</w:t>
      </w:r>
      <w:r w:rsidR="00E36B14">
        <w:rPr>
          <w:lang w:val="bs-Latn-BA"/>
        </w:rPr>
        <w:t xml:space="preserve"> „</w:t>
      </w:r>
      <w:r>
        <w:rPr>
          <w:lang w:val="bs-Latn-BA"/>
        </w:rPr>
        <w:t>екологизације</w:t>
      </w:r>
      <w:r w:rsidR="00E36B14">
        <w:rPr>
          <w:lang w:val="bs-Latn-BA"/>
        </w:rPr>
        <w:t>“</w:t>
      </w:r>
      <w:r w:rsidR="003547F5" w:rsidRPr="00295637">
        <w:rPr>
          <w:lang w:val="bs-Latn-BA"/>
        </w:rPr>
        <w:t>.</w:t>
      </w:r>
      <w:r w:rsidR="00BF30C3" w:rsidRPr="00295637">
        <w:rPr>
          <w:lang w:val="bs-Latn-BA"/>
        </w:rPr>
        <w:t xml:space="preserve"> </w:t>
      </w:r>
      <w:r>
        <w:rPr>
          <w:lang w:val="bs-Latn-BA"/>
        </w:rPr>
        <w:t>Удио</w:t>
      </w:r>
      <w:r w:rsidR="003547F5" w:rsidRPr="00295637">
        <w:rPr>
          <w:lang w:val="bs-Latn-BA"/>
        </w:rPr>
        <w:t xml:space="preserve"> </w:t>
      </w:r>
      <w:r>
        <w:rPr>
          <w:lang w:val="bs-Latn-BA"/>
        </w:rPr>
        <w:t>жена</w:t>
      </w:r>
      <w:r w:rsidR="003547F5" w:rsidRPr="00295637">
        <w:rPr>
          <w:lang w:val="bs-Latn-BA"/>
        </w:rPr>
        <w:t xml:space="preserve"> </w:t>
      </w:r>
      <w:r>
        <w:rPr>
          <w:lang w:val="bs-Latn-BA"/>
        </w:rPr>
        <w:t>корисница</w:t>
      </w:r>
      <w:r w:rsidR="003547F5" w:rsidRPr="00295637">
        <w:rPr>
          <w:lang w:val="bs-Latn-BA"/>
        </w:rPr>
        <w:t xml:space="preserve"> </w:t>
      </w:r>
      <w:r>
        <w:rPr>
          <w:lang w:val="bs-Latn-BA"/>
        </w:rPr>
        <w:t>наведених</w:t>
      </w:r>
      <w:r w:rsidR="003547F5" w:rsidRPr="00295637">
        <w:rPr>
          <w:lang w:val="bs-Latn-BA"/>
        </w:rPr>
        <w:t xml:space="preserve"> </w:t>
      </w:r>
      <w:r>
        <w:rPr>
          <w:lang w:val="bs-Latn-BA"/>
        </w:rPr>
        <w:t>подстицаја</w:t>
      </w:r>
      <w:r w:rsidR="003547F5" w:rsidRPr="00295637">
        <w:rPr>
          <w:lang w:val="bs-Latn-BA"/>
        </w:rPr>
        <w:t xml:space="preserve"> </w:t>
      </w:r>
      <w:r>
        <w:rPr>
          <w:lang w:val="bs-Latn-BA"/>
        </w:rPr>
        <w:t>износи</w:t>
      </w:r>
      <w:r w:rsidR="003547F5" w:rsidRPr="00295637">
        <w:rPr>
          <w:lang w:val="bs-Latn-BA"/>
        </w:rPr>
        <w:t xml:space="preserve"> </w:t>
      </w:r>
      <w:r w:rsidR="003547F5" w:rsidRPr="00295637">
        <w:rPr>
          <w:rStyle w:val="Strong"/>
          <w:b w:val="0"/>
          <w:lang w:val="bs-Latn-BA"/>
        </w:rPr>
        <w:t>11,3%</w:t>
      </w:r>
      <w:r w:rsidR="003547F5" w:rsidRPr="00FA0756">
        <w:rPr>
          <w:lang w:val="bs-Latn-BA"/>
        </w:rPr>
        <w:t>.</w:t>
      </w:r>
      <w:r w:rsidR="003547F5" w:rsidRPr="00295637">
        <w:rPr>
          <w:lang w:val="bs-Latn-BA"/>
        </w:rPr>
        <w:t xml:space="preserve"> </w:t>
      </w:r>
      <w:r>
        <w:rPr>
          <w:lang w:val="bs-Latn-BA"/>
        </w:rPr>
        <w:t>Од</w:t>
      </w:r>
      <w:r w:rsidR="003547F5" w:rsidRPr="00295637">
        <w:rPr>
          <w:lang w:val="bs-Latn-BA"/>
        </w:rPr>
        <w:t xml:space="preserve"> </w:t>
      </w:r>
      <w:r>
        <w:rPr>
          <w:lang w:val="bs-Latn-BA"/>
        </w:rPr>
        <w:t>укупно</w:t>
      </w:r>
      <w:r w:rsidR="003547F5" w:rsidRPr="00295637">
        <w:rPr>
          <w:lang w:val="bs-Latn-BA"/>
        </w:rPr>
        <w:t xml:space="preserve"> </w:t>
      </w:r>
      <w:r w:rsidR="003547F5" w:rsidRPr="00295637">
        <w:rPr>
          <w:rStyle w:val="Strong"/>
          <w:b w:val="0"/>
          <w:lang w:val="bs-Latn-BA"/>
        </w:rPr>
        <w:t xml:space="preserve">442 </w:t>
      </w:r>
      <w:r>
        <w:rPr>
          <w:rStyle w:val="Strong"/>
          <w:b w:val="0"/>
          <w:lang w:val="bs-Latn-BA"/>
        </w:rPr>
        <w:t>правна</w:t>
      </w:r>
      <w:r w:rsidR="003547F5" w:rsidRPr="00295637">
        <w:rPr>
          <w:rStyle w:val="Strong"/>
          <w:b w:val="0"/>
          <w:lang w:val="bs-Latn-BA"/>
        </w:rPr>
        <w:t xml:space="preserve"> </w:t>
      </w:r>
      <w:r>
        <w:rPr>
          <w:rStyle w:val="Strong"/>
          <w:b w:val="0"/>
          <w:lang w:val="bs-Latn-BA"/>
        </w:rPr>
        <w:t>субјекта</w:t>
      </w:r>
      <w:r w:rsidR="003547F5" w:rsidRPr="00295637">
        <w:rPr>
          <w:lang w:val="bs-Latn-BA"/>
        </w:rPr>
        <w:t xml:space="preserve">, </w:t>
      </w:r>
      <w:r>
        <w:rPr>
          <w:lang w:val="bs-Latn-BA"/>
        </w:rPr>
        <w:t>њих</w:t>
      </w:r>
      <w:r w:rsidR="003547F5" w:rsidRPr="00295637">
        <w:rPr>
          <w:lang w:val="bs-Latn-BA"/>
        </w:rPr>
        <w:t xml:space="preserve"> </w:t>
      </w:r>
      <w:r w:rsidR="003547F5" w:rsidRPr="00295637">
        <w:rPr>
          <w:rStyle w:val="Strong"/>
          <w:b w:val="0"/>
          <w:lang w:val="bs-Latn-BA"/>
        </w:rPr>
        <w:t>50</w:t>
      </w:r>
      <w:r w:rsidR="003547F5" w:rsidRPr="00295637">
        <w:rPr>
          <w:lang w:val="bs-Latn-BA"/>
        </w:rPr>
        <w:t xml:space="preserve"> </w:t>
      </w:r>
      <w:r>
        <w:rPr>
          <w:lang w:val="bs-Latn-BA"/>
        </w:rPr>
        <w:t>је</w:t>
      </w:r>
      <w:r w:rsidR="003547F5" w:rsidRPr="00295637">
        <w:rPr>
          <w:lang w:val="bs-Latn-BA"/>
        </w:rPr>
        <w:t xml:space="preserve"> </w:t>
      </w:r>
      <w:r>
        <w:rPr>
          <w:lang w:val="bs-Latn-BA"/>
        </w:rPr>
        <w:t>у</w:t>
      </w:r>
      <w:r w:rsidR="003547F5" w:rsidRPr="00295637">
        <w:rPr>
          <w:lang w:val="bs-Latn-BA"/>
        </w:rPr>
        <w:t xml:space="preserve"> </w:t>
      </w:r>
      <w:r>
        <w:rPr>
          <w:lang w:val="bs-Latn-BA"/>
        </w:rPr>
        <w:t>власништву</w:t>
      </w:r>
      <w:r w:rsidR="003547F5" w:rsidRPr="00295637">
        <w:rPr>
          <w:lang w:val="bs-Latn-BA"/>
        </w:rPr>
        <w:t xml:space="preserve"> </w:t>
      </w:r>
      <w:r>
        <w:rPr>
          <w:lang w:val="bs-Latn-BA"/>
        </w:rPr>
        <w:t>жена</w:t>
      </w:r>
      <w:r w:rsidR="003547F5" w:rsidRPr="00295637">
        <w:rPr>
          <w:lang w:val="bs-Latn-BA"/>
        </w:rPr>
        <w:t xml:space="preserve">. </w:t>
      </w:r>
      <w:r>
        <w:rPr>
          <w:lang w:val="bs-Latn-BA"/>
        </w:rPr>
        <w:t>Од</w:t>
      </w:r>
      <w:r w:rsidR="003547F5" w:rsidRPr="00295637">
        <w:rPr>
          <w:lang w:val="bs-Latn-BA"/>
        </w:rPr>
        <w:t xml:space="preserve"> </w:t>
      </w:r>
      <w:r w:rsidR="003547F5" w:rsidRPr="00295637">
        <w:rPr>
          <w:rStyle w:val="Strong"/>
          <w:b w:val="0"/>
          <w:lang w:val="bs-Latn-BA"/>
        </w:rPr>
        <w:t xml:space="preserve">120 </w:t>
      </w:r>
      <w:r>
        <w:rPr>
          <w:rStyle w:val="Strong"/>
          <w:b w:val="0"/>
          <w:lang w:val="bs-Latn-BA"/>
        </w:rPr>
        <w:t>новооснованих</w:t>
      </w:r>
      <w:r w:rsidR="003547F5" w:rsidRPr="00295637">
        <w:rPr>
          <w:rStyle w:val="Strong"/>
          <w:b w:val="0"/>
          <w:lang w:val="bs-Latn-BA"/>
        </w:rPr>
        <w:t xml:space="preserve"> </w:t>
      </w:r>
      <w:r>
        <w:rPr>
          <w:rStyle w:val="Strong"/>
          <w:b w:val="0"/>
          <w:lang w:val="bs-Latn-BA"/>
        </w:rPr>
        <w:t>пословних</w:t>
      </w:r>
      <w:r w:rsidR="003547F5" w:rsidRPr="00295637">
        <w:rPr>
          <w:rStyle w:val="Strong"/>
          <w:b w:val="0"/>
          <w:lang w:val="bs-Latn-BA"/>
        </w:rPr>
        <w:t xml:space="preserve"> </w:t>
      </w:r>
      <w:r>
        <w:rPr>
          <w:rStyle w:val="Strong"/>
          <w:b w:val="0"/>
          <w:lang w:val="bs-Latn-BA"/>
        </w:rPr>
        <w:t>субјеката</w:t>
      </w:r>
      <w:r w:rsidR="003547F5" w:rsidRPr="00295637">
        <w:rPr>
          <w:lang w:val="bs-Latn-BA"/>
        </w:rPr>
        <w:t xml:space="preserve"> </w:t>
      </w:r>
      <w:r>
        <w:rPr>
          <w:lang w:val="bs-Latn-BA"/>
        </w:rPr>
        <w:t>корисника</w:t>
      </w:r>
      <w:r w:rsidR="003547F5" w:rsidRPr="00295637">
        <w:rPr>
          <w:lang w:val="bs-Latn-BA"/>
        </w:rPr>
        <w:t xml:space="preserve"> </w:t>
      </w:r>
      <w:r>
        <w:rPr>
          <w:lang w:val="bs-Latn-BA"/>
        </w:rPr>
        <w:t>подстицаја</w:t>
      </w:r>
      <w:r w:rsidR="003547F5" w:rsidRPr="00295637">
        <w:rPr>
          <w:lang w:val="bs-Latn-BA"/>
        </w:rPr>
        <w:t xml:space="preserve">, </w:t>
      </w:r>
      <w:r>
        <w:rPr>
          <w:lang w:val="bs-Latn-BA"/>
        </w:rPr>
        <w:t>њих</w:t>
      </w:r>
      <w:r w:rsidR="003547F5" w:rsidRPr="00295637">
        <w:rPr>
          <w:lang w:val="bs-Latn-BA"/>
        </w:rPr>
        <w:t xml:space="preserve"> </w:t>
      </w:r>
      <w:r w:rsidR="003547F5" w:rsidRPr="00295637">
        <w:rPr>
          <w:rStyle w:val="Strong"/>
          <w:b w:val="0"/>
          <w:lang w:val="bs-Latn-BA"/>
        </w:rPr>
        <w:t>13</w:t>
      </w:r>
      <w:r w:rsidR="003547F5" w:rsidRPr="00295637">
        <w:rPr>
          <w:lang w:val="bs-Latn-BA"/>
        </w:rPr>
        <w:t xml:space="preserve"> </w:t>
      </w:r>
      <w:r>
        <w:rPr>
          <w:lang w:val="bs-Latn-BA"/>
        </w:rPr>
        <w:t>је</w:t>
      </w:r>
      <w:r w:rsidR="003547F5" w:rsidRPr="00295637">
        <w:rPr>
          <w:lang w:val="bs-Latn-BA"/>
        </w:rPr>
        <w:t xml:space="preserve"> </w:t>
      </w:r>
      <w:r>
        <w:rPr>
          <w:lang w:val="bs-Latn-BA"/>
        </w:rPr>
        <w:t>у</w:t>
      </w:r>
      <w:r w:rsidR="003547F5" w:rsidRPr="00295637">
        <w:rPr>
          <w:lang w:val="bs-Latn-BA"/>
        </w:rPr>
        <w:t xml:space="preserve"> </w:t>
      </w:r>
      <w:r>
        <w:rPr>
          <w:lang w:val="bs-Latn-BA"/>
        </w:rPr>
        <w:t>власништву</w:t>
      </w:r>
      <w:r w:rsidR="003547F5" w:rsidRPr="00295637">
        <w:rPr>
          <w:lang w:val="bs-Latn-BA"/>
        </w:rPr>
        <w:t xml:space="preserve"> </w:t>
      </w:r>
      <w:r>
        <w:rPr>
          <w:lang w:val="bs-Latn-BA"/>
        </w:rPr>
        <w:t>жена</w:t>
      </w:r>
      <w:r w:rsidR="003547F5" w:rsidRPr="00295637">
        <w:rPr>
          <w:lang w:val="bs-Latn-BA"/>
        </w:rPr>
        <w:t xml:space="preserve">, </w:t>
      </w:r>
      <w:r>
        <w:rPr>
          <w:lang w:val="bs-Latn-BA"/>
        </w:rPr>
        <w:t>што</w:t>
      </w:r>
      <w:r w:rsidR="003547F5" w:rsidRPr="00295637">
        <w:rPr>
          <w:lang w:val="bs-Latn-BA"/>
        </w:rPr>
        <w:t xml:space="preserve"> </w:t>
      </w:r>
      <w:r>
        <w:rPr>
          <w:lang w:val="bs-Latn-BA"/>
        </w:rPr>
        <w:t>чини</w:t>
      </w:r>
      <w:r w:rsidR="003547F5" w:rsidRPr="00295637">
        <w:rPr>
          <w:lang w:val="bs-Latn-BA"/>
        </w:rPr>
        <w:t xml:space="preserve"> </w:t>
      </w:r>
      <w:r w:rsidR="003547F5" w:rsidRPr="00295637">
        <w:rPr>
          <w:rStyle w:val="Strong"/>
          <w:b w:val="0"/>
          <w:lang w:val="bs-Latn-BA"/>
        </w:rPr>
        <w:t>10,8%</w:t>
      </w:r>
      <w:r w:rsidR="003547F5" w:rsidRPr="00295637">
        <w:rPr>
          <w:b/>
          <w:lang w:val="bs-Latn-BA"/>
        </w:rPr>
        <w:t>.</w:t>
      </w:r>
    </w:p>
    <w:p w:rsidR="00A92736" w:rsidRPr="00295637" w:rsidRDefault="00A92736" w:rsidP="0086268D">
      <w:pPr>
        <w:pStyle w:val="Normal1"/>
      </w:pPr>
    </w:p>
    <w:p w:rsidR="005B5F83" w:rsidRPr="00295637" w:rsidRDefault="00C6214E" w:rsidP="0086268D">
      <w:pPr>
        <w:pStyle w:val="Normal1"/>
        <w:jc w:val="both"/>
        <w:rPr>
          <w:rFonts w:ascii="Times New Roman" w:hAnsi="Times New Roman"/>
        </w:rPr>
      </w:pPr>
      <w:r>
        <w:rPr>
          <w:rFonts w:ascii="Times New Roman" w:hAnsi="Times New Roman"/>
        </w:rPr>
        <w:t>Посебан</w:t>
      </w:r>
      <w:r w:rsidR="005B5F83" w:rsidRPr="00295637">
        <w:rPr>
          <w:rFonts w:ascii="Times New Roman" w:hAnsi="Times New Roman"/>
        </w:rPr>
        <w:t xml:space="preserve"> </w:t>
      </w:r>
      <w:r>
        <w:rPr>
          <w:rFonts w:ascii="Times New Roman" w:hAnsi="Times New Roman"/>
        </w:rPr>
        <w:t>нагласак</w:t>
      </w:r>
      <w:r w:rsidR="005B5F83" w:rsidRPr="00295637">
        <w:rPr>
          <w:rFonts w:ascii="Times New Roman" w:hAnsi="Times New Roman"/>
        </w:rPr>
        <w:t xml:space="preserve"> </w:t>
      </w:r>
      <w:r>
        <w:rPr>
          <w:rFonts w:ascii="Times New Roman" w:hAnsi="Times New Roman"/>
        </w:rPr>
        <w:t>стављен</w:t>
      </w:r>
      <w:r w:rsidR="005B5F83" w:rsidRPr="00295637">
        <w:rPr>
          <w:rFonts w:ascii="Times New Roman" w:hAnsi="Times New Roman"/>
        </w:rPr>
        <w:t xml:space="preserve"> </w:t>
      </w:r>
      <w:r>
        <w:rPr>
          <w:rFonts w:ascii="Times New Roman" w:hAnsi="Times New Roman"/>
        </w:rPr>
        <w:t>је</w:t>
      </w:r>
      <w:r w:rsidR="005B5F83" w:rsidRPr="00295637">
        <w:rPr>
          <w:rFonts w:ascii="Times New Roman" w:hAnsi="Times New Roman"/>
        </w:rPr>
        <w:t xml:space="preserve"> </w:t>
      </w:r>
      <w:r>
        <w:rPr>
          <w:rFonts w:ascii="Times New Roman" w:hAnsi="Times New Roman"/>
        </w:rPr>
        <w:t>на</w:t>
      </w:r>
      <w:r w:rsidR="005B5F83" w:rsidRPr="00295637">
        <w:rPr>
          <w:rFonts w:ascii="Times New Roman" w:hAnsi="Times New Roman"/>
        </w:rPr>
        <w:t xml:space="preserve"> </w:t>
      </w:r>
      <w:r>
        <w:rPr>
          <w:rFonts w:ascii="Times New Roman" w:hAnsi="Times New Roman"/>
        </w:rPr>
        <w:t>сарадњу</w:t>
      </w:r>
      <w:r w:rsidR="00FA0756">
        <w:rPr>
          <w:rFonts w:ascii="Times New Roman" w:hAnsi="Times New Roman"/>
        </w:rPr>
        <w:t xml:space="preserve"> </w:t>
      </w:r>
      <w:r>
        <w:rPr>
          <w:rFonts w:ascii="Times New Roman" w:hAnsi="Times New Roman"/>
        </w:rPr>
        <w:t>са</w:t>
      </w:r>
      <w:r w:rsidR="005B5F83" w:rsidRPr="00295637">
        <w:rPr>
          <w:rFonts w:ascii="Times New Roman" w:hAnsi="Times New Roman"/>
        </w:rPr>
        <w:t xml:space="preserve"> </w:t>
      </w:r>
      <w:r>
        <w:rPr>
          <w:rStyle w:val="Strong"/>
          <w:rFonts w:ascii="Times New Roman" w:hAnsi="Times New Roman"/>
          <w:b w:val="0"/>
          <w:lang w:val="bs-Latn-BA"/>
        </w:rPr>
        <w:t>УН</w:t>
      </w:r>
      <w:r w:rsidR="005B5F83" w:rsidRPr="00295637">
        <w:rPr>
          <w:rStyle w:val="Strong"/>
          <w:rFonts w:ascii="Times New Roman" w:hAnsi="Times New Roman"/>
          <w:b w:val="0"/>
          <w:lang w:val="bs-Latn-BA"/>
        </w:rPr>
        <w:t xml:space="preserve"> </w:t>
      </w:r>
      <w:r>
        <w:rPr>
          <w:rStyle w:val="Strong"/>
          <w:rFonts w:ascii="Times New Roman" w:hAnsi="Times New Roman"/>
          <w:b w:val="0"/>
          <w:lang w:val="bs-Latn-BA"/>
        </w:rPr>
        <w:t>агенцијама</w:t>
      </w:r>
      <w:r w:rsidR="005B5F83" w:rsidRPr="00295637">
        <w:rPr>
          <w:rStyle w:val="Strong"/>
          <w:rFonts w:ascii="Times New Roman" w:hAnsi="Times New Roman"/>
          <w:b w:val="0"/>
          <w:lang w:val="bs-Latn-BA"/>
        </w:rPr>
        <w:t xml:space="preserve"> (</w:t>
      </w:r>
      <w:r w:rsidR="00216930" w:rsidRPr="00216930">
        <w:rPr>
          <w:rFonts w:ascii="Times New Roman" w:hAnsi="Times New Roman"/>
          <w:bCs/>
          <w:i/>
          <w:lang w:val="bs-Latn-BA"/>
        </w:rPr>
        <w:t>UN Women, UNDP, FAO</w:t>
      </w:r>
      <w:r w:rsidR="005B5F83" w:rsidRPr="00216930">
        <w:rPr>
          <w:rStyle w:val="Strong"/>
          <w:rFonts w:ascii="Times New Roman" w:hAnsi="Times New Roman"/>
          <w:b w:val="0"/>
          <w:lang w:val="bs-Latn-BA"/>
        </w:rPr>
        <w:t>)</w:t>
      </w:r>
      <w:r w:rsidR="005B5F83" w:rsidRPr="00216930">
        <w:rPr>
          <w:rFonts w:ascii="Times New Roman" w:hAnsi="Times New Roman"/>
          <w:b/>
        </w:rPr>
        <w:t xml:space="preserve"> </w:t>
      </w:r>
      <w:r w:rsidRPr="00216930">
        <w:rPr>
          <w:rFonts w:ascii="Times New Roman" w:hAnsi="Times New Roman"/>
        </w:rPr>
        <w:t>кроз</w:t>
      </w:r>
      <w:r w:rsidR="005B5F83" w:rsidRPr="00295637">
        <w:rPr>
          <w:rFonts w:ascii="Times New Roman" w:hAnsi="Times New Roman"/>
          <w:b/>
        </w:rPr>
        <w:t xml:space="preserve"> </w:t>
      </w:r>
      <w:r>
        <w:rPr>
          <w:rStyle w:val="Strong"/>
          <w:rFonts w:ascii="Times New Roman" w:hAnsi="Times New Roman"/>
          <w:b w:val="0"/>
          <w:lang w:val="bs-Latn-BA"/>
        </w:rPr>
        <w:t>пројекат</w:t>
      </w:r>
      <w:r w:rsidR="005B5F83" w:rsidRPr="00295637">
        <w:rPr>
          <w:rStyle w:val="Strong"/>
          <w:rFonts w:ascii="Times New Roman" w:hAnsi="Times New Roman"/>
          <w:b w:val="0"/>
          <w:lang w:val="bs-Latn-BA"/>
        </w:rPr>
        <w:t xml:space="preserve"> „</w:t>
      </w:r>
      <w:r>
        <w:rPr>
          <w:rFonts w:ascii="Times New Roman" w:hAnsi="Times New Roman"/>
          <w:lang w:val="bs-Latn-BA"/>
        </w:rPr>
        <w:t>Жене</w:t>
      </w:r>
      <w:r w:rsidR="000B61D0" w:rsidRPr="00295637">
        <w:rPr>
          <w:rFonts w:ascii="Times New Roman" w:hAnsi="Times New Roman"/>
          <w:lang w:val="bs-Latn-BA"/>
        </w:rPr>
        <w:t xml:space="preserve"> </w:t>
      </w:r>
      <w:r>
        <w:rPr>
          <w:rFonts w:ascii="Times New Roman" w:hAnsi="Times New Roman"/>
          <w:lang w:val="bs-Latn-BA"/>
        </w:rPr>
        <w:t>покретачице</w:t>
      </w:r>
      <w:r w:rsidR="000B61D0" w:rsidRPr="00295637">
        <w:rPr>
          <w:rFonts w:ascii="Times New Roman" w:hAnsi="Times New Roman"/>
          <w:lang w:val="bs-Latn-BA"/>
        </w:rPr>
        <w:t xml:space="preserve"> </w:t>
      </w:r>
      <w:r>
        <w:rPr>
          <w:rFonts w:ascii="Times New Roman" w:hAnsi="Times New Roman"/>
          <w:lang w:val="bs-Latn-BA"/>
        </w:rPr>
        <w:t>развоја</w:t>
      </w:r>
      <w:r w:rsidR="000B61D0" w:rsidRPr="00295637">
        <w:rPr>
          <w:rFonts w:ascii="Times New Roman" w:hAnsi="Times New Roman"/>
          <w:lang w:val="bs-Latn-BA"/>
        </w:rPr>
        <w:t xml:space="preserve"> </w:t>
      </w:r>
      <w:r>
        <w:rPr>
          <w:rFonts w:ascii="Times New Roman" w:hAnsi="Times New Roman"/>
          <w:lang w:val="bs-Latn-BA"/>
        </w:rPr>
        <w:t>у</w:t>
      </w:r>
      <w:r w:rsidR="000B61D0" w:rsidRPr="00295637">
        <w:rPr>
          <w:rFonts w:ascii="Times New Roman" w:hAnsi="Times New Roman"/>
          <w:lang w:val="bs-Latn-BA"/>
        </w:rPr>
        <w:t xml:space="preserve"> </w:t>
      </w:r>
      <w:r>
        <w:rPr>
          <w:rFonts w:ascii="Times New Roman" w:hAnsi="Times New Roman"/>
          <w:lang w:val="bs-Latn-BA"/>
        </w:rPr>
        <w:t>пољопривреди</w:t>
      </w:r>
      <w:r w:rsidR="000B61D0" w:rsidRPr="00295637">
        <w:rPr>
          <w:rFonts w:ascii="Times New Roman" w:hAnsi="Times New Roman"/>
          <w:lang w:val="bs-Latn-BA"/>
        </w:rPr>
        <w:t xml:space="preserve"> </w:t>
      </w:r>
      <w:r>
        <w:rPr>
          <w:rFonts w:ascii="Times New Roman" w:hAnsi="Times New Roman"/>
          <w:lang w:val="bs-Latn-BA"/>
        </w:rPr>
        <w:t>и</w:t>
      </w:r>
      <w:r w:rsidR="000B61D0" w:rsidRPr="00295637">
        <w:rPr>
          <w:rFonts w:ascii="Times New Roman" w:hAnsi="Times New Roman"/>
          <w:lang w:val="bs-Latn-BA"/>
        </w:rPr>
        <w:t xml:space="preserve"> </w:t>
      </w:r>
      <w:r>
        <w:rPr>
          <w:rFonts w:ascii="Times New Roman" w:hAnsi="Times New Roman"/>
          <w:lang w:val="bs-Latn-BA"/>
        </w:rPr>
        <w:t>у</w:t>
      </w:r>
      <w:r w:rsidR="000B61D0" w:rsidRPr="00295637">
        <w:rPr>
          <w:rFonts w:ascii="Times New Roman" w:hAnsi="Times New Roman"/>
          <w:lang w:val="bs-Latn-BA"/>
        </w:rPr>
        <w:t xml:space="preserve"> </w:t>
      </w:r>
      <w:r>
        <w:rPr>
          <w:rFonts w:ascii="Times New Roman" w:hAnsi="Times New Roman"/>
          <w:lang w:val="bs-Latn-BA"/>
        </w:rPr>
        <w:t>руралним</w:t>
      </w:r>
      <w:r w:rsidR="000B61D0" w:rsidRPr="00295637">
        <w:rPr>
          <w:rFonts w:ascii="Times New Roman" w:hAnsi="Times New Roman"/>
          <w:lang w:val="bs-Latn-BA"/>
        </w:rPr>
        <w:t xml:space="preserve"> </w:t>
      </w:r>
      <w:r>
        <w:rPr>
          <w:rFonts w:ascii="Times New Roman" w:hAnsi="Times New Roman"/>
          <w:lang w:val="bs-Latn-BA"/>
        </w:rPr>
        <w:t>срединама</w:t>
      </w:r>
      <w:r w:rsidR="005B5F83" w:rsidRPr="00295637">
        <w:rPr>
          <w:rStyle w:val="Strong"/>
          <w:rFonts w:ascii="Times New Roman" w:hAnsi="Times New Roman"/>
          <w:b w:val="0"/>
          <w:lang w:val="bs-Latn-BA"/>
        </w:rPr>
        <w:t>“</w:t>
      </w:r>
      <w:r w:rsidR="005B5F83" w:rsidRPr="00FA0756">
        <w:rPr>
          <w:rFonts w:ascii="Times New Roman" w:hAnsi="Times New Roman"/>
        </w:rPr>
        <w:t>,</w:t>
      </w:r>
      <w:r w:rsidR="005B5F83" w:rsidRPr="00295637">
        <w:rPr>
          <w:rFonts w:ascii="Times New Roman" w:hAnsi="Times New Roman"/>
        </w:rPr>
        <w:t xml:space="preserve"> </w:t>
      </w:r>
      <w:r>
        <w:rPr>
          <w:rFonts w:ascii="Times New Roman" w:hAnsi="Times New Roman"/>
        </w:rPr>
        <w:t>који</w:t>
      </w:r>
      <w:r w:rsidR="005B5F83" w:rsidRPr="00295637">
        <w:rPr>
          <w:rFonts w:ascii="Times New Roman" w:hAnsi="Times New Roman"/>
        </w:rPr>
        <w:t xml:space="preserve"> </w:t>
      </w:r>
      <w:r>
        <w:rPr>
          <w:rFonts w:ascii="Times New Roman" w:hAnsi="Times New Roman"/>
        </w:rPr>
        <w:t>финансира</w:t>
      </w:r>
      <w:r w:rsidR="005B5F83" w:rsidRPr="00295637">
        <w:rPr>
          <w:rFonts w:ascii="Times New Roman" w:hAnsi="Times New Roman"/>
        </w:rPr>
        <w:t xml:space="preserve"> </w:t>
      </w:r>
      <w:r>
        <w:rPr>
          <w:rFonts w:ascii="Times New Roman" w:hAnsi="Times New Roman"/>
        </w:rPr>
        <w:t>Шведска</w:t>
      </w:r>
      <w:r w:rsidR="005B5F83" w:rsidRPr="00295637">
        <w:rPr>
          <w:rFonts w:ascii="Times New Roman" w:hAnsi="Times New Roman"/>
        </w:rPr>
        <w:t xml:space="preserve"> </w:t>
      </w:r>
      <w:r>
        <w:rPr>
          <w:rFonts w:ascii="Times New Roman" w:hAnsi="Times New Roman"/>
        </w:rPr>
        <w:t>агенција</w:t>
      </w:r>
      <w:r w:rsidR="005B5F83" w:rsidRPr="00295637">
        <w:rPr>
          <w:rFonts w:ascii="Times New Roman" w:hAnsi="Times New Roman"/>
        </w:rPr>
        <w:t xml:space="preserve"> </w:t>
      </w:r>
      <w:r>
        <w:rPr>
          <w:rFonts w:ascii="Times New Roman" w:hAnsi="Times New Roman"/>
        </w:rPr>
        <w:t>за</w:t>
      </w:r>
      <w:r w:rsidR="005B5F83" w:rsidRPr="00295637">
        <w:rPr>
          <w:rFonts w:ascii="Times New Roman" w:hAnsi="Times New Roman"/>
        </w:rPr>
        <w:t xml:space="preserve"> </w:t>
      </w:r>
      <w:r>
        <w:rPr>
          <w:rFonts w:ascii="Times New Roman" w:hAnsi="Times New Roman"/>
        </w:rPr>
        <w:t>међународни</w:t>
      </w:r>
      <w:r w:rsidR="005B5F83" w:rsidRPr="00295637">
        <w:rPr>
          <w:rFonts w:ascii="Times New Roman" w:hAnsi="Times New Roman"/>
        </w:rPr>
        <w:t xml:space="preserve"> </w:t>
      </w:r>
      <w:r>
        <w:rPr>
          <w:rFonts w:ascii="Times New Roman" w:hAnsi="Times New Roman"/>
        </w:rPr>
        <w:t>развој</w:t>
      </w:r>
      <w:r w:rsidR="00FA0756">
        <w:rPr>
          <w:rFonts w:ascii="Times New Roman" w:hAnsi="Times New Roman"/>
        </w:rPr>
        <w:t xml:space="preserve"> (</w:t>
      </w:r>
      <w:r w:rsidR="00B97A56">
        <w:rPr>
          <w:rFonts w:ascii="Times New Roman" w:hAnsi="Times New Roman"/>
          <w:i/>
        </w:rPr>
        <w:t>SIDA</w:t>
      </w:r>
      <w:r w:rsidR="00FA0756">
        <w:rPr>
          <w:rFonts w:ascii="Times New Roman" w:hAnsi="Times New Roman"/>
        </w:rPr>
        <w:t xml:space="preserve">). </w:t>
      </w:r>
      <w:r>
        <w:rPr>
          <w:rFonts w:ascii="Times New Roman" w:hAnsi="Times New Roman"/>
        </w:rPr>
        <w:t>Кроз</w:t>
      </w:r>
      <w:r w:rsidR="00FA0756">
        <w:rPr>
          <w:rFonts w:ascii="Times New Roman" w:hAnsi="Times New Roman"/>
        </w:rPr>
        <w:t xml:space="preserve"> </w:t>
      </w:r>
      <w:r>
        <w:rPr>
          <w:rFonts w:ascii="Times New Roman" w:hAnsi="Times New Roman"/>
        </w:rPr>
        <w:t>овај</w:t>
      </w:r>
      <w:r w:rsidR="00FA0756">
        <w:rPr>
          <w:rFonts w:ascii="Times New Roman" w:hAnsi="Times New Roman"/>
        </w:rPr>
        <w:t xml:space="preserve"> </w:t>
      </w:r>
      <w:r>
        <w:rPr>
          <w:rFonts w:ascii="Times New Roman" w:hAnsi="Times New Roman"/>
        </w:rPr>
        <w:t>пројекат</w:t>
      </w:r>
      <w:r w:rsidR="005B5F83" w:rsidRPr="00295637">
        <w:rPr>
          <w:rFonts w:ascii="Times New Roman" w:hAnsi="Times New Roman"/>
        </w:rPr>
        <w:t xml:space="preserve"> </w:t>
      </w:r>
      <w:r>
        <w:rPr>
          <w:rFonts w:ascii="Times New Roman" w:hAnsi="Times New Roman"/>
        </w:rPr>
        <w:t>јачају</w:t>
      </w:r>
      <w:r w:rsidR="005B5F83" w:rsidRPr="00295637">
        <w:rPr>
          <w:rFonts w:ascii="Times New Roman" w:hAnsi="Times New Roman"/>
        </w:rPr>
        <w:t xml:space="preserve"> </w:t>
      </w:r>
      <w:r>
        <w:rPr>
          <w:rFonts w:ascii="Times New Roman" w:hAnsi="Times New Roman"/>
        </w:rPr>
        <w:t>се</w:t>
      </w:r>
      <w:r w:rsidR="005B5F83" w:rsidRPr="00295637">
        <w:rPr>
          <w:rFonts w:ascii="Times New Roman" w:hAnsi="Times New Roman"/>
        </w:rPr>
        <w:t xml:space="preserve"> </w:t>
      </w:r>
      <w:r>
        <w:rPr>
          <w:rFonts w:ascii="Times New Roman" w:hAnsi="Times New Roman"/>
        </w:rPr>
        <w:t>капацитети</w:t>
      </w:r>
      <w:r w:rsidR="005B5F83" w:rsidRPr="00295637">
        <w:rPr>
          <w:rFonts w:ascii="Times New Roman" w:hAnsi="Times New Roman"/>
        </w:rPr>
        <w:t xml:space="preserve"> </w:t>
      </w:r>
      <w:r>
        <w:rPr>
          <w:rStyle w:val="Strong"/>
          <w:rFonts w:ascii="Times New Roman" w:hAnsi="Times New Roman"/>
          <w:b w:val="0"/>
          <w:lang w:val="bs-Latn-BA"/>
        </w:rPr>
        <w:t>женског</w:t>
      </w:r>
      <w:r w:rsidR="005B5F83" w:rsidRPr="00295637">
        <w:rPr>
          <w:rStyle w:val="Strong"/>
          <w:rFonts w:ascii="Times New Roman" w:hAnsi="Times New Roman"/>
          <w:b w:val="0"/>
          <w:lang w:val="bs-Latn-BA"/>
        </w:rPr>
        <w:t xml:space="preserve"> </w:t>
      </w:r>
      <w:r>
        <w:rPr>
          <w:rStyle w:val="Strong"/>
          <w:rFonts w:ascii="Times New Roman" w:hAnsi="Times New Roman"/>
          <w:b w:val="0"/>
          <w:lang w:val="bs-Latn-BA"/>
        </w:rPr>
        <w:t>предузетништва</w:t>
      </w:r>
      <w:r w:rsidR="005B5F83" w:rsidRPr="00295637">
        <w:rPr>
          <w:rStyle w:val="Strong"/>
          <w:rFonts w:ascii="Times New Roman" w:hAnsi="Times New Roman"/>
          <w:b w:val="0"/>
          <w:lang w:val="bs-Latn-BA"/>
        </w:rPr>
        <w:t xml:space="preserve"> </w:t>
      </w:r>
      <w:r>
        <w:rPr>
          <w:rStyle w:val="Strong"/>
          <w:rFonts w:ascii="Times New Roman" w:hAnsi="Times New Roman"/>
          <w:b w:val="0"/>
          <w:lang w:val="bs-Latn-BA"/>
        </w:rPr>
        <w:t>у</w:t>
      </w:r>
      <w:r w:rsidR="005B5F83" w:rsidRPr="00295637">
        <w:rPr>
          <w:rStyle w:val="Strong"/>
          <w:rFonts w:ascii="Times New Roman" w:hAnsi="Times New Roman"/>
          <w:b w:val="0"/>
          <w:lang w:val="bs-Latn-BA"/>
        </w:rPr>
        <w:t xml:space="preserve"> </w:t>
      </w:r>
      <w:r>
        <w:rPr>
          <w:rStyle w:val="Strong"/>
          <w:rFonts w:ascii="Times New Roman" w:hAnsi="Times New Roman"/>
          <w:b w:val="0"/>
          <w:lang w:val="bs-Latn-BA"/>
        </w:rPr>
        <w:t>руралним</w:t>
      </w:r>
      <w:r w:rsidR="005B5F83" w:rsidRPr="00295637">
        <w:rPr>
          <w:rStyle w:val="Strong"/>
          <w:rFonts w:ascii="Times New Roman" w:hAnsi="Times New Roman"/>
          <w:b w:val="0"/>
          <w:lang w:val="bs-Latn-BA"/>
        </w:rPr>
        <w:t xml:space="preserve"> </w:t>
      </w:r>
      <w:r>
        <w:rPr>
          <w:rStyle w:val="Strong"/>
          <w:rFonts w:ascii="Times New Roman" w:hAnsi="Times New Roman"/>
          <w:b w:val="0"/>
          <w:lang w:val="bs-Latn-BA"/>
        </w:rPr>
        <w:t>областима</w:t>
      </w:r>
      <w:r w:rsidR="005B5F83" w:rsidRPr="00295637">
        <w:rPr>
          <w:rFonts w:ascii="Times New Roman" w:hAnsi="Times New Roman"/>
        </w:rPr>
        <w:t xml:space="preserve"> </w:t>
      </w:r>
      <w:r>
        <w:rPr>
          <w:rFonts w:ascii="Times New Roman" w:hAnsi="Times New Roman"/>
        </w:rPr>
        <w:t>и</w:t>
      </w:r>
      <w:r w:rsidR="005B5F83" w:rsidRPr="00295637">
        <w:rPr>
          <w:rFonts w:ascii="Times New Roman" w:hAnsi="Times New Roman"/>
        </w:rPr>
        <w:t xml:space="preserve"> </w:t>
      </w:r>
      <w:r>
        <w:rPr>
          <w:rFonts w:ascii="Times New Roman" w:hAnsi="Times New Roman"/>
        </w:rPr>
        <w:t>оснажују</w:t>
      </w:r>
      <w:r w:rsidR="005B5F83" w:rsidRPr="00295637">
        <w:rPr>
          <w:rFonts w:ascii="Times New Roman" w:hAnsi="Times New Roman"/>
        </w:rPr>
        <w:t xml:space="preserve"> </w:t>
      </w:r>
      <w:r>
        <w:rPr>
          <w:rFonts w:ascii="Times New Roman" w:hAnsi="Times New Roman"/>
        </w:rPr>
        <w:t>економске</w:t>
      </w:r>
      <w:r w:rsidR="005B5F83" w:rsidRPr="00295637">
        <w:rPr>
          <w:rFonts w:ascii="Times New Roman" w:hAnsi="Times New Roman"/>
        </w:rPr>
        <w:t xml:space="preserve"> </w:t>
      </w:r>
      <w:r>
        <w:rPr>
          <w:rFonts w:ascii="Times New Roman" w:hAnsi="Times New Roman"/>
        </w:rPr>
        <w:t>прилике</w:t>
      </w:r>
      <w:r w:rsidR="005B5F83" w:rsidRPr="00295637">
        <w:rPr>
          <w:rFonts w:ascii="Times New Roman" w:hAnsi="Times New Roman"/>
        </w:rPr>
        <w:t xml:space="preserve"> </w:t>
      </w:r>
      <w:r>
        <w:rPr>
          <w:rFonts w:ascii="Times New Roman" w:hAnsi="Times New Roman"/>
        </w:rPr>
        <w:t>за</w:t>
      </w:r>
      <w:r w:rsidR="005B5F83" w:rsidRPr="00295637">
        <w:rPr>
          <w:rFonts w:ascii="Times New Roman" w:hAnsi="Times New Roman"/>
        </w:rPr>
        <w:t xml:space="preserve"> </w:t>
      </w:r>
      <w:r>
        <w:rPr>
          <w:rFonts w:ascii="Times New Roman" w:hAnsi="Times New Roman"/>
        </w:rPr>
        <w:t>жене</w:t>
      </w:r>
      <w:r w:rsidR="005B5F83" w:rsidRPr="00295637">
        <w:rPr>
          <w:rFonts w:ascii="Times New Roman" w:hAnsi="Times New Roman"/>
        </w:rPr>
        <w:t xml:space="preserve"> </w:t>
      </w:r>
      <w:r>
        <w:rPr>
          <w:rFonts w:ascii="Times New Roman" w:hAnsi="Times New Roman"/>
        </w:rPr>
        <w:t>у</w:t>
      </w:r>
      <w:r w:rsidR="005B5F83" w:rsidRPr="00295637">
        <w:rPr>
          <w:rFonts w:ascii="Times New Roman" w:hAnsi="Times New Roman"/>
        </w:rPr>
        <w:t xml:space="preserve"> </w:t>
      </w:r>
      <w:r>
        <w:rPr>
          <w:rFonts w:ascii="Times New Roman" w:hAnsi="Times New Roman"/>
        </w:rPr>
        <w:t>пољопривреди</w:t>
      </w:r>
      <w:r w:rsidR="005B5F83" w:rsidRPr="00295637">
        <w:rPr>
          <w:rFonts w:ascii="Times New Roman" w:hAnsi="Times New Roman"/>
        </w:rPr>
        <w:t>.</w:t>
      </w:r>
    </w:p>
    <w:p w:rsidR="00CE3991" w:rsidRPr="00295637" w:rsidRDefault="00CE3991" w:rsidP="0086268D">
      <w:pPr>
        <w:pStyle w:val="Normal1"/>
        <w:jc w:val="both"/>
        <w:rPr>
          <w:rFonts w:ascii="Times New Roman" w:hAnsi="Times New Roman"/>
        </w:rPr>
      </w:pPr>
    </w:p>
    <w:p w:rsidR="00CE3991" w:rsidRPr="00295637" w:rsidRDefault="00C6214E" w:rsidP="0086268D">
      <w:pPr>
        <w:autoSpaceDE w:val="0"/>
        <w:autoSpaceDN w:val="0"/>
        <w:adjustRightInd w:val="0"/>
        <w:jc w:val="both"/>
        <w:rPr>
          <w:rFonts w:ascii="Times New Roman" w:hAnsi="Times New Roman"/>
          <w:szCs w:val="24"/>
        </w:rPr>
      </w:pPr>
      <w:r>
        <w:rPr>
          <w:rFonts w:ascii="Times New Roman" w:hAnsi="Times New Roman"/>
          <w:szCs w:val="24"/>
        </w:rPr>
        <w:t>У</w:t>
      </w:r>
      <w:r w:rsidR="00CE3991" w:rsidRPr="00295637">
        <w:rPr>
          <w:rFonts w:ascii="Times New Roman" w:hAnsi="Times New Roman"/>
          <w:szCs w:val="24"/>
        </w:rPr>
        <w:t xml:space="preserve"> </w:t>
      </w:r>
      <w:r>
        <w:rPr>
          <w:rFonts w:ascii="Times New Roman" w:hAnsi="Times New Roman"/>
          <w:szCs w:val="24"/>
        </w:rPr>
        <w:t>Републици</w:t>
      </w:r>
      <w:r w:rsidR="00CE3991" w:rsidRPr="00295637">
        <w:rPr>
          <w:rFonts w:ascii="Times New Roman" w:hAnsi="Times New Roman"/>
          <w:szCs w:val="24"/>
        </w:rPr>
        <w:t xml:space="preserve"> </w:t>
      </w:r>
      <w:r>
        <w:rPr>
          <w:rFonts w:ascii="Times New Roman" w:hAnsi="Times New Roman"/>
          <w:szCs w:val="24"/>
        </w:rPr>
        <w:t>Српској</w:t>
      </w:r>
      <w:r w:rsidR="00CE3991" w:rsidRPr="00295637">
        <w:rPr>
          <w:rFonts w:ascii="Times New Roman" w:hAnsi="Times New Roman"/>
          <w:szCs w:val="24"/>
        </w:rPr>
        <w:t xml:space="preserve">, </w:t>
      </w:r>
      <w:r>
        <w:rPr>
          <w:rFonts w:ascii="Times New Roman" w:hAnsi="Times New Roman"/>
          <w:szCs w:val="24"/>
        </w:rPr>
        <w:t>у</w:t>
      </w:r>
      <w:r w:rsidR="00FA0756">
        <w:rPr>
          <w:rFonts w:ascii="Times New Roman" w:hAnsi="Times New Roman"/>
          <w:szCs w:val="24"/>
        </w:rPr>
        <w:t xml:space="preserve"> 2024. </w:t>
      </w:r>
      <w:r>
        <w:rPr>
          <w:rFonts w:ascii="Times New Roman" w:hAnsi="Times New Roman"/>
          <w:szCs w:val="24"/>
        </w:rPr>
        <w:t>години</w:t>
      </w:r>
      <w:r w:rsidR="00FA0756">
        <w:rPr>
          <w:rFonts w:ascii="Times New Roman" w:hAnsi="Times New Roman"/>
          <w:szCs w:val="24"/>
        </w:rPr>
        <w:t xml:space="preserve"> </w:t>
      </w:r>
      <w:r>
        <w:rPr>
          <w:rFonts w:ascii="Times New Roman" w:hAnsi="Times New Roman"/>
          <w:szCs w:val="24"/>
        </w:rPr>
        <w:t>започет</w:t>
      </w:r>
      <w:r w:rsidR="00FA0756">
        <w:rPr>
          <w:rFonts w:ascii="Times New Roman" w:hAnsi="Times New Roman"/>
          <w:szCs w:val="24"/>
        </w:rPr>
        <w:t xml:space="preserve"> </w:t>
      </w:r>
      <w:r>
        <w:rPr>
          <w:rFonts w:ascii="Times New Roman" w:hAnsi="Times New Roman"/>
          <w:szCs w:val="24"/>
        </w:rPr>
        <w:t>је</w:t>
      </w:r>
      <w:r w:rsidR="00FA0756">
        <w:rPr>
          <w:rFonts w:ascii="Times New Roman" w:hAnsi="Times New Roman"/>
          <w:szCs w:val="24"/>
        </w:rPr>
        <w:t xml:space="preserve"> </w:t>
      </w:r>
      <w:r>
        <w:rPr>
          <w:rFonts w:ascii="Times New Roman" w:hAnsi="Times New Roman"/>
          <w:szCs w:val="24"/>
        </w:rPr>
        <w:t>пројекат</w:t>
      </w:r>
      <w:r w:rsidR="00FA0756">
        <w:rPr>
          <w:rFonts w:ascii="Times New Roman" w:hAnsi="Times New Roman"/>
          <w:szCs w:val="24"/>
        </w:rPr>
        <w:t xml:space="preserve"> „</w:t>
      </w:r>
      <w:r>
        <w:rPr>
          <w:rFonts w:ascii="Times New Roman" w:hAnsi="Times New Roman"/>
          <w:szCs w:val="24"/>
        </w:rPr>
        <w:t>Предузетнице</w:t>
      </w:r>
      <w:r w:rsidR="00CE3991" w:rsidRPr="00295637">
        <w:rPr>
          <w:rFonts w:ascii="Times New Roman" w:hAnsi="Times New Roman"/>
          <w:szCs w:val="24"/>
        </w:rPr>
        <w:t xml:space="preserve"> </w:t>
      </w:r>
      <w:r>
        <w:rPr>
          <w:rFonts w:ascii="Times New Roman" w:hAnsi="Times New Roman"/>
          <w:szCs w:val="24"/>
        </w:rPr>
        <w:t>у</w:t>
      </w:r>
      <w:r w:rsidR="00CE3991" w:rsidRPr="00295637">
        <w:rPr>
          <w:rFonts w:ascii="Times New Roman" w:hAnsi="Times New Roman"/>
          <w:szCs w:val="24"/>
        </w:rPr>
        <w:t xml:space="preserve"> </w:t>
      </w:r>
      <w:r>
        <w:rPr>
          <w:rFonts w:ascii="Times New Roman" w:hAnsi="Times New Roman"/>
          <w:szCs w:val="24"/>
        </w:rPr>
        <w:t>дигиталној</w:t>
      </w:r>
      <w:r w:rsidR="00CE3991" w:rsidRPr="00295637">
        <w:rPr>
          <w:rFonts w:ascii="Times New Roman" w:hAnsi="Times New Roman"/>
          <w:szCs w:val="24"/>
        </w:rPr>
        <w:t xml:space="preserve"> </w:t>
      </w:r>
      <w:r>
        <w:rPr>
          <w:rFonts w:ascii="Times New Roman" w:hAnsi="Times New Roman"/>
          <w:szCs w:val="24"/>
        </w:rPr>
        <w:t>и</w:t>
      </w:r>
      <w:r w:rsidR="00CE3991" w:rsidRPr="00295637">
        <w:rPr>
          <w:rFonts w:ascii="Times New Roman" w:hAnsi="Times New Roman"/>
          <w:szCs w:val="24"/>
        </w:rPr>
        <w:t xml:space="preserve"> </w:t>
      </w:r>
      <w:r>
        <w:rPr>
          <w:rFonts w:ascii="Times New Roman" w:hAnsi="Times New Roman"/>
          <w:szCs w:val="24"/>
        </w:rPr>
        <w:t>зеленој</w:t>
      </w:r>
      <w:r w:rsidR="00CE3991" w:rsidRPr="00295637">
        <w:rPr>
          <w:rFonts w:ascii="Times New Roman" w:hAnsi="Times New Roman"/>
          <w:szCs w:val="24"/>
        </w:rPr>
        <w:t xml:space="preserve"> </w:t>
      </w:r>
      <w:r>
        <w:rPr>
          <w:rFonts w:ascii="Times New Roman" w:hAnsi="Times New Roman"/>
          <w:szCs w:val="24"/>
        </w:rPr>
        <w:t>економији</w:t>
      </w:r>
      <w:r w:rsidR="00CE3991" w:rsidRPr="00295637">
        <w:rPr>
          <w:rFonts w:ascii="Times New Roman" w:hAnsi="Times New Roman"/>
          <w:szCs w:val="24"/>
        </w:rPr>
        <w:t xml:space="preserve"> – </w:t>
      </w:r>
      <w:r>
        <w:rPr>
          <w:rFonts w:ascii="Times New Roman" w:hAnsi="Times New Roman"/>
          <w:szCs w:val="24"/>
        </w:rPr>
        <w:t>ГРАНДИС</w:t>
      </w:r>
      <w:r w:rsidR="00267394">
        <w:rPr>
          <w:rFonts w:ascii="Times New Roman" w:hAnsi="Times New Roman"/>
          <w:szCs w:val="24"/>
          <w:lang w:val="bs-Cyrl-BA"/>
        </w:rPr>
        <w:t>“</w:t>
      </w:r>
      <w:r w:rsidR="00CE3991" w:rsidRPr="00295637">
        <w:rPr>
          <w:rFonts w:ascii="Times New Roman" w:hAnsi="Times New Roman"/>
          <w:szCs w:val="24"/>
        </w:rPr>
        <w:t xml:space="preserve">, </w:t>
      </w:r>
      <w:r>
        <w:rPr>
          <w:rFonts w:ascii="Times New Roman" w:hAnsi="Times New Roman"/>
          <w:szCs w:val="24"/>
        </w:rPr>
        <w:t>којим</w:t>
      </w:r>
      <w:r w:rsidR="00CE3991" w:rsidRPr="00295637">
        <w:rPr>
          <w:rFonts w:ascii="Times New Roman" w:hAnsi="Times New Roman"/>
          <w:szCs w:val="24"/>
        </w:rPr>
        <w:t xml:space="preserve"> </w:t>
      </w:r>
      <w:r>
        <w:rPr>
          <w:rFonts w:ascii="Times New Roman" w:hAnsi="Times New Roman"/>
          <w:szCs w:val="24"/>
        </w:rPr>
        <w:t>координи</w:t>
      </w:r>
      <w:r w:rsidR="00B97A56">
        <w:rPr>
          <w:rFonts w:ascii="Times New Roman" w:hAnsi="Times New Roman"/>
          <w:szCs w:val="24"/>
          <w:lang w:val="sr-Cyrl-BA"/>
        </w:rPr>
        <w:t>ше</w:t>
      </w:r>
      <w:r w:rsidR="00CE3991" w:rsidRPr="00295637">
        <w:rPr>
          <w:rFonts w:ascii="Times New Roman" w:hAnsi="Times New Roman"/>
          <w:szCs w:val="24"/>
        </w:rPr>
        <w:t xml:space="preserve"> </w:t>
      </w:r>
      <w:r>
        <w:rPr>
          <w:rFonts w:ascii="Times New Roman" w:hAnsi="Times New Roman"/>
          <w:szCs w:val="24"/>
        </w:rPr>
        <w:t>Развојна</w:t>
      </w:r>
      <w:r w:rsidR="00CE3991" w:rsidRPr="00295637">
        <w:rPr>
          <w:rFonts w:ascii="Times New Roman" w:hAnsi="Times New Roman"/>
          <w:szCs w:val="24"/>
        </w:rPr>
        <w:t xml:space="preserve"> </w:t>
      </w:r>
      <w:r>
        <w:rPr>
          <w:rFonts w:ascii="Times New Roman" w:hAnsi="Times New Roman"/>
          <w:szCs w:val="24"/>
        </w:rPr>
        <w:t>агенција</w:t>
      </w:r>
      <w:r w:rsidR="00CE3991" w:rsidRPr="00295637">
        <w:rPr>
          <w:rFonts w:ascii="Times New Roman" w:hAnsi="Times New Roman"/>
          <w:szCs w:val="24"/>
        </w:rPr>
        <w:t xml:space="preserve"> </w:t>
      </w:r>
      <w:r>
        <w:rPr>
          <w:rFonts w:ascii="Times New Roman" w:hAnsi="Times New Roman"/>
          <w:szCs w:val="24"/>
        </w:rPr>
        <w:t>РС</w:t>
      </w:r>
      <w:r w:rsidR="00CE3991" w:rsidRPr="00295637">
        <w:rPr>
          <w:rFonts w:ascii="Times New Roman" w:hAnsi="Times New Roman"/>
          <w:szCs w:val="24"/>
        </w:rPr>
        <w:t xml:space="preserve">. </w:t>
      </w:r>
      <w:r>
        <w:rPr>
          <w:rFonts w:ascii="Times New Roman" w:hAnsi="Times New Roman"/>
          <w:szCs w:val="24"/>
        </w:rPr>
        <w:t>Пројект</w:t>
      </w:r>
      <w:r w:rsidR="00CE3991" w:rsidRPr="00295637">
        <w:rPr>
          <w:rFonts w:ascii="Times New Roman" w:hAnsi="Times New Roman"/>
          <w:szCs w:val="24"/>
        </w:rPr>
        <w:t xml:space="preserve"> </w:t>
      </w:r>
      <w:r>
        <w:rPr>
          <w:rFonts w:ascii="Times New Roman" w:hAnsi="Times New Roman"/>
          <w:szCs w:val="24"/>
        </w:rPr>
        <w:t>суфинансира</w:t>
      </w:r>
      <w:r w:rsidR="00CE3991" w:rsidRPr="00295637">
        <w:rPr>
          <w:rFonts w:ascii="Times New Roman" w:hAnsi="Times New Roman"/>
          <w:szCs w:val="24"/>
        </w:rPr>
        <w:t xml:space="preserve"> </w:t>
      </w:r>
      <w:r>
        <w:rPr>
          <w:rFonts w:ascii="Times New Roman" w:hAnsi="Times New Roman"/>
          <w:szCs w:val="24"/>
        </w:rPr>
        <w:t>ЕУ</w:t>
      </w:r>
      <w:r w:rsidR="00CE3991" w:rsidRPr="00295637">
        <w:rPr>
          <w:rFonts w:ascii="Times New Roman" w:hAnsi="Times New Roman"/>
          <w:szCs w:val="24"/>
        </w:rPr>
        <w:t xml:space="preserve"> </w:t>
      </w:r>
      <w:r>
        <w:rPr>
          <w:rFonts w:ascii="Times New Roman" w:hAnsi="Times New Roman"/>
          <w:szCs w:val="24"/>
        </w:rPr>
        <w:t>кроз</w:t>
      </w:r>
      <w:r w:rsidR="00CE3991" w:rsidRPr="00295637">
        <w:rPr>
          <w:rFonts w:ascii="Times New Roman" w:hAnsi="Times New Roman"/>
          <w:szCs w:val="24"/>
        </w:rPr>
        <w:t xml:space="preserve"> </w:t>
      </w:r>
      <w:r>
        <w:rPr>
          <w:rFonts w:ascii="Times New Roman" w:hAnsi="Times New Roman"/>
          <w:szCs w:val="24"/>
        </w:rPr>
        <w:t>програм</w:t>
      </w:r>
      <w:r w:rsidR="00CE3991" w:rsidRPr="00295637">
        <w:rPr>
          <w:rFonts w:ascii="Times New Roman" w:hAnsi="Times New Roman"/>
          <w:szCs w:val="24"/>
        </w:rPr>
        <w:t xml:space="preserve"> </w:t>
      </w:r>
      <w:r w:rsidR="00B97A56" w:rsidRPr="00B97A56">
        <w:rPr>
          <w:rFonts w:ascii="Times New Roman" w:hAnsi="Times New Roman"/>
          <w:i/>
          <w:szCs w:val="24"/>
        </w:rPr>
        <w:t>Interreg Europe</w:t>
      </w:r>
      <w:r w:rsidR="00CE3991" w:rsidRPr="00801034">
        <w:rPr>
          <w:rFonts w:ascii="Times New Roman" w:hAnsi="Times New Roman"/>
          <w:i/>
          <w:szCs w:val="24"/>
        </w:rPr>
        <w:t xml:space="preserve"> </w:t>
      </w:r>
      <w:r>
        <w:rPr>
          <w:rFonts w:ascii="Times New Roman" w:hAnsi="Times New Roman"/>
          <w:szCs w:val="24"/>
        </w:rPr>
        <w:t>и</w:t>
      </w:r>
      <w:r w:rsidR="00CE3991" w:rsidRPr="00295637">
        <w:rPr>
          <w:rFonts w:ascii="Times New Roman" w:hAnsi="Times New Roman"/>
          <w:szCs w:val="24"/>
        </w:rPr>
        <w:t xml:space="preserve"> </w:t>
      </w:r>
      <w:r>
        <w:rPr>
          <w:rFonts w:ascii="Times New Roman" w:hAnsi="Times New Roman"/>
          <w:szCs w:val="24"/>
        </w:rPr>
        <w:t>усклађен</w:t>
      </w:r>
      <w:r w:rsidR="00CE3991" w:rsidRPr="00295637">
        <w:rPr>
          <w:rFonts w:ascii="Times New Roman" w:hAnsi="Times New Roman"/>
          <w:szCs w:val="24"/>
        </w:rPr>
        <w:t xml:space="preserve"> </w:t>
      </w:r>
      <w:r>
        <w:rPr>
          <w:rFonts w:ascii="Times New Roman" w:hAnsi="Times New Roman"/>
          <w:szCs w:val="24"/>
        </w:rPr>
        <w:t>је</w:t>
      </w:r>
      <w:r w:rsidR="00CE3991" w:rsidRPr="00295637">
        <w:rPr>
          <w:rFonts w:ascii="Times New Roman" w:hAnsi="Times New Roman"/>
          <w:szCs w:val="24"/>
        </w:rPr>
        <w:t xml:space="preserve"> </w:t>
      </w:r>
      <w:r>
        <w:rPr>
          <w:rFonts w:ascii="Times New Roman" w:hAnsi="Times New Roman"/>
          <w:szCs w:val="24"/>
        </w:rPr>
        <w:t>са</w:t>
      </w:r>
      <w:r w:rsidR="00CE3991" w:rsidRPr="00295637">
        <w:rPr>
          <w:rFonts w:ascii="Times New Roman" w:hAnsi="Times New Roman"/>
          <w:szCs w:val="24"/>
        </w:rPr>
        <w:t xml:space="preserve"> </w:t>
      </w:r>
      <w:r>
        <w:rPr>
          <w:rFonts w:ascii="Times New Roman" w:hAnsi="Times New Roman"/>
          <w:szCs w:val="24"/>
        </w:rPr>
        <w:t>специфичним</w:t>
      </w:r>
      <w:r w:rsidR="00CE3991" w:rsidRPr="00295637">
        <w:rPr>
          <w:rFonts w:ascii="Times New Roman" w:hAnsi="Times New Roman"/>
          <w:szCs w:val="24"/>
        </w:rPr>
        <w:t xml:space="preserve"> </w:t>
      </w:r>
      <w:r>
        <w:rPr>
          <w:rFonts w:ascii="Times New Roman" w:hAnsi="Times New Roman"/>
          <w:szCs w:val="24"/>
        </w:rPr>
        <w:t>циљем</w:t>
      </w:r>
      <w:r w:rsidR="00FA0756">
        <w:rPr>
          <w:rFonts w:ascii="Times New Roman" w:hAnsi="Times New Roman"/>
          <w:szCs w:val="24"/>
        </w:rPr>
        <w:t> </w:t>
      </w:r>
      <w:r>
        <w:rPr>
          <w:rFonts w:ascii="Times New Roman" w:hAnsi="Times New Roman"/>
          <w:szCs w:val="24"/>
        </w:rPr>
        <w:t>програма</w:t>
      </w:r>
      <w:r w:rsidR="00FA0756">
        <w:rPr>
          <w:rFonts w:ascii="Times New Roman" w:hAnsi="Times New Roman"/>
          <w:szCs w:val="24"/>
        </w:rPr>
        <w:t xml:space="preserve"> – </w:t>
      </w:r>
      <w:r>
        <w:rPr>
          <w:rFonts w:ascii="Times New Roman" w:hAnsi="Times New Roman"/>
          <w:szCs w:val="24"/>
        </w:rPr>
        <w:t>Конкурентност</w:t>
      </w:r>
      <w:r w:rsidR="00FA0756">
        <w:rPr>
          <w:rFonts w:ascii="Times New Roman" w:hAnsi="Times New Roman"/>
          <w:szCs w:val="24"/>
        </w:rPr>
        <w:t xml:space="preserve"> </w:t>
      </w:r>
      <w:r>
        <w:rPr>
          <w:rFonts w:ascii="Times New Roman" w:hAnsi="Times New Roman"/>
          <w:szCs w:val="24"/>
        </w:rPr>
        <w:t>М</w:t>
      </w:r>
      <w:r w:rsidR="00B97A56">
        <w:rPr>
          <w:rFonts w:ascii="Times New Roman" w:hAnsi="Times New Roman"/>
          <w:szCs w:val="24"/>
          <w:lang w:val="sr-Cyrl-BA"/>
        </w:rPr>
        <w:t>В</w:t>
      </w:r>
      <w:r>
        <w:rPr>
          <w:rFonts w:ascii="Times New Roman" w:hAnsi="Times New Roman"/>
          <w:szCs w:val="24"/>
        </w:rPr>
        <w:t>П</w:t>
      </w:r>
      <w:r w:rsidR="00FA0756">
        <w:rPr>
          <w:rFonts w:ascii="Times New Roman" w:hAnsi="Times New Roman"/>
          <w:szCs w:val="24"/>
        </w:rPr>
        <w:t>.</w:t>
      </w:r>
      <w:r w:rsidR="003511E4">
        <w:rPr>
          <w:rFonts w:ascii="Times New Roman" w:hAnsi="Times New Roman"/>
          <w:szCs w:val="24"/>
        </w:rPr>
        <w:t xml:space="preserve"> </w:t>
      </w:r>
      <w:r>
        <w:rPr>
          <w:rFonts w:ascii="Times New Roman" w:hAnsi="Times New Roman"/>
          <w:szCs w:val="24"/>
        </w:rPr>
        <w:t>Циљ</w:t>
      </w:r>
      <w:r w:rsidR="00CE3991" w:rsidRPr="00295637">
        <w:rPr>
          <w:rFonts w:ascii="Times New Roman" w:hAnsi="Times New Roman"/>
          <w:szCs w:val="24"/>
        </w:rPr>
        <w:t xml:space="preserve"> </w:t>
      </w:r>
      <w:r>
        <w:rPr>
          <w:rFonts w:ascii="Times New Roman" w:hAnsi="Times New Roman"/>
          <w:szCs w:val="24"/>
        </w:rPr>
        <w:t>пројекта</w:t>
      </w:r>
      <w:r w:rsidR="00CE3991" w:rsidRPr="00295637">
        <w:rPr>
          <w:rFonts w:ascii="Times New Roman" w:hAnsi="Times New Roman"/>
          <w:szCs w:val="24"/>
        </w:rPr>
        <w:t xml:space="preserve"> </w:t>
      </w:r>
      <w:r>
        <w:rPr>
          <w:rFonts w:ascii="Times New Roman" w:hAnsi="Times New Roman"/>
          <w:szCs w:val="24"/>
        </w:rPr>
        <w:t>је</w:t>
      </w:r>
      <w:r w:rsidR="00CE3991" w:rsidRPr="00295637">
        <w:rPr>
          <w:rFonts w:ascii="Times New Roman" w:hAnsi="Times New Roman"/>
          <w:szCs w:val="24"/>
        </w:rPr>
        <w:t xml:space="preserve"> </w:t>
      </w:r>
      <w:r>
        <w:rPr>
          <w:rFonts w:ascii="Times New Roman" w:hAnsi="Times New Roman"/>
          <w:szCs w:val="24"/>
        </w:rPr>
        <w:t>да</w:t>
      </w:r>
      <w:r w:rsidR="00CE3991" w:rsidRPr="00295637">
        <w:rPr>
          <w:rFonts w:ascii="Times New Roman" w:hAnsi="Times New Roman"/>
          <w:szCs w:val="24"/>
        </w:rPr>
        <w:t xml:space="preserve"> </w:t>
      </w:r>
      <w:r>
        <w:rPr>
          <w:rFonts w:ascii="Times New Roman" w:hAnsi="Times New Roman"/>
          <w:szCs w:val="24"/>
        </w:rPr>
        <w:t>откључа</w:t>
      </w:r>
      <w:r w:rsidR="00CE3991" w:rsidRPr="00295637">
        <w:rPr>
          <w:rFonts w:ascii="Times New Roman" w:hAnsi="Times New Roman"/>
          <w:szCs w:val="24"/>
        </w:rPr>
        <w:t xml:space="preserve"> </w:t>
      </w:r>
      <w:r>
        <w:rPr>
          <w:rFonts w:ascii="Times New Roman" w:hAnsi="Times New Roman"/>
          <w:szCs w:val="24"/>
        </w:rPr>
        <w:t>потенцијал</w:t>
      </w:r>
      <w:r w:rsidR="00CE3991" w:rsidRPr="00295637">
        <w:rPr>
          <w:rFonts w:ascii="Times New Roman" w:hAnsi="Times New Roman"/>
          <w:szCs w:val="24"/>
        </w:rPr>
        <w:t xml:space="preserve"> </w:t>
      </w:r>
      <w:r>
        <w:rPr>
          <w:rFonts w:ascii="Times New Roman" w:hAnsi="Times New Roman"/>
          <w:szCs w:val="24"/>
        </w:rPr>
        <w:t>предузетница</w:t>
      </w:r>
      <w:r w:rsidR="00CE3991" w:rsidRPr="00295637">
        <w:rPr>
          <w:rFonts w:ascii="Times New Roman" w:hAnsi="Times New Roman"/>
          <w:szCs w:val="24"/>
        </w:rPr>
        <w:t xml:space="preserve"> </w:t>
      </w:r>
      <w:r>
        <w:rPr>
          <w:rFonts w:ascii="Times New Roman" w:hAnsi="Times New Roman"/>
          <w:szCs w:val="24"/>
        </w:rPr>
        <w:t>и</w:t>
      </w:r>
      <w:r w:rsidR="00CE3991" w:rsidRPr="00295637">
        <w:rPr>
          <w:rFonts w:ascii="Times New Roman" w:hAnsi="Times New Roman"/>
          <w:szCs w:val="24"/>
        </w:rPr>
        <w:t xml:space="preserve"> </w:t>
      </w:r>
      <w:r>
        <w:rPr>
          <w:rFonts w:ascii="Times New Roman" w:hAnsi="Times New Roman"/>
          <w:szCs w:val="24"/>
        </w:rPr>
        <w:t>предузећа</w:t>
      </w:r>
      <w:r w:rsidR="00CE3991" w:rsidRPr="00295637">
        <w:rPr>
          <w:rFonts w:ascii="Times New Roman" w:hAnsi="Times New Roman"/>
          <w:szCs w:val="24"/>
        </w:rPr>
        <w:t xml:space="preserve"> </w:t>
      </w:r>
      <w:r>
        <w:rPr>
          <w:rFonts w:ascii="Times New Roman" w:hAnsi="Times New Roman"/>
          <w:szCs w:val="24"/>
        </w:rPr>
        <w:t>вођених</w:t>
      </w:r>
      <w:r w:rsidR="00CE3991" w:rsidRPr="00295637">
        <w:rPr>
          <w:rFonts w:ascii="Times New Roman" w:hAnsi="Times New Roman"/>
          <w:szCs w:val="24"/>
        </w:rPr>
        <w:t xml:space="preserve"> </w:t>
      </w:r>
      <w:r>
        <w:rPr>
          <w:rFonts w:ascii="Times New Roman" w:hAnsi="Times New Roman"/>
          <w:szCs w:val="24"/>
        </w:rPr>
        <w:t>женама</w:t>
      </w:r>
      <w:r w:rsidR="00CE3991" w:rsidRPr="00295637">
        <w:rPr>
          <w:rFonts w:ascii="Times New Roman" w:hAnsi="Times New Roman"/>
          <w:szCs w:val="24"/>
        </w:rPr>
        <w:t xml:space="preserve"> </w:t>
      </w:r>
      <w:r>
        <w:rPr>
          <w:rFonts w:ascii="Times New Roman" w:hAnsi="Times New Roman"/>
          <w:szCs w:val="24"/>
        </w:rPr>
        <w:t>у</w:t>
      </w:r>
      <w:r w:rsidR="00CE3991" w:rsidRPr="00295637">
        <w:rPr>
          <w:rFonts w:ascii="Times New Roman" w:hAnsi="Times New Roman"/>
          <w:szCs w:val="24"/>
        </w:rPr>
        <w:t xml:space="preserve"> </w:t>
      </w:r>
      <w:r>
        <w:rPr>
          <w:rFonts w:ascii="Times New Roman" w:hAnsi="Times New Roman"/>
          <w:szCs w:val="24"/>
        </w:rPr>
        <w:t>секторима</w:t>
      </w:r>
      <w:r w:rsidR="00CE3991" w:rsidRPr="00295637">
        <w:rPr>
          <w:rFonts w:ascii="Times New Roman" w:hAnsi="Times New Roman"/>
          <w:szCs w:val="24"/>
        </w:rPr>
        <w:t xml:space="preserve"> </w:t>
      </w:r>
      <w:r>
        <w:rPr>
          <w:rFonts w:ascii="Times New Roman" w:hAnsi="Times New Roman"/>
          <w:szCs w:val="24"/>
        </w:rPr>
        <w:t>зелених</w:t>
      </w:r>
      <w:r w:rsidR="00CE3991" w:rsidRPr="00295637">
        <w:rPr>
          <w:rFonts w:ascii="Times New Roman" w:hAnsi="Times New Roman"/>
          <w:szCs w:val="24"/>
        </w:rPr>
        <w:t xml:space="preserve"> </w:t>
      </w:r>
      <w:r>
        <w:rPr>
          <w:rFonts w:ascii="Times New Roman" w:hAnsi="Times New Roman"/>
          <w:szCs w:val="24"/>
        </w:rPr>
        <w:t>и</w:t>
      </w:r>
      <w:r w:rsidR="00CE3991" w:rsidRPr="00295637">
        <w:rPr>
          <w:rFonts w:ascii="Times New Roman" w:hAnsi="Times New Roman"/>
          <w:szCs w:val="24"/>
        </w:rPr>
        <w:t xml:space="preserve"> </w:t>
      </w:r>
      <w:r>
        <w:rPr>
          <w:rFonts w:ascii="Times New Roman" w:hAnsi="Times New Roman"/>
          <w:szCs w:val="24"/>
        </w:rPr>
        <w:t>дигиталних</w:t>
      </w:r>
      <w:r w:rsidR="00CE3991" w:rsidRPr="00295637">
        <w:rPr>
          <w:rFonts w:ascii="Times New Roman" w:hAnsi="Times New Roman"/>
          <w:szCs w:val="24"/>
        </w:rPr>
        <w:t xml:space="preserve"> </w:t>
      </w:r>
      <w:r>
        <w:rPr>
          <w:rFonts w:ascii="Times New Roman" w:hAnsi="Times New Roman"/>
          <w:szCs w:val="24"/>
        </w:rPr>
        <w:t>технологија</w:t>
      </w:r>
      <w:r w:rsidR="00CE3991" w:rsidRPr="00295637">
        <w:rPr>
          <w:rFonts w:ascii="Times New Roman" w:hAnsi="Times New Roman"/>
          <w:szCs w:val="24"/>
        </w:rPr>
        <w:t xml:space="preserve">, </w:t>
      </w:r>
      <w:r>
        <w:rPr>
          <w:rFonts w:ascii="Times New Roman" w:hAnsi="Times New Roman"/>
          <w:szCs w:val="24"/>
        </w:rPr>
        <w:t>где</w:t>
      </w:r>
      <w:r w:rsidR="00CE3991" w:rsidRPr="00295637">
        <w:rPr>
          <w:rFonts w:ascii="Times New Roman" w:hAnsi="Times New Roman"/>
          <w:szCs w:val="24"/>
        </w:rPr>
        <w:t xml:space="preserve"> </w:t>
      </w:r>
      <w:r>
        <w:rPr>
          <w:rFonts w:ascii="Times New Roman" w:hAnsi="Times New Roman"/>
          <w:szCs w:val="24"/>
        </w:rPr>
        <w:t>су</w:t>
      </w:r>
      <w:r w:rsidR="00CE3991" w:rsidRPr="00295637">
        <w:rPr>
          <w:rFonts w:ascii="Times New Roman" w:hAnsi="Times New Roman"/>
          <w:szCs w:val="24"/>
        </w:rPr>
        <w:t xml:space="preserve"> </w:t>
      </w:r>
      <w:r>
        <w:rPr>
          <w:rFonts w:ascii="Times New Roman" w:hAnsi="Times New Roman"/>
          <w:szCs w:val="24"/>
        </w:rPr>
        <w:t>тренутно</w:t>
      </w:r>
      <w:r w:rsidR="00CE3991" w:rsidRPr="00295637">
        <w:rPr>
          <w:rFonts w:ascii="Times New Roman" w:hAnsi="Times New Roman"/>
          <w:szCs w:val="24"/>
        </w:rPr>
        <w:t xml:space="preserve"> </w:t>
      </w:r>
      <w:r>
        <w:rPr>
          <w:rFonts w:ascii="Times New Roman" w:hAnsi="Times New Roman"/>
          <w:szCs w:val="24"/>
        </w:rPr>
        <w:t>недовољно</w:t>
      </w:r>
      <w:r w:rsidR="00CE3991" w:rsidRPr="00295637">
        <w:rPr>
          <w:rFonts w:ascii="Times New Roman" w:hAnsi="Times New Roman"/>
          <w:szCs w:val="24"/>
        </w:rPr>
        <w:t xml:space="preserve"> </w:t>
      </w:r>
      <w:r>
        <w:rPr>
          <w:rFonts w:ascii="Times New Roman" w:hAnsi="Times New Roman"/>
          <w:szCs w:val="24"/>
        </w:rPr>
        <w:t>заступљене</w:t>
      </w:r>
      <w:r w:rsidR="00CE3991" w:rsidRPr="00295637">
        <w:rPr>
          <w:rFonts w:ascii="Times New Roman" w:hAnsi="Times New Roman"/>
          <w:szCs w:val="24"/>
        </w:rPr>
        <w:t xml:space="preserve">, </w:t>
      </w:r>
      <w:r>
        <w:rPr>
          <w:rFonts w:ascii="Times New Roman" w:hAnsi="Times New Roman"/>
          <w:szCs w:val="24"/>
        </w:rPr>
        <w:t>а</w:t>
      </w:r>
      <w:r w:rsidR="00CE3991" w:rsidRPr="00295637">
        <w:rPr>
          <w:rFonts w:ascii="Times New Roman" w:hAnsi="Times New Roman"/>
          <w:szCs w:val="24"/>
        </w:rPr>
        <w:t xml:space="preserve"> </w:t>
      </w:r>
      <w:r>
        <w:rPr>
          <w:rFonts w:ascii="Times New Roman" w:hAnsi="Times New Roman"/>
          <w:szCs w:val="24"/>
        </w:rPr>
        <w:t>активности</w:t>
      </w:r>
      <w:r w:rsidR="00CE3991" w:rsidRPr="00295637">
        <w:rPr>
          <w:rFonts w:ascii="Times New Roman" w:hAnsi="Times New Roman"/>
          <w:szCs w:val="24"/>
        </w:rPr>
        <w:t xml:space="preserve"> </w:t>
      </w:r>
      <w:r>
        <w:rPr>
          <w:rFonts w:ascii="Times New Roman" w:hAnsi="Times New Roman"/>
          <w:szCs w:val="24"/>
        </w:rPr>
        <w:t>укључују</w:t>
      </w:r>
      <w:r w:rsidR="00B40F79" w:rsidRPr="00295637">
        <w:rPr>
          <w:rFonts w:ascii="Times New Roman" w:hAnsi="Times New Roman"/>
          <w:szCs w:val="24"/>
        </w:rPr>
        <w:t xml:space="preserve"> </w:t>
      </w:r>
      <w:r>
        <w:rPr>
          <w:rFonts w:ascii="Times New Roman" w:hAnsi="Times New Roman"/>
          <w:szCs w:val="24"/>
        </w:rPr>
        <w:t>размјену</w:t>
      </w:r>
      <w:r w:rsidR="00B40F79" w:rsidRPr="00295637">
        <w:rPr>
          <w:rFonts w:ascii="Times New Roman" w:hAnsi="Times New Roman"/>
          <w:szCs w:val="24"/>
        </w:rPr>
        <w:t xml:space="preserve"> </w:t>
      </w:r>
      <w:r>
        <w:rPr>
          <w:rFonts w:ascii="Times New Roman" w:hAnsi="Times New Roman"/>
          <w:szCs w:val="24"/>
        </w:rPr>
        <w:t>искустава</w:t>
      </w:r>
      <w:r w:rsidR="00B40F79" w:rsidRPr="00295637">
        <w:rPr>
          <w:rFonts w:ascii="Times New Roman" w:hAnsi="Times New Roman"/>
          <w:szCs w:val="24"/>
        </w:rPr>
        <w:t xml:space="preserve"> </w:t>
      </w:r>
      <w:r>
        <w:rPr>
          <w:rFonts w:ascii="Times New Roman" w:hAnsi="Times New Roman"/>
          <w:szCs w:val="24"/>
        </w:rPr>
        <w:t>европских</w:t>
      </w:r>
      <w:r w:rsidR="00B40F79" w:rsidRPr="00295637">
        <w:rPr>
          <w:rFonts w:ascii="Times New Roman" w:hAnsi="Times New Roman"/>
          <w:szCs w:val="24"/>
        </w:rPr>
        <w:t xml:space="preserve"> </w:t>
      </w:r>
      <w:r>
        <w:rPr>
          <w:rFonts w:ascii="Times New Roman" w:hAnsi="Times New Roman"/>
          <w:szCs w:val="24"/>
        </w:rPr>
        <w:t>регија</w:t>
      </w:r>
      <w:r w:rsidR="00B40F79" w:rsidRPr="00295637">
        <w:rPr>
          <w:rFonts w:ascii="Times New Roman" w:hAnsi="Times New Roman"/>
          <w:szCs w:val="24"/>
        </w:rPr>
        <w:t xml:space="preserve">, </w:t>
      </w:r>
      <w:r>
        <w:rPr>
          <w:rFonts w:ascii="Times New Roman" w:hAnsi="Times New Roman"/>
          <w:szCs w:val="24"/>
        </w:rPr>
        <w:t>развој</w:t>
      </w:r>
      <w:r w:rsidR="00B40F79" w:rsidRPr="00295637">
        <w:rPr>
          <w:rFonts w:ascii="Times New Roman" w:hAnsi="Times New Roman"/>
          <w:szCs w:val="24"/>
        </w:rPr>
        <w:t xml:space="preserve"> </w:t>
      </w:r>
      <w:r>
        <w:rPr>
          <w:rFonts w:ascii="Times New Roman" w:hAnsi="Times New Roman"/>
          <w:szCs w:val="24"/>
        </w:rPr>
        <w:t>и</w:t>
      </w:r>
      <w:r w:rsidR="00B40F79" w:rsidRPr="00295637">
        <w:rPr>
          <w:rFonts w:ascii="Times New Roman" w:hAnsi="Times New Roman"/>
          <w:szCs w:val="24"/>
        </w:rPr>
        <w:t xml:space="preserve"> </w:t>
      </w:r>
      <w:r>
        <w:rPr>
          <w:rFonts w:ascii="Times New Roman" w:hAnsi="Times New Roman"/>
          <w:szCs w:val="24"/>
        </w:rPr>
        <w:t>примјену</w:t>
      </w:r>
      <w:r w:rsidR="00B40F79" w:rsidRPr="00295637">
        <w:rPr>
          <w:rFonts w:ascii="Times New Roman" w:hAnsi="Times New Roman"/>
          <w:szCs w:val="24"/>
        </w:rPr>
        <w:t xml:space="preserve"> </w:t>
      </w:r>
      <w:r>
        <w:rPr>
          <w:rFonts w:ascii="Times New Roman" w:hAnsi="Times New Roman"/>
          <w:szCs w:val="24"/>
        </w:rPr>
        <w:t>политика</w:t>
      </w:r>
      <w:r w:rsidR="00B40F79" w:rsidRPr="00295637">
        <w:rPr>
          <w:rFonts w:ascii="Times New Roman" w:hAnsi="Times New Roman"/>
          <w:szCs w:val="24"/>
        </w:rPr>
        <w:t xml:space="preserve">, </w:t>
      </w:r>
      <w:r>
        <w:rPr>
          <w:rFonts w:ascii="Times New Roman" w:hAnsi="Times New Roman"/>
          <w:szCs w:val="24"/>
        </w:rPr>
        <w:t>менторство</w:t>
      </w:r>
      <w:r w:rsidR="00B40F79" w:rsidRPr="00295637">
        <w:rPr>
          <w:rFonts w:ascii="Times New Roman" w:hAnsi="Times New Roman"/>
          <w:szCs w:val="24"/>
        </w:rPr>
        <w:t xml:space="preserve">, </w:t>
      </w:r>
      <w:r>
        <w:rPr>
          <w:rFonts w:ascii="Times New Roman" w:hAnsi="Times New Roman"/>
          <w:szCs w:val="24"/>
        </w:rPr>
        <w:t>приступ</w:t>
      </w:r>
      <w:r w:rsidR="00B40F79" w:rsidRPr="00295637">
        <w:rPr>
          <w:rFonts w:ascii="Times New Roman" w:hAnsi="Times New Roman"/>
          <w:szCs w:val="24"/>
        </w:rPr>
        <w:t xml:space="preserve"> </w:t>
      </w:r>
      <w:r>
        <w:rPr>
          <w:rFonts w:ascii="Times New Roman" w:hAnsi="Times New Roman"/>
          <w:szCs w:val="24"/>
        </w:rPr>
        <w:t>финансирању</w:t>
      </w:r>
      <w:r w:rsidR="00B40F79" w:rsidRPr="00295637">
        <w:rPr>
          <w:rFonts w:ascii="Times New Roman" w:hAnsi="Times New Roman"/>
          <w:szCs w:val="24"/>
        </w:rPr>
        <w:t xml:space="preserve"> </w:t>
      </w:r>
      <w:r>
        <w:rPr>
          <w:rFonts w:ascii="Times New Roman" w:hAnsi="Times New Roman"/>
          <w:szCs w:val="24"/>
        </w:rPr>
        <w:t>и</w:t>
      </w:r>
      <w:r w:rsidR="00B40F79" w:rsidRPr="00295637">
        <w:rPr>
          <w:rFonts w:ascii="Times New Roman" w:hAnsi="Times New Roman"/>
          <w:szCs w:val="24"/>
        </w:rPr>
        <w:t xml:space="preserve"> </w:t>
      </w:r>
      <w:r>
        <w:rPr>
          <w:rFonts w:ascii="Times New Roman" w:hAnsi="Times New Roman"/>
          <w:szCs w:val="24"/>
        </w:rPr>
        <w:t>развој</w:t>
      </w:r>
      <w:r w:rsidR="00B40F79" w:rsidRPr="00295637">
        <w:rPr>
          <w:rFonts w:ascii="Times New Roman" w:hAnsi="Times New Roman"/>
          <w:szCs w:val="24"/>
        </w:rPr>
        <w:t xml:space="preserve"> </w:t>
      </w:r>
      <w:r>
        <w:rPr>
          <w:rFonts w:ascii="Times New Roman" w:hAnsi="Times New Roman"/>
          <w:szCs w:val="24"/>
        </w:rPr>
        <w:t>предузетничких</w:t>
      </w:r>
      <w:r w:rsidR="00B40F79" w:rsidRPr="00295637">
        <w:rPr>
          <w:rFonts w:ascii="Times New Roman" w:hAnsi="Times New Roman"/>
          <w:szCs w:val="24"/>
        </w:rPr>
        <w:t xml:space="preserve"> </w:t>
      </w:r>
      <w:r>
        <w:rPr>
          <w:rFonts w:ascii="Times New Roman" w:hAnsi="Times New Roman"/>
          <w:szCs w:val="24"/>
        </w:rPr>
        <w:t>вјештина</w:t>
      </w:r>
      <w:r w:rsidR="00B40F79" w:rsidRPr="00295637">
        <w:rPr>
          <w:rFonts w:ascii="Times New Roman" w:hAnsi="Times New Roman"/>
          <w:szCs w:val="24"/>
        </w:rPr>
        <w:t xml:space="preserve"> </w:t>
      </w:r>
      <w:r>
        <w:rPr>
          <w:rFonts w:ascii="Times New Roman" w:hAnsi="Times New Roman"/>
          <w:szCs w:val="24"/>
        </w:rPr>
        <w:t>за</w:t>
      </w:r>
      <w:r w:rsidR="00B40F79" w:rsidRPr="00295637">
        <w:rPr>
          <w:rFonts w:ascii="Times New Roman" w:hAnsi="Times New Roman"/>
          <w:szCs w:val="24"/>
        </w:rPr>
        <w:t xml:space="preserve"> </w:t>
      </w:r>
      <w:r>
        <w:rPr>
          <w:rFonts w:ascii="Times New Roman" w:hAnsi="Times New Roman"/>
          <w:szCs w:val="24"/>
        </w:rPr>
        <w:t>жене</w:t>
      </w:r>
      <w:r w:rsidR="00B40F79" w:rsidRPr="00295637">
        <w:rPr>
          <w:rFonts w:ascii="Times New Roman" w:hAnsi="Times New Roman"/>
          <w:szCs w:val="24"/>
        </w:rPr>
        <w:t xml:space="preserve">. </w:t>
      </w:r>
      <w:r>
        <w:rPr>
          <w:rFonts w:ascii="Times New Roman" w:hAnsi="Times New Roman"/>
          <w:szCs w:val="24"/>
        </w:rPr>
        <w:t>Током</w:t>
      </w:r>
      <w:r w:rsidR="00CE3991" w:rsidRPr="00295637">
        <w:rPr>
          <w:rFonts w:ascii="Times New Roman" w:hAnsi="Times New Roman"/>
          <w:szCs w:val="24"/>
        </w:rPr>
        <w:t xml:space="preserve"> 2024. </w:t>
      </w:r>
      <w:r>
        <w:rPr>
          <w:rFonts w:ascii="Times New Roman" w:hAnsi="Times New Roman"/>
          <w:szCs w:val="24"/>
        </w:rPr>
        <w:t>године</w:t>
      </w:r>
      <w:r w:rsidR="00CE3991" w:rsidRPr="00295637">
        <w:rPr>
          <w:rFonts w:ascii="Times New Roman" w:hAnsi="Times New Roman"/>
          <w:szCs w:val="24"/>
        </w:rPr>
        <w:t xml:space="preserve">, </w:t>
      </w:r>
      <w:r>
        <w:rPr>
          <w:rFonts w:ascii="Times New Roman" w:hAnsi="Times New Roman"/>
          <w:szCs w:val="24"/>
        </w:rPr>
        <w:t>у</w:t>
      </w:r>
      <w:r w:rsidR="00CE3991" w:rsidRPr="00295637">
        <w:rPr>
          <w:rFonts w:ascii="Times New Roman" w:hAnsi="Times New Roman"/>
          <w:szCs w:val="24"/>
        </w:rPr>
        <w:t xml:space="preserve"> </w:t>
      </w:r>
      <w:r>
        <w:rPr>
          <w:rFonts w:ascii="Times New Roman" w:hAnsi="Times New Roman"/>
          <w:szCs w:val="24"/>
        </w:rPr>
        <w:t>оквиру</w:t>
      </w:r>
      <w:r w:rsidR="00CE3991" w:rsidRPr="00295637">
        <w:rPr>
          <w:rFonts w:ascii="Times New Roman" w:hAnsi="Times New Roman"/>
          <w:szCs w:val="24"/>
        </w:rPr>
        <w:t xml:space="preserve"> </w:t>
      </w:r>
      <w:r>
        <w:rPr>
          <w:rFonts w:ascii="Times New Roman" w:hAnsi="Times New Roman"/>
          <w:szCs w:val="24"/>
        </w:rPr>
        <w:t>пројекта</w:t>
      </w:r>
      <w:r w:rsidR="00CE3991" w:rsidRPr="00295637">
        <w:rPr>
          <w:rFonts w:ascii="Times New Roman" w:hAnsi="Times New Roman"/>
          <w:szCs w:val="24"/>
        </w:rPr>
        <w:t xml:space="preserve"> </w:t>
      </w:r>
      <w:r>
        <w:rPr>
          <w:rFonts w:ascii="Times New Roman" w:hAnsi="Times New Roman"/>
          <w:szCs w:val="24"/>
        </w:rPr>
        <w:t>одржана</w:t>
      </w:r>
      <w:r w:rsidR="00CE3991" w:rsidRPr="00295637">
        <w:rPr>
          <w:rFonts w:ascii="Times New Roman" w:hAnsi="Times New Roman"/>
          <w:szCs w:val="24"/>
        </w:rPr>
        <w:t xml:space="preserve"> </w:t>
      </w:r>
      <w:r>
        <w:rPr>
          <w:rFonts w:ascii="Times New Roman" w:hAnsi="Times New Roman"/>
          <w:szCs w:val="24"/>
        </w:rPr>
        <w:t>је</w:t>
      </w:r>
      <w:r w:rsidR="00CE3991" w:rsidRPr="00295637">
        <w:rPr>
          <w:rFonts w:ascii="Times New Roman" w:hAnsi="Times New Roman"/>
          <w:szCs w:val="24"/>
        </w:rPr>
        <w:t xml:space="preserve"> </w:t>
      </w:r>
      <w:r>
        <w:rPr>
          <w:rFonts w:ascii="Times New Roman" w:hAnsi="Times New Roman"/>
          <w:szCs w:val="24"/>
        </w:rPr>
        <w:t>радионица</w:t>
      </w:r>
      <w:r w:rsidR="00CE3991" w:rsidRPr="00295637">
        <w:rPr>
          <w:rFonts w:ascii="Times New Roman" w:hAnsi="Times New Roman"/>
          <w:szCs w:val="24"/>
        </w:rPr>
        <w:t xml:space="preserve"> </w:t>
      </w:r>
      <w:r>
        <w:rPr>
          <w:rFonts w:ascii="Times New Roman" w:hAnsi="Times New Roman"/>
          <w:szCs w:val="24"/>
        </w:rPr>
        <w:t>о</w:t>
      </w:r>
      <w:r w:rsidR="00CE3991" w:rsidRPr="00295637">
        <w:rPr>
          <w:rFonts w:ascii="Times New Roman" w:hAnsi="Times New Roman"/>
          <w:szCs w:val="24"/>
        </w:rPr>
        <w:t xml:space="preserve"> </w:t>
      </w:r>
      <w:r>
        <w:rPr>
          <w:rFonts w:ascii="Times New Roman" w:hAnsi="Times New Roman"/>
          <w:szCs w:val="24"/>
        </w:rPr>
        <w:t>стварању</w:t>
      </w:r>
      <w:r w:rsidR="00CE3991" w:rsidRPr="00295637">
        <w:rPr>
          <w:rFonts w:ascii="Times New Roman" w:hAnsi="Times New Roman"/>
          <w:szCs w:val="24"/>
        </w:rPr>
        <w:t xml:space="preserve"> </w:t>
      </w:r>
      <w:r>
        <w:rPr>
          <w:rFonts w:ascii="Times New Roman" w:hAnsi="Times New Roman"/>
          <w:szCs w:val="24"/>
        </w:rPr>
        <w:t>емпатије</w:t>
      </w:r>
      <w:r w:rsidR="00CE3991" w:rsidRPr="00295637">
        <w:rPr>
          <w:rFonts w:ascii="Times New Roman" w:hAnsi="Times New Roman"/>
          <w:szCs w:val="24"/>
        </w:rPr>
        <w:t xml:space="preserve"> </w:t>
      </w:r>
      <w:r>
        <w:rPr>
          <w:rFonts w:ascii="Times New Roman" w:hAnsi="Times New Roman"/>
          <w:szCs w:val="24"/>
        </w:rPr>
        <w:t>за</w:t>
      </w:r>
      <w:r w:rsidR="00CE3991" w:rsidRPr="00295637">
        <w:rPr>
          <w:rFonts w:ascii="Times New Roman" w:hAnsi="Times New Roman"/>
          <w:szCs w:val="24"/>
        </w:rPr>
        <w:t xml:space="preserve"> </w:t>
      </w:r>
      <w:r>
        <w:rPr>
          <w:rFonts w:ascii="Times New Roman" w:hAnsi="Times New Roman"/>
          <w:szCs w:val="24"/>
        </w:rPr>
        <w:t>предузетничке</w:t>
      </w:r>
      <w:r w:rsidR="00CE3991" w:rsidRPr="00295637">
        <w:rPr>
          <w:rFonts w:ascii="Times New Roman" w:hAnsi="Times New Roman"/>
          <w:szCs w:val="24"/>
        </w:rPr>
        <w:t xml:space="preserve"> </w:t>
      </w:r>
      <w:r>
        <w:rPr>
          <w:rFonts w:ascii="Times New Roman" w:hAnsi="Times New Roman"/>
          <w:szCs w:val="24"/>
        </w:rPr>
        <w:t>иницијативе</w:t>
      </w:r>
      <w:r w:rsidR="00CE3991" w:rsidRPr="00295637">
        <w:rPr>
          <w:rFonts w:ascii="Times New Roman" w:hAnsi="Times New Roman"/>
          <w:szCs w:val="24"/>
        </w:rPr>
        <w:t xml:space="preserve"> </w:t>
      </w:r>
      <w:r>
        <w:rPr>
          <w:rFonts w:ascii="Times New Roman" w:hAnsi="Times New Roman"/>
          <w:szCs w:val="24"/>
        </w:rPr>
        <w:t>које</w:t>
      </w:r>
      <w:r w:rsidR="00CE3991" w:rsidRPr="00295637">
        <w:rPr>
          <w:rFonts w:ascii="Times New Roman" w:hAnsi="Times New Roman"/>
          <w:szCs w:val="24"/>
        </w:rPr>
        <w:t xml:space="preserve"> </w:t>
      </w:r>
      <w:r>
        <w:rPr>
          <w:rFonts w:ascii="Times New Roman" w:hAnsi="Times New Roman"/>
          <w:szCs w:val="24"/>
        </w:rPr>
        <w:t>воде</w:t>
      </w:r>
      <w:r w:rsidR="00CE3991" w:rsidRPr="00295637">
        <w:rPr>
          <w:rFonts w:ascii="Times New Roman" w:hAnsi="Times New Roman"/>
          <w:szCs w:val="24"/>
        </w:rPr>
        <w:t xml:space="preserve"> </w:t>
      </w:r>
      <w:r>
        <w:rPr>
          <w:rFonts w:ascii="Times New Roman" w:hAnsi="Times New Roman"/>
          <w:szCs w:val="24"/>
        </w:rPr>
        <w:t>жене</w:t>
      </w:r>
      <w:r w:rsidR="00CE3991" w:rsidRPr="00295637">
        <w:rPr>
          <w:rFonts w:ascii="Times New Roman" w:hAnsi="Times New Roman"/>
          <w:szCs w:val="24"/>
        </w:rPr>
        <w:t xml:space="preserve">, </w:t>
      </w:r>
      <w:r>
        <w:rPr>
          <w:rFonts w:ascii="Times New Roman" w:hAnsi="Times New Roman"/>
          <w:szCs w:val="24"/>
        </w:rPr>
        <w:t>припремљена</w:t>
      </w:r>
      <w:r w:rsidR="00CE3991" w:rsidRPr="00295637">
        <w:rPr>
          <w:rFonts w:ascii="Times New Roman" w:hAnsi="Times New Roman"/>
          <w:szCs w:val="24"/>
        </w:rPr>
        <w:t xml:space="preserve"> </w:t>
      </w:r>
      <w:r>
        <w:rPr>
          <w:rFonts w:ascii="Times New Roman" w:hAnsi="Times New Roman"/>
          <w:szCs w:val="24"/>
        </w:rPr>
        <w:t>је</w:t>
      </w:r>
      <w:r w:rsidR="00CE3991" w:rsidRPr="00295637">
        <w:rPr>
          <w:rFonts w:ascii="Times New Roman" w:hAnsi="Times New Roman"/>
          <w:szCs w:val="24"/>
        </w:rPr>
        <w:t xml:space="preserve"> </w:t>
      </w:r>
      <w:r>
        <w:rPr>
          <w:rFonts w:ascii="Times New Roman" w:hAnsi="Times New Roman"/>
          <w:szCs w:val="24"/>
        </w:rPr>
        <w:t>анализа</w:t>
      </w:r>
      <w:r w:rsidR="00CE3991" w:rsidRPr="00295637">
        <w:rPr>
          <w:rFonts w:ascii="Times New Roman" w:hAnsi="Times New Roman"/>
          <w:szCs w:val="24"/>
        </w:rPr>
        <w:t xml:space="preserve"> </w:t>
      </w:r>
      <w:r>
        <w:rPr>
          <w:rFonts w:ascii="Times New Roman" w:hAnsi="Times New Roman"/>
          <w:szCs w:val="24"/>
        </w:rPr>
        <w:t>стања</w:t>
      </w:r>
      <w:r w:rsidR="00CE3991" w:rsidRPr="00295637">
        <w:rPr>
          <w:rFonts w:ascii="Times New Roman" w:hAnsi="Times New Roman"/>
          <w:szCs w:val="24"/>
        </w:rPr>
        <w:t xml:space="preserve"> </w:t>
      </w:r>
      <w:r>
        <w:rPr>
          <w:rFonts w:ascii="Times New Roman" w:hAnsi="Times New Roman"/>
          <w:szCs w:val="24"/>
        </w:rPr>
        <w:t>предузетништва</w:t>
      </w:r>
      <w:r w:rsidR="00CE3991" w:rsidRPr="00295637">
        <w:rPr>
          <w:rFonts w:ascii="Times New Roman" w:hAnsi="Times New Roman"/>
          <w:szCs w:val="24"/>
        </w:rPr>
        <w:t xml:space="preserve"> </w:t>
      </w:r>
      <w:r>
        <w:rPr>
          <w:rFonts w:ascii="Times New Roman" w:hAnsi="Times New Roman"/>
          <w:szCs w:val="24"/>
        </w:rPr>
        <w:t>жена</w:t>
      </w:r>
      <w:r w:rsidR="00CE3991" w:rsidRPr="00295637">
        <w:rPr>
          <w:rFonts w:ascii="Times New Roman" w:hAnsi="Times New Roman"/>
          <w:szCs w:val="24"/>
        </w:rPr>
        <w:t xml:space="preserve"> </w:t>
      </w:r>
      <w:r>
        <w:rPr>
          <w:rFonts w:ascii="Times New Roman" w:hAnsi="Times New Roman"/>
          <w:szCs w:val="24"/>
        </w:rPr>
        <w:t>у</w:t>
      </w:r>
      <w:r w:rsidR="00CE3991" w:rsidRPr="00295637">
        <w:rPr>
          <w:rFonts w:ascii="Times New Roman" w:hAnsi="Times New Roman"/>
          <w:szCs w:val="24"/>
        </w:rPr>
        <w:t xml:space="preserve"> </w:t>
      </w:r>
      <w:r>
        <w:rPr>
          <w:rFonts w:ascii="Times New Roman" w:hAnsi="Times New Roman"/>
          <w:szCs w:val="24"/>
        </w:rPr>
        <w:t>Републици</w:t>
      </w:r>
      <w:r w:rsidR="00CE3991" w:rsidRPr="00295637">
        <w:rPr>
          <w:rFonts w:ascii="Times New Roman" w:hAnsi="Times New Roman"/>
          <w:szCs w:val="24"/>
        </w:rPr>
        <w:t xml:space="preserve"> </w:t>
      </w:r>
      <w:r>
        <w:rPr>
          <w:rFonts w:ascii="Times New Roman" w:hAnsi="Times New Roman"/>
          <w:szCs w:val="24"/>
        </w:rPr>
        <w:t>Српској</w:t>
      </w:r>
      <w:r w:rsidR="00CE3991" w:rsidRPr="00295637">
        <w:rPr>
          <w:rFonts w:ascii="Times New Roman" w:hAnsi="Times New Roman"/>
          <w:szCs w:val="24"/>
        </w:rPr>
        <w:t xml:space="preserve"> </w:t>
      </w:r>
      <w:r>
        <w:rPr>
          <w:rFonts w:ascii="Times New Roman" w:hAnsi="Times New Roman"/>
          <w:szCs w:val="24"/>
        </w:rPr>
        <w:t>и</w:t>
      </w:r>
      <w:r w:rsidR="00CE3991" w:rsidRPr="00295637">
        <w:rPr>
          <w:rFonts w:ascii="Times New Roman" w:hAnsi="Times New Roman"/>
          <w:szCs w:val="24"/>
        </w:rPr>
        <w:t xml:space="preserve"> </w:t>
      </w:r>
      <w:r>
        <w:rPr>
          <w:rFonts w:ascii="Times New Roman" w:hAnsi="Times New Roman"/>
          <w:szCs w:val="24"/>
        </w:rPr>
        <w:t>проведена</w:t>
      </w:r>
      <w:r w:rsidR="00CE3991" w:rsidRPr="00295637">
        <w:rPr>
          <w:rFonts w:ascii="Times New Roman" w:hAnsi="Times New Roman"/>
          <w:szCs w:val="24"/>
        </w:rPr>
        <w:t xml:space="preserve"> </w:t>
      </w:r>
      <w:r>
        <w:rPr>
          <w:rFonts w:ascii="Times New Roman" w:hAnsi="Times New Roman"/>
          <w:szCs w:val="24"/>
        </w:rPr>
        <w:t>је</w:t>
      </w:r>
      <w:r w:rsidR="00CE3991" w:rsidRPr="00295637">
        <w:rPr>
          <w:rFonts w:ascii="Times New Roman" w:hAnsi="Times New Roman"/>
          <w:szCs w:val="24"/>
        </w:rPr>
        <w:t xml:space="preserve"> </w:t>
      </w:r>
      <w:r>
        <w:rPr>
          <w:rFonts w:ascii="Times New Roman" w:hAnsi="Times New Roman"/>
          <w:szCs w:val="24"/>
        </w:rPr>
        <w:t>анкета</w:t>
      </w:r>
      <w:r w:rsidR="00CE3991" w:rsidRPr="00295637">
        <w:rPr>
          <w:rFonts w:ascii="Times New Roman" w:hAnsi="Times New Roman"/>
          <w:szCs w:val="24"/>
        </w:rPr>
        <w:t xml:space="preserve"> </w:t>
      </w:r>
      <w:r>
        <w:rPr>
          <w:rFonts w:ascii="Times New Roman" w:hAnsi="Times New Roman"/>
          <w:szCs w:val="24"/>
        </w:rPr>
        <w:t>међу</w:t>
      </w:r>
      <w:r w:rsidR="00CE3991" w:rsidRPr="00295637">
        <w:rPr>
          <w:rFonts w:ascii="Times New Roman" w:hAnsi="Times New Roman"/>
          <w:szCs w:val="24"/>
        </w:rPr>
        <w:t xml:space="preserve"> </w:t>
      </w:r>
      <w:r>
        <w:rPr>
          <w:rFonts w:ascii="Times New Roman" w:hAnsi="Times New Roman"/>
          <w:szCs w:val="24"/>
        </w:rPr>
        <w:t>предузетницама</w:t>
      </w:r>
      <w:r w:rsidR="00CE3991" w:rsidRPr="00295637">
        <w:rPr>
          <w:rFonts w:ascii="Times New Roman" w:hAnsi="Times New Roman"/>
          <w:szCs w:val="24"/>
        </w:rPr>
        <w:t xml:space="preserve"> </w:t>
      </w:r>
      <w:r w:rsidR="00B97A56">
        <w:rPr>
          <w:rFonts w:ascii="Times New Roman" w:hAnsi="Times New Roman"/>
          <w:szCs w:val="24"/>
          <w:lang w:val="sr-Cyrl-BA"/>
        </w:rPr>
        <w:t>с</w:t>
      </w:r>
      <w:r w:rsidR="00CE3991" w:rsidRPr="00295637">
        <w:rPr>
          <w:rFonts w:ascii="Times New Roman" w:hAnsi="Times New Roman"/>
          <w:szCs w:val="24"/>
        </w:rPr>
        <w:t xml:space="preserve"> </w:t>
      </w:r>
      <w:r>
        <w:rPr>
          <w:rFonts w:ascii="Times New Roman" w:hAnsi="Times New Roman"/>
          <w:szCs w:val="24"/>
        </w:rPr>
        <w:t>циљ</w:t>
      </w:r>
      <w:r w:rsidR="00B97A56">
        <w:rPr>
          <w:rFonts w:ascii="Times New Roman" w:hAnsi="Times New Roman"/>
          <w:szCs w:val="24"/>
          <w:lang w:val="sr-Cyrl-BA"/>
        </w:rPr>
        <w:t>ем</w:t>
      </w:r>
      <w:r w:rsidR="00CE3991" w:rsidRPr="00295637">
        <w:rPr>
          <w:rFonts w:ascii="Times New Roman" w:hAnsi="Times New Roman"/>
          <w:szCs w:val="24"/>
        </w:rPr>
        <w:t xml:space="preserve"> </w:t>
      </w:r>
      <w:r>
        <w:rPr>
          <w:rFonts w:ascii="Times New Roman" w:hAnsi="Times New Roman"/>
          <w:szCs w:val="24"/>
        </w:rPr>
        <w:t>сагледавања</w:t>
      </w:r>
      <w:r w:rsidR="00FA0756">
        <w:rPr>
          <w:rFonts w:ascii="Times New Roman" w:hAnsi="Times New Roman"/>
          <w:szCs w:val="24"/>
        </w:rPr>
        <w:t xml:space="preserve"> </w:t>
      </w:r>
      <w:r>
        <w:rPr>
          <w:rFonts w:ascii="Times New Roman" w:hAnsi="Times New Roman"/>
          <w:szCs w:val="24"/>
        </w:rPr>
        <w:t>потреба</w:t>
      </w:r>
      <w:r w:rsidR="00FA0756">
        <w:rPr>
          <w:rFonts w:ascii="Times New Roman" w:hAnsi="Times New Roman"/>
          <w:szCs w:val="24"/>
        </w:rPr>
        <w:t xml:space="preserve"> </w:t>
      </w:r>
      <w:r>
        <w:rPr>
          <w:rFonts w:ascii="Times New Roman" w:hAnsi="Times New Roman"/>
          <w:szCs w:val="24"/>
        </w:rPr>
        <w:t>и</w:t>
      </w:r>
      <w:r w:rsidR="00FA0756">
        <w:rPr>
          <w:rFonts w:ascii="Times New Roman" w:hAnsi="Times New Roman"/>
          <w:szCs w:val="24"/>
        </w:rPr>
        <w:t xml:space="preserve"> </w:t>
      </w:r>
      <w:r>
        <w:rPr>
          <w:rFonts w:ascii="Times New Roman" w:hAnsi="Times New Roman"/>
          <w:szCs w:val="24"/>
        </w:rPr>
        <w:t>изазова</w:t>
      </w:r>
      <w:r w:rsidR="00FA0756">
        <w:rPr>
          <w:rFonts w:ascii="Times New Roman" w:hAnsi="Times New Roman"/>
          <w:szCs w:val="24"/>
        </w:rPr>
        <w:t xml:space="preserve"> </w:t>
      </w:r>
      <w:r>
        <w:rPr>
          <w:rFonts w:ascii="Times New Roman" w:hAnsi="Times New Roman"/>
          <w:szCs w:val="24"/>
        </w:rPr>
        <w:t>са</w:t>
      </w:r>
      <w:r w:rsidR="00CE3991" w:rsidRPr="00295637">
        <w:rPr>
          <w:rFonts w:ascii="Times New Roman" w:hAnsi="Times New Roman"/>
          <w:szCs w:val="24"/>
        </w:rPr>
        <w:t xml:space="preserve"> </w:t>
      </w:r>
      <w:r>
        <w:rPr>
          <w:rFonts w:ascii="Times New Roman" w:hAnsi="Times New Roman"/>
          <w:szCs w:val="24"/>
        </w:rPr>
        <w:t>којима</w:t>
      </w:r>
      <w:r w:rsidR="00CE3991" w:rsidRPr="00295637">
        <w:rPr>
          <w:rFonts w:ascii="Times New Roman" w:hAnsi="Times New Roman"/>
          <w:szCs w:val="24"/>
        </w:rPr>
        <w:t xml:space="preserve"> </w:t>
      </w:r>
      <w:r>
        <w:rPr>
          <w:rFonts w:ascii="Times New Roman" w:hAnsi="Times New Roman"/>
          <w:szCs w:val="24"/>
        </w:rPr>
        <w:t>се</w:t>
      </w:r>
      <w:r w:rsidR="00CE3991" w:rsidRPr="00295637">
        <w:rPr>
          <w:rFonts w:ascii="Times New Roman" w:hAnsi="Times New Roman"/>
          <w:szCs w:val="24"/>
        </w:rPr>
        <w:t xml:space="preserve"> </w:t>
      </w:r>
      <w:r>
        <w:rPr>
          <w:rFonts w:ascii="Times New Roman" w:hAnsi="Times New Roman"/>
          <w:szCs w:val="24"/>
        </w:rPr>
        <w:t>сусрећу</w:t>
      </w:r>
      <w:r w:rsidR="00CE3991" w:rsidRPr="00295637">
        <w:rPr>
          <w:rFonts w:ascii="Times New Roman" w:hAnsi="Times New Roman"/>
          <w:szCs w:val="24"/>
        </w:rPr>
        <w:t>.</w:t>
      </w:r>
    </w:p>
    <w:p w:rsidR="008E4BD2" w:rsidRPr="00295637" w:rsidRDefault="008E4BD2" w:rsidP="0086268D">
      <w:pPr>
        <w:pStyle w:val="Normal1"/>
        <w:jc w:val="both"/>
        <w:rPr>
          <w:rFonts w:ascii="Times New Roman" w:hAnsi="Times New Roman"/>
        </w:rPr>
      </w:pPr>
    </w:p>
    <w:p w:rsidR="00292D43" w:rsidRPr="00B97A56" w:rsidRDefault="00B97A56" w:rsidP="0086268D">
      <w:pPr>
        <w:pStyle w:val="HTMLPreformatted"/>
        <w:jc w:val="both"/>
        <w:rPr>
          <w:rFonts w:ascii="Times New Roman" w:hAnsi="Times New Roman" w:cs="Times New Roman"/>
          <w:sz w:val="24"/>
          <w:szCs w:val="24"/>
        </w:rPr>
      </w:pPr>
      <w:r w:rsidRPr="00B97A56">
        <w:rPr>
          <w:rFonts w:ascii="Times New Roman" w:hAnsi="Times New Roman" w:cs="Times New Roman"/>
          <w:i/>
          <w:sz w:val="24"/>
          <w:szCs w:val="24"/>
          <w:lang w:val="hr-BA"/>
        </w:rPr>
        <w:t>UN Women</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је</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уз</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финансијску</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помоћ</w:t>
      </w:r>
      <w:r w:rsidR="00292D43" w:rsidRPr="00295637">
        <w:rPr>
          <w:rStyle w:val="y2iqfc"/>
          <w:rFonts w:ascii="Times New Roman" w:hAnsi="Times New Roman" w:cs="Times New Roman"/>
          <w:sz w:val="24"/>
          <w:szCs w:val="24"/>
        </w:rPr>
        <w:t xml:space="preserve"> </w:t>
      </w:r>
      <w:r w:rsidRPr="00B97A56">
        <w:rPr>
          <w:rFonts w:ascii="Times New Roman" w:hAnsi="Times New Roman" w:cs="Times New Roman"/>
          <w:i/>
          <w:sz w:val="24"/>
          <w:szCs w:val="24"/>
          <w:lang w:val="hr-BA"/>
        </w:rPr>
        <w:t>SIDA</w:t>
      </w:r>
      <w:r w:rsidR="00D12A7C">
        <w:rPr>
          <w:rStyle w:val="y2iqfc"/>
          <w:rFonts w:ascii="Times New Roman" w:hAnsi="Times New Roman" w:cs="Times New Roman"/>
          <w:sz w:val="24"/>
          <w:szCs w:val="24"/>
        </w:rPr>
        <w:t>-</w:t>
      </w:r>
      <w:r w:rsidR="00C6214E">
        <w:rPr>
          <w:rStyle w:val="y2iqfc"/>
          <w:rFonts w:ascii="Times New Roman" w:hAnsi="Times New Roman" w:cs="Times New Roman"/>
          <w:sz w:val="24"/>
          <w:szCs w:val="24"/>
        </w:rPr>
        <w:t>е</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ојачао</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системе</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и</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капацитете</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за</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економско</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оснаживање</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жена</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и</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то</w:t>
      </w:r>
      <w:r w:rsidR="00292D43" w:rsidRPr="00295637">
        <w:rPr>
          <w:rStyle w:val="y2iqfc"/>
          <w:rFonts w:ascii="Times New Roman" w:hAnsi="Times New Roman" w:cs="Times New Roman"/>
          <w:sz w:val="24"/>
          <w:szCs w:val="24"/>
        </w:rPr>
        <w:t>:</w:t>
      </w:r>
      <w:r w:rsidR="000B61D0"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покренута</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је</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прва</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онл</w:t>
      </w:r>
      <w:r>
        <w:rPr>
          <w:rStyle w:val="y2iqfc"/>
          <w:rFonts w:ascii="Times New Roman" w:hAnsi="Times New Roman" w:cs="Times New Roman"/>
          <w:sz w:val="24"/>
          <w:szCs w:val="24"/>
          <w:lang w:val="sr-Cyrl-BA"/>
        </w:rPr>
        <w:t>ајн</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образовна</w:t>
      </w:r>
      <w:r w:rsidR="000B61D0"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платформа</w:t>
      </w:r>
      <w:r w:rsidR="000B61D0"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за</w:t>
      </w:r>
      <w:r w:rsidR="000B61D0"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жене</w:t>
      </w:r>
      <w:r w:rsidR="000B61D0"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предузетнице</w:t>
      </w:r>
      <w:r w:rsidR="000B61D0"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основан</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Савјетодавни</w:t>
      </w:r>
      <w:r w:rsidR="000B61D0"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одбор</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за</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женско</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предузетништво</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у</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БиХ</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и</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реализ</w:t>
      </w:r>
      <w:r>
        <w:rPr>
          <w:rStyle w:val="y2iqfc"/>
          <w:rFonts w:ascii="Times New Roman" w:hAnsi="Times New Roman" w:cs="Times New Roman"/>
          <w:sz w:val="24"/>
          <w:szCs w:val="24"/>
          <w:lang w:val="sr-Cyrl-BA"/>
        </w:rPr>
        <w:t>овано</w:t>
      </w:r>
      <w:r w:rsidR="000B61D0"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прво</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координи</w:t>
      </w:r>
      <w:r>
        <w:rPr>
          <w:rStyle w:val="y2iqfc"/>
          <w:rFonts w:ascii="Times New Roman" w:hAnsi="Times New Roman" w:cs="Times New Roman"/>
          <w:sz w:val="24"/>
          <w:szCs w:val="24"/>
          <w:lang w:val="sr-Cyrl-BA"/>
        </w:rPr>
        <w:t>с</w:t>
      </w:r>
      <w:r w:rsidR="00C6214E">
        <w:rPr>
          <w:rStyle w:val="y2iqfc"/>
          <w:rFonts w:ascii="Times New Roman" w:hAnsi="Times New Roman" w:cs="Times New Roman"/>
          <w:sz w:val="24"/>
          <w:szCs w:val="24"/>
        </w:rPr>
        <w:t>ано</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мапирање</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предузетничког</w:t>
      </w:r>
      <w:r w:rsidR="00292D43" w:rsidRPr="00295637">
        <w:rPr>
          <w:rStyle w:val="y2iqfc"/>
          <w:rFonts w:ascii="Times New Roman" w:hAnsi="Times New Roman" w:cs="Times New Roman"/>
          <w:sz w:val="24"/>
          <w:szCs w:val="24"/>
        </w:rPr>
        <w:t xml:space="preserve"> </w:t>
      </w:r>
      <w:r w:rsidR="00C6214E">
        <w:rPr>
          <w:rStyle w:val="y2iqfc"/>
          <w:rFonts w:ascii="Times New Roman" w:hAnsi="Times New Roman" w:cs="Times New Roman"/>
          <w:sz w:val="24"/>
          <w:szCs w:val="24"/>
        </w:rPr>
        <w:t>екосистема</w:t>
      </w:r>
      <w:r w:rsidR="000B61D0" w:rsidRPr="00295637">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Пред</w:t>
      </w:r>
      <w:r w:rsidR="000B61D0"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тога</w:t>
      </w:r>
      <w:r w:rsidR="000B61D0"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у</w:t>
      </w:r>
      <w:r w:rsidR="000B61D0"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сарадњи</w:t>
      </w:r>
      <w:r w:rsidR="00FA0756"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са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Фондацијом</w:t>
      </w:r>
      <w:r w:rsidR="00292D43" w:rsidRPr="00B97A56">
        <w:rPr>
          <w:rStyle w:val="y2iqfc"/>
          <w:rFonts w:ascii="Times New Roman" w:hAnsi="Times New Roman" w:cs="Times New Roman"/>
          <w:sz w:val="24"/>
          <w:szCs w:val="24"/>
        </w:rPr>
        <w:t xml:space="preserve"> </w:t>
      </w:r>
      <w:r w:rsidR="00477C5C" w:rsidRPr="00B97A56">
        <w:rPr>
          <w:rStyle w:val="y2iqfc"/>
          <w:rFonts w:ascii="Times New Roman" w:hAnsi="Times New Roman" w:cs="Times New Roman"/>
          <w:sz w:val="24"/>
          <w:szCs w:val="24"/>
        </w:rPr>
        <w:t>„</w:t>
      </w:r>
      <w:r w:rsidR="00292D43" w:rsidRPr="00B97A56">
        <w:rPr>
          <w:rStyle w:val="y2iqfc"/>
          <w:rFonts w:ascii="Times New Roman" w:hAnsi="Times New Roman" w:cs="Times New Roman"/>
          <w:sz w:val="24"/>
          <w:szCs w:val="24"/>
        </w:rPr>
        <w:t>787</w:t>
      </w:r>
      <w:r w:rsidR="00477C5C" w:rsidRPr="00B97A56">
        <w:rPr>
          <w:rStyle w:val="y2iqfc"/>
          <w:rFonts w:ascii="Times New Roman" w:hAnsi="Times New Roman" w:cs="Times New Roman"/>
          <w:sz w:val="24"/>
          <w:szCs w:val="24"/>
        </w:rPr>
        <w:t>“</w:t>
      </w:r>
      <w:r w:rsidR="00E54846" w:rsidRPr="00B97A56">
        <w:rPr>
          <w:rStyle w:val="y2iqfc"/>
          <w:rFonts w:ascii="Times New Roman" w:hAnsi="Times New Roman" w:cs="Times New Roman"/>
          <w:sz w:val="24"/>
          <w:szCs w:val="24"/>
        </w:rPr>
        <w:t>,</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кроз</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иницијативе</w:t>
      </w:r>
      <w:r w:rsidR="00477C5C" w:rsidRPr="00B97A56">
        <w:rPr>
          <w:rStyle w:val="y2iqfc"/>
          <w:rFonts w:ascii="Times New Roman" w:hAnsi="Times New Roman" w:cs="Times New Roman"/>
          <w:sz w:val="24"/>
          <w:szCs w:val="24"/>
        </w:rPr>
        <w:t>,</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као</w:t>
      </w:r>
      <w:r w:rsidR="00E54846"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што</w:t>
      </w:r>
      <w:r w:rsidR="00E54846"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су</w:t>
      </w:r>
      <w:r w:rsidR="00E54846"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Самит</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пословних</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анђела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и</w:t>
      </w:r>
      <w:r w:rsidR="00292D43" w:rsidRPr="00B97A56">
        <w:rPr>
          <w:rStyle w:val="y2iqfc"/>
          <w:rFonts w:ascii="Times New Roman" w:hAnsi="Times New Roman" w:cs="Times New Roman"/>
          <w:sz w:val="24"/>
          <w:szCs w:val="24"/>
        </w:rPr>
        <w:t xml:space="preserve"> </w:t>
      </w:r>
      <w:r w:rsidR="00FA0756" w:rsidRPr="00B97A56">
        <w:rPr>
          <w:rStyle w:val="y2iqfc"/>
          <w:rFonts w:ascii="Times New Roman" w:hAnsi="Times New Roman" w:cs="Times New Roman"/>
          <w:sz w:val="24"/>
          <w:szCs w:val="24"/>
        </w:rPr>
        <w:t>„</w:t>
      </w:r>
      <w:r w:rsidR="00C6214E" w:rsidRPr="00B97A56">
        <w:rPr>
          <w:rStyle w:val="y2iqfc"/>
          <w:rFonts w:ascii="Times New Roman" w:hAnsi="Times New Roman" w:cs="Times New Roman"/>
          <w:sz w:val="24"/>
          <w:szCs w:val="24"/>
        </w:rPr>
        <w:t>Изложбе</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жена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предузетница</w:t>
      </w:r>
      <w:r w:rsidR="00FA0756" w:rsidRPr="00B97A56">
        <w:rPr>
          <w:rStyle w:val="y2iqfc"/>
          <w:rFonts w:ascii="Times New Roman" w:hAnsi="Times New Roman" w:cs="Times New Roman"/>
          <w:sz w:val="24"/>
          <w:szCs w:val="24"/>
        </w:rPr>
        <w:t>“</w:t>
      </w:r>
      <w:r w:rsidR="00E54846" w:rsidRPr="00B97A56">
        <w:rPr>
          <w:rStyle w:val="y2iqfc"/>
          <w:rFonts w:ascii="Times New Roman" w:hAnsi="Times New Roman" w:cs="Times New Roman"/>
          <w:sz w:val="24"/>
          <w:szCs w:val="24"/>
        </w:rPr>
        <w:t>,</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развијани</w:t>
      </w:r>
      <w:r w:rsidR="00640511"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су</w:t>
      </w:r>
      <w:r w:rsidR="00640511"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капацитети</w:t>
      </w:r>
      <w:r w:rsidR="00640511"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о</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алтернативним</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методама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финансирања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и</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начинима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приступа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инвеститорима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ради</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осигурања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инвестиција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или</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стратешких</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партнерстава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за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унапређење</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пословања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Кроз</w:t>
      </w:r>
      <w:r w:rsidR="00E54846"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програм</w:t>
      </w:r>
      <w:r w:rsidR="00292D43" w:rsidRPr="00B97A56">
        <w:rPr>
          <w:rStyle w:val="y2iqfc"/>
          <w:rFonts w:ascii="Times New Roman" w:hAnsi="Times New Roman" w:cs="Times New Roman"/>
          <w:sz w:val="24"/>
          <w:szCs w:val="24"/>
        </w:rPr>
        <w:t xml:space="preserve"> </w:t>
      </w:r>
      <w:r w:rsidR="00E54846" w:rsidRPr="00B97A56">
        <w:rPr>
          <w:rStyle w:val="y2iqfc"/>
          <w:rFonts w:ascii="Times New Roman" w:hAnsi="Times New Roman" w:cs="Times New Roman"/>
          <w:sz w:val="24"/>
          <w:szCs w:val="24"/>
        </w:rPr>
        <w:t>„</w:t>
      </w:r>
      <w:r w:rsidR="00267394" w:rsidRPr="00267394">
        <w:rPr>
          <w:rStyle w:val="y2iqfc"/>
          <w:rFonts w:ascii="Times New Roman" w:hAnsi="Times New Roman" w:cs="Times New Roman"/>
          <w:i/>
          <w:sz w:val="24"/>
          <w:szCs w:val="24"/>
        </w:rPr>
        <w:t>BizUp</w:t>
      </w:r>
      <w:r w:rsidR="00E54846" w:rsidRPr="00B97A56">
        <w:rPr>
          <w:rStyle w:val="y2iqfc"/>
          <w:rFonts w:ascii="Times New Roman" w:hAnsi="Times New Roman" w:cs="Times New Roman"/>
          <w:sz w:val="24"/>
          <w:szCs w:val="24"/>
        </w:rPr>
        <w:t>“</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повећан</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је</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број</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жена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предузетница</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које</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су</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прошириле</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пословање</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захваљујући</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прилагођеном</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менторству</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стручној</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подршци</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малим</w:t>
      </w:r>
      <w:r w:rsidR="00292D43"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бесповратним</w:t>
      </w:r>
      <w:r w:rsidR="00FA0756" w:rsidRPr="00B97A56">
        <w:rPr>
          <w:rStyle w:val="y2iqfc"/>
          <w:rFonts w:ascii="Times New Roman" w:hAnsi="Times New Roman" w:cs="Times New Roman"/>
          <w:sz w:val="24"/>
          <w:szCs w:val="24"/>
        </w:rPr>
        <w:t xml:space="preserve"> </w:t>
      </w:r>
      <w:r w:rsidR="00C6214E" w:rsidRPr="00B97A56">
        <w:rPr>
          <w:rStyle w:val="y2iqfc"/>
          <w:rFonts w:ascii="Times New Roman" w:hAnsi="Times New Roman" w:cs="Times New Roman"/>
          <w:sz w:val="24"/>
          <w:szCs w:val="24"/>
        </w:rPr>
        <w:t>средствима</w:t>
      </w:r>
      <w:r w:rsidR="00292D43" w:rsidRPr="00B97A56">
        <w:rPr>
          <w:rStyle w:val="y2iqfc"/>
          <w:rFonts w:ascii="Times New Roman" w:hAnsi="Times New Roman" w:cs="Times New Roman"/>
          <w:sz w:val="24"/>
          <w:szCs w:val="24"/>
        </w:rPr>
        <w:t>.</w:t>
      </w:r>
    </w:p>
    <w:p w:rsidR="00292D43" w:rsidRPr="00295637" w:rsidRDefault="00292D43" w:rsidP="0086268D">
      <w:pPr>
        <w:pStyle w:val="HTMLPreformatted"/>
        <w:ind w:left="720"/>
        <w:jc w:val="both"/>
        <w:rPr>
          <w:rStyle w:val="y2iqfc"/>
          <w:rFonts w:ascii="Times New Roman" w:hAnsi="Times New Roman" w:cs="Times New Roman"/>
          <w:sz w:val="24"/>
          <w:szCs w:val="24"/>
        </w:rPr>
      </w:pPr>
    </w:p>
    <w:p w:rsidR="00292D43" w:rsidRPr="00B97A56" w:rsidRDefault="00C6214E" w:rsidP="0086268D">
      <w:pPr>
        <w:pStyle w:val="HTMLPreformatted"/>
        <w:jc w:val="both"/>
        <w:rPr>
          <w:rFonts w:ascii="Times New Roman" w:hAnsi="Times New Roman" w:cs="Times New Roman"/>
          <w:sz w:val="24"/>
          <w:szCs w:val="24"/>
          <w:lang w:val="en-US"/>
        </w:rPr>
      </w:pPr>
      <w:r>
        <w:rPr>
          <w:rFonts w:ascii="Times New Roman" w:hAnsi="Times New Roman" w:cs="Times New Roman"/>
          <w:sz w:val="24"/>
          <w:szCs w:val="24"/>
        </w:rPr>
        <w:t>МОР</w:t>
      </w:r>
      <w:r w:rsidR="00640511" w:rsidRPr="00295637">
        <w:rPr>
          <w:rFonts w:ascii="Times New Roman" w:hAnsi="Times New Roman" w:cs="Times New Roman"/>
          <w:sz w:val="24"/>
          <w:szCs w:val="24"/>
        </w:rPr>
        <w:t xml:space="preserve"> </w:t>
      </w:r>
      <w:r>
        <w:rPr>
          <w:rFonts w:ascii="Times New Roman" w:hAnsi="Times New Roman" w:cs="Times New Roman"/>
          <w:sz w:val="24"/>
          <w:szCs w:val="24"/>
        </w:rPr>
        <w:t>је</w:t>
      </w:r>
      <w:r w:rsidR="00640511" w:rsidRPr="00295637">
        <w:rPr>
          <w:rFonts w:ascii="Times New Roman" w:hAnsi="Times New Roman" w:cs="Times New Roman"/>
          <w:sz w:val="24"/>
          <w:szCs w:val="24"/>
        </w:rPr>
        <w:t xml:space="preserve"> </w:t>
      </w:r>
      <w:r>
        <w:rPr>
          <w:rFonts w:ascii="Times New Roman" w:hAnsi="Times New Roman" w:cs="Times New Roman"/>
          <w:sz w:val="24"/>
          <w:szCs w:val="24"/>
        </w:rPr>
        <w:t>проводио</w:t>
      </w:r>
      <w:r w:rsidR="00640511" w:rsidRPr="00295637">
        <w:rPr>
          <w:rFonts w:ascii="Times New Roman" w:hAnsi="Times New Roman" w:cs="Times New Roman"/>
          <w:sz w:val="24"/>
          <w:szCs w:val="24"/>
        </w:rPr>
        <w:t xml:space="preserve"> </w:t>
      </w:r>
      <w:r>
        <w:rPr>
          <w:rFonts w:ascii="Times New Roman" w:hAnsi="Times New Roman" w:cs="Times New Roman"/>
          <w:sz w:val="24"/>
          <w:szCs w:val="24"/>
        </w:rPr>
        <w:t>пројекат</w:t>
      </w:r>
      <w:r w:rsidR="008E4BD2" w:rsidRPr="00295637">
        <w:rPr>
          <w:rFonts w:ascii="Times New Roman" w:hAnsi="Times New Roman" w:cs="Times New Roman"/>
          <w:sz w:val="24"/>
          <w:szCs w:val="24"/>
        </w:rPr>
        <w:t xml:space="preserve"> </w:t>
      </w:r>
      <w:r w:rsidR="00B2330E" w:rsidRPr="00295637">
        <w:rPr>
          <w:rFonts w:ascii="Times New Roman" w:hAnsi="Times New Roman" w:cs="Times New Roman"/>
          <w:sz w:val="24"/>
          <w:szCs w:val="24"/>
        </w:rPr>
        <w:t>„</w:t>
      </w:r>
      <w:r w:rsidR="00B97A56" w:rsidRPr="00B97A56">
        <w:rPr>
          <w:rFonts w:ascii="Times New Roman" w:hAnsi="Times New Roman" w:cs="Times New Roman"/>
          <w:i/>
          <w:sz w:val="24"/>
          <w:szCs w:val="24"/>
          <w:lang w:val="hr-BA"/>
        </w:rPr>
        <w:t>EU4Employment</w:t>
      </w:r>
      <w:r w:rsidR="00B2330E" w:rsidRPr="00295637">
        <w:rPr>
          <w:rFonts w:ascii="Times New Roman" w:hAnsi="Times New Roman" w:cs="Times New Roman"/>
          <w:sz w:val="24"/>
          <w:szCs w:val="24"/>
        </w:rPr>
        <w:t>“</w:t>
      </w:r>
      <w:r w:rsidR="008E4BD2" w:rsidRPr="00295637">
        <w:rPr>
          <w:rFonts w:ascii="Times New Roman" w:hAnsi="Times New Roman" w:cs="Times New Roman"/>
          <w:sz w:val="24"/>
          <w:szCs w:val="24"/>
        </w:rPr>
        <w:t xml:space="preserve"> </w:t>
      </w:r>
      <w:r>
        <w:rPr>
          <w:rFonts w:ascii="Times New Roman" w:hAnsi="Times New Roman" w:cs="Times New Roman"/>
          <w:sz w:val="24"/>
          <w:szCs w:val="24"/>
        </w:rPr>
        <w:t>којег</w:t>
      </w:r>
      <w:r w:rsidR="008E4BD2" w:rsidRPr="00295637">
        <w:rPr>
          <w:rFonts w:ascii="Times New Roman" w:hAnsi="Times New Roman" w:cs="Times New Roman"/>
          <w:sz w:val="24"/>
          <w:szCs w:val="24"/>
        </w:rPr>
        <w:t xml:space="preserve"> </w:t>
      </w:r>
      <w:r>
        <w:rPr>
          <w:rFonts w:ascii="Times New Roman" w:hAnsi="Times New Roman" w:cs="Times New Roman"/>
          <w:sz w:val="24"/>
          <w:szCs w:val="24"/>
        </w:rPr>
        <w:t>финансирају</w:t>
      </w:r>
      <w:r w:rsidR="008E4BD2" w:rsidRPr="00295637">
        <w:rPr>
          <w:rFonts w:ascii="Times New Roman" w:hAnsi="Times New Roman" w:cs="Times New Roman"/>
          <w:sz w:val="24"/>
          <w:szCs w:val="24"/>
        </w:rPr>
        <w:t xml:space="preserve"> </w:t>
      </w:r>
      <w:r w:rsidR="00B97A56" w:rsidRPr="00B97A56">
        <w:rPr>
          <w:rFonts w:ascii="Times New Roman" w:hAnsi="Times New Roman" w:cs="Times New Roman"/>
          <w:i/>
          <w:sz w:val="24"/>
          <w:szCs w:val="24"/>
          <w:lang w:val="hr-BA"/>
        </w:rPr>
        <w:t>SIDA</w:t>
      </w:r>
      <w:r w:rsidR="008E4BD2" w:rsidRPr="00295637">
        <w:rPr>
          <w:rFonts w:ascii="Times New Roman" w:hAnsi="Times New Roman" w:cs="Times New Roman"/>
          <w:sz w:val="24"/>
          <w:szCs w:val="24"/>
        </w:rPr>
        <w:t xml:space="preserve"> </w:t>
      </w:r>
      <w:r>
        <w:rPr>
          <w:rFonts w:ascii="Times New Roman" w:hAnsi="Times New Roman" w:cs="Times New Roman"/>
          <w:sz w:val="24"/>
          <w:szCs w:val="24"/>
        </w:rPr>
        <w:t>и</w:t>
      </w:r>
      <w:r w:rsidR="008E4BD2" w:rsidRPr="00295637">
        <w:rPr>
          <w:rFonts w:ascii="Times New Roman" w:hAnsi="Times New Roman" w:cs="Times New Roman"/>
          <w:sz w:val="24"/>
          <w:szCs w:val="24"/>
        </w:rPr>
        <w:t xml:space="preserve"> </w:t>
      </w:r>
      <w:r>
        <w:rPr>
          <w:rFonts w:ascii="Times New Roman" w:hAnsi="Times New Roman" w:cs="Times New Roman"/>
          <w:sz w:val="24"/>
          <w:szCs w:val="24"/>
        </w:rPr>
        <w:t>ЕУ</w:t>
      </w:r>
      <w:r w:rsidR="008E4BD2" w:rsidRPr="00295637">
        <w:rPr>
          <w:rFonts w:ascii="Times New Roman" w:hAnsi="Times New Roman" w:cs="Times New Roman"/>
          <w:sz w:val="24"/>
          <w:szCs w:val="24"/>
        </w:rPr>
        <w:t xml:space="preserve">, </w:t>
      </w:r>
      <w:r>
        <w:rPr>
          <w:rFonts w:ascii="Times New Roman" w:hAnsi="Times New Roman" w:cs="Times New Roman"/>
          <w:sz w:val="24"/>
          <w:szCs w:val="24"/>
        </w:rPr>
        <w:t>који</w:t>
      </w:r>
      <w:r w:rsidR="008E4BD2" w:rsidRPr="00295637">
        <w:rPr>
          <w:rFonts w:ascii="Times New Roman" w:hAnsi="Times New Roman" w:cs="Times New Roman"/>
          <w:sz w:val="24"/>
          <w:szCs w:val="24"/>
        </w:rPr>
        <w:t xml:space="preserve"> </w:t>
      </w:r>
      <w:r>
        <w:rPr>
          <w:rFonts w:ascii="Times New Roman" w:hAnsi="Times New Roman" w:cs="Times New Roman"/>
          <w:sz w:val="24"/>
          <w:szCs w:val="24"/>
        </w:rPr>
        <w:t>има</w:t>
      </w:r>
      <w:r w:rsidR="008E4BD2" w:rsidRPr="00295637">
        <w:rPr>
          <w:rFonts w:ascii="Times New Roman" w:hAnsi="Times New Roman" w:cs="Times New Roman"/>
          <w:sz w:val="24"/>
          <w:szCs w:val="24"/>
        </w:rPr>
        <w:t xml:space="preserve"> </w:t>
      </w:r>
      <w:r>
        <w:rPr>
          <w:rFonts w:ascii="Times New Roman" w:hAnsi="Times New Roman" w:cs="Times New Roman"/>
          <w:sz w:val="24"/>
          <w:szCs w:val="24"/>
        </w:rPr>
        <w:t>за</w:t>
      </w:r>
      <w:r w:rsidR="008E4BD2" w:rsidRPr="00295637">
        <w:rPr>
          <w:rFonts w:ascii="Times New Roman" w:hAnsi="Times New Roman" w:cs="Times New Roman"/>
          <w:sz w:val="24"/>
          <w:szCs w:val="24"/>
        </w:rPr>
        <w:t xml:space="preserve"> </w:t>
      </w:r>
      <w:r>
        <w:rPr>
          <w:rFonts w:ascii="Times New Roman" w:hAnsi="Times New Roman" w:cs="Times New Roman"/>
          <w:sz w:val="24"/>
          <w:szCs w:val="24"/>
        </w:rPr>
        <w:t>циљ</w:t>
      </w:r>
      <w:r w:rsidR="008E4BD2" w:rsidRPr="00295637">
        <w:rPr>
          <w:rFonts w:ascii="Times New Roman" w:hAnsi="Times New Roman" w:cs="Times New Roman"/>
          <w:sz w:val="24"/>
          <w:szCs w:val="24"/>
        </w:rPr>
        <w:t xml:space="preserve"> </w:t>
      </w:r>
      <w:r w:rsidRPr="00B97A56">
        <w:rPr>
          <w:rStyle w:val="y2iqfc"/>
          <w:rFonts w:ascii="Times New Roman" w:hAnsi="Times New Roman" w:cs="Times New Roman"/>
          <w:sz w:val="24"/>
          <w:szCs w:val="24"/>
        </w:rPr>
        <w:t>рјешавање</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структурних</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изазова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на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тржишту</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рада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у</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Босни</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и</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Херцеговини</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који</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несразмјерно</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утичу</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на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жене</w:t>
      </w:r>
      <w:r w:rsidR="00455A29"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младе</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и</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лица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из</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рањивих</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група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Циљ</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је</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запошљавање</w:t>
      </w:r>
      <w:r w:rsidR="00292D43" w:rsidRPr="00B97A56">
        <w:rPr>
          <w:rStyle w:val="y2iqfc"/>
          <w:rFonts w:ascii="Times New Roman" w:hAnsi="Times New Roman" w:cs="Times New Roman"/>
          <w:sz w:val="24"/>
          <w:szCs w:val="24"/>
        </w:rPr>
        <w:t xml:space="preserve"> 625 </w:t>
      </w:r>
      <w:r w:rsidRPr="00B97A56">
        <w:rPr>
          <w:rStyle w:val="y2iqfc"/>
          <w:rFonts w:ascii="Times New Roman" w:hAnsi="Times New Roman" w:cs="Times New Roman"/>
          <w:sz w:val="24"/>
          <w:szCs w:val="24"/>
        </w:rPr>
        <w:t>лица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најмање</w:t>
      </w:r>
      <w:r w:rsidR="00292D43" w:rsidRPr="00B97A56">
        <w:rPr>
          <w:rStyle w:val="y2iqfc"/>
          <w:rFonts w:ascii="Times New Roman" w:hAnsi="Times New Roman" w:cs="Times New Roman"/>
          <w:sz w:val="24"/>
          <w:szCs w:val="24"/>
        </w:rPr>
        <w:t xml:space="preserve"> 50% </w:t>
      </w:r>
      <w:r w:rsidRPr="00B97A56">
        <w:rPr>
          <w:rStyle w:val="y2iqfc"/>
          <w:rFonts w:ascii="Times New Roman" w:hAnsi="Times New Roman" w:cs="Times New Roman"/>
          <w:sz w:val="24"/>
          <w:szCs w:val="24"/>
        </w:rPr>
        <w:t>жена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према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прелиминарним</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подацима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до</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сада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је</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кроз</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интервенције</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запослено</w:t>
      </w:r>
      <w:r w:rsidR="00292D43" w:rsidRPr="00B97A56">
        <w:rPr>
          <w:rStyle w:val="y2iqfc"/>
          <w:rFonts w:ascii="Times New Roman" w:hAnsi="Times New Roman" w:cs="Times New Roman"/>
          <w:sz w:val="24"/>
          <w:szCs w:val="24"/>
        </w:rPr>
        <w:t xml:space="preserve"> 375 </w:t>
      </w:r>
      <w:r w:rsidRPr="00B97A56">
        <w:rPr>
          <w:rStyle w:val="y2iqfc"/>
          <w:rFonts w:ascii="Times New Roman" w:hAnsi="Times New Roman" w:cs="Times New Roman"/>
          <w:sz w:val="24"/>
          <w:szCs w:val="24"/>
        </w:rPr>
        <w:t>лица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од</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којих</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је</w:t>
      </w:r>
      <w:r w:rsidR="00292D43" w:rsidRPr="00B97A56">
        <w:rPr>
          <w:rStyle w:val="y2iqfc"/>
          <w:rFonts w:ascii="Times New Roman" w:hAnsi="Times New Roman" w:cs="Times New Roman"/>
          <w:sz w:val="24"/>
          <w:szCs w:val="24"/>
        </w:rPr>
        <w:t xml:space="preserve"> 216 </w:t>
      </w:r>
      <w:r w:rsidRPr="00B97A56">
        <w:rPr>
          <w:rStyle w:val="y2iqfc"/>
          <w:rFonts w:ascii="Times New Roman" w:hAnsi="Times New Roman" w:cs="Times New Roman"/>
          <w:sz w:val="24"/>
          <w:szCs w:val="24"/>
        </w:rPr>
        <w:t>жена</w:t>
      </w:r>
      <w:r w:rsidR="00292D43" w:rsidRPr="00B97A56">
        <w:rPr>
          <w:rStyle w:val="y2iqfc"/>
          <w:rFonts w:ascii="Times New Roman" w:hAnsi="Times New Roman" w:cs="Times New Roman"/>
          <w:sz w:val="24"/>
          <w:szCs w:val="24"/>
        </w:rPr>
        <w:t xml:space="preserve"> (57,6%), </w:t>
      </w:r>
      <w:r w:rsidRPr="00B97A56">
        <w:rPr>
          <w:rStyle w:val="y2iqfc"/>
          <w:rFonts w:ascii="Times New Roman" w:hAnsi="Times New Roman" w:cs="Times New Roman"/>
          <w:sz w:val="24"/>
          <w:szCs w:val="24"/>
        </w:rPr>
        <w:t>укључујући</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на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активацију</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и</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запошљавање</w:t>
      </w:r>
      <w:r w:rsidR="00292D43" w:rsidRPr="00B97A56">
        <w:rPr>
          <w:rStyle w:val="y2iqfc"/>
          <w:rFonts w:ascii="Times New Roman" w:hAnsi="Times New Roman" w:cs="Times New Roman"/>
          <w:sz w:val="24"/>
          <w:szCs w:val="24"/>
        </w:rPr>
        <w:t xml:space="preserve"> 105 </w:t>
      </w:r>
      <w:r w:rsidRPr="00B97A56">
        <w:rPr>
          <w:rStyle w:val="y2iqfc"/>
          <w:rFonts w:ascii="Times New Roman" w:hAnsi="Times New Roman" w:cs="Times New Roman"/>
          <w:sz w:val="24"/>
          <w:szCs w:val="24"/>
        </w:rPr>
        <w:t>тешко</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запошљивих</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жена</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из</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руралних</w:t>
      </w:r>
      <w:r w:rsidR="00292D43"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области</w:t>
      </w:r>
      <w:r w:rsidR="00292D43" w:rsidRPr="00B97A56">
        <w:rPr>
          <w:rStyle w:val="y2iqfc"/>
          <w:rFonts w:ascii="Times New Roman" w:hAnsi="Times New Roman" w:cs="Times New Roman"/>
          <w:sz w:val="24"/>
          <w:szCs w:val="24"/>
        </w:rPr>
        <w:t>.</w:t>
      </w:r>
    </w:p>
    <w:p w:rsidR="00292D43" w:rsidRPr="00B97A56" w:rsidRDefault="00292D43" w:rsidP="0086268D">
      <w:pPr>
        <w:pStyle w:val="HTMLPreformatted"/>
        <w:jc w:val="both"/>
        <w:rPr>
          <w:rStyle w:val="y2iqfc"/>
          <w:rFonts w:ascii="Times New Roman" w:hAnsi="Times New Roman" w:cs="Times New Roman"/>
          <w:sz w:val="24"/>
          <w:szCs w:val="24"/>
        </w:rPr>
      </w:pPr>
    </w:p>
    <w:p w:rsidR="00F70416" w:rsidRPr="00B97A56" w:rsidRDefault="00C6214E" w:rsidP="0086268D">
      <w:pPr>
        <w:pStyle w:val="HTMLPreformatted"/>
        <w:jc w:val="both"/>
        <w:rPr>
          <w:rFonts w:ascii="Times New Roman" w:hAnsi="Times New Roman" w:cs="Times New Roman"/>
          <w:sz w:val="24"/>
          <w:szCs w:val="24"/>
          <w:lang w:val="en-US"/>
        </w:rPr>
      </w:pPr>
      <w:r w:rsidRPr="00B97A56">
        <w:rPr>
          <w:rStyle w:val="y2iqfc"/>
          <w:rFonts w:ascii="Times New Roman" w:hAnsi="Times New Roman" w:cs="Times New Roman"/>
          <w:sz w:val="24"/>
          <w:szCs w:val="24"/>
        </w:rPr>
        <w:t>У</w:t>
      </w:r>
      <w:r w:rsidR="00FA0756"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оквиру</w:t>
      </w:r>
      <w:r w:rsidR="00FA0756"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пројекта</w:t>
      </w:r>
      <w:r w:rsidR="00FA0756"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Подршка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Европске</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уније</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локалним</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партнерствима</w:t>
      </w:r>
      <w:r w:rsidR="00FC2175"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за</w:t>
      </w:r>
      <w:r w:rsidR="00FC2175"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запошљавање</w:t>
      </w:r>
      <w:r w:rsidR="00FC2175" w:rsidRPr="00B97A56">
        <w:rPr>
          <w:rStyle w:val="y2iqfc"/>
          <w:rFonts w:ascii="Times New Roman" w:hAnsi="Times New Roman" w:cs="Times New Roman"/>
          <w:sz w:val="24"/>
          <w:szCs w:val="24"/>
        </w:rPr>
        <w:t xml:space="preserve"> - </w:t>
      </w:r>
      <w:r w:rsidRPr="00B97A56">
        <w:rPr>
          <w:rStyle w:val="y2iqfc"/>
          <w:rFonts w:ascii="Times New Roman" w:hAnsi="Times New Roman" w:cs="Times New Roman"/>
          <w:sz w:val="24"/>
          <w:szCs w:val="24"/>
        </w:rPr>
        <w:t>Фаза</w:t>
      </w:r>
      <w:r w:rsidR="00FC2175" w:rsidRPr="00B97A56">
        <w:rPr>
          <w:rStyle w:val="y2iqfc"/>
          <w:rFonts w:ascii="Times New Roman" w:hAnsi="Times New Roman" w:cs="Times New Roman"/>
          <w:sz w:val="24"/>
          <w:szCs w:val="24"/>
        </w:rPr>
        <w:t xml:space="preserve"> </w:t>
      </w:r>
      <w:r w:rsidR="00B97A56" w:rsidRPr="00B97A56">
        <w:rPr>
          <w:rStyle w:val="y2iqfc"/>
          <w:rFonts w:ascii="Times New Roman" w:hAnsi="Times New Roman" w:cs="Times New Roman"/>
          <w:sz w:val="24"/>
          <w:szCs w:val="24"/>
        </w:rPr>
        <w:t>II</w:t>
      </w:r>
      <w:r w:rsidR="00FA0756" w:rsidRPr="00B97A56">
        <w:rPr>
          <w:rStyle w:val="y2iqfc"/>
          <w:rFonts w:ascii="Times New Roman" w:hAnsi="Times New Roman" w:cs="Times New Roman"/>
          <w:sz w:val="24"/>
          <w:szCs w:val="24"/>
        </w:rPr>
        <w:t>“</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МОР</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подржава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локална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партнерства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за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запошљавање</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широм</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БиХ</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До</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краја</w:t>
      </w:r>
      <w:r w:rsidR="00A505A2" w:rsidRPr="00B97A56">
        <w:rPr>
          <w:rStyle w:val="y2iqfc"/>
          <w:rFonts w:ascii="Times New Roman" w:hAnsi="Times New Roman" w:cs="Times New Roman"/>
          <w:sz w:val="24"/>
          <w:szCs w:val="24"/>
        </w:rPr>
        <w:t xml:space="preserve"> 2024. </w:t>
      </w:r>
      <w:r w:rsidRPr="00B97A56">
        <w:rPr>
          <w:rStyle w:val="y2iqfc"/>
          <w:rFonts w:ascii="Times New Roman" w:hAnsi="Times New Roman" w:cs="Times New Roman"/>
          <w:sz w:val="24"/>
          <w:szCs w:val="24"/>
        </w:rPr>
        <w:t>године</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партнерства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су</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пружила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обуку</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за</w:t>
      </w:r>
      <w:r w:rsidR="00A505A2" w:rsidRPr="00B97A56">
        <w:rPr>
          <w:rStyle w:val="y2iqfc"/>
          <w:rFonts w:ascii="Times New Roman" w:hAnsi="Times New Roman" w:cs="Times New Roman"/>
          <w:sz w:val="24"/>
          <w:szCs w:val="24"/>
        </w:rPr>
        <w:t xml:space="preserve"> 1.917 </w:t>
      </w:r>
      <w:r w:rsidRPr="00B97A56">
        <w:rPr>
          <w:rStyle w:val="y2iqfc"/>
          <w:rFonts w:ascii="Times New Roman" w:hAnsi="Times New Roman" w:cs="Times New Roman"/>
          <w:sz w:val="24"/>
          <w:szCs w:val="24"/>
        </w:rPr>
        <w:t>корисника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и</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посредовала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у</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запошљавању</w:t>
      </w:r>
      <w:r w:rsidR="00A505A2" w:rsidRPr="00B97A56">
        <w:rPr>
          <w:rStyle w:val="y2iqfc"/>
          <w:rFonts w:ascii="Times New Roman" w:hAnsi="Times New Roman" w:cs="Times New Roman"/>
          <w:sz w:val="24"/>
          <w:szCs w:val="24"/>
        </w:rPr>
        <w:t xml:space="preserve"> 682 </w:t>
      </w:r>
      <w:r w:rsidRPr="00B97A56">
        <w:rPr>
          <w:rStyle w:val="y2iqfc"/>
          <w:rFonts w:ascii="Times New Roman" w:hAnsi="Times New Roman" w:cs="Times New Roman"/>
          <w:sz w:val="24"/>
          <w:szCs w:val="24"/>
        </w:rPr>
        <w:t>лица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од</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којих</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је</w:t>
      </w:r>
      <w:r w:rsidR="00A505A2" w:rsidRPr="00B97A56">
        <w:rPr>
          <w:rStyle w:val="y2iqfc"/>
          <w:rFonts w:ascii="Times New Roman" w:hAnsi="Times New Roman" w:cs="Times New Roman"/>
          <w:sz w:val="24"/>
          <w:szCs w:val="24"/>
        </w:rPr>
        <w:t xml:space="preserve"> 47% </w:t>
      </w:r>
      <w:r w:rsidRPr="00B97A56">
        <w:rPr>
          <w:rStyle w:val="y2iqfc"/>
          <w:rFonts w:ascii="Times New Roman" w:hAnsi="Times New Roman" w:cs="Times New Roman"/>
          <w:sz w:val="24"/>
          <w:szCs w:val="24"/>
        </w:rPr>
        <w:t>било</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жена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Занатско</w:t>
      </w:r>
      <w:r w:rsidR="00FA0756"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или</w:t>
      </w:r>
      <w:r w:rsidR="00FA0756"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дионичко</w:t>
      </w:r>
      <w:r w:rsidR="00FA0756"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друштво</w:t>
      </w:r>
      <w:r w:rsidR="00FA0756"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основало</w:t>
      </w:r>
      <w:r w:rsidR="00FA0756"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је</w:t>
      </w:r>
      <w:r w:rsidR="00FA0756" w:rsidRPr="00B97A56">
        <w:rPr>
          <w:rStyle w:val="y2iqfc"/>
          <w:rFonts w:ascii="Times New Roman" w:hAnsi="Times New Roman" w:cs="Times New Roman"/>
          <w:sz w:val="24"/>
          <w:szCs w:val="24"/>
        </w:rPr>
        <w:t xml:space="preserve"> </w:t>
      </w:r>
      <w:r w:rsidR="00A505A2" w:rsidRPr="00B97A56">
        <w:rPr>
          <w:rStyle w:val="y2iqfc"/>
          <w:rFonts w:ascii="Times New Roman" w:hAnsi="Times New Roman" w:cs="Times New Roman"/>
          <w:sz w:val="24"/>
          <w:szCs w:val="24"/>
        </w:rPr>
        <w:t xml:space="preserve">98 </w:t>
      </w:r>
      <w:r w:rsidRPr="00B97A56">
        <w:rPr>
          <w:rStyle w:val="y2iqfc"/>
          <w:rFonts w:ascii="Times New Roman" w:hAnsi="Times New Roman" w:cs="Times New Roman"/>
          <w:sz w:val="24"/>
          <w:szCs w:val="24"/>
        </w:rPr>
        <w:t>жена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На</w:t>
      </w:r>
      <w:r w:rsidR="00FA0756" w:rsidRPr="00B97A56">
        <w:rPr>
          <w:rStyle w:val="y2iqfc"/>
          <w:rFonts w:ascii="Times New Roman" w:hAnsi="Times New Roman" w:cs="Times New Roman"/>
          <w:sz w:val="24"/>
          <w:szCs w:val="24"/>
        </w:rPr>
        <w:t xml:space="preserve"> </w:t>
      </w:r>
      <w:r w:rsidR="0023797D">
        <w:rPr>
          <w:rStyle w:val="y2iqfc"/>
          <w:rFonts w:ascii="Times New Roman" w:hAnsi="Times New Roman" w:cs="Times New Roman"/>
          <w:sz w:val="24"/>
          <w:szCs w:val="24"/>
          <w:lang w:val="sr-Cyrl-BA"/>
        </w:rPr>
        <w:t>веб-</w:t>
      </w:r>
      <w:r w:rsidRPr="00B97A56">
        <w:rPr>
          <w:rStyle w:val="y2iqfc"/>
          <w:rFonts w:ascii="Times New Roman" w:hAnsi="Times New Roman" w:cs="Times New Roman"/>
          <w:sz w:val="24"/>
          <w:szCs w:val="24"/>
        </w:rPr>
        <w:t>страници</w:t>
      </w:r>
      <w:r w:rsidR="00A505A2" w:rsidRPr="00B97A56">
        <w:rPr>
          <w:rStyle w:val="y2iqfc"/>
          <w:rFonts w:ascii="Times New Roman" w:hAnsi="Times New Roman" w:cs="Times New Roman"/>
          <w:sz w:val="24"/>
          <w:szCs w:val="24"/>
        </w:rPr>
        <w:t xml:space="preserve"> </w:t>
      </w:r>
      <w:r w:rsidR="0023797D" w:rsidRPr="0023797D">
        <w:rPr>
          <w:rFonts w:ascii="Times New Roman" w:hAnsi="Times New Roman" w:cs="Times New Roman"/>
          <w:i/>
          <w:sz w:val="24"/>
          <w:szCs w:val="24"/>
          <w:lang w:val="hr-BA"/>
        </w:rPr>
        <w:t>www.partnerstvo.ba</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и</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друштвеним</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мрежама</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објављене</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су</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инспиративне</w:t>
      </w:r>
      <w:r w:rsidR="00A505A2" w:rsidRPr="00B97A56">
        <w:rPr>
          <w:rStyle w:val="y2iqfc"/>
          <w:rFonts w:ascii="Times New Roman" w:hAnsi="Times New Roman" w:cs="Times New Roman"/>
          <w:sz w:val="24"/>
          <w:szCs w:val="24"/>
        </w:rPr>
        <w:t xml:space="preserve"> </w:t>
      </w:r>
      <w:r w:rsidRPr="00B97A56">
        <w:rPr>
          <w:rStyle w:val="y2iqfc"/>
          <w:rFonts w:ascii="Times New Roman" w:hAnsi="Times New Roman" w:cs="Times New Roman"/>
          <w:sz w:val="24"/>
          <w:szCs w:val="24"/>
        </w:rPr>
        <w:t>приче</w:t>
      </w:r>
      <w:r w:rsidR="00E54846" w:rsidRPr="00B97A56">
        <w:rPr>
          <w:rStyle w:val="y2iqfc"/>
          <w:rFonts w:ascii="Times New Roman" w:hAnsi="Times New Roman" w:cs="Times New Roman"/>
          <w:sz w:val="24"/>
          <w:szCs w:val="24"/>
        </w:rPr>
        <w:t>.</w:t>
      </w:r>
    </w:p>
    <w:p w:rsidR="00A505A2" w:rsidRPr="00295637" w:rsidRDefault="00A505A2" w:rsidP="0086268D">
      <w:pPr>
        <w:pStyle w:val="HTMLPreformatted"/>
        <w:jc w:val="both"/>
        <w:rPr>
          <w:rFonts w:ascii="Times New Roman" w:hAnsi="Times New Roman" w:cs="Times New Roman"/>
          <w:color w:val="1F1F1F"/>
          <w:sz w:val="24"/>
          <w:szCs w:val="24"/>
          <w:lang w:val="en-US"/>
        </w:rPr>
      </w:pPr>
    </w:p>
    <w:p w:rsidR="00B57FE7" w:rsidRDefault="00C6214E" w:rsidP="0086268D">
      <w:pPr>
        <w:pStyle w:val="HTMLPreformatted"/>
        <w:jc w:val="both"/>
        <w:rPr>
          <w:rStyle w:val="y2iqfc"/>
          <w:rFonts w:ascii="Times New Roman" w:hAnsi="Times New Roman" w:cs="Times New Roman"/>
          <w:sz w:val="24"/>
          <w:szCs w:val="24"/>
        </w:rPr>
      </w:pPr>
      <w:r>
        <w:rPr>
          <w:rStyle w:val="y2iqfc"/>
          <w:rFonts w:ascii="Times New Roman" w:hAnsi="Times New Roman" w:cs="Times New Roman"/>
          <w:sz w:val="24"/>
          <w:szCs w:val="24"/>
        </w:rPr>
        <w:t>Свјетска</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банка</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извјештајном</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периоду</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проводила</w:t>
      </w:r>
      <w:r w:rsidR="00455A2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активности</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које</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доприносе</w:t>
      </w:r>
      <w:r w:rsidR="00455A2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побољшању</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запослености</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жена</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рјешавању</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родно</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заснованог</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насиља</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промови</w:t>
      </w:r>
      <w:r w:rsidR="0023797D">
        <w:rPr>
          <w:rStyle w:val="y2iqfc"/>
          <w:rFonts w:ascii="Times New Roman" w:hAnsi="Times New Roman" w:cs="Times New Roman"/>
          <w:sz w:val="24"/>
          <w:szCs w:val="24"/>
          <w:lang w:val="sr-Cyrl-BA"/>
        </w:rPr>
        <w:t>с</w:t>
      </w:r>
      <w:r>
        <w:rPr>
          <w:rStyle w:val="y2iqfc"/>
          <w:rFonts w:ascii="Times New Roman" w:hAnsi="Times New Roman" w:cs="Times New Roman"/>
          <w:sz w:val="24"/>
          <w:szCs w:val="24"/>
        </w:rPr>
        <w:t>ању</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женског</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лидерства</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економских</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прилика</w:t>
      </w:r>
      <w:r w:rsidR="00C72AB3"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Операције</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Свјетске</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банке</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Босни</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Херцеговини</w:t>
      </w:r>
      <w:r w:rsidR="008F7989" w:rsidRPr="00295637">
        <w:rPr>
          <w:rStyle w:val="FootnoteReference"/>
          <w:rFonts w:ascii="Times New Roman" w:hAnsi="Times New Roman" w:cs="Times New Roman"/>
          <w:sz w:val="24"/>
          <w:szCs w:val="24"/>
        </w:rPr>
        <w:footnoteReference w:id="5"/>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укључују</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дијалог</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политикама</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аналитику</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операције</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које</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подржавају</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запошљавање</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жена</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из</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рањивих</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група</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лидерство</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жена</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праведној</w:t>
      </w:r>
      <w:r w:rsidR="006407D2"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транзицији</w:t>
      </w:r>
      <w:r w:rsidR="006407D2" w:rsidRPr="00295637">
        <w:rPr>
          <w:rStyle w:val="y2iqfc"/>
          <w:rFonts w:ascii="Times New Roman" w:hAnsi="Times New Roman" w:cs="Times New Roman"/>
          <w:sz w:val="24"/>
          <w:szCs w:val="24"/>
        </w:rPr>
        <w:t>.</w:t>
      </w:r>
    </w:p>
    <w:p w:rsidR="00FC46B2" w:rsidRPr="00295637" w:rsidRDefault="00FC46B2" w:rsidP="0086268D">
      <w:pPr>
        <w:pStyle w:val="HTMLPreformatted"/>
        <w:jc w:val="both"/>
        <w:rPr>
          <w:rFonts w:ascii="Times New Roman" w:hAnsi="Times New Roman" w:cs="Times New Roman"/>
          <w:sz w:val="24"/>
          <w:szCs w:val="24"/>
          <w:lang w:val="en-US"/>
        </w:rPr>
      </w:pPr>
    </w:p>
    <w:p w:rsidR="00356C2C" w:rsidRPr="00295637" w:rsidRDefault="0023797D" w:rsidP="00D15ABE">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D15ABE">
        <w:rPr>
          <w:rFonts w:ascii="Times New Roman" w:hAnsi="Times New Roman"/>
          <w:szCs w:val="24"/>
          <w:lang w:val="bs-Latn-BA"/>
        </w:rPr>
        <w:t xml:space="preserve"> 3.5. </w:t>
      </w:r>
      <w:r w:rsidR="00C6214E">
        <w:rPr>
          <w:rFonts w:ascii="Times New Roman" w:hAnsi="Times New Roman"/>
          <w:szCs w:val="24"/>
          <w:lang w:val="bs-Latn-BA"/>
        </w:rPr>
        <w:t>Подршка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истраживањима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програмима</w:t>
      </w:r>
      <w:r w:rsidR="00050016">
        <w:rPr>
          <w:rFonts w:ascii="Times New Roman" w:hAnsi="Times New Roman"/>
          <w:szCs w:val="24"/>
          <w:lang w:val="bs-Latn-BA"/>
        </w:rPr>
        <w:t xml:space="preserve"> </w:t>
      </w:r>
      <w:r w:rsidR="00C6214E">
        <w:rPr>
          <w:rFonts w:ascii="Times New Roman" w:hAnsi="Times New Roman"/>
          <w:szCs w:val="24"/>
          <w:lang w:val="bs-Latn-BA"/>
        </w:rPr>
        <w:t>усмјереним</w:t>
      </w:r>
      <w:r w:rsidR="00050016">
        <w:rPr>
          <w:rFonts w:ascii="Times New Roman" w:hAnsi="Times New Roman"/>
          <w:szCs w:val="24"/>
          <w:lang w:val="bs-Latn-BA"/>
        </w:rPr>
        <w:t xml:space="preserve"> </w:t>
      </w:r>
      <w:r w:rsidR="00C6214E">
        <w:rPr>
          <w:rFonts w:ascii="Times New Roman" w:hAnsi="Times New Roman"/>
          <w:szCs w:val="24"/>
          <w:lang w:val="bs-Latn-BA"/>
        </w:rPr>
        <w:t>на</w:t>
      </w:r>
      <w:r w:rsidR="00050016">
        <w:rPr>
          <w:rFonts w:ascii="Times New Roman" w:hAnsi="Times New Roman"/>
          <w:szCs w:val="24"/>
          <w:lang w:val="bs-Latn-BA"/>
        </w:rPr>
        <w:t xml:space="preserve"> </w:t>
      </w:r>
      <w:r w:rsidR="00C6214E">
        <w:rPr>
          <w:rFonts w:ascii="Times New Roman" w:hAnsi="Times New Roman"/>
          <w:szCs w:val="24"/>
          <w:lang w:val="bs-Latn-BA"/>
        </w:rPr>
        <w:t>унапређење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положаја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тржишту</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те</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друштвеном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економском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животу</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као</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примјер</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повремени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посао</w:t>
      </w:r>
      <w:r w:rsidR="00050016">
        <w:rPr>
          <w:rFonts w:ascii="Times New Roman" w:hAnsi="Times New Roman"/>
          <w:szCs w:val="24"/>
          <w:lang w:val="bs-Latn-BA"/>
        </w:rPr>
        <w:t xml:space="preserve">, </w:t>
      </w:r>
      <w:r w:rsidR="00C6214E">
        <w:rPr>
          <w:rFonts w:ascii="Times New Roman" w:hAnsi="Times New Roman"/>
          <w:szCs w:val="24"/>
          <w:lang w:val="bs-Latn-BA"/>
        </w:rPr>
        <w:t>прекиди</w:t>
      </w:r>
      <w:r w:rsidR="00050016">
        <w:rPr>
          <w:rFonts w:ascii="Times New Roman" w:hAnsi="Times New Roman"/>
          <w:szCs w:val="24"/>
          <w:lang w:val="bs-Latn-BA"/>
        </w:rPr>
        <w:t xml:space="preserve"> </w:t>
      </w:r>
      <w:r w:rsidR="00C6214E">
        <w:rPr>
          <w:rFonts w:ascii="Times New Roman" w:hAnsi="Times New Roman"/>
          <w:szCs w:val="24"/>
          <w:lang w:val="bs-Latn-BA"/>
        </w:rPr>
        <w:t>у</w:t>
      </w:r>
      <w:r w:rsidR="00050016">
        <w:rPr>
          <w:rFonts w:ascii="Times New Roman" w:hAnsi="Times New Roman"/>
          <w:szCs w:val="24"/>
          <w:lang w:val="bs-Latn-BA"/>
        </w:rPr>
        <w:t xml:space="preserve"> </w:t>
      </w:r>
      <w:r w:rsidR="00C6214E">
        <w:rPr>
          <w:rFonts w:ascii="Times New Roman" w:hAnsi="Times New Roman"/>
          <w:szCs w:val="24"/>
          <w:lang w:val="bs-Latn-BA"/>
        </w:rPr>
        <w:t>каријери</w:t>
      </w:r>
      <w:r w:rsidR="00050016">
        <w:rPr>
          <w:rFonts w:ascii="Times New Roman" w:hAnsi="Times New Roman"/>
          <w:szCs w:val="24"/>
          <w:lang w:val="bs-Latn-BA"/>
        </w:rPr>
        <w:t xml:space="preserve">, </w:t>
      </w:r>
      <w:r w:rsidR="00C6214E">
        <w:rPr>
          <w:rFonts w:ascii="Times New Roman" w:hAnsi="Times New Roman"/>
          <w:szCs w:val="24"/>
          <w:lang w:val="bs-Latn-BA"/>
        </w:rPr>
        <w:t>јаз</w:t>
      </w:r>
      <w:r w:rsidR="00050016">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пла</w:t>
      </w:r>
      <w:r>
        <w:rPr>
          <w:rFonts w:ascii="Times New Roman" w:hAnsi="Times New Roman"/>
          <w:szCs w:val="24"/>
          <w:lang w:val="sr-Cyrl-BA"/>
        </w:rPr>
        <w:t>т</w:t>
      </w:r>
      <w:r w:rsidR="00C6214E">
        <w:rPr>
          <w:rFonts w:ascii="Times New Roman" w:hAnsi="Times New Roman"/>
          <w:szCs w:val="24"/>
          <w:lang w:val="bs-Latn-BA"/>
        </w:rPr>
        <w:t>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пензијама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др</w:t>
      </w:r>
      <w:r w:rsidR="00356C2C" w:rsidRPr="00295637">
        <w:rPr>
          <w:rFonts w:ascii="Times New Roman" w:hAnsi="Times New Roman"/>
          <w:szCs w:val="24"/>
          <w:lang w:val="bs-Latn-BA"/>
        </w:rPr>
        <w:t xml:space="preserve">. </w:t>
      </w:r>
    </w:p>
    <w:p w:rsidR="00BF30C3" w:rsidRPr="00295637" w:rsidRDefault="00BF30C3" w:rsidP="0086268D">
      <w:pPr>
        <w:jc w:val="both"/>
        <w:rPr>
          <w:rFonts w:ascii="Times New Roman" w:hAnsi="Times New Roman"/>
          <w:szCs w:val="24"/>
        </w:rPr>
      </w:pPr>
    </w:p>
    <w:p w:rsidR="00CF3762" w:rsidRPr="00295637" w:rsidRDefault="00C6214E" w:rsidP="0086268D">
      <w:pPr>
        <w:jc w:val="both"/>
        <w:rPr>
          <w:rFonts w:ascii="Times New Roman" w:hAnsi="Times New Roman"/>
          <w:szCs w:val="24"/>
        </w:rPr>
      </w:pPr>
      <w:r>
        <w:rPr>
          <w:rFonts w:ascii="Times New Roman" w:hAnsi="Times New Roman"/>
          <w:szCs w:val="24"/>
        </w:rPr>
        <w:t>АР</w:t>
      </w:r>
      <w:r w:rsidR="0023797D">
        <w:rPr>
          <w:rFonts w:ascii="Times New Roman" w:hAnsi="Times New Roman"/>
          <w:szCs w:val="24"/>
          <w:lang w:val="sr-Cyrl-BA"/>
        </w:rPr>
        <w:t>П</w:t>
      </w:r>
      <w:r w:rsidR="00FA0756">
        <w:rPr>
          <w:rFonts w:ascii="Times New Roman" w:hAnsi="Times New Roman"/>
          <w:szCs w:val="24"/>
        </w:rPr>
        <w:t xml:space="preserve"> </w:t>
      </w:r>
      <w:r>
        <w:rPr>
          <w:rFonts w:ascii="Times New Roman" w:hAnsi="Times New Roman"/>
          <w:szCs w:val="24"/>
        </w:rPr>
        <w:t>БиХ</w:t>
      </w:r>
      <w:r w:rsidR="00FA0756">
        <w:rPr>
          <w:rFonts w:ascii="Times New Roman" w:hAnsi="Times New Roman"/>
          <w:szCs w:val="24"/>
        </w:rPr>
        <w:t xml:space="preserve"> </w:t>
      </w:r>
      <w:r>
        <w:rPr>
          <w:rFonts w:ascii="Times New Roman" w:hAnsi="Times New Roman"/>
          <w:szCs w:val="24"/>
        </w:rPr>
        <w:t>МЉПИ</w:t>
      </w:r>
      <w:r w:rsidR="00FA0756">
        <w:rPr>
          <w:rFonts w:ascii="Times New Roman" w:hAnsi="Times New Roman"/>
          <w:szCs w:val="24"/>
        </w:rPr>
        <w:t xml:space="preserve"> </w:t>
      </w:r>
      <w:r>
        <w:rPr>
          <w:rFonts w:ascii="Times New Roman" w:hAnsi="Times New Roman"/>
          <w:szCs w:val="24"/>
        </w:rPr>
        <w:t>БиХ</w:t>
      </w:r>
      <w:r w:rsidR="00CF3762" w:rsidRPr="00295637">
        <w:rPr>
          <w:rFonts w:ascii="Times New Roman" w:hAnsi="Times New Roman"/>
          <w:szCs w:val="24"/>
        </w:rPr>
        <w:t xml:space="preserve"> </w:t>
      </w:r>
      <w:r>
        <w:rPr>
          <w:rFonts w:ascii="Times New Roman" w:hAnsi="Times New Roman"/>
          <w:szCs w:val="24"/>
        </w:rPr>
        <w:t>је</w:t>
      </w:r>
      <w:r w:rsidR="00CF3762" w:rsidRPr="00295637">
        <w:rPr>
          <w:rFonts w:ascii="Times New Roman" w:hAnsi="Times New Roman"/>
          <w:szCs w:val="24"/>
        </w:rPr>
        <w:t xml:space="preserve"> </w:t>
      </w:r>
      <w:r>
        <w:rPr>
          <w:rFonts w:ascii="Times New Roman" w:hAnsi="Times New Roman"/>
          <w:szCs w:val="24"/>
        </w:rPr>
        <w:t>у</w:t>
      </w:r>
      <w:r w:rsidR="00CF3762" w:rsidRPr="00295637">
        <w:rPr>
          <w:rFonts w:ascii="Times New Roman" w:hAnsi="Times New Roman"/>
          <w:szCs w:val="24"/>
        </w:rPr>
        <w:t xml:space="preserve"> </w:t>
      </w:r>
      <w:r>
        <w:rPr>
          <w:rFonts w:ascii="Times New Roman" w:hAnsi="Times New Roman"/>
          <w:szCs w:val="24"/>
        </w:rPr>
        <w:t>новембру</w:t>
      </w:r>
      <w:r w:rsidR="00CF3762" w:rsidRPr="00295637">
        <w:rPr>
          <w:rFonts w:ascii="Times New Roman" w:hAnsi="Times New Roman"/>
          <w:szCs w:val="24"/>
        </w:rPr>
        <w:t xml:space="preserve"> 2024. </w:t>
      </w:r>
      <w:r>
        <w:rPr>
          <w:rFonts w:ascii="Times New Roman" w:hAnsi="Times New Roman"/>
          <w:szCs w:val="24"/>
        </w:rPr>
        <w:t>године</w:t>
      </w:r>
      <w:r w:rsidR="00CF3762" w:rsidRPr="00295637">
        <w:rPr>
          <w:rFonts w:ascii="Times New Roman" w:hAnsi="Times New Roman"/>
          <w:szCs w:val="24"/>
        </w:rPr>
        <w:t xml:space="preserve"> </w:t>
      </w:r>
      <w:r>
        <w:rPr>
          <w:rFonts w:ascii="Times New Roman" w:hAnsi="Times New Roman"/>
          <w:szCs w:val="24"/>
        </w:rPr>
        <w:t>реализ</w:t>
      </w:r>
      <w:r w:rsidR="0023797D">
        <w:rPr>
          <w:rFonts w:ascii="Times New Roman" w:hAnsi="Times New Roman"/>
          <w:szCs w:val="24"/>
          <w:lang w:val="sr-Cyrl-BA"/>
        </w:rPr>
        <w:t>овала</w:t>
      </w:r>
      <w:r w:rsidR="00CF3762" w:rsidRPr="00295637">
        <w:rPr>
          <w:rFonts w:ascii="Times New Roman" w:hAnsi="Times New Roman"/>
          <w:szCs w:val="24"/>
        </w:rPr>
        <w:t xml:space="preserve"> </w:t>
      </w:r>
      <w:r>
        <w:rPr>
          <w:rFonts w:ascii="Times New Roman" w:hAnsi="Times New Roman"/>
          <w:szCs w:val="24"/>
        </w:rPr>
        <w:t>припремне</w:t>
      </w:r>
      <w:r w:rsidR="00CF3762" w:rsidRPr="00295637">
        <w:rPr>
          <w:rFonts w:ascii="Times New Roman" w:hAnsi="Times New Roman"/>
          <w:szCs w:val="24"/>
        </w:rPr>
        <w:t xml:space="preserve"> </w:t>
      </w:r>
      <w:r>
        <w:rPr>
          <w:rFonts w:ascii="Times New Roman" w:hAnsi="Times New Roman"/>
          <w:szCs w:val="24"/>
        </w:rPr>
        <w:t>активности</w:t>
      </w:r>
      <w:r w:rsidR="00CF3762" w:rsidRPr="00295637">
        <w:rPr>
          <w:rFonts w:ascii="Times New Roman" w:hAnsi="Times New Roman"/>
          <w:szCs w:val="24"/>
        </w:rPr>
        <w:t xml:space="preserve"> (</w:t>
      </w:r>
      <w:r>
        <w:rPr>
          <w:rFonts w:ascii="Times New Roman" w:hAnsi="Times New Roman"/>
          <w:szCs w:val="24"/>
        </w:rPr>
        <w:t>опис</w:t>
      </w:r>
      <w:r w:rsidR="00CF3762" w:rsidRPr="00295637">
        <w:rPr>
          <w:rFonts w:ascii="Times New Roman" w:hAnsi="Times New Roman"/>
          <w:szCs w:val="24"/>
        </w:rPr>
        <w:t xml:space="preserve"> </w:t>
      </w:r>
      <w:r>
        <w:rPr>
          <w:rFonts w:ascii="Times New Roman" w:hAnsi="Times New Roman"/>
          <w:szCs w:val="24"/>
        </w:rPr>
        <w:t>задатка</w:t>
      </w:r>
      <w:r w:rsidR="00CF3762" w:rsidRPr="00295637">
        <w:rPr>
          <w:rFonts w:ascii="Times New Roman" w:hAnsi="Times New Roman"/>
          <w:szCs w:val="24"/>
        </w:rPr>
        <w:t xml:space="preserve"> </w:t>
      </w:r>
      <w:r>
        <w:rPr>
          <w:rFonts w:ascii="Times New Roman" w:hAnsi="Times New Roman"/>
          <w:szCs w:val="24"/>
        </w:rPr>
        <w:t>и</w:t>
      </w:r>
      <w:r w:rsidR="00CF3762" w:rsidRPr="00295637">
        <w:rPr>
          <w:rFonts w:ascii="Times New Roman" w:hAnsi="Times New Roman"/>
          <w:szCs w:val="24"/>
        </w:rPr>
        <w:t xml:space="preserve"> </w:t>
      </w:r>
      <w:r>
        <w:rPr>
          <w:rFonts w:ascii="Times New Roman" w:hAnsi="Times New Roman"/>
          <w:szCs w:val="24"/>
        </w:rPr>
        <w:t>спецификацију</w:t>
      </w:r>
      <w:r w:rsidR="00CF3762" w:rsidRPr="00295637">
        <w:rPr>
          <w:rFonts w:ascii="Times New Roman" w:hAnsi="Times New Roman"/>
          <w:szCs w:val="24"/>
        </w:rPr>
        <w:t xml:space="preserve">) </w:t>
      </w:r>
      <w:r>
        <w:rPr>
          <w:rFonts w:ascii="Times New Roman" w:hAnsi="Times New Roman"/>
          <w:szCs w:val="24"/>
        </w:rPr>
        <w:t>за</w:t>
      </w:r>
      <w:r w:rsidR="00CF3762" w:rsidRPr="00295637">
        <w:rPr>
          <w:rFonts w:ascii="Times New Roman" w:hAnsi="Times New Roman"/>
          <w:szCs w:val="24"/>
        </w:rPr>
        <w:t xml:space="preserve"> </w:t>
      </w:r>
      <w:r w:rsidR="0023797D">
        <w:rPr>
          <w:rFonts w:ascii="Times New Roman" w:hAnsi="Times New Roman"/>
          <w:szCs w:val="24"/>
          <w:lang w:val="sr-Cyrl-BA"/>
        </w:rPr>
        <w:t>спровођење</w:t>
      </w:r>
      <w:r w:rsidR="00CF3762" w:rsidRPr="00295637">
        <w:rPr>
          <w:rFonts w:ascii="Times New Roman" w:hAnsi="Times New Roman"/>
          <w:szCs w:val="24"/>
        </w:rPr>
        <w:t xml:space="preserve"> </w:t>
      </w:r>
      <w:r>
        <w:rPr>
          <w:rFonts w:ascii="Times New Roman" w:hAnsi="Times New Roman"/>
          <w:szCs w:val="24"/>
        </w:rPr>
        <w:t>родне</w:t>
      </w:r>
      <w:r w:rsidR="00CF3762" w:rsidRPr="00295637">
        <w:rPr>
          <w:rFonts w:ascii="Times New Roman" w:hAnsi="Times New Roman"/>
          <w:szCs w:val="24"/>
        </w:rPr>
        <w:t xml:space="preserve"> </w:t>
      </w:r>
      <w:r>
        <w:rPr>
          <w:rFonts w:ascii="Times New Roman" w:hAnsi="Times New Roman"/>
          <w:szCs w:val="24"/>
        </w:rPr>
        <w:t>анализе</w:t>
      </w:r>
      <w:r w:rsidR="00CF3762" w:rsidRPr="00295637">
        <w:rPr>
          <w:rFonts w:ascii="Times New Roman" w:hAnsi="Times New Roman"/>
          <w:szCs w:val="24"/>
        </w:rPr>
        <w:t xml:space="preserve"> </w:t>
      </w:r>
      <w:r>
        <w:rPr>
          <w:rFonts w:ascii="Times New Roman" w:hAnsi="Times New Roman"/>
          <w:szCs w:val="24"/>
        </w:rPr>
        <w:t>примања</w:t>
      </w:r>
      <w:r w:rsidR="00CF3762" w:rsidRPr="00295637">
        <w:rPr>
          <w:rFonts w:ascii="Times New Roman" w:hAnsi="Times New Roman"/>
          <w:szCs w:val="24"/>
        </w:rPr>
        <w:t xml:space="preserve"> </w:t>
      </w:r>
      <w:r>
        <w:rPr>
          <w:rFonts w:ascii="Times New Roman" w:hAnsi="Times New Roman"/>
          <w:szCs w:val="24"/>
        </w:rPr>
        <w:t>именованих</w:t>
      </w:r>
      <w:r w:rsidR="00CF3762" w:rsidRPr="00295637">
        <w:rPr>
          <w:rFonts w:ascii="Times New Roman" w:hAnsi="Times New Roman"/>
          <w:szCs w:val="24"/>
        </w:rPr>
        <w:t xml:space="preserve"> </w:t>
      </w:r>
      <w:r>
        <w:rPr>
          <w:rFonts w:ascii="Times New Roman" w:hAnsi="Times New Roman"/>
          <w:szCs w:val="24"/>
        </w:rPr>
        <w:t>и</w:t>
      </w:r>
      <w:r w:rsidR="00CF3762" w:rsidRPr="00295637">
        <w:rPr>
          <w:rFonts w:ascii="Times New Roman" w:hAnsi="Times New Roman"/>
          <w:szCs w:val="24"/>
        </w:rPr>
        <w:t xml:space="preserve"> </w:t>
      </w:r>
      <w:r>
        <w:rPr>
          <w:rFonts w:ascii="Times New Roman" w:hAnsi="Times New Roman"/>
          <w:szCs w:val="24"/>
        </w:rPr>
        <w:t>запослених</w:t>
      </w:r>
      <w:r w:rsidR="00CF3762" w:rsidRPr="00295637">
        <w:rPr>
          <w:rFonts w:ascii="Times New Roman" w:hAnsi="Times New Roman"/>
          <w:szCs w:val="24"/>
        </w:rPr>
        <w:t xml:space="preserve"> </w:t>
      </w:r>
      <w:r>
        <w:rPr>
          <w:rFonts w:ascii="Times New Roman" w:hAnsi="Times New Roman"/>
          <w:szCs w:val="24"/>
        </w:rPr>
        <w:t>лица</w:t>
      </w:r>
      <w:r w:rsidR="00CF3762" w:rsidRPr="00295637">
        <w:rPr>
          <w:rFonts w:ascii="Times New Roman" w:hAnsi="Times New Roman"/>
          <w:szCs w:val="24"/>
        </w:rPr>
        <w:t xml:space="preserve"> </w:t>
      </w:r>
      <w:r>
        <w:rPr>
          <w:rFonts w:ascii="Times New Roman" w:hAnsi="Times New Roman"/>
          <w:szCs w:val="24"/>
        </w:rPr>
        <w:t>у</w:t>
      </w:r>
      <w:r w:rsidR="00CF3762" w:rsidRPr="00295637">
        <w:rPr>
          <w:rFonts w:ascii="Times New Roman" w:hAnsi="Times New Roman"/>
          <w:szCs w:val="24"/>
        </w:rPr>
        <w:t xml:space="preserve"> </w:t>
      </w:r>
      <w:r>
        <w:rPr>
          <w:rFonts w:ascii="Times New Roman" w:hAnsi="Times New Roman"/>
          <w:szCs w:val="24"/>
        </w:rPr>
        <w:t>Институцијама</w:t>
      </w:r>
      <w:r w:rsidR="00EC6058" w:rsidRPr="00295637">
        <w:rPr>
          <w:rFonts w:ascii="Times New Roman" w:hAnsi="Times New Roman"/>
          <w:szCs w:val="24"/>
        </w:rPr>
        <w:t xml:space="preserve"> </w:t>
      </w:r>
      <w:r>
        <w:rPr>
          <w:rFonts w:ascii="Times New Roman" w:hAnsi="Times New Roman"/>
          <w:szCs w:val="24"/>
        </w:rPr>
        <w:t>БиХ</w:t>
      </w:r>
      <w:r w:rsidR="00EC6058" w:rsidRPr="00295637">
        <w:rPr>
          <w:rFonts w:ascii="Times New Roman" w:hAnsi="Times New Roman"/>
          <w:szCs w:val="24"/>
        </w:rPr>
        <w:t>.</w:t>
      </w:r>
      <w:r w:rsidR="00CF3762" w:rsidRPr="00295637">
        <w:rPr>
          <w:rFonts w:ascii="Times New Roman" w:hAnsi="Times New Roman"/>
          <w:szCs w:val="24"/>
        </w:rPr>
        <w:t xml:space="preserve"> </w:t>
      </w:r>
      <w:r>
        <w:rPr>
          <w:rFonts w:ascii="Times New Roman" w:hAnsi="Times New Roman"/>
          <w:szCs w:val="24"/>
        </w:rPr>
        <w:t>Током</w:t>
      </w:r>
      <w:r w:rsidR="00CF3762" w:rsidRPr="00295637">
        <w:rPr>
          <w:rFonts w:ascii="Times New Roman" w:hAnsi="Times New Roman"/>
          <w:szCs w:val="24"/>
        </w:rPr>
        <w:t xml:space="preserve"> </w:t>
      </w:r>
      <w:r>
        <w:rPr>
          <w:rFonts w:ascii="Times New Roman" w:hAnsi="Times New Roman"/>
          <w:szCs w:val="24"/>
        </w:rPr>
        <w:t>децембра</w:t>
      </w:r>
      <w:r w:rsidR="00CF3762" w:rsidRPr="00295637">
        <w:rPr>
          <w:rFonts w:ascii="Times New Roman" w:hAnsi="Times New Roman"/>
          <w:szCs w:val="24"/>
        </w:rPr>
        <w:t xml:space="preserve"> </w:t>
      </w:r>
      <w:r>
        <w:rPr>
          <w:rFonts w:ascii="Times New Roman" w:hAnsi="Times New Roman"/>
          <w:szCs w:val="24"/>
        </w:rPr>
        <w:t>почела</w:t>
      </w:r>
      <w:r w:rsidR="00CF3762" w:rsidRPr="00295637">
        <w:rPr>
          <w:rFonts w:ascii="Times New Roman" w:hAnsi="Times New Roman"/>
          <w:szCs w:val="24"/>
        </w:rPr>
        <w:t xml:space="preserve"> </w:t>
      </w:r>
      <w:r>
        <w:rPr>
          <w:rFonts w:ascii="Times New Roman" w:hAnsi="Times New Roman"/>
          <w:szCs w:val="24"/>
        </w:rPr>
        <w:t>је</w:t>
      </w:r>
      <w:r w:rsidR="00FA0756" w:rsidRPr="00295637">
        <w:rPr>
          <w:rFonts w:ascii="Times New Roman" w:hAnsi="Times New Roman"/>
          <w:szCs w:val="24"/>
        </w:rPr>
        <w:t xml:space="preserve"> </w:t>
      </w:r>
      <w:r>
        <w:rPr>
          <w:rFonts w:ascii="Times New Roman" w:hAnsi="Times New Roman"/>
          <w:szCs w:val="24"/>
        </w:rPr>
        <w:t>реализација</w:t>
      </w:r>
      <w:r w:rsidR="00CF3762" w:rsidRPr="00295637">
        <w:rPr>
          <w:rFonts w:ascii="Times New Roman" w:hAnsi="Times New Roman"/>
          <w:szCs w:val="24"/>
        </w:rPr>
        <w:t xml:space="preserve"> </w:t>
      </w:r>
      <w:r>
        <w:rPr>
          <w:rFonts w:ascii="Times New Roman" w:hAnsi="Times New Roman"/>
          <w:szCs w:val="24"/>
        </w:rPr>
        <w:t>поменутог</w:t>
      </w:r>
      <w:r w:rsidR="00CF3762" w:rsidRPr="00295637">
        <w:rPr>
          <w:rFonts w:ascii="Times New Roman" w:hAnsi="Times New Roman"/>
          <w:szCs w:val="24"/>
        </w:rPr>
        <w:t xml:space="preserve"> </w:t>
      </w:r>
      <w:r>
        <w:rPr>
          <w:rFonts w:ascii="Times New Roman" w:hAnsi="Times New Roman"/>
          <w:szCs w:val="24"/>
        </w:rPr>
        <w:t>истраживања</w:t>
      </w:r>
      <w:r w:rsidR="00CF3762" w:rsidRPr="00295637">
        <w:rPr>
          <w:rFonts w:ascii="Times New Roman" w:hAnsi="Times New Roman"/>
          <w:szCs w:val="24"/>
        </w:rPr>
        <w:t xml:space="preserve"> </w:t>
      </w:r>
      <w:r>
        <w:rPr>
          <w:rFonts w:ascii="Times New Roman" w:hAnsi="Times New Roman"/>
          <w:szCs w:val="24"/>
        </w:rPr>
        <w:t>чији</w:t>
      </w:r>
      <w:r w:rsidR="00CF3762" w:rsidRPr="00295637">
        <w:rPr>
          <w:rFonts w:ascii="Times New Roman" w:hAnsi="Times New Roman"/>
          <w:szCs w:val="24"/>
        </w:rPr>
        <w:t xml:space="preserve"> </w:t>
      </w:r>
      <w:r>
        <w:rPr>
          <w:rFonts w:ascii="Times New Roman" w:hAnsi="Times New Roman"/>
          <w:szCs w:val="24"/>
        </w:rPr>
        <w:t>ће</w:t>
      </w:r>
      <w:r w:rsidR="00CF3762" w:rsidRPr="00295637">
        <w:rPr>
          <w:rFonts w:ascii="Times New Roman" w:hAnsi="Times New Roman"/>
          <w:szCs w:val="24"/>
        </w:rPr>
        <w:t xml:space="preserve"> </w:t>
      </w:r>
      <w:r>
        <w:rPr>
          <w:rFonts w:ascii="Times New Roman" w:hAnsi="Times New Roman"/>
          <w:szCs w:val="24"/>
        </w:rPr>
        <w:t>резултати</w:t>
      </w:r>
      <w:r w:rsidR="00CF3762" w:rsidRPr="00295637">
        <w:rPr>
          <w:rFonts w:ascii="Times New Roman" w:hAnsi="Times New Roman"/>
          <w:szCs w:val="24"/>
        </w:rPr>
        <w:t xml:space="preserve"> </w:t>
      </w:r>
      <w:r>
        <w:rPr>
          <w:rFonts w:ascii="Times New Roman" w:hAnsi="Times New Roman"/>
          <w:szCs w:val="24"/>
        </w:rPr>
        <w:t>бити</w:t>
      </w:r>
      <w:r w:rsidR="00CF3762" w:rsidRPr="00295637">
        <w:rPr>
          <w:rFonts w:ascii="Times New Roman" w:hAnsi="Times New Roman"/>
          <w:szCs w:val="24"/>
        </w:rPr>
        <w:t xml:space="preserve"> </w:t>
      </w:r>
      <w:r>
        <w:rPr>
          <w:rFonts w:ascii="Times New Roman" w:hAnsi="Times New Roman"/>
          <w:szCs w:val="24"/>
        </w:rPr>
        <w:t>финализ</w:t>
      </w:r>
      <w:r w:rsidR="0023797D">
        <w:rPr>
          <w:rFonts w:ascii="Times New Roman" w:hAnsi="Times New Roman"/>
          <w:szCs w:val="24"/>
          <w:lang w:val="sr-Cyrl-BA"/>
        </w:rPr>
        <w:t>овани</w:t>
      </w:r>
      <w:r w:rsidR="00CF3762" w:rsidRPr="00295637">
        <w:rPr>
          <w:rFonts w:ascii="Times New Roman" w:hAnsi="Times New Roman"/>
          <w:szCs w:val="24"/>
        </w:rPr>
        <w:t xml:space="preserve"> </w:t>
      </w:r>
      <w:r>
        <w:rPr>
          <w:rFonts w:ascii="Times New Roman" w:hAnsi="Times New Roman"/>
          <w:szCs w:val="24"/>
        </w:rPr>
        <w:t>у</w:t>
      </w:r>
      <w:r w:rsidR="00CF3762" w:rsidRPr="00295637">
        <w:rPr>
          <w:rFonts w:ascii="Times New Roman" w:hAnsi="Times New Roman"/>
          <w:szCs w:val="24"/>
        </w:rPr>
        <w:t xml:space="preserve"> </w:t>
      </w:r>
      <w:r>
        <w:rPr>
          <w:rFonts w:ascii="Times New Roman" w:hAnsi="Times New Roman"/>
          <w:szCs w:val="24"/>
        </w:rPr>
        <w:t>првом</w:t>
      </w:r>
      <w:r w:rsidR="00CF3762" w:rsidRPr="00295637">
        <w:rPr>
          <w:rFonts w:ascii="Times New Roman" w:hAnsi="Times New Roman"/>
          <w:szCs w:val="24"/>
        </w:rPr>
        <w:t xml:space="preserve"> </w:t>
      </w:r>
      <w:r>
        <w:rPr>
          <w:rFonts w:ascii="Times New Roman" w:hAnsi="Times New Roman"/>
          <w:szCs w:val="24"/>
        </w:rPr>
        <w:t>кварталу</w:t>
      </w:r>
      <w:r w:rsidR="00CF3762" w:rsidRPr="00295637">
        <w:rPr>
          <w:rFonts w:ascii="Times New Roman" w:hAnsi="Times New Roman"/>
          <w:szCs w:val="24"/>
        </w:rPr>
        <w:t xml:space="preserve"> 2025. </w:t>
      </w:r>
      <w:r>
        <w:rPr>
          <w:rFonts w:ascii="Times New Roman" w:hAnsi="Times New Roman"/>
          <w:szCs w:val="24"/>
        </w:rPr>
        <w:t>године</w:t>
      </w:r>
      <w:r w:rsidR="00CF3762" w:rsidRPr="00295637">
        <w:rPr>
          <w:rFonts w:ascii="Times New Roman" w:hAnsi="Times New Roman"/>
          <w:szCs w:val="24"/>
        </w:rPr>
        <w:t>.</w:t>
      </w:r>
    </w:p>
    <w:p w:rsidR="00CF3762" w:rsidRPr="00295637" w:rsidRDefault="00CF3762" w:rsidP="0086268D">
      <w:pPr>
        <w:pStyle w:val="NormalWeb"/>
        <w:spacing w:before="0" w:beforeAutospacing="0" w:after="0" w:afterAutospacing="0"/>
        <w:ind w:left="576"/>
        <w:jc w:val="both"/>
        <w:rPr>
          <w:lang w:val="bs-Latn-BA"/>
        </w:rPr>
      </w:pPr>
    </w:p>
    <w:p w:rsidR="003547F5" w:rsidRPr="00295637" w:rsidRDefault="00C6214E" w:rsidP="0086268D">
      <w:pPr>
        <w:pStyle w:val="NormalWeb"/>
        <w:spacing w:before="0" w:beforeAutospacing="0" w:after="0" w:afterAutospacing="0"/>
        <w:jc w:val="both"/>
        <w:rPr>
          <w:lang w:val="bs-Latn-BA"/>
        </w:rPr>
      </w:pPr>
      <w:r>
        <w:rPr>
          <w:lang w:val="bs-Latn-BA"/>
        </w:rPr>
        <w:t>ФМЕРИ</w:t>
      </w:r>
      <w:r w:rsidR="003547F5" w:rsidRPr="00295637">
        <w:rPr>
          <w:lang w:val="bs-Latn-BA"/>
        </w:rPr>
        <w:t xml:space="preserve"> </w:t>
      </w:r>
      <w:r w:rsidR="00244392">
        <w:rPr>
          <w:lang w:val="bs-Latn-BA"/>
        </w:rPr>
        <w:t xml:space="preserve">је </w:t>
      </w:r>
      <w:r>
        <w:rPr>
          <w:lang w:val="bs-Latn-BA"/>
        </w:rPr>
        <w:t>реализ</w:t>
      </w:r>
      <w:r w:rsidR="00244392">
        <w:rPr>
          <w:lang w:val="sr-Cyrl-BA"/>
        </w:rPr>
        <w:t>овало</w:t>
      </w:r>
      <w:r w:rsidR="003547F5" w:rsidRPr="00295637">
        <w:rPr>
          <w:lang w:val="bs-Latn-BA"/>
        </w:rPr>
        <w:t xml:space="preserve"> </w:t>
      </w:r>
      <w:r>
        <w:rPr>
          <w:lang w:val="bs-Latn-BA"/>
        </w:rPr>
        <w:t>Програм</w:t>
      </w:r>
      <w:r w:rsidR="003547F5" w:rsidRPr="00295637">
        <w:rPr>
          <w:lang w:val="bs-Latn-BA"/>
        </w:rPr>
        <w:t xml:space="preserve"> </w:t>
      </w:r>
      <w:r>
        <w:rPr>
          <w:lang w:val="bs-Latn-BA"/>
        </w:rPr>
        <w:t>утрошка</w:t>
      </w:r>
      <w:r w:rsidR="003547F5" w:rsidRPr="00295637">
        <w:rPr>
          <w:lang w:val="bs-Latn-BA"/>
        </w:rPr>
        <w:t xml:space="preserve"> </w:t>
      </w:r>
      <w:r>
        <w:rPr>
          <w:lang w:val="bs-Latn-BA"/>
        </w:rPr>
        <w:t>средстава</w:t>
      </w:r>
      <w:r w:rsidR="003547F5" w:rsidRPr="00295637">
        <w:rPr>
          <w:lang w:val="bs-Latn-BA"/>
        </w:rPr>
        <w:t xml:space="preserve"> </w:t>
      </w:r>
      <w:r>
        <w:rPr>
          <w:lang w:val="bs-Latn-BA"/>
        </w:rPr>
        <w:t>Трајног</w:t>
      </w:r>
      <w:r w:rsidR="003547F5" w:rsidRPr="00295637">
        <w:rPr>
          <w:lang w:val="bs-Latn-BA"/>
        </w:rPr>
        <w:t xml:space="preserve"> </w:t>
      </w:r>
      <w:r>
        <w:rPr>
          <w:lang w:val="bs-Latn-BA"/>
        </w:rPr>
        <w:t>револвинг</w:t>
      </w:r>
      <w:r w:rsidR="003547F5" w:rsidRPr="00295637">
        <w:rPr>
          <w:lang w:val="bs-Latn-BA"/>
        </w:rPr>
        <w:t xml:space="preserve"> </w:t>
      </w:r>
      <w:r>
        <w:rPr>
          <w:lang w:val="bs-Latn-BA"/>
        </w:rPr>
        <w:t>фонда</w:t>
      </w:r>
      <w:r w:rsidR="003547F5" w:rsidRPr="00295637">
        <w:rPr>
          <w:lang w:val="bs-Latn-BA"/>
        </w:rPr>
        <w:t xml:space="preserve"> </w:t>
      </w:r>
      <w:r>
        <w:rPr>
          <w:lang w:val="bs-Latn-BA"/>
        </w:rPr>
        <w:t>код</w:t>
      </w:r>
      <w:r w:rsidR="003547F5" w:rsidRPr="00295637">
        <w:rPr>
          <w:lang w:val="bs-Latn-BA"/>
        </w:rPr>
        <w:t xml:space="preserve"> </w:t>
      </w:r>
      <w:r>
        <w:rPr>
          <w:lang w:val="bs-Latn-BA"/>
        </w:rPr>
        <w:t>Унион</w:t>
      </w:r>
      <w:r w:rsidR="003547F5" w:rsidRPr="00295637">
        <w:rPr>
          <w:lang w:val="bs-Latn-BA"/>
        </w:rPr>
        <w:t xml:space="preserve"> </w:t>
      </w:r>
      <w:r>
        <w:rPr>
          <w:lang w:val="bs-Latn-BA"/>
        </w:rPr>
        <w:t>банке</w:t>
      </w:r>
      <w:r w:rsidR="003547F5" w:rsidRPr="00295637">
        <w:rPr>
          <w:lang w:val="bs-Latn-BA"/>
        </w:rPr>
        <w:t xml:space="preserve"> </w:t>
      </w:r>
      <w:r>
        <w:rPr>
          <w:lang w:val="bs-Latn-BA"/>
        </w:rPr>
        <w:t>д</w:t>
      </w:r>
      <w:r w:rsidR="003547F5" w:rsidRPr="00295637">
        <w:rPr>
          <w:lang w:val="bs-Latn-BA"/>
        </w:rPr>
        <w:t>.</w:t>
      </w:r>
      <w:r>
        <w:rPr>
          <w:lang w:val="bs-Latn-BA"/>
        </w:rPr>
        <w:t>д</w:t>
      </w:r>
      <w:r w:rsidR="003547F5" w:rsidRPr="00295637">
        <w:rPr>
          <w:lang w:val="bs-Latn-BA"/>
        </w:rPr>
        <w:t xml:space="preserve">. </w:t>
      </w:r>
      <w:r>
        <w:rPr>
          <w:lang w:val="bs-Latn-BA"/>
        </w:rPr>
        <w:t>Сарајево</w:t>
      </w:r>
      <w:r w:rsidR="003547F5" w:rsidRPr="00295637">
        <w:rPr>
          <w:lang w:val="bs-Latn-BA"/>
        </w:rPr>
        <w:t xml:space="preserve"> </w:t>
      </w:r>
      <w:r>
        <w:rPr>
          <w:lang w:val="bs-Latn-BA"/>
        </w:rPr>
        <w:t>за</w:t>
      </w:r>
      <w:r w:rsidR="003547F5" w:rsidRPr="00295637">
        <w:rPr>
          <w:lang w:val="bs-Latn-BA"/>
        </w:rPr>
        <w:t xml:space="preserve"> </w:t>
      </w:r>
      <w:r>
        <w:rPr>
          <w:lang w:val="bs-Latn-BA"/>
        </w:rPr>
        <w:t>дугорочно</w:t>
      </w:r>
      <w:r w:rsidR="003547F5" w:rsidRPr="00295637">
        <w:rPr>
          <w:lang w:val="bs-Latn-BA"/>
        </w:rPr>
        <w:t xml:space="preserve"> </w:t>
      </w:r>
      <w:r>
        <w:rPr>
          <w:lang w:val="bs-Latn-BA"/>
        </w:rPr>
        <w:t>финансирање</w:t>
      </w:r>
      <w:r w:rsidR="003547F5" w:rsidRPr="00295637">
        <w:rPr>
          <w:lang w:val="bs-Latn-BA"/>
        </w:rPr>
        <w:t xml:space="preserve"> </w:t>
      </w:r>
      <w:r>
        <w:rPr>
          <w:lang w:val="bs-Latn-BA"/>
        </w:rPr>
        <w:t>пројеката</w:t>
      </w:r>
      <w:r w:rsidR="003547F5" w:rsidRPr="00295637">
        <w:rPr>
          <w:lang w:val="bs-Latn-BA"/>
        </w:rPr>
        <w:t xml:space="preserve"> </w:t>
      </w:r>
      <w:r>
        <w:rPr>
          <w:lang w:val="bs-Latn-BA"/>
        </w:rPr>
        <w:t>путем</w:t>
      </w:r>
      <w:r w:rsidR="003547F5" w:rsidRPr="00295637">
        <w:rPr>
          <w:lang w:val="bs-Latn-BA"/>
        </w:rPr>
        <w:t xml:space="preserve"> </w:t>
      </w:r>
      <w:r>
        <w:rPr>
          <w:lang w:val="bs-Latn-BA"/>
        </w:rPr>
        <w:t>додјеле</w:t>
      </w:r>
      <w:r w:rsidR="003547F5" w:rsidRPr="00295637">
        <w:rPr>
          <w:lang w:val="bs-Latn-BA"/>
        </w:rPr>
        <w:t xml:space="preserve"> </w:t>
      </w:r>
      <w:r>
        <w:rPr>
          <w:lang w:val="bs-Latn-BA"/>
        </w:rPr>
        <w:t>кредита</w:t>
      </w:r>
      <w:r w:rsidR="003547F5" w:rsidRPr="00295637">
        <w:rPr>
          <w:lang w:val="bs-Latn-BA"/>
        </w:rPr>
        <w:t xml:space="preserve">. </w:t>
      </w:r>
      <w:r>
        <w:rPr>
          <w:lang w:val="bs-Latn-BA"/>
        </w:rPr>
        <w:t>Додијељено</w:t>
      </w:r>
      <w:r w:rsidR="003547F5" w:rsidRPr="00295637">
        <w:rPr>
          <w:lang w:val="bs-Latn-BA"/>
        </w:rPr>
        <w:t xml:space="preserve"> </w:t>
      </w:r>
      <w:r>
        <w:rPr>
          <w:lang w:val="bs-Latn-BA"/>
        </w:rPr>
        <w:t>је</w:t>
      </w:r>
      <w:r w:rsidR="003547F5" w:rsidRPr="00295637">
        <w:rPr>
          <w:lang w:val="bs-Latn-BA"/>
        </w:rPr>
        <w:t xml:space="preserve"> </w:t>
      </w:r>
      <w:r>
        <w:rPr>
          <w:lang w:val="bs-Latn-BA"/>
        </w:rPr>
        <w:t>укупно</w:t>
      </w:r>
      <w:r w:rsidR="003547F5" w:rsidRPr="00295637">
        <w:rPr>
          <w:lang w:val="bs-Latn-BA"/>
        </w:rPr>
        <w:t xml:space="preserve"> </w:t>
      </w:r>
      <w:r w:rsidR="003547F5" w:rsidRPr="00295637">
        <w:rPr>
          <w:rStyle w:val="Strong"/>
          <w:b w:val="0"/>
          <w:lang w:val="bs-Latn-BA"/>
        </w:rPr>
        <w:t xml:space="preserve">2.815.000,00 </w:t>
      </w:r>
      <w:r>
        <w:rPr>
          <w:rStyle w:val="Strong"/>
          <w:b w:val="0"/>
          <w:lang w:val="bs-Latn-BA"/>
        </w:rPr>
        <w:t>КМ</w:t>
      </w:r>
      <w:r w:rsidR="003547F5" w:rsidRPr="00295637">
        <w:rPr>
          <w:lang w:val="bs-Latn-BA"/>
        </w:rPr>
        <w:t xml:space="preserve">, </w:t>
      </w:r>
      <w:r>
        <w:rPr>
          <w:lang w:val="bs-Latn-BA"/>
        </w:rPr>
        <w:t>од</w:t>
      </w:r>
      <w:r w:rsidR="003547F5" w:rsidRPr="00295637">
        <w:rPr>
          <w:lang w:val="bs-Latn-BA"/>
        </w:rPr>
        <w:t xml:space="preserve"> </w:t>
      </w:r>
      <w:r>
        <w:rPr>
          <w:lang w:val="bs-Latn-BA"/>
        </w:rPr>
        <w:t>чега</w:t>
      </w:r>
      <w:r w:rsidR="003547F5" w:rsidRPr="00295637">
        <w:rPr>
          <w:lang w:val="bs-Latn-BA"/>
        </w:rPr>
        <w:t>:</w:t>
      </w:r>
      <w:r w:rsidR="00BF30C3" w:rsidRPr="00295637">
        <w:rPr>
          <w:lang w:val="bs-Latn-BA"/>
        </w:rPr>
        <w:t xml:space="preserve"> </w:t>
      </w:r>
      <w:r>
        <w:rPr>
          <w:lang w:val="bs-Latn-BA"/>
        </w:rPr>
        <w:t>предузећу</w:t>
      </w:r>
      <w:r w:rsidR="003547F5" w:rsidRPr="00295637">
        <w:rPr>
          <w:lang w:val="bs-Latn-BA"/>
        </w:rPr>
        <w:t xml:space="preserve"> </w:t>
      </w:r>
      <w:r w:rsidR="00BF30C3" w:rsidRPr="00295637">
        <w:rPr>
          <w:lang w:val="bs-Latn-BA"/>
        </w:rPr>
        <w:t>„</w:t>
      </w:r>
      <w:r>
        <w:rPr>
          <w:lang w:val="bs-Latn-BA"/>
        </w:rPr>
        <w:t>Табакпласт</w:t>
      </w:r>
      <w:r w:rsidR="00BF30C3" w:rsidRPr="00295637">
        <w:rPr>
          <w:lang w:val="bs-Latn-BA"/>
        </w:rPr>
        <w:t>“</w:t>
      </w:r>
      <w:r w:rsidR="003547F5" w:rsidRPr="00295637">
        <w:rPr>
          <w:lang w:val="bs-Latn-BA"/>
        </w:rPr>
        <w:t xml:space="preserve"> </w:t>
      </w:r>
      <w:r>
        <w:rPr>
          <w:lang w:val="bs-Latn-BA"/>
        </w:rPr>
        <w:t>д</w:t>
      </w:r>
      <w:r w:rsidR="003547F5" w:rsidRPr="00295637">
        <w:rPr>
          <w:lang w:val="bs-Latn-BA"/>
        </w:rPr>
        <w:t>.</w:t>
      </w:r>
      <w:r>
        <w:rPr>
          <w:lang w:val="bs-Latn-BA"/>
        </w:rPr>
        <w:t>о</w:t>
      </w:r>
      <w:r w:rsidR="003547F5" w:rsidRPr="00295637">
        <w:rPr>
          <w:lang w:val="bs-Latn-BA"/>
        </w:rPr>
        <w:t>.</w:t>
      </w:r>
      <w:r>
        <w:rPr>
          <w:lang w:val="bs-Latn-BA"/>
        </w:rPr>
        <w:t>о</w:t>
      </w:r>
      <w:r w:rsidR="003547F5" w:rsidRPr="00295637">
        <w:rPr>
          <w:lang w:val="bs-Latn-BA"/>
        </w:rPr>
        <w:t xml:space="preserve">. </w:t>
      </w:r>
      <w:r>
        <w:rPr>
          <w:lang w:val="bs-Latn-BA"/>
        </w:rPr>
        <w:t>Томиславград</w:t>
      </w:r>
      <w:r w:rsidR="003547F5" w:rsidRPr="00295637">
        <w:rPr>
          <w:lang w:val="bs-Latn-BA"/>
        </w:rPr>
        <w:t xml:space="preserve"> </w:t>
      </w:r>
      <w:r>
        <w:rPr>
          <w:lang w:val="bs-Latn-BA"/>
        </w:rPr>
        <w:t>додијељено</w:t>
      </w:r>
      <w:r w:rsidR="003547F5" w:rsidRPr="00295637">
        <w:rPr>
          <w:lang w:val="bs-Latn-BA"/>
        </w:rPr>
        <w:t xml:space="preserve"> </w:t>
      </w:r>
      <w:r w:rsidR="003547F5" w:rsidRPr="00295637">
        <w:rPr>
          <w:rStyle w:val="Strong"/>
          <w:b w:val="0"/>
          <w:lang w:val="bs-Latn-BA"/>
        </w:rPr>
        <w:t xml:space="preserve">900.000,00 </w:t>
      </w:r>
      <w:r>
        <w:rPr>
          <w:rStyle w:val="Strong"/>
          <w:b w:val="0"/>
          <w:lang w:val="bs-Latn-BA"/>
        </w:rPr>
        <w:t>КМ</w:t>
      </w:r>
      <w:r w:rsidR="00BF30C3" w:rsidRPr="00295637">
        <w:rPr>
          <w:lang w:val="bs-Latn-BA"/>
        </w:rPr>
        <w:t xml:space="preserve"> (</w:t>
      </w:r>
      <w:r>
        <w:rPr>
          <w:lang w:val="bs-Latn-BA"/>
        </w:rPr>
        <w:t>власница</w:t>
      </w:r>
      <w:r w:rsidR="00BF30C3" w:rsidRPr="00295637">
        <w:rPr>
          <w:lang w:val="bs-Latn-BA"/>
        </w:rPr>
        <w:t xml:space="preserve"> </w:t>
      </w:r>
      <w:r>
        <w:rPr>
          <w:lang w:val="bs-Latn-BA"/>
        </w:rPr>
        <w:t>жена</w:t>
      </w:r>
      <w:r w:rsidR="00BF30C3" w:rsidRPr="00295637">
        <w:rPr>
          <w:lang w:val="bs-Latn-BA"/>
        </w:rPr>
        <w:t xml:space="preserve">) </w:t>
      </w:r>
      <w:r>
        <w:rPr>
          <w:lang w:val="bs-Latn-BA"/>
        </w:rPr>
        <w:t>и</w:t>
      </w:r>
      <w:r w:rsidR="00BF30C3" w:rsidRPr="00295637">
        <w:rPr>
          <w:lang w:val="bs-Latn-BA"/>
        </w:rPr>
        <w:t xml:space="preserve"> </w:t>
      </w:r>
      <w:r>
        <w:rPr>
          <w:lang w:val="bs-Latn-BA"/>
        </w:rPr>
        <w:t>предузећу</w:t>
      </w:r>
      <w:r w:rsidR="003547F5" w:rsidRPr="00295637">
        <w:rPr>
          <w:lang w:val="bs-Latn-BA"/>
        </w:rPr>
        <w:t xml:space="preserve"> </w:t>
      </w:r>
      <w:r w:rsidR="00BF30C3" w:rsidRPr="00295637">
        <w:rPr>
          <w:lang w:val="bs-Latn-BA"/>
        </w:rPr>
        <w:t>„</w:t>
      </w:r>
      <w:r w:rsidR="00244392" w:rsidRPr="00244392">
        <w:rPr>
          <w:i/>
          <w:lang w:val="bs-Latn-BA"/>
        </w:rPr>
        <w:t>Arox</w:t>
      </w:r>
      <w:r w:rsidR="00BF30C3" w:rsidRPr="00295637">
        <w:rPr>
          <w:lang w:val="bs-Latn-BA"/>
        </w:rPr>
        <w:t>“</w:t>
      </w:r>
      <w:r w:rsidR="003547F5" w:rsidRPr="00295637">
        <w:rPr>
          <w:lang w:val="bs-Latn-BA"/>
        </w:rPr>
        <w:t xml:space="preserve"> </w:t>
      </w:r>
      <w:r>
        <w:rPr>
          <w:lang w:val="bs-Latn-BA"/>
        </w:rPr>
        <w:t>производња</w:t>
      </w:r>
      <w:r w:rsidR="003547F5" w:rsidRPr="00295637">
        <w:rPr>
          <w:lang w:val="bs-Latn-BA"/>
        </w:rPr>
        <w:t xml:space="preserve"> </w:t>
      </w:r>
      <w:r>
        <w:rPr>
          <w:lang w:val="bs-Latn-BA"/>
        </w:rPr>
        <w:t>Љубушки</w:t>
      </w:r>
      <w:r w:rsidR="003547F5" w:rsidRPr="00295637">
        <w:rPr>
          <w:lang w:val="bs-Latn-BA"/>
        </w:rPr>
        <w:t xml:space="preserve"> </w:t>
      </w:r>
      <w:r>
        <w:rPr>
          <w:lang w:val="bs-Latn-BA"/>
        </w:rPr>
        <w:t>додијељено</w:t>
      </w:r>
      <w:r w:rsidR="003547F5" w:rsidRPr="00295637">
        <w:rPr>
          <w:lang w:val="bs-Latn-BA"/>
        </w:rPr>
        <w:t xml:space="preserve"> </w:t>
      </w:r>
      <w:r w:rsidR="003547F5" w:rsidRPr="00295637">
        <w:rPr>
          <w:rStyle w:val="Strong"/>
          <w:b w:val="0"/>
          <w:lang w:val="bs-Latn-BA"/>
        </w:rPr>
        <w:t xml:space="preserve">140.000,00 </w:t>
      </w:r>
      <w:r>
        <w:rPr>
          <w:rStyle w:val="Strong"/>
          <w:b w:val="0"/>
          <w:lang w:val="bs-Latn-BA"/>
        </w:rPr>
        <w:t>КМ</w:t>
      </w:r>
      <w:r w:rsidR="003547F5" w:rsidRPr="00295637">
        <w:rPr>
          <w:lang w:val="bs-Latn-BA"/>
        </w:rPr>
        <w:t xml:space="preserve"> (</w:t>
      </w:r>
      <w:r>
        <w:rPr>
          <w:lang w:val="bs-Latn-BA"/>
        </w:rPr>
        <w:t>власница</w:t>
      </w:r>
      <w:r w:rsidR="003547F5" w:rsidRPr="00295637">
        <w:rPr>
          <w:lang w:val="bs-Latn-BA"/>
        </w:rPr>
        <w:t xml:space="preserve"> </w:t>
      </w:r>
      <w:r>
        <w:rPr>
          <w:lang w:val="bs-Latn-BA"/>
        </w:rPr>
        <w:t>жена</w:t>
      </w:r>
      <w:r w:rsidR="003547F5" w:rsidRPr="00295637">
        <w:rPr>
          <w:lang w:val="bs-Latn-BA"/>
        </w:rPr>
        <w:t>).</w:t>
      </w:r>
      <w:r w:rsidR="00BF30C3" w:rsidRPr="00295637">
        <w:rPr>
          <w:lang w:val="bs-Latn-BA"/>
        </w:rPr>
        <w:t xml:space="preserve"> </w:t>
      </w:r>
      <w:r>
        <w:rPr>
          <w:lang w:val="bs-Latn-BA"/>
        </w:rPr>
        <w:t>ФМЕРИ</w:t>
      </w:r>
      <w:r w:rsidR="003547F5" w:rsidRPr="00295637">
        <w:rPr>
          <w:lang w:val="bs-Latn-BA"/>
        </w:rPr>
        <w:t xml:space="preserve"> </w:t>
      </w:r>
      <w:r>
        <w:rPr>
          <w:lang w:val="bs-Latn-BA"/>
        </w:rPr>
        <w:t>је</w:t>
      </w:r>
      <w:r w:rsidR="003547F5" w:rsidRPr="00295637">
        <w:rPr>
          <w:lang w:val="bs-Latn-BA"/>
        </w:rPr>
        <w:t xml:space="preserve"> </w:t>
      </w:r>
      <w:r>
        <w:rPr>
          <w:lang w:val="bs-Latn-BA"/>
        </w:rPr>
        <w:t>реализ</w:t>
      </w:r>
      <w:r w:rsidR="00244392">
        <w:rPr>
          <w:lang w:val="sr-Cyrl-BA"/>
        </w:rPr>
        <w:t>овало</w:t>
      </w:r>
      <w:r w:rsidR="003547F5" w:rsidRPr="00295637">
        <w:rPr>
          <w:lang w:val="bs-Latn-BA"/>
        </w:rPr>
        <w:t xml:space="preserve"> </w:t>
      </w:r>
      <w:r>
        <w:rPr>
          <w:lang w:val="bs-Latn-BA"/>
        </w:rPr>
        <w:t>програм</w:t>
      </w:r>
      <w:r w:rsidR="003547F5" w:rsidRPr="00295637">
        <w:rPr>
          <w:lang w:val="bs-Latn-BA"/>
        </w:rPr>
        <w:t xml:space="preserve"> </w:t>
      </w:r>
      <w:r>
        <w:rPr>
          <w:lang w:val="bs-Latn-BA"/>
        </w:rPr>
        <w:t>текућих</w:t>
      </w:r>
      <w:r w:rsidR="003547F5" w:rsidRPr="00295637">
        <w:rPr>
          <w:lang w:val="bs-Latn-BA"/>
        </w:rPr>
        <w:t xml:space="preserve"> </w:t>
      </w:r>
      <w:r>
        <w:rPr>
          <w:lang w:val="bs-Latn-BA"/>
        </w:rPr>
        <w:t>трансфера</w:t>
      </w:r>
      <w:r w:rsidR="003547F5" w:rsidRPr="00295637">
        <w:rPr>
          <w:lang w:val="bs-Latn-BA"/>
        </w:rPr>
        <w:t xml:space="preserve"> </w:t>
      </w:r>
      <w:r>
        <w:rPr>
          <w:lang w:val="bs-Latn-BA"/>
        </w:rPr>
        <w:t>за</w:t>
      </w:r>
      <w:r w:rsidR="003547F5" w:rsidRPr="00295637">
        <w:rPr>
          <w:lang w:val="bs-Latn-BA"/>
        </w:rPr>
        <w:t xml:space="preserve"> </w:t>
      </w:r>
      <w:r>
        <w:rPr>
          <w:lang w:val="bs-Latn-BA"/>
        </w:rPr>
        <w:t>куповину</w:t>
      </w:r>
      <w:r w:rsidR="003547F5" w:rsidRPr="00295637">
        <w:rPr>
          <w:lang w:val="bs-Latn-BA"/>
        </w:rPr>
        <w:t xml:space="preserve"> </w:t>
      </w:r>
      <w:r>
        <w:rPr>
          <w:lang w:val="bs-Latn-BA"/>
        </w:rPr>
        <w:t>електричних</w:t>
      </w:r>
      <w:r w:rsidR="003547F5" w:rsidRPr="00295637">
        <w:rPr>
          <w:lang w:val="bs-Latn-BA"/>
        </w:rPr>
        <w:t xml:space="preserve"> </w:t>
      </w:r>
      <w:r>
        <w:rPr>
          <w:lang w:val="bs-Latn-BA"/>
        </w:rPr>
        <w:t>аутомобила</w:t>
      </w:r>
      <w:r w:rsidR="00BF30C3" w:rsidRPr="00295637">
        <w:rPr>
          <w:lang w:val="bs-Latn-BA"/>
        </w:rPr>
        <w:t xml:space="preserve">. </w:t>
      </w:r>
      <w:r>
        <w:rPr>
          <w:lang w:val="bs-Latn-BA"/>
        </w:rPr>
        <w:t>У</w:t>
      </w:r>
      <w:r w:rsidR="00BF30C3" w:rsidRPr="00295637">
        <w:rPr>
          <w:lang w:val="bs-Latn-BA"/>
        </w:rPr>
        <w:t xml:space="preserve"> </w:t>
      </w:r>
      <w:r>
        <w:rPr>
          <w:lang w:val="bs-Latn-BA"/>
        </w:rPr>
        <w:t>оквиру</w:t>
      </w:r>
      <w:r w:rsidR="00BF30C3" w:rsidRPr="00295637">
        <w:rPr>
          <w:lang w:val="bs-Latn-BA"/>
        </w:rPr>
        <w:t xml:space="preserve"> </w:t>
      </w:r>
      <w:r>
        <w:rPr>
          <w:lang w:val="bs-Latn-BA"/>
        </w:rPr>
        <w:t>овог</w:t>
      </w:r>
      <w:r w:rsidR="00BF30C3" w:rsidRPr="00295637">
        <w:rPr>
          <w:lang w:val="bs-Latn-BA"/>
        </w:rPr>
        <w:t xml:space="preserve"> </w:t>
      </w:r>
      <w:r>
        <w:rPr>
          <w:lang w:val="bs-Latn-BA"/>
        </w:rPr>
        <w:t>програма</w:t>
      </w:r>
      <w:r w:rsidR="00BF30C3" w:rsidRPr="00295637">
        <w:rPr>
          <w:lang w:val="bs-Latn-BA"/>
        </w:rPr>
        <w:t xml:space="preserve"> </w:t>
      </w:r>
      <w:r>
        <w:rPr>
          <w:lang w:val="bs-Latn-BA"/>
        </w:rPr>
        <w:t>број</w:t>
      </w:r>
      <w:r w:rsidR="003547F5" w:rsidRPr="00295637">
        <w:rPr>
          <w:lang w:val="bs-Latn-BA"/>
        </w:rPr>
        <w:t xml:space="preserve"> </w:t>
      </w:r>
      <w:r>
        <w:rPr>
          <w:lang w:val="bs-Latn-BA"/>
        </w:rPr>
        <w:t>жена</w:t>
      </w:r>
      <w:r w:rsidR="003547F5" w:rsidRPr="00295637">
        <w:rPr>
          <w:lang w:val="bs-Latn-BA"/>
        </w:rPr>
        <w:t xml:space="preserve"> </w:t>
      </w:r>
      <w:r>
        <w:rPr>
          <w:lang w:val="bs-Latn-BA"/>
        </w:rPr>
        <w:t>корисница</w:t>
      </w:r>
      <w:r w:rsidR="003547F5" w:rsidRPr="00295637">
        <w:rPr>
          <w:lang w:val="bs-Latn-BA"/>
        </w:rPr>
        <w:t xml:space="preserve"> </w:t>
      </w:r>
      <w:r>
        <w:rPr>
          <w:lang w:val="bs-Latn-BA"/>
        </w:rPr>
        <w:t>износио</w:t>
      </w:r>
      <w:r w:rsidR="003547F5" w:rsidRPr="00295637">
        <w:rPr>
          <w:lang w:val="bs-Latn-BA"/>
        </w:rPr>
        <w:t xml:space="preserve"> </w:t>
      </w:r>
      <w:r>
        <w:rPr>
          <w:lang w:val="bs-Latn-BA"/>
        </w:rPr>
        <w:t>је</w:t>
      </w:r>
      <w:r w:rsidR="003547F5" w:rsidRPr="00295637">
        <w:rPr>
          <w:lang w:val="bs-Latn-BA"/>
        </w:rPr>
        <w:t xml:space="preserve"> </w:t>
      </w:r>
      <w:r w:rsidR="003547F5" w:rsidRPr="00295637">
        <w:rPr>
          <w:rStyle w:val="Strong"/>
          <w:b w:val="0"/>
          <w:lang w:val="bs-Latn-BA"/>
        </w:rPr>
        <w:t>34</w:t>
      </w:r>
      <w:r w:rsidR="003547F5" w:rsidRPr="00295637">
        <w:rPr>
          <w:lang w:val="bs-Latn-BA"/>
        </w:rPr>
        <w:t xml:space="preserve">, </w:t>
      </w:r>
      <w:r>
        <w:rPr>
          <w:lang w:val="bs-Latn-BA"/>
        </w:rPr>
        <w:t>што</w:t>
      </w:r>
      <w:r w:rsidR="003547F5" w:rsidRPr="00295637">
        <w:rPr>
          <w:lang w:val="bs-Latn-BA"/>
        </w:rPr>
        <w:t xml:space="preserve"> </w:t>
      </w:r>
      <w:r>
        <w:rPr>
          <w:lang w:val="bs-Latn-BA"/>
        </w:rPr>
        <w:t>чини</w:t>
      </w:r>
      <w:r w:rsidR="003547F5" w:rsidRPr="00295637">
        <w:rPr>
          <w:lang w:val="bs-Latn-BA"/>
        </w:rPr>
        <w:t xml:space="preserve"> </w:t>
      </w:r>
      <w:r w:rsidR="003547F5" w:rsidRPr="00295637">
        <w:rPr>
          <w:rStyle w:val="Strong"/>
          <w:b w:val="0"/>
          <w:lang w:val="bs-Latn-BA"/>
        </w:rPr>
        <w:t>39%</w:t>
      </w:r>
      <w:r w:rsidR="003547F5" w:rsidRPr="00295637">
        <w:rPr>
          <w:lang w:val="bs-Latn-BA"/>
        </w:rPr>
        <w:t xml:space="preserve"> </w:t>
      </w:r>
      <w:r>
        <w:rPr>
          <w:lang w:val="bs-Latn-BA"/>
        </w:rPr>
        <w:t>укупног</w:t>
      </w:r>
      <w:r w:rsidR="003547F5" w:rsidRPr="00295637">
        <w:rPr>
          <w:lang w:val="bs-Latn-BA"/>
        </w:rPr>
        <w:t xml:space="preserve"> </w:t>
      </w:r>
      <w:r>
        <w:rPr>
          <w:lang w:val="bs-Latn-BA"/>
        </w:rPr>
        <w:t>броја</w:t>
      </w:r>
      <w:r w:rsidR="003547F5" w:rsidRPr="00295637">
        <w:rPr>
          <w:lang w:val="bs-Latn-BA"/>
        </w:rPr>
        <w:t xml:space="preserve"> </w:t>
      </w:r>
      <w:r>
        <w:rPr>
          <w:lang w:val="bs-Latn-BA"/>
        </w:rPr>
        <w:t>корисника</w:t>
      </w:r>
      <w:r w:rsidR="003547F5" w:rsidRPr="00295637">
        <w:rPr>
          <w:lang w:val="bs-Latn-BA"/>
        </w:rPr>
        <w:t>.</w:t>
      </w:r>
    </w:p>
    <w:p w:rsidR="00A92736" w:rsidRPr="00295637" w:rsidRDefault="00A92736" w:rsidP="0086268D">
      <w:pPr>
        <w:pStyle w:val="Normal1"/>
      </w:pPr>
    </w:p>
    <w:p w:rsidR="00FC46B2" w:rsidRPr="00295637" w:rsidRDefault="00C6214E" w:rsidP="0086268D">
      <w:pPr>
        <w:autoSpaceDE w:val="0"/>
        <w:autoSpaceDN w:val="0"/>
        <w:adjustRightInd w:val="0"/>
        <w:jc w:val="both"/>
        <w:rPr>
          <w:rFonts w:ascii="Times New Roman" w:hAnsi="Times New Roman"/>
          <w:szCs w:val="24"/>
        </w:rPr>
      </w:pPr>
      <w:r>
        <w:rPr>
          <w:rFonts w:ascii="Times New Roman" w:hAnsi="Times New Roman"/>
          <w:szCs w:val="24"/>
        </w:rPr>
        <w:t>Када</w:t>
      </w:r>
      <w:r w:rsidR="00FC46B2" w:rsidRPr="00295637">
        <w:rPr>
          <w:rFonts w:ascii="Times New Roman" w:hAnsi="Times New Roman"/>
          <w:szCs w:val="24"/>
        </w:rPr>
        <w:t xml:space="preserve"> </w:t>
      </w:r>
      <w:r>
        <w:rPr>
          <w:rFonts w:ascii="Times New Roman" w:hAnsi="Times New Roman"/>
          <w:szCs w:val="24"/>
        </w:rPr>
        <w:t>су</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питању</w:t>
      </w:r>
      <w:r w:rsidR="00FC46B2" w:rsidRPr="00295637">
        <w:rPr>
          <w:rFonts w:ascii="Times New Roman" w:hAnsi="Times New Roman"/>
          <w:szCs w:val="24"/>
        </w:rPr>
        <w:t xml:space="preserve"> </w:t>
      </w:r>
      <w:r>
        <w:rPr>
          <w:rFonts w:ascii="Times New Roman" w:hAnsi="Times New Roman"/>
          <w:szCs w:val="24"/>
        </w:rPr>
        <w:t>законодавне</w:t>
      </w:r>
      <w:r w:rsidR="00FC46B2" w:rsidRPr="00295637">
        <w:rPr>
          <w:rFonts w:ascii="Times New Roman" w:hAnsi="Times New Roman"/>
          <w:szCs w:val="24"/>
        </w:rPr>
        <w:t xml:space="preserve"> </w:t>
      </w:r>
      <w:r>
        <w:rPr>
          <w:rFonts w:ascii="Times New Roman" w:hAnsi="Times New Roman"/>
          <w:szCs w:val="24"/>
        </w:rPr>
        <w:t>мјере</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bCs/>
          <w:szCs w:val="24"/>
        </w:rPr>
        <w:t>Републици</w:t>
      </w:r>
      <w:r w:rsidR="00FC46B2" w:rsidRPr="00295637">
        <w:rPr>
          <w:rFonts w:ascii="Times New Roman" w:hAnsi="Times New Roman"/>
          <w:bCs/>
          <w:szCs w:val="24"/>
        </w:rPr>
        <w:t xml:space="preserve"> </w:t>
      </w:r>
      <w:r>
        <w:rPr>
          <w:rFonts w:ascii="Times New Roman" w:hAnsi="Times New Roman"/>
          <w:bCs/>
          <w:szCs w:val="24"/>
        </w:rPr>
        <w:t>Српској</w:t>
      </w:r>
      <w:r w:rsidR="00FC46B2" w:rsidRPr="00295637">
        <w:rPr>
          <w:rFonts w:ascii="Times New Roman" w:hAnsi="Times New Roman"/>
          <w:szCs w:val="24"/>
        </w:rPr>
        <w:t xml:space="preserve"> </w:t>
      </w:r>
      <w:r>
        <w:rPr>
          <w:rFonts w:ascii="Times New Roman" w:hAnsi="Times New Roman"/>
          <w:szCs w:val="24"/>
        </w:rPr>
        <w:t>је</w:t>
      </w:r>
      <w:r w:rsidR="00477C5C">
        <w:rPr>
          <w:rFonts w:ascii="Times New Roman" w:hAnsi="Times New Roman"/>
          <w:szCs w:val="24"/>
        </w:rPr>
        <w:t xml:space="preserve"> </w:t>
      </w:r>
      <w:r>
        <w:rPr>
          <w:rFonts w:ascii="Times New Roman" w:hAnsi="Times New Roman"/>
          <w:szCs w:val="24"/>
        </w:rPr>
        <w:t>законом</w:t>
      </w:r>
      <w:r w:rsidR="00FC46B2" w:rsidRPr="00295637">
        <w:rPr>
          <w:rFonts w:ascii="Times New Roman" w:hAnsi="Times New Roman"/>
          <w:szCs w:val="24"/>
        </w:rPr>
        <w:t xml:space="preserve"> </w:t>
      </w:r>
      <w:r>
        <w:rPr>
          <w:rFonts w:ascii="Times New Roman" w:hAnsi="Times New Roman"/>
          <w:szCs w:val="24"/>
        </w:rPr>
        <w:t>прописана</w:t>
      </w:r>
      <w:r w:rsidR="00FC46B2" w:rsidRPr="00295637">
        <w:rPr>
          <w:rFonts w:ascii="Times New Roman" w:hAnsi="Times New Roman"/>
          <w:szCs w:val="24"/>
        </w:rPr>
        <w:t xml:space="preserve"> </w:t>
      </w:r>
      <w:r>
        <w:rPr>
          <w:rFonts w:ascii="Times New Roman" w:hAnsi="Times New Roman"/>
          <w:szCs w:val="24"/>
        </w:rPr>
        <w:t>једнака</w:t>
      </w:r>
      <w:r w:rsidR="00FC46B2" w:rsidRPr="00295637">
        <w:rPr>
          <w:rFonts w:ascii="Times New Roman" w:hAnsi="Times New Roman"/>
          <w:szCs w:val="24"/>
        </w:rPr>
        <w:t xml:space="preserve"> </w:t>
      </w:r>
      <w:r>
        <w:rPr>
          <w:rFonts w:ascii="Times New Roman" w:hAnsi="Times New Roman"/>
          <w:szCs w:val="24"/>
        </w:rPr>
        <w:t>пла</w:t>
      </w:r>
      <w:r w:rsidR="00244392">
        <w:rPr>
          <w:rFonts w:ascii="Times New Roman" w:hAnsi="Times New Roman"/>
          <w:szCs w:val="24"/>
          <w:lang w:val="sr-Cyrl-BA"/>
        </w:rPr>
        <w:t>т</w:t>
      </w:r>
      <w:r>
        <w:rPr>
          <w:rFonts w:ascii="Times New Roman" w:hAnsi="Times New Roman"/>
          <w:szCs w:val="24"/>
        </w:rPr>
        <w:t>а</w:t>
      </w:r>
      <w:r w:rsidR="00FC46B2" w:rsidRPr="00295637">
        <w:rPr>
          <w:rFonts w:ascii="Times New Roman" w:hAnsi="Times New Roman"/>
          <w:szCs w:val="24"/>
        </w:rPr>
        <w:t xml:space="preserve"> </w:t>
      </w:r>
      <w:r>
        <w:rPr>
          <w:rFonts w:ascii="Times New Roman" w:hAnsi="Times New Roman"/>
          <w:szCs w:val="24"/>
        </w:rPr>
        <w:t>за</w:t>
      </w:r>
      <w:r w:rsidR="00FC46B2" w:rsidRPr="00295637">
        <w:rPr>
          <w:rFonts w:ascii="Times New Roman" w:hAnsi="Times New Roman"/>
          <w:szCs w:val="24"/>
        </w:rPr>
        <w:t xml:space="preserve"> </w:t>
      </w:r>
      <w:r>
        <w:rPr>
          <w:rFonts w:ascii="Times New Roman" w:hAnsi="Times New Roman"/>
          <w:szCs w:val="24"/>
        </w:rPr>
        <w:t>исти</w:t>
      </w:r>
      <w:r w:rsidR="00FC46B2" w:rsidRPr="00295637">
        <w:rPr>
          <w:rFonts w:ascii="Times New Roman" w:hAnsi="Times New Roman"/>
          <w:szCs w:val="24"/>
        </w:rPr>
        <w:t xml:space="preserve"> </w:t>
      </w:r>
      <w:r>
        <w:rPr>
          <w:rFonts w:ascii="Times New Roman" w:hAnsi="Times New Roman"/>
          <w:szCs w:val="24"/>
        </w:rPr>
        <w:t>рад</w:t>
      </w:r>
      <w:r w:rsidR="00FC46B2" w:rsidRPr="00295637">
        <w:rPr>
          <w:rFonts w:ascii="Times New Roman" w:hAnsi="Times New Roman"/>
          <w:szCs w:val="24"/>
        </w:rPr>
        <w:t xml:space="preserve">, </w:t>
      </w:r>
      <w:r>
        <w:rPr>
          <w:rFonts w:ascii="Times New Roman" w:hAnsi="Times New Roman"/>
          <w:szCs w:val="24"/>
        </w:rPr>
        <w:t>односно</w:t>
      </w:r>
      <w:r w:rsidR="00FC46B2" w:rsidRPr="00295637">
        <w:rPr>
          <w:rFonts w:ascii="Times New Roman" w:hAnsi="Times New Roman"/>
          <w:szCs w:val="24"/>
        </w:rPr>
        <w:t xml:space="preserve"> </w:t>
      </w:r>
      <w:r>
        <w:rPr>
          <w:rFonts w:ascii="Times New Roman" w:hAnsi="Times New Roman"/>
          <w:szCs w:val="24"/>
        </w:rPr>
        <w:t>рад</w:t>
      </w:r>
      <w:r w:rsidR="00FC46B2" w:rsidRPr="00295637">
        <w:rPr>
          <w:rFonts w:ascii="Times New Roman" w:hAnsi="Times New Roman"/>
          <w:szCs w:val="24"/>
        </w:rPr>
        <w:t xml:space="preserve"> </w:t>
      </w:r>
      <w:r>
        <w:rPr>
          <w:rFonts w:ascii="Times New Roman" w:hAnsi="Times New Roman"/>
          <w:szCs w:val="24"/>
        </w:rPr>
        <w:t>једнаке</w:t>
      </w:r>
      <w:r w:rsidR="00FC46B2" w:rsidRPr="00295637">
        <w:rPr>
          <w:rFonts w:ascii="Times New Roman" w:hAnsi="Times New Roman"/>
          <w:szCs w:val="24"/>
        </w:rPr>
        <w:t xml:space="preserve"> </w:t>
      </w:r>
      <w:r>
        <w:rPr>
          <w:rFonts w:ascii="Times New Roman" w:hAnsi="Times New Roman"/>
          <w:szCs w:val="24"/>
        </w:rPr>
        <w:t>вриједности</w:t>
      </w:r>
      <w:r w:rsidR="00FC46B2" w:rsidRPr="00295637">
        <w:rPr>
          <w:rFonts w:ascii="Times New Roman" w:hAnsi="Times New Roman"/>
          <w:szCs w:val="24"/>
        </w:rPr>
        <w:t xml:space="preserve">. </w:t>
      </w:r>
      <w:r>
        <w:rPr>
          <w:rFonts w:ascii="Times New Roman" w:hAnsi="Times New Roman"/>
          <w:szCs w:val="24"/>
        </w:rPr>
        <w:t>Међутим</w:t>
      </w:r>
      <w:r w:rsidR="00FC46B2" w:rsidRPr="00295637">
        <w:rPr>
          <w:rFonts w:ascii="Times New Roman" w:hAnsi="Times New Roman"/>
          <w:szCs w:val="24"/>
        </w:rPr>
        <w:t xml:space="preserve">, </w:t>
      </w:r>
      <w:r>
        <w:rPr>
          <w:rFonts w:ascii="Times New Roman" w:hAnsi="Times New Roman"/>
          <w:szCs w:val="24"/>
        </w:rPr>
        <w:t>доступни</w:t>
      </w:r>
      <w:r w:rsidR="00FC46B2" w:rsidRPr="00295637">
        <w:rPr>
          <w:rFonts w:ascii="Times New Roman" w:hAnsi="Times New Roman"/>
          <w:szCs w:val="24"/>
        </w:rPr>
        <w:t xml:space="preserve"> </w:t>
      </w:r>
      <w:r>
        <w:rPr>
          <w:rFonts w:ascii="Times New Roman" w:hAnsi="Times New Roman"/>
          <w:szCs w:val="24"/>
        </w:rPr>
        <w:t>подаци</w:t>
      </w:r>
      <w:r w:rsidR="00FC46B2" w:rsidRPr="00295637">
        <w:rPr>
          <w:rFonts w:ascii="Times New Roman" w:hAnsi="Times New Roman"/>
          <w:szCs w:val="24"/>
        </w:rPr>
        <w:t xml:space="preserve"> (</w:t>
      </w:r>
      <w:r>
        <w:rPr>
          <w:rFonts w:ascii="Times New Roman" w:hAnsi="Times New Roman"/>
          <w:szCs w:val="24"/>
        </w:rPr>
        <w:t>статистички</w:t>
      </w:r>
      <w:r w:rsidR="00FC46B2" w:rsidRPr="00295637">
        <w:rPr>
          <w:rFonts w:ascii="Times New Roman" w:hAnsi="Times New Roman"/>
          <w:szCs w:val="24"/>
        </w:rPr>
        <w:t xml:space="preserve"> </w:t>
      </w:r>
      <w:r>
        <w:rPr>
          <w:rFonts w:ascii="Times New Roman" w:hAnsi="Times New Roman"/>
          <w:szCs w:val="24"/>
        </w:rPr>
        <w:t>подаци</w:t>
      </w:r>
      <w:r w:rsidR="00FC46B2" w:rsidRPr="00295637">
        <w:rPr>
          <w:rFonts w:ascii="Times New Roman" w:hAnsi="Times New Roman"/>
          <w:szCs w:val="24"/>
        </w:rPr>
        <w:t xml:space="preserve"> </w:t>
      </w:r>
      <w:r>
        <w:rPr>
          <w:rFonts w:ascii="Times New Roman" w:hAnsi="Times New Roman"/>
          <w:szCs w:val="24"/>
        </w:rPr>
        <w:t>о</w:t>
      </w:r>
      <w:r w:rsidR="00FC46B2" w:rsidRPr="00295637">
        <w:rPr>
          <w:rFonts w:ascii="Times New Roman" w:hAnsi="Times New Roman"/>
          <w:szCs w:val="24"/>
        </w:rPr>
        <w:t xml:space="preserve"> </w:t>
      </w:r>
      <w:r>
        <w:rPr>
          <w:rFonts w:ascii="Times New Roman" w:hAnsi="Times New Roman"/>
          <w:szCs w:val="24"/>
        </w:rPr>
        <w:t>просјечним</w:t>
      </w:r>
      <w:r w:rsidR="00FC46B2" w:rsidRPr="00295637">
        <w:rPr>
          <w:rFonts w:ascii="Times New Roman" w:hAnsi="Times New Roman"/>
          <w:szCs w:val="24"/>
        </w:rPr>
        <w:t xml:space="preserve"> </w:t>
      </w:r>
      <w:r>
        <w:rPr>
          <w:rFonts w:ascii="Times New Roman" w:hAnsi="Times New Roman"/>
          <w:szCs w:val="24"/>
        </w:rPr>
        <w:t>нето</w:t>
      </w:r>
      <w:r w:rsidR="00FC46B2" w:rsidRPr="00295637">
        <w:rPr>
          <w:rFonts w:ascii="Times New Roman" w:hAnsi="Times New Roman"/>
          <w:szCs w:val="24"/>
        </w:rPr>
        <w:t xml:space="preserve"> </w:t>
      </w:r>
      <w:r>
        <w:rPr>
          <w:rFonts w:ascii="Times New Roman" w:hAnsi="Times New Roman"/>
          <w:szCs w:val="24"/>
        </w:rPr>
        <w:t>пла</w:t>
      </w:r>
      <w:r w:rsidR="00244392">
        <w:rPr>
          <w:rFonts w:ascii="Times New Roman" w:hAnsi="Times New Roman"/>
          <w:szCs w:val="24"/>
          <w:lang w:val="sr-Cyrl-BA"/>
        </w:rPr>
        <w:t>т</w:t>
      </w:r>
      <w:r>
        <w:rPr>
          <w:rFonts w:ascii="Times New Roman" w:hAnsi="Times New Roman"/>
          <w:szCs w:val="24"/>
        </w:rPr>
        <w:t>ама</w:t>
      </w:r>
      <w:r w:rsidR="00FC46B2" w:rsidRPr="00295637">
        <w:rPr>
          <w:rFonts w:ascii="Times New Roman" w:hAnsi="Times New Roman"/>
          <w:szCs w:val="24"/>
        </w:rPr>
        <w:t xml:space="preserve"> </w:t>
      </w:r>
      <w:r>
        <w:rPr>
          <w:rFonts w:ascii="Times New Roman" w:hAnsi="Times New Roman"/>
          <w:szCs w:val="24"/>
        </w:rPr>
        <w:t>запослених</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пословним</w:t>
      </w:r>
      <w:r w:rsidR="00FC46B2" w:rsidRPr="00295637">
        <w:rPr>
          <w:rFonts w:ascii="Times New Roman" w:hAnsi="Times New Roman"/>
          <w:szCs w:val="24"/>
        </w:rPr>
        <w:t xml:space="preserve"> </w:t>
      </w:r>
      <w:r>
        <w:rPr>
          <w:rFonts w:ascii="Times New Roman" w:hAnsi="Times New Roman"/>
          <w:szCs w:val="24"/>
        </w:rPr>
        <w:t>субјектима</w:t>
      </w:r>
      <w:r w:rsidR="00FC46B2" w:rsidRPr="00295637">
        <w:rPr>
          <w:rFonts w:ascii="Times New Roman" w:hAnsi="Times New Roman"/>
          <w:szCs w:val="24"/>
        </w:rPr>
        <w:t xml:space="preserve"> </w:t>
      </w:r>
      <w:r>
        <w:rPr>
          <w:rFonts w:ascii="Times New Roman" w:hAnsi="Times New Roman"/>
          <w:szCs w:val="24"/>
        </w:rPr>
        <w:t>према</w:t>
      </w:r>
      <w:r w:rsidR="00FC46B2" w:rsidRPr="00295637">
        <w:rPr>
          <w:rFonts w:ascii="Times New Roman" w:hAnsi="Times New Roman"/>
          <w:szCs w:val="24"/>
        </w:rPr>
        <w:t xml:space="preserve"> </w:t>
      </w:r>
      <w:r>
        <w:rPr>
          <w:rFonts w:ascii="Times New Roman" w:hAnsi="Times New Roman"/>
          <w:szCs w:val="24"/>
        </w:rPr>
        <w:t>областима</w:t>
      </w:r>
      <w:r w:rsidR="00FC46B2" w:rsidRPr="00295637">
        <w:rPr>
          <w:rFonts w:ascii="Times New Roman" w:hAnsi="Times New Roman"/>
          <w:szCs w:val="24"/>
        </w:rPr>
        <w:t xml:space="preserve"> </w:t>
      </w:r>
      <w:r>
        <w:rPr>
          <w:rFonts w:ascii="Times New Roman" w:hAnsi="Times New Roman"/>
          <w:szCs w:val="24"/>
        </w:rPr>
        <w:t>дјелатности</w:t>
      </w:r>
      <w:r w:rsidR="00FC46B2" w:rsidRPr="00295637">
        <w:rPr>
          <w:rFonts w:ascii="Times New Roman" w:hAnsi="Times New Roman"/>
          <w:szCs w:val="24"/>
        </w:rPr>
        <w:t xml:space="preserve">, </w:t>
      </w:r>
      <w:r>
        <w:rPr>
          <w:rFonts w:ascii="Times New Roman" w:hAnsi="Times New Roman"/>
          <w:szCs w:val="24"/>
        </w:rPr>
        <w:t>разврстани</w:t>
      </w:r>
      <w:r w:rsidR="00FC46B2" w:rsidRPr="00295637">
        <w:rPr>
          <w:rFonts w:ascii="Times New Roman" w:hAnsi="Times New Roman"/>
          <w:szCs w:val="24"/>
        </w:rPr>
        <w:t xml:space="preserve"> </w:t>
      </w:r>
      <w:r>
        <w:rPr>
          <w:rFonts w:ascii="Times New Roman" w:hAnsi="Times New Roman"/>
          <w:szCs w:val="24"/>
        </w:rPr>
        <w:t>по</w:t>
      </w:r>
      <w:r w:rsidR="00FC46B2" w:rsidRPr="00295637">
        <w:rPr>
          <w:rFonts w:ascii="Times New Roman" w:hAnsi="Times New Roman"/>
          <w:szCs w:val="24"/>
        </w:rPr>
        <w:t xml:space="preserve"> </w:t>
      </w:r>
      <w:r>
        <w:rPr>
          <w:rFonts w:ascii="Times New Roman" w:hAnsi="Times New Roman"/>
          <w:szCs w:val="24"/>
        </w:rPr>
        <w:t>полу</w:t>
      </w:r>
      <w:r w:rsidR="00FC46B2" w:rsidRPr="00295637">
        <w:rPr>
          <w:rFonts w:ascii="Times New Roman" w:hAnsi="Times New Roman"/>
          <w:szCs w:val="24"/>
        </w:rPr>
        <w:t xml:space="preserve">) </w:t>
      </w:r>
      <w:r>
        <w:rPr>
          <w:rFonts w:ascii="Times New Roman" w:hAnsi="Times New Roman"/>
          <w:szCs w:val="24"/>
        </w:rPr>
        <w:t>показују</w:t>
      </w:r>
      <w:r w:rsidR="00FC46B2" w:rsidRPr="00295637">
        <w:rPr>
          <w:rFonts w:ascii="Times New Roman" w:hAnsi="Times New Roman"/>
          <w:szCs w:val="24"/>
        </w:rPr>
        <w:t xml:space="preserve"> </w:t>
      </w:r>
      <w:r>
        <w:rPr>
          <w:rFonts w:ascii="Times New Roman" w:hAnsi="Times New Roman"/>
          <w:szCs w:val="24"/>
        </w:rPr>
        <w:t>да</w:t>
      </w:r>
      <w:r w:rsidR="00FC46B2" w:rsidRPr="00295637">
        <w:rPr>
          <w:rFonts w:ascii="Times New Roman" w:hAnsi="Times New Roman"/>
          <w:szCs w:val="24"/>
        </w:rPr>
        <w:t xml:space="preserve"> </w:t>
      </w:r>
      <w:r>
        <w:rPr>
          <w:rFonts w:ascii="Times New Roman" w:hAnsi="Times New Roman"/>
          <w:szCs w:val="24"/>
        </w:rPr>
        <w:t>родни</w:t>
      </w:r>
      <w:r w:rsidR="00FC46B2" w:rsidRPr="00295637">
        <w:rPr>
          <w:rFonts w:ascii="Times New Roman" w:hAnsi="Times New Roman"/>
          <w:szCs w:val="24"/>
        </w:rPr>
        <w:t xml:space="preserve"> </w:t>
      </w:r>
      <w:r>
        <w:rPr>
          <w:rFonts w:ascii="Times New Roman" w:hAnsi="Times New Roman"/>
          <w:szCs w:val="24"/>
        </w:rPr>
        <w:t>јаз</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приходима</w:t>
      </w:r>
      <w:r w:rsidR="00FC46B2" w:rsidRPr="00295637">
        <w:rPr>
          <w:rFonts w:ascii="Times New Roman" w:hAnsi="Times New Roman"/>
          <w:szCs w:val="24"/>
        </w:rPr>
        <w:t xml:space="preserve"> </w:t>
      </w:r>
      <w:r>
        <w:rPr>
          <w:rFonts w:ascii="Times New Roman" w:hAnsi="Times New Roman"/>
          <w:szCs w:val="24"/>
        </w:rPr>
        <w:t>постоји</w:t>
      </w:r>
      <w:r w:rsidR="00FC46B2" w:rsidRPr="00295637">
        <w:rPr>
          <w:rFonts w:ascii="Times New Roman" w:hAnsi="Times New Roman"/>
          <w:szCs w:val="24"/>
        </w:rPr>
        <w:t xml:space="preserve">. </w:t>
      </w:r>
      <w:r>
        <w:rPr>
          <w:rFonts w:ascii="Times New Roman" w:hAnsi="Times New Roman"/>
          <w:szCs w:val="24"/>
        </w:rPr>
        <w:t>Посљедњи</w:t>
      </w:r>
      <w:r w:rsidR="00FC46B2" w:rsidRPr="00295637">
        <w:rPr>
          <w:rFonts w:ascii="Times New Roman" w:hAnsi="Times New Roman"/>
          <w:szCs w:val="24"/>
        </w:rPr>
        <w:t xml:space="preserve"> </w:t>
      </w:r>
      <w:r>
        <w:rPr>
          <w:rFonts w:ascii="Times New Roman" w:hAnsi="Times New Roman"/>
          <w:szCs w:val="24"/>
        </w:rPr>
        <w:t>публи</w:t>
      </w:r>
      <w:r w:rsidR="00244392">
        <w:rPr>
          <w:rFonts w:ascii="Times New Roman" w:hAnsi="Times New Roman"/>
          <w:szCs w:val="24"/>
          <w:lang w:val="sr-Cyrl-BA"/>
        </w:rPr>
        <w:t>ковани</w:t>
      </w:r>
      <w:r w:rsidR="00FC46B2" w:rsidRPr="00295637">
        <w:rPr>
          <w:rFonts w:ascii="Times New Roman" w:hAnsi="Times New Roman"/>
          <w:szCs w:val="24"/>
        </w:rPr>
        <w:t xml:space="preserve"> </w:t>
      </w:r>
      <w:r>
        <w:rPr>
          <w:rFonts w:ascii="Times New Roman" w:hAnsi="Times New Roman"/>
          <w:szCs w:val="24"/>
        </w:rPr>
        <w:t>подаци</w:t>
      </w:r>
      <w:r w:rsidR="00FC46B2" w:rsidRPr="00295637">
        <w:rPr>
          <w:rFonts w:ascii="Times New Roman" w:hAnsi="Times New Roman"/>
          <w:szCs w:val="24"/>
        </w:rPr>
        <w:t xml:space="preserve"> </w:t>
      </w:r>
      <w:r>
        <w:rPr>
          <w:rFonts w:ascii="Times New Roman" w:hAnsi="Times New Roman"/>
          <w:szCs w:val="24"/>
        </w:rPr>
        <w:t>из</w:t>
      </w:r>
      <w:r w:rsidR="00FC46B2" w:rsidRPr="00295637">
        <w:rPr>
          <w:rFonts w:ascii="Times New Roman" w:hAnsi="Times New Roman"/>
          <w:szCs w:val="24"/>
        </w:rPr>
        <w:t xml:space="preserve"> </w:t>
      </w:r>
      <w:r>
        <w:rPr>
          <w:rFonts w:ascii="Times New Roman" w:hAnsi="Times New Roman"/>
          <w:szCs w:val="24"/>
        </w:rPr>
        <w:t>билтена</w:t>
      </w:r>
      <w:r w:rsidR="00FC46B2" w:rsidRPr="00295637">
        <w:rPr>
          <w:rFonts w:ascii="Times New Roman" w:hAnsi="Times New Roman"/>
          <w:szCs w:val="24"/>
        </w:rPr>
        <w:t xml:space="preserve"> „</w:t>
      </w:r>
      <w:hyperlink r:id="rId9" w:history="1">
        <w:r>
          <w:rPr>
            <w:rFonts w:ascii="Times New Roman" w:hAnsi="Times New Roman"/>
            <w:szCs w:val="24"/>
          </w:rPr>
          <w:t>Жене</w:t>
        </w:r>
        <w:r w:rsidR="00FC46B2" w:rsidRPr="00295637">
          <w:rPr>
            <w:rFonts w:ascii="Times New Roman" w:hAnsi="Times New Roman"/>
            <w:szCs w:val="24"/>
          </w:rPr>
          <w:t xml:space="preserve"> </w:t>
        </w:r>
        <w:r>
          <w:rPr>
            <w:rFonts w:ascii="Times New Roman" w:hAnsi="Times New Roman"/>
            <w:szCs w:val="24"/>
          </w:rPr>
          <w:t>и</w:t>
        </w:r>
        <w:r w:rsidR="00FC46B2" w:rsidRPr="00295637">
          <w:rPr>
            <w:rFonts w:ascii="Times New Roman" w:hAnsi="Times New Roman"/>
            <w:szCs w:val="24"/>
          </w:rPr>
          <w:t xml:space="preserve"> </w:t>
        </w:r>
        <w:r>
          <w:rPr>
            <w:rFonts w:ascii="Times New Roman" w:hAnsi="Times New Roman"/>
            <w:szCs w:val="24"/>
          </w:rPr>
          <w:t>мушкарци</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Републици</w:t>
        </w:r>
        <w:r w:rsidR="00FC46B2" w:rsidRPr="00295637">
          <w:rPr>
            <w:rFonts w:ascii="Times New Roman" w:hAnsi="Times New Roman"/>
            <w:szCs w:val="24"/>
          </w:rPr>
          <w:t xml:space="preserve"> </w:t>
        </w:r>
        <w:r>
          <w:rPr>
            <w:rFonts w:ascii="Times New Roman" w:hAnsi="Times New Roman"/>
            <w:szCs w:val="24"/>
          </w:rPr>
          <w:t>Српској</w:t>
        </w:r>
        <w:r w:rsidR="00FC46B2" w:rsidRPr="00295637">
          <w:rPr>
            <w:rFonts w:ascii="Times New Roman" w:hAnsi="Times New Roman"/>
            <w:szCs w:val="24"/>
          </w:rPr>
          <w:t xml:space="preserve"> 2023</w:t>
        </w:r>
      </w:hyperlink>
      <w:r w:rsidR="00FC46B2" w:rsidRPr="00295637">
        <w:rPr>
          <w:rFonts w:ascii="Times New Roman" w:hAnsi="Times New Roman"/>
          <w:szCs w:val="24"/>
        </w:rPr>
        <w:t xml:space="preserve">“ </w:t>
      </w:r>
      <w:r>
        <w:rPr>
          <w:rFonts w:ascii="Times New Roman" w:hAnsi="Times New Roman"/>
          <w:szCs w:val="24"/>
        </w:rPr>
        <w:t>Републичког</w:t>
      </w:r>
      <w:r w:rsidR="00FC46B2" w:rsidRPr="00295637">
        <w:rPr>
          <w:rFonts w:ascii="Times New Roman" w:hAnsi="Times New Roman"/>
          <w:szCs w:val="24"/>
        </w:rPr>
        <w:t xml:space="preserve"> </w:t>
      </w:r>
      <w:r>
        <w:rPr>
          <w:rFonts w:ascii="Times New Roman" w:hAnsi="Times New Roman"/>
          <w:szCs w:val="24"/>
        </w:rPr>
        <w:t>завода</w:t>
      </w:r>
      <w:r w:rsidR="00FC46B2" w:rsidRPr="00295637">
        <w:rPr>
          <w:rFonts w:ascii="Times New Roman" w:hAnsi="Times New Roman"/>
          <w:szCs w:val="24"/>
        </w:rPr>
        <w:t xml:space="preserve"> </w:t>
      </w:r>
      <w:r>
        <w:rPr>
          <w:rFonts w:ascii="Times New Roman" w:hAnsi="Times New Roman"/>
          <w:szCs w:val="24"/>
        </w:rPr>
        <w:t>за</w:t>
      </w:r>
      <w:r w:rsidR="00FC46B2" w:rsidRPr="00295637">
        <w:rPr>
          <w:rFonts w:ascii="Times New Roman" w:hAnsi="Times New Roman"/>
          <w:szCs w:val="24"/>
        </w:rPr>
        <w:t xml:space="preserve"> </w:t>
      </w:r>
      <w:r>
        <w:rPr>
          <w:rFonts w:ascii="Times New Roman" w:hAnsi="Times New Roman"/>
          <w:szCs w:val="24"/>
        </w:rPr>
        <w:t>статистику</w:t>
      </w:r>
      <w:r w:rsidR="00FC46B2" w:rsidRPr="00295637">
        <w:rPr>
          <w:rFonts w:ascii="Times New Roman" w:hAnsi="Times New Roman"/>
          <w:szCs w:val="24"/>
        </w:rPr>
        <w:t xml:space="preserve"> </w:t>
      </w:r>
      <w:r>
        <w:rPr>
          <w:rFonts w:ascii="Times New Roman" w:hAnsi="Times New Roman"/>
          <w:szCs w:val="24"/>
        </w:rPr>
        <w:t>РС</w:t>
      </w:r>
      <w:r w:rsidR="00FC46B2" w:rsidRPr="00295637">
        <w:rPr>
          <w:rFonts w:ascii="Times New Roman" w:hAnsi="Times New Roman"/>
          <w:szCs w:val="24"/>
        </w:rPr>
        <w:t xml:space="preserve"> </w:t>
      </w:r>
      <w:r>
        <w:rPr>
          <w:rFonts w:ascii="Times New Roman" w:hAnsi="Times New Roman"/>
          <w:szCs w:val="24"/>
        </w:rPr>
        <w:t>показују</w:t>
      </w:r>
      <w:r w:rsidR="00FC46B2" w:rsidRPr="00295637">
        <w:rPr>
          <w:rFonts w:ascii="Times New Roman" w:hAnsi="Times New Roman"/>
          <w:szCs w:val="24"/>
        </w:rPr>
        <w:t xml:space="preserve"> </w:t>
      </w:r>
      <w:r>
        <w:rPr>
          <w:rFonts w:ascii="Times New Roman" w:hAnsi="Times New Roman"/>
          <w:szCs w:val="24"/>
        </w:rPr>
        <w:t>да</w:t>
      </w:r>
      <w:r w:rsidR="00FC46B2" w:rsidRPr="00295637">
        <w:rPr>
          <w:rFonts w:ascii="Times New Roman" w:hAnsi="Times New Roman"/>
          <w:szCs w:val="24"/>
        </w:rPr>
        <w:t xml:space="preserve"> </w:t>
      </w:r>
      <w:r>
        <w:rPr>
          <w:rFonts w:ascii="Times New Roman" w:hAnsi="Times New Roman"/>
          <w:szCs w:val="24"/>
        </w:rPr>
        <w:t>разлике</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приходима</w:t>
      </w:r>
      <w:r w:rsidR="00FC46B2" w:rsidRPr="00295637">
        <w:rPr>
          <w:rFonts w:ascii="Times New Roman" w:hAnsi="Times New Roman"/>
          <w:szCs w:val="24"/>
        </w:rPr>
        <w:t xml:space="preserve"> </w:t>
      </w:r>
      <w:r>
        <w:rPr>
          <w:rFonts w:ascii="Times New Roman" w:hAnsi="Times New Roman"/>
          <w:szCs w:val="24"/>
        </w:rPr>
        <w:t>не</w:t>
      </w:r>
      <w:r w:rsidR="00FC46B2" w:rsidRPr="00295637">
        <w:rPr>
          <w:rFonts w:ascii="Times New Roman" w:hAnsi="Times New Roman"/>
          <w:szCs w:val="24"/>
        </w:rPr>
        <w:t xml:space="preserve"> </w:t>
      </w:r>
      <w:r>
        <w:rPr>
          <w:rFonts w:ascii="Times New Roman" w:hAnsi="Times New Roman"/>
          <w:szCs w:val="24"/>
        </w:rPr>
        <w:t>мијењају</w:t>
      </w:r>
      <w:r w:rsidR="00FC46B2" w:rsidRPr="00295637">
        <w:rPr>
          <w:rFonts w:ascii="Times New Roman" w:hAnsi="Times New Roman"/>
          <w:szCs w:val="24"/>
        </w:rPr>
        <w:t xml:space="preserve"> (</w:t>
      </w:r>
      <w:r>
        <w:rPr>
          <w:rFonts w:ascii="Times New Roman" w:hAnsi="Times New Roman"/>
          <w:szCs w:val="24"/>
        </w:rPr>
        <w:t>нема</w:t>
      </w:r>
      <w:r w:rsidR="00FC46B2" w:rsidRPr="00295637">
        <w:rPr>
          <w:rFonts w:ascii="Times New Roman" w:hAnsi="Times New Roman"/>
          <w:szCs w:val="24"/>
        </w:rPr>
        <w:t xml:space="preserve"> </w:t>
      </w:r>
      <w:r>
        <w:rPr>
          <w:rFonts w:ascii="Times New Roman" w:hAnsi="Times New Roman"/>
          <w:szCs w:val="24"/>
        </w:rPr>
        <w:t>значајних</w:t>
      </w:r>
      <w:r w:rsidR="00FC46B2" w:rsidRPr="00295637">
        <w:rPr>
          <w:rFonts w:ascii="Times New Roman" w:hAnsi="Times New Roman"/>
          <w:szCs w:val="24"/>
        </w:rPr>
        <w:t xml:space="preserve"> </w:t>
      </w:r>
      <w:r>
        <w:rPr>
          <w:rFonts w:ascii="Times New Roman" w:hAnsi="Times New Roman"/>
          <w:szCs w:val="24"/>
        </w:rPr>
        <w:t>разлика</w:t>
      </w:r>
      <w:r w:rsidR="00FC46B2" w:rsidRPr="00295637">
        <w:rPr>
          <w:rFonts w:ascii="Times New Roman" w:hAnsi="Times New Roman"/>
          <w:szCs w:val="24"/>
        </w:rPr>
        <w:t xml:space="preserve"> </w:t>
      </w:r>
      <w:r>
        <w:rPr>
          <w:rFonts w:ascii="Times New Roman" w:hAnsi="Times New Roman"/>
          <w:szCs w:val="24"/>
        </w:rPr>
        <w:t>из</w:t>
      </w:r>
      <w:r w:rsidR="00FC46B2" w:rsidRPr="00295637">
        <w:rPr>
          <w:rFonts w:ascii="Times New Roman" w:hAnsi="Times New Roman"/>
          <w:szCs w:val="24"/>
        </w:rPr>
        <w:t xml:space="preserve"> </w:t>
      </w:r>
      <w:r>
        <w:rPr>
          <w:rFonts w:ascii="Times New Roman" w:hAnsi="Times New Roman"/>
          <w:szCs w:val="24"/>
        </w:rPr>
        <w:t>године</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годину</w:t>
      </w:r>
      <w:r w:rsidR="00FC46B2" w:rsidRPr="00295637">
        <w:rPr>
          <w:rFonts w:ascii="Times New Roman" w:hAnsi="Times New Roman"/>
          <w:szCs w:val="24"/>
        </w:rPr>
        <w:t xml:space="preserve">). </w:t>
      </w:r>
      <w:r>
        <w:rPr>
          <w:rFonts w:ascii="Times New Roman" w:hAnsi="Times New Roman"/>
          <w:szCs w:val="24"/>
        </w:rPr>
        <w:t>Највеће</w:t>
      </w:r>
      <w:r w:rsidR="00FC46B2" w:rsidRPr="00295637">
        <w:rPr>
          <w:rFonts w:ascii="Times New Roman" w:hAnsi="Times New Roman"/>
          <w:szCs w:val="24"/>
        </w:rPr>
        <w:t xml:space="preserve"> </w:t>
      </w:r>
      <w:r>
        <w:rPr>
          <w:rFonts w:ascii="Times New Roman" w:hAnsi="Times New Roman"/>
          <w:szCs w:val="24"/>
        </w:rPr>
        <w:t>разлике</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просјечним</w:t>
      </w:r>
      <w:r w:rsidR="00FC46B2" w:rsidRPr="00295637">
        <w:rPr>
          <w:rFonts w:ascii="Times New Roman" w:hAnsi="Times New Roman"/>
          <w:szCs w:val="24"/>
        </w:rPr>
        <w:t xml:space="preserve"> </w:t>
      </w:r>
      <w:r>
        <w:rPr>
          <w:rFonts w:ascii="Times New Roman" w:hAnsi="Times New Roman"/>
          <w:szCs w:val="24"/>
        </w:rPr>
        <w:t>пла</w:t>
      </w:r>
      <w:r w:rsidR="00244392">
        <w:rPr>
          <w:rFonts w:ascii="Times New Roman" w:hAnsi="Times New Roman"/>
          <w:szCs w:val="24"/>
          <w:lang w:val="sr-Cyrl-BA"/>
        </w:rPr>
        <w:t>т</w:t>
      </w:r>
      <w:r>
        <w:rPr>
          <w:rFonts w:ascii="Times New Roman" w:hAnsi="Times New Roman"/>
          <w:szCs w:val="24"/>
        </w:rPr>
        <w:t>ама</w:t>
      </w:r>
      <w:r w:rsidR="00FC46B2" w:rsidRPr="00295637">
        <w:rPr>
          <w:rFonts w:ascii="Times New Roman" w:hAnsi="Times New Roman"/>
          <w:szCs w:val="24"/>
        </w:rPr>
        <w:t xml:space="preserve"> </w:t>
      </w:r>
      <w:r>
        <w:rPr>
          <w:rFonts w:ascii="Times New Roman" w:hAnsi="Times New Roman"/>
          <w:szCs w:val="24"/>
        </w:rPr>
        <w:t>између</w:t>
      </w:r>
      <w:r w:rsidR="00FC46B2" w:rsidRPr="00295637">
        <w:rPr>
          <w:rFonts w:ascii="Times New Roman" w:hAnsi="Times New Roman"/>
          <w:szCs w:val="24"/>
        </w:rPr>
        <w:t xml:space="preserve"> </w:t>
      </w:r>
      <w:r>
        <w:rPr>
          <w:rFonts w:ascii="Times New Roman" w:hAnsi="Times New Roman"/>
          <w:szCs w:val="24"/>
        </w:rPr>
        <w:t>жена</w:t>
      </w:r>
      <w:r w:rsidR="00FC46B2" w:rsidRPr="00295637">
        <w:rPr>
          <w:rFonts w:ascii="Times New Roman" w:hAnsi="Times New Roman"/>
          <w:szCs w:val="24"/>
        </w:rPr>
        <w:t xml:space="preserve"> </w:t>
      </w:r>
      <w:r>
        <w:rPr>
          <w:rFonts w:ascii="Times New Roman" w:hAnsi="Times New Roman"/>
          <w:szCs w:val="24"/>
        </w:rPr>
        <w:t>и</w:t>
      </w:r>
      <w:r w:rsidR="00FC46B2" w:rsidRPr="00295637">
        <w:rPr>
          <w:rFonts w:ascii="Times New Roman" w:hAnsi="Times New Roman"/>
          <w:szCs w:val="24"/>
        </w:rPr>
        <w:t xml:space="preserve"> </w:t>
      </w:r>
      <w:r>
        <w:rPr>
          <w:rFonts w:ascii="Times New Roman" w:hAnsi="Times New Roman"/>
          <w:szCs w:val="24"/>
        </w:rPr>
        <w:t>мушкараца</w:t>
      </w:r>
      <w:r w:rsidR="00FC46B2" w:rsidRPr="00295637">
        <w:rPr>
          <w:rFonts w:ascii="Times New Roman" w:hAnsi="Times New Roman"/>
          <w:szCs w:val="24"/>
        </w:rPr>
        <w:t xml:space="preserve"> </w:t>
      </w:r>
      <w:r>
        <w:rPr>
          <w:rFonts w:ascii="Times New Roman" w:hAnsi="Times New Roman"/>
          <w:szCs w:val="24"/>
        </w:rPr>
        <w:t>су</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дјелатностима</w:t>
      </w:r>
      <w:r w:rsidR="00FC46B2" w:rsidRPr="00295637">
        <w:rPr>
          <w:rFonts w:ascii="Times New Roman" w:hAnsi="Times New Roman"/>
          <w:szCs w:val="24"/>
        </w:rPr>
        <w:t xml:space="preserve"> </w:t>
      </w:r>
      <w:r>
        <w:rPr>
          <w:rFonts w:ascii="Times New Roman" w:hAnsi="Times New Roman"/>
          <w:szCs w:val="24"/>
        </w:rPr>
        <w:t>које</w:t>
      </w:r>
      <w:r w:rsidR="00FC46B2" w:rsidRPr="00295637">
        <w:rPr>
          <w:rFonts w:ascii="Times New Roman" w:hAnsi="Times New Roman"/>
          <w:szCs w:val="24"/>
        </w:rPr>
        <w:t xml:space="preserve"> </w:t>
      </w:r>
      <w:r>
        <w:rPr>
          <w:rFonts w:ascii="Times New Roman" w:hAnsi="Times New Roman"/>
          <w:szCs w:val="24"/>
        </w:rPr>
        <w:t>су</w:t>
      </w:r>
      <w:r w:rsidR="00FC46B2" w:rsidRPr="00295637">
        <w:rPr>
          <w:rFonts w:ascii="Times New Roman" w:hAnsi="Times New Roman"/>
          <w:szCs w:val="24"/>
        </w:rPr>
        <w:t xml:space="preserve"> </w:t>
      </w:r>
      <w:r>
        <w:rPr>
          <w:rFonts w:ascii="Times New Roman" w:hAnsi="Times New Roman"/>
          <w:szCs w:val="24"/>
        </w:rPr>
        <w:t>и</w:t>
      </w:r>
      <w:r w:rsidR="00FC46B2" w:rsidRPr="00295637">
        <w:rPr>
          <w:rFonts w:ascii="Times New Roman" w:hAnsi="Times New Roman"/>
          <w:szCs w:val="24"/>
        </w:rPr>
        <w:t xml:space="preserve"> </w:t>
      </w:r>
      <w:r>
        <w:rPr>
          <w:rFonts w:ascii="Times New Roman" w:hAnsi="Times New Roman"/>
          <w:szCs w:val="24"/>
        </w:rPr>
        <w:t>највише</w:t>
      </w:r>
      <w:r w:rsidR="00FC46B2" w:rsidRPr="00295637">
        <w:rPr>
          <w:rFonts w:ascii="Times New Roman" w:hAnsi="Times New Roman"/>
          <w:szCs w:val="24"/>
        </w:rPr>
        <w:t xml:space="preserve"> </w:t>
      </w:r>
      <w:r>
        <w:rPr>
          <w:rFonts w:ascii="Times New Roman" w:hAnsi="Times New Roman"/>
          <w:szCs w:val="24"/>
        </w:rPr>
        <w:t>плаћене</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овом</w:t>
      </w:r>
      <w:r w:rsidR="00FC46B2" w:rsidRPr="00295637">
        <w:rPr>
          <w:rFonts w:ascii="Times New Roman" w:hAnsi="Times New Roman"/>
          <w:szCs w:val="24"/>
        </w:rPr>
        <w:t xml:space="preserve"> </w:t>
      </w:r>
      <w:r>
        <w:rPr>
          <w:rFonts w:ascii="Times New Roman" w:hAnsi="Times New Roman"/>
          <w:szCs w:val="24"/>
        </w:rPr>
        <w:t>случају</w:t>
      </w:r>
      <w:r w:rsidR="00FC46B2" w:rsidRPr="00295637">
        <w:rPr>
          <w:rFonts w:ascii="Times New Roman" w:hAnsi="Times New Roman"/>
          <w:szCs w:val="24"/>
        </w:rPr>
        <w:t xml:space="preserve">, </w:t>
      </w:r>
      <w:r>
        <w:rPr>
          <w:rFonts w:ascii="Times New Roman" w:hAnsi="Times New Roman"/>
          <w:szCs w:val="24"/>
        </w:rPr>
        <w:t>највећа</w:t>
      </w:r>
      <w:r w:rsidR="00FC46B2" w:rsidRPr="00295637">
        <w:rPr>
          <w:rFonts w:ascii="Times New Roman" w:hAnsi="Times New Roman"/>
          <w:szCs w:val="24"/>
        </w:rPr>
        <w:t xml:space="preserve"> </w:t>
      </w:r>
      <w:r>
        <w:rPr>
          <w:rFonts w:ascii="Times New Roman" w:hAnsi="Times New Roman"/>
          <w:szCs w:val="24"/>
        </w:rPr>
        <w:t>разлика</w:t>
      </w:r>
      <w:r w:rsidR="00FC46B2" w:rsidRPr="00295637">
        <w:rPr>
          <w:rFonts w:ascii="Times New Roman" w:hAnsi="Times New Roman"/>
          <w:szCs w:val="24"/>
        </w:rPr>
        <w:t xml:space="preserve"> </w:t>
      </w:r>
      <w:r>
        <w:rPr>
          <w:rFonts w:ascii="Times New Roman" w:hAnsi="Times New Roman"/>
          <w:szCs w:val="24"/>
        </w:rPr>
        <w:t>је</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финансијским</w:t>
      </w:r>
      <w:r w:rsidR="00FC46B2" w:rsidRPr="00295637">
        <w:rPr>
          <w:rFonts w:ascii="Times New Roman" w:hAnsi="Times New Roman"/>
          <w:szCs w:val="24"/>
        </w:rPr>
        <w:t xml:space="preserve"> </w:t>
      </w:r>
      <w:r>
        <w:rPr>
          <w:rFonts w:ascii="Times New Roman" w:hAnsi="Times New Roman"/>
          <w:szCs w:val="24"/>
        </w:rPr>
        <w:t>услугама</w:t>
      </w:r>
      <w:r w:rsidR="00FC46B2" w:rsidRPr="00295637">
        <w:rPr>
          <w:rFonts w:ascii="Times New Roman" w:hAnsi="Times New Roman"/>
          <w:szCs w:val="24"/>
        </w:rPr>
        <w:t xml:space="preserve"> </w:t>
      </w:r>
      <w:r>
        <w:rPr>
          <w:rFonts w:ascii="Times New Roman" w:hAnsi="Times New Roman"/>
          <w:szCs w:val="24"/>
        </w:rPr>
        <w:t>и</w:t>
      </w:r>
      <w:r w:rsidR="00FC46B2" w:rsidRPr="00295637">
        <w:rPr>
          <w:rFonts w:ascii="Times New Roman" w:hAnsi="Times New Roman"/>
          <w:szCs w:val="24"/>
        </w:rPr>
        <w:t xml:space="preserve"> </w:t>
      </w:r>
      <w:r>
        <w:rPr>
          <w:rFonts w:ascii="Times New Roman" w:hAnsi="Times New Roman"/>
          <w:szCs w:val="24"/>
        </w:rPr>
        <w:t>услугама</w:t>
      </w:r>
      <w:r w:rsidR="00FC46B2" w:rsidRPr="00295637">
        <w:rPr>
          <w:rFonts w:ascii="Times New Roman" w:hAnsi="Times New Roman"/>
          <w:szCs w:val="24"/>
        </w:rPr>
        <w:t xml:space="preserve"> </w:t>
      </w:r>
      <w:r>
        <w:rPr>
          <w:rFonts w:ascii="Times New Roman" w:hAnsi="Times New Roman"/>
          <w:szCs w:val="24"/>
        </w:rPr>
        <w:t>осигурања</w:t>
      </w:r>
      <w:r w:rsidR="00FC46B2" w:rsidRPr="00295637">
        <w:rPr>
          <w:rFonts w:ascii="Times New Roman" w:hAnsi="Times New Roman"/>
          <w:szCs w:val="24"/>
        </w:rPr>
        <w:t xml:space="preserve"> </w:t>
      </w:r>
      <w:r>
        <w:rPr>
          <w:rFonts w:ascii="Times New Roman" w:hAnsi="Times New Roman"/>
          <w:szCs w:val="24"/>
        </w:rPr>
        <w:t>гдје</w:t>
      </w:r>
      <w:r w:rsidR="00FC46B2" w:rsidRPr="00295637">
        <w:rPr>
          <w:rFonts w:ascii="Times New Roman" w:hAnsi="Times New Roman"/>
          <w:szCs w:val="24"/>
        </w:rPr>
        <w:t xml:space="preserve"> </w:t>
      </w:r>
      <w:r>
        <w:rPr>
          <w:rFonts w:ascii="Times New Roman" w:hAnsi="Times New Roman"/>
          <w:szCs w:val="24"/>
        </w:rPr>
        <w:t>је</w:t>
      </w:r>
      <w:r w:rsidR="00FC46B2" w:rsidRPr="00295637">
        <w:rPr>
          <w:rFonts w:ascii="Times New Roman" w:hAnsi="Times New Roman"/>
          <w:szCs w:val="24"/>
        </w:rPr>
        <w:t xml:space="preserve"> </w:t>
      </w:r>
      <w:r>
        <w:rPr>
          <w:rFonts w:ascii="Times New Roman" w:hAnsi="Times New Roman"/>
          <w:szCs w:val="24"/>
        </w:rPr>
        <w:t>просјек</w:t>
      </w:r>
      <w:r w:rsidR="00FC46B2" w:rsidRPr="00295637">
        <w:rPr>
          <w:rFonts w:ascii="Times New Roman" w:hAnsi="Times New Roman"/>
          <w:szCs w:val="24"/>
        </w:rPr>
        <w:t xml:space="preserve"> </w:t>
      </w:r>
      <w:r>
        <w:rPr>
          <w:rFonts w:ascii="Times New Roman" w:hAnsi="Times New Roman"/>
          <w:szCs w:val="24"/>
        </w:rPr>
        <w:t>пла</w:t>
      </w:r>
      <w:r w:rsidR="00244392">
        <w:rPr>
          <w:rFonts w:ascii="Times New Roman" w:hAnsi="Times New Roman"/>
          <w:szCs w:val="24"/>
          <w:lang w:val="sr-Cyrl-BA"/>
        </w:rPr>
        <w:t>т</w:t>
      </w:r>
      <w:r>
        <w:rPr>
          <w:rFonts w:ascii="Times New Roman" w:hAnsi="Times New Roman"/>
          <w:szCs w:val="24"/>
        </w:rPr>
        <w:t>а</w:t>
      </w:r>
      <w:r w:rsidR="00FC46B2" w:rsidRPr="00295637">
        <w:rPr>
          <w:rFonts w:ascii="Times New Roman" w:hAnsi="Times New Roman"/>
          <w:szCs w:val="24"/>
        </w:rPr>
        <w:t xml:space="preserve"> </w:t>
      </w:r>
      <w:r>
        <w:rPr>
          <w:rFonts w:ascii="Times New Roman" w:hAnsi="Times New Roman"/>
          <w:szCs w:val="24"/>
        </w:rPr>
        <w:t>жена</w:t>
      </w:r>
      <w:r w:rsidR="00FC46B2" w:rsidRPr="00295637">
        <w:rPr>
          <w:rFonts w:ascii="Times New Roman" w:hAnsi="Times New Roman"/>
          <w:szCs w:val="24"/>
        </w:rPr>
        <w:t xml:space="preserve"> </w:t>
      </w:r>
      <w:r>
        <w:rPr>
          <w:rFonts w:ascii="Times New Roman" w:hAnsi="Times New Roman"/>
          <w:szCs w:val="24"/>
        </w:rPr>
        <w:t>нешто</w:t>
      </w:r>
      <w:r w:rsidR="00FC46B2" w:rsidRPr="00295637">
        <w:rPr>
          <w:rFonts w:ascii="Times New Roman" w:hAnsi="Times New Roman"/>
          <w:szCs w:val="24"/>
        </w:rPr>
        <w:t xml:space="preserve"> </w:t>
      </w:r>
      <w:r>
        <w:rPr>
          <w:rFonts w:ascii="Times New Roman" w:hAnsi="Times New Roman"/>
          <w:szCs w:val="24"/>
        </w:rPr>
        <w:t>изнад</w:t>
      </w:r>
      <w:r w:rsidR="00FC46B2" w:rsidRPr="00295637">
        <w:rPr>
          <w:rFonts w:ascii="Times New Roman" w:hAnsi="Times New Roman"/>
          <w:szCs w:val="24"/>
        </w:rPr>
        <w:t xml:space="preserve"> 1400 </w:t>
      </w:r>
      <w:r>
        <w:rPr>
          <w:rFonts w:ascii="Times New Roman" w:hAnsi="Times New Roman"/>
          <w:szCs w:val="24"/>
        </w:rPr>
        <w:t>КМ</w:t>
      </w:r>
      <w:r w:rsidR="00FC46B2" w:rsidRPr="00295637">
        <w:rPr>
          <w:rFonts w:ascii="Times New Roman" w:hAnsi="Times New Roman"/>
          <w:szCs w:val="24"/>
        </w:rPr>
        <w:t xml:space="preserve">, </w:t>
      </w:r>
      <w:r>
        <w:rPr>
          <w:rFonts w:ascii="Times New Roman" w:hAnsi="Times New Roman"/>
          <w:szCs w:val="24"/>
        </w:rPr>
        <w:t>а</w:t>
      </w:r>
      <w:r w:rsidR="00FC46B2" w:rsidRPr="00295637">
        <w:rPr>
          <w:rFonts w:ascii="Times New Roman" w:hAnsi="Times New Roman"/>
          <w:szCs w:val="24"/>
        </w:rPr>
        <w:t xml:space="preserve"> </w:t>
      </w:r>
      <w:r>
        <w:rPr>
          <w:rFonts w:ascii="Times New Roman" w:hAnsi="Times New Roman"/>
          <w:szCs w:val="24"/>
        </w:rPr>
        <w:t>мушкараца</w:t>
      </w:r>
      <w:r w:rsidR="00FC46B2" w:rsidRPr="00295637">
        <w:rPr>
          <w:rFonts w:ascii="Times New Roman" w:hAnsi="Times New Roman"/>
          <w:szCs w:val="24"/>
        </w:rPr>
        <w:t xml:space="preserve"> </w:t>
      </w:r>
      <w:r>
        <w:rPr>
          <w:rFonts w:ascii="Times New Roman" w:hAnsi="Times New Roman"/>
          <w:szCs w:val="24"/>
        </w:rPr>
        <w:t>приближно</w:t>
      </w:r>
      <w:r w:rsidR="00FC46B2" w:rsidRPr="00295637">
        <w:rPr>
          <w:rFonts w:ascii="Times New Roman" w:hAnsi="Times New Roman"/>
          <w:szCs w:val="24"/>
        </w:rPr>
        <w:t xml:space="preserve"> 1800 </w:t>
      </w:r>
      <w:r>
        <w:rPr>
          <w:rFonts w:ascii="Times New Roman" w:hAnsi="Times New Roman"/>
          <w:szCs w:val="24"/>
        </w:rPr>
        <w:t>КМ</w:t>
      </w:r>
      <w:r w:rsidR="00FC46B2" w:rsidRPr="00295637">
        <w:rPr>
          <w:rFonts w:ascii="Times New Roman" w:hAnsi="Times New Roman"/>
          <w:szCs w:val="24"/>
        </w:rPr>
        <w:t xml:space="preserve">), </w:t>
      </w:r>
      <w:r>
        <w:rPr>
          <w:rFonts w:ascii="Times New Roman" w:hAnsi="Times New Roman"/>
          <w:szCs w:val="24"/>
        </w:rPr>
        <w:t>а</w:t>
      </w:r>
      <w:r w:rsidR="00FC46B2" w:rsidRPr="00295637">
        <w:rPr>
          <w:rFonts w:ascii="Times New Roman" w:hAnsi="Times New Roman"/>
          <w:szCs w:val="24"/>
        </w:rPr>
        <w:t xml:space="preserve"> </w:t>
      </w:r>
      <w:r>
        <w:rPr>
          <w:rFonts w:ascii="Times New Roman" w:hAnsi="Times New Roman"/>
          <w:szCs w:val="24"/>
        </w:rPr>
        <w:t>јаз</w:t>
      </w:r>
      <w:r w:rsidR="00FC46B2" w:rsidRPr="00295637">
        <w:rPr>
          <w:rFonts w:ascii="Times New Roman" w:hAnsi="Times New Roman"/>
          <w:szCs w:val="24"/>
        </w:rPr>
        <w:t xml:space="preserve"> </w:t>
      </w:r>
      <w:r>
        <w:rPr>
          <w:rFonts w:ascii="Times New Roman" w:hAnsi="Times New Roman"/>
          <w:szCs w:val="24"/>
        </w:rPr>
        <w:t>се</w:t>
      </w:r>
      <w:r w:rsidR="00FC46B2" w:rsidRPr="00295637">
        <w:rPr>
          <w:rFonts w:ascii="Times New Roman" w:hAnsi="Times New Roman"/>
          <w:szCs w:val="24"/>
        </w:rPr>
        <w:t xml:space="preserve"> </w:t>
      </w:r>
      <w:r>
        <w:rPr>
          <w:rFonts w:ascii="Times New Roman" w:hAnsi="Times New Roman"/>
          <w:szCs w:val="24"/>
        </w:rPr>
        <w:t>смањује</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дјелатностима</w:t>
      </w:r>
      <w:r w:rsidR="00FC46B2" w:rsidRPr="00295637">
        <w:rPr>
          <w:rFonts w:ascii="Times New Roman" w:hAnsi="Times New Roman"/>
          <w:szCs w:val="24"/>
        </w:rPr>
        <w:t xml:space="preserve"> </w:t>
      </w:r>
      <w:r>
        <w:rPr>
          <w:rFonts w:ascii="Times New Roman" w:hAnsi="Times New Roman"/>
          <w:szCs w:val="24"/>
        </w:rPr>
        <w:t>које</w:t>
      </w:r>
      <w:r w:rsidR="00FC46B2" w:rsidRPr="00295637">
        <w:rPr>
          <w:rFonts w:ascii="Times New Roman" w:hAnsi="Times New Roman"/>
          <w:szCs w:val="24"/>
        </w:rPr>
        <w:t xml:space="preserve"> </w:t>
      </w:r>
      <w:r>
        <w:rPr>
          <w:rFonts w:ascii="Times New Roman" w:hAnsi="Times New Roman"/>
          <w:szCs w:val="24"/>
        </w:rPr>
        <w:t>су</w:t>
      </w:r>
      <w:r w:rsidR="00FC46B2" w:rsidRPr="00295637">
        <w:rPr>
          <w:rFonts w:ascii="Times New Roman" w:hAnsi="Times New Roman"/>
          <w:szCs w:val="24"/>
        </w:rPr>
        <w:t xml:space="preserve"> </w:t>
      </w:r>
      <w:r>
        <w:rPr>
          <w:rFonts w:ascii="Times New Roman" w:hAnsi="Times New Roman"/>
          <w:szCs w:val="24"/>
        </w:rPr>
        <w:t>и</w:t>
      </w:r>
      <w:r w:rsidR="00FC46B2" w:rsidRPr="00295637">
        <w:rPr>
          <w:rFonts w:ascii="Times New Roman" w:hAnsi="Times New Roman"/>
          <w:szCs w:val="24"/>
        </w:rPr>
        <w:t xml:space="preserve"> </w:t>
      </w:r>
      <w:r>
        <w:rPr>
          <w:rFonts w:ascii="Times New Roman" w:hAnsi="Times New Roman"/>
          <w:szCs w:val="24"/>
        </w:rPr>
        <w:t>најмање</w:t>
      </w:r>
      <w:r w:rsidR="00FC46B2" w:rsidRPr="00295637">
        <w:rPr>
          <w:rFonts w:ascii="Times New Roman" w:hAnsi="Times New Roman"/>
          <w:szCs w:val="24"/>
        </w:rPr>
        <w:t xml:space="preserve"> </w:t>
      </w:r>
      <w:r>
        <w:rPr>
          <w:rFonts w:ascii="Times New Roman" w:hAnsi="Times New Roman"/>
          <w:szCs w:val="24"/>
        </w:rPr>
        <w:t>плаћене</w:t>
      </w:r>
      <w:r w:rsidR="00FC46B2" w:rsidRPr="00295637">
        <w:rPr>
          <w:rFonts w:ascii="Times New Roman" w:hAnsi="Times New Roman"/>
          <w:szCs w:val="24"/>
        </w:rPr>
        <w:t xml:space="preserve">, </w:t>
      </w:r>
      <w:r>
        <w:rPr>
          <w:rFonts w:ascii="Times New Roman" w:hAnsi="Times New Roman"/>
          <w:szCs w:val="24"/>
        </w:rPr>
        <w:t>односно</w:t>
      </w:r>
      <w:r w:rsidR="00FC46B2" w:rsidRPr="00295637">
        <w:rPr>
          <w:rFonts w:ascii="Times New Roman" w:hAnsi="Times New Roman"/>
          <w:szCs w:val="24"/>
        </w:rPr>
        <w:t xml:space="preserve"> </w:t>
      </w:r>
      <w:r>
        <w:rPr>
          <w:rFonts w:ascii="Times New Roman" w:hAnsi="Times New Roman"/>
          <w:szCs w:val="24"/>
        </w:rPr>
        <w:t>пла</w:t>
      </w:r>
      <w:r w:rsidR="00244392">
        <w:rPr>
          <w:rFonts w:ascii="Times New Roman" w:hAnsi="Times New Roman"/>
          <w:szCs w:val="24"/>
          <w:lang w:val="sr-Cyrl-BA"/>
        </w:rPr>
        <w:t>т</w:t>
      </w:r>
      <w:r>
        <w:rPr>
          <w:rFonts w:ascii="Times New Roman" w:hAnsi="Times New Roman"/>
          <w:szCs w:val="24"/>
        </w:rPr>
        <w:t>е</w:t>
      </w:r>
      <w:r w:rsidR="00FC46B2" w:rsidRPr="00295637">
        <w:rPr>
          <w:rFonts w:ascii="Times New Roman" w:hAnsi="Times New Roman"/>
          <w:szCs w:val="24"/>
        </w:rPr>
        <w:t xml:space="preserve"> </w:t>
      </w:r>
      <w:r>
        <w:rPr>
          <w:rFonts w:ascii="Times New Roman" w:hAnsi="Times New Roman"/>
          <w:szCs w:val="24"/>
        </w:rPr>
        <w:t>мушкараца</w:t>
      </w:r>
      <w:r w:rsidR="00FC46B2" w:rsidRPr="00295637">
        <w:rPr>
          <w:rFonts w:ascii="Times New Roman" w:hAnsi="Times New Roman"/>
          <w:szCs w:val="24"/>
        </w:rPr>
        <w:t xml:space="preserve"> </w:t>
      </w:r>
      <w:r>
        <w:rPr>
          <w:rFonts w:ascii="Times New Roman" w:hAnsi="Times New Roman"/>
          <w:szCs w:val="24"/>
        </w:rPr>
        <w:t>и</w:t>
      </w:r>
      <w:r w:rsidR="00FC46B2" w:rsidRPr="00295637">
        <w:rPr>
          <w:rFonts w:ascii="Times New Roman" w:hAnsi="Times New Roman"/>
          <w:szCs w:val="24"/>
        </w:rPr>
        <w:t xml:space="preserve"> </w:t>
      </w:r>
      <w:r>
        <w:rPr>
          <w:rFonts w:ascii="Times New Roman" w:hAnsi="Times New Roman"/>
          <w:szCs w:val="24"/>
        </w:rPr>
        <w:t>жена</w:t>
      </w:r>
      <w:r w:rsidR="00FC46B2" w:rsidRPr="00295637">
        <w:rPr>
          <w:rFonts w:ascii="Times New Roman" w:hAnsi="Times New Roman"/>
          <w:szCs w:val="24"/>
        </w:rPr>
        <w:t xml:space="preserve"> </w:t>
      </w:r>
      <w:r>
        <w:rPr>
          <w:rFonts w:ascii="Times New Roman" w:hAnsi="Times New Roman"/>
          <w:szCs w:val="24"/>
        </w:rPr>
        <w:t>су</w:t>
      </w:r>
      <w:r w:rsidR="00FC46B2" w:rsidRPr="00295637">
        <w:rPr>
          <w:rFonts w:ascii="Times New Roman" w:hAnsi="Times New Roman"/>
          <w:szCs w:val="24"/>
        </w:rPr>
        <w:t xml:space="preserve"> </w:t>
      </w:r>
      <w:r>
        <w:rPr>
          <w:rFonts w:ascii="Times New Roman" w:hAnsi="Times New Roman"/>
          <w:szCs w:val="24"/>
        </w:rPr>
        <w:t>приближне</w:t>
      </w:r>
      <w:r w:rsidR="00FC46B2" w:rsidRPr="00295637">
        <w:rPr>
          <w:rFonts w:ascii="Times New Roman" w:hAnsi="Times New Roman"/>
          <w:szCs w:val="24"/>
        </w:rPr>
        <w:t xml:space="preserve"> </w:t>
      </w:r>
      <w:r>
        <w:rPr>
          <w:rFonts w:ascii="Times New Roman" w:hAnsi="Times New Roman"/>
          <w:szCs w:val="24"/>
        </w:rPr>
        <w:t>или</w:t>
      </w:r>
      <w:r w:rsidR="00FC46B2" w:rsidRPr="00295637">
        <w:rPr>
          <w:rFonts w:ascii="Times New Roman" w:hAnsi="Times New Roman"/>
          <w:szCs w:val="24"/>
        </w:rPr>
        <w:t xml:space="preserve"> </w:t>
      </w:r>
      <w:r>
        <w:rPr>
          <w:rFonts w:ascii="Times New Roman" w:hAnsi="Times New Roman"/>
          <w:szCs w:val="24"/>
        </w:rPr>
        <w:t>скоро</w:t>
      </w:r>
      <w:r w:rsidR="00FC46B2" w:rsidRPr="00295637">
        <w:rPr>
          <w:rFonts w:ascii="Times New Roman" w:hAnsi="Times New Roman"/>
          <w:szCs w:val="24"/>
        </w:rPr>
        <w:t xml:space="preserve"> </w:t>
      </w:r>
      <w:r>
        <w:rPr>
          <w:rFonts w:ascii="Times New Roman" w:hAnsi="Times New Roman"/>
          <w:szCs w:val="24"/>
        </w:rPr>
        <w:t>изједначене</w:t>
      </w:r>
      <w:r w:rsidR="00FC46B2" w:rsidRPr="00295637">
        <w:rPr>
          <w:rFonts w:ascii="Times New Roman" w:hAnsi="Times New Roman"/>
          <w:szCs w:val="24"/>
        </w:rPr>
        <w:t xml:space="preserve"> </w:t>
      </w:r>
      <w:r>
        <w:rPr>
          <w:rFonts w:ascii="Times New Roman" w:hAnsi="Times New Roman"/>
          <w:szCs w:val="24"/>
        </w:rPr>
        <w:t>тамо</w:t>
      </w:r>
      <w:r w:rsidR="00FC46B2" w:rsidRPr="00295637">
        <w:rPr>
          <w:rFonts w:ascii="Times New Roman" w:hAnsi="Times New Roman"/>
          <w:szCs w:val="24"/>
        </w:rPr>
        <w:t xml:space="preserve"> </w:t>
      </w:r>
      <w:r>
        <w:rPr>
          <w:rFonts w:ascii="Times New Roman" w:hAnsi="Times New Roman"/>
          <w:szCs w:val="24"/>
        </w:rPr>
        <w:t>гдје</w:t>
      </w:r>
      <w:r w:rsidR="00FC46B2" w:rsidRPr="00295637">
        <w:rPr>
          <w:rFonts w:ascii="Times New Roman" w:hAnsi="Times New Roman"/>
          <w:szCs w:val="24"/>
        </w:rPr>
        <w:t xml:space="preserve"> </w:t>
      </w:r>
      <w:r>
        <w:rPr>
          <w:rFonts w:ascii="Times New Roman" w:hAnsi="Times New Roman"/>
          <w:szCs w:val="24"/>
        </w:rPr>
        <w:t>се</w:t>
      </w:r>
      <w:r w:rsidR="00FC46B2" w:rsidRPr="00295637">
        <w:rPr>
          <w:rFonts w:ascii="Times New Roman" w:hAnsi="Times New Roman"/>
          <w:szCs w:val="24"/>
        </w:rPr>
        <w:t xml:space="preserve"> </w:t>
      </w:r>
      <w:r>
        <w:rPr>
          <w:rFonts w:ascii="Times New Roman" w:hAnsi="Times New Roman"/>
          <w:szCs w:val="24"/>
        </w:rPr>
        <w:t>најчешће</w:t>
      </w:r>
      <w:r w:rsidR="00FC46B2" w:rsidRPr="00295637">
        <w:rPr>
          <w:rFonts w:ascii="Times New Roman" w:hAnsi="Times New Roman"/>
          <w:szCs w:val="24"/>
        </w:rPr>
        <w:t xml:space="preserve"> </w:t>
      </w:r>
      <w:r>
        <w:rPr>
          <w:rFonts w:ascii="Times New Roman" w:hAnsi="Times New Roman"/>
          <w:szCs w:val="24"/>
        </w:rPr>
        <w:t>остварује</w:t>
      </w:r>
      <w:r w:rsidR="00FC46B2" w:rsidRPr="00295637">
        <w:rPr>
          <w:rFonts w:ascii="Times New Roman" w:hAnsi="Times New Roman"/>
          <w:szCs w:val="24"/>
        </w:rPr>
        <w:t xml:space="preserve"> </w:t>
      </w:r>
      <w:r>
        <w:rPr>
          <w:rFonts w:ascii="Times New Roman" w:hAnsi="Times New Roman"/>
          <w:szCs w:val="24"/>
        </w:rPr>
        <w:t>минимална</w:t>
      </w:r>
      <w:r w:rsidR="00FC46B2" w:rsidRPr="00295637">
        <w:rPr>
          <w:rFonts w:ascii="Times New Roman" w:hAnsi="Times New Roman"/>
          <w:szCs w:val="24"/>
        </w:rPr>
        <w:t xml:space="preserve"> </w:t>
      </w:r>
      <w:r>
        <w:rPr>
          <w:rFonts w:ascii="Times New Roman" w:hAnsi="Times New Roman"/>
          <w:szCs w:val="24"/>
        </w:rPr>
        <w:t>зарада</w:t>
      </w:r>
      <w:r w:rsidR="00FC46B2" w:rsidRPr="00295637">
        <w:rPr>
          <w:rFonts w:ascii="Times New Roman" w:hAnsi="Times New Roman"/>
          <w:szCs w:val="24"/>
        </w:rPr>
        <w:t xml:space="preserve"> (</w:t>
      </w:r>
      <w:r>
        <w:rPr>
          <w:rFonts w:ascii="Times New Roman" w:hAnsi="Times New Roman"/>
          <w:szCs w:val="24"/>
        </w:rPr>
        <w:t>између</w:t>
      </w:r>
      <w:r w:rsidR="00FC46B2" w:rsidRPr="00295637">
        <w:rPr>
          <w:rFonts w:ascii="Times New Roman" w:hAnsi="Times New Roman"/>
          <w:szCs w:val="24"/>
        </w:rPr>
        <w:t xml:space="preserve"> 800 </w:t>
      </w:r>
      <w:r>
        <w:rPr>
          <w:rFonts w:ascii="Times New Roman" w:hAnsi="Times New Roman"/>
          <w:szCs w:val="24"/>
        </w:rPr>
        <w:t>и</w:t>
      </w:r>
      <w:r w:rsidR="00FC46B2" w:rsidRPr="00295637">
        <w:rPr>
          <w:rFonts w:ascii="Times New Roman" w:hAnsi="Times New Roman"/>
          <w:szCs w:val="24"/>
        </w:rPr>
        <w:t xml:space="preserve"> 900 </w:t>
      </w:r>
      <w:r>
        <w:rPr>
          <w:rFonts w:ascii="Times New Roman" w:hAnsi="Times New Roman"/>
          <w:szCs w:val="24"/>
        </w:rPr>
        <w:t>КМ</w:t>
      </w:r>
      <w:r w:rsidR="00FC46B2" w:rsidRPr="00295637">
        <w:rPr>
          <w:rFonts w:ascii="Times New Roman" w:hAnsi="Times New Roman"/>
          <w:szCs w:val="24"/>
        </w:rPr>
        <w:t xml:space="preserve"> – </w:t>
      </w:r>
      <w:r>
        <w:rPr>
          <w:rFonts w:ascii="Times New Roman" w:hAnsi="Times New Roman"/>
          <w:szCs w:val="24"/>
        </w:rPr>
        <w:t>прерађивачка</w:t>
      </w:r>
      <w:r w:rsidR="00FC46B2" w:rsidRPr="00295637">
        <w:rPr>
          <w:rFonts w:ascii="Times New Roman" w:hAnsi="Times New Roman"/>
          <w:szCs w:val="24"/>
        </w:rPr>
        <w:t xml:space="preserve"> </w:t>
      </w:r>
      <w:r>
        <w:rPr>
          <w:rFonts w:ascii="Times New Roman" w:hAnsi="Times New Roman"/>
          <w:szCs w:val="24"/>
        </w:rPr>
        <w:t>индустрија</w:t>
      </w:r>
      <w:r w:rsidR="00FC46B2" w:rsidRPr="00295637">
        <w:rPr>
          <w:rFonts w:ascii="Times New Roman" w:hAnsi="Times New Roman"/>
          <w:szCs w:val="24"/>
        </w:rPr>
        <w:t xml:space="preserve">, </w:t>
      </w:r>
      <w:r>
        <w:rPr>
          <w:rFonts w:ascii="Times New Roman" w:hAnsi="Times New Roman"/>
          <w:szCs w:val="24"/>
        </w:rPr>
        <w:t>комуналне</w:t>
      </w:r>
      <w:r w:rsidR="00FC46B2" w:rsidRPr="00295637">
        <w:rPr>
          <w:rFonts w:ascii="Times New Roman" w:hAnsi="Times New Roman"/>
          <w:szCs w:val="24"/>
        </w:rPr>
        <w:t xml:space="preserve"> </w:t>
      </w:r>
      <w:r>
        <w:rPr>
          <w:rFonts w:ascii="Times New Roman" w:hAnsi="Times New Roman"/>
          <w:szCs w:val="24"/>
        </w:rPr>
        <w:t>дјелатности</w:t>
      </w:r>
      <w:r w:rsidR="00FC46B2" w:rsidRPr="00295637">
        <w:rPr>
          <w:rFonts w:ascii="Times New Roman" w:hAnsi="Times New Roman"/>
          <w:szCs w:val="24"/>
        </w:rPr>
        <w:t xml:space="preserve">, </w:t>
      </w:r>
      <w:r>
        <w:rPr>
          <w:rFonts w:ascii="Times New Roman" w:hAnsi="Times New Roman"/>
          <w:szCs w:val="24"/>
        </w:rPr>
        <w:t>грађевинарство</w:t>
      </w:r>
      <w:r w:rsidR="00FC46B2" w:rsidRPr="00295637">
        <w:rPr>
          <w:rFonts w:ascii="Times New Roman" w:hAnsi="Times New Roman"/>
          <w:szCs w:val="24"/>
        </w:rPr>
        <w:t xml:space="preserve">, </w:t>
      </w:r>
      <w:r>
        <w:rPr>
          <w:rFonts w:ascii="Times New Roman" w:hAnsi="Times New Roman"/>
          <w:szCs w:val="24"/>
        </w:rPr>
        <w:t>трговина</w:t>
      </w:r>
      <w:r w:rsidR="00FC46B2" w:rsidRPr="00295637">
        <w:rPr>
          <w:rFonts w:ascii="Times New Roman" w:hAnsi="Times New Roman"/>
          <w:szCs w:val="24"/>
        </w:rPr>
        <w:t xml:space="preserve"> </w:t>
      </w:r>
      <w:r>
        <w:rPr>
          <w:rFonts w:ascii="Times New Roman" w:hAnsi="Times New Roman"/>
          <w:szCs w:val="24"/>
        </w:rPr>
        <w:t>и</w:t>
      </w:r>
      <w:r w:rsidR="00FC46B2" w:rsidRPr="00295637">
        <w:rPr>
          <w:rFonts w:ascii="Times New Roman" w:hAnsi="Times New Roman"/>
          <w:szCs w:val="24"/>
        </w:rPr>
        <w:t xml:space="preserve"> </w:t>
      </w:r>
      <w:r>
        <w:rPr>
          <w:rFonts w:ascii="Times New Roman" w:hAnsi="Times New Roman"/>
          <w:szCs w:val="24"/>
        </w:rPr>
        <w:t>занатске</w:t>
      </w:r>
      <w:r w:rsidR="00FC46B2" w:rsidRPr="00295637">
        <w:rPr>
          <w:rFonts w:ascii="Times New Roman" w:hAnsi="Times New Roman"/>
          <w:szCs w:val="24"/>
        </w:rPr>
        <w:t xml:space="preserve"> </w:t>
      </w:r>
      <w:r>
        <w:rPr>
          <w:rFonts w:ascii="Times New Roman" w:hAnsi="Times New Roman"/>
          <w:szCs w:val="24"/>
        </w:rPr>
        <w:t>услуге</w:t>
      </w:r>
      <w:r w:rsidR="00FC46B2" w:rsidRPr="00295637">
        <w:rPr>
          <w:rFonts w:ascii="Times New Roman" w:hAnsi="Times New Roman"/>
          <w:szCs w:val="24"/>
        </w:rPr>
        <w:t xml:space="preserve">). </w:t>
      </w:r>
      <w:r>
        <w:rPr>
          <w:rFonts w:ascii="Times New Roman" w:hAnsi="Times New Roman"/>
          <w:szCs w:val="24"/>
        </w:rPr>
        <w:t>Тај</w:t>
      </w:r>
      <w:r w:rsidR="00FC46B2" w:rsidRPr="00295637">
        <w:rPr>
          <w:rFonts w:ascii="Times New Roman" w:hAnsi="Times New Roman"/>
          <w:szCs w:val="24"/>
        </w:rPr>
        <w:t xml:space="preserve"> </w:t>
      </w:r>
      <w:r>
        <w:rPr>
          <w:rFonts w:ascii="Times New Roman" w:hAnsi="Times New Roman"/>
          <w:szCs w:val="24"/>
        </w:rPr>
        <w:t>тренд</w:t>
      </w:r>
      <w:r w:rsidR="00FC46B2" w:rsidRPr="00295637">
        <w:rPr>
          <w:rFonts w:ascii="Times New Roman" w:hAnsi="Times New Roman"/>
          <w:szCs w:val="24"/>
        </w:rPr>
        <w:t xml:space="preserve"> </w:t>
      </w:r>
      <w:r>
        <w:rPr>
          <w:rFonts w:ascii="Times New Roman" w:hAnsi="Times New Roman"/>
          <w:szCs w:val="24"/>
        </w:rPr>
        <w:t>разлике</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приходима</w:t>
      </w:r>
      <w:r w:rsidR="00FC46B2" w:rsidRPr="00295637">
        <w:rPr>
          <w:rFonts w:ascii="Times New Roman" w:hAnsi="Times New Roman"/>
          <w:szCs w:val="24"/>
        </w:rPr>
        <w:t xml:space="preserve"> </w:t>
      </w:r>
      <w:r>
        <w:rPr>
          <w:rFonts w:ascii="Times New Roman" w:hAnsi="Times New Roman"/>
          <w:szCs w:val="24"/>
        </w:rPr>
        <w:t>је</w:t>
      </w:r>
      <w:r w:rsidR="00FC46B2" w:rsidRPr="00295637">
        <w:rPr>
          <w:rFonts w:ascii="Times New Roman" w:hAnsi="Times New Roman"/>
          <w:szCs w:val="24"/>
        </w:rPr>
        <w:t xml:space="preserve"> </w:t>
      </w:r>
      <w:r>
        <w:rPr>
          <w:rFonts w:ascii="Times New Roman" w:hAnsi="Times New Roman"/>
          <w:szCs w:val="24"/>
        </w:rPr>
        <w:t>дугорочан</w:t>
      </w:r>
      <w:r w:rsidR="00FC46B2" w:rsidRPr="00295637">
        <w:rPr>
          <w:rFonts w:ascii="Times New Roman" w:hAnsi="Times New Roman"/>
          <w:szCs w:val="24"/>
        </w:rPr>
        <w:t xml:space="preserve">, </w:t>
      </w:r>
      <w:r>
        <w:rPr>
          <w:rFonts w:ascii="Times New Roman" w:hAnsi="Times New Roman"/>
          <w:szCs w:val="24"/>
        </w:rPr>
        <w:t>што</w:t>
      </w:r>
      <w:r w:rsidR="00FC46B2" w:rsidRPr="00295637">
        <w:rPr>
          <w:rFonts w:ascii="Times New Roman" w:hAnsi="Times New Roman"/>
          <w:szCs w:val="24"/>
        </w:rPr>
        <w:t xml:space="preserve"> </w:t>
      </w:r>
      <w:r>
        <w:rPr>
          <w:rFonts w:ascii="Times New Roman" w:hAnsi="Times New Roman"/>
          <w:szCs w:val="24"/>
        </w:rPr>
        <w:t>показују</w:t>
      </w:r>
      <w:r w:rsidR="00FC46B2" w:rsidRPr="00295637">
        <w:rPr>
          <w:rFonts w:ascii="Times New Roman" w:hAnsi="Times New Roman"/>
          <w:szCs w:val="24"/>
        </w:rPr>
        <w:t xml:space="preserve"> </w:t>
      </w:r>
      <w:r>
        <w:rPr>
          <w:rFonts w:ascii="Times New Roman" w:hAnsi="Times New Roman"/>
          <w:szCs w:val="24"/>
        </w:rPr>
        <w:t>и</w:t>
      </w:r>
      <w:r w:rsidR="00FC46B2" w:rsidRPr="00295637">
        <w:rPr>
          <w:rFonts w:ascii="Times New Roman" w:hAnsi="Times New Roman"/>
          <w:szCs w:val="24"/>
        </w:rPr>
        <w:t xml:space="preserve"> </w:t>
      </w:r>
      <w:r>
        <w:rPr>
          <w:rFonts w:ascii="Times New Roman" w:hAnsi="Times New Roman"/>
          <w:szCs w:val="24"/>
        </w:rPr>
        <w:t>подаци</w:t>
      </w:r>
      <w:r w:rsidR="00FC46B2" w:rsidRPr="00295637">
        <w:rPr>
          <w:rFonts w:ascii="Times New Roman" w:hAnsi="Times New Roman"/>
          <w:szCs w:val="24"/>
        </w:rPr>
        <w:t xml:space="preserve"> </w:t>
      </w:r>
      <w:r>
        <w:rPr>
          <w:rFonts w:ascii="Times New Roman" w:hAnsi="Times New Roman"/>
          <w:szCs w:val="24"/>
        </w:rPr>
        <w:t>о</w:t>
      </w:r>
      <w:r w:rsidR="00FC46B2" w:rsidRPr="00295637">
        <w:rPr>
          <w:rFonts w:ascii="Times New Roman" w:hAnsi="Times New Roman"/>
          <w:szCs w:val="24"/>
        </w:rPr>
        <w:t xml:space="preserve"> </w:t>
      </w:r>
      <w:r>
        <w:rPr>
          <w:rFonts w:ascii="Times New Roman" w:hAnsi="Times New Roman"/>
          <w:szCs w:val="24"/>
        </w:rPr>
        <w:t>разлици</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пензијама</w:t>
      </w:r>
      <w:r w:rsidR="00FC46B2" w:rsidRPr="00295637">
        <w:rPr>
          <w:rFonts w:ascii="Times New Roman" w:hAnsi="Times New Roman"/>
          <w:szCs w:val="24"/>
        </w:rPr>
        <w:t xml:space="preserve">, </w:t>
      </w:r>
      <w:r>
        <w:rPr>
          <w:rFonts w:ascii="Times New Roman" w:hAnsi="Times New Roman"/>
          <w:szCs w:val="24"/>
        </w:rPr>
        <w:t>а</w:t>
      </w:r>
      <w:r w:rsidR="00FC46B2" w:rsidRPr="00295637">
        <w:rPr>
          <w:rFonts w:ascii="Times New Roman" w:hAnsi="Times New Roman"/>
          <w:szCs w:val="24"/>
        </w:rPr>
        <w:t xml:space="preserve"> </w:t>
      </w:r>
      <w:r>
        <w:rPr>
          <w:rFonts w:ascii="Times New Roman" w:hAnsi="Times New Roman"/>
          <w:szCs w:val="24"/>
        </w:rPr>
        <w:t>једина</w:t>
      </w:r>
      <w:r w:rsidR="00FC46B2" w:rsidRPr="00295637">
        <w:rPr>
          <w:rFonts w:ascii="Times New Roman" w:hAnsi="Times New Roman"/>
          <w:szCs w:val="24"/>
        </w:rPr>
        <w:t xml:space="preserve"> </w:t>
      </w:r>
      <w:r>
        <w:rPr>
          <w:rFonts w:ascii="Times New Roman" w:hAnsi="Times New Roman"/>
          <w:szCs w:val="24"/>
        </w:rPr>
        <w:t>предност</w:t>
      </w:r>
      <w:r w:rsidR="00FC46B2" w:rsidRPr="00295637">
        <w:rPr>
          <w:rFonts w:ascii="Times New Roman" w:hAnsi="Times New Roman"/>
          <w:szCs w:val="24"/>
        </w:rPr>
        <w:t xml:space="preserve"> </w:t>
      </w:r>
      <w:r>
        <w:rPr>
          <w:rFonts w:ascii="Times New Roman" w:hAnsi="Times New Roman"/>
          <w:szCs w:val="24"/>
        </w:rPr>
        <w:t>коју</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овом</w:t>
      </w:r>
      <w:r w:rsidR="00FC46B2" w:rsidRPr="00295637">
        <w:rPr>
          <w:rFonts w:ascii="Times New Roman" w:hAnsi="Times New Roman"/>
          <w:szCs w:val="24"/>
        </w:rPr>
        <w:t xml:space="preserve"> </w:t>
      </w:r>
      <w:r>
        <w:rPr>
          <w:rFonts w:ascii="Times New Roman" w:hAnsi="Times New Roman"/>
          <w:szCs w:val="24"/>
        </w:rPr>
        <w:t>случају</w:t>
      </w:r>
      <w:r w:rsidR="00FC46B2" w:rsidRPr="00295637">
        <w:rPr>
          <w:rFonts w:ascii="Times New Roman" w:hAnsi="Times New Roman"/>
          <w:szCs w:val="24"/>
        </w:rPr>
        <w:t xml:space="preserve"> </w:t>
      </w:r>
      <w:r>
        <w:rPr>
          <w:rFonts w:ascii="Times New Roman" w:hAnsi="Times New Roman"/>
          <w:szCs w:val="24"/>
        </w:rPr>
        <w:t>имају</w:t>
      </w:r>
      <w:r w:rsidR="00FC46B2" w:rsidRPr="00295637">
        <w:rPr>
          <w:rFonts w:ascii="Times New Roman" w:hAnsi="Times New Roman"/>
          <w:szCs w:val="24"/>
        </w:rPr>
        <w:t xml:space="preserve"> </w:t>
      </w:r>
      <w:r>
        <w:rPr>
          <w:rFonts w:ascii="Times New Roman" w:hAnsi="Times New Roman"/>
          <w:szCs w:val="24"/>
        </w:rPr>
        <w:t>жене</w:t>
      </w:r>
      <w:r w:rsidR="00FC46B2" w:rsidRPr="00295637">
        <w:rPr>
          <w:rFonts w:ascii="Times New Roman" w:hAnsi="Times New Roman"/>
          <w:szCs w:val="24"/>
        </w:rPr>
        <w:t xml:space="preserve"> </w:t>
      </w:r>
      <w:r>
        <w:rPr>
          <w:rFonts w:ascii="Times New Roman" w:hAnsi="Times New Roman"/>
          <w:szCs w:val="24"/>
        </w:rPr>
        <w:t>је</w:t>
      </w:r>
      <w:r w:rsidR="00FC46B2" w:rsidRPr="00295637">
        <w:rPr>
          <w:rFonts w:ascii="Times New Roman" w:hAnsi="Times New Roman"/>
          <w:szCs w:val="24"/>
        </w:rPr>
        <w:t xml:space="preserve"> </w:t>
      </w:r>
      <w:r>
        <w:rPr>
          <w:rFonts w:ascii="Times New Roman" w:hAnsi="Times New Roman"/>
          <w:szCs w:val="24"/>
        </w:rPr>
        <w:t>број</w:t>
      </w:r>
      <w:r w:rsidR="00FC46B2" w:rsidRPr="00295637">
        <w:rPr>
          <w:rFonts w:ascii="Times New Roman" w:hAnsi="Times New Roman"/>
          <w:szCs w:val="24"/>
        </w:rPr>
        <w:t xml:space="preserve"> </w:t>
      </w:r>
      <w:r>
        <w:rPr>
          <w:rFonts w:ascii="Times New Roman" w:hAnsi="Times New Roman"/>
          <w:szCs w:val="24"/>
        </w:rPr>
        <w:t>година</w:t>
      </w:r>
      <w:r w:rsidR="00FC46B2" w:rsidRPr="00295637">
        <w:rPr>
          <w:rFonts w:ascii="Times New Roman" w:hAnsi="Times New Roman"/>
          <w:szCs w:val="24"/>
        </w:rPr>
        <w:t xml:space="preserve"> </w:t>
      </w:r>
      <w:r>
        <w:rPr>
          <w:rFonts w:ascii="Times New Roman" w:hAnsi="Times New Roman"/>
          <w:szCs w:val="24"/>
        </w:rPr>
        <w:t>кориш</w:t>
      </w:r>
      <w:r w:rsidR="00244392">
        <w:rPr>
          <w:rFonts w:ascii="Times New Roman" w:hAnsi="Times New Roman"/>
          <w:szCs w:val="24"/>
          <w:lang w:val="sr-Cyrl-BA"/>
        </w:rPr>
        <w:t>ћ</w:t>
      </w:r>
      <w:r>
        <w:rPr>
          <w:rFonts w:ascii="Times New Roman" w:hAnsi="Times New Roman"/>
          <w:szCs w:val="24"/>
        </w:rPr>
        <w:t>ења</w:t>
      </w:r>
      <w:r w:rsidR="00FC46B2" w:rsidRPr="00295637">
        <w:rPr>
          <w:rFonts w:ascii="Times New Roman" w:hAnsi="Times New Roman"/>
          <w:szCs w:val="24"/>
        </w:rPr>
        <w:t xml:space="preserve"> </w:t>
      </w:r>
      <w:r>
        <w:rPr>
          <w:rFonts w:ascii="Times New Roman" w:hAnsi="Times New Roman"/>
          <w:szCs w:val="24"/>
        </w:rPr>
        <w:t>пензија</w:t>
      </w:r>
      <w:r w:rsidR="00FC46B2" w:rsidRPr="00295637">
        <w:rPr>
          <w:rFonts w:ascii="Times New Roman" w:hAnsi="Times New Roman"/>
          <w:szCs w:val="24"/>
        </w:rPr>
        <w:t>.</w:t>
      </w:r>
      <w:r w:rsidR="008C2B1E" w:rsidRPr="00295637">
        <w:rPr>
          <w:rFonts w:ascii="Times New Roman" w:hAnsi="Times New Roman"/>
          <w:szCs w:val="24"/>
        </w:rPr>
        <w:t xml:space="preserve"> </w:t>
      </w:r>
      <w:r>
        <w:rPr>
          <w:rFonts w:ascii="Times New Roman" w:hAnsi="Times New Roman"/>
          <w:szCs w:val="24"/>
        </w:rPr>
        <w:t>Ово</w:t>
      </w:r>
      <w:r w:rsidR="00FC46B2" w:rsidRPr="00295637">
        <w:rPr>
          <w:rFonts w:ascii="Times New Roman" w:hAnsi="Times New Roman"/>
          <w:szCs w:val="24"/>
        </w:rPr>
        <w:t xml:space="preserve"> </w:t>
      </w:r>
      <w:r>
        <w:rPr>
          <w:rFonts w:ascii="Times New Roman" w:hAnsi="Times New Roman"/>
          <w:szCs w:val="24"/>
        </w:rPr>
        <w:t>су</w:t>
      </w:r>
      <w:r w:rsidR="00FC46B2" w:rsidRPr="00295637">
        <w:rPr>
          <w:rFonts w:ascii="Times New Roman" w:hAnsi="Times New Roman"/>
          <w:szCs w:val="24"/>
        </w:rPr>
        <w:t xml:space="preserve"> </w:t>
      </w:r>
      <w:r>
        <w:rPr>
          <w:rFonts w:ascii="Times New Roman" w:hAnsi="Times New Roman"/>
          <w:szCs w:val="24"/>
        </w:rPr>
        <w:t>тренутно</w:t>
      </w:r>
      <w:r w:rsidR="00FC46B2" w:rsidRPr="00295637">
        <w:rPr>
          <w:rFonts w:ascii="Times New Roman" w:hAnsi="Times New Roman"/>
          <w:szCs w:val="24"/>
        </w:rPr>
        <w:t xml:space="preserve"> </w:t>
      </w:r>
      <w:r>
        <w:rPr>
          <w:rFonts w:ascii="Times New Roman" w:hAnsi="Times New Roman"/>
          <w:szCs w:val="24"/>
        </w:rPr>
        <w:t>једини</w:t>
      </w:r>
      <w:r w:rsidR="00FC46B2" w:rsidRPr="00295637">
        <w:rPr>
          <w:rFonts w:ascii="Times New Roman" w:hAnsi="Times New Roman"/>
          <w:szCs w:val="24"/>
        </w:rPr>
        <w:t xml:space="preserve"> </w:t>
      </w:r>
      <w:r>
        <w:rPr>
          <w:rFonts w:ascii="Times New Roman" w:hAnsi="Times New Roman"/>
          <w:szCs w:val="24"/>
        </w:rPr>
        <w:t>доступни</w:t>
      </w:r>
      <w:r w:rsidR="00FC46B2" w:rsidRPr="00295637">
        <w:rPr>
          <w:rFonts w:ascii="Times New Roman" w:hAnsi="Times New Roman"/>
          <w:szCs w:val="24"/>
        </w:rPr>
        <w:t xml:space="preserve"> </w:t>
      </w:r>
      <w:r>
        <w:rPr>
          <w:rFonts w:ascii="Times New Roman" w:hAnsi="Times New Roman"/>
          <w:szCs w:val="24"/>
        </w:rPr>
        <w:t>подаци</w:t>
      </w:r>
      <w:r w:rsidR="00FC46B2" w:rsidRPr="00295637">
        <w:rPr>
          <w:rFonts w:ascii="Times New Roman" w:hAnsi="Times New Roman"/>
          <w:szCs w:val="24"/>
        </w:rPr>
        <w:t xml:space="preserve"> </w:t>
      </w:r>
      <w:r>
        <w:rPr>
          <w:rFonts w:ascii="Times New Roman" w:hAnsi="Times New Roman"/>
          <w:szCs w:val="24"/>
        </w:rPr>
        <w:t>за</w:t>
      </w:r>
      <w:r w:rsidR="00FC46B2" w:rsidRPr="00295637">
        <w:rPr>
          <w:rFonts w:ascii="Times New Roman" w:hAnsi="Times New Roman"/>
          <w:szCs w:val="24"/>
        </w:rPr>
        <w:t xml:space="preserve"> </w:t>
      </w:r>
      <w:r>
        <w:rPr>
          <w:rFonts w:ascii="Times New Roman" w:hAnsi="Times New Roman"/>
          <w:szCs w:val="24"/>
        </w:rPr>
        <w:t>Републику</w:t>
      </w:r>
      <w:r w:rsidR="00FC46B2" w:rsidRPr="00295637">
        <w:rPr>
          <w:rFonts w:ascii="Times New Roman" w:hAnsi="Times New Roman"/>
          <w:szCs w:val="24"/>
        </w:rPr>
        <w:t xml:space="preserve"> </w:t>
      </w:r>
      <w:r>
        <w:rPr>
          <w:rFonts w:ascii="Times New Roman" w:hAnsi="Times New Roman"/>
          <w:szCs w:val="24"/>
        </w:rPr>
        <w:t>Српску</w:t>
      </w:r>
      <w:r w:rsidR="00FC46B2" w:rsidRPr="00295637">
        <w:rPr>
          <w:rFonts w:ascii="Times New Roman" w:hAnsi="Times New Roman"/>
          <w:szCs w:val="24"/>
        </w:rPr>
        <w:t xml:space="preserve"> </w:t>
      </w:r>
      <w:r>
        <w:rPr>
          <w:rFonts w:ascii="Times New Roman" w:hAnsi="Times New Roman"/>
          <w:szCs w:val="24"/>
        </w:rPr>
        <w:t>који</w:t>
      </w:r>
      <w:r w:rsidR="00FC46B2" w:rsidRPr="00295637">
        <w:rPr>
          <w:rFonts w:ascii="Times New Roman" w:hAnsi="Times New Roman"/>
          <w:szCs w:val="24"/>
        </w:rPr>
        <w:t xml:space="preserve"> </w:t>
      </w:r>
      <w:r>
        <w:rPr>
          <w:rFonts w:ascii="Times New Roman" w:hAnsi="Times New Roman"/>
          <w:szCs w:val="24"/>
        </w:rPr>
        <w:t>бројчано</w:t>
      </w:r>
      <w:r w:rsidR="00FC46B2" w:rsidRPr="00295637">
        <w:rPr>
          <w:rFonts w:ascii="Times New Roman" w:hAnsi="Times New Roman"/>
          <w:szCs w:val="24"/>
        </w:rPr>
        <w:t xml:space="preserve"> </w:t>
      </w:r>
      <w:r>
        <w:rPr>
          <w:rFonts w:ascii="Times New Roman" w:hAnsi="Times New Roman"/>
          <w:szCs w:val="24"/>
        </w:rPr>
        <w:t>приказују</w:t>
      </w:r>
      <w:r w:rsidR="00FC46B2" w:rsidRPr="00295637">
        <w:rPr>
          <w:rFonts w:ascii="Times New Roman" w:hAnsi="Times New Roman"/>
          <w:szCs w:val="24"/>
        </w:rPr>
        <w:t xml:space="preserve"> </w:t>
      </w:r>
      <w:r>
        <w:rPr>
          <w:rFonts w:ascii="Times New Roman" w:hAnsi="Times New Roman"/>
          <w:szCs w:val="24"/>
        </w:rPr>
        <w:t>јаз</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приходима</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висини</w:t>
      </w:r>
      <w:r w:rsidR="00FC46B2" w:rsidRPr="00295637">
        <w:rPr>
          <w:rFonts w:ascii="Times New Roman" w:hAnsi="Times New Roman"/>
          <w:szCs w:val="24"/>
        </w:rPr>
        <w:t xml:space="preserve"> </w:t>
      </w:r>
      <w:r>
        <w:rPr>
          <w:rFonts w:ascii="Times New Roman" w:hAnsi="Times New Roman"/>
          <w:szCs w:val="24"/>
        </w:rPr>
        <w:t>пла</w:t>
      </w:r>
      <w:r w:rsidR="00244392">
        <w:rPr>
          <w:rFonts w:ascii="Times New Roman" w:hAnsi="Times New Roman"/>
          <w:szCs w:val="24"/>
          <w:lang w:val="sr-Cyrl-BA"/>
        </w:rPr>
        <w:t>т</w:t>
      </w:r>
      <w:r>
        <w:rPr>
          <w:rFonts w:ascii="Times New Roman" w:hAnsi="Times New Roman"/>
          <w:szCs w:val="24"/>
        </w:rPr>
        <w:t>е</w:t>
      </w:r>
      <w:r w:rsidR="00FC46B2" w:rsidRPr="00295637">
        <w:rPr>
          <w:rFonts w:ascii="Times New Roman" w:hAnsi="Times New Roman"/>
          <w:szCs w:val="24"/>
        </w:rPr>
        <w:t xml:space="preserve">, </w:t>
      </w:r>
      <w:r>
        <w:rPr>
          <w:rFonts w:ascii="Times New Roman" w:hAnsi="Times New Roman"/>
          <w:szCs w:val="24"/>
        </w:rPr>
        <w:t>али</w:t>
      </w:r>
      <w:r w:rsidR="00FC46B2" w:rsidRPr="00295637">
        <w:rPr>
          <w:rFonts w:ascii="Times New Roman" w:hAnsi="Times New Roman"/>
          <w:szCs w:val="24"/>
        </w:rPr>
        <w:t xml:space="preserve"> </w:t>
      </w:r>
      <w:r>
        <w:rPr>
          <w:rFonts w:ascii="Times New Roman" w:hAnsi="Times New Roman"/>
          <w:szCs w:val="24"/>
        </w:rPr>
        <w:t>нема</w:t>
      </w:r>
      <w:r w:rsidR="00FC46B2" w:rsidRPr="00295637">
        <w:rPr>
          <w:rFonts w:ascii="Times New Roman" w:hAnsi="Times New Roman"/>
          <w:szCs w:val="24"/>
        </w:rPr>
        <w:t xml:space="preserve"> </w:t>
      </w:r>
      <w:r>
        <w:rPr>
          <w:rFonts w:ascii="Times New Roman" w:hAnsi="Times New Roman"/>
          <w:szCs w:val="24"/>
        </w:rPr>
        <w:t>других</w:t>
      </w:r>
      <w:r w:rsidR="00FC46B2" w:rsidRPr="00295637">
        <w:rPr>
          <w:rFonts w:ascii="Times New Roman" w:hAnsi="Times New Roman"/>
          <w:szCs w:val="24"/>
        </w:rPr>
        <w:t xml:space="preserve"> </w:t>
      </w:r>
      <w:r>
        <w:rPr>
          <w:rFonts w:ascii="Times New Roman" w:hAnsi="Times New Roman"/>
          <w:szCs w:val="24"/>
        </w:rPr>
        <w:t>података</w:t>
      </w:r>
      <w:r w:rsidR="00FC46B2" w:rsidRPr="00295637">
        <w:rPr>
          <w:rFonts w:ascii="Times New Roman" w:hAnsi="Times New Roman"/>
          <w:szCs w:val="24"/>
        </w:rPr>
        <w:t xml:space="preserve"> </w:t>
      </w:r>
      <w:r>
        <w:rPr>
          <w:rFonts w:ascii="Times New Roman" w:hAnsi="Times New Roman"/>
          <w:szCs w:val="24"/>
        </w:rPr>
        <w:t>о</w:t>
      </w:r>
      <w:r w:rsidR="00FC46B2" w:rsidRPr="00295637">
        <w:rPr>
          <w:rFonts w:ascii="Times New Roman" w:hAnsi="Times New Roman"/>
          <w:szCs w:val="24"/>
        </w:rPr>
        <w:t xml:space="preserve"> </w:t>
      </w:r>
      <w:r>
        <w:rPr>
          <w:rFonts w:ascii="Times New Roman" w:hAnsi="Times New Roman"/>
          <w:szCs w:val="24"/>
        </w:rPr>
        <w:t>структури</w:t>
      </w:r>
      <w:r w:rsidR="00FC46B2" w:rsidRPr="00295637">
        <w:rPr>
          <w:rFonts w:ascii="Times New Roman" w:hAnsi="Times New Roman"/>
          <w:szCs w:val="24"/>
        </w:rPr>
        <w:t xml:space="preserve"> </w:t>
      </w:r>
      <w:r>
        <w:rPr>
          <w:rFonts w:ascii="Times New Roman" w:hAnsi="Times New Roman"/>
          <w:szCs w:val="24"/>
        </w:rPr>
        <w:t>тог</w:t>
      </w:r>
      <w:r w:rsidR="00FC46B2" w:rsidRPr="00295637">
        <w:rPr>
          <w:rFonts w:ascii="Times New Roman" w:hAnsi="Times New Roman"/>
          <w:szCs w:val="24"/>
        </w:rPr>
        <w:t xml:space="preserve"> </w:t>
      </w:r>
      <w:r>
        <w:rPr>
          <w:rFonts w:ascii="Times New Roman" w:hAnsi="Times New Roman"/>
          <w:szCs w:val="24"/>
        </w:rPr>
        <w:t>јаза</w:t>
      </w:r>
      <w:r w:rsidR="00FC46B2" w:rsidRPr="00295637">
        <w:rPr>
          <w:rFonts w:ascii="Times New Roman" w:hAnsi="Times New Roman"/>
          <w:szCs w:val="24"/>
        </w:rPr>
        <w:t xml:space="preserve">, </w:t>
      </w:r>
      <w:r>
        <w:rPr>
          <w:rFonts w:ascii="Times New Roman" w:hAnsi="Times New Roman"/>
          <w:szCs w:val="24"/>
        </w:rPr>
        <w:t>као</w:t>
      </w:r>
      <w:r w:rsidR="00FC46B2" w:rsidRPr="00295637">
        <w:rPr>
          <w:rFonts w:ascii="Times New Roman" w:hAnsi="Times New Roman"/>
          <w:szCs w:val="24"/>
        </w:rPr>
        <w:t xml:space="preserve"> </w:t>
      </w:r>
      <w:r>
        <w:rPr>
          <w:rFonts w:ascii="Times New Roman" w:hAnsi="Times New Roman"/>
          <w:szCs w:val="24"/>
        </w:rPr>
        <w:t>ни</w:t>
      </w:r>
      <w:r w:rsidR="00FC46B2" w:rsidRPr="00295637">
        <w:rPr>
          <w:rFonts w:ascii="Times New Roman" w:hAnsi="Times New Roman"/>
          <w:szCs w:val="24"/>
        </w:rPr>
        <w:t xml:space="preserve"> </w:t>
      </w:r>
      <w:r>
        <w:rPr>
          <w:rFonts w:ascii="Times New Roman" w:hAnsi="Times New Roman"/>
          <w:szCs w:val="24"/>
        </w:rPr>
        <w:t>израчунате</w:t>
      </w:r>
      <w:r w:rsidR="00FC46B2" w:rsidRPr="00295637">
        <w:rPr>
          <w:rFonts w:ascii="Times New Roman" w:hAnsi="Times New Roman"/>
          <w:szCs w:val="24"/>
        </w:rPr>
        <w:t xml:space="preserve"> </w:t>
      </w:r>
      <w:r>
        <w:rPr>
          <w:rFonts w:ascii="Times New Roman" w:hAnsi="Times New Roman"/>
          <w:szCs w:val="24"/>
        </w:rPr>
        <w:t>стопе</w:t>
      </w:r>
      <w:r w:rsidR="00FC46B2" w:rsidRPr="00295637">
        <w:rPr>
          <w:rFonts w:ascii="Times New Roman" w:hAnsi="Times New Roman"/>
          <w:szCs w:val="24"/>
        </w:rPr>
        <w:t xml:space="preserve"> </w:t>
      </w:r>
      <w:r>
        <w:rPr>
          <w:rFonts w:ascii="Times New Roman" w:hAnsi="Times New Roman"/>
          <w:szCs w:val="24"/>
        </w:rPr>
        <w:t>родног</w:t>
      </w:r>
      <w:r w:rsidR="00FC46B2" w:rsidRPr="00295637">
        <w:rPr>
          <w:rFonts w:ascii="Times New Roman" w:hAnsi="Times New Roman"/>
          <w:szCs w:val="24"/>
        </w:rPr>
        <w:t xml:space="preserve"> </w:t>
      </w:r>
      <w:r>
        <w:rPr>
          <w:rFonts w:ascii="Times New Roman" w:hAnsi="Times New Roman"/>
          <w:szCs w:val="24"/>
        </w:rPr>
        <w:t>јаза</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пла</w:t>
      </w:r>
      <w:r w:rsidR="00244392">
        <w:rPr>
          <w:rFonts w:ascii="Times New Roman" w:hAnsi="Times New Roman"/>
          <w:szCs w:val="24"/>
          <w:lang w:val="sr-Cyrl-BA"/>
        </w:rPr>
        <w:t>т</w:t>
      </w:r>
      <w:r>
        <w:rPr>
          <w:rFonts w:ascii="Times New Roman" w:hAnsi="Times New Roman"/>
          <w:szCs w:val="24"/>
        </w:rPr>
        <w:t>ама</w:t>
      </w:r>
      <w:r w:rsidR="00FC46B2" w:rsidRPr="00295637">
        <w:rPr>
          <w:rFonts w:ascii="Times New Roman" w:hAnsi="Times New Roman"/>
          <w:szCs w:val="24"/>
        </w:rPr>
        <w:t>.</w:t>
      </w:r>
    </w:p>
    <w:p w:rsidR="00FC46B2" w:rsidRPr="00295637" w:rsidRDefault="00FC46B2" w:rsidP="0086268D">
      <w:pPr>
        <w:autoSpaceDE w:val="0"/>
        <w:autoSpaceDN w:val="0"/>
        <w:adjustRightInd w:val="0"/>
        <w:jc w:val="both"/>
        <w:rPr>
          <w:rFonts w:ascii="Times New Roman" w:hAnsi="Times New Roman"/>
          <w:szCs w:val="24"/>
        </w:rPr>
      </w:pPr>
    </w:p>
    <w:p w:rsidR="00FC46B2" w:rsidRDefault="00C6214E" w:rsidP="0086268D">
      <w:pPr>
        <w:autoSpaceDE w:val="0"/>
        <w:autoSpaceDN w:val="0"/>
        <w:adjustRightInd w:val="0"/>
        <w:jc w:val="both"/>
        <w:rPr>
          <w:rFonts w:ascii="Times New Roman" w:hAnsi="Times New Roman"/>
          <w:szCs w:val="24"/>
        </w:rPr>
      </w:pPr>
      <w:r>
        <w:rPr>
          <w:rFonts w:ascii="Times New Roman" w:hAnsi="Times New Roman"/>
        </w:rPr>
        <w:t>Током</w:t>
      </w:r>
      <w:r w:rsidR="00956FEC" w:rsidRPr="00C53723">
        <w:rPr>
          <w:rFonts w:ascii="Times New Roman" w:hAnsi="Times New Roman"/>
        </w:rPr>
        <w:t xml:space="preserve"> 2024. </w:t>
      </w:r>
      <w:r>
        <w:rPr>
          <w:rFonts w:ascii="Times New Roman" w:hAnsi="Times New Roman"/>
        </w:rPr>
        <w:t>године</w:t>
      </w:r>
      <w:r w:rsidR="00956FEC" w:rsidRPr="00C53723">
        <w:rPr>
          <w:rFonts w:ascii="Times New Roman" w:hAnsi="Times New Roman"/>
        </w:rPr>
        <w:t xml:space="preserve"> </w:t>
      </w:r>
      <w:r>
        <w:rPr>
          <w:rFonts w:ascii="Times New Roman" w:hAnsi="Times New Roman"/>
        </w:rPr>
        <w:t>започела</w:t>
      </w:r>
      <w:r w:rsidR="00956FEC" w:rsidRPr="00C53723">
        <w:rPr>
          <w:rFonts w:ascii="Times New Roman" w:hAnsi="Times New Roman"/>
        </w:rPr>
        <w:t xml:space="preserve"> </w:t>
      </w:r>
      <w:r>
        <w:rPr>
          <w:rFonts w:ascii="Times New Roman" w:hAnsi="Times New Roman"/>
        </w:rPr>
        <w:t>је</w:t>
      </w:r>
      <w:r w:rsidR="00956FEC" w:rsidRPr="00C53723">
        <w:rPr>
          <w:rFonts w:ascii="Times New Roman" w:hAnsi="Times New Roman"/>
        </w:rPr>
        <w:t xml:space="preserve"> </w:t>
      </w:r>
      <w:r>
        <w:rPr>
          <w:rFonts w:ascii="Times New Roman" w:hAnsi="Times New Roman"/>
        </w:rPr>
        <w:t>реализација</w:t>
      </w:r>
      <w:r w:rsidR="00956FEC" w:rsidRPr="00C53723">
        <w:rPr>
          <w:rFonts w:ascii="Times New Roman" w:hAnsi="Times New Roman"/>
        </w:rPr>
        <w:t xml:space="preserve"> </w:t>
      </w:r>
      <w:r>
        <w:rPr>
          <w:rFonts w:ascii="Times New Roman" w:hAnsi="Times New Roman"/>
        </w:rPr>
        <w:t>пројекта</w:t>
      </w:r>
      <w:r w:rsidR="00956FEC" w:rsidRPr="00C53723">
        <w:rPr>
          <w:rFonts w:ascii="Times New Roman" w:hAnsi="Times New Roman"/>
        </w:rPr>
        <w:t xml:space="preserve"> „</w:t>
      </w:r>
      <w:r>
        <w:rPr>
          <w:rFonts w:ascii="Times New Roman" w:hAnsi="Times New Roman"/>
        </w:rPr>
        <w:t>Јачање</w:t>
      </w:r>
      <w:r w:rsidR="00956FEC" w:rsidRPr="00C53723">
        <w:rPr>
          <w:rFonts w:ascii="Times New Roman" w:hAnsi="Times New Roman"/>
        </w:rPr>
        <w:t xml:space="preserve"> </w:t>
      </w:r>
      <w:r>
        <w:rPr>
          <w:rFonts w:ascii="Times New Roman" w:hAnsi="Times New Roman"/>
        </w:rPr>
        <w:t>заштите</w:t>
      </w:r>
      <w:r w:rsidR="00956FEC" w:rsidRPr="00C53723">
        <w:rPr>
          <w:rFonts w:ascii="Times New Roman" w:hAnsi="Times New Roman"/>
        </w:rPr>
        <w:t xml:space="preserve"> </w:t>
      </w:r>
      <w:r>
        <w:rPr>
          <w:rFonts w:ascii="Times New Roman" w:hAnsi="Times New Roman"/>
        </w:rPr>
        <w:t>људских</w:t>
      </w:r>
      <w:r w:rsidR="00956FEC" w:rsidRPr="00C53723">
        <w:rPr>
          <w:rFonts w:ascii="Times New Roman" w:hAnsi="Times New Roman"/>
        </w:rPr>
        <w:t xml:space="preserve"> </w:t>
      </w:r>
      <w:r>
        <w:rPr>
          <w:rFonts w:ascii="Times New Roman" w:hAnsi="Times New Roman"/>
        </w:rPr>
        <w:t>права</w:t>
      </w:r>
      <w:r w:rsidR="00956FEC" w:rsidRPr="00C53723">
        <w:rPr>
          <w:rFonts w:ascii="Times New Roman" w:hAnsi="Times New Roman"/>
        </w:rPr>
        <w:t xml:space="preserve"> </w:t>
      </w:r>
      <w:r>
        <w:rPr>
          <w:rFonts w:ascii="Times New Roman" w:hAnsi="Times New Roman"/>
        </w:rPr>
        <w:t>у</w:t>
      </w:r>
      <w:r w:rsidR="00956FEC" w:rsidRPr="00C53723">
        <w:rPr>
          <w:rFonts w:ascii="Times New Roman" w:hAnsi="Times New Roman"/>
        </w:rPr>
        <w:t xml:space="preserve"> </w:t>
      </w:r>
      <w:r>
        <w:rPr>
          <w:rFonts w:ascii="Times New Roman" w:hAnsi="Times New Roman"/>
        </w:rPr>
        <w:t>активностима</w:t>
      </w:r>
      <w:r w:rsidR="00956FEC" w:rsidRPr="00C53723">
        <w:rPr>
          <w:rFonts w:ascii="Times New Roman" w:hAnsi="Times New Roman"/>
        </w:rPr>
        <w:t xml:space="preserve"> </w:t>
      </w:r>
      <w:r>
        <w:rPr>
          <w:rFonts w:ascii="Times New Roman" w:hAnsi="Times New Roman"/>
        </w:rPr>
        <w:t>бизнис</w:t>
      </w:r>
      <w:r w:rsidR="00956FEC" w:rsidRPr="00C53723">
        <w:rPr>
          <w:rFonts w:ascii="Times New Roman" w:hAnsi="Times New Roman"/>
        </w:rPr>
        <w:t xml:space="preserve"> </w:t>
      </w:r>
      <w:r>
        <w:rPr>
          <w:rFonts w:ascii="Times New Roman" w:hAnsi="Times New Roman"/>
        </w:rPr>
        <w:t>сектора</w:t>
      </w:r>
      <w:r w:rsidR="00956FEC" w:rsidRPr="00C53723">
        <w:rPr>
          <w:rFonts w:ascii="Times New Roman" w:hAnsi="Times New Roman"/>
        </w:rPr>
        <w:t xml:space="preserve"> </w:t>
      </w:r>
      <w:r>
        <w:rPr>
          <w:rFonts w:ascii="Times New Roman" w:hAnsi="Times New Roman"/>
        </w:rPr>
        <w:t>у</w:t>
      </w:r>
      <w:r w:rsidR="00956FEC" w:rsidRPr="00C53723">
        <w:rPr>
          <w:rFonts w:ascii="Times New Roman" w:hAnsi="Times New Roman"/>
        </w:rPr>
        <w:t xml:space="preserve"> </w:t>
      </w:r>
      <w:r>
        <w:rPr>
          <w:rFonts w:ascii="Times New Roman" w:hAnsi="Times New Roman"/>
        </w:rPr>
        <w:t>БиХ</w:t>
      </w:r>
      <w:r w:rsidR="00956FEC" w:rsidRPr="00C53723">
        <w:rPr>
          <w:rFonts w:ascii="Times New Roman" w:hAnsi="Times New Roman"/>
        </w:rPr>
        <w:t xml:space="preserve">” </w:t>
      </w:r>
      <w:r>
        <w:rPr>
          <w:rFonts w:ascii="Times New Roman" w:hAnsi="Times New Roman"/>
        </w:rPr>
        <w:t>који</w:t>
      </w:r>
      <w:r w:rsidR="00956FEC" w:rsidRPr="00C53723">
        <w:rPr>
          <w:rFonts w:ascii="Times New Roman" w:hAnsi="Times New Roman"/>
        </w:rPr>
        <w:t xml:space="preserve"> </w:t>
      </w:r>
      <w:r>
        <w:rPr>
          <w:rFonts w:ascii="Times New Roman" w:hAnsi="Times New Roman"/>
        </w:rPr>
        <w:t>проводе</w:t>
      </w:r>
      <w:r w:rsidR="00956FEC" w:rsidRPr="00C53723">
        <w:rPr>
          <w:rFonts w:ascii="Times New Roman" w:hAnsi="Times New Roman"/>
        </w:rPr>
        <w:t xml:space="preserve"> </w:t>
      </w:r>
      <w:r>
        <w:rPr>
          <w:rFonts w:ascii="Times New Roman" w:hAnsi="Times New Roman"/>
        </w:rPr>
        <w:t>Унија</w:t>
      </w:r>
      <w:r w:rsidR="00956FEC" w:rsidRPr="00C53723">
        <w:rPr>
          <w:rFonts w:ascii="Times New Roman" w:hAnsi="Times New Roman"/>
        </w:rPr>
        <w:t xml:space="preserve"> </w:t>
      </w:r>
      <w:r>
        <w:rPr>
          <w:rFonts w:ascii="Times New Roman" w:hAnsi="Times New Roman"/>
        </w:rPr>
        <w:t>послодаваца</w:t>
      </w:r>
      <w:r w:rsidR="00956FEC" w:rsidRPr="00C53723">
        <w:rPr>
          <w:rFonts w:ascii="Times New Roman" w:hAnsi="Times New Roman"/>
        </w:rPr>
        <w:t xml:space="preserve"> </w:t>
      </w:r>
      <w:r>
        <w:rPr>
          <w:rFonts w:ascii="Times New Roman" w:hAnsi="Times New Roman"/>
        </w:rPr>
        <w:t>РС</w:t>
      </w:r>
      <w:r w:rsidR="00956FEC" w:rsidRPr="00C53723">
        <w:rPr>
          <w:rFonts w:ascii="Times New Roman" w:hAnsi="Times New Roman"/>
        </w:rPr>
        <w:t xml:space="preserve"> </w:t>
      </w:r>
      <w:r>
        <w:rPr>
          <w:rFonts w:ascii="Times New Roman" w:hAnsi="Times New Roman"/>
        </w:rPr>
        <w:t>и</w:t>
      </w:r>
      <w:r w:rsidR="00956FEC" w:rsidRPr="00C53723">
        <w:rPr>
          <w:rFonts w:ascii="Times New Roman" w:hAnsi="Times New Roman"/>
        </w:rPr>
        <w:t xml:space="preserve"> </w:t>
      </w:r>
      <w:r>
        <w:rPr>
          <w:rFonts w:ascii="Times New Roman" w:hAnsi="Times New Roman"/>
        </w:rPr>
        <w:t>Удружење</w:t>
      </w:r>
      <w:r w:rsidR="00956FEC" w:rsidRPr="00C53723">
        <w:rPr>
          <w:rFonts w:ascii="Times New Roman" w:hAnsi="Times New Roman"/>
        </w:rPr>
        <w:t xml:space="preserve"> </w:t>
      </w:r>
      <w:r>
        <w:rPr>
          <w:rFonts w:ascii="Times New Roman" w:hAnsi="Times New Roman"/>
        </w:rPr>
        <w:t>послодаваца</w:t>
      </w:r>
      <w:r w:rsidR="00956FEC" w:rsidRPr="00C53723">
        <w:rPr>
          <w:rFonts w:ascii="Times New Roman" w:hAnsi="Times New Roman"/>
        </w:rPr>
        <w:t xml:space="preserve"> </w:t>
      </w:r>
      <w:r>
        <w:rPr>
          <w:rFonts w:ascii="Times New Roman" w:hAnsi="Times New Roman"/>
        </w:rPr>
        <w:t>ФБиХ</w:t>
      </w:r>
      <w:r w:rsidR="00956FEC" w:rsidRPr="00C53723">
        <w:rPr>
          <w:rFonts w:ascii="Times New Roman" w:hAnsi="Times New Roman"/>
        </w:rPr>
        <w:t xml:space="preserve"> </w:t>
      </w:r>
      <w:r>
        <w:rPr>
          <w:rFonts w:ascii="Times New Roman" w:hAnsi="Times New Roman"/>
        </w:rPr>
        <w:t>уз</w:t>
      </w:r>
      <w:r w:rsidR="00956FEC" w:rsidRPr="00C53723">
        <w:rPr>
          <w:rFonts w:ascii="Times New Roman" w:hAnsi="Times New Roman"/>
        </w:rPr>
        <w:t xml:space="preserve"> </w:t>
      </w:r>
      <w:r>
        <w:rPr>
          <w:rFonts w:ascii="Times New Roman" w:hAnsi="Times New Roman"/>
        </w:rPr>
        <w:t>финансијску</w:t>
      </w:r>
      <w:r w:rsidR="00956FEC" w:rsidRPr="00C53723">
        <w:rPr>
          <w:rFonts w:ascii="Times New Roman" w:hAnsi="Times New Roman"/>
        </w:rPr>
        <w:t xml:space="preserve"> </w:t>
      </w:r>
      <w:r>
        <w:rPr>
          <w:rFonts w:ascii="Times New Roman" w:hAnsi="Times New Roman"/>
        </w:rPr>
        <w:t>подршку</w:t>
      </w:r>
      <w:r w:rsidR="00956FEC" w:rsidRPr="00C53723">
        <w:rPr>
          <w:rFonts w:ascii="Times New Roman" w:hAnsi="Times New Roman"/>
        </w:rPr>
        <w:t xml:space="preserve"> </w:t>
      </w:r>
      <w:r>
        <w:rPr>
          <w:rFonts w:ascii="Times New Roman" w:hAnsi="Times New Roman"/>
        </w:rPr>
        <w:t>ЕУ</w:t>
      </w:r>
      <w:r w:rsidR="00956FEC">
        <w:rPr>
          <w:rFonts w:ascii="Times New Roman" w:hAnsi="Times New Roman"/>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априлу</w:t>
      </w:r>
      <w:r w:rsidR="00FC46B2" w:rsidRPr="00295637">
        <w:rPr>
          <w:rFonts w:ascii="Times New Roman" w:hAnsi="Times New Roman"/>
          <w:szCs w:val="24"/>
        </w:rPr>
        <w:t xml:space="preserve"> 2024. </w:t>
      </w:r>
      <w:r>
        <w:rPr>
          <w:rFonts w:ascii="Times New Roman" w:hAnsi="Times New Roman"/>
          <w:szCs w:val="24"/>
        </w:rPr>
        <w:t>године</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Бањој</w:t>
      </w:r>
      <w:r w:rsidR="00050016">
        <w:rPr>
          <w:rFonts w:ascii="Times New Roman" w:hAnsi="Times New Roman"/>
          <w:szCs w:val="24"/>
        </w:rPr>
        <w:t xml:space="preserve"> </w:t>
      </w:r>
      <w:r>
        <w:rPr>
          <w:rFonts w:ascii="Times New Roman" w:hAnsi="Times New Roman"/>
          <w:szCs w:val="24"/>
        </w:rPr>
        <w:t>Луци</w:t>
      </w:r>
      <w:r w:rsidR="00050016">
        <w:rPr>
          <w:rFonts w:ascii="Times New Roman" w:hAnsi="Times New Roman"/>
          <w:szCs w:val="24"/>
        </w:rPr>
        <w:t xml:space="preserve"> </w:t>
      </w:r>
      <w:r>
        <w:rPr>
          <w:rFonts w:ascii="Times New Roman" w:hAnsi="Times New Roman"/>
          <w:szCs w:val="24"/>
        </w:rPr>
        <w:t>одржани</w:t>
      </w:r>
      <w:r w:rsidR="00050016">
        <w:rPr>
          <w:rFonts w:ascii="Times New Roman" w:hAnsi="Times New Roman"/>
          <w:szCs w:val="24"/>
        </w:rPr>
        <w:t xml:space="preserve"> </w:t>
      </w:r>
      <w:r>
        <w:rPr>
          <w:rFonts w:ascii="Times New Roman" w:hAnsi="Times New Roman"/>
          <w:szCs w:val="24"/>
        </w:rPr>
        <w:t>су</w:t>
      </w:r>
      <w:r w:rsidR="00050016">
        <w:rPr>
          <w:rFonts w:ascii="Times New Roman" w:hAnsi="Times New Roman"/>
          <w:szCs w:val="24"/>
        </w:rPr>
        <w:t xml:space="preserve"> </w:t>
      </w:r>
      <w:r>
        <w:rPr>
          <w:rFonts w:ascii="Times New Roman" w:hAnsi="Times New Roman"/>
          <w:szCs w:val="24"/>
        </w:rPr>
        <w:t>догађаји</w:t>
      </w:r>
      <w:r w:rsidR="00FC46B2" w:rsidRPr="00295637">
        <w:rPr>
          <w:rFonts w:ascii="Times New Roman" w:hAnsi="Times New Roman"/>
          <w:szCs w:val="24"/>
        </w:rPr>
        <w:t xml:space="preserve"> “</w:t>
      </w:r>
      <w:r w:rsidR="00AE5809" w:rsidRPr="00AE5809">
        <w:rPr>
          <w:rFonts w:ascii="Times New Roman" w:hAnsi="Times New Roman"/>
          <w:szCs w:val="24"/>
        </w:rPr>
        <w:t xml:space="preserve"> </w:t>
      </w:r>
      <w:r w:rsidR="00AE5809" w:rsidRPr="00AE5809">
        <w:rPr>
          <w:rFonts w:ascii="Times New Roman" w:hAnsi="Times New Roman"/>
          <w:i/>
          <w:szCs w:val="24"/>
        </w:rPr>
        <w:t xml:space="preserve">Ring The Bell </w:t>
      </w:r>
      <w:r>
        <w:rPr>
          <w:rFonts w:ascii="Times New Roman" w:hAnsi="Times New Roman"/>
          <w:szCs w:val="24"/>
        </w:rPr>
        <w:t>за</w:t>
      </w:r>
      <w:r w:rsidR="00FC46B2" w:rsidRPr="00295637">
        <w:rPr>
          <w:rFonts w:ascii="Times New Roman" w:hAnsi="Times New Roman"/>
          <w:szCs w:val="24"/>
        </w:rPr>
        <w:t xml:space="preserve"> </w:t>
      </w:r>
      <w:r>
        <w:rPr>
          <w:rFonts w:ascii="Times New Roman" w:hAnsi="Times New Roman"/>
          <w:szCs w:val="24"/>
        </w:rPr>
        <w:t>родну</w:t>
      </w:r>
      <w:r w:rsidR="00FC46B2" w:rsidRPr="00295637">
        <w:rPr>
          <w:rFonts w:ascii="Times New Roman" w:hAnsi="Times New Roman"/>
          <w:szCs w:val="24"/>
        </w:rPr>
        <w:t xml:space="preserve"> </w:t>
      </w:r>
      <w:r>
        <w:rPr>
          <w:rFonts w:ascii="Times New Roman" w:hAnsi="Times New Roman"/>
          <w:szCs w:val="24"/>
        </w:rPr>
        <w:t>равноправност</w:t>
      </w:r>
      <w:r w:rsidR="00050016">
        <w:rPr>
          <w:rFonts w:ascii="Times New Roman" w:hAnsi="Times New Roman"/>
          <w:szCs w:val="24"/>
        </w:rPr>
        <w:t xml:space="preserve">” </w:t>
      </w:r>
      <w:r>
        <w:rPr>
          <w:rFonts w:ascii="Times New Roman" w:hAnsi="Times New Roman"/>
          <w:szCs w:val="24"/>
        </w:rPr>
        <w:t>и</w:t>
      </w:r>
      <w:r w:rsidR="00050016">
        <w:rPr>
          <w:rFonts w:ascii="Times New Roman" w:hAnsi="Times New Roman"/>
          <w:szCs w:val="24"/>
        </w:rPr>
        <w:t xml:space="preserve"> </w:t>
      </w:r>
      <w:r>
        <w:rPr>
          <w:rFonts w:ascii="Times New Roman" w:hAnsi="Times New Roman"/>
          <w:szCs w:val="24"/>
        </w:rPr>
        <w:t>панел</w:t>
      </w:r>
      <w:r w:rsidR="00050016">
        <w:rPr>
          <w:rFonts w:ascii="Times New Roman" w:hAnsi="Times New Roman"/>
          <w:szCs w:val="24"/>
        </w:rPr>
        <w:t xml:space="preserve"> </w:t>
      </w:r>
      <w:r>
        <w:rPr>
          <w:rFonts w:ascii="Times New Roman" w:hAnsi="Times New Roman"/>
          <w:szCs w:val="24"/>
        </w:rPr>
        <w:t>дискусија</w:t>
      </w:r>
      <w:r w:rsidR="00FC46B2" w:rsidRPr="00295637">
        <w:rPr>
          <w:rFonts w:ascii="Times New Roman" w:hAnsi="Times New Roman"/>
          <w:szCs w:val="24"/>
        </w:rPr>
        <w:t xml:space="preserve"> “</w:t>
      </w:r>
      <w:r>
        <w:rPr>
          <w:rFonts w:ascii="Times New Roman" w:hAnsi="Times New Roman"/>
          <w:szCs w:val="24"/>
        </w:rPr>
        <w:t>Једнакост</w:t>
      </w:r>
      <w:r w:rsidR="00FC46B2" w:rsidRPr="00295637">
        <w:rPr>
          <w:rFonts w:ascii="Times New Roman" w:hAnsi="Times New Roman"/>
          <w:szCs w:val="24"/>
        </w:rPr>
        <w:t xml:space="preserve">, </w:t>
      </w:r>
      <w:r>
        <w:rPr>
          <w:rFonts w:ascii="Times New Roman" w:hAnsi="Times New Roman"/>
          <w:szCs w:val="24"/>
        </w:rPr>
        <w:t>инклузија</w:t>
      </w:r>
      <w:r w:rsidR="00FC46B2" w:rsidRPr="00295637">
        <w:rPr>
          <w:rFonts w:ascii="Times New Roman" w:hAnsi="Times New Roman"/>
          <w:szCs w:val="24"/>
        </w:rPr>
        <w:t xml:space="preserve"> </w:t>
      </w:r>
      <w:r>
        <w:rPr>
          <w:rFonts w:ascii="Times New Roman" w:hAnsi="Times New Roman"/>
          <w:szCs w:val="24"/>
        </w:rPr>
        <w:t>и</w:t>
      </w:r>
      <w:r w:rsidR="00FC46B2" w:rsidRPr="00295637">
        <w:rPr>
          <w:rFonts w:ascii="Times New Roman" w:hAnsi="Times New Roman"/>
          <w:szCs w:val="24"/>
        </w:rPr>
        <w:t xml:space="preserve"> </w:t>
      </w:r>
      <w:r>
        <w:rPr>
          <w:rFonts w:ascii="Times New Roman" w:hAnsi="Times New Roman"/>
          <w:szCs w:val="24"/>
        </w:rPr>
        <w:t>родна</w:t>
      </w:r>
      <w:r w:rsidR="00FC46B2" w:rsidRPr="00295637">
        <w:rPr>
          <w:rFonts w:ascii="Times New Roman" w:hAnsi="Times New Roman"/>
          <w:szCs w:val="24"/>
        </w:rPr>
        <w:t xml:space="preserve"> </w:t>
      </w:r>
      <w:r>
        <w:rPr>
          <w:rFonts w:ascii="Times New Roman" w:hAnsi="Times New Roman"/>
          <w:szCs w:val="24"/>
        </w:rPr>
        <w:t>равноправност</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организацији</w:t>
      </w:r>
      <w:r w:rsidR="00FC46B2" w:rsidRPr="00295637">
        <w:rPr>
          <w:rFonts w:ascii="Times New Roman" w:hAnsi="Times New Roman"/>
          <w:szCs w:val="24"/>
        </w:rPr>
        <w:t xml:space="preserve"> </w:t>
      </w:r>
      <w:r w:rsidR="00AE5809" w:rsidRPr="00AE5809">
        <w:rPr>
          <w:rFonts w:ascii="Times New Roman" w:hAnsi="Times New Roman"/>
          <w:i/>
          <w:iCs/>
          <w:szCs w:val="24"/>
        </w:rPr>
        <w:t>UN Women</w:t>
      </w:r>
      <w:r w:rsidR="00FC46B2" w:rsidRPr="00295637">
        <w:rPr>
          <w:rFonts w:ascii="Times New Roman" w:hAnsi="Times New Roman"/>
          <w:szCs w:val="24"/>
        </w:rPr>
        <w:t xml:space="preserve">, </w:t>
      </w:r>
      <w:r>
        <w:rPr>
          <w:rFonts w:ascii="Times New Roman" w:hAnsi="Times New Roman"/>
          <w:szCs w:val="24"/>
        </w:rPr>
        <w:t>Бањалучке</w:t>
      </w:r>
      <w:r w:rsidR="00FC46B2" w:rsidRPr="00295637">
        <w:rPr>
          <w:rFonts w:ascii="Times New Roman" w:hAnsi="Times New Roman"/>
          <w:szCs w:val="24"/>
        </w:rPr>
        <w:t xml:space="preserve"> </w:t>
      </w:r>
      <w:r>
        <w:rPr>
          <w:rFonts w:ascii="Times New Roman" w:hAnsi="Times New Roman"/>
          <w:szCs w:val="24"/>
        </w:rPr>
        <w:t>берзе</w:t>
      </w:r>
      <w:r w:rsidR="00FC46B2" w:rsidRPr="00295637">
        <w:rPr>
          <w:rFonts w:ascii="Times New Roman" w:hAnsi="Times New Roman"/>
          <w:szCs w:val="24"/>
        </w:rPr>
        <w:t xml:space="preserve">, </w:t>
      </w:r>
      <w:r w:rsidR="00AE5809" w:rsidRPr="00AE5809">
        <w:rPr>
          <w:rFonts w:ascii="Times New Roman" w:hAnsi="Times New Roman"/>
          <w:i/>
          <w:szCs w:val="24"/>
        </w:rPr>
        <w:t>IFC</w:t>
      </w:r>
      <w:r w:rsidR="00FC46B2" w:rsidRPr="00295637">
        <w:rPr>
          <w:rFonts w:ascii="Times New Roman" w:hAnsi="Times New Roman"/>
          <w:szCs w:val="24"/>
        </w:rPr>
        <w:t xml:space="preserve"> </w:t>
      </w:r>
      <w:r w:rsidR="00AE5809">
        <w:rPr>
          <w:rFonts w:ascii="Times New Roman" w:hAnsi="Times New Roman"/>
          <w:szCs w:val="24"/>
          <w:lang w:val="sr-Cyrl-BA"/>
        </w:rPr>
        <w:t>канцеларије</w:t>
      </w:r>
      <w:r w:rsidR="00FC46B2" w:rsidRPr="00295637">
        <w:rPr>
          <w:rFonts w:ascii="Times New Roman" w:hAnsi="Times New Roman"/>
          <w:szCs w:val="24"/>
        </w:rPr>
        <w:t xml:space="preserve"> </w:t>
      </w:r>
      <w:r>
        <w:rPr>
          <w:rFonts w:ascii="Times New Roman" w:hAnsi="Times New Roman"/>
          <w:szCs w:val="24"/>
        </w:rPr>
        <w:t>у</w:t>
      </w:r>
      <w:r w:rsidR="00FC46B2" w:rsidRPr="00295637">
        <w:rPr>
          <w:rFonts w:ascii="Times New Roman" w:hAnsi="Times New Roman"/>
          <w:szCs w:val="24"/>
        </w:rPr>
        <w:t xml:space="preserve"> </w:t>
      </w:r>
      <w:r>
        <w:rPr>
          <w:rFonts w:ascii="Times New Roman" w:hAnsi="Times New Roman"/>
          <w:szCs w:val="24"/>
        </w:rPr>
        <w:t>БиХ</w:t>
      </w:r>
      <w:r w:rsidR="00FC46B2" w:rsidRPr="00295637">
        <w:rPr>
          <w:rFonts w:ascii="Times New Roman" w:hAnsi="Times New Roman"/>
          <w:szCs w:val="24"/>
        </w:rPr>
        <w:t xml:space="preserve"> </w:t>
      </w:r>
      <w:r>
        <w:rPr>
          <w:rFonts w:ascii="Times New Roman" w:hAnsi="Times New Roman"/>
          <w:szCs w:val="24"/>
        </w:rPr>
        <w:t>и</w:t>
      </w:r>
      <w:r w:rsidR="00FC46B2" w:rsidRPr="00295637">
        <w:rPr>
          <w:rFonts w:ascii="Times New Roman" w:hAnsi="Times New Roman"/>
          <w:szCs w:val="24"/>
        </w:rPr>
        <w:t xml:space="preserve"> </w:t>
      </w:r>
      <w:r w:rsidR="00FC46B2" w:rsidRPr="00D15ABE">
        <w:rPr>
          <w:rFonts w:ascii="Times New Roman" w:hAnsi="Times New Roman"/>
          <w:i/>
          <w:szCs w:val="24"/>
        </w:rPr>
        <w:t>“</w:t>
      </w:r>
      <w:r w:rsidR="00AE5809" w:rsidRPr="00AE5809">
        <w:rPr>
          <w:rFonts w:ascii="Times New Roman" w:hAnsi="Times New Roman"/>
          <w:i/>
          <w:szCs w:val="24"/>
        </w:rPr>
        <w:t>Advantis Broker</w:t>
      </w:r>
      <w:r w:rsidR="00FC46B2" w:rsidRPr="00D15ABE">
        <w:rPr>
          <w:rFonts w:ascii="Times New Roman" w:hAnsi="Times New Roman"/>
          <w:i/>
          <w:szCs w:val="24"/>
        </w:rPr>
        <w:t>”</w:t>
      </w:r>
      <w:r w:rsidR="00FC46B2" w:rsidRPr="00295637">
        <w:rPr>
          <w:rFonts w:ascii="Times New Roman" w:hAnsi="Times New Roman"/>
          <w:szCs w:val="24"/>
        </w:rPr>
        <w:t xml:space="preserve">. </w:t>
      </w:r>
    </w:p>
    <w:p w:rsidR="00562C7D" w:rsidRPr="00295637" w:rsidRDefault="00562C7D" w:rsidP="0086268D">
      <w:pPr>
        <w:pStyle w:val="Normal1"/>
      </w:pPr>
    </w:p>
    <w:p w:rsidR="00356C2C" w:rsidRPr="00295637" w:rsidRDefault="00AE5809" w:rsidP="00F47CBE">
      <w:pPr>
        <w:tabs>
          <w:tab w:val="left" w:pos="284"/>
          <w:tab w:val="left" w:pos="630"/>
          <w:tab w:val="left" w:pos="1080"/>
          <w:tab w:val="left" w:pos="2552"/>
        </w:tabs>
        <w:ind w:left="900"/>
        <w:jc w:val="both"/>
        <w:rPr>
          <w:rFonts w:ascii="Times New Roman" w:hAnsi="Times New Roman"/>
          <w:szCs w:val="24"/>
          <w:lang w:val="bs-Latn-BA"/>
        </w:rPr>
      </w:pPr>
      <w:r>
        <w:rPr>
          <w:rFonts w:ascii="Times New Roman" w:hAnsi="Times New Roman"/>
          <w:szCs w:val="24"/>
          <w:lang w:val="bs-Latn-BA"/>
        </w:rPr>
        <w:t>I</w:t>
      </w:r>
      <w:r w:rsidR="00F47CBE">
        <w:rPr>
          <w:rFonts w:ascii="Times New Roman" w:hAnsi="Times New Roman"/>
          <w:szCs w:val="24"/>
          <w:lang w:val="bs-Latn-BA"/>
        </w:rPr>
        <w:t xml:space="preserve"> 3.6. </w:t>
      </w:r>
      <w:r w:rsidR="00C6214E">
        <w:rPr>
          <w:rFonts w:ascii="Times New Roman" w:hAnsi="Times New Roman"/>
          <w:szCs w:val="24"/>
          <w:lang w:val="bs-Latn-BA"/>
        </w:rPr>
        <w:t>Подршка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истраживањима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који</w:t>
      </w:r>
      <w:r w:rsidR="00356C2C" w:rsidRPr="00295637">
        <w:rPr>
          <w:rFonts w:ascii="Times New Roman" w:hAnsi="Times New Roman"/>
          <w:szCs w:val="24"/>
          <w:lang w:val="bs-Latn-BA"/>
        </w:rPr>
        <w:t xml:space="preserve"> </w:t>
      </w:r>
      <w:r w:rsidR="00C6214E">
        <w:rPr>
          <w:rFonts w:ascii="Times New Roman" w:hAnsi="Times New Roman"/>
          <w:szCs w:val="24"/>
          <w:lang w:val="bs-Latn-BA"/>
        </w:rPr>
        <w:t>се</w:t>
      </w:r>
      <w:r w:rsidR="00356C2C" w:rsidRPr="00295637">
        <w:rPr>
          <w:rFonts w:ascii="Times New Roman" w:hAnsi="Times New Roman"/>
          <w:szCs w:val="24"/>
          <w:lang w:val="bs-Latn-BA"/>
        </w:rPr>
        <w:t xml:space="preserve"> </w:t>
      </w:r>
      <w:r w:rsidR="00C6214E">
        <w:rPr>
          <w:rFonts w:ascii="Times New Roman" w:hAnsi="Times New Roman"/>
          <w:szCs w:val="24"/>
          <w:lang w:val="bs-Latn-BA"/>
        </w:rPr>
        <w:t>односе</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унапређење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положаја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руралног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развоја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којима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је</w:t>
      </w:r>
      <w:r w:rsidR="00356C2C" w:rsidRPr="00295637">
        <w:rPr>
          <w:rFonts w:ascii="Times New Roman" w:hAnsi="Times New Roman"/>
          <w:szCs w:val="24"/>
          <w:lang w:val="bs-Latn-BA"/>
        </w:rPr>
        <w:t xml:space="preserve"> </w:t>
      </w:r>
      <w:r w:rsidR="00C6214E">
        <w:rPr>
          <w:rFonts w:ascii="Times New Roman" w:hAnsi="Times New Roman"/>
          <w:szCs w:val="24"/>
          <w:lang w:val="bs-Latn-BA"/>
        </w:rPr>
        <w:t>идентифи</w:t>
      </w:r>
      <w:r>
        <w:rPr>
          <w:rFonts w:ascii="Times New Roman" w:hAnsi="Times New Roman"/>
          <w:szCs w:val="24"/>
          <w:lang w:val="bs-Latn-BA"/>
        </w:rPr>
        <w:t>kovana</w:t>
      </w:r>
      <w:r w:rsidR="00356C2C" w:rsidRPr="00295637">
        <w:rPr>
          <w:rFonts w:ascii="Times New Roman" w:hAnsi="Times New Roman"/>
          <w:szCs w:val="24"/>
          <w:lang w:val="bs-Latn-BA"/>
        </w:rPr>
        <w:t xml:space="preserve"> </w:t>
      </w:r>
      <w:r w:rsidR="00C6214E">
        <w:rPr>
          <w:rFonts w:ascii="Times New Roman" w:hAnsi="Times New Roman"/>
          <w:szCs w:val="24"/>
          <w:lang w:val="bs-Latn-BA"/>
        </w:rPr>
        <w:t>мала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заступљеност</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p>
    <w:p w:rsidR="008D56A8" w:rsidRPr="00295637" w:rsidRDefault="008D56A8" w:rsidP="0086268D">
      <w:pPr>
        <w:pStyle w:val="NormalWeb"/>
        <w:spacing w:before="0" w:beforeAutospacing="0" w:after="0" w:afterAutospacing="0"/>
        <w:jc w:val="both"/>
        <w:rPr>
          <w:lang w:val="bs-Latn-BA"/>
        </w:rPr>
      </w:pPr>
    </w:p>
    <w:p w:rsidR="00054B55" w:rsidRPr="00295637" w:rsidRDefault="00C6214E" w:rsidP="0086268D">
      <w:pPr>
        <w:pStyle w:val="NormalWeb"/>
        <w:spacing w:before="0" w:beforeAutospacing="0" w:after="0" w:afterAutospacing="0"/>
        <w:jc w:val="both"/>
        <w:rPr>
          <w:lang w:val="bs-Latn-BA"/>
        </w:rPr>
      </w:pPr>
      <w:r>
        <w:rPr>
          <w:lang w:val="bs-Latn-BA"/>
        </w:rPr>
        <w:t>Један</w:t>
      </w:r>
      <w:r w:rsidR="00054B55" w:rsidRPr="00295637">
        <w:rPr>
          <w:lang w:val="bs-Latn-BA"/>
        </w:rPr>
        <w:t xml:space="preserve"> </w:t>
      </w:r>
      <w:r>
        <w:rPr>
          <w:lang w:val="bs-Latn-BA"/>
        </w:rPr>
        <w:t>од</w:t>
      </w:r>
      <w:r w:rsidR="00054B55" w:rsidRPr="00295637">
        <w:rPr>
          <w:lang w:val="bs-Latn-BA"/>
        </w:rPr>
        <w:t xml:space="preserve"> </w:t>
      </w:r>
      <w:r>
        <w:rPr>
          <w:lang w:val="bs-Latn-BA"/>
        </w:rPr>
        <w:t>кључних</w:t>
      </w:r>
      <w:r w:rsidR="00054B55" w:rsidRPr="00295637">
        <w:rPr>
          <w:lang w:val="bs-Latn-BA"/>
        </w:rPr>
        <w:t xml:space="preserve"> </w:t>
      </w:r>
      <w:r>
        <w:rPr>
          <w:lang w:val="bs-Latn-BA"/>
        </w:rPr>
        <w:t>сегмената</w:t>
      </w:r>
      <w:r w:rsidR="00054B55" w:rsidRPr="00295637">
        <w:rPr>
          <w:lang w:val="bs-Latn-BA"/>
        </w:rPr>
        <w:t xml:space="preserve"> </w:t>
      </w:r>
      <w:r>
        <w:rPr>
          <w:lang w:val="bs-Latn-BA"/>
        </w:rPr>
        <w:t>политике</w:t>
      </w:r>
      <w:r w:rsidR="00136128">
        <w:rPr>
          <w:lang w:val="bs-Latn-BA"/>
        </w:rPr>
        <w:t xml:space="preserve"> </w:t>
      </w:r>
      <w:r>
        <w:rPr>
          <w:lang w:val="bs-Latn-BA"/>
        </w:rPr>
        <w:t>запошљавања</w:t>
      </w:r>
      <w:r w:rsidR="00136128">
        <w:rPr>
          <w:lang w:val="bs-Latn-BA"/>
        </w:rPr>
        <w:t xml:space="preserve"> </w:t>
      </w:r>
      <w:r>
        <w:rPr>
          <w:lang w:val="bs-Latn-BA"/>
        </w:rPr>
        <w:t>у</w:t>
      </w:r>
      <w:r w:rsidR="00136128">
        <w:rPr>
          <w:lang w:val="bs-Latn-BA"/>
        </w:rPr>
        <w:t xml:space="preserve"> </w:t>
      </w:r>
      <w:r>
        <w:rPr>
          <w:lang w:val="bs-Latn-BA"/>
        </w:rPr>
        <w:t>ФБиХ</w:t>
      </w:r>
      <w:r w:rsidR="00477C5C">
        <w:rPr>
          <w:lang w:val="bs-Latn-BA"/>
        </w:rPr>
        <w:t xml:space="preserve"> </w:t>
      </w:r>
      <w:r>
        <w:rPr>
          <w:lang w:val="bs-Latn-BA"/>
        </w:rPr>
        <w:t>је</w:t>
      </w:r>
      <w:r w:rsidR="00054B55" w:rsidRPr="00295637">
        <w:rPr>
          <w:lang w:val="bs-Latn-BA"/>
        </w:rPr>
        <w:t xml:space="preserve"> </w:t>
      </w:r>
      <w:r>
        <w:rPr>
          <w:lang w:val="bs-Latn-BA"/>
        </w:rPr>
        <w:t>наставак</w:t>
      </w:r>
      <w:r w:rsidR="00054B55" w:rsidRPr="00295637">
        <w:rPr>
          <w:lang w:val="bs-Latn-BA"/>
        </w:rPr>
        <w:t xml:space="preserve"> </w:t>
      </w:r>
      <w:r>
        <w:rPr>
          <w:lang w:val="bs-Latn-BA"/>
        </w:rPr>
        <w:t>програма</w:t>
      </w:r>
      <w:r w:rsidR="00054B55" w:rsidRPr="00295637">
        <w:rPr>
          <w:lang w:val="bs-Latn-BA"/>
        </w:rPr>
        <w:t xml:space="preserve"> </w:t>
      </w:r>
      <w:r>
        <w:rPr>
          <w:lang w:val="bs-Latn-BA"/>
        </w:rPr>
        <w:t>суфинансирања</w:t>
      </w:r>
      <w:r w:rsidR="00054B55" w:rsidRPr="00295637">
        <w:rPr>
          <w:lang w:val="bs-Latn-BA"/>
        </w:rPr>
        <w:t xml:space="preserve"> </w:t>
      </w:r>
      <w:r>
        <w:rPr>
          <w:lang w:val="bs-Latn-BA"/>
        </w:rPr>
        <w:t>самозапошљавања</w:t>
      </w:r>
      <w:r w:rsidR="00054B55" w:rsidRPr="00295637">
        <w:rPr>
          <w:lang w:val="bs-Latn-BA"/>
        </w:rPr>
        <w:t xml:space="preserve">, </w:t>
      </w:r>
      <w:r>
        <w:rPr>
          <w:lang w:val="bs-Latn-BA"/>
        </w:rPr>
        <w:t>посебно</w:t>
      </w:r>
      <w:r w:rsidR="00054B55" w:rsidRPr="00295637">
        <w:rPr>
          <w:lang w:val="bs-Latn-BA"/>
        </w:rPr>
        <w:t xml:space="preserve"> </w:t>
      </w:r>
      <w:r>
        <w:rPr>
          <w:lang w:val="bs-Latn-BA"/>
        </w:rPr>
        <w:t>у</w:t>
      </w:r>
      <w:r w:rsidR="00054B55" w:rsidRPr="00295637">
        <w:rPr>
          <w:lang w:val="bs-Latn-BA"/>
        </w:rPr>
        <w:t xml:space="preserve"> </w:t>
      </w:r>
      <w:r>
        <w:rPr>
          <w:lang w:val="bs-Latn-BA"/>
        </w:rPr>
        <w:t>сектору</w:t>
      </w:r>
      <w:r w:rsidR="00054B55" w:rsidRPr="00295637">
        <w:rPr>
          <w:lang w:val="bs-Latn-BA"/>
        </w:rPr>
        <w:t xml:space="preserve"> </w:t>
      </w:r>
      <w:r>
        <w:rPr>
          <w:lang w:val="bs-Latn-BA"/>
        </w:rPr>
        <w:t>пољопривреде</w:t>
      </w:r>
      <w:r w:rsidR="00054B55" w:rsidRPr="00295637">
        <w:rPr>
          <w:lang w:val="bs-Latn-BA"/>
        </w:rPr>
        <w:t xml:space="preserve">. </w:t>
      </w:r>
      <w:r>
        <w:rPr>
          <w:lang w:val="bs-Latn-BA"/>
        </w:rPr>
        <w:t>Ове</w:t>
      </w:r>
      <w:r w:rsidR="00054B55" w:rsidRPr="00295637">
        <w:rPr>
          <w:lang w:val="bs-Latn-BA"/>
        </w:rPr>
        <w:t xml:space="preserve"> </w:t>
      </w:r>
      <w:r>
        <w:rPr>
          <w:lang w:val="bs-Latn-BA"/>
        </w:rPr>
        <w:t>мјере</w:t>
      </w:r>
      <w:r w:rsidR="00054B55" w:rsidRPr="00295637">
        <w:rPr>
          <w:lang w:val="bs-Latn-BA"/>
        </w:rPr>
        <w:t xml:space="preserve"> </w:t>
      </w:r>
      <w:r>
        <w:rPr>
          <w:lang w:val="bs-Latn-BA"/>
        </w:rPr>
        <w:t>имају</w:t>
      </w:r>
      <w:r w:rsidR="00054B55" w:rsidRPr="00295637">
        <w:rPr>
          <w:lang w:val="bs-Latn-BA"/>
        </w:rPr>
        <w:t xml:space="preserve"> </w:t>
      </w:r>
      <w:r>
        <w:rPr>
          <w:lang w:val="bs-Latn-BA"/>
        </w:rPr>
        <w:t>за</w:t>
      </w:r>
      <w:r w:rsidR="00054B55" w:rsidRPr="00295637">
        <w:rPr>
          <w:lang w:val="bs-Latn-BA"/>
        </w:rPr>
        <w:t xml:space="preserve"> </w:t>
      </w:r>
      <w:r>
        <w:rPr>
          <w:lang w:val="bs-Latn-BA"/>
        </w:rPr>
        <w:t>циљ</w:t>
      </w:r>
      <w:r w:rsidR="00054B55" w:rsidRPr="00295637">
        <w:rPr>
          <w:lang w:val="bs-Latn-BA"/>
        </w:rPr>
        <w:t xml:space="preserve"> </w:t>
      </w:r>
      <w:r>
        <w:rPr>
          <w:lang w:val="bs-Latn-BA"/>
        </w:rPr>
        <w:t>смањење</w:t>
      </w:r>
      <w:r w:rsidR="00054B55" w:rsidRPr="00295637">
        <w:rPr>
          <w:lang w:val="bs-Latn-BA"/>
        </w:rPr>
        <w:t xml:space="preserve"> </w:t>
      </w:r>
      <w:r>
        <w:rPr>
          <w:lang w:val="bs-Latn-BA"/>
        </w:rPr>
        <w:t>броја</w:t>
      </w:r>
      <w:r w:rsidR="00054B55" w:rsidRPr="00295637">
        <w:rPr>
          <w:lang w:val="bs-Latn-BA"/>
        </w:rPr>
        <w:t xml:space="preserve"> </w:t>
      </w:r>
      <w:r>
        <w:rPr>
          <w:lang w:val="bs-Latn-BA"/>
        </w:rPr>
        <w:t>незапослених</w:t>
      </w:r>
      <w:r w:rsidR="00054B55" w:rsidRPr="00295637">
        <w:rPr>
          <w:lang w:val="bs-Latn-BA"/>
        </w:rPr>
        <w:t xml:space="preserve"> </w:t>
      </w:r>
      <w:r>
        <w:rPr>
          <w:lang w:val="bs-Latn-BA"/>
        </w:rPr>
        <w:t>жена</w:t>
      </w:r>
      <w:r w:rsidR="00054B55" w:rsidRPr="00295637">
        <w:rPr>
          <w:lang w:val="bs-Latn-BA"/>
        </w:rPr>
        <w:t xml:space="preserve"> </w:t>
      </w:r>
      <w:r>
        <w:rPr>
          <w:lang w:val="bs-Latn-BA"/>
        </w:rPr>
        <w:t>у</w:t>
      </w:r>
      <w:r w:rsidR="00054B55" w:rsidRPr="00295637">
        <w:rPr>
          <w:lang w:val="bs-Latn-BA"/>
        </w:rPr>
        <w:t xml:space="preserve"> </w:t>
      </w:r>
      <w:r>
        <w:rPr>
          <w:lang w:val="bs-Latn-BA"/>
        </w:rPr>
        <w:t>руралним</w:t>
      </w:r>
      <w:r w:rsidR="00054B55" w:rsidRPr="00295637">
        <w:rPr>
          <w:lang w:val="bs-Latn-BA"/>
        </w:rPr>
        <w:t xml:space="preserve"> </w:t>
      </w:r>
      <w:r>
        <w:rPr>
          <w:lang w:val="bs-Latn-BA"/>
        </w:rPr>
        <w:t>областима</w:t>
      </w:r>
      <w:r w:rsidR="00054B55" w:rsidRPr="00295637">
        <w:rPr>
          <w:lang w:val="bs-Latn-BA"/>
        </w:rPr>
        <w:t xml:space="preserve"> </w:t>
      </w:r>
      <w:r>
        <w:rPr>
          <w:lang w:val="bs-Latn-BA"/>
        </w:rPr>
        <w:t>и</w:t>
      </w:r>
      <w:r w:rsidR="00054B55" w:rsidRPr="00295637">
        <w:rPr>
          <w:lang w:val="bs-Latn-BA"/>
        </w:rPr>
        <w:t xml:space="preserve"> </w:t>
      </w:r>
      <w:r>
        <w:rPr>
          <w:lang w:val="bs-Latn-BA"/>
        </w:rPr>
        <w:t>повећање</w:t>
      </w:r>
      <w:r w:rsidR="00054B55" w:rsidRPr="00295637">
        <w:rPr>
          <w:lang w:val="bs-Latn-BA"/>
        </w:rPr>
        <w:t xml:space="preserve"> </w:t>
      </w:r>
      <w:r>
        <w:rPr>
          <w:lang w:val="bs-Latn-BA"/>
        </w:rPr>
        <w:t>броја</w:t>
      </w:r>
      <w:r w:rsidR="00054B55" w:rsidRPr="00295637">
        <w:rPr>
          <w:lang w:val="bs-Latn-BA"/>
        </w:rPr>
        <w:t xml:space="preserve"> </w:t>
      </w:r>
      <w:r>
        <w:rPr>
          <w:lang w:val="bs-Latn-BA"/>
        </w:rPr>
        <w:t>запослених</w:t>
      </w:r>
      <w:r w:rsidR="00054B55" w:rsidRPr="00295637">
        <w:rPr>
          <w:lang w:val="bs-Latn-BA"/>
        </w:rPr>
        <w:t xml:space="preserve"> </w:t>
      </w:r>
      <w:r>
        <w:rPr>
          <w:lang w:val="bs-Latn-BA"/>
        </w:rPr>
        <w:t>жена</w:t>
      </w:r>
      <w:r w:rsidR="00054B55" w:rsidRPr="00295637">
        <w:rPr>
          <w:lang w:val="bs-Latn-BA"/>
        </w:rPr>
        <w:t xml:space="preserve"> </w:t>
      </w:r>
      <w:r>
        <w:rPr>
          <w:lang w:val="bs-Latn-BA"/>
        </w:rPr>
        <w:t>кроз</w:t>
      </w:r>
      <w:r w:rsidR="00054B55" w:rsidRPr="00295637">
        <w:rPr>
          <w:lang w:val="bs-Latn-BA"/>
        </w:rPr>
        <w:t xml:space="preserve"> </w:t>
      </w:r>
      <w:r>
        <w:rPr>
          <w:lang w:val="bs-Latn-BA"/>
        </w:rPr>
        <w:t>покретање</w:t>
      </w:r>
      <w:r w:rsidR="00054B55" w:rsidRPr="00295637">
        <w:rPr>
          <w:lang w:val="bs-Latn-BA"/>
        </w:rPr>
        <w:t xml:space="preserve"> </w:t>
      </w:r>
      <w:r>
        <w:rPr>
          <w:lang w:val="bs-Latn-BA"/>
        </w:rPr>
        <w:t>властитих</w:t>
      </w:r>
      <w:r w:rsidR="00054B55" w:rsidRPr="00295637">
        <w:rPr>
          <w:lang w:val="bs-Latn-BA"/>
        </w:rPr>
        <w:t xml:space="preserve"> </w:t>
      </w:r>
      <w:r>
        <w:rPr>
          <w:lang w:val="bs-Latn-BA"/>
        </w:rPr>
        <w:t>пољопривредних</w:t>
      </w:r>
      <w:r w:rsidR="00054B55" w:rsidRPr="00295637">
        <w:rPr>
          <w:lang w:val="bs-Latn-BA"/>
        </w:rPr>
        <w:t xml:space="preserve"> </w:t>
      </w:r>
      <w:r>
        <w:rPr>
          <w:lang w:val="bs-Latn-BA"/>
        </w:rPr>
        <w:t>дјелатности</w:t>
      </w:r>
      <w:r w:rsidR="00054B55" w:rsidRPr="00295637">
        <w:rPr>
          <w:lang w:val="bs-Latn-BA"/>
        </w:rPr>
        <w:t xml:space="preserve">. </w:t>
      </w:r>
      <w:r>
        <w:rPr>
          <w:lang w:val="bs-Latn-BA"/>
        </w:rPr>
        <w:t>У</w:t>
      </w:r>
      <w:r w:rsidR="00054B55" w:rsidRPr="00295637">
        <w:rPr>
          <w:lang w:val="bs-Latn-BA"/>
        </w:rPr>
        <w:t xml:space="preserve"> </w:t>
      </w:r>
      <w:r>
        <w:rPr>
          <w:lang w:val="bs-Latn-BA"/>
        </w:rPr>
        <w:t>оквиру</w:t>
      </w:r>
      <w:r w:rsidR="00054B55" w:rsidRPr="00295637">
        <w:rPr>
          <w:lang w:val="bs-Latn-BA"/>
        </w:rPr>
        <w:t xml:space="preserve"> </w:t>
      </w:r>
      <w:r>
        <w:rPr>
          <w:lang w:val="bs-Latn-BA"/>
        </w:rPr>
        <w:t>Програма</w:t>
      </w:r>
      <w:r w:rsidR="00054B55" w:rsidRPr="00295637">
        <w:rPr>
          <w:lang w:val="bs-Latn-BA"/>
        </w:rPr>
        <w:t xml:space="preserve"> </w:t>
      </w:r>
      <w:r>
        <w:rPr>
          <w:lang w:val="bs-Latn-BA"/>
        </w:rPr>
        <w:t>суфинансирања</w:t>
      </w:r>
      <w:r w:rsidR="00054B55" w:rsidRPr="00295637">
        <w:rPr>
          <w:lang w:val="bs-Latn-BA"/>
        </w:rPr>
        <w:t xml:space="preserve"> </w:t>
      </w:r>
      <w:r>
        <w:rPr>
          <w:lang w:val="bs-Latn-BA"/>
        </w:rPr>
        <w:t>самозапошљавања</w:t>
      </w:r>
      <w:r w:rsidR="00054B55" w:rsidRPr="00295637">
        <w:rPr>
          <w:lang w:val="bs-Latn-BA"/>
        </w:rPr>
        <w:t xml:space="preserve"> </w:t>
      </w:r>
      <w:r>
        <w:rPr>
          <w:lang w:val="bs-Latn-BA"/>
        </w:rPr>
        <w:t>у</w:t>
      </w:r>
      <w:r w:rsidR="00054B55" w:rsidRPr="00295637">
        <w:rPr>
          <w:lang w:val="bs-Latn-BA"/>
        </w:rPr>
        <w:t xml:space="preserve"> </w:t>
      </w:r>
      <w:r>
        <w:rPr>
          <w:lang w:val="bs-Latn-BA"/>
        </w:rPr>
        <w:t>области</w:t>
      </w:r>
      <w:r w:rsidR="00054B55" w:rsidRPr="00295637">
        <w:rPr>
          <w:lang w:val="bs-Latn-BA"/>
        </w:rPr>
        <w:t xml:space="preserve"> </w:t>
      </w:r>
      <w:r>
        <w:rPr>
          <w:lang w:val="bs-Latn-BA"/>
        </w:rPr>
        <w:t>пољопривреде</w:t>
      </w:r>
      <w:r w:rsidR="00054B55" w:rsidRPr="00295637">
        <w:rPr>
          <w:lang w:val="bs-Latn-BA"/>
        </w:rPr>
        <w:t xml:space="preserve"> </w:t>
      </w:r>
      <w:r>
        <w:rPr>
          <w:lang w:val="bs-Latn-BA"/>
        </w:rPr>
        <w:t>у</w:t>
      </w:r>
      <w:r w:rsidR="00054B55" w:rsidRPr="00295637">
        <w:rPr>
          <w:lang w:val="bs-Latn-BA"/>
        </w:rPr>
        <w:t xml:space="preserve"> 2024. </w:t>
      </w:r>
      <w:r>
        <w:rPr>
          <w:lang w:val="bs-Latn-BA"/>
        </w:rPr>
        <w:t>години</w:t>
      </w:r>
      <w:r w:rsidR="00054B55" w:rsidRPr="00295637">
        <w:rPr>
          <w:lang w:val="bs-Latn-BA"/>
        </w:rPr>
        <w:t xml:space="preserve"> </w:t>
      </w:r>
      <w:r>
        <w:rPr>
          <w:lang w:val="bs-Latn-BA"/>
        </w:rPr>
        <w:t>обухваћена</w:t>
      </w:r>
      <w:r w:rsidR="00054B55" w:rsidRPr="00295637">
        <w:rPr>
          <w:lang w:val="bs-Latn-BA"/>
        </w:rPr>
        <w:t xml:space="preserve"> </w:t>
      </w:r>
      <w:r>
        <w:rPr>
          <w:lang w:val="bs-Latn-BA"/>
        </w:rPr>
        <w:t>су</w:t>
      </w:r>
      <w:r w:rsidR="00054B55" w:rsidRPr="00295637">
        <w:rPr>
          <w:lang w:val="bs-Latn-BA"/>
        </w:rPr>
        <w:t xml:space="preserve"> </w:t>
      </w:r>
      <w:r w:rsidR="00054B55" w:rsidRPr="00295637">
        <w:rPr>
          <w:rStyle w:val="Strong"/>
          <w:b w:val="0"/>
          <w:lang w:val="bs-Latn-BA"/>
        </w:rPr>
        <w:t xml:space="preserve">452 </w:t>
      </w:r>
      <w:r>
        <w:rPr>
          <w:rStyle w:val="Strong"/>
          <w:b w:val="0"/>
          <w:lang w:val="bs-Latn-BA"/>
        </w:rPr>
        <w:t>лица</w:t>
      </w:r>
      <w:r w:rsidR="00054B55" w:rsidRPr="00295637">
        <w:rPr>
          <w:lang w:val="bs-Latn-BA"/>
        </w:rPr>
        <w:t xml:space="preserve">, </w:t>
      </w:r>
      <w:r>
        <w:rPr>
          <w:lang w:val="bs-Latn-BA"/>
        </w:rPr>
        <w:t>од</w:t>
      </w:r>
      <w:r w:rsidR="00054B55" w:rsidRPr="00295637">
        <w:rPr>
          <w:lang w:val="bs-Latn-BA"/>
        </w:rPr>
        <w:t xml:space="preserve"> </w:t>
      </w:r>
      <w:r>
        <w:rPr>
          <w:lang w:val="bs-Latn-BA"/>
        </w:rPr>
        <w:t>чега</w:t>
      </w:r>
      <w:r w:rsidR="00054B55" w:rsidRPr="00295637">
        <w:rPr>
          <w:lang w:val="bs-Latn-BA"/>
        </w:rPr>
        <w:t xml:space="preserve"> </w:t>
      </w:r>
      <w:r w:rsidR="00054B55" w:rsidRPr="00295637">
        <w:rPr>
          <w:rStyle w:val="Strong"/>
          <w:b w:val="0"/>
          <w:lang w:val="bs-Latn-BA"/>
        </w:rPr>
        <w:t xml:space="preserve">180 </w:t>
      </w:r>
      <w:r>
        <w:rPr>
          <w:rStyle w:val="Strong"/>
          <w:b w:val="0"/>
          <w:lang w:val="bs-Latn-BA"/>
        </w:rPr>
        <w:t>жена</w:t>
      </w:r>
      <w:r w:rsidR="00054B55" w:rsidRPr="00295637">
        <w:rPr>
          <w:lang w:val="bs-Latn-BA"/>
        </w:rPr>
        <w:t xml:space="preserve">, </w:t>
      </w:r>
      <w:r>
        <w:rPr>
          <w:lang w:val="bs-Latn-BA"/>
        </w:rPr>
        <w:t>што</w:t>
      </w:r>
      <w:r w:rsidR="00054B55" w:rsidRPr="00295637">
        <w:rPr>
          <w:lang w:val="bs-Latn-BA"/>
        </w:rPr>
        <w:t xml:space="preserve"> </w:t>
      </w:r>
      <w:r>
        <w:rPr>
          <w:lang w:val="bs-Latn-BA"/>
        </w:rPr>
        <w:t>чини</w:t>
      </w:r>
      <w:r w:rsidR="00054B55" w:rsidRPr="00295637">
        <w:rPr>
          <w:lang w:val="bs-Latn-BA"/>
        </w:rPr>
        <w:t xml:space="preserve"> </w:t>
      </w:r>
      <w:r w:rsidR="00054B55" w:rsidRPr="00295637">
        <w:rPr>
          <w:rStyle w:val="Strong"/>
          <w:b w:val="0"/>
          <w:lang w:val="bs-Latn-BA"/>
        </w:rPr>
        <w:t>39,8%</w:t>
      </w:r>
      <w:r w:rsidR="00054B55" w:rsidRPr="00295637">
        <w:rPr>
          <w:lang w:val="bs-Latn-BA"/>
        </w:rPr>
        <w:t xml:space="preserve"> </w:t>
      </w:r>
      <w:r>
        <w:rPr>
          <w:lang w:val="bs-Latn-BA"/>
        </w:rPr>
        <w:t>учесница</w:t>
      </w:r>
      <w:r w:rsidR="00054B55" w:rsidRPr="00295637">
        <w:rPr>
          <w:lang w:val="bs-Latn-BA"/>
        </w:rPr>
        <w:t xml:space="preserve"> </w:t>
      </w:r>
      <w:r>
        <w:rPr>
          <w:lang w:val="bs-Latn-BA"/>
        </w:rPr>
        <w:t>у</w:t>
      </w:r>
      <w:r w:rsidR="00054B55" w:rsidRPr="00295637">
        <w:rPr>
          <w:lang w:val="bs-Latn-BA"/>
        </w:rPr>
        <w:t xml:space="preserve"> </w:t>
      </w:r>
      <w:r>
        <w:rPr>
          <w:lang w:val="bs-Latn-BA"/>
        </w:rPr>
        <w:t>овом</w:t>
      </w:r>
      <w:r w:rsidR="00054B55" w:rsidRPr="00295637">
        <w:rPr>
          <w:lang w:val="bs-Latn-BA"/>
        </w:rPr>
        <w:t xml:space="preserve"> </w:t>
      </w:r>
      <w:r>
        <w:rPr>
          <w:lang w:val="bs-Latn-BA"/>
        </w:rPr>
        <w:t>програму</w:t>
      </w:r>
      <w:r w:rsidR="00054B55" w:rsidRPr="00295637">
        <w:rPr>
          <w:lang w:val="bs-Latn-BA"/>
        </w:rPr>
        <w:t>.</w:t>
      </w:r>
    </w:p>
    <w:p w:rsidR="008D56A8" w:rsidRPr="00295637" w:rsidRDefault="008D56A8" w:rsidP="0086268D">
      <w:pPr>
        <w:pStyle w:val="NormalWeb"/>
        <w:spacing w:before="0" w:beforeAutospacing="0" w:after="0" w:afterAutospacing="0"/>
        <w:jc w:val="both"/>
        <w:rPr>
          <w:lang w:val="bs-Latn-BA"/>
        </w:rPr>
      </w:pPr>
    </w:p>
    <w:p w:rsidR="003547F5" w:rsidRPr="00295637" w:rsidRDefault="00C6214E" w:rsidP="0086268D">
      <w:pPr>
        <w:pStyle w:val="NormalWeb"/>
        <w:spacing w:before="0" w:beforeAutospacing="0" w:after="0" w:afterAutospacing="0"/>
        <w:jc w:val="both"/>
        <w:rPr>
          <w:lang w:val="bs-Latn-BA"/>
        </w:rPr>
      </w:pPr>
      <w:r>
        <w:rPr>
          <w:lang w:val="bs-Latn-BA"/>
        </w:rPr>
        <w:t>Реализ</w:t>
      </w:r>
      <w:r w:rsidR="00AE5809">
        <w:rPr>
          <w:lang w:val="sr-Cyrl-BA"/>
        </w:rPr>
        <w:t>овани</w:t>
      </w:r>
      <w:r w:rsidR="003547F5" w:rsidRPr="00295637">
        <w:rPr>
          <w:lang w:val="bs-Latn-BA"/>
        </w:rPr>
        <w:t xml:space="preserve"> </w:t>
      </w:r>
      <w:r>
        <w:rPr>
          <w:lang w:val="bs-Latn-BA"/>
        </w:rPr>
        <w:t>су</w:t>
      </w:r>
      <w:r w:rsidR="003547F5" w:rsidRPr="00295637">
        <w:rPr>
          <w:lang w:val="bs-Latn-BA"/>
        </w:rPr>
        <w:t xml:space="preserve"> </w:t>
      </w:r>
      <w:r>
        <w:rPr>
          <w:lang w:val="bs-Latn-BA"/>
        </w:rPr>
        <w:t>програми</w:t>
      </w:r>
      <w:r w:rsidR="003547F5" w:rsidRPr="00295637">
        <w:rPr>
          <w:lang w:val="bs-Latn-BA"/>
        </w:rPr>
        <w:t xml:space="preserve"> </w:t>
      </w:r>
      <w:r>
        <w:rPr>
          <w:lang w:val="bs-Latn-BA"/>
        </w:rPr>
        <w:t>обуке</w:t>
      </w:r>
      <w:r w:rsidR="003547F5" w:rsidRPr="00295637">
        <w:rPr>
          <w:lang w:val="bs-Latn-BA"/>
        </w:rPr>
        <w:t xml:space="preserve">, </w:t>
      </w:r>
      <w:r>
        <w:rPr>
          <w:lang w:val="bs-Latn-BA"/>
        </w:rPr>
        <w:t>стручног</w:t>
      </w:r>
      <w:r w:rsidR="003547F5" w:rsidRPr="00295637">
        <w:rPr>
          <w:lang w:val="bs-Latn-BA"/>
        </w:rPr>
        <w:t xml:space="preserve"> </w:t>
      </w:r>
      <w:r>
        <w:rPr>
          <w:lang w:val="bs-Latn-BA"/>
        </w:rPr>
        <w:t>оспособљавања</w:t>
      </w:r>
      <w:r w:rsidR="003547F5" w:rsidRPr="00295637">
        <w:rPr>
          <w:lang w:val="bs-Latn-BA"/>
        </w:rPr>
        <w:t xml:space="preserve"> </w:t>
      </w:r>
      <w:r>
        <w:rPr>
          <w:lang w:val="bs-Latn-BA"/>
        </w:rPr>
        <w:t>и</w:t>
      </w:r>
      <w:r w:rsidR="003547F5" w:rsidRPr="00295637">
        <w:rPr>
          <w:lang w:val="bs-Latn-BA"/>
        </w:rPr>
        <w:t xml:space="preserve"> </w:t>
      </w:r>
      <w:r>
        <w:rPr>
          <w:lang w:val="bs-Latn-BA"/>
        </w:rPr>
        <w:t>усавршавања</w:t>
      </w:r>
      <w:r w:rsidR="003547F5" w:rsidRPr="00295637">
        <w:rPr>
          <w:lang w:val="bs-Latn-BA"/>
        </w:rPr>
        <w:t xml:space="preserve"> </w:t>
      </w:r>
      <w:r>
        <w:rPr>
          <w:lang w:val="bs-Latn-BA"/>
        </w:rPr>
        <w:t>те</w:t>
      </w:r>
      <w:r w:rsidR="003547F5" w:rsidRPr="00295637">
        <w:rPr>
          <w:lang w:val="bs-Latn-BA"/>
        </w:rPr>
        <w:t xml:space="preserve"> </w:t>
      </w:r>
      <w:r>
        <w:rPr>
          <w:lang w:val="bs-Latn-BA"/>
        </w:rPr>
        <w:t>припреме</w:t>
      </w:r>
      <w:r w:rsidR="003547F5" w:rsidRPr="00295637">
        <w:rPr>
          <w:lang w:val="bs-Latn-BA"/>
        </w:rPr>
        <w:t xml:space="preserve"> </w:t>
      </w:r>
      <w:r>
        <w:rPr>
          <w:lang w:val="bs-Latn-BA"/>
        </w:rPr>
        <w:t>за</w:t>
      </w:r>
      <w:r w:rsidR="003547F5" w:rsidRPr="00295637">
        <w:rPr>
          <w:lang w:val="bs-Latn-BA"/>
        </w:rPr>
        <w:t xml:space="preserve"> </w:t>
      </w:r>
      <w:r>
        <w:rPr>
          <w:lang w:val="bs-Latn-BA"/>
        </w:rPr>
        <w:t>тржиште</w:t>
      </w:r>
      <w:r w:rsidR="003547F5" w:rsidRPr="00295637">
        <w:rPr>
          <w:lang w:val="bs-Latn-BA"/>
        </w:rPr>
        <w:t xml:space="preserve"> </w:t>
      </w:r>
      <w:r>
        <w:rPr>
          <w:lang w:val="bs-Latn-BA"/>
        </w:rPr>
        <w:t>рада</w:t>
      </w:r>
      <w:r w:rsidR="003547F5" w:rsidRPr="00295637">
        <w:rPr>
          <w:lang w:val="bs-Latn-BA"/>
        </w:rPr>
        <w:t xml:space="preserve"> </w:t>
      </w:r>
      <w:r>
        <w:rPr>
          <w:lang w:val="bs-Latn-BA"/>
        </w:rPr>
        <w:t>из</w:t>
      </w:r>
      <w:r w:rsidR="003547F5" w:rsidRPr="00295637">
        <w:rPr>
          <w:lang w:val="bs-Latn-BA"/>
        </w:rPr>
        <w:t xml:space="preserve"> </w:t>
      </w:r>
      <w:r>
        <w:rPr>
          <w:lang w:val="bs-Latn-BA"/>
        </w:rPr>
        <w:t>средстава</w:t>
      </w:r>
      <w:r w:rsidR="003547F5" w:rsidRPr="00295637">
        <w:rPr>
          <w:lang w:val="bs-Latn-BA"/>
        </w:rPr>
        <w:t xml:space="preserve"> </w:t>
      </w:r>
      <w:r>
        <w:rPr>
          <w:lang w:val="bs-Latn-BA"/>
        </w:rPr>
        <w:t>ФЗЗЗ</w:t>
      </w:r>
      <w:r w:rsidR="003547F5" w:rsidRPr="00295637">
        <w:rPr>
          <w:lang w:val="bs-Latn-BA"/>
        </w:rPr>
        <w:t xml:space="preserve"> </w:t>
      </w:r>
      <w:r>
        <w:rPr>
          <w:lang w:val="bs-Latn-BA"/>
        </w:rPr>
        <w:t>у</w:t>
      </w:r>
      <w:r w:rsidR="003547F5" w:rsidRPr="00295637">
        <w:rPr>
          <w:lang w:val="bs-Latn-BA"/>
        </w:rPr>
        <w:t xml:space="preserve"> 2024. </w:t>
      </w:r>
      <w:r>
        <w:rPr>
          <w:lang w:val="bs-Latn-BA"/>
        </w:rPr>
        <w:t>години</w:t>
      </w:r>
      <w:r w:rsidR="003547F5" w:rsidRPr="00295637">
        <w:rPr>
          <w:lang w:val="bs-Latn-BA"/>
        </w:rPr>
        <w:t xml:space="preserve">. </w:t>
      </w:r>
      <w:r>
        <w:rPr>
          <w:lang w:val="bs-Latn-BA"/>
        </w:rPr>
        <w:t>У</w:t>
      </w:r>
      <w:r w:rsidR="003547F5" w:rsidRPr="00295637">
        <w:rPr>
          <w:lang w:val="bs-Latn-BA"/>
        </w:rPr>
        <w:t xml:space="preserve"> </w:t>
      </w:r>
      <w:r>
        <w:rPr>
          <w:lang w:val="bs-Latn-BA"/>
        </w:rPr>
        <w:t>оквиру</w:t>
      </w:r>
      <w:r w:rsidR="003547F5" w:rsidRPr="00295637">
        <w:rPr>
          <w:lang w:val="bs-Latn-BA"/>
        </w:rPr>
        <w:t xml:space="preserve"> </w:t>
      </w:r>
      <w:r>
        <w:rPr>
          <w:lang w:val="bs-Latn-BA"/>
        </w:rPr>
        <w:t>ових</w:t>
      </w:r>
      <w:r w:rsidR="003547F5" w:rsidRPr="00295637">
        <w:rPr>
          <w:lang w:val="bs-Latn-BA"/>
        </w:rPr>
        <w:t xml:space="preserve"> </w:t>
      </w:r>
      <w:r>
        <w:rPr>
          <w:lang w:val="bs-Latn-BA"/>
        </w:rPr>
        <w:t>мјера</w:t>
      </w:r>
      <w:r w:rsidR="003547F5" w:rsidRPr="00295637">
        <w:rPr>
          <w:lang w:val="bs-Latn-BA"/>
        </w:rPr>
        <w:t xml:space="preserve"> </w:t>
      </w:r>
      <w:r>
        <w:rPr>
          <w:lang w:val="bs-Latn-BA"/>
        </w:rPr>
        <w:t>обухваћено</w:t>
      </w:r>
      <w:r w:rsidR="003547F5" w:rsidRPr="00295637">
        <w:rPr>
          <w:lang w:val="bs-Latn-BA"/>
        </w:rPr>
        <w:t xml:space="preserve"> </w:t>
      </w:r>
      <w:r>
        <w:rPr>
          <w:lang w:val="bs-Latn-BA"/>
        </w:rPr>
        <w:t>је</w:t>
      </w:r>
      <w:r w:rsidR="003547F5" w:rsidRPr="00295637">
        <w:rPr>
          <w:lang w:val="bs-Latn-BA"/>
        </w:rPr>
        <w:t xml:space="preserve"> </w:t>
      </w:r>
      <w:r>
        <w:rPr>
          <w:lang w:val="bs-Latn-BA"/>
        </w:rPr>
        <w:t>укупно</w:t>
      </w:r>
      <w:r w:rsidR="003547F5" w:rsidRPr="00295637">
        <w:rPr>
          <w:lang w:val="bs-Latn-BA"/>
        </w:rPr>
        <w:t xml:space="preserve"> </w:t>
      </w:r>
      <w:r w:rsidR="003547F5" w:rsidRPr="00295637">
        <w:rPr>
          <w:rStyle w:val="Strong"/>
          <w:b w:val="0"/>
          <w:lang w:val="bs-Latn-BA"/>
        </w:rPr>
        <w:t xml:space="preserve">211 </w:t>
      </w:r>
      <w:r>
        <w:rPr>
          <w:rStyle w:val="Strong"/>
          <w:b w:val="0"/>
          <w:lang w:val="bs-Latn-BA"/>
        </w:rPr>
        <w:t>жена</w:t>
      </w:r>
      <w:r w:rsidR="003547F5" w:rsidRPr="00295637">
        <w:rPr>
          <w:lang w:val="bs-Latn-BA"/>
        </w:rPr>
        <w:t xml:space="preserve"> (68,3%) </w:t>
      </w:r>
      <w:r>
        <w:rPr>
          <w:lang w:val="bs-Latn-BA"/>
        </w:rPr>
        <w:t>обуком</w:t>
      </w:r>
      <w:r w:rsidR="003547F5" w:rsidRPr="00295637">
        <w:rPr>
          <w:lang w:val="bs-Latn-BA"/>
        </w:rPr>
        <w:t xml:space="preserve"> </w:t>
      </w:r>
      <w:r>
        <w:rPr>
          <w:lang w:val="bs-Latn-BA"/>
        </w:rPr>
        <w:t>уз</w:t>
      </w:r>
      <w:r w:rsidR="003547F5" w:rsidRPr="00295637">
        <w:rPr>
          <w:lang w:val="bs-Latn-BA"/>
        </w:rPr>
        <w:t xml:space="preserve"> </w:t>
      </w:r>
      <w:r>
        <w:rPr>
          <w:lang w:val="bs-Latn-BA"/>
        </w:rPr>
        <w:t>рад</w:t>
      </w:r>
      <w:r w:rsidR="003547F5" w:rsidRPr="00295637">
        <w:rPr>
          <w:lang w:val="bs-Latn-BA"/>
        </w:rPr>
        <w:t xml:space="preserve">, </w:t>
      </w:r>
      <w:r>
        <w:rPr>
          <w:lang w:val="bs-Latn-BA"/>
        </w:rPr>
        <w:t>док</w:t>
      </w:r>
      <w:r w:rsidR="003547F5" w:rsidRPr="00295637">
        <w:rPr>
          <w:lang w:val="bs-Latn-BA"/>
        </w:rPr>
        <w:t xml:space="preserve"> </w:t>
      </w:r>
      <w:r>
        <w:rPr>
          <w:lang w:val="bs-Latn-BA"/>
        </w:rPr>
        <w:t>је</w:t>
      </w:r>
      <w:r w:rsidR="003547F5" w:rsidRPr="00295637">
        <w:rPr>
          <w:lang w:val="bs-Latn-BA"/>
        </w:rPr>
        <w:t xml:space="preserve"> </w:t>
      </w:r>
      <w:r w:rsidR="003547F5" w:rsidRPr="00295637">
        <w:rPr>
          <w:rStyle w:val="Strong"/>
          <w:b w:val="0"/>
          <w:lang w:val="bs-Latn-BA"/>
        </w:rPr>
        <w:t xml:space="preserve">855 </w:t>
      </w:r>
      <w:r>
        <w:rPr>
          <w:rStyle w:val="Strong"/>
          <w:b w:val="0"/>
          <w:lang w:val="bs-Latn-BA"/>
        </w:rPr>
        <w:t>жена</w:t>
      </w:r>
      <w:r w:rsidR="003547F5" w:rsidRPr="00295637">
        <w:rPr>
          <w:lang w:val="bs-Latn-BA"/>
        </w:rPr>
        <w:t xml:space="preserve"> (89,0%) </w:t>
      </w:r>
      <w:r>
        <w:rPr>
          <w:lang w:val="bs-Latn-BA"/>
        </w:rPr>
        <w:t>прошло</w:t>
      </w:r>
      <w:r w:rsidR="003547F5" w:rsidRPr="00295637">
        <w:rPr>
          <w:lang w:val="bs-Latn-BA"/>
        </w:rPr>
        <w:t xml:space="preserve"> </w:t>
      </w:r>
      <w:r>
        <w:rPr>
          <w:lang w:val="bs-Latn-BA"/>
        </w:rPr>
        <w:t>обуку</w:t>
      </w:r>
      <w:r w:rsidR="003547F5" w:rsidRPr="00295637">
        <w:rPr>
          <w:lang w:val="bs-Latn-BA"/>
        </w:rPr>
        <w:t xml:space="preserve"> </w:t>
      </w:r>
      <w:r>
        <w:rPr>
          <w:lang w:val="bs-Latn-BA"/>
        </w:rPr>
        <w:t>за</w:t>
      </w:r>
      <w:r w:rsidR="003547F5" w:rsidRPr="00295637">
        <w:rPr>
          <w:lang w:val="bs-Latn-BA"/>
        </w:rPr>
        <w:t xml:space="preserve"> </w:t>
      </w:r>
      <w:r>
        <w:rPr>
          <w:lang w:val="bs-Latn-BA"/>
        </w:rPr>
        <w:t>тржиште</w:t>
      </w:r>
      <w:r w:rsidR="003547F5" w:rsidRPr="00295637">
        <w:rPr>
          <w:lang w:val="bs-Latn-BA"/>
        </w:rPr>
        <w:t xml:space="preserve"> </w:t>
      </w:r>
      <w:r>
        <w:rPr>
          <w:lang w:val="bs-Latn-BA"/>
        </w:rPr>
        <w:t>рада</w:t>
      </w:r>
      <w:r w:rsidR="003547F5" w:rsidRPr="00295637">
        <w:rPr>
          <w:lang w:val="bs-Latn-BA"/>
        </w:rPr>
        <w:t>.</w:t>
      </w:r>
    </w:p>
    <w:p w:rsidR="005C6533" w:rsidRPr="00295637" w:rsidRDefault="005C6533" w:rsidP="0086268D">
      <w:pPr>
        <w:pStyle w:val="NormalWeb"/>
        <w:spacing w:before="0" w:beforeAutospacing="0" w:after="0" w:afterAutospacing="0"/>
        <w:jc w:val="both"/>
        <w:rPr>
          <w:lang w:val="bs-Latn-BA"/>
        </w:rPr>
      </w:pPr>
    </w:p>
    <w:p w:rsidR="000A0D35" w:rsidRPr="00295637" w:rsidRDefault="00C6214E" w:rsidP="0086268D">
      <w:pPr>
        <w:pStyle w:val="HTMLPreformatted"/>
        <w:jc w:val="both"/>
        <w:rPr>
          <w:rFonts w:ascii="inherit" w:hAnsi="inherit"/>
          <w:color w:val="1F1F1F"/>
          <w:sz w:val="24"/>
          <w:szCs w:val="24"/>
          <w:lang w:val="en-US"/>
        </w:rPr>
      </w:pPr>
      <w:r>
        <w:rPr>
          <w:rStyle w:val="y2iqfc"/>
          <w:rFonts w:ascii="inherit" w:hAnsi="inherit"/>
          <w:sz w:val="24"/>
          <w:szCs w:val="24"/>
        </w:rPr>
        <w:t>Као</w:t>
      </w:r>
      <w:r w:rsidR="000A0D35" w:rsidRPr="00136128">
        <w:rPr>
          <w:rStyle w:val="y2iqfc"/>
          <w:rFonts w:ascii="inherit" w:hAnsi="inherit"/>
          <w:sz w:val="24"/>
          <w:szCs w:val="24"/>
        </w:rPr>
        <w:t xml:space="preserve"> </w:t>
      </w:r>
      <w:r>
        <w:rPr>
          <w:rStyle w:val="y2iqfc"/>
          <w:rFonts w:ascii="inherit" w:hAnsi="inherit"/>
          <w:sz w:val="24"/>
          <w:szCs w:val="24"/>
        </w:rPr>
        <w:t>одговор</w:t>
      </w:r>
      <w:r w:rsidR="000A0D35" w:rsidRPr="00136128">
        <w:rPr>
          <w:rStyle w:val="y2iqfc"/>
          <w:rFonts w:ascii="inherit" w:hAnsi="inherit"/>
          <w:sz w:val="24"/>
          <w:szCs w:val="24"/>
        </w:rPr>
        <w:t xml:space="preserve"> </w:t>
      </w:r>
      <w:r>
        <w:rPr>
          <w:rStyle w:val="y2iqfc"/>
          <w:rFonts w:ascii="inherit" w:hAnsi="inherit"/>
          <w:sz w:val="24"/>
          <w:szCs w:val="24"/>
        </w:rPr>
        <w:t>на</w:t>
      </w:r>
      <w:r w:rsidR="000A0D35" w:rsidRPr="00136128">
        <w:rPr>
          <w:rStyle w:val="y2iqfc"/>
          <w:rFonts w:ascii="inherit" w:hAnsi="inherit"/>
          <w:sz w:val="24"/>
          <w:szCs w:val="24"/>
        </w:rPr>
        <w:t xml:space="preserve"> </w:t>
      </w:r>
      <w:r>
        <w:rPr>
          <w:rStyle w:val="y2iqfc"/>
          <w:rFonts w:ascii="inherit" w:hAnsi="inherit"/>
          <w:sz w:val="24"/>
          <w:szCs w:val="24"/>
        </w:rPr>
        <w:t>растућу</w:t>
      </w:r>
      <w:r w:rsidR="000A0D35" w:rsidRPr="00136128">
        <w:rPr>
          <w:rStyle w:val="y2iqfc"/>
          <w:rFonts w:ascii="inherit" w:hAnsi="inherit"/>
          <w:sz w:val="24"/>
          <w:szCs w:val="24"/>
        </w:rPr>
        <w:t xml:space="preserve"> </w:t>
      </w:r>
      <w:r>
        <w:rPr>
          <w:rStyle w:val="y2iqfc"/>
          <w:rFonts w:ascii="inherit" w:hAnsi="inherit"/>
          <w:sz w:val="24"/>
          <w:szCs w:val="24"/>
        </w:rPr>
        <w:t>потражњу</w:t>
      </w:r>
      <w:r w:rsidR="000A0D35" w:rsidRPr="00136128">
        <w:rPr>
          <w:rStyle w:val="y2iqfc"/>
          <w:rFonts w:ascii="inherit" w:hAnsi="inherit"/>
          <w:sz w:val="24"/>
          <w:szCs w:val="24"/>
        </w:rPr>
        <w:t xml:space="preserve"> </w:t>
      </w:r>
      <w:r>
        <w:rPr>
          <w:rStyle w:val="y2iqfc"/>
          <w:rFonts w:ascii="inherit" w:hAnsi="inherit"/>
          <w:sz w:val="24"/>
          <w:szCs w:val="24"/>
        </w:rPr>
        <w:t>за</w:t>
      </w:r>
      <w:r w:rsidR="000A0D35" w:rsidRPr="00136128">
        <w:rPr>
          <w:rStyle w:val="y2iqfc"/>
          <w:rFonts w:ascii="inherit" w:hAnsi="inherit"/>
          <w:sz w:val="24"/>
          <w:szCs w:val="24"/>
        </w:rPr>
        <w:t xml:space="preserve"> </w:t>
      </w:r>
      <w:r>
        <w:rPr>
          <w:rStyle w:val="y2iqfc"/>
          <w:rFonts w:ascii="inherit" w:hAnsi="inherit"/>
          <w:sz w:val="24"/>
          <w:szCs w:val="24"/>
        </w:rPr>
        <w:t>његом</w:t>
      </w:r>
      <w:r w:rsidR="000A0D35" w:rsidRPr="00136128">
        <w:rPr>
          <w:rStyle w:val="y2iqfc"/>
          <w:rFonts w:ascii="inherit" w:hAnsi="inherit"/>
          <w:sz w:val="24"/>
          <w:szCs w:val="24"/>
        </w:rPr>
        <w:t xml:space="preserve"> </w:t>
      </w:r>
      <w:r>
        <w:rPr>
          <w:rStyle w:val="y2iqfc"/>
          <w:rFonts w:ascii="inherit" w:hAnsi="inherit"/>
          <w:sz w:val="24"/>
          <w:szCs w:val="24"/>
        </w:rPr>
        <w:t>старијих</w:t>
      </w:r>
      <w:r w:rsidR="000A0D35" w:rsidRPr="00136128">
        <w:rPr>
          <w:rStyle w:val="y2iqfc"/>
          <w:rFonts w:ascii="inherit" w:hAnsi="inherit"/>
          <w:sz w:val="24"/>
          <w:szCs w:val="24"/>
        </w:rPr>
        <w:t xml:space="preserve"> </w:t>
      </w:r>
      <w:r>
        <w:rPr>
          <w:rStyle w:val="y2iqfc"/>
          <w:rFonts w:ascii="inherit" w:hAnsi="inherit"/>
          <w:sz w:val="24"/>
          <w:szCs w:val="24"/>
        </w:rPr>
        <w:t>лица</w:t>
      </w:r>
      <w:r w:rsidR="000A0D35" w:rsidRPr="00136128">
        <w:rPr>
          <w:rStyle w:val="y2iqfc"/>
          <w:rFonts w:ascii="inherit" w:hAnsi="inherit"/>
          <w:sz w:val="24"/>
          <w:szCs w:val="24"/>
        </w:rPr>
        <w:t xml:space="preserve"> </w:t>
      </w:r>
      <w:r>
        <w:rPr>
          <w:rStyle w:val="y2iqfc"/>
          <w:rFonts w:ascii="inherit" w:hAnsi="inherit"/>
          <w:sz w:val="24"/>
          <w:szCs w:val="24"/>
        </w:rPr>
        <w:t>и</w:t>
      </w:r>
      <w:r w:rsidR="000A0D35" w:rsidRPr="00136128">
        <w:rPr>
          <w:rStyle w:val="y2iqfc"/>
          <w:rFonts w:ascii="inherit" w:hAnsi="inherit"/>
          <w:sz w:val="24"/>
          <w:szCs w:val="24"/>
        </w:rPr>
        <w:t xml:space="preserve"> </w:t>
      </w:r>
      <w:r>
        <w:rPr>
          <w:rStyle w:val="y2iqfc"/>
          <w:rFonts w:ascii="inherit" w:hAnsi="inherit"/>
          <w:sz w:val="24"/>
          <w:szCs w:val="24"/>
        </w:rPr>
        <w:t>дуготрајну</w:t>
      </w:r>
      <w:r w:rsidR="000A0D35" w:rsidRPr="00136128">
        <w:rPr>
          <w:rStyle w:val="y2iqfc"/>
          <w:rFonts w:ascii="inherit" w:hAnsi="inherit"/>
          <w:sz w:val="24"/>
          <w:szCs w:val="24"/>
        </w:rPr>
        <w:t xml:space="preserve"> </w:t>
      </w:r>
      <w:r>
        <w:rPr>
          <w:rStyle w:val="y2iqfc"/>
          <w:rFonts w:ascii="inherit" w:hAnsi="inherit"/>
          <w:sz w:val="24"/>
          <w:szCs w:val="24"/>
        </w:rPr>
        <w:t>искљученост</w:t>
      </w:r>
      <w:r w:rsidR="000A0D35" w:rsidRPr="00136128">
        <w:rPr>
          <w:rStyle w:val="y2iqfc"/>
          <w:rFonts w:ascii="inherit" w:hAnsi="inherit"/>
          <w:sz w:val="24"/>
          <w:szCs w:val="24"/>
        </w:rPr>
        <w:t xml:space="preserve"> </w:t>
      </w:r>
      <w:r>
        <w:rPr>
          <w:rStyle w:val="y2iqfc"/>
          <w:rFonts w:ascii="inherit" w:hAnsi="inherit"/>
          <w:sz w:val="24"/>
          <w:szCs w:val="24"/>
        </w:rPr>
        <w:t>жена</w:t>
      </w:r>
      <w:r w:rsidR="000A0D35" w:rsidRPr="00136128">
        <w:rPr>
          <w:rStyle w:val="y2iqfc"/>
          <w:rFonts w:ascii="inherit" w:hAnsi="inherit"/>
          <w:sz w:val="24"/>
          <w:szCs w:val="24"/>
        </w:rPr>
        <w:t xml:space="preserve"> </w:t>
      </w:r>
      <w:r>
        <w:rPr>
          <w:rStyle w:val="y2iqfc"/>
          <w:rFonts w:ascii="inherit" w:hAnsi="inherit"/>
          <w:sz w:val="24"/>
          <w:szCs w:val="24"/>
        </w:rPr>
        <w:t>из</w:t>
      </w:r>
      <w:r w:rsidR="000A0D35" w:rsidRPr="00136128">
        <w:rPr>
          <w:rStyle w:val="y2iqfc"/>
          <w:rFonts w:ascii="inherit" w:hAnsi="inherit"/>
          <w:sz w:val="24"/>
          <w:szCs w:val="24"/>
        </w:rPr>
        <w:t xml:space="preserve"> </w:t>
      </w:r>
      <w:r>
        <w:rPr>
          <w:rStyle w:val="y2iqfc"/>
          <w:rFonts w:ascii="inherit" w:hAnsi="inherit"/>
          <w:sz w:val="24"/>
          <w:szCs w:val="24"/>
        </w:rPr>
        <w:t>формалног</w:t>
      </w:r>
      <w:r w:rsidR="000A0D35" w:rsidRPr="00136128">
        <w:rPr>
          <w:rStyle w:val="y2iqfc"/>
          <w:rFonts w:ascii="inherit" w:hAnsi="inherit"/>
          <w:sz w:val="24"/>
          <w:szCs w:val="24"/>
        </w:rPr>
        <w:t xml:space="preserve"> </w:t>
      </w:r>
      <w:r>
        <w:rPr>
          <w:rStyle w:val="y2iqfc"/>
          <w:rFonts w:ascii="inherit" w:hAnsi="inherit"/>
          <w:sz w:val="24"/>
          <w:szCs w:val="24"/>
        </w:rPr>
        <w:t>тржишта</w:t>
      </w:r>
      <w:r w:rsidR="000A0D35" w:rsidRPr="00136128">
        <w:rPr>
          <w:rStyle w:val="y2iqfc"/>
          <w:rFonts w:ascii="inherit" w:hAnsi="inherit"/>
          <w:sz w:val="24"/>
          <w:szCs w:val="24"/>
        </w:rPr>
        <w:t xml:space="preserve"> </w:t>
      </w:r>
      <w:r>
        <w:rPr>
          <w:rStyle w:val="y2iqfc"/>
          <w:rFonts w:ascii="inherit" w:hAnsi="inherit"/>
          <w:sz w:val="24"/>
          <w:szCs w:val="24"/>
        </w:rPr>
        <w:t>рада</w:t>
      </w:r>
      <w:r w:rsidR="000A0D35" w:rsidRPr="00136128">
        <w:rPr>
          <w:rStyle w:val="y2iqfc"/>
          <w:rFonts w:ascii="inherit" w:hAnsi="inherit"/>
          <w:sz w:val="24"/>
          <w:szCs w:val="24"/>
        </w:rPr>
        <w:t xml:space="preserve">, </w:t>
      </w:r>
      <w:r w:rsidR="00AE5809" w:rsidRPr="00AE5809">
        <w:rPr>
          <w:rFonts w:ascii="inherit" w:hAnsi="inherit"/>
          <w:i/>
          <w:sz w:val="24"/>
          <w:szCs w:val="24"/>
          <w:lang w:val="hr-BA"/>
        </w:rPr>
        <w:t xml:space="preserve">UN Women </w:t>
      </w:r>
      <w:r>
        <w:rPr>
          <w:rStyle w:val="y2iqfc"/>
          <w:rFonts w:ascii="inherit" w:hAnsi="inherit"/>
          <w:sz w:val="24"/>
          <w:szCs w:val="24"/>
        </w:rPr>
        <w:t>је</w:t>
      </w:r>
      <w:r w:rsidR="000A0D35" w:rsidRPr="00136128">
        <w:rPr>
          <w:rStyle w:val="y2iqfc"/>
          <w:rFonts w:ascii="inherit" w:hAnsi="inherit"/>
          <w:sz w:val="24"/>
          <w:szCs w:val="24"/>
        </w:rPr>
        <w:t xml:space="preserve"> </w:t>
      </w:r>
      <w:r>
        <w:rPr>
          <w:rStyle w:val="y2iqfc"/>
          <w:rFonts w:ascii="inherit" w:hAnsi="inherit"/>
          <w:sz w:val="24"/>
          <w:szCs w:val="24"/>
        </w:rPr>
        <w:t>пружио</w:t>
      </w:r>
      <w:r w:rsidR="000A0D35" w:rsidRPr="00136128">
        <w:rPr>
          <w:rStyle w:val="y2iqfc"/>
          <w:rFonts w:ascii="inherit" w:hAnsi="inherit"/>
          <w:sz w:val="24"/>
          <w:szCs w:val="24"/>
        </w:rPr>
        <w:t xml:space="preserve"> </w:t>
      </w:r>
      <w:r>
        <w:rPr>
          <w:rStyle w:val="y2iqfc"/>
          <w:rFonts w:ascii="inherit" w:hAnsi="inherit"/>
          <w:sz w:val="24"/>
          <w:szCs w:val="24"/>
        </w:rPr>
        <w:t>подршку</w:t>
      </w:r>
      <w:r w:rsidR="000A0D35" w:rsidRPr="00136128">
        <w:rPr>
          <w:rStyle w:val="y2iqfc"/>
          <w:rFonts w:ascii="inherit" w:hAnsi="inherit"/>
          <w:sz w:val="24"/>
          <w:szCs w:val="24"/>
        </w:rPr>
        <w:t xml:space="preserve"> </w:t>
      </w:r>
      <w:r>
        <w:rPr>
          <w:rStyle w:val="y2iqfc"/>
          <w:rFonts w:ascii="inherit" w:hAnsi="inherit"/>
          <w:sz w:val="24"/>
          <w:szCs w:val="24"/>
        </w:rPr>
        <w:t>развоју</w:t>
      </w:r>
      <w:r w:rsidR="000A0D35" w:rsidRPr="00136128">
        <w:rPr>
          <w:rStyle w:val="y2iqfc"/>
          <w:rFonts w:ascii="inherit" w:hAnsi="inherit"/>
          <w:sz w:val="24"/>
          <w:szCs w:val="24"/>
        </w:rPr>
        <w:t xml:space="preserve"> </w:t>
      </w:r>
      <w:r>
        <w:rPr>
          <w:rStyle w:val="y2iqfc"/>
          <w:rFonts w:ascii="inherit" w:hAnsi="inherit"/>
          <w:sz w:val="24"/>
          <w:szCs w:val="24"/>
        </w:rPr>
        <w:t>и</w:t>
      </w:r>
      <w:r w:rsidR="000A0D35" w:rsidRPr="00136128">
        <w:rPr>
          <w:rStyle w:val="y2iqfc"/>
          <w:rFonts w:ascii="inherit" w:hAnsi="inherit"/>
          <w:sz w:val="24"/>
          <w:szCs w:val="24"/>
        </w:rPr>
        <w:t xml:space="preserve"> </w:t>
      </w:r>
      <w:r>
        <w:rPr>
          <w:rStyle w:val="y2iqfc"/>
          <w:rFonts w:ascii="inherit" w:hAnsi="inherit"/>
          <w:sz w:val="24"/>
          <w:szCs w:val="24"/>
        </w:rPr>
        <w:t>пилотирању</w:t>
      </w:r>
      <w:r w:rsidR="000A0D35" w:rsidRPr="00136128">
        <w:rPr>
          <w:rStyle w:val="y2iqfc"/>
          <w:rFonts w:ascii="inherit" w:hAnsi="inherit"/>
          <w:sz w:val="24"/>
          <w:szCs w:val="24"/>
        </w:rPr>
        <w:t xml:space="preserve"> </w:t>
      </w:r>
      <w:r>
        <w:rPr>
          <w:rStyle w:val="y2iqfc"/>
          <w:rFonts w:ascii="inherit" w:hAnsi="inherit"/>
          <w:sz w:val="24"/>
          <w:szCs w:val="24"/>
        </w:rPr>
        <w:t>модела</w:t>
      </w:r>
      <w:r w:rsidR="000A0D35" w:rsidRPr="00136128">
        <w:rPr>
          <w:rStyle w:val="y2iqfc"/>
          <w:rFonts w:ascii="inherit" w:hAnsi="inherit"/>
          <w:sz w:val="24"/>
          <w:szCs w:val="24"/>
        </w:rPr>
        <w:t xml:space="preserve"> „</w:t>
      </w:r>
      <w:r>
        <w:rPr>
          <w:rStyle w:val="y2iqfc"/>
          <w:rFonts w:ascii="inherit" w:hAnsi="inherit"/>
          <w:sz w:val="24"/>
          <w:szCs w:val="24"/>
        </w:rPr>
        <w:t>Геронтодомаћице</w:t>
      </w:r>
      <w:r w:rsidR="000A0D35" w:rsidRPr="00136128">
        <w:rPr>
          <w:rStyle w:val="y2iqfc"/>
          <w:rFonts w:ascii="inherit" w:hAnsi="inherit"/>
          <w:sz w:val="24"/>
          <w:szCs w:val="24"/>
        </w:rPr>
        <w:t xml:space="preserve">“. </w:t>
      </w:r>
      <w:r>
        <w:rPr>
          <w:rStyle w:val="y2iqfc"/>
          <w:rFonts w:ascii="inherit" w:hAnsi="inherit"/>
          <w:sz w:val="24"/>
          <w:szCs w:val="24"/>
        </w:rPr>
        <w:t>Овај</w:t>
      </w:r>
      <w:r w:rsidR="000A0D35" w:rsidRPr="00136128">
        <w:rPr>
          <w:rStyle w:val="y2iqfc"/>
          <w:rFonts w:ascii="inherit" w:hAnsi="inherit"/>
          <w:sz w:val="24"/>
          <w:szCs w:val="24"/>
        </w:rPr>
        <w:t xml:space="preserve"> </w:t>
      </w:r>
      <w:r>
        <w:rPr>
          <w:rStyle w:val="y2iqfc"/>
          <w:rFonts w:ascii="inherit" w:hAnsi="inherit"/>
          <w:sz w:val="24"/>
          <w:szCs w:val="24"/>
        </w:rPr>
        <w:t>иновативни</w:t>
      </w:r>
      <w:r w:rsidR="000A0D35" w:rsidRPr="00136128">
        <w:rPr>
          <w:rStyle w:val="y2iqfc"/>
          <w:rFonts w:ascii="inherit" w:hAnsi="inherit"/>
          <w:sz w:val="24"/>
          <w:szCs w:val="24"/>
        </w:rPr>
        <w:t xml:space="preserve"> </w:t>
      </w:r>
      <w:r>
        <w:rPr>
          <w:rStyle w:val="y2iqfc"/>
          <w:rFonts w:ascii="inherit" w:hAnsi="inherit"/>
          <w:sz w:val="24"/>
          <w:szCs w:val="24"/>
        </w:rPr>
        <w:t>приступ</w:t>
      </w:r>
      <w:r w:rsidR="000A0D35" w:rsidRPr="00136128">
        <w:rPr>
          <w:rStyle w:val="y2iqfc"/>
          <w:rFonts w:ascii="inherit" w:hAnsi="inherit"/>
          <w:sz w:val="24"/>
          <w:szCs w:val="24"/>
        </w:rPr>
        <w:t xml:space="preserve"> </w:t>
      </w:r>
      <w:r>
        <w:rPr>
          <w:rStyle w:val="y2iqfc"/>
          <w:rFonts w:ascii="inherit" w:hAnsi="inherit"/>
          <w:sz w:val="24"/>
          <w:szCs w:val="24"/>
        </w:rPr>
        <w:t>истовремено</w:t>
      </w:r>
      <w:r w:rsidR="000A0D35" w:rsidRPr="00136128">
        <w:rPr>
          <w:rStyle w:val="y2iqfc"/>
          <w:rFonts w:ascii="inherit" w:hAnsi="inherit"/>
          <w:sz w:val="24"/>
          <w:szCs w:val="24"/>
        </w:rPr>
        <w:t xml:space="preserve"> </w:t>
      </w:r>
      <w:r>
        <w:rPr>
          <w:rStyle w:val="y2iqfc"/>
          <w:rFonts w:ascii="inherit" w:hAnsi="inherit"/>
          <w:sz w:val="24"/>
          <w:szCs w:val="24"/>
        </w:rPr>
        <w:t>адресира</w:t>
      </w:r>
      <w:r w:rsidR="008359BD" w:rsidRPr="00136128">
        <w:rPr>
          <w:rStyle w:val="y2iqfc"/>
          <w:rFonts w:ascii="inherit" w:hAnsi="inherit"/>
          <w:sz w:val="24"/>
          <w:szCs w:val="24"/>
        </w:rPr>
        <w:t xml:space="preserve"> </w:t>
      </w:r>
      <w:r>
        <w:rPr>
          <w:rStyle w:val="y2iqfc"/>
          <w:rFonts w:ascii="inherit" w:hAnsi="inherit"/>
          <w:sz w:val="24"/>
          <w:szCs w:val="24"/>
        </w:rPr>
        <w:t>два</w:t>
      </w:r>
      <w:r w:rsidR="000A0D35" w:rsidRPr="00136128">
        <w:rPr>
          <w:rStyle w:val="y2iqfc"/>
          <w:rFonts w:ascii="inherit" w:hAnsi="inherit"/>
          <w:sz w:val="24"/>
          <w:szCs w:val="24"/>
        </w:rPr>
        <w:t xml:space="preserve"> </w:t>
      </w:r>
      <w:r>
        <w:rPr>
          <w:rStyle w:val="y2iqfc"/>
          <w:rFonts w:ascii="inherit" w:hAnsi="inherit"/>
          <w:sz w:val="24"/>
          <w:szCs w:val="24"/>
        </w:rPr>
        <w:t>критична</w:t>
      </w:r>
      <w:r w:rsidR="008359BD" w:rsidRPr="00136128">
        <w:rPr>
          <w:rStyle w:val="y2iqfc"/>
          <w:rFonts w:ascii="inherit" w:hAnsi="inherit"/>
          <w:sz w:val="24"/>
          <w:szCs w:val="24"/>
        </w:rPr>
        <w:t xml:space="preserve"> </w:t>
      </w:r>
      <w:r>
        <w:rPr>
          <w:rStyle w:val="y2iqfc"/>
          <w:rFonts w:ascii="inherit" w:hAnsi="inherit"/>
          <w:sz w:val="24"/>
          <w:szCs w:val="24"/>
        </w:rPr>
        <w:t>изазова</w:t>
      </w:r>
      <w:r w:rsidR="000A0D35" w:rsidRPr="00136128">
        <w:rPr>
          <w:rStyle w:val="y2iqfc"/>
          <w:rFonts w:ascii="inherit" w:hAnsi="inherit"/>
          <w:sz w:val="24"/>
          <w:szCs w:val="24"/>
        </w:rPr>
        <w:t xml:space="preserve">: </w:t>
      </w:r>
      <w:r>
        <w:rPr>
          <w:rStyle w:val="y2iqfc"/>
          <w:rFonts w:ascii="inherit" w:hAnsi="inherit"/>
          <w:sz w:val="24"/>
          <w:szCs w:val="24"/>
        </w:rPr>
        <w:t>потребама</w:t>
      </w:r>
      <w:r w:rsidR="000A0D35" w:rsidRPr="00136128">
        <w:rPr>
          <w:rStyle w:val="y2iqfc"/>
          <w:rFonts w:ascii="inherit" w:hAnsi="inherit"/>
          <w:sz w:val="24"/>
          <w:szCs w:val="24"/>
        </w:rPr>
        <w:t xml:space="preserve"> </w:t>
      </w:r>
      <w:r>
        <w:rPr>
          <w:rStyle w:val="y2iqfc"/>
          <w:rFonts w:ascii="inherit" w:hAnsi="inherit"/>
          <w:sz w:val="24"/>
          <w:szCs w:val="24"/>
        </w:rPr>
        <w:t>за</w:t>
      </w:r>
      <w:r w:rsidR="000A0D35" w:rsidRPr="00136128">
        <w:rPr>
          <w:rStyle w:val="y2iqfc"/>
          <w:rFonts w:ascii="inherit" w:hAnsi="inherit"/>
          <w:sz w:val="24"/>
          <w:szCs w:val="24"/>
        </w:rPr>
        <w:t xml:space="preserve"> </w:t>
      </w:r>
      <w:r>
        <w:rPr>
          <w:rStyle w:val="y2iqfc"/>
          <w:rFonts w:ascii="inherit" w:hAnsi="inherit"/>
          <w:sz w:val="24"/>
          <w:szCs w:val="24"/>
        </w:rPr>
        <w:t>његом</w:t>
      </w:r>
      <w:r w:rsidR="000A0D35" w:rsidRPr="00136128">
        <w:rPr>
          <w:rStyle w:val="y2iqfc"/>
          <w:rFonts w:ascii="inherit" w:hAnsi="inherit"/>
          <w:sz w:val="24"/>
          <w:szCs w:val="24"/>
        </w:rPr>
        <w:t xml:space="preserve"> </w:t>
      </w:r>
      <w:r>
        <w:rPr>
          <w:rStyle w:val="y2iqfc"/>
          <w:rFonts w:ascii="inherit" w:hAnsi="inherit"/>
          <w:sz w:val="24"/>
          <w:szCs w:val="24"/>
        </w:rPr>
        <w:t>старијег</w:t>
      </w:r>
      <w:r w:rsidR="000A0D35" w:rsidRPr="00136128">
        <w:rPr>
          <w:rStyle w:val="y2iqfc"/>
          <w:rFonts w:ascii="inherit" w:hAnsi="inherit"/>
          <w:sz w:val="24"/>
          <w:szCs w:val="24"/>
        </w:rPr>
        <w:t xml:space="preserve"> </w:t>
      </w:r>
      <w:r>
        <w:rPr>
          <w:rStyle w:val="y2iqfc"/>
          <w:rFonts w:ascii="inherit" w:hAnsi="inherit"/>
          <w:sz w:val="24"/>
          <w:szCs w:val="24"/>
        </w:rPr>
        <w:t>становништва</w:t>
      </w:r>
      <w:r w:rsidR="000A0D35" w:rsidRPr="00136128">
        <w:rPr>
          <w:rStyle w:val="y2iqfc"/>
          <w:rFonts w:ascii="inherit" w:hAnsi="inherit"/>
          <w:sz w:val="24"/>
          <w:szCs w:val="24"/>
        </w:rPr>
        <w:t xml:space="preserve"> </w:t>
      </w:r>
      <w:r>
        <w:rPr>
          <w:rStyle w:val="y2iqfc"/>
          <w:rFonts w:ascii="inherit" w:hAnsi="inherit"/>
          <w:sz w:val="24"/>
          <w:szCs w:val="24"/>
        </w:rPr>
        <w:t>и</w:t>
      </w:r>
      <w:r w:rsidR="000A0D35" w:rsidRPr="00136128">
        <w:rPr>
          <w:rStyle w:val="y2iqfc"/>
          <w:rFonts w:ascii="inherit" w:hAnsi="inherit"/>
          <w:sz w:val="24"/>
          <w:szCs w:val="24"/>
        </w:rPr>
        <w:t xml:space="preserve"> </w:t>
      </w:r>
      <w:r>
        <w:rPr>
          <w:rStyle w:val="y2iqfc"/>
          <w:rFonts w:ascii="inherit" w:hAnsi="inherit"/>
          <w:sz w:val="24"/>
          <w:szCs w:val="24"/>
        </w:rPr>
        <w:t>социо</w:t>
      </w:r>
      <w:r w:rsidR="000A0D35" w:rsidRPr="00136128">
        <w:rPr>
          <w:rStyle w:val="y2iqfc"/>
          <w:rFonts w:ascii="inherit" w:hAnsi="inherit"/>
          <w:sz w:val="24"/>
          <w:szCs w:val="24"/>
        </w:rPr>
        <w:t>-</w:t>
      </w:r>
      <w:r>
        <w:rPr>
          <w:rStyle w:val="y2iqfc"/>
          <w:rFonts w:ascii="inherit" w:hAnsi="inherit"/>
          <w:sz w:val="24"/>
          <w:szCs w:val="24"/>
        </w:rPr>
        <w:t>економским</w:t>
      </w:r>
      <w:r w:rsidR="000A0D35" w:rsidRPr="00136128">
        <w:rPr>
          <w:rStyle w:val="y2iqfc"/>
          <w:rFonts w:ascii="inherit" w:hAnsi="inherit"/>
          <w:sz w:val="24"/>
          <w:szCs w:val="24"/>
        </w:rPr>
        <w:t xml:space="preserve"> </w:t>
      </w:r>
      <w:r>
        <w:rPr>
          <w:rStyle w:val="y2iqfc"/>
          <w:rFonts w:ascii="inherit" w:hAnsi="inherit"/>
          <w:sz w:val="24"/>
          <w:szCs w:val="24"/>
        </w:rPr>
        <w:t>оснаживањем</w:t>
      </w:r>
      <w:r w:rsidR="000A0D35" w:rsidRPr="00136128">
        <w:rPr>
          <w:rStyle w:val="y2iqfc"/>
          <w:rFonts w:ascii="inherit" w:hAnsi="inherit"/>
          <w:sz w:val="24"/>
          <w:szCs w:val="24"/>
        </w:rPr>
        <w:t xml:space="preserve"> </w:t>
      </w:r>
      <w:r>
        <w:rPr>
          <w:rStyle w:val="y2iqfc"/>
          <w:rFonts w:ascii="inherit" w:hAnsi="inherit"/>
          <w:sz w:val="24"/>
          <w:szCs w:val="24"/>
        </w:rPr>
        <w:t>дуготрајно</w:t>
      </w:r>
      <w:r w:rsidR="000A0D35" w:rsidRPr="00136128">
        <w:rPr>
          <w:rStyle w:val="y2iqfc"/>
          <w:rFonts w:ascii="inherit" w:hAnsi="inherit"/>
          <w:sz w:val="24"/>
          <w:szCs w:val="24"/>
        </w:rPr>
        <w:t xml:space="preserve"> </w:t>
      </w:r>
      <w:r>
        <w:rPr>
          <w:rStyle w:val="y2iqfc"/>
          <w:rFonts w:ascii="inherit" w:hAnsi="inherit"/>
          <w:sz w:val="24"/>
          <w:szCs w:val="24"/>
        </w:rPr>
        <w:t>незапослених</w:t>
      </w:r>
      <w:r w:rsidR="000A0D35" w:rsidRPr="00136128">
        <w:rPr>
          <w:rStyle w:val="y2iqfc"/>
          <w:rFonts w:ascii="inherit" w:hAnsi="inherit"/>
          <w:sz w:val="24"/>
          <w:szCs w:val="24"/>
        </w:rPr>
        <w:t xml:space="preserve"> </w:t>
      </w:r>
      <w:r>
        <w:rPr>
          <w:rStyle w:val="y2iqfc"/>
          <w:rFonts w:ascii="inherit" w:hAnsi="inherit"/>
          <w:sz w:val="24"/>
          <w:szCs w:val="24"/>
        </w:rPr>
        <w:t>жена</w:t>
      </w:r>
      <w:r w:rsidR="000A0D35" w:rsidRPr="00136128">
        <w:rPr>
          <w:rStyle w:val="y2iqfc"/>
          <w:rFonts w:ascii="inherit" w:hAnsi="inherit"/>
          <w:sz w:val="24"/>
          <w:szCs w:val="24"/>
        </w:rPr>
        <w:t>.</w:t>
      </w:r>
      <w:r w:rsidR="007022AA" w:rsidRPr="00136128">
        <w:rPr>
          <w:rStyle w:val="y2iqfc"/>
          <w:rFonts w:ascii="inherit" w:hAnsi="inherit"/>
          <w:sz w:val="24"/>
          <w:szCs w:val="24"/>
        </w:rPr>
        <w:t xml:space="preserve"> </w:t>
      </w:r>
      <w:r w:rsidR="00AE5809">
        <w:rPr>
          <w:rFonts w:ascii="Times New Roman" w:hAnsi="Times New Roman"/>
          <w:sz w:val="24"/>
          <w:szCs w:val="24"/>
          <w:lang w:val="sr-Cyrl-BA" w:eastAsia="en-GB"/>
        </w:rPr>
        <w:t>С</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циљ</w:t>
      </w:r>
      <w:r w:rsidR="00AE5809">
        <w:rPr>
          <w:rFonts w:ascii="Times New Roman" w:hAnsi="Times New Roman"/>
          <w:sz w:val="24"/>
          <w:szCs w:val="24"/>
          <w:lang w:val="sr-Cyrl-BA" w:eastAsia="en-GB"/>
        </w:rPr>
        <w:t>ем</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унапређења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социјалних</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услуга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и</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оснаживања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жена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кроз</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професионално</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оспособљавање</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израђен</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је</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Програм</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обуке</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геронтодомаћица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за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пружање</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услуге</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помоћи</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у</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кући</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у</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ФБиХ</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Обука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ће</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бити</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реализ</w:t>
      </w:r>
      <w:r w:rsidR="00AE5809">
        <w:rPr>
          <w:rFonts w:ascii="Times New Roman" w:hAnsi="Times New Roman"/>
          <w:sz w:val="24"/>
          <w:szCs w:val="24"/>
          <w:lang w:val="sr-Cyrl-BA" w:eastAsia="en-GB"/>
        </w:rPr>
        <w:t>ована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у</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сарадњи</w:t>
      </w:r>
      <w:r w:rsidR="00136128">
        <w:rPr>
          <w:rFonts w:ascii="Times New Roman" w:hAnsi="Times New Roman"/>
          <w:sz w:val="24"/>
          <w:szCs w:val="24"/>
          <w:lang w:eastAsia="en-GB"/>
        </w:rPr>
        <w:t xml:space="preserve"> </w:t>
      </w:r>
      <w:r>
        <w:rPr>
          <w:rFonts w:ascii="Times New Roman" w:hAnsi="Times New Roman"/>
          <w:sz w:val="24"/>
          <w:szCs w:val="24"/>
          <w:lang w:eastAsia="en-GB"/>
        </w:rPr>
        <w:t>са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ФЗЗЗ</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и</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Црвеним</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кр</w:t>
      </w:r>
      <w:r w:rsidR="00AE5809">
        <w:rPr>
          <w:rFonts w:ascii="Times New Roman" w:hAnsi="Times New Roman"/>
          <w:sz w:val="24"/>
          <w:szCs w:val="24"/>
          <w:lang w:val="sr-Cyrl-BA" w:eastAsia="en-GB"/>
        </w:rPr>
        <w:t>стом</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ФБиХ</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очекује</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се</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да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ће</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овај</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програм</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допринијети</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побољшању</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квалитета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социјалних</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услуга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и</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повећању</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броја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квалифи</w:t>
      </w:r>
      <w:r w:rsidR="00AE5809">
        <w:rPr>
          <w:rFonts w:ascii="Times New Roman" w:hAnsi="Times New Roman"/>
          <w:sz w:val="24"/>
          <w:szCs w:val="24"/>
          <w:lang w:val="sr-Cyrl-BA" w:eastAsia="en-GB"/>
        </w:rPr>
        <w:t>кованих</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геронтодомаћица</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у</w:t>
      </w:r>
      <w:r w:rsidR="003547F5" w:rsidRPr="00136128">
        <w:rPr>
          <w:rFonts w:ascii="Times New Roman" w:hAnsi="Times New Roman"/>
          <w:sz w:val="24"/>
          <w:szCs w:val="24"/>
          <w:lang w:eastAsia="en-GB"/>
        </w:rPr>
        <w:t xml:space="preserve"> </w:t>
      </w:r>
      <w:r>
        <w:rPr>
          <w:rFonts w:ascii="Times New Roman" w:hAnsi="Times New Roman"/>
          <w:sz w:val="24"/>
          <w:szCs w:val="24"/>
          <w:lang w:eastAsia="en-GB"/>
        </w:rPr>
        <w:t>Федерацији</w:t>
      </w:r>
      <w:r w:rsidR="00B40F79" w:rsidRPr="00136128">
        <w:rPr>
          <w:rFonts w:ascii="Times New Roman" w:hAnsi="Times New Roman"/>
          <w:sz w:val="24"/>
          <w:szCs w:val="24"/>
          <w:lang w:eastAsia="en-GB"/>
        </w:rPr>
        <w:t xml:space="preserve"> </w:t>
      </w:r>
      <w:r>
        <w:rPr>
          <w:rFonts w:ascii="Times New Roman" w:hAnsi="Times New Roman"/>
          <w:sz w:val="24"/>
          <w:szCs w:val="24"/>
          <w:lang w:eastAsia="en-GB"/>
        </w:rPr>
        <w:t>БиХ</w:t>
      </w:r>
      <w:r w:rsidR="003547F5" w:rsidRPr="00136128">
        <w:rPr>
          <w:rFonts w:ascii="Times New Roman" w:hAnsi="Times New Roman"/>
          <w:sz w:val="24"/>
          <w:szCs w:val="24"/>
          <w:lang w:eastAsia="en-GB"/>
        </w:rPr>
        <w:t>.</w:t>
      </w:r>
      <w:r w:rsidR="00B40F79" w:rsidRPr="00136128">
        <w:rPr>
          <w:rFonts w:ascii="Times New Roman" w:hAnsi="Times New Roman"/>
          <w:sz w:val="24"/>
          <w:szCs w:val="24"/>
          <w:lang w:eastAsia="en-GB"/>
        </w:rPr>
        <w:t xml:space="preserve"> </w:t>
      </w:r>
      <w:r>
        <w:rPr>
          <w:rFonts w:ascii="Times New Roman" w:hAnsi="Times New Roman"/>
          <w:sz w:val="24"/>
          <w:szCs w:val="24"/>
          <w:lang w:eastAsia="en-GB"/>
        </w:rPr>
        <w:t>У</w:t>
      </w:r>
      <w:r w:rsidR="00477C5C" w:rsidRPr="00136128">
        <w:rPr>
          <w:rFonts w:ascii="Times New Roman" w:hAnsi="Times New Roman"/>
          <w:sz w:val="24"/>
          <w:szCs w:val="24"/>
          <w:lang w:eastAsia="en-GB"/>
        </w:rPr>
        <w:t xml:space="preserve"> </w:t>
      </w:r>
      <w:r>
        <w:rPr>
          <w:rFonts w:ascii="Times New Roman" w:hAnsi="Times New Roman"/>
          <w:sz w:val="24"/>
          <w:szCs w:val="24"/>
          <w:lang w:eastAsia="en-GB"/>
        </w:rPr>
        <w:t>Републици</w:t>
      </w:r>
      <w:r w:rsidR="00477C5C">
        <w:rPr>
          <w:rFonts w:ascii="Times New Roman" w:hAnsi="Times New Roman"/>
          <w:sz w:val="24"/>
          <w:szCs w:val="24"/>
          <w:lang w:eastAsia="en-GB"/>
        </w:rPr>
        <w:t xml:space="preserve"> </w:t>
      </w:r>
      <w:r>
        <w:rPr>
          <w:rFonts w:ascii="Times New Roman" w:hAnsi="Times New Roman"/>
          <w:sz w:val="24"/>
          <w:szCs w:val="24"/>
          <w:lang w:eastAsia="en-GB"/>
        </w:rPr>
        <w:t>Српској</w:t>
      </w:r>
      <w:r w:rsidR="00102977" w:rsidRPr="00295637">
        <w:rPr>
          <w:rFonts w:ascii="Times New Roman" w:hAnsi="Times New Roman"/>
          <w:sz w:val="24"/>
          <w:szCs w:val="24"/>
          <w:lang w:eastAsia="en-GB"/>
        </w:rPr>
        <w:t xml:space="preserve">, </w:t>
      </w:r>
      <w:r>
        <w:rPr>
          <w:rFonts w:ascii="Times New Roman" w:hAnsi="Times New Roman"/>
          <w:sz w:val="24"/>
          <w:szCs w:val="24"/>
          <w:lang w:val="sr-Cyrl-BA"/>
        </w:rPr>
        <w:t>М</w:t>
      </w:r>
      <w:r>
        <w:rPr>
          <w:rFonts w:ascii="Times New Roman" w:hAnsi="Times New Roman"/>
          <w:sz w:val="24"/>
          <w:szCs w:val="24"/>
        </w:rPr>
        <w:t>ПП</w:t>
      </w:r>
      <w:r w:rsidR="00102977" w:rsidRPr="00295637">
        <w:rPr>
          <w:rFonts w:ascii="Times New Roman" w:hAnsi="Times New Roman"/>
          <w:sz w:val="24"/>
          <w:szCs w:val="24"/>
          <w:lang w:val="sr-Latn-BA"/>
        </w:rPr>
        <w:t xml:space="preserve"> </w:t>
      </w:r>
      <w:r>
        <w:rPr>
          <w:rFonts w:ascii="Times New Roman" w:hAnsi="Times New Roman"/>
          <w:sz w:val="24"/>
          <w:szCs w:val="24"/>
          <w:lang w:val="sr-Latn-BA"/>
        </w:rPr>
        <w:t>РС</w:t>
      </w:r>
      <w:r w:rsidR="00102977" w:rsidRPr="00295637">
        <w:rPr>
          <w:rFonts w:ascii="Times New Roman" w:hAnsi="Times New Roman"/>
          <w:sz w:val="24"/>
          <w:szCs w:val="24"/>
          <w:lang w:val="sr-Cyrl-BA"/>
        </w:rPr>
        <w:t xml:space="preserve"> </w:t>
      </w:r>
      <w:r>
        <w:rPr>
          <w:rFonts w:ascii="Times New Roman" w:hAnsi="Times New Roman"/>
          <w:sz w:val="24"/>
          <w:szCs w:val="24"/>
          <w:lang w:val="sr-Cyrl-BA"/>
        </w:rPr>
        <w:t>је</w:t>
      </w:r>
      <w:r w:rsidR="00102977" w:rsidRPr="00295637">
        <w:rPr>
          <w:rFonts w:ascii="Times New Roman" w:hAnsi="Times New Roman"/>
          <w:sz w:val="24"/>
          <w:szCs w:val="24"/>
          <w:lang w:val="sr-Cyrl-BA"/>
        </w:rPr>
        <w:t xml:space="preserve"> </w:t>
      </w:r>
      <w:r>
        <w:rPr>
          <w:rFonts w:ascii="Times New Roman" w:hAnsi="Times New Roman"/>
          <w:sz w:val="24"/>
          <w:szCs w:val="24"/>
          <w:lang w:val="sr-Latn-BA"/>
        </w:rPr>
        <w:t>израдило</w:t>
      </w:r>
      <w:r w:rsidR="00136128">
        <w:rPr>
          <w:rFonts w:ascii="Times New Roman" w:hAnsi="Times New Roman"/>
          <w:sz w:val="24"/>
          <w:szCs w:val="24"/>
          <w:lang w:val="sr-Cyrl-BA"/>
        </w:rPr>
        <w:t xml:space="preserve"> </w:t>
      </w:r>
      <w:r>
        <w:rPr>
          <w:rFonts w:ascii="Times New Roman" w:hAnsi="Times New Roman"/>
          <w:sz w:val="24"/>
          <w:szCs w:val="24"/>
          <w:lang w:val="sr-Cyrl-BA"/>
        </w:rPr>
        <w:t>пројек</w:t>
      </w:r>
      <w:r>
        <w:rPr>
          <w:rFonts w:ascii="Times New Roman" w:hAnsi="Times New Roman"/>
          <w:sz w:val="24"/>
          <w:szCs w:val="24"/>
          <w:lang w:val="hr-HR"/>
        </w:rPr>
        <w:t>а</w:t>
      </w:r>
      <w:r>
        <w:rPr>
          <w:rFonts w:ascii="Times New Roman" w:hAnsi="Times New Roman"/>
          <w:sz w:val="24"/>
          <w:szCs w:val="24"/>
          <w:lang w:val="sr-Cyrl-BA"/>
        </w:rPr>
        <w:t>т</w:t>
      </w:r>
      <w:r w:rsidR="00477C5C">
        <w:rPr>
          <w:rFonts w:ascii="Times New Roman" w:hAnsi="Times New Roman"/>
          <w:sz w:val="24"/>
          <w:szCs w:val="24"/>
          <w:lang w:val="sr-Cyrl-BA"/>
        </w:rPr>
        <w:t xml:space="preserve"> „</w:t>
      </w:r>
      <w:r>
        <w:rPr>
          <w:rFonts w:ascii="Times New Roman" w:hAnsi="Times New Roman"/>
          <w:sz w:val="24"/>
          <w:szCs w:val="24"/>
          <w:lang w:val="sr-Cyrl-BA"/>
        </w:rPr>
        <w:t>Геронто</w:t>
      </w:r>
      <w:r>
        <w:rPr>
          <w:rFonts w:ascii="Times New Roman" w:hAnsi="Times New Roman"/>
          <w:sz w:val="24"/>
          <w:szCs w:val="24"/>
          <w:lang w:val="hr-HR"/>
        </w:rPr>
        <w:t>домаћица</w:t>
      </w:r>
      <w:r w:rsidR="00102977" w:rsidRPr="00295637">
        <w:rPr>
          <w:rFonts w:ascii="Times New Roman" w:hAnsi="Times New Roman"/>
          <w:sz w:val="24"/>
          <w:szCs w:val="24"/>
          <w:lang w:val="sr-Cyrl-BA"/>
        </w:rPr>
        <w:t xml:space="preserve">“ </w:t>
      </w:r>
      <w:r>
        <w:rPr>
          <w:rFonts w:ascii="Times New Roman" w:hAnsi="Times New Roman"/>
          <w:sz w:val="24"/>
          <w:szCs w:val="24"/>
          <w:lang w:val="sr-Cyrl-BA"/>
        </w:rPr>
        <w:t>за</w:t>
      </w:r>
      <w:r w:rsidR="00102977" w:rsidRPr="00295637">
        <w:rPr>
          <w:rFonts w:ascii="Times New Roman" w:hAnsi="Times New Roman"/>
          <w:sz w:val="24"/>
          <w:szCs w:val="24"/>
          <w:lang w:val="sr-Cyrl-BA"/>
        </w:rPr>
        <w:t xml:space="preserve"> </w:t>
      </w:r>
      <w:r>
        <w:rPr>
          <w:rFonts w:ascii="Times New Roman" w:hAnsi="Times New Roman"/>
          <w:sz w:val="24"/>
          <w:szCs w:val="24"/>
          <w:lang w:val="sr-Cyrl-BA"/>
        </w:rPr>
        <w:t>финан</w:t>
      </w:r>
      <w:r>
        <w:rPr>
          <w:rFonts w:ascii="Times New Roman" w:hAnsi="Times New Roman"/>
          <w:sz w:val="24"/>
          <w:szCs w:val="24"/>
          <w:lang w:val="hr-HR"/>
        </w:rPr>
        <w:t>с</w:t>
      </w:r>
      <w:r>
        <w:rPr>
          <w:rFonts w:ascii="Times New Roman" w:hAnsi="Times New Roman"/>
          <w:sz w:val="24"/>
          <w:szCs w:val="24"/>
          <w:lang w:val="sr-Cyrl-BA"/>
        </w:rPr>
        <w:t>ирање</w:t>
      </w:r>
      <w:r w:rsidR="00102977" w:rsidRPr="00295637">
        <w:rPr>
          <w:rFonts w:ascii="Times New Roman" w:hAnsi="Times New Roman"/>
          <w:sz w:val="24"/>
          <w:szCs w:val="24"/>
          <w:lang w:val="sr-Cyrl-BA"/>
        </w:rPr>
        <w:t xml:space="preserve"> </w:t>
      </w:r>
      <w:r>
        <w:rPr>
          <w:rFonts w:ascii="Times New Roman" w:hAnsi="Times New Roman"/>
          <w:sz w:val="24"/>
          <w:szCs w:val="24"/>
          <w:lang w:val="sr-Cyrl-BA"/>
        </w:rPr>
        <w:t>из</w:t>
      </w:r>
      <w:r w:rsidR="00102977" w:rsidRPr="00295637">
        <w:rPr>
          <w:rFonts w:ascii="Times New Roman" w:hAnsi="Times New Roman"/>
          <w:sz w:val="24"/>
          <w:szCs w:val="24"/>
          <w:lang w:val="sr-Cyrl-BA"/>
        </w:rPr>
        <w:t xml:space="preserve"> </w:t>
      </w:r>
      <w:r>
        <w:rPr>
          <w:rFonts w:ascii="Times New Roman" w:hAnsi="Times New Roman"/>
          <w:sz w:val="24"/>
          <w:szCs w:val="24"/>
          <w:lang w:val="sr-Cyrl-BA"/>
        </w:rPr>
        <w:t>програма</w:t>
      </w:r>
      <w:r w:rsidR="00102977" w:rsidRPr="00295637">
        <w:rPr>
          <w:rFonts w:ascii="Times New Roman" w:hAnsi="Times New Roman"/>
          <w:sz w:val="24"/>
          <w:szCs w:val="24"/>
          <w:lang w:val="sr-Cyrl-BA"/>
        </w:rPr>
        <w:t xml:space="preserve"> </w:t>
      </w:r>
      <w:r w:rsidR="00AE5809" w:rsidRPr="00AE5809">
        <w:rPr>
          <w:rFonts w:ascii="Times New Roman" w:hAnsi="Times New Roman"/>
          <w:i/>
          <w:sz w:val="24"/>
          <w:szCs w:val="24"/>
          <w:lang w:val="hr-BA"/>
        </w:rPr>
        <w:t>UN Women</w:t>
      </w:r>
      <w:r w:rsidR="00102977" w:rsidRPr="00295637">
        <w:rPr>
          <w:rFonts w:ascii="Times New Roman" w:hAnsi="Times New Roman"/>
          <w:sz w:val="24"/>
          <w:szCs w:val="24"/>
          <w:lang w:val="sr-Latn-BA"/>
        </w:rPr>
        <w:t>,</w:t>
      </w:r>
      <w:r w:rsidR="00136128">
        <w:rPr>
          <w:rFonts w:ascii="Times New Roman" w:hAnsi="Times New Roman"/>
          <w:sz w:val="24"/>
          <w:szCs w:val="24"/>
          <w:lang w:val="sr-Cyrl-BA"/>
        </w:rPr>
        <w:t xml:space="preserve"> </w:t>
      </w:r>
      <w:r>
        <w:rPr>
          <w:rFonts w:ascii="Times New Roman" w:hAnsi="Times New Roman"/>
          <w:sz w:val="24"/>
          <w:szCs w:val="24"/>
          <w:lang w:val="sr-Cyrl-BA"/>
        </w:rPr>
        <w:t>а</w:t>
      </w:r>
      <w:r w:rsidR="00136128">
        <w:rPr>
          <w:rFonts w:ascii="Times New Roman" w:hAnsi="Times New Roman"/>
          <w:sz w:val="24"/>
          <w:szCs w:val="24"/>
          <w:lang w:val="sr-Cyrl-BA"/>
        </w:rPr>
        <w:t xml:space="preserve"> </w:t>
      </w:r>
      <w:r>
        <w:rPr>
          <w:rFonts w:ascii="Times New Roman" w:hAnsi="Times New Roman"/>
          <w:sz w:val="24"/>
          <w:szCs w:val="24"/>
          <w:lang w:val="sr-Cyrl-BA"/>
        </w:rPr>
        <w:t>који</w:t>
      </w:r>
      <w:r w:rsidR="00136128">
        <w:rPr>
          <w:rFonts w:ascii="Times New Roman" w:hAnsi="Times New Roman"/>
          <w:sz w:val="24"/>
          <w:szCs w:val="24"/>
          <w:lang w:val="sr-Cyrl-BA"/>
        </w:rPr>
        <w:t xml:space="preserve"> </w:t>
      </w:r>
      <w:r>
        <w:rPr>
          <w:rFonts w:ascii="Times New Roman" w:hAnsi="Times New Roman"/>
          <w:sz w:val="24"/>
          <w:szCs w:val="24"/>
          <w:lang w:val="sr-Cyrl-BA"/>
        </w:rPr>
        <w:t>би</w:t>
      </w:r>
      <w:r w:rsidR="00136128">
        <w:rPr>
          <w:rFonts w:ascii="Times New Roman" w:hAnsi="Times New Roman"/>
          <w:sz w:val="24"/>
          <w:szCs w:val="24"/>
          <w:lang w:val="sr-Cyrl-BA"/>
        </w:rPr>
        <w:t xml:space="preserve"> </w:t>
      </w:r>
      <w:r>
        <w:rPr>
          <w:rFonts w:ascii="Times New Roman" w:hAnsi="Times New Roman"/>
          <w:sz w:val="24"/>
          <w:szCs w:val="24"/>
          <w:lang w:val="sr-Cyrl-BA"/>
        </w:rPr>
        <w:t>као</w:t>
      </w:r>
      <w:r w:rsidR="00136128">
        <w:rPr>
          <w:rFonts w:ascii="Times New Roman" w:hAnsi="Times New Roman"/>
          <w:sz w:val="24"/>
          <w:szCs w:val="24"/>
          <w:lang w:val="sr-Cyrl-BA"/>
        </w:rPr>
        <w:t xml:space="preserve"> </w:t>
      </w:r>
      <w:r>
        <w:rPr>
          <w:rFonts w:ascii="Times New Roman" w:hAnsi="Times New Roman"/>
          <w:sz w:val="24"/>
          <w:szCs w:val="24"/>
          <w:lang w:val="sr-Cyrl-BA"/>
        </w:rPr>
        <w:t>пилот</w:t>
      </w:r>
      <w:r w:rsidR="00136128">
        <w:rPr>
          <w:rFonts w:ascii="Times New Roman" w:hAnsi="Times New Roman"/>
          <w:sz w:val="24"/>
          <w:szCs w:val="24"/>
          <w:lang w:val="sr-Cyrl-BA"/>
        </w:rPr>
        <w:t xml:space="preserve"> </w:t>
      </w:r>
      <w:r>
        <w:rPr>
          <w:rFonts w:ascii="Times New Roman" w:hAnsi="Times New Roman"/>
          <w:sz w:val="24"/>
          <w:szCs w:val="24"/>
          <w:lang w:val="sr-Cyrl-BA"/>
        </w:rPr>
        <w:t>пројект</w:t>
      </w:r>
      <w:r w:rsidR="00102977" w:rsidRPr="00295637">
        <w:rPr>
          <w:rFonts w:ascii="Times New Roman" w:hAnsi="Times New Roman"/>
          <w:sz w:val="24"/>
          <w:szCs w:val="24"/>
          <w:lang w:val="sr-Cyrl-BA"/>
        </w:rPr>
        <w:t xml:space="preserve"> </w:t>
      </w:r>
      <w:r>
        <w:rPr>
          <w:rFonts w:ascii="Times New Roman" w:hAnsi="Times New Roman"/>
          <w:sz w:val="24"/>
          <w:szCs w:val="24"/>
          <w:lang w:val="sr-Cyrl-BA"/>
        </w:rPr>
        <w:t>реализ</w:t>
      </w:r>
      <w:r w:rsidR="00AE5809">
        <w:rPr>
          <w:rFonts w:ascii="Times New Roman" w:hAnsi="Times New Roman"/>
          <w:sz w:val="24"/>
          <w:szCs w:val="24"/>
          <w:lang w:val="sr-Cyrl-BA"/>
        </w:rPr>
        <w:t xml:space="preserve">овала </w:t>
      </w:r>
      <w:r>
        <w:rPr>
          <w:rFonts w:ascii="Times New Roman" w:hAnsi="Times New Roman"/>
          <w:sz w:val="24"/>
          <w:szCs w:val="24"/>
          <w:lang w:val="sr-Cyrl-BA"/>
        </w:rPr>
        <w:t>Фондација</w:t>
      </w:r>
      <w:r w:rsidR="00102977" w:rsidRPr="00295637">
        <w:rPr>
          <w:rFonts w:ascii="Times New Roman" w:hAnsi="Times New Roman"/>
          <w:sz w:val="24"/>
          <w:szCs w:val="24"/>
          <w:lang w:val="sr-Cyrl-BA"/>
        </w:rPr>
        <w:t xml:space="preserve"> „</w:t>
      </w:r>
      <w:r>
        <w:rPr>
          <w:rFonts w:ascii="Times New Roman" w:hAnsi="Times New Roman"/>
          <w:sz w:val="24"/>
          <w:szCs w:val="24"/>
          <w:lang w:val="sr-Cyrl-BA"/>
        </w:rPr>
        <w:t>Лара</w:t>
      </w:r>
      <w:r w:rsidR="00102977" w:rsidRPr="00295637">
        <w:rPr>
          <w:rFonts w:ascii="Times New Roman" w:hAnsi="Times New Roman"/>
          <w:sz w:val="24"/>
          <w:szCs w:val="24"/>
          <w:lang w:val="sr-Cyrl-BA"/>
        </w:rPr>
        <w:t xml:space="preserve">“ </w:t>
      </w:r>
      <w:r>
        <w:rPr>
          <w:rFonts w:ascii="Times New Roman" w:hAnsi="Times New Roman"/>
          <w:sz w:val="24"/>
          <w:szCs w:val="24"/>
          <w:lang w:val="sr-Cyrl-BA"/>
        </w:rPr>
        <w:t>Бијељина</w:t>
      </w:r>
      <w:r w:rsidR="00102977" w:rsidRPr="00295637">
        <w:rPr>
          <w:rFonts w:ascii="Times New Roman" w:hAnsi="Times New Roman"/>
          <w:sz w:val="24"/>
          <w:szCs w:val="24"/>
          <w:lang w:val="sr-Cyrl-BA"/>
        </w:rPr>
        <w:t>.</w:t>
      </w:r>
      <w:r w:rsidR="000A0D35" w:rsidRPr="00295637">
        <w:rPr>
          <w:rFonts w:ascii="Times New Roman" w:hAnsi="Times New Roman"/>
          <w:sz w:val="24"/>
          <w:szCs w:val="24"/>
        </w:rPr>
        <w:t xml:space="preserve"> </w:t>
      </w:r>
    </w:p>
    <w:p w:rsidR="003547F5" w:rsidRPr="00295637" w:rsidRDefault="003547F5" w:rsidP="0086268D">
      <w:pPr>
        <w:jc w:val="both"/>
        <w:rPr>
          <w:rFonts w:ascii="Times New Roman" w:hAnsi="Times New Roman"/>
          <w:szCs w:val="24"/>
          <w:lang w:val="bs-Latn-BA" w:eastAsia="en-GB"/>
        </w:rPr>
      </w:pPr>
    </w:p>
    <w:p w:rsidR="008359BD" w:rsidRPr="00295637" w:rsidRDefault="00C6214E" w:rsidP="0086268D">
      <w:pPr>
        <w:jc w:val="both"/>
        <w:rPr>
          <w:rFonts w:ascii="Times New Roman" w:hAnsi="Times New Roman"/>
          <w:szCs w:val="24"/>
          <w:lang w:val="bs-Latn-BA" w:eastAsia="en-GB"/>
        </w:rPr>
      </w:pPr>
      <w:r>
        <w:rPr>
          <w:rFonts w:ascii="Times New Roman" w:hAnsi="Times New Roman"/>
          <w:szCs w:val="24"/>
          <w:lang w:val="bs-Latn-BA" w:eastAsia="en-GB"/>
        </w:rPr>
        <w:t>ФМРПО</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редовно</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информи</w:t>
      </w:r>
      <w:r w:rsidR="00AE5809">
        <w:rPr>
          <w:rFonts w:ascii="Times New Roman" w:hAnsi="Times New Roman"/>
          <w:szCs w:val="24"/>
          <w:lang w:val="sr-Cyrl-BA" w:eastAsia="en-GB"/>
        </w:rPr>
        <w:t>ше</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Владу</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ФБиХ</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о</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заступљености</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жена</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и</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мушкараца</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у</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области</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предузетништва</w:t>
      </w:r>
      <w:r w:rsidR="008359BD" w:rsidRPr="00295637">
        <w:rPr>
          <w:rFonts w:ascii="Times New Roman" w:hAnsi="Times New Roman"/>
          <w:szCs w:val="24"/>
          <w:lang w:val="bs-Latn-BA" w:eastAsia="en-GB"/>
        </w:rPr>
        <w:t xml:space="preserve">. </w:t>
      </w:r>
      <w:r w:rsidR="00AE5809">
        <w:rPr>
          <w:rFonts w:ascii="Times New Roman" w:hAnsi="Times New Roman"/>
          <w:szCs w:val="24"/>
          <w:lang w:val="sr-Cyrl-BA" w:eastAsia="en-GB"/>
        </w:rPr>
        <w:t>П</w:t>
      </w:r>
      <w:r>
        <w:rPr>
          <w:rFonts w:ascii="Times New Roman" w:hAnsi="Times New Roman"/>
          <w:szCs w:val="24"/>
          <w:lang w:val="bs-Latn-BA" w:eastAsia="en-GB"/>
        </w:rPr>
        <w:t>рема</w:t>
      </w:r>
      <w:r w:rsidR="00834BD3">
        <w:rPr>
          <w:rFonts w:ascii="Times New Roman" w:hAnsi="Times New Roman"/>
          <w:szCs w:val="24"/>
          <w:lang w:val="bs-Latn-BA" w:eastAsia="en-GB"/>
        </w:rPr>
        <w:t xml:space="preserve"> </w:t>
      </w:r>
      <w:r>
        <w:rPr>
          <w:rFonts w:ascii="Times New Roman" w:hAnsi="Times New Roman"/>
          <w:szCs w:val="24"/>
          <w:lang w:val="bs-Latn-BA" w:eastAsia="en-GB"/>
        </w:rPr>
        <w:t>подацима</w:t>
      </w:r>
      <w:r w:rsidR="00834BD3">
        <w:rPr>
          <w:rFonts w:ascii="Times New Roman" w:hAnsi="Times New Roman"/>
          <w:szCs w:val="24"/>
          <w:lang w:val="bs-Latn-BA" w:eastAsia="en-GB"/>
        </w:rPr>
        <w:t xml:space="preserve"> </w:t>
      </w:r>
      <w:r>
        <w:rPr>
          <w:rFonts w:ascii="Times New Roman" w:hAnsi="Times New Roman"/>
          <w:szCs w:val="24"/>
          <w:lang w:val="bs-Latn-BA" w:eastAsia="en-GB"/>
        </w:rPr>
        <w:t>који</w:t>
      </w:r>
      <w:r w:rsidR="00834BD3">
        <w:rPr>
          <w:rFonts w:ascii="Times New Roman" w:hAnsi="Times New Roman"/>
          <w:szCs w:val="24"/>
          <w:lang w:val="bs-Latn-BA" w:eastAsia="en-GB"/>
        </w:rPr>
        <w:t xml:space="preserve"> </w:t>
      </w:r>
      <w:r>
        <w:rPr>
          <w:rFonts w:ascii="Times New Roman" w:hAnsi="Times New Roman"/>
          <w:szCs w:val="24"/>
          <w:lang w:val="bs-Latn-BA" w:eastAsia="en-GB"/>
        </w:rPr>
        <w:t>се</w:t>
      </w:r>
      <w:r w:rsidR="00834BD3">
        <w:rPr>
          <w:rFonts w:ascii="Times New Roman" w:hAnsi="Times New Roman"/>
          <w:szCs w:val="24"/>
          <w:lang w:val="bs-Latn-BA" w:eastAsia="en-GB"/>
        </w:rPr>
        <w:t xml:space="preserve"> </w:t>
      </w:r>
      <w:r>
        <w:rPr>
          <w:rFonts w:ascii="Times New Roman" w:hAnsi="Times New Roman"/>
          <w:szCs w:val="24"/>
          <w:lang w:val="bs-Latn-BA" w:eastAsia="en-GB"/>
        </w:rPr>
        <w:t>односе</w:t>
      </w:r>
      <w:r w:rsidR="00834BD3">
        <w:rPr>
          <w:rFonts w:ascii="Times New Roman" w:hAnsi="Times New Roman"/>
          <w:szCs w:val="24"/>
          <w:lang w:val="bs-Latn-BA" w:eastAsia="en-GB"/>
        </w:rPr>
        <w:t xml:space="preserve"> </w:t>
      </w:r>
      <w:r>
        <w:rPr>
          <w:rFonts w:ascii="Times New Roman" w:hAnsi="Times New Roman"/>
          <w:szCs w:val="24"/>
          <w:lang w:val="bs-Latn-BA" w:eastAsia="en-GB"/>
        </w:rPr>
        <w:t>на</w:t>
      </w:r>
      <w:r w:rsidR="00834BD3">
        <w:rPr>
          <w:rFonts w:ascii="Times New Roman" w:hAnsi="Times New Roman"/>
          <w:szCs w:val="24"/>
          <w:lang w:val="bs-Latn-BA" w:eastAsia="en-GB"/>
        </w:rPr>
        <w:t xml:space="preserve"> </w:t>
      </w:r>
      <w:r>
        <w:rPr>
          <w:rFonts w:ascii="Times New Roman" w:hAnsi="Times New Roman"/>
          <w:szCs w:val="24"/>
          <w:lang w:val="bs-Latn-BA" w:eastAsia="en-GB"/>
        </w:rPr>
        <w:t>удио</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запослених</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који</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су</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послодавци</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према</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полу</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удио</w:t>
      </w:r>
      <w:r w:rsidR="008359BD">
        <w:rPr>
          <w:rFonts w:ascii="Times New Roman" w:hAnsi="Times New Roman"/>
          <w:szCs w:val="24"/>
          <w:lang w:val="bs-Latn-BA" w:eastAsia="en-GB"/>
        </w:rPr>
        <w:t xml:space="preserve"> </w:t>
      </w:r>
      <w:r>
        <w:rPr>
          <w:rFonts w:ascii="Times New Roman" w:hAnsi="Times New Roman"/>
          <w:szCs w:val="24"/>
          <w:lang w:val="bs-Latn-BA" w:eastAsia="en-GB"/>
        </w:rPr>
        <w:t>самозапослених</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и</w:t>
      </w:r>
      <w:r w:rsidR="008359BD">
        <w:rPr>
          <w:rFonts w:ascii="Times New Roman" w:hAnsi="Times New Roman"/>
          <w:szCs w:val="24"/>
          <w:lang w:val="bs-Latn-BA" w:eastAsia="en-GB"/>
        </w:rPr>
        <w:t xml:space="preserve"> </w:t>
      </w:r>
      <w:r>
        <w:rPr>
          <w:rFonts w:ascii="Times New Roman" w:hAnsi="Times New Roman"/>
          <w:szCs w:val="24"/>
          <w:lang w:val="bs-Latn-BA" w:eastAsia="en-GB"/>
        </w:rPr>
        <w:t>запослених</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према</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полу</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док</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о</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самозапосленима</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по</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полу</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нема</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доступних</w:t>
      </w:r>
      <w:r w:rsidR="008359BD" w:rsidRPr="00295637">
        <w:rPr>
          <w:rFonts w:ascii="Times New Roman" w:hAnsi="Times New Roman"/>
          <w:szCs w:val="24"/>
          <w:lang w:val="bs-Latn-BA" w:eastAsia="en-GB"/>
        </w:rPr>
        <w:t xml:space="preserve"> </w:t>
      </w:r>
      <w:r>
        <w:rPr>
          <w:rFonts w:ascii="Times New Roman" w:hAnsi="Times New Roman"/>
          <w:szCs w:val="24"/>
          <w:lang w:val="bs-Latn-BA" w:eastAsia="en-GB"/>
        </w:rPr>
        <w:t>података</w:t>
      </w:r>
      <w:r w:rsidR="008359BD" w:rsidRPr="00295637">
        <w:rPr>
          <w:rFonts w:ascii="Times New Roman" w:hAnsi="Times New Roman"/>
          <w:szCs w:val="24"/>
          <w:lang w:val="bs-Latn-BA" w:eastAsia="en-GB"/>
        </w:rPr>
        <w:t xml:space="preserve">. </w:t>
      </w:r>
    </w:p>
    <w:p w:rsidR="008D56A8" w:rsidRPr="00295637" w:rsidRDefault="008D56A8" w:rsidP="0086268D">
      <w:pPr>
        <w:jc w:val="both"/>
        <w:rPr>
          <w:rFonts w:ascii="Times New Roman" w:hAnsi="Times New Roman"/>
          <w:strike/>
          <w:szCs w:val="24"/>
          <w:lang w:val="bs-Latn-BA" w:eastAsia="en-GB"/>
        </w:rPr>
      </w:pPr>
    </w:p>
    <w:p w:rsidR="008576D1" w:rsidRPr="00295637" w:rsidRDefault="00C6214E" w:rsidP="0086268D">
      <w:pPr>
        <w:pStyle w:val="NormalWeb"/>
        <w:spacing w:before="0" w:beforeAutospacing="0" w:after="0" w:afterAutospacing="0"/>
        <w:jc w:val="both"/>
        <w:rPr>
          <w:lang w:val="bs-Latn-BA"/>
        </w:rPr>
      </w:pPr>
      <w:r>
        <w:rPr>
          <w:lang w:val="bs-Latn-BA"/>
        </w:rPr>
        <w:t>Усвајање</w:t>
      </w:r>
      <w:r w:rsidR="008576D1" w:rsidRPr="00295637">
        <w:rPr>
          <w:lang w:val="bs-Latn-BA"/>
        </w:rPr>
        <w:t xml:space="preserve"> </w:t>
      </w:r>
      <w:r>
        <w:rPr>
          <w:lang w:val="bs-Latn-BA"/>
        </w:rPr>
        <w:t>Стратегије</w:t>
      </w:r>
      <w:r w:rsidR="008576D1" w:rsidRPr="00295637">
        <w:rPr>
          <w:lang w:val="bs-Latn-BA"/>
        </w:rPr>
        <w:t xml:space="preserve"> </w:t>
      </w:r>
      <w:r>
        <w:rPr>
          <w:lang w:val="bs-Latn-BA"/>
        </w:rPr>
        <w:t>пољопривреде</w:t>
      </w:r>
      <w:r w:rsidR="008576D1" w:rsidRPr="00295637">
        <w:rPr>
          <w:lang w:val="bs-Latn-BA"/>
        </w:rPr>
        <w:t xml:space="preserve"> </w:t>
      </w:r>
      <w:r>
        <w:rPr>
          <w:lang w:val="bs-Latn-BA"/>
        </w:rPr>
        <w:t>и</w:t>
      </w:r>
      <w:r w:rsidR="008576D1" w:rsidRPr="00295637">
        <w:rPr>
          <w:lang w:val="bs-Latn-BA"/>
        </w:rPr>
        <w:t xml:space="preserve"> </w:t>
      </w:r>
      <w:r>
        <w:rPr>
          <w:lang w:val="bs-Latn-BA"/>
        </w:rPr>
        <w:t>руралног</w:t>
      </w:r>
      <w:r w:rsidR="008576D1" w:rsidRPr="00295637">
        <w:rPr>
          <w:lang w:val="bs-Latn-BA"/>
        </w:rPr>
        <w:t xml:space="preserve"> </w:t>
      </w:r>
      <w:r>
        <w:rPr>
          <w:lang w:val="bs-Latn-BA"/>
        </w:rPr>
        <w:t>развоја</w:t>
      </w:r>
      <w:r w:rsidR="008576D1" w:rsidRPr="00295637">
        <w:rPr>
          <w:lang w:val="bs-Latn-BA"/>
        </w:rPr>
        <w:t xml:space="preserve"> 2021</w:t>
      </w:r>
      <w:r w:rsidR="00136128">
        <w:rPr>
          <w:lang w:val="bs-Latn-BA"/>
        </w:rPr>
        <w:t>-</w:t>
      </w:r>
      <w:r w:rsidR="008576D1" w:rsidRPr="00295637">
        <w:rPr>
          <w:lang w:val="bs-Latn-BA"/>
        </w:rPr>
        <w:t>2027</w:t>
      </w:r>
      <w:r w:rsidR="00136128">
        <w:rPr>
          <w:lang w:val="bs-Latn-BA"/>
        </w:rPr>
        <w:t xml:space="preserve">. </w:t>
      </w:r>
      <w:r>
        <w:rPr>
          <w:lang w:val="bs-Latn-BA"/>
        </w:rPr>
        <w:t>година</w:t>
      </w:r>
      <w:r w:rsidR="008576D1" w:rsidRPr="00295637">
        <w:rPr>
          <w:lang w:val="bs-Latn-BA"/>
        </w:rPr>
        <w:t xml:space="preserve"> </w:t>
      </w:r>
      <w:r>
        <w:rPr>
          <w:lang w:val="bs-Latn-BA"/>
        </w:rPr>
        <w:t>је</w:t>
      </w:r>
      <w:r w:rsidR="008576D1" w:rsidRPr="00295637">
        <w:rPr>
          <w:lang w:val="bs-Latn-BA"/>
        </w:rPr>
        <w:t xml:space="preserve"> </w:t>
      </w:r>
      <w:r>
        <w:rPr>
          <w:lang w:val="bs-Latn-BA"/>
        </w:rPr>
        <w:t>у</w:t>
      </w:r>
      <w:r w:rsidR="008576D1" w:rsidRPr="00295637">
        <w:rPr>
          <w:lang w:val="bs-Latn-BA"/>
        </w:rPr>
        <w:t xml:space="preserve"> </w:t>
      </w:r>
      <w:r>
        <w:rPr>
          <w:lang w:val="bs-Latn-BA"/>
        </w:rPr>
        <w:t>ФБиХ</w:t>
      </w:r>
      <w:r w:rsidR="008576D1" w:rsidRPr="00295637">
        <w:rPr>
          <w:lang w:val="bs-Latn-BA"/>
        </w:rPr>
        <w:t xml:space="preserve"> </w:t>
      </w:r>
      <w:r>
        <w:rPr>
          <w:lang w:val="bs-Latn-BA"/>
        </w:rPr>
        <w:t>омогућило</w:t>
      </w:r>
      <w:r w:rsidR="008576D1" w:rsidRPr="00295637">
        <w:rPr>
          <w:lang w:val="bs-Latn-BA"/>
        </w:rPr>
        <w:t xml:space="preserve"> </w:t>
      </w:r>
      <w:r>
        <w:rPr>
          <w:lang w:val="bs-Latn-BA"/>
        </w:rPr>
        <w:t>увођење</w:t>
      </w:r>
      <w:r w:rsidR="008576D1" w:rsidRPr="00295637">
        <w:rPr>
          <w:lang w:val="bs-Latn-BA"/>
        </w:rPr>
        <w:t xml:space="preserve"> </w:t>
      </w:r>
      <w:r>
        <w:rPr>
          <w:lang w:val="bs-Latn-BA"/>
        </w:rPr>
        <w:t>родно</w:t>
      </w:r>
      <w:r w:rsidR="008576D1" w:rsidRPr="00295637">
        <w:rPr>
          <w:lang w:val="bs-Latn-BA"/>
        </w:rPr>
        <w:t xml:space="preserve"> </w:t>
      </w:r>
      <w:r>
        <w:rPr>
          <w:lang w:val="bs-Latn-BA"/>
        </w:rPr>
        <w:t>одговорних</w:t>
      </w:r>
      <w:r w:rsidR="008576D1" w:rsidRPr="00295637">
        <w:rPr>
          <w:lang w:val="bs-Latn-BA"/>
        </w:rPr>
        <w:t xml:space="preserve"> </w:t>
      </w:r>
      <w:r>
        <w:rPr>
          <w:lang w:val="bs-Latn-BA"/>
        </w:rPr>
        <w:t>буџета</w:t>
      </w:r>
      <w:r w:rsidR="008576D1" w:rsidRPr="00295637">
        <w:rPr>
          <w:lang w:val="bs-Latn-BA"/>
        </w:rPr>
        <w:t xml:space="preserve"> </w:t>
      </w:r>
      <w:r>
        <w:rPr>
          <w:lang w:val="bs-Latn-BA"/>
        </w:rPr>
        <w:t>и</w:t>
      </w:r>
      <w:r w:rsidR="008576D1" w:rsidRPr="00295637">
        <w:rPr>
          <w:lang w:val="bs-Latn-BA"/>
        </w:rPr>
        <w:t xml:space="preserve"> </w:t>
      </w:r>
      <w:r>
        <w:rPr>
          <w:lang w:val="bs-Latn-BA"/>
        </w:rPr>
        <w:t>специфичних</w:t>
      </w:r>
      <w:r w:rsidR="008576D1" w:rsidRPr="00295637">
        <w:rPr>
          <w:lang w:val="bs-Latn-BA"/>
        </w:rPr>
        <w:t xml:space="preserve"> </w:t>
      </w:r>
      <w:r>
        <w:rPr>
          <w:lang w:val="bs-Latn-BA"/>
        </w:rPr>
        <w:t>мјера</w:t>
      </w:r>
      <w:r w:rsidR="008576D1" w:rsidRPr="00295637">
        <w:rPr>
          <w:lang w:val="bs-Latn-BA"/>
        </w:rPr>
        <w:t xml:space="preserve"> </w:t>
      </w:r>
      <w:r>
        <w:rPr>
          <w:lang w:val="bs-Latn-BA"/>
        </w:rPr>
        <w:t>подршке</w:t>
      </w:r>
      <w:r w:rsidR="008576D1" w:rsidRPr="00295637">
        <w:rPr>
          <w:lang w:val="bs-Latn-BA"/>
        </w:rPr>
        <w:t xml:space="preserve">. </w:t>
      </w:r>
      <w:r>
        <w:rPr>
          <w:lang w:val="bs-Latn-BA"/>
        </w:rPr>
        <w:t>Програм</w:t>
      </w:r>
      <w:r w:rsidR="008576D1" w:rsidRPr="00295637">
        <w:rPr>
          <w:lang w:val="bs-Latn-BA"/>
        </w:rPr>
        <w:t xml:space="preserve"> </w:t>
      </w:r>
      <w:r>
        <w:rPr>
          <w:lang w:val="bs-Latn-BA"/>
        </w:rPr>
        <w:t>утрошка</w:t>
      </w:r>
      <w:r w:rsidR="008576D1" w:rsidRPr="00295637">
        <w:rPr>
          <w:lang w:val="bs-Latn-BA"/>
        </w:rPr>
        <w:t xml:space="preserve"> </w:t>
      </w:r>
      <w:r>
        <w:rPr>
          <w:lang w:val="bs-Latn-BA"/>
        </w:rPr>
        <w:t>средстава</w:t>
      </w:r>
      <w:r w:rsidR="008576D1" w:rsidRPr="00295637">
        <w:rPr>
          <w:lang w:val="bs-Latn-BA"/>
        </w:rPr>
        <w:t xml:space="preserve"> </w:t>
      </w:r>
      <w:r>
        <w:rPr>
          <w:lang w:val="bs-Latn-BA"/>
        </w:rPr>
        <w:t>укључио</w:t>
      </w:r>
      <w:r w:rsidR="008576D1" w:rsidRPr="00295637">
        <w:rPr>
          <w:lang w:val="bs-Latn-BA"/>
        </w:rPr>
        <w:t xml:space="preserve"> </w:t>
      </w:r>
      <w:r>
        <w:rPr>
          <w:lang w:val="bs-Latn-BA"/>
        </w:rPr>
        <w:t>је</w:t>
      </w:r>
      <w:r w:rsidR="008576D1" w:rsidRPr="00295637">
        <w:rPr>
          <w:lang w:val="bs-Latn-BA"/>
        </w:rPr>
        <w:t xml:space="preserve"> </w:t>
      </w:r>
      <w:r>
        <w:rPr>
          <w:lang w:val="bs-Latn-BA"/>
        </w:rPr>
        <w:t>по</w:t>
      </w:r>
      <w:r w:rsidR="008576D1" w:rsidRPr="00295637">
        <w:rPr>
          <w:lang w:val="bs-Latn-BA"/>
        </w:rPr>
        <w:t xml:space="preserve"> </w:t>
      </w:r>
      <w:r>
        <w:rPr>
          <w:lang w:val="bs-Latn-BA"/>
        </w:rPr>
        <w:t>први</w:t>
      </w:r>
      <w:r w:rsidR="008576D1" w:rsidRPr="00295637">
        <w:rPr>
          <w:lang w:val="bs-Latn-BA"/>
        </w:rPr>
        <w:t xml:space="preserve"> </w:t>
      </w:r>
      <w:r>
        <w:rPr>
          <w:lang w:val="bs-Latn-BA"/>
        </w:rPr>
        <w:t>пут</w:t>
      </w:r>
      <w:r w:rsidR="008576D1" w:rsidRPr="00295637">
        <w:rPr>
          <w:lang w:val="bs-Latn-BA"/>
        </w:rPr>
        <w:t xml:space="preserve"> </w:t>
      </w:r>
      <w:r>
        <w:rPr>
          <w:lang w:val="bs-Latn-BA"/>
        </w:rPr>
        <w:t>субвенције</w:t>
      </w:r>
      <w:r w:rsidR="008576D1" w:rsidRPr="00295637">
        <w:rPr>
          <w:lang w:val="bs-Latn-BA"/>
        </w:rPr>
        <w:t xml:space="preserve"> </w:t>
      </w:r>
      <w:r>
        <w:rPr>
          <w:lang w:val="bs-Latn-BA"/>
        </w:rPr>
        <w:t>за</w:t>
      </w:r>
      <w:r w:rsidR="008576D1" w:rsidRPr="00295637">
        <w:rPr>
          <w:lang w:val="bs-Latn-BA"/>
        </w:rPr>
        <w:t xml:space="preserve"> </w:t>
      </w:r>
      <w:r>
        <w:rPr>
          <w:lang w:val="bs-Latn-BA"/>
        </w:rPr>
        <w:t>младе</w:t>
      </w:r>
      <w:r w:rsidR="008576D1" w:rsidRPr="00295637">
        <w:rPr>
          <w:lang w:val="bs-Latn-BA"/>
        </w:rPr>
        <w:t xml:space="preserve"> </w:t>
      </w:r>
      <w:r>
        <w:rPr>
          <w:lang w:val="bs-Latn-BA"/>
        </w:rPr>
        <w:t>пољопривреднике</w:t>
      </w:r>
      <w:r w:rsidR="008576D1" w:rsidRPr="00295637">
        <w:rPr>
          <w:lang w:val="bs-Latn-BA"/>
        </w:rPr>
        <w:t xml:space="preserve"> </w:t>
      </w:r>
      <w:r>
        <w:rPr>
          <w:lang w:val="bs-Latn-BA"/>
        </w:rPr>
        <w:t>и</w:t>
      </w:r>
      <w:r w:rsidR="008576D1" w:rsidRPr="00295637">
        <w:rPr>
          <w:lang w:val="bs-Latn-BA"/>
        </w:rPr>
        <w:t xml:space="preserve"> </w:t>
      </w:r>
      <w:r>
        <w:rPr>
          <w:lang w:val="bs-Latn-BA"/>
        </w:rPr>
        <w:t>повећао</w:t>
      </w:r>
      <w:r w:rsidR="008576D1" w:rsidRPr="00295637">
        <w:rPr>
          <w:lang w:val="bs-Latn-BA"/>
        </w:rPr>
        <w:t xml:space="preserve"> </w:t>
      </w:r>
      <w:r>
        <w:rPr>
          <w:lang w:val="bs-Latn-BA"/>
        </w:rPr>
        <w:t>додатни</w:t>
      </w:r>
      <w:r w:rsidR="008576D1" w:rsidRPr="00295637">
        <w:rPr>
          <w:lang w:val="bs-Latn-BA"/>
        </w:rPr>
        <w:t xml:space="preserve"> </w:t>
      </w:r>
      <w:r>
        <w:rPr>
          <w:lang w:val="bs-Latn-BA"/>
        </w:rPr>
        <w:t>износ</w:t>
      </w:r>
      <w:r w:rsidR="008576D1" w:rsidRPr="00295637">
        <w:rPr>
          <w:lang w:val="bs-Latn-BA"/>
        </w:rPr>
        <w:t xml:space="preserve"> </w:t>
      </w:r>
      <w:r>
        <w:rPr>
          <w:lang w:val="bs-Latn-BA"/>
        </w:rPr>
        <w:t>улагања</w:t>
      </w:r>
      <w:r w:rsidR="008576D1" w:rsidRPr="00295637">
        <w:rPr>
          <w:lang w:val="bs-Latn-BA"/>
        </w:rPr>
        <w:t xml:space="preserve"> </w:t>
      </w:r>
      <w:r>
        <w:rPr>
          <w:lang w:val="bs-Latn-BA"/>
        </w:rPr>
        <w:t>на</w:t>
      </w:r>
      <w:r w:rsidR="008576D1" w:rsidRPr="00295637">
        <w:rPr>
          <w:lang w:val="bs-Latn-BA"/>
        </w:rPr>
        <w:t xml:space="preserve"> 10% </w:t>
      </w:r>
      <w:r>
        <w:rPr>
          <w:lang w:val="bs-Latn-BA"/>
        </w:rPr>
        <w:t>за</w:t>
      </w:r>
      <w:r w:rsidR="008576D1" w:rsidRPr="00295637">
        <w:rPr>
          <w:lang w:val="bs-Latn-BA"/>
        </w:rPr>
        <w:t xml:space="preserve"> </w:t>
      </w:r>
      <w:r>
        <w:rPr>
          <w:lang w:val="bs-Latn-BA"/>
        </w:rPr>
        <w:t>жене</w:t>
      </w:r>
      <w:r w:rsidR="008576D1" w:rsidRPr="00295637">
        <w:rPr>
          <w:lang w:val="bs-Latn-BA"/>
        </w:rPr>
        <w:t xml:space="preserve">, </w:t>
      </w:r>
      <w:r>
        <w:rPr>
          <w:lang w:val="bs-Latn-BA"/>
        </w:rPr>
        <w:t>младе</w:t>
      </w:r>
      <w:r w:rsidR="008576D1" w:rsidRPr="00295637">
        <w:rPr>
          <w:lang w:val="bs-Latn-BA"/>
        </w:rPr>
        <w:t xml:space="preserve"> </w:t>
      </w:r>
      <w:r>
        <w:rPr>
          <w:lang w:val="bs-Latn-BA"/>
        </w:rPr>
        <w:t>пољопривреднике</w:t>
      </w:r>
      <w:r w:rsidR="008576D1" w:rsidRPr="00295637">
        <w:rPr>
          <w:lang w:val="bs-Latn-BA"/>
        </w:rPr>
        <w:t xml:space="preserve"> </w:t>
      </w:r>
      <w:r>
        <w:rPr>
          <w:lang w:val="bs-Latn-BA"/>
        </w:rPr>
        <w:t>до</w:t>
      </w:r>
      <w:r w:rsidR="008576D1" w:rsidRPr="00295637">
        <w:rPr>
          <w:lang w:val="bs-Latn-BA"/>
        </w:rPr>
        <w:t xml:space="preserve"> 40 </w:t>
      </w:r>
      <w:r>
        <w:rPr>
          <w:lang w:val="bs-Latn-BA"/>
        </w:rPr>
        <w:t>година</w:t>
      </w:r>
      <w:r w:rsidR="008576D1" w:rsidRPr="00295637">
        <w:rPr>
          <w:lang w:val="bs-Latn-BA"/>
        </w:rPr>
        <w:t xml:space="preserve">, </w:t>
      </w:r>
      <w:r>
        <w:rPr>
          <w:lang w:val="bs-Latn-BA"/>
        </w:rPr>
        <w:t>домаћинства</w:t>
      </w:r>
      <w:r w:rsidR="008576D1" w:rsidRPr="00295637">
        <w:rPr>
          <w:lang w:val="bs-Latn-BA"/>
        </w:rPr>
        <w:t xml:space="preserve"> </w:t>
      </w:r>
      <w:r>
        <w:rPr>
          <w:lang w:val="bs-Latn-BA"/>
        </w:rPr>
        <w:t>са</w:t>
      </w:r>
      <w:r w:rsidR="008576D1" w:rsidRPr="00295637">
        <w:rPr>
          <w:lang w:val="bs-Latn-BA"/>
        </w:rPr>
        <w:t xml:space="preserve"> </w:t>
      </w:r>
      <w:r>
        <w:rPr>
          <w:lang w:val="bs-Latn-BA"/>
        </w:rPr>
        <w:t>троје</w:t>
      </w:r>
      <w:r w:rsidR="008576D1" w:rsidRPr="00295637">
        <w:rPr>
          <w:lang w:val="bs-Latn-BA"/>
        </w:rPr>
        <w:t xml:space="preserve"> </w:t>
      </w:r>
      <w:r>
        <w:rPr>
          <w:lang w:val="bs-Latn-BA"/>
        </w:rPr>
        <w:t>и</w:t>
      </w:r>
      <w:r w:rsidR="008576D1" w:rsidRPr="00295637">
        <w:rPr>
          <w:lang w:val="bs-Latn-BA"/>
        </w:rPr>
        <w:t xml:space="preserve"> </w:t>
      </w:r>
      <w:r>
        <w:rPr>
          <w:lang w:val="bs-Latn-BA"/>
        </w:rPr>
        <w:t>више</w:t>
      </w:r>
      <w:r w:rsidR="008576D1" w:rsidRPr="00295637">
        <w:rPr>
          <w:lang w:val="bs-Latn-BA"/>
        </w:rPr>
        <w:t xml:space="preserve"> </w:t>
      </w:r>
      <w:r>
        <w:rPr>
          <w:lang w:val="bs-Latn-BA"/>
        </w:rPr>
        <w:t>дјеце</w:t>
      </w:r>
      <w:r w:rsidR="008576D1" w:rsidRPr="00295637">
        <w:rPr>
          <w:lang w:val="bs-Latn-BA"/>
        </w:rPr>
        <w:t xml:space="preserve"> </w:t>
      </w:r>
      <w:r>
        <w:rPr>
          <w:lang w:val="bs-Latn-BA"/>
        </w:rPr>
        <w:t>те</w:t>
      </w:r>
      <w:r w:rsidR="008576D1" w:rsidRPr="00295637">
        <w:rPr>
          <w:lang w:val="bs-Latn-BA"/>
        </w:rPr>
        <w:t xml:space="preserve"> </w:t>
      </w:r>
      <w:r>
        <w:rPr>
          <w:lang w:val="bs-Latn-BA"/>
        </w:rPr>
        <w:t>пољопривредна</w:t>
      </w:r>
      <w:r w:rsidR="008576D1" w:rsidRPr="00295637">
        <w:rPr>
          <w:lang w:val="bs-Latn-BA"/>
        </w:rPr>
        <w:t xml:space="preserve"> </w:t>
      </w:r>
      <w:r>
        <w:rPr>
          <w:lang w:val="bs-Latn-BA"/>
        </w:rPr>
        <w:t>газдинства</w:t>
      </w:r>
      <w:r w:rsidR="008576D1" w:rsidRPr="00295637">
        <w:rPr>
          <w:lang w:val="bs-Latn-BA"/>
        </w:rPr>
        <w:t xml:space="preserve"> </w:t>
      </w:r>
      <w:r>
        <w:rPr>
          <w:lang w:val="bs-Latn-BA"/>
        </w:rPr>
        <w:t>на</w:t>
      </w:r>
      <w:r w:rsidR="008576D1" w:rsidRPr="00295637">
        <w:rPr>
          <w:lang w:val="bs-Latn-BA"/>
        </w:rPr>
        <w:t xml:space="preserve"> </w:t>
      </w:r>
      <w:r>
        <w:rPr>
          <w:lang w:val="bs-Latn-BA"/>
        </w:rPr>
        <w:t>надморској</w:t>
      </w:r>
      <w:r w:rsidR="008576D1" w:rsidRPr="00295637">
        <w:rPr>
          <w:lang w:val="bs-Latn-BA"/>
        </w:rPr>
        <w:t xml:space="preserve"> </w:t>
      </w:r>
      <w:r>
        <w:rPr>
          <w:lang w:val="bs-Latn-BA"/>
        </w:rPr>
        <w:t>висини</w:t>
      </w:r>
      <w:r w:rsidR="008576D1" w:rsidRPr="00295637">
        <w:rPr>
          <w:lang w:val="bs-Latn-BA"/>
        </w:rPr>
        <w:t xml:space="preserve"> </w:t>
      </w:r>
      <w:r>
        <w:rPr>
          <w:lang w:val="bs-Latn-BA"/>
        </w:rPr>
        <w:t>изнад</w:t>
      </w:r>
      <w:r w:rsidR="008576D1" w:rsidRPr="00295637">
        <w:rPr>
          <w:lang w:val="bs-Latn-BA"/>
        </w:rPr>
        <w:t xml:space="preserve"> 600 </w:t>
      </w:r>
      <w:r>
        <w:rPr>
          <w:lang w:val="bs-Latn-BA"/>
        </w:rPr>
        <w:t>метара</w:t>
      </w:r>
      <w:r w:rsidR="008576D1" w:rsidRPr="00295637">
        <w:rPr>
          <w:lang w:val="bs-Latn-BA"/>
        </w:rPr>
        <w:t xml:space="preserve">. </w:t>
      </w:r>
      <w:r>
        <w:rPr>
          <w:lang w:val="bs-Latn-BA"/>
        </w:rPr>
        <w:t>Ови</w:t>
      </w:r>
      <w:r w:rsidR="008576D1" w:rsidRPr="00295637">
        <w:rPr>
          <w:lang w:val="bs-Latn-BA"/>
        </w:rPr>
        <w:t xml:space="preserve"> </w:t>
      </w:r>
      <w:r>
        <w:rPr>
          <w:lang w:val="bs-Latn-BA"/>
        </w:rPr>
        <w:t>привремени</w:t>
      </w:r>
      <w:r w:rsidR="004F4ED0" w:rsidRPr="00295637">
        <w:rPr>
          <w:lang w:val="bs-Latn-BA"/>
        </w:rPr>
        <w:t xml:space="preserve"> </w:t>
      </w:r>
      <w:r>
        <w:rPr>
          <w:lang w:val="bs-Latn-BA"/>
        </w:rPr>
        <w:t>и</w:t>
      </w:r>
      <w:r w:rsidR="004F4ED0" w:rsidRPr="00295637">
        <w:rPr>
          <w:lang w:val="bs-Latn-BA"/>
        </w:rPr>
        <w:t xml:space="preserve"> </w:t>
      </w:r>
      <w:r>
        <w:rPr>
          <w:lang w:val="bs-Latn-BA"/>
        </w:rPr>
        <w:t>посебни</w:t>
      </w:r>
      <w:r w:rsidR="004F4ED0" w:rsidRPr="00295637">
        <w:rPr>
          <w:lang w:val="bs-Latn-BA"/>
        </w:rPr>
        <w:t xml:space="preserve"> </w:t>
      </w:r>
      <w:r>
        <w:rPr>
          <w:lang w:val="bs-Latn-BA"/>
        </w:rPr>
        <w:t>механизми</w:t>
      </w:r>
      <w:r w:rsidR="008576D1" w:rsidRPr="00295637">
        <w:rPr>
          <w:lang w:val="bs-Latn-BA"/>
        </w:rPr>
        <w:t xml:space="preserve"> </w:t>
      </w:r>
      <w:r>
        <w:rPr>
          <w:lang w:val="bs-Latn-BA"/>
        </w:rPr>
        <w:t>пружају</w:t>
      </w:r>
      <w:r w:rsidR="008576D1" w:rsidRPr="00295637">
        <w:rPr>
          <w:lang w:val="bs-Latn-BA"/>
        </w:rPr>
        <w:t xml:space="preserve"> </w:t>
      </w:r>
      <w:r>
        <w:rPr>
          <w:lang w:val="bs-Latn-BA"/>
        </w:rPr>
        <w:t>бољу</w:t>
      </w:r>
      <w:r w:rsidR="008576D1" w:rsidRPr="00295637">
        <w:rPr>
          <w:lang w:val="bs-Latn-BA"/>
        </w:rPr>
        <w:t xml:space="preserve"> </w:t>
      </w:r>
      <w:r>
        <w:rPr>
          <w:lang w:val="bs-Latn-BA"/>
        </w:rPr>
        <w:t>финансијску</w:t>
      </w:r>
      <w:r w:rsidR="008576D1" w:rsidRPr="00295637">
        <w:rPr>
          <w:lang w:val="bs-Latn-BA"/>
        </w:rPr>
        <w:t xml:space="preserve"> </w:t>
      </w:r>
      <w:r>
        <w:rPr>
          <w:lang w:val="bs-Latn-BA"/>
        </w:rPr>
        <w:t>подршку</w:t>
      </w:r>
      <w:r w:rsidR="008576D1" w:rsidRPr="00295637">
        <w:rPr>
          <w:lang w:val="bs-Latn-BA"/>
        </w:rPr>
        <w:t xml:space="preserve"> </w:t>
      </w:r>
      <w:r>
        <w:rPr>
          <w:lang w:val="bs-Latn-BA"/>
        </w:rPr>
        <w:t>женама</w:t>
      </w:r>
      <w:r w:rsidR="008576D1" w:rsidRPr="00295637">
        <w:rPr>
          <w:lang w:val="bs-Latn-BA"/>
        </w:rPr>
        <w:t xml:space="preserve"> </w:t>
      </w:r>
      <w:r>
        <w:rPr>
          <w:lang w:val="bs-Latn-BA"/>
        </w:rPr>
        <w:t>и</w:t>
      </w:r>
      <w:r w:rsidR="008576D1" w:rsidRPr="00295637">
        <w:rPr>
          <w:lang w:val="bs-Latn-BA"/>
        </w:rPr>
        <w:t xml:space="preserve"> </w:t>
      </w:r>
      <w:r>
        <w:rPr>
          <w:lang w:val="bs-Latn-BA"/>
        </w:rPr>
        <w:t>маргинализ</w:t>
      </w:r>
      <w:r w:rsidR="00AE5809">
        <w:rPr>
          <w:lang w:val="sr-Cyrl-BA"/>
        </w:rPr>
        <w:t>ованим</w:t>
      </w:r>
      <w:r w:rsidR="008576D1" w:rsidRPr="00295637">
        <w:rPr>
          <w:lang w:val="bs-Latn-BA"/>
        </w:rPr>
        <w:t xml:space="preserve"> </w:t>
      </w:r>
      <w:r>
        <w:rPr>
          <w:lang w:val="bs-Latn-BA"/>
        </w:rPr>
        <w:t>групама</w:t>
      </w:r>
      <w:r w:rsidR="008576D1" w:rsidRPr="00295637">
        <w:rPr>
          <w:lang w:val="bs-Latn-BA"/>
        </w:rPr>
        <w:t xml:space="preserve">, </w:t>
      </w:r>
      <w:r>
        <w:rPr>
          <w:lang w:val="bs-Latn-BA"/>
        </w:rPr>
        <w:t>оснажујући</w:t>
      </w:r>
      <w:r w:rsidR="008576D1" w:rsidRPr="00295637">
        <w:rPr>
          <w:lang w:val="bs-Latn-BA"/>
        </w:rPr>
        <w:t xml:space="preserve"> </w:t>
      </w:r>
      <w:r>
        <w:rPr>
          <w:lang w:val="bs-Latn-BA"/>
        </w:rPr>
        <w:t>их</w:t>
      </w:r>
      <w:r w:rsidR="008576D1" w:rsidRPr="00295637">
        <w:rPr>
          <w:lang w:val="bs-Latn-BA"/>
        </w:rPr>
        <w:t xml:space="preserve"> </w:t>
      </w:r>
      <w:r>
        <w:rPr>
          <w:lang w:val="bs-Latn-BA"/>
        </w:rPr>
        <w:t>за</w:t>
      </w:r>
      <w:r w:rsidR="008576D1" w:rsidRPr="00295637">
        <w:rPr>
          <w:lang w:val="bs-Latn-BA"/>
        </w:rPr>
        <w:t xml:space="preserve"> </w:t>
      </w:r>
      <w:r>
        <w:rPr>
          <w:lang w:val="bs-Latn-BA"/>
        </w:rPr>
        <w:t>активније</w:t>
      </w:r>
      <w:r w:rsidR="008576D1" w:rsidRPr="00295637">
        <w:rPr>
          <w:lang w:val="bs-Latn-BA"/>
        </w:rPr>
        <w:t xml:space="preserve"> </w:t>
      </w:r>
      <w:r>
        <w:rPr>
          <w:lang w:val="bs-Latn-BA"/>
        </w:rPr>
        <w:t>учешће</w:t>
      </w:r>
      <w:r w:rsidR="008576D1" w:rsidRPr="00295637">
        <w:rPr>
          <w:lang w:val="bs-Latn-BA"/>
        </w:rPr>
        <w:t xml:space="preserve"> </w:t>
      </w:r>
      <w:r>
        <w:rPr>
          <w:lang w:val="bs-Latn-BA"/>
        </w:rPr>
        <w:t>у</w:t>
      </w:r>
      <w:r w:rsidR="008576D1" w:rsidRPr="00295637">
        <w:rPr>
          <w:lang w:val="bs-Latn-BA"/>
        </w:rPr>
        <w:t xml:space="preserve"> </w:t>
      </w:r>
      <w:r>
        <w:rPr>
          <w:lang w:val="bs-Latn-BA"/>
        </w:rPr>
        <w:t>пољопривреди</w:t>
      </w:r>
      <w:r w:rsidR="008576D1" w:rsidRPr="00295637">
        <w:rPr>
          <w:lang w:val="bs-Latn-BA"/>
        </w:rPr>
        <w:t xml:space="preserve"> </w:t>
      </w:r>
      <w:r>
        <w:rPr>
          <w:lang w:val="bs-Latn-BA"/>
        </w:rPr>
        <w:t>и</w:t>
      </w:r>
      <w:r w:rsidR="008576D1" w:rsidRPr="00295637">
        <w:rPr>
          <w:lang w:val="bs-Latn-BA"/>
        </w:rPr>
        <w:t xml:space="preserve"> </w:t>
      </w:r>
      <w:r>
        <w:rPr>
          <w:lang w:val="bs-Latn-BA"/>
        </w:rPr>
        <w:t>руралном</w:t>
      </w:r>
      <w:r w:rsidR="008576D1" w:rsidRPr="00295637">
        <w:rPr>
          <w:lang w:val="bs-Latn-BA"/>
        </w:rPr>
        <w:t xml:space="preserve"> </w:t>
      </w:r>
      <w:r>
        <w:rPr>
          <w:lang w:val="bs-Latn-BA"/>
        </w:rPr>
        <w:t>развоју</w:t>
      </w:r>
      <w:r w:rsidR="008576D1" w:rsidRPr="00295637">
        <w:rPr>
          <w:lang w:val="bs-Latn-BA"/>
        </w:rPr>
        <w:t>.</w:t>
      </w:r>
    </w:p>
    <w:p w:rsidR="005D25D6" w:rsidRPr="00295637" w:rsidRDefault="005D25D6" w:rsidP="0086268D">
      <w:pPr>
        <w:pStyle w:val="NormalWeb"/>
        <w:spacing w:before="0" w:beforeAutospacing="0" w:after="0" w:afterAutospacing="0"/>
        <w:jc w:val="both"/>
        <w:rPr>
          <w:lang w:val="bs-Latn-BA"/>
        </w:rPr>
      </w:pPr>
    </w:p>
    <w:p w:rsidR="005D25D6" w:rsidRPr="00295637" w:rsidRDefault="00C6214E" w:rsidP="0086268D">
      <w:pPr>
        <w:pStyle w:val="ListParagraph"/>
        <w:ind w:left="0"/>
        <w:jc w:val="both"/>
        <w:rPr>
          <w:rFonts w:ascii="Times New Roman" w:hAnsi="Times New Roman"/>
          <w:strike/>
          <w:lang w:val="sr-Cyrl-BA"/>
        </w:rPr>
      </w:pPr>
      <w:r>
        <w:rPr>
          <w:rFonts w:ascii="Times New Roman" w:hAnsi="Times New Roman"/>
          <w:lang w:val="sr-Latn-BA"/>
        </w:rPr>
        <w:t>ЦЈРП</w:t>
      </w:r>
      <w:r w:rsidR="005D25D6" w:rsidRPr="00295637">
        <w:rPr>
          <w:rFonts w:ascii="Times New Roman" w:hAnsi="Times New Roman"/>
          <w:lang w:val="sr-Latn-BA"/>
        </w:rPr>
        <w:t xml:space="preserve"> </w:t>
      </w:r>
      <w:r>
        <w:rPr>
          <w:rFonts w:ascii="Times New Roman" w:hAnsi="Times New Roman"/>
          <w:lang w:val="sr-Latn-BA"/>
        </w:rPr>
        <w:t>РС</w:t>
      </w:r>
      <w:r w:rsidR="005D25D6" w:rsidRPr="00295637">
        <w:rPr>
          <w:rFonts w:ascii="Times New Roman" w:hAnsi="Times New Roman"/>
          <w:lang w:val="sr-Cyrl-BA"/>
        </w:rPr>
        <w:t xml:space="preserve"> </w:t>
      </w:r>
      <w:r>
        <w:rPr>
          <w:rFonts w:ascii="Times New Roman" w:hAnsi="Times New Roman"/>
          <w:lang w:val="sr-Cyrl-BA"/>
        </w:rPr>
        <w:t>је</w:t>
      </w:r>
      <w:r w:rsidR="005D25D6" w:rsidRPr="00295637">
        <w:rPr>
          <w:rFonts w:ascii="Times New Roman" w:hAnsi="Times New Roman"/>
          <w:lang w:val="sr-Cyrl-BA"/>
        </w:rPr>
        <w:t xml:space="preserve"> </w:t>
      </w:r>
      <w:r>
        <w:rPr>
          <w:rFonts w:ascii="Times New Roman" w:hAnsi="Times New Roman"/>
          <w:lang w:val="sr-Cyrl-BA"/>
        </w:rPr>
        <w:t>дао</w:t>
      </w:r>
      <w:r w:rsidR="005D25D6" w:rsidRPr="00295637">
        <w:rPr>
          <w:rFonts w:ascii="Times New Roman" w:hAnsi="Times New Roman"/>
          <w:lang w:val="sr-Cyrl-BA"/>
        </w:rPr>
        <w:t xml:space="preserve"> </w:t>
      </w:r>
      <w:r>
        <w:rPr>
          <w:rFonts w:ascii="Times New Roman" w:hAnsi="Times New Roman"/>
          <w:lang w:val="sr-Cyrl-BA"/>
        </w:rPr>
        <w:t>мишљење</w:t>
      </w:r>
      <w:r w:rsidR="00026E61" w:rsidRPr="00295637">
        <w:rPr>
          <w:rFonts w:ascii="Times New Roman" w:hAnsi="Times New Roman"/>
          <w:lang w:val="bs-Latn-BA"/>
        </w:rPr>
        <w:t xml:space="preserve"> </w:t>
      </w:r>
      <w:r>
        <w:rPr>
          <w:rFonts w:ascii="Times New Roman" w:hAnsi="Times New Roman"/>
          <w:lang w:val="bs-Latn-BA"/>
        </w:rPr>
        <w:t>о</w:t>
      </w:r>
      <w:r w:rsidR="005D25D6" w:rsidRPr="00295637">
        <w:rPr>
          <w:rFonts w:ascii="Times New Roman" w:hAnsi="Times New Roman"/>
          <w:lang w:val="sr-Cyrl-BA"/>
        </w:rPr>
        <w:t xml:space="preserve"> </w:t>
      </w:r>
      <w:r>
        <w:rPr>
          <w:rFonts w:ascii="Times New Roman" w:hAnsi="Times New Roman"/>
          <w:lang w:val="sr-Cyrl-BA"/>
        </w:rPr>
        <w:t>усклађености</w:t>
      </w:r>
      <w:r w:rsidR="005D25D6" w:rsidRPr="00295637">
        <w:rPr>
          <w:rFonts w:ascii="Times New Roman" w:hAnsi="Times New Roman"/>
          <w:lang w:val="sr-Cyrl-BA"/>
        </w:rPr>
        <w:t xml:space="preserve"> </w:t>
      </w:r>
      <w:r>
        <w:rPr>
          <w:rFonts w:ascii="Times New Roman" w:hAnsi="Times New Roman"/>
          <w:lang w:val="bs-Latn-BA"/>
        </w:rPr>
        <w:t>четири</w:t>
      </w:r>
      <w:r w:rsidR="00026E61" w:rsidRPr="00295637">
        <w:rPr>
          <w:rFonts w:ascii="Times New Roman" w:hAnsi="Times New Roman"/>
          <w:lang w:val="bs-Latn-BA"/>
        </w:rPr>
        <w:t xml:space="preserve"> </w:t>
      </w:r>
      <w:r>
        <w:rPr>
          <w:rFonts w:ascii="Times New Roman" w:hAnsi="Times New Roman"/>
          <w:lang w:val="sr-Cyrl-BA"/>
        </w:rPr>
        <w:t>прописа</w:t>
      </w:r>
      <w:r w:rsidR="00026E61" w:rsidRPr="00295637">
        <w:rPr>
          <w:rFonts w:ascii="Times New Roman" w:hAnsi="Times New Roman"/>
          <w:lang w:val="bs-Latn-BA"/>
        </w:rPr>
        <w:t xml:space="preserve"> </w:t>
      </w:r>
      <w:r>
        <w:rPr>
          <w:rFonts w:ascii="Times New Roman" w:hAnsi="Times New Roman"/>
          <w:lang w:val="bs-Latn-BA"/>
        </w:rPr>
        <w:t>из</w:t>
      </w:r>
      <w:r w:rsidR="00026E61" w:rsidRPr="00295637">
        <w:rPr>
          <w:rFonts w:ascii="Times New Roman" w:hAnsi="Times New Roman"/>
          <w:lang w:val="bs-Latn-BA"/>
        </w:rPr>
        <w:t xml:space="preserve"> </w:t>
      </w:r>
      <w:r>
        <w:rPr>
          <w:rFonts w:ascii="Times New Roman" w:hAnsi="Times New Roman"/>
          <w:lang w:val="bs-Latn-BA"/>
        </w:rPr>
        <w:t>области</w:t>
      </w:r>
      <w:r w:rsidR="00026E61" w:rsidRPr="00295637">
        <w:rPr>
          <w:rFonts w:ascii="Times New Roman" w:hAnsi="Times New Roman"/>
          <w:lang w:val="bs-Latn-BA"/>
        </w:rPr>
        <w:t xml:space="preserve"> </w:t>
      </w:r>
      <w:r>
        <w:rPr>
          <w:rFonts w:ascii="Times New Roman" w:hAnsi="Times New Roman"/>
          <w:lang w:val="sr-Latn-BA"/>
        </w:rPr>
        <w:t>пољопривреде</w:t>
      </w:r>
      <w:r w:rsidR="00026E61" w:rsidRPr="00295637">
        <w:rPr>
          <w:rFonts w:ascii="Times New Roman" w:hAnsi="Times New Roman"/>
          <w:lang w:val="sr-Latn-BA"/>
        </w:rPr>
        <w:t xml:space="preserve">, </w:t>
      </w:r>
      <w:r>
        <w:rPr>
          <w:rFonts w:ascii="Times New Roman" w:hAnsi="Times New Roman"/>
          <w:lang w:val="sr-Latn-BA"/>
        </w:rPr>
        <w:t>шумарства</w:t>
      </w:r>
      <w:r w:rsidR="00026E61" w:rsidRPr="00295637">
        <w:rPr>
          <w:rFonts w:ascii="Times New Roman" w:hAnsi="Times New Roman"/>
          <w:lang w:val="sr-Latn-BA"/>
        </w:rPr>
        <w:t xml:space="preserve"> </w:t>
      </w:r>
      <w:r>
        <w:rPr>
          <w:rFonts w:ascii="Times New Roman" w:hAnsi="Times New Roman"/>
          <w:lang w:val="sr-Latn-BA"/>
        </w:rPr>
        <w:t>и</w:t>
      </w:r>
      <w:r w:rsidR="00026E61" w:rsidRPr="00295637">
        <w:rPr>
          <w:rFonts w:ascii="Times New Roman" w:hAnsi="Times New Roman"/>
          <w:lang w:val="sr-Latn-BA"/>
        </w:rPr>
        <w:t xml:space="preserve"> </w:t>
      </w:r>
      <w:r>
        <w:rPr>
          <w:rFonts w:ascii="Times New Roman" w:hAnsi="Times New Roman"/>
          <w:lang w:val="sr-Latn-BA"/>
        </w:rPr>
        <w:t>водопривреде</w:t>
      </w:r>
      <w:r w:rsidR="00136128">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5D25D6" w:rsidRPr="00295637">
        <w:rPr>
          <w:rFonts w:ascii="Times New Roman" w:hAnsi="Times New Roman"/>
          <w:lang w:val="sr-Cyrl-BA"/>
        </w:rPr>
        <w:t xml:space="preserve"> </w:t>
      </w:r>
      <w:r>
        <w:rPr>
          <w:rFonts w:ascii="Times New Roman" w:hAnsi="Times New Roman"/>
          <w:lang w:val="sr-Cyrl-BA"/>
        </w:rPr>
        <w:t>З</w:t>
      </w:r>
      <w:r>
        <w:rPr>
          <w:rFonts w:ascii="Times New Roman" w:hAnsi="Times New Roman"/>
          <w:lang w:val="bs-Latn-BA"/>
        </w:rPr>
        <w:t>оР</w:t>
      </w:r>
      <w:r w:rsidR="00AE5809">
        <w:rPr>
          <w:rFonts w:ascii="Times New Roman" w:hAnsi="Times New Roman"/>
          <w:lang w:val="sr-Cyrl-BA"/>
        </w:rPr>
        <w:t>П</w:t>
      </w:r>
      <w:r w:rsidR="00D02488" w:rsidRPr="00295637">
        <w:rPr>
          <w:rFonts w:ascii="Times New Roman" w:hAnsi="Times New Roman"/>
          <w:lang w:val="bs-Latn-BA"/>
        </w:rPr>
        <w:t>-</w:t>
      </w:r>
      <w:r>
        <w:rPr>
          <w:rFonts w:ascii="Times New Roman" w:hAnsi="Times New Roman"/>
          <w:lang w:val="bs-Latn-BA"/>
        </w:rPr>
        <w:t>ом</w:t>
      </w:r>
      <w:r w:rsidR="00D02488" w:rsidRPr="00295637">
        <w:rPr>
          <w:rFonts w:ascii="Times New Roman" w:hAnsi="Times New Roman"/>
          <w:lang w:val="bs-Latn-BA"/>
        </w:rPr>
        <w:t xml:space="preserve"> </w:t>
      </w:r>
      <w:r>
        <w:rPr>
          <w:rFonts w:ascii="Times New Roman" w:hAnsi="Times New Roman"/>
          <w:lang w:val="bs-Latn-BA"/>
        </w:rPr>
        <w:t>БиХ</w:t>
      </w:r>
      <w:r w:rsidR="00026E61" w:rsidRPr="00295637">
        <w:rPr>
          <w:rFonts w:ascii="Times New Roman" w:hAnsi="Times New Roman"/>
          <w:lang w:val="bs-Latn-BA"/>
        </w:rPr>
        <w:t>.</w:t>
      </w:r>
      <w:r w:rsidR="005D25D6" w:rsidRPr="00295637">
        <w:rPr>
          <w:rFonts w:ascii="Times New Roman" w:hAnsi="Times New Roman"/>
          <w:lang w:val="sr-Cyrl-BA"/>
        </w:rPr>
        <w:t xml:space="preserve"> </w:t>
      </w:r>
    </w:p>
    <w:p w:rsidR="005D25D6" w:rsidRPr="00295637" w:rsidRDefault="005D25D6" w:rsidP="0086268D">
      <w:pPr>
        <w:pStyle w:val="ListParagraph"/>
        <w:ind w:left="0"/>
        <w:jc w:val="both"/>
        <w:rPr>
          <w:rFonts w:ascii="Times New Roman" w:hAnsi="Times New Roman"/>
          <w:lang w:val="sr-Cyrl-BA"/>
        </w:rPr>
      </w:pPr>
    </w:p>
    <w:p w:rsidR="005D25D6" w:rsidRPr="00295637" w:rsidRDefault="00AE5809" w:rsidP="0086268D">
      <w:pPr>
        <w:pStyle w:val="ListParagraph"/>
        <w:ind w:left="0"/>
        <w:jc w:val="both"/>
        <w:rPr>
          <w:rFonts w:ascii="Times New Roman" w:hAnsi="Times New Roman"/>
          <w:lang w:val="sr-Latn-BA"/>
        </w:rPr>
      </w:pPr>
      <w:r>
        <w:rPr>
          <w:rFonts w:ascii="Times New Roman" w:hAnsi="Times New Roman"/>
          <w:lang w:val="sr-Cyrl-BA"/>
        </w:rPr>
        <w:t>Спроведене</w:t>
      </w:r>
      <w:r w:rsidR="00834BD3">
        <w:rPr>
          <w:rFonts w:ascii="Times New Roman" w:hAnsi="Times New Roman"/>
          <w:lang w:val="sr-Cyrl-BA"/>
        </w:rPr>
        <w:t xml:space="preserve"> </w:t>
      </w:r>
      <w:r w:rsidR="00C6214E">
        <w:rPr>
          <w:rFonts w:ascii="Times New Roman" w:hAnsi="Times New Roman"/>
          <w:lang w:val="sr-Cyrl-BA"/>
        </w:rPr>
        <w:t>су</w:t>
      </w:r>
      <w:r w:rsidR="00834BD3">
        <w:rPr>
          <w:rFonts w:ascii="Times New Roman" w:hAnsi="Times New Roman"/>
          <w:lang w:val="sr-Cyrl-BA"/>
        </w:rPr>
        <w:t xml:space="preserve"> </w:t>
      </w:r>
      <w:r w:rsidR="00C6214E">
        <w:rPr>
          <w:rFonts w:ascii="Times New Roman" w:hAnsi="Times New Roman"/>
          <w:lang w:val="sr-Cyrl-BA"/>
        </w:rPr>
        <w:t>мјере</w:t>
      </w:r>
      <w:r w:rsidR="00834BD3">
        <w:rPr>
          <w:rFonts w:ascii="Times New Roman" w:hAnsi="Times New Roman"/>
          <w:lang w:val="sr-Cyrl-BA"/>
        </w:rPr>
        <w:t xml:space="preserve"> </w:t>
      </w:r>
      <w:r w:rsidR="00C6214E">
        <w:rPr>
          <w:rFonts w:ascii="Times New Roman" w:hAnsi="Times New Roman"/>
          <w:lang w:val="sr-Cyrl-BA"/>
        </w:rPr>
        <w:t>из</w:t>
      </w:r>
      <w:r w:rsidR="00834BD3">
        <w:rPr>
          <w:rFonts w:ascii="Times New Roman" w:hAnsi="Times New Roman"/>
          <w:lang w:val="sr-Cyrl-BA"/>
        </w:rPr>
        <w:t xml:space="preserve"> </w:t>
      </w:r>
      <w:r w:rsidR="00C6214E">
        <w:rPr>
          <w:rFonts w:ascii="Times New Roman" w:hAnsi="Times New Roman"/>
          <w:lang w:val="sr-Cyrl-BA"/>
        </w:rPr>
        <w:t>Акци</w:t>
      </w:r>
      <w:r w:rsidR="00C6214E">
        <w:rPr>
          <w:rFonts w:ascii="Times New Roman" w:hAnsi="Times New Roman"/>
          <w:lang w:val="hr-HR"/>
        </w:rPr>
        <w:t>оног</w:t>
      </w:r>
      <w:r w:rsidR="00834BD3">
        <w:rPr>
          <w:rFonts w:ascii="Times New Roman" w:hAnsi="Times New Roman"/>
          <w:lang w:val="sr-Cyrl-BA"/>
        </w:rPr>
        <w:t xml:space="preserve"> </w:t>
      </w:r>
      <w:r w:rsidR="00C6214E">
        <w:rPr>
          <w:rFonts w:ascii="Times New Roman" w:hAnsi="Times New Roman"/>
          <w:lang w:val="sr-Cyrl-BA"/>
        </w:rPr>
        <w:t>плана</w:t>
      </w:r>
      <w:r w:rsidR="00834BD3">
        <w:rPr>
          <w:rFonts w:ascii="Times New Roman" w:hAnsi="Times New Roman"/>
          <w:lang w:val="sr-Cyrl-BA"/>
        </w:rPr>
        <w:t xml:space="preserve"> </w:t>
      </w:r>
      <w:r w:rsidR="00C6214E">
        <w:rPr>
          <w:rFonts w:ascii="Times New Roman" w:hAnsi="Times New Roman"/>
          <w:lang w:val="sr-Cyrl-BA"/>
        </w:rPr>
        <w:t>за</w:t>
      </w:r>
      <w:r w:rsidR="00834BD3">
        <w:rPr>
          <w:rFonts w:ascii="Times New Roman" w:hAnsi="Times New Roman"/>
          <w:lang w:val="sr-Cyrl-BA"/>
        </w:rPr>
        <w:t xml:space="preserve"> </w:t>
      </w:r>
      <w:r w:rsidR="00C6214E">
        <w:rPr>
          <w:rFonts w:ascii="Times New Roman" w:hAnsi="Times New Roman"/>
          <w:lang w:val="sr-Cyrl-BA"/>
        </w:rPr>
        <w:t>унапређење</w:t>
      </w:r>
      <w:r w:rsidR="005D25D6" w:rsidRPr="00295637">
        <w:rPr>
          <w:rFonts w:ascii="Times New Roman" w:hAnsi="Times New Roman"/>
          <w:lang w:val="sr-Cyrl-BA"/>
        </w:rPr>
        <w:t xml:space="preserve"> </w:t>
      </w:r>
      <w:r w:rsidR="00C6214E">
        <w:rPr>
          <w:rFonts w:ascii="Times New Roman" w:hAnsi="Times New Roman"/>
          <w:lang w:val="sr-Cyrl-BA"/>
        </w:rPr>
        <w:t>положаја</w:t>
      </w:r>
      <w:r w:rsidR="005D25D6" w:rsidRPr="00295637">
        <w:rPr>
          <w:rFonts w:ascii="Times New Roman" w:hAnsi="Times New Roman"/>
          <w:lang w:val="sr-Cyrl-BA"/>
        </w:rPr>
        <w:t xml:space="preserve"> </w:t>
      </w:r>
      <w:r w:rsidR="00C6214E">
        <w:rPr>
          <w:rFonts w:ascii="Times New Roman" w:hAnsi="Times New Roman"/>
          <w:lang w:val="sr-Cyrl-BA"/>
        </w:rPr>
        <w:t>жена</w:t>
      </w:r>
      <w:r w:rsidR="005D25D6" w:rsidRPr="00295637">
        <w:rPr>
          <w:rFonts w:ascii="Times New Roman" w:hAnsi="Times New Roman"/>
          <w:lang w:val="sr-Cyrl-BA"/>
        </w:rPr>
        <w:t xml:space="preserve"> </w:t>
      </w:r>
      <w:r w:rsidR="00C6214E">
        <w:rPr>
          <w:rFonts w:ascii="Times New Roman" w:hAnsi="Times New Roman"/>
          <w:lang w:val="sr-Cyrl-BA"/>
        </w:rPr>
        <w:t>на</w:t>
      </w:r>
      <w:r w:rsidR="005D25D6" w:rsidRPr="00295637">
        <w:rPr>
          <w:rFonts w:ascii="Times New Roman" w:hAnsi="Times New Roman"/>
          <w:lang w:val="sr-Cyrl-BA"/>
        </w:rPr>
        <w:t xml:space="preserve"> </w:t>
      </w:r>
      <w:r w:rsidR="00C6214E">
        <w:rPr>
          <w:rFonts w:ascii="Times New Roman" w:hAnsi="Times New Roman"/>
          <w:lang w:val="sr-Cyrl-BA"/>
        </w:rPr>
        <w:t>селу</w:t>
      </w:r>
      <w:r w:rsidR="005D25D6" w:rsidRPr="00295637">
        <w:rPr>
          <w:rFonts w:ascii="Times New Roman" w:hAnsi="Times New Roman"/>
          <w:lang w:val="sr-Latn-BA"/>
        </w:rPr>
        <w:t xml:space="preserve"> </w:t>
      </w:r>
      <w:r w:rsidR="00C6214E">
        <w:rPr>
          <w:rFonts w:ascii="Times New Roman" w:hAnsi="Times New Roman"/>
          <w:lang w:val="sr-Latn-BA"/>
        </w:rPr>
        <w:t>у</w:t>
      </w:r>
      <w:r w:rsidR="005D25D6" w:rsidRPr="00295637">
        <w:rPr>
          <w:rFonts w:ascii="Times New Roman" w:hAnsi="Times New Roman"/>
          <w:lang w:val="sr-Latn-BA"/>
        </w:rPr>
        <w:t xml:space="preserve"> </w:t>
      </w:r>
      <w:r w:rsidR="00C6214E">
        <w:rPr>
          <w:rFonts w:ascii="Times New Roman" w:hAnsi="Times New Roman"/>
          <w:lang w:val="sr-Latn-BA"/>
        </w:rPr>
        <w:t>РС</w:t>
      </w:r>
      <w:r w:rsidR="005D25D6" w:rsidRPr="00295637">
        <w:rPr>
          <w:rFonts w:ascii="Times New Roman" w:hAnsi="Times New Roman"/>
          <w:lang w:val="sr-Latn-BA"/>
        </w:rPr>
        <w:t>.</w:t>
      </w:r>
      <w:r w:rsidR="005D25D6" w:rsidRPr="00295637">
        <w:rPr>
          <w:rFonts w:ascii="Times New Roman" w:hAnsi="Times New Roman"/>
          <w:lang w:val="sr-Cyrl-BA"/>
        </w:rPr>
        <w:t xml:space="preserve"> </w:t>
      </w:r>
      <w:r w:rsidR="00C6214E">
        <w:rPr>
          <w:rFonts w:ascii="Times New Roman" w:hAnsi="Times New Roman"/>
          <w:lang w:val="sr-Latn-BA"/>
        </w:rPr>
        <w:t>МПШВ</w:t>
      </w:r>
      <w:r w:rsidR="00365441" w:rsidRPr="00295637">
        <w:rPr>
          <w:rFonts w:ascii="Times New Roman" w:hAnsi="Times New Roman"/>
          <w:lang w:val="sr-Latn-BA"/>
        </w:rPr>
        <w:t xml:space="preserve"> </w:t>
      </w:r>
      <w:r w:rsidR="00C6214E">
        <w:rPr>
          <w:rFonts w:ascii="Times New Roman" w:hAnsi="Times New Roman"/>
          <w:lang w:val="sr-Latn-BA"/>
        </w:rPr>
        <w:t>РС</w:t>
      </w:r>
      <w:r w:rsidR="005D25D6" w:rsidRPr="00295637">
        <w:rPr>
          <w:rFonts w:ascii="Times New Roman" w:hAnsi="Times New Roman"/>
          <w:lang w:val="sr-Cyrl-BA"/>
        </w:rPr>
        <w:t xml:space="preserve"> </w:t>
      </w:r>
      <w:r>
        <w:rPr>
          <w:rFonts w:ascii="Times New Roman" w:hAnsi="Times New Roman"/>
          <w:lang w:val="sr-Cyrl-BA"/>
        </w:rPr>
        <w:t>с</w:t>
      </w:r>
      <w:r w:rsidR="00C6214E">
        <w:rPr>
          <w:rFonts w:ascii="Times New Roman" w:hAnsi="Times New Roman"/>
          <w:lang w:val="sr-Cyrl-BA"/>
        </w:rPr>
        <w:t>проводи</w:t>
      </w:r>
      <w:r w:rsidR="005D25D6" w:rsidRPr="00295637">
        <w:rPr>
          <w:rFonts w:ascii="Times New Roman" w:hAnsi="Times New Roman"/>
          <w:lang w:val="sr-Cyrl-BA"/>
        </w:rPr>
        <w:t xml:space="preserve"> </w:t>
      </w:r>
      <w:r w:rsidR="00C6214E">
        <w:rPr>
          <w:rFonts w:ascii="Times New Roman" w:hAnsi="Times New Roman"/>
          <w:lang w:val="sr-Cyrl-BA"/>
        </w:rPr>
        <w:t>програм</w:t>
      </w:r>
      <w:r w:rsidR="005D25D6" w:rsidRPr="00295637">
        <w:rPr>
          <w:rFonts w:ascii="Times New Roman" w:hAnsi="Times New Roman"/>
          <w:lang w:val="sr-Cyrl-BA"/>
        </w:rPr>
        <w:t xml:space="preserve"> </w:t>
      </w:r>
      <w:r w:rsidR="00C6214E">
        <w:rPr>
          <w:rFonts w:ascii="Times New Roman" w:hAnsi="Times New Roman"/>
          <w:lang w:val="sr-Cyrl-BA"/>
        </w:rPr>
        <w:t>за</w:t>
      </w:r>
      <w:r w:rsidR="005D25D6" w:rsidRPr="00295637">
        <w:rPr>
          <w:rFonts w:ascii="Times New Roman" w:hAnsi="Times New Roman"/>
          <w:lang w:val="sr-Cyrl-BA"/>
        </w:rPr>
        <w:t xml:space="preserve"> </w:t>
      </w:r>
      <w:r w:rsidR="00C6214E">
        <w:rPr>
          <w:rFonts w:ascii="Times New Roman" w:hAnsi="Times New Roman"/>
          <w:lang w:val="sr-Cyrl-BA"/>
        </w:rPr>
        <w:t>самозапошљавање</w:t>
      </w:r>
      <w:r w:rsidR="005D25D6" w:rsidRPr="00295637">
        <w:rPr>
          <w:rFonts w:ascii="Times New Roman" w:hAnsi="Times New Roman"/>
          <w:lang w:val="sr-Cyrl-BA"/>
        </w:rPr>
        <w:t xml:space="preserve"> </w:t>
      </w:r>
      <w:r w:rsidR="00C6214E">
        <w:rPr>
          <w:rFonts w:ascii="Times New Roman" w:hAnsi="Times New Roman"/>
          <w:lang w:val="sr-Cyrl-BA"/>
        </w:rPr>
        <w:t>жена</w:t>
      </w:r>
      <w:r w:rsidR="005D25D6" w:rsidRPr="00295637">
        <w:rPr>
          <w:rFonts w:ascii="Times New Roman" w:hAnsi="Times New Roman"/>
          <w:lang w:val="sr-Cyrl-BA"/>
        </w:rPr>
        <w:t xml:space="preserve"> </w:t>
      </w:r>
      <w:r w:rsidR="00C6214E">
        <w:rPr>
          <w:rFonts w:ascii="Times New Roman" w:hAnsi="Times New Roman"/>
          <w:lang w:val="sr-Cyrl-BA"/>
        </w:rPr>
        <w:t>на</w:t>
      </w:r>
      <w:r w:rsidR="005D25D6" w:rsidRPr="00295637">
        <w:rPr>
          <w:rFonts w:ascii="Times New Roman" w:hAnsi="Times New Roman"/>
          <w:lang w:val="sr-Cyrl-BA"/>
        </w:rPr>
        <w:t xml:space="preserve"> </w:t>
      </w:r>
      <w:r w:rsidR="00C6214E">
        <w:rPr>
          <w:rFonts w:ascii="Times New Roman" w:hAnsi="Times New Roman"/>
          <w:lang w:val="sr-Cyrl-BA"/>
        </w:rPr>
        <w:t>селу</w:t>
      </w:r>
      <w:r w:rsidR="005D25D6" w:rsidRPr="00295637">
        <w:rPr>
          <w:rFonts w:ascii="Times New Roman" w:hAnsi="Times New Roman"/>
          <w:lang w:val="sr-Cyrl-BA"/>
        </w:rPr>
        <w:t xml:space="preserve"> </w:t>
      </w:r>
      <w:r w:rsidR="00C6214E">
        <w:rPr>
          <w:rFonts w:ascii="Times New Roman" w:hAnsi="Times New Roman"/>
          <w:lang w:val="sr-Cyrl-BA"/>
        </w:rPr>
        <w:t>и</w:t>
      </w:r>
      <w:r w:rsidR="005D25D6" w:rsidRPr="00295637">
        <w:rPr>
          <w:rFonts w:ascii="Times New Roman" w:hAnsi="Times New Roman"/>
          <w:lang w:val="sr-Cyrl-BA"/>
        </w:rPr>
        <w:t xml:space="preserve"> </w:t>
      </w:r>
      <w:r w:rsidR="00C6214E">
        <w:rPr>
          <w:rFonts w:ascii="Times New Roman" w:hAnsi="Times New Roman"/>
          <w:lang w:val="sr-Cyrl-BA"/>
        </w:rPr>
        <w:t>додјелу</w:t>
      </w:r>
      <w:r w:rsidR="005D25D6" w:rsidRPr="00295637">
        <w:rPr>
          <w:rFonts w:ascii="Times New Roman" w:hAnsi="Times New Roman"/>
          <w:lang w:val="sr-Cyrl-BA"/>
        </w:rPr>
        <w:t xml:space="preserve"> </w:t>
      </w:r>
      <w:r w:rsidR="00C6214E">
        <w:rPr>
          <w:rFonts w:ascii="Times New Roman" w:hAnsi="Times New Roman"/>
          <w:lang w:val="sr-Cyrl-BA"/>
        </w:rPr>
        <w:t>по</w:t>
      </w:r>
      <w:r w:rsidR="00C6214E">
        <w:rPr>
          <w:rFonts w:ascii="Times New Roman" w:hAnsi="Times New Roman"/>
          <w:lang w:val="hr-HR"/>
        </w:rPr>
        <w:t>дс</w:t>
      </w:r>
      <w:r w:rsidR="00C6214E">
        <w:rPr>
          <w:rFonts w:ascii="Times New Roman" w:hAnsi="Times New Roman"/>
          <w:lang w:val="sr-Cyrl-BA"/>
        </w:rPr>
        <w:t>тицаја</w:t>
      </w:r>
      <w:r w:rsidR="005D25D6" w:rsidRPr="00295637">
        <w:rPr>
          <w:rFonts w:ascii="Times New Roman" w:hAnsi="Times New Roman"/>
          <w:lang w:val="sr-Cyrl-BA"/>
        </w:rPr>
        <w:t xml:space="preserve"> </w:t>
      </w:r>
      <w:r w:rsidR="00C6214E">
        <w:rPr>
          <w:rFonts w:ascii="Times New Roman" w:hAnsi="Times New Roman"/>
          <w:lang w:val="sr-Cyrl-BA"/>
        </w:rPr>
        <w:t>женским</w:t>
      </w:r>
      <w:r w:rsidR="005D25D6" w:rsidRPr="00295637">
        <w:rPr>
          <w:rFonts w:ascii="Times New Roman" w:hAnsi="Times New Roman"/>
          <w:lang w:val="sr-Cyrl-BA"/>
        </w:rPr>
        <w:t xml:space="preserve"> </w:t>
      </w:r>
      <w:r w:rsidR="00C6214E">
        <w:rPr>
          <w:rFonts w:ascii="Times New Roman" w:hAnsi="Times New Roman"/>
          <w:lang w:val="sr-Cyrl-BA"/>
        </w:rPr>
        <w:t>задругама</w:t>
      </w:r>
      <w:r w:rsidR="005D25D6" w:rsidRPr="00295637">
        <w:rPr>
          <w:rFonts w:ascii="Times New Roman" w:hAnsi="Times New Roman"/>
          <w:lang w:val="sr-Cyrl-BA"/>
        </w:rPr>
        <w:t xml:space="preserve"> </w:t>
      </w:r>
      <w:r w:rsidR="00C6214E">
        <w:rPr>
          <w:rFonts w:ascii="Times New Roman" w:hAnsi="Times New Roman"/>
          <w:lang w:val="sr-Cyrl-BA"/>
        </w:rPr>
        <w:t>и</w:t>
      </w:r>
      <w:r w:rsidR="005D25D6" w:rsidRPr="00295637">
        <w:rPr>
          <w:rFonts w:ascii="Times New Roman" w:hAnsi="Times New Roman"/>
          <w:lang w:val="sr-Cyrl-BA"/>
        </w:rPr>
        <w:t xml:space="preserve"> </w:t>
      </w:r>
      <w:r w:rsidR="00C6214E">
        <w:rPr>
          <w:rFonts w:ascii="Times New Roman" w:hAnsi="Times New Roman"/>
          <w:lang w:val="sr-Cyrl-BA"/>
        </w:rPr>
        <w:t>удру</w:t>
      </w:r>
      <w:r w:rsidR="00C6214E">
        <w:rPr>
          <w:rFonts w:ascii="Times New Roman" w:hAnsi="Times New Roman"/>
          <w:lang w:val="hr-HR"/>
        </w:rPr>
        <w:t>жењима</w:t>
      </w:r>
      <w:r w:rsidR="005D25D6" w:rsidRPr="00295637">
        <w:rPr>
          <w:rFonts w:ascii="Times New Roman" w:hAnsi="Times New Roman"/>
          <w:lang w:val="sr-Cyrl-BA"/>
        </w:rPr>
        <w:t>.</w:t>
      </w:r>
      <w:r w:rsidR="005D25D6" w:rsidRPr="00295637">
        <w:rPr>
          <w:rFonts w:ascii="Times New Roman" w:hAnsi="Times New Roman"/>
          <w:lang w:val="sr-Latn-BA"/>
        </w:rPr>
        <w:t xml:space="preserve"> </w:t>
      </w:r>
      <w:r w:rsidR="00C6214E">
        <w:rPr>
          <w:rFonts w:ascii="Times New Roman" w:hAnsi="Times New Roman"/>
          <w:lang w:val="sr-Cyrl-BA"/>
        </w:rPr>
        <w:t>У</w:t>
      </w:r>
      <w:r w:rsidR="005D25D6" w:rsidRPr="00295637">
        <w:rPr>
          <w:rFonts w:ascii="Times New Roman" w:hAnsi="Times New Roman"/>
          <w:lang w:val="sr-Cyrl-BA"/>
        </w:rPr>
        <w:t xml:space="preserve"> 2024. </w:t>
      </w:r>
      <w:r w:rsidR="00C6214E">
        <w:rPr>
          <w:rFonts w:ascii="Times New Roman" w:hAnsi="Times New Roman"/>
          <w:lang w:val="sr-Cyrl-BA"/>
        </w:rPr>
        <w:t>години</w:t>
      </w:r>
      <w:r w:rsidR="005D25D6" w:rsidRPr="00295637">
        <w:rPr>
          <w:rFonts w:ascii="Times New Roman" w:hAnsi="Times New Roman"/>
          <w:lang w:val="sr-Cyrl-BA"/>
        </w:rPr>
        <w:t xml:space="preserve">, </w:t>
      </w:r>
      <w:r w:rsidR="00C6214E">
        <w:rPr>
          <w:rFonts w:ascii="Times New Roman" w:hAnsi="Times New Roman"/>
          <w:lang w:val="sr-Cyrl-BA"/>
        </w:rPr>
        <w:t>од</w:t>
      </w:r>
      <w:r w:rsidR="005D25D6" w:rsidRPr="00295637">
        <w:rPr>
          <w:rFonts w:ascii="Times New Roman" w:hAnsi="Times New Roman"/>
          <w:lang w:val="sr-Cyrl-BA"/>
        </w:rPr>
        <w:t xml:space="preserve"> </w:t>
      </w:r>
      <w:r w:rsidR="00C6214E">
        <w:rPr>
          <w:rFonts w:ascii="Times New Roman" w:hAnsi="Times New Roman"/>
          <w:lang w:val="sr-Cyrl-BA"/>
        </w:rPr>
        <w:t>укупно</w:t>
      </w:r>
      <w:r w:rsidR="005D25D6" w:rsidRPr="00295637">
        <w:rPr>
          <w:rFonts w:ascii="Times New Roman" w:hAnsi="Times New Roman"/>
          <w:lang w:val="sr-Cyrl-BA"/>
        </w:rPr>
        <w:t xml:space="preserve"> 17.126 </w:t>
      </w:r>
      <w:r w:rsidR="00C6214E">
        <w:rPr>
          <w:rFonts w:ascii="Times New Roman" w:hAnsi="Times New Roman"/>
          <w:lang w:val="sr-Cyrl-BA"/>
        </w:rPr>
        <w:t>регистр</w:t>
      </w:r>
      <w:r>
        <w:rPr>
          <w:rFonts w:ascii="Times New Roman" w:hAnsi="Times New Roman"/>
          <w:lang w:val="sr-Cyrl-BA"/>
        </w:rPr>
        <w:t>ованих</w:t>
      </w:r>
      <w:r w:rsidR="005D25D6" w:rsidRPr="00295637">
        <w:rPr>
          <w:rFonts w:ascii="Times New Roman" w:hAnsi="Times New Roman"/>
          <w:lang w:val="sr-Cyrl-BA"/>
        </w:rPr>
        <w:t xml:space="preserve"> </w:t>
      </w:r>
      <w:r w:rsidR="00C6214E">
        <w:rPr>
          <w:rFonts w:ascii="Times New Roman" w:hAnsi="Times New Roman"/>
          <w:lang w:val="sr-Cyrl-BA"/>
        </w:rPr>
        <w:t>пољопривредних</w:t>
      </w:r>
      <w:r w:rsidR="005D25D6" w:rsidRPr="00295637">
        <w:rPr>
          <w:rFonts w:ascii="Times New Roman" w:hAnsi="Times New Roman"/>
          <w:lang w:val="sr-Cyrl-BA"/>
        </w:rPr>
        <w:t xml:space="preserve"> </w:t>
      </w:r>
      <w:r w:rsidR="00C6214E">
        <w:rPr>
          <w:rFonts w:ascii="Times New Roman" w:hAnsi="Times New Roman"/>
          <w:lang w:val="sr-Cyrl-BA"/>
        </w:rPr>
        <w:t>газдинстава</w:t>
      </w:r>
      <w:r w:rsidR="005D25D6" w:rsidRPr="00295637">
        <w:rPr>
          <w:rFonts w:ascii="Times New Roman" w:hAnsi="Times New Roman"/>
          <w:lang w:val="sr-Cyrl-BA"/>
        </w:rPr>
        <w:t xml:space="preserve"> </w:t>
      </w:r>
      <w:r w:rsidR="00C6214E">
        <w:rPr>
          <w:rFonts w:ascii="Times New Roman" w:hAnsi="Times New Roman"/>
          <w:lang w:val="sr-Cyrl-BA"/>
        </w:rPr>
        <w:t>у</w:t>
      </w:r>
      <w:r w:rsidR="005D25D6" w:rsidRPr="00295637">
        <w:rPr>
          <w:rFonts w:ascii="Times New Roman" w:hAnsi="Times New Roman"/>
          <w:lang w:val="sr-Cyrl-BA"/>
        </w:rPr>
        <w:t xml:space="preserve"> </w:t>
      </w:r>
      <w:r w:rsidR="00C6214E">
        <w:rPr>
          <w:rFonts w:ascii="Times New Roman" w:hAnsi="Times New Roman"/>
          <w:lang w:val="sr-Cyrl-BA"/>
        </w:rPr>
        <w:t>РС</w:t>
      </w:r>
      <w:r w:rsidR="005D25D6" w:rsidRPr="00295637">
        <w:rPr>
          <w:rFonts w:ascii="Times New Roman" w:hAnsi="Times New Roman"/>
          <w:lang w:val="sr-Cyrl-BA"/>
        </w:rPr>
        <w:t xml:space="preserve">, 2.866 </w:t>
      </w:r>
      <w:r w:rsidR="00C6214E">
        <w:rPr>
          <w:rFonts w:ascii="Times New Roman" w:hAnsi="Times New Roman"/>
          <w:lang w:val="sr-Cyrl-BA"/>
        </w:rPr>
        <w:t>су</w:t>
      </w:r>
      <w:r w:rsidR="005D25D6" w:rsidRPr="00295637">
        <w:rPr>
          <w:rFonts w:ascii="Times New Roman" w:hAnsi="Times New Roman"/>
          <w:lang w:val="sr-Cyrl-BA"/>
        </w:rPr>
        <w:t xml:space="preserve"> </w:t>
      </w:r>
      <w:r w:rsidR="00C6214E">
        <w:rPr>
          <w:rFonts w:ascii="Times New Roman" w:hAnsi="Times New Roman"/>
          <w:lang w:val="sr-Cyrl-BA"/>
        </w:rPr>
        <w:t>газдинства</w:t>
      </w:r>
      <w:r w:rsidR="005D25D6" w:rsidRPr="00295637">
        <w:rPr>
          <w:rFonts w:ascii="Times New Roman" w:hAnsi="Times New Roman"/>
          <w:lang w:val="sr-Cyrl-BA"/>
        </w:rPr>
        <w:t xml:space="preserve"> </w:t>
      </w:r>
      <w:r w:rsidR="00C6214E">
        <w:rPr>
          <w:rFonts w:ascii="Times New Roman" w:hAnsi="Times New Roman"/>
          <w:lang w:val="sr-Cyrl-BA"/>
        </w:rPr>
        <w:t>чији</w:t>
      </w:r>
      <w:r w:rsidR="005D25D6" w:rsidRPr="00295637">
        <w:rPr>
          <w:rFonts w:ascii="Times New Roman" w:hAnsi="Times New Roman"/>
          <w:lang w:val="sr-Cyrl-BA"/>
        </w:rPr>
        <w:t xml:space="preserve"> </w:t>
      </w:r>
      <w:r w:rsidR="00C6214E">
        <w:rPr>
          <w:rFonts w:ascii="Times New Roman" w:hAnsi="Times New Roman"/>
          <w:lang w:val="sr-Cyrl-BA"/>
        </w:rPr>
        <w:t>су</w:t>
      </w:r>
      <w:r w:rsidR="005D25D6" w:rsidRPr="00295637">
        <w:rPr>
          <w:rFonts w:ascii="Times New Roman" w:hAnsi="Times New Roman"/>
          <w:lang w:val="sr-Cyrl-BA"/>
        </w:rPr>
        <w:t xml:space="preserve"> </w:t>
      </w:r>
      <w:r w:rsidR="00C6214E">
        <w:rPr>
          <w:rFonts w:ascii="Times New Roman" w:hAnsi="Times New Roman"/>
          <w:lang w:val="sr-Cyrl-BA"/>
        </w:rPr>
        <w:t>носи</w:t>
      </w:r>
      <w:r w:rsidR="00C6214E">
        <w:rPr>
          <w:rFonts w:ascii="Times New Roman" w:hAnsi="Times New Roman"/>
          <w:lang w:val="hr-HR"/>
        </w:rPr>
        <w:t>оци</w:t>
      </w:r>
      <w:r w:rsidR="005D25D6" w:rsidRPr="00295637">
        <w:rPr>
          <w:rFonts w:ascii="Times New Roman" w:hAnsi="Times New Roman"/>
          <w:lang w:val="sr-Cyrl-BA"/>
        </w:rPr>
        <w:t xml:space="preserve"> </w:t>
      </w:r>
      <w:r w:rsidR="00C6214E">
        <w:rPr>
          <w:rFonts w:ascii="Times New Roman" w:hAnsi="Times New Roman"/>
          <w:lang w:val="sr-Cyrl-BA"/>
        </w:rPr>
        <w:t>жене</w:t>
      </w:r>
      <w:r w:rsidR="005D25D6" w:rsidRPr="00295637">
        <w:rPr>
          <w:rFonts w:ascii="Times New Roman" w:hAnsi="Times New Roman"/>
          <w:lang w:val="sr-Cyrl-BA"/>
        </w:rPr>
        <w:t xml:space="preserve"> (16,7%). </w:t>
      </w:r>
      <w:r w:rsidR="00C6214E">
        <w:rPr>
          <w:rFonts w:ascii="Times New Roman" w:hAnsi="Times New Roman"/>
          <w:lang w:val="hr-HR"/>
        </w:rPr>
        <w:t>Р</w:t>
      </w:r>
      <w:r w:rsidR="00C6214E">
        <w:rPr>
          <w:rFonts w:ascii="Times New Roman" w:hAnsi="Times New Roman"/>
          <w:lang w:val="sr-Cyrl-BA"/>
        </w:rPr>
        <w:t>егресирани</w:t>
      </w:r>
      <w:r w:rsidR="00136128">
        <w:rPr>
          <w:rFonts w:ascii="Times New Roman" w:hAnsi="Times New Roman"/>
          <w:lang w:val="sr-Cyrl-BA"/>
        </w:rPr>
        <w:t xml:space="preserve"> </w:t>
      </w:r>
      <w:r w:rsidR="00C6214E">
        <w:rPr>
          <w:rFonts w:ascii="Times New Roman" w:hAnsi="Times New Roman"/>
          <w:lang w:val="sr-Cyrl-BA"/>
        </w:rPr>
        <w:t>дизел</w:t>
      </w:r>
      <w:r w:rsidR="00136128">
        <w:rPr>
          <w:rFonts w:ascii="Times New Roman" w:hAnsi="Times New Roman"/>
          <w:lang w:val="sr-Cyrl-BA"/>
        </w:rPr>
        <w:t xml:space="preserve"> </w:t>
      </w:r>
      <w:r w:rsidR="00C6214E">
        <w:rPr>
          <w:rFonts w:ascii="Times New Roman" w:hAnsi="Times New Roman"/>
          <w:lang w:val="sr-Cyrl-BA"/>
        </w:rPr>
        <w:t>и</w:t>
      </w:r>
      <w:r w:rsidR="00136128">
        <w:rPr>
          <w:rFonts w:ascii="Times New Roman" w:hAnsi="Times New Roman"/>
          <w:lang w:val="sr-Cyrl-BA"/>
        </w:rPr>
        <w:t xml:space="preserve"> </w:t>
      </w:r>
      <w:r w:rsidR="00C6214E">
        <w:rPr>
          <w:rFonts w:ascii="Times New Roman" w:hAnsi="Times New Roman"/>
          <w:lang w:val="sr-Cyrl-BA"/>
        </w:rPr>
        <w:t>по</w:t>
      </w:r>
      <w:r w:rsidR="00C6214E">
        <w:rPr>
          <w:rFonts w:ascii="Times New Roman" w:hAnsi="Times New Roman"/>
          <w:lang w:val="hr-HR"/>
        </w:rPr>
        <w:t>дст</w:t>
      </w:r>
      <w:r w:rsidR="00C6214E">
        <w:rPr>
          <w:rFonts w:ascii="Times New Roman" w:hAnsi="Times New Roman"/>
          <w:lang w:val="sr-Cyrl-BA"/>
        </w:rPr>
        <w:t>ицаје</w:t>
      </w:r>
      <w:r w:rsidR="00136128" w:rsidRPr="00295637">
        <w:rPr>
          <w:rFonts w:ascii="Times New Roman" w:hAnsi="Times New Roman"/>
          <w:lang w:val="sr-Cyrl-BA"/>
        </w:rPr>
        <w:t xml:space="preserve"> </w:t>
      </w:r>
      <w:r w:rsidR="00C6214E">
        <w:rPr>
          <w:rFonts w:ascii="Times New Roman" w:hAnsi="Times New Roman"/>
          <w:lang w:val="sr-Cyrl-BA"/>
        </w:rPr>
        <w:t>за</w:t>
      </w:r>
      <w:r w:rsidR="00136128" w:rsidRPr="00295637">
        <w:rPr>
          <w:rFonts w:ascii="Times New Roman" w:hAnsi="Times New Roman"/>
          <w:lang w:val="sr-Cyrl-BA"/>
        </w:rPr>
        <w:t xml:space="preserve"> </w:t>
      </w:r>
      <w:r w:rsidR="00C6214E">
        <w:rPr>
          <w:rFonts w:ascii="Times New Roman" w:hAnsi="Times New Roman"/>
          <w:lang w:val="sr-Cyrl-BA"/>
        </w:rPr>
        <w:t>пчеларство</w:t>
      </w:r>
      <w:r w:rsidR="00136128" w:rsidRPr="00295637">
        <w:rPr>
          <w:rFonts w:ascii="Times New Roman" w:hAnsi="Times New Roman"/>
          <w:lang w:val="sr-Cyrl-BA"/>
        </w:rPr>
        <w:t xml:space="preserve"> </w:t>
      </w:r>
      <w:r w:rsidR="00C6214E">
        <w:rPr>
          <w:rFonts w:ascii="Times New Roman" w:hAnsi="Times New Roman"/>
          <w:lang w:val="sr-Cyrl-BA"/>
        </w:rPr>
        <w:t>користило</w:t>
      </w:r>
      <w:r w:rsidR="00136128" w:rsidRPr="00295637">
        <w:rPr>
          <w:rFonts w:ascii="Times New Roman" w:hAnsi="Times New Roman"/>
          <w:lang w:val="sr-Cyrl-BA"/>
        </w:rPr>
        <w:t xml:space="preserve"> </w:t>
      </w:r>
      <w:r w:rsidR="00C6214E">
        <w:rPr>
          <w:rFonts w:ascii="Times New Roman" w:hAnsi="Times New Roman"/>
          <w:lang w:val="sr-Cyrl-BA"/>
        </w:rPr>
        <w:t>је</w:t>
      </w:r>
      <w:r w:rsidR="00136128" w:rsidRPr="00295637">
        <w:rPr>
          <w:rFonts w:ascii="Times New Roman" w:hAnsi="Times New Roman"/>
          <w:lang w:val="sr-Cyrl-BA"/>
        </w:rPr>
        <w:t xml:space="preserve"> </w:t>
      </w:r>
      <w:r w:rsidR="005D25D6" w:rsidRPr="00295637">
        <w:rPr>
          <w:rFonts w:ascii="Times New Roman" w:hAnsi="Times New Roman"/>
          <w:lang w:val="sr-Cyrl-BA"/>
        </w:rPr>
        <w:t xml:space="preserve">2.532 </w:t>
      </w:r>
      <w:r w:rsidR="00C6214E">
        <w:rPr>
          <w:rFonts w:ascii="Times New Roman" w:hAnsi="Times New Roman"/>
          <w:lang w:val="sr-Cyrl-BA"/>
        </w:rPr>
        <w:t>жена</w:t>
      </w:r>
      <w:r w:rsidR="005D25D6" w:rsidRPr="00295637">
        <w:rPr>
          <w:rFonts w:ascii="Times New Roman" w:hAnsi="Times New Roman"/>
          <w:lang w:val="sr-Cyrl-BA"/>
        </w:rPr>
        <w:t xml:space="preserve">. </w:t>
      </w:r>
      <w:r w:rsidR="00C6214E">
        <w:rPr>
          <w:rFonts w:ascii="Times New Roman" w:hAnsi="Times New Roman"/>
          <w:lang w:val="sr-Latn-BA"/>
        </w:rPr>
        <w:t>Индикатори</w:t>
      </w:r>
      <w:r w:rsidR="005D25D6" w:rsidRPr="00295637">
        <w:rPr>
          <w:rFonts w:ascii="Times New Roman" w:hAnsi="Times New Roman"/>
          <w:lang w:val="sr-Latn-BA"/>
        </w:rPr>
        <w:t xml:space="preserve"> </w:t>
      </w:r>
      <w:r w:rsidR="00C6214E">
        <w:rPr>
          <w:rFonts w:ascii="Times New Roman" w:hAnsi="Times New Roman"/>
          <w:lang w:val="sr-Latn-BA"/>
        </w:rPr>
        <w:t>реализације</w:t>
      </w:r>
      <w:r w:rsidR="005D25D6" w:rsidRPr="00295637">
        <w:rPr>
          <w:rFonts w:ascii="Times New Roman" w:hAnsi="Times New Roman"/>
          <w:lang w:val="sr-Latn-BA"/>
        </w:rPr>
        <w:t xml:space="preserve"> </w:t>
      </w:r>
      <w:r w:rsidR="00C6214E">
        <w:rPr>
          <w:rFonts w:ascii="Times New Roman" w:hAnsi="Times New Roman"/>
          <w:lang w:val="sr-Latn-BA"/>
        </w:rPr>
        <w:t>мјера</w:t>
      </w:r>
      <w:r w:rsidR="005D25D6" w:rsidRPr="00295637">
        <w:rPr>
          <w:rFonts w:ascii="Times New Roman" w:hAnsi="Times New Roman"/>
          <w:lang w:val="sr-Latn-BA"/>
        </w:rPr>
        <w:t xml:space="preserve"> </w:t>
      </w:r>
      <w:r w:rsidR="00C6214E">
        <w:rPr>
          <w:rFonts w:ascii="Times New Roman" w:hAnsi="Times New Roman"/>
          <w:lang w:val="sr-Latn-BA"/>
        </w:rPr>
        <w:t>су</w:t>
      </w:r>
      <w:r w:rsidR="005D25D6" w:rsidRPr="00295637">
        <w:rPr>
          <w:rFonts w:ascii="Times New Roman" w:hAnsi="Times New Roman"/>
          <w:lang w:val="sr-Latn-BA"/>
        </w:rPr>
        <w:t xml:space="preserve"> </w:t>
      </w:r>
      <w:r w:rsidR="00C6214E">
        <w:rPr>
          <w:rFonts w:ascii="Times New Roman" w:hAnsi="Times New Roman"/>
          <w:lang w:val="sr-Latn-BA"/>
        </w:rPr>
        <w:t>сљедећи</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C6214E">
        <w:rPr>
          <w:rFonts w:ascii="Times New Roman" w:hAnsi="Times New Roman"/>
          <w:lang w:val="sr-Cyrl-BA"/>
        </w:rPr>
        <w:t>Број</w:t>
      </w:r>
      <w:r w:rsidR="005D25D6" w:rsidRPr="00295637">
        <w:rPr>
          <w:rFonts w:ascii="Times New Roman" w:hAnsi="Times New Roman"/>
          <w:lang w:val="sr-Cyrl-BA"/>
        </w:rPr>
        <w:t xml:space="preserve"> </w:t>
      </w:r>
      <w:r w:rsidR="00C6214E">
        <w:rPr>
          <w:rFonts w:ascii="Times New Roman" w:hAnsi="Times New Roman"/>
          <w:lang w:val="sr-Cyrl-BA"/>
        </w:rPr>
        <w:t>родно</w:t>
      </w:r>
      <w:r w:rsidR="005D25D6" w:rsidRPr="00295637">
        <w:rPr>
          <w:rFonts w:ascii="Times New Roman" w:hAnsi="Times New Roman"/>
          <w:lang w:val="sr-Cyrl-BA"/>
        </w:rPr>
        <w:t xml:space="preserve"> </w:t>
      </w:r>
      <w:r w:rsidR="00C6214E">
        <w:rPr>
          <w:rFonts w:ascii="Times New Roman" w:hAnsi="Times New Roman"/>
          <w:lang w:val="sr-Cyrl-BA"/>
        </w:rPr>
        <w:t>осјетљивих</w:t>
      </w:r>
      <w:r w:rsidR="005D25D6" w:rsidRPr="00295637">
        <w:rPr>
          <w:rFonts w:ascii="Times New Roman" w:hAnsi="Times New Roman"/>
          <w:lang w:val="sr-Cyrl-BA"/>
        </w:rPr>
        <w:t xml:space="preserve"> </w:t>
      </w:r>
      <w:r w:rsidR="00C6214E">
        <w:rPr>
          <w:rFonts w:ascii="Times New Roman" w:hAnsi="Times New Roman"/>
          <w:lang w:val="sr-Cyrl-BA"/>
        </w:rPr>
        <w:t>мјера</w:t>
      </w:r>
      <w:r w:rsidR="005D25D6" w:rsidRPr="00295637">
        <w:rPr>
          <w:rFonts w:ascii="Times New Roman" w:hAnsi="Times New Roman"/>
          <w:lang w:val="sr-Latn-BA"/>
        </w:rPr>
        <w:t>:</w:t>
      </w:r>
      <w:r w:rsidR="005D25D6" w:rsidRPr="00295637">
        <w:rPr>
          <w:rFonts w:ascii="Times New Roman" w:hAnsi="Times New Roman"/>
          <w:lang w:val="sr-Cyrl-BA"/>
        </w:rPr>
        <w:t xml:space="preserve"> </w:t>
      </w:r>
      <w:r w:rsidR="00C6214E">
        <w:rPr>
          <w:rFonts w:ascii="Times New Roman" w:hAnsi="Times New Roman"/>
          <w:lang w:val="bs-Latn-BA"/>
        </w:rPr>
        <w:t>три</w:t>
      </w:r>
      <w:r w:rsidR="005D25D6" w:rsidRPr="00295637">
        <w:rPr>
          <w:rFonts w:ascii="Times New Roman" w:hAnsi="Times New Roman"/>
          <w:lang w:val="sr-Cyrl-BA"/>
        </w:rPr>
        <w:t xml:space="preserve"> </w:t>
      </w:r>
      <w:r w:rsidR="00C6214E">
        <w:rPr>
          <w:rFonts w:ascii="Times New Roman" w:hAnsi="Times New Roman"/>
          <w:lang w:val="sr-Cyrl-BA"/>
        </w:rPr>
        <w:t>мјере</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C6214E">
        <w:rPr>
          <w:rFonts w:ascii="Times New Roman" w:hAnsi="Times New Roman"/>
          <w:lang w:val="sr-Latn-BA"/>
        </w:rPr>
        <w:t>Проценат</w:t>
      </w:r>
      <w:r w:rsidR="005D25D6" w:rsidRPr="00295637">
        <w:rPr>
          <w:rFonts w:ascii="Times New Roman" w:hAnsi="Times New Roman"/>
          <w:lang w:val="sr-Latn-BA"/>
        </w:rPr>
        <w:t xml:space="preserve"> (</w:t>
      </w:r>
      <w:r w:rsidR="005D25D6" w:rsidRPr="00295637">
        <w:rPr>
          <w:rFonts w:ascii="Times New Roman" w:hAnsi="Times New Roman"/>
          <w:lang w:val="sr-Cyrl-BA"/>
        </w:rPr>
        <w:t>%</w:t>
      </w:r>
      <w:r w:rsidR="005D25D6" w:rsidRPr="00295637">
        <w:rPr>
          <w:rFonts w:ascii="Times New Roman" w:hAnsi="Times New Roman"/>
          <w:lang w:val="sr-Latn-BA"/>
        </w:rPr>
        <w:t>)</w:t>
      </w:r>
      <w:r w:rsidR="005D25D6" w:rsidRPr="00295637">
        <w:rPr>
          <w:rFonts w:ascii="Times New Roman" w:hAnsi="Times New Roman"/>
          <w:lang w:val="sr-Cyrl-BA"/>
        </w:rPr>
        <w:t xml:space="preserve"> </w:t>
      </w:r>
      <w:r w:rsidR="00C6214E">
        <w:rPr>
          <w:rFonts w:ascii="Times New Roman" w:hAnsi="Times New Roman"/>
          <w:lang w:val="sr-Cyrl-BA"/>
        </w:rPr>
        <w:t>укупног</w:t>
      </w:r>
      <w:r w:rsidR="005D25D6" w:rsidRPr="00295637">
        <w:rPr>
          <w:rFonts w:ascii="Times New Roman" w:hAnsi="Times New Roman"/>
          <w:lang w:val="sr-Cyrl-BA"/>
        </w:rPr>
        <w:t xml:space="preserve"> </w:t>
      </w:r>
      <w:r w:rsidR="00C6214E">
        <w:rPr>
          <w:rFonts w:ascii="Times New Roman" w:hAnsi="Times New Roman"/>
          <w:lang w:val="sr-Cyrl-BA"/>
        </w:rPr>
        <w:t>плана</w:t>
      </w:r>
      <w:r w:rsidR="005D25D6" w:rsidRPr="00295637">
        <w:rPr>
          <w:rFonts w:ascii="Times New Roman" w:hAnsi="Times New Roman"/>
          <w:lang w:val="sr-Cyrl-BA"/>
        </w:rPr>
        <w:t xml:space="preserve"> </w:t>
      </w:r>
      <w:r w:rsidR="00C6214E">
        <w:rPr>
          <w:rFonts w:ascii="Times New Roman" w:hAnsi="Times New Roman"/>
          <w:lang w:val="sr-Cyrl-BA"/>
        </w:rPr>
        <w:t>кориш</w:t>
      </w:r>
      <w:r>
        <w:rPr>
          <w:rFonts w:ascii="Times New Roman" w:hAnsi="Times New Roman"/>
          <w:lang w:val="sr-Cyrl-BA"/>
        </w:rPr>
        <w:t>ћ</w:t>
      </w:r>
      <w:r w:rsidR="00C6214E">
        <w:rPr>
          <w:rFonts w:ascii="Times New Roman" w:hAnsi="Times New Roman"/>
          <w:lang w:val="sr-Cyrl-BA"/>
        </w:rPr>
        <w:t>ења</w:t>
      </w:r>
      <w:r w:rsidR="005D25D6" w:rsidRPr="00295637">
        <w:rPr>
          <w:rFonts w:ascii="Times New Roman" w:hAnsi="Times New Roman"/>
          <w:lang w:val="sr-Cyrl-BA"/>
        </w:rPr>
        <w:t xml:space="preserve"> </w:t>
      </w:r>
      <w:r w:rsidR="00C6214E">
        <w:rPr>
          <w:rFonts w:ascii="Times New Roman" w:hAnsi="Times New Roman"/>
          <w:lang w:val="sr-Cyrl-BA"/>
        </w:rPr>
        <w:t>средстава</w:t>
      </w:r>
      <w:r w:rsidR="005D25D6" w:rsidRPr="00295637">
        <w:rPr>
          <w:rFonts w:ascii="Times New Roman" w:hAnsi="Times New Roman"/>
          <w:lang w:val="sr-Cyrl-BA"/>
        </w:rPr>
        <w:t xml:space="preserve"> </w:t>
      </w:r>
      <w:r w:rsidR="00C6214E">
        <w:rPr>
          <w:rFonts w:ascii="Times New Roman" w:hAnsi="Times New Roman"/>
          <w:lang w:val="sr-Cyrl-BA"/>
        </w:rPr>
        <w:t>који</w:t>
      </w:r>
      <w:r w:rsidR="005D25D6" w:rsidRPr="00295637">
        <w:rPr>
          <w:rFonts w:ascii="Times New Roman" w:hAnsi="Times New Roman"/>
          <w:lang w:val="sr-Cyrl-BA"/>
        </w:rPr>
        <w:t xml:space="preserve"> </w:t>
      </w:r>
      <w:r w:rsidR="00C6214E">
        <w:rPr>
          <w:rFonts w:ascii="Times New Roman" w:hAnsi="Times New Roman"/>
          <w:lang w:val="sr-Cyrl-BA"/>
        </w:rPr>
        <w:t>су</w:t>
      </w:r>
      <w:r w:rsidR="005D25D6" w:rsidRPr="00295637">
        <w:rPr>
          <w:rFonts w:ascii="Times New Roman" w:hAnsi="Times New Roman"/>
          <w:lang w:val="sr-Cyrl-BA"/>
        </w:rPr>
        <w:t xml:space="preserve"> </w:t>
      </w:r>
      <w:r w:rsidR="00C6214E">
        <w:rPr>
          <w:rFonts w:ascii="Times New Roman" w:hAnsi="Times New Roman"/>
          <w:lang w:val="sr-Cyrl-BA"/>
        </w:rPr>
        <w:t>резерви</w:t>
      </w:r>
      <w:r>
        <w:rPr>
          <w:rFonts w:ascii="Times New Roman" w:hAnsi="Times New Roman"/>
          <w:lang w:val="sr-Cyrl-BA"/>
        </w:rPr>
        <w:t>с</w:t>
      </w:r>
      <w:r w:rsidR="00C6214E">
        <w:rPr>
          <w:rFonts w:ascii="Times New Roman" w:hAnsi="Times New Roman"/>
          <w:lang w:val="sr-Cyrl-BA"/>
        </w:rPr>
        <w:t>ани</w:t>
      </w:r>
      <w:r w:rsidR="005D25D6" w:rsidRPr="00295637">
        <w:rPr>
          <w:rFonts w:ascii="Times New Roman" w:hAnsi="Times New Roman"/>
          <w:lang w:val="sr-Cyrl-BA"/>
        </w:rPr>
        <w:t xml:space="preserve"> </w:t>
      </w:r>
      <w:r w:rsidR="00C6214E">
        <w:rPr>
          <w:rFonts w:ascii="Times New Roman" w:hAnsi="Times New Roman"/>
          <w:lang w:val="sr-Cyrl-BA"/>
        </w:rPr>
        <w:t>за</w:t>
      </w:r>
      <w:r w:rsidR="005D25D6" w:rsidRPr="00295637">
        <w:rPr>
          <w:rFonts w:ascii="Times New Roman" w:hAnsi="Times New Roman"/>
          <w:lang w:val="sr-Cyrl-BA"/>
        </w:rPr>
        <w:t xml:space="preserve"> </w:t>
      </w:r>
      <w:r w:rsidR="00C6214E">
        <w:rPr>
          <w:rFonts w:ascii="Times New Roman" w:hAnsi="Times New Roman"/>
          <w:lang w:val="sr-Cyrl-BA"/>
        </w:rPr>
        <w:t>оснаживање</w:t>
      </w:r>
      <w:r w:rsidR="005D25D6" w:rsidRPr="00295637">
        <w:rPr>
          <w:rFonts w:ascii="Times New Roman" w:hAnsi="Times New Roman"/>
          <w:lang w:val="sr-Cyrl-BA"/>
        </w:rPr>
        <w:t xml:space="preserve"> </w:t>
      </w:r>
      <w:r w:rsidR="00C6214E">
        <w:rPr>
          <w:rFonts w:ascii="Times New Roman" w:hAnsi="Times New Roman"/>
          <w:lang w:val="sr-Cyrl-BA"/>
        </w:rPr>
        <w:t>жена</w:t>
      </w:r>
      <w:r w:rsidR="005D25D6" w:rsidRPr="00295637">
        <w:rPr>
          <w:rFonts w:ascii="Times New Roman" w:hAnsi="Times New Roman"/>
          <w:lang w:val="sr-Latn-BA"/>
        </w:rPr>
        <w:t xml:space="preserve">: </w:t>
      </w:r>
      <w:r w:rsidR="005D25D6" w:rsidRPr="00295637">
        <w:rPr>
          <w:rFonts w:ascii="Times New Roman" w:hAnsi="Times New Roman"/>
          <w:lang w:val="sr-Cyrl-BA"/>
        </w:rPr>
        <w:t xml:space="preserve">7% </w:t>
      </w:r>
      <w:r w:rsidR="00C6214E">
        <w:rPr>
          <w:rFonts w:ascii="Times New Roman" w:hAnsi="Times New Roman"/>
          <w:lang w:val="sr-Cyrl-BA"/>
        </w:rPr>
        <w:t>укупног</w:t>
      </w:r>
      <w:r w:rsidR="005D25D6" w:rsidRPr="00295637">
        <w:rPr>
          <w:rFonts w:ascii="Times New Roman" w:hAnsi="Times New Roman"/>
          <w:lang w:val="sr-Cyrl-BA"/>
        </w:rPr>
        <w:t xml:space="preserve"> </w:t>
      </w:r>
      <w:r w:rsidR="00C6214E">
        <w:rPr>
          <w:rFonts w:ascii="Times New Roman" w:hAnsi="Times New Roman"/>
          <w:lang w:val="hr-HR"/>
        </w:rPr>
        <w:t>буџета</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C6214E">
        <w:rPr>
          <w:rFonts w:ascii="Times New Roman" w:hAnsi="Times New Roman"/>
          <w:lang w:val="sr-Cyrl-BA"/>
        </w:rPr>
        <w:t>Укупан</w:t>
      </w:r>
      <w:r w:rsidR="005D25D6" w:rsidRPr="00295637">
        <w:rPr>
          <w:rFonts w:ascii="Times New Roman" w:hAnsi="Times New Roman"/>
          <w:lang w:val="sr-Cyrl-BA"/>
        </w:rPr>
        <w:t xml:space="preserve"> </w:t>
      </w:r>
      <w:r w:rsidR="00C6214E">
        <w:rPr>
          <w:rFonts w:ascii="Times New Roman" w:hAnsi="Times New Roman"/>
          <w:lang w:val="sr-Cyrl-BA"/>
        </w:rPr>
        <w:t>износ</w:t>
      </w:r>
      <w:r w:rsidR="005D25D6" w:rsidRPr="00295637">
        <w:rPr>
          <w:rFonts w:ascii="Times New Roman" w:hAnsi="Times New Roman"/>
          <w:lang w:val="sr-Cyrl-BA"/>
        </w:rPr>
        <w:t xml:space="preserve"> </w:t>
      </w:r>
      <w:r w:rsidR="00C6214E">
        <w:rPr>
          <w:rFonts w:ascii="Times New Roman" w:hAnsi="Times New Roman"/>
          <w:lang w:val="sr-Cyrl-BA"/>
        </w:rPr>
        <w:t>средстава</w:t>
      </w:r>
      <w:r w:rsidR="005D25D6" w:rsidRPr="00295637">
        <w:rPr>
          <w:rFonts w:ascii="Times New Roman" w:hAnsi="Times New Roman"/>
          <w:lang w:val="sr-Cyrl-BA"/>
        </w:rPr>
        <w:t xml:space="preserve"> </w:t>
      </w:r>
      <w:r w:rsidR="00C6214E">
        <w:rPr>
          <w:rFonts w:ascii="Times New Roman" w:hAnsi="Times New Roman"/>
          <w:lang w:val="sr-Cyrl-BA"/>
        </w:rPr>
        <w:t>предвиђен</w:t>
      </w:r>
      <w:r w:rsidR="005D25D6" w:rsidRPr="00295637">
        <w:rPr>
          <w:rFonts w:ascii="Times New Roman" w:hAnsi="Times New Roman"/>
          <w:lang w:val="sr-Cyrl-BA"/>
        </w:rPr>
        <w:t xml:space="preserve"> </w:t>
      </w:r>
      <w:r w:rsidR="00C6214E">
        <w:rPr>
          <w:rFonts w:ascii="Times New Roman" w:hAnsi="Times New Roman"/>
          <w:lang w:val="sr-Cyrl-BA"/>
        </w:rPr>
        <w:t>планом</w:t>
      </w:r>
      <w:r w:rsidR="005D25D6" w:rsidRPr="00295637">
        <w:rPr>
          <w:rFonts w:ascii="Times New Roman" w:hAnsi="Times New Roman"/>
          <w:lang w:val="sr-Cyrl-BA"/>
        </w:rPr>
        <w:t xml:space="preserve"> </w:t>
      </w:r>
      <w:r w:rsidR="00C6214E">
        <w:rPr>
          <w:rFonts w:ascii="Times New Roman" w:hAnsi="Times New Roman"/>
          <w:lang w:val="sr-Cyrl-BA"/>
        </w:rPr>
        <w:t>за</w:t>
      </w:r>
      <w:r w:rsidR="005D25D6" w:rsidRPr="00295637">
        <w:rPr>
          <w:rFonts w:ascii="Times New Roman" w:hAnsi="Times New Roman"/>
          <w:lang w:val="sr-Cyrl-BA"/>
        </w:rPr>
        <w:t xml:space="preserve"> </w:t>
      </w:r>
      <w:r w:rsidR="00C6214E">
        <w:rPr>
          <w:rFonts w:ascii="Times New Roman" w:hAnsi="Times New Roman"/>
          <w:lang w:val="sr-Cyrl-BA"/>
        </w:rPr>
        <w:t>родно</w:t>
      </w:r>
      <w:r w:rsidR="005D25D6" w:rsidRPr="00295637">
        <w:rPr>
          <w:rFonts w:ascii="Times New Roman" w:hAnsi="Times New Roman"/>
          <w:lang w:val="sr-Cyrl-BA"/>
        </w:rPr>
        <w:t xml:space="preserve"> </w:t>
      </w:r>
      <w:r w:rsidR="00C6214E">
        <w:rPr>
          <w:rFonts w:ascii="Times New Roman" w:hAnsi="Times New Roman"/>
          <w:lang w:val="sr-Cyrl-BA"/>
        </w:rPr>
        <w:t>осјетљиве</w:t>
      </w:r>
      <w:r w:rsidR="005D25D6" w:rsidRPr="00295637">
        <w:rPr>
          <w:rFonts w:ascii="Times New Roman" w:hAnsi="Times New Roman"/>
          <w:lang w:val="sr-Cyrl-BA"/>
        </w:rPr>
        <w:t xml:space="preserve"> </w:t>
      </w:r>
      <w:r w:rsidR="00C6214E">
        <w:rPr>
          <w:rFonts w:ascii="Times New Roman" w:hAnsi="Times New Roman"/>
          <w:lang w:val="sr-Cyrl-BA"/>
        </w:rPr>
        <w:t>мјере</w:t>
      </w:r>
      <w:r w:rsidR="00136128">
        <w:rPr>
          <w:rFonts w:ascii="Times New Roman" w:hAnsi="Times New Roman"/>
          <w:lang w:val="sr-Latn-BA"/>
        </w:rPr>
        <w:t>:</w:t>
      </w:r>
      <w:r w:rsidR="005D25D6" w:rsidRPr="00295637">
        <w:rPr>
          <w:rFonts w:ascii="Times New Roman" w:hAnsi="Times New Roman"/>
          <w:lang w:val="sr-Cyrl-BA"/>
        </w:rPr>
        <w:t xml:space="preserve"> 12.855.814,50 </w:t>
      </w:r>
      <w:r w:rsidR="00C6214E">
        <w:rPr>
          <w:rFonts w:ascii="Times New Roman" w:hAnsi="Times New Roman"/>
          <w:lang w:val="sr-Cyrl-BA"/>
        </w:rPr>
        <w:t>КМ</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C6214E">
        <w:rPr>
          <w:rFonts w:ascii="Times New Roman" w:hAnsi="Times New Roman"/>
          <w:lang w:val="sr-Latn-BA"/>
        </w:rPr>
        <w:t>Б</w:t>
      </w:r>
      <w:r w:rsidR="00C6214E">
        <w:rPr>
          <w:rFonts w:ascii="Times New Roman" w:hAnsi="Times New Roman"/>
          <w:lang w:val="sr-Cyrl-BA"/>
        </w:rPr>
        <w:t>рој</w:t>
      </w:r>
      <w:r w:rsidR="005D25D6" w:rsidRPr="00295637">
        <w:rPr>
          <w:rFonts w:ascii="Times New Roman" w:hAnsi="Times New Roman"/>
          <w:lang w:val="sr-Cyrl-BA"/>
        </w:rPr>
        <w:t xml:space="preserve"> </w:t>
      </w:r>
      <w:r w:rsidR="00C6214E">
        <w:rPr>
          <w:rFonts w:ascii="Times New Roman" w:hAnsi="Times New Roman"/>
          <w:lang w:val="sr-Cyrl-BA"/>
        </w:rPr>
        <w:t>самозапослених</w:t>
      </w:r>
      <w:r w:rsidR="005D25D6" w:rsidRPr="00295637">
        <w:rPr>
          <w:rFonts w:ascii="Times New Roman" w:hAnsi="Times New Roman"/>
          <w:lang w:val="sr-Cyrl-BA"/>
        </w:rPr>
        <w:t xml:space="preserve"> </w:t>
      </w:r>
      <w:r w:rsidR="00C6214E">
        <w:rPr>
          <w:rFonts w:ascii="Times New Roman" w:hAnsi="Times New Roman"/>
          <w:lang w:val="sr-Cyrl-BA"/>
        </w:rPr>
        <w:t>жена</w:t>
      </w:r>
      <w:r w:rsidR="005D25D6" w:rsidRPr="00295637">
        <w:rPr>
          <w:rFonts w:ascii="Times New Roman" w:hAnsi="Times New Roman"/>
          <w:lang w:val="sr-Cyrl-BA"/>
        </w:rPr>
        <w:t xml:space="preserve"> </w:t>
      </w:r>
      <w:r w:rsidR="00C6214E">
        <w:rPr>
          <w:rFonts w:ascii="Times New Roman" w:hAnsi="Times New Roman"/>
          <w:lang w:val="sr-Cyrl-BA"/>
        </w:rPr>
        <w:t>на</w:t>
      </w:r>
      <w:r w:rsidR="005D25D6" w:rsidRPr="00295637">
        <w:rPr>
          <w:rFonts w:ascii="Times New Roman" w:hAnsi="Times New Roman"/>
          <w:lang w:val="sr-Cyrl-BA"/>
        </w:rPr>
        <w:t xml:space="preserve"> </w:t>
      </w:r>
      <w:r w:rsidR="00C6214E">
        <w:rPr>
          <w:rFonts w:ascii="Times New Roman" w:hAnsi="Times New Roman"/>
          <w:lang w:val="sr-Cyrl-BA"/>
        </w:rPr>
        <w:t>селу</w:t>
      </w:r>
      <w:r w:rsidR="005D25D6" w:rsidRPr="00295637">
        <w:rPr>
          <w:rFonts w:ascii="Times New Roman" w:hAnsi="Times New Roman"/>
          <w:lang w:val="sr-Latn-BA"/>
        </w:rPr>
        <w:t xml:space="preserve">: </w:t>
      </w:r>
      <w:r w:rsidR="00BE0900">
        <w:rPr>
          <w:rFonts w:ascii="Times New Roman" w:hAnsi="Times New Roman"/>
          <w:lang w:val="sr-Cyrl-BA"/>
        </w:rPr>
        <w:t xml:space="preserve">24 </w:t>
      </w:r>
      <w:r w:rsidR="00C6214E">
        <w:rPr>
          <w:rFonts w:ascii="Times New Roman" w:hAnsi="Times New Roman"/>
          <w:lang w:val="sr-Cyrl-BA"/>
        </w:rPr>
        <w:t>захтјева</w:t>
      </w:r>
      <w:r w:rsidR="00BE0900">
        <w:rPr>
          <w:rFonts w:ascii="Times New Roman" w:hAnsi="Times New Roman"/>
          <w:lang w:val="sr-Cyrl-BA"/>
        </w:rPr>
        <w:t xml:space="preserve"> </w:t>
      </w:r>
      <w:r w:rsidR="00C6214E">
        <w:rPr>
          <w:rFonts w:ascii="Times New Roman" w:hAnsi="Times New Roman"/>
          <w:lang w:val="sr-Cyrl-BA"/>
        </w:rPr>
        <w:t>за</w:t>
      </w:r>
      <w:r w:rsidR="00BE0900">
        <w:rPr>
          <w:rFonts w:ascii="Times New Roman" w:hAnsi="Times New Roman"/>
          <w:lang w:val="sr-Cyrl-BA"/>
        </w:rPr>
        <w:t xml:space="preserve"> </w:t>
      </w:r>
      <w:r w:rsidR="00C6214E">
        <w:rPr>
          <w:rFonts w:ascii="Times New Roman" w:hAnsi="Times New Roman"/>
          <w:lang w:val="sr-Cyrl-BA"/>
        </w:rPr>
        <w:t>по</w:t>
      </w:r>
      <w:r w:rsidR="00C6214E">
        <w:rPr>
          <w:rFonts w:ascii="Times New Roman" w:hAnsi="Times New Roman"/>
          <w:lang w:val="hr-HR"/>
        </w:rPr>
        <w:t>дс</w:t>
      </w:r>
      <w:r w:rsidR="00C6214E">
        <w:rPr>
          <w:rFonts w:ascii="Times New Roman" w:hAnsi="Times New Roman"/>
          <w:lang w:val="sr-Cyrl-BA"/>
        </w:rPr>
        <w:t>тицај</w:t>
      </w:r>
      <w:r w:rsidR="005D25D6" w:rsidRPr="00295637">
        <w:rPr>
          <w:rFonts w:ascii="Times New Roman" w:hAnsi="Times New Roman"/>
          <w:lang w:val="sr-Cyrl-BA"/>
        </w:rPr>
        <w:t xml:space="preserve"> </w:t>
      </w:r>
      <w:r w:rsidR="00C6214E">
        <w:rPr>
          <w:rFonts w:ascii="Times New Roman" w:hAnsi="Times New Roman"/>
          <w:lang w:val="sr-Cyrl-BA"/>
        </w:rPr>
        <w:t>економско</w:t>
      </w:r>
      <w:r w:rsidR="005D25D6" w:rsidRPr="00295637">
        <w:rPr>
          <w:rFonts w:ascii="Times New Roman" w:hAnsi="Times New Roman"/>
          <w:lang w:val="sr-Cyrl-BA"/>
        </w:rPr>
        <w:t xml:space="preserve"> </w:t>
      </w:r>
      <w:r w:rsidR="00C6214E">
        <w:rPr>
          <w:rFonts w:ascii="Times New Roman" w:hAnsi="Times New Roman"/>
          <w:lang w:val="sr-Cyrl-BA"/>
        </w:rPr>
        <w:t>оснаживање</w:t>
      </w:r>
      <w:r w:rsidR="005D25D6" w:rsidRPr="00295637">
        <w:rPr>
          <w:rFonts w:ascii="Times New Roman" w:hAnsi="Times New Roman"/>
          <w:lang w:val="sr-Cyrl-BA"/>
        </w:rPr>
        <w:t xml:space="preserve"> </w:t>
      </w:r>
      <w:r w:rsidR="00C6214E">
        <w:rPr>
          <w:rFonts w:ascii="Times New Roman" w:hAnsi="Times New Roman"/>
          <w:lang w:val="sr-Cyrl-BA"/>
        </w:rPr>
        <w:t>жена</w:t>
      </w:r>
      <w:r w:rsidR="005D25D6" w:rsidRPr="00295637">
        <w:rPr>
          <w:rFonts w:ascii="Times New Roman" w:hAnsi="Times New Roman"/>
          <w:lang w:val="sr-Cyrl-BA"/>
        </w:rPr>
        <w:t xml:space="preserve"> </w:t>
      </w:r>
      <w:r w:rsidR="00C6214E">
        <w:rPr>
          <w:rFonts w:ascii="Times New Roman" w:hAnsi="Times New Roman"/>
          <w:lang w:val="sr-Cyrl-BA"/>
        </w:rPr>
        <w:t>на</w:t>
      </w:r>
      <w:r w:rsidR="005D25D6" w:rsidRPr="00295637">
        <w:rPr>
          <w:rFonts w:ascii="Times New Roman" w:hAnsi="Times New Roman"/>
          <w:lang w:val="sr-Cyrl-BA"/>
        </w:rPr>
        <w:t xml:space="preserve"> </w:t>
      </w:r>
      <w:r w:rsidR="00C6214E">
        <w:rPr>
          <w:rFonts w:ascii="Times New Roman" w:hAnsi="Times New Roman"/>
          <w:lang w:val="sr-Cyrl-BA"/>
        </w:rPr>
        <w:t>селу</w:t>
      </w:r>
      <w:r w:rsidR="005D25D6" w:rsidRPr="00295637">
        <w:rPr>
          <w:rFonts w:ascii="Times New Roman" w:hAnsi="Times New Roman"/>
          <w:lang w:val="sr-Cyrl-BA"/>
        </w:rPr>
        <w:t xml:space="preserve">, 238.885,58 </w:t>
      </w:r>
      <w:r w:rsidR="00C6214E">
        <w:rPr>
          <w:rFonts w:ascii="Times New Roman" w:hAnsi="Times New Roman"/>
          <w:lang w:val="sr-Cyrl-BA"/>
        </w:rPr>
        <w:t>КМ</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C6214E">
        <w:rPr>
          <w:rFonts w:ascii="Times New Roman" w:hAnsi="Times New Roman"/>
          <w:lang w:val="sr-Latn-BA"/>
        </w:rPr>
        <w:t>Б</w:t>
      </w:r>
      <w:r w:rsidR="00C6214E">
        <w:rPr>
          <w:rFonts w:ascii="Times New Roman" w:hAnsi="Times New Roman"/>
          <w:lang w:val="sr-Cyrl-BA"/>
        </w:rPr>
        <w:t>рој</w:t>
      </w:r>
      <w:r w:rsidR="005D25D6" w:rsidRPr="00295637">
        <w:rPr>
          <w:rFonts w:ascii="Times New Roman" w:hAnsi="Times New Roman"/>
          <w:lang w:val="sr-Cyrl-BA"/>
        </w:rPr>
        <w:t xml:space="preserve"> </w:t>
      </w:r>
      <w:r w:rsidR="00C6214E">
        <w:rPr>
          <w:rFonts w:ascii="Times New Roman" w:hAnsi="Times New Roman"/>
          <w:lang w:val="sr-Cyrl-BA"/>
        </w:rPr>
        <w:t>подржаних</w:t>
      </w:r>
      <w:r w:rsidR="005D25D6" w:rsidRPr="00295637">
        <w:rPr>
          <w:rFonts w:ascii="Times New Roman" w:hAnsi="Times New Roman"/>
          <w:lang w:val="sr-Cyrl-BA"/>
        </w:rPr>
        <w:t xml:space="preserve"> </w:t>
      </w:r>
      <w:r w:rsidR="00C6214E">
        <w:rPr>
          <w:rFonts w:ascii="Times New Roman" w:hAnsi="Times New Roman"/>
          <w:lang w:val="sr-Cyrl-BA"/>
        </w:rPr>
        <w:t>удру</w:t>
      </w:r>
      <w:r w:rsidR="00C6214E">
        <w:rPr>
          <w:rFonts w:ascii="Times New Roman" w:hAnsi="Times New Roman"/>
          <w:lang w:val="hr-HR"/>
        </w:rPr>
        <w:t>жења</w:t>
      </w:r>
      <w:r w:rsidR="005D25D6" w:rsidRPr="00295637">
        <w:rPr>
          <w:rFonts w:ascii="Times New Roman" w:hAnsi="Times New Roman"/>
          <w:lang w:val="sr-Cyrl-BA"/>
        </w:rPr>
        <w:t xml:space="preserve"> </w:t>
      </w:r>
      <w:r w:rsidR="00C6214E">
        <w:rPr>
          <w:rFonts w:ascii="Times New Roman" w:hAnsi="Times New Roman"/>
          <w:lang w:val="sr-Cyrl-BA"/>
        </w:rPr>
        <w:t>жена</w:t>
      </w:r>
      <w:r w:rsidR="005D25D6" w:rsidRPr="00295637">
        <w:rPr>
          <w:rFonts w:ascii="Times New Roman" w:hAnsi="Times New Roman"/>
          <w:lang w:val="sr-Latn-BA"/>
        </w:rPr>
        <w:t xml:space="preserve">: </w:t>
      </w:r>
      <w:r w:rsidR="005D25D6" w:rsidRPr="00295637">
        <w:rPr>
          <w:rFonts w:ascii="Times New Roman" w:hAnsi="Times New Roman"/>
          <w:lang w:val="sr-Cyrl-BA"/>
        </w:rPr>
        <w:t xml:space="preserve">19 </w:t>
      </w:r>
      <w:r w:rsidR="00C6214E">
        <w:rPr>
          <w:rFonts w:ascii="Times New Roman" w:hAnsi="Times New Roman"/>
          <w:lang w:val="sr-Cyrl-BA"/>
        </w:rPr>
        <w:t>пројеката</w:t>
      </w:r>
      <w:r w:rsidR="005D25D6" w:rsidRPr="00295637">
        <w:rPr>
          <w:rFonts w:ascii="Times New Roman" w:hAnsi="Times New Roman"/>
          <w:lang w:val="sr-Cyrl-BA"/>
        </w:rPr>
        <w:t xml:space="preserve"> </w:t>
      </w:r>
      <w:r w:rsidR="00C6214E">
        <w:rPr>
          <w:rFonts w:ascii="Times New Roman" w:hAnsi="Times New Roman"/>
          <w:lang w:val="sr-Cyrl-BA"/>
        </w:rPr>
        <w:t>за</w:t>
      </w:r>
      <w:r w:rsidR="005D25D6" w:rsidRPr="00295637">
        <w:rPr>
          <w:rFonts w:ascii="Times New Roman" w:hAnsi="Times New Roman"/>
          <w:lang w:val="sr-Cyrl-BA"/>
        </w:rPr>
        <w:t xml:space="preserve"> </w:t>
      </w:r>
      <w:r w:rsidR="00C6214E">
        <w:rPr>
          <w:rFonts w:ascii="Times New Roman" w:hAnsi="Times New Roman"/>
          <w:lang w:val="sr-Cyrl-BA"/>
        </w:rPr>
        <w:t>удру</w:t>
      </w:r>
      <w:r w:rsidR="00C6214E">
        <w:rPr>
          <w:rFonts w:ascii="Times New Roman" w:hAnsi="Times New Roman"/>
          <w:lang w:val="hr-HR"/>
        </w:rPr>
        <w:t>жења</w:t>
      </w:r>
      <w:r w:rsidR="005D25D6" w:rsidRPr="00295637">
        <w:rPr>
          <w:rFonts w:ascii="Times New Roman" w:hAnsi="Times New Roman"/>
          <w:lang w:val="sr-Cyrl-BA"/>
        </w:rPr>
        <w:t xml:space="preserve"> </w:t>
      </w:r>
      <w:r w:rsidR="00C6214E">
        <w:rPr>
          <w:rFonts w:ascii="Times New Roman" w:hAnsi="Times New Roman"/>
          <w:lang w:val="sr-Cyrl-BA"/>
        </w:rPr>
        <w:t>жена</w:t>
      </w:r>
      <w:r w:rsidR="005D25D6" w:rsidRPr="00295637">
        <w:rPr>
          <w:rFonts w:ascii="Times New Roman" w:hAnsi="Times New Roman"/>
          <w:lang w:val="sr-Cyrl-BA"/>
        </w:rPr>
        <w:t xml:space="preserve"> </w:t>
      </w:r>
      <w:r w:rsidR="00C6214E">
        <w:rPr>
          <w:rFonts w:ascii="Times New Roman" w:hAnsi="Times New Roman"/>
          <w:lang w:val="sr-Cyrl-BA"/>
        </w:rPr>
        <w:t>на</w:t>
      </w:r>
      <w:r w:rsidR="005D25D6" w:rsidRPr="00295637">
        <w:rPr>
          <w:rFonts w:ascii="Times New Roman" w:hAnsi="Times New Roman"/>
          <w:lang w:val="sr-Cyrl-BA"/>
        </w:rPr>
        <w:t xml:space="preserve"> </w:t>
      </w:r>
      <w:r w:rsidR="00C6214E">
        <w:rPr>
          <w:rFonts w:ascii="Times New Roman" w:hAnsi="Times New Roman"/>
          <w:lang w:val="sr-Cyrl-BA"/>
        </w:rPr>
        <w:t>селу</w:t>
      </w:r>
      <w:r w:rsidR="005D25D6" w:rsidRPr="00295637">
        <w:rPr>
          <w:rFonts w:ascii="Times New Roman" w:hAnsi="Times New Roman"/>
          <w:lang w:val="sr-Cyrl-BA"/>
        </w:rPr>
        <w:t xml:space="preserve">, 99.936,63 </w:t>
      </w:r>
      <w:r w:rsidR="00C6214E">
        <w:rPr>
          <w:rFonts w:ascii="Times New Roman" w:hAnsi="Times New Roman"/>
          <w:lang w:val="sr-Cyrl-BA"/>
        </w:rPr>
        <w:t>КМ</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C6214E">
        <w:rPr>
          <w:rFonts w:ascii="Times New Roman" w:hAnsi="Times New Roman"/>
          <w:lang w:val="sr-Latn-BA"/>
        </w:rPr>
        <w:t>Б</w:t>
      </w:r>
      <w:r w:rsidR="00C6214E">
        <w:rPr>
          <w:rFonts w:ascii="Times New Roman" w:hAnsi="Times New Roman"/>
          <w:lang w:val="sr-Cyrl-BA"/>
        </w:rPr>
        <w:t>рој</w:t>
      </w:r>
      <w:r w:rsidR="005D25D6" w:rsidRPr="00295637">
        <w:rPr>
          <w:rFonts w:ascii="Times New Roman" w:hAnsi="Times New Roman"/>
          <w:lang w:val="sr-Cyrl-BA"/>
        </w:rPr>
        <w:t xml:space="preserve"> </w:t>
      </w:r>
      <w:r w:rsidR="00C6214E">
        <w:rPr>
          <w:rFonts w:ascii="Times New Roman" w:hAnsi="Times New Roman"/>
          <w:lang w:val="sr-Cyrl-BA"/>
        </w:rPr>
        <w:t>подржаних</w:t>
      </w:r>
      <w:r w:rsidR="005D25D6" w:rsidRPr="00295637">
        <w:rPr>
          <w:rFonts w:ascii="Times New Roman" w:hAnsi="Times New Roman"/>
          <w:lang w:val="sr-Cyrl-BA"/>
        </w:rPr>
        <w:t xml:space="preserve"> </w:t>
      </w:r>
      <w:r w:rsidR="00C6214E">
        <w:rPr>
          <w:rFonts w:ascii="Times New Roman" w:hAnsi="Times New Roman"/>
          <w:lang w:val="sr-Cyrl-BA"/>
        </w:rPr>
        <w:t>жена</w:t>
      </w:r>
      <w:r w:rsidR="005D25D6" w:rsidRPr="00295637">
        <w:rPr>
          <w:rFonts w:ascii="Times New Roman" w:hAnsi="Times New Roman"/>
          <w:lang w:val="sr-Cyrl-BA"/>
        </w:rPr>
        <w:t xml:space="preserve"> </w:t>
      </w:r>
      <w:r w:rsidR="00C6214E">
        <w:rPr>
          <w:rFonts w:ascii="Times New Roman" w:hAnsi="Times New Roman"/>
          <w:lang w:val="sr-Cyrl-BA"/>
        </w:rPr>
        <w:t>за</w:t>
      </w:r>
      <w:r w:rsidR="005D25D6" w:rsidRPr="00295637">
        <w:rPr>
          <w:rFonts w:ascii="Times New Roman" w:hAnsi="Times New Roman"/>
          <w:lang w:val="sr-Cyrl-BA"/>
        </w:rPr>
        <w:t xml:space="preserve"> </w:t>
      </w:r>
      <w:r w:rsidR="00C6214E">
        <w:rPr>
          <w:rFonts w:ascii="Times New Roman" w:hAnsi="Times New Roman"/>
          <w:lang w:val="sr-Cyrl-BA"/>
        </w:rPr>
        <w:t>покретање</w:t>
      </w:r>
      <w:r w:rsidR="005D25D6" w:rsidRPr="00295637">
        <w:rPr>
          <w:rFonts w:ascii="Times New Roman" w:hAnsi="Times New Roman"/>
          <w:lang w:val="sr-Cyrl-BA"/>
        </w:rPr>
        <w:t xml:space="preserve"> </w:t>
      </w:r>
      <w:r w:rsidR="00C6214E">
        <w:rPr>
          <w:rFonts w:ascii="Times New Roman" w:hAnsi="Times New Roman"/>
          <w:lang w:val="sr-Cyrl-BA"/>
        </w:rPr>
        <w:t>агротуризма</w:t>
      </w:r>
      <w:r w:rsidR="005D25D6" w:rsidRPr="00295637">
        <w:rPr>
          <w:rFonts w:ascii="Times New Roman" w:hAnsi="Times New Roman"/>
          <w:lang w:val="sr-Latn-BA"/>
        </w:rPr>
        <w:t>:</w:t>
      </w:r>
      <w:r w:rsidR="005D25D6" w:rsidRPr="00295637">
        <w:rPr>
          <w:rFonts w:ascii="Times New Roman" w:hAnsi="Times New Roman"/>
          <w:lang w:val="sr-Cyrl-BA"/>
        </w:rPr>
        <w:t xml:space="preserve"> 67</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C6214E">
        <w:rPr>
          <w:rFonts w:ascii="Times New Roman" w:hAnsi="Times New Roman"/>
          <w:lang w:val="sr-Latn-BA"/>
        </w:rPr>
        <w:t>Б</w:t>
      </w:r>
      <w:r w:rsidR="00C6214E">
        <w:rPr>
          <w:rFonts w:ascii="Times New Roman" w:hAnsi="Times New Roman"/>
          <w:lang w:val="sr-Cyrl-BA"/>
        </w:rPr>
        <w:t>рој</w:t>
      </w:r>
      <w:r w:rsidR="005D25D6" w:rsidRPr="00295637">
        <w:rPr>
          <w:rFonts w:ascii="Times New Roman" w:hAnsi="Times New Roman"/>
          <w:lang w:val="sr-Cyrl-BA"/>
        </w:rPr>
        <w:t xml:space="preserve"> </w:t>
      </w:r>
      <w:r w:rsidR="00C6214E">
        <w:rPr>
          <w:rFonts w:ascii="Times New Roman" w:hAnsi="Times New Roman"/>
          <w:lang w:val="sr-Cyrl-BA"/>
        </w:rPr>
        <w:t>финан</w:t>
      </w:r>
      <w:r w:rsidR="00C6214E">
        <w:rPr>
          <w:rFonts w:ascii="Times New Roman" w:hAnsi="Times New Roman"/>
          <w:lang w:val="hr-HR"/>
        </w:rPr>
        <w:t>с</w:t>
      </w:r>
      <w:r w:rsidR="00C6214E">
        <w:rPr>
          <w:rFonts w:ascii="Times New Roman" w:hAnsi="Times New Roman"/>
          <w:lang w:val="sr-Cyrl-BA"/>
        </w:rPr>
        <w:t>ираних</w:t>
      </w:r>
      <w:r w:rsidR="005D25D6" w:rsidRPr="00295637">
        <w:rPr>
          <w:rFonts w:ascii="Times New Roman" w:hAnsi="Times New Roman"/>
          <w:lang w:val="sr-Cyrl-BA"/>
        </w:rPr>
        <w:t xml:space="preserve"> </w:t>
      </w:r>
      <w:r w:rsidR="00C6214E">
        <w:rPr>
          <w:rFonts w:ascii="Times New Roman" w:hAnsi="Times New Roman"/>
          <w:lang w:val="hr-HR"/>
        </w:rPr>
        <w:t>домаћинстава</w:t>
      </w:r>
      <w:r w:rsidR="005D25D6" w:rsidRPr="00295637">
        <w:rPr>
          <w:rFonts w:ascii="Times New Roman" w:hAnsi="Times New Roman"/>
          <w:lang w:val="sr-Latn-BA"/>
        </w:rPr>
        <w:t>:</w:t>
      </w:r>
      <w:r w:rsidR="005D25D6" w:rsidRPr="00295637">
        <w:rPr>
          <w:rFonts w:ascii="Times New Roman" w:hAnsi="Times New Roman"/>
          <w:lang w:val="sr-Cyrl-BA"/>
        </w:rPr>
        <w:t xml:space="preserve"> 156</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C6214E">
        <w:rPr>
          <w:rFonts w:ascii="Times New Roman" w:hAnsi="Times New Roman"/>
          <w:lang w:val="sr-Latn-BA"/>
        </w:rPr>
        <w:t>Б</w:t>
      </w:r>
      <w:r w:rsidR="00C6214E">
        <w:rPr>
          <w:rFonts w:ascii="Times New Roman" w:hAnsi="Times New Roman"/>
          <w:lang w:val="sr-Cyrl-BA"/>
        </w:rPr>
        <w:t>рој</w:t>
      </w:r>
      <w:r w:rsidR="005D25D6" w:rsidRPr="00295637">
        <w:rPr>
          <w:rFonts w:ascii="Times New Roman" w:hAnsi="Times New Roman"/>
          <w:lang w:val="sr-Cyrl-BA"/>
        </w:rPr>
        <w:t xml:space="preserve"> </w:t>
      </w:r>
      <w:r w:rsidR="00C6214E">
        <w:rPr>
          <w:rFonts w:ascii="Times New Roman" w:hAnsi="Times New Roman"/>
          <w:lang w:val="sr-Cyrl-BA"/>
        </w:rPr>
        <w:t>финан</w:t>
      </w:r>
      <w:r w:rsidR="00C6214E">
        <w:rPr>
          <w:rFonts w:ascii="Times New Roman" w:hAnsi="Times New Roman"/>
          <w:lang w:val="hr-HR"/>
        </w:rPr>
        <w:t>с</w:t>
      </w:r>
      <w:r w:rsidR="00C6214E">
        <w:rPr>
          <w:rFonts w:ascii="Times New Roman" w:hAnsi="Times New Roman"/>
          <w:lang w:val="sr-Cyrl-BA"/>
        </w:rPr>
        <w:t>ираних</w:t>
      </w:r>
      <w:r w:rsidR="005D25D6" w:rsidRPr="00295637">
        <w:rPr>
          <w:rFonts w:ascii="Times New Roman" w:hAnsi="Times New Roman"/>
          <w:lang w:val="sr-Cyrl-BA"/>
        </w:rPr>
        <w:t xml:space="preserve"> </w:t>
      </w:r>
      <w:r w:rsidR="00C6214E">
        <w:rPr>
          <w:rFonts w:ascii="Times New Roman" w:hAnsi="Times New Roman"/>
          <w:lang w:val="hr-HR"/>
        </w:rPr>
        <w:t>домаћинстава</w:t>
      </w:r>
      <w:r w:rsidR="005D25D6" w:rsidRPr="00295637">
        <w:rPr>
          <w:rFonts w:ascii="Times New Roman" w:hAnsi="Times New Roman"/>
          <w:lang w:val="sr-Cyrl-BA"/>
        </w:rPr>
        <w:t xml:space="preserve"> </w:t>
      </w:r>
      <w:r w:rsidR="00C6214E">
        <w:rPr>
          <w:rFonts w:ascii="Times New Roman" w:hAnsi="Times New Roman"/>
          <w:lang w:val="sr-Cyrl-BA"/>
        </w:rPr>
        <w:t>које</w:t>
      </w:r>
      <w:r w:rsidR="005D25D6" w:rsidRPr="00295637">
        <w:rPr>
          <w:rFonts w:ascii="Times New Roman" w:hAnsi="Times New Roman"/>
          <w:lang w:val="sr-Cyrl-BA"/>
        </w:rPr>
        <w:t xml:space="preserve"> </w:t>
      </w:r>
      <w:r w:rsidR="00C6214E">
        <w:rPr>
          <w:rFonts w:ascii="Times New Roman" w:hAnsi="Times New Roman"/>
          <w:lang w:val="sr-Cyrl-BA"/>
        </w:rPr>
        <w:t>воде</w:t>
      </w:r>
      <w:r w:rsidR="005D25D6" w:rsidRPr="00295637">
        <w:rPr>
          <w:rFonts w:ascii="Times New Roman" w:hAnsi="Times New Roman"/>
          <w:lang w:val="sr-Cyrl-BA"/>
        </w:rPr>
        <w:t xml:space="preserve"> </w:t>
      </w:r>
      <w:r w:rsidR="00C6214E">
        <w:rPr>
          <w:rFonts w:ascii="Times New Roman" w:hAnsi="Times New Roman"/>
          <w:lang w:val="sr-Cyrl-BA"/>
        </w:rPr>
        <w:t>жене</w:t>
      </w:r>
      <w:r w:rsidR="005D25D6" w:rsidRPr="00295637">
        <w:rPr>
          <w:rFonts w:ascii="Times New Roman" w:hAnsi="Times New Roman"/>
          <w:lang w:val="sr-Latn-BA"/>
        </w:rPr>
        <w:t>:</w:t>
      </w:r>
      <w:r w:rsidR="005D25D6" w:rsidRPr="00295637">
        <w:rPr>
          <w:rFonts w:ascii="Times New Roman" w:hAnsi="Times New Roman"/>
          <w:lang w:val="sr-Cyrl-BA"/>
        </w:rPr>
        <w:t xml:space="preserve"> 67</w:t>
      </w:r>
      <w:r w:rsidR="005D25D6" w:rsidRPr="00295637">
        <w:rPr>
          <w:rFonts w:ascii="Times New Roman" w:hAnsi="Times New Roman"/>
          <w:lang w:val="sr-Latn-BA"/>
        </w:rPr>
        <w:t xml:space="preserve">, </w:t>
      </w:r>
      <w:r w:rsidR="00C6214E">
        <w:rPr>
          <w:rFonts w:ascii="Times New Roman" w:hAnsi="Times New Roman"/>
          <w:lang w:val="sr-Cyrl-BA"/>
        </w:rPr>
        <w:t>износ</w:t>
      </w:r>
      <w:r w:rsidR="005D25D6" w:rsidRPr="00295637">
        <w:rPr>
          <w:rFonts w:ascii="Times New Roman" w:hAnsi="Times New Roman"/>
          <w:lang w:val="sr-Cyrl-BA"/>
        </w:rPr>
        <w:t xml:space="preserve"> </w:t>
      </w:r>
      <w:r w:rsidR="00C6214E">
        <w:rPr>
          <w:rFonts w:ascii="Times New Roman" w:hAnsi="Times New Roman"/>
          <w:lang w:val="sr-Cyrl-BA"/>
        </w:rPr>
        <w:t>финан</w:t>
      </w:r>
      <w:r w:rsidR="00C6214E">
        <w:rPr>
          <w:rFonts w:ascii="Times New Roman" w:hAnsi="Times New Roman"/>
          <w:lang w:val="hr-HR"/>
        </w:rPr>
        <w:t>с</w:t>
      </w:r>
      <w:r w:rsidR="00C6214E">
        <w:rPr>
          <w:rFonts w:ascii="Times New Roman" w:hAnsi="Times New Roman"/>
          <w:lang w:val="sr-Cyrl-BA"/>
        </w:rPr>
        <w:t>иј</w:t>
      </w:r>
      <w:r>
        <w:rPr>
          <w:rFonts w:ascii="Times New Roman" w:hAnsi="Times New Roman"/>
          <w:lang w:val="sr-Cyrl-BA"/>
        </w:rPr>
        <w:t>с</w:t>
      </w:r>
      <w:r w:rsidR="00C6214E">
        <w:rPr>
          <w:rFonts w:ascii="Times New Roman" w:hAnsi="Times New Roman"/>
          <w:lang w:val="sr-Cyrl-BA"/>
        </w:rPr>
        <w:t>ких</w:t>
      </w:r>
      <w:r w:rsidR="005D25D6" w:rsidRPr="00295637">
        <w:rPr>
          <w:rFonts w:ascii="Times New Roman" w:hAnsi="Times New Roman"/>
          <w:lang w:val="sr-Cyrl-BA"/>
        </w:rPr>
        <w:t xml:space="preserve"> </w:t>
      </w:r>
      <w:r w:rsidR="00C6214E">
        <w:rPr>
          <w:rFonts w:ascii="Times New Roman" w:hAnsi="Times New Roman"/>
          <w:lang w:val="sr-Cyrl-BA"/>
        </w:rPr>
        <w:t>средстава</w:t>
      </w:r>
      <w:r w:rsidR="005D25D6" w:rsidRPr="00295637">
        <w:rPr>
          <w:rFonts w:ascii="Times New Roman" w:hAnsi="Times New Roman"/>
          <w:lang w:val="sr-Cyrl-BA"/>
        </w:rPr>
        <w:t xml:space="preserve"> 37.682 </w:t>
      </w:r>
      <w:r w:rsidR="00C6214E">
        <w:rPr>
          <w:rFonts w:ascii="Times New Roman" w:hAnsi="Times New Roman"/>
          <w:lang w:val="sr-Cyrl-BA"/>
        </w:rPr>
        <w:t>КМ</w:t>
      </w:r>
      <w:r w:rsidR="005D25D6" w:rsidRPr="00295637">
        <w:rPr>
          <w:rFonts w:ascii="Times New Roman" w:hAnsi="Times New Roman"/>
          <w:lang w:val="sr-Latn-BA"/>
        </w:rPr>
        <w:t>;</w:t>
      </w:r>
      <w:r w:rsidR="00026E61" w:rsidRPr="00295637">
        <w:rPr>
          <w:rFonts w:ascii="Times New Roman" w:hAnsi="Times New Roman"/>
          <w:lang w:val="sr-Latn-BA"/>
        </w:rPr>
        <w:t xml:space="preserve"> </w:t>
      </w:r>
      <w:r w:rsidR="00C6214E">
        <w:rPr>
          <w:rFonts w:ascii="Times New Roman" w:hAnsi="Times New Roman"/>
          <w:lang w:val="sr-Latn-BA"/>
        </w:rPr>
        <w:t>Подржано</w:t>
      </w:r>
      <w:r w:rsidR="005D25D6" w:rsidRPr="00295637">
        <w:rPr>
          <w:rFonts w:ascii="Times New Roman" w:hAnsi="Times New Roman"/>
          <w:lang w:val="sr-Latn-BA"/>
        </w:rPr>
        <w:t xml:space="preserve"> </w:t>
      </w:r>
      <w:r w:rsidR="005D25D6" w:rsidRPr="00295637">
        <w:rPr>
          <w:rFonts w:ascii="Times New Roman" w:hAnsi="Times New Roman"/>
          <w:lang w:val="sr-Cyrl-BA"/>
        </w:rPr>
        <w:t xml:space="preserve">8 </w:t>
      </w:r>
      <w:r w:rsidR="00C6214E">
        <w:rPr>
          <w:rFonts w:ascii="Times New Roman" w:hAnsi="Times New Roman"/>
          <w:lang w:val="sr-Cyrl-BA"/>
        </w:rPr>
        <w:t>удру</w:t>
      </w:r>
      <w:r w:rsidR="00C6214E">
        <w:rPr>
          <w:rFonts w:ascii="Times New Roman" w:hAnsi="Times New Roman"/>
          <w:lang w:val="hr-HR"/>
        </w:rPr>
        <w:t>жења</w:t>
      </w:r>
      <w:r w:rsidR="005D25D6" w:rsidRPr="00295637">
        <w:rPr>
          <w:rFonts w:ascii="Times New Roman" w:hAnsi="Times New Roman"/>
          <w:lang w:val="sr-Cyrl-BA"/>
        </w:rPr>
        <w:t xml:space="preserve"> </w:t>
      </w:r>
      <w:r w:rsidR="00C6214E">
        <w:rPr>
          <w:rFonts w:ascii="Times New Roman" w:hAnsi="Times New Roman"/>
          <w:lang w:val="sr-Latn-BA"/>
        </w:rPr>
        <w:t>жена</w:t>
      </w:r>
      <w:r w:rsidR="00BE0900">
        <w:rPr>
          <w:rFonts w:ascii="Times New Roman" w:hAnsi="Times New Roman"/>
          <w:lang w:val="sr-Latn-BA"/>
        </w:rPr>
        <w:t xml:space="preserve"> </w:t>
      </w:r>
      <w:r w:rsidR="00C6214E">
        <w:rPr>
          <w:rFonts w:ascii="Times New Roman" w:hAnsi="Times New Roman"/>
          <w:lang w:val="sr-Latn-BA"/>
        </w:rPr>
        <w:t>са</w:t>
      </w:r>
      <w:r w:rsidR="005D25D6" w:rsidRPr="00295637">
        <w:rPr>
          <w:rFonts w:ascii="Times New Roman" w:hAnsi="Times New Roman"/>
          <w:lang w:val="sr-Latn-BA"/>
        </w:rPr>
        <w:t xml:space="preserve"> </w:t>
      </w:r>
      <w:r w:rsidR="005D25D6" w:rsidRPr="00295637">
        <w:rPr>
          <w:rFonts w:ascii="Times New Roman" w:hAnsi="Times New Roman"/>
          <w:lang w:val="sr-Cyrl-BA"/>
        </w:rPr>
        <w:t xml:space="preserve">24.000,00 </w:t>
      </w:r>
      <w:r w:rsidR="00C6214E">
        <w:rPr>
          <w:rFonts w:ascii="Times New Roman" w:hAnsi="Times New Roman"/>
          <w:lang w:val="sr-Cyrl-BA"/>
        </w:rPr>
        <w:t>КМ</w:t>
      </w:r>
      <w:r w:rsidR="005D25D6" w:rsidRPr="00295637">
        <w:rPr>
          <w:rFonts w:ascii="Times New Roman" w:hAnsi="Times New Roman"/>
          <w:lang w:val="sr-Latn-BA"/>
        </w:rPr>
        <w:t xml:space="preserve"> </w:t>
      </w:r>
      <w:r w:rsidR="005D25D6" w:rsidRPr="00295637">
        <w:rPr>
          <w:rFonts w:ascii="Times New Roman" w:hAnsi="Times New Roman"/>
          <w:lang w:val="sr-Cyrl-BA"/>
        </w:rPr>
        <w:t>(</w:t>
      </w:r>
      <w:r w:rsidR="00C6214E">
        <w:rPr>
          <w:rFonts w:ascii="Times New Roman" w:hAnsi="Times New Roman"/>
          <w:lang w:val="sr-Cyrl-BA"/>
        </w:rPr>
        <w:t>подржане</w:t>
      </w:r>
      <w:r w:rsidR="005D25D6" w:rsidRPr="00295637">
        <w:rPr>
          <w:rFonts w:ascii="Times New Roman" w:hAnsi="Times New Roman"/>
          <w:lang w:val="sr-Cyrl-BA"/>
        </w:rPr>
        <w:t xml:space="preserve"> </w:t>
      </w:r>
      <w:r w:rsidR="00C6214E">
        <w:rPr>
          <w:rFonts w:ascii="Times New Roman" w:hAnsi="Times New Roman"/>
          <w:lang w:val="sr-Cyrl-BA"/>
        </w:rPr>
        <w:t>су</w:t>
      </w:r>
      <w:r w:rsidR="005D25D6" w:rsidRPr="00295637">
        <w:rPr>
          <w:rFonts w:ascii="Times New Roman" w:hAnsi="Times New Roman"/>
          <w:lang w:val="sr-Cyrl-BA"/>
        </w:rPr>
        <w:t xml:space="preserve"> </w:t>
      </w:r>
      <w:r w:rsidR="00C6214E">
        <w:rPr>
          <w:rFonts w:ascii="Times New Roman" w:hAnsi="Times New Roman"/>
          <w:lang w:val="sr-Cyrl-BA"/>
        </w:rPr>
        <w:t>активности</w:t>
      </w:r>
      <w:r w:rsidR="005D25D6" w:rsidRPr="00295637">
        <w:rPr>
          <w:rFonts w:ascii="Times New Roman" w:hAnsi="Times New Roman"/>
          <w:lang w:val="sr-Cyrl-BA"/>
        </w:rPr>
        <w:t xml:space="preserve"> </w:t>
      </w:r>
      <w:r w:rsidR="00C6214E">
        <w:rPr>
          <w:rFonts w:ascii="Times New Roman" w:hAnsi="Times New Roman"/>
          <w:lang w:val="sr-Cyrl-BA"/>
        </w:rPr>
        <w:t>одржавања</w:t>
      </w:r>
      <w:r w:rsidR="005D25D6" w:rsidRPr="00295637">
        <w:rPr>
          <w:rFonts w:ascii="Times New Roman" w:hAnsi="Times New Roman"/>
          <w:lang w:val="sr-Cyrl-BA"/>
        </w:rPr>
        <w:t xml:space="preserve"> </w:t>
      </w:r>
      <w:r w:rsidR="00C6214E">
        <w:rPr>
          <w:rFonts w:ascii="Times New Roman" w:hAnsi="Times New Roman"/>
          <w:lang w:val="sr-Cyrl-BA"/>
        </w:rPr>
        <w:t>манифестација</w:t>
      </w:r>
      <w:r w:rsidR="005D25D6" w:rsidRPr="00295637">
        <w:rPr>
          <w:rFonts w:ascii="Times New Roman" w:hAnsi="Times New Roman"/>
          <w:lang w:val="sr-Latn-BA"/>
        </w:rPr>
        <w:t xml:space="preserve"> </w:t>
      </w:r>
      <w:r w:rsidR="005D25D6" w:rsidRPr="00295637">
        <w:rPr>
          <w:rFonts w:ascii="Times New Roman" w:hAnsi="Times New Roman"/>
          <w:lang w:val="sr-Cyrl-BA"/>
        </w:rPr>
        <w:t>-</w:t>
      </w:r>
      <w:r w:rsidR="00DA7F17">
        <w:rPr>
          <w:rFonts w:ascii="Times New Roman" w:hAnsi="Times New Roman"/>
          <w:lang w:val="hr-HR"/>
        </w:rPr>
        <w:t xml:space="preserve"> </w:t>
      </w:r>
      <w:r w:rsidR="005D25D6" w:rsidRPr="00295637">
        <w:rPr>
          <w:rFonts w:ascii="Times New Roman" w:hAnsi="Times New Roman"/>
          <w:lang w:val="sr-Cyrl-BA"/>
        </w:rPr>
        <w:t xml:space="preserve">5 </w:t>
      </w:r>
      <w:r w:rsidR="00C6214E">
        <w:rPr>
          <w:rFonts w:ascii="Times New Roman" w:hAnsi="Times New Roman"/>
          <w:lang w:val="sr-Cyrl-BA"/>
        </w:rPr>
        <w:t>пројеката</w:t>
      </w:r>
      <w:r w:rsidR="005D25D6" w:rsidRPr="00295637">
        <w:rPr>
          <w:rFonts w:ascii="Times New Roman" w:hAnsi="Times New Roman"/>
          <w:lang w:val="sr-Cyrl-BA"/>
        </w:rPr>
        <w:t xml:space="preserve">; </w:t>
      </w:r>
      <w:r w:rsidR="00C6214E">
        <w:rPr>
          <w:rFonts w:ascii="Times New Roman" w:hAnsi="Times New Roman"/>
          <w:lang w:val="sr-Cyrl-BA"/>
        </w:rPr>
        <w:t>по</w:t>
      </w:r>
      <w:r w:rsidR="005D25D6" w:rsidRPr="00295637">
        <w:rPr>
          <w:rFonts w:ascii="Times New Roman" w:hAnsi="Times New Roman"/>
          <w:lang w:val="sr-Cyrl-BA"/>
        </w:rPr>
        <w:t xml:space="preserve"> </w:t>
      </w:r>
      <w:r w:rsidR="00C6214E">
        <w:rPr>
          <w:rFonts w:ascii="Times New Roman" w:hAnsi="Times New Roman"/>
          <w:lang w:val="sr-Cyrl-BA"/>
        </w:rPr>
        <w:t>један</w:t>
      </w:r>
      <w:r w:rsidR="00BE0900">
        <w:rPr>
          <w:rFonts w:ascii="Times New Roman" w:hAnsi="Times New Roman"/>
          <w:lang w:val="sr-Cyrl-BA"/>
        </w:rPr>
        <w:t xml:space="preserve"> </w:t>
      </w:r>
      <w:r w:rsidR="00C6214E">
        <w:rPr>
          <w:rFonts w:ascii="Times New Roman" w:hAnsi="Times New Roman"/>
          <w:lang w:val="sr-Cyrl-BA"/>
        </w:rPr>
        <w:t>пројек</w:t>
      </w:r>
      <w:r w:rsidR="00C6214E">
        <w:rPr>
          <w:rFonts w:ascii="Times New Roman" w:hAnsi="Times New Roman"/>
          <w:lang w:val="hr-HR"/>
        </w:rPr>
        <w:t>а</w:t>
      </w:r>
      <w:r w:rsidR="00C6214E">
        <w:rPr>
          <w:rFonts w:ascii="Times New Roman" w:hAnsi="Times New Roman"/>
          <w:lang w:val="sr-Cyrl-BA"/>
        </w:rPr>
        <w:t>т</w:t>
      </w:r>
      <w:r w:rsidR="005D25D6" w:rsidRPr="00295637">
        <w:rPr>
          <w:rFonts w:ascii="Times New Roman" w:hAnsi="Times New Roman"/>
          <w:lang w:val="sr-Cyrl-BA"/>
        </w:rPr>
        <w:t xml:space="preserve"> </w:t>
      </w:r>
      <w:r w:rsidR="00C6214E">
        <w:rPr>
          <w:rFonts w:ascii="Times New Roman" w:hAnsi="Times New Roman"/>
          <w:lang w:val="sr-Cyrl-BA"/>
        </w:rPr>
        <w:t>за</w:t>
      </w:r>
      <w:r w:rsidR="005D25D6" w:rsidRPr="00295637">
        <w:rPr>
          <w:rFonts w:ascii="Times New Roman" w:hAnsi="Times New Roman"/>
          <w:lang w:val="sr-Cyrl-BA"/>
        </w:rPr>
        <w:t xml:space="preserve"> </w:t>
      </w:r>
      <w:r w:rsidR="00C6214E">
        <w:rPr>
          <w:rFonts w:ascii="Times New Roman" w:hAnsi="Times New Roman"/>
          <w:lang w:val="sr-Cyrl-BA"/>
        </w:rPr>
        <w:t>по</w:t>
      </w:r>
      <w:r w:rsidR="00C6214E">
        <w:rPr>
          <w:rFonts w:ascii="Times New Roman" w:hAnsi="Times New Roman"/>
          <w:lang w:val="hr-HR"/>
        </w:rPr>
        <w:t>дршку</w:t>
      </w:r>
      <w:r w:rsidR="005D25D6" w:rsidRPr="00295637">
        <w:rPr>
          <w:rFonts w:ascii="Times New Roman" w:hAnsi="Times New Roman"/>
          <w:lang w:val="sr-Cyrl-BA"/>
        </w:rPr>
        <w:t xml:space="preserve"> </w:t>
      </w:r>
      <w:r w:rsidR="00C6214E">
        <w:rPr>
          <w:rFonts w:ascii="Times New Roman" w:hAnsi="Times New Roman"/>
          <w:lang w:val="sr-Cyrl-BA"/>
        </w:rPr>
        <w:t>пром</w:t>
      </w:r>
      <w:r w:rsidR="00C6214E">
        <w:rPr>
          <w:rFonts w:ascii="Times New Roman" w:hAnsi="Times New Roman"/>
          <w:lang w:val="hr-HR"/>
        </w:rPr>
        <w:t>оцији</w:t>
      </w:r>
      <w:r w:rsidR="005D25D6" w:rsidRPr="00295637">
        <w:rPr>
          <w:rFonts w:ascii="Times New Roman" w:hAnsi="Times New Roman"/>
          <w:lang w:val="sr-Cyrl-BA"/>
        </w:rPr>
        <w:t xml:space="preserve"> </w:t>
      </w:r>
      <w:r w:rsidR="00C6214E">
        <w:rPr>
          <w:rFonts w:ascii="Times New Roman" w:hAnsi="Times New Roman"/>
          <w:lang w:val="sr-Cyrl-BA"/>
        </w:rPr>
        <w:t>туризма</w:t>
      </w:r>
      <w:r w:rsidR="005D25D6" w:rsidRPr="00295637">
        <w:rPr>
          <w:rFonts w:ascii="Times New Roman" w:hAnsi="Times New Roman"/>
          <w:lang w:val="sr-Cyrl-BA"/>
        </w:rPr>
        <w:t xml:space="preserve">, </w:t>
      </w:r>
      <w:r w:rsidR="00C6214E">
        <w:rPr>
          <w:rFonts w:ascii="Times New Roman" w:hAnsi="Times New Roman"/>
          <w:lang w:val="sr-Cyrl-BA"/>
        </w:rPr>
        <w:t>обуци</w:t>
      </w:r>
      <w:r w:rsidR="005D25D6" w:rsidRPr="00295637">
        <w:rPr>
          <w:rFonts w:ascii="Times New Roman" w:hAnsi="Times New Roman"/>
          <w:lang w:val="sr-Cyrl-BA"/>
        </w:rPr>
        <w:t xml:space="preserve"> </w:t>
      </w:r>
      <w:r w:rsidR="00C6214E">
        <w:rPr>
          <w:rFonts w:ascii="Times New Roman" w:hAnsi="Times New Roman"/>
          <w:lang w:val="sr-Cyrl-BA"/>
        </w:rPr>
        <w:t>за</w:t>
      </w:r>
      <w:r w:rsidR="005D25D6" w:rsidRPr="00295637">
        <w:rPr>
          <w:rFonts w:ascii="Times New Roman" w:hAnsi="Times New Roman"/>
          <w:lang w:val="sr-Cyrl-BA"/>
        </w:rPr>
        <w:t xml:space="preserve"> </w:t>
      </w:r>
      <w:r w:rsidR="00C6214E">
        <w:rPr>
          <w:rFonts w:ascii="Times New Roman" w:hAnsi="Times New Roman"/>
          <w:lang w:val="sr-Cyrl-BA"/>
        </w:rPr>
        <w:t>израду</w:t>
      </w:r>
      <w:r w:rsidR="005D25D6" w:rsidRPr="00295637">
        <w:rPr>
          <w:rFonts w:ascii="Times New Roman" w:hAnsi="Times New Roman"/>
          <w:lang w:val="sr-Cyrl-BA"/>
        </w:rPr>
        <w:t xml:space="preserve"> </w:t>
      </w:r>
      <w:r w:rsidR="00C6214E">
        <w:rPr>
          <w:rFonts w:ascii="Times New Roman" w:hAnsi="Times New Roman"/>
          <w:lang w:val="sr-Cyrl-BA"/>
        </w:rPr>
        <w:t>сувенира</w:t>
      </w:r>
      <w:r w:rsidR="005D25D6" w:rsidRPr="00295637">
        <w:rPr>
          <w:rFonts w:ascii="Times New Roman" w:hAnsi="Times New Roman"/>
          <w:lang w:val="sr-Cyrl-BA"/>
        </w:rPr>
        <w:t>-</w:t>
      </w:r>
      <w:r w:rsidR="00C6214E">
        <w:rPr>
          <w:rFonts w:ascii="Times New Roman" w:hAnsi="Times New Roman"/>
          <w:lang w:val="sr-Cyrl-BA"/>
        </w:rPr>
        <w:t>опанака</w:t>
      </w:r>
      <w:r w:rsidR="005D25D6" w:rsidRPr="00295637">
        <w:rPr>
          <w:rFonts w:ascii="Times New Roman" w:hAnsi="Times New Roman"/>
          <w:lang w:val="sr-Cyrl-BA"/>
        </w:rPr>
        <w:t xml:space="preserve"> </w:t>
      </w:r>
      <w:r w:rsidR="00C6214E">
        <w:rPr>
          <w:rFonts w:ascii="Times New Roman" w:hAnsi="Times New Roman"/>
          <w:lang w:val="sr-Cyrl-BA"/>
        </w:rPr>
        <w:t>и</w:t>
      </w:r>
      <w:r w:rsidR="005D25D6" w:rsidRPr="00295637">
        <w:rPr>
          <w:rFonts w:ascii="Times New Roman" w:hAnsi="Times New Roman"/>
          <w:lang w:val="sr-Cyrl-BA"/>
        </w:rPr>
        <w:t xml:space="preserve"> </w:t>
      </w:r>
      <w:r w:rsidR="00C6214E">
        <w:rPr>
          <w:rFonts w:ascii="Times New Roman" w:hAnsi="Times New Roman"/>
          <w:lang w:val="sr-Cyrl-BA"/>
        </w:rPr>
        <w:t>изградњу</w:t>
      </w:r>
      <w:r w:rsidR="005D25D6" w:rsidRPr="00295637">
        <w:rPr>
          <w:rFonts w:ascii="Times New Roman" w:hAnsi="Times New Roman"/>
          <w:lang w:val="sr-Cyrl-BA"/>
        </w:rPr>
        <w:t xml:space="preserve"> </w:t>
      </w:r>
      <w:r w:rsidR="00C6214E">
        <w:rPr>
          <w:rFonts w:ascii="Times New Roman" w:hAnsi="Times New Roman"/>
          <w:lang w:val="sr-Cyrl-BA"/>
        </w:rPr>
        <w:t>расвјете</w:t>
      </w:r>
      <w:r w:rsidR="005D25D6" w:rsidRPr="00295637">
        <w:rPr>
          <w:rFonts w:ascii="Times New Roman" w:hAnsi="Times New Roman"/>
          <w:lang w:val="sr-Cyrl-BA"/>
        </w:rPr>
        <w:t xml:space="preserve"> </w:t>
      </w:r>
      <w:r w:rsidR="00C6214E">
        <w:rPr>
          <w:rFonts w:ascii="Times New Roman" w:hAnsi="Times New Roman"/>
          <w:lang w:val="sr-Cyrl-BA"/>
        </w:rPr>
        <w:t>на</w:t>
      </w:r>
      <w:r w:rsidR="005D25D6" w:rsidRPr="00295637">
        <w:rPr>
          <w:rFonts w:ascii="Times New Roman" w:hAnsi="Times New Roman"/>
          <w:lang w:val="sr-Cyrl-BA"/>
        </w:rPr>
        <w:t xml:space="preserve"> </w:t>
      </w:r>
      <w:r w:rsidR="00C6214E">
        <w:rPr>
          <w:rFonts w:ascii="Times New Roman" w:hAnsi="Times New Roman"/>
          <w:lang w:val="sr-Cyrl-BA"/>
        </w:rPr>
        <w:t>селу</w:t>
      </w:r>
      <w:r w:rsidR="005D25D6" w:rsidRPr="00295637">
        <w:rPr>
          <w:rFonts w:ascii="Times New Roman" w:hAnsi="Times New Roman"/>
          <w:lang w:val="sr-Latn-BA"/>
        </w:rPr>
        <w:t xml:space="preserve"> </w:t>
      </w:r>
      <w:r w:rsidR="00C6214E">
        <w:rPr>
          <w:rFonts w:ascii="Times New Roman" w:hAnsi="Times New Roman"/>
          <w:lang w:val="sr-Cyrl-BA"/>
        </w:rPr>
        <w:t>до</w:t>
      </w:r>
      <w:r w:rsidR="005D25D6" w:rsidRPr="00295637">
        <w:rPr>
          <w:rFonts w:ascii="Times New Roman" w:hAnsi="Times New Roman"/>
          <w:lang w:val="sr-Cyrl-BA"/>
        </w:rPr>
        <w:t xml:space="preserve"> </w:t>
      </w:r>
      <w:r w:rsidR="00C6214E">
        <w:rPr>
          <w:rFonts w:ascii="Times New Roman" w:hAnsi="Times New Roman"/>
          <w:lang w:val="sr-Cyrl-BA"/>
        </w:rPr>
        <w:t>ловачке</w:t>
      </w:r>
      <w:r w:rsidR="005D25D6" w:rsidRPr="00295637">
        <w:rPr>
          <w:rFonts w:ascii="Times New Roman" w:hAnsi="Times New Roman"/>
          <w:lang w:val="sr-Cyrl-BA"/>
        </w:rPr>
        <w:t xml:space="preserve"> </w:t>
      </w:r>
      <w:r w:rsidR="00C6214E">
        <w:rPr>
          <w:rFonts w:ascii="Times New Roman" w:hAnsi="Times New Roman"/>
          <w:lang w:val="sr-Cyrl-BA"/>
        </w:rPr>
        <w:t>куће</w:t>
      </w:r>
      <w:r w:rsidR="005D25D6" w:rsidRPr="00295637">
        <w:rPr>
          <w:rFonts w:ascii="Times New Roman" w:hAnsi="Times New Roman"/>
          <w:lang w:val="sr-Cyrl-BA"/>
        </w:rPr>
        <w:t>)</w:t>
      </w:r>
      <w:r w:rsidR="005D25D6" w:rsidRPr="00295637">
        <w:rPr>
          <w:rFonts w:ascii="Times New Roman" w:hAnsi="Times New Roman"/>
          <w:lang w:val="sr-Latn-BA"/>
        </w:rPr>
        <w:t>.</w:t>
      </w:r>
    </w:p>
    <w:p w:rsidR="005D25D6" w:rsidRPr="00295637" w:rsidRDefault="005D25D6" w:rsidP="0086268D">
      <w:pPr>
        <w:pStyle w:val="ListParagraph"/>
        <w:ind w:left="0"/>
        <w:jc w:val="both"/>
        <w:rPr>
          <w:rFonts w:ascii="Times New Roman" w:hAnsi="Times New Roman"/>
          <w:lang w:val="sr-Cyrl-BA"/>
        </w:rPr>
      </w:pPr>
    </w:p>
    <w:p w:rsidR="008359BD"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8359BD">
        <w:rPr>
          <w:rFonts w:ascii="Times New Roman" w:hAnsi="Times New Roman"/>
          <w:lang w:val="sr-Latn-BA"/>
        </w:rPr>
        <w:t xml:space="preserve"> </w:t>
      </w:r>
      <w:r>
        <w:rPr>
          <w:rFonts w:ascii="Times New Roman" w:hAnsi="Times New Roman"/>
          <w:lang w:val="sr-Latn-BA"/>
        </w:rPr>
        <w:t>БиХ</w:t>
      </w:r>
      <w:r w:rsidR="00834BD3">
        <w:rPr>
          <w:rFonts w:ascii="Times New Roman" w:hAnsi="Times New Roman"/>
          <w:lang w:val="sr-Latn-BA"/>
        </w:rPr>
        <w:t xml:space="preserve"> </w:t>
      </w:r>
      <w:r>
        <w:rPr>
          <w:rFonts w:ascii="Times New Roman" w:hAnsi="Times New Roman"/>
          <w:lang w:val="sr-Latn-BA"/>
        </w:rPr>
        <w:t>се</w:t>
      </w:r>
      <w:r w:rsidR="008359BD">
        <w:rPr>
          <w:rFonts w:ascii="Times New Roman" w:hAnsi="Times New Roman"/>
          <w:lang w:val="sr-Latn-BA"/>
        </w:rPr>
        <w:t xml:space="preserve"> </w:t>
      </w:r>
      <w:r>
        <w:rPr>
          <w:rFonts w:ascii="Times New Roman" w:hAnsi="Times New Roman"/>
          <w:lang w:val="sr-Latn-BA"/>
        </w:rPr>
        <w:t>редовно</w:t>
      </w:r>
      <w:r w:rsidR="008359BD">
        <w:rPr>
          <w:rFonts w:ascii="Times New Roman" w:hAnsi="Times New Roman"/>
          <w:lang w:val="sr-Latn-BA"/>
        </w:rPr>
        <w:t xml:space="preserve"> </w:t>
      </w:r>
      <w:r>
        <w:rPr>
          <w:rFonts w:ascii="Times New Roman" w:hAnsi="Times New Roman"/>
          <w:lang w:val="sr-Latn-BA"/>
        </w:rPr>
        <w:t>обиљежава</w:t>
      </w:r>
      <w:r w:rsidR="008359BD">
        <w:rPr>
          <w:rFonts w:ascii="Times New Roman" w:hAnsi="Times New Roman"/>
          <w:lang w:val="sr-Latn-BA"/>
        </w:rPr>
        <w:t xml:space="preserve"> </w:t>
      </w:r>
      <w:r w:rsidR="008359BD" w:rsidRPr="00295637">
        <w:rPr>
          <w:rFonts w:ascii="Times New Roman" w:hAnsi="Times New Roman"/>
          <w:lang w:val="sr-Cyrl-BA"/>
        </w:rPr>
        <w:t xml:space="preserve">15. </w:t>
      </w:r>
      <w:r w:rsidR="00AE5809">
        <w:rPr>
          <w:rFonts w:ascii="Times New Roman" w:hAnsi="Times New Roman"/>
          <w:lang w:val="sr-Cyrl-BA"/>
        </w:rPr>
        <w:t>октобар</w:t>
      </w:r>
      <w:r w:rsidR="008359BD" w:rsidRPr="00295637">
        <w:rPr>
          <w:rFonts w:ascii="Times New Roman" w:hAnsi="Times New Roman"/>
          <w:lang w:val="sr-Cyrl-BA"/>
        </w:rPr>
        <w:t xml:space="preserve"> – </w:t>
      </w:r>
      <w:r>
        <w:rPr>
          <w:rFonts w:ascii="Times New Roman" w:hAnsi="Times New Roman"/>
          <w:lang w:val="sr-Cyrl-BA"/>
        </w:rPr>
        <w:t>Међународни</w:t>
      </w:r>
      <w:r w:rsidR="008359BD" w:rsidRPr="00295637">
        <w:rPr>
          <w:rFonts w:ascii="Times New Roman" w:hAnsi="Times New Roman"/>
          <w:lang w:val="sr-Cyrl-BA"/>
        </w:rPr>
        <w:t xml:space="preserve"> </w:t>
      </w:r>
      <w:r>
        <w:rPr>
          <w:rFonts w:ascii="Times New Roman" w:hAnsi="Times New Roman"/>
          <w:lang w:val="sr-Cyrl-BA"/>
        </w:rPr>
        <w:t>дан</w:t>
      </w:r>
      <w:r w:rsidR="008359BD" w:rsidRPr="00295637">
        <w:rPr>
          <w:rFonts w:ascii="Times New Roman" w:hAnsi="Times New Roman"/>
          <w:lang w:val="sr-Cyrl-BA"/>
        </w:rPr>
        <w:t xml:space="preserve"> </w:t>
      </w:r>
      <w:r>
        <w:rPr>
          <w:rFonts w:ascii="Times New Roman" w:hAnsi="Times New Roman"/>
          <w:lang w:val="sr-Cyrl-BA"/>
        </w:rPr>
        <w:t>жена</w:t>
      </w:r>
      <w:r w:rsidR="008359BD" w:rsidRPr="00295637">
        <w:rPr>
          <w:rFonts w:ascii="Times New Roman" w:hAnsi="Times New Roman"/>
          <w:lang w:val="sr-Cyrl-BA"/>
        </w:rPr>
        <w:t xml:space="preserve"> </w:t>
      </w:r>
      <w:r>
        <w:rPr>
          <w:rFonts w:ascii="Times New Roman" w:hAnsi="Times New Roman"/>
          <w:lang w:val="sr-Cyrl-BA"/>
        </w:rPr>
        <w:t>на</w:t>
      </w:r>
      <w:r w:rsidR="008359BD" w:rsidRPr="00295637">
        <w:rPr>
          <w:rFonts w:ascii="Times New Roman" w:hAnsi="Times New Roman"/>
          <w:lang w:val="sr-Cyrl-BA"/>
        </w:rPr>
        <w:t xml:space="preserve"> </w:t>
      </w:r>
      <w:r>
        <w:rPr>
          <w:rFonts w:ascii="Times New Roman" w:hAnsi="Times New Roman"/>
          <w:lang w:val="sr-Cyrl-BA"/>
        </w:rPr>
        <w:t>селу</w:t>
      </w:r>
      <w:r w:rsidR="008359BD">
        <w:rPr>
          <w:rFonts w:ascii="Times New Roman" w:hAnsi="Times New Roman"/>
          <w:lang w:val="bs-Latn-BA"/>
        </w:rPr>
        <w:t xml:space="preserve">. </w:t>
      </w:r>
      <w:r>
        <w:rPr>
          <w:rFonts w:ascii="Times New Roman" w:hAnsi="Times New Roman"/>
          <w:lang w:val="bs-Latn-BA"/>
        </w:rPr>
        <w:t>У</w:t>
      </w:r>
      <w:r w:rsidR="008359BD">
        <w:rPr>
          <w:rFonts w:ascii="Times New Roman" w:hAnsi="Times New Roman"/>
          <w:lang w:val="bs-Latn-BA"/>
        </w:rPr>
        <w:t xml:space="preserve"> 2024. </w:t>
      </w:r>
      <w:r>
        <w:rPr>
          <w:rFonts w:ascii="Times New Roman" w:hAnsi="Times New Roman"/>
          <w:lang w:val="bs-Latn-BA"/>
        </w:rPr>
        <w:t>години</w:t>
      </w:r>
      <w:r w:rsidR="008359BD">
        <w:rPr>
          <w:rFonts w:ascii="Times New Roman" w:hAnsi="Times New Roman"/>
          <w:lang w:val="bs-Latn-BA"/>
        </w:rPr>
        <w:t xml:space="preserve"> </w:t>
      </w:r>
      <w:r>
        <w:rPr>
          <w:rFonts w:ascii="Times New Roman" w:hAnsi="Times New Roman"/>
          <w:lang w:val="bs-Latn-BA"/>
        </w:rPr>
        <w:t>у</w:t>
      </w:r>
      <w:r w:rsidR="008359BD">
        <w:rPr>
          <w:rFonts w:ascii="Times New Roman" w:hAnsi="Times New Roman"/>
          <w:lang w:val="bs-Latn-BA"/>
        </w:rPr>
        <w:t xml:space="preserve"> </w:t>
      </w:r>
      <w:r>
        <w:rPr>
          <w:rFonts w:ascii="Times New Roman" w:hAnsi="Times New Roman"/>
          <w:lang w:val="bs-Latn-BA"/>
        </w:rPr>
        <w:t>РС</w:t>
      </w:r>
      <w:r w:rsidR="008359BD">
        <w:rPr>
          <w:rFonts w:ascii="Times New Roman" w:hAnsi="Times New Roman"/>
          <w:lang w:val="bs-Latn-BA"/>
        </w:rPr>
        <w:t xml:space="preserve"> </w:t>
      </w:r>
      <w:r>
        <w:rPr>
          <w:rFonts w:ascii="Times New Roman" w:hAnsi="Times New Roman"/>
          <w:lang w:val="bs-Latn-BA"/>
        </w:rPr>
        <w:t>обиљежен</w:t>
      </w:r>
      <w:r w:rsidR="008359BD">
        <w:rPr>
          <w:rFonts w:ascii="Times New Roman" w:hAnsi="Times New Roman"/>
          <w:lang w:val="bs-Latn-BA"/>
        </w:rPr>
        <w:t xml:space="preserve"> </w:t>
      </w:r>
      <w:r>
        <w:rPr>
          <w:rFonts w:ascii="Times New Roman" w:hAnsi="Times New Roman"/>
          <w:lang w:val="bs-Latn-BA"/>
        </w:rPr>
        <w:t>је</w:t>
      </w:r>
      <w:r w:rsidR="008359BD">
        <w:rPr>
          <w:rFonts w:ascii="Times New Roman" w:hAnsi="Times New Roman"/>
          <w:lang w:val="bs-Latn-BA"/>
        </w:rPr>
        <w:t xml:space="preserve"> </w:t>
      </w:r>
      <w:r>
        <w:rPr>
          <w:rFonts w:ascii="Times New Roman" w:hAnsi="Times New Roman"/>
          <w:lang w:val="bs-Latn-BA"/>
        </w:rPr>
        <w:t>овај</w:t>
      </w:r>
      <w:r w:rsidR="008359BD">
        <w:rPr>
          <w:rFonts w:ascii="Times New Roman" w:hAnsi="Times New Roman"/>
          <w:lang w:val="bs-Latn-BA"/>
        </w:rPr>
        <w:t xml:space="preserve"> </w:t>
      </w:r>
      <w:r>
        <w:rPr>
          <w:rFonts w:ascii="Times New Roman" w:hAnsi="Times New Roman"/>
          <w:lang w:val="bs-Latn-BA"/>
        </w:rPr>
        <w:t>дан</w:t>
      </w:r>
      <w:r w:rsidR="00BE0900">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8359BD" w:rsidRPr="00295637">
        <w:rPr>
          <w:rFonts w:ascii="Times New Roman" w:hAnsi="Times New Roman"/>
          <w:lang w:val="sr-Cyrl-BA"/>
        </w:rPr>
        <w:t xml:space="preserve"> </w:t>
      </w:r>
      <w:r>
        <w:rPr>
          <w:rFonts w:ascii="Times New Roman" w:hAnsi="Times New Roman"/>
          <w:lang w:val="sr-Cyrl-BA"/>
        </w:rPr>
        <w:t>поруком</w:t>
      </w:r>
      <w:r w:rsidR="008359BD" w:rsidRPr="00295637">
        <w:rPr>
          <w:rFonts w:ascii="Times New Roman" w:hAnsi="Times New Roman"/>
          <w:lang w:val="sr-Cyrl-BA"/>
        </w:rPr>
        <w:t xml:space="preserve"> </w:t>
      </w:r>
      <w:r>
        <w:rPr>
          <w:rFonts w:ascii="Times New Roman" w:hAnsi="Times New Roman"/>
          <w:lang w:val="sr-Cyrl-BA"/>
        </w:rPr>
        <w:t>да</w:t>
      </w:r>
      <w:r w:rsidR="008359BD" w:rsidRPr="00295637">
        <w:rPr>
          <w:rFonts w:ascii="Times New Roman" w:hAnsi="Times New Roman"/>
          <w:lang w:val="sr-Cyrl-BA"/>
        </w:rPr>
        <w:t xml:space="preserve"> </w:t>
      </w:r>
      <w:r>
        <w:rPr>
          <w:rFonts w:ascii="Times New Roman" w:hAnsi="Times New Roman"/>
          <w:lang w:val="sr-Cyrl-BA"/>
        </w:rPr>
        <w:t>су</w:t>
      </w:r>
      <w:r w:rsidR="008359BD" w:rsidRPr="00295637">
        <w:rPr>
          <w:rFonts w:ascii="Times New Roman" w:hAnsi="Times New Roman"/>
          <w:lang w:val="sr-Cyrl-BA"/>
        </w:rPr>
        <w:t xml:space="preserve"> </w:t>
      </w:r>
      <w:r>
        <w:rPr>
          <w:rFonts w:ascii="Times New Roman" w:hAnsi="Times New Roman"/>
          <w:lang w:val="sr-Cyrl-BA"/>
        </w:rPr>
        <w:t>рад</w:t>
      </w:r>
      <w:r w:rsidR="008359BD" w:rsidRPr="00295637">
        <w:rPr>
          <w:rFonts w:ascii="Times New Roman" w:hAnsi="Times New Roman"/>
          <w:lang w:val="sr-Cyrl-BA"/>
        </w:rPr>
        <w:t xml:space="preserve"> </w:t>
      </w:r>
      <w:r>
        <w:rPr>
          <w:rFonts w:ascii="Times New Roman" w:hAnsi="Times New Roman"/>
          <w:lang w:val="sr-Cyrl-BA"/>
        </w:rPr>
        <w:t>и</w:t>
      </w:r>
      <w:r w:rsidR="008359BD" w:rsidRPr="00295637">
        <w:rPr>
          <w:rFonts w:ascii="Times New Roman" w:hAnsi="Times New Roman"/>
          <w:lang w:val="sr-Cyrl-BA"/>
        </w:rPr>
        <w:t xml:space="preserve"> </w:t>
      </w:r>
      <w:r>
        <w:rPr>
          <w:rFonts w:ascii="Times New Roman" w:hAnsi="Times New Roman"/>
          <w:lang w:val="sr-Cyrl-BA"/>
        </w:rPr>
        <w:t>допринос</w:t>
      </w:r>
      <w:r w:rsidR="008359BD" w:rsidRPr="00295637">
        <w:rPr>
          <w:rFonts w:ascii="Times New Roman" w:hAnsi="Times New Roman"/>
          <w:lang w:val="sr-Cyrl-BA"/>
        </w:rPr>
        <w:t xml:space="preserve"> </w:t>
      </w:r>
      <w:r>
        <w:rPr>
          <w:rFonts w:ascii="Times New Roman" w:hAnsi="Times New Roman"/>
          <w:lang w:val="sr-Cyrl-BA"/>
        </w:rPr>
        <w:t>жена</w:t>
      </w:r>
      <w:r w:rsidR="008359BD" w:rsidRPr="00295637">
        <w:rPr>
          <w:rFonts w:ascii="Times New Roman" w:hAnsi="Times New Roman"/>
          <w:lang w:val="sr-Cyrl-BA"/>
        </w:rPr>
        <w:t xml:space="preserve"> </w:t>
      </w:r>
      <w:r>
        <w:rPr>
          <w:rFonts w:ascii="Times New Roman" w:hAnsi="Times New Roman"/>
          <w:lang w:val="sr-Cyrl-BA"/>
        </w:rPr>
        <w:t>на</w:t>
      </w:r>
      <w:r w:rsidR="008359BD" w:rsidRPr="00295637">
        <w:rPr>
          <w:rFonts w:ascii="Times New Roman" w:hAnsi="Times New Roman"/>
          <w:lang w:val="sr-Cyrl-BA"/>
        </w:rPr>
        <w:t xml:space="preserve"> </w:t>
      </w:r>
      <w:r>
        <w:rPr>
          <w:rFonts w:ascii="Times New Roman" w:hAnsi="Times New Roman"/>
          <w:lang w:val="sr-Cyrl-BA"/>
        </w:rPr>
        <w:t>селу</w:t>
      </w:r>
      <w:r w:rsidR="008359BD" w:rsidRPr="00295637">
        <w:rPr>
          <w:rFonts w:ascii="Times New Roman" w:hAnsi="Times New Roman"/>
          <w:lang w:val="sr-Cyrl-BA"/>
        </w:rPr>
        <w:t xml:space="preserve"> </w:t>
      </w:r>
      <w:r>
        <w:rPr>
          <w:rFonts w:ascii="Times New Roman" w:hAnsi="Times New Roman"/>
          <w:lang w:val="sr-Cyrl-BA"/>
        </w:rPr>
        <w:t>у</w:t>
      </w:r>
      <w:r w:rsidR="008359BD" w:rsidRPr="00295637">
        <w:rPr>
          <w:rFonts w:ascii="Times New Roman" w:hAnsi="Times New Roman"/>
          <w:lang w:val="sr-Cyrl-BA"/>
        </w:rPr>
        <w:t xml:space="preserve"> </w:t>
      </w:r>
      <w:r>
        <w:rPr>
          <w:rFonts w:ascii="Times New Roman" w:hAnsi="Times New Roman"/>
          <w:lang w:val="sr-Cyrl-BA"/>
        </w:rPr>
        <w:t>производњи</w:t>
      </w:r>
      <w:r w:rsidR="008359BD" w:rsidRPr="00295637">
        <w:rPr>
          <w:rFonts w:ascii="Times New Roman" w:hAnsi="Times New Roman"/>
          <w:lang w:val="sr-Cyrl-BA"/>
        </w:rPr>
        <w:t xml:space="preserve"> </w:t>
      </w:r>
      <w:r>
        <w:rPr>
          <w:rFonts w:ascii="Times New Roman" w:hAnsi="Times New Roman"/>
          <w:lang w:val="sr-Cyrl-BA"/>
        </w:rPr>
        <w:t>хране</w:t>
      </w:r>
      <w:r w:rsidR="008359BD" w:rsidRPr="00295637">
        <w:rPr>
          <w:rFonts w:ascii="Times New Roman" w:hAnsi="Times New Roman"/>
          <w:lang w:val="sr-Cyrl-BA"/>
        </w:rPr>
        <w:t xml:space="preserve"> </w:t>
      </w:r>
      <w:r>
        <w:rPr>
          <w:rFonts w:ascii="Times New Roman" w:hAnsi="Times New Roman"/>
          <w:lang w:val="sr-Cyrl-BA"/>
        </w:rPr>
        <w:t>и</w:t>
      </w:r>
      <w:r w:rsidR="008359BD" w:rsidRPr="00295637">
        <w:rPr>
          <w:rFonts w:ascii="Times New Roman" w:hAnsi="Times New Roman"/>
          <w:lang w:val="sr-Cyrl-BA"/>
        </w:rPr>
        <w:t xml:space="preserve"> </w:t>
      </w:r>
      <w:r>
        <w:rPr>
          <w:rFonts w:ascii="Times New Roman" w:hAnsi="Times New Roman"/>
          <w:lang w:val="sr-Cyrl-BA"/>
        </w:rPr>
        <w:t>прехрамбеној</w:t>
      </w:r>
      <w:r w:rsidR="008359BD" w:rsidRPr="00295637">
        <w:rPr>
          <w:rFonts w:ascii="Times New Roman" w:hAnsi="Times New Roman"/>
          <w:lang w:val="sr-Cyrl-BA"/>
        </w:rPr>
        <w:t xml:space="preserve"> </w:t>
      </w:r>
      <w:r w:rsidR="00AE5809">
        <w:rPr>
          <w:rFonts w:ascii="Times New Roman" w:hAnsi="Times New Roman"/>
          <w:lang w:val="sr-Cyrl-BA"/>
        </w:rPr>
        <w:t>безбједности</w:t>
      </w:r>
      <w:r w:rsidR="008359BD" w:rsidRPr="00295637">
        <w:rPr>
          <w:rFonts w:ascii="Times New Roman" w:hAnsi="Times New Roman"/>
          <w:lang w:val="sr-Cyrl-BA"/>
        </w:rPr>
        <w:t xml:space="preserve"> </w:t>
      </w:r>
      <w:r>
        <w:rPr>
          <w:rFonts w:ascii="Times New Roman" w:hAnsi="Times New Roman"/>
          <w:lang w:val="sr-Cyrl-BA"/>
        </w:rPr>
        <w:t>увијек</w:t>
      </w:r>
      <w:r w:rsidR="008359BD" w:rsidRPr="00295637">
        <w:rPr>
          <w:rFonts w:ascii="Times New Roman" w:hAnsi="Times New Roman"/>
          <w:lang w:val="sr-Cyrl-BA"/>
        </w:rPr>
        <w:t xml:space="preserve"> </w:t>
      </w:r>
      <w:r>
        <w:rPr>
          <w:rFonts w:ascii="Times New Roman" w:hAnsi="Times New Roman"/>
          <w:lang w:val="sr-Cyrl-BA"/>
        </w:rPr>
        <w:t>од</w:t>
      </w:r>
      <w:r w:rsidR="008359BD" w:rsidRPr="00295637">
        <w:rPr>
          <w:rFonts w:ascii="Times New Roman" w:hAnsi="Times New Roman"/>
          <w:lang w:val="sr-Cyrl-BA"/>
        </w:rPr>
        <w:t xml:space="preserve"> </w:t>
      </w:r>
      <w:r>
        <w:rPr>
          <w:rFonts w:ascii="Times New Roman" w:hAnsi="Times New Roman"/>
          <w:lang w:val="sr-Cyrl-BA"/>
        </w:rPr>
        <w:t>изузетног</w:t>
      </w:r>
      <w:r w:rsidR="008359BD" w:rsidRPr="00295637">
        <w:rPr>
          <w:rFonts w:ascii="Times New Roman" w:hAnsi="Times New Roman"/>
          <w:lang w:val="sr-Cyrl-BA"/>
        </w:rPr>
        <w:t xml:space="preserve"> </w:t>
      </w:r>
      <w:r>
        <w:rPr>
          <w:rFonts w:ascii="Times New Roman" w:hAnsi="Times New Roman"/>
          <w:lang w:val="sr-Cyrl-BA"/>
        </w:rPr>
        <w:t>значаја</w:t>
      </w:r>
      <w:r w:rsidR="008359BD" w:rsidRPr="00295637">
        <w:rPr>
          <w:rFonts w:ascii="Times New Roman" w:hAnsi="Times New Roman"/>
          <w:lang w:val="sr-Cyrl-BA"/>
        </w:rPr>
        <w:t xml:space="preserve">. </w:t>
      </w:r>
      <w:r>
        <w:rPr>
          <w:rFonts w:ascii="Times New Roman" w:hAnsi="Times New Roman"/>
          <w:lang w:val="sr-Cyrl-BA"/>
        </w:rPr>
        <w:t>ЦЈРП</w:t>
      </w:r>
      <w:r w:rsidR="008359BD" w:rsidRPr="00295637">
        <w:rPr>
          <w:rFonts w:ascii="Times New Roman" w:hAnsi="Times New Roman"/>
          <w:lang w:val="sr-Cyrl-BA"/>
        </w:rPr>
        <w:t xml:space="preserve"> </w:t>
      </w:r>
      <w:r>
        <w:rPr>
          <w:rFonts w:ascii="Times New Roman" w:hAnsi="Times New Roman"/>
          <w:lang w:val="sr-Latn-BA"/>
        </w:rPr>
        <w:t>РС</w:t>
      </w:r>
      <w:r w:rsidR="008359BD" w:rsidRPr="00295637">
        <w:rPr>
          <w:rFonts w:ascii="Times New Roman" w:hAnsi="Times New Roman"/>
          <w:lang w:val="sr-Latn-BA"/>
        </w:rPr>
        <w:t xml:space="preserve"> </w:t>
      </w:r>
      <w:r>
        <w:rPr>
          <w:rFonts w:ascii="Times New Roman" w:hAnsi="Times New Roman"/>
          <w:lang w:val="sr-Cyrl-BA"/>
        </w:rPr>
        <w:t>је</w:t>
      </w:r>
      <w:r w:rsidR="008359BD" w:rsidRPr="00295637">
        <w:rPr>
          <w:rFonts w:ascii="Times New Roman" w:hAnsi="Times New Roman"/>
          <w:lang w:val="sr-Cyrl-BA"/>
        </w:rPr>
        <w:t xml:space="preserve"> </w:t>
      </w:r>
      <w:r>
        <w:rPr>
          <w:rFonts w:ascii="Times New Roman" w:hAnsi="Times New Roman"/>
          <w:lang w:val="sr-Cyrl-BA"/>
        </w:rPr>
        <w:t>у</w:t>
      </w:r>
      <w:r w:rsidR="008359BD" w:rsidRPr="00295637">
        <w:rPr>
          <w:rFonts w:ascii="Times New Roman" w:hAnsi="Times New Roman"/>
          <w:lang w:val="sr-Cyrl-BA"/>
        </w:rPr>
        <w:t xml:space="preserve"> </w:t>
      </w:r>
      <w:r>
        <w:rPr>
          <w:rFonts w:ascii="Times New Roman" w:hAnsi="Times New Roman"/>
          <w:lang w:val="sr-Cyrl-BA"/>
        </w:rPr>
        <w:t>извјештајном</w:t>
      </w:r>
      <w:r w:rsidR="008359BD" w:rsidRPr="00295637">
        <w:rPr>
          <w:rFonts w:ascii="Times New Roman" w:hAnsi="Times New Roman"/>
          <w:lang w:val="sr-Cyrl-BA"/>
        </w:rPr>
        <w:t xml:space="preserve"> </w:t>
      </w:r>
      <w:r>
        <w:rPr>
          <w:rFonts w:ascii="Times New Roman" w:hAnsi="Times New Roman"/>
          <w:lang w:val="hr-HR"/>
        </w:rPr>
        <w:t>периоду</w:t>
      </w:r>
      <w:r w:rsidR="008359BD" w:rsidRPr="00295637">
        <w:rPr>
          <w:rFonts w:ascii="Times New Roman" w:hAnsi="Times New Roman"/>
          <w:lang w:val="sr-Cyrl-BA"/>
        </w:rPr>
        <w:t xml:space="preserve"> </w:t>
      </w:r>
      <w:r>
        <w:rPr>
          <w:rFonts w:ascii="Times New Roman" w:hAnsi="Times New Roman"/>
          <w:lang w:val="sr-Cyrl-BA"/>
        </w:rPr>
        <w:t>провео</w:t>
      </w:r>
      <w:r w:rsidR="008359BD" w:rsidRPr="00295637">
        <w:rPr>
          <w:rFonts w:ascii="Times New Roman" w:hAnsi="Times New Roman"/>
          <w:lang w:val="sr-Cyrl-BA"/>
        </w:rPr>
        <w:t xml:space="preserve"> </w:t>
      </w:r>
      <w:r>
        <w:rPr>
          <w:rFonts w:ascii="Times New Roman" w:hAnsi="Times New Roman"/>
          <w:lang w:val="sr-Cyrl-BA"/>
        </w:rPr>
        <w:t>кампању</w:t>
      </w:r>
      <w:r w:rsidR="008359BD" w:rsidRPr="00295637">
        <w:rPr>
          <w:rFonts w:ascii="Times New Roman" w:hAnsi="Times New Roman"/>
          <w:lang w:val="sr-Cyrl-BA"/>
        </w:rPr>
        <w:t xml:space="preserve"> „</w:t>
      </w:r>
      <w:r>
        <w:rPr>
          <w:rFonts w:ascii="Times New Roman" w:hAnsi="Times New Roman"/>
          <w:lang w:val="sr-Cyrl-BA"/>
        </w:rPr>
        <w:t>РАВНОПРАВНО</w:t>
      </w:r>
      <w:r w:rsidR="008359BD" w:rsidRPr="00295637">
        <w:rPr>
          <w:rFonts w:ascii="Times New Roman" w:hAnsi="Times New Roman"/>
          <w:lang w:val="sr-Cyrl-BA"/>
        </w:rPr>
        <w:t xml:space="preserve"> </w:t>
      </w:r>
      <w:r>
        <w:rPr>
          <w:rFonts w:ascii="Times New Roman" w:hAnsi="Times New Roman"/>
          <w:lang w:val="sr-Cyrl-BA"/>
        </w:rPr>
        <w:t>за</w:t>
      </w:r>
      <w:r w:rsidR="008359BD" w:rsidRPr="00295637">
        <w:rPr>
          <w:rFonts w:ascii="Times New Roman" w:hAnsi="Times New Roman"/>
          <w:lang w:val="sr-Cyrl-BA"/>
        </w:rPr>
        <w:t xml:space="preserve"> </w:t>
      </w:r>
      <w:r>
        <w:rPr>
          <w:rFonts w:ascii="Times New Roman" w:hAnsi="Times New Roman"/>
          <w:lang w:val="sr-Cyrl-BA"/>
        </w:rPr>
        <w:t>жене</w:t>
      </w:r>
      <w:r w:rsidR="008359BD" w:rsidRPr="00295637">
        <w:rPr>
          <w:rFonts w:ascii="Times New Roman" w:hAnsi="Times New Roman"/>
          <w:lang w:val="sr-Cyrl-BA"/>
        </w:rPr>
        <w:t xml:space="preserve"> </w:t>
      </w:r>
      <w:r>
        <w:rPr>
          <w:rFonts w:ascii="Times New Roman" w:hAnsi="Times New Roman"/>
          <w:lang w:val="sr-Cyrl-BA"/>
        </w:rPr>
        <w:t>на</w:t>
      </w:r>
      <w:r w:rsidR="008359BD" w:rsidRPr="00295637">
        <w:rPr>
          <w:rFonts w:ascii="Times New Roman" w:hAnsi="Times New Roman"/>
          <w:lang w:val="sr-Cyrl-BA"/>
        </w:rPr>
        <w:t xml:space="preserve"> </w:t>
      </w:r>
      <w:r>
        <w:rPr>
          <w:rFonts w:ascii="Times New Roman" w:hAnsi="Times New Roman"/>
          <w:lang w:val="sr-Cyrl-BA"/>
        </w:rPr>
        <w:t>селу</w:t>
      </w:r>
      <w:r w:rsidR="00BE0900">
        <w:rPr>
          <w:rFonts w:ascii="Times New Roman" w:hAnsi="Times New Roman"/>
          <w:lang w:val="hr-HR"/>
        </w:rPr>
        <w:t>“</w:t>
      </w:r>
      <w:r w:rsidR="008359BD">
        <w:rPr>
          <w:rFonts w:ascii="Times New Roman" w:hAnsi="Times New Roman"/>
          <w:lang w:val="bs-Latn-BA"/>
        </w:rPr>
        <w:t>.</w:t>
      </w:r>
      <w:r w:rsidR="008359BD" w:rsidRPr="00295637">
        <w:rPr>
          <w:rFonts w:ascii="Times New Roman" w:hAnsi="Times New Roman"/>
          <w:lang w:val="sr-Latn-BA"/>
        </w:rPr>
        <w:t xml:space="preserve"> </w:t>
      </w:r>
      <w:r>
        <w:rPr>
          <w:rFonts w:ascii="Times New Roman" w:hAnsi="Times New Roman"/>
          <w:lang w:val="sr-Latn-BA"/>
        </w:rPr>
        <w:t>МПШВ</w:t>
      </w:r>
      <w:r w:rsidR="008359BD" w:rsidRPr="00295637">
        <w:rPr>
          <w:rFonts w:ascii="Times New Roman" w:hAnsi="Times New Roman"/>
          <w:lang w:val="sr-Latn-BA"/>
        </w:rPr>
        <w:t xml:space="preserve"> </w:t>
      </w:r>
      <w:r>
        <w:rPr>
          <w:rFonts w:ascii="Times New Roman" w:hAnsi="Times New Roman"/>
          <w:lang w:val="sr-Latn-BA"/>
        </w:rPr>
        <w:t>РС</w:t>
      </w:r>
      <w:r w:rsidR="008359BD" w:rsidRPr="00295637">
        <w:rPr>
          <w:rFonts w:ascii="Times New Roman" w:hAnsi="Times New Roman"/>
          <w:lang w:val="sr-Latn-BA"/>
        </w:rPr>
        <w:t xml:space="preserve"> </w:t>
      </w:r>
      <w:r>
        <w:rPr>
          <w:rFonts w:ascii="Times New Roman" w:hAnsi="Times New Roman"/>
          <w:lang w:val="sr-Latn-BA"/>
        </w:rPr>
        <w:t>је</w:t>
      </w:r>
      <w:r w:rsidR="008359BD" w:rsidRPr="00295637">
        <w:rPr>
          <w:rFonts w:ascii="Times New Roman" w:hAnsi="Times New Roman"/>
          <w:lang w:val="sr-Latn-BA"/>
        </w:rPr>
        <w:t xml:space="preserve"> </w:t>
      </w:r>
      <w:r>
        <w:rPr>
          <w:rFonts w:ascii="Times New Roman" w:hAnsi="Times New Roman"/>
          <w:lang w:val="sr-Latn-BA"/>
        </w:rPr>
        <w:t>промови</w:t>
      </w:r>
      <w:r w:rsidR="00AE5809">
        <w:rPr>
          <w:rFonts w:ascii="Times New Roman" w:hAnsi="Times New Roman"/>
          <w:lang w:val="sr-Cyrl-BA"/>
        </w:rPr>
        <w:t>с</w:t>
      </w:r>
      <w:r>
        <w:rPr>
          <w:rFonts w:ascii="Times New Roman" w:hAnsi="Times New Roman"/>
          <w:lang w:val="sr-Latn-BA"/>
        </w:rPr>
        <w:t>ало</w:t>
      </w:r>
      <w:r w:rsidR="008359BD" w:rsidRPr="00295637">
        <w:rPr>
          <w:rFonts w:ascii="Times New Roman" w:hAnsi="Times New Roman"/>
          <w:lang w:val="sr-Latn-BA"/>
        </w:rPr>
        <w:t xml:space="preserve"> </w:t>
      </w:r>
      <w:r>
        <w:rPr>
          <w:rFonts w:ascii="Times New Roman" w:hAnsi="Times New Roman"/>
          <w:lang w:val="sr-Latn-BA"/>
        </w:rPr>
        <w:t>унапређење</w:t>
      </w:r>
      <w:r w:rsidR="008359BD" w:rsidRPr="00295637">
        <w:rPr>
          <w:rFonts w:ascii="Times New Roman" w:hAnsi="Times New Roman"/>
          <w:lang w:val="sr-Latn-BA"/>
        </w:rPr>
        <w:t xml:space="preserve"> </w:t>
      </w:r>
      <w:r>
        <w:rPr>
          <w:rFonts w:ascii="Times New Roman" w:hAnsi="Times New Roman"/>
          <w:lang w:val="sr-Latn-BA"/>
        </w:rPr>
        <w:t>положаја</w:t>
      </w:r>
      <w:r w:rsidR="008359BD" w:rsidRPr="00295637">
        <w:rPr>
          <w:rFonts w:ascii="Times New Roman" w:hAnsi="Times New Roman"/>
          <w:lang w:val="sr-Latn-BA"/>
        </w:rPr>
        <w:t xml:space="preserve"> </w:t>
      </w:r>
      <w:r>
        <w:rPr>
          <w:rFonts w:ascii="Times New Roman" w:hAnsi="Times New Roman"/>
          <w:lang w:val="sr-Latn-BA"/>
        </w:rPr>
        <w:t>жена</w:t>
      </w:r>
      <w:r w:rsidR="008359BD" w:rsidRPr="00295637">
        <w:rPr>
          <w:rFonts w:ascii="Times New Roman" w:hAnsi="Times New Roman"/>
          <w:lang w:val="sr-Latn-BA"/>
        </w:rPr>
        <w:t xml:space="preserve"> </w:t>
      </w:r>
      <w:r>
        <w:rPr>
          <w:rFonts w:ascii="Times New Roman" w:hAnsi="Times New Roman"/>
          <w:lang w:val="sr-Latn-BA"/>
        </w:rPr>
        <w:t>на</w:t>
      </w:r>
      <w:r w:rsidR="008359BD" w:rsidRPr="00295637">
        <w:rPr>
          <w:rFonts w:ascii="Times New Roman" w:hAnsi="Times New Roman"/>
          <w:lang w:val="sr-Latn-BA"/>
        </w:rPr>
        <w:t xml:space="preserve"> </w:t>
      </w:r>
      <w:r>
        <w:rPr>
          <w:rFonts w:ascii="Times New Roman" w:hAnsi="Times New Roman"/>
          <w:lang w:val="sr-Latn-BA"/>
        </w:rPr>
        <w:t>селу</w:t>
      </w:r>
      <w:r w:rsidR="008359BD" w:rsidRPr="00295637">
        <w:rPr>
          <w:rFonts w:ascii="Times New Roman" w:hAnsi="Times New Roman"/>
          <w:lang w:val="sr-Latn-BA"/>
        </w:rPr>
        <w:t xml:space="preserve"> </w:t>
      </w:r>
      <w:r>
        <w:rPr>
          <w:rFonts w:ascii="Times New Roman" w:hAnsi="Times New Roman"/>
          <w:lang w:val="sr-Latn-BA"/>
        </w:rPr>
        <w:t>путем</w:t>
      </w:r>
      <w:r w:rsidR="008359BD" w:rsidRPr="00295637">
        <w:rPr>
          <w:rFonts w:ascii="Times New Roman" w:hAnsi="Times New Roman"/>
          <w:lang w:val="sr-Latn-BA"/>
        </w:rPr>
        <w:t xml:space="preserve"> </w:t>
      </w:r>
      <w:r>
        <w:rPr>
          <w:rFonts w:ascii="Times New Roman" w:hAnsi="Times New Roman"/>
          <w:lang w:val="sr-Latn-BA"/>
        </w:rPr>
        <w:t>подршке</w:t>
      </w:r>
      <w:r w:rsidR="008359BD" w:rsidRPr="00295637">
        <w:rPr>
          <w:rFonts w:ascii="Times New Roman" w:hAnsi="Times New Roman"/>
          <w:lang w:val="sr-Latn-BA"/>
        </w:rPr>
        <w:t xml:space="preserve"> </w:t>
      </w:r>
      <w:r>
        <w:rPr>
          <w:rFonts w:ascii="Times New Roman" w:hAnsi="Times New Roman"/>
          <w:lang w:val="sr-Latn-BA"/>
        </w:rPr>
        <w:t>различитим</w:t>
      </w:r>
      <w:r w:rsidR="008359BD">
        <w:rPr>
          <w:rFonts w:ascii="Times New Roman" w:hAnsi="Times New Roman"/>
          <w:lang w:val="sr-Latn-BA"/>
        </w:rPr>
        <w:t xml:space="preserve"> </w:t>
      </w:r>
      <w:r>
        <w:rPr>
          <w:rFonts w:ascii="Times New Roman" w:hAnsi="Times New Roman"/>
          <w:lang w:val="sr-Latn-BA"/>
        </w:rPr>
        <w:t>сајмовима</w:t>
      </w:r>
      <w:r w:rsidR="008359BD" w:rsidRPr="00295637">
        <w:rPr>
          <w:rFonts w:ascii="Times New Roman" w:hAnsi="Times New Roman"/>
          <w:lang w:val="sr-Latn-BA"/>
        </w:rPr>
        <w:t xml:space="preserve"> </w:t>
      </w:r>
      <w:r>
        <w:rPr>
          <w:rFonts w:ascii="Times New Roman" w:hAnsi="Times New Roman"/>
          <w:lang w:val="sr-Latn-BA"/>
        </w:rPr>
        <w:t>и</w:t>
      </w:r>
      <w:r w:rsidR="008359BD" w:rsidRPr="00295637">
        <w:rPr>
          <w:rFonts w:ascii="Times New Roman" w:hAnsi="Times New Roman"/>
          <w:lang w:val="sr-Latn-BA"/>
        </w:rPr>
        <w:t xml:space="preserve"> </w:t>
      </w:r>
      <w:r>
        <w:rPr>
          <w:rFonts w:ascii="Times New Roman" w:hAnsi="Times New Roman"/>
          <w:lang w:val="sr-Latn-BA"/>
        </w:rPr>
        <w:t>манифестацијама</w:t>
      </w:r>
      <w:r w:rsidR="008359BD" w:rsidRPr="008359BD">
        <w:rPr>
          <w:rFonts w:ascii="Times New Roman" w:hAnsi="Times New Roman"/>
          <w:lang w:val="sr-Latn-BA"/>
        </w:rPr>
        <w:t xml:space="preserve"> </w:t>
      </w:r>
      <w:r>
        <w:rPr>
          <w:rFonts w:ascii="Times New Roman" w:hAnsi="Times New Roman"/>
          <w:lang w:val="sr-Latn-BA"/>
        </w:rPr>
        <w:t>као</w:t>
      </w:r>
      <w:r w:rsidR="008359BD" w:rsidRPr="00295637">
        <w:rPr>
          <w:rFonts w:ascii="Times New Roman" w:hAnsi="Times New Roman"/>
          <w:lang w:val="sr-Latn-BA"/>
        </w:rPr>
        <w:t xml:space="preserve"> </w:t>
      </w:r>
      <w:r>
        <w:rPr>
          <w:rFonts w:ascii="Times New Roman" w:hAnsi="Times New Roman"/>
          <w:lang w:val="sr-Latn-BA"/>
        </w:rPr>
        <w:t>што</w:t>
      </w:r>
      <w:r w:rsidR="008359BD" w:rsidRPr="00295637">
        <w:rPr>
          <w:rFonts w:ascii="Times New Roman" w:hAnsi="Times New Roman"/>
          <w:lang w:val="sr-Latn-BA"/>
        </w:rPr>
        <w:t xml:space="preserve"> </w:t>
      </w:r>
      <w:r>
        <w:rPr>
          <w:rFonts w:ascii="Times New Roman" w:hAnsi="Times New Roman"/>
          <w:lang w:val="sr-Latn-BA"/>
        </w:rPr>
        <w:t>су</w:t>
      </w:r>
      <w:r w:rsidR="008359BD" w:rsidRPr="00295637">
        <w:rPr>
          <w:rFonts w:ascii="Times New Roman" w:hAnsi="Times New Roman"/>
          <w:lang w:val="sr-Latn-BA"/>
        </w:rPr>
        <w:t xml:space="preserve"> </w:t>
      </w:r>
      <w:r w:rsidR="00BE0900">
        <w:rPr>
          <w:rFonts w:ascii="Times New Roman" w:hAnsi="Times New Roman"/>
          <w:lang w:val="sr-Latn-BA"/>
        </w:rPr>
        <w:t>„</w:t>
      </w:r>
      <w:r>
        <w:rPr>
          <w:rFonts w:ascii="Times New Roman" w:hAnsi="Times New Roman"/>
          <w:lang w:val="sr-Cyrl-BA"/>
        </w:rPr>
        <w:t>Међународни</w:t>
      </w:r>
      <w:r w:rsidR="008359BD" w:rsidRPr="00295637">
        <w:rPr>
          <w:rFonts w:ascii="Times New Roman" w:hAnsi="Times New Roman"/>
          <w:lang w:val="sr-Cyrl-BA"/>
        </w:rPr>
        <w:t xml:space="preserve"> </w:t>
      </w:r>
      <w:r>
        <w:rPr>
          <w:rFonts w:ascii="Times New Roman" w:hAnsi="Times New Roman"/>
          <w:lang w:val="sr-Cyrl-BA"/>
        </w:rPr>
        <w:t>сајам</w:t>
      </w:r>
      <w:r w:rsidR="008359BD" w:rsidRPr="00295637">
        <w:rPr>
          <w:rFonts w:ascii="Times New Roman" w:hAnsi="Times New Roman"/>
          <w:lang w:val="sr-Cyrl-BA"/>
        </w:rPr>
        <w:t xml:space="preserve"> </w:t>
      </w:r>
      <w:r>
        <w:rPr>
          <w:rFonts w:ascii="Times New Roman" w:hAnsi="Times New Roman"/>
          <w:lang w:val="sr-Cyrl-BA"/>
        </w:rPr>
        <w:t>пољопривреде</w:t>
      </w:r>
      <w:r w:rsidR="008359BD" w:rsidRPr="00295637">
        <w:rPr>
          <w:rFonts w:ascii="Times New Roman" w:hAnsi="Times New Roman"/>
          <w:lang w:val="sr-Cyrl-BA"/>
        </w:rPr>
        <w:t xml:space="preserve"> </w:t>
      </w:r>
      <w:r>
        <w:rPr>
          <w:rFonts w:ascii="Times New Roman" w:hAnsi="Times New Roman"/>
          <w:lang w:val="sr-Cyrl-BA"/>
        </w:rPr>
        <w:t>И</w:t>
      </w:r>
      <w:r>
        <w:rPr>
          <w:rFonts w:ascii="Times New Roman" w:hAnsi="Times New Roman"/>
          <w:lang w:val="sr-Latn-BA"/>
        </w:rPr>
        <w:t>н</w:t>
      </w:r>
      <w:r>
        <w:rPr>
          <w:rFonts w:ascii="Times New Roman" w:hAnsi="Times New Roman"/>
          <w:lang w:val="sr-Cyrl-BA"/>
        </w:rPr>
        <w:t>терагро</w:t>
      </w:r>
      <w:r w:rsidR="008359BD" w:rsidRPr="00295637">
        <w:rPr>
          <w:rFonts w:ascii="Times New Roman" w:hAnsi="Times New Roman"/>
          <w:lang w:val="sr-Cyrl-BA"/>
        </w:rPr>
        <w:t xml:space="preserve"> 2024</w:t>
      </w:r>
      <w:r w:rsidR="00BE0900">
        <w:rPr>
          <w:rFonts w:ascii="Times New Roman" w:hAnsi="Times New Roman"/>
          <w:lang w:val="hr-HR"/>
        </w:rPr>
        <w:t>“</w:t>
      </w:r>
      <w:r w:rsidR="008359BD" w:rsidRPr="00295637">
        <w:rPr>
          <w:rFonts w:ascii="Times New Roman" w:hAnsi="Times New Roman"/>
          <w:lang w:val="sr-Latn-BA"/>
        </w:rPr>
        <w:t xml:space="preserve">; </w:t>
      </w:r>
      <w:r w:rsidR="0032078A">
        <w:rPr>
          <w:rFonts w:ascii="Times New Roman" w:hAnsi="Times New Roman"/>
          <w:lang w:val="sr-Latn-BA"/>
        </w:rPr>
        <w:t>„</w:t>
      </w:r>
      <w:r>
        <w:rPr>
          <w:rFonts w:ascii="Times New Roman" w:hAnsi="Times New Roman"/>
          <w:lang w:val="sr-Cyrl-BA"/>
        </w:rPr>
        <w:t>Сајам</w:t>
      </w:r>
      <w:r w:rsidR="008359BD" w:rsidRPr="00295637">
        <w:rPr>
          <w:rFonts w:ascii="Times New Roman" w:hAnsi="Times New Roman"/>
          <w:lang w:val="sr-Cyrl-BA"/>
        </w:rPr>
        <w:t xml:space="preserve"> </w:t>
      </w:r>
      <w:r>
        <w:rPr>
          <w:rFonts w:ascii="Times New Roman" w:hAnsi="Times New Roman"/>
          <w:lang w:val="sr-Cyrl-BA"/>
        </w:rPr>
        <w:t>органских</w:t>
      </w:r>
      <w:r w:rsidR="008359BD" w:rsidRPr="00295637">
        <w:rPr>
          <w:rFonts w:ascii="Times New Roman" w:hAnsi="Times New Roman"/>
          <w:lang w:val="sr-Cyrl-BA"/>
        </w:rPr>
        <w:t xml:space="preserve"> </w:t>
      </w:r>
      <w:r>
        <w:rPr>
          <w:rFonts w:ascii="Times New Roman" w:hAnsi="Times New Roman"/>
          <w:lang w:val="sr-Cyrl-BA"/>
        </w:rPr>
        <w:t>производа</w:t>
      </w:r>
      <w:r w:rsidR="0032078A">
        <w:rPr>
          <w:rFonts w:ascii="Times New Roman" w:hAnsi="Times New Roman"/>
          <w:lang w:val="bs-Latn-BA"/>
        </w:rPr>
        <w:t>“</w:t>
      </w:r>
      <w:r w:rsidR="008359BD" w:rsidRPr="00295637">
        <w:rPr>
          <w:rFonts w:ascii="Times New Roman" w:hAnsi="Times New Roman"/>
          <w:lang w:val="sr-Cyrl-BA"/>
        </w:rPr>
        <w:t xml:space="preserve"> </w:t>
      </w:r>
      <w:r>
        <w:rPr>
          <w:rFonts w:ascii="Times New Roman" w:hAnsi="Times New Roman"/>
          <w:lang w:val="bs-Latn-BA"/>
        </w:rPr>
        <w:t>и</w:t>
      </w:r>
      <w:r w:rsidR="008359BD" w:rsidRPr="00295637">
        <w:rPr>
          <w:rFonts w:ascii="Times New Roman" w:hAnsi="Times New Roman"/>
          <w:lang w:val="sr-Latn-BA"/>
        </w:rPr>
        <w:t xml:space="preserve"> </w:t>
      </w:r>
      <w:r w:rsidR="0032078A">
        <w:rPr>
          <w:rFonts w:ascii="Times New Roman" w:hAnsi="Times New Roman"/>
          <w:lang w:val="sr-Latn-BA"/>
        </w:rPr>
        <w:t>„</w:t>
      </w:r>
      <w:r>
        <w:rPr>
          <w:rFonts w:ascii="Times New Roman" w:hAnsi="Times New Roman"/>
          <w:lang w:val="sr-Cyrl-BA"/>
        </w:rPr>
        <w:t>Плодови</w:t>
      </w:r>
      <w:r w:rsidR="008359BD" w:rsidRPr="00295637">
        <w:rPr>
          <w:rFonts w:ascii="Times New Roman" w:hAnsi="Times New Roman"/>
          <w:lang w:val="sr-Cyrl-BA"/>
        </w:rPr>
        <w:t xml:space="preserve"> </w:t>
      </w:r>
      <w:r>
        <w:rPr>
          <w:rFonts w:ascii="Times New Roman" w:hAnsi="Times New Roman"/>
          <w:lang w:val="sr-Cyrl-BA"/>
        </w:rPr>
        <w:t>села</w:t>
      </w:r>
      <w:r w:rsidR="0032078A">
        <w:rPr>
          <w:rFonts w:ascii="Times New Roman" w:hAnsi="Times New Roman"/>
          <w:lang w:val="bs-Latn-BA"/>
        </w:rPr>
        <w:t>“</w:t>
      </w:r>
      <w:r w:rsidR="008359BD" w:rsidRPr="00295637">
        <w:rPr>
          <w:rFonts w:ascii="Times New Roman" w:hAnsi="Times New Roman"/>
          <w:lang w:val="sr-Cyrl-BA"/>
        </w:rPr>
        <w:t xml:space="preserve"> </w:t>
      </w:r>
      <w:r>
        <w:rPr>
          <w:rFonts w:ascii="Times New Roman" w:hAnsi="Times New Roman"/>
          <w:lang w:val="bs-Latn-BA"/>
        </w:rPr>
        <w:t>у</w:t>
      </w:r>
      <w:r w:rsidR="0032078A">
        <w:rPr>
          <w:rFonts w:ascii="Times New Roman" w:hAnsi="Times New Roman"/>
          <w:lang w:val="bs-Latn-BA"/>
        </w:rPr>
        <w:t xml:space="preserve"> </w:t>
      </w:r>
      <w:r>
        <w:rPr>
          <w:rFonts w:ascii="Times New Roman" w:hAnsi="Times New Roman"/>
          <w:lang w:val="sr-Cyrl-BA"/>
        </w:rPr>
        <w:t>Трж</w:t>
      </w:r>
      <w:r>
        <w:rPr>
          <w:rFonts w:ascii="Times New Roman" w:hAnsi="Times New Roman"/>
          <w:lang w:val="sr-Latn-BA"/>
        </w:rPr>
        <w:t>н</w:t>
      </w:r>
      <w:r>
        <w:rPr>
          <w:rFonts w:ascii="Times New Roman" w:hAnsi="Times New Roman"/>
          <w:lang w:val="bs-Latn-BA"/>
        </w:rPr>
        <w:t>ом</w:t>
      </w:r>
      <w:r w:rsidR="008359BD" w:rsidRPr="00295637">
        <w:rPr>
          <w:rFonts w:ascii="Times New Roman" w:hAnsi="Times New Roman"/>
          <w:lang w:val="sr-Cyrl-BA"/>
        </w:rPr>
        <w:t xml:space="preserve"> </w:t>
      </w:r>
      <w:r>
        <w:rPr>
          <w:rFonts w:ascii="Times New Roman" w:hAnsi="Times New Roman"/>
          <w:lang w:val="sr-Cyrl-BA"/>
        </w:rPr>
        <w:t>цент</w:t>
      </w:r>
      <w:r>
        <w:rPr>
          <w:rFonts w:ascii="Times New Roman" w:hAnsi="Times New Roman"/>
          <w:lang w:val="bs-Latn-BA"/>
        </w:rPr>
        <w:t>ру</w:t>
      </w:r>
      <w:r w:rsidR="008359BD" w:rsidRPr="00295637">
        <w:rPr>
          <w:rFonts w:ascii="Times New Roman" w:hAnsi="Times New Roman"/>
          <w:lang w:val="sr-Cyrl-BA"/>
        </w:rPr>
        <w:t xml:space="preserve"> </w:t>
      </w:r>
      <w:r>
        <w:rPr>
          <w:rFonts w:ascii="Times New Roman" w:hAnsi="Times New Roman"/>
          <w:lang w:val="sr-Cyrl-BA"/>
        </w:rPr>
        <w:t>Делта</w:t>
      </w:r>
      <w:r w:rsidR="0032078A">
        <w:rPr>
          <w:rFonts w:ascii="Times New Roman" w:hAnsi="Times New Roman"/>
          <w:lang w:val="bs-Latn-BA"/>
        </w:rPr>
        <w:t xml:space="preserve"> </w:t>
      </w:r>
      <w:r>
        <w:rPr>
          <w:rFonts w:ascii="Times New Roman" w:hAnsi="Times New Roman"/>
          <w:lang w:val="bs-Latn-BA"/>
        </w:rPr>
        <w:t>у</w:t>
      </w:r>
      <w:r w:rsidR="0032078A">
        <w:rPr>
          <w:rFonts w:ascii="Times New Roman" w:hAnsi="Times New Roman"/>
          <w:lang w:val="bs-Latn-BA"/>
        </w:rPr>
        <w:t xml:space="preserve"> </w:t>
      </w:r>
      <w:r>
        <w:rPr>
          <w:rFonts w:ascii="Times New Roman" w:hAnsi="Times New Roman"/>
          <w:lang w:val="bs-Latn-BA"/>
        </w:rPr>
        <w:t>Бањој</w:t>
      </w:r>
      <w:r w:rsidR="009A097E">
        <w:rPr>
          <w:rFonts w:ascii="Times New Roman" w:hAnsi="Times New Roman"/>
          <w:lang w:val="bs-Latn-BA"/>
        </w:rPr>
        <w:t xml:space="preserve"> </w:t>
      </w:r>
      <w:r>
        <w:rPr>
          <w:rFonts w:ascii="Times New Roman" w:hAnsi="Times New Roman"/>
          <w:lang w:val="bs-Latn-BA"/>
        </w:rPr>
        <w:t>Луци</w:t>
      </w:r>
      <w:r w:rsidR="008359BD" w:rsidRPr="00295637">
        <w:rPr>
          <w:rFonts w:ascii="Times New Roman" w:hAnsi="Times New Roman"/>
          <w:lang w:val="sr-Latn-BA"/>
        </w:rPr>
        <w:t xml:space="preserve">; </w:t>
      </w:r>
      <w:r w:rsidR="0032078A">
        <w:rPr>
          <w:rFonts w:ascii="Times New Roman" w:hAnsi="Times New Roman"/>
          <w:lang w:val="sr-Latn-BA"/>
        </w:rPr>
        <w:t>„</w:t>
      </w:r>
      <w:r>
        <w:rPr>
          <w:rFonts w:ascii="Times New Roman" w:hAnsi="Times New Roman"/>
          <w:lang w:val="sr-Cyrl-BA"/>
        </w:rPr>
        <w:t>Дани</w:t>
      </w:r>
      <w:r w:rsidR="008359BD" w:rsidRPr="00295637">
        <w:rPr>
          <w:rFonts w:ascii="Times New Roman" w:hAnsi="Times New Roman"/>
          <w:lang w:val="sr-Cyrl-BA"/>
        </w:rPr>
        <w:t xml:space="preserve"> </w:t>
      </w:r>
      <w:r>
        <w:rPr>
          <w:rFonts w:ascii="Times New Roman" w:hAnsi="Times New Roman"/>
          <w:lang w:val="sr-Cyrl-BA"/>
        </w:rPr>
        <w:t>малине</w:t>
      </w:r>
      <w:r w:rsidR="0032078A">
        <w:rPr>
          <w:rFonts w:ascii="Times New Roman" w:hAnsi="Times New Roman"/>
          <w:lang w:val="bs-Latn-BA"/>
        </w:rPr>
        <w:t>“</w:t>
      </w:r>
      <w:r w:rsidR="008359BD" w:rsidRPr="00295637">
        <w:rPr>
          <w:rFonts w:ascii="Times New Roman" w:hAnsi="Times New Roman"/>
          <w:lang w:val="sr-Cyrl-BA"/>
        </w:rPr>
        <w:t xml:space="preserve"> </w:t>
      </w:r>
      <w:r>
        <w:rPr>
          <w:rFonts w:ascii="Times New Roman" w:hAnsi="Times New Roman"/>
          <w:lang w:val="sr-Cyrl-BA"/>
        </w:rPr>
        <w:t>Братунац</w:t>
      </w:r>
      <w:r w:rsidR="008359BD" w:rsidRPr="00295637">
        <w:rPr>
          <w:rFonts w:ascii="Times New Roman" w:hAnsi="Times New Roman"/>
          <w:lang w:val="sr-Latn-BA"/>
        </w:rPr>
        <w:t xml:space="preserve">; </w:t>
      </w:r>
      <w:r w:rsidR="0032078A">
        <w:rPr>
          <w:rFonts w:ascii="Times New Roman" w:hAnsi="Times New Roman"/>
          <w:lang w:val="sr-Latn-BA"/>
        </w:rPr>
        <w:t>„</w:t>
      </w:r>
      <w:r>
        <w:rPr>
          <w:rFonts w:ascii="Times New Roman" w:hAnsi="Times New Roman"/>
          <w:lang w:val="sr-Cyrl-BA"/>
        </w:rPr>
        <w:t>Дани</w:t>
      </w:r>
      <w:r w:rsidR="008359BD" w:rsidRPr="00295637">
        <w:rPr>
          <w:rFonts w:ascii="Times New Roman" w:hAnsi="Times New Roman"/>
          <w:lang w:val="sr-Cyrl-BA"/>
        </w:rPr>
        <w:t xml:space="preserve"> </w:t>
      </w:r>
      <w:r>
        <w:rPr>
          <w:rFonts w:ascii="Times New Roman" w:hAnsi="Times New Roman"/>
          <w:lang w:val="sr-Cyrl-BA"/>
        </w:rPr>
        <w:t>дрењ</w:t>
      </w:r>
      <w:r>
        <w:rPr>
          <w:rFonts w:ascii="Times New Roman" w:hAnsi="Times New Roman"/>
          <w:lang w:val="bs-Latn-BA"/>
        </w:rPr>
        <w:t>ин</w:t>
      </w:r>
      <w:r>
        <w:rPr>
          <w:rFonts w:ascii="Times New Roman" w:hAnsi="Times New Roman"/>
          <w:lang w:val="sr-Cyrl-BA"/>
        </w:rPr>
        <w:t>е</w:t>
      </w:r>
      <w:r w:rsidR="0032078A">
        <w:rPr>
          <w:rFonts w:ascii="Times New Roman" w:hAnsi="Times New Roman"/>
          <w:lang w:val="bs-Latn-BA"/>
        </w:rPr>
        <w:t>“</w:t>
      </w:r>
      <w:r w:rsidR="008359BD" w:rsidRPr="00295637">
        <w:rPr>
          <w:rFonts w:ascii="Times New Roman" w:hAnsi="Times New Roman"/>
          <w:lang w:val="sr-Cyrl-BA"/>
        </w:rPr>
        <w:t xml:space="preserve"> </w:t>
      </w:r>
      <w:r>
        <w:rPr>
          <w:rFonts w:ascii="Times New Roman" w:hAnsi="Times New Roman"/>
          <w:lang w:val="sr-Cyrl-BA"/>
        </w:rPr>
        <w:t>Дрвар</w:t>
      </w:r>
      <w:r w:rsidR="008359BD" w:rsidRPr="00295637">
        <w:rPr>
          <w:rFonts w:ascii="Times New Roman" w:hAnsi="Times New Roman"/>
          <w:lang w:val="sr-Latn-BA"/>
        </w:rPr>
        <w:t xml:space="preserve">; </w:t>
      </w:r>
      <w:r w:rsidR="0032078A">
        <w:rPr>
          <w:rFonts w:ascii="Times New Roman" w:hAnsi="Times New Roman"/>
          <w:lang w:val="sr-Latn-BA"/>
        </w:rPr>
        <w:t>„</w:t>
      </w:r>
      <w:r>
        <w:rPr>
          <w:rFonts w:ascii="Times New Roman" w:hAnsi="Times New Roman"/>
          <w:lang w:val="sr-Cyrl-BA"/>
        </w:rPr>
        <w:t>Дан</w:t>
      </w:r>
      <w:r w:rsidR="008359BD" w:rsidRPr="00295637">
        <w:rPr>
          <w:rFonts w:ascii="Times New Roman" w:hAnsi="Times New Roman"/>
          <w:lang w:val="sr-Cyrl-BA"/>
        </w:rPr>
        <w:t xml:space="preserve"> </w:t>
      </w:r>
      <w:r>
        <w:rPr>
          <w:rFonts w:ascii="Times New Roman" w:hAnsi="Times New Roman"/>
          <w:lang w:val="sr-Cyrl-BA"/>
        </w:rPr>
        <w:t>сира</w:t>
      </w:r>
      <w:r w:rsidR="008359BD" w:rsidRPr="00295637">
        <w:rPr>
          <w:rFonts w:ascii="Times New Roman" w:hAnsi="Times New Roman"/>
          <w:lang w:val="sr-Cyrl-BA"/>
        </w:rPr>
        <w:t xml:space="preserve"> </w:t>
      </w:r>
      <w:r>
        <w:rPr>
          <w:rFonts w:ascii="Times New Roman" w:hAnsi="Times New Roman"/>
          <w:lang w:val="sr-Cyrl-BA"/>
        </w:rPr>
        <w:t>и</w:t>
      </w:r>
      <w:r w:rsidR="008359BD" w:rsidRPr="00295637">
        <w:rPr>
          <w:rFonts w:ascii="Times New Roman" w:hAnsi="Times New Roman"/>
          <w:lang w:val="sr-Cyrl-BA"/>
        </w:rPr>
        <w:t xml:space="preserve"> </w:t>
      </w:r>
      <w:r>
        <w:rPr>
          <w:rFonts w:ascii="Times New Roman" w:hAnsi="Times New Roman"/>
          <w:lang w:val="sr-Cyrl-BA"/>
        </w:rPr>
        <w:t>кромпира</w:t>
      </w:r>
      <w:r w:rsidR="0032078A">
        <w:rPr>
          <w:rFonts w:ascii="Times New Roman" w:hAnsi="Times New Roman"/>
          <w:lang w:val="bs-Latn-BA"/>
        </w:rPr>
        <w:t>“</w:t>
      </w:r>
      <w:r w:rsidR="008359BD" w:rsidRPr="00295637">
        <w:rPr>
          <w:rFonts w:ascii="Times New Roman" w:hAnsi="Times New Roman"/>
          <w:lang w:val="sr-Cyrl-BA"/>
        </w:rPr>
        <w:t xml:space="preserve"> </w:t>
      </w:r>
      <w:r>
        <w:rPr>
          <w:rFonts w:ascii="Times New Roman" w:hAnsi="Times New Roman"/>
          <w:lang w:val="sr-Cyrl-BA"/>
        </w:rPr>
        <w:t>Невесиње</w:t>
      </w:r>
      <w:r w:rsidR="008359BD" w:rsidRPr="00295637">
        <w:rPr>
          <w:rFonts w:ascii="Times New Roman" w:hAnsi="Times New Roman"/>
          <w:lang w:val="sr-Latn-BA"/>
        </w:rPr>
        <w:t xml:space="preserve"> </w:t>
      </w:r>
      <w:r>
        <w:rPr>
          <w:rFonts w:ascii="Times New Roman" w:hAnsi="Times New Roman"/>
          <w:lang w:val="sr-Latn-BA"/>
        </w:rPr>
        <w:t>и</w:t>
      </w:r>
      <w:r w:rsidR="008359BD" w:rsidRPr="00295637">
        <w:rPr>
          <w:rFonts w:ascii="Times New Roman" w:hAnsi="Times New Roman"/>
          <w:lang w:val="sr-Latn-BA"/>
        </w:rPr>
        <w:t xml:space="preserve"> </w:t>
      </w:r>
      <w:r>
        <w:rPr>
          <w:rFonts w:ascii="Times New Roman" w:hAnsi="Times New Roman"/>
          <w:lang w:val="sr-Latn-BA"/>
        </w:rPr>
        <w:t>С</w:t>
      </w:r>
      <w:r>
        <w:rPr>
          <w:rFonts w:ascii="Times New Roman" w:hAnsi="Times New Roman"/>
          <w:lang w:val="sr-Cyrl-BA"/>
        </w:rPr>
        <w:t>ајам</w:t>
      </w:r>
      <w:r w:rsidR="008359BD" w:rsidRPr="00295637">
        <w:rPr>
          <w:rFonts w:ascii="Times New Roman" w:hAnsi="Times New Roman"/>
          <w:lang w:val="sr-Cyrl-BA"/>
        </w:rPr>
        <w:t xml:space="preserve"> </w:t>
      </w:r>
      <w:r>
        <w:rPr>
          <w:rFonts w:ascii="Times New Roman" w:hAnsi="Times New Roman"/>
          <w:lang w:val="sr-Cyrl-BA"/>
        </w:rPr>
        <w:t>пољопр</w:t>
      </w:r>
      <w:r>
        <w:rPr>
          <w:rFonts w:ascii="Times New Roman" w:hAnsi="Times New Roman"/>
          <w:lang w:val="sr-Latn-BA"/>
        </w:rPr>
        <w:t>и</w:t>
      </w:r>
      <w:r>
        <w:rPr>
          <w:rFonts w:ascii="Times New Roman" w:hAnsi="Times New Roman"/>
          <w:lang w:val="sr-Cyrl-BA"/>
        </w:rPr>
        <w:t>вредног</w:t>
      </w:r>
      <w:r w:rsidR="008359BD" w:rsidRPr="00295637">
        <w:rPr>
          <w:rFonts w:ascii="Times New Roman" w:hAnsi="Times New Roman"/>
          <w:lang w:val="sr-Cyrl-BA"/>
        </w:rPr>
        <w:t xml:space="preserve"> </w:t>
      </w:r>
      <w:r>
        <w:rPr>
          <w:rFonts w:ascii="Times New Roman" w:hAnsi="Times New Roman"/>
          <w:lang w:val="sr-Cyrl-BA"/>
        </w:rPr>
        <w:t>задругарства</w:t>
      </w:r>
      <w:r w:rsidR="008359BD" w:rsidRPr="00295637">
        <w:rPr>
          <w:rFonts w:ascii="Times New Roman" w:hAnsi="Times New Roman"/>
          <w:lang w:val="sr-Cyrl-BA"/>
        </w:rPr>
        <w:t xml:space="preserve"> </w:t>
      </w:r>
      <w:r w:rsidR="0032078A">
        <w:rPr>
          <w:rFonts w:ascii="Times New Roman" w:hAnsi="Times New Roman"/>
          <w:lang w:val="bs-Latn-BA"/>
        </w:rPr>
        <w:t>„</w:t>
      </w:r>
      <w:r>
        <w:rPr>
          <w:rFonts w:ascii="Times New Roman" w:hAnsi="Times New Roman"/>
          <w:lang w:val="sr-Cyrl-BA"/>
        </w:rPr>
        <w:t>Агројапра</w:t>
      </w:r>
      <w:r w:rsidR="0032078A">
        <w:rPr>
          <w:rFonts w:ascii="Times New Roman" w:hAnsi="Times New Roman"/>
          <w:lang w:val="bs-Latn-BA"/>
        </w:rPr>
        <w:t>“</w:t>
      </w:r>
      <w:r w:rsidR="008359BD" w:rsidRPr="00295637">
        <w:rPr>
          <w:rFonts w:ascii="Times New Roman" w:hAnsi="Times New Roman"/>
          <w:lang w:val="sr-Cyrl-BA"/>
        </w:rPr>
        <w:t xml:space="preserve"> </w:t>
      </w:r>
      <w:r>
        <w:rPr>
          <w:rFonts w:ascii="Times New Roman" w:hAnsi="Times New Roman"/>
          <w:lang w:val="sr-Cyrl-BA"/>
        </w:rPr>
        <w:t>Нови</w:t>
      </w:r>
      <w:r w:rsidR="008359BD" w:rsidRPr="00295637">
        <w:rPr>
          <w:rFonts w:ascii="Times New Roman" w:hAnsi="Times New Roman"/>
          <w:lang w:val="sr-Cyrl-BA"/>
        </w:rPr>
        <w:t xml:space="preserve"> </w:t>
      </w:r>
      <w:r>
        <w:rPr>
          <w:rFonts w:ascii="Times New Roman" w:hAnsi="Times New Roman"/>
          <w:lang w:val="sr-Cyrl-BA"/>
        </w:rPr>
        <w:t>Град</w:t>
      </w:r>
      <w:r w:rsidR="008359BD" w:rsidRPr="00295637">
        <w:rPr>
          <w:rFonts w:ascii="Times New Roman" w:hAnsi="Times New Roman"/>
          <w:lang w:val="sr-Cyrl-BA"/>
        </w:rPr>
        <w:t>.</w:t>
      </w:r>
    </w:p>
    <w:p w:rsidR="005D25D6" w:rsidRPr="00295637" w:rsidRDefault="005D25D6" w:rsidP="0086268D">
      <w:pPr>
        <w:pStyle w:val="ListParagraph"/>
        <w:ind w:left="0"/>
        <w:jc w:val="both"/>
        <w:rPr>
          <w:rFonts w:ascii="Times New Roman" w:hAnsi="Times New Roman"/>
          <w:lang w:val="sr-Latn-BA"/>
        </w:rPr>
      </w:pPr>
    </w:p>
    <w:p w:rsidR="005D25D6" w:rsidRPr="00295637" w:rsidRDefault="00AE5809" w:rsidP="0086268D">
      <w:pPr>
        <w:pStyle w:val="ListParagraph"/>
        <w:ind w:left="0"/>
        <w:jc w:val="both"/>
        <w:rPr>
          <w:rFonts w:ascii="Times New Roman" w:hAnsi="Times New Roman"/>
          <w:lang w:val="sr-Latn-BA"/>
        </w:rPr>
      </w:pPr>
      <w:r>
        <w:rPr>
          <w:rFonts w:ascii="Times New Roman" w:hAnsi="Times New Roman"/>
          <w:lang w:val="sr-Latn-BA"/>
        </w:rPr>
        <w:t>Такође</w:t>
      </w:r>
      <w:r w:rsidR="005D25D6" w:rsidRPr="00295637">
        <w:rPr>
          <w:rFonts w:ascii="Times New Roman" w:hAnsi="Times New Roman"/>
          <w:lang w:val="sr-Latn-BA"/>
        </w:rPr>
        <w:t xml:space="preserve">, </w:t>
      </w:r>
      <w:r w:rsidR="00C6214E">
        <w:rPr>
          <w:rFonts w:ascii="Times New Roman" w:hAnsi="Times New Roman"/>
          <w:lang w:val="sr-Latn-BA"/>
        </w:rPr>
        <w:t>преко</w:t>
      </w:r>
      <w:r w:rsidR="005D25D6" w:rsidRPr="00295637">
        <w:rPr>
          <w:rFonts w:ascii="Times New Roman" w:hAnsi="Times New Roman"/>
          <w:lang w:val="sr-Latn-BA"/>
        </w:rPr>
        <w:t xml:space="preserve"> </w:t>
      </w:r>
      <w:r w:rsidR="00C6214E">
        <w:rPr>
          <w:rFonts w:ascii="Times New Roman" w:hAnsi="Times New Roman"/>
          <w:lang w:val="sr-Latn-BA"/>
        </w:rPr>
        <w:t>с</w:t>
      </w:r>
      <w:r w:rsidR="00C6214E">
        <w:rPr>
          <w:rFonts w:ascii="Times New Roman" w:hAnsi="Times New Roman"/>
          <w:lang w:val="sr-Cyrl-BA"/>
        </w:rPr>
        <w:t>авјетодавне</w:t>
      </w:r>
      <w:r w:rsidR="005D25D6" w:rsidRPr="00295637">
        <w:rPr>
          <w:rFonts w:ascii="Times New Roman" w:hAnsi="Times New Roman"/>
          <w:lang w:val="sr-Cyrl-BA"/>
        </w:rPr>
        <w:t xml:space="preserve"> </w:t>
      </w:r>
      <w:r w:rsidR="00C6214E">
        <w:rPr>
          <w:rFonts w:ascii="Times New Roman" w:hAnsi="Times New Roman"/>
          <w:lang w:val="sr-Cyrl-BA"/>
        </w:rPr>
        <w:t>службе</w:t>
      </w:r>
      <w:r w:rsidR="005D25D6" w:rsidRPr="00295637">
        <w:rPr>
          <w:rFonts w:ascii="Times New Roman" w:hAnsi="Times New Roman"/>
          <w:lang w:val="sr-Cyrl-BA"/>
        </w:rPr>
        <w:t xml:space="preserve"> </w:t>
      </w:r>
      <w:r w:rsidR="00C6214E">
        <w:rPr>
          <w:rFonts w:ascii="Times New Roman" w:hAnsi="Times New Roman"/>
          <w:lang w:val="sr-Cyrl-BA"/>
        </w:rPr>
        <w:t>министарства</w:t>
      </w:r>
      <w:r w:rsidR="005D25D6" w:rsidRPr="00295637">
        <w:rPr>
          <w:rFonts w:ascii="Times New Roman" w:hAnsi="Times New Roman"/>
          <w:lang w:val="sr-Cyrl-BA"/>
        </w:rPr>
        <w:t xml:space="preserve">, </w:t>
      </w:r>
      <w:r w:rsidR="00C6214E">
        <w:rPr>
          <w:rFonts w:ascii="Times New Roman" w:hAnsi="Times New Roman"/>
          <w:lang w:val="sr-Cyrl-BA"/>
        </w:rPr>
        <w:t>медиј</w:t>
      </w:r>
      <w:r w:rsidR="00C6214E">
        <w:rPr>
          <w:rFonts w:ascii="Times New Roman" w:hAnsi="Times New Roman"/>
          <w:lang w:val="sr-Latn-BA"/>
        </w:rPr>
        <w:t>а</w:t>
      </w:r>
      <w:r w:rsidR="005D25D6" w:rsidRPr="00295637">
        <w:rPr>
          <w:rFonts w:ascii="Times New Roman" w:hAnsi="Times New Roman"/>
          <w:lang w:val="sr-Cyrl-BA"/>
        </w:rPr>
        <w:t xml:space="preserve">, </w:t>
      </w:r>
      <w:r w:rsidR="00C6214E">
        <w:rPr>
          <w:rFonts w:ascii="Times New Roman" w:hAnsi="Times New Roman"/>
          <w:lang w:val="sr-Cyrl-BA"/>
        </w:rPr>
        <w:t>интернет</w:t>
      </w:r>
      <w:r w:rsidR="00C6214E">
        <w:rPr>
          <w:rFonts w:ascii="Times New Roman" w:hAnsi="Times New Roman"/>
          <w:lang w:val="sr-Latn-BA"/>
        </w:rPr>
        <w:t>а</w:t>
      </w:r>
      <w:r w:rsidR="005D25D6" w:rsidRPr="00295637">
        <w:rPr>
          <w:rFonts w:ascii="Times New Roman" w:hAnsi="Times New Roman"/>
          <w:lang w:val="sr-Cyrl-BA"/>
        </w:rPr>
        <w:t xml:space="preserve"> </w:t>
      </w:r>
      <w:r w:rsidR="00C6214E">
        <w:rPr>
          <w:rFonts w:ascii="Times New Roman" w:hAnsi="Times New Roman"/>
          <w:lang w:val="sr-Latn-BA"/>
        </w:rPr>
        <w:t>и</w:t>
      </w:r>
      <w:r w:rsidR="005D25D6" w:rsidRPr="00295637">
        <w:rPr>
          <w:rFonts w:ascii="Times New Roman" w:hAnsi="Times New Roman"/>
          <w:lang w:val="sr-Latn-BA"/>
        </w:rPr>
        <w:t xml:space="preserve"> </w:t>
      </w:r>
      <w:r w:rsidR="00C6214E">
        <w:rPr>
          <w:rFonts w:ascii="Times New Roman" w:hAnsi="Times New Roman"/>
          <w:lang w:val="sr-Cyrl-BA"/>
        </w:rPr>
        <w:t>друштвен</w:t>
      </w:r>
      <w:r w:rsidR="00C6214E">
        <w:rPr>
          <w:rFonts w:ascii="Times New Roman" w:hAnsi="Times New Roman"/>
          <w:lang w:val="sr-Latn-BA"/>
        </w:rPr>
        <w:t>их</w:t>
      </w:r>
      <w:r w:rsidR="005D25D6" w:rsidRPr="00295637">
        <w:rPr>
          <w:rFonts w:ascii="Times New Roman" w:hAnsi="Times New Roman"/>
          <w:lang w:val="sr-Cyrl-BA"/>
        </w:rPr>
        <w:t xml:space="preserve"> </w:t>
      </w:r>
      <w:r w:rsidR="00C6214E">
        <w:rPr>
          <w:rFonts w:ascii="Times New Roman" w:hAnsi="Times New Roman"/>
          <w:lang w:val="sr-Cyrl-BA"/>
        </w:rPr>
        <w:t>мрежа</w:t>
      </w:r>
      <w:r w:rsidR="005D25D6" w:rsidRPr="00295637">
        <w:rPr>
          <w:rFonts w:ascii="Times New Roman" w:hAnsi="Times New Roman"/>
          <w:lang w:val="sr-Latn-BA"/>
        </w:rPr>
        <w:t xml:space="preserve">, </w:t>
      </w:r>
      <w:r w:rsidR="00C6214E">
        <w:rPr>
          <w:rFonts w:ascii="Times New Roman" w:hAnsi="Times New Roman"/>
          <w:lang w:val="sr-Latn-BA"/>
        </w:rPr>
        <w:t>МПШВ</w:t>
      </w:r>
      <w:r w:rsidR="005D25D6" w:rsidRPr="00295637">
        <w:rPr>
          <w:rFonts w:ascii="Times New Roman" w:hAnsi="Times New Roman"/>
          <w:lang w:val="sr-Latn-BA"/>
        </w:rPr>
        <w:t xml:space="preserve"> </w:t>
      </w:r>
      <w:r w:rsidR="00C6214E">
        <w:rPr>
          <w:rFonts w:ascii="Times New Roman" w:hAnsi="Times New Roman"/>
          <w:lang w:val="sr-Latn-BA"/>
        </w:rPr>
        <w:t>РС</w:t>
      </w:r>
      <w:r w:rsidR="001B6B8E" w:rsidRPr="00295637">
        <w:rPr>
          <w:rFonts w:ascii="Times New Roman" w:hAnsi="Times New Roman"/>
          <w:lang w:val="sr-Latn-BA"/>
        </w:rPr>
        <w:t xml:space="preserve"> </w:t>
      </w:r>
      <w:r w:rsidR="00C6214E">
        <w:rPr>
          <w:rFonts w:ascii="Times New Roman" w:hAnsi="Times New Roman"/>
          <w:lang w:val="sr-Latn-BA"/>
        </w:rPr>
        <w:t>је</w:t>
      </w:r>
      <w:r w:rsidR="005D25D6" w:rsidRPr="00295637">
        <w:rPr>
          <w:rFonts w:ascii="Times New Roman" w:hAnsi="Times New Roman"/>
          <w:lang w:val="sr-Latn-BA"/>
        </w:rPr>
        <w:t xml:space="preserve"> </w:t>
      </w:r>
      <w:r>
        <w:rPr>
          <w:rFonts w:ascii="Times New Roman" w:hAnsi="Times New Roman"/>
          <w:lang w:val="sr-Cyrl-BA"/>
        </w:rPr>
        <w:t>спровело</w:t>
      </w:r>
      <w:r w:rsidR="005D25D6" w:rsidRPr="00295637">
        <w:rPr>
          <w:rFonts w:ascii="Times New Roman" w:hAnsi="Times New Roman"/>
          <w:lang w:val="sr-Latn-BA"/>
        </w:rPr>
        <w:t xml:space="preserve"> </w:t>
      </w:r>
      <w:r w:rsidR="00C6214E">
        <w:rPr>
          <w:rFonts w:ascii="Times New Roman" w:hAnsi="Times New Roman"/>
          <w:lang w:val="sr-Latn-BA"/>
        </w:rPr>
        <w:t>активности</w:t>
      </w:r>
      <w:r w:rsidR="005D25D6" w:rsidRPr="00295637">
        <w:rPr>
          <w:rFonts w:ascii="Times New Roman" w:hAnsi="Times New Roman"/>
          <w:lang w:val="sr-Latn-BA"/>
        </w:rPr>
        <w:t xml:space="preserve"> </w:t>
      </w:r>
      <w:r w:rsidR="00C6214E">
        <w:rPr>
          <w:rFonts w:ascii="Times New Roman" w:hAnsi="Times New Roman"/>
          <w:lang w:val="sr-Latn-BA"/>
        </w:rPr>
        <w:t>п</w:t>
      </w:r>
      <w:r w:rsidR="00C6214E">
        <w:rPr>
          <w:rFonts w:ascii="Times New Roman" w:hAnsi="Times New Roman"/>
          <w:lang w:val="sr-Cyrl-BA"/>
        </w:rPr>
        <w:t>ром</w:t>
      </w:r>
      <w:r w:rsidR="00C6214E">
        <w:rPr>
          <w:rFonts w:ascii="Times New Roman" w:hAnsi="Times New Roman"/>
          <w:lang w:val="hr-HR"/>
        </w:rPr>
        <w:t>оције</w:t>
      </w:r>
      <w:r w:rsidR="005D25D6" w:rsidRPr="00295637">
        <w:rPr>
          <w:rFonts w:ascii="Times New Roman" w:hAnsi="Times New Roman"/>
          <w:lang w:val="sr-Cyrl-BA"/>
        </w:rPr>
        <w:t xml:space="preserve"> </w:t>
      </w:r>
      <w:r w:rsidR="00C6214E">
        <w:rPr>
          <w:rFonts w:ascii="Times New Roman" w:hAnsi="Times New Roman"/>
          <w:lang w:val="sr-Cyrl-BA"/>
        </w:rPr>
        <w:t>и</w:t>
      </w:r>
      <w:r w:rsidR="005D25D6" w:rsidRPr="00295637">
        <w:rPr>
          <w:rFonts w:ascii="Times New Roman" w:hAnsi="Times New Roman"/>
          <w:lang w:val="sr-Cyrl-BA"/>
        </w:rPr>
        <w:t xml:space="preserve"> </w:t>
      </w:r>
      <w:r w:rsidR="00C6214E">
        <w:rPr>
          <w:rFonts w:ascii="Times New Roman" w:hAnsi="Times New Roman"/>
          <w:lang w:val="sr-Cyrl-BA"/>
        </w:rPr>
        <w:t>афирмациј</w:t>
      </w:r>
      <w:r w:rsidR="00C6214E">
        <w:rPr>
          <w:rFonts w:ascii="Times New Roman" w:hAnsi="Times New Roman"/>
          <w:lang w:val="sr-Latn-BA"/>
        </w:rPr>
        <w:t>е</w:t>
      </w:r>
      <w:r w:rsidR="005D25D6" w:rsidRPr="00295637">
        <w:rPr>
          <w:rFonts w:ascii="Times New Roman" w:hAnsi="Times New Roman"/>
          <w:lang w:val="sr-Cyrl-BA"/>
        </w:rPr>
        <w:t xml:space="preserve"> </w:t>
      </w:r>
      <w:r w:rsidR="00C6214E">
        <w:rPr>
          <w:rFonts w:ascii="Times New Roman" w:hAnsi="Times New Roman"/>
          <w:lang w:val="sr-Cyrl-BA"/>
        </w:rPr>
        <w:t>жена</w:t>
      </w:r>
      <w:r w:rsidR="005D25D6" w:rsidRPr="00295637">
        <w:rPr>
          <w:rFonts w:ascii="Times New Roman" w:hAnsi="Times New Roman"/>
          <w:lang w:val="sr-Cyrl-BA"/>
        </w:rPr>
        <w:t xml:space="preserve"> </w:t>
      </w:r>
      <w:r w:rsidR="00C6214E">
        <w:rPr>
          <w:rFonts w:ascii="Times New Roman" w:hAnsi="Times New Roman"/>
          <w:lang w:val="sr-Cyrl-BA"/>
        </w:rPr>
        <w:t>пољопривредница</w:t>
      </w:r>
      <w:r w:rsidR="005D25D6" w:rsidRPr="00295637">
        <w:rPr>
          <w:rFonts w:ascii="Times New Roman" w:hAnsi="Times New Roman"/>
          <w:lang w:val="sr-Cyrl-BA"/>
        </w:rPr>
        <w:t xml:space="preserve"> </w:t>
      </w:r>
      <w:r w:rsidR="00C6214E">
        <w:rPr>
          <w:rFonts w:ascii="Times New Roman" w:hAnsi="Times New Roman"/>
          <w:lang w:val="sr-Cyrl-BA"/>
        </w:rPr>
        <w:t>да</w:t>
      </w:r>
      <w:r w:rsidR="005D25D6" w:rsidRPr="00295637">
        <w:rPr>
          <w:rFonts w:ascii="Times New Roman" w:hAnsi="Times New Roman"/>
          <w:lang w:val="sr-Cyrl-BA"/>
        </w:rPr>
        <w:t xml:space="preserve"> </w:t>
      </w:r>
      <w:r w:rsidR="00C6214E">
        <w:rPr>
          <w:rFonts w:ascii="Times New Roman" w:hAnsi="Times New Roman"/>
          <w:lang w:val="sr-Cyrl-BA"/>
        </w:rPr>
        <w:t>аплицирају</w:t>
      </w:r>
      <w:r w:rsidR="005D25D6" w:rsidRPr="00295637">
        <w:rPr>
          <w:rFonts w:ascii="Times New Roman" w:hAnsi="Times New Roman"/>
          <w:lang w:val="sr-Cyrl-BA"/>
        </w:rPr>
        <w:t xml:space="preserve"> </w:t>
      </w:r>
      <w:r w:rsidR="00C6214E">
        <w:rPr>
          <w:rFonts w:ascii="Times New Roman" w:hAnsi="Times New Roman"/>
          <w:lang w:val="sr-Cyrl-BA"/>
        </w:rPr>
        <w:t>своје</w:t>
      </w:r>
      <w:r w:rsidR="005D25D6" w:rsidRPr="00295637">
        <w:rPr>
          <w:rFonts w:ascii="Times New Roman" w:hAnsi="Times New Roman"/>
          <w:lang w:val="sr-Cyrl-BA"/>
        </w:rPr>
        <w:t xml:space="preserve"> </w:t>
      </w:r>
      <w:r w:rsidR="00C6214E">
        <w:rPr>
          <w:rFonts w:ascii="Times New Roman" w:hAnsi="Times New Roman"/>
          <w:lang w:val="sr-Cyrl-BA"/>
        </w:rPr>
        <w:t>пројекте</w:t>
      </w:r>
      <w:r w:rsidR="005D25D6" w:rsidRPr="00295637">
        <w:rPr>
          <w:rFonts w:ascii="Times New Roman" w:hAnsi="Times New Roman"/>
          <w:lang w:val="sr-Cyrl-BA"/>
        </w:rPr>
        <w:t xml:space="preserve"> </w:t>
      </w:r>
      <w:r w:rsidR="00C6214E">
        <w:rPr>
          <w:rFonts w:ascii="Times New Roman" w:hAnsi="Times New Roman"/>
          <w:lang w:val="sr-Cyrl-BA"/>
        </w:rPr>
        <w:t>самозапошљавања</w:t>
      </w:r>
      <w:r w:rsidR="005D25D6" w:rsidRPr="00295637">
        <w:rPr>
          <w:rFonts w:ascii="Times New Roman" w:hAnsi="Times New Roman"/>
          <w:lang w:val="sr-Cyrl-BA"/>
        </w:rPr>
        <w:t xml:space="preserve"> </w:t>
      </w:r>
      <w:r w:rsidR="00C6214E">
        <w:rPr>
          <w:rFonts w:ascii="Times New Roman" w:hAnsi="Times New Roman"/>
          <w:lang w:val="sr-Cyrl-BA"/>
        </w:rPr>
        <w:t>и</w:t>
      </w:r>
      <w:r w:rsidR="005D25D6" w:rsidRPr="00295637">
        <w:rPr>
          <w:rFonts w:ascii="Times New Roman" w:hAnsi="Times New Roman"/>
          <w:lang w:val="sr-Cyrl-BA"/>
        </w:rPr>
        <w:t xml:space="preserve"> </w:t>
      </w:r>
      <w:r w:rsidR="00C6214E">
        <w:rPr>
          <w:rFonts w:ascii="Times New Roman" w:hAnsi="Times New Roman"/>
          <w:lang w:val="sr-Cyrl-BA"/>
        </w:rPr>
        <w:t>покретања</w:t>
      </w:r>
      <w:r w:rsidR="005D25D6" w:rsidRPr="00295637">
        <w:rPr>
          <w:rFonts w:ascii="Times New Roman" w:hAnsi="Times New Roman"/>
          <w:lang w:val="sr-Cyrl-BA"/>
        </w:rPr>
        <w:t xml:space="preserve"> </w:t>
      </w:r>
      <w:r w:rsidR="00C6214E">
        <w:rPr>
          <w:rFonts w:ascii="Times New Roman" w:hAnsi="Times New Roman"/>
          <w:lang w:val="sr-Cyrl-BA"/>
        </w:rPr>
        <w:t>пословних</w:t>
      </w:r>
      <w:r w:rsidR="005D25D6" w:rsidRPr="00295637">
        <w:rPr>
          <w:rFonts w:ascii="Times New Roman" w:hAnsi="Times New Roman"/>
          <w:lang w:val="sr-Cyrl-BA"/>
        </w:rPr>
        <w:t xml:space="preserve"> </w:t>
      </w:r>
      <w:r w:rsidR="00C6214E">
        <w:rPr>
          <w:rFonts w:ascii="Times New Roman" w:hAnsi="Times New Roman"/>
          <w:lang w:val="sr-Cyrl-BA"/>
        </w:rPr>
        <w:t>идеја</w:t>
      </w:r>
      <w:r w:rsidR="005D25D6" w:rsidRPr="00295637">
        <w:rPr>
          <w:rFonts w:ascii="Times New Roman" w:hAnsi="Times New Roman"/>
          <w:lang w:val="sr-Cyrl-BA"/>
        </w:rPr>
        <w:t xml:space="preserve"> </w:t>
      </w:r>
      <w:r w:rsidR="00C6214E">
        <w:rPr>
          <w:rFonts w:ascii="Times New Roman" w:hAnsi="Times New Roman"/>
          <w:lang w:val="sr-Cyrl-BA"/>
        </w:rPr>
        <w:t>за</w:t>
      </w:r>
      <w:r w:rsidR="005D25D6" w:rsidRPr="00295637">
        <w:rPr>
          <w:rFonts w:ascii="Times New Roman" w:hAnsi="Times New Roman"/>
          <w:lang w:val="sr-Cyrl-BA"/>
        </w:rPr>
        <w:t xml:space="preserve"> </w:t>
      </w:r>
      <w:r w:rsidR="00C6214E">
        <w:rPr>
          <w:rFonts w:ascii="Times New Roman" w:hAnsi="Times New Roman"/>
          <w:lang w:val="sr-Cyrl-BA"/>
        </w:rPr>
        <w:t>средстава</w:t>
      </w:r>
      <w:r w:rsidR="005D25D6" w:rsidRPr="00295637">
        <w:rPr>
          <w:rFonts w:ascii="Times New Roman" w:hAnsi="Times New Roman"/>
          <w:lang w:val="sr-Cyrl-BA"/>
        </w:rPr>
        <w:t xml:space="preserve"> </w:t>
      </w:r>
      <w:r w:rsidR="00C6214E">
        <w:rPr>
          <w:rFonts w:ascii="Times New Roman" w:hAnsi="Times New Roman"/>
          <w:lang w:val="sr-Cyrl-BA"/>
        </w:rPr>
        <w:t>из</w:t>
      </w:r>
      <w:r w:rsidR="005D25D6" w:rsidRPr="00295637">
        <w:rPr>
          <w:rFonts w:ascii="Times New Roman" w:hAnsi="Times New Roman"/>
          <w:lang w:val="sr-Cyrl-BA"/>
        </w:rPr>
        <w:t xml:space="preserve"> </w:t>
      </w:r>
      <w:r w:rsidR="00C6214E">
        <w:rPr>
          <w:rFonts w:ascii="Times New Roman" w:hAnsi="Times New Roman"/>
          <w:lang w:val="sr-Cyrl-BA"/>
        </w:rPr>
        <w:t>аграрног</w:t>
      </w:r>
      <w:r w:rsidR="005D25D6" w:rsidRPr="00295637">
        <w:rPr>
          <w:rFonts w:ascii="Times New Roman" w:hAnsi="Times New Roman"/>
          <w:lang w:val="sr-Cyrl-BA"/>
        </w:rPr>
        <w:t xml:space="preserve"> </w:t>
      </w:r>
      <w:r w:rsidR="00C6214E">
        <w:rPr>
          <w:rFonts w:ascii="Times New Roman" w:hAnsi="Times New Roman"/>
          <w:lang w:val="hr-HR"/>
        </w:rPr>
        <w:t>буџета</w:t>
      </w:r>
      <w:r w:rsidR="005D25D6" w:rsidRPr="00295637">
        <w:rPr>
          <w:rFonts w:ascii="Times New Roman" w:hAnsi="Times New Roman"/>
          <w:lang w:val="sr-Latn-BA"/>
        </w:rPr>
        <w:t xml:space="preserve"> </w:t>
      </w:r>
      <w:r w:rsidR="00C6214E">
        <w:rPr>
          <w:rFonts w:ascii="Times New Roman" w:hAnsi="Times New Roman"/>
          <w:lang w:val="sr-Latn-BA"/>
        </w:rPr>
        <w:t>и</w:t>
      </w:r>
      <w:r w:rsidR="005D25D6" w:rsidRPr="00295637">
        <w:rPr>
          <w:rFonts w:ascii="Times New Roman" w:hAnsi="Times New Roman"/>
          <w:lang w:val="sr-Latn-BA"/>
        </w:rPr>
        <w:t xml:space="preserve"> </w:t>
      </w:r>
      <w:r w:rsidR="00C6214E">
        <w:rPr>
          <w:rFonts w:ascii="Times New Roman" w:hAnsi="Times New Roman"/>
          <w:lang w:val="sr-Latn-BA"/>
        </w:rPr>
        <w:t>учествовало</w:t>
      </w:r>
      <w:r w:rsidR="005D25D6" w:rsidRPr="00295637">
        <w:rPr>
          <w:rFonts w:ascii="Times New Roman" w:hAnsi="Times New Roman"/>
          <w:lang w:val="sr-Cyrl-BA"/>
        </w:rPr>
        <w:t xml:space="preserve"> </w:t>
      </w:r>
      <w:r w:rsidR="00C6214E">
        <w:rPr>
          <w:rFonts w:ascii="Times New Roman" w:hAnsi="Times New Roman"/>
          <w:lang w:val="sr-Cyrl-BA"/>
        </w:rPr>
        <w:t>на</w:t>
      </w:r>
      <w:r w:rsidR="005D25D6" w:rsidRPr="00295637">
        <w:rPr>
          <w:rFonts w:ascii="Times New Roman" w:hAnsi="Times New Roman"/>
          <w:lang w:val="sr-Cyrl-BA"/>
        </w:rPr>
        <w:t xml:space="preserve"> </w:t>
      </w:r>
      <w:r w:rsidR="00C6214E">
        <w:rPr>
          <w:rFonts w:ascii="Times New Roman" w:hAnsi="Times New Roman"/>
          <w:lang w:val="sr-Cyrl-BA"/>
        </w:rPr>
        <w:t>конференцији</w:t>
      </w:r>
      <w:r w:rsidR="005D25D6" w:rsidRPr="00295637">
        <w:rPr>
          <w:rFonts w:ascii="Times New Roman" w:hAnsi="Times New Roman"/>
          <w:lang w:val="sr-Cyrl-BA"/>
        </w:rPr>
        <w:t xml:space="preserve"> </w:t>
      </w:r>
      <w:r w:rsidR="00C6214E">
        <w:rPr>
          <w:rFonts w:ascii="Times New Roman" w:hAnsi="Times New Roman"/>
          <w:lang w:val="sr-Cyrl-BA"/>
        </w:rPr>
        <w:t>поводом</w:t>
      </w:r>
      <w:r w:rsidR="005D25D6" w:rsidRPr="00295637">
        <w:rPr>
          <w:rFonts w:ascii="Times New Roman" w:hAnsi="Times New Roman"/>
          <w:lang w:val="sr-Cyrl-BA"/>
        </w:rPr>
        <w:t xml:space="preserve"> </w:t>
      </w:r>
      <w:r w:rsidR="00C6214E">
        <w:rPr>
          <w:rFonts w:ascii="Times New Roman" w:hAnsi="Times New Roman"/>
          <w:lang w:val="sr-Cyrl-BA"/>
        </w:rPr>
        <w:t>Дана</w:t>
      </w:r>
      <w:r w:rsidR="005D25D6" w:rsidRPr="00295637">
        <w:rPr>
          <w:rFonts w:ascii="Times New Roman" w:hAnsi="Times New Roman"/>
          <w:lang w:val="sr-Cyrl-BA"/>
        </w:rPr>
        <w:t xml:space="preserve"> </w:t>
      </w:r>
      <w:r w:rsidR="00C6214E">
        <w:rPr>
          <w:rFonts w:ascii="Times New Roman" w:hAnsi="Times New Roman"/>
          <w:lang w:val="sr-Cyrl-BA"/>
        </w:rPr>
        <w:t>жена</w:t>
      </w:r>
      <w:r w:rsidR="005D25D6" w:rsidRPr="00295637">
        <w:rPr>
          <w:rFonts w:ascii="Times New Roman" w:hAnsi="Times New Roman"/>
          <w:lang w:val="sr-Cyrl-BA"/>
        </w:rPr>
        <w:t xml:space="preserve"> </w:t>
      </w:r>
      <w:r w:rsidR="00C6214E">
        <w:rPr>
          <w:rFonts w:ascii="Times New Roman" w:hAnsi="Times New Roman"/>
          <w:lang w:val="sr-Cyrl-BA"/>
        </w:rPr>
        <w:t>на</w:t>
      </w:r>
      <w:r w:rsidR="005D25D6" w:rsidRPr="00295637">
        <w:rPr>
          <w:rFonts w:ascii="Times New Roman" w:hAnsi="Times New Roman"/>
          <w:lang w:val="sr-Cyrl-BA"/>
        </w:rPr>
        <w:t xml:space="preserve"> </w:t>
      </w:r>
      <w:r w:rsidR="00C6214E">
        <w:rPr>
          <w:rFonts w:ascii="Times New Roman" w:hAnsi="Times New Roman"/>
          <w:lang w:val="sr-Latn-BA"/>
        </w:rPr>
        <w:t>с</w:t>
      </w:r>
      <w:r w:rsidR="00C6214E">
        <w:rPr>
          <w:rFonts w:ascii="Times New Roman" w:hAnsi="Times New Roman"/>
          <w:lang w:val="sr-Cyrl-BA"/>
        </w:rPr>
        <w:t>елу</w:t>
      </w:r>
      <w:r w:rsidR="005D25D6" w:rsidRPr="00295637">
        <w:rPr>
          <w:rFonts w:ascii="Times New Roman" w:hAnsi="Times New Roman"/>
          <w:lang w:val="sr-Cyrl-BA"/>
        </w:rPr>
        <w:t xml:space="preserve"> </w:t>
      </w:r>
      <w:r w:rsidR="00C6214E">
        <w:rPr>
          <w:rFonts w:ascii="Times New Roman" w:hAnsi="Times New Roman"/>
          <w:lang w:val="sr-Cyrl-BA"/>
        </w:rPr>
        <w:t>у</w:t>
      </w:r>
      <w:r w:rsidR="005D25D6" w:rsidRPr="00295637">
        <w:rPr>
          <w:rFonts w:ascii="Times New Roman" w:hAnsi="Times New Roman"/>
          <w:lang w:val="sr-Cyrl-BA"/>
        </w:rPr>
        <w:t xml:space="preserve"> </w:t>
      </w:r>
      <w:r w:rsidR="00C6214E">
        <w:rPr>
          <w:rFonts w:ascii="Times New Roman" w:hAnsi="Times New Roman"/>
          <w:lang w:val="sr-Cyrl-BA"/>
        </w:rPr>
        <w:t>организацији</w:t>
      </w:r>
      <w:r w:rsidR="005D25D6" w:rsidRPr="00295637">
        <w:rPr>
          <w:rFonts w:ascii="Times New Roman" w:hAnsi="Times New Roman"/>
          <w:lang w:val="sr-Cyrl-BA"/>
        </w:rPr>
        <w:t xml:space="preserve"> </w:t>
      </w:r>
      <w:r w:rsidRPr="00AE5809">
        <w:rPr>
          <w:rFonts w:ascii="Times New Roman" w:hAnsi="Times New Roman"/>
          <w:i/>
          <w:iCs/>
          <w:lang w:val="sr-Cyrl-BA"/>
        </w:rPr>
        <w:t>UN Women</w:t>
      </w:r>
      <w:r w:rsidR="005D25D6" w:rsidRPr="00295637">
        <w:rPr>
          <w:rFonts w:ascii="Times New Roman" w:hAnsi="Times New Roman"/>
          <w:lang w:val="sr-Cyrl-BA"/>
        </w:rPr>
        <w:t xml:space="preserve"> </w:t>
      </w:r>
      <w:r w:rsidR="00C6214E">
        <w:rPr>
          <w:rFonts w:ascii="Times New Roman" w:hAnsi="Times New Roman"/>
          <w:lang w:val="sr-Cyrl-BA"/>
        </w:rPr>
        <w:t>у</w:t>
      </w:r>
      <w:r w:rsidR="005D25D6" w:rsidRPr="00295637">
        <w:rPr>
          <w:rFonts w:ascii="Times New Roman" w:hAnsi="Times New Roman"/>
          <w:lang w:val="sr-Cyrl-BA"/>
        </w:rPr>
        <w:t xml:space="preserve"> </w:t>
      </w:r>
      <w:r w:rsidR="00C6214E">
        <w:rPr>
          <w:rFonts w:ascii="Times New Roman" w:hAnsi="Times New Roman"/>
          <w:lang w:val="sr-Cyrl-BA"/>
        </w:rPr>
        <w:t>Високом</w:t>
      </w:r>
      <w:r w:rsidR="005D25D6" w:rsidRPr="00295637">
        <w:rPr>
          <w:rFonts w:ascii="Times New Roman" w:hAnsi="Times New Roman"/>
          <w:lang w:val="sr-Latn-BA"/>
        </w:rPr>
        <w:t>.</w:t>
      </w:r>
    </w:p>
    <w:p w:rsidR="005D25D6" w:rsidRPr="00295637" w:rsidRDefault="005D25D6" w:rsidP="0086268D">
      <w:pPr>
        <w:pStyle w:val="ListParagraph"/>
        <w:ind w:left="0"/>
        <w:jc w:val="both"/>
        <w:rPr>
          <w:rFonts w:ascii="Times New Roman" w:hAnsi="Times New Roman"/>
          <w:lang w:val="sr-Cyrl-BA"/>
        </w:rPr>
      </w:pPr>
    </w:p>
    <w:p w:rsidR="008D56A8" w:rsidRPr="00295637" w:rsidRDefault="00C6214E" w:rsidP="0086268D">
      <w:pPr>
        <w:pStyle w:val="NormalWeb"/>
        <w:spacing w:before="0" w:beforeAutospacing="0" w:after="0" w:afterAutospacing="0"/>
        <w:jc w:val="both"/>
        <w:rPr>
          <w:lang w:val="bs-Latn-BA"/>
        </w:rPr>
      </w:pPr>
      <w:r>
        <w:rPr>
          <w:lang w:val="sr-Latn-BA"/>
        </w:rPr>
        <w:t>АР</w:t>
      </w:r>
      <w:r w:rsidR="00AE5809">
        <w:rPr>
          <w:lang w:val="sr-Cyrl-BA"/>
        </w:rPr>
        <w:t>П</w:t>
      </w:r>
      <w:r w:rsidR="00BE0900">
        <w:rPr>
          <w:lang w:val="sr-Latn-BA"/>
        </w:rPr>
        <w:t xml:space="preserve"> </w:t>
      </w:r>
      <w:r>
        <w:rPr>
          <w:lang w:val="sr-Latn-BA"/>
        </w:rPr>
        <w:t>БиХ</w:t>
      </w:r>
      <w:r w:rsidR="00BE0900">
        <w:rPr>
          <w:lang w:val="sr-Latn-BA"/>
        </w:rPr>
        <w:t xml:space="preserve"> </w:t>
      </w:r>
      <w:r>
        <w:rPr>
          <w:lang w:val="sr-Latn-BA"/>
        </w:rPr>
        <w:t>МЉПИ</w:t>
      </w:r>
      <w:r w:rsidR="00BE0900">
        <w:rPr>
          <w:lang w:val="sr-Latn-BA"/>
        </w:rPr>
        <w:t xml:space="preserve"> </w:t>
      </w:r>
      <w:r>
        <w:rPr>
          <w:lang w:val="sr-Latn-BA"/>
        </w:rPr>
        <w:t>БиХ</w:t>
      </w:r>
      <w:r w:rsidR="00BE0900">
        <w:rPr>
          <w:lang w:val="sr-Latn-BA"/>
        </w:rPr>
        <w:t xml:space="preserve">, </w:t>
      </w:r>
      <w:r>
        <w:rPr>
          <w:lang w:val="sr-Latn-BA"/>
        </w:rPr>
        <w:t>ГЦ</w:t>
      </w:r>
      <w:r w:rsidR="00BE0900">
        <w:rPr>
          <w:lang w:val="sr-Latn-BA"/>
        </w:rPr>
        <w:t xml:space="preserve"> </w:t>
      </w:r>
      <w:r>
        <w:rPr>
          <w:lang w:val="sr-Latn-BA"/>
        </w:rPr>
        <w:t>ФБиХ</w:t>
      </w:r>
      <w:r w:rsidR="00BA19C5">
        <w:rPr>
          <w:lang w:val="sr-Latn-BA"/>
        </w:rPr>
        <w:t xml:space="preserve">, </w:t>
      </w:r>
      <w:r>
        <w:rPr>
          <w:lang w:val="sr-Latn-BA"/>
        </w:rPr>
        <w:t>ЦЈРПРС</w:t>
      </w:r>
      <w:r w:rsidR="00157077">
        <w:rPr>
          <w:lang w:val="sr-Latn-BA"/>
        </w:rPr>
        <w:t xml:space="preserve"> </w:t>
      </w:r>
      <w:r>
        <w:rPr>
          <w:lang w:val="sr-Latn-BA"/>
        </w:rPr>
        <w:t>и</w:t>
      </w:r>
      <w:r w:rsidR="00157077">
        <w:rPr>
          <w:lang w:val="sr-Latn-BA"/>
        </w:rPr>
        <w:t xml:space="preserve"> </w:t>
      </w:r>
      <w:r>
        <w:rPr>
          <w:lang w:val="sr-Latn-BA"/>
        </w:rPr>
        <w:t>представници</w:t>
      </w:r>
      <w:r w:rsidR="00BE0900">
        <w:rPr>
          <w:lang w:val="sr-Latn-BA"/>
        </w:rPr>
        <w:t xml:space="preserve"> </w:t>
      </w:r>
      <w:r>
        <w:rPr>
          <w:lang w:val="sr-Latn-BA"/>
        </w:rPr>
        <w:t>релевантних</w:t>
      </w:r>
      <w:r w:rsidR="00BE0900">
        <w:rPr>
          <w:lang w:val="sr-Latn-BA"/>
        </w:rPr>
        <w:t xml:space="preserve"> </w:t>
      </w:r>
      <w:r>
        <w:rPr>
          <w:lang w:val="sr-Latn-BA"/>
        </w:rPr>
        <w:t>министарстава</w:t>
      </w:r>
      <w:r w:rsidR="00BE0900">
        <w:rPr>
          <w:lang w:val="sr-Latn-BA"/>
        </w:rPr>
        <w:t xml:space="preserve"> </w:t>
      </w:r>
      <w:r w:rsidR="00AE5809">
        <w:rPr>
          <w:lang w:val="sr-Cyrl-BA"/>
        </w:rPr>
        <w:t>С</w:t>
      </w:r>
      <w:r>
        <w:rPr>
          <w:lang w:val="sr-Latn-BA"/>
        </w:rPr>
        <w:t>М</w:t>
      </w:r>
      <w:r w:rsidR="00BE0900">
        <w:rPr>
          <w:lang w:val="sr-Latn-BA"/>
        </w:rPr>
        <w:t xml:space="preserve"> </w:t>
      </w:r>
      <w:r>
        <w:rPr>
          <w:lang w:val="sr-Latn-BA"/>
        </w:rPr>
        <w:t>БиХ</w:t>
      </w:r>
      <w:r w:rsidR="00157077">
        <w:rPr>
          <w:lang w:val="sr-Latn-BA"/>
        </w:rPr>
        <w:t xml:space="preserve"> </w:t>
      </w:r>
      <w:r>
        <w:rPr>
          <w:lang w:val="sr-Latn-BA"/>
        </w:rPr>
        <w:t>и</w:t>
      </w:r>
      <w:r w:rsidR="00157077">
        <w:rPr>
          <w:lang w:val="sr-Latn-BA"/>
        </w:rPr>
        <w:t xml:space="preserve"> </w:t>
      </w:r>
      <w:r>
        <w:rPr>
          <w:lang w:val="sr-Latn-BA"/>
        </w:rPr>
        <w:t>ентитет</w:t>
      </w:r>
      <w:r w:rsidR="00E83A13">
        <w:rPr>
          <w:lang w:val="sr-Latn-BA"/>
        </w:rPr>
        <w:t>â</w:t>
      </w:r>
      <w:r w:rsidR="005D25D6" w:rsidRPr="00295637">
        <w:rPr>
          <w:lang w:val="sr-Latn-BA"/>
        </w:rPr>
        <w:t xml:space="preserve"> </w:t>
      </w:r>
      <w:r>
        <w:rPr>
          <w:lang w:val="sr-Latn-BA"/>
        </w:rPr>
        <w:t>учествуј</w:t>
      </w:r>
      <w:r>
        <w:rPr>
          <w:lang w:val="sr-Cyrl-BA"/>
        </w:rPr>
        <w:t>у</w:t>
      </w:r>
      <w:r w:rsidR="005D25D6" w:rsidRPr="00295637">
        <w:rPr>
          <w:lang w:val="sr-Cyrl-BA"/>
        </w:rPr>
        <w:t xml:space="preserve"> </w:t>
      </w:r>
      <w:r>
        <w:rPr>
          <w:lang w:val="sr-Cyrl-BA"/>
        </w:rPr>
        <w:t>техничкој</w:t>
      </w:r>
      <w:r w:rsidR="005D25D6" w:rsidRPr="00295637">
        <w:rPr>
          <w:lang w:val="sr-Cyrl-BA"/>
        </w:rPr>
        <w:t xml:space="preserve"> </w:t>
      </w:r>
      <w:r>
        <w:rPr>
          <w:lang w:val="sr-Cyrl-BA"/>
        </w:rPr>
        <w:t>радној</w:t>
      </w:r>
      <w:r w:rsidR="005D25D6" w:rsidRPr="00295637">
        <w:rPr>
          <w:lang w:val="sr-Cyrl-BA"/>
        </w:rPr>
        <w:t xml:space="preserve"> </w:t>
      </w:r>
      <w:r>
        <w:rPr>
          <w:lang w:val="hr-HR"/>
        </w:rPr>
        <w:t>групи</w:t>
      </w:r>
      <w:r w:rsidR="00BE0900">
        <w:rPr>
          <w:lang w:val="sr-Cyrl-BA"/>
        </w:rPr>
        <w:t xml:space="preserve"> </w:t>
      </w:r>
      <w:r>
        <w:rPr>
          <w:lang w:val="sr-Cyrl-BA"/>
        </w:rPr>
        <w:t>и</w:t>
      </w:r>
      <w:r w:rsidR="00BE0900">
        <w:rPr>
          <w:lang w:val="sr-Cyrl-BA"/>
        </w:rPr>
        <w:t xml:space="preserve"> </w:t>
      </w:r>
      <w:r>
        <w:rPr>
          <w:lang w:val="sr-Cyrl-BA"/>
        </w:rPr>
        <w:t>пројектном</w:t>
      </w:r>
      <w:r w:rsidR="00BE0900">
        <w:rPr>
          <w:lang w:val="sr-Cyrl-BA"/>
        </w:rPr>
        <w:t xml:space="preserve"> </w:t>
      </w:r>
      <w:r>
        <w:rPr>
          <w:lang w:val="sr-Cyrl-BA"/>
        </w:rPr>
        <w:t>одбору</w:t>
      </w:r>
      <w:r w:rsidR="00BE0900">
        <w:rPr>
          <w:lang w:val="sr-Cyrl-BA"/>
        </w:rPr>
        <w:t xml:space="preserve"> </w:t>
      </w:r>
      <w:r>
        <w:rPr>
          <w:lang w:val="sr-Cyrl-BA"/>
        </w:rPr>
        <w:t>за</w:t>
      </w:r>
      <w:r w:rsidR="00BE0900">
        <w:rPr>
          <w:lang w:val="sr-Cyrl-BA"/>
        </w:rPr>
        <w:t xml:space="preserve"> </w:t>
      </w:r>
      <w:r>
        <w:rPr>
          <w:lang w:val="sr-Cyrl-BA"/>
        </w:rPr>
        <w:t>пројект</w:t>
      </w:r>
      <w:r w:rsidR="005D25D6" w:rsidRPr="00295637">
        <w:rPr>
          <w:lang w:val="sr-Cyrl-BA"/>
        </w:rPr>
        <w:t xml:space="preserve"> “</w:t>
      </w:r>
      <w:r>
        <w:rPr>
          <w:lang w:val="sr-Cyrl-BA"/>
        </w:rPr>
        <w:t>Жене</w:t>
      </w:r>
      <w:r w:rsidR="005D25D6" w:rsidRPr="00295637">
        <w:rPr>
          <w:lang w:val="sr-Cyrl-BA"/>
        </w:rPr>
        <w:t xml:space="preserve"> </w:t>
      </w:r>
      <w:r>
        <w:rPr>
          <w:lang w:val="sr-Cyrl-BA"/>
        </w:rPr>
        <w:t>покретачи</w:t>
      </w:r>
      <w:r>
        <w:rPr>
          <w:lang w:val="bs-Latn-BA"/>
        </w:rPr>
        <w:t>це</w:t>
      </w:r>
      <w:r w:rsidR="005D25D6" w:rsidRPr="00295637">
        <w:rPr>
          <w:lang w:val="sr-Cyrl-BA"/>
        </w:rPr>
        <w:t xml:space="preserve"> </w:t>
      </w:r>
      <w:r>
        <w:rPr>
          <w:lang w:val="sr-Cyrl-BA"/>
        </w:rPr>
        <w:t>развоја</w:t>
      </w:r>
      <w:r w:rsidR="005D25D6" w:rsidRPr="00295637">
        <w:rPr>
          <w:lang w:val="sr-Cyrl-BA"/>
        </w:rPr>
        <w:t xml:space="preserve"> </w:t>
      </w:r>
      <w:r>
        <w:rPr>
          <w:lang w:val="sr-Cyrl-BA"/>
        </w:rPr>
        <w:t>у</w:t>
      </w:r>
      <w:r w:rsidR="005D25D6" w:rsidRPr="00295637">
        <w:rPr>
          <w:lang w:val="sr-Cyrl-BA"/>
        </w:rPr>
        <w:t xml:space="preserve"> </w:t>
      </w:r>
      <w:r>
        <w:rPr>
          <w:lang w:val="sr-Cyrl-BA"/>
        </w:rPr>
        <w:t>пољопривреди</w:t>
      </w:r>
      <w:r w:rsidR="005D25D6" w:rsidRPr="00295637">
        <w:rPr>
          <w:lang w:val="sr-Cyrl-BA"/>
        </w:rPr>
        <w:t xml:space="preserve"> </w:t>
      </w:r>
      <w:r>
        <w:rPr>
          <w:lang w:val="sr-Cyrl-BA"/>
        </w:rPr>
        <w:t>и</w:t>
      </w:r>
      <w:r w:rsidR="005D25D6" w:rsidRPr="00295637">
        <w:rPr>
          <w:lang w:val="sr-Cyrl-BA"/>
        </w:rPr>
        <w:t xml:space="preserve"> </w:t>
      </w:r>
      <w:r>
        <w:rPr>
          <w:lang w:val="sr-Cyrl-BA"/>
        </w:rPr>
        <w:t>у</w:t>
      </w:r>
      <w:r w:rsidR="005D25D6" w:rsidRPr="00295637">
        <w:rPr>
          <w:lang w:val="sr-Cyrl-BA"/>
        </w:rPr>
        <w:t xml:space="preserve"> </w:t>
      </w:r>
      <w:r>
        <w:rPr>
          <w:lang w:val="sr-Cyrl-BA"/>
        </w:rPr>
        <w:t>руралним</w:t>
      </w:r>
      <w:r w:rsidR="005D25D6" w:rsidRPr="00295637">
        <w:rPr>
          <w:lang w:val="sr-Cyrl-BA"/>
        </w:rPr>
        <w:t xml:space="preserve"> </w:t>
      </w:r>
      <w:r>
        <w:rPr>
          <w:lang w:val="sr-Cyrl-BA"/>
        </w:rPr>
        <w:t>срединама</w:t>
      </w:r>
      <w:r w:rsidR="005D25D6" w:rsidRPr="00295637">
        <w:rPr>
          <w:lang w:val="sr-Cyrl-BA"/>
        </w:rPr>
        <w:t>”</w:t>
      </w:r>
      <w:r w:rsidR="00157077">
        <w:rPr>
          <w:lang w:val="bs-Latn-BA"/>
        </w:rPr>
        <w:t xml:space="preserve"> </w:t>
      </w:r>
      <w:r>
        <w:rPr>
          <w:lang w:val="bs-Latn-BA"/>
        </w:rPr>
        <w:t>који</w:t>
      </w:r>
      <w:r w:rsidR="00157077">
        <w:rPr>
          <w:lang w:val="bs-Latn-BA"/>
        </w:rPr>
        <w:t xml:space="preserve"> </w:t>
      </w:r>
      <w:r>
        <w:rPr>
          <w:lang w:val="bs-Latn-BA"/>
        </w:rPr>
        <w:t>подржавају</w:t>
      </w:r>
      <w:r w:rsidR="00157077">
        <w:rPr>
          <w:lang w:val="bs-Latn-BA"/>
        </w:rPr>
        <w:t xml:space="preserve"> </w:t>
      </w:r>
      <w:r w:rsidR="00AE5809" w:rsidRPr="00AE5809">
        <w:rPr>
          <w:i/>
          <w:iCs/>
          <w:lang w:val="sr-Cyrl-BA"/>
        </w:rPr>
        <w:t xml:space="preserve">UN Women </w:t>
      </w:r>
      <w:r>
        <w:rPr>
          <w:lang w:val="sr-Cyrl-BA"/>
        </w:rPr>
        <w:t>и</w:t>
      </w:r>
      <w:r w:rsidR="005D25D6" w:rsidRPr="00295637">
        <w:rPr>
          <w:lang w:val="sr-Cyrl-BA"/>
        </w:rPr>
        <w:t xml:space="preserve"> </w:t>
      </w:r>
      <w:r w:rsidR="00216930" w:rsidRPr="00216930">
        <w:rPr>
          <w:i/>
          <w:lang w:val="hr-HR"/>
        </w:rPr>
        <w:t>FAO</w:t>
      </w:r>
      <w:r w:rsidR="00157077" w:rsidRPr="00295637">
        <w:rPr>
          <w:lang w:val="sr-Latn-BA"/>
        </w:rPr>
        <w:t xml:space="preserve">. </w:t>
      </w:r>
      <w:r>
        <w:rPr>
          <w:lang w:val="sr-Latn-BA"/>
        </w:rPr>
        <w:t>У</w:t>
      </w:r>
      <w:r w:rsidR="005D25D6" w:rsidRPr="00295637">
        <w:rPr>
          <w:lang w:val="sr-Latn-BA"/>
        </w:rPr>
        <w:t xml:space="preserve"> </w:t>
      </w:r>
      <w:r>
        <w:rPr>
          <w:lang w:val="sr-Latn-BA"/>
        </w:rPr>
        <w:t>оквиру</w:t>
      </w:r>
      <w:r w:rsidR="005D25D6" w:rsidRPr="00295637">
        <w:rPr>
          <w:lang w:val="sr-Latn-BA"/>
        </w:rPr>
        <w:t xml:space="preserve"> </w:t>
      </w:r>
      <w:r>
        <w:rPr>
          <w:lang w:val="sr-Latn-BA"/>
        </w:rPr>
        <w:t>пројекта</w:t>
      </w:r>
      <w:r w:rsidR="005D25D6" w:rsidRPr="00295637">
        <w:rPr>
          <w:lang w:val="sr-Latn-BA"/>
        </w:rPr>
        <w:t xml:space="preserve"> </w:t>
      </w:r>
      <w:r>
        <w:rPr>
          <w:lang w:val="sr-Latn-BA"/>
        </w:rPr>
        <w:t>у</w:t>
      </w:r>
      <w:r w:rsidR="005D25D6" w:rsidRPr="00295637">
        <w:rPr>
          <w:lang w:val="sr-Latn-BA"/>
        </w:rPr>
        <w:t xml:space="preserve"> 2024. </w:t>
      </w:r>
      <w:r>
        <w:rPr>
          <w:lang w:val="sr-Latn-BA"/>
        </w:rPr>
        <w:t>години</w:t>
      </w:r>
      <w:r w:rsidR="009F595D" w:rsidRPr="00295637">
        <w:rPr>
          <w:lang w:val="sr-Latn-BA"/>
        </w:rPr>
        <w:t xml:space="preserve"> </w:t>
      </w:r>
      <w:r>
        <w:rPr>
          <w:rStyle w:val="y2iqfc"/>
          <w:rFonts w:ascii="inherit" w:hAnsi="inherit"/>
        </w:rPr>
        <w:t>реализ</w:t>
      </w:r>
      <w:r w:rsidR="00AE5809">
        <w:rPr>
          <w:rStyle w:val="y2iqfc"/>
          <w:rFonts w:ascii="inherit" w:hAnsi="inherit"/>
          <w:lang w:val="sr-Cyrl-BA"/>
        </w:rPr>
        <w:t>овано</w:t>
      </w:r>
      <w:r w:rsidR="00157077" w:rsidRPr="00BE0900">
        <w:rPr>
          <w:rStyle w:val="y2iqfc"/>
          <w:rFonts w:ascii="inherit" w:hAnsi="inherit"/>
        </w:rPr>
        <w:t xml:space="preserve"> </w:t>
      </w:r>
      <w:r>
        <w:rPr>
          <w:rStyle w:val="y2iqfc"/>
          <w:rFonts w:ascii="inherit" w:hAnsi="inherit"/>
        </w:rPr>
        <w:t>је</w:t>
      </w:r>
      <w:r w:rsidR="00BE0900" w:rsidRPr="00BE0900">
        <w:rPr>
          <w:rStyle w:val="y2iqfc"/>
          <w:rFonts w:ascii="inherit" w:hAnsi="inherit"/>
        </w:rPr>
        <w:t xml:space="preserve"> </w:t>
      </w:r>
      <w:r>
        <w:rPr>
          <w:rStyle w:val="y2iqfc"/>
          <w:rFonts w:ascii="inherit" w:hAnsi="inherit"/>
        </w:rPr>
        <w:t>осам</w:t>
      </w:r>
      <w:r w:rsidR="00157077" w:rsidRPr="00BE0900">
        <w:rPr>
          <w:rStyle w:val="y2iqfc"/>
          <w:rFonts w:ascii="inherit" w:hAnsi="inherit"/>
        </w:rPr>
        <w:t xml:space="preserve"> </w:t>
      </w:r>
      <w:r>
        <w:rPr>
          <w:rStyle w:val="y2iqfc"/>
          <w:rFonts w:ascii="inherit" w:hAnsi="inherit"/>
        </w:rPr>
        <w:t>процјена</w:t>
      </w:r>
      <w:r w:rsidR="00157077" w:rsidRPr="00BE0900">
        <w:rPr>
          <w:rStyle w:val="y2iqfc"/>
          <w:rFonts w:ascii="inherit" w:hAnsi="inherit"/>
        </w:rPr>
        <w:t xml:space="preserve"> </w:t>
      </w:r>
      <w:r>
        <w:rPr>
          <w:rStyle w:val="y2iqfc"/>
          <w:rFonts w:ascii="inherit" w:hAnsi="inherit"/>
        </w:rPr>
        <w:t>које</w:t>
      </w:r>
      <w:r w:rsidR="00157077" w:rsidRPr="00BE0900">
        <w:rPr>
          <w:rStyle w:val="y2iqfc"/>
          <w:rFonts w:ascii="inherit" w:hAnsi="inherit"/>
        </w:rPr>
        <w:t xml:space="preserve"> </w:t>
      </w:r>
      <w:r>
        <w:rPr>
          <w:rStyle w:val="y2iqfc"/>
          <w:rFonts w:ascii="inherit" w:hAnsi="inherit"/>
        </w:rPr>
        <w:t>ће</w:t>
      </w:r>
      <w:r w:rsidR="00157077" w:rsidRPr="00BE0900">
        <w:rPr>
          <w:rStyle w:val="y2iqfc"/>
          <w:rFonts w:ascii="inherit" w:hAnsi="inherit"/>
        </w:rPr>
        <w:t xml:space="preserve"> </w:t>
      </w:r>
      <w:r>
        <w:rPr>
          <w:rStyle w:val="y2iqfc"/>
          <w:rFonts w:ascii="inherit" w:hAnsi="inherit"/>
        </w:rPr>
        <w:t>послужити</w:t>
      </w:r>
      <w:r w:rsidR="00157077" w:rsidRPr="00BE0900">
        <w:rPr>
          <w:rStyle w:val="y2iqfc"/>
          <w:rFonts w:ascii="inherit" w:hAnsi="inherit"/>
        </w:rPr>
        <w:t xml:space="preserve"> </w:t>
      </w:r>
      <w:r>
        <w:rPr>
          <w:rStyle w:val="y2iqfc"/>
          <w:rFonts w:ascii="inherit" w:hAnsi="inherit"/>
        </w:rPr>
        <w:t>као</w:t>
      </w:r>
      <w:r w:rsidR="00157077" w:rsidRPr="00BE0900">
        <w:rPr>
          <w:rStyle w:val="y2iqfc"/>
          <w:rFonts w:ascii="inherit" w:hAnsi="inherit"/>
        </w:rPr>
        <w:t xml:space="preserve"> </w:t>
      </w:r>
      <w:r>
        <w:rPr>
          <w:rStyle w:val="y2iqfc"/>
          <w:rFonts w:ascii="inherit" w:hAnsi="inherit"/>
        </w:rPr>
        <w:t>смјернице</w:t>
      </w:r>
      <w:r w:rsidR="00157077" w:rsidRPr="00BE0900">
        <w:rPr>
          <w:rStyle w:val="y2iqfc"/>
          <w:rFonts w:ascii="inherit" w:hAnsi="inherit"/>
        </w:rPr>
        <w:t xml:space="preserve"> </w:t>
      </w:r>
      <w:r>
        <w:rPr>
          <w:rStyle w:val="y2iqfc"/>
          <w:rFonts w:ascii="inherit" w:hAnsi="inherit"/>
        </w:rPr>
        <w:t>за</w:t>
      </w:r>
      <w:r w:rsidR="00157077" w:rsidRPr="00BE0900">
        <w:rPr>
          <w:rStyle w:val="y2iqfc"/>
          <w:rFonts w:ascii="inherit" w:hAnsi="inherit"/>
        </w:rPr>
        <w:t xml:space="preserve"> </w:t>
      </w:r>
      <w:r>
        <w:rPr>
          <w:rStyle w:val="y2iqfc"/>
          <w:rFonts w:ascii="inherit" w:hAnsi="inherit"/>
        </w:rPr>
        <w:t>оснаживање</w:t>
      </w:r>
      <w:r w:rsidR="00157077" w:rsidRPr="00BE0900">
        <w:rPr>
          <w:rStyle w:val="y2iqfc"/>
          <w:rFonts w:ascii="inherit" w:hAnsi="inherit"/>
        </w:rPr>
        <w:t xml:space="preserve"> </w:t>
      </w:r>
      <w:r>
        <w:rPr>
          <w:rStyle w:val="y2iqfc"/>
          <w:rFonts w:ascii="inherit" w:hAnsi="inherit"/>
        </w:rPr>
        <w:t>жена</w:t>
      </w:r>
      <w:r w:rsidR="00157077" w:rsidRPr="00BE0900">
        <w:rPr>
          <w:rStyle w:val="y2iqfc"/>
          <w:rFonts w:ascii="inherit" w:hAnsi="inherit"/>
        </w:rPr>
        <w:t xml:space="preserve"> </w:t>
      </w:r>
      <w:r>
        <w:rPr>
          <w:rStyle w:val="y2iqfc"/>
          <w:rFonts w:ascii="inherit" w:hAnsi="inherit"/>
        </w:rPr>
        <w:t>у</w:t>
      </w:r>
      <w:r w:rsidR="00157077" w:rsidRPr="00BE0900">
        <w:rPr>
          <w:rStyle w:val="y2iqfc"/>
          <w:rFonts w:ascii="inherit" w:hAnsi="inherit"/>
        </w:rPr>
        <w:t xml:space="preserve"> </w:t>
      </w:r>
      <w:r>
        <w:rPr>
          <w:rStyle w:val="y2iqfc"/>
          <w:rFonts w:ascii="inherit" w:hAnsi="inherit"/>
        </w:rPr>
        <w:t>руралним</w:t>
      </w:r>
      <w:r w:rsidR="00157077" w:rsidRPr="00BE0900">
        <w:rPr>
          <w:rStyle w:val="y2iqfc"/>
          <w:rFonts w:ascii="inherit" w:hAnsi="inherit"/>
        </w:rPr>
        <w:t xml:space="preserve"> </w:t>
      </w:r>
      <w:r>
        <w:rPr>
          <w:rStyle w:val="y2iqfc"/>
          <w:rFonts w:ascii="inherit" w:hAnsi="inherit"/>
        </w:rPr>
        <w:t>областима</w:t>
      </w:r>
      <w:r w:rsidR="00157077" w:rsidRPr="00BE0900">
        <w:rPr>
          <w:rStyle w:val="y2iqfc"/>
          <w:rFonts w:ascii="inherit" w:hAnsi="inherit"/>
        </w:rPr>
        <w:t xml:space="preserve">, </w:t>
      </w:r>
      <w:r>
        <w:rPr>
          <w:rStyle w:val="y2iqfc"/>
          <w:rFonts w:ascii="inherit" w:hAnsi="inherit"/>
        </w:rPr>
        <w:t>са</w:t>
      </w:r>
      <w:r w:rsidR="00157077" w:rsidRPr="00BE0900">
        <w:rPr>
          <w:rStyle w:val="y2iqfc"/>
          <w:rFonts w:ascii="inherit" w:hAnsi="inherit"/>
        </w:rPr>
        <w:t xml:space="preserve"> </w:t>
      </w:r>
      <w:r>
        <w:rPr>
          <w:rStyle w:val="y2iqfc"/>
          <w:rFonts w:ascii="inherit" w:hAnsi="inherit"/>
        </w:rPr>
        <w:t>фокусом</w:t>
      </w:r>
      <w:r w:rsidR="00157077" w:rsidRPr="00BE0900">
        <w:rPr>
          <w:rStyle w:val="y2iqfc"/>
          <w:rFonts w:ascii="inherit" w:hAnsi="inherit"/>
        </w:rPr>
        <w:t xml:space="preserve"> </w:t>
      </w:r>
      <w:r>
        <w:rPr>
          <w:rStyle w:val="y2iqfc"/>
          <w:rFonts w:ascii="inherit" w:hAnsi="inherit"/>
        </w:rPr>
        <w:t>на</w:t>
      </w:r>
      <w:r w:rsidR="00157077" w:rsidRPr="00BE0900">
        <w:rPr>
          <w:rStyle w:val="y2iqfc"/>
          <w:rFonts w:ascii="inherit" w:hAnsi="inherit"/>
        </w:rPr>
        <w:t xml:space="preserve"> </w:t>
      </w:r>
      <w:r>
        <w:rPr>
          <w:rStyle w:val="y2iqfc"/>
          <w:rFonts w:ascii="inherit" w:hAnsi="inherit"/>
        </w:rPr>
        <w:t>потребе</w:t>
      </w:r>
      <w:r w:rsidR="00157077" w:rsidRPr="00BE0900">
        <w:rPr>
          <w:rStyle w:val="y2iqfc"/>
          <w:rFonts w:ascii="inherit" w:hAnsi="inherit"/>
        </w:rPr>
        <w:t xml:space="preserve"> </w:t>
      </w:r>
      <w:r>
        <w:rPr>
          <w:rStyle w:val="y2iqfc"/>
          <w:rFonts w:ascii="inherit" w:hAnsi="inherit"/>
        </w:rPr>
        <w:t>и</w:t>
      </w:r>
      <w:r w:rsidR="00157077" w:rsidRPr="00BE0900">
        <w:rPr>
          <w:rStyle w:val="y2iqfc"/>
          <w:rFonts w:ascii="inherit" w:hAnsi="inherit"/>
        </w:rPr>
        <w:t xml:space="preserve"> </w:t>
      </w:r>
      <w:r>
        <w:rPr>
          <w:rStyle w:val="y2iqfc"/>
          <w:rFonts w:ascii="inherit" w:hAnsi="inherit"/>
        </w:rPr>
        <w:t>капацитете</w:t>
      </w:r>
      <w:r w:rsidR="00157077" w:rsidRPr="00BE0900">
        <w:rPr>
          <w:rStyle w:val="y2iqfc"/>
          <w:rFonts w:ascii="inherit" w:hAnsi="inherit"/>
        </w:rPr>
        <w:t xml:space="preserve"> </w:t>
      </w:r>
      <w:r>
        <w:rPr>
          <w:rStyle w:val="y2iqfc"/>
          <w:rFonts w:ascii="inherit" w:hAnsi="inherit"/>
        </w:rPr>
        <w:t>жена</w:t>
      </w:r>
      <w:r w:rsidR="00157077" w:rsidRPr="00BE0900">
        <w:rPr>
          <w:rStyle w:val="y2iqfc"/>
          <w:rFonts w:ascii="inherit" w:hAnsi="inherit"/>
        </w:rPr>
        <w:t xml:space="preserve">. </w:t>
      </w:r>
      <w:r>
        <w:rPr>
          <w:rStyle w:val="y2iqfc"/>
          <w:rFonts w:ascii="inherit" w:hAnsi="inherit"/>
        </w:rPr>
        <w:t>Око</w:t>
      </w:r>
      <w:r w:rsidR="00157077" w:rsidRPr="00BE0900">
        <w:rPr>
          <w:rStyle w:val="y2iqfc"/>
          <w:rFonts w:ascii="inherit" w:hAnsi="inherit"/>
        </w:rPr>
        <w:t xml:space="preserve"> 200 </w:t>
      </w:r>
      <w:r>
        <w:rPr>
          <w:rStyle w:val="y2iqfc"/>
          <w:rFonts w:ascii="inherit" w:hAnsi="inherit"/>
        </w:rPr>
        <w:t>учесница</w:t>
      </w:r>
      <w:r w:rsidR="00157077" w:rsidRPr="00BE0900">
        <w:rPr>
          <w:rStyle w:val="y2iqfc"/>
          <w:rFonts w:ascii="inherit" w:hAnsi="inherit"/>
        </w:rPr>
        <w:t xml:space="preserve"> </w:t>
      </w:r>
      <w:r>
        <w:rPr>
          <w:rStyle w:val="y2iqfc"/>
          <w:rFonts w:ascii="inherit" w:hAnsi="inherit"/>
        </w:rPr>
        <w:t>из</w:t>
      </w:r>
      <w:r w:rsidR="00157077" w:rsidRPr="00BE0900">
        <w:rPr>
          <w:rStyle w:val="y2iqfc"/>
          <w:rFonts w:ascii="inherit" w:hAnsi="inherit"/>
        </w:rPr>
        <w:t xml:space="preserve"> </w:t>
      </w:r>
      <w:r>
        <w:rPr>
          <w:rStyle w:val="y2iqfc"/>
          <w:rFonts w:ascii="inherit" w:hAnsi="inherit"/>
        </w:rPr>
        <w:t>јавног</w:t>
      </w:r>
      <w:r w:rsidR="00157077" w:rsidRPr="00BE0900">
        <w:rPr>
          <w:rStyle w:val="y2iqfc"/>
          <w:rFonts w:ascii="inherit" w:hAnsi="inherit"/>
        </w:rPr>
        <w:t xml:space="preserve"> </w:t>
      </w:r>
      <w:r>
        <w:rPr>
          <w:rStyle w:val="y2iqfc"/>
          <w:rFonts w:ascii="inherit" w:hAnsi="inherit"/>
        </w:rPr>
        <w:t>и</w:t>
      </w:r>
      <w:r w:rsidR="00157077" w:rsidRPr="00BE0900">
        <w:rPr>
          <w:rStyle w:val="y2iqfc"/>
          <w:rFonts w:ascii="inherit" w:hAnsi="inherit"/>
        </w:rPr>
        <w:t xml:space="preserve"> </w:t>
      </w:r>
      <w:r>
        <w:rPr>
          <w:rStyle w:val="y2iqfc"/>
          <w:rFonts w:ascii="inherit" w:hAnsi="inherit"/>
        </w:rPr>
        <w:t>приватног</w:t>
      </w:r>
      <w:r w:rsidR="00157077" w:rsidRPr="00BE0900">
        <w:rPr>
          <w:rStyle w:val="y2iqfc"/>
          <w:rFonts w:ascii="inherit" w:hAnsi="inherit"/>
        </w:rPr>
        <w:t xml:space="preserve"> </w:t>
      </w:r>
      <w:r>
        <w:rPr>
          <w:rStyle w:val="y2iqfc"/>
          <w:rFonts w:ascii="inherit" w:hAnsi="inherit"/>
        </w:rPr>
        <w:t>сектора</w:t>
      </w:r>
      <w:r w:rsidR="00157077" w:rsidRPr="00BE0900">
        <w:rPr>
          <w:rStyle w:val="y2iqfc"/>
          <w:rFonts w:ascii="inherit" w:hAnsi="inherit"/>
        </w:rPr>
        <w:t xml:space="preserve">, </w:t>
      </w:r>
      <w:r>
        <w:rPr>
          <w:rStyle w:val="y2iqfc"/>
          <w:rFonts w:ascii="inherit" w:hAnsi="inherit"/>
        </w:rPr>
        <w:t>укључујући</w:t>
      </w:r>
      <w:r w:rsidR="00157077" w:rsidRPr="00BE0900">
        <w:rPr>
          <w:rStyle w:val="y2iqfc"/>
          <w:rFonts w:ascii="inherit" w:hAnsi="inherit"/>
        </w:rPr>
        <w:t xml:space="preserve"> </w:t>
      </w:r>
      <w:r>
        <w:rPr>
          <w:rStyle w:val="y2iqfc"/>
          <w:rFonts w:ascii="inherit" w:hAnsi="inherit"/>
        </w:rPr>
        <w:t>преко</w:t>
      </w:r>
      <w:r w:rsidR="00157077" w:rsidRPr="00BE0900">
        <w:rPr>
          <w:rStyle w:val="y2iqfc"/>
          <w:rFonts w:ascii="inherit" w:hAnsi="inherit"/>
        </w:rPr>
        <w:t xml:space="preserve"> 70 </w:t>
      </w:r>
      <w:r>
        <w:rPr>
          <w:rStyle w:val="y2iqfc"/>
          <w:rFonts w:ascii="inherit" w:hAnsi="inherit"/>
        </w:rPr>
        <w:t>жена</w:t>
      </w:r>
      <w:r w:rsidR="00157077" w:rsidRPr="00BE0900">
        <w:rPr>
          <w:rStyle w:val="y2iqfc"/>
          <w:rFonts w:ascii="inherit" w:hAnsi="inherit"/>
        </w:rPr>
        <w:t xml:space="preserve"> </w:t>
      </w:r>
      <w:r>
        <w:rPr>
          <w:rStyle w:val="y2iqfc"/>
          <w:rFonts w:ascii="inherit" w:hAnsi="inherit"/>
        </w:rPr>
        <w:t>у</w:t>
      </w:r>
      <w:r w:rsidR="00157077" w:rsidRPr="00BE0900">
        <w:rPr>
          <w:rStyle w:val="y2iqfc"/>
          <w:rFonts w:ascii="inherit" w:hAnsi="inherit"/>
        </w:rPr>
        <w:t xml:space="preserve"> </w:t>
      </w:r>
      <w:r>
        <w:rPr>
          <w:rStyle w:val="y2iqfc"/>
          <w:rFonts w:ascii="inherit" w:hAnsi="inherit"/>
        </w:rPr>
        <w:t>руралним</w:t>
      </w:r>
      <w:r w:rsidR="00157077" w:rsidRPr="00BE0900">
        <w:rPr>
          <w:rStyle w:val="y2iqfc"/>
          <w:rFonts w:ascii="inherit" w:hAnsi="inherit"/>
        </w:rPr>
        <w:t xml:space="preserve"> </w:t>
      </w:r>
      <w:r>
        <w:rPr>
          <w:rStyle w:val="y2iqfc"/>
          <w:rFonts w:ascii="inherit" w:hAnsi="inherit"/>
        </w:rPr>
        <w:t>областима</w:t>
      </w:r>
      <w:r w:rsidR="00157077" w:rsidRPr="00BE0900">
        <w:rPr>
          <w:rStyle w:val="y2iqfc"/>
          <w:rFonts w:ascii="inherit" w:hAnsi="inherit"/>
        </w:rPr>
        <w:t xml:space="preserve">, </w:t>
      </w:r>
      <w:r>
        <w:rPr>
          <w:rStyle w:val="y2iqfc"/>
          <w:rFonts w:ascii="inherit" w:hAnsi="inherit"/>
        </w:rPr>
        <w:t>унаприједило</w:t>
      </w:r>
      <w:r w:rsidR="00157077" w:rsidRPr="00BE0900">
        <w:rPr>
          <w:rStyle w:val="y2iqfc"/>
          <w:rFonts w:ascii="inherit" w:hAnsi="inherit"/>
        </w:rPr>
        <w:t xml:space="preserve"> </w:t>
      </w:r>
      <w:r>
        <w:rPr>
          <w:rStyle w:val="y2iqfc"/>
          <w:rFonts w:ascii="inherit" w:hAnsi="inherit"/>
        </w:rPr>
        <w:t>је</w:t>
      </w:r>
      <w:r w:rsidR="00157077" w:rsidRPr="00BE0900">
        <w:rPr>
          <w:rStyle w:val="y2iqfc"/>
          <w:rFonts w:ascii="inherit" w:hAnsi="inherit"/>
        </w:rPr>
        <w:t xml:space="preserve"> </w:t>
      </w:r>
      <w:r>
        <w:rPr>
          <w:rStyle w:val="y2iqfc"/>
          <w:rFonts w:ascii="inherit" w:hAnsi="inherit"/>
        </w:rPr>
        <w:t>своја</w:t>
      </w:r>
      <w:r w:rsidR="00157077" w:rsidRPr="00BE0900">
        <w:rPr>
          <w:rStyle w:val="y2iqfc"/>
          <w:rFonts w:ascii="inherit" w:hAnsi="inherit"/>
        </w:rPr>
        <w:t xml:space="preserve"> </w:t>
      </w:r>
      <w:r>
        <w:rPr>
          <w:rStyle w:val="y2iqfc"/>
          <w:rFonts w:ascii="inherit" w:hAnsi="inherit"/>
        </w:rPr>
        <w:t>знања</w:t>
      </w:r>
      <w:r w:rsidR="00157077" w:rsidRPr="00BE0900">
        <w:rPr>
          <w:rStyle w:val="y2iqfc"/>
          <w:rFonts w:ascii="inherit" w:hAnsi="inherit"/>
        </w:rPr>
        <w:t xml:space="preserve"> </w:t>
      </w:r>
      <w:r>
        <w:rPr>
          <w:rStyle w:val="y2iqfc"/>
          <w:rFonts w:ascii="inherit" w:hAnsi="inherit"/>
        </w:rPr>
        <w:t>и</w:t>
      </w:r>
      <w:r w:rsidR="00157077" w:rsidRPr="00BE0900">
        <w:rPr>
          <w:rStyle w:val="y2iqfc"/>
          <w:rFonts w:ascii="inherit" w:hAnsi="inherit"/>
        </w:rPr>
        <w:t xml:space="preserve"> </w:t>
      </w:r>
      <w:r>
        <w:rPr>
          <w:rStyle w:val="y2iqfc"/>
          <w:rFonts w:ascii="inherit" w:hAnsi="inherit"/>
        </w:rPr>
        <w:t>вјештине</w:t>
      </w:r>
      <w:r w:rsidR="00157077" w:rsidRPr="00BE0900">
        <w:rPr>
          <w:rStyle w:val="y2iqfc"/>
          <w:rFonts w:ascii="inherit" w:hAnsi="inherit"/>
        </w:rPr>
        <w:t xml:space="preserve"> </w:t>
      </w:r>
      <w:r>
        <w:rPr>
          <w:rStyle w:val="y2iqfc"/>
          <w:rFonts w:ascii="inherit" w:hAnsi="inherit"/>
        </w:rPr>
        <w:t>на</w:t>
      </w:r>
      <w:r w:rsidR="00157077" w:rsidRPr="00BE0900">
        <w:rPr>
          <w:rStyle w:val="y2iqfc"/>
          <w:rFonts w:ascii="inherit" w:hAnsi="inherit"/>
        </w:rPr>
        <w:t xml:space="preserve"> </w:t>
      </w:r>
      <w:r>
        <w:rPr>
          <w:rStyle w:val="y2iqfc"/>
          <w:rFonts w:ascii="inherit" w:hAnsi="inherit"/>
        </w:rPr>
        <w:t>тему</w:t>
      </w:r>
      <w:r w:rsidR="00157077" w:rsidRPr="00BE0900">
        <w:rPr>
          <w:rStyle w:val="y2iqfc"/>
          <w:rFonts w:ascii="inherit" w:hAnsi="inherit"/>
        </w:rPr>
        <w:t xml:space="preserve"> </w:t>
      </w:r>
      <w:r w:rsidR="00D5024B">
        <w:rPr>
          <w:rStyle w:val="y2iqfc"/>
          <w:rFonts w:ascii="inherit" w:hAnsi="inherit"/>
          <w:lang w:val="sr-Cyrl-BA"/>
        </w:rPr>
        <w:t>„</w:t>
      </w:r>
      <w:r w:rsidR="00D5024B">
        <w:rPr>
          <w:lang w:val="sr-Cyrl-BA"/>
        </w:rPr>
        <w:t>Р</w:t>
      </w:r>
      <w:r>
        <w:t>авноправност</w:t>
      </w:r>
      <w:r w:rsidR="00157077" w:rsidRPr="00BE0900">
        <w:t xml:space="preserve"> </w:t>
      </w:r>
      <w:r>
        <w:t>полова</w:t>
      </w:r>
      <w:r w:rsidR="00157077" w:rsidRPr="00BE0900">
        <w:rPr>
          <w:rStyle w:val="y2iqfc"/>
          <w:rFonts w:ascii="inherit" w:hAnsi="inherit"/>
        </w:rPr>
        <w:t xml:space="preserve"> </w:t>
      </w:r>
      <w:r>
        <w:rPr>
          <w:rStyle w:val="y2iqfc"/>
          <w:rFonts w:ascii="inherit" w:hAnsi="inherit"/>
        </w:rPr>
        <w:t>у</w:t>
      </w:r>
      <w:r w:rsidR="00157077" w:rsidRPr="00BE0900">
        <w:rPr>
          <w:rStyle w:val="y2iqfc"/>
          <w:rFonts w:ascii="inherit" w:hAnsi="inherit"/>
        </w:rPr>
        <w:t xml:space="preserve"> </w:t>
      </w:r>
      <w:r>
        <w:rPr>
          <w:rStyle w:val="y2iqfc"/>
          <w:rFonts w:ascii="inherit" w:hAnsi="inherit"/>
        </w:rPr>
        <w:t>пољопривреди</w:t>
      </w:r>
      <w:r w:rsidR="00157077" w:rsidRPr="00BE0900">
        <w:rPr>
          <w:rStyle w:val="y2iqfc"/>
          <w:rFonts w:ascii="inherit" w:hAnsi="inherit"/>
        </w:rPr>
        <w:t xml:space="preserve"> </w:t>
      </w:r>
      <w:r>
        <w:rPr>
          <w:rStyle w:val="y2iqfc"/>
          <w:rFonts w:ascii="inherit" w:hAnsi="inherit"/>
        </w:rPr>
        <w:t>и</w:t>
      </w:r>
      <w:r w:rsidR="00157077" w:rsidRPr="00BE0900">
        <w:rPr>
          <w:rStyle w:val="y2iqfc"/>
          <w:rFonts w:ascii="inherit" w:hAnsi="inherit"/>
        </w:rPr>
        <w:t xml:space="preserve"> </w:t>
      </w:r>
      <w:r>
        <w:rPr>
          <w:rStyle w:val="y2iqfc"/>
          <w:rFonts w:ascii="inherit" w:hAnsi="inherit"/>
        </w:rPr>
        <w:t>политици</w:t>
      </w:r>
      <w:r w:rsidR="00157077" w:rsidRPr="00BE0900">
        <w:rPr>
          <w:rStyle w:val="y2iqfc"/>
          <w:rFonts w:ascii="inherit" w:hAnsi="inherit"/>
        </w:rPr>
        <w:t xml:space="preserve"> </w:t>
      </w:r>
      <w:r>
        <w:rPr>
          <w:rStyle w:val="y2iqfc"/>
          <w:rFonts w:ascii="inherit" w:hAnsi="inherit"/>
        </w:rPr>
        <w:t>руралног</w:t>
      </w:r>
      <w:r w:rsidR="00157077" w:rsidRPr="00BE0900">
        <w:rPr>
          <w:rStyle w:val="y2iqfc"/>
          <w:rFonts w:ascii="inherit" w:hAnsi="inherit"/>
        </w:rPr>
        <w:t xml:space="preserve"> </w:t>
      </w:r>
      <w:r>
        <w:rPr>
          <w:rStyle w:val="y2iqfc"/>
          <w:rFonts w:ascii="inherit" w:hAnsi="inherit"/>
        </w:rPr>
        <w:t>развоја</w:t>
      </w:r>
      <w:r w:rsidR="00157077" w:rsidRPr="00BE0900">
        <w:rPr>
          <w:rStyle w:val="y2iqfc"/>
          <w:rFonts w:ascii="inherit" w:hAnsi="inherit"/>
        </w:rPr>
        <w:t xml:space="preserve">, </w:t>
      </w:r>
      <w:r>
        <w:rPr>
          <w:rStyle w:val="y2iqfc"/>
          <w:rFonts w:ascii="inherit" w:hAnsi="inherit"/>
        </w:rPr>
        <w:t>приступ</w:t>
      </w:r>
      <w:r w:rsidR="00157077" w:rsidRPr="00BE0900">
        <w:rPr>
          <w:rStyle w:val="y2iqfc"/>
          <w:rFonts w:ascii="inherit" w:hAnsi="inherit"/>
        </w:rPr>
        <w:t xml:space="preserve"> </w:t>
      </w:r>
      <w:r>
        <w:rPr>
          <w:rStyle w:val="y2iqfc"/>
          <w:rFonts w:ascii="inherit" w:hAnsi="inherit"/>
        </w:rPr>
        <w:t>финансирању</w:t>
      </w:r>
      <w:r w:rsidR="00157077" w:rsidRPr="00BE0900">
        <w:rPr>
          <w:rStyle w:val="y2iqfc"/>
          <w:rFonts w:ascii="inherit" w:hAnsi="inherit"/>
        </w:rPr>
        <w:t xml:space="preserve">, </w:t>
      </w:r>
      <w:r>
        <w:rPr>
          <w:rStyle w:val="y2iqfc"/>
          <w:rFonts w:ascii="inherit" w:hAnsi="inherit"/>
        </w:rPr>
        <w:t>пољопривреда</w:t>
      </w:r>
      <w:r w:rsidR="00157077" w:rsidRPr="00BE0900">
        <w:rPr>
          <w:rStyle w:val="y2iqfc"/>
          <w:rFonts w:ascii="inherit" w:hAnsi="inherit"/>
        </w:rPr>
        <w:t xml:space="preserve"> </w:t>
      </w:r>
      <w:r>
        <w:rPr>
          <w:rStyle w:val="y2iqfc"/>
          <w:rFonts w:ascii="inherit" w:hAnsi="inherit"/>
        </w:rPr>
        <w:t>отпорна</w:t>
      </w:r>
      <w:r w:rsidR="00157077" w:rsidRPr="00BE0900">
        <w:rPr>
          <w:rStyle w:val="y2iqfc"/>
          <w:rFonts w:ascii="inherit" w:hAnsi="inherit"/>
        </w:rPr>
        <w:t xml:space="preserve"> </w:t>
      </w:r>
      <w:r>
        <w:rPr>
          <w:rStyle w:val="y2iqfc"/>
          <w:rFonts w:ascii="inherit" w:hAnsi="inherit"/>
        </w:rPr>
        <w:t>на</w:t>
      </w:r>
      <w:r w:rsidR="00157077" w:rsidRPr="00BE0900">
        <w:rPr>
          <w:rStyle w:val="y2iqfc"/>
          <w:rFonts w:ascii="inherit" w:hAnsi="inherit"/>
        </w:rPr>
        <w:t xml:space="preserve"> </w:t>
      </w:r>
      <w:r>
        <w:rPr>
          <w:rStyle w:val="y2iqfc"/>
          <w:rFonts w:ascii="inherit" w:hAnsi="inherit"/>
        </w:rPr>
        <w:t>климатске</w:t>
      </w:r>
      <w:r w:rsidR="00157077" w:rsidRPr="00BE0900">
        <w:rPr>
          <w:rStyle w:val="y2iqfc"/>
          <w:rFonts w:ascii="inherit" w:hAnsi="inherit"/>
        </w:rPr>
        <w:t xml:space="preserve"> </w:t>
      </w:r>
      <w:r>
        <w:rPr>
          <w:rStyle w:val="y2iqfc"/>
          <w:rFonts w:ascii="inherit" w:hAnsi="inherit"/>
        </w:rPr>
        <w:t>промјене</w:t>
      </w:r>
      <w:r w:rsidR="00157077" w:rsidRPr="00BE0900">
        <w:rPr>
          <w:rStyle w:val="y2iqfc"/>
          <w:rFonts w:ascii="inherit" w:hAnsi="inherit"/>
        </w:rPr>
        <w:t xml:space="preserve">, </w:t>
      </w:r>
      <w:r>
        <w:rPr>
          <w:rStyle w:val="y2iqfc"/>
          <w:rFonts w:ascii="inherit" w:hAnsi="inherit"/>
        </w:rPr>
        <w:t>дигиталне</w:t>
      </w:r>
      <w:r w:rsidR="00157077" w:rsidRPr="00BE0900">
        <w:rPr>
          <w:rStyle w:val="y2iqfc"/>
          <w:rFonts w:ascii="inherit" w:hAnsi="inherit"/>
        </w:rPr>
        <w:t xml:space="preserve"> </w:t>
      </w:r>
      <w:r>
        <w:rPr>
          <w:rStyle w:val="y2iqfc"/>
          <w:rFonts w:ascii="inherit" w:hAnsi="inherit"/>
        </w:rPr>
        <w:t>технологије</w:t>
      </w:r>
      <w:r w:rsidR="00157077" w:rsidRPr="00BE0900">
        <w:rPr>
          <w:rStyle w:val="y2iqfc"/>
          <w:rFonts w:ascii="inherit" w:hAnsi="inherit"/>
        </w:rPr>
        <w:t xml:space="preserve"> </w:t>
      </w:r>
      <w:r>
        <w:rPr>
          <w:rStyle w:val="y2iqfc"/>
          <w:rFonts w:ascii="inherit" w:hAnsi="inherit"/>
        </w:rPr>
        <w:t>и</w:t>
      </w:r>
      <w:r w:rsidR="00157077" w:rsidRPr="00BE0900">
        <w:rPr>
          <w:rStyle w:val="y2iqfc"/>
          <w:rFonts w:ascii="inherit" w:hAnsi="inherit"/>
        </w:rPr>
        <w:t xml:space="preserve"> </w:t>
      </w:r>
      <w:r>
        <w:rPr>
          <w:rStyle w:val="y2iqfc"/>
          <w:rFonts w:ascii="inherit" w:hAnsi="inherit"/>
        </w:rPr>
        <w:t>управљање</w:t>
      </w:r>
      <w:r w:rsidR="00157077" w:rsidRPr="00BE0900">
        <w:rPr>
          <w:rStyle w:val="y2iqfc"/>
          <w:rFonts w:ascii="inherit" w:hAnsi="inherit"/>
        </w:rPr>
        <w:t xml:space="preserve"> </w:t>
      </w:r>
      <w:r>
        <w:rPr>
          <w:rStyle w:val="y2iqfc"/>
          <w:rFonts w:ascii="inherit" w:hAnsi="inherit"/>
        </w:rPr>
        <w:t>агробизнисом</w:t>
      </w:r>
      <w:r w:rsidR="00D5024B">
        <w:rPr>
          <w:rStyle w:val="y2iqfc"/>
          <w:rFonts w:ascii="inherit" w:hAnsi="inherit"/>
          <w:lang w:val="sr-Cyrl-BA"/>
        </w:rPr>
        <w:t>“</w:t>
      </w:r>
      <w:r w:rsidR="00157077" w:rsidRPr="00BE0900">
        <w:rPr>
          <w:rStyle w:val="y2iqfc"/>
          <w:rFonts w:ascii="inherit" w:hAnsi="inherit"/>
        </w:rPr>
        <w:t>.</w:t>
      </w:r>
      <w:r w:rsidR="00157077" w:rsidRPr="00BE0900" w:rsidDel="00157077">
        <w:rPr>
          <w:lang w:val="sr-Cyrl-BA"/>
        </w:rPr>
        <w:t xml:space="preserve"> </w:t>
      </w:r>
    </w:p>
    <w:p w:rsidR="00C671BC" w:rsidRPr="00295637" w:rsidRDefault="00C671BC" w:rsidP="0086268D">
      <w:pPr>
        <w:pStyle w:val="NormalWeb"/>
        <w:spacing w:before="0" w:beforeAutospacing="0" w:after="0" w:afterAutospacing="0"/>
        <w:jc w:val="both"/>
        <w:rPr>
          <w:lang w:val="bs-Latn-BA"/>
        </w:rPr>
      </w:pPr>
    </w:p>
    <w:p w:rsidR="00356C2C" w:rsidRPr="00295637" w:rsidRDefault="00870C36" w:rsidP="00DA7F17">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DA7F17">
        <w:rPr>
          <w:rFonts w:ascii="Times New Roman" w:hAnsi="Times New Roman"/>
          <w:szCs w:val="24"/>
          <w:lang w:val="bs-Latn-BA"/>
        </w:rPr>
        <w:t xml:space="preserve"> 3.7. </w:t>
      </w:r>
      <w:r w:rsidR="00C6214E">
        <w:rPr>
          <w:rFonts w:ascii="Times New Roman" w:hAnsi="Times New Roman"/>
          <w:szCs w:val="24"/>
          <w:lang w:val="bs-Latn-BA"/>
        </w:rPr>
        <w:t>Организ</w:t>
      </w:r>
      <w:r>
        <w:rPr>
          <w:rFonts w:ascii="Times New Roman" w:hAnsi="Times New Roman"/>
          <w:szCs w:val="24"/>
          <w:lang w:val="sr-Cyrl-BA"/>
        </w:rPr>
        <w:t>овање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обука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жене</w:t>
      </w:r>
      <w:r w:rsidR="00356C2C" w:rsidRPr="00295637">
        <w:rPr>
          <w:rFonts w:ascii="Times New Roman" w:hAnsi="Times New Roman"/>
          <w:szCs w:val="24"/>
          <w:lang w:val="bs-Latn-BA"/>
        </w:rPr>
        <w:t xml:space="preserve">, </w:t>
      </w:r>
      <w:r>
        <w:rPr>
          <w:rFonts w:ascii="Times New Roman" w:hAnsi="Times New Roman"/>
          <w:szCs w:val="24"/>
          <w:lang w:val="sr-Cyrl-BA"/>
        </w:rPr>
        <w:t>с</w:t>
      </w:r>
      <w:r w:rsidR="00356C2C" w:rsidRPr="00295637">
        <w:rPr>
          <w:rFonts w:ascii="Times New Roman" w:hAnsi="Times New Roman"/>
          <w:szCs w:val="24"/>
          <w:lang w:val="bs-Latn-BA"/>
        </w:rPr>
        <w:t xml:space="preserve"> </w:t>
      </w:r>
      <w:r w:rsidR="00C6214E">
        <w:rPr>
          <w:rFonts w:ascii="Times New Roman" w:hAnsi="Times New Roman"/>
          <w:szCs w:val="24"/>
          <w:lang w:val="bs-Latn-BA"/>
        </w:rPr>
        <w:t>циљ</w:t>
      </w:r>
      <w:r>
        <w:rPr>
          <w:rFonts w:ascii="Times New Roman" w:hAnsi="Times New Roman"/>
          <w:szCs w:val="24"/>
          <w:lang w:val="sr-Cyrl-BA"/>
        </w:rPr>
        <w:t>ем</w:t>
      </w:r>
      <w:r w:rsidR="00356C2C" w:rsidRPr="00295637">
        <w:rPr>
          <w:rFonts w:ascii="Times New Roman" w:hAnsi="Times New Roman"/>
          <w:szCs w:val="24"/>
          <w:lang w:val="bs-Latn-BA"/>
        </w:rPr>
        <w:t xml:space="preserve"> </w:t>
      </w:r>
      <w:r w:rsidR="00C6214E">
        <w:rPr>
          <w:rFonts w:ascii="Times New Roman" w:hAnsi="Times New Roman"/>
          <w:szCs w:val="24"/>
          <w:lang w:val="bs-Latn-BA"/>
        </w:rPr>
        <w:t>оспособљавања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тражење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избор</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добијање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адекватног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запослења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преквалификацију</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самозапошљавање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покретање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развијање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предузетништва</w:t>
      </w:r>
      <w:r w:rsidR="00356C2C" w:rsidRPr="00295637">
        <w:rPr>
          <w:rFonts w:ascii="Times New Roman" w:hAnsi="Times New Roman"/>
          <w:szCs w:val="24"/>
          <w:lang w:val="bs-Latn-BA"/>
        </w:rPr>
        <w:t>.</w:t>
      </w:r>
    </w:p>
    <w:p w:rsidR="00EE4F95" w:rsidRPr="00295637" w:rsidRDefault="00EE4F95" w:rsidP="0086268D">
      <w:pPr>
        <w:tabs>
          <w:tab w:val="left" w:pos="284"/>
          <w:tab w:val="left" w:pos="630"/>
          <w:tab w:val="left" w:pos="1080"/>
        </w:tabs>
        <w:jc w:val="both"/>
        <w:rPr>
          <w:rFonts w:ascii="Times New Roman" w:hAnsi="Times New Roman"/>
          <w:szCs w:val="24"/>
          <w:lang w:val="bs-Latn-BA"/>
        </w:rPr>
      </w:pPr>
    </w:p>
    <w:p w:rsidR="0026752C"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АРЗ</w:t>
      </w:r>
      <w:r w:rsidR="004F4ED0" w:rsidRPr="00295637">
        <w:rPr>
          <w:rFonts w:ascii="Times New Roman" w:hAnsi="Times New Roman"/>
          <w:szCs w:val="24"/>
          <w:lang w:val="bs-Latn-BA"/>
        </w:rPr>
        <w:t xml:space="preserve"> </w:t>
      </w:r>
      <w:r>
        <w:rPr>
          <w:rFonts w:ascii="Times New Roman" w:hAnsi="Times New Roman"/>
          <w:szCs w:val="24"/>
          <w:lang w:val="bs-Latn-BA"/>
        </w:rPr>
        <w:t>БиХ</w:t>
      </w:r>
      <w:r w:rsidR="00834BD3">
        <w:rPr>
          <w:rFonts w:ascii="Times New Roman" w:hAnsi="Times New Roman"/>
          <w:szCs w:val="24"/>
          <w:lang w:val="bs-Latn-BA"/>
        </w:rPr>
        <w:t xml:space="preserve"> </w:t>
      </w:r>
      <w:r>
        <w:rPr>
          <w:rFonts w:ascii="Times New Roman" w:hAnsi="Times New Roman"/>
          <w:szCs w:val="24"/>
          <w:lang w:val="bs-Latn-BA"/>
        </w:rPr>
        <w:t>редовно</w:t>
      </w:r>
      <w:r w:rsidR="0026752C" w:rsidRPr="00295637">
        <w:rPr>
          <w:rFonts w:ascii="Times New Roman" w:hAnsi="Times New Roman"/>
          <w:szCs w:val="24"/>
          <w:lang w:val="bs-Latn-BA"/>
        </w:rPr>
        <w:t xml:space="preserve"> </w:t>
      </w:r>
      <w:r>
        <w:rPr>
          <w:rFonts w:ascii="Times New Roman" w:hAnsi="Times New Roman"/>
          <w:szCs w:val="24"/>
          <w:lang w:val="bs-Latn-BA"/>
        </w:rPr>
        <w:t>прикупља</w:t>
      </w:r>
      <w:r w:rsidR="0026752C" w:rsidRPr="00295637">
        <w:rPr>
          <w:rFonts w:ascii="Times New Roman" w:hAnsi="Times New Roman"/>
          <w:szCs w:val="24"/>
          <w:lang w:val="bs-Latn-BA"/>
        </w:rPr>
        <w:t xml:space="preserve"> </w:t>
      </w:r>
      <w:r>
        <w:rPr>
          <w:rFonts w:ascii="Times New Roman" w:hAnsi="Times New Roman"/>
          <w:szCs w:val="24"/>
          <w:lang w:val="bs-Latn-BA"/>
        </w:rPr>
        <w:t>податке</w:t>
      </w:r>
      <w:r w:rsidR="0026752C" w:rsidRPr="00295637">
        <w:rPr>
          <w:rFonts w:ascii="Times New Roman" w:hAnsi="Times New Roman"/>
          <w:szCs w:val="24"/>
          <w:lang w:val="bs-Latn-BA"/>
        </w:rPr>
        <w:t xml:space="preserve"> </w:t>
      </w:r>
      <w:r>
        <w:rPr>
          <w:rFonts w:ascii="Times New Roman" w:hAnsi="Times New Roman"/>
          <w:szCs w:val="24"/>
          <w:lang w:val="bs-Latn-BA"/>
        </w:rPr>
        <w:t>о</w:t>
      </w:r>
      <w:r w:rsidR="0026752C" w:rsidRPr="00295637">
        <w:rPr>
          <w:rFonts w:ascii="Times New Roman" w:hAnsi="Times New Roman"/>
          <w:szCs w:val="24"/>
          <w:lang w:val="bs-Latn-BA"/>
        </w:rPr>
        <w:t xml:space="preserve"> </w:t>
      </w:r>
      <w:r>
        <w:rPr>
          <w:rFonts w:ascii="Times New Roman" w:hAnsi="Times New Roman"/>
          <w:szCs w:val="24"/>
          <w:lang w:val="bs-Latn-BA"/>
        </w:rPr>
        <w:t>обукама</w:t>
      </w:r>
      <w:r w:rsidR="0026752C" w:rsidRPr="00295637">
        <w:rPr>
          <w:rFonts w:ascii="Times New Roman" w:hAnsi="Times New Roman"/>
          <w:szCs w:val="24"/>
          <w:lang w:val="bs-Latn-BA"/>
        </w:rPr>
        <w:t xml:space="preserve"> </w:t>
      </w:r>
      <w:r>
        <w:rPr>
          <w:rFonts w:ascii="Times New Roman" w:hAnsi="Times New Roman"/>
          <w:szCs w:val="24"/>
          <w:lang w:val="bs-Latn-BA"/>
        </w:rPr>
        <w:t>незапослених</w:t>
      </w:r>
      <w:r w:rsidR="0026752C" w:rsidRPr="00295637">
        <w:rPr>
          <w:rFonts w:ascii="Times New Roman" w:hAnsi="Times New Roman"/>
          <w:szCs w:val="24"/>
          <w:lang w:val="bs-Latn-BA"/>
        </w:rPr>
        <w:t xml:space="preserve"> </w:t>
      </w:r>
      <w:r>
        <w:rPr>
          <w:rFonts w:ascii="Times New Roman" w:hAnsi="Times New Roman"/>
          <w:szCs w:val="24"/>
          <w:lang w:val="bs-Latn-BA"/>
        </w:rPr>
        <w:t>лица</w:t>
      </w:r>
      <w:r w:rsidR="0026752C" w:rsidRPr="00295637">
        <w:rPr>
          <w:rFonts w:ascii="Times New Roman" w:hAnsi="Times New Roman"/>
          <w:szCs w:val="24"/>
          <w:lang w:val="bs-Latn-BA"/>
        </w:rPr>
        <w:t xml:space="preserve">, </w:t>
      </w:r>
      <w:r>
        <w:rPr>
          <w:rFonts w:ascii="Times New Roman" w:hAnsi="Times New Roman"/>
          <w:szCs w:val="24"/>
          <w:lang w:val="bs-Latn-BA"/>
        </w:rPr>
        <w:t>за</w:t>
      </w:r>
      <w:r w:rsidR="0026752C" w:rsidRPr="00295637">
        <w:rPr>
          <w:rFonts w:ascii="Times New Roman" w:hAnsi="Times New Roman"/>
          <w:szCs w:val="24"/>
          <w:lang w:val="bs-Latn-BA"/>
        </w:rPr>
        <w:t xml:space="preserve"> </w:t>
      </w:r>
      <w:r>
        <w:rPr>
          <w:rFonts w:ascii="Times New Roman" w:hAnsi="Times New Roman"/>
          <w:szCs w:val="24"/>
          <w:lang w:val="bs-Latn-BA"/>
        </w:rPr>
        <w:t>које</w:t>
      </w:r>
      <w:r w:rsidR="0026752C" w:rsidRPr="00295637">
        <w:rPr>
          <w:rFonts w:ascii="Times New Roman" w:hAnsi="Times New Roman"/>
          <w:szCs w:val="24"/>
          <w:lang w:val="bs-Latn-BA"/>
        </w:rPr>
        <w:t xml:space="preserve"> </w:t>
      </w:r>
      <w:r>
        <w:rPr>
          <w:rFonts w:ascii="Times New Roman" w:hAnsi="Times New Roman"/>
          <w:szCs w:val="24"/>
          <w:lang w:val="bs-Latn-BA"/>
        </w:rPr>
        <w:t>су</w:t>
      </w:r>
      <w:r w:rsidR="0026752C" w:rsidRPr="00295637">
        <w:rPr>
          <w:rFonts w:ascii="Times New Roman" w:hAnsi="Times New Roman"/>
          <w:szCs w:val="24"/>
          <w:lang w:val="bs-Latn-BA"/>
        </w:rPr>
        <w:t xml:space="preserve"> </w:t>
      </w:r>
      <w:r>
        <w:rPr>
          <w:rFonts w:ascii="Times New Roman" w:hAnsi="Times New Roman"/>
          <w:szCs w:val="24"/>
          <w:lang w:val="bs-Latn-BA"/>
        </w:rPr>
        <w:t>надлежни</w:t>
      </w:r>
      <w:r w:rsidR="0026752C" w:rsidRPr="00295637">
        <w:rPr>
          <w:rFonts w:ascii="Times New Roman" w:hAnsi="Times New Roman"/>
          <w:szCs w:val="24"/>
          <w:lang w:val="bs-Latn-BA"/>
        </w:rPr>
        <w:t xml:space="preserve"> </w:t>
      </w:r>
      <w:r>
        <w:rPr>
          <w:rFonts w:ascii="Times New Roman" w:hAnsi="Times New Roman"/>
          <w:szCs w:val="24"/>
          <w:lang w:val="bs-Latn-BA"/>
        </w:rPr>
        <w:t>заводи</w:t>
      </w:r>
      <w:r w:rsidR="0026752C" w:rsidRPr="00295637">
        <w:rPr>
          <w:rFonts w:ascii="Times New Roman" w:hAnsi="Times New Roman"/>
          <w:szCs w:val="24"/>
          <w:lang w:val="bs-Latn-BA"/>
        </w:rPr>
        <w:t xml:space="preserve"> </w:t>
      </w:r>
      <w:r>
        <w:rPr>
          <w:rFonts w:ascii="Times New Roman" w:hAnsi="Times New Roman"/>
          <w:szCs w:val="24"/>
          <w:lang w:val="bs-Latn-BA"/>
        </w:rPr>
        <w:t>за</w:t>
      </w:r>
      <w:r w:rsidR="0026752C" w:rsidRPr="00295637">
        <w:rPr>
          <w:rFonts w:ascii="Times New Roman" w:hAnsi="Times New Roman"/>
          <w:szCs w:val="24"/>
          <w:lang w:val="bs-Latn-BA"/>
        </w:rPr>
        <w:t xml:space="preserve"> </w:t>
      </w:r>
      <w:r>
        <w:rPr>
          <w:rFonts w:ascii="Times New Roman" w:hAnsi="Times New Roman"/>
          <w:szCs w:val="24"/>
          <w:lang w:val="bs-Latn-BA"/>
        </w:rPr>
        <w:t>запошљавање</w:t>
      </w:r>
      <w:r w:rsidR="00BE0900">
        <w:rPr>
          <w:rFonts w:ascii="Times New Roman" w:hAnsi="Times New Roman"/>
          <w:szCs w:val="24"/>
          <w:lang w:val="bs-Latn-BA"/>
        </w:rPr>
        <w:t xml:space="preserve"> </w:t>
      </w:r>
      <w:r>
        <w:rPr>
          <w:rFonts w:ascii="Times New Roman" w:hAnsi="Times New Roman"/>
          <w:szCs w:val="24"/>
          <w:lang w:val="bs-Latn-BA"/>
        </w:rPr>
        <w:t>ентитета</w:t>
      </w:r>
      <w:r w:rsidR="00BE0900">
        <w:rPr>
          <w:rFonts w:ascii="Times New Roman" w:hAnsi="Times New Roman"/>
          <w:szCs w:val="24"/>
          <w:lang w:val="bs-Latn-BA"/>
        </w:rPr>
        <w:t xml:space="preserve"> </w:t>
      </w:r>
      <w:r>
        <w:rPr>
          <w:rFonts w:ascii="Times New Roman" w:hAnsi="Times New Roman"/>
          <w:szCs w:val="24"/>
          <w:lang w:val="bs-Latn-BA"/>
        </w:rPr>
        <w:t>и</w:t>
      </w:r>
      <w:r w:rsidR="00BE0900">
        <w:rPr>
          <w:rFonts w:ascii="Times New Roman" w:hAnsi="Times New Roman"/>
          <w:szCs w:val="24"/>
          <w:lang w:val="bs-Latn-BA"/>
        </w:rPr>
        <w:t xml:space="preserve"> </w:t>
      </w:r>
      <w:r>
        <w:rPr>
          <w:rFonts w:ascii="Times New Roman" w:hAnsi="Times New Roman"/>
          <w:szCs w:val="24"/>
          <w:lang w:val="bs-Latn-BA"/>
        </w:rPr>
        <w:t>Брчко</w:t>
      </w:r>
      <w:r w:rsidR="00BE0900">
        <w:rPr>
          <w:rFonts w:ascii="Times New Roman" w:hAnsi="Times New Roman"/>
          <w:szCs w:val="24"/>
          <w:lang w:val="bs-Latn-BA"/>
        </w:rPr>
        <w:t xml:space="preserve"> </w:t>
      </w:r>
      <w:r>
        <w:rPr>
          <w:rFonts w:ascii="Times New Roman" w:hAnsi="Times New Roman"/>
          <w:szCs w:val="24"/>
          <w:lang w:val="bs-Latn-BA"/>
        </w:rPr>
        <w:t>Дистрикта</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26752C" w:rsidRPr="00295637">
        <w:rPr>
          <w:rFonts w:ascii="Times New Roman" w:hAnsi="Times New Roman"/>
          <w:szCs w:val="24"/>
          <w:lang w:val="bs-Latn-BA"/>
        </w:rPr>
        <w:t xml:space="preserve">. </w:t>
      </w:r>
      <w:r>
        <w:rPr>
          <w:rFonts w:ascii="Times New Roman" w:hAnsi="Times New Roman"/>
          <w:szCs w:val="24"/>
          <w:lang w:val="bs-Latn-BA"/>
        </w:rPr>
        <w:t>У</w:t>
      </w:r>
      <w:r w:rsidR="0026752C" w:rsidRPr="00295637">
        <w:rPr>
          <w:rFonts w:ascii="Times New Roman" w:hAnsi="Times New Roman"/>
          <w:szCs w:val="24"/>
          <w:lang w:val="bs-Latn-BA"/>
        </w:rPr>
        <w:t xml:space="preserve"> </w:t>
      </w:r>
      <w:r w:rsidR="00870C36">
        <w:rPr>
          <w:rFonts w:ascii="Times New Roman" w:hAnsi="Times New Roman"/>
          <w:szCs w:val="24"/>
          <w:lang w:val="sr-Cyrl-BA"/>
        </w:rPr>
        <w:t>спровођењу</w:t>
      </w:r>
      <w:r w:rsidR="0026752C" w:rsidRPr="00295637">
        <w:rPr>
          <w:rFonts w:ascii="Times New Roman" w:hAnsi="Times New Roman"/>
          <w:szCs w:val="24"/>
          <w:lang w:val="bs-Latn-BA"/>
        </w:rPr>
        <w:t xml:space="preserve"> </w:t>
      </w:r>
      <w:r>
        <w:rPr>
          <w:rFonts w:ascii="Times New Roman" w:hAnsi="Times New Roman"/>
          <w:szCs w:val="24"/>
          <w:lang w:val="bs-Latn-BA"/>
        </w:rPr>
        <w:t>обука</w:t>
      </w:r>
      <w:r w:rsidR="0026752C" w:rsidRPr="00295637">
        <w:rPr>
          <w:rFonts w:ascii="Times New Roman" w:hAnsi="Times New Roman"/>
          <w:szCs w:val="24"/>
          <w:lang w:val="bs-Latn-BA"/>
        </w:rPr>
        <w:t xml:space="preserve"> </w:t>
      </w:r>
      <w:r>
        <w:rPr>
          <w:rFonts w:ascii="Times New Roman" w:hAnsi="Times New Roman"/>
          <w:szCs w:val="24"/>
          <w:lang w:val="bs-Latn-BA"/>
        </w:rPr>
        <w:t>о</w:t>
      </w:r>
      <w:r w:rsidR="00870C36">
        <w:rPr>
          <w:rFonts w:ascii="Times New Roman" w:hAnsi="Times New Roman"/>
          <w:szCs w:val="24"/>
          <w:lang w:val="sr-Cyrl-BA"/>
        </w:rPr>
        <w:t>безбијеђено</w:t>
      </w:r>
      <w:r w:rsidR="0026752C" w:rsidRPr="00295637">
        <w:rPr>
          <w:rFonts w:ascii="Times New Roman" w:hAnsi="Times New Roman"/>
          <w:szCs w:val="24"/>
          <w:lang w:val="bs-Latn-BA"/>
        </w:rPr>
        <w:t xml:space="preserve"> </w:t>
      </w:r>
      <w:r>
        <w:rPr>
          <w:rFonts w:ascii="Times New Roman" w:hAnsi="Times New Roman"/>
          <w:szCs w:val="24"/>
          <w:lang w:val="bs-Latn-BA"/>
        </w:rPr>
        <w:t>је</w:t>
      </w:r>
      <w:r w:rsidR="0026752C" w:rsidRPr="00295637">
        <w:rPr>
          <w:rFonts w:ascii="Times New Roman" w:hAnsi="Times New Roman"/>
          <w:szCs w:val="24"/>
          <w:lang w:val="bs-Latn-BA"/>
        </w:rPr>
        <w:t xml:space="preserve"> </w:t>
      </w:r>
      <w:r>
        <w:rPr>
          <w:rFonts w:ascii="Times New Roman" w:hAnsi="Times New Roman"/>
          <w:szCs w:val="24"/>
          <w:lang w:val="bs-Latn-BA"/>
        </w:rPr>
        <w:t>равноправно</w:t>
      </w:r>
      <w:r w:rsidR="0026752C" w:rsidRPr="00295637">
        <w:rPr>
          <w:rFonts w:ascii="Times New Roman" w:hAnsi="Times New Roman"/>
          <w:szCs w:val="24"/>
          <w:lang w:val="bs-Latn-BA"/>
        </w:rPr>
        <w:t xml:space="preserve"> </w:t>
      </w:r>
      <w:r>
        <w:rPr>
          <w:rFonts w:ascii="Times New Roman" w:hAnsi="Times New Roman"/>
          <w:szCs w:val="24"/>
          <w:lang w:val="bs-Latn-BA"/>
        </w:rPr>
        <w:t>учешће</w:t>
      </w:r>
      <w:r w:rsidR="00BE0900">
        <w:rPr>
          <w:rFonts w:ascii="Times New Roman" w:hAnsi="Times New Roman"/>
          <w:szCs w:val="24"/>
          <w:lang w:val="bs-Latn-BA"/>
        </w:rPr>
        <w:t xml:space="preserve"> </w:t>
      </w:r>
      <w:r>
        <w:rPr>
          <w:rFonts w:ascii="Times New Roman" w:hAnsi="Times New Roman"/>
          <w:szCs w:val="24"/>
          <w:lang w:val="bs-Latn-BA"/>
        </w:rPr>
        <w:t>оба</w:t>
      </w:r>
      <w:r w:rsidR="00BE0900">
        <w:rPr>
          <w:rFonts w:ascii="Times New Roman" w:hAnsi="Times New Roman"/>
          <w:szCs w:val="24"/>
          <w:lang w:val="bs-Latn-BA"/>
        </w:rPr>
        <w:t xml:space="preserve"> </w:t>
      </w:r>
      <w:r>
        <w:rPr>
          <w:rFonts w:ascii="Times New Roman" w:hAnsi="Times New Roman"/>
          <w:szCs w:val="24"/>
          <w:lang w:val="bs-Latn-BA"/>
        </w:rPr>
        <w:t>пола</w:t>
      </w:r>
      <w:r w:rsidR="00BE0900">
        <w:rPr>
          <w:rFonts w:ascii="Times New Roman" w:hAnsi="Times New Roman"/>
          <w:szCs w:val="24"/>
          <w:lang w:val="bs-Latn-BA"/>
        </w:rPr>
        <w:t>.</w:t>
      </w:r>
      <w:r w:rsidR="007F325F" w:rsidRPr="00295637">
        <w:rPr>
          <w:rFonts w:ascii="Times New Roman" w:hAnsi="Times New Roman"/>
          <w:szCs w:val="24"/>
          <w:lang w:val="bs-Latn-BA"/>
        </w:rPr>
        <w:t xml:space="preserve"> </w:t>
      </w:r>
      <w:r>
        <w:rPr>
          <w:rFonts w:ascii="Times New Roman" w:hAnsi="Times New Roman"/>
          <w:szCs w:val="24"/>
          <w:lang w:val="bs-Latn-BA"/>
        </w:rPr>
        <w:t>У</w:t>
      </w:r>
      <w:r w:rsidR="0026752C" w:rsidRPr="00295637">
        <w:rPr>
          <w:rFonts w:ascii="Times New Roman" w:hAnsi="Times New Roman"/>
          <w:szCs w:val="24"/>
          <w:lang w:val="bs-Latn-BA"/>
        </w:rPr>
        <w:t xml:space="preserve"> 2024</w:t>
      </w:r>
      <w:r w:rsidR="00DA7F17">
        <w:rPr>
          <w:rFonts w:ascii="Times New Roman" w:hAnsi="Times New Roman"/>
          <w:szCs w:val="24"/>
          <w:lang w:val="bs-Latn-BA"/>
        </w:rPr>
        <w:t xml:space="preserve">. </w:t>
      </w:r>
      <w:r>
        <w:rPr>
          <w:rFonts w:ascii="Times New Roman" w:hAnsi="Times New Roman"/>
          <w:szCs w:val="24"/>
          <w:lang w:val="bs-Latn-BA"/>
        </w:rPr>
        <w:t>години</w:t>
      </w:r>
      <w:r w:rsidR="0026752C" w:rsidRPr="00295637">
        <w:rPr>
          <w:rFonts w:ascii="Times New Roman" w:hAnsi="Times New Roman"/>
          <w:szCs w:val="24"/>
          <w:lang w:val="bs-Latn-BA"/>
        </w:rPr>
        <w:t xml:space="preserve"> </w:t>
      </w:r>
      <w:r>
        <w:rPr>
          <w:rFonts w:ascii="Times New Roman" w:hAnsi="Times New Roman"/>
          <w:szCs w:val="24"/>
          <w:lang w:val="bs-Latn-BA"/>
        </w:rPr>
        <w:t>реализ</w:t>
      </w:r>
      <w:r w:rsidR="00870C36">
        <w:rPr>
          <w:rFonts w:ascii="Times New Roman" w:hAnsi="Times New Roman"/>
          <w:szCs w:val="24"/>
          <w:lang w:val="sr-Cyrl-BA"/>
        </w:rPr>
        <w:t>оване</w:t>
      </w:r>
      <w:r w:rsidR="0026752C" w:rsidRPr="00295637">
        <w:rPr>
          <w:rFonts w:ascii="Times New Roman" w:hAnsi="Times New Roman"/>
          <w:szCs w:val="24"/>
          <w:lang w:val="bs-Latn-BA"/>
        </w:rPr>
        <w:t xml:space="preserve"> </w:t>
      </w:r>
      <w:r>
        <w:rPr>
          <w:rFonts w:ascii="Times New Roman" w:hAnsi="Times New Roman"/>
          <w:szCs w:val="24"/>
          <w:lang w:val="bs-Latn-BA"/>
        </w:rPr>
        <w:t>су</w:t>
      </w:r>
      <w:r w:rsidR="00BE0900" w:rsidRPr="00295637">
        <w:rPr>
          <w:rFonts w:ascii="Times New Roman" w:hAnsi="Times New Roman"/>
          <w:szCs w:val="24"/>
          <w:lang w:val="bs-Latn-BA"/>
        </w:rPr>
        <w:t xml:space="preserve"> </w:t>
      </w:r>
      <w:r>
        <w:rPr>
          <w:rFonts w:ascii="Times New Roman" w:hAnsi="Times New Roman"/>
          <w:szCs w:val="24"/>
          <w:lang w:val="bs-Latn-BA"/>
        </w:rPr>
        <w:t>обуке</w:t>
      </w:r>
      <w:r w:rsidR="00834BD3">
        <w:rPr>
          <w:rFonts w:ascii="Times New Roman" w:hAnsi="Times New Roman"/>
          <w:szCs w:val="24"/>
          <w:lang w:val="bs-Latn-BA"/>
        </w:rPr>
        <w:t xml:space="preserve"> </w:t>
      </w:r>
      <w:r>
        <w:rPr>
          <w:rFonts w:ascii="Times New Roman" w:hAnsi="Times New Roman"/>
          <w:szCs w:val="24"/>
          <w:lang w:val="bs-Latn-BA"/>
        </w:rPr>
        <w:t>на</w:t>
      </w:r>
      <w:r w:rsidR="00834BD3">
        <w:rPr>
          <w:rFonts w:ascii="Times New Roman" w:hAnsi="Times New Roman"/>
          <w:szCs w:val="24"/>
          <w:lang w:val="bs-Latn-BA"/>
        </w:rPr>
        <w:t xml:space="preserve"> </w:t>
      </w:r>
      <w:r>
        <w:rPr>
          <w:rFonts w:ascii="Times New Roman" w:hAnsi="Times New Roman"/>
          <w:szCs w:val="24"/>
          <w:lang w:val="bs-Latn-BA"/>
        </w:rPr>
        <w:t>теме</w:t>
      </w:r>
      <w:r w:rsidR="0026752C" w:rsidRPr="00295637">
        <w:rPr>
          <w:rFonts w:ascii="Times New Roman" w:hAnsi="Times New Roman"/>
          <w:szCs w:val="24"/>
          <w:lang w:val="bs-Latn-BA"/>
        </w:rPr>
        <w:t xml:space="preserve"> </w:t>
      </w:r>
      <w:r>
        <w:rPr>
          <w:rFonts w:ascii="Times New Roman" w:hAnsi="Times New Roman"/>
          <w:szCs w:val="24"/>
          <w:lang w:val="bs-Latn-BA"/>
        </w:rPr>
        <w:t>како</w:t>
      </w:r>
      <w:r w:rsidR="0026752C" w:rsidRPr="00295637">
        <w:rPr>
          <w:rFonts w:ascii="Times New Roman" w:hAnsi="Times New Roman"/>
          <w:szCs w:val="24"/>
          <w:lang w:val="bs-Latn-BA"/>
        </w:rPr>
        <w:t xml:space="preserve"> </w:t>
      </w:r>
      <w:r>
        <w:rPr>
          <w:rFonts w:ascii="Times New Roman" w:hAnsi="Times New Roman"/>
          <w:szCs w:val="24"/>
          <w:lang w:val="bs-Latn-BA"/>
        </w:rPr>
        <w:t>наћи</w:t>
      </w:r>
      <w:r w:rsidR="0026752C" w:rsidRPr="00295637">
        <w:rPr>
          <w:rFonts w:ascii="Times New Roman" w:hAnsi="Times New Roman"/>
          <w:szCs w:val="24"/>
          <w:lang w:val="bs-Latn-BA"/>
        </w:rPr>
        <w:t xml:space="preserve"> </w:t>
      </w:r>
      <w:r>
        <w:rPr>
          <w:rFonts w:ascii="Times New Roman" w:hAnsi="Times New Roman"/>
          <w:szCs w:val="24"/>
          <w:lang w:val="bs-Latn-BA"/>
        </w:rPr>
        <w:t>посао</w:t>
      </w:r>
      <w:r w:rsidR="0026752C" w:rsidRPr="00295637">
        <w:rPr>
          <w:rFonts w:ascii="Times New Roman" w:hAnsi="Times New Roman"/>
          <w:szCs w:val="24"/>
          <w:lang w:val="bs-Latn-BA"/>
        </w:rPr>
        <w:t xml:space="preserve">, </w:t>
      </w:r>
      <w:r>
        <w:rPr>
          <w:rFonts w:ascii="Times New Roman" w:hAnsi="Times New Roman"/>
          <w:szCs w:val="24"/>
          <w:lang w:val="bs-Latn-BA"/>
        </w:rPr>
        <w:t>како</w:t>
      </w:r>
      <w:r w:rsidR="0026752C" w:rsidRPr="00295637">
        <w:rPr>
          <w:rFonts w:ascii="Times New Roman" w:hAnsi="Times New Roman"/>
          <w:szCs w:val="24"/>
          <w:lang w:val="bs-Latn-BA"/>
        </w:rPr>
        <w:t xml:space="preserve"> </w:t>
      </w:r>
      <w:r>
        <w:rPr>
          <w:rFonts w:ascii="Times New Roman" w:hAnsi="Times New Roman"/>
          <w:szCs w:val="24"/>
          <w:lang w:val="bs-Latn-BA"/>
        </w:rPr>
        <w:t>написати</w:t>
      </w:r>
      <w:r w:rsidR="0026752C" w:rsidRPr="00295637">
        <w:rPr>
          <w:rFonts w:ascii="Times New Roman" w:hAnsi="Times New Roman"/>
          <w:szCs w:val="24"/>
          <w:lang w:val="bs-Latn-BA"/>
        </w:rPr>
        <w:t xml:space="preserve"> </w:t>
      </w:r>
      <w:r>
        <w:rPr>
          <w:rFonts w:ascii="Times New Roman" w:hAnsi="Times New Roman"/>
          <w:szCs w:val="24"/>
          <w:lang w:val="bs-Latn-BA"/>
        </w:rPr>
        <w:t>биографију</w:t>
      </w:r>
      <w:r w:rsidR="0026752C" w:rsidRPr="00295637">
        <w:rPr>
          <w:rFonts w:ascii="Times New Roman" w:hAnsi="Times New Roman"/>
          <w:szCs w:val="24"/>
          <w:lang w:val="bs-Latn-BA"/>
        </w:rPr>
        <w:t xml:space="preserve">, </w:t>
      </w:r>
      <w:r>
        <w:rPr>
          <w:rFonts w:ascii="Times New Roman" w:hAnsi="Times New Roman"/>
          <w:szCs w:val="24"/>
          <w:lang w:val="bs-Latn-BA"/>
        </w:rPr>
        <w:t>унапређење</w:t>
      </w:r>
      <w:r w:rsidR="00BE0900">
        <w:rPr>
          <w:rFonts w:ascii="Times New Roman" w:hAnsi="Times New Roman"/>
          <w:szCs w:val="24"/>
          <w:lang w:val="bs-Latn-BA"/>
        </w:rPr>
        <w:t xml:space="preserve"> </w:t>
      </w:r>
      <w:r>
        <w:rPr>
          <w:rFonts w:ascii="Times New Roman" w:hAnsi="Times New Roman"/>
          <w:szCs w:val="24"/>
          <w:lang w:val="bs-Latn-BA"/>
        </w:rPr>
        <w:t>ИТ</w:t>
      </w:r>
      <w:r w:rsidR="00BE0900">
        <w:rPr>
          <w:rFonts w:ascii="Times New Roman" w:hAnsi="Times New Roman"/>
          <w:szCs w:val="24"/>
          <w:lang w:val="bs-Latn-BA"/>
        </w:rPr>
        <w:t xml:space="preserve"> </w:t>
      </w:r>
      <w:r>
        <w:rPr>
          <w:rFonts w:ascii="Times New Roman" w:hAnsi="Times New Roman"/>
          <w:szCs w:val="24"/>
          <w:lang w:val="bs-Latn-BA"/>
        </w:rPr>
        <w:t>вјештина</w:t>
      </w:r>
      <w:r w:rsidR="00BE0900">
        <w:rPr>
          <w:rFonts w:ascii="Times New Roman" w:hAnsi="Times New Roman"/>
          <w:szCs w:val="24"/>
          <w:lang w:val="bs-Latn-BA"/>
        </w:rPr>
        <w:t xml:space="preserve"> </w:t>
      </w:r>
      <w:r>
        <w:rPr>
          <w:rFonts w:ascii="Times New Roman" w:hAnsi="Times New Roman"/>
          <w:szCs w:val="24"/>
          <w:lang w:val="bs-Latn-BA"/>
        </w:rPr>
        <w:t>и</w:t>
      </w:r>
      <w:r w:rsidR="00BE0900">
        <w:rPr>
          <w:rFonts w:ascii="Times New Roman" w:hAnsi="Times New Roman"/>
          <w:szCs w:val="24"/>
          <w:lang w:val="bs-Latn-BA"/>
        </w:rPr>
        <w:t xml:space="preserve"> </w:t>
      </w:r>
      <w:r>
        <w:rPr>
          <w:rFonts w:ascii="Times New Roman" w:hAnsi="Times New Roman"/>
          <w:szCs w:val="24"/>
          <w:lang w:val="bs-Latn-BA"/>
        </w:rPr>
        <w:t>др</w:t>
      </w:r>
      <w:r w:rsidR="00BE0900">
        <w:rPr>
          <w:rFonts w:ascii="Times New Roman" w:hAnsi="Times New Roman"/>
          <w:szCs w:val="24"/>
          <w:lang w:val="bs-Latn-BA"/>
        </w:rPr>
        <w:t xml:space="preserve">., </w:t>
      </w:r>
      <w:r>
        <w:rPr>
          <w:rFonts w:ascii="Times New Roman" w:hAnsi="Times New Roman"/>
          <w:szCs w:val="24"/>
          <w:lang w:val="bs-Latn-BA"/>
        </w:rPr>
        <w:t>а</w:t>
      </w:r>
      <w:r w:rsidR="0026752C" w:rsidRPr="00295637">
        <w:rPr>
          <w:rFonts w:ascii="Times New Roman" w:hAnsi="Times New Roman"/>
          <w:szCs w:val="24"/>
          <w:lang w:val="bs-Latn-BA"/>
        </w:rPr>
        <w:t xml:space="preserve"> </w:t>
      </w:r>
      <w:r>
        <w:rPr>
          <w:rFonts w:ascii="Times New Roman" w:hAnsi="Times New Roman"/>
          <w:szCs w:val="24"/>
          <w:lang w:val="bs-Latn-BA"/>
        </w:rPr>
        <w:t>провођене</w:t>
      </w:r>
      <w:r w:rsidR="0026752C" w:rsidRPr="00295637">
        <w:rPr>
          <w:rFonts w:ascii="Times New Roman" w:hAnsi="Times New Roman"/>
          <w:szCs w:val="24"/>
          <w:lang w:val="bs-Latn-BA"/>
        </w:rPr>
        <w:t xml:space="preserve"> </w:t>
      </w:r>
      <w:r>
        <w:rPr>
          <w:rFonts w:ascii="Times New Roman" w:hAnsi="Times New Roman"/>
          <w:szCs w:val="24"/>
          <w:lang w:val="bs-Latn-BA"/>
        </w:rPr>
        <w:t>су</w:t>
      </w:r>
      <w:r w:rsidR="0026752C" w:rsidRPr="00295637">
        <w:rPr>
          <w:rFonts w:ascii="Times New Roman" w:hAnsi="Times New Roman"/>
          <w:szCs w:val="24"/>
          <w:lang w:val="bs-Latn-BA"/>
        </w:rPr>
        <w:t xml:space="preserve"> </w:t>
      </w:r>
      <w:r>
        <w:rPr>
          <w:rFonts w:ascii="Times New Roman" w:hAnsi="Times New Roman"/>
          <w:szCs w:val="24"/>
          <w:lang w:val="bs-Latn-BA"/>
        </w:rPr>
        <w:t>и</w:t>
      </w:r>
      <w:r w:rsidR="0026752C" w:rsidRPr="00295637">
        <w:rPr>
          <w:rFonts w:ascii="Times New Roman" w:hAnsi="Times New Roman"/>
          <w:szCs w:val="24"/>
          <w:lang w:val="bs-Latn-BA"/>
        </w:rPr>
        <w:t xml:space="preserve"> </w:t>
      </w:r>
      <w:r>
        <w:rPr>
          <w:rFonts w:ascii="Times New Roman" w:hAnsi="Times New Roman"/>
          <w:szCs w:val="24"/>
          <w:lang w:val="bs-Latn-BA"/>
        </w:rPr>
        <w:t>обуке</w:t>
      </w:r>
      <w:r w:rsidR="0026752C" w:rsidRPr="00295637">
        <w:rPr>
          <w:rFonts w:ascii="Times New Roman" w:hAnsi="Times New Roman"/>
          <w:szCs w:val="24"/>
          <w:lang w:val="bs-Latn-BA"/>
        </w:rPr>
        <w:t xml:space="preserve"> </w:t>
      </w:r>
      <w:r>
        <w:rPr>
          <w:rFonts w:ascii="Times New Roman" w:hAnsi="Times New Roman"/>
          <w:szCs w:val="24"/>
          <w:lang w:val="bs-Latn-BA"/>
        </w:rPr>
        <w:t>уз</w:t>
      </w:r>
      <w:r w:rsidR="0026752C" w:rsidRPr="00295637">
        <w:rPr>
          <w:rFonts w:ascii="Times New Roman" w:hAnsi="Times New Roman"/>
          <w:szCs w:val="24"/>
          <w:lang w:val="bs-Latn-BA"/>
        </w:rPr>
        <w:t xml:space="preserve"> </w:t>
      </w:r>
      <w:r>
        <w:rPr>
          <w:rFonts w:ascii="Times New Roman" w:hAnsi="Times New Roman"/>
          <w:szCs w:val="24"/>
          <w:lang w:val="bs-Latn-BA"/>
        </w:rPr>
        <w:t>рад</w:t>
      </w:r>
      <w:r w:rsidR="004F4ED0" w:rsidRPr="00295637">
        <w:rPr>
          <w:rFonts w:ascii="Times New Roman" w:hAnsi="Times New Roman"/>
          <w:szCs w:val="24"/>
          <w:lang w:val="bs-Latn-BA"/>
        </w:rPr>
        <w:t xml:space="preserve"> </w:t>
      </w:r>
      <w:r>
        <w:rPr>
          <w:rFonts w:ascii="Times New Roman" w:hAnsi="Times New Roman"/>
          <w:szCs w:val="24"/>
          <w:lang w:val="bs-Latn-BA"/>
        </w:rPr>
        <w:t>као</w:t>
      </w:r>
      <w:r w:rsidR="004F4ED0" w:rsidRPr="00295637">
        <w:rPr>
          <w:rFonts w:ascii="Times New Roman" w:hAnsi="Times New Roman"/>
          <w:szCs w:val="24"/>
          <w:lang w:val="bs-Latn-BA"/>
        </w:rPr>
        <w:t>:</w:t>
      </w:r>
      <w:r w:rsidR="0026752C" w:rsidRPr="00295637">
        <w:rPr>
          <w:rFonts w:ascii="Times New Roman" w:hAnsi="Times New Roman"/>
          <w:szCs w:val="24"/>
          <w:lang w:val="bs-Latn-BA"/>
        </w:rPr>
        <w:t xml:space="preserve"> </w:t>
      </w:r>
      <w:r>
        <w:rPr>
          <w:rFonts w:ascii="Times New Roman" w:hAnsi="Times New Roman"/>
          <w:szCs w:val="24"/>
          <w:lang w:val="bs-Latn-BA"/>
        </w:rPr>
        <w:t>обуке</w:t>
      </w:r>
      <w:r w:rsidR="0026752C" w:rsidRPr="00295637">
        <w:rPr>
          <w:rFonts w:ascii="Times New Roman" w:hAnsi="Times New Roman"/>
          <w:szCs w:val="24"/>
          <w:lang w:val="bs-Latn-BA"/>
        </w:rPr>
        <w:t xml:space="preserve"> </w:t>
      </w:r>
      <w:r>
        <w:rPr>
          <w:rFonts w:ascii="Times New Roman" w:hAnsi="Times New Roman"/>
          <w:szCs w:val="24"/>
          <w:lang w:val="bs-Latn-BA"/>
        </w:rPr>
        <w:t>о</w:t>
      </w:r>
      <w:r w:rsidR="0026752C" w:rsidRPr="00295637">
        <w:rPr>
          <w:rFonts w:ascii="Times New Roman" w:hAnsi="Times New Roman"/>
          <w:szCs w:val="24"/>
          <w:lang w:val="bs-Latn-BA"/>
        </w:rPr>
        <w:t xml:space="preserve"> </w:t>
      </w:r>
      <w:r>
        <w:rPr>
          <w:rFonts w:ascii="Times New Roman" w:hAnsi="Times New Roman"/>
          <w:szCs w:val="24"/>
          <w:lang w:val="bs-Latn-BA"/>
        </w:rPr>
        <w:t>предузетништву</w:t>
      </w:r>
      <w:r w:rsidR="0026752C" w:rsidRPr="00295637">
        <w:rPr>
          <w:rFonts w:ascii="Times New Roman" w:hAnsi="Times New Roman"/>
          <w:szCs w:val="24"/>
          <w:lang w:val="bs-Latn-BA"/>
        </w:rPr>
        <w:t xml:space="preserve">, </w:t>
      </w:r>
      <w:r>
        <w:rPr>
          <w:rFonts w:ascii="Times New Roman" w:hAnsi="Times New Roman"/>
          <w:szCs w:val="24"/>
          <w:lang w:val="bs-Latn-BA"/>
        </w:rPr>
        <w:t>самозапошљавању</w:t>
      </w:r>
      <w:r w:rsidR="0026752C" w:rsidRPr="00295637">
        <w:rPr>
          <w:rFonts w:ascii="Times New Roman" w:hAnsi="Times New Roman"/>
          <w:szCs w:val="24"/>
          <w:lang w:val="bs-Latn-BA"/>
        </w:rPr>
        <w:t xml:space="preserve"> </w:t>
      </w:r>
      <w:r>
        <w:rPr>
          <w:rFonts w:ascii="Times New Roman" w:hAnsi="Times New Roman"/>
          <w:szCs w:val="24"/>
          <w:lang w:val="bs-Latn-BA"/>
        </w:rPr>
        <w:t>и</w:t>
      </w:r>
      <w:r w:rsidR="0026752C" w:rsidRPr="00295637">
        <w:rPr>
          <w:rFonts w:ascii="Times New Roman" w:hAnsi="Times New Roman"/>
          <w:szCs w:val="24"/>
          <w:lang w:val="bs-Latn-BA"/>
        </w:rPr>
        <w:t xml:space="preserve"> </w:t>
      </w:r>
      <w:r>
        <w:rPr>
          <w:rFonts w:ascii="Times New Roman" w:hAnsi="Times New Roman"/>
          <w:szCs w:val="24"/>
          <w:lang w:val="bs-Latn-BA"/>
        </w:rPr>
        <w:t>друго</w:t>
      </w:r>
      <w:r w:rsidR="0026752C" w:rsidRPr="00295637">
        <w:rPr>
          <w:rFonts w:ascii="Times New Roman" w:hAnsi="Times New Roman"/>
          <w:szCs w:val="24"/>
          <w:lang w:val="bs-Latn-BA"/>
        </w:rPr>
        <w:t>.</w:t>
      </w:r>
    </w:p>
    <w:p w:rsidR="008C68B1" w:rsidRPr="00295637" w:rsidRDefault="008C68B1" w:rsidP="0086268D">
      <w:pPr>
        <w:pStyle w:val="Normal1"/>
      </w:pPr>
    </w:p>
    <w:p w:rsidR="00356C2C" w:rsidRPr="00295637" w:rsidRDefault="00870C36" w:rsidP="00DA7F17">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DA7F17">
        <w:rPr>
          <w:rFonts w:ascii="Times New Roman" w:hAnsi="Times New Roman"/>
          <w:szCs w:val="24"/>
          <w:lang w:val="bs-Latn-BA"/>
        </w:rPr>
        <w:t xml:space="preserve"> 3.8. </w:t>
      </w:r>
      <w:r w:rsidR="00C6214E">
        <w:rPr>
          <w:rFonts w:ascii="Times New Roman" w:hAnsi="Times New Roman"/>
          <w:szCs w:val="24"/>
          <w:lang w:val="bs-Latn-BA"/>
        </w:rPr>
        <w:t>Унапређење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усклађивање</w:t>
      </w:r>
      <w:r w:rsidR="00BE0900">
        <w:rPr>
          <w:rFonts w:ascii="Times New Roman" w:hAnsi="Times New Roman"/>
          <w:szCs w:val="24"/>
          <w:lang w:val="bs-Latn-BA"/>
        </w:rPr>
        <w:t xml:space="preserve"> </w:t>
      </w:r>
      <w:r w:rsidR="00C6214E">
        <w:rPr>
          <w:rFonts w:ascii="Times New Roman" w:hAnsi="Times New Roman"/>
          <w:szCs w:val="24"/>
          <w:lang w:val="bs-Latn-BA"/>
        </w:rPr>
        <w:t>пословног</w:t>
      </w:r>
      <w:r w:rsidR="00BE0900">
        <w:rPr>
          <w:rFonts w:ascii="Times New Roman" w:hAnsi="Times New Roman"/>
          <w:szCs w:val="24"/>
          <w:lang w:val="bs-Latn-BA"/>
        </w:rPr>
        <w:t xml:space="preserve"> </w:t>
      </w:r>
      <w:r w:rsidR="00C6214E">
        <w:rPr>
          <w:rFonts w:ascii="Times New Roman" w:hAnsi="Times New Roman"/>
          <w:szCs w:val="24"/>
          <w:lang w:val="bs-Latn-BA"/>
        </w:rPr>
        <w:t>и</w:t>
      </w:r>
      <w:r w:rsidR="00BE0900">
        <w:rPr>
          <w:rFonts w:ascii="Times New Roman" w:hAnsi="Times New Roman"/>
          <w:szCs w:val="24"/>
          <w:lang w:val="bs-Latn-BA"/>
        </w:rPr>
        <w:t xml:space="preserve"> </w:t>
      </w:r>
      <w:r w:rsidR="00C6214E">
        <w:rPr>
          <w:rFonts w:ascii="Times New Roman" w:hAnsi="Times New Roman"/>
          <w:szCs w:val="24"/>
          <w:lang w:val="bs-Latn-BA"/>
        </w:rPr>
        <w:t>приватног</w:t>
      </w:r>
      <w:r w:rsidR="00BE0900">
        <w:rPr>
          <w:rFonts w:ascii="Times New Roman" w:hAnsi="Times New Roman"/>
          <w:szCs w:val="24"/>
          <w:lang w:val="bs-Latn-BA"/>
        </w:rPr>
        <w:t xml:space="preserve"> </w:t>
      </w:r>
      <w:r w:rsidR="00C6214E">
        <w:rPr>
          <w:rFonts w:ascii="Times New Roman" w:hAnsi="Times New Roman"/>
          <w:szCs w:val="24"/>
          <w:lang w:val="bs-Latn-BA"/>
        </w:rPr>
        <w:t>живота</w:t>
      </w:r>
      <w:r w:rsidR="00BE0900">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заштиту</w:t>
      </w:r>
      <w:r w:rsidR="00356C2C" w:rsidRPr="00295637">
        <w:rPr>
          <w:rFonts w:ascii="Times New Roman" w:hAnsi="Times New Roman"/>
          <w:szCs w:val="24"/>
          <w:lang w:val="bs-Latn-BA"/>
        </w:rPr>
        <w:t xml:space="preserve"> </w:t>
      </w:r>
      <w:r w:rsidR="00C6214E">
        <w:rPr>
          <w:rFonts w:ascii="Times New Roman" w:hAnsi="Times New Roman"/>
          <w:szCs w:val="24"/>
          <w:lang w:val="bs-Latn-BA"/>
        </w:rPr>
        <w:t>материнства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очинства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унапређење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одредби</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плаћеном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породиљском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одсуству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плаћеном</w:t>
      </w:r>
      <w:r w:rsidR="00356C2C" w:rsidRPr="00295637">
        <w:rPr>
          <w:rFonts w:ascii="Times New Roman" w:hAnsi="Times New Roman"/>
          <w:szCs w:val="24"/>
          <w:lang w:val="bs-Latn-BA"/>
        </w:rPr>
        <w:t xml:space="preserve"> </w:t>
      </w:r>
      <w:r w:rsidR="00C6214E">
        <w:rPr>
          <w:rFonts w:ascii="Times New Roman" w:hAnsi="Times New Roman"/>
          <w:szCs w:val="24"/>
          <w:lang w:val="bs-Latn-BA"/>
        </w:rPr>
        <w:t>родитељском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одсуству</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родитеља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као</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посебне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мјере</w:t>
      </w:r>
      <w:r w:rsidR="00356C2C" w:rsidRPr="00295637">
        <w:rPr>
          <w:rFonts w:ascii="Times New Roman" w:hAnsi="Times New Roman"/>
          <w:szCs w:val="24"/>
          <w:lang w:val="bs-Latn-BA"/>
        </w:rPr>
        <w:t xml:space="preserve"> </w:t>
      </w:r>
      <w:r w:rsidR="00C6214E">
        <w:rPr>
          <w:rFonts w:ascii="Times New Roman" w:hAnsi="Times New Roman"/>
          <w:szCs w:val="24"/>
          <w:lang w:val="bs-Latn-BA"/>
        </w:rPr>
        <w:t>које</w:t>
      </w:r>
      <w:r w:rsidR="00356C2C" w:rsidRPr="00295637">
        <w:rPr>
          <w:rFonts w:ascii="Times New Roman" w:hAnsi="Times New Roman"/>
          <w:szCs w:val="24"/>
          <w:lang w:val="bs-Latn-BA"/>
        </w:rPr>
        <w:t xml:space="preserve"> </w:t>
      </w:r>
      <w:r w:rsidR="00C6214E">
        <w:rPr>
          <w:rFonts w:ascii="Times New Roman" w:hAnsi="Times New Roman"/>
          <w:szCs w:val="24"/>
          <w:lang w:val="bs-Latn-BA"/>
        </w:rPr>
        <w:t>олакшавају</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запосленицима</w:t>
      </w:r>
      <w:r w:rsidR="00356C2C" w:rsidRPr="00295637">
        <w:rPr>
          <w:rFonts w:ascii="Times New Roman" w:hAnsi="Times New Roman"/>
          <w:szCs w:val="24"/>
          <w:lang w:val="bs-Latn-BA"/>
        </w:rPr>
        <w:t>/</w:t>
      </w:r>
      <w:r w:rsidR="00C6214E">
        <w:rPr>
          <w:rFonts w:ascii="Times New Roman" w:hAnsi="Times New Roman"/>
          <w:szCs w:val="24"/>
          <w:lang w:val="bs-Latn-BA"/>
        </w:rPr>
        <w:t>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усклађивање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професионалних</w:t>
      </w:r>
      <w:r w:rsidR="008C68B1" w:rsidRPr="00295637">
        <w:rPr>
          <w:rFonts w:ascii="Times New Roman" w:hAnsi="Times New Roman"/>
          <w:szCs w:val="24"/>
          <w:lang w:val="bs-Latn-BA"/>
        </w:rPr>
        <w:t xml:space="preserve"> </w:t>
      </w:r>
      <w:r w:rsidR="00C6214E">
        <w:rPr>
          <w:rFonts w:ascii="Times New Roman" w:hAnsi="Times New Roman"/>
          <w:szCs w:val="24"/>
          <w:lang w:val="bs-Latn-BA"/>
        </w:rPr>
        <w:t>и</w:t>
      </w:r>
      <w:r w:rsidR="008C68B1" w:rsidRPr="00295637">
        <w:rPr>
          <w:rFonts w:ascii="Times New Roman" w:hAnsi="Times New Roman"/>
          <w:szCs w:val="24"/>
          <w:lang w:val="bs-Latn-BA"/>
        </w:rPr>
        <w:t xml:space="preserve"> </w:t>
      </w:r>
      <w:r w:rsidR="00C6214E">
        <w:rPr>
          <w:rFonts w:ascii="Times New Roman" w:hAnsi="Times New Roman"/>
          <w:szCs w:val="24"/>
          <w:lang w:val="bs-Latn-BA"/>
        </w:rPr>
        <w:t>породичних</w:t>
      </w:r>
      <w:r w:rsidR="00BE0900">
        <w:rPr>
          <w:rFonts w:ascii="Times New Roman" w:hAnsi="Times New Roman"/>
          <w:szCs w:val="24"/>
          <w:lang w:val="bs-Latn-BA"/>
        </w:rPr>
        <w:t xml:space="preserve"> </w:t>
      </w:r>
      <w:r w:rsidR="00C6214E">
        <w:rPr>
          <w:rFonts w:ascii="Times New Roman" w:hAnsi="Times New Roman"/>
          <w:szCs w:val="24"/>
          <w:lang w:val="bs-Latn-BA"/>
        </w:rPr>
        <w:t>обавеза</w:t>
      </w:r>
      <w:r w:rsidR="008C68B1" w:rsidRPr="00295637">
        <w:rPr>
          <w:rFonts w:ascii="Times New Roman" w:hAnsi="Times New Roman"/>
          <w:szCs w:val="24"/>
          <w:lang w:val="bs-Latn-BA"/>
        </w:rPr>
        <w:t>.</w:t>
      </w:r>
    </w:p>
    <w:p w:rsidR="002E162E" w:rsidRPr="00295637" w:rsidRDefault="002E162E" w:rsidP="0086268D">
      <w:pPr>
        <w:pStyle w:val="Normal1"/>
        <w:jc w:val="both"/>
        <w:rPr>
          <w:rFonts w:ascii="Times New Roman" w:hAnsi="Times New Roman"/>
        </w:rPr>
      </w:pPr>
      <w:bookmarkStart w:id="28" w:name="_Toc193788530"/>
    </w:p>
    <w:p w:rsidR="00F2146D" w:rsidRPr="00295637" w:rsidRDefault="00C6214E" w:rsidP="0086268D">
      <w:pPr>
        <w:pStyle w:val="Normal1"/>
        <w:jc w:val="both"/>
        <w:rPr>
          <w:rFonts w:ascii="Times New Roman" w:hAnsi="Times New Roman"/>
        </w:rPr>
      </w:pPr>
      <w:r>
        <w:rPr>
          <w:rFonts w:ascii="Times New Roman" w:hAnsi="Times New Roman"/>
        </w:rPr>
        <w:t>Уз</w:t>
      </w:r>
      <w:r w:rsidR="00F2146D" w:rsidRPr="00295637">
        <w:rPr>
          <w:rFonts w:ascii="Times New Roman" w:hAnsi="Times New Roman"/>
        </w:rPr>
        <w:t xml:space="preserve"> </w:t>
      </w:r>
      <w:r>
        <w:rPr>
          <w:rFonts w:ascii="Times New Roman" w:hAnsi="Times New Roman"/>
        </w:rPr>
        <w:t>подршку</w:t>
      </w:r>
      <w:r w:rsidR="00F2146D" w:rsidRPr="00295637">
        <w:rPr>
          <w:rFonts w:ascii="Times New Roman" w:hAnsi="Times New Roman"/>
        </w:rPr>
        <w:t xml:space="preserve"> </w:t>
      </w:r>
      <w:r w:rsidR="00870C36" w:rsidRPr="00870C36">
        <w:rPr>
          <w:rFonts w:ascii="Times New Roman" w:hAnsi="Times New Roman"/>
          <w:i/>
          <w:lang w:val="hr-BA"/>
        </w:rPr>
        <w:t>UNDP</w:t>
      </w:r>
      <w:r w:rsidR="00F2146D" w:rsidRPr="00295637">
        <w:rPr>
          <w:rFonts w:ascii="Times New Roman" w:hAnsi="Times New Roman"/>
        </w:rPr>
        <w:t>-</w:t>
      </w:r>
      <w:r>
        <w:rPr>
          <w:rFonts w:ascii="Times New Roman" w:hAnsi="Times New Roman"/>
        </w:rPr>
        <w:t>а</w:t>
      </w:r>
      <w:r w:rsidR="00F2146D" w:rsidRPr="00295637">
        <w:rPr>
          <w:rFonts w:ascii="Times New Roman" w:hAnsi="Times New Roman"/>
        </w:rPr>
        <w:t xml:space="preserve">, </w:t>
      </w:r>
      <w:r>
        <w:rPr>
          <w:rFonts w:ascii="Times New Roman" w:hAnsi="Times New Roman"/>
        </w:rPr>
        <w:t>АР</w:t>
      </w:r>
      <w:r w:rsidR="00870C36">
        <w:rPr>
          <w:rFonts w:ascii="Times New Roman" w:hAnsi="Times New Roman"/>
          <w:lang w:val="sr-Cyrl-BA"/>
        </w:rPr>
        <w:t>П</w:t>
      </w:r>
      <w:r w:rsidR="00BE0900">
        <w:rPr>
          <w:rFonts w:ascii="Times New Roman" w:hAnsi="Times New Roman"/>
        </w:rPr>
        <w:t xml:space="preserve"> </w:t>
      </w:r>
      <w:r>
        <w:rPr>
          <w:rFonts w:ascii="Times New Roman" w:hAnsi="Times New Roman"/>
        </w:rPr>
        <w:t>БиХ</w:t>
      </w:r>
      <w:r w:rsidR="00BE0900">
        <w:rPr>
          <w:rFonts w:ascii="Times New Roman" w:hAnsi="Times New Roman"/>
        </w:rPr>
        <w:t xml:space="preserve"> </w:t>
      </w:r>
      <w:r>
        <w:rPr>
          <w:rFonts w:ascii="Times New Roman" w:hAnsi="Times New Roman"/>
        </w:rPr>
        <w:t>МЉПИ</w:t>
      </w:r>
      <w:r w:rsidR="00BE0900">
        <w:rPr>
          <w:rFonts w:ascii="Times New Roman" w:hAnsi="Times New Roman"/>
        </w:rPr>
        <w:t xml:space="preserve"> </w:t>
      </w:r>
      <w:r>
        <w:rPr>
          <w:rFonts w:ascii="Times New Roman" w:hAnsi="Times New Roman"/>
        </w:rPr>
        <w:t>БиХ</w:t>
      </w:r>
      <w:r w:rsidR="004F4ED0" w:rsidRPr="00295637">
        <w:rPr>
          <w:rFonts w:ascii="Times New Roman" w:hAnsi="Times New Roman"/>
        </w:rPr>
        <w:t xml:space="preserve"> </w:t>
      </w:r>
      <w:r>
        <w:rPr>
          <w:rFonts w:ascii="Times New Roman" w:hAnsi="Times New Roman"/>
        </w:rPr>
        <w:t>реализ</w:t>
      </w:r>
      <w:r w:rsidR="00870C36">
        <w:rPr>
          <w:rFonts w:ascii="Times New Roman" w:hAnsi="Times New Roman"/>
          <w:lang w:val="sr-Cyrl-BA"/>
        </w:rPr>
        <w:t>овала</w:t>
      </w:r>
      <w:r w:rsidR="00F2146D" w:rsidRPr="00295637">
        <w:rPr>
          <w:rFonts w:ascii="Times New Roman" w:hAnsi="Times New Roman"/>
        </w:rPr>
        <w:t xml:space="preserve"> </w:t>
      </w:r>
      <w:r>
        <w:rPr>
          <w:rFonts w:ascii="Times New Roman" w:hAnsi="Times New Roman"/>
        </w:rPr>
        <w:t>је</w:t>
      </w:r>
      <w:r w:rsidR="00BE0900" w:rsidRPr="00295637">
        <w:rPr>
          <w:rFonts w:ascii="Times New Roman" w:hAnsi="Times New Roman"/>
        </w:rPr>
        <w:t xml:space="preserve"> </w:t>
      </w:r>
      <w:r>
        <w:rPr>
          <w:rFonts w:ascii="Times New Roman" w:hAnsi="Times New Roman"/>
        </w:rPr>
        <w:t>правну</w:t>
      </w:r>
      <w:r w:rsidR="00152155" w:rsidRPr="00295637">
        <w:rPr>
          <w:rFonts w:ascii="Times New Roman" w:hAnsi="Times New Roman"/>
        </w:rPr>
        <w:t xml:space="preserve"> </w:t>
      </w:r>
      <w:r>
        <w:rPr>
          <w:rFonts w:ascii="Times New Roman" w:hAnsi="Times New Roman"/>
        </w:rPr>
        <w:t>и</w:t>
      </w:r>
      <w:r w:rsidR="00152155" w:rsidRPr="00295637">
        <w:rPr>
          <w:rFonts w:ascii="Times New Roman" w:hAnsi="Times New Roman"/>
        </w:rPr>
        <w:t xml:space="preserve"> </w:t>
      </w:r>
      <w:r>
        <w:rPr>
          <w:rFonts w:ascii="Times New Roman" w:hAnsi="Times New Roman"/>
        </w:rPr>
        <w:t>компаративну</w:t>
      </w:r>
      <w:r w:rsidR="00152155" w:rsidRPr="00295637">
        <w:rPr>
          <w:rFonts w:ascii="Times New Roman" w:hAnsi="Times New Roman"/>
        </w:rPr>
        <w:t xml:space="preserve"> </w:t>
      </w:r>
      <w:r>
        <w:rPr>
          <w:rFonts w:ascii="Times New Roman" w:hAnsi="Times New Roman"/>
        </w:rPr>
        <w:t>анализу</w:t>
      </w:r>
      <w:r w:rsidR="00BE0900">
        <w:rPr>
          <w:rFonts w:ascii="Times New Roman" w:hAnsi="Times New Roman"/>
        </w:rPr>
        <w:t xml:space="preserve"> </w:t>
      </w:r>
      <w:r>
        <w:rPr>
          <w:rFonts w:ascii="Times New Roman" w:hAnsi="Times New Roman"/>
        </w:rPr>
        <w:t>обавеза</w:t>
      </w:r>
      <w:r w:rsidR="00F2146D" w:rsidRPr="00295637">
        <w:rPr>
          <w:rFonts w:ascii="Times New Roman" w:hAnsi="Times New Roman"/>
        </w:rPr>
        <w:t xml:space="preserve"> </w:t>
      </w:r>
      <w:r>
        <w:rPr>
          <w:rFonts w:ascii="Times New Roman" w:hAnsi="Times New Roman"/>
        </w:rPr>
        <w:t>БиХ</w:t>
      </w:r>
      <w:r w:rsidR="00F2146D" w:rsidRPr="00295637">
        <w:rPr>
          <w:rFonts w:ascii="Times New Roman" w:hAnsi="Times New Roman"/>
        </w:rPr>
        <w:t xml:space="preserve"> </w:t>
      </w:r>
      <w:r>
        <w:rPr>
          <w:rFonts w:ascii="Times New Roman" w:hAnsi="Times New Roman"/>
        </w:rPr>
        <w:t>у</w:t>
      </w:r>
      <w:r w:rsidR="00F2146D" w:rsidRPr="00295637">
        <w:rPr>
          <w:rFonts w:ascii="Times New Roman" w:hAnsi="Times New Roman"/>
        </w:rPr>
        <w:t xml:space="preserve"> </w:t>
      </w:r>
      <w:r>
        <w:rPr>
          <w:rFonts w:ascii="Times New Roman" w:hAnsi="Times New Roman"/>
        </w:rPr>
        <w:t>свјетлу</w:t>
      </w:r>
      <w:r w:rsidR="00F2146D" w:rsidRPr="00295637">
        <w:rPr>
          <w:rFonts w:ascii="Times New Roman" w:hAnsi="Times New Roman"/>
        </w:rPr>
        <w:t xml:space="preserve"> </w:t>
      </w:r>
      <w:r>
        <w:rPr>
          <w:rFonts w:ascii="Times New Roman" w:hAnsi="Times New Roman"/>
        </w:rPr>
        <w:t>ЕУ</w:t>
      </w:r>
      <w:r w:rsidR="00F2146D" w:rsidRPr="00295637">
        <w:rPr>
          <w:rFonts w:ascii="Times New Roman" w:hAnsi="Times New Roman"/>
        </w:rPr>
        <w:t xml:space="preserve"> </w:t>
      </w:r>
      <w:r>
        <w:rPr>
          <w:rFonts w:ascii="Times New Roman" w:hAnsi="Times New Roman"/>
        </w:rPr>
        <w:t>регулативе</w:t>
      </w:r>
      <w:r w:rsidR="00F2146D" w:rsidRPr="00295637">
        <w:rPr>
          <w:rFonts w:ascii="Times New Roman" w:hAnsi="Times New Roman"/>
        </w:rPr>
        <w:t xml:space="preserve"> </w:t>
      </w:r>
      <w:r>
        <w:rPr>
          <w:rFonts w:ascii="Times New Roman" w:hAnsi="Times New Roman"/>
        </w:rPr>
        <w:t>за</w:t>
      </w:r>
      <w:r w:rsidR="00F2146D" w:rsidRPr="00295637">
        <w:rPr>
          <w:rFonts w:ascii="Times New Roman" w:hAnsi="Times New Roman"/>
        </w:rPr>
        <w:t xml:space="preserve"> </w:t>
      </w:r>
      <w:r>
        <w:rPr>
          <w:rFonts w:ascii="Times New Roman" w:hAnsi="Times New Roman"/>
        </w:rPr>
        <w:t>увођење</w:t>
      </w:r>
      <w:r w:rsidR="00F2146D" w:rsidRPr="00295637">
        <w:rPr>
          <w:rFonts w:ascii="Times New Roman" w:hAnsi="Times New Roman"/>
        </w:rPr>
        <w:t xml:space="preserve"> </w:t>
      </w:r>
      <w:r>
        <w:rPr>
          <w:rFonts w:ascii="Times New Roman" w:hAnsi="Times New Roman"/>
        </w:rPr>
        <w:t>флексибилног</w:t>
      </w:r>
      <w:r w:rsidR="00F2146D" w:rsidRPr="00295637">
        <w:rPr>
          <w:rFonts w:ascii="Times New Roman" w:hAnsi="Times New Roman"/>
        </w:rPr>
        <w:t xml:space="preserve"> </w:t>
      </w:r>
      <w:r>
        <w:rPr>
          <w:rFonts w:ascii="Times New Roman" w:hAnsi="Times New Roman"/>
        </w:rPr>
        <w:t>рада</w:t>
      </w:r>
      <w:r w:rsidR="00152155" w:rsidRPr="00295637">
        <w:rPr>
          <w:rFonts w:ascii="Times New Roman" w:hAnsi="Times New Roman"/>
        </w:rPr>
        <w:t>.</w:t>
      </w:r>
      <w:r w:rsidR="00F2146D" w:rsidRPr="00295637">
        <w:rPr>
          <w:rFonts w:ascii="Times New Roman" w:hAnsi="Times New Roman"/>
        </w:rPr>
        <w:t xml:space="preserve"> </w:t>
      </w:r>
      <w:r>
        <w:rPr>
          <w:rFonts w:ascii="Times New Roman" w:hAnsi="Times New Roman"/>
        </w:rPr>
        <w:t>Презентација</w:t>
      </w:r>
      <w:r w:rsidR="00F2146D" w:rsidRPr="00295637">
        <w:rPr>
          <w:rFonts w:ascii="Times New Roman" w:hAnsi="Times New Roman"/>
        </w:rPr>
        <w:t xml:space="preserve"> </w:t>
      </w:r>
      <w:r>
        <w:rPr>
          <w:rFonts w:ascii="Times New Roman" w:hAnsi="Times New Roman"/>
        </w:rPr>
        <w:t>и</w:t>
      </w:r>
      <w:r w:rsidR="00152155" w:rsidRPr="00295637">
        <w:rPr>
          <w:rFonts w:ascii="Times New Roman" w:hAnsi="Times New Roman"/>
        </w:rPr>
        <w:t xml:space="preserve"> </w:t>
      </w:r>
      <w:r>
        <w:rPr>
          <w:rFonts w:ascii="Times New Roman" w:hAnsi="Times New Roman"/>
        </w:rPr>
        <w:t>операционализација</w:t>
      </w:r>
      <w:r w:rsidR="00152155" w:rsidRPr="00295637">
        <w:rPr>
          <w:rFonts w:ascii="Times New Roman" w:hAnsi="Times New Roman"/>
        </w:rPr>
        <w:t xml:space="preserve"> </w:t>
      </w:r>
      <w:r>
        <w:rPr>
          <w:rFonts w:ascii="Times New Roman" w:hAnsi="Times New Roman"/>
        </w:rPr>
        <w:t>налаза</w:t>
      </w:r>
      <w:r w:rsidR="00F2146D" w:rsidRPr="00295637">
        <w:rPr>
          <w:rFonts w:ascii="Times New Roman" w:hAnsi="Times New Roman"/>
        </w:rPr>
        <w:t xml:space="preserve"> </w:t>
      </w:r>
      <w:r>
        <w:rPr>
          <w:rFonts w:ascii="Times New Roman" w:hAnsi="Times New Roman"/>
        </w:rPr>
        <w:t>анализе</w:t>
      </w:r>
      <w:r w:rsidR="00152155" w:rsidRPr="00295637">
        <w:rPr>
          <w:rFonts w:ascii="Times New Roman" w:hAnsi="Times New Roman"/>
        </w:rPr>
        <w:t xml:space="preserve"> </w:t>
      </w:r>
      <w:r w:rsidR="00BE0900">
        <w:rPr>
          <w:rFonts w:ascii="Times New Roman" w:hAnsi="Times New Roman"/>
        </w:rPr>
        <w:t>(</w:t>
      </w:r>
      <w:r>
        <w:rPr>
          <w:rFonts w:ascii="Times New Roman" w:hAnsi="Times New Roman"/>
        </w:rPr>
        <w:t>нпр</w:t>
      </w:r>
      <w:r w:rsidR="00BE0900">
        <w:rPr>
          <w:rFonts w:ascii="Times New Roman" w:hAnsi="Times New Roman"/>
        </w:rPr>
        <w:t xml:space="preserve">. </w:t>
      </w:r>
      <w:r>
        <w:rPr>
          <w:rFonts w:ascii="Times New Roman" w:hAnsi="Times New Roman"/>
        </w:rPr>
        <w:t>иницијатива</w:t>
      </w:r>
      <w:r w:rsidR="00BE0900">
        <w:rPr>
          <w:rFonts w:ascii="Times New Roman" w:hAnsi="Times New Roman"/>
        </w:rPr>
        <w:t xml:space="preserve"> </w:t>
      </w:r>
      <w:r>
        <w:rPr>
          <w:rFonts w:ascii="Times New Roman" w:hAnsi="Times New Roman"/>
        </w:rPr>
        <w:t>са</w:t>
      </w:r>
      <w:r w:rsidR="00F2146D" w:rsidRPr="00295637">
        <w:rPr>
          <w:rFonts w:ascii="Times New Roman" w:hAnsi="Times New Roman"/>
        </w:rPr>
        <w:t xml:space="preserve"> </w:t>
      </w:r>
      <w:r>
        <w:rPr>
          <w:rFonts w:ascii="Times New Roman" w:hAnsi="Times New Roman"/>
        </w:rPr>
        <w:t>релевантним</w:t>
      </w:r>
      <w:r w:rsidR="00F2146D" w:rsidRPr="00295637">
        <w:rPr>
          <w:rFonts w:ascii="Times New Roman" w:hAnsi="Times New Roman"/>
        </w:rPr>
        <w:t xml:space="preserve"> </w:t>
      </w:r>
      <w:r>
        <w:rPr>
          <w:rFonts w:ascii="Times New Roman" w:hAnsi="Times New Roman"/>
        </w:rPr>
        <w:t>институционалним</w:t>
      </w:r>
      <w:r w:rsidR="00F2146D" w:rsidRPr="00295637">
        <w:rPr>
          <w:rFonts w:ascii="Times New Roman" w:hAnsi="Times New Roman"/>
        </w:rPr>
        <w:t xml:space="preserve"> </w:t>
      </w:r>
      <w:r>
        <w:rPr>
          <w:rFonts w:ascii="Times New Roman" w:hAnsi="Times New Roman"/>
        </w:rPr>
        <w:t>партнерима</w:t>
      </w:r>
      <w:r w:rsidR="00F2146D" w:rsidRPr="00295637">
        <w:rPr>
          <w:rFonts w:ascii="Times New Roman" w:hAnsi="Times New Roman"/>
        </w:rPr>
        <w:t xml:space="preserve">) </w:t>
      </w:r>
      <w:r w:rsidR="00870C36">
        <w:rPr>
          <w:rFonts w:ascii="Times New Roman" w:hAnsi="Times New Roman"/>
        </w:rPr>
        <w:t>би</w:t>
      </w:r>
      <w:r>
        <w:rPr>
          <w:rFonts w:ascii="Times New Roman" w:hAnsi="Times New Roman"/>
        </w:rPr>
        <w:t>ће</w:t>
      </w:r>
      <w:r w:rsidR="00BE0900" w:rsidRPr="00295637">
        <w:rPr>
          <w:rFonts w:ascii="Times New Roman" w:hAnsi="Times New Roman"/>
        </w:rPr>
        <w:t xml:space="preserve"> </w:t>
      </w:r>
      <w:r>
        <w:rPr>
          <w:rFonts w:ascii="Times New Roman" w:hAnsi="Times New Roman"/>
        </w:rPr>
        <w:t>реализ</w:t>
      </w:r>
      <w:r w:rsidR="00870C36">
        <w:rPr>
          <w:rFonts w:ascii="Times New Roman" w:hAnsi="Times New Roman"/>
          <w:lang w:val="sr-Cyrl-BA"/>
        </w:rPr>
        <w:t>ована</w:t>
      </w:r>
      <w:r w:rsidR="00F2146D" w:rsidRPr="00295637">
        <w:rPr>
          <w:rFonts w:ascii="Times New Roman" w:hAnsi="Times New Roman"/>
        </w:rPr>
        <w:t xml:space="preserve"> </w:t>
      </w:r>
      <w:r>
        <w:rPr>
          <w:rFonts w:ascii="Times New Roman" w:hAnsi="Times New Roman"/>
        </w:rPr>
        <w:t>током</w:t>
      </w:r>
      <w:r w:rsidR="00F2146D" w:rsidRPr="00295637">
        <w:rPr>
          <w:rFonts w:ascii="Times New Roman" w:hAnsi="Times New Roman"/>
        </w:rPr>
        <w:t xml:space="preserve"> 2025</w:t>
      </w:r>
      <w:r w:rsidR="003C0643">
        <w:rPr>
          <w:rFonts w:ascii="Times New Roman" w:hAnsi="Times New Roman"/>
        </w:rPr>
        <w:t>.</w:t>
      </w:r>
      <w:r w:rsidR="00F2146D" w:rsidRPr="00295637">
        <w:rPr>
          <w:rFonts w:ascii="Times New Roman" w:hAnsi="Times New Roman"/>
        </w:rPr>
        <w:t xml:space="preserve"> </w:t>
      </w:r>
      <w:r>
        <w:rPr>
          <w:rFonts w:ascii="Times New Roman" w:hAnsi="Times New Roman"/>
        </w:rPr>
        <w:t>године</w:t>
      </w:r>
      <w:r w:rsidR="00F2146D" w:rsidRPr="00295637">
        <w:rPr>
          <w:rFonts w:ascii="Times New Roman" w:hAnsi="Times New Roman"/>
        </w:rPr>
        <w:t>.</w:t>
      </w:r>
    </w:p>
    <w:p w:rsidR="00F2146D" w:rsidRPr="00295637" w:rsidRDefault="00F2146D" w:rsidP="0086268D">
      <w:pPr>
        <w:pStyle w:val="Heading3"/>
        <w:numPr>
          <w:ilvl w:val="0"/>
          <w:numId w:val="0"/>
        </w:numPr>
        <w:tabs>
          <w:tab w:val="clear" w:pos="709"/>
          <w:tab w:val="left" w:pos="180"/>
          <w:tab w:val="left" w:pos="630"/>
          <w:tab w:val="left" w:pos="1080"/>
          <w:tab w:val="left" w:pos="2552"/>
        </w:tabs>
        <w:spacing w:after="0" w:line="240" w:lineRule="auto"/>
        <w:rPr>
          <w:rFonts w:ascii="Times New Roman" w:hAnsi="Times New Roman" w:cs="Times New Roman"/>
          <w:lang w:val="en-US"/>
        </w:rPr>
      </w:pPr>
    </w:p>
    <w:p w:rsidR="00BB539B" w:rsidRPr="00295637" w:rsidRDefault="00C6214E" w:rsidP="0086268D">
      <w:pPr>
        <w:jc w:val="both"/>
        <w:rPr>
          <w:rFonts w:ascii="Times New Roman" w:hAnsi="Times New Roman"/>
          <w:lang w:val="bs-Latn-BA"/>
        </w:rPr>
      </w:pPr>
      <w:r>
        <w:rPr>
          <w:rFonts w:ascii="Times New Roman" w:hAnsi="Times New Roman"/>
          <w:lang w:val="bs-Latn-BA"/>
        </w:rPr>
        <w:t>Увидом</w:t>
      </w:r>
      <w:r w:rsidR="00BB539B" w:rsidRPr="00295637">
        <w:rPr>
          <w:rFonts w:ascii="Times New Roman" w:hAnsi="Times New Roman"/>
          <w:lang w:val="bs-Latn-BA"/>
        </w:rPr>
        <w:t xml:space="preserve"> </w:t>
      </w:r>
      <w:r>
        <w:rPr>
          <w:rFonts w:ascii="Times New Roman" w:hAnsi="Times New Roman"/>
          <w:lang w:val="bs-Latn-BA"/>
        </w:rPr>
        <w:t>у</w:t>
      </w:r>
      <w:r w:rsidR="00BB539B" w:rsidRPr="00295637">
        <w:rPr>
          <w:rFonts w:ascii="Times New Roman" w:hAnsi="Times New Roman"/>
          <w:lang w:val="bs-Latn-BA"/>
        </w:rPr>
        <w:t xml:space="preserve"> </w:t>
      </w:r>
      <w:r>
        <w:rPr>
          <w:rFonts w:ascii="Times New Roman" w:hAnsi="Times New Roman"/>
          <w:lang w:val="bs-Latn-BA"/>
        </w:rPr>
        <w:t>Централиз</w:t>
      </w:r>
      <w:r w:rsidR="00870C36">
        <w:rPr>
          <w:rFonts w:ascii="Times New Roman" w:hAnsi="Times New Roman"/>
          <w:lang w:val="sr-Cyrl-BA"/>
        </w:rPr>
        <w:t>овани</w:t>
      </w:r>
      <w:r w:rsidR="00BB539B" w:rsidRPr="00295637">
        <w:rPr>
          <w:rFonts w:ascii="Times New Roman" w:hAnsi="Times New Roman"/>
          <w:lang w:val="bs-Latn-BA"/>
        </w:rPr>
        <w:t xml:space="preserve"> </w:t>
      </w:r>
      <w:r>
        <w:rPr>
          <w:rFonts w:ascii="Times New Roman" w:hAnsi="Times New Roman"/>
          <w:lang w:val="bs-Latn-BA"/>
        </w:rPr>
        <w:t>обрачун</w:t>
      </w:r>
      <w:r w:rsidR="00BB539B" w:rsidRPr="00295637">
        <w:rPr>
          <w:rFonts w:ascii="Times New Roman" w:hAnsi="Times New Roman"/>
          <w:lang w:val="bs-Latn-BA"/>
        </w:rPr>
        <w:t xml:space="preserve"> </w:t>
      </w:r>
      <w:r>
        <w:rPr>
          <w:rFonts w:ascii="Times New Roman" w:hAnsi="Times New Roman"/>
          <w:lang w:val="bs-Latn-BA"/>
        </w:rPr>
        <w:t>и</w:t>
      </w:r>
      <w:r w:rsidR="00BB539B" w:rsidRPr="00295637">
        <w:rPr>
          <w:rFonts w:ascii="Times New Roman" w:hAnsi="Times New Roman"/>
          <w:lang w:val="bs-Latn-BA"/>
        </w:rPr>
        <w:t xml:space="preserve"> </w:t>
      </w:r>
      <w:r>
        <w:rPr>
          <w:rFonts w:ascii="Times New Roman" w:hAnsi="Times New Roman"/>
          <w:lang w:val="bs-Latn-BA"/>
        </w:rPr>
        <w:t>исплату</w:t>
      </w:r>
      <w:r w:rsidR="00BB539B" w:rsidRPr="00295637">
        <w:rPr>
          <w:rFonts w:ascii="Times New Roman" w:hAnsi="Times New Roman"/>
          <w:lang w:val="bs-Latn-BA"/>
        </w:rPr>
        <w:t xml:space="preserve"> </w:t>
      </w:r>
      <w:r>
        <w:rPr>
          <w:rFonts w:ascii="Times New Roman" w:hAnsi="Times New Roman"/>
          <w:lang w:val="bs-Latn-BA"/>
        </w:rPr>
        <w:t>пла</w:t>
      </w:r>
      <w:r w:rsidR="00870C36">
        <w:rPr>
          <w:rFonts w:ascii="Times New Roman" w:hAnsi="Times New Roman"/>
          <w:lang w:val="sr-Cyrl-BA"/>
        </w:rPr>
        <w:t>т</w:t>
      </w:r>
      <w:r>
        <w:rPr>
          <w:rFonts w:ascii="Times New Roman" w:hAnsi="Times New Roman"/>
          <w:lang w:val="bs-Latn-BA"/>
        </w:rPr>
        <w:t>а</w:t>
      </w:r>
      <w:r w:rsidR="00BB539B" w:rsidRPr="00295637">
        <w:rPr>
          <w:rFonts w:ascii="Times New Roman" w:hAnsi="Times New Roman"/>
          <w:lang w:val="bs-Latn-BA"/>
        </w:rPr>
        <w:t xml:space="preserve"> </w:t>
      </w:r>
      <w:r>
        <w:rPr>
          <w:rFonts w:ascii="Times New Roman" w:hAnsi="Times New Roman"/>
          <w:lang w:val="bs-Latn-BA"/>
        </w:rPr>
        <w:t>у</w:t>
      </w:r>
      <w:r w:rsidR="00BB539B" w:rsidRPr="00295637">
        <w:rPr>
          <w:rFonts w:ascii="Times New Roman" w:hAnsi="Times New Roman"/>
          <w:lang w:val="bs-Latn-BA"/>
        </w:rPr>
        <w:t xml:space="preserve"> </w:t>
      </w:r>
      <w:r>
        <w:rPr>
          <w:rFonts w:ascii="Times New Roman" w:hAnsi="Times New Roman"/>
          <w:lang w:val="bs-Latn-BA"/>
        </w:rPr>
        <w:t>институцијама</w:t>
      </w:r>
      <w:r w:rsidR="00BB539B" w:rsidRPr="00295637">
        <w:rPr>
          <w:rFonts w:ascii="Times New Roman" w:hAnsi="Times New Roman"/>
          <w:lang w:val="bs-Latn-BA"/>
        </w:rPr>
        <w:t xml:space="preserve"> </w:t>
      </w:r>
      <w:r>
        <w:rPr>
          <w:rFonts w:ascii="Times New Roman" w:hAnsi="Times New Roman"/>
          <w:lang w:val="bs-Latn-BA"/>
        </w:rPr>
        <w:t>БиХ</w:t>
      </w:r>
      <w:r w:rsidR="004F4ED0" w:rsidRPr="00295637">
        <w:rPr>
          <w:rFonts w:ascii="Times New Roman" w:hAnsi="Times New Roman"/>
          <w:lang w:val="bs-Latn-BA"/>
        </w:rPr>
        <w:t xml:space="preserve">, </w:t>
      </w:r>
      <w:r>
        <w:rPr>
          <w:rFonts w:ascii="Times New Roman" w:hAnsi="Times New Roman"/>
          <w:lang w:val="bs-Latn-BA"/>
        </w:rPr>
        <w:t>МФТ</w:t>
      </w:r>
      <w:r w:rsidR="00BE0900">
        <w:rPr>
          <w:rFonts w:ascii="Times New Roman" w:hAnsi="Times New Roman"/>
          <w:lang w:val="bs-Latn-BA"/>
        </w:rPr>
        <w:t xml:space="preserve"> </w:t>
      </w:r>
      <w:r>
        <w:rPr>
          <w:rFonts w:ascii="Times New Roman" w:hAnsi="Times New Roman"/>
          <w:lang w:val="bs-Latn-BA"/>
        </w:rPr>
        <w:t>БиХ</w:t>
      </w:r>
      <w:r w:rsidR="004F4ED0" w:rsidRPr="00295637">
        <w:rPr>
          <w:rFonts w:ascii="Times New Roman" w:hAnsi="Times New Roman"/>
          <w:lang w:val="bs-Latn-BA"/>
        </w:rPr>
        <w:t xml:space="preserve"> </w:t>
      </w:r>
      <w:r>
        <w:rPr>
          <w:rFonts w:ascii="Times New Roman" w:hAnsi="Times New Roman"/>
          <w:lang w:val="bs-Latn-BA"/>
        </w:rPr>
        <w:t>је</w:t>
      </w:r>
      <w:r w:rsidR="00BB539B" w:rsidRPr="00295637">
        <w:rPr>
          <w:rFonts w:ascii="Times New Roman" w:hAnsi="Times New Roman"/>
          <w:lang w:val="bs-Latn-BA"/>
        </w:rPr>
        <w:t xml:space="preserve"> </w:t>
      </w:r>
      <w:r>
        <w:rPr>
          <w:rFonts w:ascii="Times New Roman" w:hAnsi="Times New Roman"/>
          <w:lang w:val="bs-Latn-BA"/>
        </w:rPr>
        <w:t>установило</w:t>
      </w:r>
      <w:r w:rsidR="00BB539B" w:rsidRPr="00295637">
        <w:rPr>
          <w:rFonts w:ascii="Times New Roman" w:hAnsi="Times New Roman"/>
          <w:lang w:val="bs-Latn-BA"/>
        </w:rPr>
        <w:t xml:space="preserve"> </w:t>
      </w:r>
      <w:r>
        <w:rPr>
          <w:rFonts w:ascii="Times New Roman" w:hAnsi="Times New Roman"/>
          <w:lang w:val="bs-Latn-BA"/>
        </w:rPr>
        <w:t>да</w:t>
      </w:r>
      <w:r w:rsidR="00BB539B" w:rsidRPr="00295637">
        <w:rPr>
          <w:rFonts w:ascii="Times New Roman" w:hAnsi="Times New Roman"/>
          <w:lang w:val="bs-Latn-BA"/>
        </w:rPr>
        <w:t xml:space="preserve"> </w:t>
      </w:r>
      <w:r>
        <w:rPr>
          <w:rFonts w:ascii="Times New Roman" w:hAnsi="Times New Roman"/>
          <w:lang w:val="bs-Latn-BA"/>
        </w:rPr>
        <w:t>је</w:t>
      </w:r>
      <w:r w:rsidR="00BB539B" w:rsidRPr="00295637">
        <w:rPr>
          <w:rFonts w:ascii="Times New Roman" w:hAnsi="Times New Roman"/>
          <w:lang w:val="bs-Latn-BA"/>
        </w:rPr>
        <w:t xml:space="preserve"> </w:t>
      </w:r>
      <w:r>
        <w:rPr>
          <w:rFonts w:ascii="Times New Roman" w:hAnsi="Times New Roman"/>
          <w:lang w:val="bs-Latn-BA"/>
        </w:rPr>
        <w:t>у</w:t>
      </w:r>
      <w:r w:rsidR="00BB539B" w:rsidRPr="00295637">
        <w:rPr>
          <w:rFonts w:ascii="Times New Roman" w:hAnsi="Times New Roman"/>
          <w:lang w:val="bs-Latn-BA"/>
        </w:rPr>
        <w:t xml:space="preserve"> </w:t>
      </w:r>
      <w:r>
        <w:rPr>
          <w:rFonts w:ascii="Times New Roman" w:hAnsi="Times New Roman"/>
          <w:lang w:val="bs-Latn-BA"/>
        </w:rPr>
        <w:t>извјештајном</w:t>
      </w:r>
      <w:r w:rsidR="00BB539B" w:rsidRPr="00295637">
        <w:rPr>
          <w:rFonts w:ascii="Times New Roman" w:hAnsi="Times New Roman"/>
          <w:lang w:val="bs-Latn-BA"/>
        </w:rPr>
        <w:t xml:space="preserve"> </w:t>
      </w:r>
      <w:r>
        <w:rPr>
          <w:rFonts w:ascii="Times New Roman" w:hAnsi="Times New Roman"/>
          <w:lang w:val="bs-Latn-BA"/>
        </w:rPr>
        <w:t>периоду</w:t>
      </w:r>
      <w:r w:rsidR="00BB539B" w:rsidRPr="00295637">
        <w:rPr>
          <w:rFonts w:ascii="Times New Roman" w:hAnsi="Times New Roman"/>
          <w:lang w:val="bs-Latn-BA"/>
        </w:rPr>
        <w:t xml:space="preserve"> </w:t>
      </w:r>
      <w:r>
        <w:rPr>
          <w:rFonts w:ascii="Times New Roman" w:hAnsi="Times New Roman"/>
          <w:lang w:val="bs-Latn-BA"/>
        </w:rPr>
        <w:t>седам</w:t>
      </w:r>
      <w:r w:rsidR="00BB539B" w:rsidRPr="00295637">
        <w:rPr>
          <w:rFonts w:ascii="Times New Roman" w:hAnsi="Times New Roman"/>
          <w:lang w:val="bs-Latn-BA"/>
        </w:rPr>
        <w:t xml:space="preserve"> </w:t>
      </w:r>
      <w:r>
        <w:rPr>
          <w:rFonts w:ascii="Times New Roman" w:hAnsi="Times New Roman"/>
          <w:lang w:val="bs-Latn-BA"/>
        </w:rPr>
        <w:t>мушкараца</w:t>
      </w:r>
      <w:r w:rsidR="00BB539B" w:rsidRPr="00295637">
        <w:rPr>
          <w:rFonts w:ascii="Times New Roman" w:hAnsi="Times New Roman"/>
          <w:lang w:val="bs-Latn-BA"/>
        </w:rPr>
        <w:t xml:space="preserve"> </w:t>
      </w:r>
      <w:r>
        <w:rPr>
          <w:rFonts w:ascii="Times New Roman" w:hAnsi="Times New Roman"/>
          <w:lang w:val="bs-Latn-BA"/>
        </w:rPr>
        <w:t>користило</w:t>
      </w:r>
      <w:r w:rsidR="00BB539B" w:rsidRPr="00295637">
        <w:rPr>
          <w:rFonts w:ascii="Times New Roman" w:hAnsi="Times New Roman"/>
          <w:lang w:val="bs-Latn-BA"/>
        </w:rPr>
        <w:t xml:space="preserve"> </w:t>
      </w:r>
      <w:r>
        <w:rPr>
          <w:rFonts w:ascii="Times New Roman" w:hAnsi="Times New Roman"/>
          <w:lang w:val="bs-Latn-BA"/>
        </w:rPr>
        <w:t>право</w:t>
      </w:r>
      <w:r w:rsidR="00BE0900">
        <w:rPr>
          <w:rFonts w:ascii="Times New Roman" w:hAnsi="Times New Roman"/>
          <w:lang w:val="bs-Latn-BA"/>
        </w:rPr>
        <w:t xml:space="preserve"> </w:t>
      </w:r>
      <w:r>
        <w:rPr>
          <w:rFonts w:ascii="Times New Roman" w:hAnsi="Times New Roman"/>
          <w:lang w:val="bs-Latn-BA"/>
        </w:rPr>
        <w:t>на</w:t>
      </w:r>
      <w:r w:rsidR="00BE0900">
        <w:rPr>
          <w:rFonts w:ascii="Times New Roman" w:hAnsi="Times New Roman"/>
          <w:lang w:val="bs-Latn-BA"/>
        </w:rPr>
        <w:t xml:space="preserve"> </w:t>
      </w:r>
      <w:r>
        <w:rPr>
          <w:rFonts w:ascii="Times New Roman" w:hAnsi="Times New Roman"/>
          <w:lang w:val="bs-Latn-BA"/>
        </w:rPr>
        <w:t>родитељско</w:t>
      </w:r>
      <w:r w:rsidR="00BE0900">
        <w:rPr>
          <w:rFonts w:ascii="Times New Roman" w:hAnsi="Times New Roman"/>
          <w:lang w:val="bs-Latn-BA"/>
        </w:rPr>
        <w:t xml:space="preserve"> </w:t>
      </w:r>
      <w:r>
        <w:rPr>
          <w:rFonts w:ascii="Times New Roman" w:hAnsi="Times New Roman"/>
          <w:lang w:val="bs-Latn-BA"/>
        </w:rPr>
        <w:t>одсуство</w:t>
      </w:r>
      <w:r w:rsidR="00BE0900">
        <w:rPr>
          <w:rFonts w:ascii="Times New Roman" w:hAnsi="Times New Roman"/>
          <w:lang w:val="bs-Latn-BA"/>
        </w:rPr>
        <w:t xml:space="preserve"> </w:t>
      </w:r>
      <w:r>
        <w:rPr>
          <w:rFonts w:ascii="Times New Roman" w:hAnsi="Times New Roman"/>
          <w:lang w:val="bs-Latn-BA"/>
        </w:rPr>
        <w:t>са</w:t>
      </w:r>
      <w:r w:rsidR="00BB539B" w:rsidRPr="00295637">
        <w:rPr>
          <w:rFonts w:ascii="Times New Roman" w:hAnsi="Times New Roman"/>
          <w:lang w:val="bs-Latn-BA"/>
        </w:rPr>
        <w:t xml:space="preserve"> </w:t>
      </w:r>
      <w:r>
        <w:rPr>
          <w:rFonts w:ascii="Times New Roman" w:hAnsi="Times New Roman"/>
          <w:lang w:val="bs-Latn-BA"/>
        </w:rPr>
        <w:t>посла</w:t>
      </w:r>
      <w:r w:rsidR="00BB539B" w:rsidRPr="00295637">
        <w:rPr>
          <w:rFonts w:ascii="Times New Roman" w:hAnsi="Times New Roman"/>
          <w:lang w:val="bs-Latn-BA"/>
        </w:rPr>
        <w:t xml:space="preserve"> </w:t>
      </w:r>
      <w:r>
        <w:rPr>
          <w:rFonts w:ascii="Times New Roman" w:hAnsi="Times New Roman"/>
          <w:lang w:val="bs-Latn-BA"/>
        </w:rPr>
        <w:t>у</w:t>
      </w:r>
      <w:r w:rsidR="00BB539B" w:rsidRPr="00295637">
        <w:rPr>
          <w:rFonts w:ascii="Times New Roman" w:hAnsi="Times New Roman"/>
          <w:lang w:val="bs-Latn-BA"/>
        </w:rPr>
        <w:t xml:space="preserve"> </w:t>
      </w:r>
      <w:r>
        <w:rPr>
          <w:rFonts w:ascii="Times New Roman" w:hAnsi="Times New Roman"/>
          <w:lang w:val="bs-Latn-BA"/>
        </w:rPr>
        <w:t>институцијама</w:t>
      </w:r>
      <w:r w:rsidR="009E54A2" w:rsidRPr="00295637">
        <w:rPr>
          <w:rFonts w:ascii="Times New Roman" w:hAnsi="Times New Roman"/>
          <w:lang w:val="bs-Latn-BA"/>
        </w:rPr>
        <w:t xml:space="preserve"> </w:t>
      </w:r>
      <w:r>
        <w:rPr>
          <w:rFonts w:ascii="Times New Roman" w:hAnsi="Times New Roman"/>
          <w:lang w:val="bs-Latn-BA"/>
        </w:rPr>
        <w:t>БиХ</w:t>
      </w:r>
      <w:r w:rsidR="00BE0900">
        <w:rPr>
          <w:rFonts w:ascii="Times New Roman" w:hAnsi="Times New Roman"/>
          <w:lang w:val="bs-Latn-BA"/>
        </w:rPr>
        <w:t xml:space="preserve">, </w:t>
      </w:r>
      <w:r>
        <w:rPr>
          <w:rFonts w:ascii="Times New Roman" w:hAnsi="Times New Roman"/>
          <w:lang w:val="bs-Latn-BA"/>
        </w:rPr>
        <w:t>док</w:t>
      </w:r>
      <w:r w:rsidR="00BE0900">
        <w:rPr>
          <w:rFonts w:ascii="Times New Roman" w:hAnsi="Times New Roman"/>
          <w:lang w:val="bs-Latn-BA"/>
        </w:rPr>
        <w:t xml:space="preserve"> </w:t>
      </w:r>
      <w:r>
        <w:rPr>
          <w:rFonts w:ascii="Times New Roman" w:hAnsi="Times New Roman"/>
          <w:lang w:val="bs-Latn-BA"/>
        </w:rPr>
        <w:t>је</w:t>
      </w:r>
      <w:r w:rsidR="00BE0900">
        <w:rPr>
          <w:rFonts w:ascii="Times New Roman" w:hAnsi="Times New Roman"/>
          <w:lang w:val="bs-Latn-BA"/>
        </w:rPr>
        <w:t xml:space="preserve"> </w:t>
      </w:r>
      <w:r>
        <w:rPr>
          <w:rFonts w:ascii="Times New Roman" w:hAnsi="Times New Roman"/>
          <w:lang w:val="bs-Latn-BA"/>
        </w:rPr>
        <w:t>у</w:t>
      </w:r>
      <w:r w:rsidR="00BE0900">
        <w:rPr>
          <w:rFonts w:ascii="Times New Roman" w:hAnsi="Times New Roman"/>
          <w:lang w:val="bs-Latn-BA"/>
        </w:rPr>
        <w:t xml:space="preserve"> </w:t>
      </w:r>
      <w:r>
        <w:rPr>
          <w:rFonts w:ascii="Times New Roman" w:hAnsi="Times New Roman"/>
          <w:lang w:val="bs-Latn-BA"/>
        </w:rPr>
        <w:t>Министарству</w:t>
      </w:r>
      <w:r w:rsidR="00BE0900">
        <w:rPr>
          <w:rFonts w:ascii="Times New Roman" w:hAnsi="Times New Roman"/>
          <w:lang w:val="bs-Latn-BA"/>
        </w:rPr>
        <w:t xml:space="preserve"> </w:t>
      </w:r>
      <w:r>
        <w:rPr>
          <w:rFonts w:ascii="Times New Roman" w:hAnsi="Times New Roman"/>
          <w:lang w:val="bs-Latn-BA"/>
        </w:rPr>
        <w:t>одбране</w:t>
      </w:r>
      <w:r w:rsidR="00BB539B" w:rsidRPr="00295637">
        <w:rPr>
          <w:rFonts w:ascii="Times New Roman" w:hAnsi="Times New Roman"/>
          <w:lang w:val="bs-Latn-BA"/>
        </w:rPr>
        <w:t xml:space="preserve"> </w:t>
      </w:r>
      <w:r>
        <w:rPr>
          <w:rFonts w:ascii="Times New Roman" w:hAnsi="Times New Roman"/>
          <w:lang w:val="bs-Latn-BA"/>
        </w:rPr>
        <w:t>БиХ</w:t>
      </w:r>
      <w:r w:rsidR="00BB539B" w:rsidRPr="00295637">
        <w:rPr>
          <w:rFonts w:ascii="Times New Roman" w:hAnsi="Times New Roman"/>
          <w:lang w:val="bs-Latn-BA"/>
        </w:rPr>
        <w:t xml:space="preserve"> </w:t>
      </w:r>
      <w:r>
        <w:rPr>
          <w:rFonts w:ascii="Times New Roman" w:hAnsi="Times New Roman"/>
          <w:lang w:val="bs-Latn-BA"/>
        </w:rPr>
        <w:t>и</w:t>
      </w:r>
      <w:r w:rsidR="00BB539B" w:rsidRPr="00295637">
        <w:rPr>
          <w:rFonts w:ascii="Times New Roman" w:hAnsi="Times New Roman"/>
          <w:lang w:val="bs-Latn-BA"/>
        </w:rPr>
        <w:t xml:space="preserve"> </w:t>
      </w:r>
      <w:r>
        <w:rPr>
          <w:rFonts w:ascii="Times New Roman" w:hAnsi="Times New Roman"/>
          <w:lang w:val="bs-Latn-BA"/>
        </w:rPr>
        <w:t>Оружаним</w:t>
      </w:r>
      <w:r w:rsidR="00BB539B" w:rsidRPr="00295637">
        <w:rPr>
          <w:rFonts w:ascii="Times New Roman" w:hAnsi="Times New Roman"/>
          <w:lang w:val="bs-Latn-BA"/>
        </w:rPr>
        <w:t xml:space="preserve"> </w:t>
      </w:r>
      <w:r>
        <w:rPr>
          <w:rFonts w:ascii="Times New Roman" w:hAnsi="Times New Roman"/>
          <w:lang w:val="bs-Latn-BA"/>
        </w:rPr>
        <w:t>снагама</w:t>
      </w:r>
      <w:r w:rsidR="00BB539B" w:rsidRPr="00295637">
        <w:rPr>
          <w:rFonts w:ascii="Times New Roman" w:hAnsi="Times New Roman"/>
          <w:lang w:val="bs-Latn-BA"/>
        </w:rPr>
        <w:t xml:space="preserve"> 16 </w:t>
      </w:r>
      <w:r>
        <w:rPr>
          <w:rFonts w:ascii="Times New Roman" w:hAnsi="Times New Roman"/>
          <w:lang w:val="bs-Latn-BA"/>
        </w:rPr>
        <w:t>мушкараца</w:t>
      </w:r>
      <w:r w:rsidR="00BB539B" w:rsidRPr="00295637">
        <w:rPr>
          <w:rFonts w:ascii="Times New Roman" w:hAnsi="Times New Roman"/>
          <w:lang w:val="bs-Latn-BA"/>
        </w:rPr>
        <w:t xml:space="preserve"> </w:t>
      </w:r>
      <w:r>
        <w:rPr>
          <w:rFonts w:ascii="Times New Roman" w:hAnsi="Times New Roman"/>
          <w:lang w:val="bs-Latn-BA"/>
        </w:rPr>
        <w:t>који</w:t>
      </w:r>
      <w:r w:rsidR="00BB539B" w:rsidRPr="00295637">
        <w:rPr>
          <w:rFonts w:ascii="Times New Roman" w:hAnsi="Times New Roman"/>
          <w:lang w:val="bs-Latn-BA"/>
        </w:rPr>
        <w:t xml:space="preserve"> </w:t>
      </w:r>
      <w:r>
        <w:rPr>
          <w:rFonts w:ascii="Times New Roman" w:hAnsi="Times New Roman"/>
          <w:lang w:val="bs-Latn-BA"/>
        </w:rPr>
        <w:t>су</w:t>
      </w:r>
      <w:r w:rsidR="00BB539B" w:rsidRPr="00295637">
        <w:rPr>
          <w:rFonts w:ascii="Times New Roman" w:hAnsi="Times New Roman"/>
          <w:lang w:val="bs-Latn-BA"/>
        </w:rPr>
        <w:t xml:space="preserve"> </w:t>
      </w:r>
      <w:r>
        <w:rPr>
          <w:rFonts w:ascii="Times New Roman" w:hAnsi="Times New Roman"/>
          <w:lang w:val="bs-Latn-BA"/>
        </w:rPr>
        <w:t>користило</w:t>
      </w:r>
      <w:r w:rsidR="00BB539B" w:rsidRPr="00295637">
        <w:rPr>
          <w:rFonts w:ascii="Times New Roman" w:hAnsi="Times New Roman"/>
          <w:lang w:val="bs-Latn-BA"/>
        </w:rPr>
        <w:t xml:space="preserve"> </w:t>
      </w:r>
      <w:r>
        <w:rPr>
          <w:rFonts w:ascii="Times New Roman" w:hAnsi="Times New Roman"/>
          <w:lang w:val="bs-Latn-BA"/>
        </w:rPr>
        <w:t>право</w:t>
      </w:r>
      <w:r w:rsidR="00BE0900">
        <w:rPr>
          <w:rFonts w:ascii="Times New Roman" w:hAnsi="Times New Roman"/>
          <w:lang w:val="bs-Latn-BA"/>
        </w:rPr>
        <w:t xml:space="preserve"> </w:t>
      </w:r>
      <w:r>
        <w:rPr>
          <w:rFonts w:ascii="Times New Roman" w:hAnsi="Times New Roman"/>
          <w:lang w:val="bs-Latn-BA"/>
        </w:rPr>
        <w:t>на</w:t>
      </w:r>
      <w:r w:rsidR="00BE0900">
        <w:rPr>
          <w:rFonts w:ascii="Times New Roman" w:hAnsi="Times New Roman"/>
          <w:lang w:val="bs-Latn-BA"/>
        </w:rPr>
        <w:t xml:space="preserve"> </w:t>
      </w:r>
      <w:r>
        <w:rPr>
          <w:rFonts w:ascii="Times New Roman" w:hAnsi="Times New Roman"/>
          <w:lang w:val="bs-Latn-BA"/>
        </w:rPr>
        <w:t>родитељско</w:t>
      </w:r>
      <w:r w:rsidR="00BE0900">
        <w:rPr>
          <w:rFonts w:ascii="Times New Roman" w:hAnsi="Times New Roman"/>
          <w:lang w:val="bs-Latn-BA"/>
        </w:rPr>
        <w:t xml:space="preserve"> </w:t>
      </w:r>
      <w:r>
        <w:rPr>
          <w:rFonts w:ascii="Times New Roman" w:hAnsi="Times New Roman"/>
          <w:lang w:val="bs-Latn-BA"/>
        </w:rPr>
        <w:t>одсуство</w:t>
      </w:r>
      <w:r w:rsidR="00BE0900">
        <w:rPr>
          <w:rFonts w:ascii="Times New Roman" w:hAnsi="Times New Roman"/>
          <w:lang w:val="bs-Latn-BA"/>
        </w:rPr>
        <w:t xml:space="preserve"> </w:t>
      </w:r>
      <w:r>
        <w:rPr>
          <w:rFonts w:ascii="Times New Roman" w:hAnsi="Times New Roman"/>
          <w:lang w:val="bs-Latn-BA"/>
        </w:rPr>
        <w:t>са</w:t>
      </w:r>
      <w:r w:rsidR="00BB539B" w:rsidRPr="00295637">
        <w:rPr>
          <w:rFonts w:ascii="Times New Roman" w:hAnsi="Times New Roman"/>
          <w:lang w:val="bs-Latn-BA"/>
        </w:rPr>
        <w:t xml:space="preserve"> </w:t>
      </w:r>
      <w:r>
        <w:rPr>
          <w:rFonts w:ascii="Times New Roman" w:hAnsi="Times New Roman"/>
          <w:lang w:val="bs-Latn-BA"/>
        </w:rPr>
        <w:t>посла</w:t>
      </w:r>
      <w:r w:rsidR="00BB539B" w:rsidRPr="00295637">
        <w:rPr>
          <w:rFonts w:ascii="Times New Roman" w:hAnsi="Times New Roman"/>
          <w:lang w:val="bs-Latn-BA"/>
        </w:rPr>
        <w:t xml:space="preserve">. </w:t>
      </w:r>
      <w:r>
        <w:rPr>
          <w:rFonts w:ascii="Times New Roman" w:hAnsi="Times New Roman"/>
          <w:lang w:val="bs-Latn-BA"/>
        </w:rPr>
        <w:t>Укупно</w:t>
      </w:r>
      <w:r w:rsidR="00BB539B" w:rsidRPr="00295637">
        <w:rPr>
          <w:rFonts w:ascii="Times New Roman" w:hAnsi="Times New Roman"/>
          <w:lang w:val="bs-Latn-BA"/>
        </w:rPr>
        <w:t xml:space="preserve">, 23 </w:t>
      </w:r>
      <w:r>
        <w:rPr>
          <w:rFonts w:ascii="Times New Roman" w:hAnsi="Times New Roman"/>
          <w:lang w:val="bs-Latn-BA"/>
        </w:rPr>
        <w:t>мушкарца</w:t>
      </w:r>
      <w:r w:rsidR="00BB539B" w:rsidRPr="00295637">
        <w:rPr>
          <w:rFonts w:ascii="Times New Roman" w:hAnsi="Times New Roman"/>
          <w:lang w:val="bs-Latn-BA"/>
        </w:rPr>
        <w:t xml:space="preserve"> </w:t>
      </w:r>
      <w:r>
        <w:rPr>
          <w:rFonts w:ascii="Times New Roman" w:hAnsi="Times New Roman"/>
          <w:lang w:val="bs-Latn-BA"/>
        </w:rPr>
        <w:t>у</w:t>
      </w:r>
      <w:r w:rsidR="00BB539B" w:rsidRPr="00295637">
        <w:rPr>
          <w:rFonts w:ascii="Times New Roman" w:hAnsi="Times New Roman"/>
          <w:lang w:val="bs-Latn-BA"/>
        </w:rPr>
        <w:t xml:space="preserve"> </w:t>
      </w:r>
      <w:r>
        <w:rPr>
          <w:rFonts w:ascii="Times New Roman" w:hAnsi="Times New Roman"/>
          <w:lang w:val="bs-Latn-BA"/>
        </w:rPr>
        <w:t>институцијама</w:t>
      </w:r>
      <w:r w:rsidR="00050016">
        <w:rPr>
          <w:rFonts w:ascii="Times New Roman" w:hAnsi="Times New Roman"/>
          <w:lang w:val="bs-Latn-BA"/>
        </w:rPr>
        <w:t xml:space="preserve"> </w:t>
      </w:r>
      <w:r>
        <w:rPr>
          <w:rFonts w:ascii="Times New Roman" w:hAnsi="Times New Roman"/>
          <w:lang w:val="bs-Latn-BA"/>
        </w:rPr>
        <w:t>БиХ</w:t>
      </w:r>
      <w:r w:rsidR="00BB539B" w:rsidRPr="00295637">
        <w:rPr>
          <w:rFonts w:ascii="Times New Roman" w:hAnsi="Times New Roman"/>
          <w:lang w:val="bs-Latn-BA"/>
        </w:rPr>
        <w:t xml:space="preserve"> </w:t>
      </w:r>
      <w:r>
        <w:rPr>
          <w:rFonts w:ascii="Times New Roman" w:hAnsi="Times New Roman"/>
          <w:lang w:val="bs-Latn-BA"/>
        </w:rPr>
        <w:t>користили</w:t>
      </w:r>
      <w:r w:rsidR="00BB539B" w:rsidRPr="00295637">
        <w:rPr>
          <w:rFonts w:ascii="Times New Roman" w:hAnsi="Times New Roman"/>
          <w:lang w:val="bs-Latn-BA"/>
        </w:rPr>
        <w:t xml:space="preserve"> </w:t>
      </w:r>
      <w:r>
        <w:rPr>
          <w:rFonts w:ascii="Times New Roman" w:hAnsi="Times New Roman"/>
          <w:lang w:val="bs-Latn-BA"/>
        </w:rPr>
        <w:t>су</w:t>
      </w:r>
      <w:r w:rsidR="00BE0900" w:rsidRPr="00295637">
        <w:rPr>
          <w:rFonts w:ascii="Times New Roman" w:hAnsi="Times New Roman"/>
          <w:lang w:val="bs-Latn-BA"/>
        </w:rPr>
        <w:t xml:space="preserve"> </w:t>
      </w:r>
      <w:r>
        <w:rPr>
          <w:rFonts w:ascii="Times New Roman" w:hAnsi="Times New Roman"/>
          <w:lang w:val="bs-Latn-BA"/>
        </w:rPr>
        <w:t>право</w:t>
      </w:r>
      <w:r w:rsidR="00BB539B" w:rsidRPr="00295637">
        <w:rPr>
          <w:rFonts w:ascii="Times New Roman" w:hAnsi="Times New Roman"/>
          <w:lang w:val="bs-Latn-BA"/>
        </w:rPr>
        <w:t xml:space="preserve"> </w:t>
      </w:r>
      <w:r>
        <w:rPr>
          <w:rFonts w:ascii="Times New Roman" w:hAnsi="Times New Roman"/>
          <w:lang w:val="bs-Latn-BA"/>
        </w:rPr>
        <w:t>на</w:t>
      </w:r>
      <w:r w:rsidR="00BB539B" w:rsidRPr="00295637">
        <w:rPr>
          <w:rFonts w:ascii="Times New Roman" w:hAnsi="Times New Roman"/>
          <w:lang w:val="bs-Latn-BA"/>
        </w:rPr>
        <w:t xml:space="preserve"> </w:t>
      </w:r>
      <w:r>
        <w:rPr>
          <w:rFonts w:ascii="Times New Roman" w:hAnsi="Times New Roman"/>
          <w:lang w:val="bs-Latn-BA"/>
        </w:rPr>
        <w:t>родитељско</w:t>
      </w:r>
      <w:r w:rsidR="00BB539B" w:rsidRPr="00295637">
        <w:rPr>
          <w:rFonts w:ascii="Times New Roman" w:hAnsi="Times New Roman"/>
          <w:lang w:val="bs-Latn-BA"/>
        </w:rPr>
        <w:t xml:space="preserve"> </w:t>
      </w:r>
      <w:r>
        <w:rPr>
          <w:rFonts w:ascii="Times New Roman" w:hAnsi="Times New Roman"/>
          <w:lang w:val="bs-Latn-BA"/>
        </w:rPr>
        <w:t>одсуство</w:t>
      </w:r>
      <w:r w:rsidR="00BB539B" w:rsidRPr="00295637">
        <w:rPr>
          <w:rFonts w:ascii="Times New Roman" w:hAnsi="Times New Roman"/>
          <w:lang w:val="bs-Latn-BA"/>
        </w:rPr>
        <w:t xml:space="preserve"> </w:t>
      </w:r>
      <w:r>
        <w:rPr>
          <w:rFonts w:ascii="Times New Roman" w:hAnsi="Times New Roman"/>
          <w:lang w:val="bs-Latn-BA"/>
        </w:rPr>
        <w:t>у</w:t>
      </w:r>
      <w:r w:rsidR="00BB539B" w:rsidRPr="00295637">
        <w:rPr>
          <w:rFonts w:ascii="Times New Roman" w:hAnsi="Times New Roman"/>
          <w:lang w:val="bs-Latn-BA"/>
        </w:rPr>
        <w:t xml:space="preserve"> </w:t>
      </w:r>
      <w:r>
        <w:rPr>
          <w:rFonts w:ascii="Times New Roman" w:hAnsi="Times New Roman"/>
          <w:lang w:val="bs-Latn-BA"/>
        </w:rPr>
        <w:t>наведеном</w:t>
      </w:r>
      <w:r w:rsidR="00BB539B" w:rsidRPr="00295637">
        <w:rPr>
          <w:rFonts w:ascii="Times New Roman" w:hAnsi="Times New Roman"/>
          <w:lang w:val="bs-Latn-BA"/>
        </w:rPr>
        <w:t xml:space="preserve"> </w:t>
      </w:r>
      <w:r>
        <w:rPr>
          <w:rFonts w:ascii="Times New Roman" w:hAnsi="Times New Roman"/>
          <w:lang w:val="bs-Latn-BA"/>
        </w:rPr>
        <w:t>периоду</w:t>
      </w:r>
      <w:r w:rsidR="00BB539B" w:rsidRPr="00295637">
        <w:rPr>
          <w:rFonts w:ascii="Times New Roman" w:hAnsi="Times New Roman"/>
          <w:lang w:val="bs-Latn-BA"/>
        </w:rPr>
        <w:t>.</w:t>
      </w:r>
      <w:bookmarkEnd w:id="28"/>
      <w:r w:rsidR="00152155" w:rsidRPr="00295637">
        <w:rPr>
          <w:rFonts w:ascii="Times New Roman" w:hAnsi="Times New Roman"/>
          <w:lang w:val="bs-Latn-BA"/>
        </w:rPr>
        <w:t xml:space="preserve"> </w:t>
      </w:r>
    </w:p>
    <w:p w:rsidR="0003260F" w:rsidRPr="00295637" w:rsidRDefault="0003260F" w:rsidP="0003260F">
      <w:pPr>
        <w:jc w:val="both"/>
        <w:rPr>
          <w:rFonts w:ascii="Times New Roman" w:hAnsi="Times New Roman"/>
          <w:lang w:val="bs-Latn-BA"/>
        </w:rPr>
      </w:pPr>
    </w:p>
    <w:p w:rsidR="0003260F" w:rsidRPr="00AB7272" w:rsidRDefault="00C6214E" w:rsidP="0003260F">
      <w:pPr>
        <w:pStyle w:val="HTMLPreformatted"/>
        <w:jc w:val="both"/>
        <w:rPr>
          <w:rFonts w:ascii="inherit" w:hAnsi="inherit"/>
          <w:sz w:val="24"/>
          <w:szCs w:val="24"/>
        </w:rPr>
      </w:pPr>
      <w:r>
        <w:rPr>
          <w:rStyle w:val="y2iqfc"/>
          <w:rFonts w:ascii="inherit" w:hAnsi="inherit"/>
          <w:iCs/>
          <w:sz w:val="24"/>
          <w:szCs w:val="24"/>
        </w:rPr>
        <w:t>У</w:t>
      </w:r>
      <w:r w:rsidR="00BE0900" w:rsidRPr="00AB7272">
        <w:rPr>
          <w:rStyle w:val="y2iqfc"/>
          <w:rFonts w:ascii="inherit" w:hAnsi="inherit"/>
          <w:iCs/>
          <w:sz w:val="24"/>
          <w:szCs w:val="24"/>
        </w:rPr>
        <w:t xml:space="preserve"> </w:t>
      </w:r>
      <w:r>
        <w:rPr>
          <w:rStyle w:val="y2iqfc"/>
          <w:rFonts w:ascii="inherit" w:hAnsi="inherit"/>
          <w:iCs/>
          <w:sz w:val="24"/>
          <w:szCs w:val="24"/>
        </w:rPr>
        <w:t>ФБиХ</w:t>
      </w:r>
      <w:r w:rsidR="0003260F" w:rsidRPr="00AB7272">
        <w:rPr>
          <w:rStyle w:val="y2iqfc"/>
          <w:rFonts w:ascii="inherit" w:hAnsi="inherit"/>
          <w:iCs/>
          <w:sz w:val="24"/>
          <w:szCs w:val="24"/>
        </w:rPr>
        <w:t xml:space="preserve">, </w:t>
      </w:r>
      <w:r>
        <w:rPr>
          <w:rStyle w:val="y2iqfc"/>
          <w:rFonts w:ascii="inherit" w:hAnsi="inherit"/>
          <w:iCs/>
          <w:sz w:val="24"/>
          <w:szCs w:val="24"/>
        </w:rPr>
        <w:t>у</w:t>
      </w:r>
      <w:r>
        <w:rPr>
          <w:rStyle w:val="y2iqfc"/>
          <w:rFonts w:ascii="inherit" w:hAnsi="inherit"/>
          <w:sz w:val="24"/>
          <w:szCs w:val="24"/>
        </w:rPr>
        <w:t>кључивање</w:t>
      </w:r>
      <w:r w:rsidR="0003260F" w:rsidRPr="00AB7272">
        <w:rPr>
          <w:rStyle w:val="y2iqfc"/>
          <w:rFonts w:ascii="inherit" w:hAnsi="inherit"/>
          <w:sz w:val="24"/>
          <w:szCs w:val="24"/>
        </w:rPr>
        <w:t xml:space="preserve"> </w:t>
      </w:r>
      <w:r>
        <w:rPr>
          <w:rStyle w:val="y2iqfc"/>
          <w:rFonts w:ascii="inherit" w:hAnsi="inherit"/>
          <w:sz w:val="24"/>
          <w:szCs w:val="24"/>
        </w:rPr>
        <w:t>услуга</w:t>
      </w:r>
      <w:r w:rsidR="0003260F" w:rsidRPr="00AB7272">
        <w:rPr>
          <w:rStyle w:val="y2iqfc"/>
          <w:rFonts w:ascii="inherit" w:hAnsi="inherit"/>
          <w:sz w:val="24"/>
          <w:szCs w:val="24"/>
        </w:rPr>
        <w:t xml:space="preserve"> </w:t>
      </w:r>
      <w:r>
        <w:rPr>
          <w:rStyle w:val="y2iqfc"/>
          <w:rFonts w:ascii="inherit" w:hAnsi="inherit"/>
          <w:sz w:val="24"/>
          <w:szCs w:val="24"/>
        </w:rPr>
        <w:t>у</w:t>
      </w:r>
      <w:r w:rsidR="00AB7272">
        <w:rPr>
          <w:rStyle w:val="y2iqfc"/>
          <w:rFonts w:ascii="inherit" w:hAnsi="inherit"/>
          <w:sz w:val="24"/>
          <w:szCs w:val="24"/>
        </w:rPr>
        <w:t xml:space="preserve"> </w:t>
      </w:r>
      <w:r>
        <w:rPr>
          <w:rStyle w:val="y2iqfc"/>
          <w:rFonts w:ascii="inherit" w:hAnsi="inherit"/>
          <w:sz w:val="24"/>
          <w:szCs w:val="24"/>
        </w:rPr>
        <w:t>вези</w:t>
      </w:r>
      <w:r w:rsidR="00AB7272">
        <w:rPr>
          <w:rStyle w:val="y2iqfc"/>
          <w:rFonts w:ascii="inherit" w:hAnsi="inherit"/>
          <w:sz w:val="24"/>
          <w:szCs w:val="24"/>
        </w:rPr>
        <w:t xml:space="preserve"> </w:t>
      </w:r>
      <w:r>
        <w:rPr>
          <w:rStyle w:val="y2iqfc"/>
          <w:rFonts w:ascii="inherit" w:hAnsi="inherit"/>
          <w:sz w:val="24"/>
          <w:szCs w:val="24"/>
        </w:rPr>
        <w:t>са</w:t>
      </w:r>
      <w:r w:rsidR="0003260F" w:rsidRPr="00AB7272">
        <w:rPr>
          <w:rStyle w:val="y2iqfc"/>
          <w:rFonts w:ascii="inherit" w:hAnsi="inherit"/>
          <w:sz w:val="24"/>
          <w:szCs w:val="24"/>
        </w:rPr>
        <w:t xml:space="preserve"> </w:t>
      </w:r>
      <w:r>
        <w:rPr>
          <w:rStyle w:val="y2iqfc"/>
          <w:rFonts w:ascii="inherit" w:hAnsi="inherit"/>
          <w:sz w:val="24"/>
          <w:szCs w:val="24"/>
        </w:rPr>
        <w:t>његом</w:t>
      </w:r>
      <w:r w:rsidR="0003260F" w:rsidRPr="00AB7272">
        <w:rPr>
          <w:rStyle w:val="y2iqfc"/>
          <w:rFonts w:ascii="inherit" w:hAnsi="inherit"/>
          <w:sz w:val="24"/>
          <w:szCs w:val="24"/>
        </w:rPr>
        <w:t xml:space="preserve"> </w:t>
      </w:r>
      <w:r>
        <w:rPr>
          <w:rStyle w:val="y2iqfc"/>
          <w:rFonts w:ascii="inherit" w:hAnsi="inherit"/>
          <w:sz w:val="24"/>
          <w:szCs w:val="24"/>
        </w:rPr>
        <w:t>и</w:t>
      </w:r>
      <w:r w:rsidR="0003260F" w:rsidRPr="00AB7272">
        <w:rPr>
          <w:rStyle w:val="y2iqfc"/>
          <w:rFonts w:ascii="inherit" w:hAnsi="inherit"/>
          <w:sz w:val="24"/>
          <w:szCs w:val="24"/>
        </w:rPr>
        <w:t xml:space="preserve"> </w:t>
      </w:r>
      <w:r>
        <w:rPr>
          <w:rStyle w:val="y2iqfc"/>
          <w:rFonts w:ascii="inherit" w:hAnsi="inherit"/>
          <w:sz w:val="24"/>
          <w:szCs w:val="24"/>
        </w:rPr>
        <w:t>одредбама</w:t>
      </w:r>
      <w:r w:rsidR="0003260F" w:rsidRPr="00AB7272">
        <w:rPr>
          <w:rStyle w:val="y2iqfc"/>
          <w:rFonts w:ascii="inherit" w:hAnsi="inherit"/>
          <w:sz w:val="24"/>
          <w:szCs w:val="24"/>
        </w:rPr>
        <w:t xml:space="preserve"> </w:t>
      </w:r>
      <w:r>
        <w:rPr>
          <w:rStyle w:val="y2iqfc"/>
          <w:rFonts w:ascii="inherit" w:hAnsi="inherit"/>
          <w:sz w:val="24"/>
          <w:szCs w:val="24"/>
        </w:rPr>
        <w:t>осјетљивим</w:t>
      </w:r>
      <w:r w:rsidR="0003260F" w:rsidRPr="00AB7272">
        <w:rPr>
          <w:rStyle w:val="y2iqfc"/>
          <w:rFonts w:ascii="inherit" w:hAnsi="inherit"/>
          <w:sz w:val="24"/>
          <w:szCs w:val="24"/>
        </w:rPr>
        <w:t xml:space="preserve"> </w:t>
      </w:r>
      <w:r>
        <w:rPr>
          <w:rStyle w:val="y2iqfc"/>
          <w:rFonts w:ascii="inherit" w:hAnsi="inherit"/>
          <w:sz w:val="24"/>
          <w:szCs w:val="24"/>
        </w:rPr>
        <w:t>на</w:t>
      </w:r>
      <w:r w:rsidR="0003260F" w:rsidRPr="00AB7272">
        <w:rPr>
          <w:rStyle w:val="y2iqfc"/>
          <w:rFonts w:ascii="inherit" w:hAnsi="inherit"/>
          <w:sz w:val="24"/>
          <w:szCs w:val="24"/>
        </w:rPr>
        <w:t xml:space="preserve"> </w:t>
      </w:r>
      <w:r>
        <w:rPr>
          <w:rStyle w:val="y2iqfc"/>
          <w:rFonts w:ascii="inherit" w:hAnsi="inherit"/>
          <w:sz w:val="24"/>
          <w:szCs w:val="24"/>
        </w:rPr>
        <w:t>родну</w:t>
      </w:r>
      <w:r w:rsidR="0003260F" w:rsidRPr="00AB7272">
        <w:rPr>
          <w:rStyle w:val="y2iqfc"/>
          <w:rFonts w:ascii="inherit" w:hAnsi="inherit"/>
          <w:sz w:val="24"/>
          <w:szCs w:val="24"/>
        </w:rPr>
        <w:t xml:space="preserve"> </w:t>
      </w:r>
      <w:r>
        <w:rPr>
          <w:rStyle w:val="y2iqfc"/>
          <w:rFonts w:ascii="inherit" w:hAnsi="inherit"/>
          <w:sz w:val="24"/>
          <w:szCs w:val="24"/>
        </w:rPr>
        <w:t>равноправност</w:t>
      </w:r>
      <w:r w:rsidR="0003260F" w:rsidRPr="00AB7272">
        <w:rPr>
          <w:rStyle w:val="y2iqfc"/>
          <w:rFonts w:ascii="inherit" w:hAnsi="inherit"/>
          <w:sz w:val="24"/>
          <w:szCs w:val="24"/>
        </w:rPr>
        <w:t xml:space="preserve"> </w:t>
      </w:r>
      <w:r>
        <w:rPr>
          <w:rStyle w:val="y2iqfc"/>
          <w:rFonts w:ascii="inherit" w:hAnsi="inherit"/>
          <w:sz w:val="24"/>
          <w:szCs w:val="24"/>
        </w:rPr>
        <w:t>у</w:t>
      </w:r>
      <w:r w:rsidR="002616AA" w:rsidRPr="00AB7272">
        <w:rPr>
          <w:rStyle w:val="y2iqfc"/>
          <w:rFonts w:ascii="inherit" w:hAnsi="inherit"/>
          <w:sz w:val="24"/>
          <w:szCs w:val="24"/>
        </w:rPr>
        <w:t xml:space="preserve"> </w:t>
      </w:r>
      <w:r>
        <w:rPr>
          <w:rStyle w:val="y2iqfc"/>
          <w:rFonts w:ascii="inherit" w:hAnsi="inherit"/>
          <w:sz w:val="24"/>
          <w:szCs w:val="24"/>
        </w:rPr>
        <w:t>Нацрт</w:t>
      </w:r>
      <w:r w:rsidR="002616AA" w:rsidRPr="00AB7272">
        <w:rPr>
          <w:rStyle w:val="y2iqfc"/>
          <w:rFonts w:ascii="inherit" w:hAnsi="inherit"/>
          <w:sz w:val="24"/>
          <w:szCs w:val="24"/>
        </w:rPr>
        <w:t xml:space="preserve"> </w:t>
      </w:r>
      <w:r>
        <w:rPr>
          <w:rStyle w:val="y2iqfc"/>
          <w:rFonts w:ascii="inherit" w:hAnsi="inherit"/>
          <w:sz w:val="24"/>
          <w:szCs w:val="24"/>
        </w:rPr>
        <w:t>закона</w:t>
      </w:r>
      <w:r w:rsidR="0003260F" w:rsidRPr="00AB7272">
        <w:rPr>
          <w:rStyle w:val="y2iqfc"/>
          <w:rFonts w:ascii="inherit" w:hAnsi="inherit"/>
          <w:sz w:val="24"/>
          <w:szCs w:val="24"/>
        </w:rPr>
        <w:t xml:space="preserve"> </w:t>
      </w:r>
      <w:r>
        <w:rPr>
          <w:rStyle w:val="y2iqfc"/>
          <w:rFonts w:ascii="inherit" w:hAnsi="inherit"/>
          <w:sz w:val="24"/>
          <w:szCs w:val="24"/>
        </w:rPr>
        <w:t>о</w:t>
      </w:r>
      <w:r w:rsidR="0003260F" w:rsidRPr="00AB7272">
        <w:rPr>
          <w:rStyle w:val="y2iqfc"/>
          <w:rFonts w:ascii="inherit" w:hAnsi="inherit"/>
          <w:sz w:val="24"/>
          <w:szCs w:val="24"/>
        </w:rPr>
        <w:t xml:space="preserve"> </w:t>
      </w:r>
      <w:r>
        <w:rPr>
          <w:rStyle w:val="y2iqfc"/>
          <w:rFonts w:ascii="inherit" w:hAnsi="inherit"/>
          <w:sz w:val="24"/>
          <w:szCs w:val="24"/>
        </w:rPr>
        <w:t>социјалним</w:t>
      </w:r>
      <w:r w:rsidR="0003260F" w:rsidRPr="00AB7272">
        <w:rPr>
          <w:rStyle w:val="y2iqfc"/>
          <w:rFonts w:ascii="inherit" w:hAnsi="inherit"/>
          <w:sz w:val="24"/>
          <w:szCs w:val="24"/>
        </w:rPr>
        <w:t xml:space="preserve"> </w:t>
      </w:r>
      <w:r>
        <w:rPr>
          <w:rStyle w:val="y2iqfc"/>
          <w:rFonts w:ascii="inherit" w:hAnsi="inherit"/>
          <w:sz w:val="24"/>
          <w:szCs w:val="24"/>
        </w:rPr>
        <w:t>услугама</w:t>
      </w:r>
      <w:r w:rsidR="0003260F" w:rsidRPr="00AB7272">
        <w:rPr>
          <w:rStyle w:val="y2iqfc"/>
          <w:rFonts w:ascii="inherit" w:hAnsi="inherit"/>
          <w:sz w:val="24"/>
          <w:szCs w:val="24"/>
        </w:rPr>
        <w:t xml:space="preserve"> </w:t>
      </w:r>
      <w:r>
        <w:rPr>
          <w:rStyle w:val="y2iqfc"/>
          <w:rFonts w:ascii="inherit" w:hAnsi="inherit"/>
          <w:sz w:val="24"/>
          <w:szCs w:val="24"/>
        </w:rPr>
        <w:t>представља</w:t>
      </w:r>
      <w:r w:rsidR="0003260F" w:rsidRPr="00AB7272">
        <w:rPr>
          <w:rStyle w:val="y2iqfc"/>
          <w:rFonts w:ascii="inherit" w:hAnsi="inherit"/>
          <w:sz w:val="24"/>
          <w:szCs w:val="24"/>
        </w:rPr>
        <w:t xml:space="preserve"> </w:t>
      </w:r>
      <w:r>
        <w:rPr>
          <w:rStyle w:val="y2iqfc"/>
          <w:rFonts w:ascii="inherit" w:hAnsi="inherit"/>
          <w:sz w:val="24"/>
          <w:szCs w:val="24"/>
        </w:rPr>
        <w:t>системски</w:t>
      </w:r>
      <w:r w:rsidR="0003260F" w:rsidRPr="00AB7272">
        <w:rPr>
          <w:rStyle w:val="y2iqfc"/>
          <w:rFonts w:ascii="inherit" w:hAnsi="inherit"/>
          <w:sz w:val="24"/>
          <w:szCs w:val="24"/>
        </w:rPr>
        <w:t xml:space="preserve"> </w:t>
      </w:r>
      <w:r>
        <w:rPr>
          <w:rStyle w:val="y2iqfc"/>
          <w:rFonts w:ascii="inherit" w:hAnsi="inherit"/>
          <w:sz w:val="24"/>
          <w:szCs w:val="24"/>
        </w:rPr>
        <w:t>помак</w:t>
      </w:r>
      <w:r w:rsidR="0003260F" w:rsidRPr="00AB7272">
        <w:rPr>
          <w:rStyle w:val="y2iqfc"/>
          <w:rFonts w:ascii="inherit" w:hAnsi="inherit"/>
          <w:sz w:val="24"/>
          <w:szCs w:val="24"/>
        </w:rPr>
        <w:t xml:space="preserve">, </w:t>
      </w:r>
      <w:r>
        <w:rPr>
          <w:rStyle w:val="y2iqfc"/>
          <w:rFonts w:ascii="inherit" w:hAnsi="inherit"/>
          <w:sz w:val="24"/>
          <w:szCs w:val="24"/>
        </w:rPr>
        <w:t>позиционирајући</w:t>
      </w:r>
      <w:r w:rsidR="0003260F" w:rsidRPr="00AB7272">
        <w:rPr>
          <w:rStyle w:val="y2iqfc"/>
          <w:rFonts w:ascii="inherit" w:hAnsi="inherit"/>
          <w:sz w:val="24"/>
          <w:szCs w:val="24"/>
        </w:rPr>
        <w:t xml:space="preserve"> </w:t>
      </w:r>
      <w:r>
        <w:rPr>
          <w:rStyle w:val="y2iqfc"/>
          <w:rFonts w:ascii="inherit" w:hAnsi="inherit"/>
          <w:sz w:val="24"/>
          <w:szCs w:val="24"/>
        </w:rPr>
        <w:t>његу</w:t>
      </w:r>
      <w:r w:rsidR="0003260F" w:rsidRPr="00AB7272">
        <w:rPr>
          <w:rStyle w:val="y2iqfc"/>
          <w:rFonts w:ascii="inherit" w:hAnsi="inherit"/>
          <w:sz w:val="24"/>
          <w:szCs w:val="24"/>
        </w:rPr>
        <w:t xml:space="preserve"> </w:t>
      </w:r>
      <w:r>
        <w:rPr>
          <w:rStyle w:val="y2iqfc"/>
          <w:rFonts w:ascii="inherit" w:hAnsi="inherit"/>
          <w:sz w:val="24"/>
          <w:szCs w:val="24"/>
        </w:rPr>
        <w:t>као</w:t>
      </w:r>
      <w:r w:rsidR="0003260F" w:rsidRPr="00AB7272">
        <w:rPr>
          <w:rStyle w:val="y2iqfc"/>
          <w:rFonts w:ascii="inherit" w:hAnsi="inherit"/>
          <w:sz w:val="24"/>
          <w:szCs w:val="24"/>
        </w:rPr>
        <w:t xml:space="preserve"> </w:t>
      </w:r>
      <w:r>
        <w:rPr>
          <w:rStyle w:val="y2iqfc"/>
          <w:rFonts w:ascii="inherit" w:hAnsi="inherit"/>
          <w:sz w:val="24"/>
          <w:szCs w:val="24"/>
        </w:rPr>
        <w:t>основну</w:t>
      </w:r>
      <w:r w:rsidR="0003260F" w:rsidRPr="00AB7272">
        <w:rPr>
          <w:rStyle w:val="y2iqfc"/>
          <w:rFonts w:ascii="inherit" w:hAnsi="inherit"/>
          <w:sz w:val="24"/>
          <w:szCs w:val="24"/>
        </w:rPr>
        <w:t xml:space="preserve"> </w:t>
      </w:r>
      <w:r>
        <w:rPr>
          <w:rStyle w:val="y2iqfc"/>
          <w:rFonts w:ascii="inherit" w:hAnsi="inherit"/>
          <w:sz w:val="24"/>
          <w:szCs w:val="24"/>
        </w:rPr>
        <w:t>компоненту</w:t>
      </w:r>
      <w:r w:rsidR="0003260F" w:rsidRPr="00AB7272">
        <w:rPr>
          <w:rStyle w:val="y2iqfc"/>
          <w:rFonts w:ascii="inherit" w:hAnsi="inherit"/>
          <w:sz w:val="24"/>
          <w:szCs w:val="24"/>
        </w:rPr>
        <w:t xml:space="preserve"> </w:t>
      </w:r>
      <w:r>
        <w:rPr>
          <w:rStyle w:val="y2iqfc"/>
          <w:rFonts w:ascii="inherit" w:hAnsi="inherit"/>
          <w:sz w:val="24"/>
          <w:szCs w:val="24"/>
        </w:rPr>
        <w:t>оквира</w:t>
      </w:r>
      <w:r w:rsidR="0003260F" w:rsidRPr="00AB7272">
        <w:rPr>
          <w:rStyle w:val="y2iqfc"/>
          <w:rFonts w:ascii="inherit" w:hAnsi="inherit"/>
          <w:sz w:val="24"/>
          <w:szCs w:val="24"/>
        </w:rPr>
        <w:t xml:space="preserve"> </w:t>
      </w:r>
      <w:r>
        <w:rPr>
          <w:rStyle w:val="y2iqfc"/>
          <w:rFonts w:ascii="inherit" w:hAnsi="inherit"/>
          <w:sz w:val="24"/>
          <w:szCs w:val="24"/>
        </w:rPr>
        <w:t>социјалне</w:t>
      </w:r>
      <w:r w:rsidR="0003260F" w:rsidRPr="00AB7272">
        <w:rPr>
          <w:rStyle w:val="y2iqfc"/>
          <w:rFonts w:ascii="inherit" w:hAnsi="inherit"/>
          <w:sz w:val="24"/>
          <w:szCs w:val="24"/>
        </w:rPr>
        <w:t xml:space="preserve"> </w:t>
      </w:r>
      <w:r>
        <w:rPr>
          <w:rStyle w:val="y2iqfc"/>
          <w:rFonts w:ascii="inherit" w:hAnsi="inherit"/>
          <w:sz w:val="24"/>
          <w:szCs w:val="24"/>
        </w:rPr>
        <w:t>заштите</w:t>
      </w:r>
      <w:r w:rsidR="0003260F" w:rsidRPr="00AB7272">
        <w:rPr>
          <w:rStyle w:val="y2iqfc"/>
          <w:rFonts w:ascii="inherit" w:hAnsi="inherit"/>
          <w:sz w:val="24"/>
          <w:szCs w:val="24"/>
        </w:rPr>
        <w:t xml:space="preserve">. </w:t>
      </w:r>
      <w:r>
        <w:rPr>
          <w:rStyle w:val="y2iqfc"/>
          <w:rFonts w:ascii="inherit" w:hAnsi="inherit"/>
          <w:sz w:val="24"/>
          <w:szCs w:val="24"/>
        </w:rPr>
        <w:t>Штавише</w:t>
      </w:r>
      <w:r w:rsidR="0003260F" w:rsidRPr="00AB7272">
        <w:rPr>
          <w:rStyle w:val="y2iqfc"/>
          <w:rFonts w:ascii="inherit" w:hAnsi="inherit"/>
          <w:sz w:val="24"/>
          <w:szCs w:val="24"/>
        </w:rPr>
        <w:t xml:space="preserve">, </w:t>
      </w:r>
      <w:r>
        <w:rPr>
          <w:rStyle w:val="y2iqfc"/>
          <w:rFonts w:ascii="inherit" w:hAnsi="inherit"/>
          <w:sz w:val="24"/>
          <w:szCs w:val="24"/>
        </w:rPr>
        <w:t>амандмани</w:t>
      </w:r>
      <w:r w:rsidR="0003260F" w:rsidRPr="00AB7272">
        <w:rPr>
          <w:rStyle w:val="y2iqfc"/>
          <w:rFonts w:ascii="inherit" w:hAnsi="inherit"/>
          <w:sz w:val="24"/>
          <w:szCs w:val="24"/>
        </w:rPr>
        <w:t xml:space="preserve"> </w:t>
      </w:r>
      <w:r>
        <w:rPr>
          <w:rStyle w:val="y2iqfc"/>
          <w:rFonts w:ascii="inherit" w:hAnsi="inherit"/>
          <w:sz w:val="24"/>
          <w:szCs w:val="24"/>
        </w:rPr>
        <w:t>на</w:t>
      </w:r>
      <w:r w:rsidR="0003260F" w:rsidRPr="00AB7272">
        <w:rPr>
          <w:rStyle w:val="y2iqfc"/>
          <w:rFonts w:ascii="inherit" w:hAnsi="inherit"/>
          <w:sz w:val="24"/>
          <w:szCs w:val="24"/>
        </w:rPr>
        <w:t xml:space="preserve"> </w:t>
      </w:r>
      <w:r>
        <w:rPr>
          <w:rStyle w:val="y2iqfc"/>
          <w:rFonts w:ascii="inherit" w:hAnsi="inherit"/>
          <w:sz w:val="24"/>
          <w:szCs w:val="24"/>
        </w:rPr>
        <w:t>Закон</w:t>
      </w:r>
      <w:r w:rsidR="0003260F" w:rsidRPr="00AB7272">
        <w:rPr>
          <w:rStyle w:val="y2iqfc"/>
          <w:rFonts w:ascii="inherit" w:hAnsi="inherit"/>
          <w:sz w:val="24"/>
          <w:szCs w:val="24"/>
        </w:rPr>
        <w:t xml:space="preserve"> </w:t>
      </w:r>
      <w:r>
        <w:rPr>
          <w:rStyle w:val="y2iqfc"/>
          <w:rFonts w:ascii="inherit" w:hAnsi="inherit"/>
          <w:sz w:val="24"/>
          <w:szCs w:val="24"/>
        </w:rPr>
        <w:t>о</w:t>
      </w:r>
      <w:r w:rsidR="0003260F" w:rsidRPr="00AB7272">
        <w:rPr>
          <w:rStyle w:val="y2iqfc"/>
          <w:rFonts w:ascii="inherit" w:hAnsi="inherit"/>
          <w:sz w:val="24"/>
          <w:szCs w:val="24"/>
        </w:rPr>
        <w:t xml:space="preserve"> </w:t>
      </w:r>
      <w:r>
        <w:rPr>
          <w:rStyle w:val="y2iqfc"/>
          <w:rFonts w:ascii="inherit" w:hAnsi="inherit"/>
          <w:sz w:val="24"/>
          <w:szCs w:val="24"/>
        </w:rPr>
        <w:t>раду</w:t>
      </w:r>
      <w:r w:rsidR="0003260F" w:rsidRPr="00AB7272">
        <w:rPr>
          <w:rStyle w:val="y2iqfc"/>
          <w:rFonts w:ascii="inherit" w:hAnsi="inherit"/>
          <w:sz w:val="24"/>
          <w:szCs w:val="24"/>
        </w:rPr>
        <w:t xml:space="preserve"> </w:t>
      </w:r>
      <w:r>
        <w:rPr>
          <w:rStyle w:val="y2iqfc"/>
          <w:rFonts w:ascii="inherit" w:hAnsi="inherit"/>
          <w:sz w:val="24"/>
          <w:szCs w:val="24"/>
        </w:rPr>
        <w:t>у</w:t>
      </w:r>
      <w:r w:rsidR="0003260F" w:rsidRPr="00AB7272">
        <w:rPr>
          <w:rStyle w:val="y2iqfc"/>
          <w:rFonts w:ascii="inherit" w:hAnsi="inherit"/>
          <w:sz w:val="24"/>
          <w:szCs w:val="24"/>
        </w:rPr>
        <w:t xml:space="preserve"> </w:t>
      </w:r>
      <w:r>
        <w:rPr>
          <w:rStyle w:val="y2iqfc"/>
          <w:rFonts w:ascii="inherit" w:hAnsi="inherit"/>
          <w:sz w:val="24"/>
          <w:szCs w:val="24"/>
        </w:rPr>
        <w:t>Федерацији</w:t>
      </w:r>
      <w:r w:rsidR="0003260F" w:rsidRPr="00AB7272">
        <w:rPr>
          <w:rStyle w:val="y2iqfc"/>
          <w:rFonts w:ascii="inherit" w:hAnsi="inherit"/>
          <w:sz w:val="24"/>
          <w:szCs w:val="24"/>
        </w:rPr>
        <w:t xml:space="preserve"> </w:t>
      </w:r>
      <w:r>
        <w:rPr>
          <w:rStyle w:val="y2iqfc"/>
          <w:rFonts w:ascii="inherit" w:hAnsi="inherit"/>
          <w:sz w:val="24"/>
          <w:szCs w:val="24"/>
        </w:rPr>
        <w:t>БиХ</w:t>
      </w:r>
      <w:r w:rsidR="0003260F" w:rsidRPr="00AB7272">
        <w:rPr>
          <w:rStyle w:val="y2iqfc"/>
          <w:rFonts w:ascii="inherit" w:hAnsi="inherit"/>
          <w:sz w:val="24"/>
          <w:szCs w:val="24"/>
        </w:rPr>
        <w:t xml:space="preserve"> </w:t>
      </w:r>
      <w:r>
        <w:rPr>
          <w:rStyle w:val="y2iqfc"/>
          <w:rFonts w:ascii="inherit" w:hAnsi="inherit"/>
          <w:sz w:val="24"/>
          <w:szCs w:val="24"/>
        </w:rPr>
        <w:t>укључили</w:t>
      </w:r>
      <w:r w:rsidR="0003260F" w:rsidRPr="00AB7272">
        <w:rPr>
          <w:rStyle w:val="y2iqfc"/>
          <w:rFonts w:ascii="inherit" w:hAnsi="inherit"/>
          <w:sz w:val="24"/>
          <w:szCs w:val="24"/>
        </w:rPr>
        <w:t xml:space="preserve"> </w:t>
      </w:r>
      <w:r>
        <w:rPr>
          <w:rStyle w:val="y2iqfc"/>
          <w:rFonts w:ascii="inherit" w:hAnsi="inherit"/>
          <w:sz w:val="24"/>
          <w:szCs w:val="24"/>
        </w:rPr>
        <w:t>су</w:t>
      </w:r>
      <w:r w:rsidR="0003260F" w:rsidRPr="00AB7272">
        <w:rPr>
          <w:rStyle w:val="y2iqfc"/>
          <w:rFonts w:ascii="inherit" w:hAnsi="inherit"/>
          <w:sz w:val="24"/>
          <w:szCs w:val="24"/>
        </w:rPr>
        <w:t xml:space="preserve"> </w:t>
      </w:r>
      <w:r>
        <w:rPr>
          <w:rStyle w:val="y2iqfc"/>
          <w:rFonts w:ascii="inherit" w:hAnsi="inherit"/>
          <w:sz w:val="24"/>
          <w:szCs w:val="24"/>
        </w:rPr>
        <w:t>политике</w:t>
      </w:r>
      <w:r w:rsidR="0003260F" w:rsidRPr="00AB7272">
        <w:rPr>
          <w:rStyle w:val="y2iqfc"/>
          <w:rFonts w:ascii="inherit" w:hAnsi="inherit"/>
          <w:sz w:val="24"/>
          <w:szCs w:val="24"/>
        </w:rPr>
        <w:t xml:space="preserve"> </w:t>
      </w:r>
      <w:r>
        <w:rPr>
          <w:rStyle w:val="y2iqfc"/>
          <w:rFonts w:ascii="inherit" w:hAnsi="inherit"/>
          <w:sz w:val="24"/>
          <w:szCs w:val="24"/>
        </w:rPr>
        <w:t>прилагођене</w:t>
      </w:r>
      <w:r w:rsidR="0003260F" w:rsidRPr="00AB7272">
        <w:rPr>
          <w:rStyle w:val="y2iqfc"/>
          <w:rFonts w:ascii="inherit" w:hAnsi="inherit"/>
          <w:sz w:val="24"/>
          <w:szCs w:val="24"/>
        </w:rPr>
        <w:t xml:space="preserve"> </w:t>
      </w:r>
      <w:r>
        <w:rPr>
          <w:rStyle w:val="y2iqfc"/>
          <w:rFonts w:ascii="inherit" w:hAnsi="inherit"/>
          <w:sz w:val="24"/>
          <w:szCs w:val="24"/>
        </w:rPr>
        <w:t>породици</w:t>
      </w:r>
      <w:r w:rsidR="0003260F" w:rsidRPr="00AB7272">
        <w:rPr>
          <w:rStyle w:val="y2iqfc"/>
          <w:rFonts w:ascii="inherit" w:hAnsi="inherit"/>
          <w:sz w:val="24"/>
          <w:szCs w:val="24"/>
        </w:rPr>
        <w:t xml:space="preserve"> </w:t>
      </w:r>
      <w:r>
        <w:rPr>
          <w:rStyle w:val="y2iqfc"/>
          <w:rFonts w:ascii="inherit" w:hAnsi="inherit"/>
          <w:sz w:val="24"/>
          <w:szCs w:val="24"/>
        </w:rPr>
        <w:t>усмјерене</w:t>
      </w:r>
      <w:r w:rsidR="0003260F" w:rsidRPr="00AB7272">
        <w:rPr>
          <w:rStyle w:val="y2iqfc"/>
          <w:rFonts w:ascii="inherit" w:hAnsi="inherit"/>
          <w:sz w:val="24"/>
          <w:szCs w:val="24"/>
        </w:rPr>
        <w:t xml:space="preserve"> </w:t>
      </w:r>
      <w:r>
        <w:rPr>
          <w:rStyle w:val="y2iqfc"/>
          <w:rFonts w:ascii="inherit" w:hAnsi="inherit"/>
          <w:sz w:val="24"/>
          <w:szCs w:val="24"/>
        </w:rPr>
        <w:t>на</w:t>
      </w:r>
      <w:r w:rsidR="0003260F" w:rsidRPr="00AB7272">
        <w:rPr>
          <w:rStyle w:val="y2iqfc"/>
          <w:rFonts w:ascii="inherit" w:hAnsi="inherit"/>
          <w:sz w:val="24"/>
          <w:szCs w:val="24"/>
        </w:rPr>
        <w:t xml:space="preserve"> </w:t>
      </w:r>
      <w:r>
        <w:rPr>
          <w:rStyle w:val="y2iqfc"/>
          <w:rFonts w:ascii="inherit" w:hAnsi="inherit"/>
          <w:sz w:val="24"/>
          <w:szCs w:val="24"/>
        </w:rPr>
        <w:t>побољшање</w:t>
      </w:r>
      <w:r w:rsidR="0003260F" w:rsidRPr="00AB7272">
        <w:rPr>
          <w:rStyle w:val="y2iqfc"/>
          <w:rFonts w:ascii="inherit" w:hAnsi="inherit"/>
          <w:sz w:val="24"/>
          <w:szCs w:val="24"/>
        </w:rPr>
        <w:t xml:space="preserve"> </w:t>
      </w:r>
      <w:r>
        <w:rPr>
          <w:rStyle w:val="y2iqfc"/>
          <w:rFonts w:ascii="inherit" w:hAnsi="inherit"/>
          <w:sz w:val="24"/>
          <w:szCs w:val="24"/>
        </w:rPr>
        <w:t>равнотеже</w:t>
      </w:r>
      <w:r w:rsidR="0003260F" w:rsidRPr="00AB7272">
        <w:rPr>
          <w:rStyle w:val="y2iqfc"/>
          <w:rFonts w:ascii="inherit" w:hAnsi="inherit"/>
          <w:sz w:val="24"/>
          <w:szCs w:val="24"/>
        </w:rPr>
        <w:t xml:space="preserve"> </w:t>
      </w:r>
      <w:r>
        <w:rPr>
          <w:rStyle w:val="y2iqfc"/>
          <w:rFonts w:ascii="inherit" w:hAnsi="inherit"/>
          <w:sz w:val="24"/>
          <w:szCs w:val="24"/>
        </w:rPr>
        <w:t>између</w:t>
      </w:r>
      <w:r w:rsidR="0003260F" w:rsidRPr="00AB7272">
        <w:rPr>
          <w:rStyle w:val="y2iqfc"/>
          <w:rFonts w:ascii="inherit" w:hAnsi="inherit"/>
          <w:sz w:val="24"/>
          <w:szCs w:val="24"/>
        </w:rPr>
        <w:t xml:space="preserve"> </w:t>
      </w:r>
      <w:r>
        <w:rPr>
          <w:rStyle w:val="y2iqfc"/>
          <w:rFonts w:ascii="inherit" w:hAnsi="inherit"/>
          <w:sz w:val="24"/>
          <w:szCs w:val="24"/>
        </w:rPr>
        <w:t>пословног</w:t>
      </w:r>
      <w:r w:rsidR="0003260F" w:rsidRPr="00AB7272">
        <w:rPr>
          <w:rStyle w:val="y2iqfc"/>
          <w:rFonts w:ascii="inherit" w:hAnsi="inherit"/>
          <w:sz w:val="24"/>
          <w:szCs w:val="24"/>
        </w:rPr>
        <w:t xml:space="preserve"> </w:t>
      </w:r>
      <w:r>
        <w:rPr>
          <w:rStyle w:val="y2iqfc"/>
          <w:rFonts w:ascii="inherit" w:hAnsi="inherit"/>
          <w:sz w:val="24"/>
          <w:szCs w:val="24"/>
        </w:rPr>
        <w:t>и</w:t>
      </w:r>
      <w:r w:rsidR="0003260F" w:rsidRPr="00AB7272">
        <w:rPr>
          <w:rStyle w:val="y2iqfc"/>
          <w:rFonts w:ascii="inherit" w:hAnsi="inherit"/>
          <w:sz w:val="24"/>
          <w:szCs w:val="24"/>
        </w:rPr>
        <w:t xml:space="preserve"> </w:t>
      </w:r>
      <w:r>
        <w:rPr>
          <w:rStyle w:val="y2iqfc"/>
          <w:rFonts w:ascii="inherit" w:hAnsi="inherit"/>
          <w:sz w:val="24"/>
          <w:szCs w:val="24"/>
        </w:rPr>
        <w:t>приватног</w:t>
      </w:r>
      <w:r w:rsidR="0003260F" w:rsidRPr="00AB7272">
        <w:rPr>
          <w:rStyle w:val="y2iqfc"/>
          <w:rFonts w:ascii="inherit" w:hAnsi="inherit"/>
          <w:sz w:val="24"/>
          <w:szCs w:val="24"/>
        </w:rPr>
        <w:t xml:space="preserve"> </w:t>
      </w:r>
      <w:r>
        <w:rPr>
          <w:rStyle w:val="y2iqfc"/>
          <w:rFonts w:ascii="inherit" w:hAnsi="inherit"/>
          <w:sz w:val="24"/>
          <w:szCs w:val="24"/>
        </w:rPr>
        <w:t>живота</w:t>
      </w:r>
      <w:r w:rsidR="0003260F" w:rsidRPr="00AB7272">
        <w:rPr>
          <w:rStyle w:val="y2iqfc"/>
          <w:rFonts w:ascii="inherit" w:hAnsi="inherit"/>
          <w:sz w:val="24"/>
          <w:szCs w:val="24"/>
        </w:rPr>
        <w:t xml:space="preserve">, </w:t>
      </w:r>
      <w:r>
        <w:rPr>
          <w:rStyle w:val="y2iqfc"/>
          <w:rFonts w:ascii="inherit" w:hAnsi="inherit"/>
          <w:sz w:val="24"/>
          <w:szCs w:val="24"/>
        </w:rPr>
        <w:t>наглашавајући</w:t>
      </w:r>
      <w:r w:rsidR="0003260F" w:rsidRPr="00AB7272">
        <w:rPr>
          <w:rStyle w:val="y2iqfc"/>
          <w:rFonts w:ascii="inherit" w:hAnsi="inherit"/>
          <w:sz w:val="24"/>
          <w:szCs w:val="24"/>
        </w:rPr>
        <w:t xml:space="preserve"> </w:t>
      </w:r>
      <w:r>
        <w:rPr>
          <w:rStyle w:val="y2iqfc"/>
          <w:rFonts w:ascii="inherit" w:hAnsi="inherit"/>
          <w:sz w:val="24"/>
          <w:szCs w:val="24"/>
        </w:rPr>
        <w:t>његу</w:t>
      </w:r>
      <w:r w:rsidR="0003260F" w:rsidRPr="00AB7272">
        <w:rPr>
          <w:rStyle w:val="y2iqfc"/>
          <w:rFonts w:ascii="inherit" w:hAnsi="inherit"/>
          <w:sz w:val="24"/>
          <w:szCs w:val="24"/>
        </w:rPr>
        <w:t xml:space="preserve"> </w:t>
      </w:r>
      <w:r>
        <w:rPr>
          <w:rStyle w:val="y2iqfc"/>
          <w:rFonts w:ascii="inherit" w:hAnsi="inherit"/>
          <w:sz w:val="24"/>
          <w:szCs w:val="24"/>
        </w:rPr>
        <w:t>као</w:t>
      </w:r>
      <w:r w:rsidR="0003260F" w:rsidRPr="00AB7272">
        <w:rPr>
          <w:rStyle w:val="y2iqfc"/>
          <w:rFonts w:ascii="inherit" w:hAnsi="inherit"/>
          <w:sz w:val="24"/>
          <w:szCs w:val="24"/>
        </w:rPr>
        <w:t xml:space="preserve"> </w:t>
      </w:r>
      <w:r>
        <w:rPr>
          <w:rStyle w:val="y2iqfc"/>
          <w:rFonts w:ascii="inherit" w:hAnsi="inherit"/>
          <w:sz w:val="24"/>
          <w:szCs w:val="24"/>
        </w:rPr>
        <w:t>заједничку</w:t>
      </w:r>
      <w:r w:rsidR="0003260F" w:rsidRPr="00AB7272">
        <w:rPr>
          <w:rStyle w:val="y2iqfc"/>
          <w:rFonts w:ascii="inherit" w:hAnsi="inherit"/>
          <w:sz w:val="24"/>
          <w:szCs w:val="24"/>
        </w:rPr>
        <w:t xml:space="preserve"> </w:t>
      </w:r>
      <w:r>
        <w:rPr>
          <w:rStyle w:val="y2iqfc"/>
          <w:rFonts w:ascii="inherit" w:hAnsi="inherit"/>
          <w:sz w:val="24"/>
          <w:szCs w:val="24"/>
        </w:rPr>
        <w:t>друштвену</w:t>
      </w:r>
      <w:r w:rsidR="0003260F" w:rsidRPr="00AB7272">
        <w:rPr>
          <w:rStyle w:val="y2iqfc"/>
          <w:rFonts w:ascii="inherit" w:hAnsi="inherit"/>
          <w:sz w:val="24"/>
          <w:szCs w:val="24"/>
        </w:rPr>
        <w:t xml:space="preserve"> </w:t>
      </w:r>
      <w:r>
        <w:rPr>
          <w:rStyle w:val="y2iqfc"/>
          <w:rFonts w:ascii="inherit" w:hAnsi="inherit"/>
          <w:sz w:val="24"/>
          <w:szCs w:val="24"/>
        </w:rPr>
        <w:t>одговорност</w:t>
      </w:r>
      <w:r w:rsidR="0003260F" w:rsidRPr="00AB7272">
        <w:rPr>
          <w:rStyle w:val="y2iqfc"/>
          <w:rFonts w:ascii="inherit" w:hAnsi="inherit"/>
          <w:sz w:val="24"/>
          <w:szCs w:val="24"/>
        </w:rPr>
        <w:t xml:space="preserve">. </w:t>
      </w:r>
      <w:r>
        <w:rPr>
          <w:rStyle w:val="y2iqfc"/>
          <w:rFonts w:ascii="inherit" w:hAnsi="inherit"/>
          <w:sz w:val="24"/>
          <w:szCs w:val="24"/>
        </w:rPr>
        <w:t>Иницијативе</w:t>
      </w:r>
      <w:r w:rsidR="0003260F" w:rsidRPr="00AB7272">
        <w:rPr>
          <w:rStyle w:val="y2iqfc"/>
          <w:rFonts w:ascii="inherit" w:hAnsi="inherit"/>
          <w:sz w:val="24"/>
          <w:szCs w:val="24"/>
        </w:rPr>
        <w:t xml:space="preserve"> </w:t>
      </w:r>
      <w:r>
        <w:rPr>
          <w:rStyle w:val="y2iqfc"/>
          <w:rFonts w:ascii="inherit" w:hAnsi="inherit"/>
          <w:sz w:val="24"/>
          <w:szCs w:val="24"/>
        </w:rPr>
        <w:t>за</w:t>
      </w:r>
      <w:r w:rsidR="0003260F" w:rsidRPr="00AB7272">
        <w:rPr>
          <w:rStyle w:val="y2iqfc"/>
          <w:rFonts w:ascii="inherit" w:hAnsi="inherit"/>
          <w:sz w:val="24"/>
          <w:szCs w:val="24"/>
        </w:rPr>
        <w:t xml:space="preserve"> </w:t>
      </w:r>
      <w:r>
        <w:rPr>
          <w:rStyle w:val="y2iqfc"/>
          <w:rFonts w:ascii="inherit" w:hAnsi="inherit"/>
          <w:sz w:val="24"/>
          <w:szCs w:val="24"/>
        </w:rPr>
        <w:t>родно</w:t>
      </w:r>
      <w:r w:rsidR="0003260F" w:rsidRPr="00AB7272">
        <w:rPr>
          <w:rStyle w:val="y2iqfc"/>
          <w:rFonts w:ascii="inherit" w:hAnsi="inherit"/>
          <w:sz w:val="24"/>
          <w:szCs w:val="24"/>
        </w:rPr>
        <w:t xml:space="preserve"> </w:t>
      </w:r>
      <w:r>
        <w:rPr>
          <w:rStyle w:val="y2iqfc"/>
          <w:rFonts w:ascii="inherit" w:hAnsi="inherit"/>
          <w:sz w:val="24"/>
          <w:szCs w:val="24"/>
        </w:rPr>
        <w:t>сензитивну</w:t>
      </w:r>
      <w:r w:rsidR="0003260F" w:rsidRPr="00AB7272">
        <w:rPr>
          <w:rStyle w:val="y2iqfc"/>
          <w:rFonts w:ascii="inherit" w:hAnsi="inherit"/>
          <w:sz w:val="24"/>
          <w:szCs w:val="24"/>
        </w:rPr>
        <w:t xml:space="preserve"> </w:t>
      </w:r>
      <w:r>
        <w:rPr>
          <w:rStyle w:val="y2iqfc"/>
          <w:rFonts w:ascii="inherit" w:hAnsi="inherit"/>
          <w:sz w:val="24"/>
          <w:szCs w:val="24"/>
        </w:rPr>
        <w:t>његу</w:t>
      </w:r>
      <w:r w:rsidR="002616AA" w:rsidRPr="00AB7272">
        <w:rPr>
          <w:rStyle w:val="y2iqfc"/>
          <w:rFonts w:ascii="inherit" w:hAnsi="inherit"/>
          <w:sz w:val="24"/>
          <w:szCs w:val="24"/>
        </w:rPr>
        <w:t xml:space="preserve"> </w:t>
      </w:r>
      <w:r>
        <w:rPr>
          <w:rStyle w:val="y2iqfc"/>
          <w:rFonts w:ascii="inherit" w:hAnsi="inherit"/>
          <w:sz w:val="24"/>
          <w:szCs w:val="24"/>
        </w:rPr>
        <w:t>у</w:t>
      </w:r>
      <w:r w:rsidR="002616AA" w:rsidRPr="00AB7272">
        <w:rPr>
          <w:rStyle w:val="y2iqfc"/>
          <w:rFonts w:ascii="inherit" w:hAnsi="inherit"/>
          <w:sz w:val="24"/>
          <w:szCs w:val="24"/>
        </w:rPr>
        <w:t xml:space="preserve"> </w:t>
      </w:r>
      <w:r>
        <w:rPr>
          <w:rStyle w:val="y2iqfc"/>
          <w:rFonts w:ascii="inherit" w:hAnsi="inherit"/>
          <w:sz w:val="24"/>
          <w:szCs w:val="24"/>
        </w:rPr>
        <w:t>ФБиХ</w:t>
      </w:r>
      <w:r w:rsidR="0003260F" w:rsidRPr="00AB7272">
        <w:rPr>
          <w:rStyle w:val="y2iqfc"/>
          <w:rFonts w:ascii="inherit" w:hAnsi="inherit"/>
          <w:sz w:val="24"/>
          <w:szCs w:val="24"/>
        </w:rPr>
        <w:t xml:space="preserve"> </w:t>
      </w:r>
      <w:r>
        <w:rPr>
          <w:rStyle w:val="y2iqfc"/>
          <w:rFonts w:ascii="inherit" w:hAnsi="inherit"/>
          <w:sz w:val="24"/>
          <w:szCs w:val="24"/>
        </w:rPr>
        <w:t>подржао</w:t>
      </w:r>
      <w:r w:rsidR="0003260F" w:rsidRPr="00AB7272">
        <w:rPr>
          <w:rStyle w:val="y2iqfc"/>
          <w:rFonts w:ascii="inherit" w:hAnsi="inherit"/>
          <w:i/>
          <w:iCs/>
          <w:sz w:val="24"/>
          <w:szCs w:val="24"/>
        </w:rPr>
        <w:t xml:space="preserve"> </w:t>
      </w:r>
      <w:r>
        <w:rPr>
          <w:rStyle w:val="y2iqfc"/>
          <w:rFonts w:ascii="inherit" w:hAnsi="inherit"/>
          <w:sz w:val="24"/>
          <w:szCs w:val="24"/>
        </w:rPr>
        <w:t>је</w:t>
      </w:r>
      <w:r w:rsidR="002616AA" w:rsidRPr="00AB7272">
        <w:rPr>
          <w:rStyle w:val="y2iqfc"/>
          <w:rFonts w:ascii="inherit" w:hAnsi="inherit"/>
          <w:i/>
          <w:iCs/>
          <w:sz w:val="24"/>
          <w:szCs w:val="24"/>
        </w:rPr>
        <w:t xml:space="preserve"> </w:t>
      </w:r>
      <w:r w:rsidR="00870C36" w:rsidRPr="00870C36">
        <w:rPr>
          <w:rFonts w:ascii="inherit" w:hAnsi="inherit"/>
          <w:i/>
          <w:iCs/>
          <w:sz w:val="24"/>
          <w:szCs w:val="24"/>
          <w:lang w:val="hr-BA"/>
        </w:rPr>
        <w:t>UN Women</w:t>
      </w:r>
      <w:r w:rsidR="0003260F" w:rsidRPr="00AB7272">
        <w:rPr>
          <w:rStyle w:val="y2iqfc"/>
          <w:rFonts w:ascii="inherit" w:hAnsi="inherit"/>
          <w:sz w:val="24"/>
          <w:szCs w:val="24"/>
        </w:rPr>
        <w:t>.</w:t>
      </w:r>
    </w:p>
    <w:p w:rsidR="0003260F" w:rsidRDefault="0003260F" w:rsidP="0086268D">
      <w:pPr>
        <w:pStyle w:val="ListParagraph"/>
        <w:ind w:left="0"/>
        <w:jc w:val="both"/>
        <w:rPr>
          <w:rFonts w:ascii="Times New Roman" w:hAnsi="Times New Roman"/>
          <w:lang w:val="sr-Cyrl-BA"/>
        </w:rPr>
      </w:pPr>
    </w:p>
    <w:p w:rsidR="00664E91" w:rsidRPr="00295637" w:rsidRDefault="00C6214E" w:rsidP="0086268D">
      <w:pPr>
        <w:pStyle w:val="ListParagraph"/>
        <w:ind w:left="0"/>
        <w:jc w:val="both"/>
        <w:rPr>
          <w:rFonts w:ascii="Times New Roman" w:hAnsi="Times New Roman"/>
          <w:lang w:val="sr-Cyrl-BA"/>
        </w:rPr>
      </w:pPr>
      <w:r>
        <w:rPr>
          <w:rFonts w:ascii="Times New Roman" w:hAnsi="Times New Roman"/>
          <w:lang w:val="sr-Cyrl-BA"/>
        </w:rPr>
        <w:t>На</w:t>
      </w:r>
      <w:r w:rsidR="00664E91" w:rsidRPr="00295637">
        <w:rPr>
          <w:rFonts w:ascii="Times New Roman" w:hAnsi="Times New Roman"/>
          <w:lang w:val="sr-Cyrl-BA"/>
        </w:rPr>
        <w:t xml:space="preserve"> </w:t>
      </w:r>
      <w:r>
        <w:rPr>
          <w:rFonts w:ascii="Times New Roman" w:hAnsi="Times New Roman"/>
          <w:lang w:val="sr-Cyrl-BA"/>
        </w:rPr>
        <w:t>цијело</w:t>
      </w:r>
      <w:r>
        <w:rPr>
          <w:rFonts w:ascii="Times New Roman" w:hAnsi="Times New Roman"/>
          <w:lang w:val="hr-HR"/>
        </w:rPr>
        <w:t>ј</w:t>
      </w:r>
      <w:r w:rsidR="00664E91" w:rsidRPr="00295637">
        <w:rPr>
          <w:rFonts w:ascii="Times New Roman" w:hAnsi="Times New Roman"/>
          <w:lang w:val="sr-Cyrl-BA"/>
        </w:rPr>
        <w:t xml:space="preserve"> </w:t>
      </w:r>
      <w:r>
        <w:rPr>
          <w:rFonts w:ascii="Times New Roman" w:hAnsi="Times New Roman"/>
          <w:lang w:val="sr-Cyrl-BA"/>
        </w:rPr>
        <w:t>териториј</w:t>
      </w:r>
      <w:r>
        <w:rPr>
          <w:rFonts w:ascii="Times New Roman" w:hAnsi="Times New Roman"/>
          <w:lang w:val="hr-HR"/>
        </w:rPr>
        <w:t>и</w:t>
      </w:r>
      <w:r w:rsidR="00664E91" w:rsidRPr="00295637">
        <w:rPr>
          <w:rFonts w:ascii="Times New Roman" w:hAnsi="Times New Roman"/>
          <w:lang w:val="sr-Cyrl-BA"/>
        </w:rPr>
        <w:t xml:space="preserve"> </w:t>
      </w:r>
      <w:r>
        <w:rPr>
          <w:rFonts w:ascii="Times New Roman" w:hAnsi="Times New Roman"/>
          <w:lang w:val="sr-Cyrl-BA"/>
        </w:rPr>
        <w:t>РС</w:t>
      </w:r>
      <w:r w:rsidR="00664E91" w:rsidRPr="00295637">
        <w:rPr>
          <w:rFonts w:ascii="Times New Roman" w:hAnsi="Times New Roman"/>
          <w:lang w:val="sr-Cyrl-BA"/>
        </w:rPr>
        <w:t xml:space="preserve"> </w:t>
      </w:r>
      <w:r>
        <w:rPr>
          <w:rFonts w:ascii="Times New Roman" w:hAnsi="Times New Roman"/>
          <w:lang w:val="sr-Cyrl-BA"/>
        </w:rPr>
        <w:t>важи</w:t>
      </w:r>
      <w:r w:rsidR="00664E91" w:rsidRPr="00295637">
        <w:rPr>
          <w:rFonts w:ascii="Times New Roman" w:hAnsi="Times New Roman"/>
          <w:lang w:val="sr-Cyrl-BA"/>
        </w:rPr>
        <w:t xml:space="preserve"> </w:t>
      </w:r>
      <w:r>
        <w:rPr>
          <w:rFonts w:ascii="Times New Roman" w:hAnsi="Times New Roman"/>
          <w:lang w:val="sr-Cyrl-BA"/>
        </w:rPr>
        <w:t>јединствен</w:t>
      </w:r>
      <w:r w:rsidR="00664E91"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истем</w:t>
      </w:r>
      <w:r w:rsidR="002616AA">
        <w:rPr>
          <w:rFonts w:ascii="Times New Roman" w:hAnsi="Times New Roman"/>
          <w:lang w:val="sr-Cyrl-BA"/>
        </w:rPr>
        <w:t xml:space="preserve"> </w:t>
      </w:r>
      <w:r>
        <w:rPr>
          <w:rFonts w:ascii="Times New Roman" w:hAnsi="Times New Roman"/>
          <w:lang w:val="sr-Cyrl-BA"/>
        </w:rPr>
        <w:t>права</w:t>
      </w:r>
      <w:r w:rsidR="002616AA">
        <w:rPr>
          <w:rFonts w:ascii="Times New Roman" w:hAnsi="Times New Roman"/>
          <w:lang w:val="sr-Cyrl-BA"/>
        </w:rPr>
        <w:t xml:space="preserve"> </w:t>
      </w:r>
      <w:r>
        <w:rPr>
          <w:rFonts w:ascii="Times New Roman" w:hAnsi="Times New Roman"/>
          <w:lang w:val="sr-Cyrl-BA"/>
        </w:rPr>
        <w:t>у</w:t>
      </w:r>
      <w:r w:rsidR="002616AA">
        <w:rPr>
          <w:rFonts w:ascii="Times New Roman" w:hAnsi="Times New Roman"/>
          <w:lang w:val="sr-Cyrl-BA"/>
        </w:rPr>
        <w:t xml:space="preserve"> </w:t>
      </w:r>
      <w:r>
        <w:rPr>
          <w:rFonts w:ascii="Times New Roman" w:hAnsi="Times New Roman"/>
          <w:lang w:val="sr-Cyrl-BA"/>
        </w:rPr>
        <w:t>вези</w:t>
      </w:r>
      <w:r w:rsidR="002616AA">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664E91" w:rsidRPr="00295637">
        <w:rPr>
          <w:rFonts w:ascii="Times New Roman" w:hAnsi="Times New Roman"/>
          <w:lang w:val="sr-Cyrl-BA"/>
        </w:rPr>
        <w:t xml:space="preserve"> </w:t>
      </w:r>
      <w:r>
        <w:rPr>
          <w:rFonts w:ascii="Times New Roman" w:hAnsi="Times New Roman"/>
          <w:lang w:val="sr-Cyrl-BA"/>
        </w:rPr>
        <w:t>материнством</w:t>
      </w:r>
      <w:r w:rsidR="00664E91" w:rsidRPr="00295637">
        <w:rPr>
          <w:rFonts w:ascii="Times New Roman" w:hAnsi="Times New Roman"/>
          <w:lang w:val="sr-Cyrl-BA"/>
        </w:rPr>
        <w:t xml:space="preserve">, </w:t>
      </w:r>
      <w:r>
        <w:rPr>
          <w:rFonts w:ascii="Times New Roman" w:hAnsi="Times New Roman"/>
          <w:lang w:val="sr-Cyrl-BA"/>
        </w:rPr>
        <w:t>очинством</w:t>
      </w:r>
      <w:r w:rsidR="00664E91" w:rsidRPr="00295637">
        <w:rPr>
          <w:rFonts w:ascii="Times New Roman" w:hAnsi="Times New Roman"/>
          <w:lang w:val="sr-Cyrl-BA"/>
        </w:rPr>
        <w:t xml:space="preserve"> </w:t>
      </w:r>
      <w:r>
        <w:rPr>
          <w:rFonts w:ascii="Times New Roman" w:hAnsi="Times New Roman"/>
          <w:lang w:val="sr-Cyrl-BA"/>
        </w:rPr>
        <w:t>и</w:t>
      </w:r>
      <w:r w:rsidR="00664E91" w:rsidRPr="00295637">
        <w:rPr>
          <w:rFonts w:ascii="Times New Roman" w:hAnsi="Times New Roman"/>
          <w:lang w:val="sr-Cyrl-BA"/>
        </w:rPr>
        <w:t xml:space="preserve"> </w:t>
      </w:r>
      <w:r>
        <w:rPr>
          <w:rFonts w:ascii="Times New Roman" w:hAnsi="Times New Roman"/>
          <w:lang w:val="hr-HR"/>
        </w:rPr>
        <w:t>породицом</w:t>
      </w:r>
      <w:r w:rsidR="00664E91" w:rsidRPr="00295637">
        <w:rPr>
          <w:rFonts w:ascii="Times New Roman" w:hAnsi="Times New Roman"/>
          <w:lang w:val="sr-Cyrl-BA"/>
        </w:rPr>
        <w:t>.</w:t>
      </w:r>
      <w:r w:rsidR="00664E91" w:rsidRPr="00295637">
        <w:rPr>
          <w:rFonts w:ascii="Times New Roman" w:hAnsi="Times New Roman"/>
          <w:lang w:val="sr-Latn-BA"/>
        </w:rPr>
        <w:t xml:space="preserve"> </w:t>
      </w:r>
      <w:r>
        <w:rPr>
          <w:rFonts w:ascii="Times New Roman" w:hAnsi="Times New Roman"/>
          <w:lang w:val="bs-Latn-BA"/>
        </w:rPr>
        <w:t>Н</w:t>
      </w:r>
      <w:r>
        <w:rPr>
          <w:rFonts w:ascii="Times New Roman" w:hAnsi="Times New Roman"/>
          <w:lang w:val="sr-Latn-BA"/>
        </w:rPr>
        <w:t>а</w:t>
      </w:r>
      <w:r w:rsidR="00664E91" w:rsidRPr="00295637">
        <w:rPr>
          <w:rFonts w:ascii="Times New Roman" w:hAnsi="Times New Roman"/>
          <w:lang w:val="sr-Latn-BA"/>
        </w:rPr>
        <w:t xml:space="preserve"> </w:t>
      </w:r>
      <w:r>
        <w:rPr>
          <w:rFonts w:ascii="Times New Roman" w:hAnsi="Times New Roman"/>
          <w:lang w:val="sr-Latn-BA"/>
        </w:rPr>
        <w:t>снази</w:t>
      </w:r>
      <w:r w:rsidR="00664E91" w:rsidRPr="00295637">
        <w:rPr>
          <w:rFonts w:ascii="Times New Roman" w:hAnsi="Times New Roman"/>
          <w:lang w:val="sr-Latn-BA"/>
        </w:rPr>
        <w:t xml:space="preserve"> </w:t>
      </w:r>
      <w:r>
        <w:rPr>
          <w:rFonts w:ascii="Times New Roman" w:hAnsi="Times New Roman"/>
          <w:lang w:val="sr-Latn-BA"/>
        </w:rPr>
        <w:t>је</w:t>
      </w:r>
      <w:r w:rsidR="00664E91" w:rsidRPr="00295637">
        <w:rPr>
          <w:rFonts w:ascii="Times New Roman" w:hAnsi="Times New Roman"/>
          <w:lang w:val="sr-Cyrl-BA"/>
        </w:rPr>
        <w:t xml:space="preserve"> </w:t>
      </w:r>
      <w:r>
        <w:rPr>
          <w:rFonts w:ascii="Times New Roman" w:hAnsi="Times New Roman"/>
          <w:lang w:val="sr-Cyrl-BA"/>
        </w:rPr>
        <w:t>Закон</w:t>
      </w:r>
      <w:r w:rsidR="00664E91" w:rsidRPr="00295637">
        <w:rPr>
          <w:rFonts w:ascii="Times New Roman" w:hAnsi="Times New Roman"/>
          <w:lang w:val="sr-Cyrl-BA"/>
        </w:rPr>
        <w:t xml:space="preserve"> </w:t>
      </w:r>
      <w:r>
        <w:rPr>
          <w:rFonts w:ascii="Times New Roman" w:hAnsi="Times New Roman"/>
          <w:lang w:val="sr-Cyrl-BA"/>
        </w:rPr>
        <w:t>о</w:t>
      </w:r>
      <w:r w:rsidR="00664E91" w:rsidRPr="00295637">
        <w:rPr>
          <w:rFonts w:ascii="Times New Roman" w:hAnsi="Times New Roman"/>
          <w:lang w:val="sr-Cyrl-BA"/>
        </w:rPr>
        <w:t xml:space="preserve"> </w:t>
      </w:r>
      <w:r>
        <w:rPr>
          <w:rFonts w:ascii="Times New Roman" w:hAnsi="Times New Roman"/>
          <w:lang w:val="sr-Cyrl-BA"/>
        </w:rPr>
        <w:t>измјени</w:t>
      </w:r>
      <w:r w:rsidR="00664E91" w:rsidRPr="00295637">
        <w:rPr>
          <w:rFonts w:ascii="Times New Roman" w:hAnsi="Times New Roman"/>
          <w:lang w:val="sr-Cyrl-BA"/>
        </w:rPr>
        <w:t xml:space="preserve"> </w:t>
      </w:r>
      <w:r>
        <w:rPr>
          <w:rFonts w:ascii="Times New Roman" w:hAnsi="Times New Roman"/>
          <w:lang w:val="sr-Cyrl-BA"/>
        </w:rPr>
        <w:t>Закона</w:t>
      </w:r>
      <w:r w:rsidR="00664E91" w:rsidRPr="00295637">
        <w:rPr>
          <w:rFonts w:ascii="Times New Roman" w:hAnsi="Times New Roman"/>
          <w:lang w:val="sr-Cyrl-BA"/>
        </w:rPr>
        <w:t xml:space="preserve"> </w:t>
      </w:r>
      <w:r>
        <w:rPr>
          <w:rFonts w:ascii="Times New Roman" w:hAnsi="Times New Roman"/>
          <w:lang w:val="sr-Cyrl-BA"/>
        </w:rPr>
        <w:t>о</w:t>
      </w:r>
      <w:r w:rsidR="00664E91" w:rsidRPr="00295637">
        <w:rPr>
          <w:rFonts w:ascii="Times New Roman" w:hAnsi="Times New Roman"/>
          <w:lang w:val="sr-Cyrl-BA"/>
        </w:rPr>
        <w:t xml:space="preserve"> </w:t>
      </w:r>
      <w:r>
        <w:rPr>
          <w:rFonts w:ascii="Times New Roman" w:hAnsi="Times New Roman"/>
          <w:lang w:val="sr-Cyrl-BA"/>
        </w:rPr>
        <w:t>раду</w:t>
      </w:r>
      <w:r w:rsidR="00664E91" w:rsidRPr="00295637">
        <w:rPr>
          <w:rFonts w:ascii="Times New Roman" w:hAnsi="Times New Roman"/>
          <w:lang w:val="sr-Cyrl-BA"/>
        </w:rPr>
        <w:t xml:space="preserve">, </w:t>
      </w:r>
      <w:r>
        <w:rPr>
          <w:rFonts w:ascii="Times New Roman" w:hAnsi="Times New Roman"/>
          <w:lang w:val="sr-Cyrl-BA"/>
        </w:rPr>
        <w:t>којим</w:t>
      </w:r>
      <w:r w:rsidR="00664E91" w:rsidRPr="00295637">
        <w:rPr>
          <w:rFonts w:ascii="Times New Roman" w:hAnsi="Times New Roman"/>
          <w:lang w:val="sr-Cyrl-BA"/>
        </w:rPr>
        <w:t xml:space="preserve"> </w:t>
      </w:r>
      <w:r>
        <w:rPr>
          <w:rFonts w:ascii="Times New Roman" w:hAnsi="Times New Roman"/>
          <w:lang w:val="sr-Cyrl-BA"/>
        </w:rPr>
        <w:t>је</w:t>
      </w:r>
      <w:r w:rsidR="00664E91" w:rsidRPr="00295637">
        <w:rPr>
          <w:rFonts w:ascii="Times New Roman" w:hAnsi="Times New Roman"/>
          <w:lang w:val="sr-Cyrl-BA"/>
        </w:rPr>
        <w:t xml:space="preserve"> </w:t>
      </w:r>
      <w:r>
        <w:rPr>
          <w:rFonts w:ascii="Times New Roman" w:hAnsi="Times New Roman"/>
          <w:lang w:val="sr-Cyrl-BA"/>
        </w:rPr>
        <w:t>извршена</w:t>
      </w:r>
      <w:r w:rsidR="00664E91" w:rsidRPr="00295637">
        <w:rPr>
          <w:rFonts w:ascii="Times New Roman" w:hAnsi="Times New Roman"/>
          <w:lang w:val="sr-Cyrl-BA"/>
        </w:rPr>
        <w:t xml:space="preserve"> </w:t>
      </w:r>
      <w:r>
        <w:rPr>
          <w:rFonts w:ascii="Times New Roman" w:hAnsi="Times New Roman"/>
          <w:lang w:val="sr-Cyrl-BA"/>
        </w:rPr>
        <w:t>измјена</w:t>
      </w:r>
      <w:r w:rsidR="00664E91" w:rsidRPr="00295637">
        <w:rPr>
          <w:rFonts w:ascii="Times New Roman" w:hAnsi="Times New Roman"/>
          <w:lang w:val="sr-Cyrl-BA"/>
        </w:rPr>
        <w:t xml:space="preserve"> </w:t>
      </w:r>
      <w:r>
        <w:rPr>
          <w:rFonts w:ascii="Times New Roman" w:hAnsi="Times New Roman"/>
          <w:lang w:val="sr-Cyrl-BA"/>
        </w:rPr>
        <w:t>у</w:t>
      </w:r>
      <w:r w:rsidR="00664E91" w:rsidRPr="00295637">
        <w:rPr>
          <w:rFonts w:ascii="Times New Roman" w:hAnsi="Times New Roman"/>
          <w:lang w:val="sr-Cyrl-BA"/>
        </w:rPr>
        <w:t xml:space="preserve"> </w:t>
      </w:r>
      <w:r>
        <w:rPr>
          <w:rFonts w:ascii="Times New Roman" w:hAnsi="Times New Roman"/>
          <w:lang w:val="sr-Cyrl-BA"/>
        </w:rPr>
        <w:t>погледу</w:t>
      </w:r>
      <w:r w:rsidR="00664E91" w:rsidRPr="00295637">
        <w:rPr>
          <w:rFonts w:ascii="Times New Roman" w:hAnsi="Times New Roman"/>
          <w:lang w:val="sr-Cyrl-BA"/>
        </w:rPr>
        <w:t xml:space="preserve"> </w:t>
      </w:r>
      <w:r>
        <w:rPr>
          <w:rFonts w:ascii="Times New Roman" w:hAnsi="Times New Roman"/>
          <w:lang w:val="sr-Cyrl-BA"/>
        </w:rPr>
        <w:t>начина</w:t>
      </w:r>
      <w:r w:rsidR="00664E91" w:rsidRPr="00295637">
        <w:rPr>
          <w:rFonts w:ascii="Times New Roman" w:hAnsi="Times New Roman"/>
          <w:lang w:val="sr-Cyrl-BA"/>
        </w:rPr>
        <w:t xml:space="preserve"> </w:t>
      </w:r>
      <w:r>
        <w:rPr>
          <w:rFonts w:ascii="Times New Roman" w:hAnsi="Times New Roman"/>
          <w:lang w:val="sr-Cyrl-BA"/>
        </w:rPr>
        <w:t>утврђивања</w:t>
      </w:r>
      <w:r w:rsidR="00664E91" w:rsidRPr="00295637">
        <w:rPr>
          <w:rFonts w:ascii="Times New Roman" w:hAnsi="Times New Roman"/>
          <w:lang w:val="sr-Cyrl-BA"/>
        </w:rPr>
        <w:t xml:space="preserve"> </w:t>
      </w:r>
      <w:r>
        <w:rPr>
          <w:rFonts w:ascii="Times New Roman" w:hAnsi="Times New Roman"/>
          <w:lang w:val="sr-Cyrl-BA"/>
        </w:rPr>
        <w:t>висине</w:t>
      </w:r>
      <w:r w:rsidR="00664E91" w:rsidRPr="00295637">
        <w:rPr>
          <w:rFonts w:ascii="Times New Roman" w:hAnsi="Times New Roman"/>
          <w:lang w:val="sr-Cyrl-BA"/>
        </w:rPr>
        <w:t xml:space="preserve"> </w:t>
      </w:r>
      <w:r>
        <w:rPr>
          <w:rFonts w:ascii="Times New Roman" w:hAnsi="Times New Roman"/>
          <w:lang w:val="sr-Cyrl-BA"/>
        </w:rPr>
        <w:t>накнаде</w:t>
      </w:r>
      <w:r w:rsidR="00664E91" w:rsidRPr="00295637">
        <w:rPr>
          <w:rFonts w:ascii="Times New Roman" w:hAnsi="Times New Roman"/>
          <w:lang w:val="sr-Cyrl-BA"/>
        </w:rPr>
        <w:t xml:space="preserve"> </w:t>
      </w:r>
      <w:r>
        <w:rPr>
          <w:rFonts w:ascii="Times New Roman" w:hAnsi="Times New Roman"/>
          <w:lang w:val="sr-Cyrl-BA"/>
        </w:rPr>
        <w:t>пла</w:t>
      </w:r>
      <w:r w:rsidR="00870C36">
        <w:rPr>
          <w:rFonts w:ascii="Times New Roman" w:hAnsi="Times New Roman"/>
          <w:lang w:val="sr-Cyrl-BA"/>
        </w:rPr>
        <w:t>т</w:t>
      </w:r>
      <w:r>
        <w:rPr>
          <w:rFonts w:ascii="Times New Roman" w:hAnsi="Times New Roman"/>
          <w:lang w:val="sr-Cyrl-BA"/>
        </w:rPr>
        <w:t>е</w:t>
      </w:r>
      <w:r w:rsidR="00664E91" w:rsidRPr="00295637">
        <w:rPr>
          <w:rFonts w:ascii="Times New Roman" w:hAnsi="Times New Roman"/>
          <w:lang w:val="sr-Cyrl-BA"/>
        </w:rPr>
        <w:t xml:space="preserve"> </w:t>
      </w:r>
      <w:r>
        <w:rPr>
          <w:rFonts w:ascii="Times New Roman" w:hAnsi="Times New Roman"/>
          <w:lang w:val="sr-Cyrl-BA"/>
        </w:rPr>
        <w:t>за</w:t>
      </w:r>
      <w:r w:rsidR="00664E91" w:rsidRPr="00295637">
        <w:rPr>
          <w:rFonts w:ascii="Times New Roman" w:hAnsi="Times New Roman"/>
          <w:lang w:val="sr-Cyrl-BA"/>
        </w:rPr>
        <w:t xml:space="preserve"> </w:t>
      </w:r>
      <w:r>
        <w:rPr>
          <w:rFonts w:ascii="Times New Roman" w:hAnsi="Times New Roman"/>
          <w:lang w:val="sr-Cyrl-BA"/>
        </w:rPr>
        <w:t>вријеме</w:t>
      </w:r>
      <w:r w:rsidR="00664E91" w:rsidRPr="00295637">
        <w:rPr>
          <w:rFonts w:ascii="Times New Roman" w:hAnsi="Times New Roman"/>
          <w:lang w:val="sr-Cyrl-BA"/>
        </w:rPr>
        <w:t xml:space="preserve"> </w:t>
      </w:r>
      <w:r>
        <w:rPr>
          <w:rFonts w:ascii="Times New Roman" w:hAnsi="Times New Roman"/>
          <w:lang w:val="sr-Cyrl-BA"/>
        </w:rPr>
        <w:t>кориш</w:t>
      </w:r>
      <w:r w:rsidR="00870C36">
        <w:rPr>
          <w:rFonts w:ascii="Times New Roman" w:hAnsi="Times New Roman"/>
          <w:lang w:val="sr-Cyrl-BA"/>
        </w:rPr>
        <w:t>ћ</w:t>
      </w:r>
      <w:r>
        <w:rPr>
          <w:rFonts w:ascii="Times New Roman" w:hAnsi="Times New Roman"/>
          <w:lang w:val="sr-Cyrl-BA"/>
        </w:rPr>
        <w:t>ења</w:t>
      </w:r>
      <w:r w:rsidR="00664E91" w:rsidRPr="00295637">
        <w:rPr>
          <w:rFonts w:ascii="Times New Roman" w:hAnsi="Times New Roman"/>
          <w:lang w:val="sr-Cyrl-BA"/>
        </w:rPr>
        <w:t xml:space="preserve"> </w:t>
      </w:r>
      <w:r>
        <w:rPr>
          <w:rFonts w:ascii="Times New Roman" w:hAnsi="Times New Roman"/>
          <w:lang w:val="sr-Cyrl-BA"/>
        </w:rPr>
        <w:t>породиљског</w:t>
      </w:r>
      <w:r w:rsidR="00664E91" w:rsidRPr="00295637">
        <w:rPr>
          <w:rFonts w:ascii="Times New Roman" w:hAnsi="Times New Roman"/>
          <w:lang w:val="sr-Cyrl-BA"/>
        </w:rPr>
        <w:t xml:space="preserve"> </w:t>
      </w:r>
      <w:r>
        <w:rPr>
          <w:rFonts w:ascii="Times New Roman" w:hAnsi="Times New Roman"/>
          <w:lang w:val="sr-Cyrl-BA"/>
        </w:rPr>
        <w:t>одсуства</w:t>
      </w:r>
      <w:r w:rsidR="00664E91" w:rsidRPr="00295637">
        <w:rPr>
          <w:rFonts w:ascii="Times New Roman" w:hAnsi="Times New Roman"/>
          <w:lang w:val="sr-Cyrl-BA"/>
        </w:rPr>
        <w:t xml:space="preserve">. </w:t>
      </w:r>
      <w:r>
        <w:rPr>
          <w:rFonts w:ascii="Times New Roman" w:hAnsi="Times New Roman"/>
          <w:lang w:val="sr-Cyrl-BA"/>
        </w:rPr>
        <w:t>Приликом</w:t>
      </w:r>
      <w:r w:rsidR="00664E91" w:rsidRPr="00295637">
        <w:rPr>
          <w:rFonts w:ascii="Times New Roman" w:hAnsi="Times New Roman"/>
          <w:lang w:val="sr-Cyrl-BA"/>
        </w:rPr>
        <w:t xml:space="preserve"> </w:t>
      </w:r>
      <w:r>
        <w:rPr>
          <w:rFonts w:ascii="Times New Roman" w:hAnsi="Times New Roman"/>
          <w:lang w:val="sr-Cyrl-BA"/>
        </w:rPr>
        <w:t>утврђивања</w:t>
      </w:r>
      <w:r w:rsidR="00664E91" w:rsidRPr="00295637">
        <w:rPr>
          <w:rFonts w:ascii="Times New Roman" w:hAnsi="Times New Roman"/>
          <w:lang w:val="sr-Cyrl-BA"/>
        </w:rPr>
        <w:t xml:space="preserve"> </w:t>
      </w:r>
      <w:r>
        <w:rPr>
          <w:rFonts w:ascii="Times New Roman" w:hAnsi="Times New Roman"/>
          <w:lang w:val="hr-HR"/>
        </w:rPr>
        <w:t>основа</w:t>
      </w:r>
      <w:r w:rsidR="00664E91" w:rsidRPr="00295637">
        <w:rPr>
          <w:rFonts w:ascii="Times New Roman" w:hAnsi="Times New Roman"/>
          <w:lang w:val="sr-Cyrl-BA"/>
        </w:rPr>
        <w:t xml:space="preserve"> </w:t>
      </w:r>
      <w:r>
        <w:rPr>
          <w:rFonts w:ascii="Times New Roman" w:hAnsi="Times New Roman"/>
          <w:lang w:val="sr-Cyrl-BA"/>
        </w:rPr>
        <w:t>за</w:t>
      </w:r>
      <w:r w:rsidR="00664E91" w:rsidRPr="00295637">
        <w:rPr>
          <w:rFonts w:ascii="Times New Roman" w:hAnsi="Times New Roman"/>
          <w:lang w:val="sr-Cyrl-BA"/>
        </w:rPr>
        <w:t xml:space="preserve"> </w:t>
      </w:r>
      <w:r>
        <w:rPr>
          <w:rFonts w:ascii="Times New Roman" w:hAnsi="Times New Roman"/>
          <w:lang w:val="sr-Cyrl-BA"/>
        </w:rPr>
        <w:t>накнаду</w:t>
      </w:r>
      <w:r w:rsidR="00664E91" w:rsidRPr="00295637">
        <w:rPr>
          <w:rFonts w:ascii="Times New Roman" w:hAnsi="Times New Roman"/>
          <w:lang w:val="sr-Cyrl-BA"/>
        </w:rPr>
        <w:t xml:space="preserve"> </w:t>
      </w:r>
      <w:r>
        <w:rPr>
          <w:rFonts w:ascii="Times New Roman" w:hAnsi="Times New Roman"/>
          <w:lang w:val="sr-Cyrl-BA"/>
        </w:rPr>
        <w:t>пла</w:t>
      </w:r>
      <w:r w:rsidR="00870C36">
        <w:rPr>
          <w:rFonts w:ascii="Times New Roman" w:hAnsi="Times New Roman"/>
          <w:lang w:val="sr-Cyrl-BA"/>
        </w:rPr>
        <w:t>т</w:t>
      </w:r>
      <w:r>
        <w:rPr>
          <w:rFonts w:ascii="Times New Roman" w:hAnsi="Times New Roman"/>
          <w:lang w:val="sr-Cyrl-BA"/>
        </w:rPr>
        <w:t>е</w:t>
      </w:r>
      <w:r w:rsidR="00664E91" w:rsidRPr="00295637">
        <w:rPr>
          <w:rFonts w:ascii="Times New Roman" w:hAnsi="Times New Roman"/>
          <w:lang w:val="sr-Cyrl-BA"/>
        </w:rPr>
        <w:t xml:space="preserve"> </w:t>
      </w:r>
      <w:r>
        <w:rPr>
          <w:rFonts w:ascii="Times New Roman" w:hAnsi="Times New Roman"/>
          <w:lang w:val="sr-Cyrl-BA"/>
        </w:rPr>
        <w:t>узима</w:t>
      </w:r>
      <w:r w:rsidR="00664E91" w:rsidRPr="00295637">
        <w:rPr>
          <w:rFonts w:ascii="Times New Roman" w:hAnsi="Times New Roman"/>
          <w:lang w:val="sr-Cyrl-BA"/>
        </w:rPr>
        <w:t xml:space="preserve"> </w:t>
      </w:r>
      <w:r>
        <w:rPr>
          <w:rFonts w:ascii="Times New Roman" w:hAnsi="Times New Roman"/>
          <w:lang w:val="sr-Cyrl-BA"/>
        </w:rPr>
        <w:t>се</w:t>
      </w:r>
      <w:r w:rsidR="00664E91" w:rsidRPr="00295637">
        <w:rPr>
          <w:rFonts w:ascii="Times New Roman" w:hAnsi="Times New Roman"/>
          <w:lang w:val="sr-Cyrl-BA"/>
        </w:rPr>
        <w:t xml:space="preserve"> </w:t>
      </w:r>
      <w:r>
        <w:rPr>
          <w:rFonts w:ascii="Times New Roman" w:hAnsi="Times New Roman"/>
          <w:lang w:val="sr-Cyrl-BA"/>
        </w:rPr>
        <w:t>износ</w:t>
      </w:r>
      <w:r w:rsidR="00664E91" w:rsidRPr="00295637">
        <w:rPr>
          <w:rFonts w:ascii="Times New Roman" w:hAnsi="Times New Roman"/>
          <w:lang w:val="sr-Cyrl-BA"/>
        </w:rPr>
        <w:t xml:space="preserve"> </w:t>
      </w:r>
      <w:r>
        <w:rPr>
          <w:rFonts w:ascii="Times New Roman" w:hAnsi="Times New Roman"/>
          <w:lang w:val="sr-Cyrl-BA"/>
        </w:rPr>
        <w:t>просјечне</w:t>
      </w:r>
      <w:r w:rsidR="00664E91" w:rsidRPr="00295637">
        <w:rPr>
          <w:rFonts w:ascii="Times New Roman" w:hAnsi="Times New Roman"/>
          <w:lang w:val="sr-Cyrl-BA"/>
        </w:rPr>
        <w:t xml:space="preserve"> </w:t>
      </w:r>
      <w:r>
        <w:rPr>
          <w:rFonts w:ascii="Times New Roman" w:hAnsi="Times New Roman"/>
          <w:lang w:val="sr-Cyrl-BA"/>
        </w:rPr>
        <w:t>пла</w:t>
      </w:r>
      <w:r w:rsidR="00870C36">
        <w:rPr>
          <w:rFonts w:ascii="Times New Roman" w:hAnsi="Times New Roman"/>
          <w:lang w:val="sr-Cyrl-BA"/>
        </w:rPr>
        <w:t>т</w:t>
      </w:r>
      <w:r>
        <w:rPr>
          <w:rFonts w:ascii="Times New Roman" w:hAnsi="Times New Roman"/>
          <w:lang w:val="sr-Cyrl-BA"/>
        </w:rPr>
        <w:t>е</w:t>
      </w:r>
      <w:r w:rsidR="00664E91" w:rsidRPr="00295637">
        <w:rPr>
          <w:rFonts w:ascii="Times New Roman" w:hAnsi="Times New Roman"/>
          <w:lang w:val="sr-Cyrl-BA"/>
        </w:rPr>
        <w:t xml:space="preserve"> </w:t>
      </w:r>
      <w:r>
        <w:rPr>
          <w:rFonts w:ascii="Times New Roman" w:hAnsi="Times New Roman"/>
          <w:lang w:val="sr-Cyrl-BA"/>
        </w:rPr>
        <w:t>у</w:t>
      </w:r>
      <w:r w:rsidR="00664E91" w:rsidRPr="00295637">
        <w:rPr>
          <w:rFonts w:ascii="Times New Roman" w:hAnsi="Times New Roman"/>
          <w:lang w:val="sr-Cyrl-BA"/>
        </w:rPr>
        <w:t xml:space="preserve"> </w:t>
      </w:r>
      <w:r>
        <w:rPr>
          <w:rFonts w:ascii="Times New Roman" w:hAnsi="Times New Roman"/>
          <w:lang w:val="sr-Cyrl-BA"/>
        </w:rPr>
        <w:t>посљедњих</w:t>
      </w:r>
      <w:r w:rsidR="00664E91" w:rsidRPr="00295637">
        <w:rPr>
          <w:rFonts w:ascii="Times New Roman" w:hAnsi="Times New Roman"/>
          <w:lang w:val="sr-Cyrl-BA"/>
        </w:rPr>
        <w:t xml:space="preserve"> 18 </w:t>
      </w:r>
      <w:r>
        <w:rPr>
          <w:rFonts w:ascii="Times New Roman" w:hAnsi="Times New Roman"/>
          <w:lang w:val="sr-Cyrl-BA"/>
        </w:rPr>
        <w:t>мјесеци</w:t>
      </w:r>
      <w:r w:rsidR="00664E91" w:rsidRPr="00295637">
        <w:rPr>
          <w:rFonts w:ascii="Times New Roman" w:hAnsi="Times New Roman"/>
          <w:lang w:val="sr-Cyrl-BA"/>
        </w:rPr>
        <w:t xml:space="preserve"> </w:t>
      </w:r>
      <w:r>
        <w:rPr>
          <w:rFonts w:ascii="Times New Roman" w:hAnsi="Times New Roman"/>
          <w:lang w:val="sr-Cyrl-BA"/>
        </w:rPr>
        <w:t>умјесто</w:t>
      </w:r>
      <w:r w:rsidR="00664E91" w:rsidRPr="00295637">
        <w:rPr>
          <w:rFonts w:ascii="Times New Roman" w:hAnsi="Times New Roman"/>
          <w:lang w:val="sr-Cyrl-BA"/>
        </w:rPr>
        <w:t xml:space="preserve"> </w:t>
      </w:r>
      <w:r>
        <w:rPr>
          <w:rFonts w:ascii="Times New Roman" w:hAnsi="Times New Roman"/>
          <w:lang w:val="sr-Cyrl-BA"/>
        </w:rPr>
        <w:t>ранијих</w:t>
      </w:r>
      <w:r w:rsidR="00664E91" w:rsidRPr="00295637">
        <w:rPr>
          <w:rFonts w:ascii="Times New Roman" w:hAnsi="Times New Roman"/>
          <w:lang w:val="sr-Cyrl-BA"/>
        </w:rPr>
        <w:t xml:space="preserve"> 12, </w:t>
      </w:r>
      <w:r>
        <w:rPr>
          <w:rFonts w:ascii="Times New Roman" w:hAnsi="Times New Roman"/>
          <w:lang w:val="sr-Cyrl-BA"/>
        </w:rPr>
        <w:t>а</w:t>
      </w:r>
      <w:r w:rsidR="00664E91" w:rsidRPr="00295637">
        <w:rPr>
          <w:rFonts w:ascii="Times New Roman" w:hAnsi="Times New Roman"/>
          <w:lang w:val="sr-Cyrl-BA"/>
        </w:rPr>
        <w:t xml:space="preserve"> </w:t>
      </w:r>
      <w:r>
        <w:rPr>
          <w:rFonts w:ascii="Times New Roman" w:hAnsi="Times New Roman"/>
          <w:lang w:val="sr-Cyrl-BA"/>
        </w:rPr>
        <w:t>за</w:t>
      </w:r>
      <w:r w:rsidR="00664E91" w:rsidRPr="00295637">
        <w:rPr>
          <w:rFonts w:ascii="Times New Roman" w:hAnsi="Times New Roman"/>
          <w:lang w:val="sr-Cyrl-BA"/>
        </w:rPr>
        <w:t xml:space="preserve"> </w:t>
      </w:r>
      <w:r>
        <w:rPr>
          <w:rFonts w:ascii="Times New Roman" w:hAnsi="Times New Roman"/>
          <w:lang w:val="sr-Cyrl-BA"/>
        </w:rPr>
        <w:t>мјесеце</w:t>
      </w:r>
      <w:r w:rsidR="00664E91" w:rsidRPr="00295637">
        <w:rPr>
          <w:rFonts w:ascii="Times New Roman" w:hAnsi="Times New Roman"/>
          <w:lang w:val="sr-Cyrl-BA"/>
        </w:rPr>
        <w:t xml:space="preserve"> </w:t>
      </w:r>
      <w:r>
        <w:rPr>
          <w:rFonts w:ascii="Times New Roman" w:hAnsi="Times New Roman"/>
          <w:lang w:val="sr-Cyrl-BA"/>
        </w:rPr>
        <w:t>у</w:t>
      </w:r>
      <w:r w:rsidR="00664E91" w:rsidRPr="00295637">
        <w:rPr>
          <w:rFonts w:ascii="Times New Roman" w:hAnsi="Times New Roman"/>
          <w:lang w:val="sr-Cyrl-BA"/>
        </w:rPr>
        <w:t xml:space="preserve"> </w:t>
      </w:r>
      <w:r>
        <w:rPr>
          <w:rFonts w:ascii="Times New Roman" w:hAnsi="Times New Roman"/>
          <w:lang w:val="sr-Cyrl-BA"/>
        </w:rPr>
        <w:t>којима</w:t>
      </w:r>
      <w:r w:rsidR="00664E91" w:rsidRPr="00295637">
        <w:rPr>
          <w:rFonts w:ascii="Times New Roman" w:hAnsi="Times New Roman"/>
          <w:lang w:val="sr-Cyrl-BA"/>
        </w:rPr>
        <w:t xml:space="preserve"> </w:t>
      </w:r>
      <w:r>
        <w:rPr>
          <w:rFonts w:ascii="Times New Roman" w:hAnsi="Times New Roman"/>
          <w:lang w:val="sr-Cyrl-BA"/>
        </w:rPr>
        <w:t>жена</w:t>
      </w:r>
      <w:r w:rsidR="00664E91" w:rsidRPr="00295637">
        <w:rPr>
          <w:rFonts w:ascii="Times New Roman" w:hAnsi="Times New Roman"/>
          <w:lang w:val="sr-Cyrl-BA"/>
        </w:rPr>
        <w:t xml:space="preserve"> </w:t>
      </w:r>
      <w:r>
        <w:rPr>
          <w:rFonts w:ascii="Times New Roman" w:hAnsi="Times New Roman"/>
          <w:lang w:val="sr-Cyrl-BA"/>
        </w:rPr>
        <w:t>није</w:t>
      </w:r>
      <w:r w:rsidR="00664E91" w:rsidRPr="00295637">
        <w:rPr>
          <w:rFonts w:ascii="Times New Roman" w:hAnsi="Times New Roman"/>
          <w:lang w:val="sr-Cyrl-BA"/>
        </w:rPr>
        <w:t xml:space="preserve"> </w:t>
      </w:r>
      <w:r>
        <w:rPr>
          <w:rFonts w:ascii="Times New Roman" w:hAnsi="Times New Roman"/>
          <w:lang w:val="sr-Cyrl-BA"/>
        </w:rPr>
        <w:t>остварила</w:t>
      </w:r>
      <w:r w:rsidR="00664E91" w:rsidRPr="00295637">
        <w:rPr>
          <w:rFonts w:ascii="Times New Roman" w:hAnsi="Times New Roman"/>
          <w:lang w:val="sr-Cyrl-BA"/>
        </w:rPr>
        <w:t xml:space="preserve"> </w:t>
      </w:r>
      <w:r>
        <w:rPr>
          <w:rFonts w:ascii="Times New Roman" w:hAnsi="Times New Roman"/>
          <w:lang w:val="sr-Cyrl-BA"/>
        </w:rPr>
        <w:t>пла</w:t>
      </w:r>
      <w:r w:rsidR="00870C36">
        <w:rPr>
          <w:rFonts w:ascii="Times New Roman" w:hAnsi="Times New Roman"/>
          <w:lang w:val="sr-Cyrl-BA"/>
        </w:rPr>
        <w:t>т</w:t>
      </w:r>
      <w:r>
        <w:rPr>
          <w:rFonts w:ascii="Times New Roman" w:hAnsi="Times New Roman"/>
          <w:lang w:val="sr-Cyrl-BA"/>
        </w:rPr>
        <w:t>у</w:t>
      </w:r>
      <w:r w:rsidR="00664E91" w:rsidRPr="00295637">
        <w:rPr>
          <w:rFonts w:ascii="Times New Roman" w:hAnsi="Times New Roman"/>
          <w:lang w:val="sr-Cyrl-BA"/>
        </w:rPr>
        <w:t xml:space="preserve"> </w:t>
      </w:r>
      <w:r>
        <w:rPr>
          <w:rFonts w:ascii="Times New Roman" w:hAnsi="Times New Roman"/>
          <w:lang w:val="sr-Cyrl-BA"/>
        </w:rPr>
        <w:t>узима</w:t>
      </w:r>
      <w:r w:rsidR="00664E91" w:rsidRPr="00295637">
        <w:rPr>
          <w:rFonts w:ascii="Times New Roman" w:hAnsi="Times New Roman"/>
          <w:lang w:val="sr-Cyrl-BA"/>
        </w:rPr>
        <w:t xml:space="preserve"> </w:t>
      </w:r>
      <w:r>
        <w:rPr>
          <w:rFonts w:ascii="Times New Roman" w:hAnsi="Times New Roman"/>
          <w:lang w:val="sr-Cyrl-BA"/>
        </w:rPr>
        <w:t>се</w:t>
      </w:r>
      <w:r w:rsidR="00664E91" w:rsidRPr="00295637">
        <w:rPr>
          <w:rFonts w:ascii="Times New Roman" w:hAnsi="Times New Roman"/>
          <w:lang w:val="sr-Cyrl-BA"/>
        </w:rPr>
        <w:t xml:space="preserve"> </w:t>
      </w:r>
      <w:r>
        <w:rPr>
          <w:rFonts w:ascii="Times New Roman" w:hAnsi="Times New Roman"/>
          <w:lang w:val="sr-Cyrl-BA"/>
        </w:rPr>
        <w:t>износ</w:t>
      </w:r>
      <w:r w:rsidR="00664E91" w:rsidRPr="00295637">
        <w:rPr>
          <w:rFonts w:ascii="Times New Roman" w:hAnsi="Times New Roman"/>
          <w:lang w:val="sr-Cyrl-BA"/>
        </w:rPr>
        <w:t xml:space="preserve"> </w:t>
      </w:r>
      <w:r>
        <w:rPr>
          <w:rFonts w:ascii="Times New Roman" w:hAnsi="Times New Roman"/>
          <w:lang w:val="sr-Cyrl-BA"/>
        </w:rPr>
        <w:t>најниже</w:t>
      </w:r>
      <w:r w:rsidR="00664E91" w:rsidRPr="00295637">
        <w:rPr>
          <w:rFonts w:ascii="Times New Roman" w:hAnsi="Times New Roman"/>
          <w:lang w:val="sr-Cyrl-BA"/>
        </w:rPr>
        <w:t xml:space="preserve"> </w:t>
      </w:r>
      <w:r>
        <w:rPr>
          <w:rFonts w:ascii="Times New Roman" w:hAnsi="Times New Roman"/>
          <w:lang w:val="sr-Cyrl-BA"/>
        </w:rPr>
        <w:t>пла</w:t>
      </w:r>
      <w:r w:rsidR="00870C36">
        <w:rPr>
          <w:rFonts w:ascii="Times New Roman" w:hAnsi="Times New Roman"/>
          <w:lang w:val="sr-Cyrl-BA"/>
        </w:rPr>
        <w:t>т</w:t>
      </w:r>
      <w:r>
        <w:rPr>
          <w:rFonts w:ascii="Times New Roman" w:hAnsi="Times New Roman"/>
          <w:lang w:val="sr-Cyrl-BA"/>
        </w:rPr>
        <w:t>е</w:t>
      </w:r>
      <w:r w:rsidR="00664E91" w:rsidRPr="00295637">
        <w:rPr>
          <w:rFonts w:ascii="Times New Roman" w:hAnsi="Times New Roman"/>
          <w:lang w:val="sr-Cyrl-BA"/>
        </w:rPr>
        <w:t xml:space="preserve"> </w:t>
      </w:r>
      <w:r>
        <w:rPr>
          <w:rFonts w:ascii="Times New Roman" w:hAnsi="Times New Roman"/>
          <w:lang w:val="sr-Cyrl-BA"/>
        </w:rPr>
        <w:t>у</w:t>
      </w:r>
      <w:r w:rsidR="00664E91"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664E91" w:rsidRPr="00295637">
        <w:rPr>
          <w:rFonts w:ascii="Times New Roman" w:hAnsi="Times New Roman"/>
          <w:lang w:val="sr-Cyrl-BA"/>
        </w:rPr>
        <w:t xml:space="preserve"> </w:t>
      </w:r>
      <w:r>
        <w:rPr>
          <w:rFonts w:ascii="Times New Roman" w:hAnsi="Times New Roman"/>
          <w:lang w:val="sr-Cyrl-BA"/>
        </w:rPr>
        <w:t>за</w:t>
      </w:r>
      <w:r w:rsidR="00664E91" w:rsidRPr="00295637">
        <w:rPr>
          <w:rFonts w:ascii="Times New Roman" w:hAnsi="Times New Roman"/>
          <w:lang w:val="sr-Cyrl-BA"/>
        </w:rPr>
        <w:t xml:space="preserve"> </w:t>
      </w:r>
      <w:r>
        <w:rPr>
          <w:rFonts w:ascii="Times New Roman" w:hAnsi="Times New Roman"/>
          <w:lang w:val="sr-Cyrl-BA"/>
        </w:rPr>
        <w:t>тај</w:t>
      </w:r>
      <w:r w:rsidR="00664E91" w:rsidRPr="00295637">
        <w:rPr>
          <w:rFonts w:ascii="Times New Roman" w:hAnsi="Times New Roman"/>
          <w:lang w:val="sr-Cyrl-BA"/>
        </w:rPr>
        <w:t xml:space="preserve"> </w:t>
      </w:r>
      <w:r>
        <w:rPr>
          <w:rFonts w:ascii="Times New Roman" w:hAnsi="Times New Roman"/>
          <w:lang w:val="sr-Cyrl-BA"/>
        </w:rPr>
        <w:t>мјесец</w:t>
      </w:r>
      <w:r w:rsidR="00664E91" w:rsidRPr="00295637">
        <w:rPr>
          <w:rFonts w:ascii="Times New Roman" w:hAnsi="Times New Roman"/>
          <w:lang w:val="sr-Cyrl-BA"/>
        </w:rPr>
        <w:t>.</w:t>
      </w:r>
    </w:p>
    <w:p w:rsidR="00664E91" w:rsidRPr="00295637" w:rsidRDefault="00664E91" w:rsidP="0086268D">
      <w:pPr>
        <w:pStyle w:val="ListParagraph"/>
        <w:ind w:left="0"/>
        <w:jc w:val="both"/>
        <w:rPr>
          <w:rFonts w:ascii="Times New Roman" w:hAnsi="Times New Roman"/>
          <w:lang w:val="sr-Cyrl-BA"/>
        </w:rPr>
      </w:pPr>
    </w:p>
    <w:p w:rsidR="00664E91" w:rsidRPr="00295637" w:rsidRDefault="00C6214E" w:rsidP="0086268D">
      <w:pPr>
        <w:pStyle w:val="ListParagraph"/>
        <w:ind w:left="0"/>
        <w:jc w:val="both"/>
        <w:rPr>
          <w:rFonts w:ascii="Times New Roman" w:hAnsi="Times New Roman"/>
          <w:lang w:val="sr-Cyrl-BA"/>
        </w:rPr>
      </w:pPr>
      <w:r>
        <w:rPr>
          <w:rFonts w:ascii="Times New Roman" w:hAnsi="Times New Roman"/>
          <w:lang w:val="sr-Cyrl-BA"/>
        </w:rPr>
        <w:t>Законом</w:t>
      </w:r>
      <w:r w:rsidR="00664E91" w:rsidRPr="00295637">
        <w:rPr>
          <w:rFonts w:ascii="Times New Roman" w:hAnsi="Times New Roman"/>
          <w:lang w:val="sr-Cyrl-BA"/>
        </w:rPr>
        <w:t xml:space="preserve"> </w:t>
      </w:r>
      <w:r>
        <w:rPr>
          <w:rFonts w:ascii="Times New Roman" w:hAnsi="Times New Roman"/>
          <w:lang w:val="sr-Cyrl-BA"/>
        </w:rPr>
        <w:t>о</w:t>
      </w:r>
      <w:r w:rsidR="00664E91" w:rsidRPr="00295637">
        <w:rPr>
          <w:rFonts w:ascii="Times New Roman" w:hAnsi="Times New Roman"/>
          <w:lang w:val="sr-Cyrl-BA"/>
        </w:rPr>
        <w:t xml:space="preserve"> </w:t>
      </w:r>
      <w:r>
        <w:rPr>
          <w:rFonts w:ascii="Times New Roman" w:hAnsi="Times New Roman"/>
          <w:lang w:val="sr-Cyrl-BA"/>
        </w:rPr>
        <w:t>раду</w:t>
      </w:r>
      <w:r w:rsidR="00664E91" w:rsidRPr="00295637">
        <w:rPr>
          <w:rFonts w:ascii="Times New Roman" w:hAnsi="Times New Roman"/>
          <w:lang w:val="sr-Cyrl-BA"/>
        </w:rPr>
        <w:t xml:space="preserve"> </w:t>
      </w:r>
      <w:r>
        <w:rPr>
          <w:rFonts w:ascii="Times New Roman" w:hAnsi="Times New Roman"/>
          <w:lang w:val="sr-Cyrl-BA"/>
        </w:rPr>
        <w:t>РС</w:t>
      </w:r>
      <w:r w:rsidR="00664E91" w:rsidRPr="00295637">
        <w:rPr>
          <w:rFonts w:ascii="Times New Roman" w:hAnsi="Times New Roman"/>
          <w:lang w:val="sr-Cyrl-BA"/>
        </w:rPr>
        <w:t xml:space="preserve"> </w:t>
      </w:r>
      <w:r>
        <w:rPr>
          <w:rFonts w:ascii="Times New Roman" w:hAnsi="Times New Roman"/>
          <w:lang w:val="sr-Cyrl-BA"/>
        </w:rPr>
        <w:t>прописано</w:t>
      </w:r>
      <w:r w:rsidR="00664E91" w:rsidRPr="00295637">
        <w:rPr>
          <w:rFonts w:ascii="Times New Roman" w:hAnsi="Times New Roman"/>
          <w:lang w:val="sr-Cyrl-BA"/>
        </w:rPr>
        <w:t xml:space="preserve"> </w:t>
      </w:r>
      <w:r>
        <w:rPr>
          <w:rFonts w:ascii="Times New Roman" w:hAnsi="Times New Roman"/>
          <w:lang w:val="sr-Cyrl-BA"/>
        </w:rPr>
        <w:t>је</w:t>
      </w:r>
      <w:r w:rsidR="00664E91" w:rsidRPr="00295637">
        <w:rPr>
          <w:rFonts w:ascii="Times New Roman" w:hAnsi="Times New Roman"/>
          <w:lang w:val="sr-Cyrl-BA"/>
        </w:rPr>
        <w:t xml:space="preserve"> </w:t>
      </w:r>
      <w:r>
        <w:rPr>
          <w:rFonts w:ascii="Times New Roman" w:hAnsi="Times New Roman"/>
          <w:lang w:val="sr-Cyrl-BA"/>
        </w:rPr>
        <w:t>да</w:t>
      </w:r>
      <w:r w:rsidR="00664E91" w:rsidRPr="00295637">
        <w:rPr>
          <w:rFonts w:ascii="Times New Roman" w:hAnsi="Times New Roman"/>
          <w:lang w:val="sr-Cyrl-BA"/>
        </w:rPr>
        <w:t xml:space="preserve"> </w:t>
      </w:r>
      <w:r>
        <w:rPr>
          <w:rFonts w:ascii="Times New Roman" w:hAnsi="Times New Roman"/>
          <w:lang w:val="sr-Cyrl-BA"/>
        </w:rPr>
        <w:t>за</w:t>
      </w:r>
      <w:r w:rsidR="00664E91" w:rsidRPr="00295637">
        <w:rPr>
          <w:rFonts w:ascii="Times New Roman" w:hAnsi="Times New Roman"/>
          <w:lang w:val="sr-Cyrl-BA"/>
        </w:rPr>
        <w:t xml:space="preserve"> </w:t>
      </w:r>
      <w:r>
        <w:rPr>
          <w:rFonts w:ascii="Times New Roman" w:hAnsi="Times New Roman"/>
          <w:lang w:val="sr-Cyrl-BA"/>
        </w:rPr>
        <w:t>вријеме</w:t>
      </w:r>
      <w:r w:rsidR="00664E91" w:rsidRPr="00295637">
        <w:rPr>
          <w:rFonts w:ascii="Times New Roman" w:hAnsi="Times New Roman"/>
          <w:lang w:val="sr-Cyrl-BA"/>
        </w:rPr>
        <w:t xml:space="preserve"> </w:t>
      </w:r>
      <w:r>
        <w:rPr>
          <w:rFonts w:ascii="Times New Roman" w:hAnsi="Times New Roman"/>
          <w:lang w:val="sr-Cyrl-BA"/>
        </w:rPr>
        <w:t>трудноће</w:t>
      </w:r>
      <w:r w:rsidR="00664E91" w:rsidRPr="00295637">
        <w:rPr>
          <w:rFonts w:ascii="Times New Roman" w:hAnsi="Times New Roman"/>
          <w:lang w:val="sr-Cyrl-BA"/>
        </w:rPr>
        <w:t xml:space="preserve">, </w:t>
      </w:r>
      <w:r>
        <w:rPr>
          <w:rFonts w:ascii="Times New Roman" w:hAnsi="Times New Roman"/>
          <w:lang w:val="sr-Cyrl-BA"/>
        </w:rPr>
        <w:t>порођаја</w:t>
      </w:r>
      <w:r w:rsidR="00664E91" w:rsidRPr="00295637">
        <w:rPr>
          <w:rFonts w:ascii="Times New Roman" w:hAnsi="Times New Roman"/>
          <w:lang w:val="sr-Cyrl-BA"/>
        </w:rPr>
        <w:t xml:space="preserve"> </w:t>
      </w:r>
      <w:r>
        <w:rPr>
          <w:rFonts w:ascii="Times New Roman" w:hAnsi="Times New Roman"/>
          <w:lang w:val="sr-Cyrl-BA"/>
        </w:rPr>
        <w:t>и</w:t>
      </w:r>
      <w:r w:rsidR="00664E91" w:rsidRPr="00295637">
        <w:rPr>
          <w:rFonts w:ascii="Times New Roman" w:hAnsi="Times New Roman"/>
          <w:lang w:val="sr-Cyrl-BA"/>
        </w:rPr>
        <w:t xml:space="preserve"> </w:t>
      </w:r>
      <w:r>
        <w:rPr>
          <w:rFonts w:ascii="Times New Roman" w:hAnsi="Times New Roman"/>
          <w:lang w:val="sr-Cyrl-BA"/>
        </w:rPr>
        <w:t>његе</w:t>
      </w:r>
      <w:r w:rsidR="00664E91" w:rsidRPr="00295637">
        <w:rPr>
          <w:rFonts w:ascii="Times New Roman" w:hAnsi="Times New Roman"/>
          <w:lang w:val="sr-Cyrl-BA"/>
        </w:rPr>
        <w:t xml:space="preserve"> </w:t>
      </w:r>
      <w:r>
        <w:rPr>
          <w:rFonts w:ascii="Times New Roman" w:hAnsi="Times New Roman"/>
          <w:lang w:val="sr-Cyrl-BA"/>
        </w:rPr>
        <w:t>дјетета</w:t>
      </w:r>
      <w:r w:rsidR="00664E91" w:rsidRPr="00295637">
        <w:rPr>
          <w:rFonts w:ascii="Times New Roman" w:hAnsi="Times New Roman"/>
          <w:lang w:val="sr-Cyrl-BA"/>
        </w:rPr>
        <w:t xml:space="preserve"> </w:t>
      </w:r>
      <w:r>
        <w:rPr>
          <w:rFonts w:ascii="Times New Roman" w:hAnsi="Times New Roman"/>
          <w:lang w:val="sr-Cyrl-BA"/>
        </w:rPr>
        <w:t>жена</w:t>
      </w:r>
      <w:r w:rsidR="00664E91" w:rsidRPr="00295637">
        <w:rPr>
          <w:rFonts w:ascii="Times New Roman" w:hAnsi="Times New Roman"/>
          <w:lang w:val="sr-Cyrl-BA"/>
        </w:rPr>
        <w:t xml:space="preserve"> </w:t>
      </w:r>
      <w:r>
        <w:rPr>
          <w:rFonts w:ascii="Times New Roman" w:hAnsi="Times New Roman"/>
          <w:lang w:val="sr-Cyrl-BA"/>
        </w:rPr>
        <w:t>има</w:t>
      </w:r>
      <w:r w:rsidR="00664E91" w:rsidRPr="00295637">
        <w:rPr>
          <w:rFonts w:ascii="Times New Roman" w:hAnsi="Times New Roman"/>
          <w:lang w:val="sr-Cyrl-BA"/>
        </w:rPr>
        <w:t xml:space="preserve"> </w:t>
      </w:r>
      <w:r>
        <w:rPr>
          <w:rFonts w:ascii="Times New Roman" w:hAnsi="Times New Roman"/>
          <w:lang w:val="sr-Cyrl-BA"/>
        </w:rPr>
        <w:t>право</w:t>
      </w:r>
      <w:r w:rsidR="00664E91" w:rsidRPr="00295637">
        <w:rPr>
          <w:rFonts w:ascii="Times New Roman" w:hAnsi="Times New Roman"/>
          <w:lang w:val="sr-Cyrl-BA"/>
        </w:rPr>
        <w:t xml:space="preserve"> </w:t>
      </w:r>
      <w:r>
        <w:rPr>
          <w:rFonts w:ascii="Times New Roman" w:hAnsi="Times New Roman"/>
          <w:lang w:val="sr-Cyrl-BA"/>
        </w:rPr>
        <w:t>на</w:t>
      </w:r>
      <w:r w:rsidR="00664E91" w:rsidRPr="00295637">
        <w:rPr>
          <w:rFonts w:ascii="Times New Roman" w:hAnsi="Times New Roman"/>
          <w:lang w:val="sr-Cyrl-BA"/>
        </w:rPr>
        <w:t xml:space="preserve"> </w:t>
      </w:r>
      <w:r>
        <w:rPr>
          <w:rFonts w:ascii="Times New Roman" w:hAnsi="Times New Roman"/>
          <w:lang w:val="sr-Cyrl-BA"/>
        </w:rPr>
        <w:t>породиљско</w:t>
      </w:r>
      <w:r w:rsidR="00664E91" w:rsidRPr="00295637">
        <w:rPr>
          <w:rFonts w:ascii="Times New Roman" w:hAnsi="Times New Roman"/>
          <w:lang w:val="sr-Cyrl-BA"/>
        </w:rPr>
        <w:t xml:space="preserve"> </w:t>
      </w:r>
      <w:r>
        <w:rPr>
          <w:rFonts w:ascii="Times New Roman" w:hAnsi="Times New Roman"/>
          <w:lang w:val="sr-Cyrl-BA"/>
        </w:rPr>
        <w:t>одсуство</w:t>
      </w:r>
      <w:r w:rsidR="00664E91" w:rsidRPr="00295637">
        <w:rPr>
          <w:rFonts w:ascii="Times New Roman" w:hAnsi="Times New Roman"/>
          <w:lang w:val="sr-Cyrl-BA"/>
        </w:rPr>
        <w:t xml:space="preserve"> </w:t>
      </w:r>
      <w:r>
        <w:rPr>
          <w:rFonts w:ascii="Times New Roman" w:hAnsi="Times New Roman"/>
          <w:lang w:val="sr-Cyrl-BA"/>
        </w:rPr>
        <w:t>у</w:t>
      </w:r>
      <w:r w:rsidR="00664E91" w:rsidRPr="00295637">
        <w:rPr>
          <w:rFonts w:ascii="Times New Roman" w:hAnsi="Times New Roman"/>
          <w:lang w:val="sr-Cyrl-BA"/>
        </w:rPr>
        <w:t xml:space="preserve"> </w:t>
      </w:r>
      <w:r>
        <w:rPr>
          <w:rFonts w:ascii="Times New Roman" w:hAnsi="Times New Roman"/>
          <w:lang w:val="sr-Cyrl-BA"/>
        </w:rPr>
        <w:t>трајању</w:t>
      </w:r>
      <w:r w:rsidR="00664E91" w:rsidRPr="00295637">
        <w:rPr>
          <w:rFonts w:ascii="Times New Roman" w:hAnsi="Times New Roman"/>
          <w:lang w:val="sr-Cyrl-BA"/>
        </w:rPr>
        <w:t xml:space="preserve"> </w:t>
      </w:r>
      <w:r>
        <w:rPr>
          <w:rFonts w:ascii="Times New Roman" w:hAnsi="Times New Roman"/>
          <w:lang w:val="sr-Cyrl-BA"/>
        </w:rPr>
        <w:t>од</w:t>
      </w:r>
      <w:r w:rsidR="00664E91" w:rsidRPr="00295637">
        <w:rPr>
          <w:rFonts w:ascii="Times New Roman" w:hAnsi="Times New Roman"/>
          <w:lang w:val="sr-Cyrl-BA"/>
        </w:rPr>
        <w:t xml:space="preserve"> </w:t>
      </w:r>
      <w:r>
        <w:rPr>
          <w:rFonts w:ascii="Times New Roman" w:hAnsi="Times New Roman"/>
          <w:lang w:val="sr-Cyrl-BA"/>
        </w:rPr>
        <w:t>годину</w:t>
      </w:r>
      <w:r w:rsidR="00664E91" w:rsidRPr="00295637">
        <w:rPr>
          <w:rFonts w:ascii="Times New Roman" w:hAnsi="Times New Roman"/>
          <w:lang w:val="sr-Cyrl-BA"/>
        </w:rPr>
        <w:t xml:space="preserve"> </w:t>
      </w:r>
      <w:r>
        <w:rPr>
          <w:rFonts w:ascii="Times New Roman" w:hAnsi="Times New Roman"/>
          <w:lang w:val="sr-Cyrl-BA"/>
        </w:rPr>
        <w:t>дана</w:t>
      </w:r>
      <w:r w:rsidR="00664E91" w:rsidRPr="00295637">
        <w:rPr>
          <w:rFonts w:ascii="Times New Roman" w:hAnsi="Times New Roman"/>
          <w:lang w:val="sr-Cyrl-BA"/>
        </w:rPr>
        <w:t xml:space="preserve"> </w:t>
      </w:r>
      <w:r>
        <w:rPr>
          <w:rFonts w:ascii="Times New Roman" w:hAnsi="Times New Roman"/>
          <w:lang w:val="sr-Cyrl-BA"/>
        </w:rPr>
        <w:t>непрекидно</w:t>
      </w:r>
      <w:r w:rsidR="00664E91" w:rsidRPr="00295637">
        <w:rPr>
          <w:rFonts w:ascii="Times New Roman" w:hAnsi="Times New Roman"/>
          <w:lang w:val="sr-Cyrl-BA"/>
        </w:rPr>
        <w:t xml:space="preserve">, </w:t>
      </w:r>
      <w:r>
        <w:rPr>
          <w:rFonts w:ascii="Times New Roman" w:hAnsi="Times New Roman"/>
          <w:lang w:val="sr-Cyrl-BA"/>
        </w:rPr>
        <w:t>а</w:t>
      </w:r>
      <w:r w:rsidR="00664E91" w:rsidRPr="00295637">
        <w:rPr>
          <w:rFonts w:ascii="Times New Roman" w:hAnsi="Times New Roman"/>
          <w:lang w:val="sr-Cyrl-BA"/>
        </w:rPr>
        <w:t xml:space="preserve"> </w:t>
      </w:r>
      <w:r>
        <w:rPr>
          <w:rFonts w:ascii="Times New Roman" w:hAnsi="Times New Roman"/>
          <w:lang w:val="sr-Cyrl-BA"/>
        </w:rPr>
        <w:t>за</w:t>
      </w:r>
      <w:r w:rsidR="00664E91" w:rsidRPr="00295637">
        <w:rPr>
          <w:rFonts w:ascii="Times New Roman" w:hAnsi="Times New Roman"/>
          <w:lang w:val="sr-Cyrl-BA"/>
        </w:rPr>
        <w:t xml:space="preserve"> </w:t>
      </w:r>
      <w:r>
        <w:rPr>
          <w:rFonts w:ascii="Times New Roman" w:hAnsi="Times New Roman"/>
          <w:lang w:val="sr-Cyrl-BA"/>
        </w:rPr>
        <w:t>близанце</w:t>
      </w:r>
      <w:r w:rsidR="00664E91" w:rsidRPr="00295637">
        <w:rPr>
          <w:rFonts w:ascii="Times New Roman" w:hAnsi="Times New Roman"/>
          <w:lang w:val="sr-Cyrl-BA"/>
        </w:rPr>
        <w:t xml:space="preserve"> </w:t>
      </w:r>
      <w:r>
        <w:rPr>
          <w:rFonts w:ascii="Times New Roman" w:hAnsi="Times New Roman"/>
          <w:lang w:val="sr-Cyrl-BA"/>
        </w:rPr>
        <w:t>и</w:t>
      </w:r>
      <w:r w:rsidR="00664E91" w:rsidRPr="00295637">
        <w:rPr>
          <w:rFonts w:ascii="Times New Roman" w:hAnsi="Times New Roman"/>
          <w:lang w:val="sr-Cyrl-BA"/>
        </w:rPr>
        <w:t xml:space="preserve"> </w:t>
      </w:r>
      <w:r>
        <w:rPr>
          <w:rFonts w:ascii="Times New Roman" w:hAnsi="Times New Roman"/>
          <w:lang w:val="sr-Cyrl-BA"/>
        </w:rPr>
        <w:t>свако</w:t>
      </w:r>
      <w:r w:rsidR="00664E91" w:rsidRPr="00295637">
        <w:rPr>
          <w:rFonts w:ascii="Times New Roman" w:hAnsi="Times New Roman"/>
          <w:lang w:val="sr-Cyrl-BA"/>
        </w:rPr>
        <w:t xml:space="preserve"> </w:t>
      </w:r>
      <w:r>
        <w:rPr>
          <w:rFonts w:ascii="Times New Roman" w:hAnsi="Times New Roman"/>
          <w:lang w:val="sr-Cyrl-BA"/>
        </w:rPr>
        <w:t>треће</w:t>
      </w:r>
      <w:r w:rsidR="00664E91" w:rsidRPr="00295637">
        <w:rPr>
          <w:rFonts w:ascii="Times New Roman" w:hAnsi="Times New Roman"/>
          <w:lang w:val="sr-Cyrl-BA"/>
        </w:rPr>
        <w:t xml:space="preserve"> </w:t>
      </w:r>
      <w:r>
        <w:rPr>
          <w:rFonts w:ascii="Times New Roman" w:hAnsi="Times New Roman"/>
          <w:lang w:val="sr-Cyrl-BA"/>
        </w:rPr>
        <w:t>и</w:t>
      </w:r>
      <w:r w:rsidR="00664E91" w:rsidRPr="00295637">
        <w:rPr>
          <w:rFonts w:ascii="Times New Roman" w:hAnsi="Times New Roman"/>
          <w:lang w:val="sr-Cyrl-BA"/>
        </w:rPr>
        <w:t xml:space="preserve"> </w:t>
      </w:r>
      <w:r>
        <w:rPr>
          <w:rFonts w:ascii="Times New Roman" w:hAnsi="Times New Roman"/>
          <w:lang w:val="sr-Cyrl-BA"/>
        </w:rPr>
        <w:t>наредно</w:t>
      </w:r>
      <w:r w:rsidR="00664E91" w:rsidRPr="00295637">
        <w:rPr>
          <w:rFonts w:ascii="Times New Roman" w:hAnsi="Times New Roman"/>
          <w:lang w:val="sr-Cyrl-BA"/>
        </w:rPr>
        <w:t xml:space="preserve"> </w:t>
      </w:r>
      <w:r>
        <w:rPr>
          <w:rFonts w:ascii="Times New Roman" w:hAnsi="Times New Roman"/>
          <w:lang w:val="sr-Cyrl-BA"/>
        </w:rPr>
        <w:t>дијете</w:t>
      </w:r>
      <w:r w:rsidR="00664E91" w:rsidRPr="00295637">
        <w:rPr>
          <w:rFonts w:ascii="Times New Roman" w:hAnsi="Times New Roman"/>
          <w:lang w:val="sr-Cyrl-BA"/>
        </w:rPr>
        <w:t xml:space="preserve"> </w:t>
      </w:r>
      <w:r>
        <w:rPr>
          <w:rFonts w:ascii="Times New Roman" w:hAnsi="Times New Roman"/>
          <w:lang w:val="sr-Cyrl-BA"/>
        </w:rPr>
        <w:t>у</w:t>
      </w:r>
      <w:r w:rsidR="00664E91" w:rsidRPr="00295637">
        <w:rPr>
          <w:rFonts w:ascii="Times New Roman" w:hAnsi="Times New Roman"/>
          <w:lang w:val="sr-Cyrl-BA"/>
        </w:rPr>
        <w:t xml:space="preserve"> </w:t>
      </w:r>
      <w:r>
        <w:rPr>
          <w:rFonts w:ascii="Times New Roman" w:hAnsi="Times New Roman"/>
          <w:lang w:val="sr-Cyrl-BA"/>
        </w:rPr>
        <w:t>трајању</w:t>
      </w:r>
      <w:r w:rsidR="00664E91" w:rsidRPr="00295637">
        <w:rPr>
          <w:rFonts w:ascii="Times New Roman" w:hAnsi="Times New Roman"/>
          <w:lang w:val="sr-Cyrl-BA"/>
        </w:rPr>
        <w:t xml:space="preserve"> </w:t>
      </w:r>
      <w:r>
        <w:rPr>
          <w:rFonts w:ascii="Times New Roman" w:hAnsi="Times New Roman"/>
          <w:lang w:val="sr-Cyrl-BA"/>
        </w:rPr>
        <w:t>од</w:t>
      </w:r>
      <w:r w:rsidR="00664E91" w:rsidRPr="00295637">
        <w:rPr>
          <w:rFonts w:ascii="Times New Roman" w:hAnsi="Times New Roman"/>
          <w:lang w:val="sr-Cyrl-BA"/>
        </w:rPr>
        <w:t xml:space="preserve"> 18 </w:t>
      </w:r>
      <w:r>
        <w:rPr>
          <w:rFonts w:ascii="Times New Roman" w:hAnsi="Times New Roman"/>
          <w:lang w:val="sr-Cyrl-BA"/>
        </w:rPr>
        <w:t>мјесеци</w:t>
      </w:r>
      <w:r w:rsidR="00664E91" w:rsidRPr="00295637">
        <w:rPr>
          <w:rFonts w:ascii="Times New Roman" w:hAnsi="Times New Roman"/>
          <w:lang w:val="sr-Cyrl-BA"/>
        </w:rPr>
        <w:t xml:space="preserve"> </w:t>
      </w:r>
      <w:r>
        <w:rPr>
          <w:rFonts w:ascii="Times New Roman" w:hAnsi="Times New Roman"/>
          <w:lang w:val="sr-Cyrl-BA"/>
        </w:rPr>
        <w:t>непрекидно</w:t>
      </w:r>
      <w:r w:rsidR="00664E91" w:rsidRPr="00295637">
        <w:rPr>
          <w:rFonts w:ascii="Times New Roman" w:hAnsi="Times New Roman"/>
          <w:lang w:val="sr-Cyrl-BA"/>
        </w:rPr>
        <w:t xml:space="preserve">. </w:t>
      </w:r>
      <w:r>
        <w:rPr>
          <w:rFonts w:ascii="Times New Roman" w:hAnsi="Times New Roman"/>
          <w:lang w:val="sr-Cyrl-BA"/>
        </w:rPr>
        <w:t>Родитељи</w:t>
      </w:r>
      <w:r w:rsidR="00664E91" w:rsidRPr="00295637">
        <w:rPr>
          <w:rFonts w:ascii="Times New Roman" w:hAnsi="Times New Roman"/>
          <w:lang w:val="sr-Cyrl-BA"/>
        </w:rPr>
        <w:t xml:space="preserve"> </w:t>
      </w:r>
      <w:r>
        <w:rPr>
          <w:rFonts w:ascii="Times New Roman" w:hAnsi="Times New Roman"/>
          <w:lang w:val="sr-Cyrl-BA"/>
        </w:rPr>
        <w:t>дјетета</w:t>
      </w:r>
      <w:r w:rsidR="00664E91" w:rsidRPr="00295637">
        <w:rPr>
          <w:rFonts w:ascii="Times New Roman" w:hAnsi="Times New Roman"/>
          <w:lang w:val="sr-Cyrl-BA"/>
        </w:rPr>
        <w:t xml:space="preserve"> </w:t>
      </w:r>
      <w:r>
        <w:rPr>
          <w:rFonts w:ascii="Times New Roman" w:hAnsi="Times New Roman"/>
          <w:lang w:val="sr-Cyrl-BA"/>
        </w:rPr>
        <w:t>могу</w:t>
      </w:r>
      <w:r w:rsidR="00664E91" w:rsidRPr="00295637">
        <w:rPr>
          <w:rFonts w:ascii="Times New Roman" w:hAnsi="Times New Roman"/>
          <w:lang w:val="sr-Cyrl-BA"/>
        </w:rPr>
        <w:t xml:space="preserve"> </w:t>
      </w:r>
      <w:r>
        <w:rPr>
          <w:rFonts w:ascii="Times New Roman" w:hAnsi="Times New Roman"/>
          <w:lang w:val="sr-Cyrl-BA"/>
        </w:rPr>
        <w:t>се</w:t>
      </w:r>
      <w:r w:rsidR="00664E91" w:rsidRPr="00295637">
        <w:rPr>
          <w:rFonts w:ascii="Times New Roman" w:hAnsi="Times New Roman"/>
          <w:lang w:val="sr-Cyrl-BA"/>
        </w:rPr>
        <w:t xml:space="preserve"> </w:t>
      </w:r>
      <w:r>
        <w:rPr>
          <w:rFonts w:ascii="Times New Roman" w:hAnsi="Times New Roman"/>
          <w:lang w:val="sr-Cyrl-BA"/>
        </w:rPr>
        <w:t>споразумјети</w:t>
      </w:r>
      <w:r w:rsidR="00664E91" w:rsidRPr="00295637">
        <w:rPr>
          <w:rFonts w:ascii="Times New Roman" w:hAnsi="Times New Roman"/>
          <w:lang w:val="sr-Cyrl-BA"/>
        </w:rPr>
        <w:t xml:space="preserve"> </w:t>
      </w:r>
      <w:r>
        <w:rPr>
          <w:rFonts w:ascii="Times New Roman" w:hAnsi="Times New Roman"/>
          <w:lang w:val="sr-Cyrl-BA"/>
        </w:rPr>
        <w:t>да</w:t>
      </w:r>
      <w:r w:rsidR="00664E91" w:rsidRPr="00295637">
        <w:rPr>
          <w:rFonts w:ascii="Times New Roman" w:hAnsi="Times New Roman"/>
          <w:lang w:val="sr-Cyrl-BA"/>
        </w:rPr>
        <w:t xml:space="preserve"> </w:t>
      </w:r>
      <w:r>
        <w:rPr>
          <w:rFonts w:ascii="Times New Roman" w:hAnsi="Times New Roman"/>
          <w:lang w:val="sr-Cyrl-BA"/>
        </w:rPr>
        <w:t>одсуство</w:t>
      </w:r>
      <w:r w:rsidR="00664E91" w:rsidRPr="00295637">
        <w:rPr>
          <w:rFonts w:ascii="Times New Roman" w:hAnsi="Times New Roman"/>
          <w:lang w:val="sr-Cyrl-BA"/>
        </w:rPr>
        <w:t xml:space="preserve">, </w:t>
      </w:r>
      <w:r>
        <w:rPr>
          <w:rFonts w:ascii="Times New Roman" w:hAnsi="Times New Roman"/>
          <w:lang w:val="sr-Cyrl-BA"/>
        </w:rPr>
        <w:t>након</w:t>
      </w:r>
      <w:r w:rsidR="00664E91" w:rsidRPr="00295637">
        <w:rPr>
          <w:rFonts w:ascii="Times New Roman" w:hAnsi="Times New Roman"/>
          <w:lang w:val="sr-Cyrl-BA"/>
        </w:rPr>
        <w:t xml:space="preserve"> </w:t>
      </w:r>
      <w:r>
        <w:rPr>
          <w:rFonts w:ascii="Times New Roman" w:hAnsi="Times New Roman"/>
          <w:lang w:val="sr-Cyrl-BA"/>
        </w:rPr>
        <w:t>истека</w:t>
      </w:r>
      <w:r w:rsidR="00664E91" w:rsidRPr="00295637">
        <w:rPr>
          <w:rFonts w:ascii="Times New Roman" w:hAnsi="Times New Roman"/>
          <w:lang w:val="sr-Cyrl-BA"/>
        </w:rPr>
        <w:t xml:space="preserve"> 60 </w:t>
      </w:r>
      <w:r>
        <w:rPr>
          <w:rFonts w:ascii="Times New Roman" w:hAnsi="Times New Roman"/>
          <w:lang w:val="sr-Cyrl-BA"/>
        </w:rPr>
        <w:t>дана</w:t>
      </w:r>
      <w:r w:rsidR="00664E91" w:rsidRPr="00295637">
        <w:rPr>
          <w:rFonts w:ascii="Times New Roman" w:hAnsi="Times New Roman"/>
          <w:lang w:val="sr-Cyrl-BA"/>
        </w:rPr>
        <w:t xml:space="preserve"> </w:t>
      </w:r>
      <w:r>
        <w:rPr>
          <w:rFonts w:ascii="Times New Roman" w:hAnsi="Times New Roman"/>
          <w:lang w:val="sr-Cyrl-BA"/>
        </w:rPr>
        <w:t>од</w:t>
      </w:r>
      <w:r w:rsidR="00664E91" w:rsidRPr="00295637">
        <w:rPr>
          <w:rFonts w:ascii="Times New Roman" w:hAnsi="Times New Roman"/>
          <w:lang w:val="sr-Cyrl-BA"/>
        </w:rPr>
        <w:t xml:space="preserve"> </w:t>
      </w:r>
      <w:r>
        <w:rPr>
          <w:rFonts w:ascii="Times New Roman" w:hAnsi="Times New Roman"/>
          <w:lang w:val="sr-Cyrl-BA"/>
        </w:rPr>
        <w:t>дана</w:t>
      </w:r>
      <w:r w:rsidR="00664E91" w:rsidRPr="00295637">
        <w:rPr>
          <w:rFonts w:ascii="Times New Roman" w:hAnsi="Times New Roman"/>
          <w:lang w:val="sr-Cyrl-BA"/>
        </w:rPr>
        <w:t xml:space="preserve"> </w:t>
      </w:r>
      <w:r>
        <w:rPr>
          <w:rFonts w:ascii="Times New Roman" w:hAnsi="Times New Roman"/>
          <w:lang w:val="sr-Cyrl-BA"/>
        </w:rPr>
        <w:t>рођења</w:t>
      </w:r>
      <w:r w:rsidR="00664E91" w:rsidRPr="00295637">
        <w:rPr>
          <w:rFonts w:ascii="Times New Roman" w:hAnsi="Times New Roman"/>
          <w:lang w:val="sr-Cyrl-BA"/>
        </w:rPr>
        <w:t xml:space="preserve"> </w:t>
      </w:r>
      <w:r>
        <w:rPr>
          <w:rFonts w:ascii="Times New Roman" w:hAnsi="Times New Roman"/>
          <w:lang w:val="sr-Cyrl-BA"/>
        </w:rPr>
        <w:t>дјетета</w:t>
      </w:r>
      <w:r w:rsidR="00664E91" w:rsidRPr="00295637">
        <w:rPr>
          <w:rFonts w:ascii="Times New Roman" w:hAnsi="Times New Roman"/>
          <w:lang w:val="sr-Cyrl-BA"/>
        </w:rPr>
        <w:t xml:space="preserve">, </w:t>
      </w:r>
      <w:r>
        <w:rPr>
          <w:rFonts w:ascii="Times New Roman" w:hAnsi="Times New Roman"/>
          <w:lang w:val="sr-Cyrl-BA"/>
        </w:rPr>
        <w:t>умјесто</w:t>
      </w:r>
      <w:r w:rsidR="00664E91" w:rsidRPr="00295637">
        <w:rPr>
          <w:rFonts w:ascii="Times New Roman" w:hAnsi="Times New Roman"/>
          <w:lang w:val="sr-Cyrl-BA"/>
        </w:rPr>
        <w:t xml:space="preserve"> </w:t>
      </w:r>
      <w:r>
        <w:rPr>
          <w:rFonts w:ascii="Times New Roman" w:hAnsi="Times New Roman"/>
          <w:lang w:val="sr-Cyrl-BA"/>
        </w:rPr>
        <w:t>мајке</w:t>
      </w:r>
      <w:r w:rsidR="00664E91" w:rsidRPr="00295637">
        <w:rPr>
          <w:rFonts w:ascii="Times New Roman" w:hAnsi="Times New Roman"/>
          <w:lang w:val="sr-Cyrl-BA"/>
        </w:rPr>
        <w:t xml:space="preserve"> </w:t>
      </w:r>
      <w:r>
        <w:rPr>
          <w:rFonts w:ascii="Times New Roman" w:hAnsi="Times New Roman"/>
          <w:lang w:val="sr-Cyrl-BA"/>
        </w:rPr>
        <w:t>настави</w:t>
      </w:r>
      <w:r w:rsidR="00664E91" w:rsidRPr="00295637">
        <w:rPr>
          <w:rFonts w:ascii="Times New Roman" w:hAnsi="Times New Roman"/>
          <w:lang w:val="sr-Cyrl-BA"/>
        </w:rPr>
        <w:t xml:space="preserve"> </w:t>
      </w:r>
      <w:r>
        <w:rPr>
          <w:rFonts w:ascii="Times New Roman" w:hAnsi="Times New Roman"/>
          <w:lang w:val="sr-Cyrl-BA"/>
        </w:rPr>
        <w:t>да</w:t>
      </w:r>
      <w:r w:rsidR="00664E91" w:rsidRPr="00295637">
        <w:rPr>
          <w:rFonts w:ascii="Times New Roman" w:hAnsi="Times New Roman"/>
          <w:lang w:val="sr-Cyrl-BA"/>
        </w:rPr>
        <w:t xml:space="preserve"> </w:t>
      </w:r>
      <w:r>
        <w:rPr>
          <w:rFonts w:ascii="Times New Roman" w:hAnsi="Times New Roman"/>
          <w:lang w:val="sr-Cyrl-BA"/>
        </w:rPr>
        <w:t>користи</w:t>
      </w:r>
      <w:r w:rsidR="00664E91" w:rsidRPr="00295637">
        <w:rPr>
          <w:rFonts w:ascii="Times New Roman" w:hAnsi="Times New Roman"/>
          <w:lang w:val="sr-Cyrl-BA"/>
        </w:rPr>
        <w:t xml:space="preserve"> </w:t>
      </w:r>
      <w:r>
        <w:rPr>
          <w:rFonts w:ascii="Times New Roman" w:hAnsi="Times New Roman"/>
          <w:lang w:val="sr-Cyrl-BA"/>
        </w:rPr>
        <w:t>запослени</w:t>
      </w:r>
      <w:r w:rsidR="00664E91" w:rsidRPr="00295637">
        <w:rPr>
          <w:rFonts w:ascii="Times New Roman" w:hAnsi="Times New Roman"/>
          <w:lang w:val="sr-Cyrl-BA"/>
        </w:rPr>
        <w:t xml:space="preserve"> </w:t>
      </w:r>
      <w:r>
        <w:rPr>
          <w:rFonts w:ascii="Times New Roman" w:hAnsi="Times New Roman"/>
          <w:lang w:val="sr-Cyrl-BA"/>
        </w:rPr>
        <w:t>отац</w:t>
      </w:r>
      <w:r w:rsidR="00664E91" w:rsidRPr="00295637">
        <w:rPr>
          <w:rFonts w:ascii="Times New Roman" w:hAnsi="Times New Roman"/>
          <w:lang w:val="sr-Cyrl-BA"/>
        </w:rPr>
        <w:t xml:space="preserve"> </w:t>
      </w:r>
      <w:r>
        <w:rPr>
          <w:rFonts w:ascii="Times New Roman" w:hAnsi="Times New Roman"/>
          <w:lang w:val="sr-Cyrl-BA"/>
        </w:rPr>
        <w:t>дјетета</w:t>
      </w:r>
      <w:r w:rsidR="00664E91" w:rsidRPr="00295637">
        <w:rPr>
          <w:rFonts w:ascii="Times New Roman" w:hAnsi="Times New Roman"/>
          <w:lang w:val="sr-Cyrl-BA"/>
        </w:rPr>
        <w:t>.</w:t>
      </w:r>
    </w:p>
    <w:p w:rsidR="00EF0B31" w:rsidRPr="00295637" w:rsidRDefault="00EF0B31" w:rsidP="0086268D">
      <w:pPr>
        <w:pStyle w:val="HTMLPreformatted"/>
        <w:jc w:val="both"/>
        <w:rPr>
          <w:rStyle w:val="y2iqfc"/>
          <w:rFonts w:ascii="inherit" w:hAnsi="inherit"/>
          <w:color w:val="1F1F1F"/>
          <w:sz w:val="24"/>
          <w:szCs w:val="24"/>
        </w:rPr>
      </w:pPr>
    </w:p>
    <w:p w:rsidR="00254219" w:rsidRPr="002616AA" w:rsidRDefault="00870C36" w:rsidP="0086268D">
      <w:pPr>
        <w:pStyle w:val="HTMLPreformatted"/>
        <w:jc w:val="both"/>
        <w:rPr>
          <w:rStyle w:val="y2iqfc"/>
          <w:rFonts w:ascii="inherit" w:hAnsi="inherit"/>
          <w:sz w:val="24"/>
          <w:szCs w:val="24"/>
        </w:rPr>
      </w:pPr>
      <w:r w:rsidRPr="00870C36">
        <w:rPr>
          <w:rFonts w:ascii="inherit" w:hAnsi="inherit"/>
          <w:i/>
          <w:sz w:val="24"/>
          <w:szCs w:val="24"/>
          <w:lang w:val="hr-BA"/>
        </w:rPr>
        <w:t>UNFPA</w:t>
      </w:r>
      <w:r w:rsidR="00254219" w:rsidRPr="002616AA">
        <w:rPr>
          <w:rStyle w:val="y2iqfc"/>
          <w:rFonts w:ascii="inherit" w:hAnsi="inherit"/>
          <w:sz w:val="24"/>
          <w:szCs w:val="24"/>
        </w:rPr>
        <w:t xml:space="preserve"> </w:t>
      </w:r>
      <w:r w:rsidR="00C6214E">
        <w:rPr>
          <w:rStyle w:val="y2iqfc"/>
          <w:rFonts w:ascii="inherit" w:hAnsi="inherit"/>
          <w:sz w:val="24"/>
          <w:szCs w:val="24"/>
        </w:rPr>
        <w:t>је</w:t>
      </w:r>
      <w:r w:rsidR="00254219" w:rsidRPr="002616AA">
        <w:rPr>
          <w:rStyle w:val="y2iqfc"/>
          <w:rFonts w:ascii="inherit" w:hAnsi="inherit"/>
          <w:sz w:val="24"/>
          <w:szCs w:val="24"/>
        </w:rPr>
        <w:t xml:space="preserve"> </w:t>
      </w:r>
      <w:r w:rsidR="00C6214E">
        <w:rPr>
          <w:rStyle w:val="y2iqfc"/>
          <w:rFonts w:ascii="inherit" w:hAnsi="inherit"/>
          <w:sz w:val="24"/>
          <w:szCs w:val="24"/>
        </w:rPr>
        <w:t>сарађивао</w:t>
      </w:r>
      <w:r w:rsidR="00254219" w:rsidRPr="002616AA">
        <w:rPr>
          <w:rStyle w:val="y2iqfc"/>
          <w:rFonts w:ascii="inherit" w:hAnsi="inherit"/>
          <w:sz w:val="24"/>
          <w:szCs w:val="24"/>
        </w:rPr>
        <w:t xml:space="preserve"> </w:t>
      </w:r>
      <w:r w:rsidR="00C6214E">
        <w:rPr>
          <w:rStyle w:val="y2iqfc"/>
          <w:rFonts w:ascii="inherit" w:hAnsi="inherit"/>
          <w:sz w:val="24"/>
          <w:szCs w:val="24"/>
        </w:rPr>
        <w:t>са</w:t>
      </w:r>
      <w:r w:rsidR="00254219" w:rsidRPr="002616AA">
        <w:rPr>
          <w:rStyle w:val="y2iqfc"/>
          <w:rFonts w:ascii="inherit" w:hAnsi="inherit"/>
          <w:sz w:val="24"/>
          <w:szCs w:val="24"/>
        </w:rPr>
        <w:t xml:space="preserve"> </w:t>
      </w:r>
      <w:r w:rsidR="00C6214E">
        <w:rPr>
          <w:rStyle w:val="y2iqfc"/>
          <w:rFonts w:ascii="inherit" w:hAnsi="inherit"/>
          <w:sz w:val="24"/>
          <w:szCs w:val="24"/>
        </w:rPr>
        <w:t>институцијама</w:t>
      </w:r>
      <w:r w:rsidR="00254219" w:rsidRPr="002616AA">
        <w:rPr>
          <w:rStyle w:val="y2iqfc"/>
          <w:rFonts w:ascii="inherit" w:hAnsi="inherit"/>
          <w:sz w:val="24"/>
          <w:szCs w:val="24"/>
        </w:rPr>
        <w:t xml:space="preserve"> </w:t>
      </w:r>
      <w:r w:rsidR="00C6214E">
        <w:rPr>
          <w:rStyle w:val="y2iqfc"/>
          <w:rFonts w:ascii="inherit" w:hAnsi="inherit"/>
          <w:sz w:val="24"/>
          <w:szCs w:val="24"/>
        </w:rPr>
        <w:t>и</w:t>
      </w:r>
      <w:r w:rsidR="00254219" w:rsidRPr="002616AA">
        <w:rPr>
          <w:rStyle w:val="y2iqfc"/>
          <w:rFonts w:ascii="inherit" w:hAnsi="inherit"/>
          <w:sz w:val="24"/>
          <w:szCs w:val="24"/>
        </w:rPr>
        <w:t xml:space="preserve"> </w:t>
      </w:r>
      <w:r w:rsidR="00C6214E">
        <w:rPr>
          <w:rStyle w:val="y2iqfc"/>
          <w:rFonts w:ascii="inherit" w:hAnsi="inherit"/>
          <w:sz w:val="24"/>
          <w:szCs w:val="24"/>
        </w:rPr>
        <w:t>приватним</w:t>
      </w:r>
      <w:r w:rsidR="00254219" w:rsidRPr="002616AA">
        <w:rPr>
          <w:rStyle w:val="y2iqfc"/>
          <w:rFonts w:ascii="inherit" w:hAnsi="inherit"/>
          <w:sz w:val="24"/>
          <w:szCs w:val="24"/>
        </w:rPr>
        <w:t xml:space="preserve"> </w:t>
      </w:r>
      <w:r w:rsidR="00C6214E">
        <w:rPr>
          <w:rStyle w:val="y2iqfc"/>
          <w:rFonts w:ascii="inherit" w:hAnsi="inherit"/>
          <w:sz w:val="24"/>
          <w:szCs w:val="24"/>
        </w:rPr>
        <w:t>сектором</w:t>
      </w:r>
      <w:r w:rsidR="00254219" w:rsidRPr="002616AA">
        <w:rPr>
          <w:rStyle w:val="y2iqfc"/>
          <w:rFonts w:ascii="inherit" w:hAnsi="inherit"/>
          <w:sz w:val="24"/>
          <w:szCs w:val="24"/>
        </w:rPr>
        <w:t xml:space="preserve"> </w:t>
      </w:r>
      <w:r w:rsidR="00C6214E">
        <w:rPr>
          <w:rStyle w:val="y2iqfc"/>
          <w:rFonts w:ascii="inherit" w:hAnsi="inherit"/>
          <w:sz w:val="24"/>
          <w:szCs w:val="24"/>
        </w:rPr>
        <w:t>на</w:t>
      </w:r>
      <w:r w:rsidR="00254219" w:rsidRPr="002616AA">
        <w:rPr>
          <w:rStyle w:val="y2iqfc"/>
          <w:rFonts w:ascii="inherit" w:hAnsi="inherit"/>
          <w:sz w:val="24"/>
          <w:szCs w:val="24"/>
        </w:rPr>
        <w:t xml:space="preserve"> </w:t>
      </w:r>
      <w:r w:rsidR="00C6214E">
        <w:rPr>
          <w:rStyle w:val="y2iqfc"/>
          <w:rFonts w:ascii="inherit" w:hAnsi="inherit"/>
          <w:sz w:val="24"/>
          <w:szCs w:val="24"/>
        </w:rPr>
        <w:t>промоцији</w:t>
      </w:r>
      <w:r w:rsidR="00254219" w:rsidRPr="002616AA">
        <w:rPr>
          <w:rStyle w:val="y2iqfc"/>
          <w:rFonts w:ascii="inherit" w:hAnsi="inherit"/>
          <w:sz w:val="24"/>
          <w:szCs w:val="24"/>
        </w:rPr>
        <w:t xml:space="preserve"> </w:t>
      </w:r>
      <w:r w:rsidR="00C6214E">
        <w:rPr>
          <w:rStyle w:val="y2iqfc"/>
          <w:rFonts w:ascii="inherit" w:hAnsi="inherit"/>
          <w:sz w:val="24"/>
          <w:szCs w:val="24"/>
        </w:rPr>
        <w:t>родно</w:t>
      </w:r>
      <w:r w:rsidR="00254219" w:rsidRPr="002616AA">
        <w:rPr>
          <w:rStyle w:val="y2iqfc"/>
          <w:rFonts w:ascii="inherit" w:hAnsi="inherit"/>
          <w:sz w:val="24"/>
          <w:szCs w:val="24"/>
        </w:rPr>
        <w:t xml:space="preserve"> </w:t>
      </w:r>
      <w:r w:rsidR="00C6214E">
        <w:rPr>
          <w:rStyle w:val="y2iqfc"/>
          <w:rFonts w:ascii="inherit" w:hAnsi="inherit"/>
          <w:sz w:val="24"/>
          <w:szCs w:val="24"/>
        </w:rPr>
        <w:t>осјетљивих</w:t>
      </w:r>
      <w:r w:rsidR="00254219" w:rsidRPr="002616AA">
        <w:rPr>
          <w:rStyle w:val="y2iqfc"/>
          <w:rFonts w:ascii="inherit" w:hAnsi="inherit"/>
          <w:sz w:val="24"/>
          <w:szCs w:val="24"/>
        </w:rPr>
        <w:t xml:space="preserve"> </w:t>
      </w:r>
      <w:r w:rsidR="00C6214E">
        <w:rPr>
          <w:rStyle w:val="y2iqfc"/>
          <w:rFonts w:ascii="inherit" w:hAnsi="inherit"/>
          <w:sz w:val="24"/>
          <w:szCs w:val="24"/>
        </w:rPr>
        <w:t>породичних</w:t>
      </w:r>
      <w:r w:rsidR="00254219" w:rsidRPr="002616AA">
        <w:rPr>
          <w:rStyle w:val="y2iqfc"/>
          <w:rFonts w:ascii="inherit" w:hAnsi="inherit"/>
          <w:sz w:val="24"/>
          <w:szCs w:val="24"/>
        </w:rPr>
        <w:t xml:space="preserve"> </w:t>
      </w:r>
      <w:r w:rsidR="00C6214E">
        <w:rPr>
          <w:rStyle w:val="y2iqfc"/>
          <w:rFonts w:ascii="inherit" w:hAnsi="inherit"/>
          <w:sz w:val="24"/>
          <w:szCs w:val="24"/>
        </w:rPr>
        <w:t>политика</w:t>
      </w:r>
      <w:r w:rsidR="00254219" w:rsidRPr="002616AA">
        <w:rPr>
          <w:rStyle w:val="y2iqfc"/>
          <w:rFonts w:ascii="inherit" w:hAnsi="inherit"/>
          <w:sz w:val="24"/>
          <w:szCs w:val="24"/>
        </w:rPr>
        <w:t xml:space="preserve">. </w:t>
      </w:r>
      <w:r w:rsidR="00C6214E">
        <w:rPr>
          <w:rStyle w:val="y2iqfc"/>
          <w:rFonts w:ascii="inherit" w:hAnsi="inherit"/>
          <w:sz w:val="24"/>
          <w:szCs w:val="24"/>
        </w:rPr>
        <w:t>Кроз</w:t>
      </w:r>
      <w:r w:rsidR="00254219" w:rsidRPr="002616AA">
        <w:rPr>
          <w:rStyle w:val="y2iqfc"/>
          <w:rFonts w:ascii="inherit" w:hAnsi="inherit"/>
          <w:sz w:val="24"/>
          <w:szCs w:val="24"/>
        </w:rPr>
        <w:t xml:space="preserve"> </w:t>
      </w:r>
      <w:r w:rsidR="00C6214E">
        <w:rPr>
          <w:rStyle w:val="y2iqfc"/>
          <w:rFonts w:ascii="inherit" w:hAnsi="inherit"/>
          <w:sz w:val="24"/>
          <w:szCs w:val="24"/>
        </w:rPr>
        <w:t>конференцију</w:t>
      </w:r>
      <w:r w:rsidR="00254219" w:rsidRPr="002616AA">
        <w:rPr>
          <w:rStyle w:val="y2iqfc"/>
          <w:rFonts w:ascii="inherit" w:hAnsi="inherit"/>
          <w:sz w:val="24"/>
          <w:szCs w:val="24"/>
        </w:rPr>
        <w:t xml:space="preserve"> </w:t>
      </w:r>
      <w:r w:rsidR="00384DEE" w:rsidRPr="002616AA">
        <w:rPr>
          <w:rStyle w:val="y2iqfc"/>
          <w:rFonts w:ascii="inherit" w:hAnsi="inherit"/>
          <w:sz w:val="24"/>
          <w:szCs w:val="24"/>
        </w:rPr>
        <w:t>„</w:t>
      </w:r>
      <w:r w:rsidRPr="00870C36">
        <w:rPr>
          <w:rFonts w:ascii="inherit" w:hAnsi="inherit"/>
          <w:i/>
          <w:sz w:val="24"/>
          <w:szCs w:val="24"/>
          <w:lang w:val="hr-BA"/>
        </w:rPr>
        <w:t>DRIVE</w:t>
      </w:r>
      <w:r w:rsidR="00384DEE" w:rsidRPr="002616AA">
        <w:rPr>
          <w:rStyle w:val="y2iqfc"/>
          <w:rFonts w:ascii="inherit" w:hAnsi="inherit"/>
          <w:sz w:val="24"/>
          <w:szCs w:val="24"/>
        </w:rPr>
        <w:t>“</w:t>
      </w:r>
      <w:r w:rsidR="00254219" w:rsidRPr="002616AA">
        <w:rPr>
          <w:rStyle w:val="y2iqfc"/>
          <w:rFonts w:ascii="inherit" w:hAnsi="inherit"/>
          <w:sz w:val="24"/>
          <w:szCs w:val="24"/>
        </w:rPr>
        <w:t xml:space="preserve">, </w:t>
      </w:r>
      <w:r w:rsidR="00C6214E">
        <w:rPr>
          <w:rStyle w:val="y2iqfc"/>
          <w:rFonts w:ascii="inherit" w:hAnsi="inherit"/>
          <w:sz w:val="24"/>
          <w:szCs w:val="24"/>
        </w:rPr>
        <w:t>коју</w:t>
      </w:r>
      <w:r w:rsidR="00254219" w:rsidRPr="002616AA">
        <w:rPr>
          <w:rStyle w:val="y2iqfc"/>
          <w:rFonts w:ascii="inherit" w:hAnsi="inherit"/>
          <w:sz w:val="24"/>
          <w:szCs w:val="24"/>
        </w:rPr>
        <w:t xml:space="preserve"> </w:t>
      </w:r>
      <w:r w:rsidR="00C6214E">
        <w:rPr>
          <w:rStyle w:val="y2iqfc"/>
          <w:rFonts w:ascii="inherit" w:hAnsi="inherit"/>
          <w:sz w:val="24"/>
          <w:szCs w:val="24"/>
        </w:rPr>
        <w:t>је</w:t>
      </w:r>
      <w:r w:rsidR="00254219" w:rsidRPr="002616AA">
        <w:rPr>
          <w:rStyle w:val="y2iqfc"/>
          <w:rFonts w:ascii="inherit" w:hAnsi="inherit"/>
          <w:sz w:val="24"/>
          <w:szCs w:val="24"/>
        </w:rPr>
        <w:t xml:space="preserve"> </w:t>
      </w:r>
      <w:r w:rsidR="00C6214E">
        <w:rPr>
          <w:rStyle w:val="y2iqfc"/>
          <w:rFonts w:ascii="inherit" w:hAnsi="inherit"/>
          <w:sz w:val="24"/>
          <w:szCs w:val="24"/>
        </w:rPr>
        <w:t>организ</w:t>
      </w:r>
      <w:r>
        <w:rPr>
          <w:rStyle w:val="y2iqfc"/>
          <w:rFonts w:ascii="inherit" w:hAnsi="inherit"/>
          <w:sz w:val="24"/>
          <w:szCs w:val="24"/>
          <w:lang w:val="sr-Cyrl-BA"/>
        </w:rPr>
        <w:t>овала</w:t>
      </w:r>
      <w:r w:rsidR="00254219" w:rsidRPr="002616AA">
        <w:rPr>
          <w:rStyle w:val="y2iqfc"/>
          <w:rFonts w:ascii="inherit" w:hAnsi="inherit"/>
          <w:sz w:val="24"/>
          <w:szCs w:val="24"/>
        </w:rPr>
        <w:t xml:space="preserve"> </w:t>
      </w:r>
      <w:r w:rsidR="00C6214E">
        <w:rPr>
          <w:rStyle w:val="y2iqfc"/>
          <w:rFonts w:ascii="inherit" w:hAnsi="inherit"/>
          <w:sz w:val="24"/>
          <w:szCs w:val="24"/>
        </w:rPr>
        <w:t>са</w:t>
      </w:r>
      <w:r w:rsidR="00F93740" w:rsidRPr="002616AA">
        <w:rPr>
          <w:rStyle w:val="y2iqfc"/>
          <w:rFonts w:ascii="inherit" w:hAnsi="inherit"/>
          <w:sz w:val="24"/>
          <w:szCs w:val="24"/>
        </w:rPr>
        <w:t xml:space="preserve"> </w:t>
      </w:r>
      <w:r w:rsidR="00C6214E">
        <w:rPr>
          <w:rStyle w:val="y2iqfc"/>
          <w:rFonts w:ascii="inherit" w:hAnsi="inherit"/>
          <w:sz w:val="24"/>
          <w:szCs w:val="24"/>
        </w:rPr>
        <w:t>Аустријском</w:t>
      </w:r>
      <w:r w:rsidR="00254219" w:rsidRPr="002616AA">
        <w:rPr>
          <w:rStyle w:val="y2iqfc"/>
          <w:rFonts w:ascii="inherit" w:hAnsi="inherit"/>
          <w:sz w:val="24"/>
          <w:szCs w:val="24"/>
        </w:rPr>
        <w:t xml:space="preserve"> </w:t>
      </w:r>
      <w:r w:rsidR="00C6214E">
        <w:rPr>
          <w:rStyle w:val="y2iqfc"/>
          <w:rFonts w:ascii="inherit" w:hAnsi="inherit"/>
          <w:sz w:val="24"/>
          <w:szCs w:val="24"/>
        </w:rPr>
        <w:t>развојном</w:t>
      </w:r>
      <w:r w:rsidR="00F93740" w:rsidRPr="002616AA">
        <w:rPr>
          <w:rStyle w:val="y2iqfc"/>
          <w:rFonts w:ascii="inherit" w:hAnsi="inherit"/>
          <w:sz w:val="24"/>
          <w:szCs w:val="24"/>
        </w:rPr>
        <w:t xml:space="preserve"> </w:t>
      </w:r>
      <w:r w:rsidR="00C6214E">
        <w:rPr>
          <w:rStyle w:val="y2iqfc"/>
          <w:rFonts w:ascii="inherit" w:hAnsi="inherit"/>
          <w:sz w:val="24"/>
          <w:szCs w:val="24"/>
        </w:rPr>
        <w:t>агенцијом</w:t>
      </w:r>
      <w:r w:rsidR="00254219" w:rsidRPr="002616AA">
        <w:rPr>
          <w:rStyle w:val="y2iqfc"/>
          <w:rFonts w:ascii="inherit" w:hAnsi="inherit"/>
          <w:sz w:val="24"/>
          <w:szCs w:val="24"/>
        </w:rPr>
        <w:t xml:space="preserve">, </w:t>
      </w:r>
      <w:r w:rsidR="00C6214E">
        <w:rPr>
          <w:rStyle w:val="y2iqfc"/>
          <w:rFonts w:ascii="inherit" w:hAnsi="inherit"/>
          <w:sz w:val="24"/>
          <w:szCs w:val="24"/>
        </w:rPr>
        <w:t>и</w:t>
      </w:r>
      <w:r w:rsidR="00254219" w:rsidRPr="002616AA">
        <w:rPr>
          <w:rStyle w:val="y2iqfc"/>
          <w:rFonts w:ascii="inherit" w:hAnsi="inherit"/>
          <w:sz w:val="24"/>
          <w:szCs w:val="24"/>
        </w:rPr>
        <w:t xml:space="preserve"> </w:t>
      </w:r>
      <w:r w:rsidR="00C6214E">
        <w:rPr>
          <w:rStyle w:val="y2iqfc"/>
          <w:rFonts w:ascii="inherit" w:hAnsi="inherit"/>
          <w:sz w:val="24"/>
          <w:szCs w:val="24"/>
        </w:rPr>
        <w:t>циљане</w:t>
      </w:r>
      <w:r w:rsidR="00254219" w:rsidRPr="002616AA">
        <w:rPr>
          <w:rStyle w:val="y2iqfc"/>
          <w:rFonts w:ascii="inherit" w:hAnsi="inherit"/>
          <w:sz w:val="24"/>
          <w:szCs w:val="24"/>
        </w:rPr>
        <w:t xml:space="preserve"> </w:t>
      </w:r>
      <w:r w:rsidR="00C6214E">
        <w:rPr>
          <w:rStyle w:val="y2iqfc"/>
          <w:rFonts w:ascii="inherit" w:hAnsi="inherit"/>
          <w:sz w:val="24"/>
          <w:szCs w:val="24"/>
        </w:rPr>
        <w:t>кампање</w:t>
      </w:r>
      <w:r w:rsidR="00254219" w:rsidRPr="002616AA">
        <w:rPr>
          <w:rStyle w:val="y2iqfc"/>
          <w:rFonts w:ascii="inherit" w:hAnsi="inherit"/>
          <w:sz w:val="24"/>
          <w:szCs w:val="24"/>
        </w:rPr>
        <w:t xml:space="preserve"> </w:t>
      </w:r>
      <w:r w:rsidR="00C6214E">
        <w:rPr>
          <w:rStyle w:val="y2iqfc"/>
          <w:rFonts w:ascii="inherit" w:hAnsi="inherit"/>
          <w:sz w:val="24"/>
          <w:szCs w:val="24"/>
        </w:rPr>
        <w:t>попут</w:t>
      </w:r>
      <w:r w:rsidR="00254219" w:rsidRPr="002616AA">
        <w:rPr>
          <w:rStyle w:val="y2iqfc"/>
          <w:rFonts w:ascii="inherit" w:hAnsi="inherit"/>
          <w:sz w:val="24"/>
          <w:szCs w:val="24"/>
        </w:rPr>
        <w:t xml:space="preserve"> </w:t>
      </w:r>
      <w:r w:rsidR="00C6214E">
        <w:rPr>
          <w:rStyle w:val="y2iqfc"/>
          <w:rFonts w:ascii="inherit" w:hAnsi="inherit"/>
          <w:sz w:val="24"/>
          <w:szCs w:val="24"/>
        </w:rPr>
        <w:t>оних</w:t>
      </w:r>
      <w:r w:rsidR="00254219" w:rsidRPr="002616AA">
        <w:rPr>
          <w:rStyle w:val="y2iqfc"/>
          <w:rFonts w:ascii="inherit" w:hAnsi="inherit"/>
          <w:sz w:val="24"/>
          <w:szCs w:val="24"/>
        </w:rPr>
        <w:t xml:space="preserve"> </w:t>
      </w:r>
      <w:r w:rsidR="00C6214E">
        <w:rPr>
          <w:rStyle w:val="y2iqfc"/>
          <w:rFonts w:ascii="inherit" w:hAnsi="inherit"/>
          <w:sz w:val="24"/>
          <w:szCs w:val="24"/>
        </w:rPr>
        <w:t>којима</w:t>
      </w:r>
      <w:r w:rsidR="00254219" w:rsidRPr="002616AA">
        <w:rPr>
          <w:rStyle w:val="y2iqfc"/>
          <w:rFonts w:ascii="inherit" w:hAnsi="inherit"/>
          <w:sz w:val="24"/>
          <w:szCs w:val="24"/>
        </w:rPr>
        <w:t xml:space="preserve"> </w:t>
      </w:r>
      <w:r w:rsidR="00C6214E">
        <w:rPr>
          <w:rStyle w:val="y2iqfc"/>
          <w:rFonts w:ascii="inherit" w:hAnsi="inherit"/>
          <w:sz w:val="24"/>
          <w:szCs w:val="24"/>
        </w:rPr>
        <w:t>се</w:t>
      </w:r>
      <w:r w:rsidR="00254219" w:rsidRPr="002616AA">
        <w:rPr>
          <w:rStyle w:val="y2iqfc"/>
          <w:rFonts w:ascii="inherit" w:hAnsi="inherit"/>
          <w:sz w:val="24"/>
          <w:szCs w:val="24"/>
        </w:rPr>
        <w:t xml:space="preserve"> </w:t>
      </w:r>
      <w:r w:rsidR="00C6214E">
        <w:rPr>
          <w:rStyle w:val="y2iqfc"/>
          <w:rFonts w:ascii="inherit" w:hAnsi="inherit"/>
          <w:sz w:val="24"/>
          <w:szCs w:val="24"/>
        </w:rPr>
        <w:t>обиљежава</w:t>
      </w:r>
      <w:r w:rsidR="00254219" w:rsidRPr="002616AA">
        <w:rPr>
          <w:rStyle w:val="y2iqfc"/>
          <w:rFonts w:ascii="inherit" w:hAnsi="inherit"/>
          <w:sz w:val="24"/>
          <w:szCs w:val="24"/>
        </w:rPr>
        <w:t xml:space="preserve"> </w:t>
      </w:r>
      <w:r w:rsidR="00C6214E">
        <w:rPr>
          <w:rStyle w:val="y2iqfc"/>
          <w:rFonts w:ascii="inherit" w:hAnsi="inherit"/>
          <w:sz w:val="24"/>
          <w:szCs w:val="24"/>
        </w:rPr>
        <w:t>Међународни</w:t>
      </w:r>
      <w:r w:rsidR="00254219" w:rsidRPr="002616AA">
        <w:rPr>
          <w:rStyle w:val="y2iqfc"/>
          <w:rFonts w:ascii="inherit" w:hAnsi="inherit"/>
          <w:sz w:val="24"/>
          <w:szCs w:val="24"/>
        </w:rPr>
        <w:t xml:space="preserve"> </w:t>
      </w:r>
      <w:r w:rsidR="00C6214E">
        <w:rPr>
          <w:rStyle w:val="y2iqfc"/>
          <w:rFonts w:ascii="inherit" w:hAnsi="inherit"/>
          <w:sz w:val="24"/>
          <w:szCs w:val="24"/>
        </w:rPr>
        <w:t>дан</w:t>
      </w:r>
      <w:r w:rsidR="00254219" w:rsidRPr="002616AA">
        <w:rPr>
          <w:rStyle w:val="y2iqfc"/>
          <w:rFonts w:ascii="inherit" w:hAnsi="inherit"/>
          <w:sz w:val="24"/>
          <w:szCs w:val="24"/>
        </w:rPr>
        <w:t xml:space="preserve"> </w:t>
      </w:r>
      <w:r w:rsidR="00C6214E">
        <w:rPr>
          <w:rStyle w:val="y2iqfc"/>
          <w:rFonts w:ascii="inherit" w:hAnsi="inherit"/>
          <w:sz w:val="24"/>
          <w:szCs w:val="24"/>
        </w:rPr>
        <w:t>породице</w:t>
      </w:r>
      <w:r w:rsidR="00254219" w:rsidRPr="002616AA">
        <w:rPr>
          <w:rStyle w:val="y2iqfc"/>
          <w:rFonts w:ascii="inherit" w:hAnsi="inherit"/>
          <w:sz w:val="24"/>
          <w:szCs w:val="24"/>
        </w:rPr>
        <w:t xml:space="preserve">, </w:t>
      </w:r>
      <w:r w:rsidRPr="00870C36">
        <w:rPr>
          <w:rFonts w:ascii="inherit" w:hAnsi="inherit"/>
          <w:i/>
          <w:sz w:val="24"/>
          <w:szCs w:val="24"/>
          <w:lang w:val="hr-BA"/>
        </w:rPr>
        <w:t>UNFPA</w:t>
      </w:r>
      <w:r w:rsidR="00254219" w:rsidRPr="002616AA">
        <w:rPr>
          <w:rStyle w:val="y2iqfc"/>
          <w:rFonts w:ascii="inherit" w:hAnsi="inherit"/>
          <w:sz w:val="24"/>
          <w:szCs w:val="24"/>
        </w:rPr>
        <w:t xml:space="preserve"> </w:t>
      </w:r>
      <w:r w:rsidR="00C6214E">
        <w:rPr>
          <w:rStyle w:val="y2iqfc"/>
          <w:rFonts w:ascii="inherit" w:hAnsi="inherit"/>
          <w:sz w:val="24"/>
          <w:szCs w:val="24"/>
        </w:rPr>
        <w:t>је</w:t>
      </w:r>
      <w:r w:rsidR="00254219" w:rsidRPr="002616AA">
        <w:rPr>
          <w:rStyle w:val="y2iqfc"/>
          <w:rFonts w:ascii="inherit" w:hAnsi="inherit"/>
          <w:sz w:val="24"/>
          <w:szCs w:val="24"/>
        </w:rPr>
        <w:t xml:space="preserve"> </w:t>
      </w:r>
      <w:r w:rsidR="00C6214E">
        <w:rPr>
          <w:rStyle w:val="y2iqfc"/>
          <w:rFonts w:ascii="inherit" w:hAnsi="inherit"/>
          <w:sz w:val="24"/>
          <w:szCs w:val="24"/>
        </w:rPr>
        <w:t>истакао</w:t>
      </w:r>
      <w:r w:rsidR="00254219" w:rsidRPr="002616AA">
        <w:rPr>
          <w:rStyle w:val="y2iqfc"/>
          <w:rFonts w:ascii="inherit" w:hAnsi="inherit"/>
          <w:sz w:val="24"/>
          <w:szCs w:val="24"/>
        </w:rPr>
        <w:t xml:space="preserve"> </w:t>
      </w:r>
      <w:r w:rsidR="00C6214E">
        <w:rPr>
          <w:rStyle w:val="y2iqfc"/>
          <w:rFonts w:ascii="inherit" w:hAnsi="inherit"/>
          <w:sz w:val="24"/>
          <w:szCs w:val="24"/>
        </w:rPr>
        <w:t>флексибилна</w:t>
      </w:r>
      <w:r w:rsidR="00254219" w:rsidRPr="002616AA">
        <w:rPr>
          <w:rStyle w:val="y2iqfc"/>
          <w:rFonts w:ascii="inherit" w:hAnsi="inherit"/>
          <w:sz w:val="24"/>
          <w:szCs w:val="24"/>
        </w:rPr>
        <w:t xml:space="preserve"> </w:t>
      </w:r>
      <w:r w:rsidR="00C6214E">
        <w:rPr>
          <w:rStyle w:val="y2iqfc"/>
          <w:rFonts w:ascii="inherit" w:hAnsi="inherit"/>
          <w:sz w:val="24"/>
          <w:szCs w:val="24"/>
        </w:rPr>
        <w:t>и</w:t>
      </w:r>
      <w:r w:rsidR="00254219" w:rsidRPr="002616AA">
        <w:rPr>
          <w:rStyle w:val="y2iqfc"/>
          <w:rFonts w:ascii="inherit" w:hAnsi="inherit"/>
          <w:sz w:val="24"/>
          <w:szCs w:val="24"/>
        </w:rPr>
        <w:t xml:space="preserve"> </w:t>
      </w:r>
      <w:r w:rsidR="00C6214E">
        <w:rPr>
          <w:rStyle w:val="y2iqfc"/>
          <w:rFonts w:ascii="inherit" w:hAnsi="inherit"/>
          <w:sz w:val="24"/>
          <w:szCs w:val="24"/>
        </w:rPr>
        <w:t>праведна</w:t>
      </w:r>
      <w:r w:rsidR="00254219" w:rsidRPr="002616AA">
        <w:rPr>
          <w:rStyle w:val="y2iqfc"/>
          <w:rFonts w:ascii="inherit" w:hAnsi="inherit"/>
          <w:sz w:val="24"/>
          <w:szCs w:val="24"/>
        </w:rPr>
        <w:t xml:space="preserve"> </w:t>
      </w:r>
      <w:r w:rsidR="00C6214E">
        <w:rPr>
          <w:rStyle w:val="y2iqfc"/>
          <w:rFonts w:ascii="inherit" w:hAnsi="inherit"/>
          <w:sz w:val="24"/>
          <w:szCs w:val="24"/>
        </w:rPr>
        <w:t>радна</w:t>
      </w:r>
      <w:r w:rsidR="00254219" w:rsidRPr="002616AA">
        <w:rPr>
          <w:rStyle w:val="y2iqfc"/>
          <w:rFonts w:ascii="inherit" w:hAnsi="inherit"/>
          <w:sz w:val="24"/>
          <w:szCs w:val="24"/>
        </w:rPr>
        <w:t xml:space="preserve"> </w:t>
      </w:r>
      <w:r w:rsidR="00C6214E">
        <w:rPr>
          <w:rStyle w:val="y2iqfc"/>
          <w:rFonts w:ascii="inherit" w:hAnsi="inherit"/>
          <w:sz w:val="24"/>
          <w:szCs w:val="24"/>
        </w:rPr>
        <w:t>окружења</w:t>
      </w:r>
      <w:r w:rsidR="00254219" w:rsidRPr="002616AA">
        <w:rPr>
          <w:rStyle w:val="y2iqfc"/>
          <w:rFonts w:ascii="inherit" w:hAnsi="inherit"/>
          <w:sz w:val="24"/>
          <w:szCs w:val="24"/>
        </w:rPr>
        <w:t xml:space="preserve"> </w:t>
      </w:r>
      <w:r w:rsidR="00C6214E">
        <w:rPr>
          <w:rStyle w:val="y2iqfc"/>
          <w:rFonts w:ascii="inherit" w:hAnsi="inherit"/>
          <w:sz w:val="24"/>
          <w:szCs w:val="24"/>
        </w:rPr>
        <w:t>као</w:t>
      </w:r>
      <w:r w:rsidR="00254219" w:rsidRPr="002616AA">
        <w:rPr>
          <w:rStyle w:val="y2iqfc"/>
          <w:rFonts w:ascii="inherit" w:hAnsi="inherit"/>
          <w:sz w:val="24"/>
          <w:szCs w:val="24"/>
        </w:rPr>
        <w:t xml:space="preserve"> </w:t>
      </w:r>
      <w:r w:rsidR="00C6214E">
        <w:rPr>
          <w:rStyle w:val="y2iqfc"/>
          <w:rFonts w:ascii="inherit" w:hAnsi="inherit"/>
          <w:sz w:val="24"/>
          <w:szCs w:val="24"/>
        </w:rPr>
        <w:t>императив</w:t>
      </w:r>
      <w:r w:rsidR="00254219" w:rsidRPr="002616AA">
        <w:rPr>
          <w:rStyle w:val="y2iqfc"/>
          <w:rFonts w:ascii="inherit" w:hAnsi="inherit"/>
          <w:sz w:val="24"/>
          <w:szCs w:val="24"/>
        </w:rPr>
        <w:t xml:space="preserve"> </w:t>
      </w:r>
      <w:r w:rsidR="00C6214E">
        <w:rPr>
          <w:rStyle w:val="y2iqfc"/>
          <w:rFonts w:ascii="inherit" w:hAnsi="inherit"/>
          <w:sz w:val="24"/>
          <w:szCs w:val="24"/>
        </w:rPr>
        <w:t>људских</w:t>
      </w:r>
      <w:r w:rsidR="00254219" w:rsidRPr="002616AA">
        <w:rPr>
          <w:rStyle w:val="y2iqfc"/>
          <w:rFonts w:ascii="inherit" w:hAnsi="inherit"/>
          <w:sz w:val="24"/>
          <w:szCs w:val="24"/>
        </w:rPr>
        <w:t xml:space="preserve"> </w:t>
      </w:r>
      <w:r w:rsidR="00C6214E">
        <w:rPr>
          <w:rStyle w:val="y2iqfc"/>
          <w:rFonts w:ascii="inherit" w:hAnsi="inherit"/>
          <w:sz w:val="24"/>
          <w:szCs w:val="24"/>
        </w:rPr>
        <w:t>права</w:t>
      </w:r>
      <w:r w:rsidR="00254219" w:rsidRPr="002616AA">
        <w:rPr>
          <w:rStyle w:val="y2iqfc"/>
          <w:rFonts w:ascii="inherit" w:hAnsi="inherit"/>
          <w:sz w:val="24"/>
          <w:szCs w:val="24"/>
        </w:rPr>
        <w:t xml:space="preserve"> </w:t>
      </w:r>
      <w:r w:rsidR="00C6214E">
        <w:rPr>
          <w:rStyle w:val="y2iqfc"/>
          <w:rFonts w:ascii="inherit" w:hAnsi="inherit"/>
          <w:sz w:val="24"/>
          <w:szCs w:val="24"/>
        </w:rPr>
        <w:t>и</w:t>
      </w:r>
      <w:r w:rsidR="00254219" w:rsidRPr="002616AA">
        <w:rPr>
          <w:rStyle w:val="y2iqfc"/>
          <w:rFonts w:ascii="inherit" w:hAnsi="inherit"/>
          <w:sz w:val="24"/>
          <w:szCs w:val="24"/>
        </w:rPr>
        <w:t xml:space="preserve"> </w:t>
      </w:r>
      <w:r w:rsidR="00C6214E">
        <w:rPr>
          <w:rStyle w:val="y2iqfc"/>
          <w:rFonts w:ascii="inherit" w:hAnsi="inherit"/>
          <w:sz w:val="24"/>
          <w:szCs w:val="24"/>
        </w:rPr>
        <w:t>стратешку</w:t>
      </w:r>
      <w:r w:rsidR="00254219" w:rsidRPr="002616AA">
        <w:rPr>
          <w:rStyle w:val="y2iqfc"/>
          <w:rFonts w:ascii="inherit" w:hAnsi="inherit"/>
          <w:sz w:val="24"/>
          <w:szCs w:val="24"/>
        </w:rPr>
        <w:t xml:space="preserve"> </w:t>
      </w:r>
      <w:r w:rsidR="00C6214E">
        <w:rPr>
          <w:rStyle w:val="y2iqfc"/>
          <w:rFonts w:ascii="inherit" w:hAnsi="inherit"/>
          <w:sz w:val="24"/>
          <w:szCs w:val="24"/>
        </w:rPr>
        <w:t>пословну</w:t>
      </w:r>
      <w:r w:rsidR="00254219" w:rsidRPr="002616AA">
        <w:rPr>
          <w:rStyle w:val="y2iqfc"/>
          <w:rFonts w:ascii="inherit" w:hAnsi="inherit"/>
          <w:sz w:val="24"/>
          <w:szCs w:val="24"/>
        </w:rPr>
        <w:t xml:space="preserve"> </w:t>
      </w:r>
      <w:r w:rsidR="00C6214E">
        <w:rPr>
          <w:rStyle w:val="y2iqfc"/>
          <w:rFonts w:ascii="inherit" w:hAnsi="inherit"/>
          <w:sz w:val="24"/>
          <w:szCs w:val="24"/>
        </w:rPr>
        <w:t>инвестицију</w:t>
      </w:r>
      <w:r w:rsidR="00254219" w:rsidRPr="002616AA">
        <w:rPr>
          <w:rStyle w:val="y2iqfc"/>
          <w:rFonts w:ascii="inherit" w:hAnsi="inherit"/>
          <w:sz w:val="24"/>
          <w:szCs w:val="24"/>
        </w:rPr>
        <w:t>.</w:t>
      </w:r>
    </w:p>
    <w:p w:rsidR="00C671BC" w:rsidRPr="002616AA" w:rsidRDefault="00C671BC" w:rsidP="0086268D">
      <w:pPr>
        <w:jc w:val="both"/>
        <w:rPr>
          <w:szCs w:val="24"/>
          <w:lang w:val="bs-Latn-BA"/>
        </w:rPr>
      </w:pPr>
    </w:p>
    <w:p w:rsidR="00356C2C" w:rsidRPr="00295637" w:rsidRDefault="00870C36" w:rsidP="00AB7272">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AB7272">
        <w:rPr>
          <w:rFonts w:ascii="Times New Roman" w:hAnsi="Times New Roman"/>
          <w:szCs w:val="24"/>
          <w:lang w:val="bs-Latn-BA"/>
        </w:rPr>
        <w:t xml:space="preserve"> 3.9.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промотивних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информаци</w:t>
      </w:r>
      <w:r>
        <w:rPr>
          <w:rFonts w:ascii="Times New Roman" w:hAnsi="Times New Roman"/>
          <w:szCs w:val="24"/>
          <w:lang w:val="sr-Cyrl-BA"/>
        </w:rPr>
        <w:t>оних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подизање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свијести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јавности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праву</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мушкараца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050016">
        <w:rPr>
          <w:rFonts w:ascii="Times New Roman" w:hAnsi="Times New Roman"/>
          <w:szCs w:val="24"/>
          <w:lang w:val="bs-Latn-BA"/>
        </w:rPr>
        <w:t xml:space="preserve"> </w:t>
      </w:r>
      <w:r w:rsidR="00C6214E">
        <w:rPr>
          <w:rFonts w:ascii="Times New Roman" w:hAnsi="Times New Roman"/>
          <w:szCs w:val="24"/>
          <w:lang w:val="bs-Latn-BA"/>
        </w:rPr>
        <w:t>једнак</w:t>
      </w:r>
      <w:r w:rsidR="00050016">
        <w:rPr>
          <w:rFonts w:ascii="Times New Roman" w:hAnsi="Times New Roman"/>
          <w:szCs w:val="24"/>
          <w:lang w:val="bs-Latn-BA"/>
        </w:rPr>
        <w:t xml:space="preserve"> </w:t>
      </w:r>
      <w:r w:rsidR="00C6214E">
        <w:rPr>
          <w:rFonts w:ascii="Times New Roman" w:hAnsi="Times New Roman"/>
          <w:szCs w:val="24"/>
          <w:lang w:val="bs-Latn-BA"/>
        </w:rPr>
        <w:t>приступ</w:t>
      </w:r>
      <w:r w:rsidR="00050016">
        <w:rPr>
          <w:rFonts w:ascii="Times New Roman" w:hAnsi="Times New Roman"/>
          <w:szCs w:val="24"/>
          <w:lang w:val="bs-Latn-BA"/>
        </w:rPr>
        <w:t xml:space="preserve"> </w:t>
      </w:r>
      <w:r w:rsidR="00C6214E">
        <w:rPr>
          <w:rFonts w:ascii="Times New Roman" w:hAnsi="Times New Roman"/>
          <w:szCs w:val="24"/>
          <w:lang w:val="bs-Latn-BA"/>
        </w:rPr>
        <w:t>запошљавању</w:t>
      </w:r>
      <w:r w:rsidR="00050016">
        <w:rPr>
          <w:rFonts w:ascii="Times New Roman" w:hAnsi="Times New Roman"/>
          <w:szCs w:val="24"/>
          <w:lang w:val="bs-Latn-BA"/>
        </w:rPr>
        <w:t>,</w:t>
      </w:r>
      <w:r w:rsidR="00356C2C" w:rsidRPr="00295637">
        <w:rPr>
          <w:rFonts w:ascii="Times New Roman" w:hAnsi="Times New Roman"/>
          <w:szCs w:val="24"/>
          <w:lang w:val="bs-Latn-BA"/>
        </w:rPr>
        <w:t xml:space="preserve"> </w:t>
      </w:r>
      <w:r w:rsidR="00C6214E">
        <w:rPr>
          <w:rFonts w:ascii="Times New Roman" w:hAnsi="Times New Roman"/>
          <w:szCs w:val="24"/>
          <w:lang w:val="bs-Latn-BA"/>
        </w:rPr>
        <w:t>тржишту</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економским</w:t>
      </w:r>
      <w:r w:rsidR="00356C2C" w:rsidRPr="00295637">
        <w:rPr>
          <w:rFonts w:ascii="Times New Roman" w:hAnsi="Times New Roman"/>
          <w:szCs w:val="24"/>
          <w:lang w:val="bs-Latn-BA"/>
        </w:rPr>
        <w:t xml:space="preserve"> </w:t>
      </w:r>
      <w:r w:rsidR="00C6214E">
        <w:rPr>
          <w:rFonts w:ascii="Times New Roman" w:hAnsi="Times New Roman"/>
          <w:szCs w:val="24"/>
          <w:lang w:val="bs-Latn-BA"/>
        </w:rPr>
        <w:t>ресурсима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заштите</w:t>
      </w:r>
      <w:r w:rsidR="00356C2C" w:rsidRPr="00295637">
        <w:rPr>
          <w:rFonts w:ascii="Times New Roman" w:hAnsi="Times New Roman"/>
          <w:szCs w:val="24"/>
          <w:lang w:val="bs-Latn-BA"/>
        </w:rPr>
        <w:t xml:space="preserve"> </w:t>
      </w:r>
      <w:r w:rsidR="00C6214E">
        <w:rPr>
          <w:rFonts w:ascii="Times New Roman" w:hAnsi="Times New Roman"/>
          <w:szCs w:val="24"/>
          <w:lang w:val="bs-Latn-BA"/>
        </w:rPr>
        <w:t>околиша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одрживог</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развоја</w:t>
      </w:r>
      <w:r w:rsidR="00356C2C" w:rsidRPr="00295637">
        <w:rPr>
          <w:rFonts w:ascii="Times New Roman" w:hAnsi="Times New Roman"/>
          <w:szCs w:val="24"/>
          <w:lang w:val="bs-Latn-BA"/>
        </w:rPr>
        <w:t>.</w:t>
      </w:r>
    </w:p>
    <w:p w:rsidR="008D56A8" w:rsidRPr="00295637" w:rsidRDefault="008D56A8" w:rsidP="0086268D">
      <w:pPr>
        <w:pStyle w:val="Normal1"/>
        <w:rPr>
          <w:rFonts w:ascii="Times New Roman" w:hAnsi="Times New Roman"/>
        </w:rPr>
      </w:pPr>
    </w:p>
    <w:p w:rsidR="00484375" w:rsidRPr="00295637" w:rsidRDefault="00C6214E" w:rsidP="0086268D">
      <w:pPr>
        <w:jc w:val="both"/>
        <w:rPr>
          <w:rFonts w:ascii="Times New Roman" w:hAnsi="Times New Roman"/>
          <w:szCs w:val="24"/>
        </w:rPr>
      </w:pPr>
      <w:r>
        <w:rPr>
          <w:rFonts w:ascii="Times New Roman" w:hAnsi="Times New Roman"/>
          <w:szCs w:val="24"/>
        </w:rPr>
        <w:t>Тема</w:t>
      </w:r>
      <w:r w:rsidR="00E72587" w:rsidRPr="00295637">
        <w:rPr>
          <w:rFonts w:ascii="Times New Roman" w:hAnsi="Times New Roman"/>
          <w:szCs w:val="24"/>
        </w:rPr>
        <w:t xml:space="preserve"> </w:t>
      </w:r>
      <w:r>
        <w:rPr>
          <w:rFonts w:ascii="Times New Roman" w:hAnsi="Times New Roman"/>
          <w:szCs w:val="24"/>
        </w:rPr>
        <w:t>већег</w:t>
      </w:r>
      <w:r w:rsidR="00E72587" w:rsidRPr="00295637">
        <w:rPr>
          <w:rFonts w:ascii="Times New Roman" w:hAnsi="Times New Roman"/>
          <w:szCs w:val="24"/>
        </w:rPr>
        <w:t xml:space="preserve"> </w:t>
      </w:r>
      <w:r>
        <w:rPr>
          <w:rFonts w:ascii="Times New Roman" w:hAnsi="Times New Roman"/>
          <w:szCs w:val="24"/>
        </w:rPr>
        <w:t>економског</w:t>
      </w:r>
      <w:r w:rsidR="00E72587" w:rsidRPr="00295637">
        <w:rPr>
          <w:rFonts w:ascii="Times New Roman" w:hAnsi="Times New Roman"/>
          <w:szCs w:val="24"/>
        </w:rPr>
        <w:t xml:space="preserve"> </w:t>
      </w:r>
      <w:r>
        <w:rPr>
          <w:rFonts w:ascii="Times New Roman" w:hAnsi="Times New Roman"/>
          <w:szCs w:val="24"/>
        </w:rPr>
        <w:t>оснаживања</w:t>
      </w:r>
      <w:r w:rsidR="00346CE9" w:rsidRPr="00295637">
        <w:rPr>
          <w:rFonts w:ascii="Times New Roman" w:hAnsi="Times New Roman"/>
          <w:szCs w:val="24"/>
        </w:rPr>
        <w:t xml:space="preserve"> </w:t>
      </w:r>
      <w:r>
        <w:rPr>
          <w:rFonts w:ascii="Times New Roman" w:hAnsi="Times New Roman"/>
          <w:szCs w:val="24"/>
        </w:rPr>
        <w:t>жена</w:t>
      </w:r>
      <w:r w:rsidR="00346CE9" w:rsidRPr="00295637">
        <w:rPr>
          <w:rFonts w:ascii="Times New Roman" w:hAnsi="Times New Roman"/>
          <w:szCs w:val="24"/>
        </w:rPr>
        <w:t xml:space="preserve"> </w:t>
      </w:r>
      <w:r>
        <w:rPr>
          <w:rFonts w:ascii="Times New Roman" w:hAnsi="Times New Roman"/>
          <w:szCs w:val="24"/>
        </w:rPr>
        <w:t>заступљена</w:t>
      </w:r>
      <w:r w:rsidR="00732827" w:rsidRPr="00295637">
        <w:rPr>
          <w:rFonts w:ascii="Times New Roman" w:hAnsi="Times New Roman"/>
          <w:szCs w:val="24"/>
        </w:rPr>
        <w:t xml:space="preserve"> </w:t>
      </w:r>
      <w:r>
        <w:rPr>
          <w:rFonts w:ascii="Times New Roman" w:hAnsi="Times New Roman"/>
          <w:szCs w:val="24"/>
        </w:rPr>
        <w:t>је</w:t>
      </w:r>
      <w:r w:rsidR="00732827" w:rsidRPr="00295637">
        <w:rPr>
          <w:rFonts w:ascii="Times New Roman" w:hAnsi="Times New Roman"/>
          <w:szCs w:val="24"/>
        </w:rPr>
        <w:t xml:space="preserve"> </w:t>
      </w:r>
      <w:r>
        <w:rPr>
          <w:rFonts w:ascii="Times New Roman" w:hAnsi="Times New Roman"/>
          <w:szCs w:val="24"/>
        </w:rPr>
        <w:t>приликом</w:t>
      </w:r>
      <w:r w:rsidR="00346CE9" w:rsidRPr="00295637">
        <w:rPr>
          <w:rFonts w:ascii="Times New Roman" w:hAnsi="Times New Roman"/>
          <w:szCs w:val="24"/>
        </w:rPr>
        <w:t xml:space="preserve"> </w:t>
      </w:r>
      <w:r>
        <w:rPr>
          <w:rFonts w:ascii="Times New Roman" w:hAnsi="Times New Roman"/>
          <w:szCs w:val="24"/>
        </w:rPr>
        <w:t>обиљежавања</w:t>
      </w:r>
      <w:r w:rsidR="00346CE9" w:rsidRPr="00295637">
        <w:rPr>
          <w:rFonts w:ascii="Times New Roman" w:hAnsi="Times New Roman"/>
          <w:szCs w:val="24"/>
        </w:rPr>
        <w:t xml:space="preserve"> </w:t>
      </w:r>
      <w:r>
        <w:rPr>
          <w:rFonts w:ascii="Times New Roman" w:hAnsi="Times New Roman"/>
          <w:szCs w:val="24"/>
        </w:rPr>
        <w:t>свих</w:t>
      </w:r>
      <w:r w:rsidR="00346CE9" w:rsidRPr="00295637">
        <w:rPr>
          <w:rFonts w:ascii="Times New Roman" w:hAnsi="Times New Roman"/>
          <w:szCs w:val="24"/>
        </w:rPr>
        <w:t xml:space="preserve"> </w:t>
      </w:r>
      <w:r>
        <w:rPr>
          <w:rFonts w:ascii="Times New Roman" w:hAnsi="Times New Roman"/>
          <w:szCs w:val="24"/>
        </w:rPr>
        <w:t>значајних</w:t>
      </w:r>
      <w:r w:rsidR="00346CE9" w:rsidRPr="00295637">
        <w:rPr>
          <w:rFonts w:ascii="Times New Roman" w:hAnsi="Times New Roman"/>
          <w:szCs w:val="24"/>
        </w:rPr>
        <w:t xml:space="preserve"> </w:t>
      </w:r>
      <w:r>
        <w:rPr>
          <w:rFonts w:ascii="Times New Roman" w:hAnsi="Times New Roman"/>
          <w:szCs w:val="24"/>
        </w:rPr>
        <w:t>датума</w:t>
      </w:r>
      <w:r w:rsidR="00346CE9" w:rsidRPr="00295637">
        <w:rPr>
          <w:rFonts w:ascii="Times New Roman" w:hAnsi="Times New Roman"/>
          <w:szCs w:val="24"/>
        </w:rPr>
        <w:t xml:space="preserve"> </w:t>
      </w:r>
      <w:r>
        <w:rPr>
          <w:rFonts w:ascii="Times New Roman" w:hAnsi="Times New Roman"/>
          <w:szCs w:val="24"/>
        </w:rPr>
        <w:t>у</w:t>
      </w:r>
      <w:r w:rsidR="00AB7272">
        <w:rPr>
          <w:rFonts w:ascii="Times New Roman" w:hAnsi="Times New Roman"/>
          <w:szCs w:val="24"/>
        </w:rPr>
        <w:t xml:space="preserve"> </w:t>
      </w:r>
      <w:r>
        <w:rPr>
          <w:rFonts w:ascii="Times New Roman" w:hAnsi="Times New Roman"/>
          <w:szCs w:val="24"/>
        </w:rPr>
        <w:t>вези</w:t>
      </w:r>
      <w:r w:rsidR="00AB7272">
        <w:rPr>
          <w:rFonts w:ascii="Times New Roman" w:hAnsi="Times New Roman"/>
          <w:szCs w:val="24"/>
        </w:rPr>
        <w:t xml:space="preserve"> </w:t>
      </w:r>
      <w:r>
        <w:rPr>
          <w:rFonts w:ascii="Times New Roman" w:hAnsi="Times New Roman"/>
          <w:szCs w:val="24"/>
        </w:rPr>
        <w:t>са</w:t>
      </w:r>
      <w:r w:rsidR="00346CE9" w:rsidRPr="00295637">
        <w:rPr>
          <w:rFonts w:ascii="Times New Roman" w:hAnsi="Times New Roman"/>
          <w:szCs w:val="24"/>
        </w:rPr>
        <w:t xml:space="preserve"> </w:t>
      </w:r>
      <w:r>
        <w:rPr>
          <w:rFonts w:ascii="Times New Roman" w:hAnsi="Times New Roman"/>
          <w:szCs w:val="24"/>
        </w:rPr>
        <w:t>остваривањем</w:t>
      </w:r>
      <w:r w:rsidR="00346CE9" w:rsidRPr="00295637">
        <w:rPr>
          <w:rFonts w:ascii="Times New Roman" w:hAnsi="Times New Roman"/>
          <w:szCs w:val="24"/>
        </w:rPr>
        <w:t xml:space="preserve"> </w:t>
      </w:r>
      <w:r>
        <w:rPr>
          <w:rFonts w:ascii="Times New Roman" w:hAnsi="Times New Roman"/>
          <w:szCs w:val="24"/>
        </w:rPr>
        <w:t>равноправности</w:t>
      </w:r>
      <w:r w:rsidR="00346CE9" w:rsidRPr="00295637">
        <w:rPr>
          <w:rFonts w:ascii="Times New Roman" w:hAnsi="Times New Roman"/>
          <w:szCs w:val="24"/>
        </w:rPr>
        <w:t xml:space="preserve"> </w:t>
      </w:r>
      <w:r>
        <w:rPr>
          <w:rFonts w:ascii="Times New Roman" w:hAnsi="Times New Roman"/>
          <w:szCs w:val="24"/>
        </w:rPr>
        <w:t>полова</w:t>
      </w:r>
      <w:r w:rsidR="00346CE9" w:rsidRPr="00295637">
        <w:rPr>
          <w:rFonts w:ascii="Times New Roman" w:hAnsi="Times New Roman"/>
          <w:szCs w:val="24"/>
        </w:rPr>
        <w:t xml:space="preserve"> </w:t>
      </w:r>
      <w:r>
        <w:rPr>
          <w:rFonts w:ascii="Times New Roman" w:hAnsi="Times New Roman"/>
          <w:szCs w:val="24"/>
        </w:rPr>
        <w:t>у</w:t>
      </w:r>
      <w:r w:rsidR="00346CE9" w:rsidRPr="00295637">
        <w:rPr>
          <w:rFonts w:ascii="Times New Roman" w:hAnsi="Times New Roman"/>
          <w:szCs w:val="24"/>
        </w:rPr>
        <w:t xml:space="preserve"> </w:t>
      </w:r>
      <w:r>
        <w:rPr>
          <w:rFonts w:ascii="Times New Roman" w:hAnsi="Times New Roman"/>
          <w:szCs w:val="24"/>
        </w:rPr>
        <w:t>БиХ</w:t>
      </w:r>
      <w:r w:rsidR="00346CE9" w:rsidRPr="00295637">
        <w:rPr>
          <w:rFonts w:ascii="Times New Roman" w:hAnsi="Times New Roman"/>
          <w:szCs w:val="24"/>
        </w:rPr>
        <w:t xml:space="preserve"> </w:t>
      </w:r>
      <w:r>
        <w:rPr>
          <w:rFonts w:ascii="Times New Roman" w:hAnsi="Times New Roman"/>
          <w:szCs w:val="24"/>
        </w:rPr>
        <w:t>јер</w:t>
      </w:r>
      <w:r w:rsidR="00732827" w:rsidRPr="00295637">
        <w:rPr>
          <w:rFonts w:ascii="Times New Roman" w:hAnsi="Times New Roman"/>
          <w:szCs w:val="24"/>
        </w:rPr>
        <w:t xml:space="preserve"> </w:t>
      </w:r>
      <w:r>
        <w:rPr>
          <w:rFonts w:ascii="Times New Roman" w:hAnsi="Times New Roman"/>
          <w:szCs w:val="24"/>
        </w:rPr>
        <w:t>од</w:t>
      </w:r>
      <w:r w:rsidR="00E72587" w:rsidRPr="00295637">
        <w:rPr>
          <w:rFonts w:ascii="Times New Roman" w:hAnsi="Times New Roman"/>
          <w:szCs w:val="24"/>
        </w:rPr>
        <w:t xml:space="preserve"> </w:t>
      </w:r>
      <w:r>
        <w:rPr>
          <w:rFonts w:ascii="Times New Roman" w:hAnsi="Times New Roman"/>
          <w:szCs w:val="24"/>
        </w:rPr>
        <w:t>равноправне</w:t>
      </w:r>
      <w:r w:rsidR="00E72587" w:rsidRPr="00295637">
        <w:rPr>
          <w:rFonts w:ascii="Times New Roman" w:hAnsi="Times New Roman"/>
          <w:szCs w:val="24"/>
        </w:rPr>
        <w:t xml:space="preserve"> </w:t>
      </w:r>
      <w:r>
        <w:rPr>
          <w:rFonts w:ascii="Times New Roman" w:hAnsi="Times New Roman"/>
          <w:szCs w:val="24"/>
        </w:rPr>
        <w:t>заступљености</w:t>
      </w:r>
      <w:r w:rsidR="00E72587" w:rsidRPr="00295637">
        <w:rPr>
          <w:rFonts w:ascii="Times New Roman" w:hAnsi="Times New Roman"/>
          <w:szCs w:val="24"/>
        </w:rPr>
        <w:t xml:space="preserve"> </w:t>
      </w:r>
      <w:r>
        <w:rPr>
          <w:rFonts w:ascii="Times New Roman" w:hAnsi="Times New Roman"/>
          <w:szCs w:val="24"/>
        </w:rPr>
        <w:t>жена</w:t>
      </w:r>
      <w:r w:rsidR="00E72587" w:rsidRPr="00295637">
        <w:rPr>
          <w:rFonts w:ascii="Times New Roman" w:hAnsi="Times New Roman"/>
          <w:szCs w:val="24"/>
        </w:rPr>
        <w:t xml:space="preserve"> </w:t>
      </w:r>
      <w:r>
        <w:rPr>
          <w:rFonts w:ascii="Times New Roman" w:hAnsi="Times New Roman"/>
          <w:szCs w:val="24"/>
        </w:rPr>
        <w:t>у</w:t>
      </w:r>
      <w:r w:rsidR="00E72587" w:rsidRPr="00295637">
        <w:rPr>
          <w:rFonts w:ascii="Times New Roman" w:hAnsi="Times New Roman"/>
          <w:szCs w:val="24"/>
        </w:rPr>
        <w:t xml:space="preserve"> </w:t>
      </w:r>
      <w:r>
        <w:rPr>
          <w:rFonts w:ascii="Times New Roman" w:hAnsi="Times New Roman"/>
          <w:szCs w:val="24"/>
        </w:rPr>
        <w:t>економији</w:t>
      </w:r>
      <w:r w:rsidR="00E72587" w:rsidRPr="00295637">
        <w:rPr>
          <w:rFonts w:ascii="Times New Roman" w:hAnsi="Times New Roman"/>
          <w:szCs w:val="24"/>
        </w:rPr>
        <w:t xml:space="preserve"> </w:t>
      </w:r>
      <w:r>
        <w:rPr>
          <w:rFonts w:ascii="Times New Roman" w:hAnsi="Times New Roman"/>
          <w:szCs w:val="24"/>
        </w:rPr>
        <w:t>зависи</w:t>
      </w:r>
      <w:r w:rsidR="00E72587" w:rsidRPr="00295637">
        <w:rPr>
          <w:rFonts w:ascii="Times New Roman" w:hAnsi="Times New Roman"/>
          <w:szCs w:val="24"/>
        </w:rPr>
        <w:t xml:space="preserve"> </w:t>
      </w:r>
      <w:r>
        <w:rPr>
          <w:rFonts w:ascii="Times New Roman" w:hAnsi="Times New Roman"/>
          <w:szCs w:val="24"/>
        </w:rPr>
        <w:t>и</w:t>
      </w:r>
      <w:r w:rsidR="00346CE9" w:rsidRPr="00295637">
        <w:rPr>
          <w:rFonts w:ascii="Times New Roman" w:hAnsi="Times New Roman"/>
          <w:szCs w:val="24"/>
        </w:rPr>
        <w:t xml:space="preserve"> </w:t>
      </w:r>
      <w:r>
        <w:rPr>
          <w:rFonts w:ascii="Times New Roman" w:hAnsi="Times New Roman"/>
          <w:szCs w:val="24"/>
        </w:rPr>
        <w:t>просперитет</w:t>
      </w:r>
      <w:r w:rsidR="00346CE9" w:rsidRPr="00295637">
        <w:rPr>
          <w:rFonts w:ascii="Times New Roman" w:hAnsi="Times New Roman"/>
          <w:szCs w:val="24"/>
        </w:rPr>
        <w:t xml:space="preserve"> </w:t>
      </w:r>
      <w:r>
        <w:rPr>
          <w:rFonts w:ascii="Times New Roman" w:hAnsi="Times New Roman"/>
          <w:szCs w:val="24"/>
        </w:rPr>
        <w:t>друштва</w:t>
      </w:r>
      <w:r w:rsidR="00346CE9" w:rsidRPr="00295637">
        <w:rPr>
          <w:rFonts w:ascii="Times New Roman" w:hAnsi="Times New Roman"/>
          <w:szCs w:val="24"/>
        </w:rPr>
        <w:t xml:space="preserve">, </w:t>
      </w:r>
      <w:r>
        <w:rPr>
          <w:rFonts w:ascii="Times New Roman" w:hAnsi="Times New Roman"/>
          <w:szCs w:val="24"/>
        </w:rPr>
        <w:t>превазилажење</w:t>
      </w:r>
      <w:r w:rsidR="00346CE9" w:rsidRPr="00295637">
        <w:rPr>
          <w:rFonts w:ascii="Times New Roman" w:hAnsi="Times New Roman"/>
          <w:szCs w:val="24"/>
        </w:rPr>
        <w:t xml:space="preserve"> </w:t>
      </w:r>
      <w:r>
        <w:rPr>
          <w:rFonts w:ascii="Times New Roman" w:hAnsi="Times New Roman"/>
          <w:szCs w:val="24"/>
        </w:rPr>
        <w:t>сиромаштва</w:t>
      </w:r>
      <w:r w:rsidR="00346CE9" w:rsidRPr="00295637">
        <w:rPr>
          <w:rFonts w:ascii="Times New Roman" w:hAnsi="Times New Roman"/>
          <w:szCs w:val="24"/>
        </w:rPr>
        <w:t xml:space="preserve"> </w:t>
      </w:r>
      <w:r>
        <w:rPr>
          <w:rFonts w:ascii="Times New Roman" w:hAnsi="Times New Roman"/>
          <w:szCs w:val="24"/>
        </w:rPr>
        <w:t>и</w:t>
      </w:r>
      <w:r w:rsidR="00346CE9" w:rsidRPr="00295637">
        <w:rPr>
          <w:rFonts w:ascii="Times New Roman" w:hAnsi="Times New Roman"/>
          <w:szCs w:val="24"/>
        </w:rPr>
        <w:t xml:space="preserve"> </w:t>
      </w:r>
      <w:r>
        <w:rPr>
          <w:rFonts w:ascii="Times New Roman" w:hAnsi="Times New Roman"/>
          <w:szCs w:val="24"/>
        </w:rPr>
        <w:t>остваривање</w:t>
      </w:r>
      <w:r w:rsidR="00346CE9" w:rsidRPr="00295637">
        <w:rPr>
          <w:rFonts w:ascii="Times New Roman" w:hAnsi="Times New Roman"/>
          <w:szCs w:val="24"/>
        </w:rPr>
        <w:t xml:space="preserve"> </w:t>
      </w:r>
      <w:r w:rsidR="00870C36">
        <w:rPr>
          <w:rFonts w:ascii="Times New Roman" w:hAnsi="Times New Roman"/>
          <w:szCs w:val="24"/>
          <w:lang w:val="sr-Cyrl-BA"/>
        </w:rPr>
        <w:t>безбједности</w:t>
      </w:r>
      <w:r w:rsidR="00346CE9" w:rsidRPr="00295637">
        <w:rPr>
          <w:rFonts w:ascii="Times New Roman" w:hAnsi="Times New Roman"/>
          <w:szCs w:val="24"/>
        </w:rPr>
        <w:t xml:space="preserve"> </w:t>
      </w:r>
      <w:r>
        <w:rPr>
          <w:rFonts w:ascii="Times New Roman" w:hAnsi="Times New Roman"/>
          <w:szCs w:val="24"/>
        </w:rPr>
        <w:t>у</w:t>
      </w:r>
      <w:r w:rsidR="00346CE9" w:rsidRPr="00295637">
        <w:rPr>
          <w:rFonts w:ascii="Times New Roman" w:hAnsi="Times New Roman"/>
          <w:szCs w:val="24"/>
        </w:rPr>
        <w:t xml:space="preserve"> </w:t>
      </w:r>
      <w:r>
        <w:rPr>
          <w:rFonts w:ascii="Times New Roman" w:hAnsi="Times New Roman"/>
          <w:szCs w:val="24"/>
        </w:rPr>
        <w:t>различитим</w:t>
      </w:r>
      <w:r w:rsidR="00346CE9" w:rsidRPr="00295637">
        <w:rPr>
          <w:rFonts w:ascii="Times New Roman" w:hAnsi="Times New Roman"/>
          <w:szCs w:val="24"/>
        </w:rPr>
        <w:t xml:space="preserve"> </w:t>
      </w:r>
      <w:r>
        <w:rPr>
          <w:rFonts w:ascii="Times New Roman" w:hAnsi="Times New Roman"/>
          <w:szCs w:val="24"/>
        </w:rPr>
        <w:t>областима</w:t>
      </w:r>
      <w:r w:rsidR="00346CE9" w:rsidRPr="00295637">
        <w:rPr>
          <w:rFonts w:ascii="Times New Roman" w:hAnsi="Times New Roman"/>
          <w:szCs w:val="24"/>
        </w:rPr>
        <w:t xml:space="preserve"> </w:t>
      </w:r>
      <w:r>
        <w:rPr>
          <w:rFonts w:ascii="Times New Roman" w:hAnsi="Times New Roman"/>
          <w:szCs w:val="24"/>
        </w:rPr>
        <w:t>живота</w:t>
      </w:r>
      <w:r w:rsidR="00346CE9" w:rsidRPr="00295637">
        <w:rPr>
          <w:rFonts w:ascii="Times New Roman" w:hAnsi="Times New Roman"/>
          <w:szCs w:val="24"/>
        </w:rPr>
        <w:t xml:space="preserve"> </w:t>
      </w:r>
      <w:r>
        <w:rPr>
          <w:rFonts w:ascii="Times New Roman" w:hAnsi="Times New Roman"/>
          <w:szCs w:val="24"/>
        </w:rPr>
        <w:t>и</w:t>
      </w:r>
      <w:r w:rsidR="00346CE9" w:rsidRPr="00295637">
        <w:rPr>
          <w:rFonts w:ascii="Times New Roman" w:hAnsi="Times New Roman"/>
          <w:szCs w:val="24"/>
        </w:rPr>
        <w:t xml:space="preserve"> </w:t>
      </w:r>
      <w:r>
        <w:rPr>
          <w:rFonts w:ascii="Times New Roman" w:hAnsi="Times New Roman"/>
          <w:szCs w:val="24"/>
        </w:rPr>
        <w:t>рада</w:t>
      </w:r>
      <w:r w:rsidR="00346CE9" w:rsidRPr="00295637">
        <w:rPr>
          <w:rFonts w:ascii="Times New Roman" w:hAnsi="Times New Roman"/>
          <w:szCs w:val="24"/>
        </w:rPr>
        <w:t xml:space="preserve">. </w:t>
      </w:r>
    </w:p>
    <w:p w:rsidR="00DE79A6" w:rsidRPr="00295637" w:rsidRDefault="00DE79A6" w:rsidP="0086268D">
      <w:pPr>
        <w:jc w:val="both"/>
        <w:rPr>
          <w:rFonts w:ascii="Times New Roman" w:hAnsi="Times New Roman"/>
          <w:szCs w:val="24"/>
        </w:rPr>
      </w:pPr>
    </w:p>
    <w:p w:rsidR="00D40BEA" w:rsidRPr="00DB6495" w:rsidRDefault="00C6214E" w:rsidP="0086268D">
      <w:pPr>
        <w:pStyle w:val="HTMLPreformatted"/>
        <w:jc w:val="both"/>
        <w:rPr>
          <w:rFonts w:ascii="Times New Roman" w:hAnsi="Times New Roman" w:cs="Times New Roman"/>
          <w:sz w:val="24"/>
          <w:szCs w:val="24"/>
        </w:rPr>
      </w:pPr>
      <w:r>
        <w:rPr>
          <w:rFonts w:ascii="Times New Roman" w:hAnsi="Times New Roman" w:cs="Times New Roman"/>
          <w:sz w:val="24"/>
          <w:szCs w:val="24"/>
        </w:rPr>
        <w:t>Такође</w:t>
      </w:r>
      <w:r w:rsidR="00686C9B">
        <w:rPr>
          <w:rFonts w:ascii="Times New Roman" w:hAnsi="Times New Roman" w:cs="Times New Roman"/>
          <w:sz w:val="24"/>
          <w:szCs w:val="24"/>
        </w:rPr>
        <w:t xml:space="preserve"> </w:t>
      </w:r>
      <w:r>
        <w:rPr>
          <w:rFonts w:ascii="Times New Roman" w:hAnsi="Times New Roman" w:cs="Times New Roman"/>
          <w:sz w:val="24"/>
          <w:szCs w:val="24"/>
        </w:rPr>
        <w:t>и</w:t>
      </w:r>
      <w:r w:rsidR="00686C9B">
        <w:rPr>
          <w:rFonts w:ascii="Times New Roman" w:hAnsi="Times New Roman" w:cs="Times New Roman"/>
          <w:sz w:val="24"/>
          <w:szCs w:val="24"/>
        </w:rPr>
        <w:t xml:space="preserve"> </w:t>
      </w:r>
      <w:r>
        <w:rPr>
          <w:rFonts w:ascii="Times New Roman" w:hAnsi="Times New Roman" w:cs="Times New Roman"/>
          <w:sz w:val="24"/>
          <w:szCs w:val="24"/>
        </w:rPr>
        <w:t>УН</w:t>
      </w:r>
      <w:r w:rsidR="00686C9B">
        <w:rPr>
          <w:rFonts w:ascii="Times New Roman" w:hAnsi="Times New Roman" w:cs="Times New Roman"/>
          <w:sz w:val="24"/>
          <w:szCs w:val="24"/>
        </w:rPr>
        <w:t xml:space="preserve"> </w:t>
      </w:r>
      <w:r>
        <w:rPr>
          <w:rFonts w:ascii="Times New Roman" w:hAnsi="Times New Roman" w:cs="Times New Roman"/>
          <w:sz w:val="24"/>
          <w:szCs w:val="24"/>
        </w:rPr>
        <w:t>агенције</w:t>
      </w:r>
      <w:r w:rsidR="00686C9B">
        <w:rPr>
          <w:rFonts w:ascii="Times New Roman" w:hAnsi="Times New Roman" w:cs="Times New Roman"/>
          <w:sz w:val="24"/>
          <w:szCs w:val="24"/>
        </w:rPr>
        <w:t xml:space="preserve"> </w:t>
      </w:r>
      <w:r>
        <w:rPr>
          <w:rFonts w:ascii="Times New Roman" w:hAnsi="Times New Roman" w:cs="Times New Roman"/>
          <w:sz w:val="24"/>
          <w:szCs w:val="24"/>
        </w:rPr>
        <w:t>у</w:t>
      </w:r>
      <w:r w:rsidR="00686C9B">
        <w:rPr>
          <w:rFonts w:ascii="Times New Roman" w:hAnsi="Times New Roman" w:cs="Times New Roman"/>
          <w:sz w:val="24"/>
          <w:szCs w:val="24"/>
        </w:rPr>
        <w:t xml:space="preserve"> </w:t>
      </w:r>
      <w:r>
        <w:rPr>
          <w:rFonts w:ascii="Times New Roman" w:hAnsi="Times New Roman" w:cs="Times New Roman"/>
          <w:sz w:val="24"/>
          <w:szCs w:val="24"/>
        </w:rPr>
        <w:t>БиХ</w:t>
      </w:r>
      <w:r w:rsidR="00686C9B">
        <w:rPr>
          <w:rFonts w:ascii="Times New Roman" w:hAnsi="Times New Roman" w:cs="Times New Roman"/>
          <w:sz w:val="24"/>
          <w:szCs w:val="24"/>
        </w:rPr>
        <w:t xml:space="preserve"> </w:t>
      </w:r>
      <w:r>
        <w:rPr>
          <w:rFonts w:ascii="Times New Roman" w:hAnsi="Times New Roman" w:cs="Times New Roman"/>
          <w:sz w:val="24"/>
          <w:szCs w:val="24"/>
        </w:rPr>
        <w:t>кроз</w:t>
      </w:r>
      <w:r w:rsidR="00686C9B">
        <w:rPr>
          <w:rFonts w:ascii="Times New Roman" w:hAnsi="Times New Roman" w:cs="Times New Roman"/>
          <w:sz w:val="24"/>
          <w:szCs w:val="24"/>
        </w:rPr>
        <w:t xml:space="preserve"> </w:t>
      </w:r>
      <w:r>
        <w:rPr>
          <w:rFonts w:ascii="Times New Roman" w:hAnsi="Times New Roman" w:cs="Times New Roman"/>
          <w:sz w:val="24"/>
          <w:szCs w:val="24"/>
        </w:rPr>
        <w:t>своје</w:t>
      </w:r>
      <w:r w:rsidR="00686C9B">
        <w:rPr>
          <w:rFonts w:ascii="Times New Roman" w:hAnsi="Times New Roman" w:cs="Times New Roman"/>
          <w:sz w:val="24"/>
          <w:szCs w:val="24"/>
        </w:rPr>
        <w:t xml:space="preserve"> </w:t>
      </w:r>
      <w:r>
        <w:rPr>
          <w:rFonts w:ascii="Times New Roman" w:hAnsi="Times New Roman" w:cs="Times New Roman"/>
          <w:sz w:val="24"/>
          <w:szCs w:val="24"/>
        </w:rPr>
        <w:t>активности</w:t>
      </w:r>
      <w:r w:rsidR="00686C9B">
        <w:rPr>
          <w:rFonts w:ascii="Times New Roman" w:hAnsi="Times New Roman" w:cs="Times New Roman"/>
          <w:sz w:val="24"/>
          <w:szCs w:val="24"/>
        </w:rPr>
        <w:t xml:space="preserve"> </w:t>
      </w:r>
      <w:r>
        <w:rPr>
          <w:rFonts w:ascii="Times New Roman" w:hAnsi="Times New Roman" w:cs="Times New Roman"/>
          <w:sz w:val="24"/>
          <w:szCs w:val="24"/>
        </w:rPr>
        <w:t>у</w:t>
      </w:r>
      <w:r w:rsidR="00686C9B">
        <w:rPr>
          <w:rFonts w:ascii="Times New Roman" w:hAnsi="Times New Roman" w:cs="Times New Roman"/>
          <w:sz w:val="24"/>
          <w:szCs w:val="24"/>
        </w:rPr>
        <w:t xml:space="preserve"> </w:t>
      </w:r>
      <w:r>
        <w:rPr>
          <w:rFonts w:ascii="Times New Roman" w:hAnsi="Times New Roman" w:cs="Times New Roman"/>
          <w:sz w:val="24"/>
          <w:szCs w:val="24"/>
        </w:rPr>
        <w:t>овој</w:t>
      </w:r>
      <w:r w:rsidR="00686C9B">
        <w:rPr>
          <w:rFonts w:ascii="Times New Roman" w:hAnsi="Times New Roman" w:cs="Times New Roman"/>
          <w:sz w:val="24"/>
          <w:szCs w:val="24"/>
        </w:rPr>
        <w:t xml:space="preserve"> </w:t>
      </w:r>
      <w:r>
        <w:rPr>
          <w:rFonts w:ascii="Times New Roman" w:hAnsi="Times New Roman" w:cs="Times New Roman"/>
          <w:sz w:val="24"/>
          <w:szCs w:val="24"/>
        </w:rPr>
        <w:t>области</w:t>
      </w:r>
      <w:r w:rsidR="00686C9B">
        <w:rPr>
          <w:rFonts w:ascii="Times New Roman" w:hAnsi="Times New Roman" w:cs="Times New Roman"/>
          <w:sz w:val="24"/>
          <w:szCs w:val="24"/>
        </w:rPr>
        <w:t xml:space="preserve"> </w:t>
      </w:r>
      <w:r>
        <w:rPr>
          <w:rFonts w:ascii="Times New Roman" w:hAnsi="Times New Roman" w:cs="Times New Roman"/>
          <w:sz w:val="24"/>
          <w:szCs w:val="24"/>
        </w:rPr>
        <w:t>промови</w:t>
      </w:r>
      <w:r w:rsidR="00870C36">
        <w:rPr>
          <w:rFonts w:ascii="Times New Roman" w:hAnsi="Times New Roman" w:cs="Times New Roman"/>
          <w:sz w:val="24"/>
          <w:szCs w:val="24"/>
          <w:lang w:val="sr-Cyrl-BA"/>
        </w:rPr>
        <w:t>шу</w:t>
      </w:r>
      <w:r w:rsidR="00686C9B">
        <w:rPr>
          <w:rFonts w:ascii="Times New Roman" w:hAnsi="Times New Roman" w:cs="Times New Roman"/>
          <w:sz w:val="24"/>
          <w:szCs w:val="24"/>
        </w:rPr>
        <w:t xml:space="preserve"> </w:t>
      </w:r>
      <w:r>
        <w:rPr>
          <w:rFonts w:ascii="Times New Roman" w:hAnsi="Times New Roman" w:cs="Times New Roman"/>
          <w:sz w:val="24"/>
          <w:szCs w:val="24"/>
        </w:rPr>
        <w:t>равноправан</w:t>
      </w:r>
      <w:r w:rsidR="00686C9B">
        <w:rPr>
          <w:rFonts w:ascii="Times New Roman" w:hAnsi="Times New Roman" w:cs="Times New Roman"/>
          <w:sz w:val="24"/>
          <w:szCs w:val="24"/>
        </w:rPr>
        <w:t xml:space="preserve"> </w:t>
      </w:r>
      <w:r>
        <w:rPr>
          <w:rFonts w:ascii="Times New Roman" w:hAnsi="Times New Roman" w:cs="Times New Roman"/>
          <w:sz w:val="24"/>
          <w:szCs w:val="24"/>
        </w:rPr>
        <w:t>приступ</w:t>
      </w:r>
      <w:r w:rsidR="00686C9B">
        <w:rPr>
          <w:rFonts w:ascii="Times New Roman" w:hAnsi="Times New Roman" w:cs="Times New Roman"/>
          <w:sz w:val="24"/>
          <w:szCs w:val="24"/>
        </w:rPr>
        <w:t xml:space="preserve"> </w:t>
      </w:r>
      <w:r>
        <w:rPr>
          <w:rFonts w:ascii="Times New Roman" w:hAnsi="Times New Roman" w:cs="Times New Roman"/>
          <w:sz w:val="24"/>
          <w:szCs w:val="24"/>
        </w:rPr>
        <w:t>запошљавању</w:t>
      </w:r>
      <w:r w:rsidR="00686C9B">
        <w:rPr>
          <w:rFonts w:ascii="Times New Roman" w:hAnsi="Times New Roman" w:cs="Times New Roman"/>
          <w:sz w:val="24"/>
          <w:szCs w:val="24"/>
        </w:rPr>
        <w:t xml:space="preserve"> </w:t>
      </w:r>
      <w:r>
        <w:rPr>
          <w:rFonts w:ascii="Times New Roman" w:hAnsi="Times New Roman" w:cs="Times New Roman"/>
          <w:sz w:val="24"/>
          <w:szCs w:val="24"/>
        </w:rPr>
        <w:t>и</w:t>
      </w:r>
      <w:r w:rsidR="00686C9B">
        <w:rPr>
          <w:rFonts w:ascii="Times New Roman" w:hAnsi="Times New Roman" w:cs="Times New Roman"/>
          <w:sz w:val="24"/>
          <w:szCs w:val="24"/>
        </w:rPr>
        <w:t xml:space="preserve"> </w:t>
      </w:r>
      <w:r>
        <w:rPr>
          <w:rFonts w:ascii="Times New Roman" w:hAnsi="Times New Roman" w:cs="Times New Roman"/>
          <w:sz w:val="24"/>
          <w:szCs w:val="24"/>
        </w:rPr>
        <w:t>тржишту</w:t>
      </w:r>
      <w:r w:rsidR="00686C9B">
        <w:rPr>
          <w:rFonts w:ascii="Times New Roman" w:hAnsi="Times New Roman" w:cs="Times New Roman"/>
          <w:sz w:val="24"/>
          <w:szCs w:val="24"/>
        </w:rPr>
        <w:t xml:space="preserve"> </w:t>
      </w:r>
      <w:r>
        <w:rPr>
          <w:rFonts w:ascii="Times New Roman" w:hAnsi="Times New Roman" w:cs="Times New Roman"/>
          <w:sz w:val="24"/>
          <w:szCs w:val="24"/>
        </w:rPr>
        <w:t>рада</w:t>
      </w:r>
      <w:r w:rsidR="00686C9B">
        <w:rPr>
          <w:rFonts w:ascii="Times New Roman" w:hAnsi="Times New Roman" w:cs="Times New Roman"/>
          <w:sz w:val="24"/>
          <w:szCs w:val="24"/>
        </w:rPr>
        <w:t xml:space="preserve">. </w:t>
      </w:r>
      <w:r>
        <w:rPr>
          <w:rFonts w:ascii="Times New Roman" w:hAnsi="Times New Roman" w:cs="Times New Roman"/>
          <w:sz w:val="24"/>
          <w:szCs w:val="24"/>
        </w:rPr>
        <w:t>У</w:t>
      </w:r>
      <w:r w:rsidR="00D40BEA" w:rsidRPr="00295637">
        <w:rPr>
          <w:rFonts w:ascii="Times New Roman" w:hAnsi="Times New Roman" w:cs="Times New Roman"/>
          <w:sz w:val="24"/>
          <w:szCs w:val="24"/>
        </w:rPr>
        <w:t xml:space="preserve"> </w:t>
      </w:r>
      <w:r>
        <w:rPr>
          <w:rFonts w:ascii="Times New Roman" w:hAnsi="Times New Roman" w:cs="Times New Roman"/>
          <w:sz w:val="24"/>
          <w:szCs w:val="24"/>
        </w:rPr>
        <w:t>извјештајном</w:t>
      </w:r>
      <w:r w:rsidR="00D40BEA" w:rsidRPr="00295637">
        <w:rPr>
          <w:rFonts w:ascii="Times New Roman" w:hAnsi="Times New Roman" w:cs="Times New Roman"/>
          <w:sz w:val="24"/>
          <w:szCs w:val="24"/>
        </w:rPr>
        <w:t xml:space="preserve"> </w:t>
      </w:r>
      <w:r>
        <w:rPr>
          <w:rFonts w:ascii="Times New Roman" w:hAnsi="Times New Roman" w:cs="Times New Roman"/>
          <w:sz w:val="24"/>
          <w:szCs w:val="24"/>
        </w:rPr>
        <w:t>периоду</w:t>
      </w:r>
      <w:r w:rsidR="00D40BEA" w:rsidRPr="00295637">
        <w:rPr>
          <w:rFonts w:ascii="Times New Roman" w:hAnsi="Times New Roman" w:cs="Times New Roman"/>
          <w:sz w:val="24"/>
          <w:szCs w:val="24"/>
        </w:rPr>
        <w:t xml:space="preserve">, </w:t>
      </w:r>
      <w:r w:rsidR="00870C36" w:rsidRPr="00870C36">
        <w:rPr>
          <w:rFonts w:ascii="Times New Roman" w:hAnsi="Times New Roman" w:cs="Times New Roman"/>
          <w:i/>
          <w:sz w:val="24"/>
          <w:szCs w:val="24"/>
          <w:lang w:val="hr-BA"/>
        </w:rPr>
        <w:t>UNFPA</w:t>
      </w:r>
      <w:r w:rsidR="00DE79A6" w:rsidRPr="00295637">
        <w:rPr>
          <w:rFonts w:ascii="Times New Roman" w:hAnsi="Times New Roman" w:cs="Times New Roman"/>
          <w:sz w:val="24"/>
          <w:szCs w:val="24"/>
        </w:rPr>
        <w:t xml:space="preserve"> </w:t>
      </w:r>
      <w:r>
        <w:rPr>
          <w:rFonts w:ascii="Times New Roman" w:hAnsi="Times New Roman" w:cs="Times New Roman"/>
          <w:sz w:val="24"/>
          <w:szCs w:val="24"/>
        </w:rPr>
        <w:t>је</w:t>
      </w:r>
      <w:r w:rsidR="00DE79A6" w:rsidRPr="00295637">
        <w:rPr>
          <w:rFonts w:ascii="Times New Roman" w:hAnsi="Times New Roman" w:cs="Times New Roman"/>
          <w:sz w:val="24"/>
          <w:szCs w:val="24"/>
        </w:rPr>
        <w:t xml:space="preserve"> </w:t>
      </w:r>
      <w:r>
        <w:rPr>
          <w:rFonts w:ascii="Times New Roman" w:hAnsi="Times New Roman" w:cs="Times New Roman"/>
          <w:sz w:val="24"/>
          <w:szCs w:val="24"/>
        </w:rPr>
        <w:t>провео</w:t>
      </w:r>
      <w:r w:rsidR="00DE79A6" w:rsidRPr="00295637">
        <w:rPr>
          <w:rFonts w:ascii="Times New Roman" w:hAnsi="Times New Roman" w:cs="Times New Roman"/>
          <w:sz w:val="24"/>
          <w:szCs w:val="24"/>
        </w:rPr>
        <w:t xml:space="preserve"> </w:t>
      </w:r>
      <w:r>
        <w:rPr>
          <w:rStyle w:val="y2iqfc"/>
          <w:rFonts w:ascii="Times New Roman" w:hAnsi="Times New Roman" w:cs="Times New Roman"/>
          <w:sz w:val="24"/>
          <w:szCs w:val="24"/>
        </w:rPr>
        <w:t>визуелне</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кампање</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приповиједања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којима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жене</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поново</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улазе</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тржиште</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рада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организирао</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сајам</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женског</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предузетништва</w:t>
      </w:r>
      <w:r w:rsidR="00D40BEA" w:rsidRPr="00295637">
        <w:rPr>
          <w:rStyle w:val="y2iqfc"/>
          <w:rFonts w:ascii="Times New Roman" w:hAnsi="Times New Roman" w:cs="Times New Roman"/>
          <w:sz w:val="24"/>
          <w:szCs w:val="24"/>
        </w:rPr>
        <w:t>.</w:t>
      </w:r>
    </w:p>
    <w:p w:rsidR="008D56A8" w:rsidRPr="00295637" w:rsidRDefault="008D56A8" w:rsidP="0086268D">
      <w:pPr>
        <w:pStyle w:val="Default"/>
      </w:pPr>
    </w:p>
    <w:p w:rsidR="00356C2C" w:rsidRPr="00295637" w:rsidRDefault="00870C36" w:rsidP="00AB7272">
      <w:pPr>
        <w:tabs>
          <w:tab w:val="left" w:pos="284"/>
          <w:tab w:val="left" w:pos="630"/>
          <w:tab w:val="left" w:pos="1080"/>
        </w:tabs>
        <w:ind w:left="900"/>
        <w:jc w:val="both"/>
        <w:rPr>
          <w:rFonts w:ascii="Times New Roman" w:eastAsia="Calibri" w:hAnsi="Times New Roman"/>
          <w:szCs w:val="24"/>
          <w:lang w:val="bs-Latn-BA"/>
        </w:rPr>
      </w:pPr>
      <w:r>
        <w:rPr>
          <w:rFonts w:ascii="Times New Roman" w:hAnsi="Times New Roman"/>
          <w:szCs w:val="24"/>
          <w:lang w:val="bs-Latn-BA"/>
        </w:rPr>
        <w:t>I</w:t>
      </w:r>
      <w:r w:rsidR="00AB7272">
        <w:rPr>
          <w:rFonts w:ascii="Times New Roman" w:hAnsi="Times New Roman"/>
          <w:szCs w:val="24"/>
          <w:lang w:val="bs-Latn-BA"/>
        </w:rPr>
        <w:t xml:space="preserve"> 3.10. </w:t>
      </w:r>
      <w:r w:rsidR="00C6214E">
        <w:rPr>
          <w:rFonts w:ascii="Times New Roman" w:hAnsi="Times New Roman"/>
          <w:szCs w:val="24"/>
          <w:lang w:val="bs-Latn-BA"/>
        </w:rPr>
        <w:t>Праћење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напретка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извјештавање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заступљености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мушкараца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запошљавања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приступа</w:t>
      </w:r>
      <w:r w:rsidR="00356C2C" w:rsidRPr="00295637">
        <w:rPr>
          <w:rFonts w:ascii="Times New Roman" w:hAnsi="Times New Roman"/>
          <w:szCs w:val="24"/>
          <w:lang w:val="bs-Latn-BA"/>
        </w:rPr>
        <w:t xml:space="preserve"> </w:t>
      </w:r>
      <w:r w:rsidR="00C6214E">
        <w:rPr>
          <w:rFonts w:ascii="Times New Roman" w:hAnsi="Times New Roman"/>
          <w:szCs w:val="24"/>
          <w:lang w:val="bs-Latn-BA"/>
        </w:rPr>
        <w:t>економским</w:t>
      </w:r>
      <w:r w:rsidR="00356C2C" w:rsidRPr="00295637">
        <w:rPr>
          <w:rFonts w:ascii="Times New Roman" w:hAnsi="Times New Roman"/>
          <w:szCs w:val="24"/>
          <w:lang w:val="bs-Latn-BA"/>
        </w:rPr>
        <w:t xml:space="preserve"> </w:t>
      </w:r>
      <w:r w:rsidR="00C6214E">
        <w:rPr>
          <w:rFonts w:ascii="Times New Roman" w:hAnsi="Times New Roman"/>
          <w:szCs w:val="24"/>
          <w:lang w:val="bs-Latn-BA"/>
        </w:rPr>
        <w:t>ресурсима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као</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женског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предузетништва</w:t>
      </w:r>
      <w:r w:rsidR="00356C2C" w:rsidRPr="00295637">
        <w:rPr>
          <w:rFonts w:ascii="Times New Roman" w:hAnsi="Times New Roman"/>
          <w:szCs w:val="24"/>
          <w:lang w:val="bs-Latn-BA"/>
        </w:rPr>
        <w:t>.</w:t>
      </w:r>
    </w:p>
    <w:p w:rsidR="008D56A8" w:rsidRPr="00295637" w:rsidRDefault="008D56A8" w:rsidP="0086268D">
      <w:pPr>
        <w:jc w:val="both"/>
        <w:rPr>
          <w:rFonts w:ascii="Times New Roman" w:hAnsi="Times New Roman"/>
          <w:szCs w:val="24"/>
        </w:rPr>
      </w:pPr>
      <w:bookmarkStart w:id="29" w:name="_Toc332005665"/>
      <w:bookmarkStart w:id="30" w:name="_Toc332010896"/>
    </w:p>
    <w:p w:rsidR="00484375" w:rsidRPr="00295637" w:rsidRDefault="00C6214E" w:rsidP="0086268D">
      <w:pPr>
        <w:jc w:val="both"/>
        <w:rPr>
          <w:rFonts w:ascii="Times New Roman" w:hAnsi="Times New Roman"/>
          <w:szCs w:val="24"/>
        </w:rPr>
      </w:pPr>
      <w:r>
        <w:rPr>
          <w:rFonts w:ascii="Times New Roman" w:hAnsi="Times New Roman"/>
          <w:szCs w:val="24"/>
        </w:rPr>
        <w:t>Кроз</w:t>
      </w:r>
      <w:r w:rsidR="00484375" w:rsidRPr="00295637">
        <w:rPr>
          <w:rFonts w:ascii="Times New Roman" w:hAnsi="Times New Roman"/>
          <w:szCs w:val="24"/>
        </w:rPr>
        <w:t xml:space="preserve"> </w:t>
      </w:r>
      <w:r>
        <w:rPr>
          <w:rFonts w:ascii="Times New Roman" w:hAnsi="Times New Roman"/>
          <w:szCs w:val="24"/>
        </w:rPr>
        <w:t>Анкету</w:t>
      </w:r>
      <w:r w:rsidR="00484375" w:rsidRPr="00295637">
        <w:rPr>
          <w:rFonts w:ascii="Times New Roman" w:hAnsi="Times New Roman"/>
          <w:szCs w:val="24"/>
        </w:rPr>
        <w:t xml:space="preserve"> </w:t>
      </w:r>
      <w:r>
        <w:rPr>
          <w:rFonts w:ascii="Times New Roman" w:hAnsi="Times New Roman"/>
          <w:szCs w:val="24"/>
        </w:rPr>
        <w:t>о</w:t>
      </w:r>
      <w:r w:rsidR="00484375" w:rsidRPr="00295637">
        <w:rPr>
          <w:rFonts w:ascii="Times New Roman" w:hAnsi="Times New Roman"/>
          <w:szCs w:val="24"/>
        </w:rPr>
        <w:t xml:space="preserve"> </w:t>
      </w:r>
      <w:r>
        <w:rPr>
          <w:rFonts w:ascii="Times New Roman" w:hAnsi="Times New Roman"/>
          <w:szCs w:val="24"/>
        </w:rPr>
        <w:t>радној</w:t>
      </w:r>
      <w:r w:rsidR="00484375" w:rsidRPr="00295637">
        <w:rPr>
          <w:rFonts w:ascii="Times New Roman" w:hAnsi="Times New Roman"/>
          <w:szCs w:val="24"/>
        </w:rPr>
        <w:t xml:space="preserve"> </w:t>
      </w:r>
      <w:r>
        <w:rPr>
          <w:rFonts w:ascii="Times New Roman" w:hAnsi="Times New Roman"/>
          <w:szCs w:val="24"/>
        </w:rPr>
        <w:t>снази</w:t>
      </w:r>
      <w:r w:rsidR="00484375" w:rsidRPr="00295637">
        <w:rPr>
          <w:rFonts w:ascii="Times New Roman" w:hAnsi="Times New Roman"/>
          <w:szCs w:val="24"/>
        </w:rPr>
        <w:t xml:space="preserve"> </w:t>
      </w:r>
      <w:r>
        <w:rPr>
          <w:rFonts w:ascii="Times New Roman" w:hAnsi="Times New Roman"/>
          <w:szCs w:val="24"/>
        </w:rPr>
        <w:t>у</w:t>
      </w:r>
      <w:r w:rsidR="009E54A2" w:rsidRPr="00295637">
        <w:rPr>
          <w:rFonts w:ascii="Times New Roman" w:hAnsi="Times New Roman"/>
          <w:szCs w:val="24"/>
        </w:rPr>
        <w:t xml:space="preserve"> </w:t>
      </w:r>
      <w:r>
        <w:rPr>
          <w:rFonts w:ascii="Times New Roman" w:hAnsi="Times New Roman"/>
          <w:szCs w:val="24"/>
        </w:rPr>
        <w:t>БиХ</w:t>
      </w:r>
      <w:r w:rsidR="00484375" w:rsidRPr="00295637">
        <w:rPr>
          <w:rFonts w:ascii="Times New Roman" w:hAnsi="Times New Roman"/>
          <w:szCs w:val="24"/>
        </w:rPr>
        <w:t xml:space="preserve">, </w:t>
      </w:r>
      <w:r>
        <w:rPr>
          <w:rFonts w:ascii="Times New Roman" w:hAnsi="Times New Roman"/>
          <w:szCs w:val="24"/>
        </w:rPr>
        <w:t>коју</w:t>
      </w:r>
      <w:r w:rsidR="00484375" w:rsidRPr="00295637">
        <w:rPr>
          <w:rFonts w:ascii="Times New Roman" w:hAnsi="Times New Roman"/>
          <w:szCs w:val="24"/>
        </w:rPr>
        <w:t xml:space="preserve"> </w:t>
      </w:r>
      <w:r>
        <w:rPr>
          <w:rFonts w:ascii="Times New Roman" w:hAnsi="Times New Roman"/>
          <w:szCs w:val="24"/>
        </w:rPr>
        <w:t>редовно</w:t>
      </w:r>
      <w:r w:rsidR="00484375" w:rsidRPr="00295637">
        <w:rPr>
          <w:rFonts w:ascii="Times New Roman" w:hAnsi="Times New Roman"/>
          <w:szCs w:val="24"/>
        </w:rPr>
        <w:t xml:space="preserve"> </w:t>
      </w:r>
      <w:r w:rsidR="00870C36">
        <w:rPr>
          <w:rFonts w:ascii="Times New Roman" w:hAnsi="Times New Roman"/>
          <w:szCs w:val="24"/>
          <w:lang w:val="sr-Cyrl-BA"/>
        </w:rPr>
        <w:t>спроводи</w:t>
      </w:r>
      <w:r w:rsidR="00484375" w:rsidRPr="00295637">
        <w:rPr>
          <w:rFonts w:ascii="Times New Roman" w:hAnsi="Times New Roman"/>
          <w:szCs w:val="24"/>
        </w:rPr>
        <w:t xml:space="preserve"> </w:t>
      </w:r>
      <w:r>
        <w:rPr>
          <w:rFonts w:ascii="Times New Roman" w:hAnsi="Times New Roman"/>
          <w:szCs w:val="24"/>
        </w:rPr>
        <w:t>БХАС</w:t>
      </w:r>
      <w:r w:rsidR="00E34075" w:rsidRPr="00295637">
        <w:rPr>
          <w:rFonts w:ascii="Times New Roman" w:hAnsi="Times New Roman"/>
          <w:szCs w:val="24"/>
        </w:rPr>
        <w:t>,</w:t>
      </w:r>
      <w:r w:rsidR="00484375" w:rsidRPr="00295637">
        <w:rPr>
          <w:rFonts w:ascii="Times New Roman" w:hAnsi="Times New Roman"/>
          <w:szCs w:val="24"/>
        </w:rPr>
        <w:t xml:space="preserve"> </w:t>
      </w:r>
      <w:r>
        <w:rPr>
          <w:rFonts w:ascii="Times New Roman" w:hAnsi="Times New Roman"/>
          <w:szCs w:val="24"/>
        </w:rPr>
        <w:t>прикупљају</w:t>
      </w:r>
      <w:r w:rsidR="00484375" w:rsidRPr="00295637">
        <w:rPr>
          <w:rFonts w:ascii="Times New Roman" w:hAnsi="Times New Roman"/>
          <w:szCs w:val="24"/>
        </w:rPr>
        <w:t xml:space="preserve"> </w:t>
      </w:r>
      <w:r>
        <w:rPr>
          <w:rFonts w:ascii="Times New Roman" w:hAnsi="Times New Roman"/>
          <w:szCs w:val="24"/>
        </w:rPr>
        <w:t>се</w:t>
      </w:r>
      <w:r w:rsidR="00484375" w:rsidRPr="00295637">
        <w:rPr>
          <w:rFonts w:ascii="Times New Roman" w:hAnsi="Times New Roman"/>
          <w:szCs w:val="24"/>
        </w:rPr>
        <w:t xml:space="preserve"> </w:t>
      </w:r>
      <w:r>
        <w:rPr>
          <w:rFonts w:ascii="Times New Roman" w:hAnsi="Times New Roman"/>
          <w:szCs w:val="24"/>
        </w:rPr>
        <w:t>основни</w:t>
      </w:r>
      <w:r w:rsidR="00484375" w:rsidRPr="00295637">
        <w:rPr>
          <w:rFonts w:ascii="Times New Roman" w:hAnsi="Times New Roman"/>
          <w:szCs w:val="24"/>
        </w:rPr>
        <w:t xml:space="preserve"> </w:t>
      </w:r>
      <w:r>
        <w:rPr>
          <w:rFonts w:ascii="Times New Roman" w:hAnsi="Times New Roman"/>
          <w:szCs w:val="24"/>
        </w:rPr>
        <w:t>показатељи</w:t>
      </w:r>
      <w:r w:rsidR="00484375" w:rsidRPr="00295637">
        <w:rPr>
          <w:rFonts w:ascii="Times New Roman" w:hAnsi="Times New Roman"/>
          <w:szCs w:val="24"/>
        </w:rPr>
        <w:t xml:space="preserve"> </w:t>
      </w:r>
      <w:r>
        <w:rPr>
          <w:rFonts w:ascii="Times New Roman" w:hAnsi="Times New Roman"/>
          <w:szCs w:val="24"/>
        </w:rPr>
        <w:t>о</w:t>
      </w:r>
      <w:r w:rsidR="00484375" w:rsidRPr="00295637">
        <w:rPr>
          <w:rFonts w:ascii="Times New Roman" w:hAnsi="Times New Roman"/>
          <w:szCs w:val="24"/>
        </w:rPr>
        <w:t xml:space="preserve"> </w:t>
      </w:r>
      <w:r>
        <w:rPr>
          <w:rFonts w:ascii="Times New Roman" w:hAnsi="Times New Roman"/>
          <w:szCs w:val="24"/>
        </w:rPr>
        <w:t>женама</w:t>
      </w:r>
      <w:r w:rsidR="00484375" w:rsidRPr="00295637">
        <w:rPr>
          <w:rFonts w:ascii="Times New Roman" w:hAnsi="Times New Roman"/>
          <w:szCs w:val="24"/>
        </w:rPr>
        <w:t xml:space="preserve"> </w:t>
      </w:r>
      <w:r>
        <w:rPr>
          <w:rFonts w:ascii="Times New Roman" w:hAnsi="Times New Roman"/>
          <w:szCs w:val="24"/>
        </w:rPr>
        <w:t>на</w:t>
      </w:r>
      <w:r w:rsidR="00484375" w:rsidRPr="00295637">
        <w:rPr>
          <w:rFonts w:ascii="Times New Roman" w:hAnsi="Times New Roman"/>
          <w:szCs w:val="24"/>
        </w:rPr>
        <w:t xml:space="preserve"> </w:t>
      </w:r>
      <w:r>
        <w:rPr>
          <w:rFonts w:ascii="Times New Roman" w:hAnsi="Times New Roman"/>
          <w:szCs w:val="24"/>
        </w:rPr>
        <w:t>тржишту</w:t>
      </w:r>
      <w:r w:rsidR="00484375" w:rsidRPr="00295637">
        <w:rPr>
          <w:rFonts w:ascii="Times New Roman" w:hAnsi="Times New Roman"/>
          <w:szCs w:val="24"/>
        </w:rPr>
        <w:t xml:space="preserve"> </w:t>
      </w:r>
      <w:r>
        <w:rPr>
          <w:rFonts w:ascii="Times New Roman" w:hAnsi="Times New Roman"/>
          <w:szCs w:val="24"/>
        </w:rPr>
        <w:t>рада</w:t>
      </w:r>
      <w:r w:rsidR="00484375" w:rsidRPr="00295637">
        <w:rPr>
          <w:rFonts w:ascii="Times New Roman" w:hAnsi="Times New Roman"/>
          <w:szCs w:val="24"/>
        </w:rPr>
        <w:t xml:space="preserve"> (</w:t>
      </w:r>
      <w:r>
        <w:rPr>
          <w:rFonts w:ascii="Times New Roman" w:hAnsi="Times New Roman"/>
          <w:szCs w:val="24"/>
        </w:rPr>
        <w:t>стопа</w:t>
      </w:r>
      <w:r w:rsidR="00484375" w:rsidRPr="00295637">
        <w:rPr>
          <w:rFonts w:ascii="Times New Roman" w:hAnsi="Times New Roman"/>
          <w:szCs w:val="24"/>
        </w:rPr>
        <w:t xml:space="preserve"> </w:t>
      </w:r>
      <w:r>
        <w:rPr>
          <w:rFonts w:ascii="Times New Roman" w:hAnsi="Times New Roman"/>
          <w:szCs w:val="24"/>
        </w:rPr>
        <w:t>запослених</w:t>
      </w:r>
      <w:r w:rsidR="00484375" w:rsidRPr="00295637">
        <w:rPr>
          <w:rFonts w:ascii="Times New Roman" w:hAnsi="Times New Roman"/>
          <w:szCs w:val="24"/>
        </w:rPr>
        <w:t xml:space="preserve">, </w:t>
      </w:r>
      <w:r>
        <w:rPr>
          <w:rFonts w:ascii="Times New Roman" w:hAnsi="Times New Roman"/>
          <w:szCs w:val="24"/>
        </w:rPr>
        <w:t>незапослених</w:t>
      </w:r>
      <w:r w:rsidR="00484375" w:rsidRPr="00295637">
        <w:rPr>
          <w:rFonts w:ascii="Times New Roman" w:hAnsi="Times New Roman"/>
          <w:szCs w:val="24"/>
        </w:rPr>
        <w:t xml:space="preserve">, </w:t>
      </w:r>
      <w:r>
        <w:rPr>
          <w:rFonts w:ascii="Times New Roman" w:hAnsi="Times New Roman"/>
          <w:szCs w:val="24"/>
        </w:rPr>
        <w:t>неактивних</w:t>
      </w:r>
      <w:r w:rsidR="00484375" w:rsidRPr="00295637">
        <w:rPr>
          <w:rFonts w:ascii="Times New Roman" w:hAnsi="Times New Roman"/>
          <w:szCs w:val="24"/>
        </w:rPr>
        <w:t xml:space="preserve"> </w:t>
      </w:r>
      <w:r>
        <w:rPr>
          <w:rFonts w:ascii="Times New Roman" w:hAnsi="Times New Roman"/>
          <w:szCs w:val="24"/>
        </w:rPr>
        <w:t>жена</w:t>
      </w:r>
      <w:r w:rsidR="00484375" w:rsidRPr="00295637">
        <w:rPr>
          <w:rFonts w:ascii="Times New Roman" w:hAnsi="Times New Roman"/>
          <w:szCs w:val="24"/>
        </w:rPr>
        <w:t xml:space="preserve">, </w:t>
      </w:r>
      <w:r>
        <w:rPr>
          <w:rFonts w:ascii="Times New Roman" w:hAnsi="Times New Roman"/>
          <w:szCs w:val="24"/>
        </w:rPr>
        <w:t>проценат</w:t>
      </w:r>
      <w:r w:rsidR="00484375" w:rsidRPr="00295637">
        <w:rPr>
          <w:rFonts w:ascii="Times New Roman" w:hAnsi="Times New Roman"/>
          <w:szCs w:val="24"/>
        </w:rPr>
        <w:t xml:space="preserve"> </w:t>
      </w:r>
      <w:r>
        <w:rPr>
          <w:rFonts w:ascii="Times New Roman" w:hAnsi="Times New Roman"/>
          <w:szCs w:val="24"/>
        </w:rPr>
        <w:t>жена</w:t>
      </w:r>
      <w:r w:rsidR="00484375" w:rsidRPr="00295637">
        <w:rPr>
          <w:rFonts w:ascii="Times New Roman" w:hAnsi="Times New Roman"/>
          <w:szCs w:val="24"/>
        </w:rPr>
        <w:t xml:space="preserve"> </w:t>
      </w:r>
      <w:r>
        <w:rPr>
          <w:rFonts w:ascii="Times New Roman" w:hAnsi="Times New Roman"/>
          <w:szCs w:val="24"/>
        </w:rPr>
        <w:t>које</w:t>
      </w:r>
      <w:r w:rsidR="00484375" w:rsidRPr="00295637">
        <w:rPr>
          <w:rFonts w:ascii="Times New Roman" w:hAnsi="Times New Roman"/>
          <w:szCs w:val="24"/>
        </w:rPr>
        <w:t xml:space="preserve"> </w:t>
      </w:r>
      <w:r>
        <w:rPr>
          <w:rFonts w:ascii="Times New Roman" w:hAnsi="Times New Roman"/>
          <w:szCs w:val="24"/>
        </w:rPr>
        <w:t>раде</w:t>
      </w:r>
      <w:r w:rsidR="00484375" w:rsidRPr="00295637">
        <w:rPr>
          <w:rFonts w:ascii="Times New Roman" w:hAnsi="Times New Roman"/>
          <w:szCs w:val="24"/>
        </w:rPr>
        <w:t xml:space="preserve"> </w:t>
      </w:r>
      <w:r>
        <w:rPr>
          <w:rFonts w:ascii="Times New Roman" w:hAnsi="Times New Roman"/>
          <w:szCs w:val="24"/>
        </w:rPr>
        <w:t>пуно</w:t>
      </w:r>
      <w:r w:rsidR="00484375" w:rsidRPr="00295637">
        <w:rPr>
          <w:rFonts w:ascii="Times New Roman" w:hAnsi="Times New Roman"/>
          <w:szCs w:val="24"/>
        </w:rPr>
        <w:t xml:space="preserve"> </w:t>
      </w:r>
      <w:r>
        <w:rPr>
          <w:rFonts w:ascii="Times New Roman" w:hAnsi="Times New Roman"/>
          <w:szCs w:val="24"/>
        </w:rPr>
        <w:t>или</w:t>
      </w:r>
      <w:r w:rsidR="00484375" w:rsidRPr="00295637">
        <w:rPr>
          <w:rFonts w:ascii="Times New Roman" w:hAnsi="Times New Roman"/>
          <w:szCs w:val="24"/>
        </w:rPr>
        <w:t xml:space="preserve"> </w:t>
      </w:r>
      <w:r>
        <w:rPr>
          <w:rFonts w:ascii="Times New Roman" w:hAnsi="Times New Roman"/>
          <w:szCs w:val="24"/>
        </w:rPr>
        <w:t>краће</w:t>
      </w:r>
      <w:r w:rsidR="00484375" w:rsidRPr="00295637">
        <w:rPr>
          <w:rFonts w:ascii="Times New Roman" w:hAnsi="Times New Roman"/>
          <w:szCs w:val="24"/>
        </w:rPr>
        <w:t xml:space="preserve"> </w:t>
      </w:r>
      <w:r>
        <w:rPr>
          <w:rFonts w:ascii="Times New Roman" w:hAnsi="Times New Roman"/>
          <w:szCs w:val="24"/>
        </w:rPr>
        <w:t>од</w:t>
      </w:r>
      <w:r w:rsidR="00484375" w:rsidRPr="00295637">
        <w:rPr>
          <w:rFonts w:ascii="Times New Roman" w:hAnsi="Times New Roman"/>
          <w:szCs w:val="24"/>
        </w:rPr>
        <w:t xml:space="preserve"> </w:t>
      </w:r>
      <w:r>
        <w:rPr>
          <w:rFonts w:ascii="Times New Roman" w:hAnsi="Times New Roman"/>
          <w:szCs w:val="24"/>
        </w:rPr>
        <w:t>пуног</w:t>
      </w:r>
      <w:r w:rsidR="00484375" w:rsidRPr="00295637">
        <w:rPr>
          <w:rFonts w:ascii="Times New Roman" w:hAnsi="Times New Roman"/>
          <w:szCs w:val="24"/>
        </w:rPr>
        <w:t xml:space="preserve"> </w:t>
      </w:r>
      <w:r>
        <w:rPr>
          <w:rFonts w:ascii="Times New Roman" w:hAnsi="Times New Roman"/>
          <w:szCs w:val="24"/>
        </w:rPr>
        <w:t>радног</w:t>
      </w:r>
      <w:r w:rsidR="00484375" w:rsidRPr="00295637">
        <w:rPr>
          <w:rFonts w:ascii="Times New Roman" w:hAnsi="Times New Roman"/>
          <w:szCs w:val="24"/>
        </w:rPr>
        <w:t xml:space="preserve"> </w:t>
      </w:r>
      <w:r>
        <w:rPr>
          <w:rFonts w:ascii="Times New Roman" w:hAnsi="Times New Roman"/>
          <w:szCs w:val="24"/>
        </w:rPr>
        <w:t>времена</w:t>
      </w:r>
      <w:r w:rsidR="00484375" w:rsidRPr="00295637">
        <w:rPr>
          <w:rFonts w:ascii="Times New Roman" w:hAnsi="Times New Roman"/>
          <w:szCs w:val="24"/>
        </w:rPr>
        <w:t xml:space="preserve">, </w:t>
      </w:r>
      <w:r>
        <w:rPr>
          <w:rFonts w:ascii="Times New Roman" w:hAnsi="Times New Roman"/>
          <w:szCs w:val="24"/>
        </w:rPr>
        <w:t>запосленост</w:t>
      </w:r>
      <w:r w:rsidR="00484375" w:rsidRPr="00295637">
        <w:rPr>
          <w:rFonts w:ascii="Times New Roman" w:hAnsi="Times New Roman"/>
          <w:szCs w:val="24"/>
        </w:rPr>
        <w:t xml:space="preserve"> </w:t>
      </w:r>
      <w:r>
        <w:rPr>
          <w:rFonts w:ascii="Times New Roman" w:hAnsi="Times New Roman"/>
          <w:szCs w:val="24"/>
        </w:rPr>
        <w:t>према</w:t>
      </w:r>
      <w:r w:rsidR="00484375" w:rsidRPr="00295637">
        <w:rPr>
          <w:rFonts w:ascii="Times New Roman" w:hAnsi="Times New Roman"/>
          <w:szCs w:val="24"/>
        </w:rPr>
        <w:t xml:space="preserve"> </w:t>
      </w:r>
      <w:r>
        <w:rPr>
          <w:rFonts w:ascii="Times New Roman" w:hAnsi="Times New Roman"/>
          <w:szCs w:val="24"/>
        </w:rPr>
        <w:t>области</w:t>
      </w:r>
      <w:r w:rsidR="00484375" w:rsidRPr="00295637">
        <w:rPr>
          <w:rFonts w:ascii="Times New Roman" w:hAnsi="Times New Roman"/>
          <w:szCs w:val="24"/>
        </w:rPr>
        <w:t xml:space="preserve"> </w:t>
      </w:r>
      <w:r>
        <w:rPr>
          <w:rFonts w:ascii="Times New Roman" w:hAnsi="Times New Roman"/>
          <w:szCs w:val="24"/>
        </w:rPr>
        <w:t>дјелатности</w:t>
      </w:r>
      <w:r w:rsidR="00484375" w:rsidRPr="00295637">
        <w:rPr>
          <w:rFonts w:ascii="Times New Roman" w:hAnsi="Times New Roman"/>
          <w:szCs w:val="24"/>
        </w:rPr>
        <w:t xml:space="preserve"> </w:t>
      </w:r>
      <w:r>
        <w:rPr>
          <w:rFonts w:ascii="Times New Roman" w:hAnsi="Times New Roman"/>
          <w:szCs w:val="24"/>
        </w:rPr>
        <w:t>и</w:t>
      </w:r>
      <w:r w:rsidR="00484375" w:rsidRPr="00295637">
        <w:rPr>
          <w:rFonts w:ascii="Times New Roman" w:hAnsi="Times New Roman"/>
          <w:szCs w:val="24"/>
        </w:rPr>
        <w:t xml:space="preserve"> </w:t>
      </w:r>
      <w:r>
        <w:rPr>
          <w:rFonts w:ascii="Times New Roman" w:hAnsi="Times New Roman"/>
          <w:szCs w:val="24"/>
        </w:rPr>
        <w:t>сл</w:t>
      </w:r>
      <w:r w:rsidR="00484375" w:rsidRPr="00295637">
        <w:rPr>
          <w:rFonts w:ascii="Times New Roman" w:hAnsi="Times New Roman"/>
          <w:szCs w:val="24"/>
        </w:rPr>
        <w:t xml:space="preserve">.). </w:t>
      </w:r>
      <w:r>
        <w:rPr>
          <w:rFonts w:ascii="Times New Roman" w:hAnsi="Times New Roman"/>
          <w:szCs w:val="24"/>
        </w:rPr>
        <w:t>Ови</w:t>
      </w:r>
      <w:r w:rsidR="00484375" w:rsidRPr="00295637">
        <w:rPr>
          <w:rFonts w:ascii="Times New Roman" w:hAnsi="Times New Roman"/>
          <w:szCs w:val="24"/>
        </w:rPr>
        <w:t xml:space="preserve"> </w:t>
      </w:r>
      <w:r>
        <w:rPr>
          <w:rFonts w:ascii="Times New Roman" w:hAnsi="Times New Roman"/>
          <w:szCs w:val="24"/>
        </w:rPr>
        <w:t>подаци</w:t>
      </w:r>
      <w:r w:rsidR="00484375" w:rsidRPr="00295637">
        <w:rPr>
          <w:rFonts w:ascii="Times New Roman" w:hAnsi="Times New Roman"/>
          <w:szCs w:val="24"/>
        </w:rPr>
        <w:t xml:space="preserve"> </w:t>
      </w:r>
      <w:r>
        <w:rPr>
          <w:rFonts w:ascii="Times New Roman" w:hAnsi="Times New Roman"/>
          <w:szCs w:val="24"/>
        </w:rPr>
        <w:t>се</w:t>
      </w:r>
      <w:r w:rsidR="00484375" w:rsidRPr="00295637">
        <w:rPr>
          <w:rFonts w:ascii="Times New Roman" w:hAnsi="Times New Roman"/>
          <w:szCs w:val="24"/>
        </w:rPr>
        <w:t xml:space="preserve"> </w:t>
      </w:r>
      <w:r>
        <w:rPr>
          <w:rFonts w:ascii="Times New Roman" w:hAnsi="Times New Roman"/>
          <w:szCs w:val="24"/>
        </w:rPr>
        <w:t>редовно</w:t>
      </w:r>
      <w:r w:rsidR="00484375" w:rsidRPr="00295637">
        <w:rPr>
          <w:rFonts w:ascii="Times New Roman" w:hAnsi="Times New Roman"/>
          <w:szCs w:val="24"/>
        </w:rPr>
        <w:t xml:space="preserve"> </w:t>
      </w:r>
      <w:r>
        <w:rPr>
          <w:rFonts w:ascii="Times New Roman" w:hAnsi="Times New Roman"/>
          <w:szCs w:val="24"/>
        </w:rPr>
        <w:t>објављују</w:t>
      </w:r>
      <w:r w:rsidR="00484375" w:rsidRPr="00295637">
        <w:rPr>
          <w:rFonts w:ascii="Times New Roman" w:hAnsi="Times New Roman"/>
          <w:szCs w:val="24"/>
        </w:rPr>
        <w:t xml:space="preserve"> </w:t>
      </w:r>
      <w:r>
        <w:rPr>
          <w:rFonts w:ascii="Times New Roman" w:hAnsi="Times New Roman"/>
          <w:szCs w:val="24"/>
        </w:rPr>
        <w:t>у</w:t>
      </w:r>
      <w:r w:rsidR="00484375" w:rsidRPr="00295637">
        <w:rPr>
          <w:rFonts w:ascii="Times New Roman" w:hAnsi="Times New Roman"/>
          <w:szCs w:val="24"/>
        </w:rPr>
        <w:t xml:space="preserve"> </w:t>
      </w:r>
      <w:r>
        <w:rPr>
          <w:rFonts w:ascii="Times New Roman" w:hAnsi="Times New Roman"/>
          <w:szCs w:val="24"/>
        </w:rPr>
        <w:t>виду</w:t>
      </w:r>
      <w:r w:rsidR="00484375" w:rsidRPr="00295637">
        <w:rPr>
          <w:rFonts w:ascii="Times New Roman" w:hAnsi="Times New Roman"/>
          <w:szCs w:val="24"/>
        </w:rPr>
        <w:t xml:space="preserve"> </w:t>
      </w:r>
      <w:r>
        <w:rPr>
          <w:rFonts w:ascii="Times New Roman" w:hAnsi="Times New Roman"/>
          <w:szCs w:val="24"/>
        </w:rPr>
        <w:t>годишњег</w:t>
      </w:r>
      <w:r w:rsidR="00484375" w:rsidRPr="00295637">
        <w:rPr>
          <w:rFonts w:ascii="Times New Roman" w:hAnsi="Times New Roman"/>
          <w:szCs w:val="24"/>
        </w:rPr>
        <w:t xml:space="preserve"> </w:t>
      </w:r>
      <w:r>
        <w:rPr>
          <w:rFonts w:ascii="Times New Roman" w:hAnsi="Times New Roman"/>
          <w:szCs w:val="24"/>
        </w:rPr>
        <w:t>саоп</w:t>
      </w:r>
      <w:r w:rsidR="00870C36">
        <w:rPr>
          <w:rFonts w:ascii="Times New Roman" w:hAnsi="Times New Roman"/>
          <w:szCs w:val="24"/>
          <w:lang w:val="sr-Cyrl-BA"/>
        </w:rPr>
        <w:t>шт</w:t>
      </w:r>
      <w:r>
        <w:rPr>
          <w:rFonts w:ascii="Times New Roman" w:hAnsi="Times New Roman"/>
          <w:szCs w:val="24"/>
        </w:rPr>
        <w:t>ења</w:t>
      </w:r>
      <w:r w:rsidR="00484375" w:rsidRPr="00295637">
        <w:rPr>
          <w:rFonts w:ascii="Times New Roman" w:hAnsi="Times New Roman"/>
          <w:szCs w:val="24"/>
        </w:rPr>
        <w:t xml:space="preserve"> </w:t>
      </w:r>
      <w:r>
        <w:rPr>
          <w:rFonts w:ascii="Times New Roman" w:hAnsi="Times New Roman"/>
          <w:szCs w:val="24"/>
        </w:rPr>
        <w:t>и</w:t>
      </w:r>
      <w:r w:rsidR="00484375" w:rsidRPr="00295637">
        <w:rPr>
          <w:rFonts w:ascii="Times New Roman" w:hAnsi="Times New Roman"/>
          <w:szCs w:val="24"/>
        </w:rPr>
        <w:t xml:space="preserve"> </w:t>
      </w:r>
      <w:r>
        <w:rPr>
          <w:rFonts w:ascii="Times New Roman" w:hAnsi="Times New Roman"/>
          <w:szCs w:val="24"/>
        </w:rPr>
        <w:t>публикације</w:t>
      </w:r>
      <w:r w:rsidR="00484375" w:rsidRPr="00295637">
        <w:rPr>
          <w:rFonts w:ascii="Times New Roman" w:hAnsi="Times New Roman"/>
          <w:szCs w:val="24"/>
        </w:rPr>
        <w:t xml:space="preserve"> </w:t>
      </w:r>
      <w:r>
        <w:rPr>
          <w:rFonts w:ascii="Times New Roman" w:hAnsi="Times New Roman"/>
          <w:szCs w:val="24"/>
        </w:rPr>
        <w:t>Анкете</w:t>
      </w:r>
      <w:r w:rsidR="00484375" w:rsidRPr="00295637">
        <w:rPr>
          <w:rFonts w:ascii="Times New Roman" w:hAnsi="Times New Roman"/>
          <w:szCs w:val="24"/>
        </w:rPr>
        <w:t xml:space="preserve"> </w:t>
      </w:r>
      <w:r>
        <w:rPr>
          <w:rFonts w:ascii="Times New Roman" w:hAnsi="Times New Roman"/>
          <w:szCs w:val="24"/>
        </w:rPr>
        <w:t>о</w:t>
      </w:r>
      <w:r w:rsidR="00484375" w:rsidRPr="00295637">
        <w:rPr>
          <w:rFonts w:ascii="Times New Roman" w:hAnsi="Times New Roman"/>
          <w:szCs w:val="24"/>
        </w:rPr>
        <w:t xml:space="preserve"> </w:t>
      </w:r>
      <w:r>
        <w:rPr>
          <w:rFonts w:ascii="Times New Roman" w:hAnsi="Times New Roman"/>
          <w:szCs w:val="24"/>
        </w:rPr>
        <w:t>радној</w:t>
      </w:r>
      <w:r w:rsidR="00484375" w:rsidRPr="00295637">
        <w:rPr>
          <w:rFonts w:ascii="Times New Roman" w:hAnsi="Times New Roman"/>
          <w:szCs w:val="24"/>
        </w:rPr>
        <w:t xml:space="preserve"> </w:t>
      </w:r>
      <w:r>
        <w:rPr>
          <w:rFonts w:ascii="Times New Roman" w:hAnsi="Times New Roman"/>
          <w:szCs w:val="24"/>
        </w:rPr>
        <w:t>снази</w:t>
      </w:r>
      <w:r w:rsidR="00484375" w:rsidRPr="00295637">
        <w:rPr>
          <w:rFonts w:ascii="Times New Roman" w:hAnsi="Times New Roman"/>
          <w:szCs w:val="24"/>
        </w:rPr>
        <w:t xml:space="preserve">, </w:t>
      </w:r>
      <w:r>
        <w:rPr>
          <w:rFonts w:ascii="Times New Roman" w:hAnsi="Times New Roman"/>
          <w:szCs w:val="24"/>
        </w:rPr>
        <w:t>а</w:t>
      </w:r>
      <w:r w:rsidR="00484375" w:rsidRPr="00295637">
        <w:rPr>
          <w:rFonts w:ascii="Times New Roman" w:hAnsi="Times New Roman"/>
          <w:szCs w:val="24"/>
        </w:rPr>
        <w:t xml:space="preserve"> </w:t>
      </w:r>
      <w:r>
        <w:rPr>
          <w:rFonts w:ascii="Times New Roman" w:hAnsi="Times New Roman"/>
          <w:szCs w:val="24"/>
        </w:rPr>
        <w:t>велики</w:t>
      </w:r>
      <w:r w:rsidR="00484375" w:rsidRPr="00295637">
        <w:rPr>
          <w:rFonts w:ascii="Times New Roman" w:hAnsi="Times New Roman"/>
          <w:szCs w:val="24"/>
        </w:rPr>
        <w:t xml:space="preserve"> </w:t>
      </w:r>
      <w:r>
        <w:rPr>
          <w:rFonts w:ascii="Times New Roman" w:hAnsi="Times New Roman"/>
          <w:szCs w:val="24"/>
        </w:rPr>
        <w:t>број</w:t>
      </w:r>
      <w:r w:rsidR="00484375" w:rsidRPr="00295637">
        <w:rPr>
          <w:rFonts w:ascii="Times New Roman" w:hAnsi="Times New Roman"/>
          <w:szCs w:val="24"/>
        </w:rPr>
        <w:t xml:space="preserve"> </w:t>
      </w:r>
      <w:r>
        <w:rPr>
          <w:rFonts w:ascii="Times New Roman" w:hAnsi="Times New Roman"/>
          <w:szCs w:val="24"/>
        </w:rPr>
        <w:t>индикатора</w:t>
      </w:r>
      <w:r w:rsidR="00484375" w:rsidRPr="00295637">
        <w:rPr>
          <w:rFonts w:ascii="Times New Roman" w:hAnsi="Times New Roman"/>
          <w:szCs w:val="24"/>
        </w:rPr>
        <w:t xml:space="preserve"> </w:t>
      </w:r>
      <w:r>
        <w:rPr>
          <w:rFonts w:ascii="Times New Roman" w:hAnsi="Times New Roman"/>
          <w:szCs w:val="24"/>
        </w:rPr>
        <w:t>се</w:t>
      </w:r>
      <w:r w:rsidR="00484375" w:rsidRPr="00295637">
        <w:rPr>
          <w:rFonts w:ascii="Times New Roman" w:hAnsi="Times New Roman"/>
          <w:szCs w:val="24"/>
        </w:rPr>
        <w:t xml:space="preserve"> </w:t>
      </w:r>
      <w:r>
        <w:rPr>
          <w:rFonts w:ascii="Times New Roman" w:hAnsi="Times New Roman"/>
          <w:szCs w:val="24"/>
        </w:rPr>
        <w:t>објављује</w:t>
      </w:r>
      <w:r w:rsidR="00484375" w:rsidRPr="00295637">
        <w:rPr>
          <w:rFonts w:ascii="Times New Roman" w:hAnsi="Times New Roman"/>
          <w:szCs w:val="24"/>
        </w:rPr>
        <w:t xml:space="preserve"> </w:t>
      </w:r>
      <w:r>
        <w:rPr>
          <w:rFonts w:ascii="Times New Roman" w:hAnsi="Times New Roman"/>
          <w:szCs w:val="24"/>
        </w:rPr>
        <w:t>и</w:t>
      </w:r>
      <w:r w:rsidR="00484375" w:rsidRPr="00295637">
        <w:rPr>
          <w:rFonts w:ascii="Times New Roman" w:hAnsi="Times New Roman"/>
          <w:szCs w:val="24"/>
        </w:rPr>
        <w:t xml:space="preserve"> </w:t>
      </w:r>
      <w:r>
        <w:rPr>
          <w:rFonts w:ascii="Times New Roman" w:hAnsi="Times New Roman"/>
          <w:szCs w:val="24"/>
        </w:rPr>
        <w:t>у</w:t>
      </w:r>
      <w:r w:rsidR="00484375" w:rsidRPr="00295637">
        <w:rPr>
          <w:rFonts w:ascii="Times New Roman" w:hAnsi="Times New Roman"/>
          <w:szCs w:val="24"/>
        </w:rPr>
        <w:t xml:space="preserve"> </w:t>
      </w:r>
      <w:r>
        <w:rPr>
          <w:rFonts w:ascii="Times New Roman" w:hAnsi="Times New Roman"/>
          <w:szCs w:val="24"/>
        </w:rPr>
        <w:t>оквиру</w:t>
      </w:r>
      <w:r w:rsidR="00484375" w:rsidRPr="00295637">
        <w:rPr>
          <w:rFonts w:ascii="Times New Roman" w:hAnsi="Times New Roman"/>
          <w:szCs w:val="24"/>
        </w:rPr>
        <w:t xml:space="preserve"> </w:t>
      </w:r>
      <w:r>
        <w:rPr>
          <w:rFonts w:ascii="Times New Roman" w:hAnsi="Times New Roman"/>
          <w:szCs w:val="24"/>
        </w:rPr>
        <w:t>публикације</w:t>
      </w:r>
      <w:r w:rsidR="00484375" w:rsidRPr="00295637">
        <w:rPr>
          <w:rFonts w:ascii="Times New Roman" w:hAnsi="Times New Roman"/>
          <w:szCs w:val="24"/>
        </w:rPr>
        <w:t xml:space="preserve"> „</w:t>
      </w:r>
      <w:r>
        <w:rPr>
          <w:rFonts w:ascii="Times New Roman" w:hAnsi="Times New Roman"/>
          <w:szCs w:val="24"/>
        </w:rPr>
        <w:t>Жене</w:t>
      </w:r>
      <w:r w:rsidR="00484375" w:rsidRPr="00295637">
        <w:rPr>
          <w:rFonts w:ascii="Times New Roman" w:hAnsi="Times New Roman"/>
          <w:szCs w:val="24"/>
        </w:rPr>
        <w:t xml:space="preserve"> </w:t>
      </w:r>
      <w:r>
        <w:rPr>
          <w:rFonts w:ascii="Times New Roman" w:hAnsi="Times New Roman"/>
          <w:szCs w:val="24"/>
        </w:rPr>
        <w:t>и</w:t>
      </w:r>
      <w:r w:rsidR="00484375" w:rsidRPr="00295637">
        <w:rPr>
          <w:rFonts w:ascii="Times New Roman" w:hAnsi="Times New Roman"/>
          <w:szCs w:val="24"/>
        </w:rPr>
        <w:t xml:space="preserve"> </w:t>
      </w:r>
      <w:r>
        <w:rPr>
          <w:rFonts w:ascii="Times New Roman" w:hAnsi="Times New Roman"/>
          <w:szCs w:val="24"/>
        </w:rPr>
        <w:t>мушкарци</w:t>
      </w:r>
      <w:r w:rsidR="00484375" w:rsidRPr="00295637">
        <w:rPr>
          <w:rFonts w:ascii="Times New Roman" w:hAnsi="Times New Roman"/>
          <w:szCs w:val="24"/>
        </w:rPr>
        <w:t xml:space="preserve"> </w:t>
      </w:r>
      <w:r>
        <w:rPr>
          <w:rFonts w:ascii="Times New Roman" w:hAnsi="Times New Roman"/>
          <w:szCs w:val="24"/>
        </w:rPr>
        <w:t>у</w:t>
      </w:r>
      <w:r w:rsidR="009E54A2" w:rsidRPr="00295637">
        <w:rPr>
          <w:rFonts w:ascii="Times New Roman" w:hAnsi="Times New Roman"/>
          <w:szCs w:val="24"/>
        </w:rPr>
        <w:t xml:space="preserve"> </w:t>
      </w:r>
      <w:r>
        <w:rPr>
          <w:rFonts w:ascii="Times New Roman" w:hAnsi="Times New Roman"/>
          <w:szCs w:val="24"/>
        </w:rPr>
        <w:t>БиХ</w:t>
      </w:r>
      <w:r w:rsidR="009E54A2" w:rsidRPr="00295637">
        <w:rPr>
          <w:rFonts w:ascii="Times New Roman" w:hAnsi="Times New Roman"/>
          <w:szCs w:val="24"/>
        </w:rPr>
        <w:t xml:space="preserve"> </w:t>
      </w:r>
      <w:r w:rsidR="00484375" w:rsidRPr="00295637">
        <w:rPr>
          <w:rFonts w:ascii="Times New Roman" w:hAnsi="Times New Roman"/>
          <w:szCs w:val="24"/>
        </w:rPr>
        <w:t xml:space="preserve">“, </w:t>
      </w:r>
      <w:r>
        <w:rPr>
          <w:rFonts w:ascii="Times New Roman" w:hAnsi="Times New Roman"/>
          <w:szCs w:val="24"/>
        </w:rPr>
        <w:t>укључујући</w:t>
      </w:r>
      <w:r w:rsidR="00484375" w:rsidRPr="00295637">
        <w:rPr>
          <w:rFonts w:ascii="Times New Roman" w:hAnsi="Times New Roman"/>
          <w:szCs w:val="24"/>
        </w:rPr>
        <w:t xml:space="preserve"> </w:t>
      </w:r>
      <w:r>
        <w:rPr>
          <w:rFonts w:ascii="Times New Roman" w:hAnsi="Times New Roman"/>
          <w:szCs w:val="24"/>
        </w:rPr>
        <w:t>и</w:t>
      </w:r>
      <w:r w:rsidR="00484375" w:rsidRPr="00295637">
        <w:rPr>
          <w:rFonts w:ascii="Times New Roman" w:hAnsi="Times New Roman"/>
          <w:szCs w:val="24"/>
        </w:rPr>
        <w:t xml:space="preserve"> </w:t>
      </w:r>
      <w:r>
        <w:rPr>
          <w:rFonts w:ascii="Times New Roman" w:hAnsi="Times New Roman"/>
          <w:szCs w:val="24"/>
        </w:rPr>
        <w:t>податке</w:t>
      </w:r>
      <w:r w:rsidR="00484375" w:rsidRPr="00295637">
        <w:rPr>
          <w:rFonts w:ascii="Times New Roman" w:hAnsi="Times New Roman"/>
          <w:szCs w:val="24"/>
        </w:rPr>
        <w:t xml:space="preserve"> </w:t>
      </w:r>
      <w:r>
        <w:rPr>
          <w:rFonts w:ascii="Times New Roman" w:hAnsi="Times New Roman"/>
          <w:szCs w:val="24"/>
        </w:rPr>
        <w:t>о</w:t>
      </w:r>
      <w:r w:rsidR="00484375" w:rsidRPr="00295637">
        <w:rPr>
          <w:rFonts w:ascii="Times New Roman" w:hAnsi="Times New Roman"/>
          <w:szCs w:val="24"/>
        </w:rPr>
        <w:t xml:space="preserve"> </w:t>
      </w:r>
      <w:r>
        <w:rPr>
          <w:rFonts w:ascii="Times New Roman" w:hAnsi="Times New Roman"/>
          <w:szCs w:val="24"/>
        </w:rPr>
        <w:t>приходима</w:t>
      </w:r>
      <w:r w:rsidR="00484375" w:rsidRPr="00295637">
        <w:rPr>
          <w:rFonts w:ascii="Times New Roman" w:hAnsi="Times New Roman"/>
          <w:szCs w:val="24"/>
        </w:rPr>
        <w:t xml:space="preserve">, </w:t>
      </w:r>
      <w:r>
        <w:rPr>
          <w:rFonts w:ascii="Times New Roman" w:hAnsi="Times New Roman"/>
          <w:szCs w:val="24"/>
        </w:rPr>
        <w:t>који</w:t>
      </w:r>
      <w:r w:rsidR="00484375" w:rsidRPr="00295637">
        <w:rPr>
          <w:rFonts w:ascii="Times New Roman" w:hAnsi="Times New Roman"/>
          <w:szCs w:val="24"/>
        </w:rPr>
        <w:t xml:space="preserve"> </w:t>
      </w:r>
      <w:r>
        <w:rPr>
          <w:rFonts w:ascii="Times New Roman" w:hAnsi="Times New Roman"/>
          <w:szCs w:val="24"/>
        </w:rPr>
        <w:t>се</w:t>
      </w:r>
      <w:r w:rsidR="00484375" w:rsidRPr="00295637">
        <w:rPr>
          <w:rFonts w:ascii="Times New Roman" w:hAnsi="Times New Roman"/>
          <w:szCs w:val="24"/>
        </w:rPr>
        <w:t xml:space="preserve"> </w:t>
      </w:r>
      <w:r>
        <w:rPr>
          <w:rFonts w:ascii="Times New Roman" w:hAnsi="Times New Roman"/>
          <w:szCs w:val="24"/>
        </w:rPr>
        <w:t>добијају</w:t>
      </w:r>
      <w:r w:rsidR="00484375" w:rsidRPr="00295637">
        <w:rPr>
          <w:rFonts w:ascii="Times New Roman" w:hAnsi="Times New Roman"/>
          <w:szCs w:val="24"/>
        </w:rPr>
        <w:t xml:space="preserve"> </w:t>
      </w:r>
      <w:r>
        <w:rPr>
          <w:rFonts w:ascii="Times New Roman" w:hAnsi="Times New Roman"/>
          <w:szCs w:val="24"/>
        </w:rPr>
        <w:t>из</w:t>
      </w:r>
      <w:r w:rsidR="00484375" w:rsidRPr="00295637">
        <w:rPr>
          <w:rFonts w:ascii="Times New Roman" w:hAnsi="Times New Roman"/>
          <w:szCs w:val="24"/>
        </w:rPr>
        <w:t xml:space="preserve"> </w:t>
      </w:r>
      <w:r>
        <w:rPr>
          <w:rFonts w:ascii="Times New Roman" w:hAnsi="Times New Roman"/>
          <w:szCs w:val="24"/>
        </w:rPr>
        <w:t>администра</w:t>
      </w:r>
      <w:r w:rsidR="00870C36">
        <w:rPr>
          <w:rFonts w:ascii="Times New Roman" w:hAnsi="Times New Roman"/>
          <w:szCs w:val="24"/>
          <w:lang w:val="sr-Cyrl-BA"/>
        </w:rPr>
        <w:t>тивних</w:t>
      </w:r>
      <w:r w:rsidR="00484375" w:rsidRPr="00295637">
        <w:rPr>
          <w:rFonts w:ascii="Times New Roman" w:hAnsi="Times New Roman"/>
          <w:szCs w:val="24"/>
        </w:rPr>
        <w:t xml:space="preserve"> </w:t>
      </w:r>
      <w:r>
        <w:rPr>
          <w:rFonts w:ascii="Times New Roman" w:hAnsi="Times New Roman"/>
          <w:szCs w:val="24"/>
        </w:rPr>
        <w:t>извора</w:t>
      </w:r>
      <w:r w:rsidR="00484375" w:rsidRPr="00295637">
        <w:rPr>
          <w:rFonts w:ascii="Times New Roman" w:hAnsi="Times New Roman"/>
          <w:szCs w:val="24"/>
        </w:rPr>
        <w:t>.</w:t>
      </w:r>
    </w:p>
    <w:p w:rsidR="00484375" w:rsidRPr="00295637" w:rsidRDefault="00484375" w:rsidP="0086268D">
      <w:pPr>
        <w:jc w:val="both"/>
        <w:rPr>
          <w:rFonts w:asciiTheme="minorHAnsi" w:hAnsiTheme="minorHAnsi" w:cstheme="minorHAnsi"/>
          <w:szCs w:val="24"/>
        </w:rPr>
      </w:pPr>
    </w:p>
    <w:p w:rsidR="00484375" w:rsidRPr="00295637" w:rsidRDefault="00C6214E" w:rsidP="0086268D">
      <w:pPr>
        <w:jc w:val="both"/>
        <w:rPr>
          <w:rFonts w:ascii="Times New Roman" w:hAnsi="Times New Roman"/>
          <w:szCs w:val="24"/>
        </w:rPr>
      </w:pPr>
      <w:r>
        <w:rPr>
          <w:rFonts w:ascii="Times New Roman" w:hAnsi="Times New Roman"/>
          <w:szCs w:val="24"/>
        </w:rPr>
        <w:t>Анкета</w:t>
      </w:r>
      <w:r w:rsidR="00484375" w:rsidRPr="00295637">
        <w:rPr>
          <w:rFonts w:ascii="Times New Roman" w:hAnsi="Times New Roman"/>
          <w:szCs w:val="24"/>
        </w:rPr>
        <w:t xml:space="preserve"> </w:t>
      </w:r>
      <w:r>
        <w:rPr>
          <w:rFonts w:ascii="Times New Roman" w:hAnsi="Times New Roman"/>
          <w:szCs w:val="24"/>
        </w:rPr>
        <w:t>о</w:t>
      </w:r>
      <w:r w:rsidR="00484375" w:rsidRPr="00295637">
        <w:rPr>
          <w:rFonts w:ascii="Times New Roman" w:hAnsi="Times New Roman"/>
          <w:szCs w:val="24"/>
        </w:rPr>
        <w:t xml:space="preserve"> </w:t>
      </w:r>
      <w:r>
        <w:rPr>
          <w:rFonts w:ascii="Times New Roman" w:hAnsi="Times New Roman"/>
          <w:szCs w:val="24"/>
        </w:rPr>
        <w:t>радној</w:t>
      </w:r>
      <w:r w:rsidR="00484375" w:rsidRPr="00295637">
        <w:rPr>
          <w:rFonts w:ascii="Times New Roman" w:hAnsi="Times New Roman"/>
          <w:szCs w:val="24"/>
        </w:rPr>
        <w:t xml:space="preserve"> </w:t>
      </w:r>
      <w:r>
        <w:rPr>
          <w:rFonts w:ascii="Times New Roman" w:hAnsi="Times New Roman"/>
          <w:szCs w:val="24"/>
        </w:rPr>
        <w:t>снази</w:t>
      </w:r>
      <w:r w:rsidR="00484375" w:rsidRPr="00295637">
        <w:rPr>
          <w:rFonts w:ascii="Times New Roman" w:hAnsi="Times New Roman"/>
          <w:szCs w:val="24"/>
        </w:rPr>
        <w:t xml:space="preserve">, </w:t>
      </w:r>
      <w:r>
        <w:rPr>
          <w:rFonts w:ascii="Times New Roman" w:hAnsi="Times New Roman"/>
          <w:szCs w:val="24"/>
        </w:rPr>
        <w:t>као</w:t>
      </w:r>
      <w:r w:rsidR="00484375" w:rsidRPr="00295637">
        <w:rPr>
          <w:rFonts w:ascii="Times New Roman" w:hAnsi="Times New Roman"/>
          <w:szCs w:val="24"/>
        </w:rPr>
        <w:t xml:space="preserve"> </w:t>
      </w:r>
      <w:r>
        <w:rPr>
          <w:rFonts w:ascii="Times New Roman" w:hAnsi="Times New Roman"/>
          <w:szCs w:val="24"/>
        </w:rPr>
        <w:t>главни</w:t>
      </w:r>
      <w:r w:rsidR="00484375" w:rsidRPr="00295637">
        <w:rPr>
          <w:rFonts w:ascii="Times New Roman" w:hAnsi="Times New Roman"/>
          <w:szCs w:val="24"/>
        </w:rPr>
        <w:t xml:space="preserve"> </w:t>
      </w:r>
      <w:r>
        <w:rPr>
          <w:rFonts w:ascii="Times New Roman" w:hAnsi="Times New Roman"/>
          <w:szCs w:val="24"/>
        </w:rPr>
        <w:t>извор</w:t>
      </w:r>
      <w:r w:rsidR="00484375" w:rsidRPr="00295637">
        <w:rPr>
          <w:rFonts w:ascii="Times New Roman" w:hAnsi="Times New Roman"/>
          <w:szCs w:val="24"/>
        </w:rPr>
        <w:t xml:space="preserve"> </w:t>
      </w:r>
      <w:r>
        <w:rPr>
          <w:rFonts w:ascii="Times New Roman" w:hAnsi="Times New Roman"/>
          <w:szCs w:val="24"/>
        </w:rPr>
        <w:t>података</w:t>
      </w:r>
      <w:r w:rsidR="00484375" w:rsidRPr="00295637">
        <w:rPr>
          <w:rFonts w:ascii="Times New Roman" w:hAnsi="Times New Roman"/>
          <w:szCs w:val="24"/>
        </w:rPr>
        <w:t xml:space="preserve"> </w:t>
      </w:r>
      <w:r>
        <w:rPr>
          <w:rFonts w:ascii="Times New Roman" w:hAnsi="Times New Roman"/>
          <w:szCs w:val="24"/>
        </w:rPr>
        <w:t>о</w:t>
      </w:r>
      <w:r w:rsidR="00484375" w:rsidRPr="00295637">
        <w:rPr>
          <w:rFonts w:ascii="Times New Roman" w:hAnsi="Times New Roman"/>
          <w:szCs w:val="24"/>
        </w:rPr>
        <w:t xml:space="preserve"> </w:t>
      </w:r>
      <w:r>
        <w:rPr>
          <w:rFonts w:ascii="Times New Roman" w:hAnsi="Times New Roman"/>
          <w:szCs w:val="24"/>
        </w:rPr>
        <w:t>тржишту</w:t>
      </w:r>
      <w:r w:rsidR="00484375" w:rsidRPr="00295637">
        <w:rPr>
          <w:rFonts w:ascii="Times New Roman" w:hAnsi="Times New Roman"/>
          <w:szCs w:val="24"/>
        </w:rPr>
        <w:t xml:space="preserve"> </w:t>
      </w:r>
      <w:r>
        <w:rPr>
          <w:rFonts w:ascii="Times New Roman" w:hAnsi="Times New Roman"/>
          <w:szCs w:val="24"/>
        </w:rPr>
        <w:t>рада</w:t>
      </w:r>
      <w:r w:rsidR="00484375" w:rsidRPr="00295637">
        <w:rPr>
          <w:rFonts w:ascii="Times New Roman" w:hAnsi="Times New Roman"/>
          <w:szCs w:val="24"/>
        </w:rPr>
        <w:t xml:space="preserve"> </w:t>
      </w:r>
      <w:r>
        <w:rPr>
          <w:rFonts w:ascii="Times New Roman" w:hAnsi="Times New Roman"/>
          <w:szCs w:val="24"/>
        </w:rPr>
        <w:t>се</w:t>
      </w:r>
      <w:r w:rsidR="00484375" w:rsidRPr="00295637">
        <w:rPr>
          <w:rFonts w:ascii="Times New Roman" w:hAnsi="Times New Roman"/>
          <w:szCs w:val="24"/>
        </w:rPr>
        <w:t xml:space="preserve"> </w:t>
      </w:r>
      <w:r>
        <w:rPr>
          <w:rFonts w:ascii="Times New Roman" w:hAnsi="Times New Roman"/>
          <w:szCs w:val="24"/>
        </w:rPr>
        <w:t>проводи</w:t>
      </w:r>
      <w:r w:rsidR="00484375" w:rsidRPr="00295637">
        <w:rPr>
          <w:rFonts w:ascii="Times New Roman" w:hAnsi="Times New Roman"/>
          <w:szCs w:val="24"/>
        </w:rPr>
        <w:t xml:space="preserve"> </w:t>
      </w:r>
      <w:r>
        <w:rPr>
          <w:rFonts w:ascii="Times New Roman" w:hAnsi="Times New Roman"/>
          <w:szCs w:val="24"/>
        </w:rPr>
        <w:t>према</w:t>
      </w:r>
      <w:r w:rsidR="00484375" w:rsidRPr="00295637">
        <w:rPr>
          <w:rFonts w:ascii="Times New Roman" w:hAnsi="Times New Roman"/>
          <w:szCs w:val="24"/>
        </w:rPr>
        <w:t xml:space="preserve"> </w:t>
      </w:r>
      <w:r>
        <w:rPr>
          <w:rFonts w:ascii="Times New Roman" w:hAnsi="Times New Roman"/>
          <w:szCs w:val="24"/>
        </w:rPr>
        <w:t>јасно</w:t>
      </w:r>
      <w:r w:rsidR="00484375" w:rsidRPr="00295637">
        <w:rPr>
          <w:rFonts w:ascii="Times New Roman" w:hAnsi="Times New Roman"/>
          <w:szCs w:val="24"/>
        </w:rPr>
        <w:t xml:space="preserve"> </w:t>
      </w:r>
      <w:r>
        <w:rPr>
          <w:rFonts w:ascii="Times New Roman" w:hAnsi="Times New Roman"/>
          <w:szCs w:val="24"/>
        </w:rPr>
        <w:t>дефини</w:t>
      </w:r>
      <w:r w:rsidR="00870C36">
        <w:rPr>
          <w:rFonts w:ascii="Times New Roman" w:hAnsi="Times New Roman"/>
          <w:szCs w:val="24"/>
          <w:lang w:val="sr-Cyrl-BA"/>
        </w:rPr>
        <w:t>с</w:t>
      </w:r>
      <w:r>
        <w:rPr>
          <w:rFonts w:ascii="Times New Roman" w:hAnsi="Times New Roman"/>
          <w:szCs w:val="24"/>
        </w:rPr>
        <w:t>аној</w:t>
      </w:r>
      <w:r w:rsidR="00484375" w:rsidRPr="00295637">
        <w:rPr>
          <w:rFonts w:ascii="Times New Roman" w:hAnsi="Times New Roman"/>
          <w:szCs w:val="24"/>
        </w:rPr>
        <w:t xml:space="preserve"> </w:t>
      </w:r>
      <w:r>
        <w:rPr>
          <w:rFonts w:ascii="Times New Roman" w:hAnsi="Times New Roman"/>
          <w:szCs w:val="24"/>
        </w:rPr>
        <w:t>ЕУ</w:t>
      </w:r>
      <w:r w:rsidR="00484375" w:rsidRPr="00295637">
        <w:rPr>
          <w:rFonts w:ascii="Times New Roman" w:hAnsi="Times New Roman"/>
          <w:szCs w:val="24"/>
        </w:rPr>
        <w:t xml:space="preserve"> </w:t>
      </w:r>
      <w:r>
        <w:rPr>
          <w:rFonts w:ascii="Times New Roman" w:hAnsi="Times New Roman"/>
          <w:szCs w:val="24"/>
        </w:rPr>
        <w:t>методологији</w:t>
      </w:r>
      <w:r w:rsidR="00484375" w:rsidRPr="00295637">
        <w:rPr>
          <w:rFonts w:ascii="Times New Roman" w:hAnsi="Times New Roman"/>
          <w:szCs w:val="24"/>
        </w:rPr>
        <w:t xml:space="preserve">, </w:t>
      </w:r>
      <w:r>
        <w:rPr>
          <w:rFonts w:ascii="Times New Roman" w:hAnsi="Times New Roman"/>
          <w:szCs w:val="24"/>
        </w:rPr>
        <w:t>тако</w:t>
      </w:r>
      <w:r w:rsidR="00484375" w:rsidRPr="00295637">
        <w:rPr>
          <w:rFonts w:ascii="Times New Roman" w:hAnsi="Times New Roman"/>
          <w:szCs w:val="24"/>
        </w:rPr>
        <w:t xml:space="preserve"> </w:t>
      </w:r>
      <w:r>
        <w:rPr>
          <w:rFonts w:ascii="Times New Roman" w:hAnsi="Times New Roman"/>
          <w:szCs w:val="24"/>
        </w:rPr>
        <w:t>да</w:t>
      </w:r>
      <w:r w:rsidR="00484375" w:rsidRPr="00295637">
        <w:rPr>
          <w:rFonts w:ascii="Times New Roman" w:hAnsi="Times New Roman"/>
          <w:szCs w:val="24"/>
        </w:rPr>
        <w:t xml:space="preserve"> </w:t>
      </w:r>
      <w:r>
        <w:rPr>
          <w:rFonts w:ascii="Times New Roman" w:hAnsi="Times New Roman"/>
          <w:szCs w:val="24"/>
        </w:rPr>
        <w:t>одређени</w:t>
      </w:r>
      <w:r w:rsidR="00484375" w:rsidRPr="00295637">
        <w:rPr>
          <w:rFonts w:ascii="Times New Roman" w:hAnsi="Times New Roman"/>
          <w:szCs w:val="24"/>
        </w:rPr>
        <w:t xml:space="preserve"> </w:t>
      </w:r>
      <w:r>
        <w:rPr>
          <w:rFonts w:ascii="Times New Roman" w:hAnsi="Times New Roman"/>
          <w:szCs w:val="24"/>
        </w:rPr>
        <w:t>индикатори</w:t>
      </w:r>
      <w:r w:rsidR="00484375" w:rsidRPr="00295637">
        <w:rPr>
          <w:rFonts w:ascii="Times New Roman" w:hAnsi="Times New Roman"/>
          <w:szCs w:val="24"/>
        </w:rPr>
        <w:t xml:space="preserve">, </w:t>
      </w:r>
      <w:r>
        <w:rPr>
          <w:rFonts w:ascii="Times New Roman" w:hAnsi="Times New Roman"/>
          <w:szCs w:val="24"/>
        </w:rPr>
        <w:t>попут</w:t>
      </w:r>
      <w:r w:rsidR="00484375" w:rsidRPr="00295637">
        <w:rPr>
          <w:rFonts w:ascii="Times New Roman" w:hAnsi="Times New Roman"/>
          <w:szCs w:val="24"/>
        </w:rPr>
        <w:t xml:space="preserve"> </w:t>
      </w:r>
      <w:r>
        <w:rPr>
          <w:rFonts w:ascii="Times New Roman" w:hAnsi="Times New Roman"/>
          <w:szCs w:val="24"/>
        </w:rPr>
        <w:t>напредовања</w:t>
      </w:r>
      <w:r w:rsidR="00484375" w:rsidRPr="00295637">
        <w:rPr>
          <w:rFonts w:ascii="Times New Roman" w:hAnsi="Times New Roman"/>
          <w:szCs w:val="24"/>
        </w:rPr>
        <w:t xml:space="preserve"> </w:t>
      </w:r>
      <w:r>
        <w:rPr>
          <w:rFonts w:ascii="Times New Roman" w:hAnsi="Times New Roman"/>
          <w:szCs w:val="24"/>
        </w:rPr>
        <w:t>у</w:t>
      </w:r>
      <w:r w:rsidR="00484375" w:rsidRPr="00295637">
        <w:rPr>
          <w:rFonts w:ascii="Times New Roman" w:hAnsi="Times New Roman"/>
          <w:szCs w:val="24"/>
        </w:rPr>
        <w:t xml:space="preserve"> </w:t>
      </w:r>
      <w:r>
        <w:rPr>
          <w:rFonts w:ascii="Times New Roman" w:hAnsi="Times New Roman"/>
          <w:szCs w:val="24"/>
        </w:rPr>
        <w:t>каријери</w:t>
      </w:r>
      <w:r w:rsidR="00484375" w:rsidRPr="00295637">
        <w:rPr>
          <w:rFonts w:ascii="Times New Roman" w:hAnsi="Times New Roman"/>
          <w:szCs w:val="24"/>
        </w:rPr>
        <w:t xml:space="preserve">, </w:t>
      </w:r>
      <w:r>
        <w:rPr>
          <w:rFonts w:ascii="Times New Roman" w:hAnsi="Times New Roman"/>
          <w:szCs w:val="24"/>
        </w:rPr>
        <w:t>те</w:t>
      </w:r>
      <w:r w:rsidR="00484375" w:rsidRPr="00295637">
        <w:rPr>
          <w:rFonts w:ascii="Times New Roman" w:hAnsi="Times New Roman"/>
          <w:szCs w:val="24"/>
        </w:rPr>
        <w:t xml:space="preserve"> </w:t>
      </w:r>
      <w:r>
        <w:rPr>
          <w:rFonts w:ascii="Times New Roman" w:hAnsi="Times New Roman"/>
          <w:szCs w:val="24"/>
        </w:rPr>
        <w:t>женама</w:t>
      </w:r>
      <w:r w:rsidR="00484375" w:rsidRPr="00295637">
        <w:rPr>
          <w:rFonts w:ascii="Times New Roman" w:hAnsi="Times New Roman"/>
          <w:szCs w:val="24"/>
        </w:rPr>
        <w:t xml:space="preserve"> </w:t>
      </w:r>
      <w:r>
        <w:rPr>
          <w:rFonts w:ascii="Times New Roman" w:hAnsi="Times New Roman"/>
          <w:szCs w:val="24"/>
        </w:rPr>
        <w:t>на</w:t>
      </w:r>
      <w:r w:rsidR="00484375" w:rsidRPr="00295637">
        <w:rPr>
          <w:rFonts w:ascii="Times New Roman" w:hAnsi="Times New Roman"/>
          <w:szCs w:val="24"/>
        </w:rPr>
        <w:t xml:space="preserve"> </w:t>
      </w:r>
      <w:r>
        <w:rPr>
          <w:rFonts w:ascii="Times New Roman" w:hAnsi="Times New Roman"/>
          <w:szCs w:val="24"/>
        </w:rPr>
        <w:t>мјестима</w:t>
      </w:r>
      <w:r w:rsidR="00484375" w:rsidRPr="00295637">
        <w:rPr>
          <w:rFonts w:ascii="Times New Roman" w:hAnsi="Times New Roman"/>
          <w:szCs w:val="24"/>
        </w:rPr>
        <w:t xml:space="preserve"> </w:t>
      </w:r>
      <w:r>
        <w:rPr>
          <w:rFonts w:ascii="Times New Roman" w:hAnsi="Times New Roman"/>
          <w:szCs w:val="24"/>
        </w:rPr>
        <w:t>одлучивања</w:t>
      </w:r>
      <w:r w:rsidR="00484375" w:rsidRPr="00295637">
        <w:rPr>
          <w:rFonts w:ascii="Times New Roman" w:hAnsi="Times New Roman"/>
          <w:szCs w:val="24"/>
        </w:rPr>
        <w:t xml:space="preserve"> </w:t>
      </w:r>
      <w:r>
        <w:rPr>
          <w:rFonts w:ascii="Times New Roman" w:hAnsi="Times New Roman"/>
          <w:szCs w:val="24"/>
        </w:rPr>
        <w:t>нису</w:t>
      </w:r>
      <w:r w:rsidR="00484375" w:rsidRPr="00295637">
        <w:rPr>
          <w:rFonts w:ascii="Times New Roman" w:hAnsi="Times New Roman"/>
          <w:szCs w:val="24"/>
        </w:rPr>
        <w:t xml:space="preserve"> </w:t>
      </w:r>
      <w:r>
        <w:rPr>
          <w:rFonts w:ascii="Times New Roman" w:hAnsi="Times New Roman"/>
          <w:szCs w:val="24"/>
        </w:rPr>
        <w:t>предмет</w:t>
      </w:r>
      <w:r w:rsidR="00484375" w:rsidRPr="00295637">
        <w:rPr>
          <w:rFonts w:ascii="Times New Roman" w:hAnsi="Times New Roman"/>
          <w:szCs w:val="24"/>
        </w:rPr>
        <w:t xml:space="preserve"> </w:t>
      </w:r>
      <w:r>
        <w:rPr>
          <w:rFonts w:ascii="Times New Roman" w:hAnsi="Times New Roman"/>
          <w:szCs w:val="24"/>
        </w:rPr>
        <w:t>ове</w:t>
      </w:r>
      <w:r w:rsidR="00484375" w:rsidRPr="00295637">
        <w:rPr>
          <w:rFonts w:ascii="Times New Roman" w:hAnsi="Times New Roman"/>
          <w:szCs w:val="24"/>
        </w:rPr>
        <w:t xml:space="preserve"> </w:t>
      </w:r>
      <w:r>
        <w:rPr>
          <w:rFonts w:ascii="Times New Roman" w:hAnsi="Times New Roman"/>
          <w:szCs w:val="24"/>
        </w:rPr>
        <w:t>анкете</w:t>
      </w:r>
      <w:r w:rsidR="00484375" w:rsidRPr="00295637">
        <w:rPr>
          <w:rFonts w:ascii="Times New Roman" w:hAnsi="Times New Roman"/>
          <w:szCs w:val="24"/>
        </w:rPr>
        <w:t xml:space="preserve">, </w:t>
      </w:r>
      <w:r>
        <w:rPr>
          <w:rFonts w:ascii="Times New Roman" w:hAnsi="Times New Roman"/>
          <w:szCs w:val="24"/>
        </w:rPr>
        <w:t>те</w:t>
      </w:r>
      <w:r w:rsidR="00484375" w:rsidRPr="00295637">
        <w:rPr>
          <w:rFonts w:ascii="Times New Roman" w:hAnsi="Times New Roman"/>
          <w:szCs w:val="24"/>
        </w:rPr>
        <w:t xml:space="preserve"> </w:t>
      </w:r>
      <w:r>
        <w:rPr>
          <w:rFonts w:ascii="Times New Roman" w:hAnsi="Times New Roman"/>
          <w:szCs w:val="24"/>
        </w:rPr>
        <w:t>би</w:t>
      </w:r>
      <w:r w:rsidR="00484375" w:rsidRPr="00295637">
        <w:rPr>
          <w:rFonts w:ascii="Times New Roman" w:hAnsi="Times New Roman"/>
          <w:szCs w:val="24"/>
        </w:rPr>
        <w:t xml:space="preserve"> </w:t>
      </w:r>
      <w:r>
        <w:rPr>
          <w:rFonts w:ascii="Times New Roman" w:hAnsi="Times New Roman"/>
          <w:szCs w:val="24"/>
        </w:rPr>
        <w:t>се</w:t>
      </w:r>
      <w:r w:rsidR="00484375" w:rsidRPr="00295637">
        <w:rPr>
          <w:rFonts w:ascii="Times New Roman" w:hAnsi="Times New Roman"/>
          <w:szCs w:val="24"/>
        </w:rPr>
        <w:t xml:space="preserve"> </w:t>
      </w:r>
      <w:r>
        <w:rPr>
          <w:rFonts w:ascii="Times New Roman" w:hAnsi="Times New Roman"/>
          <w:szCs w:val="24"/>
        </w:rPr>
        <w:t>требали</w:t>
      </w:r>
      <w:r w:rsidR="00484375" w:rsidRPr="00295637">
        <w:rPr>
          <w:rFonts w:ascii="Times New Roman" w:hAnsi="Times New Roman"/>
          <w:szCs w:val="24"/>
        </w:rPr>
        <w:t xml:space="preserve"> </w:t>
      </w:r>
      <w:r>
        <w:rPr>
          <w:rFonts w:ascii="Times New Roman" w:hAnsi="Times New Roman"/>
          <w:szCs w:val="24"/>
        </w:rPr>
        <w:t>идентифи</w:t>
      </w:r>
      <w:r w:rsidR="00870C36">
        <w:rPr>
          <w:rFonts w:ascii="Times New Roman" w:hAnsi="Times New Roman"/>
          <w:szCs w:val="24"/>
          <w:lang w:val="sr-Cyrl-BA"/>
        </w:rPr>
        <w:t>ковати</w:t>
      </w:r>
      <w:r w:rsidR="00484375" w:rsidRPr="00295637">
        <w:rPr>
          <w:rFonts w:ascii="Times New Roman" w:hAnsi="Times New Roman"/>
          <w:szCs w:val="24"/>
        </w:rPr>
        <w:t xml:space="preserve"> </w:t>
      </w:r>
      <w:r>
        <w:rPr>
          <w:rFonts w:ascii="Times New Roman" w:hAnsi="Times New Roman"/>
          <w:szCs w:val="24"/>
        </w:rPr>
        <w:t>извори</w:t>
      </w:r>
      <w:r w:rsidR="00484375" w:rsidRPr="00295637">
        <w:rPr>
          <w:rFonts w:ascii="Times New Roman" w:hAnsi="Times New Roman"/>
          <w:szCs w:val="24"/>
        </w:rPr>
        <w:t xml:space="preserve"> </w:t>
      </w:r>
      <w:r>
        <w:rPr>
          <w:rFonts w:ascii="Times New Roman" w:hAnsi="Times New Roman"/>
          <w:szCs w:val="24"/>
        </w:rPr>
        <w:t>података</w:t>
      </w:r>
      <w:r w:rsidR="00484375" w:rsidRPr="00295637">
        <w:rPr>
          <w:rFonts w:ascii="Times New Roman" w:hAnsi="Times New Roman"/>
          <w:szCs w:val="24"/>
        </w:rPr>
        <w:t xml:space="preserve"> </w:t>
      </w:r>
      <w:r>
        <w:rPr>
          <w:rFonts w:ascii="Times New Roman" w:hAnsi="Times New Roman"/>
          <w:szCs w:val="24"/>
        </w:rPr>
        <w:t>за</w:t>
      </w:r>
      <w:r w:rsidR="00484375" w:rsidRPr="00295637">
        <w:rPr>
          <w:rFonts w:ascii="Times New Roman" w:hAnsi="Times New Roman"/>
          <w:szCs w:val="24"/>
        </w:rPr>
        <w:t xml:space="preserve"> </w:t>
      </w:r>
      <w:r>
        <w:rPr>
          <w:rFonts w:ascii="Times New Roman" w:hAnsi="Times New Roman"/>
          <w:szCs w:val="24"/>
        </w:rPr>
        <w:t>њихово</w:t>
      </w:r>
      <w:r w:rsidR="00484375" w:rsidRPr="00295637">
        <w:rPr>
          <w:rFonts w:ascii="Times New Roman" w:hAnsi="Times New Roman"/>
          <w:szCs w:val="24"/>
        </w:rPr>
        <w:t xml:space="preserve"> </w:t>
      </w:r>
      <w:r>
        <w:rPr>
          <w:rFonts w:ascii="Times New Roman" w:hAnsi="Times New Roman"/>
          <w:szCs w:val="24"/>
        </w:rPr>
        <w:t>рачунање</w:t>
      </w:r>
      <w:r w:rsidR="00484375" w:rsidRPr="00295637">
        <w:rPr>
          <w:rFonts w:ascii="Times New Roman" w:hAnsi="Times New Roman"/>
          <w:szCs w:val="24"/>
        </w:rPr>
        <w:t xml:space="preserve">. </w:t>
      </w:r>
    </w:p>
    <w:p w:rsidR="00484375" w:rsidRPr="00295637" w:rsidRDefault="00484375" w:rsidP="0086268D">
      <w:pPr>
        <w:jc w:val="both"/>
        <w:rPr>
          <w:rFonts w:ascii="Times New Roman" w:hAnsi="Times New Roman"/>
          <w:szCs w:val="24"/>
          <w:u w:val="single"/>
        </w:rPr>
      </w:pPr>
    </w:p>
    <w:p w:rsidR="00C518DE" w:rsidRPr="00295637" w:rsidRDefault="00C6214E" w:rsidP="0086268D">
      <w:pPr>
        <w:jc w:val="both"/>
        <w:rPr>
          <w:rFonts w:ascii="Times New Roman" w:hAnsi="Times New Roman"/>
          <w:szCs w:val="24"/>
        </w:rPr>
      </w:pPr>
      <w:r>
        <w:rPr>
          <w:rFonts w:ascii="Times New Roman" w:hAnsi="Times New Roman"/>
          <w:szCs w:val="24"/>
        </w:rPr>
        <w:t>Још</w:t>
      </w:r>
      <w:r w:rsidR="00484375" w:rsidRPr="00295637">
        <w:rPr>
          <w:rFonts w:ascii="Times New Roman" w:hAnsi="Times New Roman"/>
          <w:szCs w:val="24"/>
        </w:rPr>
        <w:t xml:space="preserve"> </w:t>
      </w:r>
      <w:r>
        <w:rPr>
          <w:rFonts w:ascii="Times New Roman" w:hAnsi="Times New Roman"/>
          <w:szCs w:val="24"/>
        </w:rPr>
        <w:t>увијек</w:t>
      </w:r>
      <w:r w:rsidR="00484375" w:rsidRPr="00295637">
        <w:rPr>
          <w:rFonts w:ascii="Times New Roman" w:hAnsi="Times New Roman"/>
          <w:szCs w:val="24"/>
        </w:rPr>
        <w:t xml:space="preserve"> </w:t>
      </w:r>
      <w:r>
        <w:rPr>
          <w:rFonts w:ascii="Times New Roman" w:hAnsi="Times New Roman"/>
          <w:szCs w:val="24"/>
        </w:rPr>
        <w:t>није</w:t>
      </w:r>
      <w:r w:rsidR="00484375" w:rsidRPr="00295637">
        <w:rPr>
          <w:rFonts w:ascii="Times New Roman" w:hAnsi="Times New Roman"/>
          <w:szCs w:val="24"/>
        </w:rPr>
        <w:t xml:space="preserve"> </w:t>
      </w:r>
      <w:r>
        <w:rPr>
          <w:rFonts w:ascii="Times New Roman" w:hAnsi="Times New Roman"/>
          <w:szCs w:val="24"/>
        </w:rPr>
        <w:t>израђена</w:t>
      </w:r>
      <w:r w:rsidR="00484375" w:rsidRPr="00295637">
        <w:rPr>
          <w:rFonts w:ascii="Times New Roman" w:hAnsi="Times New Roman"/>
          <w:szCs w:val="24"/>
        </w:rPr>
        <w:t xml:space="preserve"> </w:t>
      </w:r>
      <w:r>
        <w:rPr>
          <w:rFonts w:ascii="Times New Roman" w:hAnsi="Times New Roman"/>
          <w:szCs w:val="24"/>
        </w:rPr>
        <w:t>методологија</w:t>
      </w:r>
      <w:r w:rsidR="00484375" w:rsidRPr="00295637">
        <w:rPr>
          <w:rFonts w:ascii="Times New Roman" w:hAnsi="Times New Roman"/>
          <w:szCs w:val="24"/>
        </w:rPr>
        <w:t xml:space="preserve"> </w:t>
      </w:r>
      <w:r>
        <w:rPr>
          <w:rFonts w:ascii="Times New Roman" w:hAnsi="Times New Roman"/>
          <w:szCs w:val="24"/>
        </w:rPr>
        <w:t>за</w:t>
      </w:r>
      <w:r w:rsidR="00484375" w:rsidRPr="00295637">
        <w:rPr>
          <w:rFonts w:ascii="Times New Roman" w:hAnsi="Times New Roman"/>
          <w:szCs w:val="24"/>
        </w:rPr>
        <w:t xml:space="preserve"> </w:t>
      </w:r>
      <w:r>
        <w:rPr>
          <w:rFonts w:ascii="Times New Roman" w:hAnsi="Times New Roman"/>
          <w:szCs w:val="24"/>
        </w:rPr>
        <w:t>прикупљање</w:t>
      </w:r>
      <w:r w:rsidR="00484375" w:rsidRPr="00295637">
        <w:rPr>
          <w:rFonts w:ascii="Times New Roman" w:hAnsi="Times New Roman"/>
          <w:szCs w:val="24"/>
        </w:rPr>
        <w:t xml:space="preserve"> </w:t>
      </w:r>
      <w:r>
        <w:rPr>
          <w:rFonts w:ascii="Times New Roman" w:hAnsi="Times New Roman"/>
          <w:szCs w:val="24"/>
        </w:rPr>
        <w:t>података</w:t>
      </w:r>
      <w:r w:rsidR="00484375" w:rsidRPr="00295637">
        <w:rPr>
          <w:rFonts w:ascii="Times New Roman" w:hAnsi="Times New Roman"/>
          <w:szCs w:val="24"/>
        </w:rPr>
        <w:t xml:space="preserve"> </w:t>
      </w:r>
      <w:r>
        <w:rPr>
          <w:rFonts w:ascii="Times New Roman" w:hAnsi="Times New Roman"/>
          <w:szCs w:val="24"/>
        </w:rPr>
        <w:t>о</w:t>
      </w:r>
      <w:r w:rsidR="00484375" w:rsidRPr="00295637">
        <w:rPr>
          <w:rFonts w:ascii="Times New Roman" w:hAnsi="Times New Roman"/>
          <w:szCs w:val="24"/>
        </w:rPr>
        <w:t xml:space="preserve"> </w:t>
      </w:r>
      <w:r>
        <w:rPr>
          <w:rFonts w:ascii="Times New Roman" w:hAnsi="Times New Roman"/>
          <w:szCs w:val="24"/>
        </w:rPr>
        <w:t>сегрегацији</w:t>
      </w:r>
      <w:r w:rsidR="00484375" w:rsidRPr="00295637">
        <w:rPr>
          <w:rFonts w:ascii="Times New Roman" w:hAnsi="Times New Roman"/>
          <w:szCs w:val="24"/>
        </w:rPr>
        <w:t xml:space="preserve"> </w:t>
      </w:r>
      <w:r>
        <w:rPr>
          <w:rFonts w:ascii="Times New Roman" w:hAnsi="Times New Roman"/>
          <w:szCs w:val="24"/>
        </w:rPr>
        <w:t>у</w:t>
      </w:r>
      <w:r w:rsidR="00484375" w:rsidRPr="00295637">
        <w:rPr>
          <w:rFonts w:ascii="Times New Roman" w:hAnsi="Times New Roman"/>
          <w:szCs w:val="24"/>
        </w:rPr>
        <w:t xml:space="preserve"> </w:t>
      </w:r>
      <w:r>
        <w:rPr>
          <w:rFonts w:ascii="Times New Roman" w:hAnsi="Times New Roman"/>
          <w:szCs w:val="24"/>
        </w:rPr>
        <w:t>занимањима</w:t>
      </w:r>
      <w:r w:rsidR="00484375" w:rsidRPr="00295637">
        <w:rPr>
          <w:rFonts w:ascii="Times New Roman" w:hAnsi="Times New Roman"/>
          <w:szCs w:val="24"/>
        </w:rPr>
        <w:t xml:space="preserve"> </w:t>
      </w:r>
      <w:r>
        <w:rPr>
          <w:rFonts w:ascii="Times New Roman" w:hAnsi="Times New Roman"/>
          <w:szCs w:val="24"/>
        </w:rPr>
        <w:t>и</w:t>
      </w:r>
      <w:r w:rsidR="00484375" w:rsidRPr="00295637">
        <w:rPr>
          <w:rFonts w:ascii="Times New Roman" w:hAnsi="Times New Roman"/>
          <w:szCs w:val="24"/>
        </w:rPr>
        <w:t xml:space="preserve"> </w:t>
      </w:r>
      <w:r>
        <w:rPr>
          <w:rFonts w:ascii="Times New Roman" w:hAnsi="Times New Roman"/>
          <w:szCs w:val="24"/>
        </w:rPr>
        <w:t>разликама</w:t>
      </w:r>
      <w:r w:rsidR="00484375" w:rsidRPr="00295637">
        <w:rPr>
          <w:rFonts w:ascii="Times New Roman" w:hAnsi="Times New Roman"/>
          <w:szCs w:val="24"/>
        </w:rPr>
        <w:t xml:space="preserve"> </w:t>
      </w:r>
      <w:r>
        <w:rPr>
          <w:rFonts w:ascii="Times New Roman" w:hAnsi="Times New Roman"/>
          <w:szCs w:val="24"/>
        </w:rPr>
        <w:t>у</w:t>
      </w:r>
      <w:r w:rsidR="00484375" w:rsidRPr="00295637">
        <w:rPr>
          <w:rFonts w:ascii="Times New Roman" w:hAnsi="Times New Roman"/>
          <w:szCs w:val="24"/>
        </w:rPr>
        <w:t xml:space="preserve"> </w:t>
      </w:r>
      <w:r>
        <w:rPr>
          <w:rFonts w:ascii="Times New Roman" w:hAnsi="Times New Roman"/>
          <w:szCs w:val="24"/>
        </w:rPr>
        <w:t>пла</w:t>
      </w:r>
      <w:r w:rsidR="00870C36">
        <w:rPr>
          <w:rFonts w:ascii="Times New Roman" w:hAnsi="Times New Roman"/>
          <w:szCs w:val="24"/>
          <w:lang w:val="sr-Cyrl-BA"/>
        </w:rPr>
        <w:t>т</w:t>
      </w:r>
      <w:r>
        <w:rPr>
          <w:rFonts w:ascii="Times New Roman" w:hAnsi="Times New Roman"/>
          <w:szCs w:val="24"/>
        </w:rPr>
        <w:t>ама</w:t>
      </w:r>
      <w:r w:rsidR="00484375" w:rsidRPr="00295637">
        <w:rPr>
          <w:rFonts w:ascii="Times New Roman" w:hAnsi="Times New Roman"/>
          <w:szCs w:val="24"/>
        </w:rPr>
        <w:t xml:space="preserve">. </w:t>
      </w:r>
      <w:r>
        <w:rPr>
          <w:rFonts w:ascii="Times New Roman" w:hAnsi="Times New Roman"/>
          <w:szCs w:val="24"/>
        </w:rPr>
        <w:t>Истраживање</w:t>
      </w:r>
      <w:r w:rsidR="00484375" w:rsidRPr="00295637">
        <w:rPr>
          <w:rFonts w:ascii="Times New Roman" w:hAnsi="Times New Roman"/>
          <w:szCs w:val="24"/>
        </w:rPr>
        <w:t xml:space="preserve"> </w:t>
      </w:r>
      <w:r>
        <w:rPr>
          <w:rFonts w:ascii="Times New Roman" w:hAnsi="Times New Roman"/>
          <w:szCs w:val="24"/>
        </w:rPr>
        <w:t>о</w:t>
      </w:r>
      <w:r w:rsidR="00484375" w:rsidRPr="00295637">
        <w:rPr>
          <w:rFonts w:ascii="Times New Roman" w:hAnsi="Times New Roman"/>
          <w:szCs w:val="24"/>
        </w:rPr>
        <w:t xml:space="preserve"> </w:t>
      </w:r>
      <w:r>
        <w:rPr>
          <w:rFonts w:ascii="Times New Roman" w:hAnsi="Times New Roman"/>
          <w:szCs w:val="24"/>
        </w:rPr>
        <w:t>структури</w:t>
      </w:r>
      <w:r w:rsidR="00484375" w:rsidRPr="00295637">
        <w:rPr>
          <w:rFonts w:ascii="Times New Roman" w:hAnsi="Times New Roman"/>
          <w:szCs w:val="24"/>
        </w:rPr>
        <w:t xml:space="preserve"> </w:t>
      </w:r>
      <w:r>
        <w:rPr>
          <w:rFonts w:ascii="Times New Roman" w:hAnsi="Times New Roman"/>
          <w:szCs w:val="24"/>
        </w:rPr>
        <w:t>зарада</w:t>
      </w:r>
      <w:r w:rsidR="00484375" w:rsidRPr="00295637">
        <w:rPr>
          <w:rFonts w:ascii="Times New Roman" w:hAnsi="Times New Roman"/>
          <w:szCs w:val="24"/>
        </w:rPr>
        <w:t xml:space="preserve"> </w:t>
      </w:r>
      <w:r w:rsidR="0077778E" w:rsidRPr="0077778E">
        <w:rPr>
          <w:rFonts w:ascii="Times New Roman" w:hAnsi="Times New Roman"/>
          <w:i/>
          <w:szCs w:val="24"/>
        </w:rPr>
        <w:t>(„SES“ Structure of Earnings Survey</w:t>
      </w:r>
      <w:r w:rsidR="00484375" w:rsidRPr="00295637">
        <w:rPr>
          <w:rFonts w:ascii="Times New Roman" w:hAnsi="Times New Roman"/>
          <w:szCs w:val="24"/>
        </w:rPr>
        <w:t xml:space="preserve">) </w:t>
      </w:r>
      <w:r>
        <w:rPr>
          <w:rFonts w:ascii="Times New Roman" w:hAnsi="Times New Roman"/>
          <w:szCs w:val="24"/>
        </w:rPr>
        <w:t>је</w:t>
      </w:r>
      <w:r w:rsidR="00484375" w:rsidRPr="00295637">
        <w:rPr>
          <w:rFonts w:ascii="Times New Roman" w:hAnsi="Times New Roman"/>
          <w:szCs w:val="24"/>
        </w:rPr>
        <w:t xml:space="preserve"> </w:t>
      </w:r>
      <w:r>
        <w:rPr>
          <w:rFonts w:ascii="Times New Roman" w:hAnsi="Times New Roman"/>
          <w:szCs w:val="24"/>
        </w:rPr>
        <w:t>у</w:t>
      </w:r>
      <w:r w:rsidR="00484375" w:rsidRPr="00295637">
        <w:rPr>
          <w:rFonts w:ascii="Times New Roman" w:hAnsi="Times New Roman"/>
          <w:szCs w:val="24"/>
        </w:rPr>
        <w:t xml:space="preserve"> </w:t>
      </w:r>
      <w:r>
        <w:rPr>
          <w:rFonts w:ascii="Times New Roman" w:hAnsi="Times New Roman"/>
          <w:szCs w:val="24"/>
        </w:rPr>
        <w:t>извјештајном</w:t>
      </w:r>
      <w:r w:rsidR="00484375" w:rsidRPr="00295637">
        <w:rPr>
          <w:rFonts w:ascii="Times New Roman" w:hAnsi="Times New Roman"/>
          <w:szCs w:val="24"/>
        </w:rPr>
        <w:t xml:space="preserve"> </w:t>
      </w:r>
      <w:r>
        <w:rPr>
          <w:rFonts w:ascii="Times New Roman" w:hAnsi="Times New Roman"/>
          <w:szCs w:val="24"/>
        </w:rPr>
        <w:t>периоду</w:t>
      </w:r>
      <w:r w:rsidR="00484375" w:rsidRPr="00295637">
        <w:rPr>
          <w:rFonts w:ascii="Times New Roman" w:hAnsi="Times New Roman"/>
          <w:szCs w:val="24"/>
        </w:rPr>
        <w:t xml:space="preserve"> </w:t>
      </w:r>
      <w:r>
        <w:rPr>
          <w:rFonts w:ascii="Times New Roman" w:hAnsi="Times New Roman"/>
          <w:szCs w:val="24"/>
        </w:rPr>
        <w:t>први</w:t>
      </w:r>
      <w:r w:rsidR="00484375" w:rsidRPr="00295637">
        <w:rPr>
          <w:rFonts w:ascii="Times New Roman" w:hAnsi="Times New Roman"/>
          <w:szCs w:val="24"/>
        </w:rPr>
        <w:t xml:space="preserve"> </w:t>
      </w:r>
      <w:r>
        <w:rPr>
          <w:rFonts w:ascii="Times New Roman" w:hAnsi="Times New Roman"/>
          <w:szCs w:val="24"/>
        </w:rPr>
        <w:t>пут</w:t>
      </w:r>
      <w:r w:rsidR="00484375" w:rsidRPr="00295637">
        <w:rPr>
          <w:rFonts w:ascii="Times New Roman" w:hAnsi="Times New Roman"/>
          <w:szCs w:val="24"/>
        </w:rPr>
        <w:t xml:space="preserve"> </w:t>
      </w:r>
      <w:r w:rsidR="0077778E">
        <w:rPr>
          <w:rFonts w:ascii="Times New Roman" w:hAnsi="Times New Roman"/>
          <w:szCs w:val="24"/>
          <w:lang w:val="sr-Cyrl-BA"/>
        </w:rPr>
        <w:t>спроведено</w:t>
      </w:r>
      <w:r w:rsidR="00484375" w:rsidRPr="00295637">
        <w:rPr>
          <w:rFonts w:ascii="Times New Roman" w:hAnsi="Times New Roman"/>
          <w:szCs w:val="24"/>
        </w:rPr>
        <w:t xml:space="preserve"> </w:t>
      </w:r>
      <w:r>
        <w:rPr>
          <w:rFonts w:ascii="Times New Roman" w:hAnsi="Times New Roman"/>
          <w:szCs w:val="24"/>
        </w:rPr>
        <w:t>у</w:t>
      </w:r>
      <w:r w:rsidR="009E54A2" w:rsidRPr="00295637">
        <w:rPr>
          <w:rFonts w:ascii="Times New Roman" w:hAnsi="Times New Roman"/>
          <w:szCs w:val="24"/>
        </w:rPr>
        <w:t xml:space="preserve"> </w:t>
      </w:r>
      <w:r>
        <w:rPr>
          <w:rFonts w:ascii="Times New Roman" w:hAnsi="Times New Roman"/>
          <w:szCs w:val="24"/>
        </w:rPr>
        <w:t>БиХ</w:t>
      </w:r>
      <w:r w:rsidR="00484375" w:rsidRPr="00295637">
        <w:rPr>
          <w:rFonts w:ascii="Times New Roman" w:hAnsi="Times New Roman"/>
          <w:szCs w:val="24"/>
        </w:rPr>
        <w:t xml:space="preserve">, </w:t>
      </w:r>
      <w:r>
        <w:rPr>
          <w:rFonts w:ascii="Times New Roman" w:hAnsi="Times New Roman"/>
          <w:szCs w:val="24"/>
        </w:rPr>
        <w:t>а</w:t>
      </w:r>
      <w:r w:rsidR="00484375" w:rsidRPr="00295637">
        <w:rPr>
          <w:rFonts w:ascii="Times New Roman" w:hAnsi="Times New Roman"/>
          <w:szCs w:val="24"/>
        </w:rPr>
        <w:t xml:space="preserve"> </w:t>
      </w:r>
      <w:r>
        <w:rPr>
          <w:rFonts w:ascii="Times New Roman" w:hAnsi="Times New Roman"/>
          <w:szCs w:val="24"/>
        </w:rPr>
        <w:t>будући</w:t>
      </w:r>
      <w:r w:rsidR="00484375" w:rsidRPr="00295637">
        <w:rPr>
          <w:rFonts w:ascii="Times New Roman" w:hAnsi="Times New Roman"/>
          <w:szCs w:val="24"/>
        </w:rPr>
        <w:t xml:space="preserve"> </w:t>
      </w:r>
      <w:r>
        <w:rPr>
          <w:rFonts w:ascii="Times New Roman" w:hAnsi="Times New Roman"/>
          <w:szCs w:val="24"/>
        </w:rPr>
        <w:t>да</w:t>
      </w:r>
      <w:r w:rsidR="00484375" w:rsidRPr="00295637">
        <w:rPr>
          <w:rFonts w:ascii="Times New Roman" w:hAnsi="Times New Roman"/>
          <w:szCs w:val="24"/>
        </w:rPr>
        <w:t xml:space="preserve"> </w:t>
      </w:r>
      <w:r>
        <w:rPr>
          <w:rFonts w:ascii="Times New Roman" w:hAnsi="Times New Roman"/>
          <w:szCs w:val="24"/>
        </w:rPr>
        <w:t>је</w:t>
      </w:r>
      <w:r w:rsidR="00484375" w:rsidRPr="00295637">
        <w:rPr>
          <w:rFonts w:ascii="Times New Roman" w:hAnsi="Times New Roman"/>
          <w:szCs w:val="24"/>
        </w:rPr>
        <w:t xml:space="preserve"> </w:t>
      </w:r>
      <w:r>
        <w:rPr>
          <w:rFonts w:ascii="Times New Roman" w:hAnsi="Times New Roman"/>
          <w:szCs w:val="24"/>
        </w:rPr>
        <w:t>оно</w:t>
      </w:r>
      <w:r w:rsidR="00484375" w:rsidRPr="00295637">
        <w:rPr>
          <w:rFonts w:ascii="Times New Roman" w:hAnsi="Times New Roman"/>
          <w:szCs w:val="24"/>
        </w:rPr>
        <w:t xml:space="preserve"> </w:t>
      </w:r>
      <w:r>
        <w:rPr>
          <w:rFonts w:ascii="Times New Roman" w:hAnsi="Times New Roman"/>
          <w:szCs w:val="24"/>
        </w:rPr>
        <w:t>главни</w:t>
      </w:r>
      <w:r w:rsidR="00484375" w:rsidRPr="00295637">
        <w:rPr>
          <w:rFonts w:ascii="Times New Roman" w:hAnsi="Times New Roman"/>
          <w:szCs w:val="24"/>
        </w:rPr>
        <w:t xml:space="preserve"> </w:t>
      </w:r>
      <w:r>
        <w:rPr>
          <w:rFonts w:ascii="Times New Roman" w:hAnsi="Times New Roman"/>
          <w:szCs w:val="24"/>
        </w:rPr>
        <w:t>извор</w:t>
      </w:r>
      <w:r w:rsidR="00484375" w:rsidRPr="00295637">
        <w:rPr>
          <w:rFonts w:ascii="Times New Roman" w:hAnsi="Times New Roman"/>
          <w:szCs w:val="24"/>
        </w:rPr>
        <w:t xml:space="preserve"> </w:t>
      </w:r>
      <w:r>
        <w:rPr>
          <w:rFonts w:ascii="Times New Roman" w:hAnsi="Times New Roman"/>
          <w:szCs w:val="24"/>
        </w:rPr>
        <w:t>података</w:t>
      </w:r>
      <w:r w:rsidR="00484375" w:rsidRPr="00295637">
        <w:rPr>
          <w:rFonts w:ascii="Times New Roman" w:hAnsi="Times New Roman"/>
          <w:szCs w:val="24"/>
        </w:rPr>
        <w:t xml:space="preserve"> </w:t>
      </w:r>
      <w:r>
        <w:rPr>
          <w:rFonts w:ascii="Times New Roman" w:hAnsi="Times New Roman"/>
          <w:szCs w:val="24"/>
        </w:rPr>
        <w:t>за</w:t>
      </w:r>
      <w:r w:rsidR="00484375" w:rsidRPr="00295637">
        <w:rPr>
          <w:rFonts w:ascii="Times New Roman" w:hAnsi="Times New Roman"/>
          <w:szCs w:val="24"/>
        </w:rPr>
        <w:t xml:space="preserve"> </w:t>
      </w:r>
      <w:r>
        <w:rPr>
          <w:rFonts w:ascii="Times New Roman" w:hAnsi="Times New Roman"/>
          <w:szCs w:val="24"/>
        </w:rPr>
        <w:t>рачунање</w:t>
      </w:r>
      <w:r w:rsidR="00484375" w:rsidRPr="00295637">
        <w:rPr>
          <w:rFonts w:ascii="Times New Roman" w:hAnsi="Times New Roman"/>
          <w:szCs w:val="24"/>
        </w:rPr>
        <w:t xml:space="preserve"> </w:t>
      </w:r>
      <w:r>
        <w:rPr>
          <w:rFonts w:ascii="Times New Roman" w:hAnsi="Times New Roman"/>
          <w:szCs w:val="24"/>
        </w:rPr>
        <w:t>родног</w:t>
      </w:r>
      <w:r w:rsidR="00484375" w:rsidRPr="00295637">
        <w:rPr>
          <w:rFonts w:ascii="Times New Roman" w:hAnsi="Times New Roman"/>
          <w:szCs w:val="24"/>
        </w:rPr>
        <w:t xml:space="preserve"> </w:t>
      </w:r>
      <w:r>
        <w:rPr>
          <w:rFonts w:ascii="Times New Roman" w:hAnsi="Times New Roman"/>
          <w:szCs w:val="24"/>
        </w:rPr>
        <w:t>јаза</w:t>
      </w:r>
      <w:r w:rsidR="00484375" w:rsidRPr="00295637">
        <w:rPr>
          <w:rFonts w:ascii="Times New Roman" w:hAnsi="Times New Roman"/>
          <w:szCs w:val="24"/>
        </w:rPr>
        <w:t xml:space="preserve"> </w:t>
      </w:r>
      <w:r>
        <w:rPr>
          <w:rFonts w:ascii="Times New Roman" w:hAnsi="Times New Roman"/>
          <w:szCs w:val="24"/>
        </w:rPr>
        <w:t>у</w:t>
      </w:r>
      <w:r w:rsidR="00484375" w:rsidRPr="00295637">
        <w:rPr>
          <w:rFonts w:ascii="Times New Roman" w:hAnsi="Times New Roman"/>
          <w:szCs w:val="24"/>
        </w:rPr>
        <w:t xml:space="preserve"> </w:t>
      </w:r>
      <w:r>
        <w:rPr>
          <w:rFonts w:ascii="Times New Roman" w:hAnsi="Times New Roman"/>
          <w:szCs w:val="24"/>
        </w:rPr>
        <w:t>пла</w:t>
      </w:r>
      <w:r w:rsidR="0077778E">
        <w:rPr>
          <w:rFonts w:ascii="Times New Roman" w:hAnsi="Times New Roman"/>
          <w:szCs w:val="24"/>
          <w:lang w:val="sr-Cyrl-BA"/>
        </w:rPr>
        <w:t>т</w:t>
      </w:r>
      <w:r>
        <w:rPr>
          <w:rFonts w:ascii="Times New Roman" w:hAnsi="Times New Roman"/>
          <w:szCs w:val="24"/>
        </w:rPr>
        <w:t>ама</w:t>
      </w:r>
      <w:r w:rsidR="00484375" w:rsidRPr="00295637">
        <w:rPr>
          <w:rFonts w:ascii="Times New Roman" w:hAnsi="Times New Roman"/>
          <w:szCs w:val="24"/>
        </w:rPr>
        <w:t xml:space="preserve">, </w:t>
      </w:r>
      <w:r w:rsidR="0077778E">
        <w:rPr>
          <w:rFonts w:ascii="Times New Roman" w:hAnsi="Times New Roman"/>
          <w:szCs w:val="24"/>
        </w:rPr>
        <w:t>би</w:t>
      </w:r>
      <w:r>
        <w:rPr>
          <w:rFonts w:ascii="Times New Roman" w:hAnsi="Times New Roman"/>
          <w:szCs w:val="24"/>
        </w:rPr>
        <w:t>ће</w:t>
      </w:r>
      <w:r w:rsidR="00484375" w:rsidRPr="00295637">
        <w:rPr>
          <w:rFonts w:ascii="Times New Roman" w:hAnsi="Times New Roman"/>
          <w:szCs w:val="24"/>
        </w:rPr>
        <w:t xml:space="preserve"> </w:t>
      </w:r>
      <w:r>
        <w:rPr>
          <w:rFonts w:ascii="Times New Roman" w:hAnsi="Times New Roman"/>
          <w:szCs w:val="24"/>
        </w:rPr>
        <w:t>могуће</w:t>
      </w:r>
      <w:r w:rsidR="00484375" w:rsidRPr="00295637">
        <w:rPr>
          <w:rFonts w:ascii="Times New Roman" w:hAnsi="Times New Roman"/>
          <w:szCs w:val="24"/>
        </w:rPr>
        <w:t xml:space="preserve">, </w:t>
      </w:r>
      <w:r>
        <w:rPr>
          <w:rFonts w:ascii="Times New Roman" w:hAnsi="Times New Roman"/>
          <w:szCs w:val="24"/>
        </w:rPr>
        <w:t>уз</w:t>
      </w:r>
      <w:r w:rsidR="00484375" w:rsidRPr="00295637">
        <w:rPr>
          <w:rFonts w:ascii="Times New Roman" w:hAnsi="Times New Roman"/>
          <w:szCs w:val="24"/>
        </w:rPr>
        <w:t xml:space="preserve"> </w:t>
      </w:r>
      <w:r>
        <w:rPr>
          <w:rFonts w:ascii="Times New Roman" w:hAnsi="Times New Roman"/>
          <w:szCs w:val="24"/>
        </w:rPr>
        <w:t>додатну</w:t>
      </w:r>
      <w:r w:rsidR="00484375" w:rsidRPr="00295637">
        <w:rPr>
          <w:rFonts w:ascii="Times New Roman" w:hAnsi="Times New Roman"/>
          <w:szCs w:val="24"/>
        </w:rPr>
        <w:t xml:space="preserve"> </w:t>
      </w:r>
      <w:r>
        <w:rPr>
          <w:rFonts w:ascii="Times New Roman" w:hAnsi="Times New Roman"/>
          <w:szCs w:val="24"/>
        </w:rPr>
        <w:t>експертску</w:t>
      </w:r>
      <w:r w:rsidR="00484375" w:rsidRPr="00295637">
        <w:rPr>
          <w:rFonts w:ascii="Times New Roman" w:hAnsi="Times New Roman"/>
          <w:szCs w:val="24"/>
        </w:rPr>
        <w:t xml:space="preserve"> </w:t>
      </w:r>
      <w:r>
        <w:rPr>
          <w:rFonts w:ascii="Times New Roman" w:hAnsi="Times New Roman"/>
          <w:szCs w:val="24"/>
        </w:rPr>
        <w:t>помоћ</w:t>
      </w:r>
      <w:r w:rsidR="00484375" w:rsidRPr="00295637">
        <w:rPr>
          <w:rFonts w:ascii="Times New Roman" w:hAnsi="Times New Roman"/>
          <w:szCs w:val="24"/>
        </w:rPr>
        <w:t xml:space="preserve">, </w:t>
      </w:r>
      <w:r>
        <w:rPr>
          <w:rFonts w:ascii="Times New Roman" w:hAnsi="Times New Roman"/>
          <w:szCs w:val="24"/>
        </w:rPr>
        <w:t>да</w:t>
      </w:r>
      <w:r w:rsidR="00484375" w:rsidRPr="00295637">
        <w:rPr>
          <w:rFonts w:ascii="Times New Roman" w:hAnsi="Times New Roman"/>
          <w:szCs w:val="24"/>
        </w:rPr>
        <w:t xml:space="preserve"> </w:t>
      </w:r>
      <w:r>
        <w:rPr>
          <w:rFonts w:ascii="Times New Roman" w:hAnsi="Times New Roman"/>
          <w:szCs w:val="24"/>
        </w:rPr>
        <w:t>се</w:t>
      </w:r>
      <w:r w:rsidR="00484375" w:rsidRPr="00295637">
        <w:rPr>
          <w:rFonts w:ascii="Times New Roman" w:hAnsi="Times New Roman"/>
          <w:szCs w:val="24"/>
        </w:rPr>
        <w:t xml:space="preserve"> </w:t>
      </w:r>
      <w:r>
        <w:rPr>
          <w:rFonts w:ascii="Times New Roman" w:hAnsi="Times New Roman"/>
          <w:szCs w:val="24"/>
        </w:rPr>
        <w:t>развије</w:t>
      </w:r>
      <w:r w:rsidR="00484375" w:rsidRPr="00295637">
        <w:rPr>
          <w:rFonts w:ascii="Times New Roman" w:hAnsi="Times New Roman"/>
          <w:szCs w:val="24"/>
        </w:rPr>
        <w:t xml:space="preserve"> </w:t>
      </w:r>
      <w:r>
        <w:rPr>
          <w:rFonts w:ascii="Times New Roman" w:hAnsi="Times New Roman"/>
          <w:szCs w:val="24"/>
        </w:rPr>
        <w:t>методологија</w:t>
      </w:r>
      <w:r w:rsidR="00484375" w:rsidRPr="00295637">
        <w:rPr>
          <w:rFonts w:ascii="Times New Roman" w:hAnsi="Times New Roman"/>
          <w:szCs w:val="24"/>
        </w:rPr>
        <w:t xml:space="preserve"> </w:t>
      </w:r>
      <w:r>
        <w:rPr>
          <w:rFonts w:ascii="Times New Roman" w:hAnsi="Times New Roman"/>
          <w:szCs w:val="24"/>
        </w:rPr>
        <w:t>за</w:t>
      </w:r>
      <w:r w:rsidR="00484375" w:rsidRPr="00295637">
        <w:rPr>
          <w:rFonts w:ascii="Times New Roman" w:hAnsi="Times New Roman"/>
          <w:szCs w:val="24"/>
        </w:rPr>
        <w:t xml:space="preserve"> </w:t>
      </w:r>
      <w:r>
        <w:rPr>
          <w:rFonts w:ascii="Times New Roman" w:hAnsi="Times New Roman"/>
          <w:szCs w:val="24"/>
        </w:rPr>
        <w:t>рачунање</w:t>
      </w:r>
      <w:r w:rsidR="00484375" w:rsidRPr="00295637">
        <w:rPr>
          <w:rFonts w:ascii="Times New Roman" w:hAnsi="Times New Roman"/>
          <w:szCs w:val="24"/>
        </w:rPr>
        <w:t xml:space="preserve"> </w:t>
      </w:r>
      <w:r>
        <w:rPr>
          <w:rFonts w:ascii="Times New Roman" w:hAnsi="Times New Roman"/>
          <w:szCs w:val="24"/>
        </w:rPr>
        <w:t>овог</w:t>
      </w:r>
      <w:r w:rsidR="00484375" w:rsidRPr="00295637">
        <w:rPr>
          <w:rFonts w:ascii="Times New Roman" w:hAnsi="Times New Roman"/>
          <w:szCs w:val="24"/>
        </w:rPr>
        <w:t xml:space="preserve"> </w:t>
      </w:r>
      <w:r>
        <w:rPr>
          <w:rFonts w:ascii="Times New Roman" w:hAnsi="Times New Roman"/>
          <w:szCs w:val="24"/>
        </w:rPr>
        <w:t>индикатора</w:t>
      </w:r>
      <w:r w:rsidR="00484375" w:rsidRPr="00295637">
        <w:rPr>
          <w:rFonts w:ascii="Times New Roman" w:hAnsi="Times New Roman"/>
          <w:szCs w:val="24"/>
        </w:rPr>
        <w:t xml:space="preserve">. </w:t>
      </w:r>
    </w:p>
    <w:p w:rsidR="00C518DE" w:rsidRPr="00295637" w:rsidRDefault="00C518DE" w:rsidP="0086268D">
      <w:pPr>
        <w:jc w:val="both"/>
        <w:rPr>
          <w:rFonts w:ascii="Times New Roman" w:hAnsi="Times New Roman"/>
          <w:szCs w:val="24"/>
        </w:rPr>
      </w:pPr>
    </w:p>
    <w:p w:rsidR="00664E91" w:rsidRPr="00A43AB2" w:rsidRDefault="00C6214E" w:rsidP="0086268D">
      <w:pPr>
        <w:pStyle w:val="ListParagraph"/>
        <w:ind w:left="0"/>
        <w:jc w:val="both"/>
        <w:rPr>
          <w:lang w:val="bs-Latn-BA" w:eastAsia="bs-Latn-BA"/>
        </w:rPr>
      </w:pPr>
      <w:r>
        <w:rPr>
          <w:rFonts w:ascii="Times New Roman" w:hAnsi="Times New Roman"/>
          <w:lang w:val="sr-Cyrl-BA"/>
        </w:rPr>
        <w:t>М</w:t>
      </w:r>
      <w:r>
        <w:rPr>
          <w:rFonts w:ascii="Times New Roman" w:hAnsi="Times New Roman"/>
          <w:lang w:val="bs-Latn-BA"/>
        </w:rPr>
        <w:t>ПП</w:t>
      </w:r>
      <w:r w:rsidR="00934CF1" w:rsidRPr="00295637">
        <w:rPr>
          <w:rFonts w:ascii="Times New Roman" w:hAnsi="Times New Roman"/>
          <w:lang w:val="bs-Latn-BA"/>
        </w:rPr>
        <w:t xml:space="preserve"> </w:t>
      </w:r>
      <w:r>
        <w:rPr>
          <w:rFonts w:ascii="Times New Roman" w:hAnsi="Times New Roman"/>
          <w:lang w:val="bs-Latn-BA"/>
        </w:rPr>
        <w:t>РС</w:t>
      </w:r>
      <w:r w:rsidR="00934CF1" w:rsidRPr="00295637">
        <w:rPr>
          <w:rFonts w:ascii="Times New Roman" w:hAnsi="Times New Roman"/>
          <w:lang w:val="bs-Latn-BA"/>
        </w:rPr>
        <w:t xml:space="preserve"> </w:t>
      </w:r>
      <w:r>
        <w:rPr>
          <w:rFonts w:ascii="Times New Roman" w:hAnsi="Times New Roman"/>
          <w:lang w:val="sr-Cyrl-BA"/>
        </w:rPr>
        <w:t>т</w:t>
      </w:r>
      <w:r>
        <w:rPr>
          <w:rFonts w:ascii="Times New Roman" w:hAnsi="Times New Roman"/>
          <w:lang w:val="hr-HR"/>
        </w:rPr>
        <w:t>о</w:t>
      </w:r>
      <w:r>
        <w:rPr>
          <w:rFonts w:ascii="Times New Roman" w:hAnsi="Times New Roman"/>
          <w:lang w:val="sr-Cyrl-BA"/>
        </w:rPr>
        <w:t>ком</w:t>
      </w:r>
      <w:r w:rsidR="00664E91" w:rsidRPr="00295637">
        <w:rPr>
          <w:rFonts w:ascii="Times New Roman" w:hAnsi="Times New Roman"/>
          <w:lang w:val="sr-Cyrl-BA"/>
        </w:rPr>
        <w:t xml:space="preserve"> </w:t>
      </w:r>
      <w:r>
        <w:rPr>
          <w:rFonts w:ascii="Times New Roman" w:hAnsi="Times New Roman"/>
          <w:lang w:val="sr-Cyrl-BA"/>
        </w:rPr>
        <w:t>припреме</w:t>
      </w:r>
      <w:r w:rsidR="00664E91" w:rsidRPr="00295637">
        <w:rPr>
          <w:rFonts w:ascii="Times New Roman" w:hAnsi="Times New Roman"/>
          <w:lang w:val="sr-Cyrl-BA"/>
        </w:rPr>
        <w:t xml:space="preserve"> </w:t>
      </w:r>
      <w:r>
        <w:rPr>
          <w:rFonts w:ascii="Times New Roman" w:hAnsi="Times New Roman"/>
          <w:lang w:val="sr-Cyrl-BA"/>
        </w:rPr>
        <w:t>Годишњег</w:t>
      </w:r>
      <w:r w:rsidR="00664E91"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таја</w:t>
      </w:r>
      <w:r w:rsidR="00664E91" w:rsidRPr="00295637">
        <w:rPr>
          <w:rFonts w:ascii="Times New Roman" w:hAnsi="Times New Roman"/>
          <w:lang w:val="sr-Cyrl-BA"/>
        </w:rPr>
        <w:t xml:space="preserve"> </w:t>
      </w:r>
      <w:r>
        <w:rPr>
          <w:rFonts w:ascii="Times New Roman" w:hAnsi="Times New Roman"/>
          <w:lang w:val="sr-Cyrl-BA"/>
        </w:rPr>
        <w:t>за</w:t>
      </w:r>
      <w:r w:rsidR="00664E91" w:rsidRPr="00295637">
        <w:rPr>
          <w:rFonts w:ascii="Times New Roman" w:hAnsi="Times New Roman"/>
          <w:lang w:val="sr-Cyrl-BA"/>
        </w:rPr>
        <w:t xml:space="preserve"> </w:t>
      </w:r>
      <w:r>
        <w:rPr>
          <w:rFonts w:ascii="Times New Roman" w:hAnsi="Times New Roman"/>
          <w:lang w:val="hr-HR"/>
        </w:rPr>
        <w:t>област</w:t>
      </w:r>
      <w:r w:rsidR="00664E91" w:rsidRPr="00295637">
        <w:rPr>
          <w:rFonts w:ascii="Times New Roman" w:hAnsi="Times New Roman"/>
          <w:lang w:val="sr-Cyrl-BA"/>
        </w:rPr>
        <w:t xml:space="preserve"> </w:t>
      </w:r>
      <w:r>
        <w:rPr>
          <w:rFonts w:ascii="Times New Roman" w:hAnsi="Times New Roman"/>
          <w:lang w:val="sr-Cyrl-BA"/>
        </w:rPr>
        <w:t>малих</w:t>
      </w:r>
      <w:r w:rsidR="00664E91" w:rsidRPr="00295637">
        <w:rPr>
          <w:rFonts w:ascii="Times New Roman" w:hAnsi="Times New Roman"/>
          <w:lang w:val="sr-Cyrl-BA"/>
        </w:rPr>
        <w:t xml:space="preserve"> </w:t>
      </w:r>
      <w:r>
        <w:rPr>
          <w:rFonts w:ascii="Times New Roman" w:hAnsi="Times New Roman"/>
          <w:lang w:val="sr-Cyrl-BA"/>
        </w:rPr>
        <w:t>и</w:t>
      </w:r>
      <w:r w:rsidR="00664E91" w:rsidRPr="00295637">
        <w:rPr>
          <w:rFonts w:ascii="Times New Roman" w:hAnsi="Times New Roman"/>
          <w:lang w:val="sr-Cyrl-BA"/>
        </w:rPr>
        <w:t xml:space="preserve"> </w:t>
      </w:r>
      <w:r>
        <w:rPr>
          <w:rFonts w:ascii="Times New Roman" w:hAnsi="Times New Roman"/>
          <w:lang w:val="sr-Cyrl-BA"/>
        </w:rPr>
        <w:t>средњих</w:t>
      </w:r>
      <w:r w:rsidR="00664E91" w:rsidRPr="00295637">
        <w:rPr>
          <w:rFonts w:ascii="Times New Roman" w:hAnsi="Times New Roman"/>
          <w:lang w:val="sr-Cyrl-BA"/>
        </w:rPr>
        <w:t xml:space="preserve"> </w:t>
      </w:r>
      <w:r>
        <w:rPr>
          <w:rFonts w:ascii="Times New Roman" w:hAnsi="Times New Roman"/>
          <w:lang w:val="sr-Cyrl-BA"/>
        </w:rPr>
        <w:t>п</w:t>
      </w:r>
      <w:r>
        <w:rPr>
          <w:rFonts w:ascii="Times New Roman" w:hAnsi="Times New Roman"/>
          <w:lang w:val="hr-HR"/>
        </w:rPr>
        <w:t>ре</w:t>
      </w:r>
      <w:r>
        <w:rPr>
          <w:rFonts w:ascii="Times New Roman" w:hAnsi="Times New Roman"/>
          <w:lang w:val="sr-Cyrl-BA"/>
        </w:rPr>
        <w:t>дузећа</w:t>
      </w:r>
      <w:r w:rsidR="00664E91" w:rsidRPr="00295637">
        <w:rPr>
          <w:rFonts w:ascii="Times New Roman" w:hAnsi="Times New Roman"/>
          <w:lang w:val="sr-Cyrl-BA"/>
        </w:rPr>
        <w:t xml:space="preserve"> </w:t>
      </w:r>
      <w:r>
        <w:rPr>
          <w:rFonts w:ascii="Times New Roman" w:hAnsi="Times New Roman"/>
          <w:lang w:val="sr-Cyrl-BA"/>
        </w:rPr>
        <w:t>прикупља</w:t>
      </w:r>
      <w:r w:rsidR="00664E91" w:rsidRPr="00295637">
        <w:rPr>
          <w:rFonts w:ascii="Times New Roman" w:hAnsi="Times New Roman"/>
          <w:lang w:val="sr-Cyrl-BA"/>
        </w:rPr>
        <w:t xml:space="preserve"> </w:t>
      </w:r>
      <w:r>
        <w:rPr>
          <w:rFonts w:ascii="Times New Roman" w:hAnsi="Times New Roman"/>
          <w:lang w:val="sr-Cyrl-BA"/>
        </w:rPr>
        <w:t>податке</w:t>
      </w:r>
      <w:r w:rsidR="00664E91" w:rsidRPr="00295637">
        <w:rPr>
          <w:rFonts w:ascii="Times New Roman" w:hAnsi="Times New Roman"/>
          <w:lang w:val="sr-Cyrl-BA"/>
        </w:rPr>
        <w:t xml:space="preserve"> </w:t>
      </w:r>
      <w:r>
        <w:rPr>
          <w:rFonts w:ascii="Times New Roman" w:hAnsi="Times New Roman"/>
          <w:lang w:val="sr-Cyrl-BA"/>
        </w:rPr>
        <w:t>о</w:t>
      </w:r>
      <w:r w:rsidR="00664E91"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дршци</w:t>
      </w:r>
      <w:r w:rsidR="00664E91" w:rsidRPr="00295637">
        <w:rPr>
          <w:rFonts w:ascii="Times New Roman" w:hAnsi="Times New Roman"/>
          <w:lang w:val="sr-Cyrl-BA"/>
        </w:rPr>
        <w:t xml:space="preserve"> </w:t>
      </w:r>
      <w:r>
        <w:rPr>
          <w:rFonts w:ascii="Times New Roman" w:hAnsi="Times New Roman"/>
          <w:lang w:val="sr-Cyrl-BA"/>
        </w:rPr>
        <w:t>женама</w:t>
      </w:r>
      <w:r w:rsidR="00664E91" w:rsidRPr="00295637">
        <w:rPr>
          <w:rFonts w:ascii="Times New Roman" w:hAnsi="Times New Roman"/>
          <w:lang w:val="sr-Cyrl-BA"/>
        </w:rPr>
        <w:t xml:space="preserve"> </w:t>
      </w:r>
      <w:r>
        <w:rPr>
          <w:rFonts w:ascii="Times New Roman" w:hAnsi="Times New Roman"/>
          <w:lang w:val="sr-Cyrl-BA"/>
        </w:rPr>
        <w:t>п</w:t>
      </w:r>
      <w:r>
        <w:rPr>
          <w:rFonts w:ascii="Times New Roman" w:hAnsi="Times New Roman"/>
          <w:lang w:val="hr-HR"/>
        </w:rPr>
        <w:t>ре</w:t>
      </w:r>
      <w:r>
        <w:rPr>
          <w:rFonts w:ascii="Times New Roman" w:hAnsi="Times New Roman"/>
          <w:lang w:val="sr-Cyrl-BA"/>
        </w:rPr>
        <w:t>дузетницама</w:t>
      </w:r>
      <w:r w:rsidR="00664E91" w:rsidRPr="00295637">
        <w:rPr>
          <w:rFonts w:ascii="Times New Roman" w:hAnsi="Times New Roman"/>
          <w:lang w:val="sr-Cyrl-BA"/>
        </w:rPr>
        <w:t xml:space="preserve">. </w:t>
      </w:r>
      <w:r>
        <w:rPr>
          <w:rFonts w:ascii="Times New Roman" w:hAnsi="Times New Roman"/>
          <w:lang w:val="sr-Cyrl-BA"/>
        </w:rPr>
        <w:t>Влада</w:t>
      </w:r>
      <w:r w:rsidR="00664E91" w:rsidRPr="00295637">
        <w:rPr>
          <w:rFonts w:ascii="Times New Roman" w:hAnsi="Times New Roman"/>
          <w:lang w:val="sr-Cyrl-BA"/>
        </w:rPr>
        <w:t xml:space="preserve"> </w:t>
      </w:r>
      <w:r>
        <w:rPr>
          <w:rFonts w:ascii="Times New Roman" w:hAnsi="Times New Roman"/>
          <w:lang w:val="sr-Cyrl-BA"/>
        </w:rPr>
        <w:t>РС</w:t>
      </w:r>
      <w:r w:rsidR="00664E91" w:rsidRPr="00295637">
        <w:rPr>
          <w:rFonts w:ascii="Times New Roman" w:hAnsi="Times New Roman"/>
          <w:lang w:val="sr-Cyrl-BA"/>
        </w:rPr>
        <w:t xml:space="preserve"> </w:t>
      </w:r>
      <w:r>
        <w:rPr>
          <w:rFonts w:ascii="Times New Roman" w:hAnsi="Times New Roman"/>
          <w:lang w:val="sr-Cyrl-BA"/>
        </w:rPr>
        <w:t>усвојила</w:t>
      </w:r>
      <w:r w:rsidR="00664E91" w:rsidRPr="00295637">
        <w:rPr>
          <w:rFonts w:ascii="Times New Roman" w:hAnsi="Times New Roman"/>
          <w:lang w:val="sr-Cyrl-BA"/>
        </w:rPr>
        <w:t xml:space="preserve"> </w:t>
      </w:r>
      <w:r>
        <w:rPr>
          <w:rFonts w:ascii="Times New Roman" w:hAnsi="Times New Roman"/>
          <w:lang w:val="sr-Cyrl-BA"/>
        </w:rPr>
        <w:t>је</w:t>
      </w:r>
      <w:r w:rsidR="00664E91" w:rsidRPr="00295637">
        <w:rPr>
          <w:rFonts w:ascii="Times New Roman" w:hAnsi="Times New Roman"/>
          <w:lang w:val="sr-Cyrl-BA"/>
        </w:rPr>
        <w:t xml:space="preserve"> </w:t>
      </w:r>
      <w:r>
        <w:rPr>
          <w:rFonts w:ascii="Times New Roman" w:hAnsi="Times New Roman"/>
          <w:lang w:val="sr-Cyrl-BA"/>
        </w:rPr>
        <w:t>Годишњ</w:t>
      </w:r>
      <w:r>
        <w:rPr>
          <w:rFonts w:ascii="Times New Roman" w:hAnsi="Times New Roman"/>
          <w:lang w:val="hr-HR"/>
        </w:rPr>
        <w:t>и</w:t>
      </w:r>
      <w:r w:rsidR="00664E91"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w:t>
      </w:r>
      <w:r w:rsidR="00664E91" w:rsidRPr="00295637">
        <w:rPr>
          <w:rFonts w:ascii="Times New Roman" w:hAnsi="Times New Roman"/>
          <w:lang w:val="sr-Cyrl-BA"/>
        </w:rPr>
        <w:t xml:space="preserve"> </w:t>
      </w:r>
      <w:r>
        <w:rPr>
          <w:rFonts w:ascii="Times New Roman" w:hAnsi="Times New Roman"/>
          <w:lang w:val="sr-Cyrl-BA"/>
        </w:rPr>
        <w:t>за</w:t>
      </w:r>
      <w:r w:rsidR="00664E91" w:rsidRPr="00295637">
        <w:rPr>
          <w:rFonts w:ascii="Times New Roman" w:hAnsi="Times New Roman"/>
          <w:lang w:val="sr-Cyrl-BA"/>
        </w:rPr>
        <w:t xml:space="preserve"> </w:t>
      </w:r>
      <w:r>
        <w:rPr>
          <w:rFonts w:ascii="Times New Roman" w:hAnsi="Times New Roman"/>
          <w:lang w:val="hr-HR"/>
        </w:rPr>
        <w:t>област</w:t>
      </w:r>
      <w:r w:rsidR="00664E91" w:rsidRPr="00295637">
        <w:rPr>
          <w:rFonts w:ascii="Times New Roman" w:hAnsi="Times New Roman"/>
          <w:lang w:val="sr-Cyrl-BA"/>
        </w:rPr>
        <w:t xml:space="preserve"> </w:t>
      </w:r>
      <w:r>
        <w:rPr>
          <w:rFonts w:ascii="Times New Roman" w:hAnsi="Times New Roman"/>
          <w:lang w:val="sr-Cyrl-BA"/>
        </w:rPr>
        <w:t>малих</w:t>
      </w:r>
      <w:r w:rsidR="00664E91" w:rsidRPr="00295637">
        <w:rPr>
          <w:rFonts w:ascii="Times New Roman" w:hAnsi="Times New Roman"/>
          <w:lang w:val="sr-Cyrl-BA"/>
        </w:rPr>
        <w:t xml:space="preserve"> </w:t>
      </w:r>
      <w:r>
        <w:rPr>
          <w:rFonts w:ascii="Times New Roman" w:hAnsi="Times New Roman"/>
          <w:lang w:val="sr-Cyrl-BA"/>
        </w:rPr>
        <w:t>и</w:t>
      </w:r>
      <w:r w:rsidR="00664E91" w:rsidRPr="00295637">
        <w:rPr>
          <w:rFonts w:ascii="Times New Roman" w:hAnsi="Times New Roman"/>
          <w:lang w:val="sr-Cyrl-BA"/>
        </w:rPr>
        <w:t xml:space="preserve"> </w:t>
      </w:r>
      <w:r>
        <w:rPr>
          <w:rFonts w:ascii="Times New Roman" w:hAnsi="Times New Roman"/>
          <w:lang w:val="sr-Cyrl-BA"/>
        </w:rPr>
        <w:t>средњих</w:t>
      </w:r>
      <w:r w:rsidR="00664E91" w:rsidRPr="00295637">
        <w:rPr>
          <w:rFonts w:ascii="Times New Roman" w:hAnsi="Times New Roman"/>
          <w:lang w:val="sr-Cyrl-BA"/>
        </w:rPr>
        <w:t xml:space="preserve"> </w:t>
      </w:r>
      <w:r>
        <w:rPr>
          <w:rFonts w:ascii="Times New Roman" w:hAnsi="Times New Roman"/>
          <w:lang w:val="sr-Cyrl-BA"/>
        </w:rPr>
        <w:t>п</w:t>
      </w:r>
      <w:r>
        <w:rPr>
          <w:rFonts w:ascii="Times New Roman" w:hAnsi="Times New Roman"/>
          <w:lang w:val="hr-HR"/>
        </w:rPr>
        <w:t>ре</w:t>
      </w:r>
      <w:r>
        <w:rPr>
          <w:rFonts w:ascii="Times New Roman" w:hAnsi="Times New Roman"/>
          <w:lang w:val="sr-Cyrl-BA"/>
        </w:rPr>
        <w:t>дузећа</w:t>
      </w:r>
      <w:r w:rsidR="00664E91" w:rsidRPr="00295637">
        <w:rPr>
          <w:rFonts w:ascii="Times New Roman" w:hAnsi="Times New Roman"/>
          <w:lang w:val="sr-Cyrl-BA"/>
        </w:rPr>
        <w:t xml:space="preserve"> </w:t>
      </w:r>
      <w:r>
        <w:rPr>
          <w:rFonts w:ascii="Times New Roman" w:hAnsi="Times New Roman"/>
          <w:lang w:val="sr-Cyrl-BA"/>
        </w:rPr>
        <w:t>за</w:t>
      </w:r>
      <w:r w:rsidR="00664E91" w:rsidRPr="00295637">
        <w:rPr>
          <w:rFonts w:ascii="Times New Roman" w:hAnsi="Times New Roman"/>
          <w:lang w:val="sr-Cyrl-BA"/>
        </w:rPr>
        <w:t xml:space="preserve"> 2023.</w:t>
      </w:r>
      <w:r w:rsidR="002616AA">
        <w:rPr>
          <w:rFonts w:ascii="Times New Roman" w:hAnsi="Times New Roman"/>
          <w:lang w:val="hr-HR"/>
        </w:rPr>
        <w:t xml:space="preserve"> </w:t>
      </w:r>
      <w:r>
        <w:rPr>
          <w:rFonts w:ascii="Times New Roman" w:hAnsi="Times New Roman"/>
          <w:lang w:val="sr-Cyrl-BA"/>
        </w:rPr>
        <w:t>годину</w:t>
      </w:r>
      <w:r w:rsidR="00664E91" w:rsidRPr="00295637">
        <w:rPr>
          <w:rFonts w:ascii="Times New Roman" w:hAnsi="Times New Roman"/>
          <w:lang w:val="sr-Cyrl-BA"/>
        </w:rPr>
        <w:t xml:space="preserve"> </w:t>
      </w:r>
      <w:r>
        <w:rPr>
          <w:rFonts w:ascii="Times New Roman" w:hAnsi="Times New Roman"/>
          <w:lang w:val="sr-Latn-BA"/>
        </w:rPr>
        <w:t>у</w:t>
      </w:r>
      <w:r w:rsidR="00664E91" w:rsidRPr="00295637">
        <w:rPr>
          <w:rFonts w:ascii="Times New Roman" w:hAnsi="Times New Roman"/>
          <w:lang w:val="sr-Latn-BA"/>
        </w:rPr>
        <w:t xml:space="preserve"> </w:t>
      </w:r>
      <w:r>
        <w:rPr>
          <w:rFonts w:ascii="Times New Roman" w:hAnsi="Times New Roman"/>
          <w:lang w:val="sr-Latn-BA"/>
        </w:rPr>
        <w:t>октобру</w:t>
      </w:r>
      <w:r w:rsidR="00664E91" w:rsidRPr="00295637">
        <w:rPr>
          <w:rFonts w:ascii="Times New Roman" w:hAnsi="Times New Roman"/>
          <w:lang w:val="sr-Latn-BA"/>
        </w:rPr>
        <w:t xml:space="preserve"> </w:t>
      </w:r>
      <w:r w:rsidR="00664E91" w:rsidRPr="00295637">
        <w:rPr>
          <w:rFonts w:ascii="Times New Roman" w:hAnsi="Times New Roman"/>
          <w:lang w:val="sr-Cyrl-BA"/>
        </w:rPr>
        <w:t>2024.</w:t>
      </w:r>
      <w:r w:rsidR="002616AA">
        <w:rPr>
          <w:rFonts w:ascii="Times New Roman" w:hAnsi="Times New Roman"/>
          <w:lang w:val="hr-HR"/>
        </w:rPr>
        <w:t xml:space="preserve"> </w:t>
      </w:r>
      <w:r>
        <w:rPr>
          <w:rFonts w:ascii="Times New Roman" w:hAnsi="Times New Roman"/>
          <w:lang w:val="sr-Cyrl-BA"/>
        </w:rPr>
        <w:t>године</w:t>
      </w:r>
      <w:r w:rsidR="00664E91" w:rsidRPr="00295637">
        <w:rPr>
          <w:rFonts w:ascii="Times New Roman" w:hAnsi="Times New Roman"/>
          <w:lang w:val="sr-Cyrl-BA"/>
        </w:rPr>
        <w:t>.</w:t>
      </w:r>
      <w:r w:rsidR="00664E91" w:rsidRPr="00295637">
        <w:rPr>
          <w:rFonts w:ascii="Times New Roman" w:hAnsi="Times New Roman"/>
          <w:lang w:val="sr-Latn-BA"/>
        </w:rPr>
        <w:t xml:space="preserve"> </w:t>
      </w:r>
      <w:r>
        <w:rPr>
          <w:rFonts w:ascii="Times New Roman" w:hAnsi="Times New Roman"/>
          <w:lang w:val="sr-Cyrl-BA"/>
        </w:rPr>
        <w:t>У</w:t>
      </w:r>
      <w:r w:rsidR="00664E91" w:rsidRPr="00295637">
        <w:rPr>
          <w:rFonts w:ascii="Times New Roman" w:hAnsi="Times New Roman"/>
          <w:lang w:val="sr-Cyrl-BA"/>
        </w:rPr>
        <w:t xml:space="preserve"> </w:t>
      </w:r>
      <w:r>
        <w:rPr>
          <w:rFonts w:ascii="Times New Roman" w:hAnsi="Times New Roman"/>
          <w:lang w:val="sr-Cyrl-BA"/>
        </w:rPr>
        <w:t>оквиру</w:t>
      </w:r>
      <w:r w:rsidR="00664E91"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таја</w:t>
      </w:r>
      <w:r w:rsidR="00664E91" w:rsidRPr="00295637">
        <w:rPr>
          <w:rFonts w:ascii="Times New Roman" w:hAnsi="Times New Roman"/>
          <w:lang w:val="sr-Cyrl-BA"/>
        </w:rPr>
        <w:t xml:space="preserve"> </w:t>
      </w:r>
      <w:r>
        <w:rPr>
          <w:rFonts w:ascii="Times New Roman" w:hAnsi="Times New Roman"/>
          <w:lang w:val="sr-Cyrl-BA"/>
        </w:rPr>
        <w:t>обрађено</w:t>
      </w:r>
      <w:r w:rsidR="00664E91" w:rsidRPr="00295637">
        <w:rPr>
          <w:rFonts w:ascii="Times New Roman" w:hAnsi="Times New Roman"/>
          <w:lang w:val="sr-Cyrl-BA"/>
        </w:rPr>
        <w:t xml:space="preserve"> </w:t>
      </w:r>
      <w:r>
        <w:rPr>
          <w:rFonts w:ascii="Times New Roman" w:hAnsi="Times New Roman"/>
          <w:lang w:val="sr-Cyrl-BA"/>
        </w:rPr>
        <w:t>је</w:t>
      </w:r>
      <w:r w:rsidR="00664E91" w:rsidRPr="00295637">
        <w:rPr>
          <w:rFonts w:ascii="Times New Roman" w:hAnsi="Times New Roman"/>
          <w:lang w:val="sr-Cyrl-BA"/>
        </w:rPr>
        <w:t xml:space="preserve"> </w:t>
      </w:r>
      <w:r>
        <w:rPr>
          <w:rFonts w:ascii="Times New Roman" w:hAnsi="Times New Roman"/>
          <w:lang w:val="sr-Cyrl-BA"/>
        </w:rPr>
        <w:t>посебно</w:t>
      </w:r>
      <w:r w:rsidR="00664E91" w:rsidRPr="00295637">
        <w:rPr>
          <w:rFonts w:ascii="Times New Roman" w:hAnsi="Times New Roman"/>
          <w:lang w:val="sr-Cyrl-BA"/>
        </w:rPr>
        <w:t xml:space="preserve"> </w:t>
      </w:r>
      <w:r>
        <w:rPr>
          <w:rFonts w:ascii="Times New Roman" w:hAnsi="Times New Roman"/>
          <w:lang w:val="sr-Cyrl-BA"/>
        </w:rPr>
        <w:t>поглавље</w:t>
      </w:r>
      <w:r w:rsidR="00664E91" w:rsidRPr="00295637">
        <w:rPr>
          <w:rFonts w:ascii="Times New Roman" w:hAnsi="Times New Roman"/>
          <w:lang w:val="sr-Cyrl-BA"/>
        </w:rPr>
        <w:t xml:space="preserve"> </w:t>
      </w:r>
      <w:r>
        <w:rPr>
          <w:rFonts w:ascii="Times New Roman" w:hAnsi="Times New Roman"/>
          <w:lang w:val="sr-Cyrl-BA"/>
        </w:rPr>
        <w:t>под</w:t>
      </w:r>
      <w:r w:rsidR="00664E91" w:rsidRPr="00295637">
        <w:rPr>
          <w:rFonts w:ascii="Times New Roman" w:hAnsi="Times New Roman"/>
          <w:lang w:val="sr-Cyrl-BA"/>
        </w:rPr>
        <w:t xml:space="preserve"> </w:t>
      </w:r>
      <w:r>
        <w:rPr>
          <w:rFonts w:ascii="Times New Roman" w:hAnsi="Times New Roman"/>
          <w:lang w:val="sr-Cyrl-BA"/>
        </w:rPr>
        <w:t>називом</w:t>
      </w:r>
      <w:r w:rsidR="00664E91" w:rsidRPr="00295637">
        <w:rPr>
          <w:rFonts w:ascii="Times New Roman" w:hAnsi="Times New Roman"/>
          <w:lang w:val="sr-Cyrl-BA"/>
        </w:rPr>
        <w:t xml:space="preserve"> </w:t>
      </w:r>
      <w:r w:rsidR="00D506C4" w:rsidRPr="00295637">
        <w:rPr>
          <w:rFonts w:ascii="Times New Roman" w:hAnsi="Times New Roman"/>
          <w:lang w:val="bs-Latn-BA"/>
        </w:rPr>
        <w:t>„</w:t>
      </w:r>
      <w:r>
        <w:rPr>
          <w:rFonts w:ascii="Times New Roman" w:hAnsi="Times New Roman"/>
          <w:lang w:val="sr-Cyrl-BA"/>
        </w:rPr>
        <w:t>П</w:t>
      </w:r>
      <w:r>
        <w:rPr>
          <w:rFonts w:ascii="Times New Roman" w:hAnsi="Times New Roman"/>
          <w:lang w:val="hr-HR"/>
        </w:rPr>
        <w:t>ре</w:t>
      </w:r>
      <w:r>
        <w:rPr>
          <w:rFonts w:ascii="Times New Roman" w:hAnsi="Times New Roman"/>
          <w:lang w:val="sr-Cyrl-BA"/>
        </w:rPr>
        <w:t>дузетништво</w:t>
      </w:r>
      <w:r w:rsidR="00664E91" w:rsidRPr="00295637">
        <w:rPr>
          <w:rFonts w:ascii="Times New Roman" w:hAnsi="Times New Roman"/>
          <w:lang w:val="sr-Cyrl-BA"/>
        </w:rPr>
        <w:t xml:space="preserve"> </w:t>
      </w:r>
      <w:r>
        <w:rPr>
          <w:rFonts w:ascii="Times New Roman" w:hAnsi="Times New Roman"/>
          <w:lang w:val="sr-Cyrl-BA"/>
        </w:rPr>
        <w:t>жена</w:t>
      </w:r>
      <w:r w:rsidR="00D506C4" w:rsidRPr="00295637">
        <w:rPr>
          <w:rFonts w:ascii="Times New Roman" w:hAnsi="Times New Roman"/>
          <w:lang w:val="bs-Latn-BA"/>
        </w:rPr>
        <w:t>“</w:t>
      </w:r>
      <w:r w:rsidR="00664E91" w:rsidRPr="00295637">
        <w:rPr>
          <w:rFonts w:ascii="Times New Roman" w:hAnsi="Times New Roman"/>
          <w:lang w:val="sr-Cyrl-BA"/>
        </w:rPr>
        <w:t xml:space="preserve">, </w:t>
      </w:r>
      <w:r>
        <w:rPr>
          <w:rFonts w:ascii="Times New Roman" w:hAnsi="Times New Roman"/>
          <w:lang w:val="sr-Cyrl-BA"/>
        </w:rPr>
        <w:t>које</w:t>
      </w:r>
      <w:r w:rsidR="00664E91" w:rsidRPr="00295637">
        <w:rPr>
          <w:rFonts w:ascii="Times New Roman" w:hAnsi="Times New Roman"/>
          <w:lang w:val="sr-Cyrl-BA"/>
        </w:rPr>
        <w:t xml:space="preserve"> </w:t>
      </w:r>
      <w:r>
        <w:rPr>
          <w:rFonts w:ascii="Times New Roman" w:hAnsi="Times New Roman"/>
          <w:lang w:val="sr-Cyrl-BA"/>
        </w:rPr>
        <w:t>садржи</w:t>
      </w:r>
      <w:r w:rsidR="00664E91" w:rsidRPr="00295637">
        <w:rPr>
          <w:rFonts w:ascii="Times New Roman" w:hAnsi="Times New Roman"/>
          <w:lang w:val="sr-Cyrl-BA"/>
        </w:rPr>
        <w:t xml:space="preserve"> </w:t>
      </w:r>
      <w:r>
        <w:rPr>
          <w:rFonts w:ascii="Times New Roman" w:hAnsi="Times New Roman"/>
          <w:lang w:val="sr-Cyrl-BA"/>
        </w:rPr>
        <w:t>статистичке</w:t>
      </w:r>
      <w:r w:rsidR="00664E91" w:rsidRPr="00295637">
        <w:rPr>
          <w:rFonts w:ascii="Times New Roman" w:hAnsi="Times New Roman"/>
          <w:lang w:val="sr-Cyrl-BA"/>
        </w:rPr>
        <w:t xml:space="preserve"> </w:t>
      </w:r>
      <w:r>
        <w:rPr>
          <w:rFonts w:ascii="Times New Roman" w:hAnsi="Times New Roman"/>
          <w:lang w:val="sr-Cyrl-BA"/>
        </w:rPr>
        <w:t>податке</w:t>
      </w:r>
      <w:r w:rsidR="00664E91" w:rsidRPr="00295637">
        <w:rPr>
          <w:rFonts w:ascii="Times New Roman" w:hAnsi="Times New Roman"/>
          <w:lang w:val="sr-Cyrl-BA"/>
        </w:rPr>
        <w:t xml:space="preserve"> </w:t>
      </w:r>
      <w:r>
        <w:rPr>
          <w:rFonts w:ascii="Times New Roman" w:hAnsi="Times New Roman"/>
          <w:lang w:val="sr-Cyrl-BA"/>
        </w:rPr>
        <w:t>и</w:t>
      </w:r>
      <w:r w:rsidR="00664E91" w:rsidRPr="00295637">
        <w:rPr>
          <w:rFonts w:ascii="Times New Roman" w:hAnsi="Times New Roman"/>
          <w:lang w:val="sr-Cyrl-BA"/>
        </w:rPr>
        <w:t xml:space="preserve"> </w:t>
      </w:r>
      <w:r>
        <w:rPr>
          <w:rFonts w:ascii="Times New Roman" w:hAnsi="Times New Roman"/>
          <w:lang w:val="sr-Latn-BA"/>
        </w:rPr>
        <w:t>информације</w:t>
      </w:r>
      <w:r w:rsidR="00664E91" w:rsidRPr="00295637">
        <w:rPr>
          <w:rFonts w:ascii="Times New Roman" w:hAnsi="Times New Roman"/>
          <w:lang w:val="sr-Latn-BA"/>
        </w:rPr>
        <w:t xml:space="preserve"> </w:t>
      </w:r>
      <w:r>
        <w:rPr>
          <w:rFonts w:ascii="Times New Roman" w:hAnsi="Times New Roman"/>
          <w:lang w:val="sr-Latn-BA"/>
        </w:rPr>
        <w:t>о</w:t>
      </w:r>
      <w:r w:rsidR="00664E91" w:rsidRPr="00295637">
        <w:rPr>
          <w:rFonts w:ascii="Times New Roman" w:hAnsi="Times New Roman"/>
          <w:lang w:val="sr-Latn-BA"/>
        </w:rPr>
        <w:t xml:space="preserve"> </w:t>
      </w:r>
      <w:r>
        <w:rPr>
          <w:rFonts w:ascii="Times New Roman" w:hAnsi="Times New Roman"/>
          <w:lang w:val="sr-Cyrl-BA"/>
        </w:rPr>
        <w:t>реализациј</w:t>
      </w:r>
      <w:r>
        <w:rPr>
          <w:rFonts w:ascii="Times New Roman" w:hAnsi="Times New Roman"/>
          <w:lang w:val="sr-Latn-BA"/>
        </w:rPr>
        <w:t>и</w:t>
      </w:r>
      <w:r w:rsidR="00664E91" w:rsidRPr="00295637">
        <w:rPr>
          <w:rFonts w:ascii="Times New Roman" w:hAnsi="Times New Roman"/>
          <w:lang w:val="sr-Cyrl-BA"/>
        </w:rPr>
        <w:t xml:space="preserve"> </w:t>
      </w:r>
      <w:r>
        <w:rPr>
          <w:rFonts w:ascii="Times New Roman" w:hAnsi="Times New Roman"/>
          <w:lang w:val="sr-Cyrl-BA"/>
        </w:rPr>
        <w:t>политика</w:t>
      </w:r>
      <w:r w:rsidR="00664E91" w:rsidRPr="00295637">
        <w:rPr>
          <w:rFonts w:ascii="Times New Roman" w:hAnsi="Times New Roman"/>
          <w:lang w:val="sr-Cyrl-BA"/>
        </w:rPr>
        <w:t xml:space="preserve"> </w:t>
      </w:r>
      <w:r>
        <w:rPr>
          <w:rFonts w:ascii="Times New Roman" w:hAnsi="Times New Roman"/>
          <w:lang w:val="sr-Cyrl-BA"/>
        </w:rPr>
        <w:t>у</w:t>
      </w:r>
      <w:r w:rsidR="00664E91" w:rsidRPr="00295637">
        <w:rPr>
          <w:rFonts w:ascii="Times New Roman" w:hAnsi="Times New Roman"/>
          <w:lang w:val="sr-Cyrl-BA"/>
        </w:rPr>
        <w:t xml:space="preserve"> </w:t>
      </w:r>
      <w:r>
        <w:rPr>
          <w:rFonts w:ascii="Times New Roman" w:hAnsi="Times New Roman"/>
          <w:lang w:val="sr-Cyrl-BA"/>
        </w:rPr>
        <w:t>ово</w:t>
      </w:r>
      <w:r>
        <w:rPr>
          <w:rFonts w:ascii="Times New Roman" w:hAnsi="Times New Roman"/>
          <w:lang w:val="hr-HR"/>
        </w:rPr>
        <w:t>ј</w:t>
      </w:r>
      <w:r w:rsidR="00664E91" w:rsidRPr="00295637">
        <w:rPr>
          <w:rFonts w:ascii="Times New Roman" w:hAnsi="Times New Roman"/>
          <w:lang w:val="sr-Cyrl-BA"/>
        </w:rPr>
        <w:t xml:space="preserve"> </w:t>
      </w:r>
      <w:r>
        <w:rPr>
          <w:rFonts w:ascii="Times New Roman" w:hAnsi="Times New Roman"/>
          <w:lang w:val="hr-HR"/>
        </w:rPr>
        <w:t>области</w:t>
      </w:r>
      <w:r w:rsidR="00664E91" w:rsidRPr="00295637">
        <w:rPr>
          <w:rFonts w:ascii="Times New Roman" w:hAnsi="Times New Roman"/>
          <w:lang w:val="sr-Cyrl-BA"/>
        </w:rPr>
        <w:t>.</w:t>
      </w:r>
    </w:p>
    <w:p w:rsidR="00C518DE" w:rsidRDefault="00C518DE" w:rsidP="0086268D">
      <w:pPr>
        <w:jc w:val="both"/>
        <w:rPr>
          <w:rFonts w:ascii="Times New Roman" w:hAnsi="Times New Roman"/>
          <w:szCs w:val="24"/>
        </w:rPr>
      </w:pPr>
    </w:p>
    <w:p w:rsidR="009A097E" w:rsidRPr="00295637" w:rsidRDefault="009A097E" w:rsidP="0086268D">
      <w:pPr>
        <w:jc w:val="both"/>
        <w:rPr>
          <w:rFonts w:ascii="Times New Roman" w:hAnsi="Times New Roman"/>
          <w:szCs w:val="24"/>
        </w:rPr>
      </w:pPr>
    </w:p>
    <w:p w:rsidR="00841A04" w:rsidRPr="00295637" w:rsidRDefault="0077778E" w:rsidP="00AB7272">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31" w:name="_Toc195016594"/>
      <w:r>
        <w:rPr>
          <w:rFonts w:ascii="Times New Roman" w:hAnsi="Times New Roman" w:cs="Times New Roman"/>
          <w:color w:val="548DD4" w:themeColor="text2" w:themeTint="99"/>
          <w:lang w:val="bs-Latn-BA" w:eastAsia="bs-Latn-BA"/>
        </w:rPr>
        <w:t>I</w:t>
      </w:r>
      <w:r w:rsidR="00AB7272" w:rsidRPr="00AB7272">
        <w:rPr>
          <w:rFonts w:ascii="Times New Roman" w:hAnsi="Times New Roman" w:cs="Times New Roman"/>
          <w:color w:val="548DD4" w:themeColor="text2" w:themeTint="99"/>
          <w:lang w:val="bs-Latn-BA" w:eastAsia="bs-Latn-BA"/>
        </w:rPr>
        <w:t xml:space="preserve"> 4. </w:t>
      </w:r>
      <w:r w:rsidR="00C6214E">
        <w:rPr>
          <w:rFonts w:ascii="Times New Roman" w:hAnsi="Times New Roman" w:cs="Times New Roman"/>
          <w:lang w:val="bs-Latn-BA" w:eastAsia="bs-Latn-BA"/>
        </w:rPr>
        <w:t>Образовање</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наука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култура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и</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спорт</w:t>
      </w:r>
      <w:bookmarkEnd w:id="29"/>
      <w:bookmarkEnd w:id="30"/>
      <w:bookmarkEnd w:id="31"/>
    </w:p>
    <w:p w:rsidR="00841A04" w:rsidRPr="00295637" w:rsidRDefault="00841A04" w:rsidP="0086268D">
      <w:pPr>
        <w:rPr>
          <w:lang w:val="bs-Latn-BA" w:eastAsia="bs-Latn-BA"/>
        </w:rPr>
      </w:pPr>
    </w:p>
    <w:p w:rsidR="00F51A7C" w:rsidRPr="006820FB" w:rsidRDefault="00C6214E" w:rsidP="0086268D">
      <w:pPr>
        <w:autoSpaceDE w:val="0"/>
        <w:autoSpaceDN w:val="0"/>
        <w:adjustRightInd w:val="0"/>
        <w:jc w:val="both"/>
        <w:rPr>
          <w:rFonts w:ascii="Times New Roman" w:hAnsi="Times New Roman"/>
          <w:szCs w:val="24"/>
          <w:lang w:val="hr-HR"/>
        </w:rPr>
      </w:pPr>
      <w:r>
        <w:rPr>
          <w:rFonts w:ascii="Times New Roman" w:hAnsi="Times New Roman"/>
          <w:szCs w:val="24"/>
          <w:lang w:val="hr-HR"/>
        </w:rPr>
        <w:t>Проценат</w:t>
      </w:r>
      <w:r w:rsidR="003D78E7" w:rsidRPr="006820FB">
        <w:rPr>
          <w:rFonts w:ascii="Times New Roman" w:hAnsi="Times New Roman"/>
          <w:szCs w:val="24"/>
          <w:lang w:val="hr-HR"/>
        </w:rPr>
        <w:t xml:space="preserve"> </w:t>
      </w:r>
      <w:r>
        <w:rPr>
          <w:rFonts w:ascii="Times New Roman" w:hAnsi="Times New Roman"/>
          <w:szCs w:val="24"/>
          <w:lang w:val="hr-HR"/>
        </w:rPr>
        <w:t>дјевојака</w:t>
      </w:r>
      <w:r w:rsidR="003D78E7" w:rsidRPr="006820FB">
        <w:rPr>
          <w:rFonts w:ascii="Times New Roman" w:hAnsi="Times New Roman"/>
          <w:szCs w:val="24"/>
          <w:lang w:val="hr-HR"/>
        </w:rPr>
        <w:t xml:space="preserve"> </w:t>
      </w:r>
      <w:r>
        <w:rPr>
          <w:rFonts w:ascii="Times New Roman" w:hAnsi="Times New Roman"/>
          <w:szCs w:val="24"/>
          <w:lang w:val="hr-HR"/>
        </w:rPr>
        <w:t>међу</w:t>
      </w:r>
      <w:r w:rsidR="00232C90" w:rsidRPr="006820FB">
        <w:rPr>
          <w:rFonts w:ascii="Times New Roman" w:hAnsi="Times New Roman"/>
          <w:szCs w:val="24"/>
          <w:lang w:val="hr-HR"/>
        </w:rPr>
        <w:t xml:space="preserve"> </w:t>
      </w:r>
      <w:r>
        <w:rPr>
          <w:rFonts w:ascii="Times New Roman" w:hAnsi="Times New Roman"/>
          <w:szCs w:val="24"/>
          <w:lang w:val="hr-HR"/>
        </w:rPr>
        <w:t>лицима</w:t>
      </w:r>
      <w:r w:rsidR="002D7103" w:rsidRPr="006820FB">
        <w:rPr>
          <w:rFonts w:ascii="Times New Roman" w:hAnsi="Times New Roman"/>
          <w:szCs w:val="24"/>
          <w:lang w:val="hr-HR"/>
        </w:rPr>
        <w:t xml:space="preserve"> </w:t>
      </w:r>
      <w:r>
        <w:rPr>
          <w:rFonts w:ascii="Times New Roman" w:hAnsi="Times New Roman"/>
          <w:szCs w:val="24"/>
          <w:lang w:val="hr-HR"/>
        </w:rPr>
        <w:t>уписанима</w:t>
      </w:r>
      <w:r w:rsidR="003D78E7" w:rsidRPr="006820FB">
        <w:rPr>
          <w:rFonts w:ascii="Times New Roman" w:hAnsi="Times New Roman"/>
          <w:szCs w:val="24"/>
          <w:lang w:val="hr-HR"/>
        </w:rPr>
        <w:t xml:space="preserve"> </w:t>
      </w:r>
      <w:r>
        <w:rPr>
          <w:rFonts w:ascii="Times New Roman" w:hAnsi="Times New Roman"/>
          <w:szCs w:val="24"/>
          <w:lang w:val="hr-HR"/>
        </w:rPr>
        <w:t>у</w:t>
      </w:r>
      <w:r w:rsidR="003D78E7" w:rsidRPr="006820FB">
        <w:rPr>
          <w:rFonts w:ascii="Times New Roman" w:hAnsi="Times New Roman"/>
          <w:szCs w:val="24"/>
          <w:lang w:val="hr-HR"/>
        </w:rPr>
        <w:t xml:space="preserve"> </w:t>
      </w:r>
      <w:r>
        <w:rPr>
          <w:rFonts w:ascii="Times New Roman" w:hAnsi="Times New Roman"/>
          <w:szCs w:val="24"/>
          <w:lang w:val="hr-HR"/>
        </w:rPr>
        <w:t>високошколске</w:t>
      </w:r>
      <w:r w:rsidR="003D78E7" w:rsidRPr="006820FB">
        <w:rPr>
          <w:rFonts w:ascii="Times New Roman" w:hAnsi="Times New Roman"/>
          <w:szCs w:val="24"/>
          <w:lang w:val="hr-HR"/>
        </w:rPr>
        <w:t xml:space="preserve"> </w:t>
      </w:r>
      <w:r>
        <w:rPr>
          <w:rFonts w:ascii="Times New Roman" w:hAnsi="Times New Roman"/>
          <w:szCs w:val="24"/>
          <w:lang w:val="hr-HR"/>
        </w:rPr>
        <w:t>установе</w:t>
      </w:r>
      <w:r w:rsidR="003D78E7" w:rsidRPr="006820FB">
        <w:rPr>
          <w:rFonts w:ascii="Times New Roman" w:hAnsi="Times New Roman"/>
          <w:szCs w:val="24"/>
          <w:lang w:val="hr-HR"/>
        </w:rPr>
        <w:t xml:space="preserve"> (</w:t>
      </w:r>
      <w:r>
        <w:rPr>
          <w:rFonts w:ascii="Times New Roman" w:hAnsi="Times New Roman"/>
          <w:szCs w:val="24"/>
          <w:lang w:val="hr-HR"/>
        </w:rPr>
        <w:t>све</w:t>
      </w:r>
      <w:r w:rsidR="003D78E7" w:rsidRPr="006820FB">
        <w:rPr>
          <w:rFonts w:ascii="Times New Roman" w:hAnsi="Times New Roman"/>
          <w:szCs w:val="24"/>
          <w:lang w:val="hr-HR"/>
        </w:rPr>
        <w:t xml:space="preserve"> </w:t>
      </w:r>
      <w:r>
        <w:rPr>
          <w:rFonts w:ascii="Times New Roman" w:hAnsi="Times New Roman"/>
          <w:szCs w:val="24"/>
          <w:lang w:val="hr-HR"/>
        </w:rPr>
        <w:t>године</w:t>
      </w:r>
      <w:r w:rsidR="003D78E7" w:rsidRPr="006820FB">
        <w:rPr>
          <w:rFonts w:ascii="Times New Roman" w:hAnsi="Times New Roman"/>
          <w:szCs w:val="24"/>
          <w:lang w:val="hr-HR"/>
        </w:rPr>
        <w:t>)</w:t>
      </w:r>
      <w:r w:rsidR="00232C90" w:rsidRPr="006820FB">
        <w:rPr>
          <w:rFonts w:ascii="Times New Roman" w:hAnsi="Times New Roman"/>
          <w:szCs w:val="24"/>
          <w:lang w:val="hr-HR"/>
        </w:rPr>
        <w:t xml:space="preserve"> </w:t>
      </w:r>
      <w:r>
        <w:rPr>
          <w:rFonts w:ascii="Times New Roman" w:hAnsi="Times New Roman"/>
          <w:szCs w:val="24"/>
          <w:lang w:val="hr-HR"/>
        </w:rPr>
        <w:t>у</w:t>
      </w:r>
      <w:r w:rsidR="003D78E7" w:rsidRPr="006820FB">
        <w:rPr>
          <w:rFonts w:ascii="Times New Roman" w:hAnsi="Times New Roman"/>
          <w:szCs w:val="24"/>
          <w:lang w:val="hr-HR"/>
        </w:rPr>
        <w:t xml:space="preserve"> </w:t>
      </w:r>
      <w:r>
        <w:rPr>
          <w:rFonts w:ascii="Times New Roman" w:hAnsi="Times New Roman"/>
          <w:szCs w:val="24"/>
          <w:lang w:val="hr-HR"/>
        </w:rPr>
        <w:t>академској</w:t>
      </w:r>
      <w:r w:rsidR="00AB7272">
        <w:rPr>
          <w:rFonts w:ascii="Times New Roman" w:hAnsi="Times New Roman"/>
          <w:szCs w:val="24"/>
          <w:lang w:val="hr-HR"/>
        </w:rPr>
        <w:t xml:space="preserve"> </w:t>
      </w:r>
      <w:r>
        <w:rPr>
          <w:rFonts w:ascii="Times New Roman" w:hAnsi="Times New Roman"/>
          <w:szCs w:val="24"/>
          <w:lang w:val="hr-HR"/>
        </w:rPr>
        <w:t>години</w:t>
      </w:r>
      <w:r w:rsidR="00AB7272">
        <w:rPr>
          <w:rFonts w:ascii="Times New Roman" w:hAnsi="Times New Roman"/>
          <w:szCs w:val="24"/>
          <w:lang w:val="hr-HR"/>
        </w:rPr>
        <w:t xml:space="preserve"> 2022</w:t>
      </w:r>
      <w:r w:rsidR="003D78E7" w:rsidRPr="006820FB">
        <w:rPr>
          <w:rFonts w:ascii="Times New Roman" w:hAnsi="Times New Roman"/>
          <w:szCs w:val="24"/>
          <w:lang w:val="hr-HR"/>
        </w:rPr>
        <w:t xml:space="preserve">/2023. </w:t>
      </w:r>
      <w:r>
        <w:rPr>
          <w:rFonts w:ascii="Times New Roman" w:hAnsi="Times New Roman"/>
          <w:szCs w:val="24"/>
          <w:lang w:val="hr-HR"/>
        </w:rPr>
        <w:t>години</w:t>
      </w:r>
      <w:r w:rsidR="003D78E7" w:rsidRPr="006820FB">
        <w:rPr>
          <w:rFonts w:ascii="Times New Roman" w:hAnsi="Times New Roman"/>
          <w:szCs w:val="24"/>
          <w:lang w:val="hr-HR"/>
        </w:rPr>
        <w:t xml:space="preserve"> </w:t>
      </w:r>
      <w:r>
        <w:rPr>
          <w:rFonts w:ascii="Times New Roman" w:hAnsi="Times New Roman"/>
          <w:szCs w:val="24"/>
          <w:lang w:val="hr-HR"/>
        </w:rPr>
        <w:t>износио</w:t>
      </w:r>
      <w:r w:rsidR="00232C90" w:rsidRPr="006820FB">
        <w:rPr>
          <w:rFonts w:ascii="Times New Roman" w:hAnsi="Times New Roman"/>
          <w:szCs w:val="24"/>
          <w:lang w:val="hr-HR"/>
        </w:rPr>
        <w:t xml:space="preserve"> </w:t>
      </w:r>
      <w:r>
        <w:rPr>
          <w:rFonts w:ascii="Times New Roman" w:hAnsi="Times New Roman"/>
          <w:szCs w:val="24"/>
          <w:lang w:val="hr-HR"/>
        </w:rPr>
        <w:t>је</w:t>
      </w:r>
      <w:r w:rsidR="002616AA" w:rsidRPr="006820FB">
        <w:rPr>
          <w:rFonts w:ascii="Times New Roman" w:hAnsi="Times New Roman"/>
          <w:szCs w:val="24"/>
          <w:lang w:val="hr-HR"/>
        </w:rPr>
        <w:t xml:space="preserve"> </w:t>
      </w:r>
      <w:r w:rsidR="003D78E7" w:rsidRPr="006820FB">
        <w:rPr>
          <w:rFonts w:ascii="Times New Roman" w:hAnsi="Times New Roman"/>
          <w:szCs w:val="24"/>
          <w:lang w:val="hr-HR"/>
        </w:rPr>
        <w:t>60,13%</w:t>
      </w:r>
      <w:r w:rsidR="002D7103" w:rsidRPr="006820FB">
        <w:rPr>
          <w:rFonts w:ascii="Times New Roman" w:hAnsi="Times New Roman"/>
          <w:szCs w:val="24"/>
          <w:lang w:val="hr-HR"/>
        </w:rPr>
        <w:t>,</w:t>
      </w:r>
      <w:r w:rsidR="00351C40" w:rsidRPr="006820FB">
        <w:rPr>
          <w:rFonts w:ascii="Times New Roman" w:hAnsi="Times New Roman"/>
          <w:szCs w:val="24"/>
          <w:lang w:val="hr-HR"/>
        </w:rPr>
        <w:t xml:space="preserve"> </w:t>
      </w:r>
      <w:r>
        <w:rPr>
          <w:rFonts w:ascii="Times New Roman" w:hAnsi="Times New Roman"/>
          <w:szCs w:val="24"/>
          <w:lang w:val="hr-HR"/>
        </w:rPr>
        <w:t>а</w:t>
      </w:r>
      <w:r w:rsidR="00351C40" w:rsidRPr="006820FB">
        <w:rPr>
          <w:rFonts w:ascii="Times New Roman" w:hAnsi="Times New Roman"/>
          <w:szCs w:val="24"/>
          <w:lang w:val="hr-HR"/>
        </w:rPr>
        <w:t xml:space="preserve"> </w:t>
      </w:r>
      <w:r>
        <w:rPr>
          <w:rFonts w:ascii="Times New Roman" w:hAnsi="Times New Roman"/>
          <w:szCs w:val="24"/>
          <w:lang w:val="hr-HR"/>
        </w:rPr>
        <w:t>проценат</w:t>
      </w:r>
      <w:r w:rsidR="00351C40" w:rsidRPr="006820FB">
        <w:rPr>
          <w:rFonts w:ascii="Times New Roman" w:hAnsi="Times New Roman"/>
          <w:szCs w:val="24"/>
          <w:lang w:val="hr-HR"/>
        </w:rPr>
        <w:t xml:space="preserve"> </w:t>
      </w:r>
      <w:r>
        <w:rPr>
          <w:rFonts w:ascii="Times New Roman" w:hAnsi="Times New Roman"/>
          <w:szCs w:val="24"/>
          <w:lang w:val="hr-HR"/>
        </w:rPr>
        <w:t>женских</w:t>
      </w:r>
      <w:r w:rsidR="00351C40" w:rsidRPr="006820FB">
        <w:rPr>
          <w:rFonts w:ascii="Times New Roman" w:hAnsi="Times New Roman"/>
          <w:szCs w:val="24"/>
          <w:lang w:val="hr-HR"/>
        </w:rPr>
        <w:t xml:space="preserve"> </w:t>
      </w:r>
      <w:r>
        <w:rPr>
          <w:rFonts w:ascii="Times New Roman" w:hAnsi="Times New Roman"/>
          <w:szCs w:val="24"/>
          <w:lang w:val="hr-HR"/>
        </w:rPr>
        <w:t>лица</w:t>
      </w:r>
      <w:r w:rsidR="00351C40" w:rsidRPr="006820FB">
        <w:rPr>
          <w:rFonts w:ascii="Times New Roman" w:hAnsi="Times New Roman"/>
          <w:szCs w:val="24"/>
          <w:lang w:val="hr-HR"/>
        </w:rPr>
        <w:t xml:space="preserve"> </w:t>
      </w:r>
      <w:r>
        <w:rPr>
          <w:rFonts w:ascii="Times New Roman" w:hAnsi="Times New Roman"/>
          <w:szCs w:val="24"/>
          <w:lang w:val="hr-HR"/>
        </w:rPr>
        <w:t>међу</w:t>
      </w:r>
      <w:r w:rsidR="00232C90" w:rsidRPr="006820FB">
        <w:rPr>
          <w:rFonts w:ascii="Times New Roman" w:hAnsi="Times New Roman"/>
          <w:szCs w:val="24"/>
          <w:lang w:val="hr-HR"/>
        </w:rPr>
        <w:t xml:space="preserve"> </w:t>
      </w:r>
      <w:r>
        <w:rPr>
          <w:rFonts w:ascii="Times New Roman" w:hAnsi="Times New Roman"/>
          <w:szCs w:val="24"/>
          <w:lang w:val="hr-HR"/>
        </w:rPr>
        <w:t>лицима</w:t>
      </w:r>
      <w:r w:rsidR="00232C90" w:rsidRPr="006820FB">
        <w:rPr>
          <w:rFonts w:ascii="Times New Roman" w:hAnsi="Times New Roman"/>
          <w:szCs w:val="24"/>
          <w:lang w:val="hr-HR"/>
        </w:rPr>
        <w:t xml:space="preserve"> </w:t>
      </w:r>
      <w:r>
        <w:rPr>
          <w:rFonts w:ascii="Times New Roman" w:hAnsi="Times New Roman"/>
          <w:szCs w:val="24"/>
          <w:lang w:val="hr-HR"/>
        </w:rPr>
        <w:t>која</w:t>
      </w:r>
      <w:r w:rsidR="00232C90" w:rsidRPr="006820FB">
        <w:rPr>
          <w:rFonts w:ascii="Times New Roman" w:hAnsi="Times New Roman"/>
          <w:szCs w:val="24"/>
          <w:lang w:val="hr-HR"/>
        </w:rPr>
        <w:t xml:space="preserve"> </w:t>
      </w:r>
      <w:r>
        <w:rPr>
          <w:rFonts w:ascii="Times New Roman" w:hAnsi="Times New Roman"/>
          <w:szCs w:val="24"/>
          <w:lang w:val="hr-HR"/>
        </w:rPr>
        <w:t>су</w:t>
      </w:r>
      <w:r w:rsidR="002D7103" w:rsidRPr="006820FB">
        <w:rPr>
          <w:rFonts w:ascii="Times New Roman" w:hAnsi="Times New Roman"/>
          <w:szCs w:val="24"/>
          <w:lang w:val="hr-HR"/>
        </w:rPr>
        <w:t xml:space="preserve"> </w:t>
      </w:r>
      <w:r>
        <w:rPr>
          <w:rFonts w:ascii="Times New Roman" w:hAnsi="Times New Roman"/>
          <w:szCs w:val="24"/>
          <w:lang w:val="hr-HR"/>
        </w:rPr>
        <w:t>завршила</w:t>
      </w:r>
      <w:r w:rsidR="003D78E7" w:rsidRPr="006820FB">
        <w:rPr>
          <w:rFonts w:ascii="Times New Roman" w:hAnsi="Times New Roman"/>
          <w:szCs w:val="24"/>
          <w:lang w:val="hr-HR"/>
        </w:rPr>
        <w:t xml:space="preserve"> </w:t>
      </w:r>
      <w:r>
        <w:rPr>
          <w:rFonts w:ascii="Times New Roman" w:hAnsi="Times New Roman"/>
          <w:szCs w:val="24"/>
          <w:lang w:val="hr-HR"/>
        </w:rPr>
        <w:t>факултете</w:t>
      </w:r>
      <w:r w:rsidR="003D78E7" w:rsidRPr="006820FB">
        <w:rPr>
          <w:rFonts w:ascii="Times New Roman" w:hAnsi="Times New Roman"/>
          <w:szCs w:val="24"/>
          <w:lang w:val="hr-HR"/>
        </w:rPr>
        <w:t xml:space="preserve"> </w:t>
      </w:r>
      <w:r>
        <w:rPr>
          <w:rFonts w:ascii="Times New Roman" w:hAnsi="Times New Roman"/>
          <w:szCs w:val="24"/>
          <w:lang w:val="hr-HR"/>
        </w:rPr>
        <w:t>и</w:t>
      </w:r>
      <w:r w:rsidR="00232C90" w:rsidRPr="006820FB">
        <w:rPr>
          <w:rFonts w:ascii="Times New Roman" w:hAnsi="Times New Roman"/>
          <w:szCs w:val="24"/>
          <w:lang w:val="hr-HR"/>
        </w:rPr>
        <w:t xml:space="preserve"> </w:t>
      </w:r>
      <w:r>
        <w:rPr>
          <w:rFonts w:ascii="Times New Roman" w:hAnsi="Times New Roman"/>
          <w:szCs w:val="24"/>
          <w:lang w:val="hr-HR"/>
        </w:rPr>
        <w:t>друге</w:t>
      </w:r>
      <w:r w:rsidR="003D78E7" w:rsidRPr="006820FB">
        <w:rPr>
          <w:rFonts w:ascii="Times New Roman" w:hAnsi="Times New Roman"/>
          <w:szCs w:val="24"/>
          <w:lang w:val="hr-HR"/>
        </w:rPr>
        <w:t xml:space="preserve"> </w:t>
      </w:r>
      <w:r>
        <w:rPr>
          <w:rFonts w:ascii="Times New Roman" w:hAnsi="Times New Roman"/>
          <w:szCs w:val="24"/>
          <w:lang w:val="hr-HR"/>
        </w:rPr>
        <w:t>високошколске</w:t>
      </w:r>
      <w:r w:rsidR="003D78E7" w:rsidRPr="006820FB">
        <w:rPr>
          <w:rFonts w:ascii="Times New Roman" w:hAnsi="Times New Roman"/>
          <w:szCs w:val="24"/>
          <w:lang w:val="hr-HR"/>
        </w:rPr>
        <w:t xml:space="preserve"> </w:t>
      </w:r>
      <w:r>
        <w:rPr>
          <w:rFonts w:ascii="Times New Roman" w:hAnsi="Times New Roman"/>
          <w:szCs w:val="24"/>
          <w:lang w:val="hr-HR"/>
        </w:rPr>
        <w:t>установе</w:t>
      </w:r>
      <w:r w:rsidR="003D78E7" w:rsidRPr="006820FB">
        <w:rPr>
          <w:rFonts w:ascii="Times New Roman" w:hAnsi="Times New Roman"/>
          <w:szCs w:val="24"/>
          <w:lang w:val="hr-HR"/>
        </w:rPr>
        <w:t xml:space="preserve"> </w:t>
      </w:r>
      <w:r>
        <w:rPr>
          <w:rFonts w:ascii="Times New Roman" w:hAnsi="Times New Roman"/>
          <w:szCs w:val="24"/>
          <w:lang w:val="hr-HR"/>
        </w:rPr>
        <w:t>износио</w:t>
      </w:r>
      <w:r w:rsidR="00232C90" w:rsidRPr="006820FB">
        <w:rPr>
          <w:rFonts w:ascii="Times New Roman" w:hAnsi="Times New Roman"/>
          <w:szCs w:val="24"/>
          <w:lang w:val="hr-HR"/>
        </w:rPr>
        <w:t xml:space="preserve"> </w:t>
      </w:r>
      <w:r>
        <w:rPr>
          <w:rFonts w:ascii="Times New Roman" w:hAnsi="Times New Roman"/>
          <w:szCs w:val="24"/>
          <w:lang w:val="hr-HR"/>
        </w:rPr>
        <w:t>је</w:t>
      </w:r>
      <w:r w:rsidR="003D78E7" w:rsidRPr="006820FB">
        <w:rPr>
          <w:rFonts w:ascii="Times New Roman" w:hAnsi="Times New Roman"/>
          <w:szCs w:val="24"/>
          <w:lang w:val="hr-HR"/>
        </w:rPr>
        <w:t xml:space="preserve"> 62,14%. </w:t>
      </w:r>
      <w:r>
        <w:rPr>
          <w:rFonts w:ascii="Times New Roman" w:hAnsi="Times New Roman"/>
          <w:szCs w:val="24"/>
          <w:lang w:val="hr-HR"/>
        </w:rPr>
        <w:t>Међутим</w:t>
      </w:r>
      <w:r w:rsidR="00050016">
        <w:rPr>
          <w:rFonts w:ascii="Times New Roman" w:hAnsi="Times New Roman"/>
          <w:szCs w:val="24"/>
          <w:lang w:val="hr-HR"/>
        </w:rPr>
        <w:t xml:space="preserve">, </w:t>
      </w:r>
      <w:r>
        <w:rPr>
          <w:rFonts w:ascii="Times New Roman" w:hAnsi="Times New Roman"/>
          <w:szCs w:val="24"/>
          <w:lang w:val="hr-HR"/>
        </w:rPr>
        <w:t>у</w:t>
      </w:r>
      <w:r w:rsidR="00050016">
        <w:rPr>
          <w:rFonts w:ascii="Times New Roman" w:hAnsi="Times New Roman"/>
          <w:szCs w:val="24"/>
          <w:lang w:val="hr-HR"/>
        </w:rPr>
        <w:t xml:space="preserve"> </w:t>
      </w:r>
      <w:r>
        <w:rPr>
          <w:rFonts w:ascii="Times New Roman" w:hAnsi="Times New Roman"/>
          <w:szCs w:val="24"/>
          <w:lang w:val="hr-HR"/>
        </w:rPr>
        <w:t>Босни</w:t>
      </w:r>
      <w:r w:rsidR="00050016">
        <w:rPr>
          <w:rFonts w:ascii="Times New Roman" w:hAnsi="Times New Roman"/>
          <w:szCs w:val="24"/>
          <w:lang w:val="hr-HR"/>
        </w:rPr>
        <w:t xml:space="preserve"> </w:t>
      </w:r>
      <w:r>
        <w:rPr>
          <w:rFonts w:ascii="Times New Roman" w:hAnsi="Times New Roman"/>
          <w:szCs w:val="24"/>
          <w:lang w:val="hr-HR"/>
        </w:rPr>
        <w:t>и</w:t>
      </w:r>
      <w:r w:rsidR="00050016">
        <w:rPr>
          <w:rFonts w:ascii="Times New Roman" w:hAnsi="Times New Roman"/>
          <w:szCs w:val="24"/>
          <w:lang w:val="hr-HR"/>
        </w:rPr>
        <w:t xml:space="preserve"> </w:t>
      </w:r>
      <w:r>
        <w:rPr>
          <w:rFonts w:ascii="Times New Roman" w:hAnsi="Times New Roman"/>
          <w:szCs w:val="24"/>
          <w:lang w:val="hr-HR"/>
        </w:rPr>
        <w:t>Херцеговини</w:t>
      </w:r>
      <w:r w:rsidR="003D78E7" w:rsidRPr="006820FB">
        <w:rPr>
          <w:rFonts w:ascii="Times New Roman" w:hAnsi="Times New Roman"/>
          <w:szCs w:val="24"/>
          <w:lang w:val="hr-HR"/>
        </w:rPr>
        <w:t xml:space="preserve"> </w:t>
      </w:r>
      <w:r>
        <w:rPr>
          <w:rFonts w:ascii="Times New Roman" w:hAnsi="Times New Roman"/>
          <w:szCs w:val="24"/>
          <w:lang w:val="hr-HR"/>
        </w:rPr>
        <w:t>постоји</w:t>
      </w:r>
      <w:r w:rsidR="003D78E7" w:rsidRPr="006820FB">
        <w:rPr>
          <w:rFonts w:ascii="Times New Roman" w:hAnsi="Times New Roman"/>
          <w:szCs w:val="24"/>
          <w:lang w:val="hr-HR"/>
        </w:rPr>
        <w:t xml:space="preserve"> </w:t>
      </w:r>
      <w:r>
        <w:rPr>
          <w:rFonts w:ascii="Times New Roman" w:hAnsi="Times New Roman"/>
          <w:szCs w:val="24"/>
          <w:lang w:val="hr-HR"/>
        </w:rPr>
        <w:t>родна</w:t>
      </w:r>
      <w:r w:rsidR="003D78E7" w:rsidRPr="006820FB">
        <w:rPr>
          <w:rFonts w:ascii="Times New Roman" w:hAnsi="Times New Roman"/>
          <w:szCs w:val="24"/>
          <w:lang w:val="hr-HR"/>
        </w:rPr>
        <w:t xml:space="preserve"> </w:t>
      </w:r>
      <w:r>
        <w:rPr>
          <w:rFonts w:ascii="Times New Roman" w:hAnsi="Times New Roman"/>
          <w:szCs w:val="24"/>
          <w:lang w:val="hr-HR"/>
        </w:rPr>
        <w:t>сегрегација</w:t>
      </w:r>
      <w:r w:rsidR="003D78E7" w:rsidRPr="006820FB">
        <w:rPr>
          <w:rFonts w:ascii="Times New Roman" w:hAnsi="Times New Roman"/>
          <w:szCs w:val="24"/>
          <w:lang w:val="hr-HR"/>
        </w:rPr>
        <w:t xml:space="preserve"> </w:t>
      </w:r>
      <w:r>
        <w:rPr>
          <w:rFonts w:ascii="Times New Roman" w:hAnsi="Times New Roman"/>
          <w:szCs w:val="24"/>
          <w:lang w:val="hr-HR"/>
        </w:rPr>
        <w:t>у</w:t>
      </w:r>
      <w:r w:rsidR="003D78E7" w:rsidRPr="006820FB">
        <w:rPr>
          <w:rFonts w:ascii="Times New Roman" w:hAnsi="Times New Roman"/>
          <w:szCs w:val="24"/>
          <w:lang w:val="hr-HR"/>
        </w:rPr>
        <w:t xml:space="preserve"> </w:t>
      </w:r>
      <w:r>
        <w:rPr>
          <w:rFonts w:ascii="Times New Roman" w:hAnsi="Times New Roman"/>
          <w:szCs w:val="24"/>
          <w:lang w:val="hr-HR"/>
        </w:rPr>
        <w:t>високом</w:t>
      </w:r>
      <w:r w:rsidR="003D78E7" w:rsidRPr="006820FB">
        <w:rPr>
          <w:rFonts w:ascii="Times New Roman" w:hAnsi="Times New Roman"/>
          <w:szCs w:val="24"/>
          <w:lang w:val="hr-HR"/>
        </w:rPr>
        <w:t xml:space="preserve"> </w:t>
      </w:r>
      <w:r>
        <w:rPr>
          <w:rFonts w:ascii="Times New Roman" w:hAnsi="Times New Roman"/>
          <w:szCs w:val="24"/>
          <w:lang w:val="hr-HR"/>
        </w:rPr>
        <w:t>образовању</w:t>
      </w:r>
      <w:r w:rsidR="003D78E7" w:rsidRPr="006820FB">
        <w:rPr>
          <w:rFonts w:ascii="Times New Roman" w:hAnsi="Times New Roman"/>
          <w:szCs w:val="24"/>
          <w:lang w:val="hr-HR"/>
        </w:rPr>
        <w:t xml:space="preserve">, </w:t>
      </w:r>
      <w:r>
        <w:rPr>
          <w:rFonts w:ascii="Times New Roman" w:hAnsi="Times New Roman"/>
          <w:szCs w:val="24"/>
          <w:lang w:val="hr-HR"/>
        </w:rPr>
        <w:t>гдје</w:t>
      </w:r>
      <w:r w:rsidR="003D78E7" w:rsidRPr="006820FB">
        <w:rPr>
          <w:rFonts w:ascii="Times New Roman" w:hAnsi="Times New Roman"/>
          <w:szCs w:val="24"/>
          <w:lang w:val="hr-HR"/>
        </w:rPr>
        <w:t xml:space="preserve"> </w:t>
      </w:r>
      <w:r>
        <w:rPr>
          <w:rFonts w:ascii="Times New Roman" w:hAnsi="Times New Roman"/>
          <w:szCs w:val="24"/>
          <w:lang w:val="hr-HR"/>
        </w:rPr>
        <w:t>готово</w:t>
      </w:r>
      <w:r w:rsidR="003D78E7" w:rsidRPr="006820FB">
        <w:rPr>
          <w:rFonts w:ascii="Times New Roman" w:hAnsi="Times New Roman"/>
          <w:szCs w:val="24"/>
          <w:lang w:val="hr-HR"/>
        </w:rPr>
        <w:t xml:space="preserve"> </w:t>
      </w:r>
      <w:r>
        <w:rPr>
          <w:rFonts w:ascii="Times New Roman" w:hAnsi="Times New Roman"/>
          <w:szCs w:val="24"/>
          <w:lang w:val="hr-HR"/>
        </w:rPr>
        <w:t>половина</w:t>
      </w:r>
      <w:r w:rsidR="003D78E7" w:rsidRPr="006820FB">
        <w:rPr>
          <w:rFonts w:ascii="Times New Roman" w:hAnsi="Times New Roman"/>
          <w:szCs w:val="24"/>
          <w:lang w:val="hr-HR"/>
        </w:rPr>
        <w:t xml:space="preserve"> </w:t>
      </w:r>
      <w:r>
        <w:rPr>
          <w:rFonts w:ascii="Times New Roman" w:hAnsi="Times New Roman"/>
          <w:szCs w:val="24"/>
          <w:lang w:val="hr-HR"/>
        </w:rPr>
        <w:t>жена</w:t>
      </w:r>
      <w:r w:rsidR="003D78E7" w:rsidRPr="006820FB">
        <w:rPr>
          <w:rFonts w:ascii="Times New Roman" w:hAnsi="Times New Roman"/>
          <w:szCs w:val="24"/>
          <w:lang w:val="hr-HR"/>
        </w:rPr>
        <w:t xml:space="preserve"> </w:t>
      </w:r>
      <w:r>
        <w:rPr>
          <w:rFonts w:ascii="Times New Roman" w:hAnsi="Times New Roman"/>
          <w:szCs w:val="24"/>
          <w:lang w:val="hr-HR"/>
        </w:rPr>
        <w:t>студира</w:t>
      </w:r>
      <w:r w:rsidR="003D78E7" w:rsidRPr="006820FB">
        <w:rPr>
          <w:rFonts w:ascii="Times New Roman" w:hAnsi="Times New Roman"/>
          <w:szCs w:val="24"/>
          <w:lang w:val="hr-HR"/>
        </w:rPr>
        <w:t xml:space="preserve"> </w:t>
      </w:r>
      <w:r>
        <w:rPr>
          <w:rFonts w:ascii="Times New Roman" w:hAnsi="Times New Roman"/>
          <w:szCs w:val="24"/>
          <w:lang w:val="hr-HR"/>
        </w:rPr>
        <w:t>у</w:t>
      </w:r>
      <w:r w:rsidR="003D78E7" w:rsidRPr="006820FB">
        <w:rPr>
          <w:rFonts w:ascii="Times New Roman" w:hAnsi="Times New Roman"/>
          <w:szCs w:val="24"/>
          <w:lang w:val="hr-HR"/>
        </w:rPr>
        <w:t xml:space="preserve"> </w:t>
      </w:r>
      <w:r>
        <w:rPr>
          <w:rFonts w:ascii="Times New Roman" w:hAnsi="Times New Roman"/>
          <w:szCs w:val="24"/>
          <w:lang w:val="hr-HR"/>
        </w:rPr>
        <w:t>пољима</w:t>
      </w:r>
      <w:r w:rsidR="003D78E7" w:rsidRPr="006820FB">
        <w:rPr>
          <w:rFonts w:ascii="Times New Roman" w:hAnsi="Times New Roman"/>
          <w:szCs w:val="24"/>
          <w:lang w:val="hr-HR"/>
        </w:rPr>
        <w:t xml:space="preserve"> </w:t>
      </w:r>
      <w:r>
        <w:rPr>
          <w:rFonts w:ascii="Times New Roman" w:hAnsi="Times New Roman"/>
          <w:szCs w:val="24"/>
          <w:lang w:val="hr-HR"/>
        </w:rPr>
        <w:t>образовања</w:t>
      </w:r>
      <w:r w:rsidR="003D78E7" w:rsidRPr="006820FB">
        <w:rPr>
          <w:rFonts w:ascii="Times New Roman" w:hAnsi="Times New Roman"/>
          <w:szCs w:val="24"/>
          <w:lang w:val="hr-HR"/>
        </w:rPr>
        <w:t xml:space="preserve">, </w:t>
      </w:r>
      <w:r>
        <w:rPr>
          <w:rFonts w:ascii="Times New Roman" w:hAnsi="Times New Roman"/>
          <w:szCs w:val="24"/>
          <w:lang w:val="hr-HR"/>
        </w:rPr>
        <w:t>здравства</w:t>
      </w:r>
      <w:r w:rsidR="003D78E7" w:rsidRPr="006820FB">
        <w:rPr>
          <w:rFonts w:ascii="Times New Roman" w:hAnsi="Times New Roman"/>
          <w:szCs w:val="24"/>
          <w:lang w:val="hr-HR"/>
        </w:rPr>
        <w:t xml:space="preserve"> </w:t>
      </w:r>
      <w:r>
        <w:rPr>
          <w:rFonts w:ascii="Times New Roman" w:hAnsi="Times New Roman"/>
          <w:szCs w:val="24"/>
          <w:lang w:val="hr-HR"/>
        </w:rPr>
        <w:t>и</w:t>
      </w:r>
      <w:r w:rsidR="003D78E7" w:rsidRPr="006820FB">
        <w:rPr>
          <w:rFonts w:ascii="Times New Roman" w:hAnsi="Times New Roman"/>
          <w:szCs w:val="24"/>
          <w:lang w:val="hr-HR"/>
        </w:rPr>
        <w:t xml:space="preserve"> </w:t>
      </w:r>
      <w:r>
        <w:rPr>
          <w:rFonts w:ascii="Times New Roman" w:hAnsi="Times New Roman"/>
          <w:szCs w:val="24"/>
          <w:lang w:val="hr-HR"/>
        </w:rPr>
        <w:t>социјалне</w:t>
      </w:r>
      <w:r w:rsidR="003D78E7" w:rsidRPr="006820FB">
        <w:rPr>
          <w:rFonts w:ascii="Times New Roman" w:hAnsi="Times New Roman"/>
          <w:szCs w:val="24"/>
          <w:lang w:val="hr-HR"/>
        </w:rPr>
        <w:t xml:space="preserve"> </w:t>
      </w:r>
      <w:r>
        <w:rPr>
          <w:rFonts w:ascii="Times New Roman" w:hAnsi="Times New Roman"/>
          <w:szCs w:val="24"/>
          <w:lang w:val="hr-HR"/>
        </w:rPr>
        <w:t>заштите</w:t>
      </w:r>
      <w:r w:rsidR="003D78E7" w:rsidRPr="006820FB">
        <w:rPr>
          <w:rFonts w:ascii="Times New Roman" w:hAnsi="Times New Roman"/>
          <w:szCs w:val="24"/>
          <w:lang w:val="hr-HR"/>
        </w:rPr>
        <w:t xml:space="preserve">, </w:t>
      </w:r>
      <w:r>
        <w:rPr>
          <w:rFonts w:ascii="Times New Roman" w:hAnsi="Times New Roman"/>
          <w:szCs w:val="24"/>
          <w:lang w:val="hr-HR"/>
        </w:rPr>
        <w:t>те</w:t>
      </w:r>
      <w:r w:rsidR="003D78E7" w:rsidRPr="006820FB">
        <w:rPr>
          <w:rFonts w:ascii="Times New Roman" w:hAnsi="Times New Roman"/>
          <w:szCs w:val="24"/>
          <w:lang w:val="hr-HR"/>
        </w:rPr>
        <w:t xml:space="preserve"> </w:t>
      </w:r>
      <w:r>
        <w:rPr>
          <w:rFonts w:ascii="Times New Roman" w:hAnsi="Times New Roman"/>
          <w:szCs w:val="24"/>
          <w:lang w:val="hr-HR"/>
        </w:rPr>
        <w:t>хуманистичких</w:t>
      </w:r>
      <w:r w:rsidR="003D78E7" w:rsidRPr="006820FB">
        <w:rPr>
          <w:rFonts w:ascii="Times New Roman" w:hAnsi="Times New Roman"/>
          <w:szCs w:val="24"/>
          <w:lang w:val="hr-HR"/>
        </w:rPr>
        <w:t xml:space="preserve"> </w:t>
      </w:r>
      <w:r>
        <w:rPr>
          <w:rFonts w:ascii="Times New Roman" w:hAnsi="Times New Roman"/>
          <w:szCs w:val="24"/>
          <w:lang w:val="hr-HR"/>
        </w:rPr>
        <w:t>наука</w:t>
      </w:r>
      <w:r w:rsidR="009E54A2" w:rsidRPr="006820FB">
        <w:rPr>
          <w:rFonts w:ascii="Times New Roman" w:hAnsi="Times New Roman"/>
          <w:szCs w:val="24"/>
          <w:lang w:val="hr-HR"/>
        </w:rPr>
        <w:t>.</w:t>
      </w:r>
      <w:r w:rsidR="003D78E7" w:rsidRPr="006820FB">
        <w:rPr>
          <w:rFonts w:ascii="Times New Roman" w:hAnsi="Times New Roman"/>
          <w:szCs w:val="24"/>
          <w:lang w:val="hr-HR"/>
        </w:rPr>
        <w:t xml:space="preserve"> </w:t>
      </w:r>
      <w:r>
        <w:rPr>
          <w:rFonts w:ascii="Times New Roman" w:hAnsi="Times New Roman"/>
          <w:szCs w:val="24"/>
          <w:lang w:val="hr-HR"/>
        </w:rPr>
        <w:t>Према</w:t>
      </w:r>
      <w:r w:rsidR="003D78E7" w:rsidRPr="006820FB">
        <w:rPr>
          <w:rFonts w:ascii="Times New Roman" w:hAnsi="Times New Roman"/>
          <w:szCs w:val="24"/>
          <w:lang w:val="hr-HR"/>
        </w:rPr>
        <w:t xml:space="preserve"> “</w:t>
      </w:r>
      <w:r>
        <w:rPr>
          <w:rFonts w:ascii="Times New Roman" w:hAnsi="Times New Roman"/>
          <w:szCs w:val="24"/>
          <w:lang w:val="hr-HR"/>
        </w:rPr>
        <w:t>Барометру</w:t>
      </w:r>
      <w:r w:rsidR="003D78E7" w:rsidRPr="006820FB">
        <w:rPr>
          <w:rFonts w:ascii="Times New Roman" w:hAnsi="Times New Roman"/>
          <w:szCs w:val="24"/>
          <w:lang w:val="hr-HR"/>
        </w:rPr>
        <w:t xml:space="preserve"> </w:t>
      </w:r>
      <w:r>
        <w:rPr>
          <w:rFonts w:ascii="Times New Roman" w:hAnsi="Times New Roman"/>
          <w:szCs w:val="24"/>
          <w:lang w:val="hr-HR"/>
        </w:rPr>
        <w:t>родне</w:t>
      </w:r>
      <w:r w:rsidR="003D78E7" w:rsidRPr="006820FB">
        <w:rPr>
          <w:rFonts w:ascii="Times New Roman" w:hAnsi="Times New Roman"/>
          <w:szCs w:val="24"/>
          <w:lang w:val="hr-HR"/>
        </w:rPr>
        <w:t xml:space="preserve"> </w:t>
      </w:r>
      <w:r>
        <w:rPr>
          <w:rFonts w:ascii="Times New Roman" w:hAnsi="Times New Roman"/>
          <w:szCs w:val="24"/>
          <w:lang w:val="hr-HR"/>
        </w:rPr>
        <w:t>равноправности</w:t>
      </w:r>
      <w:r w:rsidR="003D78E7" w:rsidRPr="006820FB">
        <w:rPr>
          <w:rFonts w:ascii="Times New Roman" w:hAnsi="Times New Roman"/>
          <w:szCs w:val="24"/>
          <w:lang w:val="hr-HR"/>
        </w:rPr>
        <w:t xml:space="preserve"> </w:t>
      </w:r>
      <w:r>
        <w:rPr>
          <w:rFonts w:ascii="Times New Roman" w:hAnsi="Times New Roman"/>
          <w:szCs w:val="24"/>
          <w:lang w:val="hr-HR"/>
        </w:rPr>
        <w:t>у</w:t>
      </w:r>
      <w:r w:rsidR="003D78E7" w:rsidRPr="006820FB">
        <w:rPr>
          <w:rFonts w:ascii="Times New Roman" w:hAnsi="Times New Roman"/>
          <w:szCs w:val="24"/>
          <w:lang w:val="hr-HR"/>
        </w:rPr>
        <w:t xml:space="preserve"> </w:t>
      </w:r>
      <w:r>
        <w:rPr>
          <w:rFonts w:ascii="Times New Roman" w:hAnsi="Times New Roman"/>
          <w:szCs w:val="24"/>
          <w:lang w:val="hr-HR"/>
        </w:rPr>
        <w:t>Босни</w:t>
      </w:r>
      <w:r w:rsidR="003D78E7" w:rsidRPr="006820FB">
        <w:rPr>
          <w:rFonts w:ascii="Times New Roman" w:hAnsi="Times New Roman"/>
          <w:szCs w:val="24"/>
          <w:lang w:val="hr-HR"/>
        </w:rPr>
        <w:t xml:space="preserve"> </w:t>
      </w:r>
      <w:r>
        <w:rPr>
          <w:rFonts w:ascii="Times New Roman" w:hAnsi="Times New Roman"/>
          <w:szCs w:val="24"/>
          <w:lang w:val="hr-HR"/>
        </w:rPr>
        <w:t>и</w:t>
      </w:r>
      <w:r w:rsidR="003D78E7" w:rsidRPr="006820FB">
        <w:rPr>
          <w:rFonts w:ascii="Times New Roman" w:hAnsi="Times New Roman"/>
          <w:szCs w:val="24"/>
          <w:lang w:val="hr-HR"/>
        </w:rPr>
        <w:t xml:space="preserve"> </w:t>
      </w:r>
      <w:r>
        <w:rPr>
          <w:rFonts w:ascii="Times New Roman" w:hAnsi="Times New Roman"/>
          <w:szCs w:val="24"/>
          <w:lang w:val="hr-HR"/>
        </w:rPr>
        <w:t>Херцеговини</w:t>
      </w:r>
      <w:r w:rsidR="003D78E7" w:rsidRPr="006820FB">
        <w:rPr>
          <w:rFonts w:ascii="Times New Roman" w:hAnsi="Times New Roman"/>
          <w:szCs w:val="24"/>
          <w:lang w:val="hr-HR"/>
        </w:rPr>
        <w:t xml:space="preserve">” (2024), </w:t>
      </w:r>
      <w:r>
        <w:rPr>
          <w:rFonts w:ascii="Times New Roman" w:hAnsi="Times New Roman"/>
          <w:szCs w:val="24"/>
          <w:lang w:val="hr-HR"/>
        </w:rPr>
        <w:t>већина</w:t>
      </w:r>
      <w:r w:rsidR="003D78E7" w:rsidRPr="006820FB">
        <w:rPr>
          <w:rFonts w:ascii="Times New Roman" w:hAnsi="Times New Roman"/>
          <w:szCs w:val="24"/>
          <w:lang w:val="hr-HR"/>
        </w:rPr>
        <w:t xml:space="preserve"> (71.3% </w:t>
      </w:r>
      <w:r>
        <w:rPr>
          <w:rFonts w:ascii="Times New Roman" w:hAnsi="Times New Roman"/>
          <w:szCs w:val="24"/>
          <w:lang w:val="hr-HR"/>
        </w:rPr>
        <w:t>жена</w:t>
      </w:r>
      <w:r w:rsidR="003D78E7" w:rsidRPr="006820FB">
        <w:rPr>
          <w:rFonts w:ascii="Times New Roman" w:hAnsi="Times New Roman"/>
          <w:szCs w:val="24"/>
          <w:lang w:val="hr-HR"/>
        </w:rPr>
        <w:t xml:space="preserve"> </w:t>
      </w:r>
      <w:r>
        <w:rPr>
          <w:rFonts w:ascii="Times New Roman" w:hAnsi="Times New Roman"/>
          <w:szCs w:val="24"/>
          <w:lang w:val="hr-HR"/>
        </w:rPr>
        <w:t>и</w:t>
      </w:r>
      <w:r w:rsidR="003D78E7" w:rsidRPr="006820FB">
        <w:rPr>
          <w:rFonts w:ascii="Times New Roman" w:hAnsi="Times New Roman"/>
          <w:szCs w:val="24"/>
          <w:lang w:val="hr-HR"/>
        </w:rPr>
        <w:t xml:space="preserve"> 59.9% </w:t>
      </w:r>
      <w:r>
        <w:rPr>
          <w:rFonts w:ascii="Times New Roman" w:hAnsi="Times New Roman"/>
          <w:szCs w:val="24"/>
          <w:lang w:val="hr-HR"/>
        </w:rPr>
        <w:t>мушкараца</w:t>
      </w:r>
      <w:r w:rsidR="003D78E7" w:rsidRPr="006820FB">
        <w:rPr>
          <w:rFonts w:ascii="Times New Roman" w:hAnsi="Times New Roman"/>
          <w:szCs w:val="24"/>
          <w:lang w:val="hr-HR"/>
        </w:rPr>
        <w:t xml:space="preserve">) </w:t>
      </w:r>
      <w:r>
        <w:rPr>
          <w:rFonts w:ascii="Times New Roman" w:hAnsi="Times New Roman"/>
          <w:szCs w:val="24"/>
          <w:lang w:val="hr-HR"/>
        </w:rPr>
        <w:t>сматра</w:t>
      </w:r>
      <w:r w:rsidR="003D78E7" w:rsidRPr="006820FB">
        <w:rPr>
          <w:rFonts w:ascii="Times New Roman" w:hAnsi="Times New Roman"/>
          <w:szCs w:val="24"/>
          <w:lang w:val="hr-HR"/>
        </w:rPr>
        <w:t xml:space="preserve"> </w:t>
      </w:r>
      <w:r>
        <w:rPr>
          <w:rFonts w:ascii="Times New Roman" w:hAnsi="Times New Roman"/>
          <w:szCs w:val="24"/>
          <w:lang w:val="hr-HR"/>
        </w:rPr>
        <w:t>да</w:t>
      </w:r>
      <w:r w:rsidR="003D78E7" w:rsidRPr="006820FB">
        <w:rPr>
          <w:rFonts w:ascii="Times New Roman" w:hAnsi="Times New Roman"/>
          <w:szCs w:val="24"/>
          <w:lang w:val="hr-HR"/>
        </w:rPr>
        <w:t xml:space="preserve"> </w:t>
      </w:r>
      <w:r>
        <w:rPr>
          <w:rFonts w:ascii="Times New Roman" w:hAnsi="Times New Roman"/>
          <w:szCs w:val="24"/>
          <w:lang w:val="hr-HR"/>
        </w:rPr>
        <w:t>су</w:t>
      </w:r>
      <w:r w:rsidR="003D78E7" w:rsidRPr="006820FB">
        <w:rPr>
          <w:rFonts w:ascii="Times New Roman" w:hAnsi="Times New Roman"/>
          <w:szCs w:val="24"/>
          <w:lang w:val="hr-HR"/>
        </w:rPr>
        <w:t xml:space="preserve"> </w:t>
      </w:r>
      <w:r>
        <w:rPr>
          <w:rFonts w:ascii="Times New Roman" w:hAnsi="Times New Roman"/>
          <w:szCs w:val="24"/>
          <w:lang w:val="hr-HR"/>
        </w:rPr>
        <w:t>жене</w:t>
      </w:r>
      <w:r w:rsidR="003D78E7" w:rsidRPr="006820FB">
        <w:rPr>
          <w:rFonts w:ascii="Times New Roman" w:hAnsi="Times New Roman"/>
          <w:szCs w:val="24"/>
          <w:lang w:val="hr-HR"/>
        </w:rPr>
        <w:t xml:space="preserve"> </w:t>
      </w:r>
      <w:r>
        <w:rPr>
          <w:rFonts w:ascii="Times New Roman" w:hAnsi="Times New Roman"/>
          <w:szCs w:val="24"/>
          <w:lang w:val="hr-HR"/>
        </w:rPr>
        <w:t>још</w:t>
      </w:r>
      <w:r w:rsidR="003D78E7" w:rsidRPr="006820FB">
        <w:rPr>
          <w:rFonts w:ascii="Times New Roman" w:hAnsi="Times New Roman"/>
          <w:szCs w:val="24"/>
          <w:lang w:val="hr-HR"/>
        </w:rPr>
        <w:t xml:space="preserve"> </w:t>
      </w:r>
      <w:r>
        <w:rPr>
          <w:rFonts w:ascii="Times New Roman" w:hAnsi="Times New Roman"/>
          <w:szCs w:val="24"/>
          <w:lang w:val="hr-HR"/>
        </w:rPr>
        <w:t>увијек</w:t>
      </w:r>
      <w:r w:rsidR="003D78E7" w:rsidRPr="006820FB">
        <w:rPr>
          <w:rFonts w:ascii="Times New Roman" w:hAnsi="Times New Roman"/>
          <w:szCs w:val="24"/>
          <w:lang w:val="hr-HR"/>
        </w:rPr>
        <w:t xml:space="preserve"> </w:t>
      </w:r>
      <w:r>
        <w:rPr>
          <w:rFonts w:ascii="Times New Roman" w:hAnsi="Times New Roman"/>
          <w:szCs w:val="24"/>
          <w:lang w:val="hr-HR"/>
        </w:rPr>
        <w:t>подзаступљене</w:t>
      </w:r>
      <w:r w:rsidR="003D78E7" w:rsidRPr="006820FB">
        <w:rPr>
          <w:rFonts w:ascii="Times New Roman" w:hAnsi="Times New Roman"/>
          <w:szCs w:val="24"/>
          <w:lang w:val="hr-HR"/>
        </w:rPr>
        <w:t xml:space="preserve"> </w:t>
      </w:r>
      <w:r>
        <w:rPr>
          <w:rFonts w:ascii="Times New Roman" w:hAnsi="Times New Roman"/>
          <w:szCs w:val="24"/>
          <w:lang w:val="hr-HR"/>
        </w:rPr>
        <w:t>у</w:t>
      </w:r>
      <w:r w:rsidR="003D78E7" w:rsidRPr="006820FB">
        <w:rPr>
          <w:rFonts w:ascii="Times New Roman" w:hAnsi="Times New Roman"/>
          <w:szCs w:val="24"/>
          <w:lang w:val="hr-HR"/>
        </w:rPr>
        <w:t xml:space="preserve"> </w:t>
      </w:r>
      <w:r>
        <w:rPr>
          <w:rFonts w:ascii="Times New Roman" w:hAnsi="Times New Roman"/>
          <w:szCs w:val="24"/>
          <w:lang w:val="hr-HR"/>
        </w:rPr>
        <w:t>областима</w:t>
      </w:r>
      <w:r w:rsidR="003D78E7" w:rsidRPr="006820FB">
        <w:rPr>
          <w:rFonts w:ascii="Times New Roman" w:hAnsi="Times New Roman"/>
          <w:szCs w:val="24"/>
          <w:lang w:val="hr-HR"/>
        </w:rPr>
        <w:t xml:space="preserve"> </w:t>
      </w:r>
      <w:r>
        <w:rPr>
          <w:rFonts w:ascii="Times New Roman" w:hAnsi="Times New Roman"/>
          <w:szCs w:val="24"/>
          <w:lang w:val="hr-HR"/>
        </w:rPr>
        <w:t>науке</w:t>
      </w:r>
      <w:r w:rsidR="003D78E7" w:rsidRPr="006820FB">
        <w:rPr>
          <w:rFonts w:ascii="Times New Roman" w:hAnsi="Times New Roman"/>
          <w:szCs w:val="24"/>
          <w:lang w:val="hr-HR"/>
        </w:rPr>
        <w:t xml:space="preserve">, </w:t>
      </w:r>
      <w:r>
        <w:rPr>
          <w:rFonts w:ascii="Times New Roman" w:hAnsi="Times New Roman"/>
          <w:szCs w:val="24"/>
          <w:lang w:val="hr-HR"/>
        </w:rPr>
        <w:t>технологије</w:t>
      </w:r>
      <w:r w:rsidR="003D78E7" w:rsidRPr="006820FB">
        <w:rPr>
          <w:rFonts w:ascii="Times New Roman" w:hAnsi="Times New Roman"/>
          <w:szCs w:val="24"/>
          <w:lang w:val="hr-HR"/>
        </w:rPr>
        <w:t xml:space="preserve">, </w:t>
      </w:r>
      <w:r>
        <w:rPr>
          <w:rFonts w:ascii="Times New Roman" w:hAnsi="Times New Roman"/>
          <w:szCs w:val="24"/>
          <w:lang w:val="hr-HR"/>
        </w:rPr>
        <w:t>инжењерства</w:t>
      </w:r>
      <w:r w:rsidR="003D78E7" w:rsidRPr="006820FB">
        <w:rPr>
          <w:rFonts w:ascii="Times New Roman" w:hAnsi="Times New Roman"/>
          <w:szCs w:val="24"/>
          <w:lang w:val="hr-HR"/>
        </w:rPr>
        <w:t xml:space="preserve"> </w:t>
      </w:r>
      <w:r>
        <w:rPr>
          <w:rFonts w:ascii="Times New Roman" w:hAnsi="Times New Roman"/>
          <w:szCs w:val="24"/>
          <w:lang w:val="hr-HR"/>
        </w:rPr>
        <w:t>и</w:t>
      </w:r>
      <w:r w:rsidR="003D78E7" w:rsidRPr="006820FB">
        <w:rPr>
          <w:rFonts w:ascii="Times New Roman" w:hAnsi="Times New Roman"/>
          <w:szCs w:val="24"/>
          <w:lang w:val="hr-HR"/>
        </w:rPr>
        <w:t xml:space="preserve"> </w:t>
      </w:r>
      <w:r>
        <w:rPr>
          <w:rFonts w:ascii="Times New Roman" w:hAnsi="Times New Roman"/>
          <w:szCs w:val="24"/>
          <w:lang w:val="hr-HR"/>
        </w:rPr>
        <w:t>математике</w:t>
      </w:r>
      <w:r w:rsidR="003D78E7" w:rsidRPr="006820FB">
        <w:rPr>
          <w:rFonts w:ascii="Times New Roman" w:hAnsi="Times New Roman"/>
          <w:szCs w:val="24"/>
          <w:lang w:val="hr-HR"/>
        </w:rPr>
        <w:t xml:space="preserve"> (</w:t>
      </w:r>
      <w:r w:rsidR="0077778E">
        <w:rPr>
          <w:rFonts w:ascii="Times New Roman" w:hAnsi="Times New Roman"/>
          <w:i/>
          <w:szCs w:val="24"/>
          <w:lang w:val="hr-HR"/>
        </w:rPr>
        <w:t>STEM</w:t>
      </w:r>
      <w:r w:rsidR="003D78E7" w:rsidRPr="006820FB">
        <w:rPr>
          <w:rFonts w:ascii="Times New Roman" w:hAnsi="Times New Roman"/>
          <w:szCs w:val="24"/>
          <w:lang w:val="hr-HR"/>
        </w:rPr>
        <w:t xml:space="preserve">), </w:t>
      </w:r>
      <w:r>
        <w:rPr>
          <w:rFonts w:ascii="Times New Roman" w:hAnsi="Times New Roman"/>
          <w:szCs w:val="24"/>
          <w:lang w:val="hr-HR"/>
        </w:rPr>
        <w:t>које</w:t>
      </w:r>
      <w:r w:rsidR="003D78E7" w:rsidRPr="006820FB">
        <w:rPr>
          <w:rFonts w:ascii="Times New Roman" w:hAnsi="Times New Roman"/>
          <w:szCs w:val="24"/>
          <w:lang w:val="hr-HR"/>
        </w:rPr>
        <w:t xml:space="preserve"> </w:t>
      </w:r>
      <w:r>
        <w:rPr>
          <w:rFonts w:ascii="Times New Roman" w:hAnsi="Times New Roman"/>
          <w:szCs w:val="24"/>
          <w:lang w:val="hr-HR"/>
        </w:rPr>
        <w:t>генери</w:t>
      </w:r>
      <w:r w:rsidR="0077778E">
        <w:rPr>
          <w:rFonts w:ascii="Times New Roman" w:hAnsi="Times New Roman"/>
          <w:szCs w:val="24"/>
          <w:lang w:val="sr-Cyrl-BA"/>
        </w:rPr>
        <w:t>шу</w:t>
      </w:r>
      <w:r w:rsidR="003D78E7" w:rsidRPr="006820FB">
        <w:rPr>
          <w:rFonts w:ascii="Times New Roman" w:hAnsi="Times New Roman"/>
          <w:szCs w:val="24"/>
          <w:lang w:val="hr-HR"/>
        </w:rPr>
        <w:t xml:space="preserve"> </w:t>
      </w:r>
      <w:r>
        <w:rPr>
          <w:rFonts w:ascii="Times New Roman" w:hAnsi="Times New Roman"/>
          <w:szCs w:val="24"/>
          <w:lang w:val="hr-HR"/>
        </w:rPr>
        <w:t>послове</w:t>
      </w:r>
      <w:r w:rsidR="003D78E7" w:rsidRPr="006820FB">
        <w:rPr>
          <w:rFonts w:ascii="Times New Roman" w:hAnsi="Times New Roman"/>
          <w:szCs w:val="24"/>
          <w:lang w:val="hr-HR"/>
        </w:rPr>
        <w:t xml:space="preserve"> </w:t>
      </w:r>
      <w:r>
        <w:rPr>
          <w:rFonts w:ascii="Times New Roman" w:hAnsi="Times New Roman"/>
          <w:szCs w:val="24"/>
          <w:lang w:val="hr-HR"/>
        </w:rPr>
        <w:t>који</w:t>
      </w:r>
      <w:r w:rsidR="003D78E7" w:rsidRPr="006820FB">
        <w:rPr>
          <w:rFonts w:ascii="Times New Roman" w:hAnsi="Times New Roman"/>
          <w:szCs w:val="24"/>
          <w:lang w:val="hr-HR"/>
        </w:rPr>
        <w:t xml:space="preserve"> </w:t>
      </w:r>
      <w:r>
        <w:rPr>
          <w:rFonts w:ascii="Times New Roman" w:hAnsi="Times New Roman"/>
          <w:szCs w:val="24"/>
          <w:lang w:val="hr-HR"/>
        </w:rPr>
        <w:t>су</w:t>
      </w:r>
      <w:r w:rsidR="003D78E7" w:rsidRPr="006820FB">
        <w:rPr>
          <w:rFonts w:ascii="Times New Roman" w:hAnsi="Times New Roman"/>
          <w:szCs w:val="24"/>
          <w:lang w:val="hr-HR"/>
        </w:rPr>
        <w:t xml:space="preserve"> </w:t>
      </w:r>
      <w:r>
        <w:rPr>
          <w:rFonts w:ascii="Times New Roman" w:hAnsi="Times New Roman"/>
          <w:szCs w:val="24"/>
          <w:lang w:val="hr-HR"/>
        </w:rPr>
        <w:t>боље</w:t>
      </w:r>
      <w:r w:rsidR="003D78E7" w:rsidRPr="006820FB">
        <w:rPr>
          <w:rFonts w:ascii="Times New Roman" w:hAnsi="Times New Roman"/>
          <w:szCs w:val="24"/>
          <w:lang w:val="hr-HR"/>
        </w:rPr>
        <w:t xml:space="preserve"> </w:t>
      </w:r>
      <w:r>
        <w:rPr>
          <w:rFonts w:ascii="Times New Roman" w:hAnsi="Times New Roman"/>
          <w:szCs w:val="24"/>
          <w:lang w:val="hr-HR"/>
        </w:rPr>
        <w:t>плаћени</w:t>
      </w:r>
      <w:r w:rsidR="003D78E7" w:rsidRPr="006820FB">
        <w:rPr>
          <w:rFonts w:ascii="Times New Roman" w:hAnsi="Times New Roman"/>
          <w:szCs w:val="24"/>
          <w:lang w:val="hr-HR"/>
        </w:rPr>
        <w:t xml:space="preserve">. </w:t>
      </w:r>
    </w:p>
    <w:p w:rsidR="00F51A7C" w:rsidRPr="00295637" w:rsidRDefault="00F51A7C" w:rsidP="0086268D">
      <w:pPr>
        <w:autoSpaceDE w:val="0"/>
        <w:autoSpaceDN w:val="0"/>
        <w:adjustRightInd w:val="0"/>
        <w:jc w:val="both"/>
        <w:rPr>
          <w:rFonts w:ascii="Times New Roman" w:hAnsi="Times New Roman"/>
          <w:szCs w:val="24"/>
          <w:lang w:val="en-US"/>
        </w:rPr>
      </w:pPr>
    </w:p>
    <w:p w:rsidR="00F51A7C" w:rsidRPr="00295637" w:rsidRDefault="00C6214E" w:rsidP="0086268D">
      <w:pPr>
        <w:autoSpaceDE w:val="0"/>
        <w:autoSpaceDN w:val="0"/>
        <w:adjustRightInd w:val="0"/>
        <w:jc w:val="both"/>
        <w:rPr>
          <w:rFonts w:ascii="Times New Roman" w:hAnsi="Times New Roman"/>
          <w:color w:val="000000"/>
          <w:szCs w:val="24"/>
        </w:rPr>
      </w:pPr>
      <w:r>
        <w:rPr>
          <w:rFonts w:ascii="Times New Roman" w:hAnsi="Times New Roman"/>
          <w:color w:val="000000"/>
          <w:szCs w:val="24"/>
        </w:rPr>
        <w:t>Број</w:t>
      </w:r>
      <w:r w:rsidR="00F51A7C" w:rsidRPr="00295637">
        <w:rPr>
          <w:rFonts w:ascii="Times New Roman" w:hAnsi="Times New Roman"/>
          <w:color w:val="000000"/>
          <w:szCs w:val="24"/>
        </w:rPr>
        <w:t xml:space="preserve"> </w:t>
      </w:r>
      <w:r>
        <w:rPr>
          <w:rFonts w:ascii="Times New Roman" w:hAnsi="Times New Roman"/>
          <w:color w:val="000000"/>
          <w:szCs w:val="24"/>
        </w:rPr>
        <w:t>магистрица</w:t>
      </w:r>
      <w:r w:rsidR="00F51A7C" w:rsidRPr="00295637">
        <w:rPr>
          <w:rFonts w:ascii="Times New Roman" w:hAnsi="Times New Roman"/>
          <w:color w:val="000000"/>
          <w:szCs w:val="24"/>
        </w:rPr>
        <w:t xml:space="preserve"> </w:t>
      </w:r>
      <w:r>
        <w:rPr>
          <w:rFonts w:ascii="Times New Roman" w:hAnsi="Times New Roman"/>
          <w:color w:val="000000"/>
          <w:szCs w:val="24"/>
        </w:rPr>
        <w:t>и</w:t>
      </w:r>
      <w:r w:rsidR="00F51A7C" w:rsidRPr="00295637">
        <w:rPr>
          <w:rFonts w:ascii="Times New Roman" w:hAnsi="Times New Roman"/>
          <w:color w:val="000000"/>
          <w:szCs w:val="24"/>
        </w:rPr>
        <w:t xml:space="preserve"> </w:t>
      </w:r>
      <w:r>
        <w:rPr>
          <w:rFonts w:ascii="Times New Roman" w:hAnsi="Times New Roman"/>
          <w:color w:val="000000"/>
          <w:szCs w:val="24"/>
        </w:rPr>
        <w:t>докторица</w:t>
      </w:r>
      <w:r w:rsidR="00F51A7C" w:rsidRPr="00295637">
        <w:rPr>
          <w:rFonts w:ascii="Times New Roman" w:hAnsi="Times New Roman"/>
          <w:color w:val="000000"/>
          <w:szCs w:val="24"/>
        </w:rPr>
        <w:t xml:space="preserve"> </w:t>
      </w:r>
      <w:r>
        <w:rPr>
          <w:rFonts w:ascii="Times New Roman" w:hAnsi="Times New Roman"/>
          <w:color w:val="000000"/>
          <w:szCs w:val="24"/>
        </w:rPr>
        <w:t>наука</w:t>
      </w:r>
      <w:r w:rsidR="00D506C4" w:rsidRPr="00295637">
        <w:rPr>
          <w:rFonts w:ascii="Times New Roman" w:hAnsi="Times New Roman"/>
          <w:color w:val="000000"/>
          <w:szCs w:val="24"/>
        </w:rPr>
        <w:t xml:space="preserve"> </w:t>
      </w:r>
      <w:r>
        <w:rPr>
          <w:rFonts w:ascii="Times New Roman" w:hAnsi="Times New Roman"/>
          <w:color w:val="000000"/>
          <w:szCs w:val="24"/>
        </w:rPr>
        <w:t>је</w:t>
      </w:r>
      <w:r w:rsidR="00D506C4" w:rsidRPr="00295637">
        <w:rPr>
          <w:rFonts w:ascii="Times New Roman" w:hAnsi="Times New Roman"/>
          <w:color w:val="000000"/>
          <w:szCs w:val="24"/>
        </w:rPr>
        <w:t xml:space="preserve"> </w:t>
      </w:r>
      <w:r>
        <w:rPr>
          <w:rFonts w:ascii="Times New Roman" w:hAnsi="Times New Roman"/>
          <w:color w:val="000000"/>
          <w:szCs w:val="24"/>
        </w:rPr>
        <w:t>у</w:t>
      </w:r>
      <w:r w:rsidR="00D506C4" w:rsidRPr="00295637">
        <w:rPr>
          <w:rFonts w:ascii="Times New Roman" w:hAnsi="Times New Roman"/>
          <w:color w:val="000000"/>
          <w:szCs w:val="24"/>
        </w:rPr>
        <w:t xml:space="preserve"> </w:t>
      </w:r>
      <w:r>
        <w:rPr>
          <w:rFonts w:ascii="Times New Roman" w:hAnsi="Times New Roman"/>
          <w:color w:val="000000"/>
          <w:szCs w:val="24"/>
        </w:rPr>
        <w:t>порасту</w:t>
      </w:r>
      <w:r w:rsidR="00F51A7C" w:rsidRPr="00295637">
        <w:rPr>
          <w:rFonts w:ascii="Times New Roman" w:hAnsi="Times New Roman"/>
          <w:color w:val="000000"/>
          <w:szCs w:val="24"/>
        </w:rPr>
        <w:t xml:space="preserve">, </w:t>
      </w:r>
      <w:r>
        <w:rPr>
          <w:rFonts w:ascii="Times New Roman" w:hAnsi="Times New Roman"/>
          <w:color w:val="000000"/>
          <w:szCs w:val="24"/>
        </w:rPr>
        <w:t>а</w:t>
      </w:r>
      <w:r w:rsidR="00F51A7C" w:rsidRPr="00295637">
        <w:rPr>
          <w:rFonts w:ascii="Times New Roman" w:hAnsi="Times New Roman"/>
          <w:color w:val="000000"/>
          <w:szCs w:val="24"/>
        </w:rPr>
        <w:t xml:space="preserve"> </w:t>
      </w:r>
      <w:r>
        <w:rPr>
          <w:rFonts w:ascii="Times New Roman" w:hAnsi="Times New Roman"/>
          <w:color w:val="000000"/>
          <w:szCs w:val="24"/>
        </w:rPr>
        <w:t>већи</w:t>
      </w:r>
      <w:r w:rsidR="00F51A7C" w:rsidRPr="00295637">
        <w:rPr>
          <w:rFonts w:ascii="Times New Roman" w:hAnsi="Times New Roman"/>
          <w:color w:val="000000"/>
          <w:szCs w:val="24"/>
        </w:rPr>
        <w:t xml:space="preserve"> </w:t>
      </w:r>
      <w:r>
        <w:rPr>
          <w:rFonts w:ascii="Times New Roman" w:hAnsi="Times New Roman"/>
          <w:color w:val="000000"/>
          <w:szCs w:val="24"/>
        </w:rPr>
        <w:t>је</w:t>
      </w:r>
      <w:r w:rsidR="00F51A7C" w:rsidRPr="00295637">
        <w:rPr>
          <w:rFonts w:ascii="Times New Roman" w:hAnsi="Times New Roman"/>
          <w:color w:val="000000"/>
          <w:szCs w:val="24"/>
        </w:rPr>
        <w:t xml:space="preserve"> </w:t>
      </w:r>
      <w:r>
        <w:rPr>
          <w:rFonts w:ascii="Times New Roman" w:hAnsi="Times New Roman"/>
          <w:color w:val="000000"/>
          <w:szCs w:val="24"/>
        </w:rPr>
        <w:t>него</w:t>
      </w:r>
      <w:r w:rsidR="00F51A7C" w:rsidRPr="00295637">
        <w:rPr>
          <w:rFonts w:ascii="Times New Roman" w:hAnsi="Times New Roman"/>
          <w:color w:val="000000"/>
          <w:szCs w:val="24"/>
        </w:rPr>
        <w:t xml:space="preserve"> </w:t>
      </w:r>
      <w:r>
        <w:rPr>
          <w:rFonts w:ascii="Times New Roman" w:hAnsi="Times New Roman"/>
          <w:color w:val="000000"/>
          <w:szCs w:val="24"/>
        </w:rPr>
        <w:t>број</w:t>
      </w:r>
      <w:r w:rsidR="00F51A7C" w:rsidRPr="00295637">
        <w:rPr>
          <w:rFonts w:ascii="Times New Roman" w:hAnsi="Times New Roman"/>
          <w:color w:val="000000"/>
          <w:szCs w:val="24"/>
        </w:rPr>
        <w:t xml:space="preserve"> </w:t>
      </w:r>
      <w:r>
        <w:rPr>
          <w:rFonts w:ascii="Times New Roman" w:hAnsi="Times New Roman"/>
          <w:color w:val="000000"/>
          <w:szCs w:val="24"/>
        </w:rPr>
        <w:t>мушкараца</w:t>
      </w:r>
      <w:r w:rsidR="00F51A7C" w:rsidRPr="00295637">
        <w:rPr>
          <w:rFonts w:ascii="Times New Roman" w:hAnsi="Times New Roman"/>
          <w:color w:val="000000"/>
          <w:szCs w:val="24"/>
        </w:rPr>
        <w:t xml:space="preserve">. </w:t>
      </w:r>
      <w:r>
        <w:rPr>
          <w:rFonts w:ascii="Times New Roman" w:hAnsi="Times New Roman"/>
          <w:color w:val="000000"/>
          <w:szCs w:val="24"/>
        </w:rPr>
        <w:t>Међутим</w:t>
      </w:r>
      <w:r w:rsidR="00F51A7C" w:rsidRPr="00295637">
        <w:rPr>
          <w:rFonts w:ascii="Times New Roman" w:hAnsi="Times New Roman"/>
          <w:color w:val="000000"/>
          <w:szCs w:val="24"/>
        </w:rPr>
        <w:t xml:space="preserve">, </w:t>
      </w:r>
      <w:r>
        <w:rPr>
          <w:rFonts w:ascii="Times New Roman" w:hAnsi="Times New Roman"/>
          <w:color w:val="000000"/>
          <w:szCs w:val="24"/>
        </w:rPr>
        <w:t>међу</w:t>
      </w:r>
      <w:r w:rsidR="00F51A7C" w:rsidRPr="00295637">
        <w:rPr>
          <w:rFonts w:ascii="Times New Roman" w:hAnsi="Times New Roman"/>
          <w:color w:val="000000"/>
          <w:szCs w:val="24"/>
        </w:rPr>
        <w:t xml:space="preserve"> </w:t>
      </w:r>
      <w:r>
        <w:rPr>
          <w:rFonts w:ascii="Times New Roman" w:hAnsi="Times New Roman"/>
          <w:color w:val="000000"/>
          <w:szCs w:val="24"/>
        </w:rPr>
        <w:t>високим</w:t>
      </w:r>
      <w:r w:rsidR="00F51A7C" w:rsidRPr="00295637">
        <w:rPr>
          <w:rFonts w:ascii="Times New Roman" w:hAnsi="Times New Roman"/>
          <w:color w:val="000000"/>
          <w:szCs w:val="24"/>
        </w:rPr>
        <w:t xml:space="preserve"> </w:t>
      </w:r>
      <w:r>
        <w:rPr>
          <w:rFonts w:ascii="Times New Roman" w:hAnsi="Times New Roman"/>
          <w:color w:val="000000"/>
          <w:szCs w:val="24"/>
        </w:rPr>
        <w:t>академским</w:t>
      </w:r>
      <w:r w:rsidR="00F51A7C" w:rsidRPr="00295637">
        <w:rPr>
          <w:rFonts w:ascii="Times New Roman" w:hAnsi="Times New Roman"/>
          <w:color w:val="000000"/>
          <w:szCs w:val="24"/>
        </w:rPr>
        <w:t xml:space="preserve"> </w:t>
      </w:r>
      <w:r>
        <w:rPr>
          <w:rFonts w:ascii="Times New Roman" w:hAnsi="Times New Roman"/>
          <w:color w:val="000000"/>
          <w:szCs w:val="24"/>
        </w:rPr>
        <w:t>и</w:t>
      </w:r>
      <w:r w:rsidR="00F51A7C" w:rsidRPr="00295637">
        <w:rPr>
          <w:rFonts w:ascii="Times New Roman" w:hAnsi="Times New Roman"/>
          <w:color w:val="000000"/>
          <w:szCs w:val="24"/>
        </w:rPr>
        <w:t xml:space="preserve"> </w:t>
      </w:r>
      <w:r>
        <w:rPr>
          <w:rFonts w:ascii="Times New Roman" w:hAnsi="Times New Roman"/>
          <w:color w:val="000000"/>
          <w:szCs w:val="24"/>
        </w:rPr>
        <w:t>истраживачким</w:t>
      </w:r>
      <w:r w:rsidR="00F51A7C" w:rsidRPr="00295637">
        <w:rPr>
          <w:rFonts w:ascii="Times New Roman" w:hAnsi="Times New Roman"/>
          <w:color w:val="000000"/>
          <w:szCs w:val="24"/>
        </w:rPr>
        <w:t xml:space="preserve"> </w:t>
      </w:r>
      <w:r>
        <w:rPr>
          <w:rFonts w:ascii="Times New Roman" w:hAnsi="Times New Roman"/>
          <w:color w:val="000000"/>
          <w:szCs w:val="24"/>
        </w:rPr>
        <w:t>позицијама</w:t>
      </w:r>
      <w:r w:rsidR="00F51A7C" w:rsidRPr="00295637">
        <w:rPr>
          <w:rFonts w:ascii="Times New Roman" w:hAnsi="Times New Roman"/>
          <w:color w:val="000000"/>
          <w:szCs w:val="24"/>
        </w:rPr>
        <w:t xml:space="preserve"> </w:t>
      </w:r>
      <w:r>
        <w:rPr>
          <w:rFonts w:ascii="Times New Roman" w:hAnsi="Times New Roman"/>
          <w:color w:val="000000"/>
          <w:szCs w:val="24"/>
        </w:rPr>
        <w:t>и</w:t>
      </w:r>
      <w:r w:rsidR="00F51A7C" w:rsidRPr="00295637">
        <w:rPr>
          <w:rFonts w:ascii="Times New Roman" w:hAnsi="Times New Roman"/>
          <w:color w:val="000000"/>
          <w:szCs w:val="24"/>
        </w:rPr>
        <w:t xml:space="preserve"> </w:t>
      </w:r>
      <w:r>
        <w:rPr>
          <w:rFonts w:ascii="Times New Roman" w:hAnsi="Times New Roman"/>
          <w:color w:val="000000"/>
          <w:szCs w:val="24"/>
        </w:rPr>
        <w:t>управљачким</w:t>
      </w:r>
      <w:r w:rsidR="00F51A7C" w:rsidRPr="00295637">
        <w:rPr>
          <w:rFonts w:ascii="Times New Roman" w:hAnsi="Times New Roman"/>
          <w:color w:val="000000"/>
          <w:szCs w:val="24"/>
        </w:rPr>
        <w:t xml:space="preserve"> </w:t>
      </w:r>
      <w:r>
        <w:rPr>
          <w:rFonts w:ascii="Times New Roman" w:hAnsi="Times New Roman"/>
          <w:color w:val="000000"/>
          <w:szCs w:val="24"/>
        </w:rPr>
        <w:t>позицијама</w:t>
      </w:r>
      <w:r w:rsidR="00F51A7C" w:rsidRPr="00295637">
        <w:rPr>
          <w:rFonts w:ascii="Times New Roman" w:hAnsi="Times New Roman"/>
          <w:color w:val="000000"/>
          <w:szCs w:val="24"/>
        </w:rPr>
        <w:t xml:space="preserve"> </w:t>
      </w:r>
      <w:r>
        <w:rPr>
          <w:rFonts w:ascii="Times New Roman" w:hAnsi="Times New Roman"/>
          <w:color w:val="000000"/>
          <w:szCs w:val="24"/>
        </w:rPr>
        <w:t>доминирају</w:t>
      </w:r>
      <w:r w:rsidR="00F51A7C" w:rsidRPr="00295637">
        <w:rPr>
          <w:rFonts w:ascii="Times New Roman" w:hAnsi="Times New Roman"/>
          <w:color w:val="000000"/>
          <w:szCs w:val="24"/>
        </w:rPr>
        <w:t xml:space="preserve"> </w:t>
      </w:r>
      <w:r>
        <w:rPr>
          <w:rFonts w:ascii="Times New Roman" w:hAnsi="Times New Roman"/>
          <w:color w:val="000000"/>
          <w:szCs w:val="24"/>
        </w:rPr>
        <w:t>мушкарци</w:t>
      </w:r>
      <w:r w:rsidR="00F51A7C" w:rsidRPr="00295637">
        <w:rPr>
          <w:rFonts w:ascii="Times New Roman" w:hAnsi="Times New Roman"/>
          <w:color w:val="000000"/>
          <w:szCs w:val="24"/>
        </w:rPr>
        <w:t xml:space="preserve">, </w:t>
      </w:r>
      <w:r>
        <w:rPr>
          <w:rFonts w:ascii="Times New Roman" w:hAnsi="Times New Roman"/>
          <w:color w:val="000000"/>
          <w:szCs w:val="24"/>
        </w:rPr>
        <w:t>због</w:t>
      </w:r>
      <w:r w:rsidR="00F51A7C" w:rsidRPr="00295637">
        <w:rPr>
          <w:rFonts w:ascii="Times New Roman" w:hAnsi="Times New Roman"/>
          <w:color w:val="000000"/>
          <w:szCs w:val="24"/>
        </w:rPr>
        <w:t xml:space="preserve"> </w:t>
      </w:r>
      <w:r>
        <w:rPr>
          <w:rFonts w:ascii="Times New Roman" w:hAnsi="Times New Roman"/>
          <w:color w:val="000000"/>
          <w:szCs w:val="24"/>
        </w:rPr>
        <w:t>чега</w:t>
      </w:r>
      <w:r w:rsidR="00F51A7C" w:rsidRPr="00295637">
        <w:rPr>
          <w:rFonts w:ascii="Times New Roman" w:hAnsi="Times New Roman"/>
          <w:color w:val="000000"/>
          <w:szCs w:val="24"/>
        </w:rPr>
        <w:t xml:space="preserve"> </w:t>
      </w:r>
      <w:r>
        <w:rPr>
          <w:rFonts w:ascii="Times New Roman" w:hAnsi="Times New Roman"/>
          <w:color w:val="000000"/>
          <w:szCs w:val="24"/>
        </w:rPr>
        <w:t>се</w:t>
      </w:r>
      <w:r w:rsidR="00F51A7C" w:rsidRPr="00295637">
        <w:rPr>
          <w:rFonts w:ascii="Times New Roman" w:hAnsi="Times New Roman"/>
          <w:color w:val="000000"/>
          <w:szCs w:val="24"/>
        </w:rPr>
        <w:t xml:space="preserve"> </w:t>
      </w:r>
      <w:r>
        <w:rPr>
          <w:rFonts w:ascii="Times New Roman" w:hAnsi="Times New Roman"/>
          <w:color w:val="000000"/>
          <w:szCs w:val="24"/>
        </w:rPr>
        <w:t>може</w:t>
      </w:r>
      <w:r w:rsidR="00F51A7C" w:rsidRPr="00295637">
        <w:rPr>
          <w:rFonts w:ascii="Times New Roman" w:hAnsi="Times New Roman"/>
          <w:color w:val="000000"/>
          <w:szCs w:val="24"/>
        </w:rPr>
        <w:t xml:space="preserve"> </w:t>
      </w:r>
      <w:r>
        <w:rPr>
          <w:rFonts w:ascii="Times New Roman" w:hAnsi="Times New Roman"/>
          <w:color w:val="000000"/>
          <w:szCs w:val="24"/>
        </w:rPr>
        <w:t>рећи</w:t>
      </w:r>
      <w:r w:rsidR="00F51A7C" w:rsidRPr="00295637">
        <w:rPr>
          <w:rFonts w:ascii="Times New Roman" w:hAnsi="Times New Roman"/>
          <w:color w:val="000000"/>
          <w:szCs w:val="24"/>
        </w:rPr>
        <w:t xml:space="preserve"> </w:t>
      </w:r>
      <w:r>
        <w:rPr>
          <w:rFonts w:ascii="Times New Roman" w:hAnsi="Times New Roman"/>
          <w:color w:val="000000"/>
          <w:szCs w:val="24"/>
        </w:rPr>
        <w:t>да</w:t>
      </w:r>
      <w:r w:rsidR="00F51A7C" w:rsidRPr="00295637">
        <w:rPr>
          <w:rFonts w:ascii="Times New Roman" w:hAnsi="Times New Roman"/>
          <w:color w:val="000000"/>
          <w:szCs w:val="24"/>
        </w:rPr>
        <w:t xml:space="preserve"> </w:t>
      </w:r>
      <w:r>
        <w:rPr>
          <w:rFonts w:ascii="Times New Roman" w:hAnsi="Times New Roman"/>
          <w:color w:val="000000"/>
          <w:szCs w:val="24"/>
        </w:rPr>
        <w:t>је</w:t>
      </w:r>
      <w:r w:rsidR="00F51A7C" w:rsidRPr="00295637">
        <w:rPr>
          <w:rFonts w:ascii="Times New Roman" w:hAnsi="Times New Roman"/>
          <w:color w:val="000000"/>
          <w:szCs w:val="24"/>
        </w:rPr>
        <w:t xml:space="preserve"> </w:t>
      </w:r>
      <w:r>
        <w:rPr>
          <w:rFonts w:ascii="Times New Roman" w:hAnsi="Times New Roman"/>
          <w:color w:val="000000"/>
          <w:szCs w:val="24"/>
        </w:rPr>
        <w:t>присутан</w:t>
      </w:r>
      <w:r w:rsidR="00F51A7C" w:rsidRPr="00295637">
        <w:rPr>
          <w:rFonts w:ascii="Times New Roman" w:hAnsi="Times New Roman"/>
          <w:color w:val="000000"/>
          <w:szCs w:val="24"/>
        </w:rPr>
        <w:t xml:space="preserve"> </w:t>
      </w:r>
      <w:r>
        <w:rPr>
          <w:rFonts w:ascii="Times New Roman" w:hAnsi="Times New Roman"/>
          <w:color w:val="000000"/>
          <w:szCs w:val="24"/>
        </w:rPr>
        <w:t>феномен</w:t>
      </w:r>
      <w:r w:rsidR="00F51A7C" w:rsidRPr="00295637">
        <w:rPr>
          <w:rFonts w:ascii="Times New Roman" w:hAnsi="Times New Roman"/>
          <w:color w:val="000000"/>
          <w:szCs w:val="24"/>
        </w:rPr>
        <w:t xml:space="preserve"> „</w:t>
      </w:r>
      <w:r>
        <w:rPr>
          <w:rFonts w:ascii="Times New Roman" w:hAnsi="Times New Roman"/>
          <w:color w:val="000000"/>
          <w:szCs w:val="24"/>
        </w:rPr>
        <w:t>стакленог</w:t>
      </w:r>
      <w:r w:rsidR="00F51A7C" w:rsidRPr="00295637">
        <w:rPr>
          <w:rFonts w:ascii="Times New Roman" w:hAnsi="Times New Roman"/>
          <w:color w:val="000000"/>
          <w:szCs w:val="24"/>
        </w:rPr>
        <w:t xml:space="preserve"> </w:t>
      </w:r>
      <w:r>
        <w:rPr>
          <w:rFonts w:ascii="Times New Roman" w:hAnsi="Times New Roman"/>
          <w:color w:val="000000"/>
          <w:szCs w:val="24"/>
        </w:rPr>
        <w:t>стропа</w:t>
      </w:r>
      <w:r w:rsidR="00F51A7C" w:rsidRPr="00295637">
        <w:rPr>
          <w:rFonts w:ascii="Times New Roman" w:hAnsi="Times New Roman"/>
          <w:color w:val="000000"/>
          <w:szCs w:val="24"/>
        </w:rPr>
        <w:t xml:space="preserve">“ </w:t>
      </w:r>
      <w:r>
        <w:rPr>
          <w:rFonts w:ascii="Times New Roman" w:hAnsi="Times New Roman"/>
          <w:color w:val="000000"/>
          <w:szCs w:val="24"/>
        </w:rPr>
        <w:t>у</w:t>
      </w:r>
      <w:r w:rsidR="00F51A7C" w:rsidRPr="00295637">
        <w:rPr>
          <w:rFonts w:ascii="Times New Roman" w:hAnsi="Times New Roman"/>
          <w:color w:val="000000"/>
          <w:szCs w:val="24"/>
        </w:rPr>
        <w:t xml:space="preserve"> </w:t>
      </w:r>
      <w:r>
        <w:rPr>
          <w:rFonts w:ascii="Times New Roman" w:hAnsi="Times New Roman"/>
          <w:color w:val="000000"/>
          <w:szCs w:val="24"/>
        </w:rPr>
        <w:t>овој</w:t>
      </w:r>
      <w:r w:rsidR="00F51A7C" w:rsidRPr="00295637">
        <w:rPr>
          <w:rFonts w:ascii="Times New Roman" w:hAnsi="Times New Roman"/>
          <w:color w:val="000000"/>
          <w:szCs w:val="24"/>
        </w:rPr>
        <w:t xml:space="preserve"> </w:t>
      </w:r>
      <w:r>
        <w:rPr>
          <w:rFonts w:ascii="Times New Roman" w:hAnsi="Times New Roman"/>
          <w:color w:val="000000"/>
          <w:szCs w:val="24"/>
        </w:rPr>
        <w:t>области</w:t>
      </w:r>
      <w:r w:rsidR="005F7713" w:rsidRPr="00295637">
        <w:rPr>
          <w:rFonts w:ascii="Times New Roman" w:hAnsi="Times New Roman"/>
          <w:color w:val="000000"/>
          <w:szCs w:val="24"/>
        </w:rPr>
        <w:t>.</w:t>
      </w:r>
    </w:p>
    <w:p w:rsidR="00F51A7C" w:rsidRPr="00295637" w:rsidRDefault="00F51A7C" w:rsidP="0086268D">
      <w:pPr>
        <w:autoSpaceDE w:val="0"/>
        <w:autoSpaceDN w:val="0"/>
        <w:adjustRightInd w:val="0"/>
        <w:jc w:val="both"/>
        <w:rPr>
          <w:rFonts w:ascii="Times New Roman" w:hAnsi="Times New Roman"/>
          <w:szCs w:val="24"/>
          <w:lang w:val="en-US"/>
        </w:rPr>
      </w:pPr>
    </w:p>
    <w:p w:rsidR="003D78E7" w:rsidRPr="00295637" w:rsidRDefault="00C6214E" w:rsidP="0086268D">
      <w:pPr>
        <w:autoSpaceDE w:val="0"/>
        <w:autoSpaceDN w:val="0"/>
        <w:adjustRightInd w:val="0"/>
        <w:jc w:val="both"/>
        <w:rPr>
          <w:rFonts w:ascii="Times New Roman" w:hAnsi="Times New Roman"/>
          <w:szCs w:val="24"/>
          <w:lang w:val="en-US"/>
        </w:rPr>
      </w:pPr>
      <w:r>
        <w:rPr>
          <w:rFonts w:ascii="Times New Roman" w:hAnsi="Times New Roman"/>
          <w:szCs w:val="24"/>
        </w:rPr>
        <w:t>Готово</w:t>
      </w:r>
      <w:r w:rsidR="003D78E7" w:rsidRPr="00295637">
        <w:rPr>
          <w:rFonts w:ascii="Times New Roman" w:hAnsi="Times New Roman"/>
          <w:szCs w:val="24"/>
        </w:rPr>
        <w:t xml:space="preserve"> </w:t>
      </w:r>
      <w:r>
        <w:rPr>
          <w:rFonts w:ascii="Times New Roman" w:hAnsi="Times New Roman"/>
          <w:szCs w:val="24"/>
        </w:rPr>
        <w:t>све</w:t>
      </w:r>
      <w:r w:rsidR="003D78E7" w:rsidRPr="00295637">
        <w:rPr>
          <w:rFonts w:ascii="Times New Roman" w:hAnsi="Times New Roman"/>
          <w:szCs w:val="24"/>
        </w:rPr>
        <w:t xml:space="preserve"> </w:t>
      </w:r>
      <w:r>
        <w:rPr>
          <w:rFonts w:ascii="Times New Roman" w:hAnsi="Times New Roman"/>
          <w:szCs w:val="24"/>
        </w:rPr>
        <w:t>одгајатељице</w:t>
      </w:r>
      <w:r w:rsidR="003D78E7" w:rsidRPr="00295637">
        <w:rPr>
          <w:rFonts w:ascii="Times New Roman" w:hAnsi="Times New Roman"/>
          <w:szCs w:val="24"/>
        </w:rPr>
        <w:t xml:space="preserve"> </w:t>
      </w:r>
      <w:r>
        <w:rPr>
          <w:rFonts w:ascii="Times New Roman" w:hAnsi="Times New Roman"/>
          <w:szCs w:val="24"/>
        </w:rPr>
        <w:t>у</w:t>
      </w:r>
      <w:r w:rsidR="003D78E7" w:rsidRPr="00295637">
        <w:rPr>
          <w:rFonts w:ascii="Times New Roman" w:hAnsi="Times New Roman"/>
          <w:szCs w:val="24"/>
        </w:rPr>
        <w:t xml:space="preserve"> </w:t>
      </w:r>
      <w:r>
        <w:rPr>
          <w:rFonts w:ascii="Times New Roman" w:hAnsi="Times New Roman"/>
          <w:szCs w:val="24"/>
        </w:rPr>
        <w:t>предшколским</w:t>
      </w:r>
      <w:r w:rsidR="003D78E7" w:rsidRPr="00295637">
        <w:rPr>
          <w:rFonts w:ascii="Times New Roman" w:hAnsi="Times New Roman"/>
          <w:szCs w:val="24"/>
        </w:rPr>
        <w:t xml:space="preserve"> </w:t>
      </w:r>
      <w:r>
        <w:rPr>
          <w:rFonts w:ascii="Times New Roman" w:hAnsi="Times New Roman"/>
          <w:szCs w:val="24"/>
        </w:rPr>
        <w:t>установама</w:t>
      </w:r>
      <w:r w:rsidR="003D78E7" w:rsidRPr="00295637">
        <w:rPr>
          <w:rFonts w:ascii="Times New Roman" w:hAnsi="Times New Roman"/>
          <w:szCs w:val="24"/>
        </w:rPr>
        <w:t xml:space="preserve"> </w:t>
      </w:r>
      <w:r>
        <w:rPr>
          <w:rFonts w:ascii="Times New Roman" w:hAnsi="Times New Roman"/>
          <w:szCs w:val="24"/>
        </w:rPr>
        <w:t>у</w:t>
      </w:r>
      <w:r w:rsidR="009E54A2" w:rsidRPr="00295637">
        <w:rPr>
          <w:rFonts w:ascii="Times New Roman" w:hAnsi="Times New Roman"/>
          <w:szCs w:val="24"/>
        </w:rPr>
        <w:t xml:space="preserve"> </w:t>
      </w:r>
      <w:r>
        <w:rPr>
          <w:rFonts w:ascii="Times New Roman" w:hAnsi="Times New Roman"/>
          <w:szCs w:val="24"/>
        </w:rPr>
        <w:t>БиХ</w:t>
      </w:r>
      <w:r w:rsidR="009E54A2" w:rsidRPr="00295637">
        <w:rPr>
          <w:rFonts w:ascii="Times New Roman" w:hAnsi="Times New Roman"/>
          <w:szCs w:val="24"/>
        </w:rPr>
        <w:t xml:space="preserve"> </w:t>
      </w:r>
      <w:r>
        <w:rPr>
          <w:rFonts w:ascii="Times New Roman" w:hAnsi="Times New Roman"/>
          <w:szCs w:val="24"/>
        </w:rPr>
        <w:t>су</w:t>
      </w:r>
      <w:r w:rsidR="009E54A2" w:rsidRPr="00295637">
        <w:rPr>
          <w:rFonts w:ascii="Times New Roman" w:hAnsi="Times New Roman"/>
          <w:szCs w:val="24"/>
        </w:rPr>
        <w:t xml:space="preserve"> </w:t>
      </w:r>
      <w:r>
        <w:rPr>
          <w:rFonts w:ascii="Times New Roman" w:hAnsi="Times New Roman"/>
          <w:szCs w:val="24"/>
        </w:rPr>
        <w:t>жене</w:t>
      </w:r>
      <w:r w:rsidR="003D78E7" w:rsidRPr="00295637">
        <w:rPr>
          <w:rFonts w:ascii="Times New Roman" w:hAnsi="Times New Roman"/>
          <w:szCs w:val="24"/>
        </w:rPr>
        <w:t xml:space="preserve"> (99%). </w:t>
      </w:r>
      <w:r>
        <w:rPr>
          <w:rFonts w:ascii="Times New Roman" w:hAnsi="Times New Roman"/>
          <w:szCs w:val="24"/>
        </w:rPr>
        <w:t>Идући</w:t>
      </w:r>
      <w:r w:rsidR="003D78E7" w:rsidRPr="00295637">
        <w:rPr>
          <w:rFonts w:ascii="Times New Roman" w:hAnsi="Times New Roman"/>
          <w:szCs w:val="24"/>
        </w:rPr>
        <w:t xml:space="preserve"> </w:t>
      </w:r>
      <w:r>
        <w:rPr>
          <w:rFonts w:ascii="Times New Roman" w:hAnsi="Times New Roman"/>
          <w:szCs w:val="24"/>
        </w:rPr>
        <w:t>према</w:t>
      </w:r>
      <w:r w:rsidR="003D78E7" w:rsidRPr="00295637">
        <w:rPr>
          <w:rFonts w:ascii="Times New Roman" w:hAnsi="Times New Roman"/>
          <w:szCs w:val="24"/>
        </w:rPr>
        <w:t xml:space="preserve"> </w:t>
      </w:r>
      <w:r>
        <w:rPr>
          <w:rFonts w:ascii="Times New Roman" w:hAnsi="Times New Roman"/>
          <w:szCs w:val="24"/>
        </w:rPr>
        <w:t>вишим</w:t>
      </w:r>
      <w:r w:rsidR="003D78E7" w:rsidRPr="00295637">
        <w:rPr>
          <w:rFonts w:ascii="Times New Roman" w:hAnsi="Times New Roman"/>
          <w:szCs w:val="24"/>
        </w:rPr>
        <w:t xml:space="preserve"> </w:t>
      </w:r>
      <w:r>
        <w:rPr>
          <w:rFonts w:ascii="Times New Roman" w:hAnsi="Times New Roman"/>
          <w:szCs w:val="24"/>
        </w:rPr>
        <w:t>нивоима</w:t>
      </w:r>
      <w:r w:rsidR="003D78E7" w:rsidRPr="00295637">
        <w:rPr>
          <w:rFonts w:ascii="Times New Roman" w:hAnsi="Times New Roman"/>
          <w:szCs w:val="24"/>
        </w:rPr>
        <w:t xml:space="preserve"> </w:t>
      </w:r>
      <w:r>
        <w:rPr>
          <w:rFonts w:ascii="Times New Roman" w:hAnsi="Times New Roman"/>
          <w:szCs w:val="24"/>
        </w:rPr>
        <w:t>образовања</w:t>
      </w:r>
      <w:r w:rsidR="003D78E7" w:rsidRPr="00295637">
        <w:rPr>
          <w:rFonts w:ascii="Times New Roman" w:hAnsi="Times New Roman"/>
          <w:szCs w:val="24"/>
        </w:rPr>
        <w:t xml:space="preserve">, </w:t>
      </w:r>
      <w:r>
        <w:rPr>
          <w:rFonts w:ascii="Times New Roman" w:hAnsi="Times New Roman"/>
          <w:szCs w:val="24"/>
        </w:rPr>
        <w:t>полна</w:t>
      </w:r>
      <w:r w:rsidR="003D78E7" w:rsidRPr="00295637">
        <w:rPr>
          <w:rFonts w:ascii="Times New Roman" w:hAnsi="Times New Roman"/>
          <w:szCs w:val="24"/>
        </w:rPr>
        <w:t xml:space="preserve"> </w:t>
      </w:r>
      <w:r>
        <w:rPr>
          <w:rFonts w:ascii="Times New Roman" w:hAnsi="Times New Roman"/>
          <w:szCs w:val="24"/>
        </w:rPr>
        <w:t>структура</w:t>
      </w:r>
      <w:r w:rsidR="003D78E7" w:rsidRPr="00295637">
        <w:rPr>
          <w:rFonts w:ascii="Times New Roman" w:hAnsi="Times New Roman"/>
          <w:szCs w:val="24"/>
        </w:rPr>
        <w:t xml:space="preserve"> </w:t>
      </w:r>
      <w:r>
        <w:rPr>
          <w:rFonts w:ascii="Times New Roman" w:hAnsi="Times New Roman"/>
          <w:szCs w:val="24"/>
        </w:rPr>
        <w:t>наставног</w:t>
      </w:r>
      <w:r w:rsidR="003D78E7" w:rsidRPr="00295637">
        <w:rPr>
          <w:rFonts w:ascii="Times New Roman" w:hAnsi="Times New Roman"/>
          <w:szCs w:val="24"/>
        </w:rPr>
        <w:t xml:space="preserve"> </w:t>
      </w:r>
      <w:r>
        <w:rPr>
          <w:rFonts w:ascii="Times New Roman" w:hAnsi="Times New Roman"/>
          <w:szCs w:val="24"/>
        </w:rPr>
        <w:t>особља</w:t>
      </w:r>
      <w:r w:rsidR="003D78E7" w:rsidRPr="00295637">
        <w:rPr>
          <w:rFonts w:ascii="Times New Roman" w:hAnsi="Times New Roman"/>
          <w:szCs w:val="24"/>
        </w:rPr>
        <w:t xml:space="preserve"> </w:t>
      </w:r>
      <w:r>
        <w:rPr>
          <w:rFonts w:ascii="Times New Roman" w:hAnsi="Times New Roman"/>
          <w:szCs w:val="24"/>
        </w:rPr>
        <w:t>се</w:t>
      </w:r>
      <w:r w:rsidR="003D78E7" w:rsidRPr="00295637">
        <w:rPr>
          <w:rFonts w:ascii="Times New Roman" w:hAnsi="Times New Roman"/>
          <w:szCs w:val="24"/>
        </w:rPr>
        <w:t xml:space="preserve"> </w:t>
      </w:r>
      <w:r>
        <w:rPr>
          <w:rFonts w:ascii="Times New Roman" w:hAnsi="Times New Roman"/>
          <w:szCs w:val="24"/>
        </w:rPr>
        <w:t>мијења</w:t>
      </w:r>
      <w:r w:rsidR="003D78E7" w:rsidRPr="00295637">
        <w:rPr>
          <w:rFonts w:ascii="Times New Roman" w:hAnsi="Times New Roman"/>
          <w:szCs w:val="24"/>
        </w:rPr>
        <w:t xml:space="preserve">, </w:t>
      </w:r>
      <w:r>
        <w:rPr>
          <w:rFonts w:ascii="Times New Roman" w:hAnsi="Times New Roman"/>
          <w:szCs w:val="24"/>
        </w:rPr>
        <w:t>тако</w:t>
      </w:r>
      <w:r w:rsidR="003D78E7" w:rsidRPr="00295637">
        <w:rPr>
          <w:rFonts w:ascii="Times New Roman" w:hAnsi="Times New Roman"/>
          <w:szCs w:val="24"/>
        </w:rPr>
        <w:t xml:space="preserve"> </w:t>
      </w:r>
      <w:r>
        <w:rPr>
          <w:rFonts w:ascii="Times New Roman" w:hAnsi="Times New Roman"/>
          <w:szCs w:val="24"/>
        </w:rPr>
        <w:t>да</w:t>
      </w:r>
      <w:r w:rsidR="003D78E7" w:rsidRPr="00295637">
        <w:rPr>
          <w:rFonts w:ascii="Times New Roman" w:hAnsi="Times New Roman"/>
          <w:szCs w:val="24"/>
        </w:rPr>
        <w:t xml:space="preserve"> </w:t>
      </w:r>
      <w:r>
        <w:rPr>
          <w:rFonts w:ascii="Times New Roman" w:hAnsi="Times New Roman"/>
          <w:szCs w:val="24"/>
        </w:rPr>
        <w:t>су</w:t>
      </w:r>
      <w:r w:rsidR="003D78E7" w:rsidRPr="00295637">
        <w:rPr>
          <w:rFonts w:ascii="Times New Roman" w:hAnsi="Times New Roman"/>
          <w:szCs w:val="24"/>
        </w:rPr>
        <w:t xml:space="preserve"> </w:t>
      </w:r>
      <w:r>
        <w:rPr>
          <w:rFonts w:ascii="Times New Roman" w:hAnsi="Times New Roman"/>
          <w:szCs w:val="24"/>
        </w:rPr>
        <w:t>жене</w:t>
      </w:r>
      <w:r w:rsidR="003D78E7" w:rsidRPr="00295637">
        <w:rPr>
          <w:rFonts w:ascii="Times New Roman" w:hAnsi="Times New Roman"/>
          <w:szCs w:val="24"/>
        </w:rPr>
        <w:t xml:space="preserve"> </w:t>
      </w:r>
      <w:r>
        <w:rPr>
          <w:rFonts w:ascii="Times New Roman" w:hAnsi="Times New Roman"/>
          <w:szCs w:val="24"/>
        </w:rPr>
        <w:t>заступљеније</w:t>
      </w:r>
      <w:r w:rsidR="003D78E7" w:rsidRPr="00295637">
        <w:rPr>
          <w:rFonts w:ascii="Times New Roman" w:hAnsi="Times New Roman"/>
          <w:szCs w:val="24"/>
        </w:rPr>
        <w:t xml:space="preserve"> </w:t>
      </w:r>
      <w:r>
        <w:rPr>
          <w:rFonts w:ascii="Times New Roman" w:hAnsi="Times New Roman"/>
          <w:szCs w:val="24"/>
        </w:rPr>
        <w:t>у</w:t>
      </w:r>
      <w:r w:rsidR="003D78E7" w:rsidRPr="00295637">
        <w:rPr>
          <w:rFonts w:ascii="Times New Roman" w:hAnsi="Times New Roman"/>
          <w:szCs w:val="24"/>
        </w:rPr>
        <w:t xml:space="preserve"> </w:t>
      </w:r>
      <w:r>
        <w:rPr>
          <w:rFonts w:ascii="Times New Roman" w:hAnsi="Times New Roman"/>
          <w:szCs w:val="24"/>
        </w:rPr>
        <w:t>основном</w:t>
      </w:r>
      <w:r w:rsidR="003D78E7" w:rsidRPr="00295637">
        <w:rPr>
          <w:rFonts w:ascii="Times New Roman" w:hAnsi="Times New Roman"/>
          <w:szCs w:val="24"/>
        </w:rPr>
        <w:t xml:space="preserve"> </w:t>
      </w:r>
      <w:r>
        <w:rPr>
          <w:rFonts w:ascii="Times New Roman" w:hAnsi="Times New Roman"/>
          <w:szCs w:val="24"/>
        </w:rPr>
        <w:t>и</w:t>
      </w:r>
      <w:r w:rsidR="003D78E7" w:rsidRPr="00295637">
        <w:rPr>
          <w:rFonts w:ascii="Times New Roman" w:hAnsi="Times New Roman"/>
          <w:szCs w:val="24"/>
        </w:rPr>
        <w:t xml:space="preserve"> </w:t>
      </w:r>
      <w:r>
        <w:rPr>
          <w:rFonts w:ascii="Times New Roman" w:hAnsi="Times New Roman"/>
          <w:szCs w:val="24"/>
        </w:rPr>
        <w:t>средњем</w:t>
      </w:r>
      <w:r w:rsidR="003D78E7" w:rsidRPr="00295637">
        <w:rPr>
          <w:rFonts w:ascii="Times New Roman" w:hAnsi="Times New Roman"/>
          <w:szCs w:val="24"/>
        </w:rPr>
        <w:t xml:space="preserve"> </w:t>
      </w:r>
      <w:r>
        <w:rPr>
          <w:rFonts w:ascii="Times New Roman" w:hAnsi="Times New Roman"/>
          <w:szCs w:val="24"/>
        </w:rPr>
        <w:t>образовању</w:t>
      </w:r>
      <w:r w:rsidR="003D78E7" w:rsidRPr="00295637">
        <w:rPr>
          <w:rFonts w:ascii="Times New Roman" w:hAnsi="Times New Roman"/>
          <w:szCs w:val="24"/>
        </w:rPr>
        <w:t xml:space="preserve">, </w:t>
      </w:r>
      <w:r>
        <w:rPr>
          <w:rFonts w:ascii="Times New Roman" w:hAnsi="Times New Roman"/>
          <w:szCs w:val="24"/>
        </w:rPr>
        <w:t>док</w:t>
      </w:r>
      <w:r w:rsidR="003D78E7" w:rsidRPr="00295637">
        <w:rPr>
          <w:rFonts w:ascii="Times New Roman" w:hAnsi="Times New Roman"/>
          <w:szCs w:val="24"/>
        </w:rPr>
        <w:t xml:space="preserve"> </w:t>
      </w:r>
      <w:r>
        <w:rPr>
          <w:rFonts w:ascii="Times New Roman" w:hAnsi="Times New Roman"/>
          <w:szCs w:val="24"/>
        </w:rPr>
        <w:t>више</w:t>
      </w:r>
      <w:r w:rsidR="003D78E7" w:rsidRPr="00295637">
        <w:rPr>
          <w:rFonts w:ascii="Times New Roman" w:hAnsi="Times New Roman"/>
          <w:szCs w:val="24"/>
        </w:rPr>
        <w:t xml:space="preserve"> </w:t>
      </w:r>
      <w:r>
        <w:rPr>
          <w:rFonts w:ascii="Times New Roman" w:hAnsi="Times New Roman"/>
          <w:szCs w:val="24"/>
        </w:rPr>
        <w:t>од</w:t>
      </w:r>
      <w:r w:rsidR="003D78E7" w:rsidRPr="00295637">
        <w:rPr>
          <w:rFonts w:ascii="Times New Roman" w:hAnsi="Times New Roman"/>
          <w:szCs w:val="24"/>
        </w:rPr>
        <w:t xml:space="preserve"> </w:t>
      </w:r>
      <w:r>
        <w:rPr>
          <w:rFonts w:ascii="Times New Roman" w:hAnsi="Times New Roman"/>
          <w:szCs w:val="24"/>
        </w:rPr>
        <w:t>половине</w:t>
      </w:r>
      <w:r w:rsidR="003D78E7" w:rsidRPr="00295637">
        <w:rPr>
          <w:rFonts w:ascii="Times New Roman" w:hAnsi="Times New Roman"/>
          <w:szCs w:val="24"/>
        </w:rPr>
        <w:t xml:space="preserve"> </w:t>
      </w:r>
      <w:r>
        <w:rPr>
          <w:rFonts w:ascii="Times New Roman" w:hAnsi="Times New Roman"/>
          <w:szCs w:val="24"/>
        </w:rPr>
        <w:t>наставника</w:t>
      </w:r>
      <w:r w:rsidR="003D78E7" w:rsidRPr="00295637">
        <w:rPr>
          <w:rFonts w:ascii="Times New Roman" w:hAnsi="Times New Roman"/>
          <w:szCs w:val="24"/>
        </w:rPr>
        <w:t xml:space="preserve"> </w:t>
      </w:r>
      <w:r>
        <w:rPr>
          <w:rFonts w:ascii="Times New Roman" w:hAnsi="Times New Roman"/>
          <w:szCs w:val="24"/>
        </w:rPr>
        <w:t>и</w:t>
      </w:r>
      <w:r w:rsidR="003D78E7" w:rsidRPr="00295637">
        <w:rPr>
          <w:rFonts w:ascii="Times New Roman" w:hAnsi="Times New Roman"/>
          <w:szCs w:val="24"/>
        </w:rPr>
        <w:t xml:space="preserve"> </w:t>
      </w:r>
      <w:r>
        <w:rPr>
          <w:rFonts w:ascii="Times New Roman" w:hAnsi="Times New Roman"/>
          <w:szCs w:val="24"/>
        </w:rPr>
        <w:t>сарадника</w:t>
      </w:r>
      <w:r w:rsidR="003D78E7" w:rsidRPr="00295637">
        <w:rPr>
          <w:rFonts w:ascii="Times New Roman" w:hAnsi="Times New Roman"/>
          <w:szCs w:val="24"/>
        </w:rPr>
        <w:t xml:space="preserve"> </w:t>
      </w:r>
      <w:r>
        <w:rPr>
          <w:rFonts w:ascii="Times New Roman" w:hAnsi="Times New Roman"/>
          <w:szCs w:val="24"/>
        </w:rPr>
        <w:t>у</w:t>
      </w:r>
      <w:r w:rsidR="003D78E7" w:rsidRPr="00295637">
        <w:rPr>
          <w:rFonts w:ascii="Times New Roman" w:hAnsi="Times New Roman"/>
          <w:szCs w:val="24"/>
        </w:rPr>
        <w:t xml:space="preserve"> </w:t>
      </w:r>
      <w:r>
        <w:rPr>
          <w:rFonts w:ascii="Times New Roman" w:hAnsi="Times New Roman"/>
          <w:szCs w:val="24"/>
        </w:rPr>
        <w:t>високошколским</w:t>
      </w:r>
      <w:r w:rsidR="003D78E7" w:rsidRPr="00295637">
        <w:rPr>
          <w:rFonts w:ascii="Times New Roman" w:hAnsi="Times New Roman"/>
          <w:szCs w:val="24"/>
        </w:rPr>
        <w:t xml:space="preserve"> </w:t>
      </w:r>
      <w:r>
        <w:rPr>
          <w:rFonts w:ascii="Times New Roman" w:hAnsi="Times New Roman"/>
          <w:szCs w:val="24"/>
        </w:rPr>
        <w:t>установама</w:t>
      </w:r>
      <w:r w:rsidR="003D78E7" w:rsidRPr="00295637">
        <w:rPr>
          <w:rFonts w:ascii="Times New Roman" w:hAnsi="Times New Roman"/>
          <w:szCs w:val="24"/>
        </w:rPr>
        <w:t xml:space="preserve"> </w:t>
      </w:r>
      <w:r>
        <w:rPr>
          <w:rFonts w:ascii="Times New Roman" w:hAnsi="Times New Roman"/>
          <w:szCs w:val="24"/>
        </w:rPr>
        <w:t>чине</w:t>
      </w:r>
      <w:r w:rsidR="003D78E7" w:rsidRPr="00295637">
        <w:rPr>
          <w:rFonts w:ascii="Times New Roman" w:hAnsi="Times New Roman"/>
          <w:szCs w:val="24"/>
        </w:rPr>
        <w:t xml:space="preserve"> </w:t>
      </w:r>
      <w:r>
        <w:rPr>
          <w:rFonts w:ascii="Times New Roman" w:hAnsi="Times New Roman"/>
          <w:szCs w:val="24"/>
        </w:rPr>
        <w:t>мушкарци</w:t>
      </w:r>
      <w:r w:rsidR="003D78E7" w:rsidRPr="00295637">
        <w:rPr>
          <w:rFonts w:ascii="Times New Roman" w:hAnsi="Times New Roman"/>
          <w:szCs w:val="24"/>
        </w:rPr>
        <w:t xml:space="preserve">. </w:t>
      </w:r>
    </w:p>
    <w:p w:rsidR="003D78E7" w:rsidRPr="00295637" w:rsidRDefault="003D78E7" w:rsidP="0086268D">
      <w:pPr>
        <w:autoSpaceDE w:val="0"/>
        <w:autoSpaceDN w:val="0"/>
        <w:adjustRightInd w:val="0"/>
        <w:jc w:val="both"/>
        <w:rPr>
          <w:rFonts w:ascii="Times New Roman" w:hAnsi="Times New Roman"/>
          <w:szCs w:val="24"/>
        </w:rPr>
      </w:pPr>
    </w:p>
    <w:p w:rsidR="00841A04" w:rsidRPr="00295637" w:rsidRDefault="00C6214E" w:rsidP="0086268D">
      <w:pPr>
        <w:autoSpaceDE w:val="0"/>
        <w:autoSpaceDN w:val="0"/>
        <w:adjustRightInd w:val="0"/>
        <w:jc w:val="both"/>
        <w:rPr>
          <w:rFonts w:ascii="Times New Roman" w:hAnsi="Times New Roman"/>
          <w:szCs w:val="24"/>
          <w:lang w:val="en-US"/>
        </w:rPr>
      </w:pPr>
      <w:r>
        <w:rPr>
          <w:rFonts w:ascii="Times New Roman" w:hAnsi="Times New Roman"/>
          <w:lang w:val="hr-HR"/>
        </w:rPr>
        <w:t>Према</w:t>
      </w:r>
      <w:r w:rsidR="0048729D" w:rsidRPr="00FE0A2C">
        <w:rPr>
          <w:rFonts w:ascii="Times New Roman" w:hAnsi="Times New Roman"/>
          <w:lang w:val="hr-HR"/>
        </w:rPr>
        <w:t xml:space="preserve"> </w:t>
      </w:r>
      <w:r>
        <w:rPr>
          <w:rFonts w:ascii="Times New Roman" w:hAnsi="Times New Roman"/>
          <w:lang w:val="hr-HR"/>
        </w:rPr>
        <w:t>налазима</w:t>
      </w:r>
      <w:r w:rsidR="0048729D" w:rsidRPr="00FE0A2C">
        <w:rPr>
          <w:rFonts w:ascii="Times New Roman" w:hAnsi="Times New Roman"/>
          <w:lang w:val="hr-HR"/>
        </w:rPr>
        <w:t xml:space="preserve"> </w:t>
      </w:r>
      <w:r>
        <w:rPr>
          <w:rFonts w:ascii="Times New Roman" w:hAnsi="Times New Roman"/>
          <w:lang w:val="hr-HR"/>
        </w:rPr>
        <w:t>Индекса</w:t>
      </w:r>
      <w:r w:rsidR="0048729D" w:rsidRPr="00FE0A2C">
        <w:rPr>
          <w:rFonts w:ascii="Times New Roman" w:hAnsi="Times New Roman"/>
          <w:lang w:val="hr-HR"/>
        </w:rPr>
        <w:t xml:space="preserve"> </w:t>
      </w:r>
      <w:r>
        <w:rPr>
          <w:rFonts w:ascii="Times New Roman" w:hAnsi="Times New Roman"/>
          <w:lang w:val="hr-HR"/>
        </w:rPr>
        <w:t>родне</w:t>
      </w:r>
      <w:r w:rsidR="0048729D" w:rsidRPr="00FE0A2C">
        <w:rPr>
          <w:rFonts w:ascii="Times New Roman" w:hAnsi="Times New Roman"/>
          <w:lang w:val="hr-HR"/>
        </w:rPr>
        <w:t xml:space="preserve"> </w:t>
      </w:r>
      <w:r>
        <w:rPr>
          <w:rFonts w:ascii="Times New Roman" w:hAnsi="Times New Roman"/>
          <w:lang w:val="hr-HR"/>
        </w:rPr>
        <w:t>равноправности</w:t>
      </w:r>
      <w:r w:rsidR="0048729D" w:rsidRPr="00FE0A2C">
        <w:rPr>
          <w:rFonts w:ascii="Times New Roman" w:hAnsi="Times New Roman"/>
          <w:lang w:val="hr-HR"/>
        </w:rPr>
        <w:t xml:space="preserve"> 2024</w:t>
      </w:r>
      <w:r w:rsidR="00737ABD">
        <w:rPr>
          <w:rFonts w:ascii="Times New Roman" w:hAnsi="Times New Roman"/>
          <w:lang w:val="hr-HR"/>
        </w:rPr>
        <w:t xml:space="preserve">. </w:t>
      </w:r>
      <w:r>
        <w:rPr>
          <w:rFonts w:ascii="Times New Roman" w:hAnsi="Times New Roman"/>
          <w:lang w:val="hr-HR"/>
        </w:rPr>
        <w:t>године</w:t>
      </w:r>
      <w:r w:rsidR="0048729D" w:rsidRPr="00FE0A2C">
        <w:rPr>
          <w:rFonts w:ascii="Times New Roman" w:hAnsi="Times New Roman"/>
          <w:lang w:val="hr-HR"/>
        </w:rPr>
        <w:t xml:space="preserve">, </w:t>
      </w:r>
      <w:r>
        <w:rPr>
          <w:rFonts w:ascii="Times New Roman" w:hAnsi="Times New Roman"/>
          <w:lang w:val="hr-HR"/>
        </w:rPr>
        <w:t>којег</w:t>
      </w:r>
      <w:r w:rsidR="0048729D" w:rsidRPr="00FE0A2C">
        <w:rPr>
          <w:rFonts w:ascii="Times New Roman" w:hAnsi="Times New Roman"/>
          <w:lang w:val="hr-HR"/>
        </w:rPr>
        <w:t xml:space="preserve"> </w:t>
      </w:r>
      <w:r>
        <w:rPr>
          <w:rFonts w:ascii="Times New Roman" w:hAnsi="Times New Roman"/>
          <w:lang w:val="hr-HR"/>
        </w:rPr>
        <w:t>сваке</w:t>
      </w:r>
      <w:r w:rsidR="0048729D" w:rsidRPr="00FE0A2C">
        <w:rPr>
          <w:rFonts w:ascii="Times New Roman" w:hAnsi="Times New Roman"/>
          <w:lang w:val="hr-HR"/>
        </w:rPr>
        <w:t xml:space="preserve"> </w:t>
      </w:r>
      <w:r>
        <w:rPr>
          <w:rFonts w:ascii="Times New Roman" w:hAnsi="Times New Roman"/>
          <w:lang w:val="hr-HR"/>
        </w:rPr>
        <w:t>године</w:t>
      </w:r>
      <w:r w:rsidR="0048729D" w:rsidRPr="00FE0A2C">
        <w:rPr>
          <w:rFonts w:ascii="Times New Roman" w:hAnsi="Times New Roman"/>
          <w:lang w:val="hr-HR"/>
        </w:rPr>
        <w:t xml:space="preserve"> </w:t>
      </w:r>
      <w:r>
        <w:rPr>
          <w:rFonts w:ascii="Times New Roman" w:hAnsi="Times New Roman"/>
          <w:lang w:val="hr-HR"/>
        </w:rPr>
        <w:t>реализ</w:t>
      </w:r>
      <w:r w:rsidR="0077778E">
        <w:rPr>
          <w:rFonts w:ascii="Times New Roman" w:hAnsi="Times New Roman"/>
          <w:lang w:val="sr-Cyrl-BA"/>
        </w:rPr>
        <w:t>ују</w:t>
      </w:r>
      <w:r w:rsidR="00737ABD">
        <w:rPr>
          <w:rFonts w:ascii="Times New Roman" w:hAnsi="Times New Roman"/>
          <w:lang w:val="hr-HR"/>
        </w:rPr>
        <w:t xml:space="preserve"> </w:t>
      </w:r>
      <w:r>
        <w:rPr>
          <w:rFonts w:ascii="Times New Roman" w:hAnsi="Times New Roman"/>
          <w:lang w:val="hr-HR"/>
        </w:rPr>
        <w:t>БХАС</w:t>
      </w:r>
      <w:r w:rsidR="00737ABD">
        <w:rPr>
          <w:rFonts w:ascii="Times New Roman" w:hAnsi="Times New Roman"/>
          <w:lang w:val="hr-HR"/>
        </w:rPr>
        <w:t xml:space="preserve"> </w:t>
      </w:r>
      <w:r>
        <w:rPr>
          <w:rFonts w:ascii="Times New Roman" w:hAnsi="Times New Roman"/>
          <w:lang w:val="hr-HR"/>
        </w:rPr>
        <w:t>и</w:t>
      </w:r>
      <w:r w:rsidR="00737ABD">
        <w:rPr>
          <w:rFonts w:ascii="Times New Roman" w:hAnsi="Times New Roman"/>
          <w:lang w:val="hr-HR"/>
        </w:rPr>
        <w:t xml:space="preserve"> </w:t>
      </w:r>
      <w:r>
        <w:rPr>
          <w:rFonts w:ascii="Times New Roman" w:hAnsi="Times New Roman"/>
          <w:lang w:val="hr-HR"/>
        </w:rPr>
        <w:t>АР</w:t>
      </w:r>
      <w:r w:rsidR="0077778E">
        <w:rPr>
          <w:rFonts w:ascii="Times New Roman" w:hAnsi="Times New Roman"/>
          <w:lang w:val="sr-Cyrl-BA"/>
        </w:rPr>
        <w:t>П</w:t>
      </w:r>
      <w:r w:rsidR="00737ABD">
        <w:rPr>
          <w:rFonts w:ascii="Times New Roman" w:hAnsi="Times New Roman"/>
          <w:lang w:val="hr-HR"/>
        </w:rPr>
        <w:t xml:space="preserve"> </w:t>
      </w:r>
      <w:r>
        <w:rPr>
          <w:rFonts w:ascii="Times New Roman" w:hAnsi="Times New Roman"/>
          <w:lang w:val="hr-HR"/>
        </w:rPr>
        <w:t>БиХ</w:t>
      </w:r>
      <w:r w:rsidR="00737ABD">
        <w:rPr>
          <w:rFonts w:ascii="Times New Roman" w:hAnsi="Times New Roman"/>
          <w:lang w:val="hr-HR"/>
        </w:rPr>
        <w:t xml:space="preserve"> </w:t>
      </w:r>
      <w:r>
        <w:rPr>
          <w:rFonts w:ascii="Times New Roman" w:hAnsi="Times New Roman"/>
          <w:lang w:val="hr-HR"/>
        </w:rPr>
        <w:t>МЉПИ</w:t>
      </w:r>
      <w:r w:rsidR="00737ABD">
        <w:rPr>
          <w:rFonts w:ascii="Times New Roman" w:hAnsi="Times New Roman"/>
          <w:lang w:val="hr-HR"/>
        </w:rPr>
        <w:t xml:space="preserve"> </w:t>
      </w:r>
      <w:r>
        <w:rPr>
          <w:rFonts w:ascii="Times New Roman" w:hAnsi="Times New Roman"/>
          <w:lang w:val="hr-HR"/>
        </w:rPr>
        <w:t>БиХ</w:t>
      </w:r>
      <w:r w:rsidR="0048729D" w:rsidRPr="00FE0A2C">
        <w:rPr>
          <w:rFonts w:ascii="Times New Roman" w:hAnsi="Times New Roman"/>
          <w:lang w:val="hr-HR"/>
        </w:rPr>
        <w:t xml:space="preserve">, </w:t>
      </w:r>
      <w:r>
        <w:rPr>
          <w:rFonts w:ascii="Times New Roman" w:hAnsi="Times New Roman"/>
          <w:szCs w:val="24"/>
        </w:rPr>
        <w:t>домен</w:t>
      </w:r>
      <w:r w:rsidR="00841A04" w:rsidRPr="00295637">
        <w:rPr>
          <w:rFonts w:ascii="Times New Roman" w:hAnsi="Times New Roman"/>
          <w:szCs w:val="24"/>
        </w:rPr>
        <w:t xml:space="preserve"> “</w:t>
      </w:r>
      <w:r>
        <w:rPr>
          <w:rFonts w:ascii="Times New Roman" w:hAnsi="Times New Roman"/>
          <w:szCs w:val="24"/>
        </w:rPr>
        <w:t>знање</w:t>
      </w:r>
      <w:r w:rsidR="00841A04" w:rsidRPr="00295637">
        <w:rPr>
          <w:rFonts w:ascii="Times New Roman" w:hAnsi="Times New Roman"/>
          <w:szCs w:val="24"/>
        </w:rPr>
        <w:t xml:space="preserve">” </w:t>
      </w:r>
      <w:r>
        <w:rPr>
          <w:rFonts w:ascii="Times New Roman" w:hAnsi="Times New Roman"/>
          <w:szCs w:val="24"/>
          <w:lang w:val="bs-Latn-BA"/>
        </w:rPr>
        <w:t>износи</w:t>
      </w:r>
      <w:r w:rsidR="00841A04" w:rsidRPr="00295637">
        <w:rPr>
          <w:rFonts w:ascii="Times New Roman" w:hAnsi="Times New Roman"/>
          <w:szCs w:val="24"/>
          <w:lang w:val="bs-Latn-BA"/>
        </w:rPr>
        <w:t xml:space="preserve"> 58.2 </w:t>
      </w:r>
      <w:r>
        <w:rPr>
          <w:rFonts w:ascii="Times New Roman" w:hAnsi="Times New Roman"/>
          <w:szCs w:val="24"/>
          <w:lang w:val="bs-Latn-BA"/>
        </w:rPr>
        <w:t>бода</w:t>
      </w:r>
      <w:r w:rsidR="00841A04" w:rsidRPr="00295637">
        <w:rPr>
          <w:rFonts w:ascii="Times New Roman" w:hAnsi="Times New Roman"/>
          <w:szCs w:val="24"/>
          <w:lang w:val="bs-Latn-BA"/>
        </w:rPr>
        <w:t xml:space="preserve">, </w:t>
      </w:r>
      <w:r>
        <w:rPr>
          <w:rFonts w:ascii="Times New Roman" w:hAnsi="Times New Roman"/>
          <w:szCs w:val="24"/>
          <w:lang w:val="bs-Latn-BA"/>
        </w:rPr>
        <w:t>што</w:t>
      </w:r>
      <w:r w:rsidR="00841A04" w:rsidRPr="00295637">
        <w:rPr>
          <w:rFonts w:ascii="Times New Roman" w:hAnsi="Times New Roman"/>
          <w:szCs w:val="24"/>
          <w:lang w:val="bs-Latn-BA"/>
        </w:rPr>
        <w:t xml:space="preserve"> </w:t>
      </w:r>
      <w:r>
        <w:rPr>
          <w:rFonts w:ascii="Times New Roman" w:hAnsi="Times New Roman"/>
          <w:szCs w:val="24"/>
          <w:lang w:val="bs-Latn-BA"/>
        </w:rPr>
        <w:t>представља</w:t>
      </w:r>
      <w:r w:rsidR="00841A04" w:rsidRPr="00295637">
        <w:rPr>
          <w:rFonts w:ascii="Times New Roman" w:hAnsi="Times New Roman"/>
          <w:szCs w:val="24"/>
        </w:rPr>
        <w:t xml:space="preserve"> </w:t>
      </w:r>
      <w:r>
        <w:rPr>
          <w:rFonts w:ascii="Times New Roman" w:hAnsi="Times New Roman"/>
          <w:szCs w:val="24"/>
          <w:lang w:val="bs-Latn-BA"/>
        </w:rPr>
        <w:t>пад</w:t>
      </w:r>
      <w:r w:rsidR="00737ABD">
        <w:rPr>
          <w:rFonts w:ascii="Times New Roman" w:hAnsi="Times New Roman"/>
          <w:szCs w:val="24"/>
          <w:lang w:val="bs-Latn-BA"/>
        </w:rPr>
        <w:t xml:space="preserve"> </w:t>
      </w:r>
      <w:r>
        <w:rPr>
          <w:rFonts w:ascii="Times New Roman" w:hAnsi="Times New Roman"/>
          <w:szCs w:val="24"/>
          <w:lang w:val="bs-Latn-BA"/>
        </w:rPr>
        <w:t>у</w:t>
      </w:r>
      <w:r w:rsidR="00737ABD">
        <w:rPr>
          <w:rFonts w:ascii="Times New Roman" w:hAnsi="Times New Roman"/>
          <w:szCs w:val="24"/>
          <w:lang w:val="bs-Latn-BA"/>
        </w:rPr>
        <w:t xml:space="preserve"> </w:t>
      </w:r>
      <w:r>
        <w:rPr>
          <w:rFonts w:ascii="Times New Roman" w:hAnsi="Times New Roman"/>
          <w:szCs w:val="24"/>
          <w:lang w:val="bs-Latn-BA"/>
        </w:rPr>
        <w:t>поређењу</w:t>
      </w:r>
      <w:r w:rsidR="00737ABD">
        <w:rPr>
          <w:rFonts w:ascii="Times New Roman" w:hAnsi="Times New Roman"/>
          <w:szCs w:val="24"/>
          <w:lang w:val="bs-Latn-BA"/>
        </w:rPr>
        <w:t xml:space="preserve"> </w:t>
      </w:r>
      <w:r>
        <w:rPr>
          <w:rFonts w:ascii="Times New Roman" w:hAnsi="Times New Roman"/>
          <w:szCs w:val="24"/>
          <w:lang w:val="bs-Latn-BA"/>
        </w:rPr>
        <w:t>са</w:t>
      </w:r>
      <w:r w:rsidR="00737ABD">
        <w:rPr>
          <w:rFonts w:ascii="Times New Roman" w:hAnsi="Times New Roman"/>
          <w:szCs w:val="24"/>
          <w:lang w:val="bs-Latn-BA"/>
        </w:rPr>
        <w:t xml:space="preserve"> </w:t>
      </w:r>
      <w:r>
        <w:rPr>
          <w:rFonts w:ascii="Times New Roman" w:hAnsi="Times New Roman"/>
          <w:szCs w:val="24"/>
          <w:lang w:val="bs-Latn-BA"/>
        </w:rPr>
        <w:t>Индексом</w:t>
      </w:r>
      <w:r w:rsidR="00841A04" w:rsidRPr="00295637">
        <w:rPr>
          <w:rFonts w:ascii="Times New Roman" w:hAnsi="Times New Roman"/>
          <w:szCs w:val="24"/>
          <w:lang w:val="bs-Latn-BA"/>
        </w:rPr>
        <w:t xml:space="preserve"> </w:t>
      </w:r>
      <w:r>
        <w:rPr>
          <w:rFonts w:ascii="Times New Roman" w:hAnsi="Times New Roman"/>
          <w:szCs w:val="24"/>
          <w:lang w:val="bs-Latn-BA"/>
        </w:rPr>
        <w:t>из</w:t>
      </w:r>
      <w:r w:rsidR="00841A04" w:rsidRPr="00295637">
        <w:rPr>
          <w:rFonts w:ascii="Times New Roman" w:hAnsi="Times New Roman"/>
          <w:szCs w:val="24"/>
          <w:lang w:val="bs-Latn-BA"/>
        </w:rPr>
        <w:t xml:space="preserve"> 2023</w:t>
      </w:r>
      <w:r w:rsidR="00737ABD">
        <w:rPr>
          <w:rFonts w:ascii="Times New Roman" w:hAnsi="Times New Roman"/>
          <w:szCs w:val="24"/>
          <w:lang w:val="bs-Latn-BA"/>
        </w:rPr>
        <w:t xml:space="preserve">. </w:t>
      </w:r>
      <w:r>
        <w:rPr>
          <w:rFonts w:ascii="Times New Roman" w:hAnsi="Times New Roman"/>
          <w:szCs w:val="24"/>
          <w:lang w:val="bs-Latn-BA"/>
        </w:rPr>
        <w:t>године</w:t>
      </w:r>
      <w:r w:rsidR="00841A04" w:rsidRPr="00295637">
        <w:rPr>
          <w:rFonts w:ascii="Times New Roman" w:hAnsi="Times New Roman"/>
          <w:szCs w:val="24"/>
          <w:lang w:val="bs-Latn-BA"/>
        </w:rPr>
        <w:t xml:space="preserve"> (58.4), </w:t>
      </w:r>
      <w:r>
        <w:rPr>
          <w:rFonts w:ascii="Times New Roman" w:hAnsi="Times New Roman"/>
          <w:szCs w:val="24"/>
          <w:lang w:val="bs-Latn-BA"/>
        </w:rPr>
        <w:t>који</w:t>
      </w:r>
      <w:r w:rsidR="00841A04" w:rsidRPr="00295637">
        <w:rPr>
          <w:rFonts w:ascii="Times New Roman" w:hAnsi="Times New Roman"/>
          <w:szCs w:val="24"/>
          <w:lang w:val="bs-Latn-BA"/>
        </w:rPr>
        <w:t xml:space="preserve"> </w:t>
      </w:r>
      <w:r>
        <w:rPr>
          <w:rFonts w:ascii="Times New Roman" w:hAnsi="Times New Roman"/>
          <w:szCs w:val="24"/>
          <w:lang w:val="bs-Latn-BA"/>
        </w:rPr>
        <w:t>је</w:t>
      </w:r>
      <w:r w:rsidR="00841A04" w:rsidRPr="00295637">
        <w:rPr>
          <w:rFonts w:ascii="Times New Roman" w:hAnsi="Times New Roman"/>
          <w:szCs w:val="24"/>
          <w:lang w:val="bs-Latn-BA"/>
        </w:rPr>
        <w:t xml:space="preserve">, </w:t>
      </w:r>
      <w:r w:rsidR="0077778E">
        <w:rPr>
          <w:rFonts w:ascii="Times New Roman" w:hAnsi="Times New Roman"/>
          <w:szCs w:val="24"/>
          <w:lang w:val="bs-Latn-BA"/>
        </w:rPr>
        <w:t>такође</w:t>
      </w:r>
      <w:r w:rsidR="00841A04" w:rsidRPr="00295637">
        <w:rPr>
          <w:rFonts w:ascii="Times New Roman" w:hAnsi="Times New Roman"/>
          <w:szCs w:val="24"/>
          <w:lang w:val="bs-Latn-BA"/>
        </w:rPr>
        <w:t xml:space="preserve">, </w:t>
      </w:r>
      <w:r>
        <w:rPr>
          <w:rFonts w:ascii="Times New Roman" w:hAnsi="Times New Roman"/>
          <w:szCs w:val="24"/>
          <w:lang w:val="bs-Latn-BA"/>
        </w:rPr>
        <w:t>био</w:t>
      </w:r>
      <w:r w:rsidR="00841A04" w:rsidRPr="00295637">
        <w:rPr>
          <w:rFonts w:ascii="Times New Roman" w:hAnsi="Times New Roman"/>
          <w:szCs w:val="24"/>
          <w:lang w:val="bs-Latn-BA"/>
        </w:rPr>
        <w:t xml:space="preserve"> </w:t>
      </w:r>
      <w:r>
        <w:rPr>
          <w:rFonts w:ascii="Times New Roman" w:hAnsi="Times New Roman"/>
          <w:szCs w:val="24"/>
          <w:lang w:val="bs-Latn-BA"/>
        </w:rPr>
        <w:t>нижи</w:t>
      </w:r>
      <w:r w:rsidR="00841A04" w:rsidRPr="00295637">
        <w:rPr>
          <w:rFonts w:ascii="Times New Roman" w:hAnsi="Times New Roman"/>
          <w:szCs w:val="24"/>
          <w:lang w:val="bs-Latn-BA"/>
        </w:rPr>
        <w:t xml:space="preserve"> </w:t>
      </w:r>
      <w:r>
        <w:rPr>
          <w:rFonts w:ascii="Times New Roman" w:hAnsi="Times New Roman"/>
          <w:szCs w:val="24"/>
          <w:lang w:val="bs-Latn-BA"/>
        </w:rPr>
        <w:t>од</w:t>
      </w:r>
      <w:r w:rsidR="00841A04" w:rsidRPr="00295637">
        <w:rPr>
          <w:rFonts w:ascii="Times New Roman" w:hAnsi="Times New Roman"/>
          <w:szCs w:val="24"/>
          <w:lang w:val="bs-Latn-BA"/>
        </w:rPr>
        <w:t xml:space="preserve"> </w:t>
      </w:r>
      <w:r>
        <w:rPr>
          <w:rFonts w:ascii="Times New Roman" w:hAnsi="Times New Roman"/>
          <w:szCs w:val="24"/>
          <w:lang w:val="bs-Latn-BA"/>
        </w:rPr>
        <w:t>Индекса</w:t>
      </w:r>
      <w:r w:rsidR="00841A04" w:rsidRPr="00295637">
        <w:rPr>
          <w:rFonts w:ascii="Times New Roman" w:hAnsi="Times New Roman"/>
          <w:szCs w:val="24"/>
          <w:lang w:val="bs-Latn-BA"/>
        </w:rPr>
        <w:t xml:space="preserve"> </w:t>
      </w:r>
      <w:r>
        <w:rPr>
          <w:rFonts w:ascii="Times New Roman" w:hAnsi="Times New Roman"/>
          <w:szCs w:val="24"/>
          <w:lang w:val="bs-Latn-BA"/>
        </w:rPr>
        <w:t>за</w:t>
      </w:r>
      <w:r w:rsidR="00841A04" w:rsidRPr="00295637">
        <w:rPr>
          <w:rFonts w:ascii="Times New Roman" w:hAnsi="Times New Roman"/>
          <w:szCs w:val="24"/>
          <w:lang w:val="bs-Latn-BA"/>
        </w:rPr>
        <w:t xml:space="preserve"> 2022</w:t>
      </w:r>
      <w:r w:rsidR="00737ABD">
        <w:rPr>
          <w:rFonts w:ascii="Times New Roman" w:hAnsi="Times New Roman"/>
          <w:szCs w:val="24"/>
          <w:lang w:val="bs-Latn-BA"/>
        </w:rPr>
        <w:t xml:space="preserve">. </w:t>
      </w:r>
      <w:r>
        <w:rPr>
          <w:rFonts w:ascii="Times New Roman" w:hAnsi="Times New Roman"/>
          <w:szCs w:val="24"/>
          <w:lang w:val="bs-Latn-BA"/>
        </w:rPr>
        <w:t>годину</w:t>
      </w:r>
      <w:r w:rsidR="00841A04" w:rsidRPr="00295637">
        <w:rPr>
          <w:rFonts w:ascii="Times New Roman" w:hAnsi="Times New Roman"/>
          <w:szCs w:val="24"/>
          <w:lang w:val="bs-Latn-BA"/>
        </w:rPr>
        <w:t xml:space="preserve"> (58.7), </w:t>
      </w:r>
      <w:r>
        <w:rPr>
          <w:rFonts w:ascii="Times New Roman" w:hAnsi="Times New Roman"/>
          <w:szCs w:val="24"/>
          <w:lang w:val="bs-Latn-BA"/>
        </w:rPr>
        <w:t>тако</w:t>
      </w:r>
      <w:r w:rsidR="00841A04" w:rsidRPr="00295637">
        <w:rPr>
          <w:rFonts w:ascii="Times New Roman" w:hAnsi="Times New Roman"/>
          <w:szCs w:val="24"/>
          <w:lang w:val="bs-Latn-BA"/>
        </w:rPr>
        <w:t xml:space="preserve"> </w:t>
      </w:r>
      <w:r>
        <w:rPr>
          <w:rFonts w:ascii="Times New Roman" w:hAnsi="Times New Roman"/>
          <w:szCs w:val="24"/>
          <w:lang w:val="bs-Latn-BA"/>
        </w:rPr>
        <w:t>да</w:t>
      </w:r>
      <w:r w:rsidR="00841A04" w:rsidRPr="00295637">
        <w:rPr>
          <w:rFonts w:ascii="Times New Roman" w:hAnsi="Times New Roman"/>
          <w:szCs w:val="24"/>
          <w:lang w:val="bs-Latn-BA"/>
        </w:rPr>
        <w:t xml:space="preserve"> </w:t>
      </w:r>
      <w:r>
        <w:rPr>
          <w:rFonts w:ascii="Times New Roman" w:hAnsi="Times New Roman"/>
          <w:szCs w:val="24"/>
          <w:lang w:val="bs-Latn-BA"/>
        </w:rPr>
        <w:t>у</w:t>
      </w:r>
      <w:r w:rsidR="00841A04" w:rsidRPr="00295637">
        <w:rPr>
          <w:rFonts w:ascii="Times New Roman" w:hAnsi="Times New Roman"/>
          <w:szCs w:val="24"/>
          <w:lang w:val="bs-Latn-BA"/>
        </w:rPr>
        <w:t xml:space="preserve"> </w:t>
      </w:r>
      <w:r>
        <w:rPr>
          <w:rFonts w:ascii="Times New Roman" w:hAnsi="Times New Roman"/>
          <w:szCs w:val="24"/>
          <w:lang w:val="bs-Latn-BA"/>
        </w:rPr>
        <w:t>овој</w:t>
      </w:r>
      <w:r w:rsidR="00841A04" w:rsidRPr="00295637">
        <w:rPr>
          <w:rFonts w:ascii="Times New Roman" w:hAnsi="Times New Roman"/>
          <w:szCs w:val="24"/>
          <w:lang w:val="bs-Latn-BA"/>
        </w:rPr>
        <w:t xml:space="preserve"> </w:t>
      </w:r>
      <w:r>
        <w:rPr>
          <w:rFonts w:ascii="Times New Roman" w:hAnsi="Times New Roman"/>
          <w:szCs w:val="24"/>
          <w:lang w:val="bs-Latn-BA"/>
        </w:rPr>
        <w:t>области</w:t>
      </w:r>
      <w:r w:rsidR="00841A04" w:rsidRPr="00295637">
        <w:rPr>
          <w:rFonts w:ascii="Times New Roman" w:hAnsi="Times New Roman"/>
          <w:szCs w:val="24"/>
          <w:lang w:val="bs-Latn-BA"/>
        </w:rPr>
        <w:t xml:space="preserve"> </w:t>
      </w:r>
      <w:r>
        <w:rPr>
          <w:rFonts w:ascii="Times New Roman" w:hAnsi="Times New Roman"/>
          <w:szCs w:val="24"/>
          <w:lang w:val="bs-Latn-BA"/>
        </w:rPr>
        <w:t>имамо</w:t>
      </w:r>
      <w:r w:rsidR="00841A04" w:rsidRPr="00295637">
        <w:rPr>
          <w:rFonts w:ascii="Times New Roman" w:hAnsi="Times New Roman"/>
          <w:szCs w:val="24"/>
          <w:lang w:val="bs-Latn-BA"/>
        </w:rPr>
        <w:t xml:space="preserve"> </w:t>
      </w:r>
      <w:r>
        <w:rPr>
          <w:rFonts w:ascii="Times New Roman" w:hAnsi="Times New Roman"/>
          <w:szCs w:val="24"/>
          <w:lang w:val="bs-Latn-BA"/>
        </w:rPr>
        <w:t>тренд</w:t>
      </w:r>
      <w:r w:rsidR="00841A04" w:rsidRPr="00295637">
        <w:rPr>
          <w:rFonts w:ascii="Times New Roman" w:hAnsi="Times New Roman"/>
          <w:szCs w:val="24"/>
          <w:lang w:val="bs-Latn-BA"/>
        </w:rPr>
        <w:t xml:space="preserve"> </w:t>
      </w:r>
      <w:r>
        <w:rPr>
          <w:rFonts w:ascii="Times New Roman" w:hAnsi="Times New Roman"/>
          <w:szCs w:val="24"/>
          <w:lang w:val="bs-Latn-BA"/>
        </w:rPr>
        <w:t>малог</w:t>
      </w:r>
      <w:r w:rsidR="00841A04" w:rsidRPr="00295637">
        <w:rPr>
          <w:rFonts w:ascii="Times New Roman" w:hAnsi="Times New Roman"/>
          <w:szCs w:val="24"/>
          <w:lang w:val="bs-Latn-BA"/>
        </w:rPr>
        <w:t xml:space="preserve">, </w:t>
      </w:r>
      <w:r>
        <w:rPr>
          <w:rFonts w:ascii="Times New Roman" w:hAnsi="Times New Roman"/>
          <w:szCs w:val="24"/>
          <w:lang w:val="bs-Latn-BA"/>
        </w:rPr>
        <w:t>али</w:t>
      </w:r>
      <w:r w:rsidR="00841A04" w:rsidRPr="00295637">
        <w:rPr>
          <w:rFonts w:ascii="Times New Roman" w:hAnsi="Times New Roman"/>
          <w:szCs w:val="24"/>
          <w:lang w:val="bs-Latn-BA"/>
        </w:rPr>
        <w:t xml:space="preserve"> </w:t>
      </w:r>
      <w:r>
        <w:rPr>
          <w:rFonts w:ascii="Times New Roman" w:hAnsi="Times New Roman"/>
          <w:szCs w:val="24"/>
          <w:lang w:val="bs-Latn-BA"/>
        </w:rPr>
        <w:t>континуираног</w:t>
      </w:r>
      <w:r w:rsidR="00841A04" w:rsidRPr="00295637">
        <w:rPr>
          <w:rFonts w:ascii="Times New Roman" w:hAnsi="Times New Roman"/>
          <w:szCs w:val="24"/>
          <w:lang w:val="bs-Latn-BA"/>
        </w:rPr>
        <w:t xml:space="preserve"> </w:t>
      </w:r>
      <w:r>
        <w:rPr>
          <w:rFonts w:ascii="Times New Roman" w:hAnsi="Times New Roman"/>
          <w:szCs w:val="24"/>
          <w:lang w:val="bs-Latn-BA"/>
        </w:rPr>
        <w:t>пада</w:t>
      </w:r>
      <w:r w:rsidR="00841A04" w:rsidRPr="00295637">
        <w:rPr>
          <w:rFonts w:ascii="Times New Roman" w:hAnsi="Times New Roman"/>
          <w:szCs w:val="24"/>
          <w:lang w:val="bs-Latn-BA"/>
        </w:rPr>
        <w:t xml:space="preserve">. </w:t>
      </w:r>
      <w:r>
        <w:rPr>
          <w:rFonts w:ascii="Times New Roman" w:hAnsi="Times New Roman"/>
          <w:szCs w:val="24"/>
          <w:lang w:val="bs-Latn-BA"/>
        </w:rPr>
        <w:t>Домен</w:t>
      </w:r>
      <w:r w:rsidR="00841A04" w:rsidRPr="00295637">
        <w:rPr>
          <w:rFonts w:ascii="Times New Roman" w:hAnsi="Times New Roman"/>
          <w:szCs w:val="24"/>
          <w:lang w:val="bs-Latn-BA"/>
        </w:rPr>
        <w:t xml:space="preserve"> „</w:t>
      </w:r>
      <w:r>
        <w:rPr>
          <w:rFonts w:ascii="Times New Roman" w:hAnsi="Times New Roman"/>
          <w:szCs w:val="24"/>
          <w:lang w:val="bs-Latn-BA"/>
        </w:rPr>
        <w:t>знање</w:t>
      </w:r>
      <w:r w:rsidR="00841A04" w:rsidRPr="00295637">
        <w:rPr>
          <w:rFonts w:ascii="Times New Roman" w:hAnsi="Times New Roman"/>
          <w:szCs w:val="24"/>
          <w:lang w:val="bs-Latn-BA"/>
        </w:rPr>
        <w:t xml:space="preserve">“ </w:t>
      </w:r>
      <w:r>
        <w:rPr>
          <w:rFonts w:ascii="Times New Roman" w:hAnsi="Times New Roman"/>
          <w:szCs w:val="24"/>
        </w:rPr>
        <w:t>мјери</w:t>
      </w:r>
      <w:r w:rsidR="00841A04" w:rsidRPr="00295637">
        <w:rPr>
          <w:rFonts w:ascii="Times New Roman" w:hAnsi="Times New Roman"/>
          <w:szCs w:val="24"/>
        </w:rPr>
        <w:t xml:space="preserve"> </w:t>
      </w:r>
      <w:r>
        <w:rPr>
          <w:rFonts w:ascii="Times New Roman" w:hAnsi="Times New Roman"/>
          <w:szCs w:val="24"/>
        </w:rPr>
        <w:t>равноправност</w:t>
      </w:r>
      <w:r w:rsidR="00841A04" w:rsidRPr="00295637">
        <w:rPr>
          <w:rFonts w:ascii="Times New Roman" w:hAnsi="Times New Roman"/>
          <w:szCs w:val="24"/>
        </w:rPr>
        <w:t xml:space="preserve"> </w:t>
      </w:r>
      <w:r>
        <w:rPr>
          <w:rFonts w:ascii="Times New Roman" w:hAnsi="Times New Roman"/>
          <w:szCs w:val="24"/>
        </w:rPr>
        <w:t>полова</w:t>
      </w:r>
      <w:r w:rsidR="00841A04" w:rsidRPr="00295637">
        <w:rPr>
          <w:rFonts w:ascii="Times New Roman" w:hAnsi="Times New Roman"/>
          <w:szCs w:val="24"/>
        </w:rPr>
        <w:t xml:space="preserve"> </w:t>
      </w:r>
      <w:r>
        <w:rPr>
          <w:rFonts w:ascii="Times New Roman" w:hAnsi="Times New Roman"/>
          <w:szCs w:val="24"/>
        </w:rPr>
        <w:t>у</w:t>
      </w:r>
      <w:r w:rsidR="00841A04" w:rsidRPr="00295637">
        <w:rPr>
          <w:rFonts w:ascii="Times New Roman" w:hAnsi="Times New Roman"/>
          <w:szCs w:val="24"/>
        </w:rPr>
        <w:t xml:space="preserve"> </w:t>
      </w:r>
      <w:r>
        <w:rPr>
          <w:rFonts w:ascii="Times New Roman" w:hAnsi="Times New Roman"/>
          <w:szCs w:val="24"/>
        </w:rPr>
        <w:t>нивоу</w:t>
      </w:r>
      <w:r w:rsidR="00841A04" w:rsidRPr="00295637">
        <w:rPr>
          <w:rFonts w:ascii="Times New Roman" w:hAnsi="Times New Roman"/>
          <w:szCs w:val="24"/>
        </w:rPr>
        <w:t xml:space="preserve"> </w:t>
      </w:r>
      <w:r>
        <w:rPr>
          <w:rFonts w:ascii="Times New Roman" w:hAnsi="Times New Roman"/>
          <w:szCs w:val="24"/>
        </w:rPr>
        <w:t>постигнутог</w:t>
      </w:r>
      <w:r w:rsidR="00841A04" w:rsidRPr="00295637">
        <w:rPr>
          <w:rFonts w:ascii="Times New Roman" w:hAnsi="Times New Roman"/>
          <w:szCs w:val="24"/>
        </w:rPr>
        <w:t xml:space="preserve"> </w:t>
      </w:r>
      <w:r>
        <w:rPr>
          <w:rFonts w:ascii="Times New Roman" w:hAnsi="Times New Roman"/>
          <w:szCs w:val="24"/>
        </w:rPr>
        <w:t>образовања</w:t>
      </w:r>
      <w:r w:rsidR="00841A04" w:rsidRPr="00295637">
        <w:rPr>
          <w:rFonts w:ascii="Times New Roman" w:hAnsi="Times New Roman"/>
          <w:szCs w:val="24"/>
        </w:rPr>
        <w:t xml:space="preserve"> </w:t>
      </w:r>
      <w:r>
        <w:rPr>
          <w:rFonts w:ascii="Times New Roman" w:hAnsi="Times New Roman"/>
          <w:szCs w:val="24"/>
        </w:rPr>
        <w:t>и</w:t>
      </w:r>
      <w:r w:rsidR="00841A04" w:rsidRPr="00295637">
        <w:rPr>
          <w:rFonts w:ascii="Times New Roman" w:hAnsi="Times New Roman"/>
          <w:szCs w:val="24"/>
        </w:rPr>
        <w:t xml:space="preserve"> </w:t>
      </w:r>
      <w:r>
        <w:rPr>
          <w:rFonts w:ascii="Times New Roman" w:hAnsi="Times New Roman"/>
          <w:szCs w:val="24"/>
        </w:rPr>
        <w:t>учешћа</w:t>
      </w:r>
      <w:r w:rsidR="009E54A2" w:rsidRPr="00295637">
        <w:rPr>
          <w:rFonts w:ascii="Times New Roman" w:hAnsi="Times New Roman"/>
          <w:szCs w:val="24"/>
        </w:rPr>
        <w:t>.</w:t>
      </w:r>
      <w:r w:rsidR="00841A04" w:rsidRPr="00295637">
        <w:rPr>
          <w:rFonts w:ascii="Times New Roman" w:hAnsi="Times New Roman"/>
          <w:szCs w:val="24"/>
          <w:lang w:val="bs-Latn-BA"/>
        </w:rPr>
        <w:t xml:space="preserve"> </w:t>
      </w:r>
      <w:r>
        <w:rPr>
          <w:rFonts w:ascii="Times New Roman" w:hAnsi="Times New Roman"/>
          <w:color w:val="000000"/>
          <w:szCs w:val="24"/>
          <w:lang w:val="hr-HR"/>
        </w:rPr>
        <w:t>У</w:t>
      </w:r>
      <w:r w:rsidR="00841A04" w:rsidRPr="006820FB">
        <w:rPr>
          <w:rFonts w:ascii="Times New Roman" w:hAnsi="Times New Roman"/>
          <w:color w:val="000000"/>
          <w:szCs w:val="24"/>
          <w:lang w:val="hr-HR"/>
        </w:rPr>
        <w:t xml:space="preserve"> </w:t>
      </w:r>
      <w:r>
        <w:rPr>
          <w:rFonts w:ascii="Times New Roman" w:hAnsi="Times New Roman"/>
          <w:color w:val="000000"/>
          <w:szCs w:val="24"/>
          <w:lang w:val="hr-HR"/>
        </w:rPr>
        <w:t>поддомену</w:t>
      </w:r>
      <w:r w:rsidR="00841A04" w:rsidRPr="006820FB">
        <w:rPr>
          <w:rFonts w:ascii="Times New Roman" w:hAnsi="Times New Roman"/>
          <w:color w:val="000000"/>
          <w:szCs w:val="24"/>
          <w:lang w:val="hr-HR"/>
        </w:rPr>
        <w:t xml:space="preserve"> “</w:t>
      </w:r>
      <w:r>
        <w:rPr>
          <w:rFonts w:ascii="Times New Roman" w:hAnsi="Times New Roman"/>
          <w:color w:val="000000"/>
          <w:szCs w:val="24"/>
          <w:lang w:val="hr-HR"/>
        </w:rPr>
        <w:t>образовно</w:t>
      </w:r>
      <w:r w:rsidR="00841A04" w:rsidRPr="006820FB">
        <w:rPr>
          <w:rFonts w:ascii="Times New Roman" w:hAnsi="Times New Roman"/>
          <w:szCs w:val="24"/>
          <w:lang w:val="hr-HR"/>
        </w:rPr>
        <w:t xml:space="preserve"> </w:t>
      </w:r>
      <w:r>
        <w:rPr>
          <w:rFonts w:ascii="Times New Roman" w:hAnsi="Times New Roman"/>
          <w:color w:val="000000"/>
          <w:szCs w:val="24"/>
          <w:lang w:val="hr-HR"/>
        </w:rPr>
        <w:t>достигнуће</w:t>
      </w:r>
      <w:r w:rsidR="00841A04" w:rsidRPr="006820FB">
        <w:rPr>
          <w:rFonts w:ascii="Times New Roman" w:hAnsi="Times New Roman"/>
          <w:color w:val="000000"/>
          <w:szCs w:val="24"/>
          <w:lang w:val="hr-HR"/>
        </w:rPr>
        <w:t xml:space="preserve"> </w:t>
      </w:r>
      <w:r>
        <w:rPr>
          <w:rFonts w:ascii="Times New Roman" w:hAnsi="Times New Roman"/>
          <w:color w:val="000000"/>
          <w:szCs w:val="24"/>
          <w:lang w:val="hr-HR"/>
        </w:rPr>
        <w:t>и</w:t>
      </w:r>
      <w:r w:rsidR="00841A04" w:rsidRPr="006820FB">
        <w:rPr>
          <w:rFonts w:ascii="Times New Roman" w:hAnsi="Times New Roman"/>
          <w:color w:val="000000"/>
          <w:szCs w:val="24"/>
          <w:lang w:val="hr-HR"/>
        </w:rPr>
        <w:t xml:space="preserve"> </w:t>
      </w:r>
      <w:r>
        <w:rPr>
          <w:rFonts w:ascii="Times New Roman" w:hAnsi="Times New Roman"/>
          <w:color w:val="000000"/>
          <w:szCs w:val="24"/>
          <w:lang w:val="hr-HR"/>
        </w:rPr>
        <w:t>учешће</w:t>
      </w:r>
      <w:r w:rsidR="00841A04" w:rsidRPr="006820FB">
        <w:rPr>
          <w:rFonts w:ascii="Times New Roman" w:hAnsi="Times New Roman"/>
          <w:color w:val="000000"/>
          <w:szCs w:val="24"/>
          <w:lang w:val="hr-HR"/>
        </w:rPr>
        <w:t>”,</w:t>
      </w:r>
      <w:r w:rsidR="00841A04" w:rsidRPr="00295637">
        <w:rPr>
          <w:rFonts w:ascii="Times New Roman" w:hAnsi="Times New Roman"/>
          <w:color w:val="000000"/>
          <w:szCs w:val="24"/>
          <w:lang w:val="it-IT"/>
        </w:rPr>
        <w:t xml:space="preserve"> </w:t>
      </w:r>
      <w:r>
        <w:rPr>
          <w:rFonts w:ascii="Times New Roman" w:hAnsi="Times New Roman"/>
          <w:szCs w:val="24"/>
        </w:rPr>
        <w:t>који</w:t>
      </w:r>
      <w:r w:rsidR="00841A04" w:rsidRPr="00295637">
        <w:rPr>
          <w:rFonts w:ascii="Times New Roman" w:hAnsi="Times New Roman"/>
          <w:szCs w:val="24"/>
        </w:rPr>
        <w:t xml:space="preserve"> </w:t>
      </w:r>
      <w:r>
        <w:rPr>
          <w:rFonts w:ascii="Times New Roman" w:hAnsi="Times New Roman"/>
          <w:szCs w:val="24"/>
        </w:rPr>
        <w:t>показује</w:t>
      </w:r>
      <w:r w:rsidR="00841A04" w:rsidRPr="00295637">
        <w:rPr>
          <w:rFonts w:ascii="Times New Roman" w:hAnsi="Times New Roman"/>
          <w:szCs w:val="24"/>
        </w:rPr>
        <w:t xml:space="preserve"> </w:t>
      </w:r>
      <w:r>
        <w:rPr>
          <w:rFonts w:ascii="Times New Roman" w:hAnsi="Times New Roman"/>
          <w:szCs w:val="24"/>
        </w:rPr>
        <w:t>успјех</w:t>
      </w:r>
      <w:r w:rsidR="00841A04" w:rsidRPr="00295637">
        <w:rPr>
          <w:rFonts w:ascii="Times New Roman" w:hAnsi="Times New Roman"/>
          <w:szCs w:val="24"/>
        </w:rPr>
        <w:t xml:space="preserve"> </w:t>
      </w:r>
      <w:r>
        <w:rPr>
          <w:rFonts w:ascii="Times New Roman" w:hAnsi="Times New Roman"/>
          <w:szCs w:val="24"/>
        </w:rPr>
        <w:t>који</w:t>
      </w:r>
      <w:r w:rsidR="00841A04" w:rsidRPr="00295637">
        <w:rPr>
          <w:rFonts w:ascii="Times New Roman" w:hAnsi="Times New Roman"/>
          <w:szCs w:val="24"/>
        </w:rPr>
        <w:t xml:space="preserve"> </w:t>
      </w:r>
      <w:r>
        <w:rPr>
          <w:rFonts w:ascii="Times New Roman" w:hAnsi="Times New Roman"/>
          <w:szCs w:val="24"/>
        </w:rPr>
        <w:t>жене</w:t>
      </w:r>
      <w:r w:rsidR="00841A04" w:rsidRPr="00295637">
        <w:rPr>
          <w:rFonts w:ascii="Times New Roman" w:hAnsi="Times New Roman"/>
          <w:szCs w:val="24"/>
        </w:rPr>
        <w:t xml:space="preserve"> </w:t>
      </w:r>
      <w:r>
        <w:rPr>
          <w:rFonts w:ascii="Times New Roman" w:hAnsi="Times New Roman"/>
          <w:szCs w:val="24"/>
        </w:rPr>
        <w:t>и</w:t>
      </w:r>
      <w:r w:rsidR="00841A04" w:rsidRPr="00295637">
        <w:rPr>
          <w:rFonts w:ascii="Times New Roman" w:hAnsi="Times New Roman"/>
          <w:szCs w:val="24"/>
        </w:rPr>
        <w:t xml:space="preserve"> </w:t>
      </w:r>
      <w:r>
        <w:rPr>
          <w:rFonts w:ascii="Times New Roman" w:hAnsi="Times New Roman"/>
          <w:szCs w:val="24"/>
        </w:rPr>
        <w:t>мушкарци</w:t>
      </w:r>
      <w:r w:rsidR="00841A04" w:rsidRPr="00295637">
        <w:rPr>
          <w:rFonts w:ascii="Times New Roman" w:hAnsi="Times New Roman"/>
          <w:szCs w:val="24"/>
        </w:rPr>
        <w:t xml:space="preserve"> </w:t>
      </w:r>
      <w:r>
        <w:rPr>
          <w:rFonts w:ascii="Times New Roman" w:hAnsi="Times New Roman"/>
          <w:szCs w:val="24"/>
        </w:rPr>
        <w:t>остваре</w:t>
      </w:r>
      <w:r w:rsidR="00841A04" w:rsidRPr="00295637">
        <w:rPr>
          <w:rFonts w:ascii="Times New Roman" w:hAnsi="Times New Roman"/>
          <w:szCs w:val="24"/>
        </w:rPr>
        <w:t xml:space="preserve"> </w:t>
      </w:r>
      <w:r>
        <w:rPr>
          <w:rFonts w:ascii="Times New Roman" w:hAnsi="Times New Roman"/>
          <w:szCs w:val="24"/>
        </w:rPr>
        <w:t>стичући</w:t>
      </w:r>
      <w:r w:rsidR="00841A04" w:rsidRPr="00295637">
        <w:rPr>
          <w:rFonts w:ascii="Times New Roman" w:hAnsi="Times New Roman"/>
          <w:szCs w:val="24"/>
        </w:rPr>
        <w:t xml:space="preserve"> </w:t>
      </w:r>
      <w:r>
        <w:rPr>
          <w:rFonts w:ascii="Times New Roman" w:hAnsi="Times New Roman"/>
          <w:szCs w:val="24"/>
        </w:rPr>
        <w:t>високо</w:t>
      </w:r>
      <w:r w:rsidR="00841A04" w:rsidRPr="00295637">
        <w:rPr>
          <w:rFonts w:ascii="Times New Roman" w:hAnsi="Times New Roman"/>
          <w:szCs w:val="24"/>
        </w:rPr>
        <w:t xml:space="preserve"> </w:t>
      </w:r>
      <w:r>
        <w:rPr>
          <w:rFonts w:ascii="Times New Roman" w:hAnsi="Times New Roman"/>
          <w:szCs w:val="24"/>
        </w:rPr>
        <w:t>образовање</w:t>
      </w:r>
      <w:r w:rsidR="00841A04" w:rsidRPr="00295637">
        <w:rPr>
          <w:rFonts w:ascii="Times New Roman" w:hAnsi="Times New Roman"/>
          <w:szCs w:val="24"/>
        </w:rPr>
        <w:t xml:space="preserve"> </w:t>
      </w:r>
      <w:r>
        <w:rPr>
          <w:rFonts w:ascii="Times New Roman" w:hAnsi="Times New Roman"/>
          <w:szCs w:val="24"/>
        </w:rPr>
        <w:t>и</w:t>
      </w:r>
      <w:r w:rsidR="00841A04" w:rsidRPr="00295637">
        <w:rPr>
          <w:rFonts w:ascii="Times New Roman" w:hAnsi="Times New Roman"/>
          <w:szCs w:val="24"/>
        </w:rPr>
        <w:t xml:space="preserve"> </w:t>
      </w:r>
      <w:r>
        <w:rPr>
          <w:rFonts w:ascii="Times New Roman" w:hAnsi="Times New Roman"/>
          <w:szCs w:val="24"/>
        </w:rPr>
        <w:t>ангаж</w:t>
      </w:r>
      <w:r w:rsidR="0077778E">
        <w:rPr>
          <w:rFonts w:ascii="Times New Roman" w:hAnsi="Times New Roman"/>
          <w:szCs w:val="24"/>
          <w:lang w:val="sr-Cyrl-BA"/>
        </w:rPr>
        <w:t>ујући</w:t>
      </w:r>
      <w:r w:rsidR="00841A04" w:rsidRPr="00295637">
        <w:rPr>
          <w:rFonts w:ascii="Times New Roman" w:hAnsi="Times New Roman"/>
          <w:szCs w:val="24"/>
        </w:rPr>
        <w:t xml:space="preserve"> </w:t>
      </w:r>
      <w:r>
        <w:rPr>
          <w:rFonts w:ascii="Times New Roman" w:hAnsi="Times New Roman"/>
          <w:szCs w:val="24"/>
        </w:rPr>
        <w:t>се</w:t>
      </w:r>
      <w:r w:rsidR="00841A04" w:rsidRPr="00295637">
        <w:rPr>
          <w:rFonts w:ascii="Times New Roman" w:hAnsi="Times New Roman"/>
          <w:szCs w:val="24"/>
        </w:rPr>
        <w:t xml:space="preserve"> </w:t>
      </w:r>
      <w:r>
        <w:rPr>
          <w:rFonts w:ascii="Times New Roman" w:hAnsi="Times New Roman"/>
          <w:szCs w:val="24"/>
        </w:rPr>
        <w:t>у</w:t>
      </w:r>
      <w:r w:rsidR="00841A04" w:rsidRPr="00295637">
        <w:rPr>
          <w:rFonts w:ascii="Times New Roman" w:hAnsi="Times New Roman"/>
          <w:szCs w:val="24"/>
        </w:rPr>
        <w:t xml:space="preserve"> </w:t>
      </w:r>
      <w:r>
        <w:rPr>
          <w:rFonts w:ascii="Times New Roman" w:hAnsi="Times New Roman"/>
          <w:szCs w:val="24"/>
        </w:rPr>
        <w:t>формалним</w:t>
      </w:r>
      <w:r w:rsidR="00841A04" w:rsidRPr="00295637">
        <w:rPr>
          <w:rFonts w:ascii="Times New Roman" w:hAnsi="Times New Roman"/>
          <w:szCs w:val="24"/>
        </w:rPr>
        <w:t xml:space="preserve"> </w:t>
      </w:r>
      <w:r>
        <w:rPr>
          <w:rFonts w:ascii="Times New Roman" w:hAnsi="Times New Roman"/>
          <w:szCs w:val="24"/>
        </w:rPr>
        <w:t>и</w:t>
      </w:r>
      <w:r w:rsidR="00841A04" w:rsidRPr="00295637">
        <w:rPr>
          <w:rFonts w:ascii="Times New Roman" w:hAnsi="Times New Roman"/>
          <w:szCs w:val="24"/>
        </w:rPr>
        <w:t xml:space="preserve"> </w:t>
      </w:r>
      <w:r>
        <w:rPr>
          <w:rFonts w:ascii="Times New Roman" w:hAnsi="Times New Roman"/>
          <w:szCs w:val="24"/>
        </w:rPr>
        <w:t>неформалним</w:t>
      </w:r>
      <w:r w:rsidR="00841A04" w:rsidRPr="00295637">
        <w:rPr>
          <w:rFonts w:ascii="Times New Roman" w:hAnsi="Times New Roman"/>
          <w:szCs w:val="24"/>
        </w:rPr>
        <w:t xml:space="preserve"> </w:t>
      </w:r>
      <w:r>
        <w:rPr>
          <w:rFonts w:ascii="Times New Roman" w:hAnsi="Times New Roman"/>
          <w:szCs w:val="24"/>
        </w:rPr>
        <w:t>облицима</w:t>
      </w:r>
      <w:r w:rsidR="00841A04" w:rsidRPr="00295637">
        <w:rPr>
          <w:rFonts w:ascii="Times New Roman" w:hAnsi="Times New Roman"/>
          <w:szCs w:val="24"/>
        </w:rPr>
        <w:t xml:space="preserve"> </w:t>
      </w:r>
      <w:r>
        <w:rPr>
          <w:rFonts w:ascii="Times New Roman" w:hAnsi="Times New Roman"/>
          <w:szCs w:val="24"/>
        </w:rPr>
        <w:t>образовања</w:t>
      </w:r>
      <w:r w:rsidR="00841A04" w:rsidRPr="00295637">
        <w:rPr>
          <w:rFonts w:ascii="Times New Roman" w:hAnsi="Times New Roman"/>
          <w:szCs w:val="24"/>
        </w:rPr>
        <w:t xml:space="preserve">, </w:t>
      </w:r>
      <w:r>
        <w:rPr>
          <w:rFonts w:ascii="Times New Roman" w:hAnsi="Times New Roman"/>
          <w:szCs w:val="24"/>
          <w:lang w:val="bs-Latn-BA"/>
        </w:rPr>
        <w:t>Индекс</w:t>
      </w:r>
      <w:r w:rsidR="00841A04" w:rsidRPr="00295637">
        <w:rPr>
          <w:rFonts w:ascii="Times New Roman" w:hAnsi="Times New Roman"/>
          <w:szCs w:val="24"/>
          <w:lang w:val="bs-Latn-BA"/>
        </w:rPr>
        <w:t xml:space="preserve"> </w:t>
      </w:r>
      <w:r>
        <w:rPr>
          <w:rFonts w:ascii="Times New Roman" w:hAnsi="Times New Roman"/>
          <w:color w:val="000000"/>
          <w:szCs w:val="24"/>
          <w:lang w:val="hr-HR"/>
        </w:rPr>
        <w:t>износи</w:t>
      </w:r>
      <w:r w:rsidR="00841A04" w:rsidRPr="006820FB">
        <w:rPr>
          <w:rFonts w:ascii="Times New Roman" w:hAnsi="Times New Roman"/>
          <w:color w:val="000000"/>
          <w:szCs w:val="24"/>
          <w:lang w:val="hr-HR"/>
        </w:rPr>
        <w:t xml:space="preserve"> 53.4 (2023. </w:t>
      </w:r>
      <w:r>
        <w:rPr>
          <w:rFonts w:ascii="Times New Roman" w:hAnsi="Times New Roman"/>
          <w:color w:val="000000"/>
          <w:szCs w:val="24"/>
          <w:lang w:val="hr-HR"/>
        </w:rPr>
        <w:t>године</w:t>
      </w:r>
      <w:r w:rsidR="00841A04" w:rsidRPr="006820FB">
        <w:rPr>
          <w:rFonts w:ascii="Times New Roman" w:hAnsi="Times New Roman"/>
          <w:color w:val="000000"/>
          <w:szCs w:val="24"/>
          <w:lang w:val="hr-HR"/>
        </w:rPr>
        <w:t xml:space="preserve"> </w:t>
      </w:r>
      <w:r>
        <w:rPr>
          <w:rFonts w:ascii="Times New Roman" w:hAnsi="Times New Roman"/>
          <w:color w:val="000000"/>
          <w:szCs w:val="24"/>
          <w:lang w:val="hr-HR"/>
        </w:rPr>
        <w:t>је</w:t>
      </w:r>
      <w:r w:rsidR="00841A04" w:rsidRPr="006820FB">
        <w:rPr>
          <w:rFonts w:ascii="Times New Roman" w:hAnsi="Times New Roman"/>
          <w:color w:val="000000"/>
          <w:szCs w:val="24"/>
          <w:lang w:val="hr-HR"/>
        </w:rPr>
        <w:t xml:space="preserve"> </w:t>
      </w:r>
      <w:r>
        <w:rPr>
          <w:rFonts w:ascii="Times New Roman" w:hAnsi="Times New Roman"/>
          <w:color w:val="000000"/>
          <w:szCs w:val="24"/>
          <w:lang w:val="hr-HR"/>
        </w:rPr>
        <w:t>био</w:t>
      </w:r>
      <w:r w:rsidR="00841A04" w:rsidRPr="006820FB">
        <w:rPr>
          <w:rFonts w:ascii="Times New Roman" w:hAnsi="Times New Roman"/>
          <w:color w:val="000000"/>
          <w:szCs w:val="24"/>
          <w:lang w:val="hr-HR"/>
        </w:rPr>
        <w:t xml:space="preserve"> 54,0 </w:t>
      </w:r>
      <w:r>
        <w:rPr>
          <w:rFonts w:ascii="Times New Roman" w:hAnsi="Times New Roman"/>
          <w:color w:val="000000"/>
          <w:szCs w:val="24"/>
          <w:lang w:val="hr-HR"/>
        </w:rPr>
        <w:t>бода</w:t>
      </w:r>
      <w:r w:rsidR="00737ABD">
        <w:rPr>
          <w:rFonts w:ascii="Times New Roman" w:hAnsi="Times New Roman"/>
          <w:color w:val="000000"/>
          <w:szCs w:val="24"/>
          <w:lang w:val="hr-HR"/>
        </w:rPr>
        <w:t>,</w:t>
      </w:r>
      <w:r w:rsidR="00794114">
        <w:rPr>
          <w:rFonts w:ascii="Times New Roman" w:hAnsi="Times New Roman"/>
          <w:color w:val="000000"/>
          <w:szCs w:val="24"/>
          <w:lang w:val="hr-HR"/>
        </w:rPr>
        <w:t xml:space="preserve"> </w:t>
      </w:r>
      <w:r>
        <w:rPr>
          <w:rFonts w:ascii="Times New Roman" w:hAnsi="Times New Roman"/>
          <w:color w:val="000000"/>
          <w:szCs w:val="24"/>
          <w:lang w:val="hr-HR"/>
        </w:rPr>
        <w:t>а</w:t>
      </w:r>
      <w:r w:rsidR="00794114">
        <w:rPr>
          <w:rFonts w:ascii="Times New Roman" w:hAnsi="Times New Roman"/>
          <w:color w:val="000000"/>
          <w:szCs w:val="24"/>
          <w:lang w:val="hr-HR"/>
        </w:rPr>
        <w:t xml:space="preserve"> </w:t>
      </w:r>
      <w:r>
        <w:rPr>
          <w:rFonts w:ascii="Times New Roman" w:hAnsi="Times New Roman"/>
          <w:color w:val="000000"/>
          <w:szCs w:val="24"/>
          <w:lang w:val="hr-HR"/>
        </w:rPr>
        <w:t>Индекс</w:t>
      </w:r>
      <w:r w:rsidR="00841A04" w:rsidRPr="006820FB">
        <w:rPr>
          <w:rFonts w:ascii="Times New Roman" w:hAnsi="Times New Roman"/>
          <w:color w:val="000000"/>
          <w:szCs w:val="24"/>
          <w:lang w:val="hr-HR"/>
        </w:rPr>
        <w:t xml:space="preserve"> </w:t>
      </w:r>
      <w:r>
        <w:rPr>
          <w:rFonts w:ascii="Times New Roman" w:hAnsi="Times New Roman"/>
          <w:color w:val="000000"/>
          <w:szCs w:val="24"/>
          <w:lang w:val="hr-HR"/>
        </w:rPr>
        <w:t>за</w:t>
      </w:r>
      <w:r w:rsidR="00841A04" w:rsidRPr="006820FB">
        <w:rPr>
          <w:rFonts w:ascii="Times New Roman" w:hAnsi="Times New Roman"/>
          <w:color w:val="000000"/>
          <w:szCs w:val="24"/>
          <w:lang w:val="hr-HR"/>
        </w:rPr>
        <w:t xml:space="preserve"> 2022. </w:t>
      </w:r>
      <w:r>
        <w:rPr>
          <w:rFonts w:ascii="Times New Roman" w:hAnsi="Times New Roman"/>
          <w:color w:val="000000"/>
          <w:szCs w:val="24"/>
          <w:lang w:val="hr-HR"/>
        </w:rPr>
        <w:t>годину</w:t>
      </w:r>
      <w:r w:rsidR="00841A04" w:rsidRPr="006820FB">
        <w:rPr>
          <w:rFonts w:ascii="Times New Roman" w:hAnsi="Times New Roman"/>
          <w:color w:val="000000"/>
          <w:szCs w:val="24"/>
          <w:lang w:val="hr-HR"/>
        </w:rPr>
        <w:t xml:space="preserve"> </w:t>
      </w:r>
      <w:r>
        <w:rPr>
          <w:rFonts w:ascii="Times New Roman" w:hAnsi="Times New Roman"/>
          <w:color w:val="000000"/>
          <w:szCs w:val="24"/>
          <w:lang w:val="hr-HR"/>
        </w:rPr>
        <w:t>износио</w:t>
      </w:r>
      <w:r w:rsidR="00841A04" w:rsidRPr="00295637">
        <w:rPr>
          <w:rFonts w:ascii="Times New Roman" w:hAnsi="Times New Roman"/>
          <w:color w:val="000000"/>
          <w:szCs w:val="24"/>
          <w:lang w:val="it-IT"/>
        </w:rPr>
        <w:t xml:space="preserve"> </w:t>
      </w:r>
      <w:r>
        <w:rPr>
          <w:rFonts w:ascii="Times New Roman" w:hAnsi="Times New Roman"/>
          <w:color w:val="000000"/>
          <w:szCs w:val="24"/>
          <w:lang w:val="it-IT"/>
        </w:rPr>
        <w:t>је</w:t>
      </w:r>
      <w:r w:rsidR="00841A04" w:rsidRPr="00295637">
        <w:rPr>
          <w:rFonts w:ascii="Times New Roman" w:hAnsi="Times New Roman"/>
          <w:color w:val="000000"/>
          <w:szCs w:val="24"/>
          <w:lang w:val="it-IT"/>
        </w:rPr>
        <w:t xml:space="preserve"> 54,9).</w:t>
      </w:r>
      <w:r w:rsidR="00841A04" w:rsidRPr="00295637">
        <w:rPr>
          <w:rFonts w:ascii="Times New Roman" w:hAnsi="Times New Roman"/>
          <w:szCs w:val="24"/>
          <w:lang w:val="bs-Latn-BA"/>
        </w:rPr>
        <w:t xml:space="preserve"> </w:t>
      </w:r>
      <w:r>
        <w:rPr>
          <w:rFonts w:ascii="Times New Roman" w:hAnsi="Times New Roman"/>
          <w:szCs w:val="24"/>
          <w:lang w:val="bs-Latn-BA"/>
        </w:rPr>
        <w:t>Иначе</w:t>
      </w:r>
      <w:r w:rsidR="00841A04" w:rsidRPr="00295637">
        <w:rPr>
          <w:rFonts w:ascii="Times New Roman" w:hAnsi="Times New Roman"/>
          <w:szCs w:val="24"/>
          <w:lang w:val="bs-Latn-BA"/>
        </w:rPr>
        <w:t xml:space="preserve">, </w:t>
      </w:r>
      <w:r>
        <w:rPr>
          <w:rFonts w:ascii="Times New Roman" w:hAnsi="Times New Roman"/>
          <w:color w:val="000000"/>
          <w:szCs w:val="24"/>
          <w:lang w:val="bs-Latn-BA"/>
        </w:rPr>
        <w:t>Гендер</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индекс</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за</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у</w:t>
      </w:r>
      <w:r w:rsidR="00841A04" w:rsidRPr="00295637">
        <w:rPr>
          <w:rFonts w:ascii="Times New Roman" w:hAnsi="Times New Roman"/>
          <w:color w:val="000000"/>
          <w:szCs w:val="24"/>
          <w:lang w:val="bs-Latn-BA"/>
        </w:rPr>
        <w:t xml:space="preserve"> 2024. </w:t>
      </w:r>
      <w:r>
        <w:rPr>
          <w:rFonts w:ascii="Times New Roman" w:hAnsi="Times New Roman"/>
          <w:color w:val="000000"/>
          <w:szCs w:val="24"/>
          <w:lang w:val="bs-Latn-BA"/>
        </w:rPr>
        <w:t>години</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у</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домену</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знање</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је</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за</w:t>
      </w:r>
      <w:r w:rsidR="00841A04" w:rsidRPr="00295637">
        <w:rPr>
          <w:rFonts w:ascii="Times New Roman" w:hAnsi="Times New Roman"/>
          <w:color w:val="000000"/>
          <w:szCs w:val="24"/>
          <w:lang w:val="bs-Latn-BA"/>
        </w:rPr>
        <w:t xml:space="preserve"> 6 </w:t>
      </w:r>
      <w:r>
        <w:rPr>
          <w:rFonts w:ascii="Times New Roman" w:hAnsi="Times New Roman"/>
          <w:color w:val="000000"/>
          <w:szCs w:val="24"/>
          <w:lang w:val="bs-Latn-BA"/>
        </w:rPr>
        <w:t>бодова</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нижи</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од</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просјека</w:t>
      </w:r>
      <w:r w:rsidR="00841A04" w:rsidRPr="00295637">
        <w:rPr>
          <w:rFonts w:ascii="Times New Roman" w:hAnsi="Times New Roman"/>
          <w:color w:val="000000"/>
          <w:szCs w:val="24"/>
          <w:lang w:val="bs-Latn-BA"/>
        </w:rPr>
        <w:t xml:space="preserve"> </w:t>
      </w:r>
      <w:r>
        <w:rPr>
          <w:rFonts w:ascii="Times New Roman" w:hAnsi="Times New Roman"/>
          <w:color w:val="000000"/>
          <w:szCs w:val="24"/>
          <w:lang w:val="bs-Latn-BA"/>
        </w:rPr>
        <w:t>ЕУ</w:t>
      </w:r>
      <w:r w:rsidR="009E54A2" w:rsidRPr="00295637">
        <w:rPr>
          <w:rFonts w:ascii="Times New Roman" w:hAnsi="Times New Roman"/>
          <w:color w:val="000000"/>
          <w:szCs w:val="24"/>
          <w:lang w:val="bs-Latn-BA"/>
        </w:rPr>
        <w:t>.</w:t>
      </w:r>
    </w:p>
    <w:p w:rsidR="00356C2C" w:rsidRPr="00295637" w:rsidRDefault="00356C2C" w:rsidP="0086268D">
      <w:pPr>
        <w:tabs>
          <w:tab w:val="left" w:pos="284"/>
          <w:tab w:val="left" w:pos="630"/>
          <w:tab w:val="left" w:pos="1080"/>
        </w:tabs>
        <w:jc w:val="both"/>
        <w:rPr>
          <w:rFonts w:ascii="Times New Roman" w:hAnsi="Times New Roman"/>
          <w:szCs w:val="24"/>
          <w:lang w:val="bs-Latn-BA"/>
        </w:rPr>
      </w:pPr>
    </w:p>
    <w:p w:rsidR="00356C2C" w:rsidRPr="00295637" w:rsidRDefault="0077778E" w:rsidP="00794114">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794114">
        <w:rPr>
          <w:rFonts w:ascii="Times New Roman" w:hAnsi="Times New Roman"/>
          <w:szCs w:val="24"/>
          <w:lang w:val="bs-Latn-BA"/>
        </w:rPr>
        <w:t xml:space="preserve"> 4.1. </w:t>
      </w:r>
      <w:r w:rsidR="00C6214E">
        <w:rPr>
          <w:rFonts w:ascii="Times New Roman" w:hAnsi="Times New Roman"/>
          <w:szCs w:val="24"/>
          <w:lang w:val="bs-Latn-BA"/>
        </w:rPr>
        <w:t>Идентифи</w:t>
      </w:r>
      <w:r>
        <w:rPr>
          <w:rFonts w:ascii="Times New Roman" w:hAnsi="Times New Roman"/>
          <w:szCs w:val="24"/>
          <w:lang w:val="sr-Cyrl-BA"/>
        </w:rPr>
        <w:t>ковање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приоритетних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гендер</w:t>
      </w:r>
      <w:r w:rsidR="00356C2C" w:rsidRPr="00295637">
        <w:rPr>
          <w:rFonts w:ascii="Times New Roman" w:hAnsi="Times New Roman"/>
          <w:szCs w:val="24"/>
          <w:lang w:val="bs-Latn-BA"/>
        </w:rPr>
        <w:t xml:space="preserve"> </w:t>
      </w:r>
      <w:r w:rsidR="00C6214E">
        <w:rPr>
          <w:rFonts w:ascii="Times New Roman" w:hAnsi="Times New Roman"/>
          <w:szCs w:val="24"/>
          <w:lang w:val="bs-Latn-BA"/>
        </w:rPr>
        <w:t>анализа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стратегија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акционих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планова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других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аката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образовања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науке</w:t>
      </w:r>
      <w:r w:rsidR="00356C2C" w:rsidRPr="00295637">
        <w:rPr>
          <w:rFonts w:ascii="Times New Roman" w:hAnsi="Times New Roman"/>
          <w:szCs w:val="24"/>
          <w:lang w:val="bs-Latn-BA"/>
        </w:rPr>
        <w:t xml:space="preserve">, </w:t>
      </w:r>
      <w:r w:rsidR="00C6214E">
        <w:rPr>
          <w:rFonts w:ascii="Times New Roman" w:hAnsi="Times New Roman"/>
          <w:szCs w:val="24"/>
          <w:lang w:val="bs-Latn-BA"/>
        </w:rPr>
        <w:t>културе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спорта</w:t>
      </w:r>
      <w:r w:rsidR="00356C2C" w:rsidRPr="00295637">
        <w:rPr>
          <w:rFonts w:ascii="Times New Roman" w:hAnsi="Times New Roman"/>
          <w:szCs w:val="24"/>
          <w:lang w:val="bs-Latn-BA"/>
        </w:rPr>
        <w:t xml:space="preserve">, </w:t>
      </w:r>
      <w:r>
        <w:rPr>
          <w:rFonts w:ascii="Times New Roman" w:hAnsi="Times New Roman"/>
          <w:szCs w:val="24"/>
          <w:lang w:val="sr-Cyrl-BA"/>
        </w:rPr>
        <w:t>с</w:t>
      </w:r>
      <w:r w:rsidR="00356C2C" w:rsidRPr="00295637">
        <w:rPr>
          <w:rFonts w:ascii="Times New Roman" w:hAnsi="Times New Roman"/>
          <w:szCs w:val="24"/>
          <w:lang w:val="bs-Latn-BA"/>
        </w:rPr>
        <w:t xml:space="preserve"> </w:t>
      </w:r>
      <w:r w:rsidR="00C6214E">
        <w:rPr>
          <w:rFonts w:ascii="Times New Roman" w:hAnsi="Times New Roman"/>
          <w:szCs w:val="24"/>
          <w:lang w:val="bs-Latn-BA"/>
        </w:rPr>
        <w:t>циљ</w:t>
      </w:r>
      <w:r>
        <w:rPr>
          <w:rFonts w:ascii="Times New Roman" w:hAnsi="Times New Roman"/>
          <w:szCs w:val="24"/>
          <w:lang w:val="sr-Cyrl-BA"/>
        </w:rPr>
        <w:t>ем</w:t>
      </w:r>
      <w:r w:rsidR="00356C2C" w:rsidRPr="00295637">
        <w:rPr>
          <w:rFonts w:ascii="Times New Roman" w:hAnsi="Times New Roman"/>
          <w:szCs w:val="24"/>
          <w:lang w:val="bs-Latn-BA"/>
        </w:rPr>
        <w:t xml:space="preserve"> </w:t>
      </w:r>
      <w:r w:rsidR="00C6214E">
        <w:rPr>
          <w:rFonts w:ascii="Times New Roman" w:hAnsi="Times New Roman"/>
          <w:szCs w:val="24"/>
          <w:lang w:val="bs-Latn-BA"/>
        </w:rPr>
        <w:t>увођења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примјене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домаћих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овим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утврђивања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недостатака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предности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стварних</w:t>
      </w:r>
      <w:r w:rsidR="00737ABD">
        <w:rPr>
          <w:rFonts w:ascii="Times New Roman" w:hAnsi="Times New Roman"/>
          <w:szCs w:val="24"/>
          <w:lang w:val="bs-Latn-BA"/>
        </w:rPr>
        <w:t xml:space="preserve"> </w:t>
      </w:r>
      <w:r w:rsidR="00C6214E">
        <w:rPr>
          <w:rFonts w:ascii="Times New Roman" w:hAnsi="Times New Roman"/>
          <w:szCs w:val="24"/>
          <w:lang w:val="bs-Latn-BA"/>
        </w:rPr>
        <w:t>потреба</w:t>
      </w:r>
      <w:r w:rsidR="00737ABD">
        <w:rPr>
          <w:rFonts w:ascii="Times New Roman" w:hAnsi="Times New Roman"/>
          <w:szCs w:val="24"/>
          <w:lang w:val="bs-Latn-BA"/>
        </w:rPr>
        <w:t xml:space="preserve"> </w:t>
      </w:r>
      <w:r w:rsidR="00C6214E">
        <w:rPr>
          <w:rFonts w:ascii="Times New Roman" w:hAnsi="Times New Roman"/>
          <w:szCs w:val="24"/>
          <w:lang w:val="bs-Latn-BA"/>
        </w:rPr>
        <w:t>и</w:t>
      </w:r>
      <w:r w:rsidR="00737ABD">
        <w:rPr>
          <w:rFonts w:ascii="Times New Roman" w:hAnsi="Times New Roman"/>
          <w:szCs w:val="24"/>
          <w:lang w:val="bs-Latn-BA"/>
        </w:rPr>
        <w:t xml:space="preserve"> </w:t>
      </w:r>
      <w:r w:rsidR="00C6214E">
        <w:rPr>
          <w:rFonts w:ascii="Times New Roman" w:hAnsi="Times New Roman"/>
          <w:szCs w:val="24"/>
          <w:lang w:val="bs-Latn-BA"/>
        </w:rPr>
        <w:t>могућности</w:t>
      </w:r>
      <w:r w:rsidR="00737ABD">
        <w:rPr>
          <w:rFonts w:ascii="Times New Roman" w:hAnsi="Times New Roman"/>
          <w:szCs w:val="24"/>
          <w:lang w:val="bs-Latn-BA"/>
        </w:rPr>
        <w:t xml:space="preserve"> </w:t>
      </w:r>
      <w:r w:rsidR="00C6214E">
        <w:rPr>
          <w:rFonts w:ascii="Times New Roman" w:hAnsi="Times New Roman"/>
          <w:szCs w:val="24"/>
          <w:lang w:val="bs-Latn-BA"/>
        </w:rPr>
        <w:t>са</w:t>
      </w:r>
      <w:r w:rsidR="00356C2C" w:rsidRPr="00295637">
        <w:rPr>
          <w:rFonts w:ascii="Times New Roman" w:hAnsi="Times New Roman"/>
          <w:szCs w:val="24"/>
          <w:lang w:val="bs-Latn-BA"/>
        </w:rPr>
        <w:t xml:space="preserve"> </w:t>
      </w:r>
      <w:r w:rsidR="00C6214E">
        <w:rPr>
          <w:rFonts w:ascii="Times New Roman" w:hAnsi="Times New Roman"/>
          <w:szCs w:val="24"/>
          <w:lang w:val="bs-Latn-BA"/>
        </w:rPr>
        <w:t>аспекта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w:t>
      </w:r>
    </w:p>
    <w:p w:rsidR="008D56A8" w:rsidRPr="00295637" w:rsidRDefault="008D56A8" w:rsidP="0086268D">
      <w:pPr>
        <w:tabs>
          <w:tab w:val="left" w:pos="284"/>
          <w:tab w:val="left" w:pos="630"/>
          <w:tab w:val="left" w:pos="1080"/>
        </w:tabs>
        <w:ind w:left="1080"/>
        <w:jc w:val="both"/>
        <w:rPr>
          <w:rFonts w:ascii="Times New Roman" w:hAnsi="Times New Roman"/>
          <w:szCs w:val="24"/>
          <w:lang w:val="bs-Latn-BA"/>
        </w:rPr>
      </w:pPr>
    </w:p>
    <w:p w:rsidR="001D79A9"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При</w:t>
      </w:r>
      <w:r w:rsidR="00653655" w:rsidRPr="00295637">
        <w:rPr>
          <w:rFonts w:ascii="Times New Roman" w:hAnsi="Times New Roman"/>
          <w:szCs w:val="24"/>
          <w:lang w:val="bs-Latn-BA"/>
        </w:rPr>
        <w:t xml:space="preserve"> </w:t>
      </w:r>
      <w:r>
        <w:rPr>
          <w:rFonts w:ascii="Times New Roman" w:hAnsi="Times New Roman"/>
          <w:szCs w:val="24"/>
          <w:lang w:val="bs-Latn-BA"/>
        </w:rPr>
        <w:t>изради</w:t>
      </w:r>
      <w:r w:rsidR="00653655" w:rsidRPr="00295637">
        <w:rPr>
          <w:rFonts w:ascii="Times New Roman" w:hAnsi="Times New Roman"/>
          <w:szCs w:val="24"/>
          <w:lang w:val="bs-Latn-BA"/>
        </w:rPr>
        <w:t xml:space="preserve"> </w:t>
      </w:r>
      <w:r>
        <w:rPr>
          <w:rFonts w:ascii="Times New Roman" w:hAnsi="Times New Roman"/>
          <w:szCs w:val="24"/>
          <w:lang w:val="bs-Latn-BA"/>
        </w:rPr>
        <w:t>стратегија</w:t>
      </w:r>
      <w:r w:rsidR="00653655" w:rsidRPr="00295637">
        <w:rPr>
          <w:rFonts w:ascii="Times New Roman" w:hAnsi="Times New Roman"/>
          <w:szCs w:val="24"/>
          <w:lang w:val="bs-Latn-BA"/>
        </w:rPr>
        <w:t xml:space="preserve">, </w:t>
      </w:r>
      <w:r>
        <w:rPr>
          <w:rFonts w:ascii="Times New Roman" w:hAnsi="Times New Roman"/>
          <w:szCs w:val="24"/>
          <w:lang w:val="bs-Latn-BA"/>
        </w:rPr>
        <w:t>програма</w:t>
      </w:r>
      <w:r w:rsidR="00653655" w:rsidRPr="00295637">
        <w:rPr>
          <w:rFonts w:ascii="Times New Roman" w:hAnsi="Times New Roman"/>
          <w:szCs w:val="24"/>
          <w:lang w:val="bs-Latn-BA"/>
        </w:rPr>
        <w:t xml:space="preserve">, </w:t>
      </w:r>
      <w:r>
        <w:rPr>
          <w:rFonts w:ascii="Times New Roman" w:hAnsi="Times New Roman"/>
          <w:szCs w:val="24"/>
          <w:lang w:val="bs-Latn-BA"/>
        </w:rPr>
        <w:t>политика</w:t>
      </w:r>
      <w:r w:rsidR="00653655" w:rsidRPr="00295637">
        <w:rPr>
          <w:rFonts w:ascii="Times New Roman" w:hAnsi="Times New Roman"/>
          <w:szCs w:val="24"/>
          <w:lang w:val="bs-Latn-BA"/>
        </w:rPr>
        <w:t xml:space="preserve"> </w:t>
      </w:r>
      <w:r>
        <w:rPr>
          <w:rFonts w:ascii="Times New Roman" w:hAnsi="Times New Roman"/>
          <w:szCs w:val="24"/>
          <w:lang w:val="bs-Latn-BA"/>
        </w:rPr>
        <w:t>и</w:t>
      </w:r>
      <w:r w:rsidR="00653655" w:rsidRPr="00295637">
        <w:rPr>
          <w:rFonts w:ascii="Times New Roman" w:hAnsi="Times New Roman"/>
          <w:szCs w:val="24"/>
          <w:lang w:val="bs-Latn-BA"/>
        </w:rPr>
        <w:t xml:space="preserve"> </w:t>
      </w:r>
      <w:r>
        <w:rPr>
          <w:rFonts w:ascii="Times New Roman" w:hAnsi="Times New Roman"/>
          <w:szCs w:val="24"/>
          <w:lang w:val="bs-Latn-BA"/>
        </w:rPr>
        <w:t>пројеката</w:t>
      </w:r>
      <w:r w:rsidR="00AA13E0" w:rsidRPr="00295637">
        <w:rPr>
          <w:rFonts w:ascii="Times New Roman" w:hAnsi="Times New Roman"/>
          <w:szCs w:val="24"/>
          <w:lang w:val="bs-Latn-BA"/>
        </w:rPr>
        <w:t xml:space="preserve"> </w:t>
      </w:r>
      <w:r>
        <w:rPr>
          <w:rFonts w:ascii="Times New Roman" w:hAnsi="Times New Roman"/>
          <w:szCs w:val="24"/>
          <w:lang w:val="bs-Latn-BA"/>
        </w:rPr>
        <w:t>МЦП</w:t>
      </w:r>
      <w:r w:rsidR="00AA13E0" w:rsidRPr="00295637">
        <w:rPr>
          <w:rFonts w:ascii="Times New Roman" w:hAnsi="Times New Roman"/>
          <w:szCs w:val="24"/>
          <w:lang w:val="bs-Latn-BA"/>
        </w:rPr>
        <w:t xml:space="preserve"> </w:t>
      </w:r>
      <w:r>
        <w:rPr>
          <w:rFonts w:ascii="Times New Roman" w:hAnsi="Times New Roman"/>
          <w:szCs w:val="24"/>
          <w:lang w:val="bs-Latn-BA"/>
        </w:rPr>
        <w:t>БиХ</w:t>
      </w:r>
      <w:r w:rsidR="00653655" w:rsidRPr="00295637">
        <w:rPr>
          <w:rFonts w:ascii="Times New Roman" w:hAnsi="Times New Roman"/>
          <w:szCs w:val="24"/>
          <w:lang w:val="bs-Latn-BA"/>
        </w:rPr>
        <w:t xml:space="preserve"> </w:t>
      </w:r>
      <w:r>
        <w:rPr>
          <w:rFonts w:ascii="Times New Roman" w:hAnsi="Times New Roman"/>
          <w:szCs w:val="24"/>
          <w:lang w:val="bs-Latn-BA"/>
        </w:rPr>
        <w:t>поштује</w:t>
      </w:r>
      <w:r w:rsidR="00653655" w:rsidRPr="00295637">
        <w:rPr>
          <w:rFonts w:ascii="Times New Roman" w:hAnsi="Times New Roman"/>
          <w:szCs w:val="24"/>
          <w:lang w:val="bs-Latn-BA"/>
        </w:rPr>
        <w:t xml:space="preserve"> </w:t>
      </w:r>
      <w:r>
        <w:rPr>
          <w:rFonts w:ascii="Times New Roman" w:hAnsi="Times New Roman"/>
          <w:szCs w:val="24"/>
          <w:lang w:val="bs-Latn-BA"/>
        </w:rPr>
        <w:t>и</w:t>
      </w:r>
      <w:r w:rsidR="00653655" w:rsidRPr="00295637">
        <w:rPr>
          <w:rFonts w:ascii="Times New Roman" w:hAnsi="Times New Roman"/>
          <w:szCs w:val="24"/>
          <w:lang w:val="bs-Latn-BA"/>
        </w:rPr>
        <w:t xml:space="preserve"> </w:t>
      </w:r>
      <w:r>
        <w:rPr>
          <w:rFonts w:ascii="Times New Roman" w:hAnsi="Times New Roman"/>
          <w:szCs w:val="24"/>
          <w:lang w:val="bs-Latn-BA"/>
        </w:rPr>
        <w:t>укључује</w:t>
      </w:r>
      <w:r w:rsidR="00653655" w:rsidRPr="00295637">
        <w:rPr>
          <w:rFonts w:ascii="Times New Roman" w:hAnsi="Times New Roman"/>
          <w:szCs w:val="24"/>
          <w:lang w:val="bs-Latn-BA"/>
        </w:rPr>
        <w:t xml:space="preserve"> </w:t>
      </w:r>
      <w:r>
        <w:rPr>
          <w:rFonts w:ascii="Times New Roman" w:hAnsi="Times New Roman"/>
          <w:szCs w:val="24"/>
          <w:lang w:val="bs-Latn-BA"/>
        </w:rPr>
        <w:t>принцип</w:t>
      </w:r>
      <w:r w:rsidR="00653655"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653655" w:rsidRPr="00295637">
        <w:rPr>
          <w:rFonts w:ascii="Times New Roman" w:hAnsi="Times New Roman"/>
          <w:szCs w:val="24"/>
          <w:lang w:val="bs-Latn-BA"/>
        </w:rPr>
        <w:t xml:space="preserve"> </w:t>
      </w:r>
      <w:r>
        <w:rPr>
          <w:rFonts w:ascii="Times New Roman" w:hAnsi="Times New Roman"/>
          <w:szCs w:val="24"/>
          <w:lang w:val="bs-Latn-BA"/>
        </w:rPr>
        <w:t>полова</w:t>
      </w:r>
      <w:r w:rsidR="00653655" w:rsidRPr="00295637">
        <w:rPr>
          <w:rFonts w:ascii="Times New Roman" w:hAnsi="Times New Roman"/>
          <w:szCs w:val="24"/>
          <w:lang w:val="bs-Latn-BA"/>
        </w:rPr>
        <w:t xml:space="preserve">. </w:t>
      </w:r>
      <w:r>
        <w:rPr>
          <w:rFonts w:ascii="Times New Roman" w:hAnsi="Times New Roman"/>
          <w:szCs w:val="24"/>
          <w:lang w:val="bs-Latn-BA"/>
        </w:rPr>
        <w:t>Будући</w:t>
      </w:r>
      <w:r w:rsidR="00653655" w:rsidRPr="00295637">
        <w:rPr>
          <w:rFonts w:ascii="Times New Roman" w:hAnsi="Times New Roman"/>
          <w:szCs w:val="24"/>
          <w:lang w:val="bs-Latn-BA"/>
        </w:rPr>
        <w:t xml:space="preserve"> </w:t>
      </w:r>
      <w:r>
        <w:rPr>
          <w:rFonts w:ascii="Times New Roman" w:hAnsi="Times New Roman"/>
          <w:szCs w:val="24"/>
          <w:lang w:val="bs-Latn-BA"/>
        </w:rPr>
        <w:t>да</w:t>
      </w:r>
      <w:r w:rsidR="00653655" w:rsidRPr="00295637">
        <w:rPr>
          <w:rFonts w:ascii="Times New Roman" w:hAnsi="Times New Roman"/>
          <w:szCs w:val="24"/>
          <w:lang w:val="bs-Latn-BA"/>
        </w:rPr>
        <w:t xml:space="preserve"> </w:t>
      </w:r>
      <w:r>
        <w:rPr>
          <w:rFonts w:ascii="Times New Roman" w:hAnsi="Times New Roman"/>
          <w:szCs w:val="24"/>
          <w:lang w:val="bs-Latn-BA"/>
        </w:rPr>
        <w:t>је</w:t>
      </w:r>
      <w:r w:rsidR="00653655" w:rsidRPr="00295637">
        <w:rPr>
          <w:rFonts w:ascii="Times New Roman" w:hAnsi="Times New Roman"/>
          <w:szCs w:val="24"/>
          <w:lang w:val="bs-Latn-BA"/>
        </w:rPr>
        <w:t xml:space="preserve"> </w:t>
      </w:r>
      <w:r>
        <w:rPr>
          <w:rFonts w:ascii="Times New Roman" w:hAnsi="Times New Roman"/>
          <w:szCs w:val="24"/>
          <w:lang w:val="bs-Latn-BA"/>
        </w:rPr>
        <w:t>у</w:t>
      </w:r>
      <w:r w:rsidR="00653655" w:rsidRPr="00295637">
        <w:rPr>
          <w:rFonts w:ascii="Times New Roman" w:hAnsi="Times New Roman"/>
          <w:szCs w:val="24"/>
          <w:lang w:val="bs-Latn-BA"/>
        </w:rPr>
        <w:t xml:space="preserve"> </w:t>
      </w:r>
      <w:r>
        <w:rPr>
          <w:rFonts w:ascii="Times New Roman" w:hAnsi="Times New Roman"/>
          <w:szCs w:val="24"/>
          <w:lang w:val="bs-Latn-BA"/>
        </w:rPr>
        <w:t>току</w:t>
      </w:r>
      <w:r w:rsidR="00653655" w:rsidRPr="00295637">
        <w:rPr>
          <w:rFonts w:ascii="Times New Roman" w:hAnsi="Times New Roman"/>
          <w:szCs w:val="24"/>
          <w:lang w:val="bs-Latn-BA"/>
        </w:rPr>
        <w:t xml:space="preserve"> </w:t>
      </w:r>
      <w:r>
        <w:rPr>
          <w:rFonts w:ascii="Times New Roman" w:hAnsi="Times New Roman"/>
          <w:szCs w:val="24"/>
          <w:lang w:val="bs-Latn-BA"/>
        </w:rPr>
        <w:t>израда</w:t>
      </w:r>
      <w:r w:rsidR="00653655" w:rsidRPr="00295637">
        <w:rPr>
          <w:rFonts w:ascii="Times New Roman" w:hAnsi="Times New Roman"/>
          <w:szCs w:val="24"/>
          <w:lang w:val="bs-Latn-BA"/>
        </w:rPr>
        <w:t xml:space="preserve"> </w:t>
      </w:r>
      <w:r>
        <w:rPr>
          <w:rFonts w:ascii="Times New Roman" w:hAnsi="Times New Roman"/>
          <w:szCs w:val="24"/>
          <w:lang w:val="bs-Latn-BA"/>
        </w:rPr>
        <w:t>документа</w:t>
      </w:r>
      <w:r w:rsidR="00895AB5" w:rsidRPr="00295637">
        <w:rPr>
          <w:rFonts w:ascii="Times New Roman" w:hAnsi="Times New Roman"/>
          <w:szCs w:val="24"/>
          <w:lang w:val="bs-Latn-BA"/>
        </w:rPr>
        <w:t xml:space="preserve"> </w:t>
      </w:r>
      <w:r>
        <w:rPr>
          <w:rFonts w:ascii="Times New Roman" w:hAnsi="Times New Roman"/>
          <w:szCs w:val="24"/>
          <w:lang w:val="bs-Latn-BA"/>
        </w:rPr>
        <w:t>Стратегија</w:t>
      </w:r>
      <w:r w:rsidR="00895AB5" w:rsidRPr="00295637">
        <w:rPr>
          <w:rFonts w:ascii="Times New Roman" w:hAnsi="Times New Roman"/>
          <w:szCs w:val="24"/>
          <w:lang w:val="bs-Latn-BA"/>
        </w:rPr>
        <w:t xml:space="preserve"> </w:t>
      </w:r>
      <w:r>
        <w:rPr>
          <w:rFonts w:ascii="Times New Roman" w:hAnsi="Times New Roman"/>
          <w:szCs w:val="24"/>
          <w:lang w:val="bs-Latn-BA"/>
        </w:rPr>
        <w:t>развоја</w:t>
      </w:r>
      <w:r w:rsidR="00895AB5" w:rsidRPr="00295637">
        <w:rPr>
          <w:rFonts w:ascii="Times New Roman" w:hAnsi="Times New Roman"/>
          <w:szCs w:val="24"/>
          <w:lang w:val="bs-Latn-BA"/>
        </w:rPr>
        <w:t xml:space="preserve"> </w:t>
      </w:r>
      <w:r>
        <w:rPr>
          <w:rFonts w:ascii="Times New Roman" w:hAnsi="Times New Roman"/>
          <w:szCs w:val="24"/>
          <w:lang w:val="bs-Latn-BA"/>
        </w:rPr>
        <w:t>науке</w:t>
      </w:r>
      <w:r w:rsidR="00653655" w:rsidRPr="00295637">
        <w:rPr>
          <w:rFonts w:ascii="Times New Roman" w:hAnsi="Times New Roman"/>
          <w:szCs w:val="24"/>
          <w:lang w:val="bs-Latn-BA"/>
        </w:rPr>
        <w:t xml:space="preserve"> </w:t>
      </w:r>
      <w:r>
        <w:rPr>
          <w:rFonts w:ascii="Times New Roman" w:hAnsi="Times New Roman"/>
          <w:szCs w:val="24"/>
          <w:lang w:val="bs-Latn-BA"/>
        </w:rPr>
        <w:t>БиХ</w:t>
      </w:r>
      <w:r w:rsidR="00653655" w:rsidRPr="00295637">
        <w:rPr>
          <w:rFonts w:ascii="Times New Roman" w:hAnsi="Times New Roman"/>
          <w:szCs w:val="24"/>
          <w:lang w:val="bs-Latn-BA"/>
        </w:rPr>
        <w:t xml:space="preserve"> </w:t>
      </w:r>
      <w:r>
        <w:rPr>
          <w:rFonts w:ascii="Times New Roman" w:hAnsi="Times New Roman"/>
          <w:szCs w:val="24"/>
          <w:lang w:val="bs-Latn-BA"/>
        </w:rPr>
        <w:t>и</w:t>
      </w:r>
      <w:r w:rsidR="00653655" w:rsidRPr="00295637">
        <w:rPr>
          <w:rFonts w:ascii="Times New Roman" w:hAnsi="Times New Roman"/>
          <w:szCs w:val="24"/>
          <w:lang w:val="bs-Latn-BA"/>
        </w:rPr>
        <w:t xml:space="preserve"> </w:t>
      </w:r>
      <w:r>
        <w:rPr>
          <w:rFonts w:ascii="Times New Roman" w:hAnsi="Times New Roman"/>
          <w:szCs w:val="24"/>
          <w:lang w:val="bs-Latn-BA"/>
        </w:rPr>
        <w:t>Акциони</w:t>
      </w:r>
      <w:r w:rsidR="00653655" w:rsidRPr="00295637">
        <w:rPr>
          <w:rFonts w:ascii="Times New Roman" w:hAnsi="Times New Roman"/>
          <w:szCs w:val="24"/>
          <w:lang w:val="bs-Latn-BA"/>
        </w:rPr>
        <w:t xml:space="preserve"> </w:t>
      </w:r>
      <w:r>
        <w:rPr>
          <w:rFonts w:ascii="Times New Roman" w:hAnsi="Times New Roman"/>
          <w:szCs w:val="24"/>
          <w:lang w:val="bs-Latn-BA"/>
        </w:rPr>
        <w:t>план</w:t>
      </w:r>
      <w:r w:rsidR="00653655" w:rsidRPr="00295637">
        <w:rPr>
          <w:rFonts w:ascii="Times New Roman" w:hAnsi="Times New Roman"/>
          <w:szCs w:val="24"/>
          <w:lang w:val="bs-Latn-BA"/>
        </w:rPr>
        <w:t xml:space="preserve"> </w:t>
      </w:r>
      <w:r>
        <w:rPr>
          <w:rFonts w:ascii="Times New Roman" w:hAnsi="Times New Roman"/>
          <w:szCs w:val="24"/>
          <w:lang w:val="bs-Latn-BA"/>
        </w:rPr>
        <w:t>за</w:t>
      </w:r>
      <w:r w:rsidR="00653655" w:rsidRPr="00295637">
        <w:rPr>
          <w:rFonts w:ascii="Times New Roman" w:hAnsi="Times New Roman"/>
          <w:szCs w:val="24"/>
          <w:lang w:val="bs-Latn-BA"/>
        </w:rPr>
        <w:t xml:space="preserve"> </w:t>
      </w:r>
      <w:r>
        <w:rPr>
          <w:rFonts w:ascii="Times New Roman" w:hAnsi="Times New Roman"/>
          <w:szCs w:val="24"/>
          <w:lang w:val="bs-Latn-BA"/>
        </w:rPr>
        <w:t>њен</w:t>
      </w:r>
      <w:r w:rsidR="0077778E">
        <w:rPr>
          <w:rFonts w:ascii="Times New Roman" w:hAnsi="Times New Roman"/>
          <w:szCs w:val="24"/>
          <w:lang w:val="sr-Cyrl-BA"/>
        </w:rPr>
        <w:t>о</w:t>
      </w:r>
      <w:r w:rsidR="00653655" w:rsidRPr="00295637">
        <w:rPr>
          <w:rFonts w:ascii="Times New Roman" w:hAnsi="Times New Roman"/>
          <w:szCs w:val="24"/>
          <w:lang w:val="bs-Latn-BA"/>
        </w:rPr>
        <w:t xml:space="preserve"> </w:t>
      </w:r>
      <w:r w:rsidR="0077778E">
        <w:rPr>
          <w:rFonts w:ascii="Times New Roman" w:hAnsi="Times New Roman"/>
          <w:szCs w:val="24"/>
          <w:lang w:val="sr-Cyrl-BA"/>
        </w:rPr>
        <w:t>спровођење</w:t>
      </w:r>
      <w:r w:rsidR="00653655" w:rsidRPr="00295637">
        <w:rPr>
          <w:rFonts w:ascii="Times New Roman" w:hAnsi="Times New Roman"/>
          <w:szCs w:val="24"/>
          <w:lang w:val="bs-Latn-BA"/>
        </w:rPr>
        <w:t xml:space="preserve">, </w:t>
      </w:r>
      <w:r>
        <w:rPr>
          <w:rFonts w:ascii="Times New Roman" w:hAnsi="Times New Roman"/>
          <w:szCs w:val="24"/>
          <w:lang w:val="bs-Latn-BA"/>
        </w:rPr>
        <w:t>а</w:t>
      </w:r>
      <w:r w:rsidR="00AA13E0" w:rsidRPr="00295637">
        <w:rPr>
          <w:rFonts w:ascii="Times New Roman" w:hAnsi="Times New Roman"/>
          <w:szCs w:val="24"/>
          <w:lang w:val="bs-Latn-BA"/>
        </w:rPr>
        <w:t xml:space="preserve"> </w:t>
      </w:r>
      <w:r>
        <w:rPr>
          <w:rFonts w:ascii="Times New Roman" w:hAnsi="Times New Roman"/>
          <w:szCs w:val="24"/>
          <w:lang w:val="bs-Latn-BA"/>
        </w:rPr>
        <w:t>у</w:t>
      </w:r>
      <w:r w:rsidR="00794114">
        <w:rPr>
          <w:rFonts w:ascii="Times New Roman" w:hAnsi="Times New Roman"/>
          <w:szCs w:val="24"/>
          <w:lang w:val="bs-Latn-BA"/>
        </w:rPr>
        <w:t xml:space="preserve"> </w:t>
      </w:r>
      <w:r>
        <w:rPr>
          <w:rFonts w:ascii="Times New Roman" w:hAnsi="Times New Roman"/>
          <w:szCs w:val="24"/>
          <w:lang w:val="bs-Latn-BA"/>
        </w:rPr>
        <w:t>складу</w:t>
      </w:r>
      <w:r w:rsidR="00794114">
        <w:rPr>
          <w:rFonts w:ascii="Times New Roman" w:hAnsi="Times New Roman"/>
          <w:szCs w:val="24"/>
          <w:lang w:val="bs-Latn-BA"/>
        </w:rPr>
        <w:t xml:space="preserve"> </w:t>
      </w:r>
      <w:r>
        <w:rPr>
          <w:rFonts w:ascii="Times New Roman" w:hAnsi="Times New Roman"/>
          <w:szCs w:val="24"/>
          <w:lang w:val="bs-Latn-BA"/>
        </w:rPr>
        <w:t>са</w:t>
      </w:r>
      <w:r w:rsidR="00653655" w:rsidRPr="00295637">
        <w:rPr>
          <w:rFonts w:ascii="Times New Roman" w:hAnsi="Times New Roman"/>
          <w:szCs w:val="24"/>
          <w:lang w:val="bs-Latn-BA"/>
        </w:rPr>
        <w:t xml:space="preserve"> </w:t>
      </w:r>
      <w:r>
        <w:rPr>
          <w:rFonts w:ascii="Times New Roman" w:hAnsi="Times New Roman"/>
          <w:szCs w:val="24"/>
          <w:lang w:val="bs-Latn-BA"/>
        </w:rPr>
        <w:t>овом</w:t>
      </w:r>
      <w:r w:rsidR="00653655" w:rsidRPr="00295637">
        <w:rPr>
          <w:rFonts w:ascii="Times New Roman" w:hAnsi="Times New Roman"/>
          <w:szCs w:val="24"/>
          <w:lang w:val="bs-Latn-BA"/>
        </w:rPr>
        <w:t xml:space="preserve"> </w:t>
      </w:r>
      <w:r w:rsidR="0077778E">
        <w:rPr>
          <w:rFonts w:ascii="Times New Roman" w:hAnsi="Times New Roman"/>
          <w:szCs w:val="24"/>
          <w:lang w:val="bs-Latn-BA"/>
        </w:rPr>
        <w:t>мјер</w:t>
      </w:r>
      <w:r>
        <w:rPr>
          <w:rFonts w:ascii="Times New Roman" w:hAnsi="Times New Roman"/>
          <w:szCs w:val="24"/>
          <w:lang w:val="bs-Latn-BA"/>
        </w:rPr>
        <w:t>ом</w:t>
      </w:r>
      <w:r w:rsidR="00AA13E0" w:rsidRPr="00295637">
        <w:rPr>
          <w:rFonts w:ascii="Times New Roman" w:hAnsi="Times New Roman"/>
          <w:szCs w:val="24"/>
          <w:lang w:val="bs-Latn-BA"/>
        </w:rPr>
        <w:t>,</w:t>
      </w:r>
      <w:r w:rsidR="00653655" w:rsidRPr="00295637">
        <w:rPr>
          <w:rFonts w:ascii="Times New Roman" w:hAnsi="Times New Roman"/>
          <w:szCs w:val="24"/>
          <w:lang w:val="bs-Latn-BA"/>
        </w:rPr>
        <w:t xml:space="preserve"> </w:t>
      </w:r>
      <w:r>
        <w:rPr>
          <w:rFonts w:ascii="Times New Roman" w:hAnsi="Times New Roman"/>
          <w:szCs w:val="24"/>
          <w:lang w:val="bs-Latn-BA"/>
        </w:rPr>
        <w:t>представници</w:t>
      </w:r>
      <w:r w:rsidR="00653655" w:rsidRPr="00295637">
        <w:rPr>
          <w:rFonts w:ascii="Times New Roman" w:hAnsi="Times New Roman"/>
          <w:szCs w:val="24"/>
          <w:lang w:val="bs-Latn-BA"/>
        </w:rPr>
        <w:t xml:space="preserve"> </w:t>
      </w:r>
      <w:r>
        <w:rPr>
          <w:rFonts w:ascii="Times New Roman" w:hAnsi="Times New Roman"/>
          <w:szCs w:val="24"/>
          <w:lang w:val="bs-Latn-BA"/>
        </w:rPr>
        <w:t>АР</w:t>
      </w:r>
      <w:r w:rsidR="0077778E">
        <w:rPr>
          <w:rFonts w:ascii="Times New Roman" w:hAnsi="Times New Roman"/>
          <w:szCs w:val="24"/>
          <w:lang w:val="sr-Cyrl-BA"/>
        </w:rPr>
        <w:t>П</w:t>
      </w:r>
      <w:r w:rsidR="00737ABD">
        <w:rPr>
          <w:rFonts w:ascii="Times New Roman" w:hAnsi="Times New Roman"/>
          <w:szCs w:val="24"/>
          <w:lang w:val="bs-Latn-BA"/>
        </w:rPr>
        <w:t xml:space="preserve"> </w:t>
      </w:r>
      <w:r>
        <w:rPr>
          <w:rFonts w:ascii="Times New Roman" w:hAnsi="Times New Roman"/>
          <w:szCs w:val="24"/>
          <w:lang w:val="bs-Latn-BA"/>
        </w:rPr>
        <w:t>БиХ</w:t>
      </w:r>
      <w:r w:rsidR="00737ABD">
        <w:rPr>
          <w:rFonts w:ascii="Times New Roman" w:hAnsi="Times New Roman"/>
          <w:szCs w:val="24"/>
          <w:lang w:val="bs-Latn-BA"/>
        </w:rPr>
        <w:t xml:space="preserve"> </w:t>
      </w:r>
      <w:r>
        <w:rPr>
          <w:rFonts w:ascii="Times New Roman" w:hAnsi="Times New Roman"/>
          <w:szCs w:val="24"/>
          <w:lang w:val="bs-Latn-BA"/>
        </w:rPr>
        <w:t>МЉПИ</w:t>
      </w:r>
      <w:r w:rsidR="00737ABD">
        <w:rPr>
          <w:rFonts w:ascii="Times New Roman" w:hAnsi="Times New Roman"/>
          <w:szCs w:val="24"/>
          <w:lang w:val="bs-Latn-BA"/>
        </w:rPr>
        <w:t xml:space="preserve"> </w:t>
      </w:r>
      <w:r>
        <w:rPr>
          <w:rFonts w:ascii="Times New Roman" w:hAnsi="Times New Roman"/>
          <w:szCs w:val="24"/>
          <w:lang w:val="bs-Latn-BA"/>
        </w:rPr>
        <w:t>БиХ</w:t>
      </w:r>
      <w:r w:rsidR="00497D90" w:rsidRPr="00295637">
        <w:rPr>
          <w:rFonts w:ascii="Times New Roman" w:hAnsi="Times New Roman"/>
          <w:szCs w:val="24"/>
          <w:lang w:val="bs-Latn-BA"/>
        </w:rPr>
        <w:t xml:space="preserve"> </w:t>
      </w:r>
      <w:r>
        <w:rPr>
          <w:rFonts w:ascii="Times New Roman" w:hAnsi="Times New Roman"/>
          <w:szCs w:val="24"/>
          <w:lang w:val="bs-Latn-BA"/>
        </w:rPr>
        <w:t>су</w:t>
      </w:r>
      <w:r w:rsidR="00497D90" w:rsidRPr="00295637">
        <w:rPr>
          <w:rFonts w:ascii="Times New Roman" w:hAnsi="Times New Roman"/>
          <w:szCs w:val="24"/>
          <w:lang w:val="bs-Latn-BA"/>
        </w:rPr>
        <w:t xml:space="preserve"> </w:t>
      </w:r>
      <w:r>
        <w:rPr>
          <w:rFonts w:ascii="Times New Roman" w:hAnsi="Times New Roman"/>
          <w:szCs w:val="24"/>
          <w:lang w:val="bs-Latn-BA"/>
        </w:rPr>
        <w:t>укључени</w:t>
      </w:r>
      <w:r w:rsidR="00737ABD">
        <w:rPr>
          <w:rFonts w:ascii="Times New Roman" w:hAnsi="Times New Roman"/>
          <w:szCs w:val="24"/>
          <w:lang w:val="bs-Latn-BA"/>
        </w:rPr>
        <w:t xml:space="preserve"> </w:t>
      </w:r>
      <w:r>
        <w:rPr>
          <w:rFonts w:ascii="Times New Roman" w:hAnsi="Times New Roman"/>
          <w:szCs w:val="24"/>
          <w:lang w:val="bs-Latn-BA"/>
        </w:rPr>
        <w:t>у</w:t>
      </w:r>
      <w:r w:rsidR="00737ABD">
        <w:rPr>
          <w:rFonts w:ascii="Times New Roman" w:hAnsi="Times New Roman"/>
          <w:szCs w:val="24"/>
          <w:lang w:val="bs-Latn-BA"/>
        </w:rPr>
        <w:t xml:space="preserve"> </w:t>
      </w:r>
      <w:r>
        <w:rPr>
          <w:rFonts w:ascii="Times New Roman" w:hAnsi="Times New Roman"/>
          <w:szCs w:val="24"/>
          <w:lang w:val="bs-Latn-BA"/>
        </w:rPr>
        <w:t>рад</w:t>
      </w:r>
      <w:r w:rsidR="00737ABD">
        <w:rPr>
          <w:rFonts w:ascii="Times New Roman" w:hAnsi="Times New Roman"/>
          <w:szCs w:val="24"/>
          <w:lang w:val="bs-Latn-BA"/>
        </w:rPr>
        <w:t xml:space="preserve"> </w:t>
      </w:r>
      <w:r>
        <w:rPr>
          <w:rFonts w:ascii="Times New Roman" w:hAnsi="Times New Roman"/>
          <w:szCs w:val="24"/>
          <w:lang w:val="bs-Latn-BA"/>
        </w:rPr>
        <w:t>радне</w:t>
      </w:r>
      <w:r w:rsidR="00653655" w:rsidRPr="00295637">
        <w:rPr>
          <w:rFonts w:ascii="Times New Roman" w:hAnsi="Times New Roman"/>
          <w:szCs w:val="24"/>
          <w:lang w:val="bs-Latn-BA"/>
        </w:rPr>
        <w:t xml:space="preserve"> </w:t>
      </w:r>
      <w:r>
        <w:rPr>
          <w:rFonts w:ascii="Times New Roman" w:hAnsi="Times New Roman"/>
          <w:szCs w:val="24"/>
          <w:lang w:val="bs-Latn-BA"/>
        </w:rPr>
        <w:t>групе</w:t>
      </w:r>
      <w:r w:rsidR="00653655" w:rsidRPr="00295637">
        <w:rPr>
          <w:rFonts w:ascii="Times New Roman" w:hAnsi="Times New Roman"/>
          <w:szCs w:val="24"/>
          <w:lang w:val="bs-Latn-BA"/>
        </w:rPr>
        <w:t xml:space="preserve"> </w:t>
      </w:r>
      <w:r>
        <w:rPr>
          <w:rFonts w:ascii="Times New Roman" w:hAnsi="Times New Roman"/>
          <w:szCs w:val="24"/>
          <w:lang w:val="bs-Latn-BA"/>
        </w:rPr>
        <w:t>за</w:t>
      </w:r>
      <w:r w:rsidR="00653655" w:rsidRPr="00295637">
        <w:rPr>
          <w:rFonts w:ascii="Times New Roman" w:hAnsi="Times New Roman"/>
          <w:szCs w:val="24"/>
          <w:lang w:val="bs-Latn-BA"/>
        </w:rPr>
        <w:t xml:space="preserve"> </w:t>
      </w:r>
      <w:r>
        <w:rPr>
          <w:rFonts w:ascii="Times New Roman" w:hAnsi="Times New Roman"/>
          <w:szCs w:val="24"/>
          <w:lang w:val="bs-Latn-BA"/>
        </w:rPr>
        <w:t>израду</w:t>
      </w:r>
      <w:r w:rsidR="00653655" w:rsidRPr="00295637">
        <w:rPr>
          <w:rFonts w:ascii="Times New Roman" w:hAnsi="Times New Roman"/>
          <w:szCs w:val="24"/>
          <w:lang w:val="bs-Latn-BA"/>
        </w:rPr>
        <w:t xml:space="preserve"> </w:t>
      </w:r>
      <w:r>
        <w:rPr>
          <w:rFonts w:ascii="Times New Roman" w:hAnsi="Times New Roman"/>
          <w:szCs w:val="24"/>
          <w:lang w:val="bs-Latn-BA"/>
        </w:rPr>
        <w:t>наведеног</w:t>
      </w:r>
      <w:r w:rsidR="00653655" w:rsidRPr="00295637">
        <w:rPr>
          <w:rFonts w:ascii="Times New Roman" w:hAnsi="Times New Roman"/>
          <w:szCs w:val="24"/>
          <w:lang w:val="bs-Latn-BA"/>
        </w:rPr>
        <w:t xml:space="preserve"> </w:t>
      </w:r>
      <w:r>
        <w:rPr>
          <w:rFonts w:ascii="Times New Roman" w:hAnsi="Times New Roman"/>
          <w:szCs w:val="24"/>
          <w:lang w:val="bs-Latn-BA"/>
        </w:rPr>
        <w:t>стратешког</w:t>
      </w:r>
      <w:r w:rsidR="001D79A9">
        <w:rPr>
          <w:rFonts w:ascii="Times New Roman" w:hAnsi="Times New Roman"/>
          <w:szCs w:val="24"/>
          <w:lang w:val="bs-Latn-BA"/>
        </w:rPr>
        <w:t xml:space="preserve"> </w:t>
      </w:r>
      <w:r>
        <w:rPr>
          <w:rFonts w:ascii="Times New Roman" w:hAnsi="Times New Roman"/>
          <w:szCs w:val="24"/>
          <w:lang w:val="bs-Latn-BA"/>
        </w:rPr>
        <w:t>документа</w:t>
      </w:r>
      <w:r w:rsidR="001D79A9">
        <w:rPr>
          <w:rFonts w:ascii="Times New Roman" w:hAnsi="Times New Roman"/>
          <w:szCs w:val="24"/>
          <w:lang w:val="bs-Latn-BA"/>
        </w:rPr>
        <w:t xml:space="preserve"> </w:t>
      </w:r>
      <w:r w:rsidR="0077778E">
        <w:rPr>
          <w:rFonts w:ascii="Times New Roman" w:hAnsi="Times New Roman"/>
          <w:szCs w:val="24"/>
          <w:lang w:val="sr-Cyrl-BA"/>
        </w:rPr>
        <w:t>с</w:t>
      </w:r>
      <w:r w:rsidR="001D79A9">
        <w:rPr>
          <w:rFonts w:ascii="Times New Roman" w:hAnsi="Times New Roman"/>
          <w:szCs w:val="24"/>
          <w:lang w:val="bs-Latn-BA"/>
        </w:rPr>
        <w:t xml:space="preserve"> </w:t>
      </w:r>
      <w:r>
        <w:rPr>
          <w:rFonts w:ascii="Times New Roman" w:hAnsi="Times New Roman"/>
          <w:szCs w:val="24"/>
          <w:lang w:val="bs-Latn-BA"/>
        </w:rPr>
        <w:t>циљ</w:t>
      </w:r>
      <w:r w:rsidR="0077778E">
        <w:rPr>
          <w:rFonts w:ascii="Times New Roman" w:hAnsi="Times New Roman"/>
          <w:szCs w:val="24"/>
          <w:lang w:val="sr-Cyrl-BA"/>
        </w:rPr>
        <w:t>ем</w:t>
      </w:r>
      <w:r w:rsidR="001D79A9">
        <w:rPr>
          <w:rFonts w:ascii="Times New Roman" w:hAnsi="Times New Roman"/>
          <w:szCs w:val="24"/>
          <w:lang w:val="bs-Latn-BA"/>
        </w:rPr>
        <w:t xml:space="preserve"> </w:t>
      </w:r>
      <w:r>
        <w:rPr>
          <w:rFonts w:ascii="Times New Roman" w:hAnsi="Times New Roman"/>
          <w:szCs w:val="24"/>
          <w:lang w:val="bs-Latn-BA"/>
        </w:rPr>
        <w:t>стручне</w:t>
      </w:r>
      <w:r w:rsidR="001D79A9">
        <w:rPr>
          <w:rFonts w:ascii="Times New Roman" w:hAnsi="Times New Roman"/>
          <w:szCs w:val="24"/>
          <w:lang w:val="bs-Latn-BA"/>
        </w:rPr>
        <w:t xml:space="preserve"> </w:t>
      </w:r>
      <w:r>
        <w:rPr>
          <w:rFonts w:ascii="Times New Roman" w:hAnsi="Times New Roman"/>
          <w:szCs w:val="24"/>
          <w:lang w:val="bs-Latn-BA"/>
        </w:rPr>
        <w:t>помоћи</w:t>
      </w:r>
      <w:r w:rsidR="001D79A9">
        <w:rPr>
          <w:rFonts w:ascii="Times New Roman" w:hAnsi="Times New Roman"/>
          <w:szCs w:val="24"/>
          <w:lang w:val="bs-Latn-BA"/>
        </w:rPr>
        <w:t xml:space="preserve"> </w:t>
      </w:r>
      <w:r>
        <w:rPr>
          <w:rFonts w:ascii="Times New Roman" w:hAnsi="Times New Roman"/>
          <w:szCs w:val="24"/>
          <w:lang w:val="bs-Latn-BA"/>
        </w:rPr>
        <w:t>укључивању</w:t>
      </w:r>
      <w:r w:rsidR="001D79A9">
        <w:rPr>
          <w:rFonts w:ascii="Times New Roman" w:hAnsi="Times New Roman"/>
          <w:szCs w:val="24"/>
          <w:lang w:val="bs-Latn-BA"/>
        </w:rPr>
        <w:t xml:space="preserve"> </w:t>
      </w:r>
      <w:r>
        <w:rPr>
          <w:rFonts w:ascii="Times New Roman" w:hAnsi="Times New Roman"/>
          <w:szCs w:val="24"/>
          <w:lang w:val="bs-Latn-BA"/>
        </w:rPr>
        <w:t>принципа</w:t>
      </w:r>
      <w:r w:rsidR="001D79A9">
        <w:rPr>
          <w:rFonts w:ascii="Times New Roman" w:hAnsi="Times New Roman"/>
          <w:szCs w:val="24"/>
          <w:lang w:val="bs-Latn-BA"/>
        </w:rPr>
        <w:t xml:space="preserve"> </w:t>
      </w:r>
      <w:r>
        <w:rPr>
          <w:rFonts w:ascii="Times New Roman" w:hAnsi="Times New Roman"/>
          <w:szCs w:val="24"/>
          <w:lang w:val="bs-Latn-BA"/>
        </w:rPr>
        <w:t>равноправности</w:t>
      </w:r>
      <w:r w:rsidR="001D79A9">
        <w:rPr>
          <w:rFonts w:ascii="Times New Roman" w:hAnsi="Times New Roman"/>
          <w:szCs w:val="24"/>
          <w:lang w:val="bs-Latn-BA"/>
        </w:rPr>
        <w:t xml:space="preserve"> </w:t>
      </w:r>
      <w:r>
        <w:rPr>
          <w:rFonts w:ascii="Times New Roman" w:hAnsi="Times New Roman"/>
          <w:szCs w:val="24"/>
          <w:lang w:val="bs-Latn-BA"/>
        </w:rPr>
        <w:t>полова</w:t>
      </w:r>
      <w:r w:rsidR="001D79A9" w:rsidRPr="00295637">
        <w:rPr>
          <w:rFonts w:ascii="Times New Roman" w:hAnsi="Times New Roman"/>
          <w:szCs w:val="24"/>
          <w:lang w:val="bs-Latn-BA"/>
        </w:rPr>
        <w:t xml:space="preserve">. </w:t>
      </w:r>
    </w:p>
    <w:p w:rsidR="008C68B1" w:rsidRPr="00295637" w:rsidRDefault="008C68B1" w:rsidP="0086268D">
      <w:pPr>
        <w:tabs>
          <w:tab w:val="left" w:pos="284"/>
          <w:tab w:val="left" w:pos="630"/>
          <w:tab w:val="left" w:pos="1080"/>
        </w:tabs>
        <w:jc w:val="both"/>
        <w:rPr>
          <w:rFonts w:ascii="Times New Roman" w:hAnsi="Times New Roman"/>
          <w:szCs w:val="24"/>
          <w:lang w:val="bs-Latn-BA"/>
        </w:rPr>
      </w:pPr>
    </w:p>
    <w:p w:rsidR="00895AB5" w:rsidRPr="00295637" w:rsidRDefault="00C6214E" w:rsidP="0086268D">
      <w:pPr>
        <w:pStyle w:val="NormalWeb"/>
        <w:spacing w:before="0" w:beforeAutospacing="0" w:after="0" w:afterAutospacing="0"/>
        <w:jc w:val="both"/>
        <w:rPr>
          <w:lang w:val="bs-Latn-BA"/>
        </w:rPr>
      </w:pPr>
      <w:r>
        <w:rPr>
          <w:lang w:val="bs-Latn-BA"/>
        </w:rPr>
        <w:t>ФМОИН</w:t>
      </w:r>
      <w:r w:rsidR="00822AD8" w:rsidRPr="00295637">
        <w:rPr>
          <w:lang w:val="bs-Latn-BA"/>
        </w:rPr>
        <w:t xml:space="preserve"> </w:t>
      </w:r>
      <w:r>
        <w:rPr>
          <w:lang w:val="bs-Latn-BA"/>
        </w:rPr>
        <w:t>у</w:t>
      </w:r>
      <w:r w:rsidR="00822AD8" w:rsidRPr="00295637">
        <w:rPr>
          <w:lang w:val="bs-Latn-BA"/>
        </w:rPr>
        <w:t xml:space="preserve"> </w:t>
      </w:r>
      <w:r>
        <w:rPr>
          <w:lang w:val="bs-Latn-BA"/>
        </w:rPr>
        <w:t>сарадњи</w:t>
      </w:r>
      <w:r w:rsidR="00822AD8" w:rsidRPr="00295637">
        <w:rPr>
          <w:lang w:val="bs-Latn-BA"/>
        </w:rPr>
        <w:t xml:space="preserve"> </w:t>
      </w:r>
      <w:r>
        <w:rPr>
          <w:lang w:val="bs-Latn-BA"/>
        </w:rPr>
        <w:t>са</w:t>
      </w:r>
      <w:r w:rsidR="00822AD8" w:rsidRPr="00295637">
        <w:rPr>
          <w:lang w:val="bs-Latn-BA"/>
        </w:rPr>
        <w:t xml:space="preserve"> </w:t>
      </w:r>
      <w:r>
        <w:rPr>
          <w:lang w:val="bs-Latn-BA"/>
        </w:rPr>
        <w:t>кантоналним</w:t>
      </w:r>
      <w:r w:rsidR="00822AD8" w:rsidRPr="00295637">
        <w:rPr>
          <w:lang w:val="bs-Latn-BA"/>
        </w:rPr>
        <w:t xml:space="preserve"> </w:t>
      </w:r>
      <w:r>
        <w:rPr>
          <w:lang w:val="bs-Latn-BA"/>
        </w:rPr>
        <w:t>министарствима</w:t>
      </w:r>
      <w:r w:rsidR="00822AD8" w:rsidRPr="00295637">
        <w:rPr>
          <w:lang w:val="bs-Latn-BA"/>
        </w:rPr>
        <w:t xml:space="preserve"> </w:t>
      </w:r>
      <w:r>
        <w:rPr>
          <w:lang w:val="bs-Latn-BA"/>
        </w:rPr>
        <w:t>образовања</w:t>
      </w:r>
      <w:r w:rsidR="00822AD8" w:rsidRPr="00295637">
        <w:rPr>
          <w:lang w:val="bs-Latn-BA"/>
        </w:rPr>
        <w:t xml:space="preserve">, </w:t>
      </w:r>
      <w:r>
        <w:rPr>
          <w:lang w:val="bs-Latn-BA"/>
        </w:rPr>
        <w:t>педагошким</w:t>
      </w:r>
      <w:r w:rsidR="00822AD8" w:rsidRPr="00295637">
        <w:rPr>
          <w:lang w:val="bs-Latn-BA"/>
        </w:rPr>
        <w:t xml:space="preserve"> </w:t>
      </w:r>
      <w:r>
        <w:rPr>
          <w:lang w:val="bs-Latn-BA"/>
        </w:rPr>
        <w:t>заводима</w:t>
      </w:r>
      <w:r w:rsidR="00822AD8" w:rsidRPr="00295637">
        <w:rPr>
          <w:lang w:val="bs-Latn-BA"/>
        </w:rPr>
        <w:t xml:space="preserve"> </w:t>
      </w:r>
      <w:r>
        <w:rPr>
          <w:lang w:val="bs-Latn-BA"/>
        </w:rPr>
        <w:t>и</w:t>
      </w:r>
      <w:r w:rsidR="00822AD8" w:rsidRPr="00295637">
        <w:rPr>
          <w:lang w:val="bs-Latn-BA"/>
        </w:rPr>
        <w:t xml:space="preserve"> </w:t>
      </w:r>
      <w:r w:rsidR="0077778E" w:rsidRPr="0077778E">
        <w:rPr>
          <w:i/>
          <w:lang w:val="bs-Latn-BA"/>
        </w:rPr>
        <w:t>UNFPA</w:t>
      </w:r>
      <w:r w:rsidR="00822AD8" w:rsidRPr="00295637">
        <w:rPr>
          <w:lang w:val="bs-Latn-BA"/>
        </w:rPr>
        <w:t xml:space="preserve">, </w:t>
      </w:r>
      <w:r>
        <w:rPr>
          <w:lang w:val="bs-Latn-BA"/>
        </w:rPr>
        <w:t>проводи</w:t>
      </w:r>
      <w:r w:rsidR="00822AD8" w:rsidRPr="00295637">
        <w:rPr>
          <w:lang w:val="bs-Latn-BA"/>
        </w:rPr>
        <w:t xml:space="preserve"> </w:t>
      </w:r>
      <w:r>
        <w:rPr>
          <w:lang w:val="bs-Latn-BA"/>
        </w:rPr>
        <w:t>активности</w:t>
      </w:r>
      <w:r w:rsidR="00822AD8" w:rsidRPr="00295637">
        <w:rPr>
          <w:lang w:val="bs-Latn-BA"/>
        </w:rPr>
        <w:t xml:space="preserve"> </w:t>
      </w:r>
      <w:r w:rsidR="0077778E">
        <w:rPr>
          <w:lang w:val="sr-Cyrl-BA"/>
        </w:rPr>
        <w:t>с</w:t>
      </w:r>
      <w:r w:rsidR="00822AD8" w:rsidRPr="00295637">
        <w:rPr>
          <w:lang w:val="bs-Latn-BA"/>
        </w:rPr>
        <w:t xml:space="preserve"> </w:t>
      </w:r>
      <w:r>
        <w:rPr>
          <w:lang w:val="bs-Latn-BA"/>
        </w:rPr>
        <w:t>циљ</w:t>
      </w:r>
      <w:r w:rsidR="0077778E">
        <w:rPr>
          <w:lang w:val="sr-Cyrl-BA"/>
        </w:rPr>
        <w:t>ем</w:t>
      </w:r>
      <w:r w:rsidR="00822AD8" w:rsidRPr="00295637">
        <w:rPr>
          <w:lang w:val="bs-Latn-BA"/>
        </w:rPr>
        <w:t xml:space="preserve"> </w:t>
      </w:r>
      <w:r>
        <w:rPr>
          <w:lang w:val="bs-Latn-BA"/>
        </w:rPr>
        <w:t>унапређења</w:t>
      </w:r>
      <w:r w:rsidR="00822AD8" w:rsidRPr="00295637">
        <w:rPr>
          <w:lang w:val="bs-Latn-BA"/>
        </w:rPr>
        <w:t xml:space="preserve"> </w:t>
      </w:r>
      <w:r>
        <w:rPr>
          <w:lang w:val="bs-Latn-BA"/>
        </w:rPr>
        <w:t>образовања</w:t>
      </w:r>
      <w:r w:rsidR="00822AD8" w:rsidRPr="00295637">
        <w:rPr>
          <w:lang w:val="bs-Latn-BA"/>
        </w:rPr>
        <w:t xml:space="preserve"> </w:t>
      </w:r>
      <w:r>
        <w:rPr>
          <w:lang w:val="bs-Latn-BA"/>
        </w:rPr>
        <w:t>и</w:t>
      </w:r>
      <w:r w:rsidR="00822AD8" w:rsidRPr="00295637">
        <w:rPr>
          <w:lang w:val="bs-Latn-BA"/>
        </w:rPr>
        <w:t xml:space="preserve"> </w:t>
      </w:r>
      <w:r>
        <w:rPr>
          <w:lang w:val="bs-Latn-BA"/>
        </w:rPr>
        <w:t>подршке</w:t>
      </w:r>
      <w:r w:rsidR="00822AD8" w:rsidRPr="00295637">
        <w:rPr>
          <w:lang w:val="bs-Latn-BA"/>
        </w:rPr>
        <w:t xml:space="preserve"> </w:t>
      </w:r>
      <w:r>
        <w:rPr>
          <w:lang w:val="bs-Latn-BA"/>
        </w:rPr>
        <w:t>научно</w:t>
      </w:r>
      <w:r w:rsidR="00822AD8" w:rsidRPr="00295637">
        <w:rPr>
          <w:lang w:val="bs-Latn-BA"/>
        </w:rPr>
        <w:t>-</w:t>
      </w:r>
      <w:r>
        <w:rPr>
          <w:lang w:val="bs-Latn-BA"/>
        </w:rPr>
        <w:t>истраживачким</w:t>
      </w:r>
      <w:r w:rsidR="00895AB5" w:rsidRPr="00295637">
        <w:rPr>
          <w:lang w:val="bs-Latn-BA"/>
        </w:rPr>
        <w:t xml:space="preserve"> </w:t>
      </w:r>
      <w:r>
        <w:rPr>
          <w:lang w:val="bs-Latn-BA"/>
        </w:rPr>
        <w:t>пројектима</w:t>
      </w:r>
      <w:r w:rsidR="00895AB5" w:rsidRPr="00295637">
        <w:rPr>
          <w:lang w:val="bs-Latn-BA"/>
        </w:rPr>
        <w:t xml:space="preserve"> </w:t>
      </w:r>
      <w:r>
        <w:rPr>
          <w:lang w:val="bs-Latn-BA"/>
        </w:rPr>
        <w:t>у</w:t>
      </w:r>
      <w:r w:rsidR="00895AB5" w:rsidRPr="00295637">
        <w:rPr>
          <w:lang w:val="bs-Latn-BA"/>
        </w:rPr>
        <w:t xml:space="preserve"> </w:t>
      </w:r>
      <w:r>
        <w:rPr>
          <w:lang w:val="bs-Latn-BA"/>
        </w:rPr>
        <w:t>ФБиХ</w:t>
      </w:r>
      <w:r w:rsidR="00895AB5" w:rsidRPr="00295637">
        <w:rPr>
          <w:lang w:val="bs-Latn-BA"/>
        </w:rPr>
        <w:t xml:space="preserve">. </w:t>
      </w:r>
      <w:r>
        <w:rPr>
          <w:lang w:val="bs-Latn-BA"/>
        </w:rPr>
        <w:t>У</w:t>
      </w:r>
      <w:r w:rsidR="00822AD8" w:rsidRPr="00295637">
        <w:rPr>
          <w:lang w:val="bs-Latn-BA"/>
        </w:rPr>
        <w:t xml:space="preserve"> 2024. </w:t>
      </w:r>
      <w:r>
        <w:rPr>
          <w:lang w:val="bs-Latn-BA"/>
        </w:rPr>
        <w:t>години</w:t>
      </w:r>
      <w:r w:rsidR="00822AD8" w:rsidRPr="00295637">
        <w:rPr>
          <w:lang w:val="bs-Latn-BA"/>
        </w:rPr>
        <w:t xml:space="preserve">, </w:t>
      </w:r>
      <w:r>
        <w:rPr>
          <w:lang w:val="bs-Latn-BA"/>
        </w:rPr>
        <w:t>свеобухватно</w:t>
      </w:r>
      <w:r w:rsidR="00822AD8" w:rsidRPr="00295637">
        <w:rPr>
          <w:lang w:val="bs-Latn-BA"/>
        </w:rPr>
        <w:t xml:space="preserve"> </w:t>
      </w:r>
      <w:r>
        <w:rPr>
          <w:lang w:val="bs-Latn-BA"/>
        </w:rPr>
        <w:t>образовање</w:t>
      </w:r>
      <w:r w:rsidR="00822AD8" w:rsidRPr="00295637">
        <w:rPr>
          <w:lang w:val="bs-Latn-BA"/>
        </w:rPr>
        <w:t xml:space="preserve"> </w:t>
      </w:r>
      <w:r>
        <w:rPr>
          <w:lang w:val="bs-Latn-BA"/>
        </w:rPr>
        <w:t>о</w:t>
      </w:r>
      <w:r w:rsidR="00822AD8" w:rsidRPr="00295637">
        <w:rPr>
          <w:lang w:val="bs-Latn-BA"/>
        </w:rPr>
        <w:t xml:space="preserve"> </w:t>
      </w:r>
      <w:r>
        <w:rPr>
          <w:lang w:val="bs-Latn-BA"/>
        </w:rPr>
        <w:t>здрављу</w:t>
      </w:r>
      <w:r w:rsidR="00822AD8" w:rsidRPr="00295637">
        <w:rPr>
          <w:lang w:val="bs-Latn-BA"/>
        </w:rPr>
        <w:t xml:space="preserve"> </w:t>
      </w:r>
      <w:r>
        <w:rPr>
          <w:lang w:val="bs-Latn-BA"/>
        </w:rPr>
        <w:t>младих</w:t>
      </w:r>
      <w:r w:rsidR="00822AD8" w:rsidRPr="00295637">
        <w:rPr>
          <w:lang w:val="bs-Latn-BA"/>
        </w:rPr>
        <w:t xml:space="preserve"> </w:t>
      </w:r>
      <w:r>
        <w:rPr>
          <w:lang w:val="bs-Latn-BA"/>
        </w:rPr>
        <w:t>и</w:t>
      </w:r>
      <w:r w:rsidR="00822AD8" w:rsidRPr="00295637">
        <w:rPr>
          <w:lang w:val="bs-Latn-BA"/>
        </w:rPr>
        <w:t xml:space="preserve"> </w:t>
      </w:r>
      <w:r>
        <w:rPr>
          <w:lang w:val="bs-Latn-BA"/>
        </w:rPr>
        <w:t>здравим</w:t>
      </w:r>
      <w:r w:rsidR="00822AD8" w:rsidRPr="00295637">
        <w:rPr>
          <w:lang w:val="bs-Latn-BA"/>
        </w:rPr>
        <w:t xml:space="preserve"> </w:t>
      </w:r>
      <w:r>
        <w:rPr>
          <w:lang w:val="bs-Latn-BA"/>
        </w:rPr>
        <w:t>животним</w:t>
      </w:r>
      <w:r w:rsidR="00822AD8" w:rsidRPr="00295637">
        <w:rPr>
          <w:lang w:val="bs-Latn-BA"/>
        </w:rPr>
        <w:t xml:space="preserve"> </w:t>
      </w:r>
      <w:r>
        <w:rPr>
          <w:lang w:val="bs-Latn-BA"/>
        </w:rPr>
        <w:t>стиловима</w:t>
      </w:r>
      <w:r w:rsidR="00822AD8" w:rsidRPr="00295637">
        <w:rPr>
          <w:lang w:val="bs-Latn-BA"/>
        </w:rPr>
        <w:t xml:space="preserve"> </w:t>
      </w:r>
      <w:r>
        <w:rPr>
          <w:lang w:val="bs-Latn-BA"/>
        </w:rPr>
        <w:t>уведено</w:t>
      </w:r>
      <w:r w:rsidR="00822AD8" w:rsidRPr="00295637">
        <w:rPr>
          <w:lang w:val="bs-Latn-BA"/>
        </w:rPr>
        <w:t xml:space="preserve"> </w:t>
      </w:r>
      <w:r>
        <w:rPr>
          <w:lang w:val="bs-Latn-BA"/>
        </w:rPr>
        <w:t>је</w:t>
      </w:r>
      <w:r w:rsidR="00822AD8" w:rsidRPr="00295637">
        <w:rPr>
          <w:lang w:val="bs-Latn-BA"/>
        </w:rPr>
        <w:t xml:space="preserve"> </w:t>
      </w:r>
      <w:r>
        <w:rPr>
          <w:lang w:val="bs-Latn-BA"/>
        </w:rPr>
        <w:t>у</w:t>
      </w:r>
      <w:r w:rsidR="00822AD8" w:rsidRPr="00295637">
        <w:rPr>
          <w:lang w:val="bs-Latn-BA"/>
        </w:rPr>
        <w:t xml:space="preserve"> </w:t>
      </w:r>
      <w:r>
        <w:rPr>
          <w:lang w:val="bs-Latn-BA"/>
        </w:rPr>
        <w:t>часове</w:t>
      </w:r>
      <w:r w:rsidR="00822AD8" w:rsidRPr="00295637">
        <w:rPr>
          <w:lang w:val="bs-Latn-BA"/>
        </w:rPr>
        <w:t xml:space="preserve"> </w:t>
      </w:r>
      <w:r>
        <w:rPr>
          <w:lang w:val="bs-Latn-BA"/>
        </w:rPr>
        <w:t>одјељенске</w:t>
      </w:r>
      <w:r w:rsidR="00822AD8" w:rsidRPr="00295637">
        <w:rPr>
          <w:lang w:val="bs-Latn-BA"/>
        </w:rPr>
        <w:t xml:space="preserve"> </w:t>
      </w:r>
      <w:r>
        <w:rPr>
          <w:lang w:val="bs-Latn-BA"/>
        </w:rPr>
        <w:t>заједнице</w:t>
      </w:r>
      <w:r w:rsidR="00822AD8" w:rsidRPr="00295637">
        <w:rPr>
          <w:lang w:val="bs-Latn-BA"/>
        </w:rPr>
        <w:t xml:space="preserve"> </w:t>
      </w:r>
      <w:r>
        <w:rPr>
          <w:lang w:val="bs-Latn-BA"/>
        </w:rPr>
        <w:t>у</w:t>
      </w:r>
      <w:r w:rsidR="00822AD8" w:rsidRPr="00295637">
        <w:rPr>
          <w:lang w:val="bs-Latn-BA"/>
        </w:rPr>
        <w:t xml:space="preserve"> </w:t>
      </w:r>
      <w:r>
        <w:rPr>
          <w:rStyle w:val="Strong"/>
          <w:b w:val="0"/>
          <w:lang w:val="bs-Latn-BA"/>
        </w:rPr>
        <w:t>пет</w:t>
      </w:r>
      <w:r w:rsidR="00822AD8" w:rsidRPr="00295637">
        <w:rPr>
          <w:rStyle w:val="Strong"/>
          <w:b w:val="0"/>
          <w:lang w:val="bs-Latn-BA"/>
        </w:rPr>
        <w:t xml:space="preserve"> </w:t>
      </w:r>
      <w:r>
        <w:rPr>
          <w:rStyle w:val="Strong"/>
          <w:b w:val="0"/>
          <w:lang w:val="bs-Latn-BA"/>
        </w:rPr>
        <w:t>кантона</w:t>
      </w:r>
      <w:r w:rsidR="00822AD8" w:rsidRPr="00295637">
        <w:rPr>
          <w:rStyle w:val="Strong"/>
          <w:b w:val="0"/>
          <w:lang w:val="bs-Latn-BA"/>
        </w:rPr>
        <w:t xml:space="preserve"> </w:t>
      </w:r>
      <w:r>
        <w:rPr>
          <w:rStyle w:val="Strong"/>
          <w:b w:val="0"/>
          <w:lang w:val="bs-Latn-BA"/>
        </w:rPr>
        <w:t>у</w:t>
      </w:r>
      <w:r w:rsidR="00822AD8" w:rsidRPr="00295637">
        <w:rPr>
          <w:rStyle w:val="Strong"/>
          <w:b w:val="0"/>
          <w:lang w:val="bs-Latn-BA"/>
        </w:rPr>
        <w:t xml:space="preserve"> </w:t>
      </w:r>
      <w:r>
        <w:rPr>
          <w:rStyle w:val="Strong"/>
          <w:b w:val="0"/>
          <w:lang w:val="bs-Latn-BA"/>
        </w:rPr>
        <w:t>ФБиХ</w:t>
      </w:r>
      <w:r w:rsidR="00822AD8" w:rsidRPr="00295637">
        <w:rPr>
          <w:lang w:val="bs-Latn-BA"/>
        </w:rPr>
        <w:t xml:space="preserve">. </w:t>
      </w:r>
      <w:r>
        <w:rPr>
          <w:lang w:val="bs-Latn-BA"/>
        </w:rPr>
        <w:t>Израђена</w:t>
      </w:r>
      <w:r w:rsidR="00822AD8" w:rsidRPr="00295637">
        <w:rPr>
          <w:lang w:val="bs-Latn-BA"/>
        </w:rPr>
        <w:t xml:space="preserve"> </w:t>
      </w:r>
      <w:r>
        <w:rPr>
          <w:lang w:val="bs-Latn-BA"/>
        </w:rPr>
        <w:t>су</w:t>
      </w:r>
      <w:r w:rsidR="00822AD8" w:rsidRPr="00295637">
        <w:rPr>
          <w:lang w:val="bs-Latn-BA"/>
        </w:rPr>
        <w:t xml:space="preserve"> </w:t>
      </w:r>
      <w:r>
        <w:rPr>
          <w:lang w:val="bs-Latn-BA"/>
        </w:rPr>
        <w:t>и</w:t>
      </w:r>
      <w:r w:rsidR="00822AD8" w:rsidRPr="00295637">
        <w:rPr>
          <w:lang w:val="bs-Latn-BA"/>
        </w:rPr>
        <w:t xml:space="preserve"> </w:t>
      </w:r>
      <w:r>
        <w:rPr>
          <w:lang w:val="bs-Latn-BA"/>
        </w:rPr>
        <w:t>публи</w:t>
      </w:r>
      <w:r w:rsidR="0077778E">
        <w:rPr>
          <w:lang w:val="sr-Cyrl-BA"/>
        </w:rPr>
        <w:t>кована</w:t>
      </w:r>
      <w:r w:rsidR="00822AD8" w:rsidRPr="00295637">
        <w:rPr>
          <w:lang w:val="bs-Latn-BA"/>
        </w:rPr>
        <w:t xml:space="preserve"> </w:t>
      </w:r>
      <w:r>
        <w:rPr>
          <w:rStyle w:val="Strong"/>
          <w:b w:val="0"/>
          <w:lang w:val="bs-Latn-BA"/>
        </w:rPr>
        <w:t>два</w:t>
      </w:r>
      <w:r w:rsidR="00822AD8" w:rsidRPr="00295637">
        <w:rPr>
          <w:rStyle w:val="Strong"/>
          <w:b w:val="0"/>
          <w:lang w:val="bs-Latn-BA"/>
        </w:rPr>
        <w:t xml:space="preserve"> </w:t>
      </w:r>
      <w:r>
        <w:rPr>
          <w:rStyle w:val="Strong"/>
          <w:b w:val="0"/>
          <w:lang w:val="bs-Latn-BA"/>
        </w:rPr>
        <w:t>приручника</w:t>
      </w:r>
      <w:r w:rsidR="00822AD8" w:rsidRPr="00295637">
        <w:rPr>
          <w:lang w:val="bs-Latn-BA"/>
        </w:rPr>
        <w:t xml:space="preserve"> </w:t>
      </w:r>
      <w:r>
        <w:rPr>
          <w:lang w:val="bs-Latn-BA"/>
        </w:rPr>
        <w:t>за</w:t>
      </w:r>
      <w:r w:rsidR="00822AD8" w:rsidRPr="00295637">
        <w:rPr>
          <w:lang w:val="bs-Latn-BA"/>
        </w:rPr>
        <w:t xml:space="preserve"> </w:t>
      </w:r>
      <w:r>
        <w:rPr>
          <w:lang w:val="bs-Latn-BA"/>
        </w:rPr>
        <w:t>наставнике</w:t>
      </w:r>
      <w:r w:rsidR="00895AB5" w:rsidRPr="00295637">
        <w:rPr>
          <w:lang w:val="bs-Latn-BA"/>
        </w:rPr>
        <w:t xml:space="preserve"> </w:t>
      </w:r>
      <w:r>
        <w:rPr>
          <w:lang w:val="bs-Latn-BA"/>
        </w:rPr>
        <w:t>и</w:t>
      </w:r>
      <w:r w:rsidR="00895AB5" w:rsidRPr="00295637">
        <w:rPr>
          <w:lang w:val="bs-Latn-BA"/>
        </w:rPr>
        <w:t xml:space="preserve"> </w:t>
      </w:r>
      <w:r>
        <w:rPr>
          <w:lang w:val="bs-Latn-BA"/>
        </w:rPr>
        <w:t>друге</w:t>
      </w:r>
      <w:r w:rsidR="00895AB5" w:rsidRPr="00295637">
        <w:rPr>
          <w:lang w:val="bs-Latn-BA"/>
        </w:rPr>
        <w:t xml:space="preserve"> </w:t>
      </w:r>
      <w:r>
        <w:rPr>
          <w:lang w:val="bs-Latn-BA"/>
        </w:rPr>
        <w:t>професионалце</w:t>
      </w:r>
      <w:r w:rsidR="00895AB5" w:rsidRPr="00295637">
        <w:rPr>
          <w:lang w:val="bs-Latn-BA"/>
        </w:rPr>
        <w:t xml:space="preserve">, </w:t>
      </w:r>
      <w:r>
        <w:rPr>
          <w:lang w:val="bs-Latn-BA"/>
        </w:rPr>
        <w:t>и</w:t>
      </w:r>
      <w:r w:rsidR="00895AB5" w:rsidRPr="00295637">
        <w:rPr>
          <w:lang w:val="bs-Latn-BA"/>
        </w:rPr>
        <w:t xml:space="preserve"> </w:t>
      </w:r>
      <w:r>
        <w:rPr>
          <w:lang w:val="bs-Latn-BA"/>
        </w:rPr>
        <w:t>то</w:t>
      </w:r>
      <w:r w:rsidR="00895AB5" w:rsidRPr="00295637">
        <w:rPr>
          <w:lang w:val="bs-Latn-BA"/>
        </w:rPr>
        <w:t xml:space="preserve"> </w:t>
      </w:r>
      <w:r w:rsidR="00737ABD">
        <w:rPr>
          <w:lang w:val="bs-Latn-BA"/>
        </w:rPr>
        <w:t>„</w:t>
      </w:r>
      <w:r>
        <w:rPr>
          <w:lang w:val="bs-Latn-BA"/>
        </w:rPr>
        <w:t>Здрави</w:t>
      </w:r>
      <w:r w:rsidR="00822AD8" w:rsidRPr="00295637">
        <w:rPr>
          <w:lang w:val="bs-Latn-BA"/>
        </w:rPr>
        <w:t xml:space="preserve"> </w:t>
      </w:r>
      <w:r>
        <w:rPr>
          <w:lang w:val="bs-Latn-BA"/>
        </w:rPr>
        <w:t>стилови</w:t>
      </w:r>
      <w:r w:rsidR="00822AD8" w:rsidRPr="00295637">
        <w:rPr>
          <w:lang w:val="bs-Latn-BA"/>
        </w:rPr>
        <w:t xml:space="preserve"> </w:t>
      </w:r>
      <w:r>
        <w:rPr>
          <w:lang w:val="bs-Latn-BA"/>
        </w:rPr>
        <w:t>живота</w:t>
      </w:r>
      <w:r w:rsidR="00822AD8" w:rsidRPr="00295637">
        <w:rPr>
          <w:lang w:val="bs-Latn-BA"/>
        </w:rPr>
        <w:t xml:space="preserve">. </w:t>
      </w:r>
      <w:r>
        <w:rPr>
          <w:lang w:val="bs-Latn-BA"/>
        </w:rPr>
        <w:t>Знање</w:t>
      </w:r>
      <w:r w:rsidR="00822AD8" w:rsidRPr="00295637">
        <w:rPr>
          <w:lang w:val="bs-Latn-BA"/>
        </w:rPr>
        <w:t xml:space="preserve"> </w:t>
      </w:r>
      <w:r>
        <w:rPr>
          <w:lang w:val="bs-Latn-BA"/>
        </w:rPr>
        <w:t>и</w:t>
      </w:r>
      <w:r w:rsidR="00822AD8" w:rsidRPr="00295637">
        <w:rPr>
          <w:lang w:val="bs-Latn-BA"/>
        </w:rPr>
        <w:t xml:space="preserve"> </w:t>
      </w:r>
      <w:r>
        <w:rPr>
          <w:lang w:val="bs-Latn-BA"/>
        </w:rPr>
        <w:t>вјештине</w:t>
      </w:r>
      <w:r w:rsidR="00737ABD">
        <w:rPr>
          <w:lang w:val="bs-Latn-BA"/>
        </w:rPr>
        <w:t xml:space="preserve"> </w:t>
      </w:r>
      <w:r>
        <w:rPr>
          <w:lang w:val="bs-Latn-BA"/>
        </w:rPr>
        <w:t>за</w:t>
      </w:r>
      <w:r w:rsidR="00737ABD">
        <w:rPr>
          <w:lang w:val="bs-Latn-BA"/>
        </w:rPr>
        <w:t xml:space="preserve"> </w:t>
      </w:r>
      <w:r>
        <w:rPr>
          <w:lang w:val="bs-Latn-BA"/>
        </w:rPr>
        <w:t>здрав</w:t>
      </w:r>
      <w:r w:rsidR="00737ABD">
        <w:rPr>
          <w:lang w:val="bs-Latn-BA"/>
        </w:rPr>
        <w:t xml:space="preserve"> </w:t>
      </w:r>
      <w:r>
        <w:rPr>
          <w:lang w:val="bs-Latn-BA"/>
        </w:rPr>
        <w:t>и</w:t>
      </w:r>
      <w:r w:rsidR="00737ABD">
        <w:rPr>
          <w:lang w:val="bs-Latn-BA"/>
        </w:rPr>
        <w:t xml:space="preserve"> </w:t>
      </w:r>
      <w:r w:rsidR="0077778E">
        <w:rPr>
          <w:lang w:val="sr-Cyrl-BA"/>
        </w:rPr>
        <w:t>безбједан</w:t>
      </w:r>
      <w:r w:rsidR="00737ABD">
        <w:rPr>
          <w:lang w:val="bs-Latn-BA"/>
        </w:rPr>
        <w:t xml:space="preserve"> </w:t>
      </w:r>
      <w:r>
        <w:rPr>
          <w:lang w:val="bs-Latn-BA"/>
        </w:rPr>
        <w:t>живот</w:t>
      </w:r>
      <w:r w:rsidR="00737ABD">
        <w:rPr>
          <w:lang w:val="bs-Latn-BA"/>
        </w:rPr>
        <w:t>“</w:t>
      </w:r>
      <w:r w:rsidR="00822AD8" w:rsidRPr="00295637">
        <w:rPr>
          <w:lang w:val="bs-Latn-BA"/>
        </w:rPr>
        <w:t xml:space="preserve"> (</w:t>
      </w:r>
      <w:r w:rsidR="0077778E" w:rsidRPr="0077778E">
        <w:rPr>
          <w:lang w:val="bs-Latn-BA"/>
        </w:rPr>
        <w:t xml:space="preserve">I-V </w:t>
      </w:r>
      <w:r>
        <w:rPr>
          <w:lang w:val="bs-Latn-BA"/>
        </w:rPr>
        <w:t>разреда</w:t>
      </w:r>
      <w:r w:rsidR="00822AD8" w:rsidRPr="00295637">
        <w:rPr>
          <w:lang w:val="bs-Latn-BA"/>
        </w:rPr>
        <w:t xml:space="preserve"> </w:t>
      </w:r>
      <w:r>
        <w:rPr>
          <w:lang w:val="bs-Latn-BA"/>
        </w:rPr>
        <w:t>основне</w:t>
      </w:r>
      <w:r w:rsidR="00822AD8" w:rsidRPr="00295637">
        <w:rPr>
          <w:lang w:val="bs-Latn-BA"/>
        </w:rPr>
        <w:t xml:space="preserve"> </w:t>
      </w:r>
      <w:r>
        <w:rPr>
          <w:lang w:val="bs-Latn-BA"/>
        </w:rPr>
        <w:t>школе</w:t>
      </w:r>
      <w:r w:rsidR="00822AD8" w:rsidRPr="00295637">
        <w:rPr>
          <w:lang w:val="bs-Latn-BA"/>
        </w:rPr>
        <w:t>)</w:t>
      </w:r>
      <w:r w:rsidR="00895AB5" w:rsidRPr="00295637">
        <w:rPr>
          <w:lang w:val="bs-Latn-BA"/>
        </w:rPr>
        <w:t xml:space="preserve"> </w:t>
      </w:r>
      <w:r>
        <w:rPr>
          <w:lang w:val="bs-Latn-BA"/>
        </w:rPr>
        <w:t>и</w:t>
      </w:r>
      <w:r w:rsidR="00895AB5" w:rsidRPr="00295637">
        <w:rPr>
          <w:lang w:val="bs-Latn-BA"/>
        </w:rPr>
        <w:t xml:space="preserve"> </w:t>
      </w:r>
      <w:r w:rsidR="00737ABD">
        <w:rPr>
          <w:lang w:val="bs-Latn-BA"/>
        </w:rPr>
        <w:t>„</w:t>
      </w:r>
      <w:r>
        <w:rPr>
          <w:lang w:val="bs-Latn-BA"/>
        </w:rPr>
        <w:t>Здрави</w:t>
      </w:r>
      <w:r w:rsidR="00822AD8" w:rsidRPr="00295637">
        <w:rPr>
          <w:lang w:val="bs-Latn-BA"/>
        </w:rPr>
        <w:t xml:space="preserve"> </w:t>
      </w:r>
      <w:r>
        <w:rPr>
          <w:lang w:val="bs-Latn-BA"/>
        </w:rPr>
        <w:t>стилови</w:t>
      </w:r>
      <w:r w:rsidR="00822AD8" w:rsidRPr="00295637">
        <w:rPr>
          <w:lang w:val="bs-Latn-BA"/>
        </w:rPr>
        <w:t xml:space="preserve"> </w:t>
      </w:r>
      <w:r>
        <w:rPr>
          <w:lang w:val="bs-Latn-BA"/>
        </w:rPr>
        <w:t>живота</w:t>
      </w:r>
      <w:r w:rsidR="00822AD8" w:rsidRPr="00295637">
        <w:rPr>
          <w:lang w:val="bs-Latn-BA"/>
        </w:rPr>
        <w:t xml:space="preserve">. </w:t>
      </w:r>
      <w:r>
        <w:rPr>
          <w:lang w:val="bs-Latn-BA"/>
        </w:rPr>
        <w:t>Знање</w:t>
      </w:r>
      <w:r w:rsidR="00822AD8" w:rsidRPr="00295637">
        <w:rPr>
          <w:lang w:val="bs-Latn-BA"/>
        </w:rPr>
        <w:t xml:space="preserve"> </w:t>
      </w:r>
      <w:r>
        <w:rPr>
          <w:lang w:val="bs-Latn-BA"/>
        </w:rPr>
        <w:t>и</w:t>
      </w:r>
      <w:r w:rsidR="00822AD8" w:rsidRPr="00295637">
        <w:rPr>
          <w:lang w:val="bs-Latn-BA"/>
        </w:rPr>
        <w:t xml:space="preserve"> </w:t>
      </w:r>
      <w:r>
        <w:rPr>
          <w:lang w:val="bs-Latn-BA"/>
        </w:rPr>
        <w:t>вјештине</w:t>
      </w:r>
      <w:r w:rsidR="00737ABD">
        <w:rPr>
          <w:lang w:val="bs-Latn-BA"/>
        </w:rPr>
        <w:t xml:space="preserve"> </w:t>
      </w:r>
      <w:r>
        <w:rPr>
          <w:lang w:val="bs-Latn-BA"/>
        </w:rPr>
        <w:t>за</w:t>
      </w:r>
      <w:r w:rsidR="00737ABD">
        <w:rPr>
          <w:lang w:val="bs-Latn-BA"/>
        </w:rPr>
        <w:t xml:space="preserve"> </w:t>
      </w:r>
      <w:r>
        <w:rPr>
          <w:lang w:val="bs-Latn-BA"/>
        </w:rPr>
        <w:t>здрав</w:t>
      </w:r>
      <w:r w:rsidR="00737ABD">
        <w:rPr>
          <w:lang w:val="bs-Latn-BA"/>
        </w:rPr>
        <w:t xml:space="preserve"> </w:t>
      </w:r>
      <w:r>
        <w:rPr>
          <w:lang w:val="bs-Latn-BA"/>
        </w:rPr>
        <w:t>и</w:t>
      </w:r>
      <w:r w:rsidR="00737ABD">
        <w:rPr>
          <w:lang w:val="bs-Latn-BA"/>
        </w:rPr>
        <w:t xml:space="preserve"> </w:t>
      </w:r>
      <w:r w:rsidR="00B228E3">
        <w:rPr>
          <w:lang w:val="sr-Cyrl-BA"/>
        </w:rPr>
        <w:t>безбједан</w:t>
      </w:r>
      <w:r w:rsidR="00737ABD">
        <w:rPr>
          <w:lang w:val="bs-Latn-BA"/>
        </w:rPr>
        <w:t xml:space="preserve"> </w:t>
      </w:r>
      <w:r>
        <w:rPr>
          <w:lang w:val="bs-Latn-BA"/>
        </w:rPr>
        <w:t>живот</w:t>
      </w:r>
      <w:r w:rsidR="00737ABD">
        <w:rPr>
          <w:lang w:val="bs-Latn-BA"/>
        </w:rPr>
        <w:t>“</w:t>
      </w:r>
      <w:r w:rsidR="00822AD8" w:rsidRPr="00295637">
        <w:rPr>
          <w:lang w:val="bs-Latn-BA"/>
        </w:rPr>
        <w:t xml:space="preserve"> (</w:t>
      </w:r>
      <w:r w:rsidR="0077778E" w:rsidRPr="0077778E">
        <w:rPr>
          <w:lang w:val="bs-Latn-BA"/>
        </w:rPr>
        <w:t xml:space="preserve">VI-IX </w:t>
      </w:r>
      <w:r>
        <w:rPr>
          <w:lang w:val="bs-Latn-BA"/>
        </w:rPr>
        <w:t>разреда</w:t>
      </w:r>
      <w:r w:rsidR="00822AD8" w:rsidRPr="00295637">
        <w:rPr>
          <w:lang w:val="bs-Latn-BA"/>
        </w:rPr>
        <w:t xml:space="preserve"> </w:t>
      </w:r>
      <w:r>
        <w:rPr>
          <w:lang w:val="bs-Latn-BA"/>
        </w:rPr>
        <w:t>основне</w:t>
      </w:r>
      <w:r w:rsidR="00822AD8" w:rsidRPr="00295637">
        <w:rPr>
          <w:lang w:val="bs-Latn-BA"/>
        </w:rPr>
        <w:t xml:space="preserve"> </w:t>
      </w:r>
      <w:r>
        <w:rPr>
          <w:lang w:val="bs-Latn-BA"/>
        </w:rPr>
        <w:t>школе</w:t>
      </w:r>
      <w:r w:rsidR="00822AD8" w:rsidRPr="00295637">
        <w:rPr>
          <w:lang w:val="bs-Latn-BA"/>
        </w:rPr>
        <w:t>)</w:t>
      </w:r>
      <w:r w:rsidR="005763A0" w:rsidRPr="00295637">
        <w:rPr>
          <w:lang w:val="bs-Latn-BA"/>
        </w:rPr>
        <w:t>.</w:t>
      </w:r>
    </w:p>
    <w:p w:rsidR="008C68B1" w:rsidRPr="00295637" w:rsidRDefault="008C68B1" w:rsidP="0086268D">
      <w:pPr>
        <w:pStyle w:val="NormalWeb"/>
        <w:spacing w:before="0" w:beforeAutospacing="0" w:after="0" w:afterAutospacing="0"/>
        <w:jc w:val="both"/>
        <w:rPr>
          <w:lang w:val="bs-Latn-BA"/>
        </w:rPr>
      </w:pPr>
    </w:p>
    <w:p w:rsidR="00A92736" w:rsidRPr="00295637" w:rsidRDefault="00C6214E" w:rsidP="0086268D">
      <w:pPr>
        <w:pStyle w:val="NormalWeb"/>
        <w:spacing w:before="0" w:beforeAutospacing="0" w:after="0" w:afterAutospacing="0"/>
        <w:jc w:val="both"/>
        <w:rPr>
          <w:rFonts w:eastAsia="Calibri"/>
          <w:bCs/>
          <w:lang w:val="bs-Latn-BA"/>
        </w:rPr>
      </w:pPr>
      <w:r>
        <w:rPr>
          <w:rFonts w:eastAsia="Calibri"/>
          <w:bCs/>
          <w:lang w:val="bs-Latn-BA"/>
        </w:rPr>
        <w:t>У</w:t>
      </w:r>
      <w:r w:rsidR="00822AD8" w:rsidRPr="00295637">
        <w:rPr>
          <w:rFonts w:eastAsia="Calibri"/>
          <w:bCs/>
          <w:lang w:val="bs-Latn-BA"/>
        </w:rPr>
        <w:t xml:space="preserve"> </w:t>
      </w:r>
      <w:r>
        <w:rPr>
          <w:rFonts w:eastAsia="Calibri"/>
          <w:bCs/>
          <w:lang w:val="bs-Latn-BA"/>
        </w:rPr>
        <w:t>извјештајном</w:t>
      </w:r>
      <w:r w:rsidR="00822AD8" w:rsidRPr="00295637">
        <w:rPr>
          <w:rFonts w:eastAsia="Calibri"/>
          <w:bCs/>
          <w:lang w:val="bs-Latn-BA"/>
        </w:rPr>
        <w:t xml:space="preserve"> </w:t>
      </w:r>
      <w:r>
        <w:rPr>
          <w:rFonts w:eastAsia="Calibri"/>
          <w:bCs/>
          <w:lang w:val="bs-Latn-BA"/>
        </w:rPr>
        <w:t>периоду</w:t>
      </w:r>
      <w:r w:rsidR="00822AD8" w:rsidRPr="00295637">
        <w:rPr>
          <w:rFonts w:eastAsia="Calibri"/>
          <w:bCs/>
          <w:lang w:val="bs-Latn-BA"/>
        </w:rPr>
        <w:t xml:space="preserve"> </w:t>
      </w:r>
      <w:r>
        <w:rPr>
          <w:rFonts w:eastAsia="Calibri"/>
          <w:bCs/>
          <w:lang w:val="bs-Latn-BA"/>
        </w:rPr>
        <w:t>ГЦ</w:t>
      </w:r>
      <w:r w:rsidR="00444BDE" w:rsidRPr="00295637">
        <w:rPr>
          <w:rFonts w:eastAsia="Calibri"/>
          <w:bCs/>
          <w:lang w:val="bs-Latn-BA"/>
        </w:rPr>
        <w:t xml:space="preserve"> </w:t>
      </w:r>
      <w:r>
        <w:rPr>
          <w:rFonts w:eastAsia="Calibri"/>
          <w:bCs/>
          <w:lang w:val="bs-Latn-BA"/>
        </w:rPr>
        <w:t>ФБиХ</w:t>
      </w:r>
      <w:r w:rsidR="00822AD8" w:rsidRPr="00295637">
        <w:rPr>
          <w:rFonts w:eastAsia="Calibri"/>
          <w:bCs/>
          <w:lang w:val="bs-Latn-BA"/>
        </w:rPr>
        <w:t xml:space="preserve"> </w:t>
      </w:r>
      <w:r>
        <w:rPr>
          <w:rFonts w:eastAsia="Calibri"/>
          <w:bCs/>
          <w:lang w:val="bs-Latn-BA"/>
        </w:rPr>
        <w:t>је</w:t>
      </w:r>
      <w:r w:rsidR="00822AD8" w:rsidRPr="00295637">
        <w:rPr>
          <w:rFonts w:eastAsia="Calibri"/>
          <w:bCs/>
          <w:lang w:val="bs-Latn-BA"/>
        </w:rPr>
        <w:t xml:space="preserve"> </w:t>
      </w:r>
      <w:r>
        <w:rPr>
          <w:rFonts w:eastAsia="Calibri"/>
          <w:bCs/>
          <w:lang w:val="bs-Latn-BA"/>
        </w:rPr>
        <w:t>учествовао</w:t>
      </w:r>
      <w:r w:rsidR="00822AD8" w:rsidRPr="00295637">
        <w:rPr>
          <w:rFonts w:eastAsia="Calibri"/>
          <w:bCs/>
          <w:lang w:val="bs-Latn-BA"/>
        </w:rPr>
        <w:t xml:space="preserve"> </w:t>
      </w:r>
      <w:r>
        <w:rPr>
          <w:rFonts w:eastAsia="Calibri"/>
          <w:bCs/>
          <w:lang w:val="bs-Latn-BA"/>
        </w:rPr>
        <w:t>у</w:t>
      </w:r>
      <w:r w:rsidR="00822AD8" w:rsidRPr="00295637">
        <w:rPr>
          <w:rFonts w:eastAsia="Calibri"/>
          <w:bCs/>
          <w:lang w:val="bs-Latn-BA"/>
        </w:rPr>
        <w:t xml:space="preserve"> </w:t>
      </w:r>
      <w:r>
        <w:rPr>
          <w:rFonts w:eastAsia="Calibri"/>
          <w:bCs/>
          <w:lang w:val="bs-Latn-BA"/>
        </w:rPr>
        <w:t>дијалогу</w:t>
      </w:r>
      <w:r w:rsidR="00822AD8" w:rsidRPr="00295637">
        <w:rPr>
          <w:rFonts w:eastAsia="Calibri"/>
          <w:bCs/>
          <w:lang w:val="bs-Latn-BA"/>
        </w:rPr>
        <w:t xml:space="preserve"> </w:t>
      </w:r>
      <w:r>
        <w:rPr>
          <w:rFonts w:eastAsia="Calibri"/>
          <w:bCs/>
          <w:lang w:val="bs-Latn-BA"/>
        </w:rPr>
        <w:t>младих</w:t>
      </w:r>
      <w:r w:rsidR="00822AD8" w:rsidRPr="00295637">
        <w:rPr>
          <w:rFonts w:eastAsia="Calibri"/>
          <w:bCs/>
          <w:lang w:val="bs-Latn-BA"/>
        </w:rPr>
        <w:t xml:space="preserve"> </w:t>
      </w:r>
      <w:r>
        <w:rPr>
          <w:rFonts w:eastAsia="Calibri"/>
          <w:bCs/>
          <w:lang w:val="bs-Latn-BA"/>
        </w:rPr>
        <w:t>и</w:t>
      </w:r>
      <w:r w:rsidR="00822AD8" w:rsidRPr="00295637">
        <w:rPr>
          <w:rFonts w:eastAsia="Calibri"/>
          <w:bCs/>
          <w:lang w:val="bs-Latn-BA"/>
        </w:rPr>
        <w:t xml:space="preserve"> </w:t>
      </w:r>
      <w:r>
        <w:rPr>
          <w:rFonts w:eastAsia="Calibri"/>
          <w:bCs/>
          <w:lang w:val="bs-Latn-BA"/>
        </w:rPr>
        <w:t>власти</w:t>
      </w:r>
      <w:r w:rsidR="00822AD8" w:rsidRPr="00295637">
        <w:rPr>
          <w:rFonts w:eastAsia="Calibri"/>
          <w:bCs/>
          <w:lang w:val="bs-Latn-BA"/>
        </w:rPr>
        <w:t xml:space="preserve"> </w:t>
      </w:r>
      <w:r>
        <w:rPr>
          <w:rFonts w:eastAsia="Calibri"/>
          <w:bCs/>
          <w:lang w:val="bs-Latn-BA"/>
        </w:rPr>
        <w:t>на</w:t>
      </w:r>
      <w:r w:rsidR="00822AD8" w:rsidRPr="00295637">
        <w:rPr>
          <w:rFonts w:eastAsia="Calibri"/>
          <w:bCs/>
          <w:lang w:val="bs-Latn-BA"/>
        </w:rPr>
        <w:t xml:space="preserve"> </w:t>
      </w:r>
      <w:r>
        <w:rPr>
          <w:rFonts w:eastAsia="Calibri"/>
          <w:bCs/>
          <w:lang w:val="bs-Latn-BA"/>
        </w:rPr>
        <w:t>тему</w:t>
      </w:r>
      <w:r w:rsidR="00822AD8" w:rsidRPr="00295637">
        <w:rPr>
          <w:rFonts w:eastAsia="Calibri"/>
          <w:bCs/>
          <w:lang w:val="bs-Latn-BA"/>
        </w:rPr>
        <w:t xml:space="preserve"> „</w:t>
      </w:r>
      <w:r>
        <w:rPr>
          <w:rFonts w:eastAsia="Calibri"/>
          <w:bCs/>
          <w:lang w:val="bs-Latn-BA"/>
        </w:rPr>
        <w:t>У</w:t>
      </w:r>
      <w:r w:rsidR="00822AD8" w:rsidRPr="00295637">
        <w:rPr>
          <w:rFonts w:eastAsia="Calibri"/>
          <w:bCs/>
          <w:lang w:val="bs-Latn-BA"/>
        </w:rPr>
        <w:t xml:space="preserve"> </w:t>
      </w:r>
      <w:r>
        <w:rPr>
          <w:rFonts w:eastAsia="Calibri"/>
          <w:bCs/>
          <w:lang w:val="bs-Latn-BA"/>
        </w:rPr>
        <w:t>сусрет</w:t>
      </w:r>
      <w:r w:rsidR="00822AD8" w:rsidRPr="00295637">
        <w:rPr>
          <w:rFonts w:eastAsia="Calibri"/>
          <w:bCs/>
          <w:lang w:val="bs-Latn-BA"/>
        </w:rPr>
        <w:t xml:space="preserve"> </w:t>
      </w:r>
      <w:r>
        <w:rPr>
          <w:rFonts w:eastAsia="Calibri"/>
          <w:bCs/>
          <w:lang w:val="bs-Latn-BA"/>
        </w:rPr>
        <w:t>првој</w:t>
      </w:r>
      <w:r w:rsidR="00822AD8" w:rsidRPr="00295637">
        <w:rPr>
          <w:rFonts w:eastAsia="Calibri"/>
          <w:bCs/>
          <w:lang w:val="bs-Latn-BA"/>
        </w:rPr>
        <w:t xml:space="preserve"> </w:t>
      </w:r>
      <w:r>
        <w:rPr>
          <w:rFonts w:eastAsia="Calibri"/>
          <w:bCs/>
          <w:lang w:val="bs-Latn-BA"/>
        </w:rPr>
        <w:t>Стратегији</w:t>
      </w:r>
      <w:r w:rsidR="00822AD8" w:rsidRPr="00295637">
        <w:rPr>
          <w:rFonts w:eastAsia="Calibri"/>
          <w:bCs/>
          <w:lang w:val="bs-Latn-BA"/>
        </w:rPr>
        <w:t xml:space="preserve"> </w:t>
      </w:r>
      <w:r>
        <w:rPr>
          <w:rFonts w:eastAsia="Calibri"/>
          <w:bCs/>
          <w:lang w:val="bs-Latn-BA"/>
        </w:rPr>
        <w:t>за</w:t>
      </w:r>
      <w:r w:rsidR="00822AD8" w:rsidRPr="00295637">
        <w:rPr>
          <w:rFonts w:eastAsia="Calibri"/>
          <w:bCs/>
          <w:lang w:val="bs-Latn-BA"/>
        </w:rPr>
        <w:t xml:space="preserve"> </w:t>
      </w:r>
      <w:r>
        <w:rPr>
          <w:rFonts w:eastAsia="Calibri"/>
          <w:bCs/>
          <w:lang w:val="bs-Latn-BA"/>
        </w:rPr>
        <w:t>младе</w:t>
      </w:r>
      <w:r w:rsidR="00822AD8" w:rsidRPr="00295637">
        <w:rPr>
          <w:rFonts w:eastAsia="Calibri"/>
          <w:bCs/>
          <w:lang w:val="bs-Latn-BA"/>
        </w:rPr>
        <w:t xml:space="preserve"> </w:t>
      </w:r>
      <w:r>
        <w:rPr>
          <w:rFonts w:eastAsia="Calibri"/>
          <w:bCs/>
          <w:lang w:val="bs-Latn-BA"/>
        </w:rPr>
        <w:t>ФБиХ</w:t>
      </w:r>
      <w:r w:rsidR="00822AD8" w:rsidRPr="00295637">
        <w:rPr>
          <w:rFonts w:eastAsia="Calibri"/>
          <w:bCs/>
          <w:lang w:val="bs-Latn-BA"/>
        </w:rPr>
        <w:t xml:space="preserve">“ </w:t>
      </w:r>
      <w:r>
        <w:rPr>
          <w:rFonts w:eastAsia="Calibri"/>
          <w:bCs/>
          <w:lang w:val="bs-Latn-BA"/>
        </w:rPr>
        <w:t>којег</w:t>
      </w:r>
      <w:r w:rsidR="00822AD8" w:rsidRPr="00295637">
        <w:rPr>
          <w:rFonts w:eastAsia="Calibri"/>
          <w:bCs/>
          <w:lang w:val="bs-Latn-BA"/>
        </w:rPr>
        <w:t xml:space="preserve"> </w:t>
      </w:r>
      <w:r>
        <w:rPr>
          <w:rFonts w:eastAsia="Calibri"/>
          <w:bCs/>
          <w:lang w:val="bs-Latn-BA"/>
        </w:rPr>
        <w:t>је</w:t>
      </w:r>
      <w:r w:rsidR="00822AD8" w:rsidRPr="00295637">
        <w:rPr>
          <w:rFonts w:eastAsia="Calibri"/>
          <w:bCs/>
          <w:lang w:val="bs-Latn-BA"/>
        </w:rPr>
        <w:t xml:space="preserve"> </w:t>
      </w:r>
      <w:r>
        <w:rPr>
          <w:rFonts w:eastAsia="Calibri"/>
          <w:bCs/>
          <w:lang w:val="bs-Latn-BA"/>
        </w:rPr>
        <w:t>организ</w:t>
      </w:r>
      <w:r w:rsidR="0077778E">
        <w:rPr>
          <w:rFonts w:eastAsia="Calibri"/>
          <w:bCs/>
          <w:lang w:val="sr-Cyrl-BA"/>
        </w:rPr>
        <w:t>овало</w:t>
      </w:r>
      <w:r w:rsidR="00737ABD">
        <w:rPr>
          <w:rFonts w:eastAsia="Calibri"/>
          <w:bCs/>
          <w:lang w:val="bs-Latn-BA"/>
        </w:rPr>
        <w:t xml:space="preserve"> </w:t>
      </w:r>
      <w:r>
        <w:rPr>
          <w:rFonts w:eastAsia="Calibri"/>
          <w:bCs/>
          <w:lang w:val="bs-Latn-BA"/>
        </w:rPr>
        <w:t>ФМКИС</w:t>
      </w:r>
      <w:r w:rsidR="00822AD8" w:rsidRPr="00295637">
        <w:rPr>
          <w:rFonts w:eastAsia="Calibri"/>
          <w:bCs/>
          <w:lang w:val="bs-Latn-BA"/>
        </w:rPr>
        <w:t xml:space="preserve">.  </w:t>
      </w:r>
    </w:p>
    <w:p w:rsidR="008D56A8" w:rsidRPr="00295637" w:rsidRDefault="008D56A8" w:rsidP="0086268D">
      <w:pPr>
        <w:pStyle w:val="NormalWeb"/>
        <w:spacing w:before="0" w:beforeAutospacing="0" w:after="0" w:afterAutospacing="0"/>
        <w:jc w:val="both"/>
        <w:rPr>
          <w:rFonts w:eastAsia="Calibri"/>
          <w:bCs/>
          <w:lang w:val="bs-Latn-BA"/>
        </w:rPr>
      </w:pPr>
    </w:p>
    <w:p w:rsidR="00664E91" w:rsidRPr="0012462D" w:rsidRDefault="00C6214E" w:rsidP="0086268D">
      <w:pPr>
        <w:pStyle w:val="ListParagraph"/>
        <w:ind w:left="0"/>
        <w:jc w:val="both"/>
        <w:rPr>
          <w:rFonts w:ascii="Times New Roman" w:hAnsi="Times New Roman"/>
          <w:b/>
          <w:lang w:val="sr-Latn-BA"/>
        </w:rPr>
      </w:pPr>
      <w:r>
        <w:rPr>
          <w:rFonts w:ascii="Times New Roman" w:hAnsi="Times New Roman"/>
          <w:lang w:val="sr-Latn-BA"/>
        </w:rPr>
        <w:t>У</w:t>
      </w:r>
      <w:r w:rsidR="00664E91" w:rsidRPr="00295637">
        <w:rPr>
          <w:rFonts w:ascii="Times New Roman" w:hAnsi="Times New Roman"/>
          <w:lang w:val="sr-Latn-BA"/>
        </w:rPr>
        <w:t xml:space="preserve"> </w:t>
      </w:r>
      <w:r>
        <w:rPr>
          <w:rFonts w:ascii="Times New Roman" w:hAnsi="Times New Roman"/>
          <w:lang w:val="sr-Latn-BA"/>
        </w:rPr>
        <w:t>Републици</w:t>
      </w:r>
      <w:r w:rsidR="00664E91" w:rsidRPr="00295637">
        <w:rPr>
          <w:rFonts w:ascii="Times New Roman" w:hAnsi="Times New Roman"/>
          <w:lang w:val="sr-Latn-BA"/>
        </w:rPr>
        <w:t xml:space="preserve"> </w:t>
      </w:r>
      <w:r>
        <w:rPr>
          <w:rFonts w:ascii="Times New Roman" w:hAnsi="Times New Roman"/>
          <w:lang w:val="sr-Latn-BA"/>
        </w:rPr>
        <w:t>Српској</w:t>
      </w:r>
      <w:r w:rsidR="00664E91" w:rsidRPr="00295637">
        <w:rPr>
          <w:rFonts w:ascii="Times New Roman" w:hAnsi="Times New Roman"/>
          <w:lang w:val="sr-Latn-BA"/>
        </w:rPr>
        <w:t xml:space="preserve">, </w:t>
      </w:r>
      <w:r>
        <w:rPr>
          <w:rFonts w:ascii="Times New Roman" w:hAnsi="Times New Roman"/>
          <w:lang w:val="sr-Latn-BA"/>
        </w:rPr>
        <w:t>на</w:t>
      </w:r>
      <w:r w:rsidR="00664E91" w:rsidRPr="00295637">
        <w:rPr>
          <w:rFonts w:ascii="Times New Roman" w:hAnsi="Times New Roman"/>
          <w:lang w:val="sr-Latn-BA"/>
        </w:rPr>
        <w:t xml:space="preserve"> </w:t>
      </w:r>
      <w:r>
        <w:rPr>
          <w:rFonts w:ascii="Times New Roman" w:hAnsi="Times New Roman"/>
          <w:lang w:val="sr-Latn-BA"/>
        </w:rPr>
        <w:t>снази</w:t>
      </w:r>
      <w:r w:rsidR="00664E91" w:rsidRPr="00295637">
        <w:rPr>
          <w:rFonts w:ascii="Times New Roman" w:hAnsi="Times New Roman"/>
          <w:lang w:val="sr-Latn-BA"/>
        </w:rPr>
        <w:t xml:space="preserve"> </w:t>
      </w:r>
      <w:r>
        <w:rPr>
          <w:rFonts w:ascii="Times New Roman" w:hAnsi="Times New Roman"/>
          <w:lang w:val="sr-Latn-BA"/>
        </w:rPr>
        <w:t>су</w:t>
      </w:r>
      <w:r w:rsidR="00664E91" w:rsidRPr="00295637">
        <w:rPr>
          <w:rFonts w:ascii="Times New Roman" w:hAnsi="Times New Roman"/>
          <w:lang w:val="sr-Latn-BA"/>
        </w:rPr>
        <w:t xml:space="preserve"> </w:t>
      </w:r>
      <w:r>
        <w:rPr>
          <w:rFonts w:ascii="Times New Roman" w:hAnsi="Times New Roman"/>
          <w:lang w:val="sr-Latn-BA"/>
        </w:rPr>
        <w:t>стратешки</w:t>
      </w:r>
      <w:r w:rsidR="00664E91" w:rsidRPr="00295637">
        <w:rPr>
          <w:rFonts w:ascii="Times New Roman" w:hAnsi="Times New Roman"/>
          <w:lang w:val="sr-Latn-BA"/>
        </w:rPr>
        <w:t xml:space="preserve"> </w:t>
      </w:r>
      <w:r>
        <w:rPr>
          <w:rFonts w:ascii="Times New Roman" w:hAnsi="Times New Roman"/>
          <w:lang w:val="sr-Latn-BA"/>
        </w:rPr>
        <w:t>акти</w:t>
      </w:r>
      <w:r w:rsidR="00664E91" w:rsidRPr="00295637">
        <w:rPr>
          <w:rFonts w:ascii="Times New Roman" w:hAnsi="Times New Roman"/>
          <w:lang w:val="sr-Latn-BA"/>
        </w:rPr>
        <w:t xml:space="preserve"> </w:t>
      </w:r>
      <w:r>
        <w:rPr>
          <w:rFonts w:ascii="Times New Roman" w:hAnsi="Times New Roman"/>
          <w:lang w:val="sr-Latn-BA"/>
        </w:rPr>
        <w:t>у</w:t>
      </w:r>
      <w:r w:rsidR="00664E91" w:rsidRPr="00295637">
        <w:rPr>
          <w:rFonts w:ascii="Times New Roman" w:hAnsi="Times New Roman"/>
          <w:lang w:val="sr-Latn-BA"/>
        </w:rPr>
        <w:t xml:space="preserve"> </w:t>
      </w:r>
      <w:r>
        <w:rPr>
          <w:rFonts w:ascii="Times New Roman" w:hAnsi="Times New Roman"/>
          <w:lang w:val="sr-Latn-BA"/>
        </w:rPr>
        <w:t>чијој</w:t>
      </w:r>
      <w:r w:rsidR="00664E91" w:rsidRPr="00295637">
        <w:rPr>
          <w:rFonts w:ascii="Times New Roman" w:hAnsi="Times New Roman"/>
          <w:lang w:val="sr-Latn-BA"/>
        </w:rPr>
        <w:t xml:space="preserve"> </w:t>
      </w:r>
      <w:r>
        <w:rPr>
          <w:rFonts w:ascii="Times New Roman" w:hAnsi="Times New Roman"/>
          <w:lang w:val="sr-Latn-BA"/>
        </w:rPr>
        <w:t>изради</w:t>
      </w:r>
      <w:r w:rsidR="00664E91" w:rsidRPr="00295637">
        <w:rPr>
          <w:rFonts w:ascii="Times New Roman" w:hAnsi="Times New Roman"/>
          <w:lang w:val="sr-Latn-BA"/>
        </w:rPr>
        <w:t xml:space="preserve"> </w:t>
      </w:r>
      <w:r>
        <w:rPr>
          <w:rFonts w:ascii="Times New Roman" w:hAnsi="Times New Roman"/>
          <w:lang w:val="sr-Latn-BA"/>
        </w:rPr>
        <w:t>је</w:t>
      </w:r>
      <w:r w:rsidR="00664E91" w:rsidRPr="00295637">
        <w:rPr>
          <w:rFonts w:ascii="Times New Roman" w:hAnsi="Times New Roman"/>
          <w:lang w:val="sr-Latn-BA"/>
        </w:rPr>
        <w:t xml:space="preserve"> </w:t>
      </w:r>
      <w:r>
        <w:rPr>
          <w:rFonts w:ascii="Times New Roman" w:hAnsi="Times New Roman"/>
          <w:lang w:val="sr-Latn-BA"/>
        </w:rPr>
        <w:t>учествовао</w:t>
      </w:r>
      <w:r w:rsidR="00664E91" w:rsidRPr="00295637">
        <w:rPr>
          <w:rFonts w:ascii="Times New Roman" w:hAnsi="Times New Roman"/>
          <w:lang w:val="sr-Latn-BA"/>
        </w:rPr>
        <w:t xml:space="preserve"> </w:t>
      </w:r>
      <w:r>
        <w:rPr>
          <w:rFonts w:ascii="Times New Roman" w:hAnsi="Times New Roman"/>
          <w:lang w:val="sr-Latn-BA"/>
        </w:rPr>
        <w:t>ЦЈРП</w:t>
      </w:r>
      <w:r w:rsidR="00664E91" w:rsidRPr="00295637">
        <w:rPr>
          <w:rFonts w:ascii="Times New Roman" w:hAnsi="Times New Roman"/>
          <w:lang w:val="sr-Latn-BA"/>
        </w:rPr>
        <w:t xml:space="preserve"> </w:t>
      </w:r>
      <w:r>
        <w:rPr>
          <w:rFonts w:ascii="Times New Roman" w:hAnsi="Times New Roman"/>
          <w:lang w:val="sr-Latn-BA"/>
        </w:rPr>
        <w:t>РС</w:t>
      </w:r>
      <w:r w:rsidR="00664E91" w:rsidRPr="00295637">
        <w:rPr>
          <w:rFonts w:ascii="Times New Roman" w:hAnsi="Times New Roman"/>
          <w:lang w:val="sr-Latn-BA"/>
        </w:rPr>
        <w:t xml:space="preserve">, </w:t>
      </w:r>
      <w:r>
        <w:rPr>
          <w:rFonts w:ascii="Times New Roman" w:hAnsi="Times New Roman"/>
          <w:lang w:val="sr-Latn-BA"/>
        </w:rPr>
        <w:t>као</w:t>
      </w:r>
      <w:r w:rsidR="00664E91" w:rsidRPr="00295637">
        <w:rPr>
          <w:rFonts w:ascii="Times New Roman" w:hAnsi="Times New Roman"/>
          <w:lang w:val="sr-Latn-BA"/>
        </w:rPr>
        <w:t xml:space="preserve"> </w:t>
      </w:r>
      <w:r>
        <w:rPr>
          <w:rFonts w:ascii="Times New Roman" w:hAnsi="Times New Roman"/>
          <w:lang w:val="sr-Latn-BA"/>
        </w:rPr>
        <w:t>и</w:t>
      </w:r>
      <w:r w:rsidR="00664E91" w:rsidRPr="00295637">
        <w:rPr>
          <w:rFonts w:ascii="Times New Roman" w:hAnsi="Times New Roman"/>
          <w:lang w:val="sr-Latn-BA"/>
        </w:rPr>
        <w:t xml:space="preserve"> </w:t>
      </w:r>
      <w:r>
        <w:rPr>
          <w:rFonts w:ascii="Times New Roman" w:hAnsi="Times New Roman"/>
          <w:lang w:val="sr-Latn-BA"/>
        </w:rPr>
        <w:t>припадајући</w:t>
      </w:r>
      <w:r w:rsidR="00664E91" w:rsidRPr="00295637">
        <w:rPr>
          <w:rFonts w:ascii="Times New Roman" w:hAnsi="Times New Roman"/>
          <w:lang w:val="sr-Latn-BA"/>
        </w:rPr>
        <w:t xml:space="preserve"> </w:t>
      </w:r>
      <w:r>
        <w:rPr>
          <w:rFonts w:ascii="Times New Roman" w:hAnsi="Times New Roman"/>
          <w:lang w:val="sr-Latn-BA"/>
        </w:rPr>
        <w:t>акциони</w:t>
      </w:r>
      <w:r w:rsidR="00664E91" w:rsidRPr="00295637">
        <w:rPr>
          <w:rFonts w:ascii="Times New Roman" w:hAnsi="Times New Roman"/>
          <w:lang w:val="sr-Latn-BA"/>
        </w:rPr>
        <w:t xml:space="preserve"> </w:t>
      </w:r>
      <w:r>
        <w:rPr>
          <w:rFonts w:ascii="Times New Roman" w:hAnsi="Times New Roman"/>
          <w:lang w:val="sr-Latn-BA"/>
        </w:rPr>
        <w:t>планови</w:t>
      </w:r>
      <w:r w:rsidR="00664E91" w:rsidRPr="00295637">
        <w:rPr>
          <w:rFonts w:ascii="Times New Roman" w:hAnsi="Times New Roman"/>
          <w:lang w:val="sr-Latn-BA"/>
        </w:rPr>
        <w:t xml:space="preserve"> </w:t>
      </w:r>
      <w:r>
        <w:rPr>
          <w:rFonts w:ascii="Times New Roman" w:hAnsi="Times New Roman"/>
          <w:lang w:val="sr-Latn-BA"/>
        </w:rPr>
        <w:t>за</w:t>
      </w:r>
      <w:r w:rsidR="00664E91" w:rsidRPr="00295637">
        <w:rPr>
          <w:rFonts w:ascii="Times New Roman" w:hAnsi="Times New Roman"/>
          <w:lang w:val="sr-Latn-BA"/>
        </w:rPr>
        <w:t xml:space="preserve"> </w:t>
      </w:r>
      <w:r>
        <w:rPr>
          <w:rFonts w:ascii="Times New Roman" w:hAnsi="Times New Roman"/>
          <w:lang w:val="sr-Latn-BA"/>
        </w:rPr>
        <w:t>њихову</w:t>
      </w:r>
      <w:r w:rsidR="00664E91" w:rsidRPr="00295637">
        <w:rPr>
          <w:rFonts w:ascii="Times New Roman" w:hAnsi="Times New Roman"/>
          <w:lang w:val="sr-Latn-BA"/>
        </w:rPr>
        <w:t xml:space="preserve"> </w:t>
      </w:r>
      <w:r>
        <w:rPr>
          <w:rFonts w:ascii="Times New Roman" w:hAnsi="Times New Roman"/>
          <w:lang w:val="sr-Latn-BA"/>
        </w:rPr>
        <w:t>реализацију</w:t>
      </w:r>
      <w:r w:rsidR="000E0E8E" w:rsidRPr="00295637">
        <w:rPr>
          <w:rFonts w:ascii="Times New Roman" w:hAnsi="Times New Roman"/>
          <w:lang w:val="sr-Latn-BA"/>
        </w:rPr>
        <w:t xml:space="preserve"> </w:t>
      </w:r>
      <w:r>
        <w:rPr>
          <w:rFonts w:ascii="Times New Roman" w:hAnsi="Times New Roman"/>
          <w:lang w:val="sr-Latn-BA"/>
        </w:rPr>
        <w:t>и</w:t>
      </w:r>
      <w:r w:rsidR="000E0E8E" w:rsidRPr="00295637">
        <w:rPr>
          <w:rFonts w:ascii="Times New Roman" w:hAnsi="Times New Roman"/>
          <w:lang w:val="sr-Latn-BA"/>
        </w:rPr>
        <w:t xml:space="preserve"> </w:t>
      </w:r>
      <w:r>
        <w:rPr>
          <w:rFonts w:ascii="Times New Roman" w:hAnsi="Times New Roman"/>
          <w:lang w:val="sr-Latn-BA"/>
        </w:rPr>
        <w:t>то</w:t>
      </w:r>
      <w:r w:rsidR="000E0E8E" w:rsidRPr="00295637">
        <w:rPr>
          <w:rFonts w:ascii="Times New Roman" w:hAnsi="Times New Roman"/>
          <w:lang w:val="sr-Latn-BA"/>
        </w:rPr>
        <w:t xml:space="preserve">: </w:t>
      </w:r>
      <w:r>
        <w:rPr>
          <w:rFonts w:ascii="Times New Roman" w:hAnsi="Times New Roman"/>
          <w:lang w:val="sr-Latn-BA"/>
        </w:rPr>
        <w:t>Стратегија</w:t>
      </w:r>
      <w:r w:rsidR="00664E91" w:rsidRPr="00295637">
        <w:rPr>
          <w:rFonts w:ascii="Times New Roman" w:hAnsi="Times New Roman"/>
          <w:lang w:val="sr-Latn-BA"/>
        </w:rPr>
        <w:t xml:space="preserve"> </w:t>
      </w:r>
      <w:r>
        <w:rPr>
          <w:rFonts w:ascii="Times New Roman" w:hAnsi="Times New Roman"/>
          <w:lang w:val="sr-Latn-BA"/>
        </w:rPr>
        <w:t>развоја</w:t>
      </w:r>
      <w:r w:rsidR="00664E91" w:rsidRPr="00295637">
        <w:rPr>
          <w:rFonts w:ascii="Times New Roman" w:hAnsi="Times New Roman"/>
          <w:lang w:val="sr-Latn-BA"/>
        </w:rPr>
        <w:t xml:space="preserve"> </w:t>
      </w:r>
      <w:r>
        <w:rPr>
          <w:rFonts w:ascii="Times New Roman" w:hAnsi="Times New Roman"/>
          <w:lang w:val="sr-Latn-BA"/>
        </w:rPr>
        <w:t>предшколског</w:t>
      </w:r>
      <w:r w:rsidR="00664E91" w:rsidRPr="00295637">
        <w:rPr>
          <w:rFonts w:ascii="Times New Roman" w:hAnsi="Times New Roman"/>
          <w:lang w:val="sr-Latn-BA"/>
        </w:rPr>
        <w:t xml:space="preserve">, </w:t>
      </w:r>
      <w:r>
        <w:rPr>
          <w:rFonts w:ascii="Times New Roman" w:hAnsi="Times New Roman"/>
          <w:lang w:val="sr-Latn-BA"/>
        </w:rPr>
        <w:t>основног</w:t>
      </w:r>
      <w:r w:rsidR="00664E91" w:rsidRPr="00295637">
        <w:rPr>
          <w:rFonts w:ascii="Times New Roman" w:hAnsi="Times New Roman"/>
          <w:lang w:val="sr-Latn-BA"/>
        </w:rPr>
        <w:t xml:space="preserve"> </w:t>
      </w:r>
      <w:r>
        <w:rPr>
          <w:rFonts w:ascii="Times New Roman" w:hAnsi="Times New Roman"/>
          <w:lang w:val="sr-Latn-BA"/>
        </w:rPr>
        <w:t>и</w:t>
      </w:r>
      <w:r w:rsidR="00664E91" w:rsidRPr="00295637">
        <w:rPr>
          <w:rFonts w:ascii="Times New Roman" w:hAnsi="Times New Roman"/>
          <w:lang w:val="sr-Latn-BA"/>
        </w:rPr>
        <w:t xml:space="preserve"> </w:t>
      </w:r>
      <w:r>
        <w:rPr>
          <w:rFonts w:ascii="Times New Roman" w:hAnsi="Times New Roman"/>
          <w:lang w:val="sr-Latn-BA"/>
        </w:rPr>
        <w:t>средњег</w:t>
      </w:r>
      <w:r w:rsidR="00664E91" w:rsidRPr="00295637">
        <w:rPr>
          <w:rFonts w:ascii="Times New Roman" w:hAnsi="Times New Roman"/>
          <w:lang w:val="sr-Latn-BA"/>
        </w:rPr>
        <w:t xml:space="preserve"> </w:t>
      </w:r>
      <w:r>
        <w:rPr>
          <w:rFonts w:ascii="Times New Roman" w:hAnsi="Times New Roman"/>
          <w:lang w:val="sr-Latn-BA"/>
        </w:rPr>
        <w:t>васпитања</w:t>
      </w:r>
      <w:r w:rsidR="00664E91" w:rsidRPr="00295637">
        <w:rPr>
          <w:rFonts w:ascii="Times New Roman" w:hAnsi="Times New Roman"/>
          <w:lang w:val="sr-Latn-BA"/>
        </w:rPr>
        <w:t xml:space="preserve"> </w:t>
      </w:r>
      <w:r>
        <w:rPr>
          <w:rFonts w:ascii="Times New Roman" w:hAnsi="Times New Roman"/>
          <w:lang w:val="sr-Latn-BA"/>
        </w:rPr>
        <w:t>и</w:t>
      </w:r>
      <w:r w:rsidR="00664E91" w:rsidRPr="00295637">
        <w:rPr>
          <w:rFonts w:ascii="Times New Roman" w:hAnsi="Times New Roman"/>
          <w:lang w:val="sr-Latn-BA"/>
        </w:rPr>
        <w:t xml:space="preserve"> </w:t>
      </w:r>
      <w:r>
        <w:rPr>
          <w:rFonts w:ascii="Times New Roman" w:hAnsi="Times New Roman"/>
          <w:lang w:val="sr-Latn-BA"/>
        </w:rPr>
        <w:t>образовања</w:t>
      </w:r>
      <w:r w:rsidR="00664E91" w:rsidRPr="00295637">
        <w:rPr>
          <w:rFonts w:ascii="Times New Roman" w:hAnsi="Times New Roman"/>
          <w:lang w:val="sr-Latn-BA"/>
        </w:rPr>
        <w:t xml:space="preserve"> </w:t>
      </w:r>
      <w:r>
        <w:rPr>
          <w:rFonts w:ascii="Times New Roman" w:hAnsi="Times New Roman"/>
          <w:lang w:val="sr-Latn-BA"/>
        </w:rPr>
        <w:t>РС</w:t>
      </w:r>
      <w:r w:rsidR="00664E91" w:rsidRPr="00295637">
        <w:rPr>
          <w:rFonts w:ascii="Times New Roman" w:hAnsi="Times New Roman"/>
          <w:lang w:val="sr-Latn-BA"/>
        </w:rPr>
        <w:t xml:space="preserve"> </w:t>
      </w:r>
      <w:r>
        <w:rPr>
          <w:rFonts w:ascii="Times New Roman" w:hAnsi="Times New Roman"/>
          <w:lang w:val="sr-Latn-BA"/>
        </w:rPr>
        <w:t>за</w:t>
      </w:r>
      <w:r w:rsidR="00664E91" w:rsidRPr="00295637">
        <w:rPr>
          <w:rFonts w:ascii="Times New Roman" w:hAnsi="Times New Roman"/>
          <w:lang w:val="sr-Latn-BA"/>
        </w:rPr>
        <w:t xml:space="preserve"> </w:t>
      </w:r>
      <w:r>
        <w:rPr>
          <w:rFonts w:ascii="Times New Roman" w:hAnsi="Times New Roman"/>
          <w:lang w:val="sr-Latn-BA"/>
        </w:rPr>
        <w:t>период</w:t>
      </w:r>
      <w:r w:rsidR="00664E91" w:rsidRPr="00295637">
        <w:rPr>
          <w:rFonts w:ascii="Times New Roman" w:hAnsi="Times New Roman"/>
          <w:lang w:val="sr-Latn-BA"/>
        </w:rPr>
        <w:t xml:space="preserve"> 2022</w:t>
      </w:r>
      <w:r w:rsidR="00B00A19">
        <w:rPr>
          <w:rFonts w:ascii="Times New Roman" w:hAnsi="Times New Roman"/>
          <w:lang w:val="sr-Latn-BA"/>
        </w:rPr>
        <w:t>-</w:t>
      </w:r>
      <w:r w:rsidR="00664E91" w:rsidRPr="00295637">
        <w:rPr>
          <w:rFonts w:ascii="Times New Roman" w:hAnsi="Times New Roman"/>
          <w:lang w:val="sr-Latn-BA"/>
        </w:rPr>
        <w:t xml:space="preserve">2030. </w:t>
      </w:r>
      <w:r>
        <w:rPr>
          <w:rFonts w:ascii="Times New Roman" w:hAnsi="Times New Roman"/>
          <w:lang w:val="sr-Latn-BA"/>
        </w:rPr>
        <w:t>година</w:t>
      </w:r>
      <w:r w:rsidR="00664E91" w:rsidRPr="00295637">
        <w:rPr>
          <w:rFonts w:ascii="Times New Roman" w:hAnsi="Times New Roman"/>
          <w:lang w:val="sr-Latn-BA"/>
        </w:rPr>
        <w:t>,</w:t>
      </w:r>
      <w:r w:rsidR="000E0E8E" w:rsidRPr="00295637">
        <w:rPr>
          <w:rFonts w:ascii="Times New Roman" w:hAnsi="Times New Roman"/>
          <w:lang w:val="sr-Latn-BA"/>
        </w:rPr>
        <w:t xml:space="preserve"> </w:t>
      </w:r>
      <w:r>
        <w:rPr>
          <w:rFonts w:ascii="Times New Roman" w:hAnsi="Times New Roman"/>
          <w:lang w:val="sr-Latn-BA"/>
        </w:rPr>
        <w:t>Стратегија</w:t>
      </w:r>
      <w:r w:rsidR="00664E91" w:rsidRPr="00295637">
        <w:rPr>
          <w:rFonts w:ascii="Times New Roman" w:hAnsi="Times New Roman"/>
          <w:lang w:val="sr-Latn-BA"/>
        </w:rPr>
        <w:t xml:space="preserve"> </w:t>
      </w:r>
      <w:r>
        <w:rPr>
          <w:rFonts w:ascii="Times New Roman" w:hAnsi="Times New Roman"/>
          <w:lang w:val="sr-Latn-BA"/>
        </w:rPr>
        <w:t>развоја</w:t>
      </w:r>
      <w:r w:rsidR="00664E91" w:rsidRPr="00295637">
        <w:rPr>
          <w:rFonts w:ascii="Times New Roman" w:hAnsi="Times New Roman"/>
          <w:lang w:val="sr-Latn-BA"/>
        </w:rPr>
        <w:t xml:space="preserve"> </w:t>
      </w:r>
      <w:r>
        <w:rPr>
          <w:rFonts w:ascii="Times New Roman" w:hAnsi="Times New Roman"/>
          <w:lang w:val="sr-Latn-BA"/>
        </w:rPr>
        <w:t>науке</w:t>
      </w:r>
      <w:r w:rsidR="00664E91" w:rsidRPr="00295637">
        <w:rPr>
          <w:rFonts w:ascii="Times New Roman" w:hAnsi="Times New Roman"/>
          <w:lang w:val="sr-Latn-BA"/>
        </w:rPr>
        <w:t xml:space="preserve"> </w:t>
      </w:r>
      <w:r>
        <w:rPr>
          <w:rFonts w:ascii="Times New Roman" w:hAnsi="Times New Roman"/>
          <w:lang w:val="sr-Latn-BA"/>
        </w:rPr>
        <w:t>и</w:t>
      </w:r>
      <w:r w:rsidR="00664E91" w:rsidRPr="00295637">
        <w:rPr>
          <w:rFonts w:ascii="Times New Roman" w:hAnsi="Times New Roman"/>
          <w:lang w:val="sr-Latn-BA"/>
        </w:rPr>
        <w:t xml:space="preserve"> </w:t>
      </w:r>
      <w:r>
        <w:rPr>
          <w:rFonts w:ascii="Times New Roman" w:hAnsi="Times New Roman"/>
          <w:lang w:val="sr-Latn-BA"/>
        </w:rPr>
        <w:t>технологије</w:t>
      </w:r>
      <w:r w:rsidR="00664E91" w:rsidRPr="00295637">
        <w:rPr>
          <w:rFonts w:ascii="Times New Roman" w:hAnsi="Times New Roman"/>
          <w:lang w:val="sr-Latn-BA"/>
        </w:rPr>
        <w:t xml:space="preserve">, </w:t>
      </w:r>
      <w:r>
        <w:rPr>
          <w:rFonts w:ascii="Times New Roman" w:hAnsi="Times New Roman"/>
          <w:lang w:val="sr-Latn-BA"/>
        </w:rPr>
        <w:t>високог</w:t>
      </w:r>
      <w:r w:rsidR="00664E91" w:rsidRPr="00295637">
        <w:rPr>
          <w:rFonts w:ascii="Times New Roman" w:hAnsi="Times New Roman"/>
          <w:lang w:val="sr-Latn-BA"/>
        </w:rPr>
        <w:t xml:space="preserve"> </w:t>
      </w:r>
      <w:r>
        <w:rPr>
          <w:rFonts w:ascii="Times New Roman" w:hAnsi="Times New Roman"/>
          <w:lang w:val="sr-Latn-BA"/>
        </w:rPr>
        <w:t>образовања</w:t>
      </w:r>
      <w:r w:rsidR="00664E91" w:rsidRPr="00295637">
        <w:rPr>
          <w:rFonts w:ascii="Times New Roman" w:hAnsi="Times New Roman"/>
          <w:lang w:val="sr-Latn-BA"/>
        </w:rPr>
        <w:t xml:space="preserve"> </w:t>
      </w:r>
      <w:r>
        <w:rPr>
          <w:rFonts w:ascii="Times New Roman" w:hAnsi="Times New Roman"/>
          <w:lang w:val="sr-Latn-BA"/>
        </w:rPr>
        <w:t>и</w:t>
      </w:r>
      <w:r w:rsidR="00664E91" w:rsidRPr="00295637">
        <w:rPr>
          <w:rFonts w:ascii="Times New Roman" w:hAnsi="Times New Roman"/>
          <w:lang w:val="sr-Latn-BA"/>
        </w:rPr>
        <w:t xml:space="preserve"> </w:t>
      </w:r>
      <w:r>
        <w:rPr>
          <w:rFonts w:ascii="Times New Roman" w:hAnsi="Times New Roman"/>
          <w:lang w:val="sr-Latn-BA"/>
        </w:rPr>
        <w:t>информаци</w:t>
      </w:r>
      <w:r w:rsidR="0077778E">
        <w:rPr>
          <w:rFonts w:ascii="Times New Roman" w:hAnsi="Times New Roman"/>
          <w:lang w:val="sr-Cyrl-BA"/>
        </w:rPr>
        <w:t>оног</w:t>
      </w:r>
      <w:r w:rsidR="00664E91" w:rsidRPr="00295637">
        <w:rPr>
          <w:rFonts w:ascii="Times New Roman" w:hAnsi="Times New Roman"/>
          <w:lang w:val="sr-Latn-BA"/>
        </w:rPr>
        <w:t xml:space="preserve"> </w:t>
      </w:r>
      <w:r>
        <w:rPr>
          <w:rFonts w:ascii="Times New Roman" w:hAnsi="Times New Roman"/>
          <w:lang w:val="sr-Latn-BA"/>
        </w:rPr>
        <w:t>друштва</w:t>
      </w:r>
      <w:r w:rsidR="00664E91" w:rsidRPr="00295637">
        <w:rPr>
          <w:rFonts w:ascii="Times New Roman" w:hAnsi="Times New Roman"/>
          <w:lang w:val="sr-Latn-BA"/>
        </w:rPr>
        <w:t xml:space="preserve"> </w:t>
      </w:r>
      <w:r>
        <w:rPr>
          <w:rFonts w:ascii="Times New Roman" w:hAnsi="Times New Roman"/>
          <w:lang w:val="sr-Latn-BA"/>
        </w:rPr>
        <w:t>у</w:t>
      </w:r>
      <w:r w:rsidR="00664E91" w:rsidRPr="00295637">
        <w:rPr>
          <w:rFonts w:ascii="Times New Roman" w:hAnsi="Times New Roman"/>
          <w:lang w:val="sr-Latn-BA"/>
        </w:rPr>
        <w:t xml:space="preserve"> </w:t>
      </w:r>
      <w:r>
        <w:rPr>
          <w:rFonts w:ascii="Times New Roman" w:hAnsi="Times New Roman"/>
          <w:lang w:val="sr-Latn-BA"/>
        </w:rPr>
        <w:t>РС</w:t>
      </w:r>
      <w:r w:rsidR="00664E91" w:rsidRPr="00295637">
        <w:rPr>
          <w:rFonts w:ascii="Times New Roman" w:hAnsi="Times New Roman"/>
          <w:lang w:val="sr-Latn-BA"/>
        </w:rPr>
        <w:t xml:space="preserve"> </w:t>
      </w:r>
      <w:r>
        <w:rPr>
          <w:rFonts w:ascii="Times New Roman" w:hAnsi="Times New Roman"/>
          <w:lang w:val="sr-Latn-BA"/>
        </w:rPr>
        <w:t>за</w:t>
      </w:r>
      <w:r w:rsidR="00664E91" w:rsidRPr="00295637">
        <w:rPr>
          <w:rFonts w:ascii="Times New Roman" w:hAnsi="Times New Roman"/>
          <w:lang w:val="sr-Latn-BA"/>
        </w:rPr>
        <w:t xml:space="preserve"> </w:t>
      </w:r>
      <w:r>
        <w:rPr>
          <w:rFonts w:ascii="Times New Roman" w:hAnsi="Times New Roman"/>
          <w:lang w:val="sr-Latn-BA"/>
        </w:rPr>
        <w:t>период</w:t>
      </w:r>
      <w:r w:rsidR="00664E91" w:rsidRPr="00295637">
        <w:rPr>
          <w:rFonts w:ascii="Times New Roman" w:hAnsi="Times New Roman"/>
          <w:lang w:val="sr-Latn-BA"/>
        </w:rPr>
        <w:t xml:space="preserve"> 2023</w:t>
      </w:r>
      <w:r w:rsidR="00B00A19">
        <w:rPr>
          <w:rFonts w:ascii="Times New Roman" w:hAnsi="Times New Roman"/>
          <w:lang w:val="sr-Latn-BA"/>
        </w:rPr>
        <w:t>-</w:t>
      </w:r>
      <w:r w:rsidR="00664E91" w:rsidRPr="00295637">
        <w:rPr>
          <w:rFonts w:ascii="Times New Roman" w:hAnsi="Times New Roman"/>
          <w:lang w:val="sr-Latn-BA"/>
        </w:rPr>
        <w:t xml:space="preserve">2029. </w:t>
      </w:r>
      <w:r>
        <w:rPr>
          <w:rFonts w:ascii="Times New Roman" w:hAnsi="Times New Roman"/>
          <w:lang w:val="sr-Latn-BA"/>
        </w:rPr>
        <w:t>година</w:t>
      </w:r>
      <w:r w:rsidR="00A4284F" w:rsidRPr="00295637">
        <w:rPr>
          <w:rFonts w:ascii="Times New Roman" w:hAnsi="Times New Roman"/>
          <w:lang w:val="sr-Latn-BA"/>
        </w:rPr>
        <w:t xml:space="preserve"> </w:t>
      </w:r>
      <w:r>
        <w:rPr>
          <w:rFonts w:ascii="Times New Roman" w:hAnsi="Times New Roman"/>
          <w:lang w:val="sr-Latn-BA"/>
        </w:rPr>
        <w:t>и</w:t>
      </w:r>
      <w:r w:rsidR="00A4284F" w:rsidRPr="00295637">
        <w:rPr>
          <w:rFonts w:ascii="Times New Roman" w:hAnsi="Times New Roman"/>
          <w:lang w:val="sr-Latn-BA"/>
        </w:rPr>
        <w:t xml:space="preserve"> </w:t>
      </w:r>
      <w:r>
        <w:rPr>
          <w:rFonts w:ascii="Times New Roman" w:hAnsi="Times New Roman"/>
          <w:lang w:val="sr-Latn-BA"/>
        </w:rPr>
        <w:t>Омладинска</w:t>
      </w:r>
      <w:r w:rsidR="00664E91" w:rsidRPr="00295637">
        <w:rPr>
          <w:rFonts w:ascii="Times New Roman" w:hAnsi="Times New Roman"/>
          <w:lang w:val="sr-Latn-BA"/>
        </w:rPr>
        <w:t xml:space="preserve"> </w:t>
      </w:r>
      <w:r>
        <w:rPr>
          <w:rFonts w:ascii="Times New Roman" w:hAnsi="Times New Roman"/>
          <w:lang w:val="sr-Latn-BA"/>
        </w:rPr>
        <w:t>политика</w:t>
      </w:r>
      <w:r w:rsidR="00664E91" w:rsidRPr="00295637">
        <w:rPr>
          <w:rFonts w:ascii="Times New Roman" w:hAnsi="Times New Roman"/>
          <w:lang w:val="sr-Latn-BA"/>
        </w:rPr>
        <w:t xml:space="preserve"> </w:t>
      </w:r>
      <w:r>
        <w:rPr>
          <w:rFonts w:ascii="Times New Roman" w:hAnsi="Times New Roman"/>
          <w:lang w:val="sr-Latn-BA"/>
        </w:rPr>
        <w:t>РС</w:t>
      </w:r>
      <w:r w:rsidR="00664E91" w:rsidRPr="00295637">
        <w:rPr>
          <w:rFonts w:ascii="Times New Roman" w:hAnsi="Times New Roman"/>
          <w:lang w:val="sr-Latn-BA"/>
        </w:rPr>
        <w:t xml:space="preserve"> 2023</w:t>
      </w:r>
      <w:r w:rsidR="00B00A19">
        <w:rPr>
          <w:rFonts w:ascii="Times New Roman" w:hAnsi="Times New Roman"/>
          <w:lang w:val="sr-Latn-BA"/>
        </w:rPr>
        <w:t>-</w:t>
      </w:r>
      <w:r w:rsidR="00664E91" w:rsidRPr="00295637">
        <w:rPr>
          <w:rFonts w:ascii="Times New Roman" w:hAnsi="Times New Roman"/>
          <w:lang w:val="sr-Latn-BA"/>
        </w:rPr>
        <w:t>2027.</w:t>
      </w:r>
      <w:r w:rsidR="00B00A19">
        <w:rPr>
          <w:rFonts w:ascii="Times New Roman" w:hAnsi="Times New Roman"/>
          <w:lang w:val="sr-Latn-BA"/>
        </w:rPr>
        <w:t xml:space="preserve"> </w:t>
      </w:r>
      <w:r>
        <w:rPr>
          <w:rFonts w:ascii="Times New Roman" w:hAnsi="Times New Roman"/>
          <w:lang w:val="sr-Latn-BA"/>
        </w:rPr>
        <w:t>година</w:t>
      </w:r>
      <w:r w:rsidR="00B00A19">
        <w:rPr>
          <w:rFonts w:ascii="Times New Roman" w:hAnsi="Times New Roman"/>
          <w:lang w:val="sr-Latn-BA"/>
        </w:rPr>
        <w:t>.</w:t>
      </w:r>
      <w:r w:rsidR="001D79A9">
        <w:rPr>
          <w:rFonts w:ascii="Times New Roman" w:hAnsi="Times New Roman"/>
          <w:lang w:val="sr-Latn-BA"/>
        </w:rPr>
        <w:t xml:space="preserve"> </w:t>
      </w:r>
      <w:r>
        <w:rPr>
          <w:rFonts w:ascii="Times New Roman" w:hAnsi="Times New Roman"/>
          <w:lang w:val="sr-Latn-BA"/>
        </w:rPr>
        <w:t>У</w:t>
      </w:r>
      <w:r w:rsidR="001D79A9" w:rsidRPr="00295637">
        <w:rPr>
          <w:rFonts w:ascii="Times New Roman" w:hAnsi="Times New Roman"/>
          <w:lang w:val="sr-Latn-BA"/>
        </w:rPr>
        <w:t xml:space="preserve"> 2024. </w:t>
      </w:r>
      <w:r>
        <w:rPr>
          <w:rFonts w:ascii="Times New Roman" w:hAnsi="Times New Roman"/>
          <w:lang w:val="sr-Latn-BA"/>
        </w:rPr>
        <w:t>години</w:t>
      </w:r>
      <w:r w:rsidR="001D79A9">
        <w:rPr>
          <w:rFonts w:ascii="Times New Roman" w:hAnsi="Times New Roman"/>
          <w:lang w:val="sr-Latn-BA"/>
        </w:rPr>
        <w:t xml:space="preserve">, </w:t>
      </w:r>
      <w:r>
        <w:rPr>
          <w:rFonts w:ascii="Times New Roman" w:hAnsi="Times New Roman"/>
          <w:lang w:val="sr-Latn-BA"/>
        </w:rPr>
        <w:t>ЦЈРП</w:t>
      </w:r>
      <w:r w:rsidR="001D79A9" w:rsidRPr="00295637">
        <w:rPr>
          <w:rFonts w:ascii="Times New Roman" w:hAnsi="Times New Roman"/>
          <w:lang w:val="sr-Latn-BA"/>
        </w:rPr>
        <w:t xml:space="preserve"> </w:t>
      </w:r>
      <w:r>
        <w:rPr>
          <w:rFonts w:ascii="Times New Roman" w:hAnsi="Times New Roman"/>
          <w:lang w:val="sr-Latn-BA"/>
        </w:rPr>
        <w:t>РС</w:t>
      </w:r>
      <w:r w:rsidR="001D79A9" w:rsidRPr="00295637">
        <w:rPr>
          <w:rFonts w:ascii="Times New Roman" w:hAnsi="Times New Roman"/>
          <w:lang w:val="sr-Cyrl-BA"/>
        </w:rPr>
        <w:t xml:space="preserve"> </w:t>
      </w:r>
      <w:r>
        <w:rPr>
          <w:rFonts w:ascii="Times New Roman" w:hAnsi="Times New Roman"/>
          <w:lang w:val="sr-Cyrl-BA"/>
        </w:rPr>
        <w:t>је</w:t>
      </w:r>
      <w:r w:rsidR="001D79A9" w:rsidRPr="00295637">
        <w:rPr>
          <w:rFonts w:ascii="Times New Roman" w:hAnsi="Times New Roman"/>
          <w:lang w:val="sr-Cyrl-BA"/>
        </w:rPr>
        <w:t xml:space="preserve"> </w:t>
      </w:r>
      <w:r>
        <w:rPr>
          <w:rFonts w:ascii="Times New Roman" w:hAnsi="Times New Roman"/>
          <w:lang w:val="sr-Cyrl-BA"/>
        </w:rPr>
        <w:t>дао</w:t>
      </w:r>
      <w:r w:rsidR="001D79A9" w:rsidRPr="00295637">
        <w:rPr>
          <w:rFonts w:ascii="Times New Roman" w:hAnsi="Times New Roman"/>
          <w:lang w:val="sr-Cyrl-BA"/>
        </w:rPr>
        <w:t xml:space="preserve"> </w:t>
      </w:r>
      <w:r>
        <w:rPr>
          <w:rFonts w:ascii="Times New Roman" w:hAnsi="Times New Roman"/>
          <w:lang w:val="sr-Cyrl-BA"/>
        </w:rPr>
        <w:t>мишљењ</w:t>
      </w:r>
      <w:r>
        <w:rPr>
          <w:rFonts w:ascii="Times New Roman" w:hAnsi="Times New Roman"/>
          <w:lang w:val="bs-Latn-BA"/>
        </w:rPr>
        <w:t>а</w:t>
      </w:r>
      <w:r w:rsidR="001D79A9" w:rsidRPr="00295637">
        <w:rPr>
          <w:rFonts w:ascii="Times New Roman" w:hAnsi="Times New Roman"/>
          <w:lang w:val="sr-Cyrl-BA"/>
        </w:rPr>
        <w:t xml:space="preserve"> </w:t>
      </w:r>
      <w:r>
        <w:rPr>
          <w:rFonts w:ascii="Times New Roman" w:hAnsi="Times New Roman"/>
          <w:lang w:val="sr-Cyrl-BA"/>
        </w:rPr>
        <w:t>о</w:t>
      </w:r>
      <w:r w:rsidR="001D79A9" w:rsidRPr="00295637">
        <w:rPr>
          <w:rFonts w:ascii="Times New Roman" w:hAnsi="Times New Roman"/>
          <w:lang w:val="sr-Cyrl-BA"/>
        </w:rPr>
        <w:t xml:space="preserve"> </w:t>
      </w:r>
      <w:r>
        <w:rPr>
          <w:rFonts w:ascii="Times New Roman" w:hAnsi="Times New Roman"/>
          <w:lang w:val="sr-Cyrl-BA"/>
        </w:rPr>
        <w:t>усклађености</w:t>
      </w:r>
      <w:r w:rsidR="001D79A9" w:rsidRPr="00295637">
        <w:rPr>
          <w:rFonts w:ascii="Times New Roman" w:hAnsi="Times New Roman"/>
          <w:lang w:val="sr-Cyrl-BA"/>
        </w:rPr>
        <w:t xml:space="preserve"> </w:t>
      </w:r>
      <w:r>
        <w:rPr>
          <w:rFonts w:ascii="Times New Roman" w:hAnsi="Times New Roman"/>
          <w:lang w:val="sr-Latn-BA"/>
        </w:rPr>
        <w:t>три</w:t>
      </w:r>
      <w:r w:rsidR="001D79A9">
        <w:rPr>
          <w:rFonts w:ascii="Times New Roman" w:hAnsi="Times New Roman"/>
          <w:lang w:val="sr-Latn-BA"/>
        </w:rPr>
        <w:t xml:space="preserve"> </w:t>
      </w:r>
      <w:r>
        <w:rPr>
          <w:rFonts w:ascii="Times New Roman" w:hAnsi="Times New Roman"/>
          <w:lang w:val="sr-Latn-BA"/>
        </w:rPr>
        <w:t>акта</w:t>
      </w:r>
      <w:r w:rsidR="00B00A19">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1D79A9" w:rsidRPr="00295637">
        <w:rPr>
          <w:rFonts w:ascii="Times New Roman" w:hAnsi="Times New Roman"/>
          <w:lang w:val="sr-Cyrl-BA"/>
        </w:rPr>
        <w:t xml:space="preserve"> </w:t>
      </w:r>
      <w:r>
        <w:rPr>
          <w:rFonts w:ascii="Times New Roman" w:hAnsi="Times New Roman"/>
          <w:lang w:val="sr-Cyrl-BA"/>
        </w:rPr>
        <w:t>З</w:t>
      </w:r>
      <w:r>
        <w:rPr>
          <w:rFonts w:ascii="Times New Roman" w:hAnsi="Times New Roman"/>
          <w:lang w:val="bs-Latn-BA"/>
        </w:rPr>
        <w:t>оР</w:t>
      </w:r>
      <w:r w:rsidR="0077778E">
        <w:rPr>
          <w:rFonts w:ascii="Times New Roman" w:hAnsi="Times New Roman"/>
          <w:lang w:val="sr-Cyrl-BA"/>
        </w:rPr>
        <w:t>П</w:t>
      </w:r>
      <w:r w:rsidR="001D79A9">
        <w:rPr>
          <w:rFonts w:ascii="Times New Roman" w:hAnsi="Times New Roman"/>
          <w:lang w:val="bs-Latn-BA"/>
        </w:rPr>
        <w:t>-</w:t>
      </w:r>
      <w:r>
        <w:rPr>
          <w:rFonts w:ascii="Times New Roman" w:hAnsi="Times New Roman"/>
          <w:lang w:val="bs-Latn-BA"/>
        </w:rPr>
        <w:t>ом</w:t>
      </w:r>
      <w:r w:rsidR="001D79A9">
        <w:rPr>
          <w:rFonts w:ascii="Times New Roman" w:hAnsi="Times New Roman"/>
          <w:lang w:val="bs-Latn-BA"/>
        </w:rPr>
        <w:t xml:space="preserve"> </w:t>
      </w:r>
      <w:r>
        <w:rPr>
          <w:rFonts w:ascii="Times New Roman" w:hAnsi="Times New Roman"/>
          <w:lang w:val="bs-Latn-BA"/>
        </w:rPr>
        <w:t>БиХ</w:t>
      </w:r>
      <w:r w:rsidR="001D79A9" w:rsidRPr="00295637">
        <w:rPr>
          <w:rFonts w:ascii="Times New Roman" w:hAnsi="Times New Roman"/>
          <w:lang w:val="sr-Cyrl-BA"/>
        </w:rPr>
        <w:t xml:space="preserve">: </w:t>
      </w:r>
      <w:r>
        <w:rPr>
          <w:rFonts w:ascii="Times New Roman" w:hAnsi="Times New Roman"/>
          <w:lang w:val="sr-Cyrl-BA"/>
        </w:rPr>
        <w:t>Средњорочни</w:t>
      </w:r>
      <w:r w:rsidR="001D79A9" w:rsidRPr="00295637">
        <w:rPr>
          <w:rFonts w:ascii="Times New Roman" w:hAnsi="Times New Roman"/>
          <w:lang w:val="sr-Cyrl-BA"/>
        </w:rPr>
        <w:t xml:space="preserve"> </w:t>
      </w:r>
      <w:r>
        <w:rPr>
          <w:rFonts w:ascii="Times New Roman" w:hAnsi="Times New Roman"/>
          <w:lang w:val="sr-Cyrl-BA"/>
        </w:rPr>
        <w:t>план</w:t>
      </w:r>
      <w:r w:rsidR="001D79A9" w:rsidRPr="00295637">
        <w:rPr>
          <w:rFonts w:ascii="Times New Roman" w:hAnsi="Times New Roman"/>
          <w:lang w:val="sr-Cyrl-BA"/>
        </w:rPr>
        <w:t xml:space="preserve"> </w:t>
      </w:r>
      <w:r>
        <w:rPr>
          <w:rFonts w:ascii="Times New Roman" w:hAnsi="Times New Roman"/>
          <w:lang w:val="sr-Cyrl-BA"/>
        </w:rPr>
        <w:t>рада</w:t>
      </w:r>
      <w:r w:rsidR="001D79A9" w:rsidRPr="00295637">
        <w:rPr>
          <w:rFonts w:ascii="Times New Roman" w:hAnsi="Times New Roman"/>
          <w:lang w:val="sr-Cyrl-BA"/>
        </w:rPr>
        <w:t xml:space="preserve"> 2025</w:t>
      </w:r>
      <w:r w:rsidR="00B00A19">
        <w:rPr>
          <w:rFonts w:ascii="Times New Roman" w:hAnsi="Times New Roman"/>
          <w:lang w:val="bs-Latn-BA"/>
        </w:rPr>
        <w:t>-</w:t>
      </w:r>
      <w:r w:rsidR="001D79A9" w:rsidRPr="00295637">
        <w:rPr>
          <w:rFonts w:ascii="Times New Roman" w:hAnsi="Times New Roman"/>
          <w:lang w:val="sr-Cyrl-BA"/>
        </w:rPr>
        <w:t>2027</w:t>
      </w:r>
      <w:r w:rsidR="00B00A19">
        <w:rPr>
          <w:rFonts w:ascii="Times New Roman" w:hAnsi="Times New Roman"/>
          <w:lang w:val="hr-HR"/>
        </w:rPr>
        <w:t xml:space="preserve">. </w:t>
      </w:r>
      <w:r>
        <w:rPr>
          <w:rFonts w:ascii="Times New Roman" w:hAnsi="Times New Roman"/>
          <w:lang w:val="hr-HR"/>
        </w:rPr>
        <w:t>година</w:t>
      </w:r>
      <w:r w:rsidR="001D79A9" w:rsidRPr="00295637">
        <w:rPr>
          <w:rFonts w:ascii="Times New Roman" w:hAnsi="Times New Roman"/>
          <w:lang w:val="sr-Cyrl-BA"/>
        </w:rPr>
        <w:t xml:space="preserve"> </w:t>
      </w:r>
      <w:r>
        <w:rPr>
          <w:rFonts w:ascii="Times New Roman" w:hAnsi="Times New Roman"/>
          <w:lang w:val="sr-Cyrl-BA"/>
        </w:rPr>
        <w:t>Завода</w:t>
      </w:r>
      <w:r w:rsidR="001D79A9" w:rsidRPr="00295637">
        <w:rPr>
          <w:rFonts w:ascii="Times New Roman" w:hAnsi="Times New Roman"/>
          <w:lang w:val="sr-Cyrl-BA"/>
        </w:rPr>
        <w:t xml:space="preserve"> </w:t>
      </w:r>
      <w:r>
        <w:rPr>
          <w:rFonts w:ascii="Times New Roman" w:hAnsi="Times New Roman"/>
          <w:lang w:val="sr-Cyrl-BA"/>
        </w:rPr>
        <w:t>за</w:t>
      </w:r>
      <w:r w:rsidR="001D79A9" w:rsidRPr="00295637">
        <w:rPr>
          <w:rFonts w:ascii="Times New Roman" w:hAnsi="Times New Roman"/>
          <w:lang w:val="sr-Cyrl-BA"/>
        </w:rPr>
        <w:t xml:space="preserve"> </w:t>
      </w:r>
      <w:r>
        <w:rPr>
          <w:rFonts w:ascii="Times New Roman" w:hAnsi="Times New Roman"/>
          <w:lang w:val="sr-Cyrl-BA"/>
        </w:rPr>
        <w:t>образовање</w:t>
      </w:r>
      <w:r w:rsidR="001D79A9" w:rsidRPr="00295637">
        <w:rPr>
          <w:rFonts w:ascii="Times New Roman" w:hAnsi="Times New Roman"/>
          <w:lang w:val="sr-Cyrl-BA"/>
        </w:rPr>
        <w:t xml:space="preserve"> </w:t>
      </w:r>
      <w:r>
        <w:rPr>
          <w:rFonts w:ascii="Times New Roman" w:hAnsi="Times New Roman"/>
          <w:lang w:val="sr-Cyrl-BA"/>
        </w:rPr>
        <w:t>одраслих</w:t>
      </w:r>
      <w:r w:rsidR="001D79A9" w:rsidRPr="00295637">
        <w:rPr>
          <w:rFonts w:ascii="Times New Roman" w:hAnsi="Times New Roman"/>
          <w:lang w:val="sr-Cyrl-BA"/>
        </w:rPr>
        <w:t xml:space="preserve">, </w:t>
      </w:r>
      <w:r>
        <w:rPr>
          <w:rFonts w:ascii="Times New Roman" w:hAnsi="Times New Roman"/>
          <w:lang w:val="sr-Cyrl-BA"/>
        </w:rPr>
        <w:t>Годишњи</w:t>
      </w:r>
      <w:r w:rsidR="001D79A9" w:rsidRPr="00295637">
        <w:rPr>
          <w:rFonts w:ascii="Times New Roman" w:hAnsi="Times New Roman"/>
          <w:lang w:val="sr-Cyrl-BA"/>
        </w:rPr>
        <w:t xml:space="preserve"> </w:t>
      </w:r>
      <w:r>
        <w:rPr>
          <w:rFonts w:ascii="Times New Roman" w:hAnsi="Times New Roman"/>
          <w:lang w:val="sr-Cyrl-BA"/>
        </w:rPr>
        <w:t>план</w:t>
      </w:r>
      <w:r w:rsidR="001D79A9" w:rsidRPr="00295637">
        <w:rPr>
          <w:rFonts w:ascii="Times New Roman" w:hAnsi="Times New Roman"/>
          <w:lang w:val="sr-Cyrl-BA"/>
        </w:rPr>
        <w:t xml:space="preserve"> </w:t>
      </w:r>
      <w:r>
        <w:rPr>
          <w:rFonts w:ascii="Times New Roman" w:hAnsi="Times New Roman"/>
          <w:lang w:val="sr-Cyrl-BA"/>
        </w:rPr>
        <w:t>рада</w:t>
      </w:r>
      <w:r w:rsidR="001D79A9" w:rsidRPr="00295637">
        <w:rPr>
          <w:rFonts w:ascii="Times New Roman" w:hAnsi="Times New Roman"/>
          <w:lang w:val="sr-Cyrl-BA"/>
        </w:rPr>
        <w:t xml:space="preserve"> </w:t>
      </w:r>
      <w:r>
        <w:rPr>
          <w:rFonts w:ascii="Times New Roman" w:hAnsi="Times New Roman"/>
          <w:lang w:val="sr-Cyrl-BA"/>
        </w:rPr>
        <w:t>Завода</w:t>
      </w:r>
      <w:r w:rsidR="001D79A9" w:rsidRPr="00295637">
        <w:rPr>
          <w:rFonts w:ascii="Times New Roman" w:hAnsi="Times New Roman"/>
          <w:lang w:val="sr-Cyrl-BA"/>
        </w:rPr>
        <w:t xml:space="preserve"> </w:t>
      </w:r>
      <w:r>
        <w:rPr>
          <w:rFonts w:ascii="Times New Roman" w:hAnsi="Times New Roman"/>
          <w:lang w:val="sr-Cyrl-BA"/>
        </w:rPr>
        <w:t>за</w:t>
      </w:r>
      <w:r w:rsidR="001D79A9" w:rsidRPr="00295637">
        <w:rPr>
          <w:rFonts w:ascii="Times New Roman" w:hAnsi="Times New Roman"/>
          <w:lang w:val="sr-Cyrl-BA"/>
        </w:rPr>
        <w:t xml:space="preserve"> </w:t>
      </w:r>
      <w:r>
        <w:rPr>
          <w:rFonts w:ascii="Times New Roman" w:hAnsi="Times New Roman"/>
          <w:lang w:val="sr-Cyrl-BA"/>
        </w:rPr>
        <w:t>образовање</w:t>
      </w:r>
      <w:r w:rsidR="001D79A9" w:rsidRPr="00295637">
        <w:rPr>
          <w:rFonts w:ascii="Times New Roman" w:hAnsi="Times New Roman"/>
          <w:lang w:val="sr-Cyrl-BA"/>
        </w:rPr>
        <w:t xml:space="preserve"> </w:t>
      </w:r>
      <w:r>
        <w:rPr>
          <w:rFonts w:ascii="Times New Roman" w:hAnsi="Times New Roman"/>
          <w:lang w:val="sr-Cyrl-BA"/>
        </w:rPr>
        <w:t>одраслих</w:t>
      </w:r>
      <w:r w:rsidR="001D79A9" w:rsidRPr="00295637">
        <w:rPr>
          <w:rFonts w:ascii="Times New Roman" w:hAnsi="Times New Roman"/>
          <w:lang w:val="sr-Cyrl-BA"/>
        </w:rPr>
        <w:t xml:space="preserve"> </w:t>
      </w:r>
      <w:r>
        <w:rPr>
          <w:rFonts w:ascii="Times New Roman" w:hAnsi="Times New Roman"/>
          <w:lang w:val="sr-Cyrl-BA"/>
        </w:rPr>
        <w:t>и</w:t>
      </w:r>
      <w:r w:rsidR="001D79A9" w:rsidRPr="00295637">
        <w:rPr>
          <w:rFonts w:ascii="Times New Roman" w:hAnsi="Times New Roman"/>
          <w:lang w:val="sr-Cyrl-BA"/>
        </w:rPr>
        <w:t xml:space="preserve"> </w:t>
      </w:r>
      <w:r>
        <w:rPr>
          <w:rFonts w:ascii="Times New Roman" w:hAnsi="Times New Roman"/>
          <w:lang w:val="sr-Cyrl-BA"/>
        </w:rPr>
        <w:t>План</w:t>
      </w:r>
      <w:r w:rsidR="001D79A9" w:rsidRPr="00295637">
        <w:rPr>
          <w:rFonts w:ascii="Times New Roman" w:hAnsi="Times New Roman"/>
          <w:lang w:val="sr-Cyrl-BA"/>
        </w:rPr>
        <w:t xml:space="preserve"> </w:t>
      </w:r>
      <w:r>
        <w:rPr>
          <w:rFonts w:ascii="Times New Roman" w:hAnsi="Times New Roman"/>
          <w:lang w:val="sr-Cyrl-BA"/>
        </w:rPr>
        <w:t>образовања</w:t>
      </w:r>
      <w:r w:rsidR="001D79A9" w:rsidRPr="00295637">
        <w:rPr>
          <w:rFonts w:ascii="Times New Roman" w:hAnsi="Times New Roman"/>
          <w:lang w:val="sr-Cyrl-BA"/>
        </w:rPr>
        <w:t xml:space="preserve"> </w:t>
      </w:r>
      <w:r>
        <w:rPr>
          <w:rFonts w:ascii="Times New Roman" w:hAnsi="Times New Roman"/>
          <w:lang w:val="sr-Cyrl-BA"/>
        </w:rPr>
        <w:t>одраслих</w:t>
      </w:r>
      <w:r w:rsidR="001D79A9" w:rsidRPr="00295637">
        <w:rPr>
          <w:rFonts w:ascii="Times New Roman" w:hAnsi="Times New Roman"/>
          <w:lang w:val="sr-Cyrl-BA"/>
        </w:rPr>
        <w:t>.</w:t>
      </w:r>
      <w:r w:rsidR="00B00A19">
        <w:rPr>
          <w:rFonts w:ascii="Times New Roman" w:hAnsi="Times New Roman"/>
          <w:lang w:val="bs-Latn-BA"/>
        </w:rPr>
        <w:t xml:space="preserve"> </w:t>
      </w:r>
      <w:r>
        <w:rPr>
          <w:rFonts w:ascii="Times New Roman" w:hAnsi="Times New Roman"/>
          <w:lang w:val="bs-Latn-BA"/>
        </w:rPr>
        <w:t>Ови</w:t>
      </w:r>
      <w:r w:rsidR="00B00A19">
        <w:rPr>
          <w:rFonts w:ascii="Times New Roman" w:hAnsi="Times New Roman"/>
          <w:lang w:val="bs-Latn-BA"/>
        </w:rPr>
        <w:t xml:space="preserve"> </w:t>
      </w:r>
      <w:r>
        <w:rPr>
          <w:rFonts w:ascii="Times New Roman" w:hAnsi="Times New Roman"/>
          <w:lang w:val="bs-Latn-BA"/>
        </w:rPr>
        <w:t>акти</w:t>
      </w:r>
      <w:r w:rsidR="00B00A19">
        <w:rPr>
          <w:rFonts w:ascii="Times New Roman" w:hAnsi="Times New Roman"/>
          <w:lang w:val="bs-Latn-BA"/>
        </w:rPr>
        <w:t xml:space="preserve"> </w:t>
      </w:r>
      <w:r>
        <w:rPr>
          <w:rFonts w:ascii="Times New Roman" w:hAnsi="Times New Roman"/>
          <w:lang w:val="bs-Latn-BA"/>
        </w:rPr>
        <w:t>су</w:t>
      </w:r>
      <w:r w:rsidR="00B00A19">
        <w:rPr>
          <w:rFonts w:ascii="Times New Roman" w:hAnsi="Times New Roman"/>
          <w:lang w:val="bs-Latn-BA"/>
        </w:rPr>
        <w:t xml:space="preserve"> </w:t>
      </w:r>
      <w:r>
        <w:rPr>
          <w:rFonts w:ascii="Times New Roman" w:hAnsi="Times New Roman"/>
          <w:lang w:val="bs-Latn-BA"/>
        </w:rPr>
        <w:t>усклађени</w:t>
      </w:r>
      <w:r w:rsidR="00B00A19">
        <w:rPr>
          <w:rFonts w:ascii="Times New Roman" w:hAnsi="Times New Roman"/>
          <w:lang w:val="bs-Latn-BA"/>
        </w:rPr>
        <w:t xml:space="preserve"> </w:t>
      </w:r>
      <w:r>
        <w:rPr>
          <w:rFonts w:ascii="Times New Roman" w:hAnsi="Times New Roman"/>
          <w:lang w:val="bs-Latn-BA"/>
        </w:rPr>
        <w:t>са</w:t>
      </w:r>
      <w:r w:rsidR="001D79A9">
        <w:rPr>
          <w:rFonts w:ascii="Times New Roman" w:hAnsi="Times New Roman"/>
          <w:lang w:val="bs-Latn-BA"/>
        </w:rPr>
        <w:t xml:space="preserve"> </w:t>
      </w:r>
      <w:r>
        <w:rPr>
          <w:rFonts w:ascii="Times New Roman" w:hAnsi="Times New Roman"/>
          <w:lang w:val="bs-Latn-BA"/>
        </w:rPr>
        <w:t>ЗоР</w:t>
      </w:r>
      <w:r w:rsidR="0077778E">
        <w:rPr>
          <w:rFonts w:ascii="Times New Roman" w:hAnsi="Times New Roman"/>
          <w:lang w:val="sr-Cyrl-BA"/>
        </w:rPr>
        <w:t>П</w:t>
      </w:r>
      <w:r w:rsidR="001D79A9">
        <w:rPr>
          <w:rFonts w:ascii="Times New Roman" w:hAnsi="Times New Roman"/>
          <w:lang w:val="bs-Latn-BA"/>
        </w:rPr>
        <w:t>-</w:t>
      </w:r>
      <w:r>
        <w:rPr>
          <w:rFonts w:ascii="Times New Roman" w:hAnsi="Times New Roman"/>
          <w:lang w:val="bs-Latn-BA"/>
        </w:rPr>
        <w:t>ом</w:t>
      </w:r>
      <w:r w:rsidR="001D79A9">
        <w:rPr>
          <w:rFonts w:ascii="Times New Roman" w:hAnsi="Times New Roman"/>
          <w:lang w:val="bs-Latn-BA"/>
        </w:rPr>
        <w:t xml:space="preserve"> </w:t>
      </w:r>
      <w:r>
        <w:rPr>
          <w:rFonts w:ascii="Times New Roman" w:hAnsi="Times New Roman"/>
          <w:lang w:val="bs-Latn-BA"/>
        </w:rPr>
        <w:t>БиХ</w:t>
      </w:r>
      <w:r w:rsidR="001D79A9">
        <w:rPr>
          <w:rFonts w:ascii="Times New Roman" w:hAnsi="Times New Roman"/>
          <w:lang w:val="bs-Latn-BA"/>
        </w:rPr>
        <w:t>.</w:t>
      </w:r>
      <w:r w:rsidR="001F15EF">
        <w:rPr>
          <w:rFonts w:ascii="Times New Roman" w:hAnsi="Times New Roman"/>
          <w:lang w:val="bs-Latn-BA"/>
        </w:rPr>
        <w:t xml:space="preserve"> </w:t>
      </w:r>
      <w:r>
        <w:rPr>
          <w:rFonts w:ascii="Times New Roman" w:hAnsi="Times New Roman"/>
          <w:lang w:val="sr-Latn-BA"/>
        </w:rPr>
        <w:t>Системско</w:t>
      </w:r>
      <w:r w:rsidR="001F15EF">
        <w:rPr>
          <w:rFonts w:ascii="Times New Roman" w:hAnsi="Times New Roman"/>
          <w:lang w:val="sr-Latn-BA"/>
        </w:rPr>
        <w:t xml:space="preserve"> </w:t>
      </w:r>
      <w:r>
        <w:rPr>
          <w:rFonts w:ascii="Times New Roman" w:hAnsi="Times New Roman"/>
          <w:lang w:val="sr-Latn-BA"/>
        </w:rPr>
        <w:t>законодавство</w:t>
      </w:r>
      <w:r w:rsidR="001F15EF">
        <w:rPr>
          <w:rFonts w:ascii="Times New Roman" w:hAnsi="Times New Roman"/>
          <w:lang w:val="sr-Latn-BA"/>
        </w:rPr>
        <w:t xml:space="preserve"> </w:t>
      </w:r>
      <w:r>
        <w:rPr>
          <w:rFonts w:ascii="Times New Roman" w:hAnsi="Times New Roman"/>
          <w:lang w:val="sr-Latn-BA"/>
        </w:rPr>
        <w:t>РС</w:t>
      </w:r>
      <w:r w:rsidR="001F15EF">
        <w:rPr>
          <w:rFonts w:ascii="Times New Roman" w:hAnsi="Times New Roman"/>
          <w:lang w:val="sr-Latn-BA"/>
        </w:rPr>
        <w:t xml:space="preserve"> </w:t>
      </w:r>
      <w:r>
        <w:rPr>
          <w:rFonts w:ascii="Times New Roman" w:hAnsi="Times New Roman"/>
          <w:lang w:val="sr-Latn-BA"/>
        </w:rPr>
        <w:t>из</w:t>
      </w:r>
      <w:r w:rsidR="001F15EF">
        <w:rPr>
          <w:rFonts w:ascii="Times New Roman" w:hAnsi="Times New Roman"/>
          <w:lang w:val="sr-Latn-BA"/>
        </w:rPr>
        <w:t xml:space="preserve"> </w:t>
      </w:r>
      <w:r>
        <w:rPr>
          <w:rFonts w:ascii="Times New Roman" w:hAnsi="Times New Roman"/>
          <w:lang w:val="sr-Latn-BA"/>
        </w:rPr>
        <w:t>области</w:t>
      </w:r>
      <w:r w:rsidR="001F15EF">
        <w:rPr>
          <w:rFonts w:ascii="Times New Roman" w:hAnsi="Times New Roman"/>
          <w:lang w:val="sr-Latn-BA"/>
        </w:rPr>
        <w:t xml:space="preserve"> </w:t>
      </w:r>
      <w:r>
        <w:rPr>
          <w:rFonts w:ascii="Times New Roman" w:hAnsi="Times New Roman"/>
          <w:lang w:val="sr-Latn-BA"/>
        </w:rPr>
        <w:t>образовања</w:t>
      </w:r>
      <w:r w:rsidR="001F15EF">
        <w:rPr>
          <w:rFonts w:ascii="Times New Roman" w:hAnsi="Times New Roman"/>
          <w:lang w:val="sr-Latn-BA"/>
        </w:rPr>
        <w:t xml:space="preserve">, </w:t>
      </w:r>
      <w:r>
        <w:rPr>
          <w:rFonts w:ascii="Times New Roman" w:hAnsi="Times New Roman"/>
          <w:lang w:val="sr-Latn-BA"/>
        </w:rPr>
        <w:t>науке</w:t>
      </w:r>
      <w:r w:rsidR="001F15EF">
        <w:rPr>
          <w:rFonts w:ascii="Times New Roman" w:hAnsi="Times New Roman"/>
          <w:lang w:val="sr-Latn-BA"/>
        </w:rPr>
        <w:t xml:space="preserve">, </w:t>
      </w:r>
      <w:r>
        <w:rPr>
          <w:rFonts w:ascii="Times New Roman" w:hAnsi="Times New Roman"/>
          <w:lang w:val="sr-Latn-BA"/>
        </w:rPr>
        <w:t>културе</w:t>
      </w:r>
      <w:r w:rsidR="001F15EF">
        <w:rPr>
          <w:rFonts w:ascii="Times New Roman" w:hAnsi="Times New Roman"/>
          <w:lang w:val="sr-Latn-BA"/>
        </w:rPr>
        <w:t xml:space="preserve"> </w:t>
      </w:r>
      <w:r>
        <w:rPr>
          <w:rFonts w:ascii="Times New Roman" w:hAnsi="Times New Roman"/>
          <w:lang w:val="sr-Latn-BA"/>
        </w:rPr>
        <w:t>и</w:t>
      </w:r>
      <w:r w:rsidR="001F15EF">
        <w:rPr>
          <w:rFonts w:ascii="Times New Roman" w:hAnsi="Times New Roman"/>
          <w:lang w:val="sr-Latn-BA"/>
        </w:rPr>
        <w:t xml:space="preserve"> </w:t>
      </w:r>
      <w:r>
        <w:rPr>
          <w:rFonts w:ascii="Times New Roman" w:hAnsi="Times New Roman"/>
          <w:lang w:val="sr-Latn-BA"/>
        </w:rPr>
        <w:t>спорта</w:t>
      </w:r>
      <w:r w:rsidR="001F15EF">
        <w:rPr>
          <w:rFonts w:ascii="Times New Roman" w:hAnsi="Times New Roman"/>
          <w:lang w:val="sr-Latn-BA"/>
        </w:rPr>
        <w:t xml:space="preserve"> </w:t>
      </w:r>
      <w:r>
        <w:rPr>
          <w:rFonts w:ascii="Times New Roman" w:hAnsi="Times New Roman"/>
          <w:lang w:val="sr-Latn-BA"/>
        </w:rPr>
        <w:t>усклађено</w:t>
      </w:r>
      <w:r w:rsidR="001F15EF">
        <w:rPr>
          <w:rFonts w:ascii="Times New Roman" w:hAnsi="Times New Roman"/>
          <w:lang w:val="sr-Latn-BA"/>
        </w:rPr>
        <w:t xml:space="preserve"> </w:t>
      </w:r>
      <w:r>
        <w:rPr>
          <w:rFonts w:ascii="Times New Roman" w:hAnsi="Times New Roman"/>
          <w:lang w:val="sr-Latn-BA"/>
        </w:rPr>
        <w:t>је</w:t>
      </w:r>
      <w:r w:rsidR="00B00A19">
        <w:rPr>
          <w:rFonts w:ascii="Times New Roman" w:hAnsi="Times New Roman"/>
          <w:lang w:val="sr-Latn-BA"/>
        </w:rPr>
        <w:t xml:space="preserve"> </w:t>
      </w:r>
      <w:r>
        <w:rPr>
          <w:rFonts w:ascii="Times New Roman" w:hAnsi="Times New Roman"/>
          <w:lang w:val="sr-Latn-BA"/>
        </w:rPr>
        <w:t>са</w:t>
      </w:r>
      <w:r w:rsidR="001F15EF">
        <w:rPr>
          <w:rFonts w:ascii="Times New Roman" w:hAnsi="Times New Roman"/>
          <w:lang w:val="sr-Latn-BA"/>
        </w:rPr>
        <w:t xml:space="preserve"> </w:t>
      </w:r>
      <w:r>
        <w:rPr>
          <w:rFonts w:ascii="Times New Roman" w:hAnsi="Times New Roman"/>
          <w:lang w:val="sr-Latn-BA"/>
        </w:rPr>
        <w:t>стандардима</w:t>
      </w:r>
      <w:r w:rsidR="001F15EF">
        <w:rPr>
          <w:rFonts w:ascii="Times New Roman" w:hAnsi="Times New Roman"/>
          <w:lang w:val="sr-Latn-BA"/>
        </w:rPr>
        <w:t xml:space="preserve"> </w:t>
      </w:r>
      <w:r>
        <w:rPr>
          <w:rFonts w:ascii="Times New Roman" w:hAnsi="Times New Roman"/>
          <w:lang w:val="sr-Latn-BA"/>
        </w:rPr>
        <w:t>за</w:t>
      </w:r>
      <w:r w:rsidR="001F15EF">
        <w:rPr>
          <w:rFonts w:ascii="Times New Roman" w:hAnsi="Times New Roman"/>
          <w:lang w:val="sr-Latn-BA"/>
        </w:rPr>
        <w:t xml:space="preserve"> </w:t>
      </w:r>
      <w:r>
        <w:rPr>
          <w:rFonts w:ascii="Times New Roman" w:hAnsi="Times New Roman"/>
          <w:lang w:val="sr-Latn-BA"/>
        </w:rPr>
        <w:t>равноправност</w:t>
      </w:r>
      <w:r w:rsidR="001F15EF">
        <w:rPr>
          <w:rFonts w:ascii="Times New Roman" w:hAnsi="Times New Roman"/>
          <w:lang w:val="sr-Latn-BA"/>
        </w:rPr>
        <w:t xml:space="preserve"> </w:t>
      </w:r>
      <w:r>
        <w:rPr>
          <w:rFonts w:ascii="Times New Roman" w:hAnsi="Times New Roman"/>
          <w:lang w:val="sr-Latn-BA"/>
        </w:rPr>
        <w:t>полова</w:t>
      </w:r>
      <w:r w:rsidR="001F15EF">
        <w:rPr>
          <w:rFonts w:ascii="Times New Roman" w:hAnsi="Times New Roman"/>
          <w:lang w:val="sr-Latn-BA"/>
        </w:rPr>
        <w:t>.</w:t>
      </w:r>
    </w:p>
    <w:p w:rsidR="008D56A8" w:rsidRPr="00295637" w:rsidRDefault="008D56A8" w:rsidP="0086268D">
      <w:pPr>
        <w:pStyle w:val="NormalWeb"/>
        <w:spacing w:before="0" w:beforeAutospacing="0" w:after="0" w:afterAutospacing="0"/>
        <w:jc w:val="both"/>
        <w:rPr>
          <w:lang w:val="bs-Latn-BA"/>
        </w:rPr>
      </w:pPr>
    </w:p>
    <w:p w:rsidR="00A92736" w:rsidRPr="00295637" w:rsidRDefault="0077778E" w:rsidP="00794114">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I</w:t>
      </w:r>
      <w:r w:rsidR="00794114">
        <w:rPr>
          <w:rFonts w:ascii="Times New Roman" w:eastAsia="Calibri" w:hAnsi="Times New Roman"/>
          <w:szCs w:val="24"/>
          <w:lang w:val="bs-Latn-BA"/>
        </w:rPr>
        <w:t xml:space="preserve"> 4.2. </w:t>
      </w:r>
      <w:r w:rsidR="00C6214E">
        <w:rPr>
          <w:rFonts w:ascii="Times New Roman" w:eastAsia="Calibri" w:hAnsi="Times New Roman"/>
          <w:szCs w:val="24"/>
          <w:lang w:val="bs-Latn-BA"/>
        </w:rPr>
        <w:t>Редовно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прикупљање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анализа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објављивање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податка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разврстаних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полу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приступу</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учешћу</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мушкараца</w:t>
      </w:r>
      <w:r w:rsidR="00356C2C" w:rsidRPr="00295637">
        <w:rPr>
          <w:rFonts w:ascii="Times New Roman" w:hAnsi="Times New Roman"/>
          <w:szCs w:val="24"/>
          <w:lang w:val="bs-Latn-BA"/>
        </w:rPr>
        <w:t xml:space="preserve"> </w:t>
      </w:r>
      <w:r w:rsidR="00C6214E">
        <w:rPr>
          <w:rFonts w:ascii="Times New Roman" w:eastAsia="Calibri" w:hAnsi="Times New Roman"/>
          <w:szCs w:val="24"/>
          <w:lang w:val="bs-Latn-BA"/>
        </w:rPr>
        <w:t>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свим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нивоима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образовном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систему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науци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култури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спорту</w:t>
      </w:r>
      <w:r w:rsidR="00356C2C" w:rsidRPr="00295637">
        <w:rPr>
          <w:rFonts w:ascii="Times New Roman" w:eastAsia="Calibri" w:hAnsi="Times New Roman"/>
          <w:szCs w:val="24"/>
          <w:lang w:val="bs-Latn-BA"/>
        </w:rPr>
        <w:t>.</w:t>
      </w:r>
    </w:p>
    <w:p w:rsidR="008D56A8" w:rsidRPr="00295637" w:rsidRDefault="008D56A8" w:rsidP="0086268D">
      <w:pPr>
        <w:pStyle w:val="NormalWeb"/>
        <w:spacing w:before="0" w:beforeAutospacing="0" w:after="0" w:afterAutospacing="0"/>
        <w:jc w:val="both"/>
        <w:rPr>
          <w:rFonts w:eastAsia="Calibri"/>
          <w:lang w:val="bs-Latn-BA"/>
        </w:rPr>
      </w:pPr>
    </w:p>
    <w:p w:rsidR="00205B30" w:rsidRPr="00295637" w:rsidRDefault="00C6214E" w:rsidP="0086268D">
      <w:pPr>
        <w:pStyle w:val="NormalWeb"/>
        <w:spacing w:before="0" w:beforeAutospacing="0" w:after="0" w:afterAutospacing="0"/>
        <w:jc w:val="both"/>
        <w:rPr>
          <w:lang w:val="bs-Latn-BA"/>
        </w:rPr>
      </w:pPr>
      <w:r>
        <w:rPr>
          <w:rFonts w:eastAsia="Calibri"/>
          <w:lang w:val="bs-Latn-BA"/>
        </w:rPr>
        <w:t>У</w:t>
      </w:r>
      <w:r w:rsidR="00205B30" w:rsidRPr="00295637">
        <w:rPr>
          <w:rFonts w:eastAsia="Calibri"/>
          <w:lang w:val="bs-Latn-BA"/>
        </w:rPr>
        <w:t xml:space="preserve"> </w:t>
      </w:r>
      <w:r>
        <w:rPr>
          <w:rFonts w:eastAsia="Calibri"/>
          <w:lang w:val="bs-Latn-BA"/>
        </w:rPr>
        <w:t>оквиру</w:t>
      </w:r>
      <w:r w:rsidR="00205B30" w:rsidRPr="00295637">
        <w:rPr>
          <w:rFonts w:eastAsia="Calibri"/>
          <w:lang w:val="bs-Latn-BA"/>
        </w:rPr>
        <w:t xml:space="preserve"> </w:t>
      </w:r>
      <w:r>
        <w:rPr>
          <w:rFonts w:eastAsia="Calibri"/>
          <w:lang w:val="bs-Latn-BA"/>
        </w:rPr>
        <w:t>подршке</w:t>
      </w:r>
      <w:r w:rsidR="00B00A19">
        <w:rPr>
          <w:rFonts w:eastAsia="Calibri"/>
          <w:lang w:val="bs-Latn-BA"/>
        </w:rPr>
        <w:t xml:space="preserve"> </w:t>
      </w:r>
      <w:r>
        <w:rPr>
          <w:rFonts w:eastAsia="Calibri"/>
          <w:lang w:val="bs-Latn-BA"/>
        </w:rPr>
        <w:t>грант</w:t>
      </w:r>
      <w:r w:rsidR="00B00A19">
        <w:rPr>
          <w:rFonts w:eastAsia="Calibri"/>
          <w:lang w:val="bs-Latn-BA"/>
        </w:rPr>
        <w:t xml:space="preserve"> </w:t>
      </w:r>
      <w:r>
        <w:rPr>
          <w:rFonts w:eastAsia="Calibri"/>
          <w:lang w:val="bs-Latn-BA"/>
        </w:rPr>
        <w:t>средствима</w:t>
      </w:r>
      <w:r w:rsidR="00205B30" w:rsidRPr="00295637">
        <w:rPr>
          <w:rFonts w:eastAsia="Calibri"/>
          <w:lang w:val="bs-Latn-BA"/>
        </w:rPr>
        <w:t xml:space="preserve"> </w:t>
      </w:r>
      <w:r>
        <w:rPr>
          <w:rFonts w:eastAsia="Calibri"/>
          <w:lang w:val="bs-Latn-BA"/>
        </w:rPr>
        <w:t>МЦП</w:t>
      </w:r>
      <w:r w:rsidR="00794114">
        <w:rPr>
          <w:rFonts w:eastAsia="Calibri"/>
          <w:lang w:val="bs-Latn-BA"/>
        </w:rPr>
        <w:t xml:space="preserve"> </w:t>
      </w:r>
      <w:r>
        <w:rPr>
          <w:rFonts w:eastAsia="Calibri"/>
          <w:lang w:val="bs-Latn-BA"/>
        </w:rPr>
        <w:t>БиХ</w:t>
      </w:r>
      <w:r w:rsidR="00205B30" w:rsidRPr="00295637">
        <w:rPr>
          <w:rFonts w:eastAsia="Calibri"/>
          <w:lang w:val="bs-Latn-BA"/>
        </w:rPr>
        <w:t xml:space="preserve"> </w:t>
      </w:r>
      <w:r>
        <w:rPr>
          <w:rFonts w:eastAsia="Calibri"/>
          <w:lang w:val="bs-Latn-BA"/>
        </w:rPr>
        <w:t>у</w:t>
      </w:r>
      <w:r w:rsidR="00205B30" w:rsidRPr="00295637">
        <w:rPr>
          <w:rFonts w:eastAsia="Calibri"/>
          <w:lang w:val="bs-Latn-BA"/>
        </w:rPr>
        <w:t xml:space="preserve"> </w:t>
      </w:r>
      <w:r>
        <w:rPr>
          <w:rFonts w:eastAsia="Calibri"/>
          <w:lang w:val="bs-Latn-BA"/>
        </w:rPr>
        <w:t>областима</w:t>
      </w:r>
      <w:r w:rsidR="005763A0" w:rsidRPr="00295637">
        <w:rPr>
          <w:rFonts w:eastAsia="Calibri"/>
          <w:lang w:val="bs-Latn-BA"/>
        </w:rPr>
        <w:t xml:space="preserve"> </w:t>
      </w:r>
      <w:r>
        <w:rPr>
          <w:rFonts w:eastAsia="Calibri"/>
          <w:lang w:val="bs-Latn-BA"/>
        </w:rPr>
        <w:t>науке</w:t>
      </w:r>
      <w:r w:rsidR="005763A0" w:rsidRPr="00295637">
        <w:rPr>
          <w:rFonts w:eastAsia="Calibri"/>
          <w:lang w:val="bs-Latn-BA"/>
        </w:rPr>
        <w:t xml:space="preserve">, </w:t>
      </w:r>
      <w:r>
        <w:rPr>
          <w:rFonts w:eastAsia="Calibri"/>
          <w:lang w:val="bs-Latn-BA"/>
        </w:rPr>
        <w:t>културе</w:t>
      </w:r>
      <w:r w:rsidR="005763A0" w:rsidRPr="00295637">
        <w:rPr>
          <w:rFonts w:eastAsia="Calibri"/>
          <w:lang w:val="bs-Latn-BA"/>
        </w:rPr>
        <w:t xml:space="preserve"> </w:t>
      </w:r>
      <w:r>
        <w:rPr>
          <w:rFonts w:eastAsia="Calibri"/>
          <w:lang w:val="bs-Latn-BA"/>
        </w:rPr>
        <w:t>и</w:t>
      </w:r>
      <w:r w:rsidR="005763A0" w:rsidRPr="00295637">
        <w:rPr>
          <w:rFonts w:eastAsia="Calibri"/>
          <w:lang w:val="bs-Latn-BA"/>
        </w:rPr>
        <w:t xml:space="preserve"> </w:t>
      </w:r>
      <w:r>
        <w:rPr>
          <w:rFonts w:eastAsia="Calibri"/>
          <w:lang w:val="bs-Latn-BA"/>
        </w:rPr>
        <w:t>спорта</w:t>
      </w:r>
      <w:r w:rsidR="005763A0" w:rsidRPr="00295637">
        <w:rPr>
          <w:rFonts w:eastAsia="Calibri"/>
          <w:lang w:val="bs-Latn-BA"/>
        </w:rPr>
        <w:t>,</w:t>
      </w:r>
      <w:r w:rsidR="00205B30" w:rsidRPr="00295637">
        <w:rPr>
          <w:rFonts w:eastAsia="Calibri"/>
          <w:lang w:val="bs-Latn-BA"/>
        </w:rPr>
        <w:t xml:space="preserve"> </w:t>
      </w:r>
      <w:r>
        <w:rPr>
          <w:rFonts w:eastAsia="Calibri"/>
          <w:lang w:val="bs-Latn-BA"/>
        </w:rPr>
        <w:t>која</w:t>
      </w:r>
      <w:r w:rsidR="00205B30" w:rsidRPr="00295637">
        <w:rPr>
          <w:rFonts w:eastAsia="Calibri"/>
          <w:lang w:val="bs-Latn-BA"/>
        </w:rPr>
        <w:t xml:space="preserve"> </w:t>
      </w:r>
      <w:r>
        <w:rPr>
          <w:rFonts w:eastAsia="Calibri"/>
          <w:lang w:val="bs-Latn-BA"/>
        </w:rPr>
        <w:t>се</w:t>
      </w:r>
      <w:r w:rsidR="00205B30" w:rsidRPr="00295637">
        <w:rPr>
          <w:rFonts w:eastAsia="Calibri"/>
          <w:lang w:val="bs-Latn-BA"/>
        </w:rPr>
        <w:t xml:space="preserve"> </w:t>
      </w:r>
      <w:r>
        <w:rPr>
          <w:rFonts w:eastAsia="Calibri"/>
          <w:lang w:val="bs-Latn-BA"/>
        </w:rPr>
        <w:t>додјељује</w:t>
      </w:r>
      <w:r w:rsidR="00205B30" w:rsidRPr="00295637">
        <w:rPr>
          <w:rFonts w:eastAsia="Calibri"/>
          <w:lang w:val="bs-Latn-BA"/>
        </w:rPr>
        <w:t xml:space="preserve"> </w:t>
      </w:r>
      <w:r>
        <w:rPr>
          <w:rFonts w:eastAsia="Calibri"/>
          <w:lang w:val="bs-Latn-BA"/>
        </w:rPr>
        <w:t>путем</w:t>
      </w:r>
      <w:r w:rsidR="00205B30" w:rsidRPr="00295637">
        <w:rPr>
          <w:rFonts w:eastAsia="Calibri"/>
          <w:lang w:val="bs-Latn-BA"/>
        </w:rPr>
        <w:t xml:space="preserve"> </w:t>
      </w:r>
      <w:r>
        <w:rPr>
          <w:rFonts w:eastAsia="Calibri"/>
          <w:lang w:val="bs-Latn-BA"/>
        </w:rPr>
        <w:t>јавних</w:t>
      </w:r>
      <w:r w:rsidR="00205B30" w:rsidRPr="00295637">
        <w:rPr>
          <w:rFonts w:eastAsia="Calibri"/>
          <w:lang w:val="bs-Latn-BA"/>
        </w:rPr>
        <w:t xml:space="preserve"> </w:t>
      </w:r>
      <w:r>
        <w:rPr>
          <w:rFonts w:eastAsia="Calibri"/>
          <w:lang w:val="bs-Latn-BA"/>
        </w:rPr>
        <w:t>позива</w:t>
      </w:r>
      <w:r w:rsidR="00205B30" w:rsidRPr="00295637">
        <w:rPr>
          <w:rFonts w:eastAsia="Calibri"/>
          <w:lang w:val="bs-Latn-BA"/>
        </w:rPr>
        <w:t xml:space="preserve"> </w:t>
      </w:r>
      <w:r>
        <w:rPr>
          <w:rFonts w:eastAsia="Calibri"/>
          <w:lang w:val="bs-Latn-BA"/>
        </w:rPr>
        <w:t>на</w:t>
      </w:r>
      <w:r w:rsidR="00205B30" w:rsidRPr="00295637">
        <w:rPr>
          <w:rFonts w:eastAsia="Calibri"/>
          <w:lang w:val="bs-Latn-BA"/>
        </w:rPr>
        <w:t xml:space="preserve"> </w:t>
      </w:r>
      <w:r>
        <w:rPr>
          <w:rFonts w:eastAsia="Calibri"/>
          <w:lang w:val="bs-Latn-BA"/>
        </w:rPr>
        <w:t>годишњем</w:t>
      </w:r>
      <w:r w:rsidR="00205B30" w:rsidRPr="00295637">
        <w:rPr>
          <w:rFonts w:eastAsia="Calibri"/>
          <w:lang w:val="bs-Latn-BA"/>
        </w:rPr>
        <w:t xml:space="preserve"> </w:t>
      </w:r>
      <w:r>
        <w:rPr>
          <w:rFonts w:eastAsia="Calibri"/>
          <w:lang w:val="bs-Latn-BA"/>
        </w:rPr>
        <w:t>нивоу</w:t>
      </w:r>
      <w:r w:rsidR="00205B30" w:rsidRPr="00295637">
        <w:rPr>
          <w:rFonts w:eastAsia="Calibri"/>
          <w:lang w:val="bs-Latn-BA"/>
        </w:rPr>
        <w:t xml:space="preserve">, </w:t>
      </w:r>
      <w:r>
        <w:rPr>
          <w:rFonts w:eastAsia="Calibri"/>
          <w:lang w:val="bs-Latn-BA"/>
        </w:rPr>
        <w:t>у</w:t>
      </w:r>
      <w:r w:rsidR="00205B30" w:rsidRPr="00295637">
        <w:rPr>
          <w:rFonts w:eastAsia="Calibri"/>
          <w:lang w:val="bs-Latn-BA"/>
        </w:rPr>
        <w:t xml:space="preserve"> </w:t>
      </w:r>
      <w:r>
        <w:rPr>
          <w:rFonts w:eastAsia="Calibri"/>
          <w:lang w:val="bs-Latn-BA"/>
        </w:rPr>
        <w:t>оквиру</w:t>
      </w:r>
      <w:r w:rsidR="00205B30" w:rsidRPr="00295637">
        <w:rPr>
          <w:rFonts w:eastAsia="Calibri"/>
          <w:lang w:val="bs-Latn-BA"/>
        </w:rPr>
        <w:t xml:space="preserve"> </w:t>
      </w:r>
      <w:r>
        <w:rPr>
          <w:rFonts w:eastAsia="Calibri"/>
          <w:lang w:val="bs-Latn-BA"/>
        </w:rPr>
        <w:t>наративних</w:t>
      </w:r>
      <w:r w:rsidR="00205B30" w:rsidRPr="00295637">
        <w:rPr>
          <w:rFonts w:eastAsia="Calibri"/>
          <w:lang w:val="bs-Latn-BA"/>
        </w:rPr>
        <w:t xml:space="preserve"> </w:t>
      </w:r>
      <w:r>
        <w:rPr>
          <w:rFonts w:eastAsia="Calibri"/>
          <w:lang w:val="bs-Latn-BA"/>
        </w:rPr>
        <w:t>извјештаја</w:t>
      </w:r>
      <w:r w:rsidR="00205B30" w:rsidRPr="00295637">
        <w:rPr>
          <w:rFonts w:eastAsia="Calibri"/>
          <w:lang w:val="bs-Latn-BA"/>
        </w:rPr>
        <w:t xml:space="preserve">, </w:t>
      </w:r>
      <w:r>
        <w:rPr>
          <w:rFonts w:eastAsia="Calibri"/>
          <w:lang w:val="bs-Latn-BA"/>
        </w:rPr>
        <w:t>корисници</w:t>
      </w:r>
      <w:r w:rsidR="00205B30" w:rsidRPr="00295637">
        <w:rPr>
          <w:rFonts w:eastAsia="Calibri"/>
          <w:lang w:val="bs-Latn-BA"/>
        </w:rPr>
        <w:t xml:space="preserve"> </w:t>
      </w:r>
      <w:r>
        <w:rPr>
          <w:rFonts w:eastAsia="Calibri"/>
          <w:lang w:val="bs-Latn-BA"/>
        </w:rPr>
        <w:t>средстава</w:t>
      </w:r>
      <w:r w:rsidR="00205B30" w:rsidRPr="00295637">
        <w:rPr>
          <w:rFonts w:eastAsia="Calibri"/>
          <w:lang w:val="bs-Latn-BA"/>
        </w:rPr>
        <w:t xml:space="preserve"> </w:t>
      </w:r>
      <w:r>
        <w:rPr>
          <w:rFonts w:eastAsia="Calibri"/>
          <w:lang w:val="bs-Latn-BA"/>
        </w:rPr>
        <w:t>су</w:t>
      </w:r>
      <w:r w:rsidR="00205B30" w:rsidRPr="00295637">
        <w:rPr>
          <w:rFonts w:eastAsia="Calibri"/>
          <w:lang w:val="bs-Latn-BA"/>
        </w:rPr>
        <w:t xml:space="preserve"> </w:t>
      </w:r>
      <w:r>
        <w:rPr>
          <w:rFonts w:eastAsia="Calibri"/>
          <w:lang w:val="bs-Latn-BA"/>
        </w:rPr>
        <w:t>дужни</w:t>
      </w:r>
      <w:r w:rsidR="00205B30" w:rsidRPr="00295637">
        <w:rPr>
          <w:rFonts w:eastAsia="Calibri"/>
          <w:lang w:val="bs-Latn-BA"/>
        </w:rPr>
        <w:t xml:space="preserve"> </w:t>
      </w:r>
      <w:r>
        <w:rPr>
          <w:rFonts w:eastAsia="Calibri"/>
          <w:lang w:val="bs-Latn-BA"/>
        </w:rPr>
        <w:t>навести</w:t>
      </w:r>
      <w:r w:rsidR="00205B30" w:rsidRPr="00295637">
        <w:rPr>
          <w:rFonts w:eastAsia="Calibri"/>
          <w:lang w:val="bs-Latn-BA"/>
        </w:rPr>
        <w:t xml:space="preserve"> </w:t>
      </w:r>
      <w:r>
        <w:rPr>
          <w:rFonts w:eastAsia="Calibri"/>
          <w:lang w:val="bs-Latn-BA"/>
        </w:rPr>
        <w:t>број</w:t>
      </w:r>
      <w:r w:rsidR="005763A0" w:rsidRPr="00295637">
        <w:rPr>
          <w:rFonts w:eastAsia="Calibri"/>
          <w:lang w:val="bs-Latn-BA"/>
        </w:rPr>
        <w:t xml:space="preserve"> </w:t>
      </w:r>
      <w:r>
        <w:rPr>
          <w:rFonts w:eastAsia="Calibri"/>
          <w:lang w:val="bs-Latn-BA"/>
        </w:rPr>
        <w:t>корисника</w:t>
      </w:r>
      <w:r w:rsidR="005763A0" w:rsidRPr="00295637">
        <w:rPr>
          <w:rFonts w:eastAsia="Calibri"/>
          <w:lang w:val="bs-Latn-BA"/>
        </w:rPr>
        <w:t xml:space="preserve"> </w:t>
      </w:r>
      <w:r>
        <w:rPr>
          <w:rFonts w:eastAsia="Calibri"/>
          <w:lang w:val="bs-Latn-BA"/>
        </w:rPr>
        <w:t>по</w:t>
      </w:r>
      <w:r w:rsidR="005763A0" w:rsidRPr="00295637">
        <w:rPr>
          <w:rFonts w:eastAsia="Calibri"/>
          <w:lang w:val="bs-Latn-BA"/>
        </w:rPr>
        <w:t xml:space="preserve"> </w:t>
      </w:r>
      <w:r>
        <w:rPr>
          <w:rFonts w:eastAsia="Calibri"/>
          <w:lang w:val="bs-Latn-BA"/>
        </w:rPr>
        <w:t>полу</w:t>
      </w:r>
      <w:r w:rsidR="005763A0" w:rsidRPr="00295637">
        <w:rPr>
          <w:rFonts w:eastAsia="Calibri"/>
          <w:lang w:val="bs-Latn-BA"/>
        </w:rPr>
        <w:t xml:space="preserve">. </w:t>
      </w:r>
      <w:r>
        <w:rPr>
          <w:rFonts w:eastAsia="Calibri"/>
          <w:lang w:val="bs-Latn-BA"/>
        </w:rPr>
        <w:t>Исто</w:t>
      </w:r>
      <w:r w:rsidR="005763A0" w:rsidRPr="00295637">
        <w:rPr>
          <w:rFonts w:eastAsia="Calibri"/>
          <w:lang w:val="bs-Latn-BA"/>
        </w:rPr>
        <w:t xml:space="preserve"> </w:t>
      </w:r>
      <w:r>
        <w:rPr>
          <w:rFonts w:eastAsia="Calibri"/>
          <w:lang w:val="bs-Latn-BA"/>
        </w:rPr>
        <w:t>тако</w:t>
      </w:r>
      <w:r w:rsidR="00205B30" w:rsidRPr="00295637">
        <w:rPr>
          <w:rFonts w:eastAsia="Calibri"/>
          <w:lang w:val="bs-Latn-BA"/>
        </w:rPr>
        <w:t xml:space="preserve">, </w:t>
      </w:r>
      <w:r>
        <w:rPr>
          <w:rFonts w:eastAsia="Calibri"/>
          <w:lang w:val="bs-Latn-BA"/>
        </w:rPr>
        <w:t>приликом</w:t>
      </w:r>
      <w:r w:rsidR="00205B30" w:rsidRPr="00295637">
        <w:rPr>
          <w:rFonts w:eastAsia="Calibri"/>
          <w:lang w:val="bs-Latn-BA"/>
        </w:rPr>
        <w:t xml:space="preserve"> </w:t>
      </w:r>
      <w:r>
        <w:rPr>
          <w:rFonts w:eastAsia="Calibri"/>
          <w:lang w:val="bs-Latn-BA"/>
        </w:rPr>
        <w:t>евалуације</w:t>
      </w:r>
      <w:r w:rsidR="00205B30" w:rsidRPr="00295637">
        <w:rPr>
          <w:rFonts w:eastAsia="Calibri"/>
          <w:lang w:val="bs-Latn-BA"/>
        </w:rPr>
        <w:t xml:space="preserve"> </w:t>
      </w:r>
      <w:r>
        <w:rPr>
          <w:rFonts w:eastAsia="Calibri"/>
          <w:lang w:val="bs-Latn-BA"/>
        </w:rPr>
        <w:t>релевантности</w:t>
      </w:r>
      <w:r w:rsidR="00205B30" w:rsidRPr="00295637">
        <w:rPr>
          <w:rFonts w:eastAsia="Calibri"/>
          <w:lang w:val="bs-Latn-BA"/>
        </w:rPr>
        <w:t xml:space="preserve"> </w:t>
      </w:r>
      <w:r>
        <w:rPr>
          <w:rFonts w:eastAsia="Calibri"/>
          <w:lang w:val="bs-Latn-BA"/>
        </w:rPr>
        <w:t>пројеката</w:t>
      </w:r>
      <w:r w:rsidR="00205B30" w:rsidRPr="00295637">
        <w:rPr>
          <w:rFonts w:eastAsia="Calibri"/>
          <w:lang w:val="bs-Latn-BA"/>
        </w:rPr>
        <w:t xml:space="preserve"> </w:t>
      </w:r>
      <w:r>
        <w:rPr>
          <w:rFonts w:eastAsia="Calibri"/>
          <w:lang w:val="bs-Latn-BA"/>
        </w:rPr>
        <w:t>оцјењује</w:t>
      </w:r>
      <w:r w:rsidR="00FF6855">
        <w:rPr>
          <w:rFonts w:eastAsia="Calibri"/>
          <w:lang w:val="bs-Latn-BA"/>
        </w:rPr>
        <w:t xml:space="preserve"> </w:t>
      </w:r>
      <w:r>
        <w:rPr>
          <w:rFonts w:eastAsia="Calibri"/>
          <w:lang w:val="bs-Latn-BA"/>
        </w:rPr>
        <w:t>се</w:t>
      </w:r>
      <w:r w:rsidR="00FF6855">
        <w:rPr>
          <w:rFonts w:eastAsia="Calibri"/>
          <w:lang w:val="bs-Latn-BA"/>
        </w:rPr>
        <w:t xml:space="preserve"> </w:t>
      </w:r>
      <w:r>
        <w:rPr>
          <w:rFonts w:eastAsia="Calibri"/>
          <w:lang w:val="bs-Latn-BA"/>
        </w:rPr>
        <w:t>у</w:t>
      </w:r>
      <w:r w:rsidR="00FF6855">
        <w:rPr>
          <w:rFonts w:eastAsia="Calibri"/>
          <w:lang w:val="bs-Latn-BA"/>
        </w:rPr>
        <w:t xml:space="preserve"> </w:t>
      </w:r>
      <w:r>
        <w:rPr>
          <w:rFonts w:eastAsia="Calibri"/>
          <w:lang w:val="bs-Latn-BA"/>
        </w:rPr>
        <w:t>којој</w:t>
      </w:r>
      <w:r w:rsidR="00FF6855">
        <w:rPr>
          <w:rFonts w:eastAsia="Calibri"/>
          <w:lang w:val="bs-Latn-BA"/>
        </w:rPr>
        <w:t xml:space="preserve"> </w:t>
      </w:r>
      <w:r>
        <w:rPr>
          <w:rFonts w:eastAsia="Calibri"/>
          <w:lang w:val="bs-Latn-BA"/>
        </w:rPr>
        <w:t>мјери</w:t>
      </w:r>
      <w:r w:rsidR="00FF6855">
        <w:rPr>
          <w:rFonts w:eastAsia="Calibri"/>
          <w:lang w:val="bs-Latn-BA"/>
        </w:rPr>
        <w:t xml:space="preserve"> </w:t>
      </w:r>
      <w:r>
        <w:rPr>
          <w:rFonts w:eastAsia="Calibri"/>
          <w:lang w:val="bs-Latn-BA"/>
        </w:rPr>
        <w:t>пројекат</w:t>
      </w:r>
      <w:r w:rsidR="00205B30" w:rsidRPr="00295637">
        <w:rPr>
          <w:rFonts w:eastAsia="Calibri"/>
          <w:lang w:val="bs-Latn-BA"/>
        </w:rPr>
        <w:t xml:space="preserve"> </w:t>
      </w:r>
      <w:r>
        <w:rPr>
          <w:rFonts w:eastAsia="Calibri"/>
          <w:lang w:val="bs-Latn-BA"/>
        </w:rPr>
        <w:t>промови</w:t>
      </w:r>
      <w:r w:rsidR="0077778E">
        <w:rPr>
          <w:rFonts w:eastAsia="Calibri"/>
          <w:lang w:val="sr-Cyrl-BA"/>
        </w:rPr>
        <w:t>ше</w:t>
      </w:r>
      <w:r w:rsidR="00205B30" w:rsidRPr="00295637">
        <w:rPr>
          <w:rFonts w:eastAsia="Calibri"/>
          <w:lang w:val="bs-Latn-BA"/>
        </w:rPr>
        <w:t xml:space="preserve"> </w:t>
      </w:r>
      <w:r>
        <w:rPr>
          <w:rFonts w:eastAsia="Calibri"/>
          <w:lang w:val="bs-Latn-BA"/>
        </w:rPr>
        <w:t>додатне</w:t>
      </w:r>
      <w:r w:rsidR="00205B30" w:rsidRPr="00295637">
        <w:rPr>
          <w:rFonts w:eastAsia="Calibri"/>
          <w:lang w:val="bs-Latn-BA"/>
        </w:rPr>
        <w:t xml:space="preserve"> </w:t>
      </w:r>
      <w:r>
        <w:rPr>
          <w:rFonts w:eastAsia="Calibri"/>
          <w:lang w:val="bs-Latn-BA"/>
        </w:rPr>
        <w:t>вриједности</w:t>
      </w:r>
      <w:r w:rsidR="00205B30" w:rsidRPr="00295637">
        <w:rPr>
          <w:rFonts w:eastAsia="Calibri"/>
          <w:lang w:val="bs-Latn-BA"/>
        </w:rPr>
        <w:t xml:space="preserve"> </w:t>
      </w:r>
      <w:r>
        <w:rPr>
          <w:rFonts w:eastAsia="Calibri"/>
          <w:lang w:val="bs-Latn-BA"/>
        </w:rPr>
        <w:t>као</w:t>
      </w:r>
      <w:r w:rsidR="00205B30" w:rsidRPr="00295637">
        <w:rPr>
          <w:rFonts w:eastAsia="Calibri"/>
          <w:lang w:val="bs-Latn-BA"/>
        </w:rPr>
        <w:t xml:space="preserve"> </w:t>
      </w:r>
      <w:r>
        <w:rPr>
          <w:rFonts w:eastAsia="Calibri"/>
          <w:lang w:val="bs-Latn-BA"/>
        </w:rPr>
        <w:t>што</w:t>
      </w:r>
      <w:r w:rsidR="00205B30" w:rsidRPr="00295637">
        <w:rPr>
          <w:rFonts w:eastAsia="Calibri"/>
          <w:lang w:val="bs-Latn-BA"/>
        </w:rPr>
        <w:t xml:space="preserve"> </w:t>
      </w:r>
      <w:r>
        <w:rPr>
          <w:rFonts w:eastAsia="Calibri"/>
          <w:lang w:val="bs-Latn-BA"/>
        </w:rPr>
        <w:t>су</w:t>
      </w:r>
      <w:r w:rsidR="00205B30" w:rsidRPr="00295637">
        <w:rPr>
          <w:rFonts w:eastAsia="Calibri"/>
          <w:lang w:val="bs-Latn-BA"/>
        </w:rPr>
        <w:t xml:space="preserve"> </w:t>
      </w:r>
      <w:r>
        <w:rPr>
          <w:rFonts w:eastAsia="Calibri"/>
          <w:lang w:val="bs-Latn-BA"/>
        </w:rPr>
        <w:t>људска</w:t>
      </w:r>
      <w:r w:rsidR="00205B30" w:rsidRPr="00295637">
        <w:rPr>
          <w:rFonts w:eastAsia="Calibri"/>
          <w:lang w:val="bs-Latn-BA"/>
        </w:rPr>
        <w:t xml:space="preserve"> </w:t>
      </w:r>
      <w:r>
        <w:rPr>
          <w:rFonts w:eastAsia="Calibri"/>
          <w:lang w:val="bs-Latn-BA"/>
        </w:rPr>
        <w:t>права</w:t>
      </w:r>
      <w:r w:rsidR="00205B30" w:rsidRPr="00295637">
        <w:rPr>
          <w:rFonts w:eastAsia="Calibri"/>
          <w:lang w:val="bs-Latn-BA"/>
        </w:rPr>
        <w:t xml:space="preserve">, </w:t>
      </w:r>
      <w:r>
        <w:rPr>
          <w:rFonts w:eastAsia="Calibri"/>
          <w:lang w:val="bs-Latn-BA"/>
        </w:rPr>
        <w:t>равноправност</w:t>
      </w:r>
      <w:r w:rsidR="00FF6855">
        <w:rPr>
          <w:rFonts w:eastAsia="Calibri"/>
          <w:lang w:val="bs-Latn-BA"/>
        </w:rPr>
        <w:t xml:space="preserve"> </w:t>
      </w:r>
      <w:r>
        <w:rPr>
          <w:rFonts w:eastAsia="Calibri"/>
          <w:lang w:val="bs-Latn-BA"/>
        </w:rPr>
        <w:t>полова</w:t>
      </w:r>
      <w:r w:rsidR="00FF6855">
        <w:rPr>
          <w:rFonts w:eastAsia="Calibri"/>
          <w:lang w:val="bs-Latn-BA"/>
        </w:rPr>
        <w:t xml:space="preserve">, </w:t>
      </w:r>
      <w:r>
        <w:rPr>
          <w:rFonts w:eastAsia="Calibri"/>
          <w:lang w:val="bs-Latn-BA"/>
        </w:rPr>
        <w:t>права</w:t>
      </w:r>
      <w:r w:rsidR="00FF6855">
        <w:rPr>
          <w:rFonts w:eastAsia="Calibri"/>
          <w:lang w:val="bs-Latn-BA"/>
        </w:rPr>
        <w:t xml:space="preserve"> </w:t>
      </w:r>
      <w:r>
        <w:rPr>
          <w:rFonts w:eastAsia="Calibri"/>
          <w:lang w:val="bs-Latn-BA"/>
        </w:rPr>
        <w:t>лица</w:t>
      </w:r>
      <w:r w:rsidR="00FF6855">
        <w:rPr>
          <w:rFonts w:eastAsia="Calibri"/>
          <w:lang w:val="bs-Latn-BA"/>
        </w:rPr>
        <w:t xml:space="preserve"> </w:t>
      </w:r>
      <w:r>
        <w:rPr>
          <w:rFonts w:eastAsia="Calibri"/>
          <w:lang w:val="bs-Latn-BA"/>
        </w:rPr>
        <w:t>са</w:t>
      </w:r>
      <w:r w:rsidR="00205B30" w:rsidRPr="00295637">
        <w:rPr>
          <w:rFonts w:eastAsia="Calibri"/>
          <w:lang w:val="bs-Latn-BA"/>
        </w:rPr>
        <w:t xml:space="preserve"> </w:t>
      </w:r>
      <w:r>
        <w:rPr>
          <w:rFonts w:eastAsia="Calibri"/>
          <w:lang w:val="bs-Latn-BA"/>
        </w:rPr>
        <w:t>инвалидитетом</w:t>
      </w:r>
      <w:r w:rsidR="00205B30" w:rsidRPr="00295637">
        <w:rPr>
          <w:rFonts w:eastAsia="Calibri"/>
          <w:lang w:val="bs-Latn-BA"/>
        </w:rPr>
        <w:t xml:space="preserve">, </w:t>
      </w:r>
      <w:r>
        <w:rPr>
          <w:rFonts w:eastAsia="Calibri"/>
          <w:lang w:val="bs-Latn-BA"/>
        </w:rPr>
        <w:t>права</w:t>
      </w:r>
      <w:r w:rsidR="00205B30" w:rsidRPr="00295637">
        <w:rPr>
          <w:rFonts w:eastAsia="Calibri"/>
          <w:lang w:val="bs-Latn-BA"/>
        </w:rPr>
        <w:t xml:space="preserve"> </w:t>
      </w:r>
      <w:r>
        <w:rPr>
          <w:rFonts w:eastAsia="Calibri"/>
          <w:lang w:val="bs-Latn-BA"/>
        </w:rPr>
        <w:t>мањинских</w:t>
      </w:r>
      <w:r w:rsidR="00205B30" w:rsidRPr="00295637">
        <w:rPr>
          <w:rFonts w:eastAsia="Calibri"/>
          <w:lang w:val="bs-Latn-BA"/>
        </w:rPr>
        <w:t xml:space="preserve"> </w:t>
      </w:r>
      <w:r>
        <w:rPr>
          <w:rFonts w:eastAsia="Calibri"/>
          <w:lang w:val="bs-Latn-BA"/>
        </w:rPr>
        <w:t>група</w:t>
      </w:r>
      <w:r w:rsidR="00205B30" w:rsidRPr="00295637">
        <w:rPr>
          <w:rFonts w:eastAsia="Calibri"/>
          <w:lang w:val="bs-Latn-BA"/>
        </w:rPr>
        <w:t xml:space="preserve"> </w:t>
      </w:r>
      <w:r>
        <w:rPr>
          <w:rFonts w:eastAsia="Calibri"/>
          <w:lang w:val="bs-Latn-BA"/>
        </w:rPr>
        <w:t>и</w:t>
      </w:r>
      <w:r w:rsidR="00205B30" w:rsidRPr="00295637">
        <w:rPr>
          <w:rFonts w:eastAsia="Calibri"/>
          <w:lang w:val="bs-Latn-BA"/>
        </w:rPr>
        <w:t xml:space="preserve"> </w:t>
      </w:r>
      <w:r>
        <w:rPr>
          <w:rFonts w:eastAsia="Calibri"/>
          <w:lang w:val="bs-Latn-BA"/>
        </w:rPr>
        <w:t>сл</w:t>
      </w:r>
      <w:r w:rsidR="00205B30" w:rsidRPr="00295637">
        <w:rPr>
          <w:rFonts w:eastAsia="Calibri"/>
          <w:lang w:val="bs-Latn-BA"/>
        </w:rPr>
        <w:t>.</w:t>
      </w:r>
    </w:p>
    <w:p w:rsidR="00205B30" w:rsidRPr="00295637" w:rsidRDefault="00205B30" w:rsidP="0086268D">
      <w:pPr>
        <w:pStyle w:val="NormalWeb"/>
        <w:spacing w:before="0" w:beforeAutospacing="0" w:after="0" w:afterAutospacing="0"/>
        <w:jc w:val="both"/>
        <w:rPr>
          <w:lang w:val="bs-Latn-BA"/>
        </w:rPr>
      </w:pPr>
    </w:p>
    <w:p w:rsidR="00653655" w:rsidRPr="00295637" w:rsidRDefault="00C6214E" w:rsidP="0086268D">
      <w:pPr>
        <w:pStyle w:val="NormalWeb"/>
        <w:spacing w:before="0" w:beforeAutospacing="0" w:after="0" w:afterAutospacing="0"/>
        <w:jc w:val="both"/>
        <w:rPr>
          <w:lang w:val="bs-Latn-BA"/>
        </w:rPr>
      </w:pPr>
      <w:r>
        <w:rPr>
          <w:lang w:val="bs-Latn-BA"/>
        </w:rPr>
        <w:t>ФМОИН</w:t>
      </w:r>
      <w:r w:rsidR="00895AB5" w:rsidRPr="00295637">
        <w:rPr>
          <w:lang w:val="bs-Latn-BA"/>
        </w:rPr>
        <w:t xml:space="preserve"> </w:t>
      </w:r>
      <w:r>
        <w:rPr>
          <w:lang w:val="bs-Latn-BA"/>
        </w:rPr>
        <w:t>је</w:t>
      </w:r>
      <w:r w:rsidR="00895AB5" w:rsidRPr="00295637">
        <w:rPr>
          <w:lang w:val="bs-Latn-BA"/>
        </w:rPr>
        <w:t xml:space="preserve"> </w:t>
      </w:r>
      <w:r>
        <w:rPr>
          <w:lang w:val="bs-Latn-BA"/>
        </w:rPr>
        <w:t>објавило</w:t>
      </w:r>
      <w:r w:rsidR="00895AB5" w:rsidRPr="00295637">
        <w:rPr>
          <w:lang w:val="bs-Latn-BA"/>
        </w:rPr>
        <w:t xml:space="preserve"> </w:t>
      </w:r>
      <w:r>
        <w:rPr>
          <w:rStyle w:val="Strong"/>
          <w:b w:val="0"/>
          <w:lang w:val="bs-Latn-BA"/>
        </w:rPr>
        <w:t>Информацију</w:t>
      </w:r>
      <w:r w:rsidR="00895AB5" w:rsidRPr="00295637">
        <w:rPr>
          <w:rStyle w:val="Strong"/>
          <w:b w:val="0"/>
          <w:lang w:val="bs-Latn-BA"/>
        </w:rPr>
        <w:t xml:space="preserve"> </w:t>
      </w:r>
      <w:r>
        <w:rPr>
          <w:rStyle w:val="Strong"/>
          <w:b w:val="0"/>
          <w:lang w:val="bs-Latn-BA"/>
        </w:rPr>
        <w:t>о</w:t>
      </w:r>
      <w:r w:rsidR="00895AB5" w:rsidRPr="00295637">
        <w:rPr>
          <w:rStyle w:val="Strong"/>
          <w:b w:val="0"/>
          <w:lang w:val="bs-Latn-BA"/>
        </w:rPr>
        <w:t xml:space="preserve"> </w:t>
      </w:r>
      <w:r>
        <w:rPr>
          <w:rStyle w:val="Strong"/>
          <w:b w:val="0"/>
          <w:lang w:val="bs-Latn-BA"/>
        </w:rPr>
        <w:t>упису</w:t>
      </w:r>
      <w:r w:rsidR="00895AB5" w:rsidRPr="00295637">
        <w:rPr>
          <w:rStyle w:val="Strong"/>
          <w:b w:val="0"/>
          <w:lang w:val="bs-Latn-BA"/>
        </w:rPr>
        <w:t xml:space="preserve"> </w:t>
      </w:r>
      <w:r>
        <w:rPr>
          <w:rStyle w:val="Strong"/>
          <w:b w:val="0"/>
          <w:lang w:val="bs-Latn-BA"/>
        </w:rPr>
        <w:t>у</w:t>
      </w:r>
      <w:r w:rsidR="00895AB5" w:rsidRPr="00295637">
        <w:rPr>
          <w:rStyle w:val="Strong"/>
          <w:b w:val="0"/>
          <w:lang w:val="bs-Latn-BA"/>
        </w:rPr>
        <w:t xml:space="preserve"> </w:t>
      </w:r>
      <w:r>
        <w:rPr>
          <w:rStyle w:val="Strong"/>
          <w:b w:val="0"/>
          <w:lang w:val="bs-Latn-BA"/>
        </w:rPr>
        <w:t>основне</w:t>
      </w:r>
      <w:r w:rsidR="00895AB5" w:rsidRPr="00295637">
        <w:rPr>
          <w:rStyle w:val="Strong"/>
          <w:b w:val="0"/>
          <w:lang w:val="bs-Latn-BA"/>
        </w:rPr>
        <w:t xml:space="preserve"> </w:t>
      </w:r>
      <w:r>
        <w:rPr>
          <w:rStyle w:val="Strong"/>
          <w:b w:val="0"/>
          <w:lang w:val="bs-Latn-BA"/>
        </w:rPr>
        <w:t>и</w:t>
      </w:r>
      <w:r w:rsidR="00895AB5" w:rsidRPr="00295637">
        <w:rPr>
          <w:rStyle w:val="Strong"/>
          <w:b w:val="0"/>
          <w:lang w:val="bs-Latn-BA"/>
        </w:rPr>
        <w:t xml:space="preserve"> </w:t>
      </w:r>
      <w:r>
        <w:rPr>
          <w:rStyle w:val="Strong"/>
          <w:b w:val="0"/>
          <w:lang w:val="bs-Latn-BA"/>
        </w:rPr>
        <w:t>средње</w:t>
      </w:r>
      <w:r w:rsidR="00895AB5" w:rsidRPr="00295637">
        <w:rPr>
          <w:rStyle w:val="Strong"/>
          <w:b w:val="0"/>
          <w:lang w:val="bs-Latn-BA"/>
        </w:rPr>
        <w:t xml:space="preserve"> </w:t>
      </w:r>
      <w:r>
        <w:rPr>
          <w:rStyle w:val="Strong"/>
          <w:b w:val="0"/>
          <w:lang w:val="bs-Latn-BA"/>
        </w:rPr>
        <w:t>школе</w:t>
      </w:r>
      <w:r w:rsidR="00895AB5" w:rsidRPr="00295637">
        <w:rPr>
          <w:rStyle w:val="Strong"/>
          <w:lang w:val="bs-Latn-BA"/>
        </w:rPr>
        <w:t xml:space="preserve"> </w:t>
      </w:r>
      <w:r>
        <w:rPr>
          <w:rStyle w:val="Strong"/>
          <w:b w:val="0"/>
          <w:lang w:val="bs-Latn-BA"/>
        </w:rPr>
        <w:t>у</w:t>
      </w:r>
      <w:r w:rsidR="00895AB5" w:rsidRPr="00295637">
        <w:rPr>
          <w:rStyle w:val="Strong"/>
          <w:b w:val="0"/>
          <w:lang w:val="bs-Latn-BA"/>
        </w:rPr>
        <w:t xml:space="preserve"> </w:t>
      </w:r>
      <w:r>
        <w:rPr>
          <w:rStyle w:val="Strong"/>
          <w:b w:val="0"/>
          <w:lang w:val="bs-Latn-BA"/>
        </w:rPr>
        <w:t>ФБиХ</w:t>
      </w:r>
      <w:r w:rsidR="00895AB5" w:rsidRPr="00FF6855">
        <w:rPr>
          <w:lang w:val="bs-Latn-BA"/>
        </w:rPr>
        <w:t>,</w:t>
      </w:r>
      <w:r w:rsidR="00FF6855">
        <w:rPr>
          <w:lang w:val="bs-Latn-BA"/>
        </w:rPr>
        <w:t xml:space="preserve"> </w:t>
      </w:r>
      <w:r>
        <w:rPr>
          <w:lang w:val="bs-Latn-BA"/>
        </w:rPr>
        <w:t>с</w:t>
      </w:r>
      <w:r w:rsidR="0077778E">
        <w:rPr>
          <w:lang w:val="sr-Cyrl-BA"/>
        </w:rPr>
        <w:t>а</w:t>
      </w:r>
      <w:r w:rsidR="00895AB5" w:rsidRPr="00295637">
        <w:rPr>
          <w:lang w:val="bs-Latn-BA"/>
        </w:rPr>
        <w:t xml:space="preserve"> </w:t>
      </w:r>
      <w:r>
        <w:rPr>
          <w:lang w:val="bs-Latn-BA"/>
        </w:rPr>
        <w:t>подацима</w:t>
      </w:r>
      <w:r w:rsidR="00895AB5" w:rsidRPr="00295637">
        <w:rPr>
          <w:lang w:val="bs-Latn-BA"/>
        </w:rPr>
        <w:t xml:space="preserve"> </w:t>
      </w:r>
      <w:r>
        <w:rPr>
          <w:lang w:val="bs-Latn-BA"/>
        </w:rPr>
        <w:t>разврстаним</w:t>
      </w:r>
      <w:r w:rsidR="00895AB5" w:rsidRPr="00295637">
        <w:rPr>
          <w:lang w:val="bs-Latn-BA"/>
        </w:rPr>
        <w:t xml:space="preserve"> </w:t>
      </w:r>
      <w:r>
        <w:rPr>
          <w:lang w:val="bs-Latn-BA"/>
        </w:rPr>
        <w:t>по</w:t>
      </w:r>
      <w:r w:rsidR="00895AB5" w:rsidRPr="00295637">
        <w:rPr>
          <w:lang w:val="bs-Latn-BA"/>
        </w:rPr>
        <w:t xml:space="preserve"> </w:t>
      </w:r>
      <w:r>
        <w:rPr>
          <w:lang w:val="bs-Latn-BA"/>
        </w:rPr>
        <w:t>полу</w:t>
      </w:r>
      <w:r w:rsidR="00895AB5" w:rsidRPr="00295637">
        <w:rPr>
          <w:lang w:val="bs-Latn-BA"/>
        </w:rPr>
        <w:t xml:space="preserve">. </w:t>
      </w:r>
      <w:r>
        <w:rPr>
          <w:lang w:val="bs-Latn-BA"/>
        </w:rPr>
        <w:t>Према</w:t>
      </w:r>
      <w:r w:rsidR="00895AB5" w:rsidRPr="00295637">
        <w:rPr>
          <w:lang w:val="bs-Latn-BA"/>
        </w:rPr>
        <w:t xml:space="preserve"> </w:t>
      </w:r>
      <w:r>
        <w:rPr>
          <w:lang w:val="bs-Latn-BA"/>
        </w:rPr>
        <w:t>доступним</w:t>
      </w:r>
      <w:r w:rsidR="00895AB5" w:rsidRPr="00295637">
        <w:rPr>
          <w:lang w:val="bs-Latn-BA"/>
        </w:rPr>
        <w:t xml:space="preserve"> </w:t>
      </w:r>
      <w:r>
        <w:rPr>
          <w:lang w:val="bs-Latn-BA"/>
        </w:rPr>
        <w:t>подацима</w:t>
      </w:r>
      <w:r w:rsidR="00895AB5" w:rsidRPr="00295637">
        <w:rPr>
          <w:lang w:val="bs-Latn-BA"/>
        </w:rPr>
        <w:t>:</w:t>
      </w:r>
      <w:r w:rsidR="003405BA" w:rsidRPr="00295637">
        <w:rPr>
          <w:lang w:val="bs-Latn-BA"/>
        </w:rPr>
        <w:t xml:space="preserve"> </w:t>
      </w:r>
      <w:r>
        <w:rPr>
          <w:rStyle w:val="Strong"/>
          <w:b w:val="0"/>
          <w:lang w:val="bs-Latn-BA"/>
        </w:rPr>
        <w:t>удио</w:t>
      </w:r>
      <w:r w:rsidR="00895AB5" w:rsidRPr="00295637">
        <w:rPr>
          <w:rStyle w:val="Strong"/>
          <w:lang w:val="bs-Latn-BA"/>
        </w:rPr>
        <w:t xml:space="preserve"> </w:t>
      </w:r>
      <w:r>
        <w:rPr>
          <w:rStyle w:val="Strong"/>
          <w:b w:val="0"/>
          <w:lang w:val="bs-Latn-BA"/>
        </w:rPr>
        <w:t>ученица</w:t>
      </w:r>
      <w:r w:rsidR="00895AB5" w:rsidRPr="00295637">
        <w:rPr>
          <w:rStyle w:val="Strong"/>
          <w:b w:val="0"/>
          <w:lang w:val="bs-Latn-BA"/>
        </w:rPr>
        <w:t xml:space="preserve"> </w:t>
      </w:r>
      <w:r>
        <w:rPr>
          <w:rStyle w:val="Strong"/>
          <w:b w:val="0"/>
          <w:lang w:val="bs-Latn-BA"/>
        </w:rPr>
        <w:t>у</w:t>
      </w:r>
      <w:r w:rsidR="00895AB5" w:rsidRPr="00295637">
        <w:rPr>
          <w:rStyle w:val="Strong"/>
          <w:b w:val="0"/>
          <w:lang w:val="bs-Latn-BA"/>
        </w:rPr>
        <w:t xml:space="preserve"> </w:t>
      </w:r>
      <w:r>
        <w:rPr>
          <w:rStyle w:val="Strong"/>
          <w:b w:val="0"/>
          <w:lang w:val="bs-Latn-BA"/>
        </w:rPr>
        <w:t>основним</w:t>
      </w:r>
      <w:r w:rsidR="00895AB5" w:rsidRPr="00295637">
        <w:rPr>
          <w:rStyle w:val="Strong"/>
          <w:b w:val="0"/>
          <w:lang w:val="bs-Latn-BA"/>
        </w:rPr>
        <w:t xml:space="preserve"> </w:t>
      </w:r>
      <w:r>
        <w:rPr>
          <w:rStyle w:val="Strong"/>
          <w:b w:val="0"/>
          <w:lang w:val="bs-Latn-BA"/>
        </w:rPr>
        <w:t>школама</w:t>
      </w:r>
      <w:r w:rsidR="00895AB5" w:rsidRPr="00295637">
        <w:rPr>
          <w:lang w:val="bs-Latn-BA"/>
        </w:rPr>
        <w:t xml:space="preserve"> </w:t>
      </w:r>
      <w:r>
        <w:rPr>
          <w:lang w:val="bs-Latn-BA"/>
        </w:rPr>
        <w:t>износи</w:t>
      </w:r>
      <w:r w:rsidR="00895AB5" w:rsidRPr="00295637">
        <w:rPr>
          <w:lang w:val="bs-Latn-BA"/>
        </w:rPr>
        <w:t xml:space="preserve"> </w:t>
      </w:r>
      <w:r w:rsidR="00895AB5" w:rsidRPr="00295637">
        <w:rPr>
          <w:rStyle w:val="Strong"/>
          <w:b w:val="0"/>
          <w:lang w:val="bs-Latn-BA"/>
        </w:rPr>
        <w:t>48,7%</w:t>
      </w:r>
      <w:r w:rsidR="003405BA" w:rsidRPr="00295637">
        <w:rPr>
          <w:b/>
          <w:lang w:val="bs-Latn-BA"/>
        </w:rPr>
        <w:t>,</w:t>
      </w:r>
      <w:r w:rsidR="003405BA" w:rsidRPr="00295637">
        <w:rPr>
          <w:lang w:val="bs-Latn-BA"/>
        </w:rPr>
        <w:t xml:space="preserve"> </w:t>
      </w:r>
      <w:r>
        <w:rPr>
          <w:rStyle w:val="Strong"/>
          <w:b w:val="0"/>
          <w:lang w:val="bs-Latn-BA"/>
        </w:rPr>
        <w:t>удио</w:t>
      </w:r>
      <w:r w:rsidR="00895AB5" w:rsidRPr="00295637">
        <w:rPr>
          <w:rStyle w:val="Strong"/>
          <w:lang w:val="bs-Latn-BA"/>
        </w:rPr>
        <w:t xml:space="preserve"> </w:t>
      </w:r>
      <w:r>
        <w:rPr>
          <w:rStyle w:val="Strong"/>
          <w:b w:val="0"/>
          <w:lang w:val="bs-Latn-BA"/>
        </w:rPr>
        <w:t>ученица</w:t>
      </w:r>
      <w:r w:rsidR="00895AB5" w:rsidRPr="00295637">
        <w:rPr>
          <w:rStyle w:val="Strong"/>
          <w:b w:val="0"/>
          <w:lang w:val="bs-Latn-BA"/>
        </w:rPr>
        <w:t xml:space="preserve"> </w:t>
      </w:r>
      <w:r>
        <w:rPr>
          <w:rStyle w:val="Strong"/>
          <w:b w:val="0"/>
          <w:lang w:val="bs-Latn-BA"/>
        </w:rPr>
        <w:t>у</w:t>
      </w:r>
      <w:r w:rsidR="00895AB5" w:rsidRPr="00295637">
        <w:rPr>
          <w:rStyle w:val="Strong"/>
          <w:b w:val="0"/>
          <w:lang w:val="bs-Latn-BA"/>
        </w:rPr>
        <w:t xml:space="preserve"> </w:t>
      </w:r>
      <w:r>
        <w:rPr>
          <w:rStyle w:val="Strong"/>
          <w:b w:val="0"/>
          <w:lang w:val="bs-Latn-BA"/>
        </w:rPr>
        <w:t>средњим</w:t>
      </w:r>
      <w:r w:rsidR="00895AB5" w:rsidRPr="00295637">
        <w:rPr>
          <w:rStyle w:val="Strong"/>
          <w:b w:val="0"/>
          <w:lang w:val="bs-Latn-BA"/>
        </w:rPr>
        <w:t xml:space="preserve"> </w:t>
      </w:r>
      <w:r>
        <w:rPr>
          <w:rStyle w:val="Strong"/>
          <w:b w:val="0"/>
          <w:lang w:val="bs-Latn-BA"/>
        </w:rPr>
        <w:t>школама</w:t>
      </w:r>
      <w:r w:rsidR="00895AB5" w:rsidRPr="00295637">
        <w:rPr>
          <w:b/>
          <w:lang w:val="bs-Latn-BA"/>
        </w:rPr>
        <w:t xml:space="preserve"> </w:t>
      </w:r>
      <w:r>
        <w:rPr>
          <w:lang w:val="bs-Latn-BA"/>
        </w:rPr>
        <w:t>износи</w:t>
      </w:r>
      <w:r w:rsidR="00895AB5" w:rsidRPr="00295637">
        <w:rPr>
          <w:b/>
          <w:lang w:val="bs-Latn-BA"/>
        </w:rPr>
        <w:t xml:space="preserve"> </w:t>
      </w:r>
      <w:r w:rsidR="00895AB5" w:rsidRPr="00295637">
        <w:rPr>
          <w:rStyle w:val="Strong"/>
          <w:b w:val="0"/>
          <w:lang w:val="bs-Latn-BA"/>
        </w:rPr>
        <w:t>50,4%</w:t>
      </w:r>
      <w:r w:rsidR="00895AB5" w:rsidRPr="00FF6855">
        <w:rPr>
          <w:lang w:val="bs-Latn-BA"/>
        </w:rPr>
        <w:t>.</w:t>
      </w:r>
      <w:r w:rsidR="00205B30" w:rsidRPr="00295637">
        <w:rPr>
          <w:b/>
          <w:lang w:val="bs-Latn-BA"/>
        </w:rPr>
        <w:t xml:space="preserve"> </w:t>
      </w:r>
      <w:r>
        <w:rPr>
          <w:lang w:val="bs-Latn-BA"/>
        </w:rPr>
        <w:t>Поред</w:t>
      </w:r>
      <w:r w:rsidR="00205B30" w:rsidRPr="00295637">
        <w:rPr>
          <w:lang w:val="bs-Latn-BA"/>
        </w:rPr>
        <w:t xml:space="preserve"> </w:t>
      </w:r>
      <w:r>
        <w:rPr>
          <w:lang w:val="bs-Latn-BA"/>
        </w:rPr>
        <w:t>тога</w:t>
      </w:r>
      <w:r w:rsidR="00205B30" w:rsidRPr="00295637">
        <w:rPr>
          <w:lang w:val="bs-Latn-BA"/>
        </w:rPr>
        <w:t xml:space="preserve">, </w:t>
      </w:r>
      <w:r>
        <w:rPr>
          <w:lang w:val="bs-Latn-BA"/>
        </w:rPr>
        <w:t>ФЗЗС</w:t>
      </w:r>
      <w:r w:rsidR="00895AB5" w:rsidRPr="00295637">
        <w:rPr>
          <w:lang w:val="bs-Latn-BA"/>
        </w:rPr>
        <w:t xml:space="preserve"> </w:t>
      </w:r>
      <w:r>
        <w:rPr>
          <w:lang w:val="bs-Latn-BA"/>
        </w:rPr>
        <w:t>на</w:t>
      </w:r>
      <w:r w:rsidR="00895AB5" w:rsidRPr="00295637">
        <w:rPr>
          <w:lang w:val="bs-Latn-BA"/>
        </w:rPr>
        <w:t xml:space="preserve"> </w:t>
      </w:r>
      <w:r>
        <w:rPr>
          <w:lang w:val="bs-Latn-BA"/>
        </w:rPr>
        <w:t>годишњем</w:t>
      </w:r>
      <w:r w:rsidR="00895AB5" w:rsidRPr="00295637">
        <w:rPr>
          <w:lang w:val="bs-Latn-BA"/>
        </w:rPr>
        <w:t xml:space="preserve"> </w:t>
      </w:r>
      <w:r>
        <w:rPr>
          <w:lang w:val="bs-Latn-BA"/>
        </w:rPr>
        <w:t>нивоу</w:t>
      </w:r>
      <w:r w:rsidR="00895AB5" w:rsidRPr="00295637">
        <w:rPr>
          <w:lang w:val="bs-Latn-BA"/>
        </w:rPr>
        <w:t xml:space="preserve"> </w:t>
      </w:r>
      <w:r>
        <w:rPr>
          <w:lang w:val="bs-Latn-BA"/>
        </w:rPr>
        <w:t>објављује</w:t>
      </w:r>
      <w:r w:rsidR="00895AB5" w:rsidRPr="00295637">
        <w:rPr>
          <w:lang w:val="bs-Latn-BA"/>
        </w:rPr>
        <w:t xml:space="preserve"> </w:t>
      </w:r>
      <w:r>
        <w:rPr>
          <w:lang w:val="bs-Latn-BA"/>
        </w:rPr>
        <w:t>податке</w:t>
      </w:r>
      <w:r w:rsidR="00895AB5" w:rsidRPr="00295637">
        <w:rPr>
          <w:lang w:val="bs-Latn-BA"/>
        </w:rPr>
        <w:t xml:space="preserve"> </w:t>
      </w:r>
      <w:r>
        <w:rPr>
          <w:lang w:val="bs-Latn-BA"/>
        </w:rPr>
        <w:t>о</w:t>
      </w:r>
      <w:r w:rsidR="00895AB5" w:rsidRPr="00295637">
        <w:rPr>
          <w:lang w:val="bs-Latn-BA"/>
        </w:rPr>
        <w:t xml:space="preserve"> </w:t>
      </w:r>
      <w:r>
        <w:rPr>
          <w:lang w:val="bs-Latn-BA"/>
        </w:rPr>
        <w:t>броју</w:t>
      </w:r>
      <w:r w:rsidR="00895AB5" w:rsidRPr="00295637">
        <w:rPr>
          <w:lang w:val="bs-Latn-BA"/>
        </w:rPr>
        <w:t xml:space="preserve"> </w:t>
      </w:r>
      <w:r>
        <w:rPr>
          <w:lang w:val="bs-Latn-BA"/>
        </w:rPr>
        <w:t>ученика</w:t>
      </w:r>
      <w:r w:rsidR="00895AB5" w:rsidRPr="00295637">
        <w:rPr>
          <w:lang w:val="bs-Latn-BA"/>
        </w:rPr>
        <w:t xml:space="preserve"> </w:t>
      </w:r>
      <w:r>
        <w:rPr>
          <w:lang w:val="bs-Latn-BA"/>
        </w:rPr>
        <w:t>основних</w:t>
      </w:r>
      <w:r w:rsidR="00895AB5" w:rsidRPr="00295637">
        <w:rPr>
          <w:lang w:val="bs-Latn-BA"/>
        </w:rPr>
        <w:t xml:space="preserve"> </w:t>
      </w:r>
      <w:r>
        <w:rPr>
          <w:lang w:val="bs-Latn-BA"/>
        </w:rPr>
        <w:t>и</w:t>
      </w:r>
      <w:r w:rsidR="00895AB5" w:rsidRPr="00295637">
        <w:rPr>
          <w:lang w:val="bs-Latn-BA"/>
        </w:rPr>
        <w:t xml:space="preserve"> </w:t>
      </w:r>
      <w:r>
        <w:rPr>
          <w:lang w:val="bs-Latn-BA"/>
        </w:rPr>
        <w:t>средњих</w:t>
      </w:r>
      <w:r w:rsidR="00895AB5" w:rsidRPr="00295637">
        <w:rPr>
          <w:lang w:val="bs-Latn-BA"/>
        </w:rPr>
        <w:t xml:space="preserve"> </w:t>
      </w:r>
      <w:r>
        <w:rPr>
          <w:lang w:val="bs-Latn-BA"/>
        </w:rPr>
        <w:t>школа</w:t>
      </w:r>
      <w:r w:rsidR="00895AB5" w:rsidRPr="00295637">
        <w:rPr>
          <w:lang w:val="bs-Latn-BA"/>
        </w:rPr>
        <w:t xml:space="preserve">, </w:t>
      </w:r>
      <w:r>
        <w:rPr>
          <w:lang w:val="bs-Latn-BA"/>
        </w:rPr>
        <w:t>разврстане</w:t>
      </w:r>
      <w:r w:rsidR="00895AB5" w:rsidRPr="00295637">
        <w:rPr>
          <w:lang w:val="bs-Latn-BA"/>
        </w:rPr>
        <w:t xml:space="preserve"> </w:t>
      </w:r>
      <w:r>
        <w:rPr>
          <w:lang w:val="bs-Latn-BA"/>
        </w:rPr>
        <w:t>по</w:t>
      </w:r>
      <w:r w:rsidR="00895AB5" w:rsidRPr="00295637">
        <w:rPr>
          <w:lang w:val="bs-Latn-BA"/>
        </w:rPr>
        <w:t xml:space="preserve"> </w:t>
      </w:r>
      <w:r>
        <w:rPr>
          <w:lang w:val="bs-Latn-BA"/>
        </w:rPr>
        <w:t>полу</w:t>
      </w:r>
      <w:r w:rsidR="00895AB5" w:rsidRPr="00295637">
        <w:rPr>
          <w:lang w:val="bs-Latn-BA"/>
        </w:rPr>
        <w:t>.</w:t>
      </w:r>
    </w:p>
    <w:p w:rsidR="00816B05" w:rsidRPr="00295637" w:rsidRDefault="00816B05" w:rsidP="0086268D">
      <w:pPr>
        <w:pStyle w:val="NormalWeb"/>
        <w:spacing w:before="0" w:beforeAutospacing="0" w:after="0" w:afterAutospacing="0"/>
        <w:jc w:val="both"/>
        <w:rPr>
          <w:lang w:val="bs-Latn-BA"/>
        </w:rPr>
      </w:pPr>
    </w:p>
    <w:p w:rsidR="00816B05" w:rsidRPr="00295637" w:rsidRDefault="00C6214E" w:rsidP="0086268D">
      <w:pPr>
        <w:pStyle w:val="NormalWeb"/>
        <w:spacing w:before="0" w:beforeAutospacing="0" w:after="0" w:afterAutospacing="0"/>
        <w:jc w:val="both"/>
        <w:rPr>
          <w:lang w:val="bs-Latn-BA"/>
        </w:rPr>
      </w:pPr>
      <w:r>
        <w:rPr>
          <w:lang w:val="bs-Latn-BA"/>
        </w:rPr>
        <w:t>У</w:t>
      </w:r>
      <w:r w:rsidR="00816B05" w:rsidRPr="00295637">
        <w:rPr>
          <w:lang w:val="bs-Latn-BA"/>
        </w:rPr>
        <w:t xml:space="preserve"> 2024.</w:t>
      </w:r>
      <w:r w:rsidR="009A097E">
        <w:rPr>
          <w:lang w:val="bs-Latn-BA"/>
        </w:rPr>
        <w:t xml:space="preserve"> </w:t>
      </w:r>
      <w:r>
        <w:rPr>
          <w:lang w:val="bs-Latn-BA"/>
        </w:rPr>
        <w:t>години</w:t>
      </w:r>
      <w:r w:rsidR="00816B05" w:rsidRPr="00295637">
        <w:rPr>
          <w:lang w:val="bs-Latn-BA"/>
        </w:rPr>
        <w:t xml:space="preserve"> </w:t>
      </w:r>
      <w:r>
        <w:rPr>
          <w:lang w:val="bs-Latn-BA"/>
        </w:rPr>
        <w:t>ФМОИН</w:t>
      </w:r>
      <w:r w:rsidR="00816B05" w:rsidRPr="00295637">
        <w:rPr>
          <w:lang w:val="bs-Latn-BA"/>
        </w:rPr>
        <w:t xml:space="preserve"> </w:t>
      </w:r>
      <w:r>
        <w:rPr>
          <w:lang w:val="bs-Latn-BA"/>
        </w:rPr>
        <w:t>финансирало</w:t>
      </w:r>
      <w:r w:rsidR="00816B05" w:rsidRPr="00295637">
        <w:rPr>
          <w:lang w:val="bs-Latn-BA"/>
        </w:rPr>
        <w:t xml:space="preserve"> </w:t>
      </w:r>
      <w:r>
        <w:rPr>
          <w:lang w:val="bs-Latn-BA"/>
        </w:rPr>
        <w:t>је</w:t>
      </w:r>
      <w:r w:rsidR="00816B05" w:rsidRPr="00295637">
        <w:rPr>
          <w:lang w:val="bs-Latn-BA"/>
        </w:rPr>
        <w:t xml:space="preserve">: </w:t>
      </w:r>
      <w:r w:rsidR="00816B05" w:rsidRPr="00295637">
        <w:rPr>
          <w:rStyle w:val="Strong"/>
          <w:b w:val="0"/>
          <w:lang w:val="bs-Latn-BA"/>
        </w:rPr>
        <w:t xml:space="preserve">66 </w:t>
      </w:r>
      <w:r>
        <w:rPr>
          <w:rStyle w:val="Strong"/>
          <w:b w:val="0"/>
          <w:lang w:val="bs-Latn-BA"/>
        </w:rPr>
        <w:t>научно</w:t>
      </w:r>
      <w:r w:rsidR="00816B05" w:rsidRPr="00295637">
        <w:rPr>
          <w:rStyle w:val="Strong"/>
          <w:b w:val="0"/>
          <w:lang w:val="bs-Latn-BA"/>
        </w:rPr>
        <w:t>-</w:t>
      </w:r>
      <w:r>
        <w:rPr>
          <w:rStyle w:val="Strong"/>
          <w:b w:val="0"/>
          <w:lang w:val="bs-Latn-BA"/>
        </w:rPr>
        <w:t>истраживачких</w:t>
      </w:r>
      <w:r w:rsidR="00816B05" w:rsidRPr="00295637">
        <w:rPr>
          <w:rStyle w:val="Strong"/>
          <w:b w:val="0"/>
          <w:lang w:val="bs-Latn-BA"/>
        </w:rPr>
        <w:t xml:space="preserve"> </w:t>
      </w:r>
      <w:r>
        <w:rPr>
          <w:rStyle w:val="Strong"/>
          <w:b w:val="0"/>
          <w:lang w:val="bs-Latn-BA"/>
        </w:rPr>
        <w:t>и</w:t>
      </w:r>
      <w:r w:rsidR="00816B05" w:rsidRPr="00295637">
        <w:rPr>
          <w:rStyle w:val="Strong"/>
          <w:b w:val="0"/>
          <w:lang w:val="bs-Latn-BA"/>
        </w:rPr>
        <w:t xml:space="preserve"> </w:t>
      </w:r>
      <w:r>
        <w:rPr>
          <w:rStyle w:val="Strong"/>
          <w:b w:val="0"/>
          <w:lang w:val="bs-Latn-BA"/>
        </w:rPr>
        <w:t>истраживачко</w:t>
      </w:r>
      <w:r w:rsidR="00816B05" w:rsidRPr="00295637">
        <w:rPr>
          <w:rStyle w:val="Strong"/>
          <w:b w:val="0"/>
          <w:lang w:val="bs-Latn-BA"/>
        </w:rPr>
        <w:t>-</w:t>
      </w:r>
      <w:r>
        <w:rPr>
          <w:rStyle w:val="Strong"/>
          <w:b w:val="0"/>
          <w:lang w:val="bs-Latn-BA"/>
        </w:rPr>
        <w:t>развојних</w:t>
      </w:r>
      <w:r w:rsidR="00816B05" w:rsidRPr="00295637">
        <w:rPr>
          <w:rStyle w:val="Strong"/>
          <w:b w:val="0"/>
          <w:lang w:val="bs-Latn-BA"/>
        </w:rPr>
        <w:t xml:space="preserve"> </w:t>
      </w:r>
      <w:r>
        <w:rPr>
          <w:rStyle w:val="Strong"/>
          <w:b w:val="0"/>
          <w:lang w:val="bs-Latn-BA"/>
        </w:rPr>
        <w:t>пројеката</w:t>
      </w:r>
      <w:r w:rsidR="00816B05" w:rsidRPr="00295637">
        <w:rPr>
          <w:lang w:val="bs-Latn-BA"/>
        </w:rPr>
        <w:t xml:space="preserve">, </w:t>
      </w:r>
      <w:r>
        <w:rPr>
          <w:lang w:val="bs-Latn-BA"/>
        </w:rPr>
        <w:t>од</w:t>
      </w:r>
      <w:r w:rsidR="00816B05" w:rsidRPr="00295637">
        <w:rPr>
          <w:lang w:val="bs-Latn-BA"/>
        </w:rPr>
        <w:t xml:space="preserve"> </w:t>
      </w:r>
      <w:r>
        <w:rPr>
          <w:lang w:val="bs-Latn-BA"/>
        </w:rPr>
        <w:t>чега</w:t>
      </w:r>
      <w:r w:rsidR="00816B05" w:rsidRPr="00295637">
        <w:rPr>
          <w:lang w:val="bs-Latn-BA"/>
        </w:rPr>
        <w:t xml:space="preserve"> </w:t>
      </w:r>
      <w:r>
        <w:rPr>
          <w:lang w:val="bs-Latn-BA"/>
        </w:rPr>
        <w:t>је</w:t>
      </w:r>
      <w:r w:rsidR="00816B05" w:rsidRPr="00295637">
        <w:rPr>
          <w:lang w:val="bs-Latn-BA"/>
        </w:rPr>
        <w:t xml:space="preserve"> </w:t>
      </w:r>
      <w:r w:rsidR="00816B05" w:rsidRPr="00295637">
        <w:rPr>
          <w:rStyle w:val="Strong"/>
          <w:b w:val="0"/>
          <w:lang w:val="bs-Latn-BA"/>
        </w:rPr>
        <w:t xml:space="preserve">36 </w:t>
      </w:r>
      <w:r>
        <w:rPr>
          <w:rStyle w:val="Strong"/>
          <w:b w:val="0"/>
          <w:lang w:val="bs-Latn-BA"/>
        </w:rPr>
        <w:t>пројеката</w:t>
      </w:r>
      <w:r w:rsidR="00816B05" w:rsidRPr="00295637">
        <w:rPr>
          <w:lang w:val="bs-Latn-BA"/>
        </w:rPr>
        <w:t xml:space="preserve"> </w:t>
      </w:r>
      <w:r>
        <w:rPr>
          <w:lang w:val="bs-Latn-BA"/>
        </w:rPr>
        <w:t>вођено</w:t>
      </w:r>
      <w:r w:rsidR="00816B05" w:rsidRPr="00295637">
        <w:rPr>
          <w:lang w:val="bs-Latn-BA"/>
        </w:rPr>
        <w:t xml:space="preserve"> </w:t>
      </w:r>
      <w:r>
        <w:rPr>
          <w:lang w:val="bs-Latn-BA"/>
        </w:rPr>
        <w:t>од</w:t>
      </w:r>
      <w:r w:rsidR="00816B05" w:rsidRPr="00295637">
        <w:rPr>
          <w:lang w:val="bs-Latn-BA"/>
        </w:rPr>
        <w:t xml:space="preserve"> </w:t>
      </w:r>
      <w:r>
        <w:rPr>
          <w:lang w:val="bs-Latn-BA"/>
        </w:rPr>
        <w:t>стране</w:t>
      </w:r>
      <w:r w:rsidR="00816B05" w:rsidRPr="00295637">
        <w:rPr>
          <w:lang w:val="bs-Latn-BA"/>
        </w:rPr>
        <w:t xml:space="preserve"> </w:t>
      </w:r>
      <w:r>
        <w:rPr>
          <w:lang w:val="bs-Latn-BA"/>
        </w:rPr>
        <w:t>жена</w:t>
      </w:r>
      <w:r w:rsidR="00816B05" w:rsidRPr="00295637">
        <w:rPr>
          <w:lang w:val="bs-Latn-BA"/>
        </w:rPr>
        <w:t xml:space="preserve"> (</w:t>
      </w:r>
      <w:r w:rsidR="00816B05" w:rsidRPr="00295637">
        <w:rPr>
          <w:rStyle w:val="Strong"/>
          <w:b w:val="0"/>
          <w:lang w:val="bs-Latn-BA"/>
        </w:rPr>
        <w:t>54,55%</w:t>
      </w:r>
      <w:r w:rsidR="00816B05" w:rsidRPr="00295637">
        <w:rPr>
          <w:lang w:val="bs-Latn-BA"/>
        </w:rPr>
        <w:t>);</w:t>
      </w:r>
      <w:r w:rsidR="00816B05" w:rsidRPr="00295637">
        <w:rPr>
          <w:b/>
          <w:lang w:val="bs-Latn-BA"/>
        </w:rPr>
        <w:t xml:space="preserve"> </w:t>
      </w:r>
      <w:r w:rsidR="00816B05" w:rsidRPr="00295637">
        <w:rPr>
          <w:rStyle w:val="Strong"/>
          <w:b w:val="0"/>
          <w:lang w:val="bs-Latn-BA"/>
        </w:rPr>
        <w:t xml:space="preserve">29 </w:t>
      </w:r>
      <w:r>
        <w:rPr>
          <w:rStyle w:val="Strong"/>
          <w:b w:val="0"/>
          <w:lang w:val="bs-Latn-BA"/>
        </w:rPr>
        <w:t>билатералних</w:t>
      </w:r>
      <w:r w:rsidR="00816B05" w:rsidRPr="00295637">
        <w:rPr>
          <w:rStyle w:val="Strong"/>
          <w:b w:val="0"/>
          <w:lang w:val="bs-Latn-BA"/>
        </w:rPr>
        <w:t xml:space="preserve"> </w:t>
      </w:r>
      <w:r>
        <w:rPr>
          <w:rStyle w:val="Strong"/>
          <w:b w:val="0"/>
          <w:lang w:val="bs-Latn-BA"/>
        </w:rPr>
        <w:t>научно</w:t>
      </w:r>
      <w:r w:rsidR="00816B05" w:rsidRPr="00295637">
        <w:rPr>
          <w:rStyle w:val="Strong"/>
          <w:b w:val="0"/>
          <w:lang w:val="bs-Latn-BA"/>
        </w:rPr>
        <w:t>-</w:t>
      </w:r>
      <w:r>
        <w:rPr>
          <w:rStyle w:val="Strong"/>
          <w:b w:val="0"/>
          <w:lang w:val="bs-Latn-BA"/>
        </w:rPr>
        <w:t>истраживачких</w:t>
      </w:r>
      <w:r w:rsidR="00816B05" w:rsidRPr="00295637">
        <w:rPr>
          <w:rStyle w:val="Strong"/>
          <w:b w:val="0"/>
          <w:lang w:val="bs-Latn-BA"/>
        </w:rPr>
        <w:t xml:space="preserve"> </w:t>
      </w:r>
      <w:r>
        <w:rPr>
          <w:rStyle w:val="Strong"/>
          <w:b w:val="0"/>
          <w:lang w:val="bs-Latn-BA"/>
        </w:rPr>
        <w:t>пројеката</w:t>
      </w:r>
      <w:r w:rsidR="00816B05" w:rsidRPr="00295637">
        <w:rPr>
          <w:lang w:val="bs-Latn-BA"/>
        </w:rPr>
        <w:t xml:space="preserve">, </w:t>
      </w:r>
      <w:r>
        <w:rPr>
          <w:lang w:val="bs-Latn-BA"/>
        </w:rPr>
        <w:t>од</w:t>
      </w:r>
      <w:r w:rsidR="00816B05" w:rsidRPr="00295637">
        <w:rPr>
          <w:lang w:val="bs-Latn-BA"/>
        </w:rPr>
        <w:t xml:space="preserve"> </w:t>
      </w:r>
      <w:r>
        <w:rPr>
          <w:lang w:val="bs-Latn-BA"/>
        </w:rPr>
        <w:t>чега</w:t>
      </w:r>
      <w:r w:rsidR="00816B05" w:rsidRPr="00295637">
        <w:rPr>
          <w:lang w:val="bs-Latn-BA"/>
        </w:rPr>
        <w:t xml:space="preserve"> </w:t>
      </w:r>
      <w:r>
        <w:rPr>
          <w:lang w:val="bs-Latn-BA"/>
        </w:rPr>
        <w:t>је</w:t>
      </w:r>
      <w:r w:rsidR="00816B05" w:rsidRPr="00295637">
        <w:rPr>
          <w:lang w:val="bs-Latn-BA"/>
        </w:rPr>
        <w:t xml:space="preserve"> </w:t>
      </w:r>
      <w:r w:rsidR="00816B05" w:rsidRPr="00295637">
        <w:rPr>
          <w:rStyle w:val="Strong"/>
          <w:b w:val="0"/>
          <w:lang w:val="bs-Latn-BA"/>
        </w:rPr>
        <w:t xml:space="preserve">17 </w:t>
      </w:r>
      <w:r>
        <w:rPr>
          <w:rStyle w:val="Strong"/>
          <w:b w:val="0"/>
          <w:lang w:val="bs-Latn-BA"/>
        </w:rPr>
        <w:t>пројеката</w:t>
      </w:r>
      <w:r w:rsidR="00816B05" w:rsidRPr="00295637">
        <w:rPr>
          <w:lang w:val="bs-Latn-BA"/>
        </w:rPr>
        <w:t xml:space="preserve"> </w:t>
      </w:r>
      <w:r>
        <w:rPr>
          <w:lang w:val="bs-Latn-BA"/>
        </w:rPr>
        <w:t>вођено</w:t>
      </w:r>
      <w:r w:rsidR="00816B05" w:rsidRPr="00295637">
        <w:rPr>
          <w:lang w:val="bs-Latn-BA"/>
        </w:rPr>
        <w:t xml:space="preserve"> </w:t>
      </w:r>
      <w:r>
        <w:rPr>
          <w:lang w:val="bs-Latn-BA"/>
        </w:rPr>
        <w:t>од</w:t>
      </w:r>
      <w:r w:rsidR="00816B05" w:rsidRPr="00295637">
        <w:rPr>
          <w:lang w:val="bs-Latn-BA"/>
        </w:rPr>
        <w:t xml:space="preserve"> </w:t>
      </w:r>
      <w:r>
        <w:rPr>
          <w:lang w:val="bs-Latn-BA"/>
        </w:rPr>
        <w:t>стране</w:t>
      </w:r>
      <w:r w:rsidR="00816B05" w:rsidRPr="00295637">
        <w:rPr>
          <w:lang w:val="bs-Latn-BA"/>
        </w:rPr>
        <w:t xml:space="preserve"> </w:t>
      </w:r>
      <w:r>
        <w:rPr>
          <w:lang w:val="bs-Latn-BA"/>
        </w:rPr>
        <w:t>жена</w:t>
      </w:r>
      <w:r w:rsidR="00816B05" w:rsidRPr="00295637">
        <w:rPr>
          <w:lang w:val="bs-Latn-BA"/>
        </w:rPr>
        <w:t xml:space="preserve"> (</w:t>
      </w:r>
      <w:r w:rsidR="00816B05" w:rsidRPr="00295637">
        <w:rPr>
          <w:rStyle w:val="Strong"/>
          <w:b w:val="0"/>
          <w:lang w:val="bs-Latn-BA"/>
        </w:rPr>
        <w:t>59%</w:t>
      </w:r>
      <w:r w:rsidR="00816B05" w:rsidRPr="00295637">
        <w:rPr>
          <w:lang w:val="bs-Latn-BA"/>
        </w:rPr>
        <w:t xml:space="preserve">), </w:t>
      </w:r>
      <w:r>
        <w:rPr>
          <w:lang w:val="bs-Latn-BA"/>
        </w:rPr>
        <w:t>те</w:t>
      </w:r>
      <w:r w:rsidR="00816B05" w:rsidRPr="00295637">
        <w:rPr>
          <w:lang w:val="bs-Latn-BA"/>
        </w:rPr>
        <w:t xml:space="preserve"> </w:t>
      </w:r>
      <w:r w:rsidR="00816B05" w:rsidRPr="00295637">
        <w:rPr>
          <w:rStyle w:val="Strong"/>
          <w:b w:val="0"/>
          <w:lang w:val="bs-Latn-BA"/>
        </w:rPr>
        <w:t xml:space="preserve">111 </w:t>
      </w:r>
      <w:r>
        <w:rPr>
          <w:rStyle w:val="Strong"/>
          <w:b w:val="0"/>
          <w:lang w:val="bs-Latn-BA"/>
        </w:rPr>
        <w:t>истраживачких</w:t>
      </w:r>
      <w:r w:rsidR="00816B05" w:rsidRPr="00295637">
        <w:rPr>
          <w:rStyle w:val="Strong"/>
          <w:b w:val="0"/>
          <w:lang w:val="bs-Latn-BA"/>
        </w:rPr>
        <w:t xml:space="preserve"> </w:t>
      </w:r>
      <w:r>
        <w:rPr>
          <w:rStyle w:val="Strong"/>
          <w:b w:val="0"/>
          <w:lang w:val="bs-Latn-BA"/>
        </w:rPr>
        <w:t>пројеката</w:t>
      </w:r>
      <w:r w:rsidR="00816B05" w:rsidRPr="00295637">
        <w:rPr>
          <w:lang w:val="bs-Latn-BA"/>
        </w:rPr>
        <w:t xml:space="preserve">, </w:t>
      </w:r>
      <w:r>
        <w:rPr>
          <w:lang w:val="bs-Latn-BA"/>
        </w:rPr>
        <w:t>од</w:t>
      </w:r>
      <w:r w:rsidR="00816B05" w:rsidRPr="00295637">
        <w:rPr>
          <w:lang w:val="bs-Latn-BA"/>
        </w:rPr>
        <w:t xml:space="preserve"> </w:t>
      </w:r>
      <w:r>
        <w:rPr>
          <w:lang w:val="bs-Latn-BA"/>
        </w:rPr>
        <w:t>чега</w:t>
      </w:r>
      <w:r w:rsidR="00816B05" w:rsidRPr="00295637">
        <w:rPr>
          <w:lang w:val="bs-Latn-BA"/>
        </w:rPr>
        <w:t xml:space="preserve"> </w:t>
      </w:r>
      <w:r>
        <w:rPr>
          <w:lang w:val="bs-Latn-BA"/>
        </w:rPr>
        <w:t>је</w:t>
      </w:r>
      <w:r w:rsidR="00816B05" w:rsidRPr="00295637">
        <w:rPr>
          <w:lang w:val="bs-Latn-BA"/>
        </w:rPr>
        <w:t xml:space="preserve"> </w:t>
      </w:r>
      <w:r w:rsidR="00816B05" w:rsidRPr="00295637">
        <w:rPr>
          <w:rStyle w:val="Strong"/>
          <w:b w:val="0"/>
          <w:lang w:val="bs-Latn-BA"/>
        </w:rPr>
        <w:t xml:space="preserve">43 </w:t>
      </w:r>
      <w:r>
        <w:rPr>
          <w:rStyle w:val="Strong"/>
          <w:b w:val="0"/>
          <w:lang w:val="bs-Latn-BA"/>
        </w:rPr>
        <w:t>пројекта</w:t>
      </w:r>
      <w:r w:rsidR="00816B05" w:rsidRPr="00295637">
        <w:rPr>
          <w:lang w:val="bs-Latn-BA"/>
        </w:rPr>
        <w:t xml:space="preserve"> </w:t>
      </w:r>
      <w:r>
        <w:rPr>
          <w:lang w:val="bs-Latn-BA"/>
        </w:rPr>
        <w:t>вођено</w:t>
      </w:r>
      <w:r w:rsidR="00816B05" w:rsidRPr="00295637">
        <w:rPr>
          <w:lang w:val="bs-Latn-BA"/>
        </w:rPr>
        <w:t xml:space="preserve"> </w:t>
      </w:r>
      <w:r>
        <w:rPr>
          <w:lang w:val="bs-Latn-BA"/>
        </w:rPr>
        <w:t>од</w:t>
      </w:r>
      <w:r w:rsidR="00816B05" w:rsidRPr="00295637">
        <w:rPr>
          <w:lang w:val="bs-Latn-BA"/>
        </w:rPr>
        <w:t xml:space="preserve"> </w:t>
      </w:r>
      <w:r>
        <w:rPr>
          <w:lang w:val="bs-Latn-BA"/>
        </w:rPr>
        <w:t>стране</w:t>
      </w:r>
      <w:r w:rsidR="00816B05" w:rsidRPr="00295637">
        <w:rPr>
          <w:lang w:val="bs-Latn-BA"/>
        </w:rPr>
        <w:t xml:space="preserve"> </w:t>
      </w:r>
      <w:r>
        <w:rPr>
          <w:lang w:val="bs-Latn-BA"/>
        </w:rPr>
        <w:t>жена</w:t>
      </w:r>
      <w:r w:rsidR="00816B05" w:rsidRPr="00295637">
        <w:rPr>
          <w:lang w:val="bs-Latn-BA"/>
        </w:rPr>
        <w:t xml:space="preserve"> (</w:t>
      </w:r>
      <w:r w:rsidR="00816B05" w:rsidRPr="00295637">
        <w:rPr>
          <w:rStyle w:val="Strong"/>
          <w:b w:val="0"/>
          <w:lang w:val="bs-Latn-BA"/>
        </w:rPr>
        <w:t>38,74%</w:t>
      </w:r>
      <w:r w:rsidR="00816B05" w:rsidRPr="00295637">
        <w:rPr>
          <w:lang w:val="bs-Latn-BA"/>
        </w:rPr>
        <w:t>).</w:t>
      </w:r>
    </w:p>
    <w:p w:rsidR="00664E91" w:rsidRPr="00295637" w:rsidRDefault="00664E91" w:rsidP="0086268D">
      <w:pPr>
        <w:pStyle w:val="NormalWeb"/>
        <w:spacing w:before="0" w:beforeAutospacing="0" w:after="0" w:afterAutospacing="0"/>
        <w:jc w:val="both"/>
        <w:rPr>
          <w:lang w:val="bs-Latn-BA"/>
        </w:rPr>
      </w:pPr>
    </w:p>
    <w:p w:rsidR="00664E91" w:rsidRPr="00295637" w:rsidRDefault="00C6214E" w:rsidP="0086268D">
      <w:pPr>
        <w:pStyle w:val="ListParagraph"/>
        <w:ind w:left="0"/>
        <w:jc w:val="both"/>
        <w:rPr>
          <w:rFonts w:ascii="Times New Roman" w:hAnsi="Times New Roman"/>
          <w:strike/>
          <w:szCs w:val="24"/>
          <w:lang w:val="bs-Latn-BA"/>
        </w:rPr>
      </w:pPr>
      <w:r>
        <w:rPr>
          <w:rFonts w:ascii="Times New Roman" w:hAnsi="Times New Roman"/>
          <w:szCs w:val="24"/>
          <w:lang w:val="bs-Latn-BA"/>
        </w:rPr>
        <w:t>Публикација</w:t>
      </w:r>
      <w:r w:rsidR="001D79A9" w:rsidRPr="00295637">
        <w:rPr>
          <w:rFonts w:ascii="Times New Roman" w:hAnsi="Times New Roman"/>
          <w:szCs w:val="24"/>
          <w:lang w:val="bs-Latn-BA"/>
        </w:rPr>
        <w:t xml:space="preserve"> „</w:t>
      </w:r>
      <w:r>
        <w:rPr>
          <w:rFonts w:ascii="Times New Roman" w:hAnsi="Times New Roman"/>
          <w:szCs w:val="24"/>
          <w:lang w:val="bs-Latn-BA"/>
        </w:rPr>
        <w:t>Жене</w:t>
      </w:r>
      <w:r w:rsidR="001D79A9" w:rsidRPr="00295637">
        <w:rPr>
          <w:rFonts w:ascii="Times New Roman" w:hAnsi="Times New Roman"/>
          <w:szCs w:val="24"/>
          <w:lang w:val="bs-Latn-BA"/>
        </w:rPr>
        <w:t xml:space="preserve"> </w:t>
      </w:r>
      <w:r>
        <w:rPr>
          <w:rFonts w:ascii="Times New Roman" w:hAnsi="Times New Roman"/>
          <w:szCs w:val="24"/>
          <w:lang w:val="bs-Latn-BA"/>
        </w:rPr>
        <w:t>и</w:t>
      </w:r>
      <w:r w:rsidR="001D79A9" w:rsidRPr="00295637">
        <w:rPr>
          <w:rFonts w:ascii="Times New Roman" w:hAnsi="Times New Roman"/>
          <w:szCs w:val="24"/>
          <w:lang w:val="bs-Latn-BA"/>
        </w:rPr>
        <w:t xml:space="preserve"> </w:t>
      </w:r>
      <w:r>
        <w:rPr>
          <w:rFonts w:ascii="Times New Roman" w:hAnsi="Times New Roman"/>
          <w:szCs w:val="24"/>
          <w:lang w:val="bs-Latn-BA"/>
        </w:rPr>
        <w:t>мушкарци</w:t>
      </w:r>
      <w:r w:rsidR="001D79A9" w:rsidRPr="00295637">
        <w:rPr>
          <w:rFonts w:ascii="Times New Roman" w:hAnsi="Times New Roman"/>
          <w:szCs w:val="24"/>
          <w:lang w:val="bs-Latn-BA"/>
        </w:rPr>
        <w:t xml:space="preserve"> </w:t>
      </w:r>
      <w:r>
        <w:rPr>
          <w:rFonts w:ascii="Times New Roman" w:hAnsi="Times New Roman"/>
          <w:szCs w:val="24"/>
          <w:lang w:val="bs-Latn-BA"/>
        </w:rPr>
        <w:t>у</w:t>
      </w:r>
      <w:r w:rsidR="001D79A9" w:rsidRPr="00295637">
        <w:rPr>
          <w:rFonts w:ascii="Times New Roman" w:hAnsi="Times New Roman"/>
          <w:szCs w:val="24"/>
          <w:lang w:val="bs-Latn-BA"/>
        </w:rPr>
        <w:t xml:space="preserve"> </w:t>
      </w:r>
      <w:r>
        <w:rPr>
          <w:rFonts w:ascii="Times New Roman" w:hAnsi="Times New Roman"/>
          <w:szCs w:val="24"/>
          <w:lang w:val="bs-Latn-BA"/>
        </w:rPr>
        <w:t>Босни</w:t>
      </w:r>
      <w:r w:rsidR="001D79A9" w:rsidRPr="00295637">
        <w:rPr>
          <w:rFonts w:ascii="Times New Roman" w:hAnsi="Times New Roman"/>
          <w:szCs w:val="24"/>
          <w:lang w:val="bs-Latn-BA"/>
        </w:rPr>
        <w:t xml:space="preserve"> </w:t>
      </w:r>
      <w:r>
        <w:rPr>
          <w:rFonts w:ascii="Times New Roman" w:hAnsi="Times New Roman"/>
          <w:szCs w:val="24"/>
          <w:lang w:val="bs-Latn-BA"/>
        </w:rPr>
        <w:t>и</w:t>
      </w:r>
      <w:r w:rsidR="001D79A9" w:rsidRPr="00295637">
        <w:rPr>
          <w:rFonts w:ascii="Times New Roman" w:hAnsi="Times New Roman"/>
          <w:szCs w:val="24"/>
          <w:lang w:val="bs-Latn-BA"/>
        </w:rPr>
        <w:t xml:space="preserve"> </w:t>
      </w:r>
      <w:r>
        <w:rPr>
          <w:rFonts w:ascii="Times New Roman" w:hAnsi="Times New Roman"/>
          <w:szCs w:val="24"/>
          <w:lang w:val="bs-Latn-BA"/>
        </w:rPr>
        <w:t>Херцеговини</w:t>
      </w:r>
      <w:r w:rsidR="001D79A9" w:rsidRPr="00295637">
        <w:rPr>
          <w:rFonts w:ascii="Times New Roman" w:hAnsi="Times New Roman"/>
          <w:szCs w:val="24"/>
          <w:lang w:val="bs-Latn-BA"/>
        </w:rPr>
        <w:t xml:space="preserve">“ </w:t>
      </w:r>
      <w:r>
        <w:rPr>
          <w:rFonts w:ascii="Times New Roman" w:hAnsi="Times New Roman"/>
          <w:szCs w:val="24"/>
          <w:lang w:val="bs-Latn-BA"/>
        </w:rPr>
        <w:t>у</w:t>
      </w:r>
      <w:r w:rsidR="001D79A9" w:rsidRPr="00295637">
        <w:rPr>
          <w:rFonts w:ascii="Times New Roman" w:hAnsi="Times New Roman"/>
          <w:szCs w:val="24"/>
          <w:lang w:val="bs-Latn-BA"/>
        </w:rPr>
        <w:t xml:space="preserve"> </w:t>
      </w:r>
      <w:r>
        <w:rPr>
          <w:rFonts w:ascii="Times New Roman" w:hAnsi="Times New Roman"/>
          <w:szCs w:val="24"/>
          <w:lang w:val="bs-Latn-BA"/>
        </w:rPr>
        <w:t>издању</w:t>
      </w:r>
      <w:r w:rsidR="001D79A9" w:rsidRPr="00295637">
        <w:rPr>
          <w:rFonts w:ascii="Times New Roman" w:hAnsi="Times New Roman"/>
          <w:szCs w:val="24"/>
          <w:lang w:val="bs-Latn-BA"/>
        </w:rPr>
        <w:t xml:space="preserve"> </w:t>
      </w:r>
      <w:r>
        <w:rPr>
          <w:rFonts w:ascii="Times New Roman" w:hAnsi="Times New Roman"/>
          <w:szCs w:val="24"/>
          <w:lang w:val="bs-Latn-BA"/>
        </w:rPr>
        <w:t>БХАС</w:t>
      </w:r>
      <w:r w:rsidR="001D79A9" w:rsidRPr="00295637">
        <w:rPr>
          <w:rFonts w:ascii="Times New Roman" w:hAnsi="Times New Roman"/>
          <w:szCs w:val="24"/>
          <w:lang w:val="bs-Latn-BA"/>
        </w:rPr>
        <w:t xml:space="preserve">, </w:t>
      </w:r>
      <w:r>
        <w:rPr>
          <w:rFonts w:ascii="Times New Roman" w:hAnsi="Times New Roman"/>
          <w:szCs w:val="24"/>
          <w:lang w:val="bs-Latn-BA"/>
        </w:rPr>
        <w:t>као</w:t>
      </w:r>
      <w:r w:rsidR="001D79A9" w:rsidRPr="00295637">
        <w:rPr>
          <w:rFonts w:ascii="Times New Roman" w:hAnsi="Times New Roman"/>
          <w:szCs w:val="24"/>
          <w:lang w:val="bs-Latn-BA"/>
        </w:rPr>
        <w:t xml:space="preserve"> </w:t>
      </w:r>
      <w:r>
        <w:rPr>
          <w:rFonts w:ascii="Times New Roman" w:hAnsi="Times New Roman"/>
          <w:szCs w:val="24"/>
          <w:lang w:val="bs-Latn-BA"/>
        </w:rPr>
        <w:t>и</w:t>
      </w:r>
      <w:r w:rsidR="001D79A9" w:rsidRPr="00295637">
        <w:rPr>
          <w:rFonts w:ascii="Times New Roman" w:hAnsi="Times New Roman"/>
          <w:szCs w:val="24"/>
          <w:lang w:val="bs-Latn-BA"/>
        </w:rPr>
        <w:t xml:space="preserve"> </w:t>
      </w:r>
      <w:r>
        <w:rPr>
          <w:rFonts w:ascii="Times New Roman" w:hAnsi="Times New Roman"/>
          <w:szCs w:val="24"/>
          <w:lang w:val="bs-Latn-BA"/>
        </w:rPr>
        <w:t>публикације</w:t>
      </w:r>
      <w:r w:rsidR="001D79A9" w:rsidRPr="00295637">
        <w:rPr>
          <w:rFonts w:ascii="Times New Roman" w:hAnsi="Times New Roman"/>
          <w:szCs w:val="24"/>
          <w:lang w:val="bs-Latn-BA"/>
        </w:rPr>
        <w:t xml:space="preserve"> „</w:t>
      </w:r>
      <w:r>
        <w:rPr>
          <w:rFonts w:ascii="Times New Roman" w:hAnsi="Times New Roman"/>
          <w:szCs w:val="24"/>
          <w:lang w:val="bs-Latn-BA"/>
        </w:rPr>
        <w:t>Жене</w:t>
      </w:r>
      <w:r w:rsidR="001D79A9" w:rsidRPr="00295637">
        <w:rPr>
          <w:rFonts w:ascii="Times New Roman" w:hAnsi="Times New Roman"/>
          <w:szCs w:val="24"/>
          <w:lang w:val="bs-Latn-BA"/>
        </w:rPr>
        <w:t xml:space="preserve"> </w:t>
      </w:r>
      <w:r>
        <w:rPr>
          <w:rFonts w:ascii="Times New Roman" w:hAnsi="Times New Roman"/>
          <w:szCs w:val="24"/>
          <w:lang w:val="bs-Latn-BA"/>
        </w:rPr>
        <w:t>и</w:t>
      </w:r>
      <w:r w:rsidR="001D79A9" w:rsidRPr="00295637">
        <w:rPr>
          <w:rFonts w:ascii="Times New Roman" w:hAnsi="Times New Roman"/>
          <w:szCs w:val="24"/>
          <w:lang w:val="bs-Latn-BA"/>
        </w:rPr>
        <w:t xml:space="preserve"> </w:t>
      </w:r>
      <w:r>
        <w:rPr>
          <w:rFonts w:ascii="Times New Roman" w:hAnsi="Times New Roman"/>
          <w:szCs w:val="24"/>
          <w:lang w:val="bs-Latn-BA"/>
        </w:rPr>
        <w:t>мушкарци</w:t>
      </w:r>
      <w:r w:rsidR="001D79A9" w:rsidRPr="00295637">
        <w:rPr>
          <w:rFonts w:ascii="Times New Roman" w:hAnsi="Times New Roman"/>
          <w:szCs w:val="24"/>
          <w:lang w:val="bs-Latn-BA"/>
        </w:rPr>
        <w:t xml:space="preserve">“ </w:t>
      </w:r>
      <w:r>
        <w:rPr>
          <w:rFonts w:ascii="Times New Roman" w:hAnsi="Times New Roman"/>
          <w:szCs w:val="24"/>
          <w:lang w:val="bs-Latn-BA"/>
        </w:rPr>
        <w:t>које</w:t>
      </w:r>
      <w:r w:rsidR="001D79A9" w:rsidRPr="00295637">
        <w:rPr>
          <w:rFonts w:ascii="Times New Roman" w:hAnsi="Times New Roman"/>
          <w:szCs w:val="24"/>
          <w:lang w:val="bs-Latn-BA"/>
        </w:rPr>
        <w:t xml:space="preserve"> </w:t>
      </w:r>
      <w:r>
        <w:rPr>
          <w:rFonts w:ascii="Times New Roman" w:hAnsi="Times New Roman"/>
          <w:szCs w:val="24"/>
          <w:lang w:val="bs-Latn-BA"/>
        </w:rPr>
        <w:t>издају</w:t>
      </w:r>
      <w:r w:rsidR="001D79A9" w:rsidRPr="00295637">
        <w:rPr>
          <w:rFonts w:ascii="Times New Roman" w:hAnsi="Times New Roman"/>
          <w:szCs w:val="24"/>
          <w:lang w:val="bs-Latn-BA"/>
        </w:rPr>
        <w:t xml:space="preserve"> </w:t>
      </w:r>
      <w:r>
        <w:rPr>
          <w:rFonts w:ascii="Times New Roman" w:hAnsi="Times New Roman"/>
          <w:szCs w:val="24"/>
          <w:lang w:val="bs-Latn-BA"/>
        </w:rPr>
        <w:t>ентитетски</w:t>
      </w:r>
      <w:r w:rsidR="001D79A9" w:rsidRPr="00295637">
        <w:rPr>
          <w:rFonts w:ascii="Times New Roman" w:hAnsi="Times New Roman"/>
          <w:szCs w:val="24"/>
          <w:lang w:val="bs-Latn-BA"/>
        </w:rPr>
        <w:t xml:space="preserve"> </w:t>
      </w:r>
      <w:r>
        <w:rPr>
          <w:rFonts w:ascii="Times New Roman" w:hAnsi="Times New Roman"/>
          <w:szCs w:val="24"/>
          <w:lang w:val="bs-Latn-BA"/>
        </w:rPr>
        <w:t>заводи</w:t>
      </w:r>
      <w:r w:rsidR="001D79A9" w:rsidRPr="00295637">
        <w:rPr>
          <w:rFonts w:ascii="Times New Roman" w:hAnsi="Times New Roman"/>
          <w:szCs w:val="24"/>
          <w:lang w:val="bs-Latn-BA"/>
        </w:rPr>
        <w:t xml:space="preserve"> </w:t>
      </w:r>
      <w:r>
        <w:rPr>
          <w:rFonts w:ascii="Times New Roman" w:hAnsi="Times New Roman"/>
          <w:szCs w:val="24"/>
          <w:lang w:val="bs-Latn-BA"/>
        </w:rPr>
        <w:t>за</w:t>
      </w:r>
      <w:r w:rsidR="001D79A9" w:rsidRPr="00295637">
        <w:rPr>
          <w:rFonts w:ascii="Times New Roman" w:hAnsi="Times New Roman"/>
          <w:szCs w:val="24"/>
          <w:lang w:val="bs-Latn-BA"/>
        </w:rPr>
        <w:t xml:space="preserve"> </w:t>
      </w:r>
      <w:r>
        <w:rPr>
          <w:rFonts w:ascii="Times New Roman" w:hAnsi="Times New Roman"/>
          <w:szCs w:val="24"/>
          <w:lang w:val="bs-Latn-BA"/>
        </w:rPr>
        <w:t>статистику</w:t>
      </w:r>
      <w:r w:rsidR="001D79A9" w:rsidRPr="00295637">
        <w:rPr>
          <w:rFonts w:ascii="Times New Roman" w:hAnsi="Times New Roman"/>
          <w:szCs w:val="24"/>
          <w:lang w:val="bs-Latn-BA"/>
        </w:rPr>
        <w:t xml:space="preserve">, </w:t>
      </w:r>
      <w:r>
        <w:rPr>
          <w:rFonts w:ascii="Times New Roman" w:hAnsi="Times New Roman"/>
          <w:szCs w:val="24"/>
          <w:lang w:val="bs-Latn-BA"/>
        </w:rPr>
        <w:t>презент</w:t>
      </w:r>
      <w:r w:rsidR="0077778E">
        <w:rPr>
          <w:rFonts w:ascii="Times New Roman" w:hAnsi="Times New Roman"/>
          <w:szCs w:val="24"/>
          <w:lang w:val="sr-Cyrl-BA"/>
        </w:rPr>
        <w:t>ује</w:t>
      </w:r>
      <w:r w:rsidR="001D79A9" w:rsidRPr="00295637">
        <w:rPr>
          <w:rFonts w:ascii="Times New Roman" w:hAnsi="Times New Roman"/>
          <w:szCs w:val="24"/>
          <w:lang w:val="bs-Latn-BA"/>
        </w:rPr>
        <w:t xml:space="preserve"> </w:t>
      </w:r>
      <w:r>
        <w:rPr>
          <w:rFonts w:ascii="Times New Roman" w:hAnsi="Times New Roman"/>
          <w:szCs w:val="24"/>
          <w:lang w:val="bs-Latn-BA"/>
        </w:rPr>
        <w:t>родну</w:t>
      </w:r>
      <w:r w:rsidR="001D79A9" w:rsidRPr="00295637">
        <w:rPr>
          <w:rFonts w:ascii="Times New Roman" w:hAnsi="Times New Roman"/>
          <w:szCs w:val="24"/>
          <w:lang w:val="bs-Latn-BA"/>
        </w:rPr>
        <w:t xml:space="preserve"> </w:t>
      </w:r>
      <w:r>
        <w:rPr>
          <w:rFonts w:ascii="Times New Roman" w:hAnsi="Times New Roman"/>
          <w:szCs w:val="24"/>
          <w:lang w:val="bs-Latn-BA"/>
        </w:rPr>
        <w:t>структуру</w:t>
      </w:r>
      <w:r w:rsidR="001D79A9" w:rsidRPr="00295637">
        <w:rPr>
          <w:rFonts w:ascii="Times New Roman" w:hAnsi="Times New Roman"/>
          <w:szCs w:val="24"/>
          <w:lang w:val="bs-Latn-BA"/>
        </w:rPr>
        <w:t xml:space="preserve"> </w:t>
      </w:r>
      <w:r>
        <w:rPr>
          <w:rFonts w:ascii="Times New Roman" w:hAnsi="Times New Roman"/>
          <w:szCs w:val="24"/>
          <w:lang w:val="bs-Latn-BA"/>
        </w:rPr>
        <w:t>у</w:t>
      </w:r>
      <w:r w:rsidR="001D79A9" w:rsidRPr="00295637">
        <w:rPr>
          <w:rFonts w:ascii="Times New Roman" w:hAnsi="Times New Roman"/>
          <w:szCs w:val="24"/>
          <w:lang w:val="bs-Latn-BA"/>
        </w:rPr>
        <w:t xml:space="preserve"> </w:t>
      </w:r>
      <w:r>
        <w:rPr>
          <w:rFonts w:ascii="Times New Roman" w:hAnsi="Times New Roman"/>
          <w:szCs w:val="24"/>
          <w:lang w:val="bs-Latn-BA"/>
        </w:rPr>
        <w:t>сектору</w:t>
      </w:r>
      <w:r w:rsidR="001D79A9" w:rsidRPr="00295637">
        <w:rPr>
          <w:rFonts w:ascii="Times New Roman" w:hAnsi="Times New Roman"/>
          <w:szCs w:val="24"/>
          <w:lang w:val="bs-Latn-BA"/>
        </w:rPr>
        <w:t xml:space="preserve"> </w:t>
      </w:r>
      <w:r>
        <w:rPr>
          <w:rFonts w:ascii="Times New Roman" w:hAnsi="Times New Roman"/>
          <w:szCs w:val="24"/>
          <w:lang w:val="bs-Latn-BA"/>
        </w:rPr>
        <w:t>образовања</w:t>
      </w:r>
      <w:r w:rsidR="001D79A9" w:rsidRPr="00295637">
        <w:rPr>
          <w:rFonts w:ascii="Times New Roman" w:hAnsi="Times New Roman"/>
          <w:szCs w:val="24"/>
          <w:lang w:val="bs-Latn-BA"/>
        </w:rPr>
        <w:t xml:space="preserve"> </w:t>
      </w:r>
      <w:r>
        <w:rPr>
          <w:rFonts w:ascii="Times New Roman" w:hAnsi="Times New Roman"/>
          <w:szCs w:val="24"/>
          <w:lang w:val="bs-Latn-BA"/>
        </w:rPr>
        <w:t>у</w:t>
      </w:r>
      <w:r w:rsidR="001D79A9" w:rsidRPr="00295637">
        <w:rPr>
          <w:rFonts w:ascii="Times New Roman" w:hAnsi="Times New Roman"/>
          <w:szCs w:val="24"/>
          <w:lang w:val="bs-Latn-BA"/>
        </w:rPr>
        <w:t xml:space="preserve"> </w:t>
      </w:r>
      <w:r>
        <w:rPr>
          <w:rFonts w:ascii="Times New Roman" w:hAnsi="Times New Roman"/>
          <w:szCs w:val="24"/>
          <w:lang w:val="bs-Latn-BA"/>
        </w:rPr>
        <w:t>БиХ</w:t>
      </w:r>
      <w:r w:rsidR="001D79A9" w:rsidRPr="00295637">
        <w:rPr>
          <w:rFonts w:ascii="Times New Roman" w:hAnsi="Times New Roman"/>
          <w:szCs w:val="24"/>
          <w:lang w:val="bs-Latn-BA"/>
        </w:rPr>
        <w:t xml:space="preserve">. </w:t>
      </w:r>
      <w:r>
        <w:rPr>
          <w:rFonts w:ascii="Times New Roman" w:hAnsi="Times New Roman"/>
          <w:lang w:val="sr-Latn-BA"/>
        </w:rPr>
        <w:t>Статистички</w:t>
      </w:r>
      <w:r w:rsidR="001D79A9" w:rsidRPr="00295637">
        <w:rPr>
          <w:rFonts w:ascii="Times New Roman" w:hAnsi="Times New Roman"/>
          <w:lang w:val="sr-Latn-BA"/>
        </w:rPr>
        <w:t xml:space="preserve"> </w:t>
      </w:r>
      <w:r>
        <w:rPr>
          <w:rFonts w:ascii="Times New Roman" w:hAnsi="Times New Roman"/>
          <w:lang w:val="sr-Latn-BA"/>
        </w:rPr>
        <w:t>билтен</w:t>
      </w:r>
      <w:r w:rsidR="00664E91" w:rsidRPr="00295637">
        <w:rPr>
          <w:rFonts w:ascii="Times New Roman" w:hAnsi="Times New Roman"/>
          <w:lang w:val="sr-Latn-BA"/>
        </w:rPr>
        <w:t xml:space="preserve"> „</w:t>
      </w:r>
      <w:r>
        <w:rPr>
          <w:rFonts w:ascii="Times New Roman" w:hAnsi="Times New Roman"/>
          <w:lang w:val="sr-Latn-BA"/>
        </w:rPr>
        <w:t>Жене</w:t>
      </w:r>
      <w:r w:rsidR="00664E91" w:rsidRPr="00295637">
        <w:rPr>
          <w:rFonts w:ascii="Times New Roman" w:hAnsi="Times New Roman"/>
          <w:lang w:val="sr-Latn-BA"/>
        </w:rPr>
        <w:t xml:space="preserve"> </w:t>
      </w:r>
      <w:r>
        <w:rPr>
          <w:rFonts w:ascii="Times New Roman" w:hAnsi="Times New Roman"/>
          <w:lang w:val="sr-Latn-BA"/>
        </w:rPr>
        <w:t>и</w:t>
      </w:r>
      <w:r w:rsidR="00664E91" w:rsidRPr="00295637">
        <w:rPr>
          <w:rFonts w:ascii="Times New Roman" w:hAnsi="Times New Roman"/>
          <w:lang w:val="sr-Latn-BA"/>
        </w:rPr>
        <w:t xml:space="preserve"> </w:t>
      </w:r>
      <w:r>
        <w:rPr>
          <w:rFonts w:ascii="Times New Roman" w:hAnsi="Times New Roman"/>
          <w:lang w:val="sr-Latn-BA"/>
        </w:rPr>
        <w:t>мушкарци</w:t>
      </w:r>
      <w:r w:rsidR="00664E91" w:rsidRPr="00295637">
        <w:rPr>
          <w:rFonts w:ascii="Times New Roman" w:hAnsi="Times New Roman"/>
          <w:lang w:val="sr-Latn-BA"/>
        </w:rPr>
        <w:t xml:space="preserve"> </w:t>
      </w:r>
      <w:r>
        <w:rPr>
          <w:rFonts w:ascii="Times New Roman" w:hAnsi="Times New Roman"/>
          <w:lang w:val="sr-Latn-BA"/>
        </w:rPr>
        <w:t>у</w:t>
      </w:r>
      <w:r w:rsidR="00664E91" w:rsidRPr="00295637">
        <w:rPr>
          <w:rFonts w:ascii="Times New Roman" w:hAnsi="Times New Roman"/>
          <w:lang w:val="sr-Latn-BA"/>
        </w:rPr>
        <w:t xml:space="preserve"> </w:t>
      </w:r>
      <w:r>
        <w:rPr>
          <w:rFonts w:ascii="Times New Roman" w:hAnsi="Times New Roman"/>
          <w:lang w:val="sr-Latn-BA"/>
        </w:rPr>
        <w:t>Републици</w:t>
      </w:r>
      <w:r w:rsidR="00664E91" w:rsidRPr="00295637">
        <w:rPr>
          <w:rFonts w:ascii="Times New Roman" w:hAnsi="Times New Roman"/>
          <w:lang w:val="sr-Latn-BA"/>
        </w:rPr>
        <w:t xml:space="preserve"> </w:t>
      </w:r>
      <w:r>
        <w:rPr>
          <w:rFonts w:ascii="Times New Roman" w:hAnsi="Times New Roman"/>
          <w:lang w:val="sr-Latn-BA"/>
        </w:rPr>
        <w:t>Српској</w:t>
      </w:r>
      <w:r w:rsidR="00664E91" w:rsidRPr="00295637">
        <w:rPr>
          <w:rFonts w:ascii="Times New Roman" w:hAnsi="Times New Roman"/>
          <w:lang w:val="sr-Latn-BA"/>
        </w:rPr>
        <w:t xml:space="preserve">“, </w:t>
      </w:r>
      <w:r>
        <w:rPr>
          <w:rFonts w:ascii="Times New Roman" w:hAnsi="Times New Roman"/>
          <w:lang w:val="sr-Latn-BA"/>
        </w:rPr>
        <w:t>у</w:t>
      </w:r>
      <w:r w:rsidR="00664E91" w:rsidRPr="00295637">
        <w:rPr>
          <w:rFonts w:ascii="Times New Roman" w:hAnsi="Times New Roman"/>
          <w:lang w:val="sr-Latn-BA"/>
        </w:rPr>
        <w:t xml:space="preserve"> </w:t>
      </w:r>
      <w:r>
        <w:rPr>
          <w:rFonts w:ascii="Times New Roman" w:hAnsi="Times New Roman"/>
          <w:lang w:val="sr-Latn-BA"/>
        </w:rPr>
        <w:t>поглављу</w:t>
      </w:r>
      <w:r w:rsidR="00664E91" w:rsidRPr="00295637">
        <w:rPr>
          <w:rFonts w:ascii="Times New Roman" w:hAnsi="Times New Roman"/>
          <w:lang w:val="sr-Latn-BA"/>
        </w:rPr>
        <w:t xml:space="preserve"> „</w:t>
      </w:r>
      <w:r>
        <w:rPr>
          <w:rFonts w:ascii="Times New Roman" w:hAnsi="Times New Roman"/>
          <w:lang w:val="sr-Latn-BA"/>
        </w:rPr>
        <w:t>Образовање</w:t>
      </w:r>
      <w:r w:rsidR="00664E91" w:rsidRPr="00295637">
        <w:rPr>
          <w:rFonts w:ascii="Times New Roman" w:hAnsi="Times New Roman"/>
          <w:lang w:val="sr-Latn-BA"/>
        </w:rPr>
        <w:t xml:space="preserve">“ </w:t>
      </w:r>
      <w:r>
        <w:rPr>
          <w:rFonts w:ascii="Times New Roman" w:hAnsi="Times New Roman"/>
          <w:lang w:val="sr-Latn-BA"/>
        </w:rPr>
        <w:t>сваке</w:t>
      </w:r>
      <w:r w:rsidR="00664E91" w:rsidRPr="00295637">
        <w:rPr>
          <w:rFonts w:ascii="Times New Roman" w:hAnsi="Times New Roman"/>
          <w:lang w:val="sr-Latn-BA"/>
        </w:rPr>
        <w:t xml:space="preserve"> </w:t>
      </w:r>
      <w:r>
        <w:rPr>
          <w:rFonts w:ascii="Times New Roman" w:hAnsi="Times New Roman"/>
          <w:lang w:val="sr-Latn-BA"/>
        </w:rPr>
        <w:t>двије</w:t>
      </w:r>
      <w:r w:rsidR="00664E91" w:rsidRPr="00295637">
        <w:rPr>
          <w:rFonts w:ascii="Times New Roman" w:hAnsi="Times New Roman"/>
          <w:lang w:val="sr-Latn-BA"/>
        </w:rPr>
        <w:t xml:space="preserve"> </w:t>
      </w:r>
      <w:r>
        <w:rPr>
          <w:rFonts w:ascii="Times New Roman" w:hAnsi="Times New Roman"/>
          <w:lang w:val="sr-Latn-BA"/>
        </w:rPr>
        <w:t>године</w:t>
      </w:r>
      <w:r w:rsidR="00664E91" w:rsidRPr="00295637">
        <w:rPr>
          <w:rFonts w:ascii="Times New Roman" w:hAnsi="Times New Roman"/>
          <w:lang w:val="sr-Latn-BA"/>
        </w:rPr>
        <w:t xml:space="preserve"> </w:t>
      </w:r>
      <w:r>
        <w:rPr>
          <w:rFonts w:ascii="Times New Roman" w:hAnsi="Times New Roman"/>
          <w:lang w:val="sr-Latn-BA"/>
        </w:rPr>
        <w:t>публикује</w:t>
      </w:r>
      <w:r w:rsidR="00664E91" w:rsidRPr="00295637">
        <w:rPr>
          <w:rFonts w:ascii="Times New Roman" w:hAnsi="Times New Roman"/>
          <w:lang w:val="sr-Latn-BA"/>
        </w:rPr>
        <w:t xml:space="preserve"> </w:t>
      </w:r>
      <w:r>
        <w:rPr>
          <w:rFonts w:ascii="Times New Roman" w:hAnsi="Times New Roman"/>
          <w:lang w:val="sr-Latn-BA"/>
        </w:rPr>
        <w:t>податке</w:t>
      </w:r>
      <w:r w:rsidR="00664E91" w:rsidRPr="00295637">
        <w:rPr>
          <w:rFonts w:ascii="Times New Roman" w:hAnsi="Times New Roman"/>
          <w:lang w:val="sr-Latn-BA"/>
        </w:rPr>
        <w:t xml:space="preserve"> </w:t>
      </w:r>
      <w:r>
        <w:rPr>
          <w:rFonts w:ascii="Times New Roman" w:hAnsi="Times New Roman"/>
          <w:lang w:val="sr-Latn-BA"/>
        </w:rPr>
        <w:t>релевантне</w:t>
      </w:r>
      <w:r w:rsidR="008E1950" w:rsidRPr="00295637">
        <w:rPr>
          <w:rFonts w:ascii="Times New Roman" w:hAnsi="Times New Roman"/>
          <w:lang w:val="sr-Latn-BA"/>
        </w:rPr>
        <w:t xml:space="preserve"> </w:t>
      </w:r>
      <w:r>
        <w:rPr>
          <w:rFonts w:ascii="Times New Roman" w:hAnsi="Times New Roman"/>
          <w:lang w:val="sr-Latn-BA"/>
        </w:rPr>
        <w:t>за</w:t>
      </w:r>
      <w:r w:rsidR="008E1950" w:rsidRPr="00295637">
        <w:rPr>
          <w:rFonts w:ascii="Times New Roman" w:hAnsi="Times New Roman"/>
          <w:lang w:val="sr-Latn-BA"/>
        </w:rPr>
        <w:t xml:space="preserve"> </w:t>
      </w:r>
      <w:r>
        <w:rPr>
          <w:rFonts w:ascii="Times New Roman" w:hAnsi="Times New Roman"/>
          <w:lang w:val="sr-Latn-BA"/>
        </w:rPr>
        <w:t>образовање</w:t>
      </w:r>
      <w:r w:rsidR="008E1950" w:rsidRPr="00295637">
        <w:rPr>
          <w:rFonts w:ascii="Times New Roman" w:hAnsi="Times New Roman"/>
          <w:lang w:val="sr-Latn-BA"/>
        </w:rPr>
        <w:t xml:space="preserve"> </w:t>
      </w:r>
      <w:r>
        <w:rPr>
          <w:rFonts w:ascii="Times New Roman" w:hAnsi="Times New Roman"/>
          <w:lang w:val="sr-Latn-BA"/>
        </w:rPr>
        <w:t>разврстане</w:t>
      </w:r>
      <w:r w:rsidR="00664E91" w:rsidRPr="00295637">
        <w:rPr>
          <w:rFonts w:ascii="Times New Roman" w:hAnsi="Times New Roman"/>
          <w:lang w:val="sr-Latn-BA"/>
        </w:rPr>
        <w:t xml:space="preserve"> </w:t>
      </w:r>
      <w:r>
        <w:rPr>
          <w:rFonts w:ascii="Times New Roman" w:hAnsi="Times New Roman"/>
          <w:lang w:val="sr-Latn-BA"/>
        </w:rPr>
        <w:t>по</w:t>
      </w:r>
      <w:r w:rsidR="00664E91" w:rsidRPr="00295637">
        <w:rPr>
          <w:rFonts w:ascii="Times New Roman" w:hAnsi="Times New Roman"/>
          <w:lang w:val="sr-Latn-BA"/>
        </w:rPr>
        <w:t xml:space="preserve"> </w:t>
      </w:r>
      <w:r>
        <w:rPr>
          <w:rFonts w:ascii="Times New Roman" w:hAnsi="Times New Roman"/>
          <w:lang w:val="sr-Latn-BA"/>
        </w:rPr>
        <w:t>полу</w:t>
      </w:r>
      <w:r w:rsidR="008E1950" w:rsidRPr="00295637">
        <w:rPr>
          <w:rFonts w:ascii="Times New Roman" w:hAnsi="Times New Roman"/>
          <w:lang w:val="sr-Latn-BA"/>
        </w:rPr>
        <w:t xml:space="preserve"> </w:t>
      </w:r>
      <w:r>
        <w:rPr>
          <w:rFonts w:ascii="Times New Roman" w:hAnsi="Times New Roman"/>
          <w:lang w:val="sr-Latn-BA"/>
        </w:rPr>
        <w:t>који</w:t>
      </w:r>
      <w:r w:rsidR="008E1950" w:rsidRPr="00295637">
        <w:rPr>
          <w:rFonts w:ascii="Times New Roman" w:hAnsi="Times New Roman"/>
          <w:lang w:val="sr-Latn-BA"/>
        </w:rPr>
        <w:t xml:space="preserve">, </w:t>
      </w:r>
      <w:r>
        <w:rPr>
          <w:rFonts w:ascii="Times New Roman" w:hAnsi="Times New Roman"/>
          <w:lang w:val="sr-Latn-BA"/>
        </w:rPr>
        <w:t>поред</w:t>
      </w:r>
      <w:r w:rsidR="008E1950" w:rsidRPr="00295637">
        <w:rPr>
          <w:rFonts w:ascii="Times New Roman" w:hAnsi="Times New Roman"/>
          <w:lang w:val="sr-Latn-BA"/>
        </w:rPr>
        <w:t xml:space="preserve"> </w:t>
      </w:r>
      <w:r>
        <w:rPr>
          <w:rFonts w:ascii="Times New Roman" w:hAnsi="Times New Roman"/>
          <w:lang w:val="sr-Latn-BA"/>
        </w:rPr>
        <w:t>осталог</w:t>
      </w:r>
      <w:r w:rsidR="008E1950" w:rsidRPr="00295637">
        <w:rPr>
          <w:rFonts w:ascii="Times New Roman" w:hAnsi="Times New Roman"/>
          <w:lang w:val="sr-Latn-BA"/>
        </w:rPr>
        <w:t xml:space="preserve">, </w:t>
      </w:r>
      <w:r>
        <w:rPr>
          <w:rFonts w:ascii="Times New Roman" w:hAnsi="Times New Roman"/>
          <w:lang w:val="sr-Latn-BA"/>
        </w:rPr>
        <w:t>укључују</w:t>
      </w:r>
      <w:r w:rsidR="008E1950" w:rsidRPr="00295637">
        <w:rPr>
          <w:rFonts w:ascii="Times New Roman" w:hAnsi="Times New Roman"/>
          <w:lang w:val="sr-Latn-BA"/>
        </w:rPr>
        <w:t xml:space="preserve"> </w:t>
      </w:r>
      <w:r>
        <w:rPr>
          <w:rFonts w:ascii="Times New Roman" w:hAnsi="Times New Roman"/>
          <w:lang w:val="sr-Latn-BA"/>
        </w:rPr>
        <w:t>сљедеће</w:t>
      </w:r>
      <w:r w:rsidR="00664E91" w:rsidRPr="00295637">
        <w:rPr>
          <w:rFonts w:ascii="Times New Roman" w:hAnsi="Times New Roman"/>
          <w:lang w:val="sr-Latn-BA"/>
        </w:rPr>
        <w:t>:</w:t>
      </w:r>
      <w:r w:rsidR="008E1950" w:rsidRPr="00295637">
        <w:rPr>
          <w:rFonts w:ascii="Times New Roman" w:hAnsi="Times New Roman"/>
          <w:lang w:val="sr-Latn-BA"/>
        </w:rPr>
        <w:t xml:space="preserve"> </w:t>
      </w:r>
      <w:r>
        <w:rPr>
          <w:rFonts w:ascii="Times New Roman" w:hAnsi="Times New Roman"/>
          <w:lang w:val="sr-Latn-BA"/>
        </w:rPr>
        <w:t>образовна</w:t>
      </w:r>
      <w:r w:rsidR="00664E91" w:rsidRPr="00295637">
        <w:rPr>
          <w:rFonts w:ascii="Times New Roman" w:hAnsi="Times New Roman"/>
          <w:lang w:val="sr-Latn-BA"/>
        </w:rPr>
        <w:t xml:space="preserve"> </w:t>
      </w:r>
      <w:r>
        <w:rPr>
          <w:rFonts w:ascii="Times New Roman" w:hAnsi="Times New Roman"/>
          <w:lang w:val="sr-Latn-BA"/>
        </w:rPr>
        <w:t>структура</w:t>
      </w:r>
      <w:r w:rsidR="00664E91" w:rsidRPr="00295637">
        <w:rPr>
          <w:rFonts w:ascii="Times New Roman" w:hAnsi="Times New Roman"/>
          <w:lang w:val="sr-Latn-BA"/>
        </w:rPr>
        <w:t xml:space="preserve"> </w:t>
      </w:r>
      <w:r>
        <w:rPr>
          <w:rFonts w:ascii="Times New Roman" w:hAnsi="Times New Roman"/>
          <w:lang w:val="sr-Latn-BA"/>
        </w:rPr>
        <w:t>становништва</w:t>
      </w:r>
      <w:r w:rsidR="00664E91" w:rsidRPr="00295637">
        <w:rPr>
          <w:rFonts w:ascii="Times New Roman" w:hAnsi="Times New Roman"/>
          <w:lang w:val="sr-Latn-BA"/>
        </w:rPr>
        <w:t>,</w:t>
      </w:r>
      <w:r w:rsidR="008E1950" w:rsidRPr="00295637">
        <w:rPr>
          <w:rFonts w:ascii="Times New Roman" w:hAnsi="Times New Roman"/>
          <w:lang w:val="sr-Latn-BA"/>
        </w:rPr>
        <w:t xml:space="preserve"> </w:t>
      </w:r>
      <w:r>
        <w:rPr>
          <w:rFonts w:ascii="Times New Roman" w:hAnsi="Times New Roman"/>
          <w:lang w:val="sr-Latn-BA"/>
        </w:rPr>
        <w:t>стопа</w:t>
      </w:r>
      <w:r w:rsidR="00664E91" w:rsidRPr="00295637">
        <w:rPr>
          <w:rFonts w:ascii="Times New Roman" w:hAnsi="Times New Roman"/>
          <w:lang w:val="sr-Latn-BA"/>
        </w:rPr>
        <w:t xml:space="preserve"> </w:t>
      </w:r>
      <w:r>
        <w:rPr>
          <w:rFonts w:ascii="Times New Roman" w:hAnsi="Times New Roman"/>
          <w:lang w:val="sr-Latn-BA"/>
        </w:rPr>
        <w:t>писмености</w:t>
      </w:r>
      <w:r w:rsidR="008E1950" w:rsidRPr="00295637">
        <w:rPr>
          <w:rFonts w:ascii="Times New Roman" w:hAnsi="Times New Roman"/>
          <w:lang w:val="sr-Latn-BA"/>
        </w:rPr>
        <w:t xml:space="preserve">, </w:t>
      </w:r>
      <w:r>
        <w:rPr>
          <w:rFonts w:ascii="Times New Roman" w:hAnsi="Times New Roman"/>
          <w:lang w:val="sr-Latn-BA"/>
        </w:rPr>
        <w:t>уписана</w:t>
      </w:r>
      <w:r w:rsidR="00664E91" w:rsidRPr="00295637">
        <w:rPr>
          <w:rFonts w:ascii="Times New Roman" w:hAnsi="Times New Roman"/>
          <w:lang w:val="sr-Latn-BA"/>
        </w:rPr>
        <w:t xml:space="preserve"> </w:t>
      </w:r>
      <w:r>
        <w:rPr>
          <w:rFonts w:ascii="Times New Roman" w:hAnsi="Times New Roman"/>
          <w:lang w:val="sr-Latn-BA"/>
        </w:rPr>
        <w:t>дјеца</w:t>
      </w:r>
      <w:r w:rsidR="00664E91" w:rsidRPr="00295637">
        <w:rPr>
          <w:rFonts w:ascii="Times New Roman" w:hAnsi="Times New Roman"/>
          <w:lang w:val="sr-Latn-BA"/>
        </w:rPr>
        <w:t xml:space="preserve"> </w:t>
      </w:r>
      <w:r>
        <w:rPr>
          <w:rFonts w:ascii="Times New Roman" w:hAnsi="Times New Roman"/>
          <w:lang w:val="sr-Latn-BA"/>
        </w:rPr>
        <w:t>и</w:t>
      </w:r>
      <w:r w:rsidR="00664E91" w:rsidRPr="00295637">
        <w:rPr>
          <w:rFonts w:ascii="Times New Roman" w:hAnsi="Times New Roman"/>
          <w:lang w:val="sr-Latn-BA"/>
        </w:rPr>
        <w:t xml:space="preserve"> </w:t>
      </w:r>
      <w:r>
        <w:rPr>
          <w:rFonts w:ascii="Times New Roman" w:hAnsi="Times New Roman"/>
          <w:lang w:val="sr-Latn-BA"/>
        </w:rPr>
        <w:t>ученици</w:t>
      </w:r>
      <w:r w:rsidR="00664E91" w:rsidRPr="00295637">
        <w:rPr>
          <w:rFonts w:ascii="Times New Roman" w:hAnsi="Times New Roman"/>
          <w:lang w:val="sr-Latn-BA"/>
        </w:rPr>
        <w:t xml:space="preserve"> </w:t>
      </w:r>
      <w:r>
        <w:rPr>
          <w:rFonts w:ascii="Times New Roman" w:hAnsi="Times New Roman"/>
          <w:lang w:val="sr-Latn-BA"/>
        </w:rPr>
        <w:t>према</w:t>
      </w:r>
      <w:r w:rsidR="00664E91" w:rsidRPr="00295637">
        <w:rPr>
          <w:rFonts w:ascii="Times New Roman" w:hAnsi="Times New Roman"/>
          <w:lang w:val="sr-Latn-BA"/>
        </w:rPr>
        <w:t xml:space="preserve"> </w:t>
      </w:r>
      <w:r>
        <w:rPr>
          <w:rFonts w:ascii="Times New Roman" w:hAnsi="Times New Roman"/>
          <w:lang w:val="sr-Latn-BA"/>
        </w:rPr>
        <w:t>нивоима</w:t>
      </w:r>
      <w:r w:rsidR="00664E91" w:rsidRPr="00295637">
        <w:rPr>
          <w:rFonts w:ascii="Times New Roman" w:hAnsi="Times New Roman"/>
          <w:lang w:val="sr-Latn-BA"/>
        </w:rPr>
        <w:t xml:space="preserve"> </w:t>
      </w:r>
      <w:r>
        <w:rPr>
          <w:rFonts w:ascii="Times New Roman" w:hAnsi="Times New Roman"/>
          <w:lang w:val="sr-Latn-BA"/>
        </w:rPr>
        <w:t>образовања</w:t>
      </w:r>
      <w:r w:rsidR="00664E91" w:rsidRPr="00295637">
        <w:rPr>
          <w:rFonts w:ascii="Times New Roman" w:hAnsi="Times New Roman"/>
          <w:lang w:val="sr-Latn-BA"/>
        </w:rPr>
        <w:t>,</w:t>
      </w:r>
      <w:r w:rsidR="008E1950" w:rsidRPr="00295637">
        <w:rPr>
          <w:rFonts w:ascii="Times New Roman" w:hAnsi="Times New Roman"/>
          <w:lang w:val="sr-Latn-BA"/>
        </w:rPr>
        <w:t xml:space="preserve"> </w:t>
      </w:r>
      <w:r>
        <w:rPr>
          <w:rFonts w:ascii="Times New Roman" w:hAnsi="Times New Roman"/>
          <w:lang w:val="sr-Latn-BA"/>
        </w:rPr>
        <w:t>бруто</w:t>
      </w:r>
      <w:r w:rsidR="00664E91" w:rsidRPr="00295637">
        <w:rPr>
          <w:rFonts w:ascii="Times New Roman" w:hAnsi="Times New Roman"/>
          <w:lang w:val="sr-Latn-BA"/>
        </w:rPr>
        <w:t xml:space="preserve"> </w:t>
      </w:r>
      <w:r>
        <w:rPr>
          <w:rFonts w:ascii="Times New Roman" w:hAnsi="Times New Roman"/>
          <w:lang w:val="sr-Latn-BA"/>
        </w:rPr>
        <w:t>стопа</w:t>
      </w:r>
      <w:r w:rsidR="00664E91" w:rsidRPr="00295637">
        <w:rPr>
          <w:rFonts w:ascii="Times New Roman" w:hAnsi="Times New Roman"/>
          <w:lang w:val="sr-Latn-BA"/>
        </w:rPr>
        <w:t xml:space="preserve"> </w:t>
      </w:r>
      <w:r>
        <w:rPr>
          <w:rFonts w:ascii="Times New Roman" w:hAnsi="Times New Roman"/>
          <w:lang w:val="sr-Latn-BA"/>
        </w:rPr>
        <w:t>уписа</w:t>
      </w:r>
      <w:r w:rsidR="00664E91" w:rsidRPr="00295637">
        <w:rPr>
          <w:rFonts w:ascii="Times New Roman" w:hAnsi="Times New Roman"/>
          <w:lang w:val="sr-Latn-BA"/>
        </w:rPr>
        <w:t xml:space="preserve"> </w:t>
      </w:r>
      <w:r>
        <w:rPr>
          <w:rFonts w:ascii="Times New Roman" w:hAnsi="Times New Roman"/>
          <w:lang w:val="sr-Latn-BA"/>
        </w:rPr>
        <w:t>и</w:t>
      </w:r>
      <w:r w:rsidR="00664E91" w:rsidRPr="00295637">
        <w:rPr>
          <w:rFonts w:ascii="Times New Roman" w:hAnsi="Times New Roman"/>
          <w:lang w:val="sr-Latn-BA"/>
        </w:rPr>
        <w:t xml:space="preserve"> </w:t>
      </w:r>
      <w:r>
        <w:rPr>
          <w:rFonts w:ascii="Times New Roman" w:hAnsi="Times New Roman"/>
          <w:lang w:val="sr-Latn-BA"/>
        </w:rPr>
        <w:t>индекс</w:t>
      </w:r>
      <w:r w:rsidR="00664E91" w:rsidRPr="00295637">
        <w:rPr>
          <w:rFonts w:ascii="Times New Roman" w:hAnsi="Times New Roman"/>
          <w:lang w:val="sr-Latn-BA"/>
        </w:rPr>
        <w:t xml:space="preserve"> </w:t>
      </w:r>
      <w:r>
        <w:rPr>
          <w:rFonts w:ascii="Times New Roman" w:hAnsi="Times New Roman"/>
          <w:lang w:val="sr-Latn-BA"/>
        </w:rPr>
        <w:t>родног</w:t>
      </w:r>
      <w:r w:rsidR="00664E91" w:rsidRPr="00295637">
        <w:rPr>
          <w:rFonts w:ascii="Times New Roman" w:hAnsi="Times New Roman"/>
          <w:lang w:val="sr-Latn-BA"/>
        </w:rPr>
        <w:t xml:space="preserve"> </w:t>
      </w:r>
      <w:r>
        <w:rPr>
          <w:rFonts w:ascii="Times New Roman" w:hAnsi="Times New Roman"/>
          <w:lang w:val="sr-Latn-BA"/>
        </w:rPr>
        <w:t>паритета</w:t>
      </w:r>
      <w:r w:rsidR="00664E91" w:rsidRPr="00295637">
        <w:rPr>
          <w:rFonts w:ascii="Times New Roman" w:hAnsi="Times New Roman"/>
          <w:lang w:val="sr-Latn-BA"/>
        </w:rPr>
        <w:t xml:space="preserve"> </w:t>
      </w:r>
      <w:r>
        <w:rPr>
          <w:rFonts w:ascii="Times New Roman" w:hAnsi="Times New Roman"/>
          <w:lang w:val="sr-Latn-BA"/>
        </w:rPr>
        <w:t>у</w:t>
      </w:r>
      <w:r w:rsidR="00664E91" w:rsidRPr="00295637">
        <w:rPr>
          <w:rFonts w:ascii="Times New Roman" w:hAnsi="Times New Roman"/>
          <w:lang w:val="sr-Latn-BA"/>
        </w:rPr>
        <w:t xml:space="preserve"> </w:t>
      </w:r>
      <w:r>
        <w:rPr>
          <w:rFonts w:ascii="Times New Roman" w:hAnsi="Times New Roman"/>
          <w:lang w:val="sr-Latn-BA"/>
        </w:rPr>
        <w:t>основном</w:t>
      </w:r>
      <w:r w:rsidR="00664E91" w:rsidRPr="00295637">
        <w:rPr>
          <w:rFonts w:ascii="Times New Roman" w:hAnsi="Times New Roman"/>
          <w:lang w:val="sr-Latn-BA"/>
        </w:rPr>
        <w:t xml:space="preserve">, </w:t>
      </w:r>
      <w:r>
        <w:rPr>
          <w:rFonts w:ascii="Times New Roman" w:hAnsi="Times New Roman"/>
          <w:lang w:val="sr-Latn-BA"/>
        </w:rPr>
        <w:t>средњем</w:t>
      </w:r>
      <w:r w:rsidR="00664E91" w:rsidRPr="00295637">
        <w:rPr>
          <w:rFonts w:ascii="Times New Roman" w:hAnsi="Times New Roman"/>
          <w:lang w:val="sr-Latn-BA"/>
        </w:rPr>
        <w:t xml:space="preserve"> </w:t>
      </w:r>
      <w:r>
        <w:rPr>
          <w:rFonts w:ascii="Times New Roman" w:hAnsi="Times New Roman"/>
          <w:lang w:val="sr-Latn-BA"/>
        </w:rPr>
        <w:t>и</w:t>
      </w:r>
      <w:r w:rsidR="00664E91" w:rsidRPr="00295637">
        <w:rPr>
          <w:rFonts w:ascii="Times New Roman" w:hAnsi="Times New Roman"/>
          <w:lang w:val="sr-Latn-BA"/>
        </w:rPr>
        <w:t xml:space="preserve"> </w:t>
      </w:r>
      <w:r>
        <w:rPr>
          <w:rFonts w:ascii="Times New Roman" w:hAnsi="Times New Roman"/>
          <w:lang w:val="sr-Latn-BA"/>
        </w:rPr>
        <w:t>високом</w:t>
      </w:r>
      <w:r w:rsidR="00664E91" w:rsidRPr="00295637">
        <w:rPr>
          <w:rFonts w:ascii="Times New Roman" w:hAnsi="Times New Roman"/>
          <w:lang w:val="sr-Latn-BA"/>
        </w:rPr>
        <w:t xml:space="preserve"> </w:t>
      </w:r>
      <w:r>
        <w:rPr>
          <w:rFonts w:ascii="Times New Roman" w:hAnsi="Times New Roman"/>
          <w:lang w:val="sr-Latn-BA"/>
        </w:rPr>
        <w:t>образовању</w:t>
      </w:r>
      <w:r w:rsidR="00664E91" w:rsidRPr="00295637">
        <w:rPr>
          <w:rFonts w:ascii="Times New Roman" w:hAnsi="Times New Roman"/>
          <w:lang w:val="sr-Latn-BA"/>
        </w:rPr>
        <w:t>,</w:t>
      </w:r>
      <w:r w:rsidR="008E1950" w:rsidRPr="00295637">
        <w:rPr>
          <w:rFonts w:ascii="Times New Roman" w:hAnsi="Times New Roman"/>
          <w:lang w:val="sr-Latn-BA"/>
        </w:rPr>
        <w:t xml:space="preserve"> </w:t>
      </w:r>
      <w:r>
        <w:rPr>
          <w:rFonts w:ascii="Times New Roman" w:hAnsi="Times New Roman"/>
          <w:lang w:val="sr-Latn-BA"/>
        </w:rPr>
        <w:t>нето</w:t>
      </w:r>
      <w:r w:rsidR="00664E91" w:rsidRPr="00295637">
        <w:rPr>
          <w:rFonts w:ascii="Times New Roman" w:hAnsi="Times New Roman"/>
          <w:lang w:val="sr-Latn-BA"/>
        </w:rPr>
        <w:t xml:space="preserve"> </w:t>
      </w:r>
      <w:r>
        <w:rPr>
          <w:rFonts w:ascii="Times New Roman" w:hAnsi="Times New Roman"/>
          <w:lang w:val="sr-Latn-BA"/>
        </w:rPr>
        <w:t>стопа</w:t>
      </w:r>
      <w:r w:rsidR="00664E91" w:rsidRPr="00295637">
        <w:rPr>
          <w:rFonts w:ascii="Times New Roman" w:hAnsi="Times New Roman"/>
          <w:lang w:val="sr-Latn-BA"/>
        </w:rPr>
        <w:t xml:space="preserve"> </w:t>
      </w:r>
      <w:r>
        <w:rPr>
          <w:rFonts w:ascii="Times New Roman" w:hAnsi="Times New Roman"/>
          <w:lang w:val="sr-Latn-BA"/>
        </w:rPr>
        <w:t>уписа</w:t>
      </w:r>
      <w:r w:rsidR="00664E91" w:rsidRPr="00295637">
        <w:rPr>
          <w:rFonts w:ascii="Times New Roman" w:hAnsi="Times New Roman"/>
          <w:lang w:val="sr-Latn-BA"/>
        </w:rPr>
        <w:t xml:space="preserve"> </w:t>
      </w:r>
      <w:r>
        <w:rPr>
          <w:rFonts w:ascii="Times New Roman" w:hAnsi="Times New Roman"/>
          <w:lang w:val="sr-Latn-BA"/>
        </w:rPr>
        <w:t>у</w:t>
      </w:r>
      <w:r w:rsidR="00664E91" w:rsidRPr="00295637">
        <w:rPr>
          <w:rFonts w:ascii="Times New Roman" w:hAnsi="Times New Roman"/>
          <w:lang w:val="sr-Latn-BA"/>
        </w:rPr>
        <w:t xml:space="preserve"> </w:t>
      </w:r>
      <w:r>
        <w:rPr>
          <w:rFonts w:ascii="Times New Roman" w:hAnsi="Times New Roman"/>
          <w:lang w:val="sr-Latn-BA"/>
        </w:rPr>
        <w:t>основно</w:t>
      </w:r>
      <w:r w:rsidR="00664E91" w:rsidRPr="00295637">
        <w:rPr>
          <w:rFonts w:ascii="Times New Roman" w:hAnsi="Times New Roman"/>
          <w:lang w:val="sr-Latn-BA"/>
        </w:rPr>
        <w:t xml:space="preserve"> </w:t>
      </w:r>
      <w:r>
        <w:rPr>
          <w:rFonts w:ascii="Times New Roman" w:hAnsi="Times New Roman"/>
          <w:lang w:val="sr-Latn-BA"/>
        </w:rPr>
        <w:t>образовање</w:t>
      </w:r>
      <w:r w:rsidR="00664E91" w:rsidRPr="00295637">
        <w:rPr>
          <w:rFonts w:ascii="Times New Roman" w:hAnsi="Times New Roman"/>
          <w:lang w:val="sr-Latn-BA"/>
        </w:rPr>
        <w:t>,</w:t>
      </w:r>
      <w:r w:rsidR="008E1950" w:rsidRPr="00295637">
        <w:rPr>
          <w:rFonts w:ascii="Times New Roman" w:hAnsi="Times New Roman"/>
          <w:lang w:val="sr-Latn-BA"/>
        </w:rPr>
        <w:t xml:space="preserve"> </w:t>
      </w:r>
      <w:r>
        <w:rPr>
          <w:rFonts w:ascii="Times New Roman" w:hAnsi="Times New Roman"/>
          <w:lang w:val="sr-Latn-BA"/>
        </w:rPr>
        <w:t>стопа</w:t>
      </w:r>
      <w:r w:rsidR="00664E91" w:rsidRPr="00295637">
        <w:rPr>
          <w:rFonts w:ascii="Times New Roman" w:hAnsi="Times New Roman"/>
          <w:lang w:val="sr-Latn-BA"/>
        </w:rPr>
        <w:t xml:space="preserve"> </w:t>
      </w:r>
      <w:r>
        <w:rPr>
          <w:rFonts w:ascii="Times New Roman" w:hAnsi="Times New Roman"/>
          <w:lang w:val="sr-Latn-BA"/>
        </w:rPr>
        <w:t>завршеног</w:t>
      </w:r>
      <w:r w:rsidR="00664E91" w:rsidRPr="00295637">
        <w:rPr>
          <w:rFonts w:ascii="Times New Roman" w:hAnsi="Times New Roman"/>
          <w:lang w:val="sr-Latn-BA"/>
        </w:rPr>
        <w:t xml:space="preserve"> </w:t>
      </w:r>
      <w:r>
        <w:rPr>
          <w:rFonts w:ascii="Times New Roman" w:hAnsi="Times New Roman"/>
          <w:lang w:val="sr-Latn-BA"/>
        </w:rPr>
        <w:t>основног</w:t>
      </w:r>
      <w:r w:rsidR="00664E91" w:rsidRPr="00295637">
        <w:rPr>
          <w:rFonts w:ascii="Times New Roman" w:hAnsi="Times New Roman"/>
          <w:lang w:val="sr-Latn-BA"/>
        </w:rPr>
        <w:t xml:space="preserve"> </w:t>
      </w:r>
      <w:r>
        <w:rPr>
          <w:rFonts w:ascii="Times New Roman" w:hAnsi="Times New Roman"/>
          <w:lang w:val="sr-Latn-BA"/>
        </w:rPr>
        <w:t>образовања</w:t>
      </w:r>
      <w:r w:rsidR="00664E91" w:rsidRPr="00295637">
        <w:rPr>
          <w:rFonts w:ascii="Times New Roman" w:hAnsi="Times New Roman"/>
          <w:lang w:val="sr-Latn-BA"/>
        </w:rPr>
        <w:t xml:space="preserve"> </w:t>
      </w:r>
      <w:r>
        <w:rPr>
          <w:rFonts w:ascii="Times New Roman" w:hAnsi="Times New Roman"/>
          <w:lang w:val="sr-Latn-BA"/>
        </w:rPr>
        <w:t>и</w:t>
      </w:r>
      <w:r w:rsidR="00664E91" w:rsidRPr="00295637">
        <w:rPr>
          <w:rFonts w:ascii="Times New Roman" w:hAnsi="Times New Roman"/>
          <w:lang w:val="sr-Latn-BA"/>
        </w:rPr>
        <w:t xml:space="preserve"> </w:t>
      </w:r>
      <w:r>
        <w:rPr>
          <w:rFonts w:ascii="Times New Roman" w:hAnsi="Times New Roman"/>
          <w:lang w:val="sr-Latn-BA"/>
        </w:rPr>
        <w:t>преласка</w:t>
      </w:r>
      <w:r w:rsidR="00664E91" w:rsidRPr="00295637">
        <w:rPr>
          <w:rFonts w:ascii="Times New Roman" w:hAnsi="Times New Roman"/>
          <w:lang w:val="sr-Latn-BA"/>
        </w:rPr>
        <w:t xml:space="preserve"> </w:t>
      </w:r>
      <w:r>
        <w:rPr>
          <w:rFonts w:ascii="Times New Roman" w:hAnsi="Times New Roman"/>
          <w:lang w:val="sr-Latn-BA"/>
        </w:rPr>
        <w:t>у</w:t>
      </w:r>
      <w:r w:rsidR="00664E91" w:rsidRPr="00295637">
        <w:rPr>
          <w:rFonts w:ascii="Times New Roman" w:hAnsi="Times New Roman"/>
          <w:lang w:val="sr-Latn-BA"/>
        </w:rPr>
        <w:t xml:space="preserve"> </w:t>
      </w:r>
      <w:r>
        <w:rPr>
          <w:rFonts w:ascii="Times New Roman" w:hAnsi="Times New Roman"/>
          <w:lang w:val="sr-Latn-BA"/>
        </w:rPr>
        <w:t>средње</w:t>
      </w:r>
      <w:r w:rsidR="00664E91" w:rsidRPr="00295637">
        <w:rPr>
          <w:rFonts w:ascii="Times New Roman" w:hAnsi="Times New Roman"/>
          <w:lang w:val="sr-Latn-BA"/>
        </w:rPr>
        <w:t xml:space="preserve"> </w:t>
      </w:r>
      <w:r>
        <w:rPr>
          <w:rFonts w:ascii="Times New Roman" w:hAnsi="Times New Roman"/>
          <w:lang w:val="sr-Latn-BA"/>
        </w:rPr>
        <w:t>образовање</w:t>
      </w:r>
      <w:r w:rsidR="00664E91" w:rsidRPr="00295637">
        <w:rPr>
          <w:rFonts w:ascii="Times New Roman" w:hAnsi="Times New Roman"/>
          <w:lang w:val="sr-Latn-BA"/>
        </w:rPr>
        <w:t>,</w:t>
      </w:r>
      <w:r w:rsidR="008E1950" w:rsidRPr="00295637">
        <w:rPr>
          <w:rFonts w:ascii="Times New Roman" w:hAnsi="Times New Roman"/>
          <w:lang w:val="sr-Latn-BA"/>
        </w:rPr>
        <w:t xml:space="preserve"> </w:t>
      </w:r>
      <w:r>
        <w:rPr>
          <w:rFonts w:ascii="Times New Roman" w:hAnsi="Times New Roman"/>
          <w:lang w:val="sr-Latn-BA"/>
        </w:rPr>
        <w:t>ученици</w:t>
      </w:r>
      <w:r w:rsidR="00664E91" w:rsidRPr="00295637">
        <w:rPr>
          <w:rFonts w:ascii="Times New Roman" w:hAnsi="Times New Roman"/>
          <w:lang w:val="sr-Latn-BA"/>
        </w:rPr>
        <w:t xml:space="preserve"> </w:t>
      </w:r>
      <w:r>
        <w:rPr>
          <w:rFonts w:ascii="Times New Roman" w:hAnsi="Times New Roman"/>
          <w:lang w:val="sr-Latn-BA"/>
        </w:rPr>
        <w:t>који</w:t>
      </w:r>
      <w:r w:rsidR="00664E91" w:rsidRPr="00295637">
        <w:rPr>
          <w:rFonts w:ascii="Times New Roman" w:hAnsi="Times New Roman"/>
          <w:lang w:val="sr-Latn-BA"/>
        </w:rPr>
        <w:t xml:space="preserve"> </w:t>
      </w:r>
      <w:r>
        <w:rPr>
          <w:rFonts w:ascii="Times New Roman" w:hAnsi="Times New Roman"/>
          <w:lang w:val="sr-Latn-BA"/>
        </w:rPr>
        <w:t>су</w:t>
      </w:r>
      <w:r w:rsidR="00664E91" w:rsidRPr="00295637">
        <w:rPr>
          <w:rFonts w:ascii="Times New Roman" w:hAnsi="Times New Roman"/>
          <w:lang w:val="sr-Latn-BA"/>
        </w:rPr>
        <w:t xml:space="preserve"> </w:t>
      </w:r>
      <w:r>
        <w:rPr>
          <w:rFonts w:ascii="Times New Roman" w:hAnsi="Times New Roman"/>
          <w:lang w:val="sr-Latn-BA"/>
        </w:rPr>
        <w:t>завршили</w:t>
      </w:r>
      <w:r w:rsidR="00664E91" w:rsidRPr="00295637">
        <w:rPr>
          <w:rFonts w:ascii="Times New Roman" w:hAnsi="Times New Roman"/>
          <w:lang w:val="sr-Latn-BA"/>
        </w:rPr>
        <w:t xml:space="preserve"> </w:t>
      </w:r>
      <w:r>
        <w:rPr>
          <w:rFonts w:ascii="Times New Roman" w:hAnsi="Times New Roman"/>
          <w:lang w:val="sr-Latn-BA"/>
        </w:rPr>
        <w:t>средњу</w:t>
      </w:r>
      <w:r w:rsidR="00664E91" w:rsidRPr="00295637">
        <w:rPr>
          <w:rFonts w:ascii="Times New Roman" w:hAnsi="Times New Roman"/>
          <w:lang w:val="sr-Latn-BA"/>
        </w:rPr>
        <w:t xml:space="preserve"> </w:t>
      </w:r>
      <w:r>
        <w:rPr>
          <w:rFonts w:ascii="Times New Roman" w:hAnsi="Times New Roman"/>
          <w:lang w:val="sr-Latn-BA"/>
        </w:rPr>
        <w:t>школу</w:t>
      </w:r>
      <w:r w:rsidR="008E1950" w:rsidRPr="00295637">
        <w:rPr>
          <w:rFonts w:ascii="Times New Roman" w:hAnsi="Times New Roman"/>
          <w:lang w:val="sr-Latn-BA"/>
        </w:rPr>
        <w:t xml:space="preserve">, </w:t>
      </w:r>
      <w:r>
        <w:rPr>
          <w:rFonts w:ascii="Times New Roman" w:hAnsi="Times New Roman"/>
          <w:lang w:val="sr-Latn-BA"/>
        </w:rPr>
        <w:t>поновци</w:t>
      </w:r>
      <w:r w:rsidR="00FF6855">
        <w:rPr>
          <w:rFonts w:ascii="Times New Roman" w:hAnsi="Times New Roman"/>
          <w:lang w:val="sr-Latn-BA"/>
        </w:rPr>
        <w:t>,</w:t>
      </w:r>
      <w:r w:rsidR="00664E91" w:rsidRPr="00295637">
        <w:rPr>
          <w:rFonts w:ascii="Times New Roman" w:hAnsi="Times New Roman"/>
          <w:lang w:val="sr-Latn-BA"/>
        </w:rPr>
        <w:t xml:space="preserve"> </w:t>
      </w:r>
      <w:r>
        <w:rPr>
          <w:rFonts w:ascii="Times New Roman" w:hAnsi="Times New Roman"/>
          <w:lang w:val="sr-Latn-BA"/>
        </w:rPr>
        <w:t>образовање</w:t>
      </w:r>
      <w:r w:rsidR="008E1950" w:rsidRPr="00295637">
        <w:rPr>
          <w:rFonts w:ascii="Times New Roman" w:hAnsi="Times New Roman"/>
          <w:lang w:val="sr-Latn-BA"/>
        </w:rPr>
        <w:t xml:space="preserve"> </w:t>
      </w:r>
      <w:r>
        <w:rPr>
          <w:rFonts w:ascii="Times New Roman" w:hAnsi="Times New Roman"/>
          <w:lang w:val="sr-Latn-BA"/>
        </w:rPr>
        <w:t>за</w:t>
      </w:r>
      <w:r w:rsidR="008E1950" w:rsidRPr="00295637">
        <w:rPr>
          <w:rFonts w:ascii="Times New Roman" w:hAnsi="Times New Roman"/>
          <w:lang w:val="sr-Latn-BA"/>
        </w:rPr>
        <w:t xml:space="preserve"> </w:t>
      </w:r>
      <w:r>
        <w:rPr>
          <w:rFonts w:ascii="Times New Roman" w:hAnsi="Times New Roman"/>
          <w:lang w:val="sr-Latn-BA"/>
        </w:rPr>
        <w:t>одрасле</w:t>
      </w:r>
      <w:r w:rsidR="008E1950" w:rsidRPr="00295637">
        <w:rPr>
          <w:rFonts w:ascii="Times New Roman" w:hAnsi="Times New Roman"/>
          <w:lang w:val="sr-Latn-BA"/>
        </w:rPr>
        <w:t xml:space="preserve">, </w:t>
      </w:r>
      <w:r>
        <w:rPr>
          <w:rFonts w:ascii="Times New Roman" w:hAnsi="Times New Roman"/>
          <w:lang w:val="sr-Latn-BA"/>
        </w:rPr>
        <w:t>уписани</w:t>
      </w:r>
      <w:r w:rsidR="008E1950" w:rsidRPr="00295637">
        <w:rPr>
          <w:rFonts w:ascii="Times New Roman" w:hAnsi="Times New Roman"/>
          <w:lang w:val="sr-Latn-BA"/>
        </w:rPr>
        <w:t xml:space="preserve"> </w:t>
      </w:r>
      <w:r>
        <w:rPr>
          <w:rFonts w:ascii="Times New Roman" w:hAnsi="Times New Roman"/>
          <w:lang w:val="sr-Latn-BA"/>
        </w:rPr>
        <w:t>и</w:t>
      </w:r>
      <w:r w:rsidR="008E1950" w:rsidRPr="00295637">
        <w:rPr>
          <w:rFonts w:ascii="Times New Roman" w:hAnsi="Times New Roman"/>
          <w:lang w:val="sr-Latn-BA"/>
        </w:rPr>
        <w:t xml:space="preserve"> </w:t>
      </w:r>
      <w:r>
        <w:rPr>
          <w:rFonts w:ascii="Times New Roman" w:hAnsi="Times New Roman"/>
          <w:lang w:val="sr-Latn-BA"/>
        </w:rPr>
        <w:t>дипломирани</w:t>
      </w:r>
      <w:r w:rsidR="008E1950" w:rsidRPr="00295637">
        <w:rPr>
          <w:rFonts w:ascii="Times New Roman" w:hAnsi="Times New Roman"/>
          <w:lang w:val="sr-Latn-BA"/>
        </w:rPr>
        <w:t xml:space="preserve"> </w:t>
      </w:r>
      <w:r>
        <w:rPr>
          <w:rFonts w:ascii="Times New Roman" w:hAnsi="Times New Roman"/>
          <w:lang w:val="sr-Latn-BA"/>
        </w:rPr>
        <w:t>студенти</w:t>
      </w:r>
      <w:r w:rsidR="008E1950" w:rsidRPr="00295637">
        <w:rPr>
          <w:rFonts w:ascii="Times New Roman" w:hAnsi="Times New Roman"/>
          <w:lang w:val="sr-Latn-BA"/>
        </w:rPr>
        <w:t xml:space="preserve"> </w:t>
      </w:r>
      <w:r>
        <w:rPr>
          <w:rFonts w:ascii="Times New Roman" w:hAnsi="Times New Roman"/>
          <w:lang w:val="sr-Latn-BA"/>
        </w:rPr>
        <w:t>по</w:t>
      </w:r>
      <w:r w:rsidR="008E1950" w:rsidRPr="00295637">
        <w:rPr>
          <w:rFonts w:ascii="Times New Roman" w:hAnsi="Times New Roman"/>
          <w:lang w:val="sr-Latn-BA"/>
        </w:rPr>
        <w:t xml:space="preserve"> </w:t>
      </w:r>
      <w:r>
        <w:rPr>
          <w:rFonts w:ascii="Times New Roman" w:hAnsi="Times New Roman"/>
          <w:lang w:val="sr-Latn-BA"/>
        </w:rPr>
        <w:t>областима</w:t>
      </w:r>
      <w:r w:rsidR="008E1950" w:rsidRPr="00295637">
        <w:rPr>
          <w:rFonts w:ascii="Times New Roman" w:hAnsi="Times New Roman"/>
          <w:lang w:val="sr-Latn-BA"/>
        </w:rPr>
        <w:t xml:space="preserve"> </w:t>
      </w:r>
      <w:r>
        <w:rPr>
          <w:rFonts w:ascii="Times New Roman" w:hAnsi="Times New Roman"/>
          <w:lang w:val="sr-Latn-BA"/>
        </w:rPr>
        <w:t>образовања</w:t>
      </w:r>
      <w:r w:rsidR="008E1950" w:rsidRPr="00295637">
        <w:rPr>
          <w:rFonts w:ascii="Times New Roman" w:hAnsi="Times New Roman"/>
          <w:lang w:val="sr-Latn-BA"/>
        </w:rPr>
        <w:t xml:space="preserve">, </w:t>
      </w:r>
      <w:r>
        <w:rPr>
          <w:rFonts w:ascii="Times New Roman" w:hAnsi="Times New Roman"/>
          <w:lang w:val="sr-Latn-BA"/>
        </w:rPr>
        <w:t>корисници</w:t>
      </w:r>
      <w:r w:rsidR="008E1950" w:rsidRPr="00295637">
        <w:rPr>
          <w:rFonts w:ascii="Times New Roman" w:hAnsi="Times New Roman"/>
          <w:lang w:val="sr-Latn-BA"/>
        </w:rPr>
        <w:t xml:space="preserve"> </w:t>
      </w:r>
      <w:r>
        <w:rPr>
          <w:rFonts w:ascii="Times New Roman" w:hAnsi="Times New Roman"/>
          <w:lang w:val="sr-Latn-BA"/>
        </w:rPr>
        <w:t>студентских</w:t>
      </w:r>
      <w:r w:rsidR="008E1950" w:rsidRPr="00295637">
        <w:rPr>
          <w:rFonts w:ascii="Times New Roman" w:hAnsi="Times New Roman"/>
          <w:lang w:val="sr-Latn-BA"/>
        </w:rPr>
        <w:t xml:space="preserve"> </w:t>
      </w:r>
      <w:r>
        <w:rPr>
          <w:rFonts w:ascii="Times New Roman" w:hAnsi="Times New Roman"/>
          <w:lang w:val="sr-Latn-BA"/>
        </w:rPr>
        <w:t>домова</w:t>
      </w:r>
      <w:r w:rsidR="008E1950" w:rsidRPr="00295637">
        <w:rPr>
          <w:rFonts w:ascii="Times New Roman" w:hAnsi="Times New Roman"/>
          <w:lang w:val="sr-Latn-BA"/>
        </w:rPr>
        <w:t xml:space="preserve">, </w:t>
      </w:r>
      <w:r>
        <w:rPr>
          <w:rFonts w:ascii="Times New Roman" w:hAnsi="Times New Roman"/>
          <w:lang w:val="sr-Latn-BA"/>
        </w:rPr>
        <w:t>стипендија</w:t>
      </w:r>
      <w:r w:rsidR="008E1950" w:rsidRPr="00295637">
        <w:rPr>
          <w:rFonts w:ascii="Times New Roman" w:hAnsi="Times New Roman"/>
          <w:lang w:val="sr-Latn-BA"/>
        </w:rPr>
        <w:t xml:space="preserve">, </w:t>
      </w:r>
      <w:r>
        <w:rPr>
          <w:rFonts w:ascii="Times New Roman" w:hAnsi="Times New Roman"/>
          <w:lang w:val="sr-Latn-BA"/>
        </w:rPr>
        <w:t>наставно</w:t>
      </w:r>
      <w:r w:rsidR="008E1950" w:rsidRPr="00295637">
        <w:rPr>
          <w:rFonts w:ascii="Times New Roman" w:hAnsi="Times New Roman"/>
          <w:lang w:val="sr-Latn-BA"/>
        </w:rPr>
        <w:t xml:space="preserve"> </w:t>
      </w:r>
      <w:r>
        <w:rPr>
          <w:rFonts w:ascii="Times New Roman" w:hAnsi="Times New Roman"/>
          <w:lang w:val="sr-Latn-BA"/>
        </w:rPr>
        <w:t>особље</w:t>
      </w:r>
      <w:r w:rsidR="008E1950" w:rsidRPr="00295637">
        <w:rPr>
          <w:rFonts w:ascii="Times New Roman" w:hAnsi="Times New Roman"/>
          <w:lang w:val="sr-Latn-BA"/>
        </w:rPr>
        <w:t xml:space="preserve">, </w:t>
      </w:r>
      <w:r>
        <w:rPr>
          <w:rFonts w:ascii="Times New Roman" w:hAnsi="Times New Roman"/>
          <w:lang w:val="sr-Latn-BA"/>
        </w:rPr>
        <w:t>декани</w:t>
      </w:r>
      <w:r w:rsidR="008E1950" w:rsidRPr="00295637">
        <w:rPr>
          <w:rFonts w:ascii="Times New Roman" w:hAnsi="Times New Roman"/>
          <w:lang w:val="sr-Latn-BA"/>
        </w:rPr>
        <w:t xml:space="preserve"> </w:t>
      </w:r>
      <w:r>
        <w:rPr>
          <w:rFonts w:ascii="Times New Roman" w:hAnsi="Times New Roman"/>
          <w:lang w:val="sr-Latn-BA"/>
        </w:rPr>
        <w:t>и</w:t>
      </w:r>
      <w:r w:rsidR="008E1950" w:rsidRPr="00295637">
        <w:rPr>
          <w:rFonts w:ascii="Times New Roman" w:hAnsi="Times New Roman"/>
          <w:lang w:val="sr-Latn-BA"/>
        </w:rPr>
        <w:t xml:space="preserve"> </w:t>
      </w:r>
      <w:r>
        <w:rPr>
          <w:rFonts w:ascii="Times New Roman" w:hAnsi="Times New Roman"/>
          <w:lang w:val="sr-Latn-BA"/>
        </w:rPr>
        <w:t>ректори</w:t>
      </w:r>
      <w:r w:rsidR="008E1950" w:rsidRPr="00295637">
        <w:rPr>
          <w:rFonts w:ascii="Times New Roman" w:hAnsi="Times New Roman"/>
          <w:lang w:val="sr-Latn-BA"/>
        </w:rPr>
        <w:t xml:space="preserve">, </w:t>
      </w:r>
      <w:r>
        <w:rPr>
          <w:rFonts w:ascii="Times New Roman" w:hAnsi="Times New Roman"/>
          <w:lang w:val="sr-Latn-BA"/>
        </w:rPr>
        <w:t>компјутерска</w:t>
      </w:r>
      <w:r w:rsidR="008E1950" w:rsidRPr="00295637">
        <w:rPr>
          <w:rFonts w:ascii="Times New Roman" w:hAnsi="Times New Roman"/>
          <w:lang w:val="sr-Latn-BA"/>
        </w:rPr>
        <w:t xml:space="preserve"> </w:t>
      </w:r>
      <w:r>
        <w:rPr>
          <w:rFonts w:ascii="Times New Roman" w:hAnsi="Times New Roman"/>
          <w:lang w:val="sr-Latn-BA"/>
        </w:rPr>
        <w:t>писменост</w:t>
      </w:r>
      <w:r w:rsidR="008E1950" w:rsidRPr="00295637">
        <w:rPr>
          <w:rFonts w:ascii="Times New Roman" w:hAnsi="Times New Roman"/>
          <w:lang w:val="sr-Latn-BA"/>
        </w:rPr>
        <w:t xml:space="preserve"> </w:t>
      </w:r>
      <w:r>
        <w:rPr>
          <w:rFonts w:ascii="Times New Roman" w:hAnsi="Times New Roman"/>
          <w:lang w:val="sr-Latn-BA"/>
        </w:rPr>
        <w:t>становништва</w:t>
      </w:r>
      <w:r w:rsidR="008E1950" w:rsidRPr="00295637">
        <w:rPr>
          <w:rFonts w:ascii="Times New Roman" w:hAnsi="Times New Roman"/>
          <w:lang w:val="sr-Latn-BA"/>
        </w:rPr>
        <w:t xml:space="preserve"> </w:t>
      </w:r>
      <w:r>
        <w:rPr>
          <w:rFonts w:ascii="Times New Roman" w:hAnsi="Times New Roman"/>
          <w:lang w:val="sr-Latn-BA"/>
        </w:rPr>
        <w:t>и</w:t>
      </w:r>
      <w:r w:rsidR="008E1950" w:rsidRPr="00295637">
        <w:rPr>
          <w:rFonts w:ascii="Times New Roman" w:hAnsi="Times New Roman"/>
          <w:lang w:val="sr-Latn-BA"/>
        </w:rPr>
        <w:t xml:space="preserve"> </w:t>
      </w:r>
      <w:r>
        <w:rPr>
          <w:rFonts w:ascii="Times New Roman" w:hAnsi="Times New Roman"/>
          <w:lang w:val="sr-Latn-BA"/>
        </w:rPr>
        <w:t>друго</w:t>
      </w:r>
      <w:r w:rsidR="008E1950" w:rsidRPr="00295637">
        <w:rPr>
          <w:rFonts w:ascii="Times New Roman" w:hAnsi="Times New Roman"/>
          <w:lang w:val="sr-Latn-BA"/>
        </w:rPr>
        <w:t>.</w:t>
      </w:r>
      <w:r w:rsidR="008E1950" w:rsidRPr="00295637">
        <w:rPr>
          <w:rFonts w:ascii="Times New Roman" w:hAnsi="Times New Roman"/>
          <w:strike/>
          <w:lang w:val="sr-Latn-BA"/>
        </w:rPr>
        <w:t xml:space="preserve"> </w:t>
      </w:r>
    </w:p>
    <w:p w:rsidR="008D56A8" w:rsidRPr="00295637" w:rsidRDefault="008D56A8" w:rsidP="0086268D">
      <w:pPr>
        <w:tabs>
          <w:tab w:val="left" w:pos="284"/>
          <w:tab w:val="left" w:pos="630"/>
          <w:tab w:val="left" w:pos="1080"/>
        </w:tabs>
        <w:jc w:val="both"/>
        <w:rPr>
          <w:rFonts w:asciiTheme="minorHAnsi" w:eastAsia="Calibri" w:hAnsiTheme="minorHAnsi" w:cstheme="minorHAnsi"/>
          <w:szCs w:val="24"/>
          <w:lang w:val="bs-Latn-BA"/>
        </w:rPr>
      </w:pPr>
    </w:p>
    <w:p w:rsidR="00A92736" w:rsidRPr="00295637" w:rsidRDefault="0077778E" w:rsidP="00794114">
      <w:pPr>
        <w:tabs>
          <w:tab w:val="left" w:pos="284"/>
          <w:tab w:val="left" w:pos="630"/>
          <w:tab w:val="left" w:pos="1080"/>
        </w:tabs>
        <w:ind w:left="900"/>
        <w:jc w:val="both"/>
        <w:rPr>
          <w:rFonts w:ascii="Times New Roman" w:eastAsia="Calibri" w:hAnsi="Times New Roman"/>
          <w:szCs w:val="24"/>
          <w:lang w:val="bs-Latn-BA"/>
        </w:rPr>
      </w:pPr>
      <w:r>
        <w:rPr>
          <w:rFonts w:ascii="Times New Roman" w:eastAsia="Calibri" w:hAnsi="Times New Roman"/>
          <w:szCs w:val="24"/>
          <w:lang w:val="bs-Latn-BA"/>
        </w:rPr>
        <w:t>I</w:t>
      </w:r>
      <w:r w:rsidR="00794114">
        <w:rPr>
          <w:rFonts w:ascii="Times New Roman" w:eastAsia="Calibri" w:hAnsi="Times New Roman"/>
          <w:szCs w:val="24"/>
          <w:lang w:val="bs-Latn-BA"/>
        </w:rPr>
        <w:t xml:space="preserve"> 4.</w:t>
      </w:r>
      <w:r w:rsidR="00E765E1">
        <w:rPr>
          <w:rFonts w:ascii="Times New Roman" w:eastAsia="Calibri" w:hAnsi="Times New Roman"/>
          <w:szCs w:val="24"/>
          <w:lang w:val="bs-Cyrl-BA"/>
        </w:rPr>
        <w:t>3</w:t>
      </w:r>
      <w:r w:rsidR="00794114">
        <w:rPr>
          <w:rFonts w:ascii="Times New Roman" w:eastAsia="Calibri" w:hAnsi="Times New Roman"/>
          <w:szCs w:val="24"/>
          <w:lang w:val="bs-Latn-BA"/>
        </w:rPr>
        <w:t xml:space="preserve">. </w:t>
      </w:r>
      <w:r w:rsidR="00C6214E">
        <w:rPr>
          <w:rFonts w:ascii="Times New Roman" w:eastAsia="Calibri" w:hAnsi="Times New Roman"/>
          <w:szCs w:val="24"/>
          <w:lang w:val="bs-Latn-BA"/>
        </w:rPr>
        <w:t>Редовно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праћење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процјена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приступа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оба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пола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постдипломским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програмима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стицању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научних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звања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као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приступ</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грант</w:t>
      </w:r>
      <w:r w:rsidR="00FF6855">
        <w:rPr>
          <w:rFonts w:ascii="Times New Roman" w:eastAsia="Calibri" w:hAnsi="Times New Roman"/>
          <w:szCs w:val="24"/>
          <w:lang w:val="bs-Latn-BA"/>
        </w:rPr>
        <w:t xml:space="preserve"> </w:t>
      </w:r>
      <w:r w:rsidR="00C6214E">
        <w:rPr>
          <w:rFonts w:ascii="Times New Roman" w:eastAsia="Calibri" w:hAnsi="Times New Roman"/>
          <w:szCs w:val="24"/>
          <w:lang w:val="bs-Latn-BA"/>
        </w:rPr>
        <w:t>средствима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стипендијама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под</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истим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условима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научно</w:t>
      </w:r>
      <w:r w:rsidR="00356C2C" w:rsidRPr="00295637">
        <w:rPr>
          <w:rFonts w:ascii="Times New Roman" w:eastAsia="Calibri" w:hAnsi="Times New Roman"/>
          <w:szCs w:val="24"/>
          <w:lang w:val="bs-Latn-BA"/>
        </w:rPr>
        <w:t>-</w:t>
      </w:r>
      <w:r w:rsidR="00C6214E">
        <w:rPr>
          <w:rFonts w:ascii="Times New Roman" w:eastAsia="Calibri" w:hAnsi="Times New Roman"/>
          <w:szCs w:val="24"/>
          <w:lang w:val="bs-Latn-BA"/>
        </w:rPr>
        <w:t>истраживачким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програмима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050016">
        <w:rPr>
          <w:rFonts w:ascii="Times New Roman" w:eastAsia="Calibri" w:hAnsi="Times New Roman"/>
          <w:szCs w:val="24"/>
          <w:lang w:val="bs-Latn-BA"/>
        </w:rPr>
        <w:t xml:space="preserve"> </w:t>
      </w:r>
      <w:r w:rsidR="00C6214E">
        <w:rPr>
          <w:rFonts w:ascii="Times New Roman" w:eastAsia="Calibri" w:hAnsi="Times New Roman"/>
          <w:szCs w:val="24"/>
          <w:lang w:val="bs-Latn-BA"/>
        </w:rPr>
        <w:t>пројектима</w:t>
      </w:r>
      <w:r w:rsidR="00050016">
        <w:rPr>
          <w:rFonts w:ascii="Times New Roman" w:eastAsia="Calibri" w:hAnsi="Times New Roman"/>
          <w:szCs w:val="24"/>
          <w:lang w:val="bs-Latn-BA"/>
        </w:rPr>
        <w:t xml:space="preserve">, </w:t>
      </w:r>
      <w:r w:rsidR="00C6214E">
        <w:rPr>
          <w:rFonts w:ascii="Times New Roman" w:eastAsia="Calibri" w:hAnsi="Times New Roman"/>
          <w:szCs w:val="24"/>
          <w:lang w:val="bs-Latn-BA"/>
        </w:rPr>
        <w:t>као</w:t>
      </w:r>
      <w:r w:rsidR="00050016">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050016">
        <w:rPr>
          <w:rFonts w:ascii="Times New Roman" w:eastAsia="Calibri" w:hAnsi="Times New Roman"/>
          <w:szCs w:val="24"/>
          <w:lang w:val="bs-Latn-BA"/>
        </w:rPr>
        <w:t xml:space="preserve"> </w:t>
      </w:r>
      <w:r w:rsidR="00C6214E">
        <w:rPr>
          <w:rFonts w:ascii="Times New Roman" w:eastAsia="Calibri" w:hAnsi="Times New Roman"/>
          <w:szCs w:val="24"/>
          <w:lang w:val="bs-Latn-BA"/>
        </w:rPr>
        <w:t>у</w:t>
      </w:r>
      <w:r w:rsidR="00050016">
        <w:rPr>
          <w:rFonts w:ascii="Times New Roman" w:eastAsia="Calibri" w:hAnsi="Times New Roman"/>
          <w:szCs w:val="24"/>
          <w:lang w:val="bs-Latn-BA"/>
        </w:rPr>
        <w:t xml:space="preserve"> </w:t>
      </w:r>
      <w:r w:rsidR="00C6214E">
        <w:rPr>
          <w:rFonts w:ascii="Times New Roman" w:eastAsia="Calibri" w:hAnsi="Times New Roman"/>
          <w:szCs w:val="24"/>
          <w:lang w:val="bs-Latn-BA"/>
        </w:rPr>
        <w:t>процесима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руковођења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координације</w:t>
      </w:r>
      <w:r w:rsidR="00356C2C" w:rsidRPr="00295637">
        <w:rPr>
          <w:rFonts w:ascii="Times New Roman" w:eastAsia="Calibri" w:hAnsi="Times New Roman"/>
          <w:szCs w:val="24"/>
          <w:lang w:val="bs-Latn-BA"/>
        </w:rPr>
        <w:t xml:space="preserve">. </w:t>
      </w:r>
    </w:p>
    <w:p w:rsidR="002E16E7" w:rsidRPr="00295637" w:rsidRDefault="002E16E7" w:rsidP="0086268D">
      <w:pPr>
        <w:tabs>
          <w:tab w:val="left" w:pos="284"/>
          <w:tab w:val="left" w:pos="630"/>
          <w:tab w:val="left" w:pos="1080"/>
        </w:tabs>
        <w:ind w:left="270"/>
        <w:jc w:val="both"/>
        <w:rPr>
          <w:rFonts w:ascii="Times New Roman" w:eastAsia="Calibri" w:hAnsi="Times New Roman"/>
          <w:szCs w:val="24"/>
          <w:lang w:val="bs-Latn-BA"/>
        </w:rPr>
      </w:pPr>
    </w:p>
    <w:p w:rsidR="00783DB6" w:rsidRPr="00295637" w:rsidRDefault="00C6214E" w:rsidP="0086268D">
      <w:pPr>
        <w:tabs>
          <w:tab w:val="left" w:pos="0"/>
          <w:tab w:val="left" w:pos="630"/>
          <w:tab w:val="left" w:pos="1080"/>
        </w:tabs>
        <w:jc w:val="both"/>
        <w:rPr>
          <w:rFonts w:ascii="Times New Roman" w:eastAsia="Calibri" w:hAnsi="Times New Roman"/>
          <w:szCs w:val="24"/>
          <w:lang w:val="bs-Latn-BA"/>
        </w:rPr>
      </w:pPr>
      <w:r>
        <w:rPr>
          <w:rFonts w:ascii="Times New Roman" w:eastAsia="Calibri" w:hAnsi="Times New Roman"/>
          <w:szCs w:val="24"/>
          <w:lang w:val="bs-Latn-BA"/>
        </w:rPr>
        <w:t>МЦП</w:t>
      </w:r>
      <w:r w:rsidR="00050016">
        <w:rPr>
          <w:rFonts w:ascii="Times New Roman" w:eastAsia="Calibri" w:hAnsi="Times New Roman"/>
          <w:szCs w:val="24"/>
          <w:lang w:val="bs-Latn-BA"/>
        </w:rPr>
        <w:t xml:space="preserve"> </w:t>
      </w:r>
      <w:r>
        <w:rPr>
          <w:rFonts w:ascii="Times New Roman" w:eastAsia="Calibri" w:hAnsi="Times New Roman"/>
          <w:szCs w:val="24"/>
          <w:lang w:val="bs-Latn-BA"/>
        </w:rPr>
        <w:t>БиХ</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сваке</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године</w:t>
      </w:r>
      <w:r w:rsidR="006D286A" w:rsidRPr="00295637">
        <w:rPr>
          <w:rFonts w:ascii="Times New Roman" w:eastAsia="Calibri" w:hAnsi="Times New Roman"/>
          <w:szCs w:val="24"/>
          <w:lang w:val="bs-Latn-BA"/>
        </w:rPr>
        <w:t xml:space="preserve"> </w:t>
      </w:r>
      <w:r>
        <w:rPr>
          <w:rFonts w:ascii="Times New Roman" w:eastAsia="Calibri" w:hAnsi="Times New Roman"/>
          <w:szCs w:val="24"/>
          <w:lang w:val="bs-Latn-BA"/>
        </w:rPr>
        <w:t>доставља</w:t>
      </w:r>
      <w:r w:rsidR="006D286A" w:rsidRPr="00295637">
        <w:rPr>
          <w:rFonts w:ascii="Times New Roman" w:eastAsia="Calibri" w:hAnsi="Times New Roman"/>
          <w:szCs w:val="24"/>
          <w:lang w:val="bs-Latn-BA"/>
        </w:rPr>
        <w:t xml:space="preserve"> </w:t>
      </w:r>
      <w:r w:rsidR="00CB20DF">
        <w:rPr>
          <w:rFonts w:ascii="Times New Roman" w:eastAsia="Calibri" w:hAnsi="Times New Roman"/>
          <w:szCs w:val="24"/>
          <w:lang w:val="sr-Cyrl-BA"/>
        </w:rPr>
        <w:t>С</w:t>
      </w:r>
      <w:r>
        <w:rPr>
          <w:rFonts w:ascii="Times New Roman" w:eastAsia="Calibri" w:hAnsi="Times New Roman"/>
          <w:szCs w:val="24"/>
          <w:lang w:val="bs-Latn-BA"/>
        </w:rPr>
        <w:t>М</w:t>
      </w:r>
      <w:r w:rsidR="006D286A" w:rsidRPr="00295637">
        <w:rPr>
          <w:rFonts w:ascii="Times New Roman" w:eastAsia="Calibri" w:hAnsi="Times New Roman"/>
          <w:szCs w:val="24"/>
          <w:lang w:val="bs-Latn-BA"/>
        </w:rPr>
        <w:t xml:space="preserve"> </w:t>
      </w:r>
      <w:r>
        <w:rPr>
          <w:rFonts w:ascii="Times New Roman" w:eastAsia="Calibri" w:hAnsi="Times New Roman"/>
          <w:szCs w:val="24"/>
          <w:lang w:val="bs-Latn-BA"/>
        </w:rPr>
        <w:t>БиХ</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информације</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о</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статистичким</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показатељима</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образовању</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којој</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се</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подаци</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приказују</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по</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половима</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на</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свим</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нивоима</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образовања</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било</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да</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се</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ради</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о</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ученицима</w:t>
      </w:r>
      <w:r w:rsidR="00783DB6" w:rsidRPr="00295637">
        <w:rPr>
          <w:rFonts w:ascii="Times New Roman" w:eastAsia="Calibri" w:hAnsi="Times New Roman"/>
          <w:szCs w:val="24"/>
          <w:lang w:val="bs-Latn-BA"/>
        </w:rPr>
        <w:t>/</w:t>
      </w:r>
      <w:r>
        <w:rPr>
          <w:rFonts w:ascii="Times New Roman" w:eastAsia="Calibri" w:hAnsi="Times New Roman"/>
          <w:szCs w:val="24"/>
          <w:lang w:val="bs-Latn-BA"/>
        </w:rPr>
        <w:t>студентима</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или</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наставном</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кадру</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а</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794114">
        <w:rPr>
          <w:rFonts w:ascii="Times New Roman" w:eastAsia="Calibri" w:hAnsi="Times New Roman"/>
          <w:szCs w:val="24"/>
          <w:lang w:val="bs-Latn-BA"/>
        </w:rPr>
        <w:t xml:space="preserve"> </w:t>
      </w:r>
      <w:r>
        <w:rPr>
          <w:rFonts w:ascii="Times New Roman" w:eastAsia="Calibri" w:hAnsi="Times New Roman"/>
          <w:szCs w:val="24"/>
          <w:lang w:val="bs-Latn-BA"/>
        </w:rPr>
        <w:t>складу</w:t>
      </w:r>
      <w:r w:rsidR="00794114">
        <w:rPr>
          <w:rFonts w:ascii="Times New Roman" w:eastAsia="Calibri" w:hAnsi="Times New Roman"/>
          <w:szCs w:val="24"/>
          <w:lang w:val="bs-Latn-BA"/>
        </w:rPr>
        <w:t xml:space="preserve"> </w:t>
      </w:r>
      <w:r>
        <w:rPr>
          <w:rFonts w:ascii="Times New Roman" w:eastAsia="Calibri" w:hAnsi="Times New Roman"/>
          <w:szCs w:val="24"/>
          <w:lang w:val="bs-Latn-BA"/>
        </w:rPr>
        <w:t>са</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одредбама</w:t>
      </w:r>
      <w:r w:rsidR="00783DB6" w:rsidRPr="00295637">
        <w:rPr>
          <w:rFonts w:ascii="Times New Roman" w:eastAsia="Calibri" w:hAnsi="Times New Roman"/>
          <w:szCs w:val="24"/>
          <w:lang w:val="bs-Latn-BA"/>
        </w:rPr>
        <w:t xml:space="preserve"> </w:t>
      </w:r>
      <w:r>
        <w:rPr>
          <w:rFonts w:ascii="Times New Roman" w:eastAsia="Calibri" w:hAnsi="Times New Roman"/>
          <w:szCs w:val="24"/>
          <w:lang w:val="bs-Latn-BA"/>
        </w:rPr>
        <w:t>члана</w:t>
      </w:r>
      <w:r w:rsidR="00783DB6" w:rsidRPr="00295637">
        <w:rPr>
          <w:rFonts w:ascii="Times New Roman" w:eastAsia="Calibri" w:hAnsi="Times New Roman"/>
          <w:szCs w:val="24"/>
          <w:lang w:val="bs-Latn-BA"/>
        </w:rPr>
        <w:t xml:space="preserve"> 22. </w:t>
      </w:r>
      <w:r>
        <w:rPr>
          <w:rFonts w:ascii="Times New Roman" w:eastAsia="Calibri" w:hAnsi="Times New Roman"/>
          <w:szCs w:val="24"/>
          <w:lang w:val="bs-Latn-BA"/>
        </w:rPr>
        <w:t>ЗоР</w:t>
      </w:r>
      <w:r w:rsidR="00CB20DF">
        <w:rPr>
          <w:rFonts w:ascii="Times New Roman" w:eastAsia="Calibri" w:hAnsi="Times New Roman"/>
          <w:szCs w:val="24"/>
          <w:lang w:val="sr-Cyrl-BA"/>
        </w:rPr>
        <w:t>П</w:t>
      </w:r>
      <w:r w:rsidR="002F6C26" w:rsidRPr="00295637">
        <w:rPr>
          <w:rFonts w:ascii="Times New Roman" w:eastAsia="Calibri" w:hAnsi="Times New Roman"/>
          <w:szCs w:val="24"/>
          <w:lang w:val="bs-Latn-BA"/>
        </w:rPr>
        <w:t>-</w:t>
      </w:r>
      <w:r>
        <w:rPr>
          <w:rFonts w:ascii="Times New Roman" w:eastAsia="Calibri" w:hAnsi="Times New Roman"/>
          <w:szCs w:val="24"/>
          <w:lang w:val="bs-Latn-BA"/>
        </w:rPr>
        <w:t>а</w:t>
      </w:r>
      <w:r w:rsidR="002F6C26" w:rsidRPr="00295637">
        <w:rPr>
          <w:rFonts w:ascii="Times New Roman" w:eastAsia="Calibri" w:hAnsi="Times New Roman"/>
          <w:szCs w:val="24"/>
          <w:lang w:val="bs-Latn-BA"/>
        </w:rPr>
        <w:t xml:space="preserve"> </w:t>
      </w:r>
      <w:r>
        <w:rPr>
          <w:rFonts w:ascii="Times New Roman" w:eastAsia="Calibri" w:hAnsi="Times New Roman"/>
          <w:szCs w:val="24"/>
          <w:lang w:val="bs-Latn-BA"/>
        </w:rPr>
        <w:t>БиХ</w:t>
      </w:r>
      <w:r w:rsidR="00783DB6" w:rsidRPr="00295637">
        <w:rPr>
          <w:rFonts w:ascii="Times New Roman" w:eastAsia="Calibri" w:hAnsi="Times New Roman"/>
          <w:szCs w:val="24"/>
          <w:lang w:val="bs-Latn-BA"/>
        </w:rPr>
        <w:t xml:space="preserve">. </w:t>
      </w:r>
    </w:p>
    <w:p w:rsidR="008C68B1" w:rsidRPr="00295637" w:rsidRDefault="008C68B1" w:rsidP="0086268D">
      <w:pPr>
        <w:tabs>
          <w:tab w:val="left" w:pos="0"/>
          <w:tab w:val="left" w:pos="630"/>
          <w:tab w:val="left" w:pos="1080"/>
        </w:tabs>
        <w:jc w:val="both"/>
        <w:rPr>
          <w:rFonts w:ascii="Times New Roman" w:eastAsia="Calibri" w:hAnsi="Times New Roman"/>
          <w:szCs w:val="24"/>
          <w:lang w:val="bs-Latn-BA"/>
        </w:rPr>
      </w:pPr>
    </w:p>
    <w:p w:rsidR="006D286A" w:rsidRPr="00295637" w:rsidRDefault="00C6214E" w:rsidP="0086268D">
      <w:pPr>
        <w:tabs>
          <w:tab w:val="left" w:pos="0"/>
          <w:tab w:val="left" w:pos="630"/>
          <w:tab w:val="left" w:pos="1080"/>
        </w:tabs>
        <w:jc w:val="both"/>
        <w:rPr>
          <w:rFonts w:ascii="Times New Roman" w:hAnsi="Times New Roman"/>
          <w:szCs w:val="24"/>
          <w:lang w:val="bs-Latn-BA"/>
        </w:rPr>
      </w:pPr>
      <w:r>
        <w:rPr>
          <w:rFonts w:ascii="Times New Roman" w:hAnsi="Times New Roman"/>
          <w:szCs w:val="24"/>
          <w:lang w:val="bs-Latn-BA"/>
        </w:rPr>
        <w:t>Публикација</w:t>
      </w:r>
      <w:r w:rsidR="008F357A" w:rsidRPr="00295637">
        <w:rPr>
          <w:rFonts w:ascii="Times New Roman" w:hAnsi="Times New Roman"/>
          <w:szCs w:val="24"/>
          <w:lang w:val="bs-Latn-BA"/>
        </w:rPr>
        <w:t xml:space="preserve"> „</w:t>
      </w:r>
      <w:r>
        <w:rPr>
          <w:rFonts w:ascii="Times New Roman" w:hAnsi="Times New Roman"/>
          <w:szCs w:val="24"/>
          <w:lang w:val="bs-Latn-BA"/>
        </w:rPr>
        <w:t>Жене</w:t>
      </w:r>
      <w:r w:rsidR="008F357A" w:rsidRPr="00295637">
        <w:rPr>
          <w:rFonts w:ascii="Times New Roman" w:hAnsi="Times New Roman"/>
          <w:szCs w:val="24"/>
          <w:lang w:val="bs-Latn-BA"/>
        </w:rPr>
        <w:t xml:space="preserve"> </w:t>
      </w:r>
      <w:r>
        <w:rPr>
          <w:rFonts w:ascii="Times New Roman" w:hAnsi="Times New Roman"/>
          <w:szCs w:val="24"/>
          <w:lang w:val="bs-Latn-BA"/>
        </w:rPr>
        <w:t>и</w:t>
      </w:r>
      <w:r w:rsidR="008F357A" w:rsidRPr="00295637">
        <w:rPr>
          <w:rFonts w:ascii="Times New Roman" w:hAnsi="Times New Roman"/>
          <w:szCs w:val="24"/>
          <w:lang w:val="bs-Latn-BA"/>
        </w:rPr>
        <w:t xml:space="preserve"> </w:t>
      </w:r>
      <w:r>
        <w:rPr>
          <w:rFonts w:ascii="Times New Roman" w:hAnsi="Times New Roman"/>
          <w:szCs w:val="24"/>
          <w:lang w:val="bs-Latn-BA"/>
        </w:rPr>
        <w:t>мушкарци</w:t>
      </w:r>
      <w:r w:rsidR="008F357A" w:rsidRPr="00295637">
        <w:rPr>
          <w:rFonts w:ascii="Times New Roman" w:hAnsi="Times New Roman"/>
          <w:szCs w:val="24"/>
          <w:lang w:val="bs-Latn-BA"/>
        </w:rPr>
        <w:t xml:space="preserve"> </w:t>
      </w:r>
      <w:r>
        <w:rPr>
          <w:rFonts w:ascii="Times New Roman" w:hAnsi="Times New Roman"/>
          <w:szCs w:val="24"/>
          <w:lang w:val="bs-Latn-BA"/>
        </w:rPr>
        <w:t>у</w:t>
      </w:r>
      <w:r w:rsidR="008F357A" w:rsidRPr="00295637">
        <w:rPr>
          <w:rFonts w:ascii="Times New Roman" w:hAnsi="Times New Roman"/>
          <w:szCs w:val="24"/>
          <w:lang w:val="bs-Latn-BA"/>
        </w:rPr>
        <w:t xml:space="preserve"> </w:t>
      </w:r>
      <w:r>
        <w:rPr>
          <w:rFonts w:ascii="Times New Roman" w:hAnsi="Times New Roman"/>
          <w:szCs w:val="24"/>
          <w:lang w:val="bs-Latn-BA"/>
        </w:rPr>
        <w:t>Босни</w:t>
      </w:r>
      <w:r w:rsidR="008F357A" w:rsidRPr="00295637">
        <w:rPr>
          <w:rFonts w:ascii="Times New Roman" w:hAnsi="Times New Roman"/>
          <w:szCs w:val="24"/>
          <w:lang w:val="bs-Latn-BA"/>
        </w:rPr>
        <w:t xml:space="preserve"> </w:t>
      </w:r>
      <w:r>
        <w:rPr>
          <w:rFonts w:ascii="Times New Roman" w:hAnsi="Times New Roman"/>
          <w:szCs w:val="24"/>
          <w:lang w:val="bs-Latn-BA"/>
        </w:rPr>
        <w:t>и</w:t>
      </w:r>
      <w:r w:rsidR="008F357A" w:rsidRPr="00295637">
        <w:rPr>
          <w:rFonts w:ascii="Times New Roman" w:hAnsi="Times New Roman"/>
          <w:szCs w:val="24"/>
          <w:lang w:val="bs-Latn-BA"/>
        </w:rPr>
        <w:t xml:space="preserve"> </w:t>
      </w:r>
      <w:r>
        <w:rPr>
          <w:rFonts w:ascii="Times New Roman" w:hAnsi="Times New Roman"/>
          <w:szCs w:val="24"/>
          <w:lang w:val="bs-Latn-BA"/>
        </w:rPr>
        <w:t>Херцеговини</w:t>
      </w:r>
      <w:r w:rsidR="008F357A" w:rsidRPr="00295637">
        <w:rPr>
          <w:rFonts w:ascii="Times New Roman" w:hAnsi="Times New Roman"/>
          <w:szCs w:val="24"/>
          <w:lang w:val="bs-Latn-BA"/>
        </w:rPr>
        <w:t xml:space="preserve">“ </w:t>
      </w:r>
      <w:r>
        <w:rPr>
          <w:rFonts w:ascii="Times New Roman" w:hAnsi="Times New Roman"/>
          <w:szCs w:val="24"/>
          <w:lang w:val="bs-Latn-BA"/>
        </w:rPr>
        <w:t>у</w:t>
      </w:r>
      <w:r w:rsidR="008F357A" w:rsidRPr="00295637">
        <w:rPr>
          <w:rFonts w:ascii="Times New Roman" w:hAnsi="Times New Roman"/>
          <w:szCs w:val="24"/>
          <w:lang w:val="bs-Latn-BA"/>
        </w:rPr>
        <w:t xml:space="preserve"> </w:t>
      </w:r>
      <w:r>
        <w:rPr>
          <w:rFonts w:ascii="Times New Roman" w:hAnsi="Times New Roman"/>
          <w:szCs w:val="24"/>
          <w:lang w:val="bs-Latn-BA"/>
        </w:rPr>
        <w:t>издању</w:t>
      </w:r>
      <w:r w:rsidR="008F357A" w:rsidRPr="00295637">
        <w:rPr>
          <w:rFonts w:ascii="Times New Roman" w:hAnsi="Times New Roman"/>
          <w:szCs w:val="24"/>
          <w:lang w:val="bs-Latn-BA"/>
        </w:rPr>
        <w:t xml:space="preserve"> </w:t>
      </w:r>
      <w:r>
        <w:rPr>
          <w:rFonts w:ascii="Times New Roman" w:hAnsi="Times New Roman"/>
          <w:szCs w:val="24"/>
          <w:lang w:val="bs-Latn-BA"/>
        </w:rPr>
        <w:t>БХАС</w:t>
      </w:r>
      <w:r w:rsidR="008F357A" w:rsidRPr="00295637">
        <w:rPr>
          <w:rFonts w:ascii="Times New Roman" w:hAnsi="Times New Roman"/>
          <w:szCs w:val="24"/>
          <w:lang w:val="bs-Latn-BA"/>
        </w:rPr>
        <w:t xml:space="preserve">, </w:t>
      </w:r>
      <w:r>
        <w:rPr>
          <w:rFonts w:ascii="Times New Roman" w:hAnsi="Times New Roman"/>
          <w:szCs w:val="24"/>
          <w:lang w:val="bs-Latn-BA"/>
        </w:rPr>
        <w:t>као</w:t>
      </w:r>
      <w:r w:rsidR="008F357A" w:rsidRPr="00295637">
        <w:rPr>
          <w:rFonts w:ascii="Times New Roman" w:hAnsi="Times New Roman"/>
          <w:szCs w:val="24"/>
          <w:lang w:val="bs-Latn-BA"/>
        </w:rPr>
        <w:t xml:space="preserve"> </w:t>
      </w:r>
      <w:r>
        <w:rPr>
          <w:rFonts w:ascii="Times New Roman" w:hAnsi="Times New Roman"/>
          <w:szCs w:val="24"/>
          <w:lang w:val="bs-Latn-BA"/>
        </w:rPr>
        <w:t>и</w:t>
      </w:r>
      <w:r w:rsidR="008F357A" w:rsidRPr="00295637">
        <w:rPr>
          <w:rFonts w:ascii="Times New Roman" w:hAnsi="Times New Roman"/>
          <w:szCs w:val="24"/>
          <w:lang w:val="bs-Latn-BA"/>
        </w:rPr>
        <w:t xml:space="preserve"> </w:t>
      </w:r>
      <w:r>
        <w:rPr>
          <w:rFonts w:ascii="Times New Roman" w:hAnsi="Times New Roman"/>
          <w:szCs w:val="24"/>
          <w:lang w:val="bs-Latn-BA"/>
        </w:rPr>
        <w:t>публикације</w:t>
      </w:r>
      <w:r w:rsidR="008F357A" w:rsidRPr="00295637">
        <w:rPr>
          <w:rFonts w:ascii="Times New Roman" w:hAnsi="Times New Roman"/>
          <w:szCs w:val="24"/>
          <w:lang w:val="bs-Latn-BA"/>
        </w:rPr>
        <w:t xml:space="preserve"> „</w:t>
      </w:r>
      <w:r>
        <w:rPr>
          <w:rFonts w:ascii="Times New Roman" w:hAnsi="Times New Roman"/>
          <w:szCs w:val="24"/>
          <w:lang w:val="bs-Latn-BA"/>
        </w:rPr>
        <w:t>Жене</w:t>
      </w:r>
      <w:r w:rsidR="008F357A" w:rsidRPr="00295637">
        <w:rPr>
          <w:rFonts w:ascii="Times New Roman" w:hAnsi="Times New Roman"/>
          <w:szCs w:val="24"/>
          <w:lang w:val="bs-Latn-BA"/>
        </w:rPr>
        <w:t xml:space="preserve"> </w:t>
      </w:r>
      <w:r>
        <w:rPr>
          <w:rFonts w:ascii="Times New Roman" w:hAnsi="Times New Roman"/>
          <w:szCs w:val="24"/>
          <w:lang w:val="bs-Latn-BA"/>
        </w:rPr>
        <w:t>и</w:t>
      </w:r>
      <w:r w:rsidR="008F357A" w:rsidRPr="00295637">
        <w:rPr>
          <w:rFonts w:ascii="Times New Roman" w:hAnsi="Times New Roman"/>
          <w:szCs w:val="24"/>
          <w:lang w:val="bs-Latn-BA"/>
        </w:rPr>
        <w:t xml:space="preserve"> </w:t>
      </w:r>
      <w:r>
        <w:rPr>
          <w:rFonts w:ascii="Times New Roman" w:hAnsi="Times New Roman"/>
          <w:szCs w:val="24"/>
          <w:lang w:val="bs-Latn-BA"/>
        </w:rPr>
        <w:t>мушкарци</w:t>
      </w:r>
      <w:r w:rsidR="008F357A" w:rsidRPr="00295637">
        <w:rPr>
          <w:rFonts w:ascii="Times New Roman" w:hAnsi="Times New Roman"/>
          <w:szCs w:val="24"/>
          <w:lang w:val="bs-Latn-BA"/>
        </w:rPr>
        <w:t xml:space="preserve">“ </w:t>
      </w:r>
      <w:r>
        <w:rPr>
          <w:rFonts w:ascii="Times New Roman" w:hAnsi="Times New Roman"/>
          <w:szCs w:val="24"/>
          <w:lang w:val="bs-Latn-BA"/>
        </w:rPr>
        <w:t>које</w:t>
      </w:r>
      <w:r w:rsidR="008F357A" w:rsidRPr="00295637">
        <w:rPr>
          <w:rFonts w:ascii="Times New Roman" w:hAnsi="Times New Roman"/>
          <w:szCs w:val="24"/>
          <w:lang w:val="bs-Latn-BA"/>
        </w:rPr>
        <w:t xml:space="preserve"> </w:t>
      </w:r>
      <w:r>
        <w:rPr>
          <w:rFonts w:ascii="Times New Roman" w:hAnsi="Times New Roman"/>
          <w:szCs w:val="24"/>
          <w:lang w:val="bs-Latn-BA"/>
        </w:rPr>
        <w:t>издају</w:t>
      </w:r>
      <w:r w:rsidR="008F357A" w:rsidRPr="00295637">
        <w:rPr>
          <w:rFonts w:ascii="Times New Roman" w:hAnsi="Times New Roman"/>
          <w:szCs w:val="24"/>
          <w:lang w:val="bs-Latn-BA"/>
        </w:rPr>
        <w:t xml:space="preserve"> </w:t>
      </w:r>
      <w:r>
        <w:rPr>
          <w:rFonts w:ascii="Times New Roman" w:hAnsi="Times New Roman"/>
          <w:szCs w:val="24"/>
          <w:lang w:val="bs-Latn-BA"/>
        </w:rPr>
        <w:t>ентитетски</w:t>
      </w:r>
      <w:r w:rsidR="008F357A" w:rsidRPr="00295637">
        <w:rPr>
          <w:rFonts w:ascii="Times New Roman" w:hAnsi="Times New Roman"/>
          <w:szCs w:val="24"/>
          <w:lang w:val="bs-Latn-BA"/>
        </w:rPr>
        <w:t xml:space="preserve"> </w:t>
      </w:r>
      <w:r>
        <w:rPr>
          <w:rFonts w:ascii="Times New Roman" w:hAnsi="Times New Roman"/>
          <w:szCs w:val="24"/>
          <w:lang w:val="bs-Latn-BA"/>
        </w:rPr>
        <w:t>заводи</w:t>
      </w:r>
      <w:r w:rsidR="002F7534" w:rsidRPr="00295637">
        <w:rPr>
          <w:rFonts w:ascii="Times New Roman" w:hAnsi="Times New Roman"/>
          <w:szCs w:val="24"/>
          <w:lang w:val="bs-Latn-BA"/>
        </w:rPr>
        <w:t xml:space="preserve"> </w:t>
      </w:r>
      <w:r>
        <w:rPr>
          <w:rFonts w:ascii="Times New Roman" w:hAnsi="Times New Roman"/>
          <w:szCs w:val="24"/>
          <w:lang w:val="bs-Latn-BA"/>
        </w:rPr>
        <w:t>за</w:t>
      </w:r>
      <w:r w:rsidR="002F7534" w:rsidRPr="00295637">
        <w:rPr>
          <w:rFonts w:ascii="Times New Roman" w:hAnsi="Times New Roman"/>
          <w:szCs w:val="24"/>
          <w:lang w:val="bs-Latn-BA"/>
        </w:rPr>
        <w:t xml:space="preserve"> </w:t>
      </w:r>
      <w:r>
        <w:rPr>
          <w:rFonts w:ascii="Times New Roman" w:hAnsi="Times New Roman"/>
          <w:szCs w:val="24"/>
          <w:lang w:val="bs-Latn-BA"/>
        </w:rPr>
        <w:t>статистику</w:t>
      </w:r>
      <w:r w:rsidR="002F7534" w:rsidRPr="00295637">
        <w:rPr>
          <w:rFonts w:ascii="Times New Roman" w:hAnsi="Times New Roman"/>
          <w:szCs w:val="24"/>
          <w:lang w:val="bs-Latn-BA"/>
        </w:rPr>
        <w:t>,</w:t>
      </w:r>
      <w:r w:rsidR="008F357A" w:rsidRPr="00295637">
        <w:rPr>
          <w:rFonts w:ascii="Times New Roman" w:hAnsi="Times New Roman"/>
          <w:szCs w:val="24"/>
          <w:lang w:val="bs-Latn-BA"/>
        </w:rPr>
        <w:t xml:space="preserve"> </w:t>
      </w:r>
      <w:r>
        <w:rPr>
          <w:rFonts w:ascii="Times New Roman" w:hAnsi="Times New Roman"/>
          <w:szCs w:val="24"/>
          <w:lang w:val="bs-Latn-BA"/>
        </w:rPr>
        <w:t>презент</w:t>
      </w:r>
      <w:r w:rsidR="00CB20DF">
        <w:rPr>
          <w:rFonts w:ascii="Times New Roman" w:hAnsi="Times New Roman"/>
          <w:szCs w:val="24"/>
          <w:lang w:val="sr-Cyrl-BA"/>
        </w:rPr>
        <w:t>ује</w:t>
      </w:r>
      <w:r w:rsidR="008F357A" w:rsidRPr="00295637">
        <w:rPr>
          <w:rFonts w:ascii="Times New Roman" w:hAnsi="Times New Roman"/>
          <w:szCs w:val="24"/>
          <w:lang w:val="bs-Latn-BA"/>
        </w:rPr>
        <w:t xml:space="preserve"> </w:t>
      </w:r>
      <w:r>
        <w:rPr>
          <w:rFonts w:ascii="Times New Roman" w:hAnsi="Times New Roman"/>
          <w:szCs w:val="24"/>
          <w:lang w:val="bs-Latn-BA"/>
        </w:rPr>
        <w:t>родну</w:t>
      </w:r>
      <w:r w:rsidR="008F357A" w:rsidRPr="00295637">
        <w:rPr>
          <w:rFonts w:ascii="Times New Roman" w:hAnsi="Times New Roman"/>
          <w:szCs w:val="24"/>
          <w:lang w:val="bs-Latn-BA"/>
        </w:rPr>
        <w:t xml:space="preserve"> </w:t>
      </w:r>
      <w:r>
        <w:rPr>
          <w:rFonts w:ascii="Times New Roman" w:hAnsi="Times New Roman"/>
          <w:szCs w:val="24"/>
          <w:lang w:val="bs-Latn-BA"/>
        </w:rPr>
        <w:t>структуру</w:t>
      </w:r>
      <w:r w:rsidR="008F357A" w:rsidRPr="00295637">
        <w:rPr>
          <w:rFonts w:ascii="Times New Roman" w:hAnsi="Times New Roman"/>
          <w:szCs w:val="24"/>
          <w:lang w:val="bs-Latn-BA"/>
        </w:rPr>
        <w:t xml:space="preserve"> </w:t>
      </w:r>
      <w:r>
        <w:rPr>
          <w:rFonts w:ascii="Times New Roman" w:hAnsi="Times New Roman"/>
          <w:szCs w:val="24"/>
          <w:lang w:val="bs-Latn-BA"/>
        </w:rPr>
        <w:t>у</w:t>
      </w:r>
      <w:r w:rsidR="008F357A" w:rsidRPr="00295637">
        <w:rPr>
          <w:rFonts w:ascii="Times New Roman" w:hAnsi="Times New Roman"/>
          <w:szCs w:val="24"/>
          <w:lang w:val="bs-Latn-BA"/>
        </w:rPr>
        <w:t xml:space="preserve"> </w:t>
      </w:r>
      <w:r>
        <w:rPr>
          <w:rFonts w:ascii="Times New Roman" w:hAnsi="Times New Roman"/>
          <w:szCs w:val="24"/>
          <w:lang w:val="bs-Latn-BA"/>
        </w:rPr>
        <w:t>сектору</w:t>
      </w:r>
      <w:r w:rsidR="008F357A" w:rsidRPr="00295637">
        <w:rPr>
          <w:rFonts w:ascii="Times New Roman" w:hAnsi="Times New Roman"/>
          <w:szCs w:val="24"/>
          <w:lang w:val="bs-Latn-BA"/>
        </w:rPr>
        <w:t xml:space="preserve"> </w:t>
      </w:r>
      <w:r>
        <w:rPr>
          <w:rFonts w:ascii="Times New Roman" w:hAnsi="Times New Roman"/>
          <w:szCs w:val="24"/>
          <w:lang w:val="bs-Latn-BA"/>
        </w:rPr>
        <w:t>образовања</w:t>
      </w:r>
      <w:r w:rsidR="008F357A" w:rsidRPr="00295637">
        <w:rPr>
          <w:rFonts w:ascii="Times New Roman" w:hAnsi="Times New Roman"/>
          <w:szCs w:val="24"/>
          <w:lang w:val="bs-Latn-BA"/>
        </w:rPr>
        <w:t xml:space="preserve"> </w:t>
      </w:r>
      <w:r>
        <w:rPr>
          <w:rFonts w:ascii="Times New Roman" w:hAnsi="Times New Roman"/>
          <w:szCs w:val="24"/>
          <w:lang w:val="bs-Latn-BA"/>
        </w:rPr>
        <w:t>у</w:t>
      </w:r>
      <w:r w:rsidR="008F357A" w:rsidRPr="00295637">
        <w:rPr>
          <w:rFonts w:ascii="Times New Roman" w:hAnsi="Times New Roman"/>
          <w:szCs w:val="24"/>
          <w:lang w:val="bs-Latn-BA"/>
        </w:rPr>
        <w:t xml:space="preserve"> </w:t>
      </w:r>
      <w:r>
        <w:rPr>
          <w:rFonts w:ascii="Times New Roman" w:hAnsi="Times New Roman"/>
          <w:szCs w:val="24"/>
          <w:lang w:val="bs-Latn-BA"/>
        </w:rPr>
        <w:t>БиХ</w:t>
      </w:r>
      <w:r w:rsidR="008F357A" w:rsidRPr="00295637">
        <w:rPr>
          <w:rFonts w:ascii="Times New Roman" w:hAnsi="Times New Roman"/>
          <w:szCs w:val="24"/>
          <w:lang w:val="bs-Latn-BA"/>
        </w:rPr>
        <w:t xml:space="preserve">. </w:t>
      </w:r>
      <w:r w:rsidR="00CB20DF">
        <w:rPr>
          <w:rFonts w:ascii="Times New Roman" w:hAnsi="Times New Roman"/>
          <w:szCs w:val="24"/>
          <w:lang w:val="bs-Latn-BA"/>
        </w:rPr>
        <w:t>Такође</w:t>
      </w:r>
      <w:r w:rsidR="00C366C3" w:rsidRPr="00295637">
        <w:rPr>
          <w:rFonts w:ascii="Times New Roman" w:hAnsi="Times New Roman"/>
          <w:szCs w:val="24"/>
          <w:lang w:val="bs-Latn-BA"/>
        </w:rPr>
        <w:t xml:space="preserve"> </w:t>
      </w:r>
      <w:r>
        <w:rPr>
          <w:rFonts w:ascii="Times New Roman" w:hAnsi="Times New Roman"/>
          <w:szCs w:val="24"/>
          <w:lang w:val="bs-Latn-BA"/>
        </w:rPr>
        <w:t>се</w:t>
      </w:r>
      <w:r w:rsidR="00C366C3" w:rsidRPr="00295637">
        <w:rPr>
          <w:rFonts w:ascii="Times New Roman" w:hAnsi="Times New Roman"/>
          <w:szCs w:val="24"/>
          <w:lang w:val="bs-Latn-BA"/>
        </w:rPr>
        <w:t xml:space="preserve"> </w:t>
      </w:r>
      <w:r>
        <w:rPr>
          <w:rFonts w:ascii="Times New Roman" w:hAnsi="Times New Roman"/>
          <w:szCs w:val="24"/>
          <w:lang w:val="bs-Latn-BA"/>
        </w:rPr>
        <w:t>прате</w:t>
      </w:r>
      <w:r w:rsidR="00C366C3" w:rsidRPr="00295637">
        <w:rPr>
          <w:rFonts w:ascii="Times New Roman" w:hAnsi="Times New Roman"/>
          <w:szCs w:val="24"/>
          <w:lang w:val="bs-Latn-BA"/>
        </w:rPr>
        <w:t xml:space="preserve"> </w:t>
      </w:r>
      <w:r>
        <w:rPr>
          <w:rFonts w:ascii="Times New Roman" w:hAnsi="Times New Roman"/>
          <w:szCs w:val="24"/>
          <w:lang w:val="bs-Latn-BA"/>
        </w:rPr>
        <w:t>подаци</w:t>
      </w:r>
      <w:r w:rsidR="00C366C3" w:rsidRPr="00295637">
        <w:rPr>
          <w:rFonts w:ascii="Times New Roman" w:hAnsi="Times New Roman"/>
          <w:szCs w:val="24"/>
          <w:lang w:val="bs-Latn-BA"/>
        </w:rPr>
        <w:t xml:space="preserve"> </w:t>
      </w:r>
      <w:r>
        <w:rPr>
          <w:rFonts w:ascii="Times New Roman" w:hAnsi="Times New Roman"/>
          <w:szCs w:val="24"/>
          <w:lang w:val="bs-Latn-BA"/>
        </w:rPr>
        <w:t>младих</w:t>
      </w:r>
      <w:r w:rsidR="00C366C3" w:rsidRPr="00295637">
        <w:rPr>
          <w:rFonts w:ascii="Times New Roman" w:hAnsi="Times New Roman"/>
          <w:szCs w:val="24"/>
          <w:lang w:val="bs-Latn-BA"/>
        </w:rPr>
        <w:t xml:space="preserve"> </w:t>
      </w:r>
      <w:r>
        <w:rPr>
          <w:rFonts w:ascii="Times New Roman" w:hAnsi="Times New Roman"/>
          <w:szCs w:val="24"/>
          <w:lang w:val="bs-Latn-BA"/>
        </w:rPr>
        <w:t>који</w:t>
      </w:r>
      <w:r w:rsidR="00C366C3" w:rsidRPr="00295637">
        <w:rPr>
          <w:rFonts w:ascii="Times New Roman" w:hAnsi="Times New Roman"/>
          <w:szCs w:val="24"/>
          <w:lang w:val="bs-Latn-BA"/>
        </w:rPr>
        <w:t xml:space="preserve"> </w:t>
      </w:r>
      <w:r>
        <w:rPr>
          <w:rFonts w:ascii="Times New Roman" w:hAnsi="Times New Roman"/>
          <w:szCs w:val="24"/>
          <w:lang w:val="bs-Latn-BA"/>
        </w:rPr>
        <w:t>нису</w:t>
      </w:r>
      <w:r w:rsidR="00C366C3" w:rsidRPr="00295637">
        <w:rPr>
          <w:rFonts w:ascii="Times New Roman" w:hAnsi="Times New Roman"/>
          <w:szCs w:val="24"/>
          <w:lang w:val="bs-Latn-BA"/>
        </w:rPr>
        <w:t xml:space="preserve"> </w:t>
      </w:r>
      <w:r>
        <w:rPr>
          <w:rFonts w:ascii="Times New Roman" w:hAnsi="Times New Roman"/>
          <w:szCs w:val="24"/>
          <w:lang w:val="bs-Latn-BA"/>
        </w:rPr>
        <w:t>запослени</w:t>
      </w:r>
      <w:r w:rsidR="00C366C3" w:rsidRPr="00295637">
        <w:rPr>
          <w:rFonts w:ascii="Times New Roman" w:hAnsi="Times New Roman"/>
          <w:szCs w:val="24"/>
          <w:lang w:val="bs-Latn-BA"/>
        </w:rPr>
        <w:t xml:space="preserve">, </w:t>
      </w:r>
      <w:r>
        <w:rPr>
          <w:rFonts w:ascii="Times New Roman" w:hAnsi="Times New Roman"/>
          <w:szCs w:val="24"/>
          <w:lang w:val="bs-Latn-BA"/>
        </w:rPr>
        <w:t>нити</w:t>
      </w:r>
      <w:r w:rsidR="00C366C3" w:rsidRPr="00295637">
        <w:rPr>
          <w:rFonts w:ascii="Times New Roman" w:hAnsi="Times New Roman"/>
          <w:szCs w:val="24"/>
          <w:lang w:val="bs-Latn-BA"/>
        </w:rPr>
        <w:t xml:space="preserve"> </w:t>
      </w:r>
      <w:r>
        <w:rPr>
          <w:rFonts w:ascii="Times New Roman" w:hAnsi="Times New Roman"/>
          <w:szCs w:val="24"/>
          <w:lang w:val="bs-Latn-BA"/>
        </w:rPr>
        <w:t>укључени</w:t>
      </w:r>
      <w:r w:rsidR="00C366C3" w:rsidRPr="00295637">
        <w:rPr>
          <w:rFonts w:ascii="Times New Roman" w:hAnsi="Times New Roman"/>
          <w:szCs w:val="24"/>
          <w:lang w:val="bs-Latn-BA"/>
        </w:rPr>
        <w:t xml:space="preserve"> </w:t>
      </w:r>
      <w:r>
        <w:rPr>
          <w:rFonts w:ascii="Times New Roman" w:hAnsi="Times New Roman"/>
          <w:szCs w:val="24"/>
          <w:lang w:val="bs-Latn-BA"/>
        </w:rPr>
        <w:t>у</w:t>
      </w:r>
      <w:r w:rsidR="00C366C3" w:rsidRPr="00295637">
        <w:rPr>
          <w:rFonts w:ascii="Times New Roman" w:hAnsi="Times New Roman"/>
          <w:szCs w:val="24"/>
          <w:lang w:val="bs-Latn-BA"/>
        </w:rPr>
        <w:t xml:space="preserve"> </w:t>
      </w:r>
      <w:r>
        <w:rPr>
          <w:rFonts w:ascii="Times New Roman" w:hAnsi="Times New Roman"/>
          <w:szCs w:val="24"/>
          <w:lang w:val="bs-Latn-BA"/>
        </w:rPr>
        <w:t>образовање</w:t>
      </w:r>
      <w:r w:rsidR="00C366C3" w:rsidRPr="00295637">
        <w:rPr>
          <w:rFonts w:ascii="Times New Roman" w:hAnsi="Times New Roman"/>
          <w:szCs w:val="24"/>
          <w:lang w:val="bs-Latn-BA"/>
        </w:rPr>
        <w:t xml:space="preserve"> </w:t>
      </w:r>
      <w:r>
        <w:rPr>
          <w:rFonts w:ascii="Times New Roman" w:hAnsi="Times New Roman"/>
          <w:szCs w:val="24"/>
          <w:lang w:val="bs-Latn-BA"/>
        </w:rPr>
        <w:t>и</w:t>
      </w:r>
      <w:r w:rsidR="00C366C3" w:rsidRPr="00295637">
        <w:rPr>
          <w:rFonts w:ascii="Times New Roman" w:hAnsi="Times New Roman"/>
          <w:szCs w:val="24"/>
          <w:lang w:val="bs-Latn-BA"/>
        </w:rPr>
        <w:t xml:space="preserve"> </w:t>
      </w:r>
      <w:r>
        <w:rPr>
          <w:rFonts w:ascii="Times New Roman" w:hAnsi="Times New Roman"/>
          <w:szCs w:val="24"/>
          <w:lang w:val="bs-Latn-BA"/>
        </w:rPr>
        <w:t>обуку</w:t>
      </w:r>
      <w:r w:rsidR="00C366C3" w:rsidRPr="00295637">
        <w:rPr>
          <w:rFonts w:ascii="Times New Roman" w:hAnsi="Times New Roman"/>
          <w:szCs w:val="24"/>
          <w:lang w:val="bs-Latn-BA"/>
        </w:rPr>
        <w:t xml:space="preserve">, </w:t>
      </w:r>
      <w:r>
        <w:rPr>
          <w:rFonts w:ascii="Times New Roman" w:hAnsi="Times New Roman"/>
          <w:szCs w:val="24"/>
          <w:lang w:val="bs-Latn-BA"/>
        </w:rPr>
        <w:t>који</w:t>
      </w:r>
      <w:r w:rsidR="00C366C3" w:rsidRPr="00295637">
        <w:rPr>
          <w:rFonts w:ascii="Times New Roman" w:hAnsi="Times New Roman"/>
          <w:szCs w:val="24"/>
          <w:lang w:val="bs-Latn-BA"/>
        </w:rPr>
        <w:t xml:space="preserve"> </w:t>
      </w:r>
      <w:r>
        <w:rPr>
          <w:rFonts w:ascii="Times New Roman" w:hAnsi="Times New Roman"/>
          <w:szCs w:val="24"/>
          <w:lang w:val="bs-Latn-BA"/>
        </w:rPr>
        <w:t>рано</w:t>
      </w:r>
      <w:r w:rsidR="00C366C3" w:rsidRPr="00295637">
        <w:rPr>
          <w:rFonts w:ascii="Times New Roman" w:hAnsi="Times New Roman"/>
          <w:szCs w:val="24"/>
          <w:lang w:val="bs-Latn-BA"/>
        </w:rPr>
        <w:t xml:space="preserve"> </w:t>
      </w:r>
      <w:r>
        <w:rPr>
          <w:rFonts w:ascii="Times New Roman" w:hAnsi="Times New Roman"/>
          <w:szCs w:val="24"/>
          <w:lang w:val="bs-Latn-BA"/>
        </w:rPr>
        <w:t>напуштају</w:t>
      </w:r>
      <w:r w:rsidR="00C366C3" w:rsidRPr="00295637">
        <w:rPr>
          <w:rFonts w:ascii="Times New Roman" w:hAnsi="Times New Roman"/>
          <w:szCs w:val="24"/>
          <w:lang w:val="bs-Latn-BA"/>
        </w:rPr>
        <w:t xml:space="preserve"> </w:t>
      </w:r>
      <w:r>
        <w:rPr>
          <w:rFonts w:ascii="Times New Roman" w:hAnsi="Times New Roman"/>
          <w:szCs w:val="24"/>
          <w:lang w:val="bs-Latn-BA"/>
        </w:rPr>
        <w:t>школе</w:t>
      </w:r>
      <w:r w:rsidR="00C366C3" w:rsidRPr="00295637">
        <w:rPr>
          <w:rFonts w:ascii="Times New Roman" w:hAnsi="Times New Roman"/>
          <w:szCs w:val="24"/>
          <w:lang w:val="bs-Latn-BA"/>
        </w:rPr>
        <w:t xml:space="preserve"> </w:t>
      </w:r>
      <w:r>
        <w:rPr>
          <w:rFonts w:ascii="Times New Roman" w:hAnsi="Times New Roman"/>
          <w:szCs w:val="24"/>
          <w:lang w:val="bs-Latn-BA"/>
        </w:rPr>
        <w:t>као</w:t>
      </w:r>
      <w:r w:rsidR="00C366C3" w:rsidRPr="00295637">
        <w:rPr>
          <w:rFonts w:ascii="Times New Roman" w:hAnsi="Times New Roman"/>
          <w:szCs w:val="24"/>
          <w:lang w:val="bs-Latn-BA"/>
        </w:rPr>
        <w:t xml:space="preserve"> </w:t>
      </w:r>
      <w:r>
        <w:rPr>
          <w:rFonts w:ascii="Times New Roman" w:hAnsi="Times New Roman"/>
          <w:szCs w:val="24"/>
          <w:lang w:val="bs-Latn-BA"/>
        </w:rPr>
        <w:t>и</w:t>
      </w:r>
      <w:r w:rsidR="00C366C3" w:rsidRPr="00295637">
        <w:rPr>
          <w:rFonts w:ascii="Times New Roman" w:hAnsi="Times New Roman"/>
          <w:szCs w:val="24"/>
          <w:lang w:val="bs-Latn-BA"/>
        </w:rPr>
        <w:t xml:space="preserve"> </w:t>
      </w:r>
      <w:r>
        <w:rPr>
          <w:rFonts w:ascii="Times New Roman" w:hAnsi="Times New Roman"/>
          <w:szCs w:val="24"/>
          <w:lang w:val="bs-Latn-BA"/>
        </w:rPr>
        <w:t>подаци</w:t>
      </w:r>
      <w:r w:rsidR="00C366C3" w:rsidRPr="00295637">
        <w:rPr>
          <w:rFonts w:ascii="Times New Roman" w:hAnsi="Times New Roman"/>
          <w:szCs w:val="24"/>
          <w:lang w:val="bs-Latn-BA"/>
        </w:rPr>
        <w:t xml:space="preserve"> </w:t>
      </w:r>
      <w:r>
        <w:rPr>
          <w:rFonts w:ascii="Times New Roman" w:hAnsi="Times New Roman"/>
          <w:szCs w:val="24"/>
          <w:lang w:val="bs-Latn-BA"/>
        </w:rPr>
        <w:t>о</w:t>
      </w:r>
      <w:r w:rsidR="00C366C3" w:rsidRPr="00295637">
        <w:rPr>
          <w:rFonts w:ascii="Times New Roman" w:hAnsi="Times New Roman"/>
          <w:szCs w:val="24"/>
          <w:lang w:val="bs-Latn-BA"/>
        </w:rPr>
        <w:t xml:space="preserve"> </w:t>
      </w:r>
      <w:r>
        <w:rPr>
          <w:rFonts w:ascii="Times New Roman" w:hAnsi="Times New Roman"/>
          <w:szCs w:val="24"/>
          <w:lang w:val="bs-Latn-BA"/>
        </w:rPr>
        <w:t>постигнућима</w:t>
      </w:r>
      <w:r w:rsidR="00C366C3" w:rsidRPr="00295637">
        <w:rPr>
          <w:rFonts w:ascii="Times New Roman" w:hAnsi="Times New Roman"/>
          <w:szCs w:val="24"/>
          <w:lang w:val="bs-Latn-BA"/>
        </w:rPr>
        <w:t xml:space="preserve"> </w:t>
      </w:r>
      <w:r>
        <w:rPr>
          <w:rFonts w:ascii="Times New Roman" w:hAnsi="Times New Roman"/>
          <w:szCs w:val="24"/>
          <w:lang w:val="bs-Latn-BA"/>
        </w:rPr>
        <w:t>у</w:t>
      </w:r>
      <w:r w:rsidR="00C366C3" w:rsidRPr="00295637">
        <w:rPr>
          <w:rFonts w:ascii="Times New Roman" w:hAnsi="Times New Roman"/>
          <w:szCs w:val="24"/>
          <w:lang w:val="bs-Latn-BA"/>
        </w:rPr>
        <w:t xml:space="preserve"> </w:t>
      </w:r>
      <w:r>
        <w:rPr>
          <w:rFonts w:ascii="Times New Roman" w:hAnsi="Times New Roman"/>
          <w:szCs w:val="24"/>
          <w:lang w:val="bs-Latn-BA"/>
        </w:rPr>
        <w:t>високом</w:t>
      </w:r>
      <w:r w:rsidR="00C366C3" w:rsidRPr="00295637">
        <w:rPr>
          <w:rFonts w:ascii="Times New Roman" w:hAnsi="Times New Roman"/>
          <w:szCs w:val="24"/>
          <w:lang w:val="bs-Latn-BA"/>
        </w:rPr>
        <w:t xml:space="preserve"> </w:t>
      </w:r>
      <w:r>
        <w:rPr>
          <w:rFonts w:ascii="Times New Roman" w:hAnsi="Times New Roman"/>
          <w:szCs w:val="24"/>
          <w:lang w:val="bs-Latn-BA"/>
        </w:rPr>
        <w:t>образовању</w:t>
      </w:r>
      <w:r w:rsidR="00C366C3" w:rsidRPr="00295637">
        <w:rPr>
          <w:rFonts w:ascii="Times New Roman" w:hAnsi="Times New Roman"/>
          <w:szCs w:val="24"/>
          <w:lang w:val="bs-Latn-BA"/>
        </w:rPr>
        <w:t>.</w:t>
      </w:r>
      <w:r w:rsidR="006E4577" w:rsidRPr="00295637">
        <w:rPr>
          <w:rFonts w:ascii="Times New Roman" w:hAnsi="Times New Roman"/>
          <w:szCs w:val="24"/>
          <w:lang w:val="bs-Latn-BA"/>
        </w:rPr>
        <w:t xml:space="preserve"> </w:t>
      </w:r>
      <w:r>
        <w:rPr>
          <w:rFonts w:ascii="Times New Roman" w:hAnsi="Times New Roman"/>
          <w:szCs w:val="24"/>
          <w:lang w:val="bs-Latn-BA"/>
        </w:rPr>
        <w:t>Родни</w:t>
      </w:r>
      <w:r w:rsidR="006E4577" w:rsidRPr="00295637">
        <w:rPr>
          <w:rFonts w:ascii="Times New Roman" w:hAnsi="Times New Roman"/>
          <w:szCs w:val="24"/>
          <w:lang w:val="bs-Latn-BA"/>
        </w:rPr>
        <w:t xml:space="preserve"> </w:t>
      </w:r>
      <w:r>
        <w:rPr>
          <w:rFonts w:ascii="Times New Roman" w:hAnsi="Times New Roman"/>
          <w:szCs w:val="24"/>
          <w:lang w:val="bs-Latn-BA"/>
        </w:rPr>
        <w:t>јаз</w:t>
      </w:r>
      <w:r w:rsidR="006E4577" w:rsidRPr="00295637">
        <w:rPr>
          <w:rFonts w:ascii="Times New Roman" w:hAnsi="Times New Roman"/>
          <w:szCs w:val="24"/>
          <w:lang w:val="bs-Latn-BA"/>
        </w:rPr>
        <w:t xml:space="preserve"> </w:t>
      </w:r>
      <w:r>
        <w:rPr>
          <w:rFonts w:ascii="Times New Roman" w:hAnsi="Times New Roman"/>
          <w:szCs w:val="24"/>
          <w:lang w:val="bs-Latn-BA"/>
        </w:rPr>
        <w:t>у</w:t>
      </w:r>
      <w:r w:rsidR="006E4577" w:rsidRPr="00295637">
        <w:rPr>
          <w:rFonts w:ascii="Times New Roman" w:hAnsi="Times New Roman"/>
          <w:szCs w:val="24"/>
          <w:lang w:val="bs-Latn-BA"/>
        </w:rPr>
        <w:t xml:space="preserve"> </w:t>
      </w:r>
      <w:r>
        <w:rPr>
          <w:rFonts w:ascii="Times New Roman" w:hAnsi="Times New Roman"/>
          <w:szCs w:val="24"/>
          <w:lang w:val="bs-Latn-BA"/>
        </w:rPr>
        <w:t>постигнућу</w:t>
      </w:r>
      <w:r w:rsidR="006E4577" w:rsidRPr="00295637">
        <w:rPr>
          <w:rFonts w:ascii="Times New Roman" w:hAnsi="Times New Roman"/>
          <w:szCs w:val="24"/>
          <w:lang w:val="bs-Latn-BA"/>
        </w:rPr>
        <w:t xml:space="preserve"> </w:t>
      </w:r>
      <w:r>
        <w:rPr>
          <w:rFonts w:ascii="Times New Roman" w:hAnsi="Times New Roman"/>
          <w:szCs w:val="24"/>
          <w:lang w:val="bs-Latn-BA"/>
        </w:rPr>
        <w:t>у</w:t>
      </w:r>
      <w:r w:rsidR="006E4577" w:rsidRPr="00295637">
        <w:rPr>
          <w:rFonts w:ascii="Times New Roman" w:hAnsi="Times New Roman"/>
          <w:szCs w:val="24"/>
          <w:lang w:val="bs-Latn-BA"/>
        </w:rPr>
        <w:t xml:space="preserve"> </w:t>
      </w:r>
      <w:r>
        <w:rPr>
          <w:rFonts w:ascii="Times New Roman" w:hAnsi="Times New Roman"/>
          <w:szCs w:val="24"/>
          <w:lang w:val="bs-Latn-BA"/>
        </w:rPr>
        <w:t>високом</w:t>
      </w:r>
      <w:r w:rsidR="006E4577" w:rsidRPr="00295637">
        <w:rPr>
          <w:rFonts w:ascii="Times New Roman" w:hAnsi="Times New Roman"/>
          <w:szCs w:val="24"/>
          <w:lang w:val="bs-Latn-BA"/>
        </w:rPr>
        <w:t xml:space="preserve"> </w:t>
      </w:r>
      <w:r>
        <w:rPr>
          <w:rFonts w:ascii="Times New Roman" w:hAnsi="Times New Roman"/>
          <w:szCs w:val="24"/>
          <w:lang w:val="bs-Latn-BA"/>
        </w:rPr>
        <w:t>образовању</w:t>
      </w:r>
      <w:r w:rsidR="006E4577" w:rsidRPr="00295637">
        <w:rPr>
          <w:rFonts w:ascii="Times New Roman" w:hAnsi="Times New Roman"/>
          <w:szCs w:val="24"/>
          <w:lang w:val="bs-Latn-BA"/>
        </w:rPr>
        <w:t xml:space="preserve"> </w:t>
      </w:r>
      <w:r>
        <w:rPr>
          <w:rFonts w:ascii="Times New Roman" w:hAnsi="Times New Roman"/>
          <w:szCs w:val="24"/>
          <w:lang w:val="bs-Latn-BA"/>
        </w:rPr>
        <w:t>представља</w:t>
      </w:r>
      <w:r w:rsidR="006E4577" w:rsidRPr="00295637">
        <w:rPr>
          <w:rFonts w:ascii="Times New Roman" w:hAnsi="Times New Roman"/>
          <w:szCs w:val="24"/>
          <w:lang w:val="bs-Latn-BA"/>
        </w:rPr>
        <w:t xml:space="preserve"> </w:t>
      </w:r>
      <w:r>
        <w:rPr>
          <w:rFonts w:ascii="Times New Roman" w:hAnsi="Times New Roman"/>
          <w:szCs w:val="24"/>
          <w:lang w:val="bs-Latn-BA"/>
        </w:rPr>
        <w:t>разлику</w:t>
      </w:r>
      <w:r w:rsidR="006E4577" w:rsidRPr="00295637">
        <w:rPr>
          <w:rFonts w:ascii="Times New Roman" w:hAnsi="Times New Roman"/>
          <w:szCs w:val="24"/>
          <w:lang w:val="bs-Latn-BA"/>
        </w:rPr>
        <w:t xml:space="preserve"> </w:t>
      </w:r>
      <w:r>
        <w:rPr>
          <w:rFonts w:ascii="Times New Roman" w:hAnsi="Times New Roman"/>
          <w:szCs w:val="24"/>
          <w:lang w:val="bs-Latn-BA"/>
        </w:rPr>
        <w:t>између</w:t>
      </w:r>
      <w:r w:rsidR="006E4577" w:rsidRPr="00295637">
        <w:rPr>
          <w:rFonts w:ascii="Times New Roman" w:hAnsi="Times New Roman"/>
          <w:szCs w:val="24"/>
          <w:lang w:val="bs-Latn-BA"/>
        </w:rPr>
        <w:t xml:space="preserve"> </w:t>
      </w:r>
      <w:r>
        <w:rPr>
          <w:rFonts w:ascii="Times New Roman" w:hAnsi="Times New Roman"/>
          <w:szCs w:val="24"/>
          <w:lang w:val="bs-Latn-BA"/>
        </w:rPr>
        <w:t>постигнућа</w:t>
      </w:r>
      <w:r w:rsidR="006E4577" w:rsidRPr="00295637">
        <w:rPr>
          <w:rFonts w:ascii="Times New Roman" w:hAnsi="Times New Roman"/>
          <w:szCs w:val="24"/>
          <w:lang w:val="bs-Latn-BA"/>
        </w:rPr>
        <w:t xml:space="preserve"> </w:t>
      </w:r>
      <w:r>
        <w:rPr>
          <w:rFonts w:ascii="Times New Roman" w:hAnsi="Times New Roman"/>
          <w:szCs w:val="24"/>
          <w:lang w:val="bs-Latn-BA"/>
        </w:rPr>
        <w:t>мушкараца</w:t>
      </w:r>
      <w:r w:rsidR="006E4577" w:rsidRPr="00295637">
        <w:rPr>
          <w:rFonts w:ascii="Times New Roman" w:hAnsi="Times New Roman"/>
          <w:szCs w:val="24"/>
          <w:lang w:val="bs-Latn-BA"/>
        </w:rPr>
        <w:t xml:space="preserve"> </w:t>
      </w:r>
      <w:r>
        <w:rPr>
          <w:rFonts w:ascii="Times New Roman" w:hAnsi="Times New Roman"/>
          <w:szCs w:val="24"/>
          <w:lang w:val="bs-Latn-BA"/>
        </w:rPr>
        <w:t>и</w:t>
      </w:r>
      <w:r w:rsidR="006E4577" w:rsidRPr="00295637">
        <w:rPr>
          <w:rFonts w:ascii="Times New Roman" w:hAnsi="Times New Roman"/>
          <w:szCs w:val="24"/>
          <w:lang w:val="bs-Latn-BA"/>
        </w:rPr>
        <w:t xml:space="preserve"> </w:t>
      </w:r>
      <w:r>
        <w:rPr>
          <w:rFonts w:ascii="Times New Roman" w:hAnsi="Times New Roman"/>
          <w:szCs w:val="24"/>
          <w:lang w:val="bs-Latn-BA"/>
        </w:rPr>
        <w:t>жена</w:t>
      </w:r>
      <w:r w:rsidR="006E4577" w:rsidRPr="00295637">
        <w:rPr>
          <w:rFonts w:ascii="Times New Roman" w:hAnsi="Times New Roman"/>
          <w:szCs w:val="24"/>
          <w:lang w:val="bs-Latn-BA"/>
        </w:rPr>
        <w:t xml:space="preserve">, </w:t>
      </w:r>
      <w:r>
        <w:rPr>
          <w:rFonts w:ascii="Times New Roman" w:hAnsi="Times New Roman"/>
          <w:szCs w:val="24"/>
          <w:lang w:val="bs-Latn-BA"/>
        </w:rPr>
        <w:t>а</w:t>
      </w:r>
      <w:r w:rsidR="006E4577" w:rsidRPr="00295637">
        <w:rPr>
          <w:rFonts w:ascii="Times New Roman" w:hAnsi="Times New Roman"/>
          <w:szCs w:val="24"/>
          <w:lang w:val="bs-Latn-BA"/>
        </w:rPr>
        <w:t xml:space="preserve"> </w:t>
      </w:r>
      <w:r>
        <w:rPr>
          <w:rFonts w:ascii="Times New Roman" w:hAnsi="Times New Roman"/>
          <w:szCs w:val="24"/>
          <w:lang w:val="bs-Latn-BA"/>
        </w:rPr>
        <w:t>у</w:t>
      </w:r>
      <w:r w:rsidR="006E4577" w:rsidRPr="00295637">
        <w:rPr>
          <w:rFonts w:ascii="Times New Roman" w:hAnsi="Times New Roman"/>
          <w:szCs w:val="24"/>
          <w:lang w:val="bs-Latn-BA"/>
        </w:rPr>
        <w:t xml:space="preserve"> </w:t>
      </w:r>
      <w:r>
        <w:rPr>
          <w:rFonts w:ascii="Times New Roman" w:hAnsi="Times New Roman"/>
          <w:szCs w:val="24"/>
          <w:lang w:val="bs-Latn-BA"/>
        </w:rPr>
        <w:t>БиХ</w:t>
      </w:r>
      <w:r w:rsidR="006E4577" w:rsidRPr="00295637">
        <w:rPr>
          <w:rFonts w:ascii="Times New Roman" w:hAnsi="Times New Roman"/>
          <w:szCs w:val="24"/>
          <w:lang w:val="bs-Latn-BA"/>
        </w:rPr>
        <w:t xml:space="preserve"> </w:t>
      </w:r>
      <w:r>
        <w:rPr>
          <w:rFonts w:ascii="Times New Roman" w:hAnsi="Times New Roman"/>
          <w:szCs w:val="24"/>
          <w:lang w:val="bs-Latn-BA"/>
        </w:rPr>
        <w:t>је</w:t>
      </w:r>
      <w:r w:rsidR="006E4577" w:rsidRPr="00295637">
        <w:rPr>
          <w:rFonts w:ascii="Times New Roman" w:hAnsi="Times New Roman"/>
          <w:szCs w:val="24"/>
          <w:lang w:val="bs-Latn-BA"/>
        </w:rPr>
        <w:t xml:space="preserve"> 2022. </w:t>
      </w:r>
      <w:r>
        <w:rPr>
          <w:rFonts w:ascii="Times New Roman" w:hAnsi="Times New Roman"/>
          <w:szCs w:val="24"/>
          <w:lang w:val="bs-Latn-BA"/>
        </w:rPr>
        <w:t>године</w:t>
      </w:r>
      <w:r w:rsidR="006E4577" w:rsidRPr="00295637">
        <w:rPr>
          <w:rFonts w:ascii="Times New Roman" w:hAnsi="Times New Roman"/>
          <w:szCs w:val="24"/>
          <w:lang w:val="bs-Latn-BA"/>
        </w:rPr>
        <w:t xml:space="preserve"> </w:t>
      </w:r>
      <w:r>
        <w:rPr>
          <w:rFonts w:ascii="Times New Roman" w:hAnsi="Times New Roman"/>
          <w:szCs w:val="24"/>
          <w:lang w:val="bs-Latn-BA"/>
        </w:rPr>
        <w:t>за</w:t>
      </w:r>
      <w:r w:rsidR="006E4577" w:rsidRPr="00295637">
        <w:rPr>
          <w:rFonts w:ascii="Times New Roman" w:hAnsi="Times New Roman"/>
          <w:szCs w:val="24"/>
          <w:lang w:val="bs-Latn-BA"/>
        </w:rPr>
        <w:t xml:space="preserve"> 10,7% </w:t>
      </w:r>
      <w:r>
        <w:rPr>
          <w:rFonts w:ascii="Times New Roman" w:hAnsi="Times New Roman"/>
          <w:szCs w:val="24"/>
          <w:lang w:val="bs-Latn-BA"/>
        </w:rPr>
        <w:t>више</w:t>
      </w:r>
      <w:r w:rsidR="006E4577" w:rsidRPr="00295637">
        <w:rPr>
          <w:rFonts w:ascii="Times New Roman" w:hAnsi="Times New Roman"/>
          <w:szCs w:val="24"/>
          <w:lang w:val="bs-Latn-BA"/>
        </w:rPr>
        <w:t xml:space="preserve"> </w:t>
      </w:r>
      <w:r>
        <w:rPr>
          <w:rFonts w:ascii="Times New Roman" w:hAnsi="Times New Roman"/>
          <w:szCs w:val="24"/>
          <w:lang w:val="bs-Latn-BA"/>
        </w:rPr>
        <w:t>жена</w:t>
      </w:r>
      <w:r w:rsidR="006E4577" w:rsidRPr="00295637">
        <w:rPr>
          <w:rFonts w:ascii="Times New Roman" w:hAnsi="Times New Roman"/>
          <w:szCs w:val="24"/>
          <w:lang w:val="bs-Latn-BA"/>
        </w:rPr>
        <w:t xml:space="preserve">, </w:t>
      </w:r>
      <w:r>
        <w:rPr>
          <w:rFonts w:ascii="Times New Roman" w:hAnsi="Times New Roman"/>
          <w:szCs w:val="24"/>
          <w:lang w:val="bs-Latn-BA"/>
        </w:rPr>
        <w:t>у</w:t>
      </w:r>
      <w:r w:rsidR="006E4577" w:rsidRPr="00295637">
        <w:rPr>
          <w:rFonts w:ascii="Times New Roman" w:hAnsi="Times New Roman"/>
          <w:szCs w:val="24"/>
          <w:lang w:val="bs-Latn-BA"/>
        </w:rPr>
        <w:t xml:space="preserve"> </w:t>
      </w:r>
      <w:r>
        <w:rPr>
          <w:rFonts w:ascii="Times New Roman" w:hAnsi="Times New Roman"/>
          <w:szCs w:val="24"/>
          <w:lang w:val="bs-Latn-BA"/>
        </w:rPr>
        <w:t>доби</w:t>
      </w:r>
      <w:r w:rsidR="006E4577" w:rsidRPr="00295637">
        <w:rPr>
          <w:rFonts w:ascii="Times New Roman" w:hAnsi="Times New Roman"/>
          <w:szCs w:val="24"/>
          <w:lang w:val="bs-Latn-BA"/>
        </w:rPr>
        <w:t xml:space="preserve"> 30-34 </w:t>
      </w:r>
      <w:r>
        <w:rPr>
          <w:rFonts w:ascii="Times New Roman" w:hAnsi="Times New Roman"/>
          <w:szCs w:val="24"/>
          <w:lang w:val="bs-Latn-BA"/>
        </w:rPr>
        <w:t>године</w:t>
      </w:r>
      <w:r w:rsidR="006E4577" w:rsidRPr="00295637">
        <w:rPr>
          <w:rFonts w:ascii="Times New Roman" w:hAnsi="Times New Roman"/>
          <w:szCs w:val="24"/>
          <w:lang w:val="bs-Latn-BA"/>
        </w:rPr>
        <w:t xml:space="preserve">, </w:t>
      </w:r>
      <w:r>
        <w:rPr>
          <w:rFonts w:ascii="Times New Roman" w:hAnsi="Times New Roman"/>
          <w:szCs w:val="24"/>
          <w:lang w:val="bs-Latn-BA"/>
        </w:rPr>
        <w:t>завршило</w:t>
      </w:r>
      <w:r w:rsidR="006E4577" w:rsidRPr="00295637">
        <w:rPr>
          <w:rFonts w:ascii="Times New Roman" w:hAnsi="Times New Roman"/>
          <w:szCs w:val="24"/>
          <w:lang w:val="bs-Latn-BA"/>
        </w:rPr>
        <w:t xml:space="preserve"> </w:t>
      </w:r>
      <w:r>
        <w:rPr>
          <w:rFonts w:ascii="Times New Roman" w:hAnsi="Times New Roman"/>
          <w:szCs w:val="24"/>
          <w:lang w:val="bs-Latn-BA"/>
        </w:rPr>
        <w:t>високо</w:t>
      </w:r>
      <w:r w:rsidR="006E4577" w:rsidRPr="00295637">
        <w:rPr>
          <w:rFonts w:ascii="Times New Roman" w:hAnsi="Times New Roman"/>
          <w:szCs w:val="24"/>
          <w:lang w:val="bs-Latn-BA"/>
        </w:rPr>
        <w:t xml:space="preserve"> </w:t>
      </w:r>
      <w:r>
        <w:rPr>
          <w:rFonts w:ascii="Times New Roman" w:hAnsi="Times New Roman"/>
          <w:szCs w:val="24"/>
          <w:lang w:val="bs-Latn-BA"/>
        </w:rPr>
        <w:t>образовање</w:t>
      </w:r>
      <w:r w:rsidR="006E4577" w:rsidRPr="00295637">
        <w:rPr>
          <w:rFonts w:ascii="Times New Roman" w:hAnsi="Times New Roman"/>
          <w:szCs w:val="24"/>
          <w:lang w:val="bs-Latn-BA"/>
        </w:rPr>
        <w:t xml:space="preserve"> </w:t>
      </w:r>
      <w:r>
        <w:rPr>
          <w:rFonts w:ascii="Times New Roman" w:hAnsi="Times New Roman"/>
          <w:szCs w:val="24"/>
          <w:lang w:val="bs-Latn-BA"/>
        </w:rPr>
        <w:t>у</w:t>
      </w:r>
      <w:r w:rsidR="006E4577" w:rsidRPr="00295637">
        <w:rPr>
          <w:rFonts w:ascii="Times New Roman" w:hAnsi="Times New Roman"/>
          <w:szCs w:val="24"/>
          <w:lang w:val="bs-Latn-BA"/>
        </w:rPr>
        <w:t xml:space="preserve"> </w:t>
      </w:r>
      <w:r>
        <w:rPr>
          <w:rFonts w:ascii="Times New Roman" w:hAnsi="Times New Roman"/>
          <w:szCs w:val="24"/>
          <w:lang w:val="bs-Latn-BA"/>
        </w:rPr>
        <w:t>односу</w:t>
      </w:r>
      <w:r w:rsidR="006E4577" w:rsidRPr="00295637">
        <w:rPr>
          <w:rFonts w:ascii="Times New Roman" w:hAnsi="Times New Roman"/>
          <w:szCs w:val="24"/>
          <w:lang w:val="bs-Latn-BA"/>
        </w:rPr>
        <w:t xml:space="preserve"> </w:t>
      </w:r>
      <w:r>
        <w:rPr>
          <w:rFonts w:ascii="Times New Roman" w:hAnsi="Times New Roman"/>
          <w:szCs w:val="24"/>
          <w:lang w:val="bs-Latn-BA"/>
        </w:rPr>
        <w:t>на</w:t>
      </w:r>
      <w:r w:rsidR="006E4577" w:rsidRPr="00295637">
        <w:rPr>
          <w:rFonts w:ascii="Times New Roman" w:hAnsi="Times New Roman"/>
          <w:szCs w:val="24"/>
          <w:lang w:val="bs-Latn-BA"/>
        </w:rPr>
        <w:t xml:space="preserve"> </w:t>
      </w:r>
      <w:r>
        <w:rPr>
          <w:rFonts w:ascii="Times New Roman" w:hAnsi="Times New Roman"/>
          <w:szCs w:val="24"/>
          <w:lang w:val="bs-Latn-BA"/>
        </w:rPr>
        <w:t>мушкарце</w:t>
      </w:r>
      <w:r w:rsidR="006E4577" w:rsidRPr="00295637">
        <w:rPr>
          <w:rFonts w:ascii="Times New Roman" w:hAnsi="Times New Roman"/>
          <w:szCs w:val="24"/>
          <w:lang w:val="bs-Latn-BA"/>
        </w:rPr>
        <w:t>.</w:t>
      </w:r>
    </w:p>
    <w:p w:rsidR="008D56A8" w:rsidRPr="00295637" w:rsidRDefault="008D56A8" w:rsidP="0086268D">
      <w:pPr>
        <w:tabs>
          <w:tab w:val="left" w:pos="284"/>
          <w:tab w:val="left" w:pos="630"/>
          <w:tab w:val="left" w:pos="1080"/>
        </w:tabs>
        <w:ind w:left="270"/>
        <w:jc w:val="both"/>
        <w:rPr>
          <w:rFonts w:ascii="Times New Roman" w:hAnsi="Times New Roman"/>
          <w:szCs w:val="24"/>
          <w:lang w:val="bs-Latn-BA"/>
        </w:rPr>
      </w:pPr>
    </w:p>
    <w:p w:rsidR="00A443AC" w:rsidRPr="00295637" w:rsidRDefault="00C6214E" w:rsidP="0086268D">
      <w:pPr>
        <w:pStyle w:val="ListParagraph"/>
        <w:ind w:left="0"/>
        <w:jc w:val="both"/>
        <w:rPr>
          <w:rFonts w:ascii="Times New Roman" w:hAnsi="Times New Roman"/>
          <w:lang w:val="sr-Cyrl-BA"/>
        </w:rPr>
      </w:pPr>
      <w:r>
        <w:rPr>
          <w:rFonts w:ascii="Times New Roman" w:hAnsi="Times New Roman"/>
          <w:lang w:val="sr-Latn-BA"/>
        </w:rPr>
        <w:t>Према</w:t>
      </w:r>
      <w:r w:rsidR="00A443AC" w:rsidRPr="00295637">
        <w:rPr>
          <w:rFonts w:ascii="Times New Roman" w:hAnsi="Times New Roman"/>
          <w:lang w:val="sr-Latn-BA"/>
        </w:rPr>
        <w:t xml:space="preserve"> </w:t>
      </w:r>
      <w:r>
        <w:rPr>
          <w:rFonts w:ascii="Times New Roman" w:hAnsi="Times New Roman"/>
          <w:lang w:val="sr-Latn-BA"/>
        </w:rPr>
        <w:t>подацима</w:t>
      </w:r>
      <w:r w:rsidR="00A443AC" w:rsidRPr="00295637">
        <w:rPr>
          <w:rFonts w:ascii="Times New Roman" w:hAnsi="Times New Roman"/>
          <w:lang w:val="sr-Latn-BA"/>
        </w:rPr>
        <w:t xml:space="preserve"> </w:t>
      </w:r>
      <w:r>
        <w:rPr>
          <w:rFonts w:ascii="Times New Roman" w:hAnsi="Times New Roman"/>
          <w:lang w:val="sr-Latn-BA"/>
        </w:rPr>
        <w:t>Министарства</w:t>
      </w:r>
      <w:r w:rsidR="00EC1DE3">
        <w:rPr>
          <w:rFonts w:ascii="Times New Roman" w:hAnsi="Times New Roman"/>
          <w:lang w:val="sr-Latn-BA"/>
        </w:rPr>
        <w:t xml:space="preserve"> </w:t>
      </w:r>
      <w:r>
        <w:rPr>
          <w:rFonts w:ascii="Times New Roman" w:hAnsi="Times New Roman"/>
          <w:lang w:val="sr-Latn-BA"/>
        </w:rPr>
        <w:t>за</w:t>
      </w:r>
      <w:r w:rsidR="00EC1DE3">
        <w:rPr>
          <w:rFonts w:ascii="Times New Roman" w:hAnsi="Times New Roman"/>
          <w:lang w:val="sr-Latn-BA"/>
        </w:rPr>
        <w:t xml:space="preserve"> </w:t>
      </w:r>
      <w:r>
        <w:rPr>
          <w:rFonts w:ascii="Times New Roman" w:hAnsi="Times New Roman"/>
          <w:lang w:val="sr-Latn-BA"/>
        </w:rPr>
        <w:t>научно</w:t>
      </w:r>
      <w:r w:rsidR="00EC1DE3">
        <w:rPr>
          <w:rFonts w:ascii="Times New Roman" w:hAnsi="Times New Roman"/>
          <w:lang w:val="sr-Latn-BA"/>
        </w:rPr>
        <w:t>-</w:t>
      </w:r>
      <w:r>
        <w:rPr>
          <w:rFonts w:ascii="Times New Roman" w:hAnsi="Times New Roman"/>
          <w:lang w:val="sr-Latn-BA"/>
        </w:rPr>
        <w:t>технолошки</w:t>
      </w:r>
      <w:r w:rsidR="00EC1DE3">
        <w:rPr>
          <w:rFonts w:ascii="Times New Roman" w:hAnsi="Times New Roman"/>
          <w:lang w:val="sr-Latn-BA"/>
        </w:rPr>
        <w:t xml:space="preserve"> </w:t>
      </w:r>
      <w:r>
        <w:rPr>
          <w:rFonts w:ascii="Times New Roman" w:hAnsi="Times New Roman"/>
          <w:lang w:val="sr-Latn-BA"/>
        </w:rPr>
        <w:t>развој</w:t>
      </w:r>
      <w:r w:rsidR="00EC1DE3">
        <w:rPr>
          <w:rFonts w:ascii="Times New Roman" w:hAnsi="Times New Roman"/>
          <w:lang w:val="sr-Latn-BA"/>
        </w:rPr>
        <w:t xml:space="preserve">, </w:t>
      </w:r>
      <w:r>
        <w:rPr>
          <w:rFonts w:ascii="Times New Roman" w:hAnsi="Times New Roman"/>
          <w:lang w:val="sr-Latn-BA"/>
        </w:rPr>
        <w:t>високо</w:t>
      </w:r>
      <w:r w:rsidR="00EC1DE3">
        <w:rPr>
          <w:rFonts w:ascii="Times New Roman" w:hAnsi="Times New Roman"/>
          <w:lang w:val="sr-Latn-BA"/>
        </w:rPr>
        <w:t xml:space="preserve"> </w:t>
      </w:r>
      <w:r>
        <w:rPr>
          <w:rFonts w:ascii="Times New Roman" w:hAnsi="Times New Roman"/>
          <w:lang w:val="sr-Latn-BA"/>
        </w:rPr>
        <w:t>образовање</w:t>
      </w:r>
      <w:r w:rsidR="00EC1DE3">
        <w:rPr>
          <w:rFonts w:ascii="Times New Roman" w:hAnsi="Times New Roman"/>
          <w:lang w:val="sr-Latn-BA"/>
        </w:rPr>
        <w:t xml:space="preserve"> </w:t>
      </w:r>
      <w:r>
        <w:rPr>
          <w:rFonts w:ascii="Times New Roman" w:hAnsi="Times New Roman"/>
          <w:lang w:val="sr-Latn-BA"/>
        </w:rPr>
        <w:t>и</w:t>
      </w:r>
      <w:r w:rsidR="00EC1DE3">
        <w:rPr>
          <w:rFonts w:ascii="Times New Roman" w:hAnsi="Times New Roman"/>
          <w:lang w:val="sr-Latn-BA"/>
        </w:rPr>
        <w:t xml:space="preserve"> </w:t>
      </w:r>
      <w:r>
        <w:rPr>
          <w:rFonts w:ascii="Times New Roman" w:hAnsi="Times New Roman"/>
          <w:lang w:val="sr-Latn-BA"/>
        </w:rPr>
        <w:t>информаци</w:t>
      </w:r>
      <w:r w:rsidR="00CB20DF">
        <w:rPr>
          <w:rFonts w:ascii="Times New Roman" w:hAnsi="Times New Roman"/>
          <w:lang w:val="sr-Cyrl-BA"/>
        </w:rPr>
        <w:t>оно</w:t>
      </w:r>
      <w:r w:rsidR="00050016">
        <w:rPr>
          <w:rFonts w:ascii="Times New Roman" w:hAnsi="Times New Roman"/>
          <w:lang w:val="sr-Latn-BA"/>
        </w:rPr>
        <w:t xml:space="preserve"> </w:t>
      </w:r>
      <w:r>
        <w:rPr>
          <w:rFonts w:ascii="Times New Roman" w:hAnsi="Times New Roman"/>
          <w:lang w:val="sr-Latn-BA"/>
        </w:rPr>
        <w:t>друштво</w:t>
      </w:r>
      <w:r w:rsidR="006F409A" w:rsidRPr="00295637">
        <w:rPr>
          <w:rFonts w:ascii="Times New Roman" w:hAnsi="Times New Roman"/>
          <w:lang w:val="sr-Latn-BA"/>
        </w:rPr>
        <w:t xml:space="preserve"> </w:t>
      </w:r>
      <w:r>
        <w:rPr>
          <w:rFonts w:ascii="Times New Roman" w:hAnsi="Times New Roman"/>
          <w:lang w:val="sr-Latn-BA"/>
        </w:rPr>
        <w:t>РС</w:t>
      </w:r>
      <w:r w:rsidR="00A443AC" w:rsidRPr="00295637">
        <w:rPr>
          <w:rFonts w:ascii="Times New Roman" w:hAnsi="Times New Roman"/>
          <w:lang w:val="sr-Latn-BA"/>
        </w:rPr>
        <w:t xml:space="preserve">, </w:t>
      </w:r>
      <w:r>
        <w:rPr>
          <w:rFonts w:ascii="Times New Roman" w:hAnsi="Times New Roman"/>
          <w:lang w:val="sr-Latn-BA"/>
        </w:rPr>
        <w:t>у</w:t>
      </w:r>
      <w:r w:rsidR="00A443AC" w:rsidRPr="00295637">
        <w:rPr>
          <w:rFonts w:ascii="Times New Roman" w:hAnsi="Times New Roman"/>
          <w:lang w:val="sr-Latn-BA"/>
        </w:rPr>
        <w:t xml:space="preserve"> 2024. </w:t>
      </w:r>
      <w:r>
        <w:rPr>
          <w:rFonts w:ascii="Times New Roman" w:hAnsi="Times New Roman"/>
          <w:lang w:val="sr-Latn-BA"/>
        </w:rPr>
        <w:t>години</w:t>
      </w:r>
      <w:r w:rsidR="006F409A" w:rsidRPr="00295637">
        <w:rPr>
          <w:rFonts w:ascii="Times New Roman" w:hAnsi="Times New Roman"/>
          <w:lang w:val="sr-Latn-BA"/>
        </w:rPr>
        <w:t xml:space="preserve"> </w:t>
      </w:r>
      <w:r>
        <w:rPr>
          <w:rFonts w:ascii="Times New Roman" w:hAnsi="Times New Roman"/>
          <w:lang w:val="sr-Latn-BA"/>
        </w:rPr>
        <w:t>је</w:t>
      </w:r>
      <w:r w:rsidR="006F409A" w:rsidRPr="00295637">
        <w:rPr>
          <w:rFonts w:ascii="Times New Roman" w:hAnsi="Times New Roman"/>
          <w:lang w:val="sr-Latn-BA"/>
        </w:rPr>
        <w:t xml:space="preserve"> </w:t>
      </w:r>
      <w:r>
        <w:rPr>
          <w:rFonts w:ascii="Times New Roman" w:hAnsi="Times New Roman"/>
          <w:lang w:val="sr-Latn-BA"/>
        </w:rPr>
        <w:t>д</w:t>
      </w:r>
      <w:r>
        <w:rPr>
          <w:rFonts w:ascii="Times New Roman" w:hAnsi="Times New Roman"/>
          <w:lang w:val="sr-Cyrl-BA"/>
        </w:rPr>
        <w:t>одијељено</w:t>
      </w:r>
      <w:r w:rsidR="00A443AC" w:rsidRPr="00295637">
        <w:rPr>
          <w:rFonts w:ascii="Times New Roman" w:hAnsi="Times New Roman"/>
          <w:lang w:val="sr-Latn-BA"/>
        </w:rPr>
        <w:t xml:space="preserve"> </w:t>
      </w:r>
      <w:r>
        <w:rPr>
          <w:rFonts w:ascii="Times New Roman" w:hAnsi="Times New Roman"/>
          <w:lang w:val="sr-Cyrl-BA"/>
        </w:rPr>
        <w:t>укупно</w:t>
      </w:r>
      <w:r w:rsidR="00A443AC" w:rsidRPr="00295637">
        <w:rPr>
          <w:rFonts w:ascii="Times New Roman" w:hAnsi="Times New Roman"/>
          <w:lang w:val="sr-Cyrl-BA"/>
        </w:rPr>
        <w:t xml:space="preserve"> 1065 </w:t>
      </w:r>
      <w:r>
        <w:rPr>
          <w:rFonts w:ascii="Times New Roman" w:hAnsi="Times New Roman"/>
          <w:lang w:val="sr-Cyrl-BA"/>
        </w:rPr>
        <w:t>стипендија</w:t>
      </w:r>
      <w:r w:rsidR="00A443AC" w:rsidRPr="00295637">
        <w:rPr>
          <w:rFonts w:ascii="Times New Roman" w:hAnsi="Times New Roman"/>
          <w:lang w:val="sr-Cyrl-BA"/>
        </w:rPr>
        <w:t xml:space="preserve"> (</w:t>
      </w:r>
      <w:r>
        <w:rPr>
          <w:rFonts w:ascii="Times New Roman" w:hAnsi="Times New Roman"/>
          <w:lang w:val="sr-Cyrl-BA"/>
        </w:rPr>
        <w:t>Ресор</w:t>
      </w:r>
      <w:r w:rsidR="00A443AC" w:rsidRPr="00295637">
        <w:rPr>
          <w:rFonts w:ascii="Times New Roman" w:hAnsi="Times New Roman"/>
          <w:lang w:val="sr-Cyrl-BA"/>
        </w:rPr>
        <w:t xml:space="preserve"> </w:t>
      </w:r>
      <w:r>
        <w:rPr>
          <w:rFonts w:ascii="Times New Roman" w:hAnsi="Times New Roman"/>
          <w:lang w:val="sr-Cyrl-BA"/>
        </w:rPr>
        <w:t>високо</w:t>
      </w:r>
      <w:r w:rsidR="00A443AC" w:rsidRPr="00295637">
        <w:rPr>
          <w:rFonts w:ascii="Times New Roman" w:hAnsi="Times New Roman"/>
          <w:lang w:val="sr-Cyrl-BA"/>
        </w:rPr>
        <w:t xml:space="preserve"> </w:t>
      </w:r>
      <w:r>
        <w:rPr>
          <w:rFonts w:ascii="Times New Roman" w:hAnsi="Times New Roman"/>
          <w:lang w:val="sr-Cyrl-BA"/>
        </w:rPr>
        <w:t>образовање</w:t>
      </w:r>
      <w:r w:rsidR="00A443AC" w:rsidRPr="00295637">
        <w:rPr>
          <w:rFonts w:ascii="Times New Roman" w:hAnsi="Times New Roman"/>
          <w:lang w:val="sr-Cyrl-BA"/>
        </w:rPr>
        <w:t xml:space="preserve">) </w:t>
      </w:r>
      <w:r>
        <w:rPr>
          <w:rFonts w:ascii="Times New Roman" w:hAnsi="Times New Roman"/>
          <w:lang w:val="sr-Cyrl-BA"/>
        </w:rPr>
        <w:t>за</w:t>
      </w:r>
      <w:r w:rsidR="00A443AC" w:rsidRPr="00295637">
        <w:rPr>
          <w:rFonts w:ascii="Times New Roman" w:hAnsi="Times New Roman"/>
          <w:lang w:val="sr-Cyrl-BA"/>
        </w:rPr>
        <w:t xml:space="preserve"> </w:t>
      </w:r>
      <w:r>
        <w:rPr>
          <w:rFonts w:ascii="Times New Roman" w:hAnsi="Times New Roman"/>
          <w:lang w:val="sr-Cyrl-BA"/>
        </w:rPr>
        <w:t>сва</w:t>
      </w:r>
      <w:r w:rsidR="00A443AC" w:rsidRPr="00295637">
        <w:rPr>
          <w:rFonts w:ascii="Times New Roman" w:hAnsi="Times New Roman"/>
          <w:lang w:val="sr-Cyrl-BA"/>
        </w:rPr>
        <w:t xml:space="preserve"> </w:t>
      </w:r>
      <w:r>
        <w:rPr>
          <w:rFonts w:ascii="Times New Roman" w:hAnsi="Times New Roman"/>
          <w:lang w:val="sr-Cyrl-BA"/>
        </w:rPr>
        <w:t>три</w:t>
      </w:r>
      <w:r w:rsidR="00A443AC" w:rsidRPr="00295637">
        <w:rPr>
          <w:rFonts w:ascii="Times New Roman" w:hAnsi="Times New Roman"/>
          <w:lang w:val="sr-Cyrl-BA"/>
        </w:rPr>
        <w:t xml:space="preserve"> </w:t>
      </w:r>
      <w:r>
        <w:rPr>
          <w:rFonts w:ascii="Times New Roman" w:hAnsi="Times New Roman"/>
          <w:lang w:val="sr-Cyrl-BA"/>
        </w:rPr>
        <w:t>студијска</w:t>
      </w:r>
      <w:r w:rsidR="00A443AC" w:rsidRPr="00295637">
        <w:rPr>
          <w:rFonts w:ascii="Times New Roman" w:hAnsi="Times New Roman"/>
          <w:lang w:val="sr-Cyrl-BA"/>
        </w:rPr>
        <w:t xml:space="preserve"> </w:t>
      </w:r>
      <w:r>
        <w:rPr>
          <w:rFonts w:ascii="Times New Roman" w:hAnsi="Times New Roman"/>
          <w:lang w:val="sr-Cyrl-BA"/>
        </w:rPr>
        <w:t>циклуса</w:t>
      </w:r>
      <w:r w:rsidR="00A443AC" w:rsidRPr="00295637">
        <w:rPr>
          <w:rFonts w:ascii="Times New Roman" w:hAnsi="Times New Roman"/>
          <w:lang w:val="sr-Cyrl-BA"/>
        </w:rPr>
        <w:t xml:space="preserve">, </w:t>
      </w:r>
      <w:r>
        <w:rPr>
          <w:rFonts w:ascii="Times New Roman" w:hAnsi="Times New Roman"/>
          <w:lang w:val="sr-Cyrl-BA"/>
        </w:rPr>
        <w:t>од</w:t>
      </w:r>
      <w:r w:rsidR="00A443AC" w:rsidRPr="00295637">
        <w:rPr>
          <w:rFonts w:ascii="Times New Roman" w:hAnsi="Times New Roman"/>
          <w:lang w:val="sr-Cyrl-BA"/>
        </w:rPr>
        <w:t xml:space="preserve"> </w:t>
      </w:r>
      <w:r>
        <w:rPr>
          <w:rFonts w:ascii="Times New Roman" w:hAnsi="Times New Roman"/>
          <w:lang w:val="sr-Cyrl-BA"/>
        </w:rPr>
        <w:t>тога</w:t>
      </w:r>
      <w:r w:rsidR="00A443AC" w:rsidRPr="00295637">
        <w:rPr>
          <w:rFonts w:ascii="Times New Roman" w:hAnsi="Times New Roman"/>
          <w:lang w:val="sr-Cyrl-BA"/>
        </w:rPr>
        <w:t xml:space="preserve"> 280 </w:t>
      </w:r>
      <w:r>
        <w:rPr>
          <w:rFonts w:ascii="Times New Roman" w:hAnsi="Times New Roman"/>
          <w:lang w:val="sr-Cyrl-BA"/>
        </w:rPr>
        <w:t>стипендија</w:t>
      </w:r>
      <w:r w:rsidR="00A443AC" w:rsidRPr="00295637">
        <w:rPr>
          <w:rFonts w:ascii="Times New Roman" w:hAnsi="Times New Roman"/>
          <w:lang w:val="sr-Cyrl-BA"/>
        </w:rPr>
        <w:t xml:space="preserve"> </w:t>
      </w:r>
      <w:r>
        <w:rPr>
          <w:rFonts w:ascii="Times New Roman" w:hAnsi="Times New Roman"/>
          <w:lang w:val="sr-Cyrl-BA"/>
        </w:rPr>
        <w:t>студентима</w:t>
      </w:r>
      <w:r w:rsidR="00A443AC" w:rsidRPr="00295637">
        <w:rPr>
          <w:rFonts w:ascii="Times New Roman" w:hAnsi="Times New Roman"/>
          <w:lang w:val="sr-Cyrl-BA"/>
        </w:rPr>
        <w:t xml:space="preserve"> </w:t>
      </w:r>
      <w:r>
        <w:rPr>
          <w:rFonts w:ascii="Times New Roman" w:hAnsi="Times New Roman"/>
          <w:lang w:val="sr-Cyrl-BA"/>
        </w:rPr>
        <w:t>и</w:t>
      </w:r>
      <w:r w:rsidR="00A443AC" w:rsidRPr="00295637">
        <w:rPr>
          <w:rFonts w:ascii="Times New Roman" w:hAnsi="Times New Roman"/>
          <w:lang w:val="sr-Cyrl-BA"/>
        </w:rPr>
        <w:t xml:space="preserve"> 785 </w:t>
      </w:r>
      <w:r>
        <w:rPr>
          <w:rFonts w:ascii="Times New Roman" w:hAnsi="Times New Roman"/>
          <w:lang w:val="sr-Cyrl-BA"/>
        </w:rPr>
        <w:t>студенткињама</w:t>
      </w:r>
      <w:r w:rsidR="00A443AC" w:rsidRPr="00295637">
        <w:rPr>
          <w:rFonts w:ascii="Times New Roman" w:hAnsi="Times New Roman"/>
          <w:lang w:val="sr-Cyrl-BA"/>
        </w:rPr>
        <w:t>;</w:t>
      </w:r>
      <w:r w:rsidR="006F409A" w:rsidRPr="00295637">
        <w:rPr>
          <w:rFonts w:ascii="Times New Roman" w:hAnsi="Times New Roman"/>
          <w:lang w:val="bs-Latn-BA"/>
        </w:rPr>
        <w:t xml:space="preserve"> </w:t>
      </w:r>
      <w:r>
        <w:rPr>
          <w:rFonts w:ascii="Times New Roman" w:hAnsi="Times New Roman"/>
          <w:lang w:val="sr-Cyrl-BA"/>
        </w:rPr>
        <w:t>из</w:t>
      </w:r>
      <w:r w:rsidR="00A443AC" w:rsidRPr="00295637">
        <w:rPr>
          <w:rFonts w:ascii="Times New Roman" w:hAnsi="Times New Roman"/>
          <w:lang w:val="sr-Cyrl-BA"/>
        </w:rPr>
        <w:t xml:space="preserve"> </w:t>
      </w:r>
      <w:r>
        <w:rPr>
          <w:rFonts w:ascii="Times New Roman" w:hAnsi="Times New Roman"/>
          <w:lang w:val="sr-Cyrl-BA"/>
        </w:rPr>
        <w:t>Фонда</w:t>
      </w:r>
      <w:r w:rsidR="00A443AC" w:rsidRPr="00295637">
        <w:rPr>
          <w:rFonts w:ascii="Times New Roman" w:hAnsi="Times New Roman"/>
          <w:lang w:val="sr-Cyrl-BA"/>
        </w:rPr>
        <w:t xml:space="preserve"> „</w:t>
      </w:r>
      <w:r>
        <w:rPr>
          <w:rFonts w:ascii="Times New Roman" w:hAnsi="Times New Roman"/>
          <w:lang w:val="sr-Cyrl-BA"/>
        </w:rPr>
        <w:t>Др</w:t>
      </w:r>
      <w:r w:rsidR="00A443AC" w:rsidRPr="00295637">
        <w:rPr>
          <w:rFonts w:ascii="Times New Roman" w:hAnsi="Times New Roman"/>
          <w:lang w:val="sr-Cyrl-BA"/>
        </w:rPr>
        <w:t xml:space="preserve"> </w:t>
      </w:r>
      <w:r>
        <w:rPr>
          <w:rFonts w:ascii="Times New Roman" w:hAnsi="Times New Roman"/>
          <w:lang w:val="sr-Cyrl-BA"/>
        </w:rPr>
        <w:t>Милан</w:t>
      </w:r>
      <w:r w:rsidR="00A443AC" w:rsidRPr="00295637">
        <w:rPr>
          <w:rFonts w:ascii="Times New Roman" w:hAnsi="Times New Roman"/>
          <w:lang w:val="sr-Cyrl-BA"/>
        </w:rPr>
        <w:t xml:space="preserve"> </w:t>
      </w:r>
      <w:r>
        <w:rPr>
          <w:rFonts w:ascii="Times New Roman" w:hAnsi="Times New Roman"/>
          <w:lang w:val="sr-Cyrl-BA"/>
        </w:rPr>
        <w:t>Јелић</w:t>
      </w:r>
      <w:r w:rsidR="00A443AC" w:rsidRPr="00295637">
        <w:rPr>
          <w:rFonts w:ascii="Times New Roman" w:hAnsi="Times New Roman"/>
          <w:lang w:val="sr-Cyrl-BA"/>
        </w:rPr>
        <w:t xml:space="preserve">“ </w:t>
      </w:r>
      <w:r>
        <w:rPr>
          <w:rFonts w:ascii="Times New Roman" w:hAnsi="Times New Roman"/>
          <w:lang w:val="sr-Cyrl-BA"/>
        </w:rPr>
        <w:t>додијељено</w:t>
      </w:r>
      <w:r w:rsidR="00A443AC" w:rsidRPr="00295637">
        <w:rPr>
          <w:rFonts w:ascii="Times New Roman" w:hAnsi="Times New Roman"/>
          <w:lang w:val="sr-Cyrl-BA"/>
        </w:rPr>
        <w:t xml:space="preserve"> </w:t>
      </w:r>
      <w:r>
        <w:rPr>
          <w:rFonts w:ascii="Times New Roman" w:hAnsi="Times New Roman"/>
          <w:lang w:val="sr-Cyrl-BA"/>
        </w:rPr>
        <w:t>укупно</w:t>
      </w:r>
      <w:r w:rsidR="00A443AC" w:rsidRPr="00295637">
        <w:rPr>
          <w:rFonts w:ascii="Times New Roman" w:hAnsi="Times New Roman"/>
          <w:lang w:val="sr-Cyrl-BA"/>
        </w:rPr>
        <w:t xml:space="preserve"> 144 </w:t>
      </w:r>
      <w:r>
        <w:rPr>
          <w:rFonts w:ascii="Times New Roman" w:hAnsi="Times New Roman"/>
          <w:lang w:val="sr-Cyrl-BA"/>
        </w:rPr>
        <w:t>стипендије</w:t>
      </w:r>
      <w:r w:rsidR="00FF6855">
        <w:rPr>
          <w:rFonts w:ascii="Times New Roman" w:hAnsi="Times New Roman"/>
          <w:lang w:val="hr-HR"/>
        </w:rPr>
        <w:t xml:space="preserve"> </w:t>
      </w:r>
      <w:r>
        <w:rPr>
          <w:rFonts w:ascii="Times New Roman" w:hAnsi="Times New Roman"/>
          <w:lang w:val="hr-HR"/>
        </w:rPr>
        <w:t>за</w:t>
      </w:r>
      <w:r w:rsidR="00A443AC" w:rsidRPr="00295637">
        <w:rPr>
          <w:rFonts w:ascii="Times New Roman" w:hAnsi="Times New Roman"/>
          <w:lang w:val="sr-Cyrl-BA"/>
        </w:rPr>
        <w:t xml:space="preserve"> </w:t>
      </w:r>
      <w:r>
        <w:rPr>
          <w:rFonts w:ascii="Times New Roman" w:hAnsi="Times New Roman"/>
          <w:lang w:val="sr-Cyrl-BA"/>
        </w:rPr>
        <w:t>сва</w:t>
      </w:r>
      <w:r w:rsidR="00A443AC" w:rsidRPr="00295637">
        <w:rPr>
          <w:rFonts w:ascii="Times New Roman" w:hAnsi="Times New Roman"/>
          <w:lang w:val="sr-Cyrl-BA"/>
        </w:rPr>
        <w:t xml:space="preserve"> </w:t>
      </w:r>
      <w:r>
        <w:rPr>
          <w:rFonts w:ascii="Times New Roman" w:hAnsi="Times New Roman"/>
          <w:lang w:val="sr-Cyrl-BA"/>
        </w:rPr>
        <w:t>три</w:t>
      </w:r>
      <w:r w:rsidR="00A443AC" w:rsidRPr="00295637">
        <w:rPr>
          <w:rFonts w:ascii="Times New Roman" w:hAnsi="Times New Roman"/>
          <w:lang w:val="sr-Cyrl-BA"/>
        </w:rPr>
        <w:t xml:space="preserve"> </w:t>
      </w:r>
      <w:r>
        <w:rPr>
          <w:rFonts w:ascii="Times New Roman" w:hAnsi="Times New Roman"/>
          <w:lang w:val="sr-Cyrl-BA"/>
        </w:rPr>
        <w:t>циклуса</w:t>
      </w:r>
      <w:r w:rsidR="00A443AC" w:rsidRPr="00295637">
        <w:rPr>
          <w:rFonts w:ascii="Times New Roman" w:hAnsi="Times New Roman"/>
          <w:lang w:val="sr-Cyrl-BA"/>
        </w:rPr>
        <w:t xml:space="preserve"> </w:t>
      </w:r>
      <w:r>
        <w:rPr>
          <w:rFonts w:ascii="Times New Roman" w:hAnsi="Times New Roman"/>
          <w:lang w:val="sr-Cyrl-BA"/>
        </w:rPr>
        <w:t>студија</w:t>
      </w:r>
      <w:r w:rsidR="00A443AC" w:rsidRPr="00295637">
        <w:rPr>
          <w:rFonts w:ascii="Times New Roman" w:hAnsi="Times New Roman"/>
          <w:lang w:val="sr-Cyrl-BA"/>
        </w:rPr>
        <w:t xml:space="preserve">, </w:t>
      </w:r>
      <w:r>
        <w:rPr>
          <w:rFonts w:ascii="Times New Roman" w:hAnsi="Times New Roman"/>
          <w:lang w:val="sr-Cyrl-BA"/>
        </w:rPr>
        <w:t>од</w:t>
      </w:r>
      <w:r w:rsidR="00A443AC" w:rsidRPr="00295637">
        <w:rPr>
          <w:rFonts w:ascii="Times New Roman" w:hAnsi="Times New Roman"/>
          <w:lang w:val="sr-Cyrl-BA"/>
        </w:rPr>
        <w:t xml:space="preserve"> </w:t>
      </w:r>
      <w:r>
        <w:rPr>
          <w:rFonts w:ascii="Times New Roman" w:hAnsi="Times New Roman"/>
          <w:lang w:val="sr-Cyrl-BA"/>
        </w:rPr>
        <w:t>тога</w:t>
      </w:r>
      <w:r w:rsidR="00A443AC" w:rsidRPr="00295637">
        <w:rPr>
          <w:rFonts w:ascii="Times New Roman" w:hAnsi="Times New Roman"/>
          <w:lang w:val="sr-Cyrl-BA"/>
        </w:rPr>
        <w:t xml:space="preserve"> 79 </w:t>
      </w:r>
      <w:r>
        <w:rPr>
          <w:rFonts w:ascii="Times New Roman" w:hAnsi="Times New Roman"/>
          <w:lang w:val="sr-Cyrl-BA"/>
        </w:rPr>
        <w:t>студенткињама</w:t>
      </w:r>
      <w:r w:rsidR="00A443AC" w:rsidRPr="00295637">
        <w:rPr>
          <w:rFonts w:ascii="Times New Roman" w:hAnsi="Times New Roman"/>
          <w:lang w:val="sr-Cyrl-BA"/>
        </w:rPr>
        <w:t xml:space="preserve"> </w:t>
      </w:r>
      <w:r>
        <w:rPr>
          <w:rFonts w:ascii="Times New Roman" w:hAnsi="Times New Roman"/>
          <w:lang w:val="sr-Cyrl-BA"/>
        </w:rPr>
        <w:t>и</w:t>
      </w:r>
      <w:r w:rsidR="00A443AC" w:rsidRPr="00295637">
        <w:rPr>
          <w:rFonts w:ascii="Times New Roman" w:hAnsi="Times New Roman"/>
          <w:lang w:val="sr-Cyrl-BA"/>
        </w:rPr>
        <w:t xml:space="preserve"> 65 </w:t>
      </w:r>
      <w:r>
        <w:rPr>
          <w:rFonts w:ascii="Times New Roman" w:hAnsi="Times New Roman"/>
          <w:lang w:val="sr-Cyrl-BA"/>
        </w:rPr>
        <w:t>студентима</w:t>
      </w:r>
      <w:r w:rsidR="00A443AC" w:rsidRPr="00295637">
        <w:rPr>
          <w:rFonts w:ascii="Times New Roman" w:hAnsi="Times New Roman"/>
          <w:lang w:val="sr-Cyrl-BA"/>
        </w:rPr>
        <w:t>;</w:t>
      </w:r>
      <w:r w:rsidR="006F409A" w:rsidRPr="00295637">
        <w:rPr>
          <w:rFonts w:ascii="Times New Roman" w:hAnsi="Times New Roman"/>
          <w:lang w:val="bs-Latn-BA"/>
        </w:rPr>
        <w:t xml:space="preserve"> </w:t>
      </w:r>
      <w:r>
        <w:rPr>
          <w:rFonts w:ascii="Times New Roman" w:hAnsi="Times New Roman"/>
          <w:lang w:val="sr-Latn-BA"/>
        </w:rPr>
        <w:t>о</w:t>
      </w:r>
      <w:r>
        <w:rPr>
          <w:rFonts w:ascii="Times New Roman" w:hAnsi="Times New Roman"/>
          <w:lang w:val="sr-Cyrl-BA"/>
        </w:rPr>
        <w:t>д</w:t>
      </w:r>
      <w:r w:rsidR="00A443AC" w:rsidRPr="00295637">
        <w:rPr>
          <w:rFonts w:ascii="Times New Roman" w:hAnsi="Times New Roman"/>
          <w:lang w:val="sr-Cyrl-BA"/>
        </w:rPr>
        <w:t xml:space="preserve"> </w:t>
      </w:r>
      <w:r>
        <w:rPr>
          <w:rFonts w:ascii="Times New Roman" w:hAnsi="Times New Roman"/>
          <w:lang w:val="sr-Cyrl-BA"/>
        </w:rPr>
        <w:t>укупно</w:t>
      </w:r>
      <w:r w:rsidR="00A443AC" w:rsidRPr="00295637">
        <w:rPr>
          <w:rFonts w:ascii="Times New Roman" w:hAnsi="Times New Roman"/>
          <w:lang w:val="sr-Cyrl-BA"/>
        </w:rPr>
        <w:t xml:space="preserve"> </w:t>
      </w:r>
      <w:r>
        <w:rPr>
          <w:rFonts w:ascii="Times New Roman" w:hAnsi="Times New Roman"/>
          <w:lang w:val="sr-Cyrl-BA"/>
        </w:rPr>
        <w:t>додијељених</w:t>
      </w:r>
      <w:r w:rsidR="00A443AC" w:rsidRPr="00295637">
        <w:rPr>
          <w:rFonts w:ascii="Times New Roman" w:hAnsi="Times New Roman"/>
          <w:lang w:val="sr-Cyrl-BA"/>
        </w:rPr>
        <w:t xml:space="preserve"> 15 </w:t>
      </w:r>
      <w:r>
        <w:rPr>
          <w:rFonts w:ascii="Times New Roman" w:hAnsi="Times New Roman"/>
          <w:lang w:val="sr-Cyrl-BA"/>
        </w:rPr>
        <w:t>по</w:t>
      </w:r>
      <w:r>
        <w:rPr>
          <w:rFonts w:ascii="Times New Roman" w:hAnsi="Times New Roman"/>
          <w:lang w:val="hr-HR"/>
        </w:rPr>
        <w:t>дс</w:t>
      </w:r>
      <w:r>
        <w:rPr>
          <w:rFonts w:ascii="Times New Roman" w:hAnsi="Times New Roman"/>
          <w:lang w:val="sr-Cyrl-BA"/>
        </w:rPr>
        <w:t>тицаја</w:t>
      </w:r>
      <w:r w:rsidR="00A443AC" w:rsidRPr="00295637">
        <w:rPr>
          <w:rFonts w:ascii="Times New Roman" w:hAnsi="Times New Roman"/>
          <w:lang w:val="sr-Cyrl-BA"/>
        </w:rPr>
        <w:t xml:space="preserve"> </w:t>
      </w:r>
      <w:r>
        <w:rPr>
          <w:rFonts w:ascii="Times New Roman" w:hAnsi="Times New Roman"/>
          <w:lang w:val="sr-Cyrl-BA"/>
        </w:rPr>
        <w:t>за</w:t>
      </w:r>
      <w:r w:rsidR="00A443AC" w:rsidRPr="00295637">
        <w:rPr>
          <w:rFonts w:ascii="Times New Roman" w:hAnsi="Times New Roman"/>
          <w:lang w:val="sr-Cyrl-BA"/>
        </w:rPr>
        <w:t xml:space="preserve"> </w:t>
      </w:r>
      <w:r>
        <w:rPr>
          <w:rFonts w:ascii="Times New Roman" w:hAnsi="Times New Roman"/>
          <w:lang w:val="sr-Cyrl-BA"/>
        </w:rPr>
        <w:t>доктора</w:t>
      </w:r>
      <w:r>
        <w:rPr>
          <w:rFonts w:ascii="Times New Roman" w:hAnsi="Times New Roman"/>
          <w:lang w:val="sr-Latn-BA"/>
        </w:rPr>
        <w:t>нт</w:t>
      </w:r>
      <w:r>
        <w:rPr>
          <w:rFonts w:ascii="Times New Roman" w:hAnsi="Times New Roman"/>
          <w:lang w:val="sr-Cyrl-BA"/>
        </w:rPr>
        <w:t>е</w:t>
      </w:r>
      <w:r w:rsidR="00A443AC" w:rsidRPr="00295637">
        <w:rPr>
          <w:rFonts w:ascii="Times New Roman" w:hAnsi="Times New Roman"/>
          <w:lang w:val="sr-Latn-BA"/>
        </w:rPr>
        <w:t>,</w:t>
      </w:r>
      <w:r w:rsidR="00050016">
        <w:rPr>
          <w:rFonts w:ascii="Times New Roman" w:hAnsi="Times New Roman"/>
          <w:lang w:val="sr-Cyrl-BA"/>
        </w:rPr>
        <w:t xml:space="preserve"> 7 </w:t>
      </w:r>
      <w:r>
        <w:rPr>
          <w:rFonts w:ascii="Times New Roman" w:hAnsi="Times New Roman"/>
          <w:lang w:val="sr-Cyrl-BA"/>
        </w:rPr>
        <w:t>су</w:t>
      </w:r>
      <w:r w:rsidR="00050016">
        <w:rPr>
          <w:rFonts w:ascii="Times New Roman" w:hAnsi="Times New Roman"/>
          <w:lang w:val="sr-Cyrl-BA"/>
        </w:rPr>
        <w:t xml:space="preserve"> </w:t>
      </w:r>
      <w:r>
        <w:rPr>
          <w:rFonts w:ascii="Times New Roman" w:hAnsi="Times New Roman"/>
          <w:lang w:val="sr-Cyrl-BA"/>
        </w:rPr>
        <w:t>добиле</w:t>
      </w:r>
      <w:r w:rsidR="00050016">
        <w:rPr>
          <w:rFonts w:ascii="Times New Roman" w:hAnsi="Times New Roman"/>
          <w:lang w:val="sr-Cyrl-BA"/>
        </w:rPr>
        <w:t xml:space="preserve"> </w:t>
      </w:r>
      <w:r>
        <w:rPr>
          <w:rFonts w:ascii="Times New Roman" w:hAnsi="Times New Roman"/>
          <w:lang w:val="sr-Cyrl-BA"/>
        </w:rPr>
        <w:t>жене</w:t>
      </w:r>
      <w:r w:rsidR="00050016">
        <w:rPr>
          <w:rFonts w:ascii="Times New Roman" w:hAnsi="Times New Roman"/>
          <w:lang w:val="sr-Cyrl-BA"/>
        </w:rPr>
        <w:t xml:space="preserve"> </w:t>
      </w:r>
      <w:r>
        <w:rPr>
          <w:rFonts w:ascii="Times New Roman" w:hAnsi="Times New Roman"/>
          <w:lang w:val="sr-Cyrl-BA"/>
        </w:rPr>
        <w:t>што</w:t>
      </w:r>
      <w:r w:rsidR="00050016">
        <w:rPr>
          <w:rFonts w:ascii="Times New Roman" w:hAnsi="Times New Roman"/>
          <w:lang w:val="sr-Cyrl-BA"/>
        </w:rPr>
        <w:t xml:space="preserve"> </w:t>
      </w:r>
      <w:r>
        <w:rPr>
          <w:rFonts w:ascii="Times New Roman" w:hAnsi="Times New Roman"/>
          <w:lang w:val="sr-Cyrl-BA"/>
        </w:rPr>
        <w:t>износи</w:t>
      </w:r>
      <w:r w:rsidR="00A443AC" w:rsidRPr="00295637">
        <w:rPr>
          <w:rFonts w:ascii="Times New Roman" w:hAnsi="Times New Roman"/>
          <w:lang w:val="sr-Cyrl-BA"/>
        </w:rPr>
        <w:t xml:space="preserve"> 47%</w:t>
      </w:r>
      <w:r w:rsidR="00A443AC" w:rsidRPr="00295637">
        <w:rPr>
          <w:rFonts w:ascii="Times New Roman" w:hAnsi="Times New Roman"/>
          <w:lang w:val="sr-Latn-BA"/>
        </w:rPr>
        <w:t>;</w:t>
      </w:r>
      <w:r w:rsidR="006F409A" w:rsidRPr="00295637">
        <w:rPr>
          <w:rFonts w:ascii="Times New Roman" w:hAnsi="Times New Roman"/>
          <w:lang w:val="sr-Latn-BA"/>
        </w:rPr>
        <w:t xml:space="preserve"> </w:t>
      </w:r>
      <w:r w:rsidR="00A443AC" w:rsidRPr="00295637">
        <w:rPr>
          <w:rFonts w:ascii="Times New Roman" w:hAnsi="Times New Roman"/>
          <w:lang w:val="sr-Cyrl-BA"/>
        </w:rPr>
        <w:t xml:space="preserve">55,67% </w:t>
      </w:r>
      <w:r>
        <w:rPr>
          <w:rFonts w:ascii="Times New Roman" w:hAnsi="Times New Roman"/>
          <w:lang w:val="sr-Cyrl-BA"/>
        </w:rPr>
        <w:t>жена</w:t>
      </w:r>
      <w:r w:rsidR="00A443AC" w:rsidRPr="00295637">
        <w:rPr>
          <w:rFonts w:ascii="Times New Roman" w:hAnsi="Times New Roman"/>
          <w:lang w:val="sr-Cyrl-BA"/>
        </w:rPr>
        <w:t xml:space="preserve"> </w:t>
      </w:r>
      <w:r>
        <w:rPr>
          <w:rFonts w:ascii="Times New Roman" w:hAnsi="Times New Roman"/>
          <w:lang w:val="sr-Cyrl-BA"/>
        </w:rPr>
        <w:t>је</w:t>
      </w:r>
      <w:r w:rsidR="00A443AC" w:rsidRPr="00295637">
        <w:rPr>
          <w:rFonts w:ascii="Times New Roman" w:hAnsi="Times New Roman"/>
          <w:lang w:val="sr-Cyrl-BA"/>
        </w:rPr>
        <w:t xml:space="preserve"> </w:t>
      </w:r>
      <w:r>
        <w:rPr>
          <w:rFonts w:ascii="Times New Roman" w:hAnsi="Times New Roman"/>
          <w:lang w:val="hr-HR"/>
        </w:rPr>
        <w:t>учествовало</w:t>
      </w:r>
      <w:r w:rsidR="00A443AC" w:rsidRPr="00295637">
        <w:rPr>
          <w:rFonts w:ascii="Times New Roman" w:hAnsi="Times New Roman"/>
          <w:lang w:val="sr-Cyrl-BA"/>
        </w:rPr>
        <w:t xml:space="preserve"> </w:t>
      </w:r>
      <w:r>
        <w:rPr>
          <w:rFonts w:ascii="Times New Roman" w:hAnsi="Times New Roman"/>
          <w:lang w:val="sr-Cyrl-BA"/>
        </w:rPr>
        <w:t>у</w:t>
      </w:r>
      <w:r w:rsidR="00A443AC" w:rsidRPr="00295637">
        <w:rPr>
          <w:rFonts w:ascii="Times New Roman" w:hAnsi="Times New Roman"/>
          <w:lang w:val="sr-Cyrl-BA"/>
        </w:rPr>
        <w:t xml:space="preserve"> </w:t>
      </w:r>
      <w:r>
        <w:rPr>
          <w:rFonts w:ascii="Times New Roman" w:hAnsi="Times New Roman"/>
          <w:lang w:val="sr-Cyrl-BA"/>
        </w:rPr>
        <w:t>програмима</w:t>
      </w:r>
      <w:r w:rsidR="00A443AC" w:rsidRPr="00295637">
        <w:rPr>
          <w:rFonts w:ascii="Times New Roman" w:hAnsi="Times New Roman"/>
          <w:lang w:val="sr-Cyrl-BA"/>
        </w:rPr>
        <w:t xml:space="preserve"> </w:t>
      </w:r>
      <w:r>
        <w:rPr>
          <w:rFonts w:ascii="Times New Roman" w:hAnsi="Times New Roman"/>
          <w:lang w:val="sr-Cyrl-BA"/>
        </w:rPr>
        <w:t>и</w:t>
      </w:r>
      <w:r w:rsidR="00A443AC" w:rsidRPr="00295637">
        <w:rPr>
          <w:rFonts w:ascii="Times New Roman" w:hAnsi="Times New Roman"/>
          <w:lang w:val="sr-Cyrl-BA"/>
        </w:rPr>
        <w:t xml:space="preserve"> </w:t>
      </w:r>
      <w:r>
        <w:rPr>
          <w:rFonts w:ascii="Times New Roman" w:hAnsi="Times New Roman"/>
          <w:lang w:val="sr-Cyrl-BA"/>
        </w:rPr>
        <w:t>пројектима</w:t>
      </w:r>
      <w:r w:rsidR="00A443AC" w:rsidRPr="00295637">
        <w:rPr>
          <w:rFonts w:ascii="Times New Roman" w:hAnsi="Times New Roman"/>
          <w:lang w:val="sr-Cyrl-BA"/>
        </w:rPr>
        <w:t xml:space="preserve"> </w:t>
      </w:r>
      <w:r>
        <w:rPr>
          <w:rFonts w:ascii="Times New Roman" w:hAnsi="Times New Roman"/>
          <w:lang w:val="sr-Latn-BA"/>
        </w:rPr>
        <w:t>истраживања</w:t>
      </w:r>
      <w:r w:rsidR="00A443AC" w:rsidRPr="00295637">
        <w:rPr>
          <w:rFonts w:ascii="Times New Roman" w:hAnsi="Times New Roman"/>
          <w:lang w:val="sr-Latn-BA"/>
        </w:rPr>
        <w:t xml:space="preserve"> </w:t>
      </w:r>
      <w:r>
        <w:rPr>
          <w:rFonts w:ascii="Times New Roman" w:hAnsi="Times New Roman"/>
          <w:lang w:val="sr-Latn-BA"/>
        </w:rPr>
        <w:t>и</w:t>
      </w:r>
      <w:r w:rsidR="00A443AC" w:rsidRPr="00295637">
        <w:rPr>
          <w:rFonts w:ascii="Times New Roman" w:hAnsi="Times New Roman"/>
          <w:lang w:val="sr-Latn-BA"/>
        </w:rPr>
        <w:t xml:space="preserve"> </w:t>
      </w:r>
      <w:r>
        <w:rPr>
          <w:rFonts w:ascii="Times New Roman" w:hAnsi="Times New Roman"/>
          <w:lang w:val="sr-Latn-BA"/>
        </w:rPr>
        <w:t>развоја</w:t>
      </w:r>
      <w:r w:rsidR="00A443AC" w:rsidRPr="00295637">
        <w:rPr>
          <w:rFonts w:ascii="Times New Roman" w:hAnsi="Times New Roman"/>
          <w:lang w:val="sr-Latn-BA"/>
        </w:rPr>
        <w:t xml:space="preserve"> (</w:t>
      </w:r>
      <w:r>
        <w:rPr>
          <w:rFonts w:ascii="Times New Roman" w:hAnsi="Times New Roman"/>
          <w:lang w:val="sr-Cyrl-BA"/>
        </w:rPr>
        <w:t>ИР</w:t>
      </w:r>
      <w:r w:rsidR="00A443AC" w:rsidRPr="00295637">
        <w:rPr>
          <w:rFonts w:ascii="Times New Roman" w:hAnsi="Times New Roman"/>
          <w:lang w:val="sr-Latn-BA"/>
        </w:rPr>
        <w:t>)</w:t>
      </w:r>
      <w:r w:rsidR="00A443AC" w:rsidRPr="00295637">
        <w:rPr>
          <w:rFonts w:ascii="Times New Roman" w:hAnsi="Times New Roman"/>
          <w:lang w:val="sr-Cyrl-BA"/>
        </w:rPr>
        <w:t xml:space="preserve"> </w:t>
      </w:r>
      <w:r>
        <w:rPr>
          <w:rFonts w:ascii="Times New Roman" w:hAnsi="Times New Roman"/>
          <w:lang w:val="sr-Cyrl-BA"/>
        </w:rPr>
        <w:t>подржаних</w:t>
      </w:r>
      <w:r w:rsidR="00A443AC" w:rsidRPr="00295637">
        <w:rPr>
          <w:rFonts w:ascii="Times New Roman" w:hAnsi="Times New Roman"/>
          <w:lang w:val="sr-Cyrl-BA"/>
        </w:rPr>
        <w:t xml:space="preserve"> </w:t>
      </w:r>
      <w:r>
        <w:rPr>
          <w:rFonts w:ascii="Times New Roman" w:hAnsi="Times New Roman"/>
          <w:lang w:val="sr-Cyrl-BA"/>
        </w:rPr>
        <w:t>од</w:t>
      </w:r>
      <w:r w:rsidR="00A443AC" w:rsidRPr="00295637">
        <w:rPr>
          <w:rFonts w:ascii="Times New Roman" w:hAnsi="Times New Roman"/>
          <w:lang w:val="sr-Cyrl-BA"/>
        </w:rPr>
        <w:t xml:space="preserve"> </w:t>
      </w:r>
      <w:r>
        <w:rPr>
          <w:rFonts w:ascii="Times New Roman" w:hAnsi="Times New Roman"/>
          <w:lang w:val="sr-Cyrl-BA"/>
        </w:rPr>
        <w:t>стране</w:t>
      </w:r>
      <w:r w:rsidR="00A443AC" w:rsidRPr="00295637">
        <w:rPr>
          <w:rFonts w:ascii="Times New Roman" w:hAnsi="Times New Roman"/>
          <w:lang w:val="sr-Cyrl-BA"/>
        </w:rPr>
        <w:t xml:space="preserve"> </w:t>
      </w:r>
      <w:r>
        <w:rPr>
          <w:rFonts w:ascii="Times New Roman" w:hAnsi="Times New Roman"/>
          <w:lang w:val="sr-Cyrl-BA"/>
        </w:rPr>
        <w:t>министарства</w:t>
      </w:r>
      <w:r w:rsidR="00A443AC" w:rsidRPr="00295637">
        <w:rPr>
          <w:rFonts w:ascii="Times New Roman" w:hAnsi="Times New Roman"/>
          <w:lang w:val="sr-Latn-BA"/>
        </w:rPr>
        <w:t>.</w:t>
      </w:r>
    </w:p>
    <w:p w:rsidR="00A443AC" w:rsidRPr="00295637" w:rsidRDefault="00A443AC" w:rsidP="0086268D">
      <w:pPr>
        <w:pStyle w:val="ListParagraph"/>
        <w:ind w:left="0"/>
        <w:jc w:val="both"/>
        <w:rPr>
          <w:rFonts w:ascii="Times New Roman" w:hAnsi="Times New Roman"/>
          <w:lang w:val="sr-Cyrl-BA"/>
        </w:rPr>
      </w:pPr>
    </w:p>
    <w:p w:rsidR="00A443AC" w:rsidRPr="00295637" w:rsidRDefault="00CB20DF" w:rsidP="0086268D">
      <w:pPr>
        <w:pStyle w:val="ListParagraph"/>
        <w:ind w:left="0"/>
        <w:jc w:val="both"/>
        <w:rPr>
          <w:rFonts w:ascii="Times New Roman" w:hAnsi="Times New Roman"/>
          <w:lang w:val="sr-Cyrl-BA"/>
        </w:rPr>
      </w:pPr>
      <w:r>
        <w:rPr>
          <w:rFonts w:ascii="Times New Roman" w:hAnsi="Times New Roman"/>
          <w:lang w:val="bs-Latn-BA"/>
        </w:rPr>
        <w:t>Такође</w:t>
      </w:r>
      <w:r w:rsidR="001D79A9">
        <w:rPr>
          <w:rFonts w:ascii="Times New Roman" w:hAnsi="Times New Roman"/>
          <w:lang w:val="bs-Latn-BA"/>
        </w:rPr>
        <w:t xml:space="preserve"> </w:t>
      </w:r>
      <w:r w:rsidR="00C6214E">
        <w:rPr>
          <w:rFonts w:ascii="Times New Roman" w:hAnsi="Times New Roman"/>
          <w:lang w:val="bs-Latn-BA"/>
        </w:rPr>
        <w:t>у</w:t>
      </w:r>
      <w:r w:rsidR="001D79A9">
        <w:rPr>
          <w:rFonts w:ascii="Times New Roman" w:hAnsi="Times New Roman"/>
          <w:lang w:val="bs-Latn-BA"/>
        </w:rPr>
        <w:t xml:space="preserve"> </w:t>
      </w:r>
      <w:r w:rsidR="00C6214E">
        <w:rPr>
          <w:rFonts w:ascii="Times New Roman" w:hAnsi="Times New Roman"/>
          <w:lang w:val="bs-Latn-BA"/>
        </w:rPr>
        <w:t>РС</w:t>
      </w:r>
      <w:r w:rsidR="001D79A9">
        <w:rPr>
          <w:rFonts w:ascii="Times New Roman" w:hAnsi="Times New Roman"/>
          <w:lang w:val="bs-Latn-BA"/>
        </w:rPr>
        <w:t xml:space="preserve">, </w:t>
      </w:r>
      <w:r w:rsidR="00C6214E">
        <w:rPr>
          <w:rFonts w:ascii="Times New Roman" w:hAnsi="Times New Roman"/>
          <w:lang w:val="bs-Latn-BA"/>
        </w:rPr>
        <w:t>у</w:t>
      </w:r>
      <w:r w:rsidR="001D79A9" w:rsidRPr="00295637">
        <w:rPr>
          <w:rFonts w:ascii="Times New Roman" w:hAnsi="Times New Roman"/>
          <w:lang w:val="sr-Cyrl-BA"/>
        </w:rPr>
        <w:t xml:space="preserve"> </w:t>
      </w:r>
      <w:r w:rsidR="00C6214E">
        <w:rPr>
          <w:rFonts w:ascii="Times New Roman" w:hAnsi="Times New Roman"/>
          <w:lang w:val="sr-Cyrl-BA"/>
        </w:rPr>
        <w:t>финалу</w:t>
      </w:r>
      <w:r w:rsidR="00A443AC" w:rsidRPr="00295637">
        <w:rPr>
          <w:rFonts w:ascii="Times New Roman" w:hAnsi="Times New Roman"/>
          <w:lang w:val="sr-Cyrl-BA"/>
        </w:rPr>
        <w:t xml:space="preserve"> </w:t>
      </w:r>
      <w:r w:rsidR="00C6214E">
        <w:rPr>
          <w:rFonts w:ascii="Times New Roman" w:hAnsi="Times New Roman"/>
          <w:lang w:val="sr-Cyrl-BA"/>
        </w:rPr>
        <w:t>Такмичења</w:t>
      </w:r>
      <w:r w:rsidR="00A443AC" w:rsidRPr="00295637">
        <w:rPr>
          <w:rFonts w:ascii="Times New Roman" w:hAnsi="Times New Roman"/>
          <w:lang w:val="sr-Cyrl-BA"/>
        </w:rPr>
        <w:t xml:space="preserve"> </w:t>
      </w:r>
      <w:r w:rsidR="00C6214E">
        <w:rPr>
          <w:rFonts w:ascii="Times New Roman" w:hAnsi="Times New Roman"/>
          <w:lang w:val="sr-Cyrl-BA"/>
        </w:rPr>
        <w:t>за</w:t>
      </w:r>
      <w:r w:rsidR="00A443AC" w:rsidRPr="00295637">
        <w:rPr>
          <w:rFonts w:ascii="Times New Roman" w:hAnsi="Times New Roman"/>
          <w:lang w:val="sr-Cyrl-BA"/>
        </w:rPr>
        <w:t xml:space="preserve"> </w:t>
      </w:r>
      <w:r w:rsidR="00C6214E">
        <w:rPr>
          <w:rFonts w:ascii="Times New Roman" w:hAnsi="Times New Roman"/>
          <w:lang w:val="sr-Cyrl-BA"/>
        </w:rPr>
        <w:t>најбољу</w:t>
      </w:r>
      <w:r w:rsidR="00A443AC" w:rsidRPr="00295637">
        <w:rPr>
          <w:rFonts w:ascii="Times New Roman" w:hAnsi="Times New Roman"/>
          <w:lang w:val="sr-Cyrl-BA"/>
        </w:rPr>
        <w:t xml:space="preserve"> </w:t>
      </w:r>
      <w:r w:rsidR="00C6214E">
        <w:rPr>
          <w:rFonts w:ascii="Times New Roman" w:hAnsi="Times New Roman"/>
          <w:lang w:val="sr-Cyrl-BA"/>
        </w:rPr>
        <w:t>технолошку</w:t>
      </w:r>
      <w:r w:rsidR="00A443AC" w:rsidRPr="00295637">
        <w:rPr>
          <w:rFonts w:ascii="Times New Roman" w:hAnsi="Times New Roman"/>
          <w:lang w:val="sr-Cyrl-BA"/>
        </w:rPr>
        <w:t xml:space="preserve"> </w:t>
      </w:r>
      <w:r w:rsidR="00C6214E">
        <w:rPr>
          <w:rFonts w:ascii="Times New Roman" w:hAnsi="Times New Roman"/>
          <w:lang w:val="sr-Cyrl-BA"/>
        </w:rPr>
        <w:t>иновацију</w:t>
      </w:r>
      <w:r w:rsidR="00A443AC" w:rsidRPr="00295637">
        <w:rPr>
          <w:rFonts w:ascii="Times New Roman" w:hAnsi="Times New Roman"/>
          <w:lang w:val="sr-Cyrl-BA"/>
        </w:rPr>
        <w:t xml:space="preserve"> </w:t>
      </w:r>
      <w:r w:rsidR="00C6214E">
        <w:rPr>
          <w:rFonts w:ascii="Times New Roman" w:hAnsi="Times New Roman"/>
          <w:lang w:val="sr-Cyrl-BA"/>
        </w:rPr>
        <w:t>у</w:t>
      </w:r>
      <w:r w:rsidR="00A443AC" w:rsidRPr="00295637">
        <w:rPr>
          <w:rFonts w:ascii="Times New Roman" w:hAnsi="Times New Roman"/>
          <w:lang w:val="sr-Cyrl-BA"/>
        </w:rPr>
        <w:t xml:space="preserve"> </w:t>
      </w:r>
      <w:r w:rsidR="00C6214E">
        <w:rPr>
          <w:rFonts w:ascii="Times New Roman" w:hAnsi="Times New Roman"/>
          <w:lang w:val="sr-Cyrl-BA"/>
        </w:rPr>
        <w:t>шест</w:t>
      </w:r>
      <w:r w:rsidR="00A443AC" w:rsidRPr="00295637">
        <w:rPr>
          <w:rFonts w:ascii="Times New Roman" w:hAnsi="Times New Roman"/>
          <w:lang w:val="sr-Cyrl-BA"/>
        </w:rPr>
        <w:t xml:space="preserve"> </w:t>
      </w:r>
      <w:r w:rsidR="00C6214E">
        <w:rPr>
          <w:rFonts w:ascii="Times New Roman" w:hAnsi="Times New Roman"/>
          <w:lang w:val="sr-Cyrl-BA"/>
        </w:rPr>
        <w:t>тимова</w:t>
      </w:r>
      <w:r w:rsidR="00A443AC" w:rsidRPr="00295637">
        <w:rPr>
          <w:rFonts w:ascii="Times New Roman" w:hAnsi="Times New Roman"/>
          <w:lang w:val="sr-Cyrl-BA"/>
        </w:rPr>
        <w:t xml:space="preserve"> </w:t>
      </w:r>
      <w:r w:rsidR="00C6214E">
        <w:rPr>
          <w:rFonts w:ascii="Times New Roman" w:hAnsi="Times New Roman"/>
          <w:lang w:val="sr-Cyrl-BA"/>
        </w:rPr>
        <w:t>било</w:t>
      </w:r>
      <w:r w:rsidR="00A443AC" w:rsidRPr="00295637">
        <w:rPr>
          <w:rFonts w:ascii="Times New Roman" w:hAnsi="Times New Roman"/>
          <w:lang w:val="sr-Cyrl-BA"/>
        </w:rPr>
        <w:t xml:space="preserve"> </w:t>
      </w:r>
      <w:r w:rsidR="00C6214E">
        <w:rPr>
          <w:rFonts w:ascii="Times New Roman" w:hAnsi="Times New Roman"/>
          <w:lang w:val="sr-Cyrl-BA"/>
        </w:rPr>
        <w:t>је</w:t>
      </w:r>
      <w:r w:rsidR="00A443AC" w:rsidRPr="00295637">
        <w:rPr>
          <w:rFonts w:ascii="Times New Roman" w:hAnsi="Times New Roman"/>
          <w:lang w:val="sr-Cyrl-BA"/>
        </w:rPr>
        <w:t xml:space="preserve"> </w:t>
      </w:r>
      <w:r w:rsidR="00C6214E">
        <w:rPr>
          <w:rFonts w:ascii="Times New Roman" w:hAnsi="Times New Roman"/>
          <w:lang w:val="sr-Cyrl-BA"/>
        </w:rPr>
        <w:t>укупно</w:t>
      </w:r>
      <w:r w:rsidR="00A443AC" w:rsidRPr="00295637">
        <w:rPr>
          <w:rFonts w:ascii="Times New Roman" w:hAnsi="Times New Roman"/>
          <w:lang w:val="sr-Cyrl-BA"/>
        </w:rPr>
        <w:t xml:space="preserve"> 18 </w:t>
      </w:r>
      <w:r w:rsidR="00C6214E">
        <w:rPr>
          <w:rFonts w:ascii="Times New Roman" w:hAnsi="Times New Roman"/>
          <w:lang w:val="sr-Cyrl-BA"/>
        </w:rPr>
        <w:t>такмичара</w:t>
      </w:r>
      <w:r w:rsidR="00A443AC" w:rsidRPr="00295637">
        <w:rPr>
          <w:rFonts w:ascii="Times New Roman" w:hAnsi="Times New Roman"/>
          <w:lang w:val="sr-Cyrl-BA"/>
        </w:rPr>
        <w:t xml:space="preserve">, </w:t>
      </w:r>
      <w:r w:rsidR="00C6214E">
        <w:rPr>
          <w:rFonts w:ascii="Times New Roman" w:hAnsi="Times New Roman"/>
          <w:lang w:val="sr-Cyrl-BA"/>
        </w:rPr>
        <w:t>од</w:t>
      </w:r>
      <w:r w:rsidR="00A443AC" w:rsidRPr="00295637">
        <w:rPr>
          <w:rFonts w:ascii="Times New Roman" w:hAnsi="Times New Roman"/>
          <w:lang w:val="sr-Cyrl-BA"/>
        </w:rPr>
        <w:t xml:space="preserve"> </w:t>
      </w:r>
      <w:r w:rsidR="00C6214E">
        <w:rPr>
          <w:rFonts w:ascii="Times New Roman" w:hAnsi="Times New Roman"/>
          <w:lang w:val="sr-Cyrl-BA"/>
        </w:rPr>
        <w:t>тога</w:t>
      </w:r>
      <w:r w:rsidR="00A443AC" w:rsidRPr="00295637">
        <w:rPr>
          <w:rFonts w:ascii="Times New Roman" w:hAnsi="Times New Roman"/>
          <w:lang w:val="sr-Cyrl-BA"/>
        </w:rPr>
        <w:t xml:space="preserve"> 10 </w:t>
      </w:r>
      <w:r w:rsidR="00C6214E">
        <w:rPr>
          <w:rFonts w:ascii="Times New Roman" w:hAnsi="Times New Roman"/>
          <w:lang w:val="sr-Cyrl-BA"/>
        </w:rPr>
        <w:t>мушких</w:t>
      </w:r>
      <w:r w:rsidR="00A443AC" w:rsidRPr="00295637">
        <w:rPr>
          <w:rFonts w:ascii="Times New Roman" w:hAnsi="Times New Roman"/>
          <w:lang w:val="sr-Cyrl-BA"/>
        </w:rPr>
        <w:t xml:space="preserve"> </w:t>
      </w:r>
      <w:r w:rsidR="00C6214E">
        <w:rPr>
          <w:rFonts w:ascii="Times New Roman" w:hAnsi="Times New Roman"/>
          <w:lang w:val="sr-Cyrl-BA"/>
        </w:rPr>
        <w:t>и</w:t>
      </w:r>
      <w:r w:rsidR="00A443AC" w:rsidRPr="00295637">
        <w:rPr>
          <w:rFonts w:ascii="Times New Roman" w:hAnsi="Times New Roman"/>
          <w:lang w:val="sr-Cyrl-BA"/>
        </w:rPr>
        <w:t xml:space="preserve"> 8 </w:t>
      </w:r>
      <w:r w:rsidR="00C6214E">
        <w:rPr>
          <w:rFonts w:ascii="Times New Roman" w:hAnsi="Times New Roman"/>
          <w:lang w:val="sr-Cyrl-BA"/>
        </w:rPr>
        <w:t>женских</w:t>
      </w:r>
      <w:r w:rsidR="00A443AC" w:rsidRPr="00295637">
        <w:rPr>
          <w:rFonts w:ascii="Times New Roman" w:hAnsi="Times New Roman"/>
          <w:lang w:val="sr-Latn-BA"/>
        </w:rPr>
        <w:t xml:space="preserve">. </w:t>
      </w:r>
      <w:r w:rsidR="00C6214E">
        <w:rPr>
          <w:rFonts w:ascii="Times New Roman" w:hAnsi="Times New Roman"/>
          <w:lang w:val="sr-Latn-BA"/>
        </w:rPr>
        <w:t>Одржана</w:t>
      </w:r>
      <w:r w:rsidR="00A443AC" w:rsidRPr="00295637">
        <w:rPr>
          <w:rFonts w:ascii="Times New Roman" w:hAnsi="Times New Roman"/>
          <w:lang w:val="sr-Latn-BA"/>
        </w:rPr>
        <w:t xml:space="preserve"> </w:t>
      </w:r>
      <w:r w:rsidR="00C6214E">
        <w:rPr>
          <w:rFonts w:ascii="Times New Roman" w:hAnsi="Times New Roman"/>
          <w:lang w:val="sr-Latn-BA"/>
        </w:rPr>
        <w:t>је</w:t>
      </w:r>
      <w:r w:rsidR="00A443AC" w:rsidRPr="00295637">
        <w:rPr>
          <w:rFonts w:ascii="Times New Roman" w:hAnsi="Times New Roman"/>
          <w:lang w:val="sr-Latn-BA"/>
        </w:rPr>
        <w:t xml:space="preserve"> </w:t>
      </w:r>
      <w:r w:rsidR="00C6214E">
        <w:rPr>
          <w:rFonts w:ascii="Times New Roman" w:hAnsi="Times New Roman"/>
          <w:lang w:val="sr-Latn-BA"/>
        </w:rPr>
        <w:t>к</w:t>
      </w:r>
      <w:r w:rsidR="00C6214E">
        <w:rPr>
          <w:rFonts w:ascii="Times New Roman" w:hAnsi="Times New Roman"/>
          <w:lang w:val="sr-Cyrl-BA"/>
        </w:rPr>
        <w:t>онференција</w:t>
      </w:r>
      <w:r w:rsidR="00A443AC" w:rsidRPr="00295637">
        <w:rPr>
          <w:rFonts w:ascii="Times New Roman" w:hAnsi="Times New Roman"/>
          <w:lang w:val="sr-Cyrl-BA"/>
        </w:rPr>
        <w:t xml:space="preserve"> </w:t>
      </w:r>
      <w:r w:rsidR="006A052B" w:rsidRPr="00295637">
        <w:rPr>
          <w:rFonts w:ascii="Times New Roman" w:hAnsi="Times New Roman"/>
          <w:lang w:val="bs-Latn-BA"/>
        </w:rPr>
        <w:t>„</w:t>
      </w:r>
      <w:r w:rsidRPr="00CB20DF">
        <w:rPr>
          <w:rFonts w:ascii="Times New Roman" w:hAnsi="Times New Roman"/>
          <w:i/>
          <w:lang w:val="sr-Cyrl-BA"/>
        </w:rPr>
        <w:t>For</w:t>
      </w:r>
      <w:r w:rsidRPr="00CB20DF">
        <w:rPr>
          <w:rFonts w:ascii="Times New Roman" w:hAnsi="Times New Roman"/>
          <w:i/>
          <w:lang w:val="sr-Latn-BA"/>
        </w:rPr>
        <w:t>w</w:t>
      </w:r>
      <w:r w:rsidRPr="00CB20DF">
        <w:rPr>
          <w:rFonts w:ascii="Times New Roman" w:hAnsi="Times New Roman"/>
          <w:i/>
          <w:lang w:val="sr-Cyrl-BA"/>
        </w:rPr>
        <w:t>ard</w:t>
      </w:r>
      <w:r w:rsidR="006A052B" w:rsidRPr="00295637">
        <w:rPr>
          <w:rFonts w:ascii="Times New Roman" w:hAnsi="Times New Roman"/>
          <w:lang w:val="bs-Latn-BA"/>
        </w:rPr>
        <w:t>“</w:t>
      </w:r>
      <w:r w:rsidR="00932F8C">
        <w:rPr>
          <w:rFonts w:ascii="Times New Roman" w:hAnsi="Times New Roman"/>
          <w:lang w:val="sr-Cyrl-BA"/>
        </w:rPr>
        <w:t xml:space="preserve">, </w:t>
      </w:r>
      <w:r w:rsidR="00C6214E">
        <w:rPr>
          <w:rFonts w:ascii="Times New Roman" w:hAnsi="Times New Roman"/>
          <w:lang w:val="sr-Cyrl-BA"/>
        </w:rPr>
        <w:t>с</w:t>
      </w:r>
      <w:r w:rsidR="00C6214E">
        <w:rPr>
          <w:rFonts w:ascii="Times New Roman" w:hAnsi="Times New Roman"/>
          <w:lang w:val="hr-HR"/>
        </w:rPr>
        <w:t>а</w:t>
      </w:r>
      <w:r w:rsidR="00A443AC" w:rsidRPr="00295637">
        <w:rPr>
          <w:rFonts w:ascii="Times New Roman" w:hAnsi="Times New Roman"/>
          <w:lang w:val="sr-Cyrl-BA"/>
        </w:rPr>
        <w:t xml:space="preserve"> </w:t>
      </w:r>
      <w:r w:rsidR="00C6214E">
        <w:rPr>
          <w:rFonts w:ascii="Times New Roman" w:hAnsi="Times New Roman"/>
          <w:lang w:val="sr-Cyrl-BA"/>
        </w:rPr>
        <w:t>тем</w:t>
      </w:r>
      <w:r w:rsidR="00C6214E">
        <w:rPr>
          <w:rFonts w:ascii="Times New Roman" w:hAnsi="Times New Roman"/>
          <w:lang w:val="sr-Latn-BA"/>
        </w:rPr>
        <w:t>ом</w:t>
      </w:r>
      <w:r w:rsidR="00A443AC" w:rsidRPr="00295637">
        <w:rPr>
          <w:rFonts w:ascii="Times New Roman" w:hAnsi="Times New Roman"/>
          <w:lang w:val="sr-Cyrl-BA"/>
        </w:rPr>
        <w:t xml:space="preserve"> </w:t>
      </w:r>
      <w:r w:rsidR="00C6214E">
        <w:rPr>
          <w:rFonts w:ascii="Times New Roman" w:hAnsi="Times New Roman"/>
          <w:lang w:val="sr-Cyrl-BA"/>
        </w:rPr>
        <w:t>акту</w:t>
      </w:r>
      <w:r w:rsidR="00C6214E">
        <w:rPr>
          <w:rFonts w:ascii="Times New Roman" w:hAnsi="Times New Roman"/>
          <w:lang w:val="hr-HR"/>
        </w:rPr>
        <w:t>е</w:t>
      </w:r>
      <w:r w:rsidR="00C6214E">
        <w:rPr>
          <w:rFonts w:ascii="Times New Roman" w:hAnsi="Times New Roman"/>
          <w:lang w:val="sr-Cyrl-BA"/>
        </w:rPr>
        <w:t>лности</w:t>
      </w:r>
      <w:r w:rsidR="00A443AC" w:rsidRPr="00295637">
        <w:rPr>
          <w:rFonts w:ascii="Times New Roman" w:hAnsi="Times New Roman"/>
          <w:lang w:val="sr-Cyrl-BA"/>
        </w:rPr>
        <w:t xml:space="preserve"> </w:t>
      </w:r>
      <w:r w:rsidR="00C6214E">
        <w:rPr>
          <w:rFonts w:ascii="Times New Roman" w:hAnsi="Times New Roman"/>
          <w:lang w:val="sr-Cyrl-BA"/>
        </w:rPr>
        <w:t>у</w:t>
      </w:r>
      <w:r w:rsidR="00A443AC" w:rsidRPr="00295637">
        <w:rPr>
          <w:rFonts w:ascii="Times New Roman" w:hAnsi="Times New Roman"/>
          <w:lang w:val="sr-Cyrl-BA"/>
        </w:rPr>
        <w:t xml:space="preserve"> </w:t>
      </w:r>
      <w:r w:rsidR="00C6214E">
        <w:rPr>
          <w:rFonts w:ascii="Times New Roman" w:hAnsi="Times New Roman"/>
          <w:lang w:val="hr-HR"/>
        </w:rPr>
        <w:t>области</w:t>
      </w:r>
      <w:r w:rsidR="00A443AC" w:rsidRPr="00295637">
        <w:rPr>
          <w:rFonts w:ascii="Times New Roman" w:hAnsi="Times New Roman"/>
          <w:lang w:val="sr-Cyrl-BA"/>
        </w:rPr>
        <w:t xml:space="preserve"> </w:t>
      </w:r>
      <w:r w:rsidR="00C6214E">
        <w:rPr>
          <w:rFonts w:ascii="Times New Roman" w:hAnsi="Times New Roman"/>
          <w:lang w:val="sr-Cyrl-BA"/>
        </w:rPr>
        <w:t>вјештачке</w:t>
      </w:r>
      <w:r w:rsidR="00A443AC" w:rsidRPr="00295637">
        <w:rPr>
          <w:rFonts w:ascii="Times New Roman" w:hAnsi="Times New Roman"/>
          <w:lang w:val="sr-Cyrl-BA"/>
        </w:rPr>
        <w:t xml:space="preserve"> </w:t>
      </w:r>
      <w:r w:rsidR="00C6214E">
        <w:rPr>
          <w:rFonts w:ascii="Times New Roman" w:hAnsi="Times New Roman"/>
          <w:lang w:val="sr-Cyrl-BA"/>
        </w:rPr>
        <w:t>интелигенције</w:t>
      </w:r>
      <w:r w:rsidR="00A443AC" w:rsidRPr="00295637">
        <w:rPr>
          <w:rFonts w:ascii="Times New Roman" w:hAnsi="Times New Roman"/>
          <w:lang w:val="sr-Latn-BA"/>
        </w:rPr>
        <w:t xml:space="preserve"> (</w:t>
      </w:r>
      <w:r w:rsidR="00C6214E">
        <w:rPr>
          <w:rFonts w:ascii="Times New Roman" w:hAnsi="Times New Roman"/>
          <w:lang w:val="sr-Cyrl-BA"/>
        </w:rPr>
        <w:t>од</w:t>
      </w:r>
      <w:r w:rsidR="00A443AC" w:rsidRPr="00295637">
        <w:rPr>
          <w:rFonts w:ascii="Times New Roman" w:hAnsi="Times New Roman"/>
          <w:lang w:val="sr-Cyrl-BA"/>
        </w:rPr>
        <w:t xml:space="preserve"> </w:t>
      </w:r>
      <w:r w:rsidR="00C6214E">
        <w:rPr>
          <w:rFonts w:ascii="Times New Roman" w:hAnsi="Times New Roman"/>
          <w:lang w:val="sr-Cyrl-BA"/>
        </w:rPr>
        <w:t>укупно</w:t>
      </w:r>
      <w:r w:rsidR="00A443AC" w:rsidRPr="00295637">
        <w:rPr>
          <w:rFonts w:ascii="Times New Roman" w:hAnsi="Times New Roman"/>
          <w:lang w:val="sr-Cyrl-BA"/>
        </w:rPr>
        <w:t xml:space="preserve"> 23 </w:t>
      </w:r>
      <w:r w:rsidR="00C6214E">
        <w:rPr>
          <w:rFonts w:ascii="Times New Roman" w:hAnsi="Times New Roman"/>
          <w:lang w:val="sr-Cyrl-BA"/>
        </w:rPr>
        <w:t>предавача</w:t>
      </w:r>
      <w:r w:rsidR="00A443AC" w:rsidRPr="00295637">
        <w:rPr>
          <w:rFonts w:ascii="Times New Roman" w:hAnsi="Times New Roman"/>
          <w:lang w:val="sr-Cyrl-BA"/>
        </w:rPr>
        <w:t xml:space="preserve">, 17 </w:t>
      </w:r>
      <w:r w:rsidR="00C6214E">
        <w:rPr>
          <w:rFonts w:ascii="Times New Roman" w:hAnsi="Times New Roman"/>
          <w:lang w:val="sr-Cyrl-BA"/>
        </w:rPr>
        <w:t>је</w:t>
      </w:r>
      <w:r w:rsidR="00A443AC" w:rsidRPr="00295637">
        <w:rPr>
          <w:rFonts w:ascii="Times New Roman" w:hAnsi="Times New Roman"/>
          <w:lang w:val="sr-Cyrl-BA"/>
        </w:rPr>
        <w:t xml:space="preserve"> </w:t>
      </w:r>
      <w:r w:rsidR="00C6214E">
        <w:rPr>
          <w:rFonts w:ascii="Times New Roman" w:hAnsi="Times New Roman"/>
          <w:lang w:val="sr-Cyrl-BA"/>
        </w:rPr>
        <w:t>било</w:t>
      </w:r>
      <w:r w:rsidR="00A443AC" w:rsidRPr="00295637">
        <w:rPr>
          <w:rFonts w:ascii="Times New Roman" w:hAnsi="Times New Roman"/>
          <w:lang w:val="sr-Cyrl-BA"/>
        </w:rPr>
        <w:t xml:space="preserve"> </w:t>
      </w:r>
      <w:r w:rsidR="00C6214E">
        <w:rPr>
          <w:rFonts w:ascii="Times New Roman" w:hAnsi="Times New Roman"/>
          <w:lang w:val="sr-Cyrl-BA"/>
        </w:rPr>
        <w:t>мушког</w:t>
      </w:r>
      <w:r w:rsidR="00A443AC" w:rsidRPr="00295637">
        <w:rPr>
          <w:rFonts w:ascii="Times New Roman" w:hAnsi="Times New Roman"/>
          <w:lang w:val="sr-Cyrl-BA"/>
        </w:rPr>
        <w:t xml:space="preserve"> </w:t>
      </w:r>
      <w:r w:rsidR="00C6214E">
        <w:rPr>
          <w:rFonts w:ascii="Times New Roman" w:hAnsi="Times New Roman"/>
          <w:lang w:val="sr-Cyrl-BA"/>
        </w:rPr>
        <w:t>пола</w:t>
      </w:r>
      <w:r w:rsidR="00A443AC" w:rsidRPr="00295637">
        <w:rPr>
          <w:rFonts w:ascii="Times New Roman" w:hAnsi="Times New Roman"/>
          <w:lang w:val="sr-Cyrl-BA"/>
        </w:rPr>
        <w:t xml:space="preserve">, </w:t>
      </w:r>
      <w:r w:rsidR="00C6214E">
        <w:rPr>
          <w:rFonts w:ascii="Times New Roman" w:hAnsi="Times New Roman"/>
          <w:lang w:val="sr-Cyrl-BA"/>
        </w:rPr>
        <w:t>а</w:t>
      </w:r>
      <w:r w:rsidR="00A443AC" w:rsidRPr="00295637">
        <w:rPr>
          <w:rFonts w:ascii="Times New Roman" w:hAnsi="Times New Roman"/>
          <w:lang w:val="sr-Cyrl-BA"/>
        </w:rPr>
        <w:t xml:space="preserve"> </w:t>
      </w:r>
      <w:r w:rsidR="00A443AC" w:rsidRPr="00295637">
        <w:rPr>
          <w:rFonts w:ascii="Times New Roman" w:hAnsi="Times New Roman"/>
          <w:lang w:val="sr-Latn-BA"/>
        </w:rPr>
        <w:t>6</w:t>
      </w:r>
      <w:r w:rsidR="00A443AC" w:rsidRPr="00295637">
        <w:rPr>
          <w:rFonts w:ascii="Times New Roman" w:hAnsi="Times New Roman"/>
          <w:lang w:val="sr-Cyrl-BA"/>
        </w:rPr>
        <w:t xml:space="preserve"> </w:t>
      </w:r>
      <w:r w:rsidR="00C6214E">
        <w:rPr>
          <w:rFonts w:ascii="Times New Roman" w:hAnsi="Times New Roman"/>
          <w:lang w:val="sr-Cyrl-BA"/>
        </w:rPr>
        <w:t>женског</w:t>
      </w:r>
      <w:r w:rsidR="00A443AC" w:rsidRPr="00295637">
        <w:rPr>
          <w:rFonts w:ascii="Times New Roman" w:hAnsi="Times New Roman"/>
          <w:lang w:val="sr-Latn-BA"/>
        </w:rPr>
        <w:t xml:space="preserve">). </w:t>
      </w:r>
      <w:r w:rsidR="00C6214E">
        <w:rPr>
          <w:rFonts w:ascii="Times New Roman" w:hAnsi="Times New Roman"/>
          <w:lang w:val="sr-Latn-BA"/>
        </w:rPr>
        <w:t>Одржан</w:t>
      </w:r>
      <w:r w:rsidR="00A443AC" w:rsidRPr="00295637">
        <w:rPr>
          <w:rFonts w:ascii="Times New Roman" w:hAnsi="Times New Roman"/>
          <w:lang w:val="sr-Latn-BA"/>
        </w:rPr>
        <w:t xml:space="preserve"> </w:t>
      </w:r>
      <w:r w:rsidR="00C6214E">
        <w:rPr>
          <w:rFonts w:ascii="Times New Roman" w:hAnsi="Times New Roman"/>
          <w:lang w:val="sr-Latn-BA"/>
        </w:rPr>
        <w:t>је</w:t>
      </w:r>
      <w:r w:rsidR="00A443AC" w:rsidRPr="00295637">
        <w:rPr>
          <w:rFonts w:ascii="Times New Roman" w:hAnsi="Times New Roman"/>
          <w:lang w:val="sr-Latn-BA"/>
        </w:rPr>
        <w:t xml:space="preserve"> </w:t>
      </w:r>
      <w:r w:rsidR="00C6214E">
        <w:rPr>
          <w:rFonts w:ascii="Times New Roman" w:hAnsi="Times New Roman"/>
          <w:lang w:val="sr-Cyrl-BA"/>
        </w:rPr>
        <w:t>Дванаести</w:t>
      </w:r>
      <w:r w:rsidR="00932F8C">
        <w:rPr>
          <w:rFonts w:ascii="Times New Roman" w:hAnsi="Times New Roman"/>
          <w:lang w:val="sr-Cyrl-BA"/>
        </w:rPr>
        <w:t xml:space="preserve"> </w:t>
      </w:r>
      <w:r w:rsidR="00C6214E">
        <w:rPr>
          <w:rFonts w:ascii="Times New Roman" w:hAnsi="Times New Roman"/>
          <w:lang w:val="hr-HR"/>
        </w:rPr>
        <w:t>ф</w:t>
      </w:r>
      <w:r w:rsidR="00C6214E">
        <w:rPr>
          <w:rFonts w:ascii="Times New Roman" w:hAnsi="Times New Roman"/>
          <w:lang w:val="sr-Cyrl-BA"/>
        </w:rPr>
        <w:t>естивал</w:t>
      </w:r>
      <w:r w:rsidR="00A443AC" w:rsidRPr="00295637">
        <w:rPr>
          <w:rFonts w:ascii="Times New Roman" w:hAnsi="Times New Roman"/>
          <w:lang w:val="sr-Cyrl-BA"/>
        </w:rPr>
        <w:t xml:space="preserve"> </w:t>
      </w:r>
      <w:r w:rsidR="00C6214E">
        <w:rPr>
          <w:rFonts w:ascii="Times New Roman" w:hAnsi="Times New Roman"/>
          <w:lang w:val="hr-HR"/>
        </w:rPr>
        <w:t>науке</w:t>
      </w:r>
      <w:r w:rsidR="00A443AC" w:rsidRPr="00295637">
        <w:rPr>
          <w:rFonts w:ascii="Times New Roman" w:hAnsi="Times New Roman"/>
          <w:lang w:val="sr-Cyrl-BA"/>
        </w:rPr>
        <w:t xml:space="preserve"> (23</w:t>
      </w:r>
      <w:r>
        <w:rPr>
          <w:rFonts w:ascii="Times New Roman" w:hAnsi="Times New Roman"/>
          <w:lang w:val="sr-Cyrl-BA"/>
        </w:rPr>
        <w:t>.</w:t>
      </w:r>
      <w:r w:rsidR="00A443AC" w:rsidRPr="00295637">
        <w:rPr>
          <w:rFonts w:ascii="Times New Roman" w:hAnsi="Times New Roman"/>
          <w:lang w:val="sr-Cyrl-BA"/>
        </w:rPr>
        <w:t>-24</w:t>
      </w:r>
      <w:r w:rsidR="00A443AC" w:rsidRPr="00295637">
        <w:rPr>
          <w:rFonts w:ascii="Times New Roman" w:hAnsi="Times New Roman"/>
          <w:lang w:val="sr-Latn-BA"/>
        </w:rPr>
        <w:t>.</w:t>
      </w:r>
      <w:r w:rsidR="00A443AC" w:rsidRPr="00295637">
        <w:rPr>
          <w:rFonts w:ascii="Times New Roman" w:hAnsi="Times New Roman"/>
          <w:lang w:val="sr-Cyrl-BA"/>
        </w:rPr>
        <w:t xml:space="preserve"> </w:t>
      </w:r>
      <w:r w:rsidR="00C6214E">
        <w:rPr>
          <w:rFonts w:ascii="Times New Roman" w:hAnsi="Times New Roman"/>
          <w:lang w:val="hr-HR"/>
        </w:rPr>
        <w:t>мај</w:t>
      </w:r>
      <w:r w:rsidR="00A443AC" w:rsidRPr="00295637">
        <w:rPr>
          <w:rFonts w:ascii="Times New Roman" w:hAnsi="Times New Roman"/>
          <w:lang w:val="sr-Cyrl-BA"/>
        </w:rPr>
        <w:t xml:space="preserve"> 2024</w:t>
      </w:r>
      <w:r w:rsidR="00932F8C">
        <w:rPr>
          <w:rFonts w:ascii="Times New Roman" w:hAnsi="Times New Roman"/>
          <w:lang w:val="hr-HR"/>
        </w:rPr>
        <w:t>.</w:t>
      </w:r>
      <w:r w:rsidR="00A443AC" w:rsidRPr="00295637">
        <w:rPr>
          <w:rFonts w:ascii="Times New Roman" w:hAnsi="Times New Roman"/>
          <w:lang w:val="sr-Cyrl-BA"/>
        </w:rPr>
        <w:t>)</w:t>
      </w:r>
      <w:r w:rsidR="00932F8C">
        <w:rPr>
          <w:rFonts w:ascii="Times New Roman" w:hAnsi="Times New Roman"/>
          <w:lang w:val="sr-Latn-BA"/>
        </w:rPr>
        <w:t xml:space="preserve">, </w:t>
      </w:r>
      <w:r w:rsidR="00C6214E">
        <w:rPr>
          <w:rFonts w:ascii="Times New Roman" w:hAnsi="Times New Roman"/>
          <w:lang w:val="sr-Latn-BA"/>
        </w:rPr>
        <w:t>са</w:t>
      </w:r>
      <w:r w:rsidR="00A443AC" w:rsidRPr="00295637">
        <w:rPr>
          <w:rFonts w:ascii="Times New Roman" w:hAnsi="Times New Roman"/>
          <w:lang w:val="sr-Latn-BA"/>
        </w:rPr>
        <w:t xml:space="preserve"> </w:t>
      </w:r>
      <w:r w:rsidR="00C6214E">
        <w:rPr>
          <w:rFonts w:ascii="Times New Roman" w:hAnsi="Times New Roman"/>
          <w:lang w:val="sr-Latn-BA"/>
        </w:rPr>
        <w:t>р</w:t>
      </w:r>
      <w:r w:rsidR="00C6214E">
        <w:rPr>
          <w:rFonts w:ascii="Times New Roman" w:hAnsi="Times New Roman"/>
          <w:lang w:val="sr-Cyrl-BA"/>
        </w:rPr>
        <w:t>азноликим</w:t>
      </w:r>
      <w:r w:rsidR="00A443AC" w:rsidRPr="00295637">
        <w:rPr>
          <w:rFonts w:ascii="Times New Roman" w:hAnsi="Times New Roman"/>
          <w:lang w:val="sr-Cyrl-BA"/>
        </w:rPr>
        <w:t xml:space="preserve"> </w:t>
      </w:r>
      <w:r w:rsidR="00C6214E">
        <w:rPr>
          <w:rFonts w:ascii="Times New Roman" w:hAnsi="Times New Roman"/>
          <w:lang w:val="sr-Cyrl-BA"/>
        </w:rPr>
        <w:t>садржајем</w:t>
      </w:r>
      <w:r w:rsidR="00A443AC" w:rsidRPr="00295637">
        <w:rPr>
          <w:rFonts w:ascii="Times New Roman" w:hAnsi="Times New Roman"/>
          <w:lang w:val="sr-Cyrl-BA"/>
        </w:rPr>
        <w:t xml:space="preserve"> (</w:t>
      </w:r>
      <w:r w:rsidR="00C6214E">
        <w:rPr>
          <w:rFonts w:ascii="Times New Roman" w:hAnsi="Times New Roman"/>
          <w:lang w:val="sr-Cyrl-BA"/>
        </w:rPr>
        <w:t>радионице</w:t>
      </w:r>
      <w:r w:rsidR="00A443AC" w:rsidRPr="00295637">
        <w:rPr>
          <w:rFonts w:ascii="Times New Roman" w:hAnsi="Times New Roman"/>
          <w:lang w:val="sr-Cyrl-BA"/>
        </w:rPr>
        <w:t xml:space="preserve">, </w:t>
      </w:r>
      <w:r w:rsidR="00C6214E">
        <w:rPr>
          <w:rFonts w:ascii="Times New Roman" w:hAnsi="Times New Roman"/>
          <w:lang w:val="sr-Cyrl-BA"/>
        </w:rPr>
        <w:t>експерименти</w:t>
      </w:r>
      <w:r w:rsidR="00A443AC" w:rsidRPr="00295637">
        <w:rPr>
          <w:rFonts w:ascii="Times New Roman" w:hAnsi="Times New Roman"/>
          <w:lang w:val="sr-Cyrl-BA"/>
        </w:rPr>
        <w:t xml:space="preserve">, </w:t>
      </w:r>
      <w:r w:rsidR="00C6214E">
        <w:rPr>
          <w:rFonts w:ascii="Times New Roman" w:hAnsi="Times New Roman"/>
          <w:lang w:val="sr-Cyrl-BA"/>
        </w:rPr>
        <w:t>презентације</w:t>
      </w:r>
      <w:r w:rsidR="00A443AC" w:rsidRPr="00295637">
        <w:rPr>
          <w:rFonts w:ascii="Times New Roman" w:hAnsi="Times New Roman"/>
          <w:lang w:val="sr-Cyrl-BA"/>
        </w:rPr>
        <w:t xml:space="preserve">, </w:t>
      </w:r>
      <w:r w:rsidR="00C6214E">
        <w:rPr>
          <w:rFonts w:ascii="Times New Roman" w:hAnsi="Times New Roman"/>
          <w:lang w:val="sr-Cyrl-BA"/>
        </w:rPr>
        <w:t>изложбе</w:t>
      </w:r>
      <w:r w:rsidR="00A443AC" w:rsidRPr="00295637">
        <w:rPr>
          <w:rFonts w:ascii="Times New Roman" w:hAnsi="Times New Roman"/>
          <w:lang w:val="sr-Cyrl-BA"/>
        </w:rPr>
        <w:t xml:space="preserve">) </w:t>
      </w:r>
      <w:r w:rsidR="00C6214E">
        <w:rPr>
          <w:rFonts w:ascii="Times New Roman" w:hAnsi="Times New Roman"/>
          <w:lang w:val="sr-Cyrl-BA"/>
        </w:rPr>
        <w:t>за</w:t>
      </w:r>
      <w:r w:rsidR="00A443AC" w:rsidRPr="00295637">
        <w:rPr>
          <w:rFonts w:ascii="Times New Roman" w:hAnsi="Times New Roman"/>
          <w:lang w:val="sr-Cyrl-BA"/>
        </w:rPr>
        <w:t xml:space="preserve"> </w:t>
      </w:r>
      <w:r w:rsidR="00C6214E">
        <w:rPr>
          <w:rFonts w:ascii="Times New Roman" w:hAnsi="Times New Roman"/>
          <w:lang w:val="sr-Cyrl-BA"/>
        </w:rPr>
        <w:t>ученике</w:t>
      </w:r>
      <w:r w:rsidR="00A443AC" w:rsidRPr="00295637">
        <w:rPr>
          <w:rFonts w:ascii="Times New Roman" w:hAnsi="Times New Roman"/>
          <w:lang w:val="sr-Cyrl-BA"/>
        </w:rPr>
        <w:t xml:space="preserve"> </w:t>
      </w:r>
      <w:r w:rsidR="00C6214E">
        <w:rPr>
          <w:rFonts w:ascii="Times New Roman" w:hAnsi="Times New Roman"/>
          <w:lang w:val="sr-Cyrl-BA"/>
        </w:rPr>
        <w:t>и</w:t>
      </w:r>
      <w:r w:rsidR="00A443AC" w:rsidRPr="00295637">
        <w:rPr>
          <w:rFonts w:ascii="Times New Roman" w:hAnsi="Times New Roman"/>
          <w:lang w:val="sr-Cyrl-BA"/>
        </w:rPr>
        <w:t xml:space="preserve"> </w:t>
      </w:r>
      <w:r w:rsidR="00C6214E">
        <w:rPr>
          <w:rFonts w:ascii="Times New Roman" w:hAnsi="Times New Roman"/>
          <w:lang w:val="sr-Cyrl-BA"/>
        </w:rPr>
        <w:t>студенте</w:t>
      </w:r>
      <w:r w:rsidR="00A443AC" w:rsidRPr="00295637">
        <w:rPr>
          <w:rFonts w:ascii="Times New Roman" w:hAnsi="Times New Roman"/>
          <w:lang w:val="sr-Cyrl-BA"/>
        </w:rPr>
        <w:t xml:space="preserve"> </w:t>
      </w:r>
      <w:r w:rsidR="00C6214E">
        <w:rPr>
          <w:rFonts w:ascii="Times New Roman" w:hAnsi="Times New Roman"/>
          <w:lang w:val="sr-Latn-BA"/>
        </w:rPr>
        <w:t>и</w:t>
      </w:r>
      <w:r w:rsidR="00A443AC" w:rsidRPr="00295637">
        <w:rPr>
          <w:rFonts w:ascii="Times New Roman" w:hAnsi="Times New Roman"/>
          <w:lang w:val="sr-Latn-BA"/>
        </w:rPr>
        <w:t xml:space="preserve"> </w:t>
      </w:r>
      <w:r w:rsidR="00C6214E">
        <w:rPr>
          <w:rFonts w:ascii="Times New Roman" w:hAnsi="Times New Roman"/>
          <w:lang w:val="sr-Latn-BA"/>
        </w:rPr>
        <w:t>посебно</w:t>
      </w:r>
      <w:r w:rsidR="00A443AC" w:rsidRPr="00295637">
        <w:rPr>
          <w:rFonts w:ascii="Times New Roman" w:hAnsi="Times New Roman"/>
          <w:lang w:val="sr-Latn-BA"/>
        </w:rPr>
        <w:t xml:space="preserve"> </w:t>
      </w:r>
      <w:r w:rsidR="00C6214E">
        <w:rPr>
          <w:rFonts w:ascii="Times New Roman" w:hAnsi="Times New Roman"/>
          <w:lang w:val="sr-Latn-BA"/>
        </w:rPr>
        <w:t>је</w:t>
      </w:r>
      <w:r w:rsidR="00A443AC" w:rsidRPr="00295637">
        <w:rPr>
          <w:rFonts w:ascii="Times New Roman" w:hAnsi="Times New Roman"/>
          <w:lang w:val="sr-Latn-BA"/>
        </w:rPr>
        <w:t xml:space="preserve"> </w:t>
      </w:r>
      <w:r w:rsidR="00C6214E">
        <w:rPr>
          <w:rFonts w:ascii="Times New Roman" w:hAnsi="Times New Roman"/>
          <w:lang w:val="sr-Cyrl-BA"/>
        </w:rPr>
        <w:t>скренута</w:t>
      </w:r>
      <w:r w:rsidR="00A443AC" w:rsidRPr="00295637">
        <w:rPr>
          <w:rFonts w:ascii="Times New Roman" w:hAnsi="Times New Roman"/>
          <w:lang w:val="sr-Cyrl-BA"/>
        </w:rPr>
        <w:t xml:space="preserve"> </w:t>
      </w:r>
      <w:r w:rsidR="00C6214E">
        <w:rPr>
          <w:rFonts w:ascii="Times New Roman" w:hAnsi="Times New Roman"/>
          <w:lang w:val="sr-Cyrl-BA"/>
        </w:rPr>
        <w:t>пажња</w:t>
      </w:r>
      <w:r w:rsidR="00A443AC" w:rsidRPr="00295637">
        <w:rPr>
          <w:rFonts w:ascii="Times New Roman" w:hAnsi="Times New Roman"/>
          <w:lang w:val="sr-Cyrl-BA"/>
        </w:rPr>
        <w:t xml:space="preserve"> </w:t>
      </w:r>
      <w:r w:rsidR="00C6214E">
        <w:rPr>
          <w:rFonts w:ascii="Times New Roman" w:hAnsi="Times New Roman"/>
          <w:lang w:val="sr-Cyrl-BA"/>
        </w:rPr>
        <w:t>на</w:t>
      </w:r>
      <w:r w:rsidR="00A443AC" w:rsidRPr="00295637">
        <w:rPr>
          <w:rFonts w:ascii="Times New Roman" w:hAnsi="Times New Roman"/>
          <w:lang w:val="sr-Cyrl-BA"/>
        </w:rPr>
        <w:t xml:space="preserve"> </w:t>
      </w:r>
      <w:r w:rsidR="00C6214E">
        <w:rPr>
          <w:rFonts w:ascii="Times New Roman" w:hAnsi="Times New Roman"/>
          <w:lang w:val="sr-Cyrl-BA"/>
        </w:rPr>
        <w:t>то</w:t>
      </w:r>
      <w:r w:rsidR="00A443AC" w:rsidRPr="00295637">
        <w:rPr>
          <w:rFonts w:ascii="Times New Roman" w:hAnsi="Times New Roman"/>
          <w:lang w:val="sr-Cyrl-BA"/>
        </w:rPr>
        <w:t xml:space="preserve"> </w:t>
      </w:r>
      <w:r w:rsidR="00C6214E">
        <w:rPr>
          <w:rFonts w:ascii="Times New Roman" w:hAnsi="Times New Roman"/>
          <w:lang w:val="sr-Cyrl-BA"/>
        </w:rPr>
        <w:t>да</w:t>
      </w:r>
      <w:r w:rsidR="00A443AC" w:rsidRPr="00295637">
        <w:rPr>
          <w:rFonts w:ascii="Times New Roman" w:hAnsi="Times New Roman"/>
          <w:lang w:val="sr-Cyrl-BA"/>
        </w:rPr>
        <w:t xml:space="preserve"> </w:t>
      </w:r>
      <w:r w:rsidR="00C6214E">
        <w:rPr>
          <w:rFonts w:ascii="Times New Roman" w:hAnsi="Times New Roman"/>
          <w:lang w:val="sr-Cyrl-BA"/>
        </w:rPr>
        <w:t>је</w:t>
      </w:r>
      <w:r w:rsidR="00A443AC" w:rsidRPr="00295637">
        <w:rPr>
          <w:rFonts w:ascii="Times New Roman" w:hAnsi="Times New Roman"/>
          <w:lang w:val="sr-Cyrl-BA"/>
        </w:rPr>
        <w:t xml:space="preserve"> </w:t>
      </w:r>
      <w:r w:rsidR="00C6214E">
        <w:rPr>
          <w:rFonts w:ascii="Times New Roman" w:hAnsi="Times New Roman"/>
          <w:lang w:val="hr-HR"/>
        </w:rPr>
        <w:t>наука</w:t>
      </w:r>
      <w:r w:rsidR="00A443AC" w:rsidRPr="00295637">
        <w:rPr>
          <w:rFonts w:ascii="Times New Roman" w:hAnsi="Times New Roman"/>
          <w:lang w:val="sr-Cyrl-BA"/>
        </w:rPr>
        <w:t xml:space="preserve"> </w:t>
      </w:r>
      <w:r w:rsidR="00C6214E">
        <w:rPr>
          <w:rFonts w:ascii="Times New Roman" w:hAnsi="Times New Roman"/>
          <w:lang w:val="sr-Cyrl-BA"/>
        </w:rPr>
        <w:t>доступна</w:t>
      </w:r>
      <w:r w:rsidR="00A443AC" w:rsidRPr="00295637">
        <w:rPr>
          <w:rFonts w:ascii="Times New Roman" w:hAnsi="Times New Roman"/>
          <w:lang w:val="sr-Cyrl-BA"/>
        </w:rPr>
        <w:t xml:space="preserve"> </w:t>
      </w:r>
      <w:r w:rsidR="00C6214E">
        <w:rPr>
          <w:rFonts w:ascii="Times New Roman" w:hAnsi="Times New Roman"/>
          <w:lang w:val="sr-Cyrl-BA"/>
        </w:rPr>
        <w:t>свима</w:t>
      </w:r>
      <w:r w:rsidR="00A443AC" w:rsidRPr="00295637">
        <w:rPr>
          <w:rFonts w:ascii="Times New Roman" w:hAnsi="Times New Roman"/>
          <w:lang w:val="sr-Cyrl-BA"/>
        </w:rPr>
        <w:t xml:space="preserve">, </w:t>
      </w:r>
      <w:r w:rsidR="00C6214E">
        <w:rPr>
          <w:rFonts w:ascii="Times New Roman" w:hAnsi="Times New Roman"/>
          <w:lang w:val="sr-Cyrl-BA"/>
        </w:rPr>
        <w:t>без</w:t>
      </w:r>
      <w:r w:rsidR="00A443AC" w:rsidRPr="00295637">
        <w:rPr>
          <w:rFonts w:ascii="Times New Roman" w:hAnsi="Times New Roman"/>
          <w:lang w:val="sr-Cyrl-BA"/>
        </w:rPr>
        <w:t xml:space="preserve"> </w:t>
      </w:r>
      <w:r w:rsidR="00C6214E">
        <w:rPr>
          <w:rFonts w:ascii="Times New Roman" w:hAnsi="Times New Roman"/>
          <w:lang w:val="sr-Cyrl-BA"/>
        </w:rPr>
        <w:t>обзира</w:t>
      </w:r>
      <w:r w:rsidR="00A443AC" w:rsidRPr="00295637">
        <w:rPr>
          <w:rFonts w:ascii="Times New Roman" w:hAnsi="Times New Roman"/>
          <w:lang w:val="sr-Cyrl-BA"/>
        </w:rPr>
        <w:t xml:space="preserve"> </w:t>
      </w:r>
      <w:r w:rsidR="00C6214E">
        <w:rPr>
          <w:rFonts w:ascii="Times New Roman" w:hAnsi="Times New Roman"/>
          <w:lang w:val="sr-Cyrl-BA"/>
        </w:rPr>
        <w:t>на</w:t>
      </w:r>
      <w:r w:rsidR="00A443AC" w:rsidRPr="00295637">
        <w:rPr>
          <w:rFonts w:ascii="Times New Roman" w:hAnsi="Times New Roman"/>
          <w:lang w:val="sr-Cyrl-BA"/>
        </w:rPr>
        <w:t xml:space="preserve"> </w:t>
      </w:r>
      <w:r w:rsidR="00C6214E">
        <w:rPr>
          <w:rFonts w:ascii="Times New Roman" w:hAnsi="Times New Roman"/>
          <w:lang w:val="sr-Cyrl-BA"/>
        </w:rPr>
        <w:t>пол</w:t>
      </w:r>
      <w:r w:rsidR="00A443AC" w:rsidRPr="00295637">
        <w:rPr>
          <w:rFonts w:ascii="Times New Roman" w:hAnsi="Times New Roman"/>
          <w:lang w:val="sr-Cyrl-BA"/>
        </w:rPr>
        <w:t>.</w:t>
      </w:r>
    </w:p>
    <w:p w:rsidR="00E765E1" w:rsidRPr="00295637" w:rsidRDefault="00E765E1" w:rsidP="0086268D">
      <w:pPr>
        <w:tabs>
          <w:tab w:val="left" w:pos="284"/>
          <w:tab w:val="left" w:pos="630"/>
          <w:tab w:val="left" w:pos="1080"/>
        </w:tabs>
        <w:jc w:val="both"/>
        <w:rPr>
          <w:rFonts w:ascii="Times New Roman" w:hAnsi="Times New Roman"/>
          <w:szCs w:val="24"/>
          <w:lang w:val="bs-Latn-BA"/>
        </w:rPr>
      </w:pPr>
    </w:p>
    <w:p w:rsidR="00C90CAD" w:rsidRPr="00295637" w:rsidRDefault="00CB20DF" w:rsidP="00A52D78">
      <w:pPr>
        <w:tabs>
          <w:tab w:val="left" w:pos="284"/>
          <w:tab w:val="left" w:pos="630"/>
          <w:tab w:val="left" w:pos="1080"/>
        </w:tabs>
        <w:ind w:left="900"/>
        <w:jc w:val="both"/>
        <w:rPr>
          <w:rFonts w:ascii="Times New Roman" w:hAnsi="Times New Roman"/>
          <w:szCs w:val="24"/>
          <w:lang w:val="bs-Latn-BA"/>
        </w:rPr>
      </w:pPr>
      <w:r>
        <w:rPr>
          <w:rFonts w:ascii="Times New Roman" w:hAnsi="Times New Roman"/>
          <w:szCs w:val="24"/>
          <w:lang w:val="bs-Latn-BA"/>
        </w:rPr>
        <w:t>I</w:t>
      </w:r>
      <w:r w:rsidR="00A52D78">
        <w:rPr>
          <w:rFonts w:ascii="Times New Roman" w:hAnsi="Times New Roman"/>
          <w:szCs w:val="24"/>
          <w:lang w:val="bs-Latn-BA"/>
        </w:rPr>
        <w:t xml:space="preserve"> 4.4. </w:t>
      </w:r>
      <w:r w:rsidR="00C6214E">
        <w:rPr>
          <w:rFonts w:ascii="Times New Roman" w:hAnsi="Times New Roman"/>
          <w:szCs w:val="24"/>
          <w:lang w:val="bs-Latn-BA"/>
        </w:rPr>
        <w:t>Израда</w:t>
      </w:r>
      <w:r w:rsidR="00356C2C" w:rsidRPr="00530297">
        <w:rPr>
          <w:rFonts w:ascii="Times New Roman" w:hAnsi="Times New Roman"/>
          <w:szCs w:val="24"/>
          <w:lang w:val="bs-Latn-BA"/>
        </w:rPr>
        <w:t xml:space="preserve"> </w:t>
      </w:r>
      <w:r w:rsidR="00C6214E">
        <w:rPr>
          <w:rFonts w:ascii="Times New Roman" w:hAnsi="Times New Roman"/>
          <w:szCs w:val="24"/>
          <w:lang w:val="bs-Latn-BA"/>
        </w:rPr>
        <w:t>и</w:t>
      </w:r>
      <w:r w:rsidR="00356C2C" w:rsidRPr="00530297">
        <w:rPr>
          <w:rFonts w:ascii="Times New Roman" w:hAnsi="Times New Roman"/>
          <w:szCs w:val="24"/>
          <w:lang w:val="bs-Latn-BA"/>
        </w:rPr>
        <w:t xml:space="preserve"> </w:t>
      </w:r>
      <w:r>
        <w:rPr>
          <w:rFonts w:ascii="Times New Roman" w:hAnsi="Times New Roman"/>
          <w:szCs w:val="24"/>
          <w:lang w:val="sr-Cyrl-BA"/>
        </w:rPr>
        <w:t>спровођење</w:t>
      </w:r>
      <w:r w:rsidR="00356C2C" w:rsidRPr="0053029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530297">
        <w:rPr>
          <w:rFonts w:ascii="Times New Roman" w:hAnsi="Times New Roman"/>
          <w:szCs w:val="24"/>
          <w:lang w:val="bs-Latn-BA"/>
        </w:rPr>
        <w:t xml:space="preserve"> </w:t>
      </w:r>
      <w:r w:rsidR="00C6214E">
        <w:rPr>
          <w:rFonts w:ascii="Times New Roman" w:hAnsi="Times New Roman"/>
          <w:szCs w:val="24"/>
          <w:lang w:val="bs-Latn-BA"/>
        </w:rPr>
        <w:t>мјера</w:t>
      </w:r>
      <w:r w:rsidR="00356C2C" w:rsidRPr="00530297">
        <w:rPr>
          <w:rFonts w:ascii="Times New Roman" w:hAnsi="Times New Roman"/>
          <w:szCs w:val="24"/>
          <w:lang w:val="bs-Latn-BA"/>
        </w:rPr>
        <w:t xml:space="preserve"> </w:t>
      </w:r>
      <w:r w:rsidR="00C6214E">
        <w:rPr>
          <w:rFonts w:ascii="Times New Roman" w:hAnsi="Times New Roman"/>
          <w:szCs w:val="24"/>
          <w:lang w:val="bs-Latn-BA"/>
        </w:rPr>
        <w:t>и</w:t>
      </w:r>
      <w:r w:rsidR="00356C2C" w:rsidRPr="00530297">
        <w:rPr>
          <w:rFonts w:ascii="Times New Roman" w:hAnsi="Times New Roman"/>
          <w:szCs w:val="24"/>
          <w:lang w:val="bs-Latn-BA"/>
        </w:rPr>
        <w:t xml:space="preserve"> </w:t>
      </w:r>
      <w:r w:rsidR="00C6214E">
        <w:rPr>
          <w:rFonts w:ascii="Times New Roman" w:hAnsi="Times New Roman"/>
          <w:szCs w:val="24"/>
          <w:lang w:val="bs-Latn-BA"/>
        </w:rPr>
        <w:t>активности</w:t>
      </w:r>
      <w:r w:rsidR="00356C2C" w:rsidRPr="00530297">
        <w:rPr>
          <w:rFonts w:ascii="Times New Roman" w:hAnsi="Times New Roman"/>
          <w:szCs w:val="24"/>
          <w:lang w:val="bs-Latn-BA"/>
        </w:rPr>
        <w:t xml:space="preserve"> </w:t>
      </w:r>
      <w:r w:rsidR="00C6214E">
        <w:rPr>
          <w:rFonts w:ascii="Times New Roman" w:hAnsi="Times New Roman"/>
          <w:szCs w:val="24"/>
          <w:lang w:val="bs-Latn-BA"/>
        </w:rPr>
        <w:t>за</w:t>
      </w:r>
      <w:r w:rsidR="00356C2C" w:rsidRPr="00530297">
        <w:rPr>
          <w:rFonts w:ascii="Times New Roman" w:hAnsi="Times New Roman"/>
          <w:szCs w:val="24"/>
          <w:lang w:val="bs-Latn-BA"/>
        </w:rPr>
        <w:t xml:space="preserve"> </w:t>
      </w:r>
      <w:r w:rsidR="00C6214E">
        <w:rPr>
          <w:rFonts w:ascii="Times New Roman" w:hAnsi="Times New Roman"/>
          <w:szCs w:val="24"/>
          <w:lang w:val="bs-Latn-BA"/>
        </w:rPr>
        <w:t>остваривање</w:t>
      </w:r>
      <w:r w:rsidR="00356C2C" w:rsidRPr="00530297">
        <w:rPr>
          <w:rFonts w:ascii="Times New Roman" w:hAnsi="Times New Roman"/>
          <w:szCs w:val="24"/>
          <w:lang w:val="bs-Latn-BA"/>
        </w:rPr>
        <w:t xml:space="preserve"> </w:t>
      </w:r>
      <w:r w:rsidR="00C6214E">
        <w:rPr>
          <w:rFonts w:ascii="Times New Roman" w:hAnsi="Times New Roman"/>
          <w:szCs w:val="24"/>
          <w:lang w:val="bs-Latn-BA"/>
        </w:rPr>
        <w:t>једнаких</w:t>
      </w:r>
      <w:r w:rsidR="00356C2C" w:rsidRPr="00530297">
        <w:rPr>
          <w:rFonts w:ascii="Times New Roman" w:hAnsi="Times New Roman"/>
          <w:szCs w:val="24"/>
          <w:lang w:val="bs-Latn-BA"/>
        </w:rPr>
        <w:t xml:space="preserve"> </w:t>
      </w:r>
      <w:r w:rsidR="00C6214E">
        <w:rPr>
          <w:rFonts w:ascii="Times New Roman" w:hAnsi="Times New Roman"/>
          <w:szCs w:val="24"/>
          <w:lang w:val="bs-Latn-BA"/>
        </w:rPr>
        <w:t>права</w:t>
      </w:r>
      <w:r w:rsidR="00356C2C" w:rsidRPr="00530297">
        <w:rPr>
          <w:rFonts w:ascii="Times New Roman" w:hAnsi="Times New Roman"/>
          <w:szCs w:val="24"/>
          <w:lang w:val="bs-Latn-BA"/>
        </w:rPr>
        <w:t xml:space="preserve"> </w:t>
      </w:r>
      <w:r w:rsidR="00C6214E">
        <w:rPr>
          <w:rFonts w:ascii="Times New Roman" w:hAnsi="Times New Roman"/>
          <w:szCs w:val="24"/>
          <w:lang w:val="bs-Latn-BA"/>
        </w:rPr>
        <w:t>и</w:t>
      </w:r>
      <w:r w:rsidR="00356C2C" w:rsidRPr="00530297">
        <w:rPr>
          <w:rFonts w:ascii="Times New Roman" w:hAnsi="Times New Roman"/>
          <w:szCs w:val="24"/>
          <w:lang w:val="bs-Latn-BA"/>
        </w:rPr>
        <w:t xml:space="preserve"> </w:t>
      </w:r>
      <w:r w:rsidR="00C6214E">
        <w:rPr>
          <w:rFonts w:ascii="Times New Roman" w:hAnsi="Times New Roman"/>
          <w:szCs w:val="24"/>
          <w:lang w:val="bs-Latn-BA"/>
        </w:rPr>
        <w:t>једнаког</w:t>
      </w:r>
      <w:r w:rsidR="00356C2C" w:rsidRPr="00530297">
        <w:rPr>
          <w:rFonts w:ascii="Times New Roman" w:hAnsi="Times New Roman"/>
          <w:szCs w:val="24"/>
          <w:lang w:val="bs-Latn-BA"/>
        </w:rPr>
        <w:t xml:space="preserve"> </w:t>
      </w:r>
      <w:r w:rsidR="00C6214E">
        <w:rPr>
          <w:rFonts w:ascii="Times New Roman" w:hAnsi="Times New Roman"/>
          <w:szCs w:val="24"/>
          <w:lang w:val="bs-Latn-BA"/>
        </w:rPr>
        <w:t>приступа</w:t>
      </w:r>
      <w:r w:rsidR="00356C2C" w:rsidRPr="00530297">
        <w:rPr>
          <w:rFonts w:ascii="Times New Roman" w:hAnsi="Times New Roman"/>
          <w:szCs w:val="24"/>
          <w:lang w:val="bs-Latn-BA"/>
        </w:rPr>
        <w:t xml:space="preserve"> </w:t>
      </w:r>
      <w:r w:rsidR="00C6214E">
        <w:rPr>
          <w:rFonts w:ascii="Times New Roman" w:hAnsi="Times New Roman"/>
          <w:szCs w:val="24"/>
          <w:lang w:val="bs-Latn-BA"/>
        </w:rPr>
        <w:t>образовању</w:t>
      </w:r>
      <w:r w:rsidR="00356C2C" w:rsidRPr="00530297">
        <w:rPr>
          <w:rFonts w:ascii="Times New Roman" w:hAnsi="Times New Roman"/>
          <w:szCs w:val="24"/>
          <w:lang w:val="bs-Latn-BA"/>
        </w:rPr>
        <w:t xml:space="preserve">, </w:t>
      </w:r>
      <w:r w:rsidR="00C6214E">
        <w:rPr>
          <w:rFonts w:ascii="Times New Roman" w:hAnsi="Times New Roman"/>
          <w:szCs w:val="24"/>
          <w:lang w:val="bs-Latn-BA"/>
        </w:rPr>
        <w:t>науци</w:t>
      </w:r>
      <w:r w:rsidR="00356C2C" w:rsidRPr="00530297">
        <w:rPr>
          <w:rFonts w:ascii="Times New Roman" w:hAnsi="Times New Roman"/>
          <w:szCs w:val="24"/>
          <w:lang w:val="bs-Latn-BA"/>
        </w:rPr>
        <w:t xml:space="preserve">, </w:t>
      </w:r>
      <w:r w:rsidR="00C6214E">
        <w:rPr>
          <w:rFonts w:ascii="Times New Roman" w:hAnsi="Times New Roman"/>
          <w:szCs w:val="24"/>
          <w:lang w:val="bs-Latn-BA"/>
        </w:rPr>
        <w:t>култури</w:t>
      </w:r>
      <w:r w:rsidR="00356C2C" w:rsidRPr="00530297">
        <w:rPr>
          <w:rFonts w:ascii="Times New Roman" w:hAnsi="Times New Roman"/>
          <w:szCs w:val="24"/>
          <w:lang w:val="bs-Latn-BA"/>
        </w:rPr>
        <w:t xml:space="preserve"> </w:t>
      </w:r>
      <w:r w:rsidR="00C6214E">
        <w:rPr>
          <w:rFonts w:ascii="Times New Roman" w:hAnsi="Times New Roman"/>
          <w:szCs w:val="24"/>
          <w:lang w:val="bs-Latn-BA"/>
        </w:rPr>
        <w:t>и</w:t>
      </w:r>
      <w:r w:rsidR="00356C2C" w:rsidRPr="00530297">
        <w:rPr>
          <w:rFonts w:ascii="Times New Roman" w:hAnsi="Times New Roman"/>
          <w:szCs w:val="24"/>
          <w:lang w:val="bs-Latn-BA"/>
        </w:rPr>
        <w:t xml:space="preserve"> </w:t>
      </w:r>
      <w:r w:rsidR="00C6214E">
        <w:rPr>
          <w:rFonts w:ascii="Times New Roman" w:hAnsi="Times New Roman"/>
          <w:szCs w:val="24"/>
          <w:lang w:val="bs-Latn-BA"/>
        </w:rPr>
        <w:t>спорту</w:t>
      </w:r>
      <w:r w:rsidR="00356C2C" w:rsidRPr="00530297">
        <w:rPr>
          <w:rFonts w:ascii="Times New Roman" w:hAnsi="Times New Roman"/>
          <w:szCs w:val="24"/>
          <w:lang w:val="bs-Latn-BA"/>
        </w:rPr>
        <w:t xml:space="preserve"> </w:t>
      </w:r>
      <w:r w:rsidR="00C6214E">
        <w:rPr>
          <w:rFonts w:ascii="Times New Roman" w:hAnsi="Times New Roman"/>
          <w:szCs w:val="24"/>
          <w:lang w:val="bs-Latn-BA"/>
        </w:rPr>
        <w:t>узимајући</w:t>
      </w:r>
      <w:r w:rsidR="00356C2C" w:rsidRPr="00530297">
        <w:rPr>
          <w:rFonts w:ascii="Times New Roman" w:hAnsi="Times New Roman"/>
          <w:szCs w:val="24"/>
          <w:lang w:val="bs-Latn-BA"/>
        </w:rPr>
        <w:t xml:space="preserve"> </w:t>
      </w:r>
      <w:r w:rsidR="00C6214E">
        <w:rPr>
          <w:rFonts w:ascii="Times New Roman" w:hAnsi="Times New Roman"/>
          <w:szCs w:val="24"/>
          <w:lang w:val="bs-Latn-BA"/>
        </w:rPr>
        <w:t>у</w:t>
      </w:r>
      <w:r w:rsidR="00356C2C" w:rsidRPr="00530297">
        <w:rPr>
          <w:rFonts w:ascii="Times New Roman" w:hAnsi="Times New Roman"/>
          <w:szCs w:val="24"/>
          <w:lang w:val="bs-Latn-BA"/>
        </w:rPr>
        <w:t xml:space="preserve"> </w:t>
      </w:r>
      <w:r w:rsidR="00C6214E">
        <w:rPr>
          <w:rFonts w:ascii="Times New Roman" w:hAnsi="Times New Roman"/>
          <w:szCs w:val="24"/>
          <w:lang w:val="bs-Latn-BA"/>
        </w:rPr>
        <w:t>обзир</w:t>
      </w:r>
      <w:r w:rsidR="00356C2C" w:rsidRPr="00530297">
        <w:rPr>
          <w:rFonts w:ascii="Times New Roman" w:hAnsi="Times New Roman"/>
          <w:szCs w:val="24"/>
          <w:lang w:val="bs-Latn-BA"/>
        </w:rPr>
        <w:t xml:space="preserve"> </w:t>
      </w:r>
      <w:r w:rsidR="00C6214E">
        <w:rPr>
          <w:rFonts w:ascii="Times New Roman" w:hAnsi="Times New Roman"/>
          <w:szCs w:val="24"/>
          <w:lang w:val="bs-Latn-BA"/>
        </w:rPr>
        <w:t>потребе</w:t>
      </w:r>
      <w:r w:rsidR="00356C2C" w:rsidRPr="00530297">
        <w:rPr>
          <w:rFonts w:ascii="Times New Roman" w:hAnsi="Times New Roman"/>
          <w:szCs w:val="24"/>
          <w:lang w:val="bs-Latn-BA"/>
        </w:rPr>
        <w:t xml:space="preserve"> </w:t>
      </w:r>
      <w:r w:rsidR="00C6214E">
        <w:rPr>
          <w:rFonts w:ascii="Times New Roman" w:hAnsi="Times New Roman"/>
          <w:szCs w:val="24"/>
          <w:lang w:val="bs-Latn-BA"/>
        </w:rPr>
        <w:t>вишеструко</w:t>
      </w:r>
      <w:r w:rsidR="00356C2C" w:rsidRPr="00530297">
        <w:rPr>
          <w:rFonts w:ascii="Times New Roman" w:hAnsi="Times New Roman"/>
          <w:szCs w:val="24"/>
          <w:lang w:val="bs-Latn-BA"/>
        </w:rPr>
        <w:t xml:space="preserve"> </w:t>
      </w:r>
      <w:r w:rsidR="00C6214E">
        <w:rPr>
          <w:rFonts w:ascii="Times New Roman" w:hAnsi="Times New Roman"/>
          <w:szCs w:val="24"/>
          <w:lang w:val="bs-Latn-BA"/>
        </w:rPr>
        <w:t>маргинализ</w:t>
      </w:r>
      <w:r>
        <w:rPr>
          <w:rFonts w:ascii="Times New Roman" w:hAnsi="Times New Roman"/>
          <w:szCs w:val="24"/>
          <w:lang w:val="sr-Cyrl-BA"/>
        </w:rPr>
        <w:t>ованих</w:t>
      </w:r>
      <w:r w:rsidR="00356C2C" w:rsidRPr="00530297">
        <w:rPr>
          <w:rFonts w:ascii="Times New Roman" w:hAnsi="Times New Roman"/>
          <w:szCs w:val="24"/>
          <w:lang w:val="bs-Latn-BA"/>
        </w:rPr>
        <w:t xml:space="preserve"> </w:t>
      </w:r>
      <w:r w:rsidR="00C6214E">
        <w:rPr>
          <w:rFonts w:ascii="Times New Roman" w:hAnsi="Times New Roman"/>
          <w:szCs w:val="24"/>
          <w:lang w:val="bs-Latn-BA"/>
        </w:rPr>
        <w:t>група</w:t>
      </w:r>
      <w:r w:rsidR="00356C2C" w:rsidRPr="00530297">
        <w:rPr>
          <w:rFonts w:ascii="Times New Roman" w:hAnsi="Times New Roman"/>
          <w:szCs w:val="24"/>
          <w:lang w:val="bs-Latn-BA"/>
        </w:rPr>
        <w:t xml:space="preserve">. </w:t>
      </w:r>
      <w:r w:rsidR="00C6214E">
        <w:rPr>
          <w:rFonts w:ascii="Times New Roman" w:hAnsi="Times New Roman"/>
          <w:szCs w:val="24"/>
          <w:lang w:val="bs-Latn-BA"/>
        </w:rPr>
        <w:t>Активности</w:t>
      </w:r>
      <w:r w:rsidR="00356C2C" w:rsidRPr="00530297">
        <w:rPr>
          <w:rFonts w:ascii="Times New Roman" w:hAnsi="Times New Roman"/>
          <w:szCs w:val="24"/>
          <w:lang w:val="bs-Latn-BA"/>
        </w:rPr>
        <w:t xml:space="preserve"> </w:t>
      </w:r>
      <w:r w:rsidR="00C6214E">
        <w:rPr>
          <w:rFonts w:ascii="Times New Roman" w:hAnsi="Times New Roman"/>
          <w:szCs w:val="24"/>
          <w:lang w:val="bs-Latn-BA"/>
        </w:rPr>
        <w:t>укључују</w:t>
      </w:r>
      <w:r w:rsidR="00356C2C" w:rsidRPr="00530297">
        <w:rPr>
          <w:rFonts w:ascii="Times New Roman" w:hAnsi="Times New Roman"/>
          <w:szCs w:val="24"/>
          <w:lang w:val="bs-Latn-BA"/>
        </w:rPr>
        <w:t xml:space="preserve"> </w:t>
      </w:r>
      <w:r w:rsidR="00C6214E">
        <w:rPr>
          <w:rFonts w:ascii="Times New Roman" w:hAnsi="Times New Roman"/>
          <w:szCs w:val="24"/>
          <w:lang w:val="bs-Latn-BA"/>
        </w:rPr>
        <w:t>јачање</w:t>
      </w:r>
      <w:r w:rsidR="00356C2C" w:rsidRPr="00530297">
        <w:rPr>
          <w:rFonts w:ascii="Times New Roman" w:hAnsi="Times New Roman"/>
          <w:szCs w:val="24"/>
          <w:lang w:val="bs-Latn-BA"/>
        </w:rPr>
        <w:t xml:space="preserve"> </w:t>
      </w:r>
      <w:r w:rsidR="00C6214E">
        <w:rPr>
          <w:rFonts w:ascii="Times New Roman" w:hAnsi="Times New Roman"/>
          <w:szCs w:val="24"/>
          <w:lang w:val="bs-Latn-BA"/>
        </w:rPr>
        <w:t>професионалних</w:t>
      </w:r>
      <w:r w:rsidR="00356C2C" w:rsidRPr="00530297">
        <w:rPr>
          <w:rFonts w:ascii="Times New Roman" w:hAnsi="Times New Roman"/>
          <w:szCs w:val="24"/>
          <w:lang w:val="bs-Latn-BA"/>
        </w:rPr>
        <w:t xml:space="preserve"> </w:t>
      </w:r>
      <w:r w:rsidR="00C6214E">
        <w:rPr>
          <w:rFonts w:ascii="Times New Roman" w:hAnsi="Times New Roman"/>
          <w:szCs w:val="24"/>
          <w:lang w:val="bs-Latn-BA"/>
        </w:rPr>
        <w:t>капацитета</w:t>
      </w:r>
      <w:r w:rsidR="00356C2C" w:rsidRPr="00530297">
        <w:rPr>
          <w:rFonts w:ascii="Times New Roman" w:hAnsi="Times New Roman"/>
          <w:szCs w:val="24"/>
          <w:lang w:val="bs-Latn-BA"/>
        </w:rPr>
        <w:t xml:space="preserve"> </w:t>
      </w:r>
      <w:r w:rsidR="00C6214E">
        <w:rPr>
          <w:rFonts w:ascii="Times New Roman" w:hAnsi="Times New Roman"/>
          <w:szCs w:val="24"/>
          <w:lang w:val="bs-Latn-BA"/>
        </w:rPr>
        <w:t>за</w:t>
      </w:r>
      <w:r w:rsidR="00356C2C" w:rsidRPr="00530297">
        <w:rPr>
          <w:rFonts w:ascii="Times New Roman" w:hAnsi="Times New Roman"/>
          <w:szCs w:val="24"/>
          <w:lang w:val="bs-Latn-BA"/>
        </w:rPr>
        <w:t xml:space="preserve"> </w:t>
      </w:r>
      <w:r w:rsidR="00C6214E">
        <w:rPr>
          <w:rFonts w:ascii="Times New Roman" w:hAnsi="Times New Roman"/>
          <w:szCs w:val="24"/>
          <w:lang w:val="bs-Latn-BA"/>
        </w:rPr>
        <w:t>примјену</w:t>
      </w:r>
      <w:r w:rsidR="00356C2C" w:rsidRPr="00530297">
        <w:rPr>
          <w:rFonts w:ascii="Times New Roman" w:hAnsi="Times New Roman"/>
          <w:szCs w:val="24"/>
          <w:lang w:val="bs-Latn-BA"/>
        </w:rPr>
        <w:t xml:space="preserve"> </w:t>
      </w:r>
      <w:r w:rsidR="00C6214E">
        <w:rPr>
          <w:rFonts w:ascii="Times New Roman" w:hAnsi="Times New Roman"/>
          <w:szCs w:val="24"/>
          <w:lang w:val="bs-Latn-BA"/>
        </w:rPr>
        <w:t>домаћих</w:t>
      </w:r>
      <w:r w:rsidR="00356C2C" w:rsidRPr="00530297">
        <w:rPr>
          <w:rFonts w:ascii="Times New Roman" w:hAnsi="Times New Roman"/>
          <w:szCs w:val="24"/>
          <w:lang w:val="bs-Latn-BA"/>
        </w:rPr>
        <w:t xml:space="preserve"> </w:t>
      </w:r>
      <w:r w:rsidR="00C6214E">
        <w:rPr>
          <w:rFonts w:ascii="Times New Roman" w:hAnsi="Times New Roman"/>
          <w:szCs w:val="24"/>
          <w:lang w:val="bs-Latn-BA"/>
        </w:rPr>
        <w:t>и</w:t>
      </w:r>
      <w:r w:rsidR="00356C2C" w:rsidRPr="0053029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530297">
        <w:rPr>
          <w:rFonts w:ascii="Times New Roman" w:hAnsi="Times New Roman"/>
          <w:szCs w:val="24"/>
          <w:lang w:val="bs-Latn-BA"/>
        </w:rPr>
        <w:t xml:space="preserve"> </w:t>
      </w:r>
      <w:r w:rsidR="00C6214E">
        <w:rPr>
          <w:rFonts w:ascii="Times New Roman" w:hAnsi="Times New Roman"/>
          <w:szCs w:val="24"/>
          <w:lang w:val="bs-Latn-BA"/>
        </w:rPr>
        <w:t>стандарда</w:t>
      </w:r>
      <w:r w:rsidR="00356C2C" w:rsidRPr="00530297">
        <w:rPr>
          <w:rFonts w:ascii="Times New Roman" w:hAnsi="Times New Roman"/>
          <w:szCs w:val="24"/>
          <w:lang w:val="bs-Latn-BA"/>
        </w:rPr>
        <w:t xml:space="preserve"> </w:t>
      </w:r>
      <w:r w:rsidR="00C6214E">
        <w:rPr>
          <w:rFonts w:ascii="Times New Roman" w:hAnsi="Times New Roman"/>
          <w:szCs w:val="24"/>
          <w:lang w:val="bs-Latn-BA"/>
        </w:rPr>
        <w:t>у</w:t>
      </w:r>
      <w:r w:rsidR="00356C2C" w:rsidRPr="00530297">
        <w:rPr>
          <w:rFonts w:ascii="Times New Roman" w:hAnsi="Times New Roman"/>
          <w:szCs w:val="24"/>
          <w:lang w:val="bs-Latn-BA"/>
        </w:rPr>
        <w:t xml:space="preserve"> </w:t>
      </w:r>
      <w:r w:rsidR="00C6214E">
        <w:rPr>
          <w:rFonts w:ascii="Times New Roman" w:hAnsi="Times New Roman"/>
          <w:szCs w:val="24"/>
          <w:lang w:val="bs-Latn-BA"/>
        </w:rPr>
        <w:t>наведеним</w:t>
      </w:r>
      <w:r w:rsidR="00356C2C" w:rsidRPr="00530297">
        <w:rPr>
          <w:rFonts w:ascii="Times New Roman" w:hAnsi="Times New Roman"/>
          <w:szCs w:val="24"/>
          <w:lang w:val="bs-Latn-BA"/>
        </w:rPr>
        <w:t xml:space="preserve"> </w:t>
      </w:r>
      <w:r w:rsidR="00C6214E">
        <w:rPr>
          <w:rFonts w:ascii="Times New Roman" w:hAnsi="Times New Roman"/>
          <w:szCs w:val="24"/>
          <w:lang w:val="bs-Latn-BA"/>
        </w:rPr>
        <w:t>областима</w:t>
      </w:r>
      <w:r w:rsidR="00356C2C" w:rsidRPr="00530297">
        <w:rPr>
          <w:rFonts w:ascii="Times New Roman" w:hAnsi="Times New Roman"/>
          <w:szCs w:val="24"/>
          <w:lang w:val="bs-Latn-BA"/>
        </w:rPr>
        <w:t xml:space="preserve">, </w:t>
      </w:r>
      <w:r w:rsidR="00C6214E">
        <w:rPr>
          <w:rFonts w:ascii="Times New Roman" w:hAnsi="Times New Roman"/>
          <w:szCs w:val="24"/>
          <w:lang w:val="bs-Latn-BA"/>
        </w:rPr>
        <w:t>увођење</w:t>
      </w:r>
      <w:r w:rsidR="00356C2C" w:rsidRPr="00530297">
        <w:rPr>
          <w:rFonts w:ascii="Times New Roman" w:hAnsi="Times New Roman"/>
          <w:szCs w:val="24"/>
          <w:lang w:val="bs-Latn-BA"/>
        </w:rPr>
        <w:t xml:space="preserve"> </w:t>
      </w:r>
      <w:r w:rsidR="00C6214E">
        <w:rPr>
          <w:rFonts w:ascii="Times New Roman" w:hAnsi="Times New Roman"/>
          <w:szCs w:val="24"/>
          <w:lang w:val="bs-Latn-BA"/>
        </w:rPr>
        <w:t>родно</w:t>
      </w:r>
      <w:r w:rsidR="00356C2C" w:rsidRPr="00530297">
        <w:rPr>
          <w:rFonts w:ascii="Times New Roman" w:hAnsi="Times New Roman"/>
          <w:szCs w:val="24"/>
          <w:lang w:val="bs-Latn-BA"/>
        </w:rPr>
        <w:t xml:space="preserve"> </w:t>
      </w:r>
      <w:r w:rsidR="00C6214E">
        <w:rPr>
          <w:rFonts w:ascii="Times New Roman" w:hAnsi="Times New Roman"/>
          <w:szCs w:val="24"/>
          <w:lang w:val="bs-Latn-BA"/>
        </w:rPr>
        <w:t>одговорних</w:t>
      </w:r>
      <w:r w:rsidR="00932F8C" w:rsidRPr="00530297">
        <w:rPr>
          <w:rFonts w:ascii="Times New Roman" w:hAnsi="Times New Roman"/>
          <w:szCs w:val="24"/>
          <w:lang w:val="bs-Latn-BA"/>
        </w:rPr>
        <w:t xml:space="preserve"> </w:t>
      </w:r>
      <w:r w:rsidR="00C6214E">
        <w:rPr>
          <w:rFonts w:ascii="Times New Roman" w:hAnsi="Times New Roman"/>
          <w:szCs w:val="24"/>
          <w:lang w:val="bs-Latn-BA"/>
        </w:rPr>
        <w:t>буџета</w:t>
      </w:r>
      <w:r w:rsidR="00530297">
        <w:rPr>
          <w:rFonts w:ascii="Times New Roman" w:hAnsi="Times New Roman"/>
          <w:szCs w:val="24"/>
          <w:lang w:val="bs-Latn-BA"/>
        </w:rPr>
        <w:t xml:space="preserve">, </w:t>
      </w:r>
      <w:r w:rsidR="00C6214E">
        <w:rPr>
          <w:rFonts w:ascii="Times New Roman" w:hAnsi="Times New Roman"/>
          <w:szCs w:val="24"/>
          <w:lang w:val="bs-Latn-BA"/>
        </w:rPr>
        <w:t>спречавање</w:t>
      </w:r>
      <w:r w:rsidR="00356C2C" w:rsidRPr="00530297">
        <w:rPr>
          <w:rFonts w:ascii="Times New Roman" w:hAnsi="Times New Roman"/>
          <w:szCs w:val="24"/>
          <w:lang w:val="bs-Latn-BA"/>
        </w:rPr>
        <w:t xml:space="preserve"> </w:t>
      </w:r>
      <w:r w:rsidR="00C6214E">
        <w:rPr>
          <w:rFonts w:ascii="Times New Roman" w:hAnsi="Times New Roman"/>
          <w:szCs w:val="24"/>
          <w:lang w:val="bs-Latn-BA"/>
        </w:rPr>
        <w:t>сексуалног</w:t>
      </w:r>
      <w:r w:rsidR="00356C2C" w:rsidRPr="00530297">
        <w:rPr>
          <w:rFonts w:ascii="Times New Roman" w:hAnsi="Times New Roman"/>
          <w:szCs w:val="24"/>
          <w:lang w:val="bs-Latn-BA"/>
        </w:rPr>
        <w:t xml:space="preserve"> </w:t>
      </w:r>
      <w:r w:rsidR="00C6214E">
        <w:rPr>
          <w:rFonts w:ascii="Times New Roman" w:hAnsi="Times New Roman"/>
          <w:szCs w:val="24"/>
          <w:lang w:val="bs-Latn-BA"/>
        </w:rPr>
        <w:t>узнемиравања</w:t>
      </w:r>
      <w:r w:rsidR="00356C2C" w:rsidRPr="00530297">
        <w:rPr>
          <w:rFonts w:ascii="Times New Roman" w:hAnsi="Times New Roman"/>
          <w:szCs w:val="24"/>
          <w:lang w:val="bs-Latn-BA"/>
        </w:rPr>
        <w:t xml:space="preserve"> </w:t>
      </w:r>
      <w:r w:rsidR="00C6214E">
        <w:rPr>
          <w:rFonts w:ascii="Times New Roman" w:hAnsi="Times New Roman"/>
          <w:szCs w:val="24"/>
          <w:lang w:val="bs-Latn-BA"/>
        </w:rPr>
        <w:t>те</w:t>
      </w:r>
      <w:r w:rsidR="00356C2C" w:rsidRPr="00530297">
        <w:rPr>
          <w:rFonts w:ascii="Times New Roman" w:hAnsi="Times New Roman"/>
          <w:szCs w:val="24"/>
          <w:lang w:val="bs-Latn-BA"/>
        </w:rPr>
        <w:t xml:space="preserve"> </w:t>
      </w:r>
      <w:r w:rsidR="00C6214E">
        <w:rPr>
          <w:rFonts w:ascii="Times New Roman" w:hAnsi="Times New Roman"/>
          <w:szCs w:val="24"/>
          <w:lang w:val="bs-Latn-BA"/>
        </w:rPr>
        <w:t>успостављање</w:t>
      </w:r>
      <w:r w:rsidR="00356C2C" w:rsidRPr="00530297">
        <w:rPr>
          <w:rFonts w:ascii="Times New Roman" w:hAnsi="Times New Roman"/>
          <w:szCs w:val="24"/>
          <w:lang w:val="bs-Latn-BA"/>
        </w:rPr>
        <w:t xml:space="preserve"> </w:t>
      </w:r>
      <w:r w:rsidR="00C6214E">
        <w:rPr>
          <w:rFonts w:ascii="Times New Roman" w:hAnsi="Times New Roman"/>
          <w:szCs w:val="24"/>
          <w:lang w:val="bs-Latn-BA"/>
        </w:rPr>
        <w:t>одговарајућих</w:t>
      </w:r>
      <w:r w:rsidR="00050016">
        <w:rPr>
          <w:rFonts w:ascii="Times New Roman" w:hAnsi="Times New Roman"/>
          <w:szCs w:val="24"/>
          <w:lang w:val="bs-Latn-BA"/>
        </w:rPr>
        <w:t xml:space="preserve"> </w:t>
      </w:r>
      <w:r w:rsidR="00C6214E">
        <w:rPr>
          <w:rFonts w:ascii="Times New Roman" w:hAnsi="Times New Roman"/>
          <w:szCs w:val="24"/>
          <w:lang w:val="bs-Latn-BA"/>
        </w:rPr>
        <w:t>институционалних</w:t>
      </w:r>
      <w:r w:rsidR="00050016">
        <w:rPr>
          <w:rFonts w:ascii="Times New Roman" w:hAnsi="Times New Roman"/>
          <w:szCs w:val="24"/>
          <w:lang w:val="bs-Latn-BA"/>
        </w:rPr>
        <w:t xml:space="preserve"> </w:t>
      </w:r>
      <w:r w:rsidR="00C6214E">
        <w:rPr>
          <w:rFonts w:ascii="Times New Roman" w:hAnsi="Times New Roman"/>
          <w:szCs w:val="24"/>
          <w:lang w:val="bs-Latn-BA"/>
        </w:rPr>
        <w:t>механизама</w:t>
      </w:r>
      <w:r w:rsidR="00050016">
        <w:rPr>
          <w:rFonts w:ascii="Times New Roman" w:hAnsi="Times New Roman"/>
          <w:szCs w:val="24"/>
          <w:lang w:val="bs-Latn-BA"/>
        </w:rPr>
        <w:t xml:space="preserve"> </w:t>
      </w:r>
      <w:r w:rsidR="00C6214E">
        <w:rPr>
          <w:rFonts w:ascii="Times New Roman" w:hAnsi="Times New Roman"/>
          <w:szCs w:val="24"/>
          <w:lang w:val="bs-Latn-BA"/>
        </w:rPr>
        <w:t>за</w:t>
      </w:r>
      <w:r w:rsidR="00356C2C" w:rsidRPr="00530297">
        <w:rPr>
          <w:rFonts w:ascii="Times New Roman" w:hAnsi="Times New Roman"/>
          <w:szCs w:val="24"/>
          <w:lang w:val="bs-Latn-BA"/>
        </w:rPr>
        <w:t xml:space="preserve"> </w:t>
      </w:r>
      <w:r w:rsidR="00C6214E">
        <w:rPr>
          <w:rFonts w:ascii="Times New Roman" w:hAnsi="Times New Roman"/>
          <w:szCs w:val="24"/>
          <w:lang w:val="bs-Latn-BA"/>
        </w:rPr>
        <w:t>координацију</w:t>
      </w:r>
      <w:r w:rsidR="00356C2C" w:rsidRPr="00530297">
        <w:rPr>
          <w:rFonts w:ascii="Times New Roman" w:hAnsi="Times New Roman"/>
          <w:szCs w:val="24"/>
          <w:lang w:val="bs-Latn-BA"/>
        </w:rPr>
        <w:t xml:space="preserve"> </w:t>
      </w:r>
      <w:r>
        <w:rPr>
          <w:rFonts w:ascii="Times New Roman" w:hAnsi="Times New Roman"/>
          <w:szCs w:val="24"/>
          <w:lang w:val="sr-Cyrl-BA"/>
        </w:rPr>
        <w:t>спровођења</w:t>
      </w:r>
      <w:r w:rsidR="00356C2C" w:rsidRPr="00530297">
        <w:rPr>
          <w:rFonts w:ascii="Times New Roman" w:hAnsi="Times New Roman"/>
          <w:szCs w:val="24"/>
          <w:lang w:val="bs-Latn-BA"/>
        </w:rPr>
        <w:t xml:space="preserve"> </w:t>
      </w:r>
      <w:r w:rsidR="00C6214E">
        <w:rPr>
          <w:rFonts w:ascii="Times New Roman" w:hAnsi="Times New Roman"/>
          <w:szCs w:val="24"/>
          <w:lang w:val="bs-Latn-BA"/>
        </w:rPr>
        <w:t>ових</w:t>
      </w:r>
      <w:r w:rsidR="00356C2C" w:rsidRPr="00530297">
        <w:rPr>
          <w:rFonts w:ascii="Times New Roman" w:hAnsi="Times New Roman"/>
          <w:szCs w:val="24"/>
          <w:lang w:val="bs-Latn-BA"/>
        </w:rPr>
        <w:t xml:space="preserve"> </w:t>
      </w:r>
      <w:r w:rsidR="00C6214E">
        <w:rPr>
          <w:rFonts w:ascii="Times New Roman" w:hAnsi="Times New Roman"/>
          <w:szCs w:val="24"/>
          <w:lang w:val="bs-Latn-BA"/>
        </w:rPr>
        <w:t>мјера</w:t>
      </w:r>
      <w:r w:rsidR="00356C2C" w:rsidRPr="00530297">
        <w:rPr>
          <w:rFonts w:ascii="Times New Roman" w:hAnsi="Times New Roman"/>
          <w:szCs w:val="24"/>
          <w:lang w:val="bs-Latn-BA"/>
        </w:rPr>
        <w:t>.</w:t>
      </w:r>
      <w:r w:rsidR="00C90CAD" w:rsidRPr="00295637">
        <w:rPr>
          <w:rFonts w:ascii="Times New Roman" w:hAnsi="Times New Roman"/>
          <w:szCs w:val="24"/>
          <w:lang w:val="bs-Latn-BA"/>
        </w:rPr>
        <w:t xml:space="preserve"> </w:t>
      </w:r>
    </w:p>
    <w:p w:rsidR="00C90CAD" w:rsidRPr="00295637" w:rsidRDefault="00C90CAD" w:rsidP="0086268D">
      <w:pPr>
        <w:tabs>
          <w:tab w:val="left" w:pos="284"/>
          <w:tab w:val="left" w:pos="630"/>
          <w:tab w:val="left" w:pos="1080"/>
        </w:tabs>
        <w:jc w:val="both"/>
        <w:rPr>
          <w:rFonts w:ascii="Times New Roman" w:hAnsi="Times New Roman"/>
          <w:szCs w:val="24"/>
          <w:lang w:val="bs-Latn-BA"/>
        </w:rPr>
      </w:pPr>
    </w:p>
    <w:p w:rsidR="00C90CAD"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Према</w:t>
      </w:r>
      <w:r w:rsidR="0076028B" w:rsidRPr="00A45B8A">
        <w:rPr>
          <w:rFonts w:ascii="Times New Roman" w:hAnsi="Times New Roman"/>
          <w:szCs w:val="24"/>
          <w:lang w:val="bs-Latn-BA"/>
        </w:rPr>
        <w:t xml:space="preserve"> </w:t>
      </w:r>
      <w:r>
        <w:rPr>
          <w:rFonts w:ascii="Times New Roman" w:hAnsi="Times New Roman"/>
          <w:szCs w:val="24"/>
          <w:lang w:val="bs-Latn-BA"/>
        </w:rPr>
        <w:t>информацијама</w:t>
      </w:r>
      <w:r w:rsidR="0076028B" w:rsidRPr="00A45B8A">
        <w:rPr>
          <w:rFonts w:ascii="Times New Roman" w:hAnsi="Times New Roman"/>
          <w:szCs w:val="24"/>
          <w:lang w:val="bs-Latn-BA"/>
        </w:rPr>
        <w:t xml:space="preserve"> </w:t>
      </w:r>
      <w:r>
        <w:rPr>
          <w:rFonts w:ascii="Times New Roman" w:hAnsi="Times New Roman"/>
          <w:szCs w:val="24"/>
          <w:lang w:val="bs-Latn-BA"/>
        </w:rPr>
        <w:t>АПОСО</w:t>
      </w:r>
      <w:r w:rsidR="0076028B" w:rsidRPr="00A45B8A">
        <w:rPr>
          <w:rFonts w:ascii="Times New Roman" w:hAnsi="Times New Roman"/>
          <w:szCs w:val="24"/>
          <w:lang w:val="bs-Latn-BA"/>
        </w:rPr>
        <w:t xml:space="preserve"> </w:t>
      </w:r>
      <w:r>
        <w:rPr>
          <w:rFonts w:ascii="Times New Roman" w:hAnsi="Times New Roman"/>
          <w:szCs w:val="24"/>
          <w:lang w:val="bs-Latn-BA"/>
        </w:rPr>
        <w:t>БИХ</w:t>
      </w:r>
      <w:r w:rsidR="0076028B" w:rsidRPr="00A45B8A">
        <w:rPr>
          <w:rFonts w:ascii="Times New Roman" w:hAnsi="Times New Roman"/>
          <w:szCs w:val="24"/>
          <w:lang w:val="bs-Latn-BA"/>
        </w:rPr>
        <w:t xml:space="preserve">, </w:t>
      </w:r>
      <w:r>
        <w:rPr>
          <w:rFonts w:ascii="Times New Roman" w:hAnsi="Times New Roman"/>
          <w:szCs w:val="24"/>
          <w:lang w:val="bs-Latn-BA"/>
        </w:rPr>
        <w:t>родно</w:t>
      </w:r>
      <w:r w:rsidR="00C90CAD" w:rsidRPr="00A45B8A">
        <w:rPr>
          <w:rFonts w:ascii="Times New Roman" w:hAnsi="Times New Roman"/>
          <w:szCs w:val="24"/>
          <w:lang w:val="bs-Latn-BA"/>
        </w:rPr>
        <w:t xml:space="preserve"> </w:t>
      </w:r>
      <w:r>
        <w:rPr>
          <w:rFonts w:ascii="Times New Roman" w:hAnsi="Times New Roman"/>
          <w:szCs w:val="24"/>
          <w:lang w:val="bs-Latn-BA"/>
        </w:rPr>
        <w:t>осјетљива</w:t>
      </w:r>
      <w:r w:rsidR="00C90CAD" w:rsidRPr="00A45B8A">
        <w:rPr>
          <w:rFonts w:ascii="Times New Roman" w:hAnsi="Times New Roman"/>
          <w:szCs w:val="24"/>
          <w:lang w:val="bs-Latn-BA"/>
        </w:rPr>
        <w:t xml:space="preserve"> </w:t>
      </w:r>
      <w:r>
        <w:rPr>
          <w:rFonts w:ascii="Times New Roman" w:hAnsi="Times New Roman"/>
          <w:szCs w:val="24"/>
          <w:lang w:val="bs-Latn-BA"/>
        </w:rPr>
        <w:t>употреба</w:t>
      </w:r>
      <w:r w:rsidR="00C90CAD" w:rsidRPr="00A45B8A">
        <w:rPr>
          <w:rFonts w:ascii="Times New Roman" w:hAnsi="Times New Roman"/>
          <w:szCs w:val="24"/>
          <w:lang w:val="bs-Latn-BA"/>
        </w:rPr>
        <w:t xml:space="preserve"> </w:t>
      </w:r>
      <w:r>
        <w:rPr>
          <w:rFonts w:ascii="Times New Roman" w:hAnsi="Times New Roman"/>
          <w:szCs w:val="24"/>
          <w:lang w:val="bs-Latn-BA"/>
        </w:rPr>
        <w:t>језика</w:t>
      </w:r>
      <w:r w:rsidR="00C90CAD" w:rsidRPr="00A45B8A">
        <w:rPr>
          <w:rFonts w:ascii="Times New Roman" w:hAnsi="Times New Roman"/>
          <w:szCs w:val="24"/>
          <w:lang w:val="bs-Latn-BA"/>
        </w:rPr>
        <w:t xml:space="preserve"> </w:t>
      </w:r>
      <w:r>
        <w:rPr>
          <w:rFonts w:ascii="Times New Roman" w:hAnsi="Times New Roman"/>
          <w:szCs w:val="24"/>
          <w:lang w:val="bs-Latn-BA"/>
        </w:rPr>
        <w:t>кориш</w:t>
      </w:r>
      <w:r w:rsidR="00CB20DF">
        <w:rPr>
          <w:rFonts w:ascii="Times New Roman" w:hAnsi="Times New Roman"/>
          <w:szCs w:val="24"/>
          <w:lang w:val="sr-Cyrl-BA"/>
        </w:rPr>
        <w:t>ћ</w:t>
      </w:r>
      <w:r>
        <w:rPr>
          <w:rFonts w:ascii="Times New Roman" w:hAnsi="Times New Roman"/>
          <w:szCs w:val="24"/>
          <w:lang w:val="bs-Latn-BA"/>
        </w:rPr>
        <w:t>ена</w:t>
      </w:r>
      <w:r w:rsidR="00C90CAD" w:rsidRPr="00A45B8A">
        <w:rPr>
          <w:rFonts w:ascii="Times New Roman" w:hAnsi="Times New Roman"/>
          <w:szCs w:val="24"/>
          <w:lang w:val="bs-Latn-BA"/>
        </w:rPr>
        <w:t xml:space="preserve"> </w:t>
      </w:r>
      <w:r>
        <w:rPr>
          <w:rFonts w:ascii="Times New Roman" w:hAnsi="Times New Roman"/>
          <w:szCs w:val="24"/>
          <w:lang w:val="bs-Latn-BA"/>
        </w:rPr>
        <w:t>је</w:t>
      </w:r>
      <w:r w:rsidR="00C90CAD" w:rsidRPr="00A45B8A">
        <w:rPr>
          <w:rFonts w:ascii="Times New Roman" w:hAnsi="Times New Roman"/>
          <w:szCs w:val="24"/>
          <w:lang w:val="bs-Latn-BA"/>
        </w:rPr>
        <w:t xml:space="preserve"> </w:t>
      </w:r>
      <w:r>
        <w:rPr>
          <w:rFonts w:ascii="Times New Roman" w:hAnsi="Times New Roman"/>
          <w:szCs w:val="24"/>
          <w:lang w:val="bs-Latn-BA"/>
        </w:rPr>
        <w:t>у</w:t>
      </w:r>
      <w:r w:rsidR="00C90CAD" w:rsidRPr="00A45B8A">
        <w:rPr>
          <w:rFonts w:ascii="Times New Roman" w:hAnsi="Times New Roman"/>
          <w:szCs w:val="24"/>
          <w:lang w:val="bs-Latn-BA"/>
        </w:rPr>
        <w:t xml:space="preserve"> </w:t>
      </w:r>
      <w:r>
        <w:rPr>
          <w:rFonts w:ascii="Times New Roman" w:hAnsi="Times New Roman"/>
          <w:szCs w:val="24"/>
          <w:lang w:val="bs-Latn-BA"/>
        </w:rPr>
        <w:t>Заједничкој</w:t>
      </w:r>
      <w:r w:rsidR="00C90CAD" w:rsidRPr="00A45B8A">
        <w:rPr>
          <w:rFonts w:ascii="Times New Roman" w:hAnsi="Times New Roman"/>
          <w:szCs w:val="24"/>
          <w:lang w:val="bs-Latn-BA"/>
        </w:rPr>
        <w:t xml:space="preserve"> </w:t>
      </w:r>
      <w:r>
        <w:rPr>
          <w:rFonts w:ascii="Times New Roman" w:hAnsi="Times New Roman"/>
          <w:szCs w:val="24"/>
          <w:lang w:val="bs-Latn-BA"/>
        </w:rPr>
        <w:t>језгри</w:t>
      </w:r>
      <w:r w:rsidR="00C90CAD" w:rsidRPr="00A45B8A">
        <w:rPr>
          <w:rFonts w:ascii="Times New Roman" w:hAnsi="Times New Roman"/>
          <w:szCs w:val="24"/>
          <w:lang w:val="bs-Latn-BA"/>
        </w:rPr>
        <w:t xml:space="preserve"> </w:t>
      </w:r>
      <w:r>
        <w:rPr>
          <w:rFonts w:ascii="Times New Roman" w:hAnsi="Times New Roman"/>
          <w:szCs w:val="24"/>
          <w:lang w:val="bs-Latn-BA"/>
        </w:rPr>
        <w:t>дефини</w:t>
      </w:r>
      <w:r w:rsidR="00CB20DF">
        <w:rPr>
          <w:rFonts w:ascii="Times New Roman" w:hAnsi="Times New Roman"/>
          <w:szCs w:val="24"/>
          <w:lang w:val="sr-Cyrl-BA"/>
        </w:rPr>
        <w:t>с</w:t>
      </w:r>
      <w:r>
        <w:rPr>
          <w:rFonts w:ascii="Times New Roman" w:hAnsi="Times New Roman"/>
          <w:szCs w:val="24"/>
          <w:lang w:val="bs-Latn-BA"/>
        </w:rPr>
        <w:t>аној</w:t>
      </w:r>
      <w:r w:rsidR="00C90CAD" w:rsidRPr="00A45B8A">
        <w:rPr>
          <w:rFonts w:ascii="Times New Roman" w:hAnsi="Times New Roman"/>
          <w:szCs w:val="24"/>
          <w:lang w:val="bs-Latn-BA"/>
        </w:rPr>
        <w:t xml:space="preserve"> </w:t>
      </w:r>
      <w:r>
        <w:rPr>
          <w:rFonts w:ascii="Times New Roman" w:hAnsi="Times New Roman"/>
          <w:szCs w:val="24"/>
          <w:lang w:val="bs-Latn-BA"/>
        </w:rPr>
        <w:t>на</w:t>
      </w:r>
      <w:r w:rsidR="00C90CAD" w:rsidRPr="00A45B8A">
        <w:rPr>
          <w:rFonts w:ascii="Times New Roman" w:hAnsi="Times New Roman"/>
          <w:szCs w:val="24"/>
          <w:lang w:val="bs-Latn-BA"/>
        </w:rPr>
        <w:t xml:space="preserve"> </w:t>
      </w:r>
      <w:r>
        <w:rPr>
          <w:rFonts w:ascii="Times New Roman" w:hAnsi="Times New Roman"/>
          <w:szCs w:val="24"/>
          <w:lang w:val="bs-Latn-BA"/>
        </w:rPr>
        <w:t>исходима</w:t>
      </w:r>
      <w:r w:rsidR="00C90CAD" w:rsidRPr="00A45B8A">
        <w:rPr>
          <w:rFonts w:ascii="Times New Roman" w:hAnsi="Times New Roman"/>
          <w:szCs w:val="24"/>
          <w:lang w:val="bs-Latn-BA"/>
        </w:rPr>
        <w:t xml:space="preserve"> </w:t>
      </w:r>
      <w:r>
        <w:rPr>
          <w:rFonts w:ascii="Times New Roman" w:hAnsi="Times New Roman"/>
          <w:szCs w:val="24"/>
          <w:lang w:val="bs-Latn-BA"/>
        </w:rPr>
        <w:t>учења</w:t>
      </w:r>
      <w:r w:rsidR="00C90CAD" w:rsidRPr="00A45B8A">
        <w:rPr>
          <w:rFonts w:ascii="Times New Roman" w:hAnsi="Times New Roman"/>
          <w:szCs w:val="24"/>
          <w:lang w:val="bs-Latn-BA"/>
        </w:rPr>
        <w:t xml:space="preserve"> </w:t>
      </w:r>
      <w:r>
        <w:rPr>
          <w:rFonts w:ascii="Times New Roman" w:hAnsi="Times New Roman"/>
          <w:szCs w:val="24"/>
          <w:lang w:val="bs-Latn-BA"/>
        </w:rPr>
        <w:t>на</w:t>
      </w:r>
      <w:r w:rsidR="00C90CAD" w:rsidRPr="00A45B8A">
        <w:rPr>
          <w:rFonts w:ascii="Times New Roman" w:hAnsi="Times New Roman"/>
          <w:szCs w:val="24"/>
          <w:lang w:val="bs-Latn-BA"/>
        </w:rPr>
        <w:t xml:space="preserve"> </w:t>
      </w:r>
      <w:r>
        <w:rPr>
          <w:rFonts w:ascii="Times New Roman" w:hAnsi="Times New Roman"/>
          <w:szCs w:val="24"/>
          <w:lang w:val="bs-Latn-BA"/>
        </w:rPr>
        <w:t>основу</w:t>
      </w:r>
      <w:r w:rsidR="00C90CAD" w:rsidRPr="00A45B8A">
        <w:rPr>
          <w:rFonts w:ascii="Times New Roman" w:hAnsi="Times New Roman"/>
          <w:szCs w:val="24"/>
          <w:lang w:val="bs-Latn-BA"/>
        </w:rPr>
        <w:t xml:space="preserve"> </w:t>
      </w:r>
      <w:r>
        <w:rPr>
          <w:rFonts w:ascii="Times New Roman" w:hAnsi="Times New Roman"/>
          <w:szCs w:val="24"/>
          <w:lang w:val="bs-Latn-BA"/>
        </w:rPr>
        <w:t>које</w:t>
      </w:r>
      <w:r w:rsidR="00C90CAD" w:rsidRPr="00A45B8A">
        <w:rPr>
          <w:rFonts w:ascii="Times New Roman" w:hAnsi="Times New Roman"/>
          <w:szCs w:val="24"/>
          <w:lang w:val="bs-Latn-BA"/>
        </w:rPr>
        <w:t xml:space="preserve"> </w:t>
      </w:r>
      <w:r>
        <w:rPr>
          <w:rFonts w:ascii="Times New Roman" w:hAnsi="Times New Roman"/>
          <w:szCs w:val="24"/>
          <w:lang w:val="bs-Latn-BA"/>
        </w:rPr>
        <w:t>су</w:t>
      </w:r>
      <w:r w:rsidR="00C90CAD" w:rsidRPr="00A45B8A">
        <w:rPr>
          <w:rFonts w:ascii="Times New Roman" w:hAnsi="Times New Roman"/>
          <w:szCs w:val="24"/>
          <w:lang w:val="bs-Latn-BA"/>
        </w:rPr>
        <w:t xml:space="preserve"> </w:t>
      </w:r>
      <w:r>
        <w:rPr>
          <w:rFonts w:ascii="Times New Roman" w:hAnsi="Times New Roman"/>
          <w:szCs w:val="24"/>
          <w:lang w:val="bs-Latn-BA"/>
        </w:rPr>
        <w:t>израђени</w:t>
      </w:r>
      <w:r w:rsidR="00C90CAD" w:rsidRPr="00A45B8A">
        <w:rPr>
          <w:rFonts w:ascii="Times New Roman" w:hAnsi="Times New Roman"/>
          <w:szCs w:val="24"/>
          <w:lang w:val="bs-Latn-BA"/>
        </w:rPr>
        <w:t xml:space="preserve"> </w:t>
      </w:r>
      <w:r>
        <w:rPr>
          <w:rFonts w:ascii="Times New Roman" w:hAnsi="Times New Roman"/>
          <w:szCs w:val="24"/>
          <w:lang w:val="bs-Latn-BA"/>
        </w:rPr>
        <w:t>нови</w:t>
      </w:r>
      <w:r w:rsidR="00C90CAD" w:rsidRPr="00A45B8A">
        <w:rPr>
          <w:rFonts w:ascii="Times New Roman" w:hAnsi="Times New Roman"/>
          <w:szCs w:val="24"/>
          <w:lang w:val="bs-Latn-BA"/>
        </w:rPr>
        <w:t xml:space="preserve"> </w:t>
      </w:r>
      <w:r>
        <w:rPr>
          <w:rFonts w:ascii="Times New Roman" w:hAnsi="Times New Roman"/>
          <w:szCs w:val="24"/>
          <w:lang w:val="bs-Latn-BA"/>
        </w:rPr>
        <w:t>предметни</w:t>
      </w:r>
      <w:r w:rsidR="00C90CAD" w:rsidRPr="00A45B8A">
        <w:rPr>
          <w:rFonts w:ascii="Times New Roman" w:hAnsi="Times New Roman"/>
          <w:szCs w:val="24"/>
          <w:lang w:val="bs-Latn-BA"/>
        </w:rPr>
        <w:t xml:space="preserve"> </w:t>
      </w:r>
      <w:r>
        <w:rPr>
          <w:rFonts w:ascii="Times New Roman" w:hAnsi="Times New Roman"/>
          <w:szCs w:val="24"/>
          <w:lang w:val="bs-Latn-BA"/>
        </w:rPr>
        <w:t>курикулуми</w:t>
      </w:r>
      <w:r w:rsidR="00C90CAD" w:rsidRPr="00A45B8A">
        <w:rPr>
          <w:rFonts w:ascii="Times New Roman" w:hAnsi="Times New Roman"/>
          <w:szCs w:val="24"/>
          <w:lang w:val="bs-Latn-BA"/>
        </w:rPr>
        <w:t xml:space="preserve"> </w:t>
      </w:r>
      <w:r>
        <w:rPr>
          <w:rFonts w:ascii="Times New Roman" w:hAnsi="Times New Roman"/>
          <w:szCs w:val="24"/>
          <w:lang w:val="bs-Latn-BA"/>
        </w:rPr>
        <w:t>који</w:t>
      </w:r>
      <w:r w:rsidR="00C90CAD" w:rsidRPr="00A45B8A">
        <w:rPr>
          <w:rFonts w:ascii="Times New Roman" w:hAnsi="Times New Roman"/>
          <w:szCs w:val="24"/>
          <w:lang w:val="bs-Latn-BA"/>
        </w:rPr>
        <w:t xml:space="preserve"> </w:t>
      </w:r>
      <w:r>
        <w:rPr>
          <w:rFonts w:ascii="Times New Roman" w:hAnsi="Times New Roman"/>
          <w:szCs w:val="24"/>
          <w:lang w:val="bs-Latn-BA"/>
        </w:rPr>
        <w:t>се</w:t>
      </w:r>
      <w:r w:rsidR="00C90CAD" w:rsidRPr="00A45B8A">
        <w:rPr>
          <w:rFonts w:ascii="Times New Roman" w:hAnsi="Times New Roman"/>
          <w:szCs w:val="24"/>
          <w:lang w:val="bs-Latn-BA"/>
        </w:rPr>
        <w:t xml:space="preserve"> </w:t>
      </w:r>
      <w:r>
        <w:rPr>
          <w:rFonts w:ascii="Times New Roman" w:hAnsi="Times New Roman"/>
          <w:szCs w:val="24"/>
          <w:lang w:val="bs-Latn-BA"/>
        </w:rPr>
        <w:t>примјењују</w:t>
      </w:r>
      <w:r w:rsidR="00C90CAD" w:rsidRPr="00A45B8A">
        <w:rPr>
          <w:rFonts w:ascii="Times New Roman" w:hAnsi="Times New Roman"/>
          <w:szCs w:val="24"/>
          <w:lang w:val="bs-Latn-BA"/>
        </w:rPr>
        <w:t xml:space="preserve"> </w:t>
      </w:r>
      <w:r>
        <w:rPr>
          <w:rFonts w:ascii="Times New Roman" w:hAnsi="Times New Roman"/>
          <w:szCs w:val="24"/>
          <w:lang w:val="bs-Latn-BA"/>
        </w:rPr>
        <w:t>у</w:t>
      </w:r>
      <w:r w:rsidR="00C90CAD" w:rsidRPr="00A45B8A">
        <w:rPr>
          <w:rFonts w:ascii="Times New Roman" w:hAnsi="Times New Roman"/>
          <w:szCs w:val="24"/>
          <w:lang w:val="bs-Latn-BA"/>
        </w:rPr>
        <w:t xml:space="preserve"> </w:t>
      </w:r>
      <w:r>
        <w:rPr>
          <w:rFonts w:ascii="Times New Roman" w:hAnsi="Times New Roman"/>
          <w:szCs w:val="24"/>
          <w:lang w:val="bs-Latn-BA"/>
        </w:rPr>
        <w:t>Босни</w:t>
      </w:r>
      <w:r w:rsidR="00C90CAD" w:rsidRPr="00A45B8A">
        <w:rPr>
          <w:rFonts w:ascii="Times New Roman" w:hAnsi="Times New Roman"/>
          <w:szCs w:val="24"/>
          <w:lang w:val="bs-Latn-BA"/>
        </w:rPr>
        <w:t xml:space="preserve"> </w:t>
      </w:r>
      <w:r>
        <w:rPr>
          <w:rFonts w:ascii="Times New Roman" w:hAnsi="Times New Roman"/>
          <w:szCs w:val="24"/>
          <w:lang w:val="bs-Latn-BA"/>
        </w:rPr>
        <w:t>и</w:t>
      </w:r>
      <w:r w:rsidR="00C90CAD" w:rsidRPr="00A45B8A">
        <w:rPr>
          <w:rFonts w:ascii="Times New Roman" w:hAnsi="Times New Roman"/>
          <w:szCs w:val="24"/>
          <w:lang w:val="bs-Latn-BA"/>
        </w:rPr>
        <w:t xml:space="preserve"> </w:t>
      </w:r>
      <w:r>
        <w:rPr>
          <w:rFonts w:ascii="Times New Roman" w:hAnsi="Times New Roman"/>
          <w:szCs w:val="24"/>
          <w:lang w:val="bs-Latn-BA"/>
        </w:rPr>
        <w:t>Херцеговини</w:t>
      </w:r>
      <w:r w:rsidR="00C90CAD" w:rsidRPr="00A45B8A">
        <w:rPr>
          <w:rFonts w:ascii="Times New Roman" w:hAnsi="Times New Roman"/>
          <w:szCs w:val="24"/>
          <w:lang w:val="bs-Latn-BA"/>
        </w:rPr>
        <w:t>.</w:t>
      </w:r>
    </w:p>
    <w:p w:rsidR="00C90CAD" w:rsidRPr="00295637" w:rsidRDefault="00C90CAD" w:rsidP="0086268D">
      <w:pPr>
        <w:tabs>
          <w:tab w:val="left" w:pos="284"/>
          <w:tab w:val="left" w:pos="630"/>
          <w:tab w:val="left" w:pos="1080"/>
        </w:tabs>
        <w:jc w:val="both"/>
        <w:rPr>
          <w:rFonts w:ascii="Times New Roman" w:hAnsi="Times New Roman"/>
          <w:szCs w:val="24"/>
          <w:lang w:val="bs-Latn-BA"/>
        </w:rPr>
      </w:pPr>
    </w:p>
    <w:p w:rsidR="00C90CAD" w:rsidRPr="00295637" w:rsidRDefault="00C6214E" w:rsidP="0086268D">
      <w:pPr>
        <w:tabs>
          <w:tab w:val="left" w:pos="284"/>
          <w:tab w:val="left" w:pos="630"/>
          <w:tab w:val="left" w:pos="1080"/>
        </w:tabs>
        <w:jc w:val="both"/>
        <w:rPr>
          <w:rFonts w:ascii="Times New Roman" w:hAnsi="Times New Roman"/>
          <w:b/>
          <w:lang w:val="bs-Latn-BA"/>
        </w:rPr>
      </w:pPr>
      <w:r>
        <w:rPr>
          <w:rFonts w:ascii="Times New Roman" w:hAnsi="Times New Roman"/>
          <w:lang w:val="bs-Latn-BA"/>
        </w:rPr>
        <w:t>ФМОИН</w:t>
      </w:r>
      <w:r w:rsidR="00C90CAD" w:rsidRPr="00295637">
        <w:rPr>
          <w:rFonts w:ascii="Times New Roman" w:hAnsi="Times New Roman"/>
          <w:lang w:val="bs-Latn-BA"/>
        </w:rPr>
        <w:t xml:space="preserve"> </w:t>
      </w:r>
      <w:r>
        <w:rPr>
          <w:rFonts w:ascii="Times New Roman" w:hAnsi="Times New Roman"/>
          <w:lang w:val="bs-Latn-BA"/>
        </w:rPr>
        <w:t>наставило</w:t>
      </w:r>
      <w:r w:rsidR="00C90CAD" w:rsidRPr="00295637">
        <w:rPr>
          <w:rFonts w:ascii="Times New Roman" w:hAnsi="Times New Roman"/>
          <w:lang w:val="bs-Latn-BA"/>
        </w:rPr>
        <w:t xml:space="preserve"> </w:t>
      </w:r>
      <w:r>
        <w:rPr>
          <w:rFonts w:ascii="Times New Roman" w:hAnsi="Times New Roman"/>
          <w:lang w:val="bs-Latn-BA"/>
        </w:rPr>
        <w:t>је</w:t>
      </w:r>
      <w:r w:rsidR="00530297" w:rsidRPr="00295637">
        <w:rPr>
          <w:rFonts w:ascii="Times New Roman" w:hAnsi="Times New Roman"/>
          <w:lang w:val="bs-Latn-BA"/>
        </w:rPr>
        <w:t xml:space="preserve"> </w:t>
      </w:r>
      <w:r>
        <w:rPr>
          <w:rFonts w:ascii="Times New Roman" w:hAnsi="Times New Roman"/>
          <w:lang w:val="bs-Latn-BA"/>
        </w:rPr>
        <w:t>са</w:t>
      </w:r>
      <w:r w:rsidR="00A45B8A">
        <w:rPr>
          <w:rFonts w:ascii="Times New Roman" w:hAnsi="Times New Roman"/>
          <w:lang w:val="bs-Latn-BA"/>
        </w:rPr>
        <w:t xml:space="preserve"> </w:t>
      </w:r>
      <w:r w:rsidR="00CB20DF">
        <w:rPr>
          <w:rFonts w:ascii="Times New Roman" w:hAnsi="Times New Roman"/>
          <w:lang w:val="sr-Cyrl-BA"/>
        </w:rPr>
        <w:t>спровођењем</w:t>
      </w:r>
      <w:r w:rsidR="00A45B8A">
        <w:rPr>
          <w:rFonts w:ascii="Times New Roman" w:hAnsi="Times New Roman"/>
          <w:lang w:val="bs-Latn-BA"/>
        </w:rPr>
        <w:t xml:space="preserve"> </w:t>
      </w:r>
      <w:r>
        <w:rPr>
          <w:rFonts w:ascii="Times New Roman" w:hAnsi="Times New Roman"/>
          <w:lang w:val="bs-Latn-BA"/>
        </w:rPr>
        <w:t>програма</w:t>
      </w:r>
      <w:r w:rsidR="00C90CAD" w:rsidRPr="00295637">
        <w:rPr>
          <w:rFonts w:ascii="Times New Roman" w:hAnsi="Times New Roman"/>
          <w:lang w:val="bs-Latn-BA"/>
        </w:rPr>
        <w:t xml:space="preserve"> </w:t>
      </w:r>
      <w:r>
        <w:rPr>
          <w:rFonts w:ascii="Times New Roman" w:hAnsi="Times New Roman"/>
          <w:lang w:val="bs-Latn-BA"/>
        </w:rPr>
        <w:t>подршке</w:t>
      </w:r>
      <w:r w:rsidR="00C90CAD" w:rsidRPr="00295637">
        <w:rPr>
          <w:rFonts w:ascii="Times New Roman" w:hAnsi="Times New Roman"/>
          <w:lang w:val="bs-Latn-BA"/>
        </w:rPr>
        <w:t xml:space="preserve"> </w:t>
      </w:r>
      <w:r>
        <w:rPr>
          <w:rFonts w:ascii="Times New Roman" w:hAnsi="Times New Roman"/>
          <w:lang w:val="bs-Latn-BA"/>
        </w:rPr>
        <w:t>образовању</w:t>
      </w:r>
      <w:r w:rsidR="00C90CAD" w:rsidRPr="00295637">
        <w:rPr>
          <w:rFonts w:ascii="Times New Roman" w:hAnsi="Times New Roman"/>
          <w:lang w:val="bs-Latn-BA"/>
        </w:rPr>
        <w:t xml:space="preserve"> </w:t>
      </w:r>
      <w:r>
        <w:rPr>
          <w:rFonts w:ascii="Times New Roman" w:hAnsi="Times New Roman"/>
          <w:lang w:val="bs-Latn-BA"/>
        </w:rPr>
        <w:t>рањивих</w:t>
      </w:r>
      <w:r w:rsidR="00C90CAD" w:rsidRPr="00295637">
        <w:rPr>
          <w:rFonts w:ascii="Times New Roman" w:hAnsi="Times New Roman"/>
          <w:lang w:val="bs-Latn-BA"/>
        </w:rPr>
        <w:t xml:space="preserve"> </w:t>
      </w:r>
      <w:r>
        <w:rPr>
          <w:rFonts w:ascii="Times New Roman" w:hAnsi="Times New Roman"/>
          <w:lang w:val="bs-Latn-BA"/>
        </w:rPr>
        <w:t>група</w:t>
      </w:r>
      <w:r w:rsidR="00C90CAD" w:rsidRPr="00295637">
        <w:rPr>
          <w:rFonts w:ascii="Times New Roman" w:hAnsi="Times New Roman"/>
          <w:lang w:val="bs-Latn-BA"/>
        </w:rPr>
        <w:t xml:space="preserve">, </w:t>
      </w:r>
      <w:r>
        <w:rPr>
          <w:rFonts w:ascii="Times New Roman" w:hAnsi="Times New Roman"/>
          <w:lang w:val="bs-Latn-BA"/>
        </w:rPr>
        <w:t>укључујући</w:t>
      </w:r>
      <w:r w:rsidR="00C90CAD" w:rsidRPr="00295637">
        <w:rPr>
          <w:rFonts w:ascii="Times New Roman" w:hAnsi="Times New Roman"/>
          <w:lang w:val="bs-Latn-BA"/>
        </w:rPr>
        <w:t xml:space="preserve">: </w:t>
      </w:r>
      <w:r w:rsidR="00C90CAD" w:rsidRPr="00295637">
        <w:rPr>
          <w:rStyle w:val="Strong"/>
          <w:rFonts w:ascii="Times New Roman" w:hAnsi="Times New Roman"/>
          <w:b w:val="0"/>
          <w:lang w:val="bs-Latn-BA"/>
        </w:rPr>
        <w:t xml:space="preserve">112 </w:t>
      </w:r>
      <w:r>
        <w:rPr>
          <w:rStyle w:val="Strong"/>
          <w:rFonts w:ascii="Times New Roman" w:hAnsi="Times New Roman"/>
          <w:b w:val="0"/>
          <w:lang w:val="bs-Latn-BA"/>
        </w:rPr>
        <w:t>ромских</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ученика</w:t>
      </w:r>
      <w:r w:rsidR="00C90CAD" w:rsidRPr="00295637">
        <w:rPr>
          <w:rFonts w:ascii="Times New Roman" w:hAnsi="Times New Roman"/>
          <w:lang w:val="bs-Latn-BA"/>
        </w:rPr>
        <w:t xml:space="preserve"> </w:t>
      </w:r>
      <w:r>
        <w:rPr>
          <w:rFonts w:ascii="Times New Roman" w:hAnsi="Times New Roman"/>
          <w:lang w:val="bs-Latn-BA"/>
        </w:rPr>
        <w:t>подржаних</w:t>
      </w:r>
      <w:r w:rsidR="00C90CAD" w:rsidRPr="00295637">
        <w:rPr>
          <w:rFonts w:ascii="Times New Roman" w:hAnsi="Times New Roman"/>
          <w:lang w:val="bs-Latn-BA"/>
        </w:rPr>
        <w:t xml:space="preserve"> </w:t>
      </w:r>
      <w:r>
        <w:rPr>
          <w:rFonts w:ascii="Times New Roman" w:hAnsi="Times New Roman"/>
          <w:lang w:val="bs-Latn-BA"/>
        </w:rPr>
        <w:t>кроз</w:t>
      </w:r>
      <w:r w:rsidR="00C90CAD" w:rsidRPr="00295637">
        <w:rPr>
          <w:rFonts w:ascii="Times New Roman" w:hAnsi="Times New Roman"/>
          <w:lang w:val="bs-Latn-BA"/>
        </w:rPr>
        <w:t xml:space="preserve"> </w:t>
      </w:r>
      <w:r>
        <w:rPr>
          <w:rFonts w:ascii="Times New Roman" w:hAnsi="Times New Roman"/>
          <w:lang w:val="bs-Latn-BA"/>
        </w:rPr>
        <w:t>програм</w:t>
      </w:r>
      <w:r w:rsidR="00C90CAD" w:rsidRPr="00295637">
        <w:rPr>
          <w:rFonts w:ascii="Times New Roman" w:hAnsi="Times New Roman"/>
          <w:lang w:val="bs-Latn-BA"/>
        </w:rPr>
        <w:t xml:space="preserve"> </w:t>
      </w:r>
      <w:r>
        <w:rPr>
          <w:rFonts w:ascii="Times New Roman" w:hAnsi="Times New Roman"/>
          <w:lang w:val="bs-Latn-BA"/>
        </w:rPr>
        <w:t>подршке</w:t>
      </w:r>
      <w:r w:rsidR="00C90CAD" w:rsidRPr="00295637">
        <w:rPr>
          <w:rFonts w:ascii="Times New Roman" w:hAnsi="Times New Roman"/>
          <w:lang w:val="bs-Latn-BA"/>
        </w:rPr>
        <w:t xml:space="preserve"> </w:t>
      </w:r>
      <w:r>
        <w:rPr>
          <w:rFonts w:ascii="Times New Roman" w:hAnsi="Times New Roman"/>
          <w:lang w:val="bs-Latn-BA"/>
        </w:rPr>
        <w:t>школовању</w:t>
      </w:r>
      <w:r w:rsidR="00C90CAD" w:rsidRPr="00295637">
        <w:rPr>
          <w:rFonts w:ascii="Times New Roman" w:hAnsi="Times New Roman"/>
          <w:lang w:val="bs-Latn-BA"/>
        </w:rPr>
        <w:t xml:space="preserve">, </w:t>
      </w:r>
      <w:r>
        <w:rPr>
          <w:rFonts w:ascii="Times New Roman" w:hAnsi="Times New Roman"/>
          <w:lang w:val="bs-Latn-BA"/>
        </w:rPr>
        <w:t>од</w:t>
      </w:r>
      <w:r w:rsidR="00C90CAD" w:rsidRPr="00295637">
        <w:rPr>
          <w:rFonts w:ascii="Times New Roman" w:hAnsi="Times New Roman"/>
          <w:lang w:val="bs-Latn-BA"/>
        </w:rPr>
        <w:t xml:space="preserve"> </w:t>
      </w:r>
      <w:r>
        <w:rPr>
          <w:rFonts w:ascii="Times New Roman" w:hAnsi="Times New Roman"/>
          <w:lang w:val="bs-Latn-BA"/>
        </w:rPr>
        <w:t>чега</w:t>
      </w:r>
      <w:r w:rsidR="00C90CAD" w:rsidRPr="00295637">
        <w:rPr>
          <w:rFonts w:ascii="Times New Roman" w:hAnsi="Times New Roman"/>
          <w:lang w:val="bs-Latn-BA"/>
        </w:rPr>
        <w:t xml:space="preserve"> </w:t>
      </w:r>
      <w:r>
        <w:rPr>
          <w:rFonts w:ascii="Times New Roman" w:hAnsi="Times New Roman"/>
          <w:lang w:val="bs-Latn-BA"/>
        </w:rPr>
        <w:t>су</w:t>
      </w:r>
      <w:r w:rsidR="00C90CAD" w:rsidRPr="00295637">
        <w:rPr>
          <w:rFonts w:ascii="Times New Roman" w:hAnsi="Times New Roman"/>
          <w:lang w:val="bs-Latn-BA"/>
        </w:rPr>
        <w:t xml:space="preserve"> </w:t>
      </w:r>
      <w:r w:rsidR="00C90CAD" w:rsidRPr="00295637">
        <w:rPr>
          <w:rStyle w:val="Strong"/>
          <w:rFonts w:ascii="Times New Roman" w:hAnsi="Times New Roman"/>
          <w:b w:val="0"/>
          <w:lang w:val="bs-Latn-BA"/>
        </w:rPr>
        <w:t xml:space="preserve">64 </w:t>
      </w:r>
      <w:r>
        <w:rPr>
          <w:rStyle w:val="Strong"/>
          <w:rFonts w:ascii="Times New Roman" w:hAnsi="Times New Roman"/>
          <w:b w:val="0"/>
          <w:lang w:val="bs-Latn-BA"/>
        </w:rPr>
        <w:t>ученице</w:t>
      </w:r>
      <w:r w:rsidR="00C90CAD" w:rsidRPr="00295637">
        <w:rPr>
          <w:rFonts w:ascii="Times New Roman" w:hAnsi="Times New Roman"/>
          <w:b/>
          <w:lang w:val="bs-Latn-BA"/>
        </w:rPr>
        <w:t xml:space="preserve"> (</w:t>
      </w:r>
      <w:r w:rsidR="00C90CAD" w:rsidRPr="00295637">
        <w:rPr>
          <w:rStyle w:val="Strong"/>
          <w:rFonts w:ascii="Times New Roman" w:hAnsi="Times New Roman"/>
          <w:b w:val="0"/>
          <w:lang w:val="bs-Latn-BA"/>
        </w:rPr>
        <w:t>57,14%</w:t>
      </w:r>
      <w:r w:rsidR="00C90CAD" w:rsidRPr="00295637">
        <w:rPr>
          <w:rFonts w:ascii="Times New Roman" w:hAnsi="Times New Roman"/>
          <w:b/>
          <w:lang w:val="bs-Latn-BA"/>
        </w:rPr>
        <w:t>),</w:t>
      </w:r>
      <w:r w:rsidR="00C90CAD" w:rsidRPr="00295637">
        <w:rPr>
          <w:rFonts w:ascii="Times New Roman" w:hAnsi="Times New Roman"/>
          <w:lang w:val="bs-Latn-BA"/>
        </w:rPr>
        <w:t xml:space="preserve"> </w:t>
      </w:r>
      <w:r>
        <w:rPr>
          <w:rFonts w:ascii="Times New Roman" w:hAnsi="Times New Roman"/>
          <w:lang w:val="bs-Latn-BA"/>
        </w:rPr>
        <w:t>шест</w:t>
      </w:r>
      <w:r w:rsidR="00C90CAD" w:rsidRPr="00295637">
        <w:rPr>
          <w:rFonts w:ascii="Times New Roman" w:hAnsi="Times New Roman"/>
          <w:lang w:val="bs-Latn-BA"/>
        </w:rPr>
        <w:t xml:space="preserve"> </w:t>
      </w:r>
      <w:r>
        <w:rPr>
          <w:rStyle w:val="Strong"/>
          <w:rFonts w:ascii="Times New Roman" w:hAnsi="Times New Roman"/>
          <w:b w:val="0"/>
          <w:lang w:val="bs-Latn-BA"/>
        </w:rPr>
        <w:t>ромских</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студената</w:t>
      </w:r>
      <w:r w:rsidR="00C90CAD" w:rsidRPr="00295637">
        <w:rPr>
          <w:rFonts w:ascii="Times New Roman" w:hAnsi="Times New Roman"/>
          <w:lang w:val="bs-Latn-BA"/>
        </w:rPr>
        <w:t xml:space="preserve"> </w:t>
      </w:r>
      <w:r>
        <w:rPr>
          <w:rFonts w:ascii="Times New Roman" w:hAnsi="Times New Roman"/>
          <w:lang w:val="bs-Latn-BA"/>
        </w:rPr>
        <w:t>подржаних</w:t>
      </w:r>
      <w:r w:rsidR="00C90CAD" w:rsidRPr="00295637">
        <w:rPr>
          <w:rFonts w:ascii="Times New Roman" w:hAnsi="Times New Roman"/>
          <w:lang w:val="bs-Latn-BA"/>
        </w:rPr>
        <w:t xml:space="preserve"> </w:t>
      </w:r>
      <w:r>
        <w:rPr>
          <w:rFonts w:ascii="Times New Roman" w:hAnsi="Times New Roman"/>
          <w:lang w:val="bs-Latn-BA"/>
        </w:rPr>
        <w:t>кроз</w:t>
      </w:r>
      <w:r w:rsidR="00C90CAD" w:rsidRPr="00295637">
        <w:rPr>
          <w:rFonts w:ascii="Times New Roman" w:hAnsi="Times New Roman"/>
          <w:lang w:val="bs-Latn-BA"/>
        </w:rPr>
        <w:t xml:space="preserve"> </w:t>
      </w:r>
      <w:r>
        <w:rPr>
          <w:rFonts w:ascii="Times New Roman" w:hAnsi="Times New Roman"/>
          <w:lang w:val="bs-Latn-BA"/>
        </w:rPr>
        <w:t>програм</w:t>
      </w:r>
      <w:r w:rsidR="00C90CAD" w:rsidRPr="00295637">
        <w:rPr>
          <w:rFonts w:ascii="Times New Roman" w:hAnsi="Times New Roman"/>
          <w:lang w:val="bs-Latn-BA"/>
        </w:rPr>
        <w:t xml:space="preserve"> </w:t>
      </w:r>
      <w:r>
        <w:rPr>
          <w:rFonts w:ascii="Times New Roman" w:hAnsi="Times New Roman"/>
          <w:lang w:val="bs-Latn-BA"/>
        </w:rPr>
        <w:t>подстицаја</w:t>
      </w:r>
      <w:r w:rsidR="00C90CAD" w:rsidRPr="00295637">
        <w:rPr>
          <w:rFonts w:ascii="Times New Roman" w:hAnsi="Times New Roman"/>
          <w:lang w:val="bs-Latn-BA"/>
        </w:rPr>
        <w:t xml:space="preserve">, </w:t>
      </w:r>
      <w:r>
        <w:rPr>
          <w:rFonts w:ascii="Times New Roman" w:hAnsi="Times New Roman"/>
          <w:lang w:val="bs-Latn-BA"/>
        </w:rPr>
        <w:t>од</w:t>
      </w:r>
      <w:r w:rsidR="00C90CAD" w:rsidRPr="00295637">
        <w:rPr>
          <w:rFonts w:ascii="Times New Roman" w:hAnsi="Times New Roman"/>
          <w:lang w:val="bs-Latn-BA"/>
        </w:rPr>
        <w:t xml:space="preserve"> </w:t>
      </w:r>
      <w:r>
        <w:rPr>
          <w:rFonts w:ascii="Times New Roman" w:hAnsi="Times New Roman"/>
          <w:lang w:val="bs-Latn-BA"/>
        </w:rPr>
        <w:t>чега</w:t>
      </w:r>
      <w:r w:rsidR="00C90CAD" w:rsidRPr="00295637">
        <w:rPr>
          <w:rFonts w:ascii="Times New Roman" w:hAnsi="Times New Roman"/>
          <w:lang w:val="bs-Latn-BA"/>
        </w:rPr>
        <w:t xml:space="preserve"> </w:t>
      </w:r>
      <w:r>
        <w:rPr>
          <w:rFonts w:ascii="Times New Roman" w:hAnsi="Times New Roman"/>
          <w:lang w:val="bs-Latn-BA"/>
        </w:rPr>
        <w:t>су</w:t>
      </w:r>
      <w:r w:rsidR="00C90CAD" w:rsidRPr="00295637">
        <w:rPr>
          <w:rFonts w:ascii="Times New Roman" w:hAnsi="Times New Roman"/>
          <w:lang w:val="bs-Latn-BA"/>
        </w:rPr>
        <w:t xml:space="preserve"> </w:t>
      </w:r>
      <w:r w:rsidR="00C90CAD" w:rsidRPr="00295637">
        <w:rPr>
          <w:rStyle w:val="Strong"/>
          <w:rFonts w:ascii="Times New Roman" w:hAnsi="Times New Roman"/>
          <w:b w:val="0"/>
          <w:lang w:val="bs-Latn-BA"/>
        </w:rPr>
        <w:t xml:space="preserve">3 </w:t>
      </w:r>
      <w:r>
        <w:rPr>
          <w:rStyle w:val="Strong"/>
          <w:rFonts w:ascii="Times New Roman" w:hAnsi="Times New Roman"/>
          <w:b w:val="0"/>
          <w:lang w:val="bs-Latn-BA"/>
        </w:rPr>
        <w:t>студентице</w:t>
      </w:r>
      <w:r w:rsidR="00C90CAD" w:rsidRPr="00295637">
        <w:rPr>
          <w:rFonts w:ascii="Times New Roman" w:hAnsi="Times New Roman"/>
          <w:b/>
          <w:lang w:val="bs-Latn-BA"/>
        </w:rPr>
        <w:t xml:space="preserve"> </w:t>
      </w:r>
      <w:r w:rsidR="00C90CAD" w:rsidRPr="006820FB">
        <w:rPr>
          <w:rFonts w:ascii="Times New Roman" w:hAnsi="Times New Roman"/>
          <w:lang w:val="bs-Latn-BA"/>
        </w:rPr>
        <w:t>(</w:t>
      </w:r>
      <w:r w:rsidR="00C90CAD" w:rsidRPr="00295637">
        <w:rPr>
          <w:rStyle w:val="Strong"/>
          <w:rFonts w:ascii="Times New Roman" w:hAnsi="Times New Roman"/>
          <w:b w:val="0"/>
          <w:lang w:val="bs-Latn-BA"/>
        </w:rPr>
        <w:t>50%</w:t>
      </w:r>
      <w:r w:rsidR="00C90CAD" w:rsidRPr="006820FB">
        <w:rPr>
          <w:rFonts w:ascii="Times New Roman" w:hAnsi="Times New Roman"/>
          <w:lang w:val="bs-Latn-BA"/>
        </w:rPr>
        <w:t xml:space="preserve">), </w:t>
      </w:r>
      <w:r w:rsidR="00C90CAD" w:rsidRPr="00295637">
        <w:rPr>
          <w:rStyle w:val="Strong"/>
          <w:rFonts w:ascii="Times New Roman" w:hAnsi="Times New Roman"/>
          <w:b w:val="0"/>
          <w:lang w:val="bs-Latn-BA"/>
        </w:rPr>
        <w:t xml:space="preserve">28 </w:t>
      </w:r>
      <w:r>
        <w:rPr>
          <w:rStyle w:val="Strong"/>
          <w:rFonts w:ascii="Times New Roman" w:hAnsi="Times New Roman"/>
          <w:b w:val="0"/>
          <w:lang w:val="bs-Latn-BA"/>
        </w:rPr>
        <w:t>студената</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са</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инвалидитетом</w:t>
      </w:r>
      <w:r w:rsidR="00C90CAD" w:rsidRPr="00295637">
        <w:rPr>
          <w:rFonts w:ascii="Times New Roman" w:hAnsi="Times New Roman"/>
          <w:lang w:val="bs-Latn-BA"/>
        </w:rPr>
        <w:t xml:space="preserve"> </w:t>
      </w:r>
      <w:r>
        <w:rPr>
          <w:rFonts w:ascii="Times New Roman" w:hAnsi="Times New Roman"/>
          <w:lang w:val="bs-Latn-BA"/>
        </w:rPr>
        <w:t>подржаних</w:t>
      </w:r>
      <w:r w:rsidR="00C90CAD" w:rsidRPr="00295637">
        <w:rPr>
          <w:rFonts w:ascii="Times New Roman" w:hAnsi="Times New Roman"/>
          <w:lang w:val="bs-Latn-BA"/>
        </w:rPr>
        <w:t xml:space="preserve"> </w:t>
      </w:r>
      <w:r>
        <w:rPr>
          <w:rFonts w:ascii="Times New Roman" w:hAnsi="Times New Roman"/>
          <w:lang w:val="bs-Latn-BA"/>
        </w:rPr>
        <w:t>кроз</w:t>
      </w:r>
      <w:r w:rsidR="00C90CAD" w:rsidRPr="00295637">
        <w:rPr>
          <w:rFonts w:ascii="Times New Roman" w:hAnsi="Times New Roman"/>
          <w:lang w:val="bs-Latn-BA"/>
        </w:rPr>
        <w:t xml:space="preserve"> </w:t>
      </w:r>
      <w:r>
        <w:rPr>
          <w:rFonts w:ascii="Times New Roman" w:hAnsi="Times New Roman"/>
          <w:lang w:val="bs-Latn-BA"/>
        </w:rPr>
        <w:t>програм</w:t>
      </w:r>
      <w:r w:rsidR="00C90CAD" w:rsidRPr="00295637">
        <w:rPr>
          <w:rFonts w:ascii="Times New Roman" w:hAnsi="Times New Roman"/>
          <w:lang w:val="bs-Latn-BA"/>
        </w:rPr>
        <w:t xml:space="preserve"> </w:t>
      </w:r>
      <w:r>
        <w:rPr>
          <w:rFonts w:ascii="Times New Roman" w:hAnsi="Times New Roman"/>
          <w:lang w:val="bs-Latn-BA"/>
        </w:rPr>
        <w:t>подршке</w:t>
      </w:r>
      <w:r w:rsidR="00C90CAD" w:rsidRPr="00295637">
        <w:rPr>
          <w:rFonts w:ascii="Times New Roman" w:hAnsi="Times New Roman"/>
          <w:lang w:val="bs-Latn-BA"/>
        </w:rPr>
        <w:t xml:space="preserve">, </w:t>
      </w:r>
      <w:r>
        <w:rPr>
          <w:rFonts w:ascii="Times New Roman" w:hAnsi="Times New Roman"/>
          <w:lang w:val="bs-Latn-BA"/>
        </w:rPr>
        <w:t>од</w:t>
      </w:r>
      <w:r w:rsidR="00C90CAD" w:rsidRPr="00295637">
        <w:rPr>
          <w:rFonts w:ascii="Times New Roman" w:hAnsi="Times New Roman"/>
          <w:lang w:val="bs-Latn-BA"/>
        </w:rPr>
        <w:t xml:space="preserve"> </w:t>
      </w:r>
      <w:r>
        <w:rPr>
          <w:rFonts w:ascii="Times New Roman" w:hAnsi="Times New Roman"/>
          <w:lang w:val="bs-Latn-BA"/>
        </w:rPr>
        <w:t>чега</w:t>
      </w:r>
      <w:r w:rsidR="00C90CAD" w:rsidRPr="00295637">
        <w:rPr>
          <w:rFonts w:ascii="Times New Roman" w:hAnsi="Times New Roman"/>
          <w:lang w:val="bs-Latn-BA"/>
        </w:rPr>
        <w:t xml:space="preserve"> </w:t>
      </w:r>
      <w:r>
        <w:rPr>
          <w:rFonts w:ascii="Times New Roman" w:hAnsi="Times New Roman"/>
          <w:lang w:val="bs-Latn-BA"/>
        </w:rPr>
        <w:t>је</w:t>
      </w:r>
      <w:r w:rsidR="00C90CAD" w:rsidRPr="00295637">
        <w:rPr>
          <w:rFonts w:ascii="Times New Roman" w:hAnsi="Times New Roman"/>
          <w:lang w:val="bs-Latn-BA"/>
        </w:rPr>
        <w:t xml:space="preserve"> </w:t>
      </w:r>
      <w:r w:rsidR="00C90CAD" w:rsidRPr="00295637">
        <w:rPr>
          <w:rStyle w:val="Strong"/>
          <w:rFonts w:ascii="Times New Roman" w:hAnsi="Times New Roman"/>
          <w:b w:val="0"/>
          <w:lang w:val="bs-Latn-BA"/>
        </w:rPr>
        <w:t xml:space="preserve">18 </w:t>
      </w:r>
      <w:r>
        <w:rPr>
          <w:rStyle w:val="Strong"/>
          <w:rFonts w:ascii="Times New Roman" w:hAnsi="Times New Roman"/>
          <w:b w:val="0"/>
          <w:lang w:val="bs-Latn-BA"/>
        </w:rPr>
        <w:t>студентица</w:t>
      </w:r>
      <w:r w:rsidR="00C90CAD" w:rsidRPr="00295637">
        <w:rPr>
          <w:rFonts w:ascii="Times New Roman" w:hAnsi="Times New Roman"/>
          <w:b/>
          <w:lang w:val="bs-Latn-BA"/>
        </w:rPr>
        <w:t xml:space="preserve"> </w:t>
      </w:r>
      <w:r w:rsidR="00C90CAD" w:rsidRPr="006820FB">
        <w:rPr>
          <w:rFonts w:ascii="Times New Roman" w:hAnsi="Times New Roman"/>
          <w:lang w:val="bs-Latn-BA"/>
        </w:rPr>
        <w:t>(</w:t>
      </w:r>
      <w:r w:rsidR="00C90CAD" w:rsidRPr="00295637">
        <w:rPr>
          <w:rStyle w:val="Strong"/>
          <w:rFonts w:ascii="Times New Roman" w:hAnsi="Times New Roman"/>
          <w:b w:val="0"/>
          <w:lang w:val="bs-Latn-BA"/>
        </w:rPr>
        <w:t>64,29%</w:t>
      </w:r>
      <w:r w:rsidR="00C90CAD" w:rsidRPr="006820FB">
        <w:rPr>
          <w:rFonts w:ascii="Times New Roman" w:hAnsi="Times New Roman"/>
          <w:lang w:val="bs-Latn-BA"/>
        </w:rPr>
        <w:t>),</w:t>
      </w:r>
      <w:r w:rsidR="00C90CAD" w:rsidRPr="00295637">
        <w:rPr>
          <w:rFonts w:ascii="Times New Roman" w:hAnsi="Times New Roman"/>
          <w:b/>
          <w:lang w:val="bs-Latn-BA"/>
        </w:rPr>
        <w:t xml:space="preserve"> </w:t>
      </w:r>
      <w:r w:rsidR="00C90CAD" w:rsidRPr="00295637">
        <w:rPr>
          <w:rStyle w:val="Strong"/>
          <w:rFonts w:ascii="Times New Roman" w:hAnsi="Times New Roman"/>
          <w:b w:val="0"/>
          <w:lang w:val="bs-Latn-BA"/>
        </w:rPr>
        <w:t xml:space="preserve">15 </w:t>
      </w:r>
      <w:r>
        <w:rPr>
          <w:rStyle w:val="Strong"/>
          <w:rFonts w:ascii="Times New Roman" w:hAnsi="Times New Roman"/>
          <w:b w:val="0"/>
          <w:lang w:val="bs-Latn-BA"/>
        </w:rPr>
        <w:t>пројеката</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побољшања</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инклузивности</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предшколског</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основног</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и</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средњег</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образовања</w:t>
      </w:r>
      <w:r w:rsidR="00C90CAD" w:rsidRPr="00295637">
        <w:rPr>
          <w:rFonts w:ascii="Times New Roman" w:hAnsi="Times New Roman"/>
          <w:lang w:val="bs-Latn-BA"/>
        </w:rPr>
        <w:t xml:space="preserve">, </w:t>
      </w:r>
      <w:r>
        <w:rPr>
          <w:rFonts w:ascii="Times New Roman" w:hAnsi="Times New Roman"/>
          <w:lang w:val="bs-Latn-BA"/>
        </w:rPr>
        <w:t>од</w:t>
      </w:r>
      <w:r w:rsidR="00C90CAD" w:rsidRPr="00295637">
        <w:rPr>
          <w:rFonts w:ascii="Times New Roman" w:hAnsi="Times New Roman"/>
          <w:lang w:val="bs-Latn-BA"/>
        </w:rPr>
        <w:t xml:space="preserve"> </w:t>
      </w:r>
      <w:r>
        <w:rPr>
          <w:rFonts w:ascii="Times New Roman" w:hAnsi="Times New Roman"/>
          <w:lang w:val="bs-Latn-BA"/>
        </w:rPr>
        <w:t>чега</w:t>
      </w:r>
      <w:r w:rsidR="00C90CAD" w:rsidRPr="00295637">
        <w:rPr>
          <w:rFonts w:ascii="Times New Roman" w:hAnsi="Times New Roman"/>
          <w:lang w:val="bs-Latn-BA"/>
        </w:rPr>
        <w:t xml:space="preserve"> </w:t>
      </w:r>
      <w:r>
        <w:rPr>
          <w:rFonts w:ascii="Times New Roman" w:hAnsi="Times New Roman"/>
          <w:lang w:val="bs-Latn-BA"/>
        </w:rPr>
        <w:t>је</w:t>
      </w:r>
      <w:r w:rsidR="00C90CAD" w:rsidRPr="00295637">
        <w:rPr>
          <w:rFonts w:ascii="Times New Roman" w:hAnsi="Times New Roman"/>
          <w:lang w:val="bs-Latn-BA"/>
        </w:rPr>
        <w:t xml:space="preserve"> </w:t>
      </w:r>
      <w:r w:rsidR="00C90CAD" w:rsidRPr="00295637">
        <w:rPr>
          <w:rStyle w:val="Strong"/>
          <w:rFonts w:ascii="Times New Roman" w:hAnsi="Times New Roman"/>
          <w:b w:val="0"/>
          <w:lang w:val="bs-Latn-BA"/>
        </w:rPr>
        <w:t xml:space="preserve">10 </w:t>
      </w:r>
      <w:r>
        <w:rPr>
          <w:rStyle w:val="Strong"/>
          <w:rFonts w:ascii="Times New Roman" w:hAnsi="Times New Roman"/>
          <w:b w:val="0"/>
          <w:lang w:val="bs-Latn-BA"/>
        </w:rPr>
        <w:t>пројеката</w:t>
      </w:r>
      <w:r w:rsidR="00C90CAD" w:rsidRPr="00295637">
        <w:rPr>
          <w:rFonts w:ascii="Times New Roman" w:hAnsi="Times New Roman"/>
          <w:lang w:val="bs-Latn-BA"/>
        </w:rPr>
        <w:t xml:space="preserve"> </w:t>
      </w:r>
      <w:r>
        <w:rPr>
          <w:rFonts w:ascii="Times New Roman" w:hAnsi="Times New Roman"/>
          <w:lang w:val="bs-Latn-BA"/>
        </w:rPr>
        <w:t>усмјерено</w:t>
      </w:r>
      <w:r w:rsidR="00C90CAD" w:rsidRPr="00295637">
        <w:rPr>
          <w:rFonts w:ascii="Times New Roman" w:hAnsi="Times New Roman"/>
          <w:lang w:val="bs-Latn-BA"/>
        </w:rPr>
        <w:t xml:space="preserve"> </w:t>
      </w:r>
      <w:r>
        <w:rPr>
          <w:rFonts w:ascii="Times New Roman" w:hAnsi="Times New Roman"/>
          <w:lang w:val="bs-Latn-BA"/>
        </w:rPr>
        <w:t>на</w:t>
      </w:r>
      <w:r w:rsidR="00C90CAD" w:rsidRPr="00295637">
        <w:rPr>
          <w:rFonts w:ascii="Times New Roman" w:hAnsi="Times New Roman"/>
          <w:lang w:val="bs-Latn-BA"/>
        </w:rPr>
        <w:t xml:space="preserve"> </w:t>
      </w:r>
      <w:r>
        <w:rPr>
          <w:rFonts w:ascii="Times New Roman" w:hAnsi="Times New Roman"/>
          <w:lang w:val="bs-Latn-BA"/>
        </w:rPr>
        <w:t>маргинализ</w:t>
      </w:r>
      <w:r w:rsidR="00CB20DF">
        <w:rPr>
          <w:rFonts w:ascii="Times New Roman" w:hAnsi="Times New Roman"/>
          <w:lang w:val="sr-Cyrl-BA"/>
        </w:rPr>
        <w:t>оване</w:t>
      </w:r>
      <w:r w:rsidR="00C90CAD" w:rsidRPr="00295637">
        <w:rPr>
          <w:rFonts w:ascii="Times New Roman" w:hAnsi="Times New Roman"/>
          <w:lang w:val="bs-Latn-BA"/>
        </w:rPr>
        <w:t xml:space="preserve"> </w:t>
      </w:r>
      <w:r>
        <w:rPr>
          <w:rFonts w:ascii="Times New Roman" w:hAnsi="Times New Roman"/>
          <w:lang w:val="bs-Latn-BA"/>
        </w:rPr>
        <w:t>групе</w:t>
      </w:r>
      <w:r w:rsidR="00C90CAD" w:rsidRPr="00295637">
        <w:rPr>
          <w:rFonts w:ascii="Times New Roman" w:hAnsi="Times New Roman"/>
          <w:lang w:val="bs-Latn-BA"/>
        </w:rPr>
        <w:t xml:space="preserve"> </w:t>
      </w:r>
      <w:r w:rsidR="00C90CAD" w:rsidRPr="00295637">
        <w:rPr>
          <w:rFonts w:ascii="Times New Roman" w:hAnsi="Times New Roman"/>
          <w:b/>
          <w:lang w:val="bs-Latn-BA"/>
        </w:rPr>
        <w:t>(</w:t>
      </w:r>
      <w:r w:rsidR="00C90CAD" w:rsidRPr="00295637">
        <w:rPr>
          <w:rStyle w:val="Strong"/>
          <w:rFonts w:ascii="Times New Roman" w:hAnsi="Times New Roman"/>
          <w:b w:val="0"/>
          <w:lang w:val="bs-Latn-BA"/>
        </w:rPr>
        <w:t>66,67%</w:t>
      </w:r>
      <w:r w:rsidR="00C90CAD" w:rsidRPr="00295637">
        <w:rPr>
          <w:rFonts w:ascii="Times New Roman" w:hAnsi="Times New Roman"/>
          <w:b/>
          <w:lang w:val="bs-Latn-BA"/>
        </w:rPr>
        <w:t>)</w:t>
      </w:r>
      <w:r w:rsidR="00C90CAD" w:rsidRPr="00295637">
        <w:rPr>
          <w:rFonts w:ascii="Times New Roman" w:hAnsi="Times New Roman"/>
          <w:lang w:val="bs-Latn-BA"/>
        </w:rPr>
        <w:t xml:space="preserve"> </w:t>
      </w:r>
      <w:r>
        <w:rPr>
          <w:rFonts w:ascii="Times New Roman" w:hAnsi="Times New Roman"/>
          <w:lang w:val="bs-Latn-BA"/>
        </w:rPr>
        <w:t>и</w:t>
      </w:r>
      <w:r w:rsidR="00C90CAD" w:rsidRPr="00295637">
        <w:rPr>
          <w:rFonts w:ascii="Times New Roman" w:hAnsi="Times New Roman"/>
          <w:lang w:val="bs-Latn-BA"/>
        </w:rPr>
        <w:t xml:space="preserve"> </w:t>
      </w:r>
      <w:r w:rsidR="00C90CAD" w:rsidRPr="00295637">
        <w:rPr>
          <w:rStyle w:val="Strong"/>
          <w:rFonts w:ascii="Times New Roman" w:hAnsi="Times New Roman"/>
          <w:b w:val="0"/>
          <w:lang w:val="bs-Latn-BA"/>
        </w:rPr>
        <w:t xml:space="preserve">8 </w:t>
      </w:r>
      <w:r>
        <w:rPr>
          <w:rStyle w:val="Strong"/>
          <w:rFonts w:ascii="Times New Roman" w:hAnsi="Times New Roman"/>
          <w:b w:val="0"/>
          <w:lang w:val="bs-Latn-BA"/>
        </w:rPr>
        <w:t>програма</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обука</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и</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стручног</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оспособљавања</w:t>
      </w:r>
      <w:r w:rsidR="00C90CAD" w:rsidRPr="00295637">
        <w:rPr>
          <w:rStyle w:val="Strong"/>
          <w:rFonts w:ascii="Times New Roman" w:hAnsi="Times New Roman"/>
          <w:lang w:val="bs-Latn-BA"/>
        </w:rPr>
        <w:t xml:space="preserve"> </w:t>
      </w:r>
      <w:r>
        <w:rPr>
          <w:rStyle w:val="Strong"/>
          <w:rFonts w:ascii="Times New Roman" w:hAnsi="Times New Roman"/>
          <w:b w:val="0"/>
          <w:lang w:val="bs-Latn-BA"/>
        </w:rPr>
        <w:t>за</w:t>
      </w:r>
      <w:r w:rsidR="00C90CAD" w:rsidRPr="00295637">
        <w:rPr>
          <w:rStyle w:val="Strong"/>
          <w:rFonts w:ascii="Times New Roman" w:hAnsi="Times New Roman"/>
          <w:b w:val="0"/>
          <w:lang w:val="bs-Latn-BA"/>
        </w:rPr>
        <w:t xml:space="preserve"> </w:t>
      </w:r>
      <w:r>
        <w:rPr>
          <w:rStyle w:val="Strong"/>
          <w:rFonts w:ascii="Times New Roman" w:hAnsi="Times New Roman"/>
          <w:b w:val="0"/>
          <w:lang w:val="bs-Latn-BA"/>
        </w:rPr>
        <w:t>одрасле</w:t>
      </w:r>
      <w:r w:rsidR="00C90CAD" w:rsidRPr="00295637">
        <w:rPr>
          <w:rFonts w:ascii="Times New Roman" w:hAnsi="Times New Roman"/>
          <w:lang w:val="bs-Latn-BA"/>
        </w:rPr>
        <w:t xml:space="preserve">, </w:t>
      </w:r>
      <w:r>
        <w:rPr>
          <w:rFonts w:ascii="Times New Roman" w:hAnsi="Times New Roman"/>
          <w:lang w:val="bs-Latn-BA"/>
        </w:rPr>
        <w:t>од</w:t>
      </w:r>
      <w:r w:rsidR="00C90CAD" w:rsidRPr="00295637">
        <w:rPr>
          <w:rFonts w:ascii="Times New Roman" w:hAnsi="Times New Roman"/>
          <w:lang w:val="bs-Latn-BA"/>
        </w:rPr>
        <w:t xml:space="preserve"> </w:t>
      </w:r>
      <w:r>
        <w:rPr>
          <w:rFonts w:ascii="Times New Roman" w:hAnsi="Times New Roman"/>
          <w:lang w:val="bs-Latn-BA"/>
        </w:rPr>
        <w:t>чега</w:t>
      </w:r>
      <w:r w:rsidR="00C90CAD" w:rsidRPr="00295637">
        <w:rPr>
          <w:rFonts w:ascii="Times New Roman" w:hAnsi="Times New Roman"/>
          <w:lang w:val="bs-Latn-BA"/>
        </w:rPr>
        <w:t xml:space="preserve"> </w:t>
      </w:r>
      <w:r>
        <w:rPr>
          <w:rFonts w:ascii="Times New Roman" w:hAnsi="Times New Roman"/>
          <w:lang w:val="bs-Latn-BA"/>
        </w:rPr>
        <w:t>је</w:t>
      </w:r>
      <w:r w:rsidR="00C90CAD" w:rsidRPr="00295637">
        <w:rPr>
          <w:rFonts w:ascii="Times New Roman" w:hAnsi="Times New Roman"/>
          <w:lang w:val="bs-Latn-BA"/>
        </w:rPr>
        <w:t xml:space="preserve"> </w:t>
      </w:r>
      <w:r w:rsidR="00C90CAD" w:rsidRPr="00295637">
        <w:rPr>
          <w:rStyle w:val="Strong"/>
          <w:rFonts w:ascii="Times New Roman" w:hAnsi="Times New Roman"/>
          <w:b w:val="0"/>
          <w:lang w:val="bs-Latn-BA"/>
        </w:rPr>
        <w:t xml:space="preserve">7 </w:t>
      </w:r>
      <w:r>
        <w:rPr>
          <w:rStyle w:val="Strong"/>
          <w:rFonts w:ascii="Times New Roman" w:hAnsi="Times New Roman"/>
          <w:b w:val="0"/>
          <w:lang w:val="bs-Latn-BA"/>
        </w:rPr>
        <w:t>програма</w:t>
      </w:r>
      <w:r w:rsidR="00C90CAD" w:rsidRPr="00295637">
        <w:rPr>
          <w:rFonts w:ascii="Times New Roman" w:hAnsi="Times New Roman"/>
          <w:lang w:val="bs-Latn-BA"/>
        </w:rPr>
        <w:t xml:space="preserve"> </w:t>
      </w:r>
      <w:r>
        <w:rPr>
          <w:rFonts w:ascii="Times New Roman" w:hAnsi="Times New Roman"/>
          <w:lang w:val="bs-Latn-BA"/>
        </w:rPr>
        <w:t>намијењено</w:t>
      </w:r>
      <w:r w:rsidR="00C90CAD" w:rsidRPr="00295637">
        <w:rPr>
          <w:rFonts w:ascii="Times New Roman" w:hAnsi="Times New Roman"/>
          <w:lang w:val="bs-Latn-BA"/>
        </w:rPr>
        <w:t xml:space="preserve"> </w:t>
      </w:r>
      <w:r>
        <w:rPr>
          <w:rFonts w:ascii="Times New Roman" w:hAnsi="Times New Roman"/>
          <w:lang w:val="bs-Latn-BA"/>
        </w:rPr>
        <w:t>искључиво</w:t>
      </w:r>
      <w:r w:rsidR="00C90CAD" w:rsidRPr="00295637">
        <w:rPr>
          <w:rFonts w:ascii="Times New Roman" w:hAnsi="Times New Roman"/>
          <w:lang w:val="bs-Latn-BA"/>
        </w:rPr>
        <w:t xml:space="preserve"> </w:t>
      </w:r>
      <w:r>
        <w:rPr>
          <w:rFonts w:ascii="Times New Roman" w:hAnsi="Times New Roman"/>
          <w:lang w:val="bs-Latn-BA"/>
        </w:rPr>
        <w:t>женама</w:t>
      </w:r>
      <w:r w:rsidR="00C90CAD" w:rsidRPr="00295637">
        <w:rPr>
          <w:rFonts w:ascii="Times New Roman" w:hAnsi="Times New Roman"/>
          <w:lang w:val="bs-Latn-BA"/>
        </w:rPr>
        <w:t xml:space="preserve"> </w:t>
      </w:r>
      <w:r w:rsidR="00C90CAD" w:rsidRPr="006820FB">
        <w:rPr>
          <w:rFonts w:ascii="Times New Roman" w:hAnsi="Times New Roman"/>
          <w:lang w:val="bs-Latn-BA"/>
        </w:rPr>
        <w:t>(</w:t>
      </w:r>
      <w:r w:rsidR="00C90CAD" w:rsidRPr="00295637">
        <w:rPr>
          <w:rStyle w:val="Strong"/>
          <w:rFonts w:ascii="Times New Roman" w:hAnsi="Times New Roman"/>
          <w:b w:val="0"/>
          <w:lang w:val="bs-Latn-BA"/>
        </w:rPr>
        <w:t>87,5%</w:t>
      </w:r>
      <w:r w:rsidR="00C90CAD" w:rsidRPr="006820FB">
        <w:rPr>
          <w:rFonts w:ascii="Times New Roman" w:hAnsi="Times New Roman"/>
          <w:lang w:val="bs-Latn-BA"/>
        </w:rPr>
        <w:t>).</w:t>
      </w:r>
    </w:p>
    <w:p w:rsidR="00C90CAD" w:rsidRPr="00295637" w:rsidRDefault="00C90CAD" w:rsidP="0086268D">
      <w:pPr>
        <w:tabs>
          <w:tab w:val="left" w:pos="284"/>
          <w:tab w:val="left" w:pos="630"/>
          <w:tab w:val="left" w:pos="1080"/>
        </w:tabs>
        <w:jc w:val="both"/>
        <w:rPr>
          <w:rFonts w:ascii="Times New Roman" w:eastAsia="Calibri" w:hAnsi="Times New Roman"/>
          <w:szCs w:val="24"/>
          <w:lang w:val="bs-Latn-BA"/>
        </w:rPr>
      </w:pPr>
    </w:p>
    <w:p w:rsidR="00D40BEA" w:rsidRPr="00295637" w:rsidRDefault="00C6214E" w:rsidP="0086268D">
      <w:pPr>
        <w:pStyle w:val="HTMLPreformatted"/>
        <w:jc w:val="both"/>
        <w:rPr>
          <w:rFonts w:ascii="Times New Roman" w:hAnsi="Times New Roman" w:cs="Times New Roman"/>
          <w:sz w:val="24"/>
          <w:szCs w:val="24"/>
        </w:rPr>
      </w:pPr>
      <w:r>
        <w:rPr>
          <w:rFonts w:ascii="Times New Roman" w:hAnsi="Times New Roman" w:cs="Times New Roman"/>
          <w:sz w:val="24"/>
          <w:szCs w:val="24"/>
        </w:rPr>
        <w:t>Фондација</w:t>
      </w:r>
      <w:r w:rsidR="00C90CAD" w:rsidRPr="00295637">
        <w:rPr>
          <w:rFonts w:ascii="Times New Roman" w:hAnsi="Times New Roman" w:cs="Times New Roman"/>
          <w:sz w:val="24"/>
          <w:szCs w:val="24"/>
        </w:rPr>
        <w:t xml:space="preserve"> </w:t>
      </w:r>
      <w:r w:rsidR="00D026E7" w:rsidRPr="00295637">
        <w:rPr>
          <w:rFonts w:ascii="Times New Roman" w:hAnsi="Times New Roman" w:cs="Times New Roman"/>
          <w:sz w:val="24"/>
          <w:szCs w:val="24"/>
        </w:rPr>
        <w:t>„</w:t>
      </w:r>
      <w:r>
        <w:rPr>
          <w:rFonts w:ascii="Times New Roman" w:hAnsi="Times New Roman" w:cs="Times New Roman"/>
          <w:sz w:val="24"/>
          <w:szCs w:val="24"/>
        </w:rPr>
        <w:t>БХ</w:t>
      </w:r>
      <w:r w:rsidR="00C90CAD" w:rsidRPr="00295637">
        <w:rPr>
          <w:rFonts w:ascii="Times New Roman" w:hAnsi="Times New Roman" w:cs="Times New Roman"/>
          <w:sz w:val="24"/>
          <w:szCs w:val="24"/>
        </w:rPr>
        <w:t xml:space="preserve"> </w:t>
      </w:r>
      <w:r>
        <w:rPr>
          <w:rFonts w:ascii="Times New Roman" w:hAnsi="Times New Roman" w:cs="Times New Roman"/>
          <w:sz w:val="24"/>
          <w:szCs w:val="24"/>
        </w:rPr>
        <w:t>Иницијатива</w:t>
      </w:r>
      <w:r w:rsidR="00C90CAD" w:rsidRPr="00295637">
        <w:rPr>
          <w:rFonts w:ascii="Times New Roman" w:hAnsi="Times New Roman" w:cs="Times New Roman"/>
          <w:sz w:val="24"/>
          <w:szCs w:val="24"/>
        </w:rPr>
        <w:t xml:space="preserve"> </w:t>
      </w:r>
      <w:r>
        <w:rPr>
          <w:rFonts w:ascii="Times New Roman" w:hAnsi="Times New Roman" w:cs="Times New Roman"/>
          <w:sz w:val="24"/>
          <w:szCs w:val="24"/>
        </w:rPr>
        <w:t>жена</w:t>
      </w:r>
      <w:r w:rsidR="00D026E7" w:rsidRPr="00295637">
        <w:rPr>
          <w:rFonts w:ascii="Times New Roman" w:hAnsi="Times New Roman" w:cs="Times New Roman"/>
          <w:sz w:val="24"/>
          <w:szCs w:val="24"/>
        </w:rPr>
        <w:t>“</w:t>
      </w:r>
      <w:r w:rsidR="00C90CAD" w:rsidRPr="00295637">
        <w:rPr>
          <w:rFonts w:ascii="Times New Roman" w:hAnsi="Times New Roman" w:cs="Times New Roman"/>
          <w:sz w:val="24"/>
          <w:szCs w:val="24"/>
        </w:rPr>
        <w:t xml:space="preserve">, </w:t>
      </w:r>
      <w:r>
        <w:rPr>
          <w:rFonts w:ascii="Times New Roman" w:hAnsi="Times New Roman" w:cs="Times New Roman"/>
          <w:sz w:val="24"/>
          <w:szCs w:val="24"/>
        </w:rPr>
        <w:t>је</w:t>
      </w:r>
      <w:r w:rsidR="009A097E">
        <w:rPr>
          <w:rFonts w:ascii="Times New Roman" w:hAnsi="Times New Roman" w:cs="Times New Roman"/>
          <w:sz w:val="24"/>
          <w:szCs w:val="24"/>
        </w:rPr>
        <w:t xml:space="preserve"> </w:t>
      </w:r>
      <w:r>
        <w:rPr>
          <w:rFonts w:ascii="Times New Roman" w:hAnsi="Times New Roman" w:cs="Times New Roman"/>
          <w:sz w:val="24"/>
          <w:szCs w:val="24"/>
        </w:rPr>
        <w:t>уз</w:t>
      </w:r>
      <w:r w:rsidR="00C90CAD" w:rsidRPr="00295637">
        <w:rPr>
          <w:rFonts w:ascii="Times New Roman" w:hAnsi="Times New Roman" w:cs="Times New Roman"/>
          <w:sz w:val="24"/>
          <w:szCs w:val="24"/>
        </w:rPr>
        <w:t xml:space="preserve"> </w:t>
      </w:r>
      <w:r>
        <w:rPr>
          <w:rFonts w:ascii="Times New Roman" w:hAnsi="Times New Roman" w:cs="Times New Roman"/>
          <w:sz w:val="24"/>
          <w:szCs w:val="24"/>
        </w:rPr>
        <w:t>финансијску</w:t>
      </w:r>
      <w:r w:rsidR="00C90CAD" w:rsidRPr="00295637">
        <w:rPr>
          <w:rFonts w:ascii="Times New Roman" w:hAnsi="Times New Roman" w:cs="Times New Roman"/>
          <w:sz w:val="24"/>
          <w:szCs w:val="24"/>
        </w:rPr>
        <w:t xml:space="preserve"> </w:t>
      </w:r>
      <w:r>
        <w:rPr>
          <w:rFonts w:ascii="Times New Roman" w:hAnsi="Times New Roman" w:cs="Times New Roman"/>
          <w:sz w:val="24"/>
          <w:szCs w:val="24"/>
        </w:rPr>
        <w:t>помоћ</w:t>
      </w:r>
      <w:r w:rsidR="00C90CAD" w:rsidRPr="00295637">
        <w:rPr>
          <w:rFonts w:ascii="Times New Roman" w:hAnsi="Times New Roman" w:cs="Times New Roman"/>
          <w:sz w:val="24"/>
          <w:szCs w:val="24"/>
        </w:rPr>
        <w:t xml:space="preserve"> </w:t>
      </w:r>
      <w:r w:rsidR="00CB20DF" w:rsidRPr="00CB20DF">
        <w:rPr>
          <w:rFonts w:ascii="Times New Roman" w:hAnsi="Times New Roman" w:cs="Times New Roman"/>
          <w:i/>
          <w:sz w:val="24"/>
          <w:szCs w:val="24"/>
          <w:lang w:val="hr-BA"/>
        </w:rPr>
        <w:t>UNHCR</w:t>
      </w:r>
      <w:r w:rsidR="00C90CAD" w:rsidRPr="00295637">
        <w:rPr>
          <w:rFonts w:ascii="Times New Roman" w:hAnsi="Times New Roman" w:cs="Times New Roman"/>
          <w:sz w:val="24"/>
          <w:szCs w:val="24"/>
        </w:rPr>
        <w:t xml:space="preserve"> </w:t>
      </w:r>
      <w:r>
        <w:rPr>
          <w:rFonts w:ascii="Times New Roman" w:hAnsi="Times New Roman" w:cs="Times New Roman"/>
          <w:sz w:val="24"/>
          <w:szCs w:val="24"/>
        </w:rPr>
        <w:t>предузимала</w:t>
      </w:r>
      <w:r w:rsidR="00C90CAD" w:rsidRPr="00295637">
        <w:rPr>
          <w:rFonts w:ascii="Times New Roman" w:hAnsi="Times New Roman" w:cs="Times New Roman"/>
          <w:sz w:val="24"/>
          <w:szCs w:val="24"/>
        </w:rPr>
        <w:t xml:space="preserve"> </w:t>
      </w:r>
      <w:r>
        <w:rPr>
          <w:rFonts w:ascii="Times New Roman" w:hAnsi="Times New Roman" w:cs="Times New Roman"/>
          <w:sz w:val="24"/>
          <w:szCs w:val="24"/>
        </w:rPr>
        <w:t>мјере</w:t>
      </w:r>
      <w:r w:rsidR="00C90CAD" w:rsidRPr="00295637">
        <w:rPr>
          <w:rFonts w:ascii="Times New Roman" w:hAnsi="Times New Roman" w:cs="Times New Roman"/>
          <w:sz w:val="24"/>
          <w:szCs w:val="24"/>
        </w:rPr>
        <w:t xml:space="preserve"> </w:t>
      </w:r>
      <w:r>
        <w:rPr>
          <w:rFonts w:ascii="Times New Roman" w:hAnsi="Times New Roman" w:cs="Times New Roman"/>
          <w:sz w:val="24"/>
          <w:szCs w:val="24"/>
        </w:rPr>
        <w:t>заговарања</w:t>
      </w:r>
      <w:r w:rsidR="00C90CAD" w:rsidRPr="00295637">
        <w:rPr>
          <w:rFonts w:ascii="Times New Roman" w:hAnsi="Times New Roman" w:cs="Times New Roman"/>
          <w:sz w:val="24"/>
          <w:szCs w:val="24"/>
        </w:rPr>
        <w:t xml:space="preserve"> </w:t>
      </w:r>
      <w:r>
        <w:rPr>
          <w:rStyle w:val="y2iqfc"/>
          <w:rFonts w:ascii="Times New Roman" w:hAnsi="Times New Roman" w:cs="Times New Roman"/>
          <w:sz w:val="24"/>
          <w:szCs w:val="24"/>
        </w:rPr>
        <w:t>против</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ускраћивања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образовања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дјевојчицама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због</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породичних</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разлога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рестрикција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као</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промоцију</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инклузивног</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образовања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без</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обзира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A45B8A">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правни</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статус</w:t>
      </w:r>
      <w:r w:rsidR="00D40BEA" w:rsidRPr="00295637">
        <w:rPr>
          <w:rStyle w:val="y2iqfc"/>
          <w:rFonts w:ascii="Times New Roman" w:hAnsi="Times New Roman" w:cs="Times New Roman"/>
          <w:sz w:val="24"/>
          <w:szCs w:val="24"/>
        </w:rPr>
        <w:t xml:space="preserve">. </w:t>
      </w:r>
      <w:r w:rsidR="00CB20DF" w:rsidRPr="00CB20DF">
        <w:rPr>
          <w:rFonts w:ascii="Times New Roman" w:hAnsi="Times New Roman" w:cs="Times New Roman"/>
          <w:i/>
          <w:sz w:val="24"/>
          <w:szCs w:val="24"/>
          <w:lang w:val="hr-BA"/>
        </w:rPr>
        <w:t>UNHCR</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пратио</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анализирао</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изазове</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упису</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дјевојчица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из</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маргинализ</w:t>
      </w:r>
      <w:r w:rsidR="00CB20DF">
        <w:rPr>
          <w:rStyle w:val="y2iqfc"/>
          <w:rFonts w:ascii="Times New Roman" w:hAnsi="Times New Roman" w:cs="Times New Roman"/>
          <w:sz w:val="24"/>
          <w:szCs w:val="24"/>
          <w:lang w:val="sr-Cyrl-BA"/>
        </w:rPr>
        <w:t>ованих</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заједница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посебно</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тражитељ</w:t>
      </w:r>
      <w:r w:rsidR="00CB20DF">
        <w:rPr>
          <w:rStyle w:val="y2iqfc"/>
          <w:rFonts w:ascii="Times New Roman" w:hAnsi="Times New Roman" w:cs="Times New Roman"/>
          <w:sz w:val="24"/>
          <w:szCs w:val="24"/>
          <w:lang w:val="sr-Cyrl-BA"/>
        </w:rPr>
        <w:t>ки</w:t>
      </w:r>
      <w:r w:rsidR="009463BD"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азила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D40BEA" w:rsidRPr="00295637">
        <w:rPr>
          <w:rStyle w:val="y2iqfc"/>
          <w:rFonts w:ascii="Times New Roman" w:hAnsi="Times New Roman" w:cs="Times New Roman"/>
          <w:sz w:val="24"/>
          <w:szCs w:val="24"/>
        </w:rPr>
        <w:t xml:space="preserve"> </w:t>
      </w:r>
      <w:r w:rsidR="00CB20DF">
        <w:rPr>
          <w:rStyle w:val="y2iqfc"/>
          <w:rFonts w:ascii="Times New Roman" w:hAnsi="Times New Roman" w:cs="Times New Roman"/>
          <w:sz w:val="24"/>
          <w:szCs w:val="24"/>
          <w:lang w:val="sr-Cyrl-BA"/>
        </w:rPr>
        <w:t>спроводио</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иницијативе</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усмјерене</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образовна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права</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све</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дјеце</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укључујући</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расељену</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избјегличку</w:t>
      </w:r>
      <w:r w:rsidR="00D40BEA"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дјецу</w:t>
      </w:r>
      <w:r w:rsidR="00D40BEA" w:rsidRPr="00295637">
        <w:rPr>
          <w:rStyle w:val="y2iqfc"/>
          <w:rFonts w:ascii="Times New Roman" w:hAnsi="Times New Roman" w:cs="Times New Roman"/>
          <w:sz w:val="24"/>
          <w:szCs w:val="24"/>
        </w:rPr>
        <w:t>.</w:t>
      </w:r>
    </w:p>
    <w:p w:rsidR="00C90CAD" w:rsidRPr="00295637" w:rsidRDefault="00C90CAD" w:rsidP="0086268D">
      <w:pPr>
        <w:jc w:val="both"/>
        <w:rPr>
          <w:rFonts w:ascii="Times New Roman" w:hAnsi="Times New Roman"/>
          <w:szCs w:val="24"/>
          <w:lang w:val="bs-Latn-BA"/>
        </w:rPr>
      </w:pPr>
    </w:p>
    <w:p w:rsidR="00C90CAD" w:rsidRDefault="00CB20DF" w:rsidP="00E765E1">
      <w:pPr>
        <w:jc w:val="both"/>
        <w:rPr>
          <w:rFonts w:ascii="Times New Roman" w:eastAsia="Aptos" w:hAnsi="Times New Roman"/>
          <w:szCs w:val="24"/>
        </w:rPr>
      </w:pPr>
      <w:r w:rsidRPr="00CB20DF">
        <w:rPr>
          <w:rFonts w:ascii="Times New Roman" w:eastAsia="Aptos" w:hAnsi="Times New Roman"/>
          <w:i/>
          <w:szCs w:val="24"/>
        </w:rPr>
        <w:t>UNICEF</w:t>
      </w:r>
      <w:r w:rsidR="00C90CAD" w:rsidRPr="00295637">
        <w:rPr>
          <w:rFonts w:ascii="Times New Roman" w:eastAsia="Aptos" w:hAnsi="Times New Roman"/>
          <w:szCs w:val="24"/>
        </w:rPr>
        <w:t xml:space="preserve"> </w:t>
      </w:r>
      <w:r w:rsidR="00C6214E">
        <w:rPr>
          <w:rFonts w:ascii="Times New Roman" w:eastAsia="Aptos" w:hAnsi="Times New Roman"/>
          <w:szCs w:val="24"/>
        </w:rPr>
        <w:t>је</w:t>
      </w:r>
      <w:r w:rsidR="00C90CAD" w:rsidRPr="00295637">
        <w:rPr>
          <w:rFonts w:ascii="Times New Roman" w:eastAsia="Aptos" w:hAnsi="Times New Roman"/>
          <w:szCs w:val="24"/>
        </w:rPr>
        <w:t xml:space="preserve"> </w:t>
      </w:r>
      <w:r>
        <w:rPr>
          <w:rFonts w:ascii="Times New Roman" w:eastAsia="Aptos" w:hAnsi="Times New Roman"/>
          <w:szCs w:val="24"/>
        </w:rPr>
        <w:t>такође</w:t>
      </w:r>
      <w:r w:rsidR="00F93740" w:rsidRPr="00295637">
        <w:rPr>
          <w:rFonts w:ascii="Times New Roman" w:eastAsia="Aptos" w:hAnsi="Times New Roman"/>
          <w:szCs w:val="24"/>
        </w:rPr>
        <w:t xml:space="preserve"> </w:t>
      </w:r>
      <w:r w:rsidR="00C6214E">
        <w:rPr>
          <w:rFonts w:ascii="Times New Roman" w:eastAsia="Aptos" w:hAnsi="Times New Roman"/>
          <w:szCs w:val="24"/>
        </w:rPr>
        <w:t>промови</w:t>
      </w:r>
      <w:r>
        <w:rPr>
          <w:rFonts w:ascii="Times New Roman" w:eastAsia="Aptos" w:hAnsi="Times New Roman"/>
          <w:szCs w:val="24"/>
          <w:lang w:val="sr-Cyrl-BA"/>
        </w:rPr>
        <w:t>с</w:t>
      </w:r>
      <w:r w:rsidR="00C6214E">
        <w:rPr>
          <w:rFonts w:ascii="Times New Roman" w:eastAsia="Aptos" w:hAnsi="Times New Roman"/>
          <w:szCs w:val="24"/>
        </w:rPr>
        <w:t>ао</w:t>
      </w:r>
      <w:r w:rsidR="00C90CAD" w:rsidRPr="00295637">
        <w:rPr>
          <w:rFonts w:ascii="Times New Roman" w:eastAsia="Aptos" w:hAnsi="Times New Roman"/>
          <w:szCs w:val="24"/>
        </w:rPr>
        <w:t xml:space="preserve"> </w:t>
      </w:r>
      <w:r w:rsidR="00C6214E">
        <w:rPr>
          <w:rFonts w:ascii="Times New Roman" w:eastAsia="Aptos" w:hAnsi="Times New Roman"/>
          <w:szCs w:val="24"/>
        </w:rPr>
        <w:t>родно</w:t>
      </w:r>
      <w:r w:rsidR="00C90CAD" w:rsidRPr="00295637">
        <w:rPr>
          <w:rFonts w:ascii="Times New Roman" w:eastAsia="Aptos" w:hAnsi="Times New Roman"/>
          <w:szCs w:val="24"/>
        </w:rPr>
        <w:t xml:space="preserve"> </w:t>
      </w:r>
      <w:r w:rsidR="00C6214E">
        <w:rPr>
          <w:rFonts w:ascii="Times New Roman" w:eastAsia="Aptos" w:hAnsi="Times New Roman"/>
          <w:szCs w:val="24"/>
        </w:rPr>
        <w:t>трансформативно</w:t>
      </w:r>
      <w:r w:rsidR="00C90CAD" w:rsidRPr="00295637">
        <w:rPr>
          <w:rFonts w:ascii="Times New Roman" w:eastAsia="Aptos" w:hAnsi="Times New Roman"/>
          <w:szCs w:val="24"/>
        </w:rPr>
        <w:t xml:space="preserve"> </w:t>
      </w:r>
      <w:r w:rsidR="00C6214E">
        <w:rPr>
          <w:rFonts w:ascii="Times New Roman" w:eastAsia="Aptos" w:hAnsi="Times New Roman"/>
          <w:szCs w:val="24"/>
        </w:rPr>
        <w:t>образовање</w:t>
      </w:r>
      <w:r w:rsidR="00C90CAD" w:rsidRPr="00295637">
        <w:rPr>
          <w:rFonts w:ascii="Times New Roman" w:eastAsia="Aptos" w:hAnsi="Times New Roman"/>
          <w:szCs w:val="24"/>
        </w:rPr>
        <w:t xml:space="preserve"> </w:t>
      </w:r>
      <w:r w:rsidR="00C6214E">
        <w:rPr>
          <w:rFonts w:ascii="Times New Roman" w:eastAsia="Aptos" w:hAnsi="Times New Roman"/>
          <w:szCs w:val="24"/>
        </w:rPr>
        <w:t>и</w:t>
      </w:r>
      <w:r w:rsidR="00C90CAD" w:rsidRPr="00295637">
        <w:rPr>
          <w:rFonts w:ascii="Times New Roman" w:eastAsia="Aptos" w:hAnsi="Times New Roman"/>
          <w:szCs w:val="24"/>
        </w:rPr>
        <w:t xml:space="preserve"> </w:t>
      </w:r>
      <w:r w:rsidR="00C6214E">
        <w:rPr>
          <w:rFonts w:ascii="Times New Roman" w:eastAsia="Aptos" w:hAnsi="Times New Roman"/>
          <w:szCs w:val="24"/>
        </w:rPr>
        <w:t>оснаживање</w:t>
      </w:r>
      <w:r w:rsidR="00C90CAD" w:rsidRPr="00295637">
        <w:rPr>
          <w:rFonts w:ascii="Times New Roman" w:eastAsia="Aptos" w:hAnsi="Times New Roman"/>
          <w:szCs w:val="24"/>
        </w:rPr>
        <w:t xml:space="preserve"> </w:t>
      </w:r>
      <w:r w:rsidR="00C6214E">
        <w:rPr>
          <w:rFonts w:ascii="Times New Roman" w:eastAsia="Aptos" w:hAnsi="Times New Roman"/>
          <w:szCs w:val="24"/>
        </w:rPr>
        <w:t>дјевојчица</w:t>
      </w:r>
      <w:r w:rsidR="00C90CAD" w:rsidRPr="00295637">
        <w:rPr>
          <w:rFonts w:ascii="Times New Roman" w:eastAsia="Aptos" w:hAnsi="Times New Roman"/>
          <w:szCs w:val="24"/>
        </w:rPr>
        <w:t xml:space="preserve"> </w:t>
      </w:r>
      <w:r w:rsidR="00C6214E">
        <w:rPr>
          <w:rFonts w:ascii="Times New Roman" w:eastAsia="Aptos" w:hAnsi="Times New Roman"/>
          <w:szCs w:val="24"/>
        </w:rPr>
        <w:t>кроз</w:t>
      </w:r>
      <w:r w:rsidR="00C90CAD" w:rsidRPr="00295637">
        <w:rPr>
          <w:rFonts w:ascii="Times New Roman" w:eastAsia="Aptos" w:hAnsi="Times New Roman"/>
          <w:szCs w:val="24"/>
        </w:rPr>
        <w:t xml:space="preserve"> </w:t>
      </w:r>
      <w:r w:rsidR="00C6214E">
        <w:rPr>
          <w:rFonts w:ascii="Times New Roman" w:eastAsia="Aptos" w:hAnsi="Times New Roman"/>
          <w:szCs w:val="24"/>
        </w:rPr>
        <w:t>стицање</w:t>
      </w:r>
      <w:r w:rsidR="00C90CAD" w:rsidRPr="00295637">
        <w:rPr>
          <w:rFonts w:ascii="Times New Roman" w:eastAsia="Aptos" w:hAnsi="Times New Roman"/>
          <w:szCs w:val="24"/>
        </w:rPr>
        <w:t xml:space="preserve"> </w:t>
      </w:r>
      <w:r w:rsidR="00C6214E">
        <w:rPr>
          <w:rFonts w:ascii="Times New Roman" w:eastAsia="Aptos" w:hAnsi="Times New Roman"/>
          <w:szCs w:val="24"/>
        </w:rPr>
        <w:t>дигиталних</w:t>
      </w:r>
      <w:r w:rsidR="00C90CAD" w:rsidRPr="00295637">
        <w:rPr>
          <w:rFonts w:ascii="Times New Roman" w:eastAsia="Aptos" w:hAnsi="Times New Roman"/>
          <w:szCs w:val="24"/>
        </w:rPr>
        <w:t xml:space="preserve">, </w:t>
      </w:r>
      <w:r w:rsidR="00C6214E">
        <w:rPr>
          <w:rFonts w:ascii="Times New Roman" w:eastAsia="Aptos" w:hAnsi="Times New Roman"/>
          <w:szCs w:val="24"/>
        </w:rPr>
        <w:t>научних</w:t>
      </w:r>
      <w:r w:rsidR="00D40BEA" w:rsidRPr="00295637">
        <w:rPr>
          <w:rFonts w:ascii="Times New Roman" w:eastAsia="Aptos" w:hAnsi="Times New Roman"/>
          <w:szCs w:val="24"/>
        </w:rPr>
        <w:t xml:space="preserve"> </w:t>
      </w:r>
      <w:r w:rsidR="00C6214E">
        <w:rPr>
          <w:rFonts w:ascii="Times New Roman" w:eastAsia="Aptos" w:hAnsi="Times New Roman"/>
          <w:szCs w:val="24"/>
        </w:rPr>
        <w:t>и</w:t>
      </w:r>
      <w:r w:rsidR="00D40BEA" w:rsidRPr="00295637">
        <w:rPr>
          <w:rFonts w:ascii="Times New Roman" w:eastAsia="Aptos" w:hAnsi="Times New Roman"/>
          <w:szCs w:val="24"/>
        </w:rPr>
        <w:t xml:space="preserve"> </w:t>
      </w:r>
      <w:r w:rsidR="00C6214E">
        <w:rPr>
          <w:rFonts w:ascii="Times New Roman" w:eastAsia="Aptos" w:hAnsi="Times New Roman"/>
          <w:szCs w:val="24"/>
        </w:rPr>
        <w:t>заговарачких</w:t>
      </w:r>
      <w:r w:rsidR="00D40BEA" w:rsidRPr="00295637">
        <w:rPr>
          <w:rFonts w:ascii="Times New Roman" w:eastAsia="Aptos" w:hAnsi="Times New Roman"/>
          <w:szCs w:val="24"/>
        </w:rPr>
        <w:t xml:space="preserve"> </w:t>
      </w:r>
      <w:r w:rsidR="00C6214E">
        <w:rPr>
          <w:rFonts w:ascii="Times New Roman" w:eastAsia="Aptos" w:hAnsi="Times New Roman"/>
          <w:szCs w:val="24"/>
        </w:rPr>
        <w:t>вјештина</w:t>
      </w:r>
      <w:r w:rsidR="00D40BEA" w:rsidRPr="00295637">
        <w:rPr>
          <w:rFonts w:ascii="Times New Roman" w:eastAsia="Aptos" w:hAnsi="Times New Roman"/>
          <w:szCs w:val="24"/>
        </w:rPr>
        <w:t xml:space="preserve">. </w:t>
      </w:r>
      <w:r w:rsidR="00C6214E">
        <w:rPr>
          <w:rFonts w:ascii="Times New Roman" w:eastAsia="Aptos" w:hAnsi="Times New Roman"/>
          <w:szCs w:val="24"/>
        </w:rPr>
        <w:t>Конкретно</w:t>
      </w:r>
      <w:r w:rsidR="00D40BEA" w:rsidRPr="00295637">
        <w:rPr>
          <w:rFonts w:ascii="Times New Roman" w:eastAsia="Aptos" w:hAnsi="Times New Roman"/>
          <w:szCs w:val="24"/>
        </w:rPr>
        <w:t xml:space="preserve">, </w:t>
      </w:r>
      <w:r w:rsidR="00C6214E">
        <w:rPr>
          <w:rFonts w:ascii="Times New Roman" w:eastAsia="Aptos" w:hAnsi="Times New Roman"/>
          <w:szCs w:val="24"/>
        </w:rPr>
        <w:t>програм</w:t>
      </w:r>
      <w:r w:rsidR="00C90CAD" w:rsidRPr="00295637">
        <w:rPr>
          <w:rFonts w:ascii="Times New Roman" w:eastAsia="Aptos" w:hAnsi="Times New Roman"/>
          <w:szCs w:val="24"/>
        </w:rPr>
        <w:t xml:space="preserve"> </w:t>
      </w:r>
      <w:r w:rsidR="009A097E">
        <w:rPr>
          <w:rFonts w:ascii="Times New Roman" w:eastAsia="Aptos" w:hAnsi="Times New Roman"/>
          <w:szCs w:val="24"/>
        </w:rPr>
        <w:t>„</w:t>
      </w:r>
      <w:r w:rsidRPr="00CB20DF">
        <w:rPr>
          <w:rFonts w:ascii="Times New Roman" w:eastAsia="Aptos" w:hAnsi="Times New Roman"/>
          <w:i/>
          <w:szCs w:val="24"/>
        </w:rPr>
        <w:t>IT Girls</w:t>
      </w:r>
      <w:r w:rsidR="009A097E">
        <w:rPr>
          <w:rFonts w:ascii="Times New Roman" w:eastAsia="Aptos" w:hAnsi="Times New Roman"/>
          <w:szCs w:val="24"/>
        </w:rPr>
        <w:t>“</w:t>
      </w:r>
      <w:r w:rsidR="00C90CAD" w:rsidRPr="00295637">
        <w:rPr>
          <w:rFonts w:ascii="Times New Roman" w:eastAsia="Aptos" w:hAnsi="Times New Roman"/>
          <w:szCs w:val="24"/>
        </w:rPr>
        <w:t xml:space="preserve"> </w:t>
      </w:r>
      <w:r w:rsidR="00C6214E">
        <w:rPr>
          <w:rFonts w:ascii="Times New Roman" w:eastAsia="Aptos" w:hAnsi="Times New Roman"/>
          <w:szCs w:val="24"/>
        </w:rPr>
        <w:t>је</w:t>
      </w:r>
      <w:r w:rsidR="00C90CAD" w:rsidRPr="00295637">
        <w:rPr>
          <w:rFonts w:ascii="Times New Roman" w:eastAsia="Aptos" w:hAnsi="Times New Roman"/>
          <w:szCs w:val="24"/>
        </w:rPr>
        <w:t xml:space="preserve"> </w:t>
      </w:r>
      <w:r w:rsidR="00C6214E">
        <w:rPr>
          <w:rFonts w:ascii="Times New Roman" w:eastAsia="Aptos" w:hAnsi="Times New Roman"/>
          <w:szCs w:val="24"/>
        </w:rPr>
        <w:t>проширен</w:t>
      </w:r>
      <w:r w:rsidR="00C90CAD" w:rsidRPr="00295637">
        <w:rPr>
          <w:rFonts w:ascii="Times New Roman" w:eastAsia="Aptos" w:hAnsi="Times New Roman"/>
          <w:szCs w:val="24"/>
        </w:rPr>
        <w:t xml:space="preserve"> </w:t>
      </w:r>
      <w:r w:rsidR="00C6214E">
        <w:rPr>
          <w:rFonts w:ascii="Times New Roman" w:eastAsia="Aptos" w:hAnsi="Times New Roman"/>
          <w:szCs w:val="24"/>
        </w:rPr>
        <w:t>и</w:t>
      </w:r>
      <w:r w:rsidR="00C90CAD" w:rsidRPr="00295637">
        <w:rPr>
          <w:rFonts w:ascii="Times New Roman" w:eastAsia="Aptos" w:hAnsi="Times New Roman"/>
          <w:szCs w:val="24"/>
        </w:rPr>
        <w:t xml:space="preserve"> </w:t>
      </w:r>
      <w:r w:rsidR="00C6214E">
        <w:rPr>
          <w:rFonts w:ascii="Times New Roman" w:eastAsia="Aptos" w:hAnsi="Times New Roman"/>
          <w:szCs w:val="24"/>
        </w:rPr>
        <w:t>проведен</w:t>
      </w:r>
      <w:r w:rsidR="00C90CAD" w:rsidRPr="00295637">
        <w:rPr>
          <w:rFonts w:ascii="Times New Roman" w:eastAsia="Aptos" w:hAnsi="Times New Roman"/>
          <w:szCs w:val="24"/>
        </w:rPr>
        <w:t xml:space="preserve"> </w:t>
      </w:r>
      <w:r w:rsidR="00C6214E">
        <w:rPr>
          <w:rFonts w:ascii="Times New Roman" w:eastAsia="Aptos" w:hAnsi="Times New Roman"/>
          <w:szCs w:val="24"/>
        </w:rPr>
        <w:t>у</w:t>
      </w:r>
      <w:r w:rsidR="00C90CAD" w:rsidRPr="00295637">
        <w:rPr>
          <w:rFonts w:ascii="Times New Roman" w:eastAsia="Aptos" w:hAnsi="Times New Roman"/>
          <w:szCs w:val="24"/>
        </w:rPr>
        <w:t xml:space="preserve"> </w:t>
      </w:r>
      <w:r w:rsidR="00C6214E">
        <w:rPr>
          <w:rFonts w:ascii="Times New Roman" w:eastAsia="Aptos" w:hAnsi="Times New Roman"/>
          <w:szCs w:val="24"/>
        </w:rPr>
        <w:t>трећини</w:t>
      </w:r>
      <w:r w:rsidR="00C90CAD" w:rsidRPr="00295637">
        <w:rPr>
          <w:rFonts w:ascii="Times New Roman" w:eastAsia="Aptos" w:hAnsi="Times New Roman"/>
          <w:szCs w:val="24"/>
        </w:rPr>
        <w:t xml:space="preserve"> </w:t>
      </w:r>
      <w:r w:rsidR="00C6214E">
        <w:rPr>
          <w:rFonts w:ascii="Times New Roman" w:eastAsia="Aptos" w:hAnsi="Times New Roman"/>
          <w:szCs w:val="24"/>
        </w:rPr>
        <w:t>средњих</w:t>
      </w:r>
      <w:r w:rsidR="00C90CAD" w:rsidRPr="00295637">
        <w:rPr>
          <w:rFonts w:ascii="Times New Roman" w:eastAsia="Aptos" w:hAnsi="Times New Roman"/>
          <w:szCs w:val="24"/>
        </w:rPr>
        <w:t xml:space="preserve"> </w:t>
      </w:r>
      <w:r w:rsidR="00C6214E">
        <w:rPr>
          <w:rFonts w:ascii="Times New Roman" w:eastAsia="Aptos" w:hAnsi="Times New Roman"/>
          <w:szCs w:val="24"/>
        </w:rPr>
        <w:t>школа</w:t>
      </w:r>
      <w:r w:rsidR="00C90CAD" w:rsidRPr="00295637">
        <w:rPr>
          <w:rFonts w:ascii="Times New Roman" w:eastAsia="Aptos" w:hAnsi="Times New Roman"/>
          <w:szCs w:val="24"/>
        </w:rPr>
        <w:t xml:space="preserve"> </w:t>
      </w:r>
      <w:r w:rsidR="00C6214E">
        <w:rPr>
          <w:rFonts w:ascii="Times New Roman" w:eastAsia="Aptos" w:hAnsi="Times New Roman"/>
          <w:szCs w:val="24"/>
        </w:rPr>
        <w:t>у</w:t>
      </w:r>
      <w:r w:rsidR="00C90CAD" w:rsidRPr="00295637">
        <w:rPr>
          <w:rFonts w:ascii="Times New Roman" w:eastAsia="Aptos" w:hAnsi="Times New Roman"/>
          <w:szCs w:val="24"/>
        </w:rPr>
        <w:t xml:space="preserve"> </w:t>
      </w:r>
      <w:r w:rsidR="00C6214E">
        <w:rPr>
          <w:rFonts w:ascii="Times New Roman" w:eastAsia="Aptos" w:hAnsi="Times New Roman"/>
          <w:szCs w:val="24"/>
        </w:rPr>
        <w:t>БиХ</w:t>
      </w:r>
      <w:r w:rsidR="00C90CAD" w:rsidRPr="00295637">
        <w:rPr>
          <w:rFonts w:ascii="Times New Roman" w:eastAsia="Aptos" w:hAnsi="Times New Roman"/>
          <w:szCs w:val="24"/>
        </w:rPr>
        <w:t xml:space="preserve">. </w:t>
      </w:r>
      <w:r w:rsidR="00C6214E">
        <w:rPr>
          <w:rFonts w:ascii="Times New Roman" w:eastAsia="Aptos" w:hAnsi="Times New Roman"/>
          <w:szCs w:val="24"/>
        </w:rPr>
        <w:t>У</w:t>
      </w:r>
      <w:r w:rsidR="00C90CAD" w:rsidRPr="00295637">
        <w:rPr>
          <w:rFonts w:ascii="Times New Roman" w:eastAsia="Aptos" w:hAnsi="Times New Roman"/>
          <w:szCs w:val="24"/>
        </w:rPr>
        <w:t xml:space="preserve"> 2024. </w:t>
      </w:r>
      <w:r w:rsidR="00C6214E">
        <w:rPr>
          <w:rFonts w:ascii="Times New Roman" w:eastAsia="Aptos" w:hAnsi="Times New Roman"/>
          <w:szCs w:val="24"/>
        </w:rPr>
        <w:t>години</w:t>
      </w:r>
      <w:r w:rsidR="00C90CAD" w:rsidRPr="00295637">
        <w:rPr>
          <w:rFonts w:ascii="Times New Roman" w:eastAsia="Aptos" w:hAnsi="Times New Roman"/>
          <w:szCs w:val="24"/>
        </w:rPr>
        <w:t>:</w:t>
      </w:r>
      <w:r w:rsidR="00F93740" w:rsidRPr="00295637">
        <w:rPr>
          <w:rFonts w:ascii="Times New Roman" w:eastAsia="Aptos" w:hAnsi="Times New Roman"/>
          <w:szCs w:val="24"/>
        </w:rPr>
        <w:t xml:space="preserve"> </w:t>
      </w:r>
      <w:r w:rsidR="00C90CAD" w:rsidRPr="00295637">
        <w:rPr>
          <w:rFonts w:ascii="Times New Roman" w:eastAsia="Aptos" w:hAnsi="Times New Roman"/>
          <w:szCs w:val="24"/>
        </w:rPr>
        <w:t xml:space="preserve">1.479 </w:t>
      </w:r>
      <w:r w:rsidR="00C6214E">
        <w:rPr>
          <w:rFonts w:ascii="Times New Roman" w:eastAsia="Aptos" w:hAnsi="Times New Roman"/>
          <w:szCs w:val="24"/>
        </w:rPr>
        <w:t>дјевојчица</w:t>
      </w:r>
      <w:r w:rsidR="00C90CAD" w:rsidRPr="00295637">
        <w:rPr>
          <w:rFonts w:ascii="Times New Roman" w:eastAsia="Aptos" w:hAnsi="Times New Roman"/>
          <w:szCs w:val="24"/>
        </w:rPr>
        <w:t xml:space="preserve"> </w:t>
      </w:r>
      <w:r w:rsidR="00C6214E">
        <w:rPr>
          <w:rFonts w:ascii="Times New Roman" w:eastAsia="Aptos" w:hAnsi="Times New Roman"/>
          <w:szCs w:val="24"/>
        </w:rPr>
        <w:t>и</w:t>
      </w:r>
      <w:r w:rsidR="00C90CAD" w:rsidRPr="00295637">
        <w:rPr>
          <w:rFonts w:ascii="Times New Roman" w:eastAsia="Aptos" w:hAnsi="Times New Roman"/>
          <w:szCs w:val="24"/>
        </w:rPr>
        <w:t xml:space="preserve"> 512 </w:t>
      </w:r>
      <w:r w:rsidR="00C6214E">
        <w:rPr>
          <w:rFonts w:ascii="Times New Roman" w:eastAsia="Aptos" w:hAnsi="Times New Roman"/>
          <w:szCs w:val="24"/>
        </w:rPr>
        <w:t>дјечака</w:t>
      </w:r>
      <w:r w:rsidR="00C90CAD" w:rsidRPr="00295637">
        <w:rPr>
          <w:rFonts w:ascii="Times New Roman" w:eastAsia="Aptos" w:hAnsi="Times New Roman"/>
          <w:szCs w:val="24"/>
        </w:rPr>
        <w:t xml:space="preserve"> </w:t>
      </w:r>
      <w:r w:rsidR="00C6214E">
        <w:rPr>
          <w:rFonts w:ascii="Times New Roman" w:eastAsia="Aptos" w:hAnsi="Times New Roman"/>
          <w:szCs w:val="24"/>
        </w:rPr>
        <w:t>учествовало</w:t>
      </w:r>
      <w:r w:rsidR="00C90CAD" w:rsidRPr="00295637">
        <w:rPr>
          <w:rFonts w:ascii="Times New Roman" w:eastAsia="Aptos" w:hAnsi="Times New Roman"/>
          <w:szCs w:val="24"/>
        </w:rPr>
        <w:t xml:space="preserve"> </w:t>
      </w:r>
      <w:r w:rsidR="00C6214E">
        <w:rPr>
          <w:rFonts w:ascii="Times New Roman" w:eastAsia="Aptos" w:hAnsi="Times New Roman"/>
          <w:szCs w:val="24"/>
        </w:rPr>
        <w:t>је</w:t>
      </w:r>
      <w:r w:rsidR="00530297" w:rsidRPr="00295637">
        <w:rPr>
          <w:rFonts w:ascii="Times New Roman" w:eastAsia="Aptos" w:hAnsi="Times New Roman"/>
          <w:szCs w:val="24"/>
        </w:rPr>
        <w:t xml:space="preserve"> </w:t>
      </w:r>
      <w:r w:rsidR="00C6214E">
        <w:rPr>
          <w:rFonts w:ascii="Times New Roman" w:eastAsia="Aptos" w:hAnsi="Times New Roman"/>
          <w:szCs w:val="24"/>
        </w:rPr>
        <w:t>у</w:t>
      </w:r>
      <w:r w:rsidR="00C90CAD" w:rsidRPr="00295637">
        <w:rPr>
          <w:rFonts w:ascii="Times New Roman" w:eastAsia="Aptos" w:hAnsi="Times New Roman"/>
          <w:szCs w:val="24"/>
        </w:rPr>
        <w:t xml:space="preserve"> </w:t>
      </w:r>
      <w:r w:rsidR="00C6214E">
        <w:rPr>
          <w:rFonts w:ascii="Times New Roman" w:eastAsia="Aptos" w:hAnsi="Times New Roman"/>
          <w:szCs w:val="24"/>
        </w:rPr>
        <w:t>обукама</w:t>
      </w:r>
      <w:r w:rsidR="00C90CAD" w:rsidRPr="00295637">
        <w:rPr>
          <w:rFonts w:ascii="Times New Roman" w:eastAsia="Aptos" w:hAnsi="Times New Roman"/>
          <w:szCs w:val="24"/>
        </w:rPr>
        <w:t xml:space="preserve"> </w:t>
      </w:r>
      <w:r w:rsidR="00C6214E">
        <w:rPr>
          <w:rFonts w:ascii="Times New Roman" w:eastAsia="Aptos" w:hAnsi="Times New Roman"/>
          <w:szCs w:val="24"/>
        </w:rPr>
        <w:t>из</w:t>
      </w:r>
      <w:r w:rsidR="00C90CAD" w:rsidRPr="00295637">
        <w:rPr>
          <w:rFonts w:ascii="Times New Roman" w:eastAsia="Aptos" w:hAnsi="Times New Roman"/>
          <w:szCs w:val="24"/>
        </w:rPr>
        <w:t xml:space="preserve"> </w:t>
      </w:r>
      <w:r w:rsidR="00C6214E">
        <w:rPr>
          <w:rFonts w:ascii="Times New Roman" w:eastAsia="Aptos" w:hAnsi="Times New Roman"/>
          <w:szCs w:val="24"/>
        </w:rPr>
        <w:t>програмирања</w:t>
      </w:r>
      <w:r w:rsidR="00F93740" w:rsidRPr="00295637">
        <w:rPr>
          <w:rFonts w:ascii="Times New Roman" w:eastAsia="Aptos" w:hAnsi="Times New Roman"/>
          <w:szCs w:val="24"/>
        </w:rPr>
        <w:t xml:space="preserve">, </w:t>
      </w:r>
      <w:r w:rsidR="00C6214E">
        <w:rPr>
          <w:rFonts w:ascii="Times New Roman" w:eastAsia="Aptos" w:hAnsi="Times New Roman"/>
          <w:szCs w:val="24"/>
        </w:rPr>
        <w:t>роботике</w:t>
      </w:r>
      <w:r w:rsidR="00F93740" w:rsidRPr="00295637">
        <w:rPr>
          <w:rFonts w:ascii="Times New Roman" w:eastAsia="Aptos" w:hAnsi="Times New Roman"/>
          <w:szCs w:val="24"/>
        </w:rPr>
        <w:t xml:space="preserve"> </w:t>
      </w:r>
      <w:r w:rsidR="00C6214E">
        <w:rPr>
          <w:rFonts w:ascii="Times New Roman" w:eastAsia="Aptos" w:hAnsi="Times New Roman"/>
          <w:szCs w:val="24"/>
        </w:rPr>
        <w:t>и</w:t>
      </w:r>
      <w:r w:rsidR="00F93740" w:rsidRPr="00295637">
        <w:rPr>
          <w:rFonts w:ascii="Times New Roman" w:eastAsia="Aptos" w:hAnsi="Times New Roman"/>
          <w:szCs w:val="24"/>
        </w:rPr>
        <w:t xml:space="preserve"> </w:t>
      </w:r>
      <w:r w:rsidR="00C6214E">
        <w:rPr>
          <w:rFonts w:ascii="Times New Roman" w:eastAsia="Aptos" w:hAnsi="Times New Roman"/>
          <w:szCs w:val="24"/>
        </w:rPr>
        <w:t>електронике</w:t>
      </w:r>
      <w:r w:rsidR="00F93740" w:rsidRPr="00295637">
        <w:rPr>
          <w:rFonts w:ascii="Times New Roman" w:eastAsia="Aptos" w:hAnsi="Times New Roman"/>
          <w:szCs w:val="24"/>
        </w:rPr>
        <w:t xml:space="preserve">, 211 </w:t>
      </w:r>
      <w:r w:rsidR="00C6214E">
        <w:rPr>
          <w:rFonts w:ascii="Times New Roman" w:eastAsia="Aptos" w:hAnsi="Times New Roman"/>
          <w:szCs w:val="24"/>
        </w:rPr>
        <w:t>наставника</w:t>
      </w:r>
      <w:r w:rsidR="00F93740" w:rsidRPr="00295637">
        <w:rPr>
          <w:rFonts w:ascii="Times New Roman" w:eastAsia="Aptos" w:hAnsi="Times New Roman"/>
          <w:szCs w:val="24"/>
        </w:rPr>
        <w:t xml:space="preserve"> </w:t>
      </w:r>
      <w:r w:rsidR="00C6214E">
        <w:rPr>
          <w:rFonts w:ascii="Times New Roman" w:eastAsia="Aptos" w:hAnsi="Times New Roman"/>
          <w:szCs w:val="24"/>
        </w:rPr>
        <w:t>је</w:t>
      </w:r>
      <w:r w:rsidR="00F93740" w:rsidRPr="00295637">
        <w:rPr>
          <w:rFonts w:ascii="Times New Roman" w:eastAsia="Aptos" w:hAnsi="Times New Roman"/>
          <w:szCs w:val="24"/>
        </w:rPr>
        <w:t xml:space="preserve"> </w:t>
      </w:r>
      <w:r w:rsidR="00C6214E">
        <w:rPr>
          <w:rFonts w:ascii="Times New Roman" w:eastAsia="Aptos" w:hAnsi="Times New Roman"/>
          <w:szCs w:val="24"/>
        </w:rPr>
        <w:t>обучено</w:t>
      </w:r>
      <w:r w:rsidR="00F93740" w:rsidRPr="00295637">
        <w:rPr>
          <w:rFonts w:ascii="Times New Roman" w:eastAsia="Aptos" w:hAnsi="Times New Roman"/>
          <w:szCs w:val="24"/>
        </w:rPr>
        <w:t xml:space="preserve"> </w:t>
      </w:r>
      <w:r w:rsidR="00C6214E">
        <w:rPr>
          <w:rFonts w:ascii="Times New Roman" w:eastAsia="Aptos" w:hAnsi="Times New Roman"/>
          <w:szCs w:val="24"/>
        </w:rPr>
        <w:t>и</w:t>
      </w:r>
      <w:r w:rsidR="00F93740" w:rsidRPr="00295637">
        <w:rPr>
          <w:rFonts w:ascii="Times New Roman" w:eastAsia="Aptos" w:hAnsi="Times New Roman"/>
          <w:szCs w:val="24"/>
        </w:rPr>
        <w:t xml:space="preserve"> </w:t>
      </w:r>
      <w:r w:rsidR="00C6214E">
        <w:rPr>
          <w:rFonts w:ascii="Times New Roman" w:eastAsia="Aptos" w:hAnsi="Times New Roman"/>
          <w:szCs w:val="24"/>
        </w:rPr>
        <w:t>формирано</w:t>
      </w:r>
      <w:r w:rsidR="00C90CAD" w:rsidRPr="00295637">
        <w:rPr>
          <w:rFonts w:ascii="Times New Roman" w:eastAsia="Aptos" w:hAnsi="Times New Roman"/>
          <w:szCs w:val="24"/>
        </w:rPr>
        <w:t xml:space="preserve"> </w:t>
      </w:r>
      <w:r w:rsidR="00C6214E">
        <w:rPr>
          <w:rFonts w:ascii="Times New Roman" w:eastAsia="Aptos" w:hAnsi="Times New Roman"/>
          <w:szCs w:val="24"/>
        </w:rPr>
        <w:t>је</w:t>
      </w:r>
      <w:r w:rsidR="00C90CAD" w:rsidRPr="00295637">
        <w:rPr>
          <w:rFonts w:ascii="Times New Roman" w:eastAsia="Aptos" w:hAnsi="Times New Roman"/>
          <w:szCs w:val="24"/>
        </w:rPr>
        <w:t xml:space="preserve"> 36 </w:t>
      </w:r>
      <w:r w:rsidR="00E8155A" w:rsidRPr="00295637">
        <w:rPr>
          <w:rFonts w:ascii="Times New Roman" w:eastAsia="Aptos" w:hAnsi="Times New Roman"/>
          <w:szCs w:val="24"/>
        </w:rPr>
        <w:t>„</w:t>
      </w:r>
      <w:r w:rsidRPr="00CB20DF">
        <w:rPr>
          <w:rFonts w:ascii="Times New Roman" w:eastAsia="Aptos" w:hAnsi="Times New Roman"/>
          <w:i/>
          <w:szCs w:val="24"/>
        </w:rPr>
        <w:t>IT Girls</w:t>
      </w:r>
      <w:r w:rsidR="00E8155A" w:rsidRPr="00295637">
        <w:rPr>
          <w:rFonts w:ascii="Times New Roman" w:eastAsia="Aptos" w:hAnsi="Times New Roman"/>
          <w:szCs w:val="24"/>
        </w:rPr>
        <w:t>“</w:t>
      </w:r>
      <w:r w:rsidR="00C90CAD" w:rsidRPr="00295637">
        <w:rPr>
          <w:rFonts w:ascii="Times New Roman" w:eastAsia="Aptos" w:hAnsi="Times New Roman"/>
          <w:szCs w:val="24"/>
        </w:rPr>
        <w:t xml:space="preserve"> </w:t>
      </w:r>
      <w:r w:rsidR="00C6214E">
        <w:rPr>
          <w:rFonts w:ascii="Times New Roman" w:eastAsia="Aptos" w:hAnsi="Times New Roman"/>
          <w:szCs w:val="24"/>
        </w:rPr>
        <w:t>клубова</w:t>
      </w:r>
      <w:r w:rsidR="00074766" w:rsidRPr="00295637">
        <w:rPr>
          <w:rFonts w:ascii="Times New Roman" w:eastAsia="Aptos" w:hAnsi="Times New Roman"/>
          <w:szCs w:val="24"/>
        </w:rPr>
        <w:t>.</w:t>
      </w:r>
      <w:r w:rsidR="00074766" w:rsidRPr="00295637">
        <w:rPr>
          <w:rFonts w:ascii="Times New Roman" w:hAnsi="Times New Roman"/>
          <w:szCs w:val="24"/>
        </w:rPr>
        <w:t xml:space="preserve"> </w:t>
      </w:r>
      <w:r w:rsidR="00C6214E">
        <w:rPr>
          <w:rFonts w:ascii="Times New Roman" w:eastAsia="Aptos" w:hAnsi="Times New Roman"/>
          <w:szCs w:val="24"/>
        </w:rPr>
        <w:t>У</w:t>
      </w:r>
      <w:r w:rsidR="00C90CAD" w:rsidRPr="00295637">
        <w:rPr>
          <w:rFonts w:ascii="Times New Roman" w:eastAsia="Aptos" w:hAnsi="Times New Roman"/>
          <w:szCs w:val="24"/>
        </w:rPr>
        <w:t xml:space="preserve"> </w:t>
      </w:r>
      <w:r w:rsidR="00C6214E">
        <w:rPr>
          <w:rFonts w:ascii="Times New Roman" w:eastAsia="Aptos" w:hAnsi="Times New Roman"/>
          <w:szCs w:val="24"/>
        </w:rPr>
        <w:t>УСК</w:t>
      </w:r>
      <w:r w:rsidR="00A45B8A">
        <w:rPr>
          <w:rFonts w:ascii="Times New Roman" w:eastAsia="Aptos" w:hAnsi="Times New Roman"/>
          <w:szCs w:val="24"/>
        </w:rPr>
        <w:t xml:space="preserve">, </w:t>
      </w:r>
      <w:r w:rsidR="00C6214E">
        <w:rPr>
          <w:rFonts w:ascii="Times New Roman" w:eastAsia="Aptos" w:hAnsi="Times New Roman"/>
          <w:szCs w:val="24"/>
        </w:rPr>
        <w:t>пројекат</w:t>
      </w:r>
      <w:r w:rsidR="00C90CAD" w:rsidRPr="00295637">
        <w:rPr>
          <w:rFonts w:ascii="Times New Roman" w:eastAsia="Aptos" w:hAnsi="Times New Roman"/>
          <w:szCs w:val="24"/>
        </w:rPr>
        <w:t xml:space="preserve"> </w:t>
      </w:r>
      <w:r w:rsidR="00F93740" w:rsidRPr="00295637">
        <w:rPr>
          <w:rFonts w:ascii="Times New Roman" w:eastAsia="Aptos" w:hAnsi="Times New Roman"/>
          <w:szCs w:val="24"/>
        </w:rPr>
        <w:t>„</w:t>
      </w:r>
      <w:r w:rsidRPr="00CB20DF">
        <w:rPr>
          <w:rFonts w:ascii="Times New Roman" w:eastAsia="Aptos" w:hAnsi="Times New Roman"/>
          <w:i/>
          <w:szCs w:val="24"/>
        </w:rPr>
        <w:t>Robo Girls</w:t>
      </w:r>
      <w:r w:rsidR="00F93740" w:rsidRPr="00295637">
        <w:rPr>
          <w:rFonts w:ascii="Times New Roman" w:eastAsia="Aptos" w:hAnsi="Times New Roman"/>
          <w:szCs w:val="24"/>
        </w:rPr>
        <w:t>“</w:t>
      </w:r>
      <w:r w:rsidR="00C90CAD" w:rsidRPr="00295637">
        <w:rPr>
          <w:rFonts w:ascii="Times New Roman" w:eastAsia="Aptos" w:hAnsi="Times New Roman"/>
          <w:szCs w:val="24"/>
        </w:rPr>
        <w:t xml:space="preserve"> </w:t>
      </w:r>
      <w:r w:rsidR="00C6214E">
        <w:rPr>
          <w:rFonts w:ascii="Times New Roman" w:eastAsia="Aptos" w:hAnsi="Times New Roman"/>
          <w:szCs w:val="24"/>
        </w:rPr>
        <w:t>увео</w:t>
      </w:r>
      <w:r w:rsidR="00530297" w:rsidRPr="00295637">
        <w:rPr>
          <w:rFonts w:ascii="Times New Roman" w:eastAsia="Aptos" w:hAnsi="Times New Roman"/>
          <w:szCs w:val="24"/>
        </w:rPr>
        <w:t xml:space="preserve"> </w:t>
      </w:r>
      <w:r w:rsidR="00C6214E">
        <w:rPr>
          <w:rFonts w:ascii="Times New Roman" w:eastAsia="Aptos" w:hAnsi="Times New Roman"/>
          <w:szCs w:val="24"/>
        </w:rPr>
        <w:t>је</w:t>
      </w:r>
      <w:r w:rsidR="00C90CAD" w:rsidRPr="00295637">
        <w:rPr>
          <w:rFonts w:ascii="Times New Roman" w:eastAsia="Aptos" w:hAnsi="Times New Roman"/>
          <w:szCs w:val="24"/>
        </w:rPr>
        <w:t xml:space="preserve"> </w:t>
      </w:r>
      <w:r w:rsidR="00C6214E">
        <w:rPr>
          <w:rFonts w:ascii="Times New Roman" w:eastAsia="Aptos" w:hAnsi="Times New Roman"/>
          <w:szCs w:val="24"/>
        </w:rPr>
        <w:t>роботику</w:t>
      </w:r>
      <w:r w:rsidR="00C90CAD" w:rsidRPr="00295637">
        <w:rPr>
          <w:rFonts w:ascii="Times New Roman" w:eastAsia="Aptos" w:hAnsi="Times New Roman"/>
          <w:szCs w:val="24"/>
        </w:rPr>
        <w:t xml:space="preserve"> </w:t>
      </w:r>
      <w:r w:rsidR="00C6214E">
        <w:rPr>
          <w:rFonts w:ascii="Times New Roman" w:eastAsia="Aptos" w:hAnsi="Times New Roman"/>
          <w:szCs w:val="24"/>
        </w:rPr>
        <w:t>у</w:t>
      </w:r>
      <w:r w:rsidR="00C90CAD" w:rsidRPr="00295637">
        <w:rPr>
          <w:rFonts w:ascii="Times New Roman" w:eastAsia="Aptos" w:hAnsi="Times New Roman"/>
          <w:szCs w:val="24"/>
        </w:rPr>
        <w:t xml:space="preserve"> </w:t>
      </w:r>
      <w:r w:rsidR="00C6214E">
        <w:rPr>
          <w:rFonts w:ascii="Times New Roman" w:eastAsia="Aptos" w:hAnsi="Times New Roman"/>
          <w:szCs w:val="24"/>
        </w:rPr>
        <w:t>три</w:t>
      </w:r>
      <w:r w:rsidR="00C90CAD" w:rsidRPr="00295637">
        <w:rPr>
          <w:rFonts w:ascii="Times New Roman" w:eastAsia="Aptos" w:hAnsi="Times New Roman"/>
          <w:szCs w:val="24"/>
        </w:rPr>
        <w:t xml:space="preserve"> </w:t>
      </w:r>
      <w:r w:rsidR="00C6214E">
        <w:rPr>
          <w:rFonts w:ascii="Times New Roman" w:eastAsia="Aptos" w:hAnsi="Times New Roman"/>
          <w:szCs w:val="24"/>
        </w:rPr>
        <w:t>основне</w:t>
      </w:r>
      <w:r w:rsidR="00C90CAD" w:rsidRPr="00295637">
        <w:rPr>
          <w:rFonts w:ascii="Times New Roman" w:eastAsia="Aptos" w:hAnsi="Times New Roman"/>
          <w:szCs w:val="24"/>
        </w:rPr>
        <w:t xml:space="preserve"> </w:t>
      </w:r>
      <w:r w:rsidR="00C6214E">
        <w:rPr>
          <w:rFonts w:ascii="Times New Roman" w:eastAsia="Aptos" w:hAnsi="Times New Roman"/>
          <w:szCs w:val="24"/>
        </w:rPr>
        <w:t>школе</w:t>
      </w:r>
      <w:r w:rsidR="00C90CAD" w:rsidRPr="00295637">
        <w:rPr>
          <w:rFonts w:ascii="Times New Roman" w:eastAsia="Aptos" w:hAnsi="Times New Roman"/>
          <w:szCs w:val="24"/>
        </w:rPr>
        <w:t xml:space="preserve">. </w:t>
      </w:r>
      <w:r w:rsidR="00A45B8A">
        <w:rPr>
          <w:rFonts w:ascii="Times New Roman" w:eastAsia="Aptos" w:hAnsi="Times New Roman"/>
          <w:szCs w:val="24"/>
        </w:rPr>
        <w:t>„</w:t>
      </w:r>
      <w:r w:rsidRPr="00CB20DF">
        <w:rPr>
          <w:rFonts w:ascii="Times New Roman" w:eastAsia="Aptos" w:hAnsi="Times New Roman"/>
          <w:i/>
          <w:szCs w:val="24"/>
        </w:rPr>
        <w:t>Arduino</w:t>
      </w:r>
      <w:r w:rsidR="00A45B8A">
        <w:rPr>
          <w:rFonts w:ascii="Times New Roman" w:eastAsia="Aptos" w:hAnsi="Times New Roman"/>
          <w:szCs w:val="24"/>
        </w:rPr>
        <w:t>“</w:t>
      </w:r>
      <w:r w:rsidR="00A45B8A" w:rsidRPr="00295637">
        <w:rPr>
          <w:rFonts w:ascii="Times New Roman" w:eastAsia="Aptos" w:hAnsi="Times New Roman"/>
          <w:szCs w:val="24"/>
        </w:rPr>
        <w:t xml:space="preserve"> </w:t>
      </w:r>
      <w:r w:rsidR="00C6214E">
        <w:rPr>
          <w:rFonts w:ascii="Times New Roman" w:eastAsia="Aptos" w:hAnsi="Times New Roman"/>
          <w:szCs w:val="24"/>
        </w:rPr>
        <w:t>обуку</w:t>
      </w:r>
      <w:r w:rsidR="00A45B8A" w:rsidRPr="00295637">
        <w:rPr>
          <w:rFonts w:ascii="Times New Roman" w:eastAsia="Aptos" w:hAnsi="Times New Roman"/>
          <w:szCs w:val="24"/>
        </w:rPr>
        <w:t xml:space="preserve"> </w:t>
      </w:r>
      <w:r w:rsidR="00C6214E">
        <w:rPr>
          <w:rFonts w:ascii="Times New Roman" w:eastAsia="Aptos" w:hAnsi="Times New Roman"/>
          <w:szCs w:val="24"/>
        </w:rPr>
        <w:t>успјешно</w:t>
      </w:r>
      <w:r w:rsidR="00A45B8A" w:rsidRPr="00295637">
        <w:rPr>
          <w:rFonts w:ascii="Times New Roman" w:eastAsia="Aptos" w:hAnsi="Times New Roman"/>
          <w:szCs w:val="24"/>
        </w:rPr>
        <w:t xml:space="preserve"> </w:t>
      </w:r>
      <w:r w:rsidR="00C6214E">
        <w:rPr>
          <w:rFonts w:ascii="Times New Roman" w:eastAsia="Aptos" w:hAnsi="Times New Roman"/>
          <w:szCs w:val="24"/>
        </w:rPr>
        <w:t>је</w:t>
      </w:r>
      <w:r w:rsidR="00A45B8A" w:rsidRPr="00295637">
        <w:rPr>
          <w:rFonts w:ascii="Times New Roman" w:eastAsia="Aptos" w:hAnsi="Times New Roman"/>
          <w:szCs w:val="24"/>
        </w:rPr>
        <w:t xml:space="preserve"> </w:t>
      </w:r>
      <w:r w:rsidR="00C6214E">
        <w:rPr>
          <w:rFonts w:ascii="Times New Roman" w:eastAsia="Aptos" w:hAnsi="Times New Roman"/>
          <w:szCs w:val="24"/>
        </w:rPr>
        <w:t>завршило</w:t>
      </w:r>
      <w:r w:rsidR="00A45B8A" w:rsidRPr="00295637">
        <w:rPr>
          <w:rFonts w:ascii="Times New Roman" w:eastAsia="Aptos" w:hAnsi="Times New Roman"/>
          <w:szCs w:val="24"/>
        </w:rPr>
        <w:t xml:space="preserve"> </w:t>
      </w:r>
      <w:r w:rsidR="00C90CAD" w:rsidRPr="00295637">
        <w:rPr>
          <w:rFonts w:ascii="Times New Roman" w:eastAsia="Aptos" w:hAnsi="Times New Roman"/>
          <w:szCs w:val="24"/>
        </w:rPr>
        <w:t xml:space="preserve">79 </w:t>
      </w:r>
      <w:r w:rsidR="00C6214E">
        <w:rPr>
          <w:rFonts w:ascii="Times New Roman" w:eastAsia="Aptos" w:hAnsi="Times New Roman"/>
          <w:szCs w:val="24"/>
        </w:rPr>
        <w:t>дјевојчица</w:t>
      </w:r>
      <w:r w:rsidR="00C90CAD" w:rsidRPr="00295637">
        <w:rPr>
          <w:rFonts w:ascii="Times New Roman" w:eastAsia="Aptos" w:hAnsi="Times New Roman"/>
          <w:szCs w:val="24"/>
        </w:rPr>
        <w:t xml:space="preserve">, </w:t>
      </w:r>
      <w:r w:rsidR="00C6214E">
        <w:rPr>
          <w:rFonts w:ascii="Times New Roman" w:eastAsia="Aptos" w:hAnsi="Times New Roman"/>
          <w:szCs w:val="24"/>
        </w:rPr>
        <w:t>а</w:t>
      </w:r>
      <w:r w:rsidR="00C90CAD" w:rsidRPr="00295637">
        <w:rPr>
          <w:rFonts w:ascii="Times New Roman" w:eastAsia="Aptos" w:hAnsi="Times New Roman"/>
          <w:szCs w:val="24"/>
        </w:rPr>
        <w:t xml:space="preserve"> </w:t>
      </w:r>
      <w:r w:rsidR="00C6214E">
        <w:rPr>
          <w:rFonts w:ascii="Times New Roman" w:eastAsia="Aptos" w:hAnsi="Times New Roman"/>
          <w:szCs w:val="24"/>
        </w:rPr>
        <w:t>завршна</w:t>
      </w:r>
      <w:r w:rsidR="00C90CAD" w:rsidRPr="00295637">
        <w:rPr>
          <w:rFonts w:ascii="Times New Roman" w:eastAsia="Aptos" w:hAnsi="Times New Roman"/>
          <w:szCs w:val="24"/>
        </w:rPr>
        <w:t xml:space="preserve"> </w:t>
      </w:r>
      <w:r w:rsidR="00C6214E">
        <w:rPr>
          <w:rFonts w:ascii="Times New Roman" w:eastAsia="Aptos" w:hAnsi="Times New Roman"/>
          <w:szCs w:val="24"/>
        </w:rPr>
        <w:t>активност</w:t>
      </w:r>
      <w:r w:rsidR="00C90CAD" w:rsidRPr="00295637">
        <w:rPr>
          <w:rFonts w:ascii="Times New Roman" w:eastAsia="Aptos" w:hAnsi="Times New Roman"/>
          <w:szCs w:val="24"/>
        </w:rPr>
        <w:t xml:space="preserve"> </w:t>
      </w:r>
      <w:r w:rsidR="00C6214E">
        <w:rPr>
          <w:rFonts w:ascii="Times New Roman" w:eastAsia="Aptos" w:hAnsi="Times New Roman"/>
          <w:szCs w:val="24"/>
        </w:rPr>
        <w:t>укључивала</w:t>
      </w:r>
      <w:r w:rsidR="00C90CAD" w:rsidRPr="00295637">
        <w:rPr>
          <w:rFonts w:ascii="Times New Roman" w:eastAsia="Aptos" w:hAnsi="Times New Roman"/>
          <w:szCs w:val="24"/>
        </w:rPr>
        <w:t xml:space="preserve"> </w:t>
      </w:r>
      <w:r w:rsidR="00C6214E">
        <w:rPr>
          <w:rFonts w:ascii="Times New Roman" w:eastAsia="Aptos" w:hAnsi="Times New Roman"/>
          <w:szCs w:val="24"/>
        </w:rPr>
        <w:t>је</w:t>
      </w:r>
      <w:r w:rsidR="00A45B8A" w:rsidRPr="00295637">
        <w:rPr>
          <w:rFonts w:ascii="Times New Roman" w:eastAsia="Aptos" w:hAnsi="Times New Roman"/>
          <w:szCs w:val="24"/>
        </w:rPr>
        <w:t xml:space="preserve"> </w:t>
      </w:r>
      <w:r w:rsidR="00C6214E">
        <w:rPr>
          <w:rFonts w:ascii="Times New Roman" w:eastAsia="Aptos" w:hAnsi="Times New Roman"/>
          <w:szCs w:val="24"/>
        </w:rPr>
        <w:t>такмичење</w:t>
      </w:r>
      <w:r w:rsidR="00C90CAD" w:rsidRPr="00295637">
        <w:rPr>
          <w:rFonts w:ascii="Times New Roman" w:eastAsia="Aptos" w:hAnsi="Times New Roman"/>
          <w:szCs w:val="24"/>
        </w:rPr>
        <w:t xml:space="preserve"> </w:t>
      </w:r>
      <w:r w:rsidR="00C6214E">
        <w:rPr>
          <w:rFonts w:ascii="Times New Roman" w:eastAsia="Aptos" w:hAnsi="Times New Roman"/>
          <w:szCs w:val="24"/>
        </w:rPr>
        <w:t>из</w:t>
      </w:r>
      <w:r w:rsidR="00C90CAD" w:rsidRPr="00295637">
        <w:rPr>
          <w:rFonts w:ascii="Times New Roman" w:eastAsia="Aptos" w:hAnsi="Times New Roman"/>
          <w:szCs w:val="24"/>
        </w:rPr>
        <w:t xml:space="preserve"> </w:t>
      </w:r>
      <w:r w:rsidR="00C6214E">
        <w:rPr>
          <w:rFonts w:ascii="Times New Roman" w:eastAsia="Aptos" w:hAnsi="Times New Roman"/>
          <w:szCs w:val="24"/>
        </w:rPr>
        <w:t>роботике</w:t>
      </w:r>
      <w:r w:rsidR="00C90CAD" w:rsidRPr="00295637">
        <w:rPr>
          <w:rFonts w:ascii="Times New Roman" w:eastAsia="Aptos" w:hAnsi="Times New Roman"/>
          <w:szCs w:val="24"/>
        </w:rPr>
        <w:t xml:space="preserve">. </w:t>
      </w:r>
      <w:r w:rsidR="00C6214E">
        <w:rPr>
          <w:rFonts w:ascii="Times New Roman" w:eastAsia="Aptos" w:hAnsi="Times New Roman"/>
          <w:szCs w:val="24"/>
        </w:rPr>
        <w:t>Школе</w:t>
      </w:r>
      <w:r w:rsidR="00C90CAD" w:rsidRPr="00295637">
        <w:rPr>
          <w:rFonts w:ascii="Times New Roman" w:eastAsia="Aptos" w:hAnsi="Times New Roman"/>
          <w:szCs w:val="24"/>
        </w:rPr>
        <w:t xml:space="preserve"> </w:t>
      </w:r>
      <w:r w:rsidR="00C6214E">
        <w:rPr>
          <w:rFonts w:ascii="Times New Roman" w:eastAsia="Aptos" w:hAnsi="Times New Roman"/>
          <w:szCs w:val="24"/>
        </w:rPr>
        <w:t>су</w:t>
      </w:r>
      <w:r w:rsidR="00C90CAD" w:rsidRPr="00295637">
        <w:rPr>
          <w:rFonts w:ascii="Times New Roman" w:eastAsia="Aptos" w:hAnsi="Times New Roman"/>
          <w:szCs w:val="24"/>
        </w:rPr>
        <w:t xml:space="preserve"> </w:t>
      </w:r>
      <w:r w:rsidR="00C6214E">
        <w:rPr>
          <w:rFonts w:ascii="Times New Roman" w:eastAsia="Aptos" w:hAnsi="Times New Roman"/>
          <w:szCs w:val="24"/>
        </w:rPr>
        <w:t>изразиле</w:t>
      </w:r>
      <w:r w:rsidR="00C90CAD" w:rsidRPr="00295637">
        <w:rPr>
          <w:rFonts w:ascii="Times New Roman" w:eastAsia="Aptos" w:hAnsi="Times New Roman"/>
          <w:szCs w:val="24"/>
        </w:rPr>
        <w:t xml:space="preserve"> </w:t>
      </w:r>
      <w:r w:rsidR="00C6214E">
        <w:rPr>
          <w:rFonts w:ascii="Times New Roman" w:eastAsia="Aptos" w:hAnsi="Times New Roman"/>
          <w:szCs w:val="24"/>
        </w:rPr>
        <w:t>интерес</w:t>
      </w:r>
      <w:r w:rsidR="00C90CAD" w:rsidRPr="00295637">
        <w:rPr>
          <w:rFonts w:ascii="Times New Roman" w:eastAsia="Aptos" w:hAnsi="Times New Roman"/>
          <w:szCs w:val="24"/>
        </w:rPr>
        <w:t xml:space="preserve"> </w:t>
      </w:r>
      <w:r w:rsidR="00C6214E">
        <w:rPr>
          <w:rFonts w:ascii="Times New Roman" w:eastAsia="Aptos" w:hAnsi="Times New Roman"/>
          <w:szCs w:val="24"/>
        </w:rPr>
        <w:t>за</w:t>
      </w:r>
      <w:r w:rsidR="00C90CAD" w:rsidRPr="00295637">
        <w:rPr>
          <w:rFonts w:ascii="Times New Roman" w:eastAsia="Aptos" w:hAnsi="Times New Roman"/>
          <w:szCs w:val="24"/>
        </w:rPr>
        <w:t xml:space="preserve"> </w:t>
      </w:r>
      <w:r w:rsidR="00C6214E">
        <w:rPr>
          <w:rFonts w:ascii="Times New Roman" w:eastAsia="Aptos" w:hAnsi="Times New Roman"/>
          <w:szCs w:val="24"/>
        </w:rPr>
        <w:t>наставак</w:t>
      </w:r>
      <w:r w:rsidR="00C90CAD" w:rsidRPr="00295637">
        <w:rPr>
          <w:rFonts w:ascii="Times New Roman" w:eastAsia="Aptos" w:hAnsi="Times New Roman"/>
          <w:szCs w:val="24"/>
        </w:rPr>
        <w:t xml:space="preserve"> </w:t>
      </w:r>
      <w:r w:rsidR="00C6214E">
        <w:rPr>
          <w:rFonts w:ascii="Times New Roman" w:eastAsia="Aptos" w:hAnsi="Times New Roman"/>
          <w:szCs w:val="24"/>
        </w:rPr>
        <w:t>програма</w:t>
      </w:r>
      <w:r w:rsidR="00C90CAD" w:rsidRPr="00295637">
        <w:rPr>
          <w:rFonts w:ascii="Times New Roman" w:eastAsia="Aptos" w:hAnsi="Times New Roman"/>
          <w:szCs w:val="24"/>
        </w:rPr>
        <w:t xml:space="preserve"> </w:t>
      </w:r>
      <w:r w:rsidR="00C6214E">
        <w:rPr>
          <w:rFonts w:ascii="Times New Roman" w:eastAsia="Aptos" w:hAnsi="Times New Roman"/>
          <w:szCs w:val="24"/>
        </w:rPr>
        <w:t>кроз</w:t>
      </w:r>
      <w:r w:rsidR="00C90CAD" w:rsidRPr="00295637">
        <w:rPr>
          <w:rFonts w:ascii="Times New Roman" w:eastAsia="Aptos" w:hAnsi="Times New Roman"/>
          <w:szCs w:val="24"/>
        </w:rPr>
        <w:t xml:space="preserve"> </w:t>
      </w:r>
      <w:r w:rsidR="00C6214E">
        <w:rPr>
          <w:rFonts w:ascii="Times New Roman" w:eastAsia="Aptos" w:hAnsi="Times New Roman"/>
          <w:szCs w:val="24"/>
        </w:rPr>
        <w:t>нове</w:t>
      </w:r>
      <w:r w:rsidR="00C90CAD" w:rsidRPr="00295637">
        <w:rPr>
          <w:rFonts w:ascii="Times New Roman" w:eastAsia="Aptos" w:hAnsi="Times New Roman"/>
          <w:szCs w:val="24"/>
        </w:rPr>
        <w:t xml:space="preserve"> </w:t>
      </w:r>
      <w:r w:rsidR="009A097E">
        <w:rPr>
          <w:rFonts w:ascii="Times New Roman" w:eastAsia="Aptos" w:hAnsi="Times New Roman"/>
          <w:szCs w:val="24"/>
        </w:rPr>
        <w:t>„</w:t>
      </w:r>
      <w:r w:rsidRPr="00CB20DF">
        <w:rPr>
          <w:rFonts w:ascii="Times New Roman" w:eastAsia="Aptos" w:hAnsi="Times New Roman"/>
          <w:i/>
          <w:szCs w:val="24"/>
        </w:rPr>
        <w:t>IT Girls</w:t>
      </w:r>
      <w:r w:rsidR="009A097E">
        <w:rPr>
          <w:rFonts w:ascii="Times New Roman" w:eastAsia="Aptos" w:hAnsi="Times New Roman"/>
          <w:szCs w:val="24"/>
        </w:rPr>
        <w:t>“</w:t>
      </w:r>
      <w:r w:rsidR="00C90CAD" w:rsidRPr="00295637">
        <w:rPr>
          <w:rFonts w:ascii="Times New Roman" w:eastAsia="Aptos" w:hAnsi="Times New Roman"/>
          <w:szCs w:val="24"/>
        </w:rPr>
        <w:t xml:space="preserve"> </w:t>
      </w:r>
      <w:r w:rsidR="00C6214E">
        <w:rPr>
          <w:rFonts w:ascii="Times New Roman" w:eastAsia="Aptos" w:hAnsi="Times New Roman"/>
          <w:szCs w:val="24"/>
        </w:rPr>
        <w:t>клубове</w:t>
      </w:r>
      <w:r w:rsidR="00C90CAD" w:rsidRPr="00295637">
        <w:rPr>
          <w:rFonts w:ascii="Times New Roman" w:eastAsia="Aptos" w:hAnsi="Times New Roman"/>
          <w:szCs w:val="24"/>
        </w:rPr>
        <w:t>.</w:t>
      </w:r>
      <w:r w:rsidR="00074766" w:rsidRPr="00295637">
        <w:rPr>
          <w:rFonts w:ascii="Times New Roman" w:hAnsi="Times New Roman"/>
          <w:szCs w:val="24"/>
        </w:rPr>
        <w:t xml:space="preserve"> </w:t>
      </w:r>
      <w:r w:rsidR="00C6214E">
        <w:rPr>
          <w:rFonts w:ascii="Times New Roman" w:eastAsia="Aptos" w:hAnsi="Times New Roman"/>
          <w:szCs w:val="24"/>
        </w:rPr>
        <w:t>Кроз</w:t>
      </w:r>
      <w:r w:rsidR="00C90CAD" w:rsidRPr="00295637">
        <w:rPr>
          <w:rFonts w:ascii="Times New Roman" w:eastAsia="Aptos" w:hAnsi="Times New Roman"/>
          <w:szCs w:val="24"/>
        </w:rPr>
        <w:t xml:space="preserve"> </w:t>
      </w:r>
      <w:r w:rsidR="00C6214E">
        <w:rPr>
          <w:rFonts w:ascii="Times New Roman" w:eastAsia="Aptos" w:hAnsi="Times New Roman"/>
          <w:szCs w:val="24"/>
        </w:rPr>
        <w:t>пројекат</w:t>
      </w:r>
      <w:r w:rsidR="00C90CAD" w:rsidRPr="00295637">
        <w:rPr>
          <w:rFonts w:ascii="Times New Roman" w:eastAsia="Aptos" w:hAnsi="Times New Roman"/>
          <w:szCs w:val="24"/>
        </w:rPr>
        <w:t xml:space="preserve"> </w:t>
      </w:r>
      <w:r w:rsidR="00F90528" w:rsidRPr="00295637">
        <w:rPr>
          <w:rFonts w:ascii="Times New Roman" w:eastAsia="Aptos" w:hAnsi="Times New Roman"/>
          <w:szCs w:val="24"/>
        </w:rPr>
        <w:t>„</w:t>
      </w:r>
      <w:r w:rsidRPr="00CB20DF">
        <w:rPr>
          <w:rFonts w:ascii="Times New Roman" w:eastAsia="Aptos" w:hAnsi="Times New Roman"/>
          <w:i/>
          <w:szCs w:val="24"/>
        </w:rPr>
        <w:t>Safe and Aware</w:t>
      </w:r>
      <w:r w:rsidR="00F90528" w:rsidRPr="00295637">
        <w:rPr>
          <w:rFonts w:ascii="Times New Roman" w:eastAsia="Aptos" w:hAnsi="Times New Roman"/>
          <w:szCs w:val="24"/>
        </w:rPr>
        <w:t>“</w:t>
      </w:r>
      <w:r w:rsidR="00C90CAD" w:rsidRPr="00295637">
        <w:rPr>
          <w:rFonts w:ascii="Times New Roman" w:eastAsia="Aptos" w:hAnsi="Times New Roman"/>
          <w:szCs w:val="24"/>
        </w:rPr>
        <w:t xml:space="preserve">, </w:t>
      </w:r>
      <w:r w:rsidR="00C6214E">
        <w:rPr>
          <w:rFonts w:ascii="Times New Roman" w:eastAsia="Aptos" w:hAnsi="Times New Roman"/>
          <w:szCs w:val="24"/>
        </w:rPr>
        <w:t>дјевојчице</w:t>
      </w:r>
      <w:r w:rsidR="00C90CAD" w:rsidRPr="00295637">
        <w:rPr>
          <w:rFonts w:ascii="Times New Roman" w:eastAsia="Aptos" w:hAnsi="Times New Roman"/>
          <w:szCs w:val="24"/>
        </w:rPr>
        <w:t xml:space="preserve"> </w:t>
      </w:r>
      <w:r w:rsidR="00C6214E">
        <w:rPr>
          <w:rFonts w:ascii="Times New Roman" w:eastAsia="Aptos" w:hAnsi="Times New Roman"/>
          <w:szCs w:val="24"/>
        </w:rPr>
        <w:t>и</w:t>
      </w:r>
      <w:r w:rsidR="00C90CAD" w:rsidRPr="00295637">
        <w:rPr>
          <w:rFonts w:ascii="Times New Roman" w:eastAsia="Aptos" w:hAnsi="Times New Roman"/>
          <w:szCs w:val="24"/>
        </w:rPr>
        <w:t xml:space="preserve"> </w:t>
      </w:r>
      <w:r w:rsidR="00C6214E">
        <w:rPr>
          <w:rFonts w:ascii="Times New Roman" w:eastAsia="Aptos" w:hAnsi="Times New Roman"/>
          <w:szCs w:val="24"/>
        </w:rPr>
        <w:t>дјечаци</w:t>
      </w:r>
      <w:r w:rsidR="00C90CAD" w:rsidRPr="00295637">
        <w:rPr>
          <w:rFonts w:ascii="Times New Roman" w:eastAsia="Aptos" w:hAnsi="Times New Roman"/>
          <w:szCs w:val="24"/>
        </w:rPr>
        <w:t xml:space="preserve"> </w:t>
      </w:r>
      <w:r w:rsidR="00C6214E">
        <w:rPr>
          <w:rFonts w:ascii="Times New Roman" w:eastAsia="Aptos" w:hAnsi="Times New Roman"/>
          <w:szCs w:val="24"/>
        </w:rPr>
        <w:t>су</w:t>
      </w:r>
      <w:r w:rsidR="00C90CAD" w:rsidRPr="00295637">
        <w:rPr>
          <w:rFonts w:ascii="Times New Roman" w:eastAsia="Aptos" w:hAnsi="Times New Roman"/>
          <w:szCs w:val="24"/>
        </w:rPr>
        <w:t xml:space="preserve"> </w:t>
      </w:r>
      <w:r w:rsidR="00C6214E">
        <w:rPr>
          <w:rFonts w:ascii="Times New Roman" w:eastAsia="Aptos" w:hAnsi="Times New Roman"/>
          <w:szCs w:val="24"/>
        </w:rPr>
        <w:t>креирали</w:t>
      </w:r>
      <w:r w:rsidR="00C90CAD" w:rsidRPr="00295637">
        <w:rPr>
          <w:rFonts w:ascii="Times New Roman" w:eastAsia="Aptos" w:hAnsi="Times New Roman"/>
          <w:szCs w:val="24"/>
        </w:rPr>
        <w:t xml:space="preserve"> 20 </w:t>
      </w:r>
      <w:r w:rsidR="00C6214E">
        <w:rPr>
          <w:rFonts w:ascii="Times New Roman" w:eastAsia="Aptos" w:hAnsi="Times New Roman"/>
          <w:szCs w:val="24"/>
        </w:rPr>
        <w:t>видео</w:t>
      </w:r>
      <w:r w:rsidR="00C90CAD" w:rsidRPr="00295637">
        <w:rPr>
          <w:rFonts w:ascii="Times New Roman" w:eastAsia="Aptos" w:hAnsi="Times New Roman"/>
          <w:szCs w:val="24"/>
        </w:rPr>
        <w:t xml:space="preserve"> </w:t>
      </w:r>
      <w:r w:rsidR="00C6214E">
        <w:rPr>
          <w:rFonts w:ascii="Times New Roman" w:eastAsia="Aptos" w:hAnsi="Times New Roman"/>
          <w:szCs w:val="24"/>
        </w:rPr>
        <w:t>порука</w:t>
      </w:r>
      <w:r w:rsidR="00C90CAD" w:rsidRPr="00295637">
        <w:rPr>
          <w:rFonts w:ascii="Times New Roman" w:eastAsia="Aptos" w:hAnsi="Times New Roman"/>
          <w:szCs w:val="24"/>
        </w:rPr>
        <w:t xml:space="preserve"> </w:t>
      </w:r>
      <w:r w:rsidR="00C6214E">
        <w:rPr>
          <w:rFonts w:ascii="Times New Roman" w:eastAsia="Aptos" w:hAnsi="Times New Roman"/>
          <w:szCs w:val="24"/>
        </w:rPr>
        <w:t>о</w:t>
      </w:r>
      <w:r w:rsidR="00C90CAD" w:rsidRPr="00295637">
        <w:rPr>
          <w:rFonts w:ascii="Times New Roman" w:eastAsia="Aptos" w:hAnsi="Times New Roman"/>
          <w:szCs w:val="24"/>
        </w:rPr>
        <w:t xml:space="preserve"> </w:t>
      </w:r>
      <w:r>
        <w:rPr>
          <w:rFonts w:ascii="Times New Roman" w:eastAsia="Aptos" w:hAnsi="Times New Roman"/>
          <w:szCs w:val="24"/>
          <w:lang w:val="sr-Cyrl-BA"/>
        </w:rPr>
        <w:t>безбједности</w:t>
      </w:r>
      <w:r w:rsidR="00C90CAD" w:rsidRPr="00295637">
        <w:rPr>
          <w:rFonts w:ascii="Times New Roman" w:eastAsia="Aptos" w:hAnsi="Times New Roman"/>
          <w:szCs w:val="24"/>
        </w:rPr>
        <w:t xml:space="preserve"> </w:t>
      </w:r>
      <w:r w:rsidR="00C6214E">
        <w:rPr>
          <w:rFonts w:ascii="Times New Roman" w:eastAsia="Aptos" w:hAnsi="Times New Roman"/>
          <w:szCs w:val="24"/>
        </w:rPr>
        <w:t>на</w:t>
      </w:r>
      <w:r w:rsidR="00C90CAD" w:rsidRPr="00295637">
        <w:rPr>
          <w:rFonts w:ascii="Times New Roman" w:eastAsia="Aptos" w:hAnsi="Times New Roman"/>
          <w:szCs w:val="24"/>
        </w:rPr>
        <w:t xml:space="preserve"> </w:t>
      </w:r>
      <w:r w:rsidR="00C6214E">
        <w:rPr>
          <w:rFonts w:ascii="Times New Roman" w:eastAsia="Aptos" w:hAnsi="Times New Roman"/>
          <w:szCs w:val="24"/>
        </w:rPr>
        <w:t>интернету</w:t>
      </w:r>
      <w:r w:rsidR="00C90CAD" w:rsidRPr="00295637">
        <w:rPr>
          <w:rFonts w:ascii="Times New Roman" w:eastAsia="Aptos" w:hAnsi="Times New Roman"/>
          <w:szCs w:val="24"/>
        </w:rPr>
        <w:t xml:space="preserve"> </w:t>
      </w:r>
      <w:r w:rsidR="00C6214E">
        <w:rPr>
          <w:rFonts w:ascii="Times New Roman" w:eastAsia="Aptos" w:hAnsi="Times New Roman"/>
          <w:szCs w:val="24"/>
        </w:rPr>
        <w:t>и</w:t>
      </w:r>
      <w:r w:rsidR="00C90CAD" w:rsidRPr="00295637">
        <w:rPr>
          <w:rFonts w:ascii="Times New Roman" w:eastAsia="Aptos" w:hAnsi="Times New Roman"/>
          <w:szCs w:val="24"/>
        </w:rPr>
        <w:t xml:space="preserve"> </w:t>
      </w:r>
      <w:r w:rsidR="00C6214E">
        <w:rPr>
          <w:rFonts w:ascii="Times New Roman" w:eastAsia="Aptos" w:hAnsi="Times New Roman"/>
          <w:szCs w:val="24"/>
        </w:rPr>
        <w:t>превенцији</w:t>
      </w:r>
      <w:r w:rsidR="00C90CAD" w:rsidRPr="00295637">
        <w:rPr>
          <w:rFonts w:ascii="Times New Roman" w:eastAsia="Aptos" w:hAnsi="Times New Roman"/>
          <w:szCs w:val="24"/>
        </w:rPr>
        <w:t xml:space="preserve"> </w:t>
      </w:r>
      <w:r w:rsidR="00C6214E">
        <w:rPr>
          <w:rFonts w:ascii="Times New Roman" w:eastAsia="Aptos" w:hAnsi="Times New Roman"/>
          <w:szCs w:val="24"/>
        </w:rPr>
        <w:t>насиља</w:t>
      </w:r>
      <w:r w:rsidR="00C90CAD" w:rsidRPr="00295637">
        <w:rPr>
          <w:rFonts w:ascii="Times New Roman" w:eastAsia="Aptos" w:hAnsi="Times New Roman"/>
          <w:szCs w:val="24"/>
        </w:rPr>
        <w:t xml:space="preserve">, </w:t>
      </w:r>
      <w:r w:rsidR="00C6214E">
        <w:rPr>
          <w:rFonts w:ascii="Times New Roman" w:eastAsia="Aptos" w:hAnsi="Times New Roman"/>
          <w:szCs w:val="24"/>
        </w:rPr>
        <w:t>које</w:t>
      </w:r>
      <w:r w:rsidR="00C90CAD" w:rsidRPr="00295637">
        <w:rPr>
          <w:rFonts w:ascii="Times New Roman" w:eastAsia="Aptos" w:hAnsi="Times New Roman"/>
          <w:szCs w:val="24"/>
        </w:rPr>
        <w:t xml:space="preserve"> </w:t>
      </w:r>
      <w:r w:rsidR="00C6214E">
        <w:rPr>
          <w:rFonts w:ascii="Times New Roman" w:eastAsia="Aptos" w:hAnsi="Times New Roman"/>
          <w:szCs w:val="24"/>
        </w:rPr>
        <w:t>су</w:t>
      </w:r>
      <w:r w:rsidR="00C90CAD" w:rsidRPr="00295637">
        <w:rPr>
          <w:rFonts w:ascii="Times New Roman" w:eastAsia="Aptos" w:hAnsi="Times New Roman"/>
          <w:szCs w:val="24"/>
        </w:rPr>
        <w:t xml:space="preserve"> </w:t>
      </w:r>
      <w:r w:rsidR="00C6214E">
        <w:rPr>
          <w:rFonts w:ascii="Times New Roman" w:eastAsia="Aptos" w:hAnsi="Times New Roman"/>
          <w:szCs w:val="24"/>
        </w:rPr>
        <w:t>јавно</w:t>
      </w:r>
      <w:r w:rsidR="00C90CAD" w:rsidRPr="00295637">
        <w:rPr>
          <w:rFonts w:ascii="Times New Roman" w:eastAsia="Aptos" w:hAnsi="Times New Roman"/>
          <w:szCs w:val="24"/>
        </w:rPr>
        <w:t xml:space="preserve"> </w:t>
      </w:r>
      <w:r w:rsidR="00C6214E">
        <w:rPr>
          <w:rFonts w:ascii="Times New Roman" w:eastAsia="Aptos" w:hAnsi="Times New Roman"/>
          <w:szCs w:val="24"/>
        </w:rPr>
        <w:t>приказане</w:t>
      </w:r>
      <w:r w:rsidR="00C90CAD" w:rsidRPr="00295637">
        <w:rPr>
          <w:rFonts w:ascii="Times New Roman" w:eastAsia="Aptos" w:hAnsi="Times New Roman"/>
          <w:szCs w:val="24"/>
        </w:rPr>
        <w:t xml:space="preserve"> </w:t>
      </w:r>
      <w:r w:rsidR="00C6214E">
        <w:rPr>
          <w:rFonts w:ascii="Times New Roman" w:eastAsia="Aptos" w:hAnsi="Times New Roman"/>
          <w:szCs w:val="24"/>
        </w:rPr>
        <w:t>и</w:t>
      </w:r>
      <w:r w:rsidR="00C90CAD" w:rsidRPr="00295637">
        <w:rPr>
          <w:rFonts w:ascii="Times New Roman" w:eastAsia="Aptos" w:hAnsi="Times New Roman"/>
          <w:szCs w:val="24"/>
        </w:rPr>
        <w:t xml:space="preserve"> </w:t>
      </w:r>
      <w:r w:rsidR="00C6214E">
        <w:rPr>
          <w:rFonts w:ascii="Times New Roman" w:eastAsia="Aptos" w:hAnsi="Times New Roman"/>
          <w:szCs w:val="24"/>
        </w:rPr>
        <w:t>дистрибуи</w:t>
      </w:r>
      <w:r>
        <w:rPr>
          <w:rFonts w:ascii="Times New Roman" w:eastAsia="Aptos" w:hAnsi="Times New Roman"/>
          <w:szCs w:val="24"/>
          <w:lang w:val="sr-Cyrl-BA"/>
        </w:rPr>
        <w:t>с</w:t>
      </w:r>
      <w:r w:rsidR="00C6214E">
        <w:rPr>
          <w:rFonts w:ascii="Times New Roman" w:eastAsia="Aptos" w:hAnsi="Times New Roman"/>
          <w:szCs w:val="24"/>
        </w:rPr>
        <w:t>ане</w:t>
      </w:r>
      <w:r w:rsidR="00C90CAD" w:rsidRPr="00295637">
        <w:rPr>
          <w:rFonts w:ascii="Times New Roman" w:eastAsia="Aptos" w:hAnsi="Times New Roman"/>
          <w:szCs w:val="24"/>
        </w:rPr>
        <w:t xml:space="preserve"> </w:t>
      </w:r>
      <w:r w:rsidR="00C6214E">
        <w:rPr>
          <w:rFonts w:ascii="Times New Roman" w:eastAsia="Aptos" w:hAnsi="Times New Roman"/>
          <w:szCs w:val="24"/>
        </w:rPr>
        <w:t>путем</w:t>
      </w:r>
      <w:r w:rsidR="00C90CAD" w:rsidRPr="00295637">
        <w:rPr>
          <w:rFonts w:ascii="Times New Roman" w:eastAsia="Aptos" w:hAnsi="Times New Roman"/>
          <w:szCs w:val="24"/>
        </w:rPr>
        <w:t xml:space="preserve"> </w:t>
      </w:r>
      <w:r w:rsidR="00C6214E">
        <w:rPr>
          <w:rFonts w:ascii="Times New Roman" w:eastAsia="Aptos" w:hAnsi="Times New Roman"/>
          <w:szCs w:val="24"/>
        </w:rPr>
        <w:t>локалних</w:t>
      </w:r>
      <w:r w:rsidR="00C90CAD" w:rsidRPr="00295637">
        <w:rPr>
          <w:rFonts w:ascii="Times New Roman" w:eastAsia="Aptos" w:hAnsi="Times New Roman"/>
          <w:szCs w:val="24"/>
        </w:rPr>
        <w:t xml:space="preserve"> </w:t>
      </w:r>
      <w:r w:rsidR="00C6214E">
        <w:rPr>
          <w:rFonts w:ascii="Times New Roman" w:eastAsia="Aptos" w:hAnsi="Times New Roman"/>
          <w:szCs w:val="24"/>
        </w:rPr>
        <w:t>портала</w:t>
      </w:r>
      <w:r w:rsidR="00C90CAD" w:rsidRPr="00295637">
        <w:rPr>
          <w:rFonts w:ascii="Times New Roman" w:eastAsia="Aptos" w:hAnsi="Times New Roman"/>
          <w:szCs w:val="24"/>
        </w:rPr>
        <w:t xml:space="preserve"> </w:t>
      </w:r>
      <w:r w:rsidR="00C6214E">
        <w:rPr>
          <w:rFonts w:ascii="Times New Roman" w:eastAsia="Aptos" w:hAnsi="Times New Roman"/>
          <w:szCs w:val="24"/>
        </w:rPr>
        <w:t>и</w:t>
      </w:r>
      <w:r w:rsidR="00C90CAD" w:rsidRPr="00295637">
        <w:rPr>
          <w:rFonts w:ascii="Times New Roman" w:eastAsia="Aptos" w:hAnsi="Times New Roman"/>
          <w:szCs w:val="24"/>
        </w:rPr>
        <w:t xml:space="preserve"> </w:t>
      </w:r>
      <w:r w:rsidR="00C6214E">
        <w:rPr>
          <w:rFonts w:ascii="Times New Roman" w:eastAsia="Aptos" w:hAnsi="Times New Roman"/>
          <w:szCs w:val="24"/>
        </w:rPr>
        <w:t>радија</w:t>
      </w:r>
      <w:r w:rsidR="00C90CAD" w:rsidRPr="00295637">
        <w:rPr>
          <w:rFonts w:ascii="Times New Roman" w:eastAsia="Aptos" w:hAnsi="Times New Roman"/>
          <w:szCs w:val="24"/>
        </w:rPr>
        <w:t>.</w:t>
      </w:r>
      <w:r w:rsidR="00074766" w:rsidRPr="00295637">
        <w:rPr>
          <w:rFonts w:ascii="Times New Roman" w:hAnsi="Times New Roman"/>
          <w:szCs w:val="24"/>
        </w:rPr>
        <w:t xml:space="preserve"> </w:t>
      </w:r>
      <w:r w:rsidR="00C6214E">
        <w:rPr>
          <w:rFonts w:ascii="Times New Roman" w:eastAsia="Aptos" w:hAnsi="Times New Roman"/>
          <w:szCs w:val="24"/>
        </w:rPr>
        <w:t>Иницијатива</w:t>
      </w:r>
      <w:r w:rsidR="00C90CAD" w:rsidRPr="00295637">
        <w:rPr>
          <w:rFonts w:ascii="Times New Roman" w:eastAsia="Aptos" w:hAnsi="Times New Roman"/>
          <w:szCs w:val="24"/>
        </w:rPr>
        <w:t xml:space="preserve"> </w:t>
      </w:r>
      <w:r w:rsidR="00F90528" w:rsidRPr="00295637">
        <w:rPr>
          <w:rFonts w:ascii="Times New Roman" w:eastAsia="Aptos" w:hAnsi="Times New Roman"/>
          <w:szCs w:val="24"/>
        </w:rPr>
        <w:t>„</w:t>
      </w:r>
      <w:r w:rsidR="00C6214E">
        <w:rPr>
          <w:rFonts w:ascii="Times New Roman" w:eastAsia="Aptos" w:hAnsi="Times New Roman"/>
          <w:szCs w:val="24"/>
        </w:rPr>
        <w:t>ЕКОСОЛ</w:t>
      </w:r>
      <w:r w:rsidR="00F90528" w:rsidRPr="00295637">
        <w:rPr>
          <w:rFonts w:ascii="Times New Roman" w:eastAsia="Aptos" w:hAnsi="Times New Roman"/>
          <w:szCs w:val="24"/>
        </w:rPr>
        <w:t>“</w:t>
      </w:r>
      <w:r w:rsidR="00C90CAD" w:rsidRPr="00295637">
        <w:rPr>
          <w:rFonts w:ascii="Times New Roman" w:eastAsia="Aptos" w:hAnsi="Times New Roman"/>
          <w:szCs w:val="24"/>
        </w:rPr>
        <w:t xml:space="preserve"> </w:t>
      </w:r>
      <w:r w:rsidR="00C6214E">
        <w:rPr>
          <w:rFonts w:ascii="Times New Roman" w:eastAsia="Aptos" w:hAnsi="Times New Roman"/>
          <w:szCs w:val="24"/>
        </w:rPr>
        <w:t>је</w:t>
      </w:r>
      <w:r w:rsidR="00C90CAD" w:rsidRPr="00295637">
        <w:rPr>
          <w:rFonts w:ascii="Times New Roman" w:eastAsia="Aptos" w:hAnsi="Times New Roman"/>
          <w:szCs w:val="24"/>
        </w:rPr>
        <w:t xml:space="preserve"> </w:t>
      </w:r>
      <w:r w:rsidR="00C6214E">
        <w:rPr>
          <w:rFonts w:ascii="Times New Roman" w:eastAsia="Aptos" w:hAnsi="Times New Roman"/>
          <w:szCs w:val="24"/>
        </w:rPr>
        <w:t>имала</w:t>
      </w:r>
      <w:r w:rsidR="00C90CAD" w:rsidRPr="00295637">
        <w:rPr>
          <w:rFonts w:ascii="Times New Roman" w:eastAsia="Aptos" w:hAnsi="Times New Roman"/>
          <w:szCs w:val="24"/>
        </w:rPr>
        <w:t xml:space="preserve"> </w:t>
      </w:r>
      <w:r w:rsidR="00C6214E">
        <w:rPr>
          <w:rFonts w:ascii="Times New Roman" w:eastAsia="Aptos" w:hAnsi="Times New Roman"/>
          <w:szCs w:val="24"/>
        </w:rPr>
        <w:t>за</w:t>
      </w:r>
      <w:r w:rsidR="00C90CAD" w:rsidRPr="00295637">
        <w:rPr>
          <w:rFonts w:ascii="Times New Roman" w:eastAsia="Aptos" w:hAnsi="Times New Roman"/>
          <w:szCs w:val="24"/>
        </w:rPr>
        <w:t xml:space="preserve"> </w:t>
      </w:r>
      <w:r w:rsidR="00C6214E">
        <w:rPr>
          <w:rFonts w:ascii="Times New Roman" w:eastAsia="Aptos" w:hAnsi="Times New Roman"/>
          <w:szCs w:val="24"/>
        </w:rPr>
        <w:t>циљ</w:t>
      </w:r>
      <w:r w:rsidR="00C90CAD" w:rsidRPr="00295637">
        <w:rPr>
          <w:rFonts w:ascii="Times New Roman" w:eastAsia="Aptos" w:hAnsi="Times New Roman"/>
          <w:szCs w:val="24"/>
        </w:rPr>
        <w:t xml:space="preserve"> </w:t>
      </w:r>
      <w:r w:rsidR="00C6214E">
        <w:rPr>
          <w:rFonts w:ascii="Times New Roman" w:eastAsia="Aptos" w:hAnsi="Times New Roman"/>
          <w:szCs w:val="24"/>
        </w:rPr>
        <w:t>оснаживање</w:t>
      </w:r>
      <w:r w:rsidR="00C90CAD" w:rsidRPr="00295637">
        <w:rPr>
          <w:rFonts w:ascii="Times New Roman" w:eastAsia="Aptos" w:hAnsi="Times New Roman"/>
          <w:szCs w:val="24"/>
        </w:rPr>
        <w:t xml:space="preserve"> </w:t>
      </w:r>
      <w:r w:rsidR="00C6214E">
        <w:rPr>
          <w:rFonts w:ascii="Times New Roman" w:eastAsia="Aptos" w:hAnsi="Times New Roman"/>
          <w:szCs w:val="24"/>
        </w:rPr>
        <w:t>дјевојчица</w:t>
      </w:r>
      <w:r w:rsidR="00C90CAD" w:rsidRPr="00295637">
        <w:rPr>
          <w:rFonts w:ascii="Times New Roman" w:eastAsia="Aptos" w:hAnsi="Times New Roman"/>
          <w:szCs w:val="24"/>
        </w:rPr>
        <w:t xml:space="preserve"> </w:t>
      </w:r>
      <w:r w:rsidR="00C6214E">
        <w:rPr>
          <w:rFonts w:ascii="Times New Roman" w:eastAsia="Aptos" w:hAnsi="Times New Roman"/>
          <w:szCs w:val="24"/>
        </w:rPr>
        <w:t>ромског</w:t>
      </w:r>
      <w:r w:rsidR="00C90CAD" w:rsidRPr="00295637">
        <w:rPr>
          <w:rFonts w:ascii="Times New Roman" w:eastAsia="Aptos" w:hAnsi="Times New Roman"/>
          <w:szCs w:val="24"/>
        </w:rPr>
        <w:t xml:space="preserve"> </w:t>
      </w:r>
      <w:r w:rsidR="00C6214E">
        <w:rPr>
          <w:rFonts w:ascii="Times New Roman" w:eastAsia="Aptos" w:hAnsi="Times New Roman"/>
          <w:szCs w:val="24"/>
        </w:rPr>
        <w:t>поријекла</w:t>
      </w:r>
      <w:r w:rsidR="00C90CAD" w:rsidRPr="00295637">
        <w:rPr>
          <w:rFonts w:ascii="Times New Roman" w:eastAsia="Aptos" w:hAnsi="Times New Roman"/>
          <w:szCs w:val="24"/>
        </w:rPr>
        <w:t xml:space="preserve"> </w:t>
      </w:r>
      <w:r w:rsidR="00C6214E">
        <w:rPr>
          <w:rFonts w:ascii="Times New Roman" w:eastAsia="Aptos" w:hAnsi="Times New Roman"/>
          <w:szCs w:val="24"/>
        </w:rPr>
        <w:t>кроз</w:t>
      </w:r>
      <w:r w:rsidR="00C90CAD" w:rsidRPr="00295637">
        <w:rPr>
          <w:rFonts w:ascii="Times New Roman" w:eastAsia="Aptos" w:hAnsi="Times New Roman"/>
          <w:szCs w:val="24"/>
        </w:rPr>
        <w:t xml:space="preserve"> </w:t>
      </w:r>
      <w:r w:rsidR="00C6214E">
        <w:rPr>
          <w:rFonts w:ascii="Times New Roman" w:eastAsia="Aptos" w:hAnsi="Times New Roman"/>
          <w:szCs w:val="24"/>
        </w:rPr>
        <w:t>стицање</w:t>
      </w:r>
      <w:r w:rsidR="00C90CAD" w:rsidRPr="00295637">
        <w:rPr>
          <w:rFonts w:ascii="Times New Roman" w:eastAsia="Aptos" w:hAnsi="Times New Roman"/>
          <w:szCs w:val="24"/>
        </w:rPr>
        <w:t xml:space="preserve"> </w:t>
      </w:r>
      <w:r w:rsidR="00C6214E">
        <w:rPr>
          <w:rFonts w:ascii="Times New Roman" w:eastAsia="Aptos" w:hAnsi="Times New Roman"/>
          <w:szCs w:val="24"/>
        </w:rPr>
        <w:t>практичних</w:t>
      </w:r>
      <w:r w:rsidR="00C90CAD" w:rsidRPr="00295637">
        <w:rPr>
          <w:rFonts w:ascii="Times New Roman" w:eastAsia="Aptos" w:hAnsi="Times New Roman"/>
          <w:szCs w:val="24"/>
        </w:rPr>
        <w:t xml:space="preserve"> </w:t>
      </w:r>
      <w:r w:rsidR="00C6214E">
        <w:rPr>
          <w:rFonts w:ascii="Times New Roman" w:eastAsia="Aptos" w:hAnsi="Times New Roman"/>
          <w:szCs w:val="24"/>
        </w:rPr>
        <w:t>вјештина</w:t>
      </w:r>
      <w:r w:rsidR="00C90CAD" w:rsidRPr="00295637">
        <w:rPr>
          <w:rFonts w:ascii="Times New Roman" w:eastAsia="Aptos" w:hAnsi="Times New Roman"/>
          <w:szCs w:val="24"/>
        </w:rPr>
        <w:t xml:space="preserve"> (3</w:t>
      </w:r>
      <w:r w:rsidR="00C6214E">
        <w:rPr>
          <w:rFonts w:ascii="Times New Roman" w:eastAsia="Aptos" w:hAnsi="Times New Roman"/>
          <w:szCs w:val="24"/>
        </w:rPr>
        <w:t>Д</w:t>
      </w:r>
      <w:r w:rsidR="00C90CAD" w:rsidRPr="00295637">
        <w:rPr>
          <w:rFonts w:ascii="Times New Roman" w:eastAsia="Aptos" w:hAnsi="Times New Roman"/>
          <w:szCs w:val="24"/>
        </w:rPr>
        <w:t xml:space="preserve"> </w:t>
      </w:r>
      <w:r w:rsidR="00C6214E">
        <w:rPr>
          <w:rFonts w:ascii="Times New Roman" w:eastAsia="Aptos" w:hAnsi="Times New Roman"/>
          <w:szCs w:val="24"/>
        </w:rPr>
        <w:t>принтање</w:t>
      </w:r>
      <w:r w:rsidR="00C90CAD" w:rsidRPr="00295637">
        <w:rPr>
          <w:rFonts w:ascii="Times New Roman" w:eastAsia="Aptos" w:hAnsi="Times New Roman"/>
          <w:szCs w:val="24"/>
        </w:rPr>
        <w:t xml:space="preserve">, </w:t>
      </w:r>
      <w:r w:rsidR="00C6214E">
        <w:rPr>
          <w:rFonts w:ascii="Times New Roman" w:eastAsia="Aptos" w:hAnsi="Times New Roman"/>
          <w:szCs w:val="24"/>
        </w:rPr>
        <w:t>ручни</w:t>
      </w:r>
      <w:r w:rsidR="00C90CAD" w:rsidRPr="00295637">
        <w:rPr>
          <w:rFonts w:ascii="Times New Roman" w:eastAsia="Aptos" w:hAnsi="Times New Roman"/>
          <w:szCs w:val="24"/>
        </w:rPr>
        <w:t xml:space="preserve"> </w:t>
      </w:r>
      <w:r w:rsidR="00C6214E">
        <w:rPr>
          <w:rFonts w:ascii="Times New Roman" w:eastAsia="Aptos" w:hAnsi="Times New Roman"/>
          <w:szCs w:val="24"/>
        </w:rPr>
        <w:t>рад</w:t>
      </w:r>
      <w:r w:rsidR="00C90CAD" w:rsidRPr="00295637">
        <w:rPr>
          <w:rFonts w:ascii="Times New Roman" w:eastAsia="Aptos" w:hAnsi="Times New Roman"/>
          <w:szCs w:val="24"/>
        </w:rPr>
        <w:t xml:space="preserve">), </w:t>
      </w:r>
      <w:r w:rsidR="00C6214E">
        <w:rPr>
          <w:rFonts w:ascii="Times New Roman" w:eastAsia="Aptos" w:hAnsi="Times New Roman"/>
          <w:szCs w:val="24"/>
        </w:rPr>
        <w:t>као</w:t>
      </w:r>
      <w:r w:rsidR="00C90CAD" w:rsidRPr="00295637">
        <w:rPr>
          <w:rFonts w:ascii="Times New Roman" w:eastAsia="Aptos" w:hAnsi="Times New Roman"/>
          <w:szCs w:val="24"/>
        </w:rPr>
        <w:t xml:space="preserve"> </w:t>
      </w:r>
      <w:r w:rsidR="00C6214E">
        <w:rPr>
          <w:rFonts w:ascii="Times New Roman" w:eastAsia="Aptos" w:hAnsi="Times New Roman"/>
          <w:szCs w:val="24"/>
        </w:rPr>
        <w:t>и</w:t>
      </w:r>
      <w:r w:rsidR="00C90CAD" w:rsidRPr="00295637">
        <w:rPr>
          <w:rFonts w:ascii="Times New Roman" w:eastAsia="Aptos" w:hAnsi="Times New Roman"/>
          <w:szCs w:val="24"/>
        </w:rPr>
        <w:t xml:space="preserve"> </w:t>
      </w:r>
      <w:r w:rsidR="00C6214E">
        <w:rPr>
          <w:rFonts w:ascii="Times New Roman" w:eastAsia="Aptos" w:hAnsi="Times New Roman"/>
          <w:szCs w:val="24"/>
        </w:rPr>
        <w:t>разбијање</w:t>
      </w:r>
      <w:r w:rsidR="00C90CAD" w:rsidRPr="00295637">
        <w:rPr>
          <w:rFonts w:ascii="Times New Roman" w:eastAsia="Aptos" w:hAnsi="Times New Roman"/>
          <w:szCs w:val="24"/>
        </w:rPr>
        <w:t xml:space="preserve"> </w:t>
      </w:r>
      <w:r w:rsidR="00C6214E">
        <w:rPr>
          <w:rFonts w:ascii="Times New Roman" w:eastAsia="Aptos" w:hAnsi="Times New Roman"/>
          <w:szCs w:val="24"/>
        </w:rPr>
        <w:t>стереотипа</w:t>
      </w:r>
      <w:r w:rsidR="00C90CAD" w:rsidRPr="00295637">
        <w:rPr>
          <w:rFonts w:ascii="Times New Roman" w:eastAsia="Aptos" w:hAnsi="Times New Roman"/>
          <w:szCs w:val="24"/>
        </w:rPr>
        <w:t xml:space="preserve">. </w:t>
      </w:r>
      <w:r w:rsidR="00C6214E">
        <w:rPr>
          <w:rFonts w:ascii="Times New Roman" w:eastAsia="Aptos" w:hAnsi="Times New Roman"/>
          <w:szCs w:val="24"/>
        </w:rPr>
        <w:t>Учеснице</w:t>
      </w:r>
      <w:r w:rsidR="00C90CAD" w:rsidRPr="00295637">
        <w:rPr>
          <w:rFonts w:ascii="Times New Roman" w:eastAsia="Aptos" w:hAnsi="Times New Roman"/>
          <w:szCs w:val="24"/>
        </w:rPr>
        <w:t xml:space="preserve"> </w:t>
      </w:r>
      <w:r w:rsidR="00C6214E">
        <w:rPr>
          <w:rFonts w:ascii="Times New Roman" w:eastAsia="Aptos" w:hAnsi="Times New Roman"/>
          <w:szCs w:val="24"/>
        </w:rPr>
        <w:t>су</w:t>
      </w:r>
      <w:r w:rsidR="00C90CAD" w:rsidRPr="00295637">
        <w:rPr>
          <w:rFonts w:ascii="Times New Roman" w:eastAsia="Aptos" w:hAnsi="Times New Roman"/>
          <w:szCs w:val="24"/>
        </w:rPr>
        <w:t xml:space="preserve"> </w:t>
      </w:r>
      <w:r w:rsidR="00C6214E">
        <w:rPr>
          <w:rFonts w:ascii="Times New Roman" w:eastAsia="Aptos" w:hAnsi="Times New Roman"/>
          <w:szCs w:val="24"/>
        </w:rPr>
        <w:t>презент</w:t>
      </w:r>
      <w:r>
        <w:rPr>
          <w:rFonts w:ascii="Times New Roman" w:eastAsia="Aptos" w:hAnsi="Times New Roman"/>
          <w:szCs w:val="24"/>
          <w:lang w:val="sr-Cyrl-BA"/>
        </w:rPr>
        <w:t>овале</w:t>
      </w:r>
      <w:r w:rsidR="00C90CAD" w:rsidRPr="00295637">
        <w:rPr>
          <w:rFonts w:ascii="Times New Roman" w:eastAsia="Aptos" w:hAnsi="Times New Roman"/>
          <w:szCs w:val="24"/>
        </w:rPr>
        <w:t xml:space="preserve"> </w:t>
      </w:r>
      <w:r w:rsidR="00C6214E">
        <w:rPr>
          <w:rFonts w:ascii="Times New Roman" w:eastAsia="Aptos" w:hAnsi="Times New Roman"/>
          <w:szCs w:val="24"/>
        </w:rPr>
        <w:t>радове</w:t>
      </w:r>
      <w:r w:rsidR="00C90CAD" w:rsidRPr="00295637">
        <w:rPr>
          <w:rFonts w:ascii="Times New Roman" w:eastAsia="Aptos" w:hAnsi="Times New Roman"/>
          <w:szCs w:val="24"/>
        </w:rPr>
        <w:t xml:space="preserve"> </w:t>
      </w:r>
      <w:r w:rsidR="00C6214E">
        <w:rPr>
          <w:rFonts w:ascii="Times New Roman" w:eastAsia="Aptos" w:hAnsi="Times New Roman"/>
          <w:szCs w:val="24"/>
        </w:rPr>
        <w:t>и</w:t>
      </w:r>
      <w:r w:rsidR="00C90CAD" w:rsidRPr="00295637">
        <w:rPr>
          <w:rFonts w:ascii="Times New Roman" w:eastAsia="Aptos" w:hAnsi="Times New Roman"/>
          <w:szCs w:val="24"/>
        </w:rPr>
        <w:t xml:space="preserve"> </w:t>
      </w:r>
      <w:r w:rsidR="00C6214E">
        <w:rPr>
          <w:rFonts w:ascii="Times New Roman" w:eastAsia="Aptos" w:hAnsi="Times New Roman"/>
          <w:szCs w:val="24"/>
        </w:rPr>
        <w:t>разговарале</w:t>
      </w:r>
      <w:r w:rsidR="00C90CAD" w:rsidRPr="00295637">
        <w:rPr>
          <w:rFonts w:ascii="Times New Roman" w:eastAsia="Aptos" w:hAnsi="Times New Roman"/>
          <w:szCs w:val="24"/>
        </w:rPr>
        <w:t xml:space="preserve"> </w:t>
      </w:r>
      <w:r w:rsidR="00C6214E">
        <w:rPr>
          <w:rFonts w:ascii="Times New Roman" w:eastAsia="Aptos" w:hAnsi="Times New Roman"/>
          <w:szCs w:val="24"/>
        </w:rPr>
        <w:t>са</w:t>
      </w:r>
      <w:r w:rsidR="00C90CAD" w:rsidRPr="00295637">
        <w:rPr>
          <w:rFonts w:ascii="Times New Roman" w:eastAsia="Aptos" w:hAnsi="Times New Roman"/>
          <w:szCs w:val="24"/>
        </w:rPr>
        <w:t xml:space="preserve"> </w:t>
      </w:r>
      <w:r w:rsidR="00C6214E">
        <w:rPr>
          <w:rFonts w:ascii="Times New Roman" w:eastAsia="Aptos" w:hAnsi="Times New Roman"/>
          <w:szCs w:val="24"/>
        </w:rPr>
        <w:t>грађанима</w:t>
      </w:r>
      <w:r w:rsidR="00C90CAD" w:rsidRPr="00295637">
        <w:rPr>
          <w:rFonts w:ascii="Times New Roman" w:eastAsia="Aptos" w:hAnsi="Times New Roman"/>
          <w:szCs w:val="24"/>
        </w:rPr>
        <w:t xml:space="preserve"> </w:t>
      </w:r>
      <w:r w:rsidR="00C6214E">
        <w:rPr>
          <w:rFonts w:ascii="Times New Roman" w:eastAsia="Aptos" w:hAnsi="Times New Roman"/>
          <w:szCs w:val="24"/>
        </w:rPr>
        <w:t>о</w:t>
      </w:r>
      <w:r w:rsidR="00C90CAD" w:rsidRPr="00295637">
        <w:rPr>
          <w:rFonts w:ascii="Times New Roman" w:eastAsia="Aptos" w:hAnsi="Times New Roman"/>
          <w:szCs w:val="24"/>
        </w:rPr>
        <w:t xml:space="preserve"> </w:t>
      </w:r>
      <w:r w:rsidR="00C6214E">
        <w:rPr>
          <w:rFonts w:ascii="Times New Roman" w:eastAsia="Aptos" w:hAnsi="Times New Roman"/>
          <w:szCs w:val="24"/>
        </w:rPr>
        <w:t>инклузији</w:t>
      </w:r>
      <w:r w:rsidR="00C90CAD" w:rsidRPr="00295637">
        <w:rPr>
          <w:rFonts w:ascii="Times New Roman" w:eastAsia="Aptos" w:hAnsi="Times New Roman"/>
          <w:szCs w:val="24"/>
        </w:rPr>
        <w:t xml:space="preserve">. </w:t>
      </w:r>
      <w:r w:rsidR="00C6214E">
        <w:rPr>
          <w:rFonts w:ascii="Times New Roman" w:eastAsia="Aptos" w:hAnsi="Times New Roman"/>
          <w:szCs w:val="24"/>
        </w:rPr>
        <w:t>Округли</w:t>
      </w:r>
      <w:r w:rsidR="00C90CAD" w:rsidRPr="00295637">
        <w:rPr>
          <w:rFonts w:ascii="Times New Roman" w:eastAsia="Aptos" w:hAnsi="Times New Roman"/>
          <w:szCs w:val="24"/>
        </w:rPr>
        <w:t xml:space="preserve"> </w:t>
      </w:r>
      <w:r w:rsidR="00C6214E">
        <w:rPr>
          <w:rFonts w:ascii="Times New Roman" w:eastAsia="Aptos" w:hAnsi="Times New Roman"/>
          <w:szCs w:val="24"/>
        </w:rPr>
        <w:t>сто</w:t>
      </w:r>
      <w:r w:rsidR="00C90CAD" w:rsidRPr="00295637">
        <w:rPr>
          <w:rFonts w:ascii="Times New Roman" w:eastAsia="Aptos" w:hAnsi="Times New Roman"/>
          <w:szCs w:val="24"/>
        </w:rPr>
        <w:t xml:space="preserve"> </w:t>
      </w:r>
      <w:r w:rsidR="00C6214E">
        <w:rPr>
          <w:rFonts w:ascii="Times New Roman" w:eastAsia="Aptos" w:hAnsi="Times New Roman"/>
          <w:szCs w:val="24"/>
        </w:rPr>
        <w:t>о</w:t>
      </w:r>
      <w:r w:rsidR="00C90CAD" w:rsidRPr="00295637">
        <w:rPr>
          <w:rFonts w:ascii="Times New Roman" w:eastAsia="Aptos" w:hAnsi="Times New Roman"/>
          <w:szCs w:val="24"/>
        </w:rPr>
        <w:t xml:space="preserve"> </w:t>
      </w:r>
      <w:r w:rsidR="00C6214E">
        <w:rPr>
          <w:rFonts w:ascii="Times New Roman" w:eastAsia="Aptos" w:hAnsi="Times New Roman"/>
          <w:szCs w:val="24"/>
        </w:rPr>
        <w:t>образовању</w:t>
      </w:r>
      <w:r w:rsidR="00C90CAD" w:rsidRPr="00295637">
        <w:rPr>
          <w:rFonts w:ascii="Times New Roman" w:eastAsia="Aptos" w:hAnsi="Times New Roman"/>
          <w:szCs w:val="24"/>
        </w:rPr>
        <w:t xml:space="preserve"> </w:t>
      </w:r>
      <w:r w:rsidR="00C6214E">
        <w:rPr>
          <w:rFonts w:ascii="Times New Roman" w:eastAsia="Aptos" w:hAnsi="Times New Roman"/>
          <w:szCs w:val="24"/>
        </w:rPr>
        <w:t>ромских</w:t>
      </w:r>
      <w:r w:rsidR="00C90CAD" w:rsidRPr="00295637">
        <w:rPr>
          <w:rFonts w:ascii="Times New Roman" w:eastAsia="Aptos" w:hAnsi="Times New Roman"/>
          <w:szCs w:val="24"/>
        </w:rPr>
        <w:t xml:space="preserve"> </w:t>
      </w:r>
      <w:r w:rsidR="00C6214E">
        <w:rPr>
          <w:rFonts w:ascii="Times New Roman" w:eastAsia="Aptos" w:hAnsi="Times New Roman"/>
          <w:szCs w:val="24"/>
        </w:rPr>
        <w:t>дјевојчица</w:t>
      </w:r>
      <w:r w:rsidR="00C90CAD" w:rsidRPr="00295637">
        <w:rPr>
          <w:rFonts w:ascii="Times New Roman" w:eastAsia="Aptos" w:hAnsi="Times New Roman"/>
          <w:szCs w:val="24"/>
        </w:rPr>
        <w:t xml:space="preserve"> </w:t>
      </w:r>
      <w:r w:rsidR="00C6214E">
        <w:rPr>
          <w:rFonts w:ascii="Times New Roman" w:eastAsia="Aptos" w:hAnsi="Times New Roman"/>
          <w:szCs w:val="24"/>
        </w:rPr>
        <w:t>окупио</w:t>
      </w:r>
      <w:r w:rsidR="00C90CAD" w:rsidRPr="00295637">
        <w:rPr>
          <w:rFonts w:ascii="Times New Roman" w:eastAsia="Aptos" w:hAnsi="Times New Roman"/>
          <w:szCs w:val="24"/>
        </w:rPr>
        <w:t xml:space="preserve"> </w:t>
      </w:r>
      <w:r w:rsidR="00C6214E">
        <w:rPr>
          <w:rFonts w:ascii="Times New Roman" w:eastAsia="Aptos" w:hAnsi="Times New Roman"/>
          <w:szCs w:val="24"/>
        </w:rPr>
        <w:t>је</w:t>
      </w:r>
      <w:r w:rsidR="00C90CAD" w:rsidRPr="00295637">
        <w:rPr>
          <w:rFonts w:ascii="Times New Roman" w:eastAsia="Aptos" w:hAnsi="Times New Roman"/>
          <w:szCs w:val="24"/>
        </w:rPr>
        <w:t xml:space="preserve"> </w:t>
      </w:r>
      <w:r w:rsidR="00C6214E">
        <w:rPr>
          <w:rFonts w:ascii="Times New Roman" w:eastAsia="Aptos" w:hAnsi="Times New Roman"/>
          <w:szCs w:val="24"/>
        </w:rPr>
        <w:t>представнике</w:t>
      </w:r>
      <w:r w:rsidR="00C90CAD" w:rsidRPr="00295637">
        <w:rPr>
          <w:rFonts w:ascii="Times New Roman" w:eastAsia="Aptos" w:hAnsi="Times New Roman"/>
          <w:szCs w:val="24"/>
        </w:rPr>
        <w:t xml:space="preserve"> </w:t>
      </w:r>
      <w:r w:rsidR="00C6214E">
        <w:rPr>
          <w:rFonts w:ascii="Times New Roman" w:eastAsia="Aptos" w:hAnsi="Times New Roman"/>
          <w:szCs w:val="24"/>
        </w:rPr>
        <w:t>власти</w:t>
      </w:r>
      <w:r w:rsidR="00C90CAD" w:rsidRPr="00295637">
        <w:rPr>
          <w:rFonts w:ascii="Times New Roman" w:eastAsia="Aptos" w:hAnsi="Times New Roman"/>
          <w:szCs w:val="24"/>
        </w:rPr>
        <w:t xml:space="preserve">, </w:t>
      </w:r>
      <w:r w:rsidR="00C6214E">
        <w:rPr>
          <w:rFonts w:ascii="Times New Roman" w:eastAsia="Aptos" w:hAnsi="Times New Roman"/>
          <w:szCs w:val="24"/>
        </w:rPr>
        <w:t>НВО</w:t>
      </w:r>
      <w:r w:rsidR="00C90CAD" w:rsidRPr="00295637">
        <w:rPr>
          <w:rFonts w:ascii="Times New Roman" w:eastAsia="Aptos" w:hAnsi="Times New Roman"/>
          <w:szCs w:val="24"/>
        </w:rPr>
        <w:t>-</w:t>
      </w:r>
      <w:r w:rsidR="00C6214E">
        <w:rPr>
          <w:rFonts w:ascii="Times New Roman" w:eastAsia="Aptos" w:hAnsi="Times New Roman"/>
          <w:szCs w:val="24"/>
        </w:rPr>
        <w:t>а</w:t>
      </w:r>
      <w:r w:rsidR="00C90CAD" w:rsidRPr="00295637">
        <w:rPr>
          <w:rFonts w:ascii="Times New Roman" w:eastAsia="Aptos" w:hAnsi="Times New Roman"/>
          <w:szCs w:val="24"/>
        </w:rPr>
        <w:t xml:space="preserve"> </w:t>
      </w:r>
      <w:r w:rsidR="00C6214E">
        <w:rPr>
          <w:rFonts w:ascii="Times New Roman" w:eastAsia="Aptos" w:hAnsi="Times New Roman"/>
          <w:szCs w:val="24"/>
        </w:rPr>
        <w:t>и</w:t>
      </w:r>
      <w:r w:rsidR="00C90CAD" w:rsidRPr="00295637">
        <w:rPr>
          <w:rFonts w:ascii="Times New Roman" w:eastAsia="Aptos" w:hAnsi="Times New Roman"/>
          <w:szCs w:val="24"/>
        </w:rPr>
        <w:t xml:space="preserve"> </w:t>
      </w:r>
      <w:r w:rsidR="00C6214E">
        <w:rPr>
          <w:rFonts w:ascii="Times New Roman" w:eastAsia="Aptos" w:hAnsi="Times New Roman"/>
          <w:szCs w:val="24"/>
        </w:rPr>
        <w:t>међународних</w:t>
      </w:r>
      <w:r w:rsidR="00C90CAD" w:rsidRPr="00295637">
        <w:rPr>
          <w:rFonts w:ascii="Times New Roman" w:eastAsia="Aptos" w:hAnsi="Times New Roman"/>
          <w:szCs w:val="24"/>
        </w:rPr>
        <w:t xml:space="preserve"> </w:t>
      </w:r>
      <w:r w:rsidR="00C6214E">
        <w:rPr>
          <w:rFonts w:ascii="Times New Roman" w:eastAsia="Aptos" w:hAnsi="Times New Roman"/>
          <w:szCs w:val="24"/>
        </w:rPr>
        <w:t>организација</w:t>
      </w:r>
      <w:r w:rsidR="00C90CAD" w:rsidRPr="00295637">
        <w:rPr>
          <w:rFonts w:ascii="Times New Roman" w:eastAsia="Aptos" w:hAnsi="Times New Roman"/>
          <w:szCs w:val="24"/>
        </w:rPr>
        <w:t>.</w:t>
      </w:r>
    </w:p>
    <w:p w:rsidR="00BB210C" w:rsidRDefault="00BB210C" w:rsidP="00E765E1">
      <w:pPr>
        <w:jc w:val="both"/>
        <w:rPr>
          <w:rFonts w:ascii="Times New Roman" w:eastAsia="Aptos" w:hAnsi="Times New Roman"/>
          <w:szCs w:val="24"/>
        </w:rPr>
      </w:pPr>
    </w:p>
    <w:p w:rsidR="00BB210C" w:rsidRDefault="00BB210C" w:rsidP="00E765E1">
      <w:pPr>
        <w:jc w:val="both"/>
        <w:rPr>
          <w:rFonts w:ascii="Times New Roman" w:eastAsia="Aptos" w:hAnsi="Times New Roman"/>
          <w:szCs w:val="24"/>
        </w:rPr>
      </w:pPr>
    </w:p>
    <w:p w:rsidR="00BB210C" w:rsidRPr="00E765E1" w:rsidRDefault="00BB210C" w:rsidP="00E765E1">
      <w:pPr>
        <w:jc w:val="both"/>
        <w:rPr>
          <w:rFonts w:ascii="Times New Roman" w:hAnsi="Times New Roman"/>
          <w:szCs w:val="24"/>
        </w:rPr>
      </w:pPr>
    </w:p>
    <w:p w:rsidR="00530297" w:rsidRPr="00295637" w:rsidRDefault="00530297" w:rsidP="0086268D">
      <w:pPr>
        <w:tabs>
          <w:tab w:val="left" w:pos="284"/>
          <w:tab w:val="left" w:pos="630"/>
          <w:tab w:val="left" w:pos="1080"/>
        </w:tabs>
        <w:ind w:left="1080"/>
        <w:jc w:val="both"/>
        <w:rPr>
          <w:rFonts w:ascii="Times New Roman" w:hAnsi="Times New Roman"/>
          <w:szCs w:val="24"/>
          <w:lang w:val="bs-Latn-BA"/>
        </w:rPr>
      </w:pPr>
    </w:p>
    <w:p w:rsidR="00C90CAD" w:rsidRPr="00295637" w:rsidRDefault="00CB20DF" w:rsidP="00530297">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530297">
        <w:rPr>
          <w:rFonts w:ascii="Times New Roman" w:hAnsi="Times New Roman"/>
          <w:szCs w:val="24"/>
          <w:lang w:val="bs-Latn-BA"/>
        </w:rPr>
        <w:t xml:space="preserve"> 4.5. </w:t>
      </w:r>
      <w:r w:rsidR="00C6214E">
        <w:rPr>
          <w:rFonts w:ascii="Times New Roman" w:hAnsi="Times New Roman"/>
          <w:szCs w:val="24"/>
          <w:lang w:val="bs-Latn-BA"/>
        </w:rPr>
        <w:t>Израда</w:t>
      </w:r>
      <w:r w:rsidR="00C90CAD" w:rsidRPr="00295637">
        <w:rPr>
          <w:rFonts w:ascii="Times New Roman" w:hAnsi="Times New Roman"/>
          <w:szCs w:val="24"/>
          <w:lang w:val="bs-Latn-BA"/>
        </w:rPr>
        <w:t xml:space="preserve"> </w:t>
      </w:r>
      <w:r w:rsidR="00C6214E">
        <w:rPr>
          <w:rFonts w:ascii="Times New Roman" w:hAnsi="Times New Roman"/>
          <w:szCs w:val="24"/>
          <w:lang w:val="bs-Latn-BA"/>
        </w:rPr>
        <w:t>и</w:t>
      </w:r>
      <w:r w:rsidR="00C90CAD" w:rsidRPr="00295637">
        <w:rPr>
          <w:rFonts w:ascii="Times New Roman" w:hAnsi="Times New Roman"/>
          <w:szCs w:val="24"/>
          <w:lang w:val="bs-Latn-BA"/>
        </w:rPr>
        <w:t xml:space="preserve"> </w:t>
      </w:r>
      <w:r>
        <w:rPr>
          <w:rFonts w:ascii="Times New Roman" w:hAnsi="Times New Roman"/>
          <w:szCs w:val="24"/>
          <w:lang w:val="sr-Cyrl-BA"/>
        </w:rPr>
        <w:t>спровођење</w:t>
      </w:r>
      <w:r w:rsidR="00C90CAD"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C90CAD" w:rsidRPr="00295637">
        <w:rPr>
          <w:rFonts w:ascii="Times New Roman" w:hAnsi="Times New Roman"/>
          <w:szCs w:val="24"/>
          <w:lang w:val="bs-Latn-BA"/>
        </w:rPr>
        <w:t xml:space="preserve"> </w:t>
      </w:r>
      <w:r w:rsidR="00C6214E">
        <w:rPr>
          <w:rFonts w:ascii="Times New Roman" w:hAnsi="Times New Roman"/>
          <w:szCs w:val="24"/>
          <w:lang w:val="bs-Latn-BA"/>
        </w:rPr>
        <w:t>мјера</w:t>
      </w:r>
      <w:r w:rsidR="00C90CAD" w:rsidRPr="00295637">
        <w:rPr>
          <w:rFonts w:ascii="Times New Roman" w:hAnsi="Times New Roman"/>
          <w:szCs w:val="24"/>
          <w:lang w:val="bs-Latn-BA"/>
        </w:rPr>
        <w:t xml:space="preserve"> </w:t>
      </w:r>
      <w:r w:rsidR="00C6214E">
        <w:rPr>
          <w:rFonts w:ascii="Times New Roman" w:hAnsi="Times New Roman"/>
          <w:szCs w:val="24"/>
          <w:lang w:val="bs-Latn-BA"/>
        </w:rPr>
        <w:t>и</w:t>
      </w:r>
      <w:r w:rsidR="00C90CAD"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C90CAD" w:rsidRPr="00295637">
        <w:rPr>
          <w:rFonts w:ascii="Times New Roman" w:hAnsi="Times New Roman"/>
          <w:szCs w:val="24"/>
          <w:lang w:val="bs-Latn-BA"/>
        </w:rPr>
        <w:t xml:space="preserve"> </w:t>
      </w:r>
      <w:r w:rsidR="00C6214E">
        <w:rPr>
          <w:rFonts w:ascii="Times New Roman" w:hAnsi="Times New Roman"/>
          <w:szCs w:val="24"/>
          <w:lang w:val="bs-Latn-BA"/>
        </w:rPr>
        <w:t>за</w:t>
      </w:r>
      <w:r w:rsidR="00C90CAD" w:rsidRPr="00295637">
        <w:rPr>
          <w:rFonts w:ascii="Times New Roman" w:hAnsi="Times New Roman"/>
          <w:szCs w:val="24"/>
          <w:lang w:val="bs-Latn-BA"/>
        </w:rPr>
        <w:t xml:space="preserve"> </w:t>
      </w:r>
      <w:r w:rsidR="00C6214E">
        <w:rPr>
          <w:rFonts w:ascii="Times New Roman" w:hAnsi="Times New Roman"/>
          <w:szCs w:val="24"/>
          <w:lang w:val="bs-Latn-BA"/>
        </w:rPr>
        <w:t>остваривање</w:t>
      </w:r>
      <w:r w:rsidR="00C90CAD" w:rsidRPr="00295637">
        <w:rPr>
          <w:rFonts w:ascii="Times New Roman" w:hAnsi="Times New Roman"/>
          <w:szCs w:val="24"/>
          <w:lang w:val="bs-Latn-BA"/>
        </w:rPr>
        <w:t xml:space="preserve"> </w:t>
      </w:r>
      <w:r w:rsidR="00C6214E">
        <w:rPr>
          <w:rFonts w:ascii="Times New Roman" w:hAnsi="Times New Roman"/>
          <w:szCs w:val="24"/>
          <w:lang w:val="bs-Latn-BA"/>
        </w:rPr>
        <w:t>једнаких</w:t>
      </w:r>
      <w:r w:rsidR="00C90CAD" w:rsidRPr="00295637">
        <w:rPr>
          <w:rFonts w:ascii="Times New Roman" w:hAnsi="Times New Roman"/>
          <w:szCs w:val="24"/>
          <w:lang w:val="bs-Latn-BA"/>
        </w:rPr>
        <w:t xml:space="preserve"> </w:t>
      </w:r>
      <w:r w:rsidR="00C6214E">
        <w:rPr>
          <w:rFonts w:ascii="Times New Roman" w:hAnsi="Times New Roman"/>
          <w:szCs w:val="24"/>
          <w:lang w:val="bs-Latn-BA"/>
        </w:rPr>
        <w:t>права</w:t>
      </w:r>
      <w:r w:rsidR="00C90CAD" w:rsidRPr="00295637">
        <w:rPr>
          <w:rFonts w:ascii="Times New Roman" w:hAnsi="Times New Roman"/>
          <w:szCs w:val="24"/>
          <w:lang w:val="bs-Latn-BA"/>
        </w:rPr>
        <w:t xml:space="preserve"> </w:t>
      </w:r>
      <w:r w:rsidR="00C6214E">
        <w:rPr>
          <w:rFonts w:ascii="Times New Roman" w:hAnsi="Times New Roman"/>
          <w:szCs w:val="24"/>
          <w:lang w:val="bs-Latn-BA"/>
        </w:rPr>
        <w:t>и</w:t>
      </w:r>
      <w:r w:rsidR="00C90CAD" w:rsidRPr="00295637">
        <w:rPr>
          <w:rFonts w:ascii="Times New Roman" w:hAnsi="Times New Roman"/>
          <w:szCs w:val="24"/>
          <w:lang w:val="bs-Latn-BA"/>
        </w:rPr>
        <w:t xml:space="preserve"> </w:t>
      </w:r>
      <w:r w:rsidR="00C6214E">
        <w:rPr>
          <w:rFonts w:ascii="Times New Roman" w:hAnsi="Times New Roman"/>
          <w:szCs w:val="24"/>
          <w:lang w:val="bs-Latn-BA"/>
        </w:rPr>
        <w:t>једнаког</w:t>
      </w:r>
      <w:r w:rsidR="00C90CAD" w:rsidRPr="00295637">
        <w:rPr>
          <w:rFonts w:ascii="Times New Roman" w:hAnsi="Times New Roman"/>
          <w:szCs w:val="24"/>
          <w:lang w:val="bs-Latn-BA"/>
        </w:rPr>
        <w:t xml:space="preserve"> </w:t>
      </w:r>
      <w:r w:rsidR="00C6214E">
        <w:rPr>
          <w:rFonts w:ascii="Times New Roman" w:hAnsi="Times New Roman"/>
          <w:szCs w:val="24"/>
          <w:lang w:val="bs-Latn-BA"/>
        </w:rPr>
        <w:t>приступа</w:t>
      </w:r>
      <w:r w:rsidR="00C90CAD" w:rsidRPr="00295637">
        <w:rPr>
          <w:rFonts w:ascii="Times New Roman" w:hAnsi="Times New Roman"/>
          <w:szCs w:val="24"/>
          <w:lang w:val="bs-Latn-BA"/>
        </w:rPr>
        <w:t xml:space="preserve"> </w:t>
      </w:r>
      <w:r w:rsidR="00C6214E">
        <w:rPr>
          <w:rFonts w:ascii="Times New Roman" w:hAnsi="Times New Roman"/>
          <w:szCs w:val="24"/>
          <w:lang w:val="bs-Latn-BA"/>
        </w:rPr>
        <w:t>образовању</w:t>
      </w:r>
      <w:r w:rsidR="00C90CAD" w:rsidRPr="00295637">
        <w:rPr>
          <w:rFonts w:ascii="Times New Roman" w:hAnsi="Times New Roman"/>
          <w:szCs w:val="24"/>
          <w:lang w:val="bs-Latn-BA"/>
        </w:rPr>
        <w:t xml:space="preserve">, </w:t>
      </w:r>
      <w:r w:rsidR="00C6214E">
        <w:rPr>
          <w:rFonts w:ascii="Times New Roman" w:hAnsi="Times New Roman"/>
          <w:szCs w:val="24"/>
          <w:lang w:val="bs-Latn-BA"/>
        </w:rPr>
        <w:t>науци</w:t>
      </w:r>
      <w:r w:rsidR="00C90CAD" w:rsidRPr="00295637">
        <w:rPr>
          <w:rFonts w:ascii="Times New Roman" w:hAnsi="Times New Roman"/>
          <w:szCs w:val="24"/>
          <w:lang w:val="bs-Latn-BA"/>
        </w:rPr>
        <w:t xml:space="preserve">, </w:t>
      </w:r>
      <w:r w:rsidR="00C6214E">
        <w:rPr>
          <w:rFonts w:ascii="Times New Roman" w:hAnsi="Times New Roman"/>
          <w:szCs w:val="24"/>
          <w:lang w:val="bs-Latn-BA"/>
        </w:rPr>
        <w:t>култури</w:t>
      </w:r>
      <w:r w:rsidR="00C90CAD" w:rsidRPr="00295637">
        <w:rPr>
          <w:rFonts w:ascii="Times New Roman" w:hAnsi="Times New Roman"/>
          <w:szCs w:val="24"/>
          <w:lang w:val="bs-Latn-BA"/>
        </w:rPr>
        <w:t xml:space="preserve"> </w:t>
      </w:r>
      <w:r w:rsidR="00C6214E">
        <w:rPr>
          <w:rFonts w:ascii="Times New Roman" w:hAnsi="Times New Roman"/>
          <w:szCs w:val="24"/>
          <w:lang w:val="bs-Latn-BA"/>
        </w:rPr>
        <w:t>и</w:t>
      </w:r>
      <w:r w:rsidR="00C90CAD" w:rsidRPr="00295637">
        <w:rPr>
          <w:rFonts w:ascii="Times New Roman" w:hAnsi="Times New Roman"/>
          <w:szCs w:val="24"/>
          <w:lang w:val="bs-Latn-BA"/>
        </w:rPr>
        <w:t xml:space="preserve"> </w:t>
      </w:r>
      <w:r w:rsidR="00C6214E">
        <w:rPr>
          <w:rFonts w:ascii="Times New Roman" w:hAnsi="Times New Roman"/>
          <w:szCs w:val="24"/>
          <w:lang w:val="bs-Latn-BA"/>
        </w:rPr>
        <w:t>спорту</w:t>
      </w:r>
      <w:r w:rsidR="00C90CAD" w:rsidRPr="00295637">
        <w:rPr>
          <w:rFonts w:ascii="Times New Roman" w:hAnsi="Times New Roman"/>
          <w:szCs w:val="24"/>
          <w:lang w:val="bs-Latn-BA"/>
        </w:rPr>
        <w:t xml:space="preserve"> </w:t>
      </w:r>
      <w:r w:rsidR="00C6214E">
        <w:rPr>
          <w:rFonts w:ascii="Times New Roman" w:hAnsi="Times New Roman"/>
          <w:szCs w:val="24"/>
          <w:lang w:val="bs-Latn-BA"/>
        </w:rPr>
        <w:t>узимајући</w:t>
      </w:r>
      <w:r w:rsidR="00C90CAD" w:rsidRPr="00295637">
        <w:rPr>
          <w:rFonts w:ascii="Times New Roman" w:hAnsi="Times New Roman"/>
          <w:szCs w:val="24"/>
          <w:lang w:val="bs-Latn-BA"/>
        </w:rPr>
        <w:t xml:space="preserve"> </w:t>
      </w:r>
      <w:r w:rsidR="00C6214E">
        <w:rPr>
          <w:rFonts w:ascii="Times New Roman" w:hAnsi="Times New Roman"/>
          <w:szCs w:val="24"/>
          <w:lang w:val="bs-Latn-BA"/>
        </w:rPr>
        <w:t>у</w:t>
      </w:r>
      <w:r w:rsidR="00C90CAD" w:rsidRPr="00295637">
        <w:rPr>
          <w:rFonts w:ascii="Times New Roman" w:hAnsi="Times New Roman"/>
          <w:szCs w:val="24"/>
          <w:lang w:val="bs-Latn-BA"/>
        </w:rPr>
        <w:t xml:space="preserve"> </w:t>
      </w:r>
      <w:r w:rsidR="00C6214E">
        <w:rPr>
          <w:rFonts w:ascii="Times New Roman" w:hAnsi="Times New Roman"/>
          <w:szCs w:val="24"/>
          <w:lang w:val="bs-Latn-BA"/>
        </w:rPr>
        <w:t>обзир</w:t>
      </w:r>
      <w:r w:rsidR="00C90CAD" w:rsidRPr="00295637">
        <w:rPr>
          <w:rFonts w:ascii="Times New Roman" w:hAnsi="Times New Roman"/>
          <w:szCs w:val="24"/>
          <w:lang w:val="bs-Latn-BA"/>
        </w:rPr>
        <w:t xml:space="preserve"> </w:t>
      </w:r>
      <w:r w:rsidR="00C6214E">
        <w:rPr>
          <w:rFonts w:ascii="Times New Roman" w:hAnsi="Times New Roman"/>
          <w:szCs w:val="24"/>
          <w:lang w:val="bs-Latn-BA"/>
        </w:rPr>
        <w:t>потребе</w:t>
      </w:r>
      <w:r w:rsidR="00C90CAD" w:rsidRPr="00295637">
        <w:rPr>
          <w:rFonts w:ascii="Times New Roman" w:hAnsi="Times New Roman"/>
          <w:szCs w:val="24"/>
          <w:lang w:val="bs-Latn-BA"/>
        </w:rPr>
        <w:t xml:space="preserve"> </w:t>
      </w:r>
      <w:r w:rsidR="00C6214E">
        <w:rPr>
          <w:rFonts w:ascii="Times New Roman" w:hAnsi="Times New Roman"/>
          <w:szCs w:val="24"/>
          <w:lang w:val="bs-Latn-BA"/>
        </w:rPr>
        <w:t>вишеструко</w:t>
      </w:r>
      <w:r w:rsidR="00C90CAD" w:rsidRPr="00295637">
        <w:rPr>
          <w:rFonts w:ascii="Times New Roman" w:hAnsi="Times New Roman"/>
          <w:szCs w:val="24"/>
          <w:lang w:val="bs-Latn-BA"/>
        </w:rPr>
        <w:t xml:space="preserve"> </w:t>
      </w:r>
      <w:r w:rsidR="00C6214E">
        <w:rPr>
          <w:rFonts w:ascii="Times New Roman" w:hAnsi="Times New Roman"/>
          <w:szCs w:val="24"/>
          <w:lang w:val="bs-Latn-BA"/>
        </w:rPr>
        <w:t>маргинализ</w:t>
      </w:r>
      <w:r>
        <w:rPr>
          <w:rFonts w:ascii="Times New Roman" w:hAnsi="Times New Roman"/>
          <w:szCs w:val="24"/>
          <w:lang w:val="sr-Cyrl-BA"/>
        </w:rPr>
        <w:t>ованих</w:t>
      </w:r>
      <w:r w:rsidR="00C90CAD" w:rsidRPr="00295637">
        <w:rPr>
          <w:rFonts w:ascii="Times New Roman" w:hAnsi="Times New Roman"/>
          <w:szCs w:val="24"/>
          <w:lang w:val="bs-Latn-BA"/>
        </w:rPr>
        <w:t xml:space="preserve"> </w:t>
      </w:r>
      <w:r w:rsidR="00C6214E">
        <w:rPr>
          <w:rFonts w:ascii="Times New Roman" w:hAnsi="Times New Roman"/>
          <w:szCs w:val="24"/>
          <w:lang w:val="bs-Latn-BA"/>
        </w:rPr>
        <w:t>група</w:t>
      </w:r>
      <w:r w:rsidR="00C90CAD"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C90CAD" w:rsidRPr="00295637">
        <w:rPr>
          <w:rFonts w:ascii="Times New Roman" w:hAnsi="Times New Roman"/>
          <w:szCs w:val="24"/>
          <w:lang w:val="bs-Latn-BA"/>
        </w:rPr>
        <w:t xml:space="preserve"> </w:t>
      </w:r>
      <w:r w:rsidR="00C6214E">
        <w:rPr>
          <w:rFonts w:ascii="Times New Roman" w:hAnsi="Times New Roman"/>
          <w:szCs w:val="24"/>
          <w:lang w:val="bs-Latn-BA"/>
        </w:rPr>
        <w:t>укључују</w:t>
      </w:r>
      <w:r w:rsidR="00C90CAD" w:rsidRPr="00295637">
        <w:rPr>
          <w:rFonts w:ascii="Times New Roman" w:hAnsi="Times New Roman"/>
          <w:szCs w:val="24"/>
          <w:lang w:val="bs-Latn-BA"/>
        </w:rPr>
        <w:t xml:space="preserve"> </w:t>
      </w:r>
      <w:r w:rsidR="00C6214E">
        <w:rPr>
          <w:rFonts w:ascii="Times New Roman" w:hAnsi="Times New Roman"/>
          <w:szCs w:val="24"/>
          <w:lang w:val="bs-Latn-BA"/>
        </w:rPr>
        <w:t>јачање</w:t>
      </w:r>
      <w:r w:rsidR="00C90CAD" w:rsidRPr="00295637">
        <w:rPr>
          <w:rFonts w:ascii="Times New Roman" w:hAnsi="Times New Roman"/>
          <w:szCs w:val="24"/>
          <w:lang w:val="bs-Latn-BA"/>
        </w:rPr>
        <w:t xml:space="preserve"> </w:t>
      </w:r>
      <w:r w:rsidR="00C6214E">
        <w:rPr>
          <w:rFonts w:ascii="Times New Roman" w:hAnsi="Times New Roman"/>
          <w:szCs w:val="24"/>
          <w:lang w:val="bs-Latn-BA"/>
        </w:rPr>
        <w:t>професионалних</w:t>
      </w:r>
      <w:r w:rsidR="00C90CAD" w:rsidRPr="00295637">
        <w:rPr>
          <w:rFonts w:ascii="Times New Roman" w:hAnsi="Times New Roman"/>
          <w:szCs w:val="24"/>
          <w:lang w:val="bs-Latn-BA"/>
        </w:rPr>
        <w:t xml:space="preserve"> </w:t>
      </w:r>
      <w:r w:rsidR="00C6214E">
        <w:rPr>
          <w:rFonts w:ascii="Times New Roman" w:hAnsi="Times New Roman"/>
          <w:szCs w:val="24"/>
          <w:lang w:val="bs-Latn-BA"/>
        </w:rPr>
        <w:t>капацитета</w:t>
      </w:r>
      <w:r w:rsidR="00C90CAD" w:rsidRPr="00295637">
        <w:rPr>
          <w:rFonts w:ascii="Times New Roman" w:hAnsi="Times New Roman"/>
          <w:szCs w:val="24"/>
          <w:lang w:val="bs-Latn-BA"/>
        </w:rPr>
        <w:t xml:space="preserve"> </w:t>
      </w:r>
      <w:r w:rsidR="00C6214E">
        <w:rPr>
          <w:rFonts w:ascii="Times New Roman" w:hAnsi="Times New Roman"/>
          <w:szCs w:val="24"/>
          <w:lang w:val="bs-Latn-BA"/>
        </w:rPr>
        <w:t>за</w:t>
      </w:r>
      <w:r w:rsidR="00C90CAD" w:rsidRPr="00295637">
        <w:rPr>
          <w:rFonts w:ascii="Times New Roman" w:hAnsi="Times New Roman"/>
          <w:szCs w:val="24"/>
          <w:lang w:val="bs-Latn-BA"/>
        </w:rPr>
        <w:t xml:space="preserve"> </w:t>
      </w:r>
      <w:r w:rsidR="00C6214E">
        <w:rPr>
          <w:rFonts w:ascii="Times New Roman" w:hAnsi="Times New Roman"/>
          <w:szCs w:val="24"/>
          <w:lang w:val="bs-Latn-BA"/>
        </w:rPr>
        <w:t>примјену</w:t>
      </w:r>
      <w:r w:rsidR="00C90CAD" w:rsidRPr="00295637">
        <w:rPr>
          <w:rFonts w:ascii="Times New Roman" w:hAnsi="Times New Roman"/>
          <w:szCs w:val="24"/>
          <w:lang w:val="bs-Latn-BA"/>
        </w:rPr>
        <w:t xml:space="preserve"> </w:t>
      </w:r>
      <w:r w:rsidR="00C6214E">
        <w:rPr>
          <w:rFonts w:ascii="Times New Roman" w:hAnsi="Times New Roman"/>
          <w:szCs w:val="24"/>
          <w:lang w:val="bs-Latn-BA"/>
        </w:rPr>
        <w:t>домаћих</w:t>
      </w:r>
      <w:r w:rsidR="00C90CAD" w:rsidRPr="00295637">
        <w:rPr>
          <w:rFonts w:ascii="Times New Roman" w:hAnsi="Times New Roman"/>
          <w:szCs w:val="24"/>
          <w:lang w:val="bs-Latn-BA"/>
        </w:rPr>
        <w:t xml:space="preserve"> </w:t>
      </w:r>
      <w:r w:rsidR="00C6214E">
        <w:rPr>
          <w:rFonts w:ascii="Times New Roman" w:hAnsi="Times New Roman"/>
          <w:szCs w:val="24"/>
          <w:lang w:val="bs-Latn-BA"/>
        </w:rPr>
        <w:t>и</w:t>
      </w:r>
      <w:r w:rsidR="00C90CAD"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C90CAD"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C90CAD" w:rsidRPr="00295637">
        <w:rPr>
          <w:rFonts w:ascii="Times New Roman" w:hAnsi="Times New Roman"/>
          <w:szCs w:val="24"/>
          <w:lang w:val="bs-Latn-BA"/>
        </w:rPr>
        <w:t xml:space="preserve"> </w:t>
      </w:r>
      <w:r w:rsidR="00C6214E">
        <w:rPr>
          <w:rFonts w:ascii="Times New Roman" w:hAnsi="Times New Roman"/>
          <w:szCs w:val="24"/>
          <w:lang w:val="bs-Latn-BA"/>
        </w:rPr>
        <w:t>у</w:t>
      </w:r>
      <w:r w:rsidR="00C90CAD" w:rsidRPr="00295637">
        <w:rPr>
          <w:rFonts w:ascii="Times New Roman" w:hAnsi="Times New Roman"/>
          <w:szCs w:val="24"/>
          <w:lang w:val="bs-Latn-BA"/>
        </w:rPr>
        <w:t xml:space="preserve"> </w:t>
      </w:r>
      <w:r w:rsidR="00C6214E">
        <w:rPr>
          <w:rFonts w:ascii="Times New Roman" w:hAnsi="Times New Roman"/>
          <w:szCs w:val="24"/>
          <w:lang w:val="bs-Latn-BA"/>
        </w:rPr>
        <w:t>наведеним</w:t>
      </w:r>
      <w:r w:rsidR="00C90CAD" w:rsidRPr="00295637">
        <w:rPr>
          <w:rFonts w:ascii="Times New Roman" w:hAnsi="Times New Roman"/>
          <w:szCs w:val="24"/>
          <w:lang w:val="bs-Latn-BA"/>
        </w:rPr>
        <w:t xml:space="preserve"> </w:t>
      </w:r>
      <w:r w:rsidR="00C6214E">
        <w:rPr>
          <w:rFonts w:ascii="Times New Roman" w:hAnsi="Times New Roman"/>
          <w:szCs w:val="24"/>
          <w:lang w:val="bs-Latn-BA"/>
        </w:rPr>
        <w:t>областима</w:t>
      </w:r>
      <w:r w:rsidR="00C90CAD" w:rsidRPr="00295637">
        <w:rPr>
          <w:rFonts w:ascii="Times New Roman" w:hAnsi="Times New Roman"/>
          <w:szCs w:val="24"/>
          <w:lang w:val="bs-Latn-BA"/>
        </w:rPr>
        <w:t xml:space="preserve">, </w:t>
      </w:r>
      <w:r w:rsidR="00C6214E">
        <w:rPr>
          <w:rFonts w:ascii="Times New Roman" w:hAnsi="Times New Roman"/>
          <w:szCs w:val="24"/>
          <w:lang w:val="bs-Latn-BA"/>
        </w:rPr>
        <w:t>увођење</w:t>
      </w:r>
      <w:r w:rsidR="00C90CAD" w:rsidRPr="00295637">
        <w:rPr>
          <w:rFonts w:ascii="Times New Roman" w:hAnsi="Times New Roman"/>
          <w:szCs w:val="24"/>
          <w:lang w:val="bs-Latn-BA"/>
        </w:rPr>
        <w:t xml:space="preserve"> </w:t>
      </w:r>
      <w:r w:rsidR="00C6214E">
        <w:rPr>
          <w:rFonts w:ascii="Times New Roman" w:hAnsi="Times New Roman"/>
          <w:szCs w:val="24"/>
          <w:lang w:val="bs-Latn-BA"/>
        </w:rPr>
        <w:t>родно</w:t>
      </w:r>
      <w:r w:rsidR="00C90CAD" w:rsidRPr="00295637">
        <w:rPr>
          <w:rFonts w:ascii="Times New Roman" w:hAnsi="Times New Roman"/>
          <w:szCs w:val="24"/>
          <w:lang w:val="bs-Latn-BA"/>
        </w:rPr>
        <w:t xml:space="preserve"> </w:t>
      </w:r>
      <w:r w:rsidR="00C6214E">
        <w:rPr>
          <w:rFonts w:ascii="Times New Roman" w:hAnsi="Times New Roman"/>
          <w:szCs w:val="24"/>
          <w:lang w:val="bs-Latn-BA"/>
        </w:rPr>
        <w:t>одговорних</w:t>
      </w:r>
      <w:r w:rsidR="00C90CAD" w:rsidRPr="00295637">
        <w:rPr>
          <w:rFonts w:ascii="Times New Roman" w:hAnsi="Times New Roman"/>
          <w:szCs w:val="24"/>
          <w:lang w:val="bs-Latn-BA"/>
        </w:rPr>
        <w:t xml:space="preserve"> </w:t>
      </w:r>
      <w:r w:rsidR="00C6214E">
        <w:rPr>
          <w:rFonts w:ascii="Times New Roman" w:hAnsi="Times New Roman"/>
          <w:szCs w:val="24"/>
          <w:lang w:val="bs-Latn-BA"/>
        </w:rPr>
        <w:t>буџета</w:t>
      </w:r>
      <w:r w:rsidR="00530297">
        <w:rPr>
          <w:rFonts w:ascii="Times New Roman" w:hAnsi="Times New Roman"/>
          <w:szCs w:val="24"/>
          <w:lang w:val="bs-Latn-BA"/>
        </w:rPr>
        <w:t xml:space="preserve">, </w:t>
      </w:r>
      <w:r w:rsidR="00C6214E">
        <w:rPr>
          <w:rFonts w:ascii="Times New Roman" w:hAnsi="Times New Roman"/>
          <w:szCs w:val="24"/>
          <w:lang w:val="bs-Latn-BA"/>
        </w:rPr>
        <w:t>спречавање</w:t>
      </w:r>
      <w:r w:rsidR="00C90CAD" w:rsidRPr="00295637">
        <w:rPr>
          <w:rFonts w:ascii="Times New Roman" w:hAnsi="Times New Roman"/>
          <w:szCs w:val="24"/>
          <w:lang w:val="bs-Latn-BA"/>
        </w:rPr>
        <w:t xml:space="preserve"> </w:t>
      </w:r>
      <w:r w:rsidR="00C6214E">
        <w:rPr>
          <w:rFonts w:ascii="Times New Roman" w:hAnsi="Times New Roman"/>
          <w:szCs w:val="24"/>
          <w:lang w:val="bs-Latn-BA"/>
        </w:rPr>
        <w:t>сексуалног</w:t>
      </w:r>
      <w:r w:rsidR="00C90CAD" w:rsidRPr="00295637">
        <w:rPr>
          <w:rFonts w:ascii="Times New Roman" w:hAnsi="Times New Roman"/>
          <w:szCs w:val="24"/>
          <w:lang w:val="bs-Latn-BA"/>
        </w:rPr>
        <w:t xml:space="preserve"> </w:t>
      </w:r>
      <w:r w:rsidR="00C6214E">
        <w:rPr>
          <w:rFonts w:ascii="Times New Roman" w:hAnsi="Times New Roman"/>
          <w:szCs w:val="24"/>
          <w:lang w:val="bs-Latn-BA"/>
        </w:rPr>
        <w:t>узнемиравања</w:t>
      </w:r>
      <w:r w:rsidR="00C90CAD" w:rsidRPr="00295637">
        <w:rPr>
          <w:rFonts w:ascii="Times New Roman" w:hAnsi="Times New Roman"/>
          <w:szCs w:val="24"/>
          <w:lang w:val="bs-Latn-BA"/>
        </w:rPr>
        <w:t xml:space="preserve"> </w:t>
      </w:r>
      <w:r w:rsidR="00C6214E">
        <w:rPr>
          <w:rFonts w:ascii="Times New Roman" w:hAnsi="Times New Roman"/>
          <w:szCs w:val="24"/>
          <w:lang w:val="bs-Latn-BA"/>
        </w:rPr>
        <w:t>те</w:t>
      </w:r>
      <w:r w:rsidR="00C90CAD" w:rsidRPr="00295637">
        <w:rPr>
          <w:rFonts w:ascii="Times New Roman" w:hAnsi="Times New Roman"/>
          <w:szCs w:val="24"/>
          <w:lang w:val="bs-Latn-BA"/>
        </w:rPr>
        <w:t xml:space="preserve"> </w:t>
      </w:r>
      <w:r w:rsidR="00C6214E">
        <w:rPr>
          <w:rFonts w:ascii="Times New Roman" w:hAnsi="Times New Roman"/>
          <w:szCs w:val="24"/>
          <w:lang w:val="bs-Latn-BA"/>
        </w:rPr>
        <w:t>успостављање</w:t>
      </w:r>
      <w:r w:rsidR="00C90CAD" w:rsidRPr="00295637">
        <w:rPr>
          <w:rFonts w:ascii="Times New Roman" w:hAnsi="Times New Roman"/>
          <w:szCs w:val="24"/>
          <w:lang w:val="bs-Latn-BA"/>
        </w:rPr>
        <w:t xml:space="preserve"> </w:t>
      </w:r>
      <w:r w:rsidR="00C6214E">
        <w:rPr>
          <w:rFonts w:ascii="Times New Roman" w:hAnsi="Times New Roman"/>
          <w:szCs w:val="24"/>
          <w:lang w:val="bs-Latn-BA"/>
        </w:rPr>
        <w:t>одговарајућих</w:t>
      </w:r>
      <w:r w:rsidR="00A45B8A">
        <w:rPr>
          <w:rFonts w:ascii="Times New Roman" w:hAnsi="Times New Roman"/>
          <w:szCs w:val="24"/>
          <w:lang w:val="bs-Latn-BA"/>
        </w:rPr>
        <w:t xml:space="preserve"> </w:t>
      </w:r>
      <w:r w:rsidR="00C6214E">
        <w:rPr>
          <w:rFonts w:ascii="Times New Roman" w:hAnsi="Times New Roman"/>
          <w:szCs w:val="24"/>
          <w:lang w:val="bs-Latn-BA"/>
        </w:rPr>
        <w:t>институционалних</w:t>
      </w:r>
      <w:r w:rsidR="00A45B8A">
        <w:rPr>
          <w:rFonts w:ascii="Times New Roman" w:hAnsi="Times New Roman"/>
          <w:szCs w:val="24"/>
          <w:lang w:val="bs-Latn-BA"/>
        </w:rPr>
        <w:t xml:space="preserve"> </w:t>
      </w:r>
      <w:r w:rsidR="00C6214E">
        <w:rPr>
          <w:rFonts w:ascii="Times New Roman" w:hAnsi="Times New Roman"/>
          <w:szCs w:val="24"/>
          <w:lang w:val="bs-Latn-BA"/>
        </w:rPr>
        <w:t>механизама</w:t>
      </w:r>
      <w:r w:rsidR="00A45B8A">
        <w:rPr>
          <w:rFonts w:ascii="Times New Roman" w:hAnsi="Times New Roman"/>
          <w:szCs w:val="24"/>
          <w:lang w:val="bs-Latn-BA"/>
        </w:rPr>
        <w:t xml:space="preserve"> </w:t>
      </w:r>
      <w:r w:rsidR="00C6214E">
        <w:rPr>
          <w:rFonts w:ascii="Times New Roman" w:hAnsi="Times New Roman"/>
          <w:szCs w:val="24"/>
          <w:lang w:val="bs-Latn-BA"/>
        </w:rPr>
        <w:t>за</w:t>
      </w:r>
      <w:r w:rsidR="00C90CAD" w:rsidRPr="00295637">
        <w:rPr>
          <w:rFonts w:ascii="Times New Roman" w:hAnsi="Times New Roman"/>
          <w:szCs w:val="24"/>
          <w:lang w:val="bs-Latn-BA"/>
        </w:rPr>
        <w:t xml:space="preserve"> </w:t>
      </w:r>
      <w:r w:rsidR="00C6214E">
        <w:rPr>
          <w:rFonts w:ascii="Times New Roman" w:hAnsi="Times New Roman"/>
          <w:szCs w:val="24"/>
          <w:lang w:val="bs-Latn-BA"/>
        </w:rPr>
        <w:t>координацију</w:t>
      </w:r>
      <w:r w:rsidR="00C90CAD" w:rsidRPr="00295637">
        <w:rPr>
          <w:rFonts w:ascii="Times New Roman" w:hAnsi="Times New Roman"/>
          <w:szCs w:val="24"/>
          <w:lang w:val="bs-Latn-BA"/>
        </w:rPr>
        <w:t xml:space="preserve"> </w:t>
      </w:r>
      <w:r w:rsidR="00F76E81">
        <w:rPr>
          <w:rFonts w:ascii="Times New Roman" w:hAnsi="Times New Roman"/>
          <w:szCs w:val="24"/>
          <w:lang w:val="sr-Cyrl-BA"/>
        </w:rPr>
        <w:t>спровођења</w:t>
      </w:r>
      <w:r w:rsidR="00C90CAD" w:rsidRPr="00295637">
        <w:rPr>
          <w:rFonts w:ascii="Times New Roman" w:hAnsi="Times New Roman"/>
          <w:szCs w:val="24"/>
          <w:lang w:val="bs-Latn-BA"/>
        </w:rPr>
        <w:t xml:space="preserve"> </w:t>
      </w:r>
      <w:r w:rsidR="00C6214E">
        <w:rPr>
          <w:rFonts w:ascii="Times New Roman" w:hAnsi="Times New Roman"/>
          <w:szCs w:val="24"/>
          <w:lang w:val="bs-Latn-BA"/>
        </w:rPr>
        <w:t>ових</w:t>
      </w:r>
      <w:r w:rsidR="00C90CAD" w:rsidRPr="00295637">
        <w:rPr>
          <w:rFonts w:ascii="Times New Roman" w:hAnsi="Times New Roman"/>
          <w:szCs w:val="24"/>
          <w:lang w:val="bs-Latn-BA"/>
        </w:rPr>
        <w:t xml:space="preserve"> </w:t>
      </w:r>
      <w:r w:rsidR="00C6214E">
        <w:rPr>
          <w:rFonts w:ascii="Times New Roman" w:hAnsi="Times New Roman"/>
          <w:szCs w:val="24"/>
          <w:lang w:val="bs-Latn-BA"/>
        </w:rPr>
        <w:t>мјера</w:t>
      </w:r>
      <w:r w:rsidR="00C90CAD" w:rsidRPr="00295637">
        <w:rPr>
          <w:rFonts w:ascii="Times New Roman" w:hAnsi="Times New Roman"/>
          <w:szCs w:val="24"/>
          <w:lang w:val="bs-Latn-BA"/>
        </w:rPr>
        <w:t>.</w:t>
      </w:r>
    </w:p>
    <w:p w:rsidR="00EB6E0A" w:rsidRPr="00295637" w:rsidRDefault="00EB6E0A" w:rsidP="0086268D">
      <w:pPr>
        <w:tabs>
          <w:tab w:val="left" w:pos="284"/>
          <w:tab w:val="left" w:pos="630"/>
          <w:tab w:val="left" w:pos="1080"/>
        </w:tabs>
        <w:ind w:left="1080"/>
        <w:jc w:val="both"/>
        <w:rPr>
          <w:rFonts w:ascii="Times New Roman" w:hAnsi="Times New Roman"/>
          <w:szCs w:val="24"/>
          <w:lang w:val="bs-Latn-BA"/>
        </w:rPr>
      </w:pPr>
    </w:p>
    <w:p w:rsidR="00EB6E0A" w:rsidRPr="00A45B8A" w:rsidRDefault="00C6214E" w:rsidP="0086268D">
      <w:pPr>
        <w:pStyle w:val="HTMLPreformatted"/>
        <w:jc w:val="both"/>
        <w:rPr>
          <w:rStyle w:val="y2iqfc"/>
          <w:rFonts w:ascii="inherit" w:hAnsi="inherit"/>
          <w:sz w:val="24"/>
          <w:szCs w:val="24"/>
        </w:rPr>
      </w:pPr>
      <w:r>
        <w:rPr>
          <w:rStyle w:val="y2iqfc"/>
          <w:rFonts w:ascii="inherit" w:hAnsi="inherit"/>
          <w:sz w:val="24"/>
          <w:szCs w:val="24"/>
        </w:rPr>
        <w:t>Како</w:t>
      </w:r>
      <w:r w:rsidR="00EB6E0A" w:rsidRPr="00A45B8A">
        <w:rPr>
          <w:rStyle w:val="y2iqfc"/>
          <w:rFonts w:ascii="inherit" w:hAnsi="inherit"/>
          <w:sz w:val="24"/>
          <w:szCs w:val="24"/>
        </w:rPr>
        <w:t xml:space="preserve"> </w:t>
      </w:r>
      <w:r>
        <w:rPr>
          <w:rStyle w:val="y2iqfc"/>
          <w:rFonts w:ascii="inherit" w:hAnsi="inherit"/>
          <w:sz w:val="24"/>
          <w:szCs w:val="24"/>
        </w:rPr>
        <w:t>би</w:t>
      </w:r>
      <w:r w:rsidR="00EB6E0A" w:rsidRPr="00A45B8A">
        <w:rPr>
          <w:rStyle w:val="y2iqfc"/>
          <w:rFonts w:ascii="inherit" w:hAnsi="inherit"/>
          <w:sz w:val="24"/>
          <w:szCs w:val="24"/>
        </w:rPr>
        <w:t xml:space="preserve"> </w:t>
      </w:r>
      <w:r>
        <w:rPr>
          <w:rStyle w:val="y2iqfc"/>
          <w:rFonts w:ascii="inherit" w:hAnsi="inherit"/>
          <w:sz w:val="24"/>
          <w:szCs w:val="24"/>
        </w:rPr>
        <w:t>о</w:t>
      </w:r>
      <w:r w:rsidR="00F76E81">
        <w:rPr>
          <w:rStyle w:val="y2iqfc"/>
          <w:rFonts w:ascii="inherit" w:hAnsi="inherit"/>
          <w:sz w:val="24"/>
          <w:szCs w:val="24"/>
          <w:lang w:val="sr-Cyrl-BA"/>
        </w:rPr>
        <w:t>безбиједила</w:t>
      </w:r>
      <w:r w:rsidR="00EB6E0A" w:rsidRPr="00A45B8A">
        <w:rPr>
          <w:rStyle w:val="y2iqfc"/>
          <w:rFonts w:ascii="inherit" w:hAnsi="inherit"/>
          <w:sz w:val="24"/>
          <w:szCs w:val="24"/>
        </w:rPr>
        <w:t xml:space="preserve"> </w:t>
      </w:r>
      <w:r>
        <w:rPr>
          <w:rStyle w:val="y2iqfc"/>
          <w:rFonts w:ascii="inherit" w:hAnsi="inherit"/>
          <w:sz w:val="24"/>
          <w:szCs w:val="24"/>
        </w:rPr>
        <w:t>да</w:t>
      </w:r>
      <w:r w:rsidR="00EB6E0A" w:rsidRPr="00A45B8A">
        <w:rPr>
          <w:rStyle w:val="y2iqfc"/>
          <w:rFonts w:ascii="inherit" w:hAnsi="inherit"/>
          <w:sz w:val="24"/>
          <w:szCs w:val="24"/>
        </w:rPr>
        <w:t xml:space="preserve"> </w:t>
      </w:r>
      <w:r>
        <w:rPr>
          <w:rStyle w:val="y2iqfc"/>
          <w:rFonts w:ascii="inherit" w:hAnsi="inherit"/>
          <w:sz w:val="24"/>
          <w:szCs w:val="24"/>
        </w:rPr>
        <w:t>реформе</w:t>
      </w:r>
      <w:r w:rsidR="00EB6E0A" w:rsidRPr="00A45B8A">
        <w:rPr>
          <w:rStyle w:val="y2iqfc"/>
          <w:rFonts w:ascii="inherit" w:hAnsi="inherit"/>
          <w:sz w:val="24"/>
          <w:szCs w:val="24"/>
        </w:rPr>
        <w:t xml:space="preserve"> </w:t>
      </w:r>
      <w:r>
        <w:rPr>
          <w:rStyle w:val="y2iqfc"/>
          <w:rFonts w:ascii="inherit" w:hAnsi="inherit"/>
          <w:sz w:val="24"/>
          <w:szCs w:val="24"/>
        </w:rPr>
        <w:t>наставних</w:t>
      </w:r>
      <w:r w:rsidR="00EB6E0A" w:rsidRPr="00A45B8A">
        <w:rPr>
          <w:rStyle w:val="y2iqfc"/>
          <w:rFonts w:ascii="inherit" w:hAnsi="inherit"/>
          <w:sz w:val="24"/>
          <w:szCs w:val="24"/>
        </w:rPr>
        <w:t xml:space="preserve"> </w:t>
      </w:r>
      <w:r>
        <w:rPr>
          <w:rStyle w:val="y2iqfc"/>
          <w:rFonts w:ascii="inherit" w:hAnsi="inherit"/>
          <w:sz w:val="24"/>
          <w:szCs w:val="24"/>
        </w:rPr>
        <w:t>планова</w:t>
      </w:r>
      <w:r w:rsidR="00EB6E0A" w:rsidRPr="00A45B8A">
        <w:rPr>
          <w:rStyle w:val="y2iqfc"/>
          <w:rFonts w:ascii="inherit" w:hAnsi="inherit"/>
          <w:sz w:val="24"/>
          <w:szCs w:val="24"/>
        </w:rPr>
        <w:t xml:space="preserve"> </w:t>
      </w:r>
      <w:r>
        <w:rPr>
          <w:rStyle w:val="y2iqfc"/>
          <w:rFonts w:ascii="inherit" w:hAnsi="inherit"/>
          <w:sz w:val="24"/>
          <w:szCs w:val="24"/>
        </w:rPr>
        <w:t>и</w:t>
      </w:r>
      <w:r w:rsidR="00EB6E0A" w:rsidRPr="00A45B8A">
        <w:rPr>
          <w:rStyle w:val="y2iqfc"/>
          <w:rFonts w:ascii="inherit" w:hAnsi="inherit"/>
          <w:sz w:val="24"/>
          <w:szCs w:val="24"/>
        </w:rPr>
        <w:t xml:space="preserve"> </w:t>
      </w:r>
      <w:r>
        <w:rPr>
          <w:rStyle w:val="y2iqfc"/>
          <w:rFonts w:ascii="inherit" w:hAnsi="inherit"/>
          <w:sz w:val="24"/>
          <w:szCs w:val="24"/>
        </w:rPr>
        <w:t>програма</w:t>
      </w:r>
      <w:r w:rsidR="00EB6E0A" w:rsidRPr="00A45B8A">
        <w:rPr>
          <w:rStyle w:val="y2iqfc"/>
          <w:rFonts w:ascii="inherit" w:hAnsi="inherit"/>
          <w:sz w:val="24"/>
          <w:szCs w:val="24"/>
        </w:rPr>
        <w:t xml:space="preserve"> </w:t>
      </w:r>
      <w:r>
        <w:rPr>
          <w:rStyle w:val="y2iqfc"/>
          <w:rFonts w:ascii="inherit" w:hAnsi="inherit"/>
          <w:sz w:val="24"/>
          <w:szCs w:val="24"/>
        </w:rPr>
        <w:t>у</w:t>
      </w:r>
      <w:r w:rsidR="00EB6E0A" w:rsidRPr="00A45B8A">
        <w:rPr>
          <w:rStyle w:val="y2iqfc"/>
          <w:rFonts w:ascii="inherit" w:hAnsi="inherit"/>
          <w:sz w:val="24"/>
          <w:szCs w:val="24"/>
        </w:rPr>
        <w:t xml:space="preserve"> </w:t>
      </w:r>
      <w:r>
        <w:rPr>
          <w:rStyle w:val="y2iqfc"/>
          <w:rFonts w:ascii="inherit" w:hAnsi="inherit"/>
          <w:sz w:val="24"/>
          <w:szCs w:val="24"/>
        </w:rPr>
        <w:t>кантонима</w:t>
      </w:r>
      <w:r w:rsidR="00A45B8A">
        <w:rPr>
          <w:rStyle w:val="y2iqfc"/>
          <w:rFonts w:ascii="inherit" w:hAnsi="inherit"/>
          <w:sz w:val="24"/>
          <w:szCs w:val="24"/>
        </w:rPr>
        <w:t xml:space="preserve"> </w:t>
      </w:r>
      <w:r>
        <w:rPr>
          <w:rStyle w:val="y2iqfc"/>
          <w:rFonts w:ascii="inherit" w:hAnsi="inherit"/>
          <w:sz w:val="24"/>
          <w:szCs w:val="24"/>
        </w:rPr>
        <w:t>ФБиХ</w:t>
      </w:r>
      <w:r w:rsidR="00EB6E0A" w:rsidRPr="00A45B8A">
        <w:rPr>
          <w:rStyle w:val="y2iqfc"/>
          <w:rFonts w:ascii="inherit" w:hAnsi="inherit"/>
          <w:sz w:val="24"/>
          <w:szCs w:val="24"/>
        </w:rPr>
        <w:t xml:space="preserve"> </w:t>
      </w:r>
      <w:r>
        <w:rPr>
          <w:rStyle w:val="y2iqfc"/>
          <w:rFonts w:ascii="inherit" w:hAnsi="inherit"/>
          <w:sz w:val="24"/>
          <w:szCs w:val="24"/>
        </w:rPr>
        <w:t>узимају</w:t>
      </w:r>
      <w:r w:rsidR="00EB6E0A" w:rsidRPr="00A45B8A">
        <w:rPr>
          <w:rStyle w:val="y2iqfc"/>
          <w:rFonts w:ascii="inherit" w:hAnsi="inherit"/>
          <w:sz w:val="24"/>
          <w:szCs w:val="24"/>
        </w:rPr>
        <w:t xml:space="preserve"> </w:t>
      </w:r>
      <w:r>
        <w:rPr>
          <w:rStyle w:val="y2iqfc"/>
          <w:rFonts w:ascii="inherit" w:hAnsi="inherit"/>
          <w:sz w:val="24"/>
          <w:szCs w:val="24"/>
        </w:rPr>
        <w:t>у</w:t>
      </w:r>
      <w:r w:rsidR="00EB6E0A" w:rsidRPr="00A45B8A">
        <w:rPr>
          <w:rStyle w:val="y2iqfc"/>
          <w:rFonts w:ascii="inherit" w:hAnsi="inherit"/>
          <w:sz w:val="24"/>
          <w:szCs w:val="24"/>
        </w:rPr>
        <w:t xml:space="preserve"> </w:t>
      </w:r>
      <w:r>
        <w:rPr>
          <w:rStyle w:val="y2iqfc"/>
          <w:rFonts w:ascii="inherit" w:hAnsi="inherit"/>
          <w:sz w:val="24"/>
          <w:szCs w:val="24"/>
        </w:rPr>
        <w:t>обзир</w:t>
      </w:r>
      <w:r w:rsidR="00EB6E0A" w:rsidRPr="00A45B8A">
        <w:rPr>
          <w:rStyle w:val="y2iqfc"/>
          <w:rFonts w:ascii="inherit" w:hAnsi="inherit"/>
          <w:sz w:val="24"/>
          <w:szCs w:val="24"/>
        </w:rPr>
        <w:t xml:space="preserve"> </w:t>
      </w:r>
      <w:r>
        <w:rPr>
          <w:rStyle w:val="y2iqfc"/>
          <w:rFonts w:ascii="inherit" w:hAnsi="inherit"/>
          <w:sz w:val="24"/>
          <w:szCs w:val="24"/>
        </w:rPr>
        <w:t>питања</w:t>
      </w:r>
      <w:r w:rsidR="00EB6E0A" w:rsidRPr="00A45B8A">
        <w:rPr>
          <w:rStyle w:val="y2iqfc"/>
          <w:rFonts w:ascii="inherit" w:hAnsi="inherit"/>
          <w:sz w:val="24"/>
          <w:szCs w:val="24"/>
        </w:rPr>
        <w:t xml:space="preserve"> </w:t>
      </w:r>
      <w:r>
        <w:rPr>
          <w:rFonts w:ascii="Times New Roman" w:hAnsi="Times New Roman" w:cs="Times New Roman"/>
          <w:sz w:val="24"/>
          <w:szCs w:val="24"/>
        </w:rPr>
        <w:t>равноправности</w:t>
      </w:r>
      <w:r w:rsidR="000C3D5B" w:rsidRPr="00A45B8A">
        <w:rPr>
          <w:rFonts w:ascii="Times New Roman" w:hAnsi="Times New Roman" w:cs="Times New Roman"/>
          <w:sz w:val="24"/>
          <w:szCs w:val="24"/>
        </w:rPr>
        <w:t xml:space="preserve"> </w:t>
      </w:r>
      <w:r>
        <w:rPr>
          <w:rFonts w:ascii="Times New Roman" w:hAnsi="Times New Roman" w:cs="Times New Roman"/>
          <w:sz w:val="24"/>
          <w:szCs w:val="24"/>
        </w:rPr>
        <w:t>полова</w:t>
      </w:r>
      <w:r w:rsidR="00281A5F" w:rsidRPr="00A45B8A">
        <w:rPr>
          <w:rFonts w:ascii="Times New Roman" w:hAnsi="Times New Roman" w:cs="Times New Roman"/>
          <w:sz w:val="24"/>
          <w:szCs w:val="24"/>
        </w:rPr>
        <w:t>,</w:t>
      </w:r>
      <w:r w:rsidR="00A45B8A">
        <w:rPr>
          <w:rStyle w:val="y2iqfc"/>
          <w:rFonts w:ascii="inherit" w:hAnsi="inherit"/>
          <w:sz w:val="24"/>
          <w:szCs w:val="24"/>
        </w:rPr>
        <w:t xml:space="preserve"> </w:t>
      </w:r>
      <w:r>
        <w:rPr>
          <w:rStyle w:val="y2iqfc"/>
          <w:rFonts w:ascii="inherit" w:hAnsi="inherit"/>
          <w:sz w:val="24"/>
          <w:szCs w:val="24"/>
        </w:rPr>
        <w:t>Мисија</w:t>
      </w:r>
      <w:r w:rsidR="00EB6E0A" w:rsidRPr="00A45B8A">
        <w:rPr>
          <w:rStyle w:val="y2iqfc"/>
          <w:rFonts w:ascii="inherit" w:hAnsi="inherit"/>
          <w:sz w:val="24"/>
          <w:szCs w:val="24"/>
        </w:rPr>
        <w:t xml:space="preserve"> </w:t>
      </w:r>
      <w:r>
        <w:rPr>
          <w:rStyle w:val="y2iqfc"/>
          <w:rFonts w:ascii="inherit" w:hAnsi="inherit"/>
          <w:sz w:val="24"/>
          <w:szCs w:val="24"/>
        </w:rPr>
        <w:t>О</w:t>
      </w:r>
      <w:r w:rsidR="00F76E81">
        <w:rPr>
          <w:rStyle w:val="y2iqfc"/>
          <w:rFonts w:ascii="inherit" w:hAnsi="inherit"/>
          <w:sz w:val="24"/>
          <w:szCs w:val="24"/>
          <w:lang w:val="sr-Cyrl-BA"/>
        </w:rPr>
        <w:t>ЕБС</w:t>
      </w:r>
      <w:r w:rsidR="00EB6E0A" w:rsidRPr="00A45B8A">
        <w:rPr>
          <w:rStyle w:val="y2iqfc"/>
          <w:rFonts w:ascii="inherit" w:hAnsi="inherit"/>
          <w:sz w:val="24"/>
          <w:szCs w:val="24"/>
        </w:rPr>
        <w:t>-</w:t>
      </w:r>
      <w:r>
        <w:rPr>
          <w:rStyle w:val="y2iqfc"/>
          <w:rFonts w:ascii="inherit" w:hAnsi="inherit"/>
          <w:sz w:val="24"/>
          <w:szCs w:val="24"/>
        </w:rPr>
        <w:t>а</w:t>
      </w:r>
      <w:r w:rsidR="00EB6E0A" w:rsidRPr="00A45B8A">
        <w:rPr>
          <w:rStyle w:val="y2iqfc"/>
          <w:rFonts w:ascii="inherit" w:hAnsi="inherit"/>
          <w:sz w:val="24"/>
          <w:szCs w:val="24"/>
        </w:rPr>
        <w:t xml:space="preserve"> </w:t>
      </w:r>
      <w:r>
        <w:rPr>
          <w:rStyle w:val="y2iqfc"/>
          <w:rFonts w:ascii="inherit" w:hAnsi="inherit"/>
          <w:sz w:val="24"/>
          <w:szCs w:val="24"/>
        </w:rPr>
        <w:t>је</w:t>
      </w:r>
      <w:r w:rsidR="00EB6E0A" w:rsidRPr="00A45B8A">
        <w:rPr>
          <w:rStyle w:val="y2iqfc"/>
          <w:rFonts w:ascii="inherit" w:hAnsi="inherit"/>
          <w:sz w:val="24"/>
          <w:szCs w:val="24"/>
        </w:rPr>
        <w:t xml:space="preserve"> </w:t>
      </w:r>
      <w:r>
        <w:rPr>
          <w:rStyle w:val="y2iqfc"/>
          <w:rFonts w:ascii="inherit" w:hAnsi="inherit"/>
          <w:sz w:val="24"/>
          <w:szCs w:val="24"/>
        </w:rPr>
        <w:t>организ</w:t>
      </w:r>
      <w:r w:rsidR="00F76E81">
        <w:rPr>
          <w:rStyle w:val="y2iqfc"/>
          <w:rFonts w:ascii="inherit" w:hAnsi="inherit"/>
          <w:sz w:val="24"/>
          <w:szCs w:val="24"/>
          <w:lang w:val="sr-Cyrl-BA"/>
        </w:rPr>
        <w:t>овала</w:t>
      </w:r>
      <w:r w:rsidR="00EB6E0A" w:rsidRPr="00A45B8A">
        <w:rPr>
          <w:rStyle w:val="y2iqfc"/>
          <w:rFonts w:ascii="inherit" w:hAnsi="inherit"/>
          <w:sz w:val="24"/>
          <w:szCs w:val="24"/>
        </w:rPr>
        <w:t xml:space="preserve"> </w:t>
      </w:r>
      <w:r>
        <w:rPr>
          <w:rStyle w:val="y2iqfc"/>
          <w:rFonts w:ascii="inherit" w:hAnsi="inherit"/>
          <w:sz w:val="24"/>
          <w:szCs w:val="24"/>
        </w:rPr>
        <w:t>обуке</w:t>
      </w:r>
      <w:r w:rsidR="00EB6E0A" w:rsidRPr="00A45B8A">
        <w:rPr>
          <w:rStyle w:val="y2iqfc"/>
          <w:rFonts w:ascii="inherit" w:hAnsi="inherit"/>
          <w:sz w:val="24"/>
          <w:szCs w:val="24"/>
        </w:rPr>
        <w:t xml:space="preserve"> </w:t>
      </w:r>
      <w:r>
        <w:rPr>
          <w:rStyle w:val="y2iqfc"/>
          <w:rFonts w:ascii="inherit" w:hAnsi="inherit"/>
          <w:sz w:val="24"/>
          <w:szCs w:val="24"/>
        </w:rPr>
        <w:t>о</w:t>
      </w:r>
      <w:r w:rsidR="00EB6E0A" w:rsidRPr="00A45B8A">
        <w:rPr>
          <w:rStyle w:val="y2iqfc"/>
          <w:rFonts w:ascii="inherit" w:hAnsi="inherit"/>
          <w:sz w:val="24"/>
          <w:szCs w:val="24"/>
        </w:rPr>
        <w:t xml:space="preserve"> </w:t>
      </w:r>
      <w:r>
        <w:rPr>
          <w:rStyle w:val="y2iqfc"/>
          <w:rFonts w:ascii="inherit" w:hAnsi="inherit"/>
          <w:sz w:val="24"/>
          <w:szCs w:val="24"/>
        </w:rPr>
        <w:t>равноправности</w:t>
      </w:r>
      <w:r w:rsidR="00F90528" w:rsidRPr="00A45B8A">
        <w:rPr>
          <w:rStyle w:val="y2iqfc"/>
          <w:rFonts w:ascii="inherit" w:hAnsi="inherit"/>
          <w:sz w:val="24"/>
          <w:szCs w:val="24"/>
        </w:rPr>
        <w:t xml:space="preserve"> </w:t>
      </w:r>
      <w:r>
        <w:rPr>
          <w:rStyle w:val="y2iqfc"/>
          <w:rFonts w:ascii="inherit" w:hAnsi="inherit"/>
          <w:sz w:val="24"/>
          <w:szCs w:val="24"/>
        </w:rPr>
        <w:t>полова</w:t>
      </w:r>
      <w:r w:rsidR="00EB6E0A" w:rsidRPr="00A45B8A">
        <w:rPr>
          <w:rStyle w:val="y2iqfc"/>
          <w:rFonts w:ascii="inherit" w:hAnsi="inherit"/>
          <w:sz w:val="24"/>
          <w:szCs w:val="24"/>
        </w:rPr>
        <w:t xml:space="preserve"> </w:t>
      </w:r>
      <w:r>
        <w:rPr>
          <w:rStyle w:val="y2iqfc"/>
          <w:rFonts w:ascii="inherit" w:hAnsi="inherit"/>
          <w:sz w:val="24"/>
          <w:szCs w:val="24"/>
        </w:rPr>
        <w:t>у</w:t>
      </w:r>
      <w:r w:rsidR="00EB6E0A" w:rsidRPr="00A45B8A">
        <w:rPr>
          <w:rStyle w:val="y2iqfc"/>
          <w:rFonts w:ascii="inherit" w:hAnsi="inherit"/>
          <w:sz w:val="24"/>
          <w:szCs w:val="24"/>
        </w:rPr>
        <w:t xml:space="preserve"> </w:t>
      </w:r>
      <w:r>
        <w:rPr>
          <w:rStyle w:val="y2iqfc"/>
          <w:rFonts w:ascii="inherit" w:hAnsi="inherit"/>
          <w:sz w:val="24"/>
          <w:szCs w:val="24"/>
        </w:rPr>
        <w:t>образовању</w:t>
      </w:r>
      <w:r w:rsidR="00EB6E0A" w:rsidRPr="00A45B8A">
        <w:rPr>
          <w:rStyle w:val="y2iqfc"/>
          <w:rFonts w:ascii="inherit" w:hAnsi="inherit"/>
          <w:sz w:val="24"/>
          <w:szCs w:val="24"/>
        </w:rPr>
        <w:t xml:space="preserve"> </w:t>
      </w:r>
      <w:r>
        <w:rPr>
          <w:rStyle w:val="y2iqfc"/>
          <w:rFonts w:ascii="inherit" w:hAnsi="inherit"/>
          <w:sz w:val="24"/>
          <w:szCs w:val="24"/>
        </w:rPr>
        <w:t>за</w:t>
      </w:r>
      <w:r w:rsidR="00EB6E0A" w:rsidRPr="00A45B8A">
        <w:rPr>
          <w:rStyle w:val="y2iqfc"/>
          <w:rFonts w:ascii="inherit" w:hAnsi="inherit"/>
          <w:sz w:val="24"/>
          <w:szCs w:val="24"/>
        </w:rPr>
        <w:t xml:space="preserve"> </w:t>
      </w:r>
      <w:r>
        <w:rPr>
          <w:rStyle w:val="y2iqfc"/>
          <w:rFonts w:ascii="inherit" w:hAnsi="inherit"/>
          <w:sz w:val="24"/>
          <w:szCs w:val="24"/>
        </w:rPr>
        <w:t>чланове</w:t>
      </w:r>
      <w:r w:rsidR="00EB6E0A" w:rsidRPr="00A45B8A">
        <w:rPr>
          <w:rStyle w:val="y2iqfc"/>
          <w:rFonts w:ascii="inherit" w:hAnsi="inherit"/>
          <w:sz w:val="24"/>
          <w:szCs w:val="24"/>
        </w:rPr>
        <w:t xml:space="preserve"> </w:t>
      </w:r>
      <w:r>
        <w:rPr>
          <w:rStyle w:val="y2iqfc"/>
          <w:rFonts w:ascii="inherit" w:hAnsi="inherit"/>
          <w:sz w:val="24"/>
          <w:szCs w:val="24"/>
        </w:rPr>
        <w:t>стручног</w:t>
      </w:r>
      <w:r w:rsidR="00EB6E0A" w:rsidRPr="00A45B8A">
        <w:rPr>
          <w:rStyle w:val="y2iqfc"/>
          <w:rFonts w:ascii="inherit" w:hAnsi="inherit"/>
          <w:sz w:val="24"/>
          <w:szCs w:val="24"/>
        </w:rPr>
        <w:t xml:space="preserve"> </w:t>
      </w:r>
      <w:r>
        <w:rPr>
          <w:rStyle w:val="y2iqfc"/>
          <w:rFonts w:ascii="inherit" w:hAnsi="inherit"/>
          <w:sz w:val="24"/>
          <w:szCs w:val="24"/>
        </w:rPr>
        <w:t>тима</w:t>
      </w:r>
      <w:r w:rsidR="00EB6E0A" w:rsidRPr="00A45B8A">
        <w:rPr>
          <w:rStyle w:val="y2iqfc"/>
          <w:rFonts w:ascii="inherit" w:hAnsi="inherit"/>
          <w:sz w:val="24"/>
          <w:szCs w:val="24"/>
        </w:rPr>
        <w:t xml:space="preserve"> </w:t>
      </w:r>
      <w:r>
        <w:rPr>
          <w:rStyle w:val="y2iqfc"/>
          <w:rFonts w:ascii="inherit" w:hAnsi="inherit"/>
          <w:sz w:val="24"/>
          <w:szCs w:val="24"/>
        </w:rPr>
        <w:t>за</w:t>
      </w:r>
      <w:r w:rsidR="00EB6E0A" w:rsidRPr="00A45B8A">
        <w:rPr>
          <w:rStyle w:val="y2iqfc"/>
          <w:rFonts w:ascii="inherit" w:hAnsi="inherit"/>
          <w:sz w:val="24"/>
          <w:szCs w:val="24"/>
        </w:rPr>
        <w:t xml:space="preserve"> </w:t>
      </w:r>
      <w:r>
        <w:rPr>
          <w:rStyle w:val="y2iqfc"/>
          <w:rFonts w:ascii="inherit" w:hAnsi="inherit"/>
          <w:sz w:val="24"/>
          <w:szCs w:val="24"/>
        </w:rPr>
        <w:t>реформу</w:t>
      </w:r>
      <w:r w:rsidR="00EB6E0A" w:rsidRPr="00A45B8A">
        <w:rPr>
          <w:rStyle w:val="y2iqfc"/>
          <w:rFonts w:ascii="inherit" w:hAnsi="inherit"/>
          <w:sz w:val="24"/>
          <w:szCs w:val="24"/>
        </w:rPr>
        <w:t xml:space="preserve"> </w:t>
      </w:r>
      <w:r>
        <w:rPr>
          <w:rStyle w:val="y2iqfc"/>
          <w:rFonts w:ascii="inherit" w:hAnsi="inherit"/>
          <w:sz w:val="24"/>
          <w:szCs w:val="24"/>
        </w:rPr>
        <w:t>предметног</w:t>
      </w:r>
      <w:r w:rsidR="00EB6E0A" w:rsidRPr="00A45B8A">
        <w:rPr>
          <w:rStyle w:val="y2iqfc"/>
          <w:rFonts w:ascii="inherit" w:hAnsi="inherit"/>
          <w:sz w:val="24"/>
          <w:szCs w:val="24"/>
        </w:rPr>
        <w:t xml:space="preserve"> </w:t>
      </w:r>
      <w:r>
        <w:rPr>
          <w:rStyle w:val="y2iqfc"/>
          <w:rFonts w:ascii="inherit" w:hAnsi="inherit"/>
          <w:sz w:val="24"/>
          <w:szCs w:val="24"/>
        </w:rPr>
        <w:t>наставног</w:t>
      </w:r>
      <w:r w:rsidR="00EB6E0A" w:rsidRPr="00A45B8A">
        <w:rPr>
          <w:rStyle w:val="y2iqfc"/>
          <w:rFonts w:ascii="inherit" w:hAnsi="inherit"/>
          <w:sz w:val="24"/>
          <w:szCs w:val="24"/>
        </w:rPr>
        <w:t xml:space="preserve"> </w:t>
      </w:r>
      <w:r>
        <w:rPr>
          <w:rStyle w:val="y2iqfc"/>
          <w:rFonts w:ascii="inherit" w:hAnsi="inherit"/>
          <w:sz w:val="24"/>
          <w:szCs w:val="24"/>
        </w:rPr>
        <w:t>плана</w:t>
      </w:r>
      <w:r w:rsidR="00EB6E0A" w:rsidRPr="00A45B8A">
        <w:rPr>
          <w:rStyle w:val="y2iqfc"/>
          <w:rFonts w:ascii="inherit" w:hAnsi="inherit"/>
          <w:sz w:val="24"/>
          <w:szCs w:val="24"/>
        </w:rPr>
        <w:t xml:space="preserve"> </w:t>
      </w:r>
      <w:r>
        <w:rPr>
          <w:rStyle w:val="y2iqfc"/>
          <w:rFonts w:ascii="inherit" w:hAnsi="inherit"/>
          <w:sz w:val="24"/>
          <w:szCs w:val="24"/>
        </w:rPr>
        <w:t>и</w:t>
      </w:r>
      <w:r w:rsidR="00EB6E0A" w:rsidRPr="00A45B8A">
        <w:rPr>
          <w:rStyle w:val="y2iqfc"/>
          <w:rFonts w:ascii="inherit" w:hAnsi="inherit"/>
          <w:sz w:val="24"/>
          <w:szCs w:val="24"/>
        </w:rPr>
        <w:t xml:space="preserve"> </w:t>
      </w:r>
      <w:r>
        <w:rPr>
          <w:rStyle w:val="y2iqfc"/>
          <w:rFonts w:ascii="inherit" w:hAnsi="inherit"/>
          <w:sz w:val="24"/>
          <w:szCs w:val="24"/>
        </w:rPr>
        <w:t>програма</w:t>
      </w:r>
      <w:r w:rsidR="00EB6E0A" w:rsidRPr="00A45B8A">
        <w:rPr>
          <w:rStyle w:val="y2iqfc"/>
          <w:rFonts w:ascii="inherit" w:hAnsi="inherit"/>
          <w:sz w:val="24"/>
          <w:szCs w:val="24"/>
        </w:rPr>
        <w:t xml:space="preserve"> </w:t>
      </w:r>
      <w:r w:rsidR="00F76E81">
        <w:rPr>
          <w:rStyle w:val="y2iqfc"/>
          <w:rFonts w:ascii="inherit" w:hAnsi="inherit"/>
          <w:sz w:val="24"/>
          <w:szCs w:val="24"/>
          <w:lang w:val="sr-Cyrl-BA"/>
        </w:rPr>
        <w:t>с</w:t>
      </w:r>
      <w:r w:rsidR="00EB6E0A" w:rsidRPr="00A45B8A">
        <w:rPr>
          <w:rStyle w:val="y2iqfc"/>
          <w:rFonts w:ascii="inherit" w:hAnsi="inherit"/>
          <w:sz w:val="24"/>
          <w:szCs w:val="24"/>
        </w:rPr>
        <w:t xml:space="preserve"> </w:t>
      </w:r>
      <w:r>
        <w:rPr>
          <w:rStyle w:val="y2iqfc"/>
          <w:rFonts w:ascii="inherit" w:hAnsi="inherit"/>
          <w:sz w:val="24"/>
          <w:szCs w:val="24"/>
        </w:rPr>
        <w:t>циљ</w:t>
      </w:r>
      <w:r w:rsidR="00F76E81">
        <w:rPr>
          <w:rStyle w:val="y2iqfc"/>
          <w:rFonts w:ascii="inherit" w:hAnsi="inherit"/>
          <w:sz w:val="24"/>
          <w:szCs w:val="24"/>
          <w:lang w:val="sr-Cyrl-BA"/>
        </w:rPr>
        <w:t>ем</w:t>
      </w:r>
      <w:r w:rsidR="00EB6E0A" w:rsidRPr="00A45B8A">
        <w:rPr>
          <w:rStyle w:val="y2iqfc"/>
          <w:rFonts w:ascii="inherit" w:hAnsi="inherit"/>
          <w:sz w:val="24"/>
          <w:szCs w:val="24"/>
        </w:rPr>
        <w:t xml:space="preserve"> </w:t>
      </w:r>
      <w:r>
        <w:rPr>
          <w:rStyle w:val="y2iqfc"/>
          <w:rFonts w:ascii="inherit" w:hAnsi="inherit"/>
          <w:sz w:val="24"/>
          <w:szCs w:val="24"/>
        </w:rPr>
        <w:t>израде</w:t>
      </w:r>
      <w:r w:rsidR="00EB6E0A" w:rsidRPr="00A45B8A">
        <w:rPr>
          <w:rStyle w:val="y2iqfc"/>
          <w:rFonts w:ascii="inherit" w:hAnsi="inherit"/>
          <w:sz w:val="24"/>
          <w:szCs w:val="24"/>
        </w:rPr>
        <w:t xml:space="preserve"> </w:t>
      </w:r>
      <w:r>
        <w:rPr>
          <w:rStyle w:val="y2iqfc"/>
          <w:rFonts w:ascii="inherit" w:hAnsi="inherit"/>
          <w:sz w:val="24"/>
          <w:szCs w:val="24"/>
        </w:rPr>
        <w:t>родно</w:t>
      </w:r>
      <w:r w:rsidR="00EB6E0A" w:rsidRPr="00A45B8A">
        <w:rPr>
          <w:rStyle w:val="y2iqfc"/>
          <w:rFonts w:ascii="inherit" w:hAnsi="inherit"/>
          <w:sz w:val="24"/>
          <w:szCs w:val="24"/>
        </w:rPr>
        <w:t xml:space="preserve"> </w:t>
      </w:r>
      <w:r>
        <w:rPr>
          <w:rStyle w:val="y2iqfc"/>
          <w:rFonts w:ascii="inherit" w:hAnsi="inherit"/>
          <w:sz w:val="24"/>
          <w:szCs w:val="24"/>
        </w:rPr>
        <w:t>осјетљивих</w:t>
      </w:r>
      <w:r w:rsidR="00EB6E0A" w:rsidRPr="00A45B8A">
        <w:rPr>
          <w:rStyle w:val="y2iqfc"/>
          <w:rFonts w:ascii="inherit" w:hAnsi="inherit"/>
          <w:sz w:val="24"/>
          <w:szCs w:val="24"/>
        </w:rPr>
        <w:t xml:space="preserve"> </w:t>
      </w:r>
      <w:r>
        <w:rPr>
          <w:rStyle w:val="y2iqfc"/>
          <w:rFonts w:ascii="inherit" w:hAnsi="inherit"/>
          <w:sz w:val="24"/>
          <w:szCs w:val="24"/>
        </w:rPr>
        <w:t>предметних</w:t>
      </w:r>
      <w:r w:rsidR="00EB6E0A" w:rsidRPr="00A45B8A">
        <w:rPr>
          <w:rStyle w:val="y2iqfc"/>
          <w:rFonts w:ascii="inherit" w:hAnsi="inherit"/>
          <w:sz w:val="24"/>
          <w:szCs w:val="24"/>
        </w:rPr>
        <w:t xml:space="preserve"> </w:t>
      </w:r>
      <w:r>
        <w:rPr>
          <w:rStyle w:val="y2iqfc"/>
          <w:rFonts w:ascii="inherit" w:hAnsi="inherit"/>
          <w:sz w:val="24"/>
          <w:szCs w:val="24"/>
        </w:rPr>
        <w:t>наставних</w:t>
      </w:r>
      <w:r w:rsidR="00EB6E0A" w:rsidRPr="00A45B8A">
        <w:rPr>
          <w:rStyle w:val="y2iqfc"/>
          <w:rFonts w:ascii="inherit" w:hAnsi="inherit"/>
          <w:sz w:val="24"/>
          <w:szCs w:val="24"/>
        </w:rPr>
        <w:t xml:space="preserve"> </w:t>
      </w:r>
      <w:r>
        <w:rPr>
          <w:rStyle w:val="y2iqfc"/>
          <w:rFonts w:ascii="inherit" w:hAnsi="inherit"/>
          <w:sz w:val="24"/>
          <w:szCs w:val="24"/>
        </w:rPr>
        <w:t>планова</w:t>
      </w:r>
      <w:r w:rsidR="00EB6E0A" w:rsidRPr="00A45B8A">
        <w:rPr>
          <w:rStyle w:val="y2iqfc"/>
          <w:rFonts w:ascii="inherit" w:hAnsi="inherit"/>
          <w:sz w:val="24"/>
          <w:szCs w:val="24"/>
        </w:rPr>
        <w:t xml:space="preserve"> </w:t>
      </w:r>
      <w:r>
        <w:rPr>
          <w:rStyle w:val="y2iqfc"/>
          <w:rFonts w:ascii="inherit" w:hAnsi="inherit"/>
          <w:sz w:val="24"/>
          <w:szCs w:val="24"/>
        </w:rPr>
        <w:t>и</w:t>
      </w:r>
      <w:r w:rsidR="00EB6E0A" w:rsidRPr="00A45B8A">
        <w:rPr>
          <w:rStyle w:val="y2iqfc"/>
          <w:rFonts w:ascii="inherit" w:hAnsi="inherit"/>
          <w:sz w:val="24"/>
          <w:szCs w:val="24"/>
        </w:rPr>
        <w:t xml:space="preserve"> </w:t>
      </w:r>
      <w:r>
        <w:rPr>
          <w:rStyle w:val="y2iqfc"/>
          <w:rFonts w:ascii="inherit" w:hAnsi="inherit"/>
          <w:sz w:val="24"/>
          <w:szCs w:val="24"/>
        </w:rPr>
        <w:t>програма</w:t>
      </w:r>
      <w:r w:rsidR="00EB6E0A" w:rsidRPr="00A45B8A">
        <w:rPr>
          <w:rStyle w:val="y2iqfc"/>
          <w:rFonts w:ascii="inherit" w:hAnsi="inherit"/>
          <w:sz w:val="24"/>
          <w:szCs w:val="24"/>
        </w:rPr>
        <w:t xml:space="preserve">. </w:t>
      </w:r>
      <w:r>
        <w:rPr>
          <w:rStyle w:val="y2iqfc"/>
          <w:rFonts w:ascii="inherit" w:hAnsi="inherit"/>
          <w:sz w:val="24"/>
          <w:szCs w:val="24"/>
        </w:rPr>
        <w:t>У</w:t>
      </w:r>
      <w:r w:rsidR="00EB6E0A" w:rsidRPr="00A45B8A">
        <w:rPr>
          <w:rStyle w:val="y2iqfc"/>
          <w:rFonts w:ascii="inherit" w:hAnsi="inherit"/>
          <w:sz w:val="24"/>
          <w:szCs w:val="24"/>
        </w:rPr>
        <w:t xml:space="preserve"> </w:t>
      </w:r>
      <w:r>
        <w:rPr>
          <w:rStyle w:val="y2iqfc"/>
          <w:rFonts w:ascii="inherit" w:hAnsi="inherit"/>
          <w:sz w:val="24"/>
          <w:szCs w:val="24"/>
        </w:rPr>
        <w:t>сарадњи</w:t>
      </w:r>
      <w:r w:rsidR="00EB6E0A" w:rsidRPr="00A45B8A">
        <w:rPr>
          <w:rStyle w:val="y2iqfc"/>
          <w:rFonts w:ascii="inherit" w:hAnsi="inherit"/>
          <w:sz w:val="24"/>
          <w:szCs w:val="24"/>
        </w:rPr>
        <w:t xml:space="preserve"> </w:t>
      </w:r>
      <w:r>
        <w:rPr>
          <w:rStyle w:val="y2iqfc"/>
          <w:rFonts w:ascii="inherit" w:hAnsi="inherit"/>
          <w:sz w:val="24"/>
          <w:szCs w:val="24"/>
        </w:rPr>
        <w:t>са</w:t>
      </w:r>
      <w:r w:rsidR="00EB6E0A" w:rsidRPr="00A45B8A">
        <w:rPr>
          <w:rStyle w:val="y2iqfc"/>
          <w:rFonts w:ascii="inherit" w:hAnsi="inherit"/>
          <w:sz w:val="24"/>
          <w:szCs w:val="24"/>
        </w:rPr>
        <w:t xml:space="preserve"> </w:t>
      </w:r>
      <w:r>
        <w:rPr>
          <w:rStyle w:val="y2iqfc"/>
          <w:rFonts w:ascii="inherit" w:hAnsi="inherit"/>
          <w:sz w:val="24"/>
          <w:szCs w:val="24"/>
        </w:rPr>
        <w:t>Педагошким</w:t>
      </w:r>
      <w:r w:rsidR="00EB6E0A" w:rsidRPr="00A45B8A">
        <w:rPr>
          <w:rStyle w:val="y2iqfc"/>
          <w:rFonts w:ascii="inherit" w:hAnsi="inherit"/>
          <w:sz w:val="24"/>
          <w:szCs w:val="24"/>
        </w:rPr>
        <w:t xml:space="preserve"> </w:t>
      </w:r>
      <w:r>
        <w:rPr>
          <w:rStyle w:val="y2iqfc"/>
          <w:rFonts w:ascii="inherit" w:hAnsi="inherit"/>
          <w:sz w:val="24"/>
          <w:szCs w:val="24"/>
        </w:rPr>
        <w:t>институтом</w:t>
      </w:r>
      <w:r w:rsidR="00EB6E0A" w:rsidRPr="00A45B8A">
        <w:rPr>
          <w:rStyle w:val="y2iqfc"/>
          <w:rFonts w:ascii="inherit" w:hAnsi="inherit"/>
          <w:sz w:val="24"/>
          <w:szCs w:val="24"/>
        </w:rPr>
        <w:t xml:space="preserve"> </w:t>
      </w:r>
      <w:r>
        <w:rPr>
          <w:rStyle w:val="y2iqfc"/>
          <w:rFonts w:ascii="inherit" w:hAnsi="inherit"/>
          <w:sz w:val="24"/>
          <w:szCs w:val="24"/>
        </w:rPr>
        <w:t>Унско</w:t>
      </w:r>
      <w:r w:rsidR="00D026E7" w:rsidRPr="00A45B8A">
        <w:rPr>
          <w:rStyle w:val="y2iqfc"/>
          <w:rFonts w:ascii="inherit" w:hAnsi="inherit"/>
          <w:sz w:val="24"/>
          <w:szCs w:val="24"/>
        </w:rPr>
        <w:t>-</w:t>
      </w:r>
      <w:r>
        <w:rPr>
          <w:rStyle w:val="y2iqfc"/>
          <w:rFonts w:ascii="inherit" w:hAnsi="inherit"/>
          <w:sz w:val="24"/>
          <w:szCs w:val="24"/>
        </w:rPr>
        <w:t>санског</w:t>
      </w:r>
      <w:r w:rsidR="00D026E7" w:rsidRPr="00A45B8A">
        <w:rPr>
          <w:rStyle w:val="y2iqfc"/>
          <w:rFonts w:ascii="inherit" w:hAnsi="inherit"/>
          <w:sz w:val="24"/>
          <w:szCs w:val="24"/>
        </w:rPr>
        <w:t xml:space="preserve"> </w:t>
      </w:r>
      <w:r>
        <w:rPr>
          <w:rStyle w:val="y2iqfc"/>
          <w:rFonts w:ascii="inherit" w:hAnsi="inherit"/>
          <w:sz w:val="24"/>
          <w:szCs w:val="24"/>
        </w:rPr>
        <w:t>кантона</w:t>
      </w:r>
      <w:r w:rsidR="00EB6E0A" w:rsidRPr="00A45B8A">
        <w:rPr>
          <w:rStyle w:val="y2iqfc"/>
          <w:rFonts w:ascii="inherit" w:hAnsi="inherit"/>
          <w:sz w:val="24"/>
          <w:szCs w:val="24"/>
        </w:rPr>
        <w:t xml:space="preserve">, </w:t>
      </w:r>
      <w:r>
        <w:rPr>
          <w:rStyle w:val="y2iqfc"/>
          <w:rFonts w:ascii="inherit" w:hAnsi="inherit"/>
          <w:sz w:val="24"/>
          <w:szCs w:val="24"/>
        </w:rPr>
        <w:t>Мисија</w:t>
      </w:r>
      <w:r w:rsidR="00EB6E0A" w:rsidRPr="00A45B8A">
        <w:rPr>
          <w:rStyle w:val="y2iqfc"/>
          <w:rFonts w:ascii="inherit" w:hAnsi="inherit"/>
          <w:sz w:val="24"/>
          <w:szCs w:val="24"/>
        </w:rPr>
        <w:t xml:space="preserve"> </w:t>
      </w:r>
      <w:r>
        <w:rPr>
          <w:rStyle w:val="y2iqfc"/>
          <w:rFonts w:ascii="inherit" w:hAnsi="inherit"/>
          <w:sz w:val="24"/>
          <w:szCs w:val="24"/>
        </w:rPr>
        <w:t>је</w:t>
      </w:r>
      <w:r w:rsidR="00EB6E0A" w:rsidRPr="00A45B8A">
        <w:rPr>
          <w:rStyle w:val="y2iqfc"/>
          <w:rFonts w:ascii="inherit" w:hAnsi="inherit"/>
          <w:sz w:val="24"/>
          <w:szCs w:val="24"/>
        </w:rPr>
        <w:t xml:space="preserve"> </w:t>
      </w:r>
      <w:r>
        <w:rPr>
          <w:rStyle w:val="y2iqfc"/>
          <w:rFonts w:ascii="inherit" w:hAnsi="inherit"/>
          <w:sz w:val="24"/>
          <w:szCs w:val="24"/>
        </w:rPr>
        <w:t>одржала</w:t>
      </w:r>
      <w:r w:rsidR="00EB6E0A" w:rsidRPr="00A45B8A">
        <w:rPr>
          <w:rStyle w:val="y2iqfc"/>
          <w:rFonts w:ascii="inherit" w:hAnsi="inherit"/>
          <w:sz w:val="24"/>
          <w:szCs w:val="24"/>
        </w:rPr>
        <w:t xml:space="preserve"> </w:t>
      </w:r>
      <w:r>
        <w:rPr>
          <w:rStyle w:val="y2iqfc"/>
          <w:rFonts w:ascii="inherit" w:hAnsi="inherit"/>
          <w:sz w:val="24"/>
          <w:szCs w:val="24"/>
        </w:rPr>
        <w:t>обуку</w:t>
      </w:r>
      <w:r w:rsidR="00EB6E0A" w:rsidRPr="00A45B8A">
        <w:rPr>
          <w:rStyle w:val="y2iqfc"/>
          <w:rFonts w:ascii="inherit" w:hAnsi="inherit"/>
          <w:sz w:val="24"/>
          <w:szCs w:val="24"/>
        </w:rPr>
        <w:t xml:space="preserve"> </w:t>
      </w:r>
      <w:r>
        <w:rPr>
          <w:rStyle w:val="y2iqfc"/>
          <w:rFonts w:ascii="inherit" w:hAnsi="inherit"/>
          <w:sz w:val="24"/>
          <w:szCs w:val="24"/>
        </w:rPr>
        <w:t>о</w:t>
      </w:r>
      <w:r w:rsidR="00EB6E0A" w:rsidRPr="00A45B8A">
        <w:rPr>
          <w:rStyle w:val="y2iqfc"/>
          <w:rFonts w:ascii="inherit" w:hAnsi="inherit"/>
          <w:sz w:val="24"/>
          <w:szCs w:val="24"/>
        </w:rPr>
        <w:t xml:space="preserve"> </w:t>
      </w:r>
      <w:r>
        <w:rPr>
          <w:rStyle w:val="y2iqfc"/>
          <w:rFonts w:ascii="inherit" w:hAnsi="inherit"/>
          <w:sz w:val="24"/>
          <w:szCs w:val="24"/>
        </w:rPr>
        <w:t>равноправности</w:t>
      </w:r>
      <w:r w:rsidR="00EB6E0A" w:rsidRPr="00A45B8A">
        <w:rPr>
          <w:rStyle w:val="y2iqfc"/>
          <w:rFonts w:ascii="inherit" w:hAnsi="inherit"/>
          <w:sz w:val="24"/>
          <w:szCs w:val="24"/>
        </w:rPr>
        <w:t xml:space="preserve"> </w:t>
      </w:r>
      <w:r>
        <w:rPr>
          <w:rStyle w:val="y2iqfc"/>
          <w:rFonts w:ascii="inherit" w:hAnsi="inherit"/>
          <w:sz w:val="24"/>
          <w:szCs w:val="24"/>
        </w:rPr>
        <w:t>полова</w:t>
      </w:r>
      <w:r w:rsidR="00F90528" w:rsidRPr="00A45B8A">
        <w:rPr>
          <w:rStyle w:val="y2iqfc"/>
          <w:rFonts w:ascii="inherit" w:hAnsi="inherit"/>
          <w:sz w:val="24"/>
          <w:szCs w:val="24"/>
        </w:rPr>
        <w:t xml:space="preserve"> </w:t>
      </w:r>
      <w:r>
        <w:rPr>
          <w:rStyle w:val="y2iqfc"/>
          <w:rFonts w:ascii="inherit" w:hAnsi="inherit"/>
          <w:sz w:val="24"/>
          <w:szCs w:val="24"/>
        </w:rPr>
        <w:t>у</w:t>
      </w:r>
      <w:r w:rsidR="00EB6E0A" w:rsidRPr="00A45B8A">
        <w:rPr>
          <w:rStyle w:val="y2iqfc"/>
          <w:rFonts w:ascii="inherit" w:hAnsi="inherit"/>
          <w:sz w:val="24"/>
          <w:szCs w:val="24"/>
        </w:rPr>
        <w:t xml:space="preserve"> </w:t>
      </w:r>
      <w:r>
        <w:rPr>
          <w:rStyle w:val="y2iqfc"/>
          <w:rFonts w:ascii="inherit" w:hAnsi="inherit"/>
          <w:sz w:val="24"/>
          <w:szCs w:val="24"/>
        </w:rPr>
        <w:t>образовању</w:t>
      </w:r>
      <w:r w:rsidR="00EB6E0A" w:rsidRPr="00A45B8A">
        <w:rPr>
          <w:rStyle w:val="y2iqfc"/>
          <w:rFonts w:ascii="inherit" w:hAnsi="inherit"/>
          <w:sz w:val="24"/>
          <w:szCs w:val="24"/>
        </w:rPr>
        <w:t xml:space="preserve"> </w:t>
      </w:r>
      <w:r>
        <w:rPr>
          <w:rStyle w:val="y2iqfc"/>
          <w:rFonts w:ascii="inherit" w:hAnsi="inherit"/>
          <w:sz w:val="24"/>
          <w:szCs w:val="24"/>
        </w:rPr>
        <w:t>за</w:t>
      </w:r>
      <w:r w:rsidR="00EB6E0A" w:rsidRPr="00A45B8A">
        <w:rPr>
          <w:rStyle w:val="y2iqfc"/>
          <w:rFonts w:ascii="inherit" w:hAnsi="inherit"/>
          <w:sz w:val="24"/>
          <w:szCs w:val="24"/>
        </w:rPr>
        <w:t xml:space="preserve"> 43 </w:t>
      </w:r>
      <w:r>
        <w:rPr>
          <w:rStyle w:val="y2iqfc"/>
          <w:rFonts w:ascii="inherit" w:hAnsi="inherit"/>
          <w:sz w:val="24"/>
          <w:szCs w:val="24"/>
        </w:rPr>
        <w:t>наставника</w:t>
      </w:r>
      <w:r w:rsidR="00EB6E0A" w:rsidRPr="00A45B8A">
        <w:rPr>
          <w:rStyle w:val="y2iqfc"/>
          <w:rFonts w:ascii="inherit" w:hAnsi="inherit"/>
          <w:sz w:val="24"/>
          <w:szCs w:val="24"/>
        </w:rPr>
        <w:t xml:space="preserve"> </w:t>
      </w:r>
      <w:r>
        <w:rPr>
          <w:rStyle w:val="y2iqfc"/>
          <w:rFonts w:ascii="inherit" w:hAnsi="inherit"/>
          <w:sz w:val="24"/>
          <w:szCs w:val="24"/>
        </w:rPr>
        <w:t>и</w:t>
      </w:r>
      <w:r w:rsidR="00EB6E0A" w:rsidRPr="00A45B8A">
        <w:rPr>
          <w:rStyle w:val="y2iqfc"/>
          <w:rFonts w:ascii="inherit" w:hAnsi="inherit"/>
          <w:sz w:val="24"/>
          <w:szCs w:val="24"/>
        </w:rPr>
        <w:t xml:space="preserve"> </w:t>
      </w:r>
      <w:r>
        <w:rPr>
          <w:rStyle w:val="y2iqfc"/>
          <w:rFonts w:ascii="inherit" w:hAnsi="inherit"/>
          <w:sz w:val="24"/>
          <w:szCs w:val="24"/>
        </w:rPr>
        <w:t>стручњака</w:t>
      </w:r>
      <w:r w:rsidR="00EB6E0A" w:rsidRPr="00A45B8A">
        <w:rPr>
          <w:rStyle w:val="y2iqfc"/>
          <w:rFonts w:ascii="inherit" w:hAnsi="inherit"/>
          <w:sz w:val="24"/>
          <w:szCs w:val="24"/>
        </w:rPr>
        <w:t xml:space="preserve"> (35 </w:t>
      </w:r>
      <w:r>
        <w:rPr>
          <w:rStyle w:val="y2iqfc"/>
          <w:rFonts w:ascii="inherit" w:hAnsi="inherit"/>
          <w:sz w:val="24"/>
          <w:szCs w:val="24"/>
        </w:rPr>
        <w:t>жена</w:t>
      </w:r>
      <w:r w:rsidR="00EB6E0A" w:rsidRPr="00A45B8A">
        <w:rPr>
          <w:rStyle w:val="y2iqfc"/>
          <w:rFonts w:ascii="inherit" w:hAnsi="inherit"/>
          <w:sz w:val="24"/>
          <w:szCs w:val="24"/>
        </w:rPr>
        <w:t xml:space="preserve">, 8 </w:t>
      </w:r>
      <w:r>
        <w:rPr>
          <w:rStyle w:val="y2iqfc"/>
          <w:rFonts w:ascii="inherit" w:hAnsi="inherit"/>
          <w:sz w:val="24"/>
          <w:szCs w:val="24"/>
        </w:rPr>
        <w:t>мушкараца</w:t>
      </w:r>
      <w:r w:rsidR="00EB6E0A" w:rsidRPr="00A45B8A">
        <w:rPr>
          <w:rStyle w:val="y2iqfc"/>
          <w:rFonts w:ascii="inherit" w:hAnsi="inherit"/>
          <w:sz w:val="24"/>
          <w:szCs w:val="24"/>
        </w:rPr>
        <w:t xml:space="preserve">) </w:t>
      </w:r>
      <w:r>
        <w:rPr>
          <w:rStyle w:val="y2iqfc"/>
          <w:rFonts w:ascii="inherit" w:hAnsi="inherit"/>
          <w:sz w:val="24"/>
          <w:szCs w:val="24"/>
        </w:rPr>
        <w:t>који</w:t>
      </w:r>
      <w:r w:rsidR="00EB6E0A" w:rsidRPr="00A45B8A">
        <w:rPr>
          <w:rStyle w:val="y2iqfc"/>
          <w:rFonts w:ascii="inherit" w:hAnsi="inherit"/>
          <w:sz w:val="24"/>
          <w:szCs w:val="24"/>
        </w:rPr>
        <w:t xml:space="preserve"> </w:t>
      </w:r>
      <w:r>
        <w:rPr>
          <w:rStyle w:val="y2iqfc"/>
          <w:rFonts w:ascii="inherit" w:hAnsi="inherit"/>
          <w:sz w:val="24"/>
          <w:szCs w:val="24"/>
        </w:rPr>
        <w:t>припремају</w:t>
      </w:r>
      <w:r w:rsidR="00EB6E0A" w:rsidRPr="00A45B8A">
        <w:rPr>
          <w:rStyle w:val="y2iqfc"/>
          <w:rFonts w:ascii="inherit" w:hAnsi="inherit"/>
          <w:sz w:val="24"/>
          <w:szCs w:val="24"/>
        </w:rPr>
        <w:t xml:space="preserve"> </w:t>
      </w:r>
      <w:r>
        <w:rPr>
          <w:rStyle w:val="y2iqfc"/>
          <w:rFonts w:ascii="inherit" w:hAnsi="inherit"/>
          <w:sz w:val="24"/>
          <w:szCs w:val="24"/>
        </w:rPr>
        <w:t>нове</w:t>
      </w:r>
      <w:r w:rsidR="00EB6E0A" w:rsidRPr="00A45B8A">
        <w:rPr>
          <w:rStyle w:val="y2iqfc"/>
          <w:rFonts w:ascii="inherit" w:hAnsi="inherit"/>
          <w:sz w:val="24"/>
          <w:szCs w:val="24"/>
        </w:rPr>
        <w:t xml:space="preserve"> </w:t>
      </w:r>
      <w:r>
        <w:rPr>
          <w:rStyle w:val="y2iqfc"/>
          <w:rFonts w:ascii="inherit" w:hAnsi="inherit"/>
          <w:sz w:val="24"/>
          <w:szCs w:val="24"/>
        </w:rPr>
        <w:t>наставне</w:t>
      </w:r>
      <w:r w:rsidR="00EB6E0A" w:rsidRPr="00A45B8A">
        <w:rPr>
          <w:rStyle w:val="y2iqfc"/>
          <w:rFonts w:ascii="inherit" w:hAnsi="inherit"/>
          <w:sz w:val="24"/>
          <w:szCs w:val="24"/>
        </w:rPr>
        <w:t xml:space="preserve"> </w:t>
      </w:r>
      <w:r>
        <w:rPr>
          <w:rStyle w:val="y2iqfc"/>
          <w:rFonts w:ascii="inherit" w:hAnsi="inherit"/>
          <w:sz w:val="24"/>
          <w:szCs w:val="24"/>
        </w:rPr>
        <w:t>планове</w:t>
      </w:r>
      <w:r w:rsidR="00EB6E0A" w:rsidRPr="00A45B8A">
        <w:rPr>
          <w:rStyle w:val="y2iqfc"/>
          <w:rFonts w:ascii="inherit" w:hAnsi="inherit"/>
          <w:sz w:val="24"/>
          <w:szCs w:val="24"/>
        </w:rPr>
        <w:t xml:space="preserve"> </w:t>
      </w:r>
      <w:r>
        <w:rPr>
          <w:rStyle w:val="y2iqfc"/>
          <w:rFonts w:ascii="inherit" w:hAnsi="inherit"/>
          <w:sz w:val="24"/>
          <w:szCs w:val="24"/>
        </w:rPr>
        <w:t>и</w:t>
      </w:r>
      <w:r w:rsidR="00EB6E0A" w:rsidRPr="00A45B8A">
        <w:rPr>
          <w:rStyle w:val="y2iqfc"/>
          <w:rFonts w:ascii="inherit" w:hAnsi="inherit"/>
          <w:sz w:val="24"/>
          <w:szCs w:val="24"/>
        </w:rPr>
        <w:t xml:space="preserve"> </w:t>
      </w:r>
      <w:r>
        <w:rPr>
          <w:rStyle w:val="y2iqfc"/>
          <w:rFonts w:ascii="inherit" w:hAnsi="inherit"/>
          <w:sz w:val="24"/>
          <w:szCs w:val="24"/>
        </w:rPr>
        <w:t>програме</w:t>
      </w:r>
      <w:r w:rsidR="00EB6E0A" w:rsidRPr="00A45B8A">
        <w:rPr>
          <w:rStyle w:val="y2iqfc"/>
          <w:rFonts w:ascii="inherit" w:hAnsi="inherit"/>
          <w:sz w:val="24"/>
          <w:szCs w:val="24"/>
        </w:rPr>
        <w:t>.</w:t>
      </w:r>
    </w:p>
    <w:p w:rsidR="00EB6E0A" w:rsidRPr="00295637" w:rsidRDefault="00EB6E0A" w:rsidP="0086268D">
      <w:pPr>
        <w:pStyle w:val="HTMLPreformatted"/>
        <w:jc w:val="both"/>
        <w:rPr>
          <w:rStyle w:val="y2iqfc"/>
          <w:rFonts w:ascii="inherit" w:hAnsi="inherit"/>
          <w:color w:val="1F1F1F"/>
          <w:sz w:val="24"/>
          <w:szCs w:val="24"/>
        </w:rPr>
      </w:pPr>
    </w:p>
    <w:p w:rsidR="00A443AC" w:rsidRPr="00DB6495" w:rsidRDefault="00C6214E" w:rsidP="0086268D">
      <w:pPr>
        <w:pStyle w:val="HTMLPreformatted"/>
        <w:jc w:val="both"/>
        <w:rPr>
          <w:rFonts w:ascii="inherit" w:hAnsi="inherit"/>
          <w:color w:val="1F1F1F"/>
          <w:sz w:val="24"/>
          <w:szCs w:val="24"/>
          <w:lang w:val="en-US"/>
        </w:rPr>
      </w:pPr>
      <w:r>
        <w:rPr>
          <w:rFonts w:ascii="Times New Roman" w:hAnsi="Times New Roman"/>
          <w:sz w:val="24"/>
          <w:szCs w:val="24"/>
        </w:rPr>
        <w:t>Током</w:t>
      </w:r>
      <w:r w:rsidR="00EB6E0A" w:rsidRPr="00295637">
        <w:rPr>
          <w:rFonts w:ascii="Times New Roman" w:hAnsi="Times New Roman"/>
          <w:sz w:val="24"/>
          <w:szCs w:val="24"/>
        </w:rPr>
        <w:t xml:space="preserve"> </w:t>
      </w:r>
      <w:r>
        <w:rPr>
          <w:rFonts w:ascii="Times New Roman" w:hAnsi="Times New Roman"/>
          <w:sz w:val="24"/>
          <w:szCs w:val="24"/>
        </w:rPr>
        <w:t>извјештајног</w:t>
      </w:r>
      <w:r w:rsidR="00EB6E0A" w:rsidRPr="00295637">
        <w:rPr>
          <w:rFonts w:ascii="Times New Roman" w:hAnsi="Times New Roman"/>
          <w:sz w:val="24"/>
          <w:szCs w:val="24"/>
        </w:rPr>
        <w:t xml:space="preserve"> </w:t>
      </w:r>
      <w:r>
        <w:rPr>
          <w:rFonts w:ascii="Times New Roman" w:hAnsi="Times New Roman"/>
          <w:sz w:val="24"/>
          <w:szCs w:val="24"/>
        </w:rPr>
        <w:t>периода</w:t>
      </w:r>
      <w:r w:rsidR="00EB6E0A" w:rsidRPr="00295637">
        <w:rPr>
          <w:rFonts w:ascii="Times New Roman" w:hAnsi="Times New Roman"/>
          <w:sz w:val="24"/>
          <w:szCs w:val="24"/>
        </w:rPr>
        <w:t xml:space="preserve"> </w:t>
      </w:r>
      <w:r>
        <w:rPr>
          <w:rFonts w:ascii="Times New Roman" w:hAnsi="Times New Roman"/>
          <w:sz w:val="24"/>
          <w:szCs w:val="24"/>
        </w:rPr>
        <w:t>није</w:t>
      </w:r>
      <w:r w:rsidR="00EB6E0A" w:rsidRPr="00295637">
        <w:rPr>
          <w:rFonts w:ascii="Times New Roman" w:hAnsi="Times New Roman"/>
          <w:sz w:val="24"/>
          <w:szCs w:val="24"/>
        </w:rPr>
        <w:t xml:space="preserve"> </w:t>
      </w:r>
      <w:r>
        <w:rPr>
          <w:rFonts w:ascii="Times New Roman" w:hAnsi="Times New Roman"/>
          <w:sz w:val="24"/>
          <w:szCs w:val="24"/>
        </w:rPr>
        <w:t>било</w:t>
      </w:r>
      <w:r w:rsidR="00EB6E0A" w:rsidRPr="00295637">
        <w:rPr>
          <w:rFonts w:ascii="Times New Roman" w:hAnsi="Times New Roman"/>
          <w:sz w:val="24"/>
          <w:szCs w:val="24"/>
        </w:rPr>
        <w:t xml:space="preserve"> </w:t>
      </w:r>
      <w:r>
        <w:rPr>
          <w:rFonts w:ascii="Times New Roman" w:hAnsi="Times New Roman"/>
          <w:sz w:val="24"/>
          <w:szCs w:val="24"/>
        </w:rPr>
        <w:t>проведених</w:t>
      </w:r>
      <w:r w:rsidR="00EB6E0A" w:rsidRPr="00295637">
        <w:rPr>
          <w:rFonts w:ascii="Times New Roman" w:hAnsi="Times New Roman"/>
          <w:sz w:val="24"/>
          <w:szCs w:val="24"/>
        </w:rPr>
        <w:t xml:space="preserve"> </w:t>
      </w:r>
      <w:r>
        <w:rPr>
          <w:rFonts w:ascii="Times New Roman" w:hAnsi="Times New Roman"/>
          <w:sz w:val="24"/>
          <w:szCs w:val="24"/>
        </w:rPr>
        <w:t>активности</w:t>
      </w:r>
      <w:r w:rsidR="00EB6E0A" w:rsidRPr="00295637">
        <w:rPr>
          <w:rFonts w:ascii="Times New Roman" w:hAnsi="Times New Roman"/>
          <w:sz w:val="24"/>
          <w:szCs w:val="24"/>
        </w:rPr>
        <w:t xml:space="preserve"> </w:t>
      </w:r>
      <w:r>
        <w:rPr>
          <w:rFonts w:ascii="Times New Roman" w:hAnsi="Times New Roman"/>
          <w:sz w:val="24"/>
          <w:szCs w:val="24"/>
        </w:rPr>
        <w:t>у</w:t>
      </w:r>
      <w:r w:rsidR="00EB6E0A" w:rsidRPr="00295637">
        <w:rPr>
          <w:rFonts w:ascii="Times New Roman" w:hAnsi="Times New Roman"/>
          <w:sz w:val="24"/>
          <w:szCs w:val="24"/>
        </w:rPr>
        <w:t xml:space="preserve"> </w:t>
      </w:r>
      <w:r>
        <w:rPr>
          <w:rFonts w:ascii="Times New Roman" w:hAnsi="Times New Roman"/>
          <w:sz w:val="24"/>
          <w:szCs w:val="24"/>
        </w:rPr>
        <w:t>оквиру</w:t>
      </w:r>
      <w:r w:rsidR="00207763" w:rsidRPr="00295637">
        <w:rPr>
          <w:rFonts w:ascii="Times New Roman" w:hAnsi="Times New Roman"/>
          <w:sz w:val="24"/>
          <w:szCs w:val="24"/>
        </w:rPr>
        <w:t xml:space="preserve"> </w:t>
      </w:r>
      <w:r>
        <w:rPr>
          <w:rFonts w:ascii="Times New Roman" w:hAnsi="Times New Roman"/>
          <w:sz w:val="24"/>
          <w:szCs w:val="24"/>
        </w:rPr>
        <w:t>мјере</w:t>
      </w:r>
      <w:r w:rsidR="00207763" w:rsidRPr="00295637">
        <w:rPr>
          <w:rFonts w:ascii="Times New Roman" w:hAnsi="Times New Roman"/>
          <w:sz w:val="24"/>
          <w:szCs w:val="24"/>
        </w:rPr>
        <w:t xml:space="preserve"> </w:t>
      </w:r>
      <w:r w:rsidR="00F76E81">
        <w:rPr>
          <w:rFonts w:ascii="Times New Roman" w:hAnsi="Times New Roman"/>
          <w:sz w:val="24"/>
          <w:szCs w:val="24"/>
        </w:rPr>
        <w:t>I</w:t>
      </w:r>
      <w:r w:rsidR="00530297">
        <w:rPr>
          <w:rFonts w:ascii="Times New Roman" w:hAnsi="Times New Roman"/>
          <w:sz w:val="24"/>
          <w:szCs w:val="24"/>
        </w:rPr>
        <w:t xml:space="preserve"> </w:t>
      </w:r>
      <w:r w:rsidR="00EB6E0A" w:rsidRPr="00295637">
        <w:rPr>
          <w:rFonts w:ascii="Times New Roman" w:hAnsi="Times New Roman"/>
          <w:sz w:val="24"/>
          <w:szCs w:val="24"/>
        </w:rPr>
        <w:t xml:space="preserve">4.6 </w:t>
      </w:r>
      <w:r>
        <w:rPr>
          <w:rFonts w:ascii="Times New Roman" w:hAnsi="Times New Roman"/>
          <w:sz w:val="24"/>
          <w:szCs w:val="24"/>
        </w:rPr>
        <w:t>у</w:t>
      </w:r>
      <w:r w:rsidR="00530297">
        <w:rPr>
          <w:rFonts w:ascii="Times New Roman" w:hAnsi="Times New Roman"/>
          <w:sz w:val="24"/>
          <w:szCs w:val="24"/>
        </w:rPr>
        <w:t xml:space="preserve"> </w:t>
      </w:r>
      <w:r>
        <w:rPr>
          <w:rFonts w:ascii="Times New Roman" w:hAnsi="Times New Roman"/>
          <w:sz w:val="24"/>
          <w:szCs w:val="24"/>
        </w:rPr>
        <w:t>вези</w:t>
      </w:r>
      <w:r w:rsidR="00530297">
        <w:rPr>
          <w:rFonts w:ascii="Times New Roman" w:hAnsi="Times New Roman"/>
          <w:sz w:val="24"/>
          <w:szCs w:val="24"/>
        </w:rPr>
        <w:t xml:space="preserve"> </w:t>
      </w:r>
      <w:r>
        <w:rPr>
          <w:rFonts w:ascii="Times New Roman" w:hAnsi="Times New Roman"/>
          <w:sz w:val="24"/>
          <w:szCs w:val="24"/>
        </w:rPr>
        <w:t>са</w:t>
      </w:r>
      <w:r w:rsidR="00EB6E0A" w:rsidRPr="00295637">
        <w:rPr>
          <w:rFonts w:ascii="Times New Roman" w:hAnsi="Times New Roman"/>
          <w:sz w:val="24"/>
          <w:szCs w:val="24"/>
        </w:rPr>
        <w:t xml:space="preserve"> </w:t>
      </w:r>
      <w:r>
        <w:rPr>
          <w:rFonts w:ascii="Times New Roman" w:hAnsi="Times New Roman"/>
          <w:sz w:val="24"/>
          <w:szCs w:val="24"/>
        </w:rPr>
        <w:t>подршком</w:t>
      </w:r>
      <w:r w:rsidR="00530297">
        <w:rPr>
          <w:rFonts w:ascii="Times New Roman" w:hAnsi="Times New Roman"/>
          <w:sz w:val="24"/>
          <w:szCs w:val="24"/>
        </w:rPr>
        <w:t xml:space="preserve"> </w:t>
      </w:r>
      <w:r>
        <w:rPr>
          <w:rFonts w:ascii="Times New Roman" w:hAnsi="Times New Roman"/>
          <w:sz w:val="24"/>
          <w:szCs w:val="24"/>
        </w:rPr>
        <w:t>програмима</w:t>
      </w:r>
      <w:r w:rsidR="00EB6E0A" w:rsidRPr="00295637">
        <w:rPr>
          <w:rFonts w:ascii="Times New Roman" w:hAnsi="Times New Roman"/>
          <w:sz w:val="24"/>
          <w:szCs w:val="24"/>
        </w:rPr>
        <w:t xml:space="preserve"> </w:t>
      </w:r>
      <w:r>
        <w:rPr>
          <w:rFonts w:ascii="Times New Roman" w:hAnsi="Times New Roman"/>
          <w:sz w:val="24"/>
          <w:szCs w:val="24"/>
        </w:rPr>
        <w:t>цјеложивотног</w:t>
      </w:r>
      <w:r w:rsidR="00EB6E0A" w:rsidRPr="00295637">
        <w:rPr>
          <w:rFonts w:ascii="Times New Roman" w:hAnsi="Times New Roman"/>
          <w:sz w:val="24"/>
          <w:szCs w:val="24"/>
        </w:rPr>
        <w:t xml:space="preserve"> </w:t>
      </w:r>
      <w:r>
        <w:rPr>
          <w:rFonts w:ascii="Times New Roman" w:hAnsi="Times New Roman"/>
          <w:sz w:val="24"/>
          <w:szCs w:val="24"/>
        </w:rPr>
        <w:t>образовања</w:t>
      </w:r>
      <w:r w:rsidR="00EB6E0A" w:rsidRPr="00295637">
        <w:rPr>
          <w:rFonts w:ascii="Times New Roman" w:hAnsi="Times New Roman"/>
          <w:sz w:val="24"/>
          <w:szCs w:val="24"/>
        </w:rPr>
        <w:t xml:space="preserve"> </w:t>
      </w:r>
      <w:r>
        <w:rPr>
          <w:rFonts w:ascii="Times New Roman" w:hAnsi="Times New Roman"/>
          <w:sz w:val="24"/>
          <w:szCs w:val="24"/>
        </w:rPr>
        <w:t>за</w:t>
      </w:r>
      <w:r w:rsidR="00EB6E0A" w:rsidRPr="00295637">
        <w:rPr>
          <w:rFonts w:ascii="Times New Roman" w:hAnsi="Times New Roman"/>
          <w:sz w:val="24"/>
          <w:szCs w:val="24"/>
        </w:rPr>
        <w:t xml:space="preserve"> </w:t>
      </w:r>
      <w:r>
        <w:rPr>
          <w:rFonts w:ascii="Times New Roman" w:hAnsi="Times New Roman"/>
          <w:sz w:val="24"/>
          <w:szCs w:val="24"/>
        </w:rPr>
        <w:t>приоритетне</w:t>
      </w:r>
      <w:r w:rsidR="00EB6E0A" w:rsidRPr="00295637">
        <w:rPr>
          <w:rFonts w:ascii="Times New Roman" w:hAnsi="Times New Roman"/>
          <w:sz w:val="24"/>
          <w:szCs w:val="24"/>
        </w:rPr>
        <w:t xml:space="preserve"> </w:t>
      </w:r>
      <w:r>
        <w:rPr>
          <w:rFonts w:ascii="Times New Roman" w:hAnsi="Times New Roman"/>
          <w:sz w:val="24"/>
          <w:szCs w:val="24"/>
        </w:rPr>
        <w:t>циљне</w:t>
      </w:r>
      <w:r w:rsidR="00EB6E0A" w:rsidRPr="00295637">
        <w:rPr>
          <w:rFonts w:ascii="Times New Roman" w:hAnsi="Times New Roman"/>
          <w:sz w:val="24"/>
          <w:szCs w:val="24"/>
        </w:rPr>
        <w:t xml:space="preserve"> </w:t>
      </w:r>
      <w:r>
        <w:rPr>
          <w:rFonts w:ascii="Times New Roman" w:hAnsi="Times New Roman"/>
          <w:sz w:val="24"/>
          <w:szCs w:val="24"/>
        </w:rPr>
        <w:t>групе</w:t>
      </w:r>
      <w:r w:rsidR="00A45B8A">
        <w:rPr>
          <w:rFonts w:ascii="Times New Roman" w:hAnsi="Times New Roman"/>
          <w:sz w:val="24"/>
          <w:szCs w:val="24"/>
        </w:rPr>
        <w:t>.</w:t>
      </w:r>
    </w:p>
    <w:p w:rsidR="000627E7" w:rsidRPr="000627E7" w:rsidRDefault="000627E7" w:rsidP="0086268D">
      <w:pPr>
        <w:rPr>
          <w:lang w:val="bs-Latn-BA"/>
        </w:rPr>
      </w:pPr>
    </w:p>
    <w:p w:rsidR="00A443AC" w:rsidRDefault="00F76E81" w:rsidP="0086268D">
      <w:pPr>
        <w:pStyle w:val="Heading4"/>
        <w:numPr>
          <w:ilvl w:val="0"/>
          <w:numId w:val="0"/>
        </w:numPr>
        <w:tabs>
          <w:tab w:val="clear" w:pos="284"/>
          <w:tab w:val="left" w:pos="270"/>
          <w:tab w:val="left" w:pos="1080"/>
        </w:tabs>
        <w:spacing w:after="0" w:line="240" w:lineRule="auto"/>
        <w:ind w:left="994" w:hanging="994"/>
        <w:rPr>
          <w:rFonts w:ascii="Times New Roman" w:hAnsi="Times New Roman"/>
          <w:b w:val="0"/>
          <w:lang w:val="bs-Latn-BA"/>
        </w:rPr>
      </w:pPr>
      <w:r>
        <w:rPr>
          <w:rFonts w:ascii="Times New Roman" w:hAnsi="Times New Roman"/>
          <w:b w:val="0"/>
          <w:lang w:val="bs-Latn-BA"/>
        </w:rPr>
        <w:t>I</w:t>
      </w:r>
      <w:r w:rsidR="00AF0B6A">
        <w:rPr>
          <w:rFonts w:ascii="Times New Roman" w:hAnsi="Times New Roman"/>
          <w:b w:val="0"/>
          <w:lang w:val="bs-Latn-BA"/>
        </w:rPr>
        <w:t xml:space="preserve"> </w:t>
      </w:r>
      <w:r w:rsidR="00A45B8A">
        <w:rPr>
          <w:rFonts w:ascii="Times New Roman" w:hAnsi="Times New Roman"/>
          <w:b w:val="0"/>
          <w:lang w:val="bs-Latn-BA"/>
        </w:rPr>
        <w:t xml:space="preserve">4.7.     </w:t>
      </w:r>
      <w:r w:rsidR="00AF0B6A">
        <w:rPr>
          <w:rFonts w:ascii="Times New Roman" w:hAnsi="Times New Roman"/>
          <w:b w:val="0"/>
          <w:lang w:val="bs-Latn-BA"/>
        </w:rPr>
        <w:t xml:space="preserve"> </w:t>
      </w:r>
      <w:r w:rsidR="00C6214E">
        <w:rPr>
          <w:rFonts w:ascii="Times New Roman" w:hAnsi="Times New Roman"/>
          <w:b w:val="0"/>
          <w:lang w:val="bs-Latn-BA"/>
        </w:rPr>
        <w:t>Подршка</w:t>
      </w:r>
      <w:r w:rsidR="00A443AC" w:rsidRPr="00295637">
        <w:rPr>
          <w:rFonts w:ascii="Times New Roman" w:hAnsi="Times New Roman"/>
          <w:b w:val="0"/>
          <w:lang w:val="bs-Latn-BA"/>
        </w:rPr>
        <w:t xml:space="preserve"> </w:t>
      </w:r>
      <w:r w:rsidR="00C6214E">
        <w:rPr>
          <w:rFonts w:ascii="Times New Roman" w:hAnsi="Times New Roman"/>
          <w:b w:val="0"/>
          <w:lang w:val="bs-Latn-BA"/>
        </w:rPr>
        <w:t>програмима</w:t>
      </w:r>
      <w:r w:rsidR="00A45B8A">
        <w:rPr>
          <w:rFonts w:ascii="Times New Roman" w:hAnsi="Times New Roman"/>
          <w:b w:val="0"/>
          <w:lang w:val="bs-Latn-BA"/>
        </w:rPr>
        <w:t xml:space="preserve"> </w:t>
      </w:r>
      <w:r w:rsidR="00C6214E">
        <w:rPr>
          <w:rFonts w:ascii="Times New Roman" w:hAnsi="Times New Roman"/>
          <w:b w:val="0"/>
          <w:lang w:val="bs-Latn-BA"/>
        </w:rPr>
        <w:t>једнаких</w:t>
      </w:r>
      <w:r w:rsidR="00A45B8A">
        <w:rPr>
          <w:rFonts w:ascii="Times New Roman" w:hAnsi="Times New Roman"/>
          <w:b w:val="0"/>
          <w:lang w:val="bs-Latn-BA"/>
        </w:rPr>
        <w:t xml:space="preserve"> </w:t>
      </w:r>
      <w:r w:rsidR="00C6214E">
        <w:rPr>
          <w:rFonts w:ascii="Times New Roman" w:hAnsi="Times New Roman"/>
          <w:b w:val="0"/>
          <w:lang w:val="bs-Latn-BA"/>
        </w:rPr>
        <w:t>могућности</w:t>
      </w:r>
      <w:r w:rsidR="00A45B8A">
        <w:rPr>
          <w:rFonts w:ascii="Times New Roman" w:hAnsi="Times New Roman"/>
          <w:b w:val="0"/>
          <w:lang w:val="bs-Latn-BA"/>
        </w:rPr>
        <w:t xml:space="preserve"> </w:t>
      </w:r>
      <w:r w:rsidR="00C6214E">
        <w:rPr>
          <w:rFonts w:ascii="Times New Roman" w:hAnsi="Times New Roman"/>
          <w:b w:val="0"/>
          <w:lang w:val="bs-Latn-BA"/>
        </w:rPr>
        <w:t>оба</w:t>
      </w:r>
      <w:r w:rsidR="00A443AC" w:rsidRPr="00295637">
        <w:rPr>
          <w:rFonts w:ascii="Times New Roman" w:hAnsi="Times New Roman"/>
          <w:b w:val="0"/>
          <w:lang w:val="bs-Latn-BA"/>
        </w:rPr>
        <w:t xml:space="preserve"> </w:t>
      </w:r>
      <w:r w:rsidR="00C6214E">
        <w:rPr>
          <w:rFonts w:ascii="Times New Roman" w:hAnsi="Times New Roman"/>
          <w:b w:val="0"/>
          <w:lang w:val="bs-Latn-BA"/>
        </w:rPr>
        <w:t>пола</w:t>
      </w:r>
      <w:r w:rsidR="00A443AC" w:rsidRPr="00295637">
        <w:rPr>
          <w:rFonts w:ascii="Times New Roman" w:hAnsi="Times New Roman"/>
          <w:b w:val="0"/>
          <w:lang w:val="bs-Latn-BA"/>
        </w:rPr>
        <w:t xml:space="preserve"> </w:t>
      </w:r>
      <w:r w:rsidR="00C6214E">
        <w:rPr>
          <w:rFonts w:ascii="Times New Roman" w:hAnsi="Times New Roman"/>
          <w:b w:val="0"/>
          <w:lang w:val="bs-Latn-BA"/>
        </w:rPr>
        <w:t>за</w:t>
      </w:r>
      <w:r w:rsidR="00A443AC" w:rsidRPr="00295637">
        <w:rPr>
          <w:rFonts w:ascii="Times New Roman" w:hAnsi="Times New Roman"/>
          <w:b w:val="0"/>
          <w:lang w:val="bs-Latn-BA"/>
        </w:rPr>
        <w:t xml:space="preserve"> </w:t>
      </w:r>
      <w:r w:rsidR="00C6214E">
        <w:rPr>
          <w:rFonts w:ascii="Times New Roman" w:hAnsi="Times New Roman"/>
          <w:b w:val="0"/>
          <w:lang w:val="bs-Latn-BA"/>
        </w:rPr>
        <w:t>јачање</w:t>
      </w:r>
      <w:r w:rsidR="00A443AC" w:rsidRPr="00295637">
        <w:rPr>
          <w:rFonts w:ascii="Times New Roman" w:hAnsi="Times New Roman"/>
          <w:b w:val="0"/>
          <w:lang w:val="bs-Latn-BA"/>
        </w:rPr>
        <w:t xml:space="preserve"> </w:t>
      </w:r>
      <w:r w:rsidR="00C6214E">
        <w:rPr>
          <w:rFonts w:ascii="Times New Roman" w:hAnsi="Times New Roman"/>
          <w:b w:val="0"/>
          <w:lang w:val="bs-Latn-BA"/>
        </w:rPr>
        <w:t>капацитета</w:t>
      </w:r>
      <w:r w:rsidR="00A443AC" w:rsidRPr="00295637">
        <w:rPr>
          <w:rFonts w:ascii="Times New Roman" w:hAnsi="Times New Roman"/>
          <w:b w:val="0"/>
          <w:lang w:val="bs-Latn-BA"/>
        </w:rPr>
        <w:t xml:space="preserve">, </w:t>
      </w:r>
      <w:r w:rsidR="00C6214E">
        <w:rPr>
          <w:rFonts w:ascii="Times New Roman" w:hAnsi="Times New Roman"/>
          <w:b w:val="0"/>
          <w:lang w:val="bs-Latn-BA"/>
        </w:rPr>
        <w:t>приступ</w:t>
      </w:r>
      <w:r w:rsidR="00A443AC" w:rsidRPr="00295637">
        <w:rPr>
          <w:rFonts w:ascii="Times New Roman" w:hAnsi="Times New Roman"/>
          <w:b w:val="0"/>
          <w:lang w:val="bs-Latn-BA"/>
        </w:rPr>
        <w:t xml:space="preserve"> </w:t>
      </w:r>
      <w:r w:rsidR="00C6214E">
        <w:rPr>
          <w:rFonts w:ascii="Times New Roman" w:hAnsi="Times New Roman"/>
          <w:b w:val="0"/>
          <w:lang w:val="bs-Latn-BA"/>
        </w:rPr>
        <w:t>и</w:t>
      </w:r>
      <w:r w:rsidR="00A443AC" w:rsidRPr="00295637">
        <w:rPr>
          <w:rFonts w:ascii="Times New Roman" w:hAnsi="Times New Roman"/>
          <w:b w:val="0"/>
          <w:lang w:val="bs-Latn-BA"/>
        </w:rPr>
        <w:t xml:space="preserve"> </w:t>
      </w:r>
      <w:r w:rsidR="00C6214E">
        <w:rPr>
          <w:rFonts w:ascii="Times New Roman" w:hAnsi="Times New Roman"/>
          <w:b w:val="0"/>
          <w:lang w:val="bs-Latn-BA"/>
        </w:rPr>
        <w:t>употребу</w:t>
      </w:r>
      <w:r w:rsidR="00A443AC" w:rsidRPr="00295637">
        <w:rPr>
          <w:rFonts w:ascii="Times New Roman" w:hAnsi="Times New Roman"/>
          <w:b w:val="0"/>
          <w:lang w:val="bs-Latn-BA"/>
        </w:rPr>
        <w:t xml:space="preserve"> </w:t>
      </w:r>
      <w:r w:rsidR="00C6214E">
        <w:rPr>
          <w:rFonts w:ascii="Times New Roman" w:hAnsi="Times New Roman"/>
          <w:b w:val="0"/>
          <w:lang w:val="bs-Latn-BA"/>
        </w:rPr>
        <w:t>нових</w:t>
      </w:r>
      <w:r w:rsidR="00A443AC" w:rsidRPr="00295637">
        <w:rPr>
          <w:rFonts w:ascii="Times New Roman" w:hAnsi="Times New Roman"/>
          <w:b w:val="0"/>
          <w:lang w:val="bs-Latn-BA"/>
        </w:rPr>
        <w:t xml:space="preserve"> </w:t>
      </w:r>
      <w:r w:rsidR="00C6214E">
        <w:rPr>
          <w:rFonts w:ascii="Times New Roman" w:hAnsi="Times New Roman"/>
          <w:b w:val="0"/>
          <w:lang w:val="bs-Latn-BA"/>
        </w:rPr>
        <w:t>информаци</w:t>
      </w:r>
      <w:r>
        <w:rPr>
          <w:rFonts w:ascii="Times New Roman" w:hAnsi="Times New Roman"/>
          <w:b w:val="0"/>
          <w:lang w:val="sr-Cyrl-BA"/>
        </w:rPr>
        <w:t>оних</w:t>
      </w:r>
      <w:r w:rsidR="00A443AC" w:rsidRPr="00295637">
        <w:rPr>
          <w:rFonts w:ascii="Times New Roman" w:hAnsi="Times New Roman"/>
          <w:b w:val="0"/>
          <w:lang w:val="bs-Latn-BA"/>
        </w:rPr>
        <w:t xml:space="preserve"> </w:t>
      </w:r>
      <w:r w:rsidR="00C6214E">
        <w:rPr>
          <w:rFonts w:ascii="Times New Roman" w:hAnsi="Times New Roman"/>
          <w:b w:val="0"/>
          <w:lang w:val="bs-Latn-BA"/>
        </w:rPr>
        <w:t>и</w:t>
      </w:r>
      <w:r w:rsidR="00A443AC" w:rsidRPr="00295637">
        <w:rPr>
          <w:rFonts w:ascii="Times New Roman" w:hAnsi="Times New Roman"/>
          <w:b w:val="0"/>
          <w:lang w:val="bs-Latn-BA"/>
        </w:rPr>
        <w:t xml:space="preserve"> </w:t>
      </w:r>
      <w:r w:rsidR="00C6214E">
        <w:rPr>
          <w:rFonts w:ascii="Times New Roman" w:hAnsi="Times New Roman"/>
          <w:b w:val="0"/>
          <w:lang w:val="bs-Latn-BA"/>
        </w:rPr>
        <w:t>комуникаци</w:t>
      </w:r>
      <w:r>
        <w:rPr>
          <w:rFonts w:ascii="Times New Roman" w:hAnsi="Times New Roman"/>
          <w:b w:val="0"/>
          <w:lang w:val="sr-Cyrl-BA"/>
        </w:rPr>
        <w:t>оних</w:t>
      </w:r>
      <w:r w:rsidR="00A443AC" w:rsidRPr="00295637">
        <w:rPr>
          <w:rFonts w:ascii="Times New Roman" w:hAnsi="Times New Roman"/>
          <w:b w:val="0"/>
          <w:lang w:val="bs-Latn-BA"/>
        </w:rPr>
        <w:t xml:space="preserve"> </w:t>
      </w:r>
      <w:r w:rsidR="00C6214E">
        <w:rPr>
          <w:rFonts w:ascii="Times New Roman" w:hAnsi="Times New Roman"/>
          <w:b w:val="0"/>
          <w:lang w:val="bs-Latn-BA"/>
        </w:rPr>
        <w:t>технологија</w:t>
      </w:r>
      <w:r w:rsidR="00A443AC" w:rsidRPr="00295637">
        <w:rPr>
          <w:rFonts w:ascii="Times New Roman" w:hAnsi="Times New Roman"/>
          <w:b w:val="0"/>
          <w:lang w:val="bs-Latn-BA"/>
        </w:rPr>
        <w:t xml:space="preserve"> </w:t>
      </w:r>
      <w:r w:rsidR="00C6214E">
        <w:rPr>
          <w:rFonts w:ascii="Times New Roman" w:hAnsi="Times New Roman"/>
          <w:b w:val="0"/>
          <w:lang w:val="bs-Latn-BA"/>
        </w:rPr>
        <w:t>у</w:t>
      </w:r>
      <w:r w:rsidR="00A443AC" w:rsidRPr="00295637">
        <w:rPr>
          <w:rFonts w:ascii="Times New Roman" w:hAnsi="Times New Roman"/>
          <w:b w:val="0"/>
          <w:lang w:val="bs-Latn-BA"/>
        </w:rPr>
        <w:t xml:space="preserve"> </w:t>
      </w:r>
      <w:r w:rsidR="00C6214E">
        <w:rPr>
          <w:rFonts w:ascii="Times New Roman" w:hAnsi="Times New Roman"/>
          <w:b w:val="0"/>
          <w:lang w:val="bs-Latn-BA"/>
        </w:rPr>
        <w:t>влади</w:t>
      </w:r>
      <w:r w:rsidR="00A443AC" w:rsidRPr="00295637">
        <w:rPr>
          <w:rFonts w:ascii="Times New Roman" w:hAnsi="Times New Roman"/>
          <w:b w:val="0"/>
          <w:lang w:val="bs-Latn-BA"/>
        </w:rPr>
        <w:t xml:space="preserve">, </w:t>
      </w:r>
      <w:r w:rsidR="00C6214E">
        <w:rPr>
          <w:rFonts w:ascii="Times New Roman" w:hAnsi="Times New Roman"/>
          <w:b w:val="0"/>
          <w:lang w:val="bs-Latn-BA"/>
        </w:rPr>
        <w:t>јавним</w:t>
      </w:r>
      <w:r w:rsidR="00A443AC" w:rsidRPr="00295637">
        <w:rPr>
          <w:rFonts w:ascii="Times New Roman" w:hAnsi="Times New Roman"/>
          <w:b w:val="0"/>
          <w:lang w:val="bs-Latn-BA"/>
        </w:rPr>
        <w:t xml:space="preserve"> </w:t>
      </w:r>
      <w:r w:rsidR="00C6214E">
        <w:rPr>
          <w:rFonts w:ascii="Times New Roman" w:hAnsi="Times New Roman"/>
          <w:b w:val="0"/>
          <w:lang w:val="bs-Latn-BA"/>
        </w:rPr>
        <w:t>и</w:t>
      </w:r>
      <w:r w:rsidR="00A443AC" w:rsidRPr="00295637">
        <w:rPr>
          <w:rFonts w:ascii="Times New Roman" w:hAnsi="Times New Roman"/>
          <w:b w:val="0"/>
          <w:lang w:val="bs-Latn-BA"/>
        </w:rPr>
        <w:t xml:space="preserve"> </w:t>
      </w:r>
      <w:r w:rsidR="00C6214E">
        <w:rPr>
          <w:rFonts w:ascii="Times New Roman" w:hAnsi="Times New Roman"/>
          <w:b w:val="0"/>
          <w:lang w:val="bs-Latn-BA"/>
        </w:rPr>
        <w:t>приватним</w:t>
      </w:r>
      <w:r w:rsidR="00A443AC" w:rsidRPr="00295637">
        <w:rPr>
          <w:rFonts w:ascii="Times New Roman" w:hAnsi="Times New Roman"/>
          <w:b w:val="0"/>
          <w:lang w:val="bs-Latn-BA"/>
        </w:rPr>
        <w:t xml:space="preserve"> </w:t>
      </w:r>
      <w:r w:rsidR="00C6214E">
        <w:rPr>
          <w:rFonts w:ascii="Times New Roman" w:hAnsi="Times New Roman"/>
          <w:b w:val="0"/>
          <w:lang w:val="bs-Latn-BA"/>
        </w:rPr>
        <w:t>предузећима</w:t>
      </w:r>
      <w:r w:rsidR="00A443AC" w:rsidRPr="00295637">
        <w:rPr>
          <w:rFonts w:ascii="Times New Roman" w:hAnsi="Times New Roman"/>
          <w:b w:val="0"/>
          <w:lang w:val="bs-Latn-BA"/>
        </w:rPr>
        <w:t xml:space="preserve">, </w:t>
      </w:r>
      <w:r w:rsidR="00C6214E">
        <w:rPr>
          <w:rFonts w:ascii="Times New Roman" w:hAnsi="Times New Roman"/>
          <w:b w:val="0"/>
          <w:lang w:val="bs-Latn-BA"/>
        </w:rPr>
        <w:t>медијима</w:t>
      </w:r>
      <w:r w:rsidR="00A443AC" w:rsidRPr="00295637">
        <w:rPr>
          <w:rFonts w:ascii="Times New Roman" w:hAnsi="Times New Roman"/>
          <w:b w:val="0"/>
          <w:lang w:val="bs-Latn-BA"/>
        </w:rPr>
        <w:t xml:space="preserve"> </w:t>
      </w:r>
      <w:r w:rsidR="00C6214E">
        <w:rPr>
          <w:rFonts w:ascii="Times New Roman" w:hAnsi="Times New Roman"/>
          <w:b w:val="0"/>
          <w:lang w:val="bs-Latn-BA"/>
        </w:rPr>
        <w:t>као</w:t>
      </w:r>
      <w:r w:rsidR="00A443AC" w:rsidRPr="00295637">
        <w:rPr>
          <w:rFonts w:ascii="Times New Roman" w:hAnsi="Times New Roman"/>
          <w:b w:val="0"/>
          <w:lang w:val="bs-Latn-BA"/>
        </w:rPr>
        <w:t xml:space="preserve"> </w:t>
      </w:r>
      <w:r w:rsidR="00C6214E">
        <w:rPr>
          <w:rFonts w:ascii="Times New Roman" w:hAnsi="Times New Roman"/>
          <w:b w:val="0"/>
          <w:lang w:val="bs-Latn-BA"/>
        </w:rPr>
        <w:t>и</w:t>
      </w:r>
      <w:r w:rsidR="00A443AC" w:rsidRPr="00295637">
        <w:rPr>
          <w:rFonts w:ascii="Times New Roman" w:hAnsi="Times New Roman"/>
          <w:b w:val="0"/>
          <w:lang w:val="bs-Latn-BA"/>
        </w:rPr>
        <w:t xml:space="preserve"> </w:t>
      </w:r>
      <w:r w:rsidR="00C6214E">
        <w:rPr>
          <w:rFonts w:ascii="Times New Roman" w:hAnsi="Times New Roman"/>
          <w:b w:val="0"/>
          <w:lang w:val="bs-Latn-BA"/>
        </w:rPr>
        <w:t>у</w:t>
      </w:r>
      <w:r w:rsidR="00A443AC" w:rsidRPr="00295637">
        <w:rPr>
          <w:rFonts w:ascii="Times New Roman" w:hAnsi="Times New Roman"/>
          <w:b w:val="0"/>
          <w:lang w:val="bs-Latn-BA"/>
        </w:rPr>
        <w:t xml:space="preserve"> </w:t>
      </w:r>
      <w:r w:rsidR="00C6214E">
        <w:rPr>
          <w:rFonts w:ascii="Times New Roman" w:hAnsi="Times New Roman"/>
          <w:b w:val="0"/>
          <w:lang w:val="bs-Latn-BA"/>
        </w:rPr>
        <w:t>сектору</w:t>
      </w:r>
      <w:r w:rsidR="00A443AC" w:rsidRPr="00295637">
        <w:rPr>
          <w:rFonts w:ascii="Times New Roman" w:hAnsi="Times New Roman"/>
          <w:b w:val="0"/>
          <w:lang w:val="bs-Latn-BA"/>
        </w:rPr>
        <w:t xml:space="preserve"> </w:t>
      </w:r>
      <w:r w:rsidR="00C6214E">
        <w:rPr>
          <w:rFonts w:ascii="Times New Roman" w:hAnsi="Times New Roman"/>
          <w:b w:val="0"/>
          <w:lang w:val="bs-Latn-BA"/>
        </w:rPr>
        <w:t>образовања</w:t>
      </w:r>
      <w:r w:rsidR="00A443AC" w:rsidRPr="00295637">
        <w:rPr>
          <w:rFonts w:ascii="Times New Roman" w:hAnsi="Times New Roman"/>
          <w:b w:val="0"/>
          <w:lang w:val="bs-Latn-BA"/>
        </w:rPr>
        <w:t xml:space="preserve">. </w:t>
      </w:r>
    </w:p>
    <w:p w:rsidR="000627E7" w:rsidRPr="000627E7" w:rsidRDefault="000627E7" w:rsidP="0086268D">
      <w:pPr>
        <w:rPr>
          <w:lang w:val="bs-Latn-BA"/>
        </w:rPr>
      </w:pPr>
    </w:p>
    <w:p w:rsidR="00016285" w:rsidRPr="00A43AB2" w:rsidRDefault="00C6214E" w:rsidP="0086268D">
      <w:pPr>
        <w:pStyle w:val="ListParagraph"/>
        <w:ind w:left="0"/>
        <w:jc w:val="both"/>
        <w:rPr>
          <w:rFonts w:ascii="Times New Roman" w:hAnsi="Times New Roman"/>
          <w:lang w:val="sr-Latn-BA"/>
        </w:rPr>
      </w:pPr>
      <w:r>
        <w:rPr>
          <w:rFonts w:ascii="Times New Roman" w:hAnsi="Times New Roman"/>
          <w:lang w:val="sr-Latn-BA"/>
        </w:rPr>
        <w:t>Поводом</w:t>
      </w:r>
      <w:r w:rsidR="009463BD">
        <w:rPr>
          <w:rFonts w:ascii="Times New Roman" w:hAnsi="Times New Roman"/>
          <w:lang w:val="sr-Latn-BA"/>
        </w:rPr>
        <w:t xml:space="preserve"> </w:t>
      </w:r>
      <w:r>
        <w:rPr>
          <w:rFonts w:ascii="Times New Roman" w:hAnsi="Times New Roman"/>
          <w:lang w:val="sr-Latn-BA"/>
        </w:rPr>
        <w:t>Међународног</w:t>
      </w:r>
      <w:r w:rsidR="009463BD">
        <w:rPr>
          <w:rFonts w:ascii="Times New Roman" w:hAnsi="Times New Roman"/>
          <w:lang w:val="sr-Latn-BA"/>
        </w:rPr>
        <w:t xml:space="preserve"> </w:t>
      </w:r>
      <w:r>
        <w:rPr>
          <w:rFonts w:ascii="Times New Roman" w:hAnsi="Times New Roman"/>
          <w:lang w:val="sr-Latn-BA"/>
        </w:rPr>
        <w:t>дана</w:t>
      </w:r>
      <w:r w:rsidR="009463BD">
        <w:rPr>
          <w:rFonts w:ascii="Times New Roman" w:hAnsi="Times New Roman"/>
          <w:lang w:val="sr-Latn-BA"/>
        </w:rPr>
        <w:t xml:space="preserve"> </w:t>
      </w:r>
      <w:r>
        <w:rPr>
          <w:rFonts w:ascii="Times New Roman" w:hAnsi="Times New Roman"/>
          <w:lang w:val="sr-Latn-BA"/>
        </w:rPr>
        <w:t>дјевојчица</w:t>
      </w:r>
      <w:r w:rsidR="009463BD">
        <w:rPr>
          <w:rFonts w:ascii="Times New Roman" w:hAnsi="Times New Roman"/>
          <w:lang w:val="sr-Latn-BA"/>
        </w:rPr>
        <w:t xml:space="preserve"> </w:t>
      </w:r>
      <w:r>
        <w:rPr>
          <w:rFonts w:ascii="Times New Roman" w:hAnsi="Times New Roman"/>
          <w:lang w:val="sr-Latn-BA"/>
        </w:rPr>
        <w:t>у</w:t>
      </w:r>
      <w:r w:rsidR="009463BD">
        <w:rPr>
          <w:rFonts w:ascii="Times New Roman" w:hAnsi="Times New Roman"/>
          <w:lang w:val="sr-Latn-BA"/>
        </w:rPr>
        <w:t xml:space="preserve"> </w:t>
      </w:r>
      <w:r>
        <w:rPr>
          <w:rFonts w:ascii="Times New Roman" w:hAnsi="Times New Roman"/>
          <w:lang w:val="sr-Latn-BA"/>
        </w:rPr>
        <w:t>ИКТ</w:t>
      </w:r>
      <w:r w:rsidR="009463BD">
        <w:rPr>
          <w:rFonts w:ascii="Times New Roman" w:hAnsi="Times New Roman"/>
          <w:lang w:val="sr-Latn-BA"/>
        </w:rPr>
        <w:t>-</w:t>
      </w:r>
      <w:r>
        <w:rPr>
          <w:rFonts w:ascii="Times New Roman" w:hAnsi="Times New Roman"/>
          <w:lang w:val="sr-Latn-BA"/>
        </w:rPr>
        <w:t>у</w:t>
      </w:r>
      <w:r w:rsidR="009463BD">
        <w:rPr>
          <w:rFonts w:ascii="Times New Roman" w:hAnsi="Times New Roman"/>
          <w:lang w:val="sr-Latn-BA"/>
        </w:rPr>
        <w:t xml:space="preserve">, </w:t>
      </w:r>
      <w:r>
        <w:rPr>
          <w:rFonts w:ascii="Times New Roman" w:hAnsi="Times New Roman"/>
          <w:lang w:val="sr-Latn-BA"/>
        </w:rPr>
        <w:t>АР</w:t>
      </w:r>
      <w:r w:rsidR="00F76E81">
        <w:rPr>
          <w:rFonts w:ascii="Times New Roman" w:hAnsi="Times New Roman"/>
          <w:lang w:val="sr-Cyrl-BA"/>
        </w:rPr>
        <w:t>П</w:t>
      </w:r>
      <w:r w:rsidR="00A45B8A">
        <w:rPr>
          <w:rFonts w:ascii="Times New Roman" w:hAnsi="Times New Roman"/>
          <w:lang w:val="sr-Latn-BA"/>
        </w:rPr>
        <w:t xml:space="preserve"> </w:t>
      </w:r>
      <w:r>
        <w:rPr>
          <w:rFonts w:ascii="Times New Roman" w:hAnsi="Times New Roman"/>
          <w:lang w:val="sr-Latn-BA"/>
        </w:rPr>
        <w:t>БиХ</w:t>
      </w:r>
      <w:r w:rsidR="00A45B8A">
        <w:rPr>
          <w:rFonts w:ascii="Times New Roman" w:hAnsi="Times New Roman"/>
          <w:lang w:val="sr-Latn-BA"/>
        </w:rPr>
        <w:t xml:space="preserve"> </w:t>
      </w:r>
      <w:r>
        <w:rPr>
          <w:rFonts w:ascii="Times New Roman" w:hAnsi="Times New Roman"/>
          <w:lang w:val="sr-Latn-BA"/>
        </w:rPr>
        <w:t>МЉПИ</w:t>
      </w:r>
      <w:r w:rsidR="00A45B8A">
        <w:rPr>
          <w:rFonts w:ascii="Times New Roman" w:hAnsi="Times New Roman"/>
          <w:lang w:val="sr-Latn-BA"/>
        </w:rPr>
        <w:t xml:space="preserve"> </w:t>
      </w:r>
      <w:r>
        <w:rPr>
          <w:rFonts w:ascii="Times New Roman" w:hAnsi="Times New Roman"/>
          <w:lang w:val="sr-Latn-BA"/>
        </w:rPr>
        <w:t>БиХ</w:t>
      </w:r>
      <w:r w:rsidR="009463BD">
        <w:rPr>
          <w:rFonts w:ascii="Times New Roman" w:hAnsi="Times New Roman"/>
          <w:lang w:val="sr-Latn-BA"/>
        </w:rPr>
        <w:t xml:space="preserve"> </w:t>
      </w:r>
      <w:r>
        <w:rPr>
          <w:rFonts w:ascii="Times New Roman" w:hAnsi="Times New Roman"/>
          <w:lang w:val="sr-Latn-BA"/>
        </w:rPr>
        <w:t>је</w:t>
      </w:r>
      <w:r w:rsidR="000E3339">
        <w:rPr>
          <w:rFonts w:ascii="Times New Roman" w:hAnsi="Times New Roman"/>
          <w:lang w:val="sr-Latn-BA"/>
        </w:rPr>
        <w:t xml:space="preserve"> </w:t>
      </w:r>
      <w:r>
        <w:rPr>
          <w:rFonts w:ascii="Times New Roman" w:hAnsi="Times New Roman"/>
          <w:lang w:val="sr-Latn-BA"/>
        </w:rPr>
        <w:t>издавањем</w:t>
      </w:r>
      <w:r w:rsidR="000E3339">
        <w:rPr>
          <w:rFonts w:ascii="Times New Roman" w:hAnsi="Times New Roman"/>
          <w:lang w:val="sr-Latn-BA"/>
        </w:rPr>
        <w:t xml:space="preserve"> </w:t>
      </w:r>
      <w:r>
        <w:rPr>
          <w:rFonts w:ascii="Times New Roman" w:hAnsi="Times New Roman"/>
          <w:lang w:val="sr-Latn-BA"/>
        </w:rPr>
        <w:t>саоп</w:t>
      </w:r>
      <w:r w:rsidR="00F76E81">
        <w:rPr>
          <w:rFonts w:ascii="Times New Roman" w:hAnsi="Times New Roman"/>
          <w:lang w:val="sr-Cyrl-BA"/>
        </w:rPr>
        <w:t>шт</w:t>
      </w:r>
      <w:r>
        <w:rPr>
          <w:rFonts w:ascii="Times New Roman" w:hAnsi="Times New Roman"/>
          <w:lang w:val="sr-Latn-BA"/>
        </w:rPr>
        <w:t>ења</w:t>
      </w:r>
      <w:r w:rsidR="000E3339">
        <w:rPr>
          <w:rFonts w:ascii="Times New Roman" w:hAnsi="Times New Roman"/>
          <w:lang w:val="sr-Latn-BA"/>
        </w:rPr>
        <w:t xml:space="preserve"> </w:t>
      </w:r>
      <w:r>
        <w:rPr>
          <w:rFonts w:ascii="Times New Roman" w:hAnsi="Times New Roman"/>
          <w:lang w:val="sr-Latn-BA"/>
        </w:rPr>
        <w:t>скретала</w:t>
      </w:r>
      <w:r w:rsidR="009463BD">
        <w:rPr>
          <w:rFonts w:ascii="Times New Roman" w:hAnsi="Times New Roman"/>
          <w:lang w:val="sr-Latn-BA"/>
        </w:rPr>
        <w:t xml:space="preserve"> </w:t>
      </w:r>
      <w:r>
        <w:rPr>
          <w:rFonts w:ascii="Times New Roman" w:hAnsi="Times New Roman"/>
          <w:lang w:val="sr-Latn-BA"/>
        </w:rPr>
        <w:t>пажњу</w:t>
      </w:r>
      <w:r w:rsidR="009463BD">
        <w:rPr>
          <w:rFonts w:ascii="Times New Roman" w:hAnsi="Times New Roman"/>
          <w:lang w:val="sr-Latn-BA"/>
        </w:rPr>
        <w:t xml:space="preserve"> </w:t>
      </w:r>
      <w:r>
        <w:rPr>
          <w:rFonts w:ascii="Times New Roman" w:hAnsi="Times New Roman"/>
          <w:lang w:val="sr-Latn-BA"/>
        </w:rPr>
        <w:t>јавности</w:t>
      </w:r>
      <w:r w:rsidR="000E3339">
        <w:rPr>
          <w:rFonts w:ascii="Times New Roman" w:hAnsi="Times New Roman"/>
          <w:lang w:val="sr-Latn-BA"/>
        </w:rPr>
        <w:t xml:space="preserve"> </w:t>
      </w:r>
      <w:r>
        <w:rPr>
          <w:rFonts w:ascii="Times New Roman" w:hAnsi="Times New Roman"/>
          <w:lang w:val="sr-Latn-BA"/>
        </w:rPr>
        <w:t>на</w:t>
      </w:r>
      <w:r w:rsidR="000E3339">
        <w:rPr>
          <w:rFonts w:ascii="Times New Roman" w:hAnsi="Times New Roman"/>
          <w:lang w:val="sr-Latn-BA"/>
        </w:rPr>
        <w:t xml:space="preserve"> </w:t>
      </w:r>
      <w:r>
        <w:rPr>
          <w:rFonts w:ascii="Times New Roman" w:hAnsi="Times New Roman"/>
          <w:lang w:val="sr-Latn-BA"/>
        </w:rPr>
        <w:t>важност</w:t>
      </w:r>
      <w:r w:rsidR="000E3339">
        <w:rPr>
          <w:rFonts w:ascii="Times New Roman" w:hAnsi="Times New Roman"/>
          <w:lang w:val="sr-Latn-BA"/>
        </w:rPr>
        <w:t xml:space="preserve"> </w:t>
      </w:r>
      <w:r>
        <w:rPr>
          <w:rFonts w:ascii="Times New Roman" w:hAnsi="Times New Roman"/>
          <w:lang w:val="sr-Latn-BA"/>
        </w:rPr>
        <w:t>веће</w:t>
      </w:r>
      <w:r w:rsidR="009463BD">
        <w:rPr>
          <w:rFonts w:ascii="Times New Roman" w:hAnsi="Times New Roman"/>
          <w:lang w:val="sr-Latn-BA"/>
        </w:rPr>
        <w:t xml:space="preserve"> </w:t>
      </w:r>
      <w:r>
        <w:rPr>
          <w:rFonts w:ascii="Times New Roman" w:hAnsi="Times New Roman"/>
          <w:lang w:val="sr-Latn-BA"/>
        </w:rPr>
        <w:t>укључености</w:t>
      </w:r>
      <w:r w:rsidR="009463BD">
        <w:rPr>
          <w:rFonts w:ascii="Times New Roman" w:hAnsi="Times New Roman"/>
          <w:lang w:val="sr-Latn-BA"/>
        </w:rPr>
        <w:t xml:space="preserve"> </w:t>
      </w:r>
      <w:r>
        <w:rPr>
          <w:rFonts w:ascii="Times New Roman" w:hAnsi="Times New Roman"/>
          <w:lang w:val="sr-Latn-BA"/>
        </w:rPr>
        <w:t>дјевојчица</w:t>
      </w:r>
      <w:r w:rsidR="000E3339">
        <w:rPr>
          <w:rFonts w:ascii="Times New Roman" w:hAnsi="Times New Roman"/>
          <w:lang w:val="sr-Latn-BA"/>
        </w:rPr>
        <w:t xml:space="preserve">, </w:t>
      </w:r>
      <w:r>
        <w:rPr>
          <w:rFonts w:ascii="Times New Roman" w:hAnsi="Times New Roman"/>
          <w:lang w:val="sr-Latn-BA"/>
        </w:rPr>
        <w:t>дјевојака</w:t>
      </w:r>
      <w:r w:rsidR="000E3339">
        <w:rPr>
          <w:rFonts w:ascii="Times New Roman" w:hAnsi="Times New Roman"/>
          <w:lang w:val="sr-Latn-BA"/>
        </w:rPr>
        <w:t xml:space="preserve"> </w:t>
      </w:r>
      <w:r>
        <w:rPr>
          <w:rFonts w:ascii="Times New Roman" w:hAnsi="Times New Roman"/>
          <w:lang w:val="sr-Latn-BA"/>
        </w:rPr>
        <w:t>и</w:t>
      </w:r>
      <w:r w:rsidR="000E3339">
        <w:rPr>
          <w:rFonts w:ascii="Times New Roman" w:hAnsi="Times New Roman"/>
          <w:lang w:val="sr-Latn-BA"/>
        </w:rPr>
        <w:t xml:space="preserve"> </w:t>
      </w:r>
      <w:r>
        <w:rPr>
          <w:rFonts w:ascii="Times New Roman" w:hAnsi="Times New Roman"/>
          <w:lang w:val="sr-Latn-BA"/>
        </w:rPr>
        <w:t>жена</w:t>
      </w:r>
      <w:r w:rsidR="009463BD">
        <w:rPr>
          <w:rFonts w:ascii="Times New Roman" w:hAnsi="Times New Roman"/>
          <w:lang w:val="sr-Latn-BA"/>
        </w:rPr>
        <w:t xml:space="preserve"> </w:t>
      </w:r>
      <w:r>
        <w:rPr>
          <w:rFonts w:ascii="Times New Roman" w:hAnsi="Times New Roman"/>
          <w:lang w:val="sr-Latn-BA"/>
        </w:rPr>
        <w:t>у</w:t>
      </w:r>
      <w:r w:rsidR="009463BD">
        <w:rPr>
          <w:rFonts w:ascii="Times New Roman" w:hAnsi="Times New Roman"/>
          <w:lang w:val="sr-Latn-BA"/>
        </w:rPr>
        <w:t xml:space="preserve"> </w:t>
      </w:r>
      <w:r>
        <w:rPr>
          <w:rFonts w:ascii="Times New Roman" w:hAnsi="Times New Roman"/>
          <w:lang w:val="sr-Latn-BA"/>
        </w:rPr>
        <w:t>образовање</w:t>
      </w:r>
      <w:r w:rsidR="009463BD">
        <w:rPr>
          <w:rFonts w:ascii="Times New Roman" w:hAnsi="Times New Roman"/>
          <w:lang w:val="sr-Latn-BA"/>
        </w:rPr>
        <w:t xml:space="preserve"> </w:t>
      </w:r>
      <w:r>
        <w:rPr>
          <w:rFonts w:ascii="Times New Roman" w:hAnsi="Times New Roman"/>
          <w:lang w:val="sr-Latn-BA"/>
        </w:rPr>
        <w:t>у</w:t>
      </w:r>
      <w:r w:rsidR="009463BD">
        <w:rPr>
          <w:rFonts w:ascii="Times New Roman" w:hAnsi="Times New Roman"/>
          <w:lang w:val="sr-Latn-BA"/>
        </w:rPr>
        <w:t xml:space="preserve"> </w:t>
      </w:r>
      <w:r>
        <w:rPr>
          <w:rFonts w:ascii="Times New Roman" w:hAnsi="Times New Roman"/>
          <w:lang w:val="sr-Latn-BA"/>
        </w:rPr>
        <w:t>овој</w:t>
      </w:r>
      <w:r w:rsidR="009463BD">
        <w:rPr>
          <w:rFonts w:ascii="Times New Roman" w:hAnsi="Times New Roman"/>
          <w:lang w:val="sr-Latn-BA"/>
        </w:rPr>
        <w:t xml:space="preserve"> </w:t>
      </w:r>
      <w:r>
        <w:rPr>
          <w:rFonts w:ascii="Times New Roman" w:hAnsi="Times New Roman"/>
          <w:lang w:val="sr-Latn-BA"/>
        </w:rPr>
        <w:t>области</w:t>
      </w:r>
      <w:r w:rsidR="009463BD">
        <w:rPr>
          <w:rFonts w:ascii="Times New Roman" w:hAnsi="Times New Roman"/>
          <w:lang w:val="sr-Latn-BA"/>
        </w:rPr>
        <w:t xml:space="preserve">. </w:t>
      </w:r>
      <w:r>
        <w:rPr>
          <w:rFonts w:ascii="Times New Roman" w:hAnsi="Times New Roman"/>
          <w:lang w:val="sr-Latn-BA"/>
        </w:rPr>
        <w:t>Овај</w:t>
      </w:r>
      <w:r w:rsidR="009463BD">
        <w:rPr>
          <w:rFonts w:ascii="Times New Roman" w:hAnsi="Times New Roman"/>
          <w:lang w:val="sr-Latn-BA"/>
        </w:rPr>
        <w:t xml:space="preserve"> </w:t>
      </w:r>
      <w:r>
        <w:rPr>
          <w:rFonts w:ascii="Times New Roman" w:hAnsi="Times New Roman"/>
          <w:lang w:val="sr-Latn-BA"/>
        </w:rPr>
        <w:t>међународни</w:t>
      </w:r>
      <w:r w:rsidR="009463BD">
        <w:rPr>
          <w:rFonts w:ascii="Times New Roman" w:hAnsi="Times New Roman"/>
          <w:lang w:val="sr-Latn-BA"/>
        </w:rPr>
        <w:t xml:space="preserve"> </w:t>
      </w:r>
      <w:r>
        <w:rPr>
          <w:rFonts w:ascii="Times New Roman" w:hAnsi="Times New Roman"/>
          <w:lang w:val="sr-Latn-BA"/>
        </w:rPr>
        <w:t>дан</w:t>
      </w:r>
      <w:r w:rsidR="009463BD">
        <w:rPr>
          <w:rFonts w:ascii="Times New Roman" w:hAnsi="Times New Roman"/>
          <w:lang w:val="sr-Latn-BA"/>
        </w:rPr>
        <w:t xml:space="preserve"> </w:t>
      </w:r>
      <w:r>
        <w:rPr>
          <w:rFonts w:ascii="Times New Roman" w:hAnsi="Times New Roman"/>
          <w:lang w:val="sr-Latn-BA"/>
        </w:rPr>
        <w:t>је</w:t>
      </w:r>
      <w:r w:rsidR="009463BD">
        <w:rPr>
          <w:rFonts w:ascii="Times New Roman" w:hAnsi="Times New Roman"/>
          <w:lang w:val="sr-Latn-BA"/>
        </w:rPr>
        <w:t xml:space="preserve"> </w:t>
      </w:r>
      <w:r>
        <w:rPr>
          <w:rFonts w:ascii="Times New Roman" w:hAnsi="Times New Roman"/>
          <w:lang w:val="sr-Latn-BA"/>
        </w:rPr>
        <w:t>обиљежио</w:t>
      </w:r>
      <w:r w:rsidR="009463BD">
        <w:rPr>
          <w:rFonts w:ascii="Times New Roman" w:hAnsi="Times New Roman"/>
          <w:lang w:val="sr-Latn-BA"/>
        </w:rPr>
        <w:t xml:space="preserve"> </w:t>
      </w:r>
      <w:r>
        <w:rPr>
          <w:rFonts w:ascii="Times New Roman" w:hAnsi="Times New Roman"/>
          <w:lang w:val="sr-Latn-BA"/>
        </w:rPr>
        <w:t>и</w:t>
      </w:r>
      <w:r w:rsidR="009463BD">
        <w:rPr>
          <w:rFonts w:ascii="Times New Roman" w:hAnsi="Times New Roman"/>
          <w:lang w:val="sr-Latn-BA"/>
        </w:rPr>
        <w:t xml:space="preserve"> </w:t>
      </w:r>
      <w:r>
        <w:rPr>
          <w:rFonts w:ascii="Times New Roman" w:hAnsi="Times New Roman"/>
          <w:lang w:val="sr-Latn-BA"/>
        </w:rPr>
        <w:t>ЦЈРП</w:t>
      </w:r>
      <w:r w:rsidR="00207763" w:rsidRPr="00295637">
        <w:rPr>
          <w:rFonts w:ascii="Times New Roman" w:hAnsi="Times New Roman"/>
          <w:lang w:val="sr-Latn-BA"/>
        </w:rPr>
        <w:t xml:space="preserve"> </w:t>
      </w:r>
      <w:r>
        <w:rPr>
          <w:rFonts w:ascii="Times New Roman" w:hAnsi="Times New Roman"/>
          <w:lang w:val="sr-Latn-BA"/>
        </w:rPr>
        <w:t>РС</w:t>
      </w:r>
      <w:r w:rsidR="00207763" w:rsidRPr="00295637">
        <w:rPr>
          <w:rFonts w:ascii="Times New Roman" w:hAnsi="Times New Roman"/>
          <w:lang w:val="sr-Latn-BA"/>
        </w:rPr>
        <w:t xml:space="preserve"> </w:t>
      </w:r>
      <w:r w:rsidR="00F76E81">
        <w:rPr>
          <w:rFonts w:ascii="Times New Roman" w:hAnsi="Times New Roman"/>
          <w:lang w:val="sr-Cyrl-BA"/>
        </w:rPr>
        <w:t>спровођењем</w:t>
      </w:r>
      <w:r w:rsidR="00DE7E99">
        <w:rPr>
          <w:rFonts w:ascii="Times New Roman" w:hAnsi="Times New Roman"/>
          <w:lang w:val="sr-Latn-BA"/>
        </w:rPr>
        <w:t xml:space="preserve"> </w:t>
      </w:r>
      <w:r>
        <w:rPr>
          <w:rFonts w:ascii="Times New Roman" w:hAnsi="Times New Roman"/>
          <w:lang w:val="sr-Latn-BA"/>
        </w:rPr>
        <w:t>кампање</w:t>
      </w:r>
      <w:r w:rsidR="00DE7E99">
        <w:rPr>
          <w:rFonts w:ascii="Times New Roman" w:hAnsi="Times New Roman"/>
          <w:lang w:val="sr-Latn-BA"/>
        </w:rPr>
        <w:t xml:space="preserve"> </w:t>
      </w:r>
      <w:r>
        <w:rPr>
          <w:rFonts w:ascii="Times New Roman" w:hAnsi="Times New Roman"/>
          <w:lang w:val="sr-Cyrl-BA"/>
        </w:rPr>
        <w:t>и</w:t>
      </w:r>
      <w:r w:rsidR="00207763" w:rsidRPr="00295637">
        <w:rPr>
          <w:rFonts w:ascii="Times New Roman" w:hAnsi="Times New Roman"/>
          <w:lang w:val="sr-Cyrl-BA"/>
        </w:rPr>
        <w:t xml:space="preserve"> </w:t>
      </w:r>
      <w:r>
        <w:rPr>
          <w:rFonts w:ascii="Times New Roman" w:hAnsi="Times New Roman"/>
          <w:lang w:val="sr-Cyrl-BA"/>
        </w:rPr>
        <w:t>организ</w:t>
      </w:r>
      <w:r w:rsidR="00F76E81">
        <w:rPr>
          <w:rFonts w:ascii="Times New Roman" w:hAnsi="Times New Roman"/>
          <w:lang w:val="sr-Cyrl-BA"/>
        </w:rPr>
        <w:t>овањем</w:t>
      </w:r>
      <w:r w:rsidR="009463BD" w:rsidRPr="00295637">
        <w:rPr>
          <w:rFonts w:ascii="Times New Roman" w:hAnsi="Times New Roman"/>
          <w:lang w:val="sr-Cyrl-BA"/>
        </w:rPr>
        <w:t xml:space="preserve"> </w:t>
      </w:r>
      <w:r>
        <w:rPr>
          <w:rFonts w:ascii="Times New Roman" w:hAnsi="Times New Roman"/>
          <w:lang w:val="sr-Cyrl-BA"/>
        </w:rPr>
        <w:t>предавањ</w:t>
      </w:r>
      <w:r>
        <w:rPr>
          <w:rFonts w:ascii="Times New Roman" w:hAnsi="Times New Roman"/>
          <w:lang w:val="bs-Latn-BA"/>
        </w:rPr>
        <w:t>а</w:t>
      </w:r>
      <w:r w:rsidR="00207763" w:rsidRPr="00295637">
        <w:rPr>
          <w:rFonts w:ascii="Times New Roman" w:hAnsi="Times New Roman"/>
          <w:lang w:val="sr-Cyrl-BA"/>
        </w:rPr>
        <w:t xml:space="preserve"> </w:t>
      </w:r>
      <w:r>
        <w:rPr>
          <w:rFonts w:ascii="Times New Roman" w:hAnsi="Times New Roman"/>
          <w:lang w:val="sr-Cyrl-BA"/>
        </w:rPr>
        <w:t>за</w:t>
      </w:r>
      <w:r w:rsidR="00207763" w:rsidRPr="00295637">
        <w:rPr>
          <w:rFonts w:ascii="Times New Roman" w:hAnsi="Times New Roman"/>
          <w:lang w:val="sr-Cyrl-BA"/>
        </w:rPr>
        <w:t xml:space="preserve"> </w:t>
      </w:r>
      <w:r>
        <w:rPr>
          <w:rFonts w:ascii="Times New Roman" w:hAnsi="Times New Roman"/>
          <w:lang w:val="sr-Cyrl-BA"/>
        </w:rPr>
        <w:t>ђаке</w:t>
      </w:r>
      <w:r w:rsidR="00207763" w:rsidRPr="00295637">
        <w:rPr>
          <w:rFonts w:ascii="Times New Roman" w:hAnsi="Times New Roman"/>
          <w:lang w:val="sr-Cyrl-BA"/>
        </w:rPr>
        <w:t xml:space="preserve"> </w:t>
      </w:r>
      <w:r>
        <w:rPr>
          <w:rFonts w:ascii="Times New Roman" w:hAnsi="Times New Roman"/>
          <w:lang w:val="sr-Cyrl-BA"/>
        </w:rPr>
        <w:t>Електротехничке</w:t>
      </w:r>
      <w:r w:rsidR="00207763" w:rsidRPr="00295637">
        <w:rPr>
          <w:rFonts w:ascii="Times New Roman" w:hAnsi="Times New Roman"/>
          <w:lang w:val="sr-Cyrl-BA"/>
        </w:rPr>
        <w:t xml:space="preserve"> </w:t>
      </w:r>
      <w:r>
        <w:rPr>
          <w:rFonts w:ascii="Times New Roman" w:hAnsi="Times New Roman"/>
          <w:lang w:val="sr-Cyrl-BA"/>
        </w:rPr>
        <w:t>школе</w:t>
      </w:r>
      <w:r w:rsidR="00207763" w:rsidRPr="00295637">
        <w:rPr>
          <w:rFonts w:ascii="Times New Roman" w:hAnsi="Times New Roman"/>
          <w:lang w:val="sr-Cyrl-BA"/>
        </w:rPr>
        <w:t xml:space="preserve"> „</w:t>
      </w:r>
      <w:r>
        <w:rPr>
          <w:rFonts w:ascii="Times New Roman" w:hAnsi="Times New Roman"/>
          <w:lang w:val="sr-Cyrl-BA"/>
        </w:rPr>
        <w:t>Никола</w:t>
      </w:r>
      <w:r w:rsidR="00207763" w:rsidRPr="00295637">
        <w:rPr>
          <w:rFonts w:ascii="Times New Roman" w:hAnsi="Times New Roman"/>
          <w:lang w:val="sr-Cyrl-BA"/>
        </w:rPr>
        <w:t xml:space="preserve"> </w:t>
      </w:r>
      <w:r>
        <w:rPr>
          <w:rFonts w:ascii="Times New Roman" w:hAnsi="Times New Roman"/>
          <w:lang w:val="sr-Cyrl-BA"/>
        </w:rPr>
        <w:t>Тесла</w:t>
      </w:r>
      <w:r w:rsidR="00207763" w:rsidRPr="00295637">
        <w:rPr>
          <w:rFonts w:ascii="Times New Roman" w:hAnsi="Times New Roman"/>
          <w:lang w:val="sr-Cyrl-BA"/>
        </w:rPr>
        <w:t xml:space="preserve">“ </w:t>
      </w:r>
      <w:r>
        <w:rPr>
          <w:rFonts w:ascii="Times New Roman" w:hAnsi="Times New Roman"/>
          <w:lang w:val="sr-Cyrl-BA"/>
        </w:rPr>
        <w:t>у</w:t>
      </w:r>
      <w:r w:rsidR="00207763" w:rsidRPr="00295637">
        <w:rPr>
          <w:rFonts w:ascii="Times New Roman" w:hAnsi="Times New Roman"/>
          <w:lang w:val="sr-Cyrl-BA"/>
        </w:rPr>
        <w:t xml:space="preserve"> </w:t>
      </w:r>
      <w:r>
        <w:rPr>
          <w:rFonts w:ascii="Times New Roman" w:hAnsi="Times New Roman"/>
          <w:lang w:val="sr-Cyrl-BA"/>
        </w:rPr>
        <w:t>Бањој</w:t>
      </w:r>
      <w:r w:rsidR="00207763" w:rsidRPr="00295637">
        <w:rPr>
          <w:rFonts w:ascii="Times New Roman" w:hAnsi="Times New Roman"/>
          <w:lang w:val="sr-Cyrl-BA"/>
        </w:rPr>
        <w:t xml:space="preserve"> </w:t>
      </w:r>
      <w:r>
        <w:rPr>
          <w:rFonts w:ascii="Times New Roman" w:hAnsi="Times New Roman"/>
          <w:lang w:val="sr-Cyrl-BA"/>
        </w:rPr>
        <w:t>Луци</w:t>
      </w:r>
      <w:r w:rsidR="00207763" w:rsidRPr="00295637">
        <w:rPr>
          <w:rFonts w:ascii="Times New Roman" w:hAnsi="Times New Roman"/>
          <w:lang w:val="sr-Cyrl-BA"/>
        </w:rPr>
        <w:t>.</w:t>
      </w:r>
    </w:p>
    <w:p w:rsidR="000627E7" w:rsidRPr="00295637" w:rsidRDefault="000627E7" w:rsidP="0086268D">
      <w:pPr>
        <w:tabs>
          <w:tab w:val="left" w:pos="284"/>
          <w:tab w:val="left" w:pos="630"/>
          <w:tab w:val="left" w:pos="1080"/>
        </w:tabs>
        <w:ind w:left="1080"/>
        <w:jc w:val="both"/>
        <w:rPr>
          <w:rFonts w:ascii="Times New Roman" w:hAnsi="Times New Roman"/>
          <w:szCs w:val="24"/>
          <w:lang w:val="bs-Latn-BA"/>
        </w:rPr>
      </w:pPr>
    </w:p>
    <w:p w:rsidR="00D47A59" w:rsidRPr="00295637" w:rsidRDefault="00F76E81" w:rsidP="0086268D">
      <w:pPr>
        <w:pStyle w:val="Heading4"/>
        <w:numPr>
          <w:ilvl w:val="0"/>
          <w:numId w:val="0"/>
        </w:numPr>
        <w:tabs>
          <w:tab w:val="clear" w:pos="630"/>
          <w:tab w:val="left" w:pos="1710"/>
        </w:tabs>
        <w:spacing w:after="0" w:line="240" w:lineRule="auto"/>
        <w:ind w:left="1170" w:hanging="900"/>
        <w:rPr>
          <w:rFonts w:ascii="Times New Roman" w:hAnsi="Times New Roman"/>
          <w:b w:val="0"/>
          <w:lang w:val="bs-Latn-BA"/>
        </w:rPr>
      </w:pPr>
      <w:r>
        <w:rPr>
          <w:rFonts w:ascii="Times New Roman" w:hAnsi="Times New Roman"/>
          <w:b w:val="0"/>
          <w:lang w:val="bs-Latn-BA"/>
        </w:rPr>
        <w:t>I</w:t>
      </w:r>
      <w:r w:rsidR="00AF0B6A">
        <w:rPr>
          <w:rFonts w:ascii="Times New Roman" w:hAnsi="Times New Roman"/>
          <w:b w:val="0"/>
          <w:lang w:val="bs-Latn-BA"/>
        </w:rPr>
        <w:t xml:space="preserve"> </w:t>
      </w:r>
      <w:r>
        <w:rPr>
          <w:rFonts w:ascii="Times New Roman" w:hAnsi="Times New Roman"/>
          <w:b w:val="0"/>
          <w:lang w:val="bs-Latn-BA"/>
        </w:rPr>
        <w:t xml:space="preserve">4.8 </w:t>
      </w:r>
      <w:r>
        <w:rPr>
          <w:rFonts w:ascii="Times New Roman" w:hAnsi="Times New Roman"/>
          <w:b w:val="0"/>
          <w:lang w:val="sr-Cyrl-BA"/>
        </w:rPr>
        <w:t xml:space="preserve"> </w:t>
      </w:r>
      <w:r w:rsidR="00C6214E">
        <w:rPr>
          <w:rFonts w:ascii="Times New Roman" w:hAnsi="Times New Roman"/>
          <w:b w:val="0"/>
          <w:lang w:val="bs-Latn-BA"/>
        </w:rPr>
        <w:t>Подршка</w:t>
      </w:r>
      <w:r w:rsidR="00EB6E0A" w:rsidRPr="00295637">
        <w:rPr>
          <w:rFonts w:ascii="Times New Roman" w:hAnsi="Times New Roman"/>
          <w:b w:val="0"/>
          <w:lang w:val="bs-Latn-BA"/>
        </w:rPr>
        <w:t xml:space="preserve"> </w:t>
      </w:r>
      <w:r w:rsidR="00C6214E">
        <w:rPr>
          <w:rFonts w:ascii="Times New Roman" w:hAnsi="Times New Roman"/>
          <w:b w:val="0"/>
          <w:lang w:val="bs-Latn-BA"/>
        </w:rPr>
        <w:t>едукативним</w:t>
      </w:r>
      <w:r w:rsidR="00EB6E0A" w:rsidRPr="00295637">
        <w:rPr>
          <w:rFonts w:ascii="Times New Roman" w:hAnsi="Times New Roman"/>
          <w:b w:val="0"/>
          <w:lang w:val="bs-Latn-BA"/>
        </w:rPr>
        <w:t xml:space="preserve"> </w:t>
      </w:r>
      <w:r w:rsidR="00C6214E">
        <w:rPr>
          <w:rFonts w:ascii="Times New Roman" w:hAnsi="Times New Roman"/>
          <w:b w:val="0"/>
          <w:lang w:val="bs-Latn-BA"/>
        </w:rPr>
        <w:t>и</w:t>
      </w:r>
      <w:r w:rsidR="00EB6E0A" w:rsidRPr="00295637">
        <w:rPr>
          <w:rFonts w:ascii="Times New Roman" w:hAnsi="Times New Roman"/>
          <w:b w:val="0"/>
          <w:lang w:val="bs-Latn-BA"/>
        </w:rPr>
        <w:t xml:space="preserve"> </w:t>
      </w:r>
      <w:r w:rsidR="00C6214E">
        <w:rPr>
          <w:rFonts w:ascii="Times New Roman" w:hAnsi="Times New Roman"/>
          <w:b w:val="0"/>
          <w:lang w:val="bs-Latn-BA"/>
        </w:rPr>
        <w:t>истраживачким</w:t>
      </w:r>
      <w:r w:rsidR="00EB6E0A" w:rsidRPr="00295637">
        <w:rPr>
          <w:rFonts w:ascii="Times New Roman" w:hAnsi="Times New Roman"/>
          <w:b w:val="0"/>
          <w:lang w:val="bs-Latn-BA"/>
        </w:rPr>
        <w:t xml:space="preserve"> </w:t>
      </w:r>
      <w:r w:rsidR="00C6214E">
        <w:rPr>
          <w:rFonts w:ascii="Times New Roman" w:hAnsi="Times New Roman"/>
          <w:b w:val="0"/>
          <w:lang w:val="bs-Latn-BA"/>
        </w:rPr>
        <w:t>активностима</w:t>
      </w:r>
      <w:r w:rsidR="00EB6E0A" w:rsidRPr="00295637">
        <w:rPr>
          <w:rFonts w:ascii="Times New Roman" w:hAnsi="Times New Roman"/>
          <w:b w:val="0"/>
          <w:lang w:val="bs-Latn-BA"/>
        </w:rPr>
        <w:t xml:space="preserve"> </w:t>
      </w:r>
      <w:r w:rsidR="00C6214E">
        <w:rPr>
          <w:rFonts w:ascii="Times New Roman" w:hAnsi="Times New Roman"/>
          <w:b w:val="0"/>
          <w:lang w:val="bs-Latn-BA"/>
        </w:rPr>
        <w:t>на</w:t>
      </w:r>
      <w:r w:rsidR="00EB6E0A" w:rsidRPr="00295637">
        <w:rPr>
          <w:rFonts w:ascii="Times New Roman" w:hAnsi="Times New Roman"/>
          <w:b w:val="0"/>
          <w:lang w:val="bs-Latn-BA"/>
        </w:rPr>
        <w:t xml:space="preserve"> </w:t>
      </w:r>
      <w:r w:rsidR="00C6214E">
        <w:rPr>
          <w:rFonts w:ascii="Times New Roman" w:hAnsi="Times New Roman"/>
          <w:b w:val="0"/>
          <w:lang w:val="bs-Latn-BA"/>
        </w:rPr>
        <w:t>универзитетима</w:t>
      </w:r>
      <w:r w:rsidR="00EB6E0A" w:rsidRPr="00295637">
        <w:rPr>
          <w:rFonts w:ascii="Times New Roman" w:hAnsi="Times New Roman"/>
          <w:b w:val="0"/>
          <w:lang w:val="bs-Latn-BA"/>
        </w:rPr>
        <w:t xml:space="preserve"> </w:t>
      </w:r>
      <w:r w:rsidR="00C6214E">
        <w:rPr>
          <w:rFonts w:ascii="Times New Roman" w:hAnsi="Times New Roman"/>
          <w:b w:val="0"/>
          <w:lang w:val="bs-Latn-BA"/>
        </w:rPr>
        <w:t>и</w:t>
      </w:r>
      <w:r w:rsidR="00EB6E0A" w:rsidRPr="00295637">
        <w:rPr>
          <w:rFonts w:ascii="Times New Roman" w:hAnsi="Times New Roman"/>
          <w:b w:val="0"/>
          <w:lang w:val="bs-Latn-BA"/>
        </w:rPr>
        <w:t xml:space="preserve"> </w:t>
      </w:r>
      <w:r w:rsidR="00C6214E">
        <w:rPr>
          <w:rFonts w:ascii="Times New Roman" w:hAnsi="Times New Roman"/>
          <w:b w:val="0"/>
          <w:lang w:val="bs-Latn-BA"/>
        </w:rPr>
        <w:t>истраживачким</w:t>
      </w:r>
      <w:r w:rsidR="00EB6E0A" w:rsidRPr="00295637">
        <w:rPr>
          <w:rFonts w:ascii="Times New Roman" w:hAnsi="Times New Roman"/>
          <w:b w:val="0"/>
          <w:lang w:val="bs-Latn-BA"/>
        </w:rPr>
        <w:t xml:space="preserve"> </w:t>
      </w:r>
      <w:r w:rsidR="00FA3895" w:rsidRPr="00295637">
        <w:rPr>
          <w:rFonts w:ascii="Times New Roman" w:hAnsi="Times New Roman"/>
          <w:b w:val="0"/>
          <w:lang w:val="bs-Latn-BA"/>
        </w:rPr>
        <w:t xml:space="preserve">  </w:t>
      </w:r>
      <w:r w:rsidR="00C6214E">
        <w:rPr>
          <w:rFonts w:ascii="Times New Roman" w:hAnsi="Times New Roman"/>
          <w:b w:val="0"/>
          <w:lang w:val="bs-Latn-BA"/>
        </w:rPr>
        <w:t>институтима</w:t>
      </w:r>
      <w:r w:rsidR="00EB6E0A" w:rsidRPr="00295637">
        <w:rPr>
          <w:rFonts w:ascii="Times New Roman" w:hAnsi="Times New Roman"/>
          <w:b w:val="0"/>
          <w:lang w:val="bs-Latn-BA"/>
        </w:rPr>
        <w:t xml:space="preserve"> </w:t>
      </w:r>
      <w:r w:rsidR="00C6214E">
        <w:rPr>
          <w:rFonts w:ascii="Times New Roman" w:hAnsi="Times New Roman"/>
          <w:b w:val="0"/>
          <w:lang w:val="bs-Latn-BA"/>
        </w:rPr>
        <w:t>у</w:t>
      </w:r>
      <w:r w:rsidR="00EB6E0A" w:rsidRPr="00295637">
        <w:rPr>
          <w:rFonts w:ascii="Times New Roman" w:hAnsi="Times New Roman"/>
          <w:b w:val="0"/>
          <w:lang w:val="bs-Latn-BA"/>
        </w:rPr>
        <w:t xml:space="preserve"> </w:t>
      </w:r>
      <w:r w:rsidR="00C6214E">
        <w:rPr>
          <w:rFonts w:ascii="Times New Roman" w:hAnsi="Times New Roman"/>
          <w:b w:val="0"/>
          <w:lang w:val="bs-Latn-BA"/>
        </w:rPr>
        <w:t>области</w:t>
      </w:r>
      <w:r w:rsidR="00DE7E99">
        <w:rPr>
          <w:rFonts w:ascii="Times New Roman" w:hAnsi="Times New Roman"/>
          <w:b w:val="0"/>
          <w:lang w:val="bs-Latn-BA"/>
        </w:rPr>
        <w:t xml:space="preserve"> </w:t>
      </w:r>
      <w:r w:rsidR="00C6214E">
        <w:rPr>
          <w:rFonts w:ascii="Times New Roman" w:hAnsi="Times New Roman"/>
          <w:b w:val="0"/>
          <w:lang w:val="bs-Latn-BA"/>
        </w:rPr>
        <w:t>равноправности</w:t>
      </w:r>
      <w:r w:rsidR="00EB6E0A" w:rsidRPr="00295637">
        <w:rPr>
          <w:rFonts w:ascii="Times New Roman" w:hAnsi="Times New Roman"/>
          <w:b w:val="0"/>
          <w:lang w:val="bs-Latn-BA"/>
        </w:rPr>
        <w:t xml:space="preserve"> </w:t>
      </w:r>
      <w:r w:rsidR="00C6214E">
        <w:rPr>
          <w:rFonts w:ascii="Times New Roman" w:hAnsi="Times New Roman"/>
          <w:b w:val="0"/>
          <w:lang w:val="bs-Latn-BA"/>
        </w:rPr>
        <w:t>полова</w:t>
      </w:r>
      <w:r w:rsidR="00DE7E99">
        <w:rPr>
          <w:rFonts w:ascii="Times New Roman" w:hAnsi="Times New Roman"/>
          <w:b w:val="0"/>
          <w:lang w:val="bs-Latn-BA"/>
        </w:rPr>
        <w:t>.</w:t>
      </w:r>
    </w:p>
    <w:p w:rsidR="00016285" w:rsidRPr="00295637" w:rsidRDefault="00016285" w:rsidP="0086268D">
      <w:pPr>
        <w:rPr>
          <w:lang w:val="bs-Latn-BA"/>
        </w:rPr>
      </w:pPr>
    </w:p>
    <w:p w:rsidR="00A92736" w:rsidRPr="00295637" w:rsidRDefault="00C6214E" w:rsidP="0086268D">
      <w:pPr>
        <w:jc w:val="both"/>
        <w:rPr>
          <w:rFonts w:ascii="Times New Roman" w:hAnsi="Times New Roman"/>
          <w:szCs w:val="24"/>
          <w:lang w:val="bs-Latn-BA" w:eastAsia="fr-FR"/>
        </w:rPr>
      </w:pPr>
      <w:r w:rsidRPr="00937482">
        <w:rPr>
          <w:rFonts w:ascii="Times New Roman" w:hAnsi="Times New Roman"/>
          <w:szCs w:val="24"/>
          <w:lang w:val="bs-Latn-BA" w:eastAsia="fr-FR"/>
        </w:rPr>
        <w:t>У</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оквиру</w:t>
      </w:r>
      <w:r w:rsidR="00004990" w:rsidRPr="00937482">
        <w:rPr>
          <w:rFonts w:ascii="Times New Roman" w:hAnsi="Times New Roman"/>
          <w:szCs w:val="24"/>
          <w:lang w:val="bs-Latn-BA" w:eastAsia="fr-FR"/>
        </w:rPr>
        <w:t xml:space="preserve"> </w:t>
      </w:r>
      <w:r w:rsidR="00937482" w:rsidRPr="00937482">
        <w:rPr>
          <w:rFonts w:ascii="Times New Roman" w:hAnsi="Times New Roman"/>
          <w:i/>
          <w:szCs w:val="24"/>
          <w:lang w:val="bs-Latn-BA" w:eastAsia="fr-FR"/>
        </w:rPr>
        <w:t>UNIGEM</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пројекта</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Универзитети</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гендер</w:t>
      </w:r>
      <w:r w:rsidR="00004990" w:rsidRPr="00937482">
        <w:rPr>
          <w:rFonts w:ascii="Times New Roman" w:hAnsi="Times New Roman"/>
          <w:szCs w:val="24"/>
          <w:lang w:val="bs-Latn-BA" w:eastAsia="fr-FR"/>
        </w:rPr>
        <w:t xml:space="preserve"> </w:t>
      </w:r>
      <w:r w:rsidRPr="00937482">
        <w:rPr>
          <w:rFonts w:ascii="Times New Roman" w:hAnsi="Times New Roman"/>
          <w:i/>
          <w:szCs w:val="24"/>
          <w:lang w:val="bs-Latn-BA" w:eastAsia="fr-FR"/>
        </w:rPr>
        <w:t>маинстреаминг</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којег</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подржава</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влада</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УСК</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ТПО</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фондација</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је</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у</w:t>
      </w:r>
      <w:r w:rsidR="00004990" w:rsidRPr="00937482">
        <w:rPr>
          <w:rFonts w:ascii="Times New Roman" w:hAnsi="Times New Roman"/>
          <w:szCs w:val="24"/>
          <w:lang w:val="bs-Latn-BA" w:eastAsia="fr-FR"/>
        </w:rPr>
        <w:t xml:space="preserve"> 2024. </w:t>
      </w:r>
      <w:r w:rsidRPr="00937482">
        <w:rPr>
          <w:rFonts w:ascii="Times New Roman" w:hAnsi="Times New Roman"/>
          <w:szCs w:val="24"/>
          <w:lang w:val="bs-Latn-BA" w:eastAsia="fr-FR"/>
        </w:rPr>
        <w:t>години</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издала</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публикацију</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Колико</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кошта</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колико</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боли</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Друштвено</w:t>
      </w:r>
      <w:r w:rsidR="00004990"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декодирање</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менструације</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на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универзитетима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у</w:t>
      </w:r>
      <w:r w:rsidR="00DE7E99"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БиХ</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као</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резултат</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првог</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истраживања</w:t>
      </w:r>
      <w:r w:rsidR="00822AD8" w:rsidRPr="00937482">
        <w:rPr>
          <w:rFonts w:ascii="Times New Roman" w:hAnsi="Times New Roman"/>
          <w:szCs w:val="24"/>
          <w:lang w:val="bs-Latn-BA" w:eastAsia="fr-FR"/>
        </w:rPr>
        <w:t xml:space="preserve"> „</w:t>
      </w:r>
      <w:r w:rsidR="00937482" w:rsidRPr="00937482">
        <w:rPr>
          <w:rFonts w:ascii="Times New Roman" w:hAnsi="Times New Roman"/>
          <w:i/>
          <w:szCs w:val="24"/>
          <w:lang w:val="bs-Latn-BA" w:eastAsia="fr-FR"/>
        </w:rPr>
        <w:t>Menstrual and Gender Action</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проведеног</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на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јавним</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универзитетима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у</w:t>
      </w:r>
      <w:r w:rsidR="009A097E"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БиХ</w:t>
      </w:r>
      <w:r w:rsidR="00822AD8" w:rsidRPr="00937482">
        <w:rPr>
          <w:rFonts w:ascii="Times New Roman" w:hAnsi="Times New Roman"/>
          <w:szCs w:val="24"/>
          <w:lang w:val="bs-Latn-BA" w:eastAsia="fr-FR"/>
        </w:rPr>
        <w:t xml:space="preserve"> </w:t>
      </w:r>
      <w:r w:rsidR="00937482">
        <w:rPr>
          <w:rFonts w:ascii="Times New Roman" w:hAnsi="Times New Roman"/>
          <w:szCs w:val="24"/>
          <w:lang w:val="sr-Cyrl-BA" w:eastAsia="fr-FR"/>
        </w:rPr>
        <w:t>с</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циљ</w:t>
      </w:r>
      <w:r w:rsidR="00937482">
        <w:rPr>
          <w:rFonts w:ascii="Times New Roman" w:hAnsi="Times New Roman"/>
          <w:szCs w:val="24"/>
          <w:lang w:val="sr-Cyrl-BA" w:eastAsia="fr-FR"/>
        </w:rPr>
        <w:t>ем</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мапирања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перцепције</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ставова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студентица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наставница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у</w:t>
      </w:r>
      <w:r w:rsidR="009E54A2"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БиХ</w:t>
      </w:r>
      <w:r w:rsidR="009E54A2"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о</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менструацији</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доступности</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хигијенских</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услова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менструалних</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потрепштина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на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универзитетима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финансијским</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средствима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која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жене</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издвајају</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за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њих</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стигми</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потенцијалних</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изложености</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ситуацијама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које</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имплицирају</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менструално</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сиромаштво</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табуима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менструалним</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сујевјерјима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којима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се</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сусрећу</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те</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ставовима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о</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смањењу</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и</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укидању</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пореза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на</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ове</w:t>
      </w:r>
      <w:r w:rsidR="00822AD8" w:rsidRPr="00937482">
        <w:rPr>
          <w:rFonts w:ascii="Times New Roman" w:hAnsi="Times New Roman"/>
          <w:szCs w:val="24"/>
          <w:lang w:val="bs-Latn-BA" w:eastAsia="fr-FR"/>
        </w:rPr>
        <w:t xml:space="preserve"> </w:t>
      </w:r>
      <w:r w:rsidRPr="00937482">
        <w:rPr>
          <w:rFonts w:ascii="Times New Roman" w:hAnsi="Times New Roman"/>
          <w:szCs w:val="24"/>
          <w:lang w:val="bs-Latn-BA" w:eastAsia="fr-FR"/>
        </w:rPr>
        <w:t>производе</w:t>
      </w:r>
      <w:r w:rsidR="00822AD8" w:rsidRPr="00937482">
        <w:rPr>
          <w:rFonts w:ascii="Times New Roman" w:hAnsi="Times New Roman"/>
          <w:szCs w:val="24"/>
          <w:lang w:val="bs-Latn-BA" w:eastAsia="fr-FR"/>
        </w:rPr>
        <w:t>.</w:t>
      </w:r>
    </w:p>
    <w:p w:rsidR="003D0817" w:rsidRPr="00295637" w:rsidRDefault="003D0817" w:rsidP="0086268D">
      <w:pPr>
        <w:tabs>
          <w:tab w:val="left" w:pos="284"/>
          <w:tab w:val="left" w:pos="630"/>
          <w:tab w:val="left" w:pos="1080"/>
        </w:tabs>
        <w:jc w:val="both"/>
        <w:rPr>
          <w:rFonts w:ascii="Times New Roman" w:hAnsi="Times New Roman"/>
          <w:szCs w:val="24"/>
          <w:lang w:val="bs-Latn-BA"/>
        </w:rPr>
      </w:pPr>
    </w:p>
    <w:p w:rsidR="00E440AD"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Одржане</w:t>
      </w:r>
      <w:r w:rsidR="00E440AD" w:rsidRPr="00295637">
        <w:rPr>
          <w:rFonts w:ascii="Times New Roman" w:hAnsi="Times New Roman"/>
          <w:lang w:val="sr-Latn-BA"/>
        </w:rPr>
        <w:t xml:space="preserve"> </w:t>
      </w:r>
      <w:r>
        <w:rPr>
          <w:rFonts w:ascii="Times New Roman" w:hAnsi="Times New Roman"/>
          <w:lang w:val="sr-Latn-BA"/>
        </w:rPr>
        <w:t>су</w:t>
      </w:r>
      <w:r w:rsidR="00E440AD" w:rsidRPr="00295637">
        <w:rPr>
          <w:rFonts w:ascii="Times New Roman" w:hAnsi="Times New Roman"/>
          <w:lang w:val="sr-Latn-BA"/>
        </w:rPr>
        <w:t xml:space="preserve"> </w:t>
      </w:r>
      <w:r>
        <w:rPr>
          <w:rFonts w:ascii="Times New Roman" w:hAnsi="Times New Roman"/>
          <w:lang w:val="sr-Latn-BA"/>
        </w:rPr>
        <w:t>двије</w:t>
      </w:r>
      <w:r w:rsidR="00E440AD" w:rsidRPr="00295637">
        <w:rPr>
          <w:rFonts w:ascii="Times New Roman" w:hAnsi="Times New Roman"/>
          <w:lang w:val="sr-Cyrl-BA"/>
        </w:rPr>
        <w:t xml:space="preserve"> </w:t>
      </w:r>
      <w:r>
        <w:rPr>
          <w:rFonts w:ascii="Times New Roman" w:hAnsi="Times New Roman"/>
          <w:lang w:val="sr-Cyrl-BA"/>
        </w:rPr>
        <w:t>дводневне</w:t>
      </w:r>
      <w:r w:rsidR="00E440AD" w:rsidRPr="00295637">
        <w:rPr>
          <w:rFonts w:ascii="Times New Roman" w:hAnsi="Times New Roman"/>
          <w:lang w:val="sr-Cyrl-BA"/>
        </w:rPr>
        <w:t xml:space="preserve"> </w:t>
      </w:r>
      <w:r>
        <w:rPr>
          <w:rFonts w:ascii="Times New Roman" w:hAnsi="Times New Roman"/>
          <w:lang w:val="sr-Cyrl-BA"/>
        </w:rPr>
        <w:t>радионице</w:t>
      </w:r>
      <w:r w:rsidR="00E440AD" w:rsidRPr="00295637">
        <w:rPr>
          <w:rFonts w:ascii="Times New Roman" w:hAnsi="Times New Roman"/>
          <w:lang w:val="sr-Cyrl-BA"/>
        </w:rPr>
        <w:t xml:space="preserve"> </w:t>
      </w:r>
      <w:r w:rsidR="00937482" w:rsidRPr="00937482">
        <w:rPr>
          <w:rFonts w:ascii="Times New Roman" w:hAnsi="Times New Roman"/>
          <w:i/>
          <w:lang w:val="sr-Cyrl-BA"/>
        </w:rPr>
        <w:t>GEAR ERASMUS EDU</w:t>
      </w:r>
      <w:r w:rsidR="00E440AD" w:rsidRPr="00295637">
        <w:rPr>
          <w:rFonts w:ascii="Times New Roman" w:hAnsi="Times New Roman"/>
          <w:lang w:val="sr-Cyrl-BA"/>
        </w:rPr>
        <w:t xml:space="preserve">, </w:t>
      </w:r>
      <w:r>
        <w:rPr>
          <w:rFonts w:ascii="Times New Roman" w:hAnsi="Times New Roman"/>
          <w:lang w:val="sr-Cyrl-BA"/>
        </w:rPr>
        <w:t>на</w:t>
      </w:r>
      <w:r w:rsidR="00E440AD" w:rsidRPr="00295637">
        <w:rPr>
          <w:rFonts w:ascii="Times New Roman" w:hAnsi="Times New Roman"/>
          <w:lang w:val="sr-Cyrl-BA"/>
        </w:rPr>
        <w:t xml:space="preserve"> </w:t>
      </w:r>
      <w:r>
        <w:rPr>
          <w:rFonts w:ascii="Times New Roman" w:hAnsi="Times New Roman"/>
          <w:lang w:val="sr-Cyrl-BA"/>
        </w:rPr>
        <w:t>тему</w:t>
      </w:r>
      <w:r w:rsidR="00E440AD" w:rsidRPr="00295637">
        <w:rPr>
          <w:rFonts w:ascii="Times New Roman" w:hAnsi="Times New Roman"/>
          <w:lang w:val="sr-Cyrl-BA"/>
        </w:rPr>
        <w:t xml:space="preserve"> </w:t>
      </w:r>
      <w:r w:rsidR="00E440AD" w:rsidRPr="00295637">
        <w:rPr>
          <w:rFonts w:ascii="Times New Roman" w:hAnsi="Times New Roman"/>
          <w:lang w:val="sr-Latn-BA"/>
        </w:rPr>
        <w:t>„</w:t>
      </w:r>
      <w:r w:rsidR="00937482">
        <w:rPr>
          <w:rFonts w:ascii="Times New Roman" w:hAnsi="Times New Roman"/>
          <w:lang w:val="sr-Cyrl-BA"/>
        </w:rPr>
        <w:t>П</w:t>
      </w:r>
      <w:r>
        <w:rPr>
          <w:rFonts w:ascii="Times New Roman" w:hAnsi="Times New Roman"/>
          <w:lang w:val="sr-Cyrl-BA"/>
        </w:rPr>
        <w:t>олна</w:t>
      </w:r>
      <w:r w:rsidR="00E440AD" w:rsidRPr="00295637">
        <w:rPr>
          <w:rFonts w:ascii="Times New Roman" w:hAnsi="Times New Roman"/>
          <w:lang w:val="sr-Cyrl-BA"/>
        </w:rPr>
        <w:t xml:space="preserve"> </w:t>
      </w:r>
      <w:r>
        <w:rPr>
          <w:rFonts w:ascii="Times New Roman" w:hAnsi="Times New Roman"/>
          <w:lang w:val="sr-Cyrl-BA"/>
        </w:rPr>
        <w:t>једнакост</w:t>
      </w:r>
      <w:r w:rsidR="00E440AD" w:rsidRPr="00295637">
        <w:rPr>
          <w:rFonts w:ascii="Times New Roman" w:hAnsi="Times New Roman"/>
          <w:lang w:val="sr-Cyrl-BA"/>
        </w:rPr>
        <w:t xml:space="preserve"> </w:t>
      </w:r>
      <w:r>
        <w:rPr>
          <w:rFonts w:ascii="Times New Roman" w:hAnsi="Times New Roman"/>
          <w:lang w:val="sr-Cyrl-BA"/>
        </w:rPr>
        <w:t>у</w:t>
      </w:r>
      <w:r w:rsidR="00E440AD" w:rsidRPr="00295637">
        <w:rPr>
          <w:rFonts w:ascii="Times New Roman" w:hAnsi="Times New Roman"/>
          <w:lang w:val="sr-Cyrl-BA"/>
        </w:rPr>
        <w:t xml:space="preserve"> </w:t>
      </w:r>
      <w:r>
        <w:rPr>
          <w:rFonts w:ascii="Times New Roman" w:hAnsi="Times New Roman"/>
          <w:lang w:val="sr-Cyrl-BA"/>
        </w:rPr>
        <w:t>академском</w:t>
      </w:r>
      <w:r w:rsidR="00E440AD" w:rsidRPr="00295637">
        <w:rPr>
          <w:rFonts w:ascii="Times New Roman" w:hAnsi="Times New Roman"/>
          <w:lang w:val="sr-Cyrl-BA"/>
        </w:rPr>
        <w:t xml:space="preserve"> </w:t>
      </w:r>
      <w:r>
        <w:rPr>
          <w:rFonts w:ascii="Times New Roman" w:hAnsi="Times New Roman"/>
          <w:lang w:val="sr-Cyrl-BA"/>
        </w:rPr>
        <w:t>и</w:t>
      </w:r>
      <w:r w:rsidR="00E440AD" w:rsidRPr="00295637">
        <w:rPr>
          <w:rFonts w:ascii="Times New Roman" w:hAnsi="Times New Roman"/>
          <w:lang w:val="sr-Cyrl-BA"/>
        </w:rPr>
        <w:t xml:space="preserve"> </w:t>
      </w:r>
      <w:r>
        <w:rPr>
          <w:rFonts w:ascii="Times New Roman" w:hAnsi="Times New Roman"/>
          <w:lang w:val="sr-Cyrl-BA"/>
        </w:rPr>
        <w:t>истраживачком</w:t>
      </w:r>
      <w:r w:rsidR="00E440AD" w:rsidRPr="00295637">
        <w:rPr>
          <w:rFonts w:ascii="Times New Roman" w:hAnsi="Times New Roman"/>
          <w:lang w:val="sr-Cyrl-BA"/>
        </w:rPr>
        <w:t xml:space="preserve"> </w:t>
      </w:r>
      <w:r>
        <w:rPr>
          <w:rFonts w:ascii="Times New Roman" w:hAnsi="Times New Roman"/>
          <w:lang w:val="sr-Cyrl-BA"/>
        </w:rPr>
        <w:t>окружењу</w:t>
      </w:r>
      <w:r w:rsidR="00E440AD" w:rsidRPr="00295637">
        <w:rPr>
          <w:rFonts w:ascii="Times New Roman" w:hAnsi="Times New Roman"/>
          <w:lang w:val="sr-Latn-BA"/>
        </w:rPr>
        <w:t>“</w:t>
      </w:r>
      <w:r w:rsidR="00E440AD" w:rsidRPr="00295637">
        <w:rPr>
          <w:rFonts w:ascii="Times New Roman" w:hAnsi="Times New Roman"/>
          <w:lang w:val="sr-Cyrl-BA"/>
        </w:rPr>
        <w:t xml:space="preserve"> </w:t>
      </w:r>
      <w:r>
        <w:rPr>
          <w:rFonts w:ascii="Times New Roman" w:hAnsi="Times New Roman"/>
          <w:lang w:val="sr-Latn-BA"/>
        </w:rPr>
        <w:t>у</w:t>
      </w:r>
      <w:r w:rsidR="00E440AD" w:rsidRPr="00295637">
        <w:rPr>
          <w:rFonts w:ascii="Times New Roman" w:hAnsi="Times New Roman"/>
          <w:lang w:val="sr-Latn-BA"/>
        </w:rPr>
        <w:t xml:space="preserve"> </w:t>
      </w:r>
      <w:r>
        <w:rPr>
          <w:rFonts w:ascii="Times New Roman" w:hAnsi="Times New Roman"/>
          <w:lang w:val="sr-Latn-BA"/>
        </w:rPr>
        <w:t>организацији</w:t>
      </w:r>
      <w:r w:rsidR="00E440AD" w:rsidRPr="00295637">
        <w:rPr>
          <w:rFonts w:ascii="Times New Roman" w:hAnsi="Times New Roman"/>
          <w:lang w:val="sr-Latn-BA"/>
        </w:rPr>
        <w:t xml:space="preserve"> </w:t>
      </w:r>
      <w:r>
        <w:rPr>
          <w:rFonts w:ascii="Times New Roman" w:hAnsi="Times New Roman"/>
          <w:lang w:val="sr-Latn-BA"/>
        </w:rPr>
        <w:t>Независног</w:t>
      </w:r>
      <w:r w:rsidR="00DE7E99">
        <w:rPr>
          <w:rFonts w:ascii="Times New Roman" w:hAnsi="Times New Roman"/>
          <w:lang w:val="sr-Latn-BA"/>
        </w:rPr>
        <w:t xml:space="preserve"> </w:t>
      </w:r>
      <w:r>
        <w:rPr>
          <w:rFonts w:ascii="Times New Roman" w:hAnsi="Times New Roman"/>
          <w:lang w:val="sr-Latn-BA"/>
        </w:rPr>
        <w:t>универзитета</w:t>
      </w:r>
      <w:r w:rsidR="00DE7E99">
        <w:rPr>
          <w:rFonts w:ascii="Times New Roman" w:hAnsi="Times New Roman"/>
          <w:lang w:val="sr-Latn-BA"/>
        </w:rPr>
        <w:t xml:space="preserve"> </w:t>
      </w:r>
      <w:r>
        <w:rPr>
          <w:rFonts w:ascii="Times New Roman" w:hAnsi="Times New Roman"/>
          <w:lang w:val="sr-Latn-BA"/>
        </w:rPr>
        <w:t>Бања</w:t>
      </w:r>
      <w:r w:rsidR="00DE7E99">
        <w:rPr>
          <w:rFonts w:ascii="Times New Roman" w:hAnsi="Times New Roman"/>
          <w:lang w:val="sr-Latn-BA"/>
        </w:rPr>
        <w:t xml:space="preserve"> </w:t>
      </w:r>
      <w:r>
        <w:rPr>
          <w:rFonts w:ascii="Times New Roman" w:hAnsi="Times New Roman"/>
          <w:lang w:val="sr-Latn-BA"/>
        </w:rPr>
        <w:t>Лука</w:t>
      </w:r>
      <w:r w:rsidR="00DE7E99">
        <w:rPr>
          <w:rFonts w:ascii="Times New Roman" w:hAnsi="Times New Roman"/>
          <w:lang w:val="sr-Latn-BA"/>
        </w:rPr>
        <w:t xml:space="preserve">, </w:t>
      </w:r>
      <w:r>
        <w:rPr>
          <w:rFonts w:ascii="Times New Roman" w:hAnsi="Times New Roman"/>
          <w:lang w:val="sr-Latn-BA"/>
        </w:rPr>
        <w:t>са</w:t>
      </w:r>
      <w:r w:rsidR="00DE7E99">
        <w:rPr>
          <w:rFonts w:ascii="Times New Roman" w:hAnsi="Times New Roman"/>
          <w:lang w:val="sr-Latn-BA"/>
        </w:rPr>
        <w:t xml:space="preserve"> </w:t>
      </w:r>
      <w:r>
        <w:rPr>
          <w:rFonts w:ascii="Times New Roman" w:hAnsi="Times New Roman"/>
          <w:lang w:val="sr-Latn-BA"/>
        </w:rPr>
        <w:t>учешћем</w:t>
      </w:r>
      <w:r w:rsidR="00E440AD" w:rsidRPr="00295637">
        <w:rPr>
          <w:rFonts w:ascii="Times New Roman" w:hAnsi="Times New Roman"/>
          <w:lang w:val="sr-Latn-BA"/>
        </w:rPr>
        <w:t xml:space="preserve"> </w:t>
      </w:r>
      <w:r>
        <w:rPr>
          <w:rFonts w:ascii="Times New Roman" w:hAnsi="Times New Roman"/>
          <w:lang w:val="sr-Latn-BA"/>
        </w:rPr>
        <w:t>ЦЈРП</w:t>
      </w:r>
      <w:r w:rsidR="00E440AD" w:rsidRPr="00295637">
        <w:rPr>
          <w:rFonts w:ascii="Times New Roman" w:hAnsi="Times New Roman"/>
          <w:lang w:val="sr-Latn-BA"/>
        </w:rPr>
        <w:t xml:space="preserve"> </w:t>
      </w:r>
      <w:r>
        <w:rPr>
          <w:rFonts w:ascii="Times New Roman" w:hAnsi="Times New Roman"/>
          <w:lang w:val="sr-Latn-BA"/>
        </w:rPr>
        <w:t>РС</w:t>
      </w:r>
      <w:r w:rsidR="00E440AD" w:rsidRPr="00295637">
        <w:rPr>
          <w:rFonts w:ascii="Times New Roman" w:hAnsi="Times New Roman"/>
          <w:lang w:val="sr-Latn-BA"/>
        </w:rPr>
        <w:t>.</w:t>
      </w:r>
    </w:p>
    <w:p w:rsidR="00E440AD" w:rsidRPr="00295637" w:rsidRDefault="00E440AD" w:rsidP="0086268D">
      <w:pPr>
        <w:pStyle w:val="ListParagraph"/>
        <w:ind w:left="0"/>
        <w:jc w:val="both"/>
        <w:rPr>
          <w:rFonts w:ascii="Times New Roman" w:hAnsi="Times New Roman"/>
          <w:lang w:val="sr-Cyrl-BA"/>
        </w:rPr>
      </w:pPr>
    </w:p>
    <w:p w:rsidR="00E440AD" w:rsidRDefault="00C6214E" w:rsidP="0086268D">
      <w:pPr>
        <w:pStyle w:val="ListParagraph"/>
        <w:ind w:left="0"/>
        <w:jc w:val="both"/>
        <w:rPr>
          <w:rFonts w:ascii="Times New Roman" w:hAnsi="Times New Roman"/>
          <w:lang w:val="sr-Cyrl-BA"/>
        </w:rPr>
      </w:pPr>
      <w:r>
        <w:rPr>
          <w:rFonts w:ascii="Times New Roman" w:hAnsi="Times New Roman"/>
          <w:lang w:val="sr-Cyrl-BA"/>
        </w:rPr>
        <w:t>Мреж</w:t>
      </w:r>
      <w:r>
        <w:rPr>
          <w:rFonts w:ascii="Times New Roman" w:hAnsi="Times New Roman"/>
          <w:lang w:val="sr-Latn-BA"/>
        </w:rPr>
        <w:t>а</w:t>
      </w:r>
      <w:r w:rsidR="00E440AD" w:rsidRPr="00295637">
        <w:rPr>
          <w:rFonts w:ascii="Times New Roman" w:hAnsi="Times New Roman"/>
          <w:lang w:val="sr-Cyrl-BA"/>
        </w:rPr>
        <w:t xml:space="preserve"> </w:t>
      </w:r>
      <w:r>
        <w:rPr>
          <w:rFonts w:ascii="Times New Roman" w:hAnsi="Times New Roman"/>
          <w:lang w:val="sr-Cyrl-BA"/>
        </w:rPr>
        <w:t>жена</w:t>
      </w:r>
      <w:r w:rsidR="00E440AD" w:rsidRPr="00295637">
        <w:rPr>
          <w:rFonts w:ascii="Times New Roman" w:hAnsi="Times New Roman"/>
          <w:lang w:val="sr-Cyrl-BA"/>
        </w:rPr>
        <w:t xml:space="preserve"> </w:t>
      </w:r>
      <w:r>
        <w:rPr>
          <w:rFonts w:ascii="Times New Roman" w:hAnsi="Times New Roman"/>
          <w:lang w:val="sr-Cyrl-BA"/>
        </w:rPr>
        <w:t>МУП</w:t>
      </w:r>
      <w:r w:rsidR="00E440AD" w:rsidRPr="00295637">
        <w:rPr>
          <w:rFonts w:ascii="Times New Roman" w:hAnsi="Times New Roman"/>
          <w:lang w:val="sr-Cyrl-BA"/>
        </w:rPr>
        <w:t xml:space="preserve"> </w:t>
      </w:r>
      <w:r>
        <w:rPr>
          <w:rFonts w:ascii="Times New Roman" w:hAnsi="Times New Roman"/>
          <w:lang w:val="sr-Cyrl-BA"/>
        </w:rPr>
        <w:t>РС</w:t>
      </w:r>
      <w:r w:rsidR="00E440AD" w:rsidRPr="00295637">
        <w:rPr>
          <w:rFonts w:ascii="Times New Roman" w:hAnsi="Times New Roman"/>
          <w:lang w:val="sr-Cyrl-BA"/>
        </w:rPr>
        <w:t>-</w:t>
      </w:r>
      <w:r w:rsidR="00937482" w:rsidRPr="00937482">
        <w:rPr>
          <w:rFonts w:ascii="Times New Roman" w:hAnsi="Times New Roman"/>
          <w:lang w:val="sr-Cyrl-BA"/>
        </w:rPr>
        <w:t xml:space="preserve"> </w:t>
      </w:r>
      <w:r w:rsidR="00937482" w:rsidRPr="00937482">
        <w:rPr>
          <w:rFonts w:ascii="Times New Roman" w:hAnsi="Times New Roman"/>
          <w:i/>
          <w:lang w:val="sr-Cyrl-BA"/>
        </w:rPr>
        <w:t>RS WPON</w:t>
      </w:r>
      <w:r w:rsidR="00937482" w:rsidRPr="00937482">
        <w:rPr>
          <w:rFonts w:ascii="Times New Roman" w:hAnsi="Times New Roman"/>
          <w:lang w:val="sr-Cyrl-BA"/>
        </w:rPr>
        <w:t xml:space="preserve"> </w:t>
      </w:r>
      <w:r>
        <w:rPr>
          <w:rFonts w:ascii="Times New Roman" w:hAnsi="Times New Roman"/>
          <w:lang w:val="sr-Latn-BA"/>
        </w:rPr>
        <w:t>одржала</w:t>
      </w:r>
      <w:r w:rsidR="00E440AD" w:rsidRPr="00295637">
        <w:rPr>
          <w:rFonts w:ascii="Times New Roman" w:hAnsi="Times New Roman"/>
          <w:lang w:val="sr-Latn-BA"/>
        </w:rPr>
        <w:t xml:space="preserve"> </w:t>
      </w:r>
      <w:r>
        <w:rPr>
          <w:rFonts w:ascii="Times New Roman" w:hAnsi="Times New Roman"/>
          <w:lang w:val="sr-Latn-BA"/>
        </w:rPr>
        <w:t>је</w:t>
      </w:r>
      <w:r w:rsidR="00E440AD" w:rsidRPr="00295637">
        <w:rPr>
          <w:rFonts w:ascii="Times New Roman" w:hAnsi="Times New Roman"/>
          <w:lang w:val="sr-Latn-BA"/>
        </w:rPr>
        <w:t xml:space="preserve"> </w:t>
      </w:r>
      <w:r>
        <w:rPr>
          <w:rFonts w:ascii="Times New Roman" w:hAnsi="Times New Roman"/>
          <w:lang w:val="sr-Latn-BA"/>
        </w:rPr>
        <w:t>предавање</w:t>
      </w:r>
      <w:r w:rsidR="00E440AD" w:rsidRPr="00295637">
        <w:rPr>
          <w:rFonts w:ascii="Times New Roman" w:hAnsi="Times New Roman"/>
          <w:lang w:val="sr-Latn-BA"/>
        </w:rPr>
        <w:t xml:space="preserve"> </w:t>
      </w:r>
      <w:r>
        <w:rPr>
          <w:rFonts w:ascii="Times New Roman" w:hAnsi="Times New Roman"/>
          <w:lang w:val="sr-Latn-BA"/>
        </w:rPr>
        <w:t>студентима</w:t>
      </w:r>
      <w:r w:rsidR="00E440AD" w:rsidRPr="00295637">
        <w:rPr>
          <w:rFonts w:ascii="Times New Roman" w:hAnsi="Times New Roman"/>
          <w:lang w:val="sr-Latn-BA"/>
        </w:rPr>
        <w:t xml:space="preserve"> </w:t>
      </w:r>
      <w:r>
        <w:rPr>
          <w:rFonts w:ascii="Times New Roman" w:hAnsi="Times New Roman"/>
          <w:lang w:val="sr-Cyrl-BA"/>
        </w:rPr>
        <w:t>Факултет</w:t>
      </w:r>
      <w:r>
        <w:rPr>
          <w:rFonts w:ascii="Times New Roman" w:hAnsi="Times New Roman"/>
          <w:lang w:val="sr-Latn-BA"/>
        </w:rPr>
        <w:t>а</w:t>
      </w:r>
      <w:r w:rsidR="00E440AD" w:rsidRPr="00295637">
        <w:rPr>
          <w:rFonts w:ascii="Times New Roman" w:hAnsi="Times New Roman"/>
          <w:lang w:val="sr-Cyrl-BA"/>
        </w:rPr>
        <w:t xml:space="preserve"> </w:t>
      </w:r>
      <w:r w:rsidR="00937482">
        <w:rPr>
          <w:rFonts w:ascii="Times New Roman" w:hAnsi="Times New Roman"/>
          <w:lang w:val="sr-Cyrl-BA"/>
        </w:rPr>
        <w:t>безбједносних</w:t>
      </w:r>
      <w:r w:rsidR="00E440AD" w:rsidRPr="00295637">
        <w:rPr>
          <w:rFonts w:ascii="Times New Roman" w:hAnsi="Times New Roman"/>
          <w:lang w:val="sr-Cyrl-BA"/>
        </w:rPr>
        <w:t xml:space="preserve"> </w:t>
      </w:r>
      <w:r>
        <w:rPr>
          <w:rFonts w:ascii="Times New Roman" w:hAnsi="Times New Roman"/>
          <w:lang w:val="sr-Cyrl-BA"/>
        </w:rPr>
        <w:t>наука</w:t>
      </w:r>
      <w:r w:rsidR="00E440AD" w:rsidRPr="00295637">
        <w:rPr>
          <w:rFonts w:ascii="Times New Roman" w:hAnsi="Times New Roman"/>
          <w:lang w:val="sr-Cyrl-BA"/>
        </w:rPr>
        <w:t xml:space="preserve">, </w:t>
      </w:r>
      <w:r>
        <w:rPr>
          <w:rFonts w:ascii="Times New Roman" w:hAnsi="Times New Roman"/>
          <w:lang w:val="sr-Cyrl-BA"/>
        </w:rPr>
        <w:t>Бања</w:t>
      </w:r>
      <w:r w:rsidR="00E440AD" w:rsidRPr="00295637">
        <w:rPr>
          <w:rFonts w:ascii="Times New Roman" w:hAnsi="Times New Roman"/>
          <w:lang w:val="sr-Cyrl-BA"/>
        </w:rPr>
        <w:t xml:space="preserve"> </w:t>
      </w:r>
      <w:r>
        <w:rPr>
          <w:rFonts w:ascii="Times New Roman" w:hAnsi="Times New Roman"/>
          <w:lang w:val="sr-Cyrl-BA"/>
        </w:rPr>
        <w:t>Лука</w:t>
      </w:r>
      <w:r w:rsidR="00E440AD" w:rsidRPr="00295637">
        <w:rPr>
          <w:rFonts w:ascii="Times New Roman" w:hAnsi="Times New Roman"/>
          <w:lang w:val="sr-Latn-BA"/>
        </w:rPr>
        <w:t xml:space="preserve">, </w:t>
      </w:r>
      <w:r>
        <w:rPr>
          <w:rFonts w:ascii="Times New Roman" w:hAnsi="Times New Roman"/>
          <w:lang w:val="sr-Latn-BA"/>
        </w:rPr>
        <w:t>на</w:t>
      </w:r>
      <w:r w:rsidR="00E440AD" w:rsidRPr="00295637">
        <w:rPr>
          <w:rFonts w:ascii="Times New Roman" w:hAnsi="Times New Roman"/>
          <w:lang w:val="sr-Latn-BA"/>
        </w:rPr>
        <w:t xml:space="preserve"> </w:t>
      </w:r>
      <w:r>
        <w:rPr>
          <w:rFonts w:ascii="Times New Roman" w:hAnsi="Times New Roman"/>
          <w:lang w:val="sr-Latn-BA"/>
        </w:rPr>
        <w:t>тему</w:t>
      </w:r>
      <w:r w:rsidR="00E440AD" w:rsidRPr="00295637">
        <w:rPr>
          <w:rFonts w:ascii="Times New Roman" w:hAnsi="Times New Roman"/>
          <w:lang w:val="sr-Latn-BA"/>
        </w:rPr>
        <w:t xml:space="preserve"> </w:t>
      </w:r>
      <w:r>
        <w:rPr>
          <w:rFonts w:ascii="Times New Roman" w:hAnsi="Times New Roman"/>
          <w:lang w:val="sr-Cyrl-BA"/>
        </w:rPr>
        <w:t>сузбијањ</w:t>
      </w:r>
      <w:r>
        <w:rPr>
          <w:rFonts w:ascii="Times New Roman" w:hAnsi="Times New Roman"/>
          <w:lang w:val="sr-Latn-BA"/>
        </w:rPr>
        <w:t>а</w:t>
      </w:r>
      <w:r w:rsidR="00E440AD" w:rsidRPr="00295637">
        <w:rPr>
          <w:rFonts w:ascii="Times New Roman" w:hAnsi="Times New Roman"/>
          <w:lang w:val="sr-Cyrl-BA"/>
        </w:rPr>
        <w:t xml:space="preserve"> </w:t>
      </w:r>
      <w:r>
        <w:rPr>
          <w:rFonts w:ascii="Times New Roman" w:hAnsi="Times New Roman"/>
          <w:lang w:val="sr-Cyrl-BA"/>
        </w:rPr>
        <w:t>родно</w:t>
      </w:r>
      <w:r w:rsidR="00E440AD" w:rsidRPr="00295637">
        <w:rPr>
          <w:rFonts w:ascii="Times New Roman" w:hAnsi="Times New Roman"/>
          <w:lang w:val="sr-Cyrl-BA"/>
        </w:rPr>
        <w:t xml:space="preserve"> </w:t>
      </w:r>
      <w:r>
        <w:rPr>
          <w:rFonts w:ascii="Times New Roman" w:hAnsi="Times New Roman"/>
          <w:lang w:val="hr-HR"/>
        </w:rPr>
        <w:t>заснованог</w:t>
      </w:r>
      <w:r w:rsidR="00E440AD" w:rsidRPr="00295637">
        <w:rPr>
          <w:rFonts w:ascii="Times New Roman" w:hAnsi="Times New Roman"/>
          <w:lang w:val="sr-Cyrl-BA"/>
        </w:rPr>
        <w:t xml:space="preserve"> </w:t>
      </w:r>
      <w:r>
        <w:rPr>
          <w:rFonts w:ascii="Times New Roman" w:hAnsi="Times New Roman"/>
          <w:lang w:val="sr-Cyrl-BA"/>
        </w:rPr>
        <w:t>насиља</w:t>
      </w:r>
      <w:r w:rsidR="00E440AD" w:rsidRPr="00295637">
        <w:rPr>
          <w:rFonts w:ascii="Times New Roman" w:hAnsi="Times New Roman"/>
          <w:lang w:val="sr-Latn-BA"/>
        </w:rPr>
        <w:t>.</w:t>
      </w:r>
      <w:r w:rsidR="00E440AD" w:rsidRPr="00295637">
        <w:rPr>
          <w:rFonts w:ascii="Times New Roman" w:hAnsi="Times New Roman"/>
          <w:lang w:val="sr-Cyrl-BA"/>
        </w:rPr>
        <w:t xml:space="preserve"> </w:t>
      </w:r>
    </w:p>
    <w:p w:rsidR="00BB210C" w:rsidRDefault="00BB210C" w:rsidP="0086268D">
      <w:pPr>
        <w:pStyle w:val="ListParagraph"/>
        <w:ind w:left="0"/>
        <w:jc w:val="both"/>
        <w:rPr>
          <w:rFonts w:ascii="Times New Roman" w:hAnsi="Times New Roman"/>
          <w:lang w:val="sr-Cyrl-BA"/>
        </w:rPr>
      </w:pPr>
    </w:p>
    <w:p w:rsidR="00BB210C" w:rsidRDefault="00BB210C" w:rsidP="0086268D">
      <w:pPr>
        <w:pStyle w:val="ListParagraph"/>
        <w:ind w:left="0"/>
        <w:jc w:val="both"/>
        <w:rPr>
          <w:rFonts w:ascii="Times New Roman" w:hAnsi="Times New Roman"/>
          <w:lang w:val="sr-Cyrl-BA"/>
        </w:rPr>
      </w:pPr>
    </w:p>
    <w:p w:rsidR="00BB210C" w:rsidRDefault="00BB210C" w:rsidP="0086268D">
      <w:pPr>
        <w:pStyle w:val="ListParagraph"/>
        <w:ind w:left="0"/>
        <w:jc w:val="both"/>
        <w:rPr>
          <w:rFonts w:ascii="Times New Roman" w:hAnsi="Times New Roman"/>
          <w:lang w:val="sr-Cyrl-BA"/>
        </w:rPr>
      </w:pPr>
    </w:p>
    <w:p w:rsidR="00BB210C" w:rsidRDefault="00BB210C" w:rsidP="0086268D">
      <w:pPr>
        <w:pStyle w:val="ListParagraph"/>
        <w:ind w:left="0"/>
        <w:jc w:val="both"/>
        <w:rPr>
          <w:rFonts w:ascii="Times New Roman" w:hAnsi="Times New Roman"/>
          <w:lang w:val="sr-Cyrl-BA"/>
        </w:rPr>
      </w:pPr>
    </w:p>
    <w:p w:rsidR="00BB210C" w:rsidRPr="00DB6495" w:rsidRDefault="00BB210C" w:rsidP="0086268D">
      <w:pPr>
        <w:pStyle w:val="ListParagraph"/>
        <w:ind w:left="0"/>
        <w:jc w:val="both"/>
        <w:rPr>
          <w:rFonts w:ascii="Times New Roman" w:hAnsi="Times New Roman"/>
          <w:lang w:val="sr-Cyrl-BA"/>
        </w:rPr>
      </w:pPr>
    </w:p>
    <w:p w:rsidR="00016285" w:rsidRPr="00295637" w:rsidRDefault="00016285" w:rsidP="0086268D">
      <w:pPr>
        <w:tabs>
          <w:tab w:val="left" w:pos="284"/>
          <w:tab w:val="left" w:pos="630"/>
          <w:tab w:val="left" w:pos="1080"/>
        </w:tabs>
        <w:jc w:val="both"/>
        <w:rPr>
          <w:rFonts w:ascii="Times New Roman" w:hAnsi="Times New Roman"/>
          <w:szCs w:val="24"/>
          <w:lang w:val="bs-Latn-BA"/>
        </w:rPr>
      </w:pPr>
    </w:p>
    <w:p w:rsidR="00EB6E0A" w:rsidRPr="00295637" w:rsidRDefault="00937482" w:rsidP="0086268D">
      <w:pPr>
        <w:pStyle w:val="Heading4"/>
        <w:numPr>
          <w:ilvl w:val="0"/>
          <w:numId w:val="0"/>
        </w:numPr>
        <w:tabs>
          <w:tab w:val="clear" w:pos="900"/>
          <w:tab w:val="left" w:pos="1170"/>
          <w:tab w:val="left" w:pos="1260"/>
          <w:tab w:val="left" w:pos="1350"/>
        </w:tabs>
        <w:spacing w:after="0" w:line="240" w:lineRule="auto"/>
        <w:ind w:left="1170" w:hanging="900"/>
        <w:rPr>
          <w:rFonts w:ascii="Times New Roman" w:hAnsi="Times New Roman" w:cs="Times New Roman"/>
          <w:b w:val="0"/>
          <w:lang w:val="bs-Latn-BA"/>
        </w:rPr>
      </w:pPr>
      <w:r w:rsidRPr="00937482">
        <w:rPr>
          <w:rFonts w:ascii="Times New Roman" w:hAnsi="Times New Roman" w:cs="Times New Roman"/>
          <w:b w:val="0"/>
          <w:lang w:val="bs-Latn-BA"/>
        </w:rPr>
        <w:t>I</w:t>
      </w:r>
      <w:r w:rsidR="00AF0B6A">
        <w:rPr>
          <w:rFonts w:ascii="Times New Roman" w:hAnsi="Times New Roman" w:cs="Times New Roman"/>
          <w:b w:val="0"/>
          <w:lang w:val="bs-Latn-BA"/>
        </w:rPr>
        <w:t xml:space="preserve"> </w:t>
      </w:r>
      <w:r w:rsidR="00915E73" w:rsidRPr="00295637">
        <w:rPr>
          <w:rFonts w:ascii="Times New Roman" w:hAnsi="Times New Roman" w:cs="Times New Roman"/>
          <w:b w:val="0"/>
          <w:lang w:val="bs-Latn-BA"/>
        </w:rPr>
        <w:t xml:space="preserve">4.9  </w:t>
      </w:r>
      <w:r>
        <w:rPr>
          <w:rFonts w:ascii="Times New Roman" w:hAnsi="Times New Roman" w:cs="Times New Roman"/>
          <w:b w:val="0"/>
          <w:lang w:val="sr-Cyrl-BA"/>
        </w:rPr>
        <w:t xml:space="preserve">   Спровођење</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промотивних</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активности</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информативних</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кампања</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кампања</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подизања</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свијести</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јавности</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равноправности</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као</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начелу</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људских</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права</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w:t>
      </w:r>
      <w:r w:rsidR="00EB6E0A" w:rsidRPr="00295637">
        <w:rPr>
          <w:rFonts w:ascii="Times New Roman" w:hAnsi="Times New Roman" w:cs="Times New Roman"/>
          <w:b w:val="0"/>
          <w:lang w:val="bs-Latn-BA"/>
        </w:rPr>
        <w:t xml:space="preserve"> </w:t>
      </w:r>
      <w:r>
        <w:rPr>
          <w:rFonts w:ascii="Times New Roman" w:hAnsi="Times New Roman" w:cs="Times New Roman"/>
          <w:b w:val="0"/>
          <w:lang w:val="sr-Cyrl-BA"/>
        </w:rPr>
        <w:t>с</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циљ</w:t>
      </w:r>
      <w:r>
        <w:rPr>
          <w:rFonts w:ascii="Times New Roman" w:hAnsi="Times New Roman" w:cs="Times New Roman"/>
          <w:b w:val="0"/>
          <w:lang w:val="sr-Cyrl-BA"/>
        </w:rPr>
        <w:t>ем</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мијењања</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постојећих</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стереотипних</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ставова</w:t>
      </w:r>
      <w:r w:rsidR="00DE7E99">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DE7E99">
        <w:rPr>
          <w:rFonts w:ascii="Times New Roman" w:hAnsi="Times New Roman" w:cs="Times New Roman"/>
          <w:b w:val="0"/>
          <w:lang w:val="bs-Latn-BA"/>
        </w:rPr>
        <w:t xml:space="preserve"> </w:t>
      </w:r>
      <w:r w:rsidR="00C6214E">
        <w:rPr>
          <w:rFonts w:ascii="Times New Roman" w:hAnsi="Times New Roman" w:cs="Times New Roman"/>
          <w:b w:val="0"/>
          <w:lang w:val="bs-Latn-BA"/>
        </w:rPr>
        <w:t>понашања</w:t>
      </w:r>
      <w:r w:rsidR="00DE7E99">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DE7E99">
        <w:rPr>
          <w:rFonts w:ascii="Times New Roman" w:hAnsi="Times New Roman" w:cs="Times New Roman"/>
          <w:b w:val="0"/>
          <w:lang w:val="bs-Latn-BA"/>
        </w:rPr>
        <w:t xml:space="preserve"> </w:t>
      </w:r>
      <w:r w:rsidR="00C6214E">
        <w:rPr>
          <w:rFonts w:ascii="Times New Roman" w:hAnsi="Times New Roman" w:cs="Times New Roman"/>
          <w:b w:val="0"/>
          <w:lang w:val="bs-Latn-BA"/>
        </w:rPr>
        <w:t>вези</w:t>
      </w:r>
      <w:r w:rsidR="00DE7E99">
        <w:rPr>
          <w:rFonts w:ascii="Times New Roman" w:hAnsi="Times New Roman" w:cs="Times New Roman"/>
          <w:b w:val="0"/>
          <w:lang w:val="bs-Latn-BA"/>
        </w:rPr>
        <w:t xml:space="preserve"> </w:t>
      </w:r>
      <w:r w:rsidR="00C6214E">
        <w:rPr>
          <w:rFonts w:ascii="Times New Roman" w:hAnsi="Times New Roman" w:cs="Times New Roman"/>
          <w:b w:val="0"/>
          <w:lang w:val="bs-Latn-BA"/>
        </w:rPr>
        <w:t>са</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улогама</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жена</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EB6E0A"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мушкараца</w:t>
      </w:r>
      <w:r w:rsidR="00DE7E99">
        <w:rPr>
          <w:rFonts w:ascii="Times New Roman" w:hAnsi="Times New Roman" w:cs="Times New Roman"/>
          <w:b w:val="0"/>
          <w:lang w:val="bs-Latn-BA"/>
        </w:rPr>
        <w:t>.</w:t>
      </w:r>
      <w:r w:rsidR="00EB6E0A" w:rsidRPr="00295637">
        <w:rPr>
          <w:rFonts w:ascii="Times New Roman" w:hAnsi="Times New Roman" w:cs="Times New Roman"/>
          <w:b w:val="0"/>
          <w:lang w:val="bs-Latn-BA"/>
        </w:rPr>
        <w:t xml:space="preserve">   </w:t>
      </w:r>
    </w:p>
    <w:p w:rsidR="00EB6E0A" w:rsidRPr="00295637" w:rsidRDefault="00EB6E0A" w:rsidP="0086268D">
      <w:pPr>
        <w:pStyle w:val="HTMLPreformatted"/>
        <w:jc w:val="both"/>
        <w:rPr>
          <w:rStyle w:val="y2iqfc"/>
          <w:rFonts w:ascii="inherit" w:hAnsi="inherit"/>
          <w:color w:val="1F1F1F"/>
          <w:sz w:val="24"/>
          <w:szCs w:val="24"/>
        </w:rPr>
      </w:pPr>
    </w:p>
    <w:p w:rsidR="00EB6E0A" w:rsidRPr="00295637" w:rsidRDefault="00937482" w:rsidP="0086268D">
      <w:pPr>
        <w:pStyle w:val="HTMLPreformatted"/>
        <w:jc w:val="both"/>
        <w:rPr>
          <w:rFonts w:ascii="inherit" w:hAnsi="inherit"/>
          <w:color w:val="1F1F1F"/>
          <w:sz w:val="24"/>
          <w:szCs w:val="24"/>
        </w:rPr>
      </w:pPr>
      <w:r w:rsidRPr="00937482">
        <w:rPr>
          <w:rFonts w:ascii="inherit" w:hAnsi="inherit"/>
          <w:i/>
          <w:color w:val="1F1F1F"/>
          <w:sz w:val="24"/>
          <w:szCs w:val="24"/>
          <w:lang w:val="hr-BA"/>
        </w:rPr>
        <w:t>UNFPA</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је</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својим</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активностима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користио</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умјетност</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културу</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интеркултуралну</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размјену</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као</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алате</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оздрављење</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дијалог</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Преко</w:t>
      </w:r>
      <w:r w:rsidR="00EB6E0A" w:rsidRPr="00295637">
        <w:rPr>
          <w:rStyle w:val="y2iqfc"/>
          <w:rFonts w:ascii="inherit" w:hAnsi="inherit"/>
          <w:color w:val="1F1F1F"/>
          <w:sz w:val="24"/>
          <w:szCs w:val="24"/>
        </w:rPr>
        <w:t xml:space="preserve"> 2.600 </w:t>
      </w:r>
      <w:r w:rsidR="00C6214E">
        <w:rPr>
          <w:rStyle w:val="y2iqfc"/>
          <w:rFonts w:ascii="inherit" w:hAnsi="inherit"/>
          <w:color w:val="1F1F1F"/>
          <w:sz w:val="24"/>
          <w:szCs w:val="24"/>
        </w:rPr>
        <w:t>појединаца</w:t>
      </w:r>
      <w:r w:rsidR="00EB6E0A" w:rsidRPr="00295637">
        <w:rPr>
          <w:rStyle w:val="y2iqfc"/>
          <w:rFonts w:ascii="inherit" w:hAnsi="inherit"/>
          <w:color w:val="1F1F1F"/>
          <w:sz w:val="24"/>
          <w:szCs w:val="24"/>
        </w:rPr>
        <w:t xml:space="preserve"> (1.527 </w:t>
      </w:r>
      <w:r w:rsidR="00C6214E">
        <w:rPr>
          <w:rStyle w:val="y2iqfc"/>
          <w:rFonts w:ascii="inherit" w:hAnsi="inherit"/>
          <w:color w:val="1F1F1F"/>
          <w:sz w:val="24"/>
          <w:szCs w:val="24"/>
        </w:rPr>
        <w:t>жена</w:t>
      </w:r>
      <w:r w:rsidR="00EB6E0A" w:rsidRPr="00295637">
        <w:rPr>
          <w:rStyle w:val="y2iqfc"/>
          <w:rFonts w:ascii="inherit" w:hAnsi="inherit"/>
          <w:color w:val="1F1F1F"/>
          <w:sz w:val="24"/>
          <w:szCs w:val="24"/>
        </w:rPr>
        <w:t xml:space="preserve">, 1.111 </w:t>
      </w:r>
      <w:r w:rsidR="00C6214E">
        <w:rPr>
          <w:rStyle w:val="y2iqfc"/>
          <w:rFonts w:ascii="inherit" w:hAnsi="inherit"/>
          <w:color w:val="1F1F1F"/>
          <w:sz w:val="24"/>
          <w:szCs w:val="24"/>
        </w:rPr>
        <w:t>мушкараца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учествовало</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је</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богатом</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портфолију</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активности</w:t>
      </w:r>
      <w:r w:rsidR="00F90528" w:rsidRPr="00295637">
        <w:rPr>
          <w:rStyle w:val="y2iqfc"/>
          <w:rFonts w:ascii="inherit" w:hAnsi="inherit"/>
          <w:color w:val="1F1F1F"/>
          <w:sz w:val="24"/>
          <w:szCs w:val="24"/>
        </w:rPr>
        <w:t>,</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како</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слиједи</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Позоришна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продукција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Овдје</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сада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која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промови</w:t>
      </w:r>
      <w:r>
        <w:rPr>
          <w:rStyle w:val="y2iqfc"/>
          <w:rFonts w:ascii="inherit" w:hAnsi="inherit"/>
          <w:color w:val="1F1F1F"/>
          <w:sz w:val="24"/>
          <w:szCs w:val="24"/>
          <w:lang w:val="sr-Cyrl-BA"/>
        </w:rPr>
        <w:t>ше</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мировно</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образовање</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широм</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БиХ</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Србије</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Црне</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Горе</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Едукаци</w:t>
      </w:r>
      <w:r>
        <w:rPr>
          <w:rStyle w:val="y2iqfc"/>
          <w:rFonts w:ascii="inherit" w:hAnsi="inherit"/>
          <w:color w:val="1F1F1F"/>
          <w:sz w:val="24"/>
          <w:szCs w:val="24"/>
          <w:lang w:val="sr-Cyrl-BA"/>
        </w:rPr>
        <w:t>она</w:t>
      </w:r>
      <w:r w:rsidR="00AF0B6A">
        <w:rPr>
          <w:rStyle w:val="y2iqfc"/>
          <w:rFonts w:ascii="inherit" w:hAnsi="inherit"/>
          <w:color w:val="1F1F1F"/>
          <w:sz w:val="24"/>
          <w:szCs w:val="24"/>
        </w:rPr>
        <w:t xml:space="preserve"> </w:t>
      </w:r>
      <w:r w:rsidR="00C6214E">
        <w:rPr>
          <w:rStyle w:val="y2iqfc"/>
          <w:rFonts w:ascii="inherit" w:hAnsi="inherit"/>
          <w:color w:val="1F1F1F"/>
          <w:sz w:val="24"/>
          <w:szCs w:val="24"/>
        </w:rPr>
        <w:t>друштвена</w:t>
      </w:r>
      <w:r w:rsidR="00AF0B6A">
        <w:rPr>
          <w:rStyle w:val="y2iqfc"/>
          <w:rFonts w:ascii="inherit" w:hAnsi="inherit"/>
          <w:color w:val="1F1F1F"/>
          <w:sz w:val="24"/>
          <w:szCs w:val="24"/>
        </w:rPr>
        <w:t xml:space="preserve"> </w:t>
      </w:r>
      <w:r w:rsidR="00C6214E">
        <w:rPr>
          <w:rStyle w:val="y2iqfc"/>
          <w:rFonts w:ascii="inherit" w:hAnsi="inherit"/>
          <w:color w:val="1F1F1F"/>
          <w:sz w:val="24"/>
          <w:szCs w:val="24"/>
        </w:rPr>
        <w:t>игра</w:t>
      </w:r>
      <w:r w:rsidR="00AF0B6A">
        <w:rPr>
          <w:rStyle w:val="y2iqfc"/>
          <w:rFonts w:ascii="inherit" w:hAnsi="inherit"/>
          <w:color w:val="1F1F1F"/>
          <w:sz w:val="24"/>
          <w:szCs w:val="24"/>
        </w:rPr>
        <w:t xml:space="preserve"> „</w:t>
      </w:r>
      <w:r w:rsidR="00C6214E">
        <w:rPr>
          <w:rStyle w:val="y2iqfc"/>
          <w:rFonts w:ascii="inherit" w:hAnsi="inherit"/>
          <w:color w:val="1F1F1F"/>
          <w:sz w:val="24"/>
          <w:szCs w:val="24"/>
        </w:rPr>
        <w:t>БиХ</w:t>
      </w:r>
      <w:r w:rsidR="00EB6E0A" w:rsidRPr="00295637">
        <w:rPr>
          <w:rStyle w:val="y2iqfc"/>
          <w:rFonts w:ascii="inherit" w:hAnsi="inherit"/>
          <w:color w:val="1F1F1F"/>
          <w:sz w:val="24"/>
          <w:szCs w:val="24"/>
        </w:rPr>
        <w:t xml:space="preserve"> – </w:t>
      </w:r>
      <w:r w:rsidR="00C6214E">
        <w:rPr>
          <w:rStyle w:val="y2iqfc"/>
          <w:rFonts w:ascii="inherit" w:hAnsi="inherit"/>
          <w:color w:val="1F1F1F"/>
          <w:sz w:val="24"/>
          <w:szCs w:val="24"/>
        </w:rPr>
        <w:t>Биљешке</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о</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земљи</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мира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развијена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сарадњи</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са</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студентима</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наставницима</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Камп</w:t>
      </w:r>
      <w:r w:rsidR="00EB6E0A" w:rsidRPr="00295637">
        <w:rPr>
          <w:rStyle w:val="y2iqfc"/>
          <w:rFonts w:ascii="inherit" w:hAnsi="inherit"/>
          <w:color w:val="1F1F1F"/>
          <w:sz w:val="24"/>
          <w:szCs w:val="24"/>
        </w:rPr>
        <w:t xml:space="preserve"> </w:t>
      </w:r>
      <w:r w:rsidR="00F90528" w:rsidRPr="00295637">
        <w:rPr>
          <w:rStyle w:val="y2iqfc"/>
          <w:rFonts w:ascii="inherit" w:hAnsi="inherit"/>
          <w:color w:val="1F1F1F"/>
          <w:sz w:val="24"/>
          <w:szCs w:val="24"/>
        </w:rPr>
        <w:t>„</w:t>
      </w:r>
      <w:r w:rsidRPr="00937482">
        <w:rPr>
          <w:rFonts w:ascii="inherit" w:hAnsi="inherit"/>
          <w:i/>
          <w:iCs/>
          <w:color w:val="1F1F1F"/>
          <w:sz w:val="24"/>
          <w:szCs w:val="24"/>
          <w:lang w:val="hr-BA"/>
        </w:rPr>
        <w:t>Music4Peace</w:t>
      </w:r>
      <w:r w:rsidR="00F90528" w:rsidRPr="00295637">
        <w:rPr>
          <w:rStyle w:val="y2iqfc"/>
          <w:rFonts w:ascii="inherit" w:hAnsi="inherit"/>
          <w:color w:val="1F1F1F"/>
          <w:sz w:val="24"/>
          <w:szCs w:val="24"/>
        </w:rPr>
        <w:t>“</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Фестивал</w:t>
      </w:r>
      <w:r w:rsidR="00EB6E0A" w:rsidRPr="00295637">
        <w:rPr>
          <w:rStyle w:val="y2iqfc"/>
          <w:rFonts w:ascii="inherit" w:hAnsi="inherit"/>
          <w:color w:val="1F1F1F"/>
          <w:sz w:val="24"/>
          <w:szCs w:val="24"/>
        </w:rPr>
        <w:t xml:space="preserve"> </w:t>
      </w:r>
      <w:r w:rsidR="00F90528" w:rsidRPr="00295637">
        <w:rPr>
          <w:rStyle w:val="y2iqfc"/>
          <w:rFonts w:ascii="inherit" w:hAnsi="inherit"/>
          <w:color w:val="1F1F1F"/>
          <w:sz w:val="24"/>
          <w:szCs w:val="24"/>
        </w:rPr>
        <w:t>„</w:t>
      </w:r>
      <w:r w:rsidR="00C6214E">
        <w:rPr>
          <w:rStyle w:val="y2iqfc"/>
          <w:rFonts w:ascii="inherit" w:hAnsi="inherit"/>
          <w:color w:val="1F1F1F"/>
          <w:sz w:val="24"/>
          <w:szCs w:val="24"/>
        </w:rPr>
        <w:t>Ријека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мира</w:t>
      </w:r>
      <w:r w:rsidR="00F90528" w:rsidRPr="00295637">
        <w:rPr>
          <w:rStyle w:val="y2iqfc"/>
          <w:rFonts w:ascii="inherit" w:hAnsi="inherit"/>
          <w:color w:val="1F1F1F"/>
          <w:sz w:val="24"/>
          <w:szCs w:val="24"/>
        </w:rPr>
        <w:t>“</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који</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су</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укључивали</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младе</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помирење</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кроз</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креативну</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сарадњу</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размјена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младих</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Западног</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Балкана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Италије</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која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је</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кулминирала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турнејом</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изложбе</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планираном</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w:t>
      </w:r>
      <w:r w:rsidR="00C501BE" w:rsidRPr="00295637">
        <w:rPr>
          <w:rStyle w:val="y2iqfc"/>
          <w:rFonts w:ascii="inherit" w:hAnsi="inherit"/>
          <w:color w:val="1F1F1F"/>
          <w:sz w:val="24"/>
          <w:szCs w:val="24"/>
        </w:rPr>
        <w:t xml:space="preserve"> 2025. </w:t>
      </w:r>
      <w:r w:rsidR="00C6214E">
        <w:rPr>
          <w:rStyle w:val="y2iqfc"/>
          <w:rFonts w:ascii="inherit" w:hAnsi="inherit"/>
          <w:color w:val="1F1F1F"/>
          <w:sz w:val="24"/>
          <w:szCs w:val="24"/>
        </w:rPr>
        <w:t>годину</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C501BE"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подршка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Специјалној</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олимпијади</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БиХ</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која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промови</w:t>
      </w:r>
      <w:r>
        <w:rPr>
          <w:rStyle w:val="y2iqfc"/>
          <w:rFonts w:ascii="inherit" w:hAnsi="inherit"/>
          <w:color w:val="1F1F1F"/>
          <w:sz w:val="24"/>
          <w:szCs w:val="24"/>
          <w:lang w:val="sr-Cyrl-BA"/>
        </w:rPr>
        <w:t>ше</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инклузију</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толеранцију</w:t>
      </w:r>
      <w:r w:rsidR="00DE7E99">
        <w:rPr>
          <w:rStyle w:val="y2iqfc"/>
          <w:rFonts w:ascii="inherit" w:hAnsi="inherit"/>
          <w:color w:val="1F1F1F"/>
          <w:sz w:val="24"/>
          <w:szCs w:val="24"/>
        </w:rPr>
        <w:t xml:space="preserve"> </w:t>
      </w:r>
      <w:r w:rsidR="00C6214E">
        <w:rPr>
          <w:rStyle w:val="y2iqfc"/>
          <w:rFonts w:ascii="inherit" w:hAnsi="inherit"/>
          <w:color w:val="1F1F1F"/>
          <w:sz w:val="24"/>
          <w:szCs w:val="24"/>
        </w:rPr>
        <w:t>за</w:t>
      </w:r>
      <w:r w:rsidR="00DE7E99">
        <w:rPr>
          <w:rStyle w:val="y2iqfc"/>
          <w:rFonts w:ascii="inherit" w:hAnsi="inherit"/>
          <w:color w:val="1F1F1F"/>
          <w:sz w:val="24"/>
          <w:szCs w:val="24"/>
        </w:rPr>
        <w:t xml:space="preserve"> </w:t>
      </w:r>
      <w:r w:rsidR="00C6214E">
        <w:rPr>
          <w:rStyle w:val="y2iqfc"/>
          <w:rFonts w:ascii="inherit" w:hAnsi="inherit"/>
          <w:color w:val="1F1F1F"/>
          <w:sz w:val="24"/>
          <w:szCs w:val="24"/>
        </w:rPr>
        <w:t>преко</w:t>
      </w:r>
      <w:r w:rsidR="00DE7E99">
        <w:rPr>
          <w:rStyle w:val="y2iqfc"/>
          <w:rFonts w:ascii="inherit" w:hAnsi="inherit"/>
          <w:color w:val="1F1F1F"/>
          <w:sz w:val="24"/>
          <w:szCs w:val="24"/>
        </w:rPr>
        <w:t xml:space="preserve"> 500 </w:t>
      </w:r>
      <w:r w:rsidR="00C6214E">
        <w:rPr>
          <w:rStyle w:val="y2iqfc"/>
          <w:rFonts w:ascii="inherit" w:hAnsi="inherit"/>
          <w:color w:val="1F1F1F"/>
          <w:sz w:val="24"/>
          <w:szCs w:val="24"/>
        </w:rPr>
        <w:t>младих</w:t>
      </w:r>
      <w:r w:rsidR="00DE7E99">
        <w:rPr>
          <w:rStyle w:val="y2iqfc"/>
          <w:rFonts w:ascii="inherit" w:hAnsi="inherit"/>
          <w:color w:val="1F1F1F"/>
          <w:sz w:val="24"/>
          <w:szCs w:val="24"/>
        </w:rPr>
        <w:t xml:space="preserve"> </w:t>
      </w:r>
      <w:r w:rsidR="00C6214E">
        <w:rPr>
          <w:rStyle w:val="y2iqfc"/>
          <w:rFonts w:ascii="inherit" w:hAnsi="inherit"/>
          <w:color w:val="1F1F1F"/>
          <w:sz w:val="24"/>
          <w:szCs w:val="24"/>
        </w:rPr>
        <w:t>са</w:t>
      </w:r>
      <w:r w:rsidR="00EB6E0A"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инвалидитетом</w:t>
      </w:r>
      <w:r w:rsidR="00EB6E0A" w:rsidRPr="00295637">
        <w:rPr>
          <w:rStyle w:val="y2iqfc"/>
          <w:rFonts w:ascii="inherit" w:hAnsi="inherit"/>
          <w:color w:val="1F1F1F"/>
          <w:sz w:val="24"/>
          <w:szCs w:val="24"/>
        </w:rPr>
        <w:t>.</w:t>
      </w:r>
    </w:p>
    <w:p w:rsidR="00EB6E0A" w:rsidRPr="00295637" w:rsidRDefault="00EB6E0A" w:rsidP="0086268D">
      <w:pPr>
        <w:pStyle w:val="Default"/>
        <w:jc w:val="both"/>
      </w:pPr>
    </w:p>
    <w:p w:rsidR="00EB6E0A" w:rsidRDefault="00C6214E" w:rsidP="0086268D">
      <w:pPr>
        <w:pStyle w:val="HTMLPreformatted"/>
        <w:jc w:val="both"/>
        <w:rPr>
          <w:rStyle w:val="y2iqfc"/>
          <w:rFonts w:ascii="Times New Roman" w:hAnsi="Times New Roman" w:cs="Times New Roman"/>
          <w:color w:val="1F1F1F"/>
          <w:sz w:val="24"/>
          <w:szCs w:val="24"/>
        </w:rPr>
      </w:pPr>
      <w:r>
        <w:rPr>
          <w:rFonts w:ascii="Times New Roman" w:hAnsi="Times New Roman" w:cs="Times New Roman"/>
          <w:bCs/>
          <w:sz w:val="24"/>
          <w:szCs w:val="24"/>
        </w:rPr>
        <w:t>Спорт</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је</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био</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и</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тема</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пројекта</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финансираног</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од</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стране</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ЕУ</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Они</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који</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мијењају</w:t>
      </w:r>
      <w:r w:rsidR="00EB6E0A" w:rsidRPr="00295637">
        <w:rPr>
          <w:rFonts w:ascii="Times New Roman" w:hAnsi="Times New Roman" w:cs="Times New Roman"/>
          <w:bCs/>
          <w:sz w:val="24"/>
          <w:szCs w:val="24"/>
        </w:rPr>
        <w:t xml:space="preserve"> </w:t>
      </w:r>
      <w:r>
        <w:rPr>
          <w:rFonts w:ascii="Times New Roman" w:hAnsi="Times New Roman" w:cs="Times New Roman"/>
          <w:bCs/>
          <w:sz w:val="24"/>
          <w:szCs w:val="24"/>
        </w:rPr>
        <w:t>игру</w:t>
      </w:r>
      <w:r w:rsidR="00EB6E0A" w:rsidRPr="00295637">
        <w:rPr>
          <w:rFonts w:ascii="Times New Roman" w:hAnsi="Times New Roman" w:cs="Times New Roman"/>
          <w:bCs/>
          <w:sz w:val="24"/>
          <w:szCs w:val="24"/>
        </w:rPr>
        <w:t xml:space="preserve"> -</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Промоција</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људских</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права</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једнакости</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кроз</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спорт</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који</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доприноси</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оснажује</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инклузивно</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цивилно</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друштво</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промови</w:t>
      </w:r>
      <w:r w:rsidR="00937482">
        <w:rPr>
          <w:rStyle w:val="y2iqfc"/>
          <w:rFonts w:ascii="Times New Roman" w:hAnsi="Times New Roman" w:cs="Times New Roman"/>
          <w:color w:val="1F1F1F"/>
          <w:sz w:val="24"/>
          <w:szCs w:val="24"/>
          <w:lang w:val="sr-Cyrl-BA"/>
        </w:rPr>
        <w:t>ше</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људска</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права</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равноправост</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полова</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недискриминација</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кроз</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истраживање</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потенцијала</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спорта</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као</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инструмента</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за</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социјалну</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инклузију</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премошћивање</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јаза</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између</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различитих</w:t>
      </w:r>
      <w:r w:rsidR="00EB6E0A" w:rsidRPr="00295637">
        <w:rPr>
          <w:rStyle w:val="y2iqfc"/>
          <w:rFonts w:ascii="Times New Roman" w:hAnsi="Times New Roman" w:cs="Times New Roman"/>
          <w:color w:val="1F1F1F"/>
          <w:sz w:val="24"/>
          <w:szCs w:val="24"/>
        </w:rPr>
        <w:t xml:space="preserve"> </w:t>
      </w:r>
      <w:r>
        <w:rPr>
          <w:rStyle w:val="y2iqfc"/>
          <w:rFonts w:ascii="Times New Roman" w:hAnsi="Times New Roman" w:cs="Times New Roman"/>
          <w:color w:val="1F1F1F"/>
          <w:sz w:val="24"/>
          <w:szCs w:val="24"/>
        </w:rPr>
        <w:t>група</w:t>
      </w:r>
      <w:r w:rsidR="00EB6E0A" w:rsidRPr="00295637">
        <w:rPr>
          <w:rStyle w:val="y2iqfc"/>
          <w:rFonts w:ascii="Times New Roman" w:hAnsi="Times New Roman" w:cs="Times New Roman"/>
          <w:color w:val="1F1F1F"/>
          <w:sz w:val="24"/>
          <w:szCs w:val="24"/>
        </w:rPr>
        <w:t>.</w:t>
      </w:r>
    </w:p>
    <w:p w:rsidR="009A097E" w:rsidRPr="00DB6495" w:rsidRDefault="009A097E" w:rsidP="0086268D">
      <w:pPr>
        <w:pStyle w:val="HTMLPreformatted"/>
        <w:jc w:val="both"/>
        <w:rPr>
          <w:rFonts w:ascii="Times New Roman" w:hAnsi="Times New Roman" w:cs="Times New Roman"/>
          <w:color w:val="1F1F1F"/>
          <w:sz w:val="24"/>
          <w:szCs w:val="24"/>
        </w:rPr>
      </w:pPr>
    </w:p>
    <w:p w:rsidR="000627E7" w:rsidRPr="00295637" w:rsidRDefault="000627E7" w:rsidP="0086268D">
      <w:pPr>
        <w:rPr>
          <w:rFonts w:ascii="Times New Roman" w:hAnsi="Times New Roman"/>
          <w:color w:val="FF0000"/>
          <w:szCs w:val="24"/>
          <w:lang w:val="bs-Latn-BA"/>
        </w:rPr>
      </w:pPr>
    </w:p>
    <w:p w:rsidR="00356C2C" w:rsidRPr="00295637" w:rsidRDefault="00937482" w:rsidP="00425EAE">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32" w:name="_Toc332005666"/>
      <w:bookmarkStart w:id="33" w:name="_Toc332010897"/>
      <w:bookmarkStart w:id="34" w:name="_Toc195016595"/>
      <w:r w:rsidRPr="00937482">
        <w:rPr>
          <w:rFonts w:ascii="Times New Roman" w:hAnsi="Times New Roman" w:cs="Times New Roman"/>
          <w:color w:val="548DD4" w:themeColor="text2" w:themeTint="99"/>
          <w:lang w:val="bs-Latn-BA" w:eastAsia="bs-Latn-BA"/>
        </w:rPr>
        <w:t>I</w:t>
      </w:r>
      <w:r w:rsidR="00425EAE" w:rsidRPr="00425EAE">
        <w:rPr>
          <w:rFonts w:ascii="Times New Roman" w:hAnsi="Times New Roman" w:cs="Times New Roman"/>
          <w:color w:val="548DD4" w:themeColor="text2" w:themeTint="99"/>
          <w:lang w:val="bs-Latn-BA" w:eastAsia="bs-Latn-BA"/>
        </w:rPr>
        <w:t xml:space="preserve"> 5. </w:t>
      </w:r>
      <w:r w:rsidR="00425EAE">
        <w:rPr>
          <w:rFonts w:ascii="Times New Roman" w:hAnsi="Times New Roman" w:cs="Times New Roman"/>
          <w:color w:val="548DD4" w:themeColor="text2" w:themeTint="99"/>
          <w:lang w:val="bs-Latn-BA" w:eastAsia="bs-Latn-BA"/>
        </w:rPr>
        <w:t xml:space="preserve">  </w:t>
      </w:r>
      <w:r w:rsidR="00C6214E">
        <w:rPr>
          <w:rFonts w:ascii="Times New Roman" w:hAnsi="Times New Roman" w:cs="Times New Roman"/>
          <w:lang w:val="bs-Latn-BA" w:eastAsia="bs-Latn-BA"/>
        </w:rPr>
        <w:t>Здравље</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превенција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и</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заштита</w:t>
      </w:r>
      <w:bookmarkEnd w:id="32"/>
      <w:bookmarkEnd w:id="33"/>
      <w:bookmarkEnd w:id="34"/>
    </w:p>
    <w:p w:rsidR="00356C2C" w:rsidRPr="00295637" w:rsidRDefault="00356C2C" w:rsidP="0086268D">
      <w:pPr>
        <w:jc w:val="both"/>
        <w:rPr>
          <w:rFonts w:ascii="Times New Roman" w:hAnsi="Times New Roman"/>
          <w:b/>
          <w:szCs w:val="24"/>
          <w:lang w:val="bs-Latn-BA"/>
        </w:rPr>
      </w:pPr>
    </w:p>
    <w:p w:rsidR="00F970FE" w:rsidRPr="00295637" w:rsidRDefault="00C6214E" w:rsidP="0086268D">
      <w:pPr>
        <w:jc w:val="both"/>
        <w:rPr>
          <w:rFonts w:ascii="Times New Roman" w:hAnsi="Times New Roman"/>
          <w:lang w:val="pl-PL"/>
        </w:rPr>
      </w:pPr>
      <w:r>
        <w:rPr>
          <w:rFonts w:ascii="Times New Roman" w:hAnsi="Times New Roman"/>
          <w:lang w:val="bs-Latn-BA"/>
        </w:rPr>
        <w:t>Према</w:t>
      </w:r>
      <w:r w:rsidR="00F970FE" w:rsidRPr="00295637">
        <w:rPr>
          <w:rFonts w:ascii="Times New Roman" w:hAnsi="Times New Roman"/>
          <w:lang w:val="bs-Latn-BA"/>
        </w:rPr>
        <w:t xml:space="preserve"> </w:t>
      </w:r>
      <w:r>
        <w:rPr>
          <w:rFonts w:ascii="Times New Roman" w:hAnsi="Times New Roman"/>
          <w:lang w:val="bs-Latn-BA"/>
        </w:rPr>
        <w:t>садашњим</w:t>
      </w:r>
      <w:r w:rsidR="00F970FE" w:rsidRPr="00295637">
        <w:rPr>
          <w:rFonts w:ascii="Times New Roman" w:hAnsi="Times New Roman"/>
          <w:lang w:val="bs-Latn-BA"/>
        </w:rPr>
        <w:t xml:space="preserve"> </w:t>
      </w:r>
      <w:r>
        <w:rPr>
          <w:rFonts w:ascii="Times New Roman" w:hAnsi="Times New Roman"/>
          <w:lang w:val="bs-Latn-BA"/>
        </w:rPr>
        <w:t>процјенама</w:t>
      </w:r>
      <w:r w:rsidR="00F970FE" w:rsidRPr="00295637">
        <w:rPr>
          <w:rFonts w:ascii="Times New Roman" w:hAnsi="Times New Roman"/>
          <w:lang w:val="bs-Latn-BA"/>
        </w:rPr>
        <w:t xml:space="preserve">, </w:t>
      </w:r>
      <w:r>
        <w:rPr>
          <w:rFonts w:ascii="Times New Roman" w:hAnsi="Times New Roman"/>
          <w:lang w:val="bs-Latn-BA"/>
        </w:rPr>
        <w:t>око</w:t>
      </w:r>
      <w:r w:rsidR="00F970FE" w:rsidRPr="00295637">
        <w:rPr>
          <w:rFonts w:ascii="Times New Roman" w:hAnsi="Times New Roman"/>
          <w:lang w:val="bs-Latn-BA"/>
        </w:rPr>
        <w:t xml:space="preserve"> 78% </w:t>
      </w:r>
      <w:r>
        <w:rPr>
          <w:rFonts w:ascii="Times New Roman" w:hAnsi="Times New Roman"/>
          <w:lang w:val="bs-Latn-BA"/>
        </w:rPr>
        <w:t>становништва</w:t>
      </w:r>
      <w:r w:rsidR="00F970FE" w:rsidRPr="00295637">
        <w:rPr>
          <w:rFonts w:ascii="Times New Roman" w:hAnsi="Times New Roman"/>
          <w:lang w:val="bs-Latn-BA"/>
        </w:rPr>
        <w:t xml:space="preserve"> </w:t>
      </w:r>
      <w:r>
        <w:rPr>
          <w:rFonts w:ascii="Times New Roman" w:hAnsi="Times New Roman"/>
          <w:lang w:val="bs-Latn-BA"/>
        </w:rPr>
        <w:t>Републике</w:t>
      </w:r>
      <w:r w:rsidR="009A097E">
        <w:rPr>
          <w:rFonts w:ascii="Times New Roman" w:hAnsi="Times New Roman"/>
          <w:lang w:val="bs-Latn-BA"/>
        </w:rPr>
        <w:t xml:space="preserve"> </w:t>
      </w:r>
      <w:r>
        <w:rPr>
          <w:rFonts w:ascii="Times New Roman" w:hAnsi="Times New Roman"/>
          <w:lang w:val="bs-Latn-BA"/>
        </w:rPr>
        <w:t>Српске</w:t>
      </w:r>
      <w:r w:rsidR="00F970FE" w:rsidRPr="00295637">
        <w:rPr>
          <w:rFonts w:ascii="Times New Roman" w:hAnsi="Times New Roman"/>
          <w:lang w:val="bs-Latn-BA"/>
        </w:rPr>
        <w:t xml:space="preserve"> </w:t>
      </w:r>
      <w:r>
        <w:rPr>
          <w:rFonts w:ascii="Times New Roman" w:hAnsi="Times New Roman"/>
          <w:lang w:val="bs-Latn-BA"/>
        </w:rPr>
        <w:t>и</w:t>
      </w:r>
      <w:r w:rsidR="00F970FE" w:rsidRPr="00295637">
        <w:rPr>
          <w:rFonts w:ascii="Times New Roman" w:hAnsi="Times New Roman"/>
          <w:lang w:val="bs-Latn-BA"/>
        </w:rPr>
        <w:t xml:space="preserve"> 86% </w:t>
      </w:r>
      <w:r>
        <w:rPr>
          <w:rFonts w:ascii="Times New Roman" w:hAnsi="Times New Roman"/>
          <w:lang w:val="bs-Latn-BA"/>
        </w:rPr>
        <w:t>становништва</w:t>
      </w:r>
      <w:r w:rsidR="00F970FE" w:rsidRPr="00295637">
        <w:rPr>
          <w:rFonts w:ascii="Times New Roman" w:hAnsi="Times New Roman"/>
          <w:lang w:val="bs-Latn-BA"/>
        </w:rPr>
        <w:t xml:space="preserve"> </w:t>
      </w:r>
      <w:r>
        <w:rPr>
          <w:rFonts w:ascii="Times New Roman" w:hAnsi="Times New Roman"/>
          <w:lang w:val="bs-Latn-BA"/>
        </w:rPr>
        <w:t>Федерације</w:t>
      </w:r>
      <w:r w:rsidR="009A097E">
        <w:rPr>
          <w:rFonts w:ascii="Times New Roman" w:hAnsi="Times New Roman"/>
          <w:lang w:val="bs-Latn-BA"/>
        </w:rPr>
        <w:t xml:space="preserve"> </w:t>
      </w:r>
      <w:r>
        <w:rPr>
          <w:rFonts w:ascii="Times New Roman" w:hAnsi="Times New Roman"/>
          <w:lang w:val="bs-Latn-BA"/>
        </w:rPr>
        <w:t>Босне</w:t>
      </w:r>
      <w:r w:rsidR="009A097E">
        <w:rPr>
          <w:rFonts w:ascii="Times New Roman" w:hAnsi="Times New Roman"/>
          <w:lang w:val="bs-Latn-BA"/>
        </w:rPr>
        <w:t xml:space="preserve"> </w:t>
      </w:r>
      <w:r>
        <w:rPr>
          <w:rFonts w:ascii="Times New Roman" w:hAnsi="Times New Roman"/>
          <w:lang w:val="bs-Latn-BA"/>
        </w:rPr>
        <w:t>и</w:t>
      </w:r>
      <w:r w:rsidR="009A097E">
        <w:rPr>
          <w:rFonts w:ascii="Times New Roman" w:hAnsi="Times New Roman"/>
          <w:lang w:val="bs-Latn-BA"/>
        </w:rPr>
        <w:t xml:space="preserve"> </w:t>
      </w:r>
      <w:r>
        <w:rPr>
          <w:rFonts w:ascii="Times New Roman" w:hAnsi="Times New Roman"/>
          <w:lang w:val="bs-Latn-BA"/>
        </w:rPr>
        <w:t>Херцеговине</w:t>
      </w:r>
      <w:r w:rsidR="00F970FE" w:rsidRPr="00295637">
        <w:rPr>
          <w:rFonts w:ascii="Times New Roman" w:hAnsi="Times New Roman"/>
          <w:lang w:val="bs-Latn-BA"/>
        </w:rPr>
        <w:t xml:space="preserve"> </w:t>
      </w:r>
      <w:r>
        <w:rPr>
          <w:rFonts w:ascii="Times New Roman" w:hAnsi="Times New Roman"/>
          <w:lang w:val="bs-Latn-BA"/>
        </w:rPr>
        <w:t>покривено</w:t>
      </w:r>
      <w:r w:rsidR="00F970FE" w:rsidRPr="00295637">
        <w:rPr>
          <w:rFonts w:ascii="Times New Roman" w:hAnsi="Times New Roman"/>
          <w:lang w:val="bs-Latn-BA"/>
        </w:rPr>
        <w:t xml:space="preserve"> </w:t>
      </w:r>
      <w:r>
        <w:rPr>
          <w:rFonts w:ascii="Times New Roman" w:hAnsi="Times New Roman"/>
          <w:lang w:val="bs-Latn-BA"/>
        </w:rPr>
        <w:t>је</w:t>
      </w:r>
      <w:r w:rsidR="00DE7E99" w:rsidRPr="00295637">
        <w:rPr>
          <w:rFonts w:ascii="Times New Roman" w:hAnsi="Times New Roman"/>
          <w:lang w:val="bs-Latn-BA"/>
        </w:rPr>
        <w:t xml:space="preserve"> </w:t>
      </w:r>
      <w:r>
        <w:rPr>
          <w:rFonts w:ascii="Times New Roman" w:hAnsi="Times New Roman"/>
          <w:lang w:val="bs-Latn-BA"/>
        </w:rPr>
        <w:t>здравственим</w:t>
      </w:r>
      <w:r w:rsidR="00F970FE" w:rsidRPr="00295637">
        <w:rPr>
          <w:rFonts w:ascii="Times New Roman" w:hAnsi="Times New Roman"/>
          <w:lang w:val="bs-Latn-BA"/>
        </w:rPr>
        <w:t xml:space="preserve"> </w:t>
      </w:r>
      <w:r>
        <w:rPr>
          <w:rFonts w:ascii="Times New Roman" w:hAnsi="Times New Roman"/>
          <w:lang w:val="bs-Latn-BA"/>
        </w:rPr>
        <w:t>осигурањем</w:t>
      </w:r>
      <w:r w:rsidR="00F970FE" w:rsidRPr="00295637">
        <w:rPr>
          <w:rFonts w:ascii="Times New Roman" w:hAnsi="Times New Roman"/>
          <w:lang w:val="bs-Latn-BA"/>
        </w:rPr>
        <w:t xml:space="preserve">. </w:t>
      </w:r>
      <w:r>
        <w:rPr>
          <w:rFonts w:ascii="Times New Roman" w:hAnsi="Times New Roman"/>
          <w:lang w:val="bs-Latn-BA"/>
        </w:rPr>
        <w:t>Систем</w:t>
      </w:r>
      <w:r w:rsidR="00F970FE" w:rsidRPr="00295637">
        <w:rPr>
          <w:rFonts w:ascii="Times New Roman" w:hAnsi="Times New Roman"/>
          <w:lang w:val="bs-Latn-BA"/>
        </w:rPr>
        <w:t xml:space="preserve"> </w:t>
      </w:r>
      <w:r>
        <w:rPr>
          <w:rFonts w:ascii="Times New Roman" w:hAnsi="Times New Roman"/>
          <w:lang w:val="bs-Latn-BA"/>
        </w:rPr>
        <w:t>здравствене</w:t>
      </w:r>
      <w:r w:rsidR="00F970FE" w:rsidRPr="00295637">
        <w:rPr>
          <w:rFonts w:ascii="Times New Roman" w:hAnsi="Times New Roman"/>
          <w:lang w:val="bs-Latn-BA"/>
        </w:rPr>
        <w:t xml:space="preserve"> </w:t>
      </w:r>
      <w:r>
        <w:rPr>
          <w:rFonts w:ascii="Times New Roman" w:hAnsi="Times New Roman"/>
          <w:lang w:val="bs-Latn-BA"/>
        </w:rPr>
        <w:t>заштите</w:t>
      </w:r>
      <w:r w:rsidR="00F970FE" w:rsidRPr="00295637">
        <w:rPr>
          <w:rFonts w:ascii="Times New Roman" w:hAnsi="Times New Roman"/>
          <w:lang w:val="bs-Latn-BA"/>
        </w:rPr>
        <w:t xml:space="preserve"> </w:t>
      </w:r>
      <w:r>
        <w:rPr>
          <w:rFonts w:ascii="Times New Roman" w:hAnsi="Times New Roman"/>
          <w:lang w:val="bs-Latn-BA"/>
        </w:rPr>
        <w:t>је</w:t>
      </w:r>
      <w:r w:rsidR="00F970FE" w:rsidRPr="00295637">
        <w:rPr>
          <w:rFonts w:ascii="Times New Roman" w:hAnsi="Times New Roman"/>
          <w:lang w:val="bs-Latn-BA"/>
        </w:rPr>
        <w:t xml:space="preserve"> </w:t>
      </w:r>
      <w:r>
        <w:rPr>
          <w:rFonts w:ascii="Times New Roman" w:hAnsi="Times New Roman"/>
          <w:lang w:val="bs-Latn-BA"/>
        </w:rPr>
        <w:t>у</w:t>
      </w:r>
      <w:r w:rsidR="00F970FE" w:rsidRPr="00295637">
        <w:rPr>
          <w:rFonts w:ascii="Times New Roman" w:hAnsi="Times New Roman"/>
          <w:lang w:val="bs-Latn-BA"/>
        </w:rPr>
        <w:t xml:space="preserve"> </w:t>
      </w:r>
      <w:r>
        <w:rPr>
          <w:rFonts w:ascii="Times New Roman" w:hAnsi="Times New Roman"/>
          <w:lang w:val="bs-Latn-BA"/>
        </w:rPr>
        <w:t>прописима</w:t>
      </w:r>
      <w:r w:rsidR="00F970FE" w:rsidRPr="00295637">
        <w:rPr>
          <w:rFonts w:ascii="Times New Roman" w:hAnsi="Times New Roman"/>
          <w:lang w:val="bs-Latn-BA"/>
        </w:rPr>
        <w:t xml:space="preserve"> </w:t>
      </w:r>
      <w:r>
        <w:rPr>
          <w:rFonts w:ascii="Times New Roman" w:hAnsi="Times New Roman"/>
          <w:lang w:val="bs-Latn-BA"/>
        </w:rPr>
        <w:t>и</w:t>
      </w:r>
      <w:r w:rsidR="00F970FE" w:rsidRPr="00295637">
        <w:rPr>
          <w:rFonts w:ascii="Times New Roman" w:hAnsi="Times New Roman"/>
          <w:lang w:val="bs-Latn-BA"/>
        </w:rPr>
        <w:t xml:space="preserve"> </w:t>
      </w:r>
      <w:r>
        <w:rPr>
          <w:rFonts w:ascii="Times New Roman" w:hAnsi="Times New Roman"/>
          <w:lang w:val="bs-Latn-BA"/>
        </w:rPr>
        <w:t>у</w:t>
      </w:r>
      <w:r w:rsidR="00F970FE" w:rsidRPr="00295637">
        <w:rPr>
          <w:rFonts w:ascii="Times New Roman" w:hAnsi="Times New Roman"/>
          <w:lang w:val="bs-Latn-BA"/>
        </w:rPr>
        <w:t xml:space="preserve"> </w:t>
      </w:r>
      <w:r>
        <w:rPr>
          <w:rFonts w:ascii="Times New Roman" w:hAnsi="Times New Roman"/>
          <w:lang w:val="bs-Latn-BA"/>
        </w:rPr>
        <w:t>пракси</w:t>
      </w:r>
      <w:r w:rsidR="00F970FE" w:rsidRPr="00295637">
        <w:rPr>
          <w:rFonts w:ascii="Times New Roman" w:hAnsi="Times New Roman"/>
          <w:lang w:val="bs-Latn-BA"/>
        </w:rPr>
        <w:t xml:space="preserve"> </w:t>
      </w:r>
      <w:r>
        <w:rPr>
          <w:rFonts w:ascii="Times New Roman" w:hAnsi="Times New Roman"/>
          <w:lang w:val="bs-Latn-BA"/>
        </w:rPr>
        <w:t>у</w:t>
      </w:r>
      <w:r w:rsidR="00F970FE" w:rsidRPr="00295637">
        <w:rPr>
          <w:rFonts w:ascii="Times New Roman" w:hAnsi="Times New Roman"/>
          <w:lang w:val="bs-Latn-BA"/>
        </w:rPr>
        <w:t xml:space="preserve"> </w:t>
      </w:r>
      <w:r>
        <w:rPr>
          <w:rFonts w:ascii="Times New Roman" w:hAnsi="Times New Roman"/>
          <w:lang w:val="bs-Latn-BA"/>
        </w:rPr>
        <w:t>највишем</w:t>
      </w:r>
      <w:r w:rsidR="00F970FE" w:rsidRPr="00295637">
        <w:rPr>
          <w:rFonts w:ascii="Times New Roman" w:hAnsi="Times New Roman"/>
          <w:lang w:val="bs-Latn-BA"/>
        </w:rPr>
        <w:t xml:space="preserve"> </w:t>
      </w:r>
      <w:r>
        <w:rPr>
          <w:rFonts w:ascii="Times New Roman" w:hAnsi="Times New Roman"/>
          <w:lang w:val="bs-Latn-BA"/>
        </w:rPr>
        <w:t>степену</w:t>
      </w:r>
      <w:r w:rsidR="00F970FE" w:rsidRPr="00295637">
        <w:rPr>
          <w:rFonts w:ascii="Times New Roman" w:hAnsi="Times New Roman"/>
          <w:lang w:val="bs-Latn-BA"/>
        </w:rPr>
        <w:t xml:space="preserve"> </w:t>
      </w:r>
      <w:r>
        <w:rPr>
          <w:rFonts w:ascii="Times New Roman" w:hAnsi="Times New Roman"/>
          <w:lang w:val="bs-Latn-BA"/>
        </w:rPr>
        <w:t>усаглашен</w:t>
      </w:r>
      <w:r w:rsidR="00F970FE" w:rsidRPr="00295637">
        <w:rPr>
          <w:rFonts w:ascii="Times New Roman" w:hAnsi="Times New Roman"/>
          <w:lang w:val="bs-Latn-BA"/>
        </w:rPr>
        <w:t xml:space="preserve"> </w:t>
      </w:r>
      <w:r>
        <w:rPr>
          <w:rFonts w:ascii="Times New Roman" w:hAnsi="Times New Roman"/>
          <w:lang w:val="bs-Latn-BA"/>
        </w:rPr>
        <w:t>са</w:t>
      </w:r>
      <w:r w:rsidR="00F970FE" w:rsidRPr="00295637">
        <w:rPr>
          <w:rFonts w:ascii="Times New Roman" w:hAnsi="Times New Roman"/>
          <w:lang w:val="bs-Latn-BA"/>
        </w:rPr>
        <w:t xml:space="preserve"> </w:t>
      </w:r>
      <w:r>
        <w:rPr>
          <w:rFonts w:ascii="Times New Roman" w:hAnsi="Times New Roman"/>
          <w:lang w:val="bs-Latn-BA"/>
        </w:rPr>
        <w:t>стандардима</w:t>
      </w:r>
      <w:r w:rsidR="00F970FE" w:rsidRPr="00295637">
        <w:rPr>
          <w:rFonts w:ascii="Times New Roman" w:hAnsi="Times New Roman"/>
          <w:lang w:val="bs-Latn-BA"/>
        </w:rPr>
        <w:t xml:space="preserve"> </w:t>
      </w:r>
      <w:r>
        <w:rPr>
          <w:rFonts w:ascii="Times New Roman" w:hAnsi="Times New Roman"/>
          <w:lang w:val="bs-Latn-BA"/>
        </w:rPr>
        <w:t>за</w:t>
      </w:r>
      <w:r w:rsidR="00F970FE" w:rsidRPr="00295637">
        <w:rPr>
          <w:rFonts w:ascii="Times New Roman" w:hAnsi="Times New Roman"/>
          <w:lang w:val="bs-Latn-BA"/>
        </w:rPr>
        <w:t xml:space="preserve"> </w:t>
      </w:r>
      <w:r>
        <w:rPr>
          <w:rFonts w:ascii="Times New Roman" w:hAnsi="Times New Roman"/>
          <w:lang w:val="bs-Latn-BA"/>
        </w:rPr>
        <w:t>равноправност</w:t>
      </w:r>
      <w:r w:rsidR="00F970FE" w:rsidRPr="00295637">
        <w:rPr>
          <w:rFonts w:ascii="Times New Roman" w:hAnsi="Times New Roman"/>
          <w:lang w:val="bs-Latn-BA"/>
        </w:rPr>
        <w:t xml:space="preserve"> </w:t>
      </w:r>
      <w:r>
        <w:rPr>
          <w:rFonts w:ascii="Times New Roman" w:hAnsi="Times New Roman"/>
          <w:lang w:val="bs-Latn-BA"/>
        </w:rPr>
        <w:t>полова</w:t>
      </w:r>
      <w:r w:rsidR="00F970FE" w:rsidRPr="00295637">
        <w:rPr>
          <w:rFonts w:ascii="Times New Roman" w:hAnsi="Times New Roman"/>
          <w:lang w:val="bs-Latn-BA"/>
        </w:rPr>
        <w:t xml:space="preserve">, </w:t>
      </w:r>
      <w:r>
        <w:rPr>
          <w:rFonts w:ascii="Times New Roman" w:hAnsi="Times New Roman"/>
          <w:lang w:val="bs-Latn-BA"/>
        </w:rPr>
        <w:t>како</w:t>
      </w:r>
      <w:r w:rsidR="00F970FE" w:rsidRPr="00295637">
        <w:rPr>
          <w:rFonts w:ascii="Times New Roman" w:hAnsi="Times New Roman"/>
          <w:lang w:val="bs-Latn-BA"/>
        </w:rPr>
        <w:t xml:space="preserve"> </w:t>
      </w:r>
      <w:r>
        <w:rPr>
          <w:rFonts w:ascii="Times New Roman" w:hAnsi="Times New Roman"/>
          <w:lang w:val="bs-Latn-BA"/>
        </w:rPr>
        <w:t>у</w:t>
      </w:r>
      <w:r w:rsidR="00F970FE" w:rsidRPr="00295637">
        <w:rPr>
          <w:rFonts w:ascii="Times New Roman" w:hAnsi="Times New Roman"/>
          <w:lang w:val="bs-Latn-BA"/>
        </w:rPr>
        <w:t xml:space="preserve"> </w:t>
      </w:r>
      <w:r>
        <w:rPr>
          <w:rFonts w:ascii="Times New Roman" w:hAnsi="Times New Roman"/>
          <w:lang w:val="bs-Latn-BA"/>
        </w:rPr>
        <w:t>погледу</w:t>
      </w:r>
      <w:r w:rsidR="00F970FE" w:rsidRPr="00295637">
        <w:rPr>
          <w:rFonts w:ascii="Times New Roman" w:hAnsi="Times New Roman"/>
          <w:lang w:val="bs-Latn-BA"/>
        </w:rPr>
        <w:t xml:space="preserve"> </w:t>
      </w:r>
      <w:r>
        <w:rPr>
          <w:rFonts w:ascii="Times New Roman" w:hAnsi="Times New Roman"/>
          <w:lang w:val="bs-Latn-BA"/>
        </w:rPr>
        <w:t>недискриминације</w:t>
      </w:r>
      <w:r w:rsidR="00F970FE" w:rsidRPr="00295637">
        <w:rPr>
          <w:rFonts w:ascii="Times New Roman" w:hAnsi="Times New Roman"/>
          <w:lang w:val="bs-Latn-BA"/>
        </w:rPr>
        <w:t xml:space="preserve">, </w:t>
      </w:r>
      <w:r>
        <w:rPr>
          <w:rFonts w:ascii="Times New Roman" w:hAnsi="Times New Roman"/>
          <w:lang w:val="bs-Latn-BA"/>
        </w:rPr>
        <w:t>тако</w:t>
      </w:r>
      <w:r w:rsidR="00F970FE" w:rsidRPr="00295637">
        <w:rPr>
          <w:rFonts w:ascii="Times New Roman" w:hAnsi="Times New Roman"/>
          <w:lang w:val="bs-Latn-BA"/>
        </w:rPr>
        <w:t xml:space="preserve"> </w:t>
      </w:r>
      <w:r>
        <w:rPr>
          <w:rFonts w:ascii="Times New Roman" w:hAnsi="Times New Roman"/>
          <w:lang w:val="bs-Latn-BA"/>
        </w:rPr>
        <w:t>и</w:t>
      </w:r>
      <w:r w:rsidR="00F970FE" w:rsidRPr="00295637">
        <w:rPr>
          <w:rFonts w:ascii="Times New Roman" w:hAnsi="Times New Roman"/>
          <w:lang w:val="bs-Latn-BA"/>
        </w:rPr>
        <w:t xml:space="preserve"> </w:t>
      </w:r>
      <w:r>
        <w:rPr>
          <w:rFonts w:ascii="Times New Roman" w:hAnsi="Times New Roman"/>
          <w:lang w:val="bs-Latn-BA"/>
        </w:rPr>
        <w:t>обима</w:t>
      </w:r>
      <w:r w:rsidR="00F970FE" w:rsidRPr="00295637">
        <w:rPr>
          <w:rFonts w:ascii="Times New Roman" w:hAnsi="Times New Roman"/>
          <w:lang w:val="bs-Latn-BA"/>
        </w:rPr>
        <w:t xml:space="preserve"> </w:t>
      </w:r>
      <w:r>
        <w:rPr>
          <w:rFonts w:ascii="Times New Roman" w:hAnsi="Times New Roman"/>
          <w:lang w:val="bs-Latn-BA"/>
        </w:rPr>
        <w:t>права</w:t>
      </w:r>
      <w:r w:rsidR="00F970FE" w:rsidRPr="00295637">
        <w:rPr>
          <w:rFonts w:ascii="Times New Roman" w:hAnsi="Times New Roman"/>
          <w:lang w:val="bs-Latn-BA"/>
        </w:rPr>
        <w:t xml:space="preserve"> </w:t>
      </w:r>
      <w:r>
        <w:rPr>
          <w:rFonts w:ascii="Times New Roman" w:hAnsi="Times New Roman"/>
          <w:lang w:val="bs-Latn-BA"/>
        </w:rPr>
        <w:t>која</w:t>
      </w:r>
      <w:r w:rsidR="00F970FE" w:rsidRPr="00295637">
        <w:rPr>
          <w:rFonts w:ascii="Times New Roman" w:hAnsi="Times New Roman"/>
          <w:lang w:val="bs-Latn-BA"/>
        </w:rPr>
        <w:t xml:space="preserve"> </w:t>
      </w:r>
      <w:r>
        <w:rPr>
          <w:rFonts w:ascii="Times New Roman" w:hAnsi="Times New Roman"/>
          <w:lang w:val="bs-Latn-BA"/>
        </w:rPr>
        <w:t>се</w:t>
      </w:r>
      <w:r w:rsidR="00F970FE" w:rsidRPr="00295637">
        <w:rPr>
          <w:rFonts w:ascii="Times New Roman" w:hAnsi="Times New Roman"/>
          <w:lang w:val="bs-Latn-BA"/>
        </w:rPr>
        <w:t xml:space="preserve"> </w:t>
      </w:r>
      <w:r>
        <w:rPr>
          <w:rFonts w:ascii="Times New Roman" w:hAnsi="Times New Roman"/>
          <w:lang w:val="bs-Latn-BA"/>
        </w:rPr>
        <w:t>пружају</w:t>
      </w:r>
      <w:r w:rsidR="00F970FE" w:rsidRPr="00295637">
        <w:rPr>
          <w:rFonts w:ascii="Times New Roman" w:hAnsi="Times New Roman"/>
          <w:lang w:val="bs-Latn-BA"/>
        </w:rPr>
        <w:t xml:space="preserve">, </w:t>
      </w:r>
      <w:r>
        <w:rPr>
          <w:rFonts w:ascii="Times New Roman" w:hAnsi="Times New Roman"/>
          <w:lang w:val="bs-Latn-BA"/>
        </w:rPr>
        <w:t>заштите</w:t>
      </w:r>
      <w:r w:rsidR="00F970FE" w:rsidRPr="00295637">
        <w:rPr>
          <w:rFonts w:ascii="Times New Roman" w:hAnsi="Times New Roman"/>
          <w:lang w:val="bs-Latn-BA"/>
        </w:rPr>
        <w:t xml:space="preserve"> </w:t>
      </w:r>
      <w:r>
        <w:rPr>
          <w:rFonts w:ascii="Times New Roman" w:hAnsi="Times New Roman"/>
          <w:lang w:val="bs-Latn-BA"/>
        </w:rPr>
        <w:t>здравља</w:t>
      </w:r>
      <w:r w:rsidR="00F970FE" w:rsidRPr="00295637">
        <w:rPr>
          <w:rFonts w:ascii="Times New Roman" w:hAnsi="Times New Roman"/>
          <w:lang w:val="bs-Latn-BA"/>
        </w:rPr>
        <w:t xml:space="preserve"> </w:t>
      </w:r>
      <w:r>
        <w:rPr>
          <w:rFonts w:ascii="Times New Roman" w:hAnsi="Times New Roman"/>
          <w:lang w:val="bs-Latn-BA"/>
        </w:rPr>
        <w:t>жена</w:t>
      </w:r>
      <w:r w:rsidR="00F970FE" w:rsidRPr="00295637">
        <w:rPr>
          <w:rFonts w:ascii="Times New Roman" w:hAnsi="Times New Roman"/>
          <w:lang w:val="bs-Latn-BA"/>
        </w:rPr>
        <w:t xml:space="preserve"> </w:t>
      </w:r>
      <w:r>
        <w:rPr>
          <w:rFonts w:ascii="Times New Roman" w:hAnsi="Times New Roman"/>
          <w:lang w:val="bs-Latn-BA"/>
        </w:rPr>
        <w:t>и</w:t>
      </w:r>
      <w:r w:rsidR="00F970FE" w:rsidRPr="00295637">
        <w:rPr>
          <w:rFonts w:ascii="Times New Roman" w:hAnsi="Times New Roman"/>
          <w:lang w:val="bs-Latn-BA"/>
        </w:rPr>
        <w:t xml:space="preserve"> </w:t>
      </w:r>
      <w:r>
        <w:rPr>
          <w:rFonts w:ascii="Times New Roman" w:hAnsi="Times New Roman"/>
          <w:lang w:val="bs-Latn-BA"/>
        </w:rPr>
        <w:t>мушкараца</w:t>
      </w:r>
      <w:r w:rsidR="00F970FE" w:rsidRPr="00295637">
        <w:rPr>
          <w:rFonts w:ascii="Times New Roman" w:hAnsi="Times New Roman"/>
          <w:lang w:val="bs-Latn-BA"/>
        </w:rPr>
        <w:t xml:space="preserve">, </w:t>
      </w:r>
      <w:r>
        <w:rPr>
          <w:rFonts w:ascii="Times New Roman" w:hAnsi="Times New Roman"/>
          <w:lang w:val="bs-Latn-BA"/>
        </w:rPr>
        <w:t>заштите</w:t>
      </w:r>
      <w:r w:rsidR="00F970FE" w:rsidRPr="00295637">
        <w:rPr>
          <w:rFonts w:ascii="Times New Roman" w:hAnsi="Times New Roman"/>
          <w:lang w:val="bs-Latn-BA"/>
        </w:rPr>
        <w:t xml:space="preserve"> </w:t>
      </w:r>
      <w:r>
        <w:rPr>
          <w:rFonts w:ascii="Times New Roman" w:hAnsi="Times New Roman"/>
          <w:lang w:val="bs-Latn-BA"/>
        </w:rPr>
        <w:t>сексуалног</w:t>
      </w:r>
      <w:r w:rsidR="00F970FE" w:rsidRPr="00295637">
        <w:rPr>
          <w:rFonts w:ascii="Times New Roman" w:hAnsi="Times New Roman"/>
          <w:lang w:val="bs-Latn-BA"/>
        </w:rPr>
        <w:t xml:space="preserve"> </w:t>
      </w:r>
      <w:r>
        <w:rPr>
          <w:rFonts w:ascii="Times New Roman" w:hAnsi="Times New Roman"/>
          <w:lang w:val="bs-Latn-BA"/>
        </w:rPr>
        <w:t>и</w:t>
      </w:r>
      <w:r w:rsidR="00F970FE" w:rsidRPr="00295637">
        <w:rPr>
          <w:rFonts w:ascii="Times New Roman" w:hAnsi="Times New Roman"/>
          <w:lang w:val="bs-Latn-BA"/>
        </w:rPr>
        <w:t xml:space="preserve"> </w:t>
      </w:r>
      <w:r>
        <w:rPr>
          <w:rFonts w:ascii="Times New Roman" w:hAnsi="Times New Roman"/>
          <w:lang w:val="bs-Latn-BA"/>
        </w:rPr>
        <w:t>репродуктивног</w:t>
      </w:r>
      <w:r w:rsidR="00F970FE" w:rsidRPr="00295637">
        <w:rPr>
          <w:rFonts w:ascii="Times New Roman" w:hAnsi="Times New Roman"/>
          <w:lang w:val="bs-Latn-BA"/>
        </w:rPr>
        <w:t xml:space="preserve"> </w:t>
      </w:r>
      <w:r>
        <w:rPr>
          <w:rFonts w:ascii="Times New Roman" w:hAnsi="Times New Roman"/>
          <w:lang w:val="bs-Latn-BA"/>
        </w:rPr>
        <w:t>здравља</w:t>
      </w:r>
      <w:r w:rsidR="00F970FE" w:rsidRPr="00295637">
        <w:rPr>
          <w:rFonts w:ascii="Times New Roman" w:hAnsi="Times New Roman"/>
          <w:lang w:val="bs-Latn-BA"/>
        </w:rPr>
        <w:t xml:space="preserve">, </w:t>
      </w:r>
      <w:r>
        <w:rPr>
          <w:rFonts w:ascii="Times New Roman" w:hAnsi="Times New Roman"/>
          <w:lang w:val="bs-Latn-BA"/>
        </w:rPr>
        <w:t>заштите</w:t>
      </w:r>
      <w:r w:rsidR="00F970FE" w:rsidRPr="00295637">
        <w:rPr>
          <w:rFonts w:ascii="Times New Roman" w:hAnsi="Times New Roman"/>
          <w:lang w:val="bs-Latn-BA"/>
        </w:rPr>
        <w:t xml:space="preserve"> </w:t>
      </w:r>
      <w:r>
        <w:rPr>
          <w:rFonts w:ascii="Times New Roman" w:hAnsi="Times New Roman"/>
          <w:lang w:val="bs-Latn-BA"/>
        </w:rPr>
        <w:t>менталног</w:t>
      </w:r>
      <w:r w:rsidR="00F970FE" w:rsidRPr="00295637">
        <w:rPr>
          <w:rFonts w:ascii="Times New Roman" w:hAnsi="Times New Roman"/>
          <w:lang w:val="bs-Latn-BA"/>
        </w:rPr>
        <w:t xml:space="preserve"> </w:t>
      </w:r>
      <w:r>
        <w:rPr>
          <w:rFonts w:ascii="Times New Roman" w:hAnsi="Times New Roman"/>
          <w:lang w:val="bs-Latn-BA"/>
        </w:rPr>
        <w:t>здравља</w:t>
      </w:r>
      <w:r w:rsidR="00F970FE" w:rsidRPr="00295637">
        <w:rPr>
          <w:rFonts w:ascii="Times New Roman" w:hAnsi="Times New Roman"/>
          <w:lang w:val="bs-Latn-BA"/>
        </w:rPr>
        <w:t xml:space="preserve"> </w:t>
      </w:r>
      <w:r>
        <w:rPr>
          <w:rFonts w:ascii="Times New Roman" w:hAnsi="Times New Roman"/>
          <w:lang w:val="bs-Latn-BA"/>
        </w:rPr>
        <w:t>и</w:t>
      </w:r>
      <w:r w:rsidR="00F970FE" w:rsidRPr="00295637">
        <w:rPr>
          <w:rFonts w:ascii="Times New Roman" w:hAnsi="Times New Roman"/>
          <w:lang w:val="bs-Latn-BA"/>
        </w:rPr>
        <w:t xml:space="preserve"> </w:t>
      </w:r>
      <w:r>
        <w:rPr>
          <w:rFonts w:ascii="Times New Roman" w:hAnsi="Times New Roman"/>
          <w:lang w:val="bs-Latn-BA"/>
        </w:rPr>
        <w:t>дјеце</w:t>
      </w:r>
      <w:r w:rsidR="00F970FE" w:rsidRPr="00295637">
        <w:rPr>
          <w:rFonts w:ascii="Times New Roman" w:hAnsi="Times New Roman"/>
          <w:lang w:val="bs-Latn-BA"/>
        </w:rPr>
        <w:t xml:space="preserve">, </w:t>
      </w:r>
      <w:r>
        <w:rPr>
          <w:rFonts w:ascii="Times New Roman" w:hAnsi="Times New Roman"/>
          <w:lang w:val="bs-Latn-BA"/>
        </w:rPr>
        <w:t>те</w:t>
      </w:r>
      <w:r w:rsidR="00F970FE" w:rsidRPr="00295637">
        <w:rPr>
          <w:rFonts w:ascii="Times New Roman" w:hAnsi="Times New Roman"/>
          <w:lang w:val="bs-Latn-BA"/>
        </w:rPr>
        <w:t xml:space="preserve"> </w:t>
      </w:r>
      <w:r>
        <w:rPr>
          <w:rFonts w:ascii="Times New Roman" w:hAnsi="Times New Roman"/>
          <w:lang w:val="bs-Latn-BA"/>
        </w:rPr>
        <w:t>рањивих</w:t>
      </w:r>
      <w:r w:rsidR="00F970FE" w:rsidRPr="00295637">
        <w:rPr>
          <w:rFonts w:ascii="Times New Roman" w:hAnsi="Times New Roman"/>
          <w:lang w:val="bs-Latn-BA"/>
        </w:rPr>
        <w:t xml:space="preserve"> </w:t>
      </w:r>
      <w:r>
        <w:rPr>
          <w:rFonts w:ascii="Times New Roman" w:hAnsi="Times New Roman"/>
          <w:lang w:val="bs-Latn-BA"/>
        </w:rPr>
        <w:t>група</w:t>
      </w:r>
      <w:r w:rsidR="00F970FE" w:rsidRPr="00295637">
        <w:rPr>
          <w:rFonts w:ascii="Times New Roman" w:hAnsi="Times New Roman"/>
          <w:lang w:val="bs-Latn-BA"/>
        </w:rPr>
        <w:t xml:space="preserve"> (</w:t>
      </w:r>
      <w:r>
        <w:rPr>
          <w:rFonts w:ascii="Times New Roman" w:hAnsi="Times New Roman"/>
          <w:lang w:val="bs-Latn-BA"/>
        </w:rPr>
        <w:t>лица</w:t>
      </w:r>
      <w:r w:rsidR="00F970FE" w:rsidRPr="00295637">
        <w:rPr>
          <w:rFonts w:ascii="Times New Roman" w:hAnsi="Times New Roman"/>
          <w:lang w:val="bs-Latn-BA"/>
        </w:rPr>
        <w:t xml:space="preserve"> </w:t>
      </w:r>
      <w:r>
        <w:rPr>
          <w:rFonts w:ascii="Times New Roman" w:hAnsi="Times New Roman"/>
          <w:lang w:val="bs-Latn-BA"/>
        </w:rPr>
        <w:t>са</w:t>
      </w:r>
      <w:r w:rsidR="00F970FE" w:rsidRPr="00295637">
        <w:rPr>
          <w:rFonts w:ascii="Times New Roman" w:hAnsi="Times New Roman"/>
          <w:lang w:val="bs-Latn-BA"/>
        </w:rPr>
        <w:t xml:space="preserve"> </w:t>
      </w:r>
      <w:r>
        <w:rPr>
          <w:rFonts w:ascii="Times New Roman" w:hAnsi="Times New Roman"/>
          <w:lang w:val="bs-Latn-BA"/>
        </w:rPr>
        <w:t>инвалидитетом</w:t>
      </w:r>
      <w:r w:rsidR="00F970FE" w:rsidRPr="00295637">
        <w:rPr>
          <w:rFonts w:ascii="Times New Roman" w:hAnsi="Times New Roman"/>
          <w:lang w:val="bs-Latn-BA"/>
        </w:rPr>
        <w:t xml:space="preserve">, </w:t>
      </w:r>
      <w:r>
        <w:rPr>
          <w:rFonts w:ascii="Times New Roman" w:hAnsi="Times New Roman"/>
          <w:lang w:val="bs-Latn-BA"/>
        </w:rPr>
        <w:t>старија</w:t>
      </w:r>
      <w:r w:rsidR="00F970FE" w:rsidRPr="00295637">
        <w:rPr>
          <w:rFonts w:ascii="Times New Roman" w:hAnsi="Times New Roman"/>
          <w:lang w:val="bs-Latn-BA"/>
        </w:rPr>
        <w:t xml:space="preserve"> </w:t>
      </w:r>
      <w:r>
        <w:rPr>
          <w:rFonts w:ascii="Times New Roman" w:hAnsi="Times New Roman"/>
          <w:lang w:val="bs-Latn-BA"/>
        </w:rPr>
        <w:t>лица</w:t>
      </w:r>
      <w:r w:rsidR="00F970FE" w:rsidRPr="00295637">
        <w:rPr>
          <w:rFonts w:ascii="Times New Roman" w:hAnsi="Times New Roman"/>
          <w:lang w:val="bs-Latn-BA"/>
        </w:rPr>
        <w:t xml:space="preserve"> </w:t>
      </w:r>
      <w:r>
        <w:rPr>
          <w:rFonts w:ascii="Times New Roman" w:hAnsi="Times New Roman"/>
          <w:lang w:val="bs-Latn-BA"/>
        </w:rPr>
        <w:t>и</w:t>
      </w:r>
      <w:r w:rsidR="00F970FE" w:rsidRPr="00295637">
        <w:rPr>
          <w:rFonts w:ascii="Times New Roman" w:hAnsi="Times New Roman"/>
          <w:lang w:val="bs-Latn-BA"/>
        </w:rPr>
        <w:t xml:space="preserve"> </w:t>
      </w:r>
      <w:r>
        <w:rPr>
          <w:rFonts w:ascii="Times New Roman" w:hAnsi="Times New Roman"/>
          <w:lang w:val="bs-Latn-BA"/>
        </w:rPr>
        <w:t>друго</w:t>
      </w:r>
      <w:r w:rsidR="00F970FE" w:rsidRPr="00295637">
        <w:rPr>
          <w:rFonts w:ascii="Times New Roman" w:hAnsi="Times New Roman"/>
          <w:lang w:val="bs-Latn-BA"/>
        </w:rPr>
        <w:t xml:space="preserve">). </w:t>
      </w:r>
      <w:r>
        <w:rPr>
          <w:rFonts w:ascii="Times New Roman" w:hAnsi="Times New Roman"/>
          <w:lang w:val="pl-PL"/>
        </w:rPr>
        <w:t>Сви</w:t>
      </w:r>
      <w:r w:rsidR="00F970FE" w:rsidRPr="00295637">
        <w:rPr>
          <w:rFonts w:ascii="Times New Roman" w:hAnsi="Times New Roman"/>
          <w:lang w:val="pl-PL"/>
        </w:rPr>
        <w:t xml:space="preserve"> </w:t>
      </w:r>
      <w:r>
        <w:rPr>
          <w:rFonts w:ascii="Times New Roman" w:hAnsi="Times New Roman"/>
          <w:lang w:val="pl-PL"/>
        </w:rPr>
        <w:t>законски</w:t>
      </w:r>
      <w:r w:rsidR="00F970FE" w:rsidRPr="00295637">
        <w:rPr>
          <w:rFonts w:ascii="Times New Roman" w:hAnsi="Times New Roman"/>
          <w:lang w:val="pl-PL"/>
        </w:rPr>
        <w:t xml:space="preserve"> </w:t>
      </w:r>
      <w:r>
        <w:rPr>
          <w:rFonts w:ascii="Times New Roman" w:hAnsi="Times New Roman"/>
          <w:lang w:val="pl-PL"/>
        </w:rPr>
        <w:t>и</w:t>
      </w:r>
      <w:r w:rsidR="00F970FE" w:rsidRPr="00295637">
        <w:rPr>
          <w:rFonts w:ascii="Times New Roman" w:hAnsi="Times New Roman"/>
          <w:lang w:val="pl-PL"/>
        </w:rPr>
        <w:t xml:space="preserve"> </w:t>
      </w:r>
      <w:r>
        <w:rPr>
          <w:rFonts w:ascii="Times New Roman" w:hAnsi="Times New Roman"/>
          <w:lang w:val="pl-PL"/>
        </w:rPr>
        <w:t>подзаконски</w:t>
      </w:r>
      <w:r w:rsidR="00F970FE" w:rsidRPr="00295637">
        <w:rPr>
          <w:rFonts w:ascii="Times New Roman" w:hAnsi="Times New Roman"/>
          <w:lang w:val="pl-PL"/>
        </w:rPr>
        <w:t xml:space="preserve"> </w:t>
      </w:r>
      <w:r>
        <w:rPr>
          <w:rFonts w:ascii="Times New Roman" w:hAnsi="Times New Roman"/>
          <w:lang w:val="pl-PL"/>
        </w:rPr>
        <w:t>акти</w:t>
      </w:r>
      <w:r w:rsidR="00F970FE" w:rsidRPr="00295637">
        <w:rPr>
          <w:rFonts w:ascii="Times New Roman" w:hAnsi="Times New Roman"/>
          <w:lang w:val="pl-PL"/>
        </w:rPr>
        <w:t xml:space="preserve">, </w:t>
      </w:r>
      <w:r>
        <w:rPr>
          <w:rFonts w:ascii="Times New Roman" w:hAnsi="Times New Roman"/>
          <w:lang w:val="pl-PL"/>
        </w:rPr>
        <w:t>стратешки</w:t>
      </w:r>
      <w:r w:rsidR="00F970FE" w:rsidRPr="00295637">
        <w:rPr>
          <w:rFonts w:ascii="Times New Roman" w:hAnsi="Times New Roman"/>
          <w:lang w:val="pl-PL"/>
        </w:rPr>
        <w:t xml:space="preserve"> </w:t>
      </w:r>
      <w:r>
        <w:rPr>
          <w:rFonts w:ascii="Times New Roman" w:hAnsi="Times New Roman"/>
          <w:lang w:val="pl-PL"/>
        </w:rPr>
        <w:t>и</w:t>
      </w:r>
      <w:r w:rsidR="00F970FE" w:rsidRPr="00295637">
        <w:rPr>
          <w:rFonts w:ascii="Times New Roman" w:hAnsi="Times New Roman"/>
          <w:lang w:val="pl-PL"/>
        </w:rPr>
        <w:t xml:space="preserve"> </w:t>
      </w:r>
      <w:r>
        <w:rPr>
          <w:rFonts w:ascii="Times New Roman" w:hAnsi="Times New Roman"/>
          <w:lang w:val="pl-PL"/>
        </w:rPr>
        <w:t>плански</w:t>
      </w:r>
      <w:r w:rsidR="00DE7E99">
        <w:rPr>
          <w:rFonts w:ascii="Times New Roman" w:hAnsi="Times New Roman"/>
          <w:lang w:val="pl-PL"/>
        </w:rPr>
        <w:t xml:space="preserve"> </w:t>
      </w:r>
      <w:r>
        <w:rPr>
          <w:rFonts w:ascii="Times New Roman" w:hAnsi="Times New Roman"/>
          <w:lang w:val="pl-PL"/>
        </w:rPr>
        <w:t>документи</w:t>
      </w:r>
      <w:r w:rsidR="00DE7E99">
        <w:rPr>
          <w:rFonts w:ascii="Times New Roman" w:hAnsi="Times New Roman"/>
          <w:lang w:val="pl-PL"/>
        </w:rPr>
        <w:t xml:space="preserve"> </w:t>
      </w:r>
      <w:r>
        <w:rPr>
          <w:rFonts w:ascii="Times New Roman" w:hAnsi="Times New Roman"/>
          <w:lang w:val="pl-PL"/>
        </w:rPr>
        <w:t>су</w:t>
      </w:r>
      <w:r w:rsidR="00DE7E99">
        <w:rPr>
          <w:rFonts w:ascii="Times New Roman" w:hAnsi="Times New Roman"/>
          <w:lang w:val="pl-PL"/>
        </w:rPr>
        <w:t xml:space="preserve"> </w:t>
      </w:r>
      <w:r>
        <w:rPr>
          <w:rFonts w:ascii="Times New Roman" w:hAnsi="Times New Roman"/>
          <w:lang w:val="pl-PL"/>
        </w:rPr>
        <w:t>усаглашени</w:t>
      </w:r>
      <w:r w:rsidR="00DE7E99">
        <w:rPr>
          <w:rFonts w:ascii="Times New Roman" w:hAnsi="Times New Roman"/>
          <w:lang w:val="pl-PL"/>
        </w:rPr>
        <w:t xml:space="preserve"> </w:t>
      </w:r>
      <w:r>
        <w:rPr>
          <w:rFonts w:ascii="Times New Roman" w:hAnsi="Times New Roman"/>
          <w:lang w:val="pl-PL"/>
        </w:rPr>
        <w:t>са</w:t>
      </w:r>
      <w:r w:rsidR="00F970FE" w:rsidRPr="00295637">
        <w:rPr>
          <w:rFonts w:ascii="Times New Roman" w:hAnsi="Times New Roman"/>
          <w:lang w:val="pl-PL"/>
        </w:rPr>
        <w:t xml:space="preserve"> </w:t>
      </w:r>
      <w:r>
        <w:rPr>
          <w:rFonts w:ascii="Times New Roman" w:hAnsi="Times New Roman"/>
          <w:lang w:val="pl-PL"/>
        </w:rPr>
        <w:t>ЗоР</w:t>
      </w:r>
      <w:r w:rsidR="00937482">
        <w:rPr>
          <w:rFonts w:ascii="Times New Roman" w:hAnsi="Times New Roman"/>
          <w:lang w:val="sr-Cyrl-BA"/>
        </w:rPr>
        <w:t>П</w:t>
      </w:r>
      <w:r w:rsidR="001823BE" w:rsidRPr="00295637">
        <w:rPr>
          <w:rFonts w:ascii="Times New Roman" w:hAnsi="Times New Roman"/>
          <w:lang w:val="pl-PL"/>
        </w:rPr>
        <w:t xml:space="preserve"> </w:t>
      </w:r>
      <w:r>
        <w:rPr>
          <w:rFonts w:ascii="Times New Roman" w:hAnsi="Times New Roman"/>
          <w:lang w:val="pl-PL"/>
        </w:rPr>
        <w:t>БиХ</w:t>
      </w:r>
      <w:r w:rsidR="00F970FE" w:rsidRPr="00295637">
        <w:rPr>
          <w:rFonts w:ascii="Times New Roman" w:hAnsi="Times New Roman"/>
          <w:lang w:val="pl-PL"/>
        </w:rPr>
        <w:t xml:space="preserve">. </w:t>
      </w:r>
      <w:r>
        <w:rPr>
          <w:rFonts w:ascii="Times New Roman" w:hAnsi="Times New Roman"/>
          <w:lang w:val="pl-PL"/>
        </w:rPr>
        <w:t>Пројекти</w:t>
      </w:r>
      <w:r w:rsidR="00F970FE" w:rsidRPr="00295637">
        <w:rPr>
          <w:rFonts w:ascii="Times New Roman" w:hAnsi="Times New Roman"/>
          <w:lang w:val="pl-PL"/>
        </w:rPr>
        <w:t xml:space="preserve"> </w:t>
      </w:r>
      <w:r>
        <w:rPr>
          <w:rFonts w:ascii="Times New Roman" w:hAnsi="Times New Roman"/>
          <w:lang w:val="pl-PL"/>
        </w:rPr>
        <w:t>и</w:t>
      </w:r>
      <w:r w:rsidR="00F970FE" w:rsidRPr="00295637">
        <w:rPr>
          <w:rFonts w:ascii="Times New Roman" w:hAnsi="Times New Roman"/>
          <w:lang w:val="pl-PL"/>
        </w:rPr>
        <w:t xml:space="preserve"> </w:t>
      </w:r>
      <w:r>
        <w:rPr>
          <w:rFonts w:ascii="Times New Roman" w:hAnsi="Times New Roman"/>
          <w:lang w:val="pl-PL"/>
        </w:rPr>
        <w:t>активности</w:t>
      </w:r>
      <w:r w:rsidR="00F970FE" w:rsidRPr="00295637">
        <w:rPr>
          <w:rFonts w:ascii="Times New Roman" w:hAnsi="Times New Roman"/>
          <w:lang w:val="pl-PL"/>
        </w:rPr>
        <w:t xml:space="preserve"> </w:t>
      </w:r>
      <w:r>
        <w:rPr>
          <w:rFonts w:ascii="Times New Roman" w:hAnsi="Times New Roman"/>
          <w:lang w:val="pl-PL"/>
        </w:rPr>
        <w:t>у</w:t>
      </w:r>
      <w:r w:rsidR="00F970FE" w:rsidRPr="00295637">
        <w:rPr>
          <w:rFonts w:ascii="Times New Roman" w:hAnsi="Times New Roman"/>
          <w:lang w:val="pl-PL"/>
        </w:rPr>
        <w:t xml:space="preserve"> </w:t>
      </w:r>
      <w:r>
        <w:rPr>
          <w:rFonts w:ascii="Times New Roman" w:hAnsi="Times New Roman"/>
          <w:lang w:val="pl-PL"/>
        </w:rPr>
        <w:t>области</w:t>
      </w:r>
      <w:r w:rsidR="00F970FE" w:rsidRPr="00295637">
        <w:rPr>
          <w:rFonts w:ascii="Times New Roman" w:hAnsi="Times New Roman"/>
          <w:lang w:val="pl-PL"/>
        </w:rPr>
        <w:t xml:space="preserve"> </w:t>
      </w:r>
      <w:r>
        <w:rPr>
          <w:rFonts w:ascii="Times New Roman" w:hAnsi="Times New Roman"/>
          <w:lang w:val="pl-PL"/>
        </w:rPr>
        <w:t>здравља</w:t>
      </w:r>
      <w:r w:rsidR="00F970FE" w:rsidRPr="00295637">
        <w:rPr>
          <w:rFonts w:ascii="Times New Roman" w:hAnsi="Times New Roman"/>
          <w:lang w:val="pl-PL"/>
        </w:rPr>
        <w:t xml:space="preserve"> </w:t>
      </w:r>
      <w:r>
        <w:rPr>
          <w:rFonts w:ascii="Times New Roman" w:hAnsi="Times New Roman"/>
          <w:lang w:val="pl-PL"/>
        </w:rPr>
        <w:t>садрже</w:t>
      </w:r>
      <w:r w:rsidR="00F970FE" w:rsidRPr="00295637">
        <w:rPr>
          <w:rFonts w:ascii="Times New Roman" w:hAnsi="Times New Roman"/>
          <w:lang w:val="pl-PL"/>
        </w:rPr>
        <w:t xml:space="preserve"> </w:t>
      </w:r>
      <w:r>
        <w:rPr>
          <w:rFonts w:ascii="Times New Roman" w:hAnsi="Times New Roman"/>
          <w:lang w:val="pl-PL"/>
        </w:rPr>
        <w:t>компоненту</w:t>
      </w:r>
      <w:r w:rsidR="00F970FE" w:rsidRPr="00295637">
        <w:rPr>
          <w:rFonts w:ascii="Times New Roman" w:hAnsi="Times New Roman"/>
          <w:lang w:val="pl-PL"/>
        </w:rPr>
        <w:t xml:space="preserve"> </w:t>
      </w:r>
      <w:r>
        <w:rPr>
          <w:rFonts w:ascii="Times New Roman" w:hAnsi="Times New Roman"/>
          <w:lang w:val="pl-PL"/>
        </w:rPr>
        <w:t>равноправности</w:t>
      </w:r>
      <w:r w:rsidR="001823BE" w:rsidRPr="00295637">
        <w:rPr>
          <w:rFonts w:ascii="Times New Roman" w:hAnsi="Times New Roman"/>
          <w:lang w:val="pl-PL"/>
        </w:rPr>
        <w:t xml:space="preserve"> </w:t>
      </w:r>
      <w:r>
        <w:rPr>
          <w:rFonts w:ascii="Times New Roman" w:hAnsi="Times New Roman"/>
          <w:lang w:val="pl-PL"/>
        </w:rPr>
        <w:t>полова</w:t>
      </w:r>
      <w:r w:rsidR="001823BE" w:rsidRPr="00295637">
        <w:rPr>
          <w:rFonts w:ascii="Times New Roman" w:hAnsi="Times New Roman"/>
          <w:lang w:val="pl-PL"/>
        </w:rPr>
        <w:t xml:space="preserve"> </w:t>
      </w:r>
      <w:r>
        <w:rPr>
          <w:rFonts w:ascii="Times New Roman" w:hAnsi="Times New Roman"/>
          <w:lang w:val="pl-PL"/>
        </w:rPr>
        <w:t>и</w:t>
      </w:r>
      <w:r w:rsidR="00F970FE" w:rsidRPr="00295637">
        <w:rPr>
          <w:rFonts w:ascii="Times New Roman" w:hAnsi="Times New Roman"/>
          <w:lang w:val="pl-PL"/>
        </w:rPr>
        <w:t xml:space="preserve"> </w:t>
      </w:r>
      <w:r>
        <w:rPr>
          <w:rFonts w:ascii="Times New Roman" w:hAnsi="Times New Roman"/>
          <w:lang w:val="pl-PL"/>
        </w:rPr>
        <w:t>као</w:t>
      </w:r>
      <w:r w:rsidR="00F970FE" w:rsidRPr="00295637">
        <w:rPr>
          <w:rFonts w:ascii="Times New Roman" w:hAnsi="Times New Roman"/>
          <w:lang w:val="pl-PL"/>
        </w:rPr>
        <w:t xml:space="preserve"> </w:t>
      </w:r>
      <w:r>
        <w:rPr>
          <w:rFonts w:ascii="Times New Roman" w:hAnsi="Times New Roman"/>
          <w:lang w:val="pl-PL"/>
        </w:rPr>
        <w:t>такви</w:t>
      </w:r>
      <w:r w:rsidR="00F970FE" w:rsidRPr="00295637">
        <w:rPr>
          <w:rFonts w:ascii="Times New Roman" w:hAnsi="Times New Roman"/>
          <w:lang w:val="pl-PL"/>
        </w:rPr>
        <w:t xml:space="preserve"> </w:t>
      </w:r>
      <w:r>
        <w:rPr>
          <w:rFonts w:ascii="Times New Roman" w:hAnsi="Times New Roman"/>
          <w:lang w:val="pl-PL"/>
        </w:rPr>
        <w:t>се</w:t>
      </w:r>
      <w:r w:rsidR="00F970FE" w:rsidRPr="00295637">
        <w:rPr>
          <w:rFonts w:ascii="Times New Roman" w:hAnsi="Times New Roman"/>
          <w:lang w:val="pl-PL"/>
        </w:rPr>
        <w:t xml:space="preserve"> </w:t>
      </w:r>
      <w:r>
        <w:rPr>
          <w:rFonts w:ascii="Times New Roman" w:hAnsi="Times New Roman"/>
          <w:lang w:val="pl-PL"/>
        </w:rPr>
        <w:t>и</w:t>
      </w:r>
      <w:r w:rsidR="00F970FE" w:rsidRPr="00295637">
        <w:rPr>
          <w:rFonts w:ascii="Times New Roman" w:hAnsi="Times New Roman"/>
          <w:lang w:val="pl-PL"/>
        </w:rPr>
        <w:t xml:space="preserve"> </w:t>
      </w:r>
      <w:r w:rsidR="00937482">
        <w:rPr>
          <w:rFonts w:ascii="Times New Roman" w:hAnsi="Times New Roman"/>
          <w:lang w:val="sr-Cyrl-BA"/>
        </w:rPr>
        <w:t>спроводе</w:t>
      </w:r>
      <w:r w:rsidR="00F970FE" w:rsidRPr="00295637">
        <w:rPr>
          <w:rFonts w:ascii="Times New Roman" w:hAnsi="Times New Roman"/>
          <w:lang w:val="pl-PL"/>
        </w:rPr>
        <w:t xml:space="preserve">.  </w:t>
      </w:r>
    </w:p>
    <w:p w:rsidR="00F970FE" w:rsidRPr="00295637" w:rsidRDefault="00F970FE" w:rsidP="0086268D">
      <w:pPr>
        <w:jc w:val="both"/>
        <w:rPr>
          <w:rFonts w:ascii="Gill Sans MT" w:hAnsi="Gill Sans MT"/>
          <w:lang w:val="pl-PL"/>
        </w:rPr>
      </w:pPr>
    </w:p>
    <w:p w:rsidR="001823BE" w:rsidRPr="00295637" w:rsidRDefault="00C6214E" w:rsidP="0086268D">
      <w:pPr>
        <w:jc w:val="both"/>
        <w:rPr>
          <w:rFonts w:ascii="Times New Roman" w:hAnsi="Times New Roman"/>
          <w:szCs w:val="24"/>
          <w:lang w:val="bs-Latn-BA"/>
        </w:rPr>
      </w:pPr>
      <w:r>
        <w:rPr>
          <w:rFonts w:ascii="Times New Roman" w:hAnsi="Times New Roman"/>
          <w:szCs w:val="24"/>
          <w:lang w:val="bs-Latn-BA"/>
        </w:rPr>
        <w:t>У</w:t>
      </w:r>
      <w:r w:rsidR="00906F34" w:rsidRPr="00295637">
        <w:rPr>
          <w:rFonts w:ascii="Times New Roman" w:hAnsi="Times New Roman"/>
          <w:szCs w:val="24"/>
          <w:lang w:val="bs-Latn-BA"/>
        </w:rPr>
        <w:t xml:space="preserve"> </w:t>
      </w:r>
      <w:r>
        <w:rPr>
          <w:rFonts w:ascii="Times New Roman" w:hAnsi="Times New Roman"/>
          <w:szCs w:val="24"/>
          <w:lang w:val="bs-Latn-BA"/>
        </w:rPr>
        <w:t>Босни</w:t>
      </w:r>
      <w:r w:rsidR="00906F34" w:rsidRPr="00295637">
        <w:rPr>
          <w:rFonts w:ascii="Times New Roman" w:hAnsi="Times New Roman"/>
          <w:szCs w:val="24"/>
          <w:lang w:val="bs-Latn-BA"/>
        </w:rPr>
        <w:t xml:space="preserve"> </w:t>
      </w:r>
      <w:r>
        <w:rPr>
          <w:rFonts w:ascii="Times New Roman" w:hAnsi="Times New Roman"/>
          <w:szCs w:val="24"/>
          <w:lang w:val="bs-Latn-BA"/>
        </w:rPr>
        <w:t>и</w:t>
      </w:r>
      <w:r w:rsidR="00906F34" w:rsidRPr="00295637">
        <w:rPr>
          <w:rFonts w:ascii="Times New Roman" w:hAnsi="Times New Roman"/>
          <w:szCs w:val="24"/>
          <w:lang w:val="bs-Latn-BA"/>
        </w:rPr>
        <w:t xml:space="preserve"> </w:t>
      </w:r>
      <w:r>
        <w:rPr>
          <w:rFonts w:ascii="Times New Roman" w:hAnsi="Times New Roman"/>
          <w:szCs w:val="24"/>
          <w:lang w:val="bs-Latn-BA"/>
        </w:rPr>
        <w:t>Херцеговини</w:t>
      </w:r>
      <w:r w:rsidR="00906F34" w:rsidRPr="00295637">
        <w:rPr>
          <w:rFonts w:ascii="Times New Roman" w:hAnsi="Times New Roman"/>
          <w:szCs w:val="24"/>
          <w:lang w:val="bs-Latn-BA"/>
        </w:rPr>
        <w:t xml:space="preserve"> </w:t>
      </w:r>
      <w:r>
        <w:rPr>
          <w:rFonts w:ascii="Times New Roman" w:hAnsi="Times New Roman"/>
          <w:szCs w:val="24"/>
          <w:lang w:val="bs-Latn-BA"/>
        </w:rPr>
        <w:t>се</w:t>
      </w:r>
      <w:r w:rsidR="00906F34" w:rsidRPr="00295637">
        <w:rPr>
          <w:rFonts w:ascii="Times New Roman" w:hAnsi="Times New Roman"/>
          <w:szCs w:val="24"/>
          <w:lang w:val="bs-Latn-BA"/>
        </w:rPr>
        <w:t xml:space="preserve"> </w:t>
      </w:r>
      <w:r w:rsidR="00937482">
        <w:rPr>
          <w:rFonts w:ascii="Times New Roman" w:hAnsi="Times New Roman"/>
          <w:szCs w:val="24"/>
          <w:lang w:val="sr-Cyrl-BA"/>
        </w:rPr>
        <w:t>спроводе</w:t>
      </w:r>
      <w:r w:rsidR="00906F34" w:rsidRPr="00295637">
        <w:rPr>
          <w:rFonts w:ascii="Times New Roman" w:hAnsi="Times New Roman"/>
          <w:szCs w:val="24"/>
          <w:lang w:val="bs-Latn-BA"/>
        </w:rPr>
        <w:t xml:space="preserve"> </w:t>
      </w:r>
      <w:r>
        <w:rPr>
          <w:rFonts w:ascii="Times New Roman" w:hAnsi="Times New Roman"/>
          <w:szCs w:val="24"/>
          <w:lang w:val="bs-Latn-BA"/>
        </w:rPr>
        <w:t>значајне</w:t>
      </w:r>
      <w:r w:rsidR="00906F34" w:rsidRPr="00295637">
        <w:rPr>
          <w:rFonts w:ascii="Times New Roman" w:hAnsi="Times New Roman"/>
          <w:szCs w:val="24"/>
          <w:lang w:val="bs-Latn-BA"/>
        </w:rPr>
        <w:t xml:space="preserve"> </w:t>
      </w:r>
      <w:r>
        <w:rPr>
          <w:rFonts w:ascii="Times New Roman" w:hAnsi="Times New Roman"/>
          <w:szCs w:val="24"/>
          <w:lang w:val="bs-Latn-BA"/>
        </w:rPr>
        <w:t>мјере</w:t>
      </w:r>
      <w:r w:rsidR="00906F34" w:rsidRPr="00295637">
        <w:rPr>
          <w:rFonts w:ascii="Times New Roman" w:hAnsi="Times New Roman"/>
          <w:szCs w:val="24"/>
          <w:lang w:val="bs-Latn-BA"/>
        </w:rPr>
        <w:t xml:space="preserve"> </w:t>
      </w:r>
      <w:r>
        <w:rPr>
          <w:rFonts w:ascii="Times New Roman" w:hAnsi="Times New Roman"/>
          <w:szCs w:val="24"/>
          <w:lang w:val="bs-Latn-BA"/>
        </w:rPr>
        <w:t>заштите</w:t>
      </w:r>
      <w:r w:rsidR="00906F34" w:rsidRPr="00295637">
        <w:rPr>
          <w:rFonts w:ascii="Times New Roman" w:hAnsi="Times New Roman"/>
          <w:szCs w:val="24"/>
          <w:lang w:val="bs-Latn-BA"/>
        </w:rPr>
        <w:t xml:space="preserve"> </w:t>
      </w:r>
      <w:r>
        <w:rPr>
          <w:rFonts w:ascii="Times New Roman" w:hAnsi="Times New Roman"/>
          <w:szCs w:val="24"/>
          <w:lang w:val="bs-Latn-BA"/>
        </w:rPr>
        <w:t>здравља</w:t>
      </w:r>
      <w:r w:rsidR="00906F34" w:rsidRPr="00295637">
        <w:rPr>
          <w:rFonts w:ascii="Times New Roman" w:hAnsi="Times New Roman"/>
          <w:szCs w:val="24"/>
          <w:lang w:val="bs-Latn-BA"/>
        </w:rPr>
        <w:t xml:space="preserve"> </w:t>
      </w:r>
      <w:r>
        <w:rPr>
          <w:rFonts w:ascii="Times New Roman" w:hAnsi="Times New Roman"/>
          <w:szCs w:val="24"/>
          <w:lang w:val="bs-Latn-BA"/>
        </w:rPr>
        <w:t>мајки</w:t>
      </w:r>
      <w:r w:rsidR="00906F34" w:rsidRPr="00295637">
        <w:rPr>
          <w:rFonts w:ascii="Times New Roman" w:hAnsi="Times New Roman"/>
          <w:szCs w:val="24"/>
          <w:lang w:val="bs-Latn-BA"/>
        </w:rPr>
        <w:t xml:space="preserve">, </w:t>
      </w:r>
      <w:r>
        <w:rPr>
          <w:rFonts w:ascii="Times New Roman" w:hAnsi="Times New Roman"/>
          <w:szCs w:val="24"/>
          <w:lang w:val="bs-Latn-BA"/>
        </w:rPr>
        <w:t>а</w:t>
      </w:r>
      <w:r w:rsidR="00906F34" w:rsidRPr="00295637">
        <w:rPr>
          <w:rFonts w:ascii="Times New Roman" w:hAnsi="Times New Roman"/>
          <w:szCs w:val="24"/>
          <w:lang w:val="bs-Latn-BA"/>
        </w:rPr>
        <w:t xml:space="preserve"> </w:t>
      </w:r>
      <w:r>
        <w:rPr>
          <w:rFonts w:ascii="Times New Roman" w:hAnsi="Times New Roman"/>
          <w:szCs w:val="24"/>
          <w:lang w:val="bs-Latn-BA"/>
        </w:rPr>
        <w:t>биљежи</w:t>
      </w:r>
      <w:r w:rsidR="00906F34" w:rsidRPr="00295637">
        <w:rPr>
          <w:rFonts w:ascii="Times New Roman" w:hAnsi="Times New Roman"/>
          <w:szCs w:val="24"/>
          <w:lang w:val="bs-Latn-BA"/>
        </w:rPr>
        <w:t xml:space="preserve"> </w:t>
      </w:r>
      <w:r>
        <w:rPr>
          <w:rFonts w:ascii="Times New Roman" w:hAnsi="Times New Roman"/>
          <w:szCs w:val="24"/>
          <w:lang w:val="bs-Latn-BA"/>
        </w:rPr>
        <w:t>се</w:t>
      </w:r>
      <w:r w:rsidR="00906F34" w:rsidRPr="00295637">
        <w:rPr>
          <w:rFonts w:ascii="Times New Roman" w:hAnsi="Times New Roman"/>
          <w:szCs w:val="24"/>
          <w:lang w:val="bs-Latn-BA"/>
        </w:rPr>
        <w:t xml:space="preserve"> </w:t>
      </w:r>
      <w:r>
        <w:rPr>
          <w:rFonts w:ascii="Times New Roman" w:hAnsi="Times New Roman"/>
          <w:szCs w:val="24"/>
          <w:lang w:val="bs-Latn-BA"/>
        </w:rPr>
        <w:t>ниска</w:t>
      </w:r>
      <w:r w:rsidR="00906F34" w:rsidRPr="00295637">
        <w:rPr>
          <w:rFonts w:ascii="Times New Roman" w:hAnsi="Times New Roman"/>
          <w:szCs w:val="24"/>
          <w:lang w:val="bs-Latn-BA"/>
        </w:rPr>
        <w:t xml:space="preserve"> </w:t>
      </w:r>
      <w:r>
        <w:rPr>
          <w:rFonts w:ascii="Times New Roman" w:hAnsi="Times New Roman"/>
          <w:szCs w:val="24"/>
          <w:lang w:val="bs-Latn-BA"/>
        </w:rPr>
        <w:t>стопа</w:t>
      </w:r>
      <w:r w:rsidR="00906F34" w:rsidRPr="00295637">
        <w:rPr>
          <w:rFonts w:ascii="Times New Roman" w:hAnsi="Times New Roman"/>
          <w:szCs w:val="24"/>
          <w:lang w:val="bs-Latn-BA"/>
        </w:rPr>
        <w:t xml:space="preserve"> </w:t>
      </w:r>
      <w:r>
        <w:rPr>
          <w:rFonts w:ascii="Times New Roman" w:hAnsi="Times New Roman"/>
          <w:szCs w:val="24"/>
          <w:lang w:val="bs-Latn-BA"/>
        </w:rPr>
        <w:t>смртности</w:t>
      </w:r>
      <w:r w:rsidR="00906F34" w:rsidRPr="00295637">
        <w:rPr>
          <w:rFonts w:ascii="Times New Roman" w:hAnsi="Times New Roman"/>
          <w:szCs w:val="24"/>
          <w:lang w:val="bs-Latn-BA"/>
        </w:rPr>
        <w:t xml:space="preserve"> </w:t>
      </w:r>
      <w:r>
        <w:rPr>
          <w:rFonts w:ascii="Times New Roman" w:hAnsi="Times New Roman"/>
          <w:szCs w:val="24"/>
          <w:lang w:val="bs-Latn-BA"/>
        </w:rPr>
        <w:t>мајки</w:t>
      </w:r>
      <w:r w:rsidR="001823BE" w:rsidRPr="00295637">
        <w:rPr>
          <w:rFonts w:ascii="Times New Roman" w:hAnsi="Times New Roman"/>
          <w:szCs w:val="24"/>
          <w:lang w:val="bs-Latn-BA"/>
        </w:rPr>
        <w:t>.</w:t>
      </w:r>
      <w:r w:rsidR="00906F34" w:rsidRPr="00295637">
        <w:rPr>
          <w:rFonts w:ascii="Times New Roman" w:hAnsi="Times New Roman"/>
          <w:szCs w:val="24"/>
          <w:lang w:val="bs-Latn-BA"/>
        </w:rPr>
        <w:t xml:space="preserve"> </w:t>
      </w:r>
      <w:r>
        <w:rPr>
          <w:rFonts w:ascii="Times New Roman" w:hAnsi="Times New Roman"/>
          <w:szCs w:val="24"/>
          <w:lang w:val="bs-Latn-BA"/>
        </w:rPr>
        <w:t>Број</w:t>
      </w:r>
      <w:r w:rsidR="00906F34" w:rsidRPr="00295637">
        <w:rPr>
          <w:rFonts w:ascii="Times New Roman" w:hAnsi="Times New Roman"/>
          <w:szCs w:val="24"/>
          <w:lang w:val="bs-Latn-BA"/>
        </w:rPr>
        <w:t xml:space="preserve"> </w:t>
      </w:r>
      <w:r>
        <w:rPr>
          <w:rFonts w:ascii="Times New Roman" w:hAnsi="Times New Roman"/>
          <w:szCs w:val="24"/>
          <w:lang w:val="bs-Latn-BA"/>
        </w:rPr>
        <w:t>умрле</w:t>
      </w:r>
      <w:r w:rsidR="00906F34" w:rsidRPr="00295637">
        <w:rPr>
          <w:rFonts w:ascii="Times New Roman" w:hAnsi="Times New Roman"/>
          <w:szCs w:val="24"/>
          <w:lang w:val="bs-Latn-BA"/>
        </w:rPr>
        <w:t xml:space="preserve"> </w:t>
      </w:r>
      <w:r>
        <w:rPr>
          <w:rFonts w:ascii="Times New Roman" w:hAnsi="Times New Roman"/>
          <w:szCs w:val="24"/>
          <w:lang w:val="bs-Latn-BA"/>
        </w:rPr>
        <w:t>дојенчади</w:t>
      </w:r>
      <w:r w:rsidR="00906F34" w:rsidRPr="00295637">
        <w:rPr>
          <w:rFonts w:ascii="Times New Roman" w:hAnsi="Times New Roman"/>
          <w:szCs w:val="24"/>
          <w:lang w:val="bs-Latn-BA"/>
        </w:rPr>
        <w:t xml:space="preserve"> </w:t>
      </w:r>
      <w:r>
        <w:rPr>
          <w:rFonts w:ascii="Times New Roman" w:hAnsi="Times New Roman"/>
          <w:szCs w:val="24"/>
          <w:lang w:val="bs-Latn-BA"/>
        </w:rPr>
        <w:t>прилично</w:t>
      </w:r>
      <w:r w:rsidR="00906F34" w:rsidRPr="00295637">
        <w:rPr>
          <w:rFonts w:ascii="Times New Roman" w:hAnsi="Times New Roman"/>
          <w:szCs w:val="24"/>
          <w:lang w:val="bs-Latn-BA"/>
        </w:rPr>
        <w:t xml:space="preserve"> </w:t>
      </w:r>
      <w:r>
        <w:rPr>
          <w:rFonts w:ascii="Times New Roman" w:hAnsi="Times New Roman"/>
          <w:szCs w:val="24"/>
          <w:lang w:val="bs-Latn-BA"/>
        </w:rPr>
        <w:t>је</w:t>
      </w:r>
      <w:r w:rsidR="00906F34" w:rsidRPr="00295637">
        <w:rPr>
          <w:rFonts w:ascii="Times New Roman" w:hAnsi="Times New Roman"/>
          <w:szCs w:val="24"/>
          <w:lang w:val="bs-Latn-BA"/>
        </w:rPr>
        <w:t xml:space="preserve"> </w:t>
      </w:r>
      <w:r>
        <w:rPr>
          <w:rFonts w:ascii="Times New Roman" w:hAnsi="Times New Roman"/>
          <w:szCs w:val="24"/>
          <w:lang w:val="bs-Latn-BA"/>
        </w:rPr>
        <w:t>уједначен</w:t>
      </w:r>
      <w:r w:rsidR="00906F34" w:rsidRPr="00295637">
        <w:rPr>
          <w:rFonts w:ascii="Times New Roman" w:hAnsi="Times New Roman"/>
          <w:szCs w:val="24"/>
          <w:lang w:val="bs-Latn-BA"/>
        </w:rPr>
        <w:t xml:space="preserve"> </w:t>
      </w:r>
      <w:r>
        <w:rPr>
          <w:rFonts w:ascii="Times New Roman" w:hAnsi="Times New Roman"/>
          <w:szCs w:val="24"/>
          <w:lang w:val="bs-Latn-BA"/>
        </w:rPr>
        <w:t>у</w:t>
      </w:r>
      <w:r w:rsidR="00906F34" w:rsidRPr="00295637">
        <w:rPr>
          <w:rFonts w:ascii="Times New Roman" w:hAnsi="Times New Roman"/>
          <w:szCs w:val="24"/>
          <w:lang w:val="bs-Latn-BA"/>
        </w:rPr>
        <w:t xml:space="preserve"> </w:t>
      </w:r>
      <w:r>
        <w:rPr>
          <w:rFonts w:ascii="Times New Roman" w:hAnsi="Times New Roman"/>
          <w:szCs w:val="24"/>
          <w:lang w:val="bs-Latn-BA"/>
        </w:rPr>
        <w:t>протеклом</w:t>
      </w:r>
      <w:r w:rsidR="00906F34" w:rsidRPr="00295637">
        <w:rPr>
          <w:rFonts w:ascii="Times New Roman" w:hAnsi="Times New Roman"/>
          <w:szCs w:val="24"/>
          <w:lang w:val="bs-Latn-BA"/>
        </w:rPr>
        <w:t xml:space="preserve"> </w:t>
      </w:r>
      <w:r>
        <w:rPr>
          <w:rFonts w:ascii="Times New Roman" w:hAnsi="Times New Roman"/>
          <w:szCs w:val="24"/>
          <w:lang w:val="bs-Latn-BA"/>
        </w:rPr>
        <w:t>периоду</w:t>
      </w:r>
      <w:r w:rsidR="00906F34" w:rsidRPr="00295637">
        <w:rPr>
          <w:rFonts w:ascii="Times New Roman" w:hAnsi="Times New Roman"/>
          <w:szCs w:val="24"/>
          <w:lang w:val="bs-Latn-BA"/>
        </w:rPr>
        <w:t xml:space="preserve"> </w:t>
      </w:r>
      <w:r>
        <w:rPr>
          <w:rFonts w:ascii="Times New Roman" w:hAnsi="Times New Roman"/>
          <w:szCs w:val="24"/>
          <w:lang w:val="bs-Latn-BA"/>
        </w:rPr>
        <w:t>од</w:t>
      </w:r>
      <w:r w:rsidR="00906F34" w:rsidRPr="00295637">
        <w:rPr>
          <w:rFonts w:ascii="Times New Roman" w:hAnsi="Times New Roman"/>
          <w:szCs w:val="24"/>
          <w:lang w:val="bs-Latn-BA"/>
        </w:rPr>
        <w:t xml:space="preserve"> 2016. </w:t>
      </w:r>
      <w:r>
        <w:rPr>
          <w:rFonts w:ascii="Times New Roman" w:hAnsi="Times New Roman"/>
          <w:szCs w:val="24"/>
          <w:lang w:val="bs-Latn-BA"/>
        </w:rPr>
        <w:t>до</w:t>
      </w:r>
      <w:r w:rsidR="00906F34" w:rsidRPr="00295637">
        <w:rPr>
          <w:rFonts w:ascii="Times New Roman" w:hAnsi="Times New Roman"/>
          <w:szCs w:val="24"/>
          <w:lang w:val="bs-Latn-BA"/>
        </w:rPr>
        <w:t xml:space="preserve"> 2022.</w:t>
      </w:r>
      <w:r w:rsidR="00DE7E99">
        <w:rPr>
          <w:rFonts w:ascii="Times New Roman" w:hAnsi="Times New Roman"/>
          <w:szCs w:val="24"/>
          <w:lang w:val="bs-Latn-BA"/>
        </w:rPr>
        <w:t xml:space="preserve"> </w:t>
      </w:r>
      <w:r>
        <w:rPr>
          <w:rFonts w:ascii="Times New Roman" w:hAnsi="Times New Roman"/>
          <w:szCs w:val="24"/>
          <w:lang w:val="bs-Latn-BA"/>
        </w:rPr>
        <w:t>године</w:t>
      </w:r>
      <w:r w:rsidR="00906F34" w:rsidRPr="00295637">
        <w:rPr>
          <w:rFonts w:ascii="Times New Roman" w:hAnsi="Times New Roman"/>
          <w:szCs w:val="24"/>
          <w:lang w:val="bs-Latn-BA"/>
        </w:rPr>
        <w:t xml:space="preserve"> </w:t>
      </w:r>
      <w:r>
        <w:rPr>
          <w:rFonts w:ascii="Times New Roman" w:hAnsi="Times New Roman"/>
          <w:szCs w:val="24"/>
          <w:lang w:val="bs-Latn-BA"/>
        </w:rPr>
        <w:t>и</w:t>
      </w:r>
      <w:r w:rsidR="00906F34" w:rsidRPr="00295637">
        <w:rPr>
          <w:rFonts w:ascii="Times New Roman" w:hAnsi="Times New Roman"/>
          <w:szCs w:val="24"/>
          <w:lang w:val="bs-Latn-BA"/>
        </w:rPr>
        <w:t xml:space="preserve"> </w:t>
      </w:r>
      <w:r>
        <w:rPr>
          <w:rFonts w:ascii="Times New Roman" w:hAnsi="Times New Roman"/>
          <w:szCs w:val="24"/>
          <w:lang w:val="bs-Latn-BA"/>
        </w:rPr>
        <w:t>мањи</w:t>
      </w:r>
      <w:r w:rsidR="00906F34" w:rsidRPr="00295637">
        <w:rPr>
          <w:rFonts w:ascii="Times New Roman" w:hAnsi="Times New Roman"/>
          <w:szCs w:val="24"/>
          <w:lang w:val="bs-Latn-BA"/>
        </w:rPr>
        <w:t xml:space="preserve"> </w:t>
      </w:r>
      <w:r>
        <w:rPr>
          <w:rFonts w:ascii="Times New Roman" w:hAnsi="Times New Roman"/>
          <w:szCs w:val="24"/>
          <w:lang w:val="bs-Latn-BA"/>
        </w:rPr>
        <w:t>је</w:t>
      </w:r>
      <w:r w:rsidR="00906F34" w:rsidRPr="00295637">
        <w:rPr>
          <w:rFonts w:ascii="Times New Roman" w:hAnsi="Times New Roman"/>
          <w:szCs w:val="24"/>
          <w:lang w:val="bs-Latn-BA"/>
        </w:rPr>
        <w:t xml:space="preserve"> </w:t>
      </w:r>
      <w:r>
        <w:rPr>
          <w:rFonts w:ascii="Times New Roman" w:hAnsi="Times New Roman"/>
          <w:szCs w:val="24"/>
          <w:lang w:val="bs-Latn-BA"/>
        </w:rPr>
        <w:t>од</w:t>
      </w:r>
      <w:r w:rsidR="00906F34" w:rsidRPr="00295637">
        <w:rPr>
          <w:rFonts w:ascii="Times New Roman" w:hAnsi="Times New Roman"/>
          <w:szCs w:val="24"/>
          <w:lang w:val="bs-Latn-BA"/>
        </w:rPr>
        <w:t xml:space="preserve"> 200 </w:t>
      </w:r>
      <w:r>
        <w:rPr>
          <w:rFonts w:ascii="Times New Roman" w:hAnsi="Times New Roman"/>
          <w:szCs w:val="24"/>
          <w:lang w:val="bs-Latn-BA"/>
        </w:rPr>
        <w:t>годишње</w:t>
      </w:r>
      <w:r w:rsidR="00906F34" w:rsidRPr="00295637">
        <w:rPr>
          <w:rFonts w:ascii="Times New Roman" w:hAnsi="Times New Roman"/>
          <w:szCs w:val="24"/>
          <w:lang w:val="bs-Latn-BA"/>
        </w:rPr>
        <w:t xml:space="preserve">. </w:t>
      </w:r>
      <w:r>
        <w:rPr>
          <w:rFonts w:ascii="Times New Roman" w:hAnsi="Times New Roman"/>
          <w:szCs w:val="24"/>
          <w:lang w:val="bs-Latn-BA"/>
        </w:rPr>
        <w:t>Пренатална</w:t>
      </w:r>
      <w:r w:rsidR="00906F34" w:rsidRPr="00295637">
        <w:rPr>
          <w:rFonts w:ascii="Times New Roman" w:hAnsi="Times New Roman"/>
          <w:szCs w:val="24"/>
          <w:lang w:val="bs-Latn-BA"/>
        </w:rPr>
        <w:t xml:space="preserve"> </w:t>
      </w:r>
      <w:r>
        <w:rPr>
          <w:rFonts w:ascii="Times New Roman" w:hAnsi="Times New Roman"/>
          <w:szCs w:val="24"/>
          <w:lang w:val="bs-Latn-BA"/>
        </w:rPr>
        <w:t>брига</w:t>
      </w:r>
      <w:r w:rsidR="00906F34" w:rsidRPr="00295637">
        <w:rPr>
          <w:rFonts w:ascii="Times New Roman" w:hAnsi="Times New Roman"/>
          <w:szCs w:val="24"/>
          <w:lang w:val="bs-Latn-BA"/>
        </w:rPr>
        <w:t xml:space="preserve"> </w:t>
      </w:r>
      <w:r>
        <w:rPr>
          <w:rFonts w:ascii="Times New Roman" w:hAnsi="Times New Roman"/>
          <w:szCs w:val="24"/>
          <w:lang w:val="bs-Latn-BA"/>
        </w:rPr>
        <w:t>и</w:t>
      </w:r>
      <w:r w:rsidR="00906F34" w:rsidRPr="00295637">
        <w:rPr>
          <w:rFonts w:ascii="Times New Roman" w:hAnsi="Times New Roman"/>
          <w:szCs w:val="24"/>
          <w:lang w:val="bs-Latn-BA"/>
        </w:rPr>
        <w:t xml:space="preserve"> </w:t>
      </w:r>
      <w:r>
        <w:rPr>
          <w:rFonts w:ascii="Times New Roman" w:hAnsi="Times New Roman"/>
          <w:szCs w:val="24"/>
          <w:lang w:val="bs-Latn-BA"/>
        </w:rPr>
        <w:t>заштита</w:t>
      </w:r>
      <w:r w:rsidR="00906F34" w:rsidRPr="00295637">
        <w:rPr>
          <w:rFonts w:ascii="Times New Roman" w:hAnsi="Times New Roman"/>
          <w:szCs w:val="24"/>
          <w:lang w:val="bs-Latn-BA"/>
        </w:rPr>
        <w:t xml:space="preserve"> </w:t>
      </w:r>
      <w:r>
        <w:rPr>
          <w:rFonts w:ascii="Times New Roman" w:hAnsi="Times New Roman"/>
          <w:szCs w:val="24"/>
          <w:lang w:val="bs-Latn-BA"/>
        </w:rPr>
        <w:t>мајки</w:t>
      </w:r>
      <w:r w:rsidR="00906F34" w:rsidRPr="00295637">
        <w:rPr>
          <w:rFonts w:ascii="Times New Roman" w:hAnsi="Times New Roman"/>
          <w:szCs w:val="24"/>
          <w:lang w:val="bs-Latn-BA"/>
        </w:rPr>
        <w:t xml:space="preserve"> </w:t>
      </w:r>
      <w:r w:rsidR="00937482">
        <w:rPr>
          <w:rFonts w:ascii="Times New Roman" w:hAnsi="Times New Roman"/>
          <w:szCs w:val="24"/>
          <w:lang w:val="bs-Latn-BA"/>
        </w:rPr>
        <w:t xml:space="preserve">се </w:t>
      </w:r>
      <w:r>
        <w:rPr>
          <w:rFonts w:ascii="Times New Roman" w:hAnsi="Times New Roman"/>
          <w:szCs w:val="24"/>
          <w:lang w:val="bs-Latn-BA"/>
        </w:rPr>
        <w:t>сматра</w:t>
      </w:r>
      <w:r w:rsidR="00906F34" w:rsidRPr="00295637">
        <w:rPr>
          <w:rFonts w:ascii="Times New Roman" w:hAnsi="Times New Roman"/>
          <w:szCs w:val="24"/>
          <w:lang w:val="bs-Latn-BA"/>
        </w:rPr>
        <w:t xml:space="preserve"> </w:t>
      </w:r>
      <w:r>
        <w:rPr>
          <w:rFonts w:ascii="Times New Roman" w:hAnsi="Times New Roman"/>
          <w:szCs w:val="24"/>
          <w:lang w:val="bs-Latn-BA"/>
        </w:rPr>
        <w:t>важним</w:t>
      </w:r>
      <w:r w:rsidR="00906F34" w:rsidRPr="00295637">
        <w:rPr>
          <w:rFonts w:ascii="Times New Roman" w:hAnsi="Times New Roman"/>
          <w:szCs w:val="24"/>
          <w:lang w:val="bs-Latn-BA"/>
        </w:rPr>
        <w:t xml:space="preserve"> </w:t>
      </w:r>
      <w:r>
        <w:rPr>
          <w:rFonts w:ascii="Times New Roman" w:hAnsi="Times New Roman"/>
          <w:szCs w:val="24"/>
          <w:lang w:val="bs-Latn-BA"/>
        </w:rPr>
        <w:t>чиниоцем</w:t>
      </w:r>
      <w:r w:rsidR="00906F34" w:rsidRPr="00295637">
        <w:rPr>
          <w:rFonts w:ascii="Times New Roman" w:hAnsi="Times New Roman"/>
          <w:szCs w:val="24"/>
          <w:lang w:val="bs-Latn-BA"/>
        </w:rPr>
        <w:t xml:space="preserve"> </w:t>
      </w:r>
      <w:r>
        <w:rPr>
          <w:rFonts w:ascii="Times New Roman" w:hAnsi="Times New Roman"/>
          <w:szCs w:val="24"/>
          <w:lang w:val="bs-Latn-BA"/>
        </w:rPr>
        <w:t>повећања</w:t>
      </w:r>
      <w:r w:rsidR="00906F34" w:rsidRPr="00295637">
        <w:rPr>
          <w:rFonts w:ascii="Times New Roman" w:hAnsi="Times New Roman"/>
          <w:szCs w:val="24"/>
          <w:lang w:val="bs-Latn-BA"/>
        </w:rPr>
        <w:t xml:space="preserve"> </w:t>
      </w:r>
      <w:r>
        <w:rPr>
          <w:rFonts w:ascii="Times New Roman" w:hAnsi="Times New Roman"/>
          <w:szCs w:val="24"/>
          <w:lang w:val="bs-Latn-BA"/>
        </w:rPr>
        <w:t>стопе</w:t>
      </w:r>
      <w:r w:rsidR="00906F34" w:rsidRPr="00295637">
        <w:rPr>
          <w:rFonts w:ascii="Times New Roman" w:hAnsi="Times New Roman"/>
          <w:szCs w:val="24"/>
          <w:lang w:val="bs-Latn-BA"/>
        </w:rPr>
        <w:t xml:space="preserve"> </w:t>
      </w:r>
      <w:r>
        <w:rPr>
          <w:rFonts w:ascii="Times New Roman" w:hAnsi="Times New Roman"/>
          <w:szCs w:val="24"/>
          <w:lang w:val="bs-Latn-BA"/>
        </w:rPr>
        <w:t>преживљавања</w:t>
      </w:r>
      <w:r w:rsidR="00906F34" w:rsidRPr="00295637">
        <w:rPr>
          <w:rFonts w:ascii="Times New Roman" w:hAnsi="Times New Roman"/>
          <w:szCs w:val="24"/>
          <w:lang w:val="bs-Latn-BA"/>
        </w:rPr>
        <w:t xml:space="preserve"> </w:t>
      </w:r>
      <w:r>
        <w:rPr>
          <w:rFonts w:ascii="Times New Roman" w:hAnsi="Times New Roman"/>
          <w:szCs w:val="24"/>
          <w:lang w:val="bs-Latn-BA"/>
        </w:rPr>
        <w:t>новорођенчади</w:t>
      </w:r>
      <w:r w:rsidR="00906F34" w:rsidRPr="00295637">
        <w:rPr>
          <w:rFonts w:ascii="Times New Roman" w:hAnsi="Times New Roman"/>
          <w:szCs w:val="24"/>
          <w:lang w:val="bs-Latn-BA"/>
        </w:rPr>
        <w:t xml:space="preserve">. </w:t>
      </w:r>
      <w:r>
        <w:rPr>
          <w:rFonts w:ascii="Times New Roman" w:hAnsi="Times New Roman"/>
          <w:szCs w:val="24"/>
          <w:lang w:val="bs-Latn-BA"/>
        </w:rPr>
        <w:t>Према</w:t>
      </w:r>
      <w:r w:rsidR="00906F34" w:rsidRPr="00295637">
        <w:rPr>
          <w:rFonts w:ascii="Times New Roman" w:hAnsi="Times New Roman"/>
          <w:szCs w:val="24"/>
          <w:lang w:val="bs-Latn-BA"/>
        </w:rPr>
        <w:t xml:space="preserve"> </w:t>
      </w:r>
      <w:r>
        <w:rPr>
          <w:rFonts w:ascii="Times New Roman" w:hAnsi="Times New Roman"/>
          <w:szCs w:val="24"/>
          <w:lang w:val="bs-Latn-BA"/>
        </w:rPr>
        <w:t>доступним</w:t>
      </w:r>
      <w:r w:rsidR="00906F34" w:rsidRPr="00295637">
        <w:rPr>
          <w:rFonts w:ascii="Times New Roman" w:hAnsi="Times New Roman"/>
          <w:szCs w:val="24"/>
          <w:lang w:val="bs-Latn-BA"/>
        </w:rPr>
        <w:t xml:space="preserve"> </w:t>
      </w:r>
      <w:r>
        <w:rPr>
          <w:rFonts w:ascii="Times New Roman" w:hAnsi="Times New Roman"/>
          <w:szCs w:val="24"/>
          <w:lang w:val="bs-Latn-BA"/>
        </w:rPr>
        <w:t>подацима</w:t>
      </w:r>
      <w:r w:rsidR="00906F34" w:rsidRPr="00295637">
        <w:rPr>
          <w:rFonts w:ascii="Times New Roman" w:hAnsi="Times New Roman"/>
          <w:szCs w:val="24"/>
          <w:lang w:val="bs-Latn-BA"/>
        </w:rPr>
        <w:t xml:space="preserve">, 13% </w:t>
      </w:r>
      <w:r>
        <w:rPr>
          <w:rFonts w:ascii="Times New Roman" w:hAnsi="Times New Roman"/>
          <w:szCs w:val="24"/>
          <w:lang w:val="bs-Latn-BA"/>
        </w:rPr>
        <w:t>жена</w:t>
      </w:r>
      <w:r w:rsidR="00906F34" w:rsidRPr="00295637">
        <w:rPr>
          <w:rFonts w:ascii="Times New Roman" w:hAnsi="Times New Roman"/>
          <w:szCs w:val="24"/>
          <w:lang w:val="bs-Latn-BA"/>
        </w:rPr>
        <w:t xml:space="preserve"> </w:t>
      </w:r>
      <w:r>
        <w:rPr>
          <w:rFonts w:ascii="Times New Roman" w:hAnsi="Times New Roman"/>
          <w:szCs w:val="24"/>
          <w:lang w:val="bs-Latn-BA"/>
        </w:rPr>
        <w:t>у</w:t>
      </w:r>
      <w:r w:rsidR="00906F34" w:rsidRPr="00295637">
        <w:rPr>
          <w:rFonts w:ascii="Times New Roman" w:hAnsi="Times New Roman"/>
          <w:szCs w:val="24"/>
          <w:lang w:val="bs-Latn-BA"/>
        </w:rPr>
        <w:t xml:space="preserve"> </w:t>
      </w:r>
      <w:r>
        <w:rPr>
          <w:rFonts w:ascii="Times New Roman" w:hAnsi="Times New Roman"/>
          <w:szCs w:val="24"/>
          <w:lang w:val="bs-Latn-BA"/>
        </w:rPr>
        <w:t>БиХ</w:t>
      </w:r>
      <w:r w:rsidR="00906F34" w:rsidRPr="00295637">
        <w:rPr>
          <w:rFonts w:ascii="Times New Roman" w:hAnsi="Times New Roman"/>
          <w:szCs w:val="24"/>
          <w:lang w:val="bs-Latn-BA"/>
        </w:rPr>
        <w:t xml:space="preserve"> </w:t>
      </w:r>
      <w:r>
        <w:rPr>
          <w:rFonts w:ascii="Times New Roman" w:hAnsi="Times New Roman"/>
          <w:szCs w:val="24"/>
          <w:lang w:val="bs-Latn-BA"/>
        </w:rPr>
        <w:t>нема</w:t>
      </w:r>
      <w:r w:rsidR="00906F34" w:rsidRPr="00295637">
        <w:rPr>
          <w:rFonts w:ascii="Times New Roman" w:hAnsi="Times New Roman"/>
          <w:szCs w:val="24"/>
          <w:lang w:val="bs-Latn-BA"/>
        </w:rPr>
        <w:t xml:space="preserve"> </w:t>
      </w:r>
      <w:r>
        <w:rPr>
          <w:rFonts w:ascii="Times New Roman" w:hAnsi="Times New Roman"/>
          <w:szCs w:val="24"/>
          <w:lang w:val="bs-Latn-BA"/>
        </w:rPr>
        <w:t>пренаталну</w:t>
      </w:r>
      <w:r w:rsidR="00906F34" w:rsidRPr="00295637">
        <w:rPr>
          <w:rFonts w:ascii="Times New Roman" w:hAnsi="Times New Roman"/>
          <w:szCs w:val="24"/>
          <w:lang w:val="bs-Latn-BA"/>
        </w:rPr>
        <w:t xml:space="preserve"> </w:t>
      </w:r>
      <w:r>
        <w:rPr>
          <w:rFonts w:ascii="Times New Roman" w:hAnsi="Times New Roman"/>
          <w:szCs w:val="24"/>
          <w:lang w:val="bs-Latn-BA"/>
        </w:rPr>
        <w:t>бригу</w:t>
      </w:r>
      <w:r w:rsidR="00906F34" w:rsidRPr="00295637">
        <w:rPr>
          <w:rFonts w:ascii="Times New Roman" w:hAnsi="Times New Roman"/>
          <w:szCs w:val="24"/>
          <w:lang w:val="bs-Latn-BA"/>
        </w:rPr>
        <w:t xml:space="preserve">, </w:t>
      </w:r>
      <w:r>
        <w:rPr>
          <w:rFonts w:ascii="Times New Roman" w:hAnsi="Times New Roman"/>
          <w:szCs w:val="24"/>
          <w:lang w:val="bs-Latn-BA"/>
        </w:rPr>
        <w:t>као</w:t>
      </w:r>
      <w:r w:rsidR="00906F34" w:rsidRPr="00295637">
        <w:rPr>
          <w:rFonts w:ascii="Times New Roman" w:hAnsi="Times New Roman"/>
          <w:szCs w:val="24"/>
          <w:lang w:val="bs-Latn-BA"/>
        </w:rPr>
        <w:t xml:space="preserve"> </w:t>
      </w:r>
      <w:r>
        <w:rPr>
          <w:rFonts w:ascii="Times New Roman" w:hAnsi="Times New Roman"/>
          <w:szCs w:val="24"/>
          <w:lang w:val="bs-Latn-BA"/>
        </w:rPr>
        <w:t>ни</w:t>
      </w:r>
      <w:r w:rsidR="00906F34" w:rsidRPr="00295637">
        <w:rPr>
          <w:rFonts w:ascii="Times New Roman" w:hAnsi="Times New Roman"/>
          <w:szCs w:val="24"/>
          <w:lang w:val="bs-Latn-BA"/>
        </w:rPr>
        <w:t xml:space="preserve"> </w:t>
      </w:r>
      <w:r>
        <w:rPr>
          <w:rFonts w:ascii="Times New Roman" w:hAnsi="Times New Roman"/>
          <w:szCs w:val="24"/>
          <w:lang w:val="bs-Latn-BA"/>
        </w:rPr>
        <w:t>петина</w:t>
      </w:r>
      <w:r w:rsidR="00906F34" w:rsidRPr="00295637">
        <w:rPr>
          <w:rFonts w:ascii="Times New Roman" w:hAnsi="Times New Roman"/>
          <w:szCs w:val="24"/>
          <w:lang w:val="bs-Latn-BA"/>
        </w:rPr>
        <w:t xml:space="preserve"> </w:t>
      </w:r>
      <w:r>
        <w:rPr>
          <w:rFonts w:ascii="Times New Roman" w:hAnsi="Times New Roman"/>
          <w:szCs w:val="24"/>
          <w:lang w:val="bs-Latn-BA"/>
        </w:rPr>
        <w:t>Ромкиња</w:t>
      </w:r>
      <w:r w:rsidR="00906F34" w:rsidRPr="00295637">
        <w:rPr>
          <w:rFonts w:ascii="Times New Roman" w:hAnsi="Times New Roman"/>
          <w:szCs w:val="24"/>
          <w:lang w:val="bs-Latn-BA"/>
        </w:rPr>
        <w:t xml:space="preserve"> (21%). </w:t>
      </w:r>
    </w:p>
    <w:p w:rsidR="001823BE" w:rsidRPr="00295637" w:rsidRDefault="001823BE" w:rsidP="0086268D">
      <w:pPr>
        <w:jc w:val="both"/>
        <w:rPr>
          <w:rFonts w:ascii="Times New Roman" w:hAnsi="Times New Roman"/>
          <w:szCs w:val="24"/>
          <w:lang w:val="bs-Latn-BA"/>
        </w:rPr>
      </w:pPr>
    </w:p>
    <w:p w:rsidR="00906F34" w:rsidRPr="00295637" w:rsidRDefault="00C6214E" w:rsidP="0086268D">
      <w:pPr>
        <w:jc w:val="both"/>
        <w:rPr>
          <w:rFonts w:ascii="Times New Roman" w:hAnsi="Times New Roman"/>
          <w:szCs w:val="24"/>
          <w:lang w:val="bs-Latn-BA"/>
        </w:rPr>
      </w:pPr>
      <w:r>
        <w:rPr>
          <w:rFonts w:ascii="Times New Roman" w:hAnsi="Times New Roman"/>
          <w:szCs w:val="24"/>
          <w:lang w:val="bs-Latn-BA"/>
        </w:rPr>
        <w:t>Жене</w:t>
      </w:r>
      <w:r w:rsidR="00304BB1" w:rsidRPr="000A5047">
        <w:rPr>
          <w:rFonts w:ascii="Times New Roman" w:hAnsi="Times New Roman"/>
          <w:szCs w:val="24"/>
          <w:lang w:val="bs-Latn-BA"/>
        </w:rPr>
        <w:t xml:space="preserve"> </w:t>
      </w:r>
      <w:r>
        <w:rPr>
          <w:rFonts w:ascii="Times New Roman" w:hAnsi="Times New Roman"/>
          <w:szCs w:val="24"/>
          <w:lang w:val="bs-Latn-BA"/>
        </w:rPr>
        <w:t>у</w:t>
      </w:r>
      <w:r w:rsidR="00304BB1" w:rsidRPr="000A5047">
        <w:rPr>
          <w:rFonts w:ascii="Times New Roman" w:hAnsi="Times New Roman"/>
          <w:szCs w:val="24"/>
          <w:lang w:val="bs-Latn-BA"/>
        </w:rPr>
        <w:t xml:space="preserve"> </w:t>
      </w:r>
      <w:r>
        <w:rPr>
          <w:rFonts w:ascii="Times New Roman" w:hAnsi="Times New Roman"/>
          <w:szCs w:val="24"/>
          <w:lang w:val="bs-Latn-BA"/>
        </w:rPr>
        <w:t>просјеку</w:t>
      </w:r>
      <w:r w:rsidR="00304BB1" w:rsidRPr="000A5047">
        <w:rPr>
          <w:rFonts w:ascii="Times New Roman" w:hAnsi="Times New Roman"/>
          <w:szCs w:val="24"/>
          <w:lang w:val="bs-Latn-BA"/>
        </w:rPr>
        <w:t xml:space="preserve"> </w:t>
      </w:r>
      <w:r>
        <w:rPr>
          <w:rFonts w:ascii="Times New Roman" w:hAnsi="Times New Roman"/>
          <w:szCs w:val="24"/>
          <w:lang w:val="bs-Latn-BA"/>
        </w:rPr>
        <w:t>живе</w:t>
      </w:r>
      <w:r w:rsidR="00304BB1" w:rsidRPr="000A5047">
        <w:rPr>
          <w:rFonts w:ascii="Times New Roman" w:hAnsi="Times New Roman"/>
          <w:szCs w:val="24"/>
          <w:lang w:val="bs-Latn-BA"/>
        </w:rPr>
        <w:t xml:space="preserve"> 5,2 </w:t>
      </w:r>
      <w:r>
        <w:rPr>
          <w:rFonts w:ascii="Times New Roman" w:hAnsi="Times New Roman"/>
          <w:szCs w:val="24"/>
          <w:lang w:val="bs-Latn-BA"/>
        </w:rPr>
        <w:t>године</w:t>
      </w:r>
      <w:r w:rsidR="00304BB1" w:rsidRPr="000A5047">
        <w:rPr>
          <w:rFonts w:ascii="Times New Roman" w:hAnsi="Times New Roman"/>
          <w:szCs w:val="24"/>
          <w:lang w:val="bs-Latn-BA"/>
        </w:rPr>
        <w:t xml:space="preserve"> </w:t>
      </w:r>
      <w:r>
        <w:rPr>
          <w:rFonts w:ascii="Times New Roman" w:hAnsi="Times New Roman"/>
          <w:szCs w:val="24"/>
          <w:lang w:val="bs-Latn-BA"/>
        </w:rPr>
        <w:t>дуже</w:t>
      </w:r>
      <w:r w:rsidR="00304BB1" w:rsidRPr="000A5047">
        <w:rPr>
          <w:rFonts w:ascii="Times New Roman" w:hAnsi="Times New Roman"/>
          <w:szCs w:val="24"/>
          <w:lang w:val="bs-Latn-BA"/>
        </w:rPr>
        <w:t xml:space="preserve"> </w:t>
      </w:r>
      <w:r>
        <w:rPr>
          <w:rFonts w:ascii="Times New Roman" w:hAnsi="Times New Roman"/>
          <w:szCs w:val="24"/>
          <w:lang w:val="bs-Latn-BA"/>
        </w:rPr>
        <w:t>од</w:t>
      </w:r>
      <w:r w:rsidR="00304BB1" w:rsidRPr="000A5047">
        <w:rPr>
          <w:rFonts w:ascii="Times New Roman" w:hAnsi="Times New Roman"/>
          <w:szCs w:val="24"/>
          <w:lang w:val="bs-Latn-BA"/>
        </w:rPr>
        <w:t xml:space="preserve"> </w:t>
      </w:r>
      <w:r>
        <w:rPr>
          <w:rFonts w:ascii="Times New Roman" w:hAnsi="Times New Roman"/>
          <w:szCs w:val="24"/>
          <w:lang w:val="bs-Latn-BA"/>
        </w:rPr>
        <w:t>мушкараца</w:t>
      </w:r>
      <w:r w:rsidR="006E4577" w:rsidRPr="000A5047">
        <w:rPr>
          <w:rFonts w:ascii="Times New Roman" w:hAnsi="Times New Roman"/>
          <w:szCs w:val="24"/>
          <w:lang w:val="bs-Latn-BA"/>
        </w:rPr>
        <w:t>,</w:t>
      </w:r>
      <w:r w:rsidR="00304BB1" w:rsidRPr="000A5047">
        <w:rPr>
          <w:rFonts w:ascii="Times New Roman" w:hAnsi="Times New Roman"/>
          <w:szCs w:val="24"/>
          <w:lang w:val="bs-Latn-BA"/>
        </w:rPr>
        <w:t xml:space="preserve"> </w:t>
      </w:r>
      <w:r>
        <w:rPr>
          <w:rFonts w:ascii="Times New Roman" w:hAnsi="Times New Roman"/>
          <w:szCs w:val="24"/>
          <w:lang w:val="bs-Latn-BA"/>
        </w:rPr>
        <w:t>а</w:t>
      </w:r>
      <w:r w:rsidR="00304BB1" w:rsidRPr="000A5047">
        <w:rPr>
          <w:rFonts w:ascii="Times New Roman" w:hAnsi="Times New Roman"/>
          <w:szCs w:val="24"/>
          <w:lang w:val="bs-Latn-BA"/>
        </w:rPr>
        <w:t xml:space="preserve"> </w:t>
      </w:r>
      <w:r>
        <w:rPr>
          <w:rFonts w:ascii="Times New Roman" w:hAnsi="Times New Roman"/>
          <w:szCs w:val="24"/>
          <w:lang w:val="bs-Latn-BA"/>
        </w:rPr>
        <w:t>у</w:t>
      </w:r>
      <w:r w:rsidR="00304BB1" w:rsidRPr="000A5047">
        <w:rPr>
          <w:rFonts w:ascii="Times New Roman" w:hAnsi="Times New Roman"/>
          <w:szCs w:val="24"/>
          <w:lang w:val="bs-Latn-BA"/>
        </w:rPr>
        <w:t xml:space="preserve"> </w:t>
      </w:r>
      <w:r>
        <w:rPr>
          <w:rFonts w:ascii="Times New Roman" w:hAnsi="Times New Roman"/>
          <w:szCs w:val="24"/>
          <w:lang w:val="bs-Latn-BA"/>
        </w:rPr>
        <w:t>укупном</w:t>
      </w:r>
      <w:r w:rsidR="00304BB1" w:rsidRPr="000A5047">
        <w:rPr>
          <w:rFonts w:ascii="Times New Roman" w:hAnsi="Times New Roman"/>
          <w:szCs w:val="24"/>
          <w:lang w:val="bs-Latn-BA"/>
        </w:rPr>
        <w:t xml:space="preserve"> </w:t>
      </w:r>
      <w:r>
        <w:rPr>
          <w:rFonts w:ascii="Times New Roman" w:hAnsi="Times New Roman"/>
          <w:szCs w:val="24"/>
          <w:lang w:val="bs-Latn-BA"/>
        </w:rPr>
        <w:t>броју</w:t>
      </w:r>
      <w:r w:rsidR="00304BB1" w:rsidRPr="00295637">
        <w:rPr>
          <w:rFonts w:ascii="Times New Roman" w:hAnsi="Times New Roman"/>
          <w:szCs w:val="24"/>
          <w:lang w:val="bs-Latn-BA"/>
        </w:rPr>
        <w:t xml:space="preserve"> </w:t>
      </w:r>
      <w:r>
        <w:rPr>
          <w:rFonts w:ascii="Times New Roman" w:hAnsi="Times New Roman"/>
          <w:szCs w:val="24"/>
          <w:lang w:val="bs-Latn-BA"/>
        </w:rPr>
        <w:t>самоубистава</w:t>
      </w:r>
      <w:r w:rsidR="00304BB1" w:rsidRPr="00295637">
        <w:rPr>
          <w:rFonts w:ascii="Times New Roman" w:hAnsi="Times New Roman"/>
          <w:szCs w:val="24"/>
          <w:lang w:val="bs-Latn-BA"/>
        </w:rPr>
        <w:t xml:space="preserve"> </w:t>
      </w:r>
      <w:r>
        <w:rPr>
          <w:rFonts w:ascii="Times New Roman" w:hAnsi="Times New Roman"/>
          <w:szCs w:val="24"/>
          <w:lang w:val="bs-Latn-BA"/>
        </w:rPr>
        <w:t>према</w:t>
      </w:r>
      <w:r w:rsidR="00304BB1" w:rsidRPr="00295637">
        <w:rPr>
          <w:rFonts w:ascii="Times New Roman" w:hAnsi="Times New Roman"/>
          <w:szCs w:val="24"/>
          <w:lang w:val="bs-Latn-BA"/>
        </w:rPr>
        <w:t xml:space="preserve"> </w:t>
      </w:r>
      <w:r>
        <w:rPr>
          <w:rFonts w:ascii="Times New Roman" w:hAnsi="Times New Roman"/>
          <w:szCs w:val="24"/>
          <w:lang w:val="bs-Latn-BA"/>
        </w:rPr>
        <w:t>полу</w:t>
      </w:r>
      <w:r w:rsidR="00304BB1" w:rsidRPr="00295637">
        <w:rPr>
          <w:rFonts w:ascii="Times New Roman" w:hAnsi="Times New Roman"/>
          <w:szCs w:val="24"/>
          <w:lang w:val="bs-Latn-BA"/>
        </w:rPr>
        <w:t xml:space="preserve">, </w:t>
      </w:r>
      <w:r>
        <w:rPr>
          <w:rFonts w:ascii="Times New Roman" w:hAnsi="Times New Roman"/>
          <w:szCs w:val="24"/>
          <w:lang w:val="bs-Latn-BA"/>
        </w:rPr>
        <w:t>мушкарци</w:t>
      </w:r>
      <w:r w:rsidR="00304BB1" w:rsidRPr="00295637">
        <w:rPr>
          <w:rFonts w:ascii="Times New Roman" w:hAnsi="Times New Roman"/>
          <w:szCs w:val="24"/>
          <w:lang w:val="bs-Latn-BA"/>
        </w:rPr>
        <w:t xml:space="preserve"> </w:t>
      </w:r>
      <w:r>
        <w:rPr>
          <w:rFonts w:ascii="Times New Roman" w:hAnsi="Times New Roman"/>
          <w:szCs w:val="24"/>
          <w:lang w:val="bs-Latn-BA"/>
        </w:rPr>
        <w:t>учествују</w:t>
      </w:r>
      <w:r w:rsidR="00DE7E99">
        <w:rPr>
          <w:rFonts w:ascii="Times New Roman" w:hAnsi="Times New Roman"/>
          <w:szCs w:val="24"/>
          <w:lang w:val="bs-Latn-BA"/>
        </w:rPr>
        <w:t xml:space="preserve"> </w:t>
      </w:r>
      <w:r>
        <w:rPr>
          <w:rFonts w:ascii="Times New Roman" w:hAnsi="Times New Roman"/>
          <w:szCs w:val="24"/>
          <w:lang w:val="bs-Latn-BA"/>
        </w:rPr>
        <w:t>са</w:t>
      </w:r>
      <w:r w:rsidR="00DE7E99">
        <w:rPr>
          <w:rFonts w:ascii="Times New Roman" w:hAnsi="Times New Roman"/>
          <w:szCs w:val="24"/>
          <w:lang w:val="bs-Latn-BA"/>
        </w:rPr>
        <w:t xml:space="preserve"> 79%.</w:t>
      </w:r>
      <w:r w:rsidR="008544E9" w:rsidRPr="00295637">
        <w:rPr>
          <w:rFonts w:ascii="Times New Roman" w:hAnsi="Times New Roman"/>
          <w:szCs w:val="24"/>
          <w:lang w:val="bs-Latn-BA"/>
        </w:rPr>
        <w:t xml:space="preserve"> </w:t>
      </w:r>
      <w:r>
        <w:rPr>
          <w:rFonts w:ascii="Times New Roman" w:hAnsi="Times New Roman"/>
          <w:szCs w:val="24"/>
          <w:lang w:val="bs-Latn-BA"/>
        </w:rPr>
        <w:t>У</w:t>
      </w:r>
      <w:r w:rsidR="00906F34" w:rsidRPr="00295637">
        <w:rPr>
          <w:rFonts w:ascii="Times New Roman" w:hAnsi="Times New Roman"/>
          <w:szCs w:val="24"/>
          <w:lang w:val="bs-Latn-BA"/>
        </w:rPr>
        <w:t xml:space="preserve"> </w:t>
      </w:r>
      <w:r>
        <w:rPr>
          <w:rFonts w:ascii="Times New Roman" w:hAnsi="Times New Roman"/>
          <w:szCs w:val="24"/>
          <w:lang w:val="bs-Latn-BA"/>
        </w:rPr>
        <w:t>мањим</w:t>
      </w:r>
      <w:r w:rsidR="00906F34" w:rsidRPr="00295637">
        <w:rPr>
          <w:rFonts w:ascii="Times New Roman" w:hAnsi="Times New Roman"/>
          <w:szCs w:val="24"/>
          <w:lang w:val="bs-Latn-BA"/>
        </w:rPr>
        <w:t xml:space="preserve"> </w:t>
      </w:r>
      <w:r>
        <w:rPr>
          <w:rFonts w:ascii="Times New Roman" w:hAnsi="Times New Roman"/>
          <w:szCs w:val="24"/>
          <w:lang w:val="bs-Latn-BA"/>
        </w:rPr>
        <w:t>локалним</w:t>
      </w:r>
      <w:r w:rsidR="00906F34" w:rsidRPr="00295637">
        <w:rPr>
          <w:rFonts w:ascii="Times New Roman" w:hAnsi="Times New Roman"/>
          <w:szCs w:val="24"/>
          <w:lang w:val="bs-Latn-BA"/>
        </w:rPr>
        <w:t xml:space="preserve"> </w:t>
      </w:r>
      <w:r>
        <w:rPr>
          <w:rFonts w:ascii="Times New Roman" w:hAnsi="Times New Roman"/>
          <w:szCs w:val="24"/>
          <w:lang w:val="bs-Latn-BA"/>
        </w:rPr>
        <w:t>заједницама</w:t>
      </w:r>
      <w:r w:rsidR="00906F34" w:rsidRPr="00295637">
        <w:rPr>
          <w:rFonts w:ascii="Times New Roman" w:hAnsi="Times New Roman"/>
          <w:szCs w:val="24"/>
          <w:lang w:val="bs-Latn-BA"/>
        </w:rPr>
        <w:t xml:space="preserve"> </w:t>
      </w:r>
      <w:r>
        <w:rPr>
          <w:rFonts w:ascii="Times New Roman" w:hAnsi="Times New Roman"/>
          <w:szCs w:val="24"/>
          <w:lang w:val="bs-Latn-BA"/>
        </w:rPr>
        <w:t>проблем</w:t>
      </w:r>
      <w:r w:rsidR="00906F34" w:rsidRPr="00295637">
        <w:rPr>
          <w:rFonts w:ascii="Times New Roman" w:hAnsi="Times New Roman"/>
          <w:szCs w:val="24"/>
          <w:lang w:val="bs-Latn-BA"/>
        </w:rPr>
        <w:t xml:space="preserve"> </w:t>
      </w:r>
      <w:r>
        <w:rPr>
          <w:rFonts w:ascii="Times New Roman" w:hAnsi="Times New Roman"/>
          <w:szCs w:val="24"/>
          <w:lang w:val="bs-Latn-BA"/>
        </w:rPr>
        <w:t>је</w:t>
      </w:r>
      <w:r w:rsidR="00906F34" w:rsidRPr="00295637">
        <w:rPr>
          <w:rFonts w:ascii="Times New Roman" w:hAnsi="Times New Roman"/>
          <w:szCs w:val="24"/>
          <w:lang w:val="bs-Latn-BA"/>
        </w:rPr>
        <w:t xml:space="preserve"> </w:t>
      </w:r>
      <w:r>
        <w:rPr>
          <w:rFonts w:ascii="Times New Roman" w:hAnsi="Times New Roman"/>
          <w:szCs w:val="24"/>
          <w:lang w:val="bs-Latn-BA"/>
        </w:rPr>
        <w:t>гинеколошка</w:t>
      </w:r>
      <w:r w:rsidR="00906F34" w:rsidRPr="00295637">
        <w:rPr>
          <w:rFonts w:ascii="Times New Roman" w:hAnsi="Times New Roman"/>
          <w:szCs w:val="24"/>
          <w:lang w:val="bs-Latn-BA"/>
        </w:rPr>
        <w:t xml:space="preserve"> </w:t>
      </w:r>
      <w:r>
        <w:rPr>
          <w:rFonts w:ascii="Times New Roman" w:hAnsi="Times New Roman"/>
          <w:szCs w:val="24"/>
          <w:lang w:val="bs-Latn-BA"/>
        </w:rPr>
        <w:t>заштита</w:t>
      </w:r>
      <w:r w:rsidR="00906F34" w:rsidRPr="00295637">
        <w:rPr>
          <w:rFonts w:ascii="Times New Roman" w:hAnsi="Times New Roman"/>
          <w:szCs w:val="24"/>
          <w:lang w:val="bs-Latn-BA"/>
        </w:rPr>
        <w:t xml:space="preserve"> </w:t>
      </w:r>
      <w:r>
        <w:rPr>
          <w:rFonts w:ascii="Times New Roman" w:hAnsi="Times New Roman"/>
          <w:szCs w:val="24"/>
          <w:lang w:val="bs-Latn-BA"/>
        </w:rPr>
        <w:t>жена</w:t>
      </w:r>
      <w:r w:rsidR="00906F34" w:rsidRPr="00295637">
        <w:rPr>
          <w:rFonts w:ascii="Times New Roman" w:hAnsi="Times New Roman"/>
          <w:szCs w:val="24"/>
          <w:lang w:val="bs-Latn-BA"/>
        </w:rPr>
        <w:t xml:space="preserve"> </w:t>
      </w:r>
      <w:r>
        <w:rPr>
          <w:rFonts w:ascii="Times New Roman" w:hAnsi="Times New Roman"/>
          <w:szCs w:val="24"/>
          <w:lang w:val="bs-Latn-BA"/>
        </w:rPr>
        <w:t>због</w:t>
      </w:r>
      <w:r w:rsidR="00906F34" w:rsidRPr="00295637">
        <w:rPr>
          <w:rFonts w:ascii="Times New Roman" w:hAnsi="Times New Roman"/>
          <w:szCs w:val="24"/>
          <w:lang w:val="bs-Latn-BA"/>
        </w:rPr>
        <w:t xml:space="preserve"> </w:t>
      </w:r>
      <w:r>
        <w:rPr>
          <w:rFonts w:ascii="Times New Roman" w:hAnsi="Times New Roman"/>
          <w:szCs w:val="24"/>
          <w:lang w:val="bs-Latn-BA"/>
        </w:rPr>
        <w:t>смањења</w:t>
      </w:r>
      <w:r w:rsidR="001813ED" w:rsidRPr="00295637">
        <w:rPr>
          <w:rFonts w:ascii="Times New Roman" w:hAnsi="Times New Roman"/>
          <w:szCs w:val="24"/>
          <w:lang w:val="bs-Latn-BA"/>
        </w:rPr>
        <w:t xml:space="preserve"> </w:t>
      </w:r>
      <w:r>
        <w:rPr>
          <w:rFonts w:ascii="Times New Roman" w:hAnsi="Times New Roman"/>
          <w:szCs w:val="24"/>
          <w:lang w:val="bs-Latn-BA"/>
        </w:rPr>
        <w:t>броја</w:t>
      </w:r>
      <w:r w:rsidR="001813ED" w:rsidRPr="00295637">
        <w:rPr>
          <w:rFonts w:ascii="Times New Roman" w:hAnsi="Times New Roman"/>
          <w:szCs w:val="24"/>
          <w:lang w:val="bs-Latn-BA"/>
        </w:rPr>
        <w:t xml:space="preserve"> </w:t>
      </w:r>
      <w:r>
        <w:rPr>
          <w:rFonts w:ascii="Times New Roman" w:hAnsi="Times New Roman"/>
          <w:szCs w:val="24"/>
          <w:lang w:val="bs-Latn-BA"/>
        </w:rPr>
        <w:t>ординација</w:t>
      </w:r>
      <w:r w:rsidR="00906F34" w:rsidRPr="00295637">
        <w:rPr>
          <w:rFonts w:ascii="Times New Roman" w:hAnsi="Times New Roman"/>
          <w:szCs w:val="24"/>
          <w:lang w:val="bs-Latn-BA"/>
        </w:rPr>
        <w:t xml:space="preserve">, </w:t>
      </w:r>
      <w:r>
        <w:rPr>
          <w:rFonts w:ascii="Times New Roman" w:hAnsi="Times New Roman"/>
          <w:szCs w:val="24"/>
          <w:lang w:val="bs-Latn-BA"/>
        </w:rPr>
        <w:t>што</w:t>
      </w:r>
      <w:r w:rsidR="00906F34" w:rsidRPr="00295637">
        <w:rPr>
          <w:rFonts w:ascii="Times New Roman" w:hAnsi="Times New Roman"/>
          <w:szCs w:val="24"/>
          <w:lang w:val="bs-Latn-BA"/>
        </w:rPr>
        <w:t xml:space="preserve"> </w:t>
      </w:r>
      <w:r>
        <w:rPr>
          <w:rFonts w:ascii="Times New Roman" w:hAnsi="Times New Roman"/>
          <w:szCs w:val="24"/>
          <w:lang w:val="bs-Latn-BA"/>
        </w:rPr>
        <w:t>посебно</w:t>
      </w:r>
      <w:r w:rsidR="00906F34" w:rsidRPr="00295637">
        <w:rPr>
          <w:rFonts w:ascii="Times New Roman" w:hAnsi="Times New Roman"/>
          <w:szCs w:val="24"/>
          <w:lang w:val="bs-Latn-BA"/>
        </w:rPr>
        <w:t xml:space="preserve"> </w:t>
      </w:r>
      <w:r>
        <w:rPr>
          <w:rFonts w:ascii="Times New Roman" w:hAnsi="Times New Roman"/>
          <w:szCs w:val="24"/>
          <w:lang w:val="bs-Latn-BA"/>
        </w:rPr>
        <w:t>погађа</w:t>
      </w:r>
      <w:r w:rsidR="00906F34" w:rsidRPr="00295637">
        <w:rPr>
          <w:rFonts w:ascii="Times New Roman" w:hAnsi="Times New Roman"/>
          <w:szCs w:val="24"/>
          <w:lang w:val="bs-Latn-BA"/>
        </w:rPr>
        <w:t xml:space="preserve"> </w:t>
      </w:r>
      <w:r>
        <w:rPr>
          <w:rFonts w:ascii="Times New Roman" w:hAnsi="Times New Roman"/>
          <w:szCs w:val="24"/>
          <w:lang w:val="bs-Latn-BA"/>
        </w:rPr>
        <w:t>жене</w:t>
      </w:r>
      <w:r w:rsidR="00906F34" w:rsidRPr="00295637">
        <w:rPr>
          <w:rFonts w:ascii="Times New Roman" w:hAnsi="Times New Roman"/>
          <w:szCs w:val="24"/>
          <w:lang w:val="bs-Latn-BA"/>
        </w:rPr>
        <w:t xml:space="preserve"> </w:t>
      </w:r>
      <w:r>
        <w:rPr>
          <w:rFonts w:ascii="Times New Roman" w:hAnsi="Times New Roman"/>
          <w:szCs w:val="24"/>
          <w:lang w:val="bs-Latn-BA"/>
        </w:rPr>
        <w:t>у</w:t>
      </w:r>
      <w:r w:rsidR="00906F34" w:rsidRPr="00295637">
        <w:rPr>
          <w:rFonts w:ascii="Times New Roman" w:hAnsi="Times New Roman"/>
          <w:szCs w:val="24"/>
          <w:lang w:val="bs-Latn-BA"/>
        </w:rPr>
        <w:t xml:space="preserve"> </w:t>
      </w:r>
      <w:r>
        <w:rPr>
          <w:rFonts w:ascii="Times New Roman" w:hAnsi="Times New Roman"/>
          <w:szCs w:val="24"/>
          <w:lang w:val="bs-Latn-BA"/>
        </w:rPr>
        <w:t>руралним</w:t>
      </w:r>
      <w:r w:rsidR="00906F34" w:rsidRPr="00295637">
        <w:rPr>
          <w:rFonts w:ascii="Times New Roman" w:hAnsi="Times New Roman"/>
          <w:szCs w:val="24"/>
          <w:lang w:val="bs-Latn-BA"/>
        </w:rPr>
        <w:t xml:space="preserve"> </w:t>
      </w:r>
      <w:r>
        <w:rPr>
          <w:rFonts w:ascii="Times New Roman" w:hAnsi="Times New Roman"/>
          <w:szCs w:val="24"/>
          <w:lang w:val="bs-Latn-BA"/>
        </w:rPr>
        <w:t>или</w:t>
      </w:r>
      <w:r w:rsidR="00906F34" w:rsidRPr="00295637">
        <w:rPr>
          <w:rFonts w:ascii="Times New Roman" w:hAnsi="Times New Roman"/>
          <w:szCs w:val="24"/>
          <w:lang w:val="bs-Latn-BA"/>
        </w:rPr>
        <w:t xml:space="preserve"> </w:t>
      </w:r>
      <w:r>
        <w:rPr>
          <w:rFonts w:ascii="Times New Roman" w:hAnsi="Times New Roman"/>
          <w:szCs w:val="24"/>
          <w:lang w:val="bs-Latn-BA"/>
        </w:rPr>
        <w:t>удаљеним</w:t>
      </w:r>
      <w:r w:rsidR="00906F34" w:rsidRPr="00295637">
        <w:rPr>
          <w:rFonts w:ascii="Times New Roman" w:hAnsi="Times New Roman"/>
          <w:szCs w:val="24"/>
          <w:lang w:val="bs-Latn-BA"/>
        </w:rPr>
        <w:t xml:space="preserve"> </w:t>
      </w:r>
      <w:r>
        <w:rPr>
          <w:rFonts w:ascii="Times New Roman" w:hAnsi="Times New Roman"/>
          <w:szCs w:val="24"/>
          <w:lang w:val="bs-Latn-BA"/>
        </w:rPr>
        <w:t>срединама</w:t>
      </w:r>
      <w:r w:rsidR="00906F34" w:rsidRPr="00295637">
        <w:rPr>
          <w:rFonts w:ascii="Times New Roman" w:hAnsi="Times New Roman"/>
          <w:szCs w:val="24"/>
          <w:lang w:val="bs-Latn-BA"/>
        </w:rPr>
        <w:t xml:space="preserve"> </w:t>
      </w:r>
      <w:r>
        <w:rPr>
          <w:rFonts w:ascii="Times New Roman" w:hAnsi="Times New Roman"/>
          <w:szCs w:val="24"/>
          <w:lang w:val="bs-Latn-BA"/>
        </w:rPr>
        <w:t>гдје</w:t>
      </w:r>
      <w:r w:rsidR="00906F34" w:rsidRPr="00295637">
        <w:rPr>
          <w:rFonts w:ascii="Times New Roman" w:hAnsi="Times New Roman"/>
          <w:szCs w:val="24"/>
          <w:lang w:val="bs-Latn-BA"/>
        </w:rPr>
        <w:t xml:space="preserve"> </w:t>
      </w:r>
      <w:r>
        <w:rPr>
          <w:rFonts w:ascii="Times New Roman" w:hAnsi="Times New Roman"/>
          <w:szCs w:val="24"/>
          <w:lang w:val="bs-Latn-BA"/>
        </w:rPr>
        <w:t>је</w:t>
      </w:r>
      <w:r w:rsidR="00906F34" w:rsidRPr="00295637">
        <w:rPr>
          <w:rFonts w:ascii="Times New Roman" w:hAnsi="Times New Roman"/>
          <w:szCs w:val="24"/>
          <w:lang w:val="bs-Latn-BA"/>
        </w:rPr>
        <w:t xml:space="preserve"> </w:t>
      </w:r>
      <w:r w:rsidR="00937482">
        <w:rPr>
          <w:rFonts w:ascii="Times New Roman" w:hAnsi="Times New Roman"/>
          <w:szCs w:val="24"/>
          <w:lang w:val="bs-Latn-BA"/>
        </w:rPr>
        <w:t>такође</w:t>
      </w:r>
      <w:r w:rsidR="00906F34" w:rsidRPr="00295637">
        <w:rPr>
          <w:rFonts w:ascii="Times New Roman" w:hAnsi="Times New Roman"/>
          <w:szCs w:val="24"/>
          <w:lang w:val="bs-Latn-BA"/>
        </w:rPr>
        <w:t xml:space="preserve"> </w:t>
      </w:r>
      <w:r>
        <w:rPr>
          <w:rFonts w:ascii="Times New Roman" w:hAnsi="Times New Roman"/>
          <w:szCs w:val="24"/>
          <w:lang w:val="bs-Latn-BA"/>
        </w:rPr>
        <w:t>примјетан</w:t>
      </w:r>
      <w:r w:rsidR="00906F34" w:rsidRPr="00295637">
        <w:rPr>
          <w:rFonts w:ascii="Times New Roman" w:hAnsi="Times New Roman"/>
          <w:szCs w:val="24"/>
          <w:lang w:val="bs-Latn-BA"/>
        </w:rPr>
        <w:t xml:space="preserve"> </w:t>
      </w:r>
      <w:r>
        <w:rPr>
          <w:rFonts w:ascii="Times New Roman" w:hAnsi="Times New Roman"/>
          <w:szCs w:val="24"/>
          <w:lang w:val="bs-Latn-BA"/>
        </w:rPr>
        <w:t>тренд</w:t>
      </w:r>
      <w:r w:rsidR="00906F34" w:rsidRPr="00295637">
        <w:rPr>
          <w:rFonts w:ascii="Times New Roman" w:hAnsi="Times New Roman"/>
          <w:szCs w:val="24"/>
          <w:lang w:val="bs-Latn-BA"/>
        </w:rPr>
        <w:t xml:space="preserve"> </w:t>
      </w:r>
      <w:r>
        <w:rPr>
          <w:rFonts w:ascii="Times New Roman" w:hAnsi="Times New Roman"/>
          <w:szCs w:val="24"/>
          <w:lang w:val="bs-Latn-BA"/>
        </w:rPr>
        <w:t>исељавања</w:t>
      </w:r>
      <w:r w:rsidR="00906F34" w:rsidRPr="00295637">
        <w:rPr>
          <w:rFonts w:ascii="Times New Roman" w:hAnsi="Times New Roman"/>
          <w:szCs w:val="24"/>
          <w:lang w:val="bs-Latn-BA"/>
        </w:rPr>
        <w:t xml:space="preserve">. </w:t>
      </w:r>
      <w:r>
        <w:rPr>
          <w:rFonts w:ascii="Times New Roman" w:hAnsi="Times New Roman"/>
          <w:szCs w:val="24"/>
          <w:lang w:val="bs-Latn-BA"/>
        </w:rPr>
        <w:t>Гинеколошке</w:t>
      </w:r>
      <w:r w:rsidR="00906F34" w:rsidRPr="00295637">
        <w:rPr>
          <w:rFonts w:ascii="Times New Roman" w:hAnsi="Times New Roman"/>
          <w:szCs w:val="24"/>
          <w:lang w:val="bs-Latn-BA"/>
        </w:rPr>
        <w:t xml:space="preserve"> </w:t>
      </w:r>
      <w:r>
        <w:rPr>
          <w:rFonts w:ascii="Times New Roman" w:hAnsi="Times New Roman"/>
          <w:szCs w:val="24"/>
          <w:lang w:val="bs-Latn-BA"/>
        </w:rPr>
        <w:t>услуге</w:t>
      </w:r>
      <w:r w:rsidR="00906F34" w:rsidRPr="00295637">
        <w:rPr>
          <w:rFonts w:ascii="Times New Roman" w:hAnsi="Times New Roman"/>
          <w:szCs w:val="24"/>
          <w:lang w:val="bs-Latn-BA"/>
        </w:rPr>
        <w:t xml:space="preserve"> </w:t>
      </w:r>
      <w:r>
        <w:rPr>
          <w:rFonts w:ascii="Times New Roman" w:hAnsi="Times New Roman"/>
          <w:szCs w:val="24"/>
          <w:lang w:val="bs-Latn-BA"/>
        </w:rPr>
        <w:t>или</w:t>
      </w:r>
      <w:r w:rsidR="00906F34" w:rsidRPr="00295637">
        <w:rPr>
          <w:rFonts w:ascii="Times New Roman" w:hAnsi="Times New Roman"/>
          <w:szCs w:val="24"/>
          <w:lang w:val="bs-Latn-BA"/>
        </w:rPr>
        <w:t xml:space="preserve"> </w:t>
      </w:r>
      <w:r>
        <w:rPr>
          <w:rFonts w:ascii="Times New Roman" w:hAnsi="Times New Roman"/>
          <w:szCs w:val="24"/>
          <w:lang w:val="bs-Latn-BA"/>
        </w:rPr>
        <w:t>услуге</w:t>
      </w:r>
      <w:r w:rsidR="00906F34" w:rsidRPr="00295637">
        <w:rPr>
          <w:rFonts w:ascii="Times New Roman" w:hAnsi="Times New Roman"/>
          <w:szCs w:val="24"/>
          <w:lang w:val="bs-Latn-BA"/>
        </w:rPr>
        <w:t xml:space="preserve"> </w:t>
      </w:r>
      <w:r>
        <w:rPr>
          <w:rFonts w:ascii="Times New Roman" w:hAnsi="Times New Roman"/>
          <w:szCs w:val="24"/>
          <w:lang w:val="bs-Latn-BA"/>
        </w:rPr>
        <w:t>у</w:t>
      </w:r>
      <w:r w:rsidR="000A5047">
        <w:rPr>
          <w:rFonts w:ascii="Times New Roman" w:hAnsi="Times New Roman"/>
          <w:szCs w:val="24"/>
          <w:lang w:val="bs-Latn-BA"/>
        </w:rPr>
        <w:t xml:space="preserve"> </w:t>
      </w:r>
      <w:r>
        <w:rPr>
          <w:rFonts w:ascii="Times New Roman" w:hAnsi="Times New Roman"/>
          <w:szCs w:val="24"/>
          <w:lang w:val="bs-Latn-BA"/>
        </w:rPr>
        <w:t>вези</w:t>
      </w:r>
      <w:r w:rsidR="000A5047">
        <w:rPr>
          <w:rFonts w:ascii="Times New Roman" w:hAnsi="Times New Roman"/>
          <w:szCs w:val="24"/>
          <w:lang w:val="bs-Latn-BA"/>
        </w:rPr>
        <w:t xml:space="preserve"> </w:t>
      </w:r>
      <w:r>
        <w:rPr>
          <w:rFonts w:ascii="Times New Roman" w:hAnsi="Times New Roman"/>
          <w:szCs w:val="24"/>
          <w:lang w:val="bs-Latn-BA"/>
        </w:rPr>
        <w:t>са</w:t>
      </w:r>
      <w:r w:rsidR="00906F34" w:rsidRPr="00295637">
        <w:rPr>
          <w:rFonts w:ascii="Times New Roman" w:hAnsi="Times New Roman"/>
          <w:szCs w:val="24"/>
          <w:lang w:val="bs-Latn-BA"/>
        </w:rPr>
        <w:t xml:space="preserve"> </w:t>
      </w:r>
      <w:r>
        <w:rPr>
          <w:rFonts w:ascii="Times New Roman" w:hAnsi="Times New Roman"/>
          <w:szCs w:val="24"/>
          <w:lang w:val="bs-Latn-BA"/>
        </w:rPr>
        <w:t>савјетовалиштем</w:t>
      </w:r>
      <w:r w:rsidR="00906F34" w:rsidRPr="00295637">
        <w:rPr>
          <w:rFonts w:ascii="Times New Roman" w:hAnsi="Times New Roman"/>
          <w:szCs w:val="24"/>
          <w:lang w:val="bs-Latn-BA"/>
        </w:rPr>
        <w:t xml:space="preserve"> </w:t>
      </w:r>
      <w:r>
        <w:rPr>
          <w:rFonts w:ascii="Times New Roman" w:hAnsi="Times New Roman"/>
          <w:szCs w:val="24"/>
          <w:lang w:val="bs-Latn-BA"/>
        </w:rPr>
        <w:t>за</w:t>
      </w:r>
      <w:r w:rsidR="00906F34" w:rsidRPr="00295637">
        <w:rPr>
          <w:rFonts w:ascii="Times New Roman" w:hAnsi="Times New Roman"/>
          <w:szCs w:val="24"/>
          <w:lang w:val="bs-Latn-BA"/>
        </w:rPr>
        <w:t xml:space="preserve"> </w:t>
      </w:r>
      <w:r>
        <w:rPr>
          <w:rFonts w:ascii="Times New Roman" w:hAnsi="Times New Roman"/>
          <w:szCs w:val="24"/>
          <w:lang w:val="bs-Latn-BA"/>
        </w:rPr>
        <w:t>мајчинство</w:t>
      </w:r>
      <w:r w:rsidR="00906F34" w:rsidRPr="00295637">
        <w:rPr>
          <w:rFonts w:ascii="Times New Roman" w:hAnsi="Times New Roman"/>
          <w:szCs w:val="24"/>
          <w:lang w:val="bs-Latn-BA"/>
        </w:rPr>
        <w:t xml:space="preserve"> </w:t>
      </w:r>
      <w:r>
        <w:rPr>
          <w:rFonts w:ascii="Times New Roman" w:hAnsi="Times New Roman"/>
          <w:szCs w:val="24"/>
          <w:lang w:val="bs-Latn-BA"/>
        </w:rPr>
        <w:t>и</w:t>
      </w:r>
      <w:r w:rsidR="00906F34" w:rsidRPr="00295637">
        <w:rPr>
          <w:rFonts w:ascii="Times New Roman" w:hAnsi="Times New Roman"/>
          <w:szCs w:val="24"/>
          <w:lang w:val="bs-Latn-BA"/>
        </w:rPr>
        <w:t xml:space="preserve"> </w:t>
      </w:r>
      <w:r>
        <w:rPr>
          <w:rFonts w:ascii="Times New Roman" w:hAnsi="Times New Roman"/>
          <w:szCs w:val="24"/>
          <w:lang w:val="bs-Latn-BA"/>
        </w:rPr>
        <w:t>репродуктивно</w:t>
      </w:r>
      <w:r w:rsidR="00906F34" w:rsidRPr="00295637">
        <w:rPr>
          <w:rFonts w:ascii="Times New Roman" w:hAnsi="Times New Roman"/>
          <w:szCs w:val="24"/>
          <w:lang w:val="bs-Latn-BA"/>
        </w:rPr>
        <w:t xml:space="preserve"> </w:t>
      </w:r>
      <w:r>
        <w:rPr>
          <w:rFonts w:ascii="Times New Roman" w:hAnsi="Times New Roman"/>
          <w:szCs w:val="24"/>
          <w:lang w:val="bs-Latn-BA"/>
        </w:rPr>
        <w:t>здравље</w:t>
      </w:r>
      <w:r w:rsidR="00906F34" w:rsidRPr="00295637">
        <w:rPr>
          <w:rFonts w:ascii="Times New Roman" w:hAnsi="Times New Roman"/>
          <w:szCs w:val="24"/>
          <w:lang w:val="bs-Latn-BA"/>
        </w:rPr>
        <w:t xml:space="preserve"> </w:t>
      </w:r>
      <w:r>
        <w:rPr>
          <w:rFonts w:ascii="Times New Roman" w:hAnsi="Times New Roman"/>
          <w:szCs w:val="24"/>
          <w:lang w:val="bs-Latn-BA"/>
        </w:rPr>
        <w:t>још</w:t>
      </w:r>
      <w:r w:rsidR="00906F34" w:rsidRPr="00295637">
        <w:rPr>
          <w:rFonts w:ascii="Times New Roman" w:hAnsi="Times New Roman"/>
          <w:szCs w:val="24"/>
          <w:lang w:val="bs-Latn-BA"/>
        </w:rPr>
        <w:t xml:space="preserve"> </w:t>
      </w:r>
      <w:r>
        <w:rPr>
          <w:rFonts w:ascii="Times New Roman" w:hAnsi="Times New Roman"/>
          <w:szCs w:val="24"/>
          <w:lang w:val="bs-Latn-BA"/>
        </w:rPr>
        <w:t>увијек</w:t>
      </w:r>
      <w:r w:rsidR="00906F34" w:rsidRPr="00295637">
        <w:rPr>
          <w:rFonts w:ascii="Times New Roman" w:hAnsi="Times New Roman"/>
          <w:szCs w:val="24"/>
          <w:lang w:val="bs-Latn-BA"/>
        </w:rPr>
        <w:t xml:space="preserve"> </w:t>
      </w:r>
      <w:r>
        <w:rPr>
          <w:rFonts w:ascii="Times New Roman" w:hAnsi="Times New Roman"/>
          <w:szCs w:val="24"/>
          <w:lang w:val="bs-Latn-BA"/>
        </w:rPr>
        <w:t>нису</w:t>
      </w:r>
      <w:r w:rsidR="00906F34" w:rsidRPr="00295637">
        <w:rPr>
          <w:rFonts w:ascii="Times New Roman" w:hAnsi="Times New Roman"/>
          <w:szCs w:val="24"/>
          <w:lang w:val="bs-Latn-BA"/>
        </w:rPr>
        <w:t xml:space="preserve"> </w:t>
      </w:r>
      <w:r>
        <w:rPr>
          <w:rFonts w:ascii="Times New Roman" w:hAnsi="Times New Roman"/>
          <w:szCs w:val="24"/>
          <w:lang w:val="bs-Latn-BA"/>
        </w:rPr>
        <w:t>прилагођене</w:t>
      </w:r>
      <w:r w:rsidR="00906F34" w:rsidRPr="00295637">
        <w:rPr>
          <w:rFonts w:ascii="Times New Roman" w:hAnsi="Times New Roman"/>
          <w:szCs w:val="24"/>
          <w:lang w:val="bs-Latn-BA"/>
        </w:rPr>
        <w:t xml:space="preserve"> </w:t>
      </w:r>
      <w:r>
        <w:rPr>
          <w:rFonts w:ascii="Times New Roman" w:hAnsi="Times New Roman"/>
          <w:szCs w:val="24"/>
          <w:lang w:val="bs-Latn-BA"/>
        </w:rPr>
        <w:t>лицима</w:t>
      </w:r>
      <w:r w:rsidR="00906F34" w:rsidRPr="00295637">
        <w:rPr>
          <w:rFonts w:ascii="Times New Roman" w:hAnsi="Times New Roman"/>
          <w:szCs w:val="24"/>
          <w:lang w:val="bs-Latn-BA"/>
        </w:rPr>
        <w:t xml:space="preserve"> </w:t>
      </w:r>
      <w:r>
        <w:rPr>
          <w:rFonts w:ascii="Times New Roman" w:hAnsi="Times New Roman"/>
          <w:szCs w:val="24"/>
          <w:lang w:val="bs-Latn-BA"/>
        </w:rPr>
        <w:t>са</w:t>
      </w:r>
      <w:r w:rsidR="00906F34" w:rsidRPr="00295637">
        <w:rPr>
          <w:rFonts w:ascii="Times New Roman" w:hAnsi="Times New Roman"/>
          <w:szCs w:val="24"/>
          <w:lang w:val="bs-Latn-BA"/>
        </w:rPr>
        <w:t xml:space="preserve"> </w:t>
      </w:r>
      <w:r>
        <w:rPr>
          <w:rFonts w:ascii="Times New Roman" w:hAnsi="Times New Roman"/>
          <w:szCs w:val="24"/>
          <w:lang w:val="bs-Latn-BA"/>
        </w:rPr>
        <w:t>инвалидитетом</w:t>
      </w:r>
      <w:r w:rsidR="00906F34" w:rsidRPr="00295637">
        <w:rPr>
          <w:rFonts w:ascii="Times New Roman" w:hAnsi="Times New Roman"/>
          <w:szCs w:val="24"/>
          <w:lang w:val="bs-Latn-BA"/>
        </w:rPr>
        <w:t xml:space="preserve">. </w:t>
      </w:r>
      <w:r>
        <w:rPr>
          <w:rFonts w:ascii="Times New Roman" w:hAnsi="Times New Roman"/>
          <w:szCs w:val="24"/>
          <w:lang w:val="bs-Latn-BA"/>
        </w:rPr>
        <w:t>Велики</w:t>
      </w:r>
      <w:r w:rsidR="00906F34" w:rsidRPr="00295637">
        <w:rPr>
          <w:rFonts w:ascii="Times New Roman" w:hAnsi="Times New Roman"/>
          <w:szCs w:val="24"/>
          <w:lang w:val="bs-Latn-BA"/>
        </w:rPr>
        <w:t xml:space="preserve"> </w:t>
      </w:r>
      <w:r>
        <w:rPr>
          <w:rFonts w:ascii="Times New Roman" w:hAnsi="Times New Roman"/>
          <w:szCs w:val="24"/>
          <w:lang w:val="bs-Latn-BA"/>
        </w:rPr>
        <w:t>број</w:t>
      </w:r>
      <w:r w:rsidR="00906F34" w:rsidRPr="00295637">
        <w:rPr>
          <w:rFonts w:ascii="Times New Roman" w:hAnsi="Times New Roman"/>
          <w:szCs w:val="24"/>
          <w:lang w:val="bs-Latn-BA"/>
        </w:rPr>
        <w:t xml:space="preserve"> </w:t>
      </w:r>
      <w:r>
        <w:rPr>
          <w:rFonts w:ascii="Times New Roman" w:hAnsi="Times New Roman"/>
          <w:szCs w:val="24"/>
          <w:lang w:val="bs-Latn-BA"/>
        </w:rPr>
        <w:t>жена</w:t>
      </w:r>
      <w:r w:rsidR="00906F34" w:rsidRPr="00295637">
        <w:rPr>
          <w:rFonts w:ascii="Times New Roman" w:hAnsi="Times New Roman"/>
          <w:szCs w:val="24"/>
          <w:lang w:val="bs-Latn-BA"/>
        </w:rPr>
        <w:t xml:space="preserve"> </w:t>
      </w:r>
      <w:r>
        <w:rPr>
          <w:rFonts w:ascii="Times New Roman" w:hAnsi="Times New Roman"/>
          <w:szCs w:val="24"/>
          <w:lang w:val="bs-Latn-BA"/>
        </w:rPr>
        <w:t>на</w:t>
      </w:r>
      <w:r w:rsidR="00906F34" w:rsidRPr="00295637">
        <w:rPr>
          <w:rFonts w:ascii="Times New Roman" w:hAnsi="Times New Roman"/>
          <w:szCs w:val="24"/>
          <w:lang w:val="bs-Latn-BA"/>
        </w:rPr>
        <w:t xml:space="preserve"> </w:t>
      </w:r>
      <w:r>
        <w:rPr>
          <w:rFonts w:ascii="Times New Roman" w:hAnsi="Times New Roman"/>
          <w:szCs w:val="24"/>
          <w:lang w:val="bs-Latn-BA"/>
        </w:rPr>
        <w:t>селу</w:t>
      </w:r>
      <w:r w:rsidR="00906F34" w:rsidRPr="00295637">
        <w:rPr>
          <w:rFonts w:ascii="Times New Roman" w:hAnsi="Times New Roman"/>
          <w:szCs w:val="24"/>
          <w:lang w:val="bs-Latn-BA"/>
        </w:rPr>
        <w:t xml:space="preserve"> </w:t>
      </w:r>
      <w:r>
        <w:rPr>
          <w:rFonts w:ascii="Times New Roman" w:hAnsi="Times New Roman"/>
          <w:szCs w:val="24"/>
          <w:lang w:val="bs-Latn-BA"/>
        </w:rPr>
        <w:t>не</w:t>
      </w:r>
      <w:r w:rsidR="001823BE" w:rsidRPr="00295637">
        <w:rPr>
          <w:rFonts w:ascii="Times New Roman" w:hAnsi="Times New Roman"/>
          <w:szCs w:val="24"/>
          <w:lang w:val="bs-Latn-BA"/>
        </w:rPr>
        <w:t xml:space="preserve"> </w:t>
      </w:r>
      <w:r>
        <w:rPr>
          <w:rFonts w:ascii="Times New Roman" w:hAnsi="Times New Roman"/>
          <w:szCs w:val="24"/>
          <w:lang w:val="bs-Latn-BA"/>
        </w:rPr>
        <w:t>остварује</w:t>
      </w:r>
      <w:r w:rsidR="001823BE" w:rsidRPr="00295637">
        <w:rPr>
          <w:rFonts w:ascii="Times New Roman" w:hAnsi="Times New Roman"/>
          <w:szCs w:val="24"/>
          <w:lang w:val="bs-Latn-BA"/>
        </w:rPr>
        <w:t xml:space="preserve"> </w:t>
      </w:r>
      <w:r>
        <w:rPr>
          <w:rFonts w:ascii="Times New Roman" w:hAnsi="Times New Roman"/>
          <w:szCs w:val="24"/>
          <w:lang w:val="bs-Latn-BA"/>
        </w:rPr>
        <w:t>право</w:t>
      </w:r>
      <w:r w:rsidR="001823BE" w:rsidRPr="00295637">
        <w:rPr>
          <w:rFonts w:ascii="Times New Roman" w:hAnsi="Times New Roman"/>
          <w:szCs w:val="24"/>
          <w:lang w:val="bs-Latn-BA"/>
        </w:rPr>
        <w:t xml:space="preserve"> </w:t>
      </w:r>
      <w:r>
        <w:rPr>
          <w:rFonts w:ascii="Times New Roman" w:hAnsi="Times New Roman"/>
          <w:szCs w:val="24"/>
          <w:lang w:val="bs-Latn-BA"/>
        </w:rPr>
        <w:t>на</w:t>
      </w:r>
      <w:r w:rsidR="00906F34" w:rsidRPr="00295637">
        <w:rPr>
          <w:rFonts w:ascii="Times New Roman" w:hAnsi="Times New Roman"/>
          <w:szCs w:val="24"/>
          <w:lang w:val="bs-Latn-BA"/>
        </w:rPr>
        <w:t xml:space="preserve"> </w:t>
      </w:r>
      <w:r>
        <w:rPr>
          <w:rFonts w:ascii="Times New Roman" w:hAnsi="Times New Roman"/>
          <w:szCs w:val="24"/>
          <w:lang w:val="bs-Latn-BA"/>
        </w:rPr>
        <w:t>здравствено</w:t>
      </w:r>
      <w:r w:rsidR="00906F34" w:rsidRPr="00295637">
        <w:rPr>
          <w:rFonts w:ascii="Times New Roman" w:hAnsi="Times New Roman"/>
          <w:szCs w:val="24"/>
          <w:lang w:val="bs-Latn-BA"/>
        </w:rPr>
        <w:t xml:space="preserve"> </w:t>
      </w:r>
      <w:r>
        <w:rPr>
          <w:rFonts w:ascii="Times New Roman" w:hAnsi="Times New Roman"/>
          <w:szCs w:val="24"/>
          <w:lang w:val="bs-Latn-BA"/>
        </w:rPr>
        <w:t>осигурање</w:t>
      </w:r>
      <w:r w:rsidR="00906F34" w:rsidRPr="00295637">
        <w:rPr>
          <w:rFonts w:ascii="Times New Roman" w:hAnsi="Times New Roman"/>
          <w:szCs w:val="24"/>
          <w:lang w:val="bs-Latn-BA"/>
        </w:rPr>
        <w:t>.</w:t>
      </w:r>
    </w:p>
    <w:p w:rsidR="00906F34" w:rsidRPr="00295637" w:rsidRDefault="00906F34" w:rsidP="0086268D">
      <w:pPr>
        <w:jc w:val="both"/>
        <w:rPr>
          <w:rFonts w:ascii="Times New Roman" w:hAnsi="Times New Roman"/>
          <w:szCs w:val="24"/>
          <w:lang w:val="bs-Latn-BA"/>
        </w:rPr>
      </w:pPr>
    </w:p>
    <w:p w:rsidR="00906F34" w:rsidRPr="00295637" w:rsidRDefault="00C6214E" w:rsidP="0086268D">
      <w:pPr>
        <w:autoSpaceDE w:val="0"/>
        <w:autoSpaceDN w:val="0"/>
        <w:adjustRightInd w:val="0"/>
        <w:jc w:val="both"/>
        <w:rPr>
          <w:rFonts w:ascii="Times New Roman" w:hAnsi="Times New Roman"/>
          <w:szCs w:val="24"/>
          <w:lang w:val="en-US"/>
        </w:rPr>
      </w:pPr>
      <w:r>
        <w:rPr>
          <w:rFonts w:ascii="Times New Roman" w:hAnsi="Times New Roman"/>
          <w:szCs w:val="24"/>
          <w:lang w:val="en-US"/>
        </w:rPr>
        <w:t>Према</w:t>
      </w:r>
      <w:r w:rsidR="00906F34" w:rsidRPr="00295637">
        <w:rPr>
          <w:rFonts w:ascii="Times New Roman" w:hAnsi="Times New Roman"/>
          <w:szCs w:val="24"/>
          <w:lang w:val="en-US"/>
        </w:rPr>
        <w:t xml:space="preserve"> </w:t>
      </w:r>
      <w:r>
        <w:rPr>
          <w:rFonts w:ascii="Times New Roman" w:hAnsi="Times New Roman"/>
          <w:szCs w:val="24"/>
          <w:lang w:val="en-US"/>
        </w:rPr>
        <w:t>резултатима</w:t>
      </w:r>
      <w:r w:rsidR="00906F34" w:rsidRPr="00295637">
        <w:rPr>
          <w:rFonts w:ascii="Times New Roman" w:hAnsi="Times New Roman"/>
          <w:szCs w:val="24"/>
          <w:lang w:val="en-US"/>
        </w:rPr>
        <w:t xml:space="preserve"> </w:t>
      </w:r>
      <w:r>
        <w:rPr>
          <w:rFonts w:ascii="Times New Roman" w:hAnsi="Times New Roman"/>
          <w:szCs w:val="24"/>
          <w:lang w:val="en-US"/>
        </w:rPr>
        <w:t>бх</w:t>
      </w:r>
      <w:r w:rsidR="008A5A21">
        <w:rPr>
          <w:rFonts w:ascii="Times New Roman" w:hAnsi="Times New Roman"/>
          <w:szCs w:val="24"/>
          <w:lang w:val="en-US"/>
        </w:rPr>
        <w:t>.</w:t>
      </w:r>
      <w:r w:rsidR="00906F34" w:rsidRPr="00295637">
        <w:rPr>
          <w:rFonts w:ascii="Times New Roman" w:hAnsi="Times New Roman"/>
          <w:szCs w:val="24"/>
          <w:lang w:val="en-US"/>
        </w:rPr>
        <w:t xml:space="preserve"> </w:t>
      </w:r>
      <w:r>
        <w:rPr>
          <w:rFonts w:ascii="Times New Roman" w:hAnsi="Times New Roman"/>
          <w:szCs w:val="24"/>
          <w:lang w:val="en-US"/>
        </w:rPr>
        <w:t>Индекса</w:t>
      </w:r>
      <w:r w:rsidR="00906F34" w:rsidRPr="00295637">
        <w:rPr>
          <w:rFonts w:ascii="Times New Roman" w:hAnsi="Times New Roman"/>
          <w:szCs w:val="24"/>
          <w:lang w:val="en-US"/>
        </w:rPr>
        <w:t xml:space="preserve"> </w:t>
      </w:r>
      <w:r>
        <w:rPr>
          <w:rFonts w:ascii="Times New Roman" w:hAnsi="Times New Roman"/>
          <w:szCs w:val="24"/>
          <w:lang w:val="en-US"/>
        </w:rPr>
        <w:t>равноправности</w:t>
      </w:r>
      <w:r w:rsidR="00906F34" w:rsidRPr="00295637">
        <w:rPr>
          <w:rFonts w:ascii="Times New Roman" w:hAnsi="Times New Roman"/>
          <w:szCs w:val="24"/>
          <w:lang w:val="en-US"/>
        </w:rPr>
        <w:t xml:space="preserve"> </w:t>
      </w:r>
      <w:r>
        <w:rPr>
          <w:rFonts w:ascii="Times New Roman" w:hAnsi="Times New Roman"/>
          <w:szCs w:val="24"/>
          <w:lang w:val="en-US"/>
        </w:rPr>
        <w:t>полова</w:t>
      </w:r>
      <w:r w:rsidR="00906F34" w:rsidRPr="00295637">
        <w:rPr>
          <w:rFonts w:ascii="Times New Roman" w:hAnsi="Times New Roman"/>
          <w:szCs w:val="24"/>
          <w:lang w:val="en-US"/>
        </w:rPr>
        <w:t xml:space="preserve"> </w:t>
      </w:r>
      <w:r>
        <w:rPr>
          <w:rFonts w:ascii="Times New Roman" w:hAnsi="Times New Roman"/>
          <w:szCs w:val="24"/>
          <w:lang w:val="en-US"/>
        </w:rPr>
        <w:t>за</w:t>
      </w:r>
      <w:r w:rsidR="00906F34" w:rsidRPr="00295637">
        <w:rPr>
          <w:rFonts w:ascii="Times New Roman" w:hAnsi="Times New Roman"/>
          <w:szCs w:val="24"/>
          <w:lang w:val="en-US"/>
        </w:rPr>
        <w:t xml:space="preserve"> 2023</w:t>
      </w:r>
      <w:r w:rsidR="008A5A21">
        <w:rPr>
          <w:rFonts w:ascii="Times New Roman" w:hAnsi="Times New Roman"/>
          <w:szCs w:val="24"/>
          <w:lang w:val="en-US"/>
        </w:rPr>
        <w:t>.</w:t>
      </w:r>
      <w:r w:rsidR="00906F34" w:rsidRPr="00295637">
        <w:rPr>
          <w:rFonts w:ascii="Times New Roman" w:hAnsi="Times New Roman"/>
          <w:szCs w:val="24"/>
          <w:lang w:val="en-US"/>
        </w:rPr>
        <w:t xml:space="preserve"> </w:t>
      </w:r>
      <w:r>
        <w:rPr>
          <w:rFonts w:ascii="Times New Roman" w:hAnsi="Times New Roman"/>
          <w:szCs w:val="24"/>
          <w:lang w:val="en-US"/>
        </w:rPr>
        <w:t>и</w:t>
      </w:r>
      <w:r w:rsidR="00906F34" w:rsidRPr="00295637">
        <w:rPr>
          <w:rFonts w:ascii="Times New Roman" w:hAnsi="Times New Roman"/>
          <w:szCs w:val="24"/>
          <w:lang w:val="en-US"/>
        </w:rPr>
        <w:t xml:space="preserve"> 2024</w:t>
      </w:r>
      <w:r w:rsidR="001813ED" w:rsidRPr="00295637">
        <w:rPr>
          <w:rFonts w:ascii="Times New Roman" w:hAnsi="Times New Roman"/>
          <w:szCs w:val="24"/>
          <w:lang w:val="en-US"/>
        </w:rPr>
        <w:t>.</w:t>
      </w:r>
      <w:r w:rsidR="007213D5" w:rsidRPr="00295637">
        <w:rPr>
          <w:rFonts w:ascii="Times New Roman" w:hAnsi="Times New Roman"/>
          <w:szCs w:val="24"/>
          <w:lang w:val="en-US"/>
        </w:rPr>
        <w:t xml:space="preserve"> </w:t>
      </w:r>
      <w:r>
        <w:rPr>
          <w:rFonts w:ascii="Times New Roman" w:hAnsi="Times New Roman"/>
          <w:szCs w:val="24"/>
          <w:lang w:val="en-US"/>
        </w:rPr>
        <w:t>годину</w:t>
      </w:r>
      <w:r w:rsidR="00906F34" w:rsidRPr="00295637">
        <w:rPr>
          <w:rFonts w:ascii="Times New Roman" w:hAnsi="Times New Roman"/>
          <w:szCs w:val="24"/>
          <w:lang w:val="en-US"/>
        </w:rPr>
        <w:t>,</w:t>
      </w:r>
      <w:r w:rsidR="009E54A2" w:rsidRPr="00295637">
        <w:rPr>
          <w:rFonts w:ascii="Times New Roman" w:hAnsi="Times New Roman"/>
          <w:szCs w:val="24"/>
          <w:lang w:val="en-US"/>
        </w:rPr>
        <w:t xml:space="preserve"> </w:t>
      </w:r>
      <w:r>
        <w:rPr>
          <w:rFonts w:ascii="Times New Roman" w:hAnsi="Times New Roman"/>
          <w:szCs w:val="24"/>
          <w:lang w:val="en-US"/>
        </w:rPr>
        <w:t>БиХ</w:t>
      </w:r>
      <w:r w:rsidR="009E54A2" w:rsidRPr="00295637">
        <w:rPr>
          <w:rFonts w:ascii="Times New Roman" w:hAnsi="Times New Roman"/>
          <w:szCs w:val="24"/>
          <w:lang w:val="en-US"/>
        </w:rPr>
        <w:t xml:space="preserve"> </w:t>
      </w:r>
      <w:r>
        <w:rPr>
          <w:rFonts w:ascii="Times New Roman" w:hAnsi="Times New Roman"/>
          <w:szCs w:val="24"/>
          <w:lang w:val="en-US"/>
        </w:rPr>
        <w:t>постиже</w:t>
      </w:r>
      <w:r w:rsidR="00906F34" w:rsidRPr="00295637">
        <w:rPr>
          <w:rFonts w:ascii="Times New Roman" w:hAnsi="Times New Roman"/>
          <w:szCs w:val="24"/>
          <w:lang w:val="en-US"/>
        </w:rPr>
        <w:t xml:space="preserve"> 92,9 </w:t>
      </w:r>
      <w:r>
        <w:rPr>
          <w:rFonts w:ascii="Times New Roman" w:hAnsi="Times New Roman"/>
          <w:szCs w:val="24"/>
          <w:lang w:val="en-US"/>
        </w:rPr>
        <w:t>бода</w:t>
      </w:r>
      <w:r w:rsidR="00906F34" w:rsidRPr="00295637">
        <w:rPr>
          <w:rFonts w:ascii="Times New Roman" w:hAnsi="Times New Roman"/>
          <w:szCs w:val="24"/>
          <w:lang w:val="en-US"/>
        </w:rPr>
        <w:t xml:space="preserve"> </w:t>
      </w:r>
      <w:r>
        <w:rPr>
          <w:rFonts w:ascii="Times New Roman" w:hAnsi="Times New Roman"/>
          <w:szCs w:val="24"/>
          <w:lang w:val="en-US"/>
        </w:rPr>
        <w:t>у</w:t>
      </w:r>
      <w:r w:rsidR="00906F34" w:rsidRPr="00295637">
        <w:rPr>
          <w:rFonts w:ascii="Times New Roman" w:hAnsi="Times New Roman"/>
          <w:szCs w:val="24"/>
          <w:lang w:val="en-US"/>
        </w:rPr>
        <w:t xml:space="preserve"> </w:t>
      </w:r>
      <w:r>
        <w:rPr>
          <w:rFonts w:ascii="Times New Roman" w:hAnsi="Times New Roman"/>
          <w:szCs w:val="24"/>
          <w:lang w:val="en-US"/>
        </w:rPr>
        <w:t>поддомену</w:t>
      </w:r>
      <w:r w:rsidR="00906F34" w:rsidRPr="00295637">
        <w:rPr>
          <w:rFonts w:ascii="Times New Roman" w:hAnsi="Times New Roman"/>
          <w:szCs w:val="24"/>
          <w:lang w:val="en-US"/>
        </w:rPr>
        <w:t xml:space="preserve"> </w:t>
      </w:r>
      <w:r w:rsidR="008F6871" w:rsidRPr="00295637">
        <w:rPr>
          <w:rFonts w:ascii="Times New Roman" w:hAnsi="Times New Roman"/>
          <w:szCs w:val="24"/>
          <w:lang w:val="en-US"/>
        </w:rPr>
        <w:t>“</w:t>
      </w:r>
      <w:r>
        <w:rPr>
          <w:rFonts w:ascii="Times New Roman" w:hAnsi="Times New Roman"/>
          <w:szCs w:val="24"/>
          <w:lang w:val="en-US"/>
        </w:rPr>
        <w:t>Здравствено</w:t>
      </w:r>
      <w:r w:rsidR="00906F34" w:rsidRPr="00295637">
        <w:rPr>
          <w:rFonts w:ascii="Times New Roman" w:hAnsi="Times New Roman"/>
          <w:szCs w:val="24"/>
          <w:lang w:val="en-US"/>
        </w:rPr>
        <w:t xml:space="preserve"> </w:t>
      </w:r>
      <w:r>
        <w:rPr>
          <w:rFonts w:ascii="Times New Roman" w:hAnsi="Times New Roman"/>
          <w:szCs w:val="24"/>
          <w:lang w:val="en-US"/>
        </w:rPr>
        <w:t>стање</w:t>
      </w:r>
      <w:r w:rsidR="001813ED" w:rsidRPr="00295637">
        <w:rPr>
          <w:rFonts w:ascii="Times New Roman" w:hAnsi="Times New Roman"/>
          <w:szCs w:val="24"/>
          <w:lang w:val="en-US"/>
        </w:rPr>
        <w:t>”</w:t>
      </w:r>
      <w:r w:rsidR="00906F34" w:rsidRPr="00295637">
        <w:rPr>
          <w:rFonts w:ascii="Times New Roman" w:hAnsi="Times New Roman"/>
          <w:szCs w:val="24"/>
          <w:lang w:val="en-US"/>
        </w:rPr>
        <w:t xml:space="preserve"> (3,1 </w:t>
      </w:r>
      <w:r>
        <w:rPr>
          <w:rFonts w:ascii="Times New Roman" w:hAnsi="Times New Roman"/>
          <w:szCs w:val="24"/>
          <w:lang w:val="en-US"/>
        </w:rPr>
        <w:t>бод</w:t>
      </w:r>
      <w:r w:rsidR="00906F34" w:rsidRPr="00295637">
        <w:rPr>
          <w:rFonts w:ascii="Times New Roman" w:hAnsi="Times New Roman"/>
          <w:szCs w:val="24"/>
          <w:lang w:val="en-US"/>
        </w:rPr>
        <w:t xml:space="preserve"> </w:t>
      </w:r>
      <w:r>
        <w:rPr>
          <w:rFonts w:ascii="Times New Roman" w:hAnsi="Times New Roman"/>
          <w:szCs w:val="24"/>
          <w:lang w:val="en-US"/>
        </w:rPr>
        <w:t>више</w:t>
      </w:r>
      <w:r w:rsidR="00906F34" w:rsidRPr="00295637">
        <w:rPr>
          <w:rFonts w:ascii="Times New Roman" w:hAnsi="Times New Roman"/>
          <w:szCs w:val="24"/>
          <w:lang w:val="en-US"/>
        </w:rPr>
        <w:t xml:space="preserve"> </w:t>
      </w:r>
      <w:r>
        <w:rPr>
          <w:rFonts w:ascii="Times New Roman" w:hAnsi="Times New Roman"/>
          <w:szCs w:val="24"/>
          <w:lang w:val="en-US"/>
        </w:rPr>
        <w:t>у</w:t>
      </w:r>
      <w:r w:rsidR="00906F34" w:rsidRPr="00295637">
        <w:rPr>
          <w:rFonts w:ascii="Times New Roman" w:hAnsi="Times New Roman"/>
          <w:szCs w:val="24"/>
          <w:lang w:val="en-US"/>
        </w:rPr>
        <w:t xml:space="preserve"> </w:t>
      </w:r>
      <w:r>
        <w:rPr>
          <w:rFonts w:ascii="Times New Roman" w:hAnsi="Times New Roman"/>
          <w:szCs w:val="24"/>
          <w:lang w:val="en-US"/>
        </w:rPr>
        <w:t>односу</w:t>
      </w:r>
      <w:r w:rsidR="00906F34" w:rsidRPr="00295637">
        <w:rPr>
          <w:rFonts w:ascii="Times New Roman" w:hAnsi="Times New Roman"/>
          <w:szCs w:val="24"/>
          <w:lang w:val="en-US"/>
        </w:rPr>
        <w:t xml:space="preserve"> </w:t>
      </w:r>
      <w:r>
        <w:rPr>
          <w:rFonts w:ascii="Times New Roman" w:hAnsi="Times New Roman"/>
          <w:szCs w:val="24"/>
          <w:lang w:val="en-US"/>
        </w:rPr>
        <w:t>на</w:t>
      </w:r>
      <w:r w:rsidR="00906F34" w:rsidRPr="00295637">
        <w:rPr>
          <w:rFonts w:ascii="Times New Roman" w:hAnsi="Times New Roman"/>
          <w:szCs w:val="24"/>
          <w:lang w:val="en-US"/>
        </w:rPr>
        <w:t xml:space="preserve"> </w:t>
      </w:r>
      <w:r>
        <w:rPr>
          <w:rFonts w:ascii="Times New Roman" w:hAnsi="Times New Roman"/>
          <w:szCs w:val="24"/>
          <w:lang w:val="en-US"/>
        </w:rPr>
        <w:t>извјештај</w:t>
      </w:r>
      <w:r w:rsidR="00906F34" w:rsidRPr="00295637">
        <w:rPr>
          <w:rFonts w:ascii="Times New Roman" w:hAnsi="Times New Roman"/>
          <w:szCs w:val="24"/>
          <w:lang w:val="en-US"/>
        </w:rPr>
        <w:t xml:space="preserve"> </w:t>
      </w:r>
      <w:r>
        <w:rPr>
          <w:rFonts w:ascii="Times New Roman" w:hAnsi="Times New Roman"/>
          <w:szCs w:val="24"/>
          <w:lang w:val="en-US"/>
        </w:rPr>
        <w:t>из</w:t>
      </w:r>
      <w:r w:rsidR="00906F34" w:rsidRPr="00295637">
        <w:rPr>
          <w:rFonts w:ascii="Times New Roman" w:hAnsi="Times New Roman"/>
          <w:szCs w:val="24"/>
          <w:lang w:val="en-US"/>
        </w:rPr>
        <w:t xml:space="preserve"> 2022. </w:t>
      </w:r>
      <w:r>
        <w:rPr>
          <w:rFonts w:ascii="Times New Roman" w:hAnsi="Times New Roman"/>
          <w:szCs w:val="24"/>
          <w:lang w:val="en-US"/>
        </w:rPr>
        <w:t>године</w:t>
      </w:r>
      <w:r w:rsidR="00906F34" w:rsidRPr="00295637">
        <w:rPr>
          <w:rFonts w:ascii="Times New Roman" w:hAnsi="Times New Roman"/>
          <w:szCs w:val="24"/>
          <w:lang w:val="en-US"/>
        </w:rPr>
        <w:t xml:space="preserve"> – 89,8) </w:t>
      </w:r>
      <w:r>
        <w:rPr>
          <w:rFonts w:ascii="Times New Roman" w:hAnsi="Times New Roman"/>
          <w:szCs w:val="24"/>
          <w:lang w:val="en-US"/>
        </w:rPr>
        <w:t>и</w:t>
      </w:r>
      <w:r w:rsidR="00906F34" w:rsidRPr="00295637">
        <w:rPr>
          <w:rFonts w:ascii="Times New Roman" w:hAnsi="Times New Roman"/>
          <w:szCs w:val="24"/>
          <w:lang w:val="en-US"/>
        </w:rPr>
        <w:t xml:space="preserve"> 98,5 </w:t>
      </w:r>
      <w:r>
        <w:rPr>
          <w:rFonts w:ascii="Times New Roman" w:hAnsi="Times New Roman"/>
          <w:szCs w:val="24"/>
          <w:lang w:val="en-US"/>
        </w:rPr>
        <w:t>бода</w:t>
      </w:r>
      <w:r w:rsidR="00906F34" w:rsidRPr="00295637">
        <w:rPr>
          <w:rFonts w:ascii="Times New Roman" w:hAnsi="Times New Roman"/>
          <w:szCs w:val="24"/>
          <w:lang w:val="en-US"/>
        </w:rPr>
        <w:t xml:space="preserve"> </w:t>
      </w:r>
      <w:r>
        <w:rPr>
          <w:rFonts w:ascii="Times New Roman" w:hAnsi="Times New Roman"/>
          <w:szCs w:val="24"/>
          <w:lang w:val="en-US"/>
        </w:rPr>
        <w:t>у</w:t>
      </w:r>
      <w:r w:rsidR="00906F34" w:rsidRPr="00295637">
        <w:rPr>
          <w:rFonts w:ascii="Times New Roman" w:hAnsi="Times New Roman"/>
          <w:szCs w:val="24"/>
          <w:lang w:val="en-US"/>
        </w:rPr>
        <w:t xml:space="preserve"> </w:t>
      </w:r>
      <w:r>
        <w:rPr>
          <w:rFonts w:ascii="Times New Roman" w:hAnsi="Times New Roman"/>
          <w:szCs w:val="24"/>
          <w:lang w:val="en-US"/>
        </w:rPr>
        <w:t>поддомену</w:t>
      </w:r>
      <w:r w:rsidR="00906F34" w:rsidRPr="00295637">
        <w:rPr>
          <w:rFonts w:ascii="Times New Roman" w:hAnsi="Times New Roman"/>
          <w:szCs w:val="24"/>
          <w:lang w:val="en-US"/>
        </w:rPr>
        <w:t xml:space="preserve"> </w:t>
      </w:r>
      <w:r w:rsidR="008F6871" w:rsidRPr="00295637">
        <w:rPr>
          <w:rFonts w:ascii="Times New Roman" w:hAnsi="Times New Roman"/>
          <w:szCs w:val="24"/>
          <w:lang w:val="en-US"/>
        </w:rPr>
        <w:t>“</w:t>
      </w:r>
      <w:r>
        <w:rPr>
          <w:rFonts w:ascii="Times New Roman" w:hAnsi="Times New Roman"/>
          <w:szCs w:val="24"/>
          <w:lang w:val="en-US"/>
        </w:rPr>
        <w:t>Понашање</w:t>
      </w:r>
      <w:r w:rsidR="008F6871" w:rsidRPr="00295637">
        <w:rPr>
          <w:rFonts w:ascii="Times New Roman" w:hAnsi="Times New Roman"/>
          <w:szCs w:val="24"/>
          <w:lang w:val="en-US"/>
        </w:rPr>
        <w:t>”</w:t>
      </w:r>
      <w:r w:rsidR="00906F34" w:rsidRPr="00295637">
        <w:rPr>
          <w:rFonts w:ascii="Times New Roman" w:hAnsi="Times New Roman"/>
          <w:szCs w:val="24"/>
          <w:lang w:val="en-US"/>
        </w:rPr>
        <w:t xml:space="preserve"> (0,8 </w:t>
      </w:r>
      <w:r>
        <w:rPr>
          <w:rFonts w:ascii="Times New Roman" w:hAnsi="Times New Roman"/>
          <w:szCs w:val="24"/>
          <w:lang w:val="en-US"/>
        </w:rPr>
        <w:t>бодова</w:t>
      </w:r>
      <w:r w:rsidR="00906F34" w:rsidRPr="00295637">
        <w:rPr>
          <w:rFonts w:ascii="Times New Roman" w:hAnsi="Times New Roman"/>
          <w:szCs w:val="24"/>
          <w:lang w:val="en-US"/>
        </w:rPr>
        <w:t xml:space="preserve"> </w:t>
      </w:r>
      <w:r>
        <w:rPr>
          <w:rFonts w:ascii="Times New Roman" w:hAnsi="Times New Roman"/>
          <w:szCs w:val="24"/>
          <w:lang w:val="en-US"/>
        </w:rPr>
        <w:t>ниже</w:t>
      </w:r>
      <w:r w:rsidR="00906F34" w:rsidRPr="00295637">
        <w:rPr>
          <w:rFonts w:ascii="Times New Roman" w:hAnsi="Times New Roman"/>
          <w:szCs w:val="24"/>
          <w:lang w:val="en-US"/>
        </w:rPr>
        <w:t xml:space="preserve"> </w:t>
      </w:r>
      <w:r>
        <w:rPr>
          <w:rFonts w:ascii="Times New Roman" w:hAnsi="Times New Roman"/>
          <w:szCs w:val="24"/>
          <w:lang w:val="en-US"/>
        </w:rPr>
        <w:t>у</w:t>
      </w:r>
      <w:r w:rsidR="00906F34" w:rsidRPr="00295637">
        <w:rPr>
          <w:rFonts w:ascii="Times New Roman" w:hAnsi="Times New Roman"/>
          <w:szCs w:val="24"/>
          <w:lang w:val="en-US"/>
        </w:rPr>
        <w:t xml:space="preserve"> </w:t>
      </w:r>
      <w:r>
        <w:rPr>
          <w:rFonts w:ascii="Times New Roman" w:hAnsi="Times New Roman"/>
          <w:szCs w:val="24"/>
          <w:lang w:val="en-US"/>
        </w:rPr>
        <w:t>односу</w:t>
      </w:r>
      <w:r w:rsidR="00906F34" w:rsidRPr="00295637">
        <w:rPr>
          <w:rFonts w:ascii="Times New Roman" w:hAnsi="Times New Roman"/>
          <w:szCs w:val="24"/>
          <w:lang w:val="en-US"/>
        </w:rPr>
        <w:t xml:space="preserve"> </w:t>
      </w:r>
      <w:r>
        <w:rPr>
          <w:rFonts w:ascii="Times New Roman" w:hAnsi="Times New Roman"/>
          <w:szCs w:val="24"/>
          <w:lang w:val="en-US"/>
        </w:rPr>
        <w:t>на</w:t>
      </w:r>
      <w:r w:rsidR="00906F34" w:rsidRPr="00295637">
        <w:rPr>
          <w:rFonts w:ascii="Times New Roman" w:hAnsi="Times New Roman"/>
          <w:szCs w:val="24"/>
          <w:lang w:val="en-US"/>
        </w:rPr>
        <w:t xml:space="preserve"> </w:t>
      </w:r>
      <w:r>
        <w:rPr>
          <w:rFonts w:ascii="Times New Roman" w:hAnsi="Times New Roman"/>
          <w:szCs w:val="24"/>
          <w:lang w:val="en-US"/>
        </w:rPr>
        <w:t>извјештај</w:t>
      </w:r>
      <w:r w:rsidR="00906F34" w:rsidRPr="00295637">
        <w:rPr>
          <w:rFonts w:ascii="Times New Roman" w:hAnsi="Times New Roman"/>
          <w:szCs w:val="24"/>
          <w:lang w:val="en-US"/>
        </w:rPr>
        <w:t xml:space="preserve"> </w:t>
      </w:r>
      <w:r>
        <w:rPr>
          <w:rFonts w:ascii="Times New Roman" w:hAnsi="Times New Roman"/>
          <w:szCs w:val="24"/>
          <w:lang w:val="en-US"/>
        </w:rPr>
        <w:t>из</w:t>
      </w:r>
      <w:r w:rsidR="00906F34" w:rsidRPr="00295637">
        <w:rPr>
          <w:rFonts w:ascii="Times New Roman" w:hAnsi="Times New Roman"/>
          <w:szCs w:val="24"/>
          <w:lang w:val="en-US"/>
        </w:rPr>
        <w:t xml:space="preserve"> 2022. </w:t>
      </w:r>
      <w:r>
        <w:rPr>
          <w:rFonts w:ascii="Times New Roman" w:hAnsi="Times New Roman"/>
          <w:szCs w:val="24"/>
          <w:lang w:val="en-US"/>
        </w:rPr>
        <w:t>године</w:t>
      </w:r>
      <w:r w:rsidR="008A5A21">
        <w:rPr>
          <w:rFonts w:ascii="Times New Roman" w:hAnsi="Times New Roman"/>
          <w:szCs w:val="24"/>
          <w:lang w:val="en-US"/>
        </w:rPr>
        <w:t xml:space="preserve"> – 97,7). </w:t>
      </w:r>
      <w:r>
        <w:rPr>
          <w:rFonts w:ascii="Times New Roman" w:hAnsi="Times New Roman"/>
          <w:szCs w:val="24"/>
          <w:lang w:val="en-US"/>
        </w:rPr>
        <w:t>Ово</w:t>
      </w:r>
      <w:r w:rsidR="008A5A21">
        <w:rPr>
          <w:rFonts w:ascii="Times New Roman" w:hAnsi="Times New Roman"/>
          <w:szCs w:val="24"/>
          <w:lang w:val="en-US"/>
        </w:rPr>
        <w:t xml:space="preserve"> </w:t>
      </w:r>
      <w:r>
        <w:rPr>
          <w:rFonts w:ascii="Times New Roman" w:hAnsi="Times New Roman"/>
          <w:szCs w:val="24"/>
          <w:lang w:val="en-US"/>
        </w:rPr>
        <w:t>се</w:t>
      </w:r>
      <w:r w:rsidR="008A5A21">
        <w:rPr>
          <w:rFonts w:ascii="Times New Roman" w:hAnsi="Times New Roman"/>
          <w:szCs w:val="24"/>
          <w:lang w:val="en-US"/>
        </w:rPr>
        <w:t xml:space="preserve"> </w:t>
      </w:r>
      <w:r>
        <w:rPr>
          <w:rFonts w:ascii="Times New Roman" w:hAnsi="Times New Roman"/>
          <w:szCs w:val="24"/>
          <w:lang w:val="en-US"/>
        </w:rPr>
        <w:t>упоређује</w:t>
      </w:r>
      <w:r w:rsidR="008A5A21">
        <w:rPr>
          <w:rFonts w:ascii="Times New Roman" w:hAnsi="Times New Roman"/>
          <w:szCs w:val="24"/>
          <w:lang w:val="en-US"/>
        </w:rPr>
        <w:t xml:space="preserve"> </w:t>
      </w:r>
      <w:r>
        <w:rPr>
          <w:rFonts w:ascii="Times New Roman" w:hAnsi="Times New Roman"/>
          <w:szCs w:val="24"/>
          <w:lang w:val="en-US"/>
        </w:rPr>
        <w:t>са</w:t>
      </w:r>
      <w:r w:rsidR="00906F34" w:rsidRPr="00295637">
        <w:rPr>
          <w:rFonts w:ascii="Times New Roman" w:hAnsi="Times New Roman"/>
          <w:szCs w:val="24"/>
          <w:lang w:val="en-US"/>
        </w:rPr>
        <w:t xml:space="preserve"> </w:t>
      </w:r>
      <w:r>
        <w:rPr>
          <w:rFonts w:ascii="Times New Roman" w:hAnsi="Times New Roman"/>
          <w:szCs w:val="24"/>
          <w:lang w:val="en-US"/>
        </w:rPr>
        <w:t>просјечним</w:t>
      </w:r>
      <w:r w:rsidR="00906F34" w:rsidRPr="00295637">
        <w:rPr>
          <w:rFonts w:ascii="Times New Roman" w:hAnsi="Times New Roman"/>
          <w:szCs w:val="24"/>
          <w:lang w:val="en-US"/>
        </w:rPr>
        <w:t xml:space="preserve"> </w:t>
      </w:r>
      <w:r>
        <w:rPr>
          <w:rFonts w:ascii="Times New Roman" w:hAnsi="Times New Roman"/>
          <w:szCs w:val="24"/>
          <w:lang w:val="en-US"/>
        </w:rPr>
        <w:t>резултатима</w:t>
      </w:r>
      <w:r w:rsidR="00906F34" w:rsidRPr="00295637">
        <w:rPr>
          <w:rFonts w:ascii="Times New Roman" w:hAnsi="Times New Roman"/>
          <w:szCs w:val="24"/>
          <w:lang w:val="en-US"/>
        </w:rPr>
        <w:t xml:space="preserve"> </w:t>
      </w:r>
      <w:r>
        <w:rPr>
          <w:rFonts w:ascii="Times New Roman" w:hAnsi="Times New Roman"/>
          <w:szCs w:val="24"/>
          <w:lang w:val="en-US"/>
        </w:rPr>
        <w:t>за</w:t>
      </w:r>
      <w:r w:rsidR="00906F34" w:rsidRPr="00295637">
        <w:rPr>
          <w:rFonts w:ascii="Times New Roman" w:hAnsi="Times New Roman"/>
          <w:szCs w:val="24"/>
          <w:lang w:val="en-US"/>
        </w:rPr>
        <w:t xml:space="preserve"> </w:t>
      </w:r>
      <w:r>
        <w:rPr>
          <w:rFonts w:ascii="Times New Roman" w:hAnsi="Times New Roman"/>
          <w:szCs w:val="24"/>
          <w:lang w:val="en-US"/>
        </w:rPr>
        <w:t>ЕУ</w:t>
      </w:r>
      <w:r w:rsidR="00906F34" w:rsidRPr="00295637">
        <w:rPr>
          <w:rFonts w:ascii="Times New Roman" w:hAnsi="Times New Roman"/>
          <w:szCs w:val="24"/>
          <w:lang w:val="en-US"/>
        </w:rPr>
        <w:t xml:space="preserve"> </w:t>
      </w:r>
      <w:r>
        <w:rPr>
          <w:rFonts w:ascii="Times New Roman" w:hAnsi="Times New Roman"/>
          <w:szCs w:val="24"/>
          <w:lang w:val="en-US"/>
        </w:rPr>
        <w:t>за</w:t>
      </w:r>
      <w:r w:rsidR="00906F34" w:rsidRPr="00295637">
        <w:rPr>
          <w:rFonts w:ascii="Times New Roman" w:hAnsi="Times New Roman"/>
          <w:szCs w:val="24"/>
          <w:lang w:val="en-US"/>
        </w:rPr>
        <w:t xml:space="preserve"> 2023. </w:t>
      </w:r>
      <w:r>
        <w:rPr>
          <w:rFonts w:ascii="Times New Roman" w:hAnsi="Times New Roman"/>
          <w:szCs w:val="24"/>
          <w:lang w:val="en-US"/>
        </w:rPr>
        <w:t>годину</w:t>
      </w:r>
      <w:r w:rsidR="00906F34" w:rsidRPr="00295637">
        <w:rPr>
          <w:rFonts w:ascii="Times New Roman" w:hAnsi="Times New Roman"/>
          <w:szCs w:val="24"/>
          <w:lang w:val="en-US"/>
        </w:rPr>
        <w:t xml:space="preserve"> </w:t>
      </w:r>
      <w:r>
        <w:rPr>
          <w:rFonts w:ascii="Times New Roman" w:hAnsi="Times New Roman"/>
          <w:szCs w:val="24"/>
          <w:lang w:val="en-US"/>
        </w:rPr>
        <w:t>од</w:t>
      </w:r>
      <w:r w:rsidR="00906F34" w:rsidRPr="00295637">
        <w:rPr>
          <w:rFonts w:ascii="Times New Roman" w:hAnsi="Times New Roman"/>
          <w:szCs w:val="24"/>
          <w:lang w:val="en-US"/>
        </w:rPr>
        <w:t xml:space="preserve"> 91,7 </w:t>
      </w:r>
      <w:r>
        <w:rPr>
          <w:rFonts w:ascii="Times New Roman" w:hAnsi="Times New Roman"/>
          <w:szCs w:val="24"/>
          <w:lang w:val="en-US"/>
        </w:rPr>
        <w:t>односно</w:t>
      </w:r>
      <w:r w:rsidR="00906F34" w:rsidRPr="00295637">
        <w:rPr>
          <w:rFonts w:ascii="Times New Roman" w:hAnsi="Times New Roman"/>
          <w:szCs w:val="24"/>
          <w:lang w:val="en-US"/>
        </w:rPr>
        <w:t xml:space="preserve"> 97,3 </w:t>
      </w:r>
      <w:r>
        <w:rPr>
          <w:rFonts w:ascii="Times New Roman" w:hAnsi="Times New Roman"/>
          <w:szCs w:val="24"/>
          <w:lang w:val="en-US"/>
        </w:rPr>
        <w:t>за</w:t>
      </w:r>
      <w:r w:rsidR="00906F34" w:rsidRPr="00295637">
        <w:rPr>
          <w:rFonts w:ascii="Times New Roman" w:hAnsi="Times New Roman"/>
          <w:szCs w:val="24"/>
          <w:lang w:val="en-US"/>
        </w:rPr>
        <w:t xml:space="preserve"> </w:t>
      </w:r>
      <w:r>
        <w:rPr>
          <w:rFonts w:ascii="Times New Roman" w:hAnsi="Times New Roman"/>
          <w:szCs w:val="24"/>
          <w:lang w:val="en-US"/>
        </w:rPr>
        <w:t>поддомене</w:t>
      </w:r>
      <w:r w:rsidR="00906F34" w:rsidRPr="00295637">
        <w:rPr>
          <w:rFonts w:ascii="Times New Roman" w:hAnsi="Times New Roman"/>
          <w:szCs w:val="24"/>
          <w:lang w:val="en-US"/>
        </w:rPr>
        <w:t xml:space="preserve"> </w:t>
      </w:r>
      <w:r w:rsidR="008F6871" w:rsidRPr="00295637">
        <w:rPr>
          <w:rFonts w:ascii="Times New Roman" w:hAnsi="Times New Roman"/>
          <w:szCs w:val="24"/>
          <w:lang w:val="en-US"/>
        </w:rPr>
        <w:t>“</w:t>
      </w:r>
      <w:r>
        <w:rPr>
          <w:rFonts w:ascii="Times New Roman" w:hAnsi="Times New Roman"/>
          <w:szCs w:val="24"/>
          <w:lang w:val="en-US"/>
        </w:rPr>
        <w:t>Здравствено</w:t>
      </w:r>
      <w:r w:rsidR="00906F34" w:rsidRPr="00295637">
        <w:rPr>
          <w:rFonts w:ascii="Times New Roman" w:hAnsi="Times New Roman"/>
          <w:szCs w:val="24"/>
          <w:lang w:val="en-US"/>
        </w:rPr>
        <w:t xml:space="preserve"> </w:t>
      </w:r>
      <w:r>
        <w:rPr>
          <w:rFonts w:ascii="Times New Roman" w:hAnsi="Times New Roman"/>
          <w:szCs w:val="24"/>
          <w:lang w:val="en-US"/>
        </w:rPr>
        <w:t>стање</w:t>
      </w:r>
      <w:r w:rsidR="00906F34" w:rsidRPr="00295637">
        <w:rPr>
          <w:rFonts w:ascii="Times New Roman" w:hAnsi="Times New Roman"/>
          <w:szCs w:val="24"/>
          <w:lang w:val="en-US"/>
        </w:rPr>
        <w:t xml:space="preserve"> </w:t>
      </w:r>
      <w:r>
        <w:rPr>
          <w:rFonts w:ascii="Times New Roman" w:hAnsi="Times New Roman"/>
          <w:szCs w:val="24"/>
          <w:lang w:val="en-US"/>
        </w:rPr>
        <w:t>и</w:t>
      </w:r>
      <w:r w:rsidR="00906F34" w:rsidRPr="00295637">
        <w:rPr>
          <w:rFonts w:ascii="Times New Roman" w:hAnsi="Times New Roman"/>
          <w:szCs w:val="24"/>
          <w:lang w:val="en-US"/>
        </w:rPr>
        <w:t xml:space="preserve"> </w:t>
      </w:r>
      <w:r>
        <w:rPr>
          <w:rFonts w:ascii="Times New Roman" w:hAnsi="Times New Roman"/>
          <w:szCs w:val="24"/>
          <w:lang w:val="en-US"/>
        </w:rPr>
        <w:t>понашање</w:t>
      </w:r>
      <w:r w:rsidR="008F6871" w:rsidRPr="00295637">
        <w:rPr>
          <w:rFonts w:ascii="Times New Roman" w:hAnsi="Times New Roman"/>
          <w:szCs w:val="24"/>
          <w:lang w:val="en-US"/>
        </w:rPr>
        <w:t>”</w:t>
      </w:r>
      <w:r w:rsidR="00906F34" w:rsidRPr="00295637">
        <w:rPr>
          <w:rFonts w:ascii="Times New Roman" w:hAnsi="Times New Roman"/>
          <w:szCs w:val="24"/>
          <w:lang w:val="en-US"/>
        </w:rPr>
        <w:t xml:space="preserve">. </w:t>
      </w:r>
      <w:r>
        <w:rPr>
          <w:rFonts w:ascii="Times New Roman" w:hAnsi="Times New Roman"/>
          <w:szCs w:val="24"/>
          <w:lang w:val="en-US"/>
        </w:rPr>
        <w:t>Поддомен</w:t>
      </w:r>
      <w:r w:rsidR="00906F34" w:rsidRPr="00295637">
        <w:rPr>
          <w:rFonts w:ascii="Times New Roman" w:hAnsi="Times New Roman"/>
          <w:szCs w:val="24"/>
          <w:lang w:val="en-US"/>
        </w:rPr>
        <w:t xml:space="preserve"> </w:t>
      </w:r>
      <w:r>
        <w:rPr>
          <w:rFonts w:ascii="Times New Roman" w:hAnsi="Times New Roman"/>
          <w:szCs w:val="24"/>
          <w:lang w:val="en-US"/>
        </w:rPr>
        <w:t>који</w:t>
      </w:r>
      <w:r w:rsidR="00906F34" w:rsidRPr="00295637">
        <w:rPr>
          <w:rFonts w:ascii="Times New Roman" w:hAnsi="Times New Roman"/>
          <w:szCs w:val="24"/>
          <w:lang w:val="en-US"/>
        </w:rPr>
        <w:t xml:space="preserve"> </w:t>
      </w:r>
      <w:r>
        <w:rPr>
          <w:rFonts w:ascii="Times New Roman" w:hAnsi="Times New Roman"/>
          <w:szCs w:val="24"/>
          <w:lang w:val="en-US"/>
        </w:rPr>
        <w:t>се</w:t>
      </w:r>
      <w:r w:rsidR="00906F34" w:rsidRPr="00295637">
        <w:rPr>
          <w:rFonts w:ascii="Times New Roman" w:hAnsi="Times New Roman"/>
          <w:szCs w:val="24"/>
          <w:lang w:val="en-US"/>
        </w:rPr>
        <w:t xml:space="preserve"> </w:t>
      </w:r>
      <w:r>
        <w:rPr>
          <w:rFonts w:ascii="Times New Roman" w:hAnsi="Times New Roman"/>
          <w:szCs w:val="24"/>
          <w:lang w:val="en-US"/>
        </w:rPr>
        <w:t>односи</w:t>
      </w:r>
      <w:r w:rsidR="00906F34" w:rsidRPr="00295637">
        <w:rPr>
          <w:rFonts w:ascii="Times New Roman" w:hAnsi="Times New Roman"/>
          <w:szCs w:val="24"/>
          <w:lang w:val="en-US"/>
        </w:rPr>
        <w:t xml:space="preserve"> </w:t>
      </w:r>
      <w:r>
        <w:rPr>
          <w:rFonts w:ascii="Times New Roman" w:hAnsi="Times New Roman"/>
          <w:szCs w:val="24"/>
          <w:lang w:val="en-US"/>
        </w:rPr>
        <w:t>на</w:t>
      </w:r>
      <w:r w:rsidR="00906F34" w:rsidRPr="00295637">
        <w:rPr>
          <w:rFonts w:ascii="Times New Roman" w:hAnsi="Times New Roman"/>
          <w:szCs w:val="24"/>
          <w:lang w:val="en-US"/>
        </w:rPr>
        <w:t xml:space="preserve"> </w:t>
      </w:r>
      <w:r>
        <w:rPr>
          <w:rFonts w:ascii="Times New Roman" w:hAnsi="Times New Roman"/>
          <w:szCs w:val="24"/>
          <w:lang w:val="en-US"/>
        </w:rPr>
        <w:t>здравствено</w:t>
      </w:r>
      <w:r w:rsidR="00906F34" w:rsidRPr="00295637">
        <w:rPr>
          <w:rFonts w:ascii="Times New Roman" w:hAnsi="Times New Roman"/>
          <w:szCs w:val="24"/>
          <w:lang w:val="en-US"/>
        </w:rPr>
        <w:t xml:space="preserve"> </w:t>
      </w:r>
      <w:r>
        <w:rPr>
          <w:rFonts w:ascii="Times New Roman" w:hAnsi="Times New Roman"/>
          <w:szCs w:val="24"/>
          <w:lang w:val="en-US"/>
        </w:rPr>
        <w:t>стање</w:t>
      </w:r>
      <w:r w:rsidR="00906F34" w:rsidRPr="00295637">
        <w:rPr>
          <w:rFonts w:ascii="Times New Roman" w:hAnsi="Times New Roman"/>
          <w:szCs w:val="24"/>
          <w:lang w:val="en-US"/>
        </w:rPr>
        <w:t xml:space="preserve"> </w:t>
      </w:r>
      <w:r>
        <w:rPr>
          <w:rFonts w:ascii="Times New Roman" w:hAnsi="Times New Roman"/>
          <w:szCs w:val="24"/>
          <w:lang w:val="en-US"/>
        </w:rPr>
        <w:t>укључује</w:t>
      </w:r>
      <w:r w:rsidR="00906F34" w:rsidRPr="00295637">
        <w:rPr>
          <w:rFonts w:ascii="Times New Roman" w:hAnsi="Times New Roman"/>
          <w:szCs w:val="24"/>
          <w:lang w:val="en-US"/>
        </w:rPr>
        <w:t xml:space="preserve"> </w:t>
      </w:r>
      <w:r>
        <w:rPr>
          <w:rFonts w:ascii="Times New Roman" w:hAnsi="Times New Roman"/>
          <w:szCs w:val="24"/>
          <w:lang w:val="en-US"/>
        </w:rPr>
        <w:t>показатељ</w:t>
      </w:r>
      <w:r w:rsidR="00906F34" w:rsidRPr="00295637">
        <w:rPr>
          <w:rFonts w:ascii="Times New Roman" w:hAnsi="Times New Roman"/>
          <w:szCs w:val="24"/>
          <w:lang w:val="en-US"/>
        </w:rPr>
        <w:t xml:space="preserve"> </w:t>
      </w:r>
      <w:r>
        <w:rPr>
          <w:rFonts w:ascii="Times New Roman" w:hAnsi="Times New Roman"/>
          <w:szCs w:val="24"/>
          <w:lang w:val="en-US"/>
        </w:rPr>
        <w:t>субјективне</w:t>
      </w:r>
      <w:r w:rsidR="00906F34" w:rsidRPr="00295637">
        <w:rPr>
          <w:rFonts w:ascii="Times New Roman" w:hAnsi="Times New Roman"/>
          <w:szCs w:val="24"/>
          <w:lang w:val="en-US"/>
        </w:rPr>
        <w:t xml:space="preserve"> </w:t>
      </w:r>
      <w:r>
        <w:rPr>
          <w:rFonts w:ascii="Times New Roman" w:hAnsi="Times New Roman"/>
          <w:szCs w:val="24"/>
          <w:lang w:val="en-US"/>
        </w:rPr>
        <w:t>процјене</w:t>
      </w:r>
      <w:r w:rsidR="00906F34" w:rsidRPr="00295637">
        <w:rPr>
          <w:rFonts w:ascii="Times New Roman" w:hAnsi="Times New Roman"/>
          <w:szCs w:val="24"/>
          <w:lang w:val="en-US"/>
        </w:rPr>
        <w:t xml:space="preserve"> </w:t>
      </w:r>
      <w:r>
        <w:rPr>
          <w:rFonts w:ascii="Times New Roman" w:hAnsi="Times New Roman"/>
          <w:szCs w:val="24"/>
          <w:lang w:val="en-US"/>
        </w:rPr>
        <w:t>здравља</w:t>
      </w:r>
      <w:r w:rsidR="00906F34" w:rsidRPr="00295637">
        <w:rPr>
          <w:rFonts w:ascii="Times New Roman" w:hAnsi="Times New Roman"/>
          <w:szCs w:val="24"/>
          <w:lang w:val="en-US"/>
        </w:rPr>
        <w:t xml:space="preserve"> </w:t>
      </w:r>
      <w:r>
        <w:rPr>
          <w:rFonts w:ascii="Times New Roman" w:hAnsi="Times New Roman"/>
          <w:szCs w:val="24"/>
          <w:lang w:val="en-US"/>
        </w:rPr>
        <w:t>жена</w:t>
      </w:r>
      <w:r w:rsidR="00906F34" w:rsidRPr="00295637">
        <w:rPr>
          <w:rFonts w:ascii="Times New Roman" w:hAnsi="Times New Roman"/>
          <w:szCs w:val="24"/>
          <w:lang w:val="en-US"/>
        </w:rPr>
        <w:t xml:space="preserve"> </w:t>
      </w:r>
      <w:r>
        <w:rPr>
          <w:rFonts w:ascii="Times New Roman" w:hAnsi="Times New Roman"/>
          <w:szCs w:val="24"/>
          <w:lang w:val="en-US"/>
        </w:rPr>
        <w:t>и</w:t>
      </w:r>
      <w:r w:rsidR="00906F34" w:rsidRPr="00295637">
        <w:rPr>
          <w:rFonts w:ascii="Times New Roman" w:hAnsi="Times New Roman"/>
          <w:szCs w:val="24"/>
          <w:lang w:val="en-US"/>
        </w:rPr>
        <w:t xml:space="preserve"> </w:t>
      </w:r>
      <w:r>
        <w:rPr>
          <w:rFonts w:ascii="Times New Roman" w:hAnsi="Times New Roman"/>
          <w:szCs w:val="24"/>
          <w:lang w:val="en-US"/>
        </w:rPr>
        <w:t>мушкараца</w:t>
      </w:r>
      <w:r w:rsidR="00906F34" w:rsidRPr="00295637">
        <w:rPr>
          <w:rFonts w:ascii="Times New Roman" w:hAnsi="Times New Roman"/>
          <w:szCs w:val="24"/>
          <w:lang w:val="en-US"/>
        </w:rPr>
        <w:t xml:space="preserve">, </w:t>
      </w:r>
      <w:r>
        <w:rPr>
          <w:rFonts w:ascii="Times New Roman" w:hAnsi="Times New Roman"/>
          <w:szCs w:val="24"/>
          <w:lang w:val="en-US"/>
        </w:rPr>
        <w:t>очекивани</w:t>
      </w:r>
      <w:r w:rsidR="00906F34" w:rsidRPr="00295637">
        <w:rPr>
          <w:rFonts w:ascii="Times New Roman" w:hAnsi="Times New Roman"/>
          <w:szCs w:val="24"/>
          <w:lang w:val="en-US"/>
        </w:rPr>
        <w:t xml:space="preserve"> </w:t>
      </w:r>
      <w:r>
        <w:rPr>
          <w:rFonts w:ascii="Times New Roman" w:hAnsi="Times New Roman"/>
          <w:szCs w:val="24"/>
          <w:lang w:val="en-US"/>
        </w:rPr>
        <w:t>животни</w:t>
      </w:r>
      <w:r w:rsidR="00906F34" w:rsidRPr="00295637">
        <w:rPr>
          <w:rFonts w:ascii="Times New Roman" w:hAnsi="Times New Roman"/>
          <w:szCs w:val="24"/>
          <w:lang w:val="en-US"/>
        </w:rPr>
        <w:t xml:space="preserve"> </w:t>
      </w:r>
      <w:r>
        <w:rPr>
          <w:rFonts w:ascii="Times New Roman" w:hAnsi="Times New Roman"/>
          <w:szCs w:val="24"/>
          <w:lang w:val="en-US"/>
        </w:rPr>
        <w:t>вијек</w:t>
      </w:r>
      <w:r w:rsidR="00906F34" w:rsidRPr="00295637">
        <w:rPr>
          <w:rFonts w:ascii="Times New Roman" w:hAnsi="Times New Roman"/>
          <w:szCs w:val="24"/>
          <w:lang w:val="en-US"/>
        </w:rPr>
        <w:t xml:space="preserve"> </w:t>
      </w:r>
      <w:r>
        <w:rPr>
          <w:rFonts w:ascii="Times New Roman" w:hAnsi="Times New Roman"/>
          <w:szCs w:val="24"/>
          <w:lang w:val="en-US"/>
        </w:rPr>
        <w:t>при</w:t>
      </w:r>
      <w:r w:rsidR="00906F34" w:rsidRPr="00295637">
        <w:rPr>
          <w:rFonts w:ascii="Times New Roman" w:hAnsi="Times New Roman"/>
          <w:szCs w:val="24"/>
          <w:lang w:val="en-US"/>
        </w:rPr>
        <w:t xml:space="preserve"> </w:t>
      </w:r>
      <w:r>
        <w:rPr>
          <w:rFonts w:ascii="Times New Roman" w:hAnsi="Times New Roman"/>
          <w:szCs w:val="24"/>
          <w:lang w:val="en-US"/>
        </w:rPr>
        <w:t>рођењу</w:t>
      </w:r>
      <w:r w:rsidR="00906F34" w:rsidRPr="00295637">
        <w:rPr>
          <w:rFonts w:ascii="Times New Roman" w:hAnsi="Times New Roman"/>
          <w:szCs w:val="24"/>
          <w:lang w:val="en-US"/>
        </w:rPr>
        <w:t xml:space="preserve"> </w:t>
      </w:r>
      <w:r>
        <w:rPr>
          <w:rFonts w:ascii="Times New Roman" w:hAnsi="Times New Roman"/>
          <w:szCs w:val="24"/>
          <w:lang w:val="en-US"/>
        </w:rPr>
        <w:t>и</w:t>
      </w:r>
      <w:r w:rsidR="00906F34" w:rsidRPr="00295637">
        <w:rPr>
          <w:rFonts w:ascii="Times New Roman" w:hAnsi="Times New Roman"/>
          <w:szCs w:val="24"/>
          <w:lang w:val="en-US"/>
        </w:rPr>
        <w:t xml:space="preserve"> </w:t>
      </w:r>
      <w:r>
        <w:rPr>
          <w:rFonts w:ascii="Times New Roman" w:hAnsi="Times New Roman"/>
          <w:szCs w:val="24"/>
          <w:lang w:val="en-US"/>
        </w:rPr>
        <w:t>број</w:t>
      </w:r>
      <w:r w:rsidR="00906F34" w:rsidRPr="00295637">
        <w:rPr>
          <w:rFonts w:ascii="Times New Roman" w:hAnsi="Times New Roman"/>
          <w:szCs w:val="24"/>
          <w:lang w:val="en-US"/>
        </w:rPr>
        <w:t xml:space="preserve"> </w:t>
      </w:r>
      <w:r>
        <w:rPr>
          <w:rFonts w:ascii="Times New Roman" w:hAnsi="Times New Roman"/>
          <w:szCs w:val="24"/>
          <w:lang w:val="en-US"/>
        </w:rPr>
        <w:t>очекиваних</w:t>
      </w:r>
      <w:r w:rsidR="00906F34" w:rsidRPr="00295637">
        <w:rPr>
          <w:rFonts w:ascii="Times New Roman" w:hAnsi="Times New Roman"/>
          <w:szCs w:val="24"/>
          <w:lang w:val="en-US"/>
        </w:rPr>
        <w:t xml:space="preserve"> </w:t>
      </w:r>
      <w:r>
        <w:rPr>
          <w:rFonts w:ascii="Times New Roman" w:hAnsi="Times New Roman"/>
          <w:szCs w:val="24"/>
          <w:lang w:val="en-US"/>
        </w:rPr>
        <w:t>година</w:t>
      </w:r>
      <w:r w:rsidR="00906F34" w:rsidRPr="00295637">
        <w:rPr>
          <w:rFonts w:ascii="Times New Roman" w:hAnsi="Times New Roman"/>
          <w:szCs w:val="24"/>
          <w:lang w:val="en-US"/>
        </w:rPr>
        <w:t xml:space="preserve"> </w:t>
      </w:r>
      <w:r>
        <w:rPr>
          <w:rFonts w:ascii="Times New Roman" w:hAnsi="Times New Roman"/>
          <w:szCs w:val="24"/>
          <w:lang w:val="en-US"/>
        </w:rPr>
        <w:t>здравог</w:t>
      </w:r>
      <w:r w:rsidR="00906F34" w:rsidRPr="00295637">
        <w:rPr>
          <w:rFonts w:ascii="Times New Roman" w:hAnsi="Times New Roman"/>
          <w:szCs w:val="24"/>
          <w:lang w:val="en-US"/>
        </w:rPr>
        <w:t xml:space="preserve"> </w:t>
      </w:r>
      <w:r>
        <w:rPr>
          <w:rFonts w:ascii="Times New Roman" w:hAnsi="Times New Roman"/>
          <w:szCs w:val="24"/>
          <w:lang w:val="en-US"/>
        </w:rPr>
        <w:t>живота</w:t>
      </w:r>
      <w:r w:rsidR="00906F34" w:rsidRPr="00295637">
        <w:rPr>
          <w:rFonts w:ascii="Times New Roman" w:hAnsi="Times New Roman"/>
          <w:szCs w:val="24"/>
          <w:lang w:val="en-US"/>
        </w:rPr>
        <w:t xml:space="preserve"> </w:t>
      </w:r>
      <w:r>
        <w:rPr>
          <w:rFonts w:ascii="Times New Roman" w:hAnsi="Times New Roman"/>
          <w:szCs w:val="24"/>
          <w:lang w:val="en-US"/>
        </w:rPr>
        <w:t>при</w:t>
      </w:r>
      <w:r w:rsidR="00906F34" w:rsidRPr="00295637">
        <w:rPr>
          <w:rFonts w:ascii="Times New Roman" w:hAnsi="Times New Roman"/>
          <w:szCs w:val="24"/>
          <w:lang w:val="en-US"/>
        </w:rPr>
        <w:t xml:space="preserve"> </w:t>
      </w:r>
      <w:r>
        <w:rPr>
          <w:rFonts w:ascii="Times New Roman" w:hAnsi="Times New Roman"/>
          <w:szCs w:val="24"/>
          <w:lang w:val="en-US"/>
        </w:rPr>
        <w:t>рођењу</w:t>
      </w:r>
      <w:r w:rsidR="00906F34" w:rsidRPr="00295637">
        <w:rPr>
          <w:rFonts w:ascii="Times New Roman" w:hAnsi="Times New Roman"/>
          <w:szCs w:val="24"/>
          <w:lang w:val="en-US"/>
        </w:rPr>
        <w:t xml:space="preserve">. </w:t>
      </w:r>
      <w:r>
        <w:rPr>
          <w:rFonts w:ascii="Times New Roman" w:hAnsi="Times New Roman"/>
          <w:szCs w:val="24"/>
          <w:lang w:val="en-US"/>
        </w:rPr>
        <w:t>Поддомен</w:t>
      </w:r>
      <w:r w:rsidR="00906F34" w:rsidRPr="00295637">
        <w:rPr>
          <w:rFonts w:ascii="Times New Roman" w:hAnsi="Times New Roman"/>
          <w:szCs w:val="24"/>
          <w:lang w:val="en-US"/>
        </w:rPr>
        <w:t xml:space="preserve"> </w:t>
      </w:r>
      <w:r w:rsidR="008F6871" w:rsidRPr="00295637">
        <w:rPr>
          <w:rFonts w:ascii="Times New Roman" w:hAnsi="Times New Roman"/>
          <w:szCs w:val="24"/>
          <w:lang w:val="en-US"/>
        </w:rPr>
        <w:t>“</w:t>
      </w:r>
      <w:r>
        <w:rPr>
          <w:rFonts w:ascii="Times New Roman" w:hAnsi="Times New Roman"/>
          <w:szCs w:val="24"/>
          <w:lang w:val="en-US"/>
        </w:rPr>
        <w:t>Понашање</w:t>
      </w:r>
      <w:r w:rsidR="008F6871" w:rsidRPr="00295637">
        <w:rPr>
          <w:rFonts w:ascii="Times New Roman" w:hAnsi="Times New Roman"/>
          <w:szCs w:val="24"/>
          <w:lang w:val="en-US"/>
        </w:rPr>
        <w:t>”</w:t>
      </w:r>
      <w:r w:rsidR="00906F34" w:rsidRPr="00295637">
        <w:rPr>
          <w:rFonts w:ascii="Times New Roman" w:hAnsi="Times New Roman"/>
          <w:szCs w:val="24"/>
          <w:lang w:val="en-US"/>
        </w:rPr>
        <w:t xml:space="preserve"> </w:t>
      </w:r>
      <w:r>
        <w:rPr>
          <w:rFonts w:ascii="Times New Roman" w:hAnsi="Times New Roman"/>
          <w:szCs w:val="24"/>
          <w:lang w:val="en-US"/>
        </w:rPr>
        <w:t>укључује</w:t>
      </w:r>
      <w:r w:rsidR="00906F34" w:rsidRPr="00295637">
        <w:rPr>
          <w:rFonts w:ascii="Times New Roman" w:hAnsi="Times New Roman"/>
          <w:szCs w:val="24"/>
          <w:lang w:val="en-US"/>
        </w:rPr>
        <w:t xml:space="preserve"> </w:t>
      </w:r>
      <w:r>
        <w:rPr>
          <w:rFonts w:ascii="Times New Roman" w:hAnsi="Times New Roman"/>
          <w:szCs w:val="24"/>
          <w:lang w:val="en-US"/>
        </w:rPr>
        <w:t>показатеље</w:t>
      </w:r>
      <w:r w:rsidR="00906F34" w:rsidRPr="00295637">
        <w:rPr>
          <w:rFonts w:ascii="Times New Roman" w:hAnsi="Times New Roman"/>
          <w:szCs w:val="24"/>
          <w:lang w:val="en-US"/>
        </w:rPr>
        <w:t xml:space="preserve"> </w:t>
      </w:r>
      <w:r>
        <w:rPr>
          <w:rFonts w:ascii="Times New Roman" w:hAnsi="Times New Roman"/>
          <w:szCs w:val="24"/>
          <w:lang w:val="en-US"/>
        </w:rPr>
        <w:t>који</w:t>
      </w:r>
      <w:r w:rsidR="00906F34" w:rsidRPr="00295637">
        <w:rPr>
          <w:rFonts w:ascii="Times New Roman" w:hAnsi="Times New Roman"/>
          <w:szCs w:val="24"/>
          <w:lang w:val="en-US"/>
        </w:rPr>
        <w:t xml:space="preserve"> </w:t>
      </w:r>
      <w:r>
        <w:rPr>
          <w:rFonts w:ascii="Times New Roman" w:hAnsi="Times New Roman"/>
          <w:szCs w:val="24"/>
          <w:lang w:val="en-US"/>
        </w:rPr>
        <w:t>мјере</w:t>
      </w:r>
      <w:r w:rsidR="00906F34" w:rsidRPr="00295637">
        <w:rPr>
          <w:rFonts w:ascii="Times New Roman" w:hAnsi="Times New Roman"/>
          <w:szCs w:val="24"/>
          <w:lang w:val="en-US"/>
        </w:rPr>
        <w:t xml:space="preserve"> </w:t>
      </w:r>
      <w:r>
        <w:rPr>
          <w:rFonts w:ascii="Times New Roman" w:hAnsi="Times New Roman"/>
          <w:szCs w:val="24"/>
          <w:lang w:val="en-US"/>
        </w:rPr>
        <w:t>преваленцу</w:t>
      </w:r>
      <w:r w:rsidR="00906F34" w:rsidRPr="00295637">
        <w:rPr>
          <w:rFonts w:ascii="Times New Roman" w:hAnsi="Times New Roman"/>
          <w:szCs w:val="24"/>
          <w:lang w:val="en-US"/>
        </w:rPr>
        <w:t xml:space="preserve"> </w:t>
      </w:r>
      <w:r>
        <w:rPr>
          <w:rFonts w:ascii="Times New Roman" w:hAnsi="Times New Roman"/>
          <w:szCs w:val="24"/>
          <w:lang w:val="en-US"/>
        </w:rPr>
        <w:t>модела</w:t>
      </w:r>
      <w:r w:rsidR="00906F34" w:rsidRPr="00295637">
        <w:rPr>
          <w:rFonts w:ascii="Times New Roman" w:hAnsi="Times New Roman"/>
          <w:szCs w:val="24"/>
          <w:lang w:val="en-US"/>
        </w:rPr>
        <w:t xml:space="preserve"> </w:t>
      </w:r>
      <w:r>
        <w:rPr>
          <w:rFonts w:ascii="Times New Roman" w:hAnsi="Times New Roman"/>
          <w:szCs w:val="24"/>
          <w:lang w:val="en-US"/>
        </w:rPr>
        <w:t>понашања</w:t>
      </w:r>
      <w:r w:rsidR="00906F34" w:rsidRPr="00295637">
        <w:rPr>
          <w:rFonts w:ascii="Times New Roman" w:hAnsi="Times New Roman"/>
          <w:szCs w:val="24"/>
          <w:lang w:val="en-US"/>
        </w:rPr>
        <w:t xml:space="preserve"> </w:t>
      </w:r>
      <w:r>
        <w:rPr>
          <w:rFonts w:ascii="Times New Roman" w:hAnsi="Times New Roman"/>
          <w:szCs w:val="24"/>
          <w:lang w:val="en-US"/>
        </w:rPr>
        <w:t>који</w:t>
      </w:r>
      <w:r w:rsidR="00906F34" w:rsidRPr="00295637">
        <w:rPr>
          <w:rFonts w:ascii="Times New Roman" w:hAnsi="Times New Roman"/>
          <w:szCs w:val="24"/>
          <w:lang w:val="en-US"/>
        </w:rPr>
        <w:t xml:space="preserve"> </w:t>
      </w:r>
      <w:r>
        <w:rPr>
          <w:rFonts w:ascii="Times New Roman" w:hAnsi="Times New Roman"/>
          <w:szCs w:val="24"/>
          <w:lang w:val="en-US"/>
        </w:rPr>
        <w:t>представљају</w:t>
      </w:r>
      <w:r w:rsidR="00906F34" w:rsidRPr="00295637">
        <w:rPr>
          <w:rFonts w:ascii="Times New Roman" w:hAnsi="Times New Roman"/>
          <w:szCs w:val="24"/>
          <w:lang w:val="en-US"/>
        </w:rPr>
        <w:t xml:space="preserve"> </w:t>
      </w:r>
      <w:r>
        <w:rPr>
          <w:rFonts w:ascii="Times New Roman" w:hAnsi="Times New Roman"/>
          <w:szCs w:val="24"/>
          <w:lang w:val="en-US"/>
        </w:rPr>
        <w:t>ризик</w:t>
      </w:r>
      <w:r w:rsidR="00906F34" w:rsidRPr="00295637">
        <w:rPr>
          <w:rFonts w:ascii="Times New Roman" w:hAnsi="Times New Roman"/>
          <w:szCs w:val="24"/>
          <w:lang w:val="en-US"/>
        </w:rPr>
        <w:t xml:space="preserve"> </w:t>
      </w:r>
      <w:r>
        <w:rPr>
          <w:rFonts w:ascii="Times New Roman" w:hAnsi="Times New Roman"/>
          <w:szCs w:val="24"/>
          <w:lang w:val="en-US"/>
        </w:rPr>
        <w:t>за</w:t>
      </w:r>
      <w:r w:rsidR="00906F34" w:rsidRPr="00295637">
        <w:rPr>
          <w:rFonts w:ascii="Times New Roman" w:hAnsi="Times New Roman"/>
          <w:szCs w:val="24"/>
          <w:lang w:val="en-US"/>
        </w:rPr>
        <w:t xml:space="preserve"> </w:t>
      </w:r>
      <w:r>
        <w:rPr>
          <w:rFonts w:ascii="Times New Roman" w:hAnsi="Times New Roman"/>
          <w:szCs w:val="24"/>
          <w:lang w:val="en-US"/>
        </w:rPr>
        <w:t>здравље</w:t>
      </w:r>
      <w:r w:rsidR="00906F34" w:rsidRPr="00295637">
        <w:rPr>
          <w:rFonts w:ascii="Times New Roman" w:hAnsi="Times New Roman"/>
          <w:szCs w:val="24"/>
          <w:lang w:val="en-US"/>
        </w:rPr>
        <w:t xml:space="preserve">, </w:t>
      </w:r>
      <w:r>
        <w:rPr>
          <w:rFonts w:ascii="Times New Roman" w:hAnsi="Times New Roman"/>
          <w:szCs w:val="24"/>
          <w:lang w:val="en-US"/>
        </w:rPr>
        <w:t>као</w:t>
      </w:r>
      <w:r w:rsidR="00906F34" w:rsidRPr="00295637">
        <w:rPr>
          <w:rFonts w:ascii="Times New Roman" w:hAnsi="Times New Roman"/>
          <w:szCs w:val="24"/>
          <w:lang w:val="en-US"/>
        </w:rPr>
        <w:t xml:space="preserve"> </w:t>
      </w:r>
      <w:r>
        <w:rPr>
          <w:rFonts w:ascii="Times New Roman" w:hAnsi="Times New Roman"/>
          <w:szCs w:val="24"/>
          <w:lang w:val="en-US"/>
        </w:rPr>
        <w:t>што</w:t>
      </w:r>
      <w:r w:rsidR="00906F34" w:rsidRPr="00295637">
        <w:rPr>
          <w:rFonts w:ascii="Times New Roman" w:hAnsi="Times New Roman"/>
          <w:szCs w:val="24"/>
          <w:lang w:val="en-US"/>
        </w:rPr>
        <w:t xml:space="preserve"> </w:t>
      </w:r>
      <w:r>
        <w:rPr>
          <w:rFonts w:ascii="Times New Roman" w:hAnsi="Times New Roman"/>
          <w:szCs w:val="24"/>
          <w:lang w:val="en-US"/>
        </w:rPr>
        <w:t>су</w:t>
      </w:r>
      <w:r w:rsidR="00906F34" w:rsidRPr="00295637">
        <w:rPr>
          <w:rFonts w:ascii="Times New Roman" w:hAnsi="Times New Roman"/>
          <w:szCs w:val="24"/>
          <w:lang w:val="en-US"/>
        </w:rPr>
        <w:t xml:space="preserve"> </w:t>
      </w:r>
      <w:r>
        <w:rPr>
          <w:rFonts w:ascii="Times New Roman" w:hAnsi="Times New Roman"/>
          <w:szCs w:val="24"/>
          <w:lang w:val="en-US"/>
        </w:rPr>
        <w:t>пушење</w:t>
      </w:r>
      <w:r w:rsidR="00906F34" w:rsidRPr="00295637">
        <w:rPr>
          <w:rFonts w:ascii="Times New Roman" w:hAnsi="Times New Roman"/>
          <w:szCs w:val="24"/>
          <w:lang w:val="en-US"/>
        </w:rPr>
        <w:t xml:space="preserve"> </w:t>
      </w:r>
      <w:r>
        <w:rPr>
          <w:rFonts w:ascii="Times New Roman" w:hAnsi="Times New Roman"/>
          <w:szCs w:val="24"/>
          <w:lang w:val="en-US"/>
        </w:rPr>
        <w:t>и</w:t>
      </w:r>
      <w:r w:rsidR="00906F34" w:rsidRPr="00295637">
        <w:rPr>
          <w:rFonts w:ascii="Times New Roman" w:hAnsi="Times New Roman"/>
          <w:szCs w:val="24"/>
          <w:lang w:val="en-US"/>
        </w:rPr>
        <w:t xml:space="preserve"> </w:t>
      </w:r>
      <w:r>
        <w:rPr>
          <w:rFonts w:ascii="Times New Roman" w:hAnsi="Times New Roman"/>
          <w:szCs w:val="24"/>
          <w:lang w:val="en-US"/>
        </w:rPr>
        <w:t>конзумирање</w:t>
      </w:r>
      <w:r w:rsidR="00906F34" w:rsidRPr="00295637">
        <w:rPr>
          <w:rFonts w:ascii="Times New Roman" w:hAnsi="Times New Roman"/>
          <w:szCs w:val="24"/>
          <w:lang w:val="en-US"/>
        </w:rPr>
        <w:t xml:space="preserve"> </w:t>
      </w:r>
      <w:r>
        <w:rPr>
          <w:rFonts w:ascii="Times New Roman" w:hAnsi="Times New Roman"/>
          <w:szCs w:val="24"/>
          <w:lang w:val="en-US"/>
        </w:rPr>
        <w:t>алкохола</w:t>
      </w:r>
      <w:r w:rsidR="00906F34" w:rsidRPr="00295637">
        <w:rPr>
          <w:rFonts w:ascii="Times New Roman" w:hAnsi="Times New Roman"/>
          <w:szCs w:val="24"/>
          <w:lang w:val="en-US"/>
        </w:rPr>
        <w:t xml:space="preserve">, </w:t>
      </w:r>
      <w:r>
        <w:rPr>
          <w:rFonts w:ascii="Times New Roman" w:hAnsi="Times New Roman"/>
          <w:szCs w:val="24"/>
          <w:lang w:val="en-US"/>
        </w:rPr>
        <w:t>те</w:t>
      </w:r>
      <w:r w:rsidR="00906F34" w:rsidRPr="00295637">
        <w:rPr>
          <w:rFonts w:ascii="Times New Roman" w:hAnsi="Times New Roman"/>
          <w:szCs w:val="24"/>
          <w:lang w:val="en-US"/>
        </w:rPr>
        <w:t xml:space="preserve"> </w:t>
      </w:r>
      <w:r>
        <w:rPr>
          <w:rFonts w:ascii="Times New Roman" w:hAnsi="Times New Roman"/>
          <w:szCs w:val="24"/>
          <w:lang w:val="en-US"/>
        </w:rPr>
        <w:t>преваленцу</w:t>
      </w:r>
      <w:r w:rsidR="00906F34" w:rsidRPr="00295637">
        <w:rPr>
          <w:rFonts w:ascii="Times New Roman" w:hAnsi="Times New Roman"/>
          <w:szCs w:val="24"/>
          <w:lang w:val="en-US"/>
        </w:rPr>
        <w:t xml:space="preserve"> </w:t>
      </w:r>
      <w:r>
        <w:rPr>
          <w:rFonts w:ascii="Times New Roman" w:hAnsi="Times New Roman"/>
          <w:szCs w:val="24"/>
          <w:lang w:val="en-US"/>
        </w:rPr>
        <w:t>модела</w:t>
      </w:r>
      <w:r w:rsidR="00906F34" w:rsidRPr="00295637">
        <w:rPr>
          <w:rFonts w:ascii="Times New Roman" w:hAnsi="Times New Roman"/>
          <w:szCs w:val="24"/>
          <w:lang w:val="en-US"/>
        </w:rPr>
        <w:t xml:space="preserve"> </w:t>
      </w:r>
      <w:r>
        <w:rPr>
          <w:rFonts w:ascii="Times New Roman" w:hAnsi="Times New Roman"/>
          <w:szCs w:val="24"/>
          <w:lang w:val="en-US"/>
        </w:rPr>
        <w:t>здравог</w:t>
      </w:r>
      <w:r w:rsidR="00906F34" w:rsidRPr="00295637">
        <w:rPr>
          <w:rFonts w:ascii="Times New Roman" w:hAnsi="Times New Roman"/>
          <w:szCs w:val="24"/>
          <w:lang w:val="en-US"/>
        </w:rPr>
        <w:t xml:space="preserve"> </w:t>
      </w:r>
      <w:r>
        <w:rPr>
          <w:rFonts w:ascii="Times New Roman" w:hAnsi="Times New Roman"/>
          <w:szCs w:val="24"/>
          <w:lang w:val="en-US"/>
        </w:rPr>
        <w:t>понашања</w:t>
      </w:r>
      <w:r w:rsidR="00906F34" w:rsidRPr="00295637">
        <w:rPr>
          <w:rFonts w:ascii="Times New Roman" w:hAnsi="Times New Roman"/>
          <w:szCs w:val="24"/>
          <w:lang w:val="en-US"/>
        </w:rPr>
        <w:t xml:space="preserve"> – </w:t>
      </w:r>
      <w:r>
        <w:rPr>
          <w:rFonts w:ascii="Times New Roman" w:hAnsi="Times New Roman"/>
          <w:szCs w:val="24"/>
          <w:lang w:val="en-US"/>
        </w:rPr>
        <w:t>конзумирање</w:t>
      </w:r>
      <w:r w:rsidR="00906F34" w:rsidRPr="00295637">
        <w:rPr>
          <w:rFonts w:ascii="Times New Roman" w:hAnsi="Times New Roman"/>
          <w:szCs w:val="24"/>
          <w:lang w:val="en-US"/>
        </w:rPr>
        <w:t xml:space="preserve"> </w:t>
      </w:r>
      <w:r>
        <w:rPr>
          <w:rFonts w:ascii="Times New Roman" w:hAnsi="Times New Roman"/>
          <w:szCs w:val="24"/>
          <w:lang w:val="en-US"/>
        </w:rPr>
        <w:t>воћа</w:t>
      </w:r>
      <w:r w:rsidR="00906F34" w:rsidRPr="00295637">
        <w:rPr>
          <w:rFonts w:ascii="Times New Roman" w:hAnsi="Times New Roman"/>
          <w:szCs w:val="24"/>
          <w:lang w:val="en-US"/>
        </w:rPr>
        <w:t xml:space="preserve"> </w:t>
      </w:r>
      <w:r>
        <w:rPr>
          <w:rFonts w:ascii="Times New Roman" w:hAnsi="Times New Roman"/>
          <w:szCs w:val="24"/>
          <w:lang w:val="en-US"/>
        </w:rPr>
        <w:t>и</w:t>
      </w:r>
      <w:r w:rsidR="00906F34" w:rsidRPr="00295637">
        <w:rPr>
          <w:rFonts w:ascii="Times New Roman" w:hAnsi="Times New Roman"/>
          <w:szCs w:val="24"/>
          <w:lang w:val="en-US"/>
        </w:rPr>
        <w:t xml:space="preserve"> </w:t>
      </w:r>
      <w:r>
        <w:rPr>
          <w:rFonts w:ascii="Times New Roman" w:hAnsi="Times New Roman"/>
          <w:szCs w:val="24"/>
          <w:lang w:val="en-US"/>
        </w:rPr>
        <w:t>поврћа</w:t>
      </w:r>
      <w:r w:rsidR="00906F34" w:rsidRPr="00295637">
        <w:rPr>
          <w:rFonts w:ascii="Times New Roman" w:hAnsi="Times New Roman"/>
          <w:szCs w:val="24"/>
          <w:lang w:val="en-US"/>
        </w:rPr>
        <w:t xml:space="preserve"> </w:t>
      </w:r>
      <w:r>
        <w:rPr>
          <w:rFonts w:ascii="Times New Roman" w:hAnsi="Times New Roman"/>
          <w:szCs w:val="24"/>
          <w:lang w:val="en-US"/>
        </w:rPr>
        <w:t>и</w:t>
      </w:r>
      <w:r w:rsidR="00906F34" w:rsidRPr="00295637">
        <w:rPr>
          <w:rFonts w:ascii="Times New Roman" w:hAnsi="Times New Roman"/>
          <w:szCs w:val="24"/>
          <w:lang w:val="en-US"/>
        </w:rPr>
        <w:t xml:space="preserve"> </w:t>
      </w:r>
      <w:r w:rsidR="00937482">
        <w:rPr>
          <w:rFonts w:ascii="Times New Roman" w:hAnsi="Times New Roman"/>
          <w:szCs w:val="24"/>
          <w:lang w:val="sr-Cyrl-BA"/>
        </w:rPr>
        <w:t>физичка</w:t>
      </w:r>
      <w:r w:rsidR="00906F34" w:rsidRPr="00295637">
        <w:rPr>
          <w:rFonts w:ascii="Times New Roman" w:hAnsi="Times New Roman"/>
          <w:szCs w:val="24"/>
          <w:lang w:val="en-US"/>
        </w:rPr>
        <w:t xml:space="preserve"> </w:t>
      </w:r>
      <w:r>
        <w:rPr>
          <w:rFonts w:ascii="Times New Roman" w:hAnsi="Times New Roman"/>
          <w:szCs w:val="24"/>
          <w:lang w:val="en-US"/>
        </w:rPr>
        <w:t>активност</w:t>
      </w:r>
      <w:r w:rsidR="00906F34" w:rsidRPr="00295637">
        <w:rPr>
          <w:rFonts w:ascii="Times New Roman" w:hAnsi="Times New Roman"/>
          <w:szCs w:val="24"/>
          <w:lang w:val="en-US"/>
        </w:rPr>
        <w:t>.</w:t>
      </w:r>
    </w:p>
    <w:p w:rsidR="00304BB1" w:rsidRPr="00295637" w:rsidRDefault="00304BB1" w:rsidP="0086268D">
      <w:pPr>
        <w:autoSpaceDE w:val="0"/>
        <w:autoSpaceDN w:val="0"/>
        <w:adjustRightInd w:val="0"/>
        <w:jc w:val="both"/>
        <w:rPr>
          <w:rFonts w:ascii="Times New Roman" w:hAnsi="Times New Roman"/>
          <w:szCs w:val="24"/>
          <w:lang w:val="en-US"/>
        </w:rPr>
      </w:pPr>
    </w:p>
    <w:p w:rsidR="00E765E1" w:rsidRPr="00BB210C" w:rsidRDefault="00C6214E" w:rsidP="00BB210C">
      <w:pPr>
        <w:autoSpaceDE w:val="0"/>
        <w:autoSpaceDN w:val="0"/>
        <w:adjustRightInd w:val="0"/>
        <w:jc w:val="both"/>
        <w:rPr>
          <w:rFonts w:ascii="Times New Roman" w:hAnsi="Times New Roman"/>
          <w:szCs w:val="24"/>
          <w:lang w:val="en-US"/>
        </w:rPr>
      </w:pPr>
      <w:r>
        <w:rPr>
          <w:rFonts w:ascii="Times New Roman" w:hAnsi="Times New Roman"/>
          <w:szCs w:val="24"/>
          <w:lang w:val="en-US"/>
        </w:rPr>
        <w:t>Од</w:t>
      </w:r>
      <w:r w:rsidR="00304BB1" w:rsidRPr="00295637">
        <w:rPr>
          <w:rFonts w:ascii="Times New Roman" w:hAnsi="Times New Roman"/>
          <w:szCs w:val="24"/>
          <w:lang w:val="en-US"/>
        </w:rPr>
        <w:t xml:space="preserve"> </w:t>
      </w:r>
      <w:r>
        <w:rPr>
          <w:rFonts w:ascii="Times New Roman" w:hAnsi="Times New Roman"/>
          <w:szCs w:val="24"/>
          <w:lang w:val="en-US"/>
        </w:rPr>
        <w:t>укупног</w:t>
      </w:r>
      <w:r w:rsidR="00304BB1" w:rsidRPr="00295637">
        <w:rPr>
          <w:rFonts w:ascii="Times New Roman" w:hAnsi="Times New Roman"/>
          <w:szCs w:val="24"/>
          <w:lang w:val="en-US"/>
        </w:rPr>
        <w:t xml:space="preserve"> </w:t>
      </w:r>
      <w:r>
        <w:rPr>
          <w:rFonts w:ascii="Times New Roman" w:hAnsi="Times New Roman"/>
          <w:szCs w:val="24"/>
          <w:lang w:val="en-US"/>
        </w:rPr>
        <w:t>броја</w:t>
      </w:r>
      <w:r w:rsidR="00304BB1" w:rsidRPr="00295637">
        <w:rPr>
          <w:rFonts w:ascii="Times New Roman" w:hAnsi="Times New Roman"/>
          <w:szCs w:val="24"/>
          <w:lang w:val="en-US"/>
        </w:rPr>
        <w:t xml:space="preserve"> </w:t>
      </w:r>
      <w:r>
        <w:rPr>
          <w:rFonts w:ascii="Times New Roman" w:hAnsi="Times New Roman"/>
          <w:szCs w:val="24"/>
          <w:lang w:val="en-US"/>
        </w:rPr>
        <w:t>здравствених</w:t>
      </w:r>
      <w:r w:rsidR="00304BB1" w:rsidRPr="00295637">
        <w:rPr>
          <w:rFonts w:ascii="Times New Roman" w:hAnsi="Times New Roman"/>
          <w:szCs w:val="24"/>
          <w:lang w:val="en-US"/>
        </w:rPr>
        <w:t xml:space="preserve"> </w:t>
      </w:r>
      <w:r>
        <w:rPr>
          <w:rFonts w:ascii="Times New Roman" w:hAnsi="Times New Roman"/>
          <w:szCs w:val="24"/>
          <w:lang w:val="en-US"/>
        </w:rPr>
        <w:t>радника</w:t>
      </w:r>
      <w:r w:rsidR="008F6871" w:rsidRPr="00295637">
        <w:rPr>
          <w:rFonts w:ascii="Times New Roman" w:hAnsi="Times New Roman"/>
          <w:szCs w:val="24"/>
          <w:lang w:val="en-US"/>
        </w:rPr>
        <w:t xml:space="preserve"> </w:t>
      </w:r>
      <w:r>
        <w:rPr>
          <w:rFonts w:ascii="Times New Roman" w:hAnsi="Times New Roman"/>
          <w:szCs w:val="24"/>
          <w:lang w:val="en-US"/>
        </w:rPr>
        <w:t>у</w:t>
      </w:r>
      <w:r w:rsidR="008F6871" w:rsidRPr="00295637">
        <w:rPr>
          <w:rFonts w:ascii="Times New Roman" w:hAnsi="Times New Roman"/>
          <w:szCs w:val="24"/>
          <w:lang w:val="en-US"/>
        </w:rPr>
        <w:t xml:space="preserve"> </w:t>
      </w:r>
      <w:r>
        <w:rPr>
          <w:rFonts w:ascii="Times New Roman" w:hAnsi="Times New Roman"/>
          <w:szCs w:val="24"/>
          <w:lang w:val="en-US"/>
        </w:rPr>
        <w:t>јавном</w:t>
      </w:r>
      <w:r w:rsidR="008F6871" w:rsidRPr="00295637">
        <w:rPr>
          <w:rFonts w:ascii="Times New Roman" w:hAnsi="Times New Roman"/>
          <w:szCs w:val="24"/>
          <w:lang w:val="en-US"/>
        </w:rPr>
        <w:t xml:space="preserve"> </w:t>
      </w:r>
      <w:r>
        <w:rPr>
          <w:rFonts w:ascii="Times New Roman" w:hAnsi="Times New Roman"/>
          <w:szCs w:val="24"/>
          <w:lang w:val="en-US"/>
        </w:rPr>
        <w:t>здравству</w:t>
      </w:r>
      <w:r w:rsidR="008F6871" w:rsidRPr="00295637">
        <w:rPr>
          <w:rFonts w:ascii="Times New Roman" w:hAnsi="Times New Roman"/>
          <w:szCs w:val="24"/>
          <w:lang w:val="en-US"/>
        </w:rPr>
        <w:t xml:space="preserve"> </w:t>
      </w:r>
      <w:r>
        <w:rPr>
          <w:rFonts w:ascii="Times New Roman" w:hAnsi="Times New Roman"/>
          <w:szCs w:val="24"/>
          <w:lang w:val="en-US"/>
        </w:rPr>
        <w:t>у</w:t>
      </w:r>
      <w:r w:rsidR="008F6871" w:rsidRPr="00295637">
        <w:rPr>
          <w:rFonts w:ascii="Times New Roman" w:hAnsi="Times New Roman"/>
          <w:szCs w:val="24"/>
          <w:lang w:val="en-US"/>
        </w:rPr>
        <w:t xml:space="preserve"> </w:t>
      </w:r>
      <w:r>
        <w:rPr>
          <w:rFonts w:ascii="Times New Roman" w:hAnsi="Times New Roman"/>
          <w:szCs w:val="24"/>
          <w:lang w:val="en-US"/>
        </w:rPr>
        <w:t>БиХ</w:t>
      </w:r>
      <w:r w:rsidR="00304BB1" w:rsidRPr="00295637">
        <w:rPr>
          <w:rFonts w:ascii="Times New Roman" w:hAnsi="Times New Roman"/>
          <w:szCs w:val="24"/>
          <w:lang w:val="en-US"/>
        </w:rPr>
        <w:t xml:space="preserve"> </w:t>
      </w:r>
      <w:r>
        <w:rPr>
          <w:rFonts w:ascii="Times New Roman" w:hAnsi="Times New Roman"/>
          <w:szCs w:val="24"/>
          <w:lang w:val="en-US"/>
        </w:rPr>
        <w:t>су</w:t>
      </w:r>
      <w:r w:rsidR="00304BB1" w:rsidRPr="00295637">
        <w:rPr>
          <w:rFonts w:ascii="Times New Roman" w:hAnsi="Times New Roman"/>
          <w:szCs w:val="24"/>
          <w:lang w:val="en-US"/>
        </w:rPr>
        <w:t xml:space="preserve"> </w:t>
      </w:r>
      <w:r>
        <w:rPr>
          <w:rFonts w:ascii="Times New Roman" w:hAnsi="Times New Roman"/>
          <w:szCs w:val="24"/>
          <w:lang w:val="en-US"/>
        </w:rPr>
        <w:t>готово</w:t>
      </w:r>
      <w:r w:rsidR="00304BB1" w:rsidRPr="00295637">
        <w:rPr>
          <w:rFonts w:ascii="Times New Roman" w:hAnsi="Times New Roman"/>
          <w:szCs w:val="24"/>
          <w:lang w:val="en-US"/>
        </w:rPr>
        <w:t xml:space="preserve"> ¾ </w:t>
      </w:r>
      <w:r>
        <w:rPr>
          <w:rFonts w:ascii="Times New Roman" w:hAnsi="Times New Roman"/>
          <w:szCs w:val="24"/>
          <w:lang w:val="en-US"/>
        </w:rPr>
        <w:t>биле</w:t>
      </w:r>
      <w:r w:rsidR="00304BB1" w:rsidRPr="00295637">
        <w:rPr>
          <w:rFonts w:ascii="Times New Roman" w:hAnsi="Times New Roman"/>
          <w:szCs w:val="24"/>
          <w:lang w:val="en-US"/>
        </w:rPr>
        <w:t xml:space="preserve"> </w:t>
      </w:r>
      <w:r>
        <w:rPr>
          <w:rFonts w:ascii="Times New Roman" w:hAnsi="Times New Roman"/>
          <w:szCs w:val="24"/>
          <w:lang w:val="en-US"/>
        </w:rPr>
        <w:t>жене</w:t>
      </w:r>
      <w:r w:rsidR="00304BB1" w:rsidRPr="00295637">
        <w:rPr>
          <w:rFonts w:ascii="Times New Roman" w:hAnsi="Times New Roman"/>
          <w:szCs w:val="24"/>
          <w:lang w:val="en-US"/>
        </w:rPr>
        <w:t xml:space="preserve">. </w:t>
      </w:r>
      <w:r>
        <w:rPr>
          <w:rFonts w:ascii="Times New Roman" w:hAnsi="Times New Roman"/>
          <w:szCs w:val="24"/>
          <w:lang w:val="en-US"/>
        </w:rPr>
        <w:t>Докторица</w:t>
      </w:r>
      <w:r w:rsidR="00304BB1" w:rsidRPr="00295637">
        <w:rPr>
          <w:rFonts w:ascii="Times New Roman" w:hAnsi="Times New Roman"/>
          <w:szCs w:val="24"/>
          <w:lang w:val="en-US"/>
        </w:rPr>
        <w:t xml:space="preserve"> </w:t>
      </w:r>
      <w:r>
        <w:rPr>
          <w:rFonts w:ascii="Times New Roman" w:hAnsi="Times New Roman"/>
          <w:szCs w:val="24"/>
          <w:lang w:val="en-US"/>
        </w:rPr>
        <w:t>је</w:t>
      </w:r>
      <w:r w:rsidR="00304BB1" w:rsidRPr="00295637">
        <w:rPr>
          <w:rFonts w:ascii="Times New Roman" w:hAnsi="Times New Roman"/>
          <w:szCs w:val="24"/>
          <w:lang w:val="en-US"/>
        </w:rPr>
        <w:t xml:space="preserve"> </w:t>
      </w:r>
      <w:r>
        <w:rPr>
          <w:rFonts w:ascii="Times New Roman" w:hAnsi="Times New Roman"/>
          <w:szCs w:val="24"/>
          <w:lang w:val="en-US"/>
        </w:rPr>
        <w:t>било</w:t>
      </w:r>
      <w:r w:rsidR="00304BB1" w:rsidRPr="00295637">
        <w:rPr>
          <w:rFonts w:ascii="Times New Roman" w:hAnsi="Times New Roman"/>
          <w:szCs w:val="24"/>
          <w:lang w:val="en-US"/>
        </w:rPr>
        <w:t xml:space="preserve"> 63% </w:t>
      </w:r>
      <w:r>
        <w:rPr>
          <w:rFonts w:ascii="Times New Roman" w:hAnsi="Times New Roman"/>
          <w:szCs w:val="24"/>
          <w:lang w:val="en-US"/>
        </w:rPr>
        <w:t>у</w:t>
      </w:r>
      <w:r w:rsidR="00304BB1" w:rsidRPr="00295637">
        <w:rPr>
          <w:rFonts w:ascii="Times New Roman" w:hAnsi="Times New Roman"/>
          <w:szCs w:val="24"/>
          <w:lang w:val="en-US"/>
        </w:rPr>
        <w:t xml:space="preserve"> </w:t>
      </w:r>
      <w:r>
        <w:rPr>
          <w:rFonts w:ascii="Times New Roman" w:hAnsi="Times New Roman"/>
          <w:szCs w:val="24"/>
          <w:lang w:val="en-US"/>
        </w:rPr>
        <w:t>односу</w:t>
      </w:r>
      <w:r w:rsidR="00304BB1" w:rsidRPr="00295637">
        <w:rPr>
          <w:rFonts w:ascii="Times New Roman" w:hAnsi="Times New Roman"/>
          <w:szCs w:val="24"/>
          <w:lang w:val="en-US"/>
        </w:rPr>
        <w:t xml:space="preserve"> </w:t>
      </w:r>
      <w:r>
        <w:rPr>
          <w:rFonts w:ascii="Times New Roman" w:hAnsi="Times New Roman"/>
          <w:szCs w:val="24"/>
          <w:lang w:val="en-US"/>
        </w:rPr>
        <w:t>на</w:t>
      </w:r>
      <w:r w:rsidR="00304BB1" w:rsidRPr="00295637">
        <w:rPr>
          <w:rFonts w:ascii="Times New Roman" w:hAnsi="Times New Roman"/>
          <w:szCs w:val="24"/>
          <w:lang w:val="en-US"/>
        </w:rPr>
        <w:t xml:space="preserve"> 37% </w:t>
      </w:r>
      <w:r>
        <w:rPr>
          <w:rFonts w:ascii="Times New Roman" w:hAnsi="Times New Roman"/>
          <w:szCs w:val="24"/>
          <w:lang w:val="en-US"/>
        </w:rPr>
        <w:t>мушког</w:t>
      </w:r>
      <w:r w:rsidR="00304BB1" w:rsidRPr="00295637">
        <w:rPr>
          <w:rFonts w:ascii="Times New Roman" w:hAnsi="Times New Roman"/>
          <w:szCs w:val="24"/>
          <w:lang w:val="en-US"/>
        </w:rPr>
        <w:t xml:space="preserve"> </w:t>
      </w:r>
      <w:r>
        <w:rPr>
          <w:rFonts w:ascii="Times New Roman" w:hAnsi="Times New Roman"/>
          <w:szCs w:val="24"/>
          <w:lang w:val="en-US"/>
        </w:rPr>
        <w:t>пола</w:t>
      </w:r>
      <w:r w:rsidR="008A5A21">
        <w:rPr>
          <w:rFonts w:ascii="Times New Roman" w:hAnsi="Times New Roman"/>
          <w:szCs w:val="24"/>
          <w:lang w:val="en-US"/>
        </w:rPr>
        <w:t xml:space="preserve">, </w:t>
      </w:r>
      <w:r>
        <w:rPr>
          <w:rFonts w:ascii="Times New Roman" w:hAnsi="Times New Roman"/>
          <w:szCs w:val="24"/>
          <w:lang w:val="en-US"/>
        </w:rPr>
        <w:t>док</w:t>
      </w:r>
      <w:r w:rsidR="008A5A21">
        <w:rPr>
          <w:rFonts w:ascii="Times New Roman" w:hAnsi="Times New Roman"/>
          <w:szCs w:val="24"/>
          <w:lang w:val="en-US"/>
        </w:rPr>
        <w:t xml:space="preserve"> </w:t>
      </w:r>
      <w:r>
        <w:rPr>
          <w:rFonts w:ascii="Times New Roman" w:hAnsi="Times New Roman"/>
          <w:szCs w:val="24"/>
          <w:lang w:val="en-US"/>
        </w:rPr>
        <w:t>је</w:t>
      </w:r>
      <w:r w:rsidR="008A5A21">
        <w:rPr>
          <w:rFonts w:ascii="Times New Roman" w:hAnsi="Times New Roman"/>
          <w:szCs w:val="24"/>
          <w:lang w:val="en-US"/>
        </w:rPr>
        <w:t xml:space="preserve"> </w:t>
      </w:r>
      <w:r>
        <w:rPr>
          <w:rFonts w:ascii="Times New Roman" w:hAnsi="Times New Roman"/>
          <w:szCs w:val="24"/>
          <w:lang w:val="en-US"/>
        </w:rPr>
        <w:t>медицинских</w:t>
      </w:r>
      <w:r w:rsidR="008A5A21">
        <w:rPr>
          <w:rFonts w:ascii="Times New Roman" w:hAnsi="Times New Roman"/>
          <w:szCs w:val="24"/>
          <w:lang w:val="en-US"/>
        </w:rPr>
        <w:t xml:space="preserve"> </w:t>
      </w:r>
      <w:r>
        <w:rPr>
          <w:rFonts w:ascii="Times New Roman" w:hAnsi="Times New Roman"/>
          <w:szCs w:val="24"/>
          <w:lang w:val="en-US"/>
        </w:rPr>
        <w:t>сестара</w:t>
      </w:r>
      <w:r w:rsidR="008A5A21">
        <w:rPr>
          <w:rFonts w:ascii="Times New Roman" w:hAnsi="Times New Roman"/>
          <w:szCs w:val="24"/>
          <w:lang w:val="en-US"/>
        </w:rPr>
        <w:t xml:space="preserve"> </w:t>
      </w:r>
      <w:r>
        <w:rPr>
          <w:rFonts w:ascii="Times New Roman" w:hAnsi="Times New Roman"/>
          <w:szCs w:val="24"/>
          <w:lang w:val="en-US"/>
        </w:rPr>
        <w:t>с</w:t>
      </w:r>
      <w:r w:rsidR="00937482">
        <w:rPr>
          <w:rFonts w:ascii="Times New Roman" w:hAnsi="Times New Roman"/>
          <w:szCs w:val="24"/>
          <w:lang w:val="sr-Cyrl-BA"/>
        </w:rPr>
        <w:t>а</w:t>
      </w:r>
      <w:r w:rsidR="00304BB1" w:rsidRPr="00295637">
        <w:rPr>
          <w:rFonts w:ascii="Times New Roman" w:hAnsi="Times New Roman"/>
          <w:szCs w:val="24"/>
          <w:lang w:val="en-US"/>
        </w:rPr>
        <w:t xml:space="preserve"> </w:t>
      </w:r>
      <w:r>
        <w:rPr>
          <w:rFonts w:ascii="Times New Roman" w:hAnsi="Times New Roman"/>
          <w:szCs w:val="24"/>
          <w:lang w:val="en-US"/>
        </w:rPr>
        <w:t>високом</w:t>
      </w:r>
      <w:r w:rsidR="00304BB1" w:rsidRPr="00295637">
        <w:rPr>
          <w:rFonts w:ascii="Times New Roman" w:hAnsi="Times New Roman"/>
          <w:szCs w:val="24"/>
          <w:lang w:val="en-US"/>
        </w:rPr>
        <w:t xml:space="preserve">, </w:t>
      </w:r>
      <w:r>
        <w:rPr>
          <w:rFonts w:ascii="Times New Roman" w:hAnsi="Times New Roman"/>
          <w:szCs w:val="24"/>
          <w:lang w:val="en-US"/>
        </w:rPr>
        <w:t>вишом</w:t>
      </w:r>
      <w:r w:rsidR="00304BB1" w:rsidRPr="00295637">
        <w:rPr>
          <w:rFonts w:ascii="Times New Roman" w:hAnsi="Times New Roman"/>
          <w:szCs w:val="24"/>
          <w:lang w:val="en-US"/>
        </w:rPr>
        <w:t xml:space="preserve"> </w:t>
      </w:r>
      <w:r>
        <w:rPr>
          <w:rFonts w:ascii="Times New Roman" w:hAnsi="Times New Roman"/>
          <w:szCs w:val="24"/>
          <w:lang w:val="en-US"/>
        </w:rPr>
        <w:t>и</w:t>
      </w:r>
      <w:r w:rsidR="008F6871" w:rsidRPr="00295637">
        <w:rPr>
          <w:rFonts w:ascii="Times New Roman" w:hAnsi="Times New Roman"/>
          <w:szCs w:val="24"/>
          <w:lang w:val="en-US"/>
        </w:rPr>
        <w:t xml:space="preserve"> </w:t>
      </w:r>
      <w:r>
        <w:rPr>
          <w:rFonts w:ascii="Times New Roman" w:hAnsi="Times New Roman"/>
          <w:szCs w:val="24"/>
          <w:lang w:val="en-US"/>
        </w:rPr>
        <w:t>средњом</w:t>
      </w:r>
      <w:r w:rsidR="008F6871" w:rsidRPr="00295637">
        <w:rPr>
          <w:rFonts w:ascii="Times New Roman" w:hAnsi="Times New Roman"/>
          <w:szCs w:val="24"/>
          <w:lang w:val="en-US"/>
        </w:rPr>
        <w:t xml:space="preserve"> </w:t>
      </w:r>
      <w:r>
        <w:rPr>
          <w:rFonts w:ascii="Times New Roman" w:hAnsi="Times New Roman"/>
          <w:szCs w:val="24"/>
          <w:lang w:val="en-US"/>
        </w:rPr>
        <w:t>стручном</w:t>
      </w:r>
      <w:r w:rsidR="008F6871" w:rsidRPr="00295637">
        <w:rPr>
          <w:rFonts w:ascii="Times New Roman" w:hAnsi="Times New Roman"/>
          <w:szCs w:val="24"/>
          <w:lang w:val="en-US"/>
        </w:rPr>
        <w:t xml:space="preserve"> </w:t>
      </w:r>
      <w:r>
        <w:rPr>
          <w:rFonts w:ascii="Times New Roman" w:hAnsi="Times New Roman"/>
          <w:szCs w:val="24"/>
          <w:lang w:val="en-US"/>
        </w:rPr>
        <w:t>спремом</w:t>
      </w:r>
      <w:r w:rsidR="00304BB1" w:rsidRPr="00295637">
        <w:rPr>
          <w:rFonts w:ascii="Times New Roman" w:hAnsi="Times New Roman"/>
          <w:szCs w:val="24"/>
          <w:lang w:val="en-US"/>
        </w:rPr>
        <w:t xml:space="preserve"> </w:t>
      </w:r>
      <w:r>
        <w:rPr>
          <w:rFonts w:ascii="Times New Roman" w:hAnsi="Times New Roman"/>
          <w:szCs w:val="24"/>
          <w:lang w:val="en-US"/>
        </w:rPr>
        <w:t>било</w:t>
      </w:r>
      <w:r w:rsidR="00304BB1" w:rsidRPr="00295637">
        <w:rPr>
          <w:rFonts w:ascii="Times New Roman" w:hAnsi="Times New Roman"/>
          <w:szCs w:val="24"/>
          <w:lang w:val="en-US"/>
        </w:rPr>
        <w:t xml:space="preserve"> 78% </w:t>
      </w:r>
      <w:r>
        <w:rPr>
          <w:rFonts w:ascii="Times New Roman" w:hAnsi="Times New Roman"/>
          <w:szCs w:val="24"/>
          <w:lang w:val="en-US"/>
        </w:rPr>
        <w:t>у</w:t>
      </w:r>
      <w:r w:rsidR="00304BB1" w:rsidRPr="00295637">
        <w:rPr>
          <w:rFonts w:ascii="Times New Roman" w:hAnsi="Times New Roman"/>
          <w:szCs w:val="24"/>
          <w:lang w:val="en-US"/>
        </w:rPr>
        <w:t xml:space="preserve"> </w:t>
      </w:r>
      <w:r>
        <w:rPr>
          <w:rFonts w:ascii="Times New Roman" w:hAnsi="Times New Roman"/>
          <w:szCs w:val="24"/>
          <w:lang w:val="en-US"/>
        </w:rPr>
        <w:t>односу</w:t>
      </w:r>
      <w:r w:rsidR="00304BB1" w:rsidRPr="00295637">
        <w:rPr>
          <w:rFonts w:ascii="Times New Roman" w:hAnsi="Times New Roman"/>
          <w:szCs w:val="24"/>
          <w:lang w:val="en-US"/>
        </w:rPr>
        <w:t xml:space="preserve"> </w:t>
      </w:r>
      <w:r>
        <w:rPr>
          <w:rFonts w:ascii="Times New Roman" w:hAnsi="Times New Roman"/>
          <w:szCs w:val="24"/>
          <w:lang w:val="en-US"/>
        </w:rPr>
        <w:t>на</w:t>
      </w:r>
      <w:r w:rsidR="00304BB1" w:rsidRPr="00295637">
        <w:rPr>
          <w:rFonts w:ascii="Times New Roman" w:hAnsi="Times New Roman"/>
          <w:szCs w:val="24"/>
          <w:lang w:val="en-US"/>
        </w:rPr>
        <w:t xml:space="preserve"> </w:t>
      </w:r>
      <w:r>
        <w:rPr>
          <w:rFonts w:ascii="Times New Roman" w:hAnsi="Times New Roman"/>
          <w:szCs w:val="24"/>
          <w:lang w:val="en-US"/>
        </w:rPr>
        <w:t>медицинске</w:t>
      </w:r>
      <w:r w:rsidR="00304BB1" w:rsidRPr="00295637">
        <w:rPr>
          <w:rFonts w:ascii="Times New Roman" w:hAnsi="Times New Roman"/>
          <w:szCs w:val="24"/>
          <w:lang w:val="en-US"/>
        </w:rPr>
        <w:t xml:space="preserve"> </w:t>
      </w:r>
      <w:r>
        <w:rPr>
          <w:rFonts w:ascii="Times New Roman" w:hAnsi="Times New Roman"/>
          <w:szCs w:val="24"/>
          <w:lang w:val="en-US"/>
        </w:rPr>
        <w:t>техничаре</w:t>
      </w:r>
      <w:r w:rsidR="00304BB1" w:rsidRPr="00295637">
        <w:rPr>
          <w:rFonts w:ascii="Times New Roman" w:hAnsi="Times New Roman"/>
          <w:szCs w:val="24"/>
          <w:lang w:val="en-US"/>
        </w:rPr>
        <w:t>.</w:t>
      </w:r>
    </w:p>
    <w:p w:rsidR="00E765E1" w:rsidRPr="00295637" w:rsidRDefault="00E765E1" w:rsidP="0086268D">
      <w:pPr>
        <w:jc w:val="both"/>
        <w:rPr>
          <w:rFonts w:ascii="Times New Roman" w:hAnsi="Times New Roman"/>
          <w:b/>
          <w:szCs w:val="24"/>
          <w:lang w:val="bs-Latn-BA"/>
        </w:rPr>
      </w:pPr>
    </w:p>
    <w:p w:rsidR="00356C2C" w:rsidRPr="00295637" w:rsidRDefault="00937482" w:rsidP="000A5047">
      <w:pPr>
        <w:tabs>
          <w:tab w:val="left" w:pos="284"/>
          <w:tab w:val="left" w:pos="630"/>
          <w:tab w:val="left" w:pos="1080"/>
        </w:tabs>
        <w:ind w:left="567"/>
        <w:jc w:val="both"/>
        <w:rPr>
          <w:rFonts w:ascii="Times New Roman" w:hAnsi="Times New Roman"/>
          <w:szCs w:val="24"/>
          <w:lang w:val="bs-Latn-BA"/>
        </w:rPr>
      </w:pPr>
      <w:r w:rsidRPr="00937482">
        <w:rPr>
          <w:rFonts w:ascii="Times New Roman" w:hAnsi="Times New Roman"/>
          <w:szCs w:val="24"/>
          <w:lang w:val="bs-Latn-BA"/>
        </w:rPr>
        <w:t>I</w:t>
      </w:r>
      <w:r w:rsidR="000A5047">
        <w:rPr>
          <w:rFonts w:ascii="Times New Roman" w:hAnsi="Times New Roman"/>
          <w:szCs w:val="24"/>
          <w:lang w:val="bs-Latn-BA"/>
        </w:rPr>
        <w:t xml:space="preserve"> 5.1. </w:t>
      </w:r>
      <w:r w:rsidR="00C6214E">
        <w:rPr>
          <w:rFonts w:ascii="Times New Roman" w:hAnsi="Times New Roman"/>
          <w:szCs w:val="24"/>
          <w:lang w:val="bs-Latn-BA"/>
        </w:rPr>
        <w:t>Идентифи</w:t>
      </w:r>
      <w:r>
        <w:rPr>
          <w:rFonts w:ascii="Times New Roman" w:hAnsi="Times New Roman"/>
          <w:szCs w:val="24"/>
          <w:lang w:val="sr-Cyrl-BA"/>
        </w:rPr>
        <w:t>ковање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приоритетних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гендер</w:t>
      </w:r>
      <w:r w:rsidR="00356C2C" w:rsidRPr="00295637">
        <w:rPr>
          <w:rFonts w:ascii="Times New Roman" w:hAnsi="Times New Roman"/>
          <w:szCs w:val="24"/>
          <w:lang w:val="bs-Latn-BA"/>
        </w:rPr>
        <w:t xml:space="preserve"> </w:t>
      </w:r>
      <w:r w:rsidR="00C6214E">
        <w:rPr>
          <w:rFonts w:ascii="Times New Roman" w:hAnsi="Times New Roman"/>
          <w:szCs w:val="24"/>
          <w:lang w:val="bs-Latn-BA"/>
        </w:rPr>
        <w:t>анализе</w:t>
      </w:r>
      <w:r w:rsidR="00356C2C" w:rsidRPr="00295637">
        <w:rPr>
          <w:rFonts w:ascii="Times New Roman" w:hAnsi="Times New Roman"/>
          <w:szCs w:val="24"/>
          <w:lang w:val="bs-Latn-BA"/>
        </w:rPr>
        <w:t xml:space="preserve"> </w:t>
      </w:r>
      <w:r w:rsidR="00C6214E">
        <w:rPr>
          <w:rFonts w:ascii="Times New Roman" w:hAnsi="Times New Roman"/>
          <w:szCs w:val="24"/>
          <w:lang w:val="bs-Latn-BA"/>
        </w:rPr>
        <w:t>стратегија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акционих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планова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других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аката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здравствене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заштите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превенције</w:t>
      </w:r>
      <w:r w:rsidR="00356C2C" w:rsidRPr="00295637">
        <w:rPr>
          <w:rFonts w:ascii="Times New Roman" w:hAnsi="Times New Roman"/>
          <w:szCs w:val="24"/>
          <w:lang w:val="bs-Latn-BA"/>
        </w:rPr>
        <w:t xml:space="preserve">, </w:t>
      </w:r>
      <w:r>
        <w:rPr>
          <w:rFonts w:ascii="Times New Roman" w:hAnsi="Times New Roman"/>
          <w:szCs w:val="24"/>
          <w:lang w:val="sr-Cyrl-BA"/>
        </w:rPr>
        <w:t>с</w:t>
      </w:r>
      <w:r w:rsidR="00356C2C" w:rsidRPr="00295637">
        <w:rPr>
          <w:rFonts w:ascii="Times New Roman" w:hAnsi="Times New Roman"/>
          <w:szCs w:val="24"/>
          <w:lang w:val="bs-Latn-BA"/>
        </w:rPr>
        <w:t xml:space="preserve"> </w:t>
      </w:r>
      <w:r w:rsidR="00C6214E">
        <w:rPr>
          <w:rFonts w:ascii="Times New Roman" w:hAnsi="Times New Roman"/>
          <w:szCs w:val="24"/>
          <w:lang w:val="bs-Latn-BA"/>
        </w:rPr>
        <w:t>циљ</w:t>
      </w:r>
      <w:r>
        <w:rPr>
          <w:rFonts w:ascii="Times New Roman" w:hAnsi="Times New Roman"/>
          <w:szCs w:val="24"/>
          <w:lang w:val="sr-Cyrl-BA"/>
        </w:rPr>
        <w:t>ем</w:t>
      </w:r>
      <w:r w:rsidR="00356C2C" w:rsidRPr="00295637">
        <w:rPr>
          <w:rFonts w:ascii="Times New Roman" w:hAnsi="Times New Roman"/>
          <w:szCs w:val="24"/>
          <w:lang w:val="bs-Latn-BA"/>
        </w:rPr>
        <w:t xml:space="preserve"> </w:t>
      </w:r>
      <w:r w:rsidR="00C6214E">
        <w:rPr>
          <w:rFonts w:ascii="Times New Roman" w:hAnsi="Times New Roman"/>
          <w:szCs w:val="24"/>
          <w:lang w:val="bs-Latn-BA"/>
        </w:rPr>
        <w:t>увођења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примјене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домаћих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овим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утврђивања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недостатака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предности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стварних</w:t>
      </w:r>
      <w:r w:rsidR="008A5A21">
        <w:rPr>
          <w:rFonts w:ascii="Times New Roman" w:hAnsi="Times New Roman"/>
          <w:szCs w:val="24"/>
          <w:lang w:val="bs-Latn-BA"/>
        </w:rPr>
        <w:t xml:space="preserve"> </w:t>
      </w:r>
      <w:r w:rsidR="00C6214E">
        <w:rPr>
          <w:rFonts w:ascii="Times New Roman" w:hAnsi="Times New Roman"/>
          <w:szCs w:val="24"/>
          <w:lang w:val="bs-Latn-BA"/>
        </w:rPr>
        <w:t>потреба</w:t>
      </w:r>
      <w:r w:rsidR="008A5A21">
        <w:rPr>
          <w:rFonts w:ascii="Times New Roman" w:hAnsi="Times New Roman"/>
          <w:szCs w:val="24"/>
          <w:lang w:val="bs-Latn-BA"/>
        </w:rPr>
        <w:t xml:space="preserve"> </w:t>
      </w:r>
      <w:r w:rsidR="00C6214E">
        <w:rPr>
          <w:rFonts w:ascii="Times New Roman" w:hAnsi="Times New Roman"/>
          <w:szCs w:val="24"/>
          <w:lang w:val="bs-Latn-BA"/>
        </w:rPr>
        <w:t>и</w:t>
      </w:r>
      <w:r w:rsidR="008A5A21">
        <w:rPr>
          <w:rFonts w:ascii="Times New Roman" w:hAnsi="Times New Roman"/>
          <w:szCs w:val="24"/>
          <w:lang w:val="bs-Latn-BA"/>
        </w:rPr>
        <w:t xml:space="preserve"> </w:t>
      </w:r>
      <w:r w:rsidR="00C6214E">
        <w:rPr>
          <w:rFonts w:ascii="Times New Roman" w:hAnsi="Times New Roman"/>
          <w:szCs w:val="24"/>
          <w:lang w:val="bs-Latn-BA"/>
        </w:rPr>
        <w:t>могућности</w:t>
      </w:r>
      <w:r w:rsidR="008A5A21">
        <w:rPr>
          <w:rFonts w:ascii="Times New Roman" w:hAnsi="Times New Roman"/>
          <w:szCs w:val="24"/>
          <w:lang w:val="bs-Latn-BA"/>
        </w:rPr>
        <w:t xml:space="preserve"> </w:t>
      </w:r>
      <w:r w:rsidR="00C6214E">
        <w:rPr>
          <w:rFonts w:ascii="Times New Roman" w:hAnsi="Times New Roman"/>
          <w:szCs w:val="24"/>
          <w:lang w:val="bs-Latn-BA"/>
        </w:rPr>
        <w:t>с</w:t>
      </w:r>
      <w:r>
        <w:rPr>
          <w:rFonts w:ascii="Times New Roman" w:hAnsi="Times New Roman"/>
          <w:szCs w:val="24"/>
          <w:lang w:val="sr-Cyrl-BA"/>
        </w:rPr>
        <w:t>а</w:t>
      </w:r>
      <w:r w:rsidR="00356C2C" w:rsidRPr="00295637">
        <w:rPr>
          <w:rFonts w:ascii="Times New Roman" w:hAnsi="Times New Roman"/>
          <w:szCs w:val="24"/>
          <w:lang w:val="bs-Latn-BA"/>
        </w:rPr>
        <w:t xml:space="preserve"> </w:t>
      </w:r>
      <w:r w:rsidR="00C6214E">
        <w:rPr>
          <w:rFonts w:ascii="Times New Roman" w:hAnsi="Times New Roman"/>
          <w:szCs w:val="24"/>
          <w:lang w:val="bs-Latn-BA"/>
        </w:rPr>
        <w:t>аспекта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w:t>
      </w:r>
    </w:p>
    <w:p w:rsidR="00954C30" w:rsidRPr="00295637" w:rsidRDefault="00954C30" w:rsidP="0086268D">
      <w:pPr>
        <w:tabs>
          <w:tab w:val="left" w:pos="284"/>
          <w:tab w:val="left" w:pos="630"/>
          <w:tab w:val="left" w:pos="1080"/>
        </w:tabs>
        <w:jc w:val="both"/>
        <w:rPr>
          <w:rFonts w:ascii="Times New Roman" w:hAnsi="Times New Roman"/>
          <w:szCs w:val="24"/>
        </w:rPr>
      </w:pPr>
    </w:p>
    <w:p w:rsidR="00954C30" w:rsidRPr="00295637" w:rsidRDefault="00C6214E" w:rsidP="0086268D">
      <w:pPr>
        <w:tabs>
          <w:tab w:val="left" w:pos="284"/>
          <w:tab w:val="left" w:pos="630"/>
          <w:tab w:val="left" w:pos="1080"/>
        </w:tabs>
        <w:jc w:val="both"/>
        <w:rPr>
          <w:rFonts w:ascii="Times New Roman" w:hAnsi="Times New Roman"/>
          <w:szCs w:val="24"/>
        </w:rPr>
      </w:pPr>
      <w:r>
        <w:rPr>
          <w:rFonts w:ascii="Times New Roman" w:hAnsi="Times New Roman"/>
          <w:szCs w:val="24"/>
        </w:rPr>
        <w:t>Релевантним</w:t>
      </w:r>
      <w:r w:rsidR="00954C30" w:rsidRPr="00295637">
        <w:rPr>
          <w:rFonts w:ascii="Times New Roman" w:hAnsi="Times New Roman"/>
          <w:szCs w:val="24"/>
        </w:rPr>
        <w:t xml:space="preserve"> </w:t>
      </w:r>
      <w:r>
        <w:rPr>
          <w:rFonts w:ascii="Times New Roman" w:hAnsi="Times New Roman"/>
          <w:szCs w:val="24"/>
        </w:rPr>
        <w:t>институцијама</w:t>
      </w:r>
      <w:r w:rsidR="00954C30" w:rsidRPr="00295637">
        <w:rPr>
          <w:rFonts w:ascii="Times New Roman" w:hAnsi="Times New Roman"/>
          <w:szCs w:val="24"/>
        </w:rPr>
        <w:t xml:space="preserve"> </w:t>
      </w:r>
      <w:r>
        <w:rPr>
          <w:rFonts w:ascii="Times New Roman" w:hAnsi="Times New Roman"/>
          <w:szCs w:val="24"/>
        </w:rPr>
        <w:t>на</w:t>
      </w:r>
      <w:r w:rsidR="00954C30" w:rsidRPr="00295637">
        <w:rPr>
          <w:rFonts w:ascii="Times New Roman" w:hAnsi="Times New Roman"/>
          <w:szCs w:val="24"/>
        </w:rPr>
        <w:t xml:space="preserve"> </w:t>
      </w:r>
      <w:r>
        <w:rPr>
          <w:rFonts w:ascii="Times New Roman" w:hAnsi="Times New Roman"/>
          <w:szCs w:val="24"/>
        </w:rPr>
        <w:t>свим</w:t>
      </w:r>
      <w:r w:rsidR="00954C30" w:rsidRPr="00295637">
        <w:rPr>
          <w:rFonts w:ascii="Times New Roman" w:hAnsi="Times New Roman"/>
          <w:szCs w:val="24"/>
        </w:rPr>
        <w:t xml:space="preserve"> </w:t>
      </w:r>
      <w:r>
        <w:rPr>
          <w:rFonts w:ascii="Times New Roman" w:hAnsi="Times New Roman"/>
          <w:szCs w:val="24"/>
        </w:rPr>
        <w:t>нивоима</w:t>
      </w:r>
      <w:r w:rsidR="00954C30" w:rsidRPr="00295637">
        <w:rPr>
          <w:rFonts w:ascii="Times New Roman" w:hAnsi="Times New Roman"/>
          <w:szCs w:val="24"/>
        </w:rPr>
        <w:t xml:space="preserve"> </w:t>
      </w:r>
      <w:r>
        <w:rPr>
          <w:rFonts w:ascii="Times New Roman" w:hAnsi="Times New Roman"/>
          <w:szCs w:val="24"/>
        </w:rPr>
        <w:t>власти</w:t>
      </w:r>
      <w:r w:rsidR="00954C30" w:rsidRPr="00295637">
        <w:rPr>
          <w:rFonts w:ascii="Times New Roman" w:hAnsi="Times New Roman"/>
          <w:szCs w:val="24"/>
        </w:rPr>
        <w:t xml:space="preserve"> </w:t>
      </w:r>
      <w:r>
        <w:rPr>
          <w:rFonts w:ascii="Times New Roman" w:hAnsi="Times New Roman"/>
          <w:szCs w:val="24"/>
        </w:rPr>
        <w:t>у</w:t>
      </w:r>
      <w:r w:rsidR="00954C30" w:rsidRPr="00295637">
        <w:rPr>
          <w:rFonts w:ascii="Times New Roman" w:hAnsi="Times New Roman"/>
          <w:szCs w:val="24"/>
        </w:rPr>
        <w:t xml:space="preserve"> </w:t>
      </w:r>
      <w:r>
        <w:rPr>
          <w:rFonts w:ascii="Times New Roman" w:hAnsi="Times New Roman"/>
          <w:szCs w:val="24"/>
        </w:rPr>
        <w:t>Босни</w:t>
      </w:r>
      <w:r w:rsidR="00954C30" w:rsidRPr="00295637">
        <w:rPr>
          <w:rFonts w:ascii="Times New Roman" w:hAnsi="Times New Roman"/>
          <w:szCs w:val="24"/>
        </w:rPr>
        <w:t xml:space="preserve"> </w:t>
      </w:r>
      <w:r>
        <w:rPr>
          <w:rFonts w:ascii="Times New Roman" w:hAnsi="Times New Roman"/>
          <w:szCs w:val="24"/>
        </w:rPr>
        <w:t>и</w:t>
      </w:r>
      <w:r w:rsidR="00954C30" w:rsidRPr="00295637">
        <w:rPr>
          <w:rFonts w:ascii="Times New Roman" w:hAnsi="Times New Roman"/>
          <w:szCs w:val="24"/>
        </w:rPr>
        <w:t xml:space="preserve"> </w:t>
      </w:r>
      <w:r>
        <w:rPr>
          <w:rFonts w:ascii="Times New Roman" w:hAnsi="Times New Roman"/>
          <w:szCs w:val="24"/>
        </w:rPr>
        <w:t>Херцеговини</w:t>
      </w:r>
      <w:r w:rsidR="00D41ABA" w:rsidRPr="00295637">
        <w:rPr>
          <w:rFonts w:ascii="Times New Roman" w:hAnsi="Times New Roman"/>
          <w:szCs w:val="24"/>
        </w:rPr>
        <w:t xml:space="preserve">, </w:t>
      </w:r>
      <w:r>
        <w:rPr>
          <w:rFonts w:ascii="Times New Roman" w:hAnsi="Times New Roman"/>
          <w:szCs w:val="24"/>
        </w:rPr>
        <w:t>АР</w:t>
      </w:r>
      <w:r w:rsidR="00937482">
        <w:rPr>
          <w:rFonts w:ascii="Times New Roman" w:hAnsi="Times New Roman"/>
          <w:szCs w:val="24"/>
          <w:lang w:val="sr-Cyrl-BA"/>
        </w:rPr>
        <w:t>П</w:t>
      </w:r>
      <w:r w:rsidR="008A5A21">
        <w:rPr>
          <w:rFonts w:ascii="Times New Roman" w:hAnsi="Times New Roman"/>
          <w:szCs w:val="24"/>
        </w:rPr>
        <w:t xml:space="preserve"> </w:t>
      </w:r>
      <w:r>
        <w:rPr>
          <w:rFonts w:ascii="Times New Roman" w:hAnsi="Times New Roman"/>
          <w:szCs w:val="24"/>
        </w:rPr>
        <w:t>БиХ</w:t>
      </w:r>
      <w:r w:rsidR="00AA2171">
        <w:rPr>
          <w:rFonts w:ascii="Times New Roman" w:hAnsi="Times New Roman"/>
          <w:szCs w:val="24"/>
        </w:rPr>
        <w:t xml:space="preserve"> </w:t>
      </w:r>
      <w:r>
        <w:rPr>
          <w:rFonts w:ascii="Times New Roman" w:hAnsi="Times New Roman"/>
          <w:szCs w:val="24"/>
        </w:rPr>
        <w:t>МЉПИ</w:t>
      </w:r>
      <w:r w:rsidR="00AA2171">
        <w:rPr>
          <w:rFonts w:ascii="Times New Roman" w:hAnsi="Times New Roman"/>
          <w:szCs w:val="24"/>
        </w:rPr>
        <w:t xml:space="preserve"> </w:t>
      </w:r>
      <w:r>
        <w:rPr>
          <w:rFonts w:ascii="Times New Roman" w:hAnsi="Times New Roman"/>
          <w:szCs w:val="24"/>
        </w:rPr>
        <w:t>БиХ</w:t>
      </w:r>
      <w:r w:rsidR="00D41ABA" w:rsidRPr="00295637">
        <w:rPr>
          <w:rFonts w:ascii="Times New Roman" w:hAnsi="Times New Roman"/>
          <w:szCs w:val="24"/>
        </w:rPr>
        <w:t xml:space="preserve"> </w:t>
      </w:r>
      <w:r>
        <w:rPr>
          <w:rFonts w:ascii="Times New Roman" w:hAnsi="Times New Roman"/>
          <w:szCs w:val="24"/>
        </w:rPr>
        <w:t>је</w:t>
      </w:r>
      <w:r w:rsidR="008A5A21">
        <w:rPr>
          <w:rFonts w:ascii="Times New Roman" w:hAnsi="Times New Roman"/>
          <w:szCs w:val="24"/>
        </w:rPr>
        <w:t xml:space="preserve"> </w:t>
      </w:r>
      <w:r>
        <w:rPr>
          <w:rFonts w:ascii="Times New Roman" w:hAnsi="Times New Roman"/>
          <w:szCs w:val="24"/>
        </w:rPr>
        <w:t>у</w:t>
      </w:r>
      <w:r w:rsidR="008A5A21">
        <w:rPr>
          <w:rFonts w:ascii="Times New Roman" w:hAnsi="Times New Roman"/>
          <w:szCs w:val="24"/>
        </w:rPr>
        <w:t xml:space="preserve"> </w:t>
      </w:r>
      <w:r>
        <w:rPr>
          <w:rFonts w:ascii="Times New Roman" w:hAnsi="Times New Roman"/>
          <w:szCs w:val="24"/>
        </w:rPr>
        <w:t>марту</w:t>
      </w:r>
      <w:r w:rsidR="00954C30" w:rsidRPr="00295637">
        <w:rPr>
          <w:rFonts w:ascii="Times New Roman" w:hAnsi="Times New Roman"/>
          <w:szCs w:val="24"/>
        </w:rPr>
        <w:t xml:space="preserve"> 2024. </w:t>
      </w:r>
      <w:r>
        <w:rPr>
          <w:rFonts w:ascii="Times New Roman" w:hAnsi="Times New Roman"/>
          <w:szCs w:val="24"/>
        </w:rPr>
        <w:t>године</w:t>
      </w:r>
      <w:r w:rsidR="00954C30" w:rsidRPr="00295637">
        <w:rPr>
          <w:rFonts w:ascii="Times New Roman" w:hAnsi="Times New Roman"/>
          <w:szCs w:val="24"/>
        </w:rPr>
        <w:t xml:space="preserve"> </w:t>
      </w:r>
      <w:r>
        <w:rPr>
          <w:rFonts w:ascii="Times New Roman" w:hAnsi="Times New Roman"/>
          <w:szCs w:val="24"/>
        </w:rPr>
        <w:t>доставила</w:t>
      </w:r>
      <w:r w:rsidR="00954C30" w:rsidRPr="00295637">
        <w:rPr>
          <w:rFonts w:ascii="Times New Roman" w:hAnsi="Times New Roman"/>
          <w:szCs w:val="24"/>
        </w:rPr>
        <w:t xml:space="preserve"> </w:t>
      </w:r>
      <w:r>
        <w:rPr>
          <w:rFonts w:ascii="Times New Roman" w:hAnsi="Times New Roman"/>
          <w:szCs w:val="24"/>
        </w:rPr>
        <w:t>извјештај</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Приступ</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ЛГБТИ</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лица</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здравственој</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заштити</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у</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Босни</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и</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Херцеговини</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који</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је</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уз</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подршку</w:t>
      </w:r>
      <w:r w:rsidR="00954C30" w:rsidRPr="00295637">
        <w:rPr>
          <w:rFonts w:ascii="Times New Roman" w:hAnsi="Times New Roman"/>
          <w:szCs w:val="24"/>
          <w:shd w:val="clear" w:color="auto" w:fill="FFFFFF"/>
        </w:rPr>
        <w:t xml:space="preserve"> </w:t>
      </w:r>
      <w:r w:rsidR="00937482">
        <w:rPr>
          <w:rFonts w:ascii="Times New Roman" w:hAnsi="Times New Roman"/>
          <w:szCs w:val="24"/>
          <w:shd w:val="clear" w:color="auto" w:fill="FFFFFF"/>
          <w:lang w:val="sr-Cyrl-BA"/>
        </w:rPr>
        <w:t>С</w:t>
      </w:r>
      <w:r>
        <w:rPr>
          <w:rFonts w:ascii="Times New Roman" w:hAnsi="Times New Roman"/>
          <w:szCs w:val="24"/>
          <w:shd w:val="clear" w:color="auto" w:fill="FFFFFF"/>
        </w:rPr>
        <w:t>Е</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реализ</w:t>
      </w:r>
      <w:r w:rsidR="00937482">
        <w:rPr>
          <w:rFonts w:ascii="Times New Roman" w:hAnsi="Times New Roman"/>
          <w:szCs w:val="24"/>
          <w:shd w:val="clear" w:color="auto" w:fill="FFFFFF"/>
          <w:lang w:val="sr-Cyrl-BA"/>
        </w:rPr>
        <w:t>ован</w:t>
      </w:r>
      <w:r w:rsidR="00954C30" w:rsidRPr="00295637">
        <w:rPr>
          <w:rFonts w:ascii="Times New Roman" w:hAnsi="Times New Roman"/>
          <w:szCs w:val="24"/>
          <w:shd w:val="clear" w:color="auto" w:fill="FFFFFF"/>
        </w:rPr>
        <w:t xml:space="preserve"> </w:t>
      </w:r>
      <w:r>
        <w:rPr>
          <w:rFonts w:ascii="Times New Roman" w:hAnsi="Times New Roman"/>
          <w:szCs w:val="24"/>
          <w:shd w:val="clear" w:color="auto" w:fill="FFFFFF"/>
        </w:rPr>
        <w:t>крајем</w:t>
      </w:r>
      <w:r w:rsidR="00954C30" w:rsidRPr="00295637">
        <w:rPr>
          <w:rFonts w:ascii="Times New Roman" w:hAnsi="Times New Roman"/>
          <w:szCs w:val="24"/>
          <w:shd w:val="clear" w:color="auto" w:fill="FFFFFF"/>
        </w:rPr>
        <w:t xml:space="preserve"> 2023 </w:t>
      </w:r>
      <w:r>
        <w:rPr>
          <w:rFonts w:ascii="Times New Roman" w:hAnsi="Times New Roman"/>
          <w:szCs w:val="24"/>
          <w:shd w:val="clear" w:color="auto" w:fill="FFFFFF"/>
        </w:rPr>
        <w:t>године</w:t>
      </w:r>
      <w:r w:rsidR="00954C30" w:rsidRPr="00295637">
        <w:rPr>
          <w:rFonts w:ascii="Times New Roman" w:hAnsi="Times New Roman"/>
          <w:szCs w:val="24"/>
          <w:shd w:val="clear" w:color="auto" w:fill="FFFFFF"/>
        </w:rPr>
        <w:t>.</w:t>
      </w:r>
      <w:r w:rsidR="008A5A21">
        <w:rPr>
          <w:rFonts w:ascii="Times New Roman" w:hAnsi="Times New Roman"/>
          <w:szCs w:val="24"/>
        </w:rPr>
        <w:t xml:space="preserve"> </w:t>
      </w:r>
      <w:r>
        <w:rPr>
          <w:rFonts w:ascii="Times New Roman" w:hAnsi="Times New Roman"/>
          <w:szCs w:val="24"/>
        </w:rPr>
        <w:t>У</w:t>
      </w:r>
      <w:r w:rsidR="008A5A21">
        <w:rPr>
          <w:rFonts w:ascii="Times New Roman" w:hAnsi="Times New Roman"/>
          <w:szCs w:val="24"/>
        </w:rPr>
        <w:t xml:space="preserve"> </w:t>
      </w:r>
      <w:r>
        <w:rPr>
          <w:rFonts w:ascii="Times New Roman" w:hAnsi="Times New Roman"/>
          <w:szCs w:val="24"/>
        </w:rPr>
        <w:t>поменутој</w:t>
      </w:r>
      <w:r w:rsidR="008A5A21">
        <w:rPr>
          <w:rFonts w:ascii="Times New Roman" w:hAnsi="Times New Roman"/>
          <w:szCs w:val="24"/>
        </w:rPr>
        <w:t xml:space="preserve"> </w:t>
      </w:r>
      <w:r>
        <w:rPr>
          <w:rFonts w:ascii="Times New Roman" w:hAnsi="Times New Roman"/>
          <w:szCs w:val="24"/>
        </w:rPr>
        <w:t>комуникацији</w:t>
      </w:r>
      <w:r w:rsidR="008A5A21">
        <w:rPr>
          <w:rFonts w:ascii="Times New Roman" w:hAnsi="Times New Roman"/>
          <w:szCs w:val="24"/>
        </w:rPr>
        <w:t xml:space="preserve"> </w:t>
      </w:r>
      <w:r>
        <w:rPr>
          <w:rFonts w:ascii="Times New Roman" w:hAnsi="Times New Roman"/>
          <w:szCs w:val="24"/>
        </w:rPr>
        <w:t>са</w:t>
      </w:r>
      <w:r w:rsidR="00954C30" w:rsidRPr="00295637">
        <w:rPr>
          <w:rFonts w:ascii="Times New Roman" w:hAnsi="Times New Roman"/>
          <w:szCs w:val="24"/>
        </w:rPr>
        <w:t xml:space="preserve"> </w:t>
      </w:r>
      <w:r>
        <w:rPr>
          <w:rFonts w:ascii="Times New Roman" w:hAnsi="Times New Roman"/>
          <w:szCs w:val="24"/>
        </w:rPr>
        <w:t>институцијама</w:t>
      </w:r>
      <w:r w:rsidR="00954C30" w:rsidRPr="00295637">
        <w:rPr>
          <w:rFonts w:ascii="Times New Roman" w:hAnsi="Times New Roman"/>
          <w:szCs w:val="24"/>
        </w:rPr>
        <w:t xml:space="preserve">, </w:t>
      </w:r>
      <w:r>
        <w:rPr>
          <w:rFonts w:ascii="Times New Roman" w:hAnsi="Times New Roman"/>
          <w:szCs w:val="24"/>
        </w:rPr>
        <w:t>наглашено</w:t>
      </w:r>
      <w:r w:rsidR="000A5047">
        <w:rPr>
          <w:rFonts w:ascii="Times New Roman" w:hAnsi="Times New Roman"/>
          <w:szCs w:val="24"/>
        </w:rPr>
        <w:t xml:space="preserve"> </w:t>
      </w:r>
      <w:r>
        <w:rPr>
          <w:rFonts w:ascii="Times New Roman" w:hAnsi="Times New Roman"/>
          <w:szCs w:val="24"/>
        </w:rPr>
        <w:t>је</w:t>
      </w:r>
      <w:r w:rsidR="008A5A21">
        <w:rPr>
          <w:rFonts w:ascii="Times New Roman" w:hAnsi="Times New Roman"/>
          <w:szCs w:val="24"/>
        </w:rPr>
        <w:t xml:space="preserve"> </w:t>
      </w:r>
      <w:r>
        <w:rPr>
          <w:rFonts w:ascii="Times New Roman" w:hAnsi="Times New Roman"/>
          <w:szCs w:val="24"/>
        </w:rPr>
        <w:t>да</w:t>
      </w:r>
      <w:r w:rsidR="008A5A21">
        <w:rPr>
          <w:rFonts w:ascii="Times New Roman" w:hAnsi="Times New Roman"/>
          <w:szCs w:val="24"/>
        </w:rPr>
        <w:t xml:space="preserve"> </w:t>
      </w:r>
      <w:r>
        <w:rPr>
          <w:rFonts w:ascii="Times New Roman" w:hAnsi="Times New Roman"/>
          <w:szCs w:val="24"/>
        </w:rPr>
        <w:t>препоруке</w:t>
      </w:r>
      <w:r w:rsidR="008A5A21">
        <w:rPr>
          <w:rFonts w:ascii="Times New Roman" w:hAnsi="Times New Roman"/>
          <w:szCs w:val="24"/>
        </w:rPr>
        <w:t xml:space="preserve"> </w:t>
      </w:r>
      <w:r>
        <w:rPr>
          <w:rFonts w:ascii="Times New Roman" w:hAnsi="Times New Roman"/>
          <w:szCs w:val="24"/>
        </w:rPr>
        <w:t>извјештаја</w:t>
      </w:r>
      <w:r w:rsidR="00954C30" w:rsidRPr="00295637">
        <w:rPr>
          <w:rFonts w:ascii="Times New Roman" w:hAnsi="Times New Roman"/>
          <w:szCs w:val="24"/>
        </w:rPr>
        <w:t xml:space="preserve"> </w:t>
      </w:r>
      <w:r>
        <w:rPr>
          <w:rFonts w:ascii="Times New Roman" w:hAnsi="Times New Roman"/>
          <w:szCs w:val="24"/>
        </w:rPr>
        <w:t>требају</w:t>
      </w:r>
      <w:r w:rsidR="00D41ABA" w:rsidRPr="00295637">
        <w:rPr>
          <w:rFonts w:ascii="Times New Roman" w:hAnsi="Times New Roman"/>
          <w:szCs w:val="24"/>
        </w:rPr>
        <w:t xml:space="preserve"> </w:t>
      </w:r>
      <w:r>
        <w:rPr>
          <w:rFonts w:ascii="Times New Roman" w:hAnsi="Times New Roman"/>
          <w:szCs w:val="24"/>
        </w:rPr>
        <w:t>бити</w:t>
      </w:r>
      <w:r w:rsidR="00D41ABA" w:rsidRPr="00295637">
        <w:rPr>
          <w:rFonts w:ascii="Times New Roman" w:hAnsi="Times New Roman"/>
          <w:szCs w:val="24"/>
        </w:rPr>
        <w:t xml:space="preserve"> </w:t>
      </w:r>
      <w:r>
        <w:rPr>
          <w:rFonts w:ascii="Times New Roman" w:hAnsi="Times New Roman"/>
          <w:szCs w:val="24"/>
        </w:rPr>
        <w:t>узете</w:t>
      </w:r>
      <w:r w:rsidR="00D41ABA" w:rsidRPr="00295637">
        <w:rPr>
          <w:rFonts w:ascii="Times New Roman" w:hAnsi="Times New Roman"/>
          <w:szCs w:val="24"/>
        </w:rPr>
        <w:t xml:space="preserve"> </w:t>
      </w:r>
      <w:r>
        <w:rPr>
          <w:rFonts w:ascii="Times New Roman" w:hAnsi="Times New Roman"/>
          <w:szCs w:val="24"/>
        </w:rPr>
        <w:t>у</w:t>
      </w:r>
      <w:r w:rsidR="00954C30" w:rsidRPr="00295637">
        <w:rPr>
          <w:rFonts w:ascii="Times New Roman" w:hAnsi="Times New Roman"/>
          <w:szCs w:val="24"/>
        </w:rPr>
        <w:t xml:space="preserve"> </w:t>
      </w:r>
      <w:r>
        <w:rPr>
          <w:rFonts w:ascii="Times New Roman" w:hAnsi="Times New Roman"/>
          <w:szCs w:val="24"/>
        </w:rPr>
        <w:t>обзир</w:t>
      </w:r>
      <w:r w:rsidR="00954C30" w:rsidRPr="00295637">
        <w:rPr>
          <w:rFonts w:ascii="Times New Roman" w:hAnsi="Times New Roman"/>
          <w:szCs w:val="24"/>
        </w:rPr>
        <w:t xml:space="preserve"> </w:t>
      </w:r>
      <w:r>
        <w:rPr>
          <w:rFonts w:ascii="Times New Roman" w:hAnsi="Times New Roman"/>
          <w:szCs w:val="24"/>
        </w:rPr>
        <w:t>приликом</w:t>
      </w:r>
      <w:r w:rsidR="00954C30" w:rsidRPr="00295637">
        <w:rPr>
          <w:rFonts w:ascii="Times New Roman" w:hAnsi="Times New Roman"/>
          <w:szCs w:val="24"/>
        </w:rPr>
        <w:t xml:space="preserve"> </w:t>
      </w:r>
      <w:r>
        <w:rPr>
          <w:rFonts w:ascii="Times New Roman" w:hAnsi="Times New Roman"/>
          <w:szCs w:val="24"/>
        </w:rPr>
        <w:t>припреме</w:t>
      </w:r>
      <w:r w:rsidR="00954C30" w:rsidRPr="00295637">
        <w:rPr>
          <w:rFonts w:ascii="Times New Roman" w:hAnsi="Times New Roman"/>
          <w:szCs w:val="24"/>
        </w:rPr>
        <w:t xml:space="preserve"> </w:t>
      </w:r>
      <w:r>
        <w:rPr>
          <w:rFonts w:ascii="Times New Roman" w:hAnsi="Times New Roman"/>
          <w:szCs w:val="24"/>
        </w:rPr>
        <w:t>и</w:t>
      </w:r>
      <w:r w:rsidR="00954C30" w:rsidRPr="00295637">
        <w:rPr>
          <w:rFonts w:ascii="Times New Roman" w:hAnsi="Times New Roman"/>
          <w:szCs w:val="24"/>
        </w:rPr>
        <w:t xml:space="preserve"> </w:t>
      </w:r>
      <w:r>
        <w:rPr>
          <w:rFonts w:ascii="Times New Roman" w:hAnsi="Times New Roman"/>
          <w:bCs/>
          <w:szCs w:val="24"/>
        </w:rPr>
        <w:t>реализације</w:t>
      </w:r>
      <w:r w:rsidR="00954C30" w:rsidRPr="00295637">
        <w:rPr>
          <w:rFonts w:ascii="Times New Roman" w:hAnsi="Times New Roman"/>
          <w:bCs/>
          <w:szCs w:val="24"/>
        </w:rPr>
        <w:t xml:space="preserve"> </w:t>
      </w:r>
      <w:r>
        <w:rPr>
          <w:rFonts w:ascii="Times New Roman" w:hAnsi="Times New Roman"/>
          <w:bCs/>
          <w:szCs w:val="24"/>
        </w:rPr>
        <w:t>политика</w:t>
      </w:r>
      <w:r w:rsidR="00954C30" w:rsidRPr="00295637">
        <w:rPr>
          <w:rFonts w:ascii="Times New Roman" w:hAnsi="Times New Roman"/>
          <w:bCs/>
          <w:szCs w:val="24"/>
        </w:rPr>
        <w:t xml:space="preserve"> </w:t>
      </w:r>
      <w:r>
        <w:rPr>
          <w:rFonts w:ascii="Times New Roman" w:hAnsi="Times New Roman"/>
          <w:bCs/>
          <w:szCs w:val="24"/>
        </w:rPr>
        <w:t>које</w:t>
      </w:r>
      <w:r w:rsidR="00954C30" w:rsidRPr="00295637">
        <w:rPr>
          <w:rFonts w:ascii="Times New Roman" w:hAnsi="Times New Roman"/>
          <w:bCs/>
          <w:szCs w:val="24"/>
        </w:rPr>
        <w:t xml:space="preserve"> </w:t>
      </w:r>
      <w:r>
        <w:rPr>
          <w:rFonts w:ascii="Times New Roman" w:hAnsi="Times New Roman"/>
          <w:bCs/>
          <w:szCs w:val="24"/>
        </w:rPr>
        <w:t>проистичу</w:t>
      </w:r>
      <w:r w:rsidR="00954C30" w:rsidRPr="00295637">
        <w:rPr>
          <w:rFonts w:ascii="Times New Roman" w:hAnsi="Times New Roman"/>
          <w:bCs/>
          <w:szCs w:val="24"/>
        </w:rPr>
        <w:t xml:space="preserve"> </w:t>
      </w:r>
      <w:r>
        <w:rPr>
          <w:rFonts w:ascii="Times New Roman" w:hAnsi="Times New Roman"/>
          <w:bCs/>
          <w:szCs w:val="24"/>
        </w:rPr>
        <w:t>из</w:t>
      </w:r>
      <w:r w:rsidR="00954C30" w:rsidRPr="00295637">
        <w:rPr>
          <w:rFonts w:ascii="Times New Roman" w:hAnsi="Times New Roman"/>
          <w:bCs/>
          <w:szCs w:val="24"/>
        </w:rPr>
        <w:t xml:space="preserve"> </w:t>
      </w:r>
      <w:r>
        <w:rPr>
          <w:rFonts w:ascii="Times New Roman" w:hAnsi="Times New Roman"/>
          <w:bCs/>
          <w:szCs w:val="24"/>
        </w:rPr>
        <w:t>њихове</w:t>
      </w:r>
      <w:r w:rsidR="00954C30" w:rsidRPr="00295637">
        <w:rPr>
          <w:rFonts w:ascii="Times New Roman" w:hAnsi="Times New Roman"/>
          <w:bCs/>
          <w:szCs w:val="24"/>
        </w:rPr>
        <w:t xml:space="preserve"> </w:t>
      </w:r>
      <w:r>
        <w:rPr>
          <w:rFonts w:ascii="Times New Roman" w:hAnsi="Times New Roman"/>
          <w:bCs/>
          <w:szCs w:val="24"/>
        </w:rPr>
        <w:t>уставне</w:t>
      </w:r>
      <w:r w:rsidR="00954C30" w:rsidRPr="00295637">
        <w:rPr>
          <w:rFonts w:ascii="Times New Roman" w:hAnsi="Times New Roman"/>
          <w:bCs/>
          <w:szCs w:val="24"/>
        </w:rPr>
        <w:t xml:space="preserve"> </w:t>
      </w:r>
      <w:r>
        <w:rPr>
          <w:rFonts w:ascii="Times New Roman" w:hAnsi="Times New Roman"/>
          <w:bCs/>
          <w:szCs w:val="24"/>
        </w:rPr>
        <w:t>и</w:t>
      </w:r>
      <w:r w:rsidR="00954C30" w:rsidRPr="00295637">
        <w:rPr>
          <w:rFonts w:ascii="Times New Roman" w:hAnsi="Times New Roman"/>
          <w:bCs/>
          <w:szCs w:val="24"/>
        </w:rPr>
        <w:t xml:space="preserve"> </w:t>
      </w:r>
      <w:r>
        <w:rPr>
          <w:rFonts w:ascii="Times New Roman" w:hAnsi="Times New Roman"/>
          <w:bCs/>
          <w:szCs w:val="24"/>
        </w:rPr>
        <w:t>законске</w:t>
      </w:r>
      <w:r w:rsidR="00954C30" w:rsidRPr="00295637">
        <w:rPr>
          <w:rFonts w:ascii="Times New Roman" w:hAnsi="Times New Roman"/>
          <w:bCs/>
          <w:szCs w:val="24"/>
        </w:rPr>
        <w:t xml:space="preserve"> </w:t>
      </w:r>
      <w:r>
        <w:rPr>
          <w:rFonts w:ascii="Times New Roman" w:hAnsi="Times New Roman"/>
          <w:bCs/>
          <w:szCs w:val="24"/>
        </w:rPr>
        <w:t>надлежности</w:t>
      </w:r>
      <w:r w:rsidR="00954C30" w:rsidRPr="00295637">
        <w:rPr>
          <w:rFonts w:ascii="Times New Roman" w:hAnsi="Times New Roman"/>
          <w:szCs w:val="24"/>
        </w:rPr>
        <w:t xml:space="preserve">. </w:t>
      </w:r>
      <w:r>
        <w:rPr>
          <w:rFonts w:ascii="Times New Roman" w:hAnsi="Times New Roman"/>
          <w:szCs w:val="24"/>
        </w:rPr>
        <w:t>Поред</w:t>
      </w:r>
      <w:r w:rsidR="00954C30" w:rsidRPr="00295637">
        <w:rPr>
          <w:rFonts w:ascii="Times New Roman" w:hAnsi="Times New Roman"/>
          <w:szCs w:val="24"/>
        </w:rPr>
        <w:t xml:space="preserve"> </w:t>
      </w:r>
      <w:r>
        <w:rPr>
          <w:rFonts w:ascii="Times New Roman" w:hAnsi="Times New Roman"/>
          <w:szCs w:val="24"/>
        </w:rPr>
        <w:t>тога</w:t>
      </w:r>
      <w:r w:rsidR="00954C30" w:rsidRPr="00295637">
        <w:rPr>
          <w:rFonts w:ascii="Times New Roman" w:hAnsi="Times New Roman"/>
          <w:szCs w:val="24"/>
        </w:rPr>
        <w:t xml:space="preserve">, </w:t>
      </w:r>
      <w:r>
        <w:rPr>
          <w:rFonts w:ascii="Times New Roman" w:hAnsi="Times New Roman"/>
          <w:szCs w:val="24"/>
        </w:rPr>
        <w:t>АР</w:t>
      </w:r>
      <w:r w:rsidR="00937482">
        <w:rPr>
          <w:rFonts w:ascii="Times New Roman" w:hAnsi="Times New Roman"/>
          <w:szCs w:val="24"/>
          <w:lang w:val="sr-Cyrl-BA"/>
        </w:rPr>
        <w:t>П</w:t>
      </w:r>
      <w:r w:rsidR="00050016">
        <w:rPr>
          <w:rFonts w:ascii="Times New Roman" w:hAnsi="Times New Roman"/>
          <w:szCs w:val="24"/>
        </w:rPr>
        <w:t xml:space="preserve"> </w:t>
      </w:r>
      <w:r>
        <w:rPr>
          <w:rFonts w:ascii="Times New Roman" w:hAnsi="Times New Roman"/>
          <w:szCs w:val="24"/>
        </w:rPr>
        <w:t>БиХ</w:t>
      </w:r>
      <w:r w:rsidR="00954C30" w:rsidRPr="00295637">
        <w:rPr>
          <w:rFonts w:ascii="Times New Roman" w:hAnsi="Times New Roman"/>
          <w:szCs w:val="24"/>
        </w:rPr>
        <w:t xml:space="preserve"> </w:t>
      </w:r>
      <w:r>
        <w:rPr>
          <w:rFonts w:ascii="Times New Roman" w:hAnsi="Times New Roman"/>
          <w:szCs w:val="24"/>
        </w:rPr>
        <w:t>МЉПИ</w:t>
      </w:r>
      <w:r w:rsidR="008A5A21">
        <w:rPr>
          <w:rFonts w:ascii="Times New Roman" w:hAnsi="Times New Roman"/>
          <w:szCs w:val="24"/>
        </w:rPr>
        <w:t xml:space="preserve"> </w:t>
      </w:r>
      <w:r>
        <w:rPr>
          <w:rFonts w:ascii="Times New Roman" w:hAnsi="Times New Roman"/>
          <w:szCs w:val="24"/>
        </w:rPr>
        <w:t>БиХ</w:t>
      </w:r>
      <w:r w:rsidR="00954C30" w:rsidRPr="00295637">
        <w:rPr>
          <w:rFonts w:ascii="Times New Roman" w:hAnsi="Times New Roman"/>
          <w:szCs w:val="24"/>
        </w:rPr>
        <w:t xml:space="preserve"> </w:t>
      </w:r>
      <w:r>
        <w:rPr>
          <w:rFonts w:ascii="Times New Roman" w:hAnsi="Times New Roman"/>
          <w:szCs w:val="24"/>
        </w:rPr>
        <w:t>је</w:t>
      </w:r>
      <w:r w:rsidR="00954C30" w:rsidRPr="00295637">
        <w:rPr>
          <w:rFonts w:ascii="Times New Roman" w:hAnsi="Times New Roman"/>
          <w:szCs w:val="24"/>
        </w:rPr>
        <w:t xml:space="preserve"> </w:t>
      </w:r>
      <w:r>
        <w:rPr>
          <w:rFonts w:ascii="Times New Roman" w:hAnsi="Times New Roman"/>
          <w:szCs w:val="24"/>
        </w:rPr>
        <w:t>у</w:t>
      </w:r>
      <w:r w:rsidR="00954C30" w:rsidRPr="00295637">
        <w:rPr>
          <w:rFonts w:ascii="Times New Roman" w:hAnsi="Times New Roman"/>
          <w:szCs w:val="24"/>
        </w:rPr>
        <w:t xml:space="preserve"> </w:t>
      </w:r>
      <w:r>
        <w:rPr>
          <w:rFonts w:ascii="Times New Roman" w:hAnsi="Times New Roman"/>
          <w:szCs w:val="24"/>
        </w:rPr>
        <w:t>априлу</w:t>
      </w:r>
      <w:r w:rsidR="00954C30" w:rsidRPr="00295637">
        <w:rPr>
          <w:rFonts w:ascii="Times New Roman" w:hAnsi="Times New Roman"/>
          <w:szCs w:val="24"/>
        </w:rPr>
        <w:t xml:space="preserve"> 2024. </w:t>
      </w:r>
      <w:r>
        <w:rPr>
          <w:rFonts w:ascii="Times New Roman" w:hAnsi="Times New Roman"/>
          <w:szCs w:val="24"/>
        </w:rPr>
        <w:t>године</w:t>
      </w:r>
      <w:r w:rsidR="00954C30" w:rsidRPr="00295637">
        <w:rPr>
          <w:rFonts w:ascii="Times New Roman" w:hAnsi="Times New Roman"/>
          <w:szCs w:val="24"/>
        </w:rPr>
        <w:t xml:space="preserve"> </w:t>
      </w:r>
      <w:r>
        <w:rPr>
          <w:rFonts w:ascii="Times New Roman" w:hAnsi="Times New Roman"/>
          <w:szCs w:val="24"/>
        </w:rPr>
        <w:t>издала</w:t>
      </w:r>
      <w:r w:rsidR="00954C30" w:rsidRPr="00295637">
        <w:rPr>
          <w:rFonts w:ascii="Times New Roman" w:hAnsi="Times New Roman"/>
          <w:szCs w:val="24"/>
        </w:rPr>
        <w:t xml:space="preserve"> </w:t>
      </w:r>
      <w:r>
        <w:rPr>
          <w:rFonts w:ascii="Times New Roman" w:hAnsi="Times New Roman"/>
          <w:szCs w:val="24"/>
        </w:rPr>
        <w:t>и</w:t>
      </w:r>
      <w:r w:rsidR="00954C30" w:rsidRPr="00295637">
        <w:rPr>
          <w:rFonts w:ascii="Times New Roman" w:hAnsi="Times New Roman"/>
          <w:szCs w:val="24"/>
        </w:rPr>
        <w:t xml:space="preserve"> </w:t>
      </w:r>
      <w:r>
        <w:rPr>
          <w:rFonts w:ascii="Times New Roman" w:hAnsi="Times New Roman"/>
          <w:szCs w:val="24"/>
        </w:rPr>
        <w:t>саоп</w:t>
      </w:r>
      <w:r w:rsidR="00937482">
        <w:rPr>
          <w:rFonts w:ascii="Times New Roman" w:hAnsi="Times New Roman"/>
          <w:szCs w:val="24"/>
          <w:lang w:val="sr-Cyrl-BA"/>
        </w:rPr>
        <w:t>шт</w:t>
      </w:r>
      <w:r>
        <w:rPr>
          <w:rFonts w:ascii="Times New Roman" w:hAnsi="Times New Roman"/>
          <w:szCs w:val="24"/>
        </w:rPr>
        <w:t>ење</w:t>
      </w:r>
      <w:r w:rsidR="00954C30" w:rsidRPr="00295637">
        <w:rPr>
          <w:rFonts w:ascii="Times New Roman" w:hAnsi="Times New Roman"/>
          <w:szCs w:val="24"/>
        </w:rPr>
        <w:t xml:space="preserve"> </w:t>
      </w:r>
      <w:r>
        <w:rPr>
          <w:rFonts w:ascii="Times New Roman" w:hAnsi="Times New Roman"/>
          <w:szCs w:val="24"/>
        </w:rPr>
        <w:t>за</w:t>
      </w:r>
      <w:r w:rsidR="00954C30" w:rsidRPr="00295637">
        <w:rPr>
          <w:rFonts w:ascii="Times New Roman" w:hAnsi="Times New Roman"/>
          <w:szCs w:val="24"/>
        </w:rPr>
        <w:t xml:space="preserve"> </w:t>
      </w:r>
      <w:r>
        <w:rPr>
          <w:rFonts w:ascii="Times New Roman" w:hAnsi="Times New Roman"/>
          <w:szCs w:val="24"/>
        </w:rPr>
        <w:t>јавност</w:t>
      </w:r>
      <w:r w:rsidR="00954C30" w:rsidRPr="00295637">
        <w:rPr>
          <w:rFonts w:ascii="Times New Roman" w:hAnsi="Times New Roman"/>
          <w:szCs w:val="24"/>
        </w:rPr>
        <w:t xml:space="preserve"> </w:t>
      </w:r>
      <w:r>
        <w:rPr>
          <w:rFonts w:ascii="Times New Roman" w:hAnsi="Times New Roman"/>
          <w:szCs w:val="24"/>
        </w:rPr>
        <w:t>о</w:t>
      </w:r>
      <w:r w:rsidR="00954C30" w:rsidRPr="00295637">
        <w:rPr>
          <w:rFonts w:ascii="Times New Roman" w:hAnsi="Times New Roman"/>
          <w:szCs w:val="24"/>
        </w:rPr>
        <w:t xml:space="preserve"> </w:t>
      </w:r>
      <w:r>
        <w:rPr>
          <w:rFonts w:ascii="Times New Roman" w:hAnsi="Times New Roman"/>
          <w:szCs w:val="24"/>
        </w:rPr>
        <w:t>налазима</w:t>
      </w:r>
      <w:r w:rsidR="00954C30" w:rsidRPr="00295637">
        <w:rPr>
          <w:rFonts w:ascii="Times New Roman" w:hAnsi="Times New Roman"/>
          <w:szCs w:val="24"/>
        </w:rPr>
        <w:t xml:space="preserve"> </w:t>
      </w:r>
      <w:r>
        <w:rPr>
          <w:rFonts w:ascii="Times New Roman" w:hAnsi="Times New Roman"/>
          <w:szCs w:val="24"/>
        </w:rPr>
        <w:t>и</w:t>
      </w:r>
      <w:r w:rsidR="00954C30" w:rsidRPr="00295637">
        <w:rPr>
          <w:rFonts w:ascii="Times New Roman" w:hAnsi="Times New Roman"/>
          <w:szCs w:val="24"/>
        </w:rPr>
        <w:t xml:space="preserve"> </w:t>
      </w:r>
      <w:r>
        <w:rPr>
          <w:rFonts w:ascii="Times New Roman" w:hAnsi="Times New Roman"/>
          <w:szCs w:val="24"/>
        </w:rPr>
        <w:t>препорукама</w:t>
      </w:r>
      <w:r w:rsidR="00954C30" w:rsidRPr="00295637">
        <w:rPr>
          <w:rFonts w:ascii="Times New Roman" w:hAnsi="Times New Roman"/>
          <w:szCs w:val="24"/>
        </w:rPr>
        <w:t xml:space="preserve"> </w:t>
      </w:r>
      <w:r>
        <w:rPr>
          <w:rFonts w:ascii="Times New Roman" w:hAnsi="Times New Roman"/>
          <w:szCs w:val="24"/>
        </w:rPr>
        <w:t>извјештаја</w:t>
      </w:r>
      <w:r w:rsidR="00714045">
        <w:rPr>
          <w:rFonts w:ascii="Times New Roman" w:hAnsi="Times New Roman"/>
          <w:szCs w:val="24"/>
        </w:rPr>
        <w:t>.</w:t>
      </w:r>
      <w:r w:rsidR="00954C30" w:rsidRPr="00295637">
        <w:rPr>
          <w:rFonts w:ascii="Times New Roman" w:hAnsi="Times New Roman"/>
          <w:szCs w:val="24"/>
        </w:rPr>
        <w:t xml:space="preserve"> </w:t>
      </w:r>
    </w:p>
    <w:p w:rsidR="00954C30" w:rsidRPr="00295637" w:rsidRDefault="00954C30" w:rsidP="0086268D">
      <w:pPr>
        <w:tabs>
          <w:tab w:val="left" w:pos="284"/>
          <w:tab w:val="left" w:pos="630"/>
          <w:tab w:val="left" w:pos="1080"/>
        </w:tabs>
        <w:jc w:val="both"/>
        <w:rPr>
          <w:rFonts w:ascii="Times New Roman" w:hAnsi="Times New Roman"/>
          <w:szCs w:val="24"/>
        </w:rPr>
      </w:pPr>
    </w:p>
    <w:p w:rsidR="00BE246B" w:rsidRPr="00295637" w:rsidRDefault="00C6214E" w:rsidP="0086268D">
      <w:pPr>
        <w:pStyle w:val="ListParagraph"/>
        <w:ind w:left="0"/>
        <w:jc w:val="both"/>
        <w:rPr>
          <w:rFonts w:ascii="Times New Roman" w:hAnsi="Times New Roman"/>
          <w:lang w:val="sr-Cyrl-BA"/>
        </w:rPr>
      </w:pPr>
      <w:r>
        <w:rPr>
          <w:rFonts w:ascii="Times New Roman" w:hAnsi="Times New Roman"/>
          <w:lang w:val="sr-Latn-BA"/>
        </w:rPr>
        <w:t>Системско</w:t>
      </w:r>
      <w:r w:rsidR="00BE246B" w:rsidRPr="00295637">
        <w:rPr>
          <w:rFonts w:ascii="Times New Roman" w:hAnsi="Times New Roman"/>
          <w:lang w:val="sr-Latn-BA"/>
        </w:rPr>
        <w:t xml:space="preserve"> </w:t>
      </w:r>
      <w:r>
        <w:rPr>
          <w:rFonts w:ascii="Times New Roman" w:hAnsi="Times New Roman"/>
          <w:lang w:val="sr-Latn-BA"/>
        </w:rPr>
        <w:t>законодавство</w:t>
      </w:r>
      <w:r w:rsidR="00BE246B" w:rsidRPr="00295637">
        <w:rPr>
          <w:rFonts w:ascii="Times New Roman" w:hAnsi="Times New Roman"/>
          <w:lang w:val="sr-Latn-BA"/>
        </w:rPr>
        <w:t xml:space="preserve">, </w:t>
      </w:r>
      <w:r>
        <w:rPr>
          <w:rFonts w:ascii="Times New Roman" w:hAnsi="Times New Roman"/>
          <w:lang w:val="sr-Latn-BA"/>
        </w:rPr>
        <w:t>стратешки</w:t>
      </w:r>
      <w:r w:rsidR="008A5A21">
        <w:rPr>
          <w:rFonts w:ascii="Times New Roman" w:hAnsi="Times New Roman"/>
          <w:lang w:val="sr-Latn-BA"/>
        </w:rPr>
        <w:t xml:space="preserve"> </w:t>
      </w:r>
      <w:r>
        <w:rPr>
          <w:rFonts w:ascii="Times New Roman" w:hAnsi="Times New Roman"/>
          <w:lang w:val="sr-Latn-BA"/>
        </w:rPr>
        <w:t>и</w:t>
      </w:r>
      <w:r w:rsidR="008A5A21">
        <w:rPr>
          <w:rFonts w:ascii="Times New Roman" w:hAnsi="Times New Roman"/>
          <w:lang w:val="sr-Latn-BA"/>
        </w:rPr>
        <w:t xml:space="preserve"> </w:t>
      </w:r>
      <w:r>
        <w:rPr>
          <w:rFonts w:ascii="Times New Roman" w:hAnsi="Times New Roman"/>
          <w:lang w:val="sr-Latn-BA"/>
        </w:rPr>
        <w:t>други</w:t>
      </w:r>
      <w:r w:rsidR="008A5A21">
        <w:rPr>
          <w:rFonts w:ascii="Times New Roman" w:hAnsi="Times New Roman"/>
          <w:lang w:val="sr-Latn-BA"/>
        </w:rPr>
        <w:t xml:space="preserve"> </w:t>
      </w:r>
      <w:r>
        <w:rPr>
          <w:rFonts w:ascii="Times New Roman" w:hAnsi="Times New Roman"/>
          <w:lang w:val="sr-Latn-BA"/>
        </w:rPr>
        <w:t>акти</w:t>
      </w:r>
      <w:r w:rsidR="008A5A21">
        <w:rPr>
          <w:rFonts w:ascii="Times New Roman" w:hAnsi="Times New Roman"/>
          <w:lang w:val="sr-Latn-BA"/>
        </w:rPr>
        <w:t xml:space="preserve"> </w:t>
      </w:r>
      <w:r>
        <w:rPr>
          <w:rFonts w:ascii="Times New Roman" w:hAnsi="Times New Roman"/>
          <w:lang w:val="sr-Latn-BA"/>
        </w:rPr>
        <w:t>из</w:t>
      </w:r>
      <w:r w:rsidR="008A5A21">
        <w:rPr>
          <w:rFonts w:ascii="Times New Roman" w:hAnsi="Times New Roman"/>
          <w:lang w:val="sr-Latn-BA"/>
        </w:rPr>
        <w:t xml:space="preserve"> </w:t>
      </w:r>
      <w:r>
        <w:rPr>
          <w:rFonts w:ascii="Times New Roman" w:hAnsi="Times New Roman"/>
          <w:lang w:val="sr-Latn-BA"/>
        </w:rPr>
        <w:t>области</w:t>
      </w:r>
      <w:r w:rsidR="00BE246B" w:rsidRPr="00295637">
        <w:rPr>
          <w:rFonts w:ascii="Times New Roman" w:hAnsi="Times New Roman"/>
          <w:lang w:val="sr-Latn-BA"/>
        </w:rPr>
        <w:t xml:space="preserve"> </w:t>
      </w:r>
      <w:r>
        <w:rPr>
          <w:rFonts w:ascii="Times New Roman" w:hAnsi="Times New Roman"/>
          <w:lang w:val="sr-Latn-BA"/>
        </w:rPr>
        <w:t>здравља</w:t>
      </w:r>
      <w:r w:rsidR="00BE246B" w:rsidRPr="00295637">
        <w:rPr>
          <w:rFonts w:ascii="Times New Roman" w:hAnsi="Times New Roman"/>
          <w:lang w:val="sr-Latn-BA"/>
        </w:rPr>
        <w:t xml:space="preserve"> </w:t>
      </w:r>
      <w:r>
        <w:rPr>
          <w:rFonts w:ascii="Times New Roman" w:hAnsi="Times New Roman"/>
          <w:lang w:val="sr-Latn-BA"/>
        </w:rPr>
        <w:t>Републике</w:t>
      </w:r>
      <w:r w:rsidR="00666FD0">
        <w:rPr>
          <w:rFonts w:ascii="Times New Roman" w:hAnsi="Times New Roman"/>
          <w:lang w:val="sr-Latn-BA"/>
        </w:rPr>
        <w:t xml:space="preserve"> </w:t>
      </w:r>
      <w:r>
        <w:rPr>
          <w:rFonts w:ascii="Times New Roman" w:hAnsi="Times New Roman"/>
          <w:lang w:val="sr-Latn-BA"/>
        </w:rPr>
        <w:t>Српске</w:t>
      </w:r>
      <w:r w:rsidR="00666FD0">
        <w:rPr>
          <w:rFonts w:ascii="Times New Roman" w:hAnsi="Times New Roman"/>
          <w:lang w:val="sr-Latn-BA"/>
        </w:rPr>
        <w:t xml:space="preserve"> </w:t>
      </w:r>
      <w:r>
        <w:rPr>
          <w:rFonts w:ascii="Times New Roman" w:hAnsi="Times New Roman"/>
          <w:lang w:val="sr-Latn-BA"/>
        </w:rPr>
        <w:t>усаглашени</w:t>
      </w:r>
      <w:r w:rsidR="00BE246B" w:rsidRPr="00295637">
        <w:rPr>
          <w:rFonts w:ascii="Times New Roman" w:hAnsi="Times New Roman"/>
          <w:lang w:val="sr-Latn-BA"/>
        </w:rPr>
        <w:t xml:space="preserve"> </w:t>
      </w:r>
      <w:r>
        <w:rPr>
          <w:rFonts w:ascii="Times New Roman" w:hAnsi="Times New Roman"/>
          <w:lang w:val="sr-Latn-BA"/>
        </w:rPr>
        <w:t>су</w:t>
      </w:r>
      <w:r w:rsidR="008A5A21" w:rsidRPr="00295637">
        <w:rPr>
          <w:rFonts w:ascii="Times New Roman" w:hAnsi="Times New Roman"/>
          <w:lang w:val="sr-Latn-BA"/>
        </w:rPr>
        <w:t xml:space="preserve"> </w:t>
      </w:r>
      <w:r>
        <w:rPr>
          <w:rFonts w:ascii="Times New Roman" w:hAnsi="Times New Roman"/>
          <w:lang w:val="sr-Latn-BA"/>
        </w:rPr>
        <w:t>са</w:t>
      </w:r>
      <w:r w:rsidR="00BE246B" w:rsidRPr="00295637">
        <w:rPr>
          <w:rFonts w:ascii="Times New Roman" w:hAnsi="Times New Roman"/>
          <w:lang w:val="sr-Latn-BA"/>
        </w:rPr>
        <w:t xml:space="preserve"> </w:t>
      </w:r>
      <w:r>
        <w:rPr>
          <w:rFonts w:ascii="Times New Roman" w:hAnsi="Times New Roman"/>
          <w:lang w:val="sr-Latn-BA"/>
        </w:rPr>
        <w:t>стандардима</w:t>
      </w:r>
      <w:r w:rsidR="00BE246B" w:rsidRPr="00295637">
        <w:rPr>
          <w:rFonts w:ascii="Times New Roman" w:hAnsi="Times New Roman"/>
          <w:lang w:val="sr-Latn-BA"/>
        </w:rPr>
        <w:t xml:space="preserve"> </w:t>
      </w:r>
      <w:r>
        <w:rPr>
          <w:rFonts w:ascii="Times New Roman" w:hAnsi="Times New Roman"/>
          <w:lang w:val="sr-Latn-BA"/>
        </w:rPr>
        <w:t>за</w:t>
      </w:r>
      <w:r w:rsidR="00BE246B" w:rsidRPr="00295637">
        <w:rPr>
          <w:rFonts w:ascii="Times New Roman" w:hAnsi="Times New Roman"/>
          <w:lang w:val="sr-Latn-BA"/>
        </w:rPr>
        <w:t xml:space="preserve"> </w:t>
      </w:r>
      <w:r>
        <w:rPr>
          <w:rFonts w:ascii="Times New Roman" w:hAnsi="Times New Roman"/>
          <w:lang w:val="sr-Latn-BA"/>
        </w:rPr>
        <w:t>равноправност</w:t>
      </w:r>
      <w:r w:rsidR="00BE246B" w:rsidRPr="00295637">
        <w:rPr>
          <w:rFonts w:ascii="Times New Roman" w:hAnsi="Times New Roman"/>
          <w:lang w:val="sr-Latn-BA"/>
        </w:rPr>
        <w:t xml:space="preserve"> </w:t>
      </w:r>
      <w:r>
        <w:rPr>
          <w:rFonts w:ascii="Times New Roman" w:hAnsi="Times New Roman"/>
          <w:lang w:val="sr-Latn-BA"/>
        </w:rPr>
        <w:t>полова</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препознају</w:t>
      </w:r>
      <w:r w:rsidR="00BE246B" w:rsidRPr="00295637">
        <w:rPr>
          <w:rFonts w:ascii="Times New Roman" w:hAnsi="Times New Roman"/>
          <w:lang w:val="sr-Latn-BA"/>
        </w:rPr>
        <w:t xml:space="preserve"> </w:t>
      </w:r>
      <w:r>
        <w:rPr>
          <w:rFonts w:ascii="Times New Roman" w:hAnsi="Times New Roman"/>
          <w:lang w:val="sr-Latn-BA"/>
        </w:rPr>
        <w:t>потребе</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мјере</w:t>
      </w:r>
      <w:r w:rsidR="00BE246B" w:rsidRPr="00295637">
        <w:rPr>
          <w:rFonts w:ascii="Times New Roman" w:hAnsi="Times New Roman"/>
          <w:lang w:val="sr-Latn-BA"/>
        </w:rPr>
        <w:t xml:space="preserve"> </w:t>
      </w:r>
      <w:r>
        <w:rPr>
          <w:rFonts w:ascii="Times New Roman" w:hAnsi="Times New Roman"/>
          <w:lang w:val="sr-Latn-BA"/>
        </w:rPr>
        <w:t>за</w:t>
      </w:r>
      <w:r w:rsidR="00BE246B" w:rsidRPr="00295637">
        <w:rPr>
          <w:rFonts w:ascii="Times New Roman" w:hAnsi="Times New Roman"/>
          <w:lang w:val="sr-Latn-BA"/>
        </w:rPr>
        <w:t xml:space="preserve"> </w:t>
      </w:r>
      <w:r>
        <w:rPr>
          <w:rFonts w:ascii="Times New Roman" w:hAnsi="Times New Roman"/>
          <w:lang w:val="sr-Latn-BA"/>
        </w:rPr>
        <w:t>жене</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мушкарце</w:t>
      </w:r>
      <w:r w:rsidR="00BE246B" w:rsidRPr="00295637">
        <w:rPr>
          <w:rFonts w:ascii="Times New Roman" w:hAnsi="Times New Roman"/>
          <w:lang w:val="sr-Latn-BA"/>
        </w:rPr>
        <w:t xml:space="preserve">, </w:t>
      </w:r>
      <w:r>
        <w:rPr>
          <w:rFonts w:ascii="Times New Roman" w:hAnsi="Times New Roman"/>
          <w:lang w:val="sr-Latn-BA"/>
        </w:rPr>
        <w:t>дјевојчице</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дјечаке</w:t>
      </w:r>
      <w:r w:rsidR="00BE246B" w:rsidRPr="00295637">
        <w:rPr>
          <w:rFonts w:ascii="Times New Roman" w:hAnsi="Times New Roman"/>
          <w:lang w:val="sr-Latn-BA"/>
        </w:rPr>
        <w:t xml:space="preserve">. </w:t>
      </w:r>
      <w:r>
        <w:rPr>
          <w:rFonts w:ascii="Times New Roman" w:hAnsi="Times New Roman"/>
          <w:lang w:val="sr-Latn-BA"/>
        </w:rPr>
        <w:t>У</w:t>
      </w:r>
      <w:r w:rsidR="009330B9"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Pr>
          <w:rFonts w:ascii="Times New Roman" w:hAnsi="Times New Roman"/>
          <w:lang w:val="sr-Cyrl-BA"/>
        </w:rPr>
        <w:t>радњи</w:t>
      </w:r>
      <w:r w:rsidR="009330B9" w:rsidRPr="00295637">
        <w:rPr>
          <w:rFonts w:ascii="Times New Roman" w:hAnsi="Times New Roman"/>
          <w:lang w:val="sr-Cyrl-BA"/>
        </w:rPr>
        <w:t xml:space="preserve"> </w:t>
      </w:r>
      <w:r>
        <w:rPr>
          <w:rFonts w:ascii="Times New Roman" w:hAnsi="Times New Roman"/>
          <w:lang w:val="sr-Cyrl-BA"/>
        </w:rPr>
        <w:t>М</w:t>
      </w:r>
      <w:r>
        <w:rPr>
          <w:rFonts w:ascii="Times New Roman" w:hAnsi="Times New Roman"/>
          <w:lang w:val="bs-Latn-BA"/>
        </w:rPr>
        <w:t>ЗСЗ</w:t>
      </w:r>
      <w:r w:rsidR="009330B9" w:rsidRPr="00295637">
        <w:rPr>
          <w:rFonts w:ascii="Times New Roman" w:hAnsi="Times New Roman"/>
          <w:lang w:val="bs-Latn-BA"/>
        </w:rPr>
        <w:t xml:space="preserve"> </w:t>
      </w:r>
      <w:r>
        <w:rPr>
          <w:rFonts w:ascii="Times New Roman" w:hAnsi="Times New Roman"/>
          <w:lang w:val="bs-Latn-BA"/>
        </w:rPr>
        <w:t>РС</w:t>
      </w:r>
      <w:r w:rsidR="009330B9" w:rsidRPr="00295637">
        <w:rPr>
          <w:rFonts w:ascii="Times New Roman" w:hAnsi="Times New Roman"/>
          <w:lang w:val="sr-Cyrl-BA"/>
        </w:rPr>
        <w:t xml:space="preserve"> </w:t>
      </w:r>
      <w:r>
        <w:rPr>
          <w:rFonts w:ascii="Times New Roman" w:hAnsi="Times New Roman"/>
          <w:lang w:val="sr-Cyrl-BA"/>
        </w:rPr>
        <w:t>и</w:t>
      </w:r>
      <w:r w:rsidR="009330B9" w:rsidRPr="00295637">
        <w:rPr>
          <w:rFonts w:ascii="Times New Roman" w:hAnsi="Times New Roman"/>
          <w:lang w:val="sr-Cyrl-BA"/>
        </w:rPr>
        <w:t xml:space="preserve"> </w:t>
      </w:r>
      <w:r>
        <w:rPr>
          <w:rFonts w:ascii="Times New Roman" w:hAnsi="Times New Roman"/>
          <w:lang w:val="sr-Latn-BA"/>
        </w:rPr>
        <w:t>ЦЈРП</w:t>
      </w:r>
      <w:r w:rsidR="009330B9" w:rsidRPr="00295637">
        <w:rPr>
          <w:rFonts w:ascii="Times New Roman" w:hAnsi="Times New Roman"/>
          <w:lang w:val="sr-Latn-BA"/>
        </w:rPr>
        <w:t xml:space="preserve"> </w:t>
      </w:r>
      <w:r>
        <w:rPr>
          <w:rFonts w:ascii="Times New Roman" w:hAnsi="Times New Roman"/>
          <w:lang w:val="sr-Latn-BA"/>
        </w:rPr>
        <w:t>РС</w:t>
      </w:r>
      <w:r w:rsidR="009330B9">
        <w:rPr>
          <w:rFonts w:ascii="Times New Roman" w:hAnsi="Times New Roman"/>
          <w:lang w:val="sr-Latn-BA"/>
        </w:rPr>
        <w:t xml:space="preserve">, </w:t>
      </w:r>
      <w:r>
        <w:rPr>
          <w:rFonts w:ascii="Times New Roman" w:hAnsi="Times New Roman"/>
          <w:lang w:val="sr-Latn-BA"/>
        </w:rPr>
        <w:t>у</w:t>
      </w:r>
      <w:r w:rsidR="009330B9">
        <w:rPr>
          <w:rFonts w:ascii="Times New Roman" w:hAnsi="Times New Roman"/>
          <w:lang w:val="sr-Latn-BA"/>
        </w:rPr>
        <w:t xml:space="preserve"> </w:t>
      </w:r>
      <w:r>
        <w:rPr>
          <w:rFonts w:ascii="Times New Roman" w:hAnsi="Times New Roman"/>
          <w:lang w:val="sr-Latn-BA"/>
        </w:rPr>
        <w:t>извјештајном</w:t>
      </w:r>
      <w:r w:rsidR="009330B9">
        <w:rPr>
          <w:rFonts w:ascii="Times New Roman" w:hAnsi="Times New Roman"/>
          <w:lang w:val="sr-Latn-BA"/>
        </w:rPr>
        <w:t xml:space="preserve"> </w:t>
      </w:r>
      <w:r>
        <w:rPr>
          <w:rFonts w:ascii="Times New Roman" w:hAnsi="Times New Roman"/>
          <w:lang w:val="sr-Latn-BA"/>
        </w:rPr>
        <w:t>периоду</w:t>
      </w:r>
      <w:r w:rsidR="009330B9">
        <w:rPr>
          <w:rFonts w:ascii="Times New Roman" w:hAnsi="Times New Roman"/>
          <w:lang w:val="sr-Latn-BA"/>
        </w:rPr>
        <w:t xml:space="preserve"> </w:t>
      </w:r>
      <w:r>
        <w:rPr>
          <w:rFonts w:ascii="Times New Roman" w:hAnsi="Times New Roman"/>
          <w:lang w:val="sr-Latn-BA"/>
        </w:rPr>
        <w:t>је</w:t>
      </w:r>
      <w:r w:rsidR="009330B9" w:rsidRPr="00295637">
        <w:rPr>
          <w:rFonts w:ascii="Times New Roman" w:hAnsi="Times New Roman"/>
          <w:lang w:val="sr-Latn-BA"/>
        </w:rPr>
        <w:t xml:space="preserve"> </w:t>
      </w:r>
      <w:r>
        <w:rPr>
          <w:rFonts w:ascii="Times New Roman" w:hAnsi="Times New Roman"/>
          <w:lang w:val="sr-Cyrl-BA"/>
        </w:rPr>
        <w:t>Закон</w:t>
      </w:r>
      <w:r w:rsidR="009330B9" w:rsidRPr="00295637">
        <w:rPr>
          <w:rFonts w:ascii="Times New Roman" w:hAnsi="Times New Roman"/>
          <w:lang w:val="sr-Cyrl-BA"/>
        </w:rPr>
        <w:t xml:space="preserve"> </w:t>
      </w:r>
      <w:r>
        <w:rPr>
          <w:rFonts w:ascii="Times New Roman" w:hAnsi="Times New Roman"/>
          <w:lang w:val="sr-Cyrl-BA"/>
        </w:rPr>
        <w:t>о</w:t>
      </w:r>
      <w:r w:rsidR="009330B9" w:rsidRPr="00295637">
        <w:rPr>
          <w:rFonts w:ascii="Times New Roman" w:hAnsi="Times New Roman"/>
          <w:lang w:val="sr-Cyrl-BA"/>
        </w:rPr>
        <w:t xml:space="preserve"> </w:t>
      </w:r>
      <w:r>
        <w:rPr>
          <w:rFonts w:ascii="Times New Roman" w:hAnsi="Times New Roman"/>
          <w:lang w:val="sr-Cyrl-BA"/>
        </w:rPr>
        <w:t>положају</w:t>
      </w:r>
      <w:r w:rsidR="009330B9" w:rsidRPr="00295637">
        <w:rPr>
          <w:rFonts w:ascii="Times New Roman" w:hAnsi="Times New Roman"/>
          <w:lang w:val="sr-Cyrl-BA"/>
        </w:rPr>
        <w:t xml:space="preserve"> </w:t>
      </w:r>
      <w:r>
        <w:rPr>
          <w:rFonts w:ascii="Times New Roman" w:hAnsi="Times New Roman"/>
          <w:lang w:val="sr-Cyrl-BA"/>
        </w:rPr>
        <w:t>и</w:t>
      </w:r>
      <w:r w:rsidR="009330B9" w:rsidRPr="00295637">
        <w:rPr>
          <w:rFonts w:ascii="Times New Roman" w:hAnsi="Times New Roman"/>
          <w:lang w:val="sr-Cyrl-BA"/>
        </w:rPr>
        <w:t xml:space="preserve"> </w:t>
      </w:r>
      <w:r>
        <w:rPr>
          <w:rFonts w:ascii="Times New Roman" w:hAnsi="Times New Roman"/>
          <w:lang w:val="sr-Cyrl-BA"/>
        </w:rPr>
        <w:t>овлаш</w:t>
      </w:r>
      <w:r w:rsidR="002E608B">
        <w:rPr>
          <w:rFonts w:ascii="Times New Roman" w:hAnsi="Times New Roman"/>
          <w:lang w:val="sr-Cyrl-BA"/>
        </w:rPr>
        <w:t>ћ</w:t>
      </w:r>
      <w:r>
        <w:rPr>
          <w:rFonts w:ascii="Times New Roman" w:hAnsi="Times New Roman"/>
          <w:lang w:val="sr-Cyrl-BA"/>
        </w:rPr>
        <w:t>ењима</w:t>
      </w:r>
      <w:r w:rsidR="009330B9" w:rsidRPr="00295637">
        <w:rPr>
          <w:rFonts w:ascii="Times New Roman" w:hAnsi="Times New Roman"/>
          <w:lang w:val="sr-Cyrl-BA"/>
        </w:rPr>
        <w:t xml:space="preserve"> </w:t>
      </w:r>
      <w:r>
        <w:rPr>
          <w:rFonts w:ascii="Times New Roman" w:hAnsi="Times New Roman"/>
          <w:lang w:val="sr-Cyrl-BA"/>
        </w:rPr>
        <w:t>Црвеног</w:t>
      </w:r>
      <w:r w:rsidR="009330B9" w:rsidRPr="00295637">
        <w:rPr>
          <w:rFonts w:ascii="Times New Roman" w:hAnsi="Times New Roman"/>
          <w:lang w:val="sr-Cyrl-BA"/>
        </w:rPr>
        <w:t xml:space="preserve"> </w:t>
      </w:r>
      <w:r>
        <w:rPr>
          <w:rFonts w:ascii="Times New Roman" w:hAnsi="Times New Roman"/>
          <w:lang w:val="sr-Cyrl-BA"/>
        </w:rPr>
        <w:t>кр</w:t>
      </w:r>
      <w:r w:rsidR="002E608B">
        <w:rPr>
          <w:rFonts w:ascii="Times New Roman" w:hAnsi="Times New Roman"/>
          <w:lang w:val="sr-Cyrl-BA"/>
        </w:rPr>
        <w:t>ста</w:t>
      </w:r>
      <w:r w:rsidR="009330B9"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BE246B" w:rsidRPr="00295637">
        <w:rPr>
          <w:rFonts w:ascii="Times New Roman" w:hAnsi="Times New Roman"/>
          <w:lang w:val="sr-Latn-BA"/>
        </w:rPr>
        <w:t>,</w:t>
      </w:r>
      <w:r w:rsidR="008A5A21">
        <w:rPr>
          <w:rFonts w:ascii="Times New Roman" w:hAnsi="Times New Roman"/>
          <w:lang w:val="sr-Cyrl-BA"/>
        </w:rPr>
        <w:t xml:space="preserve"> </w:t>
      </w:r>
      <w:r>
        <w:rPr>
          <w:rFonts w:ascii="Times New Roman" w:hAnsi="Times New Roman"/>
          <w:lang w:val="sr-Cyrl-BA"/>
        </w:rPr>
        <w:t>усаглашен</w:t>
      </w:r>
      <w:r w:rsidR="008A5A21">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BE246B" w:rsidRPr="00295637">
        <w:rPr>
          <w:rFonts w:ascii="Times New Roman" w:hAnsi="Times New Roman"/>
          <w:lang w:val="sr-Cyrl-BA"/>
        </w:rPr>
        <w:t xml:space="preserve"> </w:t>
      </w:r>
      <w:r>
        <w:rPr>
          <w:rFonts w:ascii="Times New Roman" w:hAnsi="Times New Roman"/>
          <w:lang w:val="sr-Cyrl-BA"/>
        </w:rPr>
        <w:t>правним</w:t>
      </w:r>
      <w:r w:rsidR="00BE246B" w:rsidRPr="00295637">
        <w:rPr>
          <w:rFonts w:ascii="Times New Roman" w:hAnsi="Times New Roman"/>
          <w:lang w:val="sr-Cyrl-BA"/>
        </w:rPr>
        <w:t xml:space="preserve"> </w:t>
      </w:r>
      <w:r>
        <w:rPr>
          <w:rFonts w:ascii="Times New Roman" w:hAnsi="Times New Roman"/>
          <w:lang w:val="sr-Cyrl-BA"/>
        </w:rPr>
        <w:t>стандардима</w:t>
      </w:r>
      <w:r w:rsidR="00BE246B" w:rsidRPr="00295637">
        <w:rPr>
          <w:rFonts w:ascii="Times New Roman" w:hAnsi="Times New Roman"/>
          <w:lang w:val="sr-Cyrl-BA"/>
        </w:rPr>
        <w:t xml:space="preserve"> </w:t>
      </w:r>
      <w:r>
        <w:rPr>
          <w:rFonts w:ascii="Times New Roman" w:hAnsi="Times New Roman"/>
          <w:lang w:val="sr-Cyrl-BA"/>
        </w:rPr>
        <w:t>за</w:t>
      </w:r>
      <w:r w:rsidR="00BE246B" w:rsidRPr="00295637">
        <w:rPr>
          <w:rFonts w:ascii="Times New Roman" w:hAnsi="Times New Roman"/>
          <w:lang w:val="sr-Cyrl-BA"/>
        </w:rPr>
        <w:t xml:space="preserve"> </w:t>
      </w:r>
      <w:r>
        <w:rPr>
          <w:rFonts w:ascii="Times New Roman" w:hAnsi="Times New Roman"/>
          <w:lang w:val="sr-Cyrl-BA"/>
        </w:rPr>
        <w:t>равноправност</w:t>
      </w:r>
      <w:r w:rsidR="00BE246B" w:rsidRPr="00295637">
        <w:rPr>
          <w:rFonts w:ascii="Times New Roman" w:hAnsi="Times New Roman"/>
          <w:lang w:val="sr-Cyrl-BA"/>
        </w:rPr>
        <w:t xml:space="preserve"> </w:t>
      </w:r>
      <w:r>
        <w:rPr>
          <w:rFonts w:ascii="Times New Roman" w:hAnsi="Times New Roman"/>
          <w:lang w:val="sr-Cyrl-BA"/>
        </w:rPr>
        <w:t>полова</w:t>
      </w:r>
      <w:r w:rsidR="00BE246B" w:rsidRPr="00295637">
        <w:rPr>
          <w:rFonts w:ascii="Times New Roman" w:hAnsi="Times New Roman"/>
          <w:lang w:val="sr-Cyrl-BA"/>
        </w:rPr>
        <w:t>.</w:t>
      </w:r>
    </w:p>
    <w:p w:rsidR="00BE246B" w:rsidRPr="00295637" w:rsidRDefault="00BE246B" w:rsidP="0086268D">
      <w:pPr>
        <w:pStyle w:val="ListParagraph"/>
        <w:ind w:left="0"/>
        <w:jc w:val="both"/>
        <w:rPr>
          <w:rFonts w:ascii="Times New Roman" w:hAnsi="Times New Roman"/>
          <w:lang w:val="sr-Cyrl-BA"/>
        </w:rPr>
      </w:pPr>
    </w:p>
    <w:p w:rsidR="00BE246B"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На</w:t>
      </w:r>
      <w:r w:rsidR="00BE246B" w:rsidRPr="00295637">
        <w:rPr>
          <w:rFonts w:ascii="Times New Roman" w:hAnsi="Times New Roman"/>
          <w:lang w:val="sr-Latn-BA"/>
        </w:rPr>
        <w:t xml:space="preserve"> </w:t>
      </w:r>
      <w:r>
        <w:rPr>
          <w:rFonts w:ascii="Times New Roman" w:hAnsi="Times New Roman"/>
          <w:lang w:val="sr-Latn-BA"/>
        </w:rPr>
        <w:t>снази</w:t>
      </w:r>
      <w:r w:rsidR="00BE246B" w:rsidRPr="00295637">
        <w:rPr>
          <w:rFonts w:ascii="Times New Roman" w:hAnsi="Times New Roman"/>
          <w:lang w:val="sr-Latn-BA"/>
        </w:rPr>
        <w:t xml:space="preserve"> </w:t>
      </w:r>
      <w:r>
        <w:rPr>
          <w:rFonts w:ascii="Times New Roman" w:hAnsi="Times New Roman"/>
          <w:lang w:val="sr-Latn-BA"/>
        </w:rPr>
        <w:t>је</w:t>
      </w:r>
      <w:r w:rsidR="00BE246B" w:rsidRPr="00295637">
        <w:rPr>
          <w:rFonts w:ascii="Times New Roman" w:hAnsi="Times New Roman"/>
          <w:lang w:val="sr-Latn-BA"/>
        </w:rPr>
        <w:t xml:space="preserve"> </w:t>
      </w:r>
      <w:r>
        <w:rPr>
          <w:rFonts w:ascii="Times New Roman" w:hAnsi="Times New Roman"/>
          <w:lang w:val="sr-Latn-BA"/>
        </w:rPr>
        <w:t>Стратегија</w:t>
      </w:r>
      <w:r w:rsidR="00BE246B" w:rsidRPr="00295637">
        <w:rPr>
          <w:rFonts w:ascii="Times New Roman" w:hAnsi="Times New Roman"/>
          <w:lang w:val="sr-Latn-BA"/>
        </w:rPr>
        <w:t xml:space="preserve"> </w:t>
      </w:r>
      <w:r>
        <w:rPr>
          <w:rFonts w:ascii="Times New Roman" w:hAnsi="Times New Roman"/>
          <w:lang w:val="sr-Latn-BA"/>
        </w:rPr>
        <w:t>за</w:t>
      </w:r>
      <w:r w:rsidR="00BE246B" w:rsidRPr="00295637">
        <w:rPr>
          <w:rFonts w:ascii="Times New Roman" w:hAnsi="Times New Roman"/>
          <w:lang w:val="sr-Latn-BA"/>
        </w:rPr>
        <w:t xml:space="preserve"> </w:t>
      </w:r>
      <w:r>
        <w:rPr>
          <w:rFonts w:ascii="Times New Roman" w:hAnsi="Times New Roman"/>
          <w:lang w:val="sr-Latn-BA"/>
        </w:rPr>
        <w:t>унапређење</w:t>
      </w:r>
      <w:r w:rsidR="00BE246B" w:rsidRPr="00295637">
        <w:rPr>
          <w:rFonts w:ascii="Times New Roman" w:hAnsi="Times New Roman"/>
          <w:lang w:val="sr-Latn-BA"/>
        </w:rPr>
        <w:t xml:space="preserve"> </w:t>
      </w:r>
      <w:r>
        <w:rPr>
          <w:rFonts w:ascii="Times New Roman" w:hAnsi="Times New Roman"/>
          <w:lang w:val="sr-Latn-BA"/>
        </w:rPr>
        <w:t>сексуалног</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репродуктивног</w:t>
      </w:r>
      <w:r w:rsidR="00BE246B" w:rsidRPr="00295637">
        <w:rPr>
          <w:rFonts w:ascii="Times New Roman" w:hAnsi="Times New Roman"/>
          <w:lang w:val="sr-Latn-BA"/>
        </w:rPr>
        <w:t xml:space="preserve"> </w:t>
      </w:r>
      <w:r>
        <w:rPr>
          <w:rFonts w:ascii="Times New Roman" w:hAnsi="Times New Roman"/>
          <w:lang w:val="sr-Latn-BA"/>
        </w:rPr>
        <w:t>здравља</w:t>
      </w:r>
      <w:r w:rsidR="00BE246B" w:rsidRPr="00295637">
        <w:rPr>
          <w:rFonts w:ascii="Times New Roman" w:hAnsi="Times New Roman"/>
          <w:lang w:val="sr-Latn-BA"/>
        </w:rPr>
        <w:t xml:space="preserve"> </w:t>
      </w:r>
      <w:r>
        <w:rPr>
          <w:rFonts w:ascii="Times New Roman" w:hAnsi="Times New Roman"/>
          <w:lang w:val="sr-Latn-BA"/>
        </w:rPr>
        <w:t>у</w:t>
      </w:r>
      <w:r w:rsidR="00BE246B" w:rsidRPr="00295637">
        <w:rPr>
          <w:rFonts w:ascii="Times New Roman" w:hAnsi="Times New Roman"/>
          <w:lang w:val="sr-Latn-BA"/>
        </w:rPr>
        <w:t xml:space="preserve"> </w:t>
      </w:r>
      <w:r>
        <w:rPr>
          <w:rFonts w:ascii="Times New Roman" w:hAnsi="Times New Roman"/>
          <w:lang w:val="sr-Latn-BA"/>
        </w:rPr>
        <w:t>Републици</w:t>
      </w:r>
      <w:r w:rsidR="00BE246B" w:rsidRPr="00295637">
        <w:rPr>
          <w:rFonts w:ascii="Times New Roman" w:hAnsi="Times New Roman"/>
          <w:lang w:val="sr-Latn-BA"/>
        </w:rPr>
        <w:t xml:space="preserve"> </w:t>
      </w:r>
      <w:r>
        <w:rPr>
          <w:rFonts w:ascii="Times New Roman" w:hAnsi="Times New Roman"/>
          <w:lang w:val="sr-Latn-BA"/>
        </w:rPr>
        <w:t>Српској</w:t>
      </w:r>
      <w:r w:rsidR="00BE246B" w:rsidRPr="00295637">
        <w:rPr>
          <w:rFonts w:ascii="Times New Roman" w:hAnsi="Times New Roman"/>
          <w:lang w:val="sr-Latn-BA"/>
        </w:rPr>
        <w:t xml:space="preserve"> (2019-2029</w:t>
      </w:r>
      <w:r w:rsidR="008A5A21">
        <w:rPr>
          <w:rFonts w:ascii="Times New Roman" w:hAnsi="Times New Roman"/>
          <w:lang w:val="sr-Latn-BA"/>
        </w:rPr>
        <w:t xml:space="preserve">. </w:t>
      </w:r>
      <w:r>
        <w:rPr>
          <w:rFonts w:ascii="Times New Roman" w:hAnsi="Times New Roman"/>
          <w:lang w:val="sr-Latn-BA"/>
        </w:rPr>
        <w:t>година</w:t>
      </w:r>
      <w:r w:rsidR="00BE246B" w:rsidRPr="00295637">
        <w:rPr>
          <w:rFonts w:ascii="Times New Roman" w:hAnsi="Times New Roman"/>
          <w:lang w:val="sr-Latn-BA"/>
        </w:rPr>
        <w:t xml:space="preserve">). </w:t>
      </w:r>
      <w:r>
        <w:rPr>
          <w:rFonts w:ascii="Times New Roman" w:hAnsi="Times New Roman"/>
          <w:lang w:val="sr-Latn-BA"/>
        </w:rPr>
        <w:t>Стратегија</w:t>
      </w:r>
      <w:r w:rsidR="00BE246B" w:rsidRPr="00295637">
        <w:rPr>
          <w:rFonts w:ascii="Times New Roman" w:hAnsi="Times New Roman"/>
          <w:lang w:val="sr-Latn-BA"/>
        </w:rPr>
        <w:t xml:space="preserve"> </w:t>
      </w:r>
      <w:r>
        <w:rPr>
          <w:rFonts w:ascii="Times New Roman" w:hAnsi="Times New Roman"/>
          <w:lang w:val="sr-Latn-BA"/>
        </w:rPr>
        <w:t>је</w:t>
      </w:r>
      <w:r w:rsidR="00BE246B" w:rsidRPr="00295637">
        <w:rPr>
          <w:rFonts w:ascii="Times New Roman" w:hAnsi="Times New Roman"/>
          <w:lang w:val="sr-Latn-BA"/>
        </w:rPr>
        <w:t xml:space="preserve"> </w:t>
      </w:r>
      <w:r>
        <w:rPr>
          <w:rFonts w:ascii="Times New Roman" w:hAnsi="Times New Roman"/>
          <w:lang w:val="sr-Latn-BA"/>
        </w:rPr>
        <w:t>заснована</w:t>
      </w:r>
      <w:r w:rsidR="00BE246B" w:rsidRPr="00295637">
        <w:rPr>
          <w:rFonts w:ascii="Times New Roman" w:hAnsi="Times New Roman"/>
          <w:lang w:val="sr-Latn-BA"/>
        </w:rPr>
        <w:t xml:space="preserve"> </w:t>
      </w:r>
      <w:r>
        <w:rPr>
          <w:rFonts w:ascii="Times New Roman" w:hAnsi="Times New Roman"/>
          <w:lang w:val="sr-Latn-BA"/>
        </w:rPr>
        <w:t>на</w:t>
      </w:r>
      <w:r w:rsidR="00BE246B" w:rsidRPr="00295637">
        <w:rPr>
          <w:rFonts w:ascii="Times New Roman" w:hAnsi="Times New Roman"/>
          <w:lang w:val="sr-Latn-BA"/>
        </w:rPr>
        <w:t xml:space="preserve"> </w:t>
      </w:r>
      <w:r>
        <w:rPr>
          <w:rFonts w:ascii="Times New Roman" w:hAnsi="Times New Roman"/>
          <w:lang w:val="sr-Latn-BA"/>
        </w:rPr>
        <w:t>сљедећим</w:t>
      </w:r>
      <w:r w:rsidR="00BE246B" w:rsidRPr="00295637">
        <w:rPr>
          <w:rFonts w:ascii="Times New Roman" w:hAnsi="Times New Roman"/>
          <w:lang w:val="sr-Latn-BA"/>
        </w:rPr>
        <w:t xml:space="preserve"> </w:t>
      </w:r>
      <w:r>
        <w:rPr>
          <w:rFonts w:ascii="Times New Roman" w:hAnsi="Times New Roman"/>
          <w:lang w:val="sr-Latn-BA"/>
        </w:rPr>
        <w:t>принципима</w:t>
      </w:r>
      <w:r w:rsidR="00BE246B" w:rsidRPr="00295637">
        <w:rPr>
          <w:rFonts w:ascii="Times New Roman" w:hAnsi="Times New Roman"/>
          <w:lang w:val="sr-Latn-BA"/>
        </w:rPr>
        <w:t xml:space="preserve">: </w:t>
      </w:r>
      <w:r>
        <w:rPr>
          <w:rFonts w:ascii="Times New Roman" w:hAnsi="Times New Roman"/>
          <w:lang w:val="sr-Latn-BA"/>
        </w:rPr>
        <w:t>највиши</w:t>
      </w:r>
      <w:r w:rsidR="00BE246B" w:rsidRPr="00295637">
        <w:rPr>
          <w:rFonts w:ascii="Times New Roman" w:hAnsi="Times New Roman"/>
          <w:lang w:val="sr-Latn-BA"/>
        </w:rPr>
        <w:t xml:space="preserve"> </w:t>
      </w:r>
      <w:r>
        <w:rPr>
          <w:rFonts w:ascii="Times New Roman" w:hAnsi="Times New Roman"/>
          <w:lang w:val="sr-Latn-BA"/>
        </w:rPr>
        <w:t>стандарди</w:t>
      </w:r>
      <w:r w:rsidR="00BE246B" w:rsidRPr="00295637">
        <w:rPr>
          <w:rFonts w:ascii="Times New Roman" w:hAnsi="Times New Roman"/>
          <w:lang w:val="sr-Latn-BA"/>
        </w:rPr>
        <w:t xml:space="preserve"> </w:t>
      </w:r>
      <w:r>
        <w:rPr>
          <w:rFonts w:ascii="Times New Roman" w:hAnsi="Times New Roman"/>
          <w:lang w:val="sr-Latn-BA"/>
        </w:rPr>
        <w:t>здравља</w:t>
      </w:r>
      <w:r w:rsidR="00BE246B" w:rsidRPr="00295637">
        <w:rPr>
          <w:rFonts w:ascii="Times New Roman" w:hAnsi="Times New Roman"/>
          <w:lang w:val="sr-Latn-BA"/>
        </w:rPr>
        <w:t xml:space="preserve">, </w:t>
      </w:r>
      <w:r>
        <w:rPr>
          <w:rFonts w:ascii="Times New Roman" w:hAnsi="Times New Roman"/>
          <w:lang w:val="sr-Latn-BA"/>
        </w:rPr>
        <w:t>заштита</w:t>
      </w:r>
      <w:r w:rsidR="00BE246B" w:rsidRPr="00295637">
        <w:rPr>
          <w:rFonts w:ascii="Times New Roman" w:hAnsi="Times New Roman"/>
          <w:lang w:val="sr-Latn-BA"/>
        </w:rPr>
        <w:t xml:space="preserve"> </w:t>
      </w:r>
      <w:r>
        <w:rPr>
          <w:rFonts w:ascii="Times New Roman" w:hAnsi="Times New Roman"/>
          <w:lang w:val="sr-Latn-BA"/>
        </w:rPr>
        <w:t>људских</w:t>
      </w:r>
      <w:r w:rsidR="00BE246B" w:rsidRPr="00295637">
        <w:rPr>
          <w:rFonts w:ascii="Times New Roman" w:hAnsi="Times New Roman"/>
          <w:lang w:val="sr-Latn-BA"/>
        </w:rPr>
        <w:t xml:space="preserve"> </w:t>
      </w:r>
      <w:r>
        <w:rPr>
          <w:rFonts w:ascii="Times New Roman" w:hAnsi="Times New Roman"/>
          <w:lang w:val="sr-Latn-BA"/>
        </w:rPr>
        <w:t>права</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недискриминација</w:t>
      </w:r>
      <w:r w:rsidR="00BE246B" w:rsidRPr="00295637">
        <w:rPr>
          <w:rFonts w:ascii="Times New Roman" w:hAnsi="Times New Roman"/>
          <w:lang w:val="sr-Latn-BA"/>
        </w:rPr>
        <w:t xml:space="preserve">, </w:t>
      </w:r>
      <w:r>
        <w:rPr>
          <w:rFonts w:ascii="Times New Roman" w:hAnsi="Times New Roman"/>
          <w:lang w:val="sr-Latn-BA"/>
        </w:rPr>
        <w:t>оријентисаност</w:t>
      </w:r>
      <w:r w:rsidR="00BE246B" w:rsidRPr="00295637">
        <w:rPr>
          <w:rFonts w:ascii="Times New Roman" w:hAnsi="Times New Roman"/>
          <w:lang w:val="sr-Latn-BA"/>
        </w:rPr>
        <w:t xml:space="preserve"> </w:t>
      </w:r>
      <w:r>
        <w:rPr>
          <w:rFonts w:ascii="Times New Roman" w:hAnsi="Times New Roman"/>
          <w:lang w:val="sr-Latn-BA"/>
        </w:rPr>
        <w:t>на</w:t>
      </w:r>
      <w:r w:rsidR="00BE246B" w:rsidRPr="00295637">
        <w:rPr>
          <w:rFonts w:ascii="Times New Roman" w:hAnsi="Times New Roman"/>
          <w:lang w:val="sr-Latn-BA"/>
        </w:rPr>
        <w:t xml:space="preserve"> </w:t>
      </w:r>
      <w:r>
        <w:rPr>
          <w:rFonts w:ascii="Times New Roman" w:hAnsi="Times New Roman"/>
          <w:lang w:val="sr-Latn-BA"/>
        </w:rPr>
        <w:t>кориснике</w:t>
      </w:r>
      <w:r w:rsidR="00BE246B" w:rsidRPr="00295637">
        <w:rPr>
          <w:rFonts w:ascii="Times New Roman" w:hAnsi="Times New Roman"/>
          <w:lang w:val="sr-Latn-BA"/>
        </w:rPr>
        <w:t xml:space="preserve"> </w:t>
      </w:r>
      <w:r>
        <w:rPr>
          <w:rFonts w:ascii="Times New Roman" w:hAnsi="Times New Roman"/>
          <w:lang w:val="sr-Latn-BA"/>
        </w:rPr>
        <w:t>услуга</w:t>
      </w:r>
      <w:r w:rsidR="00BE246B" w:rsidRPr="00295637">
        <w:rPr>
          <w:rFonts w:ascii="Times New Roman" w:hAnsi="Times New Roman"/>
          <w:lang w:val="sr-Latn-BA"/>
        </w:rPr>
        <w:t xml:space="preserve">, </w:t>
      </w:r>
      <w:r>
        <w:rPr>
          <w:rFonts w:ascii="Times New Roman" w:hAnsi="Times New Roman"/>
          <w:lang w:val="sr-Latn-BA"/>
        </w:rPr>
        <w:t>доступност</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континуитет</w:t>
      </w:r>
      <w:r w:rsidR="00BE246B" w:rsidRPr="00295637">
        <w:rPr>
          <w:rFonts w:ascii="Times New Roman" w:hAnsi="Times New Roman"/>
          <w:lang w:val="sr-Latn-BA"/>
        </w:rPr>
        <w:t xml:space="preserve"> </w:t>
      </w:r>
      <w:r>
        <w:rPr>
          <w:rFonts w:ascii="Times New Roman" w:hAnsi="Times New Roman"/>
          <w:lang w:val="sr-Latn-BA"/>
        </w:rPr>
        <w:t>услуга</w:t>
      </w:r>
      <w:r w:rsidR="00BE246B" w:rsidRPr="00295637">
        <w:rPr>
          <w:rFonts w:ascii="Times New Roman" w:hAnsi="Times New Roman"/>
          <w:lang w:val="sr-Latn-BA"/>
        </w:rPr>
        <w:t xml:space="preserve"> </w:t>
      </w:r>
      <w:r>
        <w:rPr>
          <w:rFonts w:ascii="Times New Roman" w:hAnsi="Times New Roman"/>
          <w:lang w:val="sr-Latn-BA"/>
        </w:rPr>
        <w:t>које</w:t>
      </w:r>
      <w:r w:rsidR="00BE246B" w:rsidRPr="00295637">
        <w:rPr>
          <w:rFonts w:ascii="Times New Roman" w:hAnsi="Times New Roman"/>
          <w:lang w:val="sr-Latn-BA"/>
        </w:rPr>
        <w:t xml:space="preserve"> </w:t>
      </w:r>
      <w:r>
        <w:rPr>
          <w:rFonts w:ascii="Times New Roman" w:hAnsi="Times New Roman"/>
          <w:lang w:val="sr-Latn-BA"/>
        </w:rPr>
        <w:t>унапређују</w:t>
      </w:r>
      <w:r w:rsidR="00BE246B" w:rsidRPr="00295637">
        <w:rPr>
          <w:rFonts w:ascii="Times New Roman" w:hAnsi="Times New Roman"/>
          <w:lang w:val="sr-Latn-BA"/>
        </w:rPr>
        <w:t xml:space="preserve"> </w:t>
      </w:r>
      <w:r>
        <w:rPr>
          <w:rFonts w:ascii="Times New Roman" w:hAnsi="Times New Roman"/>
          <w:lang w:val="sr-Latn-BA"/>
        </w:rPr>
        <w:t>сексуално</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репродуктивно</w:t>
      </w:r>
      <w:r w:rsidR="00BE246B" w:rsidRPr="00295637">
        <w:rPr>
          <w:rFonts w:ascii="Times New Roman" w:hAnsi="Times New Roman"/>
          <w:lang w:val="sr-Latn-BA"/>
        </w:rPr>
        <w:t xml:space="preserve"> </w:t>
      </w:r>
      <w:r>
        <w:rPr>
          <w:rFonts w:ascii="Times New Roman" w:hAnsi="Times New Roman"/>
          <w:lang w:val="sr-Latn-BA"/>
        </w:rPr>
        <w:t>здравље</w:t>
      </w:r>
      <w:r w:rsidR="00BE246B" w:rsidRPr="00295637">
        <w:rPr>
          <w:rFonts w:ascii="Times New Roman" w:hAnsi="Times New Roman"/>
          <w:lang w:val="sr-Latn-BA"/>
        </w:rPr>
        <w:t xml:space="preserve">, </w:t>
      </w:r>
      <w:r>
        <w:rPr>
          <w:rFonts w:ascii="Times New Roman" w:hAnsi="Times New Roman"/>
          <w:lang w:val="sr-Latn-BA"/>
        </w:rPr>
        <w:t>солидарност</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једнакост</w:t>
      </w:r>
      <w:r w:rsidR="00BE246B" w:rsidRPr="00295637">
        <w:rPr>
          <w:rFonts w:ascii="Times New Roman" w:hAnsi="Times New Roman"/>
          <w:lang w:val="sr-Latn-BA"/>
        </w:rPr>
        <w:t xml:space="preserve"> </w:t>
      </w:r>
      <w:r>
        <w:rPr>
          <w:rFonts w:ascii="Times New Roman" w:hAnsi="Times New Roman"/>
          <w:lang w:val="sr-Latn-BA"/>
        </w:rPr>
        <w:t>при</w:t>
      </w:r>
      <w:r w:rsidR="00BE246B" w:rsidRPr="00295637">
        <w:rPr>
          <w:rFonts w:ascii="Times New Roman" w:hAnsi="Times New Roman"/>
          <w:lang w:val="sr-Latn-BA"/>
        </w:rPr>
        <w:t xml:space="preserve"> </w:t>
      </w:r>
      <w:r>
        <w:rPr>
          <w:rFonts w:ascii="Times New Roman" w:hAnsi="Times New Roman"/>
          <w:lang w:val="sr-Latn-BA"/>
        </w:rPr>
        <w:t>кориш</w:t>
      </w:r>
      <w:r w:rsidR="002E608B">
        <w:rPr>
          <w:rFonts w:ascii="Times New Roman" w:hAnsi="Times New Roman"/>
          <w:lang w:val="sr-Cyrl-BA"/>
        </w:rPr>
        <w:t>ћ</w:t>
      </w:r>
      <w:r>
        <w:rPr>
          <w:rFonts w:ascii="Times New Roman" w:hAnsi="Times New Roman"/>
          <w:lang w:val="sr-Latn-BA"/>
        </w:rPr>
        <w:t>ењу</w:t>
      </w:r>
      <w:r w:rsidR="00BE246B" w:rsidRPr="00295637">
        <w:rPr>
          <w:rFonts w:ascii="Times New Roman" w:hAnsi="Times New Roman"/>
          <w:lang w:val="sr-Latn-BA"/>
        </w:rPr>
        <w:t xml:space="preserve"> </w:t>
      </w:r>
      <w:r>
        <w:rPr>
          <w:rFonts w:ascii="Times New Roman" w:hAnsi="Times New Roman"/>
          <w:lang w:val="sr-Latn-BA"/>
        </w:rPr>
        <w:t>здравствених</w:t>
      </w:r>
      <w:r w:rsidR="00BE246B" w:rsidRPr="00295637">
        <w:rPr>
          <w:rFonts w:ascii="Times New Roman" w:hAnsi="Times New Roman"/>
          <w:lang w:val="sr-Latn-BA"/>
        </w:rPr>
        <w:t xml:space="preserve"> </w:t>
      </w:r>
      <w:r>
        <w:rPr>
          <w:rFonts w:ascii="Times New Roman" w:hAnsi="Times New Roman"/>
          <w:lang w:val="sr-Latn-BA"/>
        </w:rPr>
        <w:t>услуга</w:t>
      </w:r>
      <w:r w:rsidR="00BE246B" w:rsidRPr="00295637">
        <w:rPr>
          <w:rFonts w:ascii="Times New Roman" w:hAnsi="Times New Roman"/>
          <w:lang w:val="sr-Latn-BA"/>
        </w:rPr>
        <w:t xml:space="preserve">, </w:t>
      </w:r>
      <w:r>
        <w:rPr>
          <w:rFonts w:ascii="Times New Roman" w:hAnsi="Times New Roman"/>
          <w:lang w:val="sr-Latn-BA"/>
        </w:rPr>
        <w:t>родна</w:t>
      </w:r>
      <w:r w:rsidR="00BE246B" w:rsidRPr="00295637">
        <w:rPr>
          <w:rFonts w:ascii="Times New Roman" w:hAnsi="Times New Roman"/>
          <w:lang w:val="sr-Latn-BA"/>
        </w:rPr>
        <w:t xml:space="preserve"> </w:t>
      </w:r>
      <w:r>
        <w:rPr>
          <w:rFonts w:ascii="Times New Roman" w:hAnsi="Times New Roman"/>
          <w:lang w:val="sr-Latn-BA"/>
        </w:rPr>
        <w:t>равноправност</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оснаживање</w:t>
      </w:r>
      <w:r w:rsidR="00BE246B" w:rsidRPr="00295637">
        <w:rPr>
          <w:rFonts w:ascii="Times New Roman" w:hAnsi="Times New Roman"/>
          <w:lang w:val="sr-Latn-BA"/>
        </w:rPr>
        <w:t xml:space="preserve"> </w:t>
      </w:r>
      <w:r>
        <w:rPr>
          <w:rFonts w:ascii="Times New Roman" w:hAnsi="Times New Roman"/>
          <w:lang w:val="sr-Latn-BA"/>
        </w:rPr>
        <w:t>свих</w:t>
      </w:r>
      <w:r w:rsidR="00BE246B" w:rsidRPr="00295637">
        <w:rPr>
          <w:rFonts w:ascii="Times New Roman" w:hAnsi="Times New Roman"/>
          <w:lang w:val="sr-Latn-BA"/>
        </w:rPr>
        <w:t xml:space="preserve"> </w:t>
      </w:r>
      <w:r>
        <w:rPr>
          <w:rFonts w:ascii="Times New Roman" w:hAnsi="Times New Roman"/>
          <w:lang w:val="sr-Latn-BA"/>
        </w:rPr>
        <w:t>жена</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дјевојака</w:t>
      </w:r>
      <w:r w:rsidR="00BE246B" w:rsidRPr="00295637">
        <w:rPr>
          <w:rFonts w:ascii="Times New Roman" w:hAnsi="Times New Roman"/>
          <w:lang w:val="sr-Latn-BA"/>
        </w:rPr>
        <w:t xml:space="preserve">, </w:t>
      </w:r>
      <w:r>
        <w:rPr>
          <w:rFonts w:ascii="Times New Roman" w:hAnsi="Times New Roman"/>
          <w:lang w:val="sr-Latn-BA"/>
        </w:rPr>
        <w:t>промоција</w:t>
      </w:r>
      <w:r w:rsidR="00BE246B" w:rsidRPr="00295637">
        <w:rPr>
          <w:rFonts w:ascii="Times New Roman" w:hAnsi="Times New Roman"/>
          <w:lang w:val="sr-Latn-BA"/>
        </w:rPr>
        <w:t xml:space="preserve"> </w:t>
      </w:r>
      <w:r>
        <w:rPr>
          <w:rFonts w:ascii="Times New Roman" w:hAnsi="Times New Roman"/>
          <w:lang w:val="sr-Latn-BA"/>
        </w:rPr>
        <w:t>репродуктивног</w:t>
      </w:r>
      <w:r w:rsidR="00BE246B" w:rsidRPr="00295637">
        <w:rPr>
          <w:rFonts w:ascii="Times New Roman" w:hAnsi="Times New Roman"/>
          <w:lang w:val="sr-Latn-BA"/>
        </w:rPr>
        <w:t xml:space="preserve"> </w:t>
      </w:r>
      <w:r>
        <w:rPr>
          <w:rFonts w:ascii="Times New Roman" w:hAnsi="Times New Roman"/>
          <w:lang w:val="sr-Latn-BA"/>
        </w:rPr>
        <w:t>здравља</w:t>
      </w:r>
      <w:r w:rsidR="00BE246B" w:rsidRPr="00295637">
        <w:rPr>
          <w:rFonts w:ascii="Times New Roman" w:hAnsi="Times New Roman"/>
          <w:lang w:val="sr-Latn-BA"/>
        </w:rPr>
        <w:t xml:space="preserve">, </w:t>
      </w:r>
      <w:r>
        <w:rPr>
          <w:rFonts w:ascii="Times New Roman" w:hAnsi="Times New Roman"/>
          <w:lang w:val="sr-Latn-BA"/>
        </w:rPr>
        <w:t>превенција</w:t>
      </w:r>
      <w:r w:rsidR="00BE246B" w:rsidRPr="00295637">
        <w:rPr>
          <w:rFonts w:ascii="Times New Roman" w:hAnsi="Times New Roman"/>
          <w:lang w:val="sr-Latn-BA"/>
        </w:rPr>
        <w:t xml:space="preserve"> </w:t>
      </w:r>
      <w:r>
        <w:rPr>
          <w:rFonts w:ascii="Times New Roman" w:hAnsi="Times New Roman"/>
          <w:lang w:val="sr-Latn-BA"/>
        </w:rPr>
        <w:t>болести</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мултисекторска</w:t>
      </w:r>
      <w:r w:rsidR="00BE246B" w:rsidRPr="00295637">
        <w:rPr>
          <w:rFonts w:ascii="Times New Roman" w:hAnsi="Times New Roman"/>
          <w:lang w:val="sr-Latn-BA"/>
        </w:rPr>
        <w:t xml:space="preserve"> </w:t>
      </w:r>
      <w:r>
        <w:rPr>
          <w:rFonts w:ascii="Times New Roman" w:hAnsi="Times New Roman"/>
          <w:lang w:val="sr-Latn-BA"/>
        </w:rPr>
        <w:t>сарадња</w:t>
      </w:r>
      <w:r w:rsidR="00BE246B" w:rsidRPr="00295637">
        <w:rPr>
          <w:rFonts w:ascii="Times New Roman" w:hAnsi="Times New Roman"/>
          <w:lang w:val="sr-Latn-BA"/>
        </w:rPr>
        <w:t xml:space="preserve">, </w:t>
      </w:r>
      <w:r>
        <w:rPr>
          <w:rFonts w:ascii="Times New Roman" w:hAnsi="Times New Roman"/>
          <w:lang w:val="sr-Latn-BA"/>
        </w:rPr>
        <w:t>унапређење</w:t>
      </w:r>
      <w:r w:rsidR="00BE246B" w:rsidRPr="00295637">
        <w:rPr>
          <w:rFonts w:ascii="Times New Roman" w:hAnsi="Times New Roman"/>
          <w:lang w:val="sr-Latn-BA"/>
        </w:rPr>
        <w:t xml:space="preserve"> </w:t>
      </w:r>
      <w:r>
        <w:rPr>
          <w:rFonts w:ascii="Times New Roman" w:hAnsi="Times New Roman"/>
          <w:lang w:val="sr-Latn-BA"/>
        </w:rPr>
        <w:t>квалитета</w:t>
      </w:r>
      <w:r w:rsidR="00BE246B" w:rsidRPr="00295637">
        <w:rPr>
          <w:rFonts w:ascii="Times New Roman" w:hAnsi="Times New Roman"/>
          <w:lang w:val="sr-Latn-BA"/>
        </w:rPr>
        <w:t xml:space="preserve"> </w:t>
      </w:r>
      <w:r>
        <w:rPr>
          <w:rFonts w:ascii="Times New Roman" w:hAnsi="Times New Roman"/>
          <w:lang w:val="sr-Latn-BA"/>
        </w:rPr>
        <w:t>здравствене</w:t>
      </w:r>
      <w:r w:rsidR="00BE246B" w:rsidRPr="00295637">
        <w:rPr>
          <w:rFonts w:ascii="Times New Roman" w:hAnsi="Times New Roman"/>
          <w:lang w:val="sr-Latn-BA"/>
        </w:rPr>
        <w:t xml:space="preserve"> </w:t>
      </w:r>
      <w:r>
        <w:rPr>
          <w:rFonts w:ascii="Times New Roman" w:hAnsi="Times New Roman"/>
          <w:lang w:val="sr-Latn-BA"/>
        </w:rPr>
        <w:t>заштите</w:t>
      </w:r>
      <w:r w:rsidR="00BE246B" w:rsidRPr="00295637">
        <w:rPr>
          <w:rFonts w:ascii="Times New Roman" w:hAnsi="Times New Roman"/>
          <w:lang w:val="sr-Latn-BA"/>
        </w:rPr>
        <w:t xml:space="preserve">, </w:t>
      </w:r>
      <w:r>
        <w:rPr>
          <w:rFonts w:ascii="Times New Roman" w:hAnsi="Times New Roman"/>
          <w:lang w:val="sr-Latn-BA"/>
        </w:rPr>
        <w:t>јачање</w:t>
      </w:r>
      <w:r w:rsidR="00BE246B" w:rsidRPr="00295637">
        <w:rPr>
          <w:rFonts w:ascii="Times New Roman" w:hAnsi="Times New Roman"/>
          <w:lang w:val="sr-Latn-BA"/>
        </w:rPr>
        <w:t xml:space="preserve"> </w:t>
      </w:r>
      <w:r>
        <w:rPr>
          <w:rFonts w:ascii="Times New Roman" w:hAnsi="Times New Roman"/>
          <w:lang w:val="sr-Latn-BA"/>
        </w:rPr>
        <w:t>одговорности</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успостављање</w:t>
      </w:r>
      <w:r w:rsidR="00BE246B" w:rsidRPr="00295637">
        <w:rPr>
          <w:rFonts w:ascii="Times New Roman" w:hAnsi="Times New Roman"/>
          <w:lang w:val="sr-Latn-BA"/>
        </w:rPr>
        <w:t xml:space="preserve"> </w:t>
      </w:r>
      <w:r>
        <w:rPr>
          <w:rFonts w:ascii="Times New Roman" w:hAnsi="Times New Roman"/>
          <w:lang w:val="sr-Latn-BA"/>
        </w:rPr>
        <w:t>трајног</w:t>
      </w:r>
      <w:r w:rsidR="00BE246B" w:rsidRPr="00295637">
        <w:rPr>
          <w:rFonts w:ascii="Times New Roman" w:hAnsi="Times New Roman"/>
          <w:lang w:val="sr-Latn-BA"/>
        </w:rPr>
        <w:t xml:space="preserve"> </w:t>
      </w:r>
      <w:r>
        <w:rPr>
          <w:rFonts w:ascii="Times New Roman" w:hAnsi="Times New Roman"/>
          <w:lang w:val="sr-Latn-BA"/>
        </w:rPr>
        <w:t>партнерства</w:t>
      </w:r>
      <w:r w:rsidR="00BE246B" w:rsidRPr="00295637">
        <w:rPr>
          <w:rFonts w:ascii="Times New Roman" w:hAnsi="Times New Roman"/>
          <w:lang w:val="sr-Latn-BA"/>
        </w:rPr>
        <w:t xml:space="preserve"> </w:t>
      </w:r>
      <w:r>
        <w:rPr>
          <w:rFonts w:ascii="Times New Roman" w:hAnsi="Times New Roman"/>
          <w:lang w:val="sr-Latn-BA"/>
        </w:rPr>
        <w:t>између</w:t>
      </w:r>
      <w:r w:rsidR="00BE246B" w:rsidRPr="00295637">
        <w:rPr>
          <w:rFonts w:ascii="Times New Roman" w:hAnsi="Times New Roman"/>
          <w:lang w:val="sr-Latn-BA"/>
        </w:rPr>
        <w:t xml:space="preserve"> </w:t>
      </w:r>
      <w:r>
        <w:rPr>
          <w:rFonts w:ascii="Times New Roman" w:hAnsi="Times New Roman"/>
          <w:lang w:val="sr-Latn-BA"/>
        </w:rPr>
        <w:t>владиних</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невладиних</w:t>
      </w:r>
      <w:r w:rsidR="00BE246B" w:rsidRPr="00295637">
        <w:rPr>
          <w:rFonts w:ascii="Times New Roman" w:hAnsi="Times New Roman"/>
          <w:lang w:val="sr-Latn-BA"/>
        </w:rPr>
        <w:t xml:space="preserve"> </w:t>
      </w:r>
      <w:r>
        <w:rPr>
          <w:rFonts w:ascii="Times New Roman" w:hAnsi="Times New Roman"/>
          <w:lang w:val="sr-Latn-BA"/>
        </w:rPr>
        <w:t>организација</w:t>
      </w:r>
      <w:r w:rsidR="00BE246B" w:rsidRPr="00295637">
        <w:rPr>
          <w:rFonts w:ascii="Times New Roman" w:hAnsi="Times New Roman"/>
          <w:lang w:val="sr-Latn-BA"/>
        </w:rPr>
        <w:t xml:space="preserve">. </w:t>
      </w:r>
      <w:r>
        <w:rPr>
          <w:rFonts w:ascii="Times New Roman" w:hAnsi="Times New Roman"/>
          <w:lang w:val="sr-Latn-BA"/>
        </w:rPr>
        <w:t>Заштита</w:t>
      </w:r>
      <w:r w:rsidR="00BE246B" w:rsidRPr="00295637">
        <w:rPr>
          <w:rFonts w:ascii="Times New Roman" w:hAnsi="Times New Roman"/>
          <w:lang w:val="sr-Latn-BA"/>
        </w:rPr>
        <w:t xml:space="preserve"> </w:t>
      </w:r>
      <w:r>
        <w:rPr>
          <w:rFonts w:ascii="Times New Roman" w:hAnsi="Times New Roman"/>
          <w:lang w:val="sr-Latn-BA"/>
        </w:rPr>
        <w:t>сексуалног</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репродуктивног</w:t>
      </w:r>
      <w:r w:rsidR="00BE246B" w:rsidRPr="00295637">
        <w:rPr>
          <w:rFonts w:ascii="Times New Roman" w:hAnsi="Times New Roman"/>
          <w:lang w:val="sr-Latn-BA"/>
        </w:rPr>
        <w:t xml:space="preserve"> </w:t>
      </w:r>
      <w:r>
        <w:rPr>
          <w:rFonts w:ascii="Times New Roman" w:hAnsi="Times New Roman"/>
          <w:lang w:val="sr-Latn-BA"/>
        </w:rPr>
        <w:t>здравља</w:t>
      </w:r>
      <w:r w:rsidR="00BE246B" w:rsidRPr="00295637">
        <w:rPr>
          <w:rFonts w:ascii="Times New Roman" w:hAnsi="Times New Roman"/>
          <w:lang w:val="sr-Latn-BA"/>
        </w:rPr>
        <w:t xml:space="preserve"> </w:t>
      </w:r>
      <w:r>
        <w:rPr>
          <w:rFonts w:ascii="Times New Roman" w:hAnsi="Times New Roman"/>
          <w:lang w:val="sr-Latn-BA"/>
        </w:rPr>
        <w:t>заснива</w:t>
      </w:r>
      <w:r w:rsidR="00BE246B" w:rsidRPr="00295637">
        <w:rPr>
          <w:rFonts w:ascii="Times New Roman" w:hAnsi="Times New Roman"/>
          <w:lang w:val="sr-Latn-BA"/>
        </w:rPr>
        <w:t xml:space="preserve"> </w:t>
      </w:r>
      <w:r>
        <w:rPr>
          <w:rFonts w:ascii="Times New Roman" w:hAnsi="Times New Roman"/>
          <w:lang w:val="sr-Latn-BA"/>
        </w:rPr>
        <w:t>се</w:t>
      </w:r>
      <w:r w:rsidR="00BE246B" w:rsidRPr="00295637">
        <w:rPr>
          <w:rFonts w:ascii="Times New Roman" w:hAnsi="Times New Roman"/>
          <w:lang w:val="sr-Latn-BA"/>
        </w:rPr>
        <w:t xml:space="preserve"> </w:t>
      </w:r>
      <w:r>
        <w:rPr>
          <w:rFonts w:ascii="Times New Roman" w:hAnsi="Times New Roman"/>
          <w:lang w:val="sr-Latn-BA"/>
        </w:rPr>
        <w:t>на</w:t>
      </w:r>
      <w:r w:rsidR="00BE246B" w:rsidRPr="00295637">
        <w:rPr>
          <w:rFonts w:ascii="Times New Roman" w:hAnsi="Times New Roman"/>
          <w:lang w:val="sr-Latn-BA"/>
        </w:rPr>
        <w:t xml:space="preserve"> </w:t>
      </w:r>
      <w:r>
        <w:rPr>
          <w:rFonts w:ascii="Times New Roman" w:hAnsi="Times New Roman"/>
          <w:lang w:val="sr-Latn-BA"/>
        </w:rPr>
        <w:t>заједничким</w:t>
      </w:r>
      <w:r w:rsidR="00BE246B" w:rsidRPr="00295637">
        <w:rPr>
          <w:rFonts w:ascii="Times New Roman" w:hAnsi="Times New Roman"/>
          <w:lang w:val="sr-Latn-BA"/>
        </w:rPr>
        <w:t xml:space="preserve"> </w:t>
      </w:r>
      <w:r>
        <w:rPr>
          <w:rFonts w:ascii="Times New Roman" w:hAnsi="Times New Roman"/>
          <w:lang w:val="sr-Latn-BA"/>
        </w:rPr>
        <w:t>вриједностима</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принципима</w:t>
      </w:r>
      <w:r w:rsidR="00BE246B" w:rsidRPr="00295637">
        <w:rPr>
          <w:rFonts w:ascii="Times New Roman" w:hAnsi="Times New Roman"/>
          <w:lang w:val="sr-Latn-BA"/>
        </w:rPr>
        <w:t xml:space="preserve">, </w:t>
      </w:r>
      <w:r>
        <w:rPr>
          <w:rFonts w:ascii="Times New Roman" w:hAnsi="Times New Roman"/>
          <w:lang w:val="sr-Latn-BA"/>
        </w:rPr>
        <w:t>као</w:t>
      </w:r>
      <w:r w:rsidR="00A43AB2">
        <w:rPr>
          <w:rFonts w:ascii="Times New Roman" w:hAnsi="Times New Roman"/>
          <w:lang w:val="sr-Latn-BA"/>
        </w:rPr>
        <w:t xml:space="preserve"> </w:t>
      </w:r>
      <w:r>
        <w:rPr>
          <w:rFonts w:ascii="Times New Roman" w:hAnsi="Times New Roman"/>
          <w:lang w:val="sr-Latn-BA"/>
        </w:rPr>
        <w:t>што</w:t>
      </w:r>
      <w:r w:rsidR="00A43AB2">
        <w:rPr>
          <w:rFonts w:ascii="Times New Roman" w:hAnsi="Times New Roman"/>
          <w:lang w:val="sr-Latn-BA"/>
        </w:rPr>
        <w:t xml:space="preserve"> </w:t>
      </w:r>
      <w:r>
        <w:rPr>
          <w:rFonts w:ascii="Times New Roman" w:hAnsi="Times New Roman"/>
          <w:lang w:val="sr-Latn-BA"/>
        </w:rPr>
        <w:t>су</w:t>
      </w:r>
      <w:r w:rsidR="00BE246B" w:rsidRPr="00295637">
        <w:rPr>
          <w:rFonts w:ascii="Times New Roman" w:hAnsi="Times New Roman"/>
          <w:lang w:val="sr-Latn-BA"/>
        </w:rPr>
        <w:t xml:space="preserve"> </w:t>
      </w:r>
      <w:r>
        <w:rPr>
          <w:rFonts w:ascii="Times New Roman" w:hAnsi="Times New Roman"/>
          <w:lang w:val="sr-Latn-BA"/>
        </w:rPr>
        <w:t>универзалност</w:t>
      </w:r>
      <w:r w:rsidR="00BE246B" w:rsidRPr="00295637">
        <w:rPr>
          <w:rFonts w:ascii="Times New Roman" w:hAnsi="Times New Roman"/>
          <w:lang w:val="sr-Latn-BA"/>
        </w:rPr>
        <w:t xml:space="preserve">, </w:t>
      </w:r>
      <w:r>
        <w:rPr>
          <w:rFonts w:ascii="Times New Roman" w:hAnsi="Times New Roman"/>
          <w:lang w:val="sr-Latn-BA"/>
        </w:rPr>
        <w:t>солидарност</w:t>
      </w:r>
      <w:r w:rsidR="00BE246B" w:rsidRPr="00295637">
        <w:rPr>
          <w:rFonts w:ascii="Times New Roman" w:hAnsi="Times New Roman"/>
          <w:lang w:val="sr-Latn-BA"/>
        </w:rPr>
        <w:t xml:space="preserve">, </w:t>
      </w:r>
      <w:r>
        <w:rPr>
          <w:rFonts w:ascii="Times New Roman" w:hAnsi="Times New Roman"/>
          <w:lang w:val="sr-Latn-BA"/>
        </w:rPr>
        <w:t>доступност</w:t>
      </w:r>
      <w:r w:rsidR="00BE246B" w:rsidRPr="00295637">
        <w:rPr>
          <w:rFonts w:ascii="Times New Roman" w:hAnsi="Times New Roman"/>
          <w:lang w:val="sr-Latn-BA"/>
        </w:rPr>
        <w:t xml:space="preserve">, </w:t>
      </w:r>
      <w:r>
        <w:rPr>
          <w:rFonts w:ascii="Times New Roman" w:hAnsi="Times New Roman"/>
          <w:lang w:val="sr-Latn-BA"/>
        </w:rPr>
        <w:t>једнакост</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Latn-BA"/>
        </w:rPr>
        <w:t>ефикасност</w:t>
      </w:r>
      <w:r w:rsidR="00BE246B" w:rsidRPr="00295637">
        <w:rPr>
          <w:rFonts w:ascii="Times New Roman" w:hAnsi="Times New Roman"/>
          <w:lang w:val="sr-Latn-BA"/>
        </w:rPr>
        <w:t xml:space="preserve">, </w:t>
      </w:r>
      <w:r>
        <w:rPr>
          <w:rFonts w:ascii="Times New Roman" w:hAnsi="Times New Roman"/>
          <w:lang w:val="sr-Latn-BA"/>
        </w:rPr>
        <w:t>те</w:t>
      </w:r>
      <w:r w:rsidR="00BE246B" w:rsidRPr="00295637">
        <w:rPr>
          <w:rFonts w:ascii="Times New Roman" w:hAnsi="Times New Roman"/>
          <w:lang w:val="sr-Latn-BA"/>
        </w:rPr>
        <w:t xml:space="preserve"> </w:t>
      </w:r>
      <w:r>
        <w:rPr>
          <w:rFonts w:ascii="Times New Roman" w:hAnsi="Times New Roman"/>
          <w:lang w:val="sr-Latn-BA"/>
        </w:rPr>
        <w:t>висок</w:t>
      </w:r>
      <w:r w:rsidR="00BE246B" w:rsidRPr="00295637">
        <w:rPr>
          <w:rFonts w:ascii="Times New Roman" w:hAnsi="Times New Roman"/>
          <w:lang w:val="sr-Latn-BA"/>
        </w:rPr>
        <w:t xml:space="preserve"> </w:t>
      </w:r>
      <w:r>
        <w:rPr>
          <w:rFonts w:ascii="Times New Roman" w:hAnsi="Times New Roman"/>
          <w:lang w:val="sr-Latn-BA"/>
        </w:rPr>
        <w:t>квалитет</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sidR="002E608B">
        <w:rPr>
          <w:rFonts w:ascii="Times New Roman" w:hAnsi="Times New Roman"/>
          <w:lang w:val="sr-Cyrl-BA"/>
        </w:rPr>
        <w:t>безбједност</w:t>
      </w:r>
      <w:r w:rsidR="00BE246B" w:rsidRPr="00295637">
        <w:rPr>
          <w:rFonts w:ascii="Times New Roman" w:hAnsi="Times New Roman"/>
          <w:lang w:val="sr-Latn-BA"/>
        </w:rPr>
        <w:t xml:space="preserve"> </w:t>
      </w:r>
      <w:r>
        <w:rPr>
          <w:rFonts w:ascii="Times New Roman" w:hAnsi="Times New Roman"/>
          <w:lang w:val="sr-Latn-BA"/>
        </w:rPr>
        <w:t>здравствене</w:t>
      </w:r>
      <w:r w:rsidR="00BE246B" w:rsidRPr="00295637">
        <w:rPr>
          <w:rFonts w:ascii="Times New Roman" w:hAnsi="Times New Roman"/>
          <w:lang w:val="sr-Latn-BA"/>
        </w:rPr>
        <w:t xml:space="preserve"> </w:t>
      </w:r>
      <w:r>
        <w:rPr>
          <w:rFonts w:ascii="Times New Roman" w:hAnsi="Times New Roman"/>
          <w:lang w:val="sr-Latn-BA"/>
        </w:rPr>
        <w:t>заштите</w:t>
      </w:r>
      <w:r w:rsidR="00BE246B" w:rsidRPr="00295637">
        <w:rPr>
          <w:rFonts w:ascii="Times New Roman" w:hAnsi="Times New Roman"/>
          <w:lang w:val="sr-Latn-BA"/>
        </w:rPr>
        <w:t>.</w:t>
      </w:r>
    </w:p>
    <w:p w:rsidR="00BE246B" w:rsidRPr="00295637" w:rsidRDefault="00BE246B" w:rsidP="0086268D">
      <w:pPr>
        <w:pStyle w:val="ListParagraph"/>
        <w:ind w:left="0"/>
        <w:jc w:val="both"/>
        <w:rPr>
          <w:rFonts w:ascii="Times New Roman" w:hAnsi="Times New Roman"/>
          <w:lang w:val="sr-Cyrl-BA"/>
        </w:rPr>
      </w:pPr>
    </w:p>
    <w:p w:rsidR="00BE246B" w:rsidRPr="00295637" w:rsidRDefault="00C6214E" w:rsidP="0086268D">
      <w:pPr>
        <w:pStyle w:val="ListParagraph"/>
        <w:ind w:left="0"/>
        <w:jc w:val="both"/>
        <w:rPr>
          <w:rFonts w:ascii="Times New Roman" w:hAnsi="Times New Roman"/>
          <w:lang w:val="sr-Cyrl-BA"/>
        </w:rPr>
      </w:pPr>
      <w:r>
        <w:rPr>
          <w:rFonts w:ascii="Times New Roman" w:hAnsi="Times New Roman"/>
          <w:lang w:val="sr-Latn-BA"/>
        </w:rPr>
        <w:t>На</w:t>
      </w:r>
      <w:r w:rsidR="00BE246B" w:rsidRPr="00295637">
        <w:rPr>
          <w:rFonts w:ascii="Times New Roman" w:hAnsi="Times New Roman"/>
          <w:lang w:val="sr-Latn-BA"/>
        </w:rPr>
        <w:t xml:space="preserve"> </w:t>
      </w:r>
      <w:r>
        <w:rPr>
          <w:rFonts w:ascii="Times New Roman" w:hAnsi="Times New Roman"/>
          <w:lang w:val="sr-Latn-BA"/>
        </w:rPr>
        <w:t>снази</w:t>
      </w:r>
      <w:r w:rsidR="00BE246B" w:rsidRPr="00295637">
        <w:rPr>
          <w:rFonts w:ascii="Times New Roman" w:hAnsi="Times New Roman"/>
          <w:lang w:val="sr-Latn-BA"/>
        </w:rPr>
        <w:t xml:space="preserve"> </w:t>
      </w:r>
      <w:r>
        <w:rPr>
          <w:rFonts w:ascii="Times New Roman" w:hAnsi="Times New Roman"/>
          <w:lang w:val="sr-Latn-BA"/>
        </w:rPr>
        <w:t>је</w:t>
      </w:r>
      <w:r w:rsidR="00BE246B" w:rsidRPr="00295637">
        <w:rPr>
          <w:rFonts w:ascii="Times New Roman" w:hAnsi="Times New Roman"/>
          <w:lang w:val="sr-Latn-BA"/>
        </w:rPr>
        <w:t xml:space="preserve"> </w:t>
      </w:r>
      <w:r>
        <w:rPr>
          <w:rFonts w:ascii="Times New Roman" w:hAnsi="Times New Roman"/>
          <w:lang w:val="sr-Latn-BA"/>
        </w:rPr>
        <w:t>и</w:t>
      </w:r>
      <w:r w:rsidR="00BE246B" w:rsidRPr="00295637">
        <w:rPr>
          <w:rFonts w:ascii="Times New Roman" w:hAnsi="Times New Roman"/>
          <w:lang w:val="sr-Latn-BA"/>
        </w:rPr>
        <w:t xml:space="preserve"> </w:t>
      </w:r>
      <w:r>
        <w:rPr>
          <w:rFonts w:ascii="Times New Roman" w:hAnsi="Times New Roman"/>
          <w:lang w:val="sr-Cyrl-BA"/>
        </w:rPr>
        <w:t>Стратегиј</w:t>
      </w:r>
      <w:r>
        <w:rPr>
          <w:rFonts w:ascii="Times New Roman" w:hAnsi="Times New Roman"/>
          <w:lang w:val="sr-Latn-BA"/>
        </w:rPr>
        <w:t>а</w:t>
      </w:r>
      <w:r w:rsidR="00BE246B" w:rsidRPr="00295637">
        <w:rPr>
          <w:rFonts w:ascii="Times New Roman" w:hAnsi="Times New Roman"/>
          <w:lang w:val="sr-Cyrl-BA"/>
        </w:rPr>
        <w:t xml:space="preserve"> </w:t>
      </w:r>
      <w:r>
        <w:rPr>
          <w:rFonts w:ascii="Times New Roman" w:hAnsi="Times New Roman"/>
          <w:lang w:val="sr-Cyrl-BA"/>
        </w:rPr>
        <w:t>развоја</w:t>
      </w:r>
      <w:r w:rsidR="00BE246B" w:rsidRPr="00295637">
        <w:rPr>
          <w:rFonts w:ascii="Times New Roman" w:hAnsi="Times New Roman"/>
          <w:lang w:val="sr-Cyrl-BA"/>
        </w:rPr>
        <w:t xml:space="preserve"> </w:t>
      </w:r>
      <w:r>
        <w:rPr>
          <w:rFonts w:ascii="Times New Roman" w:hAnsi="Times New Roman"/>
          <w:lang w:val="sr-Cyrl-BA"/>
        </w:rPr>
        <w:t>менталног</w:t>
      </w:r>
      <w:r w:rsidR="00BE246B" w:rsidRPr="00295637">
        <w:rPr>
          <w:rFonts w:ascii="Times New Roman" w:hAnsi="Times New Roman"/>
          <w:lang w:val="sr-Cyrl-BA"/>
        </w:rPr>
        <w:t xml:space="preserve"> </w:t>
      </w:r>
      <w:r>
        <w:rPr>
          <w:rFonts w:ascii="Times New Roman" w:hAnsi="Times New Roman"/>
          <w:lang w:val="sr-Cyrl-BA"/>
        </w:rPr>
        <w:t>здравља</w:t>
      </w:r>
      <w:r w:rsidR="00BE246B" w:rsidRPr="00295637">
        <w:rPr>
          <w:rFonts w:ascii="Times New Roman" w:hAnsi="Times New Roman"/>
          <w:lang w:val="sr-Cyrl-BA"/>
        </w:rPr>
        <w:t xml:space="preserve"> </w:t>
      </w:r>
      <w:r>
        <w:rPr>
          <w:rFonts w:ascii="Times New Roman" w:hAnsi="Times New Roman"/>
          <w:lang w:val="sr-Cyrl-BA"/>
        </w:rPr>
        <w:t>у</w:t>
      </w:r>
      <w:r w:rsidR="00BE246B" w:rsidRPr="00295637">
        <w:rPr>
          <w:rFonts w:ascii="Times New Roman" w:hAnsi="Times New Roman"/>
          <w:lang w:val="sr-Cyrl-BA"/>
        </w:rPr>
        <w:t xml:space="preserve"> </w:t>
      </w:r>
      <w:r>
        <w:rPr>
          <w:rFonts w:ascii="Times New Roman" w:hAnsi="Times New Roman"/>
          <w:lang w:val="sr-Cyrl-BA"/>
        </w:rPr>
        <w:t>Републици</w:t>
      </w:r>
      <w:r w:rsidR="00BE246B" w:rsidRPr="00295637">
        <w:rPr>
          <w:rFonts w:ascii="Times New Roman" w:hAnsi="Times New Roman"/>
          <w:lang w:val="sr-Cyrl-BA"/>
        </w:rPr>
        <w:t xml:space="preserve"> </w:t>
      </w:r>
      <w:r>
        <w:rPr>
          <w:rFonts w:ascii="Times New Roman" w:hAnsi="Times New Roman"/>
          <w:lang w:val="sr-Cyrl-BA"/>
        </w:rPr>
        <w:t>Српској</w:t>
      </w:r>
      <w:r w:rsidR="00BE246B" w:rsidRPr="00295637">
        <w:rPr>
          <w:rFonts w:ascii="Times New Roman" w:hAnsi="Times New Roman"/>
          <w:lang w:val="sr-Latn-BA"/>
        </w:rPr>
        <w:t xml:space="preserve"> </w:t>
      </w:r>
      <w:r>
        <w:rPr>
          <w:rFonts w:ascii="Times New Roman" w:hAnsi="Times New Roman"/>
          <w:lang w:val="sr-Latn-BA"/>
        </w:rPr>
        <w:t>за</w:t>
      </w:r>
      <w:r w:rsidR="00BE246B" w:rsidRPr="00295637">
        <w:rPr>
          <w:rFonts w:ascii="Times New Roman" w:hAnsi="Times New Roman"/>
          <w:lang w:val="sr-Latn-BA"/>
        </w:rPr>
        <w:t xml:space="preserve"> </w:t>
      </w:r>
      <w:r>
        <w:rPr>
          <w:rFonts w:ascii="Times New Roman" w:hAnsi="Times New Roman"/>
          <w:lang w:val="sr-Latn-BA"/>
        </w:rPr>
        <w:t>период</w:t>
      </w:r>
      <w:r w:rsidR="00BE246B" w:rsidRPr="00295637">
        <w:rPr>
          <w:rFonts w:ascii="Times New Roman" w:hAnsi="Times New Roman"/>
          <w:lang w:val="sr-Latn-BA"/>
        </w:rPr>
        <w:t xml:space="preserve"> 2020</w:t>
      </w:r>
      <w:r w:rsidR="008A5A21">
        <w:rPr>
          <w:rFonts w:ascii="Times New Roman" w:hAnsi="Times New Roman"/>
          <w:lang w:val="sr-Latn-BA"/>
        </w:rPr>
        <w:t>-</w:t>
      </w:r>
      <w:r w:rsidR="00BE246B" w:rsidRPr="00295637">
        <w:rPr>
          <w:rFonts w:ascii="Times New Roman" w:hAnsi="Times New Roman"/>
          <w:lang w:val="sr-Latn-BA"/>
        </w:rPr>
        <w:t xml:space="preserve">2030. </w:t>
      </w:r>
      <w:r>
        <w:rPr>
          <w:rFonts w:ascii="Times New Roman" w:hAnsi="Times New Roman"/>
          <w:lang w:val="sr-Latn-BA"/>
        </w:rPr>
        <w:t>година</w:t>
      </w:r>
      <w:r w:rsidR="00BE246B" w:rsidRPr="00295637">
        <w:rPr>
          <w:rFonts w:ascii="Times New Roman" w:hAnsi="Times New Roman"/>
          <w:lang w:val="sr-Cyrl-BA"/>
        </w:rPr>
        <w:t xml:space="preserve">, </w:t>
      </w:r>
      <w:r>
        <w:rPr>
          <w:rFonts w:ascii="Times New Roman" w:hAnsi="Times New Roman"/>
          <w:lang w:val="sr-Cyrl-BA"/>
        </w:rPr>
        <w:t>којом</w:t>
      </w:r>
      <w:r w:rsidR="00BE246B" w:rsidRPr="00295637">
        <w:rPr>
          <w:rFonts w:ascii="Times New Roman" w:hAnsi="Times New Roman"/>
          <w:lang w:val="sr-Cyrl-BA"/>
        </w:rPr>
        <w:t xml:space="preserve"> </w:t>
      </w:r>
      <w:r>
        <w:rPr>
          <w:rFonts w:ascii="Times New Roman" w:hAnsi="Times New Roman"/>
          <w:lang w:val="sr-Cyrl-BA"/>
        </w:rPr>
        <w:t>је</w:t>
      </w:r>
      <w:r w:rsidR="00BE246B" w:rsidRPr="00295637">
        <w:rPr>
          <w:rFonts w:ascii="Times New Roman" w:hAnsi="Times New Roman"/>
          <w:lang w:val="sr-Cyrl-BA"/>
        </w:rPr>
        <w:t xml:space="preserve"> </w:t>
      </w:r>
      <w:r>
        <w:rPr>
          <w:rFonts w:ascii="Times New Roman" w:hAnsi="Times New Roman"/>
          <w:lang w:val="sr-Cyrl-BA"/>
        </w:rPr>
        <w:t>дефини</w:t>
      </w:r>
      <w:r w:rsidR="002E608B">
        <w:rPr>
          <w:rFonts w:ascii="Times New Roman" w:hAnsi="Times New Roman"/>
          <w:lang w:val="sr-Cyrl-BA"/>
        </w:rPr>
        <w:t>с</w:t>
      </w:r>
      <w:r>
        <w:rPr>
          <w:rFonts w:ascii="Times New Roman" w:hAnsi="Times New Roman"/>
          <w:lang w:val="sr-Cyrl-BA"/>
        </w:rPr>
        <w:t>ана</w:t>
      </w:r>
      <w:r w:rsidR="00BE246B" w:rsidRPr="00295637">
        <w:rPr>
          <w:rFonts w:ascii="Times New Roman" w:hAnsi="Times New Roman"/>
          <w:lang w:val="sr-Cyrl-BA"/>
        </w:rPr>
        <w:t xml:space="preserve">, </w:t>
      </w:r>
      <w:r>
        <w:rPr>
          <w:rFonts w:ascii="Times New Roman" w:hAnsi="Times New Roman"/>
          <w:lang w:val="sr-Cyrl-BA"/>
        </w:rPr>
        <w:t>између</w:t>
      </w:r>
      <w:r w:rsidR="00BE246B" w:rsidRPr="00295637">
        <w:rPr>
          <w:rFonts w:ascii="Times New Roman" w:hAnsi="Times New Roman"/>
          <w:lang w:val="sr-Cyrl-BA"/>
        </w:rPr>
        <w:t xml:space="preserve"> </w:t>
      </w:r>
      <w:r>
        <w:rPr>
          <w:rFonts w:ascii="Times New Roman" w:hAnsi="Times New Roman"/>
          <w:lang w:val="sr-Cyrl-BA"/>
        </w:rPr>
        <w:t>осталих</w:t>
      </w:r>
      <w:r w:rsidR="00BE246B" w:rsidRPr="00295637">
        <w:rPr>
          <w:rFonts w:ascii="Times New Roman" w:hAnsi="Times New Roman"/>
          <w:lang w:val="sr-Cyrl-BA"/>
        </w:rPr>
        <w:t xml:space="preserve">, </w:t>
      </w:r>
      <w:r>
        <w:rPr>
          <w:rFonts w:ascii="Times New Roman" w:hAnsi="Times New Roman"/>
          <w:lang w:val="sr-Cyrl-BA"/>
        </w:rPr>
        <w:t>и</w:t>
      </w:r>
      <w:r w:rsidR="00BE246B" w:rsidRPr="00295637">
        <w:rPr>
          <w:rFonts w:ascii="Times New Roman" w:hAnsi="Times New Roman"/>
          <w:lang w:val="sr-Cyrl-BA"/>
        </w:rPr>
        <w:t xml:space="preserve"> </w:t>
      </w:r>
      <w:r>
        <w:rPr>
          <w:rFonts w:ascii="Times New Roman" w:hAnsi="Times New Roman"/>
          <w:lang w:val="sr-Cyrl-BA"/>
        </w:rPr>
        <w:t>потреба</w:t>
      </w:r>
      <w:r w:rsidR="00BE246B" w:rsidRPr="00295637">
        <w:rPr>
          <w:rFonts w:ascii="Times New Roman" w:hAnsi="Times New Roman"/>
          <w:lang w:val="sr-Cyrl-BA"/>
        </w:rPr>
        <w:t xml:space="preserve"> </w:t>
      </w:r>
      <w:r>
        <w:rPr>
          <w:rFonts w:ascii="Times New Roman" w:hAnsi="Times New Roman"/>
          <w:lang w:val="sr-Cyrl-BA"/>
        </w:rPr>
        <w:t>да</w:t>
      </w:r>
      <w:r w:rsidR="00BE246B" w:rsidRPr="00295637">
        <w:rPr>
          <w:rFonts w:ascii="Times New Roman" w:hAnsi="Times New Roman"/>
          <w:lang w:val="sr-Cyrl-BA"/>
        </w:rPr>
        <w:t xml:space="preserve"> </w:t>
      </w:r>
      <w:r>
        <w:rPr>
          <w:rFonts w:ascii="Times New Roman" w:hAnsi="Times New Roman"/>
          <w:lang w:val="sr-Cyrl-BA"/>
        </w:rPr>
        <w:t>се</w:t>
      </w:r>
      <w:r w:rsidR="00BE246B" w:rsidRPr="00295637">
        <w:rPr>
          <w:rFonts w:ascii="Times New Roman" w:hAnsi="Times New Roman"/>
          <w:lang w:val="sr-Cyrl-BA"/>
        </w:rPr>
        <w:t xml:space="preserve"> </w:t>
      </w:r>
      <w:r>
        <w:rPr>
          <w:rFonts w:ascii="Times New Roman" w:hAnsi="Times New Roman"/>
          <w:lang w:val="sr-Cyrl-BA"/>
        </w:rPr>
        <w:t>развијају</w:t>
      </w:r>
      <w:r w:rsidR="00BE246B" w:rsidRPr="00295637">
        <w:rPr>
          <w:rFonts w:ascii="Times New Roman" w:hAnsi="Times New Roman"/>
          <w:lang w:val="sr-Cyrl-BA"/>
        </w:rPr>
        <w:t xml:space="preserve"> </w:t>
      </w:r>
      <w:r>
        <w:rPr>
          <w:rFonts w:ascii="Times New Roman" w:hAnsi="Times New Roman"/>
          <w:lang w:val="sr-Cyrl-BA"/>
        </w:rPr>
        <w:t>и</w:t>
      </w:r>
      <w:r w:rsidR="00BE246B" w:rsidRPr="00295637">
        <w:rPr>
          <w:rFonts w:ascii="Times New Roman" w:hAnsi="Times New Roman"/>
          <w:lang w:val="sr-Cyrl-BA"/>
        </w:rPr>
        <w:t xml:space="preserve"> </w:t>
      </w:r>
      <w:r>
        <w:rPr>
          <w:rFonts w:ascii="Times New Roman" w:hAnsi="Times New Roman"/>
          <w:lang w:val="sr-Cyrl-BA"/>
        </w:rPr>
        <w:t>евалуирају</w:t>
      </w:r>
      <w:r w:rsidR="00BE246B" w:rsidRPr="00295637">
        <w:rPr>
          <w:rFonts w:ascii="Times New Roman" w:hAnsi="Times New Roman"/>
          <w:lang w:val="sr-Cyrl-BA"/>
        </w:rPr>
        <w:t xml:space="preserve"> </w:t>
      </w:r>
      <w:r>
        <w:rPr>
          <w:rFonts w:ascii="Times New Roman" w:hAnsi="Times New Roman"/>
          <w:lang w:val="sr-Cyrl-BA"/>
        </w:rPr>
        <w:t>програми</w:t>
      </w:r>
      <w:r w:rsidR="00BE246B" w:rsidRPr="00295637">
        <w:rPr>
          <w:rFonts w:ascii="Times New Roman" w:hAnsi="Times New Roman"/>
          <w:lang w:val="sr-Cyrl-BA"/>
        </w:rPr>
        <w:t xml:space="preserve"> </w:t>
      </w:r>
      <w:r>
        <w:rPr>
          <w:rFonts w:ascii="Times New Roman" w:hAnsi="Times New Roman"/>
          <w:lang w:val="sr-Cyrl-BA"/>
        </w:rPr>
        <w:t>у</w:t>
      </w:r>
      <w:r w:rsidR="00BE246B" w:rsidRPr="00295637">
        <w:rPr>
          <w:rFonts w:ascii="Times New Roman" w:hAnsi="Times New Roman"/>
          <w:lang w:val="sr-Cyrl-BA"/>
        </w:rPr>
        <w:t xml:space="preserve"> </w:t>
      </w:r>
      <w:r>
        <w:rPr>
          <w:rFonts w:ascii="Times New Roman" w:hAnsi="Times New Roman"/>
          <w:lang w:val="sr-Cyrl-BA"/>
        </w:rPr>
        <w:t>различитим</w:t>
      </w:r>
      <w:r w:rsidR="00BE246B" w:rsidRPr="00295637">
        <w:rPr>
          <w:rFonts w:ascii="Times New Roman" w:hAnsi="Times New Roman"/>
          <w:lang w:val="sr-Cyrl-BA"/>
        </w:rPr>
        <w:t xml:space="preserve"> </w:t>
      </w:r>
      <w:r>
        <w:rPr>
          <w:rFonts w:ascii="Times New Roman" w:hAnsi="Times New Roman"/>
          <w:lang w:val="sr-Cyrl-BA"/>
        </w:rPr>
        <w:t>контекстима</w:t>
      </w:r>
      <w:r w:rsidR="00BE246B" w:rsidRPr="00295637">
        <w:rPr>
          <w:rFonts w:ascii="Times New Roman" w:hAnsi="Times New Roman"/>
          <w:lang w:val="sr-Cyrl-BA"/>
        </w:rPr>
        <w:t xml:space="preserve"> (</w:t>
      </w:r>
      <w:r>
        <w:rPr>
          <w:rFonts w:ascii="Times New Roman" w:hAnsi="Times New Roman"/>
          <w:lang w:val="sr-Cyrl-BA"/>
        </w:rPr>
        <w:t>жене</w:t>
      </w:r>
      <w:r w:rsidR="00BE246B" w:rsidRPr="00295637">
        <w:rPr>
          <w:rFonts w:ascii="Times New Roman" w:hAnsi="Times New Roman"/>
          <w:lang w:val="sr-Cyrl-BA"/>
        </w:rPr>
        <w:t xml:space="preserve"> </w:t>
      </w:r>
      <w:r>
        <w:rPr>
          <w:rFonts w:ascii="Times New Roman" w:hAnsi="Times New Roman"/>
          <w:lang w:val="sr-Cyrl-BA"/>
        </w:rPr>
        <w:t>и</w:t>
      </w:r>
      <w:r w:rsidR="00BE246B" w:rsidRPr="00295637">
        <w:rPr>
          <w:rFonts w:ascii="Times New Roman" w:hAnsi="Times New Roman"/>
          <w:lang w:val="sr-Cyrl-BA"/>
        </w:rPr>
        <w:t xml:space="preserve"> </w:t>
      </w:r>
      <w:r>
        <w:rPr>
          <w:rFonts w:ascii="Times New Roman" w:hAnsi="Times New Roman"/>
          <w:lang w:val="sr-Cyrl-BA"/>
        </w:rPr>
        <w:t>дјеца</w:t>
      </w:r>
      <w:r w:rsidR="00BE246B" w:rsidRPr="00295637">
        <w:rPr>
          <w:rFonts w:ascii="Times New Roman" w:hAnsi="Times New Roman"/>
          <w:lang w:val="sr-Cyrl-BA"/>
        </w:rPr>
        <w:t xml:space="preserve"> </w:t>
      </w:r>
      <w:r>
        <w:rPr>
          <w:rFonts w:ascii="Times New Roman" w:hAnsi="Times New Roman"/>
          <w:lang w:val="sr-Cyrl-BA"/>
        </w:rPr>
        <w:t>жртве</w:t>
      </w:r>
      <w:r w:rsidR="00BE246B" w:rsidRPr="00295637">
        <w:rPr>
          <w:rFonts w:ascii="Times New Roman" w:hAnsi="Times New Roman"/>
          <w:lang w:val="sr-Cyrl-BA"/>
        </w:rPr>
        <w:t xml:space="preserve"> </w:t>
      </w:r>
      <w:r>
        <w:rPr>
          <w:rFonts w:ascii="Times New Roman" w:hAnsi="Times New Roman"/>
          <w:lang w:val="hr-HR"/>
        </w:rPr>
        <w:t>породичног</w:t>
      </w:r>
      <w:r w:rsidR="00BE246B" w:rsidRPr="00295637">
        <w:rPr>
          <w:rFonts w:ascii="Times New Roman" w:hAnsi="Times New Roman"/>
          <w:lang w:val="sr-Cyrl-BA"/>
        </w:rPr>
        <w:t xml:space="preserve"> </w:t>
      </w:r>
      <w:r>
        <w:rPr>
          <w:rFonts w:ascii="Times New Roman" w:hAnsi="Times New Roman"/>
          <w:lang w:val="sr-Cyrl-BA"/>
        </w:rPr>
        <w:t>насиља</w:t>
      </w:r>
      <w:r w:rsidR="00BE246B" w:rsidRPr="00295637">
        <w:rPr>
          <w:rFonts w:ascii="Times New Roman" w:hAnsi="Times New Roman"/>
          <w:lang w:val="sr-Cyrl-BA"/>
        </w:rPr>
        <w:t xml:space="preserve">, </w:t>
      </w:r>
      <w:r>
        <w:rPr>
          <w:rFonts w:ascii="Times New Roman" w:hAnsi="Times New Roman"/>
          <w:lang w:val="sr-Cyrl-BA"/>
        </w:rPr>
        <w:t>психолошка</w:t>
      </w:r>
      <w:r w:rsidR="00BE246B"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дршка</w:t>
      </w:r>
      <w:r w:rsidR="00BE246B" w:rsidRPr="00295637">
        <w:rPr>
          <w:rFonts w:ascii="Times New Roman" w:hAnsi="Times New Roman"/>
          <w:lang w:val="sr-Cyrl-BA"/>
        </w:rPr>
        <w:t xml:space="preserve"> </w:t>
      </w:r>
      <w:r>
        <w:rPr>
          <w:rFonts w:ascii="Times New Roman" w:hAnsi="Times New Roman"/>
          <w:lang w:val="sr-Cyrl-BA"/>
        </w:rPr>
        <w:t>ЛГБТ</w:t>
      </w:r>
      <w:r w:rsidR="00BE246B" w:rsidRPr="00295637">
        <w:rPr>
          <w:rFonts w:ascii="Times New Roman" w:hAnsi="Times New Roman"/>
          <w:lang w:val="sr-Latn-BA"/>
        </w:rPr>
        <w:t xml:space="preserve"> </w:t>
      </w:r>
      <w:r>
        <w:rPr>
          <w:rFonts w:ascii="Times New Roman" w:hAnsi="Times New Roman"/>
          <w:lang w:val="sr-Latn-BA"/>
        </w:rPr>
        <w:t>лицима</w:t>
      </w:r>
      <w:r w:rsidR="00BE246B" w:rsidRPr="00295637">
        <w:rPr>
          <w:rFonts w:ascii="Times New Roman" w:hAnsi="Times New Roman"/>
          <w:lang w:val="sr-Cyrl-BA"/>
        </w:rPr>
        <w:t xml:space="preserve">) </w:t>
      </w:r>
      <w:r>
        <w:rPr>
          <w:rFonts w:ascii="Times New Roman" w:hAnsi="Times New Roman"/>
          <w:lang w:val="sr-Cyrl-BA"/>
        </w:rPr>
        <w:t>и</w:t>
      </w:r>
      <w:r w:rsidR="00BE246B" w:rsidRPr="00295637">
        <w:rPr>
          <w:rFonts w:ascii="Times New Roman" w:hAnsi="Times New Roman"/>
          <w:lang w:val="sr-Cyrl-BA"/>
        </w:rPr>
        <w:t xml:space="preserve"> </w:t>
      </w:r>
      <w:r>
        <w:rPr>
          <w:rFonts w:ascii="Times New Roman" w:hAnsi="Times New Roman"/>
          <w:lang w:val="sr-Cyrl-BA"/>
        </w:rPr>
        <w:t>да</w:t>
      </w:r>
      <w:r w:rsidR="00BE246B" w:rsidRPr="00295637">
        <w:rPr>
          <w:rFonts w:ascii="Times New Roman" w:hAnsi="Times New Roman"/>
          <w:lang w:val="sr-Cyrl-BA"/>
        </w:rPr>
        <w:t xml:space="preserve"> </w:t>
      </w:r>
      <w:r>
        <w:rPr>
          <w:rFonts w:ascii="Times New Roman" w:hAnsi="Times New Roman"/>
          <w:lang w:val="sr-Cyrl-BA"/>
        </w:rPr>
        <w:t>се</w:t>
      </w:r>
      <w:r w:rsidR="00BE246B" w:rsidRPr="00295637">
        <w:rPr>
          <w:rFonts w:ascii="Times New Roman" w:hAnsi="Times New Roman"/>
          <w:lang w:val="sr-Cyrl-BA"/>
        </w:rPr>
        <w:t xml:space="preserve"> </w:t>
      </w:r>
      <w:r>
        <w:rPr>
          <w:rFonts w:ascii="Times New Roman" w:hAnsi="Times New Roman"/>
          <w:lang w:val="sr-Cyrl-BA"/>
        </w:rPr>
        <w:t>идентифи</w:t>
      </w:r>
      <w:r w:rsidR="002E608B">
        <w:rPr>
          <w:rFonts w:ascii="Times New Roman" w:hAnsi="Times New Roman"/>
          <w:lang w:val="sr-Cyrl-BA"/>
        </w:rPr>
        <w:t>кују</w:t>
      </w:r>
      <w:r w:rsidR="00BE246B" w:rsidRPr="00295637">
        <w:rPr>
          <w:rFonts w:ascii="Times New Roman" w:hAnsi="Times New Roman"/>
          <w:lang w:val="sr-Cyrl-BA"/>
        </w:rPr>
        <w:t xml:space="preserve"> </w:t>
      </w:r>
      <w:r>
        <w:rPr>
          <w:rFonts w:ascii="Times New Roman" w:hAnsi="Times New Roman"/>
          <w:lang w:val="sr-Cyrl-BA"/>
        </w:rPr>
        <w:t>фактори</w:t>
      </w:r>
      <w:r w:rsidR="00BE246B" w:rsidRPr="00295637">
        <w:rPr>
          <w:rFonts w:ascii="Times New Roman" w:hAnsi="Times New Roman"/>
          <w:lang w:val="sr-Cyrl-BA"/>
        </w:rPr>
        <w:t xml:space="preserve"> </w:t>
      </w:r>
      <w:r>
        <w:rPr>
          <w:rFonts w:ascii="Times New Roman" w:hAnsi="Times New Roman"/>
          <w:lang w:val="sr-Cyrl-BA"/>
        </w:rPr>
        <w:t>који</w:t>
      </w:r>
      <w:r w:rsidR="00BE246B" w:rsidRPr="00295637">
        <w:rPr>
          <w:rFonts w:ascii="Times New Roman" w:hAnsi="Times New Roman"/>
          <w:lang w:val="sr-Cyrl-BA"/>
        </w:rPr>
        <w:t xml:space="preserve"> </w:t>
      </w:r>
      <w:r>
        <w:rPr>
          <w:rFonts w:ascii="Times New Roman" w:hAnsi="Times New Roman"/>
          <w:lang w:val="sr-Cyrl-BA"/>
        </w:rPr>
        <w:t>ут</w:t>
      </w:r>
      <w:r>
        <w:rPr>
          <w:rFonts w:ascii="Times New Roman" w:hAnsi="Times New Roman"/>
          <w:lang w:val="hr-HR"/>
        </w:rPr>
        <w:t>и</w:t>
      </w:r>
      <w:r>
        <w:rPr>
          <w:rFonts w:ascii="Times New Roman" w:hAnsi="Times New Roman"/>
          <w:lang w:val="sr-Cyrl-BA"/>
        </w:rPr>
        <w:t>чу</w:t>
      </w:r>
      <w:r w:rsidR="00BE246B" w:rsidRPr="00295637">
        <w:rPr>
          <w:rFonts w:ascii="Times New Roman" w:hAnsi="Times New Roman"/>
          <w:lang w:val="sr-Cyrl-BA"/>
        </w:rPr>
        <w:t xml:space="preserve"> </w:t>
      </w:r>
      <w:r>
        <w:rPr>
          <w:rFonts w:ascii="Times New Roman" w:hAnsi="Times New Roman"/>
          <w:lang w:val="sr-Cyrl-BA"/>
        </w:rPr>
        <w:t>на</w:t>
      </w:r>
      <w:r w:rsidR="00BE246B" w:rsidRPr="00295637">
        <w:rPr>
          <w:rFonts w:ascii="Times New Roman" w:hAnsi="Times New Roman"/>
          <w:lang w:val="sr-Cyrl-BA"/>
        </w:rPr>
        <w:t xml:space="preserve"> </w:t>
      </w:r>
      <w:r>
        <w:rPr>
          <w:rFonts w:ascii="Times New Roman" w:hAnsi="Times New Roman"/>
          <w:lang w:val="sr-Cyrl-BA"/>
        </w:rPr>
        <w:t>њихову</w:t>
      </w:r>
      <w:r w:rsidR="00BE246B" w:rsidRPr="00295637">
        <w:rPr>
          <w:rFonts w:ascii="Times New Roman" w:hAnsi="Times New Roman"/>
          <w:lang w:val="sr-Cyrl-BA"/>
        </w:rPr>
        <w:t xml:space="preserve"> </w:t>
      </w:r>
      <w:r>
        <w:rPr>
          <w:rFonts w:ascii="Times New Roman" w:hAnsi="Times New Roman"/>
          <w:lang w:val="sr-Cyrl-BA"/>
        </w:rPr>
        <w:t>примјену</w:t>
      </w:r>
      <w:r w:rsidR="00BE246B" w:rsidRPr="00295637">
        <w:rPr>
          <w:rFonts w:ascii="Times New Roman" w:hAnsi="Times New Roman"/>
          <w:lang w:val="sr-Cyrl-BA"/>
        </w:rPr>
        <w:t xml:space="preserve"> </w:t>
      </w:r>
      <w:r>
        <w:rPr>
          <w:rFonts w:ascii="Times New Roman" w:hAnsi="Times New Roman"/>
          <w:lang w:val="sr-Cyrl-BA"/>
        </w:rPr>
        <w:t>и</w:t>
      </w:r>
      <w:r w:rsidR="00BE246B" w:rsidRPr="00295637">
        <w:rPr>
          <w:rFonts w:ascii="Times New Roman" w:hAnsi="Times New Roman"/>
          <w:lang w:val="sr-Cyrl-BA"/>
        </w:rPr>
        <w:t xml:space="preserve"> </w:t>
      </w:r>
      <w:r w:rsidR="002E608B">
        <w:rPr>
          <w:rFonts w:ascii="Times New Roman" w:hAnsi="Times New Roman"/>
          <w:lang w:val="sr-Cyrl-BA"/>
        </w:rPr>
        <w:t>спровођење</w:t>
      </w:r>
      <w:r w:rsidR="00BE246B" w:rsidRPr="00295637">
        <w:rPr>
          <w:rFonts w:ascii="Times New Roman" w:hAnsi="Times New Roman"/>
          <w:lang w:val="sr-Cyrl-BA"/>
        </w:rPr>
        <w:t>.</w:t>
      </w:r>
    </w:p>
    <w:p w:rsidR="00954C30" w:rsidRPr="00295637" w:rsidRDefault="00954C30" w:rsidP="0086268D">
      <w:pPr>
        <w:tabs>
          <w:tab w:val="left" w:pos="284"/>
          <w:tab w:val="left" w:pos="630"/>
          <w:tab w:val="left" w:pos="1080"/>
        </w:tabs>
        <w:jc w:val="both"/>
        <w:rPr>
          <w:rFonts w:ascii="Times New Roman" w:hAnsi="Times New Roman"/>
          <w:szCs w:val="24"/>
          <w:lang w:val="bs-Latn-BA"/>
        </w:rPr>
      </w:pPr>
    </w:p>
    <w:p w:rsidR="00356C2C" w:rsidRPr="00295637" w:rsidRDefault="002E608B" w:rsidP="000A5047">
      <w:pPr>
        <w:tabs>
          <w:tab w:val="left" w:pos="284"/>
          <w:tab w:val="left" w:pos="630"/>
          <w:tab w:val="left" w:pos="1080"/>
        </w:tabs>
        <w:ind w:left="567"/>
        <w:jc w:val="both"/>
        <w:rPr>
          <w:rFonts w:ascii="Times New Roman" w:eastAsia="Calibri" w:hAnsi="Times New Roman"/>
          <w:szCs w:val="24"/>
          <w:lang w:val="bs-Latn-BA"/>
        </w:rPr>
      </w:pPr>
      <w:r w:rsidRPr="002E608B">
        <w:rPr>
          <w:rFonts w:ascii="Times New Roman" w:eastAsia="Calibri" w:hAnsi="Times New Roman"/>
          <w:szCs w:val="24"/>
          <w:lang w:val="bs-Latn-BA"/>
        </w:rPr>
        <w:t>I</w:t>
      </w:r>
      <w:r w:rsidR="000A5047">
        <w:rPr>
          <w:rFonts w:ascii="Times New Roman" w:eastAsia="Calibri" w:hAnsi="Times New Roman"/>
          <w:szCs w:val="24"/>
          <w:lang w:val="bs-Latn-BA"/>
        </w:rPr>
        <w:t xml:space="preserve"> 5.2. </w:t>
      </w:r>
      <w:r w:rsidR="00C6214E">
        <w:rPr>
          <w:rFonts w:ascii="Times New Roman" w:eastAsia="Calibri" w:hAnsi="Times New Roman"/>
          <w:szCs w:val="24"/>
          <w:lang w:val="bs-Latn-BA"/>
        </w:rPr>
        <w:t>Редовно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прикупљање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анализа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објављивање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податка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разврстаних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полу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учешћу</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приступу</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кориш</w:t>
      </w:r>
      <w:r>
        <w:rPr>
          <w:rFonts w:ascii="Times New Roman" w:hAnsi="Times New Roman"/>
          <w:szCs w:val="24"/>
          <w:lang w:val="sr-Cyrl-BA"/>
        </w:rPr>
        <w:t>ћ</w:t>
      </w:r>
      <w:r w:rsidR="00C6214E">
        <w:rPr>
          <w:rFonts w:ascii="Times New Roman" w:hAnsi="Times New Roman"/>
          <w:szCs w:val="24"/>
          <w:lang w:val="bs-Latn-BA"/>
        </w:rPr>
        <w:t>ењу</w:t>
      </w:r>
      <w:r w:rsidR="00356C2C" w:rsidRPr="00295637">
        <w:rPr>
          <w:rFonts w:ascii="Times New Roman" w:hAnsi="Times New Roman"/>
          <w:szCs w:val="24"/>
          <w:lang w:val="bs-Latn-BA"/>
        </w:rPr>
        <w:t xml:space="preserve"> </w:t>
      </w:r>
      <w:r w:rsidR="00C6214E">
        <w:rPr>
          <w:rFonts w:ascii="Times New Roman" w:hAnsi="Times New Roman"/>
          <w:szCs w:val="24"/>
          <w:lang w:val="bs-Latn-BA"/>
        </w:rPr>
        <w:t>здравствених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услуга</w:t>
      </w:r>
      <w:r w:rsidR="00356C2C" w:rsidRPr="00295637">
        <w:rPr>
          <w:rFonts w:ascii="Times New Roman" w:hAnsi="Times New Roman"/>
          <w:szCs w:val="24"/>
          <w:lang w:val="bs-Latn-BA"/>
        </w:rPr>
        <w:t>.</w:t>
      </w:r>
    </w:p>
    <w:p w:rsidR="00FE7E7F" w:rsidRPr="00295637" w:rsidRDefault="00FE7E7F" w:rsidP="0086268D">
      <w:pPr>
        <w:jc w:val="both"/>
        <w:rPr>
          <w:rFonts w:ascii="Times New Roman" w:hAnsi="Times New Roman"/>
          <w:szCs w:val="24"/>
        </w:rPr>
      </w:pPr>
    </w:p>
    <w:p w:rsidR="00BF01AB" w:rsidRPr="00295637" w:rsidRDefault="00C6214E" w:rsidP="0086268D">
      <w:pPr>
        <w:jc w:val="both"/>
        <w:rPr>
          <w:rFonts w:ascii="Times New Roman" w:hAnsi="Times New Roman"/>
          <w:szCs w:val="24"/>
        </w:rPr>
      </w:pPr>
      <w:r>
        <w:rPr>
          <w:rFonts w:ascii="Times New Roman" w:hAnsi="Times New Roman"/>
          <w:szCs w:val="24"/>
        </w:rPr>
        <w:t>Статистичке</w:t>
      </w:r>
      <w:r w:rsidR="00BF01AB" w:rsidRPr="00295637">
        <w:rPr>
          <w:rFonts w:ascii="Times New Roman" w:hAnsi="Times New Roman"/>
          <w:szCs w:val="24"/>
        </w:rPr>
        <w:t xml:space="preserve"> </w:t>
      </w:r>
      <w:r>
        <w:rPr>
          <w:rFonts w:ascii="Times New Roman" w:hAnsi="Times New Roman"/>
          <w:szCs w:val="24"/>
        </w:rPr>
        <w:t>институције</w:t>
      </w:r>
      <w:r w:rsidR="00BF01AB" w:rsidRPr="00295637">
        <w:rPr>
          <w:rFonts w:ascii="Times New Roman" w:hAnsi="Times New Roman"/>
          <w:szCs w:val="24"/>
        </w:rPr>
        <w:t xml:space="preserve"> </w:t>
      </w:r>
      <w:r>
        <w:rPr>
          <w:rFonts w:ascii="Times New Roman" w:hAnsi="Times New Roman"/>
          <w:szCs w:val="24"/>
        </w:rPr>
        <w:t>су</w:t>
      </w:r>
      <w:r w:rsidR="00BF01AB" w:rsidRPr="00295637">
        <w:rPr>
          <w:rFonts w:ascii="Times New Roman" w:hAnsi="Times New Roman"/>
          <w:szCs w:val="24"/>
        </w:rPr>
        <w:t xml:space="preserve"> </w:t>
      </w:r>
      <w:r>
        <w:rPr>
          <w:rFonts w:ascii="Times New Roman" w:hAnsi="Times New Roman"/>
          <w:szCs w:val="24"/>
        </w:rPr>
        <w:t>у</w:t>
      </w:r>
      <w:r w:rsidR="00BF01AB" w:rsidRPr="00295637">
        <w:rPr>
          <w:rFonts w:ascii="Times New Roman" w:hAnsi="Times New Roman"/>
          <w:szCs w:val="24"/>
        </w:rPr>
        <w:t xml:space="preserve"> </w:t>
      </w:r>
      <w:r>
        <w:rPr>
          <w:rFonts w:ascii="Times New Roman" w:hAnsi="Times New Roman"/>
          <w:szCs w:val="24"/>
        </w:rPr>
        <w:t>могућности</w:t>
      </w:r>
      <w:r w:rsidR="00BF01AB" w:rsidRPr="00295637">
        <w:rPr>
          <w:rFonts w:ascii="Times New Roman" w:hAnsi="Times New Roman"/>
          <w:szCs w:val="24"/>
        </w:rPr>
        <w:t xml:space="preserve"> </w:t>
      </w:r>
      <w:r>
        <w:rPr>
          <w:rFonts w:ascii="Times New Roman" w:hAnsi="Times New Roman"/>
          <w:szCs w:val="24"/>
        </w:rPr>
        <w:t>пратити</w:t>
      </w:r>
      <w:r w:rsidR="00BF01AB" w:rsidRPr="00295637">
        <w:rPr>
          <w:rFonts w:ascii="Times New Roman" w:hAnsi="Times New Roman"/>
          <w:szCs w:val="24"/>
        </w:rPr>
        <w:t xml:space="preserve"> </w:t>
      </w:r>
      <w:r>
        <w:rPr>
          <w:rFonts w:ascii="Times New Roman" w:hAnsi="Times New Roman"/>
          <w:szCs w:val="24"/>
        </w:rPr>
        <w:t>равноправан</w:t>
      </w:r>
      <w:r w:rsidR="00BF01AB" w:rsidRPr="00295637">
        <w:rPr>
          <w:rFonts w:ascii="Times New Roman" w:hAnsi="Times New Roman"/>
          <w:szCs w:val="24"/>
        </w:rPr>
        <w:t xml:space="preserve"> </w:t>
      </w:r>
      <w:r>
        <w:rPr>
          <w:rFonts w:ascii="Times New Roman" w:hAnsi="Times New Roman"/>
          <w:szCs w:val="24"/>
        </w:rPr>
        <w:t>приступ</w:t>
      </w:r>
      <w:r w:rsidR="00BF01AB" w:rsidRPr="00295637">
        <w:rPr>
          <w:rFonts w:ascii="Times New Roman" w:hAnsi="Times New Roman"/>
          <w:szCs w:val="24"/>
        </w:rPr>
        <w:t xml:space="preserve"> </w:t>
      </w:r>
      <w:r>
        <w:rPr>
          <w:rFonts w:ascii="Times New Roman" w:hAnsi="Times New Roman"/>
          <w:szCs w:val="24"/>
        </w:rPr>
        <w:t>здравствених</w:t>
      </w:r>
      <w:r w:rsidR="00BF01AB" w:rsidRPr="00295637">
        <w:rPr>
          <w:rFonts w:ascii="Times New Roman" w:hAnsi="Times New Roman"/>
          <w:szCs w:val="24"/>
        </w:rPr>
        <w:t xml:space="preserve"> </w:t>
      </w:r>
      <w:r w:rsidR="002E608B">
        <w:rPr>
          <w:rFonts w:ascii="Times New Roman" w:hAnsi="Times New Roman"/>
          <w:szCs w:val="24"/>
        </w:rPr>
        <w:t>услуга</w:t>
      </w:r>
      <w:r w:rsidR="00BF01AB" w:rsidRPr="00295637">
        <w:rPr>
          <w:rFonts w:ascii="Times New Roman" w:hAnsi="Times New Roman"/>
          <w:szCs w:val="24"/>
        </w:rPr>
        <w:t xml:space="preserve"> </w:t>
      </w:r>
      <w:r>
        <w:rPr>
          <w:rFonts w:ascii="Times New Roman" w:hAnsi="Times New Roman"/>
          <w:szCs w:val="24"/>
        </w:rPr>
        <w:t>само</w:t>
      </w:r>
      <w:r w:rsidR="00BF01AB" w:rsidRPr="00295637">
        <w:rPr>
          <w:rFonts w:ascii="Times New Roman" w:hAnsi="Times New Roman"/>
          <w:szCs w:val="24"/>
        </w:rPr>
        <w:t xml:space="preserve"> </w:t>
      </w:r>
      <w:r>
        <w:rPr>
          <w:rFonts w:ascii="Times New Roman" w:hAnsi="Times New Roman"/>
          <w:szCs w:val="24"/>
        </w:rPr>
        <w:t>кроз</w:t>
      </w:r>
      <w:r w:rsidR="00BF01AB" w:rsidRPr="00295637">
        <w:rPr>
          <w:rFonts w:ascii="Times New Roman" w:hAnsi="Times New Roman"/>
          <w:szCs w:val="24"/>
        </w:rPr>
        <w:t xml:space="preserve"> </w:t>
      </w:r>
      <w:r>
        <w:rPr>
          <w:rFonts w:ascii="Times New Roman" w:hAnsi="Times New Roman"/>
          <w:szCs w:val="24"/>
        </w:rPr>
        <w:t>Анкету</w:t>
      </w:r>
      <w:r w:rsidR="00BF01AB" w:rsidRPr="00295637">
        <w:rPr>
          <w:rFonts w:ascii="Times New Roman" w:hAnsi="Times New Roman"/>
          <w:szCs w:val="24"/>
        </w:rPr>
        <w:t xml:space="preserve"> </w:t>
      </w:r>
      <w:r>
        <w:rPr>
          <w:rFonts w:ascii="Times New Roman" w:hAnsi="Times New Roman"/>
          <w:szCs w:val="24"/>
        </w:rPr>
        <w:t>о</w:t>
      </w:r>
      <w:r w:rsidR="00BF01AB" w:rsidRPr="00295637">
        <w:rPr>
          <w:rFonts w:ascii="Times New Roman" w:hAnsi="Times New Roman"/>
          <w:szCs w:val="24"/>
        </w:rPr>
        <w:t xml:space="preserve"> </w:t>
      </w:r>
      <w:r>
        <w:rPr>
          <w:rFonts w:ascii="Times New Roman" w:hAnsi="Times New Roman"/>
          <w:szCs w:val="24"/>
        </w:rPr>
        <w:t>приходима</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условима</w:t>
      </w:r>
      <w:r w:rsidR="00BF01AB" w:rsidRPr="00295637">
        <w:rPr>
          <w:rFonts w:ascii="Times New Roman" w:hAnsi="Times New Roman"/>
          <w:szCs w:val="24"/>
        </w:rPr>
        <w:t xml:space="preserve"> </w:t>
      </w:r>
      <w:r>
        <w:rPr>
          <w:rFonts w:ascii="Times New Roman" w:hAnsi="Times New Roman"/>
          <w:szCs w:val="24"/>
        </w:rPr>
        <w:t>живота</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анкету</w:t>
      </w:r>
      <w:r w:rsidR="00BF01AB" w:rsidRPr="00295637">
        <w:rPr>
          <w:rFonts w:ascii="Times New Roman" w:hAnsi="Times New Roman"/>
          <w:szCs w:val="24"/>
        </w:rPr>
        <w:t xml:space="preserve"> </w:t>
      </w:r>
      <w:r>
        <w:rPr>
          <w:rFonts w:ascii="Times New Roman" w:hAnsi="Times New Roman"/>
          <w:szCs w:val="24"/>
        </w:rPr>
        <w:t>о</w:t>
      </w:r>
      <w:r w:rsidR="00BF01AB" w:rsidRPr="00295637">
        <w:rPr>
          <w:rFonts w:ascii="Times New Roman" w:hAnsi="Times New Roman"/>
          <w:szCs w:val="24"/>
        </w:rPr>
        <w:t xml:space="preserve"> </w:t>
      </w:r>
      <w:r>
        <w:rPr>
          <w:rFonts w:ascii="Times New Roman" w:hAnsi="Times New Roman"/>
          <w:szCs w:val="24"/>
        </w:rPr>
        <w:t>потрошњи</w:t>
      </w:r>
      <w:r w:rsidR="00BF01AB" w:rsidRPr="00295637">
        <w:rPr>
          <w:rFonts w:ascii="Times New Roman" w:hAnsi="Times New Roman"/>
          <w:szCs w:val="24"/>
        </w:rPr>
        <w:t xml:space="preserve"> </w:t>
      </w:r>
      <w:r>
        <w:rPr>
          <w:rFonts w:ascii="Times New Roman" w:hAnsi="Times New Roman"/>
          <w:szCs w:val="24"/>
        </w:rPr>
        <w:t>домаћинства</w:t>
      </w:r>
      <w:r w:rsidR="00BF01AB" w:rsidRPr="00295637">
        <w:rPr>
          <w:rFonts w:ascii="Times New Roman" w:hAnsi="Times New Roman"/>
          <w:szCs w:val="24"/>
        </w:rPr>
        <w:t xml:space="preserve"> (</w:t>
      </w:r>
      <w:r>
        <w:rPr>
          <w:rFonts w:ascii="Times New Roman" w:hAnsi="Times New Roman"/>
          <w:szCs w:val="24"/>
        </w:rPr>
        <w:t>модул</w:t>
      </w:r>
      <w:r w:rsidR="00BF01AB" w:rsidRPr="00295637">
        <w:rPr>
          <w:rFonts w:ascii="Times New Roman" w:hAnsi="Times New Roman"/>
          <w:szCs w:val="24"/>
        </w:rPr>
        <w:t xml:space="preserve"> </w:t>
      </w:r>
      <w:r>
        <w:rPr>
          <w:rFonts w:ascii="Times New Roman" w:hAnsi="Times New Roman"/>
          <w:szCs w:val="24"/>
        </w:rPr>
        <w:t>о</w:t>
      </w:r>
      <w:r w:rsidR="00BF01AB" w:rsidRPr="00295637">
        <w:rPr>
          <w:rFonts w:ascii="Times New Roman" w:hAnsi="Times New Roman"/>
          <w:szCs w:val="24"/>
        </w:rPr>
        <w:t xml:space="preserve"> </w:t>
      </w:r>
      <w:r>
        <w:rPr>
          <w:rFonts w:ascii="Times New Roman" w:hAnsi="Times New Roman"/>
          <w:szCs w:val="24"/>
        </w:rPr>
        <w:t>здраву</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социјалном</w:t>
      </w:r>
      <w:r w:rsidR="006401AB" w:rsidRPr="00295637">
        <w:rPr>
          <w:rFonts w:ascii="Times New Roman" w:hAnsi="Times New Roman"/>
          <w:szCs w:val="24"/>
        </w:rPr>
        <w:t xml:space="preserve"> </w:t>
      </w:r>
      <w:r>
        <w:rPr>
          <w:rFonts w:ascii="Times New Roman" w:hAnsi="Times New Roman"/>
          <w:szCs w:val="24"/>
        </w:rPr>
        <w:t>статусу</w:t>
      </w:r>
      <w:r w:rsidR="006401AB" w:rsidRPr="00295637">
        <w:rPr>
          <w:rFonts w:ascii="Times New Roman" w:hAnsi="Times New Roman"/>
          <w:szCs w:val="24"/>
        </w:rPr>
        <w:t xml:space="preserve">). </w:t>
      </w:r>
      <w:r>
        <w:rPr>
          <w:rFonts w:ascii="Times New Roman" w:hAnsi="Times New Roman"/>
          <w:szCs w:val="24"/>
        </w:rPr>
        <w:t>Са</w:t>
      </w:r>
      <w:r w:rsidR="006401AB" w:rsidRPr="00295637">
        <w:rPr>
          <w:rFonts w:ascii="Times New Roman" w:hAnsi="Times New Roman"/>
          <w:szCs w:val="24"/>
        </w:rPr>
        <w:t xml:space="preserve"> </w:t>
      </w:r>
      <w:r>
        <w:rPr>
          <w:rFonts w:ascii="Times New Roman" w:hAnsi="Times New Roman"/>
          <w:szCs w:val="24"/>
        </w:rPr>
        <w:t>друге</w:t>
      </w:r>
      <w:r w:rsidR="006401AB" w:rsidRPr="00295637">
        <w:rPr>
          <w:rFonts w:ascii="Times New Roman" w:hAnsi="Times New Roman"/>
          <w:szCs w:val="24"/>
        </w:rPr>
        <w:t xml:space="preserve"> </w:t>
      </w:r>
      <w:r>
        <w:rPr>
          <w:rFonts w:ascii="Times New Roman" w:hAnsi="Times New Roman"/>
          <w:szCs w:val="24"/>
        </w:rPr>
        <w:t>стране</w:t>
      </w:r>
      <w:r w:rsidR="00BF01AB" w:rsidRPr="00295637">
        <w:rPr>
          <w:rFonts w:ascii="Times New Roman" w:hAnsi="Times New Roman"/>
          <w:szCs w:val="24"/>
        </w:rPr>
        <w:t xml:space="preserve">, </w:t>
      </w:r>
      <w:r>
        <w:rPr>
          <w:rFonts w:ascii="Times New Roman" w:hAnsi="Times New Roman"/>
          <w:szCs w:val="24"/>
        </w:rPr>
        <w:t>ентитетски</w:t>
      </w:r>
      <w:r w:rsidR="00BF01AB" w:rsidRPr="00295637">
        <w:rPr>
          <w:rFonts w:ascii="Times New Roman" w:hAnsi="Times New Roman"/>
          <w:szCs w:val="24"/>
        </w:rPr>
        <w:t xml:space="preserve"> </w:t>
      </w:r>
      <w:r>
        <w:rPr>
          <w:rFonts w:ascii="Times New Roman" w:hAnsi="Times New Roman"/>
          <w:szCs w:val="24"/>
        </w:rPr>
        <w:t>институт</w:t>
      </w:r>
      <w:r w:rsidR="00BF01AB" w:rsidRPr="00295637">
        <w:rPr>
          <w:rFonts w:ascii="Times New Roman" w:hAnsi="Times New Roman"/>
          <w:szCs w:val="24"/>
        </w:rPr>
        <w:t>/</w:t>
      </w:r>
      <w:r>
        <w:rPr>
          <w:rFonts w:ascii="Times New Roman" w:hAnsi="Times New Roman"/>
          <w:szCs w:val="24"/>
        </w:rPr>
        <w:t>завод</w:t>
      </w:r>
      <w:r w:rsidR="00BF01AB" w:rsidRPr="00295637">
        <w:rPr>
          <w:rFonts w:ascii="Times New Roman" w:hAnsi="Times New Roman"/>
          <w:szCs w:val="24"/>
        </w:rPr>
        <w:t xml:space="preserve"> </w:t>
      </w:r>
      <w:r>
        <w:rPr>
          <w:rFonts w:ascii="Times New Roman" w:hAnsi="Times New Roman"/>
          <w:szCs w:val="24"/>
        </w:rPr>
        <w:t>за</w:t>
      </w:r>
      <w:r w:rsidR="00BF01AB" w:rsidRPr="00295637">
        <w:rPr>
          <w:rFonts w:ascii="Times New Roman" w:hAnsi="Times New Roman"/>
          <w:szCs w:val="24"/>
        </w:rPr>
        <w:t xml:space="preserve"> </w:t>
      </w:r>
      <w:r>
        <w:rPr>
          <w:rFonts w:ascii="Times New Roman" w:hAnsi="Times New Roman"/>
          <w:szCs w:val="24"/>
        </w:rPr>
        <w:t>јавно</w:t>
      </w:r>
      <w:r w:rsidR="00BF01AB" w:rsidRPr="00295637">
        <w:rPr>
          <w:rFonts w:ascii="Times New Roman" w:hAnsi="Times New Roman"/>
          <w:szCs w:val="24"/>
        </w:rPr>
        <w:t xml:space="preserve"> </w:t>
      </w:r>
      <w:r>
        <w:rPr>
          <w:rFonts w:ascii="Times New Roman" w:hAnsi="Times New Roman"/>
          <w:szCs w:val="24"/>
        </w:rPr>
        <w:t>здравство</w:t>
      </w:r>
      <w:r w:rsidR="00BF01AB" w:rsidRPr="00295637">
        <w:rPr>
          <w:rFonts w:ascii="Times New Roman" w:hAnsi="Times New Roman"/>
          <w:szCs w:val="24"/>
        </w:rPr>
        <w:t xml:space="preserve">, </w:t>
      </w:r>
      <w:r>
        <w:rPr>
          <w:rFonts w:ascii="Times New Roman" w:hAnsi="Times New Roman"/>
          <w:szCs w:val="24"/>
        </w:rPr>
        <w:t>као</w:t>
      </w:r>
      <w:r w:rsidR="00BF01AB" w:rsidRPr="00295637">
        <w:rPr>
          <w:rFonts w:ascii="Times New Roman" w:hAnsi="Times New Roman"/>
          <w:szCs w:val="24"/>
        </w:rPr>
        <w:t xml:space="preserve"> </w:t>
      </w:r>
      <w:r>
        <w:rPr>
          <w:rFonts w:ascii="Times New Roman" w:hAnsi="Times New Roman"/>
          <w:szCs w:val="24"/>
        </w:rPr>
        <w:t>званична</w:t>
      </w:r>
      <w:r w:rsidR="00BF01AB" w:rsidRPr="00295637">
        <w:rPr>
          <w:rFonts w:ascii="Times New Roman" w:hAnsi="Times New Roman"/>
          <w:szCs w:val="24"/>
        </w:rPr>
        <w:t xml:space="preserve"> </w:t>
      </w:r>
      <w:r>
        <w:rPr>
          <w:rFonts w:ascii="Times New Roman" w:hAnsi="Times New Roman"/>
          <w:szCs w:val="24"/>
        </w:rPr>
        <w:t>институција</w:t>
      </w:r>
      <w:r w:rsidR="00BF01AB" w:rsidRPr="00295637">
        <w:rPr>
          <w:rFonts w:ascii="Times New Roman" w:hAnsi="Times New Roman"/>
          <w:szCs w:val="24"/>
        </w:rPr>
        <w:t xml:space="preserve"> </w:t>
      </w:r>
      <w:r>
        <w:rPr>
          <w:rFonts w:ascii="Times New Roman" w:hAnsi="Times New Roman"/>
          <w:szCs w:val="24"/>
        </w:rPr>
        <w:t>за</w:t>
      </w:r>
      <w:r w:rsidR="00BF01AB" w:rsidRPr="00295637">
        <w:rPr>
          <w:rFonts w:ascii="Times New Roman" w:hAnsi="Times New Roman"/>
          <w:szCs w:val="24"/>
        </w:rPr>
        <w:t xml:space="preserve"> </w:t>
      </w:r>
      <w:r>
        <w:rPr>
          <w:rFonts w:ascii="Times New Roman" w:hAnsi="Times New Roman"/>
          <w:szCs w:val="24"/>
        </w:rPr>
        <w:t>прикупљање</w:t>
      </w:r>
      <w:r w:rsidR="00BF01AB" w:rsidRPr="00295637">
        <w:rPr>
          <w:rFonts w:ascii="Times New Roman" w:hAnsi="Times New Roman"/>
          <w:szCs w:val="24"/>
        </w:rPr>
        <w:t xml:space="preserve"> </w:t>
      </w:r>
      <w:r>
        <w:rPr>
          <w:rFonts w:ascii="Times New Roman" w:hAnsi="Times New Roman"/>
          <w:szCs w:val="24"/>
        </w:rPr>
        <w:t>података</w:t>
      </w:r>
      <w:r w:rsidR="00BF01AB" w:rsidRPr="00295637">
        <w:rPr>
          <w:rFonts w:ascii="Times New Roman" w:hAnsi="Times New Roman"/>
          <w:szCs w:val="24"/>
        </w:rPr>
        <w:t xml:space="preserve"> </w:t>
      </w:r>
      <w:r>
        <w:rPr>
          <w:rFonts w:ascii="Times New Roman" w:hAnsi="Times New Roman"/>
          <w:szCs w:val="24"/>
        </w:rPr>
        <w:t>о</w:t>
      </w:r>
      <w:r w:rsidR="00BF01AB" w:rsidRPr="00295637">
        <w:rPr>
          <w:rFonts w:ascii="Times New Roman" w:hAnsi="Times New Roman"/>
          <w:szCs w:val="24"/>
        </w:rPr>
        <w:t xml:space="preserve"> </w:t>
      </w:r>
      <w:r>
        <w:rPr>
          <w:rFonts w:ascii="Times New Roman" w:hAnsi="Times New Roman"/>
          <w:szCs w:val="24"/>
        </w:rPr>
        <w:t>здравственом</w:t>
      </w:r>
      <w:r w:rsidR="00BF01AB" w:rsidRPr="00295637">
        <w:rPr>
          <w:rFonts w:ascii="Times New Roman" w:hAnsi="Times New Roman"/>
          <w:szCs w:val="24"/>
        </w:rPr>
        <w:t xml:space="preserve"> </w:t>
      </w:r>
      <w:r>
        <w:rPr>
          <w:rFonts w:ascii="Times New Roman" w:hAnsi="Times New Roman"/>
          <w:szCs w:val="24"/>
        </w:rPr>
        <w:t>стању</w:t>
      </w:r>
      <w:r w:rsidR="00BF01AB" w:rsidRPr="00295637">
        <w:rPr>
          <w:rFonts w:ascii="Times New Roman" w:hAnsi="Times New Roman"/>
          <w:szCs w:val="24"/>
        </w:rPr>
        <w:t xml:space="preserve"> </w:t>
      </w:r>
      <w:r>
        <w:rPr>
          <w:rFonts w:ascii="Times New Roman" w:hAnsi="Times New Roman"/>
          <w:szCs w:val="24"/>
        </w:rPr>
        <w:t>становништва</w:t>
      </w:r>
      <w:r w:rsidR="00BF01AB" w:rsidRPr="00295637">
        <w:rPr>
          <w:rFonts w:ascii="Times New Roman" w:hAnsi="Times New Roman"/>
          <w:szCs w:val="24"/>
        </w:rPr>
        <w:t xml:space="preserve"> </w:t>
      </w:r>
      <w:r>
        <w:rPr>
          <w:rFonts w:ascii="Times New Roman" w:hAnsi="Times New Roman"/>
          <w:szCs w:val="24"/>
        </w:rPr>
        <w:t>је</w:t>
      </w:r>
      <w:r w:rsidR="00BF01AB" w:rsidRPr="00295637">
        <w:rPr>
          <w:rFonts w:ascii="Times New Roman" w:hAnsi="Times New Roman"/>
          <w:szCs w:val="24"/>
        </w:rPr>
        <w:t xml:space="preserve"> </w:t>
      </w:r>
      <w:r>
        <w:rPr>
          <w:rFonts w:ascii="Times New Roman" w:hAnsi="Times New Roman"/>
          <w:szCs w:val="24"/>
        </w:rPr>
        <w:t>дужна</w:t>
      </w:r>
      <w:r w:rsidR="00BF01AB" w:rsidRPr="00295637">
        <w:rPr>
          <w:rFonts w:ascii="Times New Roman" w:hAnsi="Times New Roman"/>
          <w:szCs w:val="24"/>
        </w:rPr>
        <w:t xml:space="preserve"> </w:t>
      </w:r>
      <w:r>
        <w:rPr>
          <w:rFonts w:ascii="Times New Roman" w:hAnsi="Times New Roman"/>
          <w:szCs w:val="24"/>
        </w:rPr>
        <w:t>да</w:t>
      </w:r>
      <w:r w:rsidR="00BF01AB" w:rsidRPr="00295637">
        <w:rPr>
          <w:rFonts w:ascii="Times New Roman" w:hAnsi="Times New Roman"/>
          <w:szCs w:val="24"/>
        </w:rPr>
        <w:t xml:space="preserve"> </w:t>
      </w:r>
      <w:r>
        <w:rPr>
          <w:rFonts w:ascii="Times New Roman" w:hAnsi="Times New Roman"/>
          <w:szCs w:val="24"/>
        </w:rPr>
        <w:t>кроз</w:t>
      </w:r>
      <w:r w:rsidR="00BF01AB" w:rsidRPr="00295637">
        <w:rPr>
          <w:rFonts w:ascii="Times New Roman" w:hAnsi="Times New Roman"/>
          <w:szCs w:val="24"/>
        </w:rPr>
        <w:t xml:space="preserve"> </w:t>
      </w:r>
      <w:r>
        <w:rPr>
          <w:rFonts w:ascii="Times New Roman" w:hAnsi="Times New Roman"/>
          <w:szCs w:val="24"/>
        </w:rPr>
        <w:t>своје</w:t>
      </w:r>
      <w:r w:rsidR="00BF01AB" w:rsidRPr="00295637">
        <w:rPr>
          <w:rFonts w:ascii="Times New Roman" w:hAnsi="Times New Roman"/>
          <w:szCs w:val="24"/>
        </w:rPr>
        <w:t xml:space="preserve"> </w:t>
      </w:r>
      <w:r>
        <w:rPr>
          <w:rFonts w:ascii="Times New Roman" w:hAnsi="Times New Roman"/>
          <w:szCs w:val="24"/>
        </w:rPr>
        <w:t>годишње</w:t>
      </w:r>
      <w:r w:rsidR="00BF01AB" w:rsidRPr="00295637">
        <w:rPr>
          <w:rFonts w:ascii="Times New Roman" w:hAnsi="Times New Roman"/>
          <w:szCs w:val="24"/>
        </w:rPr>
        <w:t xml:space="preserve"> </w:t>
      </w:r>
      <w:r>
        <w:rPr>
          <w:rFonts w:ascii="Times New Roman" w:hAnsi="Times New Roman"/>
          <w:szCs w:val="24"/>
        </w:rPr>
        <w:t>извјештаје</w:t>
      </w:r>
      <w:r w:rsidR="00BF01AB" w:rsidRPr="00295637">
        <w:rPr>
          <w:rFonts w:ascii="Times New Roman" w:hAnsi="Times New Roman"/>
          <w:szCs w:val="24"/>
        </w:rPr>
        <w:t xml:space="preserve"> </w:t>
      </w:r>
      <w:r>
        <w:rPr>
          <w:rFonts w:ascii="Times New Roman" w:hAnsi="Times New Roman"/>
          <w:szCs w:val="24"/>
        </w:rPr>
        <w:t>прикаже</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податке</w:t>
      </w:r>
      <w:r w:rsidR="00BF01AB" w:rsidRPr="00295637">
        <w:rPr>
          <w:rFonts w:ascii="Times New Roman" w:hAnsi="Times New Roman"/>
          <w:szCs w:val="24"/>
        </w:rPr>
        <w:t xml:space="preserve"> </w:t>
      </w:r>
      <w:r>
        <w:rPr>
          <w:rFonts w:ascii="Times New Roman" w:hAnsi="Times New Roman"/>
          <w:szCs w:val="24"/>
        </w:rPr>
        <w:t>о</w:t>
      </w:r>
      <w:r w:rsidR="00BF01AB" w:rsidRPr="00295637">
        <w:rPr>
          <w:rFonts w:ascii="Times New Roman" w:hAnsi="Times New Roman"/>
          <w:szCs w:val="24"/>
        </w:rPr>
        <w:t xml:space="preserve"> </w:t>
      </w:r>
      <w:r>
        <w:rPr>
          <w:rFonts w:ascii="Times New Roman" w:hAnsi="Times New Roman"/>
          <w:szCs w:val="24"/>
        </w:rPr>
        <w:t>пружању</w:t>
      </w:r>
      <w:r w:rsidR="00BF01AB" w:rsidRPr="00295637">
        <w:rPr>
          <w:rFonts w:ascii="Times New Roman" w:hAnsi="Times New Roman"/>
          <w:szCs w:val="24"/>
        </w:rPr>
        <w:t xml:space="preserve">, </w:t>
      </w:r>
      <w:r>
        <w:rPr>
          <w:rFonts w:ascii="Times New Roman" w:hAnsi="Times New Roman"/>
          <w:szCs w:val="24"/>
        </w:rPr>
        <w:t>превенцији</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здравственој</w:t>
      </w:r>
      <w:r w:rsidR="00BF01AB" w:rsidRPr="00295637">
        <w:rPr>
          <w:rFonts w:ascii="Times New Roman" w:hAnsi="Times New Roman"/>
          <w:szCs w:val="24"/>
        </w:rPr>
        <w:t xml:space="preserve"> </w:t>
      </w:r>
      <w:r>
        <w:rPr>
          <w:rFonts w:ascii="Times New Roman" w:hAnsi="Times New Roman"/>
          <w:szCs w:val="24"/>
        </w:rPr>
        <w:t>заштити</w:t>
      </w:r>
      <w:r w:rsidR="00BF01AB" w:rsidRPr="00295637">
        <w:rPr>
          <w:rFonts w:ascii="Times New Roman" w:hAnsi="Times New Roman"/>
          <w:szCs w:val="24"/>
        </w:rPr>
        <w:t xml:space="preserve"> </w:t>
      </w:r>
      <w:r>
        <w:rPr>
          <w:rFonts w:ascii="Times New Roman" w:hAnsi="Times New Roman"/>
          <w:szCs w:val="24"/>
        </w:rPr>
        <w:t>становништва</w:t>
      </w:r>
      <w:r w:rsidR="00BF01AB" w:rsidRPr="00295637">
        <w:rPr>
          <w:rFonts w:ascii="Times New Roman" w:hAnsi="Times New Roman"/>
          <w:szCs w:val="24"/>
        </w:rPr>
        <w:t xml:space="preserve">.  </w:t>
      </w:r>
    </w:p>
    <w:p w:rsidR="008D56A8" w:rsidRPr="00295637" w:rsidRDefault="008D56A8" w:rsidP="0086268D">
      <w:pPr>
        <w:jc w:val="both"/>
        <w:rPr>
          <w:rFonts w:ascii="Times New Roman" w:hAnsi="Times New Roman"/>
          <w:szCs w:val="24"/>
        </w:rPr>
      </w:pPr>
    </w:p>
    <w:p w:rsidR="009330B9" w:rsidRPr="009D34AD" w:rsidRDefault="00C6214E" w:rsidP="0086268D">
      <w:pPr>
        <w:pStyle w:val="ListParagraph"/>
        <w:ind w:left="0"/>
        <w:jc w:val="both"/>
        <w:rPr>
          <w:rFonts w:ascii="Times New Roman" w:hAnsi="Times New Roman"/>
          <w:lang w:val="sr-Latn-BA"/>
        </w:rPr>
      </w:pPr>
      <w:r>
        <w:rPr>
          <w:rFonts w:ascii="Times New Roman" w:hAnsi="Times New Roman"/>
          <w:szCs w:val="24"/>
        </w:rPr>
        <w:t>Так</w:t>
      </w:r>
      <w:r w:rsidR="002E608B">
        <w:rPr>
          <w:rFonts w:ascii="Times New Roman" w:hAnsi="Times New Roman"/>
          <w:szCs w:val="24"/>
        </w:rPr>
        <w:t>ође</w:t>
      </w:r>
      <w:r w:rsidR="009330B9" w:rsidRPr="00000EBB">
        <w:rPr>
          <w:rFonts w:ascii="Times New Roman" w:hAnsi="Times New Roman"/>
          <w:szCs w:val="24"/>
        </w:rPr>
        <w:t xml:space="preserve">, </w:t>
      </w:r>
      <w:r>
        <w:rPr>
          <w:rFonts w:ascii="Times New Roman" w:hAnsi="Times New Roman"/>
          <w:szCs w:val="24"/>
        </w:rPr>
        <w:t>публикација</w:t>
      </w:r>
      <w:r w:rsidR="009330B9" w:rsidRPr="00000EBB">
        <w:rPr>
          <w:rFonts w:ascii="Times New Roman" w:hAnsi="Times New Roman"/>
          <w:szCs w:val="24"/>
        </w:rPr>
        <w:t xml:space="preserve"> „</w:t>
      </w:r>
      <w:r>
        <w:rPr>
          <w:rFonts w:ascii="Times New Roman" w:hAnsi="Times New Roman"/>
          <w:szCs w:val="24"/>
        </w:rPr>
        <w:t>Жене</w:t>
      </w:r>
      <w:r w:rsidR="009330B9" w:rsidRPr="00000EBB">
        <w:rPr>
          <w:rFonts w:ascii="Times New Roman" w:hAnsi="Times New Roman"/>
          <w:szCs w:val="24"/>
        </w:rPr>
        <w:t xml:space="preserve"> </w:t>
      </w:r>
      <w:r>
        <w:rPr>
          <w:rFonts w:ascii="Times New Roman" w:hAnsi="Times New Roman"/>
          <w:szCs w:val="24"/>
        </w:rPr>
        <w:t>и</w:t>
      </w:r>
      <w:r w:rsidR="009330B9" w:rsidRPr="00000EBB">
        <w:rPr>
          <w:rFonts w:ascii="Times New Roman" w:hAnsi="Times New Roman"/>
          <w:szCs w:val="24"/>
        </w:rPr>
        <w:t xml:space="preserve"> </w:t>
      </w:r>
      <w:r>
        <w:rPr>
          <w:rFonts w:ascii="Times New Roman" w:hAnsi="Times New Roman"/>
          <w:szCs w:val="24"/>
        </w:rPr>
        <w:t>мушкарци</w:t>
      </w:r>
      <w:r w:rsidR="009330B9" w:rsidRPr="00000EBB">
        <w:rPr>
          <w:rFonts w:ascii="Times New Roman" w:hAnsi="Times New Roman"/>
          <w:szCs w:val="24"/>
        </w:rPr>
        <w:t xml:space="preserve"> </w:t>
      </w:r>
      <w:r>
        <w:rPr>
          <w:rFonts w:ascii="Times New Roman" w:hAnsi="Times New Roman"/>
          <w:szCs w:val="24"/>
        </w:rPr>
        <w:t>у</w:t>
      </w:r>
      <w:r w:rsidR="009330B9" w:rsidRPr="00000EBB">
        <w:rPr>
          <w:rFonts w:ascii="Times New Roman" w:hAnsi="Times New Roman"/>
          <w:szCs w:val="24"/>
        </w:rPr>
        <w:t xml:space="preserve"> </w:t>
      </w:r>
      <w:r>
        <w:rPr>
          <w:rFonts w:ascii="Times New Roman" w:hAnsi="Times New Roman"/>
          <w:szCs w:val="24"/>
        </w:rPr>
        <w:t>Босни</w:t>
      </w:r>
      <w:r w:rsidR="009330B9" w:rsidRPr="00000EBB">
        <w:rPr>
          <w:rFonts w:ascii="Times New Roman" w:hAnsi="Times New Roman"/>
          <w:szCs w:val="24"/>
        </w:rPr>
        <w:t xml:space="preserve"> </w:t>
      </w:r>
      <w:r>
        <w:rPr>
          <w:rFonts w:ascii="Times New Roman" w:hAnsi="Times New Roman"/>
          <w:szCs w:val="24"/>
        </w:rPr>
        <w:t>и</w:t>
      </w:r>
      <w:r w:rsidR="009330B9" w:rsidRPr="00000EBB">
        <w:rPr>
          <w:rFonts w:ascii="Times New Roman" w:hAnsi="Times New Roman"/>
          <w:szCs w:val="24"/>
        </w:rPr>
        <w:t xml:space="preserve"> </w:t>
      </w:r>
      <w:r>
        <w:rPr>
          <w:rFonts w:ascii="Times New Roman" w:hAnsi="Times New Roman"/>
          <w:szCs w:val="24"/>
        </w:rPr>
        <w:t>Херцеговини</w:t>
      </w:r>
      <w:r w:rsidR="009330B9" w:rsidRPr="00000EBB">
        <w:rPr>
          <w:rFonts w:ascii="Times New Roman" w:hAnsi="Times New Roman"/>
          <w:szCs w:val="24"/>
        </w:rPr>
        <w:t xml:space="preserve">“ </w:t>
      </w:r>
      <w:r>
        <w:rPr>
          <w:rFonts w:ascii="Times New Roman" w:hAnsi="Times New Roman"/>
          <w:szCs w:val="24"/>
        </w:rPr>
        <w:t>у</w:t>
      </w:r>
      <w:r w:rsidR="009330B9" w:rsidRPr="00000EBB">
        <w:rPr>
          <w:rFonts w:ascii="Times New Roman" w:hAnsi="Times New Roman"/>
          <w:szCs w:val="24"/>
        </w:rPr>
        <w:t xml:space="preserve"> </w:t>
      </w:r>
      <w:r>
        <w:rPr>
          <w:rFonts w:ascii="Times New Roman" w:hAnsi="Times New Roman"/>
          <w:szCs w:val="24"/>
        </w:rPr>
        <w:t>издању</w:t>
      </w:r>
      <w:r w:rsidR="009330B9" w:rsidRPr="00000EBB">
        <w:rPr>
          <w:rFonts w:ascii="Times New Roman" w:hAnsi="Times New Roman"/>
          <w:szCs w:val="24"/>
        </w:rPr>
        <w:t xml:space="preserve"> </w:t>
      </w:r>
      <w:r>
        <w:rPr>
          <w:rFonts w:ascii="Times New Roman" w:hAnsi="Times New Roman"/>
          <w:szCs w:val="24"/>
        </w:rPr>
        <w:t>БХАС</w:t>
      </w:r>
      <w:r w:rsidR="009330B9" w:rsidRPr="00000EBB">
        <w:rPr>
          <w:rFonts w:ascii="Times New Roman" w:hAnsi="Times New Roman"/>
          <w:szCs w:val="24"/>
        </w:rPr>
        <w:t xml:space="preserve">, </w:t>
      </w:r>
      <w:r>
        <w:rPr>
          <w:rFonts w:ascii="Times New Roman" w:hAnsi="Times New Roman"/>
          <w:szCs w:val="24"/>
        </w:rPr>
        <w:t>као</w:t>
      </w:r>
      <w:r w:rsidR="009330B9" w:rsidRPr="00000EBB">
        <w:rPr>
          <w:rFonts w:ascii="Times New Roman" w:hAnsi="Times New Roman"/>
          <w:szCs w:val="24"/>
        </w:rPr>
        <w:t xml:space="preserve"> </w:t>
      </w:r>
      <w:r>
        <w:rPr>
          <w:rFonts w:ascii="Times New Roman" w:hAnsi="Times New Roman"/>
          <w:szCs w:val="24"/>
        </w:rPr>
        <w:t>и</w:t>
      </w:r>
      <w:r w:rsidR="009330B9" w:rsidRPr="00000EBB">
        <w:rPr>
          <w:rFonts w:ascii="Times New Roman" w:hAnsi="Times New Roman"/>
          <w:szCs w:val="24"/>
        </w:rPr>
        <w:t xml:space="preserve"> </w:t>
      </w:r>
      <w:r>
        <w:rPr>
          <w:rFonts w:ascii="Times New Roman" w:hAnsi="Times New Roman"/>
          <w:szCs w:val="24"/>
        </w:rPr>
        <w:t>публикације</w:t>
      </w:r>
      <w:r w:rsidR="009330B9" w:rsidRPr="00000EBB">
        <w:rPr>
          <w:rFonts w:ascii="Times New Roman" w:hAnsi="Times New Roman"/>
          <w:szCs w:val="24"/>
        </w:rPr>
        <w:t xml:space="preserve"> „</w:t>
      </w:r>
      <w:r>
        <w:rPr>
          <w:rFonts w:ascii="Times New Roman" w:hAnsi="Times New Roman"/>
          <w:szCs w:val="24"/>
        </w:rPr>
        <w:t>Жене</w:t>
      </w:r>
      <w:r w:rsidR="009330B9" w:rsidRPr="00000EBB">
        <w:rPr>
          <w:rFonts w:ascii="Times New Roman" w:hAnsi="Times New Roman"/>
          <w:szCs w:val="24"/>
        </w:rPr>
        <w:t xml:space="preserve"> </w:t>
      </w:r>
      <w:r>
        <w:rPr>
          <w:rFonts w:ascii="Times New Roman" w:hAnsi="Times New Roman"/>
          <w:szCs w:val="24"/>
        </w:rPr>
        <w:t>и</w:t>
      </w:r>
      <w:r w:rsidR="009330B9" w:rsidRPr="00000EBB">
        <w:rPr>
          <w:rFonts w:ascii="Times New Roman" w:hAnsi="Times New Roman"/>
          <w:szCs w:val="24"/>
        </w:rPr>
        <w:t xml:space="preserve"> </w:t>
      </w:r>
      <w:r>
        <w:rPr>
          <w:rFonts w:ascii="Times New Roman" w:hAnsi="Times New Roman"/>
          <w:szCs w:val="24"/>
        </w:rPr>
        <w:t>мушкарци</w:t>
      </w:r>
      <w:r w:rsidR="009330B9" w:rsidRPr="00000EBB">
        <w:rPr>
          <w:rFonts w:ascii="Times New Roman" w:hAnsi="Times New Roman"/>
          <w:szCs w:val="24"/>
        </w:rPr>
        <w:t xml:space="preserve">“ </w:t>
      </w:r>
      <w:r>
        <w:rPr>
          <w:rFonts w:ascii="Times New Roman" w:hAnsi="Times New Roman"/>
          <w:szCs w:val="24"/>
        </w:rPr>
        <w:t>које</w:t>
      </w:r>
      <w:r w:rsidR="009330B9" w:rsidRPr="00000EBB">
        <w:rPr>
          <w:rFonts w:ascii="Times New Roman" w:hAnsi="Times New Roman"/>
          <w:szCs w:val="24"/>
        </w:rPr>
        <w:t xml:space="preserve"> </w:t>
      </w:r>
      <w:r>
        <w:rPr>
          <w:rFonts w:ascii="Times New Roman" w:hAnsi="Times New Roman"/>
          <w:szCs w:val="24"/>
        </w:rPr>
        <w:t>издају</w:t>
      </w:r>
      <w:r w:rsidR="009330B9" w:rsidRPr="00000EBB">
        <w:rPr>
          <w:rFonts w:ascii="Times New Roman" w:hAnsi="Times New Roman"/>
          <w:szCs w:val="24"/>
        </w:rPr>
        <w:t xml:space="preserve"> </w:t>
      </w:r>
      <w:r>
        <w:rPr>
          <w:rFonts w:ascii="Times New Roman" w:hAnsi="Times New Roman"/>
          <w:szCs w:val="24"/>
        </w:rPr>
        <w:t>ентитетски</w:t>
      </w:r>
      <w:r w:rsidR="009330B9" w:rsidRPr="00000EBB">
        <w:rPr>
          <w:rFonts w:ascii="Times New Roman" w:hAnsi="Times New Roman"/>
          <w:szCs w:val="24"/>
        </w:rPr>
        <w:t xml:space="preserve"> </w:t>
      </w:r>
      <w:r>
        <w:rPr>
          <w:rFonts w:ascii="Times New Roman" w:hAnsi="Times New Roman"/>
          <w:szCs w:val="24"/>
        </w:rPr>
        <w:t>заводи</w:t>
      </w:r>
      <w:r w:rsidR="009330B9" w:rsidRPr="00000EBB">
        <w:rPr>
          <w:rFonts w:ascii="Times New Roman" w:hAnsi="Times New Roman"/>
          <w:szCs w:val="24"/>
        </w:rPr>
        <w:t xml:space="preserve"> </w:t>
      </w:r>
      <w:r>
        <w:rPr>
          <w:rFonts w:ascii="Times New Roman" w:hAnsi="Times New Roman"/>
          <w:szCs w:val="24"/>
        </w:rPr>
        <w:t>за</w:t>
      </w:r>
      <w:r w:rsidR="009330B9" w:rsidRPr="00000EBB">
        <w:rPr>
          <w:rFonts w:ascii="Times New Roman" w:hAnsi="Times New Roman"/>
          <w:szCs w:val="24"/>
        </w:rPr>
        <w:t xml:space="preserve"> </w:t>
      </w:r>
      <w:r>
        <w:rPr>
          <w:rFonts w:ascii="Times New Roman" w:hAnsi="Times New Roman"/>
          <w:szCs w:val="24"/>
        </w:rPr>
        <w:t>статистику</w:t>
      </w:r>
      <w:r w:rsidR="009330B9" w:rsidRPr="00000EBB">
        <w:rPr>
          <w:rFonts w:ascii="Times New Roman" w:hAnsi="Times New Roman"/>
          <w:szCs w:val="24"/>
        </w:rPr>
        <w:t xml:space="preserve">, </w:t>
      </w:r>
      <w:r>
        <w:rPr>
          <w:rFonts w:ascii="Times New Roman" w:hAnsi="Times New Roman"/>
          <w:szCs w:val="24"/>
        </w:rPr>
        <w:t>садрже</w:t>
      </w:r>
      <w:r w:rsidR="009330B9" w:rsidRPr="00000EBB">
        <w:rPr>
          <w:rFonts w:ascii="Times New Roman" w:hAnsi="Times New Roman"/>
          <w:szCs w:val="24"/>
        </w:rPr>
        <w:t xml:space="preserve"> </w:t>
      </w:r>
      <w:r>
        <w:rPr>
          <w:rFonts w:ascii="Times New Roman" w:hAnsi="Times New Roman"/>
          <w:szCs w:val="24"/>
        </w:rPr>
        <w:t>поглавље</w:t>
      </w:r>
      <w:r w:rsidR="009330B9" w:rsidRPr="00000EBB">
        <w:rPr>
          <w:rFonts w:ascii="Times New Roman" w:hAnsi="Times New Roman"/>
          <w:szCs w:val="24"/>
        </w:rPr>
        <w:t xml:space="preserve"> </w:t>
      </w:r>
      <w:r>
        <w:rPr>
          <w:rFonts w:ascii="Times New Roman" w:hAnsi="Times New Roman"/>
          <w:szCs w:val="24"/>
        </w:rPr>
        <w:t>које</w:t>
      </w:r>
      <w:r w:rsidR="009330B9" w:rsidRPr="00000EBB">
        <w:rPr>
          <w:rFonts w:ascii="Times New Roman" w:hAnsi="Times New Roman"/>
          <w:szCs w:val="24"/>
        </w:rPr>
        <w:t xml:space="preserve"> </w:t>
      </w:r>
      <w:r>
        <w:rPr>
          <w:rFonts w:ascii="Times New Roman" w:hAnsi="Times New Roman"/>
          <w:szCs w:val="24"/>
        </w:rPr>
        <w:t>се</w:t>
      </w:r>
      <w:r w:rsidR="009330B9" w:rsidRPr="00000EBB">
        <w:rPr>
          <w:rFonts w:ascii="Times New Roman" w:hAnsi="Times New Roman"/>
          <w:szCs w:val="24"/>
        </w:rPr>
        <w:t xml:space="preserve"> </w:t>
      </w:r>
      <w:r>
        <w:rPr>
          <w:rFonts w:ascii="Times New Roman" w:hAnsi="Times New Roman"/>
          <w:szCs w:val="24"/>
        </w:rPr>
        <w:t>односи</w:t>
      </w:r>
      <w:r w:rsidR="009330B9" w:rsidRPr="00000EBB">
        <w:rPr>
          <w:rFonts w:ascii="Times New Roman" w:hAnsi="Times New Roman"/>
          <w:szCs w:val="24"/>
        </w:rPr>
        <w:t xml:space="preserve"> </w:t>
      </w:r>
      <w:r>
        <w:rPr>
          <w:rFonts w:ascii="Times New Roman" w:hAnsi="Times New Roman"/>
          <w:szCs w:val="24"/>
        </w:rPr>
        <w:t>на</w:t>
      </w:r>
      <w:r w:rsidR="009330B9" w:rsidRPr="00000EBB">
        <w:rPr>
          <w:rFonts w:ascii="Times New Roman" w:hAnsi="Times New Roman"/>
          <w:szCs w:val="24"/>
        </w:rPr>
        <w:t xml:space="preserve"> </w:t>
      </w:r>
      <w:r>
        <w:rPr>
          <w:rFonts w:ascii="Times New Roman" w:hAnsi="Times New Roman"/>
          <w:szCs w:val="24"/>
        </w:rPr>
        <w:t>здравље</w:t>
      </w:r>
      <w:r w:rsidR="009330B9" w:rsidRPr="00000EBB">
        <w:rPr>
          <w:rFonts w:ascii="Times New Roman" w:hAnsi="Times New Roman"/>
          <w:szCs w:val="24"/>
        </w:rPr>
        <w:t xml:space="preserve">. </w:t>
      </w:r>
      <w:r>
        <w:rPr>
          <w:rFonts w:ascii="Times New Roman" w:hAnsi="Times New Roman"/>
          <w:lang w:val="sr-Latn-BA"/>
        </w:rPr>
        <w:t>Статистички</w:t>
      </w:r>
      <w:r w:rsidR="009330B9" w:rsidRPr="00295637">
        <w:rPr>
          <w:rFonts w:ascii="Times New Roman" w:hAnsi="Times New Roman"/>
          <w:lang w:val="sr-Latn-BA"/>
        </w:rPr>
        <w:t xml:space="preserve"> </w:t>
      </w:r>
      <w:r>
        <w:rPr>
          <w:rFonts w:ascii="Times New Roman" w:hAnsi="Times New Roman"/>
          <w:lang w:val="sr-Latn-BA"/>
        </w:rPr>
        <w:t>билтен</w:t>
      </w:r>
      <w:r w:rsidR="009330B9" w:rsidRPr="00295637">
        <w:rPr>
          <w:rFonts w:ascii="Times New Roman" w:hAnsi="Times New Roman"/>
          <w:lang w:val="sr-Latn-BA"/>
        </w:rPr>
        <w:t xml:space="preserve"> „</w:t>
      </w:r>
      <w:r>
        <w:rPr>
          <w:rFonts w:ascii="Times New Roman" w:hAnsi="Times New Roman"/>
          <w:lang w:val="sr-Latn-BA"/>
        </w:rPr>
        <w:t>Жене</w:t>
      </w:r>
      <w:r w:rsidR="009330B9" w:rsidRPr="00295637">
        <w:rPr>
          <w:rFonts w:ascii="Times New Roman" w:hAnsi="Times New Roman"/>
          <w:lang w:val="sr-Latn-BA"/>
        </w:rPr>
        <w:t xml:space="preserve"> </w:t>
      </w:r>
      <w:r>
        <w:rPr>
          <w:rFonts w:ascii="Times New Roman" w:hAnsi="Times New Roman"/>
          <w:lang w:val="sr-Latn-BA"/>
        </w:rPr>
        <w:t>и</w:t>
      </w:r>
      <w:r w:rsidR="009330B9" w:rsidRPr="00295637">
        <w:rPr>
          <w:rFonts w:ascii="Times New Roman" w:hAnsi="Times New Roman"/>
          <w:lang w:val="sr-Latn-BA"/>
        </w:rPr>
        <w:t xml:space="preserve"> </w:t>
      </w:r>
      <w:r>
        <w:rPr>
          <w:rFonts w:ascii="Times New Roman" w:hAnsi="Times New Roman"/>
          <w:lang w:val="sr-Latn-BA"/>
        </w:rPr>
        <w:t>мушкарци</w:t>
      </w:r>
      <w:r w:rsidR="009330B9" w:rsidRPr="00295637">
        <w:rPr>
          <w:rFonts w:ascii="Times New Roman" w:hAnsi="Times New Roman"/>
          <w:lang w:val="sr-Latn-BA"/>
        </w:rPr>
        <w:t xml:space="preserve"> </w:t>
      </w:r>
      <w:r>
        <w:rPr>
          <w:rFonts w:ascii="Times New Roman" w:hAnsi="Times New Roman"/>
          <w:lang w:val="sr-Latn-BA"/>
        </w:rPr>
        <w:t>у</w:t>
      </w:r>
      <w:r w:rsidR="009330B9" w:rsidRPr="00295637">
        <w:rPr>
          <w:rFonts w:ascii="Times New Roman" w:hAnsi="Times New Roman"/>
          <w:lang w:val="sr-Latn-BA"/>
        </w:rPr>
        <w:t xml:space="preserve"> </w:t>
      </w:r>
      <w:r>
        <w:rPr>
          <w:rFonts w:ascii="Times New Roman" w:hAnsi="Times New Roman"/>
          <w:lang w:val="sr-Latn-BA"/>
        </w:rPr>
        <w:t>Републици</w:t>
      </w:r>
      <w:r w:rsidR="009330B9" w:rsidRPr="00295637">
        <w:rPr>
          <w:rFonts w:ascii="Times New Roman" w:hAnsi="Times New Roman"/>
          <w:lang w:val="sr-Latn-BA"/>
        </w:rPr>
        <w:t xml:space="preserve"> </w:t>
      </w:r>
      <w:r>
        <w:rPr>
          <w:rFonts w:ascii="Times New Roman" w:hAnsi="Times New Roman"/>
          <w:lang w:val="sr-Latn-BA"/>
        </w:rPr>
        <w:t>Српској</w:t>
      </w:r>
      <w:r w:rsidR="009330B9" w:rsidRPr="00295637">
        <w:rPr>
          <w:rFonts w:ascii="Times New Roman" w:hAnsi="Times New Roman"/>
          <w:lang w:val="sr-Latn-BA"/>
        </w:rPr>
        <w:t xml:space="preserve">“, </w:t>
      </w:r>
      <w:r>
        <w:rPr>
          <w:rFonts w:ascii="Times New Roman" w:hAnsi="Times New Roman"/>
          <w:lang w:val="sr-Latn-BA"/>
        </w:rPr>
        <w:t>у</w:t>
      </w:r>
      <w:r w:rsidR="009330B9" w:rsidRPr="00295637">
        <w:rPr>
          <w:rFonts w:ascii="Times New Roman" w:hAnsi="Times New Roman"/>
          <w:lang w:val="sr-Latn-BA"/>
        </w:rPr>
        <w:t xml:space="preserve"> </w:t>
      </w:r>
      <w:r>
        <w:rPr>
          <w:rFonts w:ascii="Times New Roman" w:hAnsi="Times New Roman"/>
          <w:lang w:val="sr-Latn-BA"/>
        </w:rPr>
        <w:t>поглављу</w:t>
      </w:r>
      <w:r w:rsidR="009330B9" w:rsidRPr="00295637">
        <w:rPr>
          <w:rFonts w:ascii="Times New Roman" w:hAnsi="Times New Roman"/>
          <w:lang w:val="sr-Latn-BA"/>
        </w:rPr>
        <w:t xml:space="preserve"> „</w:t>
      </w:r>
      <w:r>
        <w:rPr>
          <w:rFonts w:ascii="Times New Roman" w:hAnsi="Times New Roman"/>
          <w:lang w:val="sr-Latn-BA"/>
        </w:rPr>
        <w:t>Здравље</w:t>
      </w:r>
      <w:r w:rsidR="009330B9" w:rsidRPr="00295637">
        <w:rPr>
          <w:rFonts w:ascii="Times New Roman" w:hAnsi="Times New Roman"/>
          <w:lang w:val="sr-Latn-BA"/>
        </w:rPr>
        <w:t xml:space="preserve">“ </w:t>
      </w:r>
      <w:r>
        <w:rPr>
          <w:rFonts w:ascii="Times New Roman" w:hAnsi="Times New Roman"/>
          <w:lang w:val="sr-Latn-BA"/>
        </w:rPr>
        <w:t>сваке</w:t>
      </w:r>
      <w:r w:rsidR="009330B9" w:rsidRPr="00295637">
        <w:rPr>
          <w:rFonts w:ascii="Times New Roman" w:hAnsi="Times New Roman"/>
          <w:lang w:val="sr-Latn-BA"/>
        </w:rPr>
        <w:t xml:space="preserve"> </w:t>
      </w:r>
      <w:r>
        <w:rPr>
          <w:rFonts w:ascii="Times New Roman" w:hAnsi="Times New Roman"/>
          <w:lang w:val="sr-Latn-BA"/>
        </w:rPr>
        <w:t>двије</w:t>
      </w:r>
      <w:r w:rsidR="009330B9" w:rsidRPr="00295637">
        <w:rPr>
          <w:rFonts w:ascii="Times New Roman" w:hAnsi="Times New Roman"/>
          <w:lang w:val="sr-Latn-BA"/>
        </w:rPr>
        <w:t xml:space="preserve"> </w:t>
      </w:r>
      <w:r>
        <w:rPr>
          <w:rFonts w:ascii="Times New Roman" w:hAnsi="Times New Roman"/>
          <w:lang w:val="sr-Latn-BA"/>
        </w:rPr>
        <w:t>године</w:t>
      </w:r>
      <w:r w:rsidR="009330B9" w:rsidRPr="00295637">
        <w:rPr>
          <w:rFonts w:ascii="Times New Roman" w:hAnsi="Times New Roman"/>
          <w:lang w:val="sr-Latn-BA"/>
        </w:rPr>
        <w:t xml:space="preserve"> </w:t>
      </w:r>
      <w:r>
        <w:rPr>
          <w:rFonts w:ascii="Times New Roman" w:hAnsi="Times New Roman"/>
          <w:lang w:val="sr-Latn-BA"/>
        </w:rPr>
        <w:t>публи</w:t>
      </w:r>
      <w:r w:rsidR="002E608B">
        <w:rPr>
          <w:rFonts w:ascii="Times New Roman" w:hAnsi="Times New Roman"/>
          <w:lang w:val="sr-Cyrl-BA"/>
        </w:rPr>
        <w:t>кује</w:t>
      </w:r>
      <w:r w:rsidR="009330B9" w:rsidRPr="00295637">
        <w:rPr>
          <w:rFonts w:ascii="Times New Roman" w:hAnsi="Times New Roman"/>
          <w:lang w:val="sr-Latn-BA"/>
        </w:rPr>
        <w:t xml:space="preserve"> </w:t>
      </w:r>
      <w:r>
        <w:rPr>
          <w:rFonts w:ascii="Times New Roman" w:hAnsi="Times New Roman"/>
          <w:lang w:val="sr-Latn-BA"/>
        </w:rPr>
        <w:t>сљедеће</w:t>
      </w:r>
      <w:r w:rsidR="009330B9" w:rsidRPr="00295637">
        <w:rPr>
          <w:rFonts w:ascii="Times New Roman" w:hAnsi="Times New Roman"/>
          <w:lang w:val="sr-Latn-BA"/>
        </w:rPr>
        <w:t xml:space="preserve"> </w:t>
      </w:r>
      <w:r>
        <w:rPr>
          <w:rFonts w:ascii="Times New Roman" w:hAnsi="Times New Roman"/>
          <w:lang w:val="sr-Latn-BA"/>
        </w:rPr>
        <w:t>податке</w:t>
      </w:r>
      <w:r w:rsidR="009330B9" w:rsidRPr="00295637">
        <w:rPr>
          <w:rFonts w:ascii="Times New Roman" w:hAnsi="Times New Roman"/>
          <w:lang w:val="sr-Latn-BA"/>
        </w:rPr>
        <w:t xml:space="preserve"> </w:t>
      </w:r>
      <w:r>
        <w:rPr>
          <w:rFonts w:ascii="Times New Roman" w:hAnsi="Times New Roman"/>
          <w:lang w:val="sr-Latn-BA"/>
        </w:rPr>
        <w:t>разврстане</w:t>
      </w:r>
      <w:r w:rsidR="009330B9" w:rsidRPr="00295637">
        <w:rPr>
          <w:rFonts w:ascii="Times New Roman" w:hAnsi="Times New Roman"/>
          <w:lang w:val="sr-Latn-BA"/>
        </w:rPr>
        <w:t xml:space="preserve"> </w:t>
      </w:r>
      <w:r>
        <w:rPr>
          <w:rFonts w:ascii="Times New Roman" w:hAnsi="Times New Roman"/>
          <w:lang w:val="sr-Latn-BA"/>
        </w:rPr>
        <w:t>по</w:t>
      </w:r>
      <w:r w:rsidR="009330B9" w:rsidRPr="00295637">
        <w:rPr>
          <w:rFonts w:ascii="Times New Roman" w:hAnsi="Times New Roman"/>
          <w:lang w:val="sr-Latn-BA"/>
        </w:rPr>
        <w:t xml:space="preserve"> </w:t>
      </w:r>
      <w:r>
        <w:rPr>
          <w:rFonts w:ascii="Times New Roman" w:hAnsi="Times New Roman"/>
          <w:lang w:val="sr-Latn-BA"/>
        </w:rPr>
        <w:t>полу</w:t>
      </w:r>
      <w:r w:rsidR="009330B9" w:rsidRPr="00295637">
        <w:rPr>
          <w:rFonts w:ascii="Times New Roman" w:hAnsi="Times New Roman"/>
          <w:lang w:val="sr-Latn-BA"/>
        </w:rPr>
        <w:t xml:space="preserve">, </w:t>
      </w:r>
      <w:r>
        <w:rPr>
          <w:rFonts w:ascii="Times New Roman" w:hAnsi="Times New Roman"/>
          <w:lang w:val="sr-Latn-BA"/>
        </w:rPr>
        <w:t>како</w:t>
      </w:r>
      <w:r w:rsidR="009330B9" w:rsidRPr="00295637">
        <w:rPr>
          <w:rFonts w:ascii="Times New Roman" w:hAnsi="Times New Roman"/>
          <w:lang w:val="sr-Latn-BA"/>
        </w:rPr>
        <w:t xml:space="preserve"> </w:t>
      </w:r>
      <w:r>
        <w:rPr>
          <w:rFonts w:ascii="Times New Roman" w:hAnsi="Times New Roman"/>
          <w:lang w:val="sr-Latn-BA"/>
        </w:rPr>
        <w:t>слиједи</w:t>
      </w:r>
      <w:r w:rsidR="009330B9" w:rsidRPr="00295637">
        <w:rPr>
          <w:rFonts w:ascii="Times New Roman" w:hAnsi="Times New Roman"/>
          <w:lang w:val="sr-Latn-BA"/>
        </w:rPr>
        <w:t xml:space="preserve">: </w:t>
      </w:r>
      <w:r>
        <w:rPr>
          <w:rFonts w:ascii="Times New Roman" w:hAnsi="Times New Roman"/>
          <w:lang w:val="sr-Latn-BA"/>
        </w:rPr>
        <w:t>здравствени</w:t>
      </w:r>
      <w:r w:rsidR="009330B9" w:rsidRPr="00295637">
        <w:rPr>
          <w:rFonts w:ascii="Times New Roman" w:hAnsi="Times New Roman"/>
          <w:lang w:val="sr-Latn-BA"/>
        </w:rPr>
        <w:t xml:space="preserve"> </w:t>
      </w:r>
      <w:r>
        <w:rPr>
          <w:rFonts w:ascii="Times New Roman" w:hAnsi="Times New Roman"/>
          <w:lang w:val="sr-Latn-BA"/>
        </w:rPr>
        <w:t>радници</w:t>
      </w:r>
      <w:r w:rsidR="009330B9" w:rsidRPr="00295637">
        <w:rPr>
          <w:rFonts w:ascii="Times New Roman" w:hAnsi="Times New Roman"/>
          <w:lang w:val="sr-Latn-BA"/>
        </w:rPr>
        <w:t xml:space="preserve">, </w:t>
      </w:r>
      <w:r>
        <w:rPr>
          <w:rFonts w:ascii="Times New Roman" w:hAnsi="Times New Roman"/>
          <w:lang w:val="sr-Latn-BA"/>
        </w:rPr>
        <w:t>укупни</w:t>
      </w:r>
      <w:r w:rsidR="009330B9" w:rsidRPr="00295637">
        <w:rPr>
          <w:rFonts w:ascii="Times New Roman" w:hAnsi="Times New Roman"/>
          <w:lang w:val="sr-Latn-BA"/>
        </w:rPr>
        <w:t xml:space="preserve"> </w:t>
      </w:r>
      <w:r>
        <w:rPr>
          <w:rFonts w:ascii="Times New Roman" w:hAnsi="Times New Roman"/>
          <w:lang w:val="sr-Latn-BA"/>
        </w:rPr>
        <w:t>болнички</w:t>
      </w:r>
      <w:r w:rsidR="009330B9" w:rsidRPr="00295637">
        <w:rPr>
          <w:rFonts w:ascii="Times New Roman" w:hAnsi="Times New Roman"/>
          <w:lang w:val="sr-Latn-BA"/>
        </w:rPr>
        <w:t xml:space="preserve"> </w:t>
      </w:r>
      <w:r>
        <w:rPr>
          <w:rFonts w:ascii="Times New Roman" w:hAnsi="Times New Roman"/>
          <w:lang w:val="sr-Latn-BA"/>
        </w:rPr>
        <w:t>морбидитет</w:t>
      </w:r>
      <w:r w:rsidR="009330B9" w:rsidRPr="00295637">
        <w:rPr>
          <w:rFonts w:ascii="Times New Roman" w:hAnsi="Times New Roman"/>
          <w:lang w:val="sr-Latn-BA"/>
        </w:rPr>
        <w:t xml:space="preserve"> </w:t>
      </w:r>
      <w:r>
        <w:rPr>
          <w:rFonts w:ascii="Times New Roman" w:hAnsi="Times New Roman"/>
          <w:lang w:val="sr-Latn-BA"/>
        </w:rPr>
        <w:t>према</w:t>
      </w:r>
      <w:r w:rsidR="009330B9" w:rsidRPr="00295637">
        <w:rPr>
          <w:rFonts w:ascii="Times New Roman" w:hAnsi="Times New Roman"/>
          <w:lang w:val="sr-Latn-BA"/>
        </w:rPr>
        <w:t xml:space="preserve"> </w:t>
      </w:r>
      <w:r>
        <w:rPr>
          <w:rFonts w:ascii="Times New Roman" w:hAnsi="Times New Roman"/>
          <w:lang w:val="sr-Latn-BA"/>
        </w:rPr>
        <w:t>групама</w:t>
      </w:r>
      <w:r w:rsidR="009330B9" w:rsidRPr="00295637">
        <w:rPr>
          <w:rFonts w:ascii="Times New Roman" w:hAnsi="Times New Roman"/>
          <w:lang w:val="sr-Latn-BA"/>
        </w:rPr>
        <w:t xml:space="preserve"> </w:t>
      </w:r>
      <w:r>
        <w:rPr>
          <w:rFonts w:ascii="Times New Roman" w:hAnsi="Times New Roman"/>
          <w:lang w:val="sr-Latn-BA"/>
        </w:rPr>
        <w:t>болести</w:t>
      </w:r>
      <w:r w:rsidR="009330B9" w:rsidRPr="00295637">
        <w:rPr>
          <w:rFonts w:ascii="Times New Roman" w:hAnsi="Times New Roman"/>
          <w:lang w:val="sr-Latn-BA"/>
        </w:rPr>
        <w:t xml:space="preserve">, </w:t>
      </w:r>
      <w:r>
        <w:rPr>
          <w:rFonts w:ascii="Times New Roman" w:hAnsi="Times New Roman"/>
          <w:lang w:val="sr-Latn-BA"/>
        </w:rPr>
        <w:t>лица</w:t>
      </w:r>
      <w:r w:rsidR="008A5A21">
        <w:rPr>
          <w:rFonts w:ascii="Times New Roman" w:hAnsi="Times New Roman"/>
          <w:lang w:val="sr-Latn-BA"/>
        </w:rPr>
        <w:t xml:space="preserve"> </w:t>
      </w:r>
      <w:r>
        <w:rPr>
          <w:rFonts w:ascii="Times New Roman" w:hAnsi="Times New Roman"/>
          <w:lang w:val="sr-Latn-BA"/>
        </w:rPr>
        <w:t>са</w:t>
      </w:r>
      <w:r w:rsidR="009330B9" w:rsidRPr="00295637">
        <w:rPr>
          <w:rFonts w:ascii="Times New Roman" w:hAnsi="Times New Roman"/>
          <w:lang w:val="sr-Latn-BA"/>
        </w:rPr>
        <w:t xml:space="preserve"> </w:t>
      </w:r>
      <w:r>
        <w:rPr>
          <w:rFonts w:ascii="Times New Roman" w:hAnsi="Times New Roman"/>
          <w:lang w:val="sr-Latn-BA"/>
        </w:rPr>
        <w:t>потешкоћама</w:t>
      </w:r>
      <w:r w:rsidR="009330B9" w:rsidRPr="00295637">
        <w:rPr>
          <w:rFonts w:ascii="Times New Roman" w:hAnsi="Times New Roman"/>
          <w:lang w:val="sr-Latn-BA"/>
        </w:rPr>
        <w:t xml:space="preserve"> </w:t>
      </w:r>
      <w:r>
        <w:rPr>
          <w:rFonts w:ascii="Times New Roman" w:hAnsi="Times New Roman"/>
          <w:lang w:val="sr-Latn-BA"/>
        </w:rPr>
        <w:t>према</w:t>
      </w:r>
      <w:r w:rsidR="009330B9" w:rsidRPr="00295637">
        <w:rPr>
          <w:rFonts w:ascii="Times New Roman" w:hAnsi="Times New Roman"/>
          <w:lang w:val="sr-Latn-BA"/>
        </w:rPr>
        <w:t xml:space="preserve"> </w:t>
      </w:r>
      <w:r>
        <w:rPr>
          <w:rFonts w:ascii="Times New Roman" w:hAnsi="Times New Roman"/>
          <w:lang w:val="sr-Latn-BA"/>
        </w:rPr>
        <w:t>врсти</w:t>
      </w:r>
      <w:r w:rsidR="009330B9" w:rsidRPr="00295637">
        <w:rPr>
          <w:rFonts w:ascii="Times New Roman" w:hAnsi="Times New Roman"/>
          <w:lang w:val="sr-Latn-BA"/>
        </w:rPr>
        <w:t xml:space="preserve"> </w:t>
      </w:r>
      <w:r>
        <w:rPr>
          <w:rFonts w:ascii="Times New Roman" w:hAnsi="Times New Roman"/>
          <w:lang w:val="sr-Latn-BA"/>
        </w:rPr>
        <w:t>потешкоће</w:t>
      </w:r>
      <w:r w:rsidR="009330B9" w:rsidRPr="00295637">
        <w:rPr>
          <w:rFonts w:ascii="Times New Roman" w:hAnsi="Times New Roman"/>
          <w:lang w:val="sr-Latn-BA"/>
        </w:rPr>
        <w:t xml:space="preserve">, </w:t>
      </w:r>
      <w:r>
        <w:rPr>
          <w:rFonts w:ascii="Times New Roman" w:hAnsi="Times New Roman"/>
          <w:lang w:val="sr-Latn-BA"/>
        </w:rPr>
        <w:t>регистр</w:t>
      </w:r>
      <w:r w:rsidR="002E608B">
        <w:rPr>
          <w:rFonts w:ascii="Times New Roman" w:hAnsi="Times New Roman"/>
          <w:lang w:val="sr-Cyrl-BA"/>
        </w:rPr>
        <w:t>овани</w:t>
      </w:r>
      <w:r w:rsidR="009330B9" w:rsidRPr="00295637">
        <w:rPr>
          <w:rFonts w:ascii="Times New Roman" w:hAnsi="Times New Roman"/>
          <w:lang w:val="sr-Latn-BA"/>
        </w:rPr>
        <w:t xml:space="preserve"> </w:t>
      </w:r>
      <w:r>
        <w:rPr>
          <w:rFonts w:ascii="Times New Roman" w:hAnsi="Times New Roman"/>
          <w:lang w:val="sr-Latn-BA"/>
        </w:rPr>
        <w:t>случајеви</w:t>
      </w:r>
      <w:r w:rsidR="009330B9" w:rsidRPr="00295637">
        <w:rPr>
          <w:rFonts w:ascii="Times New Roman" w:hAnsi="Times New Roman"/>
          <w:lang w:val="sr-Latn-BA"/>
        </w:rPr>
        <w:t xml:space="preserve"> </w:t>
      </w:r>
      <w:r w:rsidR="002E608B" w:rsidRPr="002E608B">
        <w:rPr>
          <w:rFonts w:ascii="Times New Roman" w:hAnsi="Times New Roman"/>
          <w:i/>
          <w:lang w:val="sr-Latn-BA"/>
        </w:rPr>
        <w:t>HIV</w:t>
      </w:r>
      <w:r w:rsidR="002E608B" w:rsidRPr="002E608B">
        <w:rPr>
          <w:rFonts w:ascii="Times New Roman" w:hAnsi="Times New Roman"/>
          <w:lang w:val="sr-Latn-BA"/>
        </w:rPr>
        <w:t>-a/</w:t>
      </w:r>
      <w:r w:rsidR="002E608B" w:rsidRPr="002E608B">
        <w:rPr>
          <w:rFonts w:ascii="Times New Roman" w:hAnsi="Times New Roman"/>
          <w:i/>
          <w:lang w:val="sr-Latn-BA"/>
        </w:rPr>
        <w:t>AIDS</w:t>
      </w:r>
      <w:r w:rsidR="002E608B" w:rsidRPr="002E608B">
        <w:rPr>
          <w:rFonts w:ascii="Times New Roman" w:hAnsi="Times New Roman"/>
          <w:lang w:val="sr-Latn-BA"/>
        </w:rPr>
        <w:t>-a</w:t>
      </w:r>
      <w:r w:rsidR="009330B9" w:rsidRPr="00295637">
        <w:rPr>
          <w:rFonts w:ascii="Times New Roman" w:hAnsi="Times New Roman"/>
          <w:lang w:val="sr-Latn-BA"/>
        </w:rPr>
        <w:t xml:space="preserve">, </w:t>
      </w:r>
      <w:r>
        <w:rPr>
          <w:rFonts w:ascii="Times New Roman" w:hAnsi="Times New Roman"/>
          <w:lang w:val="sr-Latn-BA"/>
        </w:rPr>
        <w:t>умрли</w:t>
      </w:r>
      <w:r w:rsidR="009330B9" w:rsidRPr="00295637">
        <w:rPr>
          <w:rFonts w:ascii="Times New Roman" w:hAnsi="Times New Roman"/>
          <w:lang w:val="sr-Latn-BA"/>
        </w:rPr>
        <w:t xml:space="preserve"> </w:t>
      </w:r>
      <w:r>
        <w:rPr>
          <w:rFonts w:ascii="Times New Roman" w:hAnsi="Times New Roman"/>
          <w:lang w:val="sr-Latn-BA"/>
        </w:rPr>
        <w:t>према</w:t>
      </w:r>
      <w:r w:rsidR="009330B9" w:rsidRPr="00295637">
        <w:rPr>
          <w:rFonts w:ascii="Times New Roman" w:hAnsi="Times New Roman"/>
          <w:lang w:val="sr-Latn-BA"/>
        </w:rPr>
        <w:t xml:space="preserve"> </w:t>
      </w:r>
      <w:r>
        <w:rPr>
          <w:rFonts w:ascii="Times New Roman" w:hAnsi="Times New Roman"/>
          <w:lang w:val="sr-Latn-BA"/>
        </w:rPr>
        <w:t>старости</w:t>
      </w:r>
      <w:r w:rsidR="009330B9" w:rsidRPr="00295637">
        <w:rPr>
          <w:rFonts w:ascii="Times New Roman" w:hAnsi="Times New Roman"/>
          <w:lang w:val="sr-Latn-BA"/>
        </w:rPr>
        <w:t xml:space="preserve">, </w:t>
      </w:r>
      <w:r>
        <w:rPr>
          <w:rFonts w:ascii="Times New Roman" w:hAnsi="Times New Roman"/>
          <w:lang w:val="sr-Latn-BA"/>
        </w:rPr>
        <w:t>просјечна</w:t>
      </w:r>
      <w:r w:rsidR="009330B9" w:rsidRPr="00295637">
        <w:rPr>
          <w:rFonts w:ascii="Times New Roman" w:hAnsi="Times New Roman"/>
          <w:lang w:val="sr-Latn-BA"/>
        </w:rPr>
        <w:t xml:space="preserve"> </w:t>
      </w:r>
      <w:r>
        <w:rPr>
          <w:rFonts w:ascii="Times New Roman" w:hAnsi="Times New Roman"/>
          <w:lang w:val="sr-Latn-BA"/>
        </w:rPr>
        <w:t>старост</w:t>
      </w:r>
      <w:r w:rsidR="009330B9" w:rsidRPr="00295637">
        <w:rPr>
          <w:rFonts w:ascii="Times New Roman" w:hAnsi="Times New Roman"/>
          <w:lang w:val="sr-Latn-BA"/>
        </w:rPr>
        <w:t xml:space="preserve"> </w:t>
      </w:r>
      <w:r>
        <w:rPr>
          <w:rFonts w:ascii="Times New Roman" w:hAnsi="Times New Roman"/>
          <w:lang w:val="sr-Latn-BA"/>
        </w:rPr>
        <w:t>при</w:t>
      </w:r>
      <w:r w:rsidR="009330B9" w:rsidRPr="00295637">
        <w:rPr>
          <w:rFonts w:ascii="Times New Roman" w:hAnsi="Times New Roman"/>
          <w:lang w:val="sr-Latn-BA"/>
        </w:rPr>
        <w:t xml:space="preserve"> </w:t>
      </w:r>
      <w:r>
        <w:rPr>
          <w:rFonts w:ascii="Times New Roman" w:hAnsi="Times New Roman"/>
          <w:lang w:val="sr-Latn-BA"/>
        </w:rPr>
        <w:t>умирању</w:t>
      </w:r>
      <w:r w:rsidR="009330B9" w:rsidRPr="00295637">
        <w:rPr>
          <w:rFonts w:ascii="Times New Roman" w:hAnsi="Times New Roman"/>
          <w:lang w:val="sr-Latn-BA"/>
        </w:rPr>
        <w:t xml:space="preserve">, </w:t>
      </w:r>
      <w:r>
        <w:rPr>
          <w:rFonts w:ascii="Times New Roman" w:hAnsi="Times New Roman"/>
          <w:lang w:val="sr-Latn-BA"/>
        </w:rPr>
        <w:t>водећи</w:t>
      </w:r>
      <w:r w:rsidR="009330B9" w:rsidRPr="00295637">
        <w:rPr>
          <w:rFonts w:ascii="Times New Roman" w:hAnsi="Times New Roman"/>
          <w:lang w:val="sr-Latn-BA"/>
        </w:rPr>
        <w:t xml:space="preserve"> </w:t>
      </w:r>
      <w:r>
        <w:rPr>
          <w:rFonts w:ascii="Times New Roman" w:hAnsi="Times New Roman"/>
          <w:lang w:val="sr-Latn-BA"/>
        </w:rPr>
        <w:t>узроци</w:t>
      </w:r>
      <w:r w:rsidR="009330B9" w:rsidRPr="00295637">
        <w:rPr>
          <w:rFonts w:ascii="Times New Roman" w:hAnsi="Times New Roman"/>
          <w:lang w:val="sr-Latn-BA"/>
        </w:rPr>
        <w:t xml:space="preserve"> </w:t>
      </w:r>
      <w:r>
        <w:rPr>
          <w:rFonts w:ascii="Times New Roman" w:hAnsi="Times New Roman"/>
          <w:lang w:val="sr-Latn-BA"/>
        </w:rPr>
        <w:t>смрти</w:t>
      </w:r>
      <w:r w:rsidR="009330B9" w:rsidRPr="00295637">
        <w:rPr>
          <w:rFonts w:ascii="Times New Roman" w:hAnsi="Times New Roman"/>
          <w:lang w:val="sr-Latn-BA"/>
        </w:rPr>
        <w:t xml:space="preserve">, </w:t>
      </w:r>
      <w:r>
        <w:rPr>
          <w:rFonts w:ascii="Times New Roman" w:hAnsi="Times New Roman"/>
          <w:lang w:val="sr-Latn-BA"/>
        </w:rPr>
        <w:t>насилне</w:t>
      </w:r>
      <w:r w:rsidR="009330B9" w:rsidRPr="00295637">
        <w:rPr>
          <w:rFonts w:ascii="Times New Roman" w:hAnsi="Times New Roman"/>
          <w:lang w:val="sr-Latn-BA"/>
        </w:rPr>
        <w:t xml:space="preserve"> </w:t>
      </w:r>
      <w:r>
        <w:rPr>
          <w:rFonts w:ascii="Times New Roman" w:hAnsi="Times New Roman"/>
          <w:lang w:val="sr-Latn-BA"/>
        </w:rPr>
        <w:t>смрти</w:t>
      </w:r>
      <w:r w:rsidR="009330B9" w:rsidRPr="00295637">
        <w:rPr>
          <w:rFonts w:ascii="Times New Roman" w:hAnsi="Times New Roman"/>
          <w:lang w:val="sr-Latn-BA"/>
        </w:rPr>
        <w:t xml:space="preserve">, </w:t>
      </w:r>
      <w:r>
        <w:rPr>
          <w:rFonts w:ascii="Times New Roman" w:hAnsi="Times New Roman"/>
          <w:lang w:val="sr-Latn-BA"/>
        </w:rPr>
        <w:t>стопа</w:t>
      </w:r>
      <w:r w:rsidR="009330B9" w:rsidRPr="00295637">
        <w:rPr>
          <w:rFonts w:ascii="Times New Roman" w:hAnsi="Times New Roman"/>
          <w:lang w:val="sr-Latn-BA"/>
        </w:rPr>
        <w:t xml:space="preserve"> </w:t>
      </w:r>
      <w:r>
        <w:rPr>
          <w:rFonts w:ascii="Times New Roman" w:hAnsi="Times New Roman"/>
          <w:lang w:val="sr-Latn-BA"/>
        </w:rPr>
        <w:t>смртности</w:t>
      </w:r>
      <w:r w:rsidR="009330B9" w:rsidRPr="00295637">
        <w:rPr>
          <w:rFonts w:ascii="Times New Roman" w:hAnsi="Times New Roman"/>
          <w:lang w:val="sr-Latn-BA"/>
        </w:rPr>
        <w:t xml:space="preserve"> </w:t>
      </w:r>
      <w:r>
        <w:rPr>
          <w:rFonts w:ascii="Times New Roman" w:hAnsi="Times New Roman"/>
          <w:lang w:val="sr-Latn-BA"/>
        </w:rPr>
        <w:t>усљед</w:t>
      </w:r>
      <w:r w:rsidR="009330B9" w:rsidRPr="00295637">
        <w:rPr>
          <w:rFonts w:ascii="Times New Roman" w:hAnsi="Times New Roman"/>
          <w:lang w:val="sr-Latn-BA"/>
        </w:rPr>
        <w:t xml:space="preserve"> </w:t>
      </w:r>
      <w:r>
        <w:rPr>
          <w:rFonts w:ascii="Times New Roman" w:hAnsi="Times New Roman"/>
          <w:lang w:val="sr-Latn-BA"/>
        </w:rPr>
        <w:t>самоубиства</w:t>
      </w:r>
      <w:r w:rsidR="009330B9" w:rsidRPr="00295637">
        <w:rPr>
          <w:rFonts w:ascii="Times New Roman" w:hAnsi="Times New Roman"/>
          <w:lang w:val="sr-Latn-BA"/>
        </w:rPr>
        <w:t xml:space="preserve"> (</w:t>
      </w:r>
      <w:r>
        <w:rPr>
          <w:rFonts w:ascii="Times New Roman" w:hAnsi="Times New Roman"/>
          <w:lang w:val="sr-Latn-BA"/>
        </w:rPr>
        <w:t>на</w:t>
      </w:r>
      <w:r w:rsidR="009330B9" w:rsidRPr="00295637">
        <w:rPr>
          <w:rFonts w:ascii="Times New Roman" w:hAnsi="Times New Roman"/>
          <w:lang w:val="sr-Latn-BA"/>
        </w:rPr>
        <w:t xml:space="preserve"> 100 000 </w:t>
      </w:r>
      <w:r>
        <w:rPr>
          <w:rFonts w:ascii="Times New Roman" w:hAnsi="Times New Roman"/>
          <w:lang w:val="sr-Latn-BA"/>
        </w:rPr>
        <w:t>становника</w:t>
      </w:r>
      <w:r w:rsidR="009330B9" w:rsidRPr="00295637">
        <w:rPr>
          <w:rFonts w:ascii="Times New Roman" w:hAnsi="Times New Roman"/>
          <w:lang w:val="sr-Latn-BA"/>
        </w:rPr>
        <w:t xml:space="preserve">), </w:t>
      </w:r>
      <w:r>
        <w:rPr>
          <w:rFonts w:ascii="Times New Roman" w:hAnsi="Times New Roman"/>
          <w:lang w:val="sr-Latn-BA"/>
        </w:rPr>
        <w:t>умрли</w:t>
      </w:r>
      <w:r w:rsidR="009330B9" w:rsidRPr="00295637">
        <w:rPr>
          <w:rFonts w:ascii="Times New Roman" w:hAnsi="Times New Roman"/>
          <w:lang w:val="sr-Latn-BA"/>
        </w:rPr>
        <w:t xml:space="preserve"> </w:t>
      </w:r>
      <w:r>
        <w:rPr>
          <w:rFonts w:ascii="Times New Roman" w:hAnsi="Times New Roman"/>
          <w:lang w:val="sr-Latn-BA"/>
        </w:rPr>
        <w:t>усљед</w:t>
      </w:r>
      <w:r w:rsidR="009330B9" w:rsidRPr="00295637">
        <w:rPr>
          <w:rFonts w:ascii="Times New Roman" w:hAnsi="Times New Roman"/>
          <w:lang w:val="sr-Latn-BA"/>
        </w:rPr>
        <w:t xml:space="preserve"> </w:t>
      </w:r>
      <w:r>
        <w:rPr>
          <w:rFonts w:ascii="Times New Roman" w:hAnsi="Times New Roman"/>
          <w:lang w:val="sr-Latn-BA"/>
        </w:rPr>
        <w:t>самоубиства</w:t>
      </w:r>
      <w:r w:rsidR="009330B9" w:rsidRPr="00295637">
        <w:rPr>
          <w:rFonts w:ascii="Times New Roman" w:hAnsi="Times New Roman"/>
          <w:lang w:val="sr-Latn-BA"/>
        </w:rPr>
        <w:t xml:space="preserve"> </w:t>
      </w:r>
      <w:r>
        <w:rPr>
          <w:rFonts w:ascii="Times New Roman" w:hAnsi="Times New Roman"/>
          <w:lang w:val="sr-Latn-BA"/>
        </w:rPr>
        <w:t>према</w:t>
      </w:r>
      <w:r w:rsidR="009330B9" w:rsidRPr="00295637">
        <w:rPr>
          <w:rFonts w:ascii="Times New Roman" w:hAnsi="Times New Roman"/>
          <w:lang w:val="sr-Latn-BA"/>
        </w:rPr>
        <w:t xml:space="preserve"> </w:t>
      </w:r>
      <w:r>
        <w:rPr>
          <w:rFonts w:ascii="Times New Roman" w:hAnsi="Times New Roman"/>
          <w:lang w:val="sr-Latn-BA"/>
        </w:rPr>
        <w:t>старости</w:t>
      </w:r>
      <w:r w:rsidR="009330B9" w:rsidRPr="00295637">
        <w:rPr>
          <w:rFonts w:ascii="Times New Roman" w:hAnsi="Times New Roman"/>
          <w:lang w:val="sr-Latn-BA"/>
        </w:rPr>
        <w:t xml:space="preserve">, </w:t>
      </w:r>
      <w:r>
        <w:rPr>
          <w:rFonts w:ascii="Times New Roman" w:hAnsi="Times New Roman"/>
          <w:lang w:val="sr-Latn-BA"/>
        </w:rPr>
        <w:t>стопе</w:t>
      </w:r>
      <w:r w:rsidR="009330B9" w:rsidRPr="00295637">
        <w:rPr>
          <w:rFonts w:ascii="Times New Roman" w:hAnsi="Times New Roman"/>
          <w:lang w:val="sr-Latn-BA"/>
        </w:rPr>
        <w:t xml:space="preserve"> </w:t>
      </w:r>
      <w:r>
        <w:rPr>
          <w:rFonts w:ascii="Times New Roman" w:hAnsi="Times New Roman"/>
          <w:lang w:val="sr-Latn-BA"/>
        </w:rPr>
        <w:t>мртворођених</w:t>
      </w:r>
      <w:r w:rsidR="009330B9" w:rsidRPr="00295637">
        <w:rPr>
          <w:rFonts w:ascii="Times New Roman" w:hAnsi="Times New Roman"/>
          <w:lang w:val="sr-Latn-BA"/>
        </w:rPr>
        <w:t xml:space="preserve"> </w:t>
      </w:r>
      <w:r>
        <w:rPr>
          <w:rFonts w:ascii="Times New Roman" w:hAnsi="Times New Roman"/>
          <w:lang w:val="sr-Latn-BA"/>
        </w:rPr>
        <w:t>и</w:t>
      </w:r>
      <w:r w:rsidR="009330B9" w:rsidRPr="00295637">
        <w:rPr>
          <w:rFonts w:ascii="Times New Roman" w:hAnsi="Times New Roman"/>
          <w:lang w:val="sr-Latn-BA"/>
        </w:rPr>
        <w:t xml:space="preserve"> </w:t>
      </w:r>
      <w:r>
        <w:rPr>
          <w:rFonts w:ascii="Times New Roman" w:hAnsi="Times New Roman"/>
          <w:lang w:val="sr-Latn-BA"/>
        </w:rPr>
        <w:t>умрле</w:t>
      </w:r>
      <w:r w:rsidR="009330B9" w:rsidRPr="00295637">
        <w:rPr>
          <w:rFonts w:ascii="Times New Roman" w:hAnsi="Times New Roman"/>
          <w:lang w:val="sr-Latn-BA"/>
        </w:rPr>
        <w:t xml:space="preserve"> </w:t>
      </w:r>
      <w:r>
        <w:rPr>
          <w:rFonts w:ascii="Times New Roman" w:hAnsi="Times New Roman"/>
          <w:lang w:val="sr-Latn-BA"/>
        </w:rPr>
        <w:t>одојчади</w:t>
      </w:r>
      <w:r w:rsidR="009330B9" w:rsidRPr="00295637">
        <w:rPr>
          <w:rFonts w:ascii="Times New Roman" w:hAnsi="Times New Roman"/>
          <w:lang w:val="sr-Latn-BA"/>
        </w:rPr>
        <w:t xml:space="preserve"> (</w:t>
      </w:r>
      <w:r>
        <w:rPr>
          <w:rFonts w:ascii="Times New Roman" w:hAnsi="Times New Roman"/>
          <w:lang w:val="sr-Latn-BA"/>
        </w:rPr>
        <w:t>на</w:t>
      </w:r>
      <w:r w:rsidR="009330B9" w:rsidRPr="00295637">
        <w:rPr>
          <w:rFonts w:ascii="Times New Roman" w:hAnsi="Times New Roman"/>
          <w:lang w:val="sr-Latn-BA"/>
        </w:rPr>
        <w:t xml:space="preserve"> 1 000 </w:t>
      </w:r>
      <w:r>
        <w:rPr>
          <w:rFonts w:ascii="Times New Roman" w:hAnsi="Times New Roman"/>
          <w:lang w:val="sr-Latn-BA"/>
        </w:rPr>
        <w:t>живорођених</w:t>
      </w:r>
      <w:r w:rsidR="009330B9" w:rsidRPr="00295637">
        <w:rPr>
          <w:rFonts w:ascii="Times New Roman" w:hAnsi="Times New Roman"/>
          <w:lang w:val="sr-Latn-BA"/>
        </w:rPr>
        <w:t xml:space="preserve">), </w:t>
      </w:r>
      <w:r>
        <w:rPr>
          <w:rFonts w:ascii="Times New Roman" w:hAnsi="Times New Roman"/>
          <w:lang w:val="sr-Latn-BA"/>
        </w:rPr>
        <w:t>број</w:t>
      </w:r>
      <w:r w:rsidR="009330B9" w:rsidRPr="00295637">
        <w:rPr>
          <w:rFonts w:ascii="Times New Roman" w:hAnsi="Times New Roman"/>
          <w:lang w:val="sr-Latn-BA"/>
        </w:rPr>
        <w:t xml:space="preserve"> </w:t>
      </w:r>
      <w:r>
        <w:rPr>
          <w:rFonts w:ascii="Times New Roman" w:hAnsi="Times New Roman"/>
          <w:lang w:val="sr-Latn-BA"/>
        </w:rPr>
        <w:t>прекида</w:t>
      </w:r>
      <w:r w:rsidR="009330B9" w:rsidRPr="00295637">
        <w:rPr>
          <w:rFonts w:ascii="Times New Roman" w:hAnsi="Times New Roman"/>
          <w:lang w:val="sr-Latn-BA"/>
        </w:rPr>
        <w:t xml:space="preserve"> </w:t>
      </w:r>
      <w:r>
        <w:rPr>
          <w:rFonts w:ascii="Times New Roman" w:hAnsi="Times New Roman"/>
          <w:lang w:val="sr-Latn-BA"/>
        </w:rPr>
        <w:t>трудноће</w:t>
      </w:r>
      <w:r w:rsidR="009330B9" w:rsidRPr="00295637">
        <w:rPr>
          <w:rFonts w:ascii="Times New Roman" w:hAnsi="Times New Roman"/>
          <w:lang w:val="sr-Latn-BA"/>
        </w:rPr>
        <w:t xml:space="preserve"> </w:t>
      </w:r>
      <w:r>
        <w:rPr>
          <w:rFonts w:ascii="Times New Roman" w:hAnsi="Times New Roman"/>
          <w:lang w:val="sr-Latn-BA"/>
        </w:rPr>
        <w:t>у</w:t>
      </w:r>
      <w:r w:rsidR="009330B9" w:rsidRPr="00295637">
        <w:rPr>
          <w:rFonts w:ascii="Times New Roman" w:hAnsi="Times New Roman"/>
          <w:lang w:val="sr-Latn-BA"/>
        </w:rPr>
        <w:t xml:space="preserve"> </w:t>
      </w:r>
      <w:r>
        <w:rPr>
          <w:rFonts w:ascii="Times New Roman" w:hAnsi="Times New Roman"/>
          <w:lang w:val="sr-Latn-BA"/>
        </w:rPr>
        <w:t>јавним</w:t>
      </w:r>
      <w:r w:rsidR="009330B9" w:rsidRPr="00295637">
        <w:rPr>
          <w:rFonts w:ascii="Times New Roman" w:hAnsi="Times New Roman"/>
          <w:lang w:val="sr-Latn-BA"/>
        </w:rPr>
        <w:t xml:space="preserve"> </w:t>
      </w:r>
      <w:r>
        <w:rPr>
          <w:rFonts w:ascii="Times New Roman" w:hAnsi="Times New Roman"/>
          <w:lang w:val="sr-Latn-BA"/>
        </w:rPr>
        <w:t>и</w:t>
      </w:r>
      <w:r w:rsidR="009330B9" w:rsidRPr="00295637">
        <w:rPr>
          <w:rFonts w:ascii="Times New Roman" w:hAnsi="Times New Roman"/>
          <w:lang w:val="sr-Latn-BA"/>
        </w:rPr>
        <w:t xml:space="preserve"> </w:t>
      </w:r>
      <w:r>
        <w:rPr>
          <w:rFonts w:ascii="Times New Roman" w:hAnsi="Times New Roman"/>
          <w:lang w:val="sr-Latn-BA"/>
        </w:rPr>
        <w:t>приватним</w:t>
      </w:r>
      <w:r w:rsidR="009330B9" w:rsidRPr="00295637">
        <w:rPr>
          <w:rFonts w:ascii="Times New Roman" w:hAnsi="Times New Roman"/>
          <w:lang w:val="sr-Latn-BA"/>
        </w:rPr>
        <w:t xml:space="preserve"> </w:t>
      </w:r>
      <w:r>
        <w:rPr>
          <w:rFonts w:ascii="Times New Roman" w:hAnsi="Times New Roman"/>
          <w:lang w:val="sr-Latn-BA"/>
        </w:rPr>
        <w:t>здравственим</w:t>
      </w:r>
      <w:r w:rsidR="009330B9" w:rsidRPr="00295637">
        <w:rPr>
          <w:rFonts w:ascii="Times New Roman" w:hAnsi="Times New Roman"/>
          <w:lang w:val="sr-Latn-BA"/>
        </w:rPr>
        <w:t xml:space="preserve"> </w:t>
      </w:r>
      <w:r>
        <w:rPr>
          <w:rFonts w:ascii="Times New Roman" w:hAnsi="Times New Roman"/>
          <w:lang w:val="sr-Latn-BA"/>
        </w:rPr>
        <w:t>установама</w:t>
      </w:r>
      <w:r w:rsidR="008A5A21">
        <w:rPr>
          <w:rFonts w:ascii="Times New Roman" w:hAnsi="Times New Roman"/>
          <w:lang w:val="sr-Latn-BA"/>
        </w:rPr>
        <w:t>.</w:t>
      </w:r>
    </w:p>
    <w:p w:rsidR="009330B9" w:rsidRDefault="009330B9" w:rsidP="0086268D">
      <w:pPr>
        <w:pStyle w:val="NormalWeb"/>
        <w:spacing w:before="0" w:beforeAutospacing="0" w:after="0" w:afterAutospacing="0"/>
        <w:jc w:val="both"/>
        <w:rPr>
          <w:lang w:val="sr-Latn-BA"/>
        </w:rPr>
      </w:pPr>
    </w:p>
    <w:p w:rsidR="00A92736" w:rsidRPr="00295637" w:rsidRDefault="00C6214E" w:rsidP="0086268D">
      <w:pPr>
        <w:pStyle w:val="NormalWeb"/>
        <w:spacing w:before="0" w:beforeAutospacing="0" w:after="0" w:afterAutospacing="0"/>
        <w:jc w:val="both"/>
        <w:rPr>
          <w:rStyle w:val="Strong"/>
          <w:b w:val="0"/>
          <w:lang w:val="bs-Latn-BA"/>
        </w:rPr>
      </w:pPr>
      <w:r>
        <w:rPr>
          <w:lang w:val="bs-Latn-BA"/>
        </w:rPr>
        <w:t>ЗЗЈЗ</w:t>
      </w:r>
      <w:r w:rsidR="00822AD8" w:rsidRPr="00295637">
        <w:rPr>
          <w:lang w:val="bs-Latn-BA"/>
        </w:rPr>
        <w:t xml:space="preserve"> </w:t>
      </w:r>
      <w:r>
        <w:rPr>
          <w:lang w:val="bs-Latn-BA"/>
        </w:rPr>
        <w:t>ФБиХ</w:t>
      </w:r>
      <w:r w:rsidR="00822AD8" w:rsidRPr="00295637">
        <w:rPr>
          <w:lang w:val="bs-Latn-BA"/>
        </w:rPr>
        <w:t xml:space="preserve"> </w:t>
      </w:r>
      <w:r>
        <w:rPr>
          <w:lang w:val="bs-Latn-BA"/>
        </w:rPr>
        <w:t>редовно</w:t>
      </w:r>
      <w:r w:rsidR="00822AD8" w:rsidRPr="00295637">
        <w:rPr>
          <w:lang w:val="bs-Latn-BA"/>
        </w:rPr>
        <w:t xml:space="preserve"> </w:t>
      </w:r>
      <w:r>
        <w:rPr>
          <w:lang w:val="bs-Latn-BA"/>
        </w:rPr>
        <w:t>прикупља</w:t>
      </w:r>
      <w:r w:rsidR="00822AD8" w:rsidRPr="00295637">
        <w:rPr>
          <w:lang w:val="bs-Latn-BA"/>
        </w:rPr>
        <w:t xml:space="preserve"> </w:t>
      </w:r>
      <w:r>
        <w:rPr>
          <w:lang w:val="bs-Latn-BA"/>
        </w:rPr>
        <w:t>и</w:t>
      </w:r>
      <w:r w:rsidR="00822AD8" w:rsidRPr="00295637">
        <w:rPr>
          <w:lang w:val="bs-Latn-BA"/>
        </w:rPr>
        <w:t xml:space="preserve"> </w:t>
      </w:r>
      <w:r>
        <w:rPr>
          <w:lang w:val="bs-Latn-BA"/>
        </w:rPr>
        <w:t>обрађује</w:t>
      </w:r>
      <w:r w:rsidR="00822AD8" w:rsidRPr="00295637">
        <w:rPr>
          <w:lang w:val="bs-Latn-BA"/>
        </w:rPr>
        <w:t xml:space="preserve"> </w:t>
      </w:r>
      <w:r>
        <w:rPr>
          <w:lang w:val="bs-Latn-BA"/>
        </w:rPr>
        <w:t>податке</w:t>
      </w:r>
      <w:r w:rsidR="00822AD8" w:rsidRPr="00295637">
        <w:rPr>
          <w:lang w:val="bs-Latn-BA"/>
        </w:rPr>
        <w:t xml:space="preserve"> </w:t>
      </w:r>
      <w:r>
        <w:rPr>
          <w:lang w:val="bs-Latn-BA"/>
        </w:rPr>
        <w:t>о</w:t>
      </w:r>
      <w:r w:rsidR="00822AD8" w:rsidRPr="00295637">
        <w:rPr>
          <w:lang w:val="bs-Latn-BA"/>
        </w:rPr>
        <w:t xml:space="preserve"> </w:t>
      </w:r>
      <w:r>
        <w:rPr>
          <w:lang w:val="bs-Latn-BA"/>
        </w:rPr>
        <w:t>приступу</w:t>
      </w:r>
      <w:r w:rsidR="00822AD8" w:rsidRPr="00295637">
        <w:rPr>
          <w:lang w:val="bs-Latn-BA"/>
        </w:rPr>
        <w:t xml:space="preserve"> </w:t>
      </w:r>
      <w:r>
        <w:rPr>
          <w:lang w:val="bs-Latn-BA"/>
        </w:rPr>
        <w:t>и</w:t>
      </w:r>
      <w:r w:rsidR="00822AD8" w:rsidRPr="00295637">
        <w:rPr>
          <w:lang w:val="bs-Latn-BA"/>
        </w:rPr>
        <w:t xml:space="preserve"> </w:t>
      </w:r>
      <w:r>
        <w:rPr>
          <w:lang w:val="bs-Latn-BA"/>
        </w:rPr>
        <w:t>кориш</w:t>
      </w:r>
      <w:r w:rsidR="002E608B">
        <w:rPr>
          <w:lang w:val="sr-Cyrl-BA"/>
        </w:rPr>
        <w:t>ћ</w:t>
      </w:r>
      <w:r>
        <w:rPr>
          <w:lang w:val="bs-Latn-BA"/>
        </w:rPr>
        <w:t>ењу</w:t>
      </w:r>
      <w:r w:rsidR="00822AD8" w:rsidRPr="00295637">
        <w:rPr>
          <w:lang w:val="bs-Latn-BA"/>
        </w:rPr>
        <w:t xml:space="preserve"> </w:t>
      </w:r>
      <w:r>
        <w:rPr>
          <w:lang w:val="bs-Latn-BA"/>
        </w:rPr>
        <w:t>здравствених</w:t>
      </w:r>
      <w:r w:rsidR="00822AD8" w:rsidRPr="00295637">
        <w:rPr>
          <w:lang w:val="bs-Latn-BA"/>
        </w:rPr>
        <w:t xml:space="preserve"> </w:t>
      </w:r>
      <w:r>
        <w:rPr>
          <w:lang w:val="bs-Latn-BA"/>
        </w:rPr>
        <w:t>услуга</w:t>
      </w:r>
      <w:r w:rsidR="00822AD8" w:rsidRPr="00295637">
        <w:rPr>
          <w:lang w:val="bs-Latn-BA"/>
        </w:rPr>
        <w:t xml:space="preserve">, </w:t>
      </w:r>
      <w:r>
        <w:rPr>
          <w:lang w:val="bs-Latn-BA"/>
        </w:rPr>
        <w:t>разврстане</w:t>
      </w:r>
      <w:r w:rsidR="00822AD8" w:rsidRPr="00295637">
        <w:rPr>
          <w:lang w:val="bs-Latn-BA"/>
        </w:rPr>
        <w:t xml:space="preserve"> </w:t>
      </w:r>
      <w:r>
        <w:rPr>
          <w:lang w:val="bs-Latn-BA"/>
        </w:rPr>
        <w:t>по</w:t>
      </w:r>
      <w:r w:rsidR="00822AD8" w:rsidRPr="00295637">
        <w:rPr>
          <w:lang w:val="bs-Latn-BA"/>
        </w:rPr>
        <w:t xml:space="preserve"> </w:t>
      </w:r>
      <w:r>
        <w:rPr>
          <w:lang w:val="bs-Latn-BA"/>
        </w:rPr>
        <w:t>полу</w:t>
      </w:r>
      <w:r w:rsidR="00822AD8" w:rsidRPr="00295637">
        <w:rPr>
          <w:lang w:val="bs-Latn-BA"/>
        </w:rPr>
        <w:t xml:space="preserve">, </w:t>
      </w:r>
      <w:r>
        <w:rPr>
          <w:lang w:val="bs-Latn-BA"/>
        </w:rPr>
        <w:t>у</w:t>
      </w:r>
      <w:r w:rsidR="000A5047">
        <w:rPr>
          <w:lang w:val="bs-Latn-BA"/>
        </w:rPr>
        <w:t xml:space="preserve"> </w:t>
      </w:r>
      <w:r>
        <w:rPr>
          <w:lang w:val="bs-Latn-BA"/>
        </w:rPr>
        <w:t>складу</w:t>
      </w:r>
      <w:r w:rsidR="000A5047">
        <w:rPr>
          <w:lang w:val="bs-Latn-BA"/>
        </w:rPr>
        <w:t xml:space="preserve"> </w:t>
      </w:r>
      <w:r>
        <w:rPr>
          <w:lang w:val="bs-Latn-BA"/>
        </w:rPr>
        <w:t>са</w:t>
      </w:r>
      <w:r w:rsidR="00822AD8" w:rsidRPr="00295637">
        <w:rPr>
          <w:lang w:val="bs-Latn-BA"/>
        </w:rPr>
        <w:t xml:space="preserve"> </w:t>
      </w:r>
      <w:r>
        <w:rPr>
          <w:lang w:val="bs-Latn-BA"/>
        </w:rPr>
        <w:t>Законом</w:t>
      </w:r>
      <w:r w:rsidR="00822AD8" w:rsidRPr="00295637">
        <w:rPr>
          <w:lang w:val="bs-Latn-BA"/>
        </w:rPr>
        <w:t xml:space="preserve"> </w:t>
      </w:r>
      <w:r>
        <w:rPr>
          <w:lang w:val="bs-Latn-BA"/>
        </w:rPr>
        <w:t>о</w:t>
      </w:r>
      <w:r w:rsidR="00822AD8" w:rsidRPr="00295637">
        <w:rPr>
          <w:lang w:val="bs-Latn-BA"/>
        </w:rPr>
        <w:t xml:space="preserve"> </w:t>
      </w:r>
      <w:r>
        <w:rPr>
          <w:lang w:val="bs-Latn-BA"/>
        </w:rPr>
        <w:t>евиденцијама</w:t>
      </w:r>
      <w:r w:rsidR="00822AD8" w:rsidRPr="00295637">
        <w:rPr>
          <w:lang w:val="bs-Latn-BA"/>
        </w:rPr>
        <w:t xml:space="preserve"> </w:t>
      </w:r>
      <w:r>
        <w:rPr>
          <w:lang w:val="bs-Latn-BA"/>
        </w:rPr>
        <w:t>у</w:t>
      </w:r>
      <w:r w:rsidR="00822AD8" w:rsidRPr="00295637">
        <w:rPr>
          <w:lang w:val="bs-Latn-BA"/>
        </w:rPr>
        <w:t xml:space="preserve"> </w:t>
      </w:r>
      <w:r>
        <w:rPr>
          <w:lang w:val="bs-Latn-BA"/>
        </w:rPr>
        <w:t>области</w:t>
      </w:r>
      <w:r w:rsidR="00822AD8" w:rsidRPr="00295637">
        <w:rPr>
          <w:lang w:val="bs-Latn-BA"/>
        </w:rPr>
        <w:t xml:space="preserve"> </w:t>
      </w:r>
      <w:r>
        <w:rPr>
          <w:lang w:val="bs-Latn-BA"/>
        </w:rPr>
        <w:t>здравства</w:t>
      </w:r>
      <w:r w:rsidR="00822AD8" w:rsidRPr="00295637">
        <w:rPr>
          <w:lang w:val="bs-Latn-BA"/>
        </w:rPr>
        <w:t xml:space="preserve">. </w:t>
      </w:r>
      <w:r>
        <w:rPr>
          <w:lang w:val="bs-Latn-BA"/>
        </w:rPr>
        <w:t>Подаци</w:t>
      </w:r>
      <w:r w:rsidR="00822AD8" w:rsidRPr="00295637">
        <w:rPr>
          <w:lang w:val="bs-Latn-BA"/>
        </w:rPr>
        <w:t xml:space="preserve"> </w:t>
      </w:r>
      <w:r>
        <w:rPr>
          <w:lang w:val="bs-Latn-BA"/>
        </w:rPr>
        <w:t>за</w:t>
      </w:r>
      <w:r w:rsidR="00822AD8" w:rsidRPr="00295637">
        <w:rPr>
          <w:lang w:val="bs-Latn-BA"/>
        </w:rPr>
        <w:t xml:space="preserve"> </w:t>
      </w:r>
      <w:r>
        <w:rPr>
          <w:lang w:val="bs-Latn-BA"/>
        </w:rPr>
        <w:t>претходну</w:t>
      </w:r>
      <w:r w:rsidR="00822AD8" w:rsidRPr="00295637">
        <w:rPr>
          <w:lang w:val="bs-Latn-BA"/>
        </w:rPr>
        <w:t xml:space="preserve"> </w:t>
      </w:r>
      <w:r>
        <w:rPr>
          <w:lang w:val="bs-Latn-BA"/>
        </w:rPr>
        <w:t>годину</w:t>
      </w:r>
      <w:r w:rsidR="00822AD8" w:rsidRPr="00295637">
        <w:rPr>
          <w:lang w:val="bs-Latn-BA"/>
        </w:rPr>
        <w:t xml:space="preserve"> </w:t>
      </w:r>
      <w:r>
        <w:rPr>
          <w:lang w:val="bs-Latn-BA"/>
        </w:rPr>
        <w:t>анализирају</w:t>
      </w:r>
      <w:r w:rsidR="00822AD8" w:rsidRPr="00295637">
        <w:rPr>
          <w:lang w:val="bs-Latn-BA"/>
        </w:rPr>
        <w:t xml:space="preserve"> </w:t>
      </w:r>
      <w:r>
        <w:rPr>
          <w:lang w:val="bs-Latn-BA"/>
        </w:rPr>
        <w:t>се</w:t>
      </w:r>
      <w:r w:rsidR="00822AD8" w:rsidRPr="00295637">
        <w:rPr>
          <w:lang w:val="bs-Latn-BA"/>
        </w:rPr>
        <w:t xml:space="preserve"> </w:t>
      </w:r>
      <w:r>
        <w:rPr>
          <w:lang w:val="bs-Latn-BA"/>
        </w:rPr>
        <w:t>и</w:t>
      </w:r>
      <w:r w:rsidR="00822AD8" w:rsidRPr="00295637">
        <w:rPr>
          <w:lang w:val="bs-Latn-BA"/>
        </w:rPr>
        <w:t xml:space="preserve"> </w:t>
      </w:r>
      <w:r>
        <w:rPr>
          <w:lang w:val="bs-Latn-BA"/>
        </w:rPr>
        <w:t>објављују</w:t>
      </w:r>
      <w:r w:rsidR="00822AD8" w:rsidRPr="00295637">
        <w:rPr>
          <w:lang w:val="bs-Latn-BA"/>
        </w:rPr>
        <w:t xml:space="preserve"> </w:t>
      </w:r>
      <w:r>
        <w:rPr>
          <w:lang w:val="bs-Latn-BA"/>
        </w:rPr>
        <w:t>у</w:t>
      </w:r>
      <w:r w:rsidR="00822AD8" w:rsidRPr="00295637">
        <w:rPr>
          <w:lang w:val="bs-Latn-BA"/>
        </w:rPr>
        <w:t xml:space="preserve"> </w:t>
      </w:r>
      <w:r>
        <w:rPr>
          <w:lang w:val="bs-Latn-BA"/>
        </w:rPr>
        <w:t>годишњим</w:t>
      </w:r>
      <w:r w:rsidR="00822AD8" w:rsidRPr="00295637">
        <w:rPr>
          <w:lang w:val="bs-Latn-BA"/>
        </w:rPr>
        <w:t xml:space="preserve"> </w:t>
      </w:r>
      <w:r>
        <w:rPr>
          <w:lang w:val="bs-Latn-BA"/>
        </w:rPr>
        <w:t>извјештајима</w:t>
      </w:r>
      <w:r w:rsidR="00822AD8" w:rsidRPr="00295637">
        <w:rPr>
          <w:lang w:val="bs-Latn-BA"/>
        </w:rPr>
        <w:t xml:space="preserve">, </w:t>
      </w:r>
      <w:r>
        <w:rPr>
          <w:lang w:val="bs-Latn-BA"/>
        </w:rPr>
        <w:t>укључујући</w:t>
      </w:r>
      <w:r w:rsidR="00822AD8" w:rsidRPr="00295637">
        <w:rPr>
          <w:lang w:val="bs-Latn-BA"/>
        </w:rPr>
        <w:t>:</w:t>
      </w:r>
      <w:r w:rsidR="00D61646" w:rsidRPr="00295637">
        <w:rPr>
          <w:lang w:val="bs-Latn-BA"/>
        </w:rPr>
        <w:t xml:space="preserve"> </w:t>
      </w:r>
      <w:r>
        <w:rPr>
          <w:lang w:val="bs-Latn-BA"/>
        </w:rPr>
        <w:t>број</w:t>
      </w:r>
      <w:r w:rsidR="00822AD8" w:rsidRPr="00295637">
        <w:rPr>
          <w:lang w:val="bs-Latn-BA"/>
        </w:rPr>
        <w:t xml:space="preserve"> </w:t>
      </w:r>
      <w:r w:rsidR="002E608B">
        <w:rPr>
          <w:lang w:val="sr-Cyrl-BA"/>
        </w:rPr>
        <w:t>спроведених</w:t>
      </w:r>
      <w:r w:rsidR="00822AD8" w:rsidRPr="00295637">
        <w:rPr>
          <w:lang w:val="bs-Latn-BA"/>
        </w:rPr>
        <w:t xml:space="preserve"> </w:t>
      </w:r>
      <w:r>
        <w:rPr>
          <w:lang w:val="bs-Latn-BA"/>
        </w:rPr>
        <w:t>заштитних</w:t>
      </w:r>
      <w:r w:rsidR="00822AD8" w:rsidRPr="00295637">
        <w:rPr>
          <w:lang w:val="bs-Latn-BA"/>
        </w:rPr>
        <w:t xml:space="preserve"> </w:t>
      </w:r>
      <w:r>
        <w:rPr>
          <w:lang w:val="bs-Latn-BA"/>
        </w:rPr>
        <w:t>мјерау</w:t>
      </w:r>
      <w:r w:rsidR="00D647C9">
        <w:rPr>
          <w:lang w:val="bs-Latn-BA"/>
        </w:rPr>
        <w:t xml:space="preserve"> </w:t>
      </w:r>
      <w:r>
        <w:rPr>
          <w:lang w:val="bs-Latn-BA"/>
        </w:rPr>
        <w:t>складу</w:t>
      </w:r>
      <w:r w:rsidR="00D647C9">
        <w:rPr>
          <w:lang w:val="bs-Latn-BA"/>
        </w:rPr>
        <w:t xml:space="preserve"> </w:t>
      </w:r>
      <w:r>
        <w:rPr>
          <w:lang w:val="bs-Latn-BA"/>
        </w:rPr>
        <w:t>са</w:t>
      </w:r>
      <w:r w:rsidR="00822AD8" w:rsidRPr="00295637">
        <w:rPr>
          <w:lang w:val="bs-Latn-BA"/>
        </w:rPr>
        <w:t xml:space="preserve"> </w:t>
      </w:r>
      <w:r>
        <w:rPr>
          <w:lang w:val="bs-Latn-BA"/>
        </w:rPr>
        <w:t>Законом</w:t>
      </w:r>
      <w:r w:rsidR="00822AD8" w:rsidRPr="00295637">
        <w:rPr>
          <w:lang w:val="bs-Latn-BA"/>
        </w:rPr>
        <w:t xml:space="preserve"> </w:t>
      </w:r>
      <w:r>
        <w:rPr>
          <w:lang w:val="bs-Latn-BA"/>
        </w:rPr>
        <w:t>о</w:t>
      </w:r>
      <w:r w:rsidR="00D61646" w:rsidRPr="00295637">
        <w:rPr>
          <w:lang w:val="bs-Latn-BA"/>
        </w:rPr>
        <w:t xml:space="preserve"> </w:t>
      </w:r>
      <w:r>
        <w:rPr>
          <w:lang w:val="bs-Latn-BA"/>
        </w:rPr>
        <w:t>заштити</w:t>
      </w:r>
      <w:r w:rsidR="00D61646" w:rsidRPr="00295637">
        <w:rPr>
          <w:lang w:val="bs-Latn-BA"/>
        </w:rPr>
        <w:t xml:space="preserve"> </w:t>
      </w:r>
      <w:r>
        <w:rPr>
          <w:lang w:val="bs-Latn-BA"/>
        </w:rPr>
        <w:t>од</w:t>
      </w:r>
      <w:r w:rsidR="00D61646" w:rsidRPr="00295637">
        <w:rPr>
          <w:lang w:val="bs-Latn-BA"/>
        </w:rPr>
        <w:t xml:space="preserve"> </w:t>
      </w:r>
      <w:r>
        <w:rPr>
          <w:lang w:val="bs-Latn-BA"/>
        </w:rPr>
        <w:t>насиља</w:t>
      </w:r>
      <w:r w:rsidR="00D61646" w:rsidRPr="00295637">
        <w:rPr>
          <w:lang w:val="bs-Latn-BA"/>
        </w:rPr>
        <w:t xml:space="preserve"> </w:t>
      </w:r>
      <w:r>
        <w:rPr>
          <w:lang w:val="bs-Latn-BA"/>
        </w:rPr>
        <w:t>у</w:t>
      </w:r>
      <w:r w:rsidR="00D61646" w:rsidRPr="00295637">
        <w:rPr>
          <w:lang w:val="bs-Latn-BA"/>
        </w:rPr>
        <w:t xml:space="preserve"> </w:t>
      </w:r>
      <w:r>
        <w:rPr>
          <w:lang w:val="bs-Latn-BA"/>
        </w:rPr>
        <w:t>породици</w:t>
      </w:r>
      <w:r w:rsidR="00D61646" w:rsidRPr="00295637">
        <w:rPr>
          <w:lang w:val="bs-Latn-BA"/>
        </w:rPr>
        <w:t xml:space="preserve">, </w:t>
      </w:r>
      <w:r>
        <w:rPr>
          <w:lang w:val="bs-Latn-BA"/>
        </w:rPr>
        <w:t>при</w:t>
      </w:r>
      <w:r w:rsidR="00D61646" w:rsidRPr="00295637">
        <w:rPr>
          <w:lang w:val="bs-Latn-BA"/>
        </w:rPr>
        <w:t xml:space="preserve"> </w:t>
      </w:r>
      <w:r>
        <w:rPr>
          <w:lang w:val="bs-Latn-BA"/>
        </w:rPr>
        <w:t>чему</w:t>
      </w:r>
      <w:r w:rsidR="00D61646" w:rsidRPr="00295637">
        <w:rPr>
          <w:lang w:val="bs-Latn-BA"/>
        </w:rPr>
        <w:t xml:space="preserve"> </w:t>
      </w:r>
      <w:r>
        <w:rPr>
          <w:lang w:val="bs-Latn-BA"/>
        </w:rPr>
        <w:t>је</w:t>
      </w:r>
      <w:r w:rsidR="00D61646" w:rsidRPr="00295637">
        <w:rPr>
          <w:lang w:val="bs-Latn-BA"/>
        </w:rPr>
        <w:t xml:space="preserve"> </w:t>
      </w:r>
      <w:r>
        <w:rPr>
          <w:lang w:val="bs-Latn-BA"/>
        </w:rPr>
        <w:t>у</w:t>
      </w:r>
      <w:r w:rsidR="00D61646" w:rsidRPr="00295637">
        <w:rPr>
          <w:lang w:val="bs-Latn-BA"/>
        </w:rPr>
        <w:t xml:space="preserve"> 2024. </w:t>
      </w:r>
      <w:r>
        <w:rPr>
          <w:lang w:val="bs-Latn-BA"/>
        </w:rPr>
        <w:t>години</w:t>
      </w:r>
      <w:r w:rsidR="00D61646" w:rsidRPr="00295637">
        <w:rPr>
          <w:lang w:val="bs-Latn-BA"/>
        </w:rPr>
        <w:t xml:space="preserve"> </w:t>
      </w:r>
      <w:r w:rsidR="002E608B">
        <w:rPr>
          <w:lang w:val="sr-Cyrl-BA"/>
        </w:rPr>
        <w:t>спроведено</w:t>
      </w:r>
      <w:r w:rsidR="00D61646" w:rsidRPr="00295637">
        <w:rPr>
          <w:lang w:val="bs-Latn-BA"/>
        </w:rPr>
        <w:t xml:space="preserve"> 153 </w:t>
      </w:r>
      <w:r>
        <w:rPr>
          <w:lang w:val="bs-Latn-BA"/>
        </w:rPr>
        <w:t>случаја</w:t>
      </w:r>
      <w:r w:rsidR="00D61646" w:rsidRPr="00295637">
        <w:rPr>
          <w:lang w:val="bs-Latn-BA"/>
        </w:rPr>
        <w:t xml:space="preserve"> </w:t>
      </w:r>
      <w:r>
        <w:rPr>
          <w:lang w:val="bs-Latn-BA"/>
        </w:rPr>
        <w:t>заштитне</w:t>
      </w:r>
      <w:r w:rsidR="00822AD8" w:rsidRPr="00295637">
        <w:rPr>
          <w:lang w:val="bs-Latn-BA"/>
        </w:rPr>
        <w:t xml:space="preserve"> </w:t>
      </w:r>
      <w:r>
        <w:rPr>
          <w:lang w:val="bs-Latn-BA"/>
        </w:rPr>
        <w:t>мјере</w:t>
      </w:r>
      <w:r w:rsidR="00334096">
        <w:rPr>
          <w:lang w:val="bs-Latn-BA"/>
        </w:rPr>
        <w:t xml:space="preserve"> </w:t>
      </w:r>
      <w:r>
        <w:rPr>
          <w:lang w:val="bs-Latn-BA"/>
        </w:rPr>
        <w:t>обавезног</w:t>
      </w:r>
      <w:r w:rsidR="00822AD8" w:rsidRPr="00295637">
        <w:rPr>
          <w:lang w:val="bs-Latn-BA"/>
        </w:rPr>
        <w:t xml:space="preserve"> </w:t>
      </w:r>
      <w:r>
        <w:rPr>
          <w:lang w:val="bs-Latn-BA"/>
        </w:rPr>
        <w:t>лијечења</w:t>
      </w:r>
      <w:r w:rsidR="00822AD8" w:rsidRPr="00295637">
        <w:rPr>
          <w:lang w:val="bs-Latn-BA"/>
        </w:rPr>
        <w:t xml:space="preserve"> </w:t>
      </w:r>
      <w:r>
        <w:rPr>
          <w:lang w:val="bs-Latn-BA"/>
        </w:rPr>
        <w:t>од</w:t>
      </w:r>
      <w:r w:rsidR="00822AD8" w:rsidRPr="00295637">
        <w:rPr>
          <w:lang w:val="bs-Latn-BA"/>
        </w:rPr>
        <w:t xml:space="preserve"> </w:t>
      </w:r>
      <w:r>
        <w:rPr>
          <w:lang w:val="bs-Latn-BA"/>
        </w:rPr>
        <w:t>алкохола</w:t>
      </w:r>
      <w:r w:rsidR="00822AD8" w:rsidRPr="00295637">
        <w:rPr>
          <w:lang w:val="bs-Latn-BA"/>
        </w:rPr>
        <w:t xml:space="preserve"> </w:t>
      </w:r>
      <w:r>
        <w:rPr>
          <w:lang w:val="bs-Latn-BA"/>
        </w:rPr>
        <w:t>починилаца</w:t>
      </w:r>
      <w:r w:rsidR="00822AD8" w:rsidRPr="00295637">
        <w:rPr>
          <w:lang w:val="bs-Latn-BA"/>
        </w:rPr>
        <w:t xml:space="preserve"> </w:t>
      </w:r>
      <w:r>
        <w:rPr>
          <w:lang w:val="bs-Latn-BA"/>
        </w:rPr>
        <w:t>насиља</w:t>
      </w:r>
      <w:r w:rsidR="00822AD8" w:rsidRPr="00295637">
        <w:rPr>
          <w:lang w:val="bs-Latn-BA"/>
        </w:rPr>
        <w:t xml:space="preserve"> </w:t>
      </w:r>
      <w:r>
        <w:rPr>
          <w:lang w:val="bs-Latn-BA"/>
        </w:rPr>
        <w:t>у</w:t>
      </w:r>
      <w:r w:rsidR="00822AD8" w:rsidRPr="00295637">
        <w:rPr>
          <w:lang w:val="bs-Latn-BA"/>
        </w:rPr>
        <w:t xml:space="preserve"> </w:t>
      </w:r>
      <w:r>
        <w:rPr>
          <w:lang w:val="bs-Latn-BA"/>
        </w:rPr>
        <w:t>породици</w:t>
      </w:r>
      <w:r w:rsidR="00D61646" w:rsidRPr="00295637">
        <w:rPr>
          <w:lang w:val="bs-Latn-BA"/>
        </w:rPr>
        <w:t xml:space="preserve"> </w:t>
      </w:r>
      <w:r>
        <w:rPr>
          <w:lang w:val="bs-Latn-BA"/>
        </w:rPr>
        <w:t>и</w:t>
      </w:r>
      <w:r w:rsidR="00D61646" w:rsidRPr="00295637">
        <w:rPr>
          <w:lang w:val="bs-Latn-BA"/>
        </w:rPr>
        <w:t xml:space="preserve"> 300 </w:t>
      </w:r>
      <w:r>
        <w:rPr>
          <w:lang w:val="bs-Latn-BA"/>
        </w:rPr>
        <w:t>случајева</w:t>
      </w:r>
      <w:r w:rsidR="00D61646" w:rsidRPr="00295637">
        <w:rPr>
          <w:lang w:val="bs-Latn-BA"/>
        </w:rPr>
        <w:t xml:space="preserve"> </w:t>
      </w:r>
      <w:r>
        <w:rPr>
          <w:lang w:val="bs-Latn-BA"/>
        </w:rPr>
        <w:t>заштитних</w:t>
      </w:r>
      <w:r w:rsidR="00D61646" w:rsidRPr="00295637">
        <w:rPr>
          <w:lang w:val="bs-Latn-BA"/>
        </w:rPr>
        <w:t xml:space="preserve"> </w:t>
      </w:r>
      <w:r>
        <w:rPr>
          <w:lang w:val="bs-Latn-BA"/>
        </w:rPr>
        <w:t>мјера</w:t>
      </w:r>
      <w:r w:rsidR="00D61646" w:rsidRPr="00295637">
        <w:rPr>
          <w:lang w:val="bs-Latn-BA"/>
        </w:rPr>
        <w:t xml:space="preserve"> </w:t>
      </w:r>
      <w:r>
        <w:rPr>
          <w:lang w:val="bs-Latn-BA"/>
        </w:rPr>
        <w:t>обавезног</w:t>
      </w:r>
      <w:r w:rsidR="00822AD8" w:rsidRPr="00295637">
        <w:rPr>
          <w:lang w:val="bs-Latn-BA"/>
        </w:rPr>
        <w:t xml:space="preserve"> </w:t>
      </w:r>
      <w:r>
        <w:rPr>
          <w:lang w:val="bs-Latn-BA"/>
        </w:rPr>
        <w:t>психосоцијалног</w:t>
      </w:r>
      <w:r w:rsidR="00822AD8" w:rsidRPr="00295637">
        <w:rPr>
          <w:lang w:val="bs-Latn-BA"/>
        </w:rPr>
        <w:t xml:space="preserve"> </w:t>
      </w:r>
      <w:r>
        <w:rPr>
          <w:lang w:val="bs-Latn-BA"/>
        </w:rPr>
        <w:t>третмана</w:t>
      </w:r>
      <w:r w:rsidR="00822AD8" w:rsidRPr="00295637">
        <w:rPr>
          <w:lang w:val="bs-Latn-BA"/>
        </w:rPr>
        <w:t xml:space="preserve"> </w:t>
      </w:r>
      <w:r>
        <w:rPr>
          <w:lang w:val="bs-Latn-BA"/>
        </w:rPr>
        <w:t>починилаца</w:t>
      </w:r>
      <w:r w:rsidR="00822AD8" w:rsidRPr="00295637">
        <w:rPr>
          <w:lang w:val="bs-Latn-BA"/>
        </w:rPr>
        <w:t xml:space="preserve"> </w:t>
      </w:r>
      <w:r>
        <w:rPr>
          <w:lang w:val="bs-Latn-BA"/>
        </w:rPr>
        <w:t>насиља</w:t>
      </w:r>
      <w:r w:rsidR="00822AD8" w:rsidRPr="00295637">
        <w:rPr>
          <w:lang w:val="bs-Latn-BA"/>
        </w:rPr>
        <w:t xml:space="preserve"> </w:t>
      </w:r>
      <w:r>
        <w:rPr>
          <w:lang w:val="bs-Latn-BA"/>
        </w:rPr>
        <w:t>у</w:t>
      </w:r>
      <w:r w:rsidR="00822AD8" w:rsidRPr="00295637">
        <w:rPr>
          <w:lang w:val="bs-Latn-BA"/>
        </w:rPr>
        <w:t xml:space="preserve"> </w:t>
      </w:r>
      <w:r>
        <w:rPr>
          <w:lang w:val="bs-Latn-BA"/>
        </w:rPr>
        <w:t>породици</w:t>
      </w:r>
      <w:r w:rsidR="00D61646" w:rsidRPr="00295637">
        <w:rPr>
          <w:lang w:val="bs-Latn-BA"/>
        </w:rPr>
        <w:t>.</w:t>
      </w:r>
      <w:r w:rsidR="0032678B" w:rsidRPr="00295637">
        <w:rPr>
          <w:lang w:val="bs-Latn-BA"/>
        </w:rPr>
        <w:t xml:space="preserve"> </w:t>
      </w:r>
      <w:r>
        <w:rPr>
          <w:lang w:val="bs-Latn-BA"/>
        </w:rPr>
        <w:t>Ови</w:t>
      </w:r>
      <w:r w:rsidR="00822AD8" w:rsidRPr="00295637">
        <w:rPr>
          <w:lang w:val="bs-Latn-BA"/>
        </w:rPr>
        <w:t xml:space="preserve"> </w:t>
      </w:r>
      <w:r>
        <w:rPr>
          <w:lang w:val="bs-Latn-BA"/>
        </w:rPr>
        <w:t>подаци</w:t>
      </w:r>
      <w:r w:rsidR="00822AD8" w:rsidRPr="00295637">
        <w:rPr>
          <w:lang w:val="bs-Latn-BA"/>
        </w:rPr>
        <w:t xml:space="preserve"> </w:t>
      </w:r>
      <w:r>
        <w:rPr>
          <w:lang w:val="bs-Latn-BA"/>
        </w:rPr>
        <w:t>су</w:t>
      </w:r>
      <w:r w:rsidR="00822AD8" w:rsidRPr="00295637">
        <w:rPr>
          <w:lang w:val="bs-Latn-BA"/>
        </w:rPr>
        <w:t xml:space="preserve"> </w:t>
      </w:r>
      <w:r>
        <w:rPr>
          <w:lang w:val="bs-Latn-BA"/>
        </w:rPr>
        <w:t>доступни</w:t>
      </w:r>
      <w:r w:rsidR="00822AD8" w:rsidRPr="00295637">
        <w:rPr>
          <w:lang w:val="bs-Latn-BA"/>
        </w:rPr>
        <w:t xml:space="preserve"> </w:t>
      </w:r>
      <w:r>
        <w:rPr>
          <w:lang w:val="bs-Latn-BA"/>
        </w:rPr>
        <w:t>у</w:t>
      </w:r>
      <w:r w:rsidR="00822AD8" w:rsidRPr="00295637">
        <w:rPr>
          <w:lang w:val="bs-Latn-BA"/>
        </w:rPr>
        <w:t xml:space="preserve"> </w:t>
      </w:r>
      <w:r w:rsidR="00334096">
        <w:rPr>
          <w:rStyle w:val="Strong"/>
          <w:b w:val="0"/>
          <w:lang w:val="bs-Latn-BA"/>
        </w:rPr>
        <w:t>„</w:t>
      </w:r>
      <w:r>
        <w:rPr>
          <w:rStyle w:val="Strong"/>
          <w:b w:val="0"/>
          <w:lang w:val="bs-Latn-BA"/>
        </w:rPr>
        <w:t>Здравствено</w:t>
      </w:r>
      <w:r w:rsidR="00822AD8" w:rsidRPr="00295637">
        <w:rPr>
          <w:rStyle w:val="Strong"/>
          <w:b w:val="0"/>
          <w:lang w:val="bs-Latn-BA"/>
        </w:rPr>
        <w:t xml:space="preserve"> </w:t>
      </w:r>
      <w:r>
        <w:rPr>
          <w:rStyle w:val="Strong"/>
          <w:b w:val="0"/>
          <w:lang w:val="bs-Latn-BA"/>
        </w:rPr>
        <w:t>статистичком</w:t>
      </w:r>
      <w:r w:rsidR="00822AD8" w:rsidRPr="00295637">
        <w:rPr>
          <w:rStyle w:val="Strong"/>
          <w:b w:val="0"/>
          <w:lang w:val="bs-Latn-BA"/>
        </w:rPr>
        <w:t xml:space="preserve"> </w:t>
      </w:r>
      <w:r>
        <w:rPr>
          <w:rStyle w:val="Strong"/>
          <w:b w:val="0"/>
          <w:lang w:val="bs-Latn-BA"/>
        </w:rPr>
        <w:t>годишњаку</w:t>
      </w:r>
      <w:r w:rsidR="00334096">
        <w:rPr>
          <w:rStyle w:val="Strong"/>
          <w:b w:val="0"/>
          <w:lang w:val="bs-Latn-BA"/>
        </w:rPr>
        <w:t>“</w:t>
      </w:r>
      <w:r w:rsidR="00822AD8" w:rsidRPr="00295637">
        <w:rPr>
          <w:lang w:val="bs-Latn-BA"/>
        </w:rPr>
        <w:t xml:space="preserve"> </w:t>
      </w:r>
      <w:r>
        <w:rPr>
          <w:lang w:val="bs-Latn-BA"/>
        </w:rPr>
        <w:t>и</w:t>
      </w:r>
      <w:r w:rsidR="00822AD8" w:rsidRPr="00295637">
        <w:rPr>
          <w:lang w:val="bs-Latn-BA"/>
        </w:rPr>
        <w:t xml:space="preserve"> </w:t>
      </w:r>
      <w:r>
        <w:rPr>
          <w:lang w:val="bs-Latn-BA"/>
        </w:rPr>
        <w:t>извјештају</w:t>
      </w:r>
      <w:r w:rsidR="00822AD8" w:rsidRPr="00295637">
        <w:rPr>
          <w:lang w:val="bs-Latn-BA"/>
        </w:rPr>
        <w:t xml:space="preserve"> </w:t>
      </w:r>
      <w:r w:rsidR="00334096">
        <w:rPr>
          <w:rStyle w:val="Strong"/>
          <w:b w:val="0"/>
          <w:lang w:val="bs-Latn-BA"/>
        </w:rPr>
        <w:t>„</w:t>
      </w:r>
      <w:r>
        <w:rPr>
          <w:rStyle w:val="Strong"/>
          <w:b w:val="0"/>
          <w:lang w:val="bs-Latn-BA"/>
        </w:rPr>
        <w:t>Стање</w:t>
      </w:r>
      <w:r w:rsidR="00822AD8" w:rsidRPr="00295637">
        <w:rPr>
          <w:rStyle w:val="Strong"/>
          <w:b w:val="0"/>
          <w:lang w:val="bs-Latn-BA"/>
        </w:rPr>
        <w:t xml:space="preserve"> </w:t>
      </w:r>
      <w:r>
        <w:rPr>
          <w:rStyle w:val="Strong"/>
          <w:b w:val="0"/>
          <w:lang w:val="bs-Latn-BA"/>
        </w:rPr>
        <w:t>здравља</w:t>
      </w:r>
      <w:r w:rsidR="00822AD8" w:rsidRPr="00295637">
        <w:rPr>
          <w:rStyle w:val="Strong"/>
          <w:b w:val="0"/>
          <w:lang w:val="bs-Latn-BA"/>
        </w:rPr>
        <w:t xml:space="preserve"> </w:t>
      </w:r>
      <w:r>
        <w:rPr>
          <w:rStyle w:val="Strong"/>
          <w:b w:val="0"/>
          <w:lang w:val="bs-Latn-BA"/>
        </w:rPr>
        <w:t>становништва</w:t>
      </w:r>
      <w:r w:rsidR="00822AD8" w:rsidRPr="00295637">
        <w:rPr>
          <w:rStyle w:val="Strong"/>
          <w:b w:val="0"/>
          <w:lang w:val="bs-Latn-BA"/>
        </w:rPr>
        <w:t xml:space="preserve"> </w:t>
      </w:r>
      <w:r>
        <w:rPr>
          <w:rStyle w:val="Strong"/>
          <w:b w:val="0"/>
          <w:lang w:val="bs-Latn-BA"/>
        </w:rPr>
        <w:t>ФБиХ</w:t>
      </w:r>
      <w:r w:rsidR="00334096">
        <w:rPr>
          <w:rStyle w:val="Strong"/>
          <w:b w:val="0"/>
          <w:lang w:val="bs-Latn-BA"/>
        </w:rPr>
        <w:t>“</w:t>
      </w:r>
      <w:r w:rsidR="00822AD8" w:rsidRPr="00295637">
        <w:rPr>
          <w:rStyle w:val="Strong"/>
          <w:b w:val="0"/>
          <w:lang w:val="bs-Latn-BA"/>
        </w:rPr>
        <w:t>.</w:t>
      </w:r>
    </w:p>
    <w:p w:rsidR="008C68B1" w:rsidRPr="00295637" w:rsidRDefault="008C68B1" w:rsidP="0086268D">
      <w:pPr>
        <w:pStyle w:val="NormalWeb"/>
        <w:spacing w:before="0" w:beforeAutospacing="0" w:after="0" w:afterAutospacing="0"/>
        <w:jc w:val="both"/>
        <w:rPr>
          <w:rStyle w:val="Strong"/>
          <w:b w:val="0"/>
          <w:lang w:val="bs-Latn-BA"/>
        </w:rPr>
      </w:pPr>
    </w:p>
    <w:p w:rsidR="00772C69" w:rsidRPr="00D647C9" w:rsidRDefault="002E608B" w:rsidP="00772C69">
      <w:pPr>
        <w:pStyle w:val="ListParagraph"/>
        <w:ind w:left="0"/>
        <w:jc w:val="both"/>
        <w:rPr>
          <w:rFonts w:ascii="Times New Roman" w:hAnsi="Times New Roman"/>
          <w:lang w:val="sr-Latn-BA"/>
        </w:rPr>
      </w:pPr>
      <w:r w:rsidRPr="002E608B">
        <w:rPr>
          <w:rFonts w:ascii="inherit" w:hAnsi="inherit"/>
          <w:i/>
          <w:szCs w:val="24"/>
        </w:rPr>
        <w:t>UNFPA</w:t>
      </w:r>
      <w:r w:rsidR="00820DB1" w:rsidRPr="00D647C9">
        <w:rPr>
          <w:rStyle w:val="y2iqfc"/>
          <w:rFonts w:ascii="inherit" w:hAnsi="inherit"/>
          <w:szCs w:val="24"/>
        </w:rPr>
        <w:t xml:space="preserve"> </w:t>
      </w:r>
      <w:r w:rsidR="00C6214E">
        <w:rPr>
          <w:rStyle w:val="y2iqfc"/>
          <w:rFonts w:ascii="inherit" w:hAnsi="inherit"/>
          <w:szCs w:val="24"/>
        </w:rPr>
        <w:t>је</w:t>
      </w:r>
      <w:r w:rsidR="00820DB1" w:rsidRPr="00D647C9">
        <w:rPr>
          <w:rStyle w:val="y2iqfc"/>
          <w:rFonts w:ascii="inherit" w:hAnsi="inherit"/>
          <w:szCs w:val="24"/>
        </w:rPr>
        <w:t xml:space="preserve"> </w:t>
      </w:r>
      <w:r w:rsidR="00C6214E">
        <w:rPr>
          <w:rStyle w:val="y2iqfc"/>
          <w:rFonts w:ascii="inherit" w:hAnsi="inherit"/>
          <w:szCs w:val="24"/>
        </w:rPr>
        <w:t>пружао</w:t>
      </w:r>
      <w:r w:rsidR="00142AC8" w:rsidRPr="00D647C9">
        <w:rPr>
          <w:rStyle w:val="y2iqfc"/>
          <w:rFonts w:ascii="inherit" w:hAnsi="inherit"/>
          <w:szCs w:val="24"/>
        </w:rPr>
        <w:t xml:space="preserve"> </w:t>
      </w:r>
      <w:r w:rsidR="00C6214E">
        <w:rPr>
          <w:rStyle w:val="y2iqfc"/>
          <w:rFonts w:ascii="inherit" w:hAnsi="inherit"/>
          <w:szCs w:val="24"/>
        </w:rPr>
        <w:t>важну</w:t>
      </w:r>
      <w:r w:rsidR="00142AC8" w:rsidRPr="00D647C9">
        <w:rPr>
          <w:rStyle w:val="y2iqfc"/>
          <w:rFonts w:ascii="inherit" w:hAnsi="inherit"/>
          <w:szCs w:val="24"/>
        </w:rPr>
        <w:t xml:space="preserve"> </w:t>
      </w:r>
      <w:r w:rsidR="00C6214E">
        <w:rPr>
          <w:rStyle w:val="y2iqfc"/>
          <w:rFonts w:ascii="inherit" w:hAnsi="inherit"/>
          <w:szCs w:val="24"/>
        </w:rPr>
        <w:t>подршку</w:t>
      </w:r>
      <w:r w:rsidR="00820DB1" w:rsidRPr="00D647C9">
        <w:rPr>
          <w:rStyle w:val="y2iqfc"/>
          <w:rFonts w:ascii="inherit" w:hAnsi="inherit"/>
          <w:szCs w:val="24"/>
        </w:rPr>
        <w:t xml:space="preserve"> </w:t>
      </w:r>
      <w:r w:rsidR="00C6214E">
        <w:rPr>
          <w:rStyle w:val="y2iqfc"/>
          <w:rFonts w:ascii="inherit" w:hAnsi="inherit"/>
          <w:szCs w:val="24"/>
        </w:rPr>
        <w:t>јачању</w:t>
      </w:r>
      <w:r w:rsidR="00820DB1" w:rsidRPr="00D647C9">
        <w:rPr>
          <w:rStyle w:val="y2iqfc"/>
          <w:rFonts w:ascii="inherit" w:hAnsi="inherit"/>
          <w:szCs w:val="24"/>
        </w:rPr>
        <w:t xml:space="preserve"> </w:t>
      </w:r>
      <w:r w:rsidR="00C6214E">
        <w:rPr>
          <w:rStyle w:val="y2iqfc"/>
          <w:rFonts w:ascii="inherit" w:hAnsi="inherit"/>
          <w:szCs w:val="24"/>
        </w:rPr>
        <w:t>здравствених</w:t>
      </w:r>
      <w:r w:rsidR="00820DB1" w:rsidRPr="00D647C9">
        <w:rPr>
          <w:rStyle w:val="y2iqfc"/>
          <w:rFonts w:ascii="inherit" w:hAnsi="inherit"/>
          <w:szCs w:val="24"/>
        </w:rPr>
        <w:t xml:space="preserve"> </w:t>
      </w:r>
      <w:r w:rsidR="00C6214E">
        <w:rPr>
          <w:rStyle w:val="y2iqfc"/>
          <w:rFonts w:ascii="inherit" w:hAnsi="inherit"/>
          <w:szCs w:val="24"/>
        </w:rPr>
        <w:t>система</w:t>
      </w:r>
      <w:r w:rsidR="00820DB1" w:rsidRPr="00D647C9">
        <w:rPr>
          <w:rStyle w:val="y2iqfc"/>
          <w:rFonts w:ascii="inherit" w:hAnsi="inherit"/>
          <w:szCs w:val="24"/>
        </w:rPr>
        <w:t xml:space="preserve"> </w:t>
      </w:r>
      <w:r w:rsidR="00C6214E">
        <w:rPr>
          <w:rStyle w:val="y2iqfc"/>
          <w:rFonts w:ascii="inherit" w:hAnsi="inherit"/>
          <w:szCs w:val="24"/>
        </w:rPr>
        <w:t>за</w:t>
      </w:r>
      <w:r w:rsidR="00820DB1" w:rsidRPr="00D647C9">
        <w:rPr>
          <w:rStyle w:val="y2iqfc"/>
          <w:rFonts w:ascii="inherit" w:hAnsi="inherit"/>
          <w:szCs w:val="24"/>
        </w:rPr>
        <w:t xml:space="preserve"> </w:t>
      </w:r>
      <w:r w:rsidR="00C6214E">
        <w:rPr>
          <w:rStyle w:val="y2iqfc"/>
          <w:rFonts w:ascii="inherit" w:hAnsi="inherit"/>
          <w:szCs w:val="24"/>
        </w:rPr>
        <w:t>превенцију</w:t>
      </w:r>
      <w:r w:rsidR="00820DB1" w:rsidRPr="00D647C9">
        <w:rPr>
          <w:rStyle w:val="y2iqfc"/>
          <w:rFonts w:ascii="inherit" w:hAnsi="inherit"/>
          <w:szCs w:val="24"/>
        </w:rPr>
        <w:t xml:space="preserve"> </w:t>
      </w:r>
      <w:r w:rsidR="00C6214E">
        <w:rPr>
          <w:rStyle w:val="y2iqfc"/>
          <w:rFonts w:ascii="inherit" w:hAnsi="inherit"/>
          <w:szCs w:val="24"/>
        </w:rPr>
        <w:t>и</w:t>
      </w:r>
      <w:r w:rsidR="00820DB1" w:rsidRPr="00D647C9">
        <w:rPr>
          <w:rStyle w:val="y2iqfc"/>
          <w:rFonts w:ascii="inherit" w:hAnsi="inherit"/>
          <w:szCs w:val="24"/>
        </w:rPr>
        <w:t xml:space="preserve"> </w:t>
      </w:r>
      <w:r w:rsidR="00C6214E">
        <w:rPr>
          <w:rStyle w:val="y2iqfc"/>
          <w:rFonts w:ascii="inherit" w:hAnsi="inherit"/>
          <w:szCs w:val="24"/>
        </w:rPr>
        <w:t>заштиту</w:t>
      </w:r>
      <w:r w:rsidR="00820DB1" w:rsidRPr="00D647C9">
        <w:rPr>
          <w:rStyle w:val="y2iqfc"/>
          <w:rFonts w:ascii="inherit" w:hAnsi="inherit"/>
          <w:szCs w:val="24"/>
        </w:rPr>
        <w:t xml:space="preserve">, </w:t>
      </w:r>
      <w:r w:rsidR="00C6214E">
        <w:rPr>
          <w:rStyle w:val="y2iqfc"/>
          <w:rFonts w:ascii="inherit" w:hAnsi="inherit"/>
          <w:szCs w:val="24"/>
        </w:rPr>
        <w:t>са</w:t>
      </w:r>
      <w:r w:rsidR="00820DB1" w:rsidRPr="00D647C9">
        <w:rPr>
          <w:rStyle w:val="y2iqfc"/>
          <w:rFonts w:ascii="inherit" w:hAnsi="inherit"/>
          <w:szCs w:val="24"/>
        </w:rPr>
        <w:t xml:space="preserve"> </w:t>
      </w:r>
      <w:r w:rsidR="00C6214E">
        <w:rPr>
          <w:rStyle w:val="y2iqfc"/>
          <w:rFonts w:ascii="inherit" w:hAnsi="inherit"/>
          <w:szCs w:val="24"/>
        </w:rPr>
        <w:t>посебним</w:t>
      </w:r>
      <w:r w:rsidR="00820DB1" w:rsidRPr="00D647C9">
        <w:rPr>
          <w:rStyle w:val="y2iqfc"/>
          <w:rFonts w:ascii="inherit" w:hAnsi="inherit"/>
          <w:szCs w:val="24"/>
        </w:rPr>
        <w:t xml:space="preserve"> </w:t>
      </w:r>
      <w:r w:rsidR="00C6214E">
        <w:rPr>
          <w:rStyle w:val="y2iqfc"/>
          <w:rFonts w:ascii="inherit" w:hAnsi="inherit"/>
          <w:szCs w:val="24"/>
        </w:rPr>
        <w:t>фокусом</w:t>
      </w:r>
      <w:r w:rsidR="00820DB1" w:rsidRPr="00D647C9">
        <w:rPr>
          <w:rStyle w:val="y2iqfc"/>
          <w:rFonts w:ascii="inherit" w:hAnsi="inherit"/>
          <w:szCs w:val="24"/>
        </w:rPr>
        <w:t xml:space="preserve"> </w:t>
      </w:r>
      <w:r w:rsidR="00C6214E">
        <w:rPr>
          <w:rStyle w:val="y2iqfc"/>
          <w:rFonts w:ascii="inherit" w:hAnsi="inherit"/>
          <w:szCs w:val="24"/>
        </w:rPr>
        <w:t>на</w:t>
      </w:r>
      <w:r w:rsidR="00820DB1" w:rsidRPr="00D647C9">
        <w:rPr>
          <w:rStyle w:val="y2iqfc"/>
          <w:rFonts w:ascii="inherit" w:hAnsi="inherit"/>
          <w:szCs w:val="24"/>
        </w:rPr>
        <w:t xml:space="preserve"> </w:t>
      </w:r>
      <w:r w:rsidR="00C6214E">
        <w:rPr>
          <w:rStyle w:val="y2iqfc"/>
          <w:rFonts w:ascii="inherit" w:hAnsi="inherit"/>
          <w:szCs w:val="24"/>
        </w:rPr>
        <w:t>скрининг</w:t>
      </w:r>
      <w:r w:rsidR="00820DB1" w:rsidRPr="00D647C9">
        <w:rPr>
          <w:rStyle w:val="y2iqfc"/>
          <w:rFonts w:ascii="inherit" w:hAnsi="inherit"/>
          <w:szCs w:val="24"/>
        </w:rPr>
        <w:t xml:space="preserve"> </w:t>
      </w:r>
      <w:r w:rsidR="00C6214E">
        <w:rPr>
          <w:rStyle w:val="y2iqfc"/>
          <w:rFonts w:ascii="inherit" w:hAnsi="inherit"/>
          <w:szCs w:val="24"/>
        </w:rPr>
        <w:t>рака</w:t>
      </w:r>
      <w:r w:rsidR="00820DB1" w:rsidRPr="00D647C9">
        <w:rPr>
          <w:rStyle w:val="y2iqfc"/>
          <w:rFonts w:ascii="inherit" w:hAnsi="inherit"/>
          <w:szCs w:val="24"/>
        </w:rPr>
        <w:t xml:space="preserve">, </w:t>
      </w:r>
      <w:r w:rsidR="00C6214E">
        <w:rPr>
          <w:rStyle w:val="y2iqfc"/>
          <w:rFonts w:ascii="inherit" w:hAnsi="inherit"/>
          <w:szCs w:val="24"/>
        </w:rPr>
        <w:t>вакцинацију</w:t>
      </w:r>
      <w:r w:rsidR="00820DB1" w:rsidRPr="00D647C9">
        <w:rPr>
          <w:rStyle w:val="y2iqfc"/>
          <w:rFonts w:ascii="inherit" w:hAnsi="inherit"/>
          <w:szCs w:val="24"/>
        </w:rPr>
        <w:t xml:space="preserve"> </w:t>
      </w:r>
      <w:r w:rsidR="00C6214E">
        <w:rPr>
          <w:rStyle w:val="y2iqfc"/>
          <w:rFonts w:ascii="inherit" w:hAnsi="inherit"/>
          <w:szCs w:val="24"/>
        </w:rPr>
        <w:t>и</w:t>
      </w:r>
      <w:r w:rsidR="00820DB1" w:rsidRPr="00D647C9">
        <w:rPr>
          <w:rStyle w:val="y2iqfc"/>
          <w:rFonts w:ascii="inherit" w:hAnsi="inherit"/>
          <w:szCs w:val="24"/>
        </w:rPr>
        <w:t xml:space="preserve"> </w:t>
      </w:r>
      <w:r w:rsidR="00C6214E">
        <w:rPr>
          <w:rStyle w:val="y2iqfc"/>
          <w:rFonts w:ascii="inherit" w:hAnsi="inherit"/>
          <w:szCs w:val="24"/>
        </w:rPr>
        <w:t>услуге</w:t>
      </w:r>
      <w:r w:rsidR="00820DB1" w:rsidRPr="00D647C9">
        <w:rPr>
          <w:rStyle w:val="y2iqfc"/>
          <w:rFonts w:ascii="inherit" w:hAnsi="inherit"/>
          <w:szCs w:val="24"/>
        </w:rPr>
        <w:t xml:space="preserve"> </w:t>
      </w:r>
      <w:r w:rsidR="00C6214E">
        <w:rPr>
          <w:rStyle w:val="y2iqfc"/>
          <w:rFonts w:ascii="inherit" w:hAnsi="inherit"/>
          <w:szCs w:val="24"/>
        </w:rPr>
        <w:t>прилагођене</w:t>
      </w:r>
      <w:r w:rsidR="00820DB1" w:rsidRPr="00D647C9">
        <w:rPr>
          <w:rStyle w:val="y2iqfc"/>
          <w:rFonts w:ascii="inherit" w:hAnsi="inherit"/>
          <w:szCs w:val="24"/>
        </w:rPr>
        <w:t xml:space="preserve"> </w:t>
      </w:r>
      <w:r w:rsidR="00C6214E">
        <w:rPr>
          <w:rStyle w:val="y2iqfc"/>
          <w:rFonts w:ascii="inherit" w:hAnsi="inherit"/>
          <w:szCs w:val="24"/>
        </w:rPr>
        <w:t>младим</w:t>
      </w:r>
      <w:r w:rsidR="00820DB1" w:rsidRPr="00D647C9">
        <w:rPr>
          <w:rStyle w:val="y2iqfc"/>
          <w:rFonts w:ascii="inherit" w:hAnsi="inherit"/>
          <w:szCs w:val="24"/>
        </w:rPr>
        <w:t xml:space="preserve">. </w:t>
      </w:r>
      <w:r w:rsidR="00C6214E">
        <w:rPr>
          <w:rStyle w:val="y2iqfc"/>
          <w:rFonts w:ascii="inherit" w:hAnsi="inherit"/>
          <w:szCs w:val="24"/>
        </w:rPr>
        <w:t>Покренута</w:t>
      </w:r>
      <w:r w:rsidR="00834321" w:rsidRPr="00D647C9">
        <w:rPr>
          <w:rStyle w:val="y2iqfc"/>
          <w:rFonts w:ascii="inherit" w:hAnsi="inherit"/>
          <w:szCs w:val="24"/>
        </w:rPr>
        <w:t xml:space="preserve"> </w:t>
      </w:r>
      <w:r w:rsidR="00C6214E">
        <w:rPr>
          <w:rStyle w:val="y2iqfc"/>
          <w:rFonts w:ascii="inherit" w:hAnsi="inherit"/>
          <w:szCs w:val="24"/>
        </w:rPr>
        <w:t>је</w:t>
      </w:r>
      <w:r w:rsidR="00820DB1" w:rsidRPr="00D647C9">
        <w:rPr>
          <w:rStyle w:val="y2iqfc"/>
          <w:rFonts w:ascii="inherit" w:hAnsi="inherit"/>
          <w:szCs w:val="24"/>
        </w:rPr>
        <w:t xml:space="preserve"> </w:t>
      </w:r>
      <w:r w:rsidR="00C6214E">
        <w:rPr>
          <w:rStyle w:val="y2iqfc"/>
          <w:rFonts w:ascii="inherit" w:hAnsi="inherit"/>
          <w:szCs w:val="24"/>
        </w:rPr>
        <w:t>свеобухватна</w:t>
      </w:r>
      <w:r w:rsidR="00820DB1" w:rsidRPr="00D647C9">
        <w:rPr>
          <w:rStyle w:val="y2iqfc"/>
          <w:rFonts w:ascii="inherit" w:hAnsi="inherit"/>
          <w:szCs w:val="24"/>
        </w:rPr>
        <w:t xml:space="preserve"> </w:t>
      </w:r>
      <w:r w:rsidR="00C6214E">
        <w:rPr>
          <w:rStyle w:val="y2iqfc"/>
          <w:rFonts w:ascii="inherit" w:hAnsi="inherit"/>
          <w:szCs w:val="24"/>
        </w:rPr>
        <w:t>студија</w:t>
      </w:r>
      <w:r w:rsidR="00820DB1" w:rsidRPr="00D647C9">
        <w:rPr>
          <w:rStyle w:val="y2iqfc"/>
          <w:rFonts w:ascii="inherit" w:hAnsi="inherit"/>
          <w:szCs w:val="24"/>
        </w:rPr>
        <w:t xml:space="preserve"> </w:t>
      </w:r>
      <w:r w:rsidR="00C6214E">
        <w:rPr>
          <w:rStyle w:val="y2iqfc"/>
          <w:rFonts w:ascii="inherit" w:hAnsi="inherit"/>
          <w:szCs w:val="24"/>
        </w:rPr>
        <w:t>о</w:t>
      </w:r>
      <w:r w:rsidR="00820DB1" w:rsidRPr="00D647C9">
        <w:rPr>
          <w:rStyle w:val="y2iqfc"/>
          <w:rFonts w:ascii="inherit" w:hAnsi="inherit"/>
          <w:szCs w:val="24"/>
        </w:rPr>
        <w:t xml:space="preserve"> </w:t>
      </w:r>
      <w:r>
        <w:rPr>
          <w:rStyle w:val="y2iqfc"/>
          <w:rFonts w:ascii="inherit" w:hAnsi="inherit"/>
          <w:szCs w:val="24"/>
          <w:lang w:val="sr-Cyrl-BA"/>
        </w:rPr>
        <w:t>спровођењу</w:t>
      </w:r>
      <w:r w:rsidR="00820DB1" w:rsidRPr="00D647C9">
        <w:rPr>
          <w:rStyle w:val="y2iqfc"/>
          <w:rFonts w:ascii="inherit" w:hAnsi="inherit"/>
          <w:szCs w:val="24"/>
        </w:rPr>
        <w:t xml:space="preserve"> </w:t>
      </w:r>
      <w:r w:rsidR="00C6214E">
        <w:rPr>
          <w:rStyle w:val="y2iqfc"/>
          <w:rFonts w:ascii="inherit" w:hAnsi="inherit"/>
          <w:szCs w:val="24"/>
        </w:rPr>
        <w:t>програма</w:t>
      </w:r>
      <w:r w:rsidR="00820DB1" w:rsidRPr="00D647C9">
        <w:rPr>
          <w:rStyle w:val="y2iqfc"/>
          <w:rFonts w:ascii="inherit" w:hAnsi="inherit"/>
          <w:szCs w:val="24"/>
        </w:rPr>
        <w:t xml:space="preserve"> </w:t>
      </w:r>
      <w:r w:rsidR="00C6214E">
        <w:rPr>
          <w:rStyle w:val="y2iqfc"/>
          <w:rFonts w:ascii="inherit" w:hAnsi="inherit"/>
          <w:szCs w:val="24"/>
        </w:rPr>
        <w:t>превенције</w:t>
      </w:r>
      <w:r w:rsidR="00820DB1" w:rsidRPr="00D647C9">
        <w:rPr>
          <w:rStyle w:val="y2iqfc"/>
          <w:rFonts w:ascii="inherit" w:hAnsi="inherit"/>
          <w:szCs w:val="24"/>
        </w:rPr>
        <w:t xml:space="preserve"> </w:t>
      </w:r>
      <w:r w:rsidR="00C6214E">
        <w:rPr>
          <w:rStyle w:val="y2iqfc"/>
          <w:rFonts w:ascii="inherit" w:hAnsi="inherit"/>
          <w:szCs w:val="24"/>
        </w:rPr>
        <w:t>рака</w:t>
      </w:r>
      <w:r w:rsidR="00820DB1" w:rsidRPr="00D647C9">
        <w:rPr>
          <w:rStyle w:val="y2iqfc"/>
          <w:rFonts w:ascii="inherit" w:hAnsi="inherit"/>
          <w:szCs w:val="24"/>
        </w:rPr>
        <w:t xml:space="preserve"> </w:t>
      </w:r>
      <w:r w:rsidR="00C6214E">
        <w:rPr>
          <w:rStyle w:val="y2iqfc"/>
          <w:rFonts w:ascii="inherit" w:hAnsi="inherit"/>
          <w:szCs w:val="24"/>
        </w:rPr>
        <w:t>грлића</w:t>
      </w:r>
      <w:r w:rsidR="00820DB1" w:rsidRPr="00D647C9">
        <w:rPr>
          <w:rStyle w:val="y2iqfc"/>
          <w:rFonts w:ascii="inherit" w:hAnsi="inherit"/>
          <w:szCs w:val="24"/>
        </w:rPr>
        <w:t xml:space="preserve"> </w:t>
      </w:r>
      <w:r w:rsidR="00C6214E">
        <w:rPr>
          <w:rStyle w:val="y2iqfc"/>
          <w:rFonts w:ascii="inherit" w:hAnsi="inherit"/>
          <w:szCs w:val="24"/>
        </w:rPr>
        <w:t>материце</w:t>
      </w:r>
      <w:r w:rsidR="00820DB1" w:rsidRPr="00D647C9">
        <w:rPr>
          <w:rStyle w:val="y2iqfc"/>
          <w:rFonts w:ascii="inherit" w:hAnsi="inherit"/>
          <w:szCs w:val="24"/>
        </w:rPr>
        <w:t xml:space="preserve">, </w:t>
      </w:r>
      <w:r w:rsidR="00C6214E">
        <w:rPr>
          <w:rStyle w:val="y2iqfc"/>
          <w:rFonts w:ascii="inherit" w:hAnsi="inherit"/>
          <w:szCs w:val="24"/>
        </w:rPr>
        <w:t>дојке</w:t>
      </w:r>
      <w:r w:rsidR="00820DB1" w:rsidRPr="00D647C9">
        <w:rPr>
          <w:rStyle w:val="y2iqfc"/>
          <w:rFonts w:ascii="inherit" w:hAnsi="inherit"/>
          <w:szCs w:val="24"/>
        </w:rPr>
        <w:t xml:space="preserve">, </w:t>
      </w:r>
      <w:r w:rsidR="00C6214E">
        <w:rPr>
          <w:rStyle w:val="y2iqfc"/>
          <w:rFonts w:ascii="inherit" w:hAnsi="inherit"/>
          <w:szCs w:val="24"/>
        </w:rPr>
        <w:t>колоректума</w:t>
      </w:r>
      <w:r w:rsidR="00820DB1" w:rsidRPr="00D647C9">
        <w:rPr>
          <w:rStyle w:val="y2iqfc"/>
          <w:rFonts w:ascii="inherit" w:hAnsi="inherit"/>
          <w:szCs w:val="24"/>
        </w:rPr>
        <w:t xml:space="preserve"> </w:t>
      </w:r>
      <w:r w:rsidR="00C6214E">
        <w:rPr>
          <w:rStyle w:val="y2iqfc"/>
          <w:rFonts w:ascii="inherit" w:hAnsi="inherit"/>
          <w:szCs w:val="24"/>
        </w:rPr>
        <w:t>и</w:t>
      </w:r>
      <w:r w:rsidR="00820DB1" w:rsidRPr="00D647C9">
        <w:rPr>
          <w:rStyle w:val="y2iqfc"/>
          <w:rFonts w:ascii="inherit" w:hAnsi="inherit"/>
          <w:szCs w:val="24"/>
        </w:rPr>
        <w:t xml:space="preserve"> </w:t>
      </w:r>
      <w:r w:rsidR="00C6214E">
        <w:rPr>
          <w:rStyle w:val="y2iqfc"/>
          <w:rFonts w:ascii="inherit" w:hAnsi="inherit"/>
          <w:szCs w:val="24"/>
        </w:rPr>
        <w:t>простате</w:t>
      </w:r>
      <w:r w:rsidR="00820DB1" w:rsidRPr="00D647C9">
        <w:rPr>
          <w:rStyle w:val="y2iqfc"/>
          <w:rFonts w:ascii="inherit" w:hAnsi="inherit"/>
          <w:szCs w:val="24"/>
        </w:rPr>
        <w:t xml:space="preserve"> </w:t>
      </w:r>
      <w:r w:rsidR="00C6214E">
        <w:rPr>
          <w:rStyle w:val="y2iqfc"/>
          <w:rFonts w:ascii="inherit" w:hAnsi="inherit"/>
          <w:szCs w:val="24"/>
        </w:rPr>
        <w:t>широм</w:t>
      </w:r>
      <w:r w:rsidR="00820DB1" w:rsidRPr="00D647C9">
        <w:rPr>
          <w:rStyle w:val="y2iqfc"/>
          <w:rFonts w:ascii="inherit" w:hAnsi="inherit"/>
          <w:szCs w:val="24"/>
        </w:rPr>
        <w:t xml:space="preserve"> </w:t>
      </w:r>
      <w:r w:rsidR="00C6214E">
        <w:rPr>
          <w:rStyle w:val="y2iqfc"/>
          <w:rFonts w:ascii="inherit" w:hAnsi="inherit"/>
          <w:szCs w:val="24"/>
        </w:rPr>
        <w:t>БиХ</w:t>
      </w:r>
      <w:r w:rsidR="00820DB1" w:rsidRPr="00D647C9">
        <w:rPr>
          <w:rStyle w:val="y2iqfc"/>
          <w:rFonts w:ascii="inherit" w:hAnsi="inherit"/>
          <w:szCs w:val="24"/>
        </w:rPr>
        <w:t xml:space="preserve">. </w:t>
      </w:r>
      <w:r w:rsidR="00C6214E">
        <w:rPr>
          <w:rStyle w:val="y2iqfc"/>
          <w:rFonts w:ascii="inherit" w:hAnsi="inherit"/>
          <w:szCs w:val="24"/>
        </w:rPr>
        <w:t>Ово</w:t>
      </w:r>
      <w:r w:rsidR="00820DB1" w:rsidRPr="00D647C9">
        <w:rPr>
          <w:rStyle w:val="y2iqfc"/>
          <w:rFonts w:ascii="inherit" w:hAnsi="inherit"/>
          <w:szCs w:val="24"/>
        </w:rPr>
        <w:t xml:space="preserve"> </w:t>
      </w:r>
      <w:r w:rsidR="00C6214E">
        <w:rPr>
          <w:rStyle w:val="y2iqfc"/>
          <w:rFonts w:ascii="inherit" w:hAnsi="inherit"/>
          <w:szCs w:val="24"/>
        </w:rPr>
        <w:t>је</w:t>
      </w:r>
      <w:r w:rsidR="00820DB1" w:rsidRPr="00D647C9">
        <w:rPr>
          <w:rStyle w:val="y2iqfc"/>
          <w:rFonts w:ascii="inherit" w:hAnsi="inherit"/>
          <w:szCs w:val="24"/>
        </w:rPr>
        <w:t xml:space="preserve"> </w:t>
      </w:r>
      <w:r w:rsidR="00C6214E">
        <w:rPr>
          <w:rStyle w:val="y2iqfc"/>
          <w:rFonts w:ascii="inherit" w:hAnsi="inherit"/>
          <w:szCs w:val="24"/>
        </w:rPr>
        <w:t>употпуњено</w:t>
      </w:r>
      <w:r w:rsidR="00820DB1" w:rsidRPr="00D647C9">
        <w:rPr>
          <w:rStyle w:val="y2iqfc"/>
          <w:rFonts w:ascii="inherit" w:hAnsi="inherit"/>
          <w:szCs w:val="24"/>
        </w:rPr>
        <w:t xml:space="preserve"> </w:t>
      </w:r>
      <w:r w:rsidR="00C6214E">
        <w:rPr>
          <w:rStyle w:val="y2iqfc"/>
          <w:rFonts w:ascii="inherit" w:hAnsi="inherit"/>
          <w:szCs w:val="24"/>
        </w:rPr>
        <w:t>мапирањем</w:t>
      </w:r>
      <w:r w:rsidR="00820DB1" w:rsidRPr="00D647C9">
        <w:rPr>
          <w:rStyle w:val="y2iqfc"/>
          <w:rFonts w:ascii="inherit" w:hAnsi="inherit"/>
          <w:szCs w:val="24"/>
        </w:rPr>
        <w:t xml:space="preserve"> </w:t>
      </w:r>
      <w:r w:rsidR="00C6214E">
        <w:rPr>
          <w:rStyle w:val="y2iqfc"/>
          <w:rFonts w:ascii="inherit" w:hAnsi="inherit"/>
          <w:szCs w:val="24"/>
        </w:rPr>
        <w:t>здравствених</w:t>
      </w:r>
      <w:r w:rsidR="00820DB1" w:rsidRPr="00D647C9">
        <w:rPr>
          <w:rStyle w:val="y2iqfc"/>
          <w:rFonts w:ascii="inherit" w:hAnsi="inherit"/>
          <w:szCs w:val="24"/>
        </w:rPr>
        <w:t xml:space="preserve"> </w:t>
      </w:r>
      <w:r w:rsidR="00C6214E">
        <w:rPr>
          <w:rStyle w:val="y2iqfc"/>
          <w:rFonts w:ascii="inherit" w:hAnsi="inherit"/>
          <w:szCs w:val="24"/>
        </w:rPr>
        <w:t>капацитета</w:t>
      </w:r>
      <w:r w:rsidR="00820DB1" w:rsidRPr="00D647C9">
        <w:rPr>
          <w:rStyle w:val="y2iqfc"/>
          <w:rFonts w:ascii="inherit" w:hAnsi="inherit"/>
          <w:szCs w:val="24"/>
        </w:rPr>
        <w:t xml:space="preserve"> </w:t>
      </w:r>
      <w:r w:rsidR="00C6214E">
        <w:rPr>
          <w:rStyle w:val="y2iqfc"/>
          <w:rFonts w:ascii="inherit" w:hAnsi="inherit"/>
          <w:szCs w:val="24"/>
        </w:rPr>
        <w:t>у</w:t>
      </w:r>
      <w:r w:rsidR="00820DB1" w:rsidRPr="00D647C9">
        <w:rPr>
          <w:rStyle w:val="y2iqfc"/>
          <w:rFonts w:ascii="inherit" w:hAnsi="inherit"/>
          <w:szCs w:val="24"/>
        </w:rPr>
        <w:t xml:space="preserve"> </w:t>
      </w:r>
      <w:r w:rsidR="00C6214E">
        <w:rPr>
          <w:rStyle w:val="y2iqfc"/>
          <w:rFonts w:ascii="inherit" w:hAnsi="inherit"/>
          <w:szCs w:val="24"/>
        </w:rPr>
        <w:t>РС</w:t>
      </w:r>
      <w:r w:rsidR="00820DB1" w:rsidRPr="00D647C9">
        <w:rPr>
          <w:rStyle w:val="y2iqfc"/>
          <w:rFonts w:ascii="inherit" w:hAnsi="inherit"/>
          <w:szCs w:val="24"/>
        </w:rPr>
        <w:t xml:space="preserve">, </w:t>
      </w:r>
      <w:r w:rsidR="00C6214E">
        <w:rPr>
          <w:rStyle w:val="y2iqfc"/>
          <w:rFonts w:ascii="inherit" w:hAnsi="inherit"/>
          <w:szCs w:val="24"/>
        </w:rPr>
        <w:t>БД</w:t>
      </w:r>
      <w:r w:rsidR="00505D95" w:rsidRPr="00D647C9">
        <w:rPr>
          <w:rStyle w:val="y2iqfc"/>
          <w:rFonts w:ascii="inherit" w:hAnsi="inherit"/>
          <w:szCs w:val="24"/>
        </w:rPr>
        <w:t xml:space="preserve"> </w:t>
      </w:r>
      <w:r w:rsidR="00C6214E">
        <w:rPr>
          <w:rStyle w:val="y2iqfc"/>
          <w:rFonts w:ascii="inherit" w:hAnsi="inherit"/>
          <w:szCs w:val="24"/>
        </w:rPr>
        <w:t>БиХ</w:t>
      </w:r>
      <w:r w:rsidR="00820DB1" w:rsidRPr="00D647C9">
        <w:rPr>
          <w:rStyle w:val="y2iqfc"/>
          <w:rFonts w:ascii="inherit" w:hAnsi="inherit"/>
          <w:szCs w:val="24"/>
        </w:rPr>
        <w:t xml:space="preserve"> </w:t>
      </w:r>
      <w:r w:rsidR="00C6214E">
        <w:rPr>
          <w:rStyle w:val="y2iqfc"/>
          <w:rFonts w:ascii="inherit" w:hAnsi="inherit"/>
          <w:szCs w:val="24"/>
        </w:rPr>
        <w:t>и</w:t>
      </w:r>
      <w:r w:rsidR="00820DB1" w:rsidRPr="00D647C9">
        <w:rPr>
          <w:rStyle w:val="y2iqfc"/>
          <w:rFonts w:ascii="inherit" w:hAnsi="inherit"/>
          <w:szCs w:val="24"/>
        </w:rPr>
        <w:t xml:space="preserve"> </w:t>
      </w:r>
      <w:r w:rsidR="00C6214E">
        <w:rPr>
          <w:rStyle w:val="y2iqfc"/>
          <w:rFonts w:ascii="inherit" w:hAnsi="inherit"/>
          <w:szCs w:val="24"/>
        </w:rPr>
        <w:t>ФБиХ</w:t>
      </w:r>
      <w:r w:rsidR="00820DB1" w:rsidRPr="00D647C9">
        <w:rPr>
          <w:rStyle w:val="y2iqfc"/>
          <w:rFonts w:ascii="inherit" w:hAnsi="inherit"/>
          <w:szCs w:val="24"/>
        </w:rPr>
        <w:t xml:space="preserve"> </w:t>
      </w:r>
      <w:r w:rsidR="00C6214E">
        <w:rPr>
          <w:rStyle w:val="y2iqfc"/>
          <w:rFonts w:ascii="inherit" w:hAnsi="inherit"/>
          <w:szCs w:val="24"/>
        </w:rPr>
        <w:t>за</w:t>
      </w:r>
      <w:r w:rsidR="00820DB1" w:rsidRPr="00D647C9">
        <w:rPr>
          <w:rStyle w:val="y2iqfc"/>
          <w:rFonts w:ascii="inherit" w:hAnsi="inherit"/>
          <w:szCs w:val="24"/>
        </w:rPr>
        <w:t xml:space="preserve"> </w:t>
      </w:r>
      <w:r w:rsidR="00C6214E">
        <w:rPr>
          <w:rStyle w:val="y2iqfc"/>
          <w:rFonts w:ascii="inherit" w:hAnsi="inherit"/>
          <w:szCs w:val="24"/>
        </w:rPr>
        <w:t>пружање</w:t>
      </w:r>
      <w:r w:rsidR="00820DB1" w:rsidRPr="00D647C9">
        <w:rPr>
          <w:rStyle w:val="y2iqfc"/>
          <w:rFonts w:ascii="inherit" w:hAnsi="inherit"/>
          <w:szCs w:val="24"/>
        </w:rPr>
        <w:t xml:space="preserve"> </w:t>
      </w:r>
      <w:r w:rsidR="00C6214E">
        <w:rPr>
          <w:rStyle w:val="y2iqfc"/>
          <w:rFonts w:ascii="inherit" w:hAnsi="inherit"/>
          <w:szCs w:val="24"/>
        </w:rPr>
        <w:t>услуга</w:t>
      </w:r>
      <w:r w:rsidR="00820DB1" w:rsidRPr="00D647C9">
        <w:rPr>
          <w:rStyle w:val="y2iqfc"/>
          <w:rFonts w:ascii="inherit" w:hAnsi="inherit"/>
          <w:szCs w:val="24"/>
        </w:rPr>
        <w:t xml:space="preserve"> </w:t>
      </w:r>
      <w:r w:rsidR="00C6214E">
        <w:rPr>
          <w:rStyle w:val="y2iqfc"/>
          <w:rFonts w:ascii="inherit" w:hAnsi="inherit"/>
          <w:szCs w:val="24"/>
        </w:rPr>
        <w:t>скрининга</w:t>
      </w:r>
      <w:r w:rsidR="00820DB1" w:rsidRPr="00D647C9">
        <w:rPr>
          <w:rStyle w:val="y2iqfc"/>
          <w:rFonts w:ascii="inherit" w:hAnsi="inherit"/>
          <w:szCs w:val="24"/>
        </w:rPr>
        <w:t xml:space="preserve"> </w:t>
      </w:r>
      <w:r w:rsidR="00C6214E">
        <w:rPr>
          <w:rStyle w:val="y2iqfc"/>
          <w:rFonts w:ascii="inherit" w:hAnsi="inherit"/>
          <w:szCs w:val="24"/>
        </w:rPr>
        <w:t>рака</w:t>
      </w:r>
      <w:r w:rsidR="00820DB1" w:rsidRPr="00D647C9">
        <w:rPr>
          <w:rStyle w:val="y2iqfc"/>
          <w:rFonts w:ascii="inherit" w:hAnsi="inherit"/>
          <w:szCs w:val="24"/>
        </w:rPr>
        <w:t xml:space="preserve"> </w:t>
      </w:r>
      <w:r w:rsidR="00C6214E">
        <w:rPr>
          <w:rStyle w:val="y2iqfc"/>
          <w:rFonts w:ascii="inherit" w:hAnsi="inherit"/>
          <w:szCs w:val="24"/>
        </w:rPr>
        <w:t>грлића</w:t>
      </w:r>
      <w:r w:rsidR="00820DB1" w:rsidRPr="00D647C9">
        <w:rPr>
          <w:rStyle w:val="y2iqfc"/>
          <w:rFonts w:ascii="inherit" w:hAnsi="inherit"/>
          <w:szCs w:val="24"/>
        </w:rPr>
        <w:t xml:space="preserve"> </w:t>
      </w:r>
      <w:r w:rsidR="00C6214E">
        <w:rPr>
          <w:rStyle w:val="y2iqfc"/>
          <w:rFonts w:ascii="inherit" w:hAnsi="inherit"/>
          <w:szCs w:val="24"/>
        </w:rPr>
        <w:t>материце</w:t>
      </w:r>
      <w:r w:rsidR="00820DB1" w:rsidRPr="00D647C9">
        <w:rPr>
          <w:rStyle w:val="y2iqfc"/>
          <w:rFonts w:ascii="inherit" w:hAnsi="inherit"/>
          <w:szCs w:val="24"/>
        </w:rPr>
        <w:t xml:space="preserve"> </w:t>
      </w:r>
      <w:r w:rsidR="00C6214E">
        <w:rPr>
          <w:rStyle w:val="y2iqfc"/>
          <w:rFonts w:ascii="inherit" w:hAnsi="inherit"/>
          <w:szCs w:val="24"/>
        </w:rPr>
        <w:t>и</w:t>
      </w:r>
      <w:r w:rsidR="00820DB1" w:rsidRPr="00D647C9">
        <w:rPr>
          <w:rStyle w:val="y2iqfc"/>
          <w:rFonts w:ascii="inherit" w:hAnsi="inherit"/>
          <w:szCs w:val="24"/>
        </w:rPr>
        <w:t xml:space="preserve"> </w:t>
      </w:r>
      <w:r w:rsidR="00C6214E">
        <w:rPr>
          <w:rStyle w:val="y2iqfc"/>
          <w:rFonts w:ascii="inherit" w:hAnsi="inherit"/>
          <w:szCs w:val="24"/>
        </w:rPr>
        <w:t>дојке</w:t>
      </w:r>
      <w:r w:rsidR="00820DB1" w:rsidRPr="00D647C9">
        <w:rPr>
          <w:rStyle w:val="y2iqfc"/>
          <w:rFonts w:ascii="inherit" w:hAnsi="inherit"/>
          <w:szCs w:val="24"/>
        </w:rPr>
        <w:t xml:space="preserve">. </w:t>
      </w:r>
      <w:r w:rsidRPr="002E608B">
        <w:rPr>
          <w:rFonts w:ascii="inherit" w:hAnsi="inherit"/>
          <w:i/>
          <w:szCs w:val="24"/>
        </w:rPr>
        <w:t>UNFPA</w:t>
      </w:r>
      <w:r w:rsidR="00820DB1" w:rsidRPr="00D647C9">
        <w:rPr>
          <w:rStyle w:val="y2iqfc"/>
          <w:rFonts w:ascii="inherit" w:hAnsi="inherit"/>
          <w:szCs w:val="24"/>
        </w:rPr>
        <w:t xml:space="preserve"> </w:t>
      </w:r>
      <w:r w:rsidR="00C6214E">
        <w:rPr>
          <w:rStyle w:val="y2iqfc"/>
          <w:rFonts w:ascii="inherit" w:hAnsi="inherit"/>
          <w:szCs w:val="24"/>
        </w:rPr>
        <w:t>је</w:t>
      </w:r>
      <w:r w:rsidR="00820DB1" w:rsidRPr="00D647C9">
        <w:rPr>
          <w:rStyle w:val="y2iqfc"/>
          <w:rFonts w:ascii="inherit" w:hAnsi="inherit"/>
          <w:szCs w:val="24"/>
        </w:rPr>
        <w:t xml:space="preserve"> </w:t>
      </w:r>
      <w:r w:rsidR="00C6214E">
        <w:rPr>
          <w:rStyle w:val="y2iqfc"/>
          <w:rFonts w:ascii="inherit" w:hAnsi="inherit"/>
          <w:szCs w:val="24"/>
        </w:rPr>
        <w:t>одиграо</w:t>
      </w:r>
      <w:r w:rsidR="00820DB1" w:rsidRPr="00D647C9">
        <w:rPr>
          <w:rStyle w:val="y2iqfc"/>
          <w:rFonts w:ascii="inherit" w:hAnsi="inherit"/>
          <w:szCs w:val="24"/>
        </w:rPr>
        <w:t xml:space="preserve"> </w:t>
      </w:r>
      <w:r w:rsidR="00C6214E">
        <w:rPr>
          <w:rStyle w:val="y2iqfc"/>
          <w:rFonts w:ascii="inherit" w:hAnsi="inherit"/>
          <w:szCs w:val="24"/>
        </w:rPr>
        <w:t>водећу</w:t>
      </w:r>
      <w:r w:rsidR="00820DB1" w:rsidRPr="00D647C9">
        <w:rPr>
          <w:rStyle w:val="y2iqfc"/>
          <w:rFonts w:ascii="inherit" w:hAnsi="inherit"/>
          <w:szCs w:val="24"/>
        </w:rPr>
        <w:t xml:space="preserve"> </w:t>
      </w:r>
      <w:r w:rsidR="00C6214E">
        <w:rPr>
          <w:rStyle w:val="y2iqfc"/>
          <w:rFonts w:ascii="inherit" w:hAnsi="inherit"/>
          <w:szCs w:val="24"/>
        </w:rPr>
        <w:t>улогу</w:t>
      </w:r>
      <w:r w:rsidR="00820DB1" w:rsidRPr="00D647C9">
        <w:rPr>
          <w:rStyle w:val="y2iqfc"/>
          <w:rFonts w:ascii="inherit" w:hAnsi="inherit"/>
          <w:szCs w:val="24"/>
        </w:rPr>
        <w:t xml:space="preserve"> </w:t>
      </w:r>
      <w:r w:rsidR="00C6214E">
        <w:rPr>
          <w:rStyle w:val="y2iqfc"/>
          <w:rFonts w:ascii="inherit" w:hAnsi="inherit"/>
          <w:szCs w:val="24"/>
        </w:rPr>
        <w:t>у</w:t>
      </w:r>
      <w:r w:rsidR="00820DB1" w:rsidRPr="00D647C9">
        <w:rPr>
          <w:rStyle w:val="y2iqfc"/>
          <w:rFonts w:ascii="inherit" w:hAnsi="inherit"/>
          <w:szCs w:val="24"/>
        </w:rPr>
        <w:t xml:space="preserve"> </w:t>
      </w:r>
      <w:r w:rsidR="00C6214E">
        <w:rPr>
          <w:rStyle w:val="y2iqfc"/>
          <w:rFonts w:ascii="inherit" w:hAnsi="inherit"/>
          <w:szCs w:val="24"/>
        </w:rPr>
        <w:t>увођењу</w:t>
      </w:r>
      <w:r w:rsidR="00820DB1" w:rsidRPr="00D647C9">
        <w:rPr>
          <w:rStyle w:val="y2iqfc"/>
          <w:rFonts w:ascii="inherit" w:hAnsi="inherit"/>
          <w:szCs w:val="24"/>
        </w:rPr>
        <w:t xml:space="preserve"> </w:t>
      </w:r>
      <w:r w:rsidR="00C6214E">
        <w:rPr>
          <w:rStyle w:val="y2iqfc"/>
          <w:rFonts w:ascii="inherit" w:hAnsi="inherit"/>
          <w:szCs w:val="24"/>
        </w:rPr>
        <w:t>и</w:t>
      </w:r>
      <w:r w:rsidR="00820DB1" w:rsidRPr="00D647C9">
        <w:rPr>
          <w:rStyle w:val="y2iqfc"/>
          <w:rFonts w:ascii="inherit" w:hAnsi="inherit"/>
          <w:szCs w:val="24"/>
        </w:rPr>
        <w:t xml:space="preserve"> </w:t>
      </w:r>
      <w:r w:rsidR="00C6214E">
        <w:rPr>
          <w:rStyle w:val="y2iqfc"/>
          <w:rFonts w:ascii="inherit" w:hAnsi="inherit"/>
          <w:szCs w:val="24"/>
        </w:rPr>
        <w:t>промоцији</w:t>
      </w:r>
      <w:r w:rsidR="00820DB1" w:rsidRPr="00D647C9">
        <w:rPr>
          <w:rStyle w:val="y2iqfc"/>
          <w:rFonts w:ascii="inherit" w:hAnsi="inherit"/>
          <w:szCs w:val="24"/>
        </w:rPr>
        <w:t xml:space="preserve"> </w:t>
      </w:r>
      <w:r w:rsidRPr="002E608B">
        <w:rPr>
          <w:rStyle w:val="y2iqfc"/>
          <w:rFonts w:ascii="inherit" w:hAnsi="inherit"/>
          <w:i/>
          <w:szCs w:val="24"/>
        </w:rPr>
        <w:t>HPV</w:t>
      </w:r>
      <w:r w:rsidR="00820DB1" w:rsidRPr="00D647C9">
        <w:rPr>
          <w:rStyle w:val="y2iqfc"/>
          <w:rFonts w:ascii="inherit" w:hAnsi="inherit"/>
          <w:szCs w:val="24"/>
        </w:rPr>
        <w:t xml:space="preserve"> </w:t>
      </w:r>
      <w:r w:rsidR="00C6214E">
        <w:rPr>
          <w:rStyle w:val="y2iqfc"/>
          <w:rFonts w:ascii="inherit" w:hAnsi="inherit"/>
          <w:szCs w:val="24"/>
        </w:rPr>
        <w:t>вакцинације</w:t>
      </w:r>
      <w:r w:rsidR="00820DB1" w:rsidRPr="00D647C9">
        <w:rPr>
          <w:rStyle w:val="y2iqfc"/>
          <w:rFonts w:ascii="inherit" w:hAnsi="inherit"/>
          <w:szCs w:val="24"/>
        </w:rPr>
        <w:t xml:space="preserve"> </w:t>
      </w:r>
      <w:r w:rsidR="00C6214E">
        <w:rPr>
          <w:rStyle w:val="y2iqfc"/>
          <w:rFonts w:ascii="inherit" w:hAnsi="inherit"/>
          <w:szCs w:val="24"/>
        </w:rPr>
        <w:t>у</w:t>
      </w:r>
      <w:r w:rsidR="00820DB1" w:rsidRPr="00D647C9">
        <w:rPr>
          <w:rStyle w:val="y2iqfc"/>
          <w:rFonts w:ascii="inherit" w:hAnsi="inherit"/>
          <w:szCs w:val="24"/>
        </w:rPr>
        <w:t xml:space="preserve"> </w:t>
      </w:r>
      <w:r w:rsidR="00C6214E">
        <w:rPr>
          <w:rStyle w:val="y2iqfc"/>
          <w:rFonts w:ascii="inherit" w:hAnsi="inherit"/>
          <w:szCs w:val="24"/>
        </w:rPr>
        <w:t>БД</w:t>
      </w:r>
      <w:r w:rsidR="00820DB1" w:rsidRPr="00D647C9">
        <w:rPr>
          <w:rStyle w:val="y2iqfc"/>
          <w:rFonts w:ascii="inherit" w:hAnsi="inherit"/>
          <w:szCs w:val="24"/>
        </w:rPr>
        <w:t xml:space="preserve"> </w:t>
      </w:r>
      <w:r w:rsidR="00C6214E">
        <w:rPr>
          <w:rStyle w:val="y2iqfc"/>
          <w:rFonts w:ascii="inherit" w:hAnsi="inherit"/>
          <w:szCs w:val="24"/>
        </w:rPr>
        <w:t>БиХ</w:t>
      </w:r>
      <w:r w:rsidR="00142AC8" w:rsidRPr="00D647C9">
        <w:rPr>
          <w:rStyle w:val="y2iqfc"/>
          <w:rFonts w:ascii="inherit" w:hAnsi="inherit"/>
          <w:szCs w:val="24"/>
        </w:rPr>
        <w:t xml:space="preserve"> </w:t>
      </w:r>
      <w:r w:rsidR="00C6214E">
        <w:rPr>
          <w:rStyle w:val="y2iqfc"/>
          <w:rFonts w:ascii="inherit" w:hAnsi="inherit"/>
          <w:szCs w:val="24"/>
        </w:rPr>
        <w:t>и</w:t>
      </w:r>
      <w:r w:rsidR="00820DB1" w:rsidRPr="00D647C9">
        <w:rPr>
          <w:rStyle w:val="y2iqfc"/>
          <w:rFonts w:ascii="inherit" w:hAnsi="inherit"/>
          <w:szCs w:val="24"/>
        </w:rPr>
        <w:t xml:space="preserve"> </w:t>
      </w:r>
      <w:r w:rsidR="00C6214E">
        <w:rPr>
          <w:rStyle w:val="y2iqfc"/>
          <w:rFonts w:ascii="inherit" w:hAnsi="inherit"/>
          <w:szCs w:val="24"/>
        </w:rPr>
        <w:t>подржао</w:t>
      </w:r>
      <w:r w:rsidR="00820DB1" w:rsidRPr="00D647C9">
        <w:rPr>
          <w:rStyle w:val="y2iqfc"/>
          <w:rFonts w:ascii="inherit" w:hAnsi="inherit"/>
          <w:szCs w:val="24"/>
        </w:rPr>
        <w:t xml:space="preserve"> </w:t>
      </w:r>
      <w:r w:rsidR="00C6214E">
        <w:rPr>
          <w:rStyle w:val="y2iqfc"/>
          <w:rFonts w:ascii="inherit" w:hAnsi="inherit"/>
          <w:szCs w:val="24"/>
        </w:rPr>
        <w:t>кампање</w:t>
      </w:r>
      <w:r w:rsidR="00820DB1" w:rsidRPr="00D647C9">
        <w:rPr>
          <w:rStyle w:val="y2iqfc"/>
          <w:rFonts w:ascii="inherit" w:hAnsi="inherit"/>
          <w:szCs w:val="24"/>
        </w:rPr>
        <w:t xml:space="preserve"> </w:t>
      </w:r>
      <w:r w:rsidR="00C6214E">
        <w:rPr>
          <w:rStyle w:val="y2iqfc"/>
          <w:rFonts w:ascii="inherit" w:hAnsi="inherit"/>
          <w:szCs w:val="24"/>
        </w:rPr>
        <w:t>подизања</w:t>
      </w:r>
      <w:r w:rsidR="00820DB1" w:rsidRPr="00D647C9">
        <w:rPr>
          <w:rStyle w:val="y2iqfc"/>
          <w:rFonts w:ascii="inherit" w:hAnsi="inherit"/>
          <w:szCs w:val="24"/>
        </w:rPr>
        <w:t xml:space="preserve"> </w:t>
      </w:r>
      <w:r w:rsidR="00C6214E">
        <w:rPr>
          <w:rStyle w:val="y2iqfc"/>
          <w:rFonts w:ascii="inherit" w:hAnsi="inherit"/>
          <w:szCs w:val="24"/>
        </w:rPr>
        <w:t>свијести</w:t>
      </w:r>
      <w:r w:rsidR="00820DB1" w:rsidRPr="00D647C9">
        <w:rPr>
          <w:rStyle w:val="y2iqfc"/>
          <w:rFonts w:ascii="inherit" w:hAnsi="inherit"/>
          <w:szCs w:val="24"/>
        </w:rPr>
        <w:t xml:space="preserve"> </w:t>
      </w:r>
      <w:r w:rsidR="00C6214E">
        <w:rPr>
          <w:rStyle w:val="y2iqfc"/>
          <w:rFonts w:ascii="inherit" w:hAnsi="inherit"/>
          <w:szCs w:val="24"/>
        </w:rPr>
        <w:t>у</w:t>
      </w:r>
      <w:r w:rsidR="00820DB1" w:rsidRPr="00D647C9">
        <w:rPr>
          <w:rStyle w:val="y2iqfc"/>
          <w:rFonts w:ascii="inherit" w:hAnsi="inherit"/>
          <w:szCs w:val="24"/>
        </w:rPr>
        <w:t xml:space="preserve"> </w:t>
      </w:r>
      <w:r w:rsidR="00C6214E">
        <w:rPr>
          <w:rStyle w:val="y2iqfc"/>
          <w:rFonts w:ascii="inherit" w:hAnsi="inherit"/>
          <w:szCs w:val="24"/>
        </w:rPr>
        <w:t>РС</w:t>
      </w:r>
      <w:r w:rsidR="00820DB1" w:rsidRPr="00D647C9">
        <w:rPr>
          <w:rStyle w:val="y2iqfc"/>
          <w:rFonts w:ascii="inherit" w:hAnsi="inherit"/>
          <w:szCs w:val="24"/>
        </w:rPr>
        <w:t xml:space="preserve"> </w:t>
      </w:r>
      <w:r w:rsidR="00C6214E">
        <w:rPr>
          <w:rStyle w:val="y2iqfc"/>
          <w:rFonts w:ascii="inherit" w:hAnsi="inherit"/>
          <w:szCs w:val="24"/>
        </w:rPr>
        <w:t>у</w:t>
      </w:r>
      <w:r w:rsidR="00820DB1" w:rsidRPr="00D647C9">
        <w:rPr>
          <w:rStyle w:val="y2iqfc"/>
          <w:rFonts w:ascii="inherit" w:hAnsi="inherit"/>
          <w:szCs w:val="24"/>
        </w:rPr>
        <w:t xml:space="preserve"> </w:t>
      </w:r>
      <w:r w:rsidR="00C6214E">
        <w:rPr>
          <w:rStyle w:val="y2iqfc"/>
          <w:rFonts w:ascii="inherit" w:hAnsi="inherit"/>
          <w:szCs w:val="24"/>
        </w:rPr>
        <w:t>сарадњи</w:t>
      </w:r>
      <w:r w:rsidR="00505D95" w:rsidRPr="00D647C9">
        <w:rPr>
          <w:rStyle w:val="y2iqfc"/>
          <w:rFonts w:ascii="inherit" w:hAnsi="inherit"/>
          <w:szCs w:val="24"/>
        </w:rPr>
        <w:t xml:space="preserve"> </w:t>
      </w:r>
      <w:r w:rsidR="00C6214E">
        <w:rPr>
          <w:rStyle w:val="y2iqfc"/>
          <w:rFonts w:ascii="inherit" w:hAnsi="inherit"/>
          <w:szCs w:val="24"/>
        </w:rPr>
        <w:t>са</w:t>
      </w:r>
      <w:r w:rsidR="00820DB1" w:rsidRPr="00D647C9">
        <w:rPr>
          <w:rStyle w:val="y2iqfc"/>
          <w:rFonts w:ascii="inherit" w:hAnsi="inherit"/>
          <w:szCs w:val="24"/>
        </w:rPr>
        <w:t xml:space="preserve"> </w:t>
      </w:r>
      <w:r w:rsidR="00C6214E">
        <w:rPr>
          <w:rStyle w:val="y2iqfc"/>
          <w:rFonts w:ascii="inherit" w:hAnsi="inherit"/>
          <w:szCs w:val="24"/>
        </w:rPr>
        <w:t>Министарством</w:t>
      </w:r>
      <w:r w:rsidR="00820DB1" w:rsidRPr="00D647C9">
        <w:rPr>
          <w:rStyle w:val="y2iqfc"/>
          <w:rFonts w:ascii="inherit" w:hAnsi="inherit"/>
          <w:szCs w:val="24"/>
        </w:rPr>
        <w:t xml:space="preserve"> </w:t>
      </w:r>
      <w:r w:rsidR="00C6214E">
        <w:rPr>
          <w:rStyle w:val="y2iqfc"/>
          <w:rFonts w:ascii="inherit" w:hAnsi="inherit"/>
          <w:szCs w:val="24"/>
        </w:rPr>
        <w:t>здравља</w:t>
      </w:r>
      <w:r w:rsidR="00820DB1" w:rsidRPr="00D647C9">
        <w:rPr>
          <w:rStyle w:val="y2iqfc"/>
          <w:rFonts w:ascii="inherit" w:hAnsi="inherit"/>
          <w:szCs w:val="24"/>
        </w:rPr>
        <w:t xml:space="preserve">, </w:t>
      </w:r>
      <w:r w:rsidR="00C6214E">
        <w:rPr>
          <w:rStyle w:val="y2iqfc"/>
          <w:rFonts w:ascii="inherit" w:hAnsi="inherit"/>
          <w:szCs w:val="24"/>
        </w:rPr>
        <w:t>Медицинским</w:t>
      </w:r>
      <w:r w:rsidR="00820DB1" w:rsidRPr="00D647C9">
        <w:rPr>
          <w:rStyle w:val="y2iqfc"/>
          <w:rFonts w:ascii="inherit" w:hAnsi="inherit"/>
          <w:szCs w:val="24"/>
        </w:rPr>
        <w:t xml:space="preserve"> </w:t>
      </w:r>
      <w:r w:rsidR="00C6214E">
        <w:rPr>
          <w:rStyle w:val="y2iqfc"/>
          <w:rFonts w:ascii="inherit" w:hAnsi="inherit"/>
          <w:szCs w:val="24"/>
        </w:rPr>
        <w:t>факултетом</w:t>
      </w:r>
      <w:r w:rsidR="00820DB1" w:rsidRPr="00D647C9">
        <w:rPr>
          <w:rStyle w:val="y2iqfc"/>
          <w:rFonts w:ascii="inherit" w:hAnsi="inherit"/>
          <w:szCs w:val="24"/>
        </w:rPr>
        <w:t xml:space="preserve"> </w:t>
      </w:r>
      <w:r w:rsidR="00C6214E">
        <w:rPr>
          <w:rStyle w:val="y2iqfc"/>
          <w:rFonts w:ascii="inherit" w:hAnsi="inherit"/>
          <w:szCs w:val="24"/>
        </w:rPr>
        <w:t>у</w:t>
      </w:r>
      <w:r w:rsidR="00820DB1" w:rsidRPr="00D647C9">
        <w:rPr>
          <w:rStyle w:val="y2iqfc"/>
          <w:rFonts w:ascii="inherit" w:hAnsi="inherit"/>
          <w:szCs w:val="24"/>
        </w:rPr>
        <w:t xml:space="preserve"> </w:t>
      </w:r>
      <w:r w:rsidR="00C6214E">
        <w:rPr>
          <w:rStyle w:val="y2iqfc"/>
          <w:rFonts w:ascii="inherit" w:hAnsi="inherit"/>
          <w:szCs w:val="24"/>
        </w:rPr>
        <w:t>Бањој</w:t>
      </w:r>
      <w:r w:rsidR="00820DB1" w:rsidRPr="00D647C9">
        <w:rPr>
          <w:rStyle w:val="y2iqfc"/>
          <w:rFonts w:ascii="inherit" w:hAnsi="inherit"/>
          <w:szCs w:val="24"/>
        </w:rPr>
        <w:t xml:space="preserve"> </w:t>
      </w:r>
      <w:r w:rsidR="00C6214E">
        <w:rPr>
          <w:rStyle w:val="y2iqfc"/>
          <w:rFonts w:ascii="inherit" w:hAnsi="inherit"/>
          <w:szCs w:val="24"/>
        </w:rPr>
        <w:t>Луци</w:t>
      </w:r>
      <w:r w:rsidR="00820DB1" w:rsidRPr="00D647C9">
        <w:rPr>
          <w:rStyle w:val="y2iqfc"/>
          <w:rFonts w:ascii="inherit" w:hAnsi="inherit"/>
          <w:szCs w:val="24"/>
        </w:rPr>
        <w:t xml:space="preserve"> </w:t>
      </w:r>
      <w:r w:rsidR="00C6214E">
        <w:rPr>
          <w:rStyle w:val="y2iqfc"/>
          <w:rFonts w:ascii="inherit" w:hAnsi="inherit"/>
          <w:szCs w:val="24"/>
        </w:rPr>
        <w:t>и</w:t>
      </w:r>
      <w:r w:rsidR="00820DB1" w:rsidRPr="00D647C9">
        <w:rPr>
          <w:rStyle w:val="y2iqfc"/>
          <w:rFonts w:ascii="inherit" w:hAnsi="inherit"/>
          <w:szCs w:val="24"/>
        </w:rPr>
        <w:t xml:space="preserve"> </w:t>
      </w:r>
      <w:r w:rsidR="00C6214E">
        <w:rPr>
          <w:rStyle w:val="y2iqfc"/>
          <w:rFonts w:ascii="inherit" w:hAnsi="inherit"/>
          <w:szCs w:val="24"/>
        </w:rPr>
        <w:t>невладином</w:t>
      </w:r>
      <w:r w:rsidR="00820DB1" w:rsidRPr="00D647C9">
        <w:rPr>
          <w:rStyle w:val="y2iqfc"/>
          <w:rFonts w:ascii="inherit" w:hAnsi="inherit"/>
          <w:szCs w:val="24"/>
        </w:rPr>
        <w:t xml:space="preserve"> </w:t>
      </w:r>
      <w:r w:rsidR="00C6214E">
        <w:rPr>
          <w:rStyle w:val="y2iqfc"/>
          <w:rFonts w:ascii="inherit" w:hAnsi="inherit"/>
          <w:szCs w:val="24"/>
        </w:rPr>
        <w:t>организацијом</w:t>
      </w:r>
      <w:r w:rsidR="00820DB1" w:rsidRPr="00D647C9">
        <w:rPr>
          <w:rStyle w:val="y2iqfc"/>
          <w:rFonts w:ascii="inherit" w:hAnsi="inherit"/>
          <w:szCs w:val="24"/>
        </w:rPr>
        <w:t xml:space="preserve"> </w:t>
      </w:r>
      <w:r w:rsidR="00834321" w:rsidRPr="00D647C9">
        <w:rPr>
          <w:rStyle w:val="y2iqfc"/>
          <w:rFonts w:ascii="inherit" w:hAnsi="inherit"/>
          <w:szCs w:val="24"/>
        </w:rPr>
        <w:t>„</w:t>
      </w:r>
      <w:r w:rsidRPr="002E608B">
        <w:rPr>
          <w:rFonts w:ascii="inherit" w:hAnsi="inherit"/>
          <w:i/>
          <w:szCs w:val="24"/>
        </w:rPr>
        <w:t>Perpetuum Mobile</w:t>
      </w:r>
      <w:r w:rsidR="00834321" w:rsidRPr="00D647C9">
        <w:rPr>
          <w:rStyle w:val="y2iqfc"/>
          <w:rFonts w:ascii="inherit" w:hAnsi="inherit"/>
          <w:szCs w:val="24"/>
        </w:rPr>
        <w:t>“</w:t>
      </w:r>
      <w:r w:rsidR="00820DB1" w:rsidRPr="00D647C9">
        <w:rPr>
          <w:rStyle w:val="y2iqfc"/>
          <w:rFonts w:ascii="inherit" w:hAnsi="inherit"/>
          <w:szCs w:val="24"/>
        </w:rPr>
        <w:t xml:space="preserve">. </w:t>
      </w:r>
      <w:r w:rsidR="00C6214E">
        <w:rPr>
          <w:rStyle w:val="y2iqfc"/>
          <w:rFonts w:ascii="inherit" w:hAnsi="inherit"/>
          <w:szCs w:val="24"/>
        </w:rPr>
        <w:t>У</w:t>
      </w:r>
      <w:r w:rsidR="00820DB1" w:rsidRPr="00D647C9">
        <w:rPr>
          <w:rStyle w:val="y2iqfc"/>
          <w:rFonts w:ascii="inherit" w:hAnsi="inherit"/>
          <w:szCs w:val="24"/>
        </w:rPr>
        <w:t xml:space="preserve"> </w:t>
      </w:r>
      <w:r w:rsidR="00C6214E">
        <w:rPr>
          <w:rStyle w:val="y2iqfc"/>
          <w:rFonts w:ascii="inherit" w:hAnsi="inherit"/>
          <w:szCs w:val="24"/>
        </w:rPr>
        <w:t>ФБиХ</w:t>
      </w:r>
      <w:r w:rsidR="00820DB1" w:rsidRPr="00D647C9">
        <w:rPr>
          <w:rStyle w:val="y2iqfc"/>
          <w:rFonts w:ascii="inherit" w:hAnsi="inherit"/>
          <w:szCs w:val="24"/>
        </w:rPr>
        <w:t xml:space="preserve">, 92 </w:t>
      </w:r>
      <w:r w:rsidR="00C6214E">
        <w:rPr>
          <w:rStyle w:val="y2iqfc"/>
          <w:rFonts w:ascii="inherit" w:hAnsi="inherit"/>
          <w:szCs w:val="24"/>
        </w:rPr>
        <w:t>здравствена</w:t>
      </w:r>
      <w:r w:rsidR="00820DB1" w:rsidRPr="00D647C9">
        <w:rPr>
          <w:rStyle w:val="y2iqfc"/>
          <w:rFonts w:ascii="inherit" w:hAnsi="inherit"/>
          <w:szCs w:val="24"/>
        </w:rPr>
        <w:t xml:space="preserve"> </w:t>
      </w:r>
      <w:r w:rsidR="00C6214E">
        <w:rPr>
          <w:rStyle w:val="y2iqfc"/>
          <w:rFonts w:ascii="inherit" w:hAnsi="inherit"/>
          <w:szCs w:val="24"/>
        </w:rPr>
        <w:t>радника</w:t>
      </w:r>
      <w:r w:rsidR="00820DB1" w:rsidRPr="00D647C9">
        <w:rPr>
          <w:rStyle w:val="y2iqfc"/>
          <w:rFonts w:ascii="inherit" w:hAnsi="inherit"/>
          <w:szCs w:val="24"/>
        </w:rPr>
        <w:t xml:space="preserve"> </w:t>
      </w:r>
      <w:r w:rsidR="00C6214E">
        <w:rPr>
          <w:rStyle w:val="y2iqfc"/>
          <w:rFonts w:ascii="inherit" w:hAnsi="inherit"/>
          <w:szCs w:val="24"/>
        </w:rPr>
        <w:t>обучено</w:t>
      </w:r>
      <w:r w:rsidR="00820DB1" w:rsidRPr="00D647C9">
        <w:rPr>
          <w:rStyle w:val="y2iqfc"/>
          <w:rFonts w:ascii="inherit" w:hAnsi="inherit"/>
          <w:szCs w:val="24"/>
        </w:rPr>
        <w:t xml:space="preserve"> </w:t>
      </w:r>
      <w:r w:rsidR="00C6214E">
        <w:rPr>
          <w:rStyle w:val="y2iqfc"/>
          <w:rFonts w:ascii="inherit" w:hAnsi="inherit"/>
          <w:szCs w:val="24"/>
        </w:rPr>
        <w:t>је</w:t>
      </w:r>
      <w:r w:rsidR="00505D95" w:rsidRPr="00D647C9">
        <w:rPr>
          <w:rStyle w:val="y2iqfc"/>
          <w:rFonts w:ascii="inherit" w:hAnsi="inherit"/>
          <w:szCs w:val="24"/>
        </w:rPr>
        <w:t xml:space="preserve"> </w:t>
      </w:r>
      <w:r w:rsidR="00C6214E">
        <w:rPr>
          <w:rStyle w:val="y2iqfc"/>
          <w:rFonts w:ascii="inherit" w:hAnsi="inherit"/>
          <w:szCs w:val="24"/>
        </w:rPr>
        <w:t>за</w:t>
      </w:r>
      <w:r w:rsidR="00820DB1" w:rsidRPr="00D647C9">
        <w:rPr>
          <w:rStyle w:val="y2iqfc"/>
          <w:rFonts w:ascii="inherit" w:hAnsi="inherit"/>
          <w:szCs w:val="24"/>
        </w:rPr>
        <w:t xml:space="preserve"> </w:t>
      </w:r>
      <w:r w:rsidR="00C6214E">
        <w:rPr>
          <w:rStyle w:val="y2iqfc"/>
          <w:rFonts w:ascii="inherit" w:hAnsi="inherit"/>
          <w:szCs w:val="24"/>
        </w:rPr>
        <w:t>пружање</w:t>
      </w:r>
      <w:r w:rsidR="00820DB1" w:rsidRPr="00D647C9">
        <w:rPr>
          <w:rStyle w:val="y2iqfc"/>
          <w:rFonts w:ascii="inherit" w:hAnsi="inherit"/>
          <w:szCs w:val="24"/>
        </w:rPr>
        <w:t xml:space="preserve"> </w:t>
      </w:r>
      <w:r w:rsidR="00C6214E">
        <w:rPr>
          <w:rStyle w:val="y2iqfc"/>
          <w:rFonts w:ascii="inherit" w:hAnsi="inherit"/>
          <w:szCs w:val="24"/>
        </w:rPr>
        <w:t>услуга</w:t>
      </w:r>
      <w:r w:rsidR="00820DB1" w:rsidRPr="00D647C9">
        <w:rPr>
          <w:rStyle w:val="y2iqfc"/>
          <w:rFonts w:ascii="inherit" w:hAnsi="inherit"/>
          <w:szCs w:val="24"/>
        </w:rPr>
        <w:t xml:space="preserve"> </w:t>
      </w:r>
      <w:r w:rsidRPr="002E608B">
        <w:rPr>
          <w:rFonts w:ascii="inherit" w:hAnsi="inherit"/>
          <w:i/>
          <w:szCs w:val="24"/>
        </w:rPr>
        <w:t>HPV</w:t>
      </w:r>
      <w:r w:rsidR="00820DB1" w:rsidRPr="00D647C9">
        <w:rPr>
          <w:rStyle w:val="y2iqfc"/>
          <w:rFonts w:ascii="inherit" w:hAnsi="inherit"/>
          <w:szCs w:val="24"/>
        </w:rPr>
        <w:t xml:space="preserve"> </w:t>
      </w:r>
      <w:r w:rsidR="00C6214E">
        <w:rPr>
          <w:rStyle w:val="y2iqfc"/>
          <w:rFonts w:ascii="inherit" w:hAnsi="inherit"/>
          <w:szCs w:val="24"/>
        </w:rPr>
        <w:t>вакцинације</w:t>
      </w:r>
      <w:r w:rsidR="00820DB1" w:rsidRPr="00D647C9">
        <w:rPr>
          <w:rStyle w:val="y2iqfc"/>
          <w:rFonts w:ascii="inherit" w:hAnsi="inherit"/>
          <w:szCs w:val="24"/>
        </w:rPr>
        <w:t xml:space="preserve">. </w:t>
      </w:r>
      <w:r w:rsidR="00C6214E">
        <w:rPr>
          <w:rStyle w:val="y2iqfc"/>
          <w:rFonts w:ascii="inherit" w:hAnsi="inherit"/>
          <w:szCs w:val="24"/>
        </w:rPr>
        <w:t>Надаље</w:t>
      </w:r>
      <w:r w:rsidR="00820DB1" w:rsidRPr="00D647C9">
        <w:rPr>
          <w:rStyle w:val="y2iqfc"/>
          <w:rFonts w:ascii="inherit" w:hAnsi="inherit"/>
          <w:szCs w:val="24"/>
        </w:rPr>
        <w:t xml:space="preserve">, </w:t>
      </w:r>
      <w:r w:rsidRPr="002E608B">
        <w:rPr>
          <w:rFonts w:ascii="inherit" w:hAnsi="inherit"/>
          <w:i/>
          <w:szCs w:val="24"/>
        </w:rPr>
        <w:t>UNFPA</w:t>
      </w:r>
      <w:r w:rsidR="00820DB1" w:rsidRPr="00D647C9">
        <w:rPr>
          <w:rStyle w:val="y2iqfc"/>
          <w:rFonts w:ascii="inherit" w:hAnsi="inherit"/>
          <w:szCs w:val="24"/>
        </w:rPr>
        <w:t xml:space="preserve"> </w:t>
      </w:r>
      <w:r w:rsidR="00C6214E">
        <w:rPr>
          <w:rStyle w:val="y2iqfc"/>
          <w:rFonts w:ascii="inherit" w:hAnsi="inherit"/>
          <w:szCs w:val="24"/>
        </w:rPr>
        <w:t>је</w:t>
      </w:r>
      <w:r w:rsidR="00820DB1" w:rsidRPr="00D647C9">
        <w:rPr>
          <w:rStyle w:val="y2iqfc"/>
          <w:rFonts w:ascii="inherit" w:hAnsi="inherit"/>
          <w:szCs w:val="24"/>
        </w:rPr>
        <w:t xml:space="preserve"> </w:t>
      </w:r>
      <w:r w:rsidR="00C6214E">
        <w:rPr>
          <w:rStyle w:val="y2iqfc"/>
          <w:rFonts w:ascii="inherit" w:hAnsi="inherit"/>
          <w:szCs w:val="24"/>
        </w:rPr>
        <w:t>подржа</w:t>
      </w:r>
      <w:r>
        <w:rPr>
          <w:rStyle w:val="y2iqfc"/>
          <w:rFonts w:ascii="inherit" w:hAnsi="inherit"/>
          <w:szCs w:val="24"/>
          <w:lang w:val="sr-Cyrl-BA"/>
        </w:rPr>
        <w:t>о</w:t>
      </w:r>
      <w:r w:rsidR="00820DB1" w:rsidRPr="00D647C9">
        <w:rPr>
          <w:rStyle w:val="y2iqfc"/>
          <w:rFonts w:ascii="inherit" w:hAnsi="inherit"/>
          <w:szCs w:val="24"/>
        </w:rPr>
        <w:t xml:space="preserve"> </w:t>
      </w:r>
      <w:r w:rsidR="00C6214E">
        <w:rPr>
          <w:rStyle w:val="y2iqfc"/>
          <w:rFonts w:ascii="inherit" w:hAnsi="inherit"/>
          <w:szCs w:val="24"/>
        </w:rPr>
        <w:t>едукацију</w:t>
      </w:r>
      <w:r w:rsidR="00820DB1" w:rsidRPr="00D647C9">
        <w:rPr>
          <w:rStyle w:val="y2iqfc"/>
          <w:rFonts w:ascii="inherit" w:hAnsi="inherit"/>
          <w:szCs w:val="24"/>
        </w:rPr>
        <w:t xml:space="preserve"> </w:t>
      </w:r>
      <w:r w:rsidR="00C6214E">
        <w:rPr>
          <w:rStyle w:val="y2iqfc"/>
          <w:rFonts w:ascii="inherit" w:hAnsi="inherit"/>
          <w:szCs w:val="24"/>
        </w:rPr>
        <w:t>о</w:t>
      </w:r>
      <w:r w:rsidR="00820DB1" w:rsidRPr="00D647C9">
        <w:rPr>
          <w:rStyle w:val="y2iqfc"/>
          <w:rFonts w:ascii="inherit" w:hAnsi="inherit"/>
          <w:szCs w:val="24"/>
        </w:rPr>
        <w:t xml:space="preserve"> </w:t>
      </w:r>
      <w:r w:rsidR="00C6214E">
        <w:rPr>
          <w:rStyle w:val="y2iqfc"/>
          <w:rFonts w:ascii="inherit" w:hAnsi="inherit"/>
          <w:szCs w:val="24"/>
        </w:rPr>
        <w:t>планирању</w:t>
      </w:r>
      <w:r w:rsidR="00820DB1" w:rsidRPr="00D647C9">
        <w:rPr>
          <w:rStyle w:val="y2iqfc"/>
          <w:rFonts w:ascii="inherit" w:hAnsi="inherit"/>
          <w:szCs w:val="24"/>
        </w:rPr>
        <w:t xml:space="preserve"> </w:t>
      </w:r>
      <w:r w:rsidR="00C6214E">
        <w:rPr>
          <w:rStyle w:val="y2iqfc"/>
          <w:rFonts w:ascii="inherit" w:hAnsi="inherit"/>
          <w:szCs w:val="24"/>
        </w:rPr>
        <w:t>породице</w:t>
      </w:r>
      <w:r w:rsidR="00820DB1" w:rsidRPr="00D647C9">
        <w:rPr>
          <w:rStyle w:val="y2iqfc"/>
          <w:rFonts w:ascii="inherit" w:hAnsi="inherit"/>
          <w:szCs w:val="24"/>
        </w:rPr>
        <w:t xml:space="preserve">, </w:t>
      </w:r>
      <w:r w:rsidR="00C6214E">
        <w:rPr>
          <w:rStyle w:val="y2iqfc"/>
          <w:rFonts w:ascii="inherit" w:hAnsi="inherit"/>
          <w:szCs w:val="24"/>
        </w:rPr>
        <w:t>сексуално</w:t>
      </w:r>
      <w:r w:rsidR="00820DB1" w:rsidRPr="00D647C9">
        <w:rPr>
          <w:rStyle w:val="y2iqfc"/>
          <w:rFonts w:ascii="inherit" w:hAnsi="inherit"/>
          <w:szCs w:val="24"/>
        </w:rPr>
        <w:t xml:space="preserve"> </w:t>
      </w:r>
      <w:r w:rsidR="00C6214E">
        <w:rPr>
          <w:rStyle w:val="y2iqfc"/>
          <w:rFonts w:ascii="inherit" w:hAnsi="inherit"/>
          <w:szCs w:val="24"/>
        </w:rPr>
        <w:t>преносивим</w:t>
      </w:r>
      <w:r w:rsidR="00820DB1" w:rsidRPr="00D647C9">
        <w:rPr>
          <w:rStyle w:val="y2iqfc"/>
          <w:rFonts w:ascii="inherit" w:hAnsi="inherit"/>
          <w:szCs w:val="24"/>
        </w:rPr>
        <w:t xml:space="preserve"> </w:t>
      </w:r>
      <w:r w:rsidR="00C6214E">
        <w:rPr>
          <w:rStyle w:val="y2iqfc"/>
          <w:rFonts w:ascii="inherit" w:hAnsi="inherit"/>
          <w:szCs w:val="24"/>
        </w:rPr>
        <w:t>инфекцијама</w:t>
      </w:r>
      <w:r w:rsidR="00820DB1" w:rsidRPr="00D647C9">
        <w:rPr>
          <w:rStyle w:val="y2iqfc"/>
          <w:rFonts w:ascii="inherit" w:hAnsi="inherit"/>
          <w:szCs w:val="24"/>
        </w:rPr>
        <w:t xml:space="preserve"> </w:t>
      </w:r>
      <w:r w:rsidR="00C6214E">
        <w:rPr>
          <w:rStyle w:val="y2iqfc"/>
          <w:rFonts w:ascii="inherit" w:hAnsi="inherit"/>
          <w:szCs w:val="24"/>
        </w:rPr>
        <w:t>и</w:t>
      </w:r>
      <w:r w:rsidR="00820DB1" w:rsidRPr="00D647C9">
        <w:rPr>
          <w:rStyle w:val="y2iqfc"/>
          <w:rFonts w:ascii="inherit" w:hAnsi="inherit"/>
          <w:szCs w:val="24"/>
        </w:rPr>
        <w:t xml:space="preserve"> </w:t>
      </w:r>
      <w:r w:rsidR="00C6214E">
        <w:rPr>
          <w:rStyle w:val="y2iqfc"/>
          <w:rFonts w:ascii="inherit" w:hAnsi="inherit"/>
          <w:szCs w:val="24"/>
        </w:rPr>
        <w:t>приступима</w:t>
      </w:r>
      <w:r w:rsidR="00820DB1" w:rsidRPr="00D647C9">
        <w:rPr>
          <w:rStyle w:val="y2iqfc"/>
          <w:rFonts w:ascii="inherit" w:hAnsi="inherit"/>
          <w:szCs w:val="24"/>
        </w:rPr>
        <w:t xml:space="preserve"> </w:t>
      </w:r>
      <w:r w:rsidR="00C6214E">
        <w:rPr>
          <w:rStyle w:val="y2iqfc"/>
          <w:rFonts w:ascii="inherit" w:hAnsi="inherit"/>
          <w:szCs w:val="24"/>
        </w:rPr>
        <w:t>прилагођеним</w:t>
      </w:r>
      <w:r w:rsidR="00820DB1" w:rsidRPr="00D647C9">
        <w:rPr>
          <w:rStyle w:val="y2iqfc"/>
          <w:rFonts w:ascii="inherit" w:hAnsi="inherit"/>
          <w:szCs w:val="24"/>
        </w:rPr>
        <w:t xml:space="preserve"> </w:t>
      </w:r>
      <w:r w:rsidR="00C6214E">
        <w:rPr>
          <w:rStyle w:val="y2iqfc"/>
          <w:rFonts w:ascii="inherit" w:hAnsi="inherit"/>
          <w:szCs w:val="24"/>
        </w:rPr>
        <w:t>младим</w:t>
      </w:r>
      <w:r w:rsidR="00820DB1" w:rsidRPr="00D647C9">
        <w:rPr>
          <w:rStyle w:val="y2iqfc"/>
          <w:rFonts w:ascii="inherit" w:hAnsi="inherit"/>
          <w:szCs w:val="24"/>
        </w:rPr>
        <w:t xml:space="preserve"> </w:t>
      </w:r>
      <w:r w:rsidR="00C6214E">
        <w:rPr>
          <w:rStyle w:val="y2iqfc"/>
          <w:rFonts w:ascii="inherit" w:hAnsi="inherit"/>
          <w:szCs w:val="24"/>
        </w:rPr>
        <w:t>на</w:t>
      </w:r>
      <w:r w:rsidR="00820DB1" w:rsidRPr="00D647C9">
        <w:rPr>
          <w:rStyle w:val="y2iqfc"/>
          <w:rFonts w:ascii="inherit" w:hAnsi="inherit"/>
          <w:szCs w:val="24"/>
        </w:rPr>
        <w:t xml:space="preserve"> </w:t>
      </w:r>
      <w:r w:rsidR="00C6214E">
        <w:rPr>
          <w:rStyle w:val="y2iqfc"/>
          <w:rFonts w:ascii="inherit" w:hAnsi="inherit"/>
          <w:szCs w:val="24"/>
        </w:rPr>
        <w:t>Медицинском</w:t>
      </w:r>
      <w:r w:rsidR="00820DB1" w:rsidRPr="00D647C9">
        <w:rPr>
          <w:rStyle w:val="y2iqfc"/>
          <w:rFonts w:ascii="inherit" w:hAnsi="inherit"/>
          <w:szCs w:val="24"/>
        </w:rPr>
        <w:t xml:space="preserve"> </w:t>
      </w:r>
      <w:r w:rsidR="00C6214E">
        <w:rPr>
          <w:rStyle w:val="y2iqfc"/>
          <w:rFonts w:ascii="inherit" w:hAnsi="inherit"/>
          <w:szCs w:val="24"/>
        </w:rPr>
        <w:t>факултету</w:t>
      </w:r>
      <w:r w:rsidR="00820DB1" w:rsidRPr="00D647C9">
        <w:rPr>
          <w:rStyle w:val="y2iqfc"/>
          <w:rFonts w:ascii="inherit" w:hAnsi="inherit"/>
          <w:szCs w:val="24"/>
        </w:rPr>
        <w:t xml:space="preserve"> </w:t>
      </w:r>
      <w:r w:rsidR="00C6214E">
        <w:rPr>
          <w:rStyle w:val="y2iqfc"/>
          <w:rFonts w:ascii="inherit" w:hAnsi="inherit"/>
          <w:szCs w:val="24"/>
        </w:rPr>
        <w:t>у</w:t>
      </w:r>
      <w:r w:rsidR="00820DB1" w:rsidRPr="00D647C9">
        <w:rPr>
          <w:rStyle w:val="y2iqfc"/>
          <w:rFonts w:ascii="inherit" w:hAnsi="inherit"/>
          <w:szCs w:val="24"/>
        </w:rPr>
        <w:t xml:space="preserve"> </w:t>
      </w:r>
      <w:r w:rsidR="00C6214E">
        <w:rPr>
          <w:rStyle w:val="y2iqfc"/>
          <w:rFonts w:ascii="inherit" w:hAnsi="inherit"/>
          <w:szCs w:val="24"/>
        </w:rPr>
        <w:t>Бањој</w:t>
      </w:r>
      <w:r w:rsidR="00820DB1" w:rsidRPr="00D647C9">
        <w:rPr>
          <w:rStyle w:val="y2iqfc"/>
          <w:rFonts w:ascii="inherit" w:hAnsi="inherit"/>
          <w:szCs w:val="24"/>
        </w:rPr>
        <w:t xml:space="preserve"> </w:t>
      </w:r>
      <w:r w:rsidR="00C6214E">
        <w:rPr>
          <w:rStyle w:val="y2iqfc"/>
          <w:rFonts w:ascii="inherit" w:hAnsi="inherit"/>
          <w:szCs w:val="24"/>
        </w:rPr>
        <w:t>Луци</w:t>
      </w:r>
      <w:r w:rsidR="00A52F98" w:rsidRPr="00D647C9">
        <w:rPr>
          <w:rStyle w:val="y2iqfc"/>
          <w:rFonts w:ascii="inherit" w:hAnsi="inherit"/>
          <w:szCs w:val="24"/>
        </w:rPr>
        <w:t xml:space="preserve"> </w:t>
      </w:r>
      <w:r w:rsidR="00C6214E">
        <w:rPr>
          <w:rStyle w:val="y2iqfc"/>
          <w:rFonts w:ascii="inherit" w:hAnsi="inherit"/>
          <w:szCs w:val="24"/>
        </w:rPr>
        <w:t>и</w:t>
      </w:r>
      <w:r w:rsidR="00820DB1" w:rsidRPr="00D647C9">
        <w:rPr>
          <w:rStyle w:val="y2iqfc"/>
          <w:rFonts w:ascii="inherit" w:hAnsi="inherit"/>
          <w:szCs w:val="24"/>
        </w:rPr>
        <w:t xml:space="preserve"> </w:t>
      </w:r>
      <w:r w:rsidR="00C6214E">
        <w:rPr>
          <w:rStyle w:val="y2iqfc"/>
          <w:rFonts w:ascii="inherit" w:hAnsi="inherit"/>
          <w:szCs w:val="24"/>
        </w:rPr>
        <w:t>подржао</w:t>
      </w:r>
      <w:r w:rsidR="00A52F98" w:rsidRPr="00D647C9">
        <w:rPr>
          <w:rStyle w:val="y2iqfc"/>
          <w:rFonts w:ascii="inherit" w:hAnsi="inherit"/>
          <w:szCs w:val="24"/>
        </w:rPr>
        <w:t xml:space="preserve"> </w:t>
      </w:r>
      <w:r w:rsidR="00C6214E">
        <w:rPr>
          <w:rStyle w:val="y2iqfc"/>
          <w:rFonts w:ascii="inherit" w:hAnsi="inherit"/>
          <w:szCs w:val="24"/>
        </w:rPr>
        <w:t>обуке</w:t>
      </w:r>
      <w:r w:rsidR="00820DB1" w:rsidRPr="00D647C9">
        <w:rPr>
          <w:rStyle w:val="y2iqfc"/>
          <w:rFonts w:ascii="inherit" w:hAnsi="inherit"/>
          <w:szCs w:val="24"/>
        </w:rPr>
        <w:t xml:space="preserve"> </w:t>
      </w:r>
      <w:r w:rsidR="00C6214E">
        <w:rPr>
          <w:rStyle w:val="y2iqfc"/>
          <w:rFonts w:ascii="inherit" w:hAnsi="inherit"/>
          <w:szCs w:val="24"/>
        </w:rPr>
        <w:t>гинеколога</w:t>
      </w:r>
      <w:r w:rsidR="00820DB1" w:rsidRPr="00D647C9">
        <w:rPr>
          <w:rStyle w:val="y2iqfc"/>
          <w:rFonts w:ascii="inherit" w:hAnsi="inherit"/>
          <w:szCs w:val="24"/>
        </w:rPr>
        <w:t xml:space="preserve"> </w:t>
      </w:r>
      <w:r w:rsidR="00C6214E">
        <w:rPr>
          <w:rStyle w:val="y2iqfc"/>
          <w:rFonts w:ascii="inherit" w:hAnsi="inherit"/>
          <w:szCs w:val="24"/>
        </w:rPr>
        <w:t>у</w:t>
      </w:r>
      <w:r w:rsidR="00505D95" w:rsidRPr="00D647C9">
        <w:rPr>
          <w:rStyle w:val="y2iqfc"/>
          <w:rFonts w:ascii="inherit" w:hAnsi="inherit"/>
          <w:szCs w:val="24"/>
        </w:rPr>
        <w:t xml:space="preserve"> </w:t>
      </w:r>
      <w:r w:rsidR="00C6214E">
        <w:rPr>
          <w:rStyle w:val="y2iqfc"/>
          <w:rFonts w:ascii="inherit" w:hAnsi="inherit"/>
          <w:szCs w:val="24"/>
        </w:rPr>
        <w:t>ФБиХ</w:t>
      </w:r>
      <w:r w:rsidR="00A52F98" w:rsidRPr="00D647C9">
        <w:rPr>
          <w:rStyle w:val="y2iqfc"/>
          <w:rFonts w:ascii="inherit" w:hAnsi="inherit"/>
          <w:szCs w:val="24"/>
        </w:rPr>
        <w:t xml:space="preserve"> </w:t>
      </w:r>
      <w:r w:rsidR="00C6214E">
        <w:rPr>
          <w:rStyle w:val="y2iqfc"/>
          <w:rFonts w:ascii="inherit" w:hAnsi="inherit"/>
          <w:szCs w:val="24"/>
        </w:rPr>
        <w:t>о</w:t>
      </w:r>
      <w:r w:rsidR="00820DB1" w:rsidRPr="00D647C9">
        <w:rPr>
          <w:rStyle w:val="y2iqfc"/>
          <w:rFonts w:ascii="inherit" w:hAnsi="inherit"/>
          <w:szCs w:val="24"/>
        </w:rPr>
        <w:t xml:space="preserve"> </w:t>
      </w:r>
      <w:r w:rsidR="00C6214E">
        <w:rPr>
          <w:rStyle w:val="y2iqfc"/>
          <w:rFonts w:ascii="inherit" w:hAnsi="inherit"/>
          <w:szCs w:val="24"/>
        </w:rPr>
        <w:t>клиничком</w:t>
      </w:r>
      <w:r w:rsidR="00820DB1" w:rsidRPr="00D647C9">
        <w:rPr>
          <w:rStyle w:val="y2iqfc"/>
          <w:rFonts w:ascii="inherit" w:hAnsi="inherit"/>
          <w:szCs w:val="24"/>
        </w:rPr>
        <w:t xml:space="preserve"> </w:t>
      </w:r>
      <w:r w:rsidR="00C6214E">
        <w:rPr>
          <w:rStyle w:val="y2iqfc"/>
          <w:rFonts w:ascii="inherit" w:hAnsi="inherit"/>
          <w:szCs w:val="24"/>
        </w:rPr>
        <w:t>лијечењу</w:t>
      </w:r>
      <w:r w:rsidR="00820DB1" w:rsidRPr="00D647C9">
        <w:rPr>
          <w:rStyle w:val="y2iqfc"/>
          <w:rFonts w:ascii="inherit" w:hAnsi="inherit"/>
          <w:szCs w:val="24"/>
        </w:rPr>
        <w:t xml:space="preserve"> </w:t>
      </w:r>
      <w:r w:rsidR="00C6214E">
        <w:rPr>
          <w:rStyle w:val="y2iqfc"/>
          <w:rFonts w:ascii="inherit" w:hAnsi="inherit"/>
          <w:szCs w:val="24"/>
        </w:rPr>
        <w:t>силовања</w:t>
      </w:r>
      <w:r w:rsidR="00820DB1" w:rsidRPr="00D647C9">
        <w:rPr>
          <w:rStyle w:val="y2iqfc"/>
          <w:rFonts w:ascii="inherit" w:hAnsi="inherit"/>
          <w:szCs w:val="24"/>
        </w:rPr>
        <w:t xml:space="preserve">, </w:t>
      </w:r>
      <w:r w:rsidR="00C6214E">
        <w:rPr>
          <w:rStyle w:val="y2iqfc"/>
          <w:rFonts w:ascii="inherit" w:hAnsi="inherit"/>
          <w:szCs w:val="24"/>
        </w:rPr>
        <w:t>о</w:t>
      </w:r>
      <w:r>
        <w:rPr>
          <w:rStyle w:val="y2iqfc"/>
          <w:rFonts w:ascii="inherit" w:hAnsi="inherit"/>
          <w:szCs w:val="24"/>
          <w:lang w:val="sr-Cyrl-BA"/>
        </w:rPr>
        <w:t>безбјеђујући</w:t>
      </w:r>
      <w:r w:rsidR="00820DB1" w:rsidRPr="00D647C9">
        <w:rPr>
          <w:rStyle w:val="y2iqfc"/>
          <w:rFonts w:ascii="inherit" w:hAnsi="inherit"/>
          <w:szCs w:val="24"/>
        </w:rPr>
        <w:t xml:space="preserve"> </w:t>
      </w:r>
      <w:r w:rsidR="00C6214E">
        <w:rPr>
          <w:rStyle w:val="y2iqfc"/>
          <w:rFonts w:ascii="inherit" w:hAnsi="inherit"/>
          <w:szCs w:val="24"/>
        </w:rPr>
        <w:t>приступе</w:t>
      </w:r>
      <w:r w:rsidR="00820DB1" w:rsidRPr="00D647C9">
        <w:rPr>
          <w:rStyle w:val="y2iqfc"/>
          <w:rFonts w:ascii="inherit" w:hAnsi="inherit"/>
          <w:szCs w:val="24"/>
        </w:rPr>
        <w:t xml:space="preserve"> </w:t>
      </w:r>
      <w:r w:rsidR="00C6214E">
        <w:rPr>
          <w:rStyle w:val="y2iqfc"/>
          <w:rFonts w:ascii="inherit" w:hAnsi="inherit"/>
          <w:szCs w:val="24"/>
        </w:rPr>
        <w:t>засноване</w:t>
      </w:r>
      <w:r w:rsidR="00820DB1" w:rsidRPr="00D647C9">
        <w:rPr>
          <w:rStyle w:val="y2iqfc"/>
          <w:rFonts w:ascii="inherit" w:hAnsi="inherit"/>
          <w:szCs w:val="24"/>
        </w:rPr>
        <w:t xml:space="preserve"> </w:t>
      </w:r>
      <w:r w:rsidR="00C6214E">
        <w:rPr>
          <w:rStyle w:val="y2iqfc"/>
          <w:rFonts w:ascii="inherit" w:hAnsi="inherit"/>
          <w:szCs w:val="24"/>
        </w:rPr>
        <w:t>на</w:t>
      </w:r>
      <w:r w:rsidR="00820DB1" w:rsidRPr="00D647C9">
        <w:rPr>
          <w:rStyle w:val="y2iqfc"/>
          <w:rFonts w:ascii="inherit" w:hAnsi="inherit"/>
          <w:szCs w:val="24"/>
        </w:rPr>
        <w:t xml:space="preserve"> </w:t>
      </w:r>
      <w:r w:rsidR="00C6214E">
        <w:rPr>
          <w:rStyle w:val="y2iqfc"/>
          <w:rFonts w:ascii="inherit" w:hAnsi="inherit"/>
          <w:szCs w:val="24"/>
        </w:rPr>
        <w:t>људским</w:t>
      </w:r>
      <w:r w:rsidR="00820DB1" w:rsidRPr="00D647C9">
        <w:rPr>
          <w:rStyle w:val="y2iqfc"/>
          <w:rFonts w:ascii="inherit" w:hAnsi="inherit"/>
          <w:szCs w:val="24"/>
        </w:rPr>
        <w:t xml:space="preserve"> </w:t>
      </w:r>
      <w:r w:rsidR="00C6214E">
        <w:rPr>
          <w:rStyle w:val="y2iqfc"/>
          <w:rFonts w:ascii="inherit" w:hAnsi="inherit"/>
          <w:szCs w:val="24"/>
        </w:rPr>
        <w:t>правима</w:t>
      </w:r>
      <w:r w:rsidR="00820DB1" w:rsidRPr="00D647C9">
        <w:rPr>
          <w:rStyle w:val="y2iqfc"/>
          <w:rFonts w:ascii="inherit" w:hAnsi="inherit"/>
          <w:szCs w:val="24"/>
        </w:rPr>
        <w:t xml:space="preserve"> </w:t>
      </w:r>
      <w:r w:rsidR="00C6214E">
        <w:rPr>
          <w:rStyle w:val="y2iqfc"/>
          <w:rFonts w:ascii="inherit" w:hAnsi="inherit"/>
          <w:szCs w:val="24"/>
        </w:rPr>
        <w:t>у</w:t>
      </w:r>
      <w:r w:rsidR="00820DB1" w:rsidRPr="00D647C9">
        <w:rPr>
          <w:rStyle w:val="y2iqfc"/>
          <w:rFonts w:ascii="inherit" w:hAnsi="inherit"/>
          <w:szCs w:val="24"/>
        </w:rPr>
        <w:t xml:space="preserve"> </w:t>
      </w:r>
      <w:r w:rsidR="00C6214E">
        <w:rPr>
          <w:rStyle w:val="y2iqfc"/>
          <w:rFonts w:ascii="inherit" w:hAnsi="inherit"/>
          <w:szCs w:val="24"/>
        </w:rPr>
        <w:t>пружању</w:t>
      </w:r>
      <w:r w:rsidR="00820DB1" w:rsidRPr="00D647C9">
        <w:rPr>
          <w:rStyle w:val="y2iqfc"/>
          <w:rFonts w:ascii="inherit" w:hAnsi="inherit"/>
          <w:szCs w:val="24"/>
        </w:rPr>
        <w:t xml:space="preserve"> </w:t>
      </w:r>
      <w:r w:rsidR="00C6214E">
        <w:rPr>
          <w:rStyle w:val="y2iqfc"/>
          <w:rFonts w:ascii="inherit" w:hAnsi="inherit"/>
          <w:szCs w:val="24"/>
        </w:rPr>
        <w:t>услуга</w:t>
      </w:r>
      <w:r w:rsidR="00820DB1" w:rsidRPr="00D647C9">
        <w:rPr>
          <w:rStyle w:val="y2iqfc"/>
          <w:rFonts w:ascii="inherit" w:hAnsi="inherit"/>
          <w:szCs w:val="24"/>
        </w:rPr>
        <w:t>.</w:t>
      </w:r>
    </w:p>
    <w:p w:rsidR="00AE5900" w:rsidRPr="00295637" w:rsidRDefault="00AE5900" w:rsidP="0086268D">
      <w:pPr>
        <w:pStyle w:val="NormalWeb"/>
        <w:spacing w:before="0" w:beforeAutospacing="0" w:after="0" w:afterAutospacing="0"/>
        <w:jc w:val="both"/>
        <w:rPr>
          <w:b/>
          <w:lang w:val="bs-Latn-BA"/>
        </w:rPr>
      </w:pPr>
    </w:p>
    <w:p w:rsidR="00356C2C" w:rsidRPr="00295637" w:rsidRDefault="002E608B" w:rsidP="00BA5F19">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BA5F19">
        <w:rPr>
          <w:rFonts w:ascii="Times New Roman" w:hAnsi="Times New Roman"/>
          <w:szCs w:val="24"/>
          <w:lang w:val="bs-Latn-BA"/>
        </w:rPr>
        <w:t xml:space="preserve"> 5.3. </w:t>
      </w:r>
      <w:r w:rsidR="00C6214E">
        <w:rPr>
          <w:rFonts w:ascii="Times New Roman" w:hAnsi="Times New Roman"/>
          <w:szCs w:val="24"/>
          <w:lang w:val="bs-Latn-BA"/>
        </w:rPr>
        <w:t>Израда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остваривање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једнаких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једнаког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приступа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здравственој</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заштити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295637">
        <w:rPr>
          <w:rFonts w:ascii="Times New Roman" w:hAnsi="Times New Roman"/>
          <w:szCs w:val="24"/>
          <w:lang w:val="bs-Latn-BA"/>
        </w:rPr>
        <w:t xml:space="preserve"> </w:t>
      </w:r>
      <w:r w:rsidR="00C6214E">
        <w:rPr>
          <w:rFonts w:ascii="Times New Roman" w:hAnsi="Times New Roman"/>
          <w:szCs w:val="24"/>
          <w:lang w:val="bs-Latn-BA"/>
        </w:rPr>
        <w:t>јачање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професионалних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капацитета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примјену</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домаћих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наведеним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увођење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родно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одговорних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буџета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те</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успостављање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одговарајућих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институционалних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механизама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координацију</w:t>
      </w:r>
      <w:r w:rsidR="00356C2C" w:rsidRPr="00295637">
        <w:rPr>
          <w:rFonts w:ascii="Times New Roman" w:hAnsi="Times New Roman"/>
          <w:szCs w:val="24"/>
          <w:lang w:val="bs-Latn-BA"/>
        </w:rPr>
        <w:t xml:space="preserve"> </w:t>
      </w:r>
      <w:r>
        <w:rPr>
          <w:rFonts w:ascii="Times New Roman" w:hAnsi="Times New Roman"/>
          <w:szCs w:val="24"/>
          <w:lang w:val="sr-Cyrl-BA"/>
        </w:rPr>
        <w:t>спровођења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ових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мјера</w:t>
      </w:r>
      <w:r w:rsidR="00356C2C" w:rsidRPr="00295637">
        <w:rPr>
          <w:rFonts w:ascii="Times New Roman" w:hAnsi="Times New Roman"/>
          <w:szCs w:val="24"/>
          <w:lang w:val="bs-Latn-BA"/>
        </w:rPr>
        <w:t>.</w:t>
      </w:r>
    </w:p>
    <w:p w:rsidR="008D56A8" w:rsidRPr="00295637" w:rsidRDefault="008D56A8" w:rsidP="0086268D">
      <w:pPr>
        <w:tabs>
          <w:tab w:val="left" w:pos="284"/>
          <w:tab w:val="left" w:pos="630"/>
          <w:tab w:val="left" w:pos="1080"/>
        </w:tabs>
        <w:ind w:left="1080"/>
        <w:jc w:val="both"/>
        <w:rPr>
          <w:rFonts w:ascii="Times New Roman" w:hAnsi="Times New Roman"/>
          <w:szCs w:val="24"/>
          <w:lang w:val="bs-Latn-BA"/>
        </w:rPr>
      </w:pPr>
    </w:p>
    <w:p w:rsidR="004C1ED3"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За</w:t>
      </w:r>
      <w:r w:rsidR="004C1ED3" w:rsidRPr="00295637">
        <w:rPr>
          <w:rFonts w:ascii="Times New Roman" w:hAnsi="Times New Roman"/>
          <w:szCs w:val="24"/>
          <w:lang w:val="bs-Latn-BA"/>
        </w:rPr>
        <w:t xml:space="preserve"> </w:t>
      </w:r>
      <w:r>
        <w:rPr>
          <w:rFonts w:ascii="Times New Roman" w:hAnsi="Times New Roman"/>
          <w:szCs w:val="24"/>
          <w:lang w:val="bs-Latn-BA"/>
        </w:rPr>
        <w:t>вријеме</w:t>
      </w:r>
      <w:r w:rsidR="004C1ED3" w:rsidRPr="00295637">
        <w:rPr>
          <w:rFonts w:ascii="Times New Roman" w:hAnsi="Times New Roman"/>
          <w:szCs w:val="24"/>
          <w:lang w:val="bs-Latn-BA"/>
        </w:rPr>
        <w:t xml:space="preserve"> </w:t>
      </w:r>
      <w:r>
        <w:rPr>
          <w:rFonts w:ascii="Times New Roman" w:hAnsi="Times New Roman"/>
          <w:szCs w:val="24"/>
          <w:lang w:val="bs-Latn-BA"/>
        </w:rPr>
        <w:t>прихвата</w:t>
      </w:r>
      <w:r w:rsidR="004C1ED3" w:rsidRPr="00295637">
        <w:rPr>
          <w:rFonts w:ascii="Times New Roman" w:hAnsi="Times New Roman"/>
          <w:szCs w:val="24"/>
          <w:lang w:val="bs-Latn-BA"/>
        </w:rPr>
        <w:t xml:space="preserve"> </w:t>
      </w:r>
      <w:r>
        <w:rPr>
          <w:rFonts w:ascii="Times New Roman" w:hAnsi="Times New Roman"/>
          <w:szCs w:val="24"/>
          <w:lang w:val="bs-Latn-BA"/>
        </w:rPr>
        <w:t>тражилаца</w:t>
      </w:r>
      <w:r w:rsidR="004C1ED3" w:rsidRPr="00295637">
        <w:rPr>
          <w:rFonts w:ascii="Times New Roman" w:hAnsi="Times New Roman"/>
          <w:szCs w:val="24"/>
          <w:lang w:val="bs-Latn-BA"/>
        </w:rPr>
        <w:t xml:space="preserve"> </w:t>
      </w:r>
      <w:r>
        <w:rPr>
          <w:rFonts w:ascii="Times New Roman" w:hAnsi="Times New Roman"/>
          <w:szCs w:val="24"/>
          <w:lang w:val="bs-Latn-BA"/>
        </w:rPr>
        <w:t>азила</w:t>
      </w:r>
      <w:r w:rsidR="004C1ED3" w:rsidRPr="00295637">
        <w:rPr>
          <w:rFonts w:ascii="Times New Roman" w:hAnsi="Times New Roman"/>
          <w:szCs w:val="24"/>
          <w:lang w:val="bs-Latn-BA"/>
        </w:rPr>
        <w:t xml:space="preserve"> </w:t>
      </w:r>
      <w:r>
        <w:rPr>
          <w:rFonts w:ascii="Times New Roman" w:hAnsi="Times New Roman"/>
          <w:szCs w:val="24"/>
          <w:lang w:val="bs-Latn-BA"/>
        </w:rPr>
        <w:t>у</w:t>
      </w:r>
      <w:r w:rsidR="004C1ED3" w:rsidRPr="00295637">
        <w:rPr>
          <w:rFonts w:ascii="Times New Roman" w:hAnsi="Times New Roman"/>
          <w:szCs w:val="24"/>
          <w:lang w:val="bs-Latn-BA"/>
        </w:rPr>
        <w:t xml:space="preserve"> </w:t>
      </w:r>
      <w:r>
        <w:rPr>
          <w:rFonts w:ascii="Times New Roman" w:hAnsi="Times New Roman"/>
          <w:szCs w:val="24"/>
          <w:lang w:val="bs-Latn-BA"/>
        </w:rPr>
        <w:t>Босни</w:t>
      </w:r>
      <w:r w:rsidR="004C1ED3" w:rsidRPr="00295637">
        <w:rPr>
          <w:rFonts w:ascii="Times New Roman" w:hAnsi="Times New Roman"/>
          <w:szCs w:val="24"/>
          <w:lang w:val="bs-Latn-BA"/>
        </w:rPr>
        <w:t xml:space="preserve"> </w:t>
      </w:r>
      <w:r>
        <w:rPr>
          <w:rFonts w:ascii="Times New Roman" w:hAnsi="Times New Roman"/>
          <w:szCs w:val="24"/>
          <w:lang w:val="bs-Latn-BA"/>
        </w:rPr>
        <w:t>и</w:t>
      </w:r>
      <w:r w:rsidR="004C1ED3" w:rsidRPr="00295637">
        <w:rPr>
          <w:rFonts w:ascii="Times New Roman" w:hAnsi="Times New Roman"/>
          <w:szCs w:val="24"/>
          <w:lang w:val="bs-Latn-BA"/>
        </w:rPr>
        <w:t xml:space="preserve"> </w:t>
      </w:r>
      <w:r>
        <w:rPr>
          <w:rFonts w:ascii="Times New Roman" w:hAnsi="Times New Roman"/>
          <w:szCs w:val="24"/>
          <w:lang w:val="bs-Latn-BA"/>
        </w:rPr>
        <w:t>Херцеговини</w:t>
      </w:r>
      <w:r w:rsidR="004C1ED3" w:rsidRPr="00295637">
        <w:rPr>
          <w:rFonts w:ascii="Times New Roman" w:hAnsi="Times New Roman"/>
          <w:szCs w:val="24"/>
          <w:lang w:val="bs-Latn-BA"/>
        </w:rPr>
        <w:t xml:space="preserve">, </w:t>
      </w:r>
      <w:r>
        <w:rPr>
          <w:rFonts w:ascii="Times New Roman" w:hAnsi="Times New Roman"/>
          <w:szCs w:val="24"/>
          <w:lang w:val="bs-Latn-BA"/>
        </w:rPr>
        <w:t>у</w:t>
      </w:r>
      <w:r w:rsidR="004C1ED3" w:rsidRPr="00295637">
        <w:rPr>
          <w:rFonts w:ascii="Times New Roman" w:hAnsi="Times New Roman"/>
          <w:szCs w:val="24"/>
          <w:lang w:val="bs-Latn-BA"/>
        </w:rPr>
        <w:t xml:space="preserve"> </w:t>
      </w:r>
      <w:r>
        <w:rPr>
          <w:rFonts w:ascii="Times New Roman" w:hAnsi="Times New Roman"/>
          <w:szCs w:val="24"/>
          <w:lang w:val="bs-Latn-BA"/>
        </w:rPr>
        <w:t>азилантском</w:t>
      </w:r>
      <w:r w:rsidR="004C1ED3" w:rsidRPr="00295637">
        <w:rPr>
          <w:rFonts w:ascii="Times New Roman" w:hAnsi="Times New Roman"/>
          <w:szCs w:val="24"/>
          <w:lang w:val="bs-Latn-BA"/>
        </w:rPr>
        <w:t xml:space="preserve"> </w:t>
      </w:r>
      <w:r>
        <w:rPr>
          <w:rFonts w:ascii="Times New Roman" w:hAnsi="Times New Roman"/>
          <w:szCs w:val="24"/>
          <w:lang w:val="bs-Latn-BA"/>
        </w:rPr>
        <w:t>центру</w:t>
      </w:r>
      <w:r w:rsidR="004C1ED3" w:rsidRPr="00295637">
        <w:rPr>
          <w:rFonts w:ascii="Times New Roman" w:hAnsi="Times New Roman"/>
          <w:szCs w:val="24"/>
          <w:lang w:val="bs-Latn-BA"/>
        </w:rPr>
        <w:t xml:space="preserve"> </w:t>
      </w:r>
      <w:r>
        <w:rPr>
          <w:rFonts w:ascii="Times New Roman" w:hAnsi="Times New Roman"/>
          <w:szCs w:val="24"/>
          <w:lang w:val="bs-Latn-BA"/>
        </w:rPr>
        <w:t>М</w:t>
      </w:r>
      <w:r w:rsidR="002E608B">
        <w:rPr>
          <w:rFonts w:ascii="Times New Roman" w:hAnsi="Times New Roman"/>
          <w:szCs w:val="24"/>
          <w:lang w:val="sr-Cyrl-BA"/>
        </w:rPr>
        <w:t>Б</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1225F9" w:rsidRPr="00295637">
        <w:rPr>
          <w:rFonts w:ascii="Times New Roman" w:hAnsi="Times New Roman"/>
          <w:szCs w:val="24"/>
          <w:lang w:val="bs-Latn-BA"/>
        </w:rPr>
        <w:t>,</w:t>
      </w:r>
      <w:r w:rsidR="004C1ED3" w:rsidRPr="00295637">
        <w:rPr>
          <w:rFonts w:ascii="Times New Roman" w:hAnsi="Times New Roman"/>
          <w:szCs w:val="24"/>
          <w:lang w:val="bs-Latn-BA"/>
        </w:rPr>
        <w:t xml:space="preserve"> </w:t>
      </w:r>
      <w:r>
        <w:rPr>
          <w:rFonts w:ascii="Times New Roman" w:hAnsi="Times New Roman"/>
          <w:szCs w:val="24"/>
          <w:lang w:val="bs-Latn-BA"/>
        </w:rPr>
        <w:t>у</w:t>
      </w:r>
      <w:r w:rsidR="004C1ED3" w:rsidRPr="00295637">
        <w:rPr>
          <w:rFonts w:ascii="Times New Roman" w:hAnsi="Times New Roman"/>
          <w:szCs w:val="24"/>
          <w:lang w:val="bs-Latn-BA"/>
        </w:rPr>
        <w:t xml:space="preserve"> </w:t>
      </w:r>
      <w:r>
        <w:rPr>
          <w:rFonts w:ascii="Times New Roman" w:hAnsi="Times New Roman"/>
          <w:szCs w:val="24"/>
          <w:lang w:val="bs-Latn-BA"/>
        </w:rPr>
        <w:t>континуитету</w:t>
      </w:r>
      <w:r w:rsidR="004C1ED3" w:rsidRPr="00295637">
        <w:rPr>
          <w:rFonts w:ascii="Times New Roman" w:hAnsi="Times New Roman"/>
          <w:szCs w:val="24"/>
          <w:lang w:val="bs-Latn-BA"/>
        </w:rPr>
        <w:t xml:space="preserve"> </w:t>
      </w:r>
      <w:r>
        <w:rPr>
          <w:rFonts w:ascii="Times New Roman" w:hAnsi="Times New Roman"/>
          <w:szCs w:val="24"/>
          <w:lang w:val="bs-Latn-BA"/>
        </w:rPr>
        <w:t>се</w:t>
      </w:r>
      <w:r w:rsidR="004C1ED3" w:rsidRPr="00295637">
        <w:rPr>
          <w:rFonts w:ascii="Times New Roman" w:hAnsi="Times New Roman"/>
          <w:szCs w:val="24"/>
          <w:lang w:val="bs-Latn-BA"/>
        </w:rPr>
        <w:t xml:space="preserve"> </w:t>
      </w:r>
      <w:r>
        <w:rPr>
          <w:rFonts w:ascii="Times New Roman" w:hAnsi="Times New Roman"/>
          <w:szCs w:val="24"/>
          <w:lang w:val="bs-Latn-BA"/>
        </w:rPr>
        <w:t>проводе</w:t>
      </w:r>
      <w:r w:rsidR="00770893" w:rsidRPr="00295637">
        <w:rPr>
          <w:rFonts w:ascii="Times New Roman" w:hAnsi="Times New Roman"/>
          <w:szCs w:val="24"/>
          <w:lang w:val="bs-Latn-BA"/>
        </w:rPr>
        <w:t xml:space="preserve"> </w:t>
      </w:r>
      <w:r>
        <w:rPr>
          <w:rFonts w:ascii="Times New Roman" w:hAnsi="Times New Roman"/>
          <w:szCs w:val="24"/>
          <w:lang w:val="bs-Latn-BA"/>
        </w:rPr>
        <w:t>мјере</w:t>
      </w:r>
      <w:r w:rsidR="00770893" w:rsidRPr="00295637">
        <w:rPr>
          <w:rFonts w:ascii="Times New Roman" w:hAnsi="Times New Roman"/>
          <w:szCs w:val="24"/>
          <w:lang w:val="bs-Latn-BA"/>
        </w:rPr>
        <w:t xml:space="preserve"> </w:t>
      </w:r>
      <w:r>
        <w:rPr>
          <w:rFonts w:ascii="Times New Roman" w:hAnsi="Times New Roman"/>
          <w:szCs w:val="24"/>
          <w:lang w:val="bs-Latn-BA"/>
        </w:rPr>
        <w:t>за</w:t>
      </w:r>
      <w:r w:rsidR="00770893" w:rsidRPr="00295637">
        <w:rPr>
          <w:rFonts w:ascii="Times New Roman" w:hAnsi="Times New Roman"/>
          <w:szCs w:val="24"/>
          <w:lang w:val="bs-Latn-BA"/>
        </w:rPr>
        <w:t xml:space="preserve"> </w:t>
      </w:r>
      <w:r>
        <w:rPr>
          <w:rFonts w:ascii="Times New Roman" w:hAnsi="Times New Roman"/>
          <w:szCs w:val="24"/>
          <w:lang w:val="bs-Latn-BA"/>
        </w:rPr>
        <w:t>пружање</w:t>
      </w:r>
      <w:r w:rsidR="00770893" w:rsidRPr="00295637">
        <w:rPr>
          <w:rFonts w:ascii="Times New Roman" w:hAnsi="Times New Roman"/>
          <w:szCs w:val="24"/>
          <w:lang w:val="bs-Latn-BA"/>
        </w:rPr>
        <w:t xml:space="preserve"> </w:t>
      </w:r>
      <w:r>
        <w:rPr>
          <w:rFonts w:ascii="Times New Roman" w:hAnsi="Times New Roman"/>
          <w:szCs w:val="24"/>
          <w:lang w:val="bs-Latn-BA"/>
        </w:rPr>
        <w:t>прописане</w:t>
      </w:r>
      <w:r w:rsidR="00770893" w:rsidRPr="00295637">
        <w:rPr>
          <w:rFonts w:ascii="Times New Roman" w:hAnsi="Times New Roman"/>
          <w:szCs w:val="24"/>
          <w:lang w:val="bs-Latn-BA"/>
        </w:rPr>
        <w:t xml:space="preserve"> </w:t>
      </w:r>
      <w:r>
        <w:rPr>
          <w:rFonts w:ascii="Times New Roman" w:hAnsi="Times New Roman"/>
          <w:szCs w:val="24"/>
          <w:lang w:val="bs-Latn-BA"/>
        </w:rPr>
        <w:t>здравствене</w:t>
      </w:r>
      <w:r w:rsidR="00770893" w:rsidRPr="00295637">
        <w:rPr>
          <w:rFonts w:ascii="Times New Roman" w:hAnsi="Times New Roman"/>
          <w:szCs w:val="24"/>
          <w:lang w:val="bs-Latn-BA"/>
        </w:rPr>
        <w:t xml:space="preserve"> </w:t>
      </w:r>
      <w:r>
        <w:rPr>
          <w:rFonts w:ascii="Times New Roman" w:hAnsi="Times New Roman"/>
          <w:szCs w:val="24"/>
          <w:lang w:val="bs-Latn-BA"/>
        </w:rPr>
        <w:t>заштите</w:t>
      </w:r>
      <w:r w:rsidR="00770893" w:rsidRPr="00295637">
        <w:rPr>
          <w:rFonts w:ascii="Times New Roman" w:hAnsi="Times New Roman"/>
          <w:szCs w:val="24"/>
          <w:lang w:val="bs-Latn-BA"/>
        </w:rPr>
        <w:t xml:space="preserve"> </w:t>
      </w:r>
      <w:r>
        <w:rPr>
          <w:rFonts w:ascii="Times New Roman" w:hAnsi="Times New Roman"/>
          <w:szCs w:val="24"/>
          <w:lang w:val="bs-Latn-BA"/>
        </w:rPr>
        <w:t>за</w:t>
      </w:r>
      <w:r w:rsidR="00770893" w:rsidRPr="00295637">
        <w:rPr>
          <w:rFonts w:ascii="Times New Roman" w:hAnsi="Times New Roman"/>
          <w:szCs w:val="24"/>
          <w:lang w:val="bs-Latn-BA"/>
        </w:rPr>
        <w:t xml:space="preserve"> </w:t>
      </w:r>
      <w:r>
        <w:rPr>
          <w:rFonts w:ascii="Times New Roman" w:hAnsi="Times New Roman"/>
          <w:szCs w:val="24"/>
          <w:lang w:val="bs-Latn-BA"/>
        </w:rPr>
        <w:t>жене</w:t>
      </w:r>
      <w:r w:rsidR="004C1ED3" w:rsidRPr="00295637">
        <w:rPr>
          <w:rFonts w:ascii="Times New Roman" w:hAnsi="Times New Roman"/>
          <w:szCs w:val="24"/>
          <w:lang w:val="bs-Latn-BA"/>
        </w:rPr>
        <w:t xml:space="preserve">, </w:t>
      </w:r>
      <w:r>
        <w:rPr>
          <w:rFonts w:ascii="Times New Roman" w:hAnsi="Times New Roman"/>
          <w:szCs w:val="24"/>
          <w:lang w:val="bs-Latn-BA"/>
        </w:rPr>
        <w:t>дјевојчице</w:t>
      </w:r>
      <w:r w:rsidR="004C1ED3" w:rsidRPr="00295637">
        <w:rPr>
          <w:rFonts w:ascii="Times New Roman" w:hAnsi="Times New Roman"/>
          <w:szCs w:val="24"/>
          <w:lang w:val="bs-Latn-BA"/>
        </w:rPr>
        <w:t xml:space="preserve">, </w:t>
      </w:r>
      <w:r>
        <w:rPr>
          <w:rFonts w:ascii="Times New Roman" w:hAnsi="Times New Roman"/>
          <w:szCs w:val="24"/>
          <w:lang w:val="bs-Latn-BA"/>
        </w:rPr>
        <w:t>али</w:t>
      </w:r>
      <w:r w:rsidR="004C1ED3" w:rsidRPr="00295637">
        <w:rPr>
          <w:rFonts w:ascii="Times New Roman" w:hAnsi="Times New Roman"/>
          <w:szCs w:val="24"/>
          <w:lang w:val="bs-Latn-BA"/>
        </w:rPr>
        <w:t xml:space="preserve"> </w:t>
      </w:r>
      <w:r>
        <w:rPr>
          <w:rFonts w:ascii="Times New Roman" w:hAnsi="Times New Roman"/>
          <w:szCs w:val="24"/>
          <w:lang w:val="bs-Latn-BA"/>
        </w:rPr>
        <w:t>и</w:t>
      </w:r>
      <w:r w:rsidR="004C1ED3" w:rsidRPr="00295637">
        <w:rPr>
          <w:rFonts w:ascii="Times New Roman" w:hAnsi="Times New Roman"/>
          <w:szCs w:val="24"/>
          <w:lang w:val="bs-Latn-BA"/>
        </w:rPr>
        <w:t xml:space="preserve"> </w:t>
      </w:r>
      <w:r>
        <w:rPr>
          <w:rFonts w:ascii="Times New Roman" w:hAnsi="Times New Roman"/>
          <w:szCs w:val="24"/>
          <w:lang w:val="bs-Latn-BA"/>
        </w:rPr>
        <w:t>мушкарце</w:t>
      </w:r>
      <w:r w:rsidR="004C1ED3" w:rsidRPr="00295637">
        <w:rPr>
          <w:rFonts w:ascii="Times New Roman" w:hAnsi="Times New Roman"/>
          <w:szCs w:val="24"/>
          <w:lang w:val="bs-Latn-BA"/>
        </w:rPr>
        <w:t xml:space="preserve">, </w:t>
      </w:r>
      <w:r>
        <w:rPr>
          <w:rFonts w:ascii="Times New Roman" w:hAnsi="Times New Roman"/>
          <w:szCs w:val="24"/>
          <w:lang w:val="bs-Latn-BA"/>
        </w:rPr>
        <w:t>нарочито</w:t>
      </w:r>
      <w:r w:rsidR="004C1ED3" w:rsidRPr="00295637">
        <w:rPr>
          <w:rFonts w:ascii="Times New Roman" w:hAnsi="Times New Roman"/>
          <w:szCs w:val="24"/>
          <w:lang w:val="bs-Latn-BA"/>
        </w:rPr>
        <w:t xml:space="preserve"> </w:t>
      </w:r>
      <w:r>
        <w:rPr>
          <w:rFonts w:ascii="Times New Roman" w:hAnsi="Times New Roman"/>
          <w:szCs w:val="24"/>
          <w:lang w:val="bs-Latn-BA"/>
        </w:rPr>
        <w:t>у</w:t>
      </w:r>
      <w:r w:rsidR="004C1ED3" w:rsidRPr="00295637">
        <w:rPr>
          <w:rFonts w:ascii="Times New Roman" w:hAnsi="Times New Roman"/>
          <w:szCs w:val="24"/>
          <w:lang w:val="bs-Latn-BA"/>
        </w:rPr>
        <w:t xml:space="preserve"> </w:t>
      </w:r>
      <w:r>
        <w:rPr>
          <w:rFonts w:ascii="Times New Roman" w:hAnsi="Times New Roman"/>
          <w:szCs w:val="24"/>
          <w:lang w:val="bs-Latn-BA"/>
        </w:rPr>
        <w:t>контексту</w:t>
      </w:r>
      <w:r w:rsidR="004C1ED3" w:rsidRPr="00295637">
        <w:rPr>
          <w:rFonts w:ascii="Times New Roman" w:hAnsi="Times New Roman"/>
          <w:szCs w:val="24"/>
          <w:lang w:val="bs-Latn-BA"/>
        </w:rPr>
        <w:t xml:space="preserve"> </w:t>
      </w:r>
      <w:r>
        <w:rPr>
          <w:rFonts w:ascii="Times New Roman" w:hAnsi="Times New Roman"/>
          <w:szCs w:val="24"/>
          <w:lang w:val="bs-Latn-BA"/>
        </w:rPr>
        <w:t>заштите</w:t>
      </w:r>
      <w:r w:rsidR="004C1ED3" w:rsidRPr="00295637">
        <w:rPr>
          <w:rFonts w:ascii="Times New Roman" w:hAnsi="Times New Roman"/>
          <w:szCs w:val="24"/>
          <w:lang w:val="bs-Latn-BA"/>
        </w:rPr>
        <w:t xml:space="preserve"> </w:t>
      </w:r>
      <w:r>
        <w:rPr>
          <w:rFonts w:ascii="Times New Roman" w:hAnsi="Times New Roman"/>
          <w:szCs w:val="24"/>
          <w:lang w:val="bs-Latn-BA"/>
        </w:rPr>
        <w:t>од</w:t>
      </w:r>
      <w:r w:rsidR="004C1ED3" w:rsidRPr="00295637">
        <w:rPr>
          <w:rFonts w:ascii="Times New Roman" w:hAnsi="Times New Roman"/>
          <w:szCs w:val="24"/>
          <w:lang w:val="bs-Latn-BA"/>
        </w:rPr>
        <w:t xml:space="preserve"> </w:t>
      </w:r>
      <w:r>
        <w:rPr>
          <w:rFonts w:ascii="Times New Roman" w:hAnsi="Times New Roman"/>
          <w:szCs w:val="24"/>
          <w:lang w:val="bs-Latn-BA"/>
        </w:rPr>
        <w:t>трговине</w:t>
      </w:r>
      <w:r w:rsidR="004C1ED3" w:rsidRPr="00295637">
        <w:rPr>
          <w:rFonts w:ascii="Times New Roman" w:hAnsi="Times New Roman"/>
          <w:szCs w:val="24"/>
          <w:lang w:val="bs-Latn-BA"/>
        </w:rPr>
        <w:t xml:space="preserve"> </w:t>
      </w:r>
      <w:r>
        <w:rPr>
          <w:rFonts w:ascii="Times New Roman" w:hAnsi="Times New Roman"/>
          <w:szCs w:val="24"/>
          <w:lang w:val="bs-Latn-BA"/>
        </w:rPr>
        <w:t>људима</w:t>
      </w:r>
      <w:r w:rsidR="004C1ED3" w:rsidRPr="00295637">
        <w:rPr>
          <w:rFonts w:ascii="Times New Roman" w:hAnsi="Times New Roman"/>
          <w:szCs w:val="24"/>
          <w:lang w:val="bs-Latn-BA"/>
        </w:rPr>
        <w:t xml:space="preserve"> </w:t>
      </w:r>
      <w:r>
        <w:rPr>
          <w:rFonts w:ascii="Times New Roman" w:hAnsi="Times New Roman"/>
          <w:szCs w:val="24"/>
          <w:lang w:val="bs-Latn-BA"/>
        </w:rPr>
        <w:t>и</w:t>
      </w:r>
      <w:r w:rsidR="004C1ED3" w:rsidRPr="00295637">
        <w:rPr>
          <w:rFonts w:ascii="Times New Roman" w:hAnsi="Times New Roman"/>
          <w:szCs w:val="24"/>
          <w:lang w:val="bs-Latn-BA"/>
        </w:rPr>
        <w:t xml:space="preserve"> </w:t>
      </w:r>
      <w:r>
        <w:rPr>
          <w:rFonts w:ascii="Times New Roman" w:hAnsi="Times New Roman"/>
          <w:szCs w:val="24"/>
          <w:lang w:val="bs-Latn-BA"/>
        </w:rPr>
        <w:t>експлоатације</w:t>
      </w:r>
      <w:r w:rsidR="00770893" w:rsidRPr="00295637">
        <w:rPr>
          <w:rFonts w:ascii="Times New Roman" w:hAnsi="Times New Roman"/>
          <w:szCs w:val="24"/>
          <w:lang w:val="bs-Latn-BA"/>
        </w:rPr>
        <w:t xml:space="preserve">, </w:t>
      </w:r>
      <w:r>
        <w:rPr>
          <w:rFonts w:ascii="Times New Roman" w:hAnsi="Times New Roman"/>
          <w:szCs w:val="24"/>
          <w:lang w:val="bs-Latn-BA"/>
        </w:rPr>
        <w:t>које</w:t>
      </w:r>
      <w:r w:rsidR="00770893" w:rsidRPr="00295637">
        <w:rPr>
          <w:rFonts w:ascii="Times New Roman" w:hAnsi="Times New Roman"/>
          <w:szCs w:val="24"/>
          <w:lang w:val="bs-Latn-BA"/>
        </w:rPr>
        <w:t xml:space="preserve"> </w:t>
      </w:r>
      <w:r>
        <w:rPr>
          <w:rFonts w:ascii="Times New Roman" w:hAnsi="Times New Roman"/>
          <w:szCs w:val="24"/>
          <w:lang w:val="bs-Latn-BA"/>
        </w:rPr>
        <w:t>су</w:t>
      </w:r>
      <w:r w:rsidR="00770893" w:rsidRPr="00295637">
        <w:rPr>
          <w:rFonts w:ascii="Times New Roman" w:hAnsi="Times New Roman"/>
          <w:szCs w:val="24"/>
          <w:lang w:val="bs-Latn-BA"/>
        </w:rPr>
        <w:t xml:space="preserve"> </w:t>
      </w:r>
      <w:r>
        <w:rPr>
          <w:rFonts w:ascii="Times New Roman" w:hAnsi="Times New Roman"/>
          <w:szCs w:val="24"/>
          <w:lang w:val="bs-Latn-BA"/>
        </w:rPr>
        <w:t>прописане</w:t>
      </w:r>
      <w:r w:rsidR="004C1ED3" w:rsidRPr="00295637">
        <w:rPr>
          <w:rFonts w:ascii="Times New Roman" w:hAnsi="Times New Roman"/>
          <w:szCs w:val="24"/>
          <w:lang w:val="bs-Latn-BA"/>
        </w:rPr>
        <w:t xml:space="preserve"> </w:t>
      </w:r>
      <w:r>
        <w:rPr>
          <w:rFonts w:ascii="Times New Roman" w:hAnsi="Times New Roman"/>
          <w:szCs w:val="24"/>
          <w:lang w:val="bs-Latn-BA"/>
        </w:rPr>
        <w:t>Законом</w:t>
      </w:r>
      <w:r w:rsidR="00770893" w:rsidRPr="00295637">
        <w:rPr>
          <w:rFonts w:ascii="Times New Roman" w:hAnsi="Times New Roman"/>
          <w:szCs w:val="24"/>
          <w:lang w:val="bs-Latn-BA"/>
        </w:rPr>
        <w:t xml:space="preserve"> </w:t>
      </w:r>
      <w:r>
        <w:rPr>
          <w:rFonts w:ascii="Times New Roman" w:hAnsi="Times New Roman"/>
          <w:szCs w:val="24"/>
          <w:lang w:val="bs-Latn-BA"/>
        </w:rPr>
        <w:t>о</w:t>
      </w:r>
      <w:r w:rsidR="00770893" w:rsidRPr="00295637">
        <w:rPr>
          <w:rFonts w:ascii="Times New Roman" w:hAnsi="Times New Roman"/>
          <w:szCs w:val="24"/>
          <w:lang w:val="bs-Latn-BA"/>
        </w:rPr>
        <w:t xml:space="preserve"> </w:t>
      </w:r>
      <w:r>
        <w:rPr>
          <w:rFonts w:ascii="Times New Roman" w:hAnsi="Times New Roman"/>
          <w:szCs w:val="24"/>
          <w:lang w:val="bs-Latn-BA"/>
        </w:rPr>
        <w:t>азилу</w:t>
      </w:r>
      <w:r w:rsidR="00770893" w:rsidRPr="00295637">
        <w:rPr>
          <w:rFonts w:ascii="Times New Roman" w:hAnsi="Times New Roman"/>
          <w:szCs w:val="24"/>
          <w:lang w:val="bs-Latn-BA"/>
        </w:rPr>
        <w:t xml:space="preserve">. </w:t>
      </w:r>
      <w:r>
        <w:rPr>
          <w:rFonts w:ascii="Times New Roman" w:hAnsi="Times New Roman"/>
          <w:szCs w:val="24"/>
          <w:lang w:val="bs-Latn-BA"/>
        </w:rPr>
        <w:t>Приступ</w:t>
      </w:r>
      <w:r w:rsidR="00770893" w:rsidRPr="00295637">
        <w:rPr>
          <w:rFonts w:ascii="Times New Roman" w:hAnsi="Times New Roman"/>
          <w:szCs w:val="24"/>
          <w:lang w:val="bs-Latn-BA"/>
        </w:rPr>
        <w:t xml:space="preserve"> </w:t>
      </w:r>
      <w:r>
        <w:rPr>
          <w:rFonts w:ascii="Times New Roman" w:hAnsi="Times New Roman"/>
          <w:szCs w:val="24"/>
          <w:lang w:val="bs-Latn-BA"/>
        </w:rPr>
        <w:t>здравственој</w:t>
      </w:r>
      <w:r w:rsidR="00770893" w:rsidRPr="00295637">
        <w:rPr>
          <w:rFonts w:ascii="Times New Roman" w:hAnsi="Times New Roman"/>
          <w:szCs w:val="24"/>
          <w:lang w:val="bs-Latn-BA"/>
        </w:rPr>
        <w:t xml:space="preserve"> </w:t>
      </w:r>
      <w:r>
        <w:rPr>
          <w:rFonts w:ascii="Times New Roman" w:hAnsi="Times New Roman"/>
          <w:szCs w:val="24"/>
          <w:lang w:val="bs-Latn-BA"/>
        </w:rPr>
        <w:t>заштити</w:t>
      </w:r>
      <w:r w:rsidR="00770893" w:rsidRPr="00295637">
        <w:rPr>
          <w:rFonts w:ascii="Times New Roman" w:hAnsi="Times New Roman"/>
          <w:szCs w:val="24"/>
          <w:lang w:val="bs-Latn-BA"/>
        </w:rPr>
        <w:t xml:space="preserve"> </w:t>
      </w:r>
      <w:r>
        <w:rPr>
          <w:rFonts w:ascii="Times New Roman" w:hAnsi="Times New Roman"/>
          <w:szCs w:val="24"/>
          <w:lang w:val="bs-Latn-BA"/>
        </w:rPr>
        <w:t>се</w:t>
      </w:r>
      <w:r w:rsidR="00770893" w:rsidRPr="00295637">
        <w:rPr>
          <w:rFonts w:ascii="Times New Roman" w:hAnsi="Times New Roman"/>
          <w:szCs w:val="24"/>
          <w:lang w:val="bs-Latn-BA"/>
        </w:rPr>
        <w:t xml:space="preserve"> </w:t>
      </w:r>
      <w:r>
        <w:rPr>
          <w:rFonts w:ascii="Times New Roman" w:hAnsi="Times New Roman"/>
          <w:szCs w:val="24"/>
          <w:lang w:val="bs-Latn-BA"/>
        </w:rPr>
        <w:t>у</w:t>
      </w:r>
      <w:r w:rsidR="00770893" w:rsidRPr="00295637">
        <w:rPr>
          <w:rFonts w:ascii="Times New Roman" w:hAnsi="Times New Roman"/>
          <w:szCs w:val="24"/>
          <w:lang w:val="bs-Latn-BA"/>
        </w:rPr>
        <w:t xml:space="preserve"> </w:t>
      </w:r>
      <w:r>
        <w:rPr>
          <w:rFonts w:ascii="Times New Roman" w:hAnsi="Times New Roman"/>
          <w:szCs w:val="24"/>
          <w:lang w:val="bs-Latn-BA"/>
        </w:rPr>
        <w:t>континуитету</w:t>
      </w:r>
      <w:r w:rsidR="004C1ED3" w:rsidRPr="00295637">
        <w:rPr>
          <w:rFonts w:ascii="Times New Roman" w:hAnsi="Times New Roman"/>
          <w:szCs w:val="24"/>
          <w:lang w:val="bs-Latn-BA"/>
        </w:rPr>
        <w:t xml:space="preserve"> </w:t>
      </w:r>
      <w:r>
        <w:rPr>
          <w:rFonts w:ascii="Times New Roman" w:hAnsi="Times New Roman"/>
          <w:szCs w:val="24"/>
          <w:lang w:val="bs-Latn-BA"/>
        </w:rPr>
        <w:t>и</w:t>
      </w:r>
      <w:r w:rsidR="004C1ED3" w:rsidRPr="00295637">
        <w:rPr>
          <w:rFonts w:ascii="Times New Roman" w:hAnsi="Times New Roman"/>
          <w:szCs w:val="24"/>
          <w:lang w:val="bs-Latn-BA"/>
        </w:rPr>
        <w:t xml:space="preserve"> </w:t>
      </w:r>
      <w:r>
        <w:rPr>
          <w:rFonts w:ascii="Times New Roman" w:hAnsi="Times New Roman"/>
          <w:szCs w:val="24"/>
          <w:lang w:val="bs-Latn-BA"/>
        </w:rPr>
        <w:t>о</w:t>
      </w:r>
      <w:r w:rsidR="002E608B">
        <w:rPr>
          <w:rFonts w:ascii="Times New Roman" w:hAnsi="Times New Roman"/>
          <w:szCs w:val="24"/>
          <w:lang w:val="sr-Cyrl-BA"/>
        </w:rPr>
        <w:t>безбјеђује</w:t>
      </w:r>
      <w:r w:rsidR="00505D95">
        <w:rPr>
          <w:rFonts w:ascii="Times New Roman" w:hAnsi="Times New Roman"/>
          <w:szCs w:val="24"/>
          <w:lang w:val="bs-Latn-BA"/>
        </w:rPr>
        <w:t xml:space="preserve"> </w:t>
      </w:r>
      <w:r>
        <w:rPr>
          <w:rFonts w:ascii="Times New Roman" w:hAnsi="Times New Roman"/>
          <w:szCs w:val="24"/>
          <w:lang w:val="bs-Latn-BA"/>
        </w:rPr>
        <w:t>у</w:t>
      </w:r>
      <w:r w:rsidR="00505D95">
        <w:rPr>
          <w:rFonts w:ascii="Times New Roman" w:hAnsi="Times New Roman"/>
          <w:szCs w:val="24"/>
          <w:lang w:val="bs-Latn-BA"/>
        </w:rPr>
        <w:t xml:space="preserve"> </w:t>
      </w:r>
      <w:r>
        <w:rPr>
          <w:rFonts w:ascii="Times New Roman" w:hAnsi="Times New Roman"/>
          <w:szCs w:val="24"/>
          <w:lang w:val="bs-Latn-BA"/>
        </w:rPr>
        <w:t>оквиру</w:t>
      </w:r>
      <w:r w:rsidR="00505D95">
        <w:rPr>
          <w:rFonts w:ascii="Times New Roman" w:hAnsi="Times New Roman"/>
          <w:szCs w:val="24"/>
          <w:lang w:val="bs-Latn-BA"/>
        </w:rPr>
        <w:t xml:space="preserve"> </w:t>
      </w:r>
      <w:r>
        <w:rPr>
          <w:rFonts w:ascii="Times New Roman" w:hAnsi="Times New Roman"/>
          <w:szCs w:val="24"/>
          <w:lang w:val="bs-Latn-BA"/>
        </w:rPr>
        <w:t>уговора</w:t>
      </w:r>
      <w:r w:rsidR="00505D95">
        <w:rPr>
          <w:rFonts w:ascii="Times New Roman" w:hAnsi="Times New Roman"/>
          <w:szCs w:val="24"/>
          <w:lang w:val="bs-Latn-BA"/>
        </w:rPr>
        <w:t xml:space="preserve"> </w:t>
      </w:r>
      <w:r>
        <w:rPr>
          <w:rFonts w:ascii="Times New Roman" w:hAnsi="Times New Roman"/>
          <w:szCs w:val="24"/>
          <w:lang w:val="bs-Latn-BA"/>
        </w:rPr>
        <w:t>са</w:t>
      </w:r>
      <w:r w:rsidR="004C1ED3" w:rsidRPr="00295637">
        <w:rPr>
          <w:rFonts w:ascii="Times New Roman" w:hAnsi="Times New Roman"/>
          <w:szCs w:val="24"/>
          <w:lang w:val="bs-Latn-BA"/>
        </w:rPr>
        <w:t xml:space="preserve"> </w:t>
      </w:r>
      <w:r>
        <w:rPr>
          <w:rFonts w:ascii="Times New Roman" w:hAnsi="Times New Roman"/>
          <w:szCs w:val="24"/>
          <w:lang w:val="bs-Latn-BA"/>
        </w:rPr>
        <w:t>ЈУ</w:t>
      </w:r>
      <w:r w:rsidR="004C1ED3" w:rsidRPr="00295637">
        <w:rPr>
          <w:rFonts w:ascii="Times New Roman" w:hAnsi="Times New Roman"/>
          <w:szCs w:val="24"/>
          <w:lang w:val="bs-Latn-BA"/>
        </w:rPr>
        <w:t xml:space="preserve"> </w:t>
      </w:r>
      <w:r>
        <w:rPr>
          <w:rFonts w:ascii="Times New Roman" w:hAnsi="Times New Roman"/>
          <w:szCs w:val="24"/>
          <w:lang w:val="bs-Latn-BA"/>
        </w:rPr>
        <w:t>Домови</w:t>
      </w:r>
      <w:r w:rsidR="004C1ED3" w:rsidRPr="00295637">
        <w:rPr>
          <w:rFonts w:ascii="Times New Roman" w:hAnsi="Times New Roman"/>
          <w:szCs w:val="24"/>
          <w:lang w:val="bs-Latn-BA"/>
        </w:rPr>
        <w:t xml:space="preserve"> </w:t>
      </w:r>
      <w:r>
        <w:rPr>
          <w:rFonts w:ascii="Times New Roman" w:hAnsi="Times New Roman"/>
          <w:szCs w:val="24"/>
          <w:lang w:val="bs-Latn-BA"/>
        </w:rPr>
        <w:t>здравља</w:t>
      </w:r>
      <w:r w:rsidR="004C1ED3" w:rsidRPr="00295637">
        <w:rPr>
          <w:rFonts w:ascii="Times New Roman" w:hAnsi="Times New Roman"/>
          <w:szCs w:val="24"/>
          <w:lang w:val="bs-Latn-BA"/>
        </w:rPr>
        <w:t xml:space="preserve"> </w:t>
      </w:r>
      <w:r>
        <w:rPr>
          <w:rFonts w:ascii="Times New Roman" w:hAnsi="Times New Roman"/>
          <w:szCs w:val="24"/>
          <w:lang w:val="bs-Latn-BA"/>
        </w:rPr>
        <w:t>КС</w:t>
      </w:r>
      <w:r w:rsidR="004C1ED3" w:rsidRPr="00295637">
        <w:rPr>
          <w:rFonts w:ascii="Times New Roman" w:hAnsi="Times New Roman"/>
          <w:szCs w:val="24"/>
          <w:lang w:val="bs-Latn-BA"/>
        </w:rPr>
        <w:t xml:space="preserve">. </w:t>
      </w:r>
      <w:r>
        <w:rPr>
          <w:rFonts w:ascii="Times New Roman" w:hAnsi="Times New Roman"/>
          <w:szCs w:val="24"/>
          <w:lang w:val="bs-Latn-BA"/>
        </w:rPr>
        <w:t>Што</w:t>
      </w:r>
      <w:r w:rsidR="004C1ED3" w:rsidRPr="00295637">
        <w:rPr>
          <w:rFonts w:ascii="Times New Roman" w:hAnsi="Times New Roman"/>
          <w:szCs w:val="24"/>
          <w:lang w:val="bs-Latn-BA"/>
        </w:rPr>
        <w:t xml:space="preserve"> </w:t>
      </w:r>
      <w:r>
        <w:rPr>
          <w:rFonts w:ascii="Times New Roman" w:hAnsi="Times New Roman"/>
          <w:szCs w:val="24"/>
          <w:lang w:val="bs-Latn-BA"/>
        </w:rPr>
        <w:t>се</w:t>
      </w:r>
      <w:r w:rsidR="004C1ED3" w:rsidRPr="00295637">
        <w:rPr>
          <w:rFonts w:ascii="Times New Roman" w:hAnsi="Times New Roman"/>
          <w:szCs w:val="24"/>
          <w:lang w:val="bs-Latn-BA"/>
        </w:rPr>
        <w:t xml:space="preserve"> </w:t>
      </w:r>
      <w:r>
        <w:rPr>
          <w:rFonts w:ascii="Times New Roman" w:hAnsi="Times New Roman"/>
          <w:szCs w:val="24"/>
          <w:lang w:val="bs-Latn-BA"/>
        </w:rPr>
        <w:t>тиче</w:t>
      </w:r>
      <w:r w:rsidR="004C1ED3" w:rsidRPr="00295637">
        <w:rPr>
          <w:rFonts w:ascii="Times New Roman" w:hAnsi="Times New Roman"/>
          <w:szCs w:val="24"/>
          <w:lang w:val="bs-Latn-BA"/>
        </w:rPr>
        <w:t xml:space="preserve"> </w:t>
      </w:r>
      <w:r>
        <w:rPr>
          <w:rFonts w:ascii="Times New Roman" w:hAnsi="Times New Roman"/>
          <w:szCs w:val="24"/>
          <w:lang w:val="bs-Latn-BA"/>
        </w:rPr>
        <w:t>заштите</w:t>
      </w:r>
      <w:r w:rsidR="004C1ED3" w:rsidRPr="00295637">
        <w:rPr>
          <w:rFonts w:ascii="Times New Roman" w:hAnsi="Times New Roman"/>
          <w:szCs w:val="24"/>
          <w:lang w:val="bs-Latn-BA"/>
        </w:rPr>
        <w:t xml:space="preserve"> </w:t>
      </w:r>
      <w:r>
        <w:rPr>
          <w:rFonts w:ascii="Times New Roman" w:hAnsi="Times New Roman"/>
          <w:szCs w:val="24"/>
          <w:lang w:val="bs-Latn-BA"/>
        </w:rPr>
        <w:t>репродуктивног</w:t>
      </w:r>
      <w:r w:rsidR="004C1ED3" w:rsidRPr="00295637">
        <w:rPr>
          <w:rFonts w:ascii="Times New Roman" w:hAnsi="Times New Roman"/>
          <w:szCs w:val="24"/>
          <w:lang w:val="bs-Latn-BA"/>
        </w:rPr>
        <w:t xml:space="preserve"> </w:t>
      </w:r>
      <w:r>
        <w:rPr>
          <w:rFonts w:ascii="Times New Roman" w:hAnsi="Times New Roman"/>
          <w:szCs w:val="24"/>
          <w:lang w:val="bs-Latn-BA"/>
        </w:rPr>
        <w:t>здравља</w:t>
      </w:r>
      <w:r w:rsidR="004C1ED3" w:rsidRPr="00295637">
        <w:rPr>
          <w:rFonts w:ascii="Times New Roman" w:hAnsi="Times New Roman"/>
          <w:szCs w:val="24"/>
          <w:lang w:val="bs-Latn-BA"/>
        </w:rPr>
        <w:t xml:space="preserve"> </w:t>
      </w:r>
      <w:r>
        <w:rPr>
          <w:rFonts w:ascii="Times New Roman" w:hAnsi="Times New Roman"/>
          <w:szCs w:val="24"/>
          <w:lang w:val="bs-Latn-BA"/>
        </w:rPr>
        <w:t>жена</w:t>
      </w:r>
      <w:r w:rsidR="004C1ED3" w:rsidRPr="00295637">
        <w:rPr>
          <w:rFonts w:ascii="Times New Roman" w:hAnsi="Times New Roman"/>
          <w:szCs w:val="24"/>
          <w:lang w:val="bs-Latn-BA"/>
        </w:rPr>
        <w:t xml:space="preserve"> </w:t>
      </w:r>
      <w:r>
        <w:rPr>
          <w:rFonts w:ascii="Times New Roman" w:hAnsi="Times New Roman"/>
          <w:szCs w:val="24"/>
          <w:lang w:val="bs-Latn-BA"/>
        </w:rPr>
        <w:t>и</w:t>
      </w:r>
      <w:r w:rsidR="004C1ED3" w:rsidRPr="00295637">
        <w:rPr>
          <w:rFonts w:ascii="Times New Roman" w:hAnsi="Times New Roman"/>
          <w:szCs w:val="24"/>
          <w:lang w:val="bs-Latn-BA"/>
        </w:rPr>
        <w:t xml:space="preserve"> </w:t>
      </w:r>
      <w:r>
        <w:rPr>
          <w:rFonts w:ascii="Times New Roman" w:hAnsi="Times New Roman"/>
          <w:szCs w:val="24"/>
          <w:lang w:val="bs-Latn-BA"/>
        </w:rPr>
        <w:t>мушкараца</w:t>
      </w:r>
      <w:r w:rsidR="004C1ED3" w:rsidRPr="00295637">
        <w:rPr>
          <w:rFonts w:ascii="Times New Roman" w:hAnsi="Times New Roman"/>
          <w:szCs w:val="24"/>
          <w:lang w:val="bs-Latn-BA"/>
        </w:rPr>
        <w:t xml:space="preserve">, </w:t>
      </w:r>
      <w:r>
        <w:rPr>
          <w:rFonts w:ascii="Times New Roman" w:hAnsi="Times New Roman"/>
          <w:szCs w:val="24"/>
          <w:lang w:val="bs-Latn-BA"/>
        </w:rPr>
        <w:t>у</w:t>
      </w:r>
      <w:r w:rsidR="00900E15" w:rsidRPr="00295637">
        <w:rPr>
          <w:rFonts w:ascii="Times New Roman" w:hAnsi="Times New Roman"/>
          <w:szCs w:val="24"/>
          <w:lang w:val="bs-Latn-BA"/>
        </w:rPr>
        <w:t xml:space="preserve"> </w:t>
      </w:r>
      <w:r>
        <w:rPr>
          <w:rFonts w:ascii="Times New Roman" w:hAnsi="Times New Roman"/>
          <w:szCs w:val="24"/>
          <w:lang w:val="bs-Latn-BA"/>
        </w:rPr>
        <w:t>извјештајном</w:t>
      </w:r>
      <w:r w:rsidR="00900E15" w:rsidRPr="00295637">
        <w:rPr>
          <w:rFonts w:ascii="Times New Roman" w:hAnsi="Times New Roman"/>
          <w:szCs w:val="24"/>
          <w:lang w:val="bs-Latn-BA"/>
        </w:rPr>
        <w:t xml:space="preserve"> </w:t>
      </w:r>
      <w:r>
        <w:rPr>
          <w:rFonts w:ascii="Times New Roman" w:hAnsi="Times New Roman"/>
          <w:szCs w:val="24"/>
          <w:lang w:val="bs-Latn-BA"/>
        </w:rPr>
        <w:t>периоду</w:t>
      </w:r>
      <w:r w:rsidR="00900E15" w:rsidRPr="00295637">
        <w:rPr>
          <w:rFonts w:ascii="Times New Roman" w:hAnsi="Times New Roman"/>
          <w:szCs w:val="24"/>
          <w:lang w:val="bs-Latn-BA"/>
        </w:rPr>
        <w:t xml:space="preserve"> </w:t>
      </w:r>
      <w:r>
        <w:rPr>
          <w:rFonts w:ascii="Times New Roman" w:hAnsi="Times New Roman"/>
          <w:szCs w:val="24"/>
          <w:lang w:val="bs-Latn-BA"/>
        </w:rPr>
        <w:t>је</w:t>
      </w:r>
      <w:r w:rsidR="00900E15" w:rsidRPr="00295637">
        <w:rPr>
          <w:rFonts w:ascii="Times New Roman" w:hAnsi="Times New Roman"/>
          <w:szCs w:val="24"/>
          <w:lang w:val="bs-Latn-BA"/>
        </w:rPr>
        <w:t xml:space="preserve"> </w:t>
      </w:r>
      <w:r>
        <w:rPr>
          <w:rFonts w:ascii="Times New Roman" w:hAnsi="Times New Roman"/>
          <w:szCs w:val="24"/>
          <w:lang w:val="bs-Latn-BA"/>
        </w:rPr>
        <w:t>одржана</w:t>
      </w:r>
      <w:r w:rsidR="004C1ED3" w:rsidRPr="00295637">
        <w:rPr>
          <w:rFonts w:ascii="Times New Roman" w:hAnsi="Times New Roman"/>
          <w:szCs w:val="24"/>
          <w:lang w:val="bs-Latn-BA"/>
        </w:rPr>
        <w:t xml:space="preserve"> </w:t>
      </w:r>
      <w:r>
        <w:rPr>
          <w:rFonts w:ascii="Times New Roman" w:hAnsi="Times New Roman"/>
          <w:szCs w:val="24"/>
          <w:lang w:val="bs-Latn-BA"/>
        </w:rPr>
        <w:t>радионица</w:t>
      </w:r>
      <w:r w:rsidR="004C1ED3" w:rsidRPr="00295637">
        <w:rPr>
          <w:rFonts w:ascii="Times New Roman" w:hAnsi="Times New Roman"/>
          <w:szCs w:val="24"/>
          <w:lang w:val="bs-Latn-BA"/>
        </w:rPr>
        <w:t xml:space="preserve"> </w:t>
      </w:r>
      <w:r>
        <w:rPr>
          <w:rFonts w:ascii="Times New Roman" w:hAnsi="Times New Roman"/>
          <w:szCs w:val="24"/>
          <w:lang w:val="bs-Latn-BA"/>
        </w:rPr>
        <w:t>у</w:t>
      </w:r>
      <w:r w:rsidR="004C1ED3" w:rsidRPr="00295637">
        <w:rPr>
          <w:rFonts w:ascii="Times New Roman" w:hAnsi="Times New Roman"/>
          <w:szCs w:val="24"/>
          <w:lang w:val="bs-Latn-BA"/>
        </w:rPr>
        <w:t xml:space="preserve"> </w:t>
      </w:r>
      <w:r>
        <w:rPr>
          <w:rFonts w:ascii="Times New Roman" w:hAnsi="Times New Roman"/>
          <w:szCs w:val="24"/>
          <w:lang w:val="bs-Latn-BA"/>
        </w:rPr>
        <w:t>сарадњи</w:t>
      </w:r>
      <w:r w:rsidR="00505D95">
        <w:rPr>
          <w:rFonts w:ascii="Times New Roman" w:hAnsi="Times New Roman"/>
          <w:szCs w:val="24"/>
          <w:lang w:val="bs-Latn-BA"/>
        </w:rPr>
        <w:t xml:space="preserve"> </w:t>
      </w:r>
      <w:r>
        <w:rPr>
          <w:rFonts w:ascii="Times New Roman" w:hAnsi="Times New Roman"/>
          <w:szCs w:val="24"/>
          <w:lang w:val="bs-Latn-BA"/>
        </w:rPr>
        <w:t>са</w:t>
      </w:r>
      <w:r w:rsidR="004C1ED3" w:rsidRPr="00295637">
        <w:rPr>
          <w:rFonts w:ascii="Times New Roman" w:hAnsi="Times New Roman"/>
          <w:szCs w:val="24"/>
          <w:lang w:val="bs-Latn-BA"/>
        </w:rPr>
        <w:t xml:space="preserve"> </w:t>
      </w:r>
      <w:r>
        <w:rPr>
          <w:rFonts w:ascii="Times New Roman" w:hAnsi="Times New Roman"/>
          <w:szCs w:val="24"/>
          <w:lang w:val="bs-Latn-BA"/>
        </w:rPr>
        <w:t>Заводом</w:t>
      </w:r>
      <w:r w:rsidR="004C1ED3" w:rsidRPr="00295637">
        <w:rPr>
          <w:rFonts w:ascii="Times New Roman" w:hAnsi="Times New Roman"/>
          <w:szCs w:val="24"/>
          <w:lang w:val="bs-Latn-BA"/>
        </w:rPr>
        <w:t xml:space="preserve"> </w:t>
      </w:r>
      <w:r>
        <w:rPr>
          <w:rFonts w:ascii="Times New Roman" w:hAnsi="Times New Roman"/>
          <w:szCs w:val="24"/>
          <w:lang w:val="bs-Latn-BA"/>
        </w:rPr>
        <w:t>за</w:t>
      </w:r>
      <w:r w:rsidR="00900E15" w:rsidRPr="00295637">
        <w:rPr>
          <w:rFonts w:ascii="Times New Roman" w:hAnsi="Times New Roman"/>
          <w:szCs w:val="24"/>
          <w:lang w:val="bs-Latn-BA"/>
        </w:rPr>
        <w:t xml:space="preserve"> </w:t>
      </w:r>
      <w:r>
        <w:rPr>
          <w:rFonts w:ascii="Times New Roman" w:hAnsi="Times New Roman"/>
          <w:szCs w:val="24"/>
          <w:lang w:val="bs-Latn-BA"/>
        </w:rPr>
        <w:t>заштиту</w:t>
      </w:r>
      <w:r w:rsidR="00900E15" w:rsidRPr="00295637">
        <w:rPr>
          <w:rFonts w:ascii="Times New Roman" w:hAnsi="Times New Roman"/>
          <w:szCs w:val="24"/>
          <w:lang w:val="bs-Latn-BA"/>
        </w:rPr>
        <w:t xml:space="preserve"> </w:t>
      </w:r>
      <w:r>
        <w:rPr>
          <w:rFonts w:ascii="Times New Roman" w:hAnsi="Times New Roman"/>
          <w:szCs w:val="24"/>
          <w:lang w:val="bs-Latn-BA"/>
        </w:rPr>
        <w:t>материнства</w:t>
      </w:r>
      <w:r w:rsidR="00900E15" w:rsidRPr="00295637">
        <w:rPr>
          <w:rFonts w:ascii="Times New Roman" w:hAnsi="Times New Roman"/>
          <w:szCs w:val="24"/>
          <w:lang w:val="bs-Latn-BA"/>
        </w:rPr>
        <w:t xml:space="preserve"> </w:t>
      </w:r>
      <w:r>
        <w:rPr>
          <w:rFonts w:ascii="Times New Roman" w:hAnsi="Times New Roman"/>
          <w:szCs w:val="24"/>
          <w:lang w:val="bs-Latn-BA"/>
        </w:rPr>
        <w:t>КС</w:t>
      </w:r>
      <w:r w:rsidR="00900E15" w:rsidRPr="00295637">
        <w:rPr>
          <w:rFonts w:ascii="Times New Roman" w:hAnsi="Times New Roman"/>
          <w:szCs w:val="24"/>
          <w:lang w:val="bs-Latn-BA"/>
        </w:rPr>
        <w:t xml:space="preserve"> </w:t>
      </w:r>
      <w:r>
        <w:rPr>
          <w:rFonts w:ascii="Times New Roman" w:hAnsi="Times New Roman"/>
          <w:szCs w:val="24"/>
          <w:lang w:val="bs-Latn-BA"/>
        </w:rPr>
        <w:t>на</w:t>
      </w:r>
      <w:r w:rsidR="00900E15" w:rsidRPr="00295637">
        <w:rPr>
          <w:rFonts w:ascii="Times New Roman" w:hAnsi="Times New Roman"/>
          <w:szCs w:val="24"/>
          <w:lang w:val="bs-Latn-BA"/>
        </w:rPr>
        <w:t xml:space="preserve"> </w:t>
      </w:r>
      <w:r>
        <w:rPr>
          <w:rFonts w:ascii="Times New Roman" w:hAnsi="Times New Roman"/>
          <w:szCs w:val="24"/>
          <w:lang w:val="bs-Latn-BA"/>
        </w:rPr>
        <w:t>тему</w:t>
      </w:r>
      <w:r w:rsidR="00900E15" w:rsidRPr="00295637">
        <w:rPr>
          <w:rFonts w:ascii="Times New Roman" w:hAnsi="Times New Roman"/>
          <w:szCs w:val="24"/>
          <w:lang w:val="bs-Latn-BA"/>
        </w:rPr>
        <w:t xml:space="preserve"> „</w:t>
      </w:r>
      <w:r>
        <w:rPr>
          <w:rFonts w:ascii="Times New Roman" w:hAnsi="Times New Roman"/>
          <w:szCs w:val="24"/>
          <w:lang w:val="bs-Latn-BA"/>
        </w:rPr>
        <w:t>Заштита</w:t>
      </w:r>
      <w:r w:rsidR="00900E15" w:rsidRPr="00295637">
        <w:rPr>
          <w:rFonts w:ascii="Times New Roman" w:hAnsi="Times New Roman"/>
          <w:szCs w:val="24"/>
          <w:lang w:val="bs-Latn-BA"/>
        </w:rPr>
        <w:t xml:space="preserve"> </w:t>
      </w:r>
      <w:r>
        <w:rPr>
          <w:rFonts w:ascii="Times New Roman" w:hAnsi="Times New Roman"/>
          <w:szCs w:val="24"/>
          <w:lang w:val="bs-Latn-BA"/>
        </w:rPr>
        <w:t>репродуктивног</w:t>
      </w:r>
      <w:r w:rsidR="00900E15" w:rsidRPr="00295637">
        <w:rPr>
          <w:rFonts w:ascii="Times New Roman" w:hAnsi="Times New Roman"/>
          <w:szCs w:val="24"/>
          <w:lang w:val="bs-Latn-BA"/>
        </w:rPr>
        <w:t xml:space="preserve"> </w:t>
      </w:r>
      <w:r>
        <w:rPr>
          <w:rFonts w:ascii="Times New Roman" w:hAnsi="Times New Roman"/>
          <w:szCs w:val="24"/>
          <w:lang w:val="bs-Latn-BA"/>
        </w:rPr>
        <w:t>здравља</w:t>
      </w:r>
      <w:r w:rsidR="00900E15" w:rsidRPr="00295637">
        <w:rPr>
          <w:rFonts w:ascii="Times New Roman" w:hAnsi="Times New Roman"/>
          <w:szCs w:val="24"/>
          <w:lang w:val="bs-Latn-BA"/>
        </w:rPr>
        <w:t xml:space="preserve"> </w:t>
      </w:r>
      <w:r>
        <w:rPr>
          <w:rFonts w:ascii="Times New Roman" w:hAnsi="Times New Roman"/>
          <w:szCs w:val="24"/>
          <w:lang w:val="bs-Latn-BA"/>
        </w:rPr>
        <w:t>код</w:t>
      </w:r>
      <w:r w:rsidR="00900E15" w:rsidRPr="00295637">
        <w:rPr>
          <w:rFonts w:ascii="Times New Roman" w:hAnsi="Times New Roman"/>
          <w:szCs w:val="24"/>
          <w:lang w:val="bs-Latn-BA"/>
        </w:rPr>
        <w:t xml:space="preserve"> </w:t>
      </w:r>
      <w:r>
        <w:rPr>
          <w:rFonts w:ascii="Times New Roman" w:hAnsi="Times New Roman"/>
          <w:szCs w:val="24"/>
          <w:lang w:val="bs-Latn-BA"/>
        </w:rPr>
        <w:t>мушкараца</w:t>
      </w:r>
      <w:r w:rsidR="00900E15" w:rsidRPr="00295637">
        <w:rPr>
          <w:rFonts w:ascii="Times New Roman" w:hAnsi="Times New Roman"/>
          <w:szCs w:val="24"/>
          <w:lang w:val="bs-Latn-BA"/>
        </w:rPr>
        <w:t xml:space="preserve">“. </w:t>
      </w:r>
    </w:p>
    <w:p w:rsidR="008D56A8" w:rsidRPr="00295637" w:rsidRDefault="008D56A8" w:rsidP="0086268D">
      <w:pPr>
        <w:tabs>
          <w:tab w:val="left" w:pos="284"/>
          <w:tab w:val="left" w:pos="630"/>
          <w:tab w:val="left" w:pos="1080"/>
        </w:tabs>
        <w:jc w:val="both"/>
        <w:rPr>
          <w:rFonts w:ascii="Times New Roman" w:hAnsi="Times New Roman"/>
          <w:szCs w:val="24"/>
          <w:lang w:val="bs-Latn-BA"/>
        </w:rPr>
      </w:pPr>
    </w:p>
    <w:p w:rsidR="005E11AB"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У</w:t>
      </w:r>
      <w:r w:rsidR="00BA5F19">
        <w:rPr>
          <w:rFonts w:ascii="Times New Roman" w:hAnsi="Times New Roman"/>
          <w:szCs w:val="24"/>
          <w:lang w:val="bs-Latn-BA"/>
        </w:rPr>
        <w:t xml:space="preserve"> </w:t>
      </w:r>
      <w:r>
        <w:rPr>
          <w:rFonts w:ascii="Times New Roman" w:hAnsi="Times New Roman"/>
          <w:szCs w:val="24"/>
          <w:lang w:val="bs-Latn-BA"/>
        </w:rPr>
        <w:t>вези</w:t>
      </w:r>
      <w:r w:rsidR="00BA5F19">
        <w:rPr>
          <w:rFonts w:ascii="Times New Roman" w:hAnsi="Times New Roman"/>
          <w:szCs w:val="24"/>
          <w:lang w:val="bs-Latn-BA"/>
        </w:rPr>
        <w:t xml:space="preserve"> </w:t>
      </w:r>
      <w:r>
        <w:rPr>
          <w:rFonts w:ascii="Times New Roman" w:hAnsi="Times New Roman"/>
          <w:szCs w:val="24"/>
          <w:lang w:val="bs-Latn-BA"/>
        </w:rPr>
        <w:t>са</w:t>
      </w:r>
      <w:r w:rsidR="005E11AB" w:rsidRPr="00295637">
        <w:rPr>
          <w:rFonts w:ascii="Times New Roman" w:hAnsi="Times New Roman"/>
          <w:szCs w:val="24"/>
          <w:lang w:val="bs-Latn-BA"/>
        </w:rPr>
        <w:t xml:space="preserve"> </w:t>
      </w:r>
      <w:r>
        <w:rPr>
          <w:rFonts w:ascii="Times New Roman" w:hAnsi="Times New Roman"/>
          <w:szCs w:val="24"/>
          <w:lang w:val="bs-Latn-BA"/>
        </w:rPr>
        <w:t>приступом</w:t>
      </w:r>
      <w:r w:rsidR="005E11AB" w:rsidRPr="00295637">
        <w:rPr>
          <w:rFonts w:ascii="Times New Roman" w:hAnsi="Times New Roman"/>
          <w:szCs w:val="24"/>
          <w:lang w:val="bs-Latn-BA"/>
        </w:rPr>
        <w:t xml:space="preserve"> </w:t>
      </w:r>
      <w:r>
        <w:rPr>
          <w:rFonts w:ascii="Times New Roman" w:hAnsi="Times New Roman"/>
          <w:szCs w:val="24"/>
          <w:lang w:val="bs-Latn-BA"/>
        </w:rPr>
        <w:t>здравственој</w:t>
      </w:r>
      <w:r w:rsidR="005E11AB" w:rsidRPr="00295637">
        <w:rPr>
          <w:rFonts w:ascii="Times New Roman" w:hAnsi="Times New Roman"/>
          <w:szCs w:val="24"/>
          <w:lang w:val="bs-Latn-BA"/>
        </w:rPr>
        <w:t xml:space="preserve"> </w:t>
      </w:r>
      <w:r>
        <w:rPr>
          <w:rFonts w:ascii="Times New Roman" w:hAnsi="Times New Roman"/>
          <w:szCs w:val="24"/>
          <w:lang w:val="bs-Latn-BA"/>
        </w:rPr>
        <w:t>заштити</w:t>
      </w:r>
      <w:r w:rsidR="005E11AB" w:rsidRPr="00295637">
        <w:rPr>
          <w:rFonts w:ascii="Times New Roman" w:hAnsi="Times New Roman"/>
          <w:szCs w:val="24"/>
          <w:lang w:val="bs-Latn-BA"/>
        </w:rPr>
        <w:t xml:space="preserve"> </w:t>
      </w:r>
      <w:r>
        <w:rPr>
          <w:rFonts w:ascii="Times New Roman" w:hAnsi="Times New Roman"/>
          <w:szCs w:val="24"/>
          <w:lang w:val="bs-Latn-BA"/>
        </w:rPr>
        <w:t>за</w:t>
      </w:r>
      <w:r w:rsidR="005E11AB" w:rsidRPr="00295637">
        <w:rPr>
          <w:rFonts w:ascii="Times New Roman" w:hAnsi="Times New Roman"/>
          <w:szCs w:val="24"/>
          <w:lang w:val="bs-Latn-BA"/>
        </w:rPr>
        <w:t xml:space="preserve"> </w:t>
      </w:r>
      <w:r>
        <w:rPr>
          <w:rFonts w:ascii="Times New Roman" w:hAnsi="Times New Roman"/>
          <w:szCs w:val="24"/>
          <w:lang w:val="bs-Latn-BA"/>
        </w:rPr>
        <w:t>кориснике</w:t>
      </w:r>
      <w:r w:rsidR="005E11AB" w:rsidRPr="00295637">
        <w:rPr>
          <w:rFonts w:ascii="Times New Roman" w:hAnsi="Times New Roman"/>
          <w:szCs w:val="24"/>
          <w:lang w:val="bs-Latn-BA"/>
        </w:rPr>
        <w:t>/</w:t>
      </w:r>
      <w:r>
        <w:rPr>
          <w:rFonts w:ascii="Times New Roman" w:hAnsi="Times New Roman"/>
          <w:szCs w:val="24"/>
          <w:lang w:val="bs-Latn-BA"/>
        </w:rPr>
        <w:t>це</w:t>
      </w:r>
      <w:r w:rsidR="005E11AB" w:rsidRPr="00295637">
        <w:rPr>
          <w:rFonts w:ascii="Times New Roman" w:hAnsi="Times New Roman"/>
          <w:szCs w:val="24"/>
          <w:lang w:val="bs-Latn-BA"/>
        </w:rPr>
        <w:t xml:space="preserve"> </w:t>
      </w:r>
      <w:r>
        <w:rPr>
          <w:rFonts w:ascii="Times New Roman" w:hAnsi="Times New Roman"/>
          <w:szCs w:val="24"/>
          <w:lang w:val="bs-Latn-BA"/>
        </w:rPr>
        <w:t>привремених</w:t>
      </w:r>
      <w:r w:rsidR="005E11AB" w:rsidRPr="00295637">
        <w:rPr>
          <w:rFonts w:ascii="Times New Roman" w:hAnsi="Times New Roman"/>
          <w:szCs w:val="24"/>
          <w:lang w:val="bs-Latn-BA"/>
        </w:rPr>
        <w:t xml:space="preserve"> </w:t>
      </w:r>
      <w:r>
        <w:rPr>
          <w:rFonts w:ascii="Times New Roman" w:hAnsi="Times New Roman"/>
          <w:szCs w:val="24"/>
          <w:lang w:val="bs-Latn-BA"/>
        </w:rPr>
        <w:t>прихватних</w:t>
      </w:r>
      <w:r w:rsidR="005E11AB" w:rsidRPr="00295637">
        <w:rPr>
          <w:rFonts w:ascii="Times New Roman" w:hAnsi="Times New Roman"/>
          <w:szCs w:val="24"/>
          <w:lang w:val="bs-Latn-BA"/>
        </w:rPr>
        <w:t xml:space="preserve"> </w:t>
      </w:r>
      <w:r>
        <w:rPr>
          <w:rFonts w:ascii="Times New Roman" w:hAnsi="Times New Roman"/>
          <w:szCs w:val="24"/>
          <w:lang w:val="bs-Latn-BA"/>
        </w:rPr>
        <w:t>центара</w:t>
      </w:r>
      <w:r w:rsidR="005E11AB" w:rsidRPr="00295637">
        <w:rPr>
          <w:rFonts w:ascii="Times New Roman" w:hAnsi="Times New Roman"/>
          <w:szCs w:val="24"/>
          <w:lang w:val="bs-Latn-BA"/>
        </w:rPr>
        <w:t xml:space="preserve"> </w:t>
      </w:r>
      <w:r>
        <w:rPr>
          <w:rFonts w:ascii="Times New Roman" w:hAnsi="Times New Roman"/>
          <w:szCs w:val="24"/>
          <w:lang w:val="bs-Latn-BA"/>
        </w:rPr>
        <w:t>и</w:t>
      </w:r>
      <w:r w:rsidR="005E11AB" w:rsidRPr="00295637">
        <w:rPr>
          <w:rFonts w:ascii="Times New Roman" w:hAnsi="Times New Roman"/>
          <w:szCs w:val="24"/>
          <w:lang w:val="bs-Latn-BA"/>
        </w:rPr>
        <w:t xml:space="preserve"> </w:t>
      </w:r>
      <w:r>
        <w:rPr>
          <w:rFonts w:ascii="Times New Roman" w:hAnsi="Times New Roman"/>
          <w:szCs w:val="24"/>
          <w:lang w:val="bs-Latn-BA"/>
        </w:rPr>
        <w:t>лица</w:t>
      </w:r>
      <w:r w:rsidR="005E11AB" w:rsidRPr="00295637">
        <w:rPr>
          <w:rFonts w:ascii="Times New Roman" w:hAnsi="Times New Roman"/>
          <w:szCs w:val="24"/>
          <w:lang w:val="bs-Latn-BA"/>
        </w:rPr>
        <w:t xml:space="preserve"> </w:t>
      </w:r>
      <w:r>
        <w:rPr>
          <w:rFonts w:ascii="Times New Roman" w:hAnsi="Times New Roman"/>
          <w:szCs w:val="24"/>
          <w:lang w:val="bs-Latn-BA"/>
        </w:rPr>
        <w:t>у</w:t>
      </w:r>
      <w:r w:rsidR="005E11AB" w:rsidRPr="00295637">
        <w:rPr>
          <w:rFonts w:ascii="Times New Roman" w:hAnsi="Times New Roman"/>
          <w:szCs w:val="24"/>
          <w:lang w:val="bs-Latn-BA"/>
        </w:rPr>
        <w:t xml:space="preserve"> </w:t>
      </w:r>
      <w:r>
        <w:rPr>
          <w:rFonts w:ascii="Times New Roman" w:hAnsi="Times New Roman"/>
          <w:szCs w:val="24"/>
          <w:lang w:val="bs-Latn-BA"/>
        </w:rPr>
        <w:t>покрету</w:t>
      </w:r>
      <w:r w:rsidR="005E11AB" w:rsidRPr="00295637">
        <w:rPr>
          <w:rFonts w:ascii="Times New Roman" w:hAnsi="Times New Roman"/>
          <w:szCs w:val="24"/>
          <w:lang w:val="bs-Latn-BA"/>
        </w:rPr>
        <w:t xml:space="preserve">, </w:t>
      </w:r>
      <w:r>
        <w:rPr>
          <w:rFonts w:ascii="Times New Roman" w:hAnsi="Times New Roman"/>
          <w:szCs w:val="24"/>
          <w:lang w:val="bs-Latn-BA"/>
        </w:rPr>
        <w:t>за</w:t>
      </w:r>
      <w:r w:rsidR="005E11AB" w:rsidRPr="00295637">
        <w:rPr>
          <w:rFonts w:ascii="Times New Roman" w:hAnsi="Times New Roman"/>
          <w:szCs w:val="24"/>
          <w:lang w:val="bs-Latn-BA"/>
        </w:rPr>
        <w:t xml:space="preserve"> </w:t>
      </w:r>
      <w:r>
        <w:rPr>
          <w:rFonts w:ascii="Times New Roman" w:hAnsi="Times New Roman"/>
          <w:szCs w:val="24"/>
          <w:lang w:val="bs-Latn-BA"/>
        </w:rPr>
        <w:t>специфичне</w:t>
      </w:r>
      <w:r w:rsidR="005E11AB" w:rsidRPr="00295637">
        <w:rPr>
          <w:rFonts w:ascii="Times New Roman" w:hAnsi="Times New Roman"/>
          <w:szCs w:val="24"/>
          <w:lang w:val="bs-Latn-BA"/>
        </w:rPr>
        <w:t xml:space="preserve"> </w:t>
      </w:r>
      <w:r>
        <w:rPr>
          <w:rFonts w:ascii="Times New Roman" w:hAnsi="Times New Roman"/>
          <w:szCs w:val="24"/>
          <w:lang w:val="bs-Latn-BA"/>
        </w:rPr>
        <w:t>здравствене</w:t>
      </w:r>
      <w:r w:rsidR="005E11AB" w:rsidRPr="00295637">
        <w:rPr>
          <w:rFonts w:ascii="Times New Roman" w:hAnsi="Times New Roman"/>
          <w:szCs w:val="24"/>
          <w:lang w:val="bs-Latn-BA"/>
        </w:rPr>
        <w:t xml:space="preserve"> </w:t>
      </w:r>
      <w:r>
        <w:rPr>
          <w:rFonts w:ascii="Times New Roman" w:hAnsi="Times New Roman"/>
          <w:szCs w:val="24"/>
          <w:lang w:val="bs-Latn-BA"/>
        </w:rPr>
        <w:t>потребе</w:t>
      </w:r>
      <w:r w:rsidR="005E11AB" w:rsidRPr="00295637">
        <w:rPr>
          <w:rFonts w:ascii="Times New Roman" w:hAnsi="Times New Roman"/>
          <w:szCs w:val="24"/>
          <w:lang w:val="bs-Latn-BA"/>
        </w:rPr>
        <w:t xml:space="preserve">, </w:t>
      </w:r>
      <w:r>
        <w:rPr>
          <w:rFonts w:ascii="Times New Roman" w:hAnsi="Times New Roman"/>
          <w:szCs w:val="24"/>
          <w:lang w:val="bs-Latn-BA"/>
        </w:rPr>
        <w:t>партнер</w:t>
      </w:r>
      <w:r w:rsidR="005E11AB" w:rsidRPr="00295637">
        <w:rPr>
          <w:rFonts w:ascii="Times New Roman" w:hAnsi="Times New Roman"/>
          <w:szCs w:val="24"/>
          <w:lang w:val="bs-Latn-BA"/>
        </w:rPr>
        <w:t xml:space="preserve"> </w:t>
      </w:r>
      <w:r>
        <w:rPr>
          <w:rFonts w:ascii="Times New Roman" w:hAnsi="Times New Roman"/>
          <w:szCs w:val="24"/>
          <w:lang w:val="bs-Latn-BA"/>
        </w:rPr>
        <w:t>Службе</w:t>
      </w:r>
      <w:r w:rsidR="005E11AB" w:rsidRPr="00295637">
        <w:rPr>
          <w:rFonts w:ascii="Times New Roman" w:hAnsi="Times New Roman"/>
          <w:szCs w:val="24"/>
          <w:lang w:val="bs-Latn-BA"/>
        </w:rPr>
        <w:t xml:space="preserve"> </w:t>
      </w:r>
      <w:r>
        <w:rPr>
          <w:rFonts w:ascii="Times New Roman" w:hAnsi="Times New Roman"/>
          <w:szCs w:val="24"/>
          <w:lang w:val="bs-Latn-BA"/>
        </w:rPr>
        <w:t>за</w:t>
      </w:r>
      <w:r w:rsidR="005E11AB" w:rsidRPr="00295637">
        <w:rPr>
          <w:rFonts w:ascii="Times New Roman" w:hAnsi="Times New Roman"/>
          <w:szCs w:val="24"/>
          <w:lang w:val="bs-Latn-BA"/>
        </w:rPr>
        <w:t xml:space="preserve"> </w:t>
      </w:r>
      <w:r>
        <w:rPr>
          <w:rFonts w:ascii="Times New Roman" w:hAnsi="Times New Roman"/>
          <w:szCs w:val="24"/>
          <w:lang w:val="bs-Latn-BA"/>
        </w:rPr>
        <w:t>послове</w:t>
      </w:r>
      <w:r w:rsidR="005E11AB" w:rsidRPr="00295637">
        <w:rPr>
          <w:rFonts w:ascii="Times New Roman" w:hAnsi="Times New Roman"/>
          <w:szCs w:val="24"/>
          <w:lang w:val="bs-Latn-BA"/>
        </w:rPr>
        <w:t xml:space="preserve"> </w:t>
      </w:r>
      <w:r>
        <w:rPr>
          <w:rFonts w:ascii="Times New Roman" w:hAnsi="Times New Roman"/>
          <w:szCs w:val="24"/>
          <w:lang w:val="bs-Latn-BA"/>
        </w:rPr>
        <w:t>са</w:t>
      </w:r>
      <w:r w:rsidR="005E11AB" w:rsidRPr="00295637">
        <w:rPr>
          <w:rFonts w:ascii="Times New Roman" w:hAnsi="Times New Roman"/>
          <w:szCs w:val="24"/>
          <w:lang w:val="bs-Latn-BA"/>
        </w:rPr>
        <w:t xml:space="preserve"> </w:t>
      </w:r>
      <w:r>
        <w:rPr>
          <w:rFonts w:ascii="Times New Roman" w:hAnsi="Times New Roman"/>
          <w:szCs w:val="24"/>
          <w:lang w:val="bs-Latn-BA"/>
        </w:rPr>
        <w:t>странцима</w:t>
      </w:r>
      <w:r w:rsidR="005E11AB" w:rsidRPr="00295637">
        <w:rPr>
          <w:rFonts w:ascii="Times New Roman" w:hAnsi="Times New Roman"/>
          <w:szCs w:val="24"/>
          <w:lang w:val="bs-Latn-BA"/>
        </w:rPr>
        <w:t xml:space="preserve"> </w:t>
      </w:r>
      <w:r>
        <w:rPr>
          <w:rFonts w:ascii="Times New Roman" w:hAnsi="Times New Roman"/>
          <w:szCs w:val="24"/>
          <w:lang w:val="bs-Latn-BA"/>
        </w:rPr>
        <w:t>М</w:t>
      </w:r>
      <w:r w:rsidR="002E608B">
        <w:rPr>
          <w:rFonts w:ascii="Times New Roman" w:hAnsi="Times New Roman"/>
          <w:szCs w:val="24"/>
          <w:lang w:val="sr-Cyrl-BA"/>
        </w:rPr>
        <w:t>Б</w:t>
      </w:r>
      <w:r w:rsidR="00050016">
        <w:rPr>
          <w:rFonts w:ascii="Times New Roman" w:hAnsi="Times New Roman"/>
          <w:szCs w:val="24"/>
          <w:lang w:val="bs-Latn-BA"/>
        </w:rPr>
        <w:t xml:space="preserve"> </w:t>
      </w:r>
      <w:r>
        <w:rPr>
          <w:rFonts w:ascii="Times New Roman" w:hAnsi="Times New Roman"/>
          <w:szCs w:val="24"/>
          <w:lang w:val="bs-Latn-BA"/>
        </w:rPr>
        <w:t>БиХ</w:t>
      </w:r>
      <w:r w:rsidR="0069701B" w:rsidRPr="00295637">
        <w:rPr>
          <w:rFonts w:ascii="Times New Roman" w:hAnsi="Times New Roman"/>
          <w:szCs w:val="24"/>
          <w:lang w:val="bs-Latn-BA"/>
        </w:rPr>
        <w:t xml:space="preserve"> </w:t>
      </w:r>
      <w:r>
        <w:rPr>
          <w:rFonts w:ascii="Times New Roman" w:hAnsi="Times New Roman"/>
          <w:szCs w:val="24"/>
          <w:lang w:val="bs-Latn-BA"/>
        </w:rPr>
        <w:t>је</w:t>
      </w:r>
      <w:r w:rsidR="005E11AB" w:rsidRPr="00295637">
        <w:rPr>
          <w:rFonts w:ascii="Times New Roman" w:hAnsi="Times New Roman"/>
          <w:szCs w:val="24"/>
          <w:lang w:val="bs-Latn-BA"/>
        </w:rPr>
        <w:t xml:space="preserve"> </w:t>
      </w:r>
      <w:r>
        <w:rPr>
          <w:rFonts w:ascii="Times New Roman" w:hAnsi="Times New Roman"/>
          <w:szCs w:val="24"/>
          <w:lang w:val="bs-Latn-BA"/>
        </w:rPr>
        <w:t>Међународна</w:t>
      </w:r>
      <w:r w:rsidR="005E11AB" w:rsidRPr="00295637">
        <w:rPr>
          <w:rFonts w:ascii="Times New Roman" w:hAnsi="Times New Roman"/>
          <w:szCs w:val="24"/>
          <w:lang w:val="bs-Latn-BA"/>
        </w:rPr>
        <w:t xml:space="preserve"> </w:t>
      </w:r>
      <w:r>
        <w:rPr>
          <w:rFonts w:ascii="Times New Roman" w:hAnsi="Times New Roman"/>
          <w:szCs w:val="24"/>
          <w:lang w:val="bs-Latn-BA"/>
        </w:rPr>
        <w:t>организација</w:t>
      </w:r>
      <w:r w:rsidR="005E11AB" w:rsidRPr="00295637">
        <w:rPr>
          <w:rFonts w:ascii="Times New Roman" w:hAnsi="Times New Roman"/>
          <w:szCs w:val="24"/>
          <w:lang w:val="bs-Latn-BA"/>
        </w:rPr>
        <w:t xml:space="preserve"> </w:t>
      </w:r>
      <w:r>
        <w:rPr>
          <w:rFonts w:ascii="Times New Roman" w:hAnsi="Times New Roman"/>
          <w:szCs w:val="24"/>
          <w:lang w:val="bs-Latn-BA"/>
        </w:rPr>
        <w:t>за</w:t>
      </w:r>
      <w:r w:rsidR="00D41ABA" w:rsidRPr="00295637">
        <w:rPr>
          <w:rFonts w:ascii="Times New Roman" w:hAnsi="Times New Roman"/>
          <w:szCs w:val="24"/>
          <w:lang w:val="bs-Latn-BA"/>
        </w:rPr>
        <w:t xml:space="preserve"> </w:t>
      </w:r>
      <w:r>
        <w:rPr>
          <w:rFonts w:ascii="Times New Roman" w:hAnsi="Times New Roman"/>
          <w:szCs w:val="24"/>
          <w:lang w:val="bs-Latn-BA"/>
        </w:rPr>
        <w:t>миграције</w:t>
      </w:r>
      <w:r w:rsidR="005E11AB" w:rsidRPr="00295637">
        <w:rPr>
          <w:rFonts w:ascii="Times New Roman" w:hAnsi="Times New Roman"/>
          <w:szCs w:val="24"/>
          <w:lang w:val="bs-Latn-BA"/>
        </w:rPr>
        <w:t xml:space="preserve">, </w:t>
      </w:r>
      <w:r>
        <w:rPr>
          <w:rFonts w:ascii="Times New Roman" w:hAnsi="Times New Roman"/>
          <w:szCs w:val="24"/>
          <w:lang w:val="bs-Latn-BA"/>
        </w:rPr>
        <w:t>те</w:t>
      </w:r>
      <w:r w:rsidR="005E11AB" w:rsidRPr="00295637">
        <w:rPr>
          <w:rFonts w:ascii="Times New Roman" w:hAnsi="Times New Roman"/>
          <w:szCs w:val="24"/>
          <w:lang w:val="bs-Latn-BA"/>
        </w:rPr>
        <w:t xml:space="preserve"> </w:t>
      </w:r>
      <w:r>
        <w:rPr>
          <w:rFonts w:ascii="Times New Roman" w:hAnsi="Times New Roman"/>
          <w:szCs w:val="24"/>
          <w:lang w:val="bs-Latn-BA"/>
        </w:rPr>
        <w:t>сви</w:t>
      </w:r>
      <w:r w:rsidR="005E11AB" w:rsidRPr="00295637">
        <w:rPr>
          <w:rFonts w:ascii="Times New Roman" w:hAnsi="Times New Roman"/>
          <w:szCs w:val="24"/>
          <w:lang w:val="bs-Latn-BA"/>
        </w:rPr>
        <w:t xml:space="preserve"> </w:t>
      </w:r>
      <w:r>
        <w:rPr>
          <w:rFonts w:ascii="Times New Roman" w:hAnsi="Times New Roman"/>
          <w:szCs w:val="24"/>
          <w:lang w:val="bs-Latn-BA"/>
        </w:rPr>
        <w:t>корисници</w:t>
      </w:r>
      <w:r w:rsidR="005E11AB" w:rsidRPr="00295637">
        <w:rPr>
          <w:rFonts w:ascii="Times New Roman" w:hAnsi="Times New Roman"/>
          <w:szCs w:val="24"/>
          <w:lang w:val="bs-Latn-BA"/>
        </w:rPr>
        <w:t>/</w:t>
      </w:r>
      <w:r>
        <w:rPr>
          <w:rFonts w:ascii="Times New Roman" w:hAnsi="Times New Roman"/>
          <w:szCs w:val="24"/>
          <w:lang w:val="bs-Latn-BA"/>
        </w:rPr>
        <w:t>це</w:t>
      </w:r>
      <w:r w:rsidR="005E11AB" w:rsidRPr="00295637">
        <w:rPr>
          <w:rFonts w:ascii="Times New Roman" w:hAnsi="Times New Roman"/>
          <w:szCs w:val="24"/>
          <w:lang w:val="bs-Latn-BA"/>
        </w:rPr>
        <w:t xml:space="preserve"> </w:t>
      </w:r>
      <w:r>
        <w:rPr>
          <w:rFonts w:ascii="Times New Roman" w:hAnsi="Times New Roman"/>
          <w:szCs w:val="24"/>
          <w:lang w:val="bs-Latn-BA"/>
        </w:rPr>
        <w:t>привремених</w:t>
      </w:r>
      <w:r w:rsidR="005E11AB" w:rsidRPr="00295637">
        <w:rPr>
          <w:rFonts w:ascii="Times New Roman" w:hAnsi="Times New Roman"/>
          <w:szCs w:val="24"/>
          <w:lang w:val="bs-Latn-BA"/>
        </w:rPr>
        <w:t xml:space="preserve"> </w:t>
      </w:r>
      <w:r>
        <w:rPr>
          <w:rFonts w:ascii="Times New Roman" w:hAnsi="Times New Roman"/>
          <w:szCs w:val="24"/>
          <w:lang w:val="bs-Latn-BA"/>
        </w:rPr>
        <w:t>прихватних</w:t>
      </w:r>
      <w:r w:rsidR="005E11AB" w:rsidRPr="00295637">
        <w:rPr>
          <w:rFonts w:ascii="Times New Roman" w:hAnsi="Times New Roman"/>
          <w:szCs w:val="24"/>
          <w:lang w:val="bs-Latn-BA"/>
        </w:rPr>
        <w:t xml:space="preserve"> </w:t>
      </w:r>
      <w:r>
        <w:rPr>
          <w:rFonts w:ascii="Times New Roman" w:hAnsi="Times New Roman"/>
          <w:szCs w:val="24"/>
          <w:lang w:val="bs-Latn-BA"/>
        </w:rPr>
        <w:t>центара</w:t>
      </w:r>
      <w:r w:rsidR="005E11AB" w:rsidRPr="00295637">
        <w:rPr>
          <w:rFonts w:ascii="Times New Roman" w:hAnsi="Times New Roman"/>
          <w:szCs w:val="24"/>
          <w:lang w:val="bs-Latn-BA"/>
        </w:rPr>
        <w:t xml:space="preserve"> </w:t>
      </w:r>
      <w:r>
        <w:rPr>
          <w:rFonts w:ascii="Times New Roman" w:hAnsi="Times New Roman"/>
          <w:szCs w:val="24"/>
          <w:lang w:val="bs-Latn-BA"/>
        </w:rPr>
        <w:t>имају</w:t>
      </w:r>
      <w:r w:rsidR="005E11AB" w:rsidRPr="00295637">
        <w:rPr>
          <w:rFonts w:ascii="Times New Roman" w:hAnsi="Times New Roman"/>
          <w:szCs w:val="24"/>
          <w:lang w:val="bs-Latn-BA"/>
        </w:rPr>
        <w:t xml:space="preserve"> </w:t>
      </w:r>
      <w:r>
        <w:rPr>
          <w:rFonts w:ascii="Times New Roman" w:hAnsi="Times New Roman"/>
          <w:szCs w:val="24"/>
          <w:lang w:val="bs-Latn-BA"/>
        </w:rPr>
        <w:t>о</w:t>
      </w:r>
      <w:r w:rsidR="002E608B">
        <w:rPr>
          <w:rFonts w:ascii="Times New Roman" w:hAnsi="Times New Roman"/>
          <w:szCs w:val="24"/>
          <w:lang w:val="sr-Cyrl-BA"/>
        </w:rPr>
        <w:t>безбијеђен</w:t>
      </w:r>
      <w:r w:rsidR="005E11AB" w:rsidRPr="00295637">
        <w:rPr>
          <w:rFonts w:ascii="Times New Roman" w:hAnsi="Times New Roman"/>
          <w:szCs w:val="24"/>
          <w:lang w:val="bs-Latn-BA"/>
        </w:rPr>
        <w:t xml:space="preserve"> </w:t>
      </w:r>
      <w:r>
        <w:rPr>
          <w:rFonts w:ascii="Times New Roman" w:hAnsi="Times New Roman"/>
          <w:szCs w:val="24"/>
          <w:lang w:val="bs-Latn-BA"/>
        </w:rPr>
        <w:t>приступ</w:t>
      </w:r>
      <w:r w:rsidR="005E11AB" w:rsidRPr="00295637">
        <w:rPr>
          <w:rFonts w:ascii="Times New Roman" w:hAnsi="Times New Roman"/>
          <w:szCs w:val="24"/>
          <w:lang w:val="bs-Latn-BA"/>
        </w:rPr>
        <w:t xml:space="preserve"> </w:t>
      </w:r>
      <w:r>
        <w:rPr>
          <w:rFonts w:ascii="Times New Roman" w:hAnsi="Times New Roman"/>
          <w:szCs w:val="24"/>
          <w:lang w:val="bs-Latn-BA"/>
        </w:rPr>
        <w:t>здравственој</w:t>
      </w:r>
      <w:r w:rsidR="005E11AB" w:rsidRPr="00295637">
        <w:rPr>
          <w:rFonts w:ascii="Times New Roman" w:hAnsi="Times New Roman"/>
          <w:szCs w:val="24"/>
          <w:lang w:val="bs-Latn-BA"/>
        </w:rPr>
        <w:t xml:space="preserve"> </w:t>
      </w:r>
      <w:r>
        <w:rPr>
          <w:rFonts w:ascii="Times New Roman" w:hAnsi="Times New Roman"/>
          <w:szCs w:val="24"/>
          <w:lang w:val="bs-Latn-BA"/>
        </w:rPr>
        <w:t>заштити</w:t>
      </w:r>
      <w:r w:rsidR="005E11AB" w:rsidRPr="00295637">
        <w:rPr>
          <w:rFonts w:ascii="Times New Roman" w:hAnsi="Times New Roman"/>
          <w:szCs w:val="24"/>
          <w:lang w:val="bs-Latn-BA"/>
        </w:rPr>
        <w:t xml:space="preserve">. </w:t>
      </w:r>
    </w:p>
    <w:p w:rsidR="008D56A8" w:rsidRPr="00295637" w:rsidRDefault="008D56A8" w:rsidP="0086268D">
      <w:pPr>
        <w:tabs>
          <w:tab w:val="left" w:pos="284"/>
          <w:tab w:val="left" w:pos="630"/>
          <w:tab w:val="left" w:pos="1080"/>
        </w:tabs>
        <w:jc w:val="both"/>
        <w:rPr>
          <w:rFonts w:ascii="Times New Roman" w:hAnsi="Times New Roman"/>
          <w:szCs w:val="24"/>
          <w:lang w:val="bs-Latn-BA"/>
        </w:rPr>
      </w:pPr>
    </w:p>
    <w:p w:rsidR="006E755C" w:rsidRPr="00295637" w:rsidRDefault="00C6214E" w:rsidP="0086268D">
      <w:pPr>
        <w:pStyle w:val="NormalWeb"/>
        <w:spacing w:before="0" w:beforeAutospacing="0" w:after="0" w:afterAutospacing="0"/>
        <w:jc w:val="both"/>
        <w:rPr>
          <w:lang w:val="bs-Latn-BA"/>
        </w:rPr>
      </w:pPr>
      <w:r>
        <w:rPr>
          <w:lang w:val="bs-Latn-BA"/>
        </w:rPr>
        <w:t>ФМЗ</w:t>
      </w:r>
      <w:r w:rsidR="006E755C" w:rsidRPr="00295637">
        <w:rPr>
          <w:lang w:val="bs-Latn-BA"/>
        </w:rPr>
        <w:t xml:space="preserve"> </w:t>
      </w:r>
      <w:r>
        <w:rPr>
          <w:lang w:val="bs-Latn-BA"/>
        </w:rPr>
        <w:t>у</w:t>
      </w:r>
      <w:r w:rsidR="006E755C" w:rsidRPr="00295637">
        <w:rPr>
          <w:lang w:val="bs-Latn-BA"/>
        </w:rPr>
        <w:t xml:space="preserve"> </w:t>
      </w:r>
      <w:r>
        <w:rPr>
          <w:lang w:val="bs-Latn-BA"/>
        </w:rPr>
        <w:t>сарадњи</w:t>
      </w:r>
      <w:r w:rsidR="00505D95">
        <w:rPr>
          <w:lang w:val="bs-Latn-BA"/>
        </w:rPr>
        <w:t xml:space="preserve"> </w:t>
      </w:r>
      <w:r>
        <w:rPr>
          <w:lang w:val="bs-Latn-BA"/>
        </w:rPr>
        <w:t>са</w:t>
      </w:r>
      <w:r w:rsidR="006E755C" w:rsidRPr="00295637">
        <w:rPr>
          <w:lang w:val="bs-Latn-BA"/>
        </w:rPr>
        <w:t xml:space="preserve"> </w:t>
      </w:r>
      <w:r>
        <w:rPr>
          <w:lang w:val="bs-Latn-BA"/>
        </w:rPr>
        <w:t>овлаш</w:t>
      </w:r>
      <w:r w:rsidR="002E608B">
        <w:rPr>
          <w:lang w:val="sr-Cyrl-BA"/>
        </w:rPr>
        <w:t>ћ</w:t>
      </w:r>
      <w:r>
        <w:rPr>
          <w:lang w:val="bs-Latn-BA"/>
        </w:rPr>
        <w:t>еним</w:t>
      </w:r>
      <w:r w:rsidR="006E755C" w:rsidRPr="00295637">
        <w:rPr>
          <w:lang w:val="bs-Latn-BA"/>
        </w:rPr>
        <w:t xml:space="preserve"> </w:t>
      </w:r>
      <w:r>
        <w:rPr>
          <w:lang w:val="bs-Latn-BA"/>
        </w:rPr>
        <w:t>домовима</w:t>
      </w:r>
      <w:r w:rsidR="006E755C" w:rsidRPr="00295637">
        <w:rPr>
          <w:lang w:val="bs-Latn-BA"/>
        </w:rPr>
        <w:t xml:space="preserve"> </w:t>
      </w:r>
      <w:r>
        <w:rPr>
          <w:lang w:val="bs-Latn-BA"/>
        </w:rPr>
        <w:t>здравља</w:t>
      </w:r>
      <w:r w:rsidR="006E755C" w:rsidRPr="00295637">
        <w:rPr>
          <w:lang w:val="bs-Latn-BA"/>
        </w:rPr>
        <w:t xml:space="preserve"> </w:t>
      </w:r>
      <w:r>
        <w:rPr>
          <w:lang w:val="bs-Latn-BA"/>
        </w:rPr>
        <w:t>и</w:t>
      </w:r>
      <w:r w:rsidR="006E755C" w:rsidRPr="00295637">
        <w:rPr>
          <w:lang w:val="bs-Latn-BA"/>
        </w:rPr>
        <w:t xml:space="preserve"> </w:t>
      </w:r>
      <w:r>
        <w:rPr>
          <w:lang w:val="bs-Latn-BA"/>
        </w:rPr>
        <w:t>Фондацијом</w:t>
      </w:r>
      <w:r w:rsidR="006E755C" w:rsidRPr="00295637">
        <w:rPr>
          <w:lang w:val="bs-Latn-BA"/>
        </w:rPr>
        <w:t xml:space="preserve"> </w:t>
      </w:r>
      <w:r w:rsidR="0069701B" w:rsidRPr="00295637">
        <w:rPr>
          <w:lang w:val="bs-Latn-BA"/>
        </w:rPr>
        <w:t>„</w:t>
      </w:r>
      <w:r>
        <w:rPr>
          <w:lang w:val="bs-Latn-BA"/>
        </w:rPr>
        <w:t>Фами</w:t>
      </w:r>
      <w:r w:rsidR="0069701B" w:rsidRPr="00295637">
        <w:rPr>
          <w:lang w:val="bs-Latn-BA"/>
        </w:rPr>
        <w:t xml:space="preserve">“ </w:t>
      </w:r>
      <w:r w:rsidR="002E608B">
        <w:rPr>
          <w:lang w:val="sr-Cyrl-BA"/>
        </w:rPr>
        <w:t>спроводи</w:t>
      </w:r>
      <w:r w:rsidR="006E755C" w:rsidRPr="00295637">
        <w:rPr>
          <w:lang w:val="bs-Latn-BA"/>
        </w:rPr>
        <w:t xml:space="preserve"> </w:t>
      </w:r>
      <w:r>
        <w:rPr>
          <w:lang w:val="bs-Latn-BA"/>
        </w:rPr>
        <w:t>програме</w:t>
      </w:r>
      <w:r w:rsidR="006E755C" w:rsidRPr="00295637">
        <w:rPr>
          <w:lang w:val="bs-Latn-BA"/>
        </w:rPr>
        <w:t xml:space="preserve"> </w:t>
      </w:r>
      <w:r>
        <w:rPr>
          <w:lang w:val="bs-Latn-BA"/>
        </w:rPr>
        <w:t>едукације</w:t>
      </w:r>
      <w:r w:rsidR="006E755C" w:rsidRPr="00295637">
        <w:rPr>
          <w:rFonts w:ascii="Gill Sans MT" w:hAnsi="Gill Sans MT"/>
          <w:lang w:val="bs-Latn-BA"/>
        </w:rPr>
        <w:t xml:space="preserve"> </w:t>
      </w:r>
      <w:r>
        <w:rPr>
          <w:lang w:val="bs-Latn-BA"/>
        </w:rPr>
        <w:t>медицинских</w:t>
      </w:r>
      <w:r w:rsidR="006E755C" w:rsidRPr="00295637">
        <w:rPr>
          <w:lang w:val="bs-Latn-BA"/>
        </w:rPr>
        <w:t xml:space="preserve"> </w:t>
      </w:r>
      <w:r>
        <w:rPr>
          <w:lang w:val="bs-Latn-BA"/>
        </w:rPr>
        <w:t>сестара</w:t>
      </w:r>
      <w:r w:rsidR="006E755C" w:rsidRPr="00295637">
        <w:rPr>
          <w:lang w:val="bs-Latn-BA"/>
        </w:rPr>
        <w:t xml:space="preserve"> </w:t>
      </w:r>
      <w:r>
        <w:rPr>
          <w:lang w:val="bs-Latn-BA"/>
        </w:rPr>
        <w:t>за</w:t>
      </w:r>
      <w:r w:rsidR="006E755C" w:rsidRPr="00295637">
        <w:rPr>
          <w:lang w:val="bs-Latn-BA"/>
        </w:rPr>
        <w:t xml:space="preserve"> </w:t>
      </w:r>
      <w:r>
        <w:rPr>
          <w:lang w:val="bs-Latn-BA"/>
        </w:rPr>
        <w:t>рад</w:t>
      </w:r>
      <w:r w:rsidR="006E755C" w:rsidRPr="00295637">
        <w:rPr>
          <w:lang w:val="bs-Latn-BA"/>
        </w:rPr>
        <w:t xml:space="preserve"> </w:t>
      </w:r>
      <w:r>
        <w:rPr>
          <w:lang w:val="bs-Latn-BA"/>
        </w:rPr>
        <w:t>у</w:t>
      </w:r>
      <w:r w:rsidR="006E755C" w:rsidRPr="00295637">
        <w:rPr>
          <w:lang w:val="bs-Latn-BA"/>
        </w:rPr>
        <w:t xml:space="preserve"> </w:t>
      </w:r>
      <w:r>
        <w:rPr>
          <w:lang w:val="bs-Latn-BA"/>
        </w:rPr>
        <w:t>заједници</w:t>
      </w:r>
      <w:r w:rsidR="006E755C" w:rsidRPr="00295637">
        <w:rPr>
          <w:lang w:val="bs-Latn-BA"/>
        </w:rPr>
        <w:t xml:space="preserve">. </w:t>
      </w:r>
      <w:r>
        <w:rPr>
          <w:lang w:val="bs-Latn-BA"/>
        </w:rPr>
        <w:t>Ови</w:t>
      </w:r>
      <w:r w:rsidR="006E755C" w:rsidRPr="00295637">
        <w:rPr>
          <w:lang w:val="bs-Latn-BA"/>
        </w:rPr>
        <w:t xml:space="preserve"> </w:t>
      </w:r>
      <w:r>
        <w:rPr>
          <w:lang w:val="bs-Latn-BA"/>
        </w:rPr>
        <w:t>програми</w:t>
      </w:r>
      <w:r w:rsidR="006E755C" w:rsidRPr="00295637">
        <w:rPr>
          <w:lang w:val="bs-Latn-BA"/>
        </w:rPr>
        <w:t xml:space="preserve"> </w:t>
      </w:r>
      <w:r>
        <w:rPr>
          <w:lang w:val="bs-Latn-BA"/>
        </w:rPr>
        <w:t>обухватају</w:t>
      </w:r>
      <w:r w:rsidR="006E755C" w:rsidRPr="00295637">
        <w:rPr>
          <w:lang w:val="bs-Latn-BA"/>
        </w:rPr>
        <w:t xml:space="preserve"> </w:t>
      </w:r>
      <w:r>
        <w:rPr>
          <w:lang w:val="bs-Latn-BA"/>
        </w:rPr>
        <w:t>теме</w:t>
      </w:r>
      <w:r w:rsidR="006E755C" w:rsidRPr="00295637">
        <w:rPr>
          <w:lang w:val="bs-Latn-BA"/>
        </w:rPr>
        <w:t xml:space="preserve"> </w:t>
      </w:r>
      <w:r>
        <w:rPr>
          <w:lang w:val="bs-Latn-BA"/>
        </w:rPr>
        <w:t>из</w:t>
      </w:r>
      <w:r w:rsidR="006E755C" w:rsidRPr="00295637">
        <w:rPr>
          <w:lang w:val="bs-Latn-BA"/>
        </w:rPr>
        <w:t xml:space="preserve"> </w:t>
      </w:r>
      <w:r>
        <w:rPr>
          <w:lang w:val="bs-Latn-BA"/>
        </w:rPr>
        <w:t>здравствене</w:t>
      </w:r>
      <w:r w:rsidR="006E755C" w:rsidRPr="00295637">
        <w:rPr>
          <w:lang w:val="bs-Latn-BA"/>
        </w:rPr>
        <w:t xml:space="preserve"> </w:t>
      </w:r>
      <w:r>
        <w:rPr>
          <w:lang w:val="bs-Latn-BA"/>
        </w:rPr>
        <w:t>његе</w:t>
      </w:r>
      <w:r w:rsidR="006E755C" w:rsidRPr="00295637">
        <w:rPr>
          <w:lang w:val="bs-Latn-BA"/>
        </w:rPr>
        <w:t xml:space="preserve">, </w:t>
      </w:r>
      <w:r>
        <w:rPr>
          <w:lang w:val="bs-Latn-BA"/>
        </w:rPr>
        <w:t>са</w:t>
      </w:r>
      <w:r w:rsidR="006E755C" w:rsidRPr="00295637">
        <w:rPr>
          <w:lang w:val="bs-Latn-BA"/>
        </w:rPr>
        <w:t xml:space="preserve"> </w:t>
      </w:r>
      <w:r>
        <w:rPr>
          <w:lang w:val="bs-Latn-BA"/>
        </w:rPr>
        <w:t>посебним</w:t>
      </w:r>
      <w:r w:rsidR="006E755C" w:rsidRPr="00295637">
        <w:rPr>
          <w:lang w:val="bs-Latn-BA"/>
        </w:rPr>
        <w:t xml:space="preserve"> </w:t>
      </w:r>
      <w:r>
        <w:rPr>
          <w:lang w:val="bs-Latn-BA"/>
        </w:rPr>
        <w:t>нагласком</w:t>
      </w:r>
      <w:r w:rsidR="006E755C" w:rsidRPr="00295637">
        <w:rPr>
          <w:lang w:val="bs-Latn-BA"/>
        </w:rPr>
        <w:t xml:space="preserve"> </w:t>
      </w:r>
      <w:r>
        <w:rPr>
          <w:lang w:val="bs-Latn-BA"/>
        </w:rPr>
        <w:t>на</w:t>
      </w:r>
      <w:r w:rsidR="006E755C" w:rsidRPr="00295637">
        <w:rPr>
          <w:lang w:val="bs-Latn-BA"/>
        </w:rPr>
        <w:t xml:space="preserve"> </w:t>
      </w:r>
      <w:r>
        <w:rPr>
          <w:lang w:val="bs-Latn-BA"/>
        </w:rPr>
        <w:t>равноправност</w:t>
      </w:r>
      <w:r w:rsidR="006E755C" w:rsidRPr="00295637">
        <w:rPr>
          <w:lang w:val="bs-Latn-BA"/>
        </w:rPr>
        <w:t xml:space="preserve"> </w:t>
      </w:r>
      <w:r>
        <w:rPr>
          <w:lang w:val="bs-Latn-BA"/>
        </w:rPr>
        <w:t>полова</w:t>
      </w:r>
      <w:r w:rsidR="004760AB" w:rsidRPr="00295637">
        <w:rPr>
          <w:lang w:val="bs-Latn-BA"/>
        </w:rPr>
        <w:t xml:space="preserve"> </w:t>
      </w:r>
      <w:r>
        <w:rPr>
          <w:lang w:val="bs-Latn-BA"/>
        </w:rPr>
        <w:t>и</w:t>
      </w:r>
      <w:r w:rsidR="006E755C" w:rsidRPr="00295637">
        <w:rPr>
          <w:lang w:val="bs-Latn-BA"/>
        </w:rPr>
        <w:t xml:space="preserve"> </w:t>
      </w:r>
      <w:r>
        <w:rPr>
          <w:lang w:val="bs-Latn-BA"/>
        </w:rPr>
        <w:t>родно</w:t>
      </w:r>
      <w:r w:rsidR="006E755C" w:rsidRPr="00295637">
        <w:rPr>
          <w:lang w:val="bs-Latn-BA"/>
        </w:rPr>
        <w:t xml:space="preserve"> </w:t>
      </w:r>
      <w:r>
        <w:rPr>
          <w:lang w:val="bs-Latn-BA"/>
        </w:rPr>
        <w:t>засновано</w:t>
      </w:r>
      <w:r w:rsidR="006E755C" w:rsidRPr="00295637">
        <w:rPr>
          <w:lang w:val="bs-Latn-BA"/>
        </w:rPr>
        <w:t xml:space="preserve"> </w:t>
      </w:r>
      <w:r>
        <w:rPr>
          <w:lang w:val="bs-Latn-BA"/>
        </w:rPr>
        <w:t>насиље</w:t>
      </w:r>
      <w:r w:rsidR="006E755C" w:rsidRPr="00295637">
        <w:rPr>
          <w:lang w:val="bs-Latn-BA"/>
        </w:rPr>
        <w:t>.</w:t>
      </w:r>
      <w:r w:rsidR="004C50E8" w:rsidRPr="00295637">
        <w:rPr>
          <w:lang w:val="bs-Latn-BA"/>
        </w:rPr>
        <w:t xml:space="preserve"> </w:t>
      </w:r>
      <w:r>
        <w:rPr>
          <w:lang w:val="bs-Latn-BA"/>
        </w:rPr>
        <w:t>Програм</w:t>
      </w:r>
      <w:r w:rsidR="006E755C" w:rsidRPr="00295637">
        <w:rPr>
          <w:lang w:val="bs-Latn-BA"/>
        </w:rPr>
        <w:t xml:space="preserve"> </w:t>
      </w:r>
      <w:r>
        <w:rPr>
          <w:lang w:val="bs-Latn-BA"/>
        </w:rPr>
        <w:t>едукације</w:t>
      </w:r>
      <w:r w:rsidR="006E755C" w:rsidRPr="00295637">
        <w:rPr>
          <w:lang w:val="bs-Latn-BA"/>
        </w:rPr>
        <w:t xml:space="preserve"> </w:t>
      </w:r>
      <w:r>
        <w:rPr>
          <w:lang w:val="bs-Latn-BA"/>
        </w:rPr>
        <w:t>је</w:t>
      </w:r>
      <w:r w:rsidR="006E755C" w:rsidRPr="00295637">
        <w:rPr>
          <w:lang w:val="bs-Latn-BA"/>
        </w:rPr>
        <w:t xml:space="preserve"> </w:t>
      </w:r>
      <w:r>
        <w:rPr>
          <w:lang w:val="bs-Latn-BA"/>
        </w:rPr>
        <w:t>утврђен</w:t>
      </w:r>
      <w:r w:rsidR="006E755C" w:rsidRPr="00295637">
        <w:rPr>
          <w:lang w:val="bs-Latn-BA"/>
        </w:rPr>
        <w:t xml:space="preserve"> </w:t>
      </w:r>
      <w:r>
        <w:rPr>
          <w:lang w:val="bs-Latn-BA"/>
        </w:rPr>
        <w:t>Правилником</w:t>
      </w:r>
      <w:r w:rsidR="006E755C" w:rsidRPr="00295637">
        <w:rPr>
          <w:lang w:val="bs-Latn-BA"/>
        </w:rPr>
        <w:t xml:space="preserve"> </w:t>
      </w:r>
      <w:r>
        <w:rPr>
          <w:lang w:val="bs-Latn-BA"/>
        </w:rPr>
        <w:t>о</w:t>
      </w:r>
      <w:r w:rsidR="006E755C" w:rsidRPr="00295637">
        <w:rPr>
          <w:lang w:val="bs-Latn-BA"/>
        </w:rPr>
        <w:t xml:space="preserve"> </w:t>
      </w:r>
      <w:r>
        <w:rPr>
          <w:lang w:val="bs-Latn-BA"/>
        </w:rPr>
        <w:t>додатној</w:t>
      </w:r>
      <w:r w:rsidR="006E755C" w:rsidRPr="00295637">
        <w:rPr>
          <w:lang w:val="bs-Latn-BA"/>
        </w:rPr>
        <w:t xml:space="preserve"> </w:t>
      </w:r>
      <w:r>
        <w:rPr>
          <w:lang w:val="bs-Latn-BA"/>
        </w:rPr>
        <w:t>едукацији</w:t>
      </w:r>
      <w:r w:rsidR="006E755C" w:rsidRPr="00295637">
        <w:rPr>
          <w:lang w:val="bs-Latn-BA"/>
        </w:rPr>
        <w:t xml:space="preserve"> </w:t>
      </w:r>
      <w:r>
        <w:rPr>
          <w:lang w:val="bs-Latn-BA"/>
        </w:rPr>
        <w:t>из</w:t>
      </w:r>
      <w:r w:rsidR="006E755C" w:rsidRPr="00295637">
        <w:rPr>
          <w:lang w:val="bs-Latn-BA"/>
        </w:rPr>
        <w:t xml:space="preserve"> </w:t>
      </w:r>
      <w:r>
        <w:rPr>
          <w:lang w:val="bs-Latn-BA"/>
        </w:rPr>
        <w:t>здравствене</w:t>
      </w:r>
      <w:r w:rsidR="006E755C" w:rsidRPr="00295637">
        <w:rPr>
          <w:lang w:val="bs-Latn-BA"/>
        </w:rPr>
        <w:t xml:space="preserve"> </w:t>
      </w:r>
      <w:r>
        <w:rPr>
          <w:lang w:val="bs-Latn-BA"/>
        </w:rPr>
        <w:t>његе</w:t>
      </w:r>
      <w:r w:rsidR="006E755C" w:rsidRPr="00295637">
        <w:rPr>
          <w:lang w:val="bs-Latn-BA"/>
        </w:rPr>
        <w:t xml:space="preserve"> </w:t>
      </w:r>
      <w:r>
        <w:rPr>
          <w:lang w:val="bs-Latn-BA"/>
        </w:rPr>
        <w:t>у</w:t>
      </w:r>
      <w:r w:rsidR="006E755C" w:rsidRPr="00295637">
        <w:rPr>
          <w:lang w:val="bs-Latn-BA"/>
        </w:rPr>
        <w:t xml:space="preserve"> </w:t>
      </w:r>
      <w:r>
        <w:rPr>
          <w:lang w:val="bs-Latn-BA"/>
        </w:rPr>
        <w:t>заједници</w:t>
      </w:r>
      <w:r w:rsidR="006E755C" w:rsidRPr="00295637">
        <w:rPr>
          <w:lang w:val="bs-Latn-BA"/>
        </w:rPr>
        <w:t xml:space="preserve">. </w:t>
      </w:r>
      <w:r>
        <w:rPr>
          <w:lang w:val="bs-Latn-BA"/>
        </w:rPr>
        <w:t>У</w:t>
      </w:r>
      <w:r w:rsidR="006E755C" w:rsidRPr="00295637">
        <w:rPr>
          <w:lang w:val="bs-Latn-BA"/>
        </w:rPr>
        <w:t xml:space="preserve"> </w:t>
      </w:r>
      <w:r>
        <w:rPr>
          <w:lang w:val="bs-Latn-BA"/>
        </w:rPr>
        <w:t>оквиру</w:t>
      </w:r>
      <w:r w:rsidR="006E755C" w:rsidRPr="00295637">
        <w:rPr>
          <w:lang w:val="bs-Latn-BA"/>
        </w:rPr>
        <w:t xml:space="preserve"> </w:t>
      </w:r>
      <w:r>
        <w:rPr>
          <w:lang w:val="bs-Latn-BA"/>
        </w:rPr>
        <w:t>овог</w:t>
      </w:r>
      <w:r w:rsidR="006E755C" w:rsidRPr="00295637">
        <w:rPr>
          <w:lang w:val="bs-Latn-BA"/>
        </w:rPr>
        <w:t xml:space="preserve"> </w:t>
      </w:r>
      <w:r>
        <w:rPr>
          <w:lang w:val="bs-Latn-BA"/>
        </w:rPr>
        <w:t>програма</w:t>
      </w:r>
      <w:r w:rsidR="006E755C" w:rsidRPr="00295637">
        <w:rPr>
          <w:lang w:val="bs-Latn-BA"/>
        </w:rPr>
        <w:t xml:space="preserve"> </w:t>
      </w:r>
      <w:r>
        <w:rPr>
          <w:lang w:val="bs-Latn-BA"/>
        </w:rPr>
        <w:t>обрађују</w:t>
      </w:r>
      <w:r w:rsidR="006E755C" w:rsidRPr="00295637">
        <w:rPr>
          <w:lang w:val="bs-Latn-BA"/>
        </w:rPr>
        <w:t xml:space="preserve"> </w:t>
      </w:r>
      <w:r>
        <w:rPr>
          <w:lang w:val="bs-Latn-BA"/>
        </w:rPr>
        <w:t>и</w:t>
      </w:r>
      <w:r w:rsidR="004760AB" w:rsidRPr="00295637">
        <w:rPr>
          <w:lang w:val="bs-Latn-BA"/>
        </w:rPr>
        <w:t xml:space="preserve"> </w:t>
      </w:r>
      <w:r>
        <w:rPr>
          <w:lang w:val="bs-Latn-BA"/>
        </w:rPr>
        <w:t>теме</w:t>
      </w:r>
      <w:r w:rsidR="004760AB" w:rsidRPr="00295637">
        <w:rPr>
          <w:lang w:val="bs-Latn-BA"/>
        </w:rPr>
        <w:t xml:space="preserve"> </w:t>
      </w:r>
      <w:r>
        <w:rPr>
          <w:lang w:val="bs-Latn-BA"/>
        </w:rPr>
        <w:t>равноправност</w:t>
      </w:r>
      <w:r w:rsidR="004760AB" w:rsidRPr="00295637">
        <w:rPr>
          <w:lang w:val="bs-Latn-BA"/>
        </w:rPr>
        <w:t xml:space="preserve"> </w:t>
      </w:r>
      <w:r>
        <w:rPr>
          <w:lang w:val="bs-Latn-BA"/>
        </w:rPr>
        <w:t>полова</w:t>
      </w:r>
      <w:r w:rsidR="00D01DD2" w:rsidRPr="00295637">
        <w:rPr>
          <w:lang w:val="bs-Latn-BA"/>
        </w:rPr>
        <w:t xml:space="preserve">, </w:t>
      </w:r>
      <w:r>
        <w:rPr>
          <w:lang w:val="bs-Latn-BA"/>
        </w:rPr>
        <w:t>родно</w:t>
      </w:r>
      <w:r w:rsidR="00D01DD2" w:rsidRPr="00295637">
        <w:rPr>
          <w:lang w:val="bs-Latn-BA"/>
        </w:rPr>
        <w:t xml:space="preserve"> </w:t>
      </w:r>
      <w:r>
        <w:rPr>
          <w:lang w:val="bs-Latn-BA"/>
        </w:rPr>
        <w:t>засновано</w:t>
      </w:r>
      <w:r w:rsidR="00D01DD2" w:rsidRPr="00295637">
        <w:rPr>
          <w:lang w:val="bs-Latn-BA"/>
        </w:rPr>
        <w:t xml:space="preserve"> </w:t>
      </w:r>
      <w:r>
        <w:rPr>
          <w:lang w:val="bs-Latn-BA"/>
        </w:rPr>
        <w:t>насиље</w:t>
      </w:r>
      <w:r w:rsidR="00D01DD2" w:rsidRPr="00295637">
        <w:rPr>
          <w:lang w:val="bs-Latn-BA"/>
        </w:rPr>
        <w:t xml:space="preserve"> </w:t>
      </w:r>
      <w:r>
        <w:rPr>
          <w:lang w:val="bs-Latn-BA"/>
        </w:rPr>
        <w:t>и</w:t>
      </w:r>
      <w:r w:rsidR="00D01DD2" w:rsidRPr="00295637">
        <w:rPr>
          <w:lang w:val="bs-Latn-BA"/>
        </w:rPr>
        <w:t xml:space="preserve"> </w:t>
      </w:r>
      <w:r>
        <w:rPr>
          <w:lang w:val="bs-Latn-BA"/>
        </w:rPr>
        <w:t>стандардна</w:t>
      </w:r>
      <w:r w:rsidR="00D01DD2" w:rsidRPr="00295637">
        <w:rPr>
          <w:lang w:val="bs-Latn-BA"/>
        </w:rPr>
        <w:t xml:space="preserve"> </w:t>
      </w:r>
      <w:r>
        <w:rPr>
          <w:lang w:val="bs-Latn-BA"/>
        </w:rPr>
        <w:t>оперативна</w:t>
      </w:r>
      <w:r w:rsidR="00D01DD2" w:rsidRPr="00295637">
        <w:rPr>
          <w:lang w:val="bs-Latn-BA"/>
        </w:rPr>
        <w:t xml:space="preserve"> </w:t>
      </w:r>
      <w:r>
        <w:rPr>
          <w:lang w:val="bs-Latn-BA"/>
        </w:rPr>
        <w:t>процедура</w:t>
      </w:r>
      <w:r w:rsidR="00D01DD2" w:rsidRPr="00295637">
        <w:rPr>
          <w:lang w:val="bs-Latn-BA"/>
        </w:rPr>
        <w:t xml:space="preserve"> – </w:t>
      </w:r>
      <w:r>
        <w:rPr>
          <w:lang w:val="bs-Latn-BA"/>
        </w:rPr>
        <w:t>одговор</w:t>
      </w:r>
      <w:r w:rsidR="00D01DD2" w:rsidRPr="00295637">
        <w:rPr>
          <w:lang w:val="bs-Latn-BA"/>
        </w:rPr>
        <w:t xml:space="preserve"> </w:t>
      </w:r>
      <w:r>
        <w:rPr>
          <w:lang w:val="bs-Latn-BA"/>
        </w:rPr>
        <w:t>сестара</w:t>
      </w:r>
      <w:r w:rsidR="00D01DD2" w:rsidRPr="00295637">
        <w:rPr>
          <w:lang w:val="bs-Latn-BA"/>
        </w:rPr>
        <w:t xml:space="preserve"> </w:t>
      </w:r>
      <w:r>
        <w:rPr>
          <w:lang w:val="bs-Latn-BA"/>
        </w:rPr>
        <w:t>у</w:t>
      </w:r>
      <w:r w:rsidR="00D01DD2" w:rsidRPr="00295637">
        <w:rPr>
          <w:lang w:val="bs-Latn-BA"/>
        </w:rPr>
        <w:t xml:space="preserve"> </w:t>
      </w:r>
      <w:r>
        <w:rPr>
          <w:lang w:val="bs-Latn-BA"/>
        </w:rPr>
        <w:t>зај</w:t>
      </w:r>
      <w:r w:rsidR="00E765E1">
        <w:rPr>
          <w:lang w:val="bs-Cyrl-BA"/>
        </w:rPr>
        <w:t>е</w:t>
      </w:r>
      <w:r>
        <w:rPr>
          <w:lang w:val="bs-Latn-BA"/>
        </w:rPr>
        <w:t>дници</w:t>
      </w:r>
      <w:r w:rsidR="00D01DD2" w:rsidRPr="00295637">
        <w:rPr>
          <w:lang w:val="bs-Latn-BA"/>
        </w:rPr>
        <w:t xml:space="preserve"> </w:t>
      </w:r>
      <w:r>
        <w:rPr>
          <w:lang w:val="bs-Latn-BA"/>
        </w:rPr>
        <w:t>на</w:t>
      </w:r>
      <w:r w:rsidR="00D01DD2" w:rsidRPr="00295637">
        <w:rPr>
          <w:lang w:val="bs-Latn-BA"/>
        </w:rPr>
        <w:t xml:space="preserve"> </w:t>
      </w:r>
      <w:r>
        <w:rPr>
          <w:lang w:val="bs-Latn-BA"/>
        </w:rPr>
        <w:t>родно</w:t>
      </w:r>
      <w:r w:rsidR="00D01DD2" w:rsidRPr="00295637">
        <w:rPr>
          <w:lang w:val="bs-Latn-BA"/>
        </w:rPr>
        <w:t xml:space="preserve"> </w:t>
      </w:r>
      <w:r>
        <w:rPr>
          <w:lang w:val="bs-Latn-BA"/>
        </w:rPr>
        <w:t>засновано</w:t>
      </w:r>
      <w:r w:rsidR="00D01DD2" w:rsidRPr="00295637">
        <w:rPr>
          <w:lang w:val="bs-Latn-BA"/>
        </w:rPr>
        <w:t xml:space="preserve"> </w:t>
      </w:r>
      <w:r>
        <w:rPr>
          <w:lang w:val="bs-Latn-BA"/>
        </w:rPr>
        <w:t>насиље</w:t>
      </w:r>
      <w:r w:rsidR="00D01DD2" w:rsidRPr="00295637">
        <w:rPr>
          <w:lang w:val="bs-Latn-BA"/>
        </w:rPr>
        <w:t xml:space="preserve">. </w:t>
      </w:r>
      <w:bookmarkStart w:id="35" w:name="_Toc193788534"/>
      <w:r>
        <w:rPr>
          <w:lang w:val="bs-Latn-BA"/>
        </w:rPr>
        <w:t>Кроз</w:t>
      </w:r>
      <w:r w:rsidR="006E755C" w:rsidRPr="00295637">
        <w:rPr>
          <w:lang w:val="bs-Latn-BA"/>
        </w:rPr>
        <w:t xml:space="preserve"> </w:t>
      </w:r>
      <w:r>
        <w:rPr>
          <w:lang w:val="bs-Latn-BA"/>
        </w:rPr>
        <w:t>наведене</w:t>
      </w:r>
      <w:r w:rsidR="006E755C" w:rsidRPr="00295637">
        <w:rPr>
          <w:lang w:val="bs-Latn-BA"/>
        </w:rPr>
        <w:t xml:space="preserve"> </w:t>
      </w:r>
      <w:r>
        <w:rPr>
          <w:lang w:val="bs-Latn-BA"/>
        </w:rPr>
        <w:t>едукације</w:t>
      </w:r>
      <w:r w:rsidR="006E755C" w:rsidRPr="00295637">
        <w:rPr>
          <w:lang w:val="bs-Latn-BA"/>
        </w:rPr>
        <w:t xml:space="preserve"> </w:t>
      </w:r>
      <w:r>
        <w:rPr>
          <w:lang w:val="bs-Latn-BA"/>
        </w:rPr>
        <w:t>повећава</w:t>
      </w:r>
      <w:r w:rsidR="006E755C" w:rsidRPr="00295637">
        <w:rPr>
          <w:lang w:val="bs-Latn-BA"/>
        </w:rPr>
        <w:t xml:space="preserve"> </w:t>
      </w:r>
      <w:r>
        <w:rPr>
          <w:lang w:val="bs-Latn-BA"/>
        </w:rPr>
        <w:t>се</w:t>
      </w:r>
      <w:r w:rsidR="006E755C" w:rsidRPr="00295637">
        <w:rPr>
          <w:lang w:val="bs-Latn-BA"/>
        </w:rPr>
        <w:t xml:space="preserve"> </w:t>
      </w:r>
      <w:r>
        <w:rPr>
          <w:lang w:val="bs-Latn-BA"/>
        </w:rPr>
        <w:t>број</w:t>
      </w:r>
      <w:r w:rsidR="006E755C" w:rsidRPr="00295637">
        <w:rPr>
          <w:lang w:val="bs-Latn-BA"/>
        </w:rPr>
        <w:t xml:space="preserve"> </w:t>
      </w:r>
      <w:r>
        <w:rPr>
          <w:lang w:val="bs-Latn-BA"/>
        </w:rPr>
        <w:t>медицинских</w:t>
      </w:r>
      <w:r w:rsidR="006E755C" w:rsidRPr="00295637">
        <w:rPr>
          <w:lang w:val="bs-Latn-BA"/>
        </w:rPr>
        <w:t xml:space="preserve"> </w:t>
      </w:r>
      <w:r>
        <w:rPr>
          <w:lang w:val="bs-Latn-BA"/>
        </w:rPr>
        <w:t>сестара</w:t>
      </w:r>
      <w:r w:rsidR="006E755C" w:rsidRPr="00295637">
        <w:rPr>
          <w:lang w:val="bs-Latn-BA"/>
        </w:rPr>
        <w:t xml:space="preserve"> </w:t>
      </w:r>
      <w:r>
        <w:rPr>
          <w:lang w:val="bs-Latn-BA"/>
        </w:rPr>
        <w:t>које</w:t>
      </w:r>
      <w:r w:rsidR="006E755C" w:rsidRPr="00295637">
        <w:rPr>
          <w:lang w:val="bs-Latn-BA"/>
        </w:rPr>
        <w:t xml:space="preserve"> </w:t>
      </w:r>
      <w:r>
        <w:rPr>
          <w:lang w:val="bs-Latn-BA"/>
        </w:rPr>
        <w:t>су</w:t>
      </w:r>
      <w:r w:rsidR="006E755C" w:rsidRPr="00295637">
        <w:rPr>
          <w:lang w:val="bs-Latn-BA"/>
        </w:rPr>
        <w:t xml:space="preserve"> </w:t>
      </w:r>
      <w:r>
        <w:rPr>
          <w:lang w:val="bs-Latn-BA"/>
        </w:rPr>
        <w:t>сензибилиз</w:t>
      </w:r>
      <w:r w:rsidR="002E608B">
        <w:rPr>
          <w:lang w:val="sr-Cyrl-BA"/>
        </w:rPr>
        <w:t>оване</w:t>
      </w:r>
      <w:r w:rsidR="006E755C" w:rsidRPr="00295637">
        <w:rPr>
          <w:lang w:val="bs-Latn-BA"/>
        </w:rPr>
        <w:t xml:space="preserve"> </w:t>
      </w:r>
      <w:r>
        <w:rPr>
          <w:lang w:val="bs-Latn-BA"/>
        </w:rPr>
        <w:t>и</w:t>
      </w:r>
      <w:r w:rsidR="006E755C" w:rsidRPr="00295637">
        <w:rPr>
          <w:lang w:val="bs-Latn-BA"/>
        </w:rPr>
        <w:t xml:space="preserve"> </w:t>
      </w:r>
      <w:r>
        <w:rPr>
          <w:lang w:val="bs-Latn-BA"/>
        </w:rPr>
        <w:t>оспособљене</w:t>
      </w:r>
      <w:r w:rsidR="006E755C" w:rsidRPr="00295637">
        <w:rPr>
          <w:lang w:val="bs-Latn-BA"/>
        </w:rPr>
        <w:t xml:space="preserve"> </w:t>
      </w:r>
      <w:r>
        <w:rPr>
          <w:lang w:val="bs-Latn-BA"/>
        </w:rPr>
        <w:t>за</w:t>
      </w:r>
      <w:r w:rsidR="006E755C" w:rsidRPr="00295637">
        <w:rPr>
          <w:lang w:val="bs-Latn-BA"/>
        </w:rPr>
        <w:t xml:space="preserve"> </w:t>
      </w:r>
      <w:r>
        <w:rPr>
          <w:lang w:val="bs-Latn-BA"/>
        </w:rPr>
        <w:t>препознавање</w:t>
      </w:r>
      <w:r w:rsidR="006E755C" w:rsidRPr="00295637">
        <w:rPr>
          <w:lang w:val="bs-Latn-BA"/>
        </w:rPr>
        <w:t xml:space="preserve"> </w:t>
      </w:r>
      <w:r>
        <w:rPr>
          <w:lang w:val="bs-Latn-BA"/>
        </w:rPr>
        <w:t>родно</w:t>
      </w:r>
      <w:r w:rsidR="006E755C" w:rsidRPr="00295637">
        <w:rPr>
          <w:lang w:val="bs-Latn-BA"/>
        </w:rPr>
        <w:t xml:space="preserve"> </w:t>
      </w:r>
      <w:r>
        <w:rPr>
          <w:lang w:val="bs-Latn-BA"/>
        </w:rPr>
        <w:t>заснованог</w:t>
      </w:r>
      <w:r w:rsidR="006E755C" w:rsidRPr="00295637">
        <w:rPr>
          <w:lang w:val="bs-Latn-BA"/>
        </w:rPr>
        <w:t xml:space="preserve"> </w:t>
      </w:r>
      <w:r>
        <w:rPr>
          <w:lang w:val="bs-Latn-BA"/>
        </w:rPr>
        <w:t>насиља</w:t>
      </w:r>
      <w:r w:rsidR="006E755C" w:rsidRPr="00295637">
        <w:rPr>
          <w:lang w:val="bs-Latn-BA"/>
        </w:rPr>
        <w:t xml:space="preserve"> </w:t>
      </w:r>
      <w:r>
        <w:rPr>
          <w:lang w:val="bs-Latn-BA"/>
        </w:rPr>
        <w:t>у</w:t>
      </w:r>
      <w:r w:rsidR="006E755C" w:rsidRPr="00295637">
        <w:rPr>
          <w:lang w:val="bs-Latn-BA"/>
        </w:rPr>
        <w:t xml:space="preserve"> </w:t>
      </w:r>
      <w:r>
        <w:rPr>
          <w:lang w:val="bs-Latn-BA"/>
        </w:rPr>
        <w:t>свом</w:t>
      </w:r>
      <w:r w:rsidR="006E755C" w:rsidRPr="00295637">
        <w:rPr>
          <w:lang w:val="bs-Latn-BA"/>
        </w:rPr>
        <w:t xml:space="preserve"> </w:t>
      </w:r>
      <w:r>
        <w:rPr>
          <w:lang w:val="bs-Latn-BA"/>
        </w:rPr>
        <w:t>практичном</w:t>
      </w:r>
      <w:r w:rsidR="006E755C" w:rsidRPr="00295637">
        <w:rPr>
          <w:lang w:val="bs-Latn-BA"/>
        </w:rPr>
        <w:t xml:space="preserve"> </w:t>
      </w:r>
      <w:r>
        <w:rPr>
          <w:lang w:val="bs-Latn-BA"/>
        </w:rPr>
        <w:t>раду</w:t>
      </w:r>
      <w:r w:rsidR="006E755C" w:rsidRPr="00295637">
        <w:rPr>
          <w:lang w:val="bs-Latn-BA"/>
        </w:rPr>
        <w:t>.</w:t>
      </w:r>
      <w:bookmarkEnd w:id="35"/>
    </w:p>
    <w:p w:rsidR="008D56A8" w:rsidRPr="00295637" w:rsidRDefault="008D56A8" w:rsidP="0086268D">
      <w:pPr>
        <w:pStyle w:val="NormalWeb"/>
        <w:spacing w:before="0" w:beforeAutospacing="0" w:after="0" w:afterAutospacing="0"/>
        <w:jc w:val="both"/>
        <w:rPr>
          <w:lang w:val="bs-Latn-BA"/>
        </w:rPr>
      </w:pPr>
    </w:p>
    <w:p w:rsidR="00822AD8" w:rsidRPr="00295637" w:rsidRDefault="00C6214E" w:rsidP="0086268D">
      <w:pPr>
        <w:pStyle w:val="NormalWeb"/>
        <w:spacing w:before="0" w:beforeAutospacing="0" w:after="0" w:afterAutospacing="0"/>
        <w:jc w:val="both"/>
        <w:rPr>
          <w:lang w:val="bs-Latn-BA"/>
        </w:rPr>
      </w:pPr>
      <w:r>
        <w:rPr>
          <w:lang w:val="bs-Latn-BA"/>
        </w:rPr>
        <w:t>ФМЗ</w:t>
      </w:r>
      <w:r w:rsidR="00822AD8" w:rsidRPr="00295637">
        <w:rPr>
          <w:lang w:val="bs-Latn-BA"/>
        </w:rPr>
        <w:t xml:space="preserve"> </w:t>
      </w:r>
      <w:r>
        <w:rPr>
          <w:lang w:val="bs-Latn-BA"/>
        </w:rPr>
        <w:t>је</w:t>
      </w:r>
      <w:r w:rsidR="004760AB" w:rsidRPr="00295637">
        <w:rPr>
          <w:lang w:val="bs-Latn-BA"/>
        </w:rPr>
        <w:t xml:space="preserve"> </w:t>
      </w:r>
      <w:r>
        <w:rPr>
          <w:lang w:val="bs-Latn-BA"/>
        </w:rPr>
        <w:t>организ</w:t>
      </w:r>
      <w:r w:rsidR="002E608B">
        <w:rPr>
          <w:lang w:val="sr-Cyrl-BA"/>
        </w:rPr>
        <w:t>овало</w:t>
      </w:r>
      <w:r w:rsidR="00822AD8" w:rsidRPr="00295637">
        <w:rPr>
          <w:lang w:val="bs-Latn-BA"/>
        </w:rPr>
        <w:t xml:space="preserve"> </w:t>
      </w:r>
      <w:r>
        <w:rPr>
          <w:lang w:val="bs-Latn-BA"/>
        </w:rPr>
        <w:t>едукације</w:t>
      </w:r>
      <w:r w:rsidR="00822AD8" w:rsidRPr="00295637">
        <w:rPr>
          <w:lang w:val="bs-Latn-BA"/>
        </w:rPr>
        <w:t xml:space="preserve"> </w:t>
      </w:r>
      <w:r>
        <w:rPr>
          <w:lang w:val="bs-Latn-BA"/>
        </w:rPr>
        <w:t>на</w:t>
      </w:r>
      <w:r w:rsidR="004C50E8" w:rsidRPr="00295637">
        <w:rPr>
          <w:lang w:val="bs-Latn-BA"/>
        </w:rPr>
        <w:t xml:space="preserve"> </w:t>
      </w:r>
      <w:r>
        <w:rPr>
          <w:lang w:val="bs-Latn-BA"/>
        </w:rPr>
        <w:t>тему</w:t>
      </w:r>
      <w:r w:rsidR="00505D95">
        <w:rPr>
          <w:lang w:val="bs-Latn-BA"/>
        </w:rPr>
        <w:t xml:space="preserve"> „</w:t>
      </w:r>
      <w:r>
        <w:rPr>
          <w:lang w:val="bs-Latn-BA"/>
        </w:rPr>
        <w:t>Јачање</w:t>
      </w:r>
      <w:r w:rsidR="00822AD8" w:rsidRPr="00295637">
        <w:rPr>
          <w:lang w:val="bs-Latn-BA"/>
        </w:rPr>
        <w:t xml:space="preserve"> </w:t>
      </w:r>
      <w:r>
        <w:rPr>
          <w:lang w:val="bs-Latn-BA"/>
        </w:rPr>
        <w:t>одговора</w:t>
      </w:r>
      <w:r w:rsidR="00822AD8" w:rsidRPr="00295637">
        <w:rPr>
          <w:lang w:val="bs-Latn-BA"/>
        </w:rPr>
        <w:t xml:space="preserve"> </w:t>
      </w:r>
      <w:r>
        <w:rPr>
          <w:lang w:val="bs-Latn-BA"/>
        </w:rPr>
        <w:t>здравственог</w:t>
      </w:r>
      <w:r w:rsidR="00822AD8" w:rsidRPr="00295637">
        <w:rPr>
          <w:lang w:val="bs-Latn-BA"/>
        </w:rPr>
        <w:t xml:space="preserve"> </w:t>
      </w:r>
      <w:r>
        <w:rPr>
          <w:lang w:val="bs-Latn-BA"/>
        </w:rPr>
        <w:t>система</w:t>
      </w:r>
      <w:r w:rsidR="00822AD8" w:rsidRPr="00295637">
        <w:rPr>
          <w:lang w:val="bs-Latn-BA"/>
        </w:rPr>
        <w:t xml:space="preserve"> </w:t>
      </w:r>
      <w:r>
        <w:rPr>
          <w:lang w:val="bs-Latn-BA"/>
        </w:rPr>
        <w:t>на</w:t>
      </w:r>
      <w:r w:rsidR="00822AD8" w:rsidRPr="00295637">
        <w:rPr>
          <w:lang w:val="bs-Latn-BA"/>
        </w:rPr>
        <w:t xml:space="preserve"> </w:t>
      </w:r>
      <w:r>
        <w:rPr>
          <w:lang w:val="bs-Latn-BA"/>
        </w:rPr>
        <w:t>родно</w:t>
      </w:r>
      <w:r w:rsidR="00822AD8" w:rsidRPr="00295637">
        <w:rPr>
          <w:lang w:val="bs-Latn-BA"/>
        </w:rPr>
        <w:t xml:space="preserve"> </w:t>
      </w:r>
      <w:r>
        <w:rPr>
          <w:lang w:val="bs-Latn-BA"/>
        </w:rPr>
        <w:t>засновано</w:t>
      </w:r>
      <w:r w:rsidR="00BA5F19">
        <w:rPr>
          <w:lang w:val="bs-Latn-BA"/>
        </w:rPr>
        <w:t xml:space="preserve"> </w:t>
      </w:r>
      <w:r>
        <w:rPr>
          <w:lang w:val="bs-Latn-BA"/>
        </w:rPr>
        <w:t>насиље</w:t>
      </w:r>
      <w:r w:rsidR="00BA5F19">
        <w:rPr>
          <w:lang w:val="bs-Latn-BA"/>
        </w:rPr>
        <w:t xml:space="preserve"> </w:t>
      </w:r>
      <w:r>
        <w:rPr>
          <w:lang w:val="bs-Latn-BA"/>
        </w:rPr>
        <w:t>у</w:t>
      </w:r>
      <w:r w:rsidR="00BA5F19">
        <w:rPr>
          <w:lang w:val="bs-Latn-BA"/>
        </w:rPr>
        <w:t xml:space="preserve"> </w:t>
      </w:r>
      <w:r>
        <w:rPr>
          <w:lang w:val="bs-Latn-BA"/>
        </w:rPr>
        <w:t>ФБиХ</w:t>
      </w:r>
      <w:r w:rsidR="00505D95">
        <w:rPr>
          <w:lang w:val="bs-Latn-BA"/>
        </w:rPr>
        <w:t>“</w:t>
      </w:r>
      <w:r w:rsidR="00822AD8" w:rsidRPr="00295637">
        <w:rPr>
          <w:lang w:val="bs-Latn-BA"/>
        </w:rPr>
        <w:t xml:space="preserve">. </w:t>
      </w:r>
      <w:r>
        <w:rPr>
          <w:lang w:val="bs-Latn-BA"/>
        </w:rPr>
        <w:t>Ове</w:t>
      </w:r>
      <w:r w:rsidR="00822AD8" w:rsidRPr="00295637">
        <w:rPr>
          <w:lang w:val="bs-Latn-BA"/>
        </w:rPr>
        <w:t xml:space="preserve"> </w:t>
      </w:r>
      <w:r>
        <w:rPr>
          <w:lang w:val="bs-Latn-BA"/>
        </w:rPr>
        <w:t>едукације</w:t>
      </w:r>
      <w:r w:rsidR="00822AD8" w:rsidRPr="00295637">
        <w:rPr>
          <w:lang w:val="bs-Latn-BA"/>
        </w:rPr>
        <w:t xml:space="preserve"> </w:t>
      </w:r>
      <w:r>
        <w:rPr>
          <w:lang w:val="bs-Latn-BA"/>
        </w:rPr>
        <w:t>су</w:t>
      </w:r>
      <w:r w:rsidR="00822AD8" w:rsidRPr="00295637">
        <w:rPr>
          <w:lang w:val="bs-Latn-BA"/>
        </w:rPr>
        <w:t xml:space="preserve"> </w:t>
      </w:r>
      <w:r>
        <w:rPr>
          <w:lang w:val="bs-Latn-BA"/>
        </w:rPr>
        <w:t>реализ</w:t>
      </w:r>
      <w:r w:rsidR="002E608B">
        <w:rPr>
          <w:lang w:val="sr-Cyrl-BA"/>
        </w:rPr>
        <w:t>оване</w:t>
      </w:r>
      <w:r w:rsidR="00822AD8" w:rsidRPr="00295637">
        <w:rPr>
          <w:lang w:val="bs-Latn-BA"/>
        </w:rPr>
        <w:t xml:space="preserve"> </w:t>
      </w:r>
      <w:r>
        <w:rPr>
          <w:lang w:val="bs-Latn-BA"/>
        </w:rPr>
        <w:t>у</w:t>
      </w:r>
      <w:r w:rsidR="00822AD8" w:rsidRPr="00295637">
        <w:rPr>
          <w:lang w:val="bs-Latn-BA"/>
        </w:rPr>
        <w:t xml:space="preserve"> </w:t>
      </w:r>
      <w:r>
        <w:rPr>
          <w:lang w:val="bs-Latn-BA"/>
        </w:rPr>
        <w:t>Мостару</w:t>
      </w:r>
      <w:r w:rsidR="00822AD8" w:rsidRPr="00295637">
        <w:rPr>
          <w:lang w:val="bs-Latn-BA"/>
        </w:rPr>
        <w:t xml:space="preserve">, </w:t>
      </w:r>
      <w:r>
        <w:rPr>
          <w:lang w:val="bs-Latn-BA"/>
        </w:rPr>
        <w:t>Зеници</w:t>
      </w:r>
      <w:r w:rsidR="00822AD8" w:rsidRPr="00295637">
        <w:rPr>
          <w:lang w:val="bs-Latn-BA"/>
        </w:rPr>
        <w:t xml:space="preserve"> </w:t>
      </w:r>
      <w:r>
        <w:rPr>
          <w:lang w:val="bs-Latn-BA"/>
        </w:rPr>
        <w:t>и</w:t>
      </w:r>
      <w:r w:rsidR="00822AD8" w:rsidRPr="00295637">
        <w:rPr>
          <w:lang w:val="bs-Latn-BA"/>
        </w:rPr>
        <w:t xml:space="preserve"> </w:t>
      </w:r>
      <w:r>
        <w:rPr>
          <w:lang w:val="bs-Latn-BA"/>
        </w:rPr>
        <w:t>Тузли</w:t>
      </w:r>
      <w:r w:rsidR="00822AD8" w:rsidRPr="00295637">
        <w:rPr>
          <w:lang w:val="bs-Latn-BA"/>
        </w:rPr>
        <w:t xml:space="preserve"> </w:t>
      </w:r>
      <w:r>
        <w:rPr>
          <w:lang w:val="bs-Latn-BA"/>
        </w:rPr>
        <w:t>и</w:t>
      </w:r>
      <w:r w:rsidR="00822AD8" w:rsidRPr="00295637">
        <w:rPr>
          <w:lang w:val="bs-Latn-BA"/>
        </w:rPr>
        <w:t xml:space="preserve"> </w:t>
      </w:r>
      <w:r>
        <w:rPr>
          <w:lang w:val="bs-Latn-BA"/>
        </w:rPr>
        <w:t>обухватиле</w:t>
      </w:r>
      <w:r w:rsidR="00822AD8" w:rsidRPr="00295637">
        <w:rPr>
          <w:lang w:val="bs-Latn-BA"/>
        </w:rPr>
        <w:t xml:space="preserve"> </w:t>
      </w:r>
      <w:r>
        <w:rPr>
          <w:lang w:val="bs-Latn-BA"/>
        </w:rPr>
        <w:t>су</w:t>
      </w:r>
      <w:r w:rsidR="00822AD8" w:rsidRPr="00295637">
        <w:rPr>
          <w:lang w:val="bs-Latn-BA"/>
        </w:rPr>
        <w:t xml:space="preserve"> </w:t>
      </w:r>
      <w:r w:rsidR="00822AD8" w:rsidRPr="00295637">
        <w:rPr>
          <w:rStyle w:val="Strong"/>
          <w:b w:val="0"/>
          <w:lang w:val="bs-Latn-BA"/>
        </w:rPr>
        <w:t xml:space="preserve">27 </w:t>
      </w:r>
      <w:r>
        <w:rPr>
          <w:rStyle w:val="Strong"/>
          <w:b w:val="0"/>
          <w:lang w:val="bs-Latn-BA"/>
        </w:rPr>
        <w:t>домова</w:t>
      </w:r>
      <w:r w:rsidR="00822AD8" w:rsidRPr="00295637">
        <w:rPr>
          <w:rStyle w:val="Strong"/>
          <w:b w:val="0"/>
          <w:lang w:val="bs-Latn-BA"/>
        </w:rPr>
        <w:t xml:space="preserve"> </w:t>
      </w:r>
      <w:r>
        <w:rPr>
          <w:rStyle w:val="Strong"/>
          <w:b w:val="0"/>
          <w:lang w:val="bs-Latn-BA"/>
        </w:rPr>
        <w:t>здравља</w:t>
      </w:r>
      <w:r w:rsidR="00822AD8" w:rsidRPr="00505D95">
        <w:rPr>
          <w:lang w:val="bs-Latn-BA"/>
        </w:rPr>
        <w:t>.</w:t>
      </w:r>
      <w:r w:rsidR="00822AD8" w:rsidRPr="00295637">
        <w:rPr>
          <w:b/>
          <w:lang w:val="bs-Latn-BA"/>
        </w:rPr>
        <w:t xml:space="preserve"> </w:t>
      </w:r>
      <w:r>
        <w:rPr>
          <w:lang w:val="bs-Latn-BA"/>
        </w:rPr>
        <w:t>Учесници</w:t>
      </w:r>
      <w:r w:rsidR="00822AD8" w:rsidRPr="00295637">
        <w:rPr>
          <w:lang w:val="bs-Latn-BA"/>
        </w:rPr>
        <w:t xml:space="preserve"> </w:t>
      </w:r>
      <w:r>
        <w:rPr>
          <w:lang w:val="bs-Latn-BA"/>
        </w:rPr>
        <w:t>едукација</w:t>
      </w:r>
      <w:r w:rsidR="00822AD8" w:rsidRPr="00295637">
        <w:rPr>
          <w:lang w:val="bs-Latn-BA"/>
        </w:rPr>
        <w:t xml:space="preserve"> </w:t>
      </w:r>
      <w:r>
        <w:rPr>
          <w:lang w:val="bs-Latn-BA"/>
        </w:rPr>
        <w:t>су</w:t>
      </w:r>
      <w:r w:rsidR="00822AD8" w:rsidRPr="00295637">
        <w:rPr>
          <w:lang w:val="bs-Latn-BA"/>
        </w:rPr>
        <w:t xml:space="preserve"> </w:t>
      </w:r>
      <w:r>
        <w:rPr>
          <w:lang w:val="bs-Latn-BA"/>
        </w:rPr>
        <w:t>кључни</w:t>
      </w:r>
      <w:r w:rsidR="00822AD8" w:rsidRPr="00295637">
        <w:rPr>
          <w:lang w:val="bs-Latn-BA"/>
        </w:rPr>
        <w:t xml:space="preserve"> </w:t>
      </w:r>
      <w:r>
        <w:rPr>
          <w:lang w:val="bs-Latn-BA"/>
        </w:rPr>
        <w:t>стручни</w:t>
      </w:r>
      <w:r w:rsidR="00822AD8" w:rsidRPr="00295637">
        <w:rPr>
          <w:lang w:val="bs-Latn-BA"/>
        </w:rPr>
        <w:t xml:space="preserve"> </w:t>
      </w:r>
      <w:r>
        <w:rPr>
          <w:lang w:val="bs-Latn-BA"/>
        </w:rPr>
        <w:t>кадрови</w:t>
      </w:r>
      <w:r w:rsidR="00822AD8" w:rsidRPr="00295637">
        <w:rPr>
          <w:lang w:val="bs-Latn-BA"/>
        </w:rPr>
        <w:t xml:space="preserve"> </w:t>
      </w:r>
      <w:r>
        <w:rPr>
          <w:lang w:val="bs-Latn-BA"/>
        </w:rPr>
        <w:t>домова</w:t>
      </w:r>
      <w:r w:rsidR="00822AD8" w:rsidRPr="00295637">
        <w:rPr>
          <w:lang w:val="bs-Latn-BA"/>
        </w:rPr>
        <w:t xml:space="preserve"> </w:t>
      </w:r>
      <w:r>
        <w:rPr>
          <w:lang w:val="bs-Latn-BA"/>
        </w:rPr>
        <w:t>здравља</w:t>
      </w:r>
      <w:r w:rsidR="00822AD8" w:rsidRPr="00295637">
        <w:rPr>
          <w:lang w:val="bs-Latn-BA"/>
        </w:rPr>
        <w:t xml:space="preserve">: </w:t>
      </w:r>
      <w:r>
        <w:rPr>
          <w:lang w:val="bs-Latn-BA"/>
        </w:rPr>
        <w:t>доктори</w:t>
      </w:r>
      <w:r w:rsidR="00822AD8" w:rsidRPr="00295637">
        <w:rPr>
          <w:lang w:val="bs-Latn-BA"/>
        </w:rPr>
        <w:t xml:space="preserve"> </w:t>
      </w:r>
      <w:r>
        <w:rPr>
          <w:lang w:val="bs-Latn-BA"/>
        </w:rPr>
        <w:t>породичне</w:t>
      </w:r>
      <w:r w:rsidR="00822AD8" w:rsidRPr="00295637">
        <w:rPr>
          <w:lang w:val="bs-Latn-BA"/>
        </w:rPr>
        <w:t xml:space="preserve"> </w:t>
      </w:r>
      <w:r>
        <w:rPr>
          <w:lang w:val="bs-Latn-BA"/>
        </w:rPr>
        <w:t>медицине</w:t>
      </w:r>
      <w:r w:rsidR="00822AD8" w:rsidRPr="00295637">
        <w:rPr>
          <w:lang w:val="bs-Latn-BA"/>
        </w:rPr>
        <w:t xml:space="preserve">, </w:t>
      </w:r>
      <w:r>
        <w:rPr>
          <w:lang w:val="bs-Latn-BA"/>
        </w:rPr>
        <w:t>гинеколози</w:t>
      </w:r>
      <w:r w:rsidR="00822AD8" w:rsidRPr="00295637">
        <w:rPr>
          <w:lang w:val="bs-Latn-BA"/>
        </w:rPr>
        <w:t xml:space="preserve">, </w:t>
      </w:r>
      <w:r>
        <w:rPr>
          <w:lang w:val="bs-Latn-BA"/>
        </w:rPr>
        <w:t>психијатри</w:t>
      </w:r>
      <w:r w:rsidR="00822AD8" w:rsidRPr="00295637">
        <w:rPr>
          <w:lang w:val="bs-Latn-BA"/>
        </w:rPr>
        <w:t xml:space="preserve">, </w:t>
      </w:r>
      <w:r>
        <w:rPr>
          <w:lang w:val="bs-Latn-BA"/>
        </w:rPr>
        <w:t>медицинске</w:t>
      </w:r>
      <w:r w:rsidR="00822AD8" w:rsidRPr="00295637">
        <w:rPr>
          <w:lang w:val="bs-Latn-BA"/>
        </w:rPr>
        <w:t xml:space="preserve"> </w:t>
      </w:r>
      <w:r>
        <w:rPr>
          <w:lang w:val="bs-Latn-BA"/>
        </w:rPr>
        <w:t>сестре</w:t>
      </w:r>
      <w:r w:rsidR="00822AD8" w:rsidRPr="00295637">
        <w:rPr>
          <w:lang w:val="bs-Latn-BA"/>
        </w:rPr>
        <w:t xml:space="preserve">, </w:t>
      </w:r>
      <w:r>
        <w:rPr>
          <w:lang w:val="bs-Latn-BA"/>
        </w:rPr>
        <w:t>психолози</w:t>
      </w:r>
      <w:r w:rsidR="00822AD8" w:rsidRPr="00295637">
        <w:rPr>
          <w:lang w:val="bs-Latn-BA"/>
        </w:rPr>
        <w:t xml:space="preserve"> </w:t>
      </w:r>
      <w:r>
        <w:rPr>
          <w:lang w:val="bs-Latn-BA"/>
        </w:rPr>
        <w:t>и</w:t>
      </w:r>
      <w:r w:rsidR="00822AD8" w:rsidRPr="00295637">
        <w:rPr>
          <w:lang w:val="bs-Latn-BA"/>
        </w:rPr>
        <w:t xml:space="preserve"> </w:t>
      </w:r>
      <w:r>
        <w:rPr>
          <w:lang w:val="bs-Latn-BA"/>
        </w:rPr>
        <w:t>социјални</w:t>
      </w:r>
      <w:r w:rsidR="00822AD8" w:rsidRPr="00295637">
        <w:rPr>
          <w:lang w:val="bs-Latn-BA"/>
        </w:rPr>
        <w:t xml:space="preserve"> </w:t>
      </w:r>
      <w:r>
        <w:rPr>
          <w:lang w:val="bs-Latn-BA"/>
        </w:rPr>
        <w:t>радници</w:t>
      </w:r>
      <w:r w:rsidR="00822AD8" w:rsidRPr="00295637">
        <w:rPr>
          <w:lang w:val="bs-Latn-BA"/>
        </w:rPr>
        <w:t>.</w:t>
      </w:r>
      <w:r w:rsidR="004C50E8" w:rsidRPr="00295637">
        <w:rPr>
          <w:lang w:val="bs-Latn-BA"/>
        </w:rPr>
        <w:t xml:space="preserve"> </w:t>
      </w:r>
      <w:r>
        <w:rPr>
          <w:lang w:val="bs-Latn-BA"/>
        </w:rPr>
        <w:t>Посебни</w:t>
      </w:r>
      <w:r w:rsidR="00822AD8" w:rsidRPr="00295637">
        <w:rPr>
          <w:lang w:val="bs-Latn-BA"/>
        </w:rPr>
        <w:t xml:space="preserve"> </w:t>
      </w:r>
      <w:r>
        <w:rPr>
          <w:lang w:val="bs-Latn-BA"/>
        </w:rPr>
        <w:t>модули</w:t>
      </w:r>
      <w:r w:rsidR="00822AD8" w:rsidRPr="00295637">
        <w:rPr>
          <w:lang w:val="bs-Latn-BA"/>
        </w:rPr>
        <w:t xml:space="preserve"> </w:t>
      </w:r>
      <w:r>
        <w:rPr>
          <w:lang w:val="bs-Latn-BA"/>
        </w:rPr>
        <w:t>едукација</w:t>
      </w:r>
      <w:r w:rsidR="00822AD8" w:rsidRPr="00295637">
        <w:rPr>
          <w:lang w:val="bs-Latn-BA"/>
        </w:rPr>
        <w:t xml:space="preserve"> </w:t>
      </w:r>
      <w:r>
        <w:rPr>
          <w:lang w:val="bs-Latn-BA"/>
        </w:rPr>
        <w:t>обухватили</w:t>
      </w:r>
      <w:r w:rsidR="00822AD8" w:rsidRPr="00295637">
        <w:rPr>
          <w:lang w:val="bs-Latn-BA"/>
        </w:rPr>
        <w:t xml:space="preserve"> </w:t>
      </w:r>
      <w:r>
        <w:rPr>
          <w:lang w:val="bs-Latn-BA"/>
        </w:rPr>
        <w:t>су</w:t>
      </w:r>
      <w:r w:rsidR="00822AD8" w:rsidRPr="00295637">
        <w:rPr>
          <w:lang w:val="bs-Latn-BA"/>
        </w:rPr>
        <w:t>:</w:t>
      </w:r>
      <w:r w:rsidR="004C50E8" w:rsidRPr="00295637">
        <w:rPr>
          <w:lang w:val="bs-Latn-BA"/>
        </w:rPr>
        <w:t xml:space="preserve"> </w:t>
      </w:r>
      <w:r w:rsidR="0015241B" w:rsidRPr="00295637">
        <w:rPr>
          <w:lang w:val="bs-Latn-BA"/>
        </w:rPr>
        <w:t>„</w:t>
      </w:r>
      <w:r>
        <w:rPr>
          <w:rStyle w:val="Strong"/>
          <w:b w:val="0"/>
          <w:lang w:val="bs-Latn-BA"/>
        </w:rPr>
        <w:t>Психосоцијална</w:t>
      </w:r>
      <w:r w:rsidR="00822AD8" w:rsidRPr="00295637">
        <w:rPr>
          <w:rStyle w:val="Strong"/>
          <w:b w:val="0"/>
          <w:lang w:val="bs-Latn-BA"/>
        </w:rPr>
        <w:t xml:space="preserve"> </w:t>
      </w:r>
      <w:r>
        <w:rPr>
          <w:rStyle w:val="Strong"/>
          <w:b w:val="0"/>
          <w:lang w:val="bs-Latn-BA"/>
        </w:rPr>
        <w:t>подршка</w:t>
      </w:r>
      <w:r w:rsidR="00822AD8" w:rsidRPr="00295637">
        <w:rPr>
          <w:rStyle w:val="Strong"/>
          <w:b w:val="0"/>
          <w:lang w:val="bs-Latn-BA"/>
        </w:rPr>
        <w:t xml:space="preserve"> </w:t>
      </w:r>
      <w:r>
        <w:rPr>
          <w:rStyle w:val="Strong"/>
          <w:b w:val="0"/>
          <w:lang w:val="bs-Latn-BA"/>
        </w:rPr>
        <w:t>за</w:t>
      </w:r>
      <w:r w:rsidR="00822AD8" w:rsidRPr="00295637">
        <w:rPr>
          <w:rStyle w:val="Strong"/>
          <w:b w:val="0"/>
          <w:lang w:val="bs-Latn-BA"/>
        </w:rPr>
        <w:t xml:space="preserve"> </w:t>
      </w:r>
      <w:r>
        <w:rPr>
          <w:rStyle w:val="Strong"/>
          <w:b w:val="0"/>
          <w:lang w:val="bs-Latn-BA"/>
        </w:rPr>
        <w:t>дјецу</w:t>
      </w:r>
      <w:r w:rsidR="00822AD8" w:rsidRPr="00295637">
        <w:rPr>
          <w:rStyle w:val="Strong"/>
          <w:b w:val="0"/>
          <w:lang w:val="bs-Latn-BA"/>
        </w:rPr>
        <w:t xml:space="preserve"> </w:t>
      </w:r>
      <w:r>
        <w:rPr>
          <w:rStyle w:val="Strong"/>
          <w:b w:val="0"/>
          <w:lang w:val="bs-Latn-BA"/>
        </w:rPr>
        <w:t>свједоке</w:t>
      </w:r>
      <w:r w:rsidR="00822AD8" w:rsidRPr="00295637">
        <w:rPr>
          <w:rStyle w:val="Strong"/>
          <w:b w:val="0"/>
          <w:lang w:val="bs-Latn-BA"/>
        </w:rPr>
        <w:t xml:space="preserve"> </w:t>
      </w:r>
      <w:r>
        <w:rPr>
          <w:rStyle w:val="Strong"/>
          <w:b w:val="0"/>
          <w:lang w:val="bs-Latn-BA"/>
        </w:rPr>
        <w:t>и</w:t>
      </w:r>
      <w:r w:rsidR="00822AD8" w:rsidRPr="00295637">
        <w:rPr>
          <w:rStyle w:val="Strong"/>
          <w:b w:val="0"/>
          <w:lang w:val="bs-Latn-BA"/>
        </w:rPr>
        <w:t>/</w:t>
      </w:r>
      <w:r>
        <w:rPr>
          <w:rStyle w:val="Strong"/>
          <w:b w:val="0"/>
          <w:lang w:val="bs-Latn-BA"/>
        </w:rPr>
        <w:t>или</w:t>
      </w:r>
      <w:r w:rsidR="00822AD8" w:rsidRPr="00295637">
        <w:rPr>
          <w:rStyle w:val="Strong"/>
          <w:b w:val="0"/>
          <w:lang w:val="bs-Latn-BA"/>
        </w:rPr>
        <w:t xml:space="preserve"> </w:t>
      </w:r>
      <w:r>
        <w:rPr>
          <w:rStyle w:val="Strong"/>
          <w:b w:val="0"/>
          <w:lang w:val="bs-Latn-BA"/>
        </w:rPr>
        <w:t>жртве</w:t>
      </w:r>
      <w:r w:rsidR="00822AD8" w:rsidRPr="00295637">
        <w:rPr>
          <w:rStyle w:val="Strong"/>
          <w:b w:val="0"/>
          <w:lang w:val="bs-Latn-BA"/>
        </w:rPr>
        <w:t xml:space="preserve"> </w:t>
      </w:r>
      <w:r>
        <w:rPr>
          <w:rStyle w:val="Strong"/>
          <w:b w:val="0"/>
          <w:lang w:val="bs-Latn-BA"/>
        </w:rPr>
        <w:t>насиља</w:t>
      </w:r>
      <w:r w:rsidR="0015241B" w:rsidRPr="00295637">
        <w:rPr>
          <w:rStyle w:val="Strong"/>
          <w:b w:val="0"/>
          <w:lang w:val="bs-Latn-BA"/>
        </w:rPr>
        <w:t>“</w:t>
      </w:r>
      <w:r w:rsidR="004C50E8" w:rsidRPr="00295637">
        <w:rPr>
          <w:b/>
          <w:lang w:val="bs-Latn-BA"/>
        </w:rPr>
        <w:t xml:space="preserve"> </w:t>
      </w:r>
      <w:r>
        <w:rPr>
          <w:lang w:val="bs-Latn-BA"/>
        </w:rPr>
        <w:t>и</w:t>
      </w:r>
      <w:r w:rsidR="004C50E8" w:rsidRPr="00295637">
        <w:rPr>
          <w:b/>
          <w:lang w:val="bs-Latn-BA"/>
        </w:rPr>
        <w:t xml:space="preserve"> </w:t>
      </w:r>
      <w:r w:rsidR="004C50E8" w:rsidRPr="00505D95">
        <w:rPr>
          <w:lang w:val="bs-Latn-BA"/>
        </w:rPr>
        <w:t>„</w:t>
      </w:r>
      <w:r>
        <w:rPr>
          <w:rStyle w:val="Strong"/>
          <w:b w:val="0"/>
          <w:lang w:val="bs-Latn-BA"/>
        </w:rPr>
        <w:t>Препознавање</w:t>
      </w:r>
      <w:r w:rsidR="00505D95">
        <w:rPr>
          <w:rStyle w:val="Strong"/>
          <w:b w:val="0"/>
          <w:lang w:val="bs-Latn-BA"/>
        </w:rPr>
        <w:t xml:space="preserve"> </w:t>
      </w:r>
      <w:r>
        <w:rPr>
          <w:rStyle w:val="Strong"/>
          <w:b w:val="0"/>
          <w:lang w:val="bs-Latn-BA"/>
        </w:rPr>
        <w:t>и</w:t>
      </w:r>
      <w:r w:rsidR="00505D95">
        <w:rPr>
          <w:rStyle w:val="Strong"/>
          <w:b w:val="0"/>
          <w:lang w:val="bs-Latn-BA"/>
        </w:rPr>
        <w:t xml:space="preserve"> </w:t>
      </w:r>
      <w:r>
        <w:rPr>
          <w:rStyle w:val="Strong"/>
          <w:b w:val="0"/>
          <w:lang w:val="bs-Latn-BA"/>
        </w:rPr>
        <w:t>поступање</w:t>
      </w:r>
      <w:r w:rsidR="00505D95">
        <w:rPr>
          <w:rStyle w:val="Strong"/>
          <w:b w:val="0"/>
          <w:lang w:val="bs-Latn-BA"/>
        </w:rPr>
        <w:t xml:space="preserve"> </w:t>
      </w:r>
      <w:r>
        <w:rPr>
          <w:rStyle w:val="Strong"/>
          <w:b w:val="0"/>
          <w:lang w:val="bs-Latn-BA"/>
        </w:rPr>
        <w:t>са</w:t>
      </w:r>
      <w:r w:rsidR="00822AD8" w:rsidRPr="00295637">
        <w:rPr>
          <w:rStyle w:val="Strong"/>
          <w:b w:val="0"/>
          <w:lang w:val="bs-Latn-BA"/>
        </w:rPr>
        <w:t xml:space="preserve"> </w:t>
      </w:r>
      <w:r>
        <w:rPr>
          <w:rStyle w:val="Strong"/>
          <w:b w:val="0"/>
          <w:lang w:val="bs-Latn-BA"/>
        </w:rPr>
        <w:t>жртвама</w:t>
      </w:r>
      <w:r w:rsidR="00822AD8" w:rsidRPr="00295637">
        <w:rPr>
          <w:rStyle w:val="Strong"/>
          <w:b w:val="0"/>
          <w:lang w:val="bs-Latn-BA"/>
        </w:rPr>
        <w:t xml:space="preserve"> </w:t>
      </w:r>
      <w:r>
        <w:rPr>
          <w:rStyle w:val="Strong"/>
          <w:b w:val="0"/>
          <w:lang w:val="bs-Latn-BA"/>
        </w:rPr>
        <w:t>сексуалног</w:t>
      </w:r>
      <w:r w:rsidR="00822AD8" w:rsidRPr="00295637">
        <w:rPr>
          <w:rStyle w:val="Strong"/>
          <w:b w:val="0"/>
          <w:lang w:val="bs-Latn-BA"/>
        </w:rPr>
        <w:t xml:space="preserve"> </w:t>
      </w:r>
      <w:r>
        <w:rPr>
          <w:rStyle w:val="Strong"/>
          <w:b w:val="0"/>
          <w:lang w:val="bs-Latn-BA"/>
        </w:rPr>
        <w:t>насиља</w:t>
      </w:r>
      <w:r w:rsidR="00822AD8" w:rsidRPr="00295637">
        <w:rPr>
          <w:rStyle w:val="Strong"/>
          <w:b w:val="0"/>
          <w:lang w:val="bs-Latn-BA"/>
        </w:rPr>
        <w:t xml:space="preserve"> </w:t>
      </w:r>
      <w:r>
        <w:rPr>
          <w:rStyle w:val="Strong"/>
          <w:b w:val="0"/>
          <w:lang w:val="bs-Latn-BA"/>
        </w:rPr>
        <w:t>и</w:t>
      </w:r>
      <w:r w:rsidR="00822AD8" w:rsidRPr="00295637">
        <w:rPr>
          <w:rStyle w:val="Strong"/>
          <w:b w:val="0"/>
          <w:lang w:val="bs-Latn-BA"/>
        </w:rPr>
        <w:t xml:space="preserve"> </w:t>
      </w:r>
      <w:r>
        <w:rPr>
          <w:rStyle w:val="Strong"/>
          <w:b w:val="0"/>
          <w:lang w:val="bs-Latn-BA"/>
        </w:rPr>
        <w:t>тортуре</w:t>
      </w:r>
      <w:r w:rsidR="00822AD8" w:rsidRPr="00295637">
        <w:rPr>
          <w:rStyle w:val="Strong"/>
          <w:b w:val="0"/>
          <w:lang w:val="bs-Latn-BA"/>
        </w:rPr>
        <w:t xml:space="preserve"> </w:t>
      </w:r>
      <w:r>
        <w:rPr>
          <w:rStyle w:val="Strong"/>
          <w:b w:val="0"/>
          <w:lang w:val="bs-Latn-BA"/>
        </w:rPr>
        <w:t>у</w:t>
      </w:r>
      <w:r w:rsidR="00822AD8" w:rsidRPr="00295637">
        <w:rPr>
          <w:rStyle w:val="Strong"/>
          <w:b w:val="0"/>
          <w:lang w:val="bs-Latn-BA"/>
        </w:rPr>
        <w:t xml:space="preserve"> </w:t>
      </w:r>
      <w:r>
        <w:rPr>
          <w:rStyle w:val="Strong"/>
          <w:b w:val="0"/>
          <w:lang w:val="bs-Latn-BA"/>
        </w:rPr>
        <w:t>сукобима</w:t>
      </w:r>
      <w:r w:rsidR="004C50E8" w:rsidRPr="00295637">
        <w:rPr>
          <w:rStyle w:val="Strong"/>
          <w:b w:val="0"/>
          <w:lang w:val="bs-Latn-BA"/>
        </w:rPr>
        <w:t>“.</w:t>
      </w:r>
      <w:r w:rsidR="004C50E8" w:rsidRPr="00295637">
        <w:rPr>
          <w:lang w:val="bs-Latn-BA"/>
        </w:rPr>
        <w:t xml:space="preserve"> </w:t>
      </w:r>
      <w:r>
        <w:rPr>
          <w:lang w:val="bs-Latn-BA"/>
        </w:rPr>
        <w:t>Укупно</w:t>
      </w:r>
      <w:r w:rsidR="00822AD8" w:rsidRPr="00295637">
        <w:rPr>
          <w:lang w:val="bs-Latn-BA"/>
        </w:rPr>
        <w:t xml:space="preserve"> </w:t>
      </w:r>
      <w:r>
        <w:rPr>
          <w:lang w:val="bs-Latn-BA"/>
        </w:rPr>
        <w:t>је</w:t>
      </w:r>
      <w:r w:rsidR="00822AD8" w:rsidRPr="00295637">
        <w:rPr>
          <w:lang w:val="bs-Latn-BA"/>
        </w:rPr>
        <w:t xml:space="preserve"> </w:t>
      </w:r>
      <w:r>
        <w:rPr>
          <w:lang w:val="bs-Latn-BA"/>
        </w:rPr>
        <w:t>едукацију</w:t>
      </w:r>
      <w:r w:rsidR="00822AD8" w:rsidRPr="00295637">
        <w:rPr>
          <w:lang w:val="bs-Latn-BA"/>
        </w:rPr>
        <w:t xml:space="preserve"> </w:t>
      </w:r>
      <w:r>
        <w:rPr>
          <w:lang w:val="bs-Latn-BA"/>
        </w:rPr>
        <w:t>похађало</w:t>
      </w:r>
      <w:r w:rsidR="00822AD8" w:rsidRPr="00295637">
        <w:rPr>
          <w:lang w:val="bs-Latn-BA"/>
        </w:rPr>
        <w:t xml:space="preserve"> </w:t>
      </w:r>
      <w:r w:rsidR="00822AD8" w:rsidRPr="00295637">
        <w:rPr>
          <w:rStyle w:val="Strong"/>
          <w:b w:val="0"/>
          <w:lang w:val="bs-Latn-BA"/>
        </w:rPr>
        <w:t xml:space="preserve">87 </w:t>
      </w:r>
      <w:r>
        <w:rPr>
          <w:rStyle w:val="Strong"/>
          <w:b w:val="0"/>
          <w:lang w:val="bs-Latn-BA"/>
        </w:rPr>
        <w:t>учесника</w:t>
      </w:r>
      <w:r w:rsidR="00822AD8" w:rsidRPr="00295637">
        <w:rPr>
          <w:lang w:val="bs-Latn-BA"/>
        </w:rPr>
        <w:t xml:space="preserve"> (75 </w:t>
      </w:r>
      <w:r>
        <w:rPr>
          <w:lang w:val="bs-Latn-BA"/>
        </w:rPr>
        <w:t>жена</w:t>
      </w:r>
      <w:r w:rsidR="00822AD8" w:rsidRPr="00295637">
        <w:rPr>
          <w:lang w:val="bs-Latn-BA"/>
        </w:rPr>
        <w:t xml:space="preserve"> </w:t>
      </w:r>
      <w:r>
        <w:rPr>
          <w:lang w:val="bs-Latn-BA"/>
        </w:rPr>
        <w:t>и</w:t>
      </w:r>
      <w:r w:rsidR="00822AD8" w:rsidRPr="00295637">
        <w:rPr>
          <w:lang w:val="bs-Latn-BA"/>
        </w:rPr>
        <w:t xml:space="preserve"> 12 </w:t>
      </w:r>
      <w:r>
        <w:rPr>
          <w:lang w:val="bs-Latn-BA"/>
        </w:rPr>
        <w:t>мушкараца</w:t>
      </w:r>
      <w:r w:rsidR="00822AD8" w:rsidRPr="00295637">
        <w:rPr>
          <w:lang w:val="bs-Latn-BA"/>
        </w:rPr>
        <w:t>).</w:t>
      </w:r>
    </w:p>
    <w:p w:rsidR="00A60EA6" w:rsidRPr="00295637" w:rsidRDefault="00A60EA6" w:rsidP="0086268D">
      <w:pPr>
        <w:pStyle w:val="NormalWeb"/>
        <w:spacing w:before="0" w:beforeAutospacing="0" w:after="0" w:afterAutospacing="0"/>
        <w:jc w:val="both"/>
        <w:rPr>
          <w:lang w:val="bs-Latn-BA"/>
        </w:rPr>
      </w:pPr>
    </w:p>
    <w:p w:rsidR="00A60EA6" w:rsidRPr="00295637" w:rsidRDefault="00C6214E" w:rsidP="0086268D">
      <w:pPr>
        <w:pStyle w:val="ListParagraph"/>
        <w:ind w:left="0"/>
        <w:jc w:val="both"/>
        <w:rPr>
          <w:rFonts w:ascii="Times New Roman" w:hAnsi="Times New Roman"/>
          <w:lang w:val="sr-Cyrl-BA"/>
        </w:rPr>
      </w:pPr>
      <w:r>
        <w:rPr>
          <w:rFonts w:ascii="Times New Roman" w:hAnsi="Times New Roman"/>
          <w:lang w:val="sr-Cyrl-BA"/>
        </w:rPr>
        <w:t>Женама</w:t>
      </w:r>
      <w:r w:rsidR="00A60EA6" w:rsidRPr="00295637">
        <w:rPr>
          <w:rFonts w:ascii="Times New Roman" w:hAnsi="Times New Roman"/>
          <w:lang w:val="sr-Cyrl-BA"/>
        </w:rPr>
        <w:t xml:space="preserve"> </w:t>
      </w:r>
      <w:r>
        <w:rPr>
          <w:rFonts w:ascii="Times New Roman" w:hAnsi="Times New Roman"/>
          <w:lang w:val="sr-Cyrl-BA"/>
        </w:rPr>
        <w:t>и</w:t>
      </w:r>
      <w:r w:rsidR="00A60EA6" w:rsidRPr="00295637">
        <w:rPr>
          <w:rFonts w:ascii="Times New Roman" w:hAnsi="Times New Roman"/>
          <w:lang w:val="sr-Cyrl-BA"/>
        </w:rPr>
        <w:t xml:space="preserve"> </w:t>
      </w:r>
      <w:r>
        <w:rPr>
          <w:rFonts w:ascii="Times New Roman" w:hAnsi="Times New Roman"/>
          <w:lang w:val="sr-Cyrl-BA"/>
        </w:rPr>
        <w:t>мушкарцима</w:t>
      </w:r>
      <w:r w:rsidR="00A60EA6" w:rsidRPr="00295637">
        <w:rPr>
          <w:rFonts w:ascii="Times New Roman" w:hAnsi="Times New Roman"/>
          <w:lang w:val="sr-Cyrl-BA"/>
        </w:rPr>
        <w:t xml:space="preserve"> </w:t>
      </w:r>
      <w:r>
        <w:rPr>
          <w:rFonts w:ascii="Times New Roman" w:hAnsi="Times New Roman"/>
          <w:lang w:val="sr-Cyrl-BA"/>
        </w:rPr>
        <w:t>гарант</w:t>
      </w:r>
      <w:r w:rsidR="002E608B">
        <w:rPr>
          <w:rFonts w:ascii="Times New Roman" w:hAnsi="Times New Roman"/>
          <w:lang w:val="sr-Cyrl-BA"/>
        </w:rPr>
        <w:t>ују</w:t>
      </w:r>
      <w:r w:rsidR="00A60EA6" w:rsidRPr="00295637">
        <w:rPr>
          <w:rFonts w:ascii="Times New Roman" w:hAnsi="Times New Roman"/>
          <w:lang w:val="sr-Cyrl-BA"/>
        </w:rPr>
        <w:t xml:space="preserve"> </w:t>
      </w:r>
      <w:r>
        <w:rPr>
          <w:rFonts w:ascii="Times New Roman" w:hAnsi="Times New Roman"/>
          <w:lang w:val="sr-Cyrl-BA"/>
        </w:rPr>
        <w:t>се</w:t>
      </w:r>
      <w:r w:rsidR="00A60EA6" w:rsidRPr="00295637">
        <w:rPr>
          <w:rFonts w:ascii="Times New Roman" w:hAnsi="Times New Roman"/>
          <w:lang w:val="sr-Cyrl-BA"/>
        </w:rPr>
        <w:t xml:space="preserve"> </w:t>
      </w:r>
      <w:r>
        <w:rPr>
          <w:rFonts w:ascii="Times New Roman" w:hAnsi="Times New Roman"/>
          <w:lang w:val="sr-Cyrl-BA"/>
        </w:rPr>
        <w:t>једнака</w:t>
      </w:r>
      <w:r w:rsidR="00A60EA6" w:rsidRPr="00295637">
        <w:rPr>
          <w:rFonts w:ascii="Times New Roman" w:hAnsi="Times New Roman"/>
          <w:lang w:val="sr-Cyrl-BA"/>
        </w:rPr>
        <w:t xml:space="preserve"> </w:t>
      </w:r>
      <w:r>
        <w:rPr>
          <w:rFonts w:ascii="Times New Roman" w:hAnsi="Times New Roman"/>
          <w:lang w:val="sr-Cyrl-BA"/>
        </w:rPr>
        <w:t>права</w:t>
      </w:r>
      <w:r w:rsidR="00A60EA6" w:rsidRPr="00295637">
        <w:rPr>
          <w:rFonts w:ascii="Times New Roman" w:hAnsi="Times New Roman"/>
          <w:lang w:val="sr-Cyrl-BA"/>
        </w:rPr>
        <w:t xml:space="preserve"> </w:t>
      </w:r>
      <w:r>
        <w:rPr>
          <w:rFonts w:ascii="Times New Roman" w:hAnsi="Times New Roman"/>
          <w:lang w:val="sr-Cyrl-BA"/>
        </w:rPr>
        <w:t>у</w:t>
      </w:r>
      <w:r w:rsidR="00A60EA6" w:rsidRPr="00295637">
        <w:rPr>
          <w:rFonts w:ascii="Times New Roman" w:hAnsi="Times New Roman"/>
          <w:lang w:val="sr-Cyrl-BA"/>
        </w:rPr>
        <w:t xml:space="preserve"> </w:t>
      </w:r>
      <w:r>
        <w:rPr>
          <w:rFonts w:ascii="Times New Roman" w:hAnsi="Times New Roman"/>
          <w:lang w:val="hr-HR"/>
        </w:rPr>
        <w:t>области</w:t>
      </w:r>
      <w:r w:rsidR="00A60EA6" w:rsidRPr="00295637">
        <w:rPr>
          <w:rFonts w:ascii="Times New Roman" w:hAnsi="Times New Roman"/>
          <w:lang w:val="sr-Cyrl-BA"/>
        </w:rPr>
        <w:t xml:space="preserve"> </w:t>
      </w:r>
      <w:r>
        <w:rPr>
          <w:rFonts w:ascii="Times New Roman" w:hAnsi="Times New Roman"/>
          <w:lang w:val="sr-Cyrl-BA"/>
        </w:rPr>
        <w:t>здравствене</w:t>
      </w:r>
      <w:r w:rsidR="00A60EA6" w:rsidRPr="00295637">
        <w:rPr>
          <w:rFonts w:ascii="Times New Roman" w:hAnsi="Times New Roman"/>
          <w:lang w:val="sr-Cyrl-BA"/>
        </w:rPr>
        <w:t xml:space="preserve"> </w:t>
      </w:r>
      <w:r>
        <w:rPr>
          <w:rFonts w:ascii="Times New Roman" w:hAnsi="Times New Roman"/>
          <w:lang w:val="sr-Cyrl-BA"/>
        </w:rPr>
        <w:t>заштите</w:t>
      </w:r>
      <w:r w:rsidR="00A60EA6" w:rsidRPr="00295637">
        <w:rPr>
          <w:rFonts w:ascii="Times New Roman" w:hAnsi="Times New Roman"/>
          <w:lang w:val="sr-Cyrl-BA"/>
        </w:rPr>
        <w:t xml:space="preserve"> </w:t>
      </w:r>
      <w:r>
        <w:rPr>
          <w:rFonts w:ascii="Times New Roman" w:hAnsi="Times New Roman"/>
          <w:lang w:val="sr-Cyrl-BA"/>
        </w:rPr>
        <w:t>и</w:t>
      </w:r>
      <w:r w:rsidR="00A60EA6" w:rsidRPr="00295637">
        <w:rPr>
          <w:rFonts w:ascii="Times New Roman" w:hAnsi="Times New Roman"/>
          <w:lang w:val="sr-Cyrl-BA"/>
        </w:rPr>
        <w:t xml:space="preserve"> </w:t>
      </w:r>
      <w:r>
        <w:rPr>
          <w:rFonts w:ascii="Times New Roman" w:hAnsi="Times New Roman"/>
          <w:lang w:val="sr-Cyrl-BA"/>
        </w:rPr>
        <w:t>доступност</w:t>
      </w:r>
      <w:r w:rsidR="00A60EA6" w:rsidRPr="00295637">
        <w:rPr>
          <w:rFonts w:ascii="Times New Roman" w:hAnsi="Times New Roman"/>
          <w:lang w:val="sr-Cyrl-BA"/>
        </w:rPr>
        <w:t xml:space="preserve"> </w:t>
      </w:r>
      <w:r>
        <w:rPr>
          <w:rFonts w:ascii="Times New Roman" w:hAnsi="Times New Roman"/>
          <w:lang w:val="sr-Cyrl-BA"/>
        </w:rPr>
        <w:t>здравственим</w:t>
      </w:r>
      <w:r w:rsidR="00A60EA6" w:rsidRPr="00295637">
        <w:rPr>
          <w:rFonts w:ascii="Times New Roman" w:hAnsi="Times New Roman"/>
          <w:lang w:val="sr-Cyrl-BA"/>
        </w:rPr>
        <w:t xml:space="preserve"> </w:t>
      </w:r>
      <w:r>
        <w:rPr>
          <w:rFonts w:ascii="Times New Roman" w:hAnsi="Times New Roman"/>
          <w:lang w:val="sr-Cyrl-BA"/>
        </w:rPr>
        <w:t>услугама</w:t>
      </w:r>
      <w:r w:rsidR="00A60EA6" w:rsidRPr="00295637">
        <w:rPr>
          <w:rFonts w:ascii="Times New Roman" w:hAnsi="Times New Roman"/>
          <w:lang w:val="sr-Cyrl-BA"/>
        </w:rPr>
        <w:t xml:space="preserve"> </w:t>
      </w:r>
      <w:r>
        <w:rPr>
          <w:rFonts w:ascii="Times New Roman" w:hAnsi="Times New Roman"/>
          <w:lang w:val="sr-Cyrl-BA"/>
        </w:rPr>
        <w:t>које</w:t>
      </w:r>
      <w:r w:rsidR="00A60EA6" w:rsidRPr="00295637">
        <w:rPr>
          <w:rFonts w:ascii="Times New Roman" w:hAnsi="Times New Roman"/>
          <w:lang w:val="sr-Cyrl-BA"/>
        </w:rPr>
        <w:t xml:space="preserve"> </w:t>
      </w:r>
      <w:r>
        <w:rPr>
          <w:rFonts w:ascii="Times New Roman" w:hAnsi="Times New Roman"/>
          <w:lang w:val="sr-Cyrl-BA"/>
        </w:rPr>
        <w:t>се</w:t>
      </w:r>
      <w:r w:rsidR="00A60EA6" w:rsidRPr="00295637">
        <w:rPr>
          <w:rFonts w:ascii="Times New Roman" w:hAnsi="Times New Roman"/>
          <w:lang w:val="sr-Cyrl-BA"/>
        </w:rPr>
        <w:t xml:space="preserve"> </w:t>
      </w:r>
      <w:r>
        <w:rPr>
          <w:rFonts w:ascii="Times New Roman" w:hAnsi="Times New Roman"/>
          <w:lang w:val="sr-Cyrl-BA"/>
        </w:rPr>
        <w:t>односе</w:t>
      </w:r>
      <w:r w:rsidR="00A60EA6" w:rsidRPr="00295637">
        <w:rPr>
          <w:rFonts w:ascii="Times New Roman" w:hAnsi="Times New Roman"/>
          <w:lang w:val="sr-Cyrl-BA"/>
        </w:rPr>
        <w:t xml:space="preserve"> </w:t>
      </w:r>
      <w:r>
        <w:rPr>
          <w:rFonts w:ascii="Times New Roman" w:hAnsi="Times New Roman"/>
          <w:lang w:val="sr-Cyrl-BA"/>
        </w:rPr>
        <w:t>на</w:t>
      </w:r>
      <w:r w:rsidR="00A60EA6" w:rsidRPr="00295637">
        <w:rPr>
          <w:rFonts w:ascii="Times New Roman" w:hAnsi="Times New Roman"/>
          <w:lang w:val="sr-Cyrl-BA"/>
        </w:rPr>
        <w:t xml:space="preserve"> </w:t>
      </w:r>
      <w:r>
        <w:rPr>
          <w:rFonts w:ascii="Times New Roman" w:hAnsi="Times New Roman"/>
          <w:lang w:val="sr-Cyrl-BA"/>
        </w:rPr>
        <w:t>планирање</w:t>
      </w:r>
      <w:r w:rsidR="00A60EA6" w:rsidRPr="00295637">
        <w:rPr>
          <w:rFonts w:ascii="Times New Roman" w:hAnsi="Times New Roman"/>
          <w:lang w:val="sr-Cyrl-BA"/>
        </w:rPr>
        <w:t xml:space="preserve"> </w:t>
      </w:r>
      <w:r>
        <w:rPr>
          <w:rFonts w:ascii="Times New Roman" w:hAnsi="Times New Roman"/>
          <w:lang w:val="hr-HR"/>
        </w:rPr>
        <w:t>породице</w:t>
      </w:r>
      <w:r w:rsidR="00A60EA6" w:rsidRPr="00295637">
        <w:rPr>
          <w:rFonts w:ascii="Times New Roman" w:hAnsi="Times New Roman"/>
          <w:lang w:val="sr-Latn-BA"/>
        </w:rPr>
        <w:t xml:space="preserve"> </w:t>
      </w:r>
      <w:r>
        <w:rPr>
          <w:rFonts w:ascii="Times New Roman" w:hAnsi="Times New Roman"/>
          <w:lang w:val="sr-Latn-BA"/>
        </w:rPr>
        <w:t>у</w:t>
      </w:r>
      <w:r w:rsidR="00A60EA6" w:rsidRPr="00295637">
        <w:rPr>
          <w:rFonts w:ascii="Times New Roman" w:hAnsi="Times New Roman"/>
          <w:lang w:val="sr-Latn-BA"/>
        </w:rPr>
        <w:t xml:space="preserve"> </w:t>
      </w:r>
      <w:r>
        <w:rPr>
          <w:rFonts w:ascii="Times New Roman" w:hAnsi="Times New Roman"/>
          <w:lang w:val="sr-Latn-BA"/>
        </w:rPr>
        <w:t>Републици</w:t>
      </w:r>
      <w:r w:rsidR="00A60EA6" w:rsidRPr="00295637">
        <w:rPr>
          <w:rFonts w:ascii="Times New Roman" w:hAnsi="Times New Roman"/>
          <w:lang w:val="sr-Latn-BA"/>
        </w:rPr>
        <w:t xml:space="preserve"> </w:t>
      </w:r>
      <w:r>
        <w:rPr>
          <w:rFonts w:ascii="Times New Roman" w:hAnsi="Times New Roman"/>
          <w:lang w:val="sr-Latn-BA"/>
        </w:rPr>
        <w:t>Српској</w:t>
      </w:r>
      <w:r w:rsidR="00A60EA6" w:rsidRPr="00295637">
        <w:rPr>
          <w:rFonts w:ascii="Times New Roman" w:hAnsi="Times New Roman"/>
          <w:lang w:val="sr-Cyrl-BA"/>
        </w:rPr>
        <w:t xml:space="preserve">. </w:t>
      </w:r>
      <w:r>
        <w:rPr>
          <w:rFonts w:ascii="Times New Roman" w:hAnsi="Times New Roman"/>
          <w:lang w:val="sr-Cyrl-BA"/>
        </w:rPr>
        <w:t>Женама</w:t>
      </w:r>
      <w:r w:rsidR="00A60EA6" w:rsidRPr="00295637">
        <w:rPr>
          <w:rFonts w:ascii="Times New Roman" w:hAnsi="Times New Roman"/>
          <w:lang w:val="sr-Cyrl-BA"/>
        </w:rPr>
        <w:t xml:space="preserve">, </w:t>
      </w:r>
      <w:r>
        <w:rPr>
          <w:rFonts w:ascii="Times New Roman" w:hAnsi="Times New Roman"/>
          <w:lang w:val="sr-Cyrl-BA"/>
        </w:rPr>
        <w:t>које</w:t>
      </w:r>
      <w:r w:rsidR="00A60EA6" w:rsidRPr="00295637">
        <w:rPr>
          <w:rFonts w:ascii="Times New Roman" w:hAnsi="Times New Roman"/>
          <w:lang w:val="sr-Cyrl-BA"/>
        </w:rPr>
        <w:t xml:space="preserve"> </w:t>
      </w:r>
      <w:r>
        <w:rPr>
          <w:rFonts w:ascii="Times New Roman" w:hAnsi="Times New Roman"/>
          <w:lang w:val="sr-Cyrl-BA"/>
        </w:rPr>
        <w:t>имају</w:t>
      </w:r>
      <w:r w:rsidR="00A60EA6" w:rsidRPr="00295637">
        <w:rPr>
          <w:rFonts w:ascii="Times New Roman" w:hAnsi="Times New Roman"/>
          <w:lang w:val="sr-Cyrl-BA"/>
        </w:rPr>
        <w:t xml:space="preserve"> </w:t>
      </w:r>
      <w:r>
        <w:rPr>
          <w:rFonts w:ascii="Times New Roman" w:hAnsi="Times New Roman"/>
          <w:lang w:val="sr-Cyrl-BA"/>
        </w:rPr>
        <w:t>здравствено</w:t>
      </w:r>
      <w:r w:rsidR="00A60EA6" w:rsidRPr="00295637">
        <w:rPr>
          <w:rFonts w:ascii="Times New Roman" w:hAnsi="Times New Roman"/>
          <w:lang w:val="sr-Cyrl-BA"/>
        </w:rPr>
        <w:t xml:space="preserve"> </w:t>
      </w:r>
      <w:r>
        <w:rPr>
          <w:rFonts w:ascii="Times New Roman" w:hAnsi="Times New Roman"/>
          <w:lang w:val="sr-Cyrl-BA"/>
        </w:rPr>
        <w:t>осигурање</w:t>
      </w:r>
      <w:r w:rsidR="00A60EA6" w:rsidRPr="00295637">
        <w:rPr>
          <w:rFonts w:ascii="Times New Roman" w:hAnsi="Times New Roman"/>
          <w:lang w:val="sr-Cyrl-BA"/>
        </w:rPr>
        <w:t xml:space="preserve">, </w:t>
      </w:r>
      <w:r>
        <w:rPr>
          <w:rFonts w:ascii="Times New Roman" w:hAnsi="Times New Roman"/>
          <w:lang w:val="sr-Cyrl-BA"/>
        </w:rPr>
        <w:t>је</w:t>
      </w:r>
      <w:r w:rsidR="00A60EA6" w:rsidRPr="00295637">
        <w:rPr>
          <w:rFonts w:ascii="Times New Roman" w:hAnsi="Times New Roman"/>
          <w:lang w:val="sr-Cyrl-BA"/>
        </w:rPr>
        <w:t xml:space="preserve"> </w:t>
      </w:r>
      <w:r>
        <w:rPr>
          <w:rFonts w:ascii="Times New Roman" w:hAnsi="Times New Roman"/>
          <w:lang w:val="sr-Cyrl-BA"/>
        </w:rPr>
        <w:t>за</w:t>
      </w:r>
      <w:r w:rsidR="00A60EA6" w:rsidRPr="00295637">
        <w:rPr>
          <w:rFonts w:ascii="Times New Roman" w:hAnsi="Times New Roman"/>
          <w:lang w:val="sr-Cyrl-BA"/>
        </w:rPr>
        <w:t xml:space="preserve"> </w:t>
      </w:r>
      <w:r>
        <w:rPr>
          <w:rFonts w:ascii="Times New Roman" w:hAnsi="Times New Roman"/>
          <w:lang w:val="sr-Cyrl-BA"/>
        </w:rPr>
        <w:t>вријеме</w:t>
      </w:r>
      <w:r w:rsidR="00A60EA6" w:rsidRPr="00295637">
        <w:rPr>
          <w:rFonts w:ascii="Times New Roman" w:hAnsi="Times New Roman"/>
          <w:lang w:val="sr-Cyrl-BA"/>
        </w:rPr>
        <w:t xml:space="preserve"> </w:t>
      </w:r>
      <w:r>
        <w:rPr>
          <w:rFonts w:ascii="Times New Roman" w:hAnsi="Times New Roman"/>
          <w:lang w:val="sr-Cyrl-BA"/>
        </w:rPr>
        <w:t>трудноће</w:t>
      </w:r>
      <w:r w:rsidR="00A60EA6" w:rsidRPr="00295637">
        <w:rPr>
          <w:rFonts w:ascii="Times New Roman" w:hAnsi="Times New Roman"/>
          <w:lang w:val="sr-Cyrl-BA"/>
        </w:rPr>
        <w:t xml:space="preserve">, </w:t>
      </w:r>
      <w:r>
        <w:rPr>
          <w:rFonts w:ascii="Times New Roman" w:hAnsi="Times New Roman"/>
          <w:lang w:val="sr-Cyrl-BA"/>
        </w:rPr>
        <w:t>порођаја</w:t>
      </w:r>
      <w:r w:rsidR="00A60EA6" w:rsidRPr="00295637">
        <w:rPr>
          <w:rFonts w:ascii="Times New Roman" w:hAnsi="Times New Roman"/>
          <w:lang w:val="sr-Cyrl-BA"/>
        </w:rPr>
        <w:t xml:space="preserve"> </w:t>
      </w:r>
      <w:r>
        <w:rPr>
          <w:rFonts w:ascii="Times New Roman" w:hAnsi="Times New Roman"/>
          <w:lang w:val="sr-Cyrl-BA"/>
        </w:rPr>
        <w:t>и</w:t>
      </w:r>
      <w:r w:rsidR="00A60EA6" w:rsidRPr="00295637">
        <w:rPr>
          <w:rFonts w:ascii="Times New Roman" w:hAnsi="Times New Roman"/>
          <w:lang w:val="sr-Cyrl-BA"/>
        </w:rPr>
        <w:t xml:space="preserve"> </w:t>
      </w:r>
      <w:r>
        <w:rPr>
          <w:rFonts w:ascii="Times New Roman" w:hAnsi="Times New Roman"/>
          <w:lang w:val="sr-Cyrl-BA"/>
        </w:rPr>
        <w:t>у</w:t>
      </w:r>
      <w:r w:rsidR="00A60EA6" w:rsidRPr="00295637">
        <w:rPr>
          <w:rFonts w:ascii="Times New Roman" w:hAnsi="Times New Roman"/>
          <w:lang w:val="sr-Cyrl-BA"/>
        </w:rPr>
        <w:t xml:space="preserve"> </w:t>
      </w:r>
      <w:r>
        <w:rPr>
          <w:rFonts w:ascii="Times New Roman" w:hAnsi="Times New Roman"/>
          <w:lang w:val="hr-HR"/>
        </w:rPr>
        <w:t>периоду</w:t>
      </w:r>
      <w:r w:rsidR="00A60EA6" w:rsidRPr="00295637">
        <w:rPr>
          <w:rFonts w:ascii="Times New Roman" w:hAnsi="Times New Roman"/>
          <w:lang w:val="sr-Cyrl-BA"/>
        </w:rPr>
        <w:t xml:space="preserve"> </w:t>
      </w:r>
      <w:r>
        <w:rPr>
          <w:rFonts w:ascii="Times New Roman" w:hAnsi="Times New Roman"/>
          <w:lang w:val="sr-Cyrl-BA"/>
        </w:rPr>
        <w:t>послије</w:t>
      </w:r>
      <w:r w:rsidR="00A60EA6" w:rsidRPr="00295637">
        <w:rPr>
          <w:rFonts w:ascii="Times New Roman" w:hAnsi="Times New Roman"/>
          <w:lang w:val="sr-Cyrl-BA"/>
        </w:rPr>
        <w:t xml:space="preserve"> </w:t>
      </w:r>
      <w:r>
        <w:rPr>
          <w:rFonts w:ascii="Times New Roman" w:hAnsi="Times New Roman"/>
          <w:lang w:val="sr-Cyrl-BA"/>
        </w:rPr>
        <w:t>рођења</w:t>
      </w:r>
      <w:r w:rsidR="00A60EA6" w:rsidRPr="00295637">
        <w:rPr>
          <w:rFonts w:ascii="Times New Roman" w:hAnsi="Times New Roman"/>
          <w:lang w:val="sr-Cyrl-BA"/>
        </w:rPr>
        <w:t xml:space="preserve"> </w:t>
      </w:r>
      <w:r>
        <w:rPr>
          <w:rFonts w:ascii="Times New Roman" w:hAnsi="Times New Roman"/>
          <w:lang w:val="sr-Cyrl-BA"/>
        </w:rPr>
        <w:t>дјетета</w:t>
      </w:r>
      <w:r w:rsidR="00A60EA6" w:rsidRPr="00295637">
        <w:rPr>
          <w:rFonts w:ascii="Times New Roman" w:hAnsi="Times New Roman"/>
          <w:lang w:val="sr-Cyrl-BA"/>
        </w:rPr>
        <w:t xml:space="preserve">, </w:t>
      </w:r>
      <w:r>
        <w:rPr>
          <w:rFonts w:ascii="Times New Roman" w:hAnsi="Times New Roman"/>
          <w:lang w:val="sr-Cyrl-BA"/>
        </w:rPr>
        <w:t>о</w:t>
      </w:r>
      <w:r w:rsidR="00722ACE">
        <w:rPr>
          <w:rFonts w:ascii="Times New Roman" w:hAnsi="Times New Roman"/>
          <w:lang w:val="sr-Cyrl-BA"/>
        </w:rPr>
        <w:t>безбијеђена</w:t>
      </w:r>
      <w:r w:rsidR="00A60EA6" w:rsidRPr="00295637">
        <w:rPr>
          <w:rFonts w:ascii="Times New Roman" w:hAnsi="Times New Roman"/>
          <w:lang w:val="sr-Cyrl-BA"/>
        </w:rPr>
        <w:t xml:space="preserve"> </w:t>
      </w:r>
      <w:r>
        <w:rPr>
          <w:rFonts w:ascii="Times New Roman" w:hAnsi="Times New Roman"/>
          <w:lang w:val="sr-Cyrl-BA"/>
        </w:rPr>
        <w:t>бесплатна</w:t>
      </w:r>
      <w:r w:rsidR="00A60EA6" w:rsidRPr="00295637">
        <w:rPr>
          <w:rFonts w:ascii="Times New Roman" w:hAnsi="Times New Roman"/>
          <w:lang w:val="sr-Cyrl-BA"/>
        </w:rPr>
        <w:t xml:space="preserve"> </w:t>
      </w:r>
      <w:r>
        <w:rPr>
          <w:rFonts w:ascii="Times New Roman" w:hAnsi="Times New Roman"/>
          <w:lang w:val="sr-Cyrl-BA"/>
        </w:rPr>
        <w:t>здравствена</w:t>
      </w:r>
      <w:r w:rsidR="00A60EA6" w:rsidRPr="00295637">
        <w:rPr>
          <w:rFonts w:ascii="Times New Roman" w:hAnsi="Times New Roman"/>
          <w:lang w:val="sr-Cyrl-BA"/>
        </w:rPr>
        <w:t xml:space="preserve"> </w:t>
      </w:r>
      <w:r>
        <w:rPr>
          <w:rFonts w:ascii="Times New Roman" w:hAnsi="Times New Roman"/>
          <w:lang w:val="sr-Cyrl-BA"/>
        </w:rPr>
        <w:t>услуга</w:t>
      </w:r>
      <w:r w:rsidR="00A60EA6" w:rsidRPr="00295637">
        <w:rPr>
          <w:rFonts w:ascii="Times New Roman" w:hAnsi="Times New Roman"/>
          <w:lang w:val="sr-Cyrl-BA"/>
        </w:rPr>
        <w:t xml:space="preserve">. </w:t>
      </w:r>
      <w:r>
        <w:rPr>
          <w:rFonts w:ascii="Times New Roman" w:hAnsi="Times New Roman"/>
          <w:lang w:val="sr-Latn-BA"/>
        </w:rPr>
        <w:t>П</w:t>
      </w:r>
      <w:r>
        <w:rPr>
          <w:rFonts w:ascii="Times New Roman" w:hAnsi="Times New Roman"/>
          <w:lang w:val="sr-Cyrl-BA"/>
        </w:rPr>
        <w:t>римарна</w:t>
      </w:r>
      <w:r w:rsidR="00A60EA6" w:rsidRPr="00295637">
        <w:rPr>
          <w:rFonts w:ascii="Times New Roman" w:hAnsi="Times New Roman"/>
          <w:lang w:val="sr-Cyrl-BA"/>
        </w:rPr>
        <w:t xml:space="preserve"> </w:t>
      </w:r>
      <w:r>
        <w:rPr>
          <w:rFonts w:ascii="Times New Roman" w:hAnsi="Times New Roman"/>
          <w:lang w:val="sr-Cyrl-BA"/>
        </w:rPr>
        <w:t>здравствена</w:t>
      </w:r>
      <w:r w:rsidR="00A60EA6" w:rsidRPr="00295637">
        <w:rPr>
          <w:rFonts w:ascii="Times New Roman" w:hAnsi="Times New Roman"/>
          <w:lang w:val="sr-Cyrl-BA"/>
        </w:rPr>
        <w:t xml:space="preserve"> </w:t>
      </w:r>
      <w:r>
        <w:rPr>
          <w:rFonts w:ascii="Times New Roman" w:hAnsi="Times New Roman"/>
          <w:lang w:val="sr-Cyrl-BA"/>
        </w:rPr>
        <w:t>заштита</w:t>
      </w:r>
      <w:r w:rsidR="00A60EA6" w:rsidRPr="00295637">
        <w:rPr>
          <w:rFonts w:ascii="Times New Roman" w:hAnsi="Times New Roman"/>
          <w:lang w:val="sr-Cyrl-BA"/>
        </w:rPr>
        <w:t xml:space="preserve"> </w:t>
      </w:r>
      <w:r>
        <w:rPr>
          <w:rFonts w:ascii="Times New Roman" w:hAnsi="Times New Roman"/>
          <w:lang w:val="sr-Cyrl-BA"/>
        </w:rPr>
        <w:t>обухвата</w:t>
      </w:r>
      <w:r w:rsidR="00A60EA6" w:rsidRPr="00295637">
        <w:rPr>
          <w:rFonts w:ascii="Times New Roman" w:hAnsi="Times New Roman"/>
          <w:lang w:val="sr-Cyrl-BA"/>
        </w:rPr>
        <w:t xml:space="preserve"> </w:t>
      </w:r>
      <w:r>
        <w:rPr>
          <w:rFonts w:ascii="Times New Roman" w:hAnsi="Times New Roman"/>
          <w:lang w:val="sr-Cyrl-BA"/>
        </w:rPr>
        <w:t>заштиту</w:t>
      </w:r>
      <w:r w:rsidR="00A60EA6" w:rsidRPr="00295637">
        <w:rPr>
          <w:rFonts w:ascii="Times New Roman" w:hAnsi="Times New Roman"/>
          <w:lang w:val="sr-Cyrl-BA"/>
        </w:rPr>
        <w:t xml:space="preserve"> </w:t>
      </w:r>
      <w:r>
        <w:rPr>
          <w:rFonts w:ascii="Times New Roman" w:hAnsi="Times New Roman"/>
          <w:lang w:val="sr-Cyrl-BA"/>
        </w:rPr>
        <w:t>здравља</w:t>
      </w:r>
      <w:r w:rsidR="00A60EA6" w:rsidRPr="00295637">
        <w:rPr>
          <w:rFonts w:ascii="Times New Roman" w:hAnsi="Times New Roman"/>
          <w:lang w:val="sr-Cyrl-BA"/>
        </w:rPr>
        <w:t xml:space="preserve"> </w:t>
      </w:r>
      <w:r>
        <w:rPr>
          <w:rFonts w:ascii="Times New Roman" w:hAnsi="Times New Roman"/>
          <w:lang w:val="sr-Cyrl-BA"/>
        </w:rPr>
        <w:t>жена</w:t>
      </w:r>
      <w:r w:rsidR="00A60EA6" w:rsidRPr="00295637">
        <w:rPr>
          <w:rFonts w:ascii="Times New Roman" w:hAnsi="Times New Roman"/>
          <w:lang w:val="sr-Cyrl-BA"/>
        </w:rPr>
        <w:t xml:space="preserve"> </w:t>
      </w:r>
      <w:r>
        <w:rPr>
          <w:rFonts w:ascii="Times New Roman" w:hAnsi="Times New Roman"/>
          <w:lang w:val="sr-Cyrl-BA"/>
        </w:rPr>
        <w:t>и</w:t>
      </w:r>
      <w:r w:rsidR="00A60EA6" w:rsidRPr="00295637">
        <w:rPr>
          <w:rFonts w:ascii="Times New Roman" w:hAnsi="Times New Roman"/>
          <w:lang w:val="sr-Cyrl-BA"/>
        </w:rPr>
        <w:t xml:space="preserve"> </w:t>
      </w:r>
      <w:r>
        <w:rPr>
          <w:rFonts w:ascii="Times New Roman" w:hAnsi="Times New Roman"/>
          <w:lang w:val="sr-Cyrl-BA"/>
        </w:rPr>
        <w:t>дјеце</w:t>
      </w:r>
      <w:r w:rsidR="00A60EA6" w:rsidRPr="00295637">
        <w:rPr>
          <w:rFonts w:ascii="Times New Roman" w:hAnsi="Times New Roman"/>
          <w:lang w:val="sr-Cyrl-BA"/>
        </w:rPr>
        <w:t xml:space="preserve">, </w:t>
      </w:r>
      <w:r>
        <w:rPr>
          <w:rFonts w:ascii="Times New Roman" w:hAnsi="Times New Roman"/>
          <w:lang w:val="sr-Cyrl-BA"/>
        </w:rPr>
        <w:t>што</w:t>
      </w:r>
      <w:r w:rsidR="00A60EA6" w:rsidRPr="00295637">
        <w:rPr>
          <w:rFonts w:ascii="Times New Roman" w:hAnsi="Times New Roman"/>
          <w:lang w:val="sr-Cyrl-BA"/>
        </w:rPr>
        <w:t xml:space="preserve"> </w:t>
      </w:r>
      <w:r>
        <w:rPr>
          <w:rFonts w:ascii="Times New Roman" w:hAnsi="Times New Roman"/>
          <w:lang w:val="sr-Cyrl-BA"/>
        </w:rPr>
        <w:t>значи</w:t>
      </w:r>
      <w:r w:rsidR="00A60EA6" w:rsidRPr="00295637">
        <w:rPr>
          <w:rFonts w:ascii="Times New Roman" w:hAnsi="Times New Roman"/>
          <w:lang w:val="sr-Cyrl-BA"/>
        </w:rPr>
        <w:t xml:space="preserve"> </w:t>
      </w:r>
      <w:r>
        <w:rPr>
          <w:rFonts w:ascii="Times New Roman" w:hAnsi="Times New Roman"/>
          <w:lang w:val="sr-Cyrl-BA"/>
        </w:rPr>
        <w:t>да</w:t>
      </w:r>
      <w:r w:rsidR="00A60EA6" w:rsidRPr="00295637">
        <w:rPr>
          <w:rFonts w:ascii="Times New Roman" w:hAnsi="Times New Roman"/>
          <w:lang w:val="sr-Cyrl-BA"/>
        </w:rPr>
        <w:t xml:space="preserve"> </w:t>
      </w:r>
      <w:r>
        <w:rPr>
          <w:rFonts w:ascii="Times New Roman" w:hAnsi="Times New Roman"/>
          <w:lang w:val="sr-Cyrl-BA"/>
        </w:rPr>
        <w:t>се</w:t>
      </w:r>
      <w:r w:rsidR="00A60EA6" w:rsidRPr="00295637">
        <w:rPr>
          <w:rFonts w:ascii="Times New Roman" w:hAnsi="Times New Roman"/>
          <w:lang w:val="sr-Cyrl-BA"/>
        </w:rPr>
        <w:t xml:space="preserve"> </w:t>
      </w:r>
      <w:r>
        <w:rPr>
          <w:rFonts w:ascii="Times New Roman" w:hAnsi="Times New Roman"/>
          <w:lang w:val="sr-Cyrl-BA"/>
        </w:rPr>
        <w:t>здравствена</w:t>
      </w:r>
      <w:r w:rsidR="00A60EA6" w:rsidRPr="00295637">
        <w:rPr>
          <w:rFonts w:ascii="Times New Roman" w:hAnsi="Times New Roman"/>
          <w:lang w:val="sr-Cyrl-BA"/>
        </w:rPr>
        <w:t xml:space="preserve"> </w:t>
      </w:r>
      <w:r>
        <w:rPr>
          <w:rFonts w:ascii="Times New Roman" w:hAnsi="Times New Roman"/>
          <w:lang w:val="sr-Cyrl-BA"/>
        </w:rPr>
        <w:t>заштита</w:t>
      </w:r>
      <w:r w:rsidR="00A60EA6" w:rsidRPr="00295637">
        <w:rPr>
          <w:rFonts w:ascii="Times New Roman" w:hAnsi="Times New Roman"/>
          <w:lang w:val="sr-Cyrl-BA"/>
        </w:rPr>
        <w:t xml:space="preserve"> </w:t>
      </w:r>
      <w:r>
        <w:rPr>
          <w:rFonts w:ascii="Times New Roman" w:hAnsi="Times New Roman"/>
          <w:lang w:val="sr-Cyrl-BA"/>
        </w:rPr>
        <w:t>жена</w:t>
      </w:r>
      <w:r w:rsidR="00A60EA6" w:rsidRPr="00295637">
        <w:rPr>
          <w:rFonts w:ascii="Times New Roman" w:hAnsi="Times New Roman"/>
          <w:lang w:val="sr-Cyrl-BA"/>
        </w:rPr>
        <w:t xml:space="preserve"> </w:t>
      </w:r>
      <w:r>
        <w:rPr>
          <w:rFonts w:ascii="Times New Roman" w:hAnsi="Times New Roman"/>
          <w:lang w:val="sr-Cyrl-BA"/>
        </w:rPr>
        <w:t>пружа</w:t>
      </w:r>
      <w:r w:rsidR="00A60EA6" w:rsidRPr="00295637">
        <w:rPr>
          <w:rFonts w:ascii="Times New Roman" w:hAnsi="Times New Roman"/>
          <w:lang w:val="sr-Cyrl-BA"/>
        </w:rPr>
        <w:t xml:space="preserve"> </w:t>
      </w:r>
      <w:r>
        <w:rPr>
          <w:rFonts w:ascii="Times New Roman" w:hAnsi="Times New Roman"/>
          <w:lang w:val="sr-Cyrl-BA"/>
        </w:rPr>
        <w:t>на</w:t>
      </w:r>
      <w:r w:rsidR="00A60EA6" w:rsidRPr="00295637">
        <w:rPr>
          <w:rFonts w:ascii="Times New Roman" w:hAnsi="Times New Roman"/>
          <w:lang w:val="sr-Cyrl-BA"/>
        </w:rPr>
        <w:t xml:space="preserve"> </w:t>
      </w:r>
      <w:r>
        <w:rPr>
          <w:rFonts w:ascii="Times New Roman" w:hAnsi="Times New Roman"/>
          <w:lang w:val="hr-HR"/>
        </w:rPr>
        <w:t>нивоу</w:t>
      </w:r>
      <w:r w:rsidR="00A60EA6" w:rsidRPr="00295637">
        <w:rPr>
          <w:rFonts w:ascii="Times New Roman" w:hAnsi="Times New Roman"/>
          <w:lang w:val="sr-Cyrl-BA"/>
        </w:rPr>
        <w:t xml:space="preserve"> </w:t>
      </w:r>
      <w:r>
        <w:rPr>
          <w:rFonts w:ascii="Times New Roman" w:hAnsi="Times New Roman"/>
          <w:lang w:val="sr-Cyrl-BA"/>
        </w:rPr>
        <w:t>дома</w:t>
      </w:r>
      <w:r w:rsidR="00A60EA6" w:rsidRPr="00295637">
        <w:rPr>
          <w:rFonts w:ascii="Times New Roman" w:hAnsi="Times New Roman"/>
          <w:lang w:val="sr-Cyrl-BA"/>
        </w:rPr>
        <w:t xml:space="preserve"> </w:t>
      </w:r>
      <w:r>
        <w:rPr>
          <w:rFonts w:ascii="Times New Roman" w:hAnsi="Times New Roman"/>
          <w:lang w:val="sr-Cyrl-BA"/>
        </w:rPr>
        <w:t>здравља</w:t>
      </w:r>
      <w:r w:rsidR="00A60EA6" w:rsidRPr="00295637">
        <w:rPr>
          <w:rFonts w:ascii="Times New Roman" w:hAnsi="Times New Roman"/>
          <w:lang w:val="sr-Cyrl-BA"/>
        </w:rPr>
        <w:t xml:space="preserve"> </w:t>
      </w:r>
      <w:r>
        <w:rPr>
          <w:rFonts w:ascii="Times New Roman" w:hAnsi="Times New Roman"/>
          <w:lang w:val="sr-Cyrl-BA"/>
        </w:rPr>
        <w:t>и</w:t>
      </w:r>
      <w:r w:rsidR="00A60EA6" w:rsidRPr="00295637">
        <w:rPr>
          <w:rFonts w:ascii="Times New Roman" w:hAnsi="Times New Roman"/>
          <w:lang w:val="sr-Cyrl-BA"/>
        </w:rPr>
        <w:t xml:space="preserve"> </w:t>
      </w:r>
      <w:r>
        <w:rPr>
          <w:rFonts w:ascii="Times New Roman" w:hAnsi="Times New Roman"/>
          <w:lang w:val="sr-Cyrl-BA"/>
        </w:rPr>
        <w:t>на</w:t>
      </w:r>
      <w:r w:rsidR="00A60EA6" w:rsidRPr="00295637">
        <w:rPr>
          <w:rFonts w:ascii="Times New Roman" w:hAnsi="Times New Roman"/>
          <w:lang w:val="sr-Cyrl-BA"/>
        </w:rPr>
        <w:t xml:space="preserve"> </w:t>
      </w:r>
      <w:r>
        <w:rPr>
          <w:rFonts w:ascii="Times New Roman" w:hAnsi="Times New Roman"/>
          <w:lang w:val="hr-HR"/>
        </w:rPr>
        <w:t>нивоу</w:t>
      </w:r>
      <w:r w:rsidR="00A60EA6" w:rsidRPr="00295637">
        <w:rPr>
          <w:rFonts w:ascii="Times New Roman" w:hAnsi="Times New Roman"/>
          <w:lang w:val="sr-Cyrl-BA"/>
        </w:rPr>
        <w:t xml:space="preserve"> </w:t>
      </w:r>
      <w:r>
        <w:rPr>
          <w:rFonts w:ascii="Times New Roman" w:hAnsi="Times New Roman"/>
          <w:lang w:val="sr-Cyrl-BA"/>
        </w:rPr>
        <w:t>амбуланти</w:t>
      </w:r>
      <w:r w:rsidR="00A60EA6" w:rsidRPr="00295637">
        <w:rPr>
          <w:rFonts w:ascii="Times New Roman" w:hAnsi="Times New Roman"/>
          <w:lang w:val="sr-Cyrl-BA"/>
        </w:rPr>
        <w:t xml:space="preserve"> </w:t>
      </w:r>
      <w:r>
        <w:rPr>
          <w:rFonts w:ascii="Times New Roman" w:hAnsi="Times New Roman"/>
          <w:lang w:val="hr-HR"/>
        </w:rPr>
        <w:t>породичне</w:t>
      </w:r>
      <w:r w:rsidR="00A60EA6" w:rsidRPr="00295637">
        <w:rPr>
          <w:rFonts w:ascii="Times New Roman" w:hAnsi="Times New Roman"/>
          <w:lang w:val="sr-Cyrl-BA"/>
        </w:rPr>
        <w:t xml:space="preserve"> </w:t>
      </w:r>
      <w:r>
        <w:rPr>
          <w:rFonts w:ascii="Times New Roman" w:hAnsi="Times New Roman"/>
          <w:lang w:val="sr-Cyrl-BA"/>
        </w:rPr>
        <w:t>медицине</w:t>
      </w:r>
      <w:r w:rsidR="00A60EA6" w:rsidRPr="00295637">
        <w:rPr>
          <w:rFonts w:ascii="Times New Roman" w:hAnsi="Times New Roman"/>
          <w:lang w:val="sr-Cyrl-BA"/>
        </w:rPr>
        <w:t xml:space="preserve"> </w:t>
      </w:r>
      <w:r>
        <w:rPr>
          <w:rFonts w:ascii="Times New Roman" w:hAnsi="Times New Roman"/>
          <w:lang w:val="sr-Cyrl-BA"/>
        </w:rPr>
        <w:t>које</w:t>
      </w:r>
      <w:r w:rsidR="00A60EA6" w:rsidRPr="00295637">
        <w:rPr>
          <w:rFonts w:ascii="Times New Roman" w:hAnsi="Times New Roman"/>
          <w:lang w:val="sr-Cyrl-BA"/>
        </w:rPr>
        <w:t xml:space="preserve"> </w:t>
      </w:r>
      <w:r>
        <w:rPr>
          <w:rFonts w:ascii="Times New Roman" w:hAnsi="Times New Roman"/>
          <w:lang w:val="sr-Cyrl-BA"/>
        </w:rPr>
        <w:t>су</w:t>
      </w:r>
      <w:r w:rsidR="00A60EA6" w:rsidRPr="00295637">
        <w:rPr>
          <w:rFonts w:ascii="Times New Roman" w:hAnsi="Times New Roman"/>
          <w:lang w:val="sr-Cyrl-BA"/>
        </w:rPr>
        <w:t xml:space="preserve"> </w:t>
      </w:r>
      <w:r>
        <w:rPr>
          <w:rFonts w:ascii="Times New Roman" w:hAnsi="Times New Roman"/>
          <w:lang w:val="sr-Cyrl-BA"/>
        </w:rPr>
        <w:t>распоређене</w:t>
      </w:r>
      <w:r w:rsidR="00A60EA6" w:rsidRPr="00295637">
        <w:rPr>
          <w:rFonts w:ascii="Times New Roman" w:hAnsi="Times New Roman"/>
          <w:lang w:val="sr-Cyrl-BA"/>
        </w:rPr>
        <w:t xml:space="preserve"> </w:t>
      </w:r>
      <w:r>
        <w:rPr>
          <w:rFonts w:ascii="Times New Roman" w:hAnsi="Times New Roman"/>
          <w:lang w:val="sr-Cyrl-BA"/>
        </w:rPr>
        <w:t>по</w:t>
      </w:r>
      <w:r w:rsidR="00A60EA6" w:rsidRPr="00295637">
        <w:rPr>
          <w:rFonts w:ascii="Times New Roman" w:hAnsi="Times New Roman"/>
          <w:lang w:val="sr-Cyrl-BA"/>
        </w:rPr>
        <w:t xml:space="preserve"> </w:t>
      </w:r>
      <w:r>
        <w:rPr>
          <w:rFonts w:ascii="Times New Roman" w:hAnsi="Times New Roman"/>
          <w:lang w:val="sr-Cyrl-BA"/>
        </w:rPr>
        <w:t>читаво</w:t>
      </w:r>
      <w:r>
        <w:rPr>
          <w:rFonts w:ascii="Times New Roman" w:hAnsi="Times New Roman"/>
          <w:lang w:val="hr-HR"/>
        </w:rPr>
        <w:t>ј</w:t>
      </w:r>
      <w:r w:rsidR="00A60EA6" w:rsidRPr="00295637">
        <w:rPr>
          <w:rFonts w:ascii="Times New Roman" w:hAnsi="Times New Roman"/>
          <w:lang w:val="sr-Cyrl-BA"/>
        </w:rPr>
        <w:t xml:space="preserve"> </w:t>
      </w:r>
      <w:r>
        <w:rPr>
          <w:rFonts w:ascii="Times New Roman" w:hAnsi="Times New Roman"/>
          <w:lang w:val="sr-Cyrl-BA"/>
        </w:rPr>
        <w:t>териториј</w:t>
      </w:r>
      <w:r>
        <w:rPr>
          <w:rFonts w:ascii="Times New Roman" w:hAnsi="Times New Roman"/>
          <w:lang w:val="hr-HR"/>
        </w:rPr>
        <w:t>и</w:t>
      </w:r>
      <w:r w:rsidR="00A60EA6" w:rsidRPr="00295637">
        <w:rPr>
          <w:rFonts w:ascii="Times New Roman" w:hAnsi="Times New Roman"/>
          <w:lang w:val="sr-Cyrl-BA"/>
        </w:rPr>
        <w:t xml:space="preserve"> </w:t>
      </w:r>
      <w:r>
        <w:rPr>
          <w:rFonts w:ascii="Times New Roman" w:hAnsi="Times New Roman"/>
          <w:lang w:val="sr-Cyrl-BA"/>
        </w:rPr>
        <w:t>РС</w:t>
      </w:r>
      <w:r w:rsidR="00A60EA6" w:rsidRPr="00295637">
        <w:rPr>
          <w:rFonts w:ascii="Times New Roman" w:hAnsi="Times New Roman"/>
          <w:lang w:val="sr-Cyrl-BA"/>
        </w:rPr>
        <w:t xml:space="preserve"> </w:t>
      </w:r>
      <w:r>
        <w:rPr>
          <w:rFonts w:ascii="Times New Roman" w:hAnsi="Times New Roman"/>
          <w:lang w:val="sr-Cyrl-BA"/>
        </w:rPr>
        <w:t>како</w:t>
      </w:r>
      <w:r w:rsidR="00A60EA6" w:rsidRPr="00295637">
        <w:rPr>
          <w:rFonts w:ascii="Times New Roman" w:hAnsi="Times New Roman"/>
          <w:lang w:val="sr-Cyrl-BA"/>
        </w:rPr>
        <w:t xml:space="preserve"> </w:t>
      </w:r>
      <w:r>
        <w:rPr>
          <w:rFonts w:ascii="Times New Roman" w:hAnsi="Times New Roman"/>
          <w:lang w:val="sr-Cyrl-BA"/>
        </w:rPr>
        <w:t>би</w:t>
      </w:r>
      <w:r w:rsidR="00A60EA6" w:rsidRPr="00295637">
        <w:rPr>
          <w:rFonts w:ascii="Times New Roman" w:hAnsi="Times New Roman"/>
          <w:lang w:val="sr-Cyrl-BA"/>
        </w:rPr>
        <w:t xml:space="preserve"> </w:t>
      </w:r>
      <w:r>
        <w:rPr>
          <w:rFonts w:ascii="Times New Roman" w:hAnsi="Times New Roman"/>
          <w:lang w:val="sr-Cyrl-BA"/>
        </w:rPr>
        <w:t>примарн</w:t>
      </w:r>
      <w:r>
        <w:rPr>
          <w:rFonts w:ascii="Times New Roman" w:hAnsi="Times New Roman"/>
          <w:lang w:val="hr-HR"/>
        </w:rPr>
        <w:t>и</w:t>
      </w:r>
      <w:r w:rsidR="00505D95">
        <w:rPr>
          <w:rFonts w:ascii="Times New Roman" w:hAnsi="Times New Roman"/>
          <w:lang w:val="hr-HR"/>
        </w:rPr>
        <w:t xml:space="preserve"> </w:t>
      </w:r>
      <w:r>
        <w:rPr>
          <w:rFonts w:ascii="Times New Roman" w:hAnsi="Times New Roman"/>
          <w:lang w:val="hr-HR"/>
        </w:rPr>
        <w:t>ниво</w:t>
      </w:r>
      <w:r w:rsidR="00A60EA6" w:rsidRPr="00295637">
        <w:rPr>
          <w:rFonts w:ascii="Times New Roman" w:hAnsi="Times New Roman"/>
          <w:lang w:val="sr-Cyrl-BA"/>
        </w:rPr>
        <w:t xml:space="preserve"> </w:t>
      </w:r>
      <w:r>
        <w:rPr>
          <w:rFonts w:ascii="Times New Roman" w:hAnsi="Times New Roman"/>
          <w:lang w:val="sr-Cyrl-BA"/>
        </w:rPr>
        <w:t>заштите</w:t>
      </w:r>
      <w:r w:rsidR="00A60EA6" w:rsidRPr="00295637">
        <w:rPr>
          <w:rFonts w:ascii="Times New Roman" w:hAnsi="Times New Roman"/>
          <w:lang w:val="sr-Cyrl-BA"/>
        </w:rPr>
        <w:t xml:space="preserve"> </w:t>
      </w:r>
      <w:r>
        <w:rPr>
          <w:rFonts w:ascii="Times New Roman" w:hAnsi="Times New Roman"/>
          <w:lang w:val="sr-Cyrl-BA"/>
        </w:rPr>
        <w:t>би</w:t>
      </w:r>
      <w:r>
        <w:rPr>
          <w:rFonts w:ascii="Times New Roman" w:hAnsi="Times New Roman"/>
          <w:lang w:val="hr-HR"/>
        </w:rPr>
        <w:t>о</w:t>
      </w:r>
      <w:r w:rsidR="00A60EA6" w:rsidRPr="00295637">
        <w:rPr>
          <w:rFonts w:ascii="Times New Roman" w:hAnsi="Times New Roman"/>
          <w:lang w:val="sr-Cyrl-BA"/>
        </w:rPr>
        <w:t xml:space="preserve"> </w:t>
      </w:r>
      <w:r>
        <w:rPr>
          <w:rFonts w:ascii="Times New Roman" w:hAnsi="Times New Roman"/>
          <w:lang w:val="sr-Cyrl-BA"/>
        </w:rPr>
        <w:t>доступ</w:t>
      </w:r>
      <w:r>
        <w:rPr>
          <w:rFonts w:ascii="Times New Roman" w:hAnsi="Times New Roman"/>
          <w:lang w:val="hr-HR"/>
        </w:rPr>
        <w:t>ан</w:t>
      </w:r>
      <w:r w:rsidR="00A60EA6" w:rsidRPr="00295637">
        <w:rPr>
          <w:rFonts w:ascii="Times New Roman" w:hAnsi="Times New Roman"/>
          <w:lang w:val="sr-Cyrl-BA"/>
        </w:rPr>
        <w:t xml:space="preserve"> </w:t>
      </w:r>
      <w:r>
        <w:rPr>
          <w:rFonts w:ascii="Times New Roman" w:hAnsi="Times New Roman"/>
          <w:lang w:val="sr-Cyrl-BA"/>
        </w:rPr>
        <w:t>свима</w:t>
      </w:r>
      <w:r w:rsidR="00A60EA6" w:rsidRPr="00295637">
        <w:rPr>
          <w:rFonts w:ascii="Times New Roman" w:hAnsi="Times New Roman"/>
          <w:lang w:val="sr-Cyrl-BA"/>
        </w:rPr>
        <w:t xml:space="preserve">, </w:t>
      </w:r>
      <w:r>
        <w:rPr>
          <w:rFonts w:ascii="Times New Roman" w:hAnsi="Times New Roman"/>
          <w:lang w:val="sr-Cyrl-BA"/>
        </w:rPr>
        <w:t>а</w:t>
      </w:r>
      <w:r w:rsidR="00A60EA6" w:rsidRPr="00295637">
        <w:rPr>
          <w:rFonts w:ascii="Times New Roman" w:hAnsi="Times New Roman"/>
          <w:lang w:val="sr-Cyrl-BA"/>
        </w:rPr>
        <w:t xml:space="preserve"> </w:t>
      </w:r>
      <w:r>
        <w:rPr>
          <w:rFonts w:ascii="Times New Roman" w:hAnsi="Times New Roman"/>
          <w:lang w:val="sr-Cyrl-BA"/>
        </w:rPr>
        <w:t>посебно</w:t>
      </w:r>
      <w:r w:rsidR="00A60EA6" w:rsidRPr="00295637">
        <w:rPr>
          <w:rFonts w:ascii="Times New Roman" w:hAnsi="Times New Roman"/>
          <w:lang w:val="sr-Cyrl-BA"/>
        </w:rPr>
        <w:t xml:space="preserve"> </w:t>
      </w:r>
      <w:r>
        <w:rPr>
          <w:rFonts w:ascii="Times New Roman" w:hAnsi="Times New Roman"/>
          <w:lang w:val="sr-Cyrl-BA"/>
        </w:rPr>
        <w:t>женама</w:t>
      </w:r>
      <w:r w:rsidR="00A60EA6" w:rsidRPr="00295637">
        <w:rPr>
          <w:rFonts w:ascii="Times New Roman" w:hAnsi="Times New Roman"/>
          <w:lang w:val="sr-Cyrl-BA"/>
        </w:rPr>
        <w:t>.</w:t>
      </w:r>
    </w:p>
    <w:p w:rsidR="00524E10" w:rsidRPr="00295637" w:rsidRDefault="00524E10" w:rsidP="0086268D">
      <w:pPr>
        <w:pStyle w:val="Normal1"/>
      </w:pPr>
    </w:p>
    <w:p w:rsidR="00CF2F55" w:rsidRPr="00295637" w:rsidRDefault="00C6214E" w:rsidP="0086268D">
      <w:pPr>
        <w:jc w:val="both"/>
        <w:rPr>
          <w:rFonts w:ascii="Times New Roman" w:hAnsi="Times New Roman"/>
          <w:szCs w:val="24"/>
        </w:rPr>
      </w:pPr>
      <w:r>
        <w:rPr>
          <w:rFonts w:ascii="Times New Roman" w:hAnsi="Times New Roman"/>
          <w:szCs w:val="24"/>
          <w:lang w:val="en-GB"/>
        </w:rPr>
        <w:t>Фондација</w:t>
      </w:r>
      <w:r w:rsidR="00290586" w:rsidRPr="00295637">
        <w:rPr>
          <w:rFonts w:ascii="Times New Roman" w:hAnsi="Times New Roman"/>
          <w:szCs w:val="24"/>
          <w:lang w:val="en-GB"/>
        </w:rPr>
        <w:t xml:space="preserve"> </w:t>
      </w:r>
      <w:r w:rsidR="001E4D46" w:rsidRPr="00295637">
        <w:rPr>
          <w:rFonts w:ascii="Times New Roman" w:hAnsi="Times New Roman"/>
          <w:szCs w:val="24"/>
          <w:lang w:val="en-GB"/>
        </w:rPr>
        <w:t>“</w:t>
      </w:r>
      <w:r>
        <w:rPr>
          <w:rFonts w:ascii="Times New Roman" w:hAnsi="Times New Roman"/>
          <w:szCs w:val="24"/>
          <w:lang w:val="en-GB"/>
        </w:rPr>
        <w:t>БХ</w:t>
      </w:r>
      <w:r w:rsidR="00290586" w:rsidRPr="00295637">
        <w:rPr>
          <w:rFonts w:ascii="Times New Roman" w:hAnsi="Times New Roman"/>
          <w:szCs w:val="24"/>
          <w:lang w:val="en-GB"/>
        </w:rPr>
        <w:t xml:space="preserve"> </w:t>
      </w:r>
      <w:r>
        <w:rPr>
          <w:rFonts w:ascii="Times New Roman" w:hAnsi="Times New Roman"/>
          <w:szCs w:val="24"/>
          <w:lang w:val="en-GB"/>
        </w:rPr>
        <w:t>Иницијатива</w:t>
      </w:r>
      <w:r w:rsidR="00290586" w:rsidRPr="00295637">
        <w:rPr>
          <w:rFonts w:ascii="Times New Roman" w:hAnsi="Times New Roman"/>
          <w:szCs w:val="24"/>
          <w:lang w:val="en-GB"/>
        </w:rPr>
        <w:t xml:space="preserve"> </w:t>
      </w:r>
      <w:r>
        <w:rPr>
          <w:rFonts w:ascii="Times New Roman" w:hAnsi="Times New Roman"/>
          <w:szCs w:val="24"/>
          <w:lang w:val="en-GB"/>
        </w:rPr>
        <w:t>жена</w:t>
      </w:r>
      <w:r w:rsidR="001E4D46" w:rsidRPr="00295637">
        <w:rPr>
          <w:rFonts w:ascii="Times New Roman" w:hAnsi="Times New Roman"/>
          <w:szCs w:val="24"/>
          <w:lang w:val="en-GB"/>
        </w:rPr>
        <w:t>”</w:t>
      </w:r>
      <w:r w:rsidR="00820DB1" w:rsidRPr="00295637">
        <w:rPr>
          <w:rFonts w:ascii="Times New Roman" w:hAnsi="Times New Roman"/>
          <w:szCs w:val="24"/>
          <w:lang w:val="en-GB"/>
        </w:rPr>
        <w:t xml:space="preserve"> </w:t>
      </w:r>
      <w:r>
        <w:rPr>
          <w:rFonts w:ascii="Times New Roman" w:hAnsi="Times New Roman"/>
          <w:szCs w:val="24"/>
          <w:lang w:val="en-GB"/>
        </w:rPr>
        <w:t>је</w:t>
      </w:r>
      <w:r w:rsidR="00820DB1" w:rsidRPr="00295637">
        <w:rPr>
          <w:rFonts w:ascii="Times New Roman" w:hAnsi="Times New Roman"/>
          <w:szCs w:val="24"/>
          <w:lang w:val="en-GB"/>
        </w:rPr>
        <w:t>,</w:t>
      </w:r>
      <w:r w:rsidR="00290586" w:rsidRPr="00295637">
        <w:rPr>
          <w:rFonts w:ascii="Times New Roman" w:hAnsi="Times New Roman"/>
          <w:szCs w:val="24"/>
          <w:lang w:val="en-GB"/>
        </w:rPr>
        <w:t xml:space="preserve"> </w:t>
      </w:r>
      <w:r>
        <w:rPr>
          <w:rFonts w:ascii="Times New Roman" w:hAnsi="Times New Roman"/>
          <w:szCs w:val="24"/>
          <w:lang w:val="en-GB"/>
        </w:rPr>
        <w:t>уз</w:t>
      </w:r>
      <w:r w:rsidR="00290586" w:rsidRPr="00295637">
        <w:rPr>
          <w:rFonts w:ascii="Times New Roman" w:hAnsi="Times New Roman"/>
          <w:szCs w:val="24"/>
          <w:lang w:val="en-GB"/>
        </w:rPr>
        <w:t xml:space="preserve"> </w:t>
      </w:r>
      <w:r>
        <w:rPr>
          <w:rFonts w:ascii="Times New Roman" w:hAnsi="Times New Roman"/>
          <w:szCs w:val="24"/>
          <w:lang w:val="en-GB"/>
        </w:rPr>
        <w:t>подршку</w:t>
      </w:r>
      <w:r w:rsidR="00290586" w:rsidRPr="00295637">
        <w:rPr>
          <w:rFonts w:ascii="Times New Roman" w:hAnsi="Times New Roman"/>
          <w:szCs w:val="24"/>
          <w:lang w:val="en-GB"/>
        </w:rPr>
        <w:t xml:space="preserve"> </w:t>
      </w:r>
      <w:r w:rsidR="00722ACE" w:rsidRPr="00722ACE">
        <w:rPr>
          <w:rFonts w:ascii="Times New Roman" w:hAnsi="Times New Roman"/>
          <w:i/>
          <w:szCs w:val="24"/>
          <w:lang w:val="en-GB"/>
        </w:rPr>
        <w:t>UNHCR</w:t>
      </w:r>
      <w:r w:rsidR="00290586" w:rsidRPr="00295637">
        <w:rPr>
          <w:rFonts w:ascii="Times New Roman" w:hAnsi="Times New Roman"/>
          <w:szCs w:val="24"/>
          <w:lang w:val="en-GB"/>
        </w:rPr>
        <w:t>-</w:t>
      </w:r>
      <w:r>
        <w:rPr>
          <w:rFonts w:ascii="Times New Roman" w:hAnsi="Times New Roman"/>
          <w:szCs w:val="24"/>
          <w:lang w:val="en-GB"/>
        </w:rPr>
        <w:t>а</w:t>
      </w:r>
      <w:r w:rsidR="00820DB1" w:rsidRPr="00295637">
        <w:rPr>
          <w:rFonts w:ascii="Times New Roman" w:hAnsi="Times New Roman"/>
          <w:szCs w:val="24"/>
          <w:lang w:val="en-GB"/>
        </w:rPr>
        <w:t>,</w:t>
      </w:r>
      <w:r w:rsidR="00290586" w:rsidRPr="00295637">
        <w:rPr>
          <w:rFonts w:ascii="Times New Roman" w:hAnsi="Times New Roman"/>
          <w:szCs w:val="24"/>
          <w:lang w:val="en-GB"/>
        </w:rPr>
        <w:t xml:space="preserve"> </w:t>
      </w:r>
      <w:r>
        <w:rPr>
          <w:rFonts w:ascii="Times New Roman" w:hAnsi="Times New Roman"/>
          <w:szCs w:val="24"/>
          <w:lang w:val="en-GB"/>
        </w:rPr>
        <w:t>реализ</w:t>
      </w:r>
      <w:r w:rsidR="00722ACE">
        <w:rPr>
          <w:rFonts w:ascii="Times New Roman" w:hAnsi="Times New Roman"/>
          <w:szCs w:val="24"/>
          <w:lang w:val="sr-Cyrl-BA"/>
        </w:rPr>
        <w:t>овала</w:t>
      </w:r>
      <w:r w:rsidR="00290586" w:rsidRPr="00295637">
        <w:rPr>
          <w:rFonts w:ascii="Times New Roman" w:hAnsi="Times New Roman"/>
          <w:szCs w:val="24"/>
          <w:lang w:val="en-GB"/>
        </w:rPr>
        <w:t xml:space="preserve"> </w:t>
      </w:r>
      <w:r>
        <w:rPr>
          <w:rFonts w:ascii="Times New Roman" w:hAnsi="Times New Roman"/>
          <w:szCs w:val="24"/>
          <w:lang w:val="en-GB"/>
        </w:rPr>
        <w:t>активности</w:t>
      </w:r>
      <w:r w:rsidR="00290586" w:rsidRPr="00295637">
        <w:rPr>
          <w:rFonts w:ascii="Times New Roman" w:hAnsi="Times New Roman"/>
          <w:szCs w:val="24"/>
          <w:lang w:val="en-GB"/>
        </w:rPr>
        <w:t xml:space="preserve"> </w:t>
      </w:r>
      <w:r>
        <w:rPr>
          <w:rFonts w:ascii="Times New Roman" w:hAnsi="Times New Roman"/>
          <w:szCs w:val="24"/>
          <w:lang w:val="en-GB"/>
        </w:rPr>
        <w:t>препознавања</w:t>
      </w:r>
      <w:r w:rsidR="00290586" w:rsidRPr="00295637">
        <w:rPr>
          <w:rFonts w:ascii="Times New Roman" w:hAnsi="Times New Roman"/>
          <w:szCs w:val="24"/>
          <w:lang w:val="en-GB"/>
        </w:rPr>
        <w:t xml:space="preserve"> </w:t>
      </w:r>
      <w:r>
        <w:rPr>
          <w:rFonts w:ascii="Times New Roman" w:hAnsi="Times New Roman"/>
          <w:szCs w:val="24"/>
          <w:lang w:val="en-GB"/>
        </w:rPr>
        <w:t>системске</w:t>
      </w:r>
      <w:r w:rsidR="00290586" w:rsidRPr="00295637">
        <w:rPr>
          <w:rFonts w:ascii="Times New Roman" w:hAnsi="Times New Roman"/>
          <w:szCs w:val="24"/>
          <w:lang w:val="en-GB"/>
        </w:rPr>
        <w:t xml:space="preserve"> </w:t>
      </w:r>
      <w:r>
        <w:rPr>
          <w:rFonts w:ascii="Times New Roman" w:hAnsi="Times New Roman"/>
          <w:szCs w:val="24"/>
          <w:lang w:val="en-GB"/>
        </w:rPr>
        <w:t>дискриминације</w:t>
      </w:r>
      <w:r w:rsidR="00290586" w:rsidRPr="00295637">
        <w:rPr>
          <w:rFonts w:ascii="Times New Roman" w:hAnsi="Times New Roman"/>
          <w:szCs w:val="24"/>
          <w:lang w:val="en-GB"/>
        </w:rPr>
        <w:t xml:space="preserve"> </w:t>
      </w:r>
      <w:r>
        <w:rPr>
          <w:rFonts w:ascii="Times New Roman" w:hAnsi="Times New Roman"/>
          <w:szCs w:val="24"/>
          <w:lang w:val="en-GB"/>
        </w:rPr>
        <w:t>на</w:t>
      </w:r>
      <w:r w:rsidR="00290586" w:rsidRPr="00295637">
        <w:rPr>
          <w:rFonts w:ascii="Times New Roman" w:hAnsi="Times New Roman"/>
          <w:szCs w:val="24"/>
          <w:lang w:val="en-GB"/>
        </w:rPr>
        <w:t xml:space="preserve"> </w:t>
      </w:r>
      <w:r>
        <w:rPr>
          <w:rFonts w:ascii="Times New Roman" w:hAnsi="Times New Roman"/>
          <w:szCs w:val="24"/>
          <w:lang w:val="en-GB"/>
        </w:rPr>
        <w:t>основу</w:t>
      </w:r>
      <w:r w:rsidR="00290586" w:rsidRPr="00295637">
        <w:rPr>
          <w:rFonts w:ascii="Times New Roman" w:hAnsi="Times New Roman"/>
          <w:szCs w:val="24"/>
          <w:lang w:val="en-GB"/>
        </w:rPr>
        <w:t xml:space="preserve"> </w:t>
      </w:r>
      <w:r>
        <w:rPr>
          <w:rFonts w:ascii="Times New Roman" w:hAnsi="Times New Roman"/>
          <w:szCs w:val="24"/>
          <w:lang w:val="en-GB"/>
        </w:rPr>
        <w:t>правног</w:t>
      </w:r>
      <w:r w:rsidR="00290586" w:rsidRPr="00295637">
        <w:rPr>
          <w:rFonts w:ascii="Times New Roman" w:hAnsi="Times New Roman"/>
          <w:szCs w:val="24"/>
          <w:lang w:val="en-GB"/>
        </w:rPr>
        <w:t xml:space="preserve"> </w:t>
      </w:r>
      <w:r>
        <w:rPr>
          <w:rFonts w:ascii="Times New Roman" w:hAnsi="Times New Roman"/>
          <w:szCs w:val="24"/>
          <w:lang w:val="en-GB"/>
        </w:rPr>
        <w:t>статуса</w:t>
      </w:r>
      <w:r w:rsidR="00290586" w:rsidRPr="00295637">
        <w:rPr>
          <w:rFonts w:ascii="Times New Roman" w:hAnsi="Times New Roman"/>
          <w:szCs w:val="24"/>
          <w:lang w:val="en-GB"/>
        </w:rPr>
        <w:t xml:space="preserve"> </w:t>
      </w:r>
      <w:r>
        <w:rPr>
          <w:rFonts w:ascii="Times New Roman" w:hAnsi="Times New Roman"/>
          <w:szCs w:val="24"/>
          <w:lang w:val="en-GB"/>
        </w:rPr>
        <w:t>у</w:t>
      </w:r>
      <w:r w:rsidR="00290586" w:rsidRPr="00295637">
        <w:rPr>
          <w:rFonts w:ascii="Times New Roman" w:hAnsi="Times New Roman"/>
          <w:szCs w:val="24"/>
          <w:lang w:val="en-GB"/>
        </w:rPr>
        <w:t xml:space="preserve"> </w:t>
      </w:r>
      <w:r>
        <w:rPr>
          <w:rFonts w:ascii="Times New Roman" w:hAnsi="Times New Roman"/>
          <w:szCs w:val="24"/>
          <w:lang w:val="en-GB"/>
        </w:rPr>
        <w:t>здравственом</w:t>
      </w:r>
      <w:r w:rsidR="00290586" w:rsidRPr="00295637">
        <w:rPr>
          <w:rFonts w:ascii="Times New Roman" w:hAnsi="Times New Roman"/>
          <w:szCs w:val="24"/>
          <w:lang w:val="en-GB"/>
        </w:rPr>
        <w:t xml:space="preserve"> </w:t>
      </w:r>
      <w:r>
        <w:rPr>
          <w:rFonts w:ascii="Times New Roman" w:hAnsi="Times New Roman"/>
          <w:szCs w:val="24"/>
          <w:lang w:val="en-GB"/>
        </w:rPr>
        <w:t>сектору</w:t>
      </w:r>
      <w:r w:rsidR="00290586" w:rsidRPr="00295637">
        <w:rPr>
          <w:rFonts w:ascii="Times New Roman" w:hAnsi="Times New Roman"/>
          <w:szCs w:val="24"/>
          <w:lang w:val="en-GB"/>
        </w:rPr>
        <w:t xml:space="preserve">. </w:t>
      </w:r>
      <w:r w:rsidR="00722ACE" w:rsidRPr="00722ACE">
        <w:rPr>
          <w:rFonts w:ascii="Times New Roman" w:eastAsia="Aptos" w:hAnsi="Times New Roman"/>
          <w:i/>
          <w:szCs w:val="24"/>
        </w:rPr>
        <w:t>UNICEF</w:t>
      </w:r>
      <w:r w:rsidR="00CF2F55" w:rsidRPr="00295637">
        <w:rPr>
          <w:rFonts w:ascii="Times New Roman" w:eastAsia="Aptos" w:hAnsi="Times New Roman"/>
          <w:szCs w:val="24"/>
        </w:rPr>
        <w:t xml:space="preserve"> </w:t>
      </w:r>
      <w:r>
        <w:rPr>
          <w:rFonts w:ascii="Times New Roman" w:eastAsia="Aptos" w:hAnsi="Times New Roman"/>
          <w:szCs w:val="24"/>
        </w:rPr>
        <w:t>је</w:t>
      </w:r>
      <w:r w:rsidR="00CF2F55" w:rsidRPr="00295637">
        <w:rPr>
          <w:rFonts w:ascii="Times New Roman" w:eastAsia="Aptos" w:hAnsi="Times New Roman"/>
          <w:szCs w:val="24"/>
        </w:rPr>
        <w:t xml:space="preserve"> </w:t>
      </w:r>
      <w:r>
        <w:rPr>
          <w:rFonts w:ascii="Times New Roman" w:eastAsia="Aptos" w:hAnsi="Times New Roman"/>
          <w:szCs w:val="24"/>
        </w:rPr>
        <w:t>интегри</w:t>
      </w:r>
      <w:r w:rsidR="00722ACE">
        <w:rPr>
          <w:rFonts w:ascii="Times New Roman" w:eastAsia="Aptos" w:hAnsi="Times New Roman"/>
          <w:szCs w:val="24"/>
          <w:lang w:val="sr-Cyrl-BA"/>
        </w:rPr>
        <w:t>с</w:t>
      </w:r>
      <w:r>
        <w:rPr>
          <w:rFonts w:ascii="Times New Roman" w:eastAsia="Aptos" w:hAnsi="Times New Roman"/>
          <w:szCs w:val="24"/>
        </w:rPr>
        <w:t>ао</w:t>
      </w:r>
      <w:r w:rsidR="00CF2F55" w:rsidRPr="00295637">
        <w:rPr>
          <w:rFonts w:ascii="Times New Roman" w:eastAsia="Aptos" w:hAnsi="Times New Roman"/>
          <w:szCs w:val="24"/>
        </w:rPr>
        <w:t xml:space="preserve"> </w:t>
      </w:r>
      <w:r>
        <w:rPr>
          <w:rFonts w:ascii="Times New Roman" w:eastAsia="Aptos" w:hAnsi="Times New Roman"/>
          <w:szCs w:val="24"/>
        </w:rPr>
        <w:t>родну</w:t>
      </w:r>
      <w:r w:rsidR="00CF2F55" w:rsidRPr="00295637">
        <w:rPr>
          <w:rFonts w:ascii="Times New Roman" w:eastAsia="Aptos" w:hAnsi="Times New Roman"/>
          <w:szCs w:val="24"/>
        </w:rPr>
        <w:t xml:space="preserve"> </w:t>
      </w:r>
      <w:r>
        <w:rPr>
          <w:rFonts w:ascii="Times New Roman" w:eastAsia="Aptos" w:hAnsi="Times New Roman"/>
          <w:szCs w:val="24"/>
        </w:rPr>
        <w:t>перспективу</w:t>
      </w:r>
      <w:r w:rsidR="00CF2F55" w:rsidRPr="00295637">
        <w:rPr>
          <w:rFonts w:ascii="Times New Roman" w:eastAsia="Aptos" w:hAnsi="Times New Roman"/>
          <w:szCs w:val="24"/>
        </w:rPr>
        <w:t xml:space="preserve"> </w:t>
      </w:r>
      <w:r>
        <w:rPr>
          <w:rFonts w:ascii="Times New Roman" w:eastAsia="Aptos" w:hAnsi="Times New Roman"/>
          <w:szCs w:val="24"/>
        </w:rPr>
        <w:t>у</w:t>
      </w:r>
      <w:r w:rsidR="00CF2F55" w:rsidRPr="00295637">
        <w:rPr>
          <w:rFonts w:ascii="Times New Roman" w:eastAsia="Aptos" w:hAnsi="Times New Roman"/>
          <w:szCs w:val="24"/>
        </w:rPr>
        <w:t xml:space="preserve"> </w:t>
      </w:r>
      <w:r>
        <w:rPr>
          <w:rFonts w:ascii="Times New Roman" w:eastAsia="Aptos" w:hAnsi="Times New Roman"/>
          <w:szCs w:val="24"/>
        </w:rPr>
        <w:t>програме</w:t>
      </w:r>
      <w:r w:rsidR="00CF2F55" w:rsidRPr="00295637">
        <w:rPr>
          <w:rFonts w:ascii="Times New Roman" w:eastAsia="Aptos" w:hAnsi="Times New Roman"/>
          <w:szCs w:val="24"/>
        </w:rPr>
        <w:t xml:space="preserve"> </w:t>
      </w:r>
      <w:r>
        <w:rPr>
          <w:rFonts w:ascii="Times New Roman" w:eastAsia="Aptos" w:hAnsi="Times New Roman"/>
          <w:szCs w:val="24"/>
        </w:rPr>
        <w:t>из</w:t>
      </w:r>
      <w:r w:rsidR="00CF2F55" w:rsidRPr="00295637">
        <w:rPr>
          <w:rFonts w:ascii="Times New Roman" w:eastAsia="Aptos" w:hAnsi="Times New Roman"/>
          <w:szCs w:val="24"/>
        </w:rPr>
        <w:t xml:space="preserve"> </w:t>
      </w:r>
      <w:r>
        <w:rPr>
          <w:rFonts w:ascii="Times New Roman" w:eastAsia="Aptos" w:hAnsi="Times New Roman"/>
          <w:szCs w:val="24"/>
        </w:rPr>
        <w:t>области</w:t>
      </w:r>
      <w:r w:rsidR="00505D95">
        <w:rPr>
          <w:rFonts w:ascii="Times New Roman" w:eastAsia="Aptos" w:hAnsi="Times New Roman"/>
          <w:szCs w:val="24"/>
        </w:rPr>
        <w:t xml:space="preserve"> </w:t>
      </w:r>
      <w:r>
        <w:rPr>
          <w:rFonts w:ascii="Times New Roman" w:eastAsia="Aptos" w:hAnsi="Times New Roman"/>
          <w:szCs w:val="24"/>
        </w:rPr>
        <w:t>здравља</w:t>
      </w:r>
      <w:r w:rsidR="00505D95">
        <w:rPr>
          <w:rFonts w:ascii="Times New Roman" w:eastAsia="Aptos" w:hAnsi="Times New Roman"/>
          <w:szCs w:val="24"/>
        </w:rPr>
        <w:t xml:space="preserve"> </w:t>
      </w:r>
      <w:r>
        <w:rPr>
          <w:rFonts w:ascii="Times New Roman" w:eastAsia="Aptos" w:hAnsi="Times New Roman"/>
          <w:szCs w:val="24"/>
        </w:rPr>
        <w:t>и</w:t>
      </w:r>
      <w:r w:rsidR="00505D95">
        <w:rPr>
          <w:rFonts w:ascii="Times New Roman" w:eastAsia="Aptos" w:hAnsi="Times New Roman"/>
          <w:szCs w:val="24"/>
        </w:rPr>
        <w:t xml:space="preserve"> </w:t>
      </w:r>
      <w:r>
        <w:rPr>
          <w:rFonts w:ascii="Times New Roman" w:eastAsia="Aptos" w:hAnsi="Times New Roman"/>
          <w:szCs w:val="24"/>
        </w:rPr>
        <w:t>исхране</w:t>
      </w:r>
      <w:r w:rsidR="00505D95">
        <w:rPr>
          <w:rFonts w:ascii="Times New Roman" w:eastAsia="Aptos" w:hAnsi="Times New Roman"/>
          <w:szCs w:val="24"/>
        </w:rPr>
        <w:t xml:space="preserve">, </w:t>
      </w:r>
      <w:r>
        <w:rPr>
          <w:rFonts w:ascii="Times New Roman" w:eastAsia="Aptos" w:hAnsi="Times New Roman"/>
          <w:szCs w:val="24"/>
        </w:rPr>
        <w:t>са</w:t>
      </w:r>
      <w:r w:rsidR="00CF2F55" w:rsidRPr="00295637">
        <w:rPr>
          <w:rFonts w:ascii="Times New Roman" w:eastAsia="Aptos" w:hAnsi="Times New Roman"/>
          <w:szCs w:val="24"/>
        </w:rPr>
        <w:t xml:space="preserve"> </w:t>
      </w:r>
      <w:r>
        <w:rPr>
          <w:rFonts w:ascii="Times New Roman" w:eastAsia="Aptos" w:hAnsi="Times New Roman"/>
          <w:szCs w:val="24"/>
        </w:rPr>
        <w:t>посебним</w:t>
      </w:r>
      <w:r w:rsidR="00CF2F55" w:rsidRPr="00295637">
        <w:rPr>
          <w:rFonts w:ascii="Times New Roman" w:eastAsia="Aptos" w:hAnsi="Times New Roman"/>
          <w:szCs w:val="24"/>
        </w:rPr>
        <w:t xml:space="preserve"> </w:t>
      </w:r>
      <w:r>
        <w:rPr>
          <w:rFonts w:ascii="Times New Roman" w:eastAsia="Aptos" w:hAnsi="Times New Roman"/>
          <w:szCs w:val="24"/>
        </w:rPr>
        <w:t>фокусом</w:t>
      </w:r>
      <w:r w:rsidR="00CF2F55" w:rsidRPr="00295637">
        <w:rPr>
          <w:rFonts w:ascii="Times New Roman" w:eastAsia="Aptos" w:hAnsi="Times New Roman"/>
          <w:szCs w:val="24"/>
        </w:rPr>
        <w:t xml:space="preserve"> </w:t>
      </w:r>
      <w:r>
        <w:rPr>
          <w:rFonts w:ascii="Times New Roman" w:eastAsia="Aptos" w:hAnsi="Times New Roman"/>
          <w:szCs w:val="24"/>
        </w:rPr>
        <w:t>на</w:t>
      </w:r>
      <w:r w:rsidR="00CF2F55" w:rsidRPr="00295637">
        <w:rPr>
          <w:rFonts w:ascii="Times New Roman" w:eastAsia="Aptos" w:hAnsi="Times New Roman"/>
          <w:szCs w:val="24"/>
        </w:rPr>
        <w:t xml:space="preserve"> </w:t>
      </w:r>
      <w:r>
        <w:rPr>
          <w:rFonts w:ascii="Times New Roman" w:eastAsia="Aptos" w:hAnsi="Times New Roman"/>
          <w:szCs w:val="24"/>
        </w:rPr>
        <w:t>ментално</w:t>
      </w:r>
      <w:r w:rsidR="00834321" w:rsidRPr="00295637">
        <w:rPr>
          <w:rFonts w:ascii="Times New Roman" w:eastAsia="Aptos" w:hAnsi="Times New Roman"/>
          <w:szCs w:val="24"/>
        </w:rPr>
        <w:t xml:space="preserve"> </w:t>
      </w:r>
      <w:r>
        <w:rPr>
          <w:rFonts w:ascii="Times New Roman" w:eastAsia="Aptos" w:hAnsi="Times New Roman"/>
          <w:szCs w:val="24"/>
        </w:rPr>
        <w:t>здравље</w:t>
      </w:r>
      <w:r w:rsidR="00834321" w:rsidRPr="00295637">
        <w:rPr>
          <w:rFonts w:ascii="Times New Roman" w:eastAsia="Aptos" w:hAnsi="Times New Roman"/>
          <w:szCs w:val="24"/>
        </w:rPr>
        <w:t xml:space="preserve"> </w:t>
      </w:r>
      <w:r>
        <w:rPr>
          <w:rFonts w:ascii="Times New Roman" w:eastAsia="Aptos" w:hAnsi="Times New Roman"/>
          <w:szCs w:val="24"/>
        </w:rPr>
        <w:t>адолесценткиња</w:t>
      </w:r>
      <w:r w:rsidR="00834321" w:rsidRPr="00295637">
        <w:rPr>
          <w:rFonts w:ascii="Times New Roman" w:eastAsia="Aptos" w:hAnsi="Times New Roman"/>
          <w:szCs w:val="24"/>
        </w:rPr>
        <w:t xml:space="preserve">. </w:t>
      </w:r>
      <w:r>
        <w:rPr>
          <w:rFonts w:ascii="Times New Roman" w:eastAsia="Aptos" w:hAnsi="Times New Roman"/>
          <w:szCs w:val="24"/>
        </w:rPr>
        <w:t>Пројекат</w:t>
      </w:r>
      <w:r w:rsidR="00CF2F55" w:rsidRPr="00295637">
        <w:rPr>
          <w:rFonts w:ascii="Times New Roman" w:eastAsia="Aptos" w:hAnsi="Times New Roman"/>
          <w:szCs w:val="24"/>
        </w:rPr>
        <w:t xml:space="preserve"> “</w:t>
      </w:r>
      <w:r>
        <w:rPr>
          <w:rFonts w:ascii="Times New Roman" w:eastAsia="Aptos" w:hAnsi="Times New Roman"/>
          <w:szCs w:val="24"/>
        </w:rPr>
        <w:t>Зашто</w:t>
      </w:r>
      <w:r w:rsidR="00CF2F55" w:rsidRPr="00295637">
        <w:rPr>
          <w:rFonts w:ascii="Times New Roman" w:eastAsia="Aptos" w:hAnsi="Times New Roman"/>
          <w:szCs w:val="24"/>
        </w:rPr>
        <w:t xml:space="preserve"> </w:t>
      </w:r>
      <w:r>
        <w:rPr>
          <w:rFonts w:ascii="Times New Roman" w:eastAsia="Aptos" w:hAnsi="Times New Roman"/>
          <w:szCs w:val="24"/>
        </w:rPr>
        <w:t>је</w:t>
      </w:r>
      <w:r w:rsidR="00CF2F55" w:rsidRPr="00295637">
        <w:rPr>
          <w:rFonts w:ascii="Times New Roman" w:eastAsia="Aptos" w:hAnsi="Times New Roman"/>
          <w:szCs w:val="24"/>
        </w:rPr>
        <w:t xml:space="preserve"> </w:t>
      </w:r>
      <w:r>
        <w:rPr>
          <w:rFonts w:ascii="Times New Roman" w:eastAsia="Aptos" w:hAnsi="Times New Roman"/>
          <w:szCs w:val="24"/>
        </w:rPr>
        <w:t>важно</w:t>
      </w:r>
      <w:r w:rsidR="00CF2F55" w:rsidRPr="00295637">
        <w:rPr>
          <w:rFonts w:ascii="Times New Roman" w:eastAsia="Aptos" w:hAnsi="Times New Roman"/>
          <w:szCs w:val="24"/>
        </w:rPr>
        <w:t xml:space="preserve">”, </w:t>
      </w:r>
      <w:r>
        <w:rPr>
          <w:rFonts w:ascii="Times New Roman" w:eastAsia="Aptos" w:hAnsi="Times New Roman"/>
          <w:szCs w:val="24"/>
        </w:rPr>
        <w:t>реализ</w:t>
      </w:r>
      <w:r w:rsidR="00722ACE">
        <w:rPr>
          <w:rFonts w:ascii="Times New Roman" w:eastAsia="Aptos" w:hAnsi="Times New Roman"/>
          <w:szCs w:val="24"/>
          <w:lang w:val="sr-Cyrl-BA"/>
        </w:rPr>
        <w:t>ован</w:t>
      </w:r>
      <w:r w:rsidR="00CF2F55" w:rsidRPr="00295637">
        <w:rPr>
          <w:rFonts w:ascii="Times New Roman" w:eastAsia="Aptos" w:hAnsi="Times New Roman"/>
          <w:szCs w:val="24"/>
        </w:rPr>
        <w:t xml:space="preserve"> </w:t>
      </w:r>
      <w:r>
        <w:rPr>
          <w:rFonts w:ascii="Times New Roman" w:eastAsia="Aptos" w:hAnsi="Times New Roman"/>
          <w:szCs w:val="24"/>
        </w:rPr>
        <w:t>са</w:t>
      </w:r>
      <w:r w:rsidR="00CF2F55" w:rsidRPr="00295637">
        <w:rPr>
          <w:rFonts w:ascii="Times New Roman" w:eastAsia="Aptos" w:hAnsi="Times New Roman"/>
          <w:szCs w:val="24"/>
        </w:rPr>
        <w:t xml:space="preserve"> </w:t>
      </w:r>
      <w:r>
        <w:rPr>
          <w:rFonts w:ascii="Times New Roman" w:eastAsia="Aptos" w:hAnsi="Times New Roman"/>
          <w:szCs w:val="24"/>
        </w:rPr>
        <w:t>Удружењем</w:t>
      </w:r>
      <w:r w:rsidR="00CF2F55" w:rsidRPr="00295637">
        <w:rPr>
          <w:rFonts w:ascii="Times New Roman" w:eastAsia="Aptos" w:hAnsi="Times New Roman"/>
          <w:szCs w:val="24"/>
        </w:rPr>
        <w:t xml:space="preserve"> </w:t>
      </w:r>
      <w:r>
        <w:rPr>
          <w:rFonts w:ascii="Times New Roman" w:eastAsia="Aptos" w:hAnsi="Times New Roman"/>
          <w:szCs w:val="24"/>
        </w:rPr>
        <w:t>студената</w:t>
      </w:r>
      <w:r w:rsidR="00CF2F55" w:rsidRPr="00295637">
        <w:rPr>
          <w:rFonts w:ascii="Times New Roman" w:eastAsia="Aptos" w:hAnsi="Times New Roman"/>
          <w:szCs w:val="24"/>
        </w:rPr>
        <w:t xml:space="preserve"> </w:t>
      </w:r>
      <w:r>
        <w:rPr>
          <w:rFonts w:ascii="Times New Roman" w:eastAsia="Aptos" w:hAnsi="Times New Roman"/>
          <w:szCs w:val="24"/>
        </w:rPr>
        <w:t>медицине</w:t>
      </w:r>
      <w:r w:rsidR="00CF2F55" w:rsidRPr="00295637">
        <w:rPr>
          <w:rFonts w:ascii="Times New Roman" w:eastAsia="Aptos" w:hAnsi="Times New Roman"/>
          <w:szCs w:val="24"/>
        </w:rPr>
        <w:t xml:space="preserve"> </w:t>
      </w:r>
      <w:r>
        <w:rPr>
          <w:rFonts w:ascii="Times New Roman" w:eastAsia="Aptos" w:hAnsi="Times New Roman"/>
          <w:szCs w:val="24"/>
        </w:rPr>
        <w:t>РС</w:t>
      </w:r>
      <w:r w:rsidR="00CF2F55" w:rsidRPr="00295637">
        <w:rPr>
          <w:rFonts w:ascii="Times New Roman" w:eastAsia="Aptos" w:hAnsi="Times New Roman"/>
          <w:szCs w:val="24"/>
        </w:rPr>
        <w:t xml:space="preserve">, </w:t>
      </w:r>
      <w:r>
        <w:rPr>
          <w:rFonts w:ascii="Times New Roman" w:eastAsia="Aptos" w:hAnsi="Times New Roman"/>
          <w:szCs w:val="24"/>
        </w:rPr>
        <w:t>укључио</w:t>
      </w:r>
      <w:r w:rsidR="00CF2F55" w:rsidRPr="00295637">
        <w:rPr>
          <w:rFonts w:ascii="Times New Roman" w:eastAsia="Aptos" w:hAnsi="Times New Roman"/>
          <w:szCs w:val="24"/>
        </w:rPr>
        <w:t xml:space="preserve"> </w:t>
      </w:r>
      <w:r>
        <w:rPr>
          <w:rFonts w:ascii="Times New Roman" w:eastAsia="Aptos" w:hAnsi="Times New Roman"/>
          <w:szCs w:val="24"/>
        </w:rPr>
        <w:t>је</w:t>
      </w:r>
      <w:r w:rsidR="00CF2F55" w:rsidRPr="00295637">
        <w:rPr>
          <w:rFonts w:ascii="Times New Roman" w:eastAsia="Aptos" w:hAnsi="Times New Roman"/>
          <w:szCs w:val="24"/>
        </w:rPr>
        <w:t xml:space="preserve"> 310 </w:t>
      </w:r>
      <w:r>
        <w:rPr>
          <w:rFonts w:ascii="Times New Roman" w:eastAsia="Aptos" w:hAnsi="Times New Roman"/>
          <w:szCs w:val="24"/>
        </w:rPr>
        <w:t>адолесцената</w:t>
      </w:r>
      <w:r w:rsidR="00CF2F55" w:rsidRPr="00295637">
        <w:rPr>
          <w:rFonts w:ascii="Times New Roman" w:eastAsia="Aptos" w:hAnsi="Times New Roman"/>
          <w:szCs w:val="24"/>
        </w:rPr>
        <w:t xml:space="preserve"> </w:t>
      </w:r>
      <w:r>
        <w:rPr>
          <w:rFonts w:ascii="Times New Roman" w:eastAsia="Aptos" w:hAnsi="Times New Roman"/>
          <w:szCs w:val="24"/>
        </w:rPr>
        <w:t>који</w:t>
      </w:r>
      <w:r w:rsidR="00CF2F55" w:rsidRPr="00295637">
        <w:rPr>
          <w:rFonts w:ascii="Times New Roman" w:eastAsia="Aptos" w:hAnsi="Times New Roman"/>
          <w:szCs w:val="24"/>
        </w:rPr>
        <w:t xml:space="preserve"> </w:t>
      </w:r>
      <w:r>
        <w:rPr>
          <w:rFonts w:ascii="Times New Roman" w:eastAsia="Aptos" w:hAnsi="Times New Roman"/>
          <w:szCs w:val="24"/>
        </w:rPr>
        <w:t>су</w:t>
      </w:r>
      <w:r w:rsidR="00CF2F55" w:rsidRPr="00295637">
        <w:rPr>
          <w:rFonts w:ascii="Times New Roman" w:eastAsia="Aptos" w:hAnsi="Times New Roman"/>
          <w:szCs w:val="24"/>
        </w:rPr>
        <w:t xml:space="preserve"> </w:t>
      </w:r>
      <w:r>
        <w:rPr>
          <w:rFonts w:ascii="Times New Roman" w:eastAsia="Aptos" w:hAnsi="Times New Roman"/>
          <w:szCs w:val="24"/>
        </w:rPr>
        <w:t>кроз</w:t>
      </w:r>
      <w:r w:rsidR="00CF2F55" w:rsidRPr="00295637">
        <w:rPr>
          <w:rFonts w:ascii="Times New Roman" w:eastAsia="Aptos" w:hAnsi="Times New Roman"/>
          <w:szCs w:val="24"/>
        </w:rPr>
        <w:t xml:space="preserve"> 10 </w:t>
      </w:r>
      <w:r>
        <w:rPr>
          <w:rFonts w:ascii="Times New Roman" w:eastAsia="Aptos" w:hAnsi="Times New Roman"/>
          <w:szCs w:val="24"/>
        </w:rPr>
        <w:t>сусрета</w:t>
      </w:r>
      <w:r w:rsidR="00CF2F55" w:rsidRPr="00295637">
        <w:rPr>
          <w:rFonts w:ascii="Times New Roman" w:eastAsia="Aptos" w:hAnsi="Times New Roman"/>
          <w:szCs w:val="24"/>
        </w:rPr>
        <w:t xml:space="preserve"> </w:t>
      </w:r>
      <w:r>
        <w:rPr>
          <w:rFonts w:ascii="Times New Roman" w:eastAsia="Aptos" w:hAnsi="Times New Roman"/>
          <w:szCs w:val="24"/>
        </w:rPr>
        <w:t>и</w:t>
      </w:r>
      <w:r w:rsidR="00CF2F55" w:rsidRPr="00295637">
        <w:rPr>
          <w:rFonts w:ascii="Times New Roman" w:eastAsia="Aptos" w:hAnsi="Times New Roman"/>
          <w:szCs w:val="24"/>
        </w:rPr>
        <w:t xml:space="preserve"> </w:t>
      </w:r>
      <w:r>
        <w:rPr>
          <w:rFonts w:ascii="Times New Roman" w:eastAsia="Aptos" w:hAnsi="Times New Roman"/>
          <w:szCs w:val="24"/>
        </w:rPr>
        <w:t>три</w:t>
      </w:r>
      <w:r w:rsidR="00CF2F55" w:rsidRPr="00295637">
        <w:rPr>
          <w:rFonts w:ascii="Times New Roman" w:eastAsia="Aptos" w:hAnsi="Times New Roman"/>
          <w:szCs w:val="24"/>
        </w:rPr>
        <w:t xml:space="preserve"> </w:t>
      </w:r>
      <w:r>
        <w:rPr>
          <w:rFonts w:ascii="Times New Roman" w:eastAsia="Aptos" w:hAnsi="Times New Roman"/>
          <w:szCs w:val="24"/>
        </w:rPr>
        <w:t>радионице</w:t>
      </w:r>
      <w:r w:rsidR="00CF2F55" w:rsidRPr="00295637">
        <w:rPr>
          <w:rFonts w:ascii="Times New Roman" w:eastAsia="Aptos" w:hAnsi="Times New Roman"/>
          <w:szCs w:val="24"/>
        </w:rPr>
        <w:t xml:space="preserve"> </w:t>
      </w:r>
      <w:r>
        <w:rPr>
          <w:rFonts w:ascii="Times New Roman" w:eastAsia="Aptos" w:hAnsi="Times New Roman"/>
          <w:szCs w:val="24"/>
        </w:rPr>
        <w:t>кухања</w:t>
      </w:r>
      <w:r w:rsidR="00CF2F55" w:rsidRPr="00295637">
        <w:rPr>
          <w:rFonts w:ascii="Times New Roman" w:eastAsia="Aptos" w:hAnsi="Times New Roman"/>
          <w:szCs w:val="24"/>
        </w:rPr>
        <w:t xml:space="preserve"> </w:t>
      </w:r>
      <w:r>
        <w:rPr>
          <w:rFonts w:ascii="Times New Roman" w:eastAsia="Aptos" w:hAnsi="Times New Roman"/>
          <w:szCs w:val="24"/>
        </w:rPr>
        <w:t>учили</w:t>
      </w:r>
      <w:r w:rsidR="00CF2F55" w:rsidRPr="00295637">
        <w:rPr>
          <w:rFonts w:ascii="Times New Roman" w:eastAsia="Aptos" w:hAnsi="Times New Roman"/>
          <w:szCs w:val="24"/>
        </w:rPr>
        <w:t xml:space="preserve"> </w:t>
      </w:r>
      <w:r>
        <w:rPr>
          <w:rFonts w:ascii="Times New Roman" w:eastAsia="Aptos" w:hAnsi="Times New Roman"/>
          <w:szCs w:val="24"/>
        </w:rPr>
        <w:t>о</w:t>
      </w:r>
      <w:r w:rsidR="00CF2F55" w:rsidRPr="00295637">
        <w:rPr>
          <w:rFonts w:ascii="Times New Roman" w:eastAsia="Aptos" w:hAnsi="Times New Roman"/>
          <w:szCs w:val="24"/>
        </w:rPr>
        <w:t xml:space="preserve"> </w:t>
      </w:r>
      <w:r>
        <w:rPr>
          <w:rFonts w:ascii="Times New Roman" w:eastAsia="Aptos" w:hAnsi="Times New Roman"/>
          <w:szCs w:val="24"/>
        </w:rPr>
        <w:t>здравим</w:t>
      </w:r>
      <w:r w:rsidR="00CF2F55" w:rsidRPr="00295637">
        <w:rPr>
          <w:rFonts w:ascii="Times New Roman" w:eastAsia="Aptos" w:hAnsi="Times New Roman"/>
          <w:szCs w:val="24"/>
        </w:rPr>
        <w:t xml:space="preserve"> </w:t>
      </w:r>
      <w:r>
        <w:rPr>
          <w:rFonts w:ascii="Times New Roman" w:eastAsia="Aptos" w:hAnsi="Times New Roman"/>
          <w:szCs w:val="24"/>
        </w:rPr>
        <w:t>навикама</w:t>
      </w:r>
      <w:r w:rsidR="00CF2F55" w:rsidRPr="00295637">
        <w:rPr>
          <w:rFonts w:ascii="Times New Roman" w:eastAsia="Aptos" w:hAnsi="Times New Roman"/>
          <w:szCs w:val="24"/>
        </w:rPr>
        <w:t xml:space="preserve">, </w:t>
      </w:r>
      <w:r>
        <w:rPr>
          <w:rFonts w:ascii="Times New Roman" w:eastAsia="Aptos" w:hAnsi="Times New Roman"/>
          <w:szCs w:val="24"/>
        </w:rPr>
        <w:t>самопоуздању</w:t>
      </w:r>
      <w:r w:rsidR="00CF2F55" w:rsidRPr="00295637">
        <w:rPr>
          <w:rFonts w:ascii="Times New Roman" w:eastAsia="Aptos" w:hAnsi="Times New Roman"/>
          <w:szCs w:val="24"/>
        </w:rPr>
        <w:t xml:space="preserve"> </w:t>
      </w:r>
      <w:r>
        <w:rPr>
          <w:rFonts w:ascii="Times New Roman" w:eastAsia="Aptos" w:hAnsi="Times New Roman"/>
          <w:szCs w:val="24"/>
        </w:rPr>
        <w:t>и</w:t>
      </w:r>
      <w:r w:rsidR="00CF2F55" w:rsidRPr="00295637">
        <w:rPr>
          <w:rFonts w:ascii="Times New Roman" w:eastAsia="Aptos" w:hAnsi="Times New Roman"/>
          <w:szCs w:val="24"/>
        </w:rPr>
        <w:t xml:space="preserve"> </w:t>
      </w:r>
      <w:r>
        <w:rPr>
          <w:rFonts w:ascii="Times New Roman" w:eastAsia="Aptos" w:hAnsi="Times New Roman"/>
          <w:szCs w:val="24"/>
        </w:rPr>
        <w:t>исхрани</w:t>
      </w:r>
      <w:r w:rsidR="00CF2F55" w:rsidRPr="00295637">
        <w:rPr>
          <w:rFonts w:ascii="Times New Roman" w:eastAsia="Aptos" w:hAnsi="Times New Roman"/>
          <w:szCs w:val="24"/>
        </w:rPr>
        <w:t>.</w:t>
      </w:r>
      <w:r w:rsidR="00834321" w:rsidRPr="00295637">
        <w:rPr>
          <w:rFonts w:ascii="Times New Roman" w:hAnsi="Times New Roman"/>
          <w:szCs w:val="24"/>
        </w:rPr>
        <w:t xml:space="preserve"> </w:t>
      </w:r>
      <w:r>
        <w:rPr>
          <w:rFonts w:ascii="Times New Roman" w:eastAsia="Aptos" w:hAnsi="Times New Roman"/>
          <w:szCs w:val="24"/>
        </w:rPr>
        <w:t>Проведена</w:t>
      </w:r>
      <w:r w:rsidR="00CF2F55" w:rsidRPr="00295637">
        <w:rPr>
          <w:rFonts w:ascii="Times New Roman" w:eastAsia="Aptos" w:hAnsi="Times New Roman"/>
          <w:szCs w:val="24"/>
        </w:rPr>
        <w:t xml:space="preserve"> </w:t>
      </w:r>
      <w:r>
        <w:rPr>
          <w:rFonts w:ascii="Times New Roman" w:eastAsia="Aptos" w:hAnsi="Times New Roman"/>
          <w:szCs w:val="24"/>
        </w:rPr>
        <w:t>је</w:t>
      </w:r>
      <w:r w:rsidR="00CF2F55" w:rsidRPr="00295637">
        <w:rPr>
          <w:rFonts w:ascii="Times New Roman" w:eastAsia="Aptos" w:hAnsi="Times New Roman"/>
          <w:szCs w:val="24"/>
        </w:rPr>
        <w:t xml:space="preserve"> </w:t>
      </w:r>
      <w:r>
        <w:rPr>
          <w:rFonts w:ascii="Times New Roman" w:eastAsia="Aptos" w:hAnsi="Times New Roman"/>
          <w:szCs w:val="24"/>
        </w:rPr>
        <w:t>родно</w:t>
      </w:r>
      <w:r w:rsidR="00CF2F55" w:rsidRPr="00295637">
        <w:rPr>
          <w:rFonts w:ascii="Times New Roman" w:eastAsia="Aptos" w:hAnsi="Times New Roman"/>
          <w:szCs w:val="24"/>
        </w:rPr>
        <w:t>-</w:t>
      </w:r>
      <w:r>
        <w:rPr>
          <w:rFonts w:ascii="Times New Roman" w:eastAsia="Aptos" w:hAnsi="Times New Roman"/>
          <w:szCs w:val="24"/>
        </w:rPr>
        <w:t>трансформативна</w:t>
      </w:r>
      <w:r w:rsidR="00CF2F55" w:rsidRPr="00295637">
        <w:rPr>
          <w:rFonts w:ascii="Times New Roman" w:eastAsia="Aptos" w:hAnsi="Times New Roman"/>
          <w:szCs w:val="24"/>
        </w:rPr>
        <w:t xml:space="preserve"> </w:t>
      </w:r>
      <w:r>
        <w:rPr>
          <w:rFonts w:ascii="Times New Roman" w:eastAsia="Aptos" w:hAnsi="Times New Roman"/>
          <w:szCs w:val="24"/>
        </w:rPr>
        <w:t>студија</w:t>
      </w:r>
      <w:r w:rsidR="00CF2F55" w:rsidRPr="00295637">
        <w:rPr>
          <w:rFonts w:ascii="Times New Roman" w:eastAsia="Aptos" w:hAnsi="Times New Roman"/>
          <w:szCs w:val="24"/>
        </w:rPr>
        <w:t xml:space="preserve"> </w:t>
      </w:r>
      <w:r>
        <w:rPr>
          <w:rFonts w:ascii="Times New Roman" w:eastAsia="Aptos" w:hAnsi="Times New Roman"/>
          <w:szCs w:val="24"/>
        </w:rPr>
        <w:t>о</w:t>
      </w:r>
      <w:r w:rsidR="00CF2F55" w:rsidRPr="00295637">
        <w:rPr>
          <w:rFonts w:ascii="Times New Roman" w:eastAsia="Aptos" w:hAnsi="Times New Roman"/>
          <w:szCs w:val="24"/>
        </w:rPr>
        <w:t xml:space="preserve"> </w:t>
      </w:r>
      <w:r>
        <w:rPr>
          <w:rFonts w:ascii="Times New Roman" w:eastAsia="Aptos" w:hAnsi="Times New Roman"/>
          <w:szCs w:val="24"/>
        </w:rPr>
        <w:t>исхрани</w:t>
      </w:r>
      <w:r w:rsidR="00CF2F55" w:rsidRPr="00295637">
        <w:rPr>
          <w:rFonts w:ascii="Times New Roman" w:eastAsia="Aptos" w:hAnsi="Times New Roman"/>
          <w:szCs w:val="24"/>
        </w:rPr>
        <w:t xml:space="preserve">, </w:t>
      </w:r>
      <w:r>
        <w:rPr>
          <w:rFonts w:ascii="Times New Roman" w:eastAsia="Aptos" w:hAnsi="Times New Roman"/>
          <w:szCs w:val="24"/>
        </w:rPr>
        <w:t>која</w:t>
      </w:r>
      <w:r w:rsidR="00CF2F55" w:rsidRPr="00295637">
        <w:rPr>
          <w:rFonts w:ascii="Times New Roman" w:eastAsia="Aptos" w:hAnsi="Times New Roman"/>
          <w:szCs w:val="24"/>
        </w:rPr>
        <w:t xml:space="preserve"> </w:t>
      </w:r>
      <w:r>
        <w:rPr>
          <w:rFonts w:ascii="Times New Roman" w:eastAsia="Aptos" w:hAnsi="Times New Roman"/>
          <w:szCs w:val="24"/>
        </w:rPr>
        <w:t>је</w:t>
      </w:r>
      <w:r w:rsidR="00CF2F55" w:rsidRPr="00295637">
        <w:rPr>
          <w:rFonts w:ascii="Times New Roman" w:eastAsia="Aptos" w:hAnsi="Times New Roman"/>
          <w:szCs w:val="24"/>
        </w:rPr>
        <w:t xml:space="preserve"> </w:t>
      </w:r>
      <w:r>
        <w:rPr>
          <w:rFonts w:ascii="Times New Roman" w:eastAsia="Aptos" w:hAnsi="Times New Roman"/>
          <w:szCs w:val="24"/>
        </w:rPr>
        <w:t>идентифи</w:t>
      </w:r>
      <w:r w:rsidR="00722ACE">
        <w:rPr>
          <w:rFonts w:ascii="Times New Roman" w:eastAsia="Aptos" w:hAnsi="Times New Roman"/>
          <w:szCs w:val="24"/>
          <w:lang w:val="sr-Cyrl-BA"/>
        </w:rPr>
        <w:t>ковала</w:t>
      </w:r>
      <w:r w:rsidR="00CF2F55" w:rsidRPr="00295637">
        <w:rPr>
          <w:rFonts w:ascii="Times New Roman" w:eastAsia="Aptos" w:hAnsi="Times New Roman"/>
          <w:szCs w:val="24"/>
        </w:rPr>
        <w:t xml:space="preserve"> </w:t>
      </w:r>
      <w:r>
        <w:rPr>
          <w:rFonts w:ascii="Times New Roman" w:eastAsia="Aptos" w:hAnsi="Times New Roman"/>
          <w:szCs w:val="24"/>
        </w:rPr>
        <w:t>препреке</w:t>
      </w:r>
      <w:r w:rsidR="00CF2F55" w:rsidRPr="00295637">
        <w:rPr>
          <w:rFonts w:ascii="Times New Roman" w:eastAsia="Aptos" w:hAnsi="Times New Roman"/>
          <w:szCs w:val="24"/>
        </w:rPr>
        <w:t xml:space="preserve"> </w:t>
      </w:r>
      <w:r>
        <w:rPr>
          <w:rFonts w:ascii="Times New Roman" w:eastAsia="Aptos" w:hAnsi="Times New Roman"/>
          <w:szCs w:val="24"/>
        </w:rPr>
        <w:t>у</w:t>
      </w:r>
      <w:r w:rsidR="00CF2F55" w:rsidRPr="00295637">
        <w:rPr>
          <w:rFonts w:ascii="Times New Roman" w:eastAsia="Aptos" w:hAnsi="Times New Roman"/>
          <w:szCs w:val="24"/>
        </w:rPr>
        <w:t xml:space="preserve"> </w:t>
      </w:r>
      <w:r>
        <w:rPr>
          <w:rFonts w:ascii="Times New Roman" w:eastAsia="Aptos" w:hAnsi="Times New Roman"/>
          <w:szCs w:val="24"/>
        </w:rPr>
        <w:t>приступу</w:t>
      </w:r>
      <w:r w:rsidR="00CF2F55" w:rsidRPr="00295637">
        <w:rPr>
          <w:rFonts w:ascii="Times New Roman" w:eastAsia="Aptos" w:hAnsi="Times New Roman"/>
          <w:szCs w:val="24"/>
        </w:rPr>
        <w:t xml:space="preserve"> </w:t>
      </w:r>
      <w:r>
        <w:rPr>
          <w:rFonts w:ascii="Times New Roman" w:eastAsia="Aptos" w:hAnsi="Times New Roman"/>
          <w:szCs w:val="24"/>
        </w:rPr>
        <w:t>здравој</w:t>
      </w:r>
      <w:r w:rsidR="00CF2F55" w:rsidRPr="00295637">
        <w:rPr>
          <w:rFonts w:ascii="Times New Roman" w:eastAsia="Aptos" w:hAnsi="Times New Roman"/>
          <w:szCs w:val="24"/>
        </w:rPr>
        <w:t xml:space="preserve"> </w:t>
      </w:r>
      <w:r>
        <w:rPr>
          <w:rFonts w:ascii="Times New Roman" w:eastAsia="Aptos" w:hAnsi="Times New Roman"/>
          <w:szCs w:val="24"/>
        </w:rPr>
        <w:t>исхрани</w:t>
      </w:r>
      <w:r w:rsidR="00CF2F55" w:rsidRPr="00295637">
        <w:rPr>
          <w:rFonts w:ascii="Times New Roman" w:eastAsia="Aptos" w:hAnsi="Times New Roman"/>
          <w:szCs w:val="24"/>
        </w:rPr>
        <w:t xml:space="preserve"> </w:t>
      </w:r>
      <w:r>
        <w:rPr>
          <w:rFonts w:ascii="Times New Roman" w:eastAsia="Aptos" w:hAnsi="Times New Roman"/>
          <w:szCs w:val="24"/>
        </w:rPr>
        <w:t>за</w:t>
      </w:r>
      <w:r w:rsidR="00CF2F55" w:rsidRPr="00295637">
        <w:rPr>
          <w:rFonts w:ascii="Times New Roman" w:eastAsia="Aptos" w:hAnsi="Times New Roman"/>
          <w:szCs w:val="24"/>
        </w:rPr>
        <w:t xml:space="preserve"> </w:t>
      </w:r>
      <w:r>
        <w:rPr>
          <w:rFonts w:ascii="Times New Roman" w:eastAsia="Aptos" w:hAnsi="Times New Roman"/>
          <w:szCs w:val="24"/>
        </w:rPr>
        <w:t>дјевојчице</w:t>
      </w:r>
      <w:r w:rsidR="00CF2F55" w:rsidRPr="00295637">
        <w:rPr>
          <w:rFonts w:ascii="Times New Roman" w:eastAsia="Aptos" w:hAnsi="Times New Roman"/>
          <w:szCs w:val="24"/>
        </w:rPr>
        <w:t>.</w:t>
      </w:r>
      <w:r w:rsidR="00834321" w:rsidRPr="00295637">
        <w:rPr>
          <w:rFonts w:ascii="Times New Roman" w:hAnsi="Times New Roman"/>
          <w:szCs w:val="24"/>
        </w:rPr>
        <w:t xml:space="preserve"> </w:t>
      </w:r>
      <w:r>
        <w:rPr>
          <w:rFonts w:ascii="Times New Roman" w:eastAsia="Aptos" w:hAnsi="Times New Roman"/>
          <w:szCs w:val="24"/>
        </w:rPr>
        <w:t>Психосоцијалне</w:t>
      </w:r>
      <w:r w:rsidR="00CF2F55" w:rsidRPr="00295637">
        <w:rPr>
          <w:rFonts w:ascii="Times New Roman" w:eastAsia="Aptos" w:hAnsi="Times New Roman"/>
          <w:szCs w:val="24"/>
        </w:rPr>
        <w:t xml:space="preserve"> </w:t>
      </w:r>
      <w:r>
        <w:rPr>
          <w:rFonts w:ascii="Times New Roman" w:eastAsia="Aptos" w:hAnsi="Times New Roman"/>
          <w:szCs w:val="24"/>
        </w:rPr>
        <w:t>интервенције</w:t>
      </w:r>
      <w:r w:rsidR="00CF2F55" w:rsidRPr="00295637">
        <w:rPr>
          <w:rFonts w:ascii="Times New Roman" w:eastAsia="Aptos" w:hAnsi="Times New Roman"/>
          <w:szCs w:val="24"/>
        </w:rPr>
        <w:t xml:space="preserve"> </w:t>
      </w:r>
      <w:r>
        <w:rPr>
          <w:rFonts w:ascii="Times New Roman" w:eastAsia="Aptos" w:hAnsi="Times New Roman"/>
          <w:szCs w:val="24"/>
        </w:rPr>
        <w:t>су</w:t>
      </w:r>
      <w:r w:rsidR="00CF2F55" w:rsidRPr="00295637">
        <w:rPr>
          <w:rFonts w:ascii="Times New Roman" w:eastAsia="Aptos" w:hAnsi="Times New Roman"/>
          <w:szCs w:val="24"/>
        </w:rPr>
        <w:t xml:space="preserve"> </w:t>
      </w:r>
      <w:r>
        <w:rPr>
          <w:rFonts w:ascii="Times New Roman" w:eastAsia="Aptos" w:hAnsi="Times New Roman"/>
          <w:szCs w:val="24"/>
        </w:rPr>
        <w:t>биле</w:t>
      </w:r>
      <w:r w:rsidR="00CF2F55" w:rsidRPr="00295637">
        <w:rPr>
          <w:rFonts w:ascii="Times New Roman" w:eastAsia="Aptos" w:hAnsi="Times New Roman"/>
          <w:szCs w:val="24"/>
        </w:rPr>
        <w:t xml:space="preserve"> </w:t>
      </w:r>
      <w:r>
        <w:rPr>
          <w:rFonts w:ascii="Times New Roman" w:eastAsia="Aptos" w:hAnsi="Times New Roman"/>
          <w:szCs w:val="24"/>
        </w:rPr>
        <w:t>усмјерене</w:t>
      </w:r>
      <w:r w:rsidR="00CF2F55" w:rsidRPr="00295637">
        <w:rPr>
          <w:rFonts w:ascii="Times New Roman" w:eastAsia="Aptos" w:hAnsi="Times New Roman"/>
          <w:szCs w:val="24"/>
        </w:rPr>
        <w:t xml:space="preserve"> </w:t>
      </w:r>
      <w:r>
        <w:rPr>
          <w:rFonts w:ascii="Times New Roman" w:eastAsia="Aptos" w:hAnsi="Times New Roman"/>
          <w:szCs w:val="24"/>
        </w:rPr>
        <w:t>на</w:t>
      </w:r>
      <w:r w:rsidR="00CF2F55" w:rsidRPr="00295637">
        <w:rPr>
          <w:rFonts w:ascii="Times New Roman" w:eastAsia="Aptos" w:hAnsi="Times New Roman"/>
          <w:szCs w:val="24"/>
        </w:rPr>
        <w:t xml:space="preserve"> </w:t>
      </w:r>
      <w:r>
        <w:rPr>
          <w:rFonts w:ascii="Times New Roman" w:eastAsia="Aptos" w:hAnsi="Times New Roman"/>
          <w:szCs w:val="24"/>
        </w:rPr>
        <w:t>дјевојчице</w:t>
      </w:r>
      <w:r w:rsidR="00CF2F55" w:rsidRPr="00295637">
        <w:rPr>
          <w:rFonts w:ascii="Times New Roman" w:eastAsia="Aptos" w:hAnsi="Times New Roman"/>
          <w:szCs w:val="24"/>
        </w:rPr>
        <w:t xml:space="preserve"> </w:t>
      </w:r>
      <w:r>
        <w:rPr>
          <w:rFonts w:ascii="Times New Roman" w:eastAsia="Aptos" w:hAnsi="Times New Roman"/>
          <w:szCs w:val="24"/>
        </w:rPr>
        <w:t>у</w:t>
      </w:r>
      <w:r w:rsidR="00CF2F55" w:rsidRPr="00295637">
        <w:rPr>
          <w:rFonts w:ascii="Times New Roman" w:eastAsia="Aptos" w:hAnsi="Times New Roman"/>
          <w:szCs w:val="24"/>
        </w:rPr>
        <w:t xml:space="preserve"> </w:t>
      </w:r>
      <w:r>
        <w:rPr>
          <w:rFonts w:ascii="Times New Roman" w:eastAsia="Aptos" w:hAnsi="Times New Roman"/>
          <w:szCs w:val="24"/>
        </w:rPr>
        <w:t>кризним</w:t>
      </w:r>
      <w:r w:rsidR="00CF2F55" w:rsidRPr="00295637">
        <w:rPr>
          <w:rFonts w:ascii="Times New Roman" w:eastAsia="Aptos" w:hAnsi="Times New Roman"/>
          <w:szCs w:val="24"/>
        </w:rPr>
        <w:t xml:space="preserve"> </w:t>
      </w:r>
      <w:r>
        <w:rPr>
          <w:rFonts w:ascii="Times New Roman" w:eastAsia="Aptos" w:hAnsi="Times New Roman"/>
          <w:szCs w:val="24"/>
        </w:rPr>
        <w:t>областима</w:t>
      </w:r>
      <w:r w:rsidR="00CF2F55" w:rsidRPr="00295637">
        <w:rPr>
          <w:rFonts w:ascii="Times New Roman" w:eastAsia="Aptos" w:hAnsi="Times New Roman"/>
          <w:szCs w:val="24"/>
        </w:rPr>
        <w:t xml:space="preserve">, </w:t>
      </w:r>
      <w:r>
        <w:rPr>
          <w:rFonts w:ascii="Times New Roman" w:eastAsia="Aptos" w:hAnsi="Times New Roman"/>
          <w:szCs w:val="24"/>
        </w:rPr>
        <w:t>укључујући</w:t>
      </w:r>
      <w:r w:rsidR="00CF2F55" w:rsidRPr="00295637">
        <w:rPr>
          <w:rFonts w:ascii="Times New Roman" w:eastAsia="Aptos" w:hAnsi="Times New Roman"/>
          <w:szCs w:val="24"/>
        </w:rPr>
        <w:t xml:space="preserve"> </w:t>
      </w:r>
      <w:r>
        <w:rPr>
          <w:rFonts w:ascii="Times New Roman" w:eastAsia="Aptos" w:hAnsi="Times New Roman"/>
          <w:szCs w:val="24"/>
        </w:rPr>
        <w:t>оне</w:t>
      </w:r>
      <w:r w:rsidR="00CF2F55" w:rsidRPr="00295637">
        <w:rPr>
          <w:rFonts w:ascii="Times New Roman" w:eastAsia="Aptos" w:hAnsi="Times New Roman"/>
          <w:szCs w:val="24"/>
        </w:rPr>
        <w:t xml:space="preserve"> </w:t>
      </w:r>
      <w:r>
        <w:rPr>
          <w:rFonts w:ascii="Times New Roman" w:eastAsia="Aptos" w:hAnsi="Times New Roman"/>
          <w:szCs w:val="24"/>
        </w:rPr>
        <w:t>погођене</w:t>
      </w:r>
      <w:r w:rsidR="00CF2F55" w:rsidRPr="00295637">
        <w:rPr>
          <w:rFonts w:ascii="Times New Roman" w:eastAsia="Aptos" w:hAnsi="Times New Roman"/>
          <w:szCs w:val="24"/>
        </w:rPr>
        <w:t xml:space="preserve"> </w:t>
      </w:r>
      <w:r>
        <w:rPr>
          <w:rFonts w:ascii="Times New Roman" w:eastAsia="Aptos" w:hAnsi="Times New Roman"/>
          <w:szCs w:val="24"/>
        </w:rPr>
        <w:t>поплавама</w:t>
      </w:r>
      <w:r w:rsidR="00CF2F55" w:rsidRPr="00295637">
        <w:rPr>
          <w:rFonts w:ascii="Times New Roman" w:eastAsia="Aptos" w:hAnsi="Times New Roman"/>
          <w:szCs w:val="24"/>
        </w:rPr>
        <w:t xml:space="preserve">. </w:t>
      </w:r>
      <w:r>
        <w:rPr>
          <w:rFonts w:ascii="Times New Roman" w:eastAsia="Aptos" w:hAnsi="Times New Roman"/>
          <w:szCs w:val="24"/>
        </w:rPr>
        <w:t>Уз</w:t>
      </w:r>
      <w:r w:rsidR="00CF2F55" w:rsidRPr="00295637">
        <w:rPr>
          <w:rFonts w:ascii="Times New Roman" w:eastAsia="Aptos" w:hAnsi="Times New Roman"/>
          <w:szCs w:val="24"/>
        </w:rPr>
        <w:t xml:space="preserve"> </w:t>
      </w:r>
      <w:r>
        <w:rPr>
          <w:rFonts w:ascii="Times New Roman" w:eastAsia="Aptos" w:hAnsi="Times New Roman"/>
          <w:szCs w:val="24"/>
        </w:rPr>
        <w:t>подршку</w:t>
      </w:r>
      <w:r w:rsidR="00CF2F55" w:rsidRPr="00295637">
        <w:rPr>
          <w:rFonts w:ascii="Times New Roman" w:eastAsia="Aptos" w:hAnsi="Times New Roman"/>
          <w:szCs w:val="24"/>
        </w:rPr>
        <w:t xml:space="preserve"> </w:t>
      </w:r>
      <w:r>
        <w:rPr>
          <w:rFonts w:ascii="Times New Roman" w:eastAsia="Aptos" w:hAnsi="Times New Roman"/>
          <w:szCs w:val="24"/>
        </w:rPr>
        <w:t>партнера</w:t>
      </w:r>
      <w:r w:rsidR="00CF2F55" w:rsidRPr="00295637">
        <w:rPr>
          <w:rFonts w:ascii="Times New Roman" w:eastAsia="Aptos" w:hAnsi="Times New Roman"/>
          <w:szCs w:val="24"/>
        </w:rPr>
        <w:t xml:space="preserve"> </w:t>
      </w:r>
      <w:r>
        <w:rPr>
          <w:rFonts w:ascii="Times New Roman" w:eastAsia="Aptos" w:hAnsi="Times New Roman"/>
          <w:szCs w:val="24"/>
        </w:rPr>
        <w:t>као</w:t>
      </w:r>
      <w:r w:rsidR="00CF2F55" w:rsidRPr="00295637">
        <w:rPr>
          <w:rFonts w:ascii="Times New Roman" w:eastAsia="Aptos" w:hAnsi="Times New Roman"/>
          <w:szCs w:val="24"/>
        </w:rPr>
        <w:t xml:space="preserve"> </w:t>
      </w:r>
      <w:r>
        <w:rPr>
          <w:rFonts w:ascii="Times New Roman" w:eastAsia="Aptos" w:hAnsi="Times New Roman"/>
          <w:szCs w:val="24"/>
        </w:rPr>
        <w:t>што</w:t>
      </w:r>
      <w:r w:rsidR="00CF2F55" w:rsidRPr="00295637">
        <w:rPr>
          <w:rFonts w:ascii="Times New Roman" w:eastAsia="Aptos" w:hAnsi="Times New Roman"/>
          <w:szCs w:val="24"/>
        </w:rPr>
        <w:t xml:space="preserve"> </w:t>
      </w:r>
      <w:r>
        <w:rPr>
          <w:rFonts w:ascii="Times New Roman" w:eastAsia="Aptos" w:hAnsi="Times New Roman"/>
          <w:szCs w:val="24"/>
        </w:rPr>
        <w:t>је</w:t>
      </w:r>
      <w:r w:rsidR="00CF2F55" w:rsidRPr="00295637">
        <w:rPr>
          <w:rFonts w:ascii="Times New Roman" w:eastAsia="Aptos" w:hAnsi="Times New Roman"/>
          <w:szCs w:val="24"/>
        </w:rPr>
        <w:t xml:space="preserve"> </w:t>
      </w:r>
      <w:r>
        <w:rPr>
          <w:rFonts w:ascii="Times New Roman" w:eastAsia="Aptos" w:hAnsi="Times New Roman"/>
          <w:szCs w:val="24"/>
        </w:rPr>
        <w:t>Фондација</w:t>
      </w:r>
      <w:r w:rsidR="00CF2F55" w:rsidRPr="00295637">
        <w:rPr>
          <w:rFonts w:ascii="Times New Roman" w:eastAsia="Aptos" w:hAnsi="Times New Roman"/>
          <w:szCs w:val="24"/>
        </w:rPr>
        <w:t xml:space="preserve"> </w:t>
      </w:r>
      <w:r w:rsidR="00142AC8" w:rsidRPr="00295637">
        <w:rPr>
          <w:rFonts w:ascii="Times New Roman" w:eastAsia="Aptos" w:hAnsi="Times New Roman"/>
          <w:szCs w:val="24"/>
        </w:rPr>
        <w:t>„</w:t>
      </w:r>
      <w:r>
        <w:rPr>
          <w:rFonts w:ascii="Times New Roman" w:eastAsia="Aptos" w:hAnsi="Times New Roman"/>
          <w:szCs w:val="24"/>
        </w:rPr>
        <w:t>ЦУРЕ</w:t>
      </w:r>
      <w:r w:rsidR="00142AC8" w:rsidRPr="00295637">
        <w:rPr>
          <w:rFonts w:ascii="Times New Roman" w:eastAsia="Aptos" w:hAnsi="Times New Roman"/>
          <w:szCs w:val="24"/>
        </w:rPr>
        <w:t>“</w:t>
      </w:r>
      <w:r w:rsidR="00CF2F55" w:rsidRPr="00295637">
        <w:rPr>
          <w:rFonts w:ascii="Times New Roman" w:eastAsia="Aptos" w:hAnsi="Times New Roman"/>
          <w:szCs w:val="24"/>
        </w:rPr>
        <w:t xml:space="preserve"> </w:t>
      </w:r>
      <w:r>
        <w:rPr>
          <w:rFonts w:ascii="Times New Roman" w:eastAsia="Aptos" w:hAnsi="Times New Roman"/>
          <w:szCs w:val="24"/>
        </w:rPr>
        <w:t>и</w:t>
      </w:r>
      <w:r w:rsidR="00CF2F55" w:rsidRPr="00295637">
        <w:rPr>
          <w:rFonts w:ascii="Times New Roman" w:eastAsia="Aptos" w:hAnsi="Times New Roman"/>
          <w:szCs w:val="24"/>
        </w:rPr>
        <w:t xml:space="preserve"> </w:t>
      </w:r>
      <w:r w:rsidR="00142AC8" w:rsidRPr="00295637">
        <w:rPr>
          <w:rFonts w:ascii="Times New Roman" w:eastAsia="Aptos" w:hAnsi="Times New Roman"/>
          <w:szCs w:val="24"/>
        </w:rPr>
        <w:t>„</w:t>
      </w:r>
      <w:r>
        <w:rPr>
          <w:rFonts w:ascii="Times New Roman" w:eastAsia="Aptos" w:hAnsi="Times New Roman"/>
          <w:szCs w:val="24"/>
        </w:rPr>
        <w:t>Плави</w:t>
      </w:r>
      <w:r w:rsidR="00CF2F55" w:rsidRPr="00295637">
        <w:rPr>
          <w:rFonts w:ascii="Times New Roman" w:eastAsia="Aptos" w:hAnsi="Times New Roman"/>
          <w:szCs w:val="24"/>
        </w:rPr>
        <w:t xml:space="preserve"> </w:t>
      </w:r>
      <w:r>
        <w:rPr>
          <w:rFonts w:ascii="Times New Roman" w:eastAsia="Aptos" w:hAnsi="Times New Roman"/>
          <w:szCs w:val="24"/>
        </w:rPr>
        <w:t>телефон</w:t>
      </w:r>
      <w:r w:rsidR="00142AC8" w:rsidRPr="00295637">
        <w:rPr>
          <w:rFonts w:ascii="Times New Roman" w:eastAsia="Aptos" w:hAnsi="Times New Roman"/>
          <w:szCs w:val="24"/>
        </w:rPr>
        <w:t>“</w:t>
      </w:r>
      <w:r w:rsidR="00CF2F55" w:rsidRPr="00295637">
        <w:rPr>
          <w:rFonts w:ascii="Times New Roman" w:eastAsia="Aptos" w:hAnsi="Times New Roman"/>
          <w:szCs w:val="24"/>
        </w:rPr>
        <w:t xml:space="preserve">, </w:t>
      </w:r>
      <w:r>
        <w:rPr>
          <w:rFonts w:ascii="Times New Roman" w:eastAsia="Aptos" w:hAnsi="Times New Roman"/>
          <w:szCs w:val="24"/>
        </w:rPr>
        <w:t>пружена</w:t>
      </w:r>
      <w:r w:rsidR="00CF2F55" w:rsidRPr="00295637">
        <w:rPr>
          <w:rFonts w:ascii="Times New Roman" w:eastAsia="Aptos" w:hAnsi="Times New Roman"/>
          <w:szCs w:val="24"/>
        </w:rPr>
        <w:t xml:space="preserve"> </w:t>
      </w:r>
      <w:r>
        <w:rPr>
          <w:rFonts w:ascii="Times New Roman" w:eastAsia="Aptos" w:hAnsi="Times New Roman"/>
          <w:szCs w:val="24"/>
        </w:rPr>
        <w:t>је</w:t>
      </w:r>
      <w:r w:rsidR="00CF2F55" w:rsidRPr="00295637">
        <w:rPr>
          <w:rFonts w:ascii="Times New Roman" w:eastAsia="Aptos" w:hAnsi="Times New Roman"/>
          <w:szCs w:val="24"/>
        </w:rPr>
        <w:t xml:space="preserve"> </w:t>
      </w:r>
      <w:r>
        <w:rPr>
          <w:rFonts w:ascii="Times New Roman" w:eastAsia="Aptos" w:hAnsi="Times New Roman"/>
          <w:szCs w:val="24"/>
        </w:rPr>
        <w:t>едукација</w:t>
      </w:r>
      <w:r w:rsidR="00CF2F55" w:rsidRPr="00295637">
        <w:rPr>
          <w:rFonts w:ascii="Times New Roman" w:eastAsia="Aptos" w:hAnsi="Times New Roman"/>
          <w:szCs w:val="24"/>
        </w:rPr>
        <w:t xml:space="preserve"> </w:t>
      </w:r>
      <w:r>
        <w:rPr>
          <w:rFonts w:ascii="Times New Roman" w:eastAsia="Aptos" w:hAnsi="Times New Roman"/>
          <w:szCs w:val="24"/>
        </w:rPr>
        <w:t>и</w:t>
      </w:r>
      <w:r w:rsidR="00CF2F55" w:rsidRPr="00295637">
        <w:rPr>
          <w:rFonts w:ascii="Times New Roman" w:eastAsia="Aptos" w:hAnsi="Times New Roman"/>
          <w:szCs w:val="24"/>
        </w:rPr>
        <w:t xml:space="preserve"> </w:t>
      </w:r>
      <w:r>
        <w:rPr>
          <w:rFonts w:ascii="Times New Roman" w:eastAsia="Aptos" w:hAnsi="Times New Roman"/>
          <w:szCs w:val="24"/>
        </w:rPr>
        <w:t>помоћ</w:t>
      </w:r>
      <w:r w:rsidR="00CF2F55" w:rsidRPr="00295637">
        <w:rPr>
          <w:rFonts w:ascii="Times New Roman" w:eastAsia="Aptos" w:hAnsi="Times New Roman"/>
          <w:szCs w:val="24"/>
        </w:rPr>
        <w:t xml:space="preserve"> </w:t>
      </w:r>
      <w:r>
        <w:rPr>
          <w:rFonts w:ascii="Times New Roman" w:eastAsia="Aptos" w:hAnsi="Times New Roman"/>
          <w:szCs w:val="24"/>
        </w:rPr>
        <w:t>адолесцентима</w:t>
      </w:r>
      <w:r w:rsidR="00CF2F55" w:rsidRPr="00295637">
        <w:rPr>
          <w:rFonts w:ascii="Times New Roman" w:eastAsia="Aptos" w:hAnsi="Times New Roman"/>
          <w:szCs w:val="24"/>
        </w:rPr>
        <w:t xml:space="preserve"> </w:t>
      </w:r>
      <w:r>
        <w:rPr>
          <w:rFonts w:ascii="Times New Roman" w:eastAsia="Aptos" w:hAnsi="Times New Roman"/>
          <w:szCs w:val="24"/>
        </w:rPr>
        <w:t>у</w:t>
      </w:r>
      <w:r w:rsidR="00CF2F55" w:rsidRPr="00295637">
        <w:rPr>
          <w:rFonts w:ascii="Times New Roman" w:eastAsia="Aptos" w:hAnsi="Times New Roman"/>
          <w:szCs w:val="24"/>
        </w:rPr>
        <w:t xml:space="preserve"> </w:t>
      </w:r>
      <w:r>
        <w:rPr>
          <w:rFonts w:ascii="Times New Roman" w:eastAsia="Aptos" w:hAnsi="Times New Roman"/>
          <w:szCs w:val="24"/>
        </w:rPr>
        <w:t>превазилажењу</w:t>
      </w:r>
      <w:r w:rsidR="00CF2F55" w:rsidRPr="00295637">
        <w:rPr>
          <w:rFonts w:ascii="Times New Roman" w:eastAsia="Aptos" w:hAnsi="Times New Roman"/>
          <w:szCs w:val="24"/>
        </w:rPr>
        <w:t xml:space="preserve"> </w:t>
      </w:r>
      <w:r>
        <w:rPr>
          <w:rFonts w:ascii="Times New Roman" w:eastAsia="Aptos" w:hAnsi="Times New Roman"/>
          <w:szCs w:val="24"/>
        </w:rPr>
        <w:t>траума</w:t>
      </w:r>
      <w:r w:rsidR="00CF2F55" w:rsidRPr="00295637">
        <w:rPr>
          <w:rFonts w:ascii="Times New Roman" w:eastAsia="Aptos" w:hAnsi="Times New Roman"/>
          <w:szCs w:val="24"/>
        </w:rPr>
        <w:t>.</w:t>
      </w:r>
    </w:p>
    <w:p w:rsidR="00834321" w:rsidRPr="00295637" w:rsidRDefault="00834321" w:rsidP="0086268D">
      <w:pPr>
        <w:pStyle w:val="Normal1"/>
      </w:pPr>
    </w:p>
    <w:p w:rsidR="00356C2C" w:rsidRPr="00295637" w:rsidRDefault="00722ACE" w:rsidP="00381123">
      <w:pPr>
        <w:tabs>
          <w:tab w:val="left" w:pos="284"/>
          <w:tab w:val="left" w:pos="630"/>
          <w:tab w:val="left" w:pos="1080"/>
        </w:tabs>
        <w:ind w:left="567"/>
        <w:jc w:val="both"/>
        <w:rPr>
          <w:rFonts w:ascii="Times New Roman" w:hAnsi="Times New Roman"/>
          <w:szCs w:val="24"/>
          <w:lang w:val="bs-Latn-BA"/>
        </w:rPr>
      </w:pPr>
      <w:r w:rsidRPr="00722ACE">
        <w:rPr>
          <w:rFonts w:ascii="Times New Roman" w:hAnsi="Times New Roman"/>
          <w:szCs w:val="24"/>
          <w:lang w:val="bs-Latn-BA"/>
        </w:rPr>
        <w:t>I</w:t>
      </w:r>
      <w:r w:rsidR="00381123">
        <w:rPr>
          <w:rFonts w:ascii="Times New Roman" w:hAnsi="Times New Roman"/>
          <w:szCs w:val="24"/>
          <w:lang w:val="bs-Latn-BA"/>
        </w:rPr>
        <w:t xml:space="preserve"> 5.4. </w:t>
      </w:r>
      <w:r w:rsidR="00C6214E">
        <w:rPr>
          <w:rFonts w:ascii="Times New Roman" w:hAnsi="Times New Roman"/>
          <w:szCs w:val="24"/>
          <w:lang w:val="bs-Latn-BA"/>
        </w:rPr>
        <w:t>Израда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пружање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специјализ</w:t>
      </w:r>
      <w:r>
        <w:rPr>
          <w:rFonts w:ascii="Times New Roman" w:hAnsi="Times New Roman"/>
          <w:szCs w:val="24"/>
          <w:lang w:val="sr-Cyrl-BA"/>
        </w:rPr>
        <w:t>ованих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услуга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здравствене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заштите</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жртве</w:t>
      </w:r>
      <w:r w:rsidR="00356C2C" w:rsidRPr="00295637">
        <w:rPr>
          <w:rFonts w:ascii="Times New Roman" w:hAnsi="Times New Roman"/>
          <w:szCs w:val="24"/>
          <w:lang w:val="bs-Latn-BA"/>
        </w:rPr>
        <w:t xml:space="preserve"> </w:t>
      </w:r>
      <w:r w:rsidR="00C6214E">
        <w:rPr>
          <w:rFonts w:ascii="Times New Roman" w:hAnsi="Times New Roman"/>
          <w:szCs w:val="24"/>
          <w:lang w:val="bs-Latn-BA"/>
        </w:rPr>
        <w:t>силовања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сексуалног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356C2C" w:rsidRPr="00295637">
        <w:rPr>
          <w:rFonts w:ascii="Times New Roman" w:hAnsi="Times New Roman"/>
          <w:szCs w:val="24"/>
          <w:lang w:val="bs-Latn-BA"/>
        </w:rPr>
        <w:t>.</w:t>
      </w:r>
    </w:p>
    <w:p w:rsidR="0098532D" w:rsidRPr="00295637" w:rsidRDefault="0098532D" w:rsidP="0086268D">
      <w:pPr>
        <w:tabs>
          <w:tab w:val="left" w:pos="284"/>
          <w:tab w:val="left" w:pos="630"/>
          <w:tab w:val="left" w:pos="1080"/>
        </w:tabs>
        <w:ind w:left="1080"/>
        <w:jc w:val="both"/>
        <w:rPr>
          <w:rFonts w:ascii="Times New Roman" w:hAnsi="Times New Roman"/>
          <w:szCs w:val="24"/>
          <w:lang w:val="bs-Latn-BA"/>
        </w:rPr>
      </w:pPr>
    </w:p>
    <w:p w:rsidR="00536B60" w:rsidRDefault="00C6214E" w:rsidP="0086268D">
      <w:pPr>
        <w:jc w:val="both"/>
        <w:rPr>
          <w:lang w:val="bs-Latn-BA"/>
        </w:rPr>
      </w:pPr>
      <w:r>
        <w:rPr>
          <w:rFonts w:ascii="Times New Roman" w:hAnsi="Times New Roman"/>
          <w:bCs/>
          <w:szCs w:val="24"/>
        </w:rPr>
        <w:t>На</w:t>
      </w:r>
      <w:r w:rsidR="008E672D" w:rsidRPr="00BB4138">
        <w:rPr>
          <w:rFonts w:ascii="Times New Roman" w:hAnsi="Times New Roman"/>
          <w:bCs/>
          <w:szCs w:val="24"/>
        </w:rPr>
        <w:t xml:space="preserve"> </w:t>
      </w:r>
      <w:r>
        <w:rPr>
          <w:rFonts w:ascii="Times New Roman" w:hAnsi="Times New Roman"/>
          <w:bCs/>
          <w:szCs w:val="24"/>
        </w:rPr>
        <w:t>основу</w:t>
      </w:r>
      <w:r w:rsidR="008E672D" w:rsidRPr="00BB4138">
        <w:rPr>
          <w:rFonts w:ascii="Times New Roman" w:hAnsi="Times New Roman"/>
          <w:bCs/>
          <w:szCs w:val="24"/>
        </w:rPr>
        <w:t xml:space="preserve"> </w:t>
      </w:r>
      <w:r w:rsidR="00722ACE">
        <w:rPr>
          <w:rFonts w:ascii="Times New Roman" w:hAnsi="Times New Roman"/>
          <w:bCs/>
          <w:szCs w:val="24"/>
          <w:lang w:val="sr-Cyrl-BA"/>
        </w:rPr>
        <w:t>Проведбеног</w:t>
      </w:r>
      <w:r w:rsidR="008E672D" w:rsidRPr="00BB4138">
        <w:rPr>
          <w:rFonts w:ascii="Times New Roman" w:hAnsi="Times New Roman"/>
          <w:bCs/>
          <w:szCs w:val="24"/>
        </w:rPr>
        <w:t xml:space="preserve"> </w:t>
      </w:r>
      <w:r>
        <w:rPr>
          <w:rFonts w:ascii="Times New Roman" w:hAnsi="Times New Roman"/>
          <w:bCs/>
          <w:szCs w:val="24"/>
        </w:rPr>
        <w:t>споразума</w:t>
      </w:r>
      <w:r w:rsidR="008E672D" w:rsidRPr="00BB4138">
        <w:rPr>
          <w:rFonts w:ascii="Times New Roman" w:hAnsi="Times New Roman"/>
          <w:bCs/>
          <w:szCs w:val="24"/>
        </w:rPr>
        <w:t xml:space="preserve"> </w:t>
      </w:r>
      <w:r>
        <w:rPr>
          <w:rFonts w:ascii="Times New Roman" w:hAnsi="Times New Roman"/>
          <w:bCs/>
          <w:szCs w:val="24"/>
        </w:rPr>
        <w:t>за</w:t>
      </w:r>
      <w:r w:rsidR="008E672D" w:rsidRPr="00BB4138">
        <w:rPr>
          <w:rFonts w:ascii="Times New Roman" w:hAnsi="Times New Roman"/>
          <w:bCs/>
          <w:szCs w:val="24"/>
        </w:rPr>
        <w:t xml:space="preserve"> </w:t>
      </w:r>
      <w:r>
        <w:rPr>
          <w:rFonts w:ascii="Times New Roman" w:hAnsi="Times New Roman"/>
          <w:bCs/>
          <w:szCs w:val="24"/>
        </w:rPr>
        <w:t>отварање</w:t>
      </w:r>
      <w:r w:rsidR="008E672D" w:rsidRPr="00BB4138">
        <w:rPr>
          <w:rFonts w:ascii="Times New Roman" w:hAnsi="Times New Roman"/>
          <w:bCs/>
          <w:szCs w:val="24"/>
        </w:rPr>
        <w:t xml:space="preserve"> </w:t>
      </w:r>
      <w:r>
        <w:rPr>
          <w:rFonts w:ascii="Times New Roman" w:hAnsi="Times New Roman"/>
          <w:bCs/>
          <w:szCs w:val="24"/>
        </w:rPr>
        <w:t>кризног</w:t>
      </w:r>
      <w:r w:rsidR="008E672D" w:rsidRPr="00BB4138">
        <w:rPr>
          <w:rFonts w:ascii="Times New Roman" w:hAnsi="Times New Roman"/>
          <w:bCs/>
          <w:szCs w:val="24"/>
        </w:rPr>
        <w:t xml:space="preserve"> </w:t>
      </w:r>
      <w:r>
        <w:rPr>
          <w:rFonts w:ascii="Times New Roman" w:hAnsi="Times New Roman"/>
          <w:bCs/>
          <w:szCs w:val="24"/>
        </w:rPr>
        <w:t>центра</w:t>
      </w:r>
      <w:r w:rsidR="008E672D" w:rsidRPr="00BB4138">
        <w:rPr>
          <w:rFonts w:ascii="Times New Roman" w:hAnsi="Times New Roman"/>
          <w:bCs/>
          <w:szCs w:val="24"/>
        </w:rPr>
        <w:t xml:space="preserve"> </w:t>
      </w:r>
      <w:r>
        <w:rPr>
          <w:rFonts w:ascii="Times New Roman" w:hAnsi="Times New Roman"/>
          <w:bCs/>
          <w:szCs w:val="24"/>
        </w:rPr>
        <w:t>за</w:t>
      </w:r>
      <w:r w:rsidR="008E672D" w:rsidRPr="00BB4138">
        <w:rPr>
          <w:rFonts w:ascii="Times New Roman" w:hAnsi="Times New Roman"/>
          <w:bCs/>
          <w:szCs w:val="24"/>
        </w:rPr>
        <w:t xml:space="preserve"> </w:t>
      </w:r>
      <w:r>
        <w:rPr>
          <w:rFonts w:ascii="Times New Roman" w:hAnsi="Times New Roman"/>
          <w:bCs/>
          <w:szCs w:val="24"/>
        </w:rPr>
        <w:t>жртве</w:t>
      </w:r>
      <w:r w:rsidR="008E672D" w:rsidRPr="00BB4138">
        <w:rPr>
          <w:rFonts w:ascii="Times New Roman" w:hAnsi="Times New Roman"/>
          <w:bCs/>
          <w:szCs w:val="24"/>
        </w:rPr>
        <w:t xml:space="preserve"> </w:t>
      </w:r>
      <w:r>
        <w:rPr>
          <w:rFonts w:ascii="Times New Roman" w:hAnsi="Times New Roman"/>
          <w:bCs/>
          <w:szCs w:val="24"/>
        </w:rPr>
        <w:t>силовања</w:t>
      </w:r>
      <w:r w:rsidR="008E672D" w:rsidRPr="00BB4138">
        <w:rPr>
          <w:rFonts w:ascii="Times New Roman" w:hAnsi="Times New Roman"/>
          <w:bCs/>
          <w:szCs w:val="24"/>
        </w:rPr>
        <w:t xml:space="preserve"> </w:t>
      </w:r>
      <w:r>
        <w:rPr>
          <w:rFonts w:ascii="Times New Roman" w:hAnsi="Times New Roman"/>
          <w:bCs/>
          <w:szCs w:val="24"/>
        </w:rPr>
        <w:t>и</w:t>
      </w:r>
      <w:r w:rsidR="008E672D" w:rsidRPr="00BB4138">
        <w:rPr>
          <w:rFonts w:ascii="Times New Roman" w:hAnsi="Times New Roman"/>
          <w:bCs/>
          <w:szCs w:val="24"/>
        </w:rPr>
        <w:t xml:space="preserve"> </w:t>
      </w:r>
      <w:r>
        <w:rPr>
          <w:rFonts w:ascii="Times New Roman" w:hAnsi="Times New Roman"/>
          <w:bCs/>
          <w:szCs w:val="24"/>
        </w:rPr>
        <w:t>сексуалног</w:t>
      </w:r>
      <w:r w:rsidR="008E672D" w:rsidRPr="00BB4138">
        <w:rPr>
          <w:rFonts w:ascii="Times New Roman" w:hAnsi="Times New Roman"/>
          <w:bCs/>
          <w:szCs w:val="24"/>
        </w:rPr>
        <w:t xml:space="preserve"> </w:t>
      </w:r>
      <w:r>
        <w:rPr>
          <w:rFonts w:ascii="Times New Roman" w:hAnsi="Times New Roman"/>
          <w:bCs/>
          <w:szCs w:val="24"/>
        </w:rPr>
        <w:t>насиља</w:t>
      </w:r>
      <w:r w:rsidR="008E672D" w:rsidRPr="00BB4138">
        <w:rPr>
          <w:rFonts w:ascii="Times New Roman" w:hAnsi="Times New Roman"/>
          <w:bCs/>
          <w:szCs w:val="24"/>
        </w:rPr>
        <w:t xml:space="preserve"> </w:t>
      </w:r>
      <w:r>
        <w:rPr>
          <w:rFonts w:ascii="Times New Roman" w:hAnsi="Times New Roman"/>
          <w:bCs/>
          <w:szCs w:val="24"/>
        </w:rPr>
        <w:t>у</w:t>
      </w:r>
      <w:r w:rsidR="008E672D" w:rsidRPr="00BB4138">
        <w:rPr>
          <w:rFonts w:ascii="Times New Roman" w:hAnsi="Times New Roman"/>
          <w:bCs/>
          <w:szCs w:val="24"/>
        </w:rPr>
        <w:t xml:space="preserve"> </w:t>
      </w:r>
      <w:r>
        <w:rPr>
          <w:rFonts w:ascii="Times New Roman" w:hAnsi="Times New Roman"/>
          <w:bCs/>
          <w:szCs w:val="24"/>
        </w:rPr>
        <w:t>оквиру</w:t>
      </w:r>
      <w:r w:rsidR="008E672D" w:rsidRPr="00BB4138">
        <w:rPr>
          <w:rFonts w:ascii="Times New Roman" w:hAnsi="Times New Roman"/>
          <w:bCs/>
          <w:szCs w:val="24"/>
        </w:rPr>
        <w:t xml:space="preserve"> </w:t>
      </w:r>
      <w:r>
        <w:rPr>
          <w:rFonts w:ascii="Times New Roman" w:hAnsi="Times New Roman"/>
          <w:bCs/>
          <w:szCs w:val="24"/>
        </w:rPr>
        <w:t>пројекта</w:t>
      </w:r>
      <w:r w:rsidR="008E672D" w:rsidRPr="00BB4138">
        <w:rPr>
          <w:rFonts w:ascii="Times New Roman" w:hAnsi="Times New Roman"/>
          <w:bCs/>
          <w:szCs w:val="24"/>
        </w:rPr>
        <w:t xml:space="preserve"> “</w:t>
      </w:r>
      <w:r>
        <w:rPr>
          <w:rFonts w:ascii="Times New Roman" w:hAnsi="Times New Roman"/>
          <w:bCs/>
          <w:szCs w:val="24"/>
        </w:rPr>
        <w:t>Јачање</w:t>
      </w:r>
      <w:r w:rsidR="008E672D" w:rsidRPr="00BB4138">
        <w:rPr>
          <w:rFonts w:ascii="Times New Roman" w:hAnsi="Times New Roman"/>
          <w:bCs/>
          <w:szCs w:val="24"/>
        </w:rPr>
        <w:t xml:space="preserve"> </w:t>
      </w:r>
      <w:r>
        <w:rPr>
          <w:rFonts w:ascii="Times New Roman" w:hAnsi="Times New Roman"/>
          <w:bCs/>
          <w:szCs w:val="24"/>
        </w:rPr>
        <w:t>капацитета</w:t>
      </w:r>
      <w:r w:rsidR="008E672D" w:rsidRPr="00BB4138">
        <w:rPr>
          <w:rFonts w:ascii="Times New Roman" w:hAnsi="Times New Roman"/>
          <w:bCs/>
          <w:szCs w:val="24"/>
        </w:rPr>
        <w:t xml:space="preserve"> </w:t>
      </w:r>
      <w:r>
        <w:rPr>
          <w:rFonts w:ascii="Times New Roman" w:hAnsi="Times New Roman"/>
          <w:bCs/>
          <w:szCs w:val="24"/>
        </w:rPr>
        <w:t>институција</w:t>
      </w:r>
      <w:r w:rsidR="008E672D" w:rsidRPr="00BB4138">
        <w:rPr>
          <w:rFonts w:ascii="Times New Roman" w:hAnsi="Times New Roman"/>
          <w:bCs/>
          <w:szCs w:val="24"/>
        </w:rPr>
        <w:t xml:space="preserve"> </w:t>
      </w:r>
      <w:r>
        <w:rPr>
          <w:rFonts w:ascii="Times New Roman" w:hAnsi="Times New Roman"/>
          <w:bCs/>
          <w:szCs w:val="24"/>
        </w:rPr>
        <w:t>за</w:t>
      </w:r>
      <w:r w:rsidR="008E672D" w:rsidRPr="00BB4138">
        <w:rPr>
          <w:rFonts w:ascii="Times New Roman" w:hAnsi="Times New Roman"/>
          <w:bCs/>
          <w:szCs w:val="24"/>
        </w:rPr>
        <w:t xml:space="preserve"> </w:t>
      </w:r>
      <w:r>
        <w:rPr>
          <w:rFonts w:ascii="Times New Roman" w:hAnsi="Times New Roman"/>
          <w:bCs/>
          <w:szCs w:val="24"/>
        </w:rPr>
        <w:t>рјешавање</w:t>
      </w:r>
      <w:r w:rsidR="008E672D" w:rsidRPr="00BB4138">
        <w:rPr>
          <w:rFonts w:ascii="Times New Roman" w:hAnsi="Times New Roman"/>
          <w:bCs/>
          <w:szCs w:val="24"/>
        </w:rPr>
        <w:t xml:space="preserve"> </w:t>
      </w:r>
      <w:r>
        <w:rPr>
          <w:rFonts w:ascii="Times New Roman" w:hAnsi="Times New Roman"/>
          <w:bCs/>
          <w:szCs w:val="24"/>
        </w:rPr>
        <w:t>родно</w:t>
      </w:r>
      <w:r w:rsidR="008E672D" w:rsidRPr="00BB4138">
        <w:rPr>
          <w:rFonts w:ascii="Times New Roman" w:hAnsi="Times New Roman"/>
          <w:bCs/>
          <w:szCs w:val="24"/>
        </w:rPr>
        <w:t xml:space="preserve"> </w:t>
      </w:r>
      <w:r>
        <w:rPr>
          <w:rFonts w:ascii="Times New Roman" w:hAnsi="Times New Roman"/>
          <w:bCs/>
          <w:szCs w:val="24"/>
        </w:rPr>
        <w:t>заснованог</w:t>
      </w:r>
      <w:r w:rsidR="008E672D" w:rsidRPr="00BB4138">
        <w:rPr>
          <w:rFonts w:ascii="Times New Roman" w:hAnsi="Times New Roman"/>
          <w:bCs/>
          <w:szCs w:val="24"/>
        </w:rPr>
        <w:t xml:space="preserve"> </w:t>
      </w:r>
      <w:r>
        <w:rPr>
          <w:rFonts w:ascii="Times New Roman" w:hAnsi="Times New Roman"/>
          <w:bCs/>
          <w:szCs w:val="24"/>
        </w:rPr>
        <w:t>насиља</w:t>
      </w:r>
      <w:r w:rsidR="008E672D" w:rsidRPr="00BB4138">
        <w:rPr>
          <w:rFonts w:ascii="Times New Roman" w:hAnsi="Times New Roman"/>
          <w:bCs/>
          <w:szCs w:val="24"/>
        </w:rPr>
        <w:t xml:space="preserve"> </w:t>
      </w:r>
      <w:r>
        <w:rPr>
          <w:rFonts w:ascii="Times New Roman" w:hAnsi="Times New Roman"/>
          <w:bCs/>
          <w:szCs w:val="24"/>
        </w:rPr>
        <w:t>у</w:t>
      </w:r>
      <w:r w:rsidR="008E672D" w:rsidRPr="00BB4138">
        <w:rPr>
          <w:rFonts w:ascii="Times New Roman" w:hAnsi="Times New Roman"/>
          <w:bCs/>
          <w:szCs w:val="24"/>
        </w:rPr>
        <w:t xml:space="preserve"> </w:t>
      </w:r>
      <w:r>
        <w:rPr>
          <w:rFonts w:ascii="Times New Roman" w:hAnsi="Times New Roman"/>
          <w:bCs/>
          <w:szCs w:val="24"/>
        </w:rPr>
        <w:t>БиХ</w:t>
      </w:r>
      <w:r w:rsidR="00AE5900">
        <w:rPr>
          <w:rFonts w:ascii="Times New Roman" w:hAnsi="Times New Roman"/>
          <w:bCs/>
          <w:szCs w:val="24"/>
        </w:rPr>
        <w:t>“,</w:t>
      </w:r>
      <w:r w:rsidR="008E672D" w:rsidRPr="00BB4138">
        <w:rPr>
          <w:rFonts w:ascii="Times New Roman" w:hAnsi="Times New Roman"/>
          <w:bCs/>
          <w:szCs w:val="24"/>
        </w:rPr>
        <w:t xml:space="preserve"> </w:t>
      </w:r>
      <w:r>
        <w:rPr>
          <w:rFonts w:ascii="Times New Roman" w:hAnsi="Times New Roman"/>
          <w:bCs/>
          <w:szCs w:val="24"/>
        </w:rPr>
        <w:t>АР</w:t>
      </w:r>
      <w:r w:rsidR="00722ACE">
        <w:rPr>
          <w:rFonts w:ascii="Times New Roman" w:hAnsi="Times New Roman"/>
          <w:bCs/>
          <w:szCs w:val="24"/>
          <w:lang w:val="sr-Cyrl-BA"/>
        </w:rPr>
        <w:t>П</w:t>
      </w:r>
      <w:r w:rsidR="005F06A0">
        <w:rPr>
          <w:rFonts w:ascii="Times New Roman" w:hAnsi="Times New Roman"/>
          <w:bCs/>
          <w:szCs w:val="24"/>
        </w:rPr>
        <w:t xml:space="preserve"> </w:t>
      </w:r>
      <w:r>
        <w:rPr>
          <w:rFonts w:ascii="Times New Roman" w:hAnsi="Times New Roman"/>
          <w:bCs/>
          <w:szCs w:val="24"/>
        </w:rPr>
        <w:t>БиХ</w:t>
      </w:r>
      <w:r w:rsidR="005F06A0">
        <w:rPr>
          <w:rFonts w:ascii="Times New Roman" w:hAnsi="Times New Roman"/>
          <w:bCs/>
          <w:szCs w:val="24"/>
        </w:rPr>
        <w:t xml:space="preserve"> </w:t>
      </w:r>
      <w:r>
        <w:rPr>
          <w:rFonts w:ascii="Times New Roman" w:hAnsi="Times New Roman"/>
          <w:bCs/>
          <w:szCs w:val="24"/>
        </w:rPr>
        <w:t>МЉПИ</w:t>
      </w:r>
      <w:r w:rsidR="005F06A0">
        <w:rPr>
          <w:rFonts w:ascii="Times New Roman" w:hAnsi="Times New Roman"/>
          <w:bCs/>
          <w:szCs w:val="24"/>
        </w:rPr>
        <w:t xml:space="preserve"> </w:t>
      </w:r>
      <w:r>
        <w:rPr>
          <w:rFonts w:ascii="Times New Roman" w:hAnsi="Times New Roman"/>
          <w:bCs/>
          <w:szCs w:val="24"/>
        </w:rPr>
        <w:t>БиХ</w:t>
      </w:r>
      <w:r w:rsidR="003C7C04" w:rsidRPr="00BB4138">
        <w:rPr>
          <w:rFonts w:ascii="Times New Roman" w:hAnsi="Times New Roman"/>
          <w:bCs/>
          <w:szCs w:val="24"/>
        </w:rPr>
        <w:t xml:space="preserve"> </w:t>
      </w:r>
      <w:r w:rsidR="00722ACE">
        <w:rPr>
          <w:rFonts w:ascii="Times New Roman" w:hAnsi="Times New Roman"/>
          <w:bCs/>
          <w:szCs w:val="24"/>
        </w:rPr>
        <w:t xml:space="preserve">је </w:t>
      </w:r>
      <w:r>
        <w:rPr>
          <w:rFonts w:ascii="Times New Roman" w:hAnsi="Times New Roman"/>
          <w:bCs/>
          <w:szCs w:val="24"/>
        </w:rPr>
        <w:t>радила</w:t>
      </w:r>
      <w:r w:rsidR="005F06A0" w:rsidRPr="00BB4138">
        <w:rPr>
          <w:rFonts w:ascii="Times New Roman" w:hAnsi="Times New Roman"/>
          <w:bCs/>
          <w:szCs w:val="24"/>
        </w:rPr>
        <w:t xml:space="preserve"> </w:t>
      </w:r>
      <w:r>
        <w:rPr>
          <w:rFonts w:ascii="Times New Roman" w:hAnsi="Times New Roman"/>
          <w:bCs/>
          <w:szCs w:val="24"/>
        </w:rPr>
        <w:t>на</w:t>
      </w:r>
      <w:r w:rsidR="00536B60" w:rsidRPr="00BB4138">
        <w:rPr>
          <w:rFonts w:ascii="Times New Roman" w:hAnsi="Times New Roman"/>
          <w:bCs/>
          <w:szCs w:val="24"/>
        </w:rPr>
        <w:t xml:space="preserve"> </w:t>
      </w:r>
      <w:r>
        <w:rPr>
          <w:rFonts w:ascii="Times New Roman" w:hAnsi="Times New Roman"/>
          <w:bCs/>
          <w:szCs w:val="24"/>
        </w:rPr>
        <w:t>успостављању</w:t>
      </w:r>
      <w:r w:rsidR="00536B60" w:rsidRPr="00BB4138">
        <w:rPr>
          <w:rFonts w:ascii="Times New Roman" w:hAnsi="Times New Roman"/>
          <w:bCs/>
          <w:szCs w:val="24"/>
        </w:rPr>
        <w:t xml:space="preserve"> </w:t>
      </w:r>
      <w:r>
        <w:rPr>
          <w:rFonts w:ascii="Times New Roman" w:hAnsi="Times New Roman"/>
          <w:bCs/>
          <w:szCs w:val="24"/>
        </w:rPr>
        <w:t>Протокола</w:t>
      </w:r>
      <w:r w:rsidR="00536B60" w:rsidRPr="00BB4138">
        <w:rPr>
          <w:rFonts w:ascii="Times New Roman" w:hAnsi="Times New Roman"/>
          <w:bCs/>
          <w:szCs w:val="24"/>
        </w:rPr>
        <w:t xml:space="preserve"> </w:t>
      </w:r>
      <w:r>
        <w:rPr>
          <w:rFonts w:ascii="Times New Roman" w:hAnsi="Times New Roman"/>
          <w:bCs/>
          <w:szCs w:val="24"/>
        </w:rPr>
        <w:t>за</w:t>
      </w:r>
      <w:r w:rsidR="00536B60" w:rsidRPr="00BB4138">
        <w:rPr>
          <w:rFonts w:ascii="Times New Roman" w:hAnsi="Times New Roman"/>
          <w:bCs/>
          <w:szCs w:val="24"/>
        </w:rPr>
        <w:t xml:space="preserve"> </w:t>
      </w:r>
      <w:r>
        <w:rPr>
          <w:rFonts w:ascii="Times New Roman" w:hAnsi="Times New Roman"/>
          <w:bCs/>
          <w:szCs w:val="24"/>
        </w:rPr>
        <w:t>поступање</w:t>
      </w:r>
      <w:r w:rsidR="00536B60" w:rsidRPr="00BB4138">
        <w:rPr>
          <w:rFonts w:ascii="Times New Roman" w:hAnsi="Times New Roman"/>
          <w:bCs/>
          <w:szCs w:val="24"/>
        </w:rPr>
        <w:t xml:space="preserve"> </w:t>
      </w:r>
      <w:r>
        <w:rPr>
          <w:rFonts w:ascii="Times New Roman" w:hAnsi="Times New Roman"/>
          <w:bCs/>
          <w:szCs w:val="24"/>
        </w:rPr>
        <w:t>са</w:t>
      </w:r>
      <w:r w:rsidR="00536B60" w:rsidRPr="00BB4138">
        <w:rPr>
          <w:rFonts w:ascii="Times New Roman" w:hAnsi="Times New Roman"/>
          <w:bCs/>
          <w:szCs w:val="24"/>
        </w:rPr>
        <w:t xml:space="preserve"> </w:t>
      </w:r>
      <w:r>
        <w:rPr>
          <w:rFonts w:ascii="Times New Roman" w:hAnsi="Times New Roman"/>
          <w:bCs/>
          <w:szCs w:val="24"/>
        </w:rPr>
        <w:t>жртвама</w:t>
      </w:r>
      <w:r w:rsidR="00536B60" w:rsidRPr="00BB4138">
        <w:rPr>
          <w:rFonts w:ascii="Times New Roman" w:hAnsi="Times New Roman"/>
          <w:bCs/>
          <w:szCs w:val="24"/>
        </w:rPr>
        <w:t xml:space="preserve"> </w:t>
      </w:r>
      <w:r>
        <w:rPr>
          <w:rFonts w:ascii="Times New Roman" w:hAnsi="Times New Roman"/>
          <w:bCs/>
          <w:szCs w:val="24"/>
        </w:rPr>
        <w:t>сексуалног</w:t>
      </w:r>
      <w:r w:rsidR="00536B60" w:rsidRPr="00BB4138">
        <w:rPr>
          <w:rFonts w:ascii="Times New Roman" w:hAnsi="Times New Roman"/>
          <w:bCs/>
          <w:szCs w:val="24"/>
        </w:rPr>
        <w:t xml:space="preserve"> </w:t>
      </w:r>
      <w:r>
        <w:rPr>
          <w:rFonts w:ascii="Times New Roman" w:hAnsi="Times New Roman"/>
          <w:bCs/>
          <w:szCs w:val="24"/>
        </w:rPr>
        <w:t>насиља</w:t>
      </w:r>
      <w:r w:rsidR="00536B60" w:rsidRPr="00BB4138">
        <w:rPr>
          <w:rFonts w:ascii="Times New Roman" w:hAnsi="Times New Roman"/>
          <w:bCs/>
          <w:szCs w:val="24"/>
        </w:rPr>
        <w:t xml:space="preserve"> – </w:t>
      </w:r>
      <w:r>
        <w:rPr>
          <w:rFonts w:ascii="Times New Roman" w:hAnsi="Times New Roman"/>
          <w:bCs/>
          <w:szCs w:val="24"/>
        </w:rPr>
        <w:t>силовања</w:t>
      </w:r>
      <w:r w:rsidR="00536B60" w:rsidRPr="00BB4138">
        <w:rPr>
          <w:rFonts w:ascii="Times New Roman" w:hAnsi="Times New Roman"/>
          <w:bCs/>
          <w:szCs w:val="24"/>
        </w:rPr>
        <w:t xml:space="preserve"> </w:t>
      </w:r>
      <w:r>
        <w:rPr>
          <w:rFonts w:ascii="Times New Roman" w:hAnsi="Times New Roman"/>
          <w:bCs/>
          <w:szCs w:val="24"/>
        </w:rPr>
        <w:t>у</w:t>
      </w:r>
      <w:r w:rsidR="00536B60" w:rsidRPr="00BB4138">
        <w:rPr>
          <w:rFonts w:ascii="Times New Roman" w:hAnsi="Times New Roman"/>
          <w:bCs/>
          <w:szCs w:val="24"/>
        </w:rPr>
        <w:t xml:space="preserve"> </w:t>
      </w:r>
      <w:r w:rsidR="00722ACE">
        <w:rPr>
          <w:rFonts w:ascii="Times New Roman" w:hAnsi="Times New Roman"/>
          <w:bCs/>
          <w:szCs w:val="24"/>
          <w:lang w:val="sr-Cyrl-BA"/>
        </w:rPr>
        <w:t>К</w:t>
      </w:r>
      <w:r>
        <w:rPr>
          <w:rFonts w:ascii="Times New Roman" w:hAnsi="Times New Roman"/>
          <w:bCs/>
          <w:szCs w:val="24"/>
        </w:rPr>
        <w:t>С</w:t>
      </w:r>
      <w:r w:rsidR="00536B60" w:rsidRPr="00BB4138">
        <w:rPr>
          <w:rFonts w:ascii="Times New Roman" w:hAnsi="Times New Roman"/>
          <w:bCs/>
          <w:szCs w:val="24"/>
        </w:rPr>
        <w:t xml:space="preserve">. </w:t>
      </w:r>
      <w:r>
        <w:rPr>
          <w:rFonts w:ascii="Times New Roman" w:hAnsi="Times New Roman"/>
          <w:bCs/>
          <w:szCs w:val="24"/>
        </w:rPr>
        <w:t>Активност</w:t>
      </w:r>
      <w:r w:rsidR="00536B60" w:rsidRPr="00BB4138">
        <w:rPr>
          <w:rFonts w:ascii="Times New Roman" w:hAnsi="Times New Roman"/>
          <w:bCs/>
          <w:szCs w:val="24"/>
        </w:rPr>
        <w:t xml:space="preserve"> </w:t>
      </w:r>
      <w:r>
        <w:rPr>
          <w:rFonts w:ascii="Times New Roman" w:hAnsi="Times New Roman"/>
          <w:bCs/>
          <w:szCs w:val="24"/>
        </w:rPr>
        <w:t>је</w:t>
      </w:r>
      <w:r w:rsidR="00536B60" w:rsidRPr="00BB4138">
        <w:rPr>
          <w:rFonts w:ascii="Times New Roman" w:hAnsi="Times New Roman"/>
          <w:bCs/>
          <w:szCs w:val="24"/>
        </w:rPr>
        <w:t xml:space="preserve"> </w:t>
      </w:r>
      <w:r>
        <w:rPr>
          <w:rFonts w:ascii="Times New Roman" w:hAnsi="Times New Roman"/>
          <w:bCs/>
          <w:szCs w:val="24"/>
        </w:rPr>
        <w:t>реализ</w:t>
      </w:r>
      <w:r w:rsidR="00722ACE">
        <w:rPr>
          <w:rFonts w:ascii="Times New Roman" w:hAnsi="Times New Roman"/>
          <w:bCs/>
          <w:szCs w:val="24"/>
          <w:lang w:val="sr-Cyrl-BA"/>
        </w:rPr>
        <w:t>ована</w:t>
      </w:r>
      <w:r w:rsidR="00536B60" w:rsidRPr="00BB4138">
        <w:rPr>
          <w:rFonts w:ascii="Times New Roman" w:hAnsi="Times New Roman"/>
          <w:bCs/>
          <w:szCs w:val="24"/>
        </w:rPr>
        <w:t xml:space="preserve"> </w:t>
      </w:r>
      <w:r>
        <w:rPr>
          <w:rFonts w:ascii="Times New Roman" w:hAnsi="Times New Roman"/>
          <w:bCs/>
          <w:szCs w:val="24"/>
        </w:rPr>
        <w:t>у</w:t>
      </w:r>
      <w:r w:rsidR="00536B60" w:rsidRPr="00BB4138">
        <w:rPr>
          <w:rFonts w:ascii="Times New Roman" w:hAnsi="Times New Roman"/>
          <w:bCs/>
          <w:szCs w:val="24"/>
        </w:rPr>
        <w:t xml:space="preserve"> </w:t>
      </w:r>
      <w:r>
        <w:rPr>
          <w:rFonts w:ascii="Times New Roman" w:hAnsi="Times New Roman"/>
          <w:bCs/>
          <w:szCs w:val="24"/>
        </w:rPr>
        <w:t>сарадњи</w:t>
      </w:r>
      <w:r w:rsidR="005F06A0">
        <w:rPr>
          <w:rFonts w:ascii="Times New Roman" w:hAnsi="Times New Roman"/>
          <w:bCs/>
          <w:szCs w:val="24"/>
        </w:rPr>
        <w:t xml:space="preserve"> </w:t>
      </w:r>
      <w:r>
        <w:rPr>
          <w:rFonts w:ascii="Times New Roman" w:hAnsi="Times New Roman"/>
          <w:bCs/>
          <w:szCs w:val="24"/>
        </w:rPr>
        <w:t>са</w:t>
      </w:r>
      <w:r w:rsidR="00536B60" w:rsidRPr="00BB4138">
        <w:rPr>
          <w:rFonts w:ascii="Times New Roman" w:hAnsi="Times New Roman"/>
          <w:bCs/>
          <w:szCs w:val="24"/>
        </w:rPr>
        <w:t xml:space="preserve"> </w:t>
      </w:r>
      <w:r>
        <w:rPr>
          <w:rFonts w:ascii="Times New Roman" w:hAnsi="Times New Roman"/>
          <w:bCs/>
          <w:szCs w:val="24"/>
        </w:rPr>
        <w:t>кантоналним</w:t>
      </w:r>
      <w:r w:rsidR="00536B60" w:rsidRPr="00BB4138">
        <w:rPr>
          <w:rFonts w:ascii="Times New Roman" w:hAnsi="Times New Roman"/>
          <w:bCs/>
          <w:szCs w:val="24"/>
        </w:rPr>
        <w:t xml:space="preserve"> </w:t>
      </w:r>
      <w:r>
        <w:rPr>
          <w:rFonts w:ascii="Times New Roman" w:hAnsi="Times New Roman"/>
          <w:bCs/>
          <w:szCs w:val="24"/>
        </w:rPr>
        <w:t>министарствима</w:t>
      </w:r>
      <w:r w:rsidR="00536B60" w:rsidRPr="00BB4138">
        <w:rPr>
          <w:rFonts w:ascii="Times New Roman" w:hAnsi="Times New Roman"/>
          <w:bCs/>
          <w:szCs w:val="24"/>
        </w:rPr>
        <w:t xml:space="preserve"> </w:t>
      </w:r>
      <w:r>
        <w:rPr>
          <w:rFonts w:ascii="Times New Roman" w:hAnsi="Times New Roman"/>
          <w:bCs/>
          <w:szCs w:val="24"/>
        </w:rPr>
        <w:t>здравства</w:t>
      </w:r>
      <w:r w:rsidR="00536B60" w:rsidRPr="00BB4138">
        <w:rPr>
          <w:rFonts w:ascii="Times New Roman" w:hAnsi="Times New Roman"/>
          <w:bCs/>
          <w:szCs w:val="24"/>
        </w:rPr>
        <w:t xml:space="preserve"> </w:t>
      </w:r>
      <w:r>
        <w:rPr>
          <w:rFonts w:ascii="Times New Roman" w:hAnsi="Times New Roman"/>
          <w:bCs/>
          <w:szCs w:val="24"/>
        </w:rPr>
        <w:t>и</w:t>
      </w:r>
      <w:r w:rsidR="00536B60" w:rsidRPr="00BB4138">
        <w:rPr>
          <w:rFonts w:ascii="Times New Roman" w:hAnsi="Times New Roman"/>
          <w:bCs/>
          <w:szCs w:val="24"/>
        </w:rPr>
        <w:t xml:space="preserve"> </w:t>
      </w:r>
      <w:r>
        <w:rPr>
          <w:rFonts w:ascii="Times New Roman" w:hAnsi="Times New Roman"/>
          <w:bCs/>
          <w:szCs w:val="24"/>
        </w:rPr>
        <w:t>социјалне</w:t>
      </w:r>
      <w:r w:rsidR="00536B60" w:rsidRPr="00BB4138">
        <w:rPr>
          <w:rFonts w:ascii="Times New Roman" w:hAnsi="Times New Roman"/>
          <w:bCs/>
          <w:szCs w:val="24"/>
        </w:rPr>
        <w:t xml:space="preserve"> </w:t>
      </w:r>
      <w:r>
        <w:rPr>
          <w:rFonts w:ascii="Times New Roman" w:hAnsi="Times New Roman"/>
          <w:bCs/>
          <w:szCs w:val="24"/>
        </w:rPr>
        <w:t>политике</w:t>
      </w:r>
      <w:r w:rsidR="00536B60" w:rsidRPr="00BB4138">
        <w:rPr>
          <w:rFonts w:ascii="Times New Roman" w:hAnsi="Times New Roman"/>
          <w:bCs/>
          <w:szCs w:val="24"/>
        </w:rPr>
        <w:t xml:space="preserve">, </w:t>
      </w:r>
      <w:r>
        <w:rPr>
          <w:rFonts w:ascii="Times New Roman" w:hAnsi="Times New Roman"/>
          <w:bCs/>
          <w:szCs w:val="24"/>
        </w:rPr>
        <w:t>Центром</w:t>
      </w:r>
      <w:r w:rsidR="008E672D" w:rsidRPr="00BB4138">
        <w:rPr>
          <w:rFonts w:ascii="Times New Roman" w:hAnsi="Times New Roman"/>
          <w:bCs/>
          <w:szCs w:val="24"/>
        </w:rPr>
        <w:t xml:space="preserve"> </w:t>
      </w:r>
      <w:r>
        <w:rPr>
          <w:rFonts w:ascii="Times New Roman" w:hAnsi="Times New Roman"/>
          <w:bCs/>
          <w:szCs w:val="24"/>
        </w:rPr>
        <w:t>за</w:t>
      </w:r>
      <w:r w:rsidR="008E672D" w:rsidRPr="00BB4138">
        <w:rPr>
          <w:rFonts w:ascii="Times New Roman" w:hAnsi="Times New Roman"/>
          <w:bCs/>
          <w:szCs w:val="24"/>
        </w:rPr>
        <w:t xml:space="preserve"> </w:t>
      </w:r>
      <w:r>
        <w:rPr>
          <w:rFonts w:ascii="Times New Roman" w:hAnsi="Times New Roman"/>
          <w:bCs/>
          <w:szCs w:val="24"/>
        </w:rPr>
        <w:t>форензичка</w:t>
      </w:r>
      <w:r w:rsidR="008E672D" w:rsidRPr="00BB4138">
        <w:rPr>
          <w:rFonts w:ascii="Times New Roman" w:hAnsi="Times New Roman"/>
          <w:bCs/>
          <w:szCs w:val="24"/>
        </w:rPr>
        <w:t xml:space="preserve"> </w:t>
      </w:r>
      <w:r>
        <w:rPr>
          <w:rFonts w:ascii="Times New Roman" w:hAnsi="Times New Roman"/>
          <w:bCs/>
          <w:szCs w:val="24"/>
        </w:rPr>
        <w:t>испитивања</w:t>
      </w:r>
      <w:r w:rsidR="008E672D" w:rsidRPr="00BB4138">
        <w:rPr>
          <w:rFonts w:ascii="Times New Roman" w:hAnsi="Times New Roman"/>
          <w:bCs/>
          <w:szCs w:val="24"/>
        </w:rPr>
        <w:t xml:space="preserve">, </w:t>
      </w:r>
      <w:r>
        <w:rPr>
          <w:rFonts w:ascii="Times New Roman" w:hAnsi="Times New Roman"/>
          <w:bCs/>
          <w:szCs w:val="24"/>
        </w:rPr>
        <w:t>вјештачења</w:t>
      </w:r>
      <w:r w:rsidR="008E672D" w:rsidRPr="00BB4138">
        <w:rPr>
          <w:rFonts w:ascii="Times New Roman" w:hAnsi="Times New Roman"/>
          <w:bCs/>
          <w:szCs w:val="24"/>
        </w:rPr>
        <w:t xml:space="preserve"> </w:t>
      </w:r>
      <w:r>
        <w:rPr>
          <w:rFonts w:ascii="Times New Roman" w:hAnsi="Times New Roman"/>
          <w:bCs/>
          <w:szCs w:val="24"/>
        </w:rPr>
        <w:t>и</w:t>
      </w:r>
      <w:r w:rsidR="008E672D" w:rsidRPr="00BB4138">
        <w:rPr>
          <w:rFonts w:ascii="Times New Roman" w:hAnsi="Times New Roman"/>
          <w:bCs/>
          <w:szCs w:val="24"/>
        </w:rPr>
        <w:t xml:space="preserve"> </w:t>
      </w:r>
      <w:r>
        <w:rPr>
          <w:rFonts w:ascii="Times New Roman" w:hAnsi="Times New Roman"/>
          <w:bCs/>
          <w:szCs w:val="24"/>
        </w:rPr>
        <w:t>истраживања</w:t>
      </w:r>
      <w:r w:rsidR="008E672D" w:rsidRPr="00BB4138">
        <w:rPr>
          <w:rFonts w:ascii="Times New Roman" w:hAnsi="Times New Roman"/>
          <w:bCs/>
          <w:szCs w:val="24"/>
        </w:rPr>
        <w:t xml:space="preserve"> </w:t>
      </w:r>
      <w:r>
        <w:rPr>
          <w:rFonts w:ascii="Times New Roman" w:hAnsi="Times New Roman"/>
          <w:bCs/>
          <w:szCs w:val="24"/>
        </w:rPr>
        <w:t>Федералне</w:t>
      </w:r>
      <w:r w:rsidR="008E672D" w:rsidRPr="00BB4138">
        <w:rPr>
          <w:rFonts w:ascii="Times New Roman" w:hAnsi="Times New Roman"/>
          <w:bCs/>
          <w:szCs w:val="24"/>
        </w:rPr>
        <w:t xml:space="preserve"> </w:t>
      </w:r>
      <w:r>
        <w:rPr>
          <w:rFonts w:ascii="Times New Roman" w:hAnsi="Times New Roman"/>
          <w:bCs/>
          <w:szCs w:val="24"/>
        </w:rPr>
        <w:t>управе</w:t>
      </w:r>
      <w:r w:rsidR="008E672D" w:rsidRPr="00BB4138">
        <w:rPr>
          <w:rFonts w:ascii="Times New Roman" w:hAnsi="Times New Roman"/>
          <w:bCs/>
          <w:szCs w:val="24"/>
        </w:rPr>
        <w:t xml:space="preserve"> </w:t>
      </w:r>
      <w:r>
        <w:rPr>
          <w:rFonts w:ascii="Times New Roman" w:hAnsi="Times New Roman"/>
          <w:bCs/>
          <w:szCs w:val="24"/>
        </w:rPr>
        <w:t>полиције</w:t>
      </w:r>
      <w:r w:rsidR="00536B60" w:rsidRPr="00BB4138">
        <w:rPr>
          <w:rFonts w:ascii="Times New Roman" w:hAnsi="Times New Roman"/>
          <w:bCs/>
          <w:szCs w:val="24"/>
        </w:rPr>
        <w:t xml:space="preserve">, </w:t>
      </w:r>
      <w:r>
        <w:rPr>
          <w:rFonts w:ascii="Times New Roman" w:hAnsi="Times New Roman"/>
          <w:bCs/>
          <w:szCs w:val="24"/>
        </w:rPr>
        <w:t>Тужилаштвом</w:t>
      </w:r>
      <w:r w:rsidR="00536B60" w:rsidRPr="00BB4138">
        <w:rPr>
          <w:rFonts w:ascii="Times New Roman" w:hAnsi="Times New Roman"/>
          <w:bCs/>
          <w:szCs w:val="24"/>
        </w:rPr>
        <w:t xml:space="preserve"> </w:t>
      </w:r>
      <w:r>
        <w:rPr>
          <w:rFonts w:ascii="Times New Roman" w:hAnsi="Times New Roman"/>
          <w:bCs/>
          <w:szCs w:val="24"/>
        </w:rPr>
        <w:t>КС</w:t>
      </w:r>
      <w:r w:rsidR="005F06A0">
        <w:rPr>
          <w:rFonts w:ascii="Times New Roman" w:hAnsi="Times New Roman"/>
          <w:bCs/>
          <w:szCs w:val="24"/>
        </w:rPr>
        <w:t>,</w:t>
      </w:r>
      <w:r w:rsidR="00BB4138" w:rsidRPr="00BB4138">
        <w:rPr>
          <w:rFonts w:ascii="Times New Roman" w:hAnsi="Times New Roman"/>
          <w:bCs/>
          <w:szCs w:val="24"/>
        </w:rPr>
        <w:t xml:space="preserve"> </w:t>
      </w:r>
      <w:r>
        <w:rPr>
          <w:rFonts w:ascii="Times New Roman" w:hAnsi="Times New Roman"/>
          <w:bCs/>
          <w:szCs w:val="24"/>
        </w:rPr>
        <w:t>медицинским</w:t>
      </w:r>
      <w:r w:rsidR="00BB4138" w:rsidRPr="00BB4138">
        <w:rPr>
          <w:rFonts w:ascii="Times New Roman" w:hAnsi="Times New Roman"/>
          <w:bCs/>
          <w:szCs w:val="24"/>
        </w:rPr>
        <w:t xml:space="preserve"> </w:t>
      </w:r>
      <w:r>
        <w:rPr>
          <w:rFonts w:ascii="Times New Roman" w:hAnsi="Times New Roman"/>
          <w:bCs/>
          <w:szCs w:val="24"/>
        </w:rPr>
        <w:t>особљем</w:t>
      </w:r>
      <w:r w:rsidR="00BB4138" w:rsidRPr="00BB4138">
        <w:rPr>
          <w:rFonts w:ascii="Times New Roman" w:hAnsi="Times New Roman"/>
          <w:bCs/>
          <w:szCs w:val="24"/>
        </w:rPr>
        <w:t xml:space="preserve"> </w:t>
      </w:r>
      <w:r>
        <w:rPr>
          <w:rFonts w:ascii="Times New Roman" w:hAnsi="Times New Roman"/>
          <w:bCs/>
          <w:szCs w:val="24"/>
        </w:rPr>
        <w:t>Оп</w:t>
      </w:r>
      <w:r w:rsidR="00722ACE">
        <w:rPr>
          <w:rFonts w:ascii="Times New Roman" w:hAnsi="Times New Roman"/>
          <w:bCs/>
          <w:szCs w:val="24"/>
          <w:lang w:val="sr-Cyrl-BA"/>
        </w:rPr>
        <w:t>шт</w:t>
      </w:r>
      <w:r>
        <w:rPr>
          <w:rFonts w:ascii="Times New Roman" w:hAnsi="Times New Roman"/>
          <w:bCs/>
          <w:szCs w:val="24"/>
        </w:rPr>
        <w:t>е</w:t>
      </w:r>
      <w:r w:rsidR="00536B60" w:rsidRPr="00BB4138">
        <w:rPr>
          <w:rFonts w:ascii="Times New Roman" w:hAnsi="Times New Roman"/>
          <w:bCs/>
          <w:szCs w:val="24"/>
        </w:rPr>
        <w:t xml:space="preserve"> </w:t>
      </w:r>
      <w:r>
        <w:rPr>
          <w:rFonts w:ascii="Times New Roman" w:hAnsi="Times New Roman"/>
          <w:bCs/>
          <w:szCs w:val="24"/>
        </w:rPr>
        <w:t>болнице</w:t>
      </w:r>
      <w:r w:rsidR="00536B60" w:rsidRPr="00BB4138">
        <w:rPr>
          <w:rFonts w:ascii="Times New Roman" w:hAnsi="Times New Roman"/>
          <w:bCs/>
          <w:szCs w:val="24"/>
        </w:rPr>
        <w:t xml:space="preserve"> </w:t>
      </w:r>
      <w:r w:rsidR="00BB4138" w:rsidRPr="00BB4138">
        <w:rPr>
          <w:rFonts w:ascii="Times New Roman" w:hAnsi="Times New Roman"/>
          <w:bCs/>
          <w:szCs w:val="24"/>
        </w:rPr>
        <w:t>„</w:t>
      </w:r>
      <w:r>
        <w:rPr>
          <w:rFonts w:ascii="Times New Roman" w:hAnsi="Times New Roman"/>
          <w:bCs/>
          <w:szCs w:val="24"/>
        </w:rPr>
        <w:t>Абдулах</w:t>
      </w:r>
      <w:r w:rsidR="00BB4138" w:rsidRPr="00BB4138">
        <w:rPr>
          <w:rFonts w:ascii="Times New Roman" w:hAnsi="Times New Roman"/>
          <w:bCs/>
          <w:szCs w:val="24"/>
        </w:rPr>
        <w:t xml:space="preserve"> </w:t>
      </w:r>
      <w:r>
        <w:rPr>
          <w:rFonts w:ascii="Times New Roman" w:hAnsi="Times New Roman"/>
          <w:bCs/>
          <w:szCs w:val="24"/>
        </w:rPr>
        <w:t>Накаш</w:t>
      </w:r>
      <w:r w:rsidR="00BB4138" w:rsidRPr="00BB4138">
        <w:rPr>
          <w:rFonts w:ascii="Times New Roman" w:hAnsi="Times New Roman"/>
          <w:bCs/>
          <w:szCs w:val="24"/>
        </w:rPr>
        <w:t xml:space="preserve">“ </w:t>
      </w:r>
      <w:r>
        <w:rPr>
          <w:rFonts w:ascii="Times New Roman" w:hAnsi="Times New Roman"/>
          <w:bCs/>
          <w:szCs w:val="24"/>
        </w:rPr>
        <w:t>и</w:t>
      </w:r>
      <w:r w:rsidR="00536B60" w:rsidRPr="00BB4138">
        <w:rPr>
          <w:rFonts w:ascii="Times New Roman" w:hAnsi="Times New Roman"/>
          <w:bCs/>
          <w:szCs w:val="24"/>
        </w:rPr>
        <w:t xml:space="preserve"> </w:t>
      </w:r>
      <w:r>
        <w:rPr>
          <w:rFonts w:ascii="Times New Roman" w:hAnsi="Times New Roman"/>
          <w:bCs/>
          <w:szCs w:val="24"/>
        </w:rPr>
        <w:t>Фондацијом</w:t>
      </w:r>
      <w:r w:rsidR="00536B60" w:rsidRPr="00BB4138">
        <w:rPr>
          <w:rFonts w:ascii="Times New Roman" w:hAnsi="Times New Roman"/>
          <w:bCs/>
          <w:szCs w:val="24"/>
        </w:rPr>
        <w:t xml:space="preserve"> </w:t>
      </w:r>
      <w:r>
        <w:rPr>
          <w:rFonts w:ascii="Times New Roman" w:hAnsi="Times New Roman"/>
          <w:bCs/>
          <w:szCs w:val="24"/>
        </w:rPr>
        <w:t>локалне</w:t>
      </w:r>
      <w:r w:rsidR="00536B60" w:rsidRPr="00BB4138">
        <w:rPr>
          <w:rFonts w:ascii="Times New Roman" w:hAnsi="Times New Roman"/>
          <w:bCs/>
          <w:szCs w:val="24"/>
        </w:rPr>
        <w:t xml:space="preserve"> </w:t>
      </w:r>
      <w:r>
        <w:rPr>
          <w:rFonts w:ascii="Times New Roman" w:hAnsi="Times New Roman"/>
          <w:bCs/>
          <w:szCs w:val="24"/>
        </w:rPr>
        <w:t>демократије</w:t>
      </w:r>
      <w:r w:rsidR="00536B60" w:rsidRPr="00BB4138">
        <w:rPr>
          <w:rFonts w:ascii="Times New Roman" w:hAnsi="Times New Roman"/>
          <w:bCs/>
          <w:szCs w:val="24"/>
        </w:rPr>
        <w:t>.</w:t>
      </w:r>
      <w:r w:rsidR="00BB4138">
        <w:rPr>
          <w:rFonts w:ascii="Times New Roman" w:hAnsi="Times New Roman"/>
          <w:bCs/>
          <w:szCs w:val="24"/>
        </w:rPr>
        <w:t xml:space="preserve"> </w:t>
      </w:r>
      <w:r>
        <w:rPr>
          <w:rFonts w:ascii="Times New Roman" w:hAnsi="Times New Roman"/>
          <w:lang w:val="bs-Latn-BA"/>
        </w:rPr>
        <w:t>ФМЗ</w:t>
      </w:r>
      <w:r w:rsidR="002D32C5" w:rsidRPr="00BB4138">
        <w:rPr>
          <w:rFonts w:ascii="Times New Roman" w:hAnsi="Times New Roman"/>
          <w:lang w:val="bs-Latn-BA"/>
        </w:rPr>
        <w:t xml:space="preserve"> </w:t>
      </w:r>
      <w:r>
        <w:rPr>
          <w:rFonts w:ascii="Times New Roman" w:hAnsi="Times New Roman"/>
          <w:lang w:val="bs-Latn-BA"/>
        </w:rPr>
        <w:t>је</w:t>
      </w:r>
      <w:r w:rsidR="002D32C5" w:rsidRPr="00BB4138">
        <w:rPr>
          <w:rFonts w:ascii="Times New Roman" w:hAnsi="Times New Roman"/>
          <w:lang w:val="bs-Latn-BA"/>
        </w:rPr>
        <w:t xml:space="preserve"> </w:t>
      </w:r>
      <w:r>
        <w:rPr>
          <w:rFonts w:ascii="Times New Roman" w:hAnsi="Times New Roman"/>
          <w:lang w:val="bs-Latn-BA"/>
        </w:rPr>
        <w:t>подржало</w:t>
      </w:r>
      <w:r w:rsidR="002D32C5" w:rsidRPr="00BB4138">
        <w:rPr>
          <w:rFonts w:ascii="Times New Roman" w:hAnsi="Times New Roman"/>
          <w:lang w:val="bs-Latn-BA"/>
        </w:rPr>
        <w:t xml:space="preserve"> </w:t>
      </w:r>
      <w:r>
        <w:rPr>
          <w:rFonts w:ascii="Times New Roman" w:hAnsi="Times New Roman"/>
          <w:lang w:val="bs-Latn-BA"/>
        </w:rPr>
        <w:t>активности</w:t>
      </w:r>
      <w:r w:rsidR="002D32C5" w:rsidRPr="00BB4138">
        <w:rPr>
          <w:rFonts w:ascii="Times New Roman" w:hAnsi="Times New Roman"/>
          <w:lang w:val="bs-Latn-BA"/>
        </w:rPr>
        <w:t xml:space="preserve"> </w:t>
      </w:r>
      <w:r>
        <w:rPr>
          <w:rFonts w:ascii="Times New Roman" w:hAnsi="Times New Roman"/>
          <w:lang w:val="bs-Latn-BA"/>
        </w:rPr>
        <w:t>на</w:t>
      </w:r>
      <w:r w:rsidR="002D32C5" w:rsidRPr="00BB4138">
        <w:rPr>
          <w:rFonts w:ascii="Times New Roman" w:hAnsi="Times New Roman"/>
          <w:lang w:val="bs-Latn-BA"/>
        </w:rPr>
        <w:t xml:space="preserve"> </w:t>
      </w:r>
      <w:r>
        <w:rPr>
          <w:rFonts w:ascii="Times New Roman" w:hAnsi="Times New Roman"/>
          <w:lang w:val="bs-Latn-BA"/>
        </w:rPr>
        <w:t>успостављању</w:t>
      </w:r>
      <w:r w:rsidR="002D32C5" w:rsidRPr="00BB4138">
        <w:rPr>
          <w:rFonts w:ascii="Times New Roman" w:hAnsi="Times New Roman"/>
          <w:lang w:val="bs-Latn-BA"/>
        </w:rPr>
        <w:t xml:space="preserve"> </w:t>
      </w:r>
      <w:r>
        <w:rPr>
          <w:rFonts w:ascii="Times New Roman" w:hAnsi="Times New Roman"/>
          <w:lang w:val="bs-Latn-BA"/>
        </w:rPr>
        <w:t>поменутог</w:t>
      </w:r>
      <w:r w:rsidR="002D32C5" w:rsidRPr="00BB4138">
        <w:rPr>
          <w:rFonts w:ascii="Times New Roman" w:hAnsi="Times New Roman"/>
          <w:lang w:val="bs-Latn-BA"/>
        </w:rPr>
        <w:t xml:space="preserve"> </w:t>
      </w:r>
      <w:r>
        <w:rPr>
          <w:rStyle w:val="Strong"/>
          <w:rFonts w:ascii="Times New Roman" w:hAnsi="Times New Roman"/>
          <w:b w:val="0"/>
          <w:lang w:val="bs-Latn-BA"/>
        </w:rPr>
        <w:t>Протокола</w:t>
      </w:r>
      <w:r w:rsidR="002D32C5" w:rsidRPr="00BB4138">
        <w:rPr>
          <w:rFonts w:ascii="Times New Roman" w:hAnsi="Times New Roman"/>
          <w:lang w:val="bs-Latn-BA"/>
        </w:rPr>
        <w:t xml:space="preserve">. </w:t>
      </w:r>
      <w:r>
        <w:rPr>
          <w:rFonts w:ascii="Times New Roman" w:hAnsi="Times New Roman"/>
          <w:lang w:val="bs-Latn-BA"/>
        </w:rPr>
        <w:t>Едукације</w:t>
      </w:r>
      <w:r w:rsidR="002D32C5" w:rsidRPr="00BB4138">
        <w:rPr>
          <w:rFonts w:ascii="Times New Roman" w:hAnsi="Times New Roman"/>
          <w:lang w:val="bs-Latn-BA"/>
        </w:rPr>
        <w:t xml:space="preserve"> </w:t>
      </w:r>
      <w:r>
        <w:rPr>
          <w:rFonts w:ascii="Times New Roman" w:hAnsi="Times New Roman"/>
          <w:lang w:val="bs-Latn-BA"/>
        </w:rPr>
        <w:t>у</w:t>
      </w:r>
      <w:r w:rsidR="002D32C5" w:rsidRPr="00BB4138">
        <w:rPr>
          <w:rFonts w:ascii="Times New Roman" w:hAnsi="Times New Roman"/>
          <w:lang w:val="bs-Latn-BA"/>
        </w:rPr>
        <w:t xml:space="preserve"> </w:t>
      </w:r>
      <w:r>
        <w:rPr>
          <w:rFonts w:ascii="Times New Roman" w:hAnsi="Times New Roman"/>
          <w:lang w:val="bs-Latn-BA"/>
        </w:rPr>
        <w:t>овој</w:t>
      </w:r>
      <w:r w:rsidR="002D32C5" w:rsidRPr="00BB4138">
        <w:rPr>
          <w:rFonts w:ascii="Times New Roman" w:hAnsi="Times New Roman"/>
          <w:lang w:val="bs-Latn-BA"/>
        </w:rPr>
        <w:t xml:space="preserve"> </w:t>
      </w:r>
      <w:r>
        <w:rPr>
          <w:rFonts w:ascii="Times New Roman" w:hAnsi="Times New Roman"/>
          <w:lang w:val="bs-Latn-BA"/>
        </w:rPr>
        <w:t>области</w:t>
      </w:r>
      <w:r w:rsidR="002D32C5" w:rsidRPr="00BB4138">
        <w:rPr>
          <w:rFonts w:ascii="Times New Roman" w:hAnsi="Times New Roman"/>
          <w:lang w:val="bs-Latn-BA"/>
        </w:rPr>
        <w:t xml:space="preserve">, </w:t>
      </w:r>
      <w:r>
        <w:rPr>
          <w:rFonts w:ascii="Times New Roman" w:hAnsi="Times New Roman"/>
          <w:lang w:val="bs-Latn-BA"/>
        </w:rPr>
        <w:t>уз</w:t>
      </w:r>
      <w:r w:rsidR="002D32C5" w:rsidRPr="00BB4138">
        <w:rPr>
          <w:rFonts w:ascii="Times New Roman" w:hAnsi="Times New Roman"/>
          <w:lang w:val="bs-Latn-BA"/>
        </w:rPr>
        <w:t xml:space="preserve"> </w:t>
      </w:r>
      <w:r>
        <w:rPr>
          <w:rFonts w:ascii="Times New Roman" w:hAnsi="Times New Roman"/>
          <w:lang w:val="bs-Latn-BA"/>
        </w:rPr>
        <w:t>подршку</w:t>
      </w:r>
      <w:r w:rsidR="002D32C5" w:rsidRPr="00BB4138">
        <w:rPr>
          <w:rFonts w:ascii="Times New Roman" w:hAnsi="Times New Roman"/>
          <w:lang w:val="bs-Latn-BA"/>
        </w:rPr>
        <w:t xml:space="preserve"> </w:t>
      </w:r>
      <w:r w:rsidR="00722ACE" w:rsidRPr="00722ACE">
        <w:rPr>
          <w:rFonts w:ascii="Times New Roman" w:hAnsi="Times New Roman"/>
          <w:i/>
          <w:lang w:val="bs-Latn-BA"/>
        </w:rPr>
        <w:t>UNFPA</w:t>
      </w:r>
      <w:r w:rsidR="002D32C5" w:rsidRPr="00BB4138">
        <w:rPr>
          <w:rFonts w:ascii="Times New Roman" w:hAnsi="Times New Roman"/>
          <w:lang w:val="bs-Latn-BA"/>
        </w:rPr>
        <w:t xml:space="preserve">, </w:t>
      </w:r>
      <w:r>
        <w:rPr>
          <w:rFonts w:ascii="Times New Roman" w:hAnsi="Times New Roman"/>
          <w:lang w:val="bs-Latn-BA"/>
        </w:rPr>
        <w:t>реализ</w:t>
      </w:r>
      <w:r w:rsidR="00722ACE">
        <w:rPr>
          <w:rFonts w:ascii="Times New Roman" w:hAnsi="Times New Roman"/>
          <w:lang w:val="sr-Cyrl-BA"/>
        </w:rPr>
        <w:t>оване</w:t>
      </w:r>
      <w:r w:rsidR="002D32C5" w:rsidRPr="00BB4138">
        <w:rPr>
          <w:rFonts w:ascii="Times New Roman" w:hAnsi="Times New Roman"/>
          <w:lang w:val="bs-Latn-BA"/>
        </w:rPr>
        <w:t xml:space="preserve"> </w:t>
      </w:r>
      <w:r>
        <w:rPr>
          <w:rFonts w:ascii="Times New Roman" w:hAnsi="Times New Roman"/>
          <w:lang w:val="bs-Latn-BA"/>
        </w:rPr>
        <w:t>су</w:t>
      </w:r>
      <w:r w:rsidR="002D32C5" w:rsidRPr="00BB4138">
        <w:rPr>
          <w:rFonts w:ascii="Times New Roman" w:hAnsi="Times New Roman"/>
          <w:lang w:val="bs-Latn-BA"/>
        </w:rPr>
        <w:t xml:space="preserve"> </w:t>
      </w:r>
      <w:r>
        <w:rPr>
          <w:rFonts w:ascii="Times New Roman" w:hAnsi="Times New Roman"/>
          <w:lang w:val="bs-Latn-BA"/>
        </w:rPr>
        <w:t>у</w:t>
      </w:r>
      <w:r w:rsidR="002D32C5" w:rsidRPr="00BB4138">
        <w:rPr>
          <w:rFonts w:ascii="Times New Roman" w:hAnsi="Times New Roman"/>
          <w:lang w:val="bs-Latn-BA"/>
        </w:rPr>
        <w:t xml:space="preserve"> </w:t>
      </w:r>
      <w:r>
        <w:rPr>
          <w:rFonts w:ascii="Times New Roman" w:hAnsi="Times New Roman"/>
          <w:lang w:val="bs-Latn-BA"/>
        </w:rPr>
        <w:t>Сарајеву</w:t>
      </w:r>
      <w:r w:rsidR="002D32C5" w:rsidRPr="00BB4138">
        <w:rPr>
          <w:rFonts w:ascii="Times New Roman" w:hAnsi="Times New Roman"/>
          <w:lang w:val="bs-Latn-BA"/>
        </w:rPr>
        <w:t xml:space="preserve"> </w:t>
      </w:r>
      <w:r>
        <w:rPr>
          <w:rFonts w:ascii="Times New Roman" w:hAnsi="Times New Roman"/>
          <w:lang w:val="bs-Latn-BA"/>
        </w:rPr>
        <w:t>за</w:t>
      </w:r>
      <w:r w:rsidR="002D32C5" w:rsidRPr="00BB4138">
        <w:rPr>
          <w:rFonts w:ascii="Times New Roman" w:hAnsi="Times New Roman"/>
          <w:lang w:val="bs-Latn-BA"/>
        </w:rPr>
        <w:t xml:space="preserve"> </w:t>
      </w:r>
      <w:r>
        <w:rPr>
          <w:rFonts w:ascii="Times New Roman" w:hAnsi="Times New Roman"/>
          <w:lang w:val="bs-Latn-BA"/>
        </w:rPr>
        <w:t>запосленике</w:t>
      </w:r>
      <w:r w:rsidR="002D32C5" w:rsidRPr="00BB4138">
        <w:rPr>
          <w:rFonts w:ascii="Times New Roman" w:hAnsi="Times New Roman"/>
          <w:lang w:val="bs-Latn-BA"/>
        </w:rPr>
        <w:t xml:space="preserve"> </w:t>
      </w:r>
      <w:r>
        <w:rPr>
          <w:rFonts w:ascii="Times New Roman" w:hAnsi="Times New Roman"/>
          <w:lang w:val="bs-Latn-BA"/>
        </w:rPr>
        <w:t>болница</w:t>
      </w:r>
      <w:r w:rsidR="002D32C5" w:rsidRPr="00BB4138">
        <w:rPr>
          <w:rFonts w:ascii="Times New Roman" w:hAnsi="Times New Roman"/>
          <w:lang w:val="bs-Latn-BA"/>
        </w:rPr>
        <w:t xml:space="preserve"> </w:t>
      </w:r>
      <w:r>
        <w:rPr>
          <w:rFonts w:ascii="Times New Roman" w:hAnsi="Times New Roman"/>
          <w:lang w:val="bs-Latn-BA"/>
        </w:rPr>
        <w:t>и</w:t>
      </w:r>
      <w:r w:rsidR="002D32C5" w:rsidRPr="00BB4138">
        <w:rPr>
          <w:rFonts w:ascii="Times New Roman" w:hAnsi="Times New Roman"/>
          <w:lang w:val="bs-Latn-BA"/>
        </w:rPr>
        <w:t xml:space="preserve"> </w:t>
      </w:r>
      <w:r>
        <w:rPr>
          <w:rFonts w:ascii="Times New Roman" w:hAnsi="Times New Roman"/>
          <w:lang w:val="bs-Latn-BA"/>
        </w:rPr>
        <w:t>клиничких</w:t>
      </w:r>
      <w:r w:rsidR="002D32C5" w:rsidRPr="00BB4138">
        <w:rPr>
          <w:rFonts w:ascii="Times New Roman" w:hAnsi="Times New Roman"/>
          <w:lang w:val="bs-Latn-BA"/>
        </w:rPr>
        <w:t xml:space="preserve"> </w:t>
      </w:r>
      <w:r>
        <w:rPr>
          <w:rFonts w:ascii="Times New Roman" w:hAnsi="Times New Roman"/>
          <w:lang w:val="bs-Latn-BA"/>
        </w:rPr>
        <w:t>центара</w:t>
      </w:r>
      <w:r w:rsidR="002D32C5" w:rsidRPr="00BB4138">
        <w:rPr>
          <w:rFonts w:ascii="Times New Roman" w:hAnsi="Times New Roman"/>
          <w:lang w:val="bs-Latn-BA"/>
        </w:rPr>
        <w:t xml:space="preserve">, </w:t>
      </w:r>
      <w:r>
        <w:rPr>
          <w:rFonts w:ascii="Times New Roman" w:hAnsi="Times New Roman"/>
          <w:lang w:val="bs-Latn-BA"/>
        </w:rPr>
        <w:t>укључујући</w:t>
      </w:r>
      <w:r w:rsidR="002D32C5" w:rsidRPr="00BB4138">
        <w:rPr>
          <w:rFonts w:ascii="Times New Roman" w:hAnsi="Times New Roman"/>
          <w:lang w:val="bs-Latn-BA"/>
        </w:rPr>
        <w:t xml:space="preserve"> </w:t>
      </w:r>
      <w:r>
        <w:rPr>
          <w:rFonts w:ascii="Times New Roman" w:hAnsi="Times New Roman"/>
          <w:lang w:val="bs-Latn-BA"/>
        </w:rPr>
        <w:t>докторе</w:t>
      </w:r>
      <w:r w:rsidR="002D32C5" w:rsidRPr="00BB4138">
        <w:rPr>
          <w:rFonts w:ascii="Times New Roman" w:hAnsi="Times New Roman"/>
          <w:lang w:val="bs-Latn-BA"/>
        </w:rPr>
        <w:t xml:space="preserve"> </w:t>
      </w:r>
      <w:r>
        <w:rPr>
          <w:rFonts w:ascii="Times New Roman" w:hAnsi="Times New Roman"/>
          <w:lang w:val="bs-Latn-BA"/>
        </w:rPr>
        <w:t>гинекологије</w:t>
      </w:r>
      <w:r w:rsidR="002D32C5" w:rsidRPr="00BB4138">
        <w:rPr>
          <w:rFonts w:ascii="Times New Roman" w:hAnsi="Times New Roman"/>
          <w:lang w:val="bs-Latn-BA"/>
        </w:rPr>
        <w:t xml:space="preserve">, </w:t>
      </w:r>
      <w:r>
        <w:rPr>
          <w:rFonts w:ascii="Times New Roman" w:hAnsi="Times New Roman"/>
          <w:lang w:val="bs-Latn-BA"/>
        </w:rPr>
        <w:t>медицинске</w:t>
      </w:r>
      <w:r w:rsidR="002D32C5" w:rsidRPr="00BB4138">
        <w:rPr>
          <w:rFonts w:ascii="Times New Roman" w:hAnsi="Times New Roman"/>
          <w:lang w:val="bs-Latn-BA"/>
        </w:rPr>
        <w:t xml:space="preserve"> </w:t>
      </w:r>
      <w:r>
        <w:rPr>
          <w:rFonts w:ascii="Times New Roman" w:hAnsi="Times New Roman"/>
          <w:lang w:val="bs-Latn-BA"/>
        </w:rPr>
        <w:t>сестре</w:t>
      </w:r>
      <w:r w:rsidR="002D32C5" w:rsidRPr="00BB4138">
        <w:rPr>
          <w:rFonts w:ascii="Times New Roman" w:hAnsi="Times New Roman"/>
          <w:lang w:val="bs-Latn-BA"/>
        </w:rPr>
        <w:t xml:space="preserve">, </w:t>
      </w:r>
      <w:r>
        <w:rPr>
          <w:rFonts w:ascii="Times New Roman" w:hAnsi="Times New Roman"/>
          <w:lang w:val="bs-Latn-BA"/>
        </w:rPr>
        <w:t>психологе</w:t>
      </w:r>
      <w:r w:rsidR="002D32C5" w:rsidRPr="00BB4138">
        <w:rPr>
          <w:rFonts w:ascii="Times New Roman" w:hAnsi="Times New Roman"/>
          <w:lang w:val="bs-Latn-BA"/>
        </w:rPr>
        <w:t xml:space="preserve"> </w:t>
      </w:r>
      <w:r>
        <w:rPr>
          <w:rFonts w:ascii="Times New Roman" w:hAnsi="Times New Roman"/>
          <w:lang w:val="bs-Latn-BA"/>
        </w:rPr>
        <w:t>и</w:t>
      </w:r>
      <w:r w:rsidR="002D32C5" w:rsidRPr="00BB4138">
        <w:rPr>
          <w:rFonts w:ascii="Times New Roman" w:hAnsi="Times New Roman"/>
          <w:lang w:val="bs-Latn-BA"/>
        </w:rPr>
        <w:t xml:space="preserve"> </w:t>
      </w:r>
      <w:r>
        <w:rPr>
          <w:rFonts w:ascii="Times New Roman" w:hAnsi="Times New Roman"/>
          <w:lang w:val="bs-Latn-BA"/>
        </w:rPr>
        <w:t>социјалне</w:t>
      </w:r>
      <w:r w:rsidR="002D32C5" w:rsidRPr="00BB4138">
        <w:rPr>
          <w:rFonts w:ascii="Times New Roman" w:hAnsi="Times New Roman"/>
          <w:lang w:val="bs-Latn-BA"/>
        </w:rPr>
        <w:t xml:space="preserve"> </w:t>
      </w:r>
      <w:r>
        <w:rPr>
          <w:rFonts w:ascii="Times New Roman" w:hAnsi="Times New Roman"/>
          <w:lang w:val="bs-Latn-BA"/>
        </w:rPr>
        <w:t>раднике</w:t>
      </w:r>
      <w:r w:rsidR="002D32C5" w:rsidRPr="00BB4138">
        <w:rPr>
          <w:rFonts w:ascii="Times New Roman" w:hAnsi="Times New Roman"/>
          <w:lang w:val="bs-Latn-BA"/>
        </w:rPr>
        <w:t xml:space="preserve">. </w:t>
      </w:r>
      <w:r>
        <w:rPr>
          <w:rFonts w:ascii="Times New Roman" w:hAnsi="Times New Roman"/>
          <w:lang w:val="bs-Latn-BA"/>
        </w:rPr>
        <w:t>Фокус</w:t>
      </w:r>
      <w:r w:rsidR="002D32C5" w:rsidRPr="00BB4138">
        <w:rPr>
          <w:rFonts w:ascii="Times New Roman" w:hAnsi="Times New Roman"/>
          <w:lang w:val="bs-Latn-BA"/>
        </w:rPr>
        <w:t xml:space="preserve"> </w:t>
      </w:r>
      <w:r>
        <w:rPr>
          <w:rFonts w:ascii="Times New Roman" w:hAnsi="Times New Roman"/>
          <w:lang w:val="bs-Latn-BA"/>
        </w:rPr>
        <w:t>едукација</w:t>
      </w:r>
      <w:r w:rsidR="002D32C5" w:rsidRPr="00BB4138">
        <w:rPr>
          <w:rFonts w:ascii="Times New Roman" w:hAnsi="Times New Roman"/>
          <w:lang w:val="bs-Latn-BA"/>
        </w:rPr>
        <w:t xml:space="preserve"> </w:t>
      </w:r>
      <w:r>
        <w:rPr>
          <w:rFonts w:ascii="Times New Roman" w:hAnsi="Times New Roman"/>
          <w:lang w:val="bs-Latn-BA"/>
        </w:rPr>
        <w:t>био</w:t>
      </w:r>
      <w:r w:rsidR="002D32C5" w:rsidRPr="00BB4138">
        <w:rPr>
          <w:rFonts w:ascii="Times New Roman" w:hAnsi="Times New Roman"/>
          <w:lang w:val="bs-Latn-BA"/>
        </w:rPr>
        <w:t xml:space="preserve"> </w:t>
      </w:r>
      <w:r>
        <w:rPr>
          <w:rFonts w:ascii="Times New Roman" w:hAnsi="Times New Roman"/>
          <w:lang w:val="bs-Latn-BA"/>
        </w:rPr>
        <w:t>је</w:t>
      </w:r>
      <w:r w:rsidR="002D32C5" w:rsidRPr="00BB4138">
        <w:rPr>
          <w:rFonts w:ascii="Times New Roman" w:hAnsi="Times New Roman"/>
          <w:lang w:val="bs-Latn-BA"/>
        </w:rPr>
        <w:t xml:space="preserve"> </w:t>
      </w:r>
      <w:r>
        <w:rPr>
          <w:rFonts w:ascii="Times New Roman" w:hAnsi="Times New Roman"/>
          <w:lang w:val="bs-Latn-BA"/>
        </w:rPr>
        <w:t>на</w:t>
      </w:r>
      <w:r w:rsidR="002D32C5" w:rsidRPr="00BB4138">
        <w:rPr>
          <w:rFonts w:ascii="Times New Roman" w:hAnsi="Times New Roman"/>
          <w:lang w:val="bs-Latn-BA"/>
        </w:rPr>
        <w:t xml:space="preserve"> </w:t>
      </w:r>
      <w:r>
        <w:rPr>
          <w:rStyle w:val="Strong"/>
          <w:rFonts w:ascii="Times New Roman" w:hAnsi="Times New Roman"/>
          <w:b w:val="0"/>
          <w:lang w:val="bs-Latn-BA"/>
        </w:rPr>
        <w:t>клиничком</w:t>
      </w:r>
      <w:r w:rsidR="002D32C5" w:rsidRPr="00BB4138">
        <w:rPr>
          <w:rStyle w:val="Strong"/>
          <w:rFonts w:ascii="Times New Roman" w:hAnsi="Times New Roman"/>
          <w:b w:val="0"/>
          <w:lang w:val="bs-Latn-BA"/>
        </w:rPr>
        <w:t xml:space="preserve"> </w:t>
      </w:r>
      <w:r>
        <w:rPr>
          <w:rStyle w:val="Strong"/>
          <w:rFonts w:ascii="Times New Roman" w:hAnsi="Times New Roman"/>
          <w:b w:val="0"/>
          <w:lang w:val="bs-Latn-BA"/>
        </w:rPr>
        <w:t>поступању</w:t>
      </w:r>
      <w:r w:rsidR="002D32C5" w:rsidRPr="00BB4138">
        <w:rPr>
          <w:rStyle w:val="Strong"/>
          <w:rFonts w:ascii="Times New Roman" w:hAnsi="Times New Roman"/>
          <w:b w:val="0"/>
          <w:lang w:val="bs-Latn-BA"/>
        </w:rPr>
        <w:t xml:space="preserve"> </w:t>
      </w:r>
      <w:r>
        <w:rPr>
          <w:rStyle w:val="Strong"/>
          <w:rFonts w:ascii="Times New Roman" w:hAnsi="Times New Roman"/>
          <w:b w:val="0"/>
          <w:lang w:val="bs-Latn-BA"/>
        </w:rPr>
        <w:t>здравствених</w:t>
      </w:r>
      <w:r w:rsidR="002D32C5" w:rsidRPr="00BB4138">
        <w:rPr>
          <w:rStyle w:val="Strong"/>
          <w:rFonts w:ascii="Times New Roman" w:hAnsi="Times New Roman"/>
          <w:b w:val="0"/>
          <w:lang w:val="bs-Latn-BA"/>
        </w:rPr>
        <w:t xml:space="preserve"> </w:t>
      </w:r>
      <w:r>
        <w:rPr>
          <w:rStyle w:val="Strong"/>
          <w:rFonts w:ascii="Times New Roman" w:hAnsi="Times New Roman"/>
          <w:b w:val="0"/>
          <w:lang w:val="bs-Latn-BA"/>
        </w:rPr>
        <w:t>радника</w:t>
      </w:r>
      <w:r w:rsidR="008765D0" w:rsidRPr="005F06A0">
        <w:rPr>
          <w:rFonts w:ascii="Times New Roman" w:hAnsi="Times New Roman"/>
          <w:lang w:val="bs-Latn-BA"/>
        </w:rPr>
        <w:t>.</w:t>
      </w:r>
      <w:r w:rsidR="008765D0" w:rsidRPr="00BB4138">
        <w:rPr>
          <w:rFonts w:ascii="Times New Roman" w:hAnsi="Times New Roman"/>
          <w:lang w:val="bs-Latn-BA"/>
        </w:rPr>
        <w:t xml:space="preserve"> </w:t>
      </w:r>
      <w:r>
        <w:rPr>
          <w:rFonts w:ascii="Times New Roman" w:hAnsi="Times New Roman"/>
          <w:lang w:val="bs-Latn-BA"/>
        </w:rPr>
        <w:t>Укупно</w:t>
      </w:r>
      <w:r w:rsidR="008765D0" w:rsidRPr="00BB4138">
        <w:rPr>
          <w:rFonts w:ascii="Times New Roman" w:hAnsi="Times New Roman"/>
          <w:lang w:val="bs-Latn-BA"/>
        </w:rPr>
        <w:t xml:space="preserve"> </w:t>
      </w:r>
      <w:r>
        <w:rPr>
          <w:rFonts w:ascii="Times New Roman" w:hAnsi="Times New Roman"/>
          <w:lang w:val="bs-Latn-BA"/>
        </w:rPr>
        <w:t>је</w:t>
      </w:r>
      <w:r w:rsidR="008765D0" w:rsidRPr="00BB4138">
        <w:rPr>
          <w:rFonts w:ascii="Times New Roman" w:hAnsi="Times New Roman"/>
          <w:lang w:val="bs-Latn-BA"/>
        </w:rPr>
        <w:t xml:space="preserve"> </w:t>
      </w:r>
      <w:r>
        <w:rPr>
          <w:rFonts w:ascii="Times New Roman" w:hAnsi="Times New Roman"/>
          <w:lang w:val="bs-Latn-BA"/>
        </w:rPr>
        <w:t>обуку</w:t>
      </w:r>
      <w:r w:rsidR="008765D0" w:rsidRPr="00BB4138">
        <w:rPr>
          <w:rFonts w:ascii="Times New Roman" w:hAnsi="Times New Roman"/>
          <w:lang w:val="bs-Latn-BA"/>
        </w:rPr>
        <w:t xml:space="preserve"> </w:t>
      </w:r>
      <w:r>
        <w:rPr>
          <w:rFonts w:ascii="Times New Roman" w:hAnsi="Times New Roman"/>
          <w:lang w:val="bs-Latn-BA"/>
        </w:rPr>
        <w:t>похађало</w:t>
      </w:r>
      <w:r w:rsidR="008765D0" w:rsidRPr="00BB4138">
        <w:rPr>
          <w:rFonts w:ascii="Times New Roman" w:hAnsi="Times New Roman"/>
          <w:lang w:val="bs-Latn-BA"/>
        </w:rPr>
        <w:t xml:space="preserve"> </w:t>
      </w:r>
      <w:r w:rsidR="008765D0" w:rsidRPr="00BB4138">
        <w:rPr>
          <w:rStyle w:val="Strong"/>
          <w:rFonts w:ascii="Times New Roman" w:hAnsi="Times New Roman"/>
          <w:b w:val="0"/>
          <w:lang w:val="bs-Latn-BA"/>
        </w:rPr>
        <w:t xml:space="preserve">73 </w:t>
      </w:r>
      <w:r>
        <w:rPr>
          <w:rStyle w:val="Strong"/>
          <w:rFonts w:ascii="Times New Roman" w:hAnsi="Times New Roman"/>
          <w:b w:val="0"/>
          <w:lang w:val="bs-Latn-BA"/>
        </w:rPr>
        <w:t>учесника</w:t>
      </w:r>
      <w:r w:rsidR="008765D0" w:rsidRPr="00BB4138">
        <w:rPr>
          <w:rFonts w:ascii="Times New Roman" w:hAnsi="Times New Roman"/>
          <w:b/>
          <w:lang w:val="bs-Latn-BA"/>
        </w:rPr>
        <w:t xml:space="preserve"> </w:t>
      </w:r>
      <w:r w:rsidR="008765D0" w:rsidRPr="00BB4138">
        <w:rPr>
          <w:rFonts w:ascii="Times New Roman" w:hAnsi="Times New Roman"/>
          <w:lang w:val="bs-Latn-BA"/>
        </w:rPr>
        <w:t xml:space="preserve">(55 </w:t>
      </w:r>
      <w:r>
        <w:rPr>
          <w:rFonts w:ascii="Times New Roman" w:hAnsi="Times New Roman"/>
          <w:lang w:val="bs-Latn-BA"/>
        </w:rPr>
        <w:t>жена</w:t>
      </w:r>
      <w:r w:rsidR="008765D0" w:rsidRPr="00BB4138">
        <w:rPr>
          <w:rFonts w:ascii="Times New Roman" w:hAnsi="Times New Roman"/>
          <w:lang w:val="bs-Latn-BA"/>
        </w:rPr>
        <w:t xml:space="preserve"> </w:t>
      </w:r>
      <w:r>
        <w:rPr>
          <w:rFonts w:ascii="Times New Roman" w:hAnsi="Times New Roman"/>
          <w:lang w:val="bs-Latn-BA"/>
        </w:rPr>
        <w:t>и</w:t>
      </w:r>
      <w:r w:rsidR="008765D0" w:rsidRPr="00BB4138">
        <w:rPr>
          <w:rFonts w:ascii="Times New Roman" w:hAnsi="Times New Roman"/>
          <w:lang w:val="bs-Latn-BA"/>
        </w:rPr>
        <w:t xml:space="preserve"> 18 </w:t>
      </w:r>
      <w:r>
        <w:rPr>
          <w:rFonts w:ascii="Times New Roman" w:hAnsi="Times New Roman"/>
          <w:lang w:val="bs-Latn-BA"/>
        </w:rPr>
        <w:t>мушкараца</w:t>
      </w:r>
      <w:r w:rsidR="008765D0" w:rsidRPr="00BB4138">
        <w:rPr>
          <w:rFonts w:ascii="Times New Roman" w:hAnsi="Times New Roman"/>
          <w:lang w:val="bs-Latn-BA"/>
        </w:rPr>
        <w:t>).</w:t>
      </w:r>
    </w:p>
    <w:p w:rsidR="0093680A" w:rsidRPr="00295637" w:rsidRDefault="0093680A" w:rsidP="0086268D">
      <w:pPr>
        <w:pStyle w:val="ListParagraph"/>
        <w:ind w:left="0"/>
        <w:jc w:val="both"/>
        <w:rPr>
          <w:rFonts w:ascii="Times New Roman" w:hAnsi="Times New Roman"/>
          <w:lang w:val="sr-Latn-BA"/>
        </w:rPr>
      </w:pPr>
    </w:p>
    <w:p w:rsidR="00381123"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Здравствена</w:t>
      </w:r>
      <w:r w:rsidR="0093680A" w:rsidRPr="00295637">
        <w:rPr>
          <w:rFonts w:ascii="Times New Roman" w:hAnsi="Times New Roman"/>
          <w:lang w:val="sr-Latn-BA"/>
        </w:rPr>
        <w:t xml:space="preserve"> </w:t>
      </w:r>
      <w:r>
        <w:rPr>
          <w:rFonts w:ascii="Times New Roman" w:hAnsi="Times New Roman"/>
          <w:lang w:val="sr-Latn-BA"/>
        </w:rPr>
        <w:t>заштита</w:t>
      </w:r>
      <w:r w:rsidR="0093680A" w:rsidRPr="00295637">
        <w:rPr>
          <w:rFonts w:ascii="Times New Roman" w:hAnsi="Times New Roman"/>
          <w:lang w:val="sr-Latn-BA"/>
        </w:rPr>
        <w:t xml:space="preserve"> </w:t>
      </w:r>
      <w:r>
        <w:rPr>
          <w:rFonts w:ascii="Times New Roman" w:hAnsi="Times New Roman"/>
          <w:lang w:val="sr-Latn-BA"/>
        </w:rPr>
        <w:t>жртава</w:t>
      </w:r>
      <w:r w:rsidR="0093680A" w:rsidRPr="00295637">
        <w:rPr>
          <w:rFonts w:ascii="Times New Roman" w:hAnsi="Times New Roman"/>
          <w:lang w:val="sr-Latn-BA"/>
        </w:rPr>
        <w:t xml:space="preserve"> </w:t>
      </w:r>
      <w:r>
        <w:rPr>
          <w:rFonts w:ascii="Times New Roman" w:hAnsi="Times New Roman"/>
          <w:lang w:val="sr-Latn-BA"/>
        </w:rPr>
        <w:t>сексуалног</w:t>
      </w:r>
      <w:r w:rsidR="0093680A" w:rsidRPr="00295637">
        <w:rPr>
          <w:rFonts w:ascii="Times New Roman" w:hAnsi="Times New Roman"/>
          <w:lang w:val="sr-Latn-BA"/>
        </w:rPr>
        <w:t xml:space="preserve"> </w:t>
      </w:r>
      <w:r>
        <w:rPr>
          <w:rFonts w:ascii="Times New Roman" w:hAnsi="Times New Roman"/>
          <w:lang w:val="sr-Latn-BA"/>
        </w:rPr>
        <w:t>насиља</w:t>
      </w:r>
      <w:r w:rsidR="0093680A" w:rsidRPr="00295637">
        <w:rPr>
          <w:rFonts w:ascii="Times New Roman" w:hAnsi="Times New Roman"/>
          <w:lang w:val="sr-Latn-BA"/>
        </w:rPr>
        <w:t xml:space="preserve"> </w:t>
      </w:r>
      <w:r>
        <w:rPr>
          <w:rFonts w:ascii="Times New Roman" w:hAnsi="Times New Roman"/>
          <w:lang w:val="sr-Latn-BA"/>
        </w:rPr>
        <w:t>у</w:t>
      </w:r>
      <w:r w:rsidR="00103379" w:rsidRPr="00295637">
        <w:rPr>
          <w:rFonts w:ascii="Times New Roman" w:hAnsi="Times New Roman"/>
          <w:lang w:val="sr-Latn-BA"/>
        </w:rPr>
        <w:t xml:space="preserve"> </w:t>
      </w:r>
      <w:r>
        <w:rPr>
          <w:rFonts w:ascii="Times New Roman" w:hAnsi="Times New Roman"/>
          <w:lang w:val="sr-Latn-BA"/>
        </w:rPr>
        <w:t>Републици</w:t>
      </w:r>
      <w:r w:rsidR="00103379" w:rsidRPr="00295637">
        <w:rPr>
          <w:rFonts w:ascii="Times New Roman" w:hAnsi="Times New Roman"/>
          <w:lang w:val="sr-Latn-BA"/>
        </w:rPr>
        <w:t xml:space="preserve"> </w:t>
      </w:r>
      <w:r>
        <w:rPr>
          <w:rFonts w:ascii="Times New Roman" w:hAnsi="Times New Roman"/>
          <w:lang w:val="sr-Latn-BA"/>
        </w:rPr>
        <w:t>Српској</w:t>
      </w:r>
      <w:r w:rsidR="00103379" w:rsidRPr="00295637">
        <w:rPr>
          <w:rFonts w:ascii="Times New Roman" w:hAnsi="Times New Roman"/>
          <w:lang w:val="sr-Latn-BA"/>
        </w:rPr>
        <w:t xml:space="preserve"> </w:t>
      </w:r>
      <w:r>
        <w:rPr>
          <w:rFonts w:ascii="Times New Roman" w:hAnsi="Times New Roman"/>
          <w:lang w:val="sr-Latn-BA"/>
        </w:rPr>
        <w:t>регули</w:t>
      </w:r>
      <w:r w:rsidR="00722ACE">
        <w:rPr>
          <w:rFonts w:ascii="Times New Roman" w:hAnsi="Times New Roman"/>
          <w:lang w:val="sr-Cyrl-BA"/>
        </w:rPr>
        <w:t>с</w:t>
      </w:r>
      <w:r>
        <w:rPr>
          <w:rFonts w:ascii="Times New Roman" w:hAnsi="Times New Roman"/>
          <w:lang w:val="sr-Latn-BA"/>
        </w:rPr>
        <w:t>ана</w:t>
      </w:r>
      <w:r w:rsidR="0093680A" w:rsidRPr="00295637">
        <w:rPr>
          <w:rFonts w:ascii="Times New Roman" w:hAnsi="Times New Roman"/>
          <w:lang w:val="sr-Latn-BA"/>
        </w:rPr>
        <w:t xml:space="preserve"> </w:t>
      </w:r>
      <w:r>
        <w:rPr>
          <w:rFonts w:ascii="Times New Roman" w:hAnsi="Times New Roman"/>
          <w:lang w:val="sr-Latn-BA"/>
        </w:rPr>
        <w:t>је</w:t>
      </w:r>
      <w:r w:rsidR="0093680A" w:rsidRPr="00295637">
        <w:rPr>
          <w:rFonts w:ascii="Times New Roman" w:hAnsi="Times New Roman"/>
          <w:lang w:val="sr-Latn-BA"/>
        </w:rPr>
        <w:t xml:space="preserve"> </w:t>
      </w:r>
      <w:r>
        <w:rPr>
          <w:rFonts w:ascii="Times New Roman" w:hAnsi="Times New Roman"/>
          <w:lang w:val="sr-Latn-BA"/>
        </w:rPr>
        <w:t>Законом</w:t>
      </w:r>
      <w:r w:rsidR="0093680A" w:rsidRPr="00295637">
        <w:rPr>
          <w:rFonts w:ascii="Times New Roman" w:hAnsi="Times New Roman"/>
          <w:lang w:val="sr-Latn-BA"/>
        </w:rPr>
        <w:t xml:space="preserve"> </w:t>
      </w:r>
      <w:r>
        <w:rPr>
          <w:rFonts w:ascii="Times New Roman" w:hAnsi="Times New Roman"/>
          <w:lang w:val="sr-Latn-BA"/>
        </w:rPr>
        <w:t>о</w:t>
      </w:r>
      <w:r w:rsidR="0093680A" w:rsidRPr="00295637">
        <w:rPr>
          <w:rFonts w:ascii="Times New Roman" w:hAnsi="Times New Roman"/>
          <w:lang w:val="sr-Latn-BA"/>
        </w:rPr>
        <w:t xml:space="preserve"> </w:t>
      </w:r>
      <w:r>
        <w:rPr>
          <w:rFonts w:ascii="Times New Roman" w:hAnsi="Times New Roman"/>
          <w:lang w:val="sr-Latn-BA"/>
        </w:rPr>
        <w:t>здравственој</w:t>
      </w:r>
      <w:r w:rsidR="005F06A0">
        <w:rPr>
          <w:rFonts w:ascii="Times New Roman" w:hAnsi="Times New Roman"/>
          <w:lang w:val="sr-Latn-BA"/>
        </w:rPr>
        <w:t xml:space="preserve"> </w:t>
      </w:r>
      <w:r>
        <w:rPr>
          <w:rFonts w:ascii="Times New Roman" w:hAnsi="Times New Roman"/>
          <w:lang w:val="sr-Latn-BA"/>
        </w:rPr>
        <w:t>заштити</w:t>
      </w:r>
      <w:r w:rsidR="005F06A0">
        <w:rPr>
          <w:rFonts w:ascii="Times New Roman" w:hAnsi="Times New Roman"/>
          <w:lang w:val="sr-Latn-BA"/>
        </w:rPr>
        <w:t xml:space="preserve">, </w:t>
      </w:r>
      <w:r>
        <w:rPr>
          <w:rFonts w:ascii="Times New Roman" w:hAnsi="Times New Roman"/>
          <w:lang w:val="sr-Latn-BA"/>
        </w:rPr>
        <w:t>Законом</w:t>
      </w:r>
      <w:r w:rsidR="005F06A0">
        <w:rPr>
          <w:rFonts w:ascii="Times New Roman" w:hAnsi="Times New Roman"/>
          <w:lang w:val="sr-Latn-BA"/>
        </w:rPr>
        <w:t xml:space="preserve"> </w:t>
      </w:r>
      <w:r>
        <w:rPr>
          <w:rFonts w:ascii="Times New Roman" w:hAnsi="Times New Roman"/>
          <w:lang w:val="sr-Latn-BA"/>
        </w:rPr>
        <w:t>о</w:t>
      </w:r>
      <w:r w:rsidR="005F06A0">
        <w:rPr>
          <w:rFonts w:ascii="Times New Roman" w:hAnsi="Times New Roman"/>
          <w:lang w:val="sr-Latn-BA"/>
        </w:rPr>
        <w:t xml:space="preserve"> </w:t>
      </w:r>
      <w:r>
        <w:rPr>
          <w:rFonts w:ascii="Times New Roman" w:hAnsi="Times New Roman"/>
          <w:lang w:val="sr-Latn-BA"/>
        </w:rPr>
        <w:t>обавезном</w:t>
      </w:r>
      <w:r w:rsidR="0093680A" w:rsidRPr="00295637">
        <w:rPr>
          <w:rFonts w:ascii="Times New Roman" w:hAnsi="Times New Roman"/>
          <w:lang w:val="sr-Latn-BA"/>
        </w:rPr>
        <w:t xml:space="preserve"> </w:t>
      </w:r>
      <w:r>
        <w:rPr>
          <w:rFonts w:ascii="Times New Roman" w:hAnsi="Times New Roman"/>
          <w:lang w:val="sr-Latn-BA"/>
        </w:rPr>
        <w:t>здравственом</w:t>
      </w:r>
      <w:r w:rsidR="0093680A" w:rsidRPr="00295637">
        <w:rPr>
          <w:rFonts w:ascii="Times New Roman" w:hAnsi="Times New Roman"/>
          <w:lang w:val="sr-Latn-BA"/>
        </w:rPr>
        <w:t xml:space="preserve"> </w:t>
      </w:r>
      <w:r>
        <w:rPr>
          <w:rFonts w:ascii="Times New Roman" w:hAnsi="Times New Roman"/>
          <w:lang w:val="sr-Latn-BA"/>
        </w:rPr>
        <w:t>осигурању</w:t>
      </w:r>
      <w:r w:rsidR="0093680A" w:rsidRPr="00295637">
        <w:rPr>
          <w:rFonts w:ascii="Times New Roman" w:hAnsi="Times New Roman"/>
          <w:lang w:val="sr-Latn-BA"/>
        </w:rPr>
        <w:t xml:space="preserve">, </w:t>
      </w:r>
      <w:r>
        <w:rPr>
          <w:rFonts w:ascii="Times New Roman" w:hAnsi="Times New Roman"/>
          <w:lang w:val="sr-Latn-BA"/>
        </w:rPr>
        <w:t>Законом</w:t>
      </w:r>
      <w:r w:rsidR="0093680A" w:rsidRPr="00295637">
        <w:rPr>
          <w:rFonts w:ascii="Times New Roman" w:hAnsi="Times New Roman"/>
          <w:lang w:val="sr-Latn-BA"/>
        </w:rPr>
        <w:t xml:space="preserve"> </w:t>
      </w:r>
      <w:r>
        <w:rPr>
          <w:rFonts w:ascii="Times New Roman" w:hAnsi="Times New Roman"/>
          <w:lang w:val="sr-Latn-BA"/>
        </w:rPr>
        <w:t>о</w:t>
      </w:r>
      <w:r w:rsidR="0093680A" w:rsidRPr="00295637">
        <w:rPr>
          <w:rFonts w:ascii="Times New Roman" w:hAnsi="Times New Roman"/>
          <w:lang w:val="sr-Latn-BA"/>
        </w:rPr>
        <w:t xml:space="preserve"> </w:t>
      </w:r>
      <w:r>
        <w:rPr>
          <w:rFonts w:ascii="Times New Roman" w:hAnsi="Times New Roman"/>
          <w:lang w:val="sr-Latn-BA"/>
        </w:rPr>
        <w:t>заштити</w:t>
      </w:r>
      <w:r w:rsidR="0093680A" w:rsidRPr="00295637">
        <w:rPr>
          <w:rFonts w:ascii="Times New Roman" w:hAnsi="Times New Roman"/>
          <w:lang w:val="sr-Latn-BA"/>
        </w:rPr>
        <w:t xml:space="preserve"> </w:t>
      </w:r>
      <w:r>
        <w:rPr>
          <w:rFonts w:ascii="Times New Roman" w:hAnsi="Times New Roman"/>
          <w:lang w:val="sr-Latn-BA"/>
        </w:rPr>
        <w:t>менталног</w:t>
      </w:r>
      <w:r w:rsidR="0093680A" w:rsidRPr="00295637">
        <w:rPr>
          <w:rFonts w:ascii="Times New Roman" w:hAnsi="Times New Roman"/>
          <w:lang w:val="sr-Latn-BA"/>
        </w:rPr>
        <w:t xml:space="preserve"> </w:t>
      </w:r>
      <w:r>
        <w:rPr>
          <w:rFonts w:ascii="Times New Roman" w:hAnsi="Times New Roman"/>
          <w:lang w:val="sr-Latn-BA"/>
        </w:rPr>
        <w:t>здравља</w:t>
      </w:r>
      <w:r w:rsidR="0093680A" w:rsidRPr="00295637">
        <w:rPr>
          <w:rFonts w:ascii="Times New Roman" w:hAnsi="Times New Roman"/>
          <w:lang w:val="sr-Latn-BA"/>
        </w:rPr>
        <w:t xml:space="preserve"> </w:t>
      </w:r>
      <w:r>
        <w:rPr>
          <w:rFonts w:ascii="Times New Roman" w:hAnsi="Times New Roman"/>
          <w:lang w:val="sr-Latn-BA"/>
        </w:rPr>
        <w:t>и</w:t>
      </w:r>
      <w:r w:rsidR="0093680A" w:rsidRPr="00295637">
        <w:rPr>
          <w:rFonts w:ascii="Times New Roman" w:hAnsi="Times New Roman"/>
          <w:lang w:val="sr-Latn-BA"/>
        </w:rPr>
        <w:t xml:space="preserve"> </w:t>
      </w:r>
      <w:r>
        <w:rPr>
          <w:rFonts w:ascii="Times New Roman" w:hAnsi="Times New Roman"/>
          <w:lang w:val="sr-Latn-BA"/>
        </w:rPr>
        <w:t>другим</w:t>
      </w:r>
      <w:r w:rsidR="0093680A" w:rsidRPr="00295637">
        <w:rPr>
          <w:rFonts w:ascii="Times New Roman" w:hAnsi="Times New Roman"/>
          <w:lang w:val="sr-Latn-BA"/>
        </w:rPr>
        <w:t xml:space="preserve"> </w:t>
      </w:r>
      <w:r>
        <w:rPr>
          <w:rFonts w:ascii="Times New Roman" w:hAnsi="Times New Roman"/>
          <w:lang w:val="sr-Latn-BA"/>
        </w:rPr>
        <w:t>правним</w:t>
      </w:r>
      <w:r w:rsidR="0093680A" w:rsidRPr="00295637">
        <w:rPr>
          <w:rFonts w:ascii="Times New Roman" w:hAnsi="Times New Roman"/>
          <w:lang w:val="sr-Latn-BA"/>
        </w:rPr>
        <w:t xml:space="preserve"> </w:t>
      </w:r>
      <w:r>
        <w:rPr>
          <w:rFonts w:ascii="Times New Roman" w:hAnsi="Times New Roman"/>
          <w:lang w:val="sr-Latn-BA"/>
        </w:rPr>
        <w:t>прописима</w:t>
      </w:r>
      <w:r w:rsidR="0093680A" w:rsidRPr="00295637">
        <w:rPr>
          <w:rFonts w:ascii="Times New Roman" w:hAnsi="Times New Roman"/>
          <w:lang w:val="sr-Latn-BA"/>
        </w:rPr>
        <w:t xml:space="preserve"> </w:t>
      </w:r>
      <w:r>
        <w:rPr>
          <w:rFonts w:ascii="Times New Roman" w:hAnsi="Times New Roman"/>
          <w:lang w:val="sr-Latn-BA"/>
        </w:rPr>
        <w:t>из</w:t>
      </w:r>
      <w:r w:rsidR="0093680A" w:rsidRPr="00295637">
        <w:rPr>
          <w:rFonts w:ascii="Times New Roman" w:hAnsi="Times New Roman"/>
          <w:lang w:val="sr-Latn-BA"/>
        </w:rPr>
        <w:t xml:space="preserve"> </w:t>
      </w:r>
      <w:r>
        <w:rPr>
          <w:rFonts w:ascii="Times New Roman" w:hAnsi="Times New Roman"/>
          <w:lang w:val="sr-Latn-BA"/>
        </w:rPr>
        <w:t>ове</w:t>
      </w:r>
      <w:r w:rsidR="0093680A" w:rsidRPr="00295637">
        <w:rPr>
          <w:rFonts w:ascii="Times New Roman" w:hAnsi="Times New Roman"/>
          <w:lang w:val="sr-Latn-BA"/>
        </w:rPr>
        <w:t xml:space="preserve"> </w:t>
      </w:r>
      <w:r>
        <w:rPr>
          <w:rFonts w:ascii="Times New Roman" w:hAnsi="Times New Roman"/>
          <w:lang w:val="sr-Latn-BA"/>
        </w:rPr>
        <w:t>области</w:t>
      </w:r>
      <w:r w:rsidR="0093680A" w:rsidRPr="00295637">
        <w:rPr>
          <w:rFonts w:ascii="Times New Roman" w:hAnsi="Times New Roman"/>
          <w:lang w:val="sr-Latn-BA"/>
        </w:rPr>
        <w:t xml:space="preserve">, </w:t>
      </w:r>
      <w:r>
        <w:rPr>
          <w:rFonts w:ascii="Times New Roman" w:hAnsi="Times New Roman"/>
          <w:lang w:val="sr-Latn-BA"/>
        </w:rPr>
        <w:t>а</w:t>
      </w:r>
      <w:r w:rsidR="0093680A" w:rsidRPr="00295637">
        <w:rPr>
          <w:rFonts w:ascii="Times New Roman" w:hAnsi="Times New Roman"/>
          <w:lang w:val="sr-Latn-BA"/>
        </w:rPr>
        <w:t xml:space="preserve"> </w:t>
      </w:r>
      <w:r>
        <w:rPr>
          <w:rFonts w:ascii="Times New Roman" w:hAnsi="Times New Roman"/>
          <w:lang w:val="sr-Latn-BA"/>
        </w:rPr>
        <w:t>стандардне</w:t>
      </w:r>
      <w:r w:rsidR="0093680A" w:rsidRPr="00295637">
        <w:rPr>
          <w:rFonts w:ascii="Times New Roman" w:hAnsi="Times New Roman"/>
          <w:lang w:val="sr-Latn-BA"/>
        </w:rPr>
        <w:t xml:space="preserve"> </w:t>
      </w:r>
      <w:r>
        <w:rPr>
          <w:rFonts w:ascii="Times New Roman" w:hAnsi="Times New Roman"/>
          <w:lang w:val="sr-Latn-BA"/>
        </w:rPr>
        <w:t>оперативне</w:t>
      </w:r>
      <w:r w:rsidR="0093680A" w:rsidRPr="00295637">
        <w:rPr>
          <w:rFonts w:ascii="Times New Roman" w:hAnsi="Times New Roman"/>
          <w:lang w:val="sr-Latn-BA"/>
        </w:rPr>
        <w:t xml:space="preserve"> </w:t>
      </w:r>
      <w:r>
        <w:rPr>
          <w:rFonts w:ascii="Times New Roman" w:hAnsi="Times New Roman"/>
          <w:lang w:val="sr-Latn-BA"/>
        </w:rPr>
        <w:t>процедуре</w:t>
      </w:r>
      <w:r w:rsidR="0093680A" w:rsidRPr="00295637">
        <w:rPr>
          <w:rFonts w:ascii="Times New Roman" w:hAnsi="Times New Roman"/>
          <w:lang w:val="sr-Latn-BA"/>
        </w:rPr>
        <w:t xml:space="preserve"> </w:t>
      </w:r>
      <w:r>
        <w:rPr>
          <w:rFonts w:ascii="Times New Roman" w:hAnsi="Times New Roman"/>
          <w:lang w:val="sr-Latn-BA"/>
        </w:rPr>
        <w:t>подразумијевају</w:t>
      </w:r>
      <w:r w:rsidR="0093680A" w:rsidRPr="00295637">
        <w:rPr>
          <w:rFonts w:ascii="Times New Roman" w:hAnsi="Times New Roman"/>
          <w:lang w:val="sr-Latn-BA"/>
        </w:rPr>
        <w:t xml:space="preserve"> </w:t>
      </w:r>
      <w:r>
        <w:rPr>
          <w:rFonts w:ascii="Times New Roman" w:hAnsi="Times New Roman"/>
          <w:lang w:val="sr-Latn-BA"/>
        </w:rPr>
        <w:t>детаљне</w:t>
      </w:r>
      <w:r w:rsidR="0093680A" w:rsidRPr="00295637">
        <w:rPr>
          <w:rFonts w:ascii="Times New Roman" w:hAnsi="Times New Roman"/>
          <w:lang w:val="sr-Latn-BA"/>
        </w:rPr>
        <w:t xml:space="preserve"> </w:t>
      </w:r>
      <w:r>
        <w:rPr>
          <w:rFonts w:ascii="Times New Roman" w:hAnsi="Times New Roman"/>
          <w:lang w:val="sr-Latn-BA"/>
        </w:rPr>
        <w:t>кораке</w:t>
      </w:r>
      <w:r w:rsidR="0093680A" w:rsidRPr="00295637">
        <w:rPr>
          <w:rFonts w:ascii="Times New Roman" w:hAnsi="Times New Roman"/>
          <w:lang w:val="sr-Latn-BA"/>
        </w:rPr>
        <w:t xml:space="preserve"> </w:t>
      </w:r>
      <w:r>
        <w:rPr>
          <w:rFonts w:ascii="Times New Roman" w:hAnsi="Times New Roman"/>
          <w:lang w:val="sr-Latn-BA"/>
        </w:rPr>
        <w:t>за</w:t>
      </w:r>
      <w:r w:rsidR="0093680A" w:rsidRPr="00295637">
        <w:rPr>
          <w:rFonts w:ascii="Times New Roman" w:hAnsi="Times New Roman"/>
          <w:lang w:val="sr-Latn-BA"/>
        </w:rPr>
        <w:t xml:space="preserve"> </w:t>
      </w:r>
      <w:r>
        <w:rPr>
          <w:rFonts w:ascii="Times New Roman" w:hAnsi="Times New Roman"/>
          <w:lang w:val="sr-Latn-BA"/>
        </w:rPr>
        <w:t>здравствене</w:t>
      </w:r>
      <w:r w:rsidR="0093680A" w:rsidRPr="00295637">
        <w:rPr>
          <w:rFonts w:ascii="Times New Roman" w:hAnsi="Times New Roman"/>
          <w:lang w:val="sr-Latn-BA"/>
        </w:rPr>
        <w:t xml:space="preserve"> </w:t>
      </w:r>
      <w:r>
        <w:rPr>
          <w:rFonts w:ascii="Times New Roman" w:hAnsi="Times New Roman"/>
          <w:lang w:val="sr-Latn-BA"/>
        </w:rPr>
        <w:t>установе</w:t>
      </w:r>
      <w:r w:rsidR="0093680A" w:rsidRPr="00295637">
        <w:rPr>
          <w:rFonts w:ascii="Times New Roman" w:hAnsi="Times New Roman"/>
          <w:lang w:val="sr-Latn-BA"/>
        </w:rPr>
        <w:t xml:space="preserve">, </w:t>
      </w:r>
      <w:r>
        <w:rPr>
          <w:rFonts w:ascii="Times New Roman" w:hAnsi="Times New Roman"/>
          <w:lang w:val="sr-Latn-BA"/>
        </w:rPr>
        <w:t>којима</w:t>
      </w:r>
      <w:r w:rsidR="0093680A" w:rsidRPr="00295637">
        <w:rPr>
          <w:rFonts w:ascii="Times New Roman" w:hAnsi="Times New Roman"/>
          <w:lang w:val="sr-Latn-BA"/>
        </w:rPr>
        <w:t xml:space="preserve"> </w:t>
      </w:r>
      <w:r>
        <w:rPr>
          <w:rFonts w:ascii="Times New Roman" w:hAnsi="Times New Roman"/>
          <w:lang w:val="sr-Latn-BA"/>
        </w:rPr>
        <w:t>ће</w:t>
      </w:r>
      <w:r w:rsidR="0093680A" w:rsidRPr="00295637">
        <w:rPr>
          <w:rFonts w:ascii="Times New Roman" w:hAnsi="Times New Roman"/>
          <w:lang w:val="sr-Latn-BA"/>
        </w:rPr>
        <w:t xml:space="preserve"> </w:t>
      </w:r>
      <w:r>
        <w:rPr>
          <w:rFonts w:ascii="Times New Roman" w:hAnsi="Times New Roman"/>
          <w:lang w:val="sr-Latn-BA"/>
        </w:rPr>
        <w:t>се</w:t>
      </w:r>
      <w:r w:rsidR="0093680A" w:rsidRPr="00295637">
        <w:rPr>
          <w:rFonts w:ascii="Times New Roman" w:hAnsi="Times New Roman"/>
          <w:lang w:val="sr-Latn-BA"/>
        </w:rPr>
        <w:t xml:space="preserve"> </w:t>
      </w:r>
      <w:r>
        <w:rPr>
          <w:rFonts w:ascii="Times New Roman" w:hAnsi="Times New Roman"/>
          <w:lang w:val="sr-Latn-BA"/>
        </w:rPr>
        <w:t>штитити</w:t>
      </w:r>
      <w:r w:rsidR="0093680A" w:rsidRPr="00295637">
        <w:rPr>
          <w:rFonts w:ascii="Times New Roman" w:hAnsi="Times New Roman"/>
          <w:lang w:val="sr-Latn-BA"/>
        </w:rPr>
        <w:t xml:space="preserve"> </w:t>
      </w:r>
      <w:r>
        <w:rPr>
          <w:rFonts w:ascii="Times New Roman" w:hAnsi="Times New Roman"/>
          <w:lang w:val="sr-Latn-BA"/>
        </w:rPr>
        <w:t>здравље</w:t>
      </w:r>
      <w:r w:rsidR="0093680A" w:rsidRPr="00295637">
        <w:rPr>
          <w:rFonts w:ascii="Times New Roman" w:hAnsi="Times New Roman"/>
          <w:lang w:val="sr-Latn-BA"/>
        </w:rPr>
        <w:t xml:space="preserve"> </w:t>
      </w:r>
      <w:r>
        <w:rPr>
          <w:rFonts w:ascii="Times New Roman" w:hAnsi="Times New Roman"/>
          <w:lang w:val="sr-Latn-BA"/>
        </w:rPr>
        <w:t>и</w:t>
      </w:r>
      <w:r w:rsidR="0093680A" w:rsidRPr="00295637">
        <w:rPr>
          <w:rFonts w:ascii="Times New Roman" w:hAnsi="Times New Roman"/>
          <w:lang w:val="sr-Latn-BA"/>
        </w:rPr>
        <w:t xml:space="preserve"> </w:t>
      </w:r>
      <w:r>
        <w:rPr>
          <w:rFonts w:ascii="Times New Roman" w:hAnsi="Times New Roman"/>
          <w:lang w:val="sr-Latn-BA"/>
        </w:rPr>
        <w:t>достојанство</w:t>
      </w:r>
      <w:r w:rsidR="0093680A" w:rsidRPr="00295637">
        <w:rPr>
          <w:rFonts w:ascii="Times New Roman" w:hAnsi="Times New Roman"/>
          <w:lang w:val="sr-Latn-BA"/>
        </w:rPr>
        <w:t xml:space="preserve"> </w:t>
      </w:r>
      <w:r>
        <w:rPr>
          <w:rFonts w:ascii="Times New Roman" w:hAnsi="Times New Roman"/>
          <w:lang w:val="sr-Latn-BA"/>
        </w:rPr>
        <w:t>жртве</w:t>
      </w:r>
      <w:r w:rsidR="0093680A" w:rsidRPr="00295637">
        <w:rPr>
          <w:rFonts w:ascii="Times New Roman" w:hAnsi="Times New Roman"/>
          <w:lang w:val="sr-Latn-BA"/>
        </w:rPr>
        <w:t xml:space="preserve"> </w:t>
      </w:r>
      <w:r>
        <w:rPr>
          <w:rFonts w:ascii="Times New Roman" w:hAnsi="Times New Roman"/>
          <w:lang w:val="sr-Latn-BA"/>
        </w:rPr>
        <w:t>силовања</w:t>
      </w:r>
      <w:r w:rsidR="0093680A" w:rsidRPr="00295637">
        <w:rPr>
          <w:rFonts w:ascii="Times New Roman" w:hAnsi="Times New Roman"/>
          <w:lang w:val="sr-Latn-BA"/>
        </w:rPr>
        <w:t xml:space="preserve"> </w:t>
      </w:r>
      <w:r>
        <w:rPr>
          <w:rFonts w:ascii="Times New Roman" w:hAnsi="Times New Roman"/>
          <w:lang w:val="sr-Latn-BA"/>
        </w:rPr>
        <w:t>и</w:t>
      </w:r>
      <w:r w:rsidR="0093680A" w:rsidRPr="00295637">
        <w:rPr>
          <w:rFonts w:ascii="Times New Roman" w:hAnsi="Times New Roman"/>
          <w:lang w:val="sr-Latn-BA"/>
        </w:rPr>
        <w:t xml:space="preserve"> </w:t>
      </w:r>
      <w:r>
        <w:rPr>
          <w:rFonts w:ascii="Times New Roman" w:hAnsi="Times New Roman"/>
          <w:lang w:val="sr-Latn-BA"/>
        </w:rPr>
        <w:t>сексуалног</w:t>
      </w:r>
      <w:r w:rsidR="0093680A" w:rsidRPr="00295637">
        <w:rPr>
          <w:rFonts w:ascii="Times New Roman" w:hAnsi="Times New Roman"/>
          <w:lang w:val="sr-Latn-BA"/>
        </w:rPr>
        <w:t xml:space="preserve"> </w:t>
      </w:r>
      <w:r>
        <w:rPr>
          <w:rFonts w:ascii="Times New Roman" w:hAnsi="Times New Roman"/>
          <w:lang w:val="sr-Latn-BA"/>
        </w:rPr>
        <w:t>насиља</w:t>
      </w:r>
      <w:r w:rsidR="0093680A" w:rsidRPr="00295637">
        <w:rPr>
          <w:rFonts w:ascii="Times New Roman" w:hAnsi="Times New Roman"/>
          <w:lang w:val="sr-Latn-BA"/>
        </w:rPr>
        <w:t xml:space="preserve">, </w:t>
      </w:r>
      <w:r>
        <w:rPr>
          <w:rFonts w:ascii="Times New Roman" w:hAnsi="Times New Roman"/>
          <w:lang w:val="sr-Latn-BA"/>
        </w:rPr>
        <w:t>поступање</w:t>
      </w:r>
      <w:r w:rsidR="0093680A" w:rsidRPr="00295637">
        <w:rPr>
          <w:rFonts w:ascii="Times New Roman" w:hAnsi="Times New Roman"/>
          <w:lang w:val="sr-Latn-BA"/>
        </w:rPr>
        <w:t xml:space="preserve"> </w:t>
      </w:r>
      <w:r>
        <w:rPr>
          <w:rFonts w:ascii="Times New Roman" w:hAnsi="Times New Roman"/>
          <w:lang w:val="sr-Latn-BA"/>
        </w:rPr>
        <w:t>током</w:t>
      </w:r>
      <w:r w:rsidR="0093680A" w:rsidRPr="00295637">
        <w:rPr>
          <w:rFonts w:ascii="Times New Roman" w:hAnsi="Times New Roman"/>
          <w:lang w:val="sr-Latn-BA"/>
        </w:rPr>
        <w:t xml:space="preserve"> </w:t>
      </w:r>
      <w:r>
        <w:rPr>
          <w:rFonts w:ascii="Times New Roman" w:hAnsi="Times New Roman"/>
          <w:lang w:val="sr-Latn-BA"/>
        </w:rPr>
        <w:t>прегледа</w:t>
      </w:r>
      <w:r w:rsidR="0093680A" w:rsidRPr="00295637">
        <w:rPr>
          <w:rFonts w:ascii="Times New Roman" w:hAnsi="Times New Roman"/>
          <w:lang w:val="sr-Latn-BA"/>
        </w:rPr>
        <w:t xml:space="preserve">, </w:t>
      </w:r>
      <w:r>
        <w:rPr>
          <w:rFonts w:ascii="Times New Roman" w:hAnsi="Times New Roman"/>
          <w:lang w:val="sr-Latn-BA"/>
        </w:rPr>
        <w:t>анамнеза</w:t>
      </w:r>
      <w:r w:rsidR="0093680A" w:rsidRPr="00295637">
        <w:rPr>
          <w:rFonts w:ascii="Times New Roman" w:hAnsi="Times New Roman"/>
          <w:lang w:val="sr-Latn-BA"/>
        </w:rPr>
        <w:t xml:space="preserve">, </w:t>
      </w:r>
      <w:r>
        <w:rPr>
          <w:rFonts w:ascii="Times New Roman" w:hAnsi="Times New Roman"/>
          <w:lang w:val="sr-Latn-BA"/>
        </w:rPr>
        <w:t>специјалистички</w:t>
      </w:r>
      <w:r w:rsidR="0093680A" w:rsidRPr="00295637">
        <w:rPr>
          <w:rFonts w:ascii="Times New Roman" w:hAnsi="Times New Roman"/>
          <w:lang w:val="sr-Latn-BA"/>
        </w:rPr>
        <w:t xml:space="preserve"> </w:t>
      </w:r>
      <w:r>
        <w:rPr>
          <w:rFonts w:ascii="Times New Roman" w:hAnsi="Times New Roman"/>
          <w:lang w:val="sr-Latn-BA"/>
        </w:rPr>
        <w:t>преглед</w:t>
      </w:r>
      <w:r w:rsidR="0093680A" w:rsidRPr="00295637">
        <w:rPr>
          <w:rFonts w:ascii="Times New Roman" w:hAnsi="Times New Roman"/>
          <w:lang w:val="sr-Latn-BA"/>
        </w:rPr>
        <w:t xml:space="preserve">, </w:t>
      </w:r>
      <w:r>
        <w:rPr>
          <w:rFonts w:ascii="Times New Roman" w:hAnsi="Times New Roman"/>
          <w:lang w:val="sr-Latn-BA"/>
        </w:rPr>
        <w:t>евиденције</w:t>
      </w:r>
      <w:r w:rsidR="0093680A" w:rsidRPr="00295637">
        <w:rPr>
          <w:rFonts w:ascii="Times New Roman" w:hAnsi="Times New Roman"/>
          <w:lang w:val="sr-Latn-BA"/>
        </w:rPr>
        <w:t xml:space="preserve"> </w:t>
      </w:r>
      <w:r>
        <w:rPr>
          <w:rFonts w:ascii="Times New Roman" w:hAnsi="Times New Roman"/>
          <w:lang w:val="sr-Latn-BA"/>
        </w:rPr>
        <w:t>и</w:t>
      </w:r>
      <w:r w:rsidR="0093680A" w:rsidRPr="00295637">
        <w:rPr>
          <w:rFonts w:ascii="Times New Roman" w:hAnsi="Times New Roman"/>
          <w:lang w:val="sr-Latn-BA"/>
        </w:rPr>
        <w:t xml:space="preserve"> </w:t>
      </w:r>
      <w:r>
        <w:rPr>
          <w:rFonts w:ascii="Times New Roman" w:hAnsi="Times New Roman"/>
          <w:lang w:val="sr-Latn-BA"/>
        </w:rPr>
        <w:t>детаљан</w:t>
      </w:r>
      <w:r w:rsidR="0093680A" w:rsidRPr="00295637">
        <w:rPr>
          <w:rFonts w:ascii="Times New Roman" w:hAnsi="Times New Roman"/>
          <w:lang w:val="sr-Latn-BA"/>
        </w:rPr>
        <w:t xml:space="preserve"> </w:t>
      </w:r>
      <w:r>
        <w:rPr>
          <w:rFonts w:ascii="Times New Roman" w:hAnsi="Times New Roman"/>
          <w:lang w:val="sr-Latn-BA"/>
        </w:rPr>
        <w:t>опис</w:t>
      </w:r>
      <w:r w:rsidR="0093680A" w:rsidRPr="00295637">
        <w:rPr>
          <w:rFonts w:ascii="Times New Roman" w:hAnsi="Times New Roman"/>
          <w:lang w:val="sr-Latn-BA"/>
        </w:rPr>
        <w:t xml:space="preserve">, </w:t>
      </w:r>
      <w:r>
        <w:rPr>
          <w:rFonts w:ascii="Times New Roman" w:hAnsi="Times New Roman"/>
          <w:lang w:val="sr-Latn-BA"/>
        </w:rPr>
        <w:t>прикупљање</w:t>
      </w:r>
      <w:r w:rsidR="0093680A" w:rsidRPr="00295637">
        <w:rPr>
          <w:rFonts w:ascii="Times New Roman" w:hAnsi="Times New Roman"/>
          <w:lang w:val="sr-Latn-BA"/>
        </w:rPr>
        <w:t xml:space="preserve"> </w:t>
      </w:r>
      <w:r>
        <w:rPr>
          <w:rFonts w:ascii="Times New Roman" w:hAnsi="Times New Roman"/>
          <w:lang w:val="sr-Latn-BA"/>
        </w:rPr>
        <w:t>биолошких</w:t>
      </w:r>
      <w:r w:rsidR="0093680A" w:rsidRPr="00295637">
        <w:rPr>
          <w:rFonts w:ascii="Times New Roman" w:hAnsi="Times New Roman"/>
          <w:lang w:val="sr-Latn-BA"/>
        </w:rPr>
        <w:t xml:space="preserve"> </w:t>
      </w:r>
      <w:r>
        <w:rPr>
          <w:rFonts w:ascii="Times New Roman" w:hAnsi="Times New Roman"/>
          <w:lang w:val="sr-Latn-BA"/>
        </w:rPr>
        <w:t>доказа</w:t>
      </w:r>
      <w:r w:rsidR="0093680A" w:rsidRPr="00295637">
        <w:rPr>
          <w:rFonts w:ascii="Times New Roman" w:hAnsi="Times New Roman"/>
          <w:lang w:val="sr-Latn-BA"/>
        </w:rPr>
        <w:t xml:space="preserve"> (</w:t>
      </w:r>
      <w:r>
        <w:rPr>
          <w:rFonts w:ascii="Times New Roman" w:hAnsi="Times New Roman"/>
          <w:lang w:val="sr-Latn-BA"/>
        </w:rPr>
        <w:t>прикупљају</w:t>
      </w:r>
      <w:r w:rsidR="0093680A" w:rsidRPr="00295637">
        <w:rPr>
          <w:rFonts w:ascii="Times New Roman" w:hAnsi="Times New Roman"/>
          <w:lang w:val="sr-Latn-BA"/>
        </w:rPr>
        <w:t xml:space="preserve"> </w:t>
      </w:r>
      <w:r>
        <w:rPr>
          <w:rFonts w:ascii="Times New Roman" w:hAnsi="Times New Roman"/>
          <w:lang w:val="sr-Latn-BA"/>
        </w:rPr>
        <w:t>у</w:t>
      </w:r>
      <w:r w:rsidR="00381123">
        <w:rPr>
          <w:rFonts w:ascii="Times New Roman" w:hAnsi="Times New Roman"/>
          <w:lang w:val="sr-Latn-BA"/>
        </w:rPr>
        <w:t xml:space="preserve"> </w:t>
      </w:r>
      <w:r>
        <w:rPr>
          <w:rFonts w:ascii="Times New Roman" w:hAnsi="Times New Roman"/>
          <w:lang w:val="sr-Latn-BA"/>
        </w:rPr>
        <w:t>складу</w:t>
      </w:r>
      <w:r w:rsidR="00381123">
        <w:rPr>
          <w:rFonts w:ascii="Times New Roman" w:hAnsi="Times New Roman"/>
          <w:lang w:val="sr-Latn-BA"/>
        </w:rPr>
        <w:t xml:space="preserve"> </w:t>
      </w:r>
      <w:r>
        <w:rPr>
          <w:rFonts w:ascii="Times New Roman" w:hAnsi="Times New Roman"/>
          <w:lang w:val="sr-Latn-BA"/>
        </w:rPr>
        <w:t>са</w:t>
      </w:r>
      <w:r w:rsidR="0093680A" w:rsidRPr="00295637">
        <w:rPr>
          <w:rFonts w:ascii="Times New Roman" w:hAnsi="Times New Roman"/>
          <w:lang w:val="sr-Latn-BA"/>
        </w:rPr>
        <w:t xml:space="preserve"> </w:t>
      </w:r>
      <w:r>
        <w:rPr>
          <w:rFonts w:ascii="Times New Roman" w:hAnsi="Times New Roman"/>
          <w:lang w:val="sr-Latn-BA"/>
        </w:rPr>
        <w:t>Законом</w:t>
      </w:r>
      <w:r w:rsidR="0093680A" w:rsidRPr="00295637">
        <w:rPr>
          <w:rFonts w:ascii="Times New Roman" w:hAnsi="Times New Roman"/>
          <w:lang w:val="sr-Latn-BA"/>
        </w:rPr>
        <w:t xml:space="preserve"> </w:t>
      </w:r>
      <w:r>
        <w:rPr>
          <w:rFonts w:ascii="Times New Roman" w:hAnsi="Times New Roman"/>
          <w:lang w:val="sr-Latn-BA"/>
        </w:rPr>
        <w:t>о</w:t>
      </w:r>
      <w:r w:rsidR="0093680A" w:rsidRPr="00295637">
        <w:rPr>
          <w:rFonts w:ascii="Times New Roman" w:hAnsi="Times New Roman"/>
          <w:lang w:val="sr-Latn-BA"/>
        </w:rPr>
        <w:t xml:space="preserve"> </w:t>
      </w:r>
      <w:r>
        <w:rPr>
          <w:rFonts w:ascii="Times New Roman" w:hAnsi="Times New Roman"/>
          <w:lang w:val="sr-Latn-BA"/>
        </w:rPr>
        <w:t>кривичном</w:t>
      </w:r>
      <w:r w:rsidR="0093680A" w:rsidRPr="00295637">
        <w:rPr>
          <w:rFonts w:ascii="Times New Roman" w:hAnsi="Times New Roman"/>
          <w:lang w:val="sr-Latn-BA"/>
        </w:rPr>
        <w:t xml:space="preserve"> </w:t>
      </w:r>
      <w:r>
        <w:rPr>
          <w:rFonts w:ascii="Times New Roman" w:hAnsi="Times New Roman"/>
          <w:lang w:val="sr-Latn-BA"/>
        </w:rPr>
        <w:t>поступку</w:t>
      </w:r>
      <w:r w:rsidR="0093680A" w:rsidRPr="00295637">
        <w:rPr>
          <w:rFonts w:ascii="Times New Roman" w:hAnsi="Times New Roman"/>
          <w:lang w:val="sr-Latn-BA"/>
        </w:rPr>
        <w:t xml:space="preserve"> </w:t>
      </w:r>
      <w:r>
        <w:rPr>
          <w:rFonts w:ascii="Times New Roman" w:hAnsi="Times New Roman"/>
          <w:lang w:val="sr-Latn-BA"/>
        </w:rPr>
        <w:t>и</w:t>
      </w:r>
      <w:r w:rsidR="0093680A" w:rsidRPr="00295637">
        <w:rPr>
          <w:rFonts w:ascii="Times New Roman" w:hAnsi="Times New Roman"/>
          <w:lang w:val="sr-Latn-BA"/>
        </w:rPr>
        <w:t xml:space="preserve"> </w:t>
      </w:r>
      <w:r>
        <w:rPr>
          <w:rFonts w:ascii="Times New Roman" w:hAnsi="Times New Roman"/>
          <w:lang w:val="sr-Latn-BA"/>
        </w:rPr>
        <w:t>Обрасцу</w:t>
      </w:r>
      <w:r w:rsidR="0093680A" w:rsidRPr="00295637">
        <w:rPr>
          <w:rFonts w:ascii="Times New Roman" w:hAnsi="Times New Roman"/>
          <w:lang w:val="sr-Latn-BA"/>
        </w:rPr>
        <w:t xml:space="preserve"> </w:t>
      </w:r>
      <w:r>
        <w:rPr>
          <w:rFonts w:ascii="Times New Roman" w:hAnsi="Times New Roman"/>
          <w:lang w:val="sr-Latn-BA"/>
        </w:rPr>
        <w:t>и</w:t>
      </w:r>
      <w:r w:rsidR="0093680A" w:rsidRPr="00295637">
        <w:rPr>
          <w:rFonts w:ascii="Times New Roman" w:hAnsi="Times New Roman"/>
          <w:lang w:val="sr-Latn-BA"/>
        </w:rPr>
        <w:t xml:space="preserve"> </w:t>
      </w:r>
      <w:r>
        <w:rPr>
          <w:rFonts w:ascii="Times New Roman" w:hAnsi="Times New Roman"/>
          <w:lang w:val="sr-Latn-BA"/>
        </w:rPr>
        <w:t>записнику</w:t>
      </w:r>
      <w:r w:rsidR="0093680A" w:rsidRPr="00295637">
        <w:rPr>
          <w:rFonts w:ascii="Times New Roman" w:hAnsi="Times New Roman"/>
          <w:lang w:val="sr-Latn-BA"/>
        </w:rPr>
        <w:t xml:space="preserve"> </w:t>
      </w:r>
      <w:r>
        <w:rPr>
          <w:rFonts w:ascii="Times New Roman" w:hAnsi="Times New Roman"/>
          <w:lang w:val="sr-Latn-BA"/>
        </w:rPr>
        <w:t>за</w:t>
      </w:r>
      <w:r w:rsidR="0093680A" w:rsidRPr="00295637">
        <w:rPr>
          <w:rFonts w:ascii="Times New Roman" w:hAnsi="Times New Roman"/>
          <w:lang w:val="sr-Latn-BA"/>
        </w:rPr>
        <w:t xml:space="preserve"> </w:t>
      </w:r>
      <w:r>
        <w:rPr>
          <w:rFonts w:ascii="Times New Roman" w:hAnsi="Times New Roman"/>
          <w:lang w:val="sr-Latn-BA"/>
        </w:rPr>
        <w:t>документирање</w:t>
      </w:r>
      <w:r w:rsidR="0093680A" w:rsidRPr="00295637">
        <w:rPr>
          <w:rFonts w:ascii="Times New Roman" w:hAnsi="Times New Roman"/>
          <w:lang w:val="sr-Latn-BA"/>
        </w:rPr>
        <w:t xml:space="preserve"> </w:t>
      </w:r>
      <w:r>
        <w:rPr>
          <w:rFonts w:ascii="Times New Roman" w:hAnsi="Times New Roman"/>
          <w:lang w:val="sr-Latn-BA"/>
        </w:rPr>
        <w:t>насиља</w:t>
      </w:r>
      <w:r w:rsidR="0093680A" w:rsidRPr="00295637">
        <w:rPr>
          <w:rFonts w:ascii="Times New Roman" w:hAnsi="Times New Roman"/>
          <w:lang w:val="sr-Latn-BA"/>
        </w:rPr>
        <w:t xml:space="preserve"> </w:t>
      </w:r>
      <w:r>
        <w:rPr>
          <w:rFonts w:ascii="Times New Roman" w:hAnsi="Times New Roman"/>
          <w:lang w:val="sr-Latn-BA"/>
        </w:rPr>
        <w:t>Свјетске</w:t>
      </w:r>
      <w:r w:rsidR="0093680A" w:rsidRPr="00295637">
        <w:rPr>
          <w:rFonts w:ascii="Times New Roman" w:hAnsi="Times New Roman"/>
          <w:lang w:val="sr-Latn-BA"/>
        </w:rPr>
        <w:t xml:space="preserve"> </w:t>
      </w:r>
      <w:r>
        <w:rPr>
          <w:rFonts w:ascii="Times New Roman" w:hAnsi="Times New Roman"/>
          <w:lang w:val="sr-Latn-BA"/>
        </w:rPr>
        <w:t>здравствене</w:t>
      </w:r>
      <w:r w:rsidR="0093680A" w:rsidRPr="00295637">
        <w:rPr>
          <w:rFonts w:ascii="Times New Roman" w:hAnsi="Times New Roman"/>
          <w:lang w:val="sr-Latn-BA"/>
        </w:rPr>
        <w:t xml:space="preserve"> </w:t>
      </w:r>
      <w:r>
        <w:rPr>
          <w:rFonts w:ascii="Times New Roman" w:hAnsi="Times New Roman"/>
          <w:lang w:val="sr-Latn-BA"/>
        </w:rPr>
        <w:t>организације</w:t>
      </w:r>
      <w:r w:rsidR="0093680A" w:rsidRPr="00295637">
        <w:rPr>
          <w:rFonts w:ascii="Times New Roman" w:hAnsi="Times New Roman"/>
          <w:lang w:val="sr-Latn-BA"/>
        </w:rPr>
        <w:t xml:space="preserve">, </w:t>
      </w:r>
      <w:r>
        <w:rPr>
          <w:rFonts w:ascii="Times New Roman" w:hAnsi="Times New Roman"/>
          <w:lang w:val="sr-Latn-BA"/>
        </w:rPr>
        <w:t>Закону</w:t>
      </w:r>
      <w:r w:rsidR="0093680A" w:rsidRPr="00295637">
        <w:rPr>
          <w:rFonts w:ascii="Times New Roman" w:hAnsi="Times New Roman"/>
          <w:lang w:val="sr-Latn-BA"/>
        </w:rPr>
        <w:t xml:space="preserve"> </w:t>
      </w:r>
      <w:r>
        <w:rPr>
          <w:rFonts w:ascii="Times New Roman" w:hAnsi="Times New Roman"/>
          <w:lang w:val="sr-Latn-BA"/>
        </w:rPr>
        <w:t>о</w:t>
      </w:r>
      <w:r w:rsidR="0093680A" w:rsidRPr="00295637">
        <w:rPr>
          <w:rFonts w:ascii="Times New Roman" w:hAnsi="Times New Roman"/>
          <w:lang w:val="sr-Latn-BA"/>
        </w:rPr>
        <w:t xml:space="preserve"> </w:t>
      </w:r>
      <w:r>
        <w:rPr>
          <w:rFonts w:ascii="Times New Roman" w:hAnsi="Times New Roman"/>
          <w:lang w:val="sr-Latn-BA"/>
        </w:rPr>
        <w:t>евиденцијама</w:t>
      </w:r>
      <w:r w:rsidR="0093680A" w:rsidRPr="00295637">
        <w:rPr>
          <w:rFonts w:ascii="Times New Roman" w:hAnsi="Times New Roman"/>
          <w:lang w:val="sr-Latn-BA"/>
        </w:rPr>
        <w:t xml:space="preserve"> </w:t>
      </w:r>
      <w:r>
        <w:rPr>
          <w:rFonts w:ascii="Times New Roman" w:hAnsi="Times New Roman"/>
          <w:lang w:val="sr-Latn-BA"/>
        </w:rPr>
        <w:t>и</w:t>
      </w:r>
      <w:r w:rsidR="0093680A" w:rsidRPr="00295637">
        <w:rPr>
          <w:rFonts w:ascii="Times New Roman" w:hAnsi="Times New Roman"/>
          <w:lang w:val="sr-Latn-BA"/>
        </w:rPr>
        <w:t xml:space="preserve"> </w:t>
      </w:r>
      <w:r>
        <w:rPr>
          <w:rFonts w:ascii="Times New Roman" w:hAnsi="Times New Roman"/>
          <w:lang w:val="sr-Latn-BA"/>
        </w:rPr>
        <w:t>статистичким</w:t>
      </w:r>
      <w:r w:rsidR="0093680A" w:rsidRPr="00295637">
        <w:rPr>
          <w:rFonts w:ascii="Times New Roman" w:hAnsi="Times New Roman"/>
          <w:lang w:val="sr-Latn-BA"/>
        </w:rPr>
        <w:t xml:space="preserve"> </w:t>
      </w:r>
      <w:r>
        <w:rPr>
          <w:rFonts w:ascii="Times New Roman" w:hAnsi="Times New Roman"/>
          <w:lang w:val="sr-Latn-BA"/>
        </w:rPr>
        <w:t>истраживањима</w:t>
      </w:r>
      <w:r w:rsidR="0093680A" w:rsidRPr="00295637">
        <w:rPr>
          <w:rFonts w:ascii="Times New Roman" w:hAnsi="Times New Roman"/>
          <w:lang w:val="sr-Latn-BA"/>
        </w:rPr>
        <w:t xml:space="preserve"> </w:t>
      </w:r>
      <w:r>
        <w:rPr>
          <w:rFonts w:ascii="Times New Roman" w:hAnsi="Times New Roman"/>
          <w:lang w:val="sr-Latn-BA"/>
        </w:rPr>
        <w:t>у</w:t>
      </w:r>
      <w:r w:rsidR="0093680A" w:rsidRPr="00295637">
        <w:rPr>
          <w:rFonts w:ascii="Times New Roman" w:hAnsi="Times New Roman"/>
          <w:lang w:val="sr-Latn-BA"/>
        </w:rPr>
        <w:t xml:space="preserve"> </w:t>
      </w:r>
      <w:r>
        <w:rPr>
          <w:rFonts w:ascii="Times New Roman" w:hAnsi="Times New Roman"/>
          <w:lang w:val="sr-Latn-BA"/>
        </w:rPr>
        <w:t>области</w:t>
      </w:r>
      <w:r w:rsidR="0093680A" w:rsidRPr="00295637">
        <w:rPr>
          <w:rFonts w:ascii="Times New Roman" w:hAnsi="Times New Roman"/>
          <w:lang w:val="sr-Latn-BA"/>
        </w:rPr>
        <w:t xml:space="preserve"> </w:t>
      </w:r>
      <w:r>
        <w:rPr>
          <w:rFonts w:ascii="Times New Roman" w:hAnsi="Times New Roman"/>
          <w:lang w:val="sr-Latn-BA"/>
        </w:rPr>
        <w:t>здравствене</w:t>
      </w:r>
      <w:r w:rsidR="0093680A" w:rsidRPr="00295637">
        <w:rPr>
          <w:rFonts w:ascii="Times New Roman" w:hAnsi="Times New Roman"/>
          <w:lang w:val="sr-Latn-BA"/>
        </w:rPr>
        <w:t xml:space="preserve"> </w:t>
      </w:r>
      <w:r>
        <w:rPr>
          <w:rFonts w:ascii="Times New Roman" w:hAnsi="Times New Roman"/>
          <w:lang w:val="sr-Latn-BA"/>
        </w:rPr>
        <w:t>заштите</w:t>
      </w:r>
      <w:r w:rsidR="0093680A" w:rsidRPr="00295637">
        <w:rPr>
          <w:rFonts w:ascii="Times New Roman" w:hAnsi="Times New Roman"/>
          <w:lang w:val="sr-Latn-BA"/>
        </w:rPr>
        <w:t xml:space="preserve">, </w:t>
      </w:r>
      <w:r>
        <w:rPr>
          <w:rFonts w:ascii="Times New Roman" w:hAnsi="Times New Roman"/>
          <w:lang w:val="sr-Latn-BA"/>
        </w:rPr>
        <w:t>Правилнику</w:t>
      </w:r>
      <w:r w:rsidR="0093680A" w:rsidRPr="00295637">
        <w:rPr>
          <w:rFonts w:ascii="Times New Roman" w:hAnsi="Times New Roman"/>
          <w:lang w:val="sr-Latn-BA"/>
        </w:rPr>
        <w:t xml:space="preserve"> </w:t>
      </w:r>
      <w:r>
        <w:rPr>
          <w:rFonts w:ascii="Times New Roman" w:hAnsi="Times New Roman"/>
          <w:lang w:val="sr-Latn-BA"/>
        </w:rPr>
        <w:t>о</w:t>
      </w:r>
      <w:r w:rsidR="0093680A" w:rsidRPr="00295637">
        <w:rPr>
          <w:rFonts w:ascii="Times New Roman" w:hAnsi="Times New Roman"/>
          <w:lang w:val="sr-Latn-BA"/>
        </w:rPr>
        <w:t xml:space="preserve"> </w:t>
      </w:r>
      <w:r>
        <w:rPr>
          <w:rFonts w:ascii="Times New Roman" w:hAnsi="Times New Roman"/>
          <w:lang w:val="sr-Latn-BA"/>
        </w:rPr>
        <w:t>начину</w:t>
      </w:r>
      <w:r w:rsidR="0093680A" w:rsidRPr="00295637">
        <w:rPr>
          <w:rFonts w:ascii="Times New Roman" w:hAnsi="Times New Roman"/>
          <w:lang w:val="sr-Latn-BA"/>
        </w:rPr>
        <w:t xml:space="preserve"> </w:t>
      </w:r>
      <w:r>
        <w:rPr>
          <w:rFonts w:ascii="Times New Roman" w:hAnsi="Times New Roman"/>
          <w:lang w:val="sr-Latn-BA"/>
        </w:rPr>
        <w:t>узимања</w:t>
      </w:r>
      <w:r w:rsidR="0093680A" w:rsidRPr="00295637">
        <w:rPr>
          <w:rFonts w:ascii="Times New Roman" w:hAnsi="Times New Roman"/>
          <w:lang w:val="sr-Latn-BA"/>
        </w:rPr>
        <w:t xml:space="preserve"> </w:t>
      </w:r>
      <w:r>
        <w:rPr>
          <w:rFonts w:ascii="Times New Roman" w:hAnsi="Times New Roman"/>
          <w:lang w:val="sr-Latn-BA"/>
        </w:rPr>
        <w:t>биолошког</w:t>
      </w:r>
      <w:r w:rsidR="0093680A" w:rsidRPr="00295637">
        <w:rPr>
          <w:rFonts w:ascii="Times New Roman" w:hAnsi="Times New Roman"/>
          <w:lang w:val="sr-Latn-BA"/>
        </w:rPr>
        <w:t xml:space="preserve"> </w:t>
      </w:r>
      <w:r>
        <w:rPr>
          <w:rFonts w:ascii="Times New Roman" w:hAnsi="Times New Roman"/>
          <w:lang w:val="sr-Latn-BA"/>
        </w:rPr>
        <w:t>материјала</w:t>
      </w:r>
      <w:r w:rsidR="0093680A" w:rsidRPr="00295637">
        <w:rPr>
          <w:rFonts w:ascii="Times New Roman" w:hAnsi="Times New Roman"/>
          <w:lang w:val="sr-Latn-BA"/>
        </w:rPr>
        <w:t>).</w:t>
      </w:r>
    </w:p>
    <w:p w:rsidR="00A57F15" w:rsidRPr="00295637" w:rsidRDefault="00A57F15" w:rsidP="0086268D">
      <w:pPr>
        <w:tabs>
          <w:tab w:val="left" w:pos="284"/>
          <w:tab w:val="left" w:pos="630"/>
          <w:tab w:val="left" w:pos="1080"/>
        </w:tabs>
        <w:jc w:val="both"/>
        <w:rPr>
          <w:rFonts w:ascii="Times New Roman" w:hAnsi="Times New Roman"/>
          <w:szCs w:val="24"/>
          <w:lang w:val="bs-Latn-BA"/>
        </w:rPr>
      </w:pPr>
    </w:p>
    <w:p w:rsidR="0098532D" w:rsidRPr="00295637" w:rsidRDefault="00722ACE" w:rsidP="00381123">
      <w:pPr>
        <w:tabs>
          <w:tab w:val="left" w:pos="284"/>
          <w:tab w:val="left" w:pos="630"/>
          <w:tab w:val="left" w:pos="1080"/>
        </w:tabs>
        <w:ind w:left="567"/>
        <w:jc w:val="both"/>
        <w:rPr>
          <w:rFonts w:ascii="Times New Roman" w:hAnsi="Times New Roman"/>
          <w:szCs w:val="24"/>
          <w:lang w:val="bs-Latn-BA"/>
        </w:rPr>
      </w:pPr>
      <w:r w:rsidRPr="00722ACE">
        <w:rPr>
          <w:rFonts w:ascii="Times New Roman" w:hAnsi="Times New Roman"/>
          <w:szCs w:val="24"/>
          <w:lang w:val="bs-Latn-BA"/>
        </w:rPr>
        <w:t>I</w:t>
      </w:r>
      <w:r w:rsidR="00381123">
        <w:rPr>
          <w:rFonts w:ascii="Times New Roman" w:hAnsi="Times New Roman"/>
          <w:szCs w:val="24"/>
          <w:lang w:val="bs-Latn-BA"/>
        </w:rPr>
        <w:t xml:space="preserve"> 5.5. </w:t>
      </w:r>
      <w:r w:rsidR="00C6214E">
        <w:rPr>
          <w:rFonts w:ascii="Times New Roman" w:hAnsi="Times New Roman"/>
          <w:szCs w:val="24"/>
          <w:lang w:val="bs-Latn-BA"/>
        </w:rPr>
        <w:t>Израда</w:t>
      </w:r>
      <w:r w:rsidR="0098532D" w:rsidRPr="00295637">
        <w:rPr>
          <w:rFonts w:ascii="Times New Roman" w:hAnsi="Times New Roman"/>
          <w:szCs w:val="24"/>
          <w:lang w:val="bs-Latn-BA"/>
        </w:rPr>
        <w:t xml:space="preserve"> </w:t>
      </w:r>
      <w:r w:rsidR="00C6214E">
        <w:rPr>
          <w:rFonts w:ascii="Times New Roman" w:hAnsi="Times New Roman"/>
          <w:szCs w:val="24"/>
          <w:lang w:val="bs-Latn-BA"/>
        </w:rPr>
        <w:t>и</w:t>
      </w:r>
      <w:r w:rsidR="0098532D" w:rsidRPr="00295637">
        <w:rPr>
          <w:rFonts w:ascii="Times New Roman" w:hAnsi="Times New Roman"/>
          <w:szCs w:val="24"/>
          <w:lang w:val="bs-Latn-BA"/>
        </w:rPr>
        <w:t xml:space="preserve"> </w:t>
      </w:r>
      <w:r>
        <w:rPr>
          <w:rFonts w:ascii="Times New Roman" w:hAnsi="Times New Roman"/>
          <w:szCs w:val="24"/>
          <w:lang w:val="sr-Cyrl-BA"/>
        </w:rPr>
        <w:t>спровођење</w:t>
      </w:r>
      <w:r w:rsidR="0098532D" w:rsidRPr="00295637">
        <w:rPr>
          <w:rFonts w:ascii="Times New Roman" w:hAnsi="Times New Roman"/>
          <w:szCs w:val="24"/>
          <w:lang w:val="bs-Latn-BA"/>
        </w:rPr>
        <w:t xml:space="preserve"> </w:t>
      </w:r>
      <w:r w:rsidR="00C6214E">
        <w:rPr>
          <w:rFonts w:ascii="Times New Roman" w:hAnsi="Times New Roman"/>
          <w:szCs w:val="24"/>
          <w:lang w:val="bs-Latn-BA"/>
        </w:rPr>
        <w:t>мјера</w:t>
      </w:r>
      <w:r w:rsidR="0098532D" w:rsidRPr="00295637">
        <w:rPr>
          <w:rFonts w:ascii="Times New Roman" w:hAnsi="Times New Roman"/>
          <w:szCs w:val="24"/>
          <w:lang w:val="bs-Latn-BA"/>
        </w:rPr>
        <w:t xml:space="preserve"> </w:t>
      </w:r>
      <w:r w:rsidR="00C6214E">
        <w:rPr>
          <w:rFonts w:ascii="Times New Roman" w:hAnsi="Times New Roman"/>
          <w:szCs w:val="24"/>
          <w:lang w:val="bs-Latn-BA"/>
        </w:rPr>
        <w:t>и</w:t>
      </w:r>
      <w:r w:rsidR="0098532D"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98532D" w:rsidRPr="00295637">
        <w:rPr>
          <w:rFonts w:ascii="Times New Roman" w:hAnsi="Times New Roman"/>
          <w:szCs w:val="24"/>
          <w:lang w:val="bs-Latn-BA"/>
        </w:rPr>
        <w:t xml:space="preserve"> </w:t>
      </w:r>
      <w:r>
        <w:rPr>
          <w:rFonts w:ascii="Times New Roman" w:hAnsi="Times New Roman"/>
          <w:szCs w:val="24"/>
          <w:lang w:val="sr-Cyrl-BA"/>
        </w:rPr>
        <w:t>с</w:t>
      </w:r>
      <w:r w:rsidR="0098532D" w:rsidRPr="00295637">
        <w:rPr>
          <w:rFonts w:ascii="Times New Roman" w:hAnsi="Times New Roman"/>
          <w:szCs w:val="24"/>
          <w:lang w:val="bs-Latn-BA"/>
        </w:rPr>
        <w:t xml:space="preserve"> </w:t>
      </w:r>
      <w:r w:rsidR="00C6214E">
        <w:rPr>
          <w:rFonts w:ascii="Times New Roman" w:hAnsi="Times New Roman"/>
          <w:szCs w:val="24"/>
          <w:lang w:val="bs-Latn-BA"/>
        </w:rPr>
        <w:t>циљ</w:t>
      </w:r>
      <w:r>
        <w:rPr>
          <w:rFonts w:ascii="Times New Roman" w:hAnsi="Times New Roman"/>
          <w:szCs w:val="24"/>
          <w:lang w:val="sr-Cyrl-BA"/>
        </w:rPr>
        <w:t>ем</w:t>
      </w:r>
      <w:r w:rsidR="0098532D" w:rsidRPr="00295637">
        <w:rPr>
          <w:rFonts w:ascii="Times New Roman" w:hAnsi="Times New Roman"/>
          <w:szCs w:val="24"/>
          <w:lang w:val="bs-Latn-BA"/>
        </w:rPr>
        <w:t xml:space="preserve"> </w:t>
      </w:r>
      <w:r>
        <w:rPr>
          <w:rFonts w:ascii="Times New Roman" w:hAnsi="Times New Roman"/>
          <w:szCs w:val="24"/>
          <w:lang w:val="bs-Latn-BA"/>
        </w:rPr>
        <w:t>спр</w:t>
      </w:r>
      <w:r w:rsidR="00C6214E">
        <w:rPr>
          <w:rFonts w:ascii="Times New Roman" w:hAnsi="Times New Roman"/>
          <w:szCs w:val="24"/>
          <w:lang w:val="bs-Latn-BA"/>
        </w:rPr>
        <w:t>ечавања</w:t>
      </w:r>
      <w:r w:rsidR="0098532D" w:rsidRPr="00295637">
        <w:rPr>
          <w:rFonts w:ascii="Times New Roman" w:hAnsi="Times New Roman"/>
          <w:szCs w:val="24"/>
          <w:lang w:val="bs-Latn-BA"/>
        </w:rPr>
        <w:t xml:space="preserve"> </w:t>
      </w:r>
      <w:r w:rsidR="00C6214E">
        <w:rPr>
          <w:rFonts w:ascii="Times New Roman" w:hAnsi="Times New Roman"/>
          <w:szCs w:val="24"/>
          <w:lang w:val="bs-Latn-BA"/>
        </w:rPr>
        <w:t>родно</w:t>
      </w:r>
      <w:r w:rsidR="0098532D" w:rsidRPr="00295637">
        <w:rPr>
          <w:rFonts w:ascii="Times New Roman" w:hAnsi="Times New Roman"/>
          <w:szCs w:val="24"/>
          <w:lang w:val="bs-Latn-BA"/>
        </w:rPr>
        <w:t xml:space="preserve"> </w:t>
      </w:r>
      <w:r w:rsidR="00C6214E">
        <w:rPr>
          <w:rFonts w:ascii="Times New Roman" w:hAnsi="Times New Roman"/>
          <w:szCs w:val="24"/>
          <w:lang w:val="bs-Latn-BA"/>
        </w:rPr>
        <w:t>заснованог</w:t>
      </w:r>
      <w:r w:rsidR="0098532D"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98532D" w:rsidRPr="00295637">
        <w:rPr>
          <w:rFonts w:ascii="Times New Roman" w:hAnsi="Times New Roman"/>
          <w:szCs w:val="24"/>
          <w:lang w:val="bs-Latn-BA"/>
        </w:rPr>
        <w:t xml:space="preserve"> </w:t>
      </w:r>
      <w:r w:rsidR="00C6214E">
        <w:rPr>
          <w:rFonts w:ascii="Times New Roman" w:hAnsi="Times New Roman"/>
          <w:szCs w:val="24"/>
          <w:lang w:val="bs-Latn-BA"/>
        </w:rPr>
        <w:t>и</w:t>
      </w:r>
      <w:r w:rsidR="0098532D" w:rsidRPr="00295637">
        <w:rPr>
          <w:rFonts w:ascii="Times New Roman" w:hAnsi="Times New Roman"/>
          <w:szCs w:val="24"/>
          <w:lang w:val="bs-Latn-BA"/>
        </w:rPr>
        <w:t xml:space="preserve"> </w:t>
      </w:r>
      <w:r w:rsidR="00C6214E">
        <w:rPr>
          <w:rFonts w:ascii="Times New Roman" w:hAnsi="Times New Roman"/>
          <w:szCs w:val="24"/>
          <w:lang w:val="bs-Latn-BA"/>
        </w:rPr>
        <w:t>сексуалног</w:t>
      </w:r>
      <w:r w:rsidR="0098532D" w:rsidRPr="00295637">
        <w:rPr>
          <w:rFonts w:ascii="Times New Roman" w:hAnsi="Times New Roman"/>
          <w:szCs w:val="24"/>
          <w:lang w:val="bs-Latn-BA"/>
        </w:rPr>
        <w:t xml:space="preserve"> </w:t>
      </w:r>
      <w:r w:rsidR="00C6214E">
        <w:rPr>
          <w:rFonts w:ascii="Times New Roman" w:hAnsi="Times New Roman"/>
          <w:szCs w:val="24"/>
          <w:lang w:val="bs-Latn-BA"/>
        </w:rPr>
        <w:t>узнемиравања</w:t>
      </w:r>
      <w:r w:rsidR="0098532D" w:rsidRPr="00295637">
        <w:rPr>
          <w:rFonts w:ascii="Times New Roman" w:hAnsi="Times New Roman"/>
          <w:szCs w:val="24"/>
          <w:lang w:val="bs-Latn-BA"/>
        </w:rPr>
        <w:t xml:space="preserve"> </w:t>
      </w:r>
      <w:r w:rsidR="00C6214E">
        <w:rPr>
          <w:rFonts w:ascii="Times New Roman" w:hAnsi="Times New Roman"/>
          <w:szCs w:val="24"/>
          <w:lang w:val="bs-Latn-BA"/>
        </w:rPr>
        <w:t>у</w:t>
      </w:r>
      <w:r w:rsidR="0098532D" w:rsidRPr="00295637">
        <w:rPr>
          <w:rFonts w:ascii="Times New Roman" w:hAnsi="Times New Roman"/>
          <w:szCs w:val="24"/>
          <w:lang w:val="bs-Latn-BA"/>
        </w:rPr>
        <w:t xml:space="preserve"> </w:t>
      </w:r>
      <w:r w:rsidR="00C6214E">
        <w:rPr>
          <w:rFonts w:ascii="Times New Roman" w:hAnsi="Times New Roman"/>
          <w:szCs w:val="24"/>
          <w:lang w:val="bs-Latn-BA"/>
        </w:rPr>
        <w:t>здравственим</w:t>
      </w:r>
      <w:r w:rsidR="0098532D" w:rsidRPr="00295637">
        <w:rPr>
          <w:rFonts w:ascii="Times New Roman" w:hAnsi="Times New Roman"/>
          <w:szCs w:val="24"/>
          <w:lang w:val="bs-Latn-BA"/>
        </w:rPr>
        <w:t xml:space="preserve"> </w:t>
      </w:r>
      <w:r w:rsidR="00C6214E">
        <w:rPr>
          <w:rFonts w:ascii="Times New Roman" w:hAnsi="Times New Roman"/>
          <w:szCs w:val="24"/>
          <w:lang w:val="bs-Latn-BA"/>
        </w:rPr>
        <w:t>установама</w:t>
      </w:r>
      <w:r w:rsidR="0098532D" w:rsidRPr="00295637">
        <w:rPr>
          <w:rFonts w:ascii="Times New Roman" w:hAnsi="Times New Roman"/>
          <w:szCs w:val="24"/>
          <w:lang w:val="bs-Latn-BA"/>
        </w:rPr>
        <w:t xml:space="preserve"> </w:t>
      </w:r>
      <w:r w:rsidR="00C6214E">
        <w:rPr>
          <w:rFonts w:ascii="Times New Roman" w:hAnsi="Times New Roman"/>
          <w:szCs w:val="24"/>
          <w:lang w:val="bs-Latn-BA"/>
        </w:rPr>
        <w:t>приликом</w:t>
      </w:r>
      <w:r w:rsidR="0098532D" w:rsidRPr="00295637">
        <w:rPr>
          <w:rFonts w:ascii="Times New Roman" w:hAnsi="Times New Roman"/>
          <w:szCs w:val="24"/>
          <w:lang w:val="bs-Latn-BA"/>
        </w:rPr>
        <w:t xml:space="preserve"> </w:t>
      </w:r>
      <w:r w:rsidR="00C6214E">
        <w:rPr>
          <w:rFonts w:ascii="Times New Roman" w:hAnsi="Times New Roman"/>
          <w:szCs w:val="24"/>
          <w:lang w:val="bs-Latn-BA"/>
        </w:rPr>
        <w:t>пружања</w:t>
      </w:r>
      <w:r w:rsidR="0098532D" w:rsidRPr="00295637">
        <w:rPr>
          <w:rFonts w:ascii="Times New Roman" w:hAnsi="Times New Roman"/>
          <w:szCs w:val="24"/>
          <w:lang w:val="bs-Latn-BA"/>
        </w:rPr>
        <w:t xml:space="preserve"> </w:t>
      </w:r>
      <w:r w:rsidR="00C6214E">
        <w:rPr>
          <w:rFonts w:ascii="Times New Roman" w:hAnsi="Times New Roman"/>
          <w:szCs w:val="24"/>
          <w:lang w:val="bs-Latn-BA"/>
        </w:rPr>
        <w:t>здравствених</w:t>
      </w:r>
      <w:r w:rsidR="0098532D" w:rsidRPr="00295637">
        <w:rPr>
          <w:rFonts w:ascii="Times New Roman" w:hAnsi="Times New Roman"/>
          <w:szCs w:val="24"/>
          <w:lang w:val="bs-Latn-BA"/>
        </w:rPr>
        <w:t xml:space="preserve"> </w:t>
      </w:r>
      <w:r w:rsidR="00C6214E">
        <w:rPr>
          <w:rFonts w:ascii="Times New Roman" w:hAnsi="Times New Roman"/>
          <w:szCs w:val="24"/>
          <w:lang w:val="bs-Latn-BA"/>
        </w:rPr>
        <w:t>услуга</w:t>
      </w:r>
      <w:r w:rsidR="0098532D" w:rsidRPr="00295637">
        <w:rPr>
          <w:rFonts w:ascii="Times New Roman" w:hAnsi="Times New Roman"/>
          <w:szCs w:val="24"/>
          <w:lang w:val="bs-Latn-BA"/>
        </w:rPr>
        <w:t>.</w:t>
      </w:r>
    </w:p>
    <w:p w:rsidR="00180008" w:rsidRPr="00295637" w:rsidRDefault="00180008" w:rsidP="0086268D">
      <w:pPr>
        <w:tabs>
          <w:tab w:val="left" w:pos="284"/>
          <w:tab w:val="left" w:pos="630"/>
          <w:tab w:val="left" w:pos="1080"/>
        </w:tabs>
        <w:ind w:left="1080"/>
        <w:jc w:val="both"/>
        <w:rPr>
          <w:rFonts w:ascii="Times New Roman" w:hAnsi="Times New Roman"/>
          <w:szCs w:val="24"/>
          <w:lang w:val="bs-Latn-BA"/>
        </w:rPr>
      </w:pPr>
    </w:p>
    <w:p w:rsidR="00536B60" w:rsidRPr="00295637" w:rsidRDefault="00C6214E" w:rsidP="0086268D">
      <w:pPr>
        <w:pStyle w:val="Tekstistrazivanja"/>
      </w:pPr>
      <w:r>
        <w:t>АР</w:t>
      </w:r>
      <w:r w:rsidR="00722ACE">
        <w:rPr>
          <w:lang w:val="sr-Cyrl-BA"/>
        </w:rPr>
        <w:t>П</w:t>
      </w:r>
      <w:r w:rsidR="005F06A0">
        <w:t xml:space="preserve"> </w:t>
      </w:r>
      <w:r>
        <w:t>БиХ</w:t>
      </w:r>
      <w:r w:rsidR="005F06A0">
        <w:t xml:space="preserve"> </w:t>
      </w:r>
      <w:r>
        <w:t>МЉПИ</w:t>
      </w:r>
      <w:r w:rsidR="005F06A0">
        <w:t xml:space="preserve"> </w:t>
      </w:r>
      <w:r>
        <w:t>БиХ</w:t>
      </w:r>
      <w:r w:rsidR="00536B60" w:rsidRPr="00295637">
        <w:t xml:space="preserve"> </w:t>
      </w:r>
      <w:r w:rsidR="00722ACE">
        <w:t xml:space="preserve">је </w:t>
      </w:r>
      <w:r>
        <w:t>иницирала</w:t>
      </w:r>
      <w:r w:rsidR="00536B60" w:rsidRPr="00295637">
        <w:t xml:space="preserve"> </w:t>
      </w:r>
      <w:r>
        <w:t>и</w:t>
      </w:r>
      <w:r w:rsidR="005F06A0">
        <w:t xml:space="preserve"> </w:t>
      </w:r>
      <w:r>
        <w:t>у</w:t>
      </w:r>
      <w:r w:rsidR="005F06A0">
        <w:t xml:space="preserve"> </w:t>
      </w:r>
      <w:r>
        <w:t>партнерству</w:t>
      </w:r>
      <w:r w:rsidR="005F06A0">
        <w:t xml:space="preserve"> </w:t>
      </w:r>
      <w:r>
        <w:t>са</w:t>
      </w:r>
      <w:r w:rsidR="00536B60" w:rsidRPr="00295637">
        <w:t xml:space="preserve"> </w:t>
      </w:r>
      <w:r w:rsidR="00722ACE" w:rsidRPr="00722ACE">
        <w:rPr>
          <w:i/>
          <w:lang w:val="hr-BA"/>
        </w:rPr>
        <w:t>UNFPA</w:t>
      </w:r>
      <w:r w:rsidR="00536B60" w:rsidRPr="00295637">
        <w:t xml:space="preserve"> </w:t>
      </w:r>
      <w:r>
        <w:t>учествовала</w:t>
      </w:r>
      <w:r w:rsidR="00536B60" w:rsidRPr="00295637">
        <w:t xml:space="preserve"> </w:t>
      </w:r>
      <w:r>
        <w:t>у</w:t>
      </w:r>
      <w:r w:rsidR="00536B60" w:rsidRPr="00295637">
        <w:t xml:space="preserve"> </w:t>
      </w:r>
      <w:r>
        <w:t>припреми</w:t>
      </w:r>
      <w:r w:rsidR="00536B60" w:rsidRPr="00295637">
        <w:t xml:space="preserve"> </w:t>
      </w:r>
      <w:r>
        <w:t>и</w:t>
      </w:r>
      <w:r w:rsidR="00536B60" w:rsidRPr="00295637">
        <w:t xml:space="preserve"> </w:t>
      </w:r>
      <w:r>
        <w:t>реализацији</w:t>
      </w:r>
      <w:r w:rsidR="00536B60" w:rsidRPr="00295637">
        <w:t xml:space="preserve"> </w:t>
      </w:r>
      <w:r>
        <w:t>истраживања</w:t>
      </w:r>
      <w:r w:rsidR="00536B60" w:rsidRPr="00295637">
        <w:t xml:space="preserve"> </w:t>
      </w:r>
      <w:r>
        <w:t>о</w:t>
      </w:r>
      <w:r w:rsidR="00536B60" w:rsidRPr="00295637">
        <w:t xml:space="preserve"> </w:t>
      </w:r>
      <w:r>
        <w:t>перцепцији</w:t>
      </w:r>
      <w:r w:rsidR="00536B60" w:rsidRPr="00295637">
        <w:t xml:space="preserve"> </w:t>
      </w:r>
      <w:r>
        <w:t>искуства</w:t>
      </w:r>
      <w:r w:rsidR="00536B60" w:rsidRPr="00295637">
        <w:t xml:space="preserve"> </w:t>
      </w:r>
      <w:r>
        <w:t>порођаја</w:t>
      </w:r>
      <w:r w:rsidR="00536B60" w:rsidRPr="00295637">
        <w:t xml:space="preserve"> </w:t>
      </w:r>
      <w:r>
        <w:t>у</w:t>
      </w:r>
      <w:r w:rsidR="00536B60" w:rsidRPr="00295637">
        <w:t xml:space="preserve"> </w:t>
      </w:r>
      <w:r>
        <w:t>Босни</w:t>
      </w:r>
      <w:r w:rsidR="00536B60" w:rsidRPr="00295637">
        <w:t xml:space="preserve"> </w:t>
      </w:r>
      <w:r>
        <w:t>и</w:t>
      </w:r>
      <w:r w:rsidR="00536B60" w:rsidRPr="00295637">
        <w:t xml:space="preserve"> </w:t>
      </w:r>
      <w:r>
        <w:t>Херцеговини</w:t>
      </w:r>
      <w:r w:rsidR="00536B60" w:rsidRPr="00295637">
        <w:t xml:space="preserve"> </w:t>
      </w:r>
      <w:r>
        <w:t>чији</w:t>
      </w:r>
      <w:r w:rsidR="00536B60" w:rsidRPr="00295637">
        <w:t xml:space="preserve"> </w:t>
      </w:r>
      <w:r>
        <w:t>ће</w:t>
      </w:r>
      <w:r w:rsidR="00536B60" w:rsidRPr="00295637">
        <w:t xml:space="preserve"> </w:t>
      </w:r>
      <w:r>
        <w:t>резултати</w:t>
      </w:r>
      <w:r w:rsidR="00536B60" w:rsidRPr="00295637">
        <w:t xml:space="preserve"> </w:t>
      </w:r>
      <w:r>
        <w:t>бити</w:t>
      </w:r>
      <w:r w:rsidR="00536B60" w:rsidRPr="00295637">
        <w:t xml:space="preserve"> </w:t>
      </w:r>
      <w:r>
        <w:t>презент</w:t>
      </w:r>
      <w:r w:rsidR="00722ACE">
        <w:rPr>
          <w:lang w:val="sr-Cyrl-BA"/>
        </w:rPr>
        <w:t>овани</w:t>
      </w:r>
      <w:r w:rsidR="00536B60" w:rsidRPr="00295637">
        <w:t xml:space="preserve"> </w:t>
      </w:r>
      <w:r>
        <w:t>почетком</w:t>
      </w:r>
      <w:r w:rsidR="00536B60" w:rsidRPr="00295637">
        <w:t xml:space="preserve"> 2025. </w:t>
      </w:r>
      <w:r>
        <w:rPr>
          <w:lang w:val="hr-HR"/>
        </w:rPr>
        <w:t>године</w:t>
      </w:r>
      <w:r w:rsidR="00536B60" w:rsidRPr="006820FB">
        <w:rPr>
          <w:lang w:val="hr-HR"/>
        </w:rPr>
        <w:t>.</w:t>
      </w:r>
      <w:r w:rsidR="00536B60" w:rsidRPr="00295637">
        <w:t xml:space="preserve"> </w:t>
      </w:r>
      <w:r>
        <w:t>Наиме</w:t>
      </w:r>
      <w:r w:rsidR="00536B60" w:rsidRPr="00295637">
        <w:t xml:space="preserve">, </w:t>
      </w:r>
      <w:r>
        <w:t>већина</w:t>
      </w:r>
      <w:r w:rsidR="00536B60" w:rsidRPr="00295637">
        <w:t xml:space="preserve"> </w:t>
      </w:r>
      <w:r>
        <w:t>студија</w:t>
      </w:r>
      <w:r w:rsidR="00536B60" w:rsidRPr="00295637">
        <w:t xml:space="preserve"> </w:t>
      </w:r>
      <w:r>
        <w:t>које</w:t>
      </w:r>
      <w:r w:rsidR="00536B60" w:rsidRPr="00295637">
        <w:t xml:space="preserve"> </w:t>
      </w:r>
      <w:r>
        <w:t>истражују</w:t>
      </w:r>
      <w:r w:rsidR="00536B60" w:rsidRPr="00295637">
        <w:t xml:space="preserve"> </w:t>
      </w:r>
      <w:r>
        <w:t>перцепцију</w:t>
      </w:r>
      <w:r w:rsidR="00536B60" w:rsidRPr="00295637">
        <w:t xml:space="preserve"> </w:t>
      </w:r>
      <w:r>
        <w:t>жена</w:t>
      </w:r>
      <w:r w:rsidR="00536B60" w:rsidRPr="00295637">
        <w:t xml:space="preserve"> </w:t>
      </w:r>
      <w:r>
        <w:t>о</w:t>
      </w:r>
      <w:r w:rsidR="00536B60" w:rsidRPr="00295637">
        <w:t xml:space="preserve"> </w:t>
      </w:r>
      <w:r>
        <w:t>здравственој</w:t>
      </w:r>
      <w:r w:rsidR="00536B60" w:rsidRPr="00295637">
        <w:t xml:space="preserve"> </w:t>
      </w:r>
      <w:r>
        <w:t>заштити</w:t>
      </w:r>
      <w:r w:rsidR="00536B60" w:rsidRPr="00295637">
        <w:t xml:space="preserve"> </w:t>
      </w:r>
      <w:r>
        <w:t>породиља</w:t>
      </w:r>
      <w:r w:rsidR="00536B60" w:rsidRPr="00295637">
        <w:t xml:space="preserve"> </w:t>
      </w:r>
      <w:r>
        <w:t>у</w:t>
      </w:r>
      <w:r w:rsidR="00536B60" w:rsidRPr="00295637">
        <w:t xml:space="preserve"> </w:t>
      </w:r>
      <w:r>
        <w:t>БиХ</w:t>
      </w:r>
      <w:r w:rsidR="00536B60" w:rsidRPr="00295637">
        <w:t xml:space="preserve"> </w:t>
      </w:r>
      <w:r>
        <w:t>и</w:t>
      </w:r>
      <w:r w:rsidR="00536B60" w:rsidRPr="00295637">
        <w:t xml:space="preserve"> </w:t>
      </w:r>
      <w:r>
        <w:t>региону</w:t>
      </w:r>
      <w:r w:rsidR="00536B60" w:rsidRPr="00295637">
        <w:t xml:space="preserve">, </w:t>
      </w:r>
      <w:r>
        <w:t>а</w:t>
      </w:r>
      <w:r w:rsidR="00536B60" w:rsidRPr="00295637">
        <w:t xml:space="preserve"> </w:t>
      </w:r>
      <w:r>
        <w:t>које</w:t>
      </w:r>
      <w:r w:rsidR="00536B60" w:rsidRPr="00295637">
        <w:t xml:space="preserve"> </w:t>
      </w:r>
      <w:r>
        <w:t>су</w:t>
      </w:r>
      <w:r w:rsidR="00536B60" w:rsidRPr="00295637">
        <w:t xml:space="preserve"> </w:t>
      </w:r>
      <w:r w:rsidR="00722ACE">
        <w:rPr>
          <w:lang w:val="sr-Cyrl-BA"/>
        </w:rPr>
        <w:t>спроведене</w:t>
      </w:r>
      <w:r w:rsidR="00536B60" w:rsidRPr="00295637">
        <w:t xml:space="preserve"> </w:t>
      </w:r>
      <w:r>
        <w:t>посљедњих</w:t>
      </w:r>
      <w:r w:rsidR="00381123">
        <w:t xml:space="preserve"> </w:t>
      </w:r>
      <w:r>
        <w:t>година</w:t>
      </w:r>
      <w:r w:rsidR="00381123">
        <w:t xml:space="preserve">, </w:t>
      </w:r>
      <w:r>
        <w:t>указују</w:t>
      </w:r>
      <w:r w:rsidR="00381123">
        <w:t xml:space="preserve"> </w:t>
      </w:r>
      <w:r>
        <w:t>на</w:t>
      </w:r>
      <w:r w:rsidR="00381123">
        <w:t xml:space="preserve"> </w:t>
      </w:r>
      <w:r>
        <w:t>смањен</w:t>
      </w:r>
      <w:r w:rsidR="00381123">
        <w:t xml:space="preserve"> </w:t>
      </w:r>
      <w:r>
        <w:t>квалитет</w:t>
      </w:r>
      <w:r w:rsidR="00536B60" w:rsidRPr="00295637">
        <w:t xml:space="preserve"> </w:t>
      </w:r>
      <w:r>
        <w:t>здравствене</w:t>
      </w:r>
      <w:r w:rsidR="00536B60" w:rsidRPr="00295637">
        <w:t xml:space="preserve"> </w:t>
      </w:r>
      <w:r>
        <w:t>заштите</w:t>
      </w:r>
      <w:r w:rsidR="00536B60" w:rsidRPr="00295637">
        <w:t xml:space="preserve"> </w:t>
      </w:r>
      <w:r>
        <w:t>породиља</w:t>
      </w:r>
      <w:r w:rsidR="00536B60" w:rsidRPr="00295637">
        <w:t xml:space="preserve">. </w:t>
      </w:r>
      <w:r>
        <w:t>У</w:t>
      </w:r>
      <w:r w:rsidR="00536B60" w:rsidRPr="00295637">
        <w:t xml:space="preserve"> </w:t>
      </w:r>
      <w:r>
        <w:t>поређењу</w:t>
      </w:r>
      <w:r w:rsidR="005F06A0">
        <w:t xml:space="preserve"> </w:t>
      </w:r>
      <w:r>
        <w:t>са</w:t>
      </w:r>
      <w:r w:rsidR="00536B60" w:rsidRPr="00295637">
        <w:t xml:space="preserve"> </w:t>
      </w:r>
      <w:r>
        <w:t>другим</w:t>
      </w:r>
      <w:r w:rsidR="00536B60" w:rsidRPr="00295637">
        <w:t xml:space="preserve"> </w:t>
      </w:r>
      <w:r>
        <w:t>земљама</w:t>
      </w:r>
      <w:r w:rsidR="00536B60" w:rsidRPr="00295637">
        <w:t xml:space="preserve"> </w:t>
      </w:r>
      <w:r>
        <w:t>у</w:t>
      </w:r>
      <w:r w:rsidR="00536B60" w:rsidRPr="00295637">
        <w:t xml:space="preserve"> </w:t>
      </w:r>
      <w:r>
        <w:t>региону</w:t>
      </w:r>
      <w:r w:rsidR="00536B60" w:rsidRPr="00295637">
        <w:t xml:space="preserve">, </w:t>
      </w:r>
      <w:r>
        <w:t>у</w:t>
      </w:r>
      <w:r w:rsidR="00536B60" w:rsidRPr="00295637">
        <w:t xml:space="preserve"> </w:t>
      </w:r>
      <w:r>
        <w:t>БиХ</w:t>
      </w:r>
      <w:r w:rsidR="00536B60" w:rsidRPr="00295637">
        <w:t xml:space="preserve"> </w:t>
      </w:r>
      <w:r>
        <w:t>додатно</w:t>
      </w:r>
      <w:r w:rsidR="00536B60" w:rsidRPr="00295637">
        <w:t xml:space="preserve"> </w:t>
      </w:r>
      <w:r>
        <w:t>постоји</w:t>
      </w:r>
      <w:r w:rsidR="00536B60" w:rsidRPr="00295637">
        <w:t xml:space="preserve"> </w:t>
      </w:r>
      <w:r>
        <w:t>примјетан</w:t>
      </w:r>
      <w:r w:rsidR="00536B60" w:rsidRPr="00295637">
        <w:t xml:space="preserve"> </w:t>
      </w:r>
      <w:r>
        <w:t>јаз</w:t>
      </w:r>
      <w:r w:rsidR="00536B60" w:rsidRPr="00295637">
        <w:t xml:space="preserve"> </w:t>
      </w:r>
      <w:r>
        <w:t>у</w:t>
      </w:r>
      <w:r w:rsidR="00536B60" w:rsidRPr="00295637">
        <w:t xml:space="preserve"> </w:t>
      </w:r>
      <w:r>
        <w:t>истраживањима</w:t>
      </w:r>
      <w:r w:rsidR="00536B60" w:rsidRPr="00295637">
        <w:t xml:space="preserve"> </w:t>
      </w:r>
      <w:r>
        <w:t>о</w:t>
      </w:r>
      <w:r w:rsidR="00536B60" w:rsidRPr="00295637">
        <w:t xml:space="preserve"> </w:t>
      </w:r>
      <w:r>
        <w:t>здравственој</w:t>
      </w:r>
      <w:r w:rsidR="00536B60" w:rsidRPr="00295637">
        <w:t xml:space="preserve"> </w:t>
      </w:r>
      <w:r>
        <w:t>заштити</w:t>
      </w:r>
      <w:r w:rsidR="00536B60" w:rsidRPr="00295637">
        <w:t xml:space="preserve"> </w:t>
      </w:r>
      <w:r>
        <w:t>мајки</w:t>
      </w:r>
      <w:r w:rsidR="00536B60" w:rsidRPr="00295637">
        <w:t xml:space="preserve"> </w:t>
      </w:r>
      <w:r>
        <w:t>и</w:t>
      </w:r>
      <w:r w:rsidR="00536B60" w:rsidRPr="00295637">
        <w:t xml:space="preserve"> </w:t>
      </w:r>
      <w:r>
        <w:t>питањима</w:t>
      </w:r>
      <w:r w:rsidR="00536B60" w:rsidRPr="00295637">
        <w:t xml:space="preserve"> </w:t>
      </w:r>
      <w:r>
        <w:t>порођаја</w:t>
      </w:r>
      <w:r w:rsidR="00536B60" w:rsidRPr="00295637">
        <w:t xml:space="preserve">. </w:t>
      </w:r>
      <w:r>
        <w:t>Иницирањем</w:t>
      </w:r>
      <w:r w:rsidR="00536B60" w:rsidRPr="00295637">
        <w:t xml:space="preserve"> </w:t>
      </w:r>
      <w:r>
        <w:t>истраживања</w:t>
      </w:r>
      <w:r w:rsidR="00536B60" w:rsidRPr="00295637">
        <w:t xml:space="preserve"> </w:t>
      </w:r>
      <w:r>
        <w:t>о</w:t>
      </w:r>
      <w:r w:rsidR="00536B60" w:rsidRPr="00295637">
        <w:t xml:space="preserve"> </w:t>
      </w:r>
      <w:r>
        <w:t>перцепцији</w:t>
      </w:r>
      <w:r w:rsidR="00536B60" w:rsidRPr="00295637">
        <w:t xml:space="preserve"> </w:t>
      </w:r>
      <w:r>
        <w:t>искуства</w:t>
      </w:r>
      <w:r w:rsidR="00536B60" w:rsidRPr="00295637">
        <w:t xml:space="preserve"> </w:t>
      </w:r>
      <w:r>
        <w:t>порођаја</w:t>
      </w:r>
      <w:r w:rsidR="00536B60" w:rsidRPr="00295637">
        <w:t xml:space="preserve">, </w:t>
      </w:r>
      <w:r>
        <w:t>АР</w:t>
      </w:r>
      <w:r w:rsidR="00722ACE">
        <w:rPr>
          <w:lang w:val="sr-Cyrl-BA"/>
        </w:rPr>
        <w:t>П</w:t>
      </w:r>
      <w:r w:rsidR="005F06A0">
        <w:t xml:space="preserve"> </w:t>
      </w:r>
      <w:r>
        <w:t>БиХ</w:t>
      </w:r>
      <w:r w:rsidR="00AA2171">
        <w:t xml:space="preserve"> </w:t>
      </w:r>
      <w:r>
        <w:t>МЉПИ</w:t>
      </w:r>
      <w:r w:rsidR="00AA2171">
        <w:t xml:space="preserve"> </w:t>
      </w:r>
      <w:r>
        <w:t>БиХ</w:t>
      </w:r>
      <w:r w:rsidR="00536B60" w:rsidRPr="00295637">
        <w:t xml:space="preserve"> </w:t>
      </w:r>
      <w:r>
        <w:t>има</w:t>
      </w:r>
      <w:r w:rsidR="00536B60" w:rsidRPr="00295637">
        <w:t xml:space="preserve"> </w:t>
      </w:r>
      <w:r>
        <w:t>намјеру</w:t>
      </w:r>
      <w:r w:rsidR="003C7C04" w:rsidRPr="00295637">
        <w:t xml:space="preserve"> </w:t>
      </w:r>
      <w:r>
        <w:t>превазићи</w:t>
      </w:r>
      <w:r w:rsidR="003C7C04" w:rsidRPr="00295637">
        <w:t xml:space="preserve"> </w:t>
      </w:r>
      <w:r>
        <w:t>поменути</w:t>
      </w:r>
      <w:r w:rsidR="003C7C04" w:rsidRPr="00295637">
        <w:t xml:space="preserve"> </w:t>
      </w:r>
      <w:r>
        <w:t>јаз</w:t>
      </w:r>
      <w:r w:rsidR="003C7C04" w:rsidRPr="00295637">
        <w:t xml:space="preserve"> </w:t>
      </w:r>
      <w:r>
        <w:t>који</w:t>
      </w:r>
      <w:r w:rsidR="00536B60" w:rsidRPr="00295637">
        <w:t xml:space="preserve"> </w:t>
      </w:r>
      <w:r>
        <w:t>не</w:t>
      </w:r>
      <w:r w:rsidR="00536B60" w:rsidRPr="00295637">
        <w:t xml:space="preserve"> </w:t>
      </w:r>
      <w:r>
        <w:t>само</w:t>
      </w:r>
      <w:r w:rsidR="00536B60" w:rsidRPr="00295637">
        <w:t xml:space="preserve"> </w:t>
      </w:r>
      <w:r>
        <w:t>да</w:t>
      </w:r>
      <w:r w:rsidR="00536B60" w:rsidRPr="00295637">
        <w:t xml:space="preserve"> </w:t>
      </w:r>
      <w:r>
        <w:t>омета</w:t>
      </w:r>
      <w:r w:rsidR="00536B60" w:rsidRPr="00295637">
        <w:t xml:space="preserve"> </w:t>
      </w:r>
      <w:r>
        <w:t>наше</w:t>
      </w:r>
      <w:r w:rsidR="00536B60" w:rsidRPr="00295637">
        <w:t xml:space="preserve"> </w:t>
      </w:r>
      <w:r>
        <w:t>разумјевање</w:t>
      </w:r>
      <w:r w:rsidR="00536B60" w:rsidRPr="00295637">
        <w:t xml:space="preserve"> </w:t>
      </w:r>
      <w:r>
        <w:t>кључних</w:t>
      </w:r>
      <w:r w:rsidR="00536B60" w:rsidRPr="00295637">
        <w:t xml:space="preserve"> </w:t>
      </w:r>
      <w:r>
        <w:t>изазова</w:t>
      </w:r>
      <w:r w:rsidR="005F06A0">
        <w:t xml:space="preserve"> </w:t>
      </w:r>
      <w:r>
        <w:t>у</w:t>
      </w:r>
      <w:r w:rsidR="005F06A0">
        <w:t xml:space="preserve"> </w:t>
      </w:r>
      <w:r>
        <w:t>вези</w:t>
      </w:r>
      <w:r w:rsidR="005F06A0">
        <w:t xml:space="preserve"> </w:t>
      </w:r>
      <w:r>
        <w:t>са</w:t>
      </w:r>
      <w:r w:rsidR="00536B60" w:rsidRPr="00295637">
        <w:t xml:space="preserve"> </w:t>
      </w:r>
      <w:r>
        <w:t>здрављем</w:t>
      </w:r>
      <w:r w:rsidR="00536B60" w:rsidRPr="00295637">
        <w:t xml:space="preserve"> </w:t>
      </w:r>
      <w:r>
        <w:t>мајки</w:t>
      </w:r>
      <w:r w:rsidR="00536B60" w:rsidRPr="00295637">
        <w:t xml:space="preserve">, </w:t>
      </w:r>
      <w:r>
        <w:t>већ</w:t>
      </w:r>
      <w:r w:rsidR="00536B60" w:rsidRPr="00295637">
        <w:t xml:space="preserve"> </w:t>
      </w:r>
      <w:r>
        <w:t>и</w:t>
      </w:r>
      <w:r w:rsidR="00536B60" w:rsidRPr="00295637">
        <w:t xml:space="preserve"> </w:t>
      </w:r>
      <w:r>
        <w:t>ограничава</w:t>
      </w:r>
      <w:r w:rsidR="00536B60" w:rsidRPr="00295637">
        <w:t xml:space="preserve"> </w:t>
      </w:r>
      <w:r>
        <w:t>развој</w:t>
      </w:r>
      <w:r w:rsidR="00536B60" w:rsidRPr="00295637">
        <w:t xml:space="preserve"> </w:t>
      </w:r>
      <w:r>
        <w:t>циљаних</w:t>
      </w:r>
      <w:r w:rsidR="00536B60" w:rsidRPr="00295637">
        <w:t xml:space="preserve"> </w:t>
      </w:r>
      <w:r>
        <w:t>интервенција</w:t>
      </w:r>
      <w:r w:rsidR="00536B60" w:rsidRPr="00295637">
        <w:t xml:space="preserve"> </w:t>
      </w:r>
      <w:r>
        <w:t>за</w:t>
      </w:r>
      <w:r w:rsidR="00536B60" w:rsidRPr="00295637">
        <w:t xml:space="preserve"> </w:t>
      </w:r>
      <w:r>
        <w:t>побољшање</w:t>
      </w:r>
      <w:r w:rsidR="00536B60" w:rsidRPr="00295637">
        <w:t xml:space="preserve"> </w:t>
      </w:r>
      <w:r>
        <w:t>исхода</w:t>
      </w:r>
      <w:r w:rsidR="00536B60" w:rsidRPr="00295637">
        <w:t xml:space="preserve"> </w:t>
      </w:r>
      <w:r>
        <w:t>за</w:t>
      </w:r>
      <w:r w:rsidR="00536B60" w:rsidRPr="00295637">
        <w:t xml:space="preserve"> </w:t>
      </w:r>
      <w:r>
        <w:t>мајке</w:t>
      </w:r>
      <w:r w:rsidR="00536B60" w:rsidRPr="00295637">
        <w:t xml:space="preserve"> </w:t>
      </w:r>
      <w:r>
        <w:t>и</w:t>
      </w:r>
      <w:r w:rsidR="00536B60" w:rsidRPr="00295637">
        <w:t xml:space="preserve"> </w:t>
      </w:r>
      <w:r>
        <w:t>новорођенчад</w:t>
      </w:r>
      <w:r w:rsidR="00536B60" w:rsidRPr="00295637">
        <w:t xml:space="preserve"> </w:t>
      </w:r>
      <w:r>
        <w:t>у</w:t>
      </w:r>
      <w:r w:rsidR="00536B60" w:rsidRPr="00295637">
        <w:t xml:space="preserve"> </w:t>
      </w:r>
      <w:r>
        <w:t>нашој</w:t>
      </w:r>
      <w:r w:rsidR="00103379" w:rsidRPr="00295637">
        <w:t xml:space="preserve"> </w:t>
      </w:r>
      <w:r>
        <w:t>земљи</w:t>
      </w:r>
      <w:r w:rsidR="00536B60" w:rsidRPr="00295637">
        <w:t xml:space="preserve">. </w:t>
      </w:r>
    </w:p>
    <w:p w:rsidR="0093680A" w:rsidRPr="00295637" w:rsidRDefault="0093680A" w:rsidP="0086268D">
      <w:pPr>
        <w:pStyle w:val="Tekstistrazivanja"/>
      </w:pPr>
    </w:p>
    <w:p w:rsidR="00CC7634" w:rsidRPr="00CB0CD4"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У</w:t>
      </w:r>
      <w:r w:rsidR="00CC7634" w:rsidRPr="00CB0CD4">
        <w:rPr>
          <w:rFonts w:ascii="Times New Roman" w:hAnsi="Times New Roman"/>
          <w:szCs w:val="24"/>
          <w:lang w:val="bs-Latn-BA"/>
        </w:rPr>
        <w:t xml:space="preserve"> </w:t>
      </w:r>
      <w:r>
        <w:rPr>
          <w:rFonts w:ascii="Times New Roman" w:hAnsi="Times New Roman"/>
          <w:szCs w:val="24"/>
          <w:lang w:val="bs-Latn-BA"/>
        </w:rPr>
        <w:t>Федерацији</w:t>
      </w:r>
      <w:r w:rsidR="0066015A" w:rsidRPr="00E51B2D">
        <w:rPr>
          <w:rFonts w:ascii="Times New Roman" w:hAnsi="Times New Roman"/>
          <w:szCs w:val="24"/>
          <w:lang w:val="bs-Latn-BA"/>
        </w:rPr>
        <w:t xml:space="preserve"> </w:t>
      </w:r>
      <w:r>
        <w:rPr>
          <w:rFonts w:ascii="Times New Roman" w:hAnsi="Times New Roman"/>
          <w:szCs w:val="24"/>
          <w:lang w:val="bs-Latn-BA"/>
        </w:rPr>
        <w:t>Босне</w:t>
      </w:r>
      <w:r w:rsidR="0066015A" w:rsidRPr="00E51B2D">
        <w:rPr>
          <w:rFonts w:ascii="Times New Roman" w:hAnsi="Times New Roman"/>
          <w:szCs w:val="24"/>
          <w:lang w:val="bs-Latn-BA"/>
        </w:rPr>
        <w:t xml:space="preserve"> </w:t>
      </w:r>
      <w:r>
        <w:rPr>
          <w:rFonts w:ascii="Times New Roman" w:hAnsi="Times New Roman"/>
          <w:szCs w:val="24"/>
          <w:lang w:val="bs-Latn-BA"/>
        </w:rPr>
        <w:t>и</w:t>
      </w:r>
      <w:r w:rsidR="0066015A" w:rsidRPr="00E51B2D">
        <w:rPr>
          <w:rFonts w:ascii="Times New Roman" w:hAnsi="Times New Roman"/>
          <w:szCs w:val="24"/>
          <w:lang w:val="bs-Latn-BA"/>
        </w:rPr>
        <w:t xml:space="preserve"> </w:t>
      </w:r>
      <w:r>
        <w:rPr>
          <w:rFonts w:ascii="Times New Roman" w:hAnsi="Times New Roman"/>
          <w:szCs w:val="24"/>
          <w:lang w:val="bs-Latn-BA"/>
        </w:rPr>
        <w:t>Херцеговине</w:t>
      </w:r>
      <w:r w:rsidR="0066015A" w:rsidRPr="00E51B2D">
        <w:rPr>
          <w:rFonts w:ascii="Times New Roman" w:hAnsi="Times New Roman"/>
          <w:szCs w:val="24"/>
          <w:lang w:val="bs-Latn-BA"/>
        </w:rPr>
        <w:t xml:space="preserve"> </w:t>
      </w:r>
      <w:r>
        <w:rPr>
          <w:rFonts w:ascii="Times New Roman" w:hAnsi="Times New Roman"/>
          <w:szCs w:val="24"/>
          <w:lang w:val="bs-Latn-BA"/>
        </w:rPr>
        <w:t>у</w:t>
      </w:r>
      <w:r w:rsidR="0066015A" w:rsidRPr="00E51B2D">
        <w:rPr>
          <w:rFonts w:ascii="Times New Roman" w:hAnsi="Times New Roman"/>
          <w:szCs w:val="24"/>
          <w:lang w:val="bs-Latn-BA"/>
        </w:rPr>
        <w:t xml:space="preserve"> </w:t>
      </w:r>
      <w:r>
        <w:rPr>
          <w:rFonts w:ascii="Times New Roman" w:hAnsi="Times New Roman"/>
          <w:szCs w:val="24"/>
          <w:lang w:val="bs-Latn-BA"/>
        </w:rPr>
        <w:t>употреби</w:t>
      </w:r>
      <w:r w:rsidR="0066015A" w:rsidRPr="00E51B2D">
        <w:rPr>
          <w:rFonts w:ascii="Times New Roman" w:hAnsi="Times New Roman"/>
          <w:szCs w:val="24"/>
          <w:lang w:val="bs-Latn-BA"/>
        </w:rPr>
        <w:t xml:space="preserve"> </w:t>
      </w:r>
      <w:r>
        <w:rPr>
          <w:rFonts w:ascii="Times New Roman" w:hAnsi="Times New Roman"/>
          <w:szCs w:val="24"/>
          <w:lang w:val="bs-Latn-BA"/>
        </w:rPr>
        <w:t>је</w:t>
      </w:r>
      <w:r w:rsidR="00381123" w:rsidRPr="00E51B2D">
        <w:rPr>
          <w:rFonts w:ascii="Times New Roman" w:hAnsi="Times New Roman"/>
          <w:szCs w:val="24"/>
          <w:lang w:val="bs-Latn-BA"/>
        </w:rPr>
        <w:t xml:space="preserve"> </w:t>
      </w:r>
      <w:r w:rsidR="005F06A0">
        <w:rPr>
          <w:rFonts w:ascii="Times New Roman" w:hAnsi="Times New Roman"/>
          <w:szCs w:val="24"/>
          <w:lang w:val="bs-Latn-BA"/>
        </w:rPr>
        <w:t>„</w:t>
      </w:r>
      <w:r>
        <w:rPr>
          <w:rFonts w:ascii="Times New Roman" w:hAnsi="Times New Roman"/>
          <w:szCs w:val="24"/>
          <w:lang w:val="bs-Latn-BA"/>
        </w:rPr>
        <w:t>Ресурсни</w:t>
      </w:r>
      <w:r w:rsidR="00E51B2D" w:rsidRPr="00E51B2D">
        <w:rPr>
          <w:rFonts w:ascii="Times New Roman" w:hAnsi="Times New Roman"/>
          <w:szCs w:val="24"/>
          <w:lang w:val="bs-Latn-BA"/>
        </w:rPr>
        <w:t xml:space="preserve"> </w:t>
      </w:r>
      <w:r>
        <w:rPr>
          <w:rFonts w:ascii="Times New Roman" w:hAnsi="Times New Roman"/>
          <w:szCs w:val="24"/>
          <w:lang w:val="bs-Latn-BA"/>
        </w:rPr>
        <w:t>пакет</w:t>
      </w:r>
      <w:r w:rsidR="0066015A" w:rsidRPr="00CB0CD4">
        <w:rPr>
          <w:rFonts w:ascii="Times New Roman" w:hAnsi="Times New Roman"/>
          <w:szCs w:val="24"/>
          <w:lang w:val="bs-Latn-BA"/>
        </w:rPr>
        <w:t xml:space="preserve"> </w:t>
      </w:r>
      <w:r>
        <w:rPr>
          <w:rFonts w:ascii="Times New Roman" w:hAnsi="Times New Roman"/>
          <w:szCs w:val="24"/>
          <w:lang w:val="bs-Latn-BA"/>
        </w:rPr>
        <w:t>за</w:t>
      </w:r>
      <w:r w:rsidR="0066015A" w:rsidRPr="00CB0CD4">
        <w:rPr>
          <w:rFonts w:ascii="Times New Roman" w:hAnsi="Times New Roman"/>
          <w:szCs w:val="24"/>
          <w:lang w:val="bs-Latn-BA"/>
        </w:rPr>
        <w:t xml:space="preserve"> </w:t>
      </w:r>
      <w:r>
        <w:rPr>
          <w:rFonts w:ascii="Times New Roman" w:hAnsi="Times New Roman"/>
          <w:szCs w:val="24"/>
          <w:lang w:val="bs-Latn-BA"/>
        </w:rPr>
        <w:t>одговор</w:t>
      </w:r>
      <w:r w:rsidR="0066015A" w:rsidRPr="00CB0CD4">
        <w:rPr>
          <w:rFonts w:ascii="Times New Roman" w:hAnsi="Times New Roman"/>
          <w:szCs w:val="24"/>
          <w:lang w:val="bs-Latn-BA"/>
        </w:rPr>
        <w:t xml:space="preserve"> </w:t>
      </w:r>
      <w:r>
        <w:rPr>
          <w:rFonts w:ascii="Times New Roman" w:hAnsi="Times New Roman"/>
          <w:szCs w:val="24"/>
          <w:lang w:val="bs-Latn-BA"/>
        </w:rPr>
        <w:t>пружалаца</w:t>
      </w:r>
      <w:r w:rsidR="0066015A" w:rsidRPr="00CB0CD4">
        <w:rPr>
          <w:rFonts w:ascii="Times New Roman" w:hAnsi="Times New Roman"/>
          <w:szCs w:val="24"/>
          <w:lang w:val="bs-Latn-BA"/>
        </w:rPr>
        <w:t xml:space="preserve"> </w:t>
      </w:r>
      <w:r>
        <w:rPr>
          <w:rFonts w:ascii="Times New Roman" w:hAnsi="Times New Roman"/>
          <w:szCs w:val="24"/>
          <w:lang w:val="bs-Latn-BA"/>
        </w:rPr>
        <w:t>здравствених</w:t>
      </w:r>
      <w:r w:rsidR="0066015A" w:rsidRPr="00CB0CD4">
        <w:rPr>
          <w:rFonts w:ascii="Times New Roman" w:hAnsi="Times New Roman"/>
          <w:szCs w:val="24"/>
          <w:lang w:val="bs-Latn-BA"/>
        </w:rPr>
        <w:t xml:space="preserve"> </w:t>
      </w:r>
      <w:r>
        <w:rPr>
          <w:rFonts w:ascii="Times New Roman" w:hAnsi="Times New Roman"/>
          <w:szCs w:val="24"/>
          <w:lang w:val="bs-Latn-BA"/>
        </w:rPr>
        <w:t>услуга</w:t>
      </w:r>
      <w:r w:rsidR="0066015A" w:rsidRPr="00CB0CD4">
        <w:rPr>
          <w:rFonts w:ascii="Times New Roman" w:hAnsi="Times New Roman"/>
          <w:szCs w:val="24"/>
          <w:lang w:val="bs-Latn-BA"/>
        </w:rPr>
        <w:t xml:space="preserve"> </w:t>
      </w:r>
      <w:r>
        <w:rPr>
          <w:rFonts w:ascii="Times New Roman" w:hAnsi="Times New Roman"/>
          <w:szCs w:val="24"/>
          <w:lang w:val="bs-Latn-BA"/>
        </w:rPr>
        <w:t>на</w:t>
      </w:r>
      <w:r w:rsidR="0066015A" w:rsidRPr="00CB0CD4">
        <w:rPr>
          <w:rFonts w:ascii="Times New Roman" w:hAnsi="Times New Roman"/>
          <w:szCs w:val="24"/>
          <w:lang w:val="bs-Latn-BA"/>
        </w:rPr>
        <w:t xml:space="preserve"> </w:t>
      </w:r>
      <w:r>
        <w:rPr>
          <w:rFonts w:ascii="Times New Roman" w:hAnsi="Times New Roman"/>
          <w:szCs w:val="24"/>
          <w:lang w:val="bs-Latn-BA"/>
        </w:rPr>
        <w:t>родно</w:t>
      </w:r>
      <w:r w:rsidR="0066015A" w:rsidRPr="00CB0CD4">
        <w:rPr>
          <w:rFonts w:ascii="Times New Roman" w:hAnsi="Times New Roman"/>
          <w:szCs w:val="24"/>
          <w:lang w:val="bs-Latn-BA"/>
        </w:rPr>
        <w:t xml:space="preserve"> </w:t>
      </w:r>
      <w:r>
        <w:rPr>
          <w:rFonts w:ascii="Times New Roman" w:hAnsi="Times New Roman"/>
          <w:szCs w:val="24"/>
          <w:lang w:val="bs-Latn-BA"/>
        </w:rPr>
        <w:t>засновано</w:t>
      </w:r>
      <w:r w:rsidR="0066015A" w:rsidRPr="00CB0CD4">
        <w:rPr>
          <w:rFonts w:ascii="Times New Roman" w:hAnsi="Times New Roman"/>
          <w:szCs w:val="24"/>
          <w:lang w:val="bs-Latn-BA"/>
        </w:rPr>
        <w:t xml:space="preserve"> </w:t>
      </w:r>
      <w:r>
        <w:rPr>
          <w:rFonts w:ascii="Times New Roman" w:hAnsi="Times New Roman"/>
          <w:szCs w:val="24"/>
          <w:lang w:val="bs-Latn-BA"/>
        </w:rPr>
        <w:t>насиље</w:t>
      </w:r>
      <w:r w:rsidR="00CB0CD4">
        <w:rPr>
          <w:rFonts w:ascii="Times New Roman" w:hAnsi="Times New Roman"/>
          <w:szCs w:val="24"/>
          <w:lang w:val="bs-Latn-BA"/>
        </w:rPr>
        <w:t>“</w:t>
      </w:r>
      <w:r w:rsidR="0066015A" w:rsidRPr="00CB0CD4">
        <w:rPr>
          <w:rFonts w:ascii="Times New Roman" w:hAnsi="Times New Roman"/>
          <w:szCs w:val="24"/>
          <w:lang w:val="bs-Latn-BA"/>
        </w:rPr>
        <w:t xml:space="preserve"> </w:t>
      </w:r>
      <w:r>
        <w:rPr>
          <w:rFonts w:ascii="Times New Roman" w:hAnsi="Times New Roman"/>
          <w:szCs w:val="24"/>
          <w:lang w:val="bs-Latn-BA"/>
        </w:rPr>
        <w:t>развијен</w:t>
      </w:r>
      <w:r w:rsidR="0066015A" w:rsidRPr="00CB0CD4">
        <w:rPr>
          <w:rFonts w:ascii="Times New Roman" w:hAnsi="Times New Roman"/>
          <w:szCs w:val="24"/>
          <w:lang w:val="bs-Latn-BA"/>
        </w:rPr>
        <w:t xml:space="preserve"> </w:t>
      </w:r>
      <w:r>
        <w:rPr>
          <w:rFonts w:ascii="Times New Roman" w:hAnsi="Times New Roman"/>
          <w:szCs w:val="24"/>
          <w:lang w:val="bs-Latn-BA"/>
        </w:rPr>
        <w:t>уз</w:t>
      </w:r>
      <w:r w:rsidR="00CC7634" w:rsidRPr="00CB0CD4">
        <w:rPr>
          <w:rFonts w:ascii="Times New Roman" w:hAnsi="Times New Roman"/>
          <w:szCs w:val="24"/>
          <w:lang w:val="bs-Latn-BA"/>
        </w:rPr>
        <w:t xml:space="preserve"> </w:t>
      </w:r>
      <w:r>
        <w:rPr>
          <w:rFonts w:ascii="Times New Roman" w:hAnsi="Times New Roman"/>
          <w:szCs w:val="24"/>
          <w:lang w:val="bs-Latn-BA"/>
        </w:rPr>
        <w:t>подршку</w:t>
      </w:r>
      <w:r w:rsidR="00CC7634" w:rsidRPr="00CB0CD4">
        <w:rPr>
          <w:rFonts w:ascii="Times New Roman" w:hAnsi="Times New Roman"/>
          <w:szCs w:val="24"/>
          <w:lang w:val="bs-Latn-BA"/>
        </w:rPr>
        <w:t xml:space="preserve"> </w:t>
      </w:r>
      <w:r w:rsidR="00722ACE" w:rsidRPr="00722ACE">
        <w:rPr>
          <w:rFonts w:ascii="Times New Roman" w:hAnsi="Times New Roman"/>
          <w:i/>
          <w:szCs w:val="24"/>
        </w:rPr>
        <w:t>UNFPA</w:t>
      </w:r>
      <w:r w:rsidR="0066015A" w:rsidRPr="00CB0CD4">
        <w:rPr>
          <w:rFonts w:ascii="Times New Roman" w:hAnsi="Times New Roman"/>
          <w:szCs w:val="24"/>
          <w:lang w:val="bs-Latn-BA"/>
        </w:rPr>
        <w:t xml:space="preserve"> </w:t>
      </w:r>
      <w:r>
        <w:rPr>
          <w:rFonts w:ascii="Times New Roman" w:hAnsi="Times New Roman"/>
          <w:szCs w:val="24"/>
          <w:lang w:val="bs-Latn-BA"/>
        </w:rPr>
        <w:t>у</w:t>
      </w:r>
      <w:r w:rsidR="0066015A" w:rsidRPr="00E51B2D">
        <w:rPr>
          <w:rFonts w:ascii="Times New Roman" w:hAnsi="Times New Roman"/>
          <w:szCs w:val="24"/>
          <w:lang w:val="bs-Latn-BA"/>
        </w:rPr>
        <w:t xml:space="preserve"> </w:t>
      </w:r>
      <w:r>
        <w:rPr>
          <w:rFonts w:ascii="Times New Roman" w:hAnsi="Times New Roman"/>
          <w:szCs w:val="24"/>
          <w:lang w:val="bs-Latn-BA"/>
        </w:rPr>
        <w:t>претходном</w:t>
      </w:r>
      <w:r w:rsidR="0066015A" w:rsidRPr="00E51B2D">
        <w:rPr>
          <w:rFonts w:ascii="Times New Roman" w:hAnsi="Times New Roman"/>
          <w:szCs w:val="24"/>
          <w:lang w:val="bs-Latn-BA"/>
        </w:rPr>
        <w:t xml:space="preserve"> </w:t>
      </w:r>
      <w:r>
        <w:rPr>
          <w:rFonts w:ascii="Times New Roman" w:hAnsi="Times New Roman"/>
          <w:szCs w:val="24"/>
          <w:lang w:val="bs-Latn-BA"/>
        </w:rPr>
        <w:t>извјештајном</w:t>
      </w:r>
      <w:r w:rsidR="0066015A" w:rsidRPr="00E51B2D">
        <w:rPr>
          <w:rFonts w:ascii="Times New Roman" w:hAnsi="Times New Roman"/>
          <w:szCs w:val="24"/>
          <w:lang w:val="bs-Latn-BA"/>
        </w:rPr>
        <w:t xml:space="preserve"> </w:t>
      </w:r>
      <w:r>
        <w:rPr>
          <w:rFonts w:ascii="Times New Roman" w:hAnsi="Times New Roman"/>
          <w:szCs w:val="24"/>
          <w:lang w:val="bs-Latn-BA"/>
        </w:rPr>
        <w:t>периоду</w:t>
      </w:r>
      <w:r w:rsidR="0066015A" w:rsidRPr="00E51B2D">
        <w:rPr>
          <w:rFonts w:ascii="Times New Roman" w:hAnsi="Times New Roman"/>
          <w:szCs w:val="24"/>
          <w:lang w:val="bs-Latn-BA"/>
        </w:rPr>
        <w:t xml:space="preserve">, </w:t>
      </w:r>
      <w:r>
        <w:rPr>
          <w:rFonts w:ascii="Times New Roman" w:hAnsi="Times New Roman"/>
          <w:szCs w:val="24"/>
          <w:lang w:val="bs-Latn-BA"/>
        </w:rPr>
        <w:t>као</w:t>
      </w:r>
      <w:r w:rsidR="0066015A" w:rsidRPr="00E51B2D">
        <w:rPr>
          <w:rFonts w:ascii="Times New Roman" w:hAnsi="Times New Roman"/>
          <w:szCs w:val="24"/>
          <w:lang w:val="bs-Latn-BA"/>
        </w:rPr>
        <w:t xml:space="preserve"> </w:t>
      </w:r>
      <w:r>
        <w:rPr>
          <w:rFonts w:ascii="Times New Roman" w:hAnsi="Times New Roman"/>
          <w:szCs w:val="24"/>
          <w:lang w:val="bs-Latn-BA"/>
        </w:rPr>
        <w:t>и</w:t>
      </w:r>
      <w:r w:rsidR="0066015A" w:rsidRPr="00E51B2D">
        <w:rPr>
          <w:rFonts w:ascii="Times New Roman" w:hAnsi="Times New Roman"/>
          <w:szCs w:val="24"/>
          <w:lang w:val="bs-Latn-BA"/>
        </w:rPr>
        <w:t xml:space="preserve"> </w:t>
      </w:r>
      <w:r>
        <w:rPr>
          <w:rFonts w:ascii="Times New Roman" w:hAnsi="Times New Roman"/>
          <w:szCs w:val="24"/>
          <w:lang w:val="bs-Latn-BA"/>
        </w:rPr>
        <w:t>ресурсни</w:t>
      </w:r>
      <w:r w:rsidR="0066015A" w:rsidRPr="00CB0CD4">
        <w:rPr>
          <w:rFonts w:ascii="Times New Roman" w:hAnsi="Times New Roman"/>
          <w:szCs w:val="24"/>
          <w:lang w:val="bs-Latn-BA"/>
        </w:rPr>
        <w:t xml:space="preserve"> </w:t>
      </w:r>
      <w:r>
        <w:rPr>
          <w:rFonts w:ascii="Times New Roman" w:hAnsi="Times New Roman"/>
          <w:szCs w:val="24"/>
          <w:lang w:val="bs-Latn-BA"/>
        </w:rPr>
        <w:t>пакет</w:t>
      </w:r>
      <w:r w:rsidR="00CC7634" w:rsidRPr="00CB0CD4">
        <w:rPr>
          <w:rFonts w:ascii="Times New Roman" w:hAnsi="Times New Roman"/>
          <w:szCs w:val="24"/>
        </w:rPr>
        <w:t>: ”</w:t>
      </w:r>
      <w:r>
        <w:rPr>
          <w:rFonts w:ascii="Times New Roman" w:hAnsi="Times New Roman"/>
          <w:szCs w:val="24"/>
        </w:rPr>
        <w:t>Јачање</w:t>
      </w:r>
      <w:r w:rsidR="00CC7634" w:rsidRPr="00CB0CD4">
        <w:rPr>
          <w:rFonts w:ascii="Times New Roman" w:hAnsi="Times New Roman"/>
          <w:szCs w:val="24"/>
        </w:rPr>
        <w:t xml:space="preserve"> </w:t>
      </w:r>
      <w:r>
        <w:rPr>
          <w:rFonts w:ascii="Times New Roman" w:hAnsi="Times New Roman"/>
          <w:szCs w:val="24"/>
        </w:rPr>
        <w:t>одговора</w:t>
      </w:r>
      <w:r w:rsidR="00CC7634" w:rsidRPr="00CB0CD4">
        <w:rPr>
          <w:rFonts w:ascii="Times New Roman" w:hAnsi="Times New Roman"/>
          <w:szCs w:val="24"/>
        </w:rPr>
        <w:t xml:space="preserve"> </w:t>
      </w:r>
      <w:r>
        <w:rPr>
          <w:rFonts w:ascii="Times New Roman" w:hAnsi="Times New Roman"/>
          <w:szCs w:val="24"/>
        </w:rPr>
        <w:t>пружалаца</w:t>
      </w:r>
      <w:r w:rsidR="00CC7634" w:rsidRPr="00CB0CD4">
        <w:rPr>
          <w:rFonts w:ascii="Times New Roman" w:hAnsi="Times New Roman"/>
          <w:szCs w:val="24"/>
        </w:rPr>
        <w:t xml:space="preserve"> </w:t>
      </w:r>
      <w:r>
        <w:rPr>
          <w:rFonts w:ascii="Times New Roman" w:hAnsi="Times New Roman"/>
          <w:szCs w:val="24"/>
        </w:rPr>
        <w:t>здравствених</w:t>
      </w:r>
      <w:r w:rsidR="00CC7634" w:rsidRPr="00CB0CD4">
        <w:rPr>
          <w:rFonts w:ascii="Times New Roman" w:hAnsi="Times New Roman"/>
          <w:szCs w:val="24"/>
        </w:rPr>
        <w:t xml:space="preserve"> </w:t>
      </w:r>
      <w:r>
        <w:rPr>
          <w:rFonts w:ascii="Times New Roman" w:hAnsi="Times New Roman"/>
          <w:szCs w:val="24"/>
        </w:rPr>
        <w:t>и</w:t>
      </w:r>
      <w:r w:rsidR="00CC7634" w:rsidRPr="00CB0CD4">
        <w:rPr>
          <w:rFonts w:ascii="Times New Roman" w:hAnsi="Times New Roman"/>
          <w:szCs w:val="24"/>
        </w:rPr>
        <w:t xml:space="preserve"> </w:t>
      </w:r>
      <w:r>
        <w:rPr>
          <w:rFonts w:ascii="Times New Roman" w:hAnsi="Times New Roman"/>
          <w:szCs w:val="24"/>
        </w:rPr>
        <w:t>психосоцијалних</w:t>
      </w:r>
      <w:r w:rsidR="00CC7634" w:rsidRPr="00CB0CD4">
        <w:rPr>
          <w:rFonts w:ascii="Times New Roman" w:hAnsi="Times New Roman"/>
          <w:szCs w:val="24"/>
        </w:rPr>
        <w:t xml:space="preserve"> </w:t>
      </w:r>
      <w:r>
        <w:rPr>
          <w:rFonts w:ascii="Times New Roman" w:hAnsi="Times New Roman"/>
          <w:szCs w:val="24"/>
        </w:rPr>
        <w:t>услуга</w:t>
      </w:r>
      <w:r w:rsidR="00CC7634" w:rsidRPr="00CB0CD4">
        <w:rPr>
          <w:rFonts w:ascii="Times New Roman" w:hAnsi="Times New Roman"/>
          <w:szCs w:val="24"/>
        </w:rPr>
        <w:t xml:space="preserve"> </w:t>
      </w:r>
      <w:r>
        <w:rPr>
          <w:rFonts w:ascii="Times New Roman" w:hAnsi="Times New Roman"/>
          <w:szCs w:val="24"/>
        </w:rPr>
        <w:t>на</w:t>
      </w:r>
      <w:r w:rsidR="00CC7634" w:rsidRPr="00CB0CD4">
        <w:rPr>
          <w:rFonts w:ascii="Times New Roman" w:hAnsi="Times New Roman"/>
          <w:szCs w:val="24"/>
        </w:rPr>
        <w:t xml:space="preserve"> </w:t>
      </w:r>
      <w:r>
        <w:rPr>
          <w:rFonts w:ascii="Times New Roman" w:hAnsi="Times New Roman"/>
          <w:szCs w:val="24"/>
        </w:rPr>
        <w:t>родно</w:t>
      </w:r>
      <w:r w:rsidR="00CC7634" w:rsidRPr="00CB0CD4">
        <w:rPr>
          <w:rFonts w:ascii="Times New Roman" w:hAnsi="Times New Roman"/>
          <w:szCs w:val="24"/>
        </w:rPr>
        <w:t xml:space="preserve"> </w:t>
      </w:r>
      <w:r>
        <w:rPr>
          <w:rFonts w:ascii="Times New Roman" w:hAnsi="Times New Roman"/>
          <w:szCs w:val="24"/>
        </w:rPr>
        <w:t>засновано</w:t>
      </w:r>
      <w:r w:rsidR="00CC7634" w:rsidRPr="00CB0CD4">
        <w:rPr>
          <w:rFonts w:ascii="Times New Roman" w:hAnsi="Times New Roman"/>
          <w:szCs w:val="24"/>
        </w:rPr>
        <w:t xml:space="preserve"> </w:t>
      </w:r>
      <w:r>
        <w:rPr>
          <w:rFonts w:ascii="Times New Roman" w:hAnsi="Times New Roman"/>
          <w:szCs w:val="24"/>
        </w:rPr>
        <w:t>насиље</w:t>
      </w:r>
      <w:r w:rsidR="00CC7634" w:rsidRPr="00CB0CD4">
        <w:rPr>
          <w:rFonts w:ascii="Times New Roman" w:hAnsi="Times New Roman"/>
          <w:szCs w:val="24"/>
        </w:rPr>
        <w:t xml:space="preserve"> </w:t>
      </w:r>
      <w:r>
        <w:rPr>
          <w:rFonts w:ascii="Times New Roman" w:hAnsi="Times New Roman"/>
          <w:szCs w:val="24"/>
        </w:rPr>
        <w:t>у</w:t>
      </w:r>
      <w:r w:rsidR="00CC7634" w:rsidRPr="00CB0CD4">
        <w:rPr>
          <w:rFonts w:ascii="Times New Roman" w:hAnsi="Times New Roman"/>
          <w:szCs w:val="24"/>
        </w:rPr>
        <w:t xml:space="preserve"> </w:t>
      </w:r>
      <w:r>
        <w:rPr>
          <w:rFonts w:ascii="Times New Roman" w:hAnsi="Times New Roman"/>
          <w:szCs w:val="24"/>
        </w:rPr>
        <w:t>мирнодопским</w:t>
      </w:r>
      <w:r w:rsidR="00CC7634" w:rsidRPr="00CB0CD4">
        <w:rPr>
          <w:rFonts w:ascii="Times New Roman" w:hAnsi="Times New Roman"/>
          <w:szCs w:val="24"/>
        </w:rPr>
        <w:t xml:space="preserve"> </w:t>
      </w:r>
      <w:r>
        <w:rPr>
          <w:rFonts w:ascii="Times New Roman" w:hAnsi="Times New Roman"/>
          <w:szCs w:val="24"/>
        </w:rPr>
        <w:t>и</w:t>
      </w:r>
      <w:r w:rsidR="00CC7634" w:rsidRPr="00CB0CD4">
        <w:rPr>
          <w:rFonts w:ascii="Times New Roman" w:hAnsi="Times New Roman"/>
          <w:szCs w:val="24"/>
        </w:rPr>
        <w:t xml:space="preserve"> </w:t>
      </w:r>
      <w:r>
        <w:rPr>
          <w:rFonts w:ascii="Times New Roman" w:hAnsi="Times New Roman"/>
          <w:szCs w:val="24"/>
        </w:rPr>
        <w:t>ванредним</w:t>
      </w:r>
      <w:r w:rsidR="00CC7634" w:rsidRPr="00CB0CD4">
        <w:rPr>
          <w:rFonts w:ascii="Times New Roman" w:hAnsi="Times New Roman"/>
          <w:szCs w:val="24"/>
        </w:rPr>
        <w:t xml:space="preserve"> </w:t>
      </w:r>
      <w:r>
        <w:rPr>
          <w:rFonts w:ascii="Times New Roman" w:hAnsi="Times New Roman"/>
          <w:szCs w:val="24"/>
        </w:rPr>
        <w:t>околностима</w:t>
      </w:r>
      <w:r w:rsidR="00CC7634" w:rsidRPr="00CB0CD4">
        <w:rPr>
          <w:rFonts w:ascii="Times New Roman" w:hAnsi="Times New Roman"/>
          <w:szCs w:val="24"/>
        </w:rPr>
        <w:t xml:space="preserve">, </w:t>
      </w:r>
      <w:r>
        <w:rPr>
          <w:rFonts w:ascii="Times New Roman" w:hAnsi="Times New Roman"/>
          <w:szCs w:val="24"/>
        </w:rPr>
        <w:t>укључујући</w:t>
      </w:r>
      <w:r w:rsidR="00CC7634" w:rsidRPr="00CB0CD4">
        <w:rPr>
          <w:rFonts w:ascii="Times New Roman" w:hAnsi="Times New Roman"/>
          <w:szCs w:val="24"/>
        </w:rPr>
        <w:t xml:space="preserve"> </w:t>
      </w:r>
      <w:r>
        <w:rPr>
          <w:rFonts w:ascii="Times New Roman" w:hAnsi="Times New Roman"/>
          <w:szCs w:val="24"/>
        </w:rPr>
        <w:t>и</w:t>
      </w:r>
      <w:r w:rsidR="00CC7634" w:rsidRPr="00CB0CD4">
        <w:rPr>
          <w:rFonts w:ascii="Times New Roman" w:hAnsi="Times New Roman"/>
          <w:szCs w:val="24"/>
        </w:rPr>
        <w:t xml:space="preserve"> </w:t>
      </w:r>
      <w:r>
        <w:rPr>
          <w:rFonts w:ascii="Times New Roman" w:hAnsi="Times New Roman"/>
          <w:szCs w:val="24"/>
        </w:rPr>
        <w:t>сексуално</w:t>
      </w:r>
      <w:r w:rsidR="00CC7634" w:rsidRPr="00CB0CD4">
        <w:rPr>
          <w:rFonts w:ascii="Times New Roman" w:hAnsi="Times New Roman"/>
          <w:szCs w:val="24"/>
        </w:rPr>
        <w:t xml:space="preserve"> </w:t>
      </w:r>
      <w:r>
        <w:rPr>
          <w:rFonts w:ascii="Times New Roman" w:hAnsi="Times New Roman"/>
          <w:szCs w:val="24"/>
        </w:rPr>
        <w:t>насиље</w:t>
      </w:r>
      <w:r w:rsidR="00CC7634" w:rsidRPr="00CB0CD4">
        <w:rPr>
          <w:rFonts w:ascii="Times New Roman" w:hAnsi="Times New Roman"/>
          <w:szCs w:val="24"/>
        </w:rPr>
        <w:t xml:space="preserve"> </w:t>
      </w:r>
      <w:r>
        <w:rPr>
          <w:rFonts w:ascii="Times New Roman" w:hAnsi="Times New Roman"/>
          <w:szCs w:val="24"/>
        </w:rPr>
        <w:t>у</w:t>
      </w:r>
      <w:r w:rsidR="00CC7634" w:rsidRPr="00CB0CD4">
        <w:rPr>
          <w:rFonts w:ascii="Times New Roman" w:hAnsi="Times New Roman"/>
          <w:szCs w:val="24"/>
        </w:rPr>
        <w:t xml:space="preserve"> </w:t>
      </w:r>
      <w:r>
        <w:rPr>
          <w:rFonts w:ascii="Times New Roman" w:hAnsi="Times New Roman"/>
          <w:szCs w:val="24"/>
        </w:rPr>
        <w:t>конфликту</w:t>
      </w:r>
      <w:r w:rsidR="00CC7634" w:rsidRPr="00CB0CD4">
        <w:rPr>
          <w:rFonts w:ascii="Times New Roman" w:hAnsi="Times New Roman"/>
          <w:szCs w:val="24"/>
        </w:rPr>
        <w:t xml:space="preserve">“. </w:t>
      </w:r>
    </w:p>
    <w:p w:rsidR="00CC7634" w:rsidRDefault="00CC7634" w:rsidP="0086268D">
      <w:pPr>
        <w:pStyle w:val="ListParagraph"/>
        <w:ind w:left="0"/>
        <w:jc w:val="both"/>
        <w:rPr>
          <w:rFonts w:ascii="Times New Roman" w:hAnsi="Times New Roman"/>
          <w:lang w:val="sr-Latn-BA"/>
        </w:rPr>
      </w:pPr>
    </w:p>
    <w:p w:rsidR="0093680A" w:rsidRPr="00295637" w:rsidRDefault="00722ACE" w:rsidP="0086268D">
      <w:pPr>
        <w:pStyle w:val="ListParagraph"/>
        <w:ind w:left="0"/>
        <w:jc w:val="both"/>
        <w:rPr>
          <w:rFonts w:ascii="Times New Roman" w:hAnsi="Times New Roman"/>
          <w:lang w:val="sr-Cyrl-BA"/>
        </w:rPr>
      </w:pPr>
      <w:r>
        <w:rPr>
          <w:rFonts w:ascii="Times New Roman" w:hAnsi="Times New Roman"/>
          <w:lang w:val="sr-Latn-BA"/>
        </w:rPr>
        <w:t>Такође</w:t>
      </w:r>
      <w:r w:rsidR="00E51B2D">
        <w:rPr>
          <w:rFonts w:ascii="Times New Roman" w:hAnsi="Times New Roman"/>
          <w:lang w:val="sr-Latn-BA"/>
        </w:rPr>
        <w:t xml:space="preserve">, </w:t>
      </w:r>
      <w:r w:rsidR="00C6214E">
        <w:rPr>
          <w:rFonts w:ascii="Times New Roman" w:hAnsi="Times New Roman"/>
          <w:lang w:val="sr-Latn-BA"/>
        </w:rPr>
        <w:t>у</w:t>
      </w:r>
      <w:r w:rsidR="00E51B2D" w:rsidRPr="00295637">
        <w:rPr>
          <w:rFonts w:ascii="Times New Roman" w:hAnsi="Times New Roman"/>
          <w:lang w:val="sr-Latn-BA"/>
        </w:rPr>
        <w:t xml:space="preserve"> </w:t>
      </w:r>
      <w:r w:rsidR="00C6214E">
        <w:rPr>
          <w:rFonts w:ascii="Times New Roman" w:hAnsi="Times New Roman"/>
          <w:lang w:val="sr-Latn-BA"/>
        </w:rPr>
        <w:t>Републици</w:t>
      </w:r>
      <w:r w:rsidR="0093680A" w:rsidRPr="00295637">
        <w:rPr>
          <w:rFonts w:ascii="Times New Roman" w:hAnsi="Times New Roman"/>
          <w:lang w:val="sr-Latn-BA"/>
        </w:rPr>
        <w:t xml:space="preserve"> </w:t>
      </w:r>
      <w:r w:rsidR="00C6214E">
        <w:rPr>
          <w:rFonts w:ascii="Times New Roman" w:hAnsi="Times New Roman"/>
          <w:lang w:val="sr-Latn-BA"/>
        </w:rPr>
        <w:t>Српској</w:t>
      </w:r>
      <w:r w:rsidR="0093680A" w:rsidRPr="00295637">
        <w:rPr>
          <w:rFonts w:ascii="Times New Roman" w:hAnsi="Times New Roman"/>
          <w:lang w:val="sr-Latn-BA"/>
        </w:rPr>
        <w:t xml:space="preserve"> </w:t>
      </w:r>
      <w:r w:rsidR="00C6214E">
        <w:rPr>
          <w:rFonts w:ascii="Times New Roman" w:hAnsi="Times New Roman"/>
          <w:lang w:val="sr-Latn-BA"/>
        </w:rPr>
        <w:t>се</w:t>
      </w:r>
      <w:r w:rsidR="0093680A" w:rsidRPr="00295637">
        <w:rPr>
          <w:rFonts w:ascii="Times New Roman" w:hAnsi="Times New Roman"/>
          <w:lang w:val="sr-Latn-BA"/>
        </w:rPr>
        <w:t xml:space="preserve"> </w:t>
      </w:r>
      <w:r w:rsidR="00C6214E">
        <w:rPr>
          <w:rFonts w:ascii="Times New Roman" w:hAnsi="Times New Roman"/>
          <w:lang w:val="sr-Latn-BA"/>
        </w:rPr>
        <w:t>примјењује</w:t>
      </w:r>
      <w:r w:rsidR="0093680A" w:rsidRPr="00295637">
        <w:rPr>
          <w:rFonts w:ascii="Times New Roman" w:hAnsi="Times New Roman"/>
          <w:lang w:val="sr-Latn-BA"/>
        </w:rPr>
        <w:t xml:space="preserve"> </w:t>
      </w:r>
      <w:r w:rsidR="0093680A" w:rsidRPr="00295637">
        <w:rPr>
          <w:rFonts w:ascii="Times New Roman" w:hAnsi="Times New Roman"/>
          <w:lang w:val="sr-Cyrl-BA"/>
        </w:rPr>
        <w:t>„</w:t>
      </w:r>
      <w:r w:rsidR="00C6214E">
        <w:rPr>
          <w:rFonts w:ascii="Times New Roman" w:hAnsi="Times New Roman"/>
          <w:lang w:val="sr-Cyrl-BA"/>
        </w:rPr>
        <w:t>Обједињени</w:t>
      </w:r>
      <w:r w:rsidR="0093680A" w:rsidRPr="00295637">
        <w:rPr>
          <w:rFonts w:ascii="Times New Roman" w:hAnsi="Times New Roman"/>
          <w:lang w:val="sr-Cyrl-BA"/>
        </w:rPr>
        <w:t xml:space="preserve"> </w:t>
      </w:r>
      <w:r w:rsidR="00C6214E">
        <w:rPr>
          <w:rFonts w:ascii="Times New Roman" w:hAnsi="Times New Roman"/>
          <w:lang w:val="sr-Cyrl-BA"/>
        </w:rPr>
        <w:t>ресурсни</w:t>
      </w:r>
      <w:r w:rsidR="0093680A" w:rsidRPr="00295637">
        <w:rPr>
          <w:rFonts w:ascii="Times New Roman" w:hAnsi="Times New Roman"/>
          <w:lang w:val="sr-Cyrl-BA"/>
        </w:rPr>
        <w:t xml:space="preserve"> </w:t>
      </w:r>
      <w:r w:rsidR="00C6214E">
        <w:rPr>
          <w:rFonts w:ascii="Times New Roman" w:hAnsi="Times New Roman"/>
          <w:lang w:val="sr-Cyrl-BA"/>
        </w:rPr>
        <w:t>пакет</w:t>
      </w:r>
      <w:r w:rsidR="0093680A" w:rsidRPr="00295637">
        <w:rPr>
          <w:rFonts w:ascii="Times New Roman" w:hAnsi="Times New Roman"/>
          <w:lang w:val="sr-Cyrl-BA"/>
        </w:rPr>
        <w:t xml:space="preserve"> </w:t>
      </w:r>
      <w:r w:rsidR="00C6214E">
        <w:rPr>
          <w:rFonts w:ascii="Times New Roman" w:hAnsi="Times New Roman"/>
          <w:lang w:val="sr-Cyrl-BA"/>
        </w:rPr>
        <w:t>за</w:t>
      </w:r>
      <w:r w:rsidR="0093680A" w:rsidRPr="00295637">
        <w:rPr>
          <w:rFonts w:ascii="Times New Roman" w:hAnsi="Times New Roman"/>
          <w:lang w:val="sr-Cyrl-BA"/>
        </w:rPr>
        <w:t xml:space="preserve"> </w:t>
      </w:r>
      <w:r w:rsidR="00C6214E">
        <w:rPr>
          <w:rFonts w:ascii="Times New Roman" w:hAnsi="Times New Roman"/>
          <w:lang w:val="sr-Cyrl-BA"/>
        </w:rPr>
        <w:t>одговор</w:t>
      </w:r>
      <w:r w:rsidR="0093680A" w:rsidRPr="00295637">
        <w:rPr>
          <w:rFonts w:ascii="Times New Roman" w:hAnsi="Times New Roman"/>
          <w:lang w:val="sr-Cyrl-BA"/>
        </w:rPr>
        <w:t xml:space="preserve"> </w:t>
      </w:r>
      <w:r w:rsidR="00C6214E">
        <w:rPr>
          <w:rFonts w:ascii="Times New Roman" w:hAnsi="Times New Roman"/>
          <w:lang w:val="sr-Cyrl-BA"/>
        </w:rPr>
        <w:t>пружа</w:t>
      </w:r>
      <w:r w:rsidR="00C6214E">
        <w:rPr>
          <w:rFonts w:ascii="Times New Roman" w:hAnsi="Times New Roman"/>
          <w:lang w:val="hr-HR"/>
        </w:rPr>
        <w:t>лаца</w:t>
      </w:r>
      <w:r w:rsidR="0093680A" w:rsidRPr="00295637">
        <w:rPr>
          <w:rFonts w:ascii="Times New Roman" w:hAnsi="Times New Roman"/>
          <w:lang w:val="sr-Cyrl-BA"/>
        </w:rPr>
        <w:t xml:space="preserve"> </w:t>
      </w:r>
      <w:r w:rsidR="00C6214E">
        <w:rPr>
          <w:rFonts w:ascii="Times New Roman" w:hAnsi="Times New Roman"/>
          <w:lang w:val="sr-Cyrl-BA"/>
        </w:rPr>
        <w:t>здравствених</w:t>
      </w:r>
      <w:r w:rsidR="0093680A" w:rsidRPr="00295637">
        <w:rPr>
          <w:rFonts w:ascii="Times New Roman" w:hAnsi="Times New Roman"/>
          <w:lang w:val="sr-Cyrl-BA"/>
        </w:rPr>
        <w:t xml:space="preserve"> </w:t>
      </w:r>
      <w:r w:rsidR="00C6214E">
        <w:rPr>
          <w:rFonts w:ascii="Times New Roman" w:hAnsi="Times New Roman"/>
          <w:lang w:val="sr-Cyrl-BA"/>
        </w:rPr>
        <w:t>и</w:t>
      </w:r>
      <w:r w:rsidR="0093680A" w:rsidRPr="00295637">
        <w:rPr>
          <w:rFonts w:ascii="Times New Roman" w:hAnsi="Times New Roman"/>
          <w:lang w:val="sr-Cyrl-BA"/>
        </w:rPr>
        <w:t xml:space="preserve"> </w:t>
      </w:r>
      <w:r w:rsidR="00C6214E">
        <w:rPr>
          <w:rFonts w:ascii="Times New Roman" w:hAnsi="Times New Roman"/>
          <w:lang w:val="sr-Cyrl-BA"/>
        </w:rPr>
        <w:t>психосоцијалних</w:t>
      </w:r>
      <w:r w:rsidR="0093680A" w:rsidRPr="00295637">
        <w:rPr>
          <w:rFonts w:ascii="Times New Roman" w:hAnsi="Times New Roman"/>
          <w:lang w:val="sr-Cyrl-BA"/>
        </w:rPr>
        <w:t xml:space="preserve"> </w:t>
      </w:r>
      <w:r w:rsidR="00C6214E">
        <w:rPr>
          <w:rFonts w:ascii="Times New Roman" w:hAnsi="Times New Roman"/>
          <w:lang w:val="sr-Cyrl-BA"/>
        </w:rPr>
        <w:t>услуга</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sr-Cyrl-BA"/>
        </w:rPr>
        <w:t>Републици</w:t>
      </w:r>
      <w:r w:rsidR="0093680A" w:rsidRPr="00295637">
        <w:rPr>
          <w:rFonts w:ascii="Times New Roman" w:hAnsi="Times New Roman"/>
          <w:lang w:val="sr-Cyrl-BA"/>
        </w:rPr>
        <w:t xml:space="preserve"> </w:t>
      </w:r>
      <w:r w:rsidR="00C6214E">
        <w:rPr>
          <w:rFonts w:ascii="Times New Roman" w:hAnsi="Times New Roman"/>
          <w:lang w:val="sr-Cyrl-BA"/>
        </w:rPr>
        <w:t>Српској</w:t>
      </w:r>
      <w:r w:rsidR="0093680A" w:rsidRPr="00295637">
        <w:rPr>
          <w:rFonts w:ascii="Times New Roman" w:hAnsi="Times New Roman"/>
          <w:lang w:val="sr-Cyrl-BA"/>
        </w:rPr>
        <w:t xml:space="preserve"> </w:t>
      </w:r>
      <w:r w:rsidR="00C6214E">
        <w:rPr>
          <w:rFonts w:ascii="Times New Roman" w:hAnsi="Times New Roman"/>
          <w:lang w:val="sr-Cyrl-BA"/>
        </w:rPr>
        <w:t>на</w:t>
      </w:r>
      <w:r w:rsidR="0093680A" w:rsidRPr="00295637">
        <w:rPr>
          <w:rFonts w:ascii="Times New Roman" w:hAnsi="Times New Roman"/>
          <w:lang w:val="sr-Cyrl-BA"/>
        </w:rPr>
        <w:t xml:space="preserve"> </w:t>
      </w:r>
      <w:r w:rsidR="00C6214E">
        <w:rPr>
          <w:rFonts w:ascii="Times New Roman" w:hAnsi="Times New Roman"/>
          <w:lang w:val="sr-Cyrl-BA"/>
        </w:rPr>
        <w:t>родно</w:t>
      </w:r>
      <w:r w:rsidR="0093680A" w:rsidRPr="00295637">
        <w:rPr>
          <w:rFonts w:ascii="Times New Roman" w:hAnsi="Times New Roman"/>
          <w:lang w:val="sr-Cyrl-BA"/>
        </w:rPr>
        <w:t xml:space="preserve"> </w:t>
      </w:r>
      <w:r w:rsidR="00C6214E">
        <w:rPr>
          <w:rFonts w:ascii="Times New Roman" w:hAnsi="Times New Roman"/>
          <w:lang w:val="hr-HR"/>
        </w:rPr>
        <w:t>засновано</w:t>
      </w:r>
      <w:r w:rsidR="0093680A" w:rsidRPr="00295637">
        <w:rPr>
          <w:rFonts w:ascii="Times New Roman" w:hAnsi="Times New Roman"/>
          <w:lang w:val="sr-Cyrl-BA"/>
        </w:rPr>
        <w:t xml:space="preserve"> </w:t>
      </w:r>
      <w:r w:rsidR="00C6214E">
        <w:rPr>
          <w:rFonts w:ascii="Times New Roman" w:hAnsi="Times New Roman"/>
          <w:lang w:val="sr-Cyrl-BA"/>
        </w:rPr>
        <w:t>насиље</w:t>
      </w:r>
      <w:r w:rsidR="0093680A" w:rsidRPr="00295637">
        <w:rPr>
          <w:rFonts w:ascii="Times New Roman" w:hAnsi="Times New Roman"/>
          <w:lang w:val="sr-Cyrl-BA"/>
        </w:rPr>
        <w:t xml:space="preserve">“ </w:t>
      </w:r>
      <w:r w:rsidR="00C6214E">
        <w:rPr>
          <w:rFonts w:ascii="Times New Roman" w:hAnsi="Times New Roman"/>
          <w:lang w:val="sr-Latn-BA"/>
        </w:rPr>
        <w:t>МЗСЗ</w:t>
      </w:r>
      <w:r w:rsidR="0093680A" w:rsidRPr="00295637">
        <w:rPr>
          <w:rFonts w:ascii="Times New Roman" w:hAnsi="Times New Roman"/>
          <w:lang w:val="sr-Latn-BA"/>
        </w:rPr>
        <w:t xml:space="preserve"> </w:t>
      </w:r>
      <w:r w:rsidR="00C6214E">
        <w:rPr>
          <w:rFonts w:ascii="Times New Roman" w:hAnsi="Times New Roman"/>
          <w:lang w:val="sr-Latn-BA"/>
        </w:rPr>
        <w:t>РС</w:t>
      </w:r>
      <w:r w:rsidR="0093680A" w:rsidRPr="00295637">
        <w:rPr>
          <w:rFonts w:ascii="Times New Roman" w:hAnsi="Times New Roman"/>
          <w:lang w:val="sr-Latn-BA"/>
        </w:rPr>
        <w:t>,</w:t>
      </w:r>
      <w:r w:rsidR="0093680A" w:rsidRPr="00295637">
        <w:rPr>
          <w:rFonts w:ascii="Times New Roman" w:hAnsi="Times New Roman"/>
          <w:lang w:val="sr-Cyrl-BA"/>
        </w:rPr>
        <w:t xml:space="preserve"> </w:t>
      </w:r>
      <w:r w:rsidR="00C6214E">
        <w:rPr>
          <w:rFonts w:ascii="Times New Roman" w:hAnsi="Times New Roman"/>
          <w:lang w:val="sr-Cyrl-BA"/>
        </w:rPr>
        <w:t>који</w:t>
      </w:r>
      <w:r w:rsidR="0093680A" w:rsidRPr="00295637">
        <w:rPr>
          <w:rFonts w:ascii="Times New Roman" w:hAnsi="Times New Roman"/>
          <w:lang w:val="sr-Cyrl-BA"/>
        </w:rPr>
        <w:t xml:space="preserve"> </w:t>
      </w:r>
      <w:r w:rsidR="00C6214E">
        <w:rPr>
          <w:rFonts w:ascii="Times New Roman" w:hAnsi="Times New Roman"/>
          <w:lang w:val="sr-Cyrl-BA"/>
        </w:rPr>
        <w:t>чини</w:t>
      </w:r>
      <w:r w:rsidR="0093680A" w:rsidRPr="00295637">
        <w:rPr>
          <w:rFonts w:ascii="Times New Roman" w:hAnsi="Times New Roman"/>
          <w:lang w:val="sr-Cyrl-BA"/>
        </w:rPr>
        <w:t xml:space="preserve"> </w:t>
      </w:r>
      <w:r w:rsidR="00C6214E">
        <w:rPr>
          <w:rFonts w:ascii="Times New Roman" w:hAnsi="Times New Roman"/>
          <w:lang w:val="sr-Cyrl-BA"/>
        </w:rPr>
        <w:t>осам</w:t>
      </w:r>
      <w:r w:rsidR="0093680A" w:rsidRPr="00295637">
        <w:rPr>
          <w:rFonts w:ascii="Times New Roman" w:hAnsi="Times New Roman"/>
          <w:lang w:val="sr-Cyrl-BA"/>
        </w:rPr>
        <w:t xml:space="preserve"> </w:t>
      </w:r>
      <w:r w:rsidR="00C6214E">
        <w:rPr>
          <w:rFonts w:ascii="Times New Roman" w:hAnsi="Times New Roman"/>
          <w:lang w:val="sr-Cyrl-BA"/>
        </w:rPr>
        <w:t>публикација</w:t>
      </w:r>
      <w:r w:rsidR="0093680A" w:rsidRPr="00295637">
        <w:rPr>
          <w:rFonts w:ascii="Times New Roman" w:hAnsi="Times New Roman"/>
          <w:lang w:val="sr-Cyrl-BA"/>
        </w:rPr>
        <w:t xml:space="preserve"> </w:t>
      </w:r>
      <w:r w:rsidR="00C6214E">
        <w:rPr>
          <w:rFonts w:ascii="Times New Roman" w:hAnsi="Times New Roman"/>
          <w:lang w:val="sr-Cyrl-BA"/>
        </w:rPr>
        <w:t>намијењених</w:t>
      </w:r>
      <w:r w:rsidR="0093680A" w:rsidRPr="00295637">
        <w:rPr>
          <w:rFonts w:ascii="Times New Roman" w:hAnsi="Times New Roman"/>
          <w:lang w:val="sr-Cyrl-BA"/>
        </w:rPr>
        <w:t xml:space="preserve"> </w:t>
      </w:r>
      <w:r w:rsidR="00C6214E">
        <w:rPr>
          <w:rFonts w:ascii="Times New Roman" w:hAnsi="Times New Roman"/>
          <w:lang w:val="sr-Cyrl-BA"/>
        </w:rPr>
        <w:t>пружа</w:t>
      </w:r>
      <w:r w:rsidR="00C6214E">
        <w:rPr>
          <w:rFonts w:ascii="Times New Roman" w:hAnsi="Times New Roman"/>
          <w:lang w:val="hr-HR"/>
        </w:rPr>
        <w:t>оцима</w:t>
      </w:r>
      <w:r w:rsidR="0093680A" w:rsidRPr="00295637">
        <w:rPr>
          <w:rFonts w:ascii="Times New Roman" w:hAnsi="Times New Roman"/>
          <w:lang w:val="sr-Cyrl-BA"/>
        </w:rPr>
        <w:t xml:space="preserve"> </w:t>
      </w:r>
      <w:r w:rsidR="00C6214E">
        <w:rPr>
          <w:rFonts w:ascii="Times New Roman" w:hAnsi="Times New Roman"/>
          <w:lang w:val="sr-Cyrl-BA"/>
        </w:rPr>
        <w:t>здравствених</w:t>
      </w:r>
      <w:r w:rsidR="0093680A" w:rsidRPr="00295637">
        <w:rPr>
          <w:rFonts w:ascii="Times New Roman" w:hAnsi="Times New Roman"/>
          <w:lang w:val="sr-Cyrl-BA"/>
        </w:rPr>
        <w:t xml:space="preserve"> </w:t>
      </w:r>
      <w:r w:rsidR="00C6214E">
        <w:rPr>
          <w:rFonts w:ascii="Times New Roman" w:hAnsi="Times New Roman"/>
          <w:lang w:val="sr-Cyrl-BA"/>
        </w:rPr>
        <w:t>услуга</w:t>
      </w:r>
      <w:r w:rsidR="0093680A" w:rsidRPr="00295637">
        <w:rPr>
          <w:rFonts w:ascii="Times New Roman" w:hAnsi="Times New Roman"/>
          <w:lang w:val="sr-Cyrl-BA"/>
        </w:rPr>
        <w:t xml:space="preserve">: </w:t>
      </w:r>
      <w:r w:rsidR="00C6214E">
        <w:rPr>
          <w:rFonts w:ascii="Times New Roman" w:hAnsi="Times New Roman"/>
          <w:lang w:val="sr-Cyrl-BA"/>
        </w:rPr>
        <w:t>Ресурсни</w:t>
      </w:r>
      <w:r w:rsidR="0093680A" w:rsidRPr="00295637">
        <w:rPr>
          <w:rFonts w:ascii="Times New Roman" w:hAnsi="Times New Roman"/>
          <w:lang w:val="sr-Cyrl-BA"/>
        </w:rPr>
        <w:t xml:space="preserve"> </w:t>
      </w:r>
      <w:r w:rsidR="00C6214E">
        <w:rPr>
          <w:rFonts w:ascii="Times New Roman" w:hAnsi="Times New Roman"/>
          <w:lang w:val="sr-Cyrl-BA"/>
        </w:rPr>
        <w:t>пакет</w:t>
      </w:r>
      <w:r w:rsidR="0093680A" w:rsidRPr="00295637">
        <w:rPr>
          <w:rFonts w:ascii="Times New Roman" w:hAnsi="Times New Roman"/>
          <w:lang w:val="sr-Cyrl-BA"/>
        </w:rPr>
        <w:t xml:space="preserve"> </w:t>
      </w:r>
      <w:r w:rsidR="00C6214E">
        <w:rPr>
          <w:rFonts w:ascii="Times New Roman" w:hAnsi="Times New Roman"/>
          <w:lang w:val="sr-Cyrl-BA"/>
        </w:rPr>
        <w:t>за</w:t>
      </w:r>
      <w:r w:rsidR="0093680A" w:rsidRPr="00295637">
        <w:rPr>
          <w:rFonts w:ascii="Times New Roman" w:hAnsi="Times New Roman"/>
          <w:lang w:val="sr-Cyrl-BA"/>
        </w:rPr>
        <w:t xml:space="preserve"> </w:t>
      </w:r>
      <w:r w:rsidR="00C6214E">
        <w:rPr>
          <w:rFonts w:ascii="Times New Roman" w:hAnsi="Times New Roman"/>
          <w:lang w:val="sr-Cyrl-BA"/>
        </w:rPr>
        <w:t>одговор</w:t>
      </w:r>
      <w:r w:rsidR="0093680A" w:rsidRPr="00295637">
        <w:rPr>
          <w:rFonts w:ascii="Times New Roman" w:hAnsi="Times New Roman"/>
          <w:lang w:val="sr-Cyrl-BA"/>
        </w:rPr>
        <w:t xml:space="preserve"> </w:t>
      </w:r>
      <w:r w:rsidR="00C6214E">
        <w:rPr>
          <w:rFonts w:ascii="Times New Roman" w:hAnsi="Times New Roman"/>
          <w:lang w:val="sr-Cyrl-BA"/>
        </w:rPr>
        <w:t>пружа</w:t>
      </w:r>
      <w:r w:rsidR="00C6214E">
        <w:rPr>
          <w:rFonts w:ascii="Times New Roman" w:hAnsi="Times New Roman"/>
          <w:lang w:val="hr-HR"/>
        </w:rPr>
        <w:t>ла</w:t>
      </w:r>
      <w:r>
        <w:rPr>
          <w:rFonts w:ascii="Times New Roman" w:hAnsi="Times New Roman"/>
          <w:lang w:val="sr-Cyrl-BA"/>
        </w:rPr>
        <w:t>ц</w:t>
      </w:r>
      <w:r w:rsidR="00C6214E">
        <w:rPr>
          <w:rFonts w:ascii="Times New Roman" w:hAnsi="Times New Roman"/>
          <w:lang w:val="hr-HR"/>
        </w:rPr>
        <w:t>а</w:t>
      </w:r>
      <w:r w:rsidR="0093680A" w:rsidRPr="00295637">
        <w:rPr>
          <w:rFonts w:ascii="Times New Roman" w:hAnsi="Times New Roman"/>
          <w:lang w:val="sr-Cyrl-BA"/>
        </w:rPr>
        <w:t xml:space="preserve"> </w:t>
      </w:r>
      <w:r w:rsidR="00C6214E">
        <w:rPr>
          <w:rFonts w:ascii="Times New Roman" w:hAnsi="Times New Roman"/>
          <w:lang w:val="sr-Cyrl-BA"/>
        </w:rPr>
        <w:t>здравствених</w:t>
      </w:r>
      <w:r w:rsidR="0093680A" w:rsidRPr="00295637">
        <w:rPr>
          <w:rFonts w:ascii="Times New Roman" w:hAnsi="Times New Roman"/>
          <w:lang w:val="sr-Cyrl-BA"/>
        </w:rPr>
        <w:t xml:space="preserve"> </w:t>
      </w:r>
      <w:r w:rsidR="00C6214E">
        <w:rPr>
          <w:rFonts w:ascii="Times New Roman" w:hAnsi="Times New Roman"/>
          <w:lang w:val="sr-Cyrl-BA"/>
        </w:rPr>
        <w:t>услуга</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sr-Cyrl-BA"/>
        </w:rPr>
        <w:t>Р</w:t>
      </w:r>
      <w:r w:rsidR="00C6214E">
        <w:rPr>
          <w:rFonts w:ascii="Times New Roman" w:hAnsi="Times New Roman"/>
          <w:lang w:val="bs-Latn-BA"/>
        </w:rPr>
        <w:t>С</w:t>
      </w:r>
      <w:r w:rsidR="0093680A" w:rsidRPr="00295637">
        <w:rPr>
          <w:rFonts w:ascii="Times New Roman" w:hAnsi="Times New Roman"/>
          <w:lang w:val="sr-Cyrl-BA"/>
        </w:rPr>
        <w:t xml:space="preserve"> </w:t>
      </w:r>
      <w:r w:rsidR="00C6214E">
        <w:rPr>
          <w:rFonts w:ascii="Times New Roman" w:hAnsi="Times New Roman"/>
          <w:lang w:val="sr-Cyrl-BA"/>
        </w:rPr>
        <w:t>на</w:t>
      </w:r>
      <w:r w:rsidR="0093680A" w:rsidRPr="00295637">
        <w:rPr>
          <w:rFonts w:ascii="Times New Roman" w:hAnsi="Times New Roman"/>
          <w:lang w:val="sr-Cyrl-BA"/>
        </w:rPr>
        <w:t xml:space="preserve"> </w:t>
      </w:r>
      <w:r w:rsidR="00C6214E">
        <w:rPr>
          <w:rFonts w:ascii="Times New Roman" w:hAnsi="Times New Roman"/>
          <w:lang w:val="sr-Cyrl-BA"/>
        </w:rPr>
        <w:t>родно</w:t>
      </w:r>
      <w:r w:rsidR="0093680A" w:rsidRPr="00295637">
        <w:rPr>
          <w:rFonts w:ascii="Times New Roman" w:hAnsi="Times New Roman"/>
          <w:lang w:val="sr-Cyrl-BA"/>
        </w:rPr>
        <w:t xml:space="preserve"> </w:t>
      </w:r>
      <w:r w:rsidR="00C6214E">
        <w:rPr>
          <w:rFonts w:ascii="Times New Roman" w:hAnsi="Times New Roman"/>
          <w:lang w:val="hr-HR"/>
        </w:rPr>
        <w:t>засновано</w:t>
      </w:r>
      <w:r w:rsidR="0093680A" w:rsidRPr="00295637">
        <w:rPr>
          <w:rFonts w:ascii="Times New Roman" w:hAnsi="Times New Roman"/>
          <w:lang w:val="sr-Cyrl-BA"/>
        </w:rPr>
        <w:t xml:space="preserve"> </w:t>
      </w:r>
      <w:r w:rsidR="00C6214E">
        <w:rPr>
          <w:rFonts w:ascii="Times New Roman" w:hAnsi="Times New Roman"/>
          <w:lang w:val="sr-Cyrl-BA"/>
        </w:rPr>
        <w:t>насиље</w:t>
      </w:r>
      <w:r w:rsidR="0093680A" w:rsidRPr="00295637">
        <w:rPr>
          <w:rFonts w:ascii="Times New Roman" w:hAnsi="Times New Roman"/>
          <w:lang w:val="sr-Cyrl-BA"/>
        </w:rPr>
        <w:t xml:space="preserve">; </w:t>
      </w:r>
      <w:r w:rsidR="00C6214E">
        <w:rPr>
          <w:rFonts w:ascii="Times New Roman" w:hAnsi="Times New Roman"/>
          <w:lang w:val="sr-Cyrl-BA"/>
        </w:rPr>
        <w:t>Јачање</w:t>
      </w:r>
      <w:r w:rsidR="0093680A" w:rsidRPr="00295637">
        <w:rPr>
          <w:rFonts w:ascii="Times New Roman" w:hAnsi="Times New Roman"/>
          <w:lang w:val="sr-Cyrl-BA"/>
        </w:rPr>
        <w:t xml:space="preserve"> </w:t>
      </w:r>
      <w:r w:rsidR="00C6214E">
        <w:rPr>
          <w:rFonts w:ascii="Times New Roman" w:hAnsi="Times New Roman"/>
          <w:lang w:val="sr-Cyrl-BA"/>
        </w:rPr>
        <w:t>одговора</w:t>
      </w:r>
      <w:r w:rsidR="0093680A" w:rsidRPr="00295637">
        <w:rPr>
          <w:rFonts w:ascii="Times New Roman" w:hAnsi="Times New Roman"/>
          <w:lang w:val="sr-Cyrl-BA"/>
        </w:rPr>
        <w:t xml:space="preserve"> </w:t>
      </w:r>
      <w:r w:rsidR="00C6214E">
        <w:rPr>
          <w:rFonts w:ascii="Times New Roman" w:hAnsi="Times New Roman"/>
          <w:lang w:val="sr-Cyrl-BA"/>
        </w:rPr>
        <w:t>пружа</w:t>
      </w:r>
      <w:r w:rsidR="00C6214E">
        <w:rPr>
          <w:rFonts w:ascii="Times New Roman" w:hAnsi="Times New Roman"/>
          <w:lang w:val="hr-HR"/>
        </w:rPr>
        <w:t>лаца</w:t>
      </w:r>
      <w:r w:rsidR="0093680A" w:rsidRPr="00295637">
        <w:rPr>
          <w:rFonts w:ascii="Times New Roman" w:hAnsi="Times New Roman"/>
          <w:lang w:val="sr-Cyrl-BA"/>
        </w:rPr>
        <w:t xml:space="preserve"> </w:t>
      </w:r>
      <w:r w:rsidR="00C6214E">
        <w:rPr>
          <w:rFonts w:ascii="Times New Roman" w:hAnsi="Times New Roman"/>
          <w:lang w:val="sr-Cyrl-BA"/>
        </w:rPr>
        <w:t>здравствених</w:t>
      </w:r>
      <w:r w:rsidR="0093680A" w:rsidRPr="00295637">
        <w:rPr>
          <w:rFonts w:ascii="Times New Roman" w:hAnsi="Times New Roman"/>
          <w:lang w:val="sr-Cyrl-BA"/>
        </w:rPr>
        <w:t xml:space="preserve"> </w:t>
      </w:r>
      <w:r w:rsidR="00C6214E">
        <w:rPr>
          <w:rFonts w:ascii="Times New Roman" w:hAnsi="Times New Roman"/>
          <w:lang w:val="sr-Cyrl-BA"/>
        </w:rPr>
        <w:t>услуга</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sr-Cyrl-BA"/>
        </w:rPr>
        <w:t>Р</w:t>
      </w:r>
      <w:r w:rsidR="00C6214E">
        <w:rPr>
          <w:rFonts w:ascii="Times New Roman" w:hAnsi="Times New Roman"/>
          <w:lang w:val="bs-Latn-BA"/>
        </w:rPr>
        <w:t>С</w:t>
      </w:r>
      <w:r w:rsidR="0093680A" w:rsidRPr="00295637">
        <w:rPr>
          <w:rFonts w:ascii="Times New Roman" w:hAnsi="Times New Roman"/>
          <w:lang w:val="sr-Cyrl-BA"/>
        </w:rPr>
        <w:t xml:space="preserve"> </w:t>
      </w:r>
      <w:r w:rsidR="00C6214E">
        <w:rPr>
          <w:rFonts w:ascii="Times New Roman" w:hAnsi="Times New Roman"/>
          <w:lang w:val="sr-Cyrl-BA"/>
        </w:rPr>
        <w:t>на</w:t>
      </w:r>
      <w:r w:rsidR="0093680A" w:rsidRPr="00295637">
        <w:rPr>
          <w:rFonts w:ascii="Times New Roman" w:hAnsi="Times New Roman"/>
          <w:lang w:val="sr-Cyrl-BA"/>
        </w:rPr>
        <w:t xml:space="preserve"> </w:t>
      </w:r>
      <w:r w:rsidR="00C6214E">
        <w:rPr>
          <w:rFonts w:ascii="Times New Roman" w:hAnsi="Times New Roman"/>
          <w:lang w:val="sr-Cyrl-BA"/>
        </w:rPr>
        <w:t>родно</w:t>
      </w:r>
      <w:r w:rsidR="0093680A" w:rsidRPr="00295637">
        <w:rPr>
          <w:rFonts w:ascii="Times New Roman" w:hAnsi="Times New Roman"/>
          <w:lang w:val="sr-Cyrl-BA"/>
        </w:rPr>
        <w:t xml:space="preserve"> </w:t>
      </w:r>
      <w:r w:rsidR="00C6214E">
        <w:rPr>
          <w:rFonts w:ascii="Times New Roman" w:hAnsi="Times New Roman"/>
          <w:lang w:val="hr-HR"/>
        </w:rPr>
        <w:t>засновано</w:t>
      </w:r>
      <w:r w:rsidR="0093680A" w:rsidRPr="00295637">
        <w:rPr>
          <w:rFonts w:ascii="Times New Roman" w:hAnsi="Times New Roman"/>
          <w:lang w:val="sr-Cyrl-BA"/>
        </w:rPr>
        <w:t xml:space="preserve"> </w:t>
      </w:r>
      <w:r w:rsidR="00C6214E">
        <w:rPr>
          <w:rFonts w:ascii="Times New Roman" w:hAnsi="Times New Roman"/>
          <w:lang w:val="sr-Cyrl-BA"/>
        </w:rPr>
        <w:t>насиље</w:t>
      </w:r>
      <w:r w:rsidR="0093680A" w:rsidRPr="00295637">
        <w:rPr>
          <w:rFonts w:ascii="Times New Roman" w:hAnsi="Times New Roman"/>
          <w:lang w:val="sr-Cyrl-BA"/>
        </w:rPr>
        <w:t xml:space="preserve"> – </w:t>
      </w:r>
      <w:r w:rsidR="00C6214E">
        <w:rPr>
          <w:rFonts w:ascii="Times New Roman" w:hAnsi="Times New Roman"/>
          <w:lang w:val="sr-Cyrl-BA"/>
        </w:rPr>
        <w:t>пакет</w:t>
      </w:r>
      <w:r w:rsidR="0093680A" w:rsidRPr="00295637">
        <w:rPr>
          <w:rFonts w:ascii="Times New Roman" w:hAnsi="Times New Roman"/>
          <w:lang w:val="sr-Cyrl-BA"/>
        </w:rPr>
        <w:t xml:space="preserve"> </w:t>
      </w:r>
      <w:r w:rsidR="00C6214E">
        <w:rPr>
          <w:rFonts w:ascii="Times New Roman" w:hAnsi="Times New Roman"/>
          <w:lang w:val="sr-Cyrl-BA"/>
        </w:rPr>
        <w:t>за</w:t>
      </w:r>
      <w:r w:rsidR="0093680A" w:rsidRPr="00295637">
        <w:rPr>
          <w:rFonts w:ascii="Times New Roman" w:hAnsi="Times New Roman"/>
          <w:lang w:val="sr-Cyrl-BA"/>
        </w:rPr>
        <w:t xml:space="preserve"> </w:t>
      </w:r>
      <w:r w:rsidR="00C6214E">
        <w:rPr>
          <w:rFonts w:ascii="Times New Roman" w:hAnsi="Times New Roman"/>
          <w:lang w:val="sr-Cyrl-BA"/>
        </w:rPr>
        <w:t>обуку</w:t>
      </w:r>
      <w:r w:rsidR="0093680A" w:rsidRPr="00295637">
        <w:rPr>
          <w:rFonts w:ascii="Times New Roman" w:hAnsi="Times New Roman"/>
          <w:lang w:val="sr-Cyrl-BA"/>
        </w:rPr>
        <w:t xml:space="preserve">; </w:t>
      </w:r>
      <w:r w:rsidR="00C6214E">
        <w:rPr>
          <w:rFonts w:ascii="Times New Roman" w:hAnsi="Times New Roman"/>
          <w:lang w:val="sr-Cyrl-BA"/>
        </w:rPr>
        <w:t>Поступање</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sr-Cyrl-BA"/>
        </w:rPr>
        <w:t>случају</w:t>
      </w:r>
      <w:r w:rsidR="0093680A" w:rsidRPr="00295637">
        <w:rPr>
          <w:rFonts w:ascii="Times New Roman" w:hAnsi="Times New Roman"/>
          <w:lang w:val="sr-Cyrl-BA"/>
        </w:rPr>
        <w:t xml:space="preserve"> </w:t>
      </w:r>
      <w:r w:rsidR="00C6214E">
        <w:rPr>
          <w:rFonts w:ascii="Times New Roman" w:hAnsi="Times New Roman"/>
          <w:lang w:val="sr-Cyrl-BA"/>
        </w:rPr>
        <w:t>родно</w:t>
      </w:r>
      <w:r w:rsidR="0093680A" w:rsidRPr="00295637">
        <w:rPr>
          <w:rFonts w:ascii="Times New Roman" w:hAnsi="Times New Roman"/>
          <w:lang w:val="sr-Cyrl-BA"/>
        </w:rPr>
        <w:t xml:space="preserve"> </w:t>
      </w:r>
      <w:r w:rsidR="00C6214E">
        <w:rPr>
          <w:rFonts w:ascii="Times New Roman" w:hAnsi="Times New Roman"/>
          <w:lang w:val="hr-HR"/>
        </w:rPr>
        <w:t>заснованог</w:t>
      </w:r>
      <w:r w:rsidR="0093680A" w:rsidRPr="00295637">
        <w:rPr>
          <w:rFonts w:ascii="Times New Roman" w:hAnsi="Times New Roman"/>
          <w:lang w:val="sr-Cyrl-BA"/>
        </w:rPr>
        <w:t xml:space="preserve"> </w:t>
      </w:r>
      <w:r w:rsidR="00C6214E">
        <w:rPr>
          <w:rFonts w:ascii="Times New Roman" w:hAnsi="Times New Roman"/>
          <w:lang w:val="sr-Cyrl-BA"/>
        </w:rPr>
        <w:t>насиља</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sr-Cyrl-BA"/>
        </w:rPr>
        <w:t>јавној</w:t>
      </w:r>
      <w:r w:rsidR="0093680A" w:rsidRPr="00295637">
        <w:rPr>
          <w:rFonts w:ascii="Times New Roman" w:hAnsi="Times New Roman"/>
          <w:lang w:val="sr-Cyrl-BA"/>
        </w:rPr>
        <w:t xml:space="preserve"> </w:t>
      </w:r>
      <w:r w:rsidR="00C6214E">
        <w:rPr>
          <w:rFonts w:ascii="Times New Roman" w:hAnsi="Times New Roman"/>
          <w:lang w:val="sr-Cyrl-BA"/>
        </w:rPr>
        <w:t>здравственој</w:t>
      </w:r>
      <w:r w:rsidR="0093680A" w:rsidRPr="00295637">
        <w:rPr>
          <w:rFonts w:ascii="Times New Roman" w:hAnsi="Times New Roman"/>
          <w:lang w:val="sr-Cyrl-BA"/>
        </w:rPr>
        <w:t xml:space="preserve"> </w:t>
      </w:r>
      <w:r w:rsidR="00C6214E">
        <w:rPr>
          <w:rFonts w:ascii="Times New Roman" w:hAnsi="Times New Roman"/>
          <w:lang w:val="sr-Cyrl-BA"/>
        </w:rPr>
        <w:t>установи</w:t>
      </w:r>
      <w:r w:rsidR="0093680A" w:rsidRPr="00295637">
        <w:rPr>
          <w:rFonts w:ascii="Times New Roman" w:hAnsi="Times New Roman"/>
          <w:lang w:val="sr-Cyrl-BA"/>
        </w:rPr>
        <w:t xml:space="preserve"> „</w:t>
      </w:r>
      <w:r w:rsidR="00C6214E">
        <w:rPr>
          <w:rFonts w:ascii="Times New Roman" w:hAnsi="Times New Roman"/>
          <w:lang w:val="sr-Cyrl-BA"/>
        </w:rPr>
        <w:t>Дом</w:t>
      </w:r>
      <w:r w:rsidR="0093680A" w:rsidRPr="00295637">
        <w:rPr>
          <w:rFonts w:ascii="Times New Roman" w:hAnsi="Times New Roman"/>
          <w:lang w:val="sr-Cyrl-BA"/>
        </w:rPr>
        <w:t xml:space="preserve"> </w:t>
      </w:r>
      <w:r w:rsidR="00C6214E">
        <w:rPr>
          <w:rFonts w:ascii="Times New Roman" w:hAnsi="Times New Roman"/>
          <w:lang w:val="sr-Cyrl-BA"/>
        </w:rPr>
        <w:t>здравља</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sr-Cyrl-BA"/>
        </w:rPr>
        <w:t>Бањој</w:t>
      </w:r>
      <w:r w:rsidR="0093680A" w:rsidRPr="00295637">
        <w:rPr>
          <w:rFonts w:ascii="Times New Roman" w:hAnsi="Times New Roman"/>
          <w:lang w:val="sr-Cyrl-BA"/>
        </w:rPr>
        <w:t xml:space="preserve"> </w:t>
      </w:r>
      <w:r w:rsidR="00C6214E">
        <w:rPr>
          <w:rFonts w:ascii="Times New Roman" w:hAnsi="Times New Roman"/>
          <w:lang w:val="sr-Cyrl-BA"/>
        </w:rPr>
        <w:t>Луци</w:t>
      </w:r>
      <w:r w:rsidR="0093680A" w:rsidRPr="00295637">
        <w:rPr>
          <w:rFonts w:ascii="Times New Roman" w:hAnsi="Times New Roman"/>
          <w:lang w:val="sr-Cyrl-BA"/>
        </w:rPr>
        <w:t xml:space="preserve">; </w:t>
      </w:r>
      <w:r w:rsidR="00C6214E">
        <w:rPr>
          <w:rFonts w:ascii="Times New Roman" w:hAnsi="Times New Roman"/>
          <w:lang w:val="sr-Cyrl-BA"/>
        </w:rPr>
        <w:t>Ресурсни</w:t>
      </w:r>
      <w:r w:rsidR="0093680A" w:rsidRPr="00295637">
        <w:rPr>
          <w:rFonts w:ascii="Times New Roman" w:hAnsi="Times New Roman"/>
          <w:lang w:val="sr-Cyrl-BA"/>
        </w:rPr>
        <w:t xml:space="preserve"> </w:t>
      </w:r>
      <w:r w:rsidR="00C6214E">
        <w:rPr>
          <w:rFonts w:ascii="Times New Roman" w:hAnsi="Times New Roman"/>
          <w:lang w:val="sr-Cyrl-BA"/>
        </w:rPr>
        <w:t>пакет</w:t>
      </w:r>
      <w:r w:rsidR="0093680A" w:rsidRPr="00295637">
        <w:rPr>
          <w:rFonts w:ascii="Times New Roman" w:hAnsi="Times New Roman"/>
          <w:lang w:val="sr-Cyrl-BA"/>
        </w:rPr>
        <w:t xml:space="preserve"> </w:t>
      </w:r>
      <w:r w:rsidR="00C6214E">
        <w:rPr>
          <w:rFonts w:ascii="Times New Roman" w:hAnsi="Times New Roman"/>
          <w:lang w:val="sr-Cyrl-BA"/>
        </w:rPr>
        <w:t>за</w:t>
      </w:r>
      <w:r w:rsidR="0093680A" w:rsidRPr="00295637">
        <w:rPr>
          <w:rFonts w:ascii="Times New Roman" w:hAnsi="Times New Roman"/>
          <w:lang w:val="sr-Cyrl-BA"/>
        </w:rPr>
        <w:t xml:space="preserve"> </w:t>
      </w:r>
      <w:r w:rsidR="00C6214E">
        <w:rPr>
          <w:rFonts w:ascii="Times New Roman" w:hAnsi="Times New Roman"/>
          <w:lang w:val="sr-Cyrl-BA"/>
        </w:rPr>
        <w:t>одговор</w:t>
      </w:r>
      <w:r w:rsidR="0093680A" w:rsidRPr="00295637">
        <w:rPr>
          <w:rFonts w:ascii="Times New Roman" w:hAnsi="Times New Roman"/>
          <w:lang w:val="sr-Cyrl-BA"/>
        </w:rPr>
        <w:t xml:space="preserve"> </w:t>
      </w:r>
      <w:r w:rsidR="00C6214E">
        <w:rPr>
          <w:rFonts w:ascii="Times New Roman" w:hAnsi="Times New Roman"/>
          <w:lang w:val="sr-Cyrl-BA"/>
        </w:rPr>
        <w:t>пружа</w:t>
      </w:r>
      <w:r w:rsidR="00C6214E">
        <w:rPr>
          <w:rFonts w:ascii="Times New Roman" w:hAnsi="Times New Roman"/>
          <w:lang w:val="hr-HR"/>
        </w:rPr>
        <w:t>лаца</w:t>
      </w:r>
      <w:r w:rsidR="0093680A" w:rsidRPr="00295637">
        <w:rPr>
          <w:rFonts w:ascii="Times New Roman" w:hAnsi="Times New Roman"/>
          <w:lang w:val="sr-Cyrl-BA"/>
        </w:rPr>
        <w:t xml:space="preserve"> </w:t>
      </w:r>
      <w:r w:rsidR="00C6214E">
        <w:rPr>
          <w:rFonts w:ascii="Times New Roman" w:hAnsi="Times New Roman"/>
          <w:lang w:val="sr-Cyrl-BA"/>
        </w:rPr>
        <w:t>психосоцијалних</w:t>
      </w:r>
      <w:r w:rsidR="0093680A" w:rsidRPr="00295637">
        <w:rPr>
          <w:rFonts w:ascii="Times New Roman" w:hAnsi="Times New Roman"/>
          <w:lang w:val="sr-Cyrl-BA"/>
        </w:rPr>
        <w:t xml:space="preserve"> </w:t>
      </w:r>
      <w:r w:rsidR="00C6214E">
        <w:rPr>
          <w:rFonts w:ascii="Times New Roman" w:hAnsi="Times New Roman"/>
          <w:lang w:val="sr-Cyrl-BA"/>
        </w:rPr>
        <w:t>услуга</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sr-Cyrl-BA"/>
        </w:rPr>
        <w:t>Р</w:t>
      </w:r>
      <w:r w:rsidR="00C6214E">
        <w:rPr>
          <w:rFonts w:ascii="Times New Roman" w:hAnsi="Times New Roman"/>
          <w:lang w:val="bs-Latn-BA"/>
        </w:rPr>
        <w:t>С</w:t>
      </w:r>
      <w:r w:rsidR="0093680A" w:rsidRPr="00295637">
        <w:rPr>
          <w:rFonts w:ascii="Times New Roman" w:hAnsi="Times New Roman"/>
          <w:lang w:val="sr-Cyrl-BA"/>
        </w:rPr>
        <w:t xml:space="preserve"> </w:t>
      </w:r>
      <w:r w:rsidR="00C6214E">
        <w:rPr>
          <w:rFonts w:ascii="Times New Roman" w:hAnsi="Times New Roman"/>
          <w:lang w:val="sr-Cyrl-BA"/>
        </w:rPr>
        <w:t>на</w:t>
      </w:r>
      <w:r w:rsidR="0093680A" w:rsidRPr="00295637">
        <w:rPr>
          <w:rFonts w:ascii="Times New Roman" w:hAnsi="Times New Roman"/>
          <w:lang w:val="sr-Cyrl-BA"/>
        </w:rPr>
        <w:t xml:space="preserve"> </w:t>
      </w:r>
      <w:r w:rsidR="00C6214E">
        <w:rPr>
          <w:rFonts w:ascii="Times New Roman" w:hAnsi="Times New Roman"/>
          <w:lang w:val="sr-Cyrl-BA"/>
        </w:rPr>
        <w:t>родно</w:t>
      </w:r>
      <w:r w:rsidR="0093680A" w:rsidRPr="00295637">
        <w:rPr>
          <w:rFonts w:ascii="Times New Roman" w:hAnsi="Times New Roman"/>
          <w:lang w:val="sr-Cyrl-BA"/>
        </w:rPr>
        <w:t xml:space="preserve"> </w:t>
      </w:r>
      <w:r w:rsidR="00C6214E">
        <w:rPr>
          <w:rFonts w:ascii="Times New Roman" w:hAnsi="Times New Roman"/>
          <w:lang w:val="hr-HR"/>
        </w:rPr>
        <w:t>засновано</w:t>
      </w:r>
      <w:r w:rsidR="0093680A" w:rsidRPr="00295637">
        <w:rPr>
          <w:rFonts w:ascii="Times New Roman" w:hAnsi="Times New Roman"/>
          <w:lang w:val="sr-Cyrl-BA"/>
        </w:rPr>
        <w:t xml:space="preserve"> </w:t>
      </w:r>
      <w:r w:rsidR="00C6214E">
        <w:rPr>
          <w:rFonts w:ascii="Times New Roman" w:hAnsi="Times New Roman"/>
          <w:lang w:val="sr-Cyrl-BA"/>
        </w:rPr>
        <w:t>насиље</w:t>
      </w:r>
      <w:r w:rsidR="0093680A" w:rsidRPr="00295637">
        <w:rPr>
          <w:rFonts w:ascii="Times New Roman" w:hAnsi="Times New Roman"/>
          <w:lang w:val="sr-Cyrl-BA"/>
        </w:rPr>
        <w:t xml:space="preserve">; </w:t>
      </w:r>
      <w:r w:rsidR="00C6214E">
        <w:rPr>
          <w:rFonts w:ascii="Times New Roman" w:hAnsi="Times New Roman"/>
          <w:lang w:val="sr-Cyrl-BA"/>
        </w:rPr>
        <w:t>Јачање</w:t>
      </w:r>
      <w:r w:rsidR="0093680A" w:rsidRPr="00295637">
        <w:rPr>
          <w:rFonts w:ascii="Times New Roman" w:hAnsi="Times New Roman"/>
          <w:lang w:val="sr-Cyrl-BA"/>
        </w:rPr>
        <w:t xml:space="preserve"> </w:t>
      </w:r>
      <w:r w:rsidR="00C6214E">
        <w:rPr>
          <w:rFonts w:ascii="Times New Roman" w:hAnsi="Times New Roman"/>
          <w:lang w:val="sr-Cyrl-BA"/>
        </w:rPr>
        <w:t>одговора</w:t>
      </w:r>
      <w:r w:rsidR="0093680A" w:rsidRPr="00295637">
        <w:rPr>
          <w:rFonts w:ascii="Times New Roman" w:hAnsi="Times New Roman"/>
          <w:lang w:val="sr-Cyrl-BA"/>
        </w:rPr>
        <w:t xml:space="preserve"> </w:t>
      </w:r>
      <w:r w:rsidR="00C6214E">
        <w:rPr>
          <w:rFonts w:ascii="Times New Roman" w:hAnsi="Times New Roman"/>
          <w:lang w:val="sr-Cyrl-BA"/>
        </w:rPr>
        <w:t>пружа</w:t>
      </w:r>
      <w:r w:rsidR="00C6214E">
        <w:rPr>
          <w:rFonts w:ascii="Times New Roman" w:hAnsi="Times New Roman"/>
          <w:lang w:val="hr-HR"/>
        </w:rPr>
        <w:t>лаца</w:t>
      </w:r>
      <w:r w:rsidR="0093680A" w:rsidRPr="00295637">
        <w:rPr>
          <w:rFonts w:ascii="Times New Roman" w:hAnsi="Times New Roman"/>
          <w:lang w:val="sr-Cyrl-BA"/>
        </w:rPr>
        <w:t xml:space="preserve"> </w:t>
      </w:r>
      <w:r w:rsidR="00C6214E">
        <w:rPr>
          <w:rFonts w:ascii="Times New Roman" w:hAnsi="Times New Roman"/>
          <w:lang w:val="sr-Cyrl-BA"/>
        </w:rPr>
        <w:t>психосоцијалних</w:t>
      </w:r>
      <w:r w:rsidR="0093680A" w:rsidRPr="00295637">
        <w:rPr>
          <w:rFonts w:ascii="Times New Roman" w:hAnsi="Times New Roman"/>
          <w:lang w:val="sr-Cyrl-BA"/>
        </w:rPr>
        <w:t xml:space="preserve"> </w:t>
      </w:r>
      <w:r w:rsidR="00C6214E">
        <w:rPr>
          <w:rFonts w:ascii="Times New Roman" w:hAnsi="Times New Roman"/>
          <w:lang w:val="sr-Cyrl-BA"/>
        </w:rPr>
        <w:t>услуга</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sr-Cyrl-BA"/>
        </w:rPr>
        <w:t>Р</w:t>
      </w:r>
      <w:r w:rsidR="00C6214E">
        <w:rPr>
          <w:rFonts w:ascii="Times New Roman" w:hAnsi="Times New Roman"/>
          <w:lang w:val="bs-Latn-BA"/>
        </w:rPr>
        <w:t>С</w:t>
      </w:r>
      <w:r w:rsidR="0093680A" w:rsidRPr="00295637">
        <w:rPr>
          <w:rFonts w:ascii="Times New Roman" w:hAnsi="Times New Roman"/>
          <w:lang w:val="sr-Cyrl-BA"/>
        </w:rPr>
        <w:t xml:space="preserve"> </w:t>
      </w:r>
      <w:r w:rsidR="00C6214E">
        <w:rPr>
          <w:rFonts w:ascii="Times New Roman" w:hAnsi="Times New Roman"/>
          <w:lang w:val="sr-Cyrl-BA"/>
        </w:rPr>
        <w:t>на</w:t>
      </w:r>
      <w:r w:rsidR="0093680A" w:rsidRPr="00295637">
        <w:rPr>
          <w:rFonts w:ascii="Times New Roman" w:hAnsi="Times New Roman"/>
          <w:lang w:val="sr-Cyrl-BA"/>
        </w:rPr>
        <w:t xml:space="preserve"> </w:t>
      </w:r>
      <w:r w:rsidR="00C6214E">
        <w:rPr>
          <w:rFonts w:ascii="Times New Roman" w:hAnsi="Times New Roman"/>
          <w:lang w:val="sr-Cyrl-BA"/>
        </w:rPr>
        <w:t>родно</w:t>
      </w:r>
      <w:r w:rsidR="0093680A" w:rsidRPr="00295637">
        <w:rPr>
          <w:rFonts w:ascii="Times New Roman" w:hAnsi="Times New Roman"/>
          <w:lang w:val="sr-Cyrl-BA"/>
        </w:rPr>
        <w:t xml:space="preserve"> </w:t>
      </w:r>
      <w:r w:rsidR="00C6214E">
        <w:rPr>
          <w:rFonts w:ascii="Times New Roman" w:hAnsi="Times New Roman"/>
          <w:lang w:val="hr-HR"/>
        </w:rPr>
        <w:t>засновано</w:t>
      </w:r>
      <w:r w:rsidR="0093680A" w:rsidRPr="00295637">
        <w:rPr>
          <w:rFonts w:ascii="Times New Roman" w:hAnsi="Times New Roman"/>
          <w:lang w:val="sr-Cyrl-BA"/>
        </w:rPr>
        <w:t xml:space="preserve"> </w:t>
      </w:r>
      <w:r w:rsidR="00C6214E">
        <w:rPr>
          <w:rFonts w:ascii="Times New Roman" w:hAnsi="Times New Roman"/>
          <w:lang w:val="sr-Cyrl-BA"/>
        </w:rPr>
        <w:t>насиље</w:t>
      </w:r>
      <w:r w:rsidR="0093680A" w:rsidRPr="00295637">
        <w:rPr>
          <w:rFonts w:ascii="Times New Roman" w:hAnsi="Times New Roman"/>
          <w:lang w:val="sr-Cyrl-BA"/>
        </w:rPr>
        <w:t xml:space="preserve"> – </w:t>
      </w:r>
      <w:r w:rsidR="00C6214E">
        <w:rPr>
          <w:rFonts w:ascii="Times New Roman" w:hAnsi="Times New Roman"/>
          <w:lang w:val="sr-Cyrl-BA"/>
        </w:rPr>
        <w:t>пакет</w:t>
      </w:r>
      <w:r w:rsidR="0093680A" w:rsidRPr="00295637">
        <w:rPr>
          <w:rFonts w:ascii="Times New Roman" w:hAnsi="Times New Roman"/>
          <w:lang w:val="sr-Cyrl-BA"/>
        </w:rPr>
        <w:t xml:space="preserve"> </w:t>
      </w:r>
      <w:r w:rsidR="00C6214E">
        <w:rPr>
          <w:rFonts w:ascii="Times New Roman" w:hAnsi="Times New Roman"/>
          <w:lang w:val="sr-Cyrl-BA"/>
        </w:rPr>
        <w:t>за</w:t>
      </w:r>
      <w:r w:rsidR="0093680A" w:rsidRPr="00295637">
        <w:rPr>
          <w:rFonts w:ascii="Times New Roman" w:hAnsi="Times New Roman"/>
          <w:lang w:val="sr-Cyrl-BA"/>
        </w:rPr>
        <w:t xml:space="preserve"> </w:t>
      </w:r>
      <w:r w:rsidR="00C6214E">
        <w:rPr>
          <w:rFonts w:ascii="Times New Roman" w:hAnsi="Times New Roman"/>
          <w:lang w:val="sr-Cyrl-BA"/>
        </w:rPr>
        <w:t>обуку</w:t>
      </w:r>
      <w:r w:rsidR="0093680A" w:rsidRPr="00295637">
        <w:rPr>
          <w:rFonts w:ascii="Times New Roman" w:hAnsi="Times New Roman"/>
          <w:lang w:val="sr-Cyrl-BA"/>
        </w:rPr>
        <w:t xml:space="preserve">; </w:t>
      </w:r>
      <w:r w:rsidR="00C6214E">
        <w:rPr>
          <w:rFonts w:ascii="Times New Roman" w:hAnsi="Times New Roman"/>
          <w:lang w:val="sr-Cyrl-BA"/>
        </w:rPr>
        <w:t>Психосоцијални</w:t>
      </w:r>
      <w:r w:rsidR="0093680A" w:rsidRPr="00295637">
        <w:rPr>
          <w:rFonts w:ascii="Times New Roman" w:hAnsi="Times New Roman"/>
          <w:lang w:val="sr-Cyrl-BA"/>
        </w:rPr>
        <w:t xml:space="preserve"> </w:t>
      </w:r>
      <w:r w:rsidR="00C6214E">
        <w:rPr>
          <w:rFonts w:ascii="Times New Roman" w:hAnsi="Times New Roman"/>
          <w:lang w:val="sr-Cyrl-BA"/>
        </w:rPr>
        <w:t>третман</w:t>
      </w:r>
      <w:r w:rsidR="0093680A" w:rsidRPr="00295637">
        <w:rPr>
          <w:rFonts w:ascii="Times New Roman" w:hAnsi="Times New Roman"/>
          <w:lang w:val="sr-Cyrl-BA"/>
        </w:rPr>
        <w:t xml:space="preserve"> </w:t>
      </w:r>
      <w:r w:rsidR="00C6214E">
        <w:rPr>
          <w:rFonts w:ascii="Times New Roman" w:hAnsi="Times New Roman"/>
          <w:lang w:val="hr-HR"/>
        </w:rPr>
        <w:t>починилаца</w:t>
      </w:r>
      <w:r w:rsidR="0093680A" w:rsidRPr="00295637">
        <w:rPr>
          <w:rFonts w:ascii="Times New Roman" w:hAnsi="Times New Roman"/>
          <w:lang w:val="sr-Cyrl-BA"/>
        </w:rPr>
        <w:t xml:space="preserve"> </w:t>
      </w:r>
      <w:r w:rsidR="00C6214E">
        <w:rPr>
          <w:rFonts w:ascii="Times New Roman" w:hAnsi="Times New Roman"/>
          <w:lang w:val="sr-Cyrl-BA"/>
        </w:rPr>
        <w:t>родно</w:t>
      </w:r>
      <w:r w:rsidR="0093680A" w:rsidRPr="00295637">
        <w:rPr>
          <w:rFonts w:ascii="Times New Roman" w:hAnsi="Times New Roman"/>
          <w:lang w:val="sr-Cyrl-BA"/>
        </w:rPr>
        <w:t xml:space="preserve"> </w:t>
      </w:r>
      <w:r w:rsidR="00C6214E">
        <w:rPr>
          <w:rFonts w:ascii="Times New Roman" w:hAnsi="Times New Roman"/>
          <w:lang w:val="hr-HR"/>
        </w:rPr>
        <w:t>заснованог</w:t>
      </w:r>
      <w:r w:rsidR="0093680A" w:rsidRPr="00295637">
        <w:rPr>
          <w:rFonts w:ascii="Times New Roman" w:hAnsi="Times New Roman"/>
          <w:lang w:val="sr-Cyrl-BA"/>
        </w:rPr>
        <w:t xml:space="preserve"> </w:t>
      </w:r>
      <w:r w:rsidR="00C6214E">
        <w:rPr>
          <w:rFonts w:ascii="Times New Roman" w:hAnsi="Times New Roman"/>
          <w:lang w:val="sr-Cyrl-BA"/>
        </w:rPr>
        <w:t>насиља</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hr-HR"/>
        </w:rPr>
        <w:t>породици</w:t>
      </w:r>
      <w:r w:rsidR="0093680A" w:rsidRPr="00295637">
        <w:rPr>
          <w:rFonts w:ascii="Times New Roman" w:hAnsi="Times New Roman"/>
          <w:lang w:val="sr-Cyrl-BA"/>
        </w:rPr>
        <w:t xml:space="preserve">, </w:t>
      </w:r>
      <w:r w:rsidR="00C6214E">
        <w:rPr>
          <w:rFonts w:ascii="Times New Roman" w:hAnsi="Times New Roman"/>
          <w:lang w:val="sr-Cyrl-BA"/>
        </w:rPr>
        <w:t>модул</w:t>
      </w:r>
      <w:r w:rsidR="0093680A" w:rsidRPr="00295637">
        <w:rPr>
          <w:rFonts w:ascii="Times New Roman" w:hAnsi="Times New Roman"/>
          <w:lang w:val="sr-Cyrl-BA"/>
        </w:rPr>
        <w:t xml:space="preserve"> </w:t>
      </w:r>
      <w:r w:rsidR="00C6214E">
        <w:rPr>
          <w:rFonts w:ascii="Times New Roman" w:hAnsi="Times New Roman"/>
          <w:lang w:val="sr-Cyrl-BA"/>
        </w:rPr>
        <w:t>за</w:t>
      </w:r>
      <w:r w:rsidR="0093680A" w:rsidRPr="00295637">
        <w:rPr>
          <w:rFonts w:ascii="Times New Roman" w:hAnsi="Times New Roman"/>
          <w:lang w:val="sr-Cyrl-BA"/>
        </w:rPr>
        <w:t xml:space="preserve"> </w:t>
      </w:r>
      <w:r w:rsidR="00C6214E">
        <w:rPr>
          <w:rFonts w:ascii="Times New Roman" w:hAnsi="Times New Roman"/>
          <w:lang w:val="sr-Cyrl-BA"/>
        </w:rPr>
        <w:t>обуку</w:t>
      </w:r>
      <w:r w:rsidR="0093680A" w:rsidRPr="00295637">
        <w:rPr>
          <w:rFonts w:ascii="Times New Roman" w:hAnsi="Times New Roman"/>
          <w:lang w:val="sr-Cyrl-BA"/>
        </w:rPr>
        <w:t xml:space="preserve">; </w:t>
      </w:r>
      <w:r w:rsidR="00C6214E">
        <w:rPr>
          <w:rFonts w:ascii="Times New Roman" w:hAnsi="Times New Roman"/>
          <w:lang w:val="sr-Cyrl-BA"/>
        </w:rPr>
        <w:t>Обука</w:t>
      </w:r>
      <w:r w:rsidR="0093680A" w:rsidRPr="00295637">
        <w:rPr>
          <w:rFonts w:ascii="Times New Roman" w:hAnsi="Times New Roman"/>
          <w:lang w:val="sr-Cyrl-BA"/>
        </w:rPr>
        <w:t xml:space="preserve"> </w:t>
      </w:r>
      <w:r w:rsidR="00C6214E">
        <w:rPr>
          <w:rFonts w:ascii="Times New Roman" w:hAnsi="Times New Roman"/>
          <w:lang w:val="sr-Cyrl-BA"/>
        </w:rPr>
        <w:t>тренера</w:t>
      </w:r>
      <w:r w:rsidR="0093680A" w:rsidRPr="00295637">
        <w:rPr>
          <w:rFonts w:ascii="Times New Roman" w:hAnsi="Times New Roman"/>
          <w:lang w:val="sr-Cyrl-BA"/>
        </w:rPr>
        <w:t xml:space="preserve"> </w:t>
      </w:r>
      <w:r w:rsidR="00C6214E">
        <w:rPr>
          <w:rFonts w:ascii="Times New Roman" w:hAnsi="Times New Roman"/>
          <w:lang w:val="sr-Cyrl-BA"/>
        </w:rPr>
        <w:t>за</w:t>
      </w:r>
      <w:r w:rsidR="0093680A" w:rsidRPr="00295637">
        <w:rPr>
          <w:rFonts w:ascii="Times New Roman" w:hAnsi="Times New Roman"/>
          <w:lang w:val="sr-Cyrl-BA"/>
        </w:rPr>
        <w:t xml:space="preserve"> </w:t>
      </w:r>
      <w:r w:rsidR="00C6214E">
        <w:rPr>
          <w:rFonts w:ascii="Times New Roman" w:hAnsi="Times New Roman"/>
          <w:lang w:val="sr-Cyrl-BA"/>
        </w:rPr>
        <w:t>психосоцијални</w:t>
      </w:r>
      <w:r w:rsidR="0093680A" w:rsidRPr="00295637">
        <w:rPr>
          <w:rFonts w:ascii="Times New Roman" w:hAnsi="Times New Roman"/>
          <w:lang w:val="sr-Cyrl-BA"/>
        </w:rPr>
        <w:t xml:space="preserve"> </w:t>
      </w:r>
      <w:r w:rsidR="00C6214E">
        <w:rPr>
          <w:rFonts w:ascii="Times New Roman" w:hAnsi="Times New Roman"/>
          <w:lang w:val="sr-Cyrl-BA"/>
        </w:rPr>
        <w:t>третман</w:t>
      </w:r>
      <w:r w:rsidR="0093680A" w:rsidRPr="00295637">
        <w:rPr>
          <w:rFonts w:ascii="Times New Roman" w:hAnsi="Times New Roman"/>
          <w:lang w:val="sr-Cyrl-BA"/>
        </w:rPr>
        <w:t xml:space="preserve"> </w:t>
      </w:r>
      <w:r w:rsidR="00C6214E">
        <w:rPr>
          <w:rFonts w:ascii="Times New Roman" w:hAnsi="Times New Roman"/>
          <w:lang w:val="sr-Cyrl-BA"/>
        </w:rPr>
        <w:t>почини</w:t>
      </w:r>
      <w:r w:rsidR="00C6214E">
        <w:rPr>
          <w:rFonts w:ascii="Times New Roman" w:hAnsi="Times New Roman"/>
          <w:lang w:val="hr-HR"/>
        </w:rPr>
        <w:t>лаца</w:t>
      </w:r>
      <w:r w:rsidR="0093680A" w:rsidRPr="00295637">
        <w:rPr>
          <w:rFonts w:ascii="Times New Roman" w:hAnsi="Times New Roman"/>
          <w:lang w:val="sr-Cyrl-BA"/>
        </w:rPr>
        <w:t xml:space="preserve"> </w:t>
      </w:r>
      <w:r w:rsidR="00C6214E">
        <w:rPr>
          <w:rFonts w:ascii="Times New Roman" w:hAnsi="Times New Roman"/>
          <w:lang w:val="sr-Cyrl-BA"/>
        </w:rPr>
        <w:t>родно</w:t>
      </w:r>
      <w:r w:rsidR="0093680A" w:rsidRPr="00295637">
        <w:rPr>
          <w:rFonts w:ascii="Times New Roman" w:hAnsi="Times New Roman"/>
          <w:lang w:val="sr-Cyrl-BA"/>
        </w:rPr>
        <w:t xml:space="preserve"> </w:t>
      </w:r>
      <w:r w:rsidR="00C6214E">
        <w:rPr>
          <w:rFonts w:ascii="Times New Roman" w:hAnsi="Times New Roman"/>
          <w:lang w:val="hr-HR"/>
        </w:rPr>
        <w:t>заснованог</w:t>
      </w:r>
      <w:r w:rsidR="0093680A" w:rsidRPr="00295637">
        <w:rPr>
          <w:rFonts w:ascii="Times New Roman" w:hAnsi="Times New Roman"/>
          <w:lang w:val="sr-Cyrl-BA"/>
        </w:rPr>
        <w:t xml:space="preserve"> </w:t>
      </w:r>
      <w:r w:rsidR="00C6214E">
        <w:rPr>
          <w:rFonts w:ascii="Times New Roman" w:hAnsi="Times New Roman"/>
          <w:lang w:val="sr-Cyrl-BA"/>
        </w:rPr>
        <w:t>насиља</w:t>
      </w:r>
      <w:r w:rsidR="0093680A" w:rsidRPr="00295637">
        <w:rPr>
          <w:rFonts w:ascii="Times New Roman" w:hAnsi="Times New Roman"/>
          <w:lang w:val="sr-Cyrl-BA"/>
        </w:rPr>
        <w:t xml:space="preserve"> – </w:t>
      </w:r>
      <w:r w:rsidR="00C6214E">
        <w:rPr>
          <w:rFonts w:ascii="Times New Roman" w:hAnsi="Times New Roman"/>
          <w:lang w:val="sr-Cyrl-BA"/>
        </w:rPr>
        <w:t>приручник</w:t>
      </w:r>
      <w:r w:rsidR="0093680A" w:rsidRPr="00295637">
        <w:rPr>
          <w:rFonts w:ascii="Times New Roman" w:hAnsi="Times New Roman"/>
          <w:lang w:val="sr-Cyrl-BA"/>
        </w:rPr>
        <w:t xml:space="preserve"> </w:t>
      </w:r>
      <w:r w:rsidR="00C6214E">
        <w:rPr>
          <w:rFonts w:ascii="Times New Roman" w:hAnsi="Times New Roman"/>
          <w:lang w:val="sr-Cyrl-BA"/>
        </w:rPr>
        <w:t>за</w:t>
      </w:r>
      <w:r w:rsidR="0093680A" w:rsidRPr="00295637">
        <w:rPr>
          <w:rFonts w:ascii="Times New Roman" w:hAnsi="Times New Roman"/>
          <w:lang w:val="sr-Cyrl-BA"/>
        </w:rPr>
        <w:t xml:space="preserve"> </w:t>
      </w:r>
      <w:r w:rsidR="00C6214E">
        <w:rPr>
          <w:rFonts w:ascii="Times New Roman" w:hAnsi="Times New Roman"/>
          <w:lang w:val="sr-Cyrl-BA"/>
        </w:rPr>
        <w:t>обуку</w:t>
      </w:r>
      <w:r w:rsidR="0093680A" w:rsidRPr="00295637">
        <w:rPr>
          <w:rFonts w:ascii="Times New Roman" w:hAnsi="Times New Roman"/>
          <w:lang w:val="sr-Cyrl-BA"/>
        </w:rPr>
        <w:t xml:space="preserve">; </w:t>
      </w:r>
      <w:r w:rsidR="00C6214E">
        <w:rPr>
          <w:rFonts w:ascii="Times New Roman" w:hAnsi="Times New Roman"/>
          <w:lang w:val="sr-Cyrl-BA"/>
        </w:rPr>
        <w:t>Минимални</w:t>
      </w:r>
      <w:r w:rsidR="0093680A" w:rsidRPr="00295637">
        <w:rPr>
          <w:rFonts w:ascii="Times New Roman" w:hAnsi="Times New Roman"/>
          <w:lang w:val="sr-Cyrl-BA"/>
        </w:rPr>
        <w:t xml:space="preserve"> </w:t>
      </w:r>
      <w:r w:rsidR="00C6214E">
        <w:rPr>
          <w:rFonts w:ascii="Times New Roman" w:hAnsi="Times New Roman"/>
          <w:lang w:val="sr-Cyrl-BA"/>
        </w:rPr>
        <w:t>стандарди</w:t>
      </w:r>
      <w:r w:rsidR="0093680A" w:rsidRPr="00295637">
        <w:rPr>
          <w:rFonts w:ascii="Times New Roman" w:hAnsi="Times New Roman"/>
          <w:lang w:val="sr-Cyrl-BA"/>
        </w:rPr>
        <w:t xml:space="preserve"> </w:t>
      </w:r>
      <w:r w:rsidR="00C6214E">
        <w:rPr>
          <w:rFonts w:ascii="Times New Roman" w:hAnsi="Times New Roman"/>
          <w:lang w:val="sr-Cyrl-BA"/>
        </w:rPr>
        <w:t>за</w:t>
      </w:r>
      <w:r w:rsidR="0093680A" w:rsidRPr="00295637">
        <w:rPr>
          <w:rFonts w:ascii="Times New Roman" w:hAnsi="Times New Roman"/>
          <w:lang w:val="sr-Cyrl-BA"/>
        </w:rPr>
        <w:t xml:space="preserve"> </w:t>
      </w:r>
      <w:r w:rsidR="00C6214E">
        <w:rPr>
          <w:rFonts w:ascii="Times New Roman" w:hAnsi="Times New Roman"/>
          <w:lang w:val="sr-Cyrl-BA"/>
        </w:rPr>
        <w:t>превенцију</w:t>
      </w:r>
      <w:r w:rsidR="0093680A" w:rsidRPr="00295637">
        <w:rPr>
          <w:rFonts w:ascii="Times New Roman" w:hAnsi="Times New Roman"/>
          <w:lang w:val="sr-Cyrl-BA"/>
        </w:rPr>
        <w:t xml:space="preserve"> </w:t>
      </w:r>
      <w:r w:rsidR="00C6214E">
        <w:rPr>
          <w:rFonts w:ascii="Times New Roman" w:hAnsi="Times New Roman"/>
          <w:lang w:val="sr-Cyrl-BA"/>
        </w:rPr>
        <w:t>и</w:t>
      </w:r>
      <w:r w:rsidR="0093680A" w:rsidRPr="00295637">
        <w:rPr>
          <w:rFonts w:ascii="Times New Roman" w:hAnsi="Times New Roman"/>
          <w:lang w:val="sr-Cyrl-BA"/>
        </w:rPr>
        <w:t xml:space="preserve"> </w:t>
      </w:r>
      <w:r w:rsidR="00C6214E">
        <w:rPr>
          <w:rFonts w:ascii="Times New Roman" w:hAnsi="Times New Roman"/>
          <w:lang w:val="sr-Cyrl-BA"/>
        </w:rPr>
        <w:t>одговор</w:t>
      </w:r>
      <w:r w:rsidR="0093680A" w:rsidRPr="00295637">
        <w:rPr>
          <w:rFonts w:ascii="Times New Roman" w:hAnsi="Times New Roman"/>
          <w:lang w:val="sr-Cyrl-BA"/>
        </w:rPr>
        <w:t xml:space="preserve"> </w:t>
      </w:r>
      <w:r w:rsidR="00C6214E">
        <w:rPr>
          <w:rFonts w:ascii="Times New Roman" w:hAnsi="Times New Roman"/>
          <w:lang w:val="sr-Cyrl-BA"/>
        </w:rPr>
        <w:t>на</w:t>
      </w:r>
      <w:r w:rsidR="0093680A" w:rsidRPr="00295637">
        <w:rPr>
          <w:rFonts w:ascii="Times New Roman" w:hAnsi="Times New Roman"/>
          <w:lang w:val="sr-Cyrl-BA"/>
        </w:rPr>
        <w:t xml:space="preserve"> </w:t>
      </w:r>
      <w:r w:rsidR="00C6214E">
        <w:rPr>
          <w:rFonts w:ascii="Times New Roman" w:hAnsi="Times New Roman"/>
          <w:lang w:val="sr-Cyrl-BA"/>
        </w:rPr>
        <w:t>родно</w:t>
      </w:r>
      <w:r w:rsidR="0093680A" w:rsidRPr="00295637">
        <w:rPr>
          <w:rFonts w:ascii="Times New Roman" w:hAnsi="Times New Roman"/>
          <w:lang w:val="sr-Cyrl-BA"/>
        </w:rPr>
        <w:t xml:space="preserve"> </w:t>
      </w:r>
      <w:r w:rsidR="00C6214E">
        <w:rPr>
          <w:rFonts w:ascii="Times New Roman" w:hAnsi="Times New Roman"/>
          <w:lang w:val="hr-HR"/>
        </w:rPr>
        <w:t>засновано</w:t>
      </w:r>
      <w:r w:rsidR="0093680A" w:rsidRPr="00295637">
        <w:rPr>
          <w:rFonts w:ascii="Times New Roman" w:hAnsi="Times New Roman"/>
          <w:lang w:val="sr-Cyrl-BA"/>
        </w:rPr>
        <w:t xml:space="preserve"> </w:t>
      </w:r>
      <w:r w:rsidR="00C6214E">
        <w:rPr>
          <w:rFonts w:ascii="Times New Roman" w:hAnsi="Times New Roman"/>
          <w:lang w:val="sr-Cyrl-BA"/>
        </w:rPr>
        <w:t>насиље</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sr-Cyrl-BA"/>
        </w:rPr>
        <w:t>ванредним</w:t>
      </w:r>
      <w:r w:rsidR="0093680A" w:rsidRPr="00295637">
        <w:rPr>
          <w:rFonts w:ascii="Times New Roman" w:hAnsi="Times New Roman"/>
          <w:lang w:val="sr-Cyrl-BA"/>
        </w:rPr>
        <w:t xml:space="preserve"> </w:t>
      </w:r>
      <w:r w:rsidR="00C6214E">
        <w:rPr>
          <w:rFonts w:ascii="Times New Roman" w:hAnsi="Times New Roman"/>
          <w:lang w:val="sr-Cyrl-BA"/>
        </w:rPr>
        <w:t>ситуацијама</w:t>
      </w:r>
      <w:r w:rsidR="0093680A" w:rsidRPr="00295637">
        <w:rPr>
          <w:rFonts w:ascii="Times New Roman" w:hAnsi="Times New Roman"/>
          <w:lang w:val="sr-Cyrl-BA"/>
        </w:rPr>
        <w:t xml:space="preserve"> – </w:t>
      </w:r>
      <w:r w:rsidR="00C6214E">
        <w:rPr>
          <w:rFonts w:ascii="Times New Roman" w:hAnsi="Times New Roman"/>
          <w:lang w:val="sr-Cyrl-BA"/>
        </w:rPr>
        <w:t>пакет</w:t>
      </w:r>
      <w:r w:rsidR="0093680A" w:rsidRPr="00295637">
        <w:rPr>
          <w:rFonts w:ascii="Times New Roman" w:hAnsi="Times New Roman"/>
          <w:lang w:val="sr-Cyrl-BA"/>
        </w:rPr>
        <w:t xml:space="preserve"> </w:t>
      </w:r>
      <w:r w:rsidR="00C6214E">
        <w:rPr>
          <w:rFonts w:ascii="Times New Roman" w:hAnsi="Times New Roman"/>
          <w:lang w:val="sr-Cyrl-BA"/>
        </w:rPr>
        <w:t>за</w:t>
      </w:r>
      <w:r w:rsidR="0093680A" w:rsidRPr="00295637">
        <w:rPr>
          <w:rFonts w:ascii="Times New Roman" w:hAnsi="Times New Roman"/>
          <w:lang w:val="sr-Cyrl-BA"/>
        </w:rPr>
        <w:t xml:space="preserve"> </w:t>
      </w:r>
      <w:r w:rsidR="00C6214E">
        <w:rPr>
          <w:rFonts w:ascii="Times New Roman" w:hAnsi="Times New Roman"/>
          <w:lang w:val="sr-Cyrl-BA"/>
        </w:rPr>
        <w:t>обуку</w:t>
      </w:r>
      <w:r w:rsidR="0093680A" w:rsidRPr="00295637">
        <w:rPr>
          <w:rFonts w:ascii="Times New Roman" w:hAnsi="Times New Roman"/>
          <w:lang w:val="sr-Cyrl-BA"/>
        </w:rPr>
        <w:t xml:space="preserve">. </w:t>
      </w:r>
      <w:r w:rsidR="00C6214E">
        <w:rPr>
          <w:rFonts w:ascii="Times New Roman" w:hAnsi="Times New Roman"/>
          <w:lang w:val="sr-Cyrl-BA"/>
        </w:rPr>
        <w:t>На</w:t>
      </w:r>
      <w:r w:rsidR="0093680A" w:rsidRPr="00295637">
        <w:rPr>
          <w:rFonts w:ascii="Times New Roman" w:hAnsi="Times New Roman"/>
          <w:lang w:val="sr-Cyrl-BA"/>
        </w:rPr>
        <w:t xml:space="preserve"> </w:t>
      </w:r>
      <w:r w:rsidR="00C6214E">
        <w:rPr>
          <w:rFonts w:ascii="Times New Roman" w:hAnsi="Times New Roman"/>
          <w:lang w:val="sr-Cyrl-BA"/>
        </w:rPr>
        <w:t>овај</w:t>
      </w:r>
      <w:r w:rsidR="0093680A" w:rsidRPr="00295637">
        <w:rPr>
          <w:rFonts w:ascii="Times New Roman" w:hAnsi="Times New Roman"/>
          <w:lang w:val="sr-Cyrl-BA"/>
        </w:rPr>
        <w:t xml:space="preserve"> </w:t>
      </w:r>
      <w:r w:rsidR="00C6214E">
        <w:rPr>
          <w:rFonts w:ascii="Times New Roman" w:hAnsi="Times New Roman"/>
          <w:lang w:val="sr-Cyrl-BA"/>
        </w:rPr>
        <w:t>начин</w:t>
      </w:r>
      <w:r w:rsidR="0093680A" w:rsidRPr="00295637">
        <w:rPr>
          <w:rFonts w:ascii="Times New Roman" w:hAnsi="Times New Roman"/>
          <w:lang w:val="sr-Cyrl-BA"/>
        </w:rPr>
        <w:t xml:space="preserve"> </w:t>
      </w:r>
      <w:r w:rsidR="00C6214E">
        <w:rPr>
          <w:rFonts w:ascii="Times New Roman" w:hAnsi="Times New Roman"/>
          <w:lang w:val="sr-Latn-BA"/>
        </w:rPr>
        <w:t>уређен</w:t>
      </w:r>
      <w:r w:rsidR="0093680A" w:rsidRPr="00295637">
        <w:rPr>
          <w:rFonts w:ascii="Times New Roman" w:hAnsi="Times New Roman"/>
          <w:lang w:val="sr-Latn-BA"/>
        </w:rPr>
        <w:t xml:space="preserve"> </w:t>
      </w:r>
      <w:r w:rsidR="00C6214E">
        <w:rPr>
          <w:rFonts w:ascii="Times New Roman" w:hAnsi="Times New Roman"/>
          <w:lang w:val="sr-Latn-BA"/>
        </w:rPr>
        <w:t>је</w:t>
      </w:r>
      <w:r w:rsidR="0093680A" w:rsidRPr="00295637">
        <w:rPr>
          <w:rFonts w:ascii="Times New Roman" w:hAnsi="Times New Roman"/>
          <w:lang w:val="sr-Latn-BA"/>
        </w:rPr>
        <w:t xml:space="preserve"> </w:t>
      </w:r>
      <w:r w:rsidR="00C6214E">
        <w:rPr>
          <w:rFonts w:ascii="Times New Roman" w:hAnsi="Times New Roman"/>
          <w:lang w:val="sr-Latn-BA"/>
        </w:rPr>
        <w:t>систем</w:t>
      </w:r>
      <w:r w:rsidR="0093680A" w:rsidRPr="00295637">
        <w:rPr>
          <w:rFonts w:ascii="Times New Roman" w:hAnsi="Times New Roman"/>
          <w:lang w:val="sr-Cyrl-BA"/>
        </w:rPr>
        <w:t xml:space="preserve"> </w:t>
      </w:r>
      <w:r w:rsidR="00C6214E">
        <w:rPr>
          <w:rFonts w:ascii="Times New Roman" w:hAnsi="Times New Roman"/>
          <w:lang w:val="sr-Cyrl-BA"/>
        </w:rPr>
        <w:t>за</w:t>
      </w:r>
      <w:r w:rsidR="0093680A" w:rsidRPr="00295637">
        <w:rPr>
          <w:rFonts w:ascii="Times New Roman" w:hAnsi="Times New Roman"/>
          <w:lang w:val="sr-Cyrl-BA"/>
        </w:rPr>
        <w:t xml:space="preserve"> </w:t>
      </w:r>
      <w:r w:rsidR="00C6214E">
        <w:rPr>
          <w:rFonts w:ascii="Times New Roman" w:hAnsi="Times New Roman"/>
          <w:lang w:val="sr-Cyrl-BA"/>
        </w:rPr>
        <w:t>свеобухватну</w:t>
      </w:r>
      <w:r w:rsidR="0093680A" w:rsidRPr="00295637">
        <w:rPr>
          <w:rFonts w:ascii="Times New Roman" w:hAnsi="Times New Roman"/>
          <w:lang w:val="sr-Cyrl-BA"/>
        </w:rPr>
        <w:t xml:space="preserve"> </w:t>
      </w:r>
      <w:r w:rsidR="00C6214E">
        <w:rPr>
          <w:rFonts w:ascii="Times New Roman" w:hAnsi="Times New Roman"/>
          <w:lang w:val="sr-Cyrl-BA"/>
        </w:rPr>
        <w:t>едукацију</w:t>
      </w:r>
      <w:r w:rsidR="0093680A" w:rsidRPr="00295637">
        <w:rPr>
          <w:rFonts w:ascii="Times New Roman" w:hAnsi="Times New Roman"/>
          <w:lang w:val="sr-Cyrl-BA"/>
        </w:rPr>
        <w:t xml:space="preserve"> </w:t>
      </w:r>
      <w:r w:rsidR="00C6214E">
        <w:rPr>
          <w:rFonts w:ascii="Times New Roman" w:hAnsi="Times New Roman"/>
          <w:lang w:val="sr-Cyrl-BA"/>
        </w:rPr>
        <w:t>здравствених</w:t>
      </w:r>
      <w:r w:rsidR="0093680A" w:rsidRPr="00295637">
        <w:rPr>
          <w:rFonts w:ascii="Times New Roman" w:hAnsi="Times New Roman"/>
          <w:lang w:val="sr-Cyrl-BA"/>
        </w:rPr>
        <w:t xml:space="preserve"> </w:t>
      </w:r>
      <w:r w:rsidR="00C6214E">
        <w:rPr>
          <w:rFonts w:ascii="Times New Roman" w:hAnsi="Times New Roman"/>
          <w:lang w:val="sr-Cyrl-BA"/>
        </w:rPr>
        <w:t>радника</w:t>
      </w:r>
      <w:r w:rsidR="0093680A" w:rsidRPr="00295637">
        <w:rPr>
          <w:rFonts w:ascii="Times New Roman" w:hAnsi="Times New Roman"/>
          <w:lang w:val="sr-Cyrl-BA"/>
        </w:rPr>
        <w:t xml:space="preserve"> </w:t>
      </w:r>
      <w:r w:rsidR="00C6214E">
        <w:rPr>
          <w:rFonts w:ascii="Times New Roman" w:hAnsi="Times New Roman"/>
          <w:lang w:val="sr-Cyrl-BA"/>
        </w:rPr>
        <w:t>и</w:t>
      </w:r>
      <w:r w:rsidR="0093680A" w:rsidRPr="00295637">
        <w:rPr>
          <w:rFonts w:ascii="Times New Roman" w:hAnsi="Times New Roman"/>
          <w:lang w:val="sr-Cyrl-BA"/>
        </w:rPr>
        <w:t xml:space="preserve"> </w:t>
      </w:r>
      <w:r w:rsidR="00C6214E">
        <w:rPr>
          <w:rFonts w:ascii="Times New Roman" w:hAnsi="Times New Roman"/>
          <w:lang w:val="sr-Cyrl-BA"/>
        </w:rPr>
        <w:t>здравствених</w:t>
      </w:r>
      <w:r w:rsidR="0093680A" w:rsidRPr="00295637">
        <w:rPr>
          <w:rFonts w:ascii="Times New Roman" w:hAnsi="Times New Roman"/>
          <w:lang w:val="sr-Cyrl-BA"/>
        </w:rPr>
        <w:t xml:space="preserve"> </w:t>
      </w:r>
      <w:r w:rsidR="00C6214E">
        <w:rPr>
          <w:rFonts w:ascii="Times New Roman" w:hAnsi="Times New Roman"/>
          <w:lang w:val="sr-Cyrl-BA"/>
        </w:rPr>
        <w:t>с</w:t>
      </w:r>
      <w:r w:rsidR="00C6214E">
        <w:rPr>
          <w:rFonts w:ascii="Times New Roman" w:hAnsi="Times New Roman"/>
          <w:lang w:val="hr-HR"/>
        </w:rPr>
        <w:t>а</w:t>
      </w:r>
      <w:r w:rsidR="00C6214E">
        <w:rPr>
          <w:rFonts w:ascii="Times New Roman" w:hAnsi="Times New Roman"/>
          <w:lang w:val="sr-Cyrl-BA"/>
        </w:rPr>
        <w:t>радника</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sr-Cyrl-BA"/>
        </w:rPr>
        <w:t>Р</w:t>
      </w:r>
      <w:r w:rsidR="00C6214E">
        <w:rPr>
          <w:rFonts w:ascii="Times New Roman" w:hAnsi="Times New Roman"/>
          <w:lang w:val="bs-Latn-BA"/>
        </w:rPr>
        <w:t>С</w:t>
      </w:r>
      <w:r w:rsidR="0093680A" w:rsidRPr="00295637">
        <w:rPr>
          <w:rFonts w:ascii="Times New Roman" w:hAnsi="Times New Roman"/>
          <w:lang w:val="sr-Cyrl-BA"/>
        </w:rPr>
        <w:t xml:space="preserve"> </w:t>
      </w:r>
      <w:r w:rsidR="00C6214E">
        <w:rPr>
          <w:rFonts w:ascii="Times New Roman" w:hAnsi="Times New Roman"/>
          <w:lang w:val="sr-Cyrl-BA"/>
        </w:rPr>
        <w:t>у</w:t>
      </w:r>
      <w:r w:rsidR="0093680A" w:rsidRPr="00295637">
        <w:rPr>
          <w:rFonts w:ascii="Times New Roman" w:hAnsi="Times New Roman"/>
          <w:lang w:val="sr-Cyrl-BA"/>
        </w:rPr>
        <w:t xml:space="preserve"> </w:t>
      </w:r>
      <w:r w:rsidR="00C6214E">
        <w:rPr>
          <w:rFonts w:ascii="Times New Roman" w:hAnsi="Times New Roman"/>
          <w:lang w:val="sr-Cyrl-BA"/>
        </w:rPr>
        <w:t>пружању</w:t>
      </w:r>
      <w:r w:rsidR="0093680A" w:rsidRPr="00295637">
        <w:rPr>
          <w:rFonts w:ascii="Times New Roman" w:hAnsi="Times New Roman"/>
          <w:lang w:val="sr-Cyrl-BA"/>
        </w:rPr>
        <w:t xml:space="preserve"> </w:t>
      </w:r>
      <w:r w:rsidR="00C6214E">
        <w:rPr>
          <w:rFonts w:ascii="Times New Roman" w:hAnsi="Times New Roman"/>
          <w:lang w:val="sr-Cyrl-BA"/>
        </w:rPr>
        <w:t>услуга</w:t>
      </w:r>
      <w:r w:rsidR="0093680A" w:rsidRPr="00295637">
        <w:rPr>
          <w:rFonts w:ascii="Times New Roman" w:hAnsi="Times New Roman"/>
          <w:lang w:val="sr-Cyrl-BA"/>
        </w:rPr>
        <w:t xml:space="preserve"> </w:t>
      </w:r>
      <w:r w:rsidR="00C6214E">
        <w:rPr>
          <w:rFonts w:ascii="Times New Roman" w:hAnsi="Times New Roman"/>
          <w:lang w:val="sr-Cyrl-BA"/>
        </w:rPr>
        <w:t>жртвама</w:t>
      </w:r>
      <w:r w:rsidR="0093680A" w:rsidRPr="00295637">
        <w:rPr>
          <w:rFonts w:ascii="Times New Roman" w:hAnsi="Times New Roman"/>
          <w:lang w:val="sr-Cyrl-BA"/>
        </w:rPr>
        <w:t xml:space="preserve"> </w:t>
      </w:r>
      <w:r w:rsidR="00C6214E">
        <w:rPr>
          <w:rFonts w:ascii="Times New Roman" w:hAnsi="Times New Roman"/>
          <w:lang w:val="sr-Cyrl-BA"/>
        </w:rPr>
        <w:t>родно</w:t>
      </w:r>
      <w:r w:rsidR="0093680A" w:rsidRPr="00295637">
        <w:rPr>
          <w:rFonts w:ascii="Times New Roman" w:hAnsi="Times New Roman"/>
          <w:lang w:val="sr-Cyrl-BA"/>
        </w:rPr>
        <w:t xml:space="preserve"> </w:t>
      </w:r>
      <w:r w:rsidR="00C6214E">
        <w:rPr>
          <w:rFonts w:ascii="Times New Roman" w:hAnsi="Times New Roman"/>
          <w:lang w:val="hr-HR"/>
        </w:rPr>
        <w:t>заснованог</w:t>
      </w:r>
      <w:r w:rsidR="0093680A" w:rsidRPr="00295637">
        <w:rPr>
          <w:rFonts w:ascii="Times New Roman" w:hAnsi="Times New Roman"/>
          <w:lang w:val="sr-Cyrl-BA"/>
        </w:rPr>
        <w:t xml:space="preserve"> </w:t>
      </w:r>
      <w:r w:rsidR="00C6214E">
        <w:rPr>
          <w:rFonts w:ascii="Times New Roman" w:hAnsi="Times New Roman"/>
          <w:lang w:val="sr-Cyrl-BA"/>
        </w:rPr>
        <w:t>насиља</w:t>
      </w:r>
      <w:r w:rsidR="0093680A" w:rsidRPr="00295637">
        <w:rPr>
          <w:rFonts w:ascii="Times New Roman" w:hAnsi="Times New Roman"/>
          <w:lang w:val="sr-Cyrl-BA"/>
        </w:rPr>
        <w:t>.</w:t>
      </w:r>
    </w:p>
    <w:p w:rsidR="000627E7" w:rsidRDefault="000627E7" w:rsidP="0086268D">
      <w:pPr>
        <w:tabs>
          <w:tab w:val="left" w:pos="284"/>
          <w:tab w:val="left" w:pos="630"/>
          <w:tab w:val="left" w:pos="1080"/>
        </w:tabs>
        <w:jc w:val="both"/>
        <w:rPr>
          <w:rFonts w:ascii="Times New Roman" w:hAnsi="Times New Roman"/>
          <w:szCs w:val="24"/>
          <w:lang w:val="bs-Latn-BA"/>
        </w:rPr>
      </w:pPr>
    </w:p>
    <w:p w:rsidR="00BB210C" w:rsidRDefault="00BB210C" w:rsidP="0086268D">
      <w:pPr>
        <w:tabs>
          <w:tab w:val="left" w:pos="284"/>
          <w:tab w:val="left" w:pos="630"/>
          <w:tab w:val="left" w:pos="1080"/>
        </w:tabs>
        <w:jc w:val="both"/>
        <w:rPr>
          <w:rFonts w:ascii="Times New Roman" w:hAnsi="Times New Roman"/>
          <w:szCs w:val="24"/>
          <w:lang w:val="bs-Latn-BA"/>
        </w:rPr>
      </w:pPr>
    </w:p>
    <w:p w:rsidR="00BB210C" w:rsidRPr="00295637" w:rsidRDefault="00BB210C" w:rsidP="0086268D">
      <w:pPr>
        <w:tabs>
          <w:tab w:val="left" w:pos="284"/>
          <w:tab w:val="left" w:pos="630"/>
          <w:tab w:val="left" w:pos="1080"/>
        </w:tabs>
        <w:jc w:val="both"/>
        <w:rPr>
          <w:rFonts w:ascii="Times New Roman" w:hAnsi="Times New Roman"/>
          <w:szCs w:val="24"/>
          <w:lang w:val="bs-Latn-BA"/>
        </w:rPr>
      </w:pPr>
    </w:p>
    <w:p w:rsidR="0098532D" w:rsidRPr="00295637" w:rsidRDefault="0090180C" w:rsidP="00381123">
      <w:pPr>
        <w:tabs>
          <w:tab w:val="left" w:pos="284"/>
          <w:tab w:val="left" w:pos="630"/>
          <w:tab w:val="left" w:pos="1080"/>
        </w:tabs>
        <w:ind w:left="567"/>
        <w:jc w:val="both"/>
        <w:rPr>
          <w:rFonts w:ascii="Times New Roman" w:hAnsi="Times New Roman"/>
          <w:szCs w:val="24"/>
          <w:lang w:val="bs-Latn-BA"/>
        </w:rPr>
      </w:pPr>
      <w:r w:rsidRPr="0090180C">
        <w:rPr>
          <w:rFonts w:ascii="Times New Roman" w:hAnsi="Times New Roman"/>
          <w:szCs w:val="24"/>
          <w:lang w:val="bs-Latn-BA"/>
        </w:rPr>
        <w:t>I</w:t>
      </w:r>
      <w:r w:rsidR="00381123">
        <w:rPr>
          <w:rFonts w:ascii="Times New Roman" w:hAnsi="Times New Roman"/>
          <w:szCs w:val="24"/>
          <w:lang w:val="bs-Latn-BA"/>
        </w:rPr>
        <w:t xml:space="preserve"> 5.6. </w:t>
      </w:r>
      <w:r w:rsidR="00C6214E">
        <w:rPr>
          <w:rFonts w:ascii="Times New Roman" w:hAnsi="Times New Roman"/>
          <w:szCs w:val="24"/>
          <w:lang w:val="bs-Latn-BA"/>
        </w:rPr>
        <w:t>Пружање</w:t>
      </w:r>
      <w:r w:rsidR="0098532D" w:rsidRPr="00295637">
        <w:rPr>
          <w:rFonts w:ascii="Times New Roman" w:hAnsi="Times New Roman"/>
          <w:szCs w:val="24"/>
          <w:lang w:val="bs-Latn-BA"/>
        </w:rPr>
        <w:t xml:space="preserve"> </w:t>
      </w:r>
      <w:r w:rsidR="00C6214E">
        <w:rPr>
          <w:rFonts w:ascii="Times New Roman" w:hAnsi="Times New Roman"/>
          <w:szCs w:val="24"/>
          <w:lang w:val="bs-Latn-BA"/>
        </w:rPr>
        <w:t>подршке</w:t>
      </w:r>
      <w:r w:rsidR="0098532D" w:rsidRPr="00295637">
        <w:rPr>
          <w:rFonts w:ascii="Times New Roman" w:hAnsi="Times New Roman"/>
          <w:szCs w:val="24"/>
          <w:lang w:val="bs-Latn-BA"/>
        </w:rPr>
        <w:t xml:space="preserve"> </w:t>
      </w:r>
      <w:r>
        <w:rPr>
          <w:rFonts w:ascii="Times New Roman" w:hAnsi="Times New Roman"/>
          <w:szCs w:val="24"/>
          <w:lang w:val="sr-Cyrl-BA"/>
        </w:rPr>
        <w:t>спровођењу</w:t>
      </w:r>
      <w:r w:rsidR="0098532D" w:rsidRPr="00295637">
        <w:rPr>
          <w:rFonts w:ascii="Times New Roman" w:hAnsi="Times New Roman"/>
          <w:szCs w:val="24"/>
          <w:lang w:val="bs-Latn-BA"/>
        </w:rPr>
        <w:t xml:space="preserve"> </w:t>
      </w:r>
      <w:r w:rsidR="00C6214E">
        <w:rPr>
          <w:rFonts w:ascii="Times New Roman" w:hAnsi="Times New Roman"/>
          <w:szCs w:val="24"/>
          <w:lang w:val="bs-Latn-BA"/>
        </w:rPr>
        <w:t>обука</w:t>
      </w:r>
      <w:r w:rsidR="0098532D" w:rsidRPr="00295637">
        <w:rPr>
          <w:rFonts w:ascii="Times New Roman" w:hAnsi="Times New Roman"/>
          <w:szCs w:val="24"/>
          <w:lang w:val="bs-Latn-BA"/>
        </w:rPr>
        <w:t xml:space="preserve"> </w:t>
      </w:r>
      <w:r w:rsidR="00C6214E">
        <w:rPr>
          <w:rFonts w:ascii="Times New Roman" w:hAnsi="Times New Roman"/>
          <w:szCs w:val="24"/>
          <w:lang w:val="bs-Latn-BA"/>
        </w:rPr>
        <w:t>о</w:t>
      </w:r>
      <w:r w:rsidR="0098532D"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98532D"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98532D" w:rsidRPr="00295637">
        <w:rPr>
          <w:rFonts w:ascii="Times New Roman" w:hAnsi="Times New Roman"/>
          <w:szCs w:val="24"/>
          <w:lang w:val="bs-Latn-BA"/>
        </w:rPr>
        <w:t xml:space="preserve"> </w:t>
      </w:r>
      <w:r w:rsidR="00C6214E">
        <w:rPr>
          <w:rFonts w:ascii="Times New Roman" w:hAnsi="Times New Roman"/>
          <w:szCs w:val="24"/>
          <w:lang w:val="bs-Latn-BA"/>
        </w:rPr>
        <w:t>за</w:t>
      </w:r>
      <w:r w:rsidR="0098532D" w:rsidRPr="00295637">
        <w:rPr>
          <w:rFonts w:ascii="Times New Roman" w:hAnsi="Times New Roman"/>
          <w:szCs w:val="24"/>
          <w:lang w:val="bs-Latn-BA"/>
        </w:rPr>
        <w:t xml:space="preserve"> </w:t>
      </w:r>
      <w:r w:rsidR="00C6214E">
        <w:rPr>
          <w:rFonts w:ascii="Times New Roman" w:hAnsi="Times New Roman"/>
          <w:szCs w:val="24"/>
          <w:lang w:val="bs-Latn-BA"/>
        </w:rPr>
        <w:t>професионално</w:t>
      </w:r>
      <w:r w:rsidR="0098532D" w:rsidRPr="00295637">
        <w:rPr>
          <w:rFonts w:ascii="Times New Roman" w:hAnsi="Times New Roman"/>
          <w:szCs w:val="24"/>
          <w:lang w:val="bs-Latn-BA"/>
        </w:rPr>
        <w:t xml:space="preserve"> </w:t>
      </w:r>
      <w:r w:rsidR="00C6214E">
        <w:rPr>
          <w:rFonts w:ascii="Times New Roman" w:hAnsi="Times New Roman"/>
          <w:szCs w:val="24"/>
          <w:lang w:val="bs-Latn-BA"/>
        </w:rPr>
        <w:t>особље</w:t>
      </w:r>
      <w:r w:rsidR="0098532D" w:rsidRPr="00295637">
        <w:rPr>
          <w:rFonts w:ascii="Times New Roman" w:hAnsi="Times New Roman"/>
          <w:szCs w:val="24"/>
          <w:lang w:val="bs-Latn-BA"/>
        </w:rPr>
        <w:t xml:space="preserve"> </w:t>
      </w:r>
      <w:r w:rsidR="00C6214E">
        <w:rPr>
          <w:rFonts w:ascii="Times New Roman" w:hAnsi="Times New Roman"/>
          <w:szCs w:val="24"/>
          <w:lang w:val="bs-Latn-BA"/>
        </w:rPr>
        <w:t>у</w:t>
      </w:r>
      <w:r w:rsidR="0098532D"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98532D" w:rsidRPr="00295637">
        <w:rPr>
          <w:rFonts w:ascii="Times New Roman" w:hAnsi="Times New Roman"/>
          <w:szCs w:val="24"/>
          <w:lang w:val="bs-Latn-BA"/>
        </w:rPr>
        <w:t xml:space="preserve"> </w:t>
      </w:r>
      <w:r w:rsidR="00C6214E">
        <w:rPr>
          <w:rFonts w:ascii="Times New Roman" w:hAnsi="Times New Roman"/>
          <w:szCs w:val="24"/>
          <w:lang w:val="bs-Latn-BA"/>
        </w:rPr>
        <w:t>здравства</w:t>
      </w:r>
      <w:r w:rsidR="0098532D" w:rsidRPr="00295637">
        <w:rPr>
          <w:rFonts w:ascii="Times New Roman" w:hAnsi="Times New Roman"/>
          <w:szCs w:val="24"/>
          <w:lang w:val="bs-Latn-BA"/>
        </w:rPr>
        <w:t xml:space="preserve"> </w:t>
      </w:r>
      <w:r w:rsidR="00C6214E">
        <w:rPr>
          <w:rFonts w:ascii="Times New Roman" w:hAnsi="Times New Roman"/>
          <w:szCs w:val="24"/>
          <w:lang w:val="bs-Latn-BA"/>
        </w:rPr>
        <w:t>како</w:t>
      </w:r>
      <w:r w:rsidR="0098532D" w:rsidRPr="00295637">
        <w:rPr>
          <w:rFonts w:ascii="Times New Roman" w:hAnsi="Times New Roman"/>
          <w:szCs w:val="24"/>
          <w:lang w:val="bs-Latn-BA"/>
        </w:rPr>
        <w:t xml:space="preserve"> </w:t>
      </w:r>
      <w:r w:rsidR="00C6214E">
        <w:rPr>
          <w:rFonts w:ascii="Times New Roman" w:hAnsi="Times New Roman"/>
          <w:szCs w:val="24"/>
          <w:lang w:val="bs-Latn-BA"/>
        </w:rPr>
        <w:t>би</w:t>
      </w:r>
      <w:r w:rsidR="0098532D" w:rsidRPr="00295637">
        <w:rPr>
          <w:rFonts w:ascii="Times New Roman" w:hAnsi="Times New Roman"/>
          <w:szCs w:val="24"/>
          <w:lang w:val="bs-Latn-BA"/>
        </w:rPr>
        <w:t xml:space="preserve"> </w:t>
      </w:r>
      <w:r w:rsidR="00C6214E">
        <w:rPr>
          <w:rFonts w:ascii="Times New Roman" w:hAnsi="Times New Roman"/>
          <w:szCs w:val="24"/>
          <w:lang w:val="bs-Latn-BA"/>
        </w:rPr>
        <w:t>се</w:t>
      </w:r>
      <w:r w:rsidR="0098532D" w:rsidRPr="00295637">
        <w:rPr>
          <w:rFonts w:ascii="Times New Roman" w:hAnsi="Times New Roman"/>
          <w:szCs w:val="24"/>
          <w:lang w:val="bs-Latn-BA"/>
        </w:rPr>
        <w:t xml:space="preserve"> </w:t>
      </w:r>
      <w:r w:rsidR="00C6214E">
        <w:rPr>
          <w:rFonts w:ascii="Times New Roman" w:hAnsi="Times New Roman"/>
          <w:szCs w:val="24"/>
          <w:lang w:val="bs-Latn-BA"/>
        </w:rPr>
        <w:t>уважиле</w:t>
      </w:r>
      <w:r w:rsidR="0098532D" w:rsidRPr="00295637">
        <w:rPr>
          <w:rFonts w:ascii="Times New Roman" w:hAnsi="Times New Roman"/>
          <w:szCs w:val="24"/>
          <w:lang w:val="bs-Latn-BA"/>
        </w:rPr>
        <w:t xml:space="preserve"> </w:t>
      </w:r>
      <w:r w:rsidR="00C6214E">
        <w:rPr>
          <w:rFonts w:ascii="Times New Roman" w:hAnsi="Times New Roman"/>
          <w:szCs w:val="24"/>
          <w:lang w:val="bs-Latn-BA"/>
        </w:rPr>
        <w:t>различите</w:t>
      </w:r>
      <w:r w:rsidR="0098532D" w:rsidRPr="00295637">
        <w:rPr>
          <w:rFonts w:ascii="Times New Roman" w:hAnsi="Times New Roman"/>
          <w:szCs w:val="24"/>
          <w:lang w:val="bs-Latn-BA"/>
        </w:rPr>
        <w:t xml:space="preserve"> </w:t>
      </w:r>
      <w:r w:rsidR="00C6214E">
        <w:rPr>
          <w:rFonts w:ascii="Times New Roman" w:hAnsi="Times New Roman"/>
          <w:szCs w:val="24"/>
          <w:lang w:val="bs-Latn-BA"/>
        </w:rPr>
        <w:t>потребе</w:t>
      </w:r>
      <w:r w:rsidR="0098532D" w:rsidRPr="00295637">
        <w:rPr>
          <w:rFonts w:ascii="Times New Roman" w:hAnsi="Times New Roman"/>
          <w:szCs w:val="24"/>
          <w:lang w:val="bs-Latn-BA"/>
        </w:rPr>
        <w:t xml:space="preserve"> </w:t>
      </w:r>
      <w:r w:rsidR="00C6214E">
        <w:rPr>
          <w:rFonts w:ascii="Times New Roman" w:hAnsi="Times New Roman"/>
          <w:szCs w:val="24"/>
          <w:lang w:val="bs-Latn-BA"/>
        </w:rPr>
        <w:t>и</w:t>
      </w:r>
      <w:r w:rsidR="0098532D" w:rsidRPr="00295637">
        <w:rPr>
          <w:rFonts w:ascii="Times New Roman" w:hAnsi="Times New Roman"/>
          <w:szCs w:val="24"/>
          <w:lang w:val="bs-Latn-BA"/>
        </w:rPr>
        <w:t xml:space="preserve"> </w:t>
      </w:r>
      <w:r w:rsidR="00C6214E">
        <w:rPr>
          <w:rFonts w:ascii="Times New Roman" w:hAnsi="Times New Roman"/>
          <w:szCs w:val="24"/>
          <w:lang w:val="bs-Latn-BA"/>
        </w:rPr>
        <w:t>интереси</w:t>
      </w:r>
      <w:r w:rsidR="0098532D" w:rsidRPr="00295637">
        <w:rPr>
          <w:rFonts w:ascii="Times New Roman" w:hAnsi="Times New Roman"/>
          <w:szCs w:val="24"/>
          <w:lang w:val="bs-Latn-BA"/>
        </w:rPr>
        <w:t xml:space="preserve"> </w:t>
      </w:r>
      <w:r w:rsidR="00C6214E">
        <w:rPr>
          <w:rFonts w:ascii="Times New Roman" w:hAnsi="Times New Roman"/>
          <w:szCs w:val="24"/>
          <w:lang w:val="bs-Latn-BA"/>
        </w:rPr>
        <w:t>и</w:t>
      </w:r>
      <w:r w:rsidR="0098532D" w:rsidRPr="00295637">
        <w:rPr>
          <w:rFonts w:ascii="Times New Roman" w:hAnsi="Times New Roman"/>
          <w:szCs w:val="24"/>
          <w:lang w:val="bs-Latn-BA"/>
        </w:rPr>
        <w:t xml:space="preserve"> </w:t>
      </w:r>
      <w:r w:rsidR="00C6214E">
        <w:rPr>
          <w:rFonts w:ascii="Times New Roman" w:hAnsi="Times New Roman"/>
          <w:szCs w:val="24"/>
          <w:lang w:val="bs-Latn-BA"/>
        </w:rPr>
        <w:t>жена</w:t>
      </w:r>
      <w:r w:rsidR="0098532D" w:rsidRPr="00295637">
        <w:rPr>
          <w:rFonts w:ascii="Times New Roman" w:hAnsi="Times New Roman"/>
          <w:szCs w:val="24"/>
          <w:lang w:val="bs-Latn-BA"/>
        </w:rPr>
        <w:t xml:space="preserve"> </w:t>
      </w:r>
      <w:r w:rsidR="00C6214E">
        <w:rPr>
          <w:rFonts w:ascii="Times New Roman" w:hAnsi="Times New Roman"/>
          <w:szCs w:val="24"/>
          <w:lang w:val="bs-Latn-BA"/>
        </w:rPr>
        <w:t>и</w:t>
      </w:r>
      <w:r w:rsidR="0098532D" w:rsidRPr="00295637">
        <w:rPr>
          <w:rFonts w:ascii="Times New Roman" w:hAnsi="Times New Roman"/>
          <w:szCs w:val="24"/>
          <w:lang w:val="bs-Latn-BA"/>
        </w:rPr>
        <w:t xml:space="preserve"> </w:t>
      </w:r>
      <w:r w:rsidR="00C6214E">
        <w:rPr>
          <w:rFonts w:ascii="Times New Roman" w:hAnsi="Times New Roman"/>
          <w:szCs w:val="24"/>
          <w:lang w:val="bs-Latn-BA"/>
        </w:rPr>
        <w:t>мушкараца</w:t>
      </w:r>
      <w:r w:rsidR="0098532D" w:rsidRPr="00295637">
        <w:rPr>
          <w:rFonts w:ascii="Times New Roman" w:hAnsi="Times New Roman"/>
          <w:szCs w:val="24"/>
          <w:lang w:val="bs-Latn-BA"/>
        </w:rPr>
        <w:t xml:space="preserve"> </w:t>
      </w:r>
      <w:r w:rsidR="00C6214E">
        <w:rPr>
          <w:rFonts w:ascii="Times New Roman" w:hAnsi="Times New Roman"/>
          <w:szCs w:val="24"/>
          <w:lang w:val="bs-Latn-BA"/>
        </w:rPr>
        <w:t>и</w:t>
      </w:r>
      <w:r w:rsidR="0098532D" w:rsidRPr="00295637">
        <w:rPr>
          <w:rFonts w:ascii="Times New Roman" w:hAnsi="Times New Roman"/>
          <w:szCs w:val="24"/>
          <w:lang w:val="bs-Latn-BA"/>
        </w:rPr>
        <w:t xml:space="preserve"> </w:t>
      </w:r>
      <w:r w:rsidR="00C6214E">
        <w:rPr>
          <w:rFonts w:ascii="Times New Roman" w:hAnsi="Times New Roman"/>
          <w:szCs w:val="24"/>
          <w:lang w:val="bs-Latn-BA"/>
        </w:rPr>
        <w:t>о</w:t>
      </w:r>
      <w:r>
        <w:rPr>
          <w:rFonts w:ascii="Times New Roman" w:hAnsi="Times New Roman"/>
          <w:szCs w:val="24"/>
          <w:lang w:val="sr-Cyrl-BA"/>
        </w:rPr>
        <w:t>безбиједило</w:t>
      </w:r>
      <w:r w:rsidR="0098532D" w:rsidRPr="00295637">
        <w:rPr>
          <w:rFonts w:ascii="Times New Roman" w:hAnsi="Times New Roman"/>
          <w:szCs w:val="24"/>
          <w:lang w:val="bs-Latn-BA"/>
        </w:rPr>
        <w:t xml:space="preserve"> </w:t>
      </w:r>
      <w:r w:rsidR="00C6214E">
        <w:rPr>
          <w:rFonts w:ascii="Times New Roman" w:hAnsi="Times New Roman"/>
          <w:szCs w:val="24"/>
          <w:lang w:val="bs-Latn-BA"/>
        </w:rPr>
        <w:t>родно</w:t>
      </w:r>
      <w:r w:rsidR="0098532D" w:rsidRPr="00295637">
        <w:rPr>
          <w:rFonts w:ascii="Times New Roman" w:hAnsi="Times New Roman"/>
          <w:szCs w:val="24"/>
          <w:lang w:val="bs-Latn-BA"/>
        </w:rPr>
        <w:t xml:space="preserve"> </w:t>
      </w:r>
      <w:r w:rsidR="00C6214E">
        <w:rPr>
          <w:rFonts w:ascii="Times New Roman" w:hAnsi="Times New Roman"/>
          <w:szCs w:val="24"/>
          <w:lang w:val="bs-Latn-BA"/>
        </w:rPr>
        <w:t>осјетљиво</w:t>
      </w:r>
      <w:r w:rsidR="0098532D" w:rsidRPr="00295637">
        <w:rPr>
          <w:rFonts w:ascii="Times New Roman" w:hAnsi="Times New Roman"/>
          <w:szCs w:val="24"/>
          <w:lang w:val="bs-Latn-BA"/>
        </w:rPr>
        <w:t xml:space="preserve"> </w:t>
      </w:r>
      <w:r w:rsidR="00C6214E">
        <w:rPr>
          <w:rFonts w:ascii="Times New Roman" w:hAnsi="Times New Roman"/>
          <w:szCs w:val="24"/>
          <w:lang w:val="bs-Latn-BA"/>
        </w:rPr>
        <w:t>пружање</w:t>
      </w:r>
      <w:r w:rsidR="0098532D" w:rsidRPr="00295637">
        <w:rPr>
          <w:rFonts w:ascii="Times New Roman" w:hAnsi="Times New Roman"/>
          <w:szCs w:val="24"/>
          <w:lang w:val="bs-Latn-BA"/>
        </w:rPr>
        <w:t xml:space="preserve"> </w:t>
      </w:r>
      <w:r w:rsidR="00C6214E">
        <w:rPr>
          <w:rFonts w:ascii="Times New Roman" w:hAnsi="Times New Roman"/>
          <w:szCs w:val="24"/>
          <w:lang w:val="bs-Latn-BA"/>
        </w:rPr>
        <w:t>здравствених</w:t>
      </w:r>
      <w:r w:rsidR="0098532D" w:rsidRPr="00295637">
        <w:rPr>
          <w:rFonts w:ascii="Times New Roman" w:hAnsi="Times New Roman"/>
          <w:szCs w:val="24"/>
          <w:lang w:val="bs-Latn-BA"/>
        </w:rPr>
        <w:t xml:space="preserve"> </w:t>
      </w:r>
      <w:r w:rsidR="00C6214E">
        <w:rPr>
          <w:rFonts w:ascii="Times New Roman" w:hAnsi="Times New Roman"/>
          <w:szCs w:val="24"/>
          <w:lang w:val="bs-Latn-BA"/>
        </w:rPr>
        <w:t>услуга</w:t>
      </w:r>
      <w:r w:rsidR="0098532D" w:rsidRPr="00295637">
        <w:rPr>
          <w:rFonts w:ascii="Times New Roman" w:hAnsi="Times New Roman"/>
          <w:szCs w:val="24"/>
          <w:lang w:val="bs-Latn-BA"/>
        </w:rPr>
        <w:t>.</w:t>
      </w:r>
    </w:p>
    <w:p w:rsidR="0098532D" w:rsidRPr="00295637" w:rsidRDefault="0098532D" w:rsidP="0086268D">
      <w:pPr>
        <w:tabs>
          <w:tab w:val="left" w:pos="284"/>
          <w:tab w:val="left" w:pos="630"/>
          <w:tab w:val="left" w:pos="1080"/>
        </w:tabs>
        <w:ind w:left="1080"/>
        <w:jc w:val="both"/>
        <w:rPr>
          <w:rFonts w:ascii="Times New Roman" w:hAnsi="Times New Roman"/>
          <w:szCs w:val="24"/>
          <w:lang w:val="bs-Latn-BA"/>
        </w:rPr>
      </w:pPr>
    </w:p>
    <w:p w:rsidR="00524E10" w:rsidRDefault="00C6214E" w:rsidP="0086268D">
      <w:pPr>
        <w:pStyle w:val="NormalWeb"/>
        <w:spacing w:before="0" w:beforeAutospacing="0" w:after="0" w:afterAutospacing="0"/>
        <w:jc w:val="both"/>
        <w:rPr>
          <w:lang w:val="bs-Latn-BA"/>
        </w:rPr>
      </w:pPr>
      <w:r>
        <w:rPr>
          <w:lang w:val="bs-Latn-BA"/>
        </w:rPr>
        <w:t>Током</w:t>
      </w:r>
      <w:r w:rsidR="00EF7E04">
        <w:rPr>
          <w:lang w:val="bs-Latn-BA"/>
        </w:rPr>
        <w:t xml:space="preserve"> </w:t>
      </w:r>
      <w:r>
        <w:rPr>
          <w:lang w:val="bs-Latn-BA"/>
        </w:rPr>
        <w:t>процеса</w:t>
      </w:r>
      <w:r w:rsidR="00EF7E04">
        <w:rPr>
          <w:lang w:val="bs-Latn-BA"/>
        </w:rPr>
        <w:t xml:space="preserve"> </w:t>
      </w:r>
      <w:r>
        <w:rPr>
          <w:lang w:val="bs-Latn-BA"/>
        </w:rPr>
        <w:t>успостављања</w:t>
      </w:r>
      <w:r w:rsidR="00180008" w:rsidRPr="00295637">
        <w:rPr>
          <w:lang w:val="bs-Latn-BA"/>
        </w:rPr>
        <w:t xml:space="preserve"> </w:t>
      </w:r>
      <w:r>
        <w:rPr>
          <w:lang w:val="bs-Latn-BA"/>
        </w:rPr>
        <w:t>кризних</w:t>
      </w:r>
      <w:r w:rsidR="00EF7E04" w:rsidRPr="00295637">
        <w:rPr>
          <w:lang w:val="bs-Latn-BA"/>
        </w:rPr>
        <w:t xml:space="preserve"> </w:t>
      </w:r>
      <w:r>
        <w:rPr>
          <w:lang w:val="bs-Latn-BA"/>
        </w:rPr>
        <w:t>центара</w:t>
      </w:r>
      <w:r w:rsidR="00EF7E04" w:rsidRPr="00295637">
        <w:rPr>
          <w:lang w:val="bs-Latn-BA"/>
        </w:rPr>
        <w:t xml:space="preserve"> </w:t>
      </w:r>
      <w:r>
        <w:rPr>
          <w:lang w:val="bs-Latn-BA"/>
        </w:rPr>
        <w:t>за</w:t>
      </w:r>
      <w:r w:rsidR="00EF7E04" w:rsidRPr="00295637">
        <w:rPr>
          <w:lang w:val="bs-Latn-BA"/>
        </w:rPr>
        <w:t xml:space="preserve"> </w:t>
      </w:r>
      <w:r>
        <w:rPr>
          <w:lang w:val="bs-Latn-BA"/>
        </w:rPr>
        <w:t>жртве</w:t>
      </w:r>
      <w:r w:rsidR="00EF7E04" w:rsidRPr="00295637">
        <w:rPr>
          <w:lang w:val="bs-Latn-BA"/>
        </w:rPr>
        <w:t xml:space="preserve"> </w:t>
      </w:r>
      <w:r>
        <w:rPr>
          <w:lang w:val="bs-Latn-BA"/>
        </w:rPr>
        <w:t>сексуалног</w:t>
      </w:r>
      <w:r w:rsidR="00EF7E04" w:rsidRPr="00295637">
        <w:rPr>
          <w:lang w:val="bs-Latn-BA"/>
        </w:rPr>
        <w:t xml:space="preserve"> </w:t>
      </w:r>
      <w:r>
        <w:rPr>
          <w:lang w:val="bs-Latn-BA"/>
        </w:rPr>
        <w:t>насиља</w:t>
      </w:r>
      <w:r w:rsidR="00EF7E04" w:rsidRPr="00295637">
        <w:rPr>
          <w:lang w:val="bs-Latn-BA"/>
        </w:rPr>
        <w:t xml:space="preserve"> – </w:t>
      </w:r>
      <w:r>
        <w:rPr>
          <w:lang w:val="bs-Latn-BA"/>
        </w:rPr>
        <w:t>силовања</w:t>
      </w:r>
      <w:r w:rsidR="00202600">
        <w:rPr>
          <w:lang w:val="bs-Latn-BA"/>
        </w:rPr>
        <w:t xml:space="preserve"> </w:t>
      </w:r>
      <w:r>
        <w:rPr>
          <w:lang w:val="bs-Latn-BA"/>
        </w:rPr>
        <w:t>при</w:t>
      </w:r>
      <w:r w:rsidR="00202600">
        <w:rPr>
          <w:lang w:val="bs-Latn-BA"/>
        </w:rPr>
        <w:t xml:space="preserve"> </w:t>
      </w:r>
      <w:r>
        <w:rPr>
          <w:lang w:val="bs-Latn-BA"/>
        </w:rPr>
        <w:t>клиничким</w:t>
      </w:r>
      <w:r w:rsidR="00202600">
        <w:rPr>
          <w:lang w:val="bs-Latn-BA"/>
        </w:rPr>
        <w:t xml:space="preserve"> </w:t>
      </w:r>
      <w:r>
        <w:rPr>
          <w:lang w:val="bs-Latn-BA"/>
        </w:rPr>
        <w:t>центрима</w:t>
      </w:r>
      <w:r w:rsidR="00EF7E04">
        <w:rPr>
          <w:lang w:val="bs-Latn-BA"/>
        </w:rPr>
        <w:t xml:space="preserve">, </w:t>
      </w:r>
      <w:r>
        <w:rPr>
          <w:lang w:val="bs-Latn-BA"/>
        </w:rPr>
        <w:t>којим</w:t>
      </w:r>
      <w:r w:rsidR="00EF7E04">
        <w:rPr>
          <w:lang w:val="bs-Latn-BA"/>
        </w:rPr>
        <w:t xml:space="preserve"> </w:t>
      </w:r>
      <w:r>
        <w:rPr>
          <w:lang w:val="bs-Latn-BA"/>
        </w:rPr>
        <w:t>је</w:t>
      </w:r>
      <w:r w:rsidR="00EF7E04">
        <w:rPr>
          <w:lang w:val="bs-Latn-BA"/>
        </w:rPr>
        <w:t xml:space="preserve"> </w:t>
      </w:r>
      <w:r>
        <w:rPr>
          <w:lang w:val="bs-Latn-BA"/>
        </w:rPr>
        <w:t>руководила</w:t>
      </w:r>
      <w:r w:rsidR="00EF7E04" w:rsidRPr="00295637" w:rsidDel="00AA2171">
        <w:rPr>
          <w:lang w:val="bs-Latn-BA"/>
        </w:rPr>
        <w:t xml:space="preserve"> </w:t>
      </w:r>
      <w:r>
        <w:rPr>
          <w:lang w:val="bs-Latn-BA"/>
        </w:rPr>
        <w:t>АР</w:t>
      </w:r>
      <w:r w:rsidR="0090180C">
        <w:rPr>
          <w:lang w:val="sr-Cyrl-BA"/>
        </w:rPr>
        <w:t>П</w:t>
      </w:r>
      <w:r w:rsidR="00813F15">
        <w:rPr>
          <w:lang w:val="bs-Latn-BA"/>
        </w:rPr>
        <w:t xml:space="preserve"> </w:t>
      </w:r>
      <w:r>
        <w:rPr>
          <w:lang w:val="bs-Latn-BA"/>
        </w:rPr>
        <w:t>БиХ</w:t>
      </w:r>
      <w:r w:rsidR="00813F15">
        <w:rPr>
          <w:lang w:val="bs-Latn-BA"/>
        </w:rPr>
        <w:t xml:space="preserve"> </w:t>
      </w:r>
      <w:r>
        <w:rPr>
          <w:lang w:val="bs-Latn-BA"/>
        </w:rPr>
        <w:t>МЉПИ</w:t>
      </w:r>
      <w:r w:rsidR="00813F15">
        <w:rPr>
          <w:lang w:val="bs-Latn-BA"/>
        </w:rPr>
        <w:t xml:space="preserve"> </w:t>
      </w:r>
      <w:r>
        <w:rPr>
          <w:lang w:val="bs-Latn-BA"/>
        </w:rPr>
        <w:t>БиХ</w:t>
      </w:r>
      <w:r w:rsidR="00EF7E04">
        <w:rPr>
          <w:lang w:val="bs-Latn-BA"/>
        </w:rPr>
        <w:t>,</w:t>
      </w:r>
      <w:r w:rsidR="00180008" w:rsidRPr="00295637">
        <w:rPr>
          <w:lang w:val="bs-Latn-BA"/>
        </w:rPr>
        <w:t xml:space="preserve"> </w:t>
      </w:r>
      <w:r>
        <w:rPr>
          <w:lang w:val="bs-Latn-BA"/>
        </w:rPr>
        <w:t>изграђивани</w:t>
      </w:r>
      <w:r w:rsidR="00180008" w:rsidRPr="00295637">
        <w:rPr>
          <w:lang w:val="bs-Latn-BA"/>
        </w:rPr>
        <w:t xml:space="preserve"> </w:t>
      </w:r>
      <w:r>
        <w:rPr>
          <w:lang w:val="bs-Latn-BA"/>
        </w:rPr>
        <w:t>су</w:t>
      </w:r>
      <w:r w:rsidR="00180008" w:rsidRPr="00295637">
        <w:rPr>
          <w:lang w:val="bs-Latn-BA"/>
        </w:rPr>
        <w:t xml:space="preserve"> </w:t>
      </w:r>
      <w:r>
        <w:rPr>
          <w:lang w:val="bs-Latn-BA"/>
        </w:rPr>
        <w:t>капацитети</w:t>
      </w:r>
      <w:r w:rsidR="00180008" w:rsidRPr="00295637">
        <w:rPr>
          <w:lang w:val="bs-Latn-BA"/>
        </w:rPr>
        <w:t xml:space="preserve"> </w:t>
      </w:r>
      <w:r>
        <w:rPr>
          <w:lang w:val="bs-Latn-BA"/>
        </w:rPr>
        <w:t>релевантног</w:t>
      </w:r>
      <w:r w:rsidR="00180008" w:rsidRPr="00295637">
        <w:rPr>
          <w:lang w:val="bs-Latn-BA"/>
        </w:rPr>
        <w:t xml:space="preserve"> </w:t>
      </w:r>
      <w:r>
        <w:rPr>
          <w:lang w:val="bs-Latn-BA"/>
        </w:rPr>
        <w:t>професионалног</w:t>
      </w:r>
      <w:r w:rsidR="00180008" w:rsidRPr="00295637">
        <w:rPr>
          <w:lang w:val="bs-Latn-BA"/>
        </w:rPr>
        <w:t xml:space="preserve"> </w:t>
      </w:r>
      <w:r>
        <w:rPr>
          <w:lang w:val="bs-Latn-BA"/>
        </w:rPr>
        <w:t>особља</w:t>
      </w:r>
      <w:r w:rsidR="00180008" w:rsidRPr="00295637">
        <w:rPr>
          <w:lang w:val="bs-Latn-BA"/>
        </w:rPr>
        <w:t xml:space="preserve"> </w:t>
      </w:r>
      <w:r>
        <w:rPr>
          <w:lang w:val="bs-Latn-BA"/>
        </w:rPr>
        <w:t>у</w:t>
      </w:r>
      <w:r w:rsidR="00381123">
        <w:rPr>
          <w:lang w:val="bs-Latn-BA"/>
        </w:rPr>
        <w:t xml:space="preserve"> </w:t>
      </w:r>
      <w:r>
        <w:rPr>
          <w:lang w:val="bs-Latn-BA"/>
        </w:rPr>
        <w:t>вези</w:t>
      </w:r>
      <w:r w:rsidR="00381123">
        <w:rPr>
          <w:lang w:val="bs-Latn-BA"/>
        </w:rPr>
        <w:t xml:space="preserve"> </w:t>
      </w:r>
      <w:r>
        <w:rPr>
          <w:lang w:val="bs-Latn-BA"/>
        </w:rPr>
        <w:t>са</w:t>
      </w:r>
      <w:r w:rsidR="00180008" w:rsidRPr="00295637">
        <w:rPr>
          <w:lang w:val="bs-Latn-BA"/>
        </w:rPr>
        <w:t xml:space="preserve"> </w:t>
      </w:r>
      <w:r>
        <w:rPr>
          <w:lang w:val="bs-Latn-BA"/>
        </w:rPr>
        <w:t>потребом</w:t>
      </w:r>
      <w:r w:rsidR="00180008" w:rsidRPr="00295637">
        <w:rPr>
          <w:lang w:val="bs-Latn-BA"/>
        </w:rPr>
        <w:t xml:space="preserve"> </w:t>
      </w:r>
      <w:r>
        <w:rPr>
          <w:lang w:val="bs-Latn-BA"/>
        </w:rPr>
        <w:t>родно</w:t>
      </w:r>
      <w:r w:rsidR="00180008" w:rsidRPr="00295637">
        <w:rPr>
          <w:lang w:val="bs-Latn-BA"/>
        </w:rPr>
        <w:t xml:space="preserve"> </w:t>
      </w:r>
      <w:r>
        <w:rPr>
          <w:lang w:val="bs-Latn-BA"/>
        </w:rPr>
        <w:t>осјетљивог</w:t>
      </w:r>
      <w:r w:rsidR="00180008" w:rsidRPr="00295637">
        <w:rPr>
          <w:lang w:val="bs-Latn-BA"/>
        </w:rPr>
        <w:t xml:space="preserve"> </w:t>
      </w:r>
      <w:r>
        <w:rPr>
          <w:lang w:val="bs-Latn-BA"/>
        </w:rPr>
        <w:t>пружања</w:t>
      </w:r>
      <w:r w:rsidR="00180008" w:rsidRPr="00295637">
        <w:rPr>
          <w:lang w:val="bs-Latn-BA"/>
        </w:rPr>
        <w:t xml:space="preserve"> </w:t>
      </w:r>
      <w:r>
        <w:rPr>
          <w:lang w:val="bs-Latn-BA"/>
        </w:rPr>
        <w:t>здравствених</w:t>
      </w:r>
      <w:r w:rsidR="00180008" w:rsidRPr="00295637">
        <w:rPr>
          <w:lang w:val="bs-Latn-BA"/>
        </w:rPr>
        <w:t xml:space="preserve"> </w:t>
      </w:r>
      <w:r>
        <w:rPr>
          <w:lang w:val="bs-Latn-BA"/>
        </w:rPr>
        <w:t>услуга</w:t>
      </w:r>
      <w:r w:rsidR="00180008" w:rsidRPr="00295637">
        <w:rPr>
          <w:lang w:val="bs-Latn-BA"/>
        </w:rPr>
        <w:t xml:space="preserve"> </w:t>
      </w:r>
      <w:r>
        <w:rPr>
          <w:lang w:val="bs-Latn-BA"/>
        </w:rPr>
        <w:t>и</w:t>
      </w:r>
      <w:r w:rsidR="00180008" w:rsidRPr="00295637">
        <w:rPr>
          <w:lang w:val="bs-Latn-BA"/>
        </w:rPr>
        <w:t xml:space="preserve"> </w:t>
      </w:r>
      <w:r>
        <w:rPr>
          <w:lang w:val="bs-Latn-BA"/>
        </w:rPr>
        <w:t>уважавања</w:t>
      </w:r>
      <w:r w:rsidR="00180008" w:rsidRPr="00295637">
        <w:rPr>
          <w:lang w:val="bs-Latn-BA"/>
        </w:rPr>
        <w:t xml:space="preserve"> </w:t>
      </w:r>
      <w:r>
        <w:rPr>
          <w:lang w:val="bs-Latn-BA"/>
        </w:rPr>
        <w:t>различитих</w:t>
      </w:r>
      <w:r w:rsidR="00180008" w:rsidRPr="00295637">
        <w:rPr>
          <w:lang w:val="bs-Latn-BA"/>
        </w:rPr>
        <w:t xml:space="preserve"> </w:t>
      </w:r>
      <w:r>
        <w:rPr>
          <w:lang w:val="bs-Latn-BA"/>
        </w:rPr>
        <w:t>потреба</w:t>
      </w:r>
      <w:r w:rsidR="00180008" w:rsidRPr="00295637">
        <w:rPr>
          <w:lang w:val="bs-Latn-BA"/>
        </w:rPr>
        <w:t xml:space="preserve"> </w:t>
      </w:r>
      <w:r>
        <w:rPr>
          <w:lang w:val="bs-Latn-BA"/>
        </w:rPr>
        <w:t>и</w:t>
      </w:r>
      <w:r w:rsidR="00180008" w:rsidRPr="00295637">
        <w:rPr>
          <w:lang w:val="bs-Latn-BA"/>
        </w:rPr>
        <w:t xml:space="preserve"> </w:t>
      </w:r>
      <w:r>
        <w:rPr>
          <w:lang w:val="bs-Latn-BA"/>
        </w:rPr>
        <w:t>интереса</w:t>
      </w:r>
      <w:r w:rsidR="00180008" w:rsidRPr="00295637">
        <w:rPr>
          <w:lang w:val="bs-Latn-BA"/>
        </w:rPr>
        <w:t xml:space="preserve"> </w:t>
      </w:r>
      <w:r>
        <w:rPr>
          <w:lang w:val="bs-Latn-BA"/>
        </w:rPr>
        <w:t>жена</w:t>
      </w:r>
      <w:r w:rsidR="00180008" w:rsidRPr="00295637">
        <w:rPr>
          <w:lang w:val="bs-Latn-BA"/>
        </w:rPr>
        <w:t xml:space="preserve"> </w:t>
      </w:r>
      <w:r>
        <w:rPr>
          <w:lang w:val="bs-Latn-BA"/>
        </w:rPr>
        <w:t>и</w:t>
      </w:r>
      <w:r w:rsidR="00180008" w:rsidRPr="00295637">
        <w:rPr>
          <w:lang w:val="bs-Latn-BA"/>
        </w:rPr>
        <w:t xml:space="preserve"> </w:t>
      </w:r>
      <w:r>
        <w:rPr>
          <w:lang w:val="bs-Latn-BA"/>
        </w:rPr>
        <w:t>мушкараца</w:t>
      </w:r>
      <w:r w:rsidR="00180008" w:rsidRPr="00295637">
        <w:rPr>
          <w:lang w:val="bs-Latn-BA"/>
        </w:rPr>
        <w:t xml:space="preserve">. </w:t>
      </w:r>
    </w:p>
    <w:p w:rsidR="000627E7" w:rsidRPr="00295637" w:rsidRDefault="000627E7" w:rsidP="0086268D">
      <w:pPr>
        <w:pStyle w:val="NormalWeb"/>
        <w:spacing w:before="0" w:beforeAutospacing="0" w:after="0" w:afterAutospacing="0"/>
        <w:jc w:val="both"/>
        <w:rPr>
          <w:lang w:val="bs-Latn-BA"/>
        </w:rPr>
      </w:pPr>
    </w:p>
    <w:p w:rsidR="00DC17A9" w:rsidRPr="00295637" w:rsidRDefault="00C6214E" w:rsidP="0086268D">
      <w:pPr>
        <w:pStyle w:val="NormalWeb"/>
        <w:spacing w:before="0" w:beforeAutospacing="0" w:after="0" w:afterAutospacing="0"/>
        <w:jc w:val="both"/>
        <w:rPr>
          <w:lang w:val="bs-Latn-BA"/>
        </w:rPr>
      </w:pPr>
      <w:r>
        <w:rPr>
          <w:lang w:val="sr-Latn-BA"/>
        </w:rPr>
        <w:t>Представници</w:t>
      </w:r>
      <w:r w:rsidR="00DC17A9" w:rsidRPr="00295637">
        <w:rPr>
          <w:lang w:val="sr-Latn-BA"/>
        </w:rPr>
        <w:t xml:space="preserve"> </w:t>
      </w:r>
      <w:r>
        <w:rPr>
          <w:lang w:val="sr-Latn-BA"/>
        </w:rPr>
        <w:t>МЗСЗ</w:t>
      </w:r>
      <w:r w:rsidR="00DC17A9" w:rsidRPr="00295637">
        <w:rPr>
          <w:lang w:val="sr-Latn-BA"/>
        </w:rPr>
        <w:t xml:space="preserve"> </w:t>
      </w:r>
      <w:r w:rsidR="00E765E1">
        <w:rPr>
          <w:lang w:val="bs-Cyrl-BA"/>
        </w:rPr>
        <w:t xml:space="preserve">РС </w:t>
      </w:r>
      <w:r>
        <w:rPr>
          <w:lang w:val="sr-Latn-BA"/>
        </w:rPr>
        <w:t>учествовали</w:t>
      </w:r>
      <w:r w:rsidR="00DC17A9" w:rsidRPr="00295637">
        <w:rPr>
          <w:lang w:val="sr-Latn-BA"/>
        </w:rPr>
        <w:t xml:space="preserve"> </w:t>
      </w:r>
      <w:r>
        <w:rPr>
          <w:lang w:val="sr-Latn-BA"/>
        </w:rPr>
        <w:t>су</w:t>
      </w:r>
      <w:r w:rsidR="00DC17A9" w:rsidRPr="00295637">
        <w:rPr>
          <w:lang w:val="sr-Latn-BA"/>
        </w:rPr>
        <w:t xml:space="preserve"> </w:t>
      </w:r>
      <w:r>
        <w:rPr>
          <w:lang w:val="sr-Latn-BA"/>
        </w:rPr>
        <w:t>на</w:t>
      </w:r>
      <w:r w:rsidR="00DC17A9" w:rsidRPr="00295637">
        <w:rPr>
          <w:lang w:val="sr-Latn-BA"/>
        </w:rPr>
        <w:t xml:space="preserve"> </w:t>
      </w:r>
      <w:r>
        <w:rPr>
          <w:lang w:val="sr-Latn-BA"/>
        </w:rPr>
        <w:t>едукацији</w:t>
      </w:r>
      <w:r w:rsidR="00DC17A9" w:rsidRPr="00295637">
        <w:rPr>
          <w:lang w:val="sr-Latn-BA"/>
        </w:rPr>
        <w:t xml:space="preserve"> </w:t>
      </w:r>
      <w:r w:rsidR="00DC17A9" w:rsidRPr="00295637">
        <w:rPr>
          <w:lang w:val="sr-Cyrl-BA"/>
        </w:rPr>
        <w:t>„</w:t>
      </w:r>
      <w:r>
        <w:rPr>
          <w:lang w:val="hr-HR"/>
        </w:rPr>
        <w:t>Основи</w:t>
      </w:r>
      <w:r w:rsidR="00DC17A9" w:rsidRPr="00295637">
        <w:rPr>
          <w:lang w:val="sr-Cyrl-BA"/>
        </w:rPr>
        <w:t xml:space="preserve"> </w:t>
      </w:r>
      <w:r>
        <w:rPr>
          <w:lang w:val="sr-Cyrl-BA"/>
        </w:rPr>
        <w:t>андрагогије</w:t>
      </w:r>
      <w:r w:rsidR="00DC17A9" w:rsidRPr="00295637">
        <w:rPr>
          <w:lang w:val="sr-Cyrl-BA"/>
        </w:rPr>
        <w:t xml:space="preserve"> </w:t>
      </w:r>
      <w:r>
        <w:rPr>
          <w:lang w:val="sr-Cyrl-BA"/>
        </w:rPr>
        <w:t>за</w:t>
      </w:r>
      <w:r w:rsidR="00DC17A9" w:rsidRPr="00295637">
        <w:rPr>
          <w:lang w:val="sr-Cyrl-BA"/>
        </w:rPr>
        <w:t xml:space="preserve"> </w:t>
      </w:r>
      <w:r>
        <w:rPr>
          <w:lang w:val="sr-Cyrl-BA"/>
        </w:rPr>
        <w:t>едукацију</w:t>
      </w:r>
      <w:r w:rsidR="00DC17A9" w:rsidRPr="00295637">
        <w:rPr>
          <w:lang w:val="sr-Cyrl-BA"/>
        </w:rPr>
        <w:t xml:space="preserve"> </w:t>
      </w:r>
      <w:r>
        <w:rPr>
          <w:lang w:val="sr-Cyrl-BA"/>
        </w:rPr>
        <w:t>едукатора</w:t>
      </w:r>
      <w:r w:rsidR="00DC17A9" w:rsidRPr="00295637">
        <w:rPr>
          <w:lang w:val="sr-Cyrl-BA"/>
        </w:rPr>
        <w:t xml:space="preserve"> </w:t>
      </w:r>
      <w:r>
        <w:rPr>
          <w:lang w:val="sr-Cyrl-BA"/>
        </w:rPr>
        <w:t>у</w:t>
      </w:r>
      <w:r w:rsidR="00DC17A9" w:rsidRPr="00295637">
        <w:rPr>
          <w:lang w:val="sr-Cyrl-BA"/>
        </w:rPr>
        <w:t xml:space="preserve"> </w:t>
      </w:r>
      <w:r>
        <w:rPr>
          <w:lang w:val="hr-HR"/>
        </w:rPr>
        <w:t>области</w:t>
      </w:r>
      <w:r w:rsidR="00DC17A9" w:rsidRPr="00295637">
        <w:rPr>
          <w:lang w:val="sr-Cyrl-BA"/>
        </w:rPr>
        <w:t xml:space="preserve"> </w:t>
      </w:r>
      <w:r>
        <w:rPr>
          <w:lang w:val="sr-Cyrl-BA"/>
        </w:rPr>
        <w:t>одговора</w:t>
      </w:r>
      <w:r w:rsidR="00DC17A9" w:rsidRPr="00295637">
        <w:rPr>
          <w:lang w:val="sr-Cyrl-BA"/>
        </w:rPr>
        <w:t xml:space="preserve"> </w:t>
      </w:r>
      <w:r>
        <w:rPr>
          <w:lang w:val="sr-Cyrl-BA"/>
        </w:rPr>
        <w:t>пружа</w:t>
      </w:r>
      <w:r>
        <w:rPr>
          <w:lang w:val="hr-HR"/>
        </w:rPr>
        <w:t>лаца</w:t>
      </w:r>
      <w:r w:rsidR="00DC17A9" w:rsidRPr="00295637">
        <w:rPr>
          <w:lang w:val="sr-Cyrl-BA"/>
        </w:rPr>
        <w:t xml:space="preserve"> </w:t>
      </w:r>
      <w:r>
        <w:rPr>
          <w:lang w:val="sr-Cyrl-BA"/>
        </w:rPr>
        <w:t>здравствених</w:t>
      </w:r>
      <w:r w:rsidR="00DC17A9" w:rsidRPr="00295637">
        <w:rPr>
          <w:lang w:val="sr-Cyrl-BA"/>
        </w:rPr>
        <w:t xml:space="preserve"> </w:t>
      </w:r>
      <w:r>
        <w:rPr>
          <w:lang w:val="sr-Cyrl-BA"/>
        </w:rPr>
        <w:t>и</w:t>
      </w:r>
      <w:r w:rsidR="00DC17A9" w:rsidRPr="00295637">
        <w:rPr>
          <w:lang w:val="sr-Cyrl-BA"/>
        </w:rPr>
        <w:t xml:space="preserve"> </w:t>
      </w:r>
      <w:r>
        <w:rPr>
          <w:lang w:val="sr-Cyrl-BA"/>
        </w:rPr>
        <w:t>психосоцијалних</w:t>
      </w:r>
      <w:r w:rsidR="00DC17A9" w:rsidRPr="00295637">
        <w:rPr>
          <w:lang w:val="sr-Cyrl-BA"/>
        </w:rPr>
        <w:t xml:space="preserve"> </w:t>
      </w:r>
      <w:r>
        <w:rPr>
          <w:lang w:val="sr-Cyrl-BA"/>
        </w:rPr>
        <w:t>услуга</w:t>
      </w:r>
      <w:r w:rsidR="00DC17A9" w:rsidRPr="00295637">
        <w:rPr>
          <w:lang w:val="sr-Cyrl-BA"/>
        </w:rPr>
        <w:t xml:space="preserve"> </w:t>
      </w:r>
      <w:r>
        <w:rPr>
          <w:lang w:val="sr-Cyrl-BA"/>
        </w:rPr>
        <w:t>у</w:t>
      </w:r>
      <w:r w:rsidR="00DC17A9" w:rsidRPr="00295637">
        <w:rPr>
          <w:lang w:val="sr-Cyrl-BA"/>
        </w:rPr>
        <w:t xml:space="preserve"> </w:t>
      </w:r>
      <w:r>
        <w:rPr>
          <w:lang w:val="sr-Cyrl-BA"/>
        </w:rPr>
        <w:t>Републици</w:t>
      </w:r>
      <w:r w:rsidR="00DC17A9" w:rsidRPr="00295637">
        <w:rPr>
          <w:lang w:val="sr-Cyrl-BA"/>
        </w:rPr>
        <w:t xml:space="preserve"> </w:t>
      </w:r>
      <w:r>
        <w:rPr>
          <w:lang w:val="sr-Cyrl-BA"/>
        </w:rPr>
        <w:t>Српској</w:t>
      </w:r>
      <w:r w:rsidR="00DC17A9" w:rsidRPr="00295637">
        <w:rPr>
          <w:lang w:val="sr-Cyrl-BA"/>
        </w:rPr>
        <w:t xml:space="preserve"> </w:t>
      </w:r>
      <w:r>
        <w:rPr>
          <w:lang w:val="sr-Cyrl-BA"/>
        </w:rPr>
        <w:t>на</w:t>
      </w:r>
      <w:r w:rsidR="00DC17A9" w:rsidRPr="00295637">
        <w:rPr>
          <w:lang w:val="sr-Cyrl-BA"/>
        </w:rPr>
        <w:t xml:space="preserve"> </w:t>
      </w:r>
      <w:r>
        <w:rPr>
          <w:lang w:val="sr-Cyrl-BA"/>
        </w:rPr>
        <w:t>родно</w:t>
      </w:r>
      <w:r w:rsidR="00DC17A9" w:rsidRPr="00295637">
        <w:rPr>
          <w:lang w:val="sr-Cyrl-BA"/>
        </w:rPr>
        <w:t xml:space="preserve"> </w:t>
      </w:r>
      <w:r>
        <w:rPr>
          <w:lang w:val="hr-HR"/>
        </w:rPr>
        <w:t>засновано</w:t>
      </w:r>
      <w:r w:rsidR="00DC17A9" w:rsidRPr="00295637">
        <w:rPr>
          <w:lang w:val="sr-Cyrl-BA"/>
        </w:rPr>
        <w:t xml:space="preserve"> </w:t>
      </w:r>
      <w:r>
        <w:rPr>
          <w:lang w:val="sr-Cyrl-BA"/>
        </w:rPr>
        <w:t>насиље</w:t>
      </w:r>
      <w:r w:rsidR="00DC17A9" w:rsidRPr="00295637">
        <w:rPr>
          <w:lang w:val="sr-Cyrl-BA"/>
        </w:rPr>
        <w:t xml:space="preserve">“, </w:t>
      </w:r>
      <w:r>
        <w:rPr>
          <w:lang w:val="sr-Cyrl-BA"/>
        </w:rPr>
        <w:t>као</w:t>
      </w:r>
      <w:r w:rsidR="00DC17A9" w:rsidRPr="00295637">
        <w:rPr>
          <w:lang w:val="sr-Cyrl-BA"/>
        </w:rPr>
        <w:t xml:space="preserve"> </w:t>
      </w:r>
      <w:r>
        <w:rPr>
          <w:lang w:val="sr-Cyrl-BA"/>
        </w:rPr>
        <w:t>и</w:t>
      </w:r>
      <w:r w:rsidR="00DC17A9" w:rsidRPr="00295637">
        <w:rPr>
          <w:lang w:val="sr-Cyrl-BA"/>
        </w:rPr>
        <w:t xml:space="preserve"> </w:t>
      </w:r>
      <w:r>
        <w:rPr>
          <w:lang w:val="sr-Cyrl-BA"/>
        </w:rPr>
        <w:t>на</w:t>
      </w:r>
      <w:r w:rsidR="00DC17A9" w:rsidRPr="00295637">
        <w:rPr>
          <w:lang w:val="sr-Cyrl-BA"/>
        </w:rPr>
        <w:t xml:space="preserve"> </w:t>
      </w:r>
      <w:r>
        <w:rPr>
          <w:lang w:val="sr-Cyrl-BA"/>
        </w:rPr>
        <w:t>састанк</w:t>
      </w:r>
      <w:r>
        <w:rPr>
          <w:lang w:val="sr-Latn-BA"/>
        </w:rPr>
        <w:t>у</w:t>
      </w:r>
      <w:r w:rsidR="00DC17A9" w:rsidRPr="00295637">
        <w:rPr>
          <w:lang w:val="sr-Cyrl-BA"/>
        </w:rPr>
        <w:t xml:space="preserve"> </w:t>
      </w:r>
      <w:r>
        <w:rPr>
          <w:lang w:val="sr-Cyrl-BA"/>
        </w:rPr>
        <w:t>на</w:t>
      </w:r>
      <w:r w:rsidR="00DC17A9" w:rsidRPr="00295637">
        <w:rPr>
          <w:lang w:val="sr-Cyrl-BA"/>
        </w:rPr>
        <w:t xml:space="preserve"> </w:t>
      </w:r>
      <w:r>
        <w:rPr>
          <w:lang w:val="sr-Cyrl-BA"/>
        </w:rPr>
        <w:t>тему</w:t>
      </w:r>
      <w:r w:rsidR="00DC17A9" w:rsidRPr="00295637">
        <w:rPr>
          <w:lang w:val="sr-Cyrl-BA"/>
        </w:rPr>
        <w:t xml:space="preserve"> </w:t>
      </w:r>
      <w:r>
        <w:rPr>
          <w:lang w:val="sr-Latn-BA"/>
        </w:rPr>
        <w:t>извјештавања</w:t>
      </w:r>
      <w:r w:rsidR="00DC17A9" w:rsidRPr="00295637">
        <w:rPr>
          <w:lang w:val="sr-Latn-BA"/>
        </w:rPr>
        <w:t xml:space="preserve"> </w:t>
      </w:r>
      <w:r>
        <w:rPr>
          <w:lang w:val="sr-Latn-BA"/>
        </w:rPr>
        <w:t>о</w:t>
      </w:r>
      <w:r w:rsidR="00DC17A9" w:rsidRPr="00295637">
        <w:rPr>
          <w:lang w:val="sr-Latn-BA"/>
        </w:rPr>
        <w:t xml:space="preserve"> </w:t>
      </w:r>
      <w:r>
        <w:rPr>
          <w:lang w:val="sr-Latn-BA"/>
        </w:rPr>
        <w:t>примјени</w:t>
      </w:r>
      <w:r w:rsidR="00DC17A9" w:rsidRPr="00295637">
        <w:rPr>
          <w:lang w:val="sr-Latn-BA"/>
        </w:rPr>
        <w:t xml:space="preserve"> </w:t>
      </w:r>
      <w:r>
        <w:rPr>
          <w:lang w:val="sr-Cyrl-BA"/>
        </w:rPr>
        <w:t>Пекиншке</w:t>
      </w:r>
      <w:r w:rsidR="00DC17A9" w:rsidRPr="00295637">
        <w:rPr>
          <w:lang w:val="sr-Cyrl-BA"/>
        </w:rPr>
        <w:t xml:space="preserve"> </w:t>
      </w:r>
      <w:r>
        <w:rPr>
          <w:lang w:val="sr-Cyrl-BA"/>
        </w:rPr>
        <w:t>декларације</w:t>
      </w:r>
      <w:r w:rsidR="00DC17A9" w:rsidRPr="00295637">
        <w:rPr>
          <w:lang w:val="sr-Latn-BA"/>
        </w:rPr>
        <w:t xml:space="preserve"> </w:t>
      </w:r>
      <w:r>
        <w:rPr>
          <w:lang w:val="sr-Latn-BA"/>
        </w:rPr>
        <w:t>и</w:t>
      </w:r>
      <w:r w:rsidR="00DC17A9" w:rsidRPr="00295637">
        <w:rPr>
          <w:lang w:val="sr-Latn-BA"/>
        </w:rPr>
        <w:t xml:space="preserve"> </w:t>
      </w:r>
      <w:r>
        <w:rPr>
          <w:lang w:val="sr-Latn-BA"/>
        </w:rPr>
        <w:t>платформе</w:t>
      </w:r>
      <w:r w:rsidR="00DC17A9" w:rsidRPr="00295637">
        <w:rPr>
          <w:lang w:val="sr-Latn-BA"/>
        </w:rPr>
        <w:t xml:space="preserve"> </w:t>
      </w:r>
      <w:r>
        <w:rPr>
          <w:lang w:val="sr-Latn-BA"/>
        </w:rPr>
        <w:t>за</w:t>
      </w:r>
      <w:r w:rsidR="00DC17A9" w:rsidRPr="00295637">
        <w:rPr>
          <w:lang w:val="sr-Latn-BA"/>
        </w:rPr>
        <w:t xml:space="preserve"> </w:t>
      </w:r>
      <w:r>
        <w:rPr>
          <w:lang w:val="sr-Latn-BA"/>
        </w:rPr>
        <w:t>акцију</w:t>
      </w:r>
      <w:r w:rsidR="00DC17A9" w:rsidRPr="00295637">
        <w:rPr>
          <w:lang w:val="sr-Latn-BA"/>
        </w:rPr>
        <w:t xml:space="preserve"> </w:t>
      </w:r>
      <w:r>
        <w:rPr>
          <w:lang w:val="sr-Latn-BA"/>
        </w:rPr>
        <w:t>УН</w:t>
      </w:r>
      <w:r w:rsidR="00DC17A9" w:rsidRPr="00295637">
        <w:rPr>
          <w:lang w:val="sr-Latn-BA"/>
        </w:rPr>
        <w:t>,</w:t>
      </w:r>
      <w:r w:rsidR="00DC17A9" w:rsidRPr="00295637">
        <w:rPr>
          <w:lang w:val="sr-Cyrl-BA"/>
        </w:rPr>
        <w:t xml:space="preserve"> </w:t>
      </w:r>
      <w:r>
        <w:rPr>
          <w:lang w:val="sr-Cyrl-BA"/>
        </w:rPr>
        <w:t>догађај</w:t>
      </w:r>
      <w:r>
        <w:rPr>
          <w:lang w:val="sr-Latn-BA"/>
        </w:rPr>
        <w:t>у</w:t>
      </w:r>
      <w:r w:rsidR="00DC17A9" w:rsidRPr="00295637">
        <w:rPr>
          <w:lang w:val="sr-Cyrl-BA"/>
        </w:rPr>
        <w:t xml:space="preserve"> </w:t>
      </w:r>
      <w:r>
        <w:rPr>
          <w:lang w:val="sr-Cyrl-BA"/>
        </w:rPr>
        <w:t>на</w:t>
      </w:r>
      <w:r w:rsidR="00DC17A9" w:rsidRPr="00295637">
        <w:rPr>
          <w:lang w:val="sr-Cyrl-BA"/>
        </w:rPr>
        <w:t xml:space="preserve"> </w:t>
      </w:r>
      <w:r>
        <w:rPr>
          <w:lang w:val="sr-Cyrl-BA"/>
        </w:rPr>
        <w:t>тему</w:t>
      </w:r>
      <w:r w:rsidR="00DC17A9" w:rsidRPr="00295637">
        <w:rPr>
          <w:lang w:val="sr-Cyrl-BA"/>
        </w:rPr>
        <w:t>: „</w:t>
      </w:r>
      <w:r>
        <w:rPr>
          <w:lang w:val="sr-Cyrl-BA"/>
        </w:rPr>
        <w:t>Правна</w:t>
      </w:r>
      <w:r w:rsidR="00DC17A9" w:rsidRPr="00295637">
        <w:rPr>
          <w:lang w:val="sr-Cyrl-BA"/>
        </w:rPr>
        <w:t xml:space="preserve"> </w:t>
      </w:r>
      <w:r>
        <w:rPr>
          <w:lang w:val="sr-Cyrl-BA"/>
        </w:rPr>
        <w:t>и</w:t>
      </w:r>
      <w:r w:rsidR="00DC17A9" w:rsidRPr="00295637">
        <w:rPr>
          <w:lang w:val="sr-Cyrl-BA"/>
        </w:rPr>
        <w:t xml:space="preserve"> </w:t>
      </w:r>
      <w:r>
        <w:rPr>
          <w:lang w:val="sr-Cyrl-BA"/>
        </w:rPr>
        <w:t>практична</w:t>
      </w:r>
      <w:r w:rsidR="00DC17A9" w:rsidRPr="00295637">
        <w:rPr>
          <w:lang w:val="sr-Cyrl-BA"/>
        </w:rPr>
        <w:t xml:space="preserve"> </w:t>
      </w:r>
      <w:r>
        <w:rPr>
          <w:lang w:val="sr-Cyrl-BA"/>
        </w:rPr>
        <w:t>примјена</w:t>
      </w:r>
      <w:r w:rsidR="00DC17A9" w:rsidRPr="00295637">
        <w:rPr>
          <w:lang w:val="sr-Cyrl-BA"/>
        </w:rPr>
        <w:t xml:space="preserve"> </w:t>
      </w:r>
      <w:r>
        <w:rPr>
          <w:lang w:val="sr-Cyrl-BA"/>
        </w:rPr>
        <w:t>дефиниције</w:t>
      </w:r>
      <w:r w:rsidR="00DC17A9" w:rsidRPr="00295637">
        <w:rPr>
          <w:lang w:val="sr-Cyrl-BA"/>
        </w:rPr>
        <w:t xml:space="preserve"> </w:t>
      </w:r>
      <w:r>
        <w:rPr>
          <w:lang w:val="sr-Cyrl-BA"/>
        </w:rPr>
        <w:t>сексуалног</w:t>
      </w:r>
      <w:r w:rsidR="00DC17A9" w:rsidRPr="00295637">
        <w:rPr>
          <w:lang w:val="sr-Cyrl-BA"/>
        </w:rPr>
        <w:t xml:space="preserve"> </w:t>
      </w:r>
      <w:r>
        <w:rPr>
          <w:lang w:val="sr-Cyrl-BA"/>
        </w:rPr>
        <w:t>насиља</w:t>
      </w:r>
      <w:r w:rsidR="00DC17A9" w:rsidRPr="00295637">
        <w:rPr>
          <w:lang w:val="sr-Cyrl-BA"/>
        </w:rPr>
        <w:t xml:space="preserve"> </w:t>
      </w:r>
      <w:r>
        <w:rPr>
          <w:lang w:val="sr-Cyrl-BA"/>
        </w:rPr>
        <w:t>на</w:t>
      </w:r>
      <w:r w:rsidR="00DC17A9" w:rsidRPr="00295637">
        <w:rPr>
          <w:lang w:val="sr-Cyrl-BA"/>
        </w:rPr>
        <w:t xml:space="preserve"> </w:t>
      </w:r>
      <w:r>
        <w:rPr>
          <w:lang w:val="hr-HR"/>
        </w:rPr>
        <w:t>основу</w:t>
      </w:r>
      <w:r w:rsidR="00DC17A9" w:rsidRPr="00295637">
        <w:rPr>
          <w:lang w:val="sr-Cyrl-BA"/>
        </w:rPr>
        <w:t xml:space="preserve"> </w:t>
      </w:r>
      <w:r>
        <w:rPr>
          <w:lang w:val="sr-Cyrl-BA"/>
        </w:rPr>
        <w:t>слободно</w:t>
      </w:r>
      <w:r w:rsidR="00DC17A9" w:rsidRPr="00295637">
        <w:rPr>
          <w:lang w:val="sr-Cyrl-BA"/>
        </w:rPr>
        <w:t xml:space="preserve"> </w:t>
      </w:r>
      <w:r>
        <w:rPr>
          <w:lang w:val="sr-Cyrl-BA"/>
        </w:rPr>
        <w:t>датог</w:t>
      </w:r>
      <w:r w:rsidR="00DC17A9" w:rsidRPr="00295637">
        <w:rPr>
          <w:lang w:val="sr-Cyrl-BA"/>
        </w:rPr>
        <w:t xml:space="preserve"> </w:t>
      </w:r>
      <w:r>
        <w:rPr>
          <w:lang w:val="sr-Cyrl-BA"/>
        </w:rPr>
        <w:t>пристанка</w:t>
      </w:r>
      <w:r w:rsidR="00DC17A9" w:rsidRPr="00295637">
        <w:rPr>
          <w:lang w:val="sr-Cyrl-BA"/>
        </w:rPr>
        <w:t xml:space="preserve"> </w:t>
      </w:r>
      <w:r>
        <w:rPr>
          <w:lang w:val="sr-Cyrl-BA"/>
        </w:rPr>
        <w:t>у</w:t>
      </w:r>
      <w:r w:rsidR="00DC17A9" w:rsidRPr="00295637">
        <w:rPr>
          <w:lang w:val="sr-Cyrl-BA"/>
        </w:rPr>
        <w:t xml:space="preserve"> </w:t>
      </w:r>
      <w:r>
        <w:rPr>
          <w:lang w:val="sr-Cyrl-BA"/>
        </w:rPr>
        <w:t>државама</w:t>
      </w:r>
      <w:r w:rsidR="00DC17A9" w:rsidRPr="00295637">
        <w:rPr>
          <w:lang w:val="sr-Cyrl-BA"/>
        </w:rPr>
        <w:t xml:space="preserve"> </w:t>
      </w:r>
      <w:r>
        <w:rPr>
          <w:lang w:val="sr-Cyrl-BA"/>
        </w:rPr>
        <w:t>чланицама</w:t>
      </w:r>
      <w:r w:rsidR="00DC17A9" w:rsidRPr="00295637">
        <w:rPr>
          <w:lang w:val="sr-Cyrl-BA"/>
        </w:rPr>
        <w:t xml:space="preserve"> </w:t>
      </w:r>
      <w:r w:rsidR="0090180C">
        <w:rPr>
          <w:lang w:val="sr-Cyrl-BA"/>
        </w:rPr>
        <w:t>Савјета</w:t>
      </w:r>
      <w:r w:rsidR="000F7324">
        <w:rPr>
          <w:lang w:val="sr-Latn-BA"/>
        </w:rPr>
        <w:t xml:space="preserve"> </w:t>
      </w:r>
      <w:r>
        <w:rPr>
          <w:lang w:val="sr-Latn-BA"/>
        </w:rPr>
        <w:t>Европе</w:t>
      </w:r>
      <w:r w:rsidR="00DC17A9" w:rsidRPr="00295637">
        <w:rPr>
          <w:lang w:val="sr-Cyrl-BA"/>
        </w:rPr>
        <w:t xml:space="preserve">“, </w:t>
      </w:r>
      <w:r>
        <w:rPr>
          <w:lang w:val="sr-Latn-BA"/>
        </w:rPr>
        <w:t>на</w:t>
      </w:r>
      <w:r w:rsidR="00DC17A9" w:rsidRPr="00295637">
        <w:rPr>
          <w:lang w:val="sr-Latn-BA"/>
        </w:rPr>
        <w:t xml:space="preserve"> </w:t>
      </w:r>
      <w:r>
        <w:rPr>
          <w:lang w:val="sr-Cyrl-BA"/>
        </w:rPr>
        <w:t>конференциј</w:t>
      </w:r>
      <w:r>
        <w:rPr>
          <w:lang w:val="sr-Latn-BA"/>
        </w:rPr>
        <w:t>и</w:t>
      </w:r>
      <w:r w:rsidR="00DC17A9" w:rsidRPr="00295637">
        <w:rPr>
          <w:lang w:val="sr-Cyrl-BA"/>
        </w:rPr>
        <w:t xml:space="preserve"> </w:t>
      </w:r>
      <w:r>
        <w:rPr>
          <w:lang w:val="sr-Cyrl-BA"/>
        </w:rPr>
        <w:t>на</w:t>
      </w:r>
      <w:r w:rsidR="00DC17A9" w:rsidRPr="00295637">
        <w:rPr>
          <w:lang w:val="sr-Cyrl-BA"/>
        </w:rPr>
        <w:t xml:space="preserve"> </w:t>
      </w:r>
      <w:r>
        <w:rPr>
          <w:lang w:val="sr-Cyrl-BA"/>
        </w:rPr>
        <w:t>тему</w:t>
      </w:r>
      <w:r w:rsidR="00DC17A9" w:rsidRPr="00295637">
        <w:rPr>
          <w:lang w:val="sr-Cyrl-BA"/>
        </w:rPr>
        <w:t xml:space="preserve"> „</w:t>
      </w:r>
      <w:r>
        <w:rPr>
          <w:lang w:val="sr-Cyrl-BA"/>
        </w:rPr>
        <w:t>Вршњачко</w:t>
      </w:r>
      <w:r w:rsidR="00DC17A9" w:rsidRPr="00295637">
        <w:rPr>
          <w:lang w:val="sr-Cyrl-BA"/>
        </w:rPr>
        <w:t xml:space="preserve"> </w:t>
      </w:r>
      <w:r>
        <w:rPr>
          <w:lang w:val="sr-Cyrl-BA"/>
        </w:rPr>
        <w:t>насиље</w:t>
      </w:r>
      <w:r w:rsidR="00DC17A9" w:rsidRPr="00295637">
        <w:rPr>
          <w:lang w:val="sr-Cyrl-BA"/>
        </w:rPr>
        <w:t xml:space="preserve"> – </w:t>
      </w:r>
      <w:r>
        <w:rPr>
          <w:lang w:val="sr-Cyrl-BA"/>
        </w:rPr>
        <w:t>примјери</w:t>
      </w:r>
      <w:r w:rsidR="00DC17A9" w:rsidRPr="00295637">
        <w:rPr>
          <w:lang w:val="sr-Cyrl-BA"/>
        </w:rPr>
        <w:t xml:space="preserve"> </w:t>
      </w:r>
      <w:r>
        <w:rPr>
          <w:lang w:val="sr-Cyrl-BA"/>
        </w:rPr>
        <w:t>добре</w:t>
      </w:r>
      <w:r w:rsidR="00DC17A9" w:rsidRPr="00295637">
        <w:rPr>
          <w:lang w:val="sr-Cyrl-BA"/>
        </w:rPr>
        <w:t xml:space="preserve"> </w:t>
      </w:r>
      <w:r>
        <w:rPr>
          <w:lang w:val="sr-Cyrl-BA"/>
        </w:rPr>
        <w:t>праксе</w:t>
      </w:r>
      <w:r w:rsidR="00DC17A9" w:rsidRPr="00295637">
        <w:rPr>
          <w:lang w:val="sr-Cyrl-BA"/>
        </w:rPr>
        <w:t xml:space="preserve">“ </w:t>
      </w:r>
      <w:r>
        <w:rPr>
          <w:lang w:val="sr-Cyrl-BA"/>
        </w:rPr>
        <w:t>и</w:t>
      </w:r>
      <w:r w:rsidR="00DC17A9" w:rsidRPr="00295637">
        <w:rPr>
          <w:lang w:val="sr-Cyrl-BA"/>
        </w:rPr>
        <w:t xml:space="preserve"> </w:t>
      </w:r>
      <w:r>
        <w:rPr>
          <w:lang w:val="sr-Cyrl-BA"/>
        </w:rPr>
        <w:t>округл</w:t>
      </w:r>
      <w:r>
        <w:rPr>
          <w:lang w:val="sr-Latn-BA"/>
        </w:rPr>
        <w:t>ом</w:t>
      </w:r>
      <w:r w:rsidR="00DC17A9" w:rsidRPr="00295637">
        <w:rPr>
          <w:lang w:val="sr-Cyrl-BA"/>
        </w:rPr>
        <w:t xml:space="preserve"> </w:t>
      </w:r>
      <w:r>
        <w:rPr>
          <w:lang w:val="sr-Cyrl-BA"/>
        </w:rPr>
        <w:t>сто</w:t>
      </w:r>
      <w:r>
        <w:rPr>
          <w:lang w:val="sr-Latn-BA"/>
        </w:rPr>
        <w:t>лу</w:t>
      </w:r>
      <w:r w:rsidR="00DC17A9" w:rsidRPr="00295637">
        <w:rPr>
          <w:lang w:val="sr-Cyrl-BA"/>
        </w:rPr>
        <w:t xml:space="preserve"> </w:t>
      </w:r>
      <w:r>
        <w:rPr>
          <w:lang w:val="sr-Cyrl-BA"/>
        </w:rPr>
        <w:t>на</w:t>
      </w:r>
      <w:r w:rsidR="00DC17A9" w:rsidRPr="00295637">
        <w:rPr>
          <w:lang w:val="sr-Cyrl-BA"/>
        </w:rPr>
        <w:t xml:space="preserve"> </w:t>
      </w:r>
      <w:r>
        <w:rPr>
          <w:lang w:val="sr-Cyrl-BA"/>
        </w:rPr>
        <w:t>тему</w:t>
      </w:r>
      <w:r w:rsidR="00DC17A9" w:rsidRPr="00295637">
        <w:rPr>
          <w:lang w:val="sr-Cyrl-BA"/>
        </w:rPr>
        <w:t xml:space="preserve"> </w:t>
      </w:r>
      <w:r>
        <w:rPr>
          <w:lang w:val="sr-Cyrl-BA"/>
        </w:rPr>
        <w:t>насиља</w:t>
      </w:r>
      <w:r w:rsidR="00DC17A9" w:rsidRPr="00295637">
        <w:rPr>
          <w:lang w:val="sr-Cyrl-BA"/>
        </w:rPr>
        <w:t xml:space="preserve"> </w:t>
      </w:r>
      <w:r>
        <w:rPr>
          <w:lang w:val="sr-Cyrl-BA"/>
        </w:rPr>
        <w:t>над</w:t>
      </w:r>
      <w:r w:rsidR="00DC17A9" w:rsidRPr="00295637">
        <w:rPr>
          <w:lang w:val="sr-Cyrl-BA"/>
        </w:rPr>
        <w:t xml:space="preserve"> </w:t>
      </w:r>
      <w:r>
        <w:rPr>
          <w:lang w:val="sr-Cyrl-BA"/>
        </w:rPr>
        <w:t>женама</w:t>
      </w:r>
      <w:r w:rsidR="00DC17A9" w:rsidRPr="00295637">
        <w:rPr>
          <w:lang w:val="sr-Cyrl-BA"/>
        </w:rPr>
        <w:t>.</w:t>
      </w:r>
    </w:p>
    <w:p w:rsidR="00B4124E" w:rsidRPr="00295637" w:rsidRDefault="00B4124E" w:rsidP="0086268D">
      <w:pPr>
        <w:pStyle w:val="Normal1"/>
        <w:rPr>
          <w:rFonts w:ascii="Times New Roman" w:hAnsi="Times New Roman"/>
        </w:rPr>
      </w:pPr>
    </w:p>
    <w:p w:rsidR="00DC17A9" w:rsidRDefault="0090180C" w:rsidP="002C2EC1">
      <w:pPr>
        <w:pStyle w:val="Heading4"/>
        <w:numPr>
          <w:ilvl w:val="0"/>
          <w:numId w:val="0"/>
        </w:numPr>
        <w:tabs>
          <w:tab w:val="clear" w:pos="284"/>
          <w:tab w:val="clear" w:pos="630"/>
          <w:tab w:val="left" w:pos="1170"/>
          <w:tab w:val="left" w:pos="1530"/>
        </w:tabs>
        <w:spacing w:after="0" w:line="240" w:lineRule="auto"/>
        <w:ind w:left="567"/>
        <w:rPr>
          <w:rFonts w:ascii="Times New Roman" w:hAnsi="Times New Roman" w:cs="Times New Roman"/>
          <w:b w:val="0"/>
          <w:lang w:val="bs-Latn-BA"/>
        </w:rPr>
      </w:pPr>
      <w:r w:rsidRPr="0090180C">
        <w:rPr>
          <w:rFonts w:ascii="Times New Roman" w:hAnsi="Times New Roman" w:cs="Times New Roman"/>
          <w:b w:val="0"/>
          <w:lang w:val="bs-Latn-BA"/>
        </w:rPr>
        <w:t>I</w:t>
      </w:r>
      <w:r w:rsidR="002C2EC1">
        <w:rPr>
          <w:rFonts w:ascii="Times New Roman" w:hAnsi="Times New Roman" w:cs="Times New Roman"/>
          <w:b w:val="0"/>
          <w:lang w:val="bs-Latn-BA"/>
        </w:rPr>
        <w:t xml:space="preserve"> 5.7. </w:t>
      </w:r>
      <w:r w:rsidR="00C6214E">
        <w:rPr>
          <w:rFonts w:ascii="Times New Roman" w:hAnsi="Times New Roman" w:cs="Times New Roman"/>
          <w:b w:val="0"/>
          <w:lang w:val="bs-Latn-BA"/>
        </w:rPr>
        <w:t>Подршка</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истраживањима</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равноправности</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области</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здравства</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као</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програмима</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усмјереним</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унапређење</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здравствене</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превенције</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заштите</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заштите</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менталног</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здравља</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мушкараца</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жена</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заштите</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сексуалног</w:t>
      </w:r>
      <w:r w:rsidR="00813F15">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813F15">
        <w:rPr>
          <w:rFonts w:ascii="Times New Roman" w:hAnsi="Times New Roman" w:cs="Times New Roman"/>
          <w:b w:val="0"/>
          <w:lang w:val="bs-Latn-BA"/>
        </w:rPr>
        <w:t xml:space="preserve"> </w:t>
      </w:r>
      <w:r w:rsidR="00C6214E">
        <w:rPr>
          <w:rFonts w:ascii="Times New Roman" w:hAnsi="Times New Roman" w:cs="Times New Roman"/>
          <w:b w:val="0"/>
          <w:lang w:val="bs-Latn-BA"/>
        </w:rPr>
        <w:t>репродуктивног</w:t>
      </w:r>
      <w:r w:rsidR="00813F15">
        <w:rPr>
          <w:rFonts w:ascii="Times New Roman" w:hAnsi="Times New Roman" w:cs="Times New Roman"/>
          <w:b w:val="0"/>
          <w:lang w:val="bs-Latn-BA"/>
        </w:rPr>
        <w:t xml:space="preserve"> </w:t>
      </w:r>
      <w:r w:rsidR="00C6214E">
        <w:rPr>
          <w:rFonts w:ascii="Times New Roman" w:hAnsi="Times New Roman" w:cs="Times New Roman"/>
          <w:b w:val="0"/>
          <w:lang w:val="bs-Latn-BA"/>
        </w:rPr>
        <w:t>здравља</w:t>
      </w:r>
      <w:r w:rsidR="00813F15">
        <w:rPr>
          <w:rFonts w:ascii="Times New Roman" w:hAnsi="Times New Roman" w:cs="Times New Roman"/>
          <w:b w:val="0"/>
          <w:lang w:val="bs-Latn-BA"/>
        </w:rPr>
        <w:t xml:space="preserve"> </w:t>
      </w:r>
      <w:r w:rsidR="00C6214E">
        <w:rPr>
          <w:rFonts w:ascii="Times New Roman" w:hAnsi="Times New Roman" w:cs="Times New Roman"/>
          <w:b w:val="0"/>
          <w:lang w:val="bs-Latn-BA"/>
        </w:rPr>
        <w:t>са</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посебним</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нагласком</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вишеструко</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маргинализ</w:t>
      </w:r>
      <w:r>
        <w:rPr>
          <w:rFonts w:ascii="Times New Roman" w:hAnsi="Times New Roman" w:cs="Times New Roman"/>
          <w:b w:val="0"/>
          <w:lang w:val="sr-Cyrl-BA"/>
        </w:rPr>
        <w:t>ован</w:t>
      </w:r>
      <w:r w:rsidR="00C6214E">
        <w:rPr>
          <w:rFonts w:ascii="Times New Roman" w:hAnsi="Times New Roman" w:cs="Times New Roman"/>
          <w:b w:val="0"/>
          <w:lang w:val="bs-Latn-BA"/>
        </w:rPr>
        <w:t>е</w:t>
      </w:r>
      <w:r w:rsidR="00DC17A9"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групе</w:t>
      </w:r>
      <w:r w:rsidR="00DC17A9" w:rsidRPr="00295637">
        <w:rPr>
          <w:rFonts w:ascii="Times New Roman" w:hAnsi="Times New Roman" w:cs="Times New Roman"/>
          <w:b w:val="0"/>
          <w:lang w:val="bs-Latn-BA"/>
        </w:rPr>
        <w:t>.</w:t>
      </w:r>
    </w:p>
    <w:p w:rsidR="000627E7" w:rsidRPr="000627E7" w:rsidRDefault="000627E7" w:rsidP="0086268D">
      <w:pPr>
        <w:rPr>
          <w:lang w:val="bs-Latn-BA"/>
        </w:rPr>
      </w:pPr>
    </w:p>
    <w:p w:rsidR="00DC17A9"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DC17A9" w:rsidRPr="00295637">
        <w:rPr>
          <w:rFonts w:ascii="Times New Roman" w:hAnsi="Times New Roman"/>
          <w:lang w:val="sr-Latn-BA"/>
        </w:rPr>
        <w:t xml:space="preserve"> </w:t>
      </w:r>
      <w:r>
        <w:rPr>
          <w:rFonts w:ascii="Times New Roman" w:hAnsi="Times New Roman"/>
          <w:lang w:val="sr-Latn-BA"/>
        </w:rPr>
        <w:t>Републици</w:t>
      </w:r>
      <w:r w:rsidR="00DC17A9" w:rsidRPr="00295637">
        <w:rPr>
          <w:rFonts w:ascii="Times New Roman" w:hAnsi="Times New Roman"/>
          <w:lang w:val="sr-Latn-BA"/>
        </w:rPr>
        <w:t xml:space="preserve"> </w:t>
      </w:r>
      <w:r>
        <w:rPr>
          <w:rFonts w:ascii="Times New Roman" w:hAnsi="Times New Roman"/>
          <w:lang w:val="sr-Latn-BA"/>
        </w:rPr>
        <w:t>Српској</w:t>
      </w:r>
      <w:r w:rsidR="00DC17A9" w:rsidRPr="00295637">
        <w:rPr>
          <w:rFonts w:ascii="Times New Roman" w:hAnsi="Times New Roman"/>
          <w:lang w:val="sr-Latn-BA"/>
        </w:rPr>
        <w:t xml:space="preserve"> </w:t>
      </w:r>
      <w:r w:rsidR="0090180C">
        <w:rPr>
          <w:rFonts w:ascii="Times New Roman" w:hAnsi="Times New Roman"/>
          <w:lang w:val="sr-Latn-BA"/>
        </w:rPr>
        <w:t xml:space="preserve">је </w:t>
      </w:r>
      <w:r>
        <w:rPr>
          <w:rFonts w:ascii="Times New Roman" w:hAnsi="Times New Roman"/>
          <w:lang w:val="sr-Latn-BA"/>
        </w:rPr>
        <w:t>доступна</w:t>
      </w:r>
      <w:r w:rsidR="00DC17A9" w:rsidRPr="00295637">
        <w:rPr>
          <w:rFonts w:ascii="Times New Roman" w:hAnsi="Times New Roman"/>
          <w:lang w:val="sr-Latn-BA"/>
        </w:rPr>
        <w:t xml:space="preserve"> </w:t>
      </w:r>
      <w:r>
        <w:rPr>
          <w:rFonts w:ascii="Times New Roman" w:hAnsi="Times New Roman"/>
          <w:lang w:val="sr-Latn-BA"/>
        </w:rPr>
        <w:t>в</w:t>
      </w:r>
      <w:r w:rsidR="00DC17A9" w:rsidRPr="00295637">
        <w:rPr>
          <w:rFonts w:ascii="Times New Roman" w:hAnsi="Times New Roman"/>
          <w:lang w:val="sr-Latn-BA"/>
        </w:rPr>
        <w:t>а</w:t>
      </w:r>
      <w:r>
        <w:rPr>
          <w:rFonts w:ascii="Times New Roman" w:hAnsi="Times New Roman"/>
          <w:lang w:val="sr-Latn-BA"/>
        </w:rPr>
        <w:t>кцин</w:t>
      </w:r>
      <w:r w:rsidR="00DC17A9" w:rsidRPr="00295637">
        <w:rPr>
          <w:rFonts w:ascii="Times New Roman" w:hAnsi="Times New Roman"/>
          <w:lang w:val="sr-Latn-BA"/>
        </w:rPr>
        <w:t>а</w:t>
      </w:r>
      <w:r>
        <w:rPr>
          <w:rFonts w:ascii="Times New Roman" w:hAnsi="Times New Roman"/>
          <w:lang w:val="sr-Latn-BA"/>
        </w:rPr>
        <w:t>ци</w:t>
      </w:r>
      <w:r w:rsidR="00DC17A9" w:rsidRPr="00295637">
        <w:rPr>
          <w:rFonts w:ascii="Times New Roman" w:hAnsi="Times New Roman"/>
          <w:lang w:val="sr-Latn-BA"/>
        </w:rPr>
        <w:t xml:space="preserve">ја </w:t>
      </w:r>
      <w:r>
        <w:rPr>
          <w:rFonts w:ascii="Times New Roman" w:hAnsi="Times New Roman"/>
          <w:lang w:val="sr-Latn-BA"/>
        </w:rPr>
        <w:t>пр</w:t>
      </w:r>
      <w:r w:rsidR="00DC17A9" w:rsidRPr="00295637">
        <w:rPr>
          <w:rFonts w:ascii="Times New Roman" w:hAnsi="Times New Roman"/>
          <w:lang w:val="sr-Latn-BA"/>
        </w:rPr>
        <w:t>о</w:t>
      </w:r>
      <w:r>
        <w:rPr>
          <w:rFonts w:ascii="Times New Roman" w:hAnsi="Times New Roman"/>
          <w:lang w:val="sr-Latn-BA"/>
        </w:rPr>
        <w:t>тив</w:t>
      </w:r>
      <w:r w:rsidR="00DC17A9" w:rsidRPr="00295637">
        <w:rPr>
          <w:rFonts w:ascii="Times New Roman" w:hAnsi="Times New Roman"/>
          <w:lang w:val="sr-Latn-BA"/>
        </w:rPr>
        <w:t xml:space="preserve"> </w:t>
      </w:r>
      <w:r>
        <w:rPr>
          <w:rFonts w:ascii="Times New Roman" w:hAnsi="Times New Roman"/>
          <w:lang w:val="sr-Latn-BA"/>
        </w:rPr>
        <w:t>хум</w:t>
      </w:r>
      <w:r w:rsidR="00DC17A9" w:rsidRPr="00295637">
        <w:rPr>
          <w:rFonts w:ascii="Times New Roman" w:hAnsi="Times New Roman"/>
          <w:lang w:val="sr-Latn-BA"/>
        </w:rPr>
        <w:t>а</w:t>
      </w:r>
      <w:r>
        <w:rPr>
          <w:rFonts w:ascii="Times New Roman" w:hAnsi="Times New Roman"/>
          <w:lang w:val="sr-Latn-BA"/>
        </w:rPr>
        <w:t>н</w:t>
      </w:r>
      <w:r w:rsidR="00DC17A9" w:rsidRPr="00295637">
        <w:rPr>
          <w:rFonts w:ascii="Times New Roman" w:hAnsi="Times New Roman"/>
          <w:lang w:val="sr-Latn-BA"/>
        </w:rPr>
        <w:t>о</w:t>
      </w:r>
      <w:r>
        <w:rPr>
          <w:rFonts w:ascii="Times New Roman" w:hAnsi="Times New Roman"/>
          <w:lang w:val="sr-Latn-BA"/>
        </w:rPr>
        <w:t>г</w:t>
      </w:r>
      <w:r w:rsidR="00DC17A9" w:rsidRPr="00295637">
        <w:rPr>
          <w:rFonts w:ascii="Times New Roman" w:hAnsi="Times New Roman"/>
          <w:lang w:val="sr-Latn-BA"/>
        </w:rPr>
        <w:t xml:space="preserve"> </w:t>
      </w:r>
      <w:r>
        <w:rPr>
          <w:rFonts w:ascii="Times New Roman" w:hAnsi="Times New Roman"/>
          <w:lang w:val="sr-Latn-BA"/>
        </w:rPr>
        <w:t>п</w:t>
      </w:r>
      <w:r w:rsidR="00DC17A9" w:rsidRPr="00295637">
        <w:rPr>
          <w:rFonts w:ascii="Times New Roman" w:hAnsi="Times New Roman"/>
          <w:lang w:val="sr-Latn-BA"/>
        </w:rPr>
        <w:t>а</w:t>
      </w:r>
      <w:r>
        <w:rPr>
          <w:rFonts w:ascii="Times New Roman" w:hAnsi="Times New Roman"/>
          <w:lang w:val="sr-Latn-BA"/>
        </w:rPr>
        <w:t>пил</w:t>
      </w:r>
      <w:r w:rsidR="00DC17A9" w:rsidRPr="00295637">
        <w:rPr>
          <w:rFonts w:ascii="Times New Roman" w:hAnsi="Times New Roman"/>
          <w:lang w:val="sr-Latn-BA"/>
        </w:rPr>
        <w:t>о</w:t>
      </w:r>
      <w:r>
        <w:rPr>
          <w:rFonts w:ascii="Times New Roman" w:hAnsi="Times New Roman"/>
          <w:lang w:val="sr-Latn-BA"/>
        </w:rPr>
        <w:t>м</w:t>
      </w:r>
      <w:r w:rsidR="00DC17A9" w:rsidRPr="00295637">
        <w:rPr>
          <w:rFonts w:ascii="Times New Roman" w:hAnsi="Times New Roman"/>
          <w:lang w:val="sr-Latn-BA"/>
        </w:rPr>
        <w:t xml:space="preserve">а </w:t>
      </w:r>
      <w:r>
        <w:rPr>
          <w:rFonts w:ascii="Times New Roman" w:hAnsi="Times New Roman"/>
          <w:lang w:val="sr-Latn-BA"/>
        </w:rPr>
        <w:t>вирус</w:t>
      </w:r>
      <w:r w:rsidR="00DC17A9" w:rsidRPr="00295637">
        <w:rPr>
          <w:rFonts w:ascii="Times New Roman" w:hAnsi="Times New Roman"/>
          <w:lang w:val="sr-Latn-BA"/>
        </w:rPr>
        <w:t xml:space="preserve">а, </w:t>
      </w:r>
      <w:r>
        <w:rPr>
          <w:rFonts w:ascii="Times New Roman" w:hAnsi="Times New Roman"/>
          <w:lang w:val="sr-Latn-BA"/>
        </w:rPr>
        <w:t>к</w:t>
      </w:r>
      <w:r w:rsidR="00DC17A9" w:rsidRPr="00295637">
        <w:rPr>
          <w:rFonts w:ascii="Times New Roman" w:hAnsi="Times New Roman"/>
          <w:lang w:val="sr-Latn-BA"/>
        </w:rPr>
        <w:t xml:space="preserve">ао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скрининг</w:t>
      </w:r>
      <w:r w:rsidR="00DC17A9" w:rsidRPr="00295637">
        <w:rPr>
          <w:rFonts w:ascii="Times New Roman" w:hAnsi="Times New Roman"/>
          <w:lang w:val="sr-Latn-BA"/>
        </w:rPr>
        <w:t xml:space="preserve">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ли</w:t>
      </w:r>
      <w:r w:rsidR="00DC17A9" w:rsidRPr="00295637">
        <w:rPr>
          <w:rFonts w:ascii="Times New Roman" w:hAnsi="Times New Roman"/>
          <w:lang w:val="sr-Latn-BA"/>
        </w:rPr>
        <w:t>је</w:t>
      </w:r>
      <w:r>
        <w:rPr>
          <w:rFonts w:ascii="Times New Roman" w:hAnsi="Times New Roman"/>
          <w:lang w:val="sr-Latn-BA"/>
        </w:rPr>
        <w:t>ч</w:t>
      </w:r>
      <w:r w:rsidR="00DC17A9" w:rsidRPr="00295637">
        <w:rPr>
          <w:rFonts w:ascii="Times New Roman" w:hAnsi="Times New Roman"/>
          <w:lang w:val="sr-Latn-BA"/>
        </w:rPr>
        <w:t>е</w:t>
      </w:r>
      <w:r>
        <w:rPr>
          <w:rFonts w:ascii="Times New Roman" w:hAnsi="Times New Roman"/>
          <w:lang w:val="sr-Latn-BA"/>
        </w:rPr>
        <w:t>њ</w:t>
      </w:r>
      <w:r w:rsidR="00DC17A9" w:rsidRPr="00295637">
        <w:rPr>
          <w:rFonts w:ascii="Times New Roman" w:hAnsi="Times New Roman"/>
          <w:lang w:val="sr-Latn-BA"/>
        </w:rPr>
        <w:t xml:space="preserve">е </w:t>
      </w:r>
      <w:r>
        <w:rPr>
          <w:rFonts w:ascii="Times New Roman" w:hAnsi="Times New Roman"/>
          <w:lang w:val="sr-Latn-BA"/>
        </w:rPr>
        <w:t>пр</w:t>
      </w:r>
      <w:r w:rsidR="00DC17A9" w:rsidRPr="00295637">
        <w:rPr>
          <w:rFonts w:ascii="Times New Roman" w:hAnsi="Times New Roman"/>
          <w:lang w:val="sr-Latn-BA"/>
        </w:rPr>
        <w:t>е</w:t>
      </w:r>
      <w:r>
        <w:rPr>
          <w:rFonts w:ascii="Times New Roman" w:hAnsi="Times New Roman"/>
          <w:lang w:val="sr-Latn-BA"/>
        </w:rPr>
        <w:t>к</w:t>
      </w:r>
      <w:r w:rsidR="00DC17A9" w:rsidRPr="00295637">
        <w:rPr>
          <w:rFonts w:ascii="Times New Roman" w:hAnsi="Times New Roman"/>
          <w:lang w:val="sr-Latn-BA"/>
        </w:rPr>
        <w:t>а</w:t>
      </w:r>
      <w:r>
        <w:rPr>
          <w:rFonts w:ascii="Times New Roman" w:hAnsi="Times New Roman"/>
          <w:lang w:val="sr-Latn-BA"/>
        </w:rPr>
        <w:t>нц</w:t>
      </w:r>
      <w:r w:rsidR="00DC17A9" w:rsidRPr="00295637">
        <w:rPr>
          <w:rFonts w:ascii="Times New Roman" w:hAnsi="Times New Roman"/>
          <w:lang w:val="sr-Latn-BA"/>
        </w:rPr>
        <w:t>е</w:t>
      </w:r>
      <w:r>
        <w:rPr>
          <w:rFonts w:ascii="Times New Roman" w:hAnsi="Times New Roman"/>
          <w:lang w:val="sr-Latn-BA"/>
        </w:rPr>
        <w:t>р</w:t>
      </w:r>
      <w:r w:rsidR="00DC17A9" w:rsidRPr="00295637">
        <w:rPr>
          <w:rFonts w:ascii="Times New Roman" w:hAnsi="Times New Roman"/>
          <w:lang w:val="sr-Latn-BA"/>
        </w:rPr>
        <w:t>о</w:t>
      </w:r>
      <w:r>
        <w:rPr>
          <w:rFonts w:ascii="Times New Roman" w:hAnsi="Times New Roman"/>
          <w:lang w:val="sr-Latn-BA"/>
        </w:rPr>
        <w:t>зних</w:t>
      </w:r>
      <w:r w:rsidR="00DC17A9" w:rsidRPr="00295637">
        <w:rPr>
          <w:rFonts w:ascii="Times New Roman" w:hAnsi="Times New Roman"/>
          <w:lang w:val="sr-Latn-BA"/>
        </w:rPr>
        <w:t xml:space="preserve"> </w:t>
      </w:r>
      <w:r>
        <w:rPr>
          <w:rFonts w:ascii="Times New Roman" w:hAnsi="Times New Roman"/>
          <w:lang w:val="sr-Latn-BA"/>
        </w:rPr>
        <w:t>л</w:t>
      </w:r>
      <w:r w:rsidR="00DC17A9" w:rsidRPr="00295637">
        <w:rPr>
          <w:rFonts w:ascii="Times New Roman" w:hAnsi="Times New Roman"/>
          <w:lang w:val="sr-Latn-BA"/>
        </w:rPr>
        <w:t>е</w:t>
      </w:r>
      <w:r>
        <w:rPr>
          <w:rFonts w:ascii="Times New Roman" w:hAnsi="Times New Roman"/>
          <w:lang w:val="sr-Latn-BA"/>
        </w:rPr>
        <w:t>зи</w:t>
      </w:r>
      <w:r w:rsidR="00DC17A9" w:rsidRPr="00295637">
        <w:rPr>
          <w:rFonts w:ascii="Times New Roman" w:hAnsi="Times New Roman"/>
          <w:lang w:val="sr-Latn-BA"/>
        </w:rPr>
        <w:t xml:space="preserve">ја, </w:t>
      </w:r>
      <w:r>
        <w:rPr>
          <w:rFonts w:ascii="Times New Roman" w:hAnsi="Times New Roman"/>
          <w:lang w:val="sr-Latn-BA"/>
        </w:rPr>
        <w:t>као</w:t>
      </w:r>
      <w:r w:rsidR="00DC17A9" w:rsidRPr="00295637">
        <w:rPr>
          <w:rFonts w:ascii="Times New Roman" w:hAnsi="Times New Roman"/>
          <w:lang w:val="sr-Latn-BA"/>
        </w:rPr>
        <w:t xml:space="preserve"> </w:t>
      </w:r>
      <w:r>
        <w:rPr>
          <w:rFonts w:ascii="Times New Roman" w:hAnsi="Times New Roman"/>
          <w:lang w:val="sr-Latn-BA"/>
        </w:rPr>
        <w:t>н</w:t>
      </w:r>
      <w:r w:rsidR="00DC17A9" w:rsidRPr="00295637">
        <w:rPr>
          <w:rFonts w:ascii="Times New Roman" w:hAnsi="Times New Roman"/>
          <w:lang w:val="sr-Latn-BA"/>
        </w:rPr>
        <w:t>ај</w:t>
      </w:r>
      <w:r>
        <w:rPr>
          <w:rFonts w:ascii="Times New Roman" w:hAnsi="Times New Roman"/>
          <w:lang w:val="sr-Latn-BA"/>
        </w:rPr>
        <w:t>фик</w:t>
      </w:r>
      <w:r w:rsidR="00DC17A9" w:rsidRPr="00295637">
        <w:rPr>
          <w:rFonts w:ascii="Times New Roman" w:hAnsi="Times New Roman"/>
          <w:lang w:val="sr-Latn-BA"/>
        </w:rPr>
        <w:t>а</w:t>
      </w:r>
      <w:r>
        <w:rPr>
          <w:rFonts w:ascii="Times New Roman" w:hAnsi="Times New Roman"/>
          <w:lang w:val="sr-Latn-BA"/>
        </w:rPr>
        <w:t>сни</w:t>
      </w:r>
      <w:r w:rsidR="00DC17A9" w:rsidRPr="00295637">
        <w:rPr>
          <w:rFonts w:ascii="Times New Roman" w:hAnsi="Times New Roman"/>
          <w:lang w:val="sr-Latn-BA"/>
        </w:rPr>
        <w:t>ј</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н</w:t>
      </w:r>
      <w:r w:rsidR="00DC17A9" w:rsidRPr="00295637">
        <w:rPr>
          <w:rFonts w:ascii="Times New Roman" w:hAnsi="Times New Roman"/>
          <w:lang w:val="sr-Latn-BA"/>
        </w:rPr>
        <w:t>ај</w:t>
      </w:r>
      <w:r>
        <w:rPr>
          <w:rFonts w:ascii="Times New Roman" w:hAnsi="Times New Roman"/>
          <w:lang w:val="sr-Latn-BA"/>
        </w:rPr>
        <w:t>испл</w:t>
      </w:r>
      <w:r w:rsidR="00DC17A9" w:rsidRPr="00295637">
        <w:rPr>
          <w:rFonts w:ascii="Times New Roman" w:hAnsi="Times New Roman"/>
          <w:lang w:val="sr-Latn-BA"/>
        </w:rPr>
        <w:t>а</w:t>
      </w:r>
      <w:r>
        <w:rPr>
          <w:rFonts w:ascii="Times New Roman" w:hAnsi="Times New Roman"/>
          <w:lang w:val="sr-Latn-BA"/>
        </w:rPr>
        <w:t>тиви</w:t>
      </w:r>
      <w:r w:rsidR="00DC17A9" w:rsidRPr="00295637">
        <w:rPr>
          <w:rFonts w:ascii="Times New Roman" w:hAnsi="Times New Roman"/>
          <w:lang w:val="sr-Latn-BA"/>
        </w:rPr>
        <w:t>ј</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н</w:t>
      </w:r>
      <w:r w:rsidR="00DC17A9" w:rsidRPr="00295637">
        <w:rPr>
          <w:rFonts w:ascii="Times New Roman" w:hAnsi="Times New Roman"/>
          <w:lang w:val="sr-Latn-BA"/>
        </w:rPr>
        <w:t>а</w:t>
      </w:r>
      <w:r>
        <w:rPr>
          <w:rFonts w:ascii="Times New Roman" w:hAnsi="Times New Roman"/>
          <w:lang w:val="sr-Latn-BA"/>
        </w:rPr>
        <w:t>чини</w:t>
      </w:r>
      <w:r w:rsidR="00DC17A9" w:rsidRPr="00295637">
        <w:rPr>
          <w:rFonts w:ascii="Times New Roman" w:hAnsi="Times New Roman"/>
          <w:lang w:val="sr-Latn-BA"/>
        </w:rPr>
        <w:t xml:space="preserve"> </w:t>
      </w:r>
      <w:r>
        <w:rPr>
          <w:rFonts w:ascii="Times New Roman" w:hAnsi="Times New Roman"/>
          <w:lang w:val="sr-Latn-BA"/>
        </w:rPr>
        <w:t>пр</w:t>
      </w:r>
      <w:r w:rsidR="00DC17A9" w:rsidRPr="00295637">
        <w:rPr>
          <w:rFonts w:ascii="Times New Roman" w:hAnsi="Times New Roman"/>
          <w:lang w:val="sr-Latn-BA"/>
        </w:rPr>
        <w:t>е</w:t>
      </w:r>
      <w:r>
        <w:rPr>
          <w:rFonts w:ascii="Times New Roman" w:hAnsi="Times New Roman"/>
          <w:lang w:val="sr-Latn-BA"/>
        </w:rPr>
        <w:t>в</w:t>
      </w:r>
      <w:r w:rsidR="00DC17A9" w:rsidRPr="00295637">
        <w:rPr>
          <w:rFonts w:ascii="Times New Roman" w:hAnsi="Times New Roman"/>
          <w:lang w:val="sr-Latn-BA"/>
        </w:rPr>
        <w:t>е</w:t>
      </w:r>
      <w:r>
        <w:rPr>
          <w:rFonts w:ascii="Times New Roman" w:hAnsi="Times New Roman"/>
          <w:lang w:val="sr-Latn-BA"/>
        </w:rPr>
        <w:t>нци</w:t>
      </w:r>
      <w:r w:rsidR="00DC17A9" w:rsidRPr="00295637">
        <w:rPr>
          <w:rFonts w:ascii="Times New Roman" w:hAnsi="Times New Roman"/>
          <w:lang w:val="sr-Latn-BA"/>
        </w:rPr>
        <w:t xml:space="preserve">је </w:t>
      </w:r>
      <w:r>
        <w:rPr>
          <w:rFonts w:ascii="Times New Roman" w:hAnsi="Times New Roman"/>
          <w:lang w:val="sr-Latn-BA"/>
        </w:rPr>
        <w:t>р</w:t>
      </w:r>
      <w:r w:rsidR="00DC17A9" w:rsidRPr="00295637">
        <w:rPr>
          <w:rFonts w:ascii="Times New Roman" w:hAnsi="Times New Roman"/>
          <w:lang w:val="sr-Latn-BA"/>
        </w:rPr>
        <w:t>а</w:t>
      </w:r>
      <w:r>
        <w:rPr>
          <w:rFonts w:ascii="Times New Roman" w:hAnsi="Times New Roman"/>
          <w:lang w:val="sr-Latn-BA"/>
        </w:rPr>
        <w:t>к</w:t>
      </w:r>
      <w:r w:rsidR="00DC17A9" w:rsidRPr="00295637">
        <w:rPr>
          <w:rFonts w:ascii="Times New Roman" w:hAnsi="Times New Roman"/>
          <w:lang w:val="sr-Latn-BA"/>
        </w:rPr>
        <w:t xml:space="preserve">а </w:t>
      </w:r>
      <w:r>
        <w:rPr>
          <w:rFonts w:ascii="Times New Roman" w:hAnsi="Times New Roman"/>
          <w:lang w:val="sr-Latn-BA"/>
        </w:rPr>
        <w:t>грлић</w:t>
      </w:r>
      <w:r w:rsidR="00DC17A9" w:rsidRPr="00295637">
        <w:rPr>
          <w:rFonts w:ascii="Times New Roman" w:hAnsi="Times New Roman"/>
          <w:lang w:val="sr-Latn-BA"/>
        </w:rPr>
        <w:t xml:space="preserve">а </w:t>
      </w:r>
      <w:r>
        <w:rPr>
          <w:rFonts w:ascii="Times New Roman" w:hAnsi="Times New Roman"/>
          <w:lang w:val="sr-Latn-BA"/>
        </w:rPr>
        <w:t>м</w:t>
      </w:r>
      <w:r w:rsidR="00DC17A9" w:rsidRPr="00295637">
        <w:rPr>
          <w:rFonts w:ascii="Times New Roman" w:hAnsi="Times New Roman"/>
          <w:lang w:val="sr-Latn-BA"/>
        </w:rPr>
        <w:t>а</w:t>
      </w:r>
      <w:r>
        <w:rPr>
          <w:rFonts w:ascii="Times New Roman" w:hAnsi="Times New Roman"/>
          <w:lang w:val="sr-Latn-BA"/>
        </w:rPr>
        <w:t>т</w:t>
      </w:r>
      <w:r w:rsidR="00DC17A9" w:rsidRPr="00295637">
        <w:rPr>
          <w:rFonts w:ascii="Times New Roman" w:hAnsi="Times New Roman"/>
          <w:lang w:val="sr-Latn-BA"/>
        </w:rPr>
        <w:t>е</w:t>
      </w:r>
      <w:r>
        <w:rPr>
          <w:rFonts w:ascii="Times New Roman" w:hAnsi="Times New Roman"/>
          <w:lang w:val="sr-Latn-BA"/>
        </w:rPr>
        <w:t>риц</w:t>
      </w:r>
      <w:r w:rsidR="00DC17A9" w:rsidRPr="00295637">
        <w:rPr>
          <w:rFonts w:ascii="Times New Roman" w:hAnsi="Times New Roman"/>
          <w:lang w:val="sr-Latn-BA"/>
        </w:rPr>
        <w:t xml:space="preserve">е. </w:t>
      </w:r>
      <w:r>
        <w:rPr>
          <w:rFonts w:ascii="Times New Roman" w:hAnsi="Times New Roman"/>
          <w:lang w:val="sr-Latn-BA"/>
        </w:rPr>
        <w:t>Вакцинација</w:t>
      </w:r>
      <w:r w:rsidR="00DC17A9" w:rsidRPr="00295637">
        <w:rPr>
          <w:rFonts w:ascii="Times New Roman" w:hAnsi="Times New Roman"/>
          <w:lang w:val="sr-Latn-BA"/>
        </w:rPr>
        <w:t xml:space="preserve"> </w:t>
      </w:r>
      <w:r>
        <w:rPr>
          <w:rFonts w:ascii="Times New Roman" w:hAnsi="Times New Roman"/>
          <w:lang w:val="sr-Latn-BA"/>
        </w:rPr>
        <w:t>се</w:t>
      </w:r>
      <w:r w:rsidR="00DC17A9" w:rsidRPr="00295637">
        <w:rPr>
          <w:rFonts w:ascii="Times New Roman" w:hAnsi="Times New Roman"/>
          <w:lang w:val="sr-Latn-BA"/>
        </w:rPr>
        <w:t xml:space="preserve"> </w:t>
      </w:r>
      <w:r>
        <w:rPr>
          <w:rFonts w:ascii="Times New Roman" w:hAnsi="Times New Roman"/>
          <w:lang w:val="sr-Latn-BA"/>
        </w:rPr>
        <w:t>обавља</w:t>
      </w:r>
      <w:r w:rsidR="00DC17A9" w:rsidRPr="00295637">
        <w:rPr>
          <w:rFonts w:ascii="Times New Roman" w:hAnsi="Times New Roman"/>
          <w:lang w:val="sr-Latn-BA"/>
        </w:rPr>
        <w:t xml:space="preserve"> </w:t>
      </w:r>
      <w:r>
        <w:rPr>
          <w:rFonts w:ascii="Times New Roman" w:hAnsi="Times New Roman"/>
          <w:lang w:val="sr-Latn-BA"/>
        </w:rPr>
        <w:t>д</w:t>
      </w:r>
      <w:r w:rsidR="00DC17A9" w:rsidRPr="00295637">
        <w:rPr>
          <w:rFonts w:ascii="Times New Roman" w:hAnsi="Times New Roman"/>
          <w:lang w:val="sr-Latn-BA"/>
        </w:rPr>
        <w:t>е</w:t>
      </w:r>
      <w:r>
        <w:rPr>
          <w:rFonts w:ascii="Times New Roman" w:hAnsi="Times New Roman"/>
          <w:lang w:val="sr-Latn-BA"/>
        </w:rPr>
        <w:t>в</w:t>
      </w:r>
      <w:r w:rsidR="00DC17A9" w:rsidRPr="00295637">
        <w:rPr>
          <w:rFonts w:ascii="Times New Roman" w:hAnsi="Times New Roman"/>
          <w:lang w:val="sr-Latn-BA"/>
        </w:rPr>
        <w:t>е</w:t>
      </w:r>
      <w:r>
        <w:rPr>
          <w:rFonts w:ascii="Times New Roman" w:hAnsi="Times New Roman"/>
          <w:lang w:val="sr-Latn-BA"/>
        </w:rPr>
        <w:t>т</w:t>
      </w:r>
      <w:r w:rsidR="00DC17A9" w:rsidRPr="00295637">
        <w:rPr>
          <w:rFonts w:ascii="Times New Roman" w:hAnsi="Times New Roman"/>
          <w:lang w:val="sr-Latn-BA"/>
        </w:rPr>
        <w:t>о</w:t>
      </w:r>
      <w:r>
        <w:rPr>
          <w:rFonts w:ascii="Times New Roman" w:hAnsi="Times New Roman"/>
          <w:lang w:val="sr-Latn-BA"/>
        </w:rPr>
        <w:t>в</w:t>
      </w:r>
      <w:r w:rsidR="00DC17A9" w:rsidRPr="00295637">
        <w:rPr>
          <w:rFonts w:ascii="Times New Roman" w:hAnsi="Times New Roman"/>
          <w:lang w:val="sr-Latn-BA"/>
        </w:rPr>
        <w:t>а</w:t>
      </w:r>
      <w:r>
        <w:rPr>
          <w:rFonts w:ascii="Times New Roman" w:hAnsi="Times New Roman"/>
          <w:lang w:val="sr-Latn-BA"/>
        </w:rPr>
        <w:t>л</w:t>
      </w:r>
      <w:r w:rsidR="00DC17A9" w:rsidRPr="00295637">
        <w:rPr>
          <w:rFonts w:ascii="Times New Roman" w:hAnsi="Times New Roman"/>
          <w:lang w:val="sr-Latn-BA"/>
        </w:rPr>
        <w:t>е</w:t>
      </w:r>
      <w:r>
        <w:rPr>
          <w:rFonts w:ascii="Times New Roman" w:hAnsi="Times New Roman"/>
          <w:lang w:val="sr-Latn-BA"/>
        </w:rPr>
        <w:t>нтном</w:t>
      </w:r>
      <w:r w:rsidR="00DC17A9" w:rsidRPr="00295637">
        <w:rPr>
          <w:rFonts w:ascii="Times New Roman" w:hAnsi="Times New Roman"/>
          <w:lang w:val="sr-Latn-BA"/>
        </w:rPr>
        <w:t xml:space="preserve"> </w:t>
      </w:r>
      <w:r>
        <w:rPr>
          <w:rFonts w:ascii="Times New Roman" w:hAnsi="Times New Roman"/>
          <w:lang w:val="sr-Latn-BA"/>
        </w:rPr>
        <w:t>в</w:t>
      </w:r>
      <w:r w:rsidR="00DC17A9" w:rsidRPr="00295637">
        <w:rPr>
          <w:rFonts w:ascii="Times New Roman" w:hAnsi="Times New Roman"/>
          <w:lang w:val="sr-Latn-BA"/>
        </w:rPr>
        <w:t>а</w:t>
      </w:r>
      <w:r>
        <w:rPr>
          <w:rFonts w:ascii="Times New Roman" w:hAnsi="Times New Roman"/>
          <w:lang w:val="sr-Latn-BA"/>
        </w:rPr>
        <w:t>кцином</w:t>
      </w:r>
      <w:r w:rsidR="00DC17A9" w:rsidRPr="00295637">
        <w:rPr>
          <w:rFonts w:ascii="Times New Roman" w:hAnsi="Times New Roman"/>
          <w:lang w:val="sr-Latn-BA"/>
        </w:rPr>
        <w:t xml:space="preserve"> </w:t>
      </w:r>
      <w:r>
        <w:rPr>
          <w:rFonts w:ascii="Times New Roman" w:hAnsi="Times New Roman"/>
          <w:lang w:val="sr-Latn-BA"/>
        </w:rPr>
        <w:t>пр</w:t>
      </w:r>
      <w:r w:rsidR="00DC17A9" w:rsidRPr="00295637">
        <w:rPr>
          <w:rFonts w:ascii="Times New Roman" w:hAnsi="Times New Roman"/>
          <w:lang w:val="sr-Latn-BA"/>
        </w:rPr>
        <w:t>о</w:t>
      </w:r>
      <w:r>
        <w:rPr>
          <w:rFonts w:ascii="Times New Roman" w:hAnsi="Times New Roman"/>
          <w:lang w:val="sr-Latn-BA"/>
        </w:rPr>
        <w:t>тив</w:t>
      </w:r>
      <w:r w:rsidR="00DC17A9" w:rsidRPr="00295637">
        <w:rPr>
          <w:rFonts w:ascii="Times New Roman" w:hAnsi="Times New Roman"/>
          <w:lang w:val="sr-Latn-BA"/>
        </w:rPr>
        <w:t xml:space="preserve"> </w:t>
      </w:r>
      <w:r w:rsidR="0090180C" w:rsidRPr="0090180C">
        <w:rPr>
          <w:rFonts w:ascii="Times New Roman" w:hAnsi="Times New Roman"/>
          <w:i/>
          <w:lang w:val="sr-Latn-BA"/>
        </w:rPr>
        <w:t>HPV</w:t>
      </w:r>
      <w:r w:rsidR="0090180C" w:rsidRPr="0090180C">
        <w:rPr>
          <w:rFonts w:ascii="Times New Roman" w:hAnsi="Times New Roman"/>
          <w:lang w:val="sr-Latn-BA"/>
        </w:rPr>
        <w:t xml:space="preserve"> „</w:t>
      </w:r>
      <w:r w:rsidR="0090180C" w:rsidRPr="0090180C">
        <w:rPr>
          <w:rFonts w:ascii="Times New Roman" w:hAnsi="Times New Roman"/>
          <w:i/>
          <w:lang w:val="sr-Latn-BA"/>
        </w:rPr>
        <w:t>Gаrdаsil 9</w:t>
      </w:r>
      <w:r w:rsidR="0090180C" w:rsidRPr="0090180C">
        <w:rPr>
          <w:rFonts w:ascii="Times New Roman" w:hAnsi="Times New Roman"/>
          <w:lang w:val="sr-Latn-BA"/>
        </w:rPr>
        <w:t>“</w:t>
      </w:r>
      <w:r w:rsidR="00DC17A9" w:rsidRPr="00295637">
        <w:rPr>
          <w:rFonts w:ascii="Times New Roman" w:hAnsi="Times New Roman"/>
          <w:lang w:val="sr-Latn-BA"/>
        </w:rPr>
        <w:t xml:space="preserve">. </w:t>
      </w:r>
      <w:r>
        <w:rPr>
          <w:rFonts w:ascii="Times New Roman" w:hAnsi="Times New Roman"/>
          <w:lang w:val="sr-Latn-BA"/>
        </w:rPr>
        <w:t>Пр</w:t>
      </w:r>
      <w:r w:rsidR="00DC17A9" w:rsidRPr="00295637">
        <w:rPr>
          <w:rFonts w:ascii="Times New Roman" w:hAnsi="Times New Roman"/>
          <w:lang w:val="sr-Latn-BA"/>
        </w:rPr>
        <w:t>е</w:t>
      </w:r>
      <w:r>
        <w:rPr>
          <w:rFonts w:ascii="Times New Roman" w:hAnsi="Times New Roman"/>
          <w:lang w:val="sr-Latn-BA"/>
        </w:rPr>
        <w:t>п</w:t>
      </w:r>
      <w:r w:rsidR="00DC17A9" w:rsidRPr="00295637">
        <w:rPr>
          <w:rFonts w:ascii="Times New Roman" w:hAnsi="Times New Roman"/>
          <w:lang w:val="sr-Latn-BA"/>
        </w:rPr>
        <w:t>о</w:t>
      </w:r>
      <w:r>
        <w:rPr>
          <w:rFonts w:ascii="Times New Roman" w:hAnsi="Times New Roman"/>
          <w:lang w:val="sr-Latn-BA"/>
        </w:rPr>
        <w:t>руч</w:t>
      </w:r>
      <w:r w:rsidR="00DC17A9" w:rsidRPr="00295637">
        <w:rPr>
          <w:rFonts w:ascii="Times New Roman" w:hAnsi="Times New Roman"/>
          <w:lang w:val="sr-Latn-BA"/>
        </w:rPr>
        <w:t>е</w:t>
      </w:r>
      <w:r>
        <w:rPr>
          <w:rFonts w:ascii="Times New Roman" w:hAnsi="Times New Roman"/>
          <w:lang w:val="sr-Latn-BA"/>
        </w:rPr>
        <w:t>н</w:t>
      </w:r>
      <w:r w:rsidR="00DC17A9" w:rsidRPr="00295637">
        <w:rPr>
          <w:rFonts w:ascii="Times New Roman" w:hAnsi="Times New Roman"/>
          <w:lang w:val="sr-Latn-BA"/>
        </w:rPr>
        <w:t xml:space="preserve">а </w:t>
      </w:r>
      <w:r>
        <w:rPr>
          <w:rFonts w:ascii="Times New Roman" w:hAnsi="Times New Roman"/>
          <w:lang w:val="sr-Latn-BA"/>
        </w:rPr>
        <w:t>б</w:t>
      </w:r>
      <w:r w:rsidR="00DC17A9" w:rsidRPr="00295637">
        <w:rPr>
          <w:rFonts w:ascii="Times New Roman" w:hAnsi="Times New Roman"/>
          <w:lang w:val="sr-Latn-BA"/>
        </w:rPr>
        <w:t>е</w:t>
      </w:r>
      <w:r>
        <w:rPr>
          <w:rFonts w:ascii="Times New Roman" w:hAnsi="Times New Roman"/>
          <w:lang w:val="sr-Latn-BA"/>
        </w:rPr>
        <w:t>спл</w:t>
      </w:r>
      <w:r w:rsidR="00DC17A9" w:rsidRPr="00295637">
        <w:rPr>
          <w:rFonts w:ascii="Times New Roman" w:hAnsi="Times New Roman"/>
          <w:lang w:val="sr-Latn-BA"/>
        </w:rPr>
        <w:t>а</w:t>
      </w:r>
      <w:r>
        <w:rPr>
          <w:rFonts w:ascii="Times New Roman" w:hAnsi="Times New Roman"/>
          <w:lang w:val="sr-Latn-BA"/>
        </w:rPr>
        <w:t>тн</w:t>
      </w:r>
      <w:r w:rsidR="00DC17A9" w:rsidRPr="00295637">
        <w:rPr>
          <w:rFonts w:ascii="Times New Roman" w:hAnsi="Times New Roman"/>
          <w:lang w:val="sr-Latn-BA"/>
        </w:rPr>
        <w:t xml:space="preserve">а </w:t>
      </w:r>
      <w:r>
        <w:rPr>
          <w:rFonts w:ascii="Times New Roman" w:hAnsi="Times New Roman"/>
          <w:lang w:val="sr-Latn-BA"/>
        </w:rPr>
        <w:t>в</w:t>
      </w:r>
      <w:r w:rsidR="00DC17A9" w:rsidRPr="00295637">
        <w:rPr>
          <w:rFonts w:ascii="Times New Roman" w:hAnsi="Times New Roman"/>
          <w:lang w:val="sr-Latn-BA"/>
        </w:rPr>
        <w:t>а</w:t>
      </w:r>
      <w:r>
        <w:rPr>
          <w:rFonts w:ascii="Times New Roman" w:hAnsi="Times New Roman"/>
          <w:lang w:val="sr-Latn-BA"/>
        </w:rPr>
        <w:t>кцин</w:t>
      </w:r>
      <w:r w:rsidR="00DC17A9" w:rsidRPr="00295637">
        <w:rPr>
          <w:rFonts w:ascii="Times New Roman" w:hAnsi="Times New Roman"/>
          <w:lang w:val="sr-Latn-BA"/>
        </w:rPr>
        <w:t>а</w:t>
      </w:r>
      <w:r>
        <w:rPr>
          <w:rFonts w:ascii="Times New Roman" w:hAnsi="Times New Roman"/>
          <w:lang w:val="sr-Latn-BA"/>
        </w:rPr>
        <w:t>ци</w:t>
      </w:r>
      <w:r w:rsidR="00DC17A9" w:rsidRPr="00295637">
        <w:rPr>
          <w:rFonts w:ascii="Times New Roman" w:hAnsi="Times New Roman"/>
          <w:lang w:val="sr-Latn-BA"/>
        </w:rPr>
        <w:t xml:space="preserve">ја </w:t>
      </w:r>
      <w:r>
        <w:rPr>
          <w:rFonts w:ascii="Times New Roman" w:hAnsi="Times New Roman"/>
          <w:lang w:val="sr-Latn-BA"/>
        </w:rPr>
        <w:t>пр</w:t>
      </w:r>
      <w:r w:rsidR="00DC17A9" w:rsidRPr="00295637">
        <w:rPr>
          <w:rFonts w:ascii="Times New Roman" w:hAnsi="Times New Roman"/>
          <w:lang w:val="sr-Latn-BA"/>
        </w:rPr>
        <w:t>о</w:t>
      </w:r>
      <w:r>
        <w:rPr>
          <w:rFonts w:ascii="Times New Roman" w:hAnsi="Times New Roman"/>
          <w:lang w:val="sr-Latn-BA"/>
        </w:rPr>
        <w:t>тив</w:t>
      </w:r>
      <w:r w:rsidR="00DC17A9" w:rsidRPr="00295637">
        <w:rPr>
          <w:rFonts w:ascii="Times New Roman" w:hAnsi="Times New Roman"/>
          <w:lang w:val="sr-Latn-BA"/>
        </w:rPr>
        <w:t xml:space="preserve"> </w:t>
      </w:r>
      <w:r w:rsidR="0090180C" w:rsidRPr="0090180C">
        <w:rPr>
          <w:rFonts w:ascii="Times New Roman" w:hAnsi="Times New Roman"/>
          <w:i/>
          <w:lang w:val="sr-Latn-BA"/>
        </w:rPr>
        <w:t>HPV</w:t>
      </w:r>
      <w:r w:rsidR="00DC17A9" w:rsidRPr="00295637">
        <w:rPr>
          <w:rFonts w:ascii="Times New Roman" w:hAnsi="Times New Roman"/>
          <w:lang w:val="sr-Latn-BA"/>
        </w:rPr>
        <w:t xml:space="preserve">-а </w:t>
      </w:r>
      <w:r>
        <w:rPr>
          <w:rFonts w:ascii="Times New Roman" w:hAnsi="Times New Roman"/>
          <w:lang w:val="sr-Latn-BA"/>
        </w:rPr>
        <w:t>с</w:t>
      </w:r>
      <w:r w:rsidR="00DC17A9" w:rsidRPr="00295637">
        <w:rPr>
          <w:rFonts w:ascii="Times New Roman" w:hAnsi="Times New Roman"/>
          <w:lang w:val="sr-Latn-BA"/>
        </w:rPr>
        <w:t>е о</w:t>
      </w:r>
      <w:r>
        <w:rPr>
          <w:rFonts w:ascii="Times New Roman" w:hAnsi="Times New Roman"/>
          <w:lang w:val="sr-Latn-BA"/>
        </w:rPr>
        <w:t>рг</w:t>
      </w:r>
      <w:r w:rsidR="00DC17A9" w:rsidRPr="00295637">
        <w:rPr>
          <w:rFonts w:ascii="Times New Roman" w:hAnsi="Times New Roman"/>
          <w:lang w:val="sr-Latn-BA"/>
        </w:rPr>
        <w:t>а</w:t>
      </w:r>
      <w:r>
        <w:rPr>
          <w:rFonts w:ascii="Times New Roman" w:hAnsi="Times New Roman"/>
          <w:lang w:val="sr-Latn-BA"/>
        </w:rPr>
        <w:t>низ</w:t>
      </w:r>
      <w:r w:rsidR="0090180C">
        <w:rPr>
          <w:rFonts w:ascii="Times New Roman" w:hAnsi="Times New Roman"/>
          <w:lang w:val="sr-Cyrl-BA"/>
        </w:rPr>
        <w:t>овано</w:t>
      </w:r>
      <w:r w:rsidR="00813F15">
        <w:rPr>
          <w:rFonts w:ascii="Times New Roman" w:hAnsi="Times New Roman"/>
          <w:lang w:val="sr-Latn-BA"/>
        </w:rPr>
        <w:t xml:space="preserve"> </w:t>
      </w:r>
      <w:r>
        <w:rPr>
          <w:rFonts w:ascii="Times New Roman" w:hAnsi="Times New Roman"/>
          <w:lang w:val="sr-Latn-BA"/>
        </w:rPr>
        <w:t>и</w:t>
      </w:r>
      <w:r w:rsidR="00813F15">
        <w:rPr>
          <w:rFonts w:ascii="Times New Roman" w:hAnsi="Times New Roman"/>
          <w:lang w:val="sr-Latn-BA"/>
        </w:rPr>
        <w:t xml:space="preserve"> </w:t>
      </w:r>
      <w:r>
        <w:rPr>
          <w:rFonts w:ascii="Times New Roman" w:hAnsi="Times New Roman"/>
          <w:lang w:val="sr-Latn-BA"/>
        </w:rPr>
        <w:t>б</w:t>
      </w:r>
      <w:r w:rsidR="00813F15">
        <w:rPr>
          <w:rFonts w:ascii="Times New Roman" w:hAnsi="Times New Roman"/>
          <w:lang w:val="sr-Latn-BA"/>
        </w:rPr>
        <w:t>е</w:t>
      </w:r>
      <w:r>
        <w:rPr>
          <w:rFonts w:ascii="Times New Roman" w:hAnsi="Times New Roman"/>
          <w:lang w:val="sr-Latn-BA"/>
        </w:rPr>
        <w:t>спл</w:t>
      </w:r>
      <w:r w:rsidR="00813F15">
        <w:rPr>
          <w:rFonts w:ascii="Times New Roman" w:hAnsi="Times New Roman"/>
          <w:lang w:val="sr-Latn-BA"/>
        </w:rPr>
        <w:t>а</w:t>
      </w:r>
      <w:r>
        <w:rPr>
          <w:rFonts w:ascii="Times New Roman" w:hAnsi="Times New Roman"/>
          <w:lang w:val="sr-Latn-BA"/>
        </w:rPr>
        <w:t>тн</w:t>
      </w:r>
      <w:r w:rsidR="00813F15">
        <w:rPr>
          <w:rFonts w:ascii="Times New Roman" w:hAnsi="Times New Roman"/>
          <w:lang w:val="sr-Latn-BA"/>
        </w:rPr>
        <w:t xml:space="preserve">о </w:t>
      </w:r>
      <w:r>
        <w:rPr>
          <w:rFonts w:ascii="Times New Roman" w:hAnsi="Times New Roman"/>
          <w:lang w:val="sr-Latn-BA"/>
        </w:rPr>
        <w:t>пр</w:t>
      </w:r>
      <w:r w:rsidR="00DC17A9" w:rsidRPr="00295637">
        <w:rPr>
          <w:rFonts w:ascii="Times New Roman" w:hAnsi="Times New Roman"/>
          <w:lang w:val="sr-Latn-BA"/>
        </w:rPr>
        <w:t>о</w:t>
      </w:r>
      <w:r>
        <w:rPr>
          <w:rFonts w:ascii="Times New Roman" w:hAnsi="Times New Roman"/>
          <w:lang w:val="sr-Latn-BA"/>
        </w:rPr>
        <w:t>в</w:t>
      </w:r>
      <w:r w:rsidR="00DC17A9" w:rsidRPr="00295637">
        <w:rPr>
          <w:rFonts w:ascii="Times New Roman" w:hAnsi="Times New Roman"/>
          <w:lang w:val="sr-Latn-BA"/>
        </w:rPr>
        <w:t>о</w:t>
      </w:r>
      <w:r>
        <w:rPr>
          <w:rFonts w:ascii="Times New Roman" w:hAnsi="Times New Roman"/>
          <w:lang w:val="sr-Latn-BA"/>
        </w:rPr>
        <w:t>ди</w:t>
      </w:r>
      <w:r w:rsidR="00DC17A9" w:rsidRPr="00295637">
        <w:rPr>
          <w:rFonts w:ascii="Times New Roman" w:hAnsi="Times New Roman"/>
          <w:lang w:val="sr-Latn-BA"/>
        </w:rPr>
        <w:t xml:space="preserve"> </w:t>
      </w:r>
      <w:r>
        <w:rPr>
          <w:rFonts w:ascii="Times New Roman" w:hAnsi="Times New Roman"/>
          <w:lang w:val="sr-Latn-BA"/>
        </w:rPr>
        <w:t>к</w:t>
      </w:r>
      <w:r w:rsidR="00DC17A9" w:rsidRPr="00295637">
        <w:rPr>
          <w:rFonts w:ascii="Times New Roman" w:hAnsi="Times New Roman"/>
          <w:lang w:val="sr-Latn-BA"/>
        </w:rPr>
        <w:t>о</w:t>
      </w:r>
      <w:r>
        <w:rPr>
          <w:rFonts w:ascii="Times New Roman" w:hAnsi="Times New Roman"/>
          <w:lang w:val="sr-Latn-BA"/>
        </w:rPr>
        <w:t>д</w:t>
      </w:r>
      <w:r w:rsidR="00DC17A9" w:rsidRPr="00295637">
        <w:rPr>
          <w:rFonts w:ascii="Times New Roman" w:hAnsi="Times New Roman"/>
          <w:lang w:val="sr-Latn-BA"/>
        </w:rPr>
        <w:t xml:space="preserve"> </w:t>
      </w:r>
      <w:r>
        <w:rPr>
          <w:rFonts w:ascii="Times New Roman" w:hAnsi="Times New Roman"/>
          <w:lang w:val="sr-Latn-BA"/>
        </w:rPr>
        <w:t>д</w:t>
      </w:r>
      <w:r w:rsidR="00DC17A9" w:rsidRPr="00295637">
        <w:rPr>
          <w:rFonts w:ascii="Times New Roman" w:hAnsi="Times New Roman"/>
          <w:lang w:val="sr-Latn-BA"/>
        </w:rPr>
        <w:t>је</w:t>
      </w:r>
      <w:r>
        <w:rPr>
          <w:rFonts w:ascii="Times New Roman" w:hAnsi="Times New Roman"/>
          <w:lang w:val="sr-Latn-BA"/>
        </w:rPr>
        <w:t>в</w:t>
      </w:r>
      <w:r w:rsidR="00DC17A9" w:rsidRPr="00295637">
        <w:rPr>
          <w:rFonts w:ascii="Times New Roman" w:hAnsi="Times New Roman"/>
          <w:lang w:val="sr-Latn-BA"/>
        </w:rPr>
        <w:t>ој</w:t>
      </w:r>
      <w:r>
        <w:rPr>
          <w:rFonts w:ascii="Times New Roman" w:hAnsi="Times New Roman"/>
          <w:lang w:val="sr-Latn-BA"/>
        </w:rPr>
        <w:t>чиц</w:t>
      </w:r>
      <w:r w:rsidR="00DC17A9" w:rsidRPr="00295637">
        <w:rPr>
          <w:rFonts w:ascii="Times New Roman" w:hAnsi="Times New Roman"/>
          <w:lang w:val="sr-Latn-BA"/>
        </w:rPr>
        <w:t xml:space="preserve">а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д</w:t>
      </w:r>
      <w:r w:rsidR="00DC17A9" w:rsidRPr="00295637">
        <w:rPr>
          <w:rFonts w:ascii="Times New Roman" w:hAnsi="Times New Roman"/>
          <w:lang w:val="sr-Latn-BA"/>
        </w:rPr>
        <w:t>је</w:t>
      </w:r>
      <w:r>
        <w:rPr>
          <w:rFonts w:ascii="Times New Roman" w:hAnsi="Times New Roman"/>
          <w:lang w:val="sr-Latn-BA"/>
        </w:rPr>
        <w:t>ч</w:t>
      </w:r>
      <w:r w:rsidR="00DC17A9" w:rsidRPr="00295637">
        <w:rPr>
          <w:rFonts w:ascii="Times New Roman" w:hAnsi="Times New Roman"/>
          <w:lang w:val="sr-Latn-BA"/>
        </w:rPr>
        <w:t>а</w:t>
      </w:r>
      <w:r>
        <w:rPr>
          <w:rFonts w:ascii="Times New Roman" w:hAnsi="Times New Roman"/>
          <w:lang w:val="sr-Latn-BA"/>
        </w:rPr>
        <w:t>к</w:t>
      </w:r>
      <w:r w:rsidR="00DC17A9" w:rsidRPr="00295637">
        <w:rPr>
          <w:rFonts w:ascii="Times New Roman" w:hAnsi="Times New Roman"/>
          <w:lang w:val="sr-Latn-BA"/>
        </w:rPr>
        <w:t>а о</w:t>
      </w:r>
      <w:r>
        <w:rPr>
          <w:rFonts w:ascii="Times New Roman" w:hAnsi="Times New Roman"/>
          <w:lang w:val="sr-Latn-BA"/>
        </w:rPr>
        <w:t>д</w:t>
      </w:r>
      <w:r w:rsidR="00DC17A9" w:rsidRPr="00295637">
        <w:rPr>
          <w:rFonts w:ascii="Times New Roman" w:hAnsi="Times New Roman"/>
          <w:lang w:val="sr-Latn-BA"/>
        </w:rPr>
        <w:t xml:space="preserve"> 11 </w:t>
      </w:r>
      <w:r>
        <w:rPr>
          <w:rFonts w:ascii="Times New Roman" w:hAnsi="Times New Roman"/>
          <w:lang w:val="sr-Latn-BA"/>
        </w:rPr>
        <w:t>д</w:t>
      </w:r>
      <w:r w:rsidR="00DC17A9" w:rsidRPr="00295637">
        <w:rPr>
          <w:rFonts w:ascii="Times New Roman" w:hAnsi="Times New Roman"/>
          <w:lang w:val="sr-Latn-BA"/>
        </w:rPr>
        <w:t xml:space="preserve">о 14 </w:t>
      </w:r>
      <w:r>
        <w:rPr>
          <w:rFonts w:ascii="Times New Roman" w:hAnsi="Times New Roman"/>
          <w:lang w:val="sr-Latn-BA"/>
        </w:rPr>
        <w:t>г</w:t>
      </w:r>
      <w:r w:rsidR="00DC17A9" w:rsidRPr="00295637">
        <w:rPr>
          <w:rFonts w:ascii="Times New Roman" w:hAnsi="Times New Roman"/>
          <w:lang w:val="sr-Latn-BA"/>
        </w:rPr>
        <w:t>о</w:t>
      </w:r>
      <w:r>
        <w:rPr>
          <w:rFonts w:ascii="Times New Roman" w:hAnsi="Times New Roman"/>
          <w:lang w:val="sr-Latn-BA"/>
        </w:rPr>
        <w:t>дин</w:t>
      </w:r>
      <w:r w:rsidR="00DC17A9" w:rsidRPr="00295637">
        <w:rPr>
          <w:rFonts w:ascii="Times New Roman" w:hAnsi="Times New Roman"/>
          <w:lang w:val="sr-Latn-BA"/>
        </w:rPr>
        <w:t xml:space="preserve">а </w:t>
      </w:r>
      <w:r>
        <w:rPr>
          <w:rFonts w:ascii="Times New Roman" w:hAnsi="Times New Roman"/>
          <w:lang w:val="sr-Latn-BA"/>
        </w:rPr>
        <w:t>у</w:t>
      </w:r>
      <w:r w:rsidR="00DC17A9" w:rsidRPr="00295637">
        <w:rPr>
          <w:rFonts w:ascii="Times New Roman" w:hAnsi="Times New Roman"/>
          <w:lang w:val="sr-Latn-BA"/>
        </w:rPr>
        <w:t xml:space="preserve"> 2024. </w:t>
      </w:r>
      <w:r>
        <w:rPr>
          <w:rFonts w:ascii="Times New Roman" w:hAnsi="Times New Roman"/>
          <w:lang w:val="sr-Latn-BA"/>
        </w:rPr>
        <w:t>години</w:t>
      </w:r>
      <w:r w:rsidR="00DC17A9" w:rsidRPr="00295637">
        <w:rPr>
          <w:rFonts w:ascii="Times New Roman" w:hAnsi="Times New Roman"/>
          <w:lang w:val="sr-Latn-BA"/>
        </w:rPr>
        <w:t xml:space="preserve">, </w:t>
      </w:r>
      <w:r>
        <w:rPr>
          <w:rFonts w:ascii="Times New Roman" w:hAnsi="Times New Roman"/>
          <w:lang w:val="sr-Latn-BA"/>
        </w:rPr>
        <w:t>преко</w:t>
      </w:r>
      <w:r w:rsidR="00DC17A9" w:rsidRPr="00295637">
        <w:rPr>
          <w:rFonts w:ascii="Times New Roman" w:hAnsi="Times New Roman"/>
          <w:lang w:val="sr-Latn-BA"/>
        </w:rPr>
        <w:t xml:space="preserve"> </w:t>
      </w:r>
      <w:r>
        <w:rPr>
          <w:rFonts w:ascii="Times New Roman" w:hAnsi="Times New Roman"/>
          <w:lang w:val="sr-Latn-BA"/>
        </w:rPr>
        <w:t>домова</w:t>
      </w:r>
      <w:r w:rsidR="00DC17A9" w:rsidRPr="00295637">
        <w:rPr>
          <w:rFonts w:ascii="Times New Roman" w:hAnsi="Times New Roman"/>
          <w:lang w:val="sr-Latn-BA"/>
        </w:rPr>
        <w:t xml:space="preserve"> </w:t>
      </w:r>
      <w:r>
        <w:rPr>
          <w:rFonts w:ascii="Times New Roman" w:hAnsi="Times New Roman"/>
          <w:lang w:val="sr-Latn-BA"/>
        </w:rPr>
        <w:t>здравља</w:t>
      </w:r>
      <w:r w:rsidR="00DC17A9" w:rsidRPr="00295637">
        <w:rPr>
          <w:rFonts w:ascii="Times New Roman" w:hAnsi="Times New Roman"/>
          <w:lang w:val="sr-Latn-BA"/>
        </w:rPr>
        <w:t>.</w:t>
      </w:r>
    </w:p>
    <w:p w:rsidR="00DC17A9" w:rsidRPr="00295637" w:rsidRDefault="00DC17A9" w:rsidP="0086268D">
      <w:pPr>
        <w:pStyle w:val="ListParagraph"/>
        <w:ind w:left="0"/>
        <w:jc w:val="both"/>
        <w:rPr>
          <w:rFonts w:ascii="Times New Roman" w:hAnsi="Times New Roman"/>
          <w:lang w:val="sr-Latn-BA"/>
        </w:rPr>
      </w:pPr>
    </w:p>
    <w:p w:rsidR="00DC17A9" w:rsidRPr="00295637" w:rsidRDefault="00C6214E" w:rsidP="0086268D">
      <w:pPr>
        <w:pStyle w:val="ListParagraph"/>
        <w:ind w:left="0"/>
        <w:jc w:val="both"/>
        <w:rPr>
          <w:rFonts w:ascii="Times New Roman" w:hAnsi="Times New Roman"/>
          <w:lang w:val="sr-Cyrl-BA"/>
        </w:rPr>
      </w:pPr>
      <w:r>
        <w:rPr>
          <w:rFonts w:ascii="Times New Roman" w:hAnsi="Times New Roman"/>
          <w:lang w:val="sr-Latn-BA"/>
        </w:rPr>
        <w:t>У</w:t>
      </w:r>
      <w:r w:rsidR="00DC17A9" w:rsidRPr="00295637">
        <w:rPr>
          <w:rFonts w:ascii="Times New Roman" w:hAnsi="Times New Roman"/>
          <w:lang w:val="sr-Latn-BA"/>
        </w:rPr>
        <w:t xml:space="preserve"> </w:t>
      </w:r>
      <w:r>
        <w:rPr>
          <w:rFonts w:ascii="Times New Roman" w:hAnsi="Times New Roman"/>
          <w:lang w:val="sr-Latn-BA"/>
        </w:rPr>
        <w:t>РС</w:t>
      </w:r>
      <w:r w:rsidR="009A5EB2" w:rsidRPr="00295637">
        <w:rPr>
          <w:rFonts w:ascii="Times New Roman" w:hAnsi="Times New Roman"/>
          <w:lang w:val="sr-Latn-BA"/>
        </w:rPr>
        <w:t xml:space="preserve"> </w:t>
      </w:r>
      <w:r>
        <w:rPr>
          <w:rFonts w:ascii="Times New Roman" w:hAnsi="Times New Roman"/>
          <w:lang w:val="sr-Latn-BA"/>
        </w:rPr>
        <w:t>је</w:t>
      </w:r>
      <w:r w:rsidR="009A5EB2" w:rsidRPr="00295637">
        <w:rPr>
          <w:rFonts w:ascii="Times New Roman" w:hAnsi="Times New Roman"/>
          <w:lang w:val="sr-Latn-BA"/>
        </w:rPr>
        <w:t xml:space="preserve"> </w:t>
      </w:r>
      <w:r>
        <w:rPr>
          <w:rFonts w:ascii="Times New Roman" w:hAnsi="Times New Roman"/>
          <w:lang w:val="sr-Latn-BA"/>
        </w:rPr>
        <w:t>на</w:t>
      </w:r>
      <w:r w:rsidR="00DC17A9" w:rsidRPr="00295637">
        <w:rPr>
          <w:rFonts w:ascii="Times New Roman" w:hAnsi="Times New Roman"/>
          <w:lang w:val="sr-Latn-BA"/>
        </w:rPr>
        <w:t xml:space="preserve"> </w:t>
      </w:r>
      <w:r>
        <w:rPr>
          <w:rFonts w:ascii="Times New Roman" w:hAnsi="Times New Roman"/>
          <w:lang w:val="sr-Latn-BA"/>
        </w:rPr>
        <w:t>снази</w:t>
      </w:r>
      <w:r w:rsidR="00DC17A9" w:rsidRPr="00295637">
        <w:rPr>
          <w:rFonts w:ascii="Times New Roman" w:hAnsi="Times New Roman"/>
          <w:lang w:val="sr-Latn-BA"/>
        </w:rPr>
        <w:t xml:space="preserve"> </w:t>
      </w:r>
      <w:r>
        <w:rPr>
          <w:rFonts w:ascii="Times New Roman" w:hAnsi="Times New Roman"/>
          <w:lang w:val="sr-Latn-BA"/>
        </w:rPr>
        <w:t>Програм</w:t>
      </w:r>
      <w:r w:rsidR="00DC17A9" w:rsidRPr="00295637">
        <w:rPr>
          <w:rFonts w:ascii="Times New Roman" w:hAnsi="Times New Roman"/>
          <w:lang w:val="sr-Latn-BA"/>
        </w:rPr>
        <w:t xml:space="preserve"> </w:t>
      </w:r>
      <w:r>
        <w:rPr>
          <w:rFonts w:ascii="Times New Roman" w:hAnsi="Times New Roman"/>
          <w:lang w:val="sr-Latn-BA"/>
        </w:rPr>
        <w:t>за</w:t>
      </w:r>
      <w:r w:rsidR="00DC17A9" w:rsidRPr="00295637">
        <w:rPr>
          <w:rFonts w:ascii="Times New Roman" w:hAnsi="Times New Roman"/>
          <w:lang w:val="sr-Latn-BA"/>
        </w:rPr>
        <w:t xml:space="preserve"> </w:t>
      </w:r>
      <w:r>
        <w:rPr>
          <w:rFonts w:ascii="Times New Roman" w:hAnsi="Times New Roman"/>
          <w:lang w:val="sr-Latn-BA"/>
        </w:rPr>
        <w:t>рани</w:t>
      </w:r>
      <w:r w:rsidR="00DC17A9" w:rsidRPr="00295637">
        <w:rPr>
          <w:rFonts w:ascii="Times New Roman" w:hAnsi="Times New Roman"/>
          <w:lang w:val="sr-Latn-BA"/>
        </w:rPr>
        <w:t xml:space="preserve"> </w:t>
      </w:r>
      <w:r>
        <w:rPr>
          <w:rFonts w:ascii="Times New Roman" w:hAnsi="Times New Roman"/>
          <w:lang w:val="sr-Latn-BA"/>
        </w:rPr>
        <w:t>раст</w:t>
      </w:r>
      <w:r w:rsidR="00DC17A9" w:rsidRPr="00295637">
        <w:rPr>
          <w:rFonts w:ascii="Times New Roman" w:hAnsi="Times New Roman"/>
          <w:lang w:val="sr-Latn-BA"/>
        </w:rPr>
        <w:t xml:space="preserve">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развој</w:t>
      </w:r>
      <w:r w:rsidR="00DC17A9" w:rsidRPr="00295637">
        <w:rPr>
          <w:rFonts w:ascii="Times New Roman" w:hAnsi="Times New Roman"/>
          <w:lang w:val="sr-Latn-BA"/>
        </w:rPr>
        <w:t xml:space="preserve"> </w:t>
      </w:r>
      <w:r>
        <w:rPr>
          <w:rFonts w:ascii="Times New Roman" w:hAnsi="Times New Roman"/>
          <w:lang w:val="sr-Latn-BA"/>
        </w:rPr>
        <w:t>дјеце</w:t>
      </w:r>
      <w:r w:rsidR="00DC17A9" w:rsidRPr="00295637">
        <w:rPr>
          <w:rFonts w:ascii="Times New Roman" w:hAnsi="Times New Roman"/>
          <w:lang w:val="sr-Latn-BA"/>
        </w:rPr>
        <w:t xml:space="preserve"> </w:t>
      </w:r>
      <w:r w:rsidR="009A5EB2" w:rsidRPr="00295637">
        <w:rPr>
          <w:rFonts w:ascii="Times New Roman" w:hAnsi="Times New Roman"/>
          <w:lang w:val="sr-Latn-BA"/>
        </w:rPr>
        <w:t>2</w:t>
      </w:r>
      <w:r w:rsidR="00DC17A9" w:rsidRPr="00295637">
        <w:rPr>
          <w:rFonts w:ascii="Times New Roman" w:hAnsi="Times New Roman"/>
          <w:lang w:val="sr-Latn-BA"/>
        </w:rPr>
        <w:t>022</w:t>
      </w:r>
      <w:r w:rsidR="00813F15">
        <w:rPr>
          <w:rFonts w:ascii="Times New Roman" w:hAnsi="Times New Roman"/>
          <w:lang w:val="sr-Latn-BA"/>
        </w:rPr>
        <w:t>-</w:t>
      </w:r>
      <w:r w:rsidR="00DC17A9" w:rsidRPr="00295637">
        <w:rPr>
          <w:rFonts w:ascii="Times New Roman" w:hAnsi="Times New Roman"/>
          <w:lang w:val="sr-Latn-BA"/>
        </w:rPr>
        <w:t>2028</w:t>
      </w:r>
      <w:r w:rsidR="00813F15">
        <w:rPr>
          <w:rFonts w:ascii="Times New Roman" w:hAnsi="Times New Roman"/>
          <w:lang w:val="sr-Latn-BA"/>
        </w:rPr>
        <w:t xml:space="preserve">. </w:t>
      </w:r>
      <w:r>
        <w:rPr>
          <w:rFonts w:ascii="Times New Roman" w:hAnsi="Times New Roman"/>
          <w:lang w:val="sr-Latn-BA"/>
        </w:rPr>
        <w:t>година</w:t>
      </w:r>
      <w:r w:rsidR="00DC17A9" w:rsidRPr="00295637">
        <w:rPr>
          <w:rFonts w:ascii="Times New Roman" w:hAnsi="Times New Roman"/>
          <w:lang w:val="sr-Latn-BA"/>
        </w:rPr>
        <w:t xml:space="preserve">, </w:t>
      </w:r>
      <w:r>
        <w:rPr>
          <w:rFonts w:ascii="Times New Roman" w:hAnsi="Times New Roman"/>
          <w:lang w:val="sr-Latn-BA"/>
        </w:rPr>
        <w:t>који</w:t>
      </w:r>
      <w:r w:rsidR="00DC17A9" w:rsidRPr="00295637">
        <w:rPr>
          <w:rFonts w:ascii="Times New Roman" w:hAnsi="Times New Roman"/>
          <w:lang w:val="sr-Latn-BA"/>
        </w:rPr>
        <w:t xml:space="preserve"> </w:t>
      </w:r>
      <w:r>
        <w:rPr>
          <w:rFonts w:ascii="Times New Roman" w:hAnsi="Times New Roman"/>
          <w:lang w:val="sr-Latn-BA"/>
        </w:rPr>
        <w:t>посебну</w:t>
      </w:r>
      <w:r w:rsidR="00DC17A9" w:rsidRPr="00295637">
        <w:rPr>
          <w:rFonts w:ascii="Times New Roman" w:hAnsi="Times New Roman"/>
          <w:lang w:val="sr-Latn-BA"/>
        </w:rPr>
        <w:t xml:space="preserve"> </w:t>
      </w:r>
      <w:r>
        <w:rPr>
          <w:rFonts w:ascii="Times New Roman" w:hAnsi="Times New Roman"/>
          <w:lang w:val="sr-Latn-BA"/>
        </w:rPr>
        <w:t>пажњу</w:t>
      </w:r>
      <w:r w:rsidR="00DC17A9" w:rsidRPr="00295637">
        <w:rPr>
          <w:rFonts w:ascii="Times New Roman" w:hAnsi="Times New Roman"/>
          <w:lang w:val="sr-Latn-BA"/>
        </w:rPr>
        <w:t xml:space="preserve"> </w:t>
      </w:r>
      <w:r>
        <w:rPr>
          <w:rFonts w:ascii="Times New Roman" w:hAnsi="Times New Roman"/>
          <w:lang w:val="sr-Latn-BA"/>
        </w:rPr>
        <w:t>посвећује</w:t>
      </w:r>
      <w:r w:rsidR="00DC17A9" w:rsidRPr="00295637">
        <w:rPr>
          <w:rFonts w:ascii="Times New Roman" w:hAnsi="Times New Roman"/>
          <w:lang w:val="sr-Latn-BA"/>
        </w:rPr>
        <w:t xml:space="preserve"> </w:t>
      </w:r>
      <w:r>
        <w:rPr>
          <w:rFonts w:ascii="Times New Roman" w:hAnsi="Times New Roman"/>
          <w:lang w:val="sr-Latn-BA"/>
        </w:rPr>
        <w:t>заштити</w:t>
      </w:r>
      <w:r w:rsidR="00DC17A9" w:rsidRPr="00295637">
        <w:rPr>
          <w:rFonts w:ascii="Times New Roman" w:hAnsi="Times New Roman"/>
          <w:lang w:val="sr-Latn-BA"/>
        </w:rPr>
        <w:t xml:space="preserve"> </w:t>
      </w:r>
      <w:r>
        <w:rPr>
          <w:rFonts w:ascii="Times New Roman" w:hAnsi="Times New Roman"/>
          <w:lang w:val="sr-Latn-BA"/>
        </w:rPr>
        <w:t>дјеце</w:t>
      </w:r>
      <w:r w:rsidR="00DC17A9" w:rsidRPr="00295637">
        <w:rPr>
          <w:rFonts w:ascii="Times New Roman" w:hAnsi="Times New Roman"/>
          <w:lang w:val="sr-Latn-BA"/>
        </w:rPr>
        <w:t xml:space="preserve"> </w:t>
      </w:r>
      <w:r>
        <w:rPr>
          <w:rFonts w:ascii="Times New Roman" w:hAnsi="Times New Roman"/>
          <w:lang w:val="sr-Latn-BA"/>
        </w:rPr>
        <w:t>од</w:t>
      </w:r>
      <w:r w:rsidR="00DC17A9" w:rsidRPr="00295637">
        <w:rPr>
          <w:rFonts w:ascii="Times New Roman" w:hAnsi="Times New Roman"/>
          <w:lang w:val="sr-Latn-BA"/>
        </w:rPr>
        <w:t xml:space="preserve"> </w:t>
      </w:r>
      <w:r>
        <w:rPr>
          <w:rFonts w:ascii="Times New Roman" w:hAnsi="Times New Roman"/>
          <w:lang w:val="sr-Latn-BA"/>
        </w:rPr>
        <w:t>насиља</w:t>
      </w:r>
      <w:r w:rsidR="00DC17A9" w:rsidRPr="00295637">
        <w:rPr>
          <w:rFonts w:ascii="Times New Roman" w:hAnsi="Times New Roman"/>
          <w:lang w:val="sr-Latn-BA"/>
        </w:rPr>
        <w:t xml:space="preserve">, </w:t>
      </w:r>
      <w:r>
        <w:rPr>
          <w:rFonts w:ascii="Times New Roman" w:hAnsi="Times New Roman"/>
          <w:lang w:val="sr-Latn-BA"/>
        </w:rPr>
        <w:t>као</w:t>
      </w:r>
      <w:r w:rsidR="00DC17A9" w:rsidRPr="00295637">
        <w:rPr>
          <w:rFonts w:ascii="Times New Roman" w:hAnsi="Times New Roman"/>
          <w:lang w:val="sr-Latn-BA"/>
        </w:rPr>
        <w:t xml:space="preserve">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Програм</w:t>
      </w:r>
      <w:r w:rsidR="00DC17A9" w:rsidRPr="00295637">
        <w:rPr>
          <w:rFonts w:ascii="Times New Roman" w:hAnsi="Times New Roman"/>
          <w:lang w:val="sr-Latn-BA"/>
        </w:rPr>
        <w:t xml:space="preserve"> </w:t>
      </w:r>
      <w:r>
        <w:rPr>
          <w:rFonts w:ascii="Times New Roman" w:hAnsi="Times New Roman"/>
          <w:lang w:val="sr-Latn-BA"/>
        </w:rPr>
        <w:t>за</w:t>
      </w:r>
      <w:r w:rsidR="00DC17A9" w:rsidRPr="00295637">
        <w:rPr>
          <w:rFonts w:ascii="Times New Roman" w:hAnsi="Times New Roman"/>
          <w:lang w:val="sr-Latn-BA"/>
        </w:rPr>
        <w:t xml:space="preserve"> </w:t>
      </w:r>
      <w:r>
        <w:rPr>
          <w:rFonts w:ascii="Times New Roman" w:hAnsi="Times New Roman"/>
          <w:lang w:val="sr-Latn-BA"/>
        </w:rPr>
        <w:t>ријетке</w:t>
      </w:r>
      <w:r w:rsidR="00DC17A9" w:rsidRPr="00295637">
        <w:rPr>
          <w:rFonts w:ascii="Times New Roman" w:hAnsi="Times New Roman"/>
          <w:lang w:val="sr-Latn-BA"/>
        </w:rPr>
        <w:t xml:space="preserve"> </w:t>
      </w:r>
      <w:r>
        <w:rPr>
          <w:rFonts w:ascii="Times New Roman" w:hAnsi="Times New Roman"/>
          <w:lang w:val="sr-Latn-BA"/>
        </w:rPr>
        <w:t>болести</w:t>
      </w:r>
      <w:r w:rsidR="00DC17A9" w:rsidRPr="00295637">
        <w:rPr>
          <w:rFonts w:ascii="Times New Roman" w:hAnsi="Times New Roman"/>
          <w:lang w:val="sr-Latn-BA"/>
        </w:rPr>
        <w:t xml:space="preserve"> </w:t>
      </w:r>
      <w:r>
        <w:rPr>
          <w:rFonts w:ascii="Times New Roman" w:hAnsi="Times New Roman"/>
          <w:lang w:val="sr-Latn-BA"/>
        </w:rPr>
        <w:t>у</w:t>
      </w:r>
      <w:r w:rsidR="00DC17A9" w:rsidRPr="00295637">
        <w:rPr>
          <w:rFonts w:ascii="Times New Roman" w:hAnsi="Times New Roman"/>
          <w:lang w:val="sr-Latn-BA"/>
        </w:rPr>
        <w:t xml:space="preserve"> </w:t>
      </w:r>
      <w:r>
        <w:rPr>
          <w:rFonts w:ascii="Times New Roman" w:hAnsi="Times New Roman"/>
          <w:lang w:val="sr-Latn-BA"/>
        </w:rPr>
        <w:t>РС</w:t>
      </w:r>
      <w:r w:rsidR="00DC17A9" w:rsidRPr="00295637">
        <w:rPr>
          <w:rFonts w:ascii="Times New Roman" w:hAnsi="Times New Roman"/>
          <w:lang w:val="sr-Latn-BA"/>
        </w:rPr>
        <w:t xml:space="preserve"> 2022</w:t>
      </w:r>
      <w:r w:rsidR="00813F15">
        <w:rPr>
          <w:rFonts w:ascii="Times New Roman" w:hAnsi="Times New Roman"/>
          <w:lang w:val="sr-Latn-BA"/>
        </w:rPr>
        <w:t>-</w:t>
      </w:r>
      <w:r w:rsidR="00DC17A9" w:rsidRPr="00295637">
        <w:rPr>
          <w:rFonts w:ascii="Times New Roman" w:hAnsi="Times New Roman"/>
          <w:lang w:val="sr-Latn-BA"/>
        </w:rPr>
        <w:t>2024</w:t>
      </w:r>
      <w:r w:rsidR="00813F15">
        <w:rPr>
          <w:rFonts w:ascii="Times New Roman" w:hAnsi="Times New Roman"/>
          <w:lang w:val="sr-Latn-BA"/>
        </w:rPr>
        <w:t xml:space="preserve">. </w:t>
      </w:r>
      <w:r>
        <w:rPr>
          <w:rFonts w:ascii="Times New Roman" w:hAnsi="Times New Roman"/>
          <w:lang w:val="sr-Latn-BA"/>
        </w:rPr>
        <w:t>година</w:t>
      </w:r>
      <w:r w:rsidR="00DC17A9" w:rsidRPr="00295637">
        <w:rPr>
          <w:rFonts w:ascii="Times New Roman" w:hAnsi="Times New Roman"/>
          <w:lang w:val="sr-Latn-BA"/>
        </w:rPr>
        <w:t xml:space="preserve">, </w:t>
      </w:r>
      <w:r>
        <w:rPr>
          <w:rFonts w:ascii="Times New Roman" w:hAnsi="Times New Roman"/>
          <w:lang w:val="sr-Latn-BA"/>
        </w:rPr>
        <w:t>који</w:t>
      </w:r>
      <w:r w:rsidR="00DC17A9" w:rsidRPr="00295637">
        <w:rPr>
          <w:rFonts w:ascii="Times New Roman" w:hAnsi="Times New Roman"/>
          <w:lang w:val="sr-Latn-BA"/>
        </w:rPr>
        <w:t xml:space="preserve"> </w:t>
      </w:r>
      <w:r>
        <w:rPr>
          <w:rFonts w:ascii="Times New Roman" w:hAnsi="Times New Roman"/>
          <w:lang w:val="sr-Latn-BA"/>
        </w:rPr>
        <w:t>је</w:t>
      </w:r>
      <w:r w:rsidR="00DC17A9" w:rsidRPr="00295637">
        <w:rPr>
          <w:rFonts w:ascii="Times New Roman" w:hAnsi="Times New Roman"/>
          <w:lang w:val="sr-Latn-BA"/>
        </w:rPr>
        <w:t xml:space="preserve"> </w:t>
      </w:r>
      <w:r>
        <w:rPr>
          <w:rFonts w:ascii="Times New Roman" w:hAnsi="Times New Roman"/>
          <w:lang w:val="sr-Latn-BA"/>
        </w:rPr>
        <w:t>значајан</w:t>
      </w:r>
      <w:r w:rsidR="00DC17A9" w:rsidRPr="00295637">
        <w:rPr>
          <w:rFonts w:ascii="Times New Roman" w:hAnsi="Times New Roman"/>
          <w:lang w:val="sr-Latn-BA"/>
        </w:rPr>
        <w:t xml:space="preserve"> </w:t>
      </w:r>
      <w:r>
        <w:rPr>
          <w:rFonts w:ascii="Times New Roman" w:hAnsi="Times New Roman"/>
          <w:lang w:val="sr-Latn-BA"/>
        </w:rPr>
        <w:t>јер</w:t>
      </w:r>
      <w:r w:rsidR="00DC17A9" w:rsidRPr="00295637">
        <w:rPr>
          <w:rFonts w:ascii="Times New Roman" w:hAnsi="Times New Roman"/>
          <w:lang w:val="sr-Latn-BA"/>
        </w:rPr>
        <w:t xml:space="preserve"> </w:t>
      </w:r>
      <w:r>
        <w:rPr>
          <w:rFonts w:ascii="Times New Roman" w:hAnsi="Times New Roman"/>
          <w:lang w:val="sr-Latn-BA"/>
        </w:rPr>
        <w:t>у</w:t>
      </w:r>
      <w:r w:rsidR="00DC17A9" w:rsidRPr="00295637">
        <w:rPr>
          <w:rFonts w:ascii="Times New Roman" w:hAnsi="Times New Roman"/>
          <w:lang w:val="sr-Latn-BA"/>
        </w:rPr>
        <w:t xml:space="preserve"> </w:t>
      </w:r>
      <w:r>
        <w:rPr>
          <w:rFonts w:ascii="Times New Roman" w:hAnsi="Times New Roman"/>
          <w:lang w:val="sr-Latn-BA"/>
        </w:rPr>
        <w:t>највећем</w:t>
      </w:r>
      <w:r w:rsidR="00DC17A9" w:rsidRPr="00295637">
        <w:rPr>
          <w:rFonts w:ascii="Times New Roman" w:hAnsi="Times New Roman"/>
          <w:lang w:val="sr-Latn-BA"/>
        </w:rPr>
        <w:t xml:space="preserve"> </w:t>
      </w:r>
      <w:r>
        <w:rPr>
          <w:rFonts w:ascii="Times New Roman" w:hAnsi="Times New Roman"/>
          <w:lang w:val="sr-Latn-BA"/>
        </w:rPr>
        <w:t>броју</w:t>
      </w:r>
      <w:r w:rsidR="00DC17A9" w:rsidRPr="00295637">
        <w:rPr>
          <w:rFonts w:ascii="Times New Roman" w:hAnsi="Times New Roman"/>
          <w:lang w:val="sr-Latn-BA"/>
        </w:rPr>
        <w:t xml:space="preserve"> </w:t>
      </w:r>
      <w:r>
        <w:rPr>
          <w:rFonts w:ascii="Times New Roman" w:hAnsi="Times New Roman"/>
          <w:lang w:val="sr-Latn-BA"/>
        </w:rPr>
        <w:t>бригу</w:t>
      </w:r>
      <w:r w:rsidR="00DC17A9" w:rsidRPr="00295637">
        <w:rPr>
          <w:rFonts w:ascii="Times New Roman" w:hAnsi="Times New Roman"/>
          <w:lang w:val="sr-Latn-BA"/>
        </w:rPr>
        <w:t xml:space="preserve"> </w:t>
      </w:r>
      <w:r>
        <w:rPr>
          <w:rFonts w:ascii="Times New Roman" w:hAnsi="Times New Roman"/>
          <w:lang w:val="sr-Latn-BA"/>
        </w:rPr>
        <w:t>о</w:t>
      </w:r>
      <w:r w:rsidR="00DC17A9" w:rsidRPr="00295637">
        <w:rPr>
          <w:rFonts w:ascii="Times New Roman" w:hAnsi="Times New Roman"/>
          <w:lang w:val="sr-Latn-BA"/>
        </w:rPr>
        <w:t xml:space="preserve"> </w:t>
      </w:r>
      <w:r>
        <w:rPr>
          <w:rFonts w:ascii="Times New Roman" w:hAnsi="Times New Roman"/>
          <w:lang w:val="sr-Latn-BA"/>
        </w:rPr>
        <w:t>дјеци</w:t>
      </w:r>
      <w:r w:rsidR="00813F15">
        <w:rPr>
          <w:rFonts w:ascii="Times New Roman" w:hAnsi="Times New Roman"/>
          <w:lang w:val="sr-Latn-BA"/>
        </w:rPr>
        <w:t xml:space="preserve"> </w:t>
      </w:r>
      <w:r>
        <w:rPr>
          <w:rFonts w:ascii="Times New Roman" w:hAnsi="Times New Roman"/>
          <w:lang w:val="sr-Latn-BA"/>
        </w:rPr>
        <w:t>са</w:t>
      </w:r>
      <w:r w:rsidR="00DC17A9" w:rsidRPr="00295637">
        <w:rPr>
          <w:rFonts w:ascii="Times New Roman" w:hAnsi="Times New Roman"/>
          <w:lang w:val="sr-Latn-BA"/>
        </w:rPr>
        <w:t xml:space="preserve"> </w:t>
      </w:r>
      <w:r>
        <w:rPr>
          <w:rFonts w:ascii="Times New Roman" w:hAnsi="Times New Roman"/>
          <w:lang w:val="sr-Latn-BA"/>
        </w:rPr>
        <w:t>ријетким</w:t>
      </w:r>
      <w:r w:rsidR="00DC17A9" w:rsidRPr="00295637">
        <w:rPr>
          <w:rFonts w:ascii="Times New Roman" w:hAnsi="Times New Roman"/>
          <w:lang w:val="sr-Latn-BA"/>
        </w:rPr>
        <w:t xml:space="preserve"> </w:t>
      </w:r>
      <w:r>
        <w:rPr>
          <w:rFonts w:ascii="Times New Roman" w:hAnsi="Times New Roman"/>
          <w:lang w:val="sr-Latn-BA"/>
        </w:rPr>
        <w:t>болестима</w:t>
      </w:r>
      <w:r w:rsidR="00DC17A9" w:rsidRPr="00295637">
        <w:rPr>
          <w:rFonts w:ascii="Times New Roman" w:hAnsi="Times New Roman"/>
          <w:lang w:val="sr-Latn-BA"/>
        </w:rPr>
        <w:t xml:space="preserve"> </w:t>
      </w:r>
      <w:r>
        <w:rPr>
          <w:rFonts w:ascii="Times New Roman" w:hAnsi="Times New Roman"/>
          <w:lang w:val="sr-Latn-BA"/>
        </w:rPr>
        <w:t>воде</w:t>
      </w:r>
      <w:r w:rsidR="00DC17A9" w:rsidRPr="00295637">
        <w:rPr>
          <w:rFonts w:ascii="Times New Roman" w:hAnsi="Times New Roman"/>
          <w:lang w:val="sr-Latn-BA"/>
        </w:rPr>
        <w:t xml:space="preserve"> </w:t>
      </w:r>
      <w:r>
        <w:rPr>
          <w:rFonts w:ascii="Times New Roman" w:hAnsi="Times New Roman"/>
          <w:lang w:val="sr-Latn-BA"/>
        </w:rPr>
        <w:t>њихове</w:t>
      </w:r>
      <w:r w:rsidR="00DC17A9" w:rsidRPr="00295637">
        <w:rPr>
          <w:rFonts w:ascii="Times New Roman" w:hAnsi="Times New Roman"/>
          <w:lang w:val="sr-Latn-BA"/>
        </w:rPr>
        <w:t xml:space="preserve"> </w:t>
      </w:r>
      <w:r>
        <w:rPr>
          <w:rFonts w:ascii="Times New Roman" w:hAnsi="Times New Roman"/>
          <w:lang w:val="sr-Latn-BA"/>
        </w:rPr>
        <w:t>мајке</w:t>
      </w:r>
      <w:r w:rsidR="00DC17A9" w:rsidRPr="00295637">
        <w:rPr>
          <w:rFonts w:ascii="Times New Roman" w:hAnsi="Times New Roman"/>
          <w:lang w:val="sr-Latn-BA"/>
        </w:rPr>
        <w:t xml:space="preserve">, </w:t>
      </w:r>
      <w:r>
        <w:rPr>
          <w:rFonts w:ascii="Times New Roman" w:hAnsi="Times New Roman"/>
          <w:lang w:val="sr-Latn-BA"/>
        </w:rPr>
        <w:t>а</w:t>
      </w:r>
      <w:r w:rsidR="00DC17A9" w:rsidRPr="00295637">
        <w:rPr>
          <w:rFonts w:ascii="Times New Roman" w:hAnsi="Times New Roman"/>
          <w:lang w:val="sr-Latn-BA"/>
        </w:rPr>
        <w:t xml:space="preserve"> </w:t>
      </w:r>
      <w:r>
        <w:rPr>
          <w:rFonts w:ascii="Times New Roman" w:hAnsi="Times New Roman"/>
          <w:lang w:val="sr-Latn-BA"/>
        </w:rPr>
        <w:t>РС</w:t>
      </w:r>
      <w:r w:rsidR="00DC17A9" w:rsidRPr="00295637">
        <w:rPr>
          <w:rFonts w:ascii="Times New Roman" w:hAnsi="Times New Roman"/>
          <w:lang w:val="sr-Latn-BA"/>
        </w:rPr>
        <w:t xml:space="preserve"> </w:t>
      </w:r>
      <w:r>
        <w:rPr>
          <w:rFonts w:ascii="Times New Roman" w:hAnsi="Times New Roman"/>
          <w:lang w:val="sr-Latn-BA"/>
        </w:rPr>
        <w:t>директно</w:t>
      </w:r>
      <w:r w:rsidR="00DC17A9" w:rsidRPr="00295637">
        <w:rPr>
          <w:rFonts w:ascii="Times New Roman" w:hAnsi="Times New Roman"/>
          <w:lang w:val="sr-Latn-BA"/>
        </w:rPr>
        <w:t xml:space="preserve"> </w:t>
      </w:r>
      <w:r>
        <w:rPr>
          <w:rFonts w:ascii="Times New Roman" w:hAnsi="Times New Roman"/>
          <w:lang w:val="sr-Latn-BA"/>
        </w:rPr>
        <w:t>сноси</w:t>
      </w:r>
      <w:r w:rsidR="00DC17A9" w:rsidRPr="00295637">
        <w:rPr>
          <w:rFonts w:ascii="Times New Roman" w:hAnsi="Times New Roman"/>
          <w:lang w:val="sr-Latn-BA"/>
        </w:rPr>
        <w:t xml:space="preserve"> </w:t>
      </w:r>
      <w:r>
        <w:rPr>
          <w:rFonts w:ascii="Times New Roman" w:hAnsi="Times New Roman"/>
          <w:lang w:val="sr-Latn-BA"/>
        </w:rPr>
        <w:t>трошкове</w:t>
      </w:r>
      <w:r w:rsidR="00DC17A9" w:rsidRPr="00295637">
        <w:rPr>
          <w:rFonts w:ascii="Times New Roman" w:hAnsi="Times New Roman"/>
          <w:lang w:val="sr-Latn-BA"/>
        </w:rPr>
        <w:t xml:space="preserve"> </w:t>
      </w:r>
      <w:r>
        <w:rPr>
          <w:rFonts w:ascii="Times New Roman" w:hAnsi="Times New Roman"/>
          <w:lang w:val="sr-Latn-BA"/>
        </w:rPr>
        <w:t>лијечења</w:t>
      </w:r>
      <w:r w:rsidR="00DC17A9" w:rsidRPr="00295637">
        <w:rPr>
          <w:rFonts w:ascii="Times New Roman" w:hAnsi="Times New Roman"/>
          <w:lang w:val="sr-Latn-BA"/>
        </w:rPr>
        <w:t xml:space="preserve"> </w:t>
      </w:r>
      <w:r>
        <w:rPr>
          <w:rFonts w:ascii="Times New Roman" w:hAnsi="Times New Roman"/>
          <w:lang w:val="sr-Latn-BA"/>
        </w:rPr>
        <w:t>у</w:t>
      </w:r>
      <w:r w:rsidR="00DC17A9" w:rsidRPr="00295637">
        <w:rPr>
          <w:rFonts w:ascii="Times New Roman" w:hAnsi="Times New Roman"/>
          <w:lang w:val="sr-Latn-BA"/>
        </w:rPr>
        <w:t xml:space="preserve"> </w:t>
      </w:r>
      <w:r>
        <w:rPr>
          <w:rFonts w:ascii="Times New Roman" w:hAnsi="Times New Roman"/>
          <w:lang w:val="sr-Latn-BA"/>
        </w:rPr>
        <w:t>земљи</w:t>
      </w:r>
      <w:r w:rsidR="00DC17A9" w:rsidRPr="00295637">
        <w:rPr>
          <w:rFonts w:ascii="Times New Roman" w:hAnsi="Times New Roman"/>
          <w:lang w:val="sr-Latn-BA"/>
        </w:rPr>
        <w:t xml:space="preserve">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иностранству</w:t>
      </w:r>
      <w:r w:rsidR="00DC17A9" w:rsidRPr="00295637">
        <w:rPr>
          <w:rFonts w:ascii="Times New Roman" w:hAnsi="Times New Roman"/>
          <w:lang w:val="sr-Latn-BA"/>
        </w:rPr>
        <w:t xml:space="preserve">, </w:t>
      </w:r>
      <w:r>
        <w:rPr>
          <w:rFonts w:ascii="Times New Roman" w:hAnsi="Times New Roman"/>
          <w:lang w:val="sr-Latn-BA"/>
        </w:rPr>
        <w:t>путем</w:t>
      </w:r>
      <w:r w:rsidR="00DC17A9" w:rsidRPr="00295637">
        <w:rPr>
          <w:rFonts w:ascii="Times New Roman" w:hAnsi="Times New Roman"/>
          <w:lang w:val="sr-Latn-BA"/>
        </w:rPr>
        <w:t xml:space="preserve"> </w:t>
      </w:r>
      <w:r>
        <w:rPr>
          <w:rFonts w:ascii="Times New Roman" w:hAnsi="Times New Roman"/>
          <w:lang w:val="sr-Latn-BA"/>
        </w:rPr>
        <w:t>Фонда</w:t>
      </w:r>
      <w:r w:rsidR="00DC17A9" w:rsidRPr="00295637">
        <w:rPr>
          <w:rFonts w:ascii="Times New Roman" w:hAnsi="Times New Roman"/>
          <w:lang w:val="sr-Latn-BA"/>
        </w:rPr>
        <w:t xml:space="preserve"> </w:t>
      </w:r>
      <w:r>
        <w:rPr>
          <w:rFonts w:ascii="Times New Roman" w:hAnsi="Times New Roman"/>
          <w:lang w:val="sr-Latn-BA"/>
        </w:rPr>
        <w:t>солидарности</w:t>
      </w:r>
      <w:r w:rsidR="00DC17A9" w:rsidRPr="00295637">
        <w:rPr>
          <w:rFonts w:cs="Arial"/>
          <w:color w:val="212529"/>
          <w:shd w:val="clear" w:color="auto" w:fill="FFFFFF"/>
        </w:rPr>
        <w:t xml:space="preserve"> </w:t>
      </w:r>
      <w:r>
        <w:rPr>
          <w:rFonts w:ascii="Times New Roman" w:hAnsi="Times New Roman"/>
          <w:lang w:val="sr-Latn-BA"/>
        </w:rPr>
        <w:t>за</w:t>
      </w:r>
      <w:r w:rsidR="00DC17A9" w:rsidRPr="00295637">
        <w:rPr>
          <w:rFonts w:ascii="Times New Roman" w:hAnsi="Times New Roman"/>
          <w:lang w:val="sr-Latn-BA"/>
        </w:rPr>
        <w:t xml:space="preserve"> </w:t>
      </w:r>
      <w:r>
        <w:rPr>
          <w:rFonts w:ascii="Times New Roman" w:hAnsi="Times New Roman"/>
          <w:lang w:val="sr-Latn-BA"/>
        </w:rPr>
        <w:t>дијагностику</w:t>
      </w:r>
      <w:r w:rsidR="00DC17A9" w:rsidRPr="00295637">
        <w:rPr>
          <w:rFonts w:ascii="Times New Roman" w:hAnsi="Times New Roman"/>
          <w:lang w:val="sr-Latn-BA"/>
        </w:rPr>
        <w:t xml:space="preserve">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лијечење</w:t>
      </w:r>
      <w:r w:rsidR="00DC17A9" w:rsidRPr="00295637">
        <w:rPr>
          <w:rFonts w:ascii="Times New Roman" w:hAnsi="Times New Roman"/>
          <w:lang w:val="sr-Latn-BA"/>
        </w:rPr>
        <w:t xml:space="preserve"> </w:t>
      </w:r>
      <w:r>
        <w:rPr>
          <w:rFonts w:ascii="Times New Roman" w:hAnsi="Times New Roman"/>
          <w:lang w:val="sr-Latn-BA"/>
        </w:rPr>
        <w:t>обољења</w:t>
      </w:r>
      <w:r w:rsidR="00DC17A9" w:rsidRPr="00295637">
        <w:rPr>
          <w:rFonts w:ascii="Times New Roman" w:hAnsi="Times New Roman"/>
          <w:lang w:val="sr-Latn-BA"/>
        </w:rPr>
        <w:t xml:space="preserve">, </w:t>
      </w:r>
      <w:r>
        <w:rPr>
          <w:rFonts w:ascii="Times New Roman" w:hAnsi="Times New Roman"/>
          <w:lang w:val="sr-Latn-BA"/>
        </w:rPr>
        <w:t>стања</w:t>
      </w:r>
      <w:r w:rsidR="00DC17A9" w:rsidRPr="00295637">
        <w:rPr>
          <w:rFonts w:ascii="Times New Roman" w:hAnsi="Times New Roman"/>
          <w:lang w:val="sr-Latn-BA"/>
        </w:rPr>
        <w:t xml:space="preserve">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повреда</w:t>
      </w:r>
      <w:r w:rsidR="00DC17A9" w:rsidRPr="00295637">
        <w:rPr>
          <w:rFonts w:ascii="Times New Roman" w:hAnsi="Times New Roman"/>
          <w:lang w:val="sr-Latn-BA"/>
        </w:rPr>
        <w:t xml:space="preserve"> </w:t>
      </w:r>
      <w:r>
        <w:rPr>
          <w:rFonts w:ascii="Times New Roman" w:hAnsi="Times New Roman"/>
          <w:lang w:val="sr-Latn-BA"/>
        </w:rPr>
        <w:t>дјеце</w:t>
      </w:r>
      <w:r w:rsidR="00DC17A9" w:rsidRPr="00295637">
        <w:rPr>
          <w:rFonts w:ascii="Times New Roman" w:hAnsi="Times New Roman"/>
          <w:lang w:val="sr-Latn-BA"/>
        </w:rPr>
        <w:t xml:space="preserve"> </w:t>
      </w:r>
      <w:r>
        <w:rPr>
          <w:rFonts w:ascii="Times New Roman" w:hAnsi="Times New Roman"/>
          <w:lang w:val="sr-Latn-BA"/>
        </w:rPr>
        <w:t>у</w:t>
      </w:r>
      <w:r w:rsidR="00DC17A9" w:rsidRPr="00295637">
        <w:rPr>
          <w:rFonts w:ascii="Times New Roman" w:hAnsi="Times New Roman"/>
          <w:lang w:val="sr-Latn-BA"/>
        </w:rPr>
        <w:t xml:space="preserve"> </w:t>
      </w:r>
      <w:r>
        <w:rPr>
          <w:rFonts w:ascii="Times New Roman" w:hAnsi="Times New Roman"/>
          <w:lang w:val="sr-Latn-BA"/>
        </w:rPr>
        <w:t>иностранству</w:t>
      </w:r>
      <w:r w:rsidR="00DC17A9" w:rsidRPr="00295637">
        <w:rPr>
          <w:rFonts w:ascii="Times New Roman" w:hAnsi="Times New Roman"/>
          <w:lang w:val="sr-Latn-BA"/>
        </w:rPr>
        <w:t>.</w:t>
      </w:r>
    </w:p>
    <w:p w:rsidR="000627E7" w:rsidRPr="000627E7" w:rsidRDefault="000627E7" w:rsidP="0086268D">
      <w:pPr>
        <w:rPr>
          <w:lang w:val="bs-Latn-BA"/>
        </w:rPr>
      </w:pPr>
    </w:p>
    <w:p w:rsidR="00DC17A9" w:rsidRDefault="0090180C" w:rsidP="002C2EC1">
      <w:pPr>
        <w:tabs>
          <w:tab w:val="left" w:pos="284"/>
          <w:tab w:val="left" w:pos="630"/>
          <w:tab w:val="left" w:pos="1080"/>
        </w:tabs>
        <w:ind w:left="567"/>
        <w:jc w:val="both"/>
        <w:rPr>
          <w:rFonts w:ascii="Times New Roman" w:hAnsi="Times New Roman"/>
          <w:szCs w:val="24"/>
          <w:lang w:val="bs-Latn-BA"/>
        </w:rPr>
      </w:pPr>
      <w:r w:rsidRPr="0090180C">
        <w:rPr>
          <w:rFonts w:ascii="Times New Roman" w:hAnsi="Times New Roman"/>
          <w:szCs w:val="24"/>
          <w:lang w:val="bs-Latn-BA"/>
        </w:rPr>
        <w:t>I</w:t>
      </w:r>
      <w:r w:rsidR="002C2EC1">
        <w:rPr>
          <w:rFonts w:ascii="Times New Roman" w:hAnsi="Times New Roman"/>
          <w:szCs w:val="24"/>
          <w:lang w:val="bs-Latn-BA"/>
        </w:rPr>
        <w:t xml:space="preserve"> 5.8. </w:t>
      </w:r>
      <w:r>
        <w:rPr>
          <w:rFonts w:ascii="Times New Roman" w:hAnsi="Times New Roman"/>
          <w:szCs w:val="24"/>
          <w:lang w:val="sr-Cyrl-BA"/>
        </w:rPr>
        <w:t>Спровођење</w:t>
      </w:r>
      <w:r w:rsidR="00DC17A9" w:rsidRPr="00295637">
        <w:rPr>
          <w:rFonts w:ascii="Times New Roman" w:hAnsi="Times New Roman"/>
          <w:szCs w:val="24"/>
          <w:lang w:val="bs-Latn-BA"/>
        </w:rPr>
        <w:t xml:space="preserve"> </w:t>
      </w:r>
      <w:r w:rsidR="00C6214E">
        <w:rPr>
          <w:rFonts w:ascii="Times New Roman" w:hAnsi="Times New Roman"/>
          <w:szCs w:val="24"/>
          <w:lang w:val="bs-Latn-BA"/>
        </w:rPr>
        <w:t>промотивних</w:t>
      </w:r>
      <w:r w:rsidR="00DC17A9"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DC17A9" w:rsidRPr="00295637">
        <w:rPr>
          <w:rFonts w:ascii="Times New Roman" w:hAnsi="Times New Roman"/>
          <w:szCs w:val="24"/>
          <w:lang w:val="bs-Latn-BA"/>
        </w:rPr>
        <w:t xml:space="preserve">, </w:t>
      </w:r>
      <w:r w:rsidR="00C6214E">
        <w:rPr>
          <w:rFonts w:ascii="Times New Roman" w:hAnsi="Times New Roman"/>
          <w:szCs w:val="24"/>
          <w:lang w:val="bs-Latn-BA"/>
        </w:rPr>
        <w:t>информативних</w:t>
      </w:r>
      <w:r w:rsidR="00DC17A9"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DC17A9" w:rsidRPr="00295637">
        <w:rPr>
          <w:rFonts w:ascii="Times New Roman" w:hAnsi="Times New Roman"/>
          <w:szCs w:val="24"/>
          <w:lang w:val="bs-Latn-BA"/>
        </w:rPr>
        <w:t xml:space="preserve"> </w:t>
      </w:r>
      <w:r w:rsidR="00C6214E">
        <w:rPr>
          <w:rFonts w:ascii="Times New Roman" w:hAnsi="Times New Roman"/>
          <w:szCs w:val="24"/>
          <w:lang w:val="bs-Latn-BA"/>
        </w:rPr>
        <w:t>и</w:t>
      </w:r>
      <w:r w:rsidR="00DC17A9"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DC17A9" w:rsidRPr="00295637">
        <w:rPr>
          <w:rFonts w:ascii="Times New Roman" w:hAnsi="Times New Roman"/>
          <w:szCs w:val="24"/>
          <w:lang w:val="bs-Latn-BA"/>
        </w:rPr>
        <w:t xml:space="preserve"> </w:t>
      </w:r>
      <w:r w:rsidR="00C6214E">
        <w:rPr>
          <w:rFonts w:ascii="Times New Roman" w:hAnsi="Times New Roman"/>
          <w:szCs w:val="24"/>
          <w:lang w:val="bs-Latn-BA"/>
        </w:rPr>
        <w:t>подизања</w:t>
      </w:r>
      <w:r w:rsidR="00DC17A9" w:rsidRPr="00295637">
        <w:rPr>
          <w:rFonts w:ascii="Times New Roman" w:hAnsi="Times New Roman"/>
          <w:szCs w:val="24"/>
          <w:lang w:val="bs-Latn-BA"/>
        </w:rPr>
        <w:t xml:space="preserve"> </w:t>
      </w:r>
      <w:r w:rsidR="00C6214E">
        <w:rPr>
          <w:rFonts w:ascii="Times New Roman" w:hAnsi="Times New Roman"/>
          <w:szCs w:val="24"/>
          <w:lang w:val="bs-Latn-BA"/>
        </w:rPr>
        <w:t>свијести</w:t>
      </w:r>
      <w:r w:rsidR="00DC17A9" w:rsidRPr="00295637">
        <w:rPr>
          <w:rFonts w:ascii="Times New Roman" w:hAnsi="Times New Roman"/>
          <w:szCs w:val="24"/>
          <w:lang w:val="bs-Latn-BA"/>
        </w:rPr>
        <w:t xml:space="preserve"> </w:t>
      </w:r>
      <w:r w:rsidR="00C6214E">
        <w:rPr>
          <w:rFonts w:ascii="Times New Roman" w:hAnsi="Times New Roman"/>
          <w:szCs w:val="24"/>
          <w:lang w:val="bs-Latn-BA"/>
        </w:rPr>
        <w:t>јавности</w:t>
      </w:r>
      <w:r w:rsidR="00DC17A9" w:rsidRPr="00295637">
        <w:rPr>
          <w:rFonts w:ascii="Times New Roman" w:hAnsi="Times New Roman"/>
          <w:szCs w:val="24"/>
          <w:lang w:val="bs-Latn-BA"/>
        </w:rPr>
        <w:t xml:space="preserve"> </w:t>
      </w:r>
      <w:r w:rsidR="00C6214E">
        <w:rPr>
          <w:rFonts w:ascii="Times New Roman" w:hAnsi="Times New Roman"/>
          <w:szCs w:val="24"/>
          <w:lang w:val="bs-Latn-BA"/>
        </w:rPr>
        <w:t>о</w:t>
      </w:r>
      <w:r w:rsidR="00DC17A9" w:rsidRPr="00295637">
        <w:rPr>
          <w:rFonts w:ascii="Times New Roman" w:hAnsi="Times New Roman"/>
          <w:szCs w:val="24"/>
          <w:lang w:val="bs-Latn-BA"/>
        </w:rPr>
        <w:t xml:space="preserve"> </w:t>
      </w:r>
      <w:r w:rsidR="00C6214E">
        <w:rPr>
          <w:rFonts w:ascii="Times New Roman" w:hAnsi="Times New Roman"/>
          <w:szCs w:val="24"/>
          <w:lang w:val="bs-Latn-BA"/>
        </w:rPr>
        <w:t>здрављу</w:t>
      </w:r>
      <w:r w:rsidR="00DC17A9" w:rsidRPr="00295637">
        <w:rPr>
          <w:rFonts w:ascii="Times New Roman" w:hAnsi="Times New Roman"/>
          <w:szCs w:val="24"/>
          <w:lang w:val="bs-Latn-BA"/>
        </w:rPr>
        <w:t xml:space="preserve">, </w:t>
      </w:r>
      <w:r w:rsidR="00C6214E">
        <w:rPr>
          <w:rFonts w:ascii="Times New Roman" w:hAnsi="Times New Roman"/>
          <w:szCs w:val="24"/>
          <w:lang w:val="bs-Latn-BA"/>
        </w:rPr>
        <w:t>укључујући</w:t>
      </w:r>
      <w:r w:rsidR="00DC17A9" w:rsidRPr="00295637">
        <w:rPr>
          <w:rFonts w:ascii="Times New Roman" w:hAnsi="Times New Roman"/>
          <w:szCs w:val="24"/>
          <w:lang w:val="bs-Latn-BA"/>
        </w:rPr>
        <w:t xml:space="preserve"> </w:t>
      </w:r>
      <w:r w:rsidR="00C6214E">
        <w:rPr>
          <w:rFonts w:ascii="Times New Roman" w:hAnsi="Times New Roman"/>
          <w:szCs w:val="24"/>
          <w:lang w:val="bs-Latn-BA"/>
        </w:rPr>
        <w:t>сексуално</w:t>
      </w:r>
      <w:r w:rsidR="00DC17A9" w:rsidRPr="00295637">
        <w:rPr>
          <w:rFonts w:ascii="Times New Roman" w:hAnsi="Times New Roman"/>
          <w:szCs w:val="24"/>
          <w:lang w:val="bs-Latn-BA"/>
        </w:rPr>
        <w:t xml:space="preserve"> </w:t>
      </w:r>
      <w:r w:rsidR="00C6214E">
        <w:rPr>
          <w:rFonts w:ascii="Times New Roman" w:hAnsi="Times New Roman"/>
          <w:szCs w:val="24"/>
          <w:lang w:val="bs-Latn-BA"/>
        </w:rPr>
        <w:t>и</w:t>
      </w:r>
      <w:r w:rsidR="00DC17A9" w:rsidRPr="00295637">
        <w:rPr>
          <w:rFonts w:ascii="Times New Roman" w:hAnsi="Times New Roman"/>
          <w:szCs w:val="24"/>
          <w:lang w:val="bs-Latn-BA"/>
        </w:rPr>
        <w:t xml:space="preserve"> </w:t>
      </w:r>
      <w:r w:rsidR="00C6214E">
        <w:rPr>
          <w:rFonts w:ascii="Times New Roman" w:hAnsi="Times New Roman"/>
          <w:szCs w:val="24"/>
          <w:lang w:val="bs-Latn-BA"/>
        </w:rPr>
        <w:t>репродуктивно</w:t>
      </w:r>
      <w:r w:rsidR="00DC17A9" w:rsidRPr="00295637">
        <w:rPr>
          <w:rFonts w:ascii="Times New Roman" w:hAnsi="Times New Roman"/>
          <w:szCs w:val="24"/>
          <w:lang w:val="bs-Latn-BA"/>
        </w:rPr>
        <w:t xml:space="preserve"> </w:t>
      </w:r>
      <w:r w:rsidR="00C6214E">
        <w:rPr>
          <w:rFonts w:ascii="Times New Roman" w:hAnsi="Times New Roman"/>
          <w:szCs w:val="24"/>
          <w:lang w:val="bs-Latn-BA"/>
        </w:rPr>
        <w:t>здравље</w:t>
      </w:r>
      <w:r w:rsidR="00DC17A9" w:rsidRPr="00295637">
        <w:rPr>
          <w:rFonts w:ascii="Times New Roman" w:hAnsi="Times New Roman"/>
          <w:szCs w:val="24"/>
          <w:lang w:val="bs-Latn-BA"/>
        </w:rPr>
        <w:t xml:space="preserve">, </w:t>
      </w:r>
      <w:r w:rsidR="00C6214E">
        <w:rPr>
          <w:rFonts w:ascii="Times New Roman" w:hAnsi="Times New Roman"/>
          <w:szCs w:val="24"/>
          <w:lang w:val="bs-Latn-BA"/>
        </w:rPr>
        <w:t>те</w:t>
      </w:r>
      <w:r w:rsidR="00DC17A9" w:rsidRPr="00295637">
        <w:rPr>
          <w:rFonts w:ascii="Times New Roman" w:hAnsi="Times New Roman"/>
          <w:szCs w:val="24"/>
          <w:lang w:val="bs-Latn-BA"/>
        </w:rPr>
        <w:t xml:space="preserve"> </w:t>
      </w:r>
      <w:r w:rsidR="00C6214E">
        <w:rPr>
          <w:rFonts w:ascii="Times New Roman" w:hAnsi="Times New Roman"/>
          <w:szCs w:val="24"/>
          <w:lang w:val="bs-Latn-BA"/>
        </w:rPr>
        <w:t>потпуно</w:t>
      </w:r>
      <w:r w:rsidR="00DC17A9" w:rsidRPr="00295637">
        <w:rPr>
          <w:rFonts w:ascii="Times New Roman" w:hAnsi="Times New Roman"/>
          <w:szCs w:val="24"/>
          <w:lang w:val="bs-Latn-BA"/>
        </w:rPr>
        <w:t xml:space="preserve"> </w:t>
      </w:r>
      <w:r w:rsidR="00C6214E">
        <w:rPr>
          <w:rFonts w:ascii="Times New Roman" w:hAnsi="Times New Roman"/>
          <w:szCs w:val="24"/>
          <w:lang w:val="bs-Latn-BA"/>
        </w:rPr>
        <w:t>информи</w:t>
      </w:r>
      <w:r>
        <w:rPr>
          <w:rFonts w:ascii="Times New Roman" w:hAnsi="Times New Roman"/>
          <w:szCs w:val="24"/>
          <w:lang w:val="sr-Cyrl-BA"/>
        </w:rPr>
        <w:t>с</w:t>
      </w:r>
      <w:r w:rsidR="00C6214E">
        <w:rPr>
          <w:rFonts w:ascii="Times New Roman" w:hAnsi="Times New Roman"/>
          <w:szCs w:val="24"/>
          <w:lang w:val="bs-Latn-BA"/>
        </w:rPr>
        <w:t>ање</w:t>
      </w:r>
      <w:r w:rsidR="00DC17A9" w:rsidRPr="00295637">
        <w:rPr>
          <w:rFonts w:ascii="Times New Roman" w:hAnsi="Times New Roman"/>
          <w:szCs w:val="24"/>
          <w:lang w:val="bs-Latn-BA"/>
        </w:rPr>
        <w:t xml:space="preserve"> </w:t>
      </w:r>
      <w:r w:rsidR="00C6214E">
        <w:rPr>
          <w:rFonts w:ascii="Times New Roman" w:hAnsi="Times New Roman"/>
          <w:szCs w:val="24"/>
          <w:lang w:val="bs-Latn-BA"/>
        </w:rPr>
        <w:t>о</w:t>
      </w:r>
      <w:r w:rsidR="00DC17A9" w:rsidRPr="00295637">
        <w:rPr>
          <w:rFonts w:ascii="Times New Roman" w:hAnsi="Times New Roman"/>
          <w:szCs w:val="24"/>
          <w:lang w:val="bs-Latn-BA"/>
        </w:rPr>
        <w:t xml:space="preserve"> </w:t>
      </w:r>
      <w:r w:rsidR="00C6214E">
        <w:rPr>
          <w:rFonts w:ascii="Times New Roman" w:hAnsi="Times New Roman"/>
          <w:szCs w:val="24"/>
          <w:lang w:val="bs-Latn-BA"/>
        </w:rPr>
        <w:t>опцијама</w:t>
      </w:r>
      <w:r w:rsidR="00DC17A9" w:rsidRPr="00295637">
        <w:rPr>
          <w:rFonts w:ascii="Times New Roman" w:hAnsi="Times New Roman"/>
          <w:szCs w:val="24"/>
          <w:lang w:val="bs-Latn-BA"/>
        </w:rPr>
        <w:t xml:space="preserve"> </w:t>
      </w:r>
      <w:r w:rsidR="00C6214E">
        <w:rPr>
          <w:rFonts w:ascii="Times New Roman" w:hAnsi="Times New Roman"/>
          <w:szCs w:val="24"/>
          <w:lang w:val="bs-Latn-BA"/>
        </w:rPr>
        <w:t>породичног</w:t>
      </w:r>
      <w:r w:rsidR="00DC17A9" w:rsidRPr="00295637">
        <w:rPr>
          <w:rFonts w:ascii="Times New Roman" w:hAnsi="Times New Roman"/>
          <w:szCs w:val="24"/>
          <w:lang w:val="bs-Latn-BA"/>
        </w:rPr>
        <w:t xml:space="preserve"> </w:t>
      </w:r>
      <w:r w:rsidR="00C6214E">
        <w:rPr>
          <w:rFonts w:ascii="Times New Roman" w:hAnsi="Times New Roman"/>
          <w:szCs w:val="24"/>
          <w:lang w:val="bs-Latn-BA"/>
        </w:rPr>
        <w:t>планирања</w:t>
      </w:r>
      <w:r w:rsidR="00DC17A9" w:rsidRPr="00295637">
        <w:rPr>
          <w:rFonts w:ascii="Times New Roman" w:hAnsi="Times New Roman"/>
          <w:szCs w:val="24"/>
          <w:lang w:val="bs-Latn-BA"/>
        </w:rPr>
        <w:t xml:space="preserve">, </w:t>
      </w:r>
      <w:r w:rsidR="00C6214E">
        <w:rPr>
          <w:rFonts w:ascii="Times New Roman" w:hAnsi="Times New Roman"/>
          <w:szCs w:val="24"/>
          <w:lang w:val="bs-Latn-BA"/>
        </w:rPr>
        <w:t>путем</w:t>
      </w:r>
      <w:r w:rsidR="00DC17A9" w:rsidRPr="00295637">
        <w:rPr>
          <w:rFonts w:ascii="Times New Roman" w:hAnsi="Times New Roman"/>
          <w:szCs w:val="24"/>
          <w:lang w:val="bs-Latn-BA"/>
        </w:rPr>
        <w:t xml:space="preserve"> </w:t>
      </w:r>
      <w:r w:rsidR="00C6214E">
        <w:rPr>
          <w:rFonts w:ascii="Times New Roman" w:hAnsi="Times New Roman"/>
          <w:szCs w:val="24"/>
          <w:lang w:val="bs-Latn-BA"/>
        </w:rPr>
        <w:t>медија</w:t>
      </w:r>
      <w:r w:rsidR="00DC17A9" w:rsidRPr="00295637">
        <w:rPr>
          <w:rFonts w:ascii="Times New Roman" w:hAnsi="Times New Roman"/>
          <w:szCs w:val="24"/>
          <w:lang w:val="bs-Latn-BA"/>
        </w:rPr>
        <w:t xml:space="preserve"> </w:t>
      </w:r>
      <w:r w:rsidR="00C6214E">
        <w:rPr>
          <w:rFonts w:ascii="Times New Roman" w:hAnsi="Times New Roman"/>
          <w:szCs w:val="24"/>
          <w:lang w:val="bs-Latn-BA"/>
        </w:rPr>
        <w:t>и</w:t>
      </w:r>
      <w:r w:rsidR="00DC17A9" w:rsidRPr="00295637">
        <w:rPr>
          <w:rFonts w:ascii="Times New Roman" w:hAnsi="Times New Roman"/>
          <w:szCs w:val="24"/>
          <w:lang w:val="bs-Latn-BA"/>
        </w:rPr>
        <w:t xml:space="preserve"> </w:t>
      </w:r>
      <w:r w:rsidR="00C6214E">
        <w:rPr>
          <w:rFonts w:ascii="Times New Roman" w:hAnsi="Times New Roman"/>
          <w:szCs w:val="24"/>
          <w:lang w:val="bs-Latn-BA"/>
        </w:rPr>
        <w:t>здравствених</w:t>
      </w:r>
      <w:r w:rsidR="00DC17A9" w:rsidRPr="00295637">
        <w:rPr>
          <w:rFonts w:ascii="Times New Roman" w:hAnsi="Times New Roman"/>
          <w:szCs w:val="24"/>
          <w:lang w:val="bs-Latn-BA"/>
        </w:rPr>
        <w:t xml:space="preserve"> </w:t>
      </w:r>
      <w:r w:rsidR="00C6214E">
        <w:rPr>
          <w:rFonts w:ascii="Times New Roman" w:hAnsi="Times New Roman"/>
          <w:szCs w:val="24"/>
          <w:lang w:val="bs-Latn-BA"/>
        </w:rPr>
        <w:t>и</w:t>
      </w:r>
      <w:r w:rsidR="00DC17A9" w:rsidRPr="00295637">
        <w:rPr>
          <w:rFonts w:ascii="Times New Roman" w:hAnsi="Times New Roman"/>
          <w:szCs w:val="24"/>
          <w:lang w:val="bs-Latn-BA"/>
        </w:rPr>
        <w:t xml:space="preserve"> </w:t>
      </w:r>
      <w:r w:rsidR="00C6214E">
        <w:rPr>
          <w:rFonts w:ascii="Times New Roman" w:hAnsi="Times New Roman"/>
          <w:szCs w:val="24"/>
          <w:lang w:val="bs-Latn-BA"/>
        </w:rPr>
        <w:t>образовних</w:t>
      </w:r>
      <w:r w:rsidR="00DC17A9" w:rsidRPr="00295637">
        <w:rPr>
          <w:rFonts w:ascii="Times New Roman" w:hAnsi="Times New Roman"/>
          <w:szCs w:val="24"/>
          <w:lang w:val="bs-Latn-BA"/>
        </w:rPr>
        <w:t xml:space="preserve"> </w:t>
      </w:r>
      <w:r w:rsidR="00C6214E">
        <w:rPr>
          <w:rFonts w:ascii="Times New Roman" w:hAnsi="Times New Roman"/>
          <w:szCs w:val="24"/>
          <w:lang w:val="bs-Latn-BA"/>
        </w:rPr>
        <w:t>установа</w:t>
      </w:r>
      <w:r w:rsidR="00DC17A9" w:rsidRPr="00295637">
        <w:rPr>
          <w:rFonts w:ascii="Times New Roman" w:hAnsi="Times New Roman"/>
          <w:szCs w:val="24"/>
          <w:lang w:val="bs-Latn-BA"/>
        </w:rPr>
        <w:t>.</w:t>
      </w:r>
    </w:p>
    <w:p w:rsidR="000627E7" w:rsidRPr="00295637" w:rsidRDefault="000627E7" w:rsidP="0086268D">
      <w:pPr>
        <w:tabs>
          <w:tab w:val="left" w:pos="284"/>
          <w:tab w:val="left" w:pos="630"/>
          <w:tab w:val="left" w:pos="1080"/>
        </w:tabs>
        <w:ind w:left="1080"/>
        <w:jc w:val="both"/>
        <w:rPr>
          <w:rFonts w:ascii="Times New Roman" w:hAnsi="Times New Roman"/>
          <w:szCs w:val="24"/>
          <w:lang w:val="bs-Latn-BA"/>
        </w:rPr>
      </w:pPr>
    </w:p>
    <w:p w:rsidR="00DC17A9"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Институт</w:t>
      </w:r>
      <w:r w:rsidR="00DC17A9" w:rsidRPr="00295637">
        <w:rPr>
          <w:rFonts w:ascii="Times New Roman" w:hAnsi="Times New Roman"/>
          <w:lang w:val="sr-Latn-BA"/>
        </w:rPr>
        <w:t xml:space="preserve"> </w:t>
      </w:r>
      <w:r>
        <w:rPr>
          <w:rFonts w:ascii="Times New Roman" w:hAnsi="Times New Roman"/>
          <w:lang w:val="sr-Latn-BA"/>
        </w:rPr>
        <w:t>за</w:t>
      </w:r>
      <w:r w:rsidR="00DC17A9" w:rsidRPr="00295637">
        <w:rPr>
          <w:rFonts w:ascii="Times New Roman" w:hAnsi="Times New Roman"/>
          <w:lang w:val="sr-Latn-BA"/>
        </w:rPr>
        <w:t xml:space="preserve"> </w:t>
      </w:r>
      <w:r>
        <w:rPr>
          <w:rFonts w:ascii="Times New Roman" w:hAnsi="Times New Roman"/>
          <w:lang w:val="sr-Latn-BA"/>
        </w:rPr>
        <w:t>јавно</w:t>
      </w:r>
      <w:r w:rsidR="00DC17A9" w:rsidRPr="00295637">
        <w:rPr>
          <w:rFonts w:ascii="Times New Roman" w:hAnsi="Times New Roman"/>
          <w:lang w:val="sr-Latn-BA"/>
        </w:rPr>
        <w:t xml:space="preserve"> </w:t>
      </w:r>
      <w:r>
        <w:rPr>
          <w:rFonts w:ascii="Times New Roman" w:hAnsi="Times New Roman"/>
          <w:lang w:val="sr-Latn-BA"/>
        </w:rPr>
        <w:t>здравство</w:t>
      </w:r>
      <w:r w:rsidR="00DC17A9" w:rsidRPr="00295637">
        <w:rPr>
          <w:rFonts w:ascii="Times New Roman" w:hAnsi="Times New Roman"/>
          <w:lang w:val="sr-Latn-BA"/>
        </w:rPr>
        <w:t xml:space="preserve"> </w:t>
      </w:r>
      <w:r>
        <w:rPr>
          <w:rFonts w:ascii="Times New Roman" w:hAnsi="Times New Roman"/>
          <w:lang w:val="sr-Latn-BA"/>
        </w:rPr>
        <w:t>РС</w:t>
      </w:r>
      <w:r w:rsidR="00DC17A9" w:rsidRPr="00295637">
        <w:rPr>
          <w:rFonts w:ascii="Times New Roman" w:hAnsi="Times New Roman"/>
          <w:lang w:val="sr-Latn-BA"/>
        </w:rPr>
        <w:t xml:space="preserve"> </w:t>
      </w:r>
      <w:r>
        <w:rPr>
          <w:rFonts w:ascii="Times New Roman" w:hAnsi="Times New Roman"/>
          <w:lang w:val="sr-Latn-BA"/>
        </w:rPr>
        <w:t>промови</w:t>
      </w:r>
      <w:r w:rsidR="0090180C">
        <w:rPr>
          <w:rFonts w:ascii="Times New Roman" w:hAnsi="Times New Roman"/>
          <w:lang w:val="sr-Cyrl-BA"/>
        </w:rPr>
        <w:t>с</w:t>
      </w:r>
      <w:r>
        <w:rPr>
          <w:rFonts w:ascii="Times New Roman" w:hAnsi="Times New Roman"/>
          <w:lang w:val="sr-Latn-BA"/>
        </w:rPr>
        <w:t>ао</w:t>
      </w:r>
      <w:r w:rsidR="00DC17A9" w:rsidRPr="00295637">
        <w:rPr>
          <w:rFonts w:ascii="Times New Roman" w:hAnsi="Times New Roman"/>
          <w:lang w:val="sr-Latn-BA"/>
        </w:rPr>
        <w:t xml:space="preserve"> </w:t>
      </w:r>
      <w:r>
        <w:rPr>
          <w:rFonts w:ascii="Times New Roman" w:hAnsi="Times New Roman"/>
          <w:lang w:val="sr-Latn-BA"/>
        </w:rPr>
        <w:t>је</w:t>
      </w:r>
      <w:r w:rsidR="00DC17A9" w:rsidRPr="00295637">
        <w:rPr>
          <w:rFonts w:ascii="Times New Roman" w:hAnsi="Times New Roman"/>
          <w:lang w:val="sr-Latn-BA"/>
        </w:rPr>
        <w:t xml:space="preserve"> </w:t>
      </w:r>
      <w:r w:rsidR="0090180C" w:rsidRPr="0090180C">
        <w:rPr>
          <w:rFonts w:ascii="Times New Roman" w:hAnsi="Times New Roman"/>
          <w:i/>
          <w:lang w:val="sr-Latn-BA"/>
        </w:rPr>
        <w:t>HPV</w:t>
      </w:r>
      <w:r w:rsidR="00DC17A9" w:rsidRPr="00295637">
        <w:rPr>
          <w:rFonts w:ascii="Times New Roman" w:hAnsi="Times New Roman"/>
          <w:lang w:val="sr-Latn-BA"/>
        </w:rPr>
        <w:t xml:space="preserve"> </w:t>
      </w:r>
      <w:r>
        <w:rPr>
          <w:rFonts w:ascii="Times New Roman" w:hAnsi="Times New Roman"/>
          <w:lang w:val="sr-Latn-BA"/>
        </w:rPr>
        <w:t>вакцинацију</w:t>
      </w:r>
      <w:r w:rsidR="00DC17A9" w:rsidRPr="00295637">
        <w:rPr>
          <w:rFonts w:ascii="Times New Roman" w:hAnsi="Times New Roman"/>
          <w:lang w:val="sr-Latn-BA"/>
        </w:rPr>
        <w:t xml:space="preserve"> </w:t>
      </w:r>
      <w:r>
        <w:rPr>
          <w:rFonts w:ascii="Times New Roman" w:hAnsi="Times New Roman"/>
          <w:lang w:val="sr-Latn-BA"/>
        </w:rPr>
        <w:t>путем</w:t>
      </w:r>
      <w:r w:rsidR="00DC17A9" w:rsidRPr="00295637">
        <w:rPr>
          <w:rFonts w:ascii="Times New Roman" w:hAnsi="Times New Roman"/>
          <w:lang w:val="sr-Latn-BA"/>
        </w:rPr>
        <w:t xml:space="preserve"> </w:t>
      </w:r>
      <w:r>
        <w:rPr>
          <w:rFonts w:ascii="Times New Roman" w:hAnsi="Times New Roman"/>
          <w:lang w:val="sr-Latn-BA"/>
        </w:rPr>
        <w:t>медија</w:t>
      </w:r>
      <w:r w:rsidR="00DC17A9" w:rsidRPr="00295637">
        <w:rPr>
          <w:rFonts w:ascii="Times New Roman" w:hAnsi="Times New Roman"/>
          <w:lang w:val="sr-Latn-BA"/>
        </w:rPr>
        <w:t xml:space="preserve">, </w:t>
      </w:r>
      <w:r>
        <w:rPr>
          <w:rFonts w:ascii="Times New Roman" w:hAnsi="Times New Roman"/>
          <w:lang w:val="sr-Latn-BA"/>
        </w:rPr>
        <w:t>интернета</w:t>
      </w:r>
      <w:r w:rsidR="00DC17A9" w:rsidRPr="00295637">
        <w:rPr>
          <w:rFonts w:ascii="Times New Roman" w:hAnsi="Times New Roman"/>
          <w:lang w:val="sr-Latn-BA"/>
        </w:rPr>
        <w:t xml:space="preserve">, </w:t>
      </w:r>
      <w:r>
        <w:rPr>
          <w:rFonts w:ascii="Times New Roman" w:hAnsi="Times New Roman"/>
          <w:lang w:val="sr-Latn-BA"/>
        </w:rPr>
        <w:t>друштвених</w:t>
      </w:r>
      <w:r w:rsidR="00DC17A9" w:rsidRPr="00295637">
        <w:rPr>
          <w:rFonts w:ascii="Times New Roman" w:hAnsi="Times New Roman"/>
          <w:lang w:val="sr-Latn-BA"/>
        </w:rPr>
        <w:t xml:space="preserve"> </w:t>
      </w:r>
      <w:r>
        <w:rPr>
          <w:rFonts w:ascii="Times New Roman" w:hAnsi="Times New Roman"/>
          <w:lang w:val="sr-Latn-BA"/>
        </w:rPr>
        <w:t>мрежа</w:t>
      </w:r>
      <w:r w:rsidR="00DC17A9" w:rsidRPr="00295637">
        <w:rPr>
          <w:rFonts w:ascii="Times New Roman" w:hAnsi="Times New Roman"/>
          <w:lang w:val="sr-Latn-BA"/>
        </w:rPr>
        <w:t xml:space="preserve">, </w:t>
      </w:r>
      <w:r>
        <w:rPr>
          <w:rFonts w:ascii="Times New Roman" w:hAnsi="Times New Roman"/>
          <w:lang w:val="sr-Latn-BA"/>
        </w:rPr>
        <w:t>брошуре</w:t>
      </w:r>
      <w:r w:rsidR="00DC17A9" w:rsidRPr="00295637">
        <w:rPr>
          <w:rFonts w:ascii="Times New Roman" w:hAnsi="Times New Roman"/>
          <w:lang w:val="sr-Latn-BA"/>
        </w:rPr>
        <w:t xml:space="preserve">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плаката</w:t>
      </w:r>
      <w:r w:rsidR="00DC17A9" w:rsidRPr="00295637">
        <w:rPr>
          <w:rFonts w:ascii="Times New Roman" w:hAnsi="Times New Roman"/>
          <w:lang w:val="sr-Latn-BA"/>
        </w:rPr>
        <w:t xml:space="preserve">, </w:t>
      </w:r>
      <w:r w:rsidR="0090180C">
        <w:rPr>
          <w:rFonts w:ascii="Times New Roman" w:hAnsi="Times New Roman"/>
          <w:lang w:val="sr-Cyrl-BA"/>
        </w:rPr>
        <w:t>с</w:t>
      </w:r>
      <w:r w:rsidR="00DC17A9" w:rsidRPr="00295637">
        <w:rPr>
          <w:rFonts w:ascii="Times New Roman" w:hAnsi="Times New Roman"/>
          <w:lang w:val="sr-Latn-BA"/>
        </w:rPr>
        <w:t xml:space="preserve"> </w:t>
      </w:r>
      <w:r>
        <w:rPr>
          <w:rFonts w:ascii="Times New Roman" w:hAnsi="Times New Roman"/>
          <w:lang w:val="sr-Latn-BA"/>
        </w:rPr>
        <w:t>циљ</w:t>
      </w:r>
      <w:r w:rsidR="0090180C">
        <w:rPr>
          <w:rFonts w:ascii="Times New Roman" w:hAnsi="Times New Roman"/>
          <w:lang w:val="sr-Cyrl-BA"/>
        </w:rPr>
        <w:t>ем</w:t>
      </w:r>
      <w:r w:rsidR="00DC17A9" w:rsidRPr="00295637">
        <w:rPr>
          <w:rFonts w:ascii="Times New Roman" w:hAnsi="Times New Roman"/>
          <w:lang w:val="sr-Latn-BA"/>
        </w:rPr>
        <w:t xml:space="preserve"> </w:t>
      </w:r>
      <w:r>
        <w:rPr>
          <w:rFonts w:ascii="Times New Roman" w:hAnsi="Times New Roman"/>
          <w:lang w:val="sr-Latn-BA"/>
        </w:rPr>
        <w:t>подизања</w:t>
      </w:r>
      <w:r w:rsidR="00DC17A9" w:rsidRPr="00295637">
        <w:rPr>
          <w:rFonts w:ascii="Times New Roman" w:hAnsi="Times New Roman"/>
          <w:lang w:val="sr-Latn-BA"/>
        </w:rPr>
        <w:t xml:space="preserve"> </w:t>
      </w:r>
      <w:r>
        <w:rPr>
          <w:rFonts w:ascii="Times New Roman" w:hAnsi="Times New Roman"/>
          <w:lang w:val="sr-Latn-BA"/>
        </w:rPr>
        <w:t>свијести</w:t>
      </w:r>
      <w:r w:rsidR="00DC17A9" w:rsidRPr="00295637">
        <w:rPr>
          <w:rFonts w:ascii="Times New Roman" w:hAnsi="Times New Roman"/>
          <w:lang w:val="sr-Latn-BA"/>
        </w:rPr>
        <w:t xml:space="preserve">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едукације</w:t>
      </w:r>
      <w:r w:rsidR="00DC17A9" w:rsidRPr="00295637">
        <w:rPr>
          <w:rFonts w:ascii="Times New Roman" w:hAnsi="Times New Roman"/>
          <w:lang w:val="sr-Latn-BA"/>
        </w:rPr>
        <w:t xml:space="preserve"> </w:t>
      </w:r>
      <w:r>
        <w:rPr>
          <w:rFonts w:ascii="Times New Roman" w:hAnsi="Times New Roman"/>
          <w:lang w:val="sr-Latn-BA"/>
        </w:rPr>
        <w:t>становништва</w:t>
      </w:r>
      <w:r w:rsidR="00DC17A9" w:rsidRPr="00295637">
        <w:rPr>
          <w:rFonts w:ascii="Times New Roman" w:hAnsi="Times New Roman"/>
          <w:lang w:val="sr-Latn-BA"/>
        </w:rPr>
        <w:t xml:space="preserve"> </w:t>
      </w:r>
      <w:r>
        <w:rPr>
          <w:rFonts w:ascii="Times New Roman" w:hAnsi="Times New Roman"/>
          <w:lang w:val="sr-Latn-BA"/>
        </w:rPr>
        <w:t>о</w:t>
      </w:r>
      <w:r w:rsidR="00DC17A9" w:rsidRPr="00295637">
        <w:rPr>
          <w:rFonts w:ascii="Times New Roman" w:hAnsi="Times New Roman"/>
          <w:lang w:val="sr-Latn-BA"/>
        </w:rPr>
        <w:t xml:space="preserve"> </w:t>
      </w:r>
      <w:r>
        <w:rPr>
          <w:rFonts w:ascii="Times New Roman" w:hAnsi="Times New Roman"/>
          <w:lang w:val="sr-Latn-BA"/>
        </w:rPr>
        <w:t>предностима</w:t>
      </w:r>
      <w:r w:rsidR="00DC17A9" w:rsidRPr="00295637">
        <w:rPr>
          <w:rFonts w:ascii="Times New Roman" w:hAnsi="Times New Roman"/>
          <w:lang w:val="sr-Latn-BA"/>
        </w:rPr>
        <w:t xml:space="preserve"> </w:t>
      </w:r>
      <w:r>
        <w:rPr>
          <w:rFonts w:ascii="Times New Roman" w:hAnsi="Times New Roman"/>
          <w:lang w:val="sr-Latn-BA"/>
        </w:rPr>
        <w:t>вакцинације</w:t>
      </w:r>
      <w:r w:rsidR="00DC17A9" w:rsidRPr="00295637">
        <w:rPr>
          <w:rFonts w:ascii="Times New Roman" w:hAnsi="Times New Roman"/>
          <w:lang w:val="sr-Latn-BA"/>
        </w:rPr>
        <w:t xml:space="preserve"> </w:t>
      </w:r>
      <w:r>
        <w:rPr>
          <w:rFonts w:ascii="Times New Roman" w:hAnsi="Times New Roman"/>
          <w:lang w:val="sr-Latn-BA"/>
        </w:rPr>
        <w:t>против</w:t>
      </w:r>
      <w:r w:rsidR="00DC17A9" w:rsidRPr="00295637">
        <w:rPr>
          <w:rFonts w:ascii="Times New Roman" w:hAnsi="Times New Roman"/>
          <w:lang w:val="sr-Latn-BA"/>
        </w:rPr>
        <w:t xml:space="preserve"> </w:t>
      </w:r>
      <w:r w:rsidR="0090180C" w:rsidRPr="0090180C">
        <w:rPr>
          <w:rFonts w:ascii="Times New Roman" w:hAnsi="Times New Roman"/>
          <w:i/>
          <w:lang w:val="sr-Latn-BA"/>
        </w:rPr>
        <w:t>HPV</w:t>
      </w:r>
      <w:r w:rsidR="00DC17A9" w:rsidRPr="00295637">
        <w:rPr>
          <w:rFonts w:ascii="Times New Roman" w:hAnsi="Times New Roman"/>
          <w:lang w:val="sr-Latn-BA"/>
        </w:rPr>
        <w:t xml:space="preserve"> </w:t>
      </w:r>
      <w:r>
        <w:rPr>
          <w:rFonts w:ascii="Times New Roman" w:hAnsi="Times New Roman"/>
          <w:lang w:val="sr-Latn-BA"/>
        </w:rPr>
        <w:t>вируса</w:t>
      </w:r>
      <w:r w:rsidR="00DC17A9" w:rsidRPr="00295637">
        <w:rPr>
          <w:rFonts w:ascii="Times New Roman" w:hAnsi="Times New Roman"/>
          <w:lang w:val="sr-Latn-BA"/>
        </w:rPr>
        <w:t xml:space="preserve"> </w:t>
      </w:r>
      <w:r>
        <w:rPr>
          <w:rFonts w:ascii="Times New Roman" w:hAnsi="Times New Roman"/>
          <w:lang w:val="sr-Latn-BA"/>
        </w:rPr>
        <w:t>и</w:t>
      </w:r>
      <w:r w:rsidR="00DC17A9" w:rsidRPr="00295637">
        <w:rPr>
          <w:rFonts w:ascii="Times New Roman" w:hAnsi="Times New Roman"/>
          <w:lang w:val="sr-Latn-BA"/>
        </w:rPr>
        <w:t xml:space="preserve"> </w:t>
      </w:r>
      <w:r>
        <w:rPr>
          <w:rFonts w:ascii="Times New Roman" w:hAnsi="Times New Roman"/>
          <w:lang w:val="sr-Latn-BA"/>
        </w:rPr>
        <w:t>превенцији</w:t>
      </w:r>
      <w:r w:rsidR="00DC17A9" w:rsidRPr="00295637">
        <w:rPr>
          <w:rFonts w:ascii="Times New Roman" w:hAnsi="Times New Roman"/>
          <w:lang w:val="sr-Latn-BA"/>
        </w:rPr>
        <w:t xml:space="preserve"> </w:t>
      </w:r>
      <w:r>
        <w:rPr>
          <w:rFonts w:ascii="Times New Roman" w:hAnsi="Times New Roman"/>
          <w:lang w:val="sr-Latn-BA"/>
        </w:rPr>
        <w:t>карцинома</w:t>
      </w:r>
      <w:r w:rsidR="00DC17A9" w:rsidRPr="00295637">
        <w:rPr>
          <w:rFonts w:ascii="Times New Roman" w:hAnsi="Times New Roman"/>
          <w:lang w:val="sr-Latn-BA"/>
        </w:rPr>
        <w:t xml:space="preserve"> </w:t>
      </w:r>
      <w:r>
        <w:rPr>
          <w:rFonts w:ascii="Times New Roman" w:hAnsi="Times New Roman"/>
          <w:lang w:val="sr-Latn-BA"/>
        </w:rPr>
        <w:t>грлића</w:t>
      </w:r>
      <w:r w:rsidR="00DC17A9" w:rsidRPr="00295637">
        <w:rPr>
          <w:rFonts w:ascii="Times New Roman" w:hAnsi="Times New Roman"/>
          <w:lang w:val="sr-Latn-BA"/>
        </w:rPr>
        <w:t xml:space="preserve"> </w:t>
      </w:r>
      <w:r>
        <w:rPr>
          <w:rFonts w:ascii="Times New Roman" w:hAnsi="Times New Roman"/>
          <w:lang w:val="sr-Latn-BA"/>
        </w:rPr>
        <w:t>материце</w:t>
      </w:r>
      <w:r w:rsidR="00DC17A9" w:rsidRPr="00295637">
        <w:rPr>
          <w:rFonts w:ascii="Times New Roman" w:hAnsi="Times New Roman"/>
          <w:lang w:val="sr-Latn-BA"/>
        </w:rPr>
        <w:t>.</w:t>
      </w:r>
      <w:r w:rsidR="008717EF" w:rsidRPr="00295637">
        <w:rPr>
          <w:rFonts w:ascii="Times New Roman" w:hAnsi="Times New Roman"/>
          <w:lang w:val="sr-Latn-BA"/>
        </w:rPr>
        <w:t xml:space="preserve"> </w:t>
      </w:r>
      <w:r>
        <w:rPr>
          <w:rFonts w:ascii="Times New Roman" w:hAnsi="Times New Roman"/>
          <w:lang w:val="sr-Latn-BA"/>
        </w:rPr>
        <w:t>Поред</w:t>
      </w:r>
      <w:r w:rsidR="008717EF" w:rsidRPr="00295637">
        <w:rPr>
          <w:rFonts w:ascii="Times New Roman" w:hAnsi="Times New Roman"/>
          <w:lang w:val="sr-Latn-BA"/>
        </w:rPr>
        <w:t xml:space="preserve"> </w:t>
      </w:r>
      <w:r>
        <w:rPr>
          <w:rFonts w:ascii="Times New Roman" w:hAnsi="Times New Roman"/>
          <w:lang w:val="sr-Latn-BA"/>
        </w:rPr>
        <w:t>тога</w:t>
      </w:r>
      <w:r w:rsidR="008717EF" w:rsidRPr="00295637">
        <w:rPr>
          <w:rFonts w:ascii="Times New Roman" w:hAnsi="Times New Roman"/>
          <w:lang w:val="sr-Latn-BA"/>
        </w:rPr>
        <w:t xml:space="preserve">, </w:t>
      </w:r>
      <w:r>
        <w:rPr>
          <w:rFonts w:ascii="Times New Roman" w:hAnsi="Times New Roman"/>
          <w:lang w:val="sr-Latn-BA"/>
        </w:rPr>
        <w:t>Центар</w:t>
      </w:r>
      <w:r w:rsidR="00DC17A9" w:rsidRPr="00295637">
        <w:rPr>
          <w:rFonts w:ascii="Times New Roman" w:hAnsi="Times New Roman"/>
          <w:lang w:val="sr-Latn-BA"/>
        </w:rPr>
        <w:t xml:space="preserve"> </w:t>
      </w:r>
      <w:r>
        <w:rPr>
          <w:rFonts w:ascii="Times New Roman" w:hAnsi="Times New Roman"/>
          <w:lang w:val="sr-Latn-BA"/>
        </w:rPr>
        <w:t>за</w:t>
      </w:r>
      <w:r w:rsidR="00DC17A9" w:rsidRPr="00295637">
        <w:rPr>
          <w:rFonts w:ascii="Times New Roman" w:hAnsi="Times New Roman"/>
          <w:lang w:val="sr-Latn-BA"/>
        </w:rPr>
        <w:t xml:space="preserve"> </w:t>
      </w:r>
      <w:r>
        <w:rPr>
          <w:rFonts w:ascii="Times New Roman" w:hAnsi="Times New Roman"/>
          <w:lang w:val="sr-Latn-BA"/>
        </w:rPr>
        <w:t>социјални</w:t>
      </w:r>
      <w:r w:rsidR="00DC17A9" w:rsidRPr="00295637">
        <w:rPr>
          <w:rFonts w:ascii="Times New Roman" w:hAnsi="Times New Roman"/>
          <w:lang w:val="sr-Latn-BA"/>
        </w:rPr>
        <w:t xml:space="preserve"> </w:t>
      </w:r>
      <w:r>
        <w:rPr>
          <w:rFonts w:ascii="Times New Roman" w:hAnsi="Times New Roman"/>
          <w:lang w:val="sr-Latn-BA"/>
        </w:rPr>
        <w:t>рад</w:t>
      </w:r>
      <w:r w:rsidR="00DC17A9" w:rsidRPr="00295637">
        <w:rPr>
          <w:rFonts w:ascii="Times New Roman" w:hAnsi="Times New Roman"/>
          <w:lang w:val="sr-Latn-BA"/>
        </w:rPr>
        <w:t xml:space="preserve"> </w:t>
      </w:r>
      <w:r>
        <w:rPr>
          <w:rFonts w:ascii="Times New Roman" w:hAnsi="Times New Roman"/>
          <w:lang w:val="sr-Latn-BA"/>
        </w:rPr>
        <w:t>Приједор</w:t>
      </w:r>
      <w:r w:rsidR="00DC17A9" w:rsidRPr="00295637">
        <w:rPr>
          <w:rFonts w:ascii="Times New Roman" w:hAnsi="Times New Roman"/>
          <w:lang w:val="sr-Latn-BA"/>
        </w:rPr>
        <w:t xml:space="preserve"> </w:t>
      </w:r>
      <w:r>
        <w:rPr>
          <w:rFonts w:ascii="Times New Roman" w:hAnsi="Times New Roman"/>
          <w:lang w:val="sr-Latn-BA"/>
        </w:rPr>
        <w:t>одржао</w:t>
      </w:r>
      <w:r w:rsidR="00DC17A9" w:rsidRPr="00295637">
        <w:rPr>
          <w:rFonts w:ascii="Times New Roman" w:hAnsi="Times New Roman"/>
          <w:lang w:val="sr-Latn-BA"/>
        </w:rPr>
        <w:t xml:space="preserve"> </w:t>
      </w:r>
      <w:r>
        <w:rPr>
          <w:rFonts w:ascii="Times New Roman" w:hAnsi="Times New Roman"/>
          <w:lang w:val="sr-Latn-BA"/>
        </w:rPr>
        <w:t>је</w:t>
      </w:r>
      <w:r w:rsidR="00DC17A9" w:rsidRPr="00295637">
        <w:rPr>
          <w:rFonts w:ascii="Times New Roman" w:hAnsi="Times New Roman"/>
          <w:lang w:val="sr-Latn-BA"/>
        </w:rPr>
        <w:t xml:space="preserve"> </w:t>
      </w:r>
      <w:r>
        <w:rPr>
          <w:rFonts w:ascii="Times New Roman" w:hAnsi="Times New Roman"/>
          <w:lang w:val="sr-Latn-BA"/>
        </w:rPr>
        <w:t>предавање</w:t>
      </w:r>
      <w:r w:rsidR="00DC17A9" w:rsidRPr="00295637">
        <w:rPr>
          <w:rFonts w:ascii="Times New Roman" w:hAnsi="Times New Roman"/>
          <w:lang w:val="sr-Latn-BA"/>
        </w:rPr>
        <w:t xml:space="preserve"> </w:t>
      </w:r>
      <w:r>
        <w:rPr>
          <w:rFonts w:ascii="Times New Roman" w:hAnsi="Times New Roman"/>
          <w:lang w:val="sr-Latn-BA"/>
        </w:rPr>
        <w:t>о</w:t>
      </w:r>
      <w:r w:rsidR="00DC17A9" w:rsidRPr="00295637">
        <w:rPr>
          <w:rFonts w:ascii="Times New Roman" w:hAnsi="Times New Roman"/>
          <w:lang w:val="sr-Latn-BA"/>
        </w:rPr>
        <w:t xml:space="preserve"> </w:t>
      </w:r>
      <w:r w:rsidR="0090180C" w:rsidRPr="0090180C">
        <w:rPr>
          <w:rFonts w:ascii="Times New Roman" w:hAnsi="Times New Roman"/>
          <w:i/>
          <w:lang w:val="sr-Latn-BA"/>
        </w:rPr>
        <w:t>HPV</w:t>
      </w:r>
      <w:r w:rsidR="00DC17A9" w:rsidRPr="00295637">
        <w:rPr>
          <w:rFonts w:ascii="Times New Roman" w:hAnsi="Times New Roman"/>
          <w:lang w:val="sr-Latn-BA"/>
        </w:rPr>
        <w:t xml:space="preserve"> </w:t>
      </w:r>
      <w:r>
        <w:rPr>
          <w:rFonts w:ascii="Times New Roman" w:hAnsi="Times New Roman"/>
          <w:lang w:val="sr-Latn-BA"/>
        </w:rPr>
        <w:t>вакцини</w:t>
      </w:r>
      <w:r w:rsidR="00DC17A9" w:rsidRPr="00295637">
        <w:rPr>
          <w:rFonts w:ascii="Times New Roman" w:hAnsi="Times New Roman"/>
          <w:lang w:val="sr-Latn-BA"/>
        </w:rPr>
        <w:t xml:space="preserve"> </w:t>
      </w:r>
      <w:r>
        <w:rPr>
          <w:rFonts w:ascii="Times New Roman" w:hAnsi="Times New Roman"/>
          <w:lang w:val="sr-Latn-BA"/>
        </w:rPr>
        <w:t>у</w:t>
      </w:r>
      <w:r w:rsidR="00DC17A9" w:rsidRPr="00295637">
        <w:rPr>
          <w:rFonts w:ascii="Times New Roman" w:hAnsi="Times New Roman"/>
          <w:lang w:val="sr-Latn-BA"/>
        </w:rPr>
        <w:t xml:space="preserve"> </w:t>
      </w:r>
      <w:r>
        <w:rPr>
          <w:rFonts w:ascii="Times New Roman" w:hAnsi="Times New Roman"/>
          <w:lang w:val="sr-Latn-BA"/>
        </w:rPr>
        <w:t>Приједору</w:t>
      </w:r>
      <w:r w:rsidR="00DC17A9" w:rsidRPr="00295637">
        <w:rPr>
          <w:rFonts w:ascii="Times New Roman" w:hAnsi="Times New Roman"/>
          <w:lang w:val="sr-Latn-BA"/>
        </w:rPr>
        <w:t>.</w:t>
      </w:r>
    </w:p>
    <w:p w:rsidR="00DC17A9" w:rsidRPr="00295637" w:rsidRDefault="00DC17A9" w:rsidP="0086268D">
      <w:pPr>
        <w:pStyle w:val="ListParagraph"/>
        <w:ind w:left="0"/>
        <w:jc w:val="both"/>
        <w:rPr>
          <w:lang w:val="bs-Latn-BA"/>
        </w:rPr>
      </w:pPr>
    </w:p>
    <w:p w:rsidR="00DC17A9" w:rsidRPr="00295637" w:rsidRDefault="00C6214E" w:rsidP="0086268D">
      <w:pPr>
        <w:jc w:val="both"/>
        <w:rPr>
          <w:rFonts w:ascii="Times New Roman" w:hAnsi="Times New Roman"/>
          <w:lang w:val="bs-Latn-BA"/>
        </w:rPr>
      </w:pPr>
      <w:r>
        <w:rPr>
          <w:rFonts w:ascii="Times New Roman" w:hAnsi="Times New Roman"/>
        </w:rPr>
        <w:t>У</w:t>
      </w:r>
      <w:r w:rsidR="002C2EC1">
        <w:rPr>
          <w:rFonts w:ascii="Times New Roman" w:hAnsi="Times New Roman"/>
        </w:rPr>
        <w:t xml:space="preserve"> </w:t>
      </w:r>
      <w:r>
        <w:rPr>
          <w:rFonts w:ascii="Times New Roman" w:hAnsi="Times New Roman"/>
        </w:rPr>
        <w:t>вези</w:t>
      </w:r>
      <w:r w:rsidR="002C2EC1">
        <w:rPr>
          <w:rFonts w:ascii="Times New Roman" w:hAnsi="Times New Roman"/>
        </w:rPr>
        <w:t xml:space="preserve"> </w:t>
      </w:r>
      <w:r>
        <w:rPr>
          <w:rFonts w:ascii="Times New Roman" w:hAnsi="Times New Roman"/>
        </w:rPr>
        <w:t>са</w:t>
      </w:r>
      <w:r w:rsidR="002C2EC1">
        <w:rPr>
          <w:rFonts w:ascii="Times New Roman" w:hAnsi="Times New Roman"/>
        </w:rPr>
        <w:t xml:space="preserve"> </w:t>
      </w:r>
      <w:r w:rsidR="0090180C">
        <w:rPr>
          <w:rFonts w:ascii="Times New Roman" w:hAnsi="Times New Roman"/>
          <w:lang w:val="sr-Cyrl-BA"/>
        </w:rPr>
        <w:t>спровођењем</w:t>
      </w:r>
      <w:r w:rsidR="002C2EC1">
        <w:rPr>
          <w:rFonts w:ascii="Times New Roman" w:hAnsi="Times New Roman"/>
        </w:rPr>
        <w:t xml:space="preserve"> </w:t>
      </w:r>
      <w:r>
        <w:rPr>
          <w:rFonts w:ascii="Times New Roman" w:hAnsi="Times New Roman"/>
        </w:rPr>
        <w:t>мјере</w:t>
      </w:r>
      <w:r w:rsidR="002C2EC1">
        <w:rPr>
          <w:rFonts w:ascii="Times New Roman" w:hAnsi="Times New Roman"/>
        </w:rPr>
        <w:t xml:space="preserve"> </w:t>
      </w:r>
      <w:r w:rsidR="0090180C" w:rsidRPr="0090180C">
        <w:rPr>
          <w:rFonts w:ascii="Times New Roman" w:hAnsi="Times New Roman"/>
          <w:lang w:val="bs-Latn-BA"/>
        </w:rPr>
        <w:t>I</w:t>
      </w:r>
      <w:r w:rsidR="002C2EC1">
        <w:rPr>
          <w:rFonts w:ascii="Times New Roman" w:hAnsi="Times New Roman"/>
        </w:rPr>
        <w:t xml:space="preserve"> </w:t>
      </w:r>
      <w:r w:rsidR="00813F15">
        <w:rPr>
          <w:rFonts w:ascii="Times New Roman" w:hAnsi="Times New Roman"/>
        </w:rPr>
        <w:t>5.</w:t>
      </w:r>
      <w:r w:rsidR="00DC17A9" w:rsidRPr="00295637">
        <w:rPr>
          <w:rFonts w:ascii="Times New Roman" w:hAnsi="Times New Roman"/>
        </w:rPr>
        <w:t xml:space="preserve">9, </w:t>
      </w:r>
      <w:r>
        <w:rPr>
          <w:rFonts w:ascii="Times New Roman" w:hAnsi="Times New Roman"/>
        </w:rPr>
        <w:t>у</w:t>
      </w:r>
      <w:r w:rsidR="00813F15">
        <w:rPr>
          <w:rFonts w:ascii="Times New Roman" w:hAnsi="Times New Roman"/>
        </w:rPr>
        <w:t xml:space="preserve"> </w:t>
      </w:r>
      <w:r>
        <w:rPr>
          <w:rFonts w:ascii="Times New Roman" w:hAnsi="Times New Roman"/>
        </w:rPr>
        <w:t>вези</w:t>
      </w:r>
      <w:r w:rsidR="00813F15">
        <w:rPr>
          <w:rFonts w:ascii="Times New Roman" w:hAnsi="Times New Roman"/>
        </w:rPr>
        <w:t xml:space="preserve"> </w:t>
      </w:r>
      <w:r>
        <w:rPr>
          <w:rFonts w:ascii="Times New Roman" w:hAnsi="Times New Roman"/>
        </w:rPr>
        <w:t>са</w:t>
      </w:r>
      <w:r w:rsidR="00DC17A9" w:rsidRPr="00295637">
        <w:rPr>
          <w:rFonts w:ascii="Times New Roman" w:hAnsi="Times New Roman"/>
          <w:lang w:val="bs-Latn-BA"/>
        </w:rPr>
        <w:t xml:space="preserve"> </w:t>
      </w:r>
      <w:r>
        <w:rPr>
          <w:rFonts w:ascii="Times New Roman" w:hAnsi="Times New Roman"/>
          <w:szCs w:val="24"/>
          <w:lang w:val="bs-Latn-BA"/>
        </w:rPr>
        <w:t>праћењем</w:t>
      </w:r>
      <w:r w:rsidR="00DC17A9" w:rsidRPr="00295637">
        <w:rPr>
          <w:rFonts w:ascii="Times New Roman" w:hAnsi="Times New Roman"/>
          <w:szCs w:val="24"/>
          <w:lang w:val="bs-Latn-BA"/>
        </w:rPr>
        <w:t xml:space="preserve"> </w:t>
      </w:r>
      <w:r>
        <w:rPr>
          <w:rFonts w:ascii="Times New Roman" w:hAnsi="Times New Roman"/>
          <w:szCs w:val="24"/>
          <w:lang w:val="bs-Latn-BA"/>
        </w:rPr>
        <w:t>напретка</w:t>
      </w:r>
      <w:r w:rsidR="00DC17A9" w:rsidRPr="00295637">
        <w:rPr>
          <w:rFonts w:ascii="Times New Roman" w:hAnsi="Times New Roman"/>
          <w:szCs w:val="24"/>
          <w:lang w:val="bs-Latn-BA"/>
        </w:rPr>
        <w:t xml:space="preserve"> </w:t>
      </w:r>
      <w:r>
        <w:rPr>
          <w:rFonts w:ascii="Times New Roman" w:hAnsi="Times New Roman"/>
          <w:szCs w:val="24"/>
          <w:lang w:val="bs-Latn-BA"/>
        </w:rPr>
        <w:t>и</w:t>
      </w:r>
      <w:r w:rsidR="00DC17A9" w:rsidRPr="00295637">
        <w:rPr>
          <w:rFonts w:ascii="Times New Roman" w:hAnsi="Times New Roman"/>
          <w:szCs w:val="24"/>
          <w:lang w:val="bs-Latn-BA"/>
        </w:rPr>
        <w:t xml:space="preserve"> </w:t>
      </w:r>
      <w:r>
        <w:rPr>
          <w:rFonts w:ascii="Times New Roman" w:hAnsi="Times New Roman"/>
          <w:szCs w:val="24"/>
          <w:lang w:val="bs-Latn-BA"/>
        </w:rPr>
        <w:t>извјештавањем</w:t>
      </w:r>
      <w:r w:rsidR="00DC17A9" w:rsidRPr="00295637">
        <w:rPr>
          <w:rFonts w:ascii="Times New Roman" w:hAnsi="Times New Roman"/>
          <w:szCs w:val="24"/>
          <w:lang w:val="bs-Latn-BA"/>
        </w:rPr>
        <w:t xml:space="preserve"> </w:t>
      </w:r>
      <w:r>
        <w:rPr>
          <w:rFonts w:ascii="Times New Roman" w:hAnsi="Times New Roman"/>
          <w:szCs w:val="24"/>
          <w:lang w:val="bs-Latn-BA"/>
        </w:rPr>
        <w:t>о</w:t>
      </w:r>
      <w:r w:rsidR="00DC17A9" w:rsidRPr="00295637">
        <w:rPr>
          <w:rFonts w:ascii="Times New Roman" w:hAnsi="Times New Roman"/>
          <w:szCs w:val="24"/>
          <w:lang w:val="bs-Latn-BA"/>
        </w:rPr>
        <w:t xml:space="preserve"> </w:t>
      </w:r>
      <w:r>
        <w:rPr>
          <w:rFonts w:ascii="Times New Roman" w:hAnsi="Times New Roman"/>
          <w:szCs w:val="24"/>
          <w:lang w:val="bs-Latn-BA"/>
        </w:rPr>
        <w:t>заступљености</w:t>
      </w:r>
      <w:r w:rsidR="00DC17A9" w:rsidRPr="00295637">
        <w:rPr>
          <w:rFonts w:ascii="Times New Roman" w:hAnsi="Times New Roman"/>
          <w:szCs w:val="24"/>
          <w:lang w:val="bs-Latn-BA"/>
        </w:rPr>
        <w:t xml:space="preserve"> </w:t>
      </w:r>
      <w:r>
        <w:rPr>
          <w:rFonts w:ascii="Times New Roman" w:hAnsi="Times New Roman"/>
          <w:szCs w:val="24"/>
          <w:lang w:val="bs-Latn-BA"/>
        </w:rPr>
        <w:t>жена</w:t>
      </w:r>
      <w:r w:rsidR="00DC17A9" w:rsidRPr="00295637">
        <w:rPr>
          <w:rFonts w:ascii="Times New Roman" w:hAnsi="Times New Roman"/>
          <w:szCs w:val="24"/>
          <w:lang w:val="bs-Latn-BA"/>
        </w:rPr>
        <w:t xml:space="preserve"> </w:t>
      </w:r>
      <w:r>
        <w:rPr>
          <w:rFonts w:ascii="Times New Roman" w:hAnsi="Times New Roman"/>
          <w:szCs w:val="24"/>
          <w:lang w:val="bs-Latn-BA"/>
        </w:rPr>
        <w:t>и</w:t>
      </w:r>
      <w:r w:rsidR="00DC17A9" w:rsidRPr="00295637">
        <w:rPr>
          <w:rFonts w:ascii="Times New Roman" w:hAnsi="Times New Roman"/>
          <w:szCs w:val="24"/>
          <w:lang w:val="bs-Latn-BA"/>
        </w:rPr>
        <w:t xml:space="preserve"> </w:t>
      </w:r>
      <w:r>
        <w:rPr>
          <w:rFonts w:ascii="Times New Roman" w:hAnsi="Times New Roman"/>
          <w:szCs w:val="24"/>
          <w:lang w:val="bs-Latn-BA"/>
        </w:rPr>
        <w:t>мушкараца</w:t>
      </w:r>
      <w:r w:rsidR="00DC17A9" w:rsidRPr="00295637">
        <w:rPr>
          <w:rFonts w:ascii="Times New Roman" w:hAnsi="Times New Roman"/>
          <w:szCs w:val="24"/>
          <w:lang w:val="bs-Latn-BA"/>
        </w:rPr>
        <w:t xml:space="preserve"> </w:t>
      </w:r>
      <w:r>
        <w:rPr>
          <w:rFonts w:ascii="Times New Roman" w:hAnsi="Times New Roman"/>
          <w:szCs w:val="24"/>
          <w:lang w:val="bs-Latn-BA"/>
        </w:rPr>
        <w:t>у</w:t>
      </w:r>
      <w:r w:rsidR="00DC17A9" w:rsidRPr="00295637">
        <w:rPr>
          <w:rFonts w:ascii="Times New Roman" w:hAnsi="Times New Roman"/>
          <w:szCs w:val="24"/>
          <w:lang w:val="bs-Latn-BA"/>
        </w:rPr>
        <w:t xml:space="preserve"> </w:t>
      </w:r>
      <w:r>
        <w:rPr>
          <w:rFonts w:ascii="Times New Roman" w:hAnsi="Times New Roman"/>
          <w:szCs w:val="24"/>
          <w:lang w:val="bs-Latn-BA"/>
        </w:rPr>
        <w:t>области</w:t>
      </w:r>
      <w:r w:rsidR="00813F15">
        <w:rPr>
          <w:rFonts w:ascii="Times New Roman" w:hAnsi="Times New Roman"/>
          <w:szCs w:val="24"/>
          <w:lang w:val="bs-Latn-BA"/>
        </w:rPr>
        <w:t xml:space="preserve"> </w:t>
      </w:r>
      <w:r>
        <w:rPr>
          <w:rFonts w:ascii="Times New Roman" w:hAnsi="Times New Roman"/>
          <w:szCs w:val="24"/>
          <w:lang w:val="bs-Latn-BA"/>
        </w:rPr>
        <w:t>здравства</w:t>
      </w:r>
      <w:r w:rsidR="00813F15">
        <w:rPr>
          <w:rFonts w:ascii="Times New Roman" w:hAnsi="Times New Roman"/>
          <w:szCs w:val="24"/>
          <w:lang w:val="bs-Latn-BA"/>
        </w:rPr>
        <w:t xml:space="preserve">, </w:t>
      </w:r>
      <w:r>
        <w:rPr>
          <w:rFonts w:ascii="Times New Roman" w:hAnsi="Times New Roman"/>
          <w:szCs w:val="24"/>
          <w:lang w:val="bs-Latn-BA"/>
        </w:rPr>
        <w:t>приступу</w:t>
      </w:r>
      <w:r w:rsidR="00DC17A9" w:rsidRPr="00295637">
        <w:rPr>
          <w:rFonts w:ascii="Times New Roman" w:hAnsi="Times New Roman"/>
          <w:szCs w:val="24"/>
          <w:lang w:val="bs-Latn-BA"/>
        </w:rPr>
        <w:t xml:space="preserve"> </w:t>
      </w:r>
      <w:r>
        <w:rPr>
          <w:rFonts w:ascii="Times New Roman" w:hAnsi="Times New Roman"/>
          <w:szCs w:val="24"/>
          <w:lang w:val="bs-Latn-BA"/>
        </w:rPr>
        <w:t>и</w:t>
      </w:r>
      <w:r w:rsidR="00DC17A9" w:rsidRPr="00295637">
        <w:rPr>
          <w:rFonts w:ascii="Times New Roman" w:hAnsi="Times New Roman"/>
          <w:szCs w:val="24"/>
          <w:lang w:val="bs-Latn-BA"/>
        </w:rPr>
        <w:t xml:space="preserve"> </w:t>
      </w:r>
      <w:r>
        <w:rPr>
          <w:rFonts w:ascii="Times New Roman" w:hAnsi="Times New Roman"/>
          <w:szCs w:val="24"/>
          <w:lang w:val="bs-Latn-BA"/>
        </w:rPr>
        <w:t>кориш</w:t>
      </w:r>
      <w:r w:rsidR="0090180C">
        <w:rPr>
          <w:rFonts w:ascii="Times New Roman" w:hAnsi="Times New Roman"/>
          <w:szCs w:val="24"/>
          <w:lang w:val="sr-Cyrl-BA"/>
        </w:rPr>
        <w:t>ћ</w:t>
      </w:r>
      <w:r>
        <w:rPr>
          <w:rFonts w:ascii="Times New Roman" w:hAnsi="Times New Roman"/>
          <w:szCs w:val="24"/>
          <w:lang w:val="bs-Latn-BA"/>
        </w:rPr>
        <w:t>ењу</w:t>
      </w:r>
      <w:r w:rsidR="00DC17A9" w:rsidRPr="00295637">
        <w:rPr>
          <w:rFonts w:ascii="Times New Roman" w:hAnsi="Times New Roman"/>
          <w:szCs w:val="24"/>
          <w:lang w:val="bs-Latn-BA"/>
        </w:rPr>
        <w:t xml:space="preserve"> </w:t>
      </w:r>
      <w:r>
        <w:rPr>
          <w:rFonts w:ascii="Times New Roman" w:hAnsi="Times New Roman"/>
          <w:szCs w:val="24"/>
          <w:lang w:val="bs-Latn-BA"/>
        </w:rPr>
        <w:t>здрваствених</w:t>
      </w:r>
      <w:r w:rsidR="00DC17A9" w:rsidRPr="00295637">
        <w:rPr>
          <w:rFonts w:ascii="Times New Roman" w:hAnsi="Times New Roman"/>
          <w:szCs w:val="24"/>
          <w:lang w:val="bs-Latn-BA"/>
        </w:rPr>
        <w:t xml:space="preserve"> </w:t>
      </w:r>
      <w:r>
        <w:rPr>
          <w:rFonts w:ascii="Times New Roman" w:hAnsi="Times New Roman"/>
          <w:szCs w:val="24"/>
          <w:lang w:val="bs-Latn-BA"/>
        </w:rPr>
        <w:t>услуга</w:t>
      </w:r>
      <w:r w:rsidR="00DC17A9" w:rsidRPr="00295637">
        <w:rPr>
          <w:rFonts w:ascii="Times New Roman" w:hAnsi="Times New Roman"/>
          <w:szCs w:val="24"/>
          <w:lang w:val="bs-Latn-BA"/>
        </w:rPr>
        <w:t xml:space="preserve">, </w:t>
      </w:r>
      <w:r>
        <w:rPr>
          <w:rFonts w:ascii="Times New Roman" w:hAnsi="Times New Roman"/>
          <w:szCs w:val="24"/>
          <w:lang w:val="bs-Latn-BA"/>
        </w:rPr>
        <w:t>превенције</w:t>
      </w:r>
      <w:r w:rsidR="00DC17A9" w:rsidRPr="00295637">
        <w:rPr>
          <w:rFonts w:ascii="Times New Roman" w:hAnsi="Times New Roman"/>
          <w:szCs w:val="24"/>
          <w:lang w:val="bs-Latn-BA"/>
        </w:rPr>
        <w:t xml:space="preserve"> </w:t>
      </w:r>
      <w:r>
        <w:rPr>
          <w:rFonts w:ascii="Times New Roman" w:hAnsi="Times New Roman"/>
          <w:szCs w:val="24"/>
          <w:lang w:val="bs-Latn-BA"/>
        </w:rPr>
        <w:t>и</w:t>
      </w:r>
      <w:r w:rsidR="00DC17A9" w:rsidRPr="00295637">
        <w:rPr>
          <w:rFonts w:ascii="Times New Roman" w:hAnsi="Times New Roman"/>
          <w:szCs w:val="24"/>
          <w:lang w:val="bs-Latn-BA"/>
        </w:rPr>
        <w:t xml:space="preserve"> </w:t>
      </w:r>
      <w:r>
        <w:rPr>
          <w:rFonts w:ascii="Times New Roman" w:hAnsi="Times New Roman"/>
          <w:szCs w:val="24"/>
          <w:lang w:val="bs-Latn-BA"/>
        </w:rPr>
        <w:t>заштите</w:t>
      </w:r>
      <w:r w:rsidR="00DC17A9" w:rsidRPr="00295637">
        <w:rPr>
          <w:rFonts w:ascii="Times New Roman" w:hAnsi="Times New Roman"/>
          <w:szCs w:val="24"/>
          <w:lang w:val="bs-Latn-BA"/>
        </w:rPr>
        <w:t xml:space="preserve">, </w:t>
      </w:r>
      <w:r>
        <w:rPr>
          <w:rFonts w:ascii="Times New Roman" w:hAnsi="Times New Roman"/>
        </w:rPr>
        <w:t>није</w:t>
      </w:r>
      <w:r w:rsidR="00DC17A9" w:rsidRPr="00295637">
        <w:rPr>
          <w:rFonts w:ascii="Times New Roman" w:hAnsi="Times New Roman"/>
        </w:rPr>
        <w:t xml:space="preserve"> </w:t>
      </w:r>
      <w:r>
        <w:rPr>
          <w:rFonts w:ascii="Times New Roman" w:hAnsi="Times New Roman"/>
        </w:rPr>
        <w:t>било</w:t>
      </w:r>
      <w:r w:rsidR="00DC17A9" w:rsidRPr="00295637">
        <w:rPr>
          <w:rFonts w:ascii="Times New Roman" w:hAnsi="Times New Roman"/>
        </w:rPr>
        <w:t xml:space="preserve"> </w:t>
      </w:r>
      <w:r>
        <w:rPr>
          <w:rFonts w:ascii="Times New Roman" w:hAnsi="Times New Roman"/>
        </w:rPr>
        <w:t>проведених</w:t>
      </w:r>
      <w:r w:rsidR="00DC17A9" w:rsidRPr="00295637">
        <w:rPr>
          <w:rFonts w:ascii="Times New Roman" w:hAnsi="Times New Roman"/>
        </w:rPr>
        <w:t xml:space="preserve"> </w:t>
      </w:r>
      <w:r>
        <w:rPr>
          <w:rFonts w:ascii="Times New Roman" w:hAnsi="Times New Roman"/>
        </w:rPr>
        <w:t>активности</w:t>
      </w:r>
      <w:r w:rsidR="00DC17A9" w:rsidRPr="00295637">
        <w:rPr>
          <w:rFonts w:ascii="Times New Roman" w:hAnsi="Times New Roman"/>
        </w:rPr>
        <w:t xml:space="preserve"> </w:t>
      </w:r>
      <w:r>
        <w:rPr>
          <w:rFonts w:ascii="Times New Roman" w:hAnsi="Times New Roman"/>
        </w:rPr>
        <w:t>у</w:t>
      </w:r>
      <w:r w:rsidR="00DC17A9" w:rsidRPr="00295637">
        <w:rPr>
          <w:rFonts w:ascii="Times New Roman" w:hAnsi="Times New Roman"/>
        </w:rPr>
        <w:t xml:space="preserve"> </w:t>
      </w:r>
      <w:r>
        <w:rPr>
          <w:rFonts w:ascii="Times New Roman" w:hAnsi="Times New Roman"/>
        </w:rPr>
        <w:t>овом</w:t>
      </w:r>
      <w:r w:rsidR="00DC17A9" w:rsidRPr="00295637">
        <w:rPr>
          <w:rFonts w:ascii="Times New Roman" w:hAnsi="Times New Roman"/>
        </w:rPr>
        <w:t xml:space="preserve"> </w:t>
      </w:r>
      <w:r>
        <w:rPr>
          <w:rFonts w:ascii="Times New Roman" w:hAnsi="Times New Roman"/>
        </w:rPr>
        <w:t>извјештајном</w:t>
      </w:r>
      <w:r w:rsidR="00DC17A9" w:rsidRPr="00295637">
        <w:rPr>
          <w:rFonts w:ascii="Times New Roman" w:hAnsi="Times New Roman"/>
        </w:rPr>
        <w:t xml:space="preserve"> </w:t>
      </w:r>
      <w:r>
        <w:rPr>
          <w:rFonts w:ascii="Times New Roman" w:hAnsi="Times New Roman"/>
        </w:rPr>
        <w:t>периоду</w:t>
      </w:r>
      <w:r w:rsidR="00DC17A9" w:rsidRPr="00295637">
        <w:rPr>
          <w:rFonts w:ascii="Times New Roman" w:hAnsi="Times New Roman"/>
        </w:rPr>
        <w:t>.</w:t>
      </w:r>
    </w:p>
    <w:p w:rsidR="000627E7" w:rsidRDefault="000627E7" w:rsidP="0086268D">
      <w:pPr>
        <w:pStyle w:val="Normal1"/>
        <w:rPr>
          <w:rFonts w:ascii="Times New Roman" w:hAnsi="Times New Roman"/>
          <w:lang w:val="bs-Latn-BA"/>
        </w:rPr>
      </w:pPr>
    </w:p>
    <w:p w:rsidR="00820915" w:rsidRPr="00295637" w:rsidRDefault="00820915" w:rsidP="0086268D">
      <w:pPr>
        <w:pStyle w:val="Normal1"/>
        <w:rPr>
          <w:rFonts w:ascii="Times New Roman" w:hAnsi="Times New Roman"/>
          <w:lang w:val="bs-Latn-BA"/>
        </w:rPr>
      </w:pPr>
    </w:p>
    <w:p w:rsidR="00356C2C" w:rsidRPr="00295637" w:rsidRDefault="0090180C" w:rsidP="002C2EC1">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36" w:name="_Toc332005667"/>
      <w:bookmarkStart w:id="37" w:name="_Toc332010898"/>
      <w:bookmarkStart w:id="38" w:name="_Toc195016596"/>
      <w:r w:rsidRPr="0090180C">
        <w:rPr>
          <w:rFonts w:ascii="Times New Roman" w:hAnsi="Times New Roman" w:cs="Times New Roman"/>
          <w:color w:val="548DD4" w:themeColor="text2" w:themeTint="99"/>
          <w:lang w:val="bs-Latn-BA" w:eastAsia="bs-Latn-BA"/>
        </w:rPr>
        <w:t>I</w:t>
      </w:r>
      <w:r w:rsidR="002C2EC1" w:rsidRPr="002C2EC1">
        <w:rPr>
          <w:rFonts w:ascii="Times New Roman" w:hAnsi="Times New Roman" w:cs="Times New Roman"/>
          <w:color w:val="548DD4" w:themeColor="text2" w:themeTint="99"/>
          <w:lang w:val="bs-Latn-BA" w:eastAsia="bs-Latn-BA"/>
        </w:rPr>
        <w:t xml:space="preserve"> 6.  </w:t>
      </w:r>
      <w:r w:rsidR="00C6214E">
        <w:rPr>
          <w:rFonts w:ascii="Times New Roman" w:hAnsi="Times New Roman" w:cs="Times New Roman"/>
          <w:lang w:val="bs-Latn-BA" w:eastAsia="bs-Latn-BA"/>
        </w:rPr>
        <w:t>Социјална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заштита</w:t>
      </w:r>
      <w:bookmarkEnd w:id="36"/>
      <w:bookmarkEnd w:id="37"/>
      <w:bookmarkEnd w:id="38"/>
    </w:p>
    <w:p w:rsidR="007B5B73" w:rsidRPr="00295637" w:rsidRDefault="007B5B73" w:rsidP="0086268D">
      <w:pPr>
        <w:rPr>
          <w:lang w:val="bs-Latn-BA" w:eastAsia="bs-Latn-BA"/>
        </w:rPr>
      </w:pPr>
    </w:p>
    <w:p w:rsidR="003C0562" w:rsidRPr="00295637" w:rsidRDefault="00C6214E" w:rsidP="0086268D">
      <w:pPr>
        <w:jc w:val="both"/>
        <w:rPr>
          <w:rFonts w:ascii="Times New Roman" w:hAnsi="Times New Roman"/>
          <w:szCs w:val="24"/>
          <w:lang w:val="bs-Latn-BA"/>
        </w:rPr>
      </w:pPr>
      <w:r>
        <w:rPr>
          <w:rFonts w:ascii="Times New Roman" w:hAnsi="Times New Roman"/>
          <w:lang w:val="bs-Latn-BA"/>
        </w:rPr>
        <w:t>Социјална</w:t>
      </w:r>
      <w:r w:rsidR="003F78C9" w:rsidRPr="00295637">
        <w:rPr>
          <w:rFonts w:ascii="Times New Roman" w:hAnsi="Times New Roman"/>
          <w:lang w:val="bs-Latn-BA"/>
        </w:rPr>
        <w:t xml:space="preserve"> </w:t>
      </w:r>
      <w:r>
        <w:rPr>
          <w:rFonts w:ascii="Times New Roman" w:hAnsi="Times New Roman"/>
          <w:lang w:val="bs-Latn-BA"/>
        </w:rPr>
        <w:t>давања</w:t>
      </w:r>
      <w:r w:rsidR="003F78C9" w:rsidRPr="00295637">
        <w:rPr>
          <w:rFonts w:ascii="Times New Roman" w:hAnsi="Times New Roman"/>
          <w:lang w:val="bs-Latn-BA"/>
        </w:rPr>
        <w:t xml:space="preserve"> </w:t>
      </w:r>
      <w:r>
        <w:rPr>
          <w:rFonts w:ascii="Times New Roman" w:hAnsi="Times New Roman"/>
          <w:lang w:val="bs-Latn-BA"/>
        </w:rPr>
        <w:t>у</w:t>
      </w:r>
      <w:r w:rsidR="003F78C9" w:rsidRPr="00295637">
        <w:rPr>
          <w:rFonts w:ascii="Times New Roman" w:hAnsi="Times New Roman"/>
          <w:lang w:val="bs-Latn-BA"/>
        </w:rPr>
        <w:t xml:space="preserve"> </w:t>
      </w:r>
      <w:r>
        <w:rPr>
          <w:rFonts w:ascii="Times New Roman" w:hAnsi="Times New Roman"/>
          <w:lang w:val="bs-Latn-BA"/>
        </w:rPr>
        <w:t>Босни</w:t>
      </w:r>
      <w:r w:rsidR="003F78C9" w:rsidRPr="00295637">
        <w:rPr>
          <w:rFonts w:ascii="Times New Roman" w:hAnsi="Times New Roman"/>
          <w:lang w:val="bs-Latn-BA"/>
        </w:rPr>
        <w:t xml:space="preserve"> </w:t>
      </w:r>
      <w:r>
        <w:rPr>
          <w:rFonts w:ascii="Times New Roman" w:hAnsi="Times New Roman"/>
          <w:lang w:val="bs-Latn-BA"/>
        </w:rPr>
        <w:t>и</w:t>
      </w:r>
      <w:r w:rsidR="003F78C9" w:rsidRPr="00295637">
        <w:rPr>
          <w:rFonts w:ascii="Times New Roman" w:hAnsi="Times New Roman"/>
          <w:lang w:val="bs-Latn-BA"/>
        </w:rPr>
        <w:t xml:space="preserve"> </w:t>
      </w:r>
      <w:r>
        <w:rPr>
          <w:rFonts w:ascii="Times New Roman" w:hAnsi="Times New Roman"/>
          <w:lang w:val="bs-Latn-BA"/>
        </w:rPr>
        <w:t>Херцеговини</w:t>
      </w:r>
      <w:r w:rsidR="003F78C9" w:rsidRPr="00295637">
        <w:rPr>
          <w:rFonts w:ascii="Times New Roman" w:hAnsi="Times New Roman"/>
          <w:lang w:val="bs-Latn-BA"/>
        </w:rPr>
        <w:t xml:space="preserve"> </w:t>
      </w:r>
      <w:r>
        <w:rPr>
          <w:rFonts w:ascii="Times New Roman" w:hAnsi="Times New Roman"/>
          <w:lang w:val="bs-Latn-BA"/>
        </w:rPr>
        <w:t>варирају</w:t>
      </w:r>
      <w:r w:rsidR="003F78C9" w:rsidRPr="00295637">
        <w:rPr>
          <w:rFonts w:ascii="Times New Roman" w:hAnsi="Times New Roman"/>
          <w:lang w:val="bs-Latn-BA"/>
        </w:rPr>
        <w:t xml:space="preserve"> </w:t>
      </w:r>
      <w:r>
        <w:rPr>
          <w:rFonts w:ascii="Times New Roman" w:hAnsi="Times New Roman"/>
          <w:lang w:val="bs-Latn-BA"/>
        </w:rPr>
        <w:t>између</w:t>
      </w:r>
      <w:r w:rsidR="003F78C9" w:rsidRPr="00295637">
        <w:rPr>
          <w:rFonts w:ascii="Times New Roman" w:hAnsi="Times New Roman"/>
          <w:lang w:val="bs-Latn-BA"/>
        </w:rPr>
        <w:t xml:space="preserve"> </w:t>
      </w:r>
      <w:r>
        <w:rPr>
          <w:rFonts w:ascii="Times New Roman" w:hAnsi="Times New Roman"/>
          <w:lang w:val="bs-Latn-BA"/>
        </w:rPr>
        <w:t>ентитета</w:t>
      </w:r>
      <w:r w:rsidR="003F78C9" w:rsidRPr="00295637">
        <w:rPr>
          <w:rFonts w:ascii="Times New Roman" w:hAnsi="Times New Roman"/>
          <w:lang w:val="bs-Latn-BA"/>
        </w:rPr>
        <w:t xml:space="preserve"> </w:t>
      </w:r>
      <w:r>
        <w:rPr>
          <w:rFonts w:ascii="Times New Roman" w:hAnsi="Times New Roman"/>
          <w:lang w:val="bs-Latn-BA"/>
        </w:rPr>
        <w:t>и</w:t>
      </w:r>
      <w:r w:rsidR="003F78C9" w:rsidRPr="00295637">
        <w:rPr>
          <w:rFonts w:ascii="Times New Roman" w:hAnsi="Times New Roman"/>
          <w:lang w:val="bs-Latn-BA"/>
        </w:rPr>
        <w:t xml:space="preserve"> </w:t>
      </w:r>
      <w:r>
        <w:rPr>
          <w:rFonts w:ascii="Times New Roman" w:hAnsi="Times New Roman"/>
          <w:lang w:val="bs-Latn-BA"/>
        </w:rPr>
        <w:t>међу</w:t>
      </w:r>
      <w:r w:rsidR="003F78C9" w:rsidRPr="00295637">
        <w:rPr>
          <w:rFonts w:ascii="Times New Roman" w:hAnsi="Times New Roman"/>
          <w:lang w:val="bs-Latn-BA"/>
        </w:rPr>
        <w:t xml:space="preserve"> </w:t>
      </w:r>
      <w:r>
        <w:rPr>
          <w:rFonts w:ascii="Times New Roman" w:hAnsi="Times New Roman"/>
          <w:lang w:val="bs-Latn-BA"/>
        </w:rPr>
        <w:t>кантонима</w:t>
      </w:r>
      <w:r w:rsidR="003F78C9" w:rsidRPr="00295637">
        <w:rPr>
          <w:rFonts w:ascii="Times New Roman" w:hAnsi="Times New Roman"/>
          <w:lang w:val="bs-Latn-BA"/>
        </w:rPr>
        <w:t xml:space="preserve"> </w:t>
      </w:r>
      <w:r>
        <w:rPr>
          <w:rFonts w:ascii="Times New Roman" w:hAnsi="Times New Roman"/>
          <w:lang w:val="bs-Latn-BA"/>
        </w:rPr>
        <w:t>и</w:t>
      </w:r>
      <w:r w:rsidR="003F78C9" w:rsidRPr="00295637">
        <w:rPr>
          <w:rFonts w:ascii="Times New Roman" w:hAnsi="Times New Roman"/>
          <w:lang w:val="bs-Latn-BA"/>
        </w:rPr>
        <w:t xml:space="preserve"> </w:t>
      </w:r>
      <w:r>
        <w:rPr>
          <w:rFonts w:ascii="Times New Roman" w:hAnsi="Times New Roman"/>
          <w:lang w:val="bs-Latn-BA"/>
        </w:rPr>
        <w:t>оп</w:t>
      </w:r>
      <w:r w:rsidR="0090180C">
        <w:rPr>
          <w:rFonts w:ascii="Times New Roman" w:hAnsi="Times New Roman"/>
          <w:lang w:val="sr-Cyrl-BA"/>
        </w:rPr>
        <w:t>шт</w:t>
      </w:r>
      <w:r>
        <w:rPr>
          <w:rFonts w:ascii="Times New Roman" w:hAnsi="Times New Roman"/>
          <w:lang w:val="bs-Latn-BA"/>
        </w:rPr>
        <w:t>инама</w:t>
      </w:r>
      <w:r w:rsidR="003F78C9" w:rsidRPr="00295637">
        <w:rPr>
          <w:rFonts w:ascii="Times New Roman" w:hAnsi="Times New Roman"/>
          <w:lang w:val="bs-Latn-BA"/>
        </w:rPr>
        <w:t xml:space="preserve">. </w:t>
      </w:r>
      <w:r>
        <w:rPr>
          <w:rFonts w:ascii="Times New Roman" w:hAnsi="Times New Roman"/>
          <w:lang w:val="bs-Latn-BA"/>
        </w:rPr>
        <w:t>БиХ</w:t>
      </w:r>
      <w:r w:rsidR="003F78C9" w:rsidRPr="00295637">
        <w:rPr>
          <w:rFonts w:ascii="Times New Roman" w:hAnsi="Times New Roman"/>
          <w:lang w:val="bs-Latn-BA"/>
        </w:rPr>
        <w:t xml:space="preserve"> </w:t>
      </w:r>
      <w:r>
        <w:rPr>
          <w:rFonts w:ascii="Times New Roman" w:hAnsi="Times New Roman"/>
          <w:lang w:val="bs-Latn-BA"/>
        </w:rPr>
        <w:t>је</w:t>
      </w:r>
      <w:r w:rsidR="003F78C9" w:rsidRPr="00295637">
        <w:rPr>
          <w:rFonts w:ascii="Times New Roman" w:hAnsi="Times New Roman"/>
          <w:lang w:val="bs-Latn-BA"/>
        </w:rPr>
        <w:t xml:space="preserve"> </w:t>
      </w:r>
      <w:r>
        <w:rPr>
          <w:rFonts w:ascii="Times New Roman" w:hAnsi="Times New Roman"/>
          <w:lang w:val="bs-Latn-BA"/>
        </w:rPr>
        <w:t>на</w:t>
      </w:r>
      <w:r w:rsidR="003F78C9" w:rsidRPr="00295637">
        <w:rPr>
          <w:rFonts w:ascii="Times New Roman" w:hAnsi="Times New Roman"/>
          <w:lang w:val="bs-Latn-BA"/>
        </w:rPr>
        <w:t xml:space="preserve"> </w:t>
      </w:r>
      <w:r>
        <w:rPr>
          <w:rFonts w:ascii="Times New Roman" w:hAnsi="Times New Roman"/>
          <w:lang w:val="bs-Latn-BA"/>
        </w:rPr>
        <w:t>средњем</w:t>
      </w:r>
      <w:r w:rsidR="003F78C9" w:rsidRPr="00295637">
        <w:rPr>
          <w:rFonts w:ascii="Times New Roman" w:hAnsi="Times New Roman"/>
          <w:lang w:val="bs-Latn-BA"/>
        </w:rPr>
        <w:t xml:space="preserve"> </w:t>
      </w:r>
      <w:r>
        <w:rPr>
          <w:rFonts w:ascii="Times New Roman" w:hAnsi="Times New Roman"/>
          <w:lang w:val="bs-Latn-BA"/>
        </w:rPr>
        <w:t>нивоу</w:t>
      </w:r>
      <w:r w:rsidR="003F78C9" w:rsidRPr="00295637">
        <w:rPr>
          <w:rFonts w:ascii="Times New Roman" w:hAnsi="Times New Roman"/>
          <w:lang w:val="bs-Latn-BA"/>
        </w:rPr>
        <w:t xml:space="preserve"> </w:t>
      </w:r>
      <w:r>
        <w:rPr>
          <w:rFonts w:ascii="Times New Roman" w:hAnsi="Times New Roman"/>
          <w:lang w:val="bs-Latn-BA"/>
        </w:rPr>
        <w:t>потрошње</w:t>
      </w:r>
      <w:r w:rsidR="003F78C9" w:rsidRPr="00295637">
        <w:rPr>
          <w:rFonts w:ascii="Times New Roman" w:hAnsi="Times New Roman"/>
          <w:lang w:val="bs-Latn-BA"/>
        </w:rPr>
        <w:t xml:space="preserve"> </w:t>
      </w:r>
      <w:r>
        <w:rPr>
          <w:rFonts w:ascii="Times New Roman" w:hAnsi="Times New Roman"/>
          <w:lang w:val="bs-Latn-BA"/>
        </w:rPr>
        <w:t>за</w:t>
      </w:r>
      <w:r w:rsidR="003F78C9" w:rsidRPr="00295637">
        <w:rPr>
          <w:rFonts w:ascii="Times New Roman" w:hAnsi="Times New Roman"/>
          <w:lang w:val="bs-Latn-BA"/>
        </w:rPr>
        <w:t xml:space="preserve"> </w:t>
      </w:r>
      <w:r>
        <w:rPr>
          <w:rFonts w:ascii="Times New Roman" w:hAnsi="Times New Roman"/>
          <w:lang w:val="bs-Latn-BA"/>
        </w:rPr>
        <w:t>социјалну</w:t>
      </w:r>
      <w:r w:rsidR="003F78C9" w:rsidRPr="00295637">
        <w:rPr>
          <w:rFonts w:ascii="Times New Roman" w:hAnsi="Times New Roman"/>
          <w:lang w:val="bs-Latn-BA"/>
        </w:rPr>
        <w:t xml:space="preserve"> </w:t>
      </w:r>
      <w:r>
        <w:rPr>
          <w:rFonts w:ascii="Times New Roman" w:hAnsi="Times New Roman"/>
          <w:lang w:val="bs-Latn-BA"/>
        </w:rPr>
        <w:t>заштиту</w:t>
      </w:r>
      <w:r w:rsidR="003F78C9" w:rsidRPr="00295637">
        <w:rPr>
          <w:rFonts w:ascii="Times New Roman" w:hAnsi="Times New Roman"/>
          <w:lang w:val="bs-Latn-BA"/>
        </w:rPr>
        <w:t xml:space="preserve"> </w:t>
      </w:r>
      <w:r>
        <w:rPr>
          <w:rFonts w:ascii="Times New Roman" w:hAnsi="Times New Roman"/>
          <w:lang w:val="bs-Latn-BA"/>
        </w:rPr>
        <w:t>и</w:t>
      </w:r>
      <w:r w:rsidR="003F78C9" w:rsidRPr="00295637">
        <w:rPr>
          <w:rFonts w:ascii="Times New Roman" w:hAnsi="Times New Roman"/>
          <w:lang w:val="bs-Latn-BA"/>
        </w:rPr>
        <w:t xml:space="preserve"> </w:t>
      </w:r>
      <w:r>
        <w:rPr>
          <w:rFonts w:ascii="Times New Roman" w:hAnsi="Times New Roman"/>
          <w:lang w:val="bs-Latn-BA"/>
        </w:rPr>
        <w:t>међу</w:t>
      </w:r>
      <w:r w:rsidR="008F6871" w:rsidRPr="00295637">
        <w:rPr>
          <w:rFonts w:ascii="Times New Roman" w:hAnsi="Times New Roman"/>
          <w:lang w:val="bs-Latn-BA"/>
        </w:rPr>
        <w:t xml:space="preserve"> </w:t>
      </w:r>
      <w:r>
        <w:rPr>
          <w:rFonts w:ascii="Times New Roman" w:hAnsi="Times New Roman"/>
          <w:lang w:val="bs-Latn-BA"/>
        </w:rPr>
        <w:t>земљама</w:t>
      </w:r>
      <w:r w:rsidR="008F6871" w:rsidRPr="00295637">
        <w:rPr>
          <w:rFonts w:ascii="Times New Roman" w:hAnsi="Times New Roman"/>
          <w:lang w:val="bs-Latn-BA"/>
        </w:rPr>
        <w:t xml:space="preserve"> </w:t>
      </w:r>
      <w:r>
        <w:rPr>
          <w:rFonts w:ascii="Times New Roman" w:hAnsi="Times New Roman"/>
          <w:lang w:val="bs-Latn-BA"/>
        </w:rPr>
        <w:t>регије</w:t>
      </w:r>
      <w:r w:rsidR="008F6871" w:rsidRPr="00295637">
        <w:rPr>
          <w:rFonts w:ascii="Times New Roman" w:hAnsi="Times New Roman"/>
          <w:lang w:val="bs-Latn-BA"/>
        </w:rPr>
        <w:t xml:space="preserve"> </w:t>
      </w:r>
      <w:r>
        <w:rPr>
          <w:rFonts w:ascii="Times New Roman" w:hAnsi="Times New Roman"/>
          <w:lang w:val="bs-Latn-BA"/>
        </w:rPr>
        <w:t>има</w:t>
      </w:r>
      <w:r w:rsidR="003F78C9" w:rsidRPr="00295637">
        <w:rPr>
          <w:rFonts w:ascii="Times New Roman" w:hAnsi="Times New Roman"/>
          <w:lang w:val="bs-Latn-BA"/>
        </w:rPr>
        <w:t xml:space="preserve"> </w:t>
      </w:r>
      <w:r>
        <w:rPr>
          <w:rFonts w:ascii="Times New Roman" w:hAnsi="Times New Roman"/>
          <w:lang w:val="bs-Latn-BA"/>
        </w:rPr>
        <w:t>највиши</w:t>
      </w:r>
      <w:r w:rsidR="003F78C9" w:rsidRPr="00295637">
        <w:rPr>
          <w:rFonts w:ascii="Times New Roman" w:hAnsi="Times New Roman"/>
          <w:lang w:val="bs-Latn-BA"/>
        </w:rPr>
        <w:t xml:space="preserve"> </w:t>
      </w:r>
      <w:r>
        <w:rPr>
          <w:rFonts w:ascii="Times New Roman" w:hAnsi="Times New Roman"/>
          <w:lang w:val="bs-Latn-BA"/>
        </w:rPr>
        <w:t>удио</w:t>
      </w:r>
      <w:r w:rsidR="003F78C9" w:rsidRPr="00295637">
        <w:rPr>
          <w:rFonts w:ascii="Times New Roman" w:hAnsi="Times New Roman"/>
          <w:lang w:val="bs-Latn-BA"/>
        </w:rPr>
        <w:t xml:space="preserve"> </w:t>
      </w:r>
      <w:r>
        <w:rPr>
          <w:rFonts w:ascii="Times New Roman" w:hAnsi="Times New Roman"/>
          <w:lang w:val="bs-Latn-BA"/>
        </w:rPr>
        <w:t>финансирања</w:t>
      </w:r>
      <w:r w:rsidR="003F78C9" w:rsidRPr="00295637">
        <w:rPr>
          <w:rFonts w:ascii="Times New Roman" w:hAnsi="Times New Roman"/>
          <w:lang w:val="bs-Latn-BA"/>
        </w:rPr>
        <w:t xml:space="preserve"> </w:t>
      </w:r>
      <w:r>
        <w:rPr>
          <w:rFonts w:ascii="Times New Roman" w:hAnsi="Times New Roman"/>
          <w:lang w:val="bs-Latn-BA"/>
        </w:rPr>
        <w:t>администра</w:t>
      </w:r>
      <w:r w:rsidR="0090180C">
        <w:rPr>
          <w:rFonts w:ascii="Times New Roman" w:hAnsi="Times New Roman"/>
          <w:lang w:val="sr-Cyrl-BA"/>
        </w:rPr>
        <w:t>тивних</w:t>
      </w:r>
      <w:r w:rsidR="003F78C9" w:rsidRPr="00295637">
        <w:rPr>
          <w:rFonts w:ascii="Times New Roman" w:hAnsi="Times New Roman"/>
          <w:lang w:val="bs-Latn-BA"/>
        </w:rPr>
        <w:t xml:space="preserve"> </w:t>
      </w:r>
      <w:r>
        <w:rPr>
          <w:rFonts w:ascii="Times New Roman" w:hAnsi="Times New Roman"/>
          <w:lang w:val="bs-Latn-BA"/>
        </w:rPr>
        <w:t>трошкова</w:t>
      </w:r>
      <w:r w:rsidR="003F78C9" w:rsidRPr="00295637">
        <w:rPr>
          <w:rFonts w:ascii="Times New Roman" w:hAnsi="Times New Roman"/>
          <w:lang w:val="bs-Latn-BA"/>
        </w:rPr>
        <w:t xml:space="preserve"> </w:t>
      </w:r>
      <w:r>
        <w:rPr>
          <w:rFonts w:ascii="Times New Roman" w:hAnsi="Times New Roman"/>
          <w:lang w:val="bs-Latn-BA"/>
        </w:rPr>
        <w:t>и</w:t>
      </w:r>
      <w:r w:rsidR="003F78C9" w:rsidRPr="00295637">
        <w:rPr>
          <w:rFonts w:ascii="Times New Roman" w:hAnsi="Times New Roman"/>
          <w:lang w:val="bs-Latn-BA"/>
        </w:rPr>
        <w:t xml:space="preserve"> </w:t>
      </w:r>
      <w:r>
        <w:rPr>
          <w:rFonts w:ascii="Times New Roman" w:hAnsi="Times New Roman"/>
          <w:lang w:val="bs-Latn-BA"/>
        </w:rPr>
        <w:t>накнада</w:t>
      </w:r>
      <w:r w:rsidR="003F78C9" w:rsidRPr="00295637">
        <w:rPr>
          <w:rFonts w:ascii="Times New Roman" w:hAnsi="Times New Roman"/>
          <w:lang w:val="bs-Latn-BA"/>
        </w:rPr>
        <w:t xml:space="preserve"> </w:t>
      </w:r>
      <w:r>
        <w:rPr>
          <w:rFonts w:ascii="Times New Roman" w:hAnsi="Times New Roman"/>
          <w:lang w:val="bs-Latn-BA"/>
        </w:rPr>
        <w:t>по</w:t>
      </w:r>
      <w:r w:rsidR="003F78C9" w:rsidRPr="00295637">
        <w:rPr>
          <w:rFonts w:ascii="Times New Roman" w:hAnsi="Times New Roman"/>
          <w:lang w:val="bs-Latn-BA"/>
        </w:rPr>
        <w:t xml:space="preserve"> </w:t>
      </w:r>
      <w:r>
        <w:rPr>
          <w:rFonts w:ascii="Times New Roman" w:hAnsi="Times New Roman"/>
          <w:lang w:val="bs-Latn-BA"/>
        </w:rPr>
        <w:t>основу</w:t>
      </w:r>
      <w:r w:rsidR="003F78C9" w:rsidRPr="00295637">
        <w:rPr>
          <w:rFonts w:ascii="Times New Roman" w:hAnsi="Times New Roman"/>
          <w:lang w:val="bs-Latn-BA"/>
        </w:rPr>
        <w:t xml:space="preserve"> </w:t>
      </w:r>
      <w:r>
        <w:rPr>
          <w:rFonts w:ascii="Times New Roman" w:hAnsi="Times New Roman"/>
          <w:lang w:val="bs-Latn-BA"/>
        </w:rPr>
        <w:t>статуса</w:t>
      </w:r>
      <w:r w:rsidR="003F78C9" w:rsidRPr="00295637">
        <w:rPr>
          <w:rFonts w:ascii="Times New Roman" w:hAnsi="Times New Roman"/>
          <w:lang w:val="bs-Latn-BA"/>
        </w:rPr>
        <w:t xml:space="preserve">. </w:t>
      </w:r>
      <w:r>
        <w:rPr>
          <w:rFonts w:ascii="Times New Roman" w:hAnsi="Times New Roman"/>
          <w:lang w:val="bs-Latn-BA"/>
        </w:rPr>
        <w:t>Нешто</w:t>
      </w:r>
      <w:r w:rsidR="003F78C9" w:rsidRPr="00295637">
        <w:rPr>
          <w:rFonts w:ascii="Times New Roman" w:hAnsi="Times New Roman"/>
          <w:lang w:val="bs-Latn-BA"/>
        </w:rPr>
        <w:t xml:space="preserve"> </w:t>
      </w:r>
      <w:r>
        <w:rPr>
          <w:rFonts w:ascii="Times New Roman" w:hAnsi="Times New Roman"/>
          <w:lang w:val="bs-Latn-BA"/>
        </w:rPr>
        <w:t>испод</w:t>
      </w:r>
      <w:r w:rsidR="003F78C9" w:rsidRPr="00295637">
        <w:rPr>
          <w:rFonts w:ascii="Times New Roman" w:hAnsi="Times New Roman"/>
          <w:lang w:val="bs-Latn-BA"/>
        </w:rPr>
        <w:t xml:space="preserve"> 19% </w:t>
      </w:r>
      <w:r>
        <w:rPr>
          <w:rFonts w:ascii="Times New Roman" w:hAnsi="Times New Roman"/>
          <w:lang w:val="bs-Latn-BA"/>
        </w:rPr>
        <w:t>БДП</w:t>
      </w:r>
      <w:r w:rsidR="003F78C9" w:rsidRPr="00295637">
        <w:rPr>
          <w:rFonts w:ascii="Times New Roman" w:hAnsi="Times New Roman"/>
          <w:lang w:val="bs-Latn-BA"/>
        </w:rPr>
        <w:t>-</w:t>
      </w:r>
      <w:r>
        <w:rPr>
          <w:rFonts w:ascii="Times New Roman" w:hAnsi="Times New Roman"/>
          <w:lang w:val="bs-Latn-BA"/>
        </w:rPr>
        <w:t>а</w:t>
      </w:r>
      <w:r w:rsidR="003F78C9" w:rsidRPr="00295637">
        <w:rPr>
          <w:rFonts w:ascii="Times New Roman" w:hAnsi="Times New Roman"/>
          <w:lang w:val="bs-Latn-BA"/>
        </w:rPr>
        <w:t xml:space="preserve"> </w:t>
      </w:r>
      <w:r>
        <w:rPr>
          <w:rFonts w:ascii="Times New Roman" w:hAnsi="Times New Roman"/>
          <w:lang w:val="bs-Latn-BA"/>
        </w:rPr>
        <w:t>се</w:t>
      </w:r>
      <w:r w:rsidR="00E34075" w:rsidRPr="00295637">
        <w:rPr>
          <w:rFonts w:ascii="Times New Roman" w:hAnsi="Times New Roman"/>
          <w:lang w:val="bs-Latn-BA"/>
        </w:rPr>
        <w:t xml:space="preserve"> </w:t>
      </w:r>
      <w:r>
        <w:rPr>
          <w:rFonts w:ascii="Times New Roman" w:hAnsi="Times New Roman"/>
          <w:lang w:val="bs-Latn-BA"/>
        </w:rPr>
        <w:t>троши</w:t>
      </w:r>
      <w:r w:rsidR="00E34075" w:rsidRPr="00295637">
        <w:rPr>
          <w:rFonts w:ascii="Times New Roman" w:hAnsi="Times New Roman"/>
          <w:lang w:val="bs-Latn-BA"/>
        </w:rPr>
        <w:t xml:space="preserve"> </w:t>
      </w:r>
      <w:r>
        <w:rPr>
          <w:rFonts w:ascii="Times New Roman" w:hAnsi="Times New Roman"/>
          <w:lang w:val="bs-Latn-BA"/>
        </w:rPr>
        <w:t>на</w:t>
      </w:r>
      <w:r w:rsidR="003F78C9" w:rsidRPr="00295637">
        <w:rPr>
          <w:rFonts w:ascii="Times New Roman" w:hAnsi="Times New Roman"/>
          <w:lang w:val="bs-Latn-BA"/>
        </w:rPr>
        <w:t xml:space="preserve"> </w:t>
      </w:r>
      <w:r>
        <w:rPr>
          <w:rFonts w:ascii="Times New Roman" w:hAnsi="Times New Roman"/>
          <w:lang w:val="bs-Latn-BA"/>
        </w:rPr>
        <w:t>социјалну</w:t>
      </w:r>
      <w:r w:rsidR="003F78C9" w:rsidRPr="00295637">
        <w:rPr>
          <w:rFonts w:ascii="Times New Roman" w:hAnsi="Times New Roman"/>
          <w:lang w:val="bs-Latn-BA"/>
        </w:rPr>
        <w:t xml:space="preserve"> </w:t>
      </w:r>
      <w:r>
        <w:rPr>
          <w:rFonts w:ascii="Times New Roman" w:hAnsi="Times New Roman"/>
          <w:lang w:val="bs-Latn-BA"/>
        </w:rPr>
        <w:t>заштиту</w:t>
      </w:r>
      <w:r w:rsidR="003F78C9" w:rsidRPr="00295637">
        <w:rPr>
          <w:rFonts w:ascii="Times New Roman" w:hAnsi="Times New Roman"/>
          <w:lang w:val="bs-Latn-BA"/>
        </w:rPr>
        <w:t xml:space="preserve"> </w:t>
      </w:r>
      <w:r>
        <w:rPr>
          <w:rFonts w:ascii="Times New Roman" w:hAnsi="Times New Roman"/>
          <w:lang w:val="bs-Latn-BA"/>
        </w:rPr>
        <w:t>и</w:t>
      </w:r>
      <w:r w:rsidR="003F78C9" w:rsidRPr="00295637">
        <w:rPr>
          <w:rFonts w:ascii="Times New Roman" w:hAnsi="Times New Roman"/>
          <w:lang w:val="bs-Latn-BA"/>
        </w:rPr>
        <w:t xml:space="preserve"> </w:t>
      </w:r>
      <w:r>
        <w:rPr>
          <w:rFonts w:ascii="Times New Roman" w:hAnsi="Times New Roman"/>
          <w:lang w:val="bs-Latn-BA"/>
        </w:rPr>
        <w:t>отприлике</w:t>
      </w:r>
      <w:r w:rsidR="003F78C9" w:rsidRPr="00295637">
        <w:rPr>
          <w:rFonts w:ascii="Times New Roman" w:hAnsi="Times New Roman"/>
          <w:lang w:val="bs-Latn-BA"/>
        </w:rPr>
        <w:t xml:space="preserve"> 4% </w:t>
      </w:r>
      <w:r>
        <w:rPr>
          <w:rFonts w:ascii="Times New Roman" w:hAnsi="Times New Roman"/>
          <w:lang w:val="bs-Latn-BA"/>
        </w:rPr>
        <w:t>БДП</w:t>
      </w:r>
      <w:r w:rsidR="003F78C9" w:rsidRPr="00295637">
        <w:rPr>
          <w:rFonts w:ascii="Times New Roman" w:hAnsi="Times New Roman"/>
          <w:lang w:val="bs-Latn-BA"/>
        </w:rPr>
        <w:t>-</w:t>
      </w:r>
      <w:r>
        <w:rPr>
          <w:rFonts w:ascii="Times New Roman" w:hAnsi="Times New Roman"/>
          <w:lang w:val="bs-Latn-BA"/>
        </w:rPr>
        <w:t>а</w:t>
      </w:r>
      <w:r w:rsidR="003F78C9" w:rsidRPr="00295637">
        <w:rPr>
          <w:rFonts w:ascii="Times New Roman" w:hAnsi="Times New Roman"/>
          <w:lang w:val="bs-Latn-BA"/>
        </w:rPr>
        <w:t xml:space="preserve"> </w:t>
      </w:r>
      <w:r>
        <w:rPr>
          <w:rFonts w:ascii="Times New Roman" w:hAnsi="Times New Roman"/>
          <w:lang w:val="bs-Latn-BA"/>
        </w:rPr>
        <w:t>на</w:t>
      </w:r>
      <w:r w:rsidR="003F78C9" w:rsidRPr="00295637">
        <w:rPr>
          <w:rFonts w:ascii="Times New Roman" w:hAnsi="Times New Roman"/>
          <w:lang w:val="bs-Latn-BA"/>
        </w:rPr>
        <w:t xml:space="preserve"> </w:t>
      </w:r>
      <w:r>
        <w:rPr>
          <w:rFonts w:ascii="Times New Roman" w:hAnsi="Times New Roman"/>
          <w:lang w:val="bs-Latn-BA"/>
        </w:rPr>
        <w:t>социјална</w:t>
      </w:r>
      <w:r w:rsidR="003F78C9" w:rsidRPr="00295637">
        <w:rPr>
          <w:rFonts w:ascii="Times New Roman" w:hAnsi="Times New Roman"/>
          <w:lang w:val="bs-Latn-BA"/>
        </w:rPr>
        <w:t xml:space="preserve"> </w:t>
      </w:r>
      <w:r>
        <w:rPr>
          <w:rFonts w:ascii="Times New Roman" w:hAnsi="Times New Roman"/>
          <w:lang w:val="bs-Latn-BA"/>
        </w:rPr>
        <w:t>давања</w:t>
      </w:r>
      <w:r w:rsidR="003F78C9" w:rsidRPr="00295637">
        <w:rPr>
          <w:rFonts w:ascii="Times New Roman" w:hAnsi="Times New Roman"/>
          <w:lang w:val="bs-Latn-BA"/>
        </w:rPr>
        <w:t xml:space="preserve">. </w:t>
      </w:r>
      <w:r>
        <w:rPr>
          <w:rFonts w:ascii="Times New Roman" w:hAnsi="Times New Roman"/>
          <w:lang w:val="bs-Latn-BA"/>
        </w:rPr>
        <w:t>Велики</w:t>
      </w:r>
      <w:r w:rsidR="003F78C9" w:rsidRPr="00295637">
        <w:rPr>
          <w:rFonts w:ascii="Times New Roman" w:hAnsi="Times New Roman"/>
          <w:lang w:val="bs-Latn-BA"/>
        </w:rPr>
        <w:t xml:space="preserve"> </w:t>
      </w:r>
      <w:r>
        <w:rPr>
          <w:rFonts w:ascii="Times New Roman" w:hAnsi="Times New Roman"/>
          <w:lang w:val="bs-Latn-BA"/>
        </w:rPr>
        <w:t>број</w:t>
      </w:r>
      <w:r w:rsidR="003F78C9" w:rsidRPr="00295637">
        <w:rPr>
          <w:rFonts w:ascii="Times New Roman" w:hAnsi="Times New Roman"/>
          <w:lang w:val="bs-Latn-BA"/>
        </w:rPr>
        <w:t xml:space="preserve"> </w:t>
      </w:r>
      <w:r>
        <w:rPr>
          <w:rFonts w:ascii="Times New Roman" w:hAnsi="Times New Roman"/>
          <w:lang w:val="bs-Latn-BA"/>
        </w:rPr>
        <w:t>ових</w:t>
      </w:r>
      <w:r w:rsidR="003F78C9" w:rsidRPr="00295637">
        <w:rPr>
          <w:rFonts w:ascii="Times New Roman" w:hAnsi="Times New Roman"/>
          <w:lang w:val="bs-Latn-BA"/>
        </w:rPr>
        <w:t xml:space="preserve"> </w:t>
      </w:r>
      <w:r>
        <w:rPr>
          <w:rFonts w:ascii="Times New Roman" w:hAnsi="Times New Roman"/>
          <w:lang w:val="bs-Latn-BA"/>
        </w:rPr>
        <w:t>мјера</w:t>
      </w:r>
      <w:r w:rsidR="003F78C9" w:rsidRPr="00295637">
        <w:rPr>
          <w:rFonts w:ascii="Times New Roman" w:hAnsi="Times New Roman"/>
          <w:lang w:val="bs-Latn-BA"/>
        </w:rPr>
        <w:t xml:space="preserve"> </w:t>
      </w:r>
      <w:r>
        <w:rPr>
          <w:rFonts w:ascii="Times New Roman" w:hAnsi="Times New Roman"/>
          <w:lang w:val="bs-Latn-BA"/>
        </w:rPr>
        <w:t>стављају</w:t>
      </w:r>
      <w:r w:rsidR="003F78C9" w:rsidRPr="00295637">
        <w:rPr>
          <w:rFonts w:ascii="Times New Roman" w:hAnsi="Times New Roman"/>
          <w:lang w:val="bs-Latn-BA"/>
        </w:rPr>
        <w:t xml:space="preserve"> </w:t>
      </w:r>
      <w:r>
        <w:rPr>
          <w:rFonts w:ascii="Times New Roman" w:hAnsi="Times New Roman"/>
          <w:lang w:val="bs-Latn-BA"/>
        </w:rPr>
        <w:t>фокус</w:t>
      </w:r>
      <w:r w:rsidR="003F78C9" w:rsidRPr="00295637">
        <w:rPr>
          <w:rFonts w:ascii="Times New Roman" w:hAnsi="Times New Roman"/>
          <w:lang w:val="bs-Latn-BA"/>
        </w:rPr>
        <w:t xml:space="preserve"> </w:t>
      </w:r>
      <w:r>
        <w:rPr>
          <w:rFonts w:ascii="Times New Roman" w:hAnsi="Times New Roman"/>
          <w:lang w:val="bs-Latn-BA"/>
        </w:rPr>
        <w:t>на</w:t>
      </w:r>
      <w:r w:rsidR="003F78C9" w:rsidRPr="00295637">
        <w:rPr>
          <w:rFonts w:ascii="Times New Roman" w:hAnsi="Times New Roman"/>
          <w:lang w:val="bs-Latn-BA"/>
        </w:rPr>
        <w:t xml:space="preserve"> </w:t>
      </w:r>
      <w:r>
        <w:rPr>
          <w:rFonts w:ascii="Times New Roman" w:hAnsi="Times New Roman"/>
          <w:lang w:val="bs-Latn-BA"/>
        </w:rPr>
        <w:t>жене</w:t>
      </w:r>
      <w:r w:rsidR="008F6871" w:rsidRPr="00295637">
        <w:rPr>
          <w:rFonts w:ascii="Times New Roman" w:hAnsi="Times New Roman"/>
          <w:lang w:val="bs-Latn-BA"/>
        </w:rPr>
        <w:t>,</w:t>
      </w:r>
      <w:r w:rsidR="003F78C9" w:rsidRPr="00295637">
        <w:rPr>
          <w:rFonts w:ascii="Times New Roman" w:hAnsi="Times New Roman"/>
          <w:lang w:val="bs-Latn-BA"/>
        </w:rPr>
        <w:t xml:space="preserve"> </w:t>
      </w:r>
      <w:r>
        <w:rPr>
          <w:rFonts w:ascii="Times New Roman" w:hAnsi="Times New Roman"/>
          <w:lang w:val="bs-Latn-BA"/>
        </w:rPr>
        <w:t>односно</w:t>
      </w:r>
      <w:r w:rsidR="003F78C9" w:rsidRPr="00295637">
        <w:rPr>
          <w:rFonts w:ascii="Times New Roman" w:hAnsi="Times New Roman"/>
          <w:lang w:val="bs-Latn-BA"/>
        </w:rPr>
        <w:t xml:space="preserve"> </w:t>
      </w:r>
      <w:r>
        <w:rPr>
          <w:rFonts w:ascii="Times New Roman" w:hAnsi="Times New Roman"/>
          <w:lang w:val="bs-Latn-BA"/>
        </w:rPr>
        <w:t>породице</w:t>
      </w:r>
      <w:r w:rsidR="00813F15">
        <w:rPr>
          <w:rFonts w:ascii="Times New Roman" w:hAnsi="Times New Roman"/>
          <w:lang w:val="bs-Latn-BA"/>
        </w:rPr>
        <w:t xml:space="preserve"> </w:t>
      </w:r>
      <w:r>
        <w:rPr>
          <w:rFonts w:ascii="Times New Roman" w:hAnsi="Times New Roman"/>
          <w:lang w:val="bs-Latn-BA"/>
        </w:rPr>
        <w:t>са</w:t>
      </w:r>
      <w:r w:rsidR="003F78C9" w:rsidRPr="00295637">
        <w:rPr>
          <w:rFonts w:ascii="Times New Roman" w:hAnsi="Times New Roman"/>
          <w:lang w:val="bs-Latn-BA"/>
        </w:rPr>
        <w:t xml:space="preserve"> </w:t>
      </w:r>
      <w:r>
        <w:rPr>
          <w:rFonts w:ascii="Times New Roman" w:hAnsi="Times New Roman"/>
          <w:lang w:val="bs-Latn-BA"/>
        </w:rPr>
        <w:t>дјецом</w:t>
      </w:r>
      <w:r w:rsidR="008F6871" w:rsidRPr="00295637">
        <w:rPr>
          <w:rFonts w:ascii="Times New Roman" w:hAnsi="Times New Roman"/>
          <w:lang w:val="bs-Latn-BA"/>
        </w:rPr>
        <w:t xml:space="preserve">, </w:t>
      </w:r>
      <w:r>
        <w:rPr>
          <w:rFonts w:ascii="Times New Roman" w:hAnsi="Times New Roman"/>
          <w:lang w:val="bs-Latn-BA"/>
        </w:rPr>
        <w:t>као</w:t>
      </w:r>
      <w:r w:rsidR="008F6871" w:rsidRPr="00295637">
        <w:rPr>
          <w:rFonts w:ascii="Times New Roman" w:hAnsi="Times New Roman"/>
          <w:lang w:val="bs-Latn-BA"/>
        </w:rPr>
        <w:t xml:space="preserve"> </w:t>
      </w:r>
      <w:r>
        <w:rPr>
          <w:rFonts w:ascii="Times New Roman" w:hAnsi="Times New Roman"/>
          <w:lang w:val="bs-Latn-BA"/>
        </w:rPr>
        <w:t>кориснике</w:t>
      </w:r>
      <w:r w:rsidR="008F6871" w:rsidRPr="00295637">
        <w:rPr>
          <w:rFonts w:ascii="Times New Roman" w:hAnsi="Times New Roman"/>
          <w:lang w:val="bs-Latn-BA"/>
        </w:rPr>
        <w:t xml:space="preserve"> </w:t>
      </w:r>
      <w:r>
        <w:rPr>
          <w:rFonts w:ascii="Times New Roman" w:hAnsi="Times New Roman"/>
          <w:lang w:val="bs-Latn-BA"/>
        </w:rPr>
        <w:t>средстава</w:t>
      </w:r>
      <w:r w:rsidR="008F6871" w:rsidRPr="00295637">
        <w:rPr>
          <w:rFonts w:ascii="Times New Roman" w:hAnsi="Times New Roman"/>
          <w:lang w:val="bs-Latn-BA"/>
        </w:rPr>
        <w:t xml:space="preserve"> </w:t>
      </w:r>
      <w:r>
        <w:rPr>
          <w:rFonts w:ascii="Times New Roman" w:hAnsi="Times New Roman"/>
          <w:lang w:val="bs-Latn-BA"/>
        </w:rPr>
        <w:t>при</w:t>
      </w:r>
      <w:r w:rsidR="008F6871" w:rsidRPr="00295637">
        <w:rPr>
          <w:rFonts w:ascii="Times New Roman" w:hAnsi="Times New Roman"/>
          <w:lang w:val="bs-Latn-BA"/>
        </w:rPr>
        <w:t xml:space="preserve"> </w:t>
      </w:r>
      <w:r>
        <w:rPr>
          <w:rFonts w:ascii="Times New Roman" w:hAnsi="Times New Roman"/>
          <w:lang w:val="bs-Latn-BA"/>
        </w:rPr>
        <w:t>чему</w:t>
      </w:r>
      <w:r w:rsidR="008F6871" w:rsidRPr="00295637">
        <w:rPr>
          <w:rFonts w:ascii="Times New Roman" w:hAnsi="Times New Roman"/>
          <w:lang w:val="bs-Latn-BA"/>
        </w:rPr>
        <w:t xml:space="preserve"> </w:t>
      </w:r>
      <w:r>
        <w:rPr>
          <w:rFonts w:ascii="Times New Roman" w:hAnsi="Times New Roman"/>
          <w:lang w:val="bs-Latn-BA"/>
        </w:rPr>
        <w:t>се</w:t>
      </w:r>
      <w:r w:rsidR="008F6871" w:rsidRPr="00295637">
        <w:rPr>
          <w:rFonts w:ascii="Times New Roman" w:hAnsi="Times New Roman"/>
          <w:lang w:val="bs-Latn-BA"/>
        </w:rPr>
        <w:t xml:space="preserve"> </w:t>
      </w:r>
      <w:r>
        <w:rPr>
          <w:rFonts w:ascii="Times New Roman" w:hAnsi="Times New Roman"/>
          <w:lang w:val="bs-Latn-BA"/>
        </w:rPr>
        <w:t>законски</w:t>
      </w:r>
      <w:r w:rsidR="003F78C9" w:rsidRPr="00295637">
        <w:rPr>
          <w:rFonts w:ascii="Times New Roman" w:hAnsi="Times New Roman"/>
          <w:lang w:val="bs-Latn-BA"/>
        </w:rPr>
        <w:t xml:space="preserve"> </w:t>
      </w:r>
      <w:r>
        <w:rPr>
          <w:rFonts w:ascii="Times New Roman" w:hAnsi="Times New Roman"/>
          <w:lang w:val="bs-Latn-BA"/>
        </w:rPr>
        <w:t>оквир</w:t>
      </w:r>
      <w:r w:rsidR="003F78C9" w:rsidRPr="00295637">
        <w:rPr>
          <w:rFonts w:ascii="Times New Roman" w:hAnsi="Times New Roman"/>
          <w:lang w:val="bs-Latn-BA"/>
        </w:rPr>
        <w:t xml:space="preserve"> </w:t>
      </w:r>
      <w:r>
        <w:rPr>
          <w:rFonts w:ascii="Times New Roman" w:hAnsi="Times New Roman"/>
          <w:lang w:val="bs-Latn-BA"/>
        </w:rPr>
        <w:t>о</w:t>
      </w:r>
      <w:r w:rsidR="003F78C9" w:rsidRPr="00295637">
        <w:rPr>
          <w:rFonts w:ascii="Times New Roman" w:hAnsi="Times New Roman"/>
          <w:lang w:val="bs-Latn-BA"/>
        </w:rPr>
        <w:t xml:space="preserve"> </w:t>
      </w:r>
      <w:r>
        <w:rPr>
          <w:rFonts w:ascii="Times New Roman" w:hAnsi="Times New Roman"/>
          <w:lang w:val="bs-Latn-BA"/>
        </w:rPr>
        <w:t>материјалној</w:t>
      </w:r>
      <w:r w:rsidR="003F78C9" w:rsidRPr="00295637">
        <w:rPr>
          <w:rFonts w:ascii="Times New Roman" w:hAnsi="Times New Roman"/>
          <w:lang w:val="bs-Latn-BA"/>
        </w:rPr>
        <w:t xml:space="preserve"> </w:t>
      </w:r>
      <w:r>
        <w:rPr>
          <w:rFonts w:ascii="Times New Roman" w:hAnsi="Times New Roman"/>
          <w:lang w:val="bs-Latn-BA"/>
        </w:rPr>
        <w:t>подршци</w:t>
      </w:r>
      <w:r w:rsidR="003F78C9" w:rsidRPr="00295637">
        <w:rPr>
          <w:rFonts w:ascii="Times New Roman" w:hAnsi="Times New Roman"/>
          <w:lang w:val="bs-Latn-BA"/>
        </w:rPr>
        <w:t xml:space="preserve"> </w:t>
      </w:r>
      <w:r>
        <w:rPr>
          <w:rFonts w:ascii="Times New Roman" w:hAnsi="Times New Roman"/>
          <w:lang w:val="bs-Latn-BA"/>
        </w:rPr>
        <w:t>породицама</w:t>
      </w:r>
      <w:r w:rsidR="003F78C9" w:rsidRPr="00295637">
        <w:rPr>
          <w:rFonts w:ascii="Times New Roman" w:hAnsi="Times New Roman"/>
          <w:lang w:val="bs-Latn-BA"/>
        </w:rPr>
        <w:t xml:space="preserve"> </w:t>
      </w:r>
      <w:r>
        <w:rPr>
          <w:rFonts w:ascii="Times New Roman" w:hAnsi="Times New Roman"/>
          <w:lang w:val="bs-Latn-BA"/>
        </w:rPr>
        <w:t>са</w:t>
      </w:r>
      <w:r w:rsidR="003F78C9" w:rsidRPr="00295637">
        <w:rPr>
          <w:rFonts w:ascii="Times New Roman" w:hAnsi="Times New Roman"/>
          <w:lang w:val="bs-Latn-BA"/>
        </w:rPr>
        <w:t xml:space="preserve"> </w:t>
      </w:r>
      <w:r>
        <w:rPr>
          <w:rFonts w:ascii="Times New Roman" w:hAnsi="Times New Roman"/>
          <w:lang w:val="bs-Latn-BA"/>
        </w:rPr>
        <w:t>дјецом</w:t>
      </w:r>
      <w:r w:rsidR="003F78C9" w:rsidRPr="00295637">
        <w:rPr>
          <w:rFonts w:ascii="Times New Roman" w:hAnsi="Times New Roman"/>
          <w:lang w:val="bs-Latn-BA"/>
        </w:rPr>
        <w:t xml:space="preserve"> </w:t>
      </w:r>
      <w:r>
        <w:rPr>
          <w:rFonts w:ascii="Times New Roman" w:hAnsi="Times New Roman"/>
          <w:lang w:val="bs-Latn-BA"/>
        </w:rPr>
        <w:t>разликује</w:t>
      </w:r>
      <w:r w:rsidR="003F78C9" w:rsidRPr="00295637">
        <w:rPr>
          <w:rFonts w:ascii="Times New Roman" w:hAnsi="Times New Roman"/>
          <w:lang w:val="bs-Latn-BA"/>
        </w:rPr>
        <w:t xml:space="preserve"> </w:t>
      </w:r>
      <w:r>
        <w:rPr>
          <w:rFonts w:ascii="Times New Roman" w:hAnsi="Times New Roman"/>
          <w:lang w:val="bs-Latn-BA"/>
        </w:rPr>
        <w:t>између</w:t>
      </w:r>
      <w:r w:rsidR="003F78C9" w:rsidRPr="00295637">
        <w:rPr>
          <w:rFonts w:ascii="Times New Roman" w:hAnsi="Times New Roman"/>
          <w:lang w:val="bs-Latn-BA"/>
        </w:rPr>
        <w:t xml:space="preserve"> </w:t>
      </w:r>
      <w:r>
        <w:rPr>
          <w:rFonts w:ascii="Times New Roman" w:hAnsi="Times New Roman"/>
          <w:lang w:val="bs-Latn-BA"/>
        </w:rPr>
        <w:t>два</w:t>
      </w:r>
      <w:r w:rsidR="003F78C9" w:rsidRPr="00295637">
        <w:rPr>
          <w:rFonts w:ascii="Times New Roman" w:hAnsi="Times New Roman"/>
          <w:lang w:val="bs-Latn-BA"/>
        </w:rPr>
        <w:t xml:space="preserve"> </w:t>
      </w:r>
      <w:r>
        <w:rPr>
          <w:rFonts w:ascii="Times New Roman" w:hAnsi="Times New Roman"/>
          <w:lang w:val="bs-Latn-BA"/>
        </w:rPr>
        <w:t>босанскохерцеговачка</w:t>
      </w:r>
      <w:r w:rsidR="003F78C9" w:rsidRPr="00295637">
        <w:rPr>
          <w:rFonts w:ascii="Times New Roman" w:hAnsi="Times New Roman"/>
          <w:lang w:val="bs-Latn-BA"/>
        </w:rPr>
        <w:t xml:space="preserve"> </w:t>
      </w:r>
      <w:r>
        <w:rPr>
          <w:rFonts w:ascii="Times New Roman" w:hAnsi="Times New Roman"/>
          <w:lang w:val="bs-Latn-BA"/>
        </w:rPr>
        <w:t>ентитета</w:t>
      </w:r>
      <w:r w:rsidR="003C0562" w:rsidRPr="00295637">
        <w:rPr>
          <w:rFonts w:ascii="Times New Roman" w:hAnsi="Times New Roman"/>
          <w:lang w:val="bs-Latn-BA"/>
        </w:rPr>
        <w:t xml:space="preserve">. </w:t>
      </w:r>
      <w:r>
        <w:rPr>
          <w:rFonts w:ascii="Times New Roman" w:hAnsi="Times New Roman"/>
          <w:szCs w:val="24"/>
          <w:lang w:val="bs-Latn-BA"/>
        </w:rPr>
        <w:t>Корисници</w:t>
      </w:r>
      <w:r w:rsidR="008F6871" w:rsidRPr="00295637">
        <w:rPr>
          <w:rFonts w:ascii="Times New Roman" w:hAnsi="Times New Roman"/>
          <w:szCs w:val="24"/>
          <w:lang w:val="bs-Latn-BA"/>
        </w:rPr>
        <w:t>/</w:t>
      </w:r>
      <w:r>
        <w:rPr>
          <w:rFonts w:ascii="Times New Roman" w:hAnsi="Times New Roman"/>
          <w:szCs w:val="24"/>
          <w:lang w:val="bs-Latn-BA"/>
        </w:rPr>
        <w:t>це</w:t>
      </w:r>
      <w:r w:rsidR="008F6871" w:rsidRPr="00295637">
        <w:rPr>
          <w:rFonts w:ascii="Times New Roman" w:hAnsi="Times New Roman"/>
          <w:szCs w:val="24"/>
          <w:lang w:val="bs-Latn-BA"/>
        </w:rPr>
        <w:t xml:space="preserve"> </w:t>
      </w:r>
      <w:r>
        <w:rPr>
          <w:rFonts w:ascii="Times New Roman" w:hAnsi="Times New Roman"/>
          <w:szCs w:val="24"/>
          <w:lang w:val="bs-Latn-BA"/>
        </w:rPr>
        <w:t>социјалне</w:t>
      </w:r>
      <w:r w:rsidR="008F6871" w:rsidRPr="00295637">
        <w:rPr>
          <w:rFonts w:ascii="Times New Roman" w:hAnsi="Times New Roman"/>
          <w:szCs w:val="24"/>
          <w:lang w:val="bs-Latn-BA"/>
        </w:rPr>
        <w:t xml:space="preserve"> </w:t>
      </w:r>
      <w:r>
        <w:rPr>
          <w:rFonts w:ascii="Times New Roman" w:hAnsi="Times New Roman"/>
          <w:szCs w:val="24"/>
          <w:lang w:val="bs-Latn-BA"/>
        </w:rPr>
        <w:t>заштите</w:t>
      </w:r>
      <w:r w:rsidR="008F6871" w:rsidRPr="00295637">
        <w:rPr>
          <w:rFonts w:ascii="Times New Roman" w:hAnsi="Times New Roman"/>
          <w:szCs w:val="24"/>
          <w:lang w:val="bs-Latn-BA"/>
        </w:rPr>
        <w:t xml:space="preserve"> </w:t>
      </w:r>
      <w:r>
        <w:rPr>
          <w:rFonts w:ascii="Times New Roman" w:hAnsi="Times New Roman"/>
          <w:szCs w:val="24"/>
          <w:lang w:val="bs-Latn-BA"/>
        </w:rPr>
        <w:t>остварују</w:t>
      </w:r>
      <w:r w:rsidR="003C0562" w:rsidRPr="00295637">
        <w:rPr>
          <w:rFonts w:ascii="Times New Roman" w:hAnsi="Times New Roman"/>
          <w:szCs w:val="24"/>
          <w:lang w:val="bs-Latn-BA"/>
        </w:rPr>
        <w:t xml:space="preserve"> </w:t>
      </w:r>
      <w:r>
        <w:rPr>
          <w:rFonts w:ascii="Times New Roman" w:hAnsi="Times New Roman"/>
          <w:szCs w:val="24"/>
          <w:lang w:val="bs-Latn-BA"/>
        </w:rPr>
        <w:t>разне</w:t>
      </w:r>
      <w:r w:rsidR="003C0562" w:rsidRPr="00295637">
        <w:rPr>
          <w:rFonts w:ascii="Times New Roman" w:hAnsi="Times New Roman"/>
          <w:szCs w:val="24"/>
          <w:lang w:val="bs-Latn-BA"/>
        </w:rPr>
        <w:t xml:space="preserve"> </w:t>
      </w:r>
      <w:r>
        <w:rPr>
          <w:rFonts w:ascii="Times New Roman" w:hAnsi="Times New Roman"/>
          <w:szCs w:val="24"/>
          <w:lang w:val="bs-Latn-BA"/>
        </w:rPr>
        <w:t>облике</w:t>
      </w:r>
      <w:r w:rsidR="003C0562" w:rsidRPr="00295637">
        <w:rPr>
          <w:rFonts w:ascii="Times New Roman" w:hAnsi="Times New Roman"/>
          <w:szCs w:val="24"/>
          <w:lang w:val="bs-Latn-BA"/>
        </w:rPr>
        <w:t xml:space="preserve"> </w:t>
      </w:r>
      <w:r>
        <w:rPr>
          <w:rFonts w:ascii="Times New Roman" w:hAnsi="Times New Roman"/>
          <w:szCs w:val="24"/>
          <w:lang w:val="bs-Latn-BA"/>
        </w:rPr>
        <w:t>подршке</w:t>
      </w:r>
      <w:r w:rsidR="008F6871" w:rsidRPr="00295637">
        <w:rPr>
          <w:rFonts w:ascii="Times New Roman" w:hAnsi="Times New Roman"/>
          <w:szCs w:val="24"/>
          <w:lang w:val="bs-Latn-BA"/>
        </w:rPr>
        <w:t>,</w:t>
      </w:r>
      <w:r w:rsidR="003C0562" w:rsidRPr="00295637">
        <w:rPr>
          <w:rFonts w:ascii="Times New Roman" w:hAnsi="Times New Roman"/>
          <w:szCs w:val="24"/>
          <w:lang w:val="bs-Latn-BA"/>
        </w:rPr>
        <w:t xml:space="preserve"> </w:t>
      </w:r>
      <w:r>
        <w:rPr>
          <w:rFonts w:ascii="Times New Roman" w:hAnsi="Times New Roman"/>
          <w:szCs w:val="24"/>
          <w:lang w:val="bs-Latn-BA"/>
        </w:rPr>
        <w:t>као</w:t>
      </w:r>
      <w:r w:rsidR="003C0562" w:rsidRPr="00295637">
        <w:rPr>
          <w:rFonts w:ascii="Times New Roman" w:hAnsi="Times New Roman"/>
          <w:szCs w:val="24"/>
          <w:lang w:val="bs-Latn-BA"/>
        </w:rPr>
        <w:t xml:space="preserve"> </w:t>
      </w:r>
      <w:r>
        <w:rPr>
          <w:rFonts w:ascii="Times New Roman" w:hAnsi="Times New Roman"/>
          <w:szCs w:val="24"/>
          <w:lang w:val="bs-Latn-BA"/>
        </w:rPr>
        <w:t>што</w:t>
      </w:r>
      <w:r w:rsidR="003C0562" w:rsidRPr="00295637">
        <w:rPr>
          <w:rFonts w:ascii="Times New Roman" w:hAnsi="Times New Roman"/>
          <w:szCs w:val="24"/>
          <w:lang w:val="bs-Latn-BA"/>
        </w:rPr>
        <w:t xml:space="preserve"> </w:t>
      </w:r>
      <w:r>
        <w:rPr>
          <w:rFonts w:ascii="Times New Roman" w:hAnsi="Times New Roman"/>
          <w:szCs w:val="24"/>
          <w:lang w:val="bs-Latn-BA"/>
        </w:rPr>
        <w:t>су</w:t>
      </w:r>
      <w:r w:rsidR="008F6871" w:rsidRPr="00295637">
        <w:rPr>
          <w:rFonts w:ascii="Times New Roman" w:hAnsi="Times New Roman"/>
          <w:szCs w:val="24"/>
          <w:lang w:val="bs-Latn-BA"/>
        </w:rPr>
        <w:t>:</w:t>
      </w:r>
      <w:r w:rsidR="003C0562" w:rsidRPr="00295637">
        <w:rPr>
          <w:rFonts w:ascii="Times New Roman" w:hAnsi="Times New Roman"/>
          <w:szCs w:val="24"/>
          <w:lang w:val="bs-Latn-BA"/>
        </w:rPr>
        <w:t xml:space="preserve"> </w:t>
      </w:r>
      <w:r>
        <w:rPr>
          <w:rFonts w:ascii="Times New Roman" w:hAnsi="Times New Roman"/>
          <w:szCs w:val="24"/>
          <w:lang w:val="bs-Latn-BA"/>
        </w:rPr>
        <w:t>додатак</w:t>
      </w:r>
      <w:r w:rsidR="003C0562" w:rsidRPr="00295637">
        <w:rPr>
          <w:rFonts w:ascii="Times New Roman" w:hAnsi="Times New Roman"/>
          <w:szCs w:val="24"/>
          <w:lang w:val="bs-Latn-BA"/>
        </w:rPr>
        <w:t xml:space="preserve"> </w:t>
      </w:r>
      <w:r>
        <w:rPr>
          <w:rFonts w:ascii="Times New Roman" w:hAnsi="Times New Roman"/>
          <w:szCs w:val="24"/>
          <w:lang w:val="bs-Latn-BA"/>
        </w:rPr>
        <w:t>за</w:t>
      </w:r>
      <w:r w:rsidR="003C0562" w:rsidRPr="00295637">
        <w:rPr>
          <w:rFonts w:ascii="Times New Roman" w:hAnsi="Times New Roman"/>
          <w:szCs w:val="24"/>
          <w:lang w:val="bs-Latn-BA"/>
        </w:rPr>
        <w:t xml:space="preserve"> </w:t>
      </w:r>
      <w:r>
        <w:rPr>
          <w:rFonts w:ascii="Times New Roman" w:hAnsi="Times New Roman"/>
          <w:szCs w:val="24"/>
          <w:lang w:val="bs-Latn-BA"/>
        </w:rPr>
        <w:t>помоћ</w:t>
      </w:r>
      <w:r w:rsidR="003C0562" w:rsidRPr="00295637">
        <w:rPr>
          <w:rFonts w:ascii="Times New Roman" w:hAnsi="Times New Roman"/>
          <w:szCs w:val="24"/>
          <w:lang w:val="bs-Latn-BA"/>
        </w:rPr>
        <w:t xml:space="preserve"> </w:t>
      </w:r>
      <w:r>
        <w:rPr>
          <w:rFonts w:ascii="Times New Roman" w:hAnsi="Times New Roman"/>
          <w:szCs w:val="24"/>
          <w:lang w:val="bs-Latn-BA"/>
        </w:rPr>
        <w:t>и</w:t>
      </w:r>
      <w:r w:rsidR="003C0562" w:rsidRPr="00295637">
        <w:rPr>
          <w:rFonts w:ascii="Times New Roman" w:hAnsi="Times New Roman"/>
          <w:szCs w:val="24"/>
          <w:lang w:val="bs-Latn-BA"/>
        </w:rPr>
        <w:t xml:space="preserve"> </w:t>
      </w:r>
      <w:r>
        <w:rPr>
          <w:rFonts w:ascii="Times New Roman" w:hAnsi="Times New Roman"/>
          <w:szCs w:val="24"/>
          <w:lang w:val="bs-Latn-BA"/>
        </w:rPr>
        <w:t>његу</w:t>
      </w:r>
      <w:r w:rsidR="003C0562" w:rsidRPr="00295637">
        <w:rPr>
          <w:rFonts w:ascii="Times New Roman" w:hAnsi="Times New Roman"/>
          <w:szCs w:val="24"/>
          <w:lang w:val="bs-Latn-BA"/>
        </w:rPr>
        <w:t xml:space="preserve"> </w:t>
      </w:r>
      <w:r>
        <w:rPr>
          <w:rFonts w:ascii="Times New Roman" w:hAnsi="Times New Roman"/>
          <w:szCs w:val="24"/>
          <w:lang w:val="bs-Latn-BA"/>
        </w:rPr>
        <w:t>другог</w:t>
      </w:r>
      <w:r w:rsidR="003C0562" w:rsidRPr="00295637">
        <w:rPr>
          <w:rFonts w:ascii="Times New Roman" w:hAnsi="Times New Roman"/>
          <w:szCs w:val="24"/>
          <w:lang w:val="bs-Latn-BA"/>
        </w:rPr>
        <w:t xml:space="preserve"> </w:t>
      </w:r>
      <w:r>
        <w:rPr>
          <w:rFonts w:ascii="Times New Roman" w:hAnsi="Times New Roman"/>
          <w:szCs w:val="24"/>
          <w:lang w:val="bs-Latn-BA"/>
        </w:rPr>
        <w:t>лица</w:t>
      </w:r>
      <w:r w:rsidR="003C0562" w:rsidRPr="00295637">
        <w:rPr>
          <w:rFonts w:ascii="Times New Roman" w:hAnsi="Times New Roman"/>
          <w:szCs w:val="24"/>
          <w:lang w:val="bs-Latn-BA"/>
        </w:rPr>
        <w:t xml:space="preserve">, </w:t>
      </w:r>
      <w:r>
        <w:rPr>
          <w:rFonts w:ascii="Times New Roman" w:hAnsi="Times New Roman"/>
          <w:szCs w:val="24"/>
          <w:lang w:val="bs-Latn-BA"/>
        </w:rPr>
        <w:t>лична</w:t>
      </w:r>
      <w:r w:rsidR="003C0562" w:rsidRPr="00295637">
        <w:rPr>
          <w:rFonts w:ascii="Times New Roman" w:hAnsi="Times New Roman"/>
          <w:szCs w:val="24"/>
          <w:lang w:val="bs-Latn-BA"/>
        </w:rPr>
        <w:t xml:space="preserve"> </w:t>
      </w:r>
      <w:r>
        <w:rPr>
          <w:rFonts w:ascii="Times New Roman" w:hAnsi="Times New Roman"/>
          <w:szCs w:val="24"/>
          <w:lang w:val="bs-Latn-BA"/>
        </w:rPr>
        <w:t>инвалиднина</w:t>
      </w:r>
      <w:r w:rsidR="003C0562" w:rsidRPr="00295637">
        <w:rPr>
          <w:rFonts w:ascii="Times New Roman" w:hAnsi="Times New Roman"/>
          <w:szCs w:val="24"/>
          <w:lang w:val="bs-Latn-BA"/>
        </w:rPr>
        <w:t xml:space="preserve">, </w:t>
      </w:r>
      <w:r>
        <w:rPr>
          <w:rFonts w:ascii="Times New Roman" w:hAnsi="Times New Roman"/>
          <w:szCs w:val="24"/>
          <w:lang w:val="bs-Latn-BA"/>
        </w:rPr>
        <w:t>подршка</w:t>
      </w:r>
      <w:r w:rsidR="003C0562" w:rsidRPr="00295637">
        <w:rPr>
          <w:rFonts w:ascii="Times New Roman" w:hAnsi="Times New Roman"/>
          <w:szCs w:val="24"/>
          <w:lang w:val="bs-Latn-BA"/>
        </w:rPr>
        <w:t xml:space="preserve"> </w:t>
      </w:r>
      <w:r>
        <w:rPr>
          <w:rFonts w:ascii="Times New Roman" w:hAnsi="Times New Roman"/>
          <w:szCs w:val="24"/>
          <w:lang w:val="bs-Latn-BA"/>
        </w:rPr>
        <w:t>у</w:t>
      </w:r>
      <w:r w:rsidR="003C0562" w:rsidRPr="00295637">
        <w:rPr>
          <w:rFonts w:ascii="Times New Roman" w:hAnsi="Times New Roman"/>
          <w:szCs w:val="24"/>
          <w:lang w:val="bs-Latn-BA"/>
        </w:rPr>
        <w:t xml:space="preserve"> </w:t>
      </w:r>
      <w:r>
        <w:rPr>
          <w:rFonts w:ascii="Times New Roman" w:hAnsi="Times New Roman"/>
          <w:szCs w:val="24"/>
          <w:lang w:val="bs-Latn-BA"/>
        </w:rPr>
        <w:t>изједначавања</w:t>
      </w:r>
      <w:r w:rsidR="003C0562" w:rsidRPr="00295637">
        <w:rPr>
          <w:rFonts w:ascii="Times New Roman" w:hAnsi="Times New Roman"/>
          <w:szCs w:val="24"/>
          <w:lang w:val="bs-Latn-BA"/>
        </w:rPr>
        <w:t xml:space="preserve"> </w:t>
      </w:r>
      <w:r>
        <w:rPr>
          <w:rFonts w:ascii="Times New Roman" w:hAnsi="Times New Roman"/>
          <w:szCs w:val="24"/>
          <w:lang w:val="bs-Latn-BA"/>
        </w:rPr>
        <w:t>могућности</w:t>
      </w:r>
      <w:r w:rsidR="003C0562" w:rsidRPr="00295637">
        <w:rPr>
          <w:rFonts w:ascii="Times New Roman" w:hAnsi="Times New Roman"/>
          <w:szCs w:val="24"/>
          <w:lang w:val="bs-Latn-BA"/>
        </w:rPr>
        <w:t xml:space="preserve"> </w:t>
      </w:r>
      <w:r>
        <w:rPr>
          <w:rFonts w:ascii="Times New Roman" w:hAnsi="Times New Roman"/>
          <w:szCs w:val="24"/>
          <w:lang w:val="bs-Latn-BA"/>
        </w:rPr>
        <w:t>дјеце</w:t>
      </w:r>
      <w:r w:rsidR="003C0562" w:rsidRPr="00295637">
        <w:rPr>
          <w:rFonts w:ascii="Times New Roman" w:hAnsi="Times New Roman"/>
          <w:szCs w:val="24"/>
          <w:lang w:val="bs-Latn-BA"/>
        </w:rPr>
        <w:t xml:space="preserve"> </w:t>
      </w:r>
      <w:r>
        <w:rPr>
          <w:rFonts w:ascii="Times New Roman" w:hAnsi="Times New Roman"/>
          <w:szCs w:val="24"/>
          <w:lang w:val="bs-Latn-BA"/>
        </w:rPr>
        <w:t>и</w:t>
      </w:r>
      <w:r w:rsidR="003C0562" w:rsidRPr="00295637">
        <w:rPr>
          <w:rFonts w:ascii="Times New Roman" w:hAnsi="Times New Roman"/>
          <w:szCs w:val="24"/>
          <w:lang w:val="bs-Latn-BA"/>
        </w:rPr>
        <w:t xml:space="preserve"> </w:t>
      </w:r>
      <w:r>
        <w:rPr>
          <w:rFonts w:ascii="Times New Roman" w:hAnsi="Times New Roman"/>
          <w:szCs w:val="24"/>
          <w:lang w:val="bs-Latn-BA"/>
        </w:rPr>
        <w:t>омладине</w:t>
      </w:r>
      <w:r w:rsidR="003C0562" w:rsidRPr="00295637">
        <w:rPr>
          <w:rFonts w:ascii="Times New Roman" w:hAnsi="Times New Roman"/>
          <w:szCs w:val="24"/>
          <w:lang w:val="bs-Latn-BA"/>
        </w:rPr>
        <w:t xml:space="preserve"> </w:t>
      </w:r>
      <w:r>
        <w:rPr>
          <w:rFonts w:ascii="Times New Roman" w:hAnsi="Times New Roman"/>
          <w:szCs w:val="24"/>
          <w:lang w:val="bs-Latn-BA"/>
        </w:rPr>
        <w:t>са</w:t>
      </w:r>
      <w:r w:rsidR="003C0562" w:rsidRPr="00295637">
        <w:rPr>
          <w:rFonts w:ascii="Times New Roman" w:hAnsi="Times New Roman"/>
          <w:szCs w:val="24"/>
          <w:lang w:val="bs-Latn-BA"/>
        </w:rPr>
        <w:t xml:space="preserve"> </w:t>
      </w:r>
      <w:r>
        <w:rPr>
          <w:rFonts w:ascii="Times New Roman" w:hAnsi="Times New Roman"/>
          <w:szCs w:val="24"/>
          <w:lang w:val="bs-Latn-BA"/>
        </w:rPr>
        <w:t>сметњама</w:t>
      </w:r>
      <w:r w:rsidR="003C0562" w:rsidRPr="00295637">
        <w:rPr>
          <w:rFonts w:ascii="Times New Roman" w:hAnsi="Times New Roman"/>
          <w:szCs w:val="24"/>
          <w:lang w:val="bs-Latn-BA"/>
        </w:rPr>
        <w:t xml:space="preserve"> </w:t>
      </w:r>
      <w:r>
        <w:rPr>
          <w:rFonts w:ascii="Times New Roman" w:hAnsi="Times New Roman"/>
          <w:szCs w:val="24"/>
          <w:lang w:val="bs-Latn-BA"/>
        </w:rPr>
        <w:t>у</w:t>
      </w:r>
      <w:r w:rsidR="003C0562" w:rsidRPr="00295637">
        <w:rPr>
          <w:rFonts w:ascii="Times New Roman" w:hAnsi="Times New Roman"/>
          <w:szCs w:val="24"/>
          <w:lang w:val="bs-Latn-BA"/>
        </w:rPr>
        <w:t xml:space="preserve"> </w:t>
      </w:r>
      <w:r>
        <w:rPr>
          <w:rFonts w:ascii="Times New Roman" w:hAnsi="Times New Roman"/>
          <w:szCs w:val="24"/>
          <w:lang w:val="bs-Latn-BA"/>
        </w:rPr>
        <w:t>развоју</w:t>
      </w:r>
      <w:r w:rsidR="003C0562" w:rsidRPr="00295637">
        <w:rPr>
          <w:rFonts w:ascii="Times New Roman" w:hAnsi="Times New Roman"/>
          <w:szCs w:val="24"/>
          <w:lang w:val="bs-Latn-BA"/>
        </w:rPr>
        <w:t xml:space="preserve">, </w:t>
      </w:r>
      <w:r>
        <w:rPr>
          <w:rFonts w:ascii="Times New Roman" w:hAnsi="Times New Roman"/>
          <w:szCs w:val="24"/>
          <w:lang w:val="bs-Latn-BA"/>
        </w:rPr>
        <w:t>смјештај</w:t>
      </w:r>
      <w:r w:rsidR="003C0562" w:rsidRPr="00295637">
        <w:rPr>
          <w:rFonts w:ascii="Times New Roman" w:hAnsi="Times New Roman"/>
          <w:szCs w:val="24"/>
          <w:lang w:val="bs-Latn-BA"/>
        </w:rPr>
        <w:t xml:space="preserve"> </w:t>
      </w:r>
      <w:r>
        <w:rPr>
          <w:rFonts w:ascii="Times New Roman" w:hAnsi="Times New Roman"/>
          <w:szCs w:val="24"/>
          <w:lang w:val="bs-Latn-BA"/>
        </w:rPr>
        <w:t>у</w:t>
      </w:r>
      <w:r w:rsidR="003C0562" w:rsidRPr="00295637">
        <w:rPr>
          <w:rFonts w:ascii="Times New Roman" w:hAnsi="Times New Roman"/>
          <w:szCs w:val="24"/>
          <w:lang w:val="bs-Latn-BA"/>
        </w:rPr>
        <w:t xml:space="preserve"> </w:t>
      </w:r>
      <w:r>
        <w:rPr>
          <w:rFonts w:ascii="Times New Roman" w:hAnsi="Times New Roman"/>
          <w:szCs w:val="24"/>
          <w:lang w:val="bs-Latn-BA"/>
        </w:rPr>
        <w:t>установу</w:t>
      </w:r>
      <w:r w:rsidR="003C0562" w:rsidRPr="00295637">
        <w:rPr>
          <w:rFonts w:ascii="Times New Roman" w:hAnsi="Times New Roman"/>
          <w:szCs w:val="24"/>
          <w:lang w:val="bs-Latn-BA"/>
        </w:rPr>
        <w:t xml:space="preserve">, </w:t>
      </w:r>
      <w:r>
        <w:rPr>
          <w:rFonts w:ascii="Times New Roman" w:hAnsi="Times New Roman"/>
          <w:szCs w:val="24"/>
          <w:lang w:val="bs-Latn-BA"/>
        </w:rPr>
        <w:t>збрињавање</w:t>
      </w:r>
      <w:r w:rsidR="003C0562" w:rsidRPr="00295637">
        <w:rPr>
          <w:rFonts w:ascii="Times New Roman" w:hAnsi="Times New Roman"/>
          <w:szCs w:val="24"/>
          <w:lang w:val="bs-Latn-BA"/>
        </w:rPr>
        <w:t xml:space="preserve"> </w:t>
      </w:r>
      <w:r>
        <w:rPr>
          <w:rFonts w:ascii="Times New Roman" w:hAnsi="Times New Roman"/>
          <w:szCs w:val="24"/>
          <w:lang w:val="bs-Latn-BA"/>
        </w:rPr>
        <w:t>у</w:t>
      </w:r>
      <w:r w:rsidR="003C0562" w:rsidRPr="00295637">
        <w:rPr>
          <w:rFonts w:ascii="Times New Roman" w:hAnsi="Times New Roman"/>
          <w:szCs w:val="24"/>
          <w:lang w:val="bs-Latn-BA"/>
        </w:rPr>
        <w:t xml:space="preserve"> </w:t>
      </w:r>
      <w:r>
        <w:rPr>
          <w:rFonts w:ascii="Times New Roman" w:hAnsi="Times New Roman"/>
          <w:szCs w:val="24"/>
          <w:lang w:val="bs-Latn-BA"/>
        </w:rPr>
        <w:t>хранитељску</w:t>
      </w:r>
      <w:r w:rsidR="003C0562" w:rsidRPr="00295637">
        <w:rPr>
          <w:rFonts w:ascii="Times New Roman" w:hAnsi="Times New Roman"/>
          <w:szCs w:val="24"/>
          <w:lang w:val="bs-Latn-BA"/>
        </w:rPr>
        <w:t xml:space="preserve"> </w:t>
      </w:r>
      <w:r>
        <w:rPr>
          <w:rFonts w:ascii="Times New Roman" w:hAnsi="Times New Roman"/>
          <w:szCs w:val="24"/>
          <w:lang w:val="bs-Latn-BA"/>
        </w:rPr>
        <w:t>породицу</w:t>
      </w:r>
      <w:r w:rsidR="003C0562" w:rsidRPr="00295637">
        <w:rPr>
          <w:rFonts w:ascii="Times New Roman" w:hAnsi="Times New Roman"/>
          <w:szCs w:val="24"/>
          <w:lang w:val="bs-Latn-BA"/>
        </w:rPr>
        <w:t xml:space="preserve">, </w:t>
      </w:r>
      <w:r>
        <w:rPr>
          <w:rFonts w:ascii="Times New Roman" w:hAnsi="Times New Roman"/>
          <w:szCs w:val="24"/>
          <w:lang w:val="bs-Latn-BA"/>
        </w:rPr>
        <w:t>помоћ</w:t>
      </w:r>
      <w:r w:rsidR="003C0562" w:rsidRPr="00295637">
        <w:rPr>
          <w:rFonts w:ascii="Times New Roman" w:hAnsi="Times New Roman"/>
          <w:szCs w:val="24"/>
          <w:lang w:val="bs-Latn-BA"/>
        </w:rPr>
        <w:t xml:space="preserve"> </w:t>
      </w:r>
      <w:r>
        <w:rPr>
          <w:rFonts w:ascii="Times New Roman" w:hAnsi="Times New Roman"/>
          <w:szCs w:val="24"/>
          <w:lang w:val="bs-Latn-BA"/>
        </w:rPr>
        <w:t>и</w:t>
      </w:r>
      <w:r w:rsidR="003C0562" w:rsidRPr="00295637">
        <w:rPr>
          <w:rFonts w:ascii="Times New Roman" w:hAnsi="Times New Roman"/>
          <w:szCs w:val="24"/>
          <w:lang w:val="bs-Latn-BA"/>
        </w:rPr>
        <w:t xml:space="preserve"> </w:t>
      </w:r>
      <w:r>
        <w:rPr>
          <w:rFonts w:ascii="Times New Roman" w:hAnsi="Times New Roman"/>
          <w:szCs w:val="24"/>
          <w:lang w:val="bs-Latn-BA"/>
        </w:rPr>
        <w:t>његу</w:t>
      </w:r>
      <w:r w:rsidR="003C0562" w:rsidRPr="00295637">
        <w:rPr>
          <w:rFonts w:ascii="Times New Roman" w:hAnsi="Times New Roman"/>
          <w:szCs w:val="24"/>
          <w:lang w:val="bs-Latn-BA"/>
        </w:rPr>
        <w:t xml:space="preserve"> </w:t>
      </w:r>
      <w:r>
        <w:rPr>
          <w:rFonts w:ascii="Times New Roman" w:hAnsi="Times New Roman"/>
          <w:szCs w:val="24"/>
          <w:lang w:val="bs-Latn-BA"/>
        </w:rPr>
        <w:t>у</w:t>
      </w:r>
      <w:r w:rsidR="003C0562" w:rsidRPr="00295637">
        <w:rPr>
          <w:rFonts w:ascii="Times New Roman" w:hAnsi="Times New Roman"/>
          <w:szCs w:val="24"/>
          <w:lang w:val="bs-Latn-BA"/>
        </w:rPr>
        <w:t xml:space="preserve"> </w:t>
      </w:r>
      <w:r>
        <w:rPr>
          <w:rFonts w:ascii="Times New Roman" w:hAnsi="Times New Roman"/>
          <w:szCs w:val="24"/>
          <w:lang w:val="bs-Latn-BA"/>
        </w:rPr>
        <w:t>кући</w:t>
      </w:r>
      <w:r w:rsidR="003C0562" w:rsidRPr="00295637">
        <w:rPr>
          <w:rFonts w:ascii="Times New Roman" w:hAnsi="Times New Roman"/>
          <w:szCs w:val="24"/>
          <w:lang w:val="bs-Latn-BA"/>
        </w:rPr>
        <w:t xml:space="preserve">, </w:t>
      </w:r>
      <w:r>
        <w:rPr>
          <w:rFonts w:ascii="Times New Roman" w:hAnsi="Times New Roman"/>
          <w:szCs w:val="24"/>
          <w:lang w:val="bs-Latn-BA"/>
        </w:rPr>
        <w:t>дневно</w:t>
      </w:r>
      <w:r w:rsidR="003C0562" w:rsidRPr="00295637">
        <w:rPr>
          <w:rFonts w:ascii="Times New Roman" w:hAnsi="Times New Roman"/>
          <w:szCs w:val="24"/>
          <w:lang w:val="bs-Latn-BA"/>
        </w:rPr>
        <w:t xml:space="preserve"> </w:t>
      </w:r>
      <w:r>
        <w:rPr>
          <w:rFonts w:ascii="Times New Roman" w:hAnsi="Times New Roman"/>
          <w:szCs w:val="24"/>
          <w:lang w:val="bs-Latn-BA"/>
        </w:rPr>
        <w:t>збрињавање</w:t>
      </w:r>
      <w:r w:rsidR="003C0562" w:rsidRPr="00295637">
        <w:rPr>
          <w:rFonts w:ascii="Times New Roman" w:hAnsi="Times New Roman"/>
          <w:szCs w:val="24"/>
          <w:lang w:val="bs-Latn-BA"/>
        </w:rPr>
        <w:t xml:space="preserve">, </w:t>
      </w:r>
      <w:r>
        <w:rPr>
          <w:rFonts w:ascii="Times New Roman" w:hAnsi="Times New Roman"/>
          <w:szCs w:val="24"/>
          <w:lang w:val="bs-Latn-BA"/>
        </w:rPr>
        <w:t>једнократна</w:t>
      </w:r>
      <w:r w:rsidR="003C0562" w:rsidRPr="00295637">
        <w:rPr>
          <w:rFonts w:ascii="Times New Roman" w:hAnsi="Times New Roman"/>
          <w:szCs w:val="24"/>
          <w:lang w:val="bs-Latn-BA"/>
        </w:rPr>
        <w:t xml:space="preserve"> </w:t>
      </w:r>
      <w:r>
        <w:rPr>
          <w:rFonts w:ascii="Times New Roman" w:hAnsi="Times New Roman"/>
          <w:szCs w:val="24"/>
          <w:lang w:val="bs-Latn-BA"/>
        </w:rPr>
        <w:t>новчана</w:t>
      </w:r>
      <w:r w:rsidR="003C0562" w:rsidRPr="00295637">
        <w:rPr>
          <w:rFonts w:ascii="Times New Roman" w:hAnsi="Times New Roman"/>
          <w:szCs w:val="24"/>
          <w:lang w:val="bs-Latn-BA"/>
        </w:rPr>
        <w:t xml:space="preserve"> </w:t>
      </w:r>
      <w:r>
        <w:rPr>
          <w:rFonts w:ascii="Times New Roman" w:hAnsi="Times New Roman"/>
          <w:szCs w:val="24"/>
          <w:lang w:val="bs-Latn-BA"/>
        </w:rPr>
        <w:t>помоћ</w:t>
      </w:r>
      <w:r w:rsidR="003C0562" w:rsidRPr="00295637">
        <w:rPr>
          <w:rFonts w:ascii="Times New Roman" w:hAnsi="Times New Roman"/>
          <w:szCs w:val="24"/>
          <w:lang w:val="bs-Latn-BA"/>
        </w:rPr>
        <w:t xml:space="preserve"> </w:t>
      </w:r>
      <w:r>
        <w:rPr>
          <w:rFonts w:ascii="Times New Roman" w:hAnsi="Times New Roman"/>
          <w:szCs w:val="24"/>
          <w:lang w:val="bs-Latn-BA"/>
        </w:rPr>
        <w:t>и</w:t>
      </w:r>
      <w:r w:rsidR="003C0562" w:rsidRPr="00295637">
        <w:rPr>
          <w:rFonts w:ascii="Times New Roman" w:hAnsi="Times New Roman"/>
          <w:szCs w:val="24"/>
          <w:lang w:val="bs-Latn-BA"/>
        </w:rPr>
        <w:t xml:space="preserve"> </w:t>
      </w:r>
      <w:r>
        <w:rPr>
          <w:rFonts w:ascii="Times New Roman" w:hAnsi="Times New Roman"/>
          <w:szCs w:val="24"/>
          <w:lang w:val="bs-Latn-BA"/>
        </w:rPr>
        <w:t>савјетовање</w:t>
      </w:r>
      <w:r w:rsidR="008F6871" w:rsidRPr="00295637">
        <w:rPr>
          <w:rFonts w:ascii="Times New Roman" w:hAnsi="Times New Roman"/>
          <w:szCs w:val="24"/>
          <w:lang w:val="bs-Latn-BA"/>
        </w:rPr>
        <w:t xml:space="preserve">. </w:t>
      </w:r>
      <w:r>
        <w:rPr>
          <w:rFonts w:ascii="Times New Roman" w:hAnsi="Times New Roman"/>
          <w:szCs w:val="24"/>
          <w:lang w:val="bs-Latn-BA"/>
        </w:rPr>
        <w:t>Када</w:t>
      </w:r>
      <w:r w:rsidR="008F6871" w:rsidRPr="00295637">
        <w:rPr>
          <w:rFonts w:ascii="Times New Roman" w:hAnsi="Times New Roman"/>
          <w:szCs w:val="24"/>
          <w:lang w:val="bs-Latn-BA"/>
        </w:rPr>
        <w:t xml:space="preserve"> </w:t>
      </w:r>
      <w:r>
        <w:rPr>
          <w:rFonts w:ascii="Times New Roman" w:hAnsi="Times New Roman"/>
          <w:szCs w:val="24"/>
          <w:lang w:val="bs-Latn-BA"/>
        </w:rPr>
        <w:t>је</w:t>
      </w:r>
      <w:r w:rsidR="008F6871" w:rsidRPr="00295637">
        <w:rPr>
          <w:rFonts w:ascii="Times New Roman" w:hAnsi="Times New Roman"/>
          <w:szCs w:val="24"/>
          <w:lang w:val="bs-Latn-BA"/>
        </w:rPr>
        <w:t xml:space="preserve"> </w:t>
      </w:r>
      <w:r>
        <w:rPr>
          <w:rFonts w:ascii="Times New Roman" w:hAnsi="Times New Roman"/>
          <w:szCs w:val="24"/>
          <w:lang w:val="bs-Latn-BA"/>
        </w:rPr>
        <w:t>у</w:t>
      </w:r>
      <w:r w:rsidR="008F6871" w:rsidRPr="00295637">
        <w:rPr>
          <w:rFonts w:ascii="Times New Roman" w:hAnsi="Times New Roman"/>
          <w:szCs w:val="24"/>
          <w:lang w:val="bs-Latn-BA"/>
        </w:rPr>
        <w:t xml:space="preserve"> </w:t>
      </w:r>
      <w:r>
        <w:rPr>
          <w:rFonts w:ascii="Times New Roman" w:hAnsi="Times New Roman"/>
          <w:szCs w:val="24"/>
          <w:lang w:val="bs-Latn-BA"/>
        </w:rPr>
        <w:t>питању</w:t>
      </w:r>
      <w:r w:rsidR="008F6871" w:rsidRPr="00295637">
        <w:rPr>
          <w:rFonts w:ascii="Times New Roman" w:hAnsi="Times New Roman"/>
          <w:szCs w:val="24"/>
          <w:lang w:val="bs-Latn-BA"/>
        </w:rPr>
        <w:t xml:space="preserve"> </w:t>
      </w:r>
      <w:r>
        <w:rPr>
          <w:rFonts w:ascii="Times New Roman" w:hAnsi="Times New Roman"/>
          <w:szCs w:val="24"/>
          <w:lang w:val="bs-Latn-BA"/>
        </w:rPr>
        <w:t>дјечја</w:t>
      </w:r>
      <w:r w:rsidR="003C0562" w:rsidRPr="00295637">
        <w:rPr>
          <w:rFonts w:ascii="Times New Roman" w:hAnsi="Times New Roman"/>
          <w:szCs w:val="24"/>
          <w:lang w:val="bs-Latn-BA"/>
        </w:rPr>
        <w:t xml:space="preserve"> </w:t>
      </w:r>
      <w:r>
        <w:rPr>
          <w:rFonts w:ascii="Times New Roman" w:hAnsi="Times New Roman"/>
          <w:szCs w:val="24"/>
          <w:lang w:val="bs-Latn-BA"/>
        </w:rPr>
        <w:t>заштита</w:t>
      </w:r>
      <w:r w:rsidR="003C0562" w:rsidRPr="00295637">
        <w:rPr>
          <w:rFonts w:ascii="Times New Roman" w:hAnsi="Times New Roman"/>
          <w:szCs w:val="24"/>
          <w:lang w:val="bs-Latn-BA"/>
        </w:rPr>
        <w:t xml:space="preserve">, </w:t>
      </w:r>
      <w:r>
        <w:rPr>
          <w:rFonts w:ascii="Times New Roman" w:hAnsi="Times New Roman"/>
          <w:szCs w:val="24"/>
          <w:lang w:val="bs-Latn-BA"/>
        </w:rPr>
        <w:t>грађани</w:t>
      </w:r>
      <w:r w:rsidR="008F6871" w:rsidRPr="00295637">
        <w:rPr>
          <w:rFonts w:ascii="Times New Roman" w:hAnsi="Times New Roman"/>
          <w:szCs w:val="24"/>
          <w:lang w:val="bs-Latn-BA"/>
        </w:rPr>
        <w:t>/</w:t>
      </w:r>
      <w:r>
        <w:rPr>
          <w:rFonts w:ascii="Times New Roman" w:hAnsi="Times New Roman"/>
          <w:szCs w:val="24"/>
          <w:lang w:val="bs-Latn-BA"/>
        </w:rPr>
        <w:t>ке</w:t>
      </w:r>
      <w:r w:rsidR="003C0562" w:rsidRPr="00295637">
        <w:rPr>
          <w:rFonts w:ascii="Times New Roman" w:hAnsi="Times New Roman"/>
          <w:szCs w:val="24"/>
          <w:lang w:val="bs-Latn-BA"/>
        </w:rPr>
        <w:t xml:space="preserve"> </w:t>
      </w:r>
      <w:r>
        <w:rPr>
          <w:rFonts w:ascii="Times New Roman" w:hAnsi="Times New Roman"/>
          <w:szCs w:val="24"/>
          <w:lang w:val="bs-Latn-BA"/>
        </w:rPr>
        <w:t>добијају</w:t>
      </w:r>
      <w:r w:rsidR="003C0562" w:rsidRPr="00295637">
        <w:rPr>
          <w:rFonts w:ascii="Times New Roman" w:hAnsi="Times New Roman"/>
          <w:szCs w:val="24"/>
          <w:lang w:val="bs-Latn-BA"/>
        </w:rPr>
        <w:t xml:space="preserve"> </w:t>
      </w:r>
      <w:r>
        <w:rPr>
          <w:rFonts w:ascii="Times New Roman" w:hAnsi="Times New Roman"/>
          <w:szCs w:val="24"/>
          <w:lang w:val="bs-Latn-BA"/>
        </w:rPr>
        <w:t>помоћ</w:t>
      </w:r>
      <w:r w:rsidR="003C0562" w:rsidRPr="00295637">
        <w:rPr>
          <w:rFonts w:ascii="Times New Roman" w:hAnsi="Times New Roman"/>
          <w:szCs w:val="24"/>
          <w:lang w:val="bs-Latn-BA"/>
        </w:rPr>
        <w:t xml:space="preserve"> </w:t>
      </w:r>
      <w:r>
        <w:rPr>
          <w:rFonts w:ascii="Times New Roman" w:hAnsi="Times New Roman"/>
          <w:szCs w:val="24"/>
          <w:lang w:val="bs-Latn-BA"/>
        </w:rPr>
        <w:t>за</w:t>
      </w:r>
      <w:r w:rsidR="003C0562" w:rsidRPr="00295637">
        <w:rPr>
          <w:rFonts w:ascii="Times New Roman" w:hAnsi="Times New Roman"/>
          <w:szCs w:val="24"/>
          <w:lang w:val="bs-Latn-BA"/>
        </w:rPr>
        <w:t xml:space="preserve"> </w:t>
      </w:r>
      <w:r>
        <w:rPr>
          <w:rFonts w:ascii="Times New Roman" w:hAnsi="Times New Roman"/>
          <w:szCs w:val="24"/>
          <w:lang w:val="bs-Latn-BA"/>
        </w:rPr>
        <w:t>опрему</w:t>
      </w:r>
      <w:r w:rsidR="003C0562" w:rsidRPr="00295637">
        <w:rPr>
          <w:rFonts w:ascii="Times New Roman" w:hAnsi="Times New Roman"/>
          <w:szCs w:val="24"/>
          <w:lang w:val="bs-Latn-BA"/>
        </w:rPr>
        <w:t xml:space="preserve"> </w:t>
      </w:r>
      <w:r>
        <w:rPr>
          <w:rFonts w:ascii="Times New Roman" w:hAnsi="Times New Roman"/>
          <w:szCs w:val="24"/>
          <w:lang w:val="bs-Latn-BA"/>
        </w:rPr>
        <w:t>за</w:t>
      </w:r>
      <w:r w:rsidR="003C0562" w:rsidRPr="00295637">
        <w:rPr>
          <w:rFonts w:ascii="Times New Roman" w:hAnsi="Times New Roman"/>
          <w:szCs w:val="24"/>
          <w:lang w:val="bs-Latn-BA"/>
        </w:rPr>
        <w:t xml:space="preserve"> </w:t>
      </w:r>
      <w:r>
        <w:rPr>
          <w:rFonts w:ascii="Times New Roman" w:hAnsi="Times New Roman"/>
          <w:szCs w:val="24"/>
          <w:lang w:val="bs-Latn-BA"/>
        </w:rPr>
        <w:t>новорођенчад</w:t>
      </w:r>
      <w:r w:rsidR="003C0562" w:rsidRPr="00295637">
        <w:rPr>
          <w:rFonts w:ascii="Times New Roman" w:hAnsi="Times New Roman"/>
          <w:szCs w:val="24"/>
          <w:lang w:val="bs-Latn-BA"/>
        </w:rPr>
        <w:t xml:space="preserve">, </w:t>
      </w:r>
      <w:r>
        <w:rPr>
          <w:rFonts w:ascii="Times New Roman" w:hAnsi="Times New Roman"/>
          <w:szCs w:val="24"/>
          <w:lang w:val="bs-Latn-BA"/>
        </w:rPr>
        <w:t>дјечји</w:t>
      </w:r>
      <w:r w:rsidR="003C0562" w:rsidRPr="00295637">
        <w:rPr>
          <w:rFonts w:ascii="Times New Roman" w:hAnsi="Times New Roman"/>
          <w:szCs w:val="24"/>
          <w:lang w:val="bs-Latn-BA"/>
        </w:rPr>
        <w:t xml:space="preserve"> </w:t>
      </w:r>
      <w:r>
        <w:rPr>
          <w:rFonts w:ascii="Times New Roman" w:hAnsi="Times New Roman"/>
          <w:szCs w:val="24"/>
          <w:lang w:val="bs-Latn-BA"/>
        </w:rPr>
        <w:t>додатак</w:t>
      </w:r>
      <w:r w:rsidR="003C0562" w:rsidRPr="00295637">
        <w:rPr>
          <w:rFonts w:ascii="Times New Roman" w:hAnsi="Times New Roman"/>
          <w:szCs w:val="24"/>
          <w:lang w:val="bs-Latn-BA"/>
        </w:rPr>
        <w:t xml:space="preserve">, </w:t>
      </w:r>
      <w:r>
        <w:rPr>
          <w:rFonts w:ascii="Times New Roman" w:hAnsi="Times New Roman"/>
          <w:szCs w:val="24"/>
          <w:lang w:val="bs-Latn-BA"/>
        </w:rPr>
        <w:t>пренатални</w:t>
      </w:r>
      <w:r w:rsidR="003C0562" w:rsidRPr="00295637">
        <w:rPr>
          <w:rFonts w:ascii="Times New Roman" w:hAnsi="Times New Roman"/>
          <w:szCs w:val="24"/>
          <w:lang w:val="bs-Latn-BA"/>
        </w:rPr>
        <w:t xml:space="preserve"> </w:t>
      </w:r>
      <w:r>
        <w:rPr>
          <w:rFonts w:ascii="Times New Roman" w:hAnsi="Times New Roman"/>
          <w:szCs w:val="24"/>
          <w:lang w:val="bs-Latn-BA"/>
        </w:rPr>
        <w:t>додатак</w:t>
      </w:r>
      <w:r w:rsidR="003C0562" w:rsidRPr="00295637">
        <w:rPr>
          <w:rFonts w:ascii="Times New Roman" w:hAnsi="Times New Roman"/>
          <w:szCs w:val="24"/>
          <w:lang w:val="bs-Latn-BA"/>
        </w:rPr>
        <w:t xml:space="preserve"> </w:t>
      </w:r>
      <w:r>
        <w:rPr>
          <w:rFonts w:ascii="Times New Roman" w:hAnsi="Times New Roman"/>
          <w:szCs w:val="24"/>
          <w:lang w:val="bs-Latn-BA"/>
        </w:rPr>
        <w:t>за</w:t>
      </w:r>
      <w:r w:rsidR="003C0562" w:rsidRPr="00295637">
        <w:rPr>
          <w:rFonts w:ascii="Times New Roman" w:hAnsi="Times New Roman"/>
          <w:szCs w:val="24"/>
          <w:lang w:val="bs-Latn-BA"/>
        </w:rPr>
        <w:t xml:space="preserve"> </w:t>
      </w:r>
      <w:r>
        <w:rPr>
          <w:rFonts w:ascii="Times New Roman" w:hAnsi="Times New Roman"/>
          <w:szCs w:val="24"/>
          <w:lang w:val="bs-Latn-BA"/>
        </w:rPr>
        <w:t>треће</w:t>
      </w:r>
      <w:r w:rsidR="003C0562" w:rsidRPr="00295637">
        <w:rPr>
          <w:rFonts w:ascii="Times New Roman" w:hAnsi="Times New Roman"/>
          <w:szCs w:val="24"/>
          <w:lang w:val="bs-Latn-BA"/>
        </w:rPr>
        <w:t xml:space="preserve"> </w:t>
      </w:r>
      <w:r>
        <w:rPr>
          <w:rFonts w:ascii="Times New Roman" w:hAnsi="Times New Roman"/>
          <w:szCs w:val="24"/>
          <w:lang w:val="bs-Latn-BA"/>
        </w:rPr>
        <w:t>и</w:t>
      </w:r>
      <w:r w:rsidR="003C0562" w:rsidRPr="00295637">
        <w:rPr>
          <w:rFonts w:ascii="Times New Roman" w:hAnsi="Times New Roman"/>
          <w:szCs w:val="24"/>
          <w:lang w:val="bs-Latn-BA"/>
        </w:rPr>
        <w:t xml:space="preserve"> </w:t>
      </w:r>
      <w:r>
        <w:rPr>
          <w:rFonts w:ascii="Times New Roman" w:hAnsi="Times New Roman"/>
          <w:szCs w:val="24"/>
          <w:lang w:val="bs-Latn-BA"/>
        </w:rPr>
        <w:t>четврто</w:t>
      </w:r>
      <w:r w:rsidR="003C0562" w:rsidRPr="00295637">
        <w:rPr>
          <w:rFonts w:ascii="Times New Roman" w:hAnsi="Times New Roman"/>
          <w:szCs w:val="24"/>
          <w:lang w:val="bs-Latn-BA"/>
        </w:rPr>
        <w:t xml:space="preserve"> </w:t>
      </w:r>
      <w:r>
        <w:rPr>
          <w:rFonts w:ascii="Times New Roman" w:hAnsi="Times New Roman"/>
          <w:szCs w:val="24"/>
          <w:lang w:val="bs-Latn-BA"/>
        </w:rPr>
        <w:t>рођено</w:t>
      </w:r>
      <w:r w:rsidR="003C0562" w:rsidRPr="00295637">
        <w:rPr>
          <w:rFonts w:ascii="Times New Roman" w:hAnsi="Times New Roman"/>
          <w:szCs w:val="24"/>
          <w:lang w:val="bs-Latn-BA"/>
        </w:rPr>
        <w:t xml:space="preserve"> </w:t>
      </w:r>
      <w:r>
        <w:rPr>
          <w:rFonts w:ascii="Times New Roman" w:hAnsi="Times New Roman"/>
          <w:szCs w:val="24"/>
          <w:lang w:val="bs-Latn-BA"/>
        </w:rPr>
        <w:t>дијете</w:t>
      </w:r>
      <w:r w:rsidR="003C0562" w:rsidRPr="00295637">
        <w:rPr>
          <w:rFonts w:ascii="Times New Roman" w:hAnsi="Times New Roman"/>
          <w:szCs w:val="24"/>
          <w:lang w:val="bs-Latn-BA"/>
        </w:rPr>
        <w:t xml:space="preserve">, </w:t>
      </w:r>
      <w:r>
        <w:rPr>
          <w:rFonts w:ascii="Times New Roman" w:hAnsi="Times New Roman"/>
          <w:szCs w:val="24"/>
          <w:lang w:val="bs-Latn-BA"/>
        </w:rPr>
        <w:t>додатак</w:t>
      </w:r>
      <w:r w:rsidR="003C0562" w:rsidRPr="00295637">
        <w:rPr>
          <w:rFonts w:ascii="Times New Roman" w:hAnsi="Times New Roman"/>
          <w:szCs w:val="24"/>
          <w:lang w:val="bs-Latn-BA"/>
        </w:rPr>
        <w:t xml:space="preserve"> </w:t>
      </w:r>
      <w:r>
        <w:rPr>
          <w:rFonts w:ascii="Times New Roman" w:hAnsi="Times New Roman"/>
          <w:szCs w:val="24"/>
          <w:lang w:val="bs-Latn-BA"/>
        </w:rPr>
        <w:t>за</w:t>
      </w:r>
      <w:r w:rsidR="003C0562" w:rsidRPr="00295637">
        <w:rPr>
          <w:rFonts w:ascii="Times New Roman" w:hAnsi="Times New Roman"/>
          <w:szCs w:val="24"/>
          <w:lang w:val="bs-Latn-BA"/>
        </w:rPr>
        <w:t xml:space="preserve"> </w:t>
      </w:r>
      <w:r>
        <w:rPr>
          <w:rFonts w:ascii="Times New Roman" w:hAnsi="Times New Roman"/>
          <w:szCs w:val="24"/>
          <w:lang w:val="bs-Latn-BA"/>
        </w:rPr>
        <w:t>родитеља</w:t>
      </w:r>
      <w:r w:rsidR="003C0562" w:rsidRPr="00295637">
        <w:rPr>
          <w:rFonts w:ascii="Times New Roman" w:hAnsi="Times New Roman"/>
          <w:szCs w:val="24"/>
          <w:lang w:val="bs-Latn-BA"/>
        </w:rPr>
        <w:t xml:space="preserve"> </w:t>
      </w:r>
      <w:r>
        <w:rPr>
          <w:rFonts w:ascii="Times New Roman" w:hAnsi="Times New Roman"/>
          <w:szCs w:val="24"/>
          <w:lang w:val="bs-Latn-BA"/>
        </w:rPr>
        <w:t>или</w:t>
      </w:r>
      <w:r w:rsidR="003C0562" w:rsidRPr="00295637">
        <w:rPr>
          <w:rFonts w:ascii="Times New Roman" w:hAnsi="Times New Roman"/>
          <w:szCs w:val="24"/>
          <w:lang w:val="bs-Latn-BA"/>
        </w:rPr>
        <w:t xml:space="preserve"> </w:t>
      </w:r>
      <w:r>
        <w:rPr>
          <w:rFonts w:ascii="Times New Roman" w:hAnsi="Times New Roman"/>
          <w:szCs w:val="24"/>
          <w:lang w:val="bs-Latn-BA"/>
        </w:rPr>
        <w:t>старатеља</w:t>
      </w:r>
      <w:r w:rsidR="003C0562" w:rsidRPr="00295637">
        <w:rPr>
          <w:rFonts w:ascii="Times New Roman" w:hAnsi="Times New Roman"/>
          <w:szCs w:val="24"/>
          <w:lang w:val="bs-Latn-BA"/>
        </w:rPr>
        <w:t xml:space="preserve">, </w:t>
      </w:r>
      <w:r>
        <w:rPr>
          <w:rFonts w:ascii="Times New Roman" w:hAnsi="Times New Roman"/>
          <w:szCs w:val="24"/>
          <w:lang w:val="bs-Latn-BA"/>
        </w:rPr>
        <w:t>накнаду</w:t>
      </w:r>
      <w:r w:rsidR="003C0562" w:rsidRPr="00295637">
        <w:rPr>
          <w:rFonts w:ascii="Times New Roman" w:hAnsi="Times New Roman"/>
          <w:szCs w:val="24"/>
          <w:lang w:val="bs-Latn-BA"/>
        </w:rPr>
        <w:t xml:space="preserve"> </w:t>
      </w:r>
      <w:r>
        <w:rPr>
          <w:rFonts w:ascii="Times New Roman" w:hAnsi="Times New Roman"/>
          <w:szCs w:val="24"/>
          <w:lang w:val="bs-Latn-BA"/>
        </w:rPr>
        <w:t>зараде</w:t>
      </w:r>
      <w:r w:rsidR="003C0562" w:rsidRPr="00295637">
        <w:rPr>
          <w:rFonts w:ascii="Times New Roman" w:hAnsi="Times New Roman"/>
          <w:szCs w:val="24"/>
          <w:lang w:val="bs-Latn-BA"/>
        </w:rPr>
        <w:t xml:space="preserve"> </w:t>
      </w:r>
      <w:r>
        <w:rPr>
          <w:rFonts w:ascii="Times New Roman" w:hAnsi="Times New Roman"/>
          <w:szCs w:val="24"/>
          <w:lang w:val="bs-Latn-BA"/>
        </w:rPr>
        <w:t>за</w:t>
      </w:r>
      <w:r w:rsidR="003C0562" w:rsidRPr="00295637">
        <w:rPr>
          <w:rFonts w:ascii="Times New Roman" w:hAnsi="Times New Roman"/>
          <w:szCs w:val="24"/>
          <w:lang w:val="bs-Latn-BA"/>
        </w:rPr>
        <w:t xml:space="preserve"> </w:t>
      </w:r>
      <w:r>
        <w:rPr>
          <w:rFonts w:ascii="Times New Roman" w:hAnsi="Times New Roman"/>
          <w:szCs w:val="24"/>
          <w:lang w:val="bs-Latn-BA"/>
        </w:rPr>
        <w:t>вријеме</w:t>
      </w:r>
      <w:r w:rsidR="003C0562" w:rsidRPr="00295637">
        <w:rPr>
          <w:rFonts w:ascii="Times New Roman" w:hAnsi="Times New Roman"/>
          <w:szCs w:val="24"/>
          <w:lang w:val="bs-Latn-BA"/>
        </w:rPr>
        <w:t xml:space="preserve"> </w:t>
      </w:r>
      <w:r>
        <w:rPr>
          <w:rFonts w:ascii="Times New Roman" w:hAnsi="Times New Roman"/>
          <w:szCs w:val="24"/>
          <w:lang w:val="bs-Latn-BA"/>
        </w:rPr>
        <w:t>породиљског</w:t>
      </w:r>
      <w:r w:rsidR="003C0562" w:rsidRPr="00295637">
        <w:rPr>
          <w:rFonts w:ascii="Times New Roman" w:hAnsi="Times New Roman"/>
          <w:szCs w:val="24"/>
          <w:lang w:val="bs-Latn-BA"/>
        </w:rPr>
        <w:t xml:space="preserve"> </w:t>
      </w:r>
      <w:r>
        <w:rPr>
          <w:rFonts w:ascii="Times New Roman" w:hAnsi="Times New Roman"/>
          <w:szCs w:val="24"/>
          <w:lang w:val="bs-Latn-BA"/>
        </w:rPr>
        <w:t>одсуства</w:t>
      </w:r>
      <w:r w:rsidR="003C0562" w:rsidRPr="00295637">
        <w:rPr>
          <w:rFonts w:ascii="Times New Roman" w:hAnsi="Times New Roman"/>
          <w:szCs w:val="24"/>
          <w:lang w:val="bs-Latn-BA"/>
        </w:rPr>
        <w:t xml:space="preserve"> </w:t>
      </w:r>
      <w:r>
        <w:rPr>
          <w:rFonts w:ascii="Times New Roman" w:hAnsi="Times New Roman"/>
          <w:szCs w:val="24"/>
          <w:lang w:val="bs-Latn-BA"/>
        </w:rPr>
        <w:t>и</w:t>
      </w:r>
      <w:r w:rsidR="003C0562" w:rsidRPr="00295637">
        <w:rPr>
          <w:rFonts w:ascii="Times New Roman" w:hAnsi="Times New Roman"/>
          <w:szCs w:val="24"/>
          <w:lang w:val="bs-Latn-BA"/>
        </w:rPr>
        <w:t xml:space="preserve"> </w:t>
      </w:r>
      <w:r>
        <w:rPr>
          <w:rFonts w:ascii="Times New Roman" w:hAnsi="Times New Roman"/>
          <w:szCs w:val="24"/>
          <w:lang w:val="bs-Latn-BA"/>
        </w:rPr>
        <w:t>задовољавање</w:t>
      </w:r>
      <w:r w:rsidR="003C0562" w:rsidRPr="00295637">
        <w:rPr>
          <w:rFonts w:ascii="Times New Roman" w:hAnsi="Times New Roman"/>
          <w:szCs w:val="24"/>
          <w:lang w:val="bs-Latn-BA"/>
        </w:rPr>
        <w:t xml:space="preserve"> </w:t>
      </w:r>
      <w:r>
        <w:rPr>
          <w:rFonts w:ascii="Times New Roman" w:hAnsi="Times New Roman"/>
          <w:szCs w:val="24"/>
          <w:lang w:val="bs-Latn-BA"/>
        </w:rPr>
        <w:t>развојних</w:t>
      </w:r>
      <w:r w:rsidR="003C0562" w:rsidRPr="00295637">
        <w:rPr>
          <w:rFonts w:ascii="Times New Roman" w:hAnsi="Times New Roman"/>
          <w:szCs w:val="24"/>
          <w:lang w:val="bs-Latn-BA"/>
        </w:rPr>
        <w:t xml:space="preserve"> </w:t>
      </w:r>
      <w:r>
        <w:rPr>
          <w:rFonts w:ascii="Times New Roman" w:hAnsi="Times New Roman"/>
          <w:szCs w:val="24"/>
          <w:lang w:val="bs-Latn-BA"/>
        </w:rPr>
        <w:t>потреба</w:t>
      </w:r>
      <w:r w:rsidR="003C0562" w:rsidRPr="00295637">
        <w:rPr>
          <w:rFonts w:ascii="Times New Roman" w:hAnsi="Times New Roman"/>
          <w:szCs w:val="24"/>
          <w:lang w:val="bs-Latn-BA"/>
        </w:rPr>
        <w:t xml:space="preserve"> </w:t>
      </w:r>
      <w:r>
        <w:rPr>
          <w:rFonts w:ascii="Times New Roman" w:hAnsi="Times New Roman"/>
          <w:szCs w:val="24"/>
          <w:lang w:val="bs-Latn-BA"/>
        </w:rPr>
        <w:t>дјетета</w:t>
      </w:r>
      <w:r w:rsidR="003C0562" w:rsidRPr="00295637">
        <w:rPr>
          <w:rFonts w:ascii="Times New Roman" w:hAnsi="Times New Roman"/>
          <w:szCs w:val="24"/>
          <w:lang w:val="bs-Latn-BA"/>
        </w:rPr>
        <w:t xml:space="preserve">. </w:t>
      </w:r>
    </w:p>
    <w:p w:rsidR="003C0562" w:rsidRPr="00295637" w:rsidRDefault="003C0562" w:rsidP="0086268D">
      <w:pPr>
        <w:jc w:val="both"/>
        <w:rPr>
          <w:rFonts w:ascii="Times New Roman" w:hAnsi="Times New Roman"/>
          <w:szCs w:val="24"/>
          <w:lang w:val="bs-Latn-BA"/>
        </w:rPr>
      </w:pPr>
    </w:p>
    <w:p w:rsidR="00155895" w:rsidRPr="00295637" w:rsidRDefault="00C6214E" w:rsidP="0086268D">
      <w:pPr>
        <w:jc w:val="both"/>
        <w:rPr>
          <w:rFonts w:ascii="Times New Roman" w:hAnsi="Times New Roman"/>
          <w:lang w:val="bs-Latn-BA"/>
        </w:rPr>
      </w:pPr>
      <w:r>
        <w:rPr>
          <w:rFonts w:ascii="Times New Roman" w:hAnsi="Times New Roman"/>
          <w:szCs w:val="24"/>
          <w:lang w:val="bs-Latn-BA"/>
        </w:rPr>
        <w:t>Према</w:t>
      </w:r>
      <w:r w:rsidR="003C0562" w:rsidRPr="00295637">
        <w:rPr>
          <w:rFonts w:ascii="Times New Roman" w:hAnsi="Times New Roman"/>
          <w:szCs w:val="24"/>
          <w:lang w:val="bs-Latn-BA"/>
        </w:rPr>
        <w:t xml:space="preserve"> </w:t>
      </w:r>
      <w:r>
        <w:rPr>
          <w:rFonts w:ascii="Times New Roman" w:hAnsi="Times New Roman"/>
          <w:szCs w:val="24"/>
          <w:lang w:val="bs-Latn-BA"/>
        </w:rPr>
        <w:t>подацима</w:t>
      </w:r>
      <w:r w:rsidR="003C0562" w:rsidRPr="00295637">
        <w:rPr>
          <w:rFonts w:ascii="Times New Roman" w:hAnsi="Times New Roman"/>
          <w:szCs w:val="24"/>
          <w:lang w:val="bs-Latn-BA"/>
        </w:rPr>
        <w:t xml:space="preserve"> </w:t>
      </w:r>
      <w:r>
        <w:rPr>
          <w:rFonts w:ascii="Times New Roman" w:hAnsi="Times New Roman"/>
          <w:szCs w:val="24"/>
          <w:lang w:val="bs-Latn-BA"/>
        </w:rPr>
        <w:t>БХАС</w:t>
      </w:r>
      <w:r w:rsidR="003C0562" w:rsidRPr="00295637">
        <w:rPr>
          <w:rFonts w:ascii="Times New Roman" w:hAnsi="Times New Roman"/>
          <w:szCs w:val="24"/>
          <w:lang w:val="bs-Latn-BA"/>
        </w:rPr>
        <w:t xml:space="preserve">, </w:t>
      </w:r>
      <w:r>
        <w:rPr>
          <w:rFonts w:ascii="Times New Roman" w:hAnsi="Times New Roman"/>
          <w:szCs w:val="24"/>
          <w:lang w:val="bs-Latn-BA"/>
        </w:rPr>
        <w:t>број</w:t>
      </w:r>
      <w:r w:rsidR="003C0562" w:rsidRPr="00295637">
        <w:rPr>
          <w:rFonts w:ascii="Times New Roman" w:hAnsi="Times New Roman"/>
          <w:szCs w:val="24"/>
          <w:lang w:val="bs-Latn-BA"/>
        </w:rPr>
        <w:t xml:space="preserve"> </w:t>
      </w:r>
      <w:r>
        <w:rPr>
          <w:rFonts w:ascii="Times New Roman" w:hAnsi="Times New Roman"/>
          <w:szCs w:val="24"/>
          <w:lang w:val="bs-Latn-BA"/>
        </w:rPr>
        <w:t>корисника</w:t>
      </w:r>
      <w:r w:rsidR="003C0562" w:rsidRPr="00295637">
        <w:rPr>
          <w:rFonts w:ascii="Times New Roman" w:hAnsi="Times New Roman"/>
          <w:szCs w:val="24"/>
          <w:lang w:val="bs-Latn-BA"/>
        </w:rPr>
        <w:t>/</w:t>
      </w:r>
      <w:r>
        <w:rPr>
          <w:rFonts w:ascii="Times New Roman" w:hAnsi="Times New Roman"/>
          <w:szCs w:val="24"/>
          <w:lang w:val="bs-Latn-BA"/>
        </w:rPr>
        <w:t>ца</w:t>
      </w:r>
      <w:r w:rsidR="003C0562" w:rsidRPr="00295637">
        <w:rPr>
          <w:rFonts w:ascii="Times New Roman" w:hAnsi="Times New Roman"/>
          <w:szCs w:val="24"/>
          <w:lang w:val="bs-Latn-BA"/>
        </w:rPr>
        <w:t xml:space="preserve"> </w:t>
      </w:r>
      <w:r>
        <w:rPr>
          <w:rFonts w:ascii="Times New Roman" w:hAnsi="Times New Roman"/>
          <w:szCs w:val="24"/>
          <w:lang w:val="bs-Latn-BA"/>
        </w:rPr>
        <w:t>социјалне</w:t>
      </w:r>
      <w:r w:rsidR="003C0562" w:rsidRPr="00295637">
        <w:rPr>
          <w:rFonts w:ascii="Times New Roman" w:hAnsi="Times New Roman"/>
          <w:szCs w:val="24"/>
          <w:lang w:val="bs-Latn-BA"/>
        </w:rPr>
        <w:t xml:space="preserve"> </w:t>
      </w:r>
      <w:r>
        <w:rPr>
          <w:rFonts w:ascii="Times New Roman" w:hAnsi="Times New Roman"/>
          <w:szCs w:val="24"/>
          <w:lang w:val="bs-Latn-BA"/>
        </w:rPr>
        <w:t>заштите</w:t>
      </w:r>
      <w:r w:rsidR="003C0562" w:rsidRPr="00295637">
        <w:rPr>
          <w:rFonts w:ascii="Times New Roman" w:hAnsi="Times New Roman"/>
          <w:szCs w:val="24"/>
          <w:lang w:val="bs-Latn-BA"/>
        </w:rPr>
        <w:t xml:space="preserve">, </w:t>
      </w:r>
      <w:r>
        <w:rPr>
          <w:rFonts w:ascii="Times New Roman" w:hAnsi="Times New Roman"/>
          <w:szCs w:val="24"/>
          <w:lang w:val="bs-Latn-BA"/>
        </w:rPr>
        <w:t>како</w:t>
      </w:r>
      <w:r w:rsidR="003C0562" w:rsidRPr="00295637">
        <w:rPr>
          <w:rFonts w:ascii="Times New Roman" w:hAnsi="Times New Roman"/>
          <w:szCs w:val="24"/>
          <w:lang w:val="bs-Latn-BA"/>
        </w:rPr>
        <w:t xml:space="preserve"> </w:t>
      </w:r>
      <w:r>
        <w:rPr>
          <w:rFonts w:ascii="Times New Roman" w:hAnsi="Times New Roman"/>
          <w:szCs w:val="24"/>
          <w:lang w:val="bs-Latn-BA"/>
        </w:rPr>
        <w:t>у</w:t>
      </w:r>
      <w:r w:rsidR="003C0562" w:rsidRPr="00295637">
        <w:rPr>
          <w:rFonts w:ascii="Times New Roman" w:hAnsi="Times New Roman"/>
          <w:szCs w:val="24"/>
          <w:lang w:val="bs-Latn-BA"/>
        </w:rPr>
        <w:t xml:space="preserve"> </w:t>
      </w:r>
      <w:r>
        <w:rPr>
          <w:rFonts w:ascii="Times New Roman" w:hAnsi="Times New Roman"/>
          <w:szCs w:val="24"/>
          <w:lang w:val="bs-Latn-BA"/>
        </w:rPr>
        <w:t>категорији</w:t>
      </w:r>
      <w:r w:rsidR="003C0562" w:rsidRPr="00295637">
        <w:rPr>
          <w:rFonts w:ascii="Times New Roman" w:hAnsi="Times New Roman"/>
          <w:szCs w:val="24"/>
          <w:lang w:val="bs-Latn-BA"/>
        </w:rPr>
        <w:t xml:space="preserve"> </w:t>
      </w:r>
      <w:r>
        <w:rPr>
          <w:rFonts w:ascii="Times New Roman" w:hAnsi="Times New Roman"/>
          <w:szCs w:val="24"/>
          <w:lang w:val="bs-Latn-BA"/>
        </w:rPr>
        <w:t>малољетних</w:t>
      </w:r>
      <w:r w:rsidR="003C0562" w:rsidRPr="00295637">
        <w:rPr>
          <w:rFonts w:ascii="Times New Roman" w:hAnsi="Times New Roman"/>
          <w:szCs w:val="24"/>
          <w:lang w:val="bs-Latn-BA"/>
        </w:rPr>
        <w:t xml:space="preserve">, </w:t>
      </w:r>
      <w:r>
        <w:rPr>
          <w:rFonts w:ascii="Times New Roman" w:hAnsi="Times New Roman"/>
          <w:szCs w:val="24"/>
          <w:lang w:val="bs-Latn-BA"/>
        </w:rPr>
        <w:t>тако</w:t>
      </w:r>
      <w:r w:rsidR="003C0562" w:rsidRPr="00295637">
        <w:rPr>
          <w:rFonts w:ascii="Times New Roman" w:hAnsi="Times New Roman"/>
          <w:szCs w:val="24"/>
          <w:lang w:val="bs-Latn-BA"/>
        </w:rPr>
        <w:t xml:space="preserve"> </w:t>
      </w:r>
      <w:r>
        <w:rPr>
          <w:rFonts w:ascii="Times New Roman" w:hAnsi="Times New Roman"/>
          <w:szCs w:val="24"/>
          <w:lang w:val="bs-Latn-BA"/>
        </w:rPr>
        <w:t>и</w:t>
      </w:r>
      <w:r w:rsidR="003C0562" w:rsidRPr="00295637">
        <w:rPr>
          <w:rFonts w:ascii="Times New Roman" w:hAnsi="Times New Roman"/>
          <w:szCs w:val="24"/>
          <w:lang w:val="bs-Latn-BA"/>
        </w:rPr>
        <w:t xml:space="preserve"> </w:t>
      </w:r>
      <w:r>
        <w:rPr>
          <w:rFonts w:ascii="Times New Roman" w:hAnsi="Times New Roman"/>
          <w:szCs w:val="24"/>
          <w:lang w:val="bs-Latn-BA"/>
        </w:rPr>
        <w:t>у</w:t>
      </w:r>
      <w:r w:rsidR="003C0562" w:rsidRPr="00295637">
        <w:rPr>
          <w:rFonts w:ascii="Times New Roman" w:hAnsi="Times New Roman"/>
          <w:szCs w:val="24"/>
          <w:lang w:val="bs-Latn-BA"/>
        </w:rPr>
        <w:t xml:space="preserve"> </w:t>
      </w:r>
      <w:r>
        <w:rPr>
          <w:rFonts w:ascii="Times New Roman" w:hAnsi="Times New Roman"/>
          <w:szCs w:val="24"/>
          <w:lang w:val="bs-Latn-BA"/>
        </w:rPr>
        <w:t>категорији</w:t>
      </w:r>
      <w:r w:rsidR="003C0562" w:rsidRPr="00295637">
        <w:rPr>
          <w:rFonts w:ascii="Times New Roman" w:hAnsi="Times New Roman"/>
          <w:szCs w:val="24"/>
          <w:lang w:val="bs-Latn-BA"/>
        </w:rPr>
        <w:t xml:space="preserve"> </w:t>
      </w:r>
      <w:r>
        <w:rPr>
          <w:rFonts w:ascii="Times New Roman" w:hAnsi="Times New Roman"/>
          <w:szCs w:val="24"/>
          <w:lang w:val="bs-Latn-BA"/>
        </w:rPr>
        <w:t>пунољетних</w:t>
      </w:r>
      <w:r w:rsidR="003C0562" w:rsidRPr="00295637">
        <w:rPr>
          <w:rFonts w:ascii="Times New Roman" w:hAnsi="Times New Roman"/>
          <w:szCs w:val="24"/>
          <w:lang w:val="bs-Latn-BA"/>
        </w:rPr>
        <w:t xml:space="preserve"> </w:t>
      </w:r>
      <w:r>
        <w:rPr>
          <w:rFonts w:ascii="Times New Roman" w:hAnsi="Times New Roman"/>
          <w:szCs w:val="24"/>
          <w:lang w:val="bs-Latn-BA"/>
        </w:rPr>
        <w:t>корисника</w:t>
      </w:r>
      <w:r w:rsidR="003C0562" w:rsidRPr="00295637">
        <w:rPr>
          <w:rFonts w:ascii="Times New Roman" w:hAnsi="Times New Roman"/>
          <w:szCs w:val="24"/>
          <w:lang w:val="bs-Latn-BA"/>
        </w:rPr>
        <w:t>/</w:t>
      </w:r>
      <w:r>
        <w:rPr>
          <w:rFonts w:ascii="Times New Roman" w:hAnsi="Times New Roman"/>
          <w:szCs w:val="24"/>
          <w:lang w:val="bs-Latn-BA"/>
        </w:rPr>
        <w:t>ца</w:t>
      </w:r>
      <w:r w:rsidR="003C0562" w:rsidRPr="00295637">
        <w:rPr>
          <w:rFonts w:ascii="Times New Roman" w:hAnsi="Times New Roman"/>
          <w:szCs w:val="24"/>
          <w:lang w:val="bs-Latn-BA"/>
        </w:rPr>
        <w:t xml:space="preserve"> </w:t>
      </w:r>
      <w:r>
        <w:rPr>
          <w:rFonts w:ascii="Times New Roman" w:hAnsi="Times New Roman"/>
          <w:szCs w:val="24"/>
          <w:lang w:val="bs-Latn-BA"/>
        </w:rPr>
        <w:t>се</w:t>
      </w:r>
      <w:r w:rsidR="003C0562" w:rsidRPr="00295637">
        <w:rPr>
          <w:rFonts w:ascii="Times New Roman" w:hAnsi="Times New Roman"/>
          <w:szCs w:val="24"/>
          <w:lang w:val="bs-Latn-BA"/>
        </w:rPr>
        <w:t xml:space="preserve"> </w:t>
      </w:r>
      <w:r>
        <w:rPr>
          <w:rFonts w:ascii="Times New Roman" w:hAnsi="Times New Roman"/>
          <w:szCs w:val="24"/>
          <w:lang w:val="bs-Latn-BA"/>
        </w:rPr>
        <w:t>смањује</w:t>
      </w:r>
      <w:r w:rsidR="003C0562" w:rsidRPr="00295637">
        <w:rPr>
          <w:rFonts w:ascii="Times New Roman" w:hAnsi="Times New Roman"/>
          <w:szCs w:val="24"/>
          <w:lang w:val="bs-Latn-BA"/>
        </w:rPr>
        <w:t xml:space="preserve">, </w:t>
      </w:r>
      <w:r>
        <w:rPr>
          <w:rFonts w:ascii="Times New Roman" w:hAnsi="Times New Roman"/>
          <w:szCs w:val="24"/>
          <w:lang w:val="bs-Latn-BA"/>
        </w:rPr>
        <w:t>али</w:t>
      </w:r>
      <w:r w:rsidR="003C0562" w:rsidRPr="00295637">
        <w:rPr>
          <w:rFonts w:ascii="Times New Roman" w:hAnsi="Times New Roman"/>
          <w:szCs w:val="24"/>
          <w:lang w:val="bs-Latn-BA"/>
        </w:rPr>
        <w:t xml:space="preserve"> </w:t>
      </w:r>
      <w:r>
        <w:rPr>
          <w:rFonts w:ascii="Times New Roman" w:hAnsi="Times New Roman"/>
          <w:szCs w:val="24"/>
          <w:lang w:val="bs-Latn-BA"/>
        </w:rPr>
        <w:t>то</w:t>
      </w:r>
      <w:r w:rsidR="003C0562" w:rsidRPr="00295637">
        <w:rPr>
          <w:rFonts w:ascii="Times New Roman" w:hAnsi="Times New Roman"/>
          <w:szCs w:val="24"/>
          <w:lang w:val="bs-Latn-BA"/>
        </w:rPr>
        <w:t xml:space="preserve"> </w:t>
      </w:r>
      <w:r>
        <w:rPr>
          <w:rFonts w:ascii="Times New Roman" w:hAnsi="Times New Roman"/>
          <w:szCs w:val="24"/>
          <w:lang w:val="bs-Latn-BA"/>
        </w:rPr>
        <w:t>не</w:t>
      </w:r>
      <w:r w:rsidR="003C0562" w:rsidRPr="00295637">
        <w:rPr>
          <w:rFonts w:ascii="Times New Roman" w:hAnsi="Times New Roman"/>
          <w:szCs w:val="24"/>
          <w:lang w:val="bs-Latn-BA"/>
        </w:rPr>
        <w:t xml:space="preserve"> </w:t>
      </w:r>
      <w:r>
        <w:rPr>
          <w:rFonts w:ascii="Times New Roman" w:hAnsi="Times New Roman"/>
          <w:szCs w:val="24"/>
          <w:lang w:val="bs-Latn-BA"/>
        </w:rPr>
        <w:t>значи</w:t>
      </w:r>
      <w:r w:rsidR="003C0562" w:rsidRPr="00295637">
        <w:rPr>
          <w:rFonts w:ascii="Times New Roman" w:hAnsi="Times New Roman"/>
          <w:szCs w:val="24"/>
          <w:lang w:val="bs-Latn-BA"/>
        </w:rPr>
        <w:t xml:space="preserve"> </w:t>
      </w:r>
      <w:r>
        <w:rPr>
          <w:rFonts w:ascii="Times New Roman" w:hAnsi="Times New Roman"/>
          <w:szCs w:val="24"/>
          <w:lang w:val="bs-Latn-BA"/>
        </w:rPr>
        <w:t>да</w:t>
      </w:r>
      <w:r w:rsidR="003C0562" w:rsidRPr="00295637">
        <w:rPr>
          <w:rFonts w:ascii="Times New Roman" w:hAnsi="Times New Roman"/>
          <w:szCs w:val="24"/>
          <w:lang w:val="bs-Latn-BA"/>
        </w:rPr>
        <w:t xml:space="preserve"> </w:t>
      </w:r>
      <w:r>
        <w:rPr>
          <w:rFonts w:ascii="Times New Roman" w:hAnsi="Times New Roman"/>
          <w:szCs w:val="24"/>
          <w:lang w:val="bs-Latn-BA"/>
        </w:rPr>
        <w:t>се</w:t>
      </w:r>
      <w:r w:rsidR="003C0562" w:rsidRPr="00295637">
        <w:rPr>
          <w:rFonts w:ascii="Times New Roman" w:hAnsi="Times New Roman"/>
          <w:szCs w:val="24"/>
          <w:lang w:val="bs-Latn-BA"/>
        </w:rPr>
        <w:t xml:space="preserve"> </w:t>
      </w:r>
      <w:r>
        <w:rPr>
          <w:rFonts w:ascii="Times New Roman" w:hAnsi="Times New Roman"/>
          <w:szCs w:val="24"/>
          <w:lang w:val="bs-Latn-BA"/>
        </w:rPr>
        <w:t>поправио</w:t>
      </w:r>
      <w:r w:rsidR="003C0562" w:rsidRPr="00295637">
        <w:rPr>
          <w:rFonts w:ascii="Times New Roman" w:hAnsi="Times New Roman"/>
          <w:szCs w:val="24"/>
          <w:lang w:val="bs-Latn-BA"/>
        </w:rPr>
        <w:t xml:space="preserve"> </w:t>
      </w:r>
      <w:r>
        <w:rPr>
          <w:rFonts w:ascii="Times New Roman" w:hAnsi="Times New Roman"/>
          <w:szCs w:val="24"/>
          <w:lang w:val="bs-Latn-BA"/>
        </w:rPr>
        <w:t>положај</w:t>
      </w:r>
      <w:r w:rsidR="003C0562" w:rsidRPr="00295637">
        <w:rPr>
          <w:rFonts w:ascii="Times New Roman" w:hAnsi="Times New Roman"/>
          <w:szCs w:val="24"/>
          <w:lang w:val="bs-Latn-BA"/>
        </w:rPr>
        <w:t xml:space="preserve"> </w:t>
      </w:r>
      <w:r>
        <w:rPr>
          <w:rFonts w:ascii="Times New Roman" w:hAnsi="Times New Roman"/>
          <w:szCs w:val="24"/>
          <w:lang w:val="bs-Latn-BA"/>
        </w:rPr>
        <w:t>најугроженијих</w:t>
      </w:r>
      <w:r w:rsidR="003C0562" w:rsidRPr="00295637">
        <w:rPr>
          <w:rFonts w:ascii="Times New Roman" w:hAnsi="Times New Roman"/>
          <w:szCs w:val="24"/>
          <w:lang w:val="bs-Latn-BA"/>
        </w:rPr>
        <w:t xml:space="preserve"> </w:t>
      </w:r>
      <w:r>
        <w:rPr>
          <w:rFonts w:ascii="Times New Roman" w:hAnsi="Times New Roman"/>
          <w:szCs w:val="24"/>
          <w:lang w:val="bs-Latn-BA"/>
        </w:rPr>
        <w:t>категорија</w:t>
      </w:r>
      <w:r w:rsidR="003C0562" w:rsidRPr="00295637">
        <w:rPr>
          <w:rFonts w:ascii="Times New Roman" w:hAnsi="Times New Roman"/>
          <w:szCs w:val="24"/>
          <w:lang w:val="bs-Latn-BA"/>
        </w:rPr>
        <w:t xml:space="preserve"> </w:t>
      </w:r>
      <w:r>
        <w:rPr>
          <w:rFonts w:ascii="Times New Roman" w:hAnsi="Times New Roman"/>
          <w:szCs w:val="24"/>
          <w:lang w:val="bs-Latn-BA"/>
        </w:rPr>
        <w:t>становништва</w:t>
      </w:r>
      <w:r w:rsidR="003C0562" w:rsidRPr="00295637">
        <w:rPr>
          <w:rFonts w:ascii="Times New Roman" w:hAnsi="Times New Roman"/>
          <w:szCs w:val="24"/>
          <w:lang w:val="bs-Latn-BA"/>
        </w:rPr>
        <w:t xml:space="preserve">, </w:t>
      </w:r>
      <w:r>
        <w:rPr>
          <w:rFonts w:ascii="Times New Roman" w:hAnsi="Times New Roman"/>
          <w:szCs w:val="24"/>
          <w:lang w:val="bs-Latn-BA"/>
        </w:rPr>
        <w:t>него</w:t>
      </w:r>
      <w:r w:rsidR="003C0562" w:rsidRPr="00295637">
        <w:rPr>
          <w:rFonts w:ascii="Times New Roman" w:hAnsi="Times New Roman"/>
          <w:szCs w:val="24"/>
          <w:lang w:val="bs-Latn-BA"/>
        </w:rPr>
        <w:t xml:space="preserve"> </w:t>
      </w:r>
      <w:r>
        <w:rPr>
          <w:rFonts w:ascii="Times New Roman" w:hAnsi="Times New Roman"/>
          <w:szCs w:val="24"/>
          <w:lang w:val="bs-Latn-BA"/>
        </w:rPr>
        <w:t>да</w:t>
      </w:r>
      <w:r w:rsidR="003C0562" w:rsidRPr="00295637">
        <w:rPr>
          <w:rFonts w:ascii="Times New Roman" w:hAnsi="Times New Roman"/>
          <w:szCs w:val="24"/>
          <w:lang w:val="bs-Latn-BA"/>
        </w:rPr>
        <w:t xml:space="preserve"> </w:t>
      </w:r>
      <w:r>
        <w:rPr>
          <w:rFonts w:ascii="Times New Roman" w:hAnsi="Times New Roman"/>
          <w:szCs w:val="24"/>
          <w:lang w:val="bs-Latn-BA"/>
        </w:rPr>
        <w:t>је</w:t>
      </w:r>
      <w:r w:rsidR="003C0562" w:rsidRPr="00295637">
        <w:rPr>
          <w:rFonts w:ascii="Times New Roman" w:hAnsi="Times New Roman"/>
          <w:szCs w:val="24"/>
          <w:lang w:val="bs-Latn-BA"/>
        </w:rPr>
        <w:t xml:space="preserve"> </w:t>
      </w:r>
      <w:r>
        <w:rPr>
          <w:rFonts w:ascii="Times New Roman" w:hAnsi="Times New Roman"/>
          <w:szCs w:val="24"/>
          <w:lang w:val="bs-Latn-BA"/>
        </w:rPr>
        <w:t>на</w:t>
      </w:r>
      <w:r w:rsidR="003C0562" w:rsidRPr="00295637">
        <w:rPr>
          <w:rFonts w:ascii="Times New Roman" w:hAnsi="Times New Roman"/>
          <w:szCs w:val="24"/>
          <w:lang w:val="bs-Latn-BA"/>
        </w:rPr>
        <w:t xml:space="preserve"> </w:t>
      </w:r>
      <w:r>
        <w:rPr>
          <w:rFonts w:ascii="Times New Roman" w:hAnsi="Times New Roman"/>
          <w:szCs w:val="24"/>
          <w:lang w:val="bs-Latn-BA"/>
        </w:rPr>
        <w:t>њихов</w:t>
      </w:r>
      <w:r w:rsidR="003C0562" w:rsidRPr="00295637">
        <w:rPr>
          <w:rFonts w:ascii="Times New Roman" w:hAnsi="Times New Roman"/>
          <w:szCs w:val="24"/>
          <w:lang w:val="bs-Latn-BA"/>
        </w:rPr>
        <w:t xml:space="preserve"> </w:t>
      </w:r>
      <w:r>
        <w:rPr>
          <w:rFonts w:ascii="Times New Roman" w:hAnsi="Times New Roman"/>
          <w:szCs w:val="24"/>
          <w:lang w:val="bs-Latn-BA"/>
        </w:rPr>
        <w:t>број</w:t>
      </w:r>
      <w:r w:rsidR="003C0562" w:rsidRPr="00295637">
        <w:rPr>
          <w:rFonts w:ascii="Times New Roman" w:hAnsi="Times New Roman"/>
          <w:szCs w:val="24"/>
          <w:lang w:val="bs-Latn-BA"/>
        </w:rPr>
        <w:t xml:space="preserve"> </w:t>
      </w:r>
      <w:r>
        <w:rPr>
          <w:rFonts w:ascii="Times New Roman" w:hAnsi="Times New Roman"/>
          <w:szCs w:val="24"/>
          <w:lang w:val="bs-Latn-BA"/>
        </w:rPr>
        <w:t>и</w:t>
      </w:r>
      <w:r w:rsidR="003C0562" w:rsidRPr="00295637">
        <w:rPr>
          <w:rFonts w:ascii="Times New Roman" w:hAnsi="Times New Roman"/>
          <w:szCs w:val="24"/>
          <w:lang w:val="bs-Latn-BA"/>
        </w:rPr>
        <w:t xml:space="preserve"> </w:t>
      </w:r>
      <w:r>
        <w:rPr>
          <w:rFonts w:ascii="Times New Roman" w:hAnsi="Times New Roman"/>
          <w:szCs w:val="24"/>
          <w:lang w:val="bs-Latn-BA"/>
        </w:rPr>
        <w:t>положај</w:t>
      </w:r>
      <w:r w:rsidR="003C0562" w:rsidRPr="00295637">
        <w:rPr>
          <w:rFonts w:ascii="Times New Roman" w:hAnsi="Times New Roman"/>
          <w:szCs w:val="24"/>
          <w:lang w:val="bs-Latn-BA"/>
        </w:rPr>
        <w:t xml:space="preserve"> </w:t>
      </w:r>
      <w:r>
        <w:rPr>
          <w:rFonts w:ascii="Times New Roman" w:hAnsi="Times New Roman"/>
          <w:szCs w:val="24"/>
          <w:lang w:val="bs-Latn-BA"/>
        </w:rPr>
        <w:t>утицало</w:t>
      </w:r>
      <w:r w:rsidR="003C0562" w:rsidRPr="00295637">
        <w:rPr>
          <w:rFonts w:ascii="Times New Roman" w:hAnsi="Times New Roman"/>
          <w:szCs w:val="24"/>
          <w:lang w:val="bs-Latn-BA"/>
        </w:rPr>
        <w:t xml:space="preserve"> </w:t>
      </w:r>
      <w:r>
        <w:rPr>
          <w:rFonts w:ascii="Times New Roman" w:hAnsi="Times New Roman"/>
          <w:szCs w:val="24"/>
          <w:lang w:val="bs-Latn-BA"/>
        </w:rPr>
        <w:t>много</w:t>
      </w:r>
      <w:r w:rsidR="003C0562" w:rsidRPr="00295637">
        <w:rPr>
          <w:rFonts w:ascii="Times New Roman" w:hAnsi="Times New Roman"/>
          <w:szCs w:val="24"/>
          <w:lang w:val="bs-Latn-BA"/>
        </w:rPr>
        <w:t xml:space="preserve"> </w:t>
      </w:r>
      <w:r>
        <w:rPr>
          <w:rFonts w:ascii="Times New Roman" w:hAnsi="Times New Roman"/>
          <w:szCs w:val="24"/>
          <w:lang w:val="bs-Latn-BA"/>
        </w:rPr>
        <w:t>различитих</w:t>
      </w:r>
      <w:r w:rsidR="003C0562" w:rsidRPr="00295637">
        <w:rPr>
          <w:rFonts w:ascii="Times New Roman" w:hAnsi="Times New Roman"/>
          <w:szCs w:val="24"/>
          <w:lang w:val="bs-Latn-BA"/>
        </w:rPr>
        <w:t xml:space="preserve"> </w:t>
      </w:r>
      <w:r>
        <w:rPr>
          <w:rFonts w:ascii="Times New Roman" w:hAnsi="Times New Roman"/>
          <w:szCs w:val="24"/>
          <w:lang w:val="bs-Latn-BA"/>
        </w:rPr>
        <w:t>фактора</w:t>
      </w:r>
      <w:r w:rsidR="003C0562" w:rsidRPr="00295637">
        <w:rPr>
          <w:rFonts w:ascii="Times New Roman" w:hAnsi="Times New Roman"/>
          <w:szCs w:val="24"/>
          <w:lang w:val="bs-Latn-BA"/>
        </w:rPr>
        <w:t>.</w:t>
      </w:r>
      <w:r w:rsidR="003C0562" w:rsidRPr="00295637">
        <w:rPr>
          <w:rFonts w:ascii="Times New Roman" w:hAnsi="Times New Roman"/>
          <w:lang w:val="bs-Latn-BA"/>
        </w:rPr>
        <w:t xml:space="preserve"> </w:t>
      </w:r>
      <w:r>
        <w:rPr>
          <w:rFonts w:ascii="Times New Roman" w:hAnsi="Times New Roman"/>
          <w:lang w:val="bs-Latn-BA"/>
        </w:rPr>
        <w:t>Међу</w:t>
      </w:r>
      <w:r w:rsidR="00155895" w:rsidRPr="00295637">
        <w:rPr>
          <w:rFonts w:ascii="Times New Roman" w:hAnsi="Times New Roman"/>
          <w:lang w:val="bs-Latn-BA"/>
        </w:rPr>
        <w:t xml:space="preserve"> </w:t>
      </w:r>
      <w:r>
        <w:rPr>
          <w:rFonts w:ascii="Times New Roman" w:hAnsi="Times New Roman"/>
          <w:lang w:val="bs-Latn-BA"/>
        </w:rPr>
        <w:t>малољетним</w:t>
      </w:r>
      <w:r w:rsidR="00155895" w:rsidRPr="00295637">
        <w:rPr>
          <w:rFonts w:ascii="Times New Roman" w:hAnsi="Times New Roman"/>
          <w:lang w:val="bs-Latn-BA"/>
        </w:rPr>
        <w:t xml:space="preserve"> </w:t>
      </w:r>
      <w:r>
        <w:rPr>
          <w:rFonts w:ascii="Times New Roman" w:hAnsi="Times New Roman"/>
          <w:lang w:val="bs-Latn-BA"/>
        </w:rPr>
        <w:t>лицима</w:t>
      </w:r>
      <w:r w:rsidR="00155895" w:rsidRPr="00295637">
        <w:rPr>
          <w:rFonts w:ascii="Times New Roman" w:hAnsi="Times New Roman"/>
          <w:lang w:val="bs-Latn-BA"/>
        </w:rPr>
        <w:t xml:space="preserve"> </w:t>
      </w:r>
      <w:r>
        <w:rPr>
          <w:rFonts w:ascii="Times New Roman" w:hAnsi="Times New Roman"/>
          <w:lang w:val="bs-Latn-BA"/>
        </w:rPr>
        <w:t>које</w:t>
      </w:r>
      <w:r w:rsidR="00155895" w:rsidRPr="00295637">
        <w:rPr>
          <w:rFonts w:ascii="Times New Roman" w:hAnsi="Times New Roman"/>
          <w:lang w:val="bs-Latn-BA"/>
        </w:rPr>
        <w:t xml:space="preserve"> </w:t>
      </w:r>
      <w:r>
        <w:rPr>
          <w:rFonts w:ascii="Times New Roman" w:hAnsi="Times New Roman"/>
          <w:lang w:val="bs-Latn-BA"/>
        </w:rPr>
        <w:t>користе</w:t>
      </w:r>
      <w:r w:rsidR="00155895" w:rsidRPr="00295637">
        <w:rPr>
          <w:rFonts w:ascii="Times New Roman" w:hAnsi="Times New Roman"/>
          <w:lang w:val="bs-Latn-BA"/>
        </w:rPr>
        <w:t xml:space="preserve"> </w:t>
      </w:r>
      <w:r>
        <w:rPr>
          <w:rFonts w:ascii="Times New Roman" w:hAnsi="Times New Roman"/>
          <w:lang w:val="bs-Latn-BA"/>
        </w:rPr>
        <w:t>социјалну</w:t>
      </w:r>
      <w:r w:rsidR="00155895" w:rsidRPr="00295637">
        <w:rPr>
          <w:rFonts w:ascii="Times New Roman" w:hAnsi="Times New Roman"/>
          <w:lang w:val="bs-Latn-BA"/>
        </w:rPr>
        <w:t xml:space="preserve"> </w:t>
      </w:r>
      <w:r>
        <w:rPr>
          <w:rFonts w:ascii="Times New Roman" w:hAnsi="Times New Roman"/>
          <w:lang w:val="bs-Latn-BA"/>
        </w:rPr>
        <w:t>заштиту</w:t>
      </w:r>
      <w:r w:rsidR="00155895" w:rsidRPr="00295637">
        <w:rPr>
          <w:rFonts w:ascii="Times New Roman" w:hAnsi="Times New Roman"/>
          <w:lang w:val="bs-Latn-BA"/>
        </w:rPr>
        <w:t xml:space="preserve"> </w:t>
      </w:r>
      <w:r>
        <w:rPr>
          <w:rFonts w:ascii="Times New Roman" w:hAnsi="Times New Roman"/>
          <w:lang w:val="bs-Latn-BA"/>
        </w:rPr>
        <w:t>континуирано</w:t>
      </w:r>
      <w:r w:rsidR="00155895" w:rsidRPr="00295637">
        <w:rPr>
          <w:rFonts w:ascii="Times New Roman" w:hAnsi="Times New Roman"/>
          <w:lang w:val="bs-Latn-BA"/>
        </w:rPr>
        <w:t xml:space="preserve"> </w:t>
      </w:r>
      <w:r>
        <w:rPr>
          <w:rFonts w:ascii="Times New Roman" w:hAnsi="Times New Roman"/>
          <w:lang w:val="bs-Latn-BA"/>
        </w:rPr>
        <w:t>је</w:t>
      </w:r>
      <w:r w:rsidR="00155895" w:rsidRPr="00295637">
        <w:rPr>
          <w:rFonts w:ascii="Times New Roman" w:hAnsi="Times New Roman"/>
          <w:lang w:val="bs-Latn-BA"/>
        </w:rPr>
        <w:t xml:space="preserve"> </w:t>
      </w:r>
      <w:r>
        <w:rPr>
          <w:rFonts w:ascii="Times New Roman" w:hAnsi="Times New Roman"/>
          <w:lang w:val="bs-Latn-BA"/>
        </w:rPr>
        <w:t>нижи</w:t>
      </w:r>
      <w:r w:rsidR="00155895" w:rsidRPr="00295637">
        <w:rPr>
          <w:rFonts w:ascii="Times New Roman" w:hAnsi="Times New Roman"/>
          <w:lang w:val="bs-Latn-BA"/>
        </w:rPr>
        <w:t xml:space="preserve"> </w:t>
      </w:r>
      <w:r>
        <w:rPr>
          <w:rFonts w:ascii="Times New Roman" w:hAnsi="Times New Roman"/>
          <w:lang w:val="bs-Latn-BA"/>
        </w:rPr>
        <w:t>број</w:t>
      </w:r>
      <w:r w:rsidR="00155895" w:rsidRPr="00295637">
        <w:rPr>
          <w:rFonts w:ascii="Times New Roman" w:hAnsi="Times New Roman"/>
          <w:lang w:val="bs-Latn-BA"/>
        </w:rPr>
        <w:t xml:space="preserve"> </w:t>
      </w:r>
      <w:r>
        <w:rPr>
          <w:rFonts w:ascii="Times New Roman" w:hAnsi="Times New Roman"/>
          <w:lang w:val="bs-Latn-BA"/>
        </w:rPr>
        <w:t>женских</w:t>
      </w:r>
      <w:r w:rsidR="00155895" w:rsidRPr="00295637">
        <w:rPr>
          <w:rFonts w:ascii="Times New Roman" w:hAnsi="Times New Roman"/>
          <w:lang w:val="bs-Latn-BA"/>
        </w:rPr>
        <w:t xml:space="preserve"> </w:t>
      </w:r>
      <w:r>
        <w:rPr>
          <w:rFonts w:ascii="Times New Roman" w:hAnsi="Times New Roman"/>
          <w:lang w:val="bs-Latn-BA"/>
        </w:rPr>
        <w:t>него</w:t>
      </w:r>
      <w:r w:rsidR="00155895" w:rsidRPr="00295637">
        <w:rPr>
          <w:rFonts w:ascii="Times New Roman" w:hAnsi="Times New Roman"/>
          <w:lang w:val="bs-Latn-BA"/>
        </w:rPr>
        <w:t xml:space="preserve"> </w:t>
      </w:r>
      <w:r>
        <w:rPr>
          <w:rFonts w:ascii="Times New Roman" w:hAnsi="Times New Roman"/>
          <w:lang w:val="bs-Latn-BA"/>
        </w:rPr>
        <w:t>мушких</w:t>
      </w:r>
      <w:r w:rsidR="00155895" w:rsidRPr="00295637">
        <w:rPr>
          <w:rFonts w:ascii="Times New Roman" w:hAnsi="Times New Roman"/>
          <w:lang w:val="bs-Latn-BA"/>
        </w:rPr>
        <w:t xml:space="preserve"> </w:t>
      </w:r>
      <w:r>
        <w:rPr>
          <w:rFonts w:ascii="Times New Roman" w:hAnsi="Times New Roman"/>
          <w:lang w:val="bs-Latn-BA"/>
        </w:rPr>
        <w:t>лица</w:t>
      </w:r>
      <w:r w:rsidR="00155895" w:rsidRPr="00295637">
        <w:rPr>
          <w:rFonts w:ascii="Times New Roman" w:hAnsi="Times New Roman"/>
          <w:lang w:val="bs-Latn-BA"/>
        </w:rPr>
        <w:t xml:space="preserve">, </w:t>
      </w:r>
      <w:r>
        <w:rPr>
          <w:rFonts w:ascii="Times New Roman" w:hAnsi="Times New Roman"/>
          <w:lang w:val="bs-Latn-BA"/>
        </w:rPr>
        <w:t>што</w:t>
      </w:r>
      <w:r w:rsidR="00155895" w:rsidRPr="00295637">
        <w:rPr>
          <w:rFonts w:ascii="Times New Roman" w:hAnsi="Times New Roman"/>
          <w:lang w:val="bs-Latn-BA"/>
        </w:rPr>
        <w:t xml:space="preserve"> </w:t>
      </w:r>
      <w:r>
        <w:rPr>
          <w:rFonts w:ascii="Times New Roman" w:hAnsi="Times New Roman"/>
          <w:lang w:val="bs-Latn-BA"/>
        </w:rPr>
        <w:t>је</w:t>
      </w:r>
      <w:r w:rsidR="00155895" w:rsidRPr="00295637">
        <w:rPr>
          <w:rFonts w:ascii="Times New Roman" w:hAnsi="Times New Roman"/>
          <w:lang w:val="bs-Latn-BA"/>
        </w:rPr>
        <w:t xml:space="preserve"> </w:t>
      </w:r>
      <w:r>
        <w:rPr>
          <w:rFonts w:ascii="Times New Roman" w:hAnsi="Times New Roman"/>
          <w:lang w:val="bs-Latn-BA"/>
        </w:rPr>
        <w:t>био</w:t>
      </w:r>
      <w:r w:rsidR="00155895" w:rsidRPr="00295637">
        <w:rPr>
          <w:rFonts w:ascii="Times New Roman" w:hAnsi="Times New Roman"/>
          <w:lang w:val="bs-Latn-BA"/>
        </w:rPr>
        <w:t xml:space="preserve"> </w:t>
      </w:r>
      <w:r>
        <w:rPr>
          <w:rFonts w:ascii="Times New Roman" w:hAnsi="Times New Roman"/>
          <w:lang w:val="bs-Latn-BA"/>
        </w:rPr>
        <w:t>тренд</w:t>
      </w:r>
      <w:r w:rsidR="00155895" w:rsidRPr="00295637">
        <w:rPr>
          <w:rFonts w:ascii="Times New Roman" w:hAnsi="Times New Roman"/>
          <w:lang w:val="bs-Latn-BA"/>
        </w:rPr>
        <w:t xml:space="preserve"> </w:t>
      </w:r>
      <w:r>
        <w:rPr>
          <w:rFonts w:ascii="Times New Roman" w:hAnsi="Times New Roman"/>
          <w:lang w:val="bs-Latn-BA"/>
        </w:rPr>
        <w:t>и</w:t>
      </w:r>
      <w:r w:rsidR="00155895" w:rsidRPr="00295637">
        <w:rPr>
          <w:rFonts w:ascii="Times New Roman" w:hAnsi="Times New Roman"/>
          <w:lang w:val="bs-Latn-BA"/>
        </w:rPr>
        <w:t xml:space="preserve"> </w:t>
      </w:r>
      <w:r>
        <w:rPr>
          <w:rFonts w:ascii="Times New Roman" w:hAnsi="Times New Roman"/>
          <w:lang w:val="bs-Latn-BA"/>
        </w:rPr>
        <w:t>када</w:t>
      </w:r>
      <w:r w:rsidR="00155895" w:rsidRPr="00295637">
        <w:rPr>
          <w:rFonts w:ascii="Times New Roman" w:hAnsi="Times New Roman"/>
          <w:lang w:val="bs-Latn-BA"/>
        </w:rPr>
        <w:t xml:space="preserve"> </w:t>
      </w:r>
      <w:r>
        <w:rPr>
          <w:rFonts w:ascii="Times New Roman" w:hAnsi="Times New Roman"/>
          <w:lang w:val="bs-Latn-BA"/>
        </w:rPr>
        <w:t>је</w:t>
      </w:r>
      <w:r w:rsidR="00155895" w:rsidRPr="00295637">
        <w:rPr>
          <w:rFonts w:ascii="Times New Roman" w:hAnsi="Times New Roman"/>
          <w:lang w:val="bs-Latn-BA"/>
        </w:rPr>
        <w:t xml:space="preserve"> </w:t>
      </w:r>
      <w:r>
        <w:rPr>
          <w:rFonts w:ascii="Times New Roman" w:hAnsi="Times New Roman"/>
          <w:lang w:val="bs-Latn-BA"/>
        </w:rPr>
        <w:t>ријеч</w:t>
      </w:r>
      <w:r w:rsidR="00155895" w:rsidRPr="00295637">
        <w:rPr>
          <w:rFonts w:ascii="Times New Roman" w:hAnsi="Times New Roman"/>
          <w:lang w:val="bs-Latn-BA"/>
        </w:rPr>
        <w:t xml:space="preserve"> </w:t>
      </w:r>
      <w:r>
        <w:rPr>
          <w:rFonts w:ascii="Times New Roman" w:hAnsi="Times New Roman"/>
          <w:lang w:val="bs-Latn-BA"/>
        </w:rPr>
        <w:t>о</w:t>
      </w:r>
      <w:r w:rsidR="00155895" w:rsidRPr="00295637">
        <w:rPr>
          <w:rFonts w:ascii="Times New Roman" w:hAnsi="Times New Roman"/>
          <w:lang w:val="bs-Latn-BA"/>
        </w:rPr>
        <w:t xml:space="preserve"> </w:t>
      </w:r>
      <w:r>
        <w:rPr>
          <w:rFonts w:ascii="Times New Roman" w:hAnsi="Times New Roman"/>
          <w:lang w:val="bs-Latn-BA"/>
        </w:rPr>
        <w:t>пунољетним</w:t>
      </w:r>
      <w:r w:rsidR="00155895" w:rsidRPr="00295637">
        <w:rPr>
          <w:rFonts w:ascii="Times New Roman" w:hAnsi="Times New Roman"/>
          <w:lang w:val="bs-Latn-BA"/>
        </w:rPr>
        <w:t xml:space="preserve"> </w:t>
      </w:r>
      <w:r>
        <w:rPr>
          <w:rFonts w:ascii="Times New Roman" w:hAnsi="Times New Roman"/>
          <w:lang w:val="bs-Latn-BA"/>
        </w:rPr>
        <w:t>лицима</w:t>
      </w:r>
      <w:r w:rsidR="00155895" w:rsidRPr="00295637">
        <w:rPr>
          <w:rFonts w:ascii="Times New Roman" w:hAnsi="Times New Roman"/>
          <w:lang w:val="bs-Latn-BA"/>
        </w:rPr>
        <w:t xml:space="preserve">, </w:t>
      </w:r>
      <w:r>
        <w:rPr>
          <w:rFonts w:ascii="Times New Roman" w:hAnsi="Times New Roman"/>
          <w:lang w:val="bs-Latn-BA"/>
        </w:rPr>
        <w:t>међутим</w:t>
      </w:r>
      <w:r w:rsidR="00155895" w:rsidRPr="00295637">
        <w:rPr>
          <w:rFonts w:ascii="Times New Roman" w:hAnsi="Times New Roman"/>
          <w:lang w:val="bs-Latn-BA"/>
        </w:rPr>
        <w:t xml:space="preserve">, </w:t>
      </w:r>
      <w:r>
        <w:rPr>
          <w:rFonts w:ascii="Times New Roman" w:hAnsi="Times New Roman"/>
          <w:lang w:val="bs-Latn-BA"/>
        </w:rPr>
        <w:t>од</w:t>
      </w:r>
      <w:r w:rsidR="00155895" w:rsidRPr="00295637">
        <w:rPr>
          <w:rFonts w:ascii="Times New Roman" w:hAnsi="Times New Roman"/>
          <w:lang w:val="bs-Latn-BA"/>
        </w:rPr>
        <w:t xml:space="preserve"> 2022. </w:t>
      </w:r>
      <w:r>
        <w:rPr>
          <w:rFonts w:ascii="Times New Roman" w:hAnsi="Times New Roman"/>
          <w:lang w:val="bs-Latn-BA"/>
        </w:rPr>
        <w:t>године</w:t>
      </w:r>
      <w:r w:rsidR="00155895" w:rsidRPr="00295637">
        <w:rPr>
          <w:rFonts w:ascii="Times New Roman" w:hAnsi="Times New Roman"/>
          <w:lang w:val="bs-Latn-BA"/>
        </w:rPr>
        <w:t xml:space="preserve"> </w:t>
      </w:r>
      <w:r>
        <w:rPr>
          <w:rFonts w:ascii="Times New Roman" w:hAnsi="Times New Roman"/>
          <w:lang w:val="bs-Latn-BA"/>
        </w:rPr>
        <w:t>омјер</w:t>
      </w:r>
      <w:r w:rsidR="00155895" w:rsidRPr="00295637">
        <w:rPr>
          <w:rFonts w:ascii="Times New Roman" w:hAnsi="Times New Roman"/>
          <w:lang w:val="bs-Latn-BA"/>
        </w:rPr>
        <w:t xml:space="preserve"> </w:t>
      </w:r>
      <w:r>
        <w:rPr>
          <w:rFonts w:ascii="Times New Roman" w:hAnsi="Times New Roman"/>
          <w:lang w:val="bs-Latn-BA"/>
        </w:rPr>
        <w:t>је</w:t>
      </w:r>
      <w:r w:rsidR="00155895" w:rsidRPr="00295637">
        <w:rPr>
          <w:rFonts w:ascii="Times New Roman" w:hAnsi="Times New Roman"/>
          <w:lang w:val="bs-Latn-BA"/>
        </w:rPr>
        <w:t xml:space="preserve"> </w:t>
      </w:r>
      <w:r>
        <w:rPr>
          <w:rFonts w:ascii="Times New Roman" w:hAnsi="Times New Roman"/>
          <w:lang w:val="bs-Latn-BA"/>
        </w:rPr>
        <w:t>преокренут</w:t>
      </w:r>
      <w:r w:rsidR="00155895" w:rsidRPr="00295637">
        <w:rPr>
          <w:rFonts w:ascii="Times New Roman" w:hAnsi="Times New Roman"/>
          <w:lang w:val="bs-Latn-BA"/>
        </w:rPr>
        <w:t xml:space="preserve"> </w:t>
      </w:r>
      <w:r>
        <w:rPr>
          <w:rFonts w:ascii="Times New Roman" w:hAnsi="Times New Roman"/>
          <w:lang w:val="bs-Latn-BA"/>
        </w:rPr>
        <w:t>у</w:t>
      </w:r>
      <w:r w:rsidR="00155895" w:rsidRPr="00295637">
        <w:rPr>
          <w:rFonts w:ascii="Times New Roman" w:hAnsi="Times New Roman"/>
          <w:lang w:val="bs-Latn-BA"/>
        </w:rPr>
        <w:t xml:space="preserve"> </w:t>
      </w:r>
      <w:r>
        <w:rPr>
          <w:rFonts w:ascii="Times New Roman" w:hAnsi="Times New Roman"/>
          <w:lang w:val="bs-Latn-BA"/>
        </w:rPr>
        <w:t>корист</w:t>
      </w:r>
      <w:r w:rsidR="00155895" w:rsidRPr="00295637">
        <w:rPr>
          <w:rFonts w:ascii="Times New Roman" w:hAnsi="Times New Roman"/>
          <w:lang w:val="bs-Latn-BA"/>
        </w:rPr>
        <w:t xml:space="preserve"> </w:t>
      </w:r>
      <w:r>
        <w:rPr>
          <w:rFonts w:ascii="Times New Roman" w:hAnsi="Times New Roman"/>
          <w:lang w:val="bs-Latn-BA"/>
        </w:rPr>
        <w:t>лица</w:t>
      </w:r>
      <w:r w:rsidR="00155895" w:rsidRPr="00295637">
        <w:rPr>
          <w:rFonts w:ascii="Times New Roman" w:hAnsi="Times New Roman"/>
          <w:lang w:val="bs-Latn-BA"/>
        </w:rPr>
        <w:t xml:space="preserve"> </w:t>
      </w:r>
      <w:r>
        <w:rPr>
          <w:rFonts w:ascii="Times New Roman" w:hAnsi="Times New Roman"/>
          <w:lang w:val="bs-Latn-BA"/>
        </w:rPr>
        <w:t>женског</w:t>
      </w:r>
      <w:r w:rsidR="00155895" w:rsidRPr="00295637">
        <w:rPr>
          <w:rFonts w:ascii="Times New Roman" w:hAnsi="Times New Roman"/>
          <w:lang w:val="bs-Latn-BA"/>
        </w:rPr>
        <w:t xml:space="preserve"> </w:t>
      </w:r>
      <w:r>
        <w:rPr>
          <w:rFonts w:ascii="Times New Roman" w:hAnsi="Times New Roman"/>
          <w:lang w:val="bs-Latn-BA"/>
        </w:rPr>
        <w:t>пола</w:t>
      </w:r>
      <w:r w:rsidR="00155895" w:rsidRPr="00295637">
        <w:rPr>
          <w:rFonts w:ascii="Times New Roman" w:hAnsi="Times New Roman"/>
          <w:lang w:val="bs-Latn-BA"/>
        </w:rPr>
        <w:t>.</w:t>
      </w:r>
    </w:p>
    <w:p w:rsidR="00155895" w:rsidRPr="00295637" w:rsidRDefault="00155895" w:rsidP="0086268D">
      <w:pPr>
        <w:jc w:val="both"/>
        <w:rPr>
          <w:rFonts w:ascii="Times New Roman" w:hAnsi="Times New Roman"/>
          <w:lang w:val="bs-Latn-BA"/>
        </w:rPr>
      </w:pPr>
    </w:p>
    <w:p w:rsidR="003F78C9" w:rsidRPr="00295637" w:rsidRDefault="00C6214E" w:rsidP="0086268D">
      <w:pPr>
        <w:jc w:val="both"/>
        <w:rPr>
          <w:rFonts w:ascii="Times New Roman" w:hAnsi="Times New Roman"/>
          <w:lang w:val="sr-Latn-BA" w:eastAsia="sr-Latn-BA"/>
        </w:rPr>
      </w:pPr>
      <w:r>
        <w:rPr>
          <w:rFonts w:ascii="Times New Roman" w:hAnsi="Times New Roman"/>
          <w:lang w:val="bs-Latn-BA" w:eastAsia="bs-Latn-BA"/>
        </w:rPr>
        <w:t>Евидентан</w:t>
      </w:r>
      <w:r w:rsidR="003F78C9" w:rsidRPr="00295637">
        <w:rPr>
          <w:rFonts w:ascii="Times New Roman" w:hAnsi="Times New Roman"/>
          <w:lang w:val="bs-Latn-BA" w:eastAsia="bs-Latn-BA"/>
        </w:rPr>
        <w:t xml:space="preserve"> </w:t>
      </w:r>
      <w:r>
        <w:rPr>
          <w:rFonts w:ascii="Times New Roman" w:hAnsi="Times New Roman"/>
          <w:lang w:val="bs-Latn-BA" w:eastAsia="bs-Latn-BA"/>
        </w:rPr>
        <w:t>је</w:t>
      </w:r>
      <w:r w:rsidR="0030076B" w:rsidRPr="00295637">
        <w:rPr>
          <w:rFonts w:ascii="Times New Roman" w:hAnsi="Times New Roman"/>
          <w:lang w:val="bs-Latn-BA" w:eastAsia="bs-Latn-BA"/>
        </w:rPr>
        <w:t xml:space="preserve"> </w:t>
      </w:r>
      <w:r>
        <w:rPr>
          <w:rFonts w:ascii="Times New Roman" w:hAnsi="Times New Roman"/>
          <w:lang w:val="bs-Latn-BA" w:eastAsia="bs-Latn-BA"/>
        </w:rPr>
        <w:t>проблем</w:t>
      </w:r>
      <w:r w:rsidR="003F78C9" w:rsidRPr="00295637">
        <w:rPr>
          <w:rFonts w:ascii="Times New Roman" w:hAnsi="Times New Roman"/>
          <w:lang w:val="bs-Latn-BA" w:eastAsia="bs-Latn-BA"/>
        </w:rPr>
        <w:t xml:space="preserve"> </w:t>
      </w:r>
      <w:r>
        <w:rPr>
          <w:rFonts w:ascii="Times New Roman" w:hAnsi="Times New Roman"/>
          <w:bCs/>
          <w:lang w:val="bs-Latn-BA"/>
        </w:rPr>
        <w:t>непостојања</w:t>
      </w:r>
      <w:r w:rsidR="003F78C9" w:rsidRPr="00295637">
        <w:rPr>
          <w:rFonts w:ascii="Times New Roman" w:hAnsi="Times New Roman"/>
          <w:bCs/>
          <w:lang w:val="bs-Latn-BA"/>
        </w:rPr>
        <w:t xml:space="preserve"> </w:t>
      </w:r>
      <w:r>
        <w:rPr>
          <w:rFonts w:ascii="Times New Roman" w:hAnsi="Times New Roman"/>
          <w:bCs/>
          <w:lang w:val="bs-Latn-BA"/>
        </w:rPr>
        <w:t>социјалног</w:t>
      </w:r>
      <w:r w:rsidR="003F78C9" w:rsidRPr="00295637">
        <w:rPr>
          <w:rFonts w:ascii="Times New Roman" w:hAnsi="Times New Roman"/>
          <w:bCs/>
          <w:lang w:val="bs-Latn-BA"/>
        </w:rPr>
        <w:t xml:space="preserve"> </w:t>
      </w:r>
      <w:r>
        <w:rPr>
          <w:rFonts w:ascii="Times New Roman" w:hAnsi="Times New Roman"/>
          <w:bCs/>
          <w:lang w:val="bs-Latn-BA"/>
        </w:rPr>
        <w:t>предузетништва</w:t>
      </w:r>
      <w:r w:rsidR="003F78C9" w:rsidRPr="00295637">
        <w:rPr>
          <w:rFonts w:ascii="Times New Roman" w:hAnsi="Times New Roman"/>
          <w:bCs/>
          <w:lang w:val="bs-Latn-BA"/>
        </w:rPr>
        <w:t xml:space="preserve"> </w:t>
      </w:r>
      <w:r>
        <w:rPr>
          <w:rFonts w:ascii="Times New Roman" w:hAnsi="Times New Roman"/>
          <w:bCs/>
          <w:lang w:val="bs-Latn-BA"/>
        </w:rPr>
        <w:t>који</w:t>
      </w:r>
      <w:r w:rsidR="003F78C9" w:rsidRPr="00295637">
        <w:rPr>
          <w:rFonts w:ascii="Times New Roman" w:hAnsi="Times New Roman"/>
          <w:bCs/>
          <w:lang w:val="bs-Latn-BA"/>
        </w:rPr>
        <w:t xml:space="preserve"> </w:t>
      </w:r>
      <w:r>
        <w:rPr>
          <w:rFonts w:ascii="Times New Roman" w:hAnsi="Times New Roman"/>
          <w:bCs/>
          <w:lang w:val="bs-Latn-BA"/>
        </w:rPr>
        <w:t>би</w:t>
      </w:r>
      <w:r w:rsidR="003F78C9" w:rsidRPr="00295637">
        <w:rPr>
          <w:rFonts w:ascii="Times New Roman" w:hAnsi="Times New Roman"/>
          <w:bCs/>
          <w:lang w:val="bs-Latn-BA"/>
        </w:rPr>
        <w:t xml:space="preserve"> </w:t>
      </w:r>
      <w:r>
        <w:rPr>
          <w:rFonts w:ascii="Times New Roman" w:hAnsi="Times New Roman"/>
          <w:bCs/>
          <w:lang w:val="bs-Latn-BA"/>
        </w:rPr>
        <w:t>омогућио</w:t>
      </w:r>
      <w:r w:rsidR="003F78C9" w:rsidRPr="00295637">
        <w:rPr>
          <w:rFonts w:ascii="Times New Roman" w:hAnsi="Times New Roman"/>
          <w:bCs/>
          <w:lang w:val="bs-Latn-BA"/>
        </w:rPr>
        <w:t xml:space="preserve"> </w:t>
      </w:r>
      <w:r>
        <w:rPr>
          <w:rFonts w:ascii="Times New Roman" w:hAnsi="Times New Roman"/>
          <w:bCs/>
          <w:lang w:val="bs-Latn-BA"/>
        </w:rPr>
        <w:t>женама</w:t>
      </w:r>
      <w:r w:rsidR="003F78C9" w:rsidRPr="00295637">
        <w:rPr>
          <w:rFonts w:ascii="Times New Roman" w:hAnsi="Times New Roman"/>
          <w:bCs/>
          <w:lang w:val="bs-Latn-BA"/>
        </w:rPr>
        <w:t xml:space="preserve"> </w:t>
      </w:r>
      <w:r>
        <w:rPr>
          <w:rFonts w:ascii="Times New Roman" w:hAnsi="Times New Roman"/>
          <w:bCs/>
          <w:lang w:val="bs-Latn-BA"/>
        </w:rPr>
        <w:t>да</w:t>
      </w:r>
      <w:r w:rsidR="003F78C9" w:rsidRPr="00295637">
        <w:rPr>
          <w:rFonts w:ascii="Times New Roman" w:hAnsi="Times New Roman"/>
          <w:bCs/>
          <w:lang w:val="bs-Latn-BA"/>
        </w:rPr>
        <w:t xml:space="preserve"> </w:t>
      </w:r>
      <w:r>
        <w:rPr>
          <w:rFonts w:ascii="Times New Roman" w:hAnsi="Times New Roman"/>
          <w:bCs/>
          <w:lang w:val="bs-Latn-BA"/>
        </w:rPr>
        <w:t>развију</w:t>
      </w:r>
      <w:r w:rsidR="003F78C9" w:rsidRPr="00295637">
        <w:rPr>
          <w:rFonts w:ascii="Times New Roman" w:hAnsi="Times New Roman"/>
          <w:bCs/>
          <w:lang w:val="bs-Latn-BA"/>
        </w:rPr>
        <w:t xml:space="preserve"> </w:t>
      </w:r>
      <w:r>
        <w:rPr>
          <w:rFonts w:ascii="Times New Roman" w:hAnsi="Times New Roman"/>
          <w:bCs/>
          <w:lang w:val="bs-Latn-BA"/>
        </w:rPr>
        <w:t>своје</w:t>
      </w:r>
      <w:r w:rsidR="003F78C9" w:rsidRPr="00295637">
        <w:rPr>
          <w:rFonts w:ascii="Times New Roman" w:hAnsi="Times New Roman"/>
          <w:bCs/>
          <w:lang w:val="bs-Latn-BA"/>
        </w:rPr>
        <w:t xml:space="preserve"> </w:t>
      </w:r>
      <w:r>
        <w:rPr>
          <w:rFonts w:ascii="Times New Roman" w:hAnsi="Times New Roman"/>
          <w:bCs/>
          <w:lang w:val="bs-Latn-BA"/>
        </w:rPr>
        <w:t>способности</w:t>
      </w:r>
      <w:r w:rsidR="003F78C9" w:rsidRPr="00295637">
        <w:rPr>
          <w:rFonts w:ascii="Times New Roman" w:hAnsi="Times New Roman"/>
          <w:bCs/>
          <w:lang w:val="bs-Latn-BA"/>
        </w:rPr>
        <w:t xml:space="preserve">, </w:t>
      </w:r>
      <w:r>
        <w:rPr>
          <w:rFonts w:ascii="Times New Roman" w:hAnsi="Times New Roman"/>
          <w:bCs/>
          <w:lang w:val="bs-Latn-BA"/>
        </w:rPr>
        <w:t>увећају</w:t>
      </w:r>
      <w:r w:rsidR="003F78C9" w:rsidRPr="00295637">
        <w:rPr>
          <w:rFonts w:ascii="Times New Roman" w:hAnsi="Times New Roman"/>
          <w:bCs/>
          <w:lang w:val="bs-Latn-BA"/>
        </w:rPr>
        <w:t xml:space="preserve"> </w:t>
      </w:r>
      <w:r>
        <w:rPr>
          <w:rFonts w:ascii="Times New Roman" w:hAnsi="Times New Roman"/>
          <w:bCs/>
          <w:lang w:val="bs-Latn-BA"/>
        </w:rPr>
        <w:t>приходе</w:t>
      </w:r>
      <w:r w:rsidR="003F78C9" w:rsidRPr="00295637">
        <w:rPr>
          <w:rFonts w:ascii="Times New Roman" w:hAnsi="Times New Roman"/>
          <w:bCs/>
          <w:lang w:val="bs-Latn-BA"/>
        </w:rPr>
        <w:t xml:space="preserve">, </w:t>
      </w:r>
      <w:r>
        <w:rPr>
          <w:rFonts w:ascii="Times New Roman" w:hAnsi="Times New Roman"/>
          <w:bCs/>
          <w:lang w:val="bs-Latn-BA"/>
        </w:rPr>
        <w:t>као</w:t>
      </w:r>
      <w:r w:rsidR="003F78C9" w:rsidRPr="00295637">
        <w:rPr>
          <w:rFonts w:ascii="Times New Roman" w:hAnsi="Times New Roman"/>
          <w:bCs/>
          <w:lang w:val="bs-Latn-BA"/>
        </w:rPr>
        <w:t xml:space="preserve"> </w:t>
      </w:r>
      <w:r>
        <w:rPr>
          <w:rFonts w:ascii="Times New Roman" w:hAnsi="Times New Roman"/>
          <w:bCs/>
          <w:lang w:val="bs-Latn-BA"/>
        </w:rPr>
        <w:t>и</w:t>
      </w:r>
      <w:r w:rsidR="003F78C9" w:rsidRPr="00295637">
        <w:rPr>
          <w:rFonts w:ascii="Times New Roman" w:hAnsi="Times New Roman"/>
          <w:bCs/>
          <w:lang w:val="bs-Latn-BA"/>
        </w:rPr>
        <w:t xml:space="preserve"> </w:t>
      </w:r>
      <w:r>
        <w:rPr>
          <w:rFonts w:ascii="Times New Roman" w:hAnsi="Times New Roman"/>
          <w:bCs/>
          <w:lang w:val="bs-Latn-BA"/>
        </w:rPr>
        <w:t>сам</w:t>
      </w:r>
      <w:r w:rsidR="003F78C9" w:rsidRPr="00295637">
        <w:rPr>
          <w:rFonts w:ascii="Times New Roman" w:hAnsi="Times New Roman"/>
          <w:bCs/>
          <w:lang w:val="bs-Latn-BA"/>
        </w:rPr>
        <w:t xml:space="preserve"> </w:t>
      </w:r>
      <w:r>
        <w:rPr>
          <w:rFonts w:ascii="Times New Roman" w:hAnsi="Times New Roman"/>
          <w:bCs/>
          <w:lang w:val="bs-Latn-BA"/>
        </w:rPr>
        <w:t>развој</w:t>
      </w:r>
      <w:r w:rsidR="003F78C9" w:rsidRPr="00295637">
        <w:rPr>
          <w:rFonts w:ascii="Times New Roman" w:hAnsi="Times New Roman"/>
          <w:bCs/>
          <w:lang w:val="bs-Latn-BA"/>
        </w:rPr>
        <w:t xml:space="preserve"> </w:t>
      </w:r>
      <w:r>
        <w:rPr>
          <w:rFonts w:ascii="Times New Roman" w:hAnsi="Times New Roman"/>
          <w:bCs/>
          <w:lang w:val="bs-Latn-BA"/>
        </w:rPr>
        <w:t>руралне</w:t>
      </w:r>
      <w:r w:rsidR="003F78C9" w:rsidRPr="00295637">
        <w:rPr>
          <w:rFonts w:ascii="Times New Roman" w:hAnsi="Times New Roman"/>
          <w:bCs/>
          <w:lang w:val="bs-Latn-BA"/>
        </w:rPr>
        <w:t xml:space="preserve"> </w:t>
      </w:r>
      <w:r>
        <w:rPr>
          <w:rFonts w:ascii="Times New Roman" w:hAnsi="Times New Roman"/>
          <w:bCs/>
          <w:lang w:val="bs-Latn-BA"/>
        </w:rPr>
        <w:t>области</w:t>
      </w:r>
      <w:r w:rsidR="003F78C9" w:rsidRPr="00295637">
        <w:rPr>
          <w:rFonts w:ascii="Times New Roman" w:hAnsi="Times New Roman"/>
          <w:bCs/>
          <w:lang w:val="bs-Latn-BA"/>
        </w:rPr>
        <w:t xml:space="preserve">. </w:t>
      </w:r>
      <w:r>
        <w:rPr>
          <w:rFonts w:ascii="Times New Roman" w:hAnsi="Times New Roman"/>
          <w:lang w:val="sr-Latn-BA" w:eastAsia="sr-Latn-BA"/>
        </w:rPr>
        <w:t>Жене</w:t>
      </w:r>
      <w:r w:rsidR="003F78C9" w:rsidRPr="00295637">
        <w:rPr>
          <w:rFonts w:ascii="Times New Roman" w:hAnsi="Times New Roman"/>
          <w:lang w:val="sr-Latn-BA" w:eastAsia="sr-Latn-BA"/>
        </w:rPr>
        <w:t xml:space="preserve"> </w:t>
      </w:r>
      <w:r>
        <w:rPr>
          <w:rFonts w:ascii="Times New Roman" w:hAnsi="Times New Roman"/>
          <w:lang w:val="sr-Latn-BA" w:eastAsia="sr-Latn-BA"/>
        </w:rPr>
        <w:t>у</w:t>
      </w:r>
      <w:r w:rsidR="003F78C9" w:rsidRPr="00295637">
        <w:rPr>
          <w:rFonts w:ascii="Times New Roman" w:hAnsi="Times New Roman"/>
          <w:lang w:val="sr-Latn-BA" w:eastAsia="sr-Latn-BA"/>
        </w:rPr>
        <w:t xml:space="preserve"> </w:t>
      </w:r>
      <w:r>
        <w:rPr>
          <w:rFonts w:ascii="Times New Roman" w:hAnsi="Times New Roman"/>
          <w:lang w:val="sr-Latn-BA" w:eastAsia="sr-Latn-BA"/>
        </w:rPr>
        <w:t>покрету</w:t>
      </w:r>
      <w:r w:rsidR="003F78C9" w:rsidRPr="00295637">
        <w:rPr>
          <w:rFonts w:ascii="Times New Roman" w:hAnsi="Times New Roman"/>
          <w:lang w:val="sr-Latn-BA" w:eastAsia="sr-Latn-BA"/>
        </w:rPr>
        <w:t xml:space="preserve"> </w:t>
      </w:r>
      <w:r>
        <w:rPr>
          <w:rFonts w:ascii="Times New Roman" w:hAnsi="Times New Roman"/>
          <w:lang w:val="sr-Latn-BA" w:eastAsia="sr-Latn-BA"/>
        </w:rPr>
        <w:t>су</w:t>
      </w:r>
      <w:r w:rsidR="003F78C9" w:rsidRPr="00295637">
        <w:rPr>
          <w:rFonts w:ascii="Times New Roman" w:hAnsi="Times New Roman"/>
          <w:lang w:val="sr-Latn-BA" w:eastAsia="sr-Latn-BA"/>
        </w:rPr>
        <w:t xml:space="preserve"> </w:t>
      </w:r>
      <w:r>
        <w:rPr>
          <w:rFonts w:ascii="Times New Roman" w:hAnsi="Times New Roman"/>
          <w:lang w:val="sr-Latn-BA" w:eastAsia="sr-Latn-BA"/>
        </w:rPr>
        <w:t>у</w:t>
      </w:r>
      <w:r w:rsidR="003F78C9" w:rsidRPr="00295637">
        <w:rPr>
          <w:rFonts w:ascii="Times New Roman" w:hAnsi="Times New Roman"/>
          <w:lang w:val="sr-Latn-BA" w:eastAsia="sr-Latn-BA"/>
        </w:rPr>
        <w:t xml:space="preserve"> </w:t>
      </w:r>
      <w:r>
        <w:rPr>
          <w:rFonts w:ascii="Times New Roman" w:hAnsi="Times New Roman"/>
          <w:lang w:val="sr-Latn-BA" w:eastAsia="sr-Latn-BA"/>
        </w:rPr>
        <w:t>већем</w:t>
      </w:r>
      <w:r w:rsidR="003F78C9" w:rsidRPr="00295637">
        <w:rPr>
          <w:rFonts w:ascii="Times New Roman" w:hAnsi="Times New Roman"/>
          <w:lang w:val="sr-Latn-BA" w:eastAsia="sr-Latn-BA"/>
        </w:rPr>
        <w:t xml:space="preserve"> </w:t>
      </w:r>
      <w:r>
        <w:rPr>
          <w:rFonts w:ascii="Times New Roman" w:hAnsi="Times New Roman"/>
          <w:lang w:val="sr-Latn-BA" w:eastAsia="sr-Latn-BA"/>
        </w:rPr>
        <w:t>ризику</w:t>
      </w:r>
      <w:r w:rsidR="003F78C9" w:rsidRPr="00295637">
        <w:rPr>
          <w:rFonts w:ascii="Times New Roman" w:hAnsi="Times New Roman"/>
          <w:lang w:val="sr-Latn-BA" w:eastAsia="sr-Latn-BA"/>
        </w:rPr>
        <w:t xml:space="preserve"> </w:t>
      </w:r>
      <w:r>
        <w:rPr>
          <w:rFonts w:ascii="Times New Roman" w:hAnsi="Times New Roman"/>
          <w:lang w:val="sr-Latn-BA" w:eastAsia="sr-Latn-BA"/>
        </w:rPr>
        <w:t>да</w:t>
      </w:r>
      <w:r w:rsidR="003F78C9" w:rsidRPr="00295637">
        <w:rPr>
          <w:rFonts w:ascii="Times New Roman" w:hAnsi="Times New Roman"/>
          <w:lang w:val="sr-Latn-BA" w:eastAsia="sr-Latn-BA"/>
        </w:rPr>
        <w:t xml:space="preserve"> </w:t>
      </w:r>
      <w:r>
        <w:rPr>
          <w:rFonts w:ascii="Times New Roman" w:hAnsi="Times New Roman"/>
          <w:lang w:val="sr-Latn-BA" w:eastAsia="sr-Latn-BA"/>
        </w:rPr>
        <w:t>буду</w:t>
      </w:r>
      <w:r w:rsidR="003F78C9" w:rsidRPr="00295637">
        <w:rPr>
          <w:rFonts w:ascii="Times New Roman" w:hAnsi="Times New Roman"/>
          <w:lang w:val="sr-Latn-BA" w:eastAsia="sr-Latn-BA"/>
        </w:rPr>
        <w:t xml:space="preserve"> </w:t>
      </w:r>
      <w:r>
        <w:rPr>
          <w:rFonts w:ascii="Times New Roman" w:hAnsi="Times New Roman"/>
          <w:lang w:val="sr-Latn-BA" w:eastAsia="sr-Latn-BA"/>
        </w:rPr>
        <w:t>изложене</w:t>
      </w:r>
      <w:r w:rsidR="003F78C9" w:rsidRPr="00295637">
        <w:rPr>
          <w:rFonts w:ascii="Times New Roman" w:hAnsi="Times New Roman"/>
          <w:lang w:val="sr-Latn-BA" w:eastAsia="sr-Latn-BA"/>
        </w:rPr>
        <w:t xml:space="preserve"> </w:t>
      </w:r>
      <w:r>
        <w:rPr>
          <w:rFonts w:ascii="Times New Roman" w:hAnsi="Times New Roman"/>
          <w:lang w:val="sr-Latn-BA" w:eastAsia="sr-Latn-BA"/>
        </w:rPr>
        <w:t>насиљу</w:t>
      </w:r>
      <w:r w:rsidR="003F78C9" w:rsidRPr="00295637">
        <w:rPr>
          <w:rFonts w:ascii="Times New Roman" w:hAnsi="Times New Roman"/>
          <w:lang w:val="sr-Latn-BA" w:eastAsia="sr-Latn-BA"/>
        </w:rPr>
        <w:t xml:space="preserve"> </w:t>
      </w:r>
      <w:r>
        <w:rPr>
          <w:rFonts w:ascii="Times New Roman" w:hAnsi="Times New Roman"/>
          <w:lang w:val="sr-Latn-BA" w:eastAsia="sr-Latn-BA"/>
        </w:rPr>
        <w:t>због</w:t>
      </w:r>
      <w:r w:rsidR="003F78C9" w:rsidRPr="00295637">
        <w:rPr>
          <w:rFonts w:ascii="Times New Roman" w:hAnsi="Times New Roman"/>
          <w:lang w:val="sr-Latn-BA" w:eastAsia="sr-Latn-BA"/>
        </w:rPr>
        <w:t xml:space="preserve"> </w:t>
      </w:r>
      <w:r>
        <w:rPr>
          <w:rFonts w:ascii="Times New Roman" w:hAnsi="Times New Roman"/>
          <w:lang w:val="sr-Latn-BA" w:eastAsia="sr-Latn-BA"/>
        </w:rPr>
        <w:t>социјалне</w:t>
      </w:r>
      <w:r w:rsidR="003F78C9" w:rsidRPr="00295637">
        <w:rPr>
          <w:rFonts w:ascii="Times New Roman" w:hAnsi="Times New Roman"/>
          <w:lang w:val="sr-Latn-BA" w:eastAsia="sr-Latn-BA"/>
        </w:rPr>
        <w:t xml:space="preserve"> </w:t>
      </w:r>
      <w:r>
        <w:rPr>
          <w:rFonts w:ascii="Times New Roman" w:hAnsi="Times New Roman"/>
          <w:lang w:val="sr-Latn-BA" w:eastAsia="sr-Latn-BA"/>
        </w:rPr>
        <w:t>искључености</w:t>
      </w:r>
      <w:r w:rsidR="003F78C9" w:rsidRPr="00295637">
        <w:rPr>
          <w:rFonts w:ascii="Times New Roman" w:hAnsi="Times New Roman"/>
          <w:lang w:val="sr-Latn-BA" w:eastAsia="sr-Latn-BA"/>
        </w:rPr>
        <w:t xml:space="preserve"> </w:t>
      </w:r>
      <w:r>
        <w:rPr>
          <w:rFonts w:ascii="Times New Roman" w:hAnsi="Times New Roman"/>
          <w:lang w:val="sr-Latn-BA" w:eastAsia="sr-Latn-BA"/>
        </w:rPr>
        <w:t>или</w:t>
      </w:r>
      <w:r w:rsidR="003F78C9" w:rsidRPr="00295637">
        <w:rPr>
          <w:rFonts w:ascii="Times New Roman" w:hAnsi="Times New Roman"/>
          <w:lang w:val="sr-Latn-BA" w:eastAsia="sr-Latn-BA"/>
        </w:rPr>
        <w:t xml:space="preserve"> </w:t>
      </w:r>
      <w:r>
        <w:rPr>
          <w:rFonts w:ascii="Times New Roman" w:hAnsi="Times New Roman"/>
          <w:lang w:val="sr-Latn-BA" w:eastAsia="sr-Latn-BA"/>
        </w:rPr>
        <w:t>дискриминације</w:t>
      </w:r>
      <w:r w:rsidR="003F78C9" w:rsidRPr="00295637">
        <w:rPr>
          <w:rFonts w:ascii="Times New Roman" w:hAnsi="Times New Roman"/>
          <w:lang w:val="sr-Latn-BA" w:eastAsia="sr-Latn-BA"/>
        </w:rPr>
        <w:t xml:space="preserve"> </w:t>
      </w:r>
      <w:r>
        <w:rPr>
          <w:rFonts w:ascii="Times New Roman" w:hAnsi="Times New Roman"/>
          <w:lang w:val="sr-Latn-BA" w:eastAsia="sr-Latn-BA"/>
        </w:rPr>
        <w:t>у</w:t>
      </w:r>
      <w:r w:rsidR="003F78C9" w:rsidRPr="00295637">
        <w:rPr>
          <w:rFonts w:ascii="Times New Roman" w:hAnsi="Times New Roman"/>
          <w:lang w:val="sr-Latn-BA" w:eastAsia="sr-Latn-BA"/>
        </w:rPr>
        <w:t xml:space="preserve"> </w:t>
      </w:r>
      <w:r>
        <w:rPr>
          <w:rFonts w:ascii="Times New Roman" w:hAnsi="Times New Roman"/>
          <w:lang w:val="sr-Latn-BA" w:eastAsia="sr-Latn-BA"/>
        </w:rPr>
        <w:t>свакодневном</w:t>
      </w:r>
      <w:r w:rsidR="003F78C9" w:rsidRPr="00295637">
        <w:rPr>
          <w:rFonts w:ascii="Times New Roman" w:hAnsi="Times New Roman"/>
          <w:lang w:val="sr-Latn-BA" w:eastAsia="sr-Latn-BA"/>
        </w:rPr>
        <w:t xml:space="preserve"> </w:t>
      </w:r>
      <w:r>
        <w:rPr>
          <w:rFonts w:ascii="Times New Roman" w:hAnsi="Times New Roman"/>
          <w:lang w:val="sr-Latn-BA" w:eastAsia="sr-Latn-BA"/>
        </w:rPr>
        <w:t>животу</w:t>
      </w:r>
      <w:r w:rsidR="003F78C9" w:rsidRPr="00295637">
        <w:rPr>
          <w:rFonts w:ascii="Times New Roman" w:hAnsi="Times New Roman"/>
          <w:lang w:val="sr-Latn-BA" w:eastAsia="sr-Latn-BA"/>
        </w:rPr>
        <w:t>.</w:t>
      </w:r>
    </w:p>
    <w:p w:rsidR="00F1608F" w:rsidRPr="00295637" w:rsidRDefault="00F1608F" w:rsidP="0086268D">
      <w:pPr>
        <w:jc w:val="both"/>
        <w:rPr>
          <w:rFonts w:ascii="Times New Roman" w:hAnsi="Times New Roman"/>
          <w:lang w:val="sr-Latn-BA" w:eastAsia="sr-Latn-BA"/>
        </w:rPr>
      </w:pPr>
    </w:p>
    <w:p w:rsidR="00F1608F" w:rsidRPr="00295637" w:rsidRDefault="00C6214E" w:rsidP="0086268D">
      <w:pPr>
        <w:jc w:val="both"/>
        <w:rPr>
          <w:rFonts w:ascii="Times New Roman" w:hAnsi="Times New Roman"/>
          <w:szCs w:val="24"/>
          <w:lang w:val="bs-Latn-BA"/>
        </w:rPr>
      </w:pPr>
      <w:r>
        <w:rPr>
          <w:rFonts w:ascii="Times New Roman" w:hAnsi="Times New Roman"/>
          <w:szCs w:val="24"/>
          <w:lang w:val="bs-Latn-BA"/>
        </w:rPr>
        <w:t>Важећи</w:t>
      </w:r>
      <w:r w:rsidR="00F1608F" w:rsidRPr="00295637">
        <w:rPr>
          <w:rFonts w:ascii="Times New Roman" w:hAnsi="Times New Roman"/>
          <w:szCs w:val="24"/>
          <w:lang w:val="bs-Latn-BA"/>
        </w:rPr>
        <w:t xml:space="preserve"> </w:t>
      </w:r>
      <w:r>
        <w:rPr>
          <w:rFonts w:ascii="Times New Roman" w:hAnsi="Times New Roman"/>
          <w:szCs w:val="24"/>
          <w:lang w:val="bs-Latn-BA"/>
        </w:rPr>
        <w:t>прописи</w:t>
      </w:r>
      <w:r w:rsidR="00F1608F" w:rsidRPr="00295637">
        <w:rPr>
          <w:rFonts w:ascii="Times New Roman" w:hAnsi="Times New Roman"/>
          <w:szCs w:val="24"/>
          <w:lang w:val="bs-Latn-BA"/>
        </w:rPr>
        <w:t xml:space="preserve"> </w:t>
      </w:r>
      <w:r>
        <w:rPr>
          <w:rFonts w:ascii="Times New Roman" w:hAnsi="Times New Roman"/>
          <w:szCs w:val="24"/>
          <w:lang w:val="bs-Latn-BA"/>
        </w:rPr>
        <w:t>из</w:t>
      </w:r>
      <w:r w:rsidR="00F1608F" w:rsidRPr="00295637">
        <w:rPr>
          <w:rFonts w:ascii="Times New Roman" w:hAnsi="Times New Roman"/>
          <w:szCs w:val="24"/>
          <w:lang w:val="bs-Latn-BA"/>
        </w:rPr>
        <w:t xml:space="preserve"> </w:t>
      </w:r>
      <w:r>
        <w:rPr>
          <w:rFonts w:ascii="Times New Roman" w:hAnsi="Times New Roman"/>
          <w:szCs w:val="24"/>
          <w:lang w:val="bs-Latn-BA"/>
        </w:rPr>
        <w:t>области</w:t>
      </w:r>
      <w:r w:rsidR="00F1608F" w:rsidRPr="00295637">
        <w:rPr>
          <w:rFonts w:ascii="Times New Roman" w:hAnsi="Times New Roman"/>
          <w:szCs w:val="24"/>
          <w:lang w:val="bs-Latn-BA"/>
        </w:rPr>
        <w:t xml:space="preserve"> </w:t>
      </w:r>
      <w:r>
        <w:rPr>
          <w:rFonts w:ascii="Times New Roman" w:hAnsi="Times New Roman"/>
          <w:szCs w:val="24"/>
          <w:lang w:val="bs-Latn-BA"/>
        </w:rPr>
        <w:t>рада</w:t>
      </w:r>
      <w:r w:rsidR="00F1608F" w:rsidRPr="00295637">
        <w:rPr>
          <w:rFonts w:ascii="Times New Roman" w:hAnsi="Times New Roman"/>
          <w:szCs w:val="24"/>
          <w:lang w:val="bs-Latn-BA"/>
        </w:rPr>
        <w:t xml:space="preserve"> </w:t>
      </w:r>
      <w:r>
        <w:rPr>
          <w:rFonts w:ascii="Times New Roman" w:hAnsi="Times New Roman"/>
          <w:szCs w:val="24"/>
          <w:lang w:val="bs-Latn-BA"/>
        </w:rPr>
        <w:t>пружају</w:t>
      </w:r>
      <w:r w:rsidR="00F1608F" w:rsidRPr="00295637">
        <w:rPr>
          <w:rFonts w:ascii="Times New Roman" w:hAnsi="Times New Roman"/>
          <w:szCs w:val="24"/>
          <w:lang w:val="bs-Latn-BA"/>
        </w:rPr>
        <w:t xml:space="preserve"> </w:t>
      </w:r>
      <w:r>
        <w:rPr>
          <w:rFonts w:ascii="Times New Roman" w:hAnsi="Times New Roman"/>
          <w:szCs w:val="24"/>
          <w:lang w:val="bs-Latn-BA"/>
        </w:rPr>
        <w:t>адекватну</w:t>
      </w:r>
      <w:r w:rsidR="00F1608F" w:rsidRPr="00295637">
        <w:rPr>
          <w:rFonts w:ascii="Times New Roman" w:hAnsi="Times New Roman"/>
          <w:szCs w:val="24"/>
          <w:lang w:val="bs-Latn-BA"/>
        </w:rPr>
        <w:t xml:space="preserve"> </w:t>
      </w:r>
      <w:r>
        <w:rPr>
          <w:rFonts w:ascii="Times New Roman" w:hAnsi="Times New Roman"/>
          <w:szCs w:val="24"/>
          <w:lang w:val="bs-Latn-BA"/>
        </w:rPr>
        <w:t>заштиту</w:t>
      </w:r>
      <w:r w:rsidR="00F1608F" w:rsidRPr="00295637">
        <w:rPr>
          <w:rFonts w:ascii="Times New Roman" w:hAnsi="Times New Roman"/>
          <w:szCs w:val="24"/>
          <w:lang w:val="bs-Latn-BA"/>
        </w:rPr>
        <w:t xml:space="preserve"> </w:t>
      </w:r>
      <w:r>
        <w:rPr>
          <w:rFonts w:ascii="Times New Roman" w:hAnsi="Times New Roman"/>
          <w:szCs w:val="24"/>
          <w:lang w:val="bs-Latn-BA"/>
        </w:rPr>
        <w:t>материнства</w:t>
      </w:r>
      <w:r w:rsidR="00F1608F" w:rsidRPr="00295637">
        <w:rPr>
          <w:rFonts w:ascii="Times New Roman" w:hAnsi="Times New Roman"/>
          <w:szCs w:val="24"/>
          <w:lang w:val="bs-Latn-BA"/>
        </w:rPr>
        <w:t xml:space="preserve"> </w:t>
      </w:r>
      <w:r>
        <w:rPr>
          <w:rFonts w:ascii="Times New Roman" w:hAnsi="Times New Roman"/>
          <w:szCs w:val="24"/>
          <w:lang w:val="bs-Latn-BA"/>
        </w:rPr>
        <w:t>и</w:t>
      </w:r>
      <w:r w:rsidR="00F1608F" w:rsidRPr="00295637">
        <w:rPr>
          <w:rFonts w:ascii="Times New Roman" w:hAnsi="Times New Roman"/>
          <w:szCs w:val="24"/>
          <w:lang w:val="bs-Latn-BA"/>
        </w:rPr>
        <w:t xml:space="preserve"> </w:t>
      </w:r>
      <w:r>
        <w:rPr>
          <w:rFonts w:ascii="Times New Roman" w:hAnsi="Times New Roman"/>
          <w:szCs w:val="24"/>
          <w:lang w:val="bs-Latn-BA"/>
        </w:rPr>
        <w:t>очинства</w:t>
      </w:r>
      <w:r w:rsidR="00F1608F" w:rsidRPr="00295637">
        <w:rPr>
          <w:rFonts w:ascii="Times New Roman" w:hAnsi="Times New Roman"/>
          <w:szCs w:val="24"/>
          <w:lang w:val="bs-Latn-BA"/>
        </w:rPr>
        <w:t xml:space="preserve"> </w:t>
      </w:r>
      <w:r>
        <w:rPr>
          <w:rFonts w:ascii="Times New Roman" w:hAnsi="Times New Roman"/>
          <w:szCs w:val="24"/>
          <w:lang w:val="bs-Latn-BA"/>
        </w:rPr>
        <w:t>одредбама</w:t>
      </w:r>
      <w:r w:rsidR="00F1608F" w:rsidRPr="00295637">
        <w:rPr>
          <w:rFonts w:ascii="Times New Roman" w:hAnsi="Times New Roman"/>
          <w:szCs w:val="24"/>
          <w:lang w:val="bs-Latn-BA"/>
        </w:rPr>
        <w:t xml:space="preserve"> </w:t>
      </w:r>
      <w:r>
        <w:rPr>
          <w:rFonts w:ascii="Times New Roman" w:hAnsi="Times New Roman"/>
          <w:szCs w:val="24"/>
          <w:lang w:val="bs-Latn-BA"/>
        </w:rPr>
        <w:t>о</w:t>
      </w:r>
      <w:r w:rsidR="00F1608F" w:rsidRPr="00295637">
        <w:rPr>
          <w:rFonts w:ascii="Times New Roman" w:hAnsi="Times New Roman"/>
          <w:szCs w:val="24"/>
          <w:lang w:val="bs-Latn-BA"/>
        </w:rPr>
        <w:t xml:space="preserve"> </w:t>
      </w:r>
      <w:r>
        <w:rPr>
          <w:rFonts w:ascii="Times New Roman" w:hAnsi="Times New Roman"/>
          <w:szCs w:val="24"/>
          <w:lang w:val="bs-Latn-BA"/>
        </w:rPr>
        <w:t>родитељском</w:t>
      </w:r>
      <w:r w:rsidR="00F1608F" w:rsidRPr="00295637">
        <w:rPr>
          <w:rFonts w:ascii="Times New Roman" w:hAnsi="Times New Roman"/>
          <w:szCs w:val="24"/>
          <w:lang w:val="bs-Latn-BA"/>
        </w:rPr>
        <w:t xml:space="preserve"> </w:t>
      </w:r>
      <w:r>
        <w:rPr>
          <w:rFonts w:ascii="Times New Roman" w:hAnsi="Times New Roman"/>
          <w:szCs w:val="24"/>
          <w:lang w:val="bs-Latn-BA"/>
        </w:rPr>
        <w:t>одсуству</w:t>
      </w:r>
      <w:r w:rsidR="00F1608F" w:rsidRPr="00295637">
        <w:rPr>
          <w:rFonts w:ascii="Times New Roman" w:hAnsi="Times New Roman"/>
          <w:szCs w:val="24"/>
          <w:lang w:val="bs-Latn-BA"/>
        </w:rPr>
        <w:t xml:space="preserve"> </w:t>
      </w:r>
      <w:r>
        <w:rPr>
          <w:rFonts w:ascii="Times New Roman" w:hAnsi="Times New Roman"/>
          <w:szCs w:val="24"/>
          <w:lang w:val="bs-Latn-BA"/>
        </w:rPr>
        <w:t>које</w:t>
      </w:r>
      <w:r w:rsidR="00F1608F" w:rsidRPr="00295637">
        <w:rPr>
          <w:rFonts w:ascii="Times New Roman" w:hAnsi="Times New Roman"/>
          <w:szCs w:val="24"/>
          <w:lang w:val="bs-Latn-BA"/>
        </w:rPr>
        <w:t xml:space="preserve"> </w:t>
      </w:r>
      <w:r>
        <w:rPr>
          <w:rFonts w:ascii="Times New Roman" w:hAnsi="Times New Roman"/>
          <w:szCs w:val="24"/>
          <w:lang w:val="bs-Latn-BA"/>
        </w:rPr>
        <w:t>поред</w:t>
      </w:r>
      <w:r w:rsidR="00F1608F" w:rsidRPr="00295637">
        <w:rPr>
          <w:rFonts w:ascii="Times New Roman" w:hAnsi="Times New Roman"/>
          <w:szCs w:val="24"/>
          <w:lang w:val="bs-Latn-BA"/>
        </w:rPr>
        <w:t xml:space="preserve"> </w:t>
      </w:r>
      <w:r>
        <w:rPr>
          <w:rFonts w:ascii="Times New Roman" w:hAnsi="Times New Roman"/>
          <w:szCs w:val="24"/>
          <w:lang w:val="bs-Latn-BA"/>
        </w:rPr>
        <w:t>мајке</w:t>
      </w:r>
      <w:r w:rsidR="00F1608F" w:rsidRPr="00295637">
        <w:rPr>
          <w:rFonts w:ascii="Times New Roman" w:hAnsi="Times New Roman"/>
          <w:szCs w:val="24"/>
          <w:lang w:val="bs-Latn-BA"/>
        </w:rPr>
        <w:t xml:space="preserve"> </w:t>
      </w:r>
      <w:r>
        <w:rPr>
          <w:rFonts w:ascii="Times New Roman" w:hAnsi="Times New Roman"/>
          <w:szCs w:val="24"/>
          <w:lang w:val="bs-Latn-BA"/>
        </w:rPr>
        <w:t>може</w:t>
      </w:r>
      <w:r w:rsidR="00F1608F" w:rsidRPr="00295637">
        <w:rPr>
          <w:rFonts w:ascii="Times New Roman" w:hAnsi="Times New Roman"/>
          <w:szCs w:val="24"/>
          <w:lang w:val="bs-Latn-BA"/>
        </w:rPr>
        <w:t xml:space="preserve"> </w:t>
      </w:r>
      <w:r>
        <w:rPr>
          <w:rFonts w:ascii="Times New Roman" w:hAnsi="Times New Roman"/>
          <w:szCs w:val="24"/>
          <w:lang w:val="bs-Latn-BA"/>
        </w:rPr>
        <w:t>користити</w:t>
      </w:r>
      <w:r w:rsidR="00F1608F" w:rsidRPr="00295637">
        <w:rPr>
          <w:rFonts w:ascii="Times New Roman" w:hAnsi="Times New Roman"/>
          <w:szCs w:val="24"/>
          <w:lang w:val="bs-Latn-BA"/>
        </w:rPr>
        <w:t xml:space="preserve"> </w:t>
      </w:r>
      <w:r>
        <w:rPr>
          <w:rFonts w:ascii="Times New Roman" w:hAnsi="Times New Roman"/>
          <w:szCs w:val="24"/>
          <w:lang w:val="bs-Latn-BA"/>
        </w:rPr>
        <w:t>и</w:t>
      </w:r>
      <w:r w:rsidR="00F1608F" w:rsidRPr="00295637">
        <w:rPr>
          <w:rFonts w:ascii="Times New Roman" w:hAnsi="Times New Roman"/>
          <w:szCs w:val="24"/>
          <w:lang w:val="bs-Latn-BA"/>
        </w:rPr>
        <w:t xml:space="preserve"> </w:t>
      </w:r>
      <w:r>
        <w:rPr>
          <w:rFonts w:ascii="Times New Roman" w:hAnsi="Times New Roman"/>
          <w:szCs w:val="24"/>
          <w:lang w:val="bs-Latn-BA"/>
        </w:rPr>
        <w:t>радник</w:t>
      </w:r>
      <w:r w:rsidR="002C2EC1">
        <w:rPr>
          <w:rFonts w:ascii="Times New Roman" w:hAnsi="Times New Roman"/>
          <w:szCs w:val="24"/>
          <w:lang w:val="bs-Latn-BA"/>
        </w:rPr>
        <w:t xml:space="preserve"> </w:t>
      </w:r>
      <w:r w:rsidR="00F1608F" w:rsidRPr="00295637">
        <w:rPr>
          <w:rFonts w:ascii="Times New Roman" w:hAnsi="Times New Roman"/>
          <w:szCs w:val="24"/>
          <w:lang w:val="bs-Latn-BA"/>
        </w:rPr>
        <w:t>-</w:t>
      </w:r>
      <w:r w:rsidR="002C2EC1">
        <w:rPr>
          <w:rFonts w:ascii="Times New Roman" w:hAnsi="Times New Roman"/>
          <w:szCs w:val="24"/>
          <w:lang w:val="bs-Latn-BA"/>
        </w:rPr>
        <w:t xml:space="preserve"> </w:t>
      </w:r>
      <w:r>
        <w:rPr>
          <w:rFonts w:ascii="Times New Roman" w:hAnsi="Times New Roman"/>
          <w:szCs w:val="24"/>
          <w:lang w:val="bs-Latn-BA"/>
        </w:rPr>
        <w:t>отац</w:t>
      </w:r>
      <w:r w:rsidR="00F1608F" w:rsidRPr="00295637">
        <w:rPr>
          <w:rFonts w:ascii="Times New Roman" w:hAnsi="Times New Roman"/>
          <w:szCs w:val="24"/>
          <w:lang w:val="bs-Latn-BA"/>
        </w:rPr>
        <w:t xml:space="preserve"> </w:t>
      </w:r>
      <w:r>
        <w:rPr>
          <w:rFonts w:ascii="Times New Roman" w:hAnsi="Times New Roman"/>
          <w:szCs w:val="24"/>
          <w:lang w:val="bs-Latn-BA"/>
        </w:rPr>
        <w:t>дјетета</w:t>
      </w:r>
      <w:r w:rsidR="00813F15">
        <w:rPr>
          <w:rFonts w:ascii="Times New Roman" w:hAnsi="Times New Roman"/>
          <w:szCs w:val="24"/>
          <w:lang w:val="bs-Latn-BA"/>
        </w:rPr>
        <w:t xml:space="preserve"> </w:t>
      </w:r>
      <w:r>
        <w:rPr>
          <w:rFonts w:ascii="Times New Roman" w:hAnsi="Times New Roman"/>
          <w:szCs w:val="24"/>
          <w:lang w:val="bs-Latn-BA"/>
        </w:rPr>
        <w:t>правом</w:t>
      </w:r>
      <w:r w:rsidR="00813F15">
        <w:rPr>
          <w:rFonts w:ascii="Times New Roman" w:hAnsi="Times New Roman"/>
          <w:szCs w:val="24"/>
          <w:lang w:val="bs-Latn-BA"/>
        </w:rPr>
        <w:t xml:space="preserve"> </w:t>
      </w:r>
      <w:r>
        <w:rPr>
          <w:rFonts w:ascii="Times New Roman" w:hAnsi="Times New Roman"/>
          <w:szCs w:val="24"/>
          <w:lang w:val="bs-Latn-BA"/>
        </w:rPr>
        <w:t>на</w:t>
      </w:r>
      <w:r w:rsidR="00813F15">
        <w:rPr>
          <w:rFonts w:ascii="Times New Roman" w:hAnsi="Times New Roman"/>
          <w:szCs w:val="24"/>
          <w:lang w:val="bs-Latn-BA"/>
        </w:rPr>
        <w:t xml:space="preserve"> </w:t>
      </w:r>
      <w:r>
        <w:rPr>
          <w:rFonts w:ascii="Times New Roman" w:hAnsi="Times New Roman"/>
          <w:szCs w:val="24"/>
          <w:lang w:val="bs-Latn-BA"/>
        </w:rPr>
        <w:t>рад</w:t>
      </w:r>
      <w:r w:rsidR="00813F15">
        <w:rPr>
          <w:rFonts w:ascii="Times New Roman" w:hAnsi="Times New Roman"/>
          <w:szCs w:val="24"/>
          <w:lang w:val="bs-Latn-BA"/>
        </w:rPr>
        <w:t xml:space="preserve"> </w:t>
      </w:r>
      <w:r>
        <w:rPr>
          <w:rFonts w:ascii="Times New Roman" w:hAnsi="Times New Roman"/>
          <w:szCs w:val="24"/>
          <w:lang w:val="bs-Latn-BA"/>
        </w:rPr>
        <w:t>са</w:t>
      </w:r>
      <w:r w:rsidR="00F1608F" w:rsidRPr="00295637">
        <w:rPr>
          <w:rFonts w:ascii="Times New Roman" w:hAnsi="Times New Roman"/>
          <w:szCs w:val="24"/>
          <w:lang w:val="bs-Latn-BA"/>
        </w:rPr>
        <w:t xml:space="preserve"> </w:t>
      </w:r>
      <w:r>
        <w:rPr>
          <w:rFonts w:ascii="Times New Roman" w:hAnsi="Times New Roman"/>
          <w:szCs w:val="24"/>
          <w:lang w:val="bs-Latn-BA"/>
        </w:rPr>
        <w:t>половином</w:t>
      </w:r>
      <w:r w:rsidR="00F1608F" w:rsidRPr="00295637">
        <w:rPr>
          <w:rFonts w:ascii="Times New Roman" w:hAnsi="Times New Roman"/>
          <w:szCs w:val="24"/>
          <w:lang w:val="bs-Latn-BA"/>
        </w:rPr>
        <w:t xml:space="preserve"> </w:t>
      </w:r>
      <w:r>
        <w:rPr>
          <w:rFonts w:ascii="Times New Roman" w:hAnsi="Times New Roman"/>
          <w:szCs w:val="24"/>
          <w:lang w:val="bs-Latn-BA"/>
        </w:rPr>
        <w:t>пуног</w:t>
      </w:r>
      <w:r w:rsidR="00F1608F" w:rsidRPr="00295637">
        <w:rPr>
          <w:rFonts w:ascii="Times New Roman" w:hAnsi="Times New Roman"/>
          <w:szCs w:val="24"/>
          <w:lang w:val="bs-Latn-BA"/>
        </w:rPr>
        <w:t xml:space="preserve"> </w:t>
      </w:r>
      <w:r>
        <w:rPr>
          <w:rFonts w:ascii="Times New Roman" w:hAnsi="Times New Roman"/>
          <w:szCs w:val="24"/>
          <w:lang w:val="bs-Latn-BA"/>
        </w:rPr>
        <w:t>радног</w:t>
      </w:r>
      <w:r w:rsidR="00F1608F" w:rsidRPr="00295637">
        <w:rPr>
          <w:rFonts w:ascii="Times New Roman" w:hAnsi="Times New Roman"/>
          <w:szCs w:val="24"/>
          <w:lang w:val="bs-Latn-BA"/>
        </w:rPr>
        <w:t xml:space="preserve"> </w:t>
      </w:r>
      <w:r>
        <w:rPr>
          <w:rFonts w:ascii="Times New Roman" w:hAnsi="Times New Roman"/>
          <w:szCs w:val="24"/>
          <w:lang w:val="bs-Latn-BA"/>
        </w:rPr>
        <w:t>времена</w:t>
      </w:r>
      <w:r w:rsidR="00F1608F" w:rsidRPr="00295637">
        <w:rPr>
          <w:rFonts w:ascii="Times New Roman" w:hAnsi="Times New Roman"/>
          <w:szCs w:val="24"/>
          <w:lang w:val="bs-Latn-BA"/>
        </w:rPr>
        <w:t xml:space="preserve"> </w:t>
      </w:r>
      <w:r>
        <w:rPr>
          <w:rFonts w:ascii="Times New Roman" w:hAnsi="Times New Roman"/>
          <w:szCs w:val="24"/>
          <w:lang w:val="bs-Latn-BA"/>
        </w:rPr>
        <w:t>након</w:t>
      </w:r>
      <w:r w:rsidR="00F1608F" w:rsidRPr="00295637">
        <w:rPr>
          <w:rFonts w:ascii="Times New Roman" w:hAnsi="Times New Roman"/>
          <w:szCs w:val="24"/>
          <w:lang w:val="bs-Latn-BA"/>
        </w:rPr>
        <w:t xml:space="preserve"> </w:t>
      </w:r>
      <w:r>
        <w:rPr>
          <w:rFonts w:ascii="Times New Roman" w:hAnsi="Times New Roman"/>
          <w:szCs w:val="24"/>
          <w:lang w:val="bs-Latn-BA"/>
        </w:rPr>
        <w:t>истека</w:t>
      </w:r>
      <w:r w:rsidR="00F1608F" w:rsidRPr="00295637">
        <w:rPr>
          <w:rFonts w:ascii="Times New Roman" w:hAnsi="Times New Roman"/>
          <w:szCs w:val="24"/>
          <w:lang w:val="bs-Latn-BA"/>
        </w:rPr>
        <w:t xml:space="preserve"> </w:t>
      </w:r>
      <w:r>
        <w:rPr>
          <w:rFonts w:ascii="Times New Roman" w:hAnsi="Times New Roman"/>
          <w:szCs w:val="24"/>
          <w:lang w:val="bs-Latn-BA"/>
        </w:rPr>
        <w:t>порођајног</w:t>
      </w:r>
      <w:r w:rsidR="00F1608F" w:rsidRPr="00295637">
        <w:rPr>
          <w:rFonts w:ascii="Times New Roman" w:hAnsi="Times New Roman"/>
          <w:szCs w:val="24"/>
          <w:lang w:val="bs-Latn-BA"/>
        </w:rPr>
        <w:t xml:space="preserve"> </w:t>
      </w:r>
      <w:r>
        <w:rPr>
          <w:rFonts w:ascii="Times New Roman" w:hAnsi="Times New Roman"/>
          <w:szCs w:val="24"/>
          <w:lang w:val="bs-Latn-BA"/>
        </w:rPr>
        <w:t>одсуства</w:t>
      </w:r>
      <w:r w:rsidR="00F1608F" w:rsidRPr="00295637">
        <w:rPr>
          <w:rFonts w:ascii="Times New Roman" w:hAnsi="Times New Roman"/>
          <w:szCs w:val="24"/>
          <w:lang w:val="bs-Latn-BA"/>
        </w:rPr>
        <w:t xml:space="preserve"> </w:t>
      </w:r>
      <w:r>
        <w:rPr>
          <w:rFonts w:ascii="Times New Roman" w:hAnsi="Times New Roman"/>
          <w:szCs w:val="24"/>
          <w:lang w:val="bs-Latn-BA"/>
        </w:rPr>
        <w:t>и</w:t>
      </w:r>
      <w:r w:rsidR="00F1608F" w:rsidRPr="00295637">
        <w:rPr>
          <w:rFonts w:ascii="Times New Roman" w:hAnsi="Times New Roman"/>
          <w:szCs w:val="24"/>
          <w:lang w:val="bs-Latn-BA"/>
        </w:rPr>
        <w:t xml:space="preserve"> </w:t>
      </w:r>
      <w:r>
        <w:rPr>
          <w:rFonts w:ascii="Times New Roman" w:hAnsi="Times New Roman"/>
          <w:szCs w:val="24"/>
          <w:lang w:val="bs-Latn-BA"/>
        </w:rPr>
        <w:t>до</w:t>
      </w:r>
      <w:r w:rsidR="00F1608F" w:rsidRPr="00295637">
        <w:rPr>
          <w:rFonts w:ascii="Times New Roman" w:hAnsi="Times New Roman"/>
          <w:szCs w:val="24"/>
          <w:lang w:val="bs-Latn-BA"/>
        </w:rPr>
        <w:t xml:space="preserve"> </w:t>
      </w:r>
      <w:r>
        <w:rPr>
          <w:rFonts w:ascii="Times New Roman" w:hAnsi="Times New Roman"/>
          <w:szCs w:val="24"/>
          <w:lang w:val="bs-Latn-BA"/>
        </w:rPr>
        <w:t>три</w:t>
      </w:r>
      <w:r w:rsidR="00F1608F" w:rsidRPr="00295637">
        <w:rPr>
          <w:rFonts w:ascii="Times New Roman" w:hAnsi="Times New Roman"/>
          <w:szCs w:val="24"/>
          <w:lang w:val="bs-Latn-BA"/>
        </w:rPr>
        <w:t xml:space="preserve"> </w:t>
      </w:r>
      <w:r>
        <w:rPr>
          <w:rFonts w:ascii="Times New Roman" w:hAnsi="Times New Roman"/>
          <w:szCs w:val="24"/>
          <w:lang w:val="bs-Latn-BA"/>
        </w:rPr>
        <w:t>године</w:t>
      </w:r>
      <w:r w:rsidR="00F1608F" w:rsidRPr="00295637">
        <w:rPr>
          <w:rFonts w:ascii="Times New Roman" w:hAnsi="Times New Roman"/>
          <w:szCs w:val="24"/>
          <w:lang w:val="bs-Latn-BA"/>
        </w:rPr>
        <w:t xml:space="preserve"> </w:t>
      </w:r>
      <w:r>
        <w:rPr>
          <w:rFonts w:ascii="Times New Roman" w:hAnsi="Times New Roman"/>
          <w:szCs w:val="24"/>
          <w:lang w:val="bs-Latn-BA"/>
        </w:rPr>
        <w:t>живота</w:t>
      </w:r>
      <w:r w:rsidR="00F1608F" w:rsidRPr="00295637">
        <w:rPr>
          <w:rFonts w:ascii="Times New Roman" w:hAnsi="Times New Roman"/>
          <w:szCs w:val="24"/>
          <w:lang w:val="bs-Latn-BA"/>
        </w:rPr>
        <w:t xml:space="preserve"> </w:t>
      </w:r>
      <w:r>
        <w:rPr>
          <w:rFonts w:ascii="Times New Roman" w:hAnsi="Times New Roman"/>
          <w:szCs w:val="24"/>
          <w:lang w:val="bs-Latn-BA"/>
        </w:rPr>
        <w:t>дјетета</w:t>
      </w:r>
      <w:r w:rsidR="00F1608F" w:rsidRPr="00295637">
        <w:rPr>
          <w:rFonts w:ascii="Times New Roman" w:hAnsi="Times New Roman"/>
          <w:szCs w:val="24"/>
          <w:lang w:val="bs-Latn-BA"/>
        </w:rPr>
        <w:t xml:space="preserve">, </w:t>
      </w:r>
      <w:r>
        <w:rPr>
          <w:rFonts w:ascii="Times New Roman" w:hAnsi="Times New Roman"/>
          <w:szCs w:val="24"/>
          <w:lang w:val="bs-Latn-BA"/>
        </w:rPr>
        <w:t>које</w:t>
      </w:r>
      <w:r w:rsidR="00F1608F" w:rsidRPr="00295637">
        <w:rPr>
          <w:rFonts w:ascii="Times New Roman" w:hAnsi="Times New Roman"/>
          <w:szCs w:val="24"/>
          <w:lang w:val="bs-Latn-BA"/>
        </w:rPr>
        <w:t xml:space="preserve"> </w:t>
      </w:r>
      <w:r>
        <w:rPr>
          <w:rFonts w:ascii="Times New Roman" w:hAnsi="Times New Roman"/>
          <w:szCs w:val="24"/>
          <w:lang w:val="bs-Latn-BA"/>
        </w:rPr>
        <w:t>може</w:t>
      </w:r>
      <w:r w:rsidR="00F1608F" w:rsidRPr="00295637">
        <w:rPr>
          <w:rFonts w:ascii="Times New Roman" w:hAnsi="Times New Roman"/>
          <w:szCs w:val="24"/>
          <w:lang w:val="bs-Latn-BA"/>
        </w:rPr>
        <w:t xml:space="preserve"> </w:t>
      </w:r>
      <w:r>
        <w:rPr>
          <w:rFonts w:ascii="Times New Roman" w:hAnsi="Times New Roman"/>
          <w:szCs w:val="24"/>
          <w:lang w:val="bs-Latn-BA"/>
        </w:rPr>
        <w:t>користити</w:t>
      </w:r>
      <w:r w:rsidR="00F1608F" w:rsidRPr="00295637">
        <w:rPr>
          <w:rFonts w:ascii="Times New Roman" w:hAnsi="Times New Roman"/>
          <w:szCs w:val="24"/>
          <w:lang w:val="bs-Latn-BA"/>
        </w:rPr>
        <w:t xml:space="preserve"> </w:t>
      </w:r>
      <w:r>
        <w:rPr>
          <w:rFonts w:ascii="Times New Roman" w:hAnsi="Times New Roman"/>
          <w:szCs w:val="24"/>
          <w:lang w:val="bs-Latn-BA"/>
        </w:rPr>
        <w:t>један</w:t>
      </w:r>
      <w:r w:rsidR="00F1608F" w:rsidRPr="00295637">
        <w:rPr>
          <w:rFonts w:ascii="Times New Roman" w:hAnsi="Times New Roman"/>
          <w:szCs w:val="24"/>
          <w:lang w:val="bs-Latn-BA"/>
        </w:rPr>
        <w:t xml:space="preserve"> </w:t>
      </w:r>
      <w:r>
        <w:rPr>
          <w:rFonts w:ascii="Times New Roman" w:hAnsi="Times New Roman"/>
          <w:szCs w:val="24"/>
          <w:lang w:val="bs-Latn-BA"/>
        </w:rPr>
        <w:t>од</w:t>
      </w:r>
      <w:r w:rsidR="00F1608F" w:rsidRPr="00295637">
        <w:rPr>
          <w:rFonts w:ascii="Times New Roman" w:hAnsi="Times New Roman"/>
          <w:szCs w:val="24"/>
          <w:lang w:val="bs-Latn-BA"/>
        </w:rPr>
        <w:t xml:space="preserve"> </w:t>
      </w:r>
      <w:r>
        <w:rPr>
          <w:rFonts w:ascii="Times New Roman" w:hAnsi="Times New Roman"/>
          <w:szCs w:val="24"/>
          <w:lang w:val="bs-Latn-BA"/>
        </w:rPr>
        <w:t>родитеља</w:t>
      </w:r>
      <w:r w:rsidR="00F1608F" w:rsidRPr="00295637">
        <w:rPr>
          <w:rFonts w:ascii="Times New Roman" w:hAnsi="Times New Roman"/>
          <w:szCs w:val="24"/>
          <w:lang w:val="bs-Latn-BA"/>
        </w:rPr>
        <w:t xml:space="preserve">. </w:t>
      </w:r>
      <w:r>
        <w:rPr>
          <w:rFonts w:ascii="Times New Roman" w:hAnsi="Times New Roman"/>
          <w:szCs w:val="24"/>
          <w:lang w:val="bs-Latn-BA"/>
        </w:rPr>
        <w:t>Биљежи</w:t>
      </w:r>
      <w:r w:rsidR="00F1608F" w:rsidRPr="00295637">
        <w:rPr>
          <w:rFonts w:ascii="Times New Roman" w:hAnsi="Times New Roman"/>
          <w:szCs w:val="24"/>
          <w:lang w:val="bs-Latn-BA"/>
        </w:rPr>
        <w:t xml:space="preserve"> </w:t>
      </w:r>
      <w:r>
        <w:rPr>
          <w:rFonts w:ascii="Times New Roman" w:hAnsi="Times New Roman"/>
          <w:szCs w:val="24"/>
          <w:lang w:val="bs-Latn-BA"/>
        </w:rPr>
        <w:t>се</w:t>
      </w:r>
      <w:r w:rsidR="00F1608F" w:rsidRPr="00295637">
        <w:rPr>
          <w:rFonts w:ascii="Times New Roman" w:hAnsi="Times New Roman"/>
          <w:szCs w:val="24"/>
          <w:lang w:val="bs-Latn-BA"/>
        </w:rPr>
        <w:t xml:space="preserve"> </w:t>
      </w:r>
      <w:r>
        <w:rPr>
          <w:rFonts w:ascii="Times New Roman" w:hAnsi="Times New Roman"/>
          <w:szCs w:val="24"/>
          <w:lang w:val="bs-Latn-BA"/>
        </w:rPr>
        <w:t>тренд</w:t>
      </w:r>
      <w:r w:rsidR="00F1608F" w:rsidRPr="00295637">
        <w:rPr>
          <w:rFonts w:ascii="Times New Roman" w:hAnsi="Times New Roman"/>
          <w:szCs w:val="24"/>
          <w:lang w:val="bs-Latn-BA"/>
        </w:rPr>
        <w:t xml:space="preserve"> </w:t>
      </w:r>
      <w:r>
        <w:rPr>
          <w:rFonts w:ascii="Times New Roman" w:hAnsi="Times New Roman"/>
          <w:szCs w:val="24"/>
          <w:lang w:val="bs-Latn-BA"/>
        </w:rPr>
        <w:t>повећања</w:t>
      </w:r>
      <w:r w:rsidR="00F1608F" w:rsidRPr="00295637">
        <w:rPr>
          <w:rFonts w:ascii="Times New Roman" w:hAnsi="Times New Roman"/>
          <w:szCs w:val="24"/>
          <w:lang w:val="bs-Latn-BA"/>
        </w:rPr>
        <w:t xml:space="preserve"> </w:t>
      </w:r>
      <w:r>
        <w:rPr>
          <w:rFonts w:ascii="Times New Roman" w:hAnsi="Times New Roman"/>
          <w:szCs w:val="24"/>
          <w:lang w:val="bs-Latn-BA"/>
        </w:rPr>
        <w:t>случајева</w:t>
      </w:r>
      <w:r w:rsidR="00F1608F" w:rsidRPr="00295637">
        <w:rPr>
          <w:rFonts w:ascii="Times New Roman" w:hAnsi="Times New Roman"/>
          <w:szCs w:val="24"/>
          <w:lang w:val="bs-Latn-BA"/>
        </w:rPr>
        <w:t xml:space="preserve"> </w:t>
      </w:r>
      <w:r>
        <w:rPr>
          <w:rFonts w:ascii="Times New Roman" w:hAnsi="Times New Roman"/>
          <w:szCs w:val="24"/>
          <w:lang w:val="bs-Latn-BA"/>
        </w:rPr>
        <w:t>кориш</w:t>
      </w:r>
      <w:r w:rsidR="0090180C">
        <w:rPr>
          <w:rFonts w:ascii="Times New Roman" w:hAnsi="Times New Roman"/>
          <w:szCs w:val="24"/>
          <w:lang w:val="sr-Cyrl-BA"/>
        </w:rPr>
        <w:t>ћ</w:t>
      </w:r>
      <w:r>
        <w:rPr>
          <w:rFonts w:ascii="Times New Roman" w:hAnsi="Times New Roman"/>
          <w:szCs w:val="24"/>
          <w:lang w:val="bs-Latn-BA"/>
        </w:rPr>
        <w:t>ења</w:t>
      </w:r>
      <w:r w:rsidR="00F1608F" w:rsidRPr="00295637">
        <w:rPr>
          <w:rFonts w:ascii="Times New Roman" w:hAnsi="Times New Roman"/>
          <w:szCs w:val="24"/>
          <w:lang w:val="bs-Latn-BA"/>
        </w:rPr>
        <w:t xml:space="preserve"> </w:t>
      </w:r>
      <w:r>
        <w:rPr>
          <w:rFonts w:ascii="Times New Roman" w:hAnsi="Times New Roman"/>
          <w:szCs w:val="24"/>
          <w:lang w:val="bs-Latn-BA"/>
        </w:rPr>
        <w:t>родитељског</w:t>
      </w:r>
      <w:r w:rsidR="00F1608F" w:rsidRPr="00295637">
        <w:rPr>
          <w:rFonts w:ascii="Times New Roman" w:hAnsi="Times New Roman"/>
          <w:szCs w:val="24"/>
          <w:lang w:val="bs-Latn-BA"/>
        </w:rPr>
        <w:t xml:space="preserve"> </w:t>
      </w:r>
      <w:r>
        <w:rPr>
          <w:rFonts w:ascii="Times New Roman" w:hAnsi="Times New Roman"/>
          <w:szCs w:val="24"/>
          <w:lang w:val="bs-Latn-BA"/>
        </w:rPr>
        <w:t>одсуства</w:t>
      </w:r>
      <w:r w:rsidR="00F1608F" w:rsidRPr="00295637">
        <w:rPr>
          <w:rFonts w:ascii="Times New Roman" w:hAnsi="Times New Roman"/>
          <w:szCs w:val="24"/>
          <w:lang w:val="bs-Latn-BA"/>
        </w:rPr>
        <w:t xml:space="preserve"> </w:t>
      </w:r>
      <w:r>
        <w:rPr>
          <w:rFonts w:ascii="Times New Roman" w:hAnsi="Times New Roman"/>
          <w:szCs w:val="24"/>
          <w:lang w:val="bs-Latn-BA"/>
        </w:rPr>
        <w:t>од</w:t>
      </w:r>
      <w:r w:rsidR="00F1608F" w:rsidRPr="00295637">
        <w:rPr>
          <w:rFonts w:ascii="Times New Roman" w:hAnsi="Times New Roman"/>
          <w:szCs w:val="24"/>
          <w:lang w:val="bs-Latn-BA"/>
        </w:rPr>
        <w:t xml:space="preserve"> </w:t>
      </w:r>
      <w:r>
        <w:rPr>
          <w:rFonts w:ascii="Times New Roman" w:hAnsi="Times New Roman"/>
          <w:szCs w:val="24"/>
          <w:lang w:val="bs-Latn-BA"/>
        </w:rPr>
        <w:t>стране</w:t>
      </w:r>
      <w:r w:rsidR="00F1608F" w:rsidRPr="00295637">
        <w:rPr>
          <w:rFonts w:ascii="Times New Roman" w:hAnsi="Times New Roman"/>
          <w:szCs w:val="24"/>
          <w:lang w:val="bs-Latn-BA"/>
        </w:rPr>
        <w:t xml:space="preserve"> </w:t>
      </w:r>
      <w:r>
        <w:rPr>
          <w:rFonts w:ascii="Times New Roman" w:hAnsi="Times New Roman"/>
          <w:szCs w:val="24"/>
          <w:lang w:val="bs-Latn-BA"/>
        </w:rPr>
        <w:t>очева</w:t>
      </w:r>
      <w:r w:rsidR="00F1608F" w:rsidRPr="00295637">
        <w:rPr>
          <w:rFonts w:ascii="Times New Roman" w:hAnsi="Times New Roman"/>
          <w:szCs w:val="24"/>
          <w:lang w:val="bs-Latn-BA"/>
        </w:rPr>
        <w:t xml:space="preserve">, </w:t>
      </w:r>
      <w:r>
        <w:rPr>
          <w:rFonts w:ascii="Times New Roman" w:hAnsi="Times New Roman"/>
          <w:szCs w:val="24"/>
          <w:lang w:val="bs-Latn-BA"/>
        </w:rPr>
        <w:t>иако</w:t>
      </w:r>
      <w:r w:rsidR="00F1608F" w:rsidRPr="00295637">
        <w:rPr>
          <w:rFonts w:ascii="Times New Roman" w:hAnsi="Times New Roman"/>
          <w:szCs w:val="24"/>
          <w:lang w:val="bs-Latn-BA"/>
        </w:rPr>
        <w:t xml:space="preserve"> </w:t>
      </w:r>
      <w:r>
        <w:rPr>
          <w:rFonts w:ascii="Times New Roman" w:hAnsi="Times New Roman"/>
          <w:szCs w:val="24"/>
          <w:lang w:val="bs-Latn-BA"/>
        </w:rPr>
        <w:t>је</w:t>
      </w:r>
      <w:r w:rsidR="00F1608F" w:rsidRPr="00295637">
        <w:rPr>
          <w:rFonts w:ascii="Times New Roman" w:hAnsi="Times New Roman"/>
          <w:szCs w:val="24"/>
          <w:lang w:val="bs-Latn-BA"/>
        </w:rPr>
        <w:t xml:space="preserve"> </w:t>
      </w:r>
      <w:r>
        <w:rPr>
          <w:rFonts w:ascii="Times New Roman" w:hAnsi="Times New Roman"/>
          <w:szCs w:val="24"/>
          <w:lang w:val="bs-Latn-BA"/>
        </w:rPr>
        <w:t>број</w:t>
      </w:r>
      <w:r w:rsidR="00F1608F" w:rsidRPr="00295637">
        <w:rPr>
          <w:rFonts w:ascii="Times New Roman" w:hAnsi="Times New Roman"/>
          <w:szCs w:val="24"/>
          <w:lang w:val="bs-Latn-BA"/>
        </w:rPr>
        <w:t xml:space="preserve"> </w:t>
      </w:r>
      <w:r>
        <w:rPr>
          <w:rFonts w:ascii="Times New Roman" w:hAnsi="Times New Roman"/>
          <w:szCs w:val="24"/>
          <w:lang w:val="bs-Latn-BA"/>
        </w:rPr>
        <w:t>још</w:t>
      </w:r>
      <w:r w:rsidR="00F1608F" w:rsidRPr="00295637">
        <w:rPr>
          <w:rFonts w:ascii="Times New Roman" w:hAnsi="Times New Roman"/>
          <w:szCs w:val="24"/>
          <w:lang w:val="bs-Latn-BA"/>
        </w:rPr>
        <w:t xml:space="preserve"> </w:t>
      </w:r>
      <w:r>
        <w:rPr>
          <w:rFonts w:ascii="Times New Roman" w:hAnsi="Times New Roman"/>
          <w:szCs w:val="24"/>
          <w:lang w:val="bs-Latn-BA"/>
        </w:rPr>
        <w:t>увијек</w:t>
      </w:r>
      <w:r w:rsidR="00F1608F" w:rsidRPr="00295637">
        <w:rPr>
          <w:rFonts w:ascii="Times New Roman" w:hAnsi="Times New Roman"/>
          <w:szCs w:val="24"/>
          <w:lang w:val="bs-Latn-BA"/>
        </w:rPr>
        <w:t xml:space="preserve"> </w:t>
      </w:r>
      <w:r>
        <w:rPr>
          <w:rFonts w:ascii="Times New Roman" w:hAnsi="Times New Roman"/>
          <w:szCs w:val="24"/>
          <w:lang w:val="bs-Latn-BA"/>
        </w:rPr>
        <w:t>незадовољавајући</w:t>
      </w:r>
      <w:r w:rsidR="00F1608F" w:rsidRPr="00295637">
        <w:rPr>
          <w:rFonts w:ascii="Times New Roman" w:hAnsi="Times New Roman"/>
          <w:szCs w:val="24"/>
          <w:lang w:val="bs-Latn-BA"/>
        </w:rPr>
        <w:t xml:space="preserve">. </w:t>
      </w:r>
    </w:p>
    <w:p w:rsidR="00C3357A" w:rsidRPr="00295637" w:rsidRDefault="00C3357A" w:rsidP="0086268D">
      <w:pPr>
        <w:jc w:val="both"/>
        <w:rPr>
          <w:sz w:val="20"/>
        </w:rPr>
      </w:pPr>
    </w:p>
    <w:p w:rsidR="008F6871" w:rsidRPr="00295637" w:rsidRDefault="00C6214E" w:rsidP="0086268D">
      <w:pPr>
        <w:jc w:val="both"/>
        <w:rPr>
          <w:rFonts w:ascii="Times New Roman" w:hAnsi="Times New Roman"/>
          <w:szCs w:val="24"/>
          <w:lang w:val="bs-Latn-BA"/>
        </w:rPr>
      </w:pPr>
      <w:r>
        <w:rPr>
          <w:rFonts w:ascii="Times New Roman" w:hAnsi="Times New Roman"/>
          <w:szCs w:val="24"/>
        </w:rPr>
        <w:t>Према</w:t>
      </w:r>
      <w:r w:rsidR="00C3357A" w:rsidRPr="00295637">
        <w:rPr>
          <w:rFonts w:ascii="Times New Roman" w:hAnsi="Times New Roman"/>
          <w:szCs w:val="24"/>
        </w:rPr>
        <w:t xml:space="preserve"> </w:t>
      </w:r>
      <w:r>
        <w:rPr>
          <w:rFonts w:ascii="Times New Roman" w:hAnsi="Times New Roman"/>
          <w:szCs w:val="24"/>
        </w:rPr>
        <w:t>законској</w:t>
      </w:r>
      <w:r w:rsidR="00C3357A" w:rsidRPr="00295637">
        <w:rPr>
          <w:rFonts w:ascii="Times New Roman" w:hAnsi="Times New Roman"/>
          <w:szCs w:val="24"/>
        </w:rPr>
        <w:t xml:space="preserve"> </w:t>
      </w:r>
      <w:r>
        <w:rPr>
          <w:rFonts w:ascii="Times New Roman" w:hAnsi="Times New Roman"/>
          <w:szCs w:val="24"/>
        </w:rPr>
        <w:t>дефиницији</w:t>
      </w:r>
      <w:r w:rsidR="0030076B" w:rsidRPr="00295637">
        <w:rPr>
          <w:rFonts w:ascii="Times New Roman" w:hAnsi="Times New Roman"/>
          <w:szCs w:val="24"/>
        </w:rPr>
        <w:t>,</w:t>
      </w:r>
      <w:r w:rsidR="00C3357A" w:rsidRPr="00295637">
        <w:rPr>
          <w:rFonts w:ascii="Times New Roman" w:hAnsi="Times New Roman"/>
          <w:szCs w:val="24"/>
        </w:rPr>
        <w:t xml:space="preserve"> </w:t>
      </w:r>
      <w:r>
        <w:rPr>
          <w:rFonts w:ascii="Times New Roman" w:hAnsi="Times New Roman"/>
          <w:szCs w:val="24"/>
        </w:rPr>
        <w:t>социјална</w:t>
      </w:r>
      <w:r w:rsidR="00C3357A" w:rsidRPr="00295637">
        <w:rPr>
          <w:rFonts w:ascii="Times New Roman" w:hAnsi="Times New Roman"/>
          <w:szCs w:val="24"/>
        </w:rPr>
        <w:t xml:space="preserve"> </w:t>
      </w:r>
      <w:r>
        <w:rPr>
          <w:rFonts w:ascii="Times New Roman" w:hAnsi="Times New Roman"/>
          <w:szCs w:val="24"/>
        </w:rPr>
        <w:t>заштита</w:t>
      </w:r>
      <w:r w:rsidR="00C3357A" w:rsidRPr="00295637">
        <w:rPr>
          <w:rFonts w:ascii="Times New Roman" w:hAnsi="Times New Roman"/>
          <w:szCs w:val="24"/>
        </w:rPr>
        <w:t xml:space="preserve"> </w:t>
      </w:r>
      <w:r>
        <w:rPr>
          <w:rFonts w:ascii="Times New Roman" w:hAnsi="Times New Roman"/>
          <w:szCs w:val="24"/>
        </w:rPr>
        <w:t>традиционално</w:t>
      </w:r>
      <w:r w:rsidR="00C3357A" w:rsidRPr="00295637">
        <w:rPr>
          <w:rFonts w:ascii="Times New Roman" w:hAnsi="Times New Roman"/>
          <w:szCs w:val="24"/>
        </w:rPr>
        <w:t xml:space="preserve"> </w:t>
      </w:r>
      <w:r>
        <w:rPr>
          <w:rFonts w:ascii="Times New Roman" w:hAnsi="Times New Roman"/>
          <w:szCs w:val="24"/>
        </w:rPr>
        <w:t>покрива</w:t>
      </w:r>
      <w:r w:rsidR="00C3357A" w:rsidRPr="00295637">
        <w:rPr>
          <w:rFonts w:ascii="Times New Roman" w:hAnsi="Times New Roman"/>
          <w:szCs w:val="24"/>
        </w:rPr>
        <w:t xml:space="preserve"> </w:t>
      </w:r>
      <w:r>
        <w:rPr>
          <w:rFonts w:ascii="Times New Roman" w:hAnsi="Times New Roman"/>
          <w:szCs w:val="24"/>
        </w:rPr>
        <w:t>друштвену</w:t>
      </w:r>
      <w:r w:rsidR="00C3357A" w:rsidRPr="00295637">
        <w:rPr>
          <w:rFonts w:ascii="Times New Roman" w:hAnsi="Times New Roman"/>
          <w:szCs w:val="24"/>
        </w:rPr>
        <w:t xml:space="preserve"> </w:t>
      </w:r>
      <w:r>
        <w:rPr>
          <w:rFonts w:ascii="Times New Roman" w:hAnsi="Times New Roman"/>
          <w:szCs w:val="24"/>
        </w:rPr>
        <w:t>бригу</w:t>
      </w:r>
      <w:r w:rsidR="00C3357A" w:rsidRPr="00295637">
        <w:rPr>
          <w:rFonts w:ascii="Times New Roman" w:hAnsi="Times New Roman"/>
          <w:szCs w:val="24"/>
        </w:rPr>
        <w:t xml:space="preserve"> </w:t>
      </w:r>
      <w:r>
        <w:rPr>
          <w:rFonts w:ascii="Times New Roman" w:hAnsi="Times New Roman"/>
          <w:szCs w:val="24"/>
        </w:rPr>
        <w:t>о</w:t>
      </w:r>
      <w:r w:rsidR="00C3357A" w:rsidRPr="00295637">
        <w:rPr>
          <w:rFonts w:ascii="Times New Roman" w:hAnsi="Times New Roman"/>
          <w:szCs w:val="24"/>
        </w:rPr>
        <w:t xml:space="preserve"> </w:t>
      </w:r>
      <w:r>
        <w:rPr>
          <w:rFonts w:ascii="Times New Roman" w:hAnsi="Times New Roman"/>
          <w:szCs w:val="24"/>
        </w:rPr>
        <w:t>најугроженијим</w:t>
      </w:r>
      <w:r w:rsidR="00C3357A" w:rsidRPr="00295637">
        <w:rPr>
          <w:rFonts w:ascii="Times New Roman" w:hAnsi="Times New Roman"/>
          <w:szCs w:val="24"/>
        </w:rPr>
        <w:t xml:space="preserve"> </w:t>
      </w:r>
      <w:r>
        <w:rPr>
          <w:rFonts w:ascii="Times New Roman" w:hAnsi="Times New Roman"/>
          <w:szCs w:val="24"/>
        </w:rPr>
        <w:t>социјалним</w:t>
      </w:r>
      <w:r w:rsidR="00C3357A" w:rsidRPr="00295637">
        <w:rPr>
          <w:rFonts w:ascii="Times New Roman" w:hAnsi="Times New Roman"/>
          <w:szCs w:val="24"/>
        </w:rPr>
        <w:t xml:space="preserve"> </w:t>
      </w:r>
      <w:r>
        <w:rPr>
          <w:rFonts w:ascii="Times New Roman" w:hAnsi="Times New Roman"/>
          <w:szCs w:val="24"/>
        </w:rPr>
        <w:t>категоријама</w:t>
      </w:r>
      <w:r w:rsidR="00C3357A" w:rsidRPr="00295637">
        <w:rPr>
          <w:rFonts w:ascii="Times New Roman" w:hAnsi="Times New Roman"/>
          <w:szCs w:val="24"/>
        </w:rPr>
        <w:t xml:space="preserve">, </w:t>
      </w:r>
      <w:r>
        <w:rPr>
          <w:rFonts w:ascii="Times New Roman" w:hAnsi="Times New Roman"/>
          <w:szCs w:val="24"/>
        </w:rPr>
        <w:t>којима</w:t>
      </w:r>
      <w:r w:rsidR="00C3357A" w:rsidRPr="00295637">
        <w:rPr>
          <w:rFonts w:ascii="Times New Roman" w:hAnsi="Times New Roman"/>
          <w:szCs w:val="24"/>
        </w:rPr>
        <w:t xml:space="preserve"> </w:t>
      </w:r>
      <w:r>
        <w:rPr>
          <w:rFonts w:ascii="Times New Roman" w:hAnsi="Times New Roman"/>
          <w:szCs w:val="24"/>
        </w:rPr>
        <w:t>осим</w:t>
      </w:r>
      <w:r w:rsidR="00C3357A" w:rsidRPr="00295637">
        <w:rPr>
          <w:rFonts w:ascii="Times New Roman" w:hAnsi="Times New Roman"/>
          <w:szCs w:val="24"/>
        </w:rPr>
        <w:t xml:space="preserve"> </w:t>
      </w:r>
      <w:r>
        <w:rPr>
          <w:rFonts w:ascii="Times New Roman" w:hAnsi="Times New Roman"/>
          <w:szCs w:val="24"/>
        </w:rPr>
        <w:t>социјалне</w:t>
      </w:r>
      <w:r w:rsidR="00C3357A" w:rsidRPr="00295637">
        <w:rPr>
          <w:rFonts w:ascii="Times New Roman" w:hAnsi="Times New Roman"/>
          <w:szCs w:val="24"/>
        </w:rPr>
        <w:t xml:space="preserve"> </w:t>
      </w:r>
      <w:r>
        <w:rPr>
          <w:rFonts w:ascii="Times New Roman" w:hAnsi="Times New Roman"/>
          <w:szCs w:val="24"/>
        </w:rPr>
        <w:t>помоћи</w:t>
      </w:r>
      <w:r w:rsidR="00C3357A" w:rsidRPr="00295637">
        <w:rPr>
          <w:rFonts w:ascii="Times New Roman" w:hAnsi="Times New Roman"/>
          <w:szCs w:val="24"/>
        </w:rPr>
        <w:t xml:space="preserve">, </w:t>
      </w:r>
      <w:r>
        <w:rPr>
          <w:rFonts w:ascii="Times New Roman" w:hAnsi="Times New Roman"/>
          <w:szCs w:val="24"/>
        </w:rPr>
        <w:t>треба</w:t>
      </w:r>
      <w:r w:rsidR="00C3357A" w:rsidRPr="00295637">
        <w:rPr>
          <w:rFonts w:ascii="Times New Roman" w:hAnsi="Times New Roman"/>
          <w:szCs w:val="24"/>
        </w:rPr>
        <w:t xml:space="preserve"> </w:t>
      </w:r>
      <w:r>
        <w:rPr>
          <w:rFonts w:ascii="Times New Roman" w:hAnsi="Times New Roman"/>
          <w:szCs w:val="24"/>
        </w:rPr>
        <w:t>индивидуализ</w:t>
      </w:r>
      <w:r w:rsidR="0090180C">
        <w:rPr>
          <w:rFonts w:ascii="Times New Roman" w:hAnsi="Times New Roman"/>
          <w:szCs w:val="24"/>
          <w:lang w:val="sr-Cyrl-BA"/>
        </w:rPr>
        <w:t>ован</w:t>
      </w:r>
      <w:r w:rsidR="00813F15">
        <w:rPr>
          <w:rFonts w:ascii="Times New Roman" w:hAnsi="Times New Roman"/>
          <w:szCs w:val="24"/>
        </w:rPr>
        <w:t xml:space="preserve"> </w:t>
      </w:r>
      <w:r>
        <w:rPr>
          <w:rFonts w:ascii="Times New Roman" w:hAnsi="Times New Roman"/>
          <w:szCs w:val="24"/>
        </w:rPr>
        <w:t>приступ</w:t>
      </w:r>
      <w:r w:rsidR="00813F15">
        <w:rPr>
          <w:rFonts w:ascii="Times New Roman" w:hAnsi="Times New Roman"/>
          <w:szCs w:val="24"/>
        </w:rPr>
        <w:t xml:space="preserve"> (</w:t>
      </w:r>
      <w:r>
        <w:rPr>
          <w:rFonts w:ascii="Times New Roman" w:hAnsi="Times New Roman"/>
          <w:szCs w:val="24"/>
        </w:rPr>
        <w:t>лица</w:t>
      </w:r>
      <w:r w:rsidR="00813F15">
        <w:rPr>
          <w:rFonts w:ascii="Times New Roman" w:hAnsi="Times New Roman"/>
          <w:szCs w:val="24"/>
        </w:rPr>
        <w:t xml:space="preserve"> </w:t>
      </w:r>
      <w:r>
        <w:rPr>
          <w:rFonts w:ascii="Times New Roman" w:hAnsi="Times New Roman"/>
          <w:szCs w:val="24"/>
        </w:rPr>
        <w:t>са</w:t>
      </w:r>
      <w:r w:rsidR="00C3357A" w:rsidRPr="00295637">
        <w:rPr>
          <w:rFonts w:ascii="Times New Roman" w:hAnsi="Times New Roman"/>
          <w:szCs w:val="24"/>
        </w:rPr>
        <w:t xml:space="preserve"> </w:t>
      </w:r>
      <w:r>
        <w:rPr>
          <w:rFonts w:ascii="Times New Roman" w:hAnsi="Times New Roman"/>
          <w:szCs w:val="24"/>
        </w:rPr>
        <w:t>инвалидитетом</w:t>
      </w:r>
      <w:r w:rsidR="00C3357A" w:rsidRPr="00295637">
        <w:rPr>
          <w:rFonts w:ascii="Times New Roman" w:hAnsi="Times New Roman"/>
          <w:szCs w:val="24"/>
        </w:rPr>
        <w:t xml:space="preserve">, </w:t>
      </w:r>
      <w:r>
        <w:rPr>
          <w:rFonts w:ascii="Times New Roman" w:hAnsi="Times New Roman"/>
          <w:szCs w:val="24"/>
        </w:rPr>
        <w:t>социјално</w:t>
      </w:r>
      <w:r w:rsidR="00C3357A" w:rsidRPr="00295637">
        <w:rPr>
          <w:rFonts w:ascii="Times New Roman" w:hAnsi="Times New Roman"/>
          <w:szCs w:val="24"/>
        </w:rPr>
        <w:t xml:space="preserve"> </w:t>
      </w:r>
      <w:r>
        <w:rPr>
          <w:rFonts w:ascii="Times New Roman" w:hAnsi="Times New Roman"/>
          <w:szCs w:val="24"/>
        </w:rPr>
        <w:t>угрожени</w:t>
      </w:r>
      <w:r w:rsidR="00C3357A" w:rsidRPr="00295637">
        <w:rPr>
          <w:rFonts w:ascii="Times New Roman" w:hAnsi="Times New Roman"/>
          <w:szCs w:val="24"/>
        </w:rPr>
        <w:t xml:space="preserve">, </w:t>
      </w:r>
      <w:r>
        <w:rPr>
          <w:rFonts w:ascii="Times New Roman" w:hAnsi="Times New Roman"/>
          <w:szCs w:val="24"/>
        </w:rPr>
        <w:t>стари</w:t>
      </w:r>
      <w:r w:rsidR="00C3357A" w:rsidRPr="00295637">
        <w:rPr>
          <w:rFonts w:ascii="Times New Roman" w:hAnsi="Times New Roman"/>
          <w:szCs w:val="24"/>
        </w:rPr>
        <w:t xml:space="preserve"> </w:t>
      </w:r>
      <w:r>
        <w:rPr>
          <w:rFonts w:ascii="Times New Roman" w:hAnsi="Times New Roman"/>
          <w:szCs w:val="24"/>
        </w:rPr>
        <w:t>и</w:t>
      </w:r>
      <w:r w:rsidR="00C3357A" w:rsidRPr="00295637">
        <w:rPr>
          <w:rFonts w:ascii="Times New Roman" w:hAnsi="Times New Roman"/>
          <w:szCs w:val="24"/>
        </w:rPr>
        <w:t xml:space="preserve"> </w:t>
      </w:r>
      <w:r>
        <w:rPr>
          <w:rFonts w:ascii="Times New Roman" w:hAnsi="Times New Roman"/>
          <w:szCs w:val="24"/>
        </w:rPr>
        <w:t>сл</w:t>
      </w:r>
      <w:r w:rsidR="00C3357A" w:rsidRPr="00295637">
        <w:rPr>
          <w:rFonts w:ascii="Times New Roman" w:hAnsi="Times New Roman"/>
          <w:szCs w:val="24"/>
        </w:rPr>
        <w:t xml:space="preserve">.) </w:t>
      </w:r>
      <w:r>
        <w:rPr>
          <w:rFonts w:ascii="Times New Roman" w:hAnsi="Times New Roman"/>
          <w:szCs w:val="24"/>
        </w:rPr>
        <w:t>и</w:t>
      </w:r>
      <w:r w:rsidR="00C3357A" w:rsidRPr="00295637">
        <w:rPr>
          <w:rFonts w:ascii="Times New Roman" w:hAnsi="Times New Roman"/>
          <w:szCs w:val="24"/>
        </w:rPr>
        <w:t xml:space="preserve"> </w:t>
      </w:r>
      <w:r>
        <w:rPr>
          <w:rFonts w:ascii="Times New Roman" w:hAnsi="Times New Roman"/>
          <w:szCs w:val="24"/>
        </w:rPr>
        <w:t>представља</w:t>
      </w:r>
      <w:r w:rsidR="00C3357A" w:rsidRPr="00295637">
        <w:rPr>
          <w:rFonts w:ascii="Times New Roman" w:hAnsi="Times New Roman"/>
          <w:szCs w:val="24"/>
        </w:rPr>
        <w:t xml:space="preserve"> </w:t>
      </w:r>
      <w:r>
        <w:rPr>
          <w:rFonts w:ascii="Times New Roman" w:hAnsi="Times New Roman"/>
          <w:szCs w:val="24"/>
        </w:rPr>
        <w:t>директну</w:t>
      </w:r>
      <w:r w:rsidR="00C3357A" w:rsidRPr="00295637">
        <w:rPr>
          <w:rFonts w:ascii="Times New Roman" w:hAnsi="Times New Roman"/>
          <w:szCs w:val="24"/>
        </w:rPr>
        <w:t xml:space="preserve"> </w:t>
      </w:r>
      <w:r>
        <w:rPr>
          <w:rFonts w:ascii="Times New Roman" w:hAnsi="Times New Roman"/>
          <w:szCs w:val="24"/>
        </w:rPr>
        <w:t>буџетску</w:t>
      </w:r>
      <w:r w:rsidR="00C3357A" w:rsidRPr="00295637">
        <w:rPr>
          <w:rFonts w:ascii="Times New Roman" w:hAnsi="Times New Roman"/>
          <w:szCs w:val="24"/>
        </w:rPr>
        <w:t xml:space="preserve"> </w:t>
      </w:r>
      <w:r>
        <w:rPr>
          <w:rFonts w:ascii="Times New Roman" w:hAnsi="Times New Roman"/>
          <w:szCs w:val="24"/>
        </w:rPr>
        <w:t>подршку</w:t>
      </w:r>
      <w:r w:rsidR="00C3357A" w:rsidRPr="00295637">
        <w:rPr>
          <w:rFonts w:ascii="Times New Roman" w:hAnsi="Times New Roman"/>
          <w:szCs w:val="24"/>
        </w:rPr>
        <w:t xml:space="preserve"> </w:t>
      </w:r>
      <w:r>
        <w:rPr>
          <w:rFonts w:ascii="Times New Roman" w:hAnsi="Times New Roman"/>
          <w:szCs w:val="24"/>
        </w:rPr>
        <w:t>државе</w:t>
      </w:r>
      <w:r w:rsidR="00C3357A" w:rsidRPr="00295637">
        <w:rPr>
          <w:rFonts w:ascii="Times New Roman" w:hAnsi="Times New Roman"/>
          <w:szCs w:val="24"/>
        </w:rPr>
        <w:t xml:space="preserve"> </w:t>
      </w:r>
      <w:r>
        <w:rPr>
          <w:rFonts w:ascii="Times New Roman" w:hAnsi="Times New Roman"/>
          <w:szCs w:val="24"/>
        </w:rPr>
        <w:t>без</w:t>
      </w:r>
      <w:r w:rsidR="00C3357A" w:rsidRPr="00295637">
        <w:rPr>
          <w:rFonts w:ascii="Times New Roman" w:hAnsi="Times New Roman"/>
          <w:szCs w:val="24"/>
        </w:rPr>
        <w:t xml:space="preserve"> </w:t>
      </w:r>
      <w:r>
        <w:rPr>
          <w:rFonts w:ascii="Times New Roman" w:hAnsi="Times New Roman"/>
          <w:szCs w:val="24"/>
        </w:rPr>
        <w:t>додатних</w:t>
      </w:r>
      <w:r w:rsidR="00C3357A" w:rsidRPr="00295637">
        <w:rPr>
          <w:rFonts w:ascii="Times New Roman" w:hAnsi="Times New Roman"/>
          <w:szCs w:val="24"/>
        </w:rPr>
        <w:t xml:space="preserve"> </w:t>
      </w:r>
      <w:r>
        <w:rPr>
          <w:rFonts w:ascii="Times New Roman" w:hAnsi="Times New Roman"/>
          <w:szCs w:val="24"/>
        </w:rPr>
        <w:t>личних</w:t>
      </w:r>
      <w:r w:rsidR="00C3357A" w:rsidRPr="00295637">
        <w:rPr>
          <w:rFonts w:ascii="Times New Roman" w:hAnsi="Times New Roman"/>
          <w:szCs w:val="24"/>
        </w:rPr>
        <w:t xml:space="preserve"> </w:t>
      </w:r>
      <w:r>
        <w:rPr>
          <w:rFonts w:ascii="Times New Roman" w:hAnsi="Times New Roman"/>
          <w:szCs w:val="24"/>
        </w:rPr>
        <w:t>или</w:t>
      </w:r>
      <w:r w:rsidR="00C3357A" w:rsidRPr="00295637">
        <w:rPr>
          <w:rFonts w:ascii="Times New Roman" w:hAnsi="Times New Roman"/>
          <w:szCs w:val="24"/>
        </w:rPr>
        <w:t xml:space="preserve"> </w:t>
      </w:r>
      <w:r>
        <w:rPr>
          <w:rFonts w:ascii="Times New Roman" w:hAnsi="Times New Roman"/>
          <w:szCs w:val="24"/>
        </w:rPr>
        <w:t>везаних</w:t>
      </w:r>
      <w:r w:rsidR="00C3357A" w:rsidRPr="00295637">
        <w:rPr>
          <w:rFonts w:ascii="Times New Roman" w:hAnsi="Times New Roman"/>
          <w:szCs w:val="24"/>
        </w:rPr>
        <w:t xml:space="preserve"> </w:t>
      </w:r>
      <w:r>
        <w:rPr>
          <w:rFonts w:ascii="Times New Roman" w:hAnsi="Times New Roman"/>
          <w:szCs w:val="24"/>
        </w:rPr>
        <w:t>доприноса</w:t>
      </w:r>
      <w:r w:rsidR="00C3357A" w:rsidRPr="00295637">
        <w:rPr>
          <w:rFonts w:ascii="Times New Roman" w:hAnsi="Times New Roman"/>
          <w:szCs w:val="24"/>
        </w:rPr>
        <w:t xml:space="preserve">, </w:t>
      </w:r>
      <w:r>
        <w:rPr>
          <w:rFonts w:ascii="Times New Roman" w:hAnsi="Times New Roman"/>
          <w:szCs w:val="24"/>
        </w:rPr>
        <w:t>лицима</w:t>
      </w:r>
      <w:r w:rsidR="00C3357A" w:rsidRPr="00295637">
        <w:rPr>
          <w:rFonts w:ascii="Times New Roman" w:hAnsi="Times New Roman"/>
          <w:szCs w:val="24"/>
        </w:rPr>
        <w:t xml:space="preserve"> </w:t>
      </w:r>
      <w:r>
        <w:rPr>
          <w:rFonts w:ascii="Times New Roman" w:hAnsi="Times New Roman"/>
          <w:szCs w:val="24"/>
        </w:rPr>
        <w:t>која</w:t>
      </w:r>
      <w:r w:rsidR="00C3357A" w:rsidRPr="00295637">
        <w:rPr>
          <w:rFonts w:ascii="Times New Roman" w:hAnsi="Times New Roman"/>
          <w:szCs w:val="24"/>
        </w:rPr>
        <w:t xml:space="preserve"> </w:t>
      </w:r>
      <w:r>
        <w:rPr>
          <w:rFonts w:ascii="Times New Roman" w:hAnsi="Times New Roman"/>
          <w:szCs w:val="24"/>
        </w:rPr>
        <w:t>су</w:t>
      </w:r>
      <w:r w:rsidR="00C3357A" w:rsidRPr="00295637">
        <w:rPr>
          <w:rFonts w:ascii="Times New Roman" w:hAnsi="Times New Roman"/>
          <w:szCs w:val="24"/>
        </w:rPr>
        <w:t xml:space="preserve"> </w:t>
      </w:r>
      <w:r>
        <w:rPr>
          <w:rFonts w:ascii="Times New Roman" w:hAnsi="Times New Roman"/>
          <w:szCs w:val="24"/>
        </w:rPr>
        <w:t>дефини</w:t>
      </w:r>
      <w:r w:rsidR="0090180C">
        <w:rPr>
          <w:rFonts w:ascii="Times New Roman" w:hAnsi="Times New Roman"/>
          <w:szCs w:val="24"/>
          <w:lang w:val="sr-Cyrl-BA"/>
        </w:rPr>
        <w:t>с</w:t>
      </w:r>
      <w:r>
        <w:rPr>
          <w:rFonts w:ascii="Times New Roman" w:hAnsi="Times New Roman"/>
          <w:szCs w:val="24"/>
        </w:rPr>
        <w:t>ана</w:t>
      </w:r>
      <w:r w:rsidR="00C3357A" w:rsidRPr="00295637">
        <w:rPr>
          <w:rFonts w:ascii="Times New Roman" w:hAnsi="Times New Roman"/>
          <w:szCs w:val="24"/>
        </w:rPr>
        <w:t xml:space="preserve"> </w:t>
      </w:r>
      <w:r>
        <w:rPr>
          <w:rFonts w:ascii="Times New Roman" w:hAnsi="Times New Roman"/>
          <w:szCs w:val="24"/>
        </w:rPr>
        <w:t>као</w:t>
      </w:r>
      <w:r w:rsidR="00C3357A" w:rsidRPr="00295637">
        <w:rPr>
          <w:rFonts w:ascii="Times New Roman" w:hAnsi="Times New Roman"/>
          <w:szCs w:val="24"/>
        </w:rPr>
        <w:t xml:space="preserve"> </w:t>
      </w:r>
      <w:r>
        <w:rPr>
          <w:rFonts w:ascii="Times New Roman" w:hAnsi="Times New Roman"/>
          <w:szCs w:val="24"/>
        </w:rPr>
        <w:t>корисници</w:t>
      </w:r>
      <w:r w:rsidR="00C3357A" w:rsidRPr="00295637">
        <w:rPr>
          <w:rFonts w:ascii="Times New Roman" w:hAnsi="Times New Roman"/>
          <w:szCs w:val="24"/>
        </w:rPr>
        <w:t xml:space="preserve"> </w:t>
      </w:r>
      <w:r>
        <w:rPr>
          <w:rFonts w:ascii="Times New Roman" w:hAnsi="Times New Roman"/>
          <w:szCs w:val="24"/>
        </w:rPr>
        <w:t>социјалне</w:t>
      </w:r>
      <w:r w:rsidR="00C3357A" w:rsidRPr="00295637">
        <w:rPr>
          <w:rFonts w:ascii="Times New Roman" w:hAnsi="Times New Roman"/>
          <w:szCs w:val="24"/>
        </w:rPr>
        <w:t xml:space="preserve"> </w:t>
      </w:r>
      <w:r>
        <w:rPr>
          <w:rFonts w:ascii="Times New Roman" w:hAnsi="Times New Roman"/>
          <w:szCs w:val="24"/>
        </w:rPr>
        <w:t>заштите</w:t>
      </w:r>
      <w:r w:rsidR="00C3357A" w:rsidRPr="00295637">
        <w:rPr>
          <w:rFonts w:ascii="Times New Roman" w:hAnsi="Times New Roman"/>
          <w:szCs w:val="24"/>
        </w:rPr>
        <w:t xml:space="preserve">. </w:t>
      </w:r>
      <w:r>
        <w:rPr>
          <w:rFonts w:ascii="Times New Roman" w:hAnsi="Times New Roman"/>
          <w:szCs w:val="24"/>
        </w:rPr>
        <w:t>Социјална</w:t>
      </w:r>
      <w:r w:rsidR="00C3357A" w:rsidRPr="00295637">
        <w:rPr>
          <w:rFonts w:ascii="Times New Roman" w:hAnsi="Times New Roman"/>
          <w:szCs w:val="24"/>
        </w:rPr>
        <w:t xml:space="preserve"> </w:t>
      </w:r>
      <w:r>
        <w:rPr>
          <w:rFonts w:ascii="Times New Roman" w:hAnsi="Times New Roman"/>
          <w:szCs w:val="24"/>
        </w:rPr>
        <w:t>заштита</w:t>
      </w:r>
      <w:r w:rsidR="00C3357A" w:rsidRPr="00295637">
        <w:rPr>
          <w:rFonts w:ascii="Times New Roman" w:hAnsi="Times New Roman"/>
          <w:szCs w:val="24"/>
        </w:rPr>
        <w:t xml:space="preserve"> </w:t>
      </w:r>
      <w:r>
        <w:rPr>
          <w:rFonts w:ascii="Times New Roman" w:hAnsi="Times New Roman"/>
          <w:szCs w:val="24"/>
        </w:rPr>
        <w:t>се</w:t>
      </w:r>
      <w:r w:rsidR="00C3357A" w:rsidRPr="00295637">
        <w:rPr>
          <w:rFonts w:ascii="Times New Roman" w:hAnsi="Times New Roman"/>
          <w:szCs w:val="24"/>
        </w:rPr>
        <w:t xml:space="preserve"> </w:t>
      </w:r>
      <w:r>
        <w:rPr>
          <w:rFonts w:ascii="Times New Roman" w:hAnsi="Times New Roman"/>
          <w:szCs w:val="24"/>
        </w:rPr>
        <w:t>у</w:t>
      </w:r>
      <w:r w:rsidR="00C3357A" w:rsidRPr="00295637">
        <w:rPr>
          <w:rFonts w:ascii="Times New Roman" w:hAnsi="Times New Roman"/>
          <w:szCs w:val="24"/>
        </w:rPr>
        <w:t xml:space="preserve"> </w:t>
      </w:r>
      <w:r>
        <w:rPr>
          <w:rFonts w:ascii="Times New Roman" w:hAnsi="Times New Roman"/>
          <w:szCs w:val="24"/>
        </w:rPr>
        <w:t>том</w:t>
      </w:r>
      <w:r w:rsidR="00C3357A" w:rsidRPr="00295637">
        <w:rPr>
          <w:rFonts w:ascii="Times New Roman" w:hAnsi="Times New Roman"/>
          <w:szCs w:val="24"/>
        </w:rPr>
        <w:t xml:space="preserve"> </w:t>
      </w:r>
      <w:r>
        <w:rPr>
          <w:rFonts w:ascii="Times New Roman" w:hAnsi="Times New Roman"/>
          <w:szCs w:val="24"/>
        </w:rPr>
        <w:t>смислу</w:t>
      </w:r>
      <w:r w:rsidR="00C3357A" w:rsidRPr="00295637">
        <w:rPr>
          <w:rFonts w:ascii="Times New Roman" w:hAnsi="Times New Roman"/>
          <w:szCs w:val="24"/>
        </w:rPr>
        <w:t xml:space="preserve"> </w:t>
      </w:r>
      <w:r>
        <w:rPr>
          <w:rFonts w:ascii="Times New Roman" w:hAnsi="Times New Roman"/>
          <w:szCs w:val="24"/>
        </w:rPr>
        <w:t>третира</w:t>
      </w:r>
      <w:r w:rsidR="00C3357A" w:rsidRPr="00295637">
        <w:rPr>
          <w:rFonts w:ascii="Times New Roman" w:hAnsi="Times New Roman"/>
          <w:szCs w:val="24"/>
        </w:rPr>
        <w:t xml:space="preserve"> </w:t>
      </w:r>
      <w:r>
        <w:rPr>
          <w:rFonts w:ascii="Times New Roman" w:hAnsi="Times New Roman"/>
          <w:szCs w:val="24"/>
        </w:rPr>
        <w:t>као</w:t>
      </w:r>
      <w:r w:rsidR="00C3357A" w:rsidRPr="00295637">
        <w:rPr>
          <w:rFonts w:ascii="Times New Roman" w:hAnsi="Times New Roman"/>
          <w:szCs w:val="24"/>
        </w:rPr>
        <w:t xml:space="preserve"> </w:t>
      </w:r>
      <w:r>
        <w:rPr>
          <w:rFonts w:ascii="Times New Roman" w:hAnsi="Times New Roman"/>
          <w:szCs w:val="24"/>
        </w:rPr>
        <w:t>ужи</w:t>
      </w:r>
      <w:r w:rsidR="00C3357A" w:rsidRPr="00295637">
        <w:rPr>
          <w:rFonts w:ascii="Times New Roman" w:hAnsi="Times New Roman"/>
          <w:szCs w:val="24"/>
        </w:rPr>
        <w:t xml:space="preserve"> </w:t>
      </w:r>
      <w:r>
        <w:rPr>
          <w:rFonts w:ascii="Times New Roman" w:hAnsi="Times New Roman"/>
          <w:szCs w:val="24"/>
        </w:rPr>
        <w:t>дио</w:t>
      </w:r>
      <w:r w:rsidR="00C3357A" w:rsidRPr="00295637">
        <w:rPr>
          <w:rFonts w:ascii="Times New Roman" w:hAnsi="Times New Roman"/>
          <w:szCs w:val="24"/>
        </w:rPr>
        <w:t xml:space="preserve"> </w:t>
      </w:r>
      <w:r>
        <w:rPr>
          <w:rFonts w:ascii="Times New Roman" w:hAnsi="Times New Roman"/>
          <w:szCs w:val="24"/>
        </w:rPr>
        <w:t>социјалне</w:t>
      </w:r>
      <w:r w:rsidR="00C3357A" w:rsidRPr="00295637">
        <w:rPr>
          <w:rFonts w:ascii="Times New Roman" w:hAnsi="Times New Roman"/>
          <w:szCs w:val="24"/>
        </w:rPr>
        <w:t xml:space="preserve"> </w:t>
      </w:r>
      <w:r w:rsidR="0090180C">
        <w:rPr>
          <w:rFonts w:ascii="Times New Roman" w:hAnsi="Times New Roman"/>
          <w:szCs w:val="24"/>
          <w:lang w:val="sr-Cyrl-BA"/>
        </w:rPr>
        <w:t>безбједности</w:t>
      </w:r>
      <w:r w:rsidR="00C3357A" w:rsidRPr="00295637">
        <w:rPr>
          <w:rFonts w:ascii="Times New Roman" w:hAnsi="Times New Roman"/>
          <w:szCs w:val="24"/>
        </w:rPr>
        <w:t xml:space="preserve">, </w:t>
      </w:r>
      <w:r>
        <w:rPr>
          <w:rFonts w:ascii="Times New Roman" w:hAnsi="Times New Roman"/>
          <w:szCs w:val="24"/>
        </w:rPr>
        <w:t>те</w:t>
      </w:r>
      <w:r w:rsidR="00C3357A" w:rsidRPr="00295637">
        <w:rPr>
          <w:rFonts w:ascii="Times New Roman" w:hAnsi="Times New Roman"/>
          <w:szCs w:val="24"/>
        </w:rPr>
        <w:t xml:space="preserve"> </w:t>
      </w:r>
      <w:r>
        <w:rPr>
          <w:rFonts w:ascii="Times New Roman" w:hAnsi="Times New Roman"/>
          <w:szCs w:val="24"/>
        </w:rPr>
        <w:t>је</w:t>
      </w:r>
      <w:r w:rsidR="00C3357A" w:rsidRPr="00295637">
        <w:rPr>
          <w:rFonts w:ascii="Times New Roman" w:hAnsi="Times New Roman"/>
          <w:szCs w:val="24"/>
        </w:rPr>
        <w:t xml:space="preserve"> </w:t>
      </w:r>
      <w:r>
        <w:rPr>
          <w:rFonts w:ascii="Times New Roman" w:hAnsi="Times New Roman"/>
          <w:szCs w:val="24"/>
        </w:rPr>
        <w:t>очигледно</w:t>
      </w:r>
      <w:r w:rsidR="00C3357A" w:rsidRPr="00295637">
        <w:rPr>
          <w:rFonts w:ascii="Times New Roman" w:hAnsi="Times New Roman"/>
          <w:szCs w:val="24"/>
        </w:rPr>
        <w:t xml:space="preserve"> </w:t>
      </w:r>
      <w:r>
        <w:rPr>
          <w:rFonts w:ascii="Times New Roman" w:hAnsi="Times New Roman"/>
          <w:szCs w:val="24"/>
        </w:rPr>
        <w:t>да</w:t>
      </w:r>
      <w:r w:rsidR="00C3357A" w:rsidRPr="00295637">
        <w:rPr>
          <w:rFonts w:ascii="Times New Roman" w:hAnsi="Times New Roman"/>
          <w:szCs w:val="24"/>
        </w:rPr>
        <w:t xml:space="preserve"> </w:t>
      </w:r>
      <w:r>
        <w:rPr>
          <w:rFonts w:ascii="Times New Roman" w:hAnsi="Times New Roman"/>
          <w:szCs w:val="24"/>
        </w:rPr>
        <w:t>ће</w:t>
      </w:r>
      <w:r w:rsidR="00C3357A" w:rsidRPr="00295637">
        <w:rPr>
          <w:rFonts w:ascii="Times New Roman" w:hAnsi="Times New Roman"/>
          <w:szCs w:val="24"/>
        </w:rPr>
        <w:t xml:space="preserve"> </w:t>
      </w:r>
      <w:r>
        <w:rPr>
          <w:rFonts w:ascii="Times New Roman" w:hAnsi="Times New Roman"/>
          <w:szCs w:val="24"/>
        </w:rPr>
        <w:t>се</w:t>
      </w:r>
      <w:r w:rsidR="00C3357A" w:rsidRPr="00295637">
        <w:rPr>
          <w:rFonts w:ascii="Times New Roman" w:hAnsi="Times New Roman"/>
          <w:szCs w:val="24"/>
        </w:rPr>
        <w:t xml:space="preserve"> </w:t>
      </w:r>
      <w:r>
        <w:rPr>
          <w:rFonts w:ascii="Times New Roman" w:hAnsi="Times New Roman"/>
          <w:szCs w:val="24"/>
        </w:rPr>
        <w:t>у</w:t>
      </w:r>
      <w:r w:rsidR="00C3357A" w:rsidRPr="00295637">
        <w:rPr>
          <w:rFonts w:ascii="Times New Roman" w:hAnsi="Times New Roman"/>
          <w:szCs w:val="24"/>
        </w:rPr>
        <w:t xml:space="preserve"> </w:t>
      </w:r>
      <w:r>
        <w:rPr>
          <w:rFonts w:ascii="Times New Roman" w:hAnsi="Times New Roman"/>
          <w:szCs w:val="24"/>
        </w:rPr>
        <w:t>процесу</w:t>
      </w:r>
      <w:r w:rsidR="00C3357A" w:rsidRPr="00295637">
        <w:rPr>
          <w:rFonts w:ascii="Times New Roman" w:hAnsi="Times New Roman"/>
          <w:szCs w:val="24"/>
        </w:rPr>
        <w:t xml:space="preserve"> </w:t>
      </w:r>
      <w:r>
        <w:rPr>
          <w:rFonts w:ascii="Times New Roman" w:hAnsi="Times New Roman"/>
          <w:szCs w:val="24"/>
        </w:rPr>
        <w:t>приближавања</w:t>
      </w:r>
      <w:r w:rsidR="00C3357A" w:rsidRPr="00295637">
        <w:rPr>
          <w:rFonts w:ascii="Times New Roman" w:hAnsi="Times New Roman"/>
          <w:szCs w:val="24"/>
        </w:rPr>
        <w:t xml:space="preserve"> </w:t>
      </w:r>
      <w:r>
        <w:rPr>
          <w:rFonts w:ascii="Times New Roman" w:hAnsi="Times New Roman"/>
          <w:szCs w:val="24"/>
        </w:rPr>
        <w:t>ЕУ</w:t>
      </w:r>
      <w:r w:rsidR="00C3357A" w:rsidRPr="00295637">
        <w:rPr>
          <w:rFonts w:ascii="Times New Roman" w:hAnsi="Times New Roman"/>
          <w:szCs w:val="24"/>
        </w:rPr>
        <w:t xml:space="preserve"> </w:t>
      </w:r>
      <w:r>
        <w:rPr>
          <w:rFonts w:ascii="Times New Roman" w:hAnsi="Times New Roman"/>
          <w:szCs w:val="24"/>
        </w:rPr>
        <w:t>морати</w:t>
      </w:r>
      <w:r w:rsidR="00C3357A" w:rsidRPr="00295637">
        <w:rPr>
          <w:rFonts w:ascii="Times New Roman" w:hAnsi="Times New Roman"/>
          <w:szCs w:val="24"/>
        </w:rPr>
        <w:t xml:space="preserve"> </w:t>
      </w:r>
      <w:r>
        <w:rPr>
          <w:rFonts w:ascii="Times New Roman" w:hAnsi="Times New Roman"/>
          <w:szCs w:val="24"/>
        </w:rPr>
        <w:t>усклађивати</w:t>
      </w:r>
      <w:r w:rsidR="00C3357A" w:rsidRPr="00295637">
        <w:rPr>
          <w:rFonts w:ascii="Times New Roman" w:hAnsi="Times New Roman"/>
          <w:szCs w:val="24"/>
        </w:rPr>
        <w:t xml:space="preserve"> </w:t>
      </w:r>
      <w:r>
        <w:rPr>
          <w:rFonts w:ascii="Times New Roman" w:hAnsi="Times New Roman"/>
          <w:szCs w:val="24"/>
        </w:rPr>
        <w:t>терминолошке</w:t>
      </w:r>
      <w:r w:rsidR="00C3357A" w:rsidRPr="00295637">
        <w:rPr>
          <w:rFonts w:ascii="Times New Roman" w:hAnsi="Times New Roman"/>
          <w:szCs w:val="24"/>
        </w:rPr>
        <w:t xml:space="preserve"> </w:t>
      </w:r>
      <w:r>
        <w:rPr>
          <w:rFonts w:ascii="Times New Roman" w:hAnsi="Times New Roman"/>
          <w:szCs w:val="24"/>
        </w:rPr>
        <w:t>разлике</w:t>
      </w:r>
      <w:r w:rsidR="00C3357A" w:rsidRPr="00295637">
        <w:rPr>
          <w:rFonts w:ascii="Times New Roman" w:hAnsi="Times New Roman"/>
          <w:szCs w:val="24"/>
        </w:rPr>
        <w:t xml:space="preserve"> </w:t>
      </w:r>
      <w:r>
        <w:rPr>
          <w:rFonts w:ascii="Times New Roman" w:hAnsi="Times New Roman"/>
          <w:szCs w:val="24"/>
        </w:rPr>
        <w:t>у</w:t>
      </w:r>
      <w:r w:rsidR="00C3357A" w:rsidRPr="00295637">
        <w:rPr>
          <w:rFonts w:ascii="Times New Roman" w:hAnsi="Times New Roman"/>
          <w:szCs w:val="24"/>
        </w:rPr>
        <w:t xml:space="preserve"> </w:t>
      </w:r>
      <w:r>
        <w:rPr>
          <w:rFonts w:ascii="Times New Roman" w:hAnsi="Times New Roman"/>
          <w:szCs w:val="24"/>
        </w:rPr>
        <w:t>социјалној</w:t>
      </w:r>
      <w:r w:rsidR="00C3357A" w:rsidRPr="00295637">
        <w:rPr>
          <w:rFonts w:ascii="Times New Roman" w:hAnsi="Times New Roman"/>
          <w:szCs w:val="24"/>
        </w:rPr>
        <w:t xml:space="preserve"> </w:t>
      </w:r>
      <w:r>
        <w:rPr>
          <w:rFonts w:ascii="Times New Roman" w:hAnsi="Times New Roman"/>
          <w:szCs w:val="24"/>
        </w:rPr>
        <w:t>политици</w:t>
      </w:r>
      <w:r w:rsidR="00C3357A" w:rsidRPr="00295637">
        <w:rPr>
          <w:rFonts w:ascii="Times New Roman" w:hAnsi="Times New Roman"/>
          <w:szCs w:val="24"/>
        </w:rPr>
        <w:t xml:space="preserve">, </w:t>
      </w:r>
      <w:r>
        <w:rPr>
          <w:rFonts w:ascii="Times New Roman" w:hAnsi="Times New Roman"/>
          <w:szCs w:val="24"/>
        </w:rPr>
        <w:t>а</w:t>
      </w:r>
      <w:r w:rsidR="00C3357A" w:rsidRPr="00295637">
        <w:rPr>
          <w:rFonts w:ascii="Times New Roman" w:hAnsi="Times New Roman"/>
          <w:szCs w:val="24"/>
        </w:rPr>
        <w:t xml:space="preserve"> </w:t>
      </w:r>
      <w:r>
        <w:rPr>
          <w:rFonts w:ascii="Times New Roman" w:hAnsi="Times New Roman"/>
          <w:szCs w:val="24"/>
        </w:rPr>
        <w:t>што</w:t>
      </w:r>
      <w:r w:rsidR="00C3357A" w:rsidRPr="00295637">
        <w:rPr>
          <w:rFonts w:ascii="Times New Roman" w:hAnsi="Times New Roman"/>
          <w:szCs w:val="24"/>
        </w:rPr>
        <w:t xml:space="preserve"> </w:t>
      </w:r>
      <w:r>
        <w:rPr>
          <w:rFonts w:ascii="Times New Roman" w:hAnsi="Times New Roman"/>
          <w:szCs w:val="24"/>
        </w:rPr>
        <w:t>уједно</w:t>
      </w:r>
      <w:r w:rsidR="00C3357A" w:rsidRPr="00295637">
        <w:rPr>
          <w:rFonts w:ascii="Times New Roman" w:hAnsi="Times New Roman"/>
          <w:szCs w:val="24"/>
        </w:rPr>
        <w:t xml:space="preserve"> </w:t>
      </w:r>
      <w:r>
        <w:rPr>
          <w:rFonts w:ascii="Times New Roman" w:hAnsi="Times New Roman"/>
          <w:szCs w:val="24"/>
        </w:rPr>
        <w:t>представља</w:t>
      </w:r>
      <w:r w:rsidR="00C3357A" w:rsidRPr="00295637">
        <w:rPr>
          <w:rFonts w:ascii="Times New Roman" w:hAnsi="Times New Roman"/>
          <w:szCs w:val="24"/>
        </w:rPr>
        <w:t xml:space="preserve"> </w:t>
      </w:r>
      <w:r>
        <w:rPr>
          <w:rFonts w:ascii="Times New Roman" w:hAnsi="Times New Roman"/>
          <w:szCs w:val="24"/>
        </w:rPr>
        <w:t>и</w:t>
      </w:r>
      <w:r w:rsidR="00C3357A" w:rsidRPr="00295637">
        <w:rPr>
          <w:rFonts w:ascii="Times New Roman" w:hAnsi="Times New Roman"/>
          <w:szCs w:val="24"/>
        </w:rPr>
        <w:t xml:space="preserve"> </w:t>
      </w:r>
      <w:r>
        <w:rPr>
          <w:rFonts w:ascii="Times New Roman" w:hAnsi="Times New Roman"/>
          <w:szCs w:val="24"/>
        </w:rPr>
        <w:t>најважнију</w:t>
      </w:r>
      <w:r w:rsidR="00C3357A" w:rsidRPr="00295637">
        <w:rPr>
          <w:rFonts w:ascii="Times New Roman" w:hAnsi="Times New Roman"/>
          <w:szCs w:val="24"/>
        </w:rPr>
        <w:t xml:space="preserve"> </w:t>
      </w:r>
      <w:r>
        <w:rPr>
          <w:rFonts w:ascii="Times New Roman" w:hAnsi="Times New Roman"/>
          <w:szCs w:val="24"/>
        </w:rPr>
        <w:t>разлику</w:t>
      </w:r>
      <w:r w:rsidR="00C3357A" w:rsidRPr="00295637">
        <w:rPr>
          <w:rFonts w:ascii="Times New Roman" w:hAnsi="Times New Roman"/>
          <w:szCs w:val="24"/>
        </w:rPr>
        <w:t xml:space="preserve"> </w:t>
      </w:r>
      <w:r>
        <w:rPr>
          <w:rFonts w:ascii="Times New Roman" w:hAnsi="Times New Roman"/>
          <w:szCs w:val="24"/>
        </w:rPr>
        <w:t>бх</w:t>
      </w:r>
      <w:r w:rsidR="00876CF4">
        <w:rPr>
          <w:rFonts w:ascii="Times New Roman" w:hAnsi="Times New Roman"/>
          <w:szCs w:val="24"/>
        </w:rPr>
        <w:t>.</w:t>
      </w:r>
      <w:r w:rsidR="00C3357A" w:rsidRPr="00295637">
        <w:rPr>
          <w:rFonts w:ascii="Times New Roman" w:hAnsi="Times New Roman"/>
          <w:szCs w:val="24"/>
        </w:rPr>
        <w:t xml:space="preserve"> </w:t>
      </w:r>
      <w:r>
        <w:rPr>
          <w:rFonts w:ascii="Times New Roman" w:hAnsi="Times New Roman"/>
          <w:szCs w:val="24"/>
        </w:rPr>
        <w:t>система</w:t>
      </w:r>
      <w:r w:rsidR="00C3357A" w:rsidRPr="00295637">
        <w:rPr>
          <w:rFonts w:ascii="Times New Roman" w:hAnsi="Times New Roman"/>
          <w:szCs w:val="24"/>
        </w:rPr>
        <w:t xml:space="preserve"> </w:t>
      </w:r>
      <w:r>
        <w:rPr>
          <w:rFonts w:ascii="Times New Roman" w:hAnsi="Times New Roman"/>
          <w:szCs w:val="24"/>
        </w:rPr>
        <w:t>социјалне</w:t>
      </w:r>
      <w:r w:rsidR="00C3357A" w:rsidRPr="00295637">
        <w:rPr>
          <w:rFonts w:ascii="Times New Roman" w:hAnsi="Times New Roman"/>
          <w:szCs w:val="24"/>
        </w:rPr>
        <w:t xml:space="preserve"> </w:t>
      </w:r>
      <w:r>
        <w:rPr>
          <w:rFonts w:ascii="Times New Roman" w:hAnsi="Times New Roman"/>
          <w:szCs w:val="24"/>
        </w:rPr>
        <w:t>заштите</w:t>
      </w:r>
      <w:r w:rsidR="00C3357A" w:rsidRPr="00295637">
        <w:rPr>
          <w:rFonts w:ascii="Times New Roman" w:hAnsi="Times New Roman"/>
          <w:szCs w:val="24"/>
        </w:rPr>
        <w:t xml:space="preserve"> </w:t>
      </w:r>
      <w:r>
        <w:rPr>
          <w:rFonts w:ascii="Times New Roman" w:hAnsi="Times New Roman"/>
          <w:szCs w:val="24"/>
        </w:rPr>
        <w:t>у</w:t>
      </w:r>
      <w:r w:rsidR="00C3357A" w:rsidRPr="00295637">
        <w:rPr>
          <w:rFonts w:ascii="Times New Roman" w:hAnsi="Times New Roman"/>
          <w:szCs w:val="24"/>
        </w:rPr>
        <w:t xml:space="preserve"> </w:t>
      </w:r>
      <w:r>
        <w:rPr>
          <w:rFonts w:ascii="Times New Roman" w:hAnsi="Times New Roman"/>
          <w:szCs w:val="24"/>
        </w:rPr>
        <w:t>односу</w:t>
      </w:r>
      <w:r w:rsidR="00C3357A" w:rsidRPr="00295637">
        <w:rPr>
          <w:rFonts w:ascii="Times New Roman" w:hAnsi="Times New Roman"/>
          <w:szCs w:val="24"/>
        </w:rPr>
        <w:t xml:space="preserve"> </w:t>
      </w:r>
      <w:r>
        <w:rPr>
          <w:rFonts w:ascii="Times New Roman" w:hAnsi="Times New Roman"/>
          <w:szCs w:val="24"/>
        </w:rPr>
        <w:t>на</w:t>
      </w:r>
      <w:r w:rsidR="00C3357A" w:rsidRPr="00295637">
        <w:rPr>
          <w:rFonts w:ascii="Times New Roman" w:hAnsi="Times New Roman"/>
          <w:szCs w:val="24"/>
        </w:rPr>
        <w:t xml:space="preserve"> </w:t>
      </w:r>
      <w:r>
        <w:rPr>
          <w:rFonts w:ascii="Times New Roman" w:hAnsi="Times New Roman"/>
          <w:szCs w:val="24"/>
        </w:rPr>
        <w:t>ЕУ</w:t>
      </w:r>
      <w:r w:rsidR="00C3357A" w:rsidRPr="00295637">
        <w:rPr>
          <w:rFonts w:ascii="Times New Roman" w:hAnsi="Times New Roman"/>
          <w:szCs w:val="24"/>
        </w:rPr>
        <w:t xml:space="preserve"> </w:t>
      </w:r>
      <w:r>
        <w:rPr>
          <w:rFonts w:ascii="Times New Roman" w:hAnsi="Times New Roman"/>
          <w:szCs w:val="24"/>
        </w:rPr>
        <w:t>систем</w:t>
      </w:r>
      <w:r w:rsidR="00C3357A" w:rsidRPr="00295637">
        <w:rPr>
          <w:rFonts w:ascii="Times New Roman" w:hAnsi="Times New Roman"/>
          <w:szCs w:val="24"/>
        </w:rPr>
        <w:t xml:space="preserve"> </w:t>
      </w:r>
      <w:r>
        <w:rPr>
          <w:rFonts w:ascii="Times New Roman" w:hAnsi="Times New Roman"/>
          <w:szCs w:val="24"/>
        </w:rPr>
        <w:t>социјалне</w:t>
      </w:r>
      <w:r w:rsidR="00C3357A" w:rsidRPr="00295637">
        <w:rPr>
          <w:rFonts w:ascii="Times New Roman" w:hAnsi="Times New Roman"/>
          <w:szCs w:val="24"/>
        </w:rPr>
        <w:t xml:space="preserve"> </w:t>
      </w:r>
      <w:r>
        <w:rPr>
          <w:rFonts w:ascii="Times New Roman" w:hAnsi="Times New Roman"/>
          <w:szCs w:val="24"/>
        </w:rPr>
        <w:t>заштите</w:t>
      </w:r>
      <w:r w:rsidR="00C3357A" w:rsidRPr="00295637">
        <w:rPr>
          <w:rFonts w:ascii="Times New Roman" w:hAnsi="Times New Roman"/>
          <w:szCs w:val="24"/>
        </w:rPr>
        <w:t>.</w:t>
      </w:r>
    </w:p>
    <w:p w:rsidR="00A57F15" w:rsidRPr="00295637" w:rsidRDefault="00A57F15" w:rsidP="0086268D">
      <w:pPr>
        <w:rPr>
          <w:lang w:val="bs-Latn-BA" w:eastAsia="bs-Latn-BA"/>
        </w:rPr>
      </w:pPr>
    </w:p>
    <w:p w:rsidR="00356C2C" w:rsidRPr="00295637" w:rsidRDefault="0090180C" w:rsidP="002C2EC1">
      <w:pPr>
        <w:tabs>
          <w:tab w:val="left" w:pos="284"/>
          <w:tab w:val="left" w:pos="630"/>
          <w:tab w:val="left" w:pos="1080"/>
        </w:tabs>
        <w:ind w:left="567"/>
        <w:jc w:val="both"/>
        <w:rPr>
          <w:rFonts w:ascii="Times New Roman" w:hAnsi="Times New Roman"/>
          <w:szCs w:val="24"/>
          <w:lang w:val="bs-Latn-BA"/>
        </w:rPr>
      </w:pPr>
      <w:r w:rsidRPr="0090180C">
        <w:rPr>
          <w:rFonts w:ascii="Times New Roman" w:eastAsia="Calibri" w:hAnsi="Times New Roman"/>
          <w:szCs w:val="24"/>
          <w:lang w:val="bs-Latn-BA"/>
        </w:rPr>
        <w:t>I</w:t>
      </w:r>
      <w:r w:rsidR="002C2EC1">
        <w:rPr>
          <w:rFonts w:ascii="Times New Roman" w:eastAsia="Calibri" w:hAnsi="Times New Roman"/>
          <w:szCs w:val="24"/>
          <w:lang w:val="bs-Latn-BA"/>
        </w:rPr>
        <w:t xml:space="preserve"> 6.1. </w:t>
      </w:r>
      <w:r w:rsidR="00C6214E">
        <w:rPr>
          <w:rFonts w:ascii="Times New Roman" w:eastAsia="Calibri" w:hAnsi="Times New Roman"/>
          <w:szCs w:val="24"/>
          <w:lang w:val="bs-Latn-BA"/>
        </w:rPr>
        <w:t>Идентифи</w:t>
      </w:r>
      <w:r>
        <w:rPr>
          <w:rFonts w:ascii="Times New Roman" w:eastAsia="Calibri" w:hAnsi="Times New Roman"/>
          <w:szCs w:val="24"/>
          <w:lang w:val="sr-Cyrl-BA"/>
        </w:rPr>
        <w:t>ковање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приоритетних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закона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Pr>
          <w:rFonts w:ascii="Times New Roman" w:eastAsia="Calibri" w:hAnsi="Times New Roman"/>
          <w:szCs w:val="24"/>
          <w:lang w:val="sr-Cyrl-BA"/>
        </w:rPr>
        <w:t>спровођење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г</w:t>
      </w:r>
      <w:r w:rsidR="00C6214E">
        <w:rPr>
          <w:rFonts w:ascii="Times New Roman" w:hAnsi="Times New Roman"/>
          <w:szCs w:val="24"/>
          <w:lang w:val="bs-Latn-BA"/>
        </w:rPr>
        <w:t>ендер</w:t>
      </w:r>
      <w:r w:rsidR="00356C2C" w:rsidRPr="00295637">
        <w:rPr>
          <w:rFonts w:ascii="Times New Roman" w:hAnsi="Times New Roman"/>
          <w:szCs w:val="24"/>
          <w:lang w:val="bs-Latn-BA"/>
        </w:rPr>
        <w:t xml:space="preserve"> </w:t>
      </w:r>
      <w:r w:rsidR="00C6214E">
        <w:rPr>
          <w:rFonts w:ascii="Times New Roman" w:hAnsi="Times New Roman"/>
          <w:szCs w:val="24"/>
          <w:lang w:val="bs-Latn-BA"/>
        </w:rPr>
        <w:t>анализе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стратегија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акционих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планова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програма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других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аката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области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социјалне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заштите</w:t>
      </w:r>
      <w:r w:rsidR="00356C2C" w:rsidRPr="00295637">
        <w:rPr>
          <w:rFonts w:ascii="Times New Roman" w:eastAsia="Calibri" w:hAnsi="Times New Roman"/>
          <w:szCs w:val="24"/>
          <w:lang w:val="bs-Latn-BA"/>
        </w:rPr>
        <w:t xml:space="preserve">, </w:t>
      </w:r>
      <w:r>
        <w:rPr>
          <w:rFonts w:ascii="Times New Roman" w:eastAsia="Calibri" w:hAnsi="Times New Roman"/>
          <w:szCs w:val="24"/>
          <w:lang w:val="sr-Cyrl-BA"/>
        </w:rPr>
        <w:t>с</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циљ</w:t>
      </w:r>
      <w:r>
        <w:rPr>
          <w:rFonts w:ascii="Times New Roman" w:eastAsia="Calibri" w:hAnsi="Times New Roman"/>
          <w:szCs w:val="24"/>
          <w:lang w:val="sr-Cyrl-BA"/>
        </w:rPr>
        <w:t>ем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увођења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примјене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међународних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домаћих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стандарда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за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равноправност</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полова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овим</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областима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утврђивања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недостатака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предности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стварних</w:t>
      </w:r>
      <w:r w:rsidR="00876CF4">
        <w:rPr>
          <w:rFonts w:ascii="Times New Roman" w:hAnsi="Times New Roman"/>
          <w:szCs w:val="24"/>
          <w:lang w:val="bs-Latn-BA"/>
        </w:rPr>
        <w:t xml:space="preserve"> </w:t>
      </w:r>
      <w:r w:rsidR="00C6214E">
        <w:rPr>
          <w:rFonts w:ascii="Times New Roman" w:hAnsi="Times New Roman"/>
          <w:szCs w:val="24"/>
          <w:lang w:val="bs-Latn-BA"/>
        </w:rPr>
        <w:t>потреба</w:t>
      </w:r>
      <w:r w:rsidR="00876CF4">
        <w:rPr>
          <w:rFonts w:ascii="Times New Roman" w:hAnsi="Times New Roman"/>
          <w:szCs w:val="24"/>
          <w:lang w:val="bs-Latn-BA"/>
        </w:rPr>
        <w:t xml:space="preserve"> </w:t>
      </w:r>
      <w:r w:rsidR="00C6214E">
        <w:rPr>
          <w:rFonts w:ascii="Times New Roman" w:hAnsi="Times New Roman"/>
          <w:szCs w:val="24"/>
          <w:lang w:val="bs-Latn-BA"/>
        </w:rPr>
        <w:t>и</w:t>
      </w:r>
      <w:r w:rsidR="00876CF4">
        <w:rPr>
          <w:rFonts w:ascii="Times New Roman" w:hAnsi="Times New Roman"/>
          <w:szCs w:val="24"/>
          <w:lang w:val="bs-Latn-BA"/>
        </w:rPr>
        <w:t xml:space="preserve"> </w:t>
      </w:r>
      <w:r w:rsidR="00C6214E">
        <w:rPr>
          <w:rFonts w:ascii="Times New Roman" w:hAnsi="Times New Roman"/>
          <w:szCs w:val="24"/>
          <w:lang w:val="bs-Latn-BA"/>
        </w:rPr>
        <w:t>могућности</w:t>
      </w:r>
      <w:r w:rsidR="00876CF4">
        <w:rPr>
          <w:rFonts w:ascii="Times New Roman" w:hAnsi="Times New Roman"/>
          <w:szCs w:val="24"/>
          <w:lang w:val="bs-Latn-BA"/>
        </w:rPr>
        <w:t xml:space="preserve"> </w:t>
      </w:r>
      <w:r w:rsidR="00C6214E">
        <w:rPr>
          <w:rFonts w:ascii="Times New Roman" w:hAnsi="Times New Roman"/>
          <w:szCs w:val="24"/>
          <w:lang w:val="bs-Latn-BA"/>
        </w:rPr>
        <w:t>са</w:t>
      </w:r>
      <w:r w:rsidR="00356C2C" w:rsidRPr="00295637">
        <w:rPr>
          <w:rFonts w:ascii="Times New Roman" w:hAnsi="Times New Roman"/>
          <w:szCs w:val="24"/>
          <w:lang w:val="bs-Latn-BA"/>
        </w:rPr>
        <w:t xml:space="preserve"> </w:t>
      </w:r>
      <w:r w:rsidR="00C6214E">
        <w:rPr>
          <w:rFonts w:ascii="Times New Roman" w:hAnsi="Times New Roman"/>
          <w:szCs w:val="24"/>
          <w:lang w:val="bs-Latn-BA"/>
        </w:rPr>
        <w:t>аспекта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w:t>
      </w:r>
    </w:p>
    <w:p w:rsidR="00B4124E" w:rsidRPr="00295637" w:rsidRDefault="00B4124E" w:rsidP="0086268D">
      <w:pPr>
        <w:pStyle w:val="NormalWeb"/>
        <w:spacing w:before="0" w:beforeAutospacing="0" w:after="0" w:afterAutospacing="0"/>
        <w:jc w:val="both"/>
        <w:rPr>
          <w:lang w:val="bs-Latn-BA"/>
        </w:rPr>
      </w:pPr>
    </w:p>
    <w:p w:rsidR="00822AD8" w:rsidRPr="00295637" w:rsidRDefault="00C6214E" w:rsidP="0086268D">
      <w:pPr>
        <w:pStyle w:val="NormalWeb"/>
        <w:spacing w:before="0" w:beforeAutospacing="0" w:after="0" w:afterAutospacing="0"/>
        <w:jc w:val="both"/>
        <w:rPr>
          <w:lang w:val="bs-Latn-BA"/>
        </w:rPr>
      </w:pPr>
      <w:r>
        <w:rPr>
          <w:lang w:val="bs-Latn-BA"/>
        </w:rPr>
        <w:t>У</w:t>
      </w:r>
      <w:r w:rsidR="00822AD8" w:rsidRPr="00295637">
        <w:rPr>
          <w:lang w:val="bs-Latn-BA"/>
        </w:rPr>
        <w:t xml:space="preserve"> </w:t>
      </w:r>
      <w:r>
        <w:rPr>
          <w:lang w:val="bs-Latn-BA"/>
        </w:rPr>
        <w:t>извјештајном</w:t>
      </w:r>
      <w:r w:rsidR="00822AD8" w:rsidRPr="00295637">
        <w:rPr>
          <w:lang w:val="bs-Latn-BA"/>
        </w:rPr>
        <w:t xml:space="preserve"> </w:t>
      </w:r>
      <w:r>
        <w:rPr>
          <w:lang w:val="bs-Latn-BA"/>
        </w:rPr>
        <w:t>периоду</w:t>
      </w:r>
      <w:r w:rsidR="00822AD8" w:rsidRPr="00295637">
        <w:rPr>
          <w:lang w:val="bs-Latn-BA"/>
        </w:rPr>
        <w:t xml:space="preserve"> </w:t>
      </w:r>
      <w:r>
        <w:rPr>
          <w:lang w:val="bs-Latn-BA"/>
        </w:rPr>
        <w:t>посебна</w:t>
      </w:r>
      <w:r w:rsidR="00822AD8" w:rsidRPr="00295637">
        <w:rPr>
          <w:lang w:val="bs-Latn-BA"/>
        </w:rPr>
        <w:t xml:space="preserve"> </w:t>
      </w:r>
      <w:r>
        <w:rPr>
          <w:lang w:val="bs-Latn-BA"/>
        </w:rPr>
        <w:t>пажња</w:t>
      </w:r>
      <w:r w:rsidR="00822AD8" w:rsidRPr="00295637">
        <w:rPr>
          <w:lang w:val="bs-Latn-BA"/>
        </w:rPr>
        <w:t xml:space="preserve"> </w:t>
      </w:r>
      <w:r>
        <w:rPr>
          <w:lang w:val="bs-Latn-BA"/>
        </w:rPr>
        <w:t>посвећена</w:t>
      </w:r>
      <w:r w:rsidR="00822AD8" w:rsidRPr="00295637">
        <w:rPr>
          <w:lang w:val="bs-Latn-BA"/>
        </w:rPr>
        <w:t xml:space="preserve"> </w:t>
      </w:r>
      <w:r>
        <w:rPr>
          <w:lang w:val="bs-Latn-BA"/>
        </w:rPr>
        <w:t>је</w:t>
      </w:r>
      <w:r w:rsidR="00822AD8" w:rsidRPr="00295637">
        <w:rPr>
          <w:lang w:val="bs-Latn-BA"/>
        </w:rPr>
        <w:t xml:space="preserve"> </w:t>
      </w:r>
      <w:r>
        <w:rPr>
          <w:lang w:val="bs-Latn-BA"/>
        </w:rPr>
        <w:t>родитељима</w:t>
      </w:r>
      <w:r w:rsidR="00822AD8" w:rsidRPr="00295637">
        <w:rPr>
          <w:lang w:val="bs-Latn-BA"/>
        </w:rPr>
        <w:t xml:space="preserve"> </w:t>
      </w:r>
      <w:r>
        <w:rPr>
          <w:lang w:val="bs-Latn-BA"/>
        </w:rPr>
        <w:t>његоватељима</w:t>
      </w:r>
      <w:r w:rsidR="00822AD8" w:rsidRPr="00295637">
        <w:rPr>
          <w:lang w:val="bs-Latn-BA"/>
        </w:rPr>
        <w:t xml:space="preserve">, </w:t>
      </w:r>
      <w:r>
        <w:rPr>
          <w:lang w:val="bs-Latn-BA"/>
        </w:rPr>
        <w:t>међу</w:t>
      </w:r>
      <w:r w:rsidR="00822AD8" w:rsidRPr="00295637">
        <w:rPr>
          <w:lang w:val="bs-Latn-BA"/>
        </w:rPr>
        <w:t xml:space="preserve"> </w:t>
      </w:r>
      <w:r>
        <w:rPr>
          <w:lang w:val="bs-Latn-BA"/>
        </w:rPr>
        <w:t>којима</w:t>
      </w:r>
      <w:r w:rsidR="00822AD8" w:rsidRPr="00295637">
        <w:rPr>
          <w:lang w:val="bs-Latn-BA"/>
        </w:rPr>
        <w:t xml:space="preserve"> </w:t>
      </w:r>
      <w:r>
        <w:rPr>
          <w:lang w:val="bs-Latn-BA"/>
        </w:rPr>
        <w:t>су</w:t>
      </w:r>
      <w:r w:rsidR="00822AD8" w:rsidRPr="00295637">
        <w:rPr>
          <w:lang w:val="bs-Latn-BA"/>
        </w:rPr>
        <w:t xml:space="preserve"> </w:t>
      </w:r>
      <w:r>
        <w:rPr>
          <w:lang w:val="bs-Latn-BA"/>
        </w:rPr>
        <w:t>у</w:t>
      </w:r>
      <w:r w:rsidR="00822AD8" w:rsidRPr="00295637">
        <w:rPr>
          <w:lang w:val="bs-Latn-BA"/>
        </w:rPr>
        <w:t xml:space="preserve"> </w:t>
      </w:r>
      <w:r>
        <w:rPr>
          <w:lang w:val="bs-Latn-BA"/>
        </w:rPr>
        <w:t>највећем</w:t>
      </w:r>
      <w:r w:rsidR="00822AD8" w:rsidRPr="00295637">
        <w:rPr>
          <w:lang w:val="bs-Latn-BA"/>
        </w:rPr>
        <w:t xml:space="preserve"> </w:t>
      </w:r>
      <w:r>
        <w:rPr>
          <w:lang w:val="bs-Latn-BA"/>
        </w:rPr>
        <w:t>броју</w:t>
      </w:r>
      <w:r w:rsidR="00822AD8" w:rsidRPr="00295637">
        <w:rPr>
          <w:lang w:val="bs-Latn-BA"/>
        </w:rPr>
        <w:t xml:space="preserve"> </w:t>
      </w:r>
      <w:r>
        <w:rPr>
          <w:lang w:val="bs-Latn-BA"/>
        </w:rPr>
        <w:t>жене</w:t>
      </w:r>
      <w:r w:rsidR="00822AD8" w:rsidRPr="00295637">
        <w:rPr>
          <w:lang w:val="bs-Latn-BA"/>
        </w:rPr>
        <w:t xml:space="preserve">. </w:t>
      </w:r>
      <w:r>
        <w:rPr>
          <w:lang w:val="bs-Latn-BA"/>
        </w:rPr>
        <w:t>Законским</w:t>
      </w:r>
      <w:r w:rsidR="00822AD8" w:rsidRPr="00295637">
        <w:rPr>
          <w:lang w:val="bs-Latn-BA"/>
        </w:rPr>
        <w:t xml:space="preserve"> </w:t>
      </w:r>
      <w:r>
        <w:rPr>
          <w:lang w:val="bs-Latn-BA"/>
        </w:rPr>
        <w:t>измјенама</w:t>
      </w:r>
      <w:r w:rsidR="00822AD8" w:rsidRPr="00295637">
        <w:rPr>
          <w:lang w:val="bs-Latn-BA"/>
        </w:rPr>
        <w:t xml:space="preserve"> </w:t>
      </w:r>
      <w:r>
        <w:rPr>
          <w:lang w:val="bs-Latn-BA"/>
        </w:rPr>
        <w:t>у</w:t>
      </w:r>
      <w:r w:rsidR="00780537" w:rsidRPr="00295637">
        <w:rPr>
          <w:lang w:val="bs-Latn-BA"/>
        </w:rPr>
        <w:t xml:space="preserve"> </w:t>
      </w:r>
      <w:r>
        <w:rPr>
          <w:lang w:val="bs-Latn-BA"/>
        </w:rPr>
        <w:t>ФБиХ</w:t>
      </w:r>
      <w:r w:rsidR="00780537" w:rsidRPr="00295637">
        <w:rPr>
          <w:lang w:val="bs-Latn-BA"/>
        </w:rPr>
        <w:t xml:space="preserve"> </w:t>
      </w:r>
      <w:r>
        <w:rPr>
          <w:lang w:val="bs-Latn-BA"/>
        </w:rPr>
        <w:t>проширене</w:t>
      </w:r>
      <w:r w:rsidR="00822AD8" w:rsidRPr="00295637">
        <w:rPr>
          <w:lang w:val="bs-Latn-BA"/>
        </w:rPr>
        <w:t xml:space="preserve"> </w:t>
      </w:r>
      <w:r>
        <w:rPr>
          <w:lang w:val="bs-Latn-BA"/>
        </w:rPr>
        <w:t>су</w:t>
      </w:r>
      <w:r w:rsidR="00822AD8" w:rsidRPr="00295637">
        <w:rPr>
          <w:lang w:val="bs-Latn-BA"/>
        </w:rPr>
        <w:t xml:space="preserve"> </w:t>
      </w:r>
      <w:r>
        <w:rPr>
          <w:lang w:val="bs-Latn-BA"/>
        </w:rPr>
        <w:t>категорије</w:t>
      </w:r>
      <w:r w:rsidR="00822AD8" w:rsidRPr="00295637">
        <w:rPr>
          <w:lang w:val="bs-Latn-BA"/>
        </w:rPr>
        <w:t xml:space="preserve"> </w:t>
      </w:r>
      <w:r>
        <w:rPr>
          <w:lang w:val="bs-Latn-BA"/>
        </w:rPr>
        <w:t>лица</w:t>
      </w:r>
      <w:r w:rsidR="00822AD8" w:rsidRPr="00295637">
        <w:rPr>
          <w:lang w:val="bs-Latn-BA"/>
        </w:rPr>
        <w:t xml:space="preserve"> </w:t>
      </w:r>
      <w:r>
        <w:rPr>
          <w:lang w:val="bs-Latn-BA"/>
        </w:rPr>
        <w:t>која</w:t>
      </w:r>
      <w:r w:rsidR="00822AD8" w:rsidRPr="00295637">
        <w:rPr>
          <w:lang w:val="bs-Latn-BA"/>
        </w:rPr>
        <w:t xml:space="preserve"> </w:t>
      </w:r>
      <w:r>
        <w:rPr>
          <w:lang w:val="bs-Latn-BA"/>
        </w:rPr>
        <w:t>могу</w:t>
      </w:r>
      <w:r w:rsidR="00822AD8" w:rsidRPr="00295637">
        <w:rPr>
          <w:lang w:val="bs-Latn-BA"/>
        </w:rPr>
        <w:t xml:space="preserve"> </w:t>
      </w:r>
      <w:r>
        <w:rPr>
          <w:lang w:val="bs-Latn-BA"/>
        </w:rPr>
        <w:t>остварити</w:t>
      </w:r>
      <w:r w:rsidR="00822AD8" w:rsidRPr="00295637">
        <w:rPr>
          <w:lang w:val="bs-Latn-BA"/>
        </w:rPr>
        <w:t xml:space="preserve"> </w:t>
      </w:r>
      <w:r>
        <w:rPr>
          <w:lang w:val="bs-Latn-BA"/>
        </w:rPr>
        <w:t>овај</w:t>
      </w:r>
      <w:r w:rsidR="00822AD8" w:rsidRPr="00295637">
        <w:rPr>
          <w:lang w:val="bs-Latn-BA"/>
        </w:rPr>
        <w:t xml:space="preserve"> </w:t>
      </w:r>
      <w:r>
        <w:rPr>
          <w:lang w:val="bs-Latn-BA"/>
        </w:rPr>
        <w:t>статус</w:t>
      </w:r>
      <w:r w:rsidR="00822AD8" w:rsidRPr="00295637">
        <w:rPr>
          <w:lang w:val="bs-Latn-BA"/>
        </w:rPr>
        <w:t xml:space="preserve">, </w:t>
      </w:r>
      <w:r>
        <w:rPr>
          <w:lang w:val="bs-Latn-BA"/>
        </w:rPr>
        <w:t>а</w:t>
      </w:r>
      <w:r w:rsidR="00822AD8" w:rsidRPr="00295637">
        <w:rPr>
          <w:lang w:val="bs-Latn-BA"/>
        </w:rPr>
        <w:t xml:space="preserve"> </w:t>
      </w:r>
      <w:r>
        <w:rPr>
          <w:lang w:val="bs-Latn-BA"/>
        </w:rPr>
        <w:t>укинута</w:t>
      </w:r>
      <w:r w:rsidR="00822AD8" w:rsidRPr="00295637">
        <w:rPr>
          <w:lang w:val="bs-Latn-BA"/>
        </w:rPr>
        <w:t xml:space="preserve"> </w:t>
      </w:r>
      <w:r>
        <w:rPr>
          <w:lang w:val="bs-Latn-BA"/>
        </w:rPr>
        <w:t>су</w:t>
      </w:r>
      <w:r w:rsidR="00822AD8" w:rsidRPr="00295637">
        <w:rPr>
          <w:lang w:val="bs-Latn-BA"/>
        </w:rPr>
        <w:t xml:space="preserve"> </w:t>
      </w:r>
      <w:r>
        <w:rPr>
          <w:lang w:val="bs-Latn-BA"/>
        </w:rPr>
        <w:t>ограничења</w:t>
      </w:r>
      <w:r w:rsidR="00822AD8" w:rsidRPr="00295637">
        <w:rPr>
          <w:lang w:val="bs-Latn-BA"/>
        </w:rPr>
        <w:t xml:space="preserve"> </w:t>
      </w:r>
      <w:r>
        <w:rPr>
          <w:lang w:val="bs-Latn-BA"/>
        </w:rPr>
        <w:t>у</w:t>
      </w:r>
      <w:r w:rsidR="00FC31C2">
        <w:rPr>
          <w:lang w:val="bs-Latn-BA"/>
        </w:rPr>
        <w:t xml:space="preserve"> </w:t>
      </w:r>
      <w:r>
        <w:rPr>
          <w:lang w:val="bs-Latn-BA"/>
        </w:rPr>
        <w:t>вези</w:t>
      </w:r>
      <w:r w:rsidR="00FC31C2">
        <w:rPr>
          <w:lang w:val="bs-Latn-BA"/>
        </w:rPr>
        <w:t xml:space="preserve"> </w:t>
      </w:r>
      <w:r>
        <w:rPr>
          <w:lang w:val="bs-Latn-BA"/>
        </w:rPr>
        <w:t>са</w:t>
      </w:r>
      <w:r w:rsidR="00822AD8" w:rsidRPr="00295637">
        <w:rPr>
          <w:lang w:val="bs-Latn-BA"/>
        </w:rPr>
        <w:t xml:space="preserve"> </w:t>
      </w:r>
      <w:r>
        <w:rPr>
          <w:lang w:val="bs-Latn-BA"/>
        </w:rPr>
        <w:t>боравком</w:t>
      </w:r>
      <w:r w:rsidR="00822AD8" w:rsidRPr="00295637">
        <w:rPr>
          <w:lang w:val="bs-Latn-BA"/>
        </w:rPr>
        <w:t xml:space="preserve"> </w:t>
      </w:r>
      <w:r>
        <w:rPr>
          <w:lang w:val="bs-Latn-BA"/>
        </w:rPr>
        <w:t>дјеце</w:t>
      </w:r>
      <w:r w:rsidR="00822AD8" w:rsidRPr="00295637">
        <w:rPr>
          <w:lang w:val="bs-Latn-BA"/>
        </w:rPr>
        <w:t xml:space="preserve"> </w:t>
      </w:r>
      <w:r>
        <w:rPr>
          <w:lang w:val="bs-Latn-BA"/>
        </w:rPr>
        <w:t>у</w:t>
      </w:r>
      <w:r w:rsidR="00822AD8" w:rsidRPr="00295637">
        <w:rPr>
          <w:lang w:val="bs-Latn-BA"/>
        </w:rPr>
        <w:t xml:space="preserve"> </w:t>
      </w:r>
      <w:r>
        <w:rPr>
          <w:lang w:val="bs-Latn-BA"/>
        </w:rPr>
        <w:t>установама</w:t>
      </w:r>
      <w:r w:rsidR="00822AD8" w:rsidRPr="00295637">
        <w:rPr>
          <w:lang w:val="bs-Latn-BA"/>
        </w:rPr>
        <w:t xml:space="preserve">. </w:t>
      </w:r>
      <w:r>
        <w:rPr>
          <w:lang w:val="bs-Latn-BA"/>
        </w:rPr>
        <w:t>Истовремено</w:t>
      </w:r>
      <w:r w:rsidR="00822AD8" w:rsidRPr="00295637">
        <w:rPr>
          <w:lang w:val="bs-Latn-BA"/>
        </w:rPr>
        <w:t xml:space="preserve">, </w:t>
      </w:r>
      <w:r>
        <w:rPr>
          <w:lang w:val="bs-Latn-BA"/>
        </w:rPr>
        <w:t>повећана</w:t>
      </w:r>
      <w:r w:rsidR="00822AD8" w:rsidRPr="00295637">
        <w:rPr>
          <w:lang w:val="bs-Latn-BA"/>
        </w:rPr>
        <w:t xml:space="preserve"> </w:t>
      </w:r>
      <w:r>
        <w:rPr>
          <w:lang w:val="bs-Latn-BA"/>
        </w:rPr>
        <w:t>је</w:t>
      </w:r>
      <w:r w:rsidR="00822AD8" w:rsidRPr="00295637">
        <w:rPr>
          <w:lang w:val="bs-Latn-BA"/>
        </w:rPr>
        <w:t xml:space="preserve"> </w:t>
      </w:r>
      <w:r>
        <w:rPr>
          <w:lang w:val="bs-Latn-BA"/>
        </w:rPr>
        <w:t>накнада</w:t>
      </w:r>
      <w:r w:rsidR="00822AD8" w:rsidRPr="00295637">
        <w:rPr>
          <w:lang w:val="bs-Latn-BA"/>
        </w:rPr>
        <w:t xml:space="preserve"> </w:t>
      </w:r>
      <w:r>
        <w:rPr>
          <w:lang w:val="bs-Latn-BA"/>
        </w:rPr>
        <w:t>како</w:t>
      </w:r>
      <w:r w:rsidR="00822AD8" w:rsidRPr="00295637">
        <w:rPr>
          <w:lang w:val="bs-Latn-BA"/>
        </w:rPr>
        <w:t xml:space="preserve"> </w:t>
      </w:r>
      <w:r>
        <w:rPr>
          <w:lang w:val="bs-Latn-BA"/>
        </w:rPr>
        <w:t>би</w:t>
      </w:r>
      <w:r w:rsidR="00822AD8" w:rsidRPr="00295637">
        <w:rPr>
          <w:lang w:val="bs-Latn-BA"/>
        </w:rPr>
        <w:t xml:space="preserve"> </w:t>
      </w:r>
      <w:r>
        <w:rPr>
          <w:lang w:val="bs-Latn-BA"/>
        </w:rPr>
        <w:t>била</w:t>
      </w:r>
      <w:r w:rsidR="00822AD8" w:rsidRPr="00295637">
        <w:rPr>
          <w:lang w:val="bs-Latn-BA"/>
        </w:rPr>
        <w:t xml:space="preserve"> </w:t>
      </w:r>
      <w:r>
        <w:rPr>
          <w:lang w:val="bs-Latn-BA"/>
        </w:rPr>
        <w:t>усклађена</w:t>
      </w:r>
      <w:r w:rsidR="00822AD8" w:rsidRPr="00295637">
        <w:rPr>
          <w:lang w:val="bs-Latn-BA"/>
        </w:rPr>
        <w:t xml:space="preserve"> </w:t>
      </w:r>
      <w:r>
        <w:rPr>
          <w:lang w:val="bs-Latn-BA"/>
        </w:rPr>
        <w:t>са</w:t>
      </w:r>
      <w:r w:rsidR="00822AD8" w:rsidRPr="00295637">
        <w:rPr>
          <w:lang w:val="bs-Latn-BA"/>
        </w:rPr>
        <w:t xml:space="preserve"> </w:t>
      </w:r>
      <w:r>
        <w:rPr>
          <w:lang w:val="bs-Latn-BA"/>
        </w:rPr>
        <w:t>реалним</w:t>
      </w:r>
      <w:r w:rsidR="00822AD8" w:rsidRPr="00295637">
        <w:rPr>
          <w:lang w:val="bs-Latn-BA"/>
        </w:rPr>
        <w:t xml:space="preserve"> </w:t>
      </w:r>
      <w:r>
        <w:rPr>
          <w:lang w:val="bs-Latn-BA"/>
        </w:rPr>
        <w:t>трошковима</w:t>
      </w:r>
      <w:r w:rsidR="00822AD8" w:rsidRPr="00295637">
        <w:rPr>
          <w:lang w:val="bs-Latn-BA"/>
        </w:rPr>
        <w:t xml:space="preserve"> </w:t>
      </w:r>
      <w:r>
        <w:rPr>
          <w:lang w:val="bs-Latn-BA"/>
        </w:rPr>
        <w:t>живота</w:t>
      </w:r>
      <w:r w:rsidR="00822AD8" w:rsidRPr="00295637">
        <w:rPr>
          <w:lang w:val="bs-Latn-BA"/>
        </w:rPr>
        <w:t xml:space="preserve">. </w:t>
      </w:r>
      <w:r>
        <w:rPr>
          <w:lang w:val="bs-Latn-BA"/>
        </w:rPr>
        <w:t>Поред</w:t>
      </w:r>
      <w:r w:rsidR="00822AD8" w:rsidRPr="00295637">
        <w:rPr>
          <w:lang w:val="bs-Latn-BA"/>
        </w:rPr>
        <w:t xml:space="preserve"> </w:t>
      </w:r>
      <w:r>
        <w:rPr>
          <w:lang w:val="bs-Latn-BA"/>
        </w:rPr>
        <w:t>тога</w:t>
      </w:r>
      <w:r w:rsidR="00822AD8" w:rsidRPr="00295637">
        <w:rPr>
          <w:lang w:val="bs-Latn-BA"/>
        </w:rPr>
        <w:t xml:space="preserve">, </w:t>
      </w:r>
      <w:r>
        <w:rPr>
          <w:lang w:val="bs-Latn-BA"/>
        </w:rPr>
        <w:t>повећање</w:t>
      </w:r>
      <w:r w:rsidR="00822AD8" w:rsidRPr="00295637">
        <w:rPr>
          <w:lang w:val="bs-Latn-BA"/>
        </w:rPr>
        <w:t xml:space="preserve"> </w:t>
      </w:r>
      <w:r>
        <w:rPr>
          <w:lang w:val="bs-Latn-BA"/>
        </w:rPr>
        <w:t>минималне</w:t>
      </w:r>
      <w:r w:rsidR="00822AD8" w:rsidRPr="00295637">
        <w:rPr>
          <w:lang w:val="bs-Latn-BA"/>
        </w:rPr>
        <w:t xml:space="preserve"> </w:t>
      </w:r>
      <w:r>
        <w:rPr>
          <w:lang w:val="bs-Latn-BA"/>
        </w:rPr>
        <w:t>пла</w:t>
      </w:r>
      <w:r w:rsidR="0090180C">
        <w:rPr>
          <w:lang w:val="sr-Cyrl-BA"/>
        </w:rPr>
        <w:t>т</w:t>
      </w:r>
      <w:r>
        <w:rPr>
          <w:lang w:val="bs-Latn-BA"/>
        </w:rPr>
        <w:t>е</w:t>
      </w:r>
      <w:r w:rsidR="00822AD8" w:rsidRPr="00295637">
        <w:rPr>
          <w:lang w:val="bs-Latn-BA"/>
        </w:rPr>
        <w:t xml:space="preserve"> </w:t>
      </w:r>
      <w:r>
        <w:rPr>
          <w:lang w:val="bs-Latn-BA"/>
        </w:rPr>
        <w:t>и</w:t>
      </w:r>
      <w:r w:rsidR="00822AD8" w:rsidRPr="00295637">
        <w:rPr>
          <w:lang w:val="bs-Latn-BA"/>
        </w:rPr>
        <w:t xml:space="preserve"> </w:t>
      </w:r>
      <w:r>
        <w:rPr>
          <w:lang w:val="bs-Latn-BA"/>
        </w:rPr>
        <w:t>програми</w:t>
      </w:r>
      <w:r w:rsidR="00822AD8" w:rsidRPr="00295637">
        <w:rPr>
          <w:lang w:val="bs-Latn-BA"/>
        </w:rPr>
        <w:t xml:space="preserve"> </w:t>
      </w:r>
      <w:r>
        <w:rPr>
          <w:lang w:val="bs-Latn-BA"/>
        </w:rPr>
        <w:t>обука</w:t>
      </w:r>
      <w:r w:rsidR="00822AD8" w:rsidRPr="00295637">
        <w:rPr>
          <w:lang w:val="bs-Latn-BA"/>
        </w:rPr>
        <w:t xml:space="preserve"> </w:t>
      </w:r>
      <w:r>
        <w:rPr>
          <w:lang w:val="bs-Latn-BA"/>
        </w:rPr>
        <w:t>за</w:t>
      </w:r>
      <w:r w:rsidR="00822AD8" w:rsidRPr="00295637">
        <w:rPr>
          <w:lang w:val="bs-Latn-BA"/>
        </w:rPr>
        <w:t xml:space="preserve"> </w:t>
      </w:r>
      <w:r w:rsidR="00876CF4">
        <w:rPr>
          <w:lang w:val="bs-Latn-BA"/>
        </w:rPr>
        <w:t>„</w:t>
      </w:r>
      <w:r>
        <w:rPr>
          <w:lang w:val="bs-Latn-BA"/>
        </w:rPr>
        <w:t>Геронтодомаћице</w:t>
      </w:r>
      <w:r w:rsidR="00876CF4">
        <w:rPr>
          <w:lang w:val="bs-Latn-BA"/>
        </w:rPr>
        <w:t>“</w:t>
      </w:r>
      <w:r w:rsidR="00822AD8" w:rsidRPr="00295637">
        <w:rPr>
          <w:lang w:val="bs-Latn-BA"/>
        </w:rPr>
        <w:t xml:space="preserve"> </w:t>
      </w:r>
      <w:r>
        <w:rPr>
          <w:lang w:val="bs-Latn-BA"/>
        </w:rPr>
        <w:t>доприносе</w:t>
      </w:r>
      <w:r w:rsidR="00822AD8" w:rsidRPr="00295637">
        <w:rPr>
          <w:lang w:val="bs-Latn-BA"/>
        </w:rPr>
        <w:t xml:space="preserve"> </w:t>
      </w:r>
      <w:r>
        <w:rPr>
          <w:lang w:val="bs-Latn-BA"/>
        </w:rPr>
        <w:t>бољој</w:t>
      </w:r>
      <w:r w:rsidR="00822AD8" w:rsidRPr="00295637">
        <w:rPr>
          <w:lang w:val="bs-Latn-BA"/>
        </w:rPr>
        <w:t xml:space="preserve"> </w:t>
      </w:r>
      <w:r>
        <w:rPr>
          <w:lang w:val="bs-Latn-BA"/>
        </w:rPr>
        <w:t>социјалној</w:t>
      </w:r>
      <w:r w:rsidR="00822AD8" w:rsidRPr="00295637">
        <w:rPr>
          <w:lang w:val="bs-Latn-BA"/>
        </w:rPr>
        <w:t xml:space="preserve"> </w:t>
      </w:r>
      <w:r w:rsidR="0090180C">
        <w:rPr>
          <w:lang w:val="sr-Cyrl-BA"/>
        </w:rPr>
        <w:t>безбједности</w:t>
      </w:r>
      <w:r w:rsidR="00822AD8" w:rsidRPr="00295637">
        <w:rPr>
          <w:lang w:val="bs-Latn-BA"/>
        </w:rPr>
        <w:t xml:space="preserve"> </w:t>
      </w:r>
      <w:r>
        <w:rPr>
          <w:lang w:val="bs-Latn-BA"/>
        </w:rPr>
        <w:t>и</w:t>
      </w:r>
      <w:r w:rsidR="00822AD8" w:rsidRPr="00295637">
        <w:rPr>
          <w:lang w:val="bs-Latn-BA"/>
        </w:rPr>
        <w:t xml:space="preserve"> </w:t>
      </w:r>
      <w:r>
        <w:rPr>
          <w:lang w:val="bs-Latn-BA"/>
        </w:rPr>
        <w:t>запошљавању</w:t>
      </w:r>
      <w:r w:rsidR="00822AD8" w:rsidRPr="00295637">
        <w:rPr>
          <w:lang w:val="bs-Latn-BA"/>
        </w:rPr>
        <w:t xml:space="preserve"> </w:t>
      </w:r>
      <w:r>
        <w:rPr>
          <w:lang w:val="bs-Latn-BA"/>
        </w:rPr>
        <w:t>жена</w:t>
      </w:r>
      <w:r w:rsidR="00822AD8" w:rsidRPr="00295637">
        <w:rPr>
          <w:lang w:val="bs-Latn-BA"/>
        </w:rPr>
        <w:t xml:space="preserve"> </w:t>
      </w:r>
      <w:r>
        <w:rPr>
          <w:lang w:val="bs-Latn-BA"/>
        </w:rPr>
        <w:t>у</w:t>
      </w:r>
      <w:r w:rsidR="00822AD8" w:rsidRPr="00295637">
        <w:rPr>
          <w:lang w:val="bs-Latn-BA"/>
        </w:rPr>
        <w:t xml:space="preserve"> </w:t>
      </w:r>
      <w:r>
        <w:rPr>
          <w:lang w:val="bs-Latn-BA"/>
        </w:rPr>
        <w:t>сектору</w:t>
      </w:r>
      <w:r w:rsidR="00822AD8" w:rsidRPr="00295637">
        <w:rPr>
          <w:lang w:val="bs-Latn-BA"/>
        </w:rPr>
        <w:t xml:space="preserve"> </w:t>
      </w:r>
      <w:r>
        <w:rPr>
          <w:lang w:val="bs-Latn-BA"/>
        </w:rPr>
        <w:t>бриге</w:t>
      </w:r>
      <w:r w:rsidR="00822AD8" w:rsidRPr="00295637">
        <w:rPr>
          <w:lang w:val="bs-Latn-BA"/>
        </w:rPr>
        <w:t xml:space="preserve"> </w:t>
      </w:r>
      <w:r>
        <w:rPr>
          <w:lang w:val="bs-Latn-BA"/>
        </w:rPr>
        <w:t>и</w:t>
      </w:r>
      <w:r w:rsidR="00822AD8" w:rsidRPr="00295637">
        <w:rPr>
          <w:lang w:val="bs-Latn-BA"/>
        </w:rPr>
        <w:t xml:space="preserve"> </w:t>
      </w:r>
      <w:r>
        <w:rPr>
          <w:lang w:val="bs-Latn-BA"/>
        </w:rPr>
        <w:t>социјалних</w:t>
      </w:r>
      <w:r w:rsidR="00822AD8" w:rsidRPr="00295637">
        <w:rPr>
          <w:lang w:val="bs-Latn-BA"/>
        </w:rPr>
        <w:t xml:space="preserve"> </w:t>
      </w:r>
      <w:r>
        <w:rPr>
          <w:lang w:val="bs-Latn-BA"/>
        </w:rPr>
        <w:t>услуга</w:t>
      </w:r>
      <w:r w:rsidR="00822AD8" w:rsidRPr="00295637">
        <w:rPr>
          <w:lang w:val="bs-Latn-BA"/>
        </w:rPr>
        <w:t>.</w:t>
      </w:r>
    </w:p>
    <w:p w:rsidR="00B4124E" w:rsidRPr="00295637" w:rsidRDefault="00B4124E" w:rsidP="0086268D">
      <w:pPr>
        <w:pStyle w:val="NormalWeb"/>
        <w:spacing w:before="0" w:beforeAutospacing="0" w:after="0" w:afterAutospacing="0"/>
        <w:jc w:val="both"/>
        <w:rPr>
          <w:lang w:val="bs-Latn-BA"/>
        </w:rPr>
      </w:pPr>
    </w:p>
    <w:p w:rsidR="00822AD8" w:rsidRPr="00295637" w:rsidRDefault="00C6214E" w:rsidP="0086268D">
      <w:pPr>
        <w:pStyle w:val="NormalWeb"/>
        <w:spacing w:before="0" w:beforeAutospacing="0" w:after="0" w:afterAutospacing="0"/>
        <w:jc w:val="both"/>
        <w:rPr>
          <w:lang w:val="bs-Latn-BA"/>
        </w:rPr>
      </w:pPr>
      <w:r>
        <w:rPr>
          <w:lang w:val="bs-Latn-BA"/>
        </w:rPr>
        <w:t>ФМРСП</w:t>
      </w:r>
      <w:r w:rsidR="00822AD8" w:rsidRPr="00295637">
        <w:rPr>
          <w:lang w:val="bs-Latn-BA"/>
        </w:rPr>
        <w:t xml:space="preserve"> </w:t>
      </w:r>
      <w:r>
        <w:rPr>
          <w:lang w:val="bs-Latn-BA"/>
        </w:rPr>
        <w:t>је</w:t>
      </w:r>
      <w:r w:rsidR="00780537" w:rsidRPr="00295637">
        <w:rPr>
          <w:lang w:val="bs-Latn-BA"/>
        </w:rPr>
        <w:t xml:space="preserve"> </w:t>
      </w:r>
      <w:r>
        <w:rPr>
          <w:lang w:val="bs-Latn-BA"/>
        </w:rPr>
        <w:t>реализ</w:t>
      </w:r>
      <w:r w:rsidR="0090180C">
        <w:rPr>
          <w:lang w:val="sr-Cyrl-BA"/>
        </w:rPr>
        <w:t>овало</w:t>
      </w:r>
      <w:r w:rsidR="00822AD8" w:rsidRPr="00295637">
        <w:rPr>
          <w:lang w:val="bs-Latn-BA"/>
        </w:rPr>
        <w:t xml:space="preserve"> </w:t>
      </w:r>
      <w:r>
        <w:rPr>
          <w:lang w:val="bs-Latn-BA"/>
        </w:rPr>
        <w:t>низ</w:t>
      </w:r>
      <w:r w:rsidR="00822AD8" w:rsidRPr="00295637">
        <w:rPr>
          <w:lang w:val="bs-Latn-BA"/>
        </w:rPr>
        <w:t xml:space="preserve"> </w:t>
      </w:r>
      <w:r>
        <w:rPr>
          <w:lang w:val="bs-Latn-BA"/>
        </w:rPr>
        <w:t>активности</w:t>
      </w:r>
      <w:r w:rsidR="00822AD8" w:rsidRPr="00295637">
        <w:rPr>
          <w:lang w:val="bs-Latn-BA"/>
        </w:rPr>
        <w:t xml:space="preserve"> </w:t>
      </w:r>
      <w:r>
        <w:rPr>
          <w:lang w:val="bs-Latn-BA"/>
        </w:rPr>
        <w:t>усмјерених</w:t>
      </w:r>
      <w:r w:rsidR="00822AD8" w:rsidRPr="00295637">
        <w:rPr>
          <w:lang w:val="bs-Latn-BA"/>
        </w:rPr>
        <w:t xml:space="preserve"> </w:t>
      </w:r>
      <w:r>
        <w:rPr>
          <w:lang w:val="bs-Latn-BA"/>
        </w:rPr>
        <w:t>на</w:t>
      </w:r>
      <w:r w:rsidR="00822AD8" w:rsidRPr="00295637">
        <w:rPr>
          <w:lang w:val="bs-Latn-BA"/>
        </w:rPr>
        <w:t xml:space="preserve"> </w:t>
      </w:r>
      <w:r>
        <w:rPr>
          <w:lang w:val="bs-Latn-BA"/>
        </w:rPr>
        <w:t>унапређење</w:t>
      </w:r>
      <w:r w:rsidR="00822AD8" w:rsidRPr="00295637">
        <w:rPr>
          <w:lang w:val="bs-Latn-BA"/>
        </w:rPr>
        <w:t xml:space="preserve"> </w:t>
      </w:r>
      <w:r>
        <w:rPr>
          <w:lang w:val="bs-Latn-BA"/>
        </w:rPr>
        <w:t>социјалне</w:t>
      </w:r>
      <w:r w:rsidR="00822AD8" w:rsidRPr="00295637">
        <w:rPr>
          <w:lang w:val="bs-Latn-BA"/>
        </w:rPr>
        <w:t xml:space="preserve"> </w:t>
      </w:r>
      <w:r>
        <w:rPr>
          <w:lang w:val="bs-Latn-BA"/>
        </w:rPr>
        <w:t>заштите</w:t>
      </w:r>
      <w:r w:rsidR="00822AD8" w:rsidRPr="00295637">
        <w:rPr>
          <w:lang w:val="bs-Latn-BA"/>
        </w:rPr>
        <w:t xml:space="preserve"> </w:t>
      </w:r>
      <w:r>
        <w:rPr>
          <w:lang w:val="bs-Latn-BA"/>
        </w:rPr>
        <w:t>и</w:t>
      </w:r>
      <w:r w:rsidR="00822AD8" w:rsidRPr="00295637">
        <w:rPr>
          <w:lang w:val="bs-Latn-BA"/>
        </w:rPr>
        <w:t xml:space="preserve"> </w:t>
      </w:r>
      <w:r>
        <w:rPr>
          <w:lang w:val="bs-Latn-BA"/>
        </w:rPr>
        <w:t>о</w:t>
      </w:r>
      <w:r w:rsidR="0090180C">
        <w:rPr>
          <w:lang w:val="sr-Cyrl-BA"/>
        </w:rPr>
        <w:t>безбјеђење</w:t>
      </w:r>
      <w:r w:rsidR="00822AD8" w:rsidRPr="00295637">
        <w:rPr>
          <w:lang w:val="bs-Latn-BA"/>
        </w:rPr>
        <w:t xml:space="preserve"> </w:t>
      </w:r>
      <w:r>
        <w:rPr>
          <w:lang w:val="bs-Latn-BA"/>
        </w:rPr>
        <w:t>права</w:t>
      </w:r>
      <w:r w:rsidR="00822AD8" w:rsidRPr="00295637">
        <w:rPr>
          <w:lang w:val="bs-Latn-BA"/>
        </w:rPr>
        <w:t xml:space="preserve"> </w:t>
      </w:r>
      <w:r>
        <w:rPr>
          <w:lang w:val="bs-Latn-BA"/>
        </w:rPr>
        <w:t>рањивих</w:t>
      </w:r>
      <w:r w:rsidR="00822AD8" w:rsidRPr="00295637">
        <w:rPr>
          <w:lang w:val="bs-Latn-BA"/>
        </w:rPr>
        <w:t xml:space="preserve"> </w:t>
      </w:r>
      <w:r>
        <w:rPr>
          <w:lang w:val="bs-Latn-BA"/>
        </w:rPr>
        <w:t>категорија</w:t>
      </w:r>
      <w:r w:rsidR="00822AD8" w:rsidRPr="00295637">
        <w:rPr>
          <w:lang w:val="bs-Latn-BA"/>
        </w:rPr>
        <w:t xml:space="preserve"> </w:t>
      </w:r>
      <w:r>
        <w:rPr>
          <w:lang w:val="bs-Latn-BA"/>
        </w:rPr>
        <w:t>становништва</w:t>
      </w:r>
      <w:r w:rsidR="00822AD8" w:rsidRPr="00295637">
        <w:rPr>
          <w:lang w:val="bs-Latn-BA"/>
        </w:rPr>
        <w:t xml:space="preserve">. </w:t>
      </w:r>
      <w:r>
        <w:rPr>
          <w:lang w:val="bs-Latn-BA"/>
        </w:rPr>
        <w:t>У</w:t>
      </w:r>
      <w:r w:rsidR="00822AD8" w:rsidRPr="00295637">
        <w:rPr>
          <w:lang w:val="bs-Latn-BA"/>
        </w:rPr>
        <w:t xml:space="preserve"> </w:t>
      </w:r>
      <w:r>
        <w:rPr>
          <w:lang w:val="bs-Latn-BA"/>
        </w:rPr>
        <w:t>оквиру</w:t>
      </w:r>
      <w:r w:rsidR="00822AD8" w:rsidRPr="00295637">
        <w:rPr>
          <w:lang w:val="bs-Latn-BA"/>
        </w:rPr>
        <w:t xml:space="preserve"> </w:t>
      </w:r>
      <w:r>
        <w:rPr>
          <w:rStyle w:val="Strong"/>
          <w:b w:val="0"/>
          <w:lang w:val="bs-Latn-BA"/>
        </w:rPr>
        <w:t>израде</w:t>
      </w:r>
      <w:r w:rsidR="00822AD8" w:rsidRPr="00295637">
        <w:rPr>
          <w:rStyle w:val="Strong"/>
          <w:b w:val="0"/>
          <w:lang w:val="bs-Latn-BA"/>
        </w:rPr>
        <w:t xml:space="preserve"> </w:t>
      </w:r>
      <w:r>
        <w:rPr>
          <w:rStyle w:val="Strong"/>
          <w:b w:val="0"/>
          <w:lang w:val="bs-Latn-BA"/>
        </w:rPr>
        <w:t>Закона</w:t>
      </w:r>
      <w:r w:rsidR="00822AD8" w:rsidRPr="00295637">
        <w:rPr>
          <w:rStyle w:val="Strong"/>
          <w:b w:val="0"/>
          <w:lang w:val="bs-Latn-BA"/>
        </w:rPr>
        <w:t xml:space="preserve"> </w:t>
      </w:r>
      <w:r>
        <w:rPr>
          <w:rStyle w:val="Strong"/>
          <w:b w:val="0"/>
          <w:lang w:val="bs-Latn-BA"/>
        </w:rPr>
        <w:t>о</w:t>
      </w:r>
      <w:r w:rsidR="00822AD8" w:rsidRPr="00295637">
        <w:rPr>
          <w:rStyle w:val="Strong"/>
          <w:b w:val="0"/>
          <w:lang w:val="bs-Latn-BA"/>
        </w:rPr>
        <w:t xml:space="preserve"> </w:t>
      </w:r>
      <w:r>
        <w:rPr>
          <w:rStyle w:val="Strong"/>
          <w:b w:val="0"/>
          <w:lang w:val="bs-Latn-BA"/>
        </w:rPr>
        <w:t>социјалној</w:t>
      </w:r>
      <w:r w:rsidR="00822AD8" w:rsidRPr="00295637">
        <w:rPr>
          <w:rStyle w:val="Strong"/>
          <w:b w:val="0"/>
          <w:lang w:val="bs-Latn-BA"/>
        </w:rPr>
        <w:t xml:space="preserve"> </w:t>
      </w:r>
      <w:r>
        <w:rPr>
          <w:rStyle w:val="Strong"/>
          <w:b w:val="0"/>
          <w:lang w:val="bs-Latn-BA"/>
        </w:rPr>
        <w:t>карти</w:t>
      </w:r>
      <w:r w:rsidR="00822AD8" w:rsidRPr="00295637">
        <w:rPr>
          <w:rStyle w:val="Strong"/>
          <w:b w:val="0"/>
          <w:lang w:val="bs-Latn-BA"/>
        </w:rPr>
        <w:t xml:space="preserve"> </w:t>
      </w:r>
      <w:r>
        <w:rPr>
          <w:rStyle w:val="Strong"/>
          <w:b w:val="0"/>
          <w:lang w:val="bs-Latn-BA"/>
        </w:rPr>
        <w:t>ФБиХ</w:t>
      </w:r>
      <w:r w:rsidR="00822AD8" w:rsidRPr="00295637">
        <w:rPr>
          <w:lang w:val="bs-Latn-BA"/>
        </w:rPr>
        <w:t xml:space="preserve">, </w:t>
      </w:r>
      <w:r>
        <w:rPr>
          <w:lang w:val="bs-Latn-BA"/>
        </w:rPr>
        <w:t>утврђена</w:t>
      </w:r>
      <w:r w:rsidR="00822AD8" w:rsidRPr="00295637">
        <w:rPr>
          <w:lang w:val="bs-Latn-BA"/>
        </w:rPr>
        <w:t xml:space="preserve"> </w:t>
      </w:r>
      <w:r>
        <w:rPr>
          <w:lang w:val="bs-Latn-BA"/>
        </w:rPr>
        <w:t>је</w:t>
      </w:r>
      <w:r w:rsidR="00822AD8" w:rsidRPr="00295637">
        <w:rPr>
          <w:lang w:val="bs-Latn-BA"/>
        </w:rPr>
        <w:t xml:space="preserve"> </w:t>
      </w:r>
      <w:r>
        <w:rPr>
          <w:lang w:val="bs-Latn-BA"/>
        </w:rPr>
        <w:t>методологија</w:t>
      </w:r>
      <w:r w:rsidR="00822AD8" w:rsidRPr="00295637">
        <w:rPr>
          <w:lang w:val="bs-Latn-BA"/>
        </w:rPr>
        <w:t xml:space="preserve"> </w:t>
      </w:r>
      <w:r>
        <w:rPr>
          <w:lang w:val="bs-Latn-BA"/>
        </w:rPr>
        <w:t>која</w:t>
      </w:r>
      <w:r w:rsidR="00822AD8" w:rsidRPr="00295637">
        <w:rPr>
          <w:lang w:val="bs-Latn-BA"/>
        </w:rPr>
        <w:t xml:space="preserve"> </w:t>
      </w:r>
      <w:r>
        <w:rPr>
          <w:lang w:val="bs-Latn-BA"/>
        </w:rPr>
        <w:t>омогућава</w:t>
      </w:r>
      <w:r w:rsidR="00822AD8" w:rsidRPr="00295637">
        <w:rPr>
          <w:lang w:val="bs-Latn-BA"/>
        </w:rPr>
        <w:t xml:space="preserve"> </w:t>
      </w:r>
      <w:r>
        <w:rPr>
          <w:lang w:val="bs-Latn-BA"/>
        </w:rPr>
        <w:t>детаљан</w:t>
      </w:r>
      <w:r w:rsidR="00822AD8" w:rsidRPr="00295637">
        <w:rPr>
          <w:lang w:val="bs-Latn-BA"/>
        </w:rPr>
        <w:t xml:space="preserve"> </w:t>
      </w:r>
      <w:r>
        <w:rPr>
          <w:lang w:val="bs-Latn-BA"/>
        </w:rPr>
        <w:t>увид</w:t>
      </w:r>
      <w:r w:rsidR="00822AD8" w:rsidRPr="00295637">
        <w:rPr>
          <w:lang w:val="bs-Latn-BA"/>
        </w:rPr>
        <w:t xml:space="preserve"> </w:t>
      </w:r>
      <w:r>
        <w:rPr>
          <w:lang w:val="bs-Latn-BA"/>
        </w:rPr>
        <w:t>у</w:t>
      </w:r>
      <w:r w:rsidR="00822AD8" w:rsidRPr="00295637">
        <w:rPr>
          <w:lang w:val="bs-Latn-BA"/>
        </w:rPr>
        <w:t xml:space="preserve"> </w:t>
      </w:r>
      <w:r>
        <w:rPr>
          <w:lang w:val="bs-Latn-BA"/>
        </w:rPr>
        <w:t>социо</w:t>
      </w:r>
      <w:r w:rsidR="00822AD8" w:rsidRPr="00295637">
        <w:rPr>
          <w:lang w:val="bs-Latn-BA"/>
        </w:rPr>
        <w:t>-</w:t>
      </w:r>
      <w:r>
        <w:rPr>
          <w:lang w:val="bs-Latn-BA"/>
        </w:rPr>
        <w:t>економске</w:t>
      </w:r>
      <w:r w:rsidR="00822AD8" w:rsidRPr="00295637">
        <w:rPr>
          <w:lang w:val="bs-Latn-BA"/>
        </w:rPr>
        <w:t xml:space="preserve"> </w:t>
      </w:r>
      <w:r>
        <w:rPr>
          <w:lang w:val="bs-Latn-BA"/>
        </w:rPr>
        <w:t>прилике</w:t>
      </w:r>
      <w:r w:rsidR="00822AD8" w:rsidRPr="00295637">
        <w:rPr>
          <w:lang w:val="bs-Latn-BA"/>
        </w:rPr>
        <w:t xml:space="preserve"> </w:t>
      </w:r>
      <w:r>
        <w:rPr>
          <w:lang w:val="bs-Latn-BA"/>
        </w:rPr>
        <w:t>појединаца</w:t>
      </w:r>
      <w:r w:rsidR="00822AD8" w:rsidRPr="00295637">
        <w:rPr>
          <w:lang w:val="bs-Latn-BA"/>
        </w:rPr>
        <w:t xml:space="preserve">, </w:t>
      </w:r>
      <w:r>
        <w:rPr>
          <w:lang w:val="bs-Latn-BA"/>
        </w:rPr>
        <w:t>домаћинстава</w:t>
      </w:r>
      <w:r w:rsidR="00822AD8" w:rsidRPr="00295637">
        <w:rPr>
          <w:lang w:val="bs-Latn-BA"/>
        </w:rPr>
        <w:t xml:space="preserve"> </w:t>
      </w:r>
      <w:r>
        <w:rPr>
          <w:lang w:val="bs-Latn-BA"/>
        </w:rPr>
        <w:t>и</w:t>
      </w:r>
      <w:r w:rsidR="00822AD8" w:rsidRPr="00295637">
        <w:rPr>
          <w:lang w:val="bs-Latn-BA"/>
        </w:rPr>
        <w:t xml:space="preserve"> </w:t>
      </w:r>
      <w:r>
        <w:rPr>
          <w:lang w:val="bs-Latn-BA"/>
        </w:rPr>
        <w:t>локалних</w:t>
      </w:r>
      <w:r w:rsidR="00822AD8" w:rsidRPr="00295637">
        <w:rPr>
          <w:lang w:val="bs-Latn-BA"/>
        </w:rPr>
        <w:t xml:space="preserve"> </w:t>
      </w:r>
      <w:r>
        <w:rPr>
          <w:lang w:val="bs-Latn-BA"/>
        </w:rPr>
        <w:t>заједница</w:t>
      </w:r>
      <w:r w:rsidR="00822AD8" w:rsidRPr="00295637">
        <w:rPr>
          <w:lang w:val="bs-Latn-BA"/>
        </w:rPr>
        <w:t xml:space="preserve">. </w:t>
      </w:r>
      <w:r>
        <w:rPr>
          <w:lang w:val="bs-Latn-BA"/>
        </w:rPr>
        <w:t>Паралелно</w:t>
      </w:r>
      <w:r w:rsidR="00822AD8" w:rsidRPr="00295637">
        <w:rPr>
          <w:lang w:val="bs-Latn-BA"/>
        </w:rPr>
        <w:t xml:space="preserve">, </w:t>
      </w:r>
      <w:r>
        <w:rPr>
          <w:lang w:val="bs-Latn-BA"/>
        </w:rPr>
        <w:t>израђен</w:t>
      </w:r>
      <w:r w:rsidR="00822AD8" w:rsidRPr="00295637">
        <w:rPr>
          <w:lang w:val="bs-Latn-BA"/>
        </w:rPr>
        <w:t xml:space="preserve"> </w:t>
      </w:r>
      <w:r>
        <w:rPr>
          <w:lang w:val="bs-Latn-BA"/>
        </w:rPr>
        <w:t>је</w:t>
      </w:r>
      <w:r w:rsidR="00822AD8" w:rsidRPr="00295637">
        <w:rPr>
          <w:lang w:val="bs-Latn-BA"/>
        </w:rPr>
        <w:t xml:space="preserve"> </w:t>
      </w:r>
      <w:r>
        <w:rPr>
          <w:rStyle w:val="Strong"/>
          <w:b w:val="0"/>
          <w:lang w:val="bs-Latn-BA"/>
        </w:rPr>
        <w:t>Закон</w:t>
      </w:r>
      <w:r w:rsidR="00822AD8" w:rsidRPr="00295637">
        <w:rPr>
          <w:rStyle w:val="Strong"/>
          <w:b w:val="0"/>
          <w:lang w:val="bs-Latn-BA"/>
        </w:rPr>
        <w:t xml:space="preserve"> </w:t>
      </w:r>
      <w:r>
        <w:rPr>
          <w:rStyle w:val="Strong"/>
          <w:b w:val="0"/>
          <w:lang w:val="bs-Latn-BA"/>
        </w:rPr>
        <w:t>о</w:t>
      </w:r>
      <w:r w:rsidR="00822AD8" w:rsidRPr="00295637">
        <w:rPr>
          <w:rStyle w:val="Strong"/>
          <w:b w:val="0"/>
          <w:lang w:val="bs-Latn-BA"/>
        </w:rPr>
        <w:t xml:space="preserve"> </w:t>
      </w:r>
      <w:r>
        <w:rPr>
          <w:rStyle w:val="Strong"/>
          <w:b w:val="0"/>
          <w:lang w:val="bs-Latn-BA"/>
        </w:rPr>
        <w:t>социјалним</w:t>
      </w:r>
      <w:r w:rsidR="00822AD8" w:rsidRPr="00295637">
        <w:rPr>
          <w:rStyle w:val="Strong"/>
          <w:b w:val="0"/>
          <w:lang w:val="bs-Latn-BA"/>
        </w:rPr>
        <w:t xml:space="preserve"> </w:t>
      </w:r>
      <w:r>
        <w:rPr>
          <w:rStyle w:val="Strong"/>
          <w:b w:val="0"/>
          <w:lang w:val="bs-Latn-BA"/>
        </w:rPr>
        <w:t>услугама</w:t>
      </w:r>
      <w:r w:rsidR="00822AD8" w:rsidRPr="00295637">
        <w:rPr>
          <w:rStyle w:val="Strong"/>
          <w:b w:val="0"/>
          <w:lang w:val="bs-Latn-BA"/>
        </w:rPr>
        <w:t xml:space="preserve"> </w:t>
      </w:r>
      <w:r>
        <w:rPr>
          <w:rStyle w:val="Strong"/>
          <w:b w:val="0"/>
          <w:lang w:val="bs-Latn-BA"/>
        </w:rPr>
        <w:t>ФБиХ</w:t>
      </w:r>
      <w:r w:rsidR="00822AD8" w:rsidRPr="00295637">
        <w:rPr>
          <w:lang w:val="bs-Latn-BA"/>
        </w:rPr>
        <w:t xml:space="preserve">, </w:t>
      </w:r>
      <w:r>
        <w:rPr>
          <w:lang w:val="bs-Latn-BA"/>
        </w:rPr>
        <w:t>који</w:t>
      </w:r>
      <w:r w:rsidR="00822AD8" w:rsidRPr="00295637">
        <w:rPr>
          <w:lang w:val="bs-Latn-BA"/>
        </w:rPr>
        <w:t xml:space="preserve"> </w:t>
      </w:r>
      <w:r>
        <w:rPr>
          <w:lang w:val="bs-Latn-BA"/>
        </w:rPr>
        <w:t>о</w:t>
      </w:r>
      <w:r w:rsidR="0090180C">
        <w:rPr>
          <w:lang w:val="sr-Cyrl-BA"/>
        </w:rPr>
        <w:t>безбјеђује</w:t>
      </w:r>
      <w:r w:rsidR="00822AD8" w:rsidRPr="00295637">
        <w:rPr>
          <w:lang w:val="bs-Latn-BA"/>
        </w:rPr>
        <w:t xml:space="preserve"> </w:t>
      </w:r>
      <w:r>
        <w:rPr>
          <w:lang w:val="bs-Latn-BA"/>
        </w:rPr>
        <w:t>хармонизацију</w:t>
      </w:r>
      <w:r w:rsidR="00822AD8" w:rsidRPr="00295637">
        <w:rPr>
          <w:lang w:val="bs-Latn-BA"/>
        </w:rPr>
        <w:t xml:space="preserve"> </w:t>
      </w:r>
      <w:r>
        <w:rPr>
          <w:lang w:val="bs-Latn-BA"/>
        </w:rPr>
        <w:t>и</w:t>
      </w:r>
      <w:r w:rsidR="00822AD8" w:rsidRPr="00295637">
        <w:rPr>
          <w:lang w:val="bs-Latn-BA"/>
        </w:rPr>
        <w:t xml:space="preserve"> </w:t>
      </w:r>
      <w:r>
        <w:rPr>
          <w:lang w:val="bs-Latn-BA"/>
        </w:rPr>
        <w:t>развој</w:t>
      </w:r>
      <w:r w:rsidR="00822AD8" w:rsidRPr="00295637">
        <w:rPr>
          <w:lang w:val="bs-Latn-BA"/>
        </w:rPr>
        <w:t xml:space="preserve"> </w:t>
      </w:r>
      <w:r>
        <w:rPr>
          <w:lang w:val="bs-Latn-BA"/>
        </w:rPr>
        <w:t>социјалних</w:t>
      </w:r>
      <w:r w:rsidR="00822AD8" w:rsidRPr="00295637">
        <w:rPr>
          <w:lang w:val="bs-Latn-BA"/>
        </w:rPr>
        <w:t xml:space="preserve"> </w:t>
      </w:r>
      <w:r>
        <w:rPr>
          <w:lang w:val="bs-Latn-BA"/>
        </w:rPr>
        <w:t>услуга</w:t>
      </w:r>
      <w:r w:rsidR="00822AD8" w:rsidRPr="00295637">
        <w:rPr>
          <w:lang w:val="bs-Latn-BA"/>
        </w:rPr>
        <w:t xml:space="preserve"> </w:t>
      </w:r>
      <w:r w:rsidR="0090180C">
        <w:rPr>
          <w:lang w:val="sr-Cyrl-BA"/>
        </w:rPr>
        <w:t>с</w:t>
      </w:r>
      <w:r w:rsidR="00822AD8" w:rsidRPr="00295637">
        <w:rPr>
          <w:lang w:val="bs-Latn-BA"/>
        </w:rPr>
        <w:t xml:space="preserve"> </w:t>
      </w:r>
      <w:r>
        <w:rPr>
          <w:lang w:val="bs-Latn-BA"/>
        </w:rPr>
        <w:t>циљ</w:t>
      </w:r>
      <w:r w:rsidR="0090180C">
        <w:rPr>
          <w:lang w:val="sr-Cyrl-BA"/>
        </w:rPr>
        <w:t>ем</w:t>
      </w:r>
      <w:r w:rsidR="00822AD8" w:rsidRPr="00295637">
        <w:rPr>
          <w:lang w:val="bs-Latn-BA"/>
        </w:rPr>
        <w:t xml:space="preserve"> </w:t>
      </w:r>
      <w:r>
        <w:rPr>
          <w:lang w:val="bs-Latn-BA"/>
        </w:rPr>
        <w:t>смањења</w:t>
      </w:r>
      <w:r w:rsidR="00822AD8" w:rsidRPr="00295637">
        <w:rPr>
          <w:lang w:val="bs-Latn-BA"/>
        </w:rPr>
        <w:t xml:space="preserve"> </w:t>
      </w:r>
      <w:r>
        <w:rPr>
          <w:lang w:val="bs-Latn-BA"/>
        </w:rPr>
        <w:t>социјалне</w:t>
      </w:r>
      <w:r w:rsidR="00822AD8" w:rsidRPr="00295637">
        <w:rPr>
          <w:lang w:val="bs-Latn-BA"/>
        </w:rPr>
        <w:t xml:space="preserve"> </w:t>
      </w:r>
      <w:r>
        <w:rPr>
          <w:lang w:val="bs-Latn-BA"/>
        </w:rPr>
        <w:t>искључености</w:t>
      </w:r>
      <w:r w:rsidR="00822AD8" w:rsidRPr="00295637">
        <w:rPr>
          <w:lang w:val="bs-Latn-BA"/>
        </w:rPr>
        <w:t xml:space="preserve">. </w:t>
      </w:r>
    </w:p>
    <w:p w:rsidR="00B4124E" w:rsidRPr="00295637" w:rsidRDefault="00B4124E" w:rsidP="0086268D">
      <w:pPr>
        <w:pStyle w:val="NormalWeb"/>
        <w:spacing w:before="0" w:beforeAutospacing="0" w:after="0" w:afterAutospacing="0"/>
        <w:jc w:val="both"/>
        <w:rPr>
          <w:lang w:val="bs-Latn-BA"/>
        </w:rPr>
      </w:pPr>
    </w:p>
    <w:p w:rsidR="00822AD8" w:rsidRPr="00295637" w:rsidRDefault="00C6214E" w:rsidP="0086268D">
      <w:pPr>
        <w:pStyle w:val="NormalWeb"/>
        <w:spacing w:before="0" w:beforeAutospacing="0" w:after="0" w:afterAutospacing="0"/>
        <w:jc w:val="both"/>
        <w:rPr>
          <w:b/>
          <w:lang w:val="bs-Latn-BA"/>
        </w:rPr>
      </w:pPr>
      <w:r>
        <w:rPr>
          <w:lang w:val="bs-Latn-BA"/>
        </w:rPr>
        <w:t>ФМРСП</w:t>
      </w:r>
      <w:r w:rsidR="00822AD8" w:rsidRPr="00295637">
        <w:rPr>
          <w:lang w:val="bs-Latn-BA"/>
        </w:rPr>
        <w:t xml:space="preserve"> </w:t>
      </w:r>
      <w:r>
        <w:rPr>
          <w:lang w:val="bs-Latn-BA"/>
        </w:rPr>
        <w:t>је</w:t>
      </w:r>
      <w:r w:rsidR="00822AD8" w:rsidRPr="00295637">
        <w:rPr>
          <w:lang w:val="bs-Latn-BA"/>
        </w:rPr>
        <w:t xml:space="preserve"> </w:t>
      </w:r>
      <w:r>
        <w:rPr>
          <w:lang w:val="bs-Latn-BA"/>
        </w:rPr>
        <w:t>наставило</w:t>
      </w:r>
      <w:r w:rsidR="00822AD8" w:rsidRPr="00295637">
        <w:rPr>
          <w:lang w:val="bs-Latn-BA"/>
        </w:rPr>
        <w:t xml:space="preserve"> </w:t>
      </w:r>
      <w:r w:rsidR="0090180C">
        <w:rPr>
          <w:lang w:val="sr-Cyrl-BA"/>
        </w:rPr>
        <w:t>спровођење</w:t>
      </w:r>
      <w:r w:rsidR="00822AD8" w:rsidRPr="00295637">
        <w:rPr>
          <w:lang w:val="bs-Latn-BA"/>
        </w:rPr>
        <w:t xml:space="preserve"> </w:t>
      </w:r>
      <w:r>
        <w:rPr>
          <w:rStyle w:val="Strong"/>
          <w:b w:val="0"/>
          <w:lang w:val="bs-Latn-BA"/>
        </w:rPr>
        <w:t>Закона</w:t>
      </w:r>
      <w:r w:rsidR="00822AD8" w:rsidRPr="00295637">
        <w:rPr>
          <w:rStyle w:val="Strong"/>
          <w:b w:val="0"/>
          <w:lang w:val="bs-Latn-BA"/>
        </w:rPr>
        <w:t xml:space="preserve"> </w:t>
      </w:r>
      <w:r>
        <w:rPr>
          <w:rStyle w:val="Strong"/>
          <w:b w:val="0"/>
          <w:lang w:val="bs-Latn-BA"/>
        </w:rPr>
        <w:t>о</w:t>
      </w:r>
      <w:r w:rsidR="00822AD8" w:rsidRPr="00295637">
        <w:rPr>
          <w:rStyle w:val="Strong"/>
          <w:b w:val="0"/>
          <w:lang w:val="bs-Latn-BA"/>
        </w:rPr>
        <w:t xml:space="preserve"> </w:t>
      </w:r>
      <w:r>
        <w:rPr>
          <w:rStyle w:val="Strong"/>
          <w:b w:val="0"/>
          <w:lang w:val="bs-Latn-BA"/>
        </w:rPr>
        <w:t>материјалној</w:t>
      </w:r>
      <w:r w:rsidR="00822AD8" w:rsidRPr="00295637">
        <w:rPr>
          <w:rStyle w:val="Strong"/>
          <w:b w:val="0"/>
          <w:lang w:val="bs-Latn-BA"/>
        </w:rPr>
        <w:t xml:space="preserve"> </w:t>
      </w:r>
      <w:r>
        <w:rPr>
          <w:rStyle w:val="Strong"/>
          <w:b w:val="0"/>
          <w:lang w:val="bs-Latn-BA"/>
        </w:rPr>
        <w:t>по</w:t>
      </w:r>
      <w:r w:rsidR="0090180C">
        <w:rPr>
          <w:rStyle w:val="Strong"/>
          <w:b w:val="0"/>
          <w:lang w:val="sr-Cyrl-BA"/>
        </w:rPr>
        <w:t>дршци</w:t>
      </w:r>
      <w:r w:rsidR="00822AD8" w:rsidRPr="00295637">
        <w:rPr>
          <w:rStyle w:val="Strong"/>
          <w:b w:val="0"/>
          <w:lang w:val="bs-Latn-BA"/>
        </w:rPr>
        <w:t xml:space="preserve"> </w:t>
      </w:r>
      <w:r>
        <w:rPr>
          <w:rStyle w:val="Strong"/>
          <w:b w:val="0"/>
          <w:lang w:val="bs-Latn-BA"/>
        </w:rPr>
        <w:t>породицама</w:t>
      </w:r>
      <w:r w:rsidR="00822AD8" w:rsidRPr="00295637">
        <w:rPr>
          <w:rStyle w:val="Strong"/>
          <w:b w:val="0"/>
          <w:lang w:val="bs-Latn-BA"/>
        </w:rPr>
        <w:t xml:space="preserve"> </w:t>
      </w:r>
      <w:r>
        <w:rPr>
          <w:rStyle w:val="Strong"/>
          <w:b w:val="0"/>
          <w:lang w:val="bs-Latn-BA"/>
        </w:rPr>
        <w:t>са</w:t>
      </w:r>
      <w:r w:rsidR="00822AD8" w:rsidRPr="00295637">
        <w:rPr>
          <w:rStyle w:val="Strong"/>
          <w:b w:val="0"/>
          <w:lang w:val="bs-Latn-BA"/>
        </w:rPr>
        <w:t xml:space="preserve"> </w:t>
      </w:r>
      <w:r>
        <w:rPr>
          <w:rStyle w:val="Strong"/>
          <w:b w:val="0"/>
          <w:lang w:val="bs-Latn-BA"/>
        </w:rPr>
        <w:t>дјецом</w:t>
      </w:r>
      <w:r w:rsidR="00822AD8" w:rsidRPr="00295637">
        <w:rPr>
          <w:rStyle w:val="Strong"/>
          <w:b w:val="0"/>
          <w:lang w:val="bs-Latn-BA"/>
        </w:rPr>
        <w:t xml:space="preserve"> </w:t>
      </w:r>
      <w:r>
        <w:rPr>
          <w:rStyle w:val="Strong"/>
          <w:b w:val="0"/>
          <w:lang w:val="bs-Latn-BA"/>
        </w:rPr>
        <w:t>у</w:t>
      </w:r>
      <w:r w:rsidR="00822AD8" w:rsidRPr="00295637">
        <w:rPr>
          <w:rStyle w:val="Strong"/>
          <w:b w:val="0"/>
          <w:lang w:val="bs-Latn-BA"/>
        </w:rPr>
        <w:t xml:space="preserve"> </w:t>
      </w:r>
      <w:r>
        <w:rPr>
          <w:rStyle w:val="Strong"/>
          <w:b w:val="0"/>
          <w:lang w:val="bs-Latn-BA"/>
        </w:rPr>
        <w:t>ФБиХ</w:t>
      </w:r>
      <w:r w:rsidR="00822AD8" w:rsidRPr="00295637">
        <w:rPr>
          <w:lang w:val="bs-Latn-BA"/>
        </w:rPr>
        <w:t xml:space="preserve">, </w:t>
      </w:r>
      <w:r>
        <w:rPr>
          <w:lang w:val="bs-Latn-BA"/>
        </w:rPr>
        <w:t>чиме</w:t>
      </w:r>
      <w:r w:rsidR="00822AD8" w:rsidRPr="00295637">
        <w:rPr>
          <w:lang w:val="bs-Latn-BA"/>
        </w:rPr>
        <w:t xml:space="preserve"> </w:t>
      </w:r>
      <w:r>
        <w:rPr>
          <w:lang w:val="bs-Latn-BA"/>
        </w:rPr>
        <w:t>је</w:t>
      </w:r>
      <w:r w:rsidR="00822AD8" w:rsidRPr="00295637">
        <w:rPr>
          <w:lang w:val="bs-Latn-BA"/>
        </w:rPr>
        <w:t xml:space="preserve"> </w:t>
      </w:r>
      <w:r>
        <w:rPr>
          <w:lang w:val="bs-Latn-BA"/>
        </w:rPr>
        <w:t>о</w:t>
      </w:r>
      <w:r w:rsidR="0090180C">
        <w:rPr>
          <w:lang w:val="sr-Cyrl-BA"/>
        </w:rPr>
        <w:t>безбијеђена</w:t>
      </w:r>
      <w:r w:rsidR="00822AD8" w:rsidRPr="00295637">
        <w:rPr>
          <w:lang w:val="bs-Latn-BA"/>
        </w:rPr>
        <w:t xml:space="preserve"> </w:t>
      </w:r>
      <w:r>
        <w:rPr>
          <w:lang w:val="bs-Latn-BA"/>
        </w:rPr>
        <w:t>уједначеност</w:t>
      </w:r>
      <w:r w:rsidR="00822AD8" w:rsidRPr="00295637">
        <w:rPr>
          <w:lang w:val="bs-Latn-BA"/>
        </w:rPr>
        <w:t xml:space="preserve"> </w:t>
      </w:r>
      <w:r>
        <w:rPr>
          <w:lang w:val="bs-Latn-BA"/>
        </w:rPr>
        <w:t>права</w:t>
      </w:r>
      <w:r w:rsidR="00822AD8" w:rsidRPr="00295637">
        <w:rPr>
          <w:lang w:val="bs-Latn-BA"/>
        </w:rPr>
        <w:t xml:space="preserve"> </w:t>
      </w:r>
      <w:r>
        <w:rPr>
          <w:lang w:val="bs-Latn-BA"/>
        </w:rPr>
        <w:t>на</w:t>
      </w:r>
      <w:r w:rsidR="00822AD8" w:rsidRPr="00295637">
        <w:rPr>
          <w:lang w:val="bs-Latn-BA"/>
        </w:rPr>
        <w:t xml:space="preserve"> </w:t>
      </w:r>
      <w:r>
        <w:rPr>
          <w:lang w:val="bs-Latn-BA"/>
        </w:rPr>
        <w:t>дјечији</w:t>
      </w:r>
      <w:r w:rsidR="00822AD8" w:rsidRPr="00295637">
        <w:rPr>
          <w:lang w:val="bs-Latn-BA"/>
        </w:rPr>
        <w:t xml:space="preserve"> </w:t>
      </w:r>
      <w:r>
        <w:rPr>
          <w:lang w:val="bs-Latn-BA"/>
        </w:rPr>
        <w:t>додатак</w:t>
      </w:r>
      <w:r w:rsidR="00822AD8" w:rsidRPr="00295637">
        <w:rPr>
          <w:lang w:val="bs-Latn-BA"/>
        </w:rPr>
        <w:t xml:space="preserve"> </w:t>
      </w:r>
      <w:r>
        <w:rPr>
          <w:lang w:val="bs-Latn-BA"/>
        </w:rPr>
        <w:t>на</w:t>
      </w:r>
      <w:r w:rsidR="00822AD8" w:rsidRPr="00295637">
        <w:rPr>
          <w:lang w:val="bs-Latn-BA"/>
        </w:rPr>
        <w:t xml:space="preserve"> </w:t>
      </w:r>
      <w:r>
        <w:rPr>
          <w:lang w:val="bs-Latn-BA"/>
        </w:rPr>
        <w:t>цијелој</w:t>
      </w:r>
      <w:r w:rsidR="00822AD8" w:rsidRPr="00295637">
        <w:rPr>
          <w:lang w:val="bs-Latn-BA"/>
        </w:rPr>
        <w:t xml:space="preserve"> </w:t>
      </w:r>
      <w:r>
        <w:rPr>
          <w:lang w:val="bs-Latn-BA"/>
        </w:rPr>
        <w:t>територији</w:t>
      </w:r>
      <w:r w:rsidR="00822AD8" w:rsidRPr="00295637">
        <w:rPr>
          <w:lang w:val="bs-Latn-BA"/>
        </w:rPr>
        <w:t xml:space="preserve"> </w:t>
      </w:r>
      <w:r>
        <w:rPr>
          <w:lang w:val="bs-Latn-BA"/>
        </w:rPr>
        <w:t>ФБиХ</w:t>
      </w:r>
      <w:r w:rsidR="00822AD8" w:rsidRPr="00295637">
        <w:rPr>
          <w:lang w:val="bs-Latn-BA"/>
        </w:rPr>
        <w:t xml:space="preserve">, </w:t>
      </w:r>
      <w:r>
        <w:rPr>
          <w:lang w:val="bs-Latn-BA"/>
        </w:rPr>
        <w:t>уз</w:t>
      </w:r>
      <w:r w:rsidR="00822AD8" w:rsidRPr="00295637">
        <w:rPr>
          <w:lang w:val="bs-Latn-BA"/>
        </w:rPr>
        <w:t xml:space="preserve"> </w:t>
      </w:r>
      <w:r>
        <w:rPr>
          <w:lang w:val="bs-Latn-BA"/>
        </w:rPr>
        <w:t>финансирање</w:t>
      </w:r>
      <w:r w:rsidR="00822AD8" w:rsidRPr="00295637">
        <w:rPr>
          <w:lang w:val="bs-Latn-BA"/>
        </w:rPr>
        <w:t xml:space="preserve"> </w:t>
      </w:r>
      <w:r>
        <w:rPr>
          <w:lang w:val="bs-Latn-BA"/>
        </w:rPr>
        <w:t>овог</w:t>
      </w:r>
      <w:r w:rsidR="00822AD8" w:rsidRPr="00295637">
        <w:rPr>
          <w:lang w:val="bs-Latn-BA"/>
        </w:rPr>
        <w:t xml:space="preserve"> </w:t>
      </w:r>
      <w:r>
        <w:rPr>
          <w:lang w:val="bs-Latn-BA"/>
        </w:rPr>
        <w:t>права</w:t>
      </w:r>
      <w:r w:rsidR="00822AD8" w:rsidRPr="00295637">
        <w:rPr>
          <w:lang w:val="bs-Latn-BA"/>
        </w:rPr>
        <w:t xml:space="preserve"> </w:t>
      </w:r>
      <w:r>
        <w:rPr>
          <w:lang w:val="bs-Latn-BA"/>
        </w:rPr>
        <w:t>из</w:t>
      </w:r>
      <w:r w:rsidR="00822AD8" w:rsidRPr="00295637">
        <w:rPr>
          <w:lang w:val="bs-Latn-BA"/>
        </w:rPr>
        <w:t xml:space="preserve"> </w:t>
      </w:r>
      <w:r>
        <w:rPr>
          <w:lang w:val="bs-Latn-BA"/>
        </w:rPr>
        <w:t>буџета</w:t>
      </w:r>
      <w:r w:rsidR="00822AD8" w:rsidRPr="00295637">
        <w:rPr>
          <w:lang w:val="bs-Latn-BA"/>
        </w:rPr>
        <w:t xml:space="preserve"> </w:t>
      </w:r>
      <w:r>
        <w:rPr>
          <w:lang w:val="bs-Latn-BA"/>
        </w:rPr>
        <w:t>ФБиХ</w:t>
      </w:r>
      <w:r w:rsidR="00822AD8" w:rsidRPr="00295637">
        <w:rPr>
          <w:lang w:val="bs-Latn-BA"/>
        </w:rPr>
        <w:t xml:space="preserve">. </w:t>
      </w:r>
      <w:r>
        <w:rPr>
          <w:lang w:val="bs-Latn-BA"/>
        </w:rPr>
        <w:t>У</w:t>
      </w:r>
      <w:r w:rsidR="00822AD8" w:rsidRPr="00295637">
        <w:rPr>
          <w:lang w:val="bs-Latn-BA"/>
        </w:rPr>
        <w:t xml:space="preserve"> </w:t>
      </w:r>
      <w:r>
        <w:rPr>
          <w:lang w:val="bs-Latn-BA"/>
        </w:rPr>
        <w:t>оквиру</w:t>
      </w:r>
      <w:r w:rsidR="00822AD8" w:rsidRPr="00295637">
        <w:rPr>
          <w:lang w:val="bs-Latn-BA"/>
        </w:rPr>
        <w:t xml:space="preserve"> </w:t>
      </w:r>
      <w:r>
        <w:rPr>
          <w:lang w:val="bs-Latn-BA"/>
        </w:rPr>
        <w:t>програма</w:t>
      </w:r>
      <w:r w:rsidR="00822AD8" w:rsidRPr="00295637">
        <w:rPr>
          <w:lang w:val="bs-Latn-BA"/>
        </w:rPr>
        <w:t xml:space="preserve"> „</w:t>
      </w:r>
      <w:r>
        <w:rPr>
          <w:lang w:val="bs-Latn-BA"/>
        </w:rPr>
        <w:t>Дјечија</w:t>
      </w:r>
      <w:r w:rsidR="00822AD8" w:rsidRPr="00295637">
        <w:rPr>
          <w:lang w:val="bs-Latn-BA"/>
        </w:rPr>
        <w:t xml:space="preserve"> </w:t>
      </w:r>
      <w:r w:rsidR="00E654F2">
        <w:rPr>
          <w:lang w:val="sr-Cyrl-BA"/>
        </w:rPr>
        <w:t>недјеља</w:t>
      </w:r>
      <w:r w:rsidR="00822AD8" w:rsidRPr="00295637">
        <w:rPr>
          <w:lang w:val="bs-Latn-BA"/>
        </w:rPr>
        <w:t xml:space="preserve">“, </w:t>
      </w:r>
      <w:r>
        <w:rPr>
          <w:lang w:val="bs-Latn-BA"/>
        </w:rPr>
        <w:t>израђен</w:t>
      </w:r>
      <w:r w:rsidR="00822AD8" w:rsidRPr="00295637">
        <w:rPr>
          <w:lang w:val="bs-Latn-BA"/>
        </w:rPr>
        <w:t xml:space="preserve"> </w:t>
      </w:r>
      <w:r>
        <w:rPr>
          <w:lang w:val="bs-Latn-BA"/>
        </w:rPr>
        <w:t>је</w:t>
      </w:r>
      <w:r w:rsidR="00822AD8" w:rsidRPr="00295637">
        <w:rPr>
          <w:lang w:val="bs-Latn-BA"/>
        </w:rPr>
        <w:t xml:space="preserve"> </w:t>
      </w:r>
      <w:r>
        <w:rPr>
          <w:lang w:val="bs-Latn-BA"/>
        </w:rPr>
        <w:t>и</w:t>
      </w:r>
      <w:r w:rsidR="00822AD8" w:rsidRPr="00295637">
        <w:rPr>
          <w:lang w:val="bs-Latn-BA"/>
        </w:rPr>
        <w:t xml:space="preserve"> </w:t>
      </w:r>
      <w:r>
        <w:rPr>
          <w:lang w:val="bs-Latn-BA"/>
        </w:rPr>
        <w:t>усвојен</w:t>
      </w:r>
      <w:r w:rsidR="00822AD8" w:rsidRPr="00295637">
        <w:rPr>
          <w:lang w:val="bs-Latn-BA"/>
        </w:rPr>
        <w:t xml:space="preserve"> </w:t>
      </w:r>
      <w:r>
        <w:rPr>
          <w:rStyle w:val="Strong"/>
          <w:b w:val="0"/>
          <w:lang w:val="bs-Latn-BA"/>
        </w:rPr>
        <w:t>Програм</w:t>
      </w:r>
      <w:r w:rsidR="00822AD8" w:rsidRPr="00295637">
        <w:rPr>
          <w:rStyle w:val="Strong"/>
          <w:b w:val="0"/>
          <w:lang w:val="bs-Latn-BA"/>
        </w:rPr>
        <w:t xml:space="preserve"> </w:t>
      </w:r>
      <w:r>
        <w:rPr>
          <w:rStyle w:val="Strong"/>
          <w:b w:val="0"/>
          <w:lang w:val="bs-Latn-BA"/>
        </w:rPr>
        <w:t>обиљежавања</w:t>
      </w:r>
      <w:r w:rsidR="00822AD8" w:rsidRPr="00FC31C2">
        <w:rPr>
          <w:lang w:val="bs-Latn-BA"/>
        </w:rPr>
        <w:t>,</w:t>
      </w:r>
      <w:r w:rsidR="00822AD8" w:rsidRPr="00295637">
        <w:rPr>
          <w:lang w:val="bs-Latn-BA"/>
        </w:rPr>
        <w:t xml:space="preserve"> </w:t>
      </w:r>
      <w:r>
        <w:rPr>
          <w:lang w:val="bs-Latn-BA"/>
        </w:rPr>
        <w:t>а</w:t>
      </w:r>
      <w:r w:rsidR="00822AD8" w:rsidRPr="00295637">
        <w:rPr>
          <w:lang w:val="bs-Latn-BA"/>
        </w:rPr>
        <w:t xml:space="preserve"> </w:t>
      </w:r>
      <w:r>
        <w:rPr>
          <w:lang w:val="bs-Latn-BA"/>
        </w:rPr>
        <w:t>средства</w:t>
      </w:r>
      <w:r w:rsidR="00822AD8" w:rsidRPr="00295637">
        <w:rPr>
          <w:lang w:val="bs-Latn-BA"/>
        </w:rPr>
        <w:t xml:space="preserve"> </w:t>
      </w:r>
      <w:r>
        <w:rPr>
          <w:lang w:val="bs-Latn-BA"/>
        </w:rPr>
        <w:t>су</w:t>
      </w:r>
      <w:r w:rsidR="00822AD8" w:rsidRPr="00295637">
        <w:rPr>
          <w:lang w:val="bs-Latn-BA"/>
        </w:rPr>
        <w:t xml:space="preserve"> </w:t>
      </w:r>
      <w:r>
        <w:rPr>
          <w:lang w:val="bs-Latn-BA"/>
        </w:rPr>
        <w:t>додијељена</w:t>
      </w:r>
      <w:r w:rsidR="00822AD8" w:rsidRPr="00295637">
        <w:rPr>
          <w:lang w:val="bs-Latn-BA"/>
        </w:rPr>
        <w:t xml:space="preserve"> </w:t>
      </w:r>
      <w:r>
        <w:rPr>
          <w:lang w:val="bs-Latn-BA"/>
        </w:rPr>
        <w:t>кроз</w:t>
      </w:r>
      <w:r w:rsidR="00822AD8" w:rsidRPr="00295637">
        <w:rPr>
          <w:lang w:val="bs-Latn-BA"/>
        </w:rPr>
        <w:t xml:space="preserve"> </w:t>
      </w:r>
      <w:r>
        <w:rPr>
          <w:rStyle w:val="Strong"/>
          <w:b w:val="0"/>
          <w:lang w:val="bs-Latn-BA"/>
        </w:rPr>
        <w:t>Одлуку</w:t>
      </w:r>
      <w:r w:rsidR="00822AD8" w:rsidRPr="00295637">
        <w:rPr>
          <w:rStyle w:val="Strong"/>
          <w:b w:val="0"/>
          <w:lang w:val="bs-Latn-BA"/>
        </w:rPr>
        <w:t xml:space="preserve"> </w:t>
      </w:r>
      <w:r>
        <w:rPr>
          <w:rStyle w:val="Strong"/>
          <w:b w:val="0"/>
          <w:lang w:val="bs-Latn-BA"/>
        </w:rPr>
        <w:t>о</w:t>
      </w:r>
      <w:r w:rsidR="00822AD8" w:rsidRPr="00295637">
        <w:rPr>
          <w:rStyle w:val="Strong"/>
          <w:b w:val="0"/>
          <w:lang w:val="bs-Latn-BA"/>
        </w:rPr>
        <w:t xml:space="preserve"> </w:t>
      </w:r>
      <w:r>
        <w:rPr>
          <w:rStyle w:val="Strong"/>
          <w:b w:val="0"/>
          <w:lang w:val="bs-Latn-BA"/>
        </w:rPr>
        <w:t>критериј</w:t>
      </w:r>
      <w:r w:rsidR="00E654F2">
        <w:rPr>
          <w:rStyle w:val="Strong"/>
          <w:b w:val="0"/>
          <w:lang w:val="sr-Cyrl-BA"/>
        </w:rPr>
        <w:t>умима</w:t>
      </w:r>
      <w:r w:rsidR="00822AD8" w:rsidRPr="00295637">
        <w:rPr>
          <w:rStyle w:val="Strong"/>
          <w:b w:val="0"/>
          <w:lang w:val="bs-Latn-BA"/>
        </w:rPr>
        <w:t xml:space="preserve"> </w:t>
      </w:r>
      <w:r>
        <w:rPr>
          <w:rStyle w:val="Strong"/>
          <w:b w:val="0"/>
          <w:lang w:val="bs-Latn-BA"/>
        </w:rPr>
        <w:t>расподјеле</w:t>
      </w:r>
      <w:r w:rsidR="00822AD8" w:rsidRPr="00295637">
        <w:rPr>
          <w:rStyle w:val="Strong"/>
          <w:b w:val="0"/>
          <w:lang w:val="bs-Latn-BA"/>
        </w:rPr>
        <w:t xml:space="preserve"> </w:t>
      </w:r>
      <w:r>
        <w:rPr>
          <w:rStyle w:val="Strong"/>
          <w:b w:val="0"/>
          <w:lang w:val="bs-Latn-BA"/>
        </w:rPr>
        <w:t>средстава</w:t>
      </w:r>
      <w:r w:rsidR="00822AD8" w:rsidRPr="00295637">
        <w:rPr>
          <w:lang w:val="bs-Latn-BA"/>
        </w:rPr>
        <w:t xml:space="preserve">. </w:t>
      </w:r>
      <w:r>
        <w:rPr>
          <w:lang w:val="bs-Latn-BA"/>
        </w:rPr>
        <w:t>Израђен</w:t>
      </w:r>
      <w:r w:rsidR="00822AD8" w:rsidRPr="00295637">
        <w:rPr>
          <w:lang w:val="bs-Latn-BA"/>
        </w:rPr>
        <w:t xml:space="preserve"> </w:t>
      </w:r>
      <w:r>
        <w:rPr>
          <w:lang w:val="bs-Latn-BA"/>
        </w:rPr>
        <w:t>је</w:t>
      </w:r>
      <w:r w:rsidR="00822AD8" w:rsidRPr="00295637">
        <w:rPr>
          <w:lang w:val="bs-Latn-BA"/>
        </w:rPr>
        <w:t xml:space="preserve"> </w:t>
      </w:r>
      <w:r>
        <w:rPr>
          <w:lang w:val="bs-Latn-BA"/>
        </w:rPr>
        <w:t>и</w:t>
      </w:r>
      <w:r w:rsidR="00822AD8" w:rsidRPr="00295637">
        <w:rPr>
          <w:lang w:val="bs-Latn-BA"/>
        </w:rPr>
        <w:t xml:space="preserve"> </w:t>
      </w:r>
      <w:r>
        <w:rPr>
          <w:lang w:val="bs-Latn-BA"/>
        </w:rPr>
        <w:t>усвојен</w:t>
      </w:r>
      <w:r w:rsidR="00822AD8" w:rsidRPr="00295637">
        <w:rPr>
          <w:lang w:val="bs-Latn-BA"/>
        </w:rPr>
        <w:t xml:space="preserve"> </w:t>
      </w:r>
      <w:r>
        <w:rPr>
          <w:rStyle w:val="Strong"/>
          <w:b w:val="0"/>
          <w:lang w:val="bs-Latn-BA"/>
        </w:rPr>
        <w:t>Закон</w:t>
      </w:r>
      <w:r w:rsidR="00822AD8" w:rsidRPr="00295637">
        <w:rPr>
          <w:rStyle w:val="Strong"/>
          <w:b w:val="0"/>
          <w:lang w:val="bs-Latn-BA"/>
        </w:rPr>
        <w:t xml:space="preserve"> </w:t>
      </w:r>
      <w:r>
        <w:rPr>
          <w:rStyle w:val="Strong"/>
          <w:b w:val="0"/>
          <w:lang w:val="bs-Latn-BA"/>
        </w:rPr>
        <w:t>о</w:t>
      </w:r>
      <w:r w:rsidR="00822AD8" w:rsidRPr="00295637">
        <w:rPr>
          <w:rStyle w:val="Strong"/>
          <w:b w:val="0"/>
          <w:lang w:val="bs-Latn-BA"/>
        </w:rPr>
        <w:t xml:space="preserve"> </w:t>
      </w:r>
      <w:r>
        <w:rPr>
          <w:rStyle w:val="Strong"/>
          <w:b w:val="0"/>
          <w:lang w:val="bs-Latn-BA"/>
        </w:rPr>
        <w:t>измјенама</w:t>
      </w:r>
      <w:r w:rsidR="00822AD8" w:rsidRPr="00295637">
        <w:rPr>
          <w:rStyle w:val="Strong"/>
          <w:b w:val="0"/>
          <w:lang w:val="bs-Latn-BA"/>
        </w:rPr>
        <w:t xml:space="preserve"> </w:t>
      </w:r>
      <w:r>
        <w:rPr>
          <w:rStyle w:val="Strong"/>
          <w:b w:val="0"/>
          <w:lang w:val="bs-Latn-BA"/>
        </w:rPr>
        <w:t>и</w:t>
      </w:r>
      <w:r w:rsidR="00822AD8" w:rsidRPr="00295637">
        <w:rPr>
          <w:rStyle w:val="Strong"/>
          <w:b w:val="0"/>
          <w:lang w:val="bs-Latn-BA"/>
        </w:rPr>
        <w:t xml:space="preserve"> </w:t>
      </w:r>
      <w:r>
        <w:rPr>
          <w:rStyle w:val="Strong"/>
          <w:b w:val="0"/>
          <w:lang w:val="bs-Latn-BA"/>
        </w:rPr>
        <w:t>допунама</w:t>
      </w:r>
      <w:r w:rsidR="00822AD8" w:rsidRPr="00295637">
        <w:rPr>
          <w:rStyle w:val="Strong"/>
          <w:b w:val="0"/>
          <w:lang w:val="bs-Latn-BA"/>
        </w:rPr>
        <w:t xml:space="preserve"> </w:t>
      </w:r>
      <w:r>
        <w:rPr>
          <w:rStyle w:val="Strong"/>
          <w:b w:val="0"/>
          <w:lang w:val="bs-Latn-BA"/>
        </w:rPr>
        <w:t>Закона</w:t>
      </w:r>
      <w:r w:rsidR="00822AD8" w:rsidRPr="00295637">
        <w:rPr>
          <w:rStyle w:val="Strong"/>
          <w:b w:val="0"/>
          <w:lang w:val="bs-Latn-BA"/>
        </w:rPr>
        <w:t xml:space="preserve"> </w:t>
      </w:r>
      <w:r>
        <w:rPr>
          <w:rStyle w:val="Strong"/>
          <w:b w:val="0"/>
          <w:lang w:val="bs-Latn-BA"/>
        </w:rPr>
        <w:t>о</w:t>
      </w:r>
      <w:r w:rsidR="00822AD8" w:rsidRPr="00295637">
        <w:rPr>
          <w:rStyle w:val="Strong"/>
          <w:b w:val="0"/>
          <w:lang w:val="bs-Latn-BA"/>
        </w:rPr>
        <w:t xml:space="preserve"> </w:t>
      </w:r>
      <w:r>
        <w:rPr>
          <w:rStyle w:val="Strong"/>
          <w:b w:val="0"/>
          <w:lang w:val="bs-Latn-BA"/>
        </w:rPr>
        <w:t>материјалној</w:t>
      </w:r>
      <w:r w:rsidR="00822AD8" w:rsidRPr="00295637">
        <w:rPr>
          <w:rStyle w:val="Strong"/>
          <w:b w:val="0"/>
          <w:lang w:val="bs-Latn-BA"/>
        </w:rPr>
        <w:t xml:space="preserve"> </w:t>
      </w:r>
      <w:r>
        <w:rPr>
          <w:rStyle w:val="Strong"/>
          <w:b w:val="0"/>
          <w:lang w:val="bs-Latn-BA"/>
        </w:rPr>
        <w:t>подршци</w:t>
      </w:r>
      <w:r w:rsidR="00822AD8" w:rsidRPr="00295637">
        <w:rPr>
          <w:rStyle w:val="Strong"/>
          <w:b w:val="0"/>
          <w:lang w:val="bs-Latn-BA"/>
        </w:rPr>
        <w:t xml:space="preserve"> </w:t>
      </w:r>
      <w:r>
        <w:rPr>
          <w:rStyle w:val="Strong"/>
          <w:b w:val="0"/>
          <w:lang w:val="bs-Latn-BA"/>
        </w:rPr>
        <w:t>породицама</w:t>
      </w:r>
      <w:r w:rsidR="00822AD8" w:rsidRPr="00295637">
        <w:rPr>
          <w:rStyle w:val="Strong"/>
          <w:b w:val="0"/>
          <w:lang w:val="bs-Latn-BA"/>
        </w:rPr>
        <w:t xml:space="preserve"> </w:t>
      </w:r>
      <w:r>
        <w:rPr>
          <w:rStyle w:val="Strong"/>
          <w:b w:val="0"/>
          <w:lang w:val="bs-Latn-BA"/>
        </w:rPr>
        <w:t>са</w:t>
      </w:r>
      <w:r w:rsidR="00822AD8" w:rsidRPr="00295637">
        <w:rPr>
          <w:rStyle w:val="Strong"/>
          <w:b w:val="0"/>
          <w:lang w:val="bs-Latn-BA"/>
        </w:rPr>
        <w:t xml:space="preserve"> </w:t>
      </w:r>
      <w:r>
        <w:rPr>
          <w:rStyle w:val="Strong"/>
          <w:b w:val="0"/>
          <w:lang w:val="bs-Latn-BA"/>
        </w:rPr>
        <w:t>дјецом</w:t>
      </w:r>
      <w:r w:rsidR="00822AD8" w:rsidRPr="00295637">
        <w:rPr>
          <w:rStyle w:val="Strong"/>
          <w:b w:val="0"/>
          <w:lang w:val="bs-Latn-BA"/>
        </w:rPr>
        <w:t xml:space="preserve"> </w:t>
      </w:r>
      <w:r>
        <w:rPr>
          <w:rStyle w:val="Strong"/>
          <w:b w:val="0"/>
          <w:lang w:val="bs-Latn-BA"/>
        </w:rPr>
        <w:t>у</w:t>
      </w:r>
      <w:r w:rsidR="00822AD8" w:rsidRPr="00295637">
        <w:rPr>
          <w:rStyle w:val="Strong"/>
          <w:b w:val="0"/>
          <w:lang w:val="bs-Latn-BA"/>
        </w:rPr>
        <w:t xml:space="preserve"> </w:t>
      </w:r>
      <w:r>
        <w:rPr>
          <w:rStyle w:val="Strong"/>
          <w:b w:val="0"/>
          <w:lang w:val="bs-Latn-BA"/>
        </w:rPr>
        <w:t>ФБиХ</w:t>
      </w:r>
      <w:r w:rsidR="00822AD8" w:rsidRPr="00295637">
        <w:rPr>
          <w:lang w:val="bs-Latn-BA"/>
        </w:rPr>
        <w:t xml:space="preserve">, </w:t>
      </w:r>
      <w:r>
        <w:rPr>
          <w:lang w:val="bs-Latn-BA"/>
        </w:rPr>
        <w:t>чиме</w:t>
      </w:r>
      <w:r w:rsidR="00822AD8" w:rsidRPr="00295637">
        <w:rPr>
          <w:lang w:val="bs-Latn-BA"/>
        </w:rPr>
        <w:t xml:space="preserve"> </w:t>
      </w:r>
      <w:r>
        <w:rPr>
          <w:lang w:val="bs-Latn-BA"/>
        </w:rPr>
        <w:t>је</w:t>
      </w:r>
      <w:r w:rsidR="00822AD8" w:rsidRPr="00295637">
        <w:rPr>
          <w:lang w:val="bs-Latn-BA"/>
        </w:rPr>
        <w:t xml:space="preserve"> </w:t>
      </w:r>
      <w:r>
        <w:rPr>
          <w:lang w:val="bs-Latn-BA"/>
        </w:rPr>
        <w:t>унапријеђено</w:t>
      </w:r>
      <w:r w:rsidR="00822AD8" w:rsidRPr="00295637">
        <w:rPr>
          <w:lang w:val="bs-Latn-BA"/>
        </w:rPr>
        <w:t xml:space="preserve"> </w:t>
      </w:r>
      <w:r>
        <w:rPr>
          <w:lang w:val="bs-Latn-BA"/>
        </w:rPr>
        <w:t>остваривање</w:t>
      </w:r>
      <w:r w:rsidR="00822AD8" w:rsidRPr="00295637">
        <w:rPr>
          <w:lang w:val="bs-Latn-BA"/>
        </w:rPr>
        <w:t xml:space="preserve"> </w:t>
      </w:r>
      <w:r>
        <w:rPr>
          <w:lang w:val="bs-Latn-BA"/>
        </w:rPr>
        <w:t>материјалне</w:t>
      </w:r>
      <w:r w:rsidR="00822AD8" w:rsidRPr="00295637">
        <w:rPr>
          <w:lang w:val="bs-Latn-BA"/>
        </w:rPr>
        <w:t xml:space="preserve"> </w:t>
      </w:r>
      <w:r>
        <w:rPr>
          <w:lang w:val="bs-Latn-BA"/>
        </w:rPr>
        <w:t>подршке</w:t>
      </w:r>
      <w:r w:rsidR="00822AD8" w:rsidRPr="00295637">
        <w:rPr>
          <w:lang w:val="bs-Latn-BA"/>
        </w:rPr>
        <w:t xml:space="preserve">, </w:t>
      </w:r>
      <w:r>
        <w:rPr>
          <w:lang w:val="bs-Latn-BA"/>
        </w:rPr>
        <w:t>донесени</w:t>
      </w:r>
      <w:r w:rsidR="00822AD8" w:rsidRPr="00295637">
        <w:rPr>
          <w:lang w:val="bs-Latn-BA"/>
        </w:rPr>
        <w:t xml:space="preserve"> </w:t>
      </w:r>
      <w:r>
        <w:rPr>
          <w:lang w:val="bs-Latn-BA"/>
        </w:rPr>
        <w:t>су</w:t>
      </w:r>
      <w:r w:rsidR="00822AD8" w:rsidRPr="00295637">
        <w:rPr>
          <w:lang w:val="bs-Latn-BA"/>
        </w:rPr>
        <w:t xml:space="preserve"> </w:t>
      </w:r>
      <w:r>
        <w:rPr>
          <w:rStyle w:val="Strong"/>
          <w:b w:val="0"/>
          <w:lang w:val="bs-Latn-BA"/>
        </w:rPr>
        <w:t>Правилник</w:t>
      </w:r>
      <w:r w:rsidR="00822AD8" w:rsidRPr="00295637">
        <w:rPr>
          <w:rStyle w:val="Strong"/>
          <w:b w:val="0"/>
          <w:lang w:val="bs-Latn-BA"/>
        </w:rPr>
        <w:t xml:space="preserve"> </w:t>
      </w:r>
      <w:r>
        <w:rPr>
          <w:rStyle w:val="Strong"/>
          <w:b w:val="0"/>
          <w:lang w:val="bs-Latn-BA"/>
        </w:rPr>
        <w:t>о</w:t>
      </w:r>
      <w:r w:rsidR="00822AD8" w:rsidRPr="00295637">
        <w:rPr>
          <w:rStyle w:val="Strong"/>
          <w:b w:val="0"/>
          <w:lang w:val="bs-Latn-BA"/>
        </w:rPr>
        <w:t xml:space="preserve"> </w:t>
      </w:r>
      <w:r>
        <w:rPr>
          <w:rStyle w:val="Strong"/>
          <w:b w:val="0"/>
          <w:lang w:val="bs-Latn-BA"/>
        </w:rPr>
        <w:t>потребној</w:t>
      </w:r>
      <w:r w:rsidR="00822AD8" w:rsidRPr="00295637">
        <w:rPr>
          <w:rStyle w:val="Strong"/>
          <w:b w:val="0"/>
          <w:lang w:val="bs-Latn-BA"/>
        </w:rPr>
        <w:t xml:space="preserve"> </w:t>
      </w:r>
      <w:r>
        <w:rPr>
          <w:rStyle w:val="Strong"/>
          <w:b w:val="0"/>
          <w:lang w:val="bs-Latn-BA"/>
        </w:rPr>
        <w:t>документацији</w:t>
      </w:r>
      <w:r w:rsidR="00822AD8" w:rsidRPr="00295637">
        <w:rPr>
          <w:b/>
          <w:lang w:val="bs-Latn-BA"/>
        </w:rPr>
        <w:t xml:space="preserve"> </w:t>
      </w:r>
      <w:r>
        <w:rPr>
          <w:lang w:val="bs-Latn-BA"/>
        </w:rPr>
        <w:t>и</w:t>
      </w:r>
      <w:r w:rsidR="00822AD8" w:rsidRPr="00295637">
        <w:rPr>
          <w:b/>
          <w:lang w:val="bs-Latn-BA"/>
        </w:rPr>
        <w:t xml:space="preserve"> </w:t>
      </w:r>
      <w:r>
        <w:rPr>
          <w:rStyle w:val="Strong"/>
          <w:b w:val="0"/>
          <w:lang w:val="bs-Latn-BA"/>
        </w:rPr>
        <w:t>Упутство</w:t>
      </w:r>
      <w:r w:rsidR="00822AD8" w:rsidRPr="00295637">
        <w:rPr>
          <w:rStyle w:val="Strong"/>
          <w:b w:val="0"/>
          <w:lang w:val="bs-Latn-BA"/>
        </w:rPr>
        <w:t xml:space="preserve"> </w:t>
      </w:r>
      <w:r>
        <w:rPr>
          <w:rStyle w:val="Strong"/>
          <w:b w:val="0"/>
          <w:lang w:val="bs-Latn-BA"/>
        </w:rPr>
        <w:t>за</w:t>
      </w:r>
      <w:r w:rsidR="00822AD8" w:rsidRPr="00295637">
        <w:rPr>
          <w:rStyle w:val="Strong"/>
          <w:b w:val="0"/>
          <w:lang w:val="bs-Latn-BA"/>
        </w:rPr>
        <w:t xml:space="preserve"> </w:t>
      </w:r>
      <w:r>
        <w:rPr>
          <w:rStyle w:val="Strong"/>
          <w:b w:val="0"/>
          <w:lang w:val="bs-Latn-BA"/>
        </w:rPr>
        <w:t>поступање</w:t>
      </w:r>
      <w:r w:rsidR="00822AD8" w:rsidRPr="00295637">
        <w:rPr>
          <w:rStyle w:val="Strong"/>
          <w:b w:val="0"/>
          <w:lang w:val="bs-Latn-BA"/>
        </w:rPr>
        <w:t xml:space="preserve"> </w:t>
      </w:r>
      <w:r>
        <w:rPr>
          <w:rStyle w:val="Strong"/>
          <w:b w:val="0"/>
          <w:lang w:val="bs-Latn-BA"/>
        </w:rPr>
        <w:t>центара</w:t>
      </w:r>
      <w:r w:rsidR="00822AD8" w:rsidRPr="00295637">
        <w:rPr>
          <w:rStyle w:val="Strong"/>
          <w:b w:val="0"/>
          <w:lang w:val="bs-Latn-BA"/>
        </w:rPr>
        <w:t xml:space="preserve"> </w:t>
      </w:r>
      <w:r>
        <w:rPr>
          <w:rStyle w:val="Strong"/>
          <w:b w:val="0"/>
          <w:lang w:val="bs-Latn-BA"/>
        </w:rPr>
        <w:t>за</w:t>
      </w:r>
      <w:r w:rsidR="00822AD8" w:rsidRPr="00295637">
        <w:rPr>
          <w:rStyle w:val="Strong"/>
          <w:b w:val="0"/>
          <w:lang w:val="bs-Latn-BA"/>
        </w:rPr>
        <w:t xml:space="preserve"> </w:t>
      </w:r>
      <w:r>
        <w:rPr>
          <w:rStyle w:val="Strong"/>
          <w:b w:val="0"/>
          <w:lang w:val="bs-Latn-BA"/>
        </w:rPr>
        <w:t>социјални</w:t>
      </w:r>
      <w:r w:rsidR="00822AD8" w:rsidRPr="00295637">
        <w:rPr>
          <w:rStyle w:val="Strong"/>
          <w:b w:val="0"/>
          <w:lang w:val="bs-Latn-BA"/>
        </w:rPr>
        <w:t xml:space="preserve"> </w:t>
      </w:r>
      <w:r>
        <w:rPr>
          <w:rStyle w:val="Strong"/>
          <w:b w:val="0"/>
          <w:lang w:val="bs-Latn-BA"/>
        </w:rPr>
        <w:t>рад</w:t>
      </w:r>
      <w:r w:rsidR="00822AD8" w:rsidRPr="00295637">
        <w:rPr>
          <w:lang w:val="bs-Latn-BA"/>
        </w:rPr>
        <w:t>.</w:t>
      </w:r>
      <w:r w:rsidR="00524E10" w:rsidRPr="00295637">
        <w:rPr>
          <w:b/>
          <w:lang w:val="bs-Latn-BA"/>
        </w:rPr>
        <w:t xml:space="preserve"> </w:t>
      </w:r>
      <w:r w:rsidR="00E654F2">
        <w:rPr>
          <w:lang w:val="sr-Cyrl-BA"/>
        </w:rPr>
        <w:t>С</w:t>
      </w:r>
      <w:r w:rsidR="00822AD8" w:rsidRPr="00295637">
        <w:rPr>
          <w:lang w:val="bs-Latn-BA"/>
        </w:rPr>
        <w:t xml:space="preserve"> </w:t>
      </w:r>
      <w:r>
        <w:rPr>
          <w:lang w:val="bs-Latn-BA"/>
        </w:rPr>
        <w:t>циљ</w:t>
      </w:r>
      <w:r w:rsidR="00E654F2">
        <w:rPr>
          <w:lang w:val="sr-Cyrl-BA"/>
        </w:rPr>
        <w:t>ем</w:t>
      </w:r>
      <w:r w:rsidR="00822AD8" w:rsidRPr="00295637">
        <w:rPr>
          <w:lang w:val="bs-Latn-BA"/>
        </w:rPr>
        <w:t xml:space="preserve"> </w:t>
      </w:r>
      <w:r>
        <w:rPr>
          <w:lang w:val="bs-Latn-BA"/>
        </w:rPr>
        <w:t>подршке</w:t>
      </w:r>
      <w:r w:rsidR="00822AD8" w:rsidRPr="00295637">
        <w:rPr>
          <w:lang w:val="bs-Latn-BA"/>
        </w:rPr>
        <w:t xml:space="preserve"> </w:t>
      </w:r>
      <w:r>
        <w:rPr>
          <w:lang w:val="bs-Latn-BA"/>
        </w:rPr>
        <w:t>породицама</w:t>
      </w:r>
      <w:r w:rsidR="00822AD8" w:rsidRPr="00295637">
        <w:rPr>
          <w:lang w:val="bs-Latn-BA"/>
        </w:rPr>
        <w:t xml:space="preserve"> </w:t>
      </w:r>
      <w:r>
        <w:rPr>
          <w:lang w:val="bs-Latn-BA"/>
        </w:rPr>
        <w:t>са</w:t>
      </w:r>
      <w:r w:rsidR="00822AD8" w:rsidRPr="00295637">
        <w:rPr>
          <w:lang w:val="bs-Latn-BA"/>
        </w:rPr>
        <w:t xml:space="preserve"> </w:t>
      </w:r>
      <w:r>
        <w:rPr>
          <w:lang w:val="bs-Latn-BA"/>
        </w:rPr>
        <w:t>дјецом</w:t>
      </w:r>
      <w:r w:rsidR="00822AD8" w:rsidRPr="00295637">
        <w:rPr>
          <w:lang w:val="bs-Latn-BA"/>
        </w:rPr>
        <w:t xml:space="preserve"> </w:t>
      </w:r>
      <w:r>
        <w:rPr>
          <w:lang w:val="bs-Latn-BA"/>
        </w:rPr>
        <w:t>са</w:t>
      </w:r>
      <w:r w:rsidR="00822AD8" w:rsidRPr="00295637">
        <w:rPr>
          <w:lang w:val="bs-Latn-BA"/>
        </w:rPr>
        <w:t xml:space="preserve"> </w:t>
      </w:r>
      <w:r>
        <w:rPr>
          <w:lang w:val="bs-Latn-BA"/>
        </w:rPr>
        <w:t>потешкоћама</w:t>
      </w:r>
      <w:r w:rsidR="00822AD8" w:rsidRPr="00295637">
        <w:rPr>
          <w:lang w:val="bs-Latn-BA"/>
        </w:rPr>
        <w:t xml:space="preserve">, </w:t>
      </w:r>
      <w:r>
        <w:rPr>
          <w:lang w:val="bs-Latn-BA"/>
        </w:rPr>
        <w:t>Министарство</w:t>
      </w:r>
      <w:r w:rsidR="00822AD8" w:rsidRPr="00295637">
        <w:rPr>
          <w:lang w:val="bs-Latn-BA"/>
        </w:rPr>
        <w:t xml:space="preserve"> </w:t>
      </w:r>
      <w:r>
        <w:rPr>
          <w:lang w:val="bs-Latn-BA"/>
        </w:rPr>
        <w:t>је</w:t>
      </w:r>
      <w:r w:rsidR="00822AD8" w:rsidRPr="00295637">
        <w:rPr>
          <w:lang w:val="bs-Latn-BA"/>
        </w:rPr>
        <w:t xml:space="preserve"> </w:t>
      </w:r>
      <w:r>
        <w:rPr>
          <w:lang w:val="bs-Latn-BA"/>
        </w:rPr>
        <w:t>наставило</w:t>
      </w:r>
      <w:r w:rsidR="00822AD8" w:rsidRPr="00295637">
        <w:rPr>
          <w:lang w:val="bs-Latn-BA"/>
        </w:rPr>
        <w:t xml:space="preserve"> </w:t>
      </w:r>
      <w:r w:rsidR="00E654F2">
        <w:rPr>
          <w:lang w:val="sr-Cyrl-BA"/>
        </w:rPr>
        <w:t>спровођење</w:t>
      </w:r>
      <w:r w:rsidR="00822AD8" w:rsidRPr="00295637">
        <w:rPr>
          <w:lang w:val="bs-Latn-BA"/>
        </w:rPr>
        <w:t xml:space="preserve"> </w:t>
      </w:r>
      <w:r>
        <w:rPr>
          <w:lang w:val="bs-Latn-BA"/>
        </w:rPr>
        <w:t>Закона</w:t>
      </w:r>
      <w:r w:rsidR="00822AD8" w:rsidRPr="00295637">
        <w:rPr>
          <w:lang w:val="bs-Latn-BA"/>
        </w:rPr>
        <w:t xml:space="preserve"> </w:t>
      </w:r>
      <w:r>
        <w:rPr>
          <w:lang w:val="bs-Latn-BA"/>
        </w:rPr>
        <w:t>о</w:t>
      </w:r>
      <w:r w:rsidR="00822AD8" w:rsidRPr="00295637">
        <w:rPr>
          <w:lang w:val="bs-Latn-BA"/>
        </w:rPr>
        <w:t xml:space="preserve"> </w:t>
      </w:r>
      <w:r>
        <w:rPr>
          <w:lang w:val="bs-Latn-BA"/>
        </w:rPr>
        <w:t>родитељима</w:t>
      </w:r>
      <w:r w:rsidR="00822AD8" w:rsidRPr="00295637">
        <w:rPr>
          <w:lang w:val="bs-Latn-BA"/>
        </w:rPr>
        <w:t xml:space="preserve"> </w:t>
      </w:r>
      <w:r>
        <w:rPr>
          <w:lang w:val="bs-Latn-BA"/>
        </w:rPr>
        <w:t>његоватељима</w:t>
      </w:r>
      <w:r w:rsidR="00822AD8" w:rsidRPr="00295637">
        <w:rPr>
          <w:lang w:val="bs-Latn-BA"/>
        </w:rPr>
        <w:t xml:space="preserve"> </w:t>
      </w:r>
      <w:r>
        <w:rPr>
          <w:lang w:val="bs-Latn-BA"/>
        </w:rPr>
        <w:t>у</w:t>
      </w:r>
      <w:r w:rsidR="00822AD8" w:rsidRPr="00295637">
        <w:rPr>
          <w:lang w:val="bs-Latn-BA"/>
        </w:rPr>
        <w:t xml:space="preserve"> </w:t>
      </w:r>
      <w:r>
        <w:rPr>
          <w:lang w:val="bs-Latn-BA"/>
        </w:rPr>
        <w:t>ФБиХ</w:t>
      </w:r>
      <w:r w:rsidR="00822AD8" w:rsidRPr="00295637">
        <w:rPr>
          <w:lang w:val="bs-Latn-BA"/>
        </w:rPr>
        <w:t xml:space="preserve">, </w:t>
      </w:r>
      <w:r>
        <w:rPr>
          <w:lang w:val="bs-Latn-BA"/>
        </w:rPr>
        <w:t>о</w:t>
      </w:r>
      <w:r w:rsidR="00E654F2">
        <w:rPr>
          <w:lang w:val="sr-Cyrl-BA"/>
        </w:rPr>
        <w:t>безбјеђујући</w:t>
      </w:r>
      <w:r w:rsidR="00822AD8" w:rsidRPr="00295637">
        <w:rPr>
          <w:lang w:val="bs-Latn-BA"/>
        </w:rPr>
        <w:t xml:space="preserve"> </w:t>
      </w:r>
      <w:r>
        <w:rPr>
          <w:lang w:val="bs-Latn-BA"/>
        </w:rPr>
        <w:t>увођење</w:t>
      </w:r>
      <w:r w:rsidR="00822AD8" w:rsidRPr="00295637">
        <w:rPr>
          <w:lang w:val="bs-Latn-BA"/>
        </w:rPr>
        <w:t xml:space="preserve"> </w:t>
      </w:r>
      <w:r>
        <w:rPr>
          <w:lang w:val="bs-Latn-BA"/>
        </w:rPr>
        <w:t>родитеља</w:t>
      </w:r>
      <w:r w:rsidR="00822AD8" w:rsidRPr="00295637">
        <w:rPr>
          <w:lang w:val="bs-Latn-BA"/>
        </w:rPr>
        <w:t xml:space="preserve"> </w:t>
      </w:r>
      <w:r>
        <w:rPr>
          <w:lang w:val="bs-Latn-BA"/>
        </w:rPr>
        <w:t>његоватеља</w:t>
      </w:r>
      <w:r w:rsidR="00822AD8" w:rsidRPr="00295637">
        <w:rPr>
          <w:lang w:val="bs-Latn-BA"/>
        </w:rPr>
        <w:t xml:space="preserve"> </w:t>
      </w:r>
      <w:r>
        <w:rPr>
          <w:lang w:val="bs-Latn-BA"/>
        </w:rPr>
        <w:t>као</w:t>
      </w:r>
      <w:r w:rsidR="00822AD8" w:rsidRPr="00295637">
        <w:rPr>
          <w:lang w:val="bs-Latn-BA"/>
        </w:rPr>
        <w:t xml:space="preserve"> </w:t>
      </w:r>
      <w:r>
        <w:rPr>
          <w:lang w:val="bs-Latn-BA"/>
        </w:rPr>
        <w:t>корисника</w:t>
      </w:r>
      <w:r w:rsidR="00822AD8" w:rsidRPr="00295637">
        <w:rPr>
          <w:lang w:val="bs-Latn-BA"/>
        </w:rPr>
        <w:t xml:space="preserve"> </w:t>
      </w:r>
      <w:r>
        <w:rPr>
          <w:lang w:val="bs-Latn-BA"/>
        </w:rPr>
        <w:t>овог</w:t>
      </w:r>
      <w:r w:rsidR="00822AD8" w:rsidRPr="00295637">
        <w:rPr>
          <w:lang w:val="bs-Latn-BA"/>
        </w:rPr>
        <w:t xml:space="preserve"> </w:t>
      </w:r>
      <w:r>
        <w:rPr>
          <w:lang w:val="bs-Latn-BA"/>
        </w:rPr>
        <w:t>права</w:t>
      </w:r>
      <w:r w:rsidR="00822AD8" w:rsidRPr="00295637">
        <w:rPr>
          <w:lang w:val="bs-Latn-BA"/>
        </w:rPr>
        <w:t xml:space="preserve">. </w:t>
      </w:r>
      <w:r>
        <w:rPr>
          <w:lang w:val="bs-Latn-BA"/>
        </w:rPr>
        <w:t>Припремљен</w:t>
      </w:r>
      <w:r w:rsidR="00822AD8" w:rsidRPr="00295637">
        <w:rPr>
          <w:lang w:val="bs-Latn-BA"/>
        </w:rPr>
        <w:t xml:space="preserve"> </w:t>
      </w:r>
      <w:r>
        <w:rPr>
          <w:lang w:val="bs-Latn-BA"/>
        </w:rPr>
        <w:t>је</w:t>
      </w:r>
      <w:r w:rsidR="00822AD8" w:rsidRPr="00295637">
        <w:rPr>
          <w:lang w:val="bs-Latn-BA"/>
        </w:rPr>
        <w:t xml:space="preserve"> </w:t>
      </w:r>
      <w:r>
        <w:rPr>
          <w:lang w:val="bs-Latn-BA"/>
        </w:rPr>
        <w:t>и</w:t>
      </w:r>
      <w:r w:rsidR="00822AD8" w:rsidRPr="00295637">
        <w:rPr>
          <w:lang w:val="bs-Latn-BA"/>
        </w:rPr>
        <w:t xml:space="preserve"> </w:t>
      </w:r>
      <w:r>
        <w:rPr>
          <w:lang w:val="bs-Latn-BA"/>
        </w:rPr>
        <w:t>усвојен</w:t>
      </w:r>
      <w:r w:rsidR="00822AD8" w:rsidRPr="00295637">
        <w:rPr>
          <w:lang w:val="bs-Latn-BA"/>
        </w:rPr>
        <w:t xml:space="preserve"> </w:t>
      </w:r>
      <w:r>
        <w:rPr>
          <w:lang w:val="bs-Latn-BA"/>
        </w:rPr>
        <w:t>Закон</w:t>
      </w:r>
      <w:r w:rsidR="00822AD8" w:rsidRPr="00295637">
        <w:rPr>
          <w:lang w:val="bs-Latn-BA"/>
        </w:rPr>
        <w:t xml:space="preserve"> </w:t>
      </w:r>
      <w:r>
        <w:rPr>
          <w:lang w:val="bs-Latn-BA"/>
        </w:rPr>
        <w:t>о</w:t>
      </w:r>
      <w:r w:rsidR="00822AD8" w:rsidRPr="00295637">
        <w:rPr>
          <w:lang w:val="bs-Latn-BA"/>
        </w:rPr>
        <w:t xml:space="preserve"> </w:t>
      </w:r>
      <w:r>
        <w:rPr>
          <w:lang w:val="bs-Latn-BA"/>
        </w:rPr>
        <w:t>измјенама</w:t>
      </w:r>
      <w:r w:rsidR="00822AD8" w:rsidRPr="00295637">
        <w:rPr>
          <w:lang w:val="bs-Latn-BA"/>
        </w:rPr>
        <w:t xml:space="preserve"> </w:t>
      </w:r>
      <w:r>
        <w:rPr>
          <w:lang w:val="bs-Latn-BA"/>
        </w:rPr>
        <w:t>и</w:t>
      </w:r>
      <w:r w:rsidR="00822AD8" w:rsidRPr="00295637">
        <w:rPr>
          <w:lang w:val="bs-Latn-BA"/>
        </w:rPr>
        <w:t xml:space="preserve"> </w:t>
      </w:r>
      <w:r>
        <w:rPr>
          <w:lang w:val="bs-Latn-BA"/>
        </w:rPr>
        <w:t>допунама</w:t>
      </w:r>
      <w:r w:rsidR="00822AD8" w:rsidRPr="00295637">
        <w:rPr>
          <w:lang w:val="bs-Latn-BA"/>
        </w:rPr>
        <w:t xml:space="preserve"> </w:t>
      </w:r>
      <w:r>
        <w:rPr>
          <w:lang w:val="bs-Latn-BA"/>
        </w:rPr>
        <w:t>Закона</w:t>
      </w:r>
      <w:r w:rsidR="00822AD8" w:rsidRPr="00295637">
        <w:rPr>
          <w:lang w:val="bs-Latn-BA"/>
        </w:rPr>
        <w:t xml:space="preserve"> </w:t>
      </w:r>
      <w:r>
        <w:rPr>
          <w:lang w:val="bs-Latn-BA"/>
        </w:rPr>
        <w:t>о</w:t>
      </w:r>
      <w:r w:rsidR="00822AD8" w:rsidRPr="00295637">
        <w:rPr>
          <w:lang w:val="bs-Latn-BA"/>
        </w:rPr>
        <w:t xml:space="preserve"> </w:t>
      </w:r>
      <w:r>
        <w:rPr>
          <w:lang w:val="bs-Latn-BA"/>
        </w:rPr>
        <w:t>родитељима</w:t>
      </w:r>
      <w:r w:rsidR="00822AD8" w:rsidRPr="00295637">
        <w:rPr>
          <w:lang w:val="bs-Latn-BA"/>
        </w:rPr>
        <w:t xml:space="preserve"> </w:t>
      </w:r>
      <w:r>
        <w:rPr>
          <w:lang w:val="bs-Latn-BA"/>
        </w:rPr>
        <w:t>његоватељима</w:t>
      </w:r>
      <w:r w:rsidR="00822AD8" w:rsidRPr="00295637">
        <w:rPr>
          <w:lang w:val="bs-Latn-BA"/>
        </w:rPr>
        <w:t xml:space="preserve">, </w:t>
      </w:r>
      <w:r w:rsidR="00E654F2">
        <w:rPr>
          <w:lang w:val="sr-Cyrl-BA"/>
        </w:rPr>
        <w:t>с</w:t>
      </w:r>
      <w:r w:rsidR="00822AD8" w:rsidRPr="00295637">
        <w:rPr>
          <w:lang w:val="bs-Latn-BA"/>
        </w:rPr>
        <w:t xml:space="preserve"> </w:t>
      </w:r>
      <w:r>
        <w:rPr>
          <w:lang w:val="bs-Latn-BA"/>
        </w:rPr>
        <w:t>циљ</w:t>
      </w:r>
      <w:r w:rsidR="00E654F2">
        <w:rPr>
          <w:lang w:val="sr-Cyrl-BA"/>
        </w:rPr>
        <w:t>ем</w:t>
      </w:r>
      <w:r w:rsidR="00822AD8" w:rsidRPr="00295637">
        <w:rPr>
          <w:lang w:val="bs-Latn-BA"/>
        </w:rPr>
        <w:t xml:space="preserve"> </w:t>
      </w:r>
      <w:r>
        <w:rPr>
          <w:lang w:val="bs-Latn-BA"/>
        </w:rPr>
        <w:t>унапређења</w:t>
      </w:r>
      <w:r w:rsidR="00822AD8" w:rsidRPr="00295637">
        <w:rPr>
          <w:lang w:val="bs-Latn-BA"/>
        </w:rPr>
        <w:t xml:space="preserve"> </w:t>
      </w:r>
      <w:r>
        <w:rPr>
          <w:lang w:val="bs-Latn-BA"/>
        </w:rPr>
        <w:t>остваривања</w:t>
      </w:r>
      <w:r w:rsidR="00822AD8" w:rsidRPr="00295637">
        <w:rPr>
          <w:lang w:val="bs-Latn-BA"/>
        </w:rPr>
        <w:t xml:space="preserve"> </w:t>
      </w:r>
      <w:r>
        <w:rPr>
          <w:lang w:val="bs-Latn-BA"/>
        </w:rPr>
        <w:t>њихових</w:t>
      </w:r>
      <w:r w:rsidR="00822AD8" w:rsidRPr="00295637">
        <w:rPr>
          <w:lang w:val="bs-Latn-BA"/>
        </w:rPr>
        <w:t xml:space="preserve"> </w:t>
      </w:r>
      <w:r>
        <w:rPr>
          <w:lang w:val="bs-Latn-BA"/>
        </w:rPr>
        <w:t>права</w:t>
      </w:r>
      <w:r w:rsidR="00822AD8" w:rsidRPr="00295637">
        <w:rPr>
          <w:lang w:val="bs-Latn-BA"/>
        </w:rPr>
        <w:t>.</w:t>
      </w:r>
    </w:p>
    <w:p w:rsidR="00B4124E" w:rsidRPr="00295637" w:rsidRDefault="00B4124E" w:rsidP="0086268D">
      <w:pPr>
        <w:pStyle w:val="NormalWeb"/>
        <w:spacing w:before="0" w:beforeAutospacing="0" w:after="0" w:afterAutospacing="0"/>
        <w:jc w:val="both"/>
        <w:rPr>
          <w:lang w:val="bs-Latn-BA"/>
        </w:rPr>
      </w:pPr>
    </w:p>
    <w:p w:rsidR="00822AD8" w:rsidRPr="00295637" w:rsidRDefault="00C6214E" w:rsidP="0086268D">
      <w:pPr>
        <w:pStyle w:val="NormalWeb"/>
        <w:spacing w:before="0" w:beforeAutospacing="0" w:after="0" w:afterAutospacing="0"/>
        <w:jc w:val="both"/>
        <w:rPr>
          <w:strike/>
          <w:shd w:val="clear" w:color="auto" w:fill="FFFF00"/>
          <w:lang w:val="bs-Latn-BA"/>
        </w:rPr>
      </w:pPr>
      <w:r>
        <w:rPr>
          <w:lang w:val="bs-Latn-BA"/>
        </w:rPr>
        <w:t>Додатно</w:t>
      </w:r>
      <w:r w:rsidR="00822AD8" w:rsidRPr="00295637">
        <w:rPr>
          <w:lang w:val="bs-Latn-BA"/>
        </w:rPr>
        <w:t xml:space="preserve">, </w:t>
      </w:r>
      <w:r>
        <w:rPr>
          <w:lang w:val="bs-Latn-BA"/>
        </w:rPr>
        <w:t>израђена</w:t>
      </w:r>
      <w:r w:rsidR="00822AD8" w:rsidRPr="00295637">
        <w:rPr>
          <w:lang w:val="bs-Latn-BA"/>
        </w:rPr>
        <w:t xml:space="preserve"> </w:t>
      </w:r>
      <w:r>
        <w:rPr>
          <w:lang w:val="bs-Latn-BA"/>
        </w:rPr>
        <w:t>је</w:t>
      </w:r>
      <w:r w:rsidR="00822AD8" w:rsidRPr="00295637">
        <w:rPr>
          <w:lang w:val="bs-Latn-BA"/>
        </w:rPr>
        <w:t xml:space="preserve"> </w:t>
      </w:r>
      <w:r>
        <w:rPr>
          <w:lang w:val="bs-Latn-BA"/>
        </w:rPr>
        <w:t>и</w:t>
      </w:r>
      <w:r w:rsidR="00822AD8" w:rsidRPr="00295637">
        <w:rPr>
          <w:lang w:val="bs-Latn-BA"/>
        </w:rPr>
        <w:t xml:space="preserve"> </w:t>
      </w:r>
      <w:r>
        <w:rPr>
          <w:lang w:val="bs-Latn-BA"/>
        </w:rPr>
        <w:t>усвојена</w:t>
      </w:r>
      <w:r w:rsidR="00822AD8" w:rsidRPr="00295637">
        <w:rPr>
          <w:lang w:val="bs-Latn-BA"/>
        </w:rPr>
        <w:t xml:space="preserve"> </w:t>
      </w:r>
      <w:r>
        <w:rPr>
          <w:lang w:val="bs-Latn-BA"/>
        </w:rPr>
        <w:t>Уредба</w:t>
      </w:r>
      <w:r w:rsidR="00822AD8" w:rsidRPr="00295637">
        <w:rPr>
          <w:lang w:val="bs-Latn-BA"/>
        </w:rPr>
        <w:t xml:space="preserve"> </w:t>
      </w:r>
      <w:r>
        <w:rPr>
          <w:lang w:val="bs-Latn-BA"/>
        </w:rPr>
        <w:t>о</w:t>
      </w:r>
      <w:r w:rsidR="00822AD8" w:rsidRPr="00295637">
        <w:rPr>
          <w:lang w:val="bs-Latn-BA"/>
        </w:rPr>
        <w:t xml:space="preserve"> </w:t>
      </w:r>
      <w:r>
        <w:rPr>
          <w:lang w:val="bs-Latn-BA"/>
        </w:rPr>
        <w:t>исплати</w:t>
      </w:r>
      <w:r w:rsidR="00822AD8" w:rsidRPr="00295637">
        <w:rPr>
          <w:lang w:val="bs-Latn-BA"/>
        </w:rPr>
        <w:t xml:space="preserve"> </w:t>
      </w:r>
      <w:r>
        <w:rPr>
          <w:lang w:val="bs-Latn-BA"/>
        </w:rPr>
        <w:t>новчане</w:t>
      </w:r>
      <w:r w:rsidR="00822AD8" w:rsidRPr="00295637">
        <w:rPr>
          <w:lang w:val="bs-Latn-BA"/>
        </w:rPr>
        <w:t xml:space="preserve"> </w:t>
      </w:r>
      <w:r>
        <w:rPr>
          <w:lang w:val="bs-Latn-BA"/>
        </w:rPr>
        <w:t>помоћи</w:t>
      </w:r>
      <w:r w:rsidR="00822AD8" w:rsidRPr="00295637">
        <w:rPr>
          <w:lang w:val="bs-Latn-BA"/>
        </w:rPr>
        <w:t xml:space="preserve"> </w:t>
      </w:r>
      <w:r>
        <w:rPr>
          <w:lang w:val="bs-Latn-BA"/>
        </w:rPr>
        <w:t>породиљама</w:t>
      </w:r>
      <w:r w:rsidR="00822AD8" w:rsidRPr="00295637">
        <w:rPr>
          <w:lang w:val="bs-Latn-BA"/>
        </w:rPr>
        <w:t xml:space="preserve"> </w:t>
      </w:r>
      <w:r>
        <w:rPr>
          <w:lang w:val="bs-Latn-BA"/>
        </w:rPr>
        <w:t>за</w:t>
      </w:r>
      <w:r w:rsidR="00822AD8" w:rsidRPr="00295637">
        <w:rPr>
          <w:lang w:val="bs-Latn-BA"/>
        </w:rPr>
        <w:t xml:space="preserve"> </w:t>
      </w:r>
      <w:r>
        <w:rPr>
          <w:lang w:val="bs-Latn-BA"/>
        </w:rPr>
        <w:t>новорођено</w:t>
      </w:r>
      <w:r w:rsidR="00822AD8" w:rsidRPr="00295637">
        <w:rPr>
          <w:lang w:val="bs-Latn-BA"/>
        </w:rPr>
        <w:t xml:space="preserve"> </w:t>
      </w:r>
      <w:r>
        <w:rPr>
          <w:lang w:val="bs-Latn-BA"/>
        </w:rPr>
        <w:t>дијете</w:t>
      </w:r>
      <w:r w:rsidR="00822AD8" w:rsidRPr="00295637">
        <w:rPr>
          <w:lang w:val="bs-Latn-BA"/>
        </w:rPr>
        <w:t xml:space="preserve"> </w:t>
      </w:r>
      <w:r>
        <w:rPr>
          <w:lang w:val="bs-Latn-BA"/>
        </w:rPr>
        <w:t>у</w:t>
      </w:r>
      <w:r w:rsidR="00822AD8" w:rsidRPr="00295637">
        <w:rPr>
          <w:lang w:val="bs-Latn-BA"/>
        </w:rPr>
        <w:t xml:space="preserve"> </w:t>
      </w:r>
      <w:r>
        <w:rPr>
          <w:lang w:val="bs-Latn-BA"/>
        </w:rPr>
        <w:t>ФБиХ</w:t>
      </w:r>
      <w:r w:rsidR="00822AD8" w:rsidRPr="00295637">
        <w:rPr>
          <w:lang w:val="bs-Latn-BA"/>
        </w:rPr>
        <w:t xml:space="preserve">, </w:t>
      </w:r>
      <w:r>
        <w:rPr>
          <w:lang w:val="bs-Latn-BA"/>
        </w:rPr>
        <w:t>уз</w:t>
      </w:r>
      <w:r w:rsidR="00822AD8" w:rsidRPr="00295637">
        <w:rPr>
          <w:lang w:val="bs-Latn-BA"/>
        </w:rPr>
        <w:t xml:space="preserve"> </w:t>
      </w:r>
      <w:r>
        <w:rPr>
          <w:lang w:val="bs-Latn-BA"/>
        </w:rPr>
        <w:t>успостављање</w:t>
      </w:r>
      <w:r w:rsidR="00822AD8" w:rsidRPr="00295637">
        <w:rPr>
          <w:lang w:val="bs-Latn-BA"/>
        </w:rPr>
        <w:t xml:space="preserve"> </w:t>
      </w:r>
      <w:r>
        <w:rPr>
          <w:lang w:val="bs-Latn-BA"/>
        </w:rPr>
        <w:t>дигиталне</w:t>
      </w:r>
      <w:r w:rsidR="00822AD8" w:rsidRPr="00295637">
        <w:rPr>
          <w:lang w:val="bs-Latn-BA"/>
        </w:rPr>
        <w:t xml:space="preserve"> </w:t>
      </w:r>
      <w:r>
        <w:rPr>
          <w:lang w:val="bs-Latn-BA"/>
        </w:rPr>
        <w:t>апликације</w:t>
      </w:r>
      <w:r w:rsidR="00822AD8" w:rsidRPr="00295637">
        <w:rPr>
          <w:lang w:val="bs-Latn-BA"/>
        </w:rPr>
        <w:t xml:space="preserve"> „</w:t>
      </w:r>
      <w:r>
        <w:rPr>
          <w:lang w:val="bs-Latn-BA"/>
        </w:rPr>
        <w:t>е</w:t>
      </w:r>
      <w:r w:rsidR="00822AD8" w:rsidRPr="00295637">
        <w:rPr>
          <w:lang w:val="bs-Latn-BA"/>
        </w:rPr>
        <w:t>-</w:t>
      </w:r>
      <w:r>
        <w:rPr>
          <w:lang w:val="bs-Latn-BA"/>
        </w:rPr>
        <w:t>Породиље</w:t>
      </w:r>
      <w:r w:rsidR="00822AD8" w:rsidRPr="00295637">
        <w:rPr>
          <w:lang w:val="bs-Latn-BA"/>
        </w:rPr>
        <w:t xml:space="preserve">“, </w:t>
      </w:r>
      <w:r>
        <w:rPr>
          <w:lang w:val="bs-Latn-BA"/>
        </w:rPr>
        <w:t>која</w:t>
      </w:r>
      <w:r w:rsidR="00822AD8" w:rsidRPr="00295637">
        <w:rPr>
          <w:lang w:val="bs-Latn-BA"/>
        </w:rPr>
        <w:t xml:space="preserve"> </w:t>
      </w:r>
      <w:r>
        <w:rPr>
          <w:lang w:val="bs-Latn-BA"/>
        </w:rPr>
        <w:t>омогућава</w:t>
      </w:r>
      <w:r w:rsidR="00822AD8" w:rsidRPr="00295637">
        <w:rPr>
          <w:lang w:val="bs-Latn-BA"/>
        </w:rPr>
        <w:t xml:space="preserve"> </w:t>
      </w:r>
      <w:r>
        <w:rPr>
          <w:lang w:val="bs-Latn-BA"/>
        </w:rPr>
        <w:t>једноставну</w:t>
      </w:r>
      <w:r w:rsidR="00822AD8" w:rsidRPr="00295637">
        <w:rPr>
          <w:lang w:val="bs-Latn-BA"/>
        </w:rPr>
        <w:t xml:space="preserve"> </w:t>
      </w:r>
      <w:r>
        <w:rPr>
          <w:lang w:val="bs-Latn-BA"/>
        </w:rPr>
        <w:t>пријаву</w:t>
      </w:r>
      <w:r w:rsidR="00822AD8" w:rsidRPr="00295637">
        <w:rPr>
          <w:lang w:val="bs-Latn-BA"/>
        </w:rPr>
        <w:t xml:space="preserve"> </w:t>
      </w:r>
      <w:r>
        <w:rPr>
          <w:lang w:val="bs-Latn-BA"/>
        </w:rPr>
        <w:t>и</w:t>
      </w:r>
      <w:r w:rsidR="00822AD8" w:rsidRPr="00295637">
        <w:rPr>
          <w:lang w:val="bs-Latn-BA"/>
        </w:rPr>
        <w:t xml:space="preserve"> </w:t>
      </w:r>
      <w:r>
        <w:rPr>
          <w:lang w:val="bs-Latn-BA"/>
        </w:rPr>
        <w:t>остваривање</w:t>
      </w:r>
      <w:r w:rsidR="00822AD8" w:rsidRPr="00295637">
        <w:rPr>
          <w:lang w:val="bs-Latn-BA"/>
        </w:rPr>
        <w:t xml:space="preserve"> </w:t>
      </w:r>
      <w:r>
        <w:rPr>
          <w:lang w:val="bs-Latn-BA"/>
        </w:rPr>
        <w:t>права</w:t>
      </w:r>
      <w:r w:rsidR="00822AD8" w:rsidRPr="00295637">
        <w:rPr>
          <w:lang w:val="bs-Latn-BA"/>
        </w:rPr>
        <w:t xml:space="preserve"> </w:t>
      </w:r>
      <w:r>
        <w:rPr>
          <w:lang w:val="bs-Latn-BA"/>
        </w:rPr>
        <w:t>на</w:t>
      </w:r>
      <w:r w:rsidR="00822AD8" w:rsidRPr="00295637">
        <w:rPr>
          <w:lang w:val="bs-Latn-BA"/>
        </w:rPr>
        <w:t xml:space="preserve"> </w:t>
      </w:r>
      <w:r>
        <w:rPr>
          <w:lang w:val="bs-Latn-BA"/>
        </w:rPr>
        <w:t>једнократну</w:t>
      </w:r>
      <w:r w:rsidR="00822AD8" w:rsidRPr="00295637">
        <w:rPr>
          <w:lang w:val="bs-Latn-BA"/>
        </w:rPr>
        <w:t xml:space="preserve"> </w:t>
      </w:r>
      <w:r>
        <w:rPr>
          <w:lang w:val="bs-Latn-BA"/>
        </w:rPr>
        <w:t>подршку</w:t>
      </w:r>
      <w:r w:rsidR="00822AD8" w:rsidRPr="00295637">
        <w:rPr>
          <w:lang w:val="bs-Latn-BA"/>
        </w:rPr>
        <w:t xml:space="preserve">. </w:t>
      </w:r>
      <w:r>
        <w:rPr>
          <w:lang w:val="bs-Latn-BA"/>
        </w:rPr>
        <w:t>У</w:t>
      </w:r>
      <w:r w:rsidR="00822AD8" w:rsidRPr="00295637">
        <w:rPr>
          <w:lang w:val="bs-Latn-BA"/>
        </w:rPr>
        <w:t xml:space="preserve"> 2024. </w:t>
      </w:r>
      <w:r>
        <w:rPr>
          <w:lang w:val="bs-Latn-BA"/>
        </w:rPr>
        <w:t>години</w:t>
      </w:r>
      <w:r w:rsidR="00822AD8" w:rsidRPr="00295637">
        <w:rPr>
          <w:lang w:val="bs-Latn-BA"/>
        </w:rPr>
        <w:t xml:space="preserve">, </w:t>
      </w:r>
      <w:r>
        <w:rPr>
          <w:lang w:val="bs-Latn-BA"/>
        </w:rPr>
        <w:t>значајан</w:t>
      </w:r>
      <w:r w:rsidR="00822AD8" w:rsidRPr="00295637">
        <w:rPr>
          <w:lang w:val="bs-Latn-BA"/>
        </w:rPr>
        <w:t xml:space="preserve"> </w:t>
      </w:r>
      <w:r>
        <w:rPr>
          <w:lang w:val="bs-Latn-BA"/>
        </w:rPr>
        <w:t>број</w:t>
      </w:r>
      <w:r w:rsidR="00822AD8" w:rsidRPr="00295637">
        <w:rPr>
          <w:lang w:val="bs-Latn-BA"/>
        </w:rPr>
        <w:t xml:space="preserve"> </w:t>
      </w:r>
      <w:r>
        <w:rPr>
          <w:lang w:val="bs-Latn-BA"/>
        </w:rPr>
        <w:t>породиља</w:t>
      </w:r>
      <w:r w:rsidR="00822AD8" w:rsidRPr="00295637">
        <w:rPr>
          <w:lang w:val="bs-Latn-BA"/>
        </w:rPr>
        <w:t xml:space="preserve"> </w:t>
      </w:r>
      <w:r>
        <w:rPr>
          <w:lang w:val="bs-Latn-BA"/>
        </w:rPr>
        <w:t>остварио</w:t>
      </w:r>
      <w:r w:rsidR="00822AD8" w:rsidRPr="00295637">
        <w:rPr>
          <w:lang w:val="bs-Latn-BA"/>
        </w:rPr>
        <w:t xml:space="preserve"> </w:t>
      </w:r>
      <w:r>
        <w:rPr>
          <w:lang w:val="bs-Latn-BA"/>
        </w:rPr>
        <w:t>је</w:t>
      </w:r>
      <w:r w:rsidR="00822AD8" w:rsidRPr="00295637">
        <w:rPr>
          <w:lang w:val="bs-Latn-BA"/>
        </w:rPr>
        <w:t xml:space="preserve"> </w:t>
      </w:r>
      <w:r>
        <w:rPr>
          <w:lang w:val="bs-Latn-BA"/>
        </w:rPr>
        <w:t>право</w:t>
      </w:r>
      <w:r w:rsidR="00822AD8" w:rsidRPr="00295637">
        <w:rPr>
          <w:lang w:val="bs-Latn-BA"/>
        </w:rPr>
        <w:t xml:space="preserve"> </w:t>
      </w:r>
      <w:r>
        <w:rPr>
          <w:lang w:val="bs-Latn-BA"/>
        </w:rPr>
        <w:t>на</w:t>
      </w:r>
      <w:r w:rsidR="00822AD8" w:rsidRPr="00295637">
        <w:rPr>
          <w:lang w:val="bs-Latn-BA"/>
        </w:rPr>
        <w:t xml:space="preserve"> </w:t>
      </w:r>
      <w:r>
        <w:rPr>
          <w:lang w:val="bs-Latn-BA"/>
        </w:rPr>
        <w:t>ову</w:t>
      </w:r>
      <w:r w:rsidR="00822AD8" w:rsidRPr="00295637">
        <w:rPr>
          <w:lang w:val="bs-Latn-BA"/>
        </w:rPr>
        <w:t xml:space="preserve"> </w:t>
      </w:r>
      <w:r>
        <w:rPr>
          <w:lang w:val="bs-Latn-BA"/>
        </w:rPr>
        <w:t>подршку</w:t>
      </w:r>
      <w:r w:rsidR="00822AD8" w:rsidRPr="00295637">
        <w:rPr>
          <w:lang w:val="bs-Latn-BA"/>
        </w:rPr>
        <w:t xml:space="preserve">, </w:t>
      </w:r>
      <w:r>
        <w:rPr>
          <w:lang w:val="bs-Latn-BA"/>
        </w:rPr>
        <w:t>а</w:t>
      </w:r>
      <w:r w:rsidR="00822AD8" w:rsidRPr="00295637">
        <w:rPr>
          <w:lang w:val="bs-Latn-BA"/>
        </w:rPr>
        <w:t xml:space="preserve"> </w:t>
      </w:r>
      <w:r>
        <w:rPr>
          <w:lang w:val="bs-Latn-BA"/>
        </w:rPr>
        <w:t>све</w:t>
      </w:r>
      <w:r w:rsidR="00822AD8" w:rsidRPr="00295637">
        <w:rPr>
          <w:lang w:val="bs-Latn-BA"/>
        </w:rPr>
        <w:t xml:space="preserve"> </w:t>
      </w:r>
      <w:r>
        <w:rPr>
          <w:lang w:val="bs-Latn-BA"/>
        </w:rPr>
        <w:t>информације</w:t>
      </w:r>
      <w:r w:rsidR="00822AD8" w:rsidRPr="00295637">
        <w:rPr>
          <w:lang w:val="bs-Latn-BA"/>
        </w:rPr>
        <w:t xml:space="preserve"> </w:t>
      </w:r>
      <w:r>
        <w:rPr>
          <w:lang w:val="bs-Latn-BA"/>
        </w:rPr>
        <w:t>доступне</w:t>
      </w:r>
      <w:r w:rsidR="00822AD8" w:rsidRPr="00295637">
        <w:rPr>
          <w:lang w:val="bs-Latn-BA"/>
        </w:rPr>
        <w:t xml:space="preserve"> </w:t>
      </w:r>
      <w:r>
        <w:rPr>
          <w:lang w:val="bs-Latn-BA"/>
        </w:rPr>
        <w:t>су</w:t>
      </w:r>
      <w:r w:rsidR="00822AD8" w:rsidRPr="00295637">
        <w:rPr>
          <w:lang w:val="bs-Latn-BA"/>
        </w:rPr>
        <w:t xml:space="preserve"> </w:t>
      </w:r>
      <w:r>
        <w:rPr>
          <w:lang w:val="bs-Latn-BA"/>
        </w:rPr>
        <w:t>у</w:t>
      </w:r>
      <w:r w:rsidR="00822AD8" w:rsidRPr="00295637">
        <w:rPr>
          <w:lang w:val="bs-Latn-BA"/>
        </w:rPr>
        <w:t xml:space="preserve"> </w:t>
      </w:r>
      <w:r>
        <w:rPr>
          <w:lang w:val="bs-Latn-BA"/>
        </w:rPr>
        <w:t>извјештају</w:t>
      </w:r>
      <w:r w:rsidR="00F20948">
        <w:rPr>
          <w:lang w:val="bs-Latn-BA"/>
        </w:rPr>
        <w:t xml:space="preserve"> </w:t>
      </w:r>
      <w:r>
        <w:rPr>
          <w:lang w:val="bs-Latn-BA"/>
        </w:rPr>
        <w:t>објављеном</w:t>
      </w:r>
      <w:r w:rsidR="00F20948">
        <w:rPr>
          <w:lang w:val="bs-Latn-BA"/>
        </w:rPr>
        <w:t xml:space="preserve"> </w:t>
      </w:r>
      <w:r>
        <w:rPr>
          <w:lang w:val="bs-Latn-BA"/>
        </w:rPr>
        <w:t>на</w:t>
      </w:r>
      <w:r w:rsidR="00F20948">
        <w:rPr>
          <w:lang w:val="bs-Latn-BA"/>
        </w:rPr>
        <w:t xml:space="preserve"> </w:t>
      </w:r>
      <w:r w:rsidR="00E654F2">
        <w:rPr>
          <w:lang w:val="sr-Cyrl-BA"/>
        </w:rPr>
        <w:t>веб-</w:t>
      </w:r>
      <w:r>
        <w:rPr>
          <w:lang w:val="bs-Latn-BA"/>
        </w:rPr>
        <w:t>страници</w:t>
      </w:r>
      <w:r w:rsidR="00822AD8" w:rsidRPr="00295637">
        <w:rPr>
          <w:lang w:val="bs-Latn-BA"/>
        </w:rPr>
        <w:t xml:space="preserve"> </w:t>
      </w:r>
      <w:r>
        <w:rPr>
          <w:lang w:val="bs-Latn-BA"/>
        </w:rPr>
        <w:t>ФМРСП</w:t>
      </w:r>
      <w:r w:rsidR="00822AD8" w:rsidRPr="00295637">
        <w:rPr>
          <w:lang w:val="bs-Latn-BA"/>
        </w:rPr>
        <w:t>-</w:t>
      </w:r>
      <w:r>
        <w:rPr>
          <w:lang w:val="bs-Latn-BA"/>
        </w:rPr>
        <w:t>а</w:t>
      </w:r>
      <w:r w:rsidR="00822AD8" w:rsidRPr="00295637">
        <w:rPr>
          <w:lang w:val="bs-Latn-BA"/>
        </w:rPr>
        <w:t xml:space="preserve"> </w:t>
      </w:r>
      <w:r>
        <w:rPr>
          <w:lang w:val="bs-Latn-BA"/>
        </w:rPr>
        <w:t>и</w:t>
      </w:r>
      <w:r w:rsidR="00822AD8" w:rsidRPr="00295637">
        <w:rPr>
          <w:lang w:val="bs-Latn-BA"/>
        </w:rPr>
        <w:t xml:space="preserve"> </w:t>
      </w:r>
      <w:r>
        <w:rPr>
          <w:lang w:val="bs-Latn-BA"/>
        </w:rPr>
        <w:t>у</w:t>
      </w:r>
      <w:r w:rsidR="00822AD8" w:rsidRPr="00295637">
        <w:rPr>
          <w:lang w:val="bs-Latn-BA"/>
        </w:rPr>
        <w:t xml:space="preserve"> </w:t>
      </w:r>
      <w:r>
        <w:rPr>
          <w:lang w:val="bs-Latn-BA"/>
        </w:rPr>
        <w:t>Службеним</w:t>
      </w:r>
      <w:r w:rsidR="00822AD8" w:rsidRPr="00295637">
        <w:rPr>
          <w:lang w:val="bs-Latn-BA"/>
        </w:rPr>
        <w:t xml:space="preserve"> </w:t>
      </w:r>
      <w:r>
        <w:rPr>
          <w:lang w:val="bs-Latn-BA"/>
        </w:rPr>
        <w:t>новинама</w:t>
      </w:r>
      <w:r w:rsidR="00822AD8" w:rsidRPr="00295637">
        <w:rPr>
          <w:lang w:val="bs-Latn-BA"/>
        </w:rPr>
        <w:t xml:space="preserve">. </w:t>
      </w:r>
      <w:r>
        <w:rPr>
          <w:lang w:val="bs-Latn-BA"/>
        </w:rPr>
        <w:t>Уредба</w:t>
      </w:r>
      <w:r w:rsidR="00524E10" w:rsidRPr="00295637">
        <w:rPr>
          <w:lang w:val="bs-Latn-BA"/>
        </w:rPr>
        <w:t>,</w:t>
      </w:r>
      <w:r w:rsidR="00822AD8" w:rsidRPr="00295637">
        <w:rPr>
          <w:lang w:val="bs-Latn-BA"/>
        </w:rPr>
        <w:t xml:space="preserve"> </w:t>
      </w:r>
      <w:r>
        <w:rPr>
          <w:lang w:val="bs-Latn-BA"/>
        </w:rPr>
        <w:t>између</w:t>
      </w:r>
      <w:r w:rsidR="00822AD8" w:rsidRPr="00295637">
        <w:rPr>
          <w:lang w:val="bs-Latn-BA"/>
        </w:rPr>
        <w:t xml:space="preserve"> </w:t>
      </w:r>
      <w:r>
        <w:rPr>
          <w:lang w:val="bs-Latn-BA"/>
        </w:rPr>
        <w:t>осталог</w:t>
      </w:r>
      <w:r w:rsidR="00524E10" w:rsidRPr="00295637">
        <w:rPr>
          <w:lang w:val="bs-Latn-BA"/>
        </w:rPr>
        <w:t>,</w:t>
      </w:r>
      <w:r w:rsidR="00822AD8" w:rsidRPr="00295637">
        <w:rPr>
          <w:lang w:val="bs-Latn-BA"/>
        </w:rPr>
        <w:t xml:space="preserve"> </w:t>
      </w:r>
      <w:r>
        <w:rPr>
          <w:lang w:val="bs-Latn-BA"/>
        </w:rPr>
        <w:t>садржи</w:t>
      </w:r>
      <w:r w:rsidR="00822AD8" w:rsidRPr="00295637">
        <w:rPr>
          <w:lang w:val="bs-Latn-BA"/>
        </w:rPr>
        <w:t xml:space="preserve"> </w:t>
      </w:r>
      <w:r>
        <w:rPr>
          <w:lang w:val="bs-Latn-BA"/>
        </w:rPr>
        <w:t>одредбу</w:t>
      </w:r>
      <w:r w:rsidR="00822AD8" w:rsidRPr="00295637">
        <w:rPr>
          <w:lang w:val="bs-Latn-BA"/>
        </w:rPr>
        <w:t xml:space="preserve"> </w:t>
      </w:r>
      <w:r>
        <w:rPr>
          <w:lang w:val="bs-Latn-BA"/>
        </w:rPr>
        <w:t>о</w:t>
      </w:r>
      <w:r w:rsidR="00822AD8" w:rsidRPr="00295637">
        <w:rPr>
          <w:lang w:val="bs-Latn-BA"/>
        </w:rPr>
        <w:t xml:space="preserve"> </w:t>
      </w:r>
      <w:r>
        <w:rPr>
          <w:lang w:val="bs-Latn-BA"/>
        </w:rPr>
        <w:t>примјени</w:t>
      </w:r>
      <w:r w:rsidR="00822AD8" w:rsidRPr="00295637">
        <w:rPr>
          <w:lang w:val="bs-Latn-BA"/>
        </w:rPr>
        <w:t xml:space="preserve"> </w:t>
      </w:r>
      <w:r>
        <w:rPr>
          <w:lang w:val="bs-Latn-BA"/>
        </w:rPr>
        <w:t>израза</w:t>
      </w:r>
      <w:r w:rsidR="00822AD8" w:rsidRPr="00295637">
        <w:rPr>
          <w:lang w:val="bs-Latn-BA"/>
        </w:rPr>
        <w:t xml:space="preserve"> </w:t>
      </w:r>
      <w:r>
        <w:rPr>
          <w:lang w:val="bs-Latn-BA"/>
        </w:rPr>
        <w:t>који</w:t>
      </w:r>
      <w:r w:rsidR="00822AD8" w:rsidRPr="00295637">
        <w:rPr>
          <w:lang w:val="bs-Latn-BA"/>
        </w:rPr>
        <w:t xml:space="preserve"> </w:t>
      </w:r>
      <w:r>
        <w:rPr>
          <w:lang w:val="bs-Latn-BA"/>
        </w:rPr>
        <w:t>имају</w:t>
      </w:r>
      <w:r w:rsidR="00822AD8" w:rsidRPr="00295637">
        <w:rPr>
          <w:lang w:val="bs-Latn-BA"/>
        </w:rPr>
        <w:t xml:space="preserve"> </w:t>
      </w:r>
      <w:r>
        <w:rPr>
          <w:lang w:val="bs-Latn-BA"/>
        </w:rPr>
        <w:t>родно</w:t>
      </w:r>
      <w:r w:rsidR="00822AD8" w:rsidRPr="00295637">
        <w:rPr>
          <w:lang w:val="bs-Latn-BA"/>
        </w:rPr>
        <w:t xml:space="preserve"> </w:t>
      </w:r>
      <w:r>
        <w:rPr>
          <w:lang w:val="bs-Latn-BA"/>
        </w:rPr>
        <w:t>значење</w:t>
      </w:r>
      <w:r w:rsidR="00822AD8" w:rsidRPr="00295637">
        <w:rPr>
          <w:lang w:val="bs-Latn-BA"/>
        </w:rPr>
        <w:t xml:space="preserve">, </w:t>
      </w:r>
      <w:r>
        <w:rPr>
          <w:lang w:val="bs-Latn-BA"/>
        </w:rPr>
        <w:t>те</w:t>
      </w:r>
      <w:r w:rsidR="00822AD8" w:rsidRPr="00295637">
        <w:rPr>
          <w:lang w:val="bs-Latn-BA"/>
        </w:rPr>
        <w:t xml:space="preserve"> </w:t>
      </w:r>
      <w:r>
        <w:rPr>
          <w:lang w:val="bs-Latn-BA"/>
        </w:rPr>
        <w:t>прописује</w:t>
      </w:r>
      <w:r w:rsidR="00822AD8" w:rsidRPr="00295637">
        <w:rPr>
          <w:lang w:val="bs-Latn-BA"/>
        </w:rPr>
        <w:t xml:space="preserve"> </w:t>
      </w:r>
      <w:r>
        <w:rPr>
          <w:lang w:val="bs-Latn-BA"/>
        </w:rPr>
        <w:t>кориснике</w:t>
      </w:r>
      <w:r w:rsidR="00822AD8" w:rsidRPr="00295637">
        <w:rPr>
          <w:lang w:val="bs-Latn-BA"/>
        </w:rPr>
        <w:t xml:space="preserve"> </w:t>
      </w:r>
      <w:r>
        <w:rPr>
          <w:lang w:val="bs-Latn-BA"/>
        </w:rPr>
        <w:t>у</w:t>
      </w:r>
      <w:r w:rsidR="00822AD8" w:rsidRPr="00295637">
        <w:rPr>
          <w:lang w:val="bs-Latn-BA"/>
        </w:rPr>
        <w:t xml:space="preserve"> </w:t>
      </w:r>
      <w:r>
        <w:rPr>
          <w:lang w:val="bs-Latn-BA"/>
        </w:rPr>
        <w:t>које</w:t>
      </w:r>
      <w:r w:rsidR="00822AD8" w:rsidRPr="00295637">
        <w:rPr>
          <w:lang w:val="bs-Latn-BA"/>
        </w:rPr>
        <w:t xml:space="preserve"> </w:t>
      </w:r>
      <w:r>
        <w:rPr>
          <w:lang w:val="bs-Latn-BA"/>
        </w:rPr>
        <w:t>спадају</w:t>
      </w:r>
      <w:r w:rsidR="00822AD8" w:rsidRPr="00295637">
        <w:rPr>
          <w:lang w:val="bs-Latn-BA"/>
        </w:rPr>
        <w:t xml:space="preserve"> </w:t>
      </w:r>
      <w:r>
        <w:rPr>
          <w:lang w:val="bs-Latn-BA"/>
        </w:rPr>
        <w:t>породиље</w:t>
      </w:r>
      <w:r w:rsidR="00822AD8" w:rsidRPr="00295637">
        <w:rPr>
          <w:lang w:val="bs-Latn-BA"/>
        </w:rPr>
        <w:t xml:space="preserve"> </w:t>
      </w:r>
      <w:r>
        <w:rPr>
          <w:lang w:val="bs-Latn-BA"/>
        </w:rPr>
        <w:t>која</w:t>
      </w:r>
      <w:r w:rsidR="00822AD8" w:rsidRPr="00295637">
        <w:rPr>
          <w:lang w:val="bs-Latn-BA"/>
        </w:rPr>
        <w:t xml:space="preserve"> </w:t>
      </w:r>
      <w:r>
        <w:rPr>
          <w:lang w:val="bs-Latn-BA"/>
        </w:rPr>
        <w:t>су</w:t>
      </w:r>
      <w:r w:rsidR="00822AD8" w:rsidRPr="00295637">
        <w:rPr>
          <w:lang w:val="bs-Latn-BA"/>
        </w:rPr>
        <w:t xml:space="preserve"> </w:t>
      </w:r>
      <w:r>
        <w:rPr>
          <w:lang w:val="bs-Latn-BA"/>
        </w:rPr>
        <w:t>оствариле</w:t>
      </w:r>
      <w:r w:rsidR="00822AD8" w:rsidRPr="00295637">
        <w:rPr>
          <w:lang w:val="bs-Latn-BA"/>
        </w:rPr>
        <w:t xml:space="preserve"> </w:t>
      </w:r>
      <w:r>
        <w:rPr>
          <w:lang w:val="bs-Latn-BA"/>
        </w:rPr>
        <w:t>потомство</w:t>
      </w:r>
      <w:r w:rsidR="00822AD8" w:rsidRPr="00295637">
        <w:rPr>
          <w:lang w:val="bs-Latn-BA"/>
        </w:rPr>
        <w:t xml:space="preserve"> </w:t>
      </w:r>
      <w:r>
        <w:rPr>
          <w:lang w:val="bs-Latn-BA"/>
        </w:rPr>
        <w:t>у</w:t>
      </w:r>
      <w:r w:rsidR="00822AD8" w:rsidRPr="00295637">
        <w:rPr>
          <w:lang w:val="bs-Latn-BA"/>
        </w:rPr>
        <w:t xml:space="preserve"> </w:t>
      </w:r>
      <w:r>
        <w:rPr>
          <w:lang w:val="bs-Latn-BA"/>
        </w:rPr>
        <w:t>периоду</w:t>
      </w:r>
      <w:r w:rsidR="00F20948">
        <w:rPr>
          <w:lang w:val="bs-Latn-BA"/>
        </w:rPr>
        <w:t xml:space="preserve"> </w:t>
      </w:r>
      <w:r>
        <w:rPr>
          <w:lang w:val="bs-Latn-BA"/>
        </w:rPr>
        <w:t>од</w:t>
      </w:r>
      <w:r w:rsidR="00F20948">
        <w:rPr>
          <w:lang w:val="bs-Latn-BA"/>
        </w:rPr>
        <w:t xml:space="preserve"> </w:t>
      </w:r>
      <w:r w:rsidR="00822AD8" w:rsidRPr="00295637">
        <w:rPr>
          <w:lang w:val="bs-Latn-BA"/>
        </w:rPr>
        <w:t xml:space="preserve">1. </w:t>
      </w:r>
      <w:r>
        <w:rPr>
          <w:lang w:val="bs-Latn-BA"/>
        </w:rPr>
        <w:t>јануара</w:t>
      </w:r>
      <w:r w:rsidR="00822AD8" w:rsidRPr="00295637">
        <w:rPr>
          <w:lang w:val="bs-Latn-BA"/>
        </w:rPr>
        <w:t xml:space="preserve"> </w:t>
      </w:r>
      <w:r>
        <w:rPr>
          <w:lang w:val="bs-Latn-BA"/>
        </w:rPr>
        <w:t>до</w:t>
      </w:r>
      <w:r w:rsidR="00822AD8" w:rsidRPr="00295637">
        <w:rPr>
          <w:lang w:val="bs-Latn-BA"/>
        </w:rPr>
        <w:t xml:space="preserve"> 31. </w:t>
      </w:r>
      <w:r>
        <w:rPr>
          <w:lang w:val="bs-Latn-BA"/>
        </w:rPr>
        <w:t>децембра</w:t>
      </w:r>
      <w:r w:rsidR="00822AD8" w:rsidRPr="00295637">
        <w:rPr>
          <w:lang w:val="bs-Latn-BA"/>
        </w:rPr>
        <w:t xml:space="preserve"> </w:t>
      </w:r>
      <w:r>
        <w:rPr>
          <w:lang w:val="bs-Latn-BA"/>
        </w:rPr>
        <w:t>у</w:t>
      </w:r>
      <w:r w:rsidR="00822AD8" w:rsidRPr="00295637">
        <w:rPr>
          <w:lang w:val="bs-Latn-BA"/>
        </w:rPr>
        <w:t xml:space="preserve"> </w:t>
      </w:r>
      <w:r>
        <w:rPr>
          <w:lang w:val="bs-Latn-BA"/>
        </w:rPr>
        <w:t>календарској</w:t>
      </w:r>
      <w:r w:rsidR="00822AD8" w:rsidRPr="00295637">
        <w:rPr>
          <w:lang w:val="bs-Latn-BA"/>
        </w:rPr>
        <w:t xml:space="preserve"> </w:t>
      </w:r>
      <w:r>
        <w:rPr>
          <w:lang w:val="bs-Latn-BA"/>
        </w:rPr>
        <w:t>години</w:t>
      </w:r>
      <w:r w:rsidR="00822AD8" w:rsidRPr="00295637">
        <w:rPr>
          <w:lang w:val="bs-Latn-BA"/>
        </w:rPr>
        <w:t xml:space="preserve"> </w:t>
      </w:r>
      <w:r>
        <w:rPr>
          <w:lang w:val="bs-Latn-BA"/>
        </w:rPr>
        <w:t>у</w:t>
      </w:r>
      <w:r w:rsidR="00822AD8" w:rsidRPr="00295637">
        <w:rPr>
          <w:lang w:val="bs-Latn-BA"/>
        </w:rPr>
        <w:t xml:space="preserve"> </w:t>
      </w:r>
      <w:r>
        <w:rPr>
          <w:lang w:val="bs-Latn-BA"/>
        </w:rPr>
        <w:t>којој</w:t>
      </w:r>
      <w:r w:rsidR="00822AD8" w:rsidRPr="00295637">
        <w:rPr>
          <w:lang w:val="bs-Latn-BA"/>
        </w:rPr>
        <w:t xml:space="preserve"> </w:t>
      </w:r>
      <w:r>
        <w:rPr>
          <w:lang w:val="bs-Latn-BA"/>
        </w:rPr>
        <w:t>се</w:t>
      </w:r>
      <w:r w:rsidR="00822AD8" w:rsidRPr="00295637">
        <w:rPr>
          <w:lang w:val="bs-Latn-BA"/>
        </w:rPr>
        <w:t xml:space="preserve"> </w:t>
      </w:r>
      <w:r>
        <w:rPr>
          <w:lang w:val="bs-Latn-BA"/>
        </w:rPr>
        <w:t>из</w:t>
      </w:r>
      <w:r w:rsidR="00822AD8" w:rsidRPr="00295637">
        <w:rPr>
          <w:lang w:val="bs-Latn-BA"/>
        </w:rPr>
        <w:t xml:space="preserve"> </w:t>
      </w:r>
      <w:r>
        <w:rPr>
          <w:lang w:val="bs-Latn-BA"/>
        </w:rPr>
        <w:t>буџета</w:t>
      </w:r>
      <w:r w:rsidR="00822AD8" w:rsidRPr="00295637">
        <w:rPr>
          <w:lang w:val="bs-Latn-BA"/>
        </w:rPr>
        <w:t xml:space="preserve"> </w:t>
      </w:r>
      <w:r>
        <w:rPr>
          <w:lang w:val="bs-Latn-BA"/>
        </w:rPr>
        <w:t>ФБиХ</w:t>
      </w:r>
      <w:r w:rsidR="00822AD8" w:rsidRPr="00295637">
        <w:rPr>
          <w:lang w:val="bs-Latn-BA"/>
        </w:rPr>
        <w:t xml:space="preserve"> </w:t>
      </w:r>
      <w:r>
        <w:rPr>
          <w:lang w:val="bs-Latn-BA"/>
        </w:rPr>
        <w:t>за</w:t>
      </w:r>
      <w:r w:rsidR="00822AD8" w:rsidRPr="00295637">
        <w:rPr>
          <w:lang w:val="bs-Latn-BA"/>
        </w:rPr>
        <w:t xml:space="preserve"> </w:t>
      </w:r>
      <w:r>
        <w:rPr>
          <w:lang w:val="bs-Latn-BA"/>
        </w:rPr>
        <w:t>ту</w:t>
      </w:r>
      <w:r w:rsidR="00822AD8" w:rsidRPr="00295637">
        <w:rPr>
          <w:lang w:val="bs-Latn-BA"/>
        </w:rPr>
        <w:t xml:space="preserve"> </w:t>
      </w:r>
      <w:r>
        <w:rPr>
          <w:lang w:val="bs-Latn-BA"/>
        </w:rPr>
        <w:t>годину</w:t>
      </w:r>
      <w:r w:rsidR="00822AD8" w:rsidRPr="00295637">
        <w:rPr>
          <w:lang w:val="bs-Latn-BA"/>
        </w:rPr>
        <w:t xml:space="preserve"> </w:t>
      </w:r>
      <w:r>
        <w:rPr>
          <w:lang w:val="bs-Latn-BA"/>
        </w:rPr>
        <w:t>врши</w:t>
      </w:r>
      <w:r w:rsidR="00822AD8" w:rsidRPr="00295637">
        <w:rPr>
          <w:lang w:val="bs-Latn-BA"/>
        </w:rPr>
        <w:t xml:space="preserve"> </w:t>
      </w:r>
      <w:r>
        <w:rPr>
          <w:lang w:val="bs-Latn-BA"/>
        </w:rPr>
        <w:t>исплата</w:t>
      </w:r>
      <w:r w:rsidR="00822AD8" w:rsidRPr="00295637">
        <w:rPr>
          <w:lang w:val="bs-Latn-BA"/>
        </w:rPr>
        <w:t xml:space="preserve"> </w:t>
      </w:r>
      <w:r>
        <w:rPr>
          <w:lang w:val="bs-Latn-BA"/>
        </w:rPr>
        <w:t>на</w:t>
      </w:r>
      <w:r w:rsidR="00822AD8" w:rsidRPr="00295637">
        <w:rPr>
          <w:lang w:val="bs-Latn-BA"/>
        </w:rPr>
        <w:t xml:space="preserve"> </w:t>
      </w:r>
      <w:r>
        <w:rPr>
          <w:lang w:val="bs-Latn-BA"/>
        </w:rPr>
        <w:t>основу</w:t>
      </w:r>
      <w:r w:rsidR="00822AD8" w:rsidRPr="00295637">
        <w:rPr>
          <w:lang w:val="bs-Latn-BA"/>
        </w:rPr>
        <w:t xml:space="preserve"> </w:t>
      </w:r>
      <w:r>
        <w:rPr>
          <w:lang w:val="bs-Latn-BA"/>
        </w:rPr>
        <w:t>ове</w:t>
      </w:r>
      <w:r w:rsidR="00822AD8" w:rsidRPr="00295637">
        <w:rPr>
          <w:lang w:val="bs-Latn-BA"/>
        </w:rPr>
        <w:t xml:space="preserve"> </w:t>
      </w:r>
      <w:r>
        <w:rPr>
          <w:lang w:val="bs-Latn-BA"/>
        </w:rPr>
        <w:t>уредбе</w:t>
      </w:r>
      <w:r w:rsidR="00822AD8" w:rsidRPr="00295637">
        <w:rPr>
          <w:lang w:val="bs-Latn-BA"/>
        </w:rPr>
        <w:t xml:space="preserve">, </w:t>
      </w:r>
      <w:r>
        <w:rPr>
          <w:lang w:val="bs-Latn-BA"/>
        </w:rPr>
        <w:t>и</w:t>
      </w:r>
      <w:r w:rsidR="00822AD8" w:rsidRPr="00295637">
        <w:rPr>
          <w:lang w:val="bs-Latn-BA"/>
        </w:rPr>
        <w:t xml:space="preserve"> </w:t>
      </w:r>
      <w:r>
        <w:rPr>
          <w:lang w:val="bs-Latn-BA"/>
        </w:rPr>
        <w:t>у</w:t>
      </w:r>
      <w:r w:rsidR="00822AD8" w:rsidRPr="00295637">
        <w:rPr>
          <w:lang w:val="bs-Latn-BA"/>
        </w:rPr>
        <w:t xml:space="preserve"> </w:t>
      </w:r>
      <w:r>
        <w:rPr>
          <w:lang w:val="bs-Latn-BA"/>
        </w:rPr>
        <w:t>случају</w:t>
      </w:r>
      <w:r w:rsidR="00822AD8" w:rsidRPr="00295637">
        <w:rPr>
          <w:lang w:val="bs-Latn-BA"/>
        </w:rPr>
        <w:t xml:space="preserve"> </w:t>
      </w:r>
      <w:r>
        <w:rPr>
          <w:lang w:val="bs-Latn-BA"/>
        </w:rPr>
        <w:t>мртворођеног</w:t>
      </w:r>
      <w:r w:rsidR="00822AD8" w:rsidRPr="00295637">
        <w:rPr>
          <w:lang w:val="bs-Latn-BA"/>
        </w:rPr>
        <w:t xml:space="preserve"> </w:t>
      </w:r>
      <w:r>
        <w:rPr>
          <w:lang w:val="bs-Latn-BA"/>
        </w:rPr>
        <w:t>дјетета</w:t>
      </w:r>
      <w:r w:rsidR="00822AD8" w:rsidRPr="00295637">
        <w:rPr>
          <w:lang w:val="bs-Latn-BA"/>
        </w:rPr>
        <w:t xml:space="preserve"> </w:t>
      </w:r>
      <w:r>
        <w:rPr>
          <w:lang w:val="bs-Latn-BA"/>
        </w:rPr>
        <w:t>или</w:t>
      </w:r>
      <w:r w:rsidR="00822AD8" w:rsidRPr="00295637">
        <w:rPr>
          <w:lang w:val="bs-Latn-BA"/>
        </w:rPr>
        <w:t xml:space="preserve"> </w:t>
      </w:r>
      <w:r>
        <w:rPr>
          <w:lang w:val="bs-Latn-BA"/>
        </w:rPr>
        <w:t>уколико</w:t>
      </w:r>
      <w:r w:rsidR="00822AD8" w:rsidRPr="00295637">
        <w:rPr>
          <w:lang w:val="bs-Latn-BA"/>
        </w:rPr>
        <w:t xml:space="preserve"> </w:t>
      </w:r>
      <w:r>
        <w:rPr>
          <w:lang w:val="bs-Latn-BA"/>
        </w:rPr>
        <w:t>дијете</w:t>
      </w:r>
      <w:r w:rsidR="00822AD8" w:rsidRPr="00295637">
        <w:rPr>
          <w:lang w:val="bs-Latn-BA"/>
        </w:rPr>
        <w:t xml:space="preserve"> </w:t>
      </w:r>
      <w:r>
        <w:rPr>
          <w:lang w:val="bs-Latn-BA"/>
        </w:rPr>
        <w:t>умре</w:t>
      </w:r>
      <w:r w:rsidR="00822AD8" w:rsidRPr="00295637">
        <w:rPr>
          <w:lang w:val="bs-Latn-BA"/>
        </w:rPr>
        <w:t xml:space="preserve"> </w:t>
      </w:r>
      <w:r>
        <w:rPr>
          <w:lang w:val="bs-Latn-BA"/>
        </w:rPr>
        <w:t>током</w:t>
      </w:r>
      <w:r w:rsidR="00822AD8" w:rsidRPr="00295637">
        <w:rPr>
          <w:lang w:val="bs-Latn-BA"/>
        </w:rPr>
        <w:t xml:space="preserve"> </w:t>
      </w:r>
      <w:r>
        <w:rPr>
          <w:lang w:val="bs-Latn-BA"/>
        </w:rPr>
        <w:t>трајања</w:t>
      </w:r>
      <w:r w:rsidR="00822AD8" w:rsidRPr="00295637">
        <w:rPr>
          <w:lang w:val="bs-Latn-BA"/>
        </w:rPr>
        <w:t xml:space="preserve"> </w:t>
      </w:r>
      <w:r>
        <w:rPr>
          <w:lang w:val="bs-Latn-BA"/>
        </w:rPr>
        <w:t>периода</w:t>
      </w:r>
      <w:r w:rsidR="00822AD8" w:rsidRPr="00295637">
        <w:rPr>
          <w:lang w:val="bs-Latn-BA"/>
        </w:rPr>
        <w:t xml:space="preserve"> </w:t>
      </w:r>
      <w:r>
        <w:rPr>
          <w:lang w:val="bs-Latn-BA"/>
        </w:rPr>
        <w:t>унутар</w:t>
      </w:r>
      <w:r w:rsidR="00822AD8" w:rsidRPr="00295637">
        <w:rPr>
          <w:lang w:val="bs-Latn-BA"/>
        </w:rPr>
        <w:t xml:space="preserve"> </w:t>
      </w:r>
      <w:r>
        <w:rPr>
          <w:lang w:val="bs-Latn-BA"/>
        </w:rPr>
        <w:t>којег</w:t>
      </w:r>
      <w:r w:rsidR="00822AD8" w:rsidRPr="00295637">
        <w:rPr>
          <w:lang w:val="bs-Latn-BA"/>
        </w:rPr>
        <w:t xml:space="preserve"> </w:t>
      </w:r>
      <w:r>
        <w:rPr>
          <w:lang w:val="bs-Latn-BA"/>
        </w:rPr>
        <w:t>се</w:t>
      </w:r>
      <w:r w:rsidR="00822AD8" w:rsidRPr="00295637">
        <w:rPr>
          <w:lang w:val="bs-Latn-BA"/>
        </w:rPr>
        <w:t xml:space="preserve"> </w:t>
      </w:r>
      <w:r>
        <w:rPr>
          <w:lang w:val="bs-Latn-BA"/>
        </w:rPr>
        <w:t>подносе</w:t>
      </w:r>
      <w:r w:rsidR="00822AD8" w:rsidRPr="00295637">
        <w:rPr>
          <w:lang w:val="bs-Latn-BA"/>
        </w:rPr>
        <w:t xml:space="preserve"> </w:t>
      </w:r>
      <w:r>
        <w:rPr>
          <w:lang w:val="bs-Latn-BA"/>
        </w:rPr>
        <w:t>захтјеви</w:t>
      </w:r>
      <w:r w:rsidR="00822AD8" w:rsidRPr="00295637">
        <w:rPr>
          <w:lang w:val="bs-Latn-BA"/>
        </w:rPr>
        <w:t xml:space="preserve"> </w:t>
      </w:r>
      <w:r>
        <w:rPr>
          <w:lang w:val="bs-Latn-BA"/>
        </w:rPr>
        <w:t>за</w:t>
      </w:r>
      <w:r w:rsidR="00822AD8" w:rsidRPr="00295637">
        <w:rPr>
          <w:lang w:val="bs-Latn-BA"/>
        </w:rPr>
        <w:t xml:space="preserve"> </w:t>
      </w:r>
      <w:r>
        <w:rPr>
          <w:lang w:val="bs-Latn-BA"/>
        </w:rPr>
        <w:t>новчану</w:t>
      </w:r>
      <w:r w:rsidR="00822AD8" w:rsidRPr="00295637">
        <w:rPr>
          <w:lang w:val="bs-Latn-BA"/>
        </w:rPr>
        <w:t xml:space="preserve"> </w:t>
      </w:r>
      <w:r>
        <w:rPr>
          <w:lang w:val="bs-Latn-BA"/>
        </w:rPr>
        <w:t>помоћ</w:t>
      </w:r>
      <w:r w:rsidR="00822AD8" w:rsidRPr="00295637">
        <w:rPr>
          <w:lang w:val="bs-Latn-BA"/>
        </w:rPr>
        <w:t xml:space="preserve"> </w:t>
      </w:r>
      <w:r>
        <w:rPr>
          <w:lang w:val="bs-Latn-BA"/>
        </w:rPr>
        <w:t>на</w:t>
      </w:r>
      <w:r w:rsidR="00822AD8" w:rsidRPr="00295637">
        <w:rPr>
          <w:lang w:val="bs-Latn-BA"/>
        </w:rPr>
        <w:t xml:space="preserve"> </w:t>
      </w:r>
      <w:r>
        <w:rPr>
          <w:lang w:val="bs-Latn-BA"/>
        </w:rPr>
        <w:t>основу</w:t>
      </w:r>
      <w:r w:rsidR="00822AD8" w:rsidRPr="00295637">
        <w:rPr>
          <w:lang w:val="bs-Latn-BA"/>
        </w:rPr>
        <w:t xml:space="preserve"> </w:t>
      </w:r>
      <w:r>
        <w:rPr>
          <w:lang w:val="bs-Latn-BA"/>
        </w:rPr>
        <w:t>ове</w:t>
      </w:r>
      <w:r w:rsidR="00822AD8" w:rsidRPr="00295637">
        <w:rPr>
          <w:lang w:val="bs-Latn-BA"/>
        </w:rPr>
        <w:t xml:space="preserve"> </w:t>
      </w:r>
      <w:r>
        <w:rPr>
          <w:lang w:val="bs-Latn-BA"/>
        </w:rPr>
        <w:t>уредбе</w:t>
      </w:r>
      <w:r w:rsidR="00822AD8" w:rsidRPr="00295637">
        <w:rPr>
          <w:lang w:val="bs-Latn-BA"/>
        </w:rPr>
        <w:t xml:space="preserve">, </w:t>
      </w:r>
      <w:r>
        <w:rPr>
          <w:lang w:val="bs-Latn-BA"/>
        </w:rPr>
        <w:t>те</w:t>
      </w:r>
      <w:r w:rsidR="00822AD8" w:rsidRPr="00295637">
        <w:rPr>
          <w:lang w:val="bs-Latn-BA"/>
        </w:rPr>
        <w:t xml:space="preserve"> </w:t>
      </w:r>
      <w:r>
        <w:rPr>
          <w:lang w:val="bs-Latn-BA"/>
        </w:rPr>
        <w:t>изузетно</w:t>
      </w:r>
      <w:r w:rsidR="00822AD8" w:rsidRPr="00295637">
        <w:rPr>
          <w:lang w:val="bs-Latn-BA"/>
        </w:rPr>
        <w:t xml:space="preserve"> </w:t>
      </w:r>
      <w:r>
        <w:rPr>
          <w:lang w:val="bs-Latn-BA"/>
        </w:rPr>
        <w:t>и</w:t>
      </w:r>
      <w:r w:rsidR="00822AD8" w:rsidRPr="00295637">
        <w:rPr>
          <w:lang w:val="bs-Latn-BA"/>
        </w:rPr>
        <w:t xml:space="preserve"> </w:t>
      </w:r>
      <w:r>
        <w:rPr>
          <w:lang w:val="bs-Latn-BA"/>
        </w:rPr>
        <w:t>отац</w:t>
      </w:r>
      <w:r w:rsidR="00822AD8" w:rsidRPr="00295637">
        <w:rPr>
          <w:lang w:val="bs-Latn-BA"/>
        </w:rPr>
        <w:t xml:space="preserve"> </w:t>
      </w:r>
      <w:r>
        <w:rPr>
          <w:lang w:val="bs-Latn-BA"/>
        </w:rPr>
        <w:t>дјетета</w:t>
      </w:r>
      <w:r w:rsidR="00822AD8" w:rsidRPr="00295637">
        <w:rPr>
          <w:lang w:val="bs-Latn-BA"/>
        </w:rPr>
        <w:t xml:space="preserve"> </w:t>
      </w:r>
      <w:r>
        <w:rPr>
          <w:lang w:val="bs-Latn-BA"/>
        </w:rPr>
        <w:t>у</w:t>
      </w:r>
      <w:r w:rsidR="00822AD8" w:rsidRPr="00295637">
        <w:rPr>
          <w:lang w:val="bs-Latn-BA"/>
        </w:rPr>
        <w:t xml:space="preserve"> </w:t>
      </w:r>
      <w:r>
        <w:rPr>
          <w:lang w:val="bs-Latn-BA"/>
        </w:rPr>
        <w:t>случају</w:t>
      </w:r>
      <w:r w:rsidR="00822AD8" w:rsidRPr="00295637">
        <w:rPr>
          <w:lang w:val="bs-Latn-BA"/>
        </w:rPr>
        <w:t xml:space="preserve"> </w:t>
      </w:r>
      <w:r>
        <w:rPr>
          <w:lang w:val="bs-Latn-BA"/>
        </w:rPr>
        <w:t>смрти</w:t>
      </w:r>
      <w:r w:rsidR="00822AD8" w:rsidRPr="00295637">
        <w:rPr>
          <w:lang w:val="bs-Latn-BA"/>
        </w:rPr>
        <w:t xml:space="preserve"> </w:t>
      </w:r>
      <w:r>
        <w:rPr>
          <w:lang w:val="bs-Latn-BA"/>
        </w:rPr>
        <w:t>мајке</w:t>
      </w:r>
      <w:r w:rsidR="00822AD8" w:rsidRPr="00295637">
        <w:rPr>
          <w:lang w:val="bs-Latn-BA"/>
        </w:rPr>
        <w:t xml:space="preserve"> </w:t>
      </w:r>
      <w:r>
        <w:rPr>
          <w:lang w:val="bs-Latn-BA"/>
        </w:rPr>
        <w:t>дјетета</w:t>
      </w:r>
      <w:r w:rsidR="00822AD8" w:rsidRPr="00295637">
        <w:rPr>
          <w:lang w:val="bs-Latn-BA"/>
        </w:rPr>
        <w:t xml:space="preserve"> </w:t>
      </w:r>
      <w:r>
        <w:rPr>
          <w:lang w:val="bs-Latn-BA"/>
        </w:rPr>
        <w:t>или</w:t>
      </w:r>
      <w:r w:rsidR="00822AD8" w:rsidRPr="00295637">
        <w:rPr>
          <w:lang w:val="bs-Latn-BA"/>
        </w:rPr>
        <w:t xml:space="preserve"> </w:t>
      </w:r>
      <w:r>
        <w:rPr>
          <w:lang w:val="bs-Latn-BA"/>
        </w:rPr>
        <w:t>привремене</w:t>
      </w:r>
      <w:r w:rsidR="00822AD8" w:rsidRPr="00295637">
        <w:rPr>
          <w:lang w:val="bs-Latn-BA"/>
        </w:rPr>
        <w:t xml:space="preserve"> </w:t>
      </w:r>
      <w:r>
        <w:rPr>
          <w:lang w:val="bs-Latn-BA"/>
        </w:rPr>
        <w:t>спријечености</w:t>
      </w:r>
      <w:r w:rsidR="00822AD8" w:rsidRPr="00295637">
        <w:rPr>
          <w:lang w:val="bs-Latn-BA"/>
        </w:rPr>
        <w:t xml:space="preserve"> </w:t>
      </w:r>
      <w:r>
        <w:rPr>
          <w:lang w:val="bs-Latn-BA"/>
        </w:rPr>
        <w:t>мајке</w:t>
      </w:r>
      <w:r w:rsidR="00822AD8" w:rsidRPr="00295637">
        <w:rPr>
          <w:lang w:val="bs-Latn-BA"/>
        </w:rPr>
        <w:t xml:space="preserve"> </w:t>
      </w:r>
      <w:r>
        <w:rPr>
          <w:lang w:val="bs-Latn-BA"/>
        </w:rPr>
        <w:t>да</w:t>
      </w:r>
      <w:r w:rsidR="00822AD8" w:rsidRPr="00295637">
        <w:rPr>
          <w:lang w:val="bs-Latn-BA"/>
        </w:rPr>
        <w:t xml:space="preserve">, </w:t>
      </w:r>
      <w:r>
        <w:rPr>
          <w:lang w:val="bs-Latn-BA"/>
        </w:rPr>
        <w:t>због</w:t>
      </w:r>
      <w:r w:rsidR="00822AD8" w:rsidRPr="00295637">
        <w:rPr>
          <w:lang w:val="bs-Latn-BA"/>
        </w:rPr>
        <w:t xml:space="preserve"> </w:t>
      </w:r>
      <w:r>
        <w:rPr>
          <w:lang w:val="bs-Latn-BA"/>
        </w:rPr>
        <w:t>болести</w:t>
      </w:r>
      <w:r w:rsidR="00822AD8" w:rsidRPr="00295637">
        <w:rPr>
          <w:lang w:val="bs-Latn-BA"/>
        </w:rPr>
        <w:t xml:space="preserve"> </w:t>
      </w:r>
      <w:r>
        <w:rPr>
          <w:lang w:val="bs-Latn-BA"/>
        </w:rPr>
        <w:t>или</w:t>
      </w:r>
      <w:r w:rsidR="00822AD8" w:rsidRPr="00295637">
        <w:rPr>
          <w:lang w:val="bs-Latn-BA"/>
        </w:rPr>
        <w:t xml:space="preserve"> </w:t>
      </w:r>
      <w:r>
        <w:rPr>
          <w:lang w:val="bs-Latn-BA"/>
        </w:rPr>
        <w:t>издржавања</w:t>
      </w:r>
      <w:r w:rsidR="00822AD8" w:rsidRPr="00295637">
        <w:rPr>
          <w:lang w:val="bs-Latn-BA"/>
        </w:rPr>
        <w:t xml:space="preserve"> </w:t>
      </w:r>
      <w:r>
        <w:rPr>
          <w:lang w:val="bs-Latn-BA"/>
        </w:rPr>
        <w:t>казне</w:t>
      </w:r>
      <w:r w:rsidR="00822AD8" w:rsidRPr="00295637">
        <w:rPr>
          <w:lang w:val="bs-Latn-BA"/>
        </w:rPr>
        <w:t xml:space="preserve"> </w:t>
      </w:r>
      <w:r>
        <w:rPr>
          <w:lang w:val="bs-Latn-BA"/>
        </w:rPr>
        <w:t>затвора</w:t>
      </w:r>
      <w:r w:rsidR="00822AD8" w:rsidRPr="00295637">
        <w:rPr>
          <w:lang w:val="bs-Latn-BA"/>
        </w:rPr>
        <w:t xml:space="preserve">, </w:t>
      </w:r>
      <w:r>
        <w:rPr>
          <w:lang w:val="bs-Latn-BA"/>
        </w:rPr>
        <w:t>брине</w:t>
      </w:r>
      <w:r w:rsidR="00822AD8" w:rsidRPr="00295637">
        <w:rPr>
          <w:lang w:val="bs-Latn-BA"/>
        </w:rPr>
        <w:t xml:space="preserve"> </w:t>
      </w:r>
      <w:r>
        <w:rPr>
          <w:lang w:val="bs-Latn-BA"/>
        </w:rPr>
        <w:t>о</w:t>
      </w:r>
      <w:r w:rsidR="00822AD8" w:rsidRPr="00295637">
        <w:rPr>
          <w:lang w:val="bs-Latn-BA"/>
        </w:rPr>
        <w:t xml:space="preserve"> </w:t>
      </w:r>
      <w:r>
        <w:rPr>
          <w:lang w:val="bs-Latn-BA"/>
        </w:rPr>
        <w:t>дјетету</w:t>
      </w:r>
      <w:r w:rsidR="00822AD8" w:rsidRPr="00295637">
        <w:rPr>
          <w:lang w:val="bs-Latn-BA"/>
        </w:rPr>
        <w:t xml:space="preserve"> </w:t>
      </w:r>
      <w:r>
        <w:rPr>
          <w:lang w:val="bs-Latn-BA"/>
        </w:rPr>
        <w:t>или</w:t>
      </w:r>
      <w:r w:rsidR="00822AD8" w:rsidRPr="00295637">
        <w:rPr>
          <w:lang w:val="bs-Latn-BA"/>
        </w:rPr>
        <w:t xml:space="preserve"> </w:t>
      </w:r>
      <w:r>
        <w:rPr>
          <w:lang w:val="bs-Latn-BA"/>
        </w:rPr>
        <w:t>у</w:t>
      </w:r>
      <w:r w:rsidR="00822AD8" w:rsidRPr="00295637">
        <w:rPr>
          <w:lang w:val="bs-Latn-BA"/>
        </w:rPr>
        <w:t xml:space="preserve"> </w:t>
      </w:r>
      <w:r>
        <w:rPr>
          <w:lang w:val="bs-Latn-BA"/>
        </w:rPr>
        <w:t>случају</w:t>
      </w:r>
      <w:r w:rsidR="00822AD8" w:rsidRPr="00295637">
        <w:rPr>
          <w:lang w:val="bs-Latn-BA"/>
        </w:rPr>
        <w:t xml:space="preserve"> </w:t>
      </w:r>
      <w:r>
        <w:rPr>
          <w:lang w:val="bs-Latn-BA"/>
        </w:rPr>
        <w:t>да</w:t>
      </w:r>
      <w:r w:rsidR="00822AD8" w:rsidRPr="00295637">
        <w:rPr>
          <w:lang w:val="bs-Latn-BA"/>
        </w:rPr>
        <w:t xml:space="preserve"> </w:t>
      </w:r>
      <w:r>
        <w:rPr>
          <w:lang w:val="bs-Latn-BA"/>
        </w:rPr>
        <w:t>је</w:t>
      </w:r>
      <w:r w:rsidR="00822AD8" w:rsidRPr="00295637">
        <w:rPr>
          <w:lang w:val="bs-Latn-BA"/>
        </w:rPr>
        <w:t xml:space="preserve"> </w:t>
      </w:r>
      <w:r>
        <w:rPr>
          <w:lang w:val="bs-Latn-BA"/>
        </w:rPr>
        <w:t>мајци</w:t>
      </w:r>
      <w:r w:rsidR="00822AD8" w:rsidRPr="00295637">
        <w:rPr>
          <w:lang w:val="bs-Latn-BA"/>
        </w:rPr>
        <w:t xml:space="preserve"> </w:t>
      </w:r>
      <w:r>
        <w:rPr>
          <w:lang w:val="bs-Latn-BA"/>
        </w:rPr>
        <w:t>одузето</w:t>
      </w:r>
      <w:r w:rsidR="00822AD8" w:rsidRPr="00295637">
        <w:rPr>
          <w:lang w:val="bs-Latn-BA"/>
        </w:rPr>
        <w:t xml:space="preserve"> </w:t>
      </w:r>
      <w:r>
        <w:rPr>
          <w:lang w:val="bs-Latn-BA"/>
        </w:rPr>
        <w:t>родитељско</w:t>
      </w:r>
      <w:r w:rsidR="00822AD8" w:rsidRPr="00295637">
        <w:rPr>
          <w:lang w:val="bs-Latn-BA"/>
        </w:rPr>
        <w:t xml:space="preserve"> </w:t>
      </w:r>
      <w:r>
        <w:rPr>
          <w:lang w:val="bs-Latn-BA"/>
        </w:rPr>
        <w:t>право</w:t>
      </w:r>
      <w:r w:rsidR="00822AD8" w:rsidRPr="00295637">
        <w:rPr>
          <w:lang w:val="bs-Latn-BA"/>
        </w:rPr>
        <w:t>.</w:t>
      </w:r>
    </w:p>
    <w:p w:rsidR="00B4124E" w:rsidRPr="00295637" w:rsidRDefault="00B4124E" w:rsidP="0086268D">
      <w:pPr>
        <w:pStyle w:val="NormalWeb"/>
        <w:spacing w:before="0" w:beforeAutospacing="0" w:after="0" w:afterAutospacing="0"/>
        <w:jc w:val="both"/>
        <w:rPr>
          <w:lang w:val="bs-Latn-BA"/>
        </w:rPr>
      </w:pPr>
    </w:p>
    <w:p w:rsidR="00822AD8" w:rsidRPr="00295637" w:rsidRDefault="00C6214E" w:rsidP="0086268D">
      <w:pPr>
        <w:pStyle w:val="NormalWeb"/>
        <w:spacing w:before="0" w:beforeAutospacing="0" w:after="0" w:afterAutospacing="0"/>
        <w:jc w:val="both"/>
        <w:rPr>
          <w:rFonts w:ascii="Gill Sans MT" w:hAnsi="Gill Sans MT"/>
          <w:lang w:val="bs-Latn-BA"/>
        </w:rPr>
      </w:pPr>
      <w:r>
        <w:rPr>
          <w:lang w:val="bs-Latn-BA"/>
        </w:rPr>
        <w:t>Коначно</w:t>
      </w:r>
      <w:r w:rsidR="00822AD8" w:rsidRPr="00295637">
        <w:rPr>
          <w:lang w:val="bs-Latn-BA"/>
        </w:rPr>
        <w:t xml:space="preserve">, </w:t>
      </w:r>
      <w:r>
        <w:rPr>
          <w:lang w:val="bs-Latn-BA"/>
        </w:rPr>
        <w:t>ФМРСП</w:t>
      </w:r>
      <w:r w:rsidR="00822AD8" w:rsidRPr="00295637">
        <w:rPr>
          <w:lang w:val="bs-Latn-BA"/>
        </w:rPr>
        <w:t xml:space="preserve"> </w:t>
      </w:r>
      <w:r>
        <w:rPr>
          <w:lang w:val="bs-Latn-BA"/>
        </w:rPr>
        <w:t>је</w:t>
      </w:r>
      <w:r w:rsidR="00780537" w:rsidRPr="00295637">
        <w:rPr>
          <w:lang w:val="bs-Latn-BA"/>
        </w:rPr>
        <w:t xml:space="preserve"> </w:t>
      </w:r>
      <w:r>
        <w:rPr>
          <w:lang w:val="bs-Latn-BA"/>
        </w:rPr>
        <w:t>израдило</w:t>
      </w:r>
      <w:r w:rsidR="00822AD8" w:rsidRPr="00295637">
        <w:rPr>
          <w:lang w:val="bs-Latn-BA"/>
        </w:rPr>
        <w:t xml:space="preserve"> </w:t>
      </w:r>
      <w:r>
        <w:rPr>
          <w:lang w:val="bs-Latn-BA"/>
        </w:rPr>
        <w:t>Стратегију</w:t>
      </w:r>
      <w:r w:rsidR="00822AD8" w:rsidRPr="00295637">
        <w:rPr>
          <w:lang w:val="bs-Latn-BA"/>
        </w:rPr>
        <w:t xml:space="preserve"> </w:t>
      </w:r>
      <w:r>
        <w:rPr>
          <w:lang w:val="bs-Latn-BA"/>
        </w:rPr>
        <w:t>развоја</w:t>
      </w:r>
      <w:r w:rsidR="00822AD8" w:rsidRPr="00295637">
        <w:rPr>
          <w:lang w:val="bs-Latn-BA"/>
        </w:rPr>
        <w:t xml:space="preserve"> </w:t>
      </w:r>
      <w:r>
        <w:rPr>
          <w:lang w:val="bs-Latn-BA"/>
        </w:rPr>
        <w:t>система</w:t>
      </w:r>
      <w:r w:rsidR="00822AD8" w:rsidRPr="00295637">
        <w:rPr>
          <w:lang w:val="bs-Latn-BA"/>
        </w:rPr>
        <w:t xml:space="preserve"> </w:t>
      </w:r>
      <w:r>
        <w:rPr>
          <w:lang w:val="bs-Latn-BA"/>
        </w:rPr>
        <w:t>социјалне</w:t>
      </w:r>
      <w:r w:rsidR="00822AD8" w:rsidRPr="00295637">
        <w:rPr>
          <w:lang w:val="bs-Latn-BA"/>
        </w:rPr>
        <w:t xml:space="preserve"> </w:t>
      </w:r>
      <w:r>
        <w:rPr>
          <w:lang w:val="bs-Latn-BA"/>
        </w:rPr>
        <w:t>и</w:t>
      </w:r>
      <w:r w:rsidR="00822AD8" w:rsidRPr="00295637">
        <w:rPr>
          <w:lang w:val="bs-Latn-BA"/>
        </w:rPr>
        <w:t xml:space="preserve"> </w:t>
      </w:r>
      <w:r>
        <w:rPr>
          <w:lang w:val="bs-Latn-BA"/>
        </w:rPr>
        <w:t>дјечије</w:t>
      </w:r>
      <w:r w:rsidR="00822AD8" w:rsidRPr="00295637">
        <w:rPr>
          <w:lang w:val="bs-Latn-BA"/>
        </w:rPr>
        <w:t xml:space="preserve"> </w:t>
      </w:r>
      <w:r>
        <w:rPr>
          <w:lang w:val="bs-Latn-BA"/>
        </w:rPr>
        <w:t>заштите</w:t>
      </w:r>
      <w:r w:rsidR="00822AD8" w:rsidRPr="00295637">
        <w:rPr>
          <w:lang w:val="bs-Latn-BA"/>
        </w:rPr>
        <w:t xml:space="preserve"> </w:t>
      </w:r>
      <w:r>
        <w:rPr>
          <w:lang w:val="bs-Latn-BA"/>
        </w:rPr>
        <w:t>у</w:t>
      </w:r>
      <w:r w:rsidR="00822AD8" w:rsidRPr="00295637">
        <w:rPr>
          <w:lang w:val="bs-Latn-BA"/>
        </w:rPr>
        <w:t xml:space="preserve"> </w:t>
      </w:r>
      <w:r>
        <w:rPr>
          <w:lang w:val="bs-Latn-BA"/>
        </w:rPr>
        <w:t>ФБиХ</w:t>
      </w:r>
      <w:r w:rsidR="00822AD8" w:rsidRPr="00295637">
        <w:rPr>
          <w:lang w:val="bs-Latn-BA"/>
        </w:rPr>
        <w:t xml:space="preserve"> 2024-2030.</w:t>
      </w:r>
      <w:r w:rsidR="00F20948">
        <w:rPr>
          <w:lang w:val="bs-Latn-BA"/>
        </w:rPr>
        <w:t xml:space="preserve"> </w:t>
      </w:r>
      <w:r>
        <w:rPr>
          <w:lang w:val="bs-Latn-BA"/>
        </w:rPr>
        <w:t>година</w:t>
      </w:r>
      <w:r w:rsidR="00F20948">
        <w:rPr>
          <w:lang w:val="bs-Latn-BA"/>
        </w:rPr>
        <w:t>.</w:t>
      </w:r>
      <w:r w:rsidR="00822AD8" w:rsidRPr="00295637">
        <w:rPr>
          <w:lang w:val="bs-Latn-BA"/>
        </w:rPr>
        <w:t xml:space="preserve"> </w:t>
      </w:r>
      <w:r>
        <w:rPr>
          <w:lang w:val="bs-Latn-BA"/>
        </w:rPr>
        <w:t>Стратегија</w:t>
      </w:r>
      <w:r w:rsidR="00822AD8" w:rsidRPr="00295637">
        <w:rPr>
          <w:lang w:val="bs-Latn-BA"/>
        </w:rPr>
        <w:t xml:space="preserve"> </w:t>
      </w:r>
      <w:r>
        <w:rPr>
          <w:lang w:val="bs-Latn-BA"/>
        </w:rPr>
        <w:t>је</w:t>
      </w:r>
      <w:r w:rsidR="00822AD8" w:rsidRPr="00295637">
        <w:rPr>
          <w:lang w:val="bs-Latn-BA"/>
        </w:rPr>
        <w:t xml:space="preserve"> </w:t>
      </w:r>
      <w:r>
        <w:rPr>
          <w:lang w:val="bs-Latn-BA"/>
        </w:rPr>
        <w:t>усмјерена</w:t>
      </w:r>
      <w:r w:rsidR="00822AD8" w:rsidRPr="00295637">
        <w:rPr>
          <w:lang w:val="bs-Latn-BA"/>
        </w:rPr>
        <w:t xml:space="preserve"> </w:t>
      </w:r>
      <w:r>
        <w:rPr>
          <w:lang w:val="bs-Latn-BA"/>
        </w:rPr>
        <w:t>на</w:t>
      </w:r>
      <w:r w:rsidR="00822AD8" w:rsidRPr="00295637">
        <w:rPr>
          <w:lang w:val="bs-Latn-BA"/>
        </w:rPr>
        <w:t xml:space="preserve"> </w:t>
      </w:r>
      <w:r>
        <w:rPr>
          <w:lang w:val="bs-Latn-BA"/>
        </w:rPr>
        <w:t>побољшање</w:t>
      </w:r>
      <w:r w:rsidR="00822AD8" w:rsidRPr="00295637">
        <w:rPr>
          <w:lang w:val="bs-Latn-BA"/>
        </w:rPr>
        <w:t xml:space="preserve"> </w:t>
      </w:r>
      <w:r>
        <w:rPr>
          <w:lang w:val="bs-Latn-BA"/>
        </w:rPr>
        <w:t>инклузије</w:t>
      </w:r>
      <w:r w:rsidR="00822AD8" w:rsidRPr="00295637">
        <w:rPr>
          <w:lang w:val="bs-Latn-BA"/>
        </w:rPr>
        <w:t xml:space="preserve"> </w:t>
      </w:r>
      <w:r>
        <w:rPr>
          <w:lang w:val="bs-Latn-BA"/>
        </w:rPr>
        <w:t>маргинализ</w:t>
      </w:r>
      <w:r w:rsidR="00E654F2">
        <w:rPr>
          <w:lang w:val="sr-Cyrl-BA"/>
        </w:rPr>
        <w:t>ованих</w:t>
      </w:r>
      <w:r w:rsidR="00822AD8" w:rsidRPr="00295637">
        <w:rPr>
          <w:lang w:val="bs-Latn-BA"/>
        </w:rPr>
        <w:t xml:space="preserve"> </w:t>
      </w:r>
      <w:r>
        <w:rPr>
          <w:lang w:val="bs-Latn-BA"/>
        </w:rPr>
        <w:t>група</w:t>
      </w:r>
      <w:r w:rsidR="00822AD8" w:rsidRPr="00295637">
        <w:rPr>
          <w:lang w:val="bs-Latn-BA"/>
        </w:rPr>
        <w:t xml:space="preserve">, </w:t>
      </w:r>
      <w:r>
        <w:rPr>
          <w:lang w:val="bs-Latn-BA"/>
        </w:rPr>
        <w:t>смањење</w:t>
      </w:r>
      <w:r w:rsidR="00822AD8" w:rsidRPr="00295637">
        <w:rPr>
          <w:lang w:val="bs-Latn-BA"/>
        </w:rPr>
        <w:t xml:space="preserve"> </w:t>
      </w:r>
      <w:r>
        <w:rPr>
          <w:lang w:val="bs-Latn-BA"/>
        </w:rPr>
        <w:t>сиромаштва</w:t>
      </w:r>
      <w:r w:rsidR="00822AD8" w:rsidRPr="00295637">
        <w:rPr>
          <w:lang w:val="bs-Latn-BA"/>
        </w:rPr>
        <w:t xml:space="preserve"> </w:t>
      </w:r>
      <w:r>
        <w:rPr>
          <w:lang w:val="bs-Latn-BA"/>
        </w:rPr>
        <w:t>и</w:t>
      </w:r>
      <w:r w:rsidR="00822AD8" w:rsidRPr="00295637">
        <w:rPr>
          <w:lang w:val="bs-Latn-BA"/>
        </w:rPr>
        <w:t xml:space="preserve"> </w:t>
      </w:r>
      <w:r>
        <w:rPr>
          <w:lang w:val="bs-Latn-BA"/>
        </w:rPr>
        <w:t>јачање</w:t>
      </w:r>
      <w:r w:rsidR="00822AD8" w:rsidRPr="00295637">
        <w:rPr>
          <w:lang w:val="bs-Latn-BA"/>
        </w:rPr>
        <w:t xml:space="preserve"> </w:t>
      </w:r>
      <w:r>
        <w:rPr>
          <w:lang w:val="bs-Latn-BA"/>
        </w:rPr>
        <w:t>институционалних</w:t>
      </w:r>
      <w:r w:rsidR="00822AD8" w:rsidRPr="00295637">
        <w:rPr>
          <w:lang w:val="bs-Latn-BA"/>
        </w:rPr>
        <w:t xml:space="preserve"> </w:t>
      </w:r>
      <w:r>
        <w:rPr>
          <w:lang w:val="bs-Latn-BA"/>
        </w:rPr>
        <w:t>капацитета</w:t>
      </w:r>
      <w:r w:rsidR="00822AD8" w:rsidRPr="00295637">
        <w:rPr>
          <w:lang w:val="bs-Latn-BA"/>
        </w:rPr>
        <w:t xml:space="preserve"> </w:t>
      </w:r>
      <w:r>
        <w:rPr>
          <w:lang w:val="bs-Latn-BA"/>
        </w:rPr>
        <w:t>у</w:t>
      </w:r>
      <w:r w:rsidR="00822AD8" w:rsidRPr="00295637">
        <w:rPr>
          <w:lang w:val="bs-Latn-BA"/>
        </w:rPr>
        <w:t xml:space="preserve"> </w:t>
      </w:r>
      <w:r>
        <w:rPr>
          <w:lang w:val="bs-Latn-BA"/>
        </w:rPr>
        <w:t>систему</w:t>
      </w:r>
      <w:r w:rsidR="00822AD8" w:rsidRPr="00295637">
        <w:rPr>
          <w:lang w:val="bs-Latn-BA"/>
        </w:rPr>
        <w:t xml:space="preserve"> </w:t>
      </w:r>
      <w:r>
        <w:rPr>
          <w:lang w:val="bs-Latn-BA"/>
        </w:rPr>
        <w:t>социјалне</w:t>
      </w:r>
      <w:r w:rsidR="00822AD8" w:rsidRPr="00295637">
        <w:rPr>
          <w:lang w:val="bs-Latn-BA"/>
        </w:rPr>
        <w:t xml:space="preserve"> </w:t>
      </w:r>
      <w:r>
        <w:rPr>
          <w:lang w:val="bs-Latn-BA"/>
        </w:rPr>
        <w:t>заштите</w:t>
      </w:r>
      <w:r w:rsidR="00822AD8" w:rsidRPr="00295637">
        <w:rPr>
          <w:lang w:val="bs-Latn-BA"/>
        </w:rPr>
        <w:t xml:space="preserve">, </w:t>
      </w:r>
      <w:r>
        <w:rPr>
          <w:lang w:val="bs-Latn-BA"/>
        </w:rPr>
        <w:t>што</w:t>
      </w:r>
      <w:r w:rsidR="00822AD8" w:rsidRPr="00295637">
        <w:rPr>
          <w:lang w:val="bs-Latn-BA"/>
        </w:rPr>
        <w:t xml:space="preserve"> </w:t>
      </w:r>
      <w:r>
        <w:rPr>
          <w:lang w:val="bs-Latn-BA"/>
        </w:rPr>
        <w:t>представља</w:t>
      </w:r>
      <w:r w:rsidR="00822AD8" w:rsidRPr="00295637">
        <w:rPr>
          <w:lang w:val="bs-Latn-BA"/>
        </w:rPr>
        <w:t xml:space="preserve"> </w:t>
      </w:r>
      <w:r>
        <w:rPr>
          <w:lang w:val="bs-Latn-BA"/>
        </w:rPr>
        <w:t>кључни</w:t>
      </w:r>
      <w:r w:rsidR="00822AD8" w:rsidRPr="00295637">
        <w:rPr>
          <w:lang w:val="bs-Latn-BA"/>
        </w:rPr>
        <w:t xml:space="preserve"> </w:t>
      </w:r>
      <w:r>
        <w:rPr>
          <w:lang w:val="bs-Latn-BA"/>
        </w:rPr>
        <w:t>корак</w:t>
      </w:r>
      <w:r w:rsidR="00822AD8" w:rsidRPr="00295637">
        <w:rPr>
          <w:lang w:val="bs-Latn-BA"/>
        </w:rPr>
        <w:t xml:space="preserve"> </w:t>
      </w:r>
      <w:r>
        <w:rPr>
          <w:lang w:val="bs-Latn-BA"/>
        </w:rPr>
        <w:t>ка</w:t>
      </w:r>
      <w:r w:rsidR="00822AD8" w:rsidRPr="00295637">
        <w:rPr>
          <w:lang w:val="bs-Latn-BA"/>
        </w:rPr>
        <w:t xml:space="preserve"> </w:t>
      </w:r>
      <w:r>
        <w:rPr>
          <w:lang w:val="bs-Latn-BA"/>
        </w:rPr>
        <w:t>унапређењу</w:t>
      </w:r>
      <w:r w:rsidR="00822AD8" w:rsidRPr="00295637">
        <w:rPr>
          <w:lang w:val="bs-Latn-BA"/>
        </w:rPr>
        <w:t xml:space="preserve"> </w:t>
      </w:r>
      <w:r>
        <w:rPr>
          <w:lang w:val="bs-Latn-BA"/>
        </w:rPr>
        <w:t>социјалне</w:t>
      </w:r>
      <w:r w:rsidR="00822AD8" w:rsidRPr="00295637">
        <w:rPr>
          <w:lang w:val="bs-Latn-BA"/>
        </w:rPr>
        <w:t xml:space="preserve"> </w:t>
      </w:r>
      <w:r>
        <w:rPr>
          <w:lang w:val="bs-Latn-BA"/>
        </w:rPr>
        <w:t>политике</w:t>
      </w:r>
      <w:r w:rsidR="00822AD8" w:rsidRPr="00295637">
        <w:rPr>
          <w:lang w:val="bs-Latn-BA"/>
        </w:rPr>
        <w:t xml:space="preserve"> </w:t>
      </w:r>
      <w:r>
        <w:rPr>
          <w:lang w:val="bs-Latn-BA"/>
        </w:rPr>
        <w:t>у</w:t>
      </w:r>
      <w:r w:rsidR="00822AD8" w:rsidRPr="00295637">
        <w:rPr>
          <w:lang w:val="bs-Latn-BA"/>
        </w:rPr>
        <w:t xml:space="preserve"> </w:t>
      </w:r>
      <w:r>
        <w:rPr>
          <w:lang w:val="bs-Latn-BA"/>
        </w:rPr>
        <w:t>ФБиХ</w:t>
      </w:r>
      <w:r w:rsidR="00822AD8" w:rsidRPr="00295637">
        <w:rPr>
          <w:lang w:val="bs-Latn-BA"/>
        </w:rPr>
        <w:t>.</w:t>
      </w:r>
    </w:p>
    <w:p w:rsidR="00524E10" w:rsidRPr="00295637" w:rsidRDefault="00524E10" w:rsidP="0086268D">
      <w:pPr>
        <w:jc w:val="both"/>
        <w:rPr>
          <w:rFonts w:ascii="Times New Roman" w:hAnsi="Times New Roman"/>
          <w:lang w:val="bs-Latn-BA"/>
        </w:rPr>
      </w:pPr>
      <w:bookmarkStart w:id="39" w:name="_Toc193788536"/>
    </w:p>
    <w:p w:rsidR="00A92736" w:rsidRPr="00295637" w:rsidRDefault="00C6214E" w:rsidP="0086268D">
      <w:pPr>
        <w:jc w:val="both"/>
        <w:rPr>
          <w:rFonts w:ascii="Times New Roman" w:hAnsi="Times New Roman"/>
          <w:lang w:val="bs-Latn-BA"/>
        </w:rPr>
      </w:pPr>
      <w:r>
        <w:rPr>
          <w:rFonts w:ascii="Times New Roman" w:hAnsi="Times New Roman"/>
          <w:lang w:val="bs-Latn-BA"/>
        </w:rPr>
        <w:t>У</w:t>
      </w:r>
      <w:r w:rsidR="00CE538C">
        <w:rPr>
          <w:rFonts w:ascii="Times New Roman" w:hAnsi="Times New Roman"/>
          <w:lang w:val="bs-Latn-BA"/>
        </w:rPr>
        <w:t xml:space="preserve"> </w:t>
      </w:r>
      <w:r>
        <w:rPr>
          <w:rFonts w:ascii="Times New Roman" w:hAnsi="Times New Roman"/>
          <w:lang w:val="bs-Latn-BA"/>
        </w:rPr>
        <w:t>складу</w:t>
      </w:r>
      <w:r w:rsidR="00CE538C">
        <w:rPr>
          <w:rFonts w:ascii="Times New Roman" w:hAnsi="Times New Roman"/>
          <w:lang w:val="bs-Latn-BA"/>
        </w:rPr>
        <w:t xml:space="preserve"> </w:t>
      </w:r>
      <w:r>
        <w:rPr>
          <w:rFonts w:ascii="Times New Roman" w:hAnsi="Times New Roman"/>
          <w:lang w:val="bs-Latn-BA"/>
        </w:rPr>
        <w:t>са</w:t>
      </w:r>
      <w:r w:rsidR="00822AD8" w:rsidRPr="00295637">
        <w:rPr>
          <w:rFonts w:ascii="Times New Roman" w:hAnsi="Times New Roman"/>
          <w:lang w:val="bs-Latn-BA"/>
        </w:rPr>
        <w:t xml:space="preserve"> </w:t>
      </w:r>
      <w:r>
        <w:rPr>
          <w:rFonts w:ascii="Times New Roman" w:hAnsi="Times New Roman"/>
          <w:lang w:val="bs-Latn-BA"/>
        </w:rPr>
        <w:t>Законом</w:t>
      </w:r>
      <w:r w:rsidR="00822AD8" w:rsidRPr="00295637">
        <w:rPr>
          <w:rFonts w:ascii="Times New Roman" w:hAnsi="Times New Roman"/>
          <w:lang w:val="bs-Latn-BA"/>
        </w:rPr>
        <w:t xml:space="preserve"> </w:t>
      </w:r>
      <w:r>
        <w:rPr>
          <w:rFonts w:ascii="Times New Roman" w:hAnsi="Times New Roman"/>
          <w:lang w:val="bs-Latn-BA"/>
        </w:rPr>
        <w:t>о</w:t>
      </w:r>
      <w:r w:rsidR="00822AD8" w:rsidRPr="00295637">
        <w:rPr>
          <w:rFonts w:ascii="Times New Roman" w:hAnsi="Times New Roman"/>
          <w:lang w:val="bs-Latn-BA"/>
        </w:rPr>
        <w:t xml:space="preserve"> </w:t>
      </w:r>
      <w:r>
        <w:rPr>
          <w:rFonts w:ascii="Times New Roman" w:hAnsi="Times New Roman"/>
          <w:lang w:val="bs-Latn-BA"/>
        </w:rPr>
        <w:t>хранитељству</w:t>
      </w:r>
      <w:r w:rsidR="00822AD8"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Федерацији</w:t>
      </w:r>
      <w:r w:rsidR="00CC3B28">
        <w:rPr>
          <w:rFonts w:ascii="Times New Roman" w:hAnsi="Times New Roman"/>
          <w:lang w:val="bs-Latn-BA"/>
        </w:rPr>
        <w:t xml:space="preserve"> </w:t>
      </w:r>
      <w:r>
        <w:rPr>
          <w:rFonts w:ascii="Times New Roman" w:hAnsi="Times New Roman"/>
          <w:lang w:val="bs-Latn-BA"/>
        </w:rPr>
        <w:t>БиХ</w:t>
      </w:r>
      <w:r w:rsidR="00524E10" w:rsidRPr="00295637">
        <w:rPr>
          <w:rFonts w:ascii="Times New Roman" w:hAnsi="Times New Roman"/>
          <w:lang w:val="bs-Latn-BA"/>
        </w:rPr>
        <w:t xml:space="preserve"> </w:t>
      </w:r>
      <w:r>
        <w:rPr>
          <w:rFonts w:ascii="Times New Roman" w:hAnsi="Times New Roman"/>
          <w:lang w:val="bs-Latn-BA"/>
        </w:rPr>
        <w:t>којег</w:t>
      </w:r>
      <w:r w:rsidR="00524E10" w:rsidRPr="00295637">
        <w:rPr>
          <w:rFonts w:ascii="Times New Roman" w:hAnsi="Times New Roman"/>
          <w:lang w:val="bs-Latn-BA"/>
        </w:rPr>
        <w:t xml:space="preserve"> </w:t>
      </w:r>
      <w:r>
        <w:rPr>
          <w:rFonts w:ascii="Times New Roman" w:hAnsi="Times New Roman"/>
          <w:lang w:val="bs-Latn-BA"/>
        </w:rPr>
        <w:t>је</w:t>
      </w:r>
      <w:r w:rsidR="00524E10" w:rsidRPr="00295637">
        <w:rPr>
          <w:rFonts w:ascii="Times New Roman" w:hAnsi="Times New Roman"/>
          <w:lang w:val="bs-Latn-BA"/>
        </w:rPr>
        <w:t xml:space="preserve"> </w:t>
      </w:r>
      <w:r>
        <w:rPr>
          <w:rFonts w:ascii="Times New Roman" w:hAnsi="Times New Roman"/>
          <w:lang w:val="bs-Latn-BA"/>
        </w:rPr>
        <w:t>припремило</w:t>
      </w:r>
      <w:r w:rsidR="00822AD8" w:rsidRPr="00295637">
        <w:rPr>
          <w:rFonts w:ascii="Times New Roman" w:hAnsi="Times New Roman"/>
          <w:lang w:val="bs-Latn-BA"/>
        </w:rPr>
        <w:t xml:space="preserve"> </w:t>
      </w:r>
      <w:r>
        <w:rPr>
          <w:rFonts w:ascii="Times New Roman" w:hAnsi="Times New Roman"/>
          <w:lang w:val="bs-Latn-BA"/>
        </w:rPr>
        <w:t>ФМРСП</w:t>
      </w:r>
      <w:r w:rsidR="00CA7A18">
        <w:rPr>
          <w:rFonts w:ascii="Times New Roman" w:hAnsi="Times New Roman"/>
          <w:lang w:val="bs-Latn-BA"/>
        </w:rPr>
        <w:t xml:space="preserve"> </w:t>
      </w:r>
      <w:r>
        <w:rPr>
          <w:rFonts w:ascii="Times New Roman" w:hAnsi="Times New Roman"/>
          <w:lang w:val="bs-Latn-BA"/>
        </w:rPr>
        <w:t>усвојен</w:t>
      </w:r>
      <w:r w:rsidR="00822AD8" w:rsidRPr="00295637">
        <w:rPr>
          <w:rFonts w:ascii="Times New Roman" w:hAnsi="Times New Roman"/>
          <w:lang w:val="bs-Latn-BA"/>
        </w:rPr>
        <w:t xml:space="preserve"> </w:t>
      </w:r>
      <w:r>
        <w:rPr>
          <w:rFonts w:ascii="Times New Roman" w:hAnsi="Times New Roman"/>
          <w:lang w:val="bs-Latn-BA"/>
        </w:rPr>
        <w:t>је</w:t>
      </w:r>
      <w:r w:rsidR="00822AD8" w:rsidRPr="00295637">
        <w:rPr>
          <w:rFonts w:ascii="Times New Roman" w:hAnsi="Times New Roman"/>
          <w:lang w:val="bs-Latn-BA"/>
        </w:rPr>
        <w:t xml:space="preserve"> </w:t>
      </w:r>
      <w:r>
        <w:rPr>
          <w:rFonts w:ascii="Times New Roman" w:hAnsi="Times New Roman"/>
          <w:lang w:val="bs-Latn-BA"/>
        </w:rPr>
        <w:t>Програм</w:t>
      </w:r>
      <w:r w:rsidR="00822AD8" w:rsidRPr="00295637">
        <w:rPr>
          <w:rFonts w:ascii="Times New Roman" w:hAnsi="Times New Roman"/>
          <w:lang w:val="bs-Latn-BA"/>
        </w:rPr>
        <w:t xml:space="preserve"> </w:t>
      </w:r>
      <w:r>
        <w:rPr>
          <w:rFonts w:ascii="Times New Roman" w:hAnsi="Times New Roman"/>
          <w:lang w:val="bs-Latn-BA"/>
        </w:rPr>
        <w:t>основних</w:t>
      </w:r>
      <w:r w:rsidR="00822AD8" w:rsidRPr="00295637">
        <w:rPr>
          <w:rFonts w:ascii="Times New Roman" w:hAnsi="Times New Roman"/>
          <w:lang w:val="bs-Latn-BA"/>
        </w:rPr>
        <w:t xml:space="preserve"> </w:t>
      </w:r>
      <w:r>
        <w:rPr>
          <w:rFonts w:ascii="Times New Roman" w:hAnsi="Times New Roman"/>
          <w:lang w:val="bs-Latn-BA"/>
        </w:rPr>
        <w:t>и</w:t>
      </w:r>
      <w:r w:rsidR="00822AD8" w:rsidRPr="00295637">
        <w:rPr>
          <w:rFonts w:ascii="Times New Roman" w:hAnsi="Times New Roman"/>
          <w:lang w:val="bs-Latn-BA"/>
        </w:rPr>
        <w:t xml:space="preserve"> </w:t>
      </w:r>
      <w:r>
        <w:rPr>
          <w:rFonts w:ascii="Times New Roman" w:hAnsi="Times New Roman"/>
          <w:lang w:val="bs-Latn-BA"/>
        </w:rPr>
        <w:t>додатних</w:t>
      </w:r>
      <w:r w:rsidR="00822AD8" w:rsidRPr="00295637">
        <w:rPr>
          <w:rFonts w:ascii="Times New Roman" w:hAnsi="Times New Roman"/>
          <w:lang w:val="bs-Latn-BA"/>
        </w:rPr>
        <w:t xml:space="preserve"> </w:t>
      </w:r>
      <w:r>
        <w:rPr>
          <w:rFonts w:ascii="Times New Roman" w:hAnsi="Times New Roman"/>
          <w:lang w:val="bs-Latn-BA"/>
        </w:rPr>
        <w:t>едукација</w:t>
      </w:r>
      <w:r w:rsidR="00822AD8" w:rsidRPr="00295637">
        <w:rPr>
          <w:rFonts w:ascii="Times New Roman" w:hAnsi="Times New Roman"/>
          <w:lang w:val="bs-Latn-BA"/>
        </w:rPr>
        <w:t xml:space="preserve"> </w:t>
      </w:r>
      <w:r>
        <w:rPr>
          <w:rFonts w:ascii="Times New Roman" w:hAnsi="Times New Roman"/>
          <w:lang w:val="bs-Latn-BA"/>
        </w:rPr>
        <w:t>хранилаца</w:t>
      </w:r>
      <w:r w:rsidR="00822AD8" w:rsidRPr="00295637">
        <w:rPr>
          <w:rFonts w:ascii="Times New Roman" w:hAnsi="Times New Roman"/>
          <w:lang w:val="bs-Latn-BA"/>
        </w:rPr>
        <w:t xml:space="preserve"> </w:t>
      </w:r>
      <w:r w:rsidR="00E654F2">
        <w:rPr>
          <w:rFonts w:ascii="Times New Roman" w:hAnsi="Times New Roman"/>
          <w:lang w:val="sr-Cyrl-BA"/>
        </w:rPr>
        <w:t>с</w:t>
      </w:r>
      <w:r w:rsidR="00822AD8" w:rsidRPr="00295637">
        <w:rPr>
          <w:rFonts w:ascii="Times New Roman" w:hAnsi="Times New Roman"/>
          <w:lang w:val="bs-Latn-BA"/>
        </w:rPr>
        <w:t xml:space="preserve"> </w:t>
      </w:r>
      <w:r>
        <w:rPr>
          <w:rFonts w:ascii="Times New Roman" w:hAnsi="Times New Roman"/>
          <w:lang w:val="bs-Latn-BA"/>
        </w:rPr>
        <w:t>циљ</w:t>
      </w:r>
      <w:r w:rsidR="00E654F2">
        <w:rPr>
          <w:rFonts w:ascii="Times New Roman" w:hAnsi="Times New Roman"/>
          <w:lang w:val="sr-Cyrl-BA"/>
        </w:rPr>
        <w:t>ем</w:t>
      </w:r>
      <w:r w:rsidR="00822AD8" w:rsidRPr="00295637">
        <w:rPr>
          <w:rFonts w:ascii="Times New Roman" w:hAnsi="Times New Roman"/>
          <w:lang w:val="bs-Latn-BA"/>
        </w:rPr>
        <w:t xml:space="preserve"> </w:t>
      </w:r>
      <w:r>
        <w:rPr>
          <w:rFonts w:ascii="Times New Roman" w:hAnsi="Times New Roman"/>
          <w:lang w:val="bs-Latn-BA"/>
        </w:rPr>
        <w:t>развоја</w:t>
      </w:r>
      <w:r w:rsidR="00822AD8" w:rsidRPr="00295637">
        <w:rPr>
          <w:rFonts w:ascii="Times New Roman" w:hAnsi="Times New Roman"/>
          <w:lang w:val="bs-Latn-BA"/>
        </w:rPr>
        <w:t xml:space="preserve"> </w:t>
      </w:r>
      <w:r>
        <w:rPr>
          <w:rFonts w:ascii="Times New Roman" w:hAnsi="Times New Roman"/>
          <w:lang w:val="bs-Latn-BA"/>
        </w:rPr>
        <w:t>хранитељских</w:t>
      </w:r>
      <w:r w:rsidR="00822AD8" w:rsidRPr="00295637">
        <w:rPr>
          <w:rFonts w:ascii="Times New Roman" w:hAnsi="Times New Roman"/>
          <w:lang w:val="bs-Latn-BA"/>
        </w:rPr>
        <w:t xml:space="preserve"> </w:t>
      </w:r>
      <w:r>
        <w:rPr>
          <w:rFonts w:ascii="Times New Roman" w:hAnsi="Times New Roman"/>
          <w:lang w:val="bs-Latn-BA"/>
        </w:rPr>
        <w:t>компетенција</w:t>
      </w:r>
      <w:r w:rsidR="00822AD8" w:rsidRPr="00295637">
        <w:rPr>
          <w:rFonts w:ascii="Times New Roman" w:hAnsi="Times New Roman"/>
          <w:lang w:val="bs-Latn-BA"/>
        </w:rPr>
        <w:t xml:space="preserve"> </w:t>
      </w:r>
      <w:r>
        <w:rPr>
          <w:rFonts w:ascii="Times New Roman" w:hAnsi="Times New Roman"/>
          <w:lang w:val="bs-Latn-BA"/>
        </w:rPr>
        <w:t>и</w:t>
      </w:r>
      <w:r w:rsidR="00822AD8" w:rsidRPr="00295637">
        <w:rPr>
          <w:rFonts w:ascii="Times New Roman" w:hAnsi="Times New Roman"/>
          <w:lang w:val="bs-Latn-BA"/>
        </w:rPr>
        <w:t xml:space="preserve"> </w:t>
      </w:r>
      <w:r>
        <w:rPr>
          <w:rFonts w:ascii="Times New Roman" w:hAnsi="Times New Roman"/>
          <w:lang w:val="bs-Latn-BA"/>
        </w:rPr>
        <w:t>о</w:t>
      </w:r>
      <w:r w:rsidR="00E654F2">
        <w:rPr>
          <w:rFonts w:ascii="Times New Roman" w:hAnsi="Times New Roman"/>
          <w:lang w:val="sr-Cyrl-BA"/>
        </w:rPr>
        <w:t>безбјеђивања</w:t>
      </w:r>
      <w:r w:rsidR="00822AD8" w:rsidRPr="00295637">
        <w:rPr>
          <w:rFonts w:ascii="Times New Roman" w:hAnsi="Times New Roman"/>
          <w:lang w:val="bs-Latn-BA"/>
        </w:rPr>
        <w:t xml:space="preserve"> </w:t>
      </w:r>
      <w:r>
        <w:rPr>
          <w:rFonts w:ascii="Times New Roman" w:hAnsi="Times New Roman"/>
          <w:lang w:val="bs-Latn-BA"/>
        </w:rPr>
        <w:t>квалитетне</w:t>
      </w:r>
      <w:r w:rsidR="00822AD8" w:rsidRPr="00295637">
        <w:rPr>
          <w:rFonts w:ascii="Times New Roman" w:hAnsi="Times New Roman"/>
          <w:lang w:val="bs-Latn-BA"/>
        </w:rPr>
        <w:t xml:space="preserve"> </w:t>
      </w:r>
      <w:r>
        <w:rPr>
          <w:rFonts w:ascii="Times New Roman" w:hAnsi="Times New Roman"/>
          <w:lang w:val="bs-Latn-BA"/>
        </w:rPr>
        <w:t>заштите</w:t>
      </w:r>
      <w:r w:rsidR="00822AD8" w:rsidRPr="00295637">
        <w:rPr>
          <w:rFonts w:ascii="Times New Roman" w:hAnsi="Times New Roman"/>
          <w:lang w:val="bs-Latn-BA"/>
        </w:rPr>
        <w:t xml:space="preserve"> </w:t>
      </w:r>
      <w:r>
        <w:rPr>
          <w:rFonts w:ascii="Times New Roman" w:hAnsi="Times New Roman"/>
          <w:lang w:val="bs-Latn-BA"/>
        </w:rPr>
        <w:t>дјеце</w:t>
      </w:r>
      <w:r w:rsidR="00822AD8" w:rsidRPr="00295637">
        <w:rPr>
          <w:rFonts w:ascii="Times New Roman" w:hAnsi="Times New Roman"/>
          <w:lang w:val="bs-Latn-BA"/>
        </w:rPr>
        <w:t xml:space="preserve"> </w:t>
      </w:r>
      <w:r>
        <w:rPr>
          <w:rFonts w:ascii="Times New Roman" w:hAnsi="Times New Roman"/>
          <w:lang w:val="bs-Latn-BA"/>
        </w:rPr>
        <w:t>којима</w:t>
      </w:r>
      <w:r w:rsidR="00822AD8" w:rsidRPr="00295637">
        <w:rPr>
          <w:rFonts w:ascii="Times New Roman" w:hAnsi="Times New Roman"/>
          <w:lang w:val="bs-Latn-BA"/>
        </w:rPr>
        <w:t xml:space="preserve"> </w:t>
      </w:r>
      <w:r>
        <w:rPr>
          <w:rFonts w:ascii="Times New Roman" w:hAnsi="Times New Roman"/>
          <w:lang w:val="bs-Latn-BA"/>
        </w:rPr>
        <w:t>је</w:t>
      </w:r>
      <w:r w:rsidR="00822AD8" w:rsidRPr="00295637">
        <w:rPr>
          <w:rFonts w:ascii="Times New Roman" w:hAnsi="Times New Roman"/>
          <w:lang w:val="bs-Latn-BA"/>
        </w:rPr>
        <w:t xml:space="preserve"> </w:t>
      </w:r>
      <w:r>
        <w:rPr>
          <w:rFonts w:ascii="Times New Roman" w:hAnsi="Times New Roman"/>
          <w:lang w:val="bs-Latn-BA"/>
        </w:rPr>
        <w:t>потребан</w:t>
      </w:r>
      <w:r w:rsidR="00822AD8" w:rsidRPr="00295637">
        <w:rPr>
          <w:rFonts w:ascii="Times New Roman" w:hAnsi="Times New Roman"/>
          <w:lang w:val="bs-Latn-BA"/>
        </w:rPr>
        <w:t xml:space="preserve"> </w:t>
      </w:r>
      <w:r>
        <w:rPr>
          <w:rFonts w:ascii="Times New Roman" w:hAnsi="Times New Roman"/>
          <w:lang w:val="bs-Latn-BA"/>
        </w:rPr>
        <w:t>овај</w:t>
      </w:r>
      <w:r w:rsidR="00822AD8" w:rsidRPr="00295637">
        <w:rPr>
          <w:rFonts w:ascii="Times New Roman" w:hAnsi="Times New Roman"/>
          <w:lang w:val="bs-Latn-BA"/>
        </w:rPr>
        <w:t xml:space="preserve"> </w:t>
      </w:r>
      <w:r>
        <w:rPr>
          <w:rFonts w:ascii="Times New Roman" w:hAnsi="Times New Roman"/>
          <w:lang w:val="bs-Latn-BA"/>
        </w:rPr>
        <w:t>вид</w:t>
      </w:r>
      <w:r w:rsidR="00822AD8" w:rsidRPr="00295637">
        <w:rPr>
          <w:rFonts w:ascii="Times New Roman" w:hAnsi="Times New Roman"/>
          <w:lang w:val="bs-Latn-BA"/>
        </w:rPr>
        <w:t xml:space="preserve"> </w:t>
      </w:r>
      <w:r>
        <w:rPr>
          <w:rFonts w:ascii="Times New Roman" w:hAnsi="Times New Roman"/>
          <w:lang w:val="bs-Latn-BA"/>
        </w:rPr>
        <w:t>збрињавања</w:t>
      </w:r>
      <w:r w:rsidR="00822AD8" w:rsidRPr="00295637">
        <w:rPr>
          <w:rFonts w:ascii="Times New Roman" w:hAnsi="Times New Roman"/>
          <w:lang w:val="bs-Latn-BA"/>
        </w:rPr>
        <w:t xml:space="preserve">. </w:t>
      </w:r>
      <w:r>
        <w:rPr>
          <w:rFonts w:ascii="Times New Roman" w:hAnsi="Times New Roman"/>
          <w:lang w:val="bs-Latn-BA"/>
        </w:rPr>
        <w:t>Реализ</w:t>
      </w:r>
      <w:r w:rsidR="00E654F2">
        <w:rPr>
          <w:rFonts w:ascii="Times New Roman" w:hAnsi="Times New Roman"/>
          <w:lang w:val="sr-Cyrl-BA"/>
        </w:rPr>
        <w:t>оване</w:t>
      </w:r>
      <w:r w:rsidR="00822AD8" w:rsidRPr="00295637">
        <w:rPr>
          <w:rFonts w:ascii="Times New Roman" w:hAnsi="Times New Roman"/>
          <w:lang w:val="bs-Latn-BA"/>
        </w:rPr>
        <w:t xml:space="preserve"> </w:t>
      </w:r>
      <w:r>
        <w:rPr>
          <w:rFonts w:ascii="Times New Roman" w:hAnsi="Times New Roman"/>
          <w:lang w:val="bs-Latn-BA"/>
        </w:rPr>
        <w:t>су</w:t>
      </w:r>
      <w:r w:rsidR="00822AD8" w:rsidRPr="00295637">
        <w:rPr>
          <w:rFonts w:ascii="Times New Roman" w:hAnsi="Times New Roman"/>
          <w:lang w:val="bs-Latn-BA"/>
        </w:rPr>
        <w:t xml:space="preserve"> </w:t>
      </w:r>
      <w:r>
        <w:rPr>
          <w:rFonts w:ascii="Times New Roman" w:hAnsi="Times New Roman"/>
          <w:lang w:val="bs-Latn-BA"/>
        </w:rPr>
        <w:t>обуке</w:t>
      </w:r>
      <w:r w:rsidR="00822AD8" w:rsidRPr="00295637">
        <w:rPr>
          <w:rFonts w:ascii="Times New Roman" w:hAnsi="Times New Roman"/>
          <w:lang w:val="bs-Latn-BA"/>
        </w:rPr>
        <w:t xml:space="preserve"> </w:t>
      </w:r>
      <w:r>
        <w:rPr>
          <w:rFonts w:ascii="Times New Roman" w:hAnsi="Times New Roman"/>
          <w:lang w:val="bs-Latn-BA"/>
        </w:rPr>
        <w:t>у</w:t>
      </w:r>
      <w:r w:rsidR="00CE538C">
        <w:rPr>
          <w:rFonts w:ascii="Times New Roman" w:hAnsi="Times New Roman"/>
          <w:lang w:val="bs-Latn-BA"/>
        </w:rPr>
        <w:t xml:space="preserve"> </w:t>
      </w:r>
      <w:r>
        <w:rPr>
          <w:rFonts w:ascii="Times New Roman" w:hAnsi="Times New Roman"/>
          <w:lang w:val="bs-Latn-BA"/>
        </w:rPr>
        <w:t>складу</w:t>
      </w:r>
      <w:r w:rsidR="00CE538C">
        <w:rPr>
          <w:rFonts w:ascii="Times New Roman" w:hAnsi="Times New Roman"/>
          <w:lang w:val="bs-Latn-BA"/>
        </w:rPr>
        <w:t xml:space="preserve"> </w:t>
      </w:r>
      <w:r>
        <w:rPr>
          <w:rFonts w:ascii="Times New Roman" w:hAnsi="Times New Roman"/>
          <w:lang w:val="bs-Latn-BA"/>
        </w:rPr>
        <w:t>са</w:t>
      </w:r>
      <w:r w:rsidR="00822AD8" w:rsidRPr="00295637">
        <w:rPr>
          <w:rFonts w:ascii="Times New Roman" w:hAnsi="Times New Roman"/>
          <w:lang w:val="bs-Latn-BA"/>
        </w:rPr>
        <w:t xml:space="preserve"> </w:t>
      </w:r>
      <w:r>
        <w:rPr>
          <w:rFonts w:ascii="Times New Roman" w:hAnsi="Times New Roman"/>
          <w:lang w:val="bs-Latn-BA"/>
        </w:rPr>
        <w:t>исказаним</w:t>
      </w:r>
      <w:r w:rsidR="00822AD8" w:rsidRPr="00295637">
        <w:rPr>
          <w:rFonts w:ascii="Times New Roman" w:hAnsi="Times New Roman"/>
          <w:lang w:val="bs-Latn-BA"/>
        </w:rPr>
        <w:t xml:space="preserve"> </w:t>
      </w:r>
      <w:r>
        <w:rPr>
          <w:rFonts w:ascii="Times New Roman" w:hAnsi="Times New Roman"/>
          <w:lang w:val="bs-Latn-BA"/>
        </w:rPr>
        <w:t>потребама</w:t>
      </w:r>
      <w:r w:rsidR="00185CD4" w:rsidRPr="00295637">
        <w:rPr>
          <w:rFonts w:ascii="Times New Roman" w:hAnsi="Times New Roman"/>
          <w:lang w:val="bs-Latn-BA"/>
        </w:rPr>
        <w:t>,</w:t>
      </w:r>
      <w:r w:rsidR="00822AD8" w:rsidRPr="00295637">
        <w:rPr>
          <w:rFonts w:ascii="Times New Roman" w:hAnsi="Times New Roman"/>
          <w:lang w:val="bs-Latn-BA"/>
        </w:rPr>
        <w:t xml:space="preserve"> </w:t>
      </w:r>
      <w:r>
        <w:rPr>
          <w:rFonts w:ascii="Times New Roman" w:hAnsi="Times New Roman"/>
          <w:lang w:val="bs-Latn-BA"/>
        </w:rPr>
        <w:t>а</w:t>
      </w:r>
      <w:r w:rsidR="00822AD8" w:rsidRPr="00295637">
        <w:rPr>
          <w:rFonts w:ascii="Times New Roman" w:hAnsi="Times New Roman"/>
          <w:lang w:val="bs-Latn-BA"/>
        </w:rPr>
        <w:t xml:space="preserve"> </w:t>
      </w:r>
      <w:r>
        <w:rPr>
          <w:rFonts w:ascii="Times New Roman" w:hAnsi="Times New Roman"/>
          <w:lang w:val="bs-Latn-BA"/>
        </w:rPr>
        <w:t>извјештаји</w:t>
      </w:r>
      <w:r w:rsidR="00CC3B28">
        <w:rPr>
          <w:rFonts w:ascii="Times New Roman" w:hAnsi="Times New Roman"/>
          <w:lang w:val="bs-Latn-BA"/>
        </w:rPr>
        <w:t xml:space="preserve"> </w:t>
      </w:r>
      <w:r>
        <w:rPr>
          <w:rFonts w:ascii="Times New Roman" w:hAnsi="Times New Roman"/>
          <w:lang w:val="bs-Latn-BA"/>
        </w:rPr>
        <w:t>са</w:t>
      </w:r>
      <w:r w:rsidR="00822AD8" w:rsidRPr="00295637">
        <w:rPr>
          <w:rFonts w:ascii="Times New Roman" w:hAnsi="Times New Roman"/>
          <w:lang w:val="bs-Latn-BA"/>
        </w:rPr>
        <w:t xml:space="preserve"> </w:t>
      </w:r>
      <w:r>
        <w:rPr>
          <w:rFonts w:ascii="Times New Roman" w:hAnsi="Times New Roman"/>
          <w:lang w:val="bs-Latn-BA"/>
        </w:rPr>
        <w:t>обука</w:t>
      </w:r>
      <w:r w:rsidR="00822AD8" w:rsidRPr="00295637">
        <w:rPr>
          <w:rFonts w:ascii="Times New Roman" w:hAnsi="Times New Roman"/>
          <w:lang w:val="bs-Latn-BA"/>
        </w:rPr>
        <w:t xml:space="preserve"> </w:t>
      </w:r>
      <w:r>
        <w:rPr>
          <w:rFonts w:ascii="Times New Roman" w:hAnsi="Times New Roman"/>
          <w:lang w:val="bs-Latn-BA"/>
        </w:rPr>
        <w:t>потврђују</w:t>
      </w:r>
      <w:r w:rsidR="00822AD8" w:rsidRPr="00295637">
        <w:rPr>
          <w:rFonts w:ascii="Times New Roman" w:hAnsi="Times New Roman"/>
          <w:lang w:val="bs-Latn-BA"/>
        </w:rPr>
        <w:t xml:space="preserve"> </w:t>
      </w:r>
      <w:r>
        <w:rPr>
          <w:rFonts w:ascii="Times New Roman" w:hAnsi="Times New Roman"/>
          <w:lang w:val="bs-Latn-BA"/>
        </w:rPr>
        <w:t>да</w:t>
      </w:r>
      <w:r w:rsidR="00822AD8" w:rsidRPr="00295637">
        <w:rPr>
          <w:rFonts w:ascii="Times New Roman" w:hAnsi="Times New Roman"/>
          <w:lang w:val="bs-Latn-BA"/>
        </w:rPr>
        <w:t xml:space="preserve"> </w:t>
      </w:r>
      <w:r>
        <w:rPr>
          <w:rFonts w:ascii="Times New Roman" w:hAnsi="Times New Roman"/>
          <w:lang w:val="bs-Latn-BA"/>
        </w:rPr>
        <w:t>су</w:t>
      </w:r>
      <w:r w:rsidR="00822AD8" w:rsidRPr="00295637">
        <w:rPr>
          <w:rFonts w:ascii="Times New Roman" w:hAnsi="Times New Roman"/>
          <w:lang w:val="bs-Latn-BA"/>
        </w:rPr>
        <w:t xml:space="preserve"> </w:t>
      </w:r>
      <w:r>
        <w:rPr>
          <w:rFonts w:ascii="Times New Roman" w:hAnsi="Times New Roman"/>
          <w:lang w:val="bs-Latn-BA"/>
        </w:rPr>
        <w:t>храниоци</w:t>
      </w:r>
      <w:r w:rsidR="00822AD8" w:rsidRPr="00295637">
        <w:rPr>
          <w:rFonts w:ascii="Times New Roman" w:hAnsi="Times New Roman"/>
          <w:lang w:val="bs-Latn-BA"/>
        </w:rPr>
        <w:t xml:space="preserve"> </w:t>
      </w:r>
      <w:r>
        <w:rPr>
          <w:rFonts w:ascii="Times New Roman" w:hAnsi="Times New Roman"/>
          <w:lang w:val="bs-Latn-BA"/>
        </w:rPr>
        <w:t>стекли</w:t>
      </w:r>
      <w:r w:rsidR="00822AD8" w:rsidRPr="00295637">
        <w:rPr>
          <w:rFonts w:ascii="Times New Roman" w:hAnsi="Times New Roman"/>
          <w:lang w:val="bs-Latn-BA"/>
        </w:rPr>
        <w:t xml:space="preserve"> </w:t>
      </w:r>
      <w:r>
        <w:rPr>
          <w:rFonts w:ascii="Times New Roman" w:hAnsi="Times New Roman"/>
          <w:lang w:val="bs-Latn-BA"/>
        </w:rPr>
        <w:t>кључна</w:t>
      </w:r>
      <w:r w:rsidR="00822AD8" w:rsidRPr="00295637">
        <w:rPr>
          <w:rFonts w:ascii="Times New Roman" w:hAnsi="Times New Roman"/>
          <w:lang w:val="bs-Latn-BA"/>
        </w:rPr>
        <w:t xml:space="preserve"> </w:t>
      </w:r>
      <w:r>
        <w:rPr>
          <w:rFonts w:ascii="Times New Roman" w:hAnsi="Times New Roman"/>
          <w:lang w:val="bs-Latn-BA"/>
        </w:rPr>
        <w:t>знања</w:t>
      </w:r>
      <w:r w:rsidR="00822AD8" w:rsidRPr="00295637">
        <w:rPr>
          <w:rFonts w:ascii="Times New Roman" w:hAnsi="Times New Roman"/>
          <w:lang w:val="bs-Latn-BA"/>
        </w:rPr>
        <w:t xml:space="preserve"> </w:t>
      </w:r>
      <w:r>
        <w:rPr>
          <w:rFonts w:ascii="Times New Roman" w:hAnsi="Times New Roman"/>
          <w:lang w:val="bs-Latn-BA"/>
        </w:rPr>
        <w:t>и</w:t>
      </w:r>
      <w:r w:rsidR="00822AD8" w:rsidRPr="00295637">
        <w:rPr>
          <w:rFonts w:ascii="Times New Roman" w:hAnsi="Times New Roman"/>
          <w:lang w:val="bs-Latn-BA"/>
        </w:rPr>
        <w:t xml:space="preserve"> </w:t>
      </w:r>
      <w:r>
        <w:rPr>
          <w:rFonts w:ascii="Times New Roman" w:hAnsi="Times New Roman"/>
          <w:lang w:val="bs-Latn-BA"/>
        </w:rPr>
        <w:t>вјештине</w:t>
      </w:r>
      <w:r w:rsidR="00822AD8" w:rsidRPr="00295637">
        <w:rPr>
          <w:rFonts w:ascii="Times New Roman" w:hAnsi="Times New Roman"/>
          <w:lang w:val="bs-Latn-BA"/>
        </w:rPr>
        <w:t xml:space="preserve"> </w:t>
      </w:r>
      <w:r>
        <w:rPr>
          <w:rFonts w:ascii="Times New Roman" w:hAnsi="Times New Roman"/>
          <w:lang w:val="bs-Latn-BA"/>
        </w:rPr>
        <w:t>неопходне</w:t>
      </w:r>
      <w:r w:rsidR="00822AD8" w:rsidRPr="00295637">
        <w:rPr>
          <w:rFonts w:ascii="Times New Roman" w:hAnsi="Times New Roman"/>
          <w:lang w:val="bs-Latn-BA"/>
        </w:rPr>
        <w:t xml:space="preserve"> </w:t>
      </w:r>
      <w:r>
        <w:rPr>
          <w:rFonts w:ascii="Times New Roman" w:hAnsi="Times New Roman"/>
          <w:lang w:val="bs-Latn-BA"/>
        </w:rPr>
        <w:t>за</w:t>
      </w:r>
      <w:r w:rsidR="00822AD8" w:rsidRPr="00295637">
        <w:rPr>
          <w:rFonts w:ascii="Times New Roman" w:hAnsi="Times New Roman"/>
          <w:lang w:val="bs-Latn-BA"/>
        </w:rPr>
        <w:t xml:space="preserve"> </w:t>
      </w:r>
      <w:r>
        <w:rPr>
          <w:rFonts w:ascii="Times New Roman" w:hAnsi="Times New Roman"/>
          <w:lang w:val="bs-Latn-BA"/>
        </w:rPr>
        <w:t>пружање</w:t>
      </w:r>
      <w:r w:rsidR="00822AD8" w:rsidRPr="00295637">
        <w:rPr>
          <w:rFonts w:ascii="Times New Roman" w:hAnsi="Times New Roman"/>
          <w:lang w:val="bs-Latn-BA"/>
        </w:rPr>
        <w:t xml:space="preserve"> </w:t>
      </w:r>
      <w:r>
        <w:rPr>
          <w:rFonts w:ascii="Times New Roman" w:hAnsi="Times New Roman"/>
          <w:lang w:val="bs-Latn-BA"/>
        </w:rPr>
        <w:t>подршке</w:t>
      </w:r>
      <w:r w:rsidR="00822AD8" w:rsidRPr="00295637">
        <w:rPr>
          <w:rFonts w:ascii="Times New Roman" w:hAnsi="Times New Roman"/>
          <w:lang w:val="bs-Latn-BA"/>
        </w:rPr>
        <w:t xml:space="preserve"> </w:t>
      </w:r>
      <w:r>
        <w:rPr>
          <w:rFonts w:ascii="Times New Roman" w:hAnsi="Times New Roman"/>
          <w:lang w:val="bs-Latn-BA"/>
        </w:rPr>
        <w:t>дјеци</w:t>
      </w:r>
      <w:r w:rsidR="00822AD8"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хранитељским</w:t>
      </w:r>
      <w:r w:rsidR="00822AD8" w:rsidRPr="00295637">
        <w:rPr>
          <w:rFonts w:ascii="Times New Roman" w:hAnsi="Times New Roman"/>
          <w:lang w:val="bs-Latn-BA"/>
        </w:rPr>
        <w:t xml:space="preserve"> </w:t>
      </w:r>
      <w:r>
        <w:rPr>
          <w:rFonts w:ascii="Times New Roman" w:hAnsi="Times New Roman"/>
          <w:lang w:val="bs-Latn-BA"/>
        </w:rPr>
        <w:t>породицама</w:t>
      </w:r>
      <w:r w:rsidR="00822AD8" w:rsidRPr="00295637">
        <w:rPr>
          <w:rFonts w:ascii="Times New Roman" w:hAnsi="Times New Roman"/>
          <w:lang w:val="bs-Latn-BA"/>
        </w:rPr>
        <w:t>.</w:t>
      </w:r>
      <w:bookmarkEnd w:id="39"/>
    </w:p>
    <w:p w:rsidR="00736CC6" w:rsidRPr="00295637" w:rsidRDefault="00736CC6" w:rsidP="0086268D">
      <w:pPr>
        <w:jc w:val="both"/>
        <w:rPr>
          <w:rFonts w:ascii="Times New Roman" w:hAnsi="Times New Roman"/>
          <w:lang w:val="bs-Latn-BA"/>
        </w:rPr>
      </w:pPr>
    </w:p>
    <w:p w:rsidR="00736CC6" w:rsidRPr="00295637" w:rsidRDefault="00C6214E" w:rsidP="0086268D">
      <w:pPr>
        <w:pStyle w:val="ListParagraph"/>
        <w:ind w:left="0"/>
        <w:jc w:val="both"/>
        <w:rPr>
          <w:rFonts w:ascii="Times New Roman" w:hAnsi="Times New Roman"/>
          <w:lang w:val="sr-Cyrl-BA"/>
        </w:rPr>
      </w:pPr>
      <w:r>
        <w:rPr>
          <w:rFonts w:ascii="Times New Roman" w:hAnsi="Times New Roman"/>
          <w:lang w:val="sr-Latn-BA"/>
        </w:rPr>
        <w:t>Системско</w:t>
      </w:r>
      <w:r w:rsidR="00736CC6" w:rsidRPr="00295637">
        <w:rPr>
          <w:rFonts w:ascii="Times New Roman" w:hAnsi="Times New Roman"/>
          <w:lang w:val="sr-Latn-BA"/>
        </w:rPr>
        <w:t xml:space="preserve"> </w:t>
      </w:r>
      <w:r>
        <w:rPr>
          <w:rFonts w:ascii="Times New Roman" w:hAnsi="Times New Roman"/>
          <w:lang w:val="sr-Latn-BA"/>
        </w:rPr>
        <w:t>законодавство</w:t>
      </w:r>
      <w:r w:rsidR="00736CC6" w:rsidRPr="00295637">
        <w:rPr>
          <w:rFonts w:ascii="Times New Roman" w:hAnsi="Times New Roman"/>
          <w:lang w:val="sr-Latn-BA"/>
        </w:rPr>
        <w:t xml:space="preserve"> </w:t>
      </w:r>
      <w:r>
        <w:rPr>
          <w:rFonts w:ascii="Times New Roman" w:hAnsi="Times New Roman"/>
          <w:lang w:val="sr-Latn-BA"/>
        </w:rPr>
        <w:t>из</w:t>
      </w:r>
      <w:r w:rsidR="00736CC6" w:rsidRPr="00295637">
        <w:rPr>
          <w:rFonts w:ascii="Times New Roman" w:hAnsi="Times New Roman"/>
          <w:lang w:val="sr-Latn-BA"/>
        </w:rPr>
        <w:t xml:space="preserve"> </w:t>
      </w:r>
      <w:r>
        <w:rPr>
          <w:rFonts w:ascii="Times New Roman" w:hAnsi="Times New Roman"/>
          <w:lang w:val="sr-Latn-BA"/>
        </w:rPr>
        <w:t>области</w:t>
      </w:r>
      <w:r w:rsidR="00736CC6" w:rsidRPr="00295637">
        <w:rPr>
          <w:rFonts w:ascii="Times New Roman" w:hAnsi="Times New Roman"/>
          <w:lang w:val="sr-Latn-BA"/>
        </w:rPr>
        <w:t xml:space="preserve"> </w:t>
      </w:r>
      <w:r>
        <w:rPr>
          <w:rFonts w:ascii="Times New Roman" w:hAnsi="Times New Roman"/>
          <w:lang w:val="sr-Latn-BA"/>
        </w:rPr>
        <w:t>социјалне</w:t>
      </w:r>
      <w:r w:rsidR="00736CC6" w:rsidRPr="00295637">
        <w:rPr>
          <w:rFonts w:ascii="Times New Roman" w:hAnsi="Times New Roman"/>
          <w:lang w:val="sr-Latn-BA"/>
        </w:rPr>
        <w:t xml:space="preserve"> </w:t>
      </w:r>
      <w:r>
        <w:rPr>
          <w:rFonts w:ascii="Times New Roman" w:hAnsi="Times New Roman"/>
          <w:lang w:val="sr-Latn-BA"/>
        </w:rPr>
        <w:t>заштите</w:t>
      </w:r>
      <w:r w:rsidR="00736CC6" w:rsidRPr="00295637">
        <w:rPr>
          <w:rFonts w:ascii="Times New Roman" w:hAnsi="Times New Roman"/>
          <w:lang w:val="sr-Latn-BA"/>
        </w:rPr>
        <w:t xml:space="preserve"> </w:t>
      </w:r>
      <w:r>
        <w:rPr>
          <w:rFonts w:ascii="Times New Roman" w:hAnsi="Times New Roman"/>
          <w:lang w:val="sr-Latn-BA"/>
        </w:rPr>
        <w:t>у</w:t>
      </w:r>
      <w:r w:rsidR="00736CC6" w:rsidRPr="00295637">
        <w:rPr>
          <w:rFonts w:ascii="Times New Roman" w:hAnsi="Times New Roman"/>
          <w:lang w:val="sr-Latn-BA"/>
        </w:rPr>
        <w:t xml:space="preserve"> </w:t>
      </w:r>
      <w:r>
        <w:rPr>
          <w:rFonts w:ascii="Times New Roman" w:hAnsi="Times New Roman"/>
          <w:lang w:val="sr-Latn-BA"/>
        </w:rPr>
        <w:t>Републици</w:t>
      </w:r>
      <w:r w:rsidR="00736CC6" w:rsidRPr="00295637">
        <w:rPr>
          <w:rFonts w:ascii="Times New Roman" w:hAnsi="Times New Roman"/>
          <w:lang w:val="sr-Latn-BA"/>
        </w:rPr>
        <w:t xml:space="preserve"> </w:t>
      </w:r>
      <w:r>
        <w:rPr>
          <w:rFonts w:ascii="Times New Roman" w:hAnsi="Times New Roman"/>
          <w:lang w:val="sr-Latn-BA"/>
        </w:rPr>
        <w:t>Српској</w:t>
      </w:r>
      <w:r w:rsidR="00736CC6" w:rsidRPr="00295637">
        <w:rPr>
          <w:rFonts w:ascii="Times New Roman" w:hAnsi="Times New Roman"/>
          <w:lang w:val="sr-Latn-BA"/>
        </w:rPr>
        <w:t xml:space="preserve"> </w:t>
      </w:r>
      <w:r>
        <w:rPr>
          <w:rFonts w:ascii="Times New Roman" w:hAnsi="Times New Roman"/>
          <w:lang w:val="sr-Latn-BA"/>
        </w:rPr>
        <w:t>усклађено</w:t>
      </w:r>
      <w:r w:rsidR="00736CC6" w:rsidRPr="00295637">
        <w:rPr>
          <w:rFonts w:ascii="Times New Roman" w:hAnsi="Times New Roman"/>
          <w:lang w:val="sr-Latn-BA"/>
        </w:rPr>
        <w:t xml:space="preserve"> </w:t>
      </w:r>
      <w:r>
        <w:rPr>
          <w:rFonts w:ascii="Times New Roman" w:hAnsi="Times New Roman"/>
          <w:lang w:val="sr-Latn-BA"/>
        </w:rPr>
        <w:t>је</w:t>
      </w:r>
      <w:r w:rsidR="00CC3B28" w:rsidRPr="00295637">
        <w:rPr>
          <w:rFonts w:ascii="Times New Roman" w:hAnsi="Times New Roman"/>
          <w:lang w:val="sr-Latn-BA"/>
        </w:rPr>
        <w:t xml:space="preserve"> </w:t>
      </w:r>
      <w:r>
        <w:rPr>
          <w:rFonts w:ascii="Times New Roman" w:hAnsi="Times New Roman"/>
          <w:lang w:val="sr-Latn-BA"/>
        </w:rPr>
        <w:t>са</w:t>
      </w:r>
      <w:r w:rsidR="00736CC6" w:rsidRPr="00295637">
        <w:rPr>
          <w:rFonts w:ascii="Times New Roman" w:hAnsi="Times New Roman"/>
          <w:lang w:val="sr-Latn-BA"/>
        </w:rPr>
        <w:t xml:space="preserve"> </w:t>
      </w:r>
      <w:r>
        <w:rPr>
          <w:rFonts w:ascii="Times New Roman" w:hAnsi="Times New Roman"/>
          <w:lang w:val="sr-Latn-BA"/>
        </w:rPr>
        <w:t>стандардима</w:t>
      </w:r>
      <w:r w:rsidR="00736CC6" w:rsidRPr="00295637">
        <w:rPr>
          <w:rFonts w:ascii="Times New Roman" w:hAnsi="Times New Roman"/>
          <w:lang w:val="sr-Latn-BA"/>
        </w:rPr>
        <w:t xml:space="preserve"> </w:t>
      </w:r>
      <w:r>
        <w:rPr>
          <w:rFonts w:ascii="Times New Roman" w:hAnsi="Times New Roman"/>
          <w:lang w:val="sr-Latn-BA"/>
        </w:rPr>
        <w:t>за</w:t>
      </w:r>
      <w:r w:rsidR="00736CC6" w:rsidRPr="00295637">
        <w:rPr>
          <w:rFonts w:ascii="Times New Roman" w:hAnsi="Times New Roman"/>
          <w:lang w:val="sr-Latn-BA"/>
        </w:rPr>
        <w:t xml:space="preserve"> </w:t>
      </w:r>
      <w:r>
        <w:rPr>
          <w:rFonts w:ascii="Times New Roman" w:hAnsi="Times New Roman"/>
          <w:lang w:val="sr-Latn-BA"/>
        </w:rPr>
        <w:t>равноправност</w:t>
      </w:r>
      <w:r w:rsidR="00736CC6" w:rsidRPr="00295637">
        <w:rPr>
          <w:rFonts w:ascii="Times New Roman" w:hAnsi="Times New Roman"/>
          <w:lang w:val="sr-Latn-BA"/>
        </w:rPr>
        <w:t xml:space="preserve"> </w:t>
      </w:r>
      <w:r>
        <w:rPr>
          <w:rFonts w:ascii="Times New Roman" w:hAnsi="Times New Roman"/>
          <w:lang w:val="sr-Latn-BA"/>
        </w:rPr>
        <w:t>полова</w:t>
      </w:r>
      <w:r w:rsidR="00736CC6" w:rsidRPr="00295637">
        <w:rPr>
          <w:rFonts w:ascii="Times New Roman" w:hAnsi="Times New Roman"/>
          <w:lang w:val="sr-Latn-BA"/>
        </w:rPr>
        <w:t xml:space="preserve">. </w:t>
      </w:r>
      <w:r>
        <w:rPr>
          <w:rFonts w:ascii="Times New Roman" w:hAnsi="Times New Roman"/>
          <w:lang w:val="sr-Cyrl-BA"/>
        </w:rPr>
        <w:t>У</w:t>
      </w:r>
      <w:r w:rsidR="00736CC6" w:rsidRPr="00295637">
        <w:rPr>
          <w:rFonts w:ascii="Times New Roman" w:hAnsi="Times New Roman"/>
          <w:lang w:val="sr-Cyrl-BA"/>
        </w:rPr>
        <w:t xml:space="preserve"> 2024. </w:t>
      </w:r>
      <w:r>
        <w:rPr>
          <w:rFonts w:ascii="Times New Roman" w:hAnsi="Times New Roman"/>
          <w:lang w:val="sr-Cyrl-BA"/>
        </w:rPr>
        <w:t>години</w:t>
      </w:r>
      <w:r w:rsidR="00736CC6" w:rsidRPr="00295637">
        <w:rPr>
          <w:rFonts w:ascii="Times New Roman" w:hAnsi="Times New Roman"/>
          <w:lang w:val="sr-Cyrl-BA"/>
        </w:rPr>
        <w:t xml:space="preserve"> </w:t>
      </w:r>
      <w:r>
        <w:rPr>
          <w:rFonts w:ascii="Times New Roman" w:hAnsi="Times New Roman"/>
          <w:lang w:val="sr-Cyrl-BA"/>
        </w:rPr>
        <w:t>није</w:t>
      </w:r>
      <w:r w:rsidR="00736CC6" w:rsidRPr="00295637">
        <w:rPr>
          <w:rFonts w:ascii="Times New Roman" w:hAnsi="Times New Roman"/>
          <w:lang w:val="sr-Cyrl-BA"/>
        </w:rPr>
        <w:t xml:space="preserve"> </w:t>
      </w:r>
      <w:r>
        <w:rPr>
          <w:rFonts w:ascii="Times New Roman" w:hAnsi="Times New Roman"/>
          <w:lang w:val="sr-Cyrl-BA"/>
        </w:rPr>
        <w:t>било</w:t>
      </w:r>
      <w:r w:rsidR="00736CC6" w:rsidRPr="00295637">
        <w:rPr>
          <w:rFonts w:ascii="Times New Roman" w:hAnsi="Times New Roman"/>
          <w:lang w:val="sr-Cyrl-BA"/>
        </w:rPr>
        <w:t xml:space="preserve"> </w:t>
      </w:r>
      <w:r>
        <w:rPr>
          <w:rFonts w:ascii="Times New Roman" w:hAnsi="Times New Roman"/>
          <w:lang w:val="sr-Cyrl-BA"/>
        </w:rPr>
        <w:t>достављених</w:t>
      </w:r>
      <w:r w:rsidR="00736CC6" w:rsidRPr="00295637">
        <w:rPr>
          <w:rFonts w:ascii="Times New Roman" w:hAnsi="Times New Roman"/>
          <w:lang w:val="sr-Cyrl-BA"/>
        </w:rPr>
        <w:t xml:space="preserve"> </w:t>
      </w:r>
      <w:r>
        <w:rPr>
          <w:rFonts w:ascii="Times New Roman" w:hAnsi="Times New Roman"/>
          <w:lang w:val="sr-Cyrl-BA"/>
        </w:rPr>
        <w:t>аката</w:t>
      </w:r>
      <w:r w:rsidR="00736CC6" w:rsidRPr="00295637">
        <w:rPr>
          <w:rFonts w:ascii="Times New Roman" w:hAnsi="Times New Roman"/>
          <w:lang w:val="sr-Cyrl-BA"/>
        </w:rPr>
        <w:t xml:space="preserve"> </w:t>
      </w:r>
      <w:r>
        <w:rPr>
          <w:rFonts w:ascii="Times New Roman" w:hAnsi="Times New Roman"/>
          <w:lang w:val="sr-Cyrl-BA"/>
        </w:rPr>
        <w:t>на</w:t>
      </w:r>
      <w:r w:rsidR="00736CC6" w:rsidRPr="00295637">
        <w:rPr>
          <w:rFonts w:ascii="Times New Roman" w:hAnsi="Times New Roman"/>
          <w:lang w:val="sr-Cyrl-BA"/>
        </w:rPr>
        <w:t xml:space="preserve"> </w:t>
      </w:r>
      <w:r>
        <w:rPr>
          <w:rFonts w:ascii="Times New Roman" w:hAnsi="Times New Roman"/>
          <w:lang w:val="sr-Cyrl-BA"/>
        </w:rPr>
        <w:t>мишљење</w:t>
      </w:r>
      <w:r w:rsidR="00736CC6" w:rsidRPr="00295637">
        <w:rPr>
          <w:rFonts w:ascii="Times New Roman" w:hAnsi="Times New Roman"/>
          <w:lang w:val="sr-Cyrl-BA"/>
        </w:rPr>
        <w:t xml:space="preserve"> </w:t>
      </w:r>
      <w:r>
        <w:rPr>
          <w:rFonts w:ascii="Times New Roman" w:hAnsi="Times New Roman"/>
          <w:lang w:val="sr-Cyrl-BA"/>
        </w:rPr>
        <w:t>из</w:t>
      </w:r>
      <w:r w:rsidR="00736CC6" w:rsidRPr="00295637">
        <w:rPr>
          <w:rFonts w:ascii="Times New Roman" w:hAnsi="Times New Roman"/>
          <w:lang w:val="sr-Cyrl-BA"/>
        </w:rPr>
        <w:t xml:space="preserve"> </w:t>
      </w:r>
      <w:r>
        <w:rPr>
          <w:rFonts w:ascii="Times New Roman" w:hAnsi="Times New Roman"/>
          <w:lang w:val="sr-Cyrl-BA"/>
        </w:rPr>
        <w:t>ов</w:t>
      </w:r>
      <w:r>
        <w:rPr>
          <w:rFonts w:ascii="Times New Roman" w:hAnsi="Times New Roman"/>
          <w:lang w:val="hr-HR"/>
        </w:rPr>
        <w:t>е</w:t>
      </w:r>
      <w:r w:rsidR="00736CC6" w:rsidRPr="00295637">
        <w:rPr>
          <w:rFonts w:ascii="Times New Roman" w:hAnsi="Times New Roman"/>
          <w:lang w:val="sr-Cyrl-BA"/>
        </w:rPr>
        <w:t xml:space="preserve"> </w:t>
      </w:r>
      <w:r>
        <w:rPr>
          <w:rFonts w:ascii="Times New Roman" w:hAnsi="Times New Roman"/>
          <w:lang w:val="hr-HR"/>
        </w:rPr>
        <w:t>области</w:t>
      </w:r>
      <w:r w:rsidR="00736CC6" w:rsidRPr="00295637">
        <w:rPr>
          <w:rFonts w:ascii="Times New Roman" w:hAnsi="Times New Roman"/>
          <w:lang w:val="sr-Cyrl-BA"/>
        </w:rPr>
        <w:t>.</w:t>
      </w:r>
      <w:r w:rsidR="0030076B" w:rsidRPr="00295637">
        <w:rPr>
          <w:rFonts w:ascii="Times New Roman" w:hAnsi="Times New Roman"/>
          <w:lang w:val="bs-Latn-BA"/>
        </w:rPr>
        <w:t xml:space="preserve"> </w:t>
      </w:r>
      <w:r>
        <w:rPr>
          <w:rFonts w:ascii="Times New Roman" w:hAnsi="Times New Roman"/>
          <w:lang w:val="bs-Latn-BA"/>
        </w:rPr>
        <w:t>На</w:t>
      </w:r>
      <w:r w:rsidR="0030076B" w:rsidRPr="00295637">
        <w:rPr>
          <w:rFonts w:ascii="Times New Roman" w:hAnsi="Times New Roman"/>
          <w:lang w:val="bs-Latn-BA"/>
        </w:rPr>
        <w:t xml:space="preserve"> </w:t>
      </w:r>
      <w:r>
        <w:rPr>
          <w:rFonts w:ascii="Times New Roman" w:hAnsi="Times New Roman"/>
          <w:lang w:val="sr-Latn-BA"/>
        </w:rPr>
        <w:t>снази</w:t>
      </w:r>
      <w:r w:rsidR="00736CC6" w:rsidRPr="00295637">
        <w:rPr>
          <w:rFonts w:ascii="Times New Roman" w:hAnsi="Times New Roman"/>
          <w:lang w:val="sr-Latn-BA"/>
        </w:rPr>
        <w:t xml:space="preserve"> </w:t>
      </w:r>
      <w:r>
        <w:rPr>
          <w:rFonts w:ascii="Times New Roman" w:hAnsi="Times New Roman"/>
          <w:lang w:val="sr-Latn-BA"/>
        </w:rPr>
        <w:t>су</w:t>
      </w:r>
      <w:r w:rsidR="00736CC6" w:rsidRPr="00295637">
        <w:rPr>
          <w:rFonts w:ascii="Times New Roman" w:hAnsi="Times New Roman"/>
          <w:lang w:val="sr-Latn-BA"/>
        </w:rPr>
        <w:t xml:space="preserve"> </w:t>
      </w:r>
      <w:r>
        <w:rPr>
          <w:rFonts w:ascii="Times New Roman" w:hAnsi="Times New Roman"/>
          <w:lang w:val="sr-Latn-BA"/>
        </w:rPr>
        <w:t>Стратегија</w:t>
      </w:r>
      <w:r w:rsidR="00736CC6" w:rsidRPr="00295637">
        <w:rPr>
          <w:rFonts w:ascii="Times New Roman" w:hAnsi="Times New Roman"/>
          <w:lang w:val="sr-Latn-BA"/>
        </w:rPr>
        <w:t xml:space="preserve"> </w:t>
      </w:r>
      <w:r>
        <w:rPr>
          <w:rFonts w:ascii="Times New Roman" w:hAnsi="Times New Roman"/>
          <w:lang w:val="sr-Latn-BA"/>
        </w:rPr>
        <w:t>социјалне</w:t>
      </w:r>
      <w:r w:rsidR="00736CC6" w:rsidRPr="00295637">
        <w:rPr>
          <w:rFonts w:ascii="Times New Roman" w:hAnsi="Times New Roman"/>
          <w:lang w:val="sr-Latn-BA"/>
        </w:rPr>
        <w:t xml:space="preserve"> </w:t>
      </w:r>
      <w:r>
        <w:rPr>
          <w:rFonts w:ascii="Times New Roman" w:hAnsi="Times New Roman"/>
          <w:lang w:val="sr-Latn-BA"/>
        </w:rPr>
        <w:t>заштите</w:t>
      </w:r>
      <w:r w:rsidR="00736CC6" w:rsidRPr="00295637">
        <w:rPr>
          <w:rFonts w:ascii="Times New Roman" w:hAnsi="Times New Roman"/>
          <w:lang w:val="sr-Latn-BA"/>
        </w:rPr>
        <w:t xml:space="preserve"> </w:t>
      </w:r>
      <w:r>
        <w:rPr>
          <w:rFonts w:ascii="Times New Roman" w:hAnsi="Times New Roman"/>
          <w:lang w:val="sr-Latn-BA"/>
        </w:rPr>
        <w:t>РС</w:t>
      </w:r>
      <w:r w:rsidR="00736CC6" w:rsidRPr="00295637">
        <w:rPr>
          <w:rFonts w:ascii="Times New Roman" w:hAnsi="Times New Roman"/>
          <w:lang w:val="sr-Latn-BA"/>
        </w:rPr>
        <w:t xml:space="preserve"> 2023</w:t>
      </w:r>
      <w:r w:rsidR="00CC3B28">
        <w:rPr>
          <w:rFonts w:ascii="Times New Roman" w:hAnsi="Times New Roman"/>
          <w:lang w:val="sr-Latn-BA"/>
        </w:rPr>
        <w:t>-2</w:t>
      </w:r>
      <w:r w:rsidR="00736CC6" w:rsidRPr="00295637">
        <w:rPr>
          <w:rFonts w:ascii="Times New Roman" w:hAnsi="Times New Roman"/>
          <w:lang w:val="sr-Latn-BA"/>
        </w:rPr>
        <w:t>029</w:t>
      </w:r>
      <w:r w:rsidR="00CC3B28">
        <w:rPr>
          <w:rFonts w:ascii="Times New Roman" w:hAnsi="Times New Roman"/>
          <w:lang w:val="sr-Latn-BA"/>
        </w:rPr>
        <w:t xml:space="preserve">. </w:t>
      </w:r>
      <w:r>
        <w:rPr>
          <w:rFonts w:ascii="Times New Roman" w:hAnsi="Times New Roman"/>
          <w:lang w:val="sr-Latn-BA"/>
        </w:rPr>
        <w:t>година</w:t>
      </w:r>
      <w:r w:rsidR="00736CC6" w:rsidRPr="00295637">
        <w:rPr>
          <w:rFonts w:ascii="Times New Roman" w:hAnsi="Times New Roman"/>
          <w:lang w:val="sr-Latn-BA"/>
        </w:rPr>
        <w:t xml:space="preserve">, </w:t>
      </w:r>
      <w:r>
        <w:rPr>
          <w:rFonts w:ascii="Times New Roman" w:hAnsi="Times New Roman"/>
          <w:lang w:val="sr-Latn-BA"/>
        </w:rPr>
        <w:t>Стратегија</w:t>
      </w:r>
      <w:r w:rsidR="00736CC6" w:rsidRPr="00295637">
        <w:rPr>
          <w:rFonts w:ascii="Times New Roman" w:hAnsi="Times New Roman"/>
          <w:lang w:val="sr-Latn-BA"/>
        </w:rPr>
        <w:t xml:space="preserve"> </w:t>
      </w:r>
      <w:r>
        <w:rPr>
          <w:rFonts w:ascii="Times New Roman" w:hAnsi="Times New Roman"/>
          <w:lang w:val="sr-Latn-BA"/>
        </w:rPr>
        <w:t>унапређења</w:t>
      </w:r>
      <w:r w:rsidR="00736CC6" w:rsidRPr="00295637">
        <w:rPr>
          <w:rFonts w:ascii="Times New Roman" w:hAnsi="Times New Roman"/>
          <w:lang w:val="sr-Latn-BA"/>
        </w:rPr>
        <w:t xml:space="preserve"> </w:t>
      </w:r>
      <w:r>
        <w:rPr>
          <w:rFonts w:ascii="Times New Roman" w:hAnsi="Times New Roman"/>
          <w:lang w:val="sr-Latn-BA"/>
        </w:rPr>
        <w:t>друштвеног</w:t>
      </w:r>
      <w:r w:rsidR="00736CC6" w:rsidRPr="00295637">
        <w:rPr>
          <w:rFonts w:ascii="Times New Roman" w:hAnsi="Times New Roman"/>
          <w:lang w:val="sr-Latn-BA"/>
        </w:rPr>
        <w:t xml:space="preserve"> </w:t>
      </w:r>
      <w:r>
        <w:rPr>
          <w:rFonts w:ascii="Times New Roman" w:hAnsi="Times New Roman"/>
          <w:lang w:val="sr-Latn-BA"/>
        </w:rPr>
        <w:t>положаја</w:t>
      </w:r>
      <w:r w:rsidR="00736CC6" w:rsidRPr="00295637">
        <w:rPr>
          <w:rFonts w:ascii="Times New Roman" w:hAnsi="Times New Roman"/>
          <w:lang w:val="sr-Latn-BA"/>
        </w:rPr>
        <w:t xml:space="preserve"> </w:t>
      </w:r>
      <w:r>
        <w:rPr>
          <w:rFonts w:ascii="Times New Roman" w:hAnsi="Times New Roman"/>
          <w:lang w:val="sr-Latn-BA"/>
        </w:rPr>
        <w:t>лица</w:t>
      </w:r>
      <w:r w:rsidR="00CC3B28">
        <w:rPr>
          <w:rFonts w:ascii="Times New Roman" w:hAnsi="Times New Roman"/>
          <w:lang w:val="sr-Latn-BA"/>
        </w:rPr>
        <w:t xml:space="preserve"> </w:t>
      </w:r>
      <w:r>
        <w:rPr>
          <w:rFonts w:ascii="Times New Roman" w:hAnsi="Times New Roman"/>
          <w:lang w:val="sr-Latn-BA"/>
        </w:rPr>
        <w:t>са</w:t>
      </w:r>
      <w:r w:rsidR="00736CC6" w:rsidRPr="00295637">
        <w:rPr>
          <w:rFonts w:ascii="Times New Roman" w:hAnsi="Times New Roman"/>
          <w:lang w:val="sr-Latn-BA"/>
        </w:rPr>
        <w:t xml:space="preserve"> </w:t>
      </w:r>
      <w:r>
        <w:rPr>
          <w:rFonts w:ascii="Times New Roman" w:hAnsi="Times New Roman"/>
          <w:lang w:val="sr-Latn-BA"/>
        </w:rPr>
        <w:t>инвалидитетом</w:t>
      </w:r>
      <w:r w:rsidR="00736CC6" w:rsidRPr="00295637">
        <w:rPr>
          <w:rFonts w:ascii="Times New Roman" w:hAnsi="Times New Roman"/>
          <w:lang w:val="sr-Latn-BA"/>
        </w:rPr>
        <w:t xml:space="preserve"> </w:t>
      </w:r>
      <w:r>
        <w:rPr>
          <w:rFonts w:ascii="Times New Roman" w:hAnsi="Times New Roman"/>
          <w:lang w:val="sr-Latn-BA"/>
        </w:rPr>
        <w:t>у</w:t>
      </w:r>
      <w:r w:rsidR="00736CC6" w:rsidRPr="00295637">
        <w:rPr>
          <w:rFonts w:ascii="Times New Roman" w:hAnsi="Times New Roman"/>
          <w:lang w:val="sr-Latn-BA"/>
        </w:rPr>
        <w:t xml:space="preserve"> </w:t>
      </w:r>
      <w:r>
        <w:rPr>
          <w:rFonts w:ascii="Times New Roman" w:hAnsi="Times New Roman"/>
          <w:lang w:val="sr-Latn-BA"/>
        </w:rPr>
        <w:t>Републици</w:t>
      </w:r>
      <w:r w:rsidR="00736CC6" w:rsidRPr="00295637">
        <w:rPr>
          <w:rFonts w:ascii="Times New Roman" w:hAnsi="Times New Roman"/>
          <w:lang w:val="sr-Latn-BA"/>
        </w:rPr>
        <w:t xml:space="preserve"> </w:t>
      </w:r>
      <w:r>
        <w:rPr>
          <w:rFonts w:ascii="Times New Roman" w:hAnsi="Times New Roman"/>
          <w:lang w:val="sr-Latn-BA"/>
        </w:rPr>
        <w:t>Српској</w:t>
      </w:r>
      <w:r w:rsidR="00736CC6" w:rsidRPr="00295637">
        <w:rPr>
          <w:rFonts w:ascii="Times New Roman" w:hAnsi="Times New Roman"/>
          <w:lang w:val="sr-Latn-BA"/>
        </w:rPr>
        <w:t xml:space="preserve"> 2017</w:t>
      </w:r>
      <w:r w:rsidR="00CC3B28">
        <w:rPr>
          <w:rFonts w:ascii="Times New Roman" w:hAnsi="Times New Roman"/>
          <w:lang w:val="sr-Latn-BA"/>
        </w:rPr>
        <w:t>-</w:t>
      </w:r>
      <w:r w:rsidR="00736CC6" w:rsidRPr="00295637">
        <w:rPr>
          <w:rFonts w:ascii="Times New Roman" w:hAnsi="Times New Roman"/>
          <w:lang w:val="sr-Latn-BA"/>
        </w:rPr>
        <w:t>2026.</w:t>
      </w:r>
      <w:r w:rsidR="00CC3B28">
        <w:rPr>
          <w:rFonts w:ascii="Times New Roman" w:hAnsi="Times New Roman"/>
          <w:lang w:val="sr-Latn-BA"/>
        </w:rPr>
        <w:t xml:space="preserve"> </w:t>
      </w:r>
      <w:r>
        <w:rPr>
          <w:rFonts w:ascii="Times New Roman" w:hAnsi="Times New Roman"/>
          <w:lang w:val="sr-Latn-BA"/>
        </w:rPr>
        <w:t>година</w:t>
      </w:r>
      <w:r w:rsidR="00736CC6" w:rsidRPr="00295637">
        <w:rPr>
          <w:rFonts w:ascii="Times New Roman" w:hAnsi="Times New Roman"/>
          <w:lang w:val="sr-Latn-BA"/>
        </w:rPr>
        <w:t xml:space="preserve"> </w:t>
      </w:r>
      <w:r>
        <w:rPr>
          <w:rFonts w:ascii="Times New Roman" w:hAnsi="Times New Roman"/>
          <w:lang w:val="sr-Latn-BA"/>
        </w:rPr>
        <w:t>и</w:t>
      </w:r>
      <w:r w:rsidR="00736CC6" w:rsidRPr="00295637">
        <w:rPr>
          <w:rFonts w:ascii="Times New Roman" w:hAnsi="Times New Roman"/>
          <w:lang w:val="sr-Latn-BA"/>
        </w:rPr>
        <w:t xml:space="preserve"> </w:t>
      </w:r>
      <w:r>
        <w:rPr>
          <w:rFonts w:ascii="Times New Roman" w:hAnsi="Times New Roman"/>
          <w:lang w:val="sr-Latn-BA"/>
        </w:rPr>
        <w:t>Стратегија</w:t>
      </w:r>
      <w:r w:rsidR="00736CC6" w:rsidRPr="00295637">
        <w:rPr>
          <w:rFonts w:ascii="Times New Roman" w:hAnsi="Times New Roman"/>
          <w:lang w:val="sr-Latn-BA"/>
        </w:rPr>
        <w:t xml:space="preserve"> </w:t>
      </w:r>
      <w:r>
        <w:rPr>
          <w:rFonts w:ascii="Times New Roman" w:hAnsi="Times New Roman"/>
          <w:lang w:val="sr-Latn-BA"/>
        </w:rPr>
        <w:t>за</w:t>
      </w:r>
      <w:r w:rsidR="00736CC6" w:rsidRPr="00295637">
        <w:rPr>
          <w:rFonts w:ascii="Times New Roman" w:hAnsi="Times New Roman"/>
          <w:lang w:val="sr-Latn-BA"/>
        </w:rPr>
        <w:t xml:space="preserve"> </w:t>
      </w:r>
      <w:r>
        <w:rPr>
          <w:rFonts w:ascii="Times New Roman" w:hAnsi="Times New Roman"/>
          <w:lang w:val="sr-Latn-BA"/>
        </w:rPr>
        <w:t>унапређење</w:t>
      </w:r>
      <w:r w:rsidR="00736CC6" w:rsidRPr="00295637">
        <w:rPr>
          <w:rFonts w:ascii="Times New Roman" w:hAnsi="Times New Roman"/>
          <w:lang w:val="sr-Latn-BA"/>
        </w:rPr>
        <w:t xml:space="preserve"> </w:t>
      </w:r>
      <w:r>
        <w:rPr>
          <w:rFonts w:ascii="Times New Roman" w:hAnsi="Times New Roman"/>
          <w:lang w:val="sr-Latn-BA"/>
        </w:rPr>
        <w:t>положаја</w:t>
      </w:r>
      <w:r w:rsidR="00736CC6" w:rsidRPr="00295637">
        <w:rPr>
          <w:rFonts w:ascii="Times New Roman" w:hAnsi="Times New Roman"/>
          <w:lang w:val="sr-Latn-BA"/>
        </w:rPr>
        <w:t xml:space="preserve"> </w:t>
      </w:r>
      <w:r>
        <w:rPr>
          <w:rFonts w:ascii="Times New Roman" w:hAnsi="Times New Roman"/>
          <w:lang w:val="sr-Latn-BA"/>
        </w:rPr>
        <w:t>старијих</w:t>
      </w:r>
      <w:r w:rsidR="00736CC6" w:rsidRPr="00295637">
        <w:rPr>
          <w:rFonts w:ascii="Times New Roman" w:hAnsi="Times New Roman"/>
          <w:lang w:val="sr-Latn-BA"/>
        </w:rPr>
        <w:t xml:space="preserve"> </w:t>
      </w:r>
      <w:r>
        <w:rPr>
          <w:rFonts w:ascii="Times New Roman" w:hAnsi="Times New Roman"/>
          <w:lang w:val="sr-Latn-BA"/>
        </w:rPr>
        <w:t>лица</w:t>
      </w:r>
      <w:r w:rsidR="00736CC6" w:rsidRPr="00295637">
        <w:rPr>
          <w:rFonts w:ascii="Times New Roman" w:hAnsi="Times New Roman"/>
          <w:lang w:val="sr-Latn-BA"/>
        </w:rPr>
        <w:t xml:space="preserve"> </w:t>
      </w:r>
      <w:r>
        <w:rPr>
          <w:rFonts w:ascii="Times New Roman" w:hAnsi="Times New Roman"/>
          <w:lang w:val="sr-Latn-BA"/>
        </w:rPr>
        <w:t>у</w:t>
      </w:r>
      <w:r w:rsidR="00736CC6" w:rsidRPr="00295637">
        <w:rPr>
          <w:rFonts w:ascii="Times New Roman" w:hAnsi="Times New Roman"/>
          <w:lang w:val="sr-Latn-BA"/>
        </w:rPr>
        <w:t xml:space="preserve"> </w:t>
      </w:r>
      <w:r>
        <w:rPr>
          <w:rFonts w:ascii="Times New Roman" w:hAnsi="Times New Roman"/>
          <w:lang w:val="sr-Latn-BA"/>
        </w:rPr>
        <w:t>Републици</w:t>
      </w:r>
      <w:r w:rsidR="00736CC6" w:rsidRPr="00295637">
        <w:rPr>
          <w:rFonts w:ascii="Times New Roman" w:hAnsi="Times New Roman"/>
          <w:lang w:val="sr-Latn-BA"/>
        </w:rPr>
        <w:t xml:space="preserve"> </w:t>
      </w:r>
      <w:r>
        <w:rPr>
          <w:rFonts w:ascii="Times New Roman" w:hAnsi="Times New Roman"/>
          <w:lang w:val="sr-Latn-BA"/>
        </w:rPr>
        <w:t>Српској</w:t>
      </w:r>
      <w:r w:rsidR="00736CC6" w:rsidRPr="00295637">
        <w:rPr>
          <w:rFonts w:ascii="Times New Roman" w:hAnsi="Times New Roman"/>
          <w:lang w:val="sr-Latn-BA"/>
        </w:rPr>
        <w:t xml:space="preserve"> 2019</w:t>
      </w:r>
      <w:r w:rsidR="00CC3B28">
        <w:rPr>
          <w:rFonts w:ascii="Times New Roman" w:hAnsi="Times New Roman"/>
          <w:lang w:val="sr-Latn-BA"/>
        </w:rPr>
        <w:t>-</w:t>
      </w:r>
      <w:r w:rsidR="00736CC6" w:rsidRPr="00295637">
        <w:rPr>
          <w:rFonts w:ascii="Times New Roman" w:hAnsi="Times New Roman"/>
          <w:lang w:val="sr-Latn-BA"/>
        </w:rPr>
        <w:t xml:space="preserve">2028. </w:t>
      </w:r>
      <w:r>
        <w:rPr>
          <w:rFonts w:ascii="Times New Roman" w:hAnsi="Times New Roman"/>
          <w:lang w:val="sr-Latn-BA"/>
        </w:rPr>
        <w:t>година</w:t>
      </w:r>
      <w:r w:rsidR="00CC3B28">
        <w:rPr>
          <w:rFonts w:ascii="Times New Roman" w:hAnsi="Times New Roman"/>
          <w:lang w:val="sr-Latn-BA"/>
        </w:rPr>
        <w:t xml:space="preserve">. </w:t>
      </w:r>
      <w:r>
        <w:rPr>
          <w:rFonts w:ascii="Times New Roman" w:hAnsi="Times New Roman"/>
          <w:lang w:val="sr-Latn-BA"/>
        </w:rPr>
        <w:t>Ови</w:t>
      </w:r>
      <w:r w:rsidR="00736CC6" w:rsidRPr="00295637">
        <w:rPr>
          <w:rFonts w:ascii="Times New Roman" w:hAnsi="Times New Roman"/>
          <w:lang w:val="sr-Latn-BA"/>
        </w:rPr>
        <w:t xml:space="preserve"> </w:t>
      </w:r>
      <w:r>
        <w:rPr>
          <w:rFonts w:ascii="Times New Roman" w:hAnsi="Times New Roman"/>
          <w:lang w:val="sr-Latn-BA"/>
        </w:rPr>
        <w:t>документи</w:t>
      </w:r>
      <w:r w:rsidR="00736CC6" w:rsidRPr="00295637">
        <w:rPr>
          <w:rFonts w:ascii="Times New Roman" w:hAnsi="Times New Roman"/>
          <w:lang w:val="sr-Latn-BA"/>
        </w:rPr>
        <w:t xml:space="preserve"> </w:t>
      </w:r>
      <w:r>
        <w:rPr>
          <w:rFonts w:ascii="Times New Roman" w:hAnsi="Times New Roman"/>
          <w:lang w:val="sr-Latn-BA"/>
        </w:rPr>
        <w:t>усаглашени</w:t>
      </w:r>
      <w:r w:rsidR="00736CC6" w:rsidRPr="00295637">
        <w:rPr>
          <w:rFonts w:ascii="Times New Roman" w:hAnsi="Times New Roman"/>
          <w:lang w:val="sr-Latn-BA"/>
        </w:rPr>
        <w:t xml:space="preserve"> </w:t>
      </w:r>
      <w:r>
        <w:rPr>
          <w:rFonts w:ascii="Times New Roman" w:hAnsi="Times New Roman"/>
          <w:lang w:val="sr-Latn-BA"/>
        </w:rPr>
        <w:t>су</w:t>
      </w:r>
      <w:r w:rsidR="00736CC6" w:rsidRPr="00295637">
        <w:rPr>
          <w:rFonts w:ascii="Times New Roman" w:hAnsi="Times New Roman"/>
          <w:lang w:val="sr-Latn-BA"/>
        </w:rPr>
        <w:t xml:space="preserve"> </w:t>
      </w:r>
      <w:r>
        <w:rPr>
          <w:rFonts w:ascii="Times New Roman" w:hAnsi="Times New Roman"/>
          <w:lang w:val="sr-Latn-BA"/>
        </w:rPr>
        <w:t>са</w:t>
      </w:r>
      <w:r w:rsidR="00736CC6" w:rsidRPr="00295637">
        <w:rPr>
          <w:rFonts w:ascii="Times New Roman" w:hAnsi="Times New Roman"/>
          <w:lang w:val="sr-Latn-BA"/>
        </w:rPr>
        <w:t xml:space="preserve"> </w:t>
      </w:r>
      <w:r>
        <w:rPr>
          <w:rFonts w:ascii="Times New Roman" w:hAnsi="Times New Roman"/>
          <w:lang w:val="sr-Latn-BA"/>
        </w:rPr>
        <w:t>стандардима</w:t>
      </w:r>
      <w:r w:rsidR="00736CC6" w:rsidRPr="00295637">
        <w:rPr>
          <w:rFonts w:ascii="Times New Roman" w:hAnsi="Times New Roman"/>
          <w:lang w:val="sr-Latn-BA"/>
        </w:rPr>
        <w:t xml:space="preserve"> </w:t>
      </w:r>
      <w:r>
        <w:rPr>
          <w:rFonts w:ascii="Times New Roman" w:hAnsi="Times New Roman"/>
          <w:lang w:val="sr-Latn-BA"/>
        </w:rPr>
        <w:t>за</w:t>
      </w:r>
      <w:r w:rsidR="00736CC6" w:rsidRPr="00295637">
        <w:rPr>
          <w:rFonts w:ascii="Times New Roman" w:hAnsi="Times New Roman"/>
          <w:lang w:val="sr-Latn-BA"/>
        </w:rPr>
        <w:t xml:space="preserve"> </w:t>
      </w:r>
      <w:r>
        <w:rPr>
          <w:rFonts w:ascii="Times New Roman" w:hAnsi="Times New Roman"/>
          <w:lang w:val="sr-Latn-BA"/>
        </w:rPr>
        <w:t>равноправност</w:t>
      </w:r>
      <w:r w:rsidR="00736CC6" w:rsidRPr="00295637">
        <w:rPr>
          <w:rFonts w:ascii="Times New Roman" w:hAnsi="Times New Roman"/>
          <w:lang w:val="sr-Latn-BA"/>
        </w:rPr>
        <w:t xml:space="preserve"> </w:t>
      </w:r>
      <w:r>
        <w:rPr>
          <w:rFonts w:ascii="Times New Roman" w:hAnsi="Times New Roman"/>
          <w:lang w:val="sr-Latn-BA"/>
        </w:rPr>
        <w:t>полова</w:t>
      </w:r>
      <w:r w:rsidR="00736CC6" w:rsidRPr="00295637">
        <w:rPr>
          <w:rFonts w:ascii="Times New Roman" w:hAnsi="Times New Roman"/>
          <w:lang w:val="sr-Latn-BA"/>
        </w:rPr>
        <w:t>.</w:t>
      </w:r>
    </w:p>
    <w:p w:rsidR="00B92E89" w:rsidRDefault="00B92E89" w:rsidP="0086268D">
      <w:pPr>
        <w:jc w:val="both"/>
        <w:rPr>
          <w:rFonts w:ascii="Times New Roman" w:eastAsia="Aptos" w:hAnsi="Times New Roman"/>
          <w:i/>
          <w:szCs w:val="24"/>
        </w:rPr>
      </w:pPr>
    </w:p>
    <w:p w:rsidR="00686ED7" w:rsidRDefault="00E654F2" w:rsidP="0086268D">
      <w:pPr>
        <w:jc w:val="both"/>
        <w:rPr>
          <w:rFonts w:ascii="Times New Roman" w:eastAsia="Aptos" w:hAnsi="Times New Roman"/>
          <w:szCs w:val="24"/>
        </w:rPr>
      </w:pPr>
      <w:r w:rsidRPr="00E654F2">
        <w:rPr>
          <w:rFonts w:ascii="Times New Roman" w:eastAsia="Aptos" w:hAnsi="Times New Roman"/>
          <w:i/>
          <w:szCs w:val="24"/>
        </w:rPr>
        <w:t>UNICEF</w:t>
      </w:r>
      <w:r w:rsidR="00CF2F55" w:rsidRPr="00295637">
        <w:rPr>
          <w:rFonts w:ascii="Times New Roman" w:eastAsia="Aptos" w:hAnsi="Times New Roman"/>
          <w:szCs w:val="24"/>
        </w:rPr>
        <w:t xml:space="preserve"> </w:t>
      </w:r>
      <w:r w:rsidR="00C6214E">
        <w:rPr>
          <w:rFonts w:ascii="Times New Roman" w:eastAsia="Aptos" w:hAnsi="Times New Roman"/>
          <w:szCs w:val="24"/>
        </w:rPr>
        <w:t>је</w:t>
      </w:r>
      <w:r w:rsidR="00CF2F55" w:rsidRPr="00295637">
        <w:rPr>
          <w:rFonts w:ascii="Times New Roman" w:eastAsia="Aptos" w:hAnsi="Times New Roman"/>
          <w:szCs w:val="24"/>
        </w:rPr>
        <w:t xml:space="preserve"> </w:t>
      </w:r>
      <w:r w:rsidR="00C6214E">
        <w:rPr>
          <w:rFonts w:ascii="Times New Roman" w:eastAsia="Aptos" w:hAnsi="Times New Roman"/>
          <w:szCs w:val="24"/>
        </w:rPr>
        <w:t>у</w:t>
      </w:r>
      <w:r w:rsidR="00CF2F55" w:rsidRPr="00295637">
        <w:rPr>
          <w:rFonts w:ascii="Times New Roman" w:eastAsia="Aptos" w:hAnsi="Times New Roman"/>
          <w:szCs w:val="24"/>
        </w:rPr>
        <w:t xml:space="preserve"> </w:t>
      </w:r>
      <w:r w:rsidR="00C6214E">
        <w:rPr>
          <w:rFonts w:ascii="Times New Roman" w:eastAsia="Aptos" w:hAnsi="Times New Roman"/>
          <w:szCs w:val="24"/>
        </w:rPr>
        <w:t>извјештајном</w:t>
      </w:r>
      <w:r w:rsidR="00CF2F55" w:rsidRPr="00295637">
        <w:rPr>
          <w:rFonts w:ascii="Times New Roman" w:eastAsia="Aptos" w:hAnsi="Times New Roman"/>
          <w:szCs w:val="24"/>
        </w:rPr>
        <w:t xml:space="preserve"> </w:t>
      </w:r>
      <w:r w:rsidR="00C6214E">
        <w:rPr>
          <w:rFonts w:ascii="Times New Roman" w:eastAsia="Aptos" w:hAnsi="Times New Roman"/>
          <w:szCs w:val="24"/>
        </w:rPr>
        <w:t>периподу</w:t>
      </w:r>
      <w:r w:rsidR="00CF2F55" w:rsidRPr="00295637">
        <w:rPr>
          <w:rFonts w:ascii="Times New Roman" w:eastAsia="Aptos" w:hAnsi="Times New Roman"/>
          <w:szCs w:val="24"/>
        </w:rPr>
        <w:t xml:space="preserve"> </w:t>
      </w:r>
      <w:r w:rsidR="00C6214E">
        <w:rPr>
          <w:rFonts w:ascii="Times New Roman" w:eastAsia="Aptos" w:hAnsi="Times New Roman"/>
          <w:szCs w:val="24"/>
        </w:rPr>
        <w:t>пружио</w:t>
      </w:r>
      <w:r w:rsidR="00CF2F55" w:rsidRPr="00295637">
        <w:rPr>
          <w:rFonts w:ascii="Times New Roman" w:eastAsia="Aptos" w:hAnsi="Times New Roman"/>
          <w:szCs w:val="24"/>
        </w:rPr>
        <w:t xml:space="preserve"> </w:t>
      </w:r>
      <w:r w:rsidR="00C6214E">
        <w:rPr>
          <w:rFonts w:ascii="Times New Roman" w:eastAsia="Aptos" w:hAnsi="Times New Roman"/>
          <w:szCs w:val="24"/>
        </w:rPr>
        <w:t>техничку</w:t>
      </w:r>
      <w:r w:rsidR="00142AC8" w:rsidRPr="00295637">
        <w:rPr>
          <w:rFonts w:ascii="Times New Roman" w:eastAsia="Aptos" w:hAnsi="Times New Roman"/>
          <w:szCs w:val="24"/>
        </w:rPr>
        <w:t xml:space="preserve"> </w:t>
      </w:r>
      <w:r w:rsidR="00C6214E">
        <w:rPr>
          <w:rFonts w:ascii="Times New Roman" w:eastAsia="Aptos" w:hAnsi="Times New Roman"/>
          <w:szCs w:val="24"/>
        </w:rPr>
        <w:t>подршку</w:t>
      </w:r>
      <w:r w:rsidR="00CF2F55" w:rsidRPr="00295637">
        <w:rPr>
          <w:rFonts w:ascii="Times New Roman" w:eastAsia="Aptos" w:hAnsi="Times New Roman"/>
          <w:szCs w:val="24"/>
        </w:rPr>
        <w:t xml:space="preserve"> </w:t>
      </w:r>
      <w:r w:rsidR="00C6214E">
        <w:rPr>
          <w:rFonts w:ascii="Times New Roman" w:eastAsia="Aptos" w:hAnsi="Times New Roman"/>
          <w:szCs w:val="24"/>
        </w:rPr>
        <w:t>при</w:t>
      </w:r>
      <w:r w:rsidR="00CF2F55" w:rsidRPr="00295637">
        <w:rPr>
          <w:rFonts w:ascii="Times New Roman" w:eastAsia="Aptos" w:hAnsi="Times New Roman"/>
          <w:szCs w:val="24"/>
        </w:rPr>
        <w:t xml:space="preserve"> </w:t>
      </w:r>
      <w:r w:rsidR="00C6214E">
        <w:rPr>
          <w:rFonts w:ascii="Times New Roman" w:eastAsia="Aptos" w:hAnsi="Times New Roman"/>
          <w:szCs w:val="24"/>
        </w:rPr>
        <w:t>измјени</w:t>
      </w:r>
      <w:r w:rsidR="00CF2F55" w:rsidRPr="00295637">
        <w:rPr>
          <w:rFonts w:ascii="Times New Roman" w:eastAsia="Aptos" w:hAnsi="Times New Roman"/>
          <w:szCs w:val="24"/>
        </w:rPr>
        <w:t xml:space="preserve"> </w:t>
      </w:r>
      <w:r w:rsidR="00C6214E">
        <w:rPr>
          <w:rFonts w:ascii="Times New Roman" w:eastAsia="Aptos" w:hAnsi="Times New Roman"/>
          <w:szCs w:val="24"/>
        </w:rPr>
        <w:t>Закона</w:t>
      </w:r>
      <w:r w:rsidR="00CF2F55" w:rsidRPr="00295637">
        <w:rPr>
          <w:rFonts w:ascii="Times New Roman" w:eastAsia="Aptos" w:hAnsi="Times New Roman"/>
          <w:szCs w:val="24"/>
        </w:rPr>
        <w:t xml:space="preserve"> </w:t>
      </w:r>
      <w:r w:rsidR="00C6214E">
        <w:rPr>
          <w:rFonts w:ascii="Times New Roman" w:eastAsia="Aptos" w:hAnsi="Times New Roman"/>
          <w:szCs w:val="24"/>
        </w:rPr>
        <w:t>о</w:t>
      </w:r>
      <w:r w:rsidR="00CF2F55" w:rsidRPr="00295637">
        <w:rPr>
          <w:rFonts w:ascii="Times New Roman" w:eastAsia="Aptos" w:hAnsi="Times New Roman"/>
          <w:szCs w:val="24"/>
        </w:rPr>
        <w:t xml:space="preserve"> </w:t>
      </w:r>
      <w:r w:rsidR="00C6214E">
        <w:rPr>
          <w:rFonts w:ascii="Times New Roman" w:eastAsia="Aptos" w:hAnsi="Times New Roman"/>
          <w:szCs w:val="24"/>
        </w:rPr>
        <w:t>подршци</w:t>
      </w:r>
      <w:r w:rsidR="00CE538C">
        <w:rPr>
          <w:rFonts w:ascii="Times New Roman" w:eastAsia="Aptos" w:hAnsi="Times New Roman"/>
          <w:szCs w:val="24"/>
        </w:rPr>
        <w:t xml:space="preserve"> </w:t>
      </w:r>
      <w:r w:rsidR="00C6214E">
        <w:rPr>
          <w:rFonts w:ascii="Times New Roman" w:eastAsia="Aptos" w:hAnsi="Times New Roman"/>
          <w:szCs w:val="24"/>
        </w:rPr>
        <w:t>породицама</w:t>
      </w:r>
      <w:r w:rsidR="00CF2F55" w:rsidRPr="00295637">
        <w:rPr>
          <w:rFonts w:ascii="Times New Roman" w:eastAsia="Aptos" w:hAnsi="Times New Roman"/>
          <w:szCs w:val="24"/>
        </w:rPr>
        <w:t xml:space="preserve"> </w:t>
      </w:r>
      <w:r w:rsidR="00C6214E">
        <w:rPr>
          <w:rFonts w:ascii="Times New Roman" w:eastAsia="Aptos" w:hAnsi="Times New Roman"/>
          <w:szCs w:val="24"/>
        </w:rPr>
        <w:t>са</w:t>
      </w:r>
      <w:r w:rsidR="00CF2F55" w:rsidRPr="00295637">
        <w:rPr>
          <w:rFonts w:ascii="Times New Roman" w:eastAsia="Aptos" w:hAnsi="Times New Roman"/>
          <w:szCs w:val="24"/>
        </w:rPr>
        <w:t xml:space="preserve"> </w:t>
      </w:r>
      <w:r w:rsidR="00C6214E">
        <w:rPr>
          <w:rFonts w:ascii="Times New Roman" w:eastAsia="Aptos" w:hAnsi="Times New Roman"/>
          <w:szCs w:val="24"/>
        </w:rPr>
        <w:t>дјецом</w:t>
      </w:r>
      <w:r w:rsidR="00CF2F55" w:rsidRPr="00295637">
        <w:rPr>
          <w:rFonts w:ascii="Times New Roman" w:eastAsia="Aptos" w:hAnsi="Times New Roman"/>
          <w:szCs w:val="24"/>
        </w:rPr>
        <w:t xml:space="preserve"> </w:t>
      </w:r>
      <w:r w:rsidR="00C6214E">
        <w:rPr>
          <w:rFonts w:ascii="Times New Roman" w:eastAsia="Aptos" w:hAnsi="Times New Roman"/>
          <w:szCs w:val="24"/>
        </w:rPr>
        <w:t>у</w:t>
      </w:r>
      <w:r w:rsidR="00CF2F55" w:rsidRPr="00295637">
        <w:rPr>
          <w:rFonts w:ascii="Times New Roman" w:eastAsia="Aptos" w:hAnsi="Times New Roman"/>
          <w:szCs w:val="24"/>
        </w:rPr>
        <w:t xml:space="preserve"> </w:t>
      </w:r>
      <w:r w:rsidR="00C6214E">
        <w:rPr>
          <w:rFonts w:ascii="Times New Roman" w:eastAsia="Aptos" w:hAnsi="Times New Roman"/>
          <w:szCs w:val="24"/>
        </w:rPr>
        <w:t>ФБиХ</w:t>
      </w:r>
      <w:r w:rsidR="00CF2F55" w:rsidRPr="00295637">
        <w:rPr>
          <w:rFonts w:ascii="Times New Roman" w:eastAsia="Aptos" w:hAnsi="Times New Roman"/>
          <w:szCs w:val="24"/>
        </w:rPr>
        <w:t xml:space="preserve">, </w:t>
      </w:r>
      <w:r w:rsidR="00C6214E">
        <w:rPr>
          <w:rFonts w:ascii="Times New Roman" w:eastAsia="Aptos" w:hAnsi="Times New Roman"/>
          <w:szCs w:val="24"/>
        </w:rPr>
        <w:t>чиме</w:t>
      </w:r>
      <w:r w:rsidR="00CF2F55" w:rsidRPr="00295637">
        <w:rPr>
          <w:rFonts w:ascii="Times New Roman" w:eastAsia="Aptos" w:hAnsi="Times New Roman"/>
          <w:szCs w:val="24"/>
        </w:rPr>
        <w:t xml:space="preserve"> </w:t>
      </w:r>
      <w:r w:rsidR="00C6214E">
        <w:rPr>
          <w:rFonts w:ascii="Times New Roman" w:eastAsia="Aptos" w:hAnsi="Times New Roman"/>
          <w:szCs w:val="24"/>
        </w:rPr>
        <w:t>су</w:t>
      </w:r>
      <w:r w:rsidR="00CF2F55" w:rsidRPr="00295637">
        <w:rPr>
          <w:rFonts w:ascii="Times New Roman" w:eastAsia="Aptos" w:hAnsi="Times New Roman"/>
          <w:szCs w:val="24"/>
        </w:rPr>
        <w:t xml:space="preserve"> </w:t>
      </w:r>
      <w:r w:rsidR="00C6214E">
        <w:rPr>
          <w:rFonts w:ascii="Times New Roman" w:eastAsia="Aptos" w:hAnsi="Times New Roman"/>
          <w:szCs w:val="24"/>
        </w:rPr>
        <w:t>дјечији</w:t>
      </w:r>
      <w:r w:rsidR="00CF2F55" w:rsidRPr="00295637">
        <w:rPr>
          <w:rFonts w:ascii="Times New Roman" w:eastAsia="Aptos" w:hAnsi="Times New Roman"/>
          <w:szCs w:val="24"/>
        </w:rPr>
        <w:t xml:space="preserve"> </w:t>
      </w:r>
      <w:r w:rsidR="00C6214E">
        <w:rPr>
          <w:rFonts w:ascii="Times New Roman" w:eastAsia="Aptos" w:hAnsi="Times New Roman"/>
          <w:szCs w:val="24"/>
        </w:rPr>
        <w:t>додаци</w:t>
      </w:r>
      <w:r w:rsidR="00CF2F55" w:rsidRPr="00295637">
        <w:rPr>
          <w:rFonts w:ascii="Times New Roman" w:eastAsia="Aptos" w:hAnsi="Times New Roman"/>
          <w:szCs w:val="24"/>
        </w:rPr>
        <w:t xml:space="preserve"> </w:t>
      </w:r>
      <w:r w:rsidR="00C6214E">
        <w:rPr>
          <w:rFonts w:ascii="Times New Roman" w:eastAsia="Aptos" w:hAnsi="Times New Roman"/>
          <w:szCs w:val="24"/>
        </w:rPr>
        <w:t>омогућени</w:t>
      </w:r>
      <w:r w:rsidR="00CF2F55" w:rsidRPr="00295637">
        <w:rPr>
          <w:rFonts w:ascii="Times New Roman" w:eastAsia="Aptos" w:hAnsi="Times New Roman"/>
          <w:szCs w:val="24"/>
        </w:rPr>
        <w:t xml:space="preserve"> </w:t>
      </w:r>
      <w:r w:rsidR="00C6214E">
        <w:rPr>
          <w:rFonts w:ascii="Times New Roman" w:eastAsia="Aptos" w:hAnsi="Times New Roman"/>
          <w:szCs w:val="24"/>
        </w:rPr>
        <w:t>и</w:t>
      </w:r>
      <w:r w:rsidR="00CF2F55" w:rsidRPr="00295637">
        <w:rPr>
          <w:rFonts w:ascii="Times New Roman" w:eastAsia="Aptos" w:hAnsi="Times New Roman"/>
          <w:szCs w:val="24"/>
        </w:rPr>
        <w:t xml:space="preserve"> </w:t>
      </w:r>
      <w:r w:rsidR="00C6214E">
        <w:rPr>
          <w:rFonts w:ascii="Times New Roman" w:eastAsia="Aptos" w:hAnsi="Times New Roman"/>
          <w:szCs w:val="24"/>
        </w:rPr>
        <w:t>за</w:t>
      </w:r>
      <w:r w:rsidR="00CF2F55" w:rsidRPr="00295637">
        <w:rPr>
          <w:rFonts w:ascii="Times New Roman" w:eastAsia="Aptos" w:hAnsi="Times New Roman"/>
          <w:szCs w:val="24"/>
        </w:rPr>
        <w:t xml:space="preserve"> </w:t>
      </w:r>
      <w:r w:rsidR="00C6214E">
        <w:rPr>
          <w:rFonts w:ascii="Times New Roman" w:eastAsia="Aptos" w:hAnsi="Times New Roman"/>
          <w:szCs w:val="24"/>
        </w:rPr>
        <w:t>дјецу</w:t>
      </w:r>
      <w:r w:rsidR="00CF2F55" w:rsidRPr="00295637">
        <w:rPr>
          <w:rFonts w:ascii="Times New Roman" w:eastAsia="Aptos" w:hAnsi="Times New Roman"/>
          <w:szCs w:val="24"/>
        </w:rPr>
        <w:t xml:space="preserve"> </w:t>
      </w:r>
      <w:r w:rsidR="00C6214E">
        <w:rPr>
          <w:rFonts w:ascii="Times New Roman" w:eastAsia="Aptos" w:hAnsi="Times New Roman"/>
          <w:szCs w:val="24"/>
        </w:rPr>
        <w:t>са</w:t>
      </w:r>
      <w:r w:rsidR="00CF2F55" w:rsidRPr="00295637">
        <w:rPr>
          <w:rFonts w:ascii="Times New Roman" w:eastAsia="Aptos" w:hAnsi="Times New Roman"/>
          <w:szCs w:val="24"/>
        </w:rPr>
        <w:t xml:space="preserve"> </w:t>
      </w:r>
      <w:r>
        <w:rPr>
          <w:rFonts w:ascii="Times New Roman" w:eastAsia="Aptos" w:hAnsi="Times New Roman"/>
          <w:szCs w:val="24"/>
          <w:lang w:val="sr-Cyrl-BA"/>
        </w:rPr>
        <w:t>по</w:t>
      </w:r>
      <w:r w:rsidR="00C6214E">
        <w:rPr>
          <w:rFonts w:ascii="Times New Roman" w:eastAsia="Aptos" w:hAnsi="Times New Roman"/>
          <w:szCs w:val="24"/>
        </w:rPr>
        <w:t>тешкоћама</w:t>
      </w:r>
      <w:r w:rsidR="00CF2F55" w:rsidRPr="00295637">
        <w:rPr>
          <w:rFonts w:ascii="Times New Roman" w:eastAsia="Aptos" w:hAnsi="Times New Roman"/>
          <w:szCs w:val="24"/>
        </w:rPr>
        <w:t xml:space="preserve"> </w:t>
      </w:r>
      <w:r w:rsidR="00C6214E">
        <w:rPr>
          <w:rFonts w:ascii="Times New Roman" w:eastAsia="Aptos" w:hAnsi="Times New Roman"/>
          <w:szCs w:val="24"/>
        </w:rPr>
        <w:t>и</w:t>
      </w:r>
      <w:r w:rsidR="00CF2F55" w:rsidRPr="00295637">
        <w:rPr>
          <w:rFonts w:ascii="Times New Roman" w:eastAsia="Aptos" w:hAnsi="Times New Roman"/>
          <w:szCs w:val="24"/>
        </w:rPr>
        <w:t xml:space="preserve"> </w:t>
      </w:r>
      <w:r w:rsidR="00C6214E">
        <w:rPr>
          <w:rFonts w:ascii="Times New Roman" w:eastAsia="Aptos" w:hAnsi="Times New Roman"/>
          <w:szCs w:val="24"/>
        </w:rPr>
        <w:t>малигним</w:t>
      </w:r>
      <w:r w:rsidR="00CF2F55" w:rsidRPr="00295637">
        <w:rPr>
          <w:rFonts w:ascii="Times New Roman" w:eastAsia="Aptos" w:hAnsi="Times New Roman"/>
          <w:szCs w:val="24"/>
        </w:rPr>
        <w:t xml:space="preserve"> </w:t>
      </w:r>
      <w:r w:rsidR="00C6214E">
        <w:rPr>
          <w:rFonts w:ascii="Times New Roman" w:eastAsia="Aptos" w:hAnsi="Times New Roman"/>
          <w:szCs w:val="24"/>
        </w:rPr>
        <w:t>болестима</w:t>
      </w:r>
      <w:r w:rsidR="00CF2F55" w:rsidRPr="00295637">
        <w:rPr>
          <w:rFonts w:ascii="Times New Roman" w:eastAsia="Aptos" w:hAnsi="Times New Roman"/>
          <w:szCs w:val="24"/>
        </w:rPr>
        <w:t xml:space="preserve"> </w:t>
      </w:r>
      <w:r w:rsidR="00C6214E">
        <w:rPr>
          <w:rFonts w:ascii="Times New Roman" w:eastAsia="Aptos" w:hAnsi="Times New Roman"/>
          <w:szCs w:val="24"/>
        </w:rPr>
        <w:t>без</w:t>
      </w:r>
      <w:r w:rsidR="00CF2F55" w:rsidRPr="00295637">
        <w:rPr>
          <w:rFonts w:ascii="Times New Roman" w:eastAsia="Aptos" w:hAnsi="Times New Roman"/>
          <w:szCs w:val="24"/>
        </w:rPr>
        <w:t xml:space="preserve"> </w:t>
      </w:r>
      <w:r w:rsidR="00C6214E">
        <w:rPr>
          <w:rFonts w:ascii="Times New Roman" w:eastAsia="Aptos" w:hAnsi="Times New Roman"/>
          <w:szCs w:val="24"/>
        </w:rPr>
        <w:t>обзира</w:t>
      </w:r>
      <w:r w:rsidR="00CF2F55" w:rsidRPr="00295637">
        <w:rPr>
          <w:rFonts w:ascii="Times New Roman" w:eastAsia="Aptos" w:hAnsi="Times New Roman"/>
          <w:szCs w:val="24"/>
        </w:rPr>
        <w:t xml:space="preserve"> </w:t>
      </w:r>
      <w:r w:rsidR="00C6214E">
        <w:rPr>
          <w:rFonts w:ascii="Times New Roman" w:eastAsia="Aptos" w:hAnsi="Times New Roman"/>
          <w:szCs w:val="24"/>
        </w:rPr>
        <w:t>на</w:t>
      </w:r>
      <w:r w:rsidR="00CF2F55" w:rsidRPr="00295637">
        <w:rPr>
          <w:rFonts w:ascii="Times New Roman" w:eastAsia="Aptos" w:hAnsi="Times New Roman"/>
          <w:szCs w:val="24"/>
        </w:rPr>
        <w:t xml:space="preserve"> </w:t>
      </w:r>
      <w:r w:rsidR="00C6214E">
        <w:rPr>
          <w:rFonts w:ascii="Times New Roman" w:eastAsia="Aptos" w:hAnsi="Times New Roman"/>
          <w:szCs w:val="24"/>
        </w:rPr>
        <w:t>приходе</w:t>
      </w:r>
      <w:r w:rsidR="00CF2F55" w:rsidRPr="00295637">
        <w:rPr>
          <w:rFonts w:ascii="Times New Roman" w:eastAsia="Aptos" w:hAnsi="Times New Roman"/>
          <w:szCs w:val="24"/>
        </w:rPr>
        <w:t xml:space="preserve"> </w:t>
      </w:r>
      <w:r w:rsidR="00C6214E">
        <w:rPr>
          <w:rFonts w:ascii="Times New Roman" w:eastAsia="Aptos" w:hAnsi="Times New Roman"/>
          <w:szCs w:val="24"/>
        </w:rPr>
        <w:t>породице</w:t>
      </w:r>
      <w:r w:rsidR="00CF2F55" w:rsidRPr="00295637">
        <w:rPr>
          <w:rFonts w:ascii="Times New Roman" w:eastAsia="Aptos" w:hAnsi="Times New Roman"/>
          <w:szCs w:val="24"/>
        </w:rPr>
        <w:t>.</w:t>
      </w:r>
    </w:p>
    <w:p w:rsidR="00686ED7" w:rsidRPr="00AB5FB9" w:rsidRDefault="00686ED7" w:rsidP="0086268D">
      <w:pPr>
        <w:jc w:val="both"/>
        <w:rPr>
          <w:rFonts w:ascii="Times New Roman" w:eastAsia="Aptos" w:hAnsi="Times New Roman"/>
          <w:szCs w:val="24"/>
        </w:rPr>
      </w:pPr>
    </w:p>
    <w:p w:rsidR="00356C2C" w:rsidRPr="00295637" w:rsidRDefault="00E654F2" w:rsidP="00CE538C">
      <w:pPr>
        <w:tabs>
          <w:tab w:val="left" w:pos="284"/>
          <w:tab w:val="left" w:pos="630"/>
          <w:tab w:val="left" w:pos="1080"/>
        </w:tabs>
        <w:ind w:left="567"/>
        <w:jc w:val="both"/>
        <w:rPr>
          <w:rFonts w:ascii="Times New Roman" w:eastAsia="Calibri" w:hAnsi="Times New Roman"/>
          <w:szCs w:val="24"/>
          <w:lang w:val="bs-Latn-BA"/>
        </w:rPr>
      </w:pPr>
      <w:r>
        <w:rPr>
          <w:rFonts w:ascii="Times New Roman" w:eastAsia="Calibri" w:hAnsi="Times New Roman"/>
          <w:szCs w:val="24"/>
          <w:lang w:val="bs-Latn-BA"/>
        </w:rPr>
        <w:t>I</w:t>
      </w:r>
      <w:r w:rsidR="00CE538C">
        <w:rPr>
          <w:rFonts w:ascii="Times New Roman" w:eastAsia="Calibri" w:hAnsi="Times New Roman"/>
          <w:szCs w:val="24"/>
          <w:lang w:val="bs-Latn-BA"/>
        </w:rPr>
        <w:t xml:space="preserve"> 6.2. </w:t>
      </w:r>
      <w:r w:rsidR="00C6214E">
        <w:rPr>
          <w:rFonts w:ascii="Times New Roman" w:eastAsia="Calibri" w:hAnsi="Times New Roman"/>
          <w:szCs w:val="24"/>
          <w:lang w:val="bs-Latn-BA"/>
        </w:rPr>
        <w:t>Редовно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прикупљање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анализа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објављивање</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податка</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разврстаних</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полу</w:t>
      </w:r>
      <w:r w:rsidR="00356C2C" w:rsidRPr="00295637">
        <w:rPr>
          <w:rFonts w:ascii="Times New Roman" w:eastAsia="Calibri" w:hAnsi="Times New Roman"/>
          <w:szCs w:val="24"/>
          <w:lang w:val="bs-Latn-BA"/>
        </w:rPr>
        <w:t xml:space="preserve"> </w:t>
      </w:r>
      <w:r w:rsidR="00C6214E">
        <w:rPr>
          <w:rFonts w:ascii="Times New Roman" w:eastAsia="Calibri"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учешћу</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приступу</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кориш</w:t>
      </w:r>
      <w:r>
        <w:rPr>
          <w:rFonts w:ascii="Times New Roman" w:hAnsi="Times New Roman"/>
          <w:szCs w:val="24"/>
          <w:lang w:val="sr-Cyrl-BA"/>
        </w:rPr>
        <w:t>ћ</w:t>
      </w:r>
      <w:r w:rsidR="00C6214E">
        <w:rPr>
          <w:rFonts w:ascii="Times New Roman" w:hAnsi="Times New Roman"/>
          <w:szCs w:val="24"/>
          <w:lang w:val="bs-Latn-BA"/>
        </w:rPr>
        <w:t>ењу</w:t>
      </w:r>
      <w:r w:rsidR="00356C2C" w:rsidRPr="00295637">
        <w:rPr>
          <w:rFonts w:ascii="Times New Roman" w:hAnsi="Times New Roman"/>
          <w:szCs w:val="24"/>
          <w:lang w:val="bs-Latn-BA"/>
        </w:rPr>
        <w:t xml:space="preserve"> </w:t>
      </w:r>
      <w:r w:rsidR="00C6214E">
        <w:rPr>
          <w:rFonts w:ascii="Times New Roman" w:hAnsi="Times New Roman"/>
          <w:szCs w:val="24"/>
          <w:lang w:val="bs-Latn-BA"/>
        </w:rPr>
        <w:t>социјалне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заштите</w:t>
      </w:r>
      <w:r w:rsidR="00356C2C" w:rsidRPr="00295637">
        <w:rPr>
          <w:rFonts w:ascii="Times New Roman" w:hAnsi="Times New Roman"/>
          <w:szCs w:val="24"/>
          <w:lang w:val="bs-Latn-BA"/>
        </w:rPr>
        <w:t>.</w:t>
      </w:r>
    </w:p>
    <w:p w:rsidR="00524E10" w:rsidRPr="00295637" w:rsidRDefault="00524E10" w:rsidP="0086268D">
      <w:pPr>
        <w:jc w:val="both"/>
        <w:rPr>
          <w:rFonts w:ascii="Times New Roman" w:hAnsi="Times New Roman"/>
        </w:rPr>
      </w:pPr>
    </w:p>
    <w:p w:rsidR="0043741E" w:rsidRPr="00295637" w:rsidRDefault="00C6214E" w:rsidP="0086268D">
      <w:pPr>
        <w:jc w:val="both"/>
        <w:rPr>
          <w:rFonts w:ascii="Times New Roman" w:hAnsi="Times New Roman"/>
        </w:rPr>
      </w:pPr>
      <w:r>
        <w:rPr>
          <w:rFonts w:ascii="Times New Roman" w:hAnsi="Times New Roman"/>
        </w:rPr>
        <w:t>У</w:t>
      </w:r>
      <w:r w:rsidR="0043741E" w:rsidRPr="00295637">
        <w:rPr>
          <w:rFonts w:ascii="Times New Roman" w:hAnsi="Times New Roman"/>
        </w:rPr>
        <w:t xml:space="preserve"> </w:t>
      </w:r>
      <w:r>
        <w:rPr>
          <w:rFonts w:ascii="Times New Roman" w:hAnsi="Times New Roman"/>
        </w:rPr>
        <w:t>годишњим</w:t>
      </w:r>
      <w:r w:rsidR="0043741E" w:rsidRPr="00295637">
        <w:rPr>
          <w:rFonts w:ascii="Times New Roman" w:hAnsi="Times New Roman"/>
        </w:rPr>
        <w:t xml:space="preserve"> </w:t>
      </w:r>
      <w:r>
        <w:rPr>
          <w:rFonts w:ascii="Times New Roman" w:hAnsi="Times New Roman"/>
        </w:rPr>
        <w:t>извјештајима</w:t>
      </w:r>
      <w:r w:rsidR="0043741E" w:rsidRPr="00295637">
        <w:rPr>
          <w:rFonts w:ascii="Times New Roman" w:hAnsi="Times New Roman"/>
        </w:rPr>
        <w:t xml:space="preserve"> </w:t>
      </w:r>
      <w:r>
        <w:rPr>
          <w:rFonts w:ascii="Times New Roman" w:hAnsi="Times New Roman"/>
        </w:rPr>
        <w:t>о</w:t>
      </w:r>
      <w:r w:rsidR="0043741E" w:rsidRPr="00295637">
        <w:rPr>
          <w:rFonts w:ascii="Times New Roman" w:hAnsi="Times New Roman"/>
        </w:rPr>
        <w:t xml:space="preserve"> </w:t>
      </w:r>
      <w:r>
        <w:rPr>
          <w:rFonts w:ascii="Times New Roman" w:hAnsi="Times New Roman"/>
        </w:rPr>
        <w:t>социјалној</w:t>
      </w:r>
      <w:r w:rsidR="0043741E" w:rsidRPr="00295637">
        <w:rPr>
          <w:rFonts w:ascii="Times New Roman" w:hAnsi="Times New Roman"/>
        </w:rPr>
        <w:t xml:space="preserve"> </w:t>
      </w:r>
      <w:r>
        <w:rPr>
          <w:rFonts w:ascii="Times New Roman" w:hAnsi="Times New Roman"/>
        </w:rPr>
        <w:t>укључености</w:t>
      </w:r>
      <w:r w:rsidR="000D4E63" w:rsidRPr="00295637">
        <w:rPr>
          <w:rFonts w:ascii="Times New Roman" w:hAnsi="Times New Roman"/>
        </w:rPr>
        <w:t xml:space="preserve"> </w:t>
      </w:r>
      <w:r>
        <w:rPr>
          <w:rFonts w:ascii="Times New Roman" w:hAnsi="Times New Roman"/>
        </w:rPr>
        <w:t>које</w:t>
      </w:r>
      <w:r w:rsidR="000D4E63" w:rsidRPr="00295637">
        <w:rPr>
          <w:rFonts w:ascii="Times New Roman" w:hAnsi="Times New Roman"/>
        </w:rPr>
        <w:t xml:space="preserve"> </w:t>
      </w:r>
      <w:r>
        <w:rPr>
          <w:rFonts w:ascii="Times New Roman" w:hAnsi="Times New Roman"/>
        </w:rPr>
        <w:t>израђује</w:t>
      </w:r>
      <w:r w:rsidR="000D4E63" w:rsidRPr="00295637">
        <w:rPr>
          <w:rFonts w:ascii="Times New Roman" w:hAnsi="Times New Roman"/>
        </w:rPr>
        <w:t xml:space="preserve"> </w:t>
      </w:r>
      <w:r>
        <w:rPr>
          <w:rFonts w:ascii="Times New Roman" w:hAnsi="Times New Roman"/>
        </w:rPr>
        <w:t>ДЕП</w:t>
      </w:r>
      <w:r w:rsidR="000D4E63" w:rsidRPr="00295637">
        <w:rPr>
          <w:rFonts w:ascii="Times New Roman" w:hAnsi="Times New Roman"/>
        </w:rPr>
        <w:t xml:space="preserve"> </w:t>
      </w:r>
      <w:r w:rsidR="00E654F2">
        <w:rPr>
          <w:rFonts w:ascii="Times New Roman" w:hAnsi="Times New Roman"/>
          <w:lang w:val="sr-Cyrl-BA"/>
        </w:rPr>
        <w:t>С</w:t>
      </w:r>
      <w:r>
        <w:rPr>
          <w:rFonts w:ascii="Times New Roman" w:hAnsi="Times New Roman"/>
        </w:rPr>
        <w:t>М</w:t>
      </w:r>
      <w:r w:rsidR="009E54A2" w:rsidRPr="00295637">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sidR="0043741E" w:rsidRPr="00295637">
        <w:rPr>
          <w:rFonts w:ascii="Times New Roman" w:hAnsi="Times New Roman"/>
        </w:rPr>
        <w:t>(</w:t>
      </w:r>
      <w:r>
        <w:rPr>
          <w:rFonts w:ascii="Times New Roman" w:hAnsi="Times New Roman"/>
        </w:rPr>
        <w:t>а</w:t>
      </w:r>
      <w:r w:rsidR="0043741E" w:rsidRPr="00295637">
        <w:rPr>
          <w:rFonts w:ascii="Times New Roman" w:hAnsi="Times New Roman"/>
        </w:rPr>
        <w:t xml:space="preserve"> </w:t>
      </w:r>
      <w:r>
        <w:rPr>
          <w:rFonts w:ascii="Times New Roman" w:hAnsi="Times New Roman"/>
        </w:rPr>
        <w:t>претходно</w:t>
      </w:r>
      <w:r w:rsidR="0043741E" w:rsidRPr="00295637">
        <w:rPr>
          <w:rFonts w:ascii="Times New Roman" w:hAnsi="Times New Roman"/>
        </w:rPr>
        <w:t xml:space="preserve"> </w:t>
      </w:r>
      <w:r>
        <w:rPr>
          <w:rFonts w:ascii="Times New Roman" w:hAnsi="Times New Roman"/>
        </w:rPr>
        <w:t>и</w:t>
      </w:r>
      <w:r w:rsidR="0043741E" w:rsidRPr="00295637">
        <w:rPr>
          <w:rFonts w:ascii="Times New Roman" w:hAnsi="Times New Roman"/>
        </w:rPr>
        <w:t xml:space="preserve"> </w:t>
      </w:r>
      <w:r>
        <w:rPr>
          <w:rFonts w:ascii="Times New Roman" w:hAnsi="Times New Roman"/>
        </w:rPr>
        <w:t>у</w:t>
      </w:r>
      <w:r w:rsidR="0043741E" w:rsidRPr="00295637">
        <w:rPr>
          <w:rFonts w:ascii="Times New Roman" w:hAnsi="Times New Roman"/>
        </w:rPr>
        <w:t xml:space="preserve"> </w:t>
      </w:r>
      <w:r>
        <w:rPr>
          <w:rFonts w:ascii="Times New Roman" w:hAnsi="Times New Roman"/>
        </w:rPr>
        <w:t>годишњим</w:t>
      </w:r>
      <w:r w:rsidR="0043741E" w:rsidRPr="00295637">
        <w:rPr>
          <w:rFonts w:ascii="Times New Roman" w:hAnsi="Times New Roman"/>
        </w:rPr>
        <w:t xml:space="preserve"> </w:t>
      </w:r>
      <w:r>
        <w:rPr>
          <w:rFonts w:ascii="Times New Roman" w:hAnsi="Times New Roman"/>
        </w:rPr>
        <w:t>извјештајима</w:t>
      </w:r>
      <w:r w:rsidR="0043741E" w:rsidRPr="00295637">
        <w:rPr>
          <w:rFonts w:ascii="Times New Roman" w:hAnsi="Times New Roman"/>
        </w:rPr>
        <w:t xml:space="preserve"> </w:t>
      </w:r>
      <w:r>
        <w:rPr>
          <w:rFonts w:ascii="Times New Roman" w:hAnsi="Times New Roman"/>
        </w:rPr>
        <w:t>о</w:t>
      </w:r>
      <w:r w:rsidR="0043741E" w:rsidRPr="00295637">
        <w:rPr>
          <w:rFonts w:ascii="Times New Roman" w:hAnsi="Times New Roman"/>
        </w:rPr>
        <w:t xml:space="preserve"> </w:t>
      </w:r>
      <w:r>
        <w:rPr>
          <w:rFonts w:ascii="Times New Roman" w:hAnsi="Times New Roman"/>
        </w:rPr>
        <w:t>развоју</w:t>
      </w:r>
      <w:r w:rsidR="0043741E" w:rsidRPr="00295637">
        <w:rPr>
          <w:rFonts w:ascii="Times New Roman" w:hAnsi="Times New Roman"/>
        </w:rPr>
        <w:t xml:space="preserve">), </w:t>
      </w:r>
      <w:r>
        <w:rPr>
          <w:rFonts w:ascii="Times New Roman" w:hAnsi="Times New Roman"/>
        </w:rPr>
        <w:t>презент</w:t>
      </w:r>
      <w:r w:rsidR="00E654F2">
        <w:rPr>
          <w:rFonts w:ascii="Times New Roman" w:hAnsi="Times New Roman"/>
          <w:lang w:val="sr-Cyrl-BA"/>
        </w:rPr>
        <w:t>ују</w:t>
      </w:r>
      <w:r w:rsidR="0043741E" w:rsidRPr="00295637">
        <w:rPr>
          <w:rFonts w:ascii="Times New Roman" w:hAnsi="Times New Roman"/>
        </w:rPr>
        <w:t xml:space="preserve"> </w:t>
      </w:r>
      <w:r>
        <w:rPr>
          <w:rFonts w:ascii="Times New Roman" w:hAnsi="Times New Roman"/>
        </w:rPr>
        <w:t>се</w:t>
      </w:r>
      <w:r w:rsidR="0043741E" w:rsidRPr="00295637">
        <w:rPr>
          <w:rFonts w:ascii="Times New Roman" w:hAnsi="Times New Roman"/>
        </w:rPr>
        <w:t xml:space="preserve"> </w:t>
      </w:r>
      <w:r>
        <w:rPr>
          <w:rFonts w:ascii="Times New Roman" w:hAnsi="Times New Roman"/>
        </w:rPr>
        <w:t>доступни</w:t>
      </w:r>
      <w:r w:rsidR="0043741E" w:rsidRPr="00295637">
        <w:rPr>
          <w:rFonts w:ascii="Times New Roman" w:hAnsi="Times New Roman"/>
        </w:rPr>
        <w:t xml:space="preserve"> </w:t>
      </w:r>
      <w:r>
        <w:rPr>
          <w:rFonts w:ascii="Times New Roman" w:hAnsi="Times New Roman"/>
        </w:rPr>
        <w:t>подаци</w:t>
      </w:r>
      <w:r w:rsidR="0043741E" w:rsidRPr="00295637">
        <w:rPr>
          <w:rFonts w:ascii="Times New Roman" w:hAnsi="Times New Roman"/>
        </w:rPr>
        <w:t xml:space="preserve"> </w:t>
      </w:r>
      <w:r>
        <w:rPr>
          <w:rFonts w:ascii="Times New Roman" w:hAnsi="Times New Roman"/>
        </w:rPr>
        <w:t>у</w:t>
      </w:r>
      <w:r w:rsidR="00CE538C">
        <w:rPr>
          <w:rFonts w:ascii="Times New Roman" w:hAnsi="Times New Roman"/>
        </w:rPr>
        <w:t xml:space="preserve"> </w:t>
      </w:r>
      <w:r>
        <w:rPr>
          <w:rFonts w:ascii="Times New Roman" w:hAnsi="Times New Roman"/>
        </w:rPr>
        <w:t>вези</w:t>
      </w:r>
      <w:r w:rsidR="00CE538C">
        <w:rPr>
          <w:rFonts w:ascii="Times New Roman" w:hAnsi="Times New Roman"/>
        </w:rPr>
        <w:t xml:space="preserve"> </w:t>
      </w:r>
      <w:r>
        <w:rPr>
          <w:rFonts w:ascii="Times New Roman" w:hAnsi="Times New Roman"/>
        </w:rPr>
        <w:t>са</w:t>
      </w:r>
      <w:r w:rsidR="0043741E" w:rsidRPr="00295637">
        <w:rPr>
          <w:rFonts w:ascii="Times New Roman" w:hAnsi="Times New Roman"/>
        </w:rPr>
        <w:t xml:space="preserve"> </w:t>
      </w:r>
      <w:r>
        <w:rPr>
          <w:rFonts w:ascii="Times New Roman" w:hAnsi="Times New Roman"/>
        </w:rPr>
        <w:t>равноправношћу</w:t>
      </w:r>
      <w:r w:rsidR="0043741E" w:rsidRPr="00295637">
        <w:rPr>
          <w:rFonts w:ascii="Times New Roman" w:hAnsi="Times New Roman"/>
        </w:rPr>
        <w:t xml:space="preserve"> </w:t>
      </w:r>
      <w:r>
        <w:rPr>
          <w:rFonts w:ascii="Times New Roman" w:hAnsi="Times New Roman"/>
        </w:rPr>
        <w:t>полова</w:t>
      </w:r>
      <w:r w:rsidR="00524E10" w:rsidRPr="00295637">
        <w:rPr>
          <w:rFonts w:ascii="Times New Roman" w:hAnsi="Times New Roman"/>
        </w:rPr>
        <w:t xml:space="preserve"> </w:t>
      </w:r>
      <w:r>
        <w:rPr>
          <w:rFonts w:ascii="Times New Roman" w:hAnsi="Times New Roman"/>
        </w:rPr>
        <w:t>кроз</w:t>
      </w:r>
      <w:r w:rsidR="0043741E" w:rsidRPr="00295637">
        <w:rPr>
          <w:rFonts w:ascii="Times New Roman" w:hAnsi="Times New Roman"/>
        </w:rPr>
        <w:t xml:space="preserve"> </w:t>
      </w:r>
      <w:r>
        <w:rPr>
          <w:rFonts w:ascii="Times New Roman" w:hAnsi="Times New Roman"/>
        </w:rPr>
        <w:t>различита</w:t>
      </w:r>
      <w:r w:rsidR="0043741E" w:rsidRPr="00295637">
        <w:rPr>
          <w:rFonts w:ascii="Times New Roman" w:hAnsi="Times New Roman"/>
        </w:rPr>
        <w:t xml:space="preserve"> </w:t>
      </w:r>
      <w:r>
        <w:rPr>
          <w:rFonts w:ascii="Times New Roman" w:hAnsi="Times New Roman"/>
        </w:rPr>
        <w:t>социо</w:t>
      </w:r>
      <w:r w:rsidR="00CC3B28">
        <w:rPr>
          <w:rFonts w:ascii="Times New Roman" w:hAnsi="Times New Roman"/>
        </w:rPr>
        <w:t>-</w:t>
      </w:r>
      <w:r>
        <w:rPr>
          <w:rFonts w:ascii="Times New Roman" w:hAnsi="Times New Roman"/>
        </w:rPr>
        <w:t>економска</w:t>
      </w:r>
      <w:r w:rsidR="0043741E" w:rsidRPr="00295637">
        <w:rPr>
          <w:rFonts w:ascii="Times New Roman" w:hAnsi="Times New Roman"/>
        </w:rPr>
        <w:t xml:space="preserve"> </w:t>
      </w:r>
      <w:r>
        <w:rPr>
          <w:rFonts w:ascii="Times New Roman" w:hAnsi="Times New Roman"/>
        </w:rPr>
        <w:t>кретања</w:t>
      </w:r>
      <w:r w:rsidR="0043741E" w:rsidRPr="00295637">
        <w:rPr>
          <w:rFonts w:ascii="Times New Roman" w:hAnsi="Times New Roman"/>
        </w:rPr>
        <w:t xml:space="preserve">, </w:t>
      </w:r>
      <w:r>
        <w:rPr>
          <w:rFonts w:ascii="Times New Roman" w:hAnsi="Times New Roman"/>
        </w:rPr>
        <w:t>гдје</w:t>
      </w:r>
      <w:r w:rsidR="0043741E" w:rsidRPr="00295637">
        <w:rPr>
          <w:rFonts w:ascii="Times New Roman" w:hAnsi="Times New Roman"/>
        </w:rPr>
        <w:t xml:space="preserve"> </w:t>
      </w:r>
      <w:r>
        <w:rPr>
          <w:rFonts w:ascii="Times New Roman" w:hAnsi="Times New Roman"/>
        </w:rPr>
        <w:t>су</w:t>
      </w:r>
      <w:r w:rsidR="0043741E" w:rsidRPr="00295637">
        <w:rPr>
          <w:rFonts w:ascii="Times New Roman" w:hAnsi="Times New Roman"/>
        </w:rPr>
        <w:t xml:space="preserve"> </w:t>
      </w:r>
      <w:r>
        <w:rPr>
          <w:rFonts w:ascii="Times New Roman" w:hAnsi="Times New Roman"/>
        </w:rPr>
        <w:t>наведени</w:t>
      </w:r>
      <w:r w:rsidR="0043741E" w:rsidRPr="00295637">
        <w:rPr>
          <w:rFonts w:ascii="Times New Roman" w:hAnsi="Times New Roman"/>
        </w:rPr>
        <w:t xml:space="preserve"> </w:t>
      </w:r>
      <w:r>
        <w:rPr>
          <w:rFonts w:ascii="Times New Roman" w:hAnsi="Times New Roman"/>
        </w:rPr>
        <w:t>статистички</w:t>
      </w:r>
      <w:r w:rsidR="0043741E" w:rsidRPr="00295637">
        <w:rPr>
          <w:rFonts w:ascii="Times New Roman" w:hAnsi="Times New Roman"/>
        </w:rPr>
        <w:t xml:space="preserve"> </w:t>
      </w:r>
      <w:r>
        <w:rPr>
          <w:rFonts w:ascii="Times New Roman" w:hAnsi="Times New Roman"/>
        </w:rPr>
        <w:t>подаци</w:t>
      </w:r>
      <w:r w:rsidR="0043741E" w:rsidRPr="00295637">
        <w:rPr>
          <w:rFonts w:ascii="Times New Roman" w:hAnsi="Times New Roman"/>
        </w:rPr>
        <w:t xml:space="preserve"> </w:t>
      </w:r>
      <w:r>
        <w:rPr>
          <w:rFonts w:ascii="Times New Roman" w:hAnsi="Times New Roman"/>
        </w:rPr>
        <w:t>о</w:t>
      </w:r>
      <w:r w:rsidR="0043741E" w:rsidRPr="00295637">
        <w:rPr>
          <w:rFonts w:ascii="Times New Roman" w:hAnsi="Times New Roman"/>
        </w:rPr>
        <w:t xml:space="preserve"> </w:t>
      </w:r>
      <w:r>
        <w:rPr>
          <w:rFonts w:ascii="Times New Roman" w:hAnsi="Times New Roman"/>
        </w:rPr>
        <w:t>учешћу</w:t>
      </w:r>
      <w:r w:rsidR="0043741E" w:rsidRPr="00295637">
        <w:rPr>
          <w:rFonts w:ascii="Times New Roman" w:hAnsi="Times New Roman"/>
        </w:rPr>
        <w:t xml:space="preserve"> </w:t>
      </w:r>
      <w:r>
        <w:rPr>
          <w:rFonts w:ascii="Times New Roman" w:hAnsi="Times New Roman"/>
        </w:rPr>
        <w:t>жена</w:t>
      </w:r>
      <w:r w:rsidR="0043741E" w:rsidRPr="00295637">
        <w:rPr>
          <w:rFonts w:ascii="Times New Roman" w:hAnsi="Times New Roman"/>
        </w:rPr>
        <w:t xml:space="preserve"> </w:t>
      </w:r>
      <w:r>
        <w:rPr>
          <w:rFonts w:ascii="Times New Roman" w:hAnsi="Times New Roman"/>
        </w:rPr>
        <w:t>и</w:t>
      </w:r>
      <w:r w:rsidR="0043741E" w:rsidRPr="00295637">
        <w:rPr>
          <w:rFonts w:ascii="Times New Roman" w:hAnsi="Times New Roman"/>
        </w:rPr>
        <w:t xml:space="preserve"> </w:t>
      </w:r>
      <w:r>
        <w:rPr>
          <w:rFonts w:ascii="Times New Roman" w:hAnsi="Times New Roman"/>
        </w:rPr>
        <w:t>мушкараца</w:t>
      </w:r>
      <w:r w:rsidR="0043741E" w:rsidRPr="00295637">
        <w:rPr>
          <w:rFonts w:ascii="Times New Roman" w:hAnsi="Times New Roman"/>
        </w:rPr>
        <w:t>.</w:t>
      </w:r>
    </w:p>
    <w:p w:rsidR="0043741E" w:rsidRPr="00295637" w:rsidRDefault="0043741E" w:rsidP="0086268D">
      <w:pPr>
        <w:jc w:val="both"/>
        <w:rPr>
          <w:rFonts w:ascii="Times New Roman" w:hAnsi="Times New Roman"/>
        </w:rPr>
      </w:pPr>
    </w:p>
    <w:p w:rsidR="00BF01AB" w:rsidRPr="00295637" w:rsidRDefault="00C6214E" w:rsidP="0086268D">
      <w:pPr>
        <w:jc w:val="both"/>
        <w:rPr>
          <w:rFonts w:ascii="Times New Roman" w:hAnsi="Times New Roman"/>
          <w:szCs w:val="24"/>
        </w:rPr>
      </w:pPr>
      <w:r>
        <w:rPr>
          <w:rFonts w:ascii="Times New Roman" w:hAnsi="Times New Roman"/>
          <w:szCs w:val="24"/>
        </w:rPr>
        <w:t>БХАС</w:t>
      </w:r>
      <w:r w:rsidR="00BF01AB" w:rsidRPr="00295637">
        <w:rPr>
          <w:rFonts w:ascii="Times New Roman" w:hAnsi="Times New Roman"/>
          <w:szCs w:val="24"/>
        </w:rPr>
        <w:t xml:space="preserve"> </w:t>
      </w:r>
      <w:r>
        <w:rPr>
          <w:rFonts w:ascii="Times New Roman" w:hAnsi="Times New Roman"/>
          <w:szCs w:val="24"/>
        </w:rPr>
        <w:t>годишње</w:t>
      </w:r>
      <w:r w:rsidR="00BF01AB" w:rsidRPr="00295637">
        <w:rPr>
          <w:rFonts w:ascii="Times New Roman" w:hAnsi="Times New Roman"/>
          <w:szCs w:val="24"/>
        </w:rPr>
        <w:t xml:space="preserve"> </w:t>
      </w:r>
      <w:r>
        <w:rPr>
          <w:rFonts w:ascii="Times New Roman" w:hAnsi="Times New Roman"/>
          <w:szCs w:val="24"/>
        </w:rPr>
        <w:t>прикупља</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редовно</w:t>
      </w:r>
      <w:r w:rsidR="00BF01AB" w:rsidRPr="00295637">
        <w:rPr>
          <w:rFonts w:ascii="Times New Roman" w:hAnsi="Times New Roman"/>
          <w:szCs w:val="24"/>
        </w:rPr>
        <w:t xml:space="preserve"> </w:t>
      </w:r>
      <w:r>
        <w:rPr>
          <w:rFonts w:ascii="Times New Roman" w:hAnsi="Times New Roman"/>
          <w:szCs w:val="24"/>
        </w:rPr>
        <w:t>објављује</w:t>
      </w:r>
      <w:r w:rsidR="00BF01AB" w:rsidRPr="00295637">
        <w:rPr>
          <w:rFonts w:ascii="Times New Roman" w:hAnsi="Times New Roman"/>
          <w:szCs w:val="24"/>
        </w:rPr>
        <w:t xml:space="preserve"> </w:t>
      </w:r>
      <w:r>
        <w:rPr>
          <w:rFonts w:ascii="Times New Roman" w:hAnsi="Times New Roman"/>
          <w:szCs w:val="24"/>
        </w:rPr>
        <w:t>податке</w:t>
      </w:r>
      <w:r w:rsidR="00BF01AB" w:rsidRPr="00295637">
        <w:rPr>
          <w:rFonts w:ascii="Times New Roman" w:hAnsi="Times New Roman"/>
          <w:szCs w:val="24"/>
        </w:rPr>
        <w:t xml:space="preserve"> </w:t>
      </w:r>
      <w:r>
        <w:rPr>
          <w:rFonts w:ascii="Times New Roman" w:hAnsi="Times New Roman"/>
          <w:szCs w:val="24"/>
        </w:rPr>
        <w:t>о</w:t>
      </w:r>
      <w:r w:rsidR="00BF01AB" w:rsidRPr="00295637">
        <w:rPr>
          <w:rFonts w:ascii="Times New Roman" w:hAnsi="Times New Roman"/>
          <w:szCs w:val="24"/>
        </w:rPr>
        <w:t xml:space="preserve"> </w:t>
      </w:r>
      <w:r>
        <w:rPr>
          <w:rFonts w:ascii="Times New Roman" w:hAnsi="Times New Roman"/>
          <w:szCs w:val="24"/>
        </w:rPr>
        <w:t>Статистици</w:t>
      </w:r>
      <w:r w:rsidR="00BF01AB" w:rsidRPr="00295637">
        <w:rPr>
          <w:rFonts w:ascii="Times New Roman" w:hAnsi="Times New Roman"/>
          <w:szCs w:val="24"/>
        </w:rPr>
        <w:t xml:space="preserve"> </w:t>
      </w:r>
      <w:r>
        <w:rPr>
          <w:rFonts w:ascii="Times New Roman" w:hAnsi="Times New Roman"/>
          <w:szCs w:val="24"/>
        </w:rPr>
        <w:t>социјалне</w:t>
      </w:r>
      <w:r w:rsidR="00BF01AB" w:rsidRPr="00295637">
        <w:rPr>
          <w:rFonts w:ascii="Times New Roman" w:hAnsi="Times New Roman"/>
          <w:szCs w:val="24"/>
        </w:rPr>
        <w:t xml:space="preserve"> </w:t>
      </w:r>
      <w:r>
        <w:rPr>
          <w:rFonts w:ascii="Times New Roman" w:hAnsi="Times New Roman"/>
          <w:szCs w:val="24"/>
        </w:rPr>
        <w:t>заштите</w:t>
      </w:r>
      <w:r w:rsidR="00BF01AB" w:rsidRPr="00295637">
        <w:rPr>
          <w:rFonts w:ascii="Times New Roman" w:hAnsi="Times New Roman"/>
          <w:szCs w:val="24"/>
        </w:rPr>
        <w:t xml:space="preserve"> </w:t>
      </w:r>
      <w:r>
        <w:rPr>
          <w:rFonts w:ascii="Times New Roman" w:hAnsi="Times New Roman"/>
          <w:szCs w:val="24"/>
        </w:rPr>
        <w:t>у</w:t>
      </w:r>
      <w:r w:rsidR="00C25D32" w:rsidRPr="00295637">
        <w:rPr>
          <w:rFonts w:ascii="Times New Roman" w:hAnsi="Times New Roman"/>
          <w:szCs w:val="24"/>
        </w:rPr>
        <w:t xml:space="preserve"> </w:t>
      </w:r>
      <w:r>
        <w:rPr>
          <w:rFonts w:ascii="Times New Roman" w:hAnsi="Times New Roman"/>
          <w:szCs w:val="24"/>
        </w:rPr>
        <w:t>БиХ</w:t>
      </w:r>
      <w:r w:rsidR="00BF01AB" w:rsidRPr="00295637">
        <w:rPr>
          <w:rFonts w:ascii="Times New Roman" w:hAnsi="Times New Roman"/>
          <w:szCs w:val="24"/>
        </w:rPr>
        <w:t xml:space="preserve">. </w:t>
      </w:r>
      <w:r>
        <w:rPr>
          <w:rFonts w:ascii="Times New Roman" w:hAnsi="Times New Roman"/>
          <w:szCs w:val="24"/>
        </w:rPr>
        <w:t>У</w:t>
      </w:r>
      <w:r w:rsidR="00BF01AB" w:rsidRPr="00295637">
        <w:rPr>
          <w:rFonts w:ascii="Times New Roman" w:hAnsi="Times New Roman"/>
          <w:szCs w:val="24"/>
        </w:rPr>
        <w:t xml:space="preserve"> </w:t>
      </w:r>
      <w:r>
        <w:rPr>
          <w:rFonts w:ascii="Times New Roman" w:hAnsi="Times New Roman"/>
          <w:szCs w:val="24"/>
        </w:rPr>
        <w:t>овој</w:t>
      </w:r>
      <w:r w:rsidR="00BF01AB" w:rsidRPr="00295637">
        <w:rPr>
          <w:rFonts w:ascii="Times New Roman" w:hAnsi="Times New Roman"/>
          <w:szCs w:val="24"/>
        </w:rPr>
        <w:t xml:space="preserve"> </w:t>
      </w:r>
      <w:r>
        <w:rPr>
          <w:rFonts w:ascii="Times New Roman" w:hAnsi="Times New Roman"/>
          <w:szCs w:val="24"/>
        </w:rPr>
        <w:t>статистичкој</w:t>
      </w:r>
      <w:r w:rsidR="00BF01AB" w:rsidRPr="00295637">
        <w:rPr>
          <w:rFonts w:ascii="Times New Roman" w:hAnsi="Times New Roman"/>
          <w:szCs w:val="24"/>
        </w:rPr>
        <w:t xml:space="preserve"> </w:t>
      </w:r>
      <w:r>
        <w:rPr>
          <w:rFonts w:ascii="Times New Roman" w:hAnsi="Times New Roman"/>
          <w:szCs w:val="24"/>
        </w:rPr>
        <w:t>домени</w:t>
      </w:r>
      <w:r w:rsidR="00BF01AB" w:rsidRPr="00295637">
        <w:rPr>
          <w:rFonts w:ascii="Times New Roman" w:hAnsi="Times New Roman"/>
          <w:szCs w:val="24"/>
        </w:rPr>
        <w:t xml:space="preserve"> </w:t>
      </w:r>
      <w:r>
        <w:rPr>
          <w:rFonts w:ascii="Times New Roman" w:hAnsi="Times New Roman"/>
          <w:szCs w:val="24"/>
        </w:rPr>
        <w:t>прикупљају</w:t>
      </w:r>
      <w:r w:rsidR="00BF01AB" w:rsidRPr="00295637">
        <w:rPr>
          <w:rFonts w:ascii="Times New Roman" w:hAnsi="Times New Roman"/>
          <w:szCs w:val="24"/>
        </w:rPr>
        <w:t xml:space="preserve"> </w:t>
      </w:r>
      <w:r>
        <w:rPr>
          <w:rFonts w:ascii="Times New Roman" w:hAnsi="Times New Roman"/>
          <w:szCs w:val="24"/>
        </w:rPr>
        <w:t>се</w:t>
      </w:r>
      <w:r w:rsidR="00CE538C" w:rsidRPr="00295637">
        <w:rPr>
          <w:rFonts w:ascii="Times New Roman" w:hAnsi="Times New Roman"/>
          <w:szCs w:val="24"/>
        </w:rPr>
        <w:t xml:space="preserve"> </w:t>
      </w:r>
      <w:r>
        <w:rPr>
          <w:rFonts w:ascii="Times New Roman" w:hAnsi="Times New Roman"/>
          <w:szCs w:val="24"/>
        </w:rPr>
        <w:t>подаци</w:t>
      </w:r>
      <w:r w:rsidR="00BF01AB" w:rsidRPr="00295637">
        <w:rPr>
          <w:rFonts w:ascii="Times New Roman" w:hAnsi="Times New Roman"/>
          <w:szCs w:val="24"/>
        </w:rPr>
        <w:t xml:space="preserve"> </w:t>
      </w:r>
      <w:r>
        <w:rPr>
          <w:rFonts w:ascii="Times New Roman" w:hAnsi="Times New Roman"/>
          <w:szCs w:val="24"/>
        </w:rPr>
        <w:t>центара</w:t>
      </w:r>
      <w:r w:rsidR="00BF01AB" w:rsidRPr="00295637">
        <w:rPr>
          <w:rFonts w:ascii="Times New Roman" w:hAnsi="Times New Roman"/>
          <w:szCs w:val="24"/>
        </w:rPr>
        <w:t xml:space="preserve"> </w:t>
      </w:r>
      <w:r>
        <w:rPr>
          <w:rFonts w:ascii="Times New Roman" w:hAnsi="Times New Roman"/>
          <w:szCs w:val="24"/>
        </w:rPr>
        <w:t>за</w:t>
      </w:r>
      <w:r w:rsidR="00BF01AB" w:rsidRPr="00295637">
        <w:rPr>
          <w:rFonts w:ascii="Times New Roman" w:hAnsi="Times New Roman"/>
          <w:szCs w:val="24"/>
        </w:rPr>
        <w:t xml:space="preserve"> </w:t>
      </w:r>
      <w:r>
        <w:rPr>
          <w:rFonts w:ascii="Times New Roman" w:hAnsi="Times New Roman"/>
          <w:szCs w:val="24"/>
        </w:rPr>
        <w:t>социјални</w:t>
      </w:r>
      <w:r w:rsidR="00BF01AB" w:rsidRPr="00295637">
        <w:rPr>
          <w:rFonts w:ascii="Times New Roman" w:hAnsi="Times New Roman"/>
          <w:szCs w:val="24"/>
        </w:rPr>
        <w:t xml:space="preserve"> </w:t>
      </w:r>
      <w:r>
        <w:rPr>
          <w:rFonts w:ascii="Times New Roman" w:hAnsi="Times New Roman"/>
          <w:szCs w:val="24"/>
        </w:rPr>
        <w:t>рад</w:t>
      </w:r>
      <w:r w:rsidR="00BF01AB" w:rsidRPr="00295637">
        <w:rPr>
          <w:rFonts w:ascii="Times New Roman" w:hAnsi="Times New Roman"/>
          <w:szCs w:val="24"/>
        </w:rPr>
        <w:t xml:space="preserve">, </w:t>
      </w:r>
      <w:r>
        <w:rPr>
          <w:rFonts w:ascii="Times New Roman" w:hAnsi="Times New Roman"/>
          <w:szCs w:val="24"/>
        </w:rPr>
        <w:t>институција</w:t>
      </w:r>
      <w:r w:rsidR="00BF01AB" w:rsidRPr="00295637">
        <w:rPr>
          <w:rFonts w:ascii="Times New Roman" w:hAnsi="Times New Roman"/>
          <w:szCs w:val="24"/>
        </w:rPr>
        <w:t xml:space="preserve"> </w:t>
      </w:r>
      <w:r>
        <w:rPr>
          <w:rFonts w:ascii="Times New Roman" w:hAnsi="Times New Roman"/>
          <w:szCs w:val="24"/>
        </w:rPr>
        <w:t>социјалне</w:t>
      </w:r>
      <w:r w:rsidR="00BF01AB" w:rsidRPr="00295637">
        <w:rPr>
          <w:rFonts w:ascii="Times New Roman" w:hAnsi="Times New Roman"/>
          <w:szCs w:val="24"/>
        </w:rPr>
        <w:t xml:space="preserve"> </w:t>
      </w:r>
      <w:r>
        <w:rPr>
          <w:rFonts w:ascii="Times New Roman" w:hAnsi="Times New Roman"/>
          <w:szCs w:val="24"/>
        </w:rPr>
        <w:t>заштите</w:t>
      </w:r>
      <w:r w:rsidR="00BF01AB" w:rsidRPr="00295637">
        <w:rPr>
          <w:rFonts w:ascii="Times New Roman" w:hAnsi="Times New Roman"/>
          <w:szCs w:val="24"/>
        </w:rPr>
        <w:t xml:space="preserve"> </w:t>
      </w:r>
      <w:r>
        <w:rPr>
          <w:rFonts w:ascii="Times New Roman" w:hAnsi="Times New Roman"/>
          <w:szCs w:val="24"/>
        </w:rPr>
        <w:t>за</w:t>
      </w:r>
      <w:r w:rsidR="00BF01AB" w:rsidRPr="00295637">
        <w:rPr>
          <w:rFonts w:ascii="Times New Roman" w:hAnsi="Times New Roman"/>
          <w:szCs w:val="24"/>
        </w:rPr>
        <w:t xml:space="preserve"> </w:t>
      </w:r>
      <w:r>
        <w:rPr>
          <w:rFonts w:ascii="Times New Roman" w:hAnsi="Times New Roman"/>
          <w:szCs w:val="24"/>
        </w:rPr>
        <w:t>збрињавање</w:t>
      </w:r>
      <w:r w:rsidR="00BF01AB" w:rsidRPr="00295637">
        <w:rPr>
          <w:rFonts w:ascii="Times New Roman" w:hAnsi="Times New Roman"/>
          <w:szCs w:val="24"/>
        </w:rPr>
        <w:t xml:space="preserve"> </w:t>
      </w:r>
      <w:r>
        <w:rPr>
          <w:rFonts w:ascii="Times New Roman" w:hAnsi="Times New Roman"/>
          <w:szCs w:val="24"/>
        </w:rPr>
        <w:t>дјеце</w:t>
      </w:r>
      <w:r w:rsidR="00BF01AB" w:rsidRPr="00295637">
        <w:rPr>
          <w:rFonts w:ascii="Times New Roman" w:hAnsi="Times New Roman"/>
          <w:szCs w:val="24"/>
        </w:rPr>
        <w:t xml:space="preserve"> </w:t>
      </w:r>
      <w:r>
        <w:rPr>
          <w:rFonts w:ascii="Times New Roman" w:hAnsi="Times New Roman"/>
          <w:szCs w:val="24"/>
        </w:rPr>
        <w:t>без</w:t>
      </w:r>
      <w:r w:rsidR="00BF01AB" w:rsidRPr="00295637">
        <w:rPr>
          <w:rFonts w:ascii="Times New Roman" w:hAnsi="Times New Roman"/>
          <w:szCs w:val="24"/>
        </w:rPr>
        <w:t xml:space="preserve"> </w:t>
      </w:r>
      <w:r>
        <w:rPr>
          <w:rFonts w:ascii="Times New Roman" w:hAnsi="Times New Roman"/>
          <w:szCs w:val="24"/>
        </w:rPr>
        <w:t>родитељског</w:t>
      </w:r>
      <w:r w:rsidR="00BF01AB" w:rsidRPr="00295637">
        <w:rPr>
          <w:rFonts w:ascii="Times New Roman" w:hAnsi="Times New Roman"/>
          <w:szCs w:val="24"/>
        </w:rPr>
        <w:t xml:space="preserve"> </w:t>
      </w:r>
      <w:r>
        <w:rPr>
          <w:rFonts w:ascii="Times New Roman" w:hAnsi="Times New Roman"/>
          <w:szCs w:val="24"/>
        </w:rPr>
        <w:t>старања</w:t>
      </w:r>
      <w:r w:rsidR="00BF01AB" w:rsidRPr="00295637">
        <w:rPr>
          <w:rFonts w:ascii="Times New Roman" w:hAnsi="Times New Roman"/>
          <w:szCs w:val="24"/>
        </w:rPr>
        <w:t xml:space="preserve">, </w:t>
      </w:r>
      <w:r>
        <w:rPr>
          <w:rFonts w:ascii="Times New Roman" w:hAnsi="Times New Roman"/>
          <w:szCs w:val="24"/>
        </w:rPr>
        <w:t>дјеце</w:t>
      </w:r>
      <w:r w:rsidR="00BF01AB" w:rsidRPr="00295637">
        <w:rPr>
          <w:rFonts w:ascii="Times New Roman" w:hAnsi="Times New Roman"/>
          <w:szCs w:val="24"/>
        </w:rPr>
        <w:t xml:space="preserve"> </w:t>
      </w:r>
      <w:r>
        <w:rPr>
          <w:rFonts w:ascii="Times New Roman" w:hAnsi="Times New Roman"/>
          <w:szCs w:val="24"/>
        </w:rPr>
        <w:t>са</w:t>
      </w:r>
      <w:r w:rsidR="00524E10" w:rsidRPr="00295637">
        <w:rPr>
          <w:rFonts w:ascii="Times New Roman" w:hAnsi="Times New Roman"/>
          <w:szCs w:val="24"/>
        </w:rPr>
        <w:t xml:space="preserve"> </w:t>
      </w:r>
      <w:r>
        <w:rPr>
          <w:rFonts w:ascii="Times New Roman" w:hAnsi="Times New Roman"/>
          <w:szCs w:val="24"/>
        </w:rPr>
        <w:t>потешкоћама</w:t>
      </w:r>
      <w:r w:rsidR="00524E10" w:rsidRPr="00295637">
        <w:rPr>
          <w:rFonts w:ascii="Times New Roman" w:hAnsi="Times New Roman"/>
          <w:szCs w:val="24"/>
        </w:rPr>
        <w:t xml:space="preserve"> </w:t>
      </w:r>
      <w:r>
        <w:rPr>
          <w:rFonts w:ascii="Times New Roman" w:hAnsi="Times New Roman"/>
          <w:szCs w:val="24"/>
        </w:rPr>
        <w:t>у</w:t>
      </w:r>
      <w:r w:rsidR="00CC3B28">
        <w:rPr>
          <w:rFonts w:ascii="Times New Roman" w:hAnsi="Times New Roman"/>
          <w:szCs w:val="24"/>
        </w:rPr>
        <w:t xml:space="preserve"> </w:t>
      </w:r>
      <w:r>
        <w:rPr>
          <w:rFonts w:ascii="Times New Roman" w:hAnsi="Times New Roman"/>
          <w:szCs w:val="24"/>
        </w:rPr>
        <w:t>развоју</w:t>
      </w:r>
      <w:r w:rsidR="00CC3B28">
        <w:rPr>
          <w:rFonts w:ascii="Times New Roman" w:hAnsi="Times New Roman"/>
          <w:szCs w:val="24"/>
        </w:rPr>
        <w:t xml:space="preserve"> </w:t>
      </w:r>
      <w:r>
        <w:rPr>
          <w:rFonts w:ascii="Times New Roman" w:hAnsi="Times New Roman"/>
          <w:szCs w:val="24"/>
        </w:rPr>
        <w:t>и</w:t>
      </w:r>
      <w:r w:rsidR="00CC3B28">
        <w:rPr>
          <w:rFonts w:ascii="Times New Roman" w:hAnsi="Times New Roman"/>
          <w:szCs w:val="24"/>
        </w:rPr>
        <w:t xml:space="preserve"> </w:t>
      </w:r>
      <w:r>
        <w:rPr>
          <w:rFonts w:ascii="Times New Roman" w:hAnsi="Times New Roman"/>
          <w:szCs w:val="24"/>
        </w:rPr>
        <w:t>лица</w:t>
      </w:r>
      <w:r w:rsidR="00CC3B28">
        <w:rPr>
          <w:rFonts w:ascii="Times New Roman" w:hAnsi="Times New Roman"/>
          <w:szCs w:val="24"/>
        </w:rPr>
        <w:t xml:space="preserve"> </w:t>
      </w:r>
      <w:r>
        <w:rPr>
          <w:rFonts w:ascii="Times New Roman" w:hAnsi="Times New Roman"/>
          <w:szCs w:val="24"/>
        </w:rPr>
        <w:t>са</w:t>
      </w:r>
      <w:r w:rsidR="00524E10" w:rsidRPr="00295637">
        <w:rPr>
          <w:rFonts w:ascii="Times New Roman" w:hAnsi="Times New Roman"/>
          <w:szCs w:val="24"/>
        </w:rPr>
        <w:t xml:space="preserve"> </w:t>
      </w:r>
      <w:r>
        <w:rPr>
          <w:rFonts w:ascii="Times New Roman" w:hAnsi="Times New Roman"/>
          <w:szCs w:val="24"/>
        </w:rPr>
        <w:t>инвалидитетом</w:t>
      </w:r>
      <w:r w:rsidR="00524E10" w:rsidRPr="00295637">
        <w:rPr>
          <w:rFonts w:ascii="Times New Roman" w:hAnsi="Times New Roman"/>
          <w:szCs w:val="24"/>
        </w:rPr>
        <w:t xml:space="preserve">, </w:t>
      </w:r>
      <w:r>
        <w:rPr>
          <w:rFonts w:ascii="Times New Roman" w:hAnsi="Times New Roman"/>
          <w:szCs w:val="24"/>
        </w:rPr>
        <w:t>те</w:t>
      </w:r>
      <w:r w:rsidR="00BF01AB" w:rsidRPr="00295637">
        <w:rPr>
          <w:rFonts w:ascii="Times New Roman" w:hAnsi="Times New Roman"/>
          <w:szCs w:val="24"/>
        </w:rPr>
        <w:t xml:space="preserve"> </w:t>
      </w:r>
      <w:r>
        <w:rPr>
          <w:rFonts w:ascii="Times New Roman" w:hAnsi="Times New Roman"/>
          <w:szCs w:val="24"/>
        </w:rPr>
        <w:t>старијих</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изнемоглих</w:t>
      </w:r>
      <w:r w:rsidR="00BF01AB" w:rsidRPr="00295637">
        <w:rPr>
          <w:rFonts w:ascii="Times New Roman" w:hAnsi="Times New Roman"/>
          <w:szCs w:val="24"/>
        </w:rPr>
        <w:t xml:space="preserve"> </w:t>
      </w:r>
      <w:r>
        <w:rPr>
          <w:rFonts w:ascii="Times New Roman" w:hAnsi="Times New Roman"/>
          <w:szCs w:val="24"/>
        </w:rPr>
        <w:t>лица</w:t>
      </w:r>
      <w:r w:rsidR="00BF01AB" w:rsidRPr="00295637">
        <w:rPr>
          <w:rFonts w:ascii="Times New Roman" w:hAnsi="Times New Roman"/>
          <w:szCs w:val="24"/>
        </w:rPr>
        <w:t xml:space="preserve">. </w:t>
      </w:r>
      <w:r>
        <w:rPr>
          <w:rFonts w:ascii="Times New Roman" w:hAnsi="Times New Roman"/>
          <w:szCs w:val="24"/>
        </w:rPr>
        <w:t>Подаци</w:t>
      </w:r>
      <w:r w:rsidR="00BF01AB" w:rsidRPr="00295637">
        <w:rPr>
          <w:rFonts w:ascii="Times New Roman" w:hAnsi="Times New Roman"/>
          <w:szCs w:val="24"/>
        </w:rPr>
        <w:t xml:space="preserve"> </w:t>
      </w:r>
      <w:r>
        <w:rPr>
          <w:rFonts w:ascii="Times New Roman" w:hAnsi="Times New Roman"/>
          <w:szCs w:val="24"/>
        </w:rPr>
        <w:t>су</w:t>
      </w:r>
      <w:r w:rsidR="00BF01AB" w:rsidRPr="00295637">
        <w:rPr>
          <w:rFonts w:ascii="Times New Roman" w:hAnsi="Times New Roman"/>
          <w:szCs w:val="24"/>
        </w:rPr>
        <w:t xml:space="preserve"> </w:t>
      </w:r>
      <w:r>
        <w:rPr>
          <w:rFonts w:ascii="Times New Roman" w:hAnsi="Times New Roman"/>
          <w:szCs w:val="24"/>
        </w:rPr>
        <w:t>разврстани</w:t>
      </w:r>
      <w:r w:rsidR="00BF01AB" w:rsidRPr="00295637">
        <w:rPr>
          <w:rFonts w:ascii="Times New Roman" w:hAnsi="Times New Roman"/>
          <w:szCs w:val="24"/>
        </w:rPr>
        <w:t xml:space="preserve"> </w:t>
      </w:r>
      <w:r>
        <w:rPr>
          <w:rFonts w:ascii="Times New Roman" w:hAnsi="Times New Roman"/>
          <w:szCs w:val="24"/>
        </w:rPr>
        <w:t>по</w:t>
      </w:r>
      <w:r w:rsidR="00BF01AB" w:rsidRPr="00295637">
        <w:rPr>
          <w:rFonts w:ascii="Times New Roman" w:hAnsi="Times New Roman"/>
          <w:szCs w:val="24"/>
        </w:rPr>
        <w:t xml:space="preserve"> </w:t>
      </w:r>
      <w:r>
        <w:rPr>
          <w:rFonts w:ascii="Times New Roman" w:hAnsi="Times New Roman"/>
          <w:szCs w:val="24"/>
        </w:rPr>
        <w:t>полу</w:t>
      </w:r>
      <w:r w:rsidR="00BF01AB" w:rsidRPr="00295637">
        <w:rPr>
          <w:rFonts w:ascii="Times New Roman" w:hAnsi="Times New Roman"/>
          <w:szCs w:val="24"/>
        </w:rPr>
        <w:t xml:space="preserve">. </w:t>
      </w:r>
    </w:p>
    <w:p w:rsidR="00D30EF1" w:rsidRPr="00295637" w:rsidRDefault="00D30EF1" w:rsidP="0086268D">
      <w:pPr>
        <w:jc w:val="both"/>
        <w:rPr>
          <w:szCs w:val="24"/>
        </w:rPr>
      </w:pPr>
    </w:p>
    <w:p w:rsidR="00822AD8" w:rsidRPr="00295637" w:rsidRDefault="00C6214E" w:rsidP="0086268D">
      <w:pPr>
        <w:jc w:val="both"/>
        <w:rPr>
          <w:rFonts w:ascii="Times New Roman" w:hAnsi="Times New Roman"/>
          <w:szCs w:val="24"/>
          <w:lang w:val="bs-Latn-BA"/>
        </w:rPr>
      </w:pPr>
      <w:r>
        <w:rPr>
          <w:rFonts w:ascii="Times New Roman" w:hAnsi="Times New Roman"/>
          <w:szCs w:val="24"/>
          <w:lang w:val="bs-Latn-BA"/>
        </w:rPr>
        <w:t>У</w:t>
      </w:r>
      <w:r w:rsidR="00822AD8" w:rsidRPr="00295637">
        <w:rPr>
          <w:rFonts w:ascii="Times New Roman" w:hAnsi="Times New Roman"/>
          <w:szCs w:val="24"/>
          <w:lang w:val="bs-Latn-BA"/>
        </w:rPr>
        <w:t xml:space="preserve"> 2024. </w:t>
      </w:r>
      <w:r>
        <w:rPr>
          <w:rFonts w:ascii="Times New Roman" w:hAnsi="Times New Roman"/>
          <w:szCs w:val="24"/>
          <w:lang w:val="bs-Latn-BA"/>
        </w:rPr>
        <w:t>години</w:t>
      </w:r>
      <w:r w:rsidR="00822AD8" w:rsidRPr="00295637">
        <w:rPr>
          <w:rFonts w:ascii="Times New Roman" w:hAnsi="Times New Roman"/>
          <w:szCs w:val="24"/>
          <w:lang w:val="bs-Latn-BA"/>
        </w:rPr>
        <w:t xml:space="preserve">, </w:t>
      </w:r>
      <w:r>
        <w:rPr>
          <w:rFonts w:ascii="Times New Roman" w:hAnsi="Times New Roman"/>
          <w:szCs w:val="24"/>
          <w:lang w:val="bs-Latn-BA"/>
        </w:rPr>
        <w:t>ФМРСП</w:t>
      </w:r>
      <w:r w:rsidR="00822AD8" w:rsidRPr="00295637">
        <w:rPr>
          <w:rFonts w:ascii="Times New Roman" w:hAnsi="Times New Roman"/>
          <w:szCs w:val="24"/>
          <w:lang w:val="bs-Latn-BA"/>
        </w:rPr>
        <w:t xml:space="preserve"> </w:t>
      </w:r>
      <w:r>
        <w:rPr>
          <w:rFonts w:ascii="Times New Roman" w:hAnsi="Times New Roman"/>
          <w:szCs w:val="24"/>
          <w:lang w:val="bs-Latn-BA"/>
        </w:rPr>
        <w:t>је</w:t>
      </w:r>
      <w:r w:rsidR="00D30EF1" w:rsidRPr="00295637">
        <w:rPr>
          <w:rFonts w:ascii="Times New Roman" w:hAnsi="Times New Roman"/>
          <w:szCs w:val="24"/>
          <w:lang w:val="bs-Latn-BA"/>
        </w:rPr>
        <w:t xml:space="preserve"> </w:t>
      </w:r>
      <w:r>
        <w:rPr>
          <w:rFonts w:ascii="Times New Roman" w:hAnsi="Times New Roman"/>
          <w:szCs w:val="24"/>
          <w:lang w:val="bs-Latn-BA"/>
        </w:rPr>
        <w:t>наставило</w:t>
      </w:r>
      <w:r w:rsidR="00822AD8" w:rsidRPr="00295637">
        <w:rPr>
          <w:rFonts w:ascii="Times New Roman" w:hAnsi="Times New Roman"/>
          <w:szCs w:val="24"/>
          <w:lang w:val="bs-Latn-BA"/>
        </w:rPr>
        <w:t xml:space="preserve"> </w:t>
      </w:r>
      <w:r w:rsidR="00E654F2">
        <w:rPr>
          <w:rFonts w:ascii="Times New Roman" w:hAnsi="Times New Roman"/>
          <w:szCs w:val="24"/>
          <w:lang w:val="sr-Cyrl-BA"/>
        </w:rPr>
        <w:t>спровођење</w:t>
      </w:r>
      <w:r w:rsidR="00822AD8" w:rsidRPr="00295637">
        <w:rPr>
          <w:rFonts w:ascii="Times New Roman" w:hAnsi="Times New Roman"/>
          <w:szCs w:val="24"/>
          <w:lang w:val="bs-Latn-BA"/>
        </w:rPr>
        <w:t xml:space="preserve"> </w:t>
      </w:r>
      <w:r>
        <w:rPr>
          <w:rFonts w:ascii="Times New Roman" w:hAnsi="Times New Roman"/>
          <w:szCs w:val="24"/>
          <w:lang w:val="bs-Latn-BA"/>
        </w:rPr>
        <w:t>Закона</w:t>
      </w:r>
      <w:r w:rsidR="00822AD8" w:rsidRPr="00295637">
        <w:rPr>
          <w:rFonts w:ascii="Times New Roman" w:hAnsi="Times New Roman"/>
          <w:szCs w:val="24"/>
          <w:lang w:val="bs-Latn-BA"/>
        </w:rPr>
        <w:t xml:space="preserve"> </w:t>
      </w:r>
      <w:r>
        <w:rPr>
          <w:rFonts w:ascii="Times New Roman" w:hAnsi="Times New Roman"/>
          <w:szCs w:val="24"/>
          <w:lang w:val="bs-Latn-BA"/>
        </w:rPr>
        <w:t>о</w:t>
      </w:r>
      <w:r w:rsidR="00822AD8" w:rsidRPr="00295637">
        <w:rPr>
          <w:rFonts w:ascii="Times New Roman" w:hAnsi="Times New Roman"/>
          <w:szCs w:val="24"/>
          <w:lang w:val="bs-Latn-BA"/>
        </w:rPr>
        <w:t xml:space="preserve"> </w:t>
      </w:r>
      <w:r>
        <w:rPr>
          <w:rFonts w:ascii="Times New Roman" w:hAnsi="Times New Roman"/>
          <w:szCs w:val="24"/>
          <w:lang w:val="bs-Latn-BA"/>
        </w:rPr>
        <w:t>основама</w:t>
      </w:r>
      <w:r w:rsidR="00822AD8" w:rsidRPr="00295637">
        <w:rPr>
          <w:rFonts w:ascii="Times New Roman" w:hAnsi="Times New Roman"/>
          <w:szCs w:val="24"/>
          <w:lang w:val="bs-Latn-BA"/>
        </w:rPr>
        <w:t xml:space="preserve"> </w:t>
      </w:r>
      <w:r>
        <w:rPr>
          <w:rFonts w:ascii="Times New Roman" w:hAnsi="Times New Roman"/>
          <w:szCs w:val="24"/>
          <w:lang w:val="bs-Latn-BA"/>
        </w:rPr>
        <w:t>социјалне</w:t>
      </w:r>
      <w:r w:rsidR="00822AD8" w:rsidRPr="00295637">
        <w:rPr>
          <w:rFonts w:ascii="Times New Roman" w:hAnsi="Times New Roman"/>
          <w:szCs w:val="24"/>
          <w:lang w:val="bs-Latn-BA"/>
        </w:rPr>
        <w:t xml:space="preserve"> </w:t>
      </w:r>
      <w:r>
        <w:rPr>
          <w:rFonts w:ascii="Times New Roman" w:hAnsi="Times New Roman"/>
          <w:szCs w:val="24"/>
          <w:lang w:val="bs-Latn-BA"/>
        </w:rPr>
        <w:t>заштите</w:t>
      </w:r>
      <w:r w:rsidR="00822AD8" w:rsidRPr="00295637">
        <w:rPr>
          <w:rFonts w:ascii="Times New Roman" w:hAnsi="Times New Roman"/>
          <w:szCs w:val="24"/>
          <w:lang w:val="bs-Latn-BA"/>
        </w:rPr>
        <w:t xml:space="preserve">, </w:t>
      </w:r>
      <w:r>
        <w:rPr>
          <w:rFonts w:ascii="Times New Roman" w:hAnsi="Times New Roman"/>
          <w:szCs w:val="24"/>
          <w:lang w:val="bs-Latn-BA"/>
        </w:rPr>
        <w:t>заштите</w:t>
      </w:r>
      <w:r w:rsidR="00822AD8" w:rsidRPr="00295637">
        <w:rPr>
          <w:rFonts w:ascii="Times New Roman" w:hAnsi="Times New Roman"/>
          <w:szCs w:val="24"/>
          <w:lang w:val="bs-Latn-BA"/>
        </w:rPr>
        <w:t xml:space="preserve"> </w:t>
      </w:r>
      <w:r>
        <w:rPr>
          <w:rFonts w:ascii="Times New Roman" w:hAnsi="Times New Roman"/>
          <w:szCs w:val="24"/>
          <w:lang w:val="bs-Latn-BA"/>
        </w:rPr>
        <w:t>цивилних</w:t>
      </w:r>
      <w:r w:rsidR="00822AD8" w:rsidRPr="00295637">
        <w:rPr>
          <w:rFonts w:ascii="Times New Roman" w:hAnsi="Times New Roman"/>
          <w:szCs w:val="24"/>
          <w:lang w:val="bs-Latn-BA"/>
        </w:rPr>
        <w:t xml:space="preserve"> </w:t>
      </w:r>
      <w:r>
        <w:rPr>
          <w:rFonts w:ascii="Times New Roman" w:hAnsi="Times New Roman"/>
          <w:szCs w:val="24"/>
          <w:lang w:val="bs-Latn-BA"/>
        </w:rPr>
        <w:t>жртава</w:t>
      </w:r>
      <w:r w:rsidR="00822AD8" w:rsidRPr="00295637">
        <w:rPr>
          <w:rFonts w:ascii="Times New Roman" w:hAnsi="Times New Roman"/>
          <w:szCs w:val="24"/>
          <w:lang w:val="bs-Latn-BA"/>
        </w:rPr>
        <w:t xml:space="preserve"> </w:t>
      </w:r>
      <w:r>
        <w:rPr>
          <w:rFonts w:ascii="Times New Roman" w:hAnsi="Times New Roman"/>
          <w:szCs w:val="24"/>
          <w:lang w:val="bs-Latn-BA"/>
        </w:rPr>
        <w:t>рата</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заштите</w:t>
      </w:r>
      <w:r w:rsidR="00822AD8" w:rsidRPr="00295637">
        <w:rPr>
          <w:rFonts w:ascii="Times New Roman" w:hAnsi="Times New Roman"/>
          <w:szCs w:val="24"/>
          <w:lang w:val="bs-Latn-BA"/>
        </w:rPr>
        <w:t xml:space="preserve"> </w:t>
      </w:r>
      <w:r>
        <w:rPr>
          <w:rFonts w:ascii="Times New Roman" w:hAnsi="Times New Roman"/>
          <w:szCs w:val="24"/>
          <w:lang w:val="bs-Latn-BA"/>
        </w:rPr>
        <w:t>породица</w:t>
      </w:r>
      <w:r w:rsidR="00CC3B28">
        <w:rPr>
          <w:rFonts w:ascii="Times New Roman" w:hAnsi="Times New Roman"/>
          <w:szCs w:val="24"/>
          <w:lang w:val="bs-Latn-BA"/>
        </w:rPr>
        <w:t xml:space="preserve"> </w:t>
      </w:r>
      <w:r>
        <w:rPr>
          <w:rFonts w:ascii="Times New Roman" w:hAnsi="Times New Roman"/>
          <w:szCs w:val="24"/>
          <w:lang w:val="bs-Latn-BA"/>
        </w:rPr>
        <w:t>са</w:t>
      </w:r>
      <w:r w:rsidR="00822AD8" w:rsidRPr="00295637">
        <w:rPr>
          <w:rFonts w:ascii="Times New Roman" w:hAnsi="Times New Roman"/>
          <w:szCs w:val="24"/>
          <w:lang w:val="bs-Latn-BA"/>
        </w:rPr>
        <w:t xml:space="preserve"> </w:t>
      </w:r>
      <w:r>
        <w:rPr>
          <w:rFonts w:ascii="Times New Roman" w:hAnsi="Times New Roman"/>
          <w:szCs w:val="24"/>
          <w:lang w:val="bs-Latn-BA"/>
        </w:rPr>
        <w:t>дјецом</w:t>
      </w:r>
      <w:r w:rsidR="00822AD8" w:rsidRPr="00295637">
        <w:rPr>
          <w:rFonts w:ascii="Times New Roman" w:hAnsi="Times New Roman"/>
          <w:szCs w:val="24"/>
          <w:lang w:val="bs-Latn-BA"/>
        </w:rPr>
        <w:t xml:space="preserve">, </w:t>
      </w:r>
      <w:r w:rsidR="00E654F2">
        <w:rPr>
          <w:rFonts w:ascii="Times New Roman" w:hAnsi="Times New Roman"/>
          <w:szCs w:val="24"/>
          <w:lang w:val="sr-Cyrl-BA"/>
        </w:rPr>
        <w:t>с</w:t>
      </w:r>
      <w:r w:rsidR="00822AD8" w:rsidRPr="00295637">
        <w:rPr>
          <w:rFonts w:ascii="Times New Roman" w:hAnsi="Times New Roman"/>
          <w:szCs w:val="24"/>
          <w:lang w:val="bs-Latn-BA"/>
        </w:rPr>
        <w:t xml:space="preserve"> </w:t>
      </w:r>
      <w:r>
        <w:rPr>
          <w:rFonts w:ascii="Times New Roman" w:hAnsi="Times New Roman"/>
          <w:szCs w:val="24"/>
          <w:lang w:val="bs-Latn-BA"/>
        </w:rPr>
        <w:t>циљ</w:t>
      </w:r>
      <w:r w:rsidR="00E654F2">
        <w:rPr>
          <w:rFonts w:ascii="Times New Roman" w:hAnsi="Times New Roman"/>
          <w:szCs w:val="24"/>
          <w:lang w:val="sr-Cyrl-BA"/>
        </w:rPr>
        <w:t>ем</w:t>
      </w:r>
      <w:r w:rsidR="00822AD8" w:rsidRPr="00295637">
        <w:rPr>
          <w:rFonts w:ascii="Times New Roman" w:hAnsi="Times New Roman"/>
          <w:szCs w:val="24"/>
          <w:lang w:val="bs-Latn-BA"/>
        </w:rPr>
        <w:t xml:space="preserve"> </w:t>
      </w:r>
      <w:r>
        <w:rPr>
          <w:rFonts w:ascii="Times New Roman" w:hAnsi="Times New Roman"/>
          <w:szCs w:val="24"/>
          <w:lang w:val="bs-Latn-BA"/>
        </w:rPr>
        <w:t>о</w:t>
      </w:r>
      <w:r w:rsidR="00E654F2">
        <w:rPr>
          <w:rFonts w:ascii="Times New Roman" w:hAnsi="Times New Roman"/>
          <w:szCs w:val="24"/>
          <w:lang w:val="sr-Cyrl-BA"/>
        </w:rPr>
        <w:t>безбјеђења</w:t>
      </w:r>
      <w:r w:rsidR="00822AD8" w:rsidRPr="00295637">
        <w:rPr>
          <w:rFonts w:ascii="Times New Roman" w:hAnsi="Times New Roman"/>
          <w:szCs w:val="24"/>
          <w:lang w:val="bs-Latn-BA"/>
        </w:rPr>
        <w:t xml:space="preserve"> </w:t>
      </w:r>
      <w:r>
        <w:rPr>
          <w:rFonts w:ascii="Times New Roman" w:hAnsi="Times New Roman"/>
          <w:szCs w:val="24"/>
          <w:lang w:val="bs-Latn-BA"/>
        </w:rPr>
        <w:t>подршке</w:t>
      </w:r>
      <w:r w:rsidR="002C4665">
        <w:rPr>
          <w:rFonts w:ascii="Times New Roman" w:hAnsi="Times New Roman"/>
          <w:szCs w:val="24"/>
          <w:lang w:val="bs-Latn-BA"/>
        </w:rPr>
        <w:t xml:space="preserve"> </w:t>
      </w:r>
      <w:r>
        <w:rPr>
          <w:rFonts w:ascii="Times New Roman" w:hAnsi="Times New Roman"/>
          <w:szCs w:val="24"/>
          <w:lang w:val="bs-Latn-BA"/>
        </w:rPr>
        <w:t>лицима</w:t>
      </w:r>
      <w:r w:rsidR="00822AD8" w:rsidRPr="00295637">
        <w:rPr>
          <w:rFonts w:ascii="Times New Roman" w:hAnsi="Times New Roman"/>
          <w:szCs w:val="24"/>
          <w:lang w:val="bs-Latn-BA"/>
        </w:rPr>
        <w:t xml:space="preserve"> </w:t>
      </w:r>
      <w:r>
        <w:rPr>
          <w:rFonts w:ascii="Times New Roman" w:hAnsi="Times New Roman"/>
          <w:szCs w:val="24"/>
          <w:lang w:val="bs-Latn-BA"/>
        </w:rPr>
        <w:t>у</w:t>
      </w:r>
      <w:r w:rsidR="00822AD8" w:rsidRPr="00295637">
        <w:rPr>
          <w:rFonts w:ascii="Times New Roman" w:hAnsi="Times New Roman"/>
          <w:szCs w:val="24"/>
          <w:lang w:val="bs-Latn-BA"/>
        </w:rPr>
        <w:t xml:space="preserve"> </w:t>
      </w:r>
      <w:r>
        <w:rPr>
          <w:rFonts w:ascii="Times New Roman" w:hAnsi="Times New Roman"/>
          <w:szCs w:val="24"/>
          <w:lang w:val="bs-Latn-BA"/>
        </w:rPr>
        <w:t>стању</w:t>
      </w:r>
      <w:r w:rsidR="00822AD8" w:rsidRPr="00295637">
        <w:rPr>
          <w:rFonts w:ascii="Times New Roman" w:hAnsi="Times New Roman"/>
          <w:szCs w:val="24"/>
          <w:lang w:val="bs-Latn-BA"/>
        </w:rPr>
        <w:t xml:space="preserve"> </w:t>
      </w:r>
      <w:r>
        <w:rPr>
          <w:rFonts w:ascii="Times New Roman" w:hAnsi="Times New Roman"/>
          <w:szCs w:val="24"/>
          <w:lang w:val="bs-Latn-BA"/>
        </w:rPr>
        <w:t>социјалне</w:t>
      </w:r>
      <w:r w:rsidR="00822AD8" w:rsidRPr="00295637">
        <w:rPr>
          <w:rFonts w:ascii="Times New Roman" w:hAnsi="Times New Roman"/>
          <w:szCs w:val="24"/>
          <w:lang w:val="bs-Latn-BA"/>
        </w:rPr>
        <w:t xml:space="preserve"> </w:t>
      </w:r>
      <w:r>
        <w:rPr>
          <w:rFonts w:ascii="Times New Roman" w:hAnsi="Times New Roman"/>
          <w:szCs w:val="24"/>
          <w:lang w:val="bs-Latn-BA"/>
        </w:rPr>
        <w:t>потребе</w:t>
      </w:r>
      <w:r w:rsidR="00822AD8" w:rsidRPr="00295637">
        <w:rPr>
          <w:rFonts w:ascii="Times New Roman" w:hAnsi="Times New Roman"/>
          <w:szCs w:val="24"/>
          <w:lang w:val="bs-Latn-BA"/>
        </w:rPr>
        <w:t xml:space="preserve">. </w:t>
      </w:r>
      <w:r>
        <w:rPr>
          <w:rFonts w:ascii="Times New Roman" w:hAnsi="Times New Roman"/>
          <w:szCs w:val="24"/>
          <w:lang w:val="bs-Latn-BA"/>
        </w:rPr>
        <w:t>У</w:t>
      </w:r>
      <w:r w:rsidR="00822AD8" w:rsidRPr="00295637">
        <w:rPr>
          <w:rFonts w:ascii="Times New Roman" w:hAnsi="Times New Roman"/>
          <w:szCs w:val="24"/>
          <w:lang w:val="bs-Latn-BA"/>
        </w:rPr>
        <w:t xml:space="preserve"> </w:t>
      </w:r>
      <w:r>
        <w:rPr>
          <w:rFonts w:ascii="Times New Roman" w:hAnsi="Times New Roman"/>
          <w:szCs w:val="24"/>
          <w:lang w:val="bs-Latn-BA"/>
        </w:rPr>
        <w:t>том</w:t>
      </w:r>
      <w:r w:rsidR="00822AD8" w:rsidRPr="00295637">
        <w:rPr>
          <w:rFonts w:ascii="Times New Roman" w:hAnsi="Times New Roman"/>
          <w:szCs w:val="24"/>
          <w:lang w:val="bs-Latn-BA"/>
        </w:rPr>
        <w:t xml:space="preserve"> </w:t>
      </w:r>
      <w:r>
        <w:rPr>
          <w:rFonts w:ascii="Times New Roman" w:hAnsi="Times New Roman"/>
          <w:szCs w:val="24"/>
          <w:lang w:val="bs-Latn-BA"/>
        </w:rPr>
        <w:t>контексту</w:t>
      </w:r>
      <w:r w:rsidR="00822AD8" w:rsidRPr="00295637">
        <w:rPr>
          <w:rFonts w:ascii="Times New Roman" w:hAnsi="Times New Roman"/>
          <w:szCs w:val="24"/>
          <w:lang w:val="bs-Latn-BA"/>
        </w:rPr>
        <w:t xml:space="preserve">, </w:t>
      </w:r>
      <w:r>
        <w:rPr>
          <w:rFonts w:ascii="Times New Roman" w:hAnsi="Times New Roman"/>
          <w:szCs w:val="24"/>
          <w:lang w:val="bs-Latn-BA"/>
        </w:rPr>
        <w:t>евидентиран</w:t>
      </w:r>
      <w:r w:rsidR="00822AD8" w:rsidRPr="00295637">
        <w:rPr>
          <w:rFonts w:ascii="Times New Roman" w:hAnsi="Times New Roman"/>
          <w:szCs w:val="24"/>
          <w:lang w:val="bs-Latn-BA"/>
        </w:rPr>
        <w:t xml:space="preserve"> </w:t>
      </w:r>
      <w:r>
        <w:rPr>
          <w:rFonts w:ascii="Times New Roman" w:hAnsi="Times New Roman"/>
          <w:szCs w:val="24"/>
          <w:lang w:val="bs-Latn-BA"/>
        </w:rPr>
        <w:t>је</w:t>
      </w:r>
      <w:r w:rsidR="00822AD8" w:rsidRPr="00295637">
        <w:rPr>
          <w:rFonts w:ascii="Times New Roman" w:hAnsi="Times New Roman"/>
          <w:szCs w:val="24"/>
          <w:lang w:val="bs-Latn-BA"/>
        </w:rPr>
        <w:t xml:space="preserve"> </w:t>
      </w:r>
      <w:r>
        <w:rPr>
          <w:rFonts w:ascii="Times New Roman" w:hAnsi="Times New Roman"/>
          <w:szCs w:val="24"/>
          <w:lang w:val="bs-Latn-BA"/>
        </w:rPr>
        <w:t>број</w:t>
      </w:r>
      <w:r w:rsidR="00822AD8" w:rsidRPr="00295637">
        <w:rPr>
          <w:rFonts w:ascii="Times New Roman" w:hAnsi="Times New Roman"/>
          <w:szCs w:val="24"/>
          <w:lang w:val="bs-Latn-BA"/>
        </w:rPr>
        <w:t xml:space="preserve"> </w:t>
      </w:r>
      <w:r>
        <w:rPr>
          <w:rFonts w:ascii="Times New Roman" w:hAnsi="Times New Roman"/>
          <w:szCs w:val="24"/>
          <w:lang w:val="bs-Latn-BA"/>
        </w:rPr>
        <w:t>корисника</w:t>
      </w:r>
      <w:r w:rsidR="00822AD8" w:rsidRPr="00295637">
        <w:rPr>
          <w:rFonts w:ascii="Times New Roman" w:hAnsi="Times New Roman"/>
          <w:szCs w:val="24"/>
          <w:lang w:val="bs-Latn-BA"/>
        </w:rPr>
        <w:t xml:space="preserve"> </w:t>
      </w:r>
      <w:r>
        <w:rPr>
          <w:rFonts w:ascii="Times New Roman" w:hAnsi="Times New Roman"/>
          <w:szCs w:val="24"/>
          <w:lang w:val="bs-Latn-BA"/>
        </w:rPr>
        <w:t>социјалне</w:t>
      </w:r>
      <w:r w:rsidR="00822AD8" w:rsidRPr="00295637">
        <w:rPr>
          <w:rFonts w:ascii="Times New Roman" w:hAnsi="Times New Roman"/>
          <w:szCs w:val="24"/>
          <w:lang w:val="bs-Latn-BA"/>
        </w:rPr>
        <w:t xml:space="preserve"> </w:t>
      </w:r>
      <w:r>
        <w:rPr>
          <w:rFonts w:ascii="Times New Roman" w:hAnsi="Times New Roman"/>
          <w:szCs w:val="24"/>
          <w:lang w:val="bs-Latn-BA"/>
        </w:rPr>
        <w:t>заштите</w:t>
      </w:r>
      <w:r w:rsidR="00822AD8" w:rsidRPr="00295637">
        <w:rPr>
          <w:rFonts w:ascii="Times New Roman" w:hAnsi="Times New Roman"/>
          <w:szCs w:val="24"/>
          <w:lang w:val="bs-Latn-BA"/>
        </w:rPr>
        <w:t xml:space="preserve">, </w:t>
      </w:r>
      <w:r>
        <w:rPr>
          <w:rFonts w:ascii="Times New Roman" w:hAnsi="Times New Roman"/>
          <w:szCs w:val="24"/>
          <w:lang w:val="bs-Latn-BA"/>
        </w:rPr>
        <w:t>као</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број</w:t>
      </w:r>
      <w:r w:rsidR="00822AD8" w:rsidRPr="00295637">
        <w:rPr>
          <w:rFonts w:ascii="Times New Roman" w:hAnsi="Times New Roman"/>
          <w:szCs w:val="24"/>
          <w:lang w:val="bs-Latn-BA"/>
        </w:rPr>
        <w:t xml:space="preserve"> </w:t>
      </w:r>
      <w:r>
        <w:rPr>
          <w:rFonts w:ascii="Times New Roman" w:hAnsi="Times New Roman"/>
          <w:szCs w:val="24"/>
          <w:lang w:val="bs-Latn-BA"/>
        </w:rPr>
        <w:t>жртава</w:t>
      </w:r>
      <w:r w:rsidR="00822AD8" w:rsidRPr="00295637">
        <w:rPr>
          <w:rFonts w:ascii="Times New Roman" w:hAnsi="Times New Roman"/>
          <w:szCs w:val="24"/>
          <w:lang w:val="bs-Latn-BA"/>
        </w:rPr>
        <w:t xml:space="preserve"> </w:t>
      </w:r>
      <w:r>
        <w:rPr>
          <w:rFonts w:ascii="Times New Roman" w:hAnsi="Times New Roman"/>
          <w:szCs w:val="24"/>
          <w:lang w:val="bs-Latn-BA"/>
        </w:rPr>
        <w:t>породичног</w:t>
      </w:r>
      <w:r w:rsidR="00822AD8" w:rsidRPr="00295637">
        <w:rPr>
          <w:rFonts w:ascii="Times New Roman" w:hAnsi="Times New Roman"/>
          <w:szCs w:val="24"/>
          <w:lang w:val="bs-Latn-BA"/>
        </w:rPr>
        <w:t xml:space="preserve"> </w:t>
      </w:r>
      <w:r>
        <w:rPr>
          <w:rFonts w:ascii="Times New Roman" w:hAnsi="Times New Roman"/>
          <w:szCs w:val="24"/>
          <w:lang w:val="bs-Latn-BA"/>
        </w:rPr>
        <w:t>насиља</w:t>
      </w:r>
      <w:r w:rsidR="00822AD8" w:rsidRPr="00295637">
        <w:rPr>
          <w:rFonts w:ascii="Times New Roman" w:hAnsi="Times New Roman"/>
          <w:szCs w:val="24"/>
          <w:lang w:val="bs-Latn-BA"/>
        </w:rPr>
        <w:t xml:space="preserve"> (</w:t>
      </w:r>
      <w:r>
        <w:rPr>
          <w:rFonts w:ascii="Times New Roman" w:hAnsi="Times New Roman"/>
          <w:szCs w:val="24"/>
          <w:lang w:val="bs-Latn-BA"/>
        </w:rPr>
        <w:t>дјеце</w:t>
      </w:r>
      <w:r w:rsidR="00822AD8" w:rsidRPr="00295637">
        <w:rPr>
          <w:rFonts w:ascii="Times New Roman" w:hAnsi="Times New Roman"/>
          <w:szCs w:val="24"/>
          <w:lang w:val="bs-Latn-BA"/>
        </w:rPr>
        <w:t xml:space="preserve">, </w:t>
      </w:r>
      <w:r>
        <w:rPr>
          <w:rFonts w:ascii="Times New Roman" w:hAnsi="Times New Roman"/>
          <w:szCs w:val="24"/>
          <w:lang w:val="bs-Latn-BA"/>
        </w:rPr>
        <w:t>младих</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одраслих</w:t>
      </w:r>
      <w:r w:rsidR="00822AD8" w:rsidRPr="00295637">
        <w:rPr>
          <w:rFonts w:ascii="Times New Roman" w:hAnsi="Times New Roman"/>
          <w:szCs w:val="24"/>
          <w:lang w:val="bs-Latn-BA"/>
        </w:rPr>
        <w:t xml:space="preserve">) </w:t>
      </w:r>
      <w:r>
        <w:rPr>
          <w:rFonts w:ascii="Times New Roman" w:hAnsi="Times New Roman"/>
          <w:szCs w:val="24"/>
          <w:lang w:val="bs-Latn-BA"/>
        </w:rPr>
        <w:t>којима</w:t>
      </w:r>
      <w:r w:rsidR="00822AD8" w:rsidRPr="00295637">
        <w:rPr>
          <w:rFonts w:ascii="Times New Roman" w:hAnsi="Times New Roman"/>
          <w:szCs w:val="24"/>
          <w:lang w:val="bs-Latn-BA"/>
        </w:rPr>
        <w:t xml:space="preserve"> </w:t>
      </w:r>
      <w:r>
        <w:rPr>
          <w:rFonts w:ascii="Times New Roman" w:hAnsi="Times New Roman"/>
          <w:szCs w:val="24"/>
          <w:lang w:val="bs-Latn-BA"/>
        </w:rPr>
        <w:t>су</w:t>
      </w:r>
      <w:r w:rsidR="00822AD8" w:rsidRPr="00295637">
        <w:rPr>
          <w:rFonts w:ascii="Times New Roman" w:hAnsi="Times New Roman"/>
          <w:szCs w:val="24"/>
          <w:lang w:val="bs-Latn-BA"/>
        </w:rPr>
        <w:t xml:space="preserve"> </w:t>
      </w:r>
      <w:r>
        <w:rPr>
          <w:rFonts w:ascii="Times New Roman" w:hAnsi="Times New Roman"/>
          <w:szCs w:val="24"/>
          <w:lang w:val="bs-Latn-BA"/>
        </w:rPr>
        <w:t>органи</w:t>
      </w:r>
      <w:r w:rsidR="00822AD8" w:rsidRPr="00295637">
        <w:rPr>
          <w:rFonts w:ascii="Times New Roman" w:hAnsi="Times New Roman"/>
          <w:szCs w:val="24"/>
          <w:lang w:val="bs-Latn-BA"/>
        </w:rPr>
        <w:t xml:space="preserve"> </w:t>
      </w:r>
      <w:r>
        <w:rPr>
          <w:rFonts w:ascii="Times New Roman" w:hAnsi="Times New Roman"/>
          <w:szCs w:val="24"/>
          <w:lang w:val="bs-Latn-BA"/>
        </w:rPr>
        <w:t>старатељства</w:t>
      </w:r>
      <w:r w:rsidR="00822AD8" w:rsidRPr="00295637">
        <w:rPr>
          <w:rFonts w:ascii="Times New Roman" w:hAnsi="Times New Roman"/>
          <w:szCs w:val="24"/>
          <w:lang w:val="bs-Latn-BA"/>
        </w:rPr>
        <w:t xml:space="preserve"> </w:t>
      </w:r>
      <w:r>
        <w:rPr>
          <w:rFonts w:ascii="Times New Roman" w:hAnsi="Times New Roman"/>
          <w:szCs w:val="24"/>
          <w:lang w:val="bs-Latn-BA"/>
        </w:rPr>
        <w:t>пружили</w:t>
      </w:r>
      <w:r w:rsidR="00822AD8" w:rsidRPr="00295637">
        <w:rPr>
          <w:rFonts w:ascii="Times New Roman" w:hAnsi="Times New Roman"/>
          <w:szCs w:val="24"/>
          <w:lang w:val="bs-Latn-BA"/>
        </w:rPr>
        <w:t xml:space="preserve"> </w:t>
      </w:r>
      <w:r>
        <w:rPr>
          <w:rFonts w:ascii="Times New Roman" w:hAnsi="Times New Roman"/>
          <w:szCs w:val="24"/>
          <w:lang w:val="bs-Latn-BA"/>
        </w:rPr>
        <w:t>стручну</w:t>
      </w:r>
      <w:r w:rsidR="00822AD8" w:rsidRPr="00295637">
        <w:rPr>
          <w:rFonts w:ascii="Times New Roman" w:hAnsi="Times New Roman"/>
          <w:szCs w:val="24"/>
          <w:lang w:val="bs-Latn-BA"/>
        </w:rPr>
        <w:t xml:space="preserve"> </w:t>
      </w:r>
      <w:r>
        <w:rPr>
          <w:rFonts w:ascii="Times New Roman" w:hAnsi="Times New Roman"/>
          <w:szCs w:val="24"/>
          <w:lang w:val="bs-Latn-BA"/>
        </w:rPr>
        <w:t>помоћ</w:t>
      </w:r>
      <w:r w:rsidR="00822AD8" w:rsidRPr="00295637">
        <w:rPr>
          <w:rFonts w:ascii="Times New Roman" w:hAnsi="Times New Roman"/>
          <w:szCs w:val="24"/>
          <w:lang w:val="bs-Latn-BA"/>
        </w:rPr>
        <w:t xml:space="preserve">. </w:t>
      </w:r>
      <w:r>
        <w:rPr>
          <w:rFonts w:ascii="Times New Roman" w:hAnsi="Times New Roman"/>
          <w:szCs w:val="24"/>
          <w:lang w:val="bs-Latn-BA"/>
        </w:rPr>
        <w:t>Извјештај</w:t>
      </w:r>
      <w:r w:rsidR="00822AD8" w:rsidRPr="00295637">
        <w:rPr>
          <w:rFonts w:ascii="Times New Roman" w:hAnsi="Times New Roman"/>
          <w:szCs w:val="24"/>
          <w:lang w:val="bs-Latn-BA"/>
        </w:rPr>
        <w:t xml:space="preserve"> </w:t>
      </w:r>
      <w:r>
        <w:rPr>
          <w:rFonts w:ascii="Times New Roman" w:hAnsi="Times New Roman"/>
          <w:szCs w:val="24"/>
          <w:lang w:val="bs-Latn-BA"/>
        </w:rPr>
        <w:t>о</w:t>
      </w:r>
      <w:r w:rsidR="00822AD8" w:rsidRPr="00295637">
        <w:rPr>
          <w:rFonts w:ascii="Times New Roman" w:hAnsi="Times New Roman"/>
          <w:szCs w:val="24"/>
          <w:lang w:val="bs-Latn-BA"/>
        </w:rPr>
        <w:t xml:space="preserve"> </w:t>
      </w:r>
      <w:r w:rsidR="00E654F2">
        <w:rPr>
          <w:rFonts w:ascii="Times New Roman" w:hAnsi="Times New Roman"/>
          <w:szCs w:val="24"/>
          <w:lang w:val="sr-Cyrl-BA"/>
        </w:rPr>
        <w:t>спровођењу</w:t>
      </w:r>
      <w:r w:rsidR="00822AD8" w:rsidRPr="00295637">
        <w:rPr>
          <w:rFonts w:ascii="Times New Roman" w:hAnsi="Times New Roman"/>
          <w:szCs w:val="24"/>
          <w:lang w:val="bs-Latn-BA"/>
        </w:rPr>
        <w:t xml:space="preserve"> </w:t>
      </w:r>
      <w:r>
        <w:rPr>
          <w:rFonts w:ascii="Times New Roman" w:hAnsi="Times New Roman"/>
          <w:szCs w:val="24"/>
          <w:lang w:val="bs-Latn-BA"/>
        </w:rPr>
        <w:t>закона</w:t>
      </w:r>
      <w:r w:rsidR="00822AD8" w:rsidRPr="00295637">
        <w:rPr>
          <w:rFonts w:ascii="Times New Roman" w:hAnsi="Times New Roman"/>
          <w:szCs w:val="24"/>
          <w:lang w:val="bs-Latn-BA"/>
        </w:rPr>
        <w:t xml:space="preserve"> </w:t>
      </w:r>
      <w:r>
        <w:rPr>
          <w:rFonts w:ascii="Times New Roman" w:hAnsi="Times New Roman"/>
          <w:szCs w:val="24"/>
          <w:lang w:val="bs-Latn-BA"/>
        </w:rPr>
        <w:t>пружа</w:t>
      </w:r>
      <w:r w:rsidR="00822AD8" w:rsidRPr="00295637">
        <w:rPr>
          <w:rFonts w:ascii="Times New Roman" w:hAnsi="Times New Roman"/>
          <w:szCs w:val="24"/>
          <w:lang w:val="bs-Latn-BA"/>
        </w:rPr>
        <w:t xml:space="preserve"> </w:t>
      </w:r>
      <w:r>
        <w:rPr>
          <w:rFonts w:ascii="Times New Roman" w:hAnsi="Times New Roman"/>
          <w:szCs w:val="24"/>
          <w:lang w:val="bs-Latn-BA"/>
        </w:rPr>
        <w:t>детаљан</w:t>
      </w:r>
      <w:r w:rsidR="00822AD8" w:rsidRPr="00295637">
        <w:rPr>
          <w:rFonts w:ascii="Times New Roman" w:hAnsi="Times New Roman"/>
          <w:szCs w:val="24"/>
          <w:lang w:val="bs-Latn-BA"/>
        </w:rPr>
        <w:t xml:space="preserve"> </w:t>
      </w:r>
      <w:r>
        <w:rPr>
          <w:rFonts w:ascii="Times New Roman" w:hAnsi="Times New Roman"/>
          <w:szCs w:val="24"/>
          <w:lang w:val="bs-Latn-BA"/>
        </w:rPr>
        <w:t>преглед</w:t>
      </w:r>
      <w:r w:rsidR="00822AD8" w:rsidRPr="00295637">
        <w:rPr>
          <w:rFonts w:ascii="Times New Roman" w:hAnsi="Times New Roman"/>
          <w:szCs w:val="24"/>
          <w:lang w:val="bs-Latn-BA"/>
        </w:rPr>
        <w:t xml:space="preserve"> </w:t>
      </w:r>
      <w:r>
        <w:rPr>
          <w:rFonts w:ascii="Times New Roman" w:hAnsi="Times New Roman"/>
          <w:szCs w:val="24"/>
          <w:lang w:val="bs-Latn-BA"/>
        </w:rPr>
        <w:t>броја</w:t>
      </w:r>
      <w:r w:rsidR="00822AD8" w:rsidRPr="00295637">
        <w:rPr>
          <w:rFonts w:ascii="Times New Roman" w:hAnsi="Times New Roman"/>
          <w:szCs w:val="24"/>
          <w:lang w:val="bs-Latn-BA"/>
        </w:rPr>
        <w:t xml:space="preserve"> </w:t>
      </w:r>
      <w:r>
        <w:rPr>
          <w:rFonts w:ascii="Times New Roman" w:hAnsi="Times New Roman"/>
          <w:szCs w:val="24"/>
          <w:lang w:val="bs-Latn-BA"/>
        </w:rPr>
        <w:t>корисника</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расположивих</w:t>
      </w:r>
      <w:r w:rsidR="00822AD8" w:rsidRPr="00295637">
        <w:rPr>
          <w:rFonts w:ascii="Times New Roman" w:hAnsi="Times New Roman"/>
          <w:szCs w:val="24"/>
          <w:lang w:val="bs-Latn-BA"/>
        </w:rPr>
        <w:t xml:space="preserve"> </w:t>
      </w:r>
      <w:r>
        <w:rPr>
          <w:rFonts w:ascii="Times New Roman" w:hAnsi="Times New Roman"/>
          <w:szCs w:val="24"/>
          <w:lang w:val="bs-Latn-BA"/>
        </w:rPr>
        <w:t>услуга</w:t>
      </w:r>
      <w:r w:rsidR="00822AD8" w:rsidRPr="00295637">
        <w:rPr>
          <w:rFonts w:ascii="Times New Roman" w:hAnsi="Times New Roman"/>
          <w:szCs w:val="24"/>
          <w:lang w:val="bs-Latn-BA"/>
        </w:rPr>
        <w:t xml:space="preserve">, </w:t>
      </w:r>
      <w:r>
        <w:rPr>
          <w:rFonts w:ascii="Times New Roman" w:hAnsi="Times New Roman"/>
          <w:szCs w:val="24"/>
          <w:lang w:val="bs-Latn-BA"/>
        </w:rPr>
        <w:t>те</w:t>
      </w:r>
      <w:r w:rsidR="00822AD8" w:rsidRPr="00295637">
        <w:rPr>
          <w:rFonts w:ascii="Times New Roman" w:hAnsi="Times New Roman"/>
          <w:szCs w:val="24"/>
          <w:lang w:val="bs-Latn-BA"/>
        </w:rPr>
        <w:t xml:space="preserve"> </w:t>
      </w:r>
      <w:r>
        <w:rPr>
          <w:rFonts w:ascii="Times New Roman" w:hAnsi="Times New Roman"/>
          <w:szCs w:val="24"/>
          <w:lang w:val="bs-Latn-BA"/>
        </w:rPr>
        <w:t>показује</w:t>
      </w:r>
      <w:r w:rsidR="00822AD8" w:rsidRPr="00295637">
        <w:rPr>
          <w:rFonts w:ascii="Times New Roman" w:hAnsi="Times New Roman"/>
          <w:szCs w:val="24"/>
          <w:lang w:val="bs-Latn-BA"/>
        </w:rPr>
        <w:t xml:space="preserve"> </w:t>
      </w:r>
      <w:r>
        <w:rPr>
          <w:rFonts w:ascii="Times New Roman" w:hAnsi="Times New Roman"/>
          <w:szCs w:val="24"/>
          <w:lang w:val="bs-Latn-BA"/>
        </w:rPr>
        <w:t>даљу</w:t>
      </w:r>
      <w:r w:rsidR="00822AD8" w:rsidRPr="00295637">
        <w:rPr>
          <w:rFonts w:ascii="Times New Roman" w:hAnsi="Times New Roman"/>
          <w:szCs w:val="24"/>
          <w:lang w:val="bs-Latn-BA"/>
        </w:rPr>
        <w:t xml:space="preserve"> </w:t>
      </w:r>
      <w:r>
        <w:rPr>
          <w:rFonts w:ascii="Times New Roman" w:hAnsi="Times New Roman"/>
          <w:szCs w:val="24"/>
          <w:lang w:val="bs-Latn-BA"/>
        </w:rPr>
        <w:t>потребу</w:t>
      </w:r>
      <w:r w:rsidR="00822AD8" w:rsidRPr="00295637">
        <w:rPr>
          <w:rFonts w:ascii="Times New Roman" w:hAnsi="Times New Roman"/>
          <w:szCs w:val="24"/>
          <w:lang w:val="bs-Latn-BA"/>
        </w:rPr>
        <w:t xml:space="preserve"> </w:t>
      </w:r>
      <w:r>
        <w:rPr>
          <w:rFonts w:ascii="Times New Roman" w:hAnsi="Times New Roman"/>
          <w:szCs w:val="24"/>
          <w:lang w:val="bs-Latn-BA"/>
        </w:rPr>
        <w:t>за</w:t>
      </w:r>
      <w:r w:rsidR="00822AD8" w:rsidRPr="00295637">
        <w:rPr>
          <w:rFonts w:ascii="Times New Roman" w:hAnsi="Times New Roman"/>
          <w:szCs w:val="24"/>
          <w:lang w:val="bs-Latn-BA"/>
        </w:rPr>
        <w:t xml:space="preserve"> </w:t>
      </w:r>
      <w:r>
        <w:rPr>
          <w:rFonts w:ascii="Times New Roman" w:hAnsi="Times New Roman"/>
          <w:szCs w:val="24"/>
          <w:lang w:val="bs-Latn-BA"/>
        </w:rPr>
        <w:t>јачањем</w:t>
      </w:r>
      <w:r w:rsidR="00822AD8" w:rsidRPr="00295637">
        <w:rPr>
          <w:rFonts w:ascii="Times New Roman" w:hAnsi="Times New Roman"/>
          <w:szCs w:val="24"/>
          <w:lang w:val="bs-Latn-BA"/>
        </w:rPr>
        <w:t xml:space="preserve"> </w:t>
      </w:r>
      <w:r>
        <w:rPr>
          <w:rFonts w:ascii="Times New Roman" w:hAnsi="Times New Roman"/>
          <w:szCs w:val="24"/>
          <w:lang w:val="bs-Latn-BA"/>
        </w:rPr>
        <w:t>социјалних</w:t>
      </w:r>
      <w:r w:rsidR="00822AD8" w:rsidRPr="00295637">
        <w:rPr>
          <w:rFonts w:ascii="Times New Roman" w:hAnsi="Times New Roman"/>
          <w:szCs w:val="24"/>
          <w:lang w:val="bs-Latn-BA"/>
        </w:rPr>
        <w:t xml:space="preserve"> </w:t>
      </w:r>
      <w:r>
        <w:rPr>
          <w:rFonts w:ascii="Times New Roman" w:hAnsi="Times New Roman"/>
          <w:szCs w:val="24"/>
          <w:lang w:val="bs-Latn-BA"/>
        </w:rPr>
        <w:t>програма</w:t>
      </w:r>
      <w:r w:rsidR="00822AD8" w:rsidRPr="00295637">
        <w:rPr>
          <w:rFonts w:ascii="Times New Roman" w:hAnsi="Times New Roman"/>
          <w:szCs w:val="24"/>
          <w:lang w:val="bs-Latn-BA"/>
        </w:rPr>
        <w:t xml:space="preserve"> </w:t>
      </w:r>
      <w:r>
        <w:rPr>
          <w:rFonts w:ascii="Times New Roman" w:hAnsi="Times New Roman"/>
          <w:szCs w:val="24"/>
          <w:lang w:val="bs-Latn-BA"/>
        </w:rPr>
        <w:t>на</w:t>
      </w:r>
      <w:r w:rsidR="00822AD8" w:rsidRPr="00295637">
        <w:rPr>
          <w:rFonts w:ascii="Times New Roman" w:hAnsi="Times New Roman"/>
          <w:szCs w:val="24"/>
          <w:lang w:val="bs-Latn-BA"/>
        </w:rPr>
        <w:t xml:space="preserve"> </w:t>
      </w:r>
      <w:r>
        <w:rPr>
          <w:rFonts w:ascii="Times New Roman" w:hAnsi="Times New Roman"/>
          <w:szCs w:val="24"/>
          <w:lang w:val="bs-Latn-BA"/>
        </w:rPr>
        <w:t>свим</w:t>
      </w:r>
      <w:r w:rsidR="00822AD8" w:rsidRPr="00295637">
        <w:rPr>
          <w:rFonts w:ascii="Times New Roman" w:hAnsi="Times New Roman"/>
          <w:szCs w:val="24"/>
          <w:lang w:val="bs-Latn-BA"/>
        </w:rPr>
        <w:t xml:space="preserve"> </w:t>
      </w:r>
      <w:r>
        <w:rPr>
          <w:rFonts w:ascii="Times New Roman" w:hAnsi="Times New Roman"/>
          <w:szCs w:val="24"/>
          <w:lang w:val="bs-Latn-BA"/>
        </w:rPr>
        <w:t>нивоима</w:t>
      </w:r>
      <w:r w:rsidR="00822AD8" w:rsidRPr="00295637">
        <w:rPr>
          <w:rFonts w:ascii="Times New Roman" w:hAnsi="Times New Roman"/>
          <w:szCs w:val="24"/>
          <w:lang w:val="bs-Latn-BA"/>
        </w:rPr>
        <w:t xml:space="preserve"> </w:t>
      </w:r>
      <w:r>
        <w:rPr>
          <w:rFonts w:ascii="Times New Roman" w:hAnsi="Times New Roman"/>
          <w:szCs w:val="24"/>
          <w:lang w:val="bs-Latn-BA"/>
        </w:rPr>
        <w:t>власти</w:t>
      </w:r>
      <w:r w:rsidR="00822AD8" w:rsidRPr="00295637">
        <w:rPr>
          <w:rFonts w:ascii="Times New Roman" w:hAnsi="Times New Roman"/>
          <w:szCs w:val="24"/>
          <w:lang w:val="bs-Latn-BA"/>
        </w:rPr>
        <w:t>.</w:t>
      </w:r>
    </w:p>
    <w:p w:rsidR="00822AD8" w:rsidRPr="00295637" w:rsidRDefault="00822AD8" w:rsidP="0086268D">
      <w:pPr>
        <w:ind w:left="576"/>
        <w:jc w:val="both"/>
        <w:rPr>
          <w:rFonts w:ascii="Times New Roman" w:hAnsi="Times New Roman"/>
          <w:szCs w:val="24"/>
          <w:lang w:val="bs-Latn-BA"/>
        </w:rPr>
      </w:pPr>
    </w:p>
    <w:p w:rsidR="00822AD8" w:rsidRPr="00295637" w:rsidRDefault="00C6214E" w:rsidP="0086268D">
      <w:pPr>
        <w:jc w:val="both"/>
        <w:rPr>
          <w:rFonts w:ascii="Times New Roman" w:hAnsi="Times New Roman"/>
          <w:szCs w:val="24"/>
          <w:lang w:val="bs-Latn-BA"/>
        </w:rPr>
      </w:pPr>
      <w:r>
        <w:rPr>
          <w:rFonts w:ascii="Times New Roman" w:hAnsi="Times New Roman"/>
          <w:szCs w:val="24"/>
          <w:lang w:val="bs-Latn-BA"/>
        </w:rPr>
        <w:t>У</w:t>
      </w:r>
      <w:r w:rsidR="002C4665">
        <w:rPr>
          <w:rFonts w:ascii="Times New Roman" w:hAnsi="Times New Roman"/>
          <w:szCs w:val="24"/>
          <w:lang w:val="bs-Latn-BA"/>
        </w:rPr>
        <w:t xml:space="preserve"> </w:t>
      </w:r>
      <w:r>
        <w:rPr>
          <w:rFonts w:ascii="Times New Roman" w:hAnsi="Times New Roman"/>
          <w:szCs w:val="24"/>
          <w:lang w:val="bs-Latn-BA"/>
        </w:rPr>
        <w:t>складу</w:t>
      </w:r>
      <w:r w:rsidR="002C4665">
        <w:rPr>
          <w:rFonts w:ascii="Times New Roman" w:hAnsi="Times New Roman"/>
          <w:szCs w:val="24"/>
          <w:lang w:val="bs-Latn-BA"/>
        </w:rPr>
        <w:t xml:space="preserve"> </w:t>
      </w:r>
      <w:r>
        <w:rPr>
          <w:rFonts w:ascii="Times New Roman" w:hAnsi="Times New Roman"/>
          <w:szCs w:val="24"/>
          <w:lang w:val="bs-Latn-BA"/>
        </w:rPr>
        <w:t>са</w:t>
      </w:r>
      <w:r w:rsidR="00822AD8" w:rsidRPr="00295637">
        <w:rPr>
          <w:rFonts w:ascii="Times New Roman" w:hAnsi="Times New Roman"/>
          <w:szCs w:val="24"/>
          <w:lang w:val="bs-Latn-BA"/>
        </w:rPr>
        <w:t xml:space="preserve"> </w:t>
      </w:r>
      <w:r>
        <w:rPr>
          <w:rFonts w:ascii="Times New Roman" w:hAnsi="Times New Roman"/>
          <w:szCs w:val="24"/>
          <w:lang w:val="bs-Latn-BA"/>
        </w:rPr>
        <w:t>Правилник</w:t>
      </w:r>
      <w:r w:rsidR="00E654F2">
        <w:rPr>
          <w:rFonts w:ascii="Times New Roman" w:hAnsi="Times New Roman"/>
          <w:szCs w:val="24"/>
          <w:lang w:val="sr-Cyrl-BA"/>
        </w:rPr>
        <w:t>ом</w:t>
      </w:r>
      <w:r w:rsidR="00822AD8" w:rsidRPr="00295637">
        <w:rPr>
          <w:rFonts w:ascii="Times New Roman" w:hAnsi="Times New Roman"/>
          <w:szCs w:val="24"/>
          <w:lang w:val="bs-Latn-BA"/>
        </w:rPr>
        <w:t xml:space="preserve"> </w:t>
      </w:r>
      <w:r>
        <w:rPr>
          <w:rFonts w:ascii="Times New Roman" w:hAnsi="Times New Roman"/>
          <w:szCs w:val="24"/>
          <w:lang w:val="bs-Latn-BA"/>
        </w:rPr>
        <w:t>о</w:t>
      </w:r>
      <w:r w:rsidR="00822AD8" w:rsidRPr="00295637">
        <w:rPr>
          <w:rFonts w:ascii="Times New Roman" w:hAnsi="Times New Roman"/>
          <w:szCs w:val="24"/>
          <w:lang w:val="bs-Latn-BA"/>
        </w:rPr>
        <w:t xml:space="preserve"> </w:t>
      </w:r>
      <w:r>
        <w:rPr>
          <w:rFonts w:ascii="Times New Roman" w:hAnsi="Times New Roman"/>
          <w:szCs w:val="24"/>
          <w:lang w:val="bs-Latn-BA"/>
        </w:rPr>
        <w:t>садржају</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начину</w:t>
      </w:r>
      <w:r w:rsidR="00822AD8" w:rsidRPr="00295637">
        <w:rPr>
          <w:rFonts w:ascii="Times New Roman" w:hAnsi="Times New Roman"/>
          <w:szCs w:val="24"/>
          <w:lang w:val="bs-Latn-BA"/>
        </w:rPr>
        <w:t xml:space="preserve"> </w:t>
      </w:r>
      <w:r>
        <w:rPr>
          <w:rFonts w:ascii="Times New Roman" w:hAnsi="Times New Roman"/>
          <w:szCs w:val="24"/>
          <w:lang w:val="bs-Latn-BA"/>
        </w:rPr>
        <w:t>вођења</w:t>
      </w:r>
      <w:r w:rsidR="00822AD8" w:rsidRPr="00295637">
        <w:rPr>
          <w:rFonts w:ascii="Times New Roman" w:hAnsi="Times New Roman"/>
          <w:szCs w:val="24"/>
          <w:lang w:val="bs-Latn-BA"/>
        </w:rPr>
        <w:t xml:space="preserve"> </w:t>
      </w:r>
      <w:r>
        <w:rPr>
          <w:rFonts w:ascii="Times New Roman" w:hAnsi="Times New Roman"/>
          <w:szCs w:val="24"/>
          <w:lang w:val="bs-Latn-BA"/>
        </w:rPr>
        <w:t>евиденције</w:t>
      </w:r>
      <w:r w:rsidR="00822AD8" w:rsidRPr="00295637">
        <w:rPr>
          <w:rFonts w:ascii="Times New Roman" w:hAnsi="Times New Roman"/>
          <w:szCs w:val="24"/>
          <w:lang w:val="bs-Latn-BA"/>
        </w:rPr>
        <w:t xml:space="preserve"> </w:t>
      </w:r>
      <w:r>
        <w:rPr>
          <w:rFonts w:ascii="Times New Roman" w:hAnsi="Times New Roman"/>
          <w:szCs w:val="24"/>
          <w:lang w:val="bs-Latn-BA"/>
        </w:rPr>
        <w:t>о</w:t>
      </w:r>
      <w:r w:rsidR="00822AD8" w:rsidRPr="00295637">
        <w:rPr>
          <w:rFonts w:ascii="Times New Roman" w:hAnsi="Times New Roman"/>
          <w:szCs w:val="24"/>
          <w:lang w:val="bs-Latn-BA"/>
        </w:rPr>
        <w:t xml:space="preserve"> </w:t>
      </w:r>
      <w:r>
        <w:rPr>
          <w:rFonts w:ascii="Times New Roman" w:hAnsi="Times New Roman"/>
          <w:szCs w:val="24"/>
          <w:lang w:val="bs-Latn-BA"/>
        </w:rPr>
        <w:t>изреченим</w:t>
      </w:r>
      <w:r w:rsidR="00822AD8" w:rsidRPr="00295637">
        <w:rPr>
          <w:rFonts w:ascii="Times New Roman" w:hAnsi="Times New Roman"/>
          <w:szCs w:val="24"/>
          <w:lang w:val="bs-Latn-BA"/>
        </w:rPr>
        <w:t xml:space="preserve"> </w:t>
      </w:r>
      <w:r>
        <w:rPr>
          <w:rFonts w:ascii="Times New Roman" w:hAnsi="Times New Roman"/>
          <w:szCs w:val="24"/>
          <w:lang w:val="bs-Latn-BA"/>
        </w:rPr>
        <w:t>заштитним</w:t>
      </w:r>
      <w:r w:rsidR="00822AD8" w:rsidRPr="00295637">
        <w:rPr>
          <w:rFonts w:ascii="Times New Roman" w:hAnsi="Times New Roman"/>
          <w:szCs w:val="24"/>
          <w:lang w:val="bs-Latn-BA"/>
        </w:rPr>
        <w:t xml:space="preserve"> </w:t>
      </w:r>
      <w:r>
        <w:rPr>
          <w:rFonts w:ascii="Times New Roman" w:hAnsi="Times New Roman"/>
          <w:szCs w:val="24"/>
          <w:lang w:val="bs-Latn-BA"/>
        </w:rPr>
        <w:t>мјерама</w:t>
      </w:r>
      <w:r w:rsidR="00822AD8" w:rsidRPr="00295637">
        <w:rPr>
          <w:rFonts w:ascii="Times New Roman" w:hAnsi="Times New Roman"/>
          <w:szCs w:val="24"/>
          <w:lang w:val="bs-Latn-BA"/>
        </w:rPr>
        <w:t xml:space="preserve">, </w:t>
      </w:r>
      <w:r>
        <w:rPr>
          <w:rFonts w:ascii="Times New Roman" w:hAnsi="Times New Roman"/>
          <w:szCs w:val="24"/>
          <w:lang w:val="bs-Latn-BA"/>
        </w:rPr>
        <w:t>ФМРСП</w:t>
      </w:r>
      <w:r w:rsidR="00822AD8" w:rsidRPr="00295637">
        <w:rPr>
          <w:rFonts w:ascii="Times New Roman" w:hAnsi="Times New Roman"/>
          <w:szCs w:val="24"/>
          <w:lang w:val="bs-Latn-BA"/>
        </w:rPr>
        <w:t xml:space="preserve"> </w:t>
      </w:r>
      <w:r>
        <w:rPr>
          <w:rFonts w:ascii="Times New Roman" w:hAnsi="Times New Roman"/>
          <w:szCs w:val="24"/>
          <w:lang w:val="bs-Latn-BA"/>
        </w:rPr>
        <w:t>је</w:t>
      </w:r>
      <w:r w:rsidR="00822AD8" w:rsidRPr="00295637">
        <w:rPr>
          <w:rFonts w:ascii="Times New Roman" w:hAnsi="Times New Roman"/>
          <w:szCs w:val="24"/>
          <w:lang w:val="bs-Latn-BA"/>
        </w:rPr>
        <w:t xml:space="preserve"> </w:t>
      </w:r>
      <w:r>
        <w:rPr>
          <w:rFonts w:ascii="Times New Roman" w:hAnsi="Times New Roman"/>
          <w:szCs w:val="24"/>
          <w:lang w:val="bs-Latn-BA"/>
        </w:rPr>
        <w:t>пратило</w:t>
      </w:r>
      <w:r w:rsidR="00822AD8" w:rsidRPr="00295637">
        <w:rPr>
          <w:rFonts w:ascii="Times New Roman" w:hAnsi="Times New Roman"/>
          <w:szCs w:val="24"/>
          <w:lang w:val="bs-Latn-BA"/>
        </w:rPr>
        <w:t xml:space="preserve"> </w:t>
      </w:r>
      <w:r>
        <w:rPr>
          <w:rFonts w:ascii="Times New Roman" w:hAnsi="Times New Roman"/>
          <w:szCs w:val="24"/>
          <w:lang w:val="bs-Latn-BA"/>
        </w:rPr>
        <w:t>број</w:t>
      </w:r>
      <w:r w:rsidR="00822AD8" w:rsidRPr="00295637">
        <w:rPr>
          <w:rFonts w:ascii="Times New Roman" w:hAnsi="Times New Roman"/>
          <w:szCs w:val="24"/>
          <w:lang w:val="bs-Latn-BA"/>
        </w:rPr>
        <w:t xml:space="preserve"> </w:t>
      </w:r>
      <w:r>
        <w:rPr>
          <w:rFonts w:ascii="Times New Roman" w:hAnsi="Times New Roman"/>
          <w:szCs w:val="24"/>
          <w:lang w:val="bs-Latn-BA"/>
        </w:rPr>
        <w:t>изречених</w:t>
      </w:r>
      <w:r w:rsidR="00822AD8" w:rsidRPr="00295637">
        <w:rPr>
          <w:rFonts w:ascii="Times New Roman" w:hAnsi="Times New Roman"/>
          <w:szCs w:val="24"/>
          <w:lang w:val="bs-Latn-BA"/>
        </w:rPr>
        <w:t xml:space="preserve"> </w:t>
      </w:r>
      <w:r>
        <w:rPr>
          <w:rFonts w:ascii="Times New Roman" w:hAnsi="Times New Roman"/>
          <w:szCs w:val="24"/>
          <w:lang w:val="bs-Latn-BA"/>
        </w:rPr>
        <w:t>заштитних</w:t>
      </w:r>
      <w:r w:rsidR="00822AD8" w:rsidRPr="00295637">
        <w:rPr>
          <w:rFonts w:ascii="Times New Roman" w:hAnsi="Times New Roman"/>
          <w:szCs w:val="24"/>
          <w:lang w:val="bs-Latn-BA"/>
        </w:rPr>
        <w:t xml:space="preserve"> </w:t>
      </w:r>
      <w:r>
        <w:rPr>
          <w:rFonts w:ascii="Times New Roman" w:hAnsi="Times New Roman"/>
          <w:szCs w:val="24"/>
          <w:lang w:val="bs-Latn-BA"/>
        </w:rPr>
        <w:t>мјера</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евидентирало</w:t>
      </w:r>
      <w:r w:rsidR="00822AD8" w:rsidRPr="00295637">
        <w:rPr>
          <w:rFonts w:ascii="Times New Roman" w:hAnsi="Times New Roman"/>
          <w:szCs w:val="24"/>
          <w:lang w:val="bs-Latn-BA"/>
        </w:rPr>
        <w:t xml:space="preserve"> </w:t>
      </w:r>
      <w:r>
        <w:rPr>
          <w:rFonts w:ascii="Times New Roman" w:hAnsi="Times New Roman"/>
          <w:szCs w:val="24"/>
          <w:lang w:val="bs-Latn-BA"/>
        </w:rPr>
        <w:t>податке</w:t>
      </w:r>
      <w:r w:rsidR="00822AD8" w:rsidRPr="00295637">
        <w:rPr>
          <w:rFonts w:ascii="Times New Roman" w:hAnsi="Times New Roman"/>
          <w:szCs w:val="24"/>
          <w:lang w:val="bs-Latn-BA"/>
        </w:rPr>
        <w:t xml:space="preserve"> </w:t>
      </w:r>
      <w:r>
        <w:rPr>
          <w:rFonts w:ascii="Times New Roman" w:hAnsi="Times New Roman"/>
          <w:szCs w:val="24"/>
          <w:lang w:val="bs-Latn-BA"/>
        </w:rPr>
        <w:t>о</w:t>
      </w:r>
      <w:r w:rsidR="00822AD8" w:rsidRPr="00295637">
        <w:rPr>
          <w:rFonts w:ascii="Times New Roman" w:hAnsi="Times New Roman"/>
          <w:szCs w:val="24"/>
          <w:lang w:val="bs-Latn-BA"/>
        </w:rPr>
        <w:t xml:space="preserve"> </w:t>
      </w:r>
      <w:r>
        <w:rPr>
          <w:rFonts w:ascii="Times New Roman" w:hAnsi="Times New Roman"/>
          <w:szCs w:val="24"/>
          <w:lang w:val="bs-Latn-BA"/>
        </w:rPr>
        <w:t>лицима</w:t>
      </w:r>
      <w:r w:rsidR="00822AD8" w:rsidRPr="00295637">
        <w:rPr>
          <w:rFonts w:ascii="Times New Roman" w:hAnsi="Times New Roman"/>
          <w:szCs w:val="24"/>
          <w:lang w:val="bs-Latn-BA"/>
        </w:rPr>
        <w:t xml:space="preserve"> </w:t>
      </w:r>
      <w:r>
        <w:rPr>
          <w:rFonts w:ascii="Times New Roman" w:hAnsi="Times New Roman"/>
          <w:szCs w:val="24"/>
          <w:lang w:val="bs-Latn-BA"/>
        </w:rPr>
        <w:t>која</w:t>
      </w:r>
      <w:r w:rsidR="00822AD8" w:rsidRPr="00295637">
        <w:rPr>
          <w:rFonts w:ascii="Times New Roman" w:hAnsi="Times New Roman"/>
          <w:szCs w:val="24"/>
          <w:lang w:val="bs-Latn-BA"/>
        </w:rPr>
        <w:t xml:space="preserve"> </w:t>
      </w:r>
      <w:r>
        <w:rPr>
          <w:rFonts w:ascii="Times New Roman" w:hAnsi="Times New Roman"/>
          <w:szCs w:val="24"/>
          <w:lang w:val="bs-Latn-BA"/>
        </w:rPr>
        <w:t>су</w:t>
      </w:r>
      <w:r w:rsidR="00822AD8" w:rsidRPr="00295637">
        <w:rPr>
          <w:rFonts w:ascii="Times New Roman" w:hAnsi="Times New Roman"/>
          <w:szCs w:val="24"/>
          <w:lang w:val="bs-Latn-BA"/>
        </w:rPr>
        <w:t xml:space="preserve"> </w:t>
      </w:r>
      <w:r>
        <w:rPr>
          <w:rFonts w:ascii="Times New Roman" w:hAnsi="Times New Roman"/>
          <w:szCs w:val="24"/>
          <w:lang w:val="bs-Latn-BA"/>
        </w:rPr>
        <w:t>штићен</w:t>
      </w:r>
      <w:r w:rsidR="00E654F2">
        <w:rPr>
          <w:rFonts w:ascii="Times New Roman" w:hAnsi="Times New Roman"/>
          <w:szCs w:val="24"/>
          <w:lang w:val="sr-Cyrl-BA"/>
        </w:rPr>
        <w:t>а</w:t>
      </w:r>
      <w:r w:rsidR="00822AD8" w:rsidRPr="00295637">
        <w:rPr>
          <w:rFonts w:ascii="Times New Roman" w:hAnsi="Times New Roman"/>
          <w:szCs w:val="24"/>
          <w:lang w:val="bs-Latn-BA"/>
        </w:rPr>
        <w:t xml:space="preserve"> </w:t>
      </w:r>
      <w:r>
        <w:rPr>
          <w:rFonts w:ascii="Times New Roman" w:hAnsi="Times New Roman"/>
          <w:szCs w:val="24"/>
          <w:lang w:val="bs-Latn-BA"/>
        </w:rPr>
        <w:t>заштитном</w:t>
      </w:r>
      <w:r w:rsidR="00822AD8" w:rsidRPr="00295637">
        <w:rPr>
          <w:rFonts w:ascii="Times New Roman" w:hAnsi="Times New Roman"/>
          <w:szCs w:val="24"/>
          <w:lang w:val="bs-Latn-BA"/>
        </w:rPr>
        <w:t xml:space="preserve"> </w:t>
      </w:r>
      <w:r>
        <w:rPr>
          <w:rFonts w:ascii="Times New Roman" w:hAnsi="Times New Roman"/>
          <w:szCs w:val="24"/>
          <w:lang w:val="bs-Latn-BA"/>
        </w:rPr>
        <w:t>мјером</w:t>
      </w:r>
      <w:r w:rsidR="00822AD8" w:rsidRPr="00295637">
        <w:rPr>
          <w:rFonts w:ascii="Times New Roman" w:hAnsi="Times New Roman"/>
          <w:szCs w:val="24"/>
          <w:lang w:val="bs-Latn-BA"/>
        </w:rPr>
        <w:t xml:space="preserve">, </w:t>
      </w:r>
      <w:r>
        <w:rPr>
          <w:rFonts w:ascii="Times New Roman" w:hAnsi="Times New Roman"/>
          <w:szCs w:val="24"/>
          <w:lang w:val="bs-Latn-BA"/>
        </w:rPr>
        <w:t>као</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о</w:t>
      </w:r>
      <w:r w:rsidR="00822AD8" w:rsidRPr="00295637">
        <w:rPr>
          <w:rFonts w:ascii="Times New Roman" w:hAnsi="Times New Roman"/>
          <w:szCs w:val="24"/>
          <w:lang w:val="bs-Latn-BA"/>
        </w:rPr>
        <w:t xml:space="preserve"> </w:t>
      </w:r>
      <w:r>
        <w:rPr>
          <w:rFonts w:ascii="Times New Roman" w:hAnsi="Times New Roman"/>
          <w:szCs w:val="24"/>
          <w:lang w:val="bs-Latn-BA"/>
        </w:rPr>
        <w:t>насилним</w:t>
      </w:r>
      <w:r w:rsidR="00822AD8" w:rsidRPr="00295637">
        <w:rPr>
          <w:rFonts w:ascii="Times New Roman" w:hAnsi="Times New Roman"/>
          <w:szCs w:val="24"/>
          <w:lang w:val="bs-Latn-BA"/>
        </w:rPr>
        <w:t xml:space="preserve"> </w:t>
      </w:r>
      <w:r>
        <w:rPr>
          <w:rFonts w:ascii="Times New Roman" w:hAnsi="Times New Roman"/>
          <w:szCs w:val="24"/>
          <w:lang w:val="bs-Latn-BA"/>
        </w:rPr>
        <w:t>лицима</w:t>
      </w:r>
      <w:r w:rsidR="00822AD8" w:rsidRPr="00295637">
        <w:rPr>
          <w:rFonts w:ascii="Times New Roman" w:hAnsi="Times New Roman"/>
          <w:szCs w:val="24"/>
          <w:lang w:val="bs-Latn-BA"/>
        </w:rPr>
        <w:t xml:space="preserve"> </w:t>
      </w:r>
      <w:r>
        <w:rPr>
          <w:rFonts w:ascii="Times New Roman" w:hAnsi="Times New Roman"/>
          <w:szCs w:val="24"/>
          <w:lang w:val="bs-Latn-BA"/>
        </w:rPr>
        <w:t>којима</w:t>
      </w:r>
      <w:r w:rsidR="00822AD8" w:rsidRPr="00295637">
        <w:rPr>
          <w:rFonts w:ascii="Times New Roman" w:hAnsi="Times New Roman"/>
          <w:szCs w:val="24"/>
          <w:lang w:val="bs-Latn-BA"/>
        </w:rPr>
        <w:t xml:space="preserve"> </w:t>
      </w:r>
      <w:r>
        <w:rPr>
          <w:rFonts w:ascii="Times New Roman" w:hAnsi="Times New Roman"/>
          <w:szCs w:val="24"/>
          <w:lang w:val="bs-Latn-BA"/>
        </w:rPr>
        <w:t>су</w:t>
      </w:r>
      <w:r w:rsidR="00822AD8" w:rsidRPr="00295637">
        <w:rPr>
          <w:rFonts w:ascii="Times New Roman" w:hAnsi="Times New Roman"/>
          <w:szCs w:val="24"/>
          <w:lang w:val="bs-Latn-BA"/>
        </w:rPr>
        <w:t xml:space="preserve"> </w:t>
      </w:r>
      <w:r>
        <w:rPr>
          <w:rFonts w:ascii="Times New Roman" w:hAnsi="Times New Roman"/>
          <w:szCs w:val="24"/>
          <w:lang w:val="bs-Latn-BA"/>
        </w:rPr>
        <w:t>изречене</w:t>
      </w:r>
      <w:r w:rsidR="00822AD8" w:rsidRPr="00295637">
        <w:rPr>
          <w:rFonts w:ascii="Times New Roman" w:hAnsi="Times New Roman"/>
          <w:szCs w:val="24"/>
          <w:lang w:val="bs-Latn-BA"/>
        </w:rPr>
        <w:t xml:space="preserve"> </w:t>
      </w:r>
      <w:r>
        <w:rPr>
          <w:rFonts w:ascii="Times New Roman" w:hAnsi="Times New Roman"/>
          <w:szCs w:val="24"/>
          <w:lang w:val="bs-Latn-BA"/>
        </w:rPr>
        <w:t>санкције</w:t>
      </w:r>
      <w:r w:rsidR="00822AD8" w:rsidRPr="00295637">
        <w:rPr>
          <w:rFonts w:ascii="Times New Roman" w:hAnsi="Times New Roman"/>
          <w:szCs w:val="24"/>
          <w:lang w:val="bs-Latn-BA"/>
        </w:rPr>
        <w:t xml:space="preserve">. </w:t>
      </w:r>
      <w:r>
        <w:rPr>
          <w:rFonts w:ascii="Times New Roman" w:hAnsi="Times New Roman"/>
          <w:szCs w:val="24"/>
          <w:lang w:val="bs-Latn-BA"/>
        </w:rPr>
        <w:t>Извјештај</w:t>
      </w:r>
      <w:r w:rsidR="00822AD8" w:rsidRPr="00295637">
        <w:rPr>
          <w:rFonts w:ascii="Times New Roman" w:hAnsi="Times New Roman"/>
          <w:szCs w:val="24"/>
          <w:lang w:val="bs-Latn-BA"/>
        </w:rPr>
        <w:t xml:space="preserve"> </w:t>
      </w:r>
      <w:r>
        <w:rPr>
          <w:rFonts w:ascii="Times New Roman" w:hAnsi="Times New Roman"/>
          <w:szCs w:val="24"/>
          <w:lang w:val="bs-Latn-BA"/>
        </w:rPr>
        <w:t>о</w:t>
      </w:r>
      <w:r w:rsidR="00822AD8" w:rsidRPr="00295637">
        <w:rPr>
          <w:rFonts w:ascii="Times New Roman" w:hAnsi="Times New Roman"/>
          <w:szCs w:val="24"/>
          <w:lang w:val="bs-Latn-BA"/>
        </w:rPr>
        <w:t xml:space="preserve"> </w:t>
      </w:r>
      <w:r w:rsidR="00E654F2">
        <w:rPr>
          <w:rFonts w:ascii="Times New Roman" w:hAnsi="Times New Roman"/>
          <w:szCs w:val="24"/>
          <w:lang w:val="sr-Cyrl-BA"/>
        </w:rPr>
        <w:t>спровођењу</w:t>
      </w:r>
      <w:r w:rsidR="00822AD8" w:rsidRPr="00295637">
        <w:rPr>
          <w:rFonts w:ascii="Times New Roman" w:hAnsi="Times New Roman"/>
          <w:szCs w:val="24"/>
          <w:lang w:val="bs-Latn-BA"/>
        </w:rPr>
        <w:t xml:space="preserve"> </w:t>
      </w:r>
      <w:r>
        <w:rPr>
          <w:rFonts w:ascii="Times New Roman" w:hAnsi="Times New Roman"/>
          <w:szCs w:val="24"/>
          <w:lang w:val="bs-Latn-BA"/>
        </w:rPr>
        <w:t>правилника</w:t>
      </w:r>
      <w:r w:rsidR="00822AD8" w:rsidRPr="00295637">
        <w:rPr>
          <w:rFonts w:ascii="Times New Roman" w:hAnsi="Times New Roman"/>
          <w:szCs w:val="24"/>
          <w:lang w:val="bs-Latn-BA"/>
        </w:rPr>
        <w:t xml:space="preserve"> </w:t>
      </w:r>
      <w:r>
        <w:rPr>
          <w:rFonts w:ascii="Times New Roman" w:hAnsi="Times New Roman"/>
          <w:szCs w:val="24"/>
          <w:lang w:val="bs-Latn-BA"/>
        </w:rPr>
        <w:t>пружа</w:t>
      </w:r>
      <w:r w:rsidR="00822AD8" w:rsidRPr="00295637">
        <w:rPr>
          <w:rFonts w:ascii="Times New Roman" w:hAnsi="Times New Roman"/>
          <w:szCs w:val="24"/>
          <w:lang w:val="bs-Latn-BA"/>
        </w:rPr>
        <w:t xml:space="preserve"> </w:t>
      </w:r>
      <w:r>
        <w:rPr>
          <w:rFonts w:ascii="Times New Roman" w:hAnsi="Times New Roman"/>
          <w:szCs w:val="24"/>
          <w:lang w:val="bs-Latn-BA"/>
        </w:rPr>
        <w:t>преглед</w:t>
      </w:r>
      <w:r w:rsidR="00822AD8" w:rsidRPr="00295637">
        <w:rPr>
          <w:rFonts w:ascii="Times New Roman" w:hAnsi="Times New Roman"/>
          <w:szCs w:val="24"/>
          <w:lang w:val="bs-Latn-BA"/>
        </w:rPr>
        <w:t xml:space="preserve"> </w:t>
      </w:r>
      <w:r>
        <w:rPr>
          <w:rFonts w:ascii="Times New Roman" w:hAnsi="Times New Roman"/>
          <w:szCs w:val="24"/>
          <w:lang w:val="bs-Latn-BA"/>
        </w:rPr>
        <w:t>трендова</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омогућава</w:t>
      </w:r>
      <w:r w:rsidR="00822AD8" w:rsidRPr="00295637">
        <w:rPr>
          <w:rFonts w:ascii="Times New Roman" w:hAnsi="Times New Roman"/>
          <w:szCs w:val="24"/>
          <w:lang w:val="bs-Latn-BA"/>
        </w:rPr>
        <w:t xml:space="preserve"> </w:t>
      </w:r>
      <w:r>
        <w:rPr>
          <w:rFonts w:ascii="Times New Roman" w:hAnsi="Times New Roman"/>
          <w:szCs w:val="24"/>
          <w:lang w:val="bs-Latn-BA"/>
        </w:rPr>
        <w:t>унапређење</w:t>
      </w:r>
      <w:r w:rsidR="00822AD8" w:rsidRPr="00295637">
        <w:rPr>
          <w:rFonts w:ascii="Times New Roman" w:hAnsi="Times New Roman"/>
          <w:szCs w:val="24"/>
          <w:lang w:val="bs-Latn-BA"/>
        </w:rPr>
        <w:t xml:space="preserve"> </w:t>
      </w:r>
      <w:r>
        <w:rPr>
          <w:rFonts w:ascii="Times New Roman" w:hAnsi="Times New Roman"/>
          <w:szCs w:val="24"/>
          <w:lang w:val="bs-Latn-BA"/>
        </w:rPr>
        <w:t>мјера</w:t>
      </w:r>
      <w:r w:rsidR="00822AD8" w:rsidRPr="00295637">
        <w:rPr>
          <w:rFonts w:ascii="Times New Roman" w:hAnsi="Times New Roman"/>
          <w:szCs w:val="24"/>
          <w:lang w:val="bs-Latn-BA"/>
        </w:rPr>
        <w:t xml:space="preserve"> </w:t>
      </w:r>
      <w:r>
        <w:rPr>
          <w:rFonts w:ascii="Times New Roman" w:hAnsi="Times New Roman"/>
          <w:szCs w:val="24"/>
          <w:lang w:val="bs-Latn-BA"/>
        </w:rPr>
        <w:t>заштите</w:t>
      </w:r>
      <w:r w:rsidR="00822AD8" w:rsidRPr="00295637">
        <w:rPr>
          <w:rFonts w:ascii="Times New Roman" w:hAnsi="Times New Roman"/>
          <w:szCs w:val="24"/>
          <w:lang w:val="bs-Latn-BA"/>
        </w:rPr>
        <w:t xml:space="preserve"> </w:t>
      </w:r>
      <w:r>
        <w:rPr>
          <w:rFonts w:ascii="Times New Roman" w:hAnsi="Times New Roman"/>
          <w:szCs w:val="24"/>
          <w:lang w:val="bs-Latn-BA"/>
        </w:rPr>
        <w:t>жртава</w:t>
      </w:r>
      <w:r w:rsidR="00822AD8" w:rsidRPr="00295637">
        <w:rPr>
          <w:rFonts w:ascii="Times New Roman" w:hAnsi="Times New Roman"/>
          <w:szCs w:val="24"/>
          <w:lang w:val="bs-Latn-BA"/>
        </w:rPr>
        <w:t xml:space="preserve"> </w:t>
      </w:r>
      <w:r>
        <w:rPr>
          <w:rFonts w:ascii="Times New Roman" w:hAnsi="Times New Roman"/>
          <w:szCs w:val="24"/>
          <w:lang w:val="bs-Latn-BA"/>
        </w:rPr>
        <w:t>насиља</w:t>
      </w:r>
      <w:r w:rsidR="00822AD8" w:rsidRPr="00295637">
        <w:rPr>
          <w:rFonts w:ascii="Times New Roman" w:hAnsi="Times New Roman"/>
          <w:szCs w:val="24"/>
          <w:lang w:val="bs-Latn-BA"/>
        </w:rPr>
        <w:t xml:space="preserve">. </w:t>
      </w:r>
      <w:r w:rsidR="00E654F2">
        <w:rPr>
          <w:rFonts w:ascii="Times New Roman" w:hAnsi="Times New Roman"/>
          <w:szCs w:val="24"/>
          <w:lang w:val="bs-Latn-BA"/>
        </w:rPr>
        <w:t>Такође</w:t>
      </w:r>
      <w:r w:rsidR="00822AD8" w:rsidRPr="00295637">
        <w:rPr>
          <w:rFonts w:ascii="Times New Roman" w:hAnsi="Times New Roman"/>
          <w:szCs w:val="24"/>
          <w:lang w:val="bs-Latn-BA"/>
        </w:rPr>
        <w:t xml:space="preserve">, </w:t>
      </w:r>
      <w:r>
        <w:rPr>
          <w:rFonts w:ascii="Times New Roman" w:hAnsi="Times New Roman"/>
          <w:szCs w:val="24"/>
          <w:lang w:val="bs-Latn-BA"/>
        </w:rPr>
        <w:t>Министарство</w:t>
      </w:r>
      <w:r w:rsidR="00822AD8" w:rsidRPr="00295637">
        <w:rPr>
          <w:rFonts w:ascii="Times New Roman" w:hAnsi="Times New Roman"/>
          <w:szCs w:val="24"/>
          <w:lang w:val="bs-Latn-BA"/>
        </w:rPr>
        <w:t xml:space="preserve"> </w:t>
      </w:r>
      <w:r>
        <w:rPr>
          <w:rFonts w:ascii="Times New Roman" w:hAnsi="Times New Roman"/>
          <w:szCs w:val="24"/>
          <w:lang w:val="bs-Latn-BA"/>
        </w:rPr>
        <w:t>је</w:t>
      </w:r>
      <w:r w:rsidR="00822AD8" w:rsidRPr="00295637">
        <w:rPr>
          <w:rFonts w:ascii="Times New Roman" w:hAnsi="Times New Roman"/>
          <w:szCs w:val="24"/>
          <w:lang w:val="bs-Latn-BA"/>
        </w:rPr>
        <w:t xml:space="preserve"> </w:t>
      </w:r>
      <w:r>
        <w:rPr>
          <w:rFonts w:ascii="Times New Roman" w:hAnsi="Times New Roman"/>
          <w:szCs w:val="24"/>
          <w:lang w:val="bs-Latn-BA"/>
        </w:rPr>
        <w:t>пратило</w:t>
      </w:r>
      <w:r w:rsidR="00822AD8" w:rsidRPr="00295637">
        <w:rPr>
          <w:rFonts w:ascii="Times New Roman" w:hAnsi="Times New Roman"/>
          <w:szCs w:val="24"/>
          <w:lang w:val="bs-Latn-BA"/>
        </w:rPr>
        <w:t xml:space="preserve"> </w:t>
      </w:r>
      <w:r w:rsidR="00E654F2">
        <w:rPr>
          <w:rFonts w:ascii="Times New Roman" w:hAnsi="Times New Roman"/>
          <w:szCs w:val="24"/>
          <w:lang w:val="sr-Cyrl-BA"/>
        </w:rPr>
        <w:t>спровођење</w:t>
      </w:r>
      <w:r w:rsidR="00822AD8" w:rsidRPr="00295637">
        <w:rPr>
          <w:rFonts w:ascii="Times New Roman" w:hAnsi="Times New Roman"/>
          <w:szCs w:val="24"/>
          <w:lang w:val="bs-Latn-BA"/>
        </w:rPr>
        <w:t xml:space="preserve"> </w:t>
      </w:r>
      <w:r>
        <w:rPr>
          <w:rFonts w:ascii="Times New Roman" w:hAnsi="Times New Roman"/>
          <w:szCs w:val="24"/>
          <w:lang w:val="bs-Latn-BA"/>
        </w:rPr>
        <w:t>прописа</w:t>
      </w:r>
      <w:r w:rsidR="00822AD8" w:rsidRPr="00295637">
        <w:rPr>
          <w:rFonts w:ascii="Times New Roman" w:hAnsi="Times New Roman"/>
          <w:szCs w:val="24"/>
          <w:lang w:val="bs-Latn-BA"/>
        </w:rPr>
        <w:t xml:space="preserve"> </w:t>
      </w:r>
      <w:r>
        <w:rPr>
          <w:rFonts w:ascii="Times New Roman" w:hAnsi="Times New Roman"/>
          <w:szCs w:val="24"/>
          <w:lang w:val="bs-Latn-BA"/>
        </w:rPr>
        <w:t>из</w:t>
      </w:r>
      <w:r w:rsidR="00822AD8" w:rsidRPr="00295637">
        <w:rPr>
          <w:rFonts w:ascii="Times New Roman" w:hAnsi="Times New Roman"/>
          <w:szCs w:val="24"/>
          <w:lang w:val="bs-Latn-BA"/>
        </w:rPr>
        <w:t xml:space="preserve"> </w:t>
      </w:r>
      <w:r>
        <w:rPr>
          <w:rFonts w:ascii="Times New Roman" w:hAnsi="Times New Roman"/>
          <w:szCs w:val="24"/>
          <w:lang w:val="bs-Latn-BA"/>
        </w:rPr>
        <w:t>области</w:t>
      </w:r>
      <w:r w:rsidR="00822AD8" w:rsidRPr="00295637">
        <w:rPr>
          <w:rFonts w:ascii="Times New Roman" w:hAnsi="Times New Roman"/>
          <w:szCs w:val="24"/>
          <w:lang w:val="bs-Latn-BA"/>
        </w:rPr>
        <w:t xml:space="preserve"> </w:t>
      </w:r>
      <w:r>
        <w:rPr>
          <w:rFonts w:ascii="Times New Roman" w:hAnsi="Times New Roman"/>
          <w:szCs w:val="24"/>
          <w:lang w:val="bs-Latn-BA"/>
        </w:rPr>
        <w:t>социјалне</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дјечије</w:t>
      </w:r>
      <w:r w:rsidR="00822AD8" w:rsidRPr="00295637">
        <w:rPr>
          <w:rFonts w:ascii="Times New Roman" w:hAnsi="Times New Roman"/>
          <w:szCs w:val="24"/>
          <w:lang w:val="bs-Latn-BA"/>
        </w:rPr>
        <w:t xml:space="preserve"> </w:t>
      </w:r>
      <w:r>
        <w:rPr>
          <w:rFonts w:ascii="Times New Roman" w:hAnsi="Times New Roman"/>
          <w:szCs w:val="24"/>
          <w:lang w:val="bs-Latn-BA"/>
        </w:rPr>
        <w:t>заштите</w:t>
      </w:r>
      <w:r w:rsidR="00822AD8" w:rsidRPr="00295637">
        <w:rPr>
          <w:rFonts w:ascii="Times New Roman" w:hAnsi="Times New Roman"/>
          <w:szCs w:val="24"/>
          <w:lang w:val="bs-Latn-BA"/>
        </w:rPr>
        <w:t xml:space="preserve"> </w:t>
      </w:r>
      <w:r>
        <w:rPr>
          <w:rFonts w:ascii="Times New Roman" w:hAnsi="Times New Roman"/>
          <w:szCs w:val="24"/>
          <w:lang w:val="bs-Latn-BA"/>
        </w:rPr>
        <w:t>путем</w:t>
      </w:r>
      <w:r w:rsidR="00822AD8" w:rsidRPr="00295637">
        <w:rPr>
          <w:rFonts w:ascii="Times New Roman" w:hAnsi="Times New Roman"/>
          <w:szCs w:val="24"/>
          <w:lang w:val="bs-Latn-BA"/>
        </w:rPr>
        <w:t xml:space="preserve"> </w:t>
      </w:r>
      <w:r>
        <w:rPr>
          <w:rFonts w:ascii="Times New Roman" w:hAnsi="Times New Roman"/>
          <w:szCs w:val="24"/>
          <w:lang w:val="bs-Latn-BA"/>
        </w:rPr>
        <w:t>информаци</w:t>
      </w:r>
      <w:r w:rsidR="00E654F2">
        <w:rPr>
          <w:rFonts w:ascii="Times New Roman" w:hAnsi="Times New Roman"/>
          <w:szCs w:val="24"/>
          <w:lang w:val="sr-Cyrl-BA"/>
        </w:rPr>
        <w:t>оног</w:t>
      </w:r>
      <w:r w:rsidR="00822AD8" w:rsidRPr="00295637">
        <w:rPr>
          <w:rFonts w:ascii="Times New Roman" w:hAnsi="Times New Roman"/>
          <w:szCs w:val="24"/>
          <w:lang w:val="bs-Latn-BA"/>
        </w:rPr>
        <w:t xml:space="preserve"> </w:t>
      </w:r>
      <w:r>
        <w:rPr>
          <w:rFonts w:ascii="Times New Roman" w:hAnsi="Times New Roman"/>
          <w:szCs w:val="24"/>
          <w:lang w:val="bs-Latn-BA"/>
        </w:rPr>
        <w:t>система</w:t>
      </w:r>
      <w:r w:rsidR="00822AD8" w:rsidRPr="00295637">
        <w:rPr>
          <w:rFonts w:ascii="Times New Roman" w:hAnsi="Times New Roman"/>
          <w:szCs w:val="24"/>
          <w:lang w:val="bs-Latn-BA"/>
        </w:rPr>
        <w:t xml:space="preserve"> </w:t>
      </w:r>
      <w:r w:rsidR="00C25D32" w:rsidRPr="00295637">
        <w:rPr>
          <w:rFonts w:ascii="Times New Roman" w:hAnsi="Times New Roman"/>
          <w:szCs w:val="24"/>
          <w:lang w:val="bs-Latn-BA"/>
        </w:rPr>
        <w:t>„</w:t>
      </w:r>
      <w:r w:rsidR="00B92E89" w:rsidRPr="00B92E89">
        <w:rPr>
          <w:rFonts w:ascii="Times New Roman" w:hAnsi="Times New Roman"/>
          <w:i/>
          <w:szCs w:val="24"/>
          <w:lang w:val="bs-Latn-BA"/>
        </w:rPr>
        <w:t>SOTAC</w:t>
      </w:r>
      <w:r w:rsidR="00C25D32" w:rsidRPr="00295637">
        <w:rPr>
          <w:rFonts w:ascii="Times New Roman" w:hAnsi="Times New Roman"/>
          <w:szCs w:val="24"/>
          <w:lang w:val="bs-Latn-BA"/>
        </w:rPr>
        <w:t>“</w:t>
      </w:r>
      <w:r w:rsidR="00822AD8" w:rsidRPr="00295637">
        <w:rPr>
          <w:rFonts w:ascii="Times New Roman" w:hAnsi="Times New Roman"/>
          <w:szCs w:val="24"/>
          <w:lang w:val="bs-Latn-BA"/>
        </w:rPr>
        <w:t xml:space="preserve">, </w:t>
      </w:r>
      <w:r>
        <w:rPr>
          <w:rFonts w:ascii="Times New Roman" w:hAnsi="Times New Roman"/>
          <w:szCs w:val="24"/>
          <w:lang w:val="bs-Latn-BA"/>
        </w:rPr>
        <w:t>који</w:t>
      </w:r>
      <w:r w:rsidR="00822AD8" w:rsidRPr="00295637">
        <w:rPr>
          <w:rFonts w:ascii="Times New Roman" w:hAnsi="Times New Roman"/>
          <w:szCs w:val="24"/>
          <w:lang w:val="bs-Latn-BA"/>
        </w:rPr>
        <w:t xml:space="preserve"> </w:t>
      </w:r>
      <w:r>
        <w:rPr>
          <w:rFonts w:ascii="Times New Roman" w:hAnsi="Times New Roman"/>
          <w:szCs w:val="24"/>
          <w:lang w:val="bs-Latn-BA"/>
        </w:rPr>
        <w:t>омогућава</w:t>
      </w:r>
      <w:r w:rsidR="00822AD8" w:rsidRPr="00295637">
        <w:rPr>
          <w:rFonts w:ascii="Times New Roman" w:hAnsi="Times New Roman"/>
          <w:szCs w:val="24"/>
          <w:lang w:val="bs-Latn-BA"/>
        </w:rPr>
        <w:t xml:space="preserve"> </w:t>
      </w:r>
      <w:r>
        <w:rPr>
          <w:rFonts w:ascii="Times New Roman" w:hAnsi="Times New Roman"/>
          <w:szCs w:val="24"/>
          <w:lang w:val="bs-Latn-BA"/>
        </w:rPr>
        <w:t>евиденцију</w:t>
      </w:r>
      <w:r w:rsidR="00822AD8" w:rsidRPr="00295637">
        <w:rPr>
          <w:rFonts w:ascii="Times New Roman" w:hAnsi="Times New Roman"/>
          <w:szCs w:val="24"/>
          <w:lang w:val="bs-Latn-BA"/>
        </w:rPr>
        <w:t xml:space="preserve"> </w:t>
      </w:r>
      <w:r>
        <w:rPr>
          <w:rFonts w:ascii="Times New Roman" w:hAnsi="Times New Roman"/>
          <w:szCs w:val="24"/>
          <w:lang w:val="bs-Latn-BA"/>
        </w:rPr>
        <w:t>корисника</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исплаћених</w:t>
      </w:r>
      <w:r w:rsidR="00822AD8" w:rsidRPr="00295637">
        <w:rPr>
          <w:rFonts w:ascii="Times New Roman" w:hAnsi="Times New Roman"/>
          <w:szCs w:val="24"/>
          <w:lang w:val="bs-Latn-BA"/>
        </w:rPr>
        <w:t xml:space="preserve"> </w:t>
      </w:r>
      <w:r>
        <w:rPr>
          <w:rFonts w:ascii="Times New Roman" w:hAnsi="Times New Roman"/>
          <w:szCs w:val="24"/>
          <w:lang w:val="bs-Latn-BA"/>
        </w:rPr>
        <w:t>права</w:t>
      </w:r>
      <w:r w:rsidR="00822AD8" w:rsidRPr="00295637">
        <w:rPr>
          <w:rFonts w:ascii="Times New Roman" w:hAnsi="Times New Roman"/>
          <w:szCs w:val="24"/>
          <w:lang w:val="bs-Latn-BA"/>
        </w:rPr>
        <w:t xml:space="preserve"> </w:t>
      </w:r>
      <w:r>
        <w:rPr>
          <w:rFonts w:ascii="Times New Roman" w:hAnsi="Times New Roman"/>
          <w:szCs w:val="24"/>
          <w:lang w:val="bs-Latn-BA"/>
        </w:rPr>
        <w:t>на</w:t>
      </w:r>
      <w:r w:rsidR="00822AD8" w:rsidRPr="00295637">
        <w:rPr>
          <w:rFonts w:ascii="Times New Roman" w:hAnsi="Times New Roman"/>
          <w:szCs w:val="24"/>
          <w:lang w:val="bs-Latn-BA"/>
        </w:rPr>
        <w:t xml:space="preserve"> </w:t>
      </w:r>
      <w:r>
        <w:rPr>
          <w:rFonts w:ascii="Times New Roman" w:hAnsi="Times New Roman"/>
          <w:szCs w:val="24"/>
          <w:lang w:val="bs-Latn-BA"/>
        </w:rPr>
        <w:t>федералном</w:t>
      </w:r>
      <w:r w:rsidR="00822AD8" w:rsidRPr="00295637">
        <w:rPr>
          <w:rFonts w:ascii="Times New Roman" w:hAnsi="Times New Roman"/>
          <w:szCs w:val="24"/>
          <w:lang w:val="bs-Latn-BA"/>
        </w:rPr>
        <w:t xml:space="preserve">, </w:t>
      </w:r>
      <w:r>
        <w:rPr>
          <w:rFonts w:ascii="Times New Roman" w:hAnsi="Times New Roman"/>
          <w:szCs w:val="24"/>
          <w:lang w:val="bs-Latn-BA"/>
        </w:rPr>
        <w:t>кантоналном</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оп</w:t>
      </w:r>
      <w:r w:rsidR="00E654F2">
        <w:rPr>
          <w:rFonts w:ascii="Times New Roman" w:hAnsi="Times New Roman"/>
          <w:szCs w:val="24"/>
          <w:lang w:val="sr-Cyrl-BA"/>
        </w:rPr>
        <w:t>шт</w:t>
      </w:r>
      <w:r>
        <w:rPr>
          <w:rFonts w:ascii="Times New Roman" w:hAnsi="Times New Roman"/>
          <w:szCs w:val="24"/>
          <w:lang w:val="bs-Latn-BA"/>
        </w:rPr>
        <w:t>инском</w:t>
      </w:r>
      <w:r w:rsidR="00822AD8" w:rsidRPr="00295637">
        <w:rPr>
          <w:rFonts w:ascii="Times New Roman" w:hAnsi="Times New Roman"/>
          <w:szCs w:val="24"/>
          <w:lang w:val="bs-Latn-BA"/>
        </w:rPr>
        <w:t xml:space="preserve"> </w:t>
      </w:r>
      <w:r>
        <w:rPr>
          <w:rFonts w:ascii="Times New Roman" w:hAnsi="Times New Roman"/>
          <w:szCs w:val="24"/>
          <w:lang w:val="bs-Latn-BA"/>
        </w:rPr>
        <w:t>нивоу</w:t>
      </w:r>
      <w:r w:rsidR="00822AD8" w:rsidRPr="00295637">
        <w:rPr>
          <w:rFonts w:ascii="Times New Roman" w:hAnsi="Times New Roman"/>
          <w:szCs w:val="24"/>
          <w:lang w:val="bs-Latn-BA"/>
        </w:rPr>
        <w:t xml:space="preserve">. </w:t>
      </w:r>
      <w:r>
        <w:rPr>
          <w:rFonts w:ascii="Times New Roman" w:hAnsi="Times New Roman"/>
          <w:szCs w:val="24"/>
          <w:lang w:val="bs-Latn-BA"/>
        </w:rPr>
        <w:t>Извјештај</w:t>
      </w:r>
      <w:r w:rsidR="00822AD8" w:rsidRPr="00295637">
        <w:rPr>
          <w:rFonts w:ascii="Times New Roman" w:hAnsi="Times New Roman"/>
          <w:szCs w:val="24"/>
          <w:lang w:val="bs-Latn-BA"/>
        </w:rPr>
        <w:t xml:space="preserve"> </w:t>
      </w:r>
      <w:r>
        <w:rPr>
          <w:rFonts w:ascii="Times New Roman" w:hAnsi="Times New Roman"/>
          <w:szCs w:val="24"/>
          <w:lang w:val="bs-Latn-BA"/>
        </w:rPr>
        <w:t>о</w:t>
      </w:r>
      <w:r w:rsidR="00822AD8" w:rsidRPr="00295637">
        <w:rPr>
          <w:rFonts w:ascii="Times New Roman" w:hAnsi="Times New Roman"/>
          <w:szCs w:val="24"/>
          <w:lang w:val="bs-Latn-BA"/>
        </w:rPr>
        <w:t xml:space="preserve"> </w:t>
      </w:r>
      <w:r>
        <w:rPr>
          <w:rFonts w:ascii="Times New Roman" w:hAnsi="Times New Roman"/>
          <w:szCs w:val="24"/>
          <w:lang w:val="bs-Latn-BA"/>
        </w:rPr>
        <w:t>функциони</w:t>
      </w:r>
      <w:r w:rsidR="00E654F2">
        <w:rPr>
          <w:rFonts w:ascii="Times New Roman" w:hAnsi="Times New Roman"/>
          <w:szCs w:val="24"/>
          <w:lang w:val="sr-Cyrl-BA"/>
        </w:rPr>
        <w:t>с</w:t>
      </w:r>
      <w:r>
        <w:rPr>
          <w:rFonts w:ascii="Times New Roman" w:hAnsi="Times New Roman"/>
          <w:szCs w:val="24"/>
          <w:lang w:val="bs-Latn-BA"/>
        </w:rPr>
        <w:t>ању</w:t>
      </w:r>
      <w:r w:rsidR="00822AD8" w:rsidRPr="00295637">
        <w:rPr>
          <w:rFonts w:ascii="Times New Roman" w:hAnsi="Times New Roman"/>
          <w:szCs w:val="24"/>
          <w:lang w:val="bs-Latn-BA"/>
        </w:rPr>
        <w:t xml:space="preserve"> </w:t>
      </w:r>
      <w:r>
        <w:rPr>
          <w:rFonts w:ascii="Times New Roman" w:hAnsi="Times New Roman"/>
          <w:szCs w:val="24"/>
          <w:lang w:val="bs-Latn-BA"/>
        </w:rPr>
        <w:t>система</w:t>
      </w:r>
      <w:r w:rsidR="00822AD8" w:rsidRPr="00295637">
        <w:rPr>
          <w:rFonts w:ascii="Times New Roman" w:hAnsi="Times New Roman"/>
          <w:szCs w:val="24"/>
          <w:lang w:val="bs-Latn-BA"/>
        </w:rPr>
        <w:t xml:space="preserve"> </w:t>
      </w:r>
      <w:r w:rsidR="00C25D32" w:rsidRPr="00295637">
        <w:rPr>
          <w:rFonts w:ascii="Times New Roman" w:hAnsi="Times New Roman"/>
          <w:szCs w:val="24"/>
          <w:lang w:val="bs-Latn-BA"/>
        </w:rPr>
        <w:t>„</w:t>
      </w:r>
      <w:r w:rsidR="00B92E89" w:rsidRPr="00B92E89">
        <w:rPr>
          <w:rFonts w:ascii="Times New Roman" w:hAnsi="Times New Roman"/>
          <w:i/>
          <w:szCs w:val="24"/>
          <w:lang w:val="bs-Latn-BA"/>
        </w:rPr>
        <w:t>SOTAC</w:t>
      </w:r>
      <w:r w:rsidR="00C25D32" w:rsidRPr="00295637">
        <w:rPr>
          <w:rFonts w:ascii="Times New Roman" w:hAnsi="Times New Roman"/>
          <w:szCs w:val="24"/>
          <w:lang w:val="bs-Latn-BA"/>
        </w:rPr>
        <w:t>“</w:t>
      </w:r>
      <w:r w:rsidR="00822AD8" w:rsidRPr="00295637">
        <w:rPr>
          <w:rFonts w:ascii="Times New Roman" w:hAnsi="Times New Roman"/>
          <w:szCs w:val="24"/>
          <w:lang w:val="bs-Latn-BA"/>
        </w:rPr>
        <w:t xml:space="preserve"> </w:t>
      </w:r>
      <w:r>
        <w:rPr>
          <w:rFonts w:ascii="Times New Roman" w:hAnsi="Times New Roman"/>
          <w:szCs w:val="24"/>
          <w:lang w:val="bs-Latn-BA"/>
        </w:rPr>
        <w:t>потврђује</w:t>
      </w:r>
      <w:r w:rsidR="00822AD8" w:rsidRPr="00295637">
        <w:rPr>
          <w:rFonts w:ascii="Times New Roman" w:hAnsi="Times New Roman"/>
          <w:szCs w:val="24"/>
          <w:lang w:val="bs-Latn-BA"/>
        </w:rPr>
        <w:t xml:space="preserve"> </w:t>
      </w:r>
      <w:r>
        <w:rPr>
          <w:rFonts w:ascii="Times New Roman" w:hAnsi="Times New Roman"/>
          <w:szCs w:val="24"/>
          <w:lang w:val="bs-Latn-BA"/>
        </w:rPr>
        <w:t>његову</w:t>
      </w:r>
      <w:r w:rsidR="00822AD8" w:rsidRPr="00295637">
        <w:rPr>
          <w:rFonts w:ascii="Times New Roman" w:hAnsi="Times New Roman"/>
          <w:szCs w:val="24"/>
          <w:lang w:val="bs-Latn-BA"/>
        </w:rPr>
        <w:t xml:space="preserve"> </w:t>
      </w:r>
      <w:r>
        <w:rPr>
          <w:rFonts w:ascii="Times New Roman" w:hAnsi="Times New Roman"/>
          <w:szCs w:val="24"/>
          <w:lang w:val="bs-Latn-BA"/>
        </w:rPr>
        <w:t>ефикасност</w:t>
      </w:r>
      <w:r w:rsidR="00822AD8" w:rsidRPr="00295637">
        <w:rPr>
          <w:rFonts w:ascii="Times New Roman" w:hAnsi="Times New Roman"/>
          <w:szCs w:val="24"/>
          <w:lang w:val="bs-Latn-BA"/>
        </w:rPr>
        <w:t xml:space="preserve"> </w:t>
      </w:r>
      <w:r>
        <w:rPr>
          <w:rFonts w:ascii="Times New Roman" w:hAnsi="Times New Roman"/>
          <w:szCs w:val="24"/>
          <w:lang w:val="bs-Latn-BA"/>
        </w:rPr>
        <w:t>у</w:t>
      </w:r>
      <w:r w:rsidR="00822AD8" w:rsidRPr="00295637">
        <w:rPr>
          <w:rFonts w:ascii="Times New Roman" w:hAnsi="Times New Roman"/>
          <w:szCs w:val="24"/>
          <w:lang w:val="bs-Latn-BA"/>
        </w:rPr>
        <w:t xml:space="preserve"> </w:t>
      </w:r>
      <w:r>
        <w:rPr>
          <w:rFonts w:ascii="Times New Roman" w:hAnsi="Times New Roman"/>
          <w:szCs w:val="24"/>
          <w:lang w:val="bs-Latn-BA"/>
        </w:rPr>
        <w:t>управљању</w:t>
      </w:r>
      <w:r w:rsidR="00822AD8" w:rsidRPr="00295637">
        <w:rPr>
          <w:rFonts w:ascii="Times New Roman" w:hAnsi="Times New Roman"/>
          <w:szCs w:val="24"/>
          <w:lang w:val="bs-Latn-BA"/>
        </w:rPr>
        <w:t xml:space="preserve"> </w:t>
      </w:r>
      <w:r>
        <w:rPr>
          <w:rFonts w:ascii="Times New Roman" w:hAnsi="Times New Roman"/>
          <w:szCs w:val="24"/>
          <w:lang w:val="bs-Latn-BA"/>
        </w:rPr>
        <w:t>подацима</w:t>
      </w:r>
      <w:r w:rsidR="00822AD8" w:rsidRPr="00295637">
        <w:rPr>
          <w:rFonts w:ascii="Times New Roman" w:hAnsi="Times New Roman"/>
          <w:szCs w:val="24"/>
          <w:lang w:val="bs-Latn-BA"/>
        </w:rPr>
        <w:t xml:space="preserve"> </w:t>
      </w:r>
      <w:r>
        <w:rPr>
          <w:rFonts w:ascii="Times New Roman" w:hAnsi="Times New Roman"/>
          <w:szCs w:val="24"/>
          <w:lang w:val="bs-Latn-BA"/>
        </w:rPr>
        <w:t>и</w:t>
      </w:r>
      <w:r w:rsidR="00822AD8" w:rsidRPr="00295637">
        <w:rPr>
          <w:rFonts w:ascii="Times New Roman" w:hAnsi="Times New Roman"/>
          <w:szCs w:val="24"/>
          <w:lang w:val="bs-Latn-BA"/>
        </w:rPr>
        <w:t xml:space="preserve"> </w:t>
      </w:r>
      <w:r>
        <w:rPr>
          <w:rFonts w:ascii="Times New Roman" w:hAnsi="Times New Roman"/>
          <w:szCs w:val="24"/>
          <w:lang w:val="bs-Latn-BA"/>
        </w:rPr>
        <w:t>пружању</w:t>
      </w:r>
      <w:r w:rsidR="00822AD8" w:rsidRPr="00295637">
        <w:rPr>
          <w:rFonts w:ascii="Times New Roman" w:hAnsi="Times New Roman"/>
          <w:szCs w:val="24"/>
          <w:lang w:val="bs-Latn-BA"/>
        </w:rPr>
        <w:t xml:space="preserve"> </w:t>
      </w:r>
      <w:r>
        <w:rPr>
          <w:rFonts w:ascii="Times New Roman" w:hAnsi="Times New Roman"/>
          <w:szCs w:val="24"/>
          <w:lang w:val="bs-Latn-BA"/>
        </w:rPr>
        <w:t>подршке</w:t>
      </w:r>
      <w:r w:rsidR="00822AD8" w:rsidRPr="00295637">
        <w:rPr>
          <w:rFonts w:ascii="Times New Roman" w:hAnsi="Times New Roman"/>
          <w:szCs w:val="24"/>
          <w:lang w:val="bs-Latn-BA"/>
        </w:rPr>
        <w:t xml:space="preserve"> </w:t>
      </w:r>
      <w:r>
        <w:rPr>
          <w:rFonts w:ascii="Times New Roman" w:hAnsi="Times New Roman"/>
          <w:szCs w:val="24"/>
          <w:lang w:val="bs-Latn-BA"/>
        </w:rPr>
        <w:t>социјално</w:t>
      </w:r>
      <w:r w:rsidR="00822AD8" w:rsidRPr="00295637">
        <w:rPr>
          <w:rFonts w:ascii="Times New Roman" w:hAnsi="Times New Roman"/>
          <w:szCs w:val="24"/>
          <w:lang w:val="bs-Latn-BA"/>
        </w:rPr>
        <w:t xml:space="preserve"> </w:t>
      </w:r>
      <w:r>
        <w:rPr>
          <w:rFonts w:ascii="Times New Roman" w:hAnsi="Times New Roman"/>
          <w:szCs w:val="24"/>
          <w:lang w:val="bs-Latn-BA"/>
        </w:rPr>
        <w:t>угроженим</w:t>
      </w:r>
      <w:r w:rsidR="00822AD8" w:rsidRPr="00295637">
        <w:rPr>
          <w:rFonts w:ascii="Times New Roman" w:hAnsi="Times New Roman"/>
          <w:szCs w:val="24"/>
          <w:lang w:val="bs-Latn-BA"/>
        </w:rPr>
        <w:t xml:space="preserve"> </w:t>
      </w:r>
      <w:r>
        <w:rPr>
          <w:rFonts w:ascii="Times New Roman" w:hAnsi="Times New Roman"/>
          <w:szCs w:val="24"/>
          <w:lang w:val="bs-Latn-BA"/>
        </w:rPr>
        <w:t>категоријама</w:t>
      </w:r>
      <w:r w:rsidR="00822AD8" w:rsidRPr="00295637">
        <w:rPr>
          <w:rFonts w:ascii="Times New Roman" w:hAnsi="Times New Roman"/>
          <w:szCs w:val="24"/>
          <w:lang w:val="bs-Latn-BA"/>
        </w:rPr>
        <w:t xml:space="preserve"> </w:t>
      </w:r>
      <w:r>
        <w:rPr>
          <w:rFonts w:ascii="Times New Roman" w:hAnsi="Times New Roman"/>
          <w:szCs w:val="24"/>
          <w:lang w:val="bs-Latn-BA"/>
        </w:rPr>
        <w:t>становништва</w:t>
      </w:r>
      <w:r w:rsidR="00822AD8" w:rsidRPr="00295637">
        <w:rPr>
          <w:rFonts w:ascii="Times New Roman" w:hAnsi="Times New Roman"/>
          <w:szCs w:val="24"/>
          <w:lang w:val="bs-Latn-BA"/>
        </w:rPr>
        <w:t>.</w:t>
      </w:r>
    </w:p>
    <w:p w:rsidR="00822AD8" w:rsidRPr="00295637" w:rsidRDefault="00822AD8" w:rsidP="0086268D">
      <w:pPr>
        <w:ind w:left="576"/>
        <w:jc w:val="both"/>
        <w:rPr>
          <w:rFonts w:ascii="Gill Sans MT" w:hAnsi="Gill Sans MT"/>
          <w:szCs w:val="24"/>
          <w:lang w:val="bs-Latn-BA"/>
        </w:rPr>
      </w:pPr>
    </w:p>
    <w:p w:rsidR="00A92736" w:rsidRPr="00295637" w:rsidRDefault="00C6214E" w:rsidP="0086268D">
      <w:pPr>
        <w:jc w:val="both"/>
        <w:rPr>
          <w:rFonts w:ascii="Times New Roman" w:hAnsi="Times New Roman"/>
          <w:lang w:val="bs-Latn-BA"/>
        </w:rPr>
      </w:pPr>
      <w:bookmarkStart w:id="40" w:name="_Toc193788537"/>
      <w:r>
        <w:rPr>
          <w:rFonts w:ascii="Times New Roman" w:hAnsi="Times New Roman"/>
          <w:lang w:val="bs-Latn-BA"/>
        </w:rPr>
        <w:t>ФМРСП</w:t>
      </w:r>
      <w:r w:rsidR="00D30EF1" w:rsidRPr="00295637">
        <w:rPr>
          <w:rFonts w:ascii="Times New Roman" w:hAnsi="Times New Roman"/>
          <w:lang w:val="bs-Latn-BA"/>
        </w:rPr>
        <w:t xml:space="preserve"> </w:t>
      </w:r>
      <w:r>
        <w:rPr>
          <w:rFonts w:ascii="Times New Roman" w:hAnsi="Times New Roman"/>
          <w:lang w:val="bs-Latn-BA"/>
        </w:rPr>
        <w:t>је</w:t>
      </w:r>
      <w:r w:rsidR="00D30EF1" w:rsidRPr="00295637">
        <w:rPr>
          <w:rFonts w:ascii="Times New Roman" w:hAnsi="Times New Roman"/>
          <w:lang w:val="bs-Latn-BA"/>
        </w:rPr>
        <w:t xml:space="preserve"> </w:t>
      </w:r>
      <w:r>
        <w:rPr>
          <w:rFonts w:ascii="Times New Roman" w:hAnsi="Times New Roman"/>
          <w:lang w:val="bs-Latn-BA"/>
        </w:rPr>
        <w:t>наставило</w:t>
      </w:r>
      <w:r w:rsidR="00822AD8" w:rsidRPr="00295637">
        <w:rPr>
          <w:rFonts w:ascii="Times New Roman" w:hAnsi="Times New Roman"/>
          <w:lang w:val="bs-Latn-BA"/>
        </w:rPr>
        <w:t xml:space="preserve"> </w:t>
      </w:r>
      <w:r>
        <w:rPr>
          <w:rFonts w:ascii="Times New Roman" w:hAnsi="Times New Roman"/>
          <w:lang w:val="bs-Latn-BA"/>
        </w:rPr>
        <w:t>са</w:t>
      </w:r>
      <w:r w:rsidR="00822AD8" w:rsidRPr="00295637">
        <w:rPr>
          <w:rFonts w:ascii="Times New Roman" w:hAnsi="Times New Roman"/>
          <w:lang w:val="bs-Latn-BA"/>
        </w:rPr>
        <w:t xml:space="preserve"> </w:t>
      </w:r>
      <w:r>
        <w:rPr>
          <w:rFonts w:ascii="Times New Roman" w:hAnsi="Times New Roman"/>
          <w:lang w:val="bs-Latn-BA"/>
        </w:rPr>
        <w:t>активностима</w:t>
      </w:r>
      <w:r w:rsidR="00822AD8" w:rsidRPr="00295637">
        <w:rPr>
          <w:rFonts w:ascii="Times New Roman" w:hAnsi="Times New Roman"/>
          <w:lang w:val="bs-Latn-BA"/>
        </w:rPr>
        <w:t xml:space="preserve"> </w:t>
      </w:r>
      <w:r w:rsidR="00E654F2">
        <w:rPr>
          <w:rFonts w:ascii="Times New Roman" w:hAnsi="Times New Roman"/>
          <w:lang w:val="sr-Cyrl-BA"/>
        </w:rPr>
        <w:t>с</w:t>
      </w:r>
      <w:r w:rsidR="00822AD8" w:rsidRPr="00295637">
        <w:rPr>
          <w:rFonts w:ascii="Times New Roman" w:hAnsi="Times New Roman"/>
          <w:lang w:val="bs-Latn-BA"/>
        </w:rPr>
        <w:t xml:space="preserve"> </w:t>
      </w:r>
      <w:r>
        <w:rPr>
          <w:rFonts w:ascii="Times New Roman" w:hAnsi="Times New Roman"/>
          <w:lang w:val="bs-Latn-BA"/>
        </w:rPr>
        <w:t>циљ</w:t>
      </w:r>
      <w:r w:rsidR="00E654F2">
        <w:rPr>
          <w:rFonts w:ascii="Times New Roman" w:hAnsi="Times New Roman"/>
          <w:lang w:val="sr-Cyrl-BA"/>
        </w:rPr>
        <w:t>ем</w:t>
      </w:r>
      <w:r w:rsidR="00822AD8" w:rsidRPr="00295637">
        <w:rPr>
          <w:rFonts w:ascii="Times New Roman" w:hAnsi="Times New Roman"/>
          <w:lang w:val="bs-Latn-BA"/>
        </w:rPr>
        <w:t xml:space="preserve"> </w:t>
      </w:r>
      <w:r>
        <w:rPr>
          <w:rFonts w:ascii="Times New Roman" w:hAnsi="Times New Roman"/>
          <w:lang w:val="bs-Latn-BA"/>
        </w:rPr>
        <w:t>заштите</w:t>
      </w:r>
      <w:r w:rsidR="00822AD8" w:rsidRPr="00295637">
        <w:rPr>
          <w:rFonts w:ascii="Times New Roman" w:hAnsi="Times New Roman"/>
          <w:lang w:val="bs-Latn-BA"/>
        </w:rPr>
        <w:t xml:space="preserve"> </w:t>
      </w:r>
      <w:r>
        <w:rPr>
          <w:rFonts w:ascii="Times New Roman" w:hAnsi="Times New Roman"/>
          <w:lang w:val="bs-Latn-BA"/>
        </w:rPr>
        <w:t>жртава</w:t>
      </w:r>
      <w:r w:rsidR="00822AD8" w:rsidRPr="00295637">
        <w:rPr>
          <w:rFonts w:ascii="Times New Roman" w:hAnsi="Times New Roman"/>
          <w:lang w:val="bs-Latn-BA"/>
        </w:rPr>
        <w:t xml:space="preserve"> </w:t>
      </w:r>
      <w:r>
        <w:rPr>
          <w:rFonts w:ascii="Times New Roman" w:hAnsi="Times New Roman"/>
          <w:lang w:val="bs-Latn-BA"/>
        </w:rPr>
        <w:t>насиља</w:t>
      </w:r>
      <w:r w:rsidR="00822AD8"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породици</w:t>
      </w:r>
      <w:r w:rsidR="00822AD8" w:rsidRPr="00295637">
        <w:rPr>
          <w:rFonts w:ascii="Times New Roman" w:hAnsi="Times New Roman"/>
          <w:lang w:val="bs-Latn-BA"/>
        </w:rPr>
        <w:t xml:space="preserve"> </w:t>
      </w:r>
      <w:r>
        <w:rPr>
          <w:rFonts w:ascii="Times New Roman" w:hAnsi="Times New Roman"/>
          <w:lang w:val="bs-Latn-BA"/>
        </w:rPr>
        <w:t>кроз</w:t>
      </w:r>
      <w:r w:rsidR="00822AD8" w:rsidRPr="00295637">
        <w:rPr>
          <w:rFonts w:ascii="Times New Roman" w:hAnsi="Times New Roman"/>
          <w:lang w:val="bs-Latn-BA"/>
        </w:rPr>
        <w:t xml:space="preserve"> </w:t>
      </w:r>
      <w:r w:rsidR="00E654F2">
        <w:rPr>
          <w:rFonts w:ascii="Times New Roman" w:hAnsi="Times New Roman"/>
          <w:lang w:val="sr-Cyrl-BA"/>
        </w:rPr>
        <w:t>спровођење</w:t>
      </w:r>
      <w:r w:rsidR="00822AD8" w:rsidRPr="00295637">
        <w:rPr>
          <w:rFonts w:ascii="Times New Roman" w:hAnsi="Times New Roman"/>
          <w:lang w:val="bs-Latn-BA"/>
        </w:rPr>
        <w:t xml:space="preserve"> </w:t>
      </w:r>
      <w:r>
        <w:rPr>
          <w:rFonts w:ascii="Times New Roman" w:hAnsi="Times New Roman"/>
          <w:lang w:val="bs-Latn-BA"/>
        </w:rPr>
        <w:t>Закона</w:t>
      </w:r>
      <w:r w:rsidR="00822AD8" w:rsidRPr="00295637">
        <w:rPr>
          <w:rFonts w:ascii="Times New Roman" w:hAnsi="Times New Roman"/>
          <w:lang w:val="bs-Latn-BA"/>
        </w:rPr>
        <w:t xml:space="preserve"> </w:t>
      </w:r>
      <w:r>
        <w:rPr>
          <w:rFonts w:ascii="Times New Roman" w:hAnsi="Times New Roman"/>
          <w:lang w:val="bs-Latn-BA"/>
        </w:rPr>
        <w:t>о</w:t>
      </w:r>
      <w:r w:rsidR="00822AD8" w:rsidRPr="00295637">
        <w:rPr>
          <w:rFonts w:ascii="Times New Roman" w:hAnsi="Times New Roman"/>
          <w:lang w:val="bs-Latn-BA"/>
        </w:rPr>
        <w:t xml:space="preserve"> </w:t>
      </w:r>
      <w:r>
        <w:rPr>
          <w:rFonts w:ascii="Times New Roman" w:hAnsi="Times New Roman"/>
          <w:lang w:val="bs-Latn-BA"/>
        </w:rPr>
        <w:t>заштити</w:t>
      </w:r>
      <w:r w:rsidR="00822AD8" w:rsidRPr="00295637">
        <w:rPr>
          <w:rFonts w:ascii="Times New Roman" w:hAnsi="Times New Roman"/>
          <w:lang w:val="bs-Latn-BA"/>
        </w:rPr>
        <w:t xml:space="preserve"> </w:t>
      </w:r>
      <w:r>
        <w:rPr>
          <w:rFonts w:ascii="Times New Roman" w:hAnsi="Times New Roman"/>
          <w:lang w:val="bs-Latn-BA"/>
        </w:rPr>
        <w:t>од</w:t>
      </w:r>
      <w:r w:rsidR="00822AD8" w:rsidRPr="00295637">
        <w:rPr>
          <w:rFonts w:ascii="Times New Roman" w:hAnsi="Times New Roman"/>
          <w:lang w:val="bs-Latn-BA"/>
        </w:rPr>
        <w:t xml:space="preserve"> </w:t>
      </w:r>
      <w:r>
        <w:rPr>
          <w:rFonts w:ascii="Times New Roman" w:hAnsi="Times New Roman"/>
          <w:lang w:val="bs-Latn-BA"/>
        </w:rPr>
        <w:t>насиља</w:t>
      </w:r>
      <w:r w:rsidR="00822AD8"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породици</w:t>
      </w:r>
      <w:r w:rsidR="00822AD8" w:rsidRPr="00295637">
        <w:rPr>
          <w:rFonts w:ascii="Times New Roman" w:hAnsi="Times New Roman"/>
          <w:lang w:val="bs-Latn-BA"/>
        </w:rPr>
        <w:t xml:space="preserve">. </w:t>
      </w:r>
      <w:r>
        <w:rPr>
          <w:rFonts w:ascii="Times New Roman" w:hAnsi="Times New Roman"/>
          <w:lang w:val="bs-Latn-BA"/>
        </w:rPr>
        <w:t>Током</w:t>
      </w:r>
      <w:r w:rsidR="00822AD8" w:rsidRPr="00295637">
        <w:rPr>
          <w:rFonts w:ascii="Times New Roman" w:hAnsi="Times New Roman"/>
          <w:lang w:val="bs-Latn-BA"/>
        </w:rPr>
        <w:t xml:space="preserve"> 2024. </w:t>
      </w:r>
      <w:r>
        <w:rPr>
          <w:rFonts w:ascii="Times New Roman" w:hAnsi="Times New Roman"/>
          <w:lang w:val="bs-Latn-BA"/>
        </w:rPr>
        <w:t>године</w:t>
      </w:r>
      <w:r w:rsidR="00822AD8" w:rsidRPr="00295637">
        <w:rPr>
          <w:rFonts w:ascii="Times New Roman" w:hAnsi="Times New Roman"/>
          <w:lang w:val="bs-Latn-BA"/>
        </w:rPr>
        <w:t xml:space="preserve">, </w:t>
      </w:r>
      <w:r>
        <w:rPr>
          <w:rFonts w:ascii="Times New Roman" w:hAnsi="Times New Roman"/>
          <w:lang w:val="bs-Latn-BA"/>
        </w:rPr>
        <w:t>евидентиран</w:t>
      </w:r>
      <w:r w:rsidR="00822AD8" w:rsidRPr="00295637">
        <w:rPr>
          <w:rFonts w:ascii="Times New Roman" w:hAnsi="Times New Roman"/>
          <w:lang w:val="bs-Latn-BA"/>
        </w:rPr>
        <w:t xml:space="preserve"> </w:t>
      </w:r>
      <w:r>
        <w:rPr>
          <w:rFonts w:ascii="Times New Roman" w:hAnsi="Times New Roman"/>
          <w:lang w:val="bs-Latn-BA"/>
        </w:rPr>
        <w:t>је</w:t>
      </w:r>
      <w:r w:rsidR="00822AD8" w:rsidRPr="00295637">
        <w:rPr>
          <w:rFonts w:ascii="Times New Roman" w:hAnsi="Times New Roman"/>
          <w:lang w:val="bs-Latn-BA"/>
        </w:rPr>
        <w:t xml:space="preserve"> </w:t>
      </w:r>
      <w:r>
        <w:rPr>
          <w:rFonts w:ascii="Times New Roman" w:hAnsi="Times New Roman"/>
          <w:lang w:val="bs-Latn-BA"/>
        </w:rPr>
        <w:t>број</w:t>
      </w:r>
      <w:r w:rsidR="00822AD8" w:rsidRPr="00295637">
        <w:rPr>
          <w:rFonts w:ascii="Times New Roman" w:hAnsi="Times New Roman"/>
          <w:lang w:val="bs-Latn-BA"/>
        </w:rPr>
        <w:t xml:space="preserve"> </w:t>
      </w:r>
      <w:r>
        <w:rPr>
          <w:rFonts w:ascii="Times New Roman" w:hAnsi="Times New Roman"/>
          <w:lang w:val="bs-Latn-BA"/>
        </w:rPr>
        <w:t>жртава</w:t>
      </w:r>
      <w:r w:rsidR="00822AD8" w:rsidRPr="00295637">
        <w:rPr>
          <w:rFonts w:ascii="Times New Roman" w:hAnsi="Times New Roman"/>
          <w:lang w:val="bs-Latn-BA"/>
        </w:rPr>
        <w:t xml:space="preserve"> </w:t>
      </w:r>
      <w:r>
        <w:rPr>
          <w:rFonts w:ascii="Times New Roman" w:hAnsi="Times New Roman"/>
          <w:lang w:val="bs-Latn-BA"/>
        </w:rPr>
        <w:t>насиља</w:t>
      </w:r>
      <w:r w:rsidR="00822AD8" w:rsidRPr="00295637">
        <w:rPr>
          <w:rFonts w:ascii="Times New Roman" w:hAnsi="Times New Roman"/>
          <w:lang w:val="bs-Latn-BA"/>
        </w:rPr>
        <w:t xml:space="preserve"> </w:t>
      </w:r>
      <w:r>
        <w:rPr>
          <w:rFonts w:ascii="Times New Roman" w:hAnsi="Times New Roman"/>
          <w:lang w:val="bs-Latn-BA"/>
        </w:rPr>
        <w:t>које</w:t>
      </w:r>
      <w:r w:rsidR="00822AD8" w:rsidRPr="00295637">
        <w:rPr>
          <w:rFonts w:ascii="Times New Roman" w:hAnsi="Times New Roman"/>
          <w:lang w:val="bs-Latn-BA"/>
        </w:rPr>
        <w:t xml:space="preserve"> </w:t>
      </w:r>
      <w:r>
        <w:rPr>
          <w:rFonts w:ascii="Times New Roman" w:hAnsi="Times New Roman"/>
          <w:lang w:val="bs-Latn-BA"/>
        </w:rPr>
        <w:t>су</w:t>
      </w:r>
      <w:r w:rsidR="00822AD8" w:rsidRPr="00295637">
        <w:rPr>
          <w:rFonts w:ascii="Times New Roman" w:hAnsi="Times New Roman"/>
          <w:lang w:val="bs-Latn-BA"/>
        </w:rPr>
        <w:t xml:space="preserve"> </w:t>
      </w:r>
      <w:r>
        <w:rPr>
          <w:rFonts w:ascii="Times New Roman" w:hAnsi="Times New Roman"/>
          <w:lang w:val="bs-Latn-BA"/>
        </w:rPr>
        <w:t>упућене</w:t>
      </w:r>
      <w:r w:rsidR="00822AD8" w:rsidRPr="00295637">
        <w:rPr>
          <w:rFonts w:ascii="Times New Roman" w:hAnsi="Times New Roman"/>
          <w:lang w:val="bs-Latn-BA"/>
        </w:rPr>
        <w:t xml:space="preserve"> </w:t>
      </w:r>
      <w:r>
        <w:rPr>
          <w:rFonts w:ascii="Times New Roman" w:hAnsi="Times New Roman"/>
          <w:lang w:val="bs-Latn-BA"/>
        </w:rPr>
        <w:t>од</w:t>
      </w:r>
      <w:r w:rsidR="00822AD8" w:rsidRPr="00295637">
        <w:rPr>
          <w:rFonts w:ascii="Times New Roman" w:hAnsi="Times New Roman"/>
          <w:lang w:val="bs-Latn-BA"/>
        </w:rPr>
        <w:t xml:space="preserve"> </w:t>
      </w:r>
      <w:r>
        <w:rPr>
          <w:rFonts w:ascii="Times New Roman" w:hAnsi="Times New Roman"/>
          <w:lang w:val="bs-Latn-BA"/>
        </w:rPr>
        <w:t>стране</w:t>
      </w:r>
      <w:r w:rsidR="00822AD8" w:rsidRPr="00295637">
        <w:rPr>
          <w:rFonts w:ascii="Times New Roman" w:hAnsi="Times New Roman"/>
          <w:lang w:val="bs-Latn-BA"/>
        </w:rPr>
        <w:t xml:space="preserve"> </w:t>
      </w:r>
      <w:r>
        <w:rPr>
          <w:rFonts w:ascii="Times New Roman" w:hAnsi="Times New Roman"/>
          <w:lang w:val="bs-Latn-BA"/>
        </w:rPr>
        <w:t>органа</w:t>
      </w:r>
      <w:r w:rsidR="00822AD8" w:rsidRPr="00295637">
        <w:rPr>
          <w:rFonts w:ascii="Times New Roman" w:hAnsi="Times New Roman"/>
          <w:lang w:val="bs-Latn-BA"/>
        </w:rPr>
        <w:t xml:space="preserve"> </w:t>
      </w:r>
      <w:r>
        <w:rPr>
          <w:rFonts w:ascii="Times New Roman" w:hAnsi="Times New Roman"/>
          <w:lang w:val="bs-Latn-BA"/>
        </w:rPr>
        <w:t>старатељства</w:t>
      </w:r>
      <w:r w:rsidR="00822AD8" w:rsidRPr="00295637">
        <w:rPr>
          <w:rFonts w:ascii="Times New Roman" w:hAnsi="Times New Roman"/>
          <w:lang w:val="bs-Latn-BA"/>
        </w:rPr>
        <w:t xml:space="preserve"> </w:t>
      </w:r>
      <w:r>
        <w:rPr>
          <w:rFonts w:ascii="Times New Roman" w:hAnsi="Times New Roman"/>
          <w:lang w:val="bs-Latn-BA"/>
        </w:rPr>
        <w:t>или</w:t>
      </w:r>
      <w:r w:rsidR="00822AD8" w:rsidRPr="00295637">
        <w:rPr>
          <w:rFonts w:ascii="Times New Roman" w:hAnsi="Times New Roman"/>
          <w:lang w:val="bs-Latn-BA"/>
        </w:rPr>
        <w:t xml:space="preserve"> </w:t>
      </w:r>
      <w:r>
        <w:rPr>
          <w:rFonts w:ascii="Times New Roman" w:hAnsi="Times New Roman"/>
          <w:lang w:val="bs-Latn-BA"/>
        </w:rPr>
        <w:t>смјештене</w:t>
      </w:r>
      <w:r w:rsidR="00822AD8"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сигурне</w:t>
      </w:r>
      <w:r w:rsidR="00822AD8" w:rsidRPr="00295637">
        <w:rPr>
          <w:rFonts w:ascii="Times New Roman" w:hAnsi="Times New Roman"/>
          <w:lang w:val="bs-Latn-BA"/>
        </w:rPr>
        <w:t xml:space="preserve"> </w:t>
      </w:r>
      <w:r>
        <w:rPr>
          <w:rFonts w:ascii="Times New Roman" w:hAnsi="Times New Roman"/>
          <w:lang w:val="bs-Latn-BA"/>
        </w:rPr>
        <w:t>куће</w:t>
      </w:r>
      <w:r w:rsidR="00822AD8"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ФБиХ</w:t>
      </w:r>
      <w:r w:rsidR="00822AD8" w:rsidRPr="00295637">
        <w:rPr>
          <w:rFonts w:ascii="Times New Roman" w:hAnsi="Times New Roman"/>
          <w:lang w:val="bs-Latn-BA"/>
        </w:rPr>
        <w:t xml:space="preserve">. </w:t>
      </w:r>
      <w:r>
        <w:rPr>
          <w:rFonts w:ascii="Times New Roman" w:hAnsi="Times New Roman"/>
          <w:lang w:val="bs-Latn-BA"/>
        </w:rPr>
        <w:t>Извјештај</w:t>
      </w:r>
      <w:r w:rsidR="00822AD8" w:rsidRPr="00295637">
        <w:rPr>
          <w:rFonts w:ascii="Times New Roman" w:hAnsi="Times New Roman"/>
          <w:lang w:val="bs-Latn-BA"/>
        </w:rPr>
        <w:t xml:space="preserve"> </w:t>
      </w:r>
      <w:r>
        <w:rPr>
          <w:rFonts w:ascii="Times New Roman" w:hAnsi="Times New Roman"/>
          <w:lang w:val="bs-Latn-BA"/>
        </w:rPr>
        <w:t>о</w:t>
      </w:r>
      <w:r w:rsidR="00822AD8" w:rsidRPr="00295637">
        <w:rPr>
          <w:rFonts w:ascii="Times New Roman" w:hAnsi="Times New Roman"/>
          <w:lang w:val="bs-Latn-BA"/>
        </w:rPr>
        <w:t xml:space="preserve"> </w:t>
      </w:r>
      <w:r w:rsidR="00E654F2">
        <w:rPr>
          <w:rFonts w:ascii="Times New Roman" w:hAnsi="Times New Roman"/>
          <w:lang w:val="sr-Cyrl-BA"/>
        </w:rPr>
        <w:t>спровођењу</w:t>
      </w:r>
      <w:r w:rsidR="00822AD8" w:rsidRPr="00295637">
        <w:rPr>
          <w:rFonts w:ascii="Times New Roman" w:hAnsi="Times New Roman"/>
          <w:lang w:val="bs-Latn-BA"/>
        </w:rPr>
        <w:t xml:space="preserve"> </w:t>
      </w:r>
      <w:r>
        <w:rPr>
          <w:rFonts w:ascii="Times New Roman" w:hAnsi="Times New Roman"/>
          <w:lang w:val="bs-Latn-BA"/>
        </w:rPr>
        <w:t>закона</w:t>
      </w:r>
      <w:r w:rsidR="00822AD8" w:rsidRPr="00295637">
        <w:rPr>
          <w:rFonts w:ascii="Times New Roman" w:hAnsi="Times New Roman"/>
          <w:lang w:val="bs-Latn-BA"/>
        </w:rPr>
        <w:t xml:space="preserve"> </w:t>
      </w:r>
      <w:r>
        <w:rPr>
          <w:rFonts w:ascii="Times New Roman" w:hAnsi="Times New Roman"/>
          <w:lang w:val="bs-Latn-BA"/>
        </w:rPr>
        <w:t>даје</w:t>
      </w:r>
      <w:r w:rsidR="00822AD8" w:rsidRPr="00295637">
        <w:rPr>
          <w:rFonts w:ascii="Times New Roman" w:hAnsi="Times New Roman"/>
          <w:lang w:val="bs-Latn-BA"/>
        </w:rPr>
        <w:t xml:space="preserve"> </w:t>
      </w:r>
      <w:r>
        <w:rPr>
          <w:rFonts w:ascii="Times New Roman" w:hAnsi="Times New Roman"/>
          <w:lang w:val="bs-Latn-BA"/>
        </w:rPr>
        <w:t>увид</w:t>
      </w:r>
      <w:r w:rsidR="00822AD8"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број</w:t>
      </w:r>
      <w:r w:rsidR="00822AD8" w:rsidRPr="00295637">
        <w:rPr>
          <w:rFonts w:ascii="Times New Roman" w:hAnsi="Times New Roman"/>
          <w:lang w:val="bs-Latn-BA"/>
        </w:rPr>
        <w:t xml:space="preserve"> </w:t>
      </w:r>
      <w:r>
        <w:rPr>
          <w:rFonts w:ascii="Times New Roman" w:hAnsi="Times New Roman"/>
          <w:lang w:val="bs-Latn-BA"/>
        </w:rPr>
        <w:t>пријављених</w:t>
      </w:r>
      <w:r w:rsidR="00822AD8" w:rsidRPr="00295637">
        <w:rPr>
          <w:rFonts w:ascii="Times New Roman" w:hAnsi="Times New Roman"/>
          <w:lang w:val="bs-Latn-BA"/>
        </w:rPr>
        <w:t xml:space="preserve"> </w:t>
      </w:r>
      <w:r>
        <w:rPr>
          <w:rFonts w:ascii="Times New Roman" w:hAnsi="Times New Roman"/>
          <w:lang w:val="bs-Latn-BA"/>
        </w:rPr>
        <w:t>случајева</w:t>
      </w:r>
      <w:r w:rsidR="00822AD8" w:rsidRPr="00295637">
        <w:rPr>
          <w:rFonts w:ascii="Times New Roman" w:hAnsi="Times New Roman"/>
          <w:lang w:val="bs-Latn-BA"/>
        </w:rPr>
        <w:t xml:space="preserve"> </w:t>
      </w:r>
      <w:r>
        <w:rPr>
          <w:rFonts w:ascii="Times New Roman" w:hAnsi="Times New Roman"/>
          <w:lang w:val="bs-Latn-BA"/>
        </w:rPr>
        <w:t>и</w:t>
      </w:r>
      <w:r w:rsidR="00822AD8" w:rsidRPr="00295637">
        <w:rPr>
          <w:rFonts w:ascii="Times New Roman" w:hAnsi="Times New Roman"/>
          <w:lang w:val="bs-Latn-BA"/>
        </w:rPr>
        <w:t xml:space="preserve"> </w:t>
      </w:r>
      <w:r>
        <w:rPr>
          <w:rFonts w:ascii="Times New Roman" w:hAnsi="Times New Roman"/>
          <w:lang w:val="bs-Latn-BA"/>
        </w:rPr>
        <w:t>капацитете</w:t>
      </w:r>
      <w:r w:rsidR="00822AD8" w:rsidRPr="00295637">
        <w:rPr>
          <w:rFonts w:ascii="Times New Roman" w:hAnsi="Times New Roman"/>
          <w:lang w:val="bs-Latn-BA"/>
        </w:rPr>
        <w:t xml:space="preserve"> </w:t>
      </w:r>
      <w:r>
        <w:rPr>
          <w:rFonts w:ascii="Times New Roman" w:hAnsi="Times New Roman"/>
          <w:lang w:val="bs-Latn-BA"/>
        </w:rPr>
        <w:t>сигурних</w:t>
      </w:r>
      <w:r w:rsidR="00822AD8" w:rsidRPr="00295637">
        <w:rPr>
          <w:rFonts w:ascii="Times New Roman" w:hAnsi="Times New Roman"/>
          <w:lang w:val="bs-Latn-BA"/>
        </w:rPr>
        <w:t xml:space="preserve"> </w:t>
      </w:r>
      <w:r>
        <w:rPr>
          <w:rFonts w:ascii="Times New Roman" w:hAnsi="Times New Roman"/>
          <w:lang w:val="bs-Latn-BA"/>
        </w:rPr>
        <w:t>кућа</w:t>
      </w:r>
      <w:r w:rsidR="00822AD8" w:rsidRPr="00295637">
        <w:rPr>
          <w:rFonts w:ascii="Times New Roman" w:hAnsi="Times New Roman"/>
          <w:lang w:val="bs-Latn-BA"/>
        </w:rPr>
        <w:t xml:space="preserve">, </w:t>
      </w:r>
      <w:r>
        <w:rPr>
          <w:rFonts w:ascii="Times New Roman" w:hAnsi="Times New Roman"/>
          <w:lang w:val="bs-Latn-BA"/>
        </w:rPr>
        <w:t>истичући</w:t>
      </w:r>
      <w:r w:rsidR="00822AD8" w:rsidRPr="00295637">
        <w:rPr>
          <w:rFonts w:ascii="Times New Roman" w:hAnsi="Times New Roman"/>
          <w:lang w:val="bs-Latn-BA"/>
        </w:rPr>
        <w:t xml:space="preserve"> </w:t>
      </w:r>
      <w:r>
        <w:rPr>
          <w:rFonts w:ascii="Times New Roman" w:hAnsi="Times New Roman"/>
          <w:lang w:val="bs-Latn-BA"/>
        </w:rPr>
        <w:t>важност</w:t>
      </w:r>
      <w:r w:rsidR="00822AD8" w:rsidRPr="00295637">
        <w:rPr>
          <w:rFonts w:ascii="Times New Roman" w:hAnsi="Times New Roman"/>
          <w:lang w:val="bs-Latn-BA"/>
        </w:rPr>
        <w:t xml:space="preserve"> </w:t>
      </w:r>
      <w:r>
        <w:rPr>
          <w:rFonts w:ascii="Times New Roman" w:hAnsi="Times New Roman"/>
          <w:lang w:val="bs-Latn-BA"/>
        </w:rPr>
        <w:t>континуи</w:t>
      </w:r>
      <w:r w:rsidR="00E654F2">
        <w:rPr>
          <w:rFonts w:ascii="Times New Roman" w:hAnsi="Times New Roman"/>
          <w:lang w:val="sr-Cyrl-BA"/>
        </w:rPr>
        <w:t>р</w:t>
      </w:r>
      <w:r>
        <w:rPr>
          <w:rFonts w:ascii="Times New Roman" w:hAnsi="Times New Roman"/>
          <w:lang w:val="bs-Latn-BA"/>
        </w:rPr>
        <w:t>ане</w:t>
      </w:r>
      <w:r w:rsidR="00822AD8" w:rsidRPr="00295637">
        <w:rPr>
          <w:rFonts w:ascii="Times New Roman" w:hAnsi="Times New Roman"/>
          <w:lang w:val="bs-Latn-BA"/>
        </w:rPr>
        <w:t xml:space="preserve"> </w:t>
      </w:r>
      <w:r>
        <w:rPr>
          <w:rFonts w:ascii="Times New Roman" w:hAnsi="Times New Roman"/>
          <w:lang w:val="bs-Latn-BA"/>
        </w:rPr>
        <w:t>подршке</w:t>
      </w:r>
      <w:r w:rsidR="00822AD8" w:rsidRPr="00295637">
        <w:rPr>
          <w:rFonts w:ascii="Times New Roman" w:hAnsi="Times New Roman"/>
          <w:lang w:val="bs-Latn-BA"/>
        </w:rPr>
        <w:t xml:space="preserve"> </w:t>
      </w:r>
      <w:r>
        <w:rPr>
          <w:rFonts w:ascii="Times New Roman" w:hAnsi="Times New Roman"/>
          <w:lang w:val="bs-Latn-BA"/>
        </w:rPr>
        <w:t>и</w:t>
      </w:r>
      <w:r w:rsidR="00822AD8" w:rsidRPr="00295637">
        <w:rPr>
          <w:rFonts w:ascii="Times New Roman" w:hAnsi="Times New Roman"/>
          <w:lang w:val="bs-Latn-BA"/>
        </w:rPr>
        <w:t xml:space="preserve"> </w:t>
      </w:r>
      <w:r>
        <w:rPr>
          <w:rFonts w:ascii="Times New Roman" w:hAnsi="Times New Roman"/>
          <w:lang w:val="bs-Latn-BA"/>
        </w:rPr>
        <w:t>унапређења</w:t>
      </w:r>
      <w:r w:rsidR="00822AD8" w:rsidRPr="00295637">
        <w:rPr>
          <w:rFonts w:ascii="Times New Roman" w:hAnsi="Times New Roman"/>
          <w:lang w:val="bs-Latn-BA"/>
        </w:rPr>
        <w:t xml:space="preserve"> </w:t>
      </w:r>
      <w:r>
        <w:rPr>
          <w:rFonts w:ascii="Times New Roman" w:hAnsi="Times New Roman"/>
          <w:lang w:val="bs-Latn-BA"/>
        </w:rPr>
        <w:t>система</w:t>
      </w:r>
      <w:r w:rsidR="00822AD8" w:rsidRPr="00295637">
        <w:rPr>
          <w:rFonts w:ascii="Times New Roman" w:hAnsi="Times New Roman"/>
          <w:lang w:val="bs-Latn-BA"/>
        </w:rPr>
        <w:t xml:space="preserve"> </w:t>
      </w:r>
      <w:r>
        <w:rPr>
          <w:rFonts w:ascii="Times New Roman" w:hAnsi="Times New Roman"/>
          <w:lang w:val="bs-Latn-BA"/>
        </w:rPr>
        <w:t>заштите</w:t>
      </w:r>
      <w:r w:rsidR="00822AD8" w:rsidRPr="00295637">
        <w:rPr>
          <w:rFonts w:ascii="Times New Roman" w:hAnsi="Times New Roman"/>
          <w:lang w:val="bs-Latn-BA"/>
        </w:rPr>
        <w:t>.</w:t>
      </w:r>
      <w:bookmarkEnd w:id="40"/>
    </w:p>
    <w:p w:rsidR="009A65A1" w:rsidRPr="00295637" w:rsidRDefault="009A65A1" w:rsidP="0086268D">
      <w:pPr>
        <w:jc w:val="both"/>
        <w:rPr>
          <w:rFonts w:ascii="Times New Roman" w:hAnsi="Times New Roman"/>
          <w:lang w:val="bs-Latn-BA"/>
        </w:rPr>
      </w:pPr>
    </w:p>
    <w:p w:rsidR="009A65A1" w:rsidRPr="00295637" w:rsidRDefault="00C6214E" w:rsidP="0086268D">
      <w:pPr>
        <w:jc w:val="both"/>
        <w:rPr>
          <w:rFonts w:ascii="Times New Roman" w:hAnsi="Times New Roman"/>
          <w:szCs w:val="24"/>
          <w:lang w:val="bs-Latn-BA"/>
        </w:rPr>
      </w:pPr>
      <w:r>
        <w:rPr>
          <w:rFonts w:ascii="Times New Roman" w:hAnsi="Times New Roman"/>
          <w:szCs w:val="24"/>
          <w:lang w:val="bs-Latn-BA"/>
        </w:rPr>
        <w:t>Током</w:t>
      </w:r>
      <w:r w:rsidR="009A65A1" w:rsidRPr="00295637">
        <w:rPr>
          <w:rFonts w:ascii="Times New Roman" w:hAnsi="Times New Roman"/>
          <w:szCs w:val="24"/>
          <w:lang w:val="bs-Latn-BA"/>
        </w:rPr>
        <w:t xml:space="preserve"> 2024. </w:t>
      </w:r>
      <w:r>
        <w:rPr>
          <w:rFonts w:ascii="Times New Roman" w:hAnsi="Times New Roman"/>
          <w:szCs w:val="24"/>
          <w:lang w:val="bs-Latn-BA"/>
        </w:rPr>
        <w:t>године</w:t>
      </w:r>
      <w:r w:rsidR="009A65A1" w:rsidRPr="00295637">
        <w:rPr>
          <w:rFonts w:ascii="Times New Roman" w:hAnsi="Times New Roman"/>
          <w:szCs w:val="24"/>
          <w:lang w:val="bs-Latn-BA"/>
        </w:rPr>
        <w:t xml:space="preserve">, </w:t>
      </w:r>
      <w:r>
        <w:rPr>
          <w:rFonts w:ascii="Times New Roman" w:hAnsi="Times New Roman"/>
          <w:szCs w:val="24"/>
          <w:lang w:val="bs-Latn-BA"/>
        </w:rPr>
        <w:t>ФМРСП</w:t>
      </w:r>
      <w:r w:rsidR="009A65A1" w:rsidRPr="00295637">
        <w:rPr>
          <w:rFonts w:ascii="Times New Roman" w:hAnsi="Times New Roman"/>
          <w:szCs w:val="24"/>
          <w:lang w:val="bs-Latn-BA"/>
        </w:rPr>
        <w:t xml:space="preserve"> </w:t>
      </w:r>
      <w:r>
        <w:rPr>
          <w:rFonts w:ascii="Times New Roman" w:hAnsi="Times New Roman"/>
          <w:szCs w:val="24"/>
          <w:lang w:val="bs-Latn-BA"/>
        </w:rPr>
        <w:t>је</w:t>
      </w:r>
      <w:r w:rsidR="009A65A1" w:rsidRPr="00295637">
        <w:rPr>
          <w:rFonts w:ascii="Times New Roman" w:hAnsi="Times New Roman"/>
          <w:szCs w:val="24"/>
          <w:lang w:val="bs-Latn-BA"/>
        </w:rPr>
        <w:t xml:space="preserve"> </w:t>
      </w:r>
      <w:r>
        <w:rPr>
          <w:rFonts w:ascii="Times New Roman" w:hAnsi="Times New Roman"/>
          <w:szCs w:val="24"/>
          <w:lang w:val="bs-Latn-BA"/>
        </w:rPr>
        <w:t>извршило</w:t>
      </w:r>
      <w:r w:rsidR="009A65A1" w:rsidRPr="00295637">
        <w:rPr>
          <w:rFonts w:ascii="Times New Roman" w:hAnsi="Times New Roman"/>
          <w:szCs w:val="24"/>
          <w:lang w:val="bs-Latn-BA"/>
        </w:rPr>
        <w:t xml:space="preserve"> </w:t>
      </w:r>
      <w:r>
        <w:rPr>
          <w:rFonts w:ascii="Times New Roman" w:hAnsi="Times New Roman"/>
          <w:szCs w:val="24"/>
          <w:lang w:val="bs-Latn-BA"/>
        </w:rPr>
        <w:t>прикупљање</w:t>
      </w:r>
      <w:r w:rsidR="009A65A1" w:rsidRPr="00295637">
        <w:rPr>
          <w:rFonts w:ascii="Times New Roman" w:hAnsi="Times New Roman"/>
          <w:szCs w:val="24"/>
          <w:lang w:val="bs-Latn-BA"/>
        </w:rPr>
        <w:t xml:space="preserve"> </w:t>
      </w:r>
      <w:r>
        <w:rPr>
          <w:rFonts w:ascii="Times New Roman" w:hAnsi="Times New Roman"/>
          <w:szCs w:val="24"/>
          <w:lang w:val="bs-Latn-BA"/>
        </w:rPr>
        <w:t>и</w:t>
      </w:r>
      <w:r w:rsidR="009A65A1" w:rsidRPr="00295637">
        <w:rPr>
          <w:rFonts w:ascii="Times New Roman" w:hAnsi="Times New Roman"/>
          <w:szCs w:val="24"/>
          <w:lang w:val="bs-Latn-BA"/>
        </w:rPr>
        <w:t xml:space="preserve"> </w:t>
      </w:r>
      <w:r>
        <w:rPr>
          <w:rFonts w:ascii="Times New Roman" w:hAnsi="Times New Roman"/>
          <w:szCs w:val="24"/>
          <w:lang w:val="bs-Latn-BA"/>
        </w:rPr>
        <w:t>анализу</w:t>
      </w:r>
      <w:r w:rsidR="009A65A1" w:rsidRPr="00295637">
        <w:rPr>
          <w:rFonts w:ascii="Times New Roman" w:hAnsi="Times New Roman"/>
          <w:szCs w:val="24"/>
          <w:lang w:val="bs-Latn-BA"/>
        </w:rPr>
        <w:t xml:space="preserve"> </w:t>
      </w:r>
      <w:r>
        <w:rPr>
          <w:rFonts w:ascii="Times New Roman" w:hAnsi="Times New Roman"/>
          <w:szCs w:val="24"/>
          <w:lang w:val="bs-Latn-BA"/>
        </w:rPr>
        <w:t>података</w:t>
      </w:r>
      <w:r w:rsidR="009A65A1" w:rsidRPr="00295637">
        <w:rPr>
          <w:rFonts w:ascii="Times New Roman" w:hAnsi="Times New Roman"/>
          <w:szCs w:val="24"/>
          <w:lang w:val="bs-Latn-BA"/>
        </w:rPr>
        <w:t xml:space="preserve"> </w:t>
      </w:r>
      <w:r>
        <w:rPr>
          <w:rFonts w:ascii="Times New Roman" w:hAnsi="Times New Roman"/>
          <w:szCs w:val="24"/>
          <w:lang w:val="bs-Latn-BA"/>
        </w:rPr>
        <w:t>о</w:t>
      </w:r>
      <w:r w:rsidR="009A65A1" w:rsidRPr="00295637">
        <w:rPr>
          <w:rFonts w:ascii="Times New Roman" w:hAnsi="Times New Roman"/>
          <w:szCs w:val="24"/>
          <w:lang w:val="bs-Latn-BA"/>
        </w:rPr>
        <w:t xml:space="preserve"> </w:t>
      </w:r>
      <w:r>
        <w:rPr>
          <w:rFonts w:ascii="Times New Roman" w:hAnsi="Times New Roman"/>
          <w:szCs w:val="24"/>
          <w:lang w:val="bs-Latn-BA"/>
        </w:rPr>
        <w:t>заступљености</w:t>
      </w:r>
      <w:r w:rsidR="009A65A1" w:rsidRPr="00295637">
        <w:rPr>
          <w:rFonts w:ascii="Times New Roman" w:hAnsi="Times New Roman"/>
          <w:szCs w:val="24"/>
          <w:lang w:val="bs-Latn-BA"/>
        </w:rPr>
        <w:t xml:space="preserve"> </w:t>
      </w:r>
      <w:r>
        <w:rPr>
          <w:rFonts w:ascii="Times New Roman" w:hAnsi="Times New Roman"/>
          <w:szCs w:val="24"/>
          <w:lang w:val="bs-Latn-BA"/>
        </w:rPr>
        <w:t>жена</w:t>
      </w:r>
      <w:r w:rsidR="009A65A1" w:rsidRPr="00295637">
        <w:rPr>
          <w:rFonts w:ascii="Times New Roman" w:hAnsi="Times New Roman"/>
          <w:szCs w:val="24"/>
          <w:lang w:val="bs-Latn-BA"/>
        </w:rPr>
        <w:t xml:space="preserve"> </w:t>
      </w:r>
      <w:r>
        <w:rPr>
          <w:rFonts w:ascii="Times New Roman" w:hAnsi="Times New Roman"/>
          <w:szCs w:val="24"/>
          <w:lang w:val="bs-Latn-BA"/>
        </w:rPr>
        <w:t>и</w:t>
      </w:r>
      <w:r w:rsidR="009A65A1" w:rsidRPr="00295637">
        <w:rPr>
          <w:rFonts w:ascii="Times New Roman" w:hAnsi="Times New Roman"/>
          <w:szCs w:val="24"/>
          <w:lang w:val="bs-Latn-BA"/>
        </w:rPr>
        <w:t xml:space="preserve"> </w:t>
      </w:r>
      <w:r>
        <w:rPr>
          <w:rFonts w:ascii="Times New Roman" w:hAnsi="Times New Roman"/>
          <w:szCs w:val="24"/>
          <w:lang w:val="bs-Latn-BA"/>
        </w:rPr>
        <w:t>мушкараца</w:t>
      </w:r>
      <w:r w:rsidR="009A65A1" w:rsidRPr="00295637">
        <w:rPr>
          <w:rFonts w:ascii="Times New Roman" w:hAnsi="Times New Roman"/>
          <w:szCs w:val="24"/>
          <w:lang w:val="bs-Latn-BA"/>
        </w:rPr>
        <w:t xml:space="preserve"> </w:t>
      </w:r>
      <w:r>
        <w:rPr>
          <w:rFonts w:ascii="Times New Roman" w:hAnsi="Times New Roman"/>
          <w:szCs w:val="24"/>
          <w:lang w:val="bs-Latn-BA"/>
        </w:rPr>
        <w:t>у</w:t>
      </w:r>
      <w:r w:rsidR="009A65A1" w:rsidRPr="00295637">
        <w:rPr>
          <w:rFonts w:ascii="Times New Roman" w:hAnsi="Times New Roman"/>
          <w:szCs w:val="24"/>
          <w:lang w:val="bs-Latn-BA"/>
        </w:rPr>
        <w:t xml:space="preserve"> </w:t>
      </w:r>
      <w:r>
        <w:rPr>
          <w:rFonts w:ascii="Times New Roman" w:hAnsi="Times New Roman"/>
          <w:szCs w:val="24"/>
          <w:lang w:val="bs-Latn-BA"/>
        </w:rPr>
        <w:t>кориш</w:t>
      </w:r>
      <w:r w:rsidR="00E654F2">
        <w:rPr>
          <w:rFonts w:ascii="Times New Roman" w:hAnsi="Times New Roman"/>
          <w:szCs w:val="24"/>
          <w:lang w:val="sr-Cyrl-BA"/>
        </w:rPr>
        <w:t>ћ</w:t>
      </w:r>
      <w:r>
        <w:rPr>
          <w:rFonts w:ascii="Times New Roman" w:hAnsi="Times New Roman"/>
          <w:szCs w:val="24"/>
          <w:lang w:val="bs-Latn-BA"/>
        </w:rPr>
        <w:t>ењу</w:t>
      </w:r>
      <w:r w:rsidR="009A65A1" w:rsidRPr="00295637">
        <w:rPr>
          <w:rFonts w:ascii="Times New Roman" w:hAnsi="Times New Roman"/>
          <w:szCs w:val="24"/>
          <w:lang w:val="bs-Latn-BA"/>
        </w:rPr>
        <w:t xml:space="preserve"> </w:t>
      </w:r>
      <w:r>
        <w:rPr>
          <w:rFonts w:ascii="Times New Roman" w:hAnsi="Times New Roman"/>
          <w:szCs w:val="24"/>
          <w:lang w:val="bs-Latn-BA"/>
        </w:rPr>
        <w:t>социјалних</w:t>
      </w:r>
      <w:r w:rsidR="009A65A1" w:rsidRPr="00295637">
        <w:rPr>
          <w:rFonts w:ascii="Times New Roman" w:hAnsi="Times New Roman"/>
          <w:szCs w:val="24"/>
          <w:lang w:val="bs-Latn-BA"/>
        </w:rPr>
        <w:t xml:space="preserve"> </w:t>
      </w:r>
      <w:r>
        <w:rPr>
          <w:rFonts w:ascii="Times New Roman" w:hAnsi="Times New Roman"/>
          <w:szCs w:val="24"/>
          <w:lang w:val="bs-Latn-BA"/>
        </w:rPr>
        <w:t>услуга</w:t>
      </w:r>
      <w:r w:rsidR="009A65A1" w:rsidRPr="00295637">
        <w:rPr>
          <w:rFonts w:ascii="Times New Roman" w:hAnsi="Times New Roman"/>
          <w:szCs w:val="24"/>
          <w:lang w:val="bs-Latn-BA"/>
        </w:rPr>
        <w:t xml:space="preserve"> </w:t>
      </w:r>
      <w:r>
        <w:rPr>
          <w:rFonts w:ascii="Times New Roman" w:hAnsi="Times New Roman"/>
          <w:szCs w:val="24"/>
          <w:lang w:val="bs-Latn-BA"/>
        </w:rPr>
        <w:t>у</w:t>
      </w:r>
      <w:r w:rsidR="009A65A1" w:rsidRPr="00295637">
        <w:rPr>
          <w:rFonts w:ascii="Times New Roman" w:hAnsi="Times New Roman"/>
          <w:szCs w:val="24"/>
          <w:lang w:val="bs-Latn-BA"/>
        </w:rPr>
        <w:t xml:space="preserve"> </w:t>
      </w:r>
      <w:r>
        <w:rPr>
          <w:rFonts w:ascii="Times New Roman" w:hAnsi="Times New Roman"/>
          <w:szCs w:val="24"/>
          <w:lang w:val="bs-Latn-BA"/>
        </w:rPr>
        <w:t>ФБиХ</w:t>
      </w:r>
      <w:r w:rsidR="009A65A1" w:rsidRPr="00295637">
        <w:rPr>
          <w:rFonts w:ascii="Times New Roman" w:hAnsi="Times New Roman"/>
          <w:szCs w:val="24"/>
          <w:lang w:val="bs-Latn-BA"/>
        </w:rPr>
        <w:t xml:space="preserve">. </w:t>
      </w:r>
      <w:r>
        <w:rPr>
          <w:rFonts w:ascii="Times New Roman" w:hAnsi="Times New Roman"/>
          <w:szCs w:val="24"/>
          <w:lang w:val="bs-Latn-BA"/>
        </w:rPr>
        <w:t>Подаци</w:t>
      </w:r>
      <w:r w:rsidR="009A65A1" w:rsidRPr="00295637">
        <w:rPr>
          <w:rFonts w:ascii="Times New Roman" w:hAnsi="Times New Roman"/>
          <w:szCs w:val="24"/>
          <w:lang w:val="bs-Latn-BA"/>
        </w:rPr>
        <w:t xml:space="preserve"> </w:t>
      </w:r>
      <w:r>
        <w:rPr>
          <w:rFonts w:ascii="Times New Roman" w:hAnsi="Times New Roman"/>
          <w:szCs w:val="24"/>
          <w:lang w:val="bs-Latn-BA"/>
        </w:rPr>
        <w:t>су</w:t>
      </w:r>
      <w:r w:rsidR="009A65A1" w:rsidRPr="00295637">
        <w:rPr>
          <w:rFonts w:ascii="Times New Roman" w:hAnsi="Times New Roman"/>
          <w:szCs w:val="24"/>
          <w:lang w:val="bs-Latn-BA"/>
        </w:rPr>
        <w:t xml:space="preserve"> 100% </w:t>
      </w:r>
      <w:r>
        <w:rPr>
          <w:rFonts w:ascii="Times New Roman" w:hAnsi="Times New Roman"/>
          <w:szCs w:val="24"/>
          <w:lang w:val="bs-Latn-BA"/>
        </w:rPr>
        <w:t>ажурирани</w:t>
      </w:r>
      <w:r w:rsidR="009A65A1" w:rsidRPr="00295637">
        <w:rPr>
          <w:rFonts w:ascii="Times New Roman" w:hAnsi="Times New Roman"/>
          <w:szCs w:val="24"/>
          <w:lang w:val="bs-Latn-BA"/>
        </w:rPr>
        <w:t xml:space="preserve">, </w:t>
      </w:r>
      <w:r>
        <w:rPr>
          <w:rFonts w:ascii="Times New Roman" w:hAnsi="Times New Roman"/>
          <w:szCs w:val="24"/>
          <w:lang w:val="bs-Latn-BA"/>
        </w:rPr>
        <w:t>омогућавајући</w:t>
      </w:r>
      <w:r w:rsidR="009A65A1" w:rsidRPr="00295637">
        <w:rPr>
          <w:rFonts w:ascii="Times New Roman" w:hAnsi="Times New Roman"/>
          <w:szCs w:val="24"/>
          <w:lang w:val="bs-Latn-BA"/>
        </w:rPr>
        <w:t xml:space="preserve"> </w:t>
      </w:r>
      <w:r>
        <w:rPr>
          <w:rFonts w:ascii="Times New Roman" w:hAnsi="Times New Roman"/>
          <w:szCs w:val="24"/>
          <w:lang w:val="bs-Latn-BA"/>
        </w:rPr>
        <w:t>прецизан</w:t>
      </w:r>
      <w:r w:rsidR="009A65A1" w:rsidRPr="00295637">
        <w:rPr>
          <w:rFonts w:ascii="Times New Roman" w:hAnsi="Times New Roman"/>
          <w:szCs w:val="24"/>
          <w:lang w:val="bs-Latn-BA"/>
        </w:rPr>
        <w:t xml:space="preserve"> </w:t>
      </w:r>
      <w:r>
        <w:rPr>
          <w:rFonts w:ascii="Times New Roman" w:hAnsi="Times New Roman"/>
          <w:szCs w:val="24"/>
          <w:lang w:val="bs-Latn-BA"/>
        </w:rPr>
        <w:t>увид</w:t>
      </w:r>
      <w:r w:rsidR="009A65A1" w:rsidRPr="00295637">
        <w:rPr>
          <w:rFonts w:ascii="Times New Roman" w:hAnsi="Times New Roman"/>
          <w:szCs w:val="24"/>
          <w:lang w:val="bs-Latn-BA"/>
        </w:rPr>
        <w:t xml:space="preserve"> </w:t>
      </w:r>
      <w:r>
        <w:rPr>
          <w:rFonts w:ascii="Times New Roman" w:hAnsi="Times New Roman"/>
          <w:szCs w:val="24"/>
          <w:lang w:val="bs-Latn-BA"/>
        </w:rPr>
        <w:t>у</w:t>
      </w:r>
      <w:r w:rsidR="009A65A1" w:rsidRPr="00295637">
        <w:rPr>
          <w:rFonts w:ascii="Times New Roman" w:hAnsi="Times New Roman"/>
          <w:szCs w:val="24"/>
          <w:lang w:val="bs-Latn-BA"/>
        </w:rPr>
        <w:t xml:space="preserve"> </w:t>
      </w:r>
      <w:r>
        <w:rPr>
          <w:rFonts w:ascii="Times New Roman" w:hAnsi="Times New Roman"/>
          <w:szCs w:val="24"/>
          <w:lang w:val="bs-Latn-BA"/>
        </w:rPr>
        <w:t>родну</w:t>
      </w:r>
      <w:r w:rsidR="009A65A1" w:rsidRPr="00295637">
        <w:rPr>
          <w:rFonts w:ascii="Times New Roman" w:hAnsi="Times New Roman"/>
          <w:szCs w:val="24"/>
          <w:lang w:val="bs-Latn-BA"/>
        </w:rPr>
        <w:t xml:space="preserve"> </w:t>
      </w:r>
      <w:r>
        <w:rPr>
          <w:rFonts w:ascii="Times New Roman" w:hAnsi="Times New Roman"/>
          <w:szCs w:val="24"/>
          <w:lang w:val="bs-Latn-BA"/>
        </w:rPr>
        <w:t>структуру</w:t>
      </w:r>
      <w:r w:rsidR="009A65A1" w:rsidRPr="00295637">
        <w:rPr>
          <w:rFonts w:ascii="Times New Roman" w:hAnsi="Times New Roman"/>
          <w:szCs w:val="24"/>
          <w:lang w:val="bs-Latn-BA"/>
        </w:rPr>
        <w:t xml:space="preserve"> </w:t>
      </w:r>
      <w:r>
        <w:rPr>
          <w:rFonts w:ascii="Times New Roman" w:hAnsi="Times New Roman"/>
          <w:szCs w:val="24"/>
          <w:lang w:val="bs-Latn-BA"/>
        </w:rPr>
        <w:t>корисника</w:t>
      </w:r>
      <w:r w:rsidR="009A65A1" w:rsidRPr="00295637">
        <w:rPr>
          <w:rFonts w:ascii="Times New Roman" w:hAnsi="Times New Roman"/>
          <w:szCs w:val="24"/>
          <w:lang w:val="bs-Latn-BA"/>
        </w:rPr>
        <w:t xml:space="preserve"> </w:t>
      </w:r>
      <w:r>
        <w:rPr>
          <w:rFonts w:ascii="Times New Roman" w:hAnsi="Times New Roman"/>
          <w:szCs w:val="24"/>
          <w:lang w:val="bs-Latn-BA"/>
        </w:rPr>
        <w:t>социјалних</w:t>
      </w:r>
      <w:r w:rsidR="009A65A1" w:rsidRPr="00295637">
        <w:rPr>
          <w:rFonts w:ascii="Times New Roman" w:hAnsi="Times New Roman"/>
          <w:szCs w:val="24"/>
          <w:lang w:val="bs-Latn-BA"/>
        </w:rPr>
        <w:t xml:space="preserve"> </w:t>
      </w:r>
      <w:r>
        <w:rPr>
          <w:rFonts w:ascii="Times New Roman" w:hAnsi="Times New Roman"/>
          <w:szCs w:val="24"/>
          <w:lang w:val="bs-Latn-BA"/>
        </w:rPr>
        <w:t>права</w:t>
      </w:r>
      <w:r w:rsidR="009A65A1" w:rsidRPr="00295637">
        <w:rPr>
          <w:rFonts w:ascii="Times New Roman" w:hAnsi="Times New Roman"/>
          <w:szCs w:val="24"/>
          <w:lang w:val="bs-Latn-BA"/>
        </w:rPr>
        <w:t xml:space="preserve"> </w:t>
      </w:r>
      <w:r>
        <w:rPr>
          <w:rFonts w:ascii="Times New Roman" w:hAnsi="Times New Roman"/>
          <w:szCs w:val="24"/>
          <w:lang w:val="bs-Latn-BA"/>
        </w:rPr>
        <w:t>и</w:t>
      </w:r>
      <w:r w:rsidR="009A65A1" w:rsidRPr="00295637">
        <w:rPr>
          <w:rFonts w:ascii="Times New Roman" w:hAnsi="Times New Roman"/>
          <w:szCs w:val="24"/>
          <w:lang w:val="bs-Latn-BA"/>
        </w:rPr>
        <w:t xml:space="preserve"> </w:t>
      </w:r>
      <w:r>
        <w:rPr>
          <w:rFonts w:ascii="Times New Roman" w:hAnsi="Times New Roman"/>
          <w:szCs w:val="24"/>
          <w:lang w:val="bs-Latn-BA"/>
        </w:rPr>
        <w:t>мјера</w:t>
      </w:r>
      <w:r w:rsidR="009A65A1" w:rsidRPr="00295637">
        <w:rPr>
          <w:rFonts w:ascii="Times New Roman" w:hAnsi="Times New Roman"/>
          <w:szCs w:val="24"/>
          <w:lang w:val="bs-Latn-BA"/>
        </w:rPr>
        <w:t xml:space="preserve"> </w:t>
      </w:r>
      <w:r>
        <w:rPr>
          <w:rFonts w:ascii="Times New Roman" w:hAnsi="Times New Roman"/>
          <w:szCs w:val="24"/>
          <w:lang w:val="bs-Latn-BA"/>
        </w:rPr>
        <w:t>подршке</w:t>
      </w:r>
      <w:r w:rsidR="009A65A1" w:rsidRPr="00295637">
        <w:rPr>
          <w:rFonts w:ascii="Times New Roman" w:hAnsi="Times New Roman"/>
          <w:szCs w:val="24"/>
          <w:lang w:val="bs-Latn-BA"/>
        </w:rPr>
        <w:t>.</w:t>
      </w:r>
    </w:p>
    <w:p w:rsidR="009A65A1" w:rsidRPr="00295637" w:rsidRDefault="009A65A1" w:rsidP="0086268D">
      <w:pPr>
        <w:jc w:val="both"/>
        <w:rPr>
          <w:rFonts w:ascii="Times New Roman" w:hAnsi="Times New Roman"/>
          <w:lang w:val="bs-Latn-BA"/>
        </w:rPr>
      </w:pPr>
    </w:p>
    <w:p w:rsidR="003D0642" w:rsidRPr="00AB5FB9" w:rsidRDefault="00C6214E" w:rsidP="0086268D">
      <w:pPr>
        <w:pStyle w:val="ListParagraph"/>
        <w:ind w:left="0"/>
        <w:jc w:val="both"/>
        <w:rPr>
          <w:rFonts w:ascii="Times New Roman" w:hAnsi="Times New Roman"/>
        </w:rPr>
      </w:pPr>
      <w:r>
        <w:rPr>
          <w:rFonts w:ascii="Times New Roman" w:hAnsi="Times New Roman"/>
          <w:lang w:val="sr-Latn-BA"/>
        </w:rPr>
        <w:t>Статистички</w:t>
      </w:r>
      <w:r w:rsidR="00736CC6" w:rsidRPr="00295637">
        <w:rPr>
          <w:rFonts w:ascii="Times New Roman" w:hAnsi="Times New Roman"/>
          <w:lang w:val="sr-Latn-BA"/>
        </w:rPr>
        <w:t xml:space="preserve"> </w:t>
      </w:r>
      <w:r>
        <w:rPr>
          <w:rFonts w:ascii="Times New Roman" w:hAnsi="Times New Roman"/>
          <w:lang w:val="sr-Latn-BA"/>
        </w:rPr>
        <w:t>билтени</w:t>
      </w:r>
      <w:r w:rsidR="00736CC6" w:rsidRPr="00295637">
        <w:rPr>
          <w:rFonts w:ascii="Times New Roman" w:hAnsi="Times New Roman"/>
          <w:lang w:val="sr-Latn-BA"/>
        </w:rPr>
        <w:t xml:space="preserve"> </w:t>
      </w:r>
      <w:r w:rsidR="00A1678D">
        <w:rPr>
          <w:rFonts w:ascii="Times New Roman" w:hAnsi="Times New Roman"/>
          <w:lang w:val="sr-Latn-BA"/>
        </w:rPr>
        <w:t>„</w:t>
      </w:r>
      <w:r>
        <w:rPr>
          <w:rFonts w:ascii="Times New Roman" w:hAnsi="Times New Roman"/>
          <w:lang w:val="sr-Latn-BA"/>
        </w:rPr>
        <w:t>Жене</w:t>
      </w:r>
      <w:r w:rsidR="00A1678D">
        <w:rPr>
          <w:rFonts w:ascii="Times New Roman" w:hAnsi="Times New Roman"/>
          <w:lang w:val="sr-Latn-BA"/>
        </w:rPr>
        <w:t xml:space="preserve"> </w:t>
      </w:r>
      <w:r>
        <w:rPr>
          <w:rFonts w:ascii="Times New Roman" w:hAnsi="Times New Roman"/>
          <w:lang w:val="sr-Latn-BA"/>
        </w:rPr>
        <w:t>и</w:t>
      </w:r>
      <w:r w:rsidR="00A1678D">
        <w:rPr>
          <w:rFonts w:ascii="Times New Roman" w:hAnsi="Times New Roman"/>
          <w:lang w:val="sr-Latn-BA"/>
        </w:rPr>
        <w:t xml:space="preserve"> </w:t>
      </w:r>
      <w:r>
        <w:rPr>
          <w:rFonts w:ascii="Times New Roman" w:hAnsi="Times New Roman"/>
          <w:lang w:val="sr-Latn-BA"/>
        </w:rPr>
        <w:t>мушкарци</w:t>
      </w:r>
      <w:r w:rsidR="00A1678D">
        <w:rPr>
          <w:rFonts w:ascii="Times New Roman" w:hAnsi="Times New Roman"/>
          <w:lang w:val="sr-Latn-BA"/>
        </w:rPr>
        <w:t xml:space="preserve"> </w:t>
      </w:r>
      <w:r>
        <w:rPr>
          <w:rFonts w:ascii="Times New Roman" w:hAnsi="Times New Roman"/>
          <w:lang w:val="sr-Latn-BA"/>
        </w:rPr>
        <w:t>у</w:t>
      </w:r>
      <w:r w:rsidR="00A1678D">
        <w:rPr>
          <w:rFonts w:ascii="Times New Roman" w:hAnsi="Times New Roman"/>
          <w:lang w:val="sr-Latn-BA"/>
        </w:rPr>
        <w:t xml:space="preserve"> </w:t>
      </w:r>
      <w:r>
        <w:rPr>
          <w:rFonts w:ascii="Times New Roman" w:hAnsi="Times New Roman"/>
          <w:lang w:val="sr-Latn-BA"/>
        </w:rPr>
        <w:t>Босни</w:t>
      </w:r>
      <w:r w:rsidR="00A1678D">
        <w:rPr>
          <w:rFonts w:ascii="Times New Roman" w:hAnsi="Times New Roman"/>
          <w:lang w:val="sr-Latn-BA"/>
        </w:rPr>
        <w:t xml:space="preserve"> </w:t>
      </w:r>
      <w:r>
        <w:rPr>
          <w:rFonts w:ascii="Times New Roman" w:hAnsi="Times New Roman"/>
          <w:lang w:val="sr-Latn-BA"/>
        </w:rPr>
        <w:t>и</w:t>
      </w:r>
      <w:r w:rsidR="00A1678D">
        <w:rPr>
          <w:rFonts w:ascii="Times New Roman" w:hAnsi="Times New Roman"/>
          <w:lang w:val="sr-Latn-BA"/>
        </w:rPr>
        <w:t xml:space="preserve"> </w:t>
      </w:r>
      <w:r>
        <w:rPr>
          <w:rFonts w:ascii="Times New Roman" w:hAnsi="Times New Roman"/>
          <w:lang w:val="sr-Latn-BA"/>
        </w:rPr>
        <w:t>Херцеговини</w:t>
      </w:r>
      <w:r w:rsidR="00A1678D">
        <w:rPr>
          <w:rFonts w:ascii="Times New Roman" w:hAnsi="Times New Roman"/>
          <w:lang w:val="sr-Latn-BA"/>
        </w:rPr>
        <w:t xml:space="preserve">“, </w:t>
      </w:r>
      <w:r w:rsidR="00736CC6" w:rsidRPr="00295637">
        <w:rPr>
          <w:rFonts w:ascii="Times New Roman" w:hAnsi="Times New Roman"/>
          <w:lang w:val="sr-Latn-BA"/>
        </w:rPr>
        <w:t>„</w:t>
      </w:r>
      <w:r>
        <w:rPr>
          <w:rFonts w:ascii="Times New Roman" w:hAnsi="Times New Roman"/>
          <w:lang w:val="sr-Latn-BA"/>
        </w:rPr>
        <w:t>Жене</w:t>
      </w:r>
      <w:r w:rsidR="00736CC6" w:rsidRPr="00295637">
        <w:rPr>
          <w:rFonts w:ascii="Times New Roman" w:hAnsi="Times New Roman"/>
          <w:lang w:val="sr-Latn-BA"/>
        </w:rPr>
        <w:t xml:space="preserve"> </w:t>
      </w:r>
      <w:r>
        <w:rPr>
          <w:rFonts w:ascii="Times New Roman" w:hAnsi="Times New Roman"/>
          <w:lang w:val="sr-Latn-BA"/>
        </w:rPr>
        <w:t>и</w:t>
      </w:r>
      <w:r w:rsidR="00736CC6" w:rsidRPr="00295637">
        <w:rPr>
          <w:rFonts w:ascii="Times New Roman" w:hAnsi="Times New Roman"/>
          <w:lang w:val="sr-Latn-BA"/>
        </w:rPr>
        <w:t xml:space="preserve"> </w:t>
      </w:r>
      <w:r>
        <w:rPr>
          <w:rFonts w:ascii="Times New Roman" w:hAnsi="Times New Roman"/>
          <w:lang w:val="sr-Latn-BA"/>
        </w:rPr>
        <w:t>мушкарци</w:t>
      </w:r>
      <w:r w:rsidR="00736CC6" w:rsidRPr="00295637">
        <w:rPr>
          <w:rFonts w:ascii="Times New Roman" w:hAnsi="Times New Roman"/>
          <w:lang w:val="sr-Latn-BA"/>
        </w:rPr>
        <w:t xml:space="preserve"> </w:t>
      </w:r>
      <w:r>
        <w:rPr>
          <w:rFonts w:ascii="Times New Roman" w:hAnsi="Times New Roman"/>
          <w:lang w:val="sr-Latn-BA"/>
        </w:rPr>
        <w:t>у</w:t>
      </w:r>
      <w:r w:rsidR="00736CC6" w:rsidRPr="00295637">
        <w:rPr>
          <w:rFonts w:ascii="Times New Roman" w:hAnsi="Times New Roman"/>
          <w:lang w:val="sr-Latn-BA"/>
        </w:rPr>
        <w:t xml:space="preserve"> </w:t>
      </w:r>
      <w:r>
        <w:rPr>
          <w:rFonts w:ascii="Times New Roman" w:hAnsi="Times New Roman"/>
          <w:lang w:val="sr-Latn-BA"/>
        </w:rPr>
        <w:t>Републици</w:t>
      </w:r>
      <w:r w:rsidR="00736CC6" w:rsidRPr="00295637">
        <w:rPr>
          <w:rFonts w:ascii="Times New Roman" w:hAnsi="Times New Roman"/>
          <w:lang w:val="sr-Latn-BA"/>
        </w:rPr>
        <w:t xml:space="preserve"> </w:t>
      </w:r>
      <w:r>
        <w:rPr>
          <w:rFonts w:ascii="Times New Roman" w:hAnsi="Times New Roman"/>
          <w:lang w:val="sr-Latn-BA"/>
        </w:rPr>
        <w:t>Српској</w:t>
      </w:r>
      <w:r w:rsidR="00A1678D" w:rsidRPr="00295637">
        <w:rPr>
          <w:rFonts w:ascii="Times New Roman" w:hAnsi="Times New Roman"/>
          <w:lang w:val="sr-Latn-BA"/>
        </w:rPr>
        <w:t>“</w:t>
      </w:r>
      <w:r w:rsidR="00A1678D">
        <w:rPr>
          <w:rFonts w:ascii="Times New Roman" w:hAnsi="Times New Roman"/>
          <w:lang w:val="sr-Latn-BA"/>
        </w:rPr>
        <w:t xml:space="preserve"> </w:t>
      </w:r>
      <w:r>
        <w:rPr>
          <w:rFonts w:ascii="Times New Roman" w:hAnsi="Times New Roman"/>
          <w:lang w:val="sr-Latn-BA"/>
        </w:rPr>
        <w:t>и</w:t>
      </w:r>
      <w:r w:rsidR="00A1678D">
        <w:rPr>
          <w:rFonts w:ascii="Times New Roman" w:hAnsi="Times New Roman"/>
          <w:lang w:val="sr-Latn-BA"/>
        </w:rPr>
        <w:t xml:space="preserve"> „</w:t>
      </w:r>
      <w:r>
        <w:rPr>
          <w:rFonts w:ascii="Times New Roman" w:hAnsi="Times New Roman"/>
          <w:lang w:val="sr-Latn-BA"/>
        </w:rPr>
        <w:t>Жене</w:t>
      </w:r>
      <w:r w:rsidR="00A1678D">
        <w:rPr>
          <w:rFonts w:ascii="Times New Roman" w:hAnsi="Times New Roman"/>
          <w:lang w:val="sr-Latn-BA"/>
        </w:rPr>
        <w:t xml:space="preserve"> </w:t>
      </w:r>
      <w:r>
        <w:rPr>
          <w:rFonts w:ascii="Times New Roman" w:hAnsi="Times New Roman"/>
          <w:lang w:val="sr-Latn-BA"/>
        </w:rPr>
        <w:t>и</w:t>
      </w:r>
      <w:r w:rsidR="00A1678D">
        <w:rPr>
          <w:rFonts w:ascii="Times New Roman" w:hAnsi="Times New Roman"/>
          <w:lang w:val="sr-Latn-BA"/>
        </w:rPr>
        <w:t xml:space="preserve"> </w:t>
      </w:r>
      <w:r>
        <w:rPr>
          <w:rFonts w:ascii="Times New Roman" w:hAnsi="Times New Roman"/>
          <w:lang w:val="sr-Latn-BA"/>
        </w:rPr>
        <w:t>мушкарци</w:t>
      </w:r>
      <w:r w:rsidR="00A1678D">
        <w:rPr>
          <w:rFonts w:ascii="Times New Roman" w:hAnsi="Times New Roman"/>
          <w:lang w:val="sr-Latn-BA"/>
        </w:rPr>
        <w:t xml:space="preserve"> </w:t>
      </w:r>
      <w:r>
        <w:rPr>
          <w:rFonts w:ascii="Times New Roman" w:hAnsi="Times New Roman"/>
          <w:lang w:val="sr-Latn-BA"/>
        </w:rPr>
        <w:t>у</w:t>
      </w:r>
      <w:r w:rsidR="00A1678D">
        <w:rPr>
          <w:rFonts w:ascii="Times New Roman" w:hAnsi="Times New Roman"/>
          <w:lang w:val="sr-Latn-BA"/>
        </w:rPr>
        <w:t xml:space="preserve"> </w:t>
      </w:r>
      <w:r>
        <w:rPr>
          <w:rFonts w:ascii="Times New Roman" w:hAnsi="Times New Roman"/>
          <w:lang w:val="sr-Latn-BA"/>
        </w:rPr>
        <w:t>Федерацији</w:t>
      </w:r>
      <w:r w:rsidR="00A1678D">
        <w:rPr>
          <w:rFonts w:ascii="Times New Roman" w:hAnsi="Times New Roman"/>
          <w:lang w:val="sr-Latn-BA"/>
        </w:rPr>
        <w:t xml:space="preserve"> </w:t>
      </w:r>
      <w:r>
        <w:rPr>
          <w:rFonts w:ascii="Times New Roman" w:hAnsi="Times New Roman"/>
          <w:lang w:val="sr-Latn-BA"/>
        </w:rPr>
        <w:t>Босне</w:t>
      </w:r>
      <w:r w:rsidR="00A1678D">
        <w:rPr>
          <w:rFonts w:ascii="Times New Roman" w:hAnsi="Times New Roman"/>
          <w:lang w:val="sr-Latn-BA"/>
        </w:rPr>
        <w:t xml:space="preserve"> </w:t>
      </w:r>
      <w:r>
        <w:rPr>
          <w:rFonts w:ascii="Times New Roman" w:hAnsi="Times New Roman"/>
          <w:lang w:val="sr-Latn-BA"/>
        </w:rPr>
        <w:t>и</w:t>
      </w:r>
      <w:r w:rsidR="00A1678D">
        <w:rPr>
          <w:rFonts w:ascii="Times New Roman" w:hAnsi="Times New Roman"/>
          <w:lang w:val="sr-Latn-BA"/>
        </w:rPr>
        <w:t xml:space="preserve"> </w:t>
      </w:r>
      <w:r>
        <w:rPr>
          <w:rFonts w:ascii="Times New Roman" w:hAnsi="Times New Roman"/>
          <w:lang w:val="sr-Latn-BA"/>
        </w:rPr>
        <w:t>Херцеговине</w:t>
      </w:r>
      <w:r w:rsidR="00A1678D">
        <w:rPr>
          <w:rFonts w:ascii="Times New Roman" w:hAnsi="Times New Roman"/>
          <w:lang w:val="sr-Latn-BA"/>
        </w:rPr>
        <w:t>“</w:t>
      </w:r>
      <w:r w:rsidR="00A1678D" w:rsidRPr="00295637">
        <w:rPr>
          <w:rFonts w:ascii="Times New Roman" w:hAnsi="Times New Roman"/>
          <w:lang w:val="sr-Latn-BA"/>
        </w:rPr>
        <w:t xml:space="preserve"> </w:t>
      </w:r>
      <w:r>
        <w:rPr>
          <w:rFonts w:ascii="Times New Roman" w:hAnsi="Times New Roman"/>
          <w:lang w:val="sr-Latn-BA"/>
        </w:rPr>
        <w:t>у</w:t>
      </w:r>
      <w:r w:rsidR="00736CC6" w:rsidRPr="00295637">
        <w:rPr>
          <w:rFonts w:ascii="Times New Roman" w:hAnsi="Times New Roman"/>
          <w:lang w:val="sr-Latn-BA"/>
        </w:rPr>
        <w:t xml:space="preserve"> </w:t>
      </w:r>
      <w:r>
        <w:rPr>
          <w:rFonts w:ascii="Times New Roman" w:hAnsi="Times New Roman"/>
          <w:lang w:val="sr-Latn-BA"/>
        </w:rPr>
        <w:t>поглављу</w:t>
      </w:r>
      <w:r w:rsidR="00736CC6" w:rsidRPr="00295637">
        <w:rPr>
          <w:rFonts w:ascii="Times New Roman" w:hAnsi="Times New Roman"/>
          <w:lang w:val="sr-Latn-BA"/>
        </w:rPr>
        <w:t xml:space="preserve"> „</w:t>
      </w:r>
      <w:r>
        <w:rPr>
          <w:rFonts w:ascii="Times New Roman" w:hAnsi="Times New Roman"/>
          <w:lang w:val="sr-Latn-BA"/>
        </w:rPr>
        <w:t>Социјална</w:t>
      </w:r>
      <w:r w:rsidR="00736CC6" w:rsidRPr="00295637">
        <w:rPr>
          <w:rFonts w:ascii="Times New Roman" w:hAnsi="Times New Roman"/>
          <w:lang w:val="sr-Latn-BA"/>
        </w:rPr>
        <w:t xml:space="preserve"> </w:t>
      </w:r>
      <w:r>
        <w:rPr>
          <w:rFonts w:ascii="Times New Roman" w:hAnsi="Times New Roman"/>
          <w:lang w:val="sr-Latn-BA"/>
        </w:rPr>
        <w:t>заштита</w:t>
      </w:r>
      <w:r w:rsidR="00736CC6" w:rsidRPr="00295637">
        <w:rPr>
          <w:rFonts w:ascii="Times New Roman" w:hAnsi="Times New Roman"/>
          <w:lang w:val="sr-Latn-BA"/>
        </w:rPr>
        <w:t xml:space="preserve">“ </w:t>
      </w:r>
      <w:r>
        <w:rPr>
          <w:rFonts w:ascii="Times New Roman" w:hAnsi="Times New Roman"/>
          <w:lang w:val="sr-Latn-BA"/>
        </w:rPr>
        <w:t>сваке</w:t>
      </w:r>
      <w:r w:rsidR="00736CC6" w:rsidRPr="00295637">
        <w:rPr>
          <w:rFonts w:ascii="Times New Roman" w:hAnsi="Times New Roman"/>
          <w:lang w:val="sr-Latn-BA"/>
        </w:rPr>
        <w:t xml:space="preserve"> </w:t>
      </w:r>
      <w:r>
        <w:rPr>
          <w:rFonts w:ascii="Times New Roman" w:hAnsi="Times New Roman"/>
          <w:lang w:val="sr-Latn-BA"/>
        </w:rPr>
        <w:t>двије</w:t>
      </w:r>
      <w:r w:rsidR="00736CC6" w:rsidRPr="00295637">
        <w:rPr>
          <w:rFonts w:ascii="Times New Roman" w:hAnsi="Times New Roman"/>
          <w:lang w:val="sr-Latn-BA"/>
        </w:rPr>
        <w:t xml:space="preserve"> </w:t>
      </w:r>
      <w:r>
        <w:rPr>
          <w:rFonts w:ascii="Times New Roman" w:hAnsi="Times New Roman"/>
          <w:lang w:val="sr-Latn-BA"/>
        </w:rPr>
        <w:t>године</w:t>
      </w:r>
      <w:r w:rsidR="00736CC6" w:rsidRPr="00295637">
        <w:rPr>
          <w:rFonts w:ascii="Times New Roman" w:hAnsi="Times New Roman"/>
          <w:lang w:val="sr-Latn-BA"/>
        </w:rPr>
        <w:t xml:space="preserve"> </w:t>
      </w:r>
      <w:r>
        <w:rPr>
          <w:rFonts w:ascii="Times New Roman" w:hAnsi="Times New Roman"/>
          <w:lang w:val="sr-Latn-BA"/>
        </w:rPr>
        <w:t>публи</w:t>
      </w:r>
      <w:r w:rsidR="00E654F2">
        <w:rPr>
          <w:rFonts w:ascii="Times New Roman" w:hAnsi="Times New Roman"/>
          <w:lang w:val="sr-Cyrl-BA"/>
        </w:rPr>
        <w:t>кују</w:t>
      </w:r>
      <w:r w:rsidR="00A1678D">
        <w:rPr>
          <w:rFonts w:ascii="Times New Roman" w:hAnsi="Times New Roman"/>
          <w:lang w:val="sr-Latn-BA"/>
        </w:rPr>
        <w:t xml:space="preserve"> </w:t>
      </w:r>
      <w:r>
        <w:rPr>
          <w:rFonts w:ascii="Times New Roman" w:hAnsi="Times New Roman"/>
          <w:lang w:val="sr-Latn-BA"/>
        </w:rPr>
        <w:t>релевантне</w:t>
      </w:r>
      <w:r w:rsidR="00A1678D">
        <w:rPr>
          <w:rFonts w:ascii="Times New Roman" w:hAnsi="Times New Roman"/>
          <w:lang w:val="sr-Latn-BA"/>
        </w:rPr>
        <w:t xml:space="preserve"> </w:t>
      </w:r>
      <w:r>
        <w:rPr>
          <w:rFonts w:ascii="Times New Roman" w:hAnsi="Times New Roman"/>
          <w:lang w:val="sr-Latn-BA"/>
        </w:rPr>
        <w:t>статистичке</w:t>
      </w:r>
      <w:r w:rsidR="00A1678D">
        <w:rPr>
          <w:rFonts w:ascii="Times New Roman" w:hAnsi="Times New Roman"/>
          <w:lang w:val="sr-Latn-BA"/>
        </w:rPr>
        <w:t xml:space="preserve"> </w:t>
      </w:r>
      <w:r>
        <w:rPr>
          <w:rFonts w:ascii="Times New Roman" w:hAnsi="Times New Roman"/>
          <w:lang w:val="sr-Latn-BA"/>
        </w:rPr>
        <w:t>показатеље</w:t>
      </w:r>
      <w:r w:rsidR="00A1678D">
        <w:rPr>
          <w:rFonts w:ascii="Times New Roman" w:hAnsi="Times New Roman"/>
          <w:lang w:val="sr-Latn-BA"/>
        </w:rPr>
        <w:t xml:space="preserve"> </w:t>
      </w:r>
      <w:r>
        <w:rPr>
          <w:rFonts w:ascii="Times New Roman" w:hAnsi="Times New Roman"/>
          <w:lang w:val="sr-Latn-BA"/>
        </w:rPr>
        <w:t>разврстане</w:t>
      </w:r>
      <w:r w:rsidR="000D02B0">
        <w:rPr>
          <w:rFonts w:ascii="Times New Roman" w:hAnsi="Times New Roman"/>
          <w:lang w:val="sr-Latn-BA"/>
        </w:rPr>
        <w:t xml:space="preserve"> </w:t>
      </w:r>
      <w:r>
        <w:rPr>
          <w:rFonts w:ascii="Times New Roman" w:hAnsi="Times New Roman"/>
          <w:lang w:val="sr-Latn-BA"/>
        </w:rPr>
        <w:t>по</w:t>
      </w:r>
      <w:r w:rsidR="000D02B0">
        <w:rPr>
          <w:rFonts w:ascii="Times New Roman" w:hAnsi="Times New Roman"/>
          <w:lang w:val="sr-Latn-BA"/>
        </w:rPr>
        <w:t xml:space="preserve"> </w:t>
      </w:r>
      <w:r>
        <w:rPr>
          <w:rFonts w:ascii="Times New Roman" w:hAnsi="Times New Roman"/>
          <w:lang w:val="sr-Latn-BA"/>
        </w:rPr>
        <w:t>полу</w:t>
      </w:r>
      <w:r w:rsidR="000D02B0">
        <w:rPr>
          <w:rFonts w:ascii="Times New Roman" w:hAnsi="Times New Roman"/>
          <w:lang w:val="sr-Latn-BA"/>
        </w:rPr>
        <w:t xml:space="preserve">, </w:t>
      </w:r>
      <w:r>
        <w:rPr>
          <w:rFonts w:ascii="Times New Roman" w:hAnsi="Times New Roman"/>
          <w:lang w:val="sr-Latn-BA"/>
        </w:rPr>
        <w:t>поред</w:t>
      </w:r>
      <w:r w:rsidR="000D02B0">
        <w:rPr>
          <w:rFonts w:ascii="Times New Roman" w:hAnsi="Times New Roman"/>
          <w:lang w:val="sr-Latn-BA"/>
        </w:rPr>
        <w:t xml:space="preserve"> </w:t>
      </w:r>
      <w:r>
        <w:rPr>
          <w:rFonts w:ascii="Times New Roman" w:hAnsi="Times New Roman"/>
          <w:lang w:val="sr-Latn-BA"/>
        </w:rPr>
        <w:t>осталог</w:t>
      </w:r>
      <w:r w:rsidR="00736CC6" w:rsidRPr="00295637">
        <w:rPr>
          <w:rFonts w:ascii="Times New Roman" w:hAnsi="Times New Roman"/>
          <w:lang w:val="sr-Latn-BA"/>
        </w:rPr>
        <w:t>:</w:t>
      </w:r>
      <w:r w:rsidR="00CE593C" w:rsidRPr="00295637">
        <w:rPr>
          <w:rFonts w:ascii="Times New Roman" w:hAnsi="Times New Roman"/>
          <w:lang w:val="sr-Latn-BA"/>
        </w:rPr>
        <w:t xml:space="preserve"> </w:t>
      </w:r>
      <w:r>
        <w:rPr>
          <w:rFonts w:ascii="Times New Roman" w:hAnsi="Times New Roman"/>
        </w:rPr>
        <w:t>малољетни</w:t>
      </w:r>
      <w:r w:rsidR="00736CC6" w:rsidRPr="00295637">
        <w:rPr>
          <w:rFonts w:ascii="Times New Roman" w:hAnsi="Times New Roman"/>
        </w:rPr>
        <w:t xml:space="preserve"> </w:t>
      </w:r>
      <w:r>
        <w:rPr>
          <w:rFonts w:ascii="Times New Roman" w:hAnsi="Times New Roman"/>
        </w:rPr>
        <w:t>корисници</w:t>
      </w:r>
      <w:r w:rsidR="00736CC6" w:rsidRPr="00295637">
        <w:rPr>
          <w:rFonts w:ascii="Times New Roman" w:hAnsi="Times New Roman"/>
        </w:rPr>
        <w:t xml:space="preserve"> </w:t>
      </w:r>
      <w:r>
        <w:rPr>
          <w:rFonts w:ascii="Times New Roman" w:hAnsi="Times New Roman"/>
        </w:rPr>
        <w:t>социјалне</w:t>
      </w:r>
      <w:r w:rsidR="00736CC6" w:rsidRPr="00295637">
        <w:rPr>
          <w:rFonts w:ascii="Times New Roman" w:hAnsi="Times New Roman"/>
        </w:rPr>
        <w:t xml:space="preserve"> </w:t>
      </w:r>
      <w:r>
        <w:rPr>
          <w:rFonts w:ascii="Times New Roman" w:hAnsi="Times New Roman"/>
        </w:rPr>
        <w:t>заштите</w:t>
      </w:r>
      <w:r w:rsidR="00736CC6" w:rsidRPr="00295637">
        <w:rPr>
          <w:rFonts w:ascii="Times New Roman" w:hAnsi="Times New Roman"/>
        </w:rPr>
        <w:t xml:space="preserve"> </w:t>
      </w:r>
      <w:r>
        <w:rPr>
          <w:rFonts w:ascii="Times New Roman" w:hAnsi="Times New Roman"/>
        </w:rPr>
        <w:t>према</w:t>
      </w:r>
      <w:r w:rsidR="00736CC6" w:rsidRPr="00295637">
        <w:rPr>
          <w:rFonts w:ascii="Times New Roman" w:hAnsi="Times New Roman"/>
        </w:rPr>
        <w:t xml:space="preserve"> </w:t>
      </w:r>
      <w:r>
        <w:rPr>
          <w:rFonts w:ascii="Times New Roman" w:hAnsi="Times New Roman"/>
        </w:rPr>
        <w:t>старости</w:t>
      </w:r>
      <w:r w:rsidR="00736CC6" w:rsidRPr="00295637">
        <w:rPr>
          <w:rFonts w:ascii="Times New Roman" w:hAnsi="Times New Roman"/>
          <w:lang w:val="sr-Latn-BA"/>
        </w:rPr>
        <w:t>,</w:t>
      </w:r>
      <w:r w:rsidR="00CE593C" w:rsidRPr="00295637">
        <w:rPr>
          <w:rFonts w:ascii="Times New Roman" w:hAnsi="Times New Roman"/>
          <w:lang w:val="sr-Latn-BA"/>
        </w:rPr>
        <w:t xml:space="preserve"> </w:t>
      </w:r>
      <w:r>
        <w:rPr>
          <w:rFonts w:ascii="Times New Roman" w:hAnsi="Times New Roman"/>
        </w:rPr>
        <w:t>пунољетни</w:t>
      </w:r>
      <w:r w:rsidR="00736CC6" w:rsidRPr="00295637">
        <w:rPr>
          <w:rFonts w:ascii="Times New Roman" w:hAnsi="Times New Roman"/>
        </w:rPr>
        <w:t xml:space="preserve"> </w:t>
      </w:r>
      <w:r>
        <w:rPr>
          <w:rFonts w:ascii="Times New Roman" w:hAnsi="Times New Roman"/>
        </w:rPr>
        <w:t>корисници</w:t>
      </w:r>
      <w:r w:rsidR="00736CC6" w:rsidRPr="00295637">
        <w:rPr>
          <w:rFonts w:ascii="Times New Roman" w:hAnsi="Times New Roman"/>
        </w:rPr>
        <w:t xml:space="preserve"> </w:t>
      </w:r>
      <w:r>
        <w:rPr>
          <w:rFonts w:ascii="Times New Roman" w:hAnsi="Times New Roman"/>
        </w:rPr>
        <w:t>социјалне</w:t>
      </w:r>
      <w:r w:rsidR="00736CC6" w:rsidRPr="00295637">
        <w:rPr>
          <w:rFonts w:ascii="Times New Roman" w:hAnsi="Times New Roman"/>
        </w:rPr>
        <w:t xml:space="preserve"> </w:t>
      </w:r>
      <w:r>
        <w:rPr>
          <w:rFonts w:ascii="Times New Roman" w:hAnsi="Times New Roman"/>
        </w:rPr>
        <w:t>заштите</w:t>
      </w:r>
      <w:r w:rsidR="00736CC6" w:rsidRPr="00295637">
        <w:rPr>
          <w:rFonts w:ascii="Times New Roman" w:hAnsi="Times New Roman"/>
        </w:rPr>
        <w:t xml:space="preserve"> </w:t>
      </w:r>
      <w:r>
        <w:rPr>
          <w:rFonts w:ascii="Times New Roman" w:hAnsi="Times New Roman"/>
        </w:rPr>
        <w:t>према</w:t>
      </w:r>
      <w:r w:rsidR="00736CC6" w:rsidRPr="00295637">
        <w:rPr>
          <w:rFonts w:ascii="Times New Roman" w:hAnsi="Times New Roman"/>
        </w:rPr>
        <w:t xml:space="preserve"> </w:t>
      </w:r>
      <w:r>
        <w:rPr>
          <w:rFonts w:ascii="Times New Roman" w:hAnsi="Times New Roman"/>
        </w:rPr>
        <w:t>старости</w:t>
      </w:r>
      <w:r w:rsidR="00736CC6" w:rsidRPr="00295637">
        <w:rPr>
          <w:rFonts w:ascii="Times New Roman" w:hAnsi="Times New Roman"/>
          <w:lang w:val="sr-Latn-BA"/>
        </w:rPr>
        <w:t>,</w:t>
      </w:r>
      <w:r w:rsidR="00CE593C" w:rsidRPr="00295637">
        <w:rPr>
          <w:rFonts w:ascii="Times New Roman" w:hAnsi="Times New Roman"/>
          <w:lang w:val="sr-Latn-BA"/>
        </w:rPr>
        <w:t xml:space="preserve"> </w:t>
      </w:r>
      <w:r>
        <w:rPr>
          <w:rFonts w:ascii="Times New Roman" w:hAnsi="Times New Roman"/>
        </w:rPr>
        <w:t>корисници</w:t>
      </w:r>
      <w:r w:rsidR="00736CC6" w:rsidRPr="00295637">
        <w:rPr>
          <w:rFonts w:ascii="Times New Roman" w:hAnsi="Times New Roman"/>
        </w:rPr>
        <w:t xml:space="preserve"> </w:t>
      </w:r>
      <w:r>
        <w:rPr>
          <w:rFonts w:ascii="Times New Roman" w:hAnsi="Times New Roman"/>
        </w:rPr>
        <w:t>субвенциони</w:t>
      </w:r>
      <w:r w:rsidR="00E654F2">
        <w:rPr>
          <w:rFonts w:ascii="Times New Roman" w:hAnsi="Times New Roman"/>
          <w:lang w:val="sr-Cyrl-BA"/>
        </w:rPr>
        <w:t>с</w:t>
      </w:r>
      <w:r>
        <w:rPr>
          <w:rFonts w:ascii="Times New Roman" w:hAnsi="Times New Roman"/>
        </w:rPr>
        <w:t>аних</w:t>
      </w:r>
      <w:r w:rsidR="00736CC6" w:rsidRPr="00295637">
        <w:rPr>
          <w:rFonts w:ascii="Times New Roman" w:hAnsi="Times New Roman"/>
        </w:rPr>
        <w:t xml:space="preserve"> </w:t>
      </w:r>
      <w:r>
        <w:rPr>
          <w:rFonts w:ascii="Times New Roman" w:hAnsi="Times New Roman"/>
        </w:rPr>
        <w:t>трошкова</w:t>
      </w:r>
      <w:r w:rsidR="00736CC6" w:rsidRPr="00295637">
        <w:rPr>
          <w:rFonts w:ascii="Times New Roman" w:hAnsi="Times New Roman"/>
          <w:lang w:val="sr-Latn-BA"/>
        </w:rPr>
        <w:t>,</w:t>
      </w:r>
      <w:r w:rsidR="00CE593C" w:rsidRPr="00295637">
        <w:rPr>
          <w:rFonts w:ascii="Times New Roman" w:hAnsi="Times New Roman"/>
          <w:lang w:val="sr-Latn-BA"/>
        </w:rPr>
        <w:t xml:space="preserve"> </w:t>
      </w:r>
      <w:r>
        <w:rPr>
          <w:rFonts w:ascii="Times New Roman" w:hAnsi="Times New Roman"/>
        </w:rPr>
        <w:t>стара</w:t>
      </w:r>
      <w:r w:rsidR="00736CC6" w:rsidRPr="00295637">
        <w:rPr>
          <w:rFonts w:ascii="Times New Roman" w:hAnsi="Times New Roman"/>
        </w:rPr>
        <w:t xml:space="preserve"> </w:t>
      </w:r>
      <w:r>
        <w:rPr>
          <w:rFonts w:ascii="Times New Roman" w:hAnsi="Times New Roman"/>
        </w:rPr>
        <w:t>лица</w:t>
      </w:r>
      <w:r w:rsidR="00736CC6" w:rsidRPr="00295637">
        <w:rPr>
          <w:rFonts w:ascii="Times New Roman" w:hAnsi="Times New Roman"/>
        </w:rPr>
        <w:t xml:space="preserve"> </w:t>
      </w:r>
      <w:r>
        <w:rPr>
          <w:rFonts w:ascii="Times New Roman" w:hAnsi="Times New Roman"/>
        </w:rPr>
        <w:t>без</w:t>
      </w:r>
      <w:r w:rsidR="00736CC6" w:rsidRPr="00295637">
        <w:rPr>
          <w:rFonts w:ascii="Times New Roman" w:hAnsi="Times New Roman"/>
        </w:rPr>
        <w:t xml:space="preserve"> </w:t>
      </w:r>
      <w:r>
        <w:rPr>
          <w:rFonts w:ascii="Times New Roman" w:hAnsi="Times New Roman"/>
        </w:rPr>
        <w:t>породичног</w:t>
      </w:r>
      <w:r w:rsidR="00736CC6" w:rsidRPr="00295637">
        <w:rPr>
          <w:rFonts w:ascii="Times New Roman" w:hAnsi="Times New Roman"/>
        </w:rPr>
        <w:t xml:space="preserve"> </w:t>
      </w:r>
      <w:r>
        <w:rPr>
          <w:rFonts w:ascii="Times New Roman" w:hAnsi="Times New Roman"/>
        </w:rPr>
        <w:t>старања</w:t>
      </w:r>
      <w:r w:rsidR="00736CC6" w:rsidRPr="00295637">
        <w:rPr>
          <w:rFonts w:ascii="Times New Roman" w:hAnsi="Times New Roman"/>
          <w:lang w:val="sr-Latn-BA"/>
        </w:rPr>
        <w:t>,</w:t>
      </w:r>
      <w:r w:rsidR="00CE593C" w:rsidRPr="00295637">
        <w:rPr>
          <w:rFonts w:ascii="Times New Roman" w:hAnsi="Times New Roman"/>
          <w:lang w:val="sr-Latn-BA"/>
        </w:rPr>
        <w:t xml:space="preserve"> </w:t>
      </w:r>
      <w:r>
        <w:rPr>
          <w:rFonts w:ascii="Times New Roman" w:hAnsi="Times New Roman"/>
        </w:rPr>
        <w:t>корисници</w:t>
      </w:r>
      <w:r w:rsidR="00736CC6" w:rsidRPr="00295637">
        <w:rPr>
          <w:rFonts w:ascii="Times New Roman" w:hAnsi="Times New Roman"/>
        </w:rPr>
        <w:t xml:space="preserve"> </w:t>
      </w:r>
      <w:r>
        <w:rPr>
          <w:rFonts w:ascii="Times New Roman" w:hAnsi="Times New Roman"/>
        </w:rPr>
        <w:t>бенефиција</w:t>
      </w:r>
      <w:r w:rsidR="00736CC6" w:rsidRPr="00295637">
        <w:rPr>
          <w:rFonts w:ascii="Times New Roman" w:hAnsi="Times New Roman"/>
        </w:rPr>
        <w:t xml:space="preserve"> </w:t>
      </w:r>
      <w:r>
        <w:rPr>
          <w:rFonts w:ascii="Times New Roman" w:hAnsi="Times New Roman"/>
        </w:rPr>
        <w:t>по</w:t>
      </w:r>
      <w:r w:rsidR="00736CC6" w:rsidRPr="00295637">
        <w:rPr>
          <w:rFonts w:ascii="Times New Roman" w:hAnsi="Times New Roman"/>
        </w:rPr>
        <w:t xml:space="preserve"> </w:t>
      </w:r>
      <w:r>
        <w:rPr>
          <w:rFonts w:ascii="Times New Roman" w:hAnsi="Times New Roman"/>
        </w:rPr>
        <w:t>основу</w:t>
      </w:r>
      <w:r w:rsidR="00736CC6" w:rsidRPr="00295637">
        <w:rPr>
          <w:rFonts w:ascii="Times New Roman" w:hAnsi="Times New Roman"/>
        </w:rPr>
        <w:t xml:space="preserve"> </w:t>
      </w:r>
      <w:r>
        <w:rPr>
          <w:rFonts w:ascii="Times New Roman" w:hAnsi="Times New Roman"/>
        </w:rPr>
        <w:t>родитељства</w:t>
      </w:r>
      <w:r w:rsidR="00736CC6" w:rsidRPr="00295637">
        <w:rPr>
          <w:rFonts w:ascii="Times New Roman" w:hAnsi="Times New Roman"/>
        </w:rPr>
        <w:t>/</w:t>
      </w:r>
      <w:r>
        <w:rPr>
          <w:rFonts w:ascii="Times New Roman" w:hAnsi="Times New Roman"/>
        </w:rPr>
        <w:t>старатељства</w:t>
      </w:r>
      <w:r w:rsidR="00736CC6" w:rsidRPr="00295637">
        <w:rPr>
          <w:rFonts w:ascii="Times New Roman" w:hAnsi="Times New Roman"/>
          <w:lang w:val="sr-Latn-BA"/>
        </w:rPr>
        <w:t>,</w:t>
      </w:r>
      <w:r w:rsidR="00CE593C" w:rsidRPr="00295637">
        <w:rPr>
          <w:rFonts w:ascii="Times New Roman" w:hAnsi="Times New Roman"/>
          <w:lang w:val="sr-Latn-BA"/>
        </w:rPr>
        <w:t xml:space="preserve"> </w:t>
      </w:r>
      <w:r>
        <w:rPr>
          <w:rFonts w:ascii="Times New Roman" w:hAnsi="Times New Roman"/>
        </w:rPr>
        <w:t>корисници</w:t>
      </w:r>
      <w:r w:rsidR="00736CC6" w:rsidRPr="00295637">
        <w:rPr>
          <w:rFonts w:ascii="Times New Roman" w:hAnsi="Times New Roman"/>
        </w:rPr>
        <w:t xml:space="preserve"> </w:t>
      </w:r>
      <w:r>
        <w:rPr>
          <w:rFonts w:ascii="Times New Roman" w:hAnsi="Times New Roman"/>
        </w:rPr>
        <w:t>породиљског</w:t>
      </w:r>
      <w:r w:rsidR="00736CC6" w:rsidRPr="00295637">
        <w:rPr>
          <w:rFonts w:ascii="Times New Roman" w:hAnsi="Times New Roman"/>
        </w:rPr>
        <w:t xml:space="preserve"> </w:t>
      </w:r>
      <w:r>
        <w:rPr>
          <w:rFonts w:ascii="Times New Roman" w:hAnsi="Times New Roman"/>
        </w:rPr>
        <w:t>и</w:t>
      </w:r>
      <w:r w:rsidR="00736CC6" w:rsidRPr="00295637">
        <w:rPr>
          <w:rFonts w:ascii="Times New Roman" w:hAnsi="Times New Roman"/>
        </w:rPr>
        <w:t xml:space="preserve"> </w:t>
      </w:r>
      <w:r>
        <w:rPr>
          <w:rFonts w:ascii="Times New Roman" w:hAnsi="Times New Roman"/>
        </w:rPr>
        <w:t>родитељског</w:t>
      </w:r>
      <w:r w:rsidR="00736CC6" w:rsidRPr="00295637">
        <w:rPr>
          <w:rFonts w:ascii="Times New Roman" w:hAnsi="Times New Roman"/>
        </w:rPr>
        <w:t xml:space="preserve"> </w:t>
      </w:r>
      <w:r>
        <w:rPr>
          <w:rFonts w:ascii="Times New Roman" w:hAnsi="Times New Roman"/>
        </w:rPr>
        <w:t>одсуства</w:t>
      </w:r>
      <w:r w:rsidR="00736CC6" w:rsidRPr="00295637">
        <w:rPr>
          <w:rFonts w:ascii="Times New Roman" w:hAnsi="Times New Roman"/>
          <w:lang w:val="sr-Latn-BA"/>
        </w:rPr>
        <w:t>,</w:t>
      </w:r>
      <w:r w:rsidR="00CE593C" w:rsidRPr="00295637">
        <w:rPr>
          <w:rFonts w:ascii="Times New Roman" w:hAnsi="Times New Roman"/>
          <w:lang w:val="sr-Latn-BA"/>
        </w:rPr>
        <w:t xml:space="preserve"> </w:t>
      </w:r>
      <w:r>
        <w:rPr>
          <w:rFonts w:ascii="Times New Roman" w:hAnsi="Times New Roman"/>
        </w:rPr>
        <w:t>корисници</w:t>
      </w:r>
      <w:r w:rsidR="00736CC6" w:rsidRPr="00295637">
        <w:rPr>
          <w:rFonts w:ascii="Times New Roman" w:hAnsi="Times New Roman"/>
        </w:rPr>
        <w:t xml:space="preserve"> </w:t>
      </w:r>
      <w:r>
        <w:rPr>
          <w:rFonts w:ascii="Times New Roman" w:hAnsi="Times New Roman"/>
        </w:rPr>
        <w:t>домова</w:t>
      </w:r>
      <w:r w:rsidR="00736CC6" w:rsidRPr="00295637">
        <w:rPr>
          <w:rFonts w:ascii="Times New Roman" w:hAnsi="Times New Roman"/>
        </w:rPr>
        <w:t xml:space="preserve"> </w:t>
      </w:r>
      <w:r>
        <w:rPr>
          <w:rFonts w:ascii="Times New Roman" w:hAnsi="Times New Roman"/>
        </w:rPr>
        <w:t>за</w:t>
      </w:r>
      <w:r w:rsidR="00736CC6" w:rsidRPr="00295637">
        <w:rPr>
          <w:rFonts w:ascii="Times New Roman" w:hAnsi="Times New Roman"/>
        </w:rPr>
        <w:t xml:space="preserve"> </w:t>
      </w:r>
      <w:r>
        <w:rPr>
          <w:rFonts w:ascii="Times New Roman" w:hAnsi="Times New Roman"/>
        </w:rPr>
        <w:t>дјецу</w:t>
      </w:r>
      <w:r w:rsidR="00736CC6" w:rsidRPr="00295637">
        <w:rPr>
          <w:rFonts w:ascii="Times New Roman" w:hAnsi="Times New Roman"/>
        </w:rPr>
        <w:t xml:space="preserve"> </w:t>
      </w:r>
      <w:r>
        <w:rPr>
          <w:rFonts w:ascii="Times New Roman" w:hAnsi="Times New Roman"/>
        </w:rPr>
        <w:t>и</w:t>
      </w:r>
      <w:r w:rsidR="00736CC6" w:rsidRPr="00295637">
        <w:rPr>
          <w:rFonts w:ascii="Times New Roman" w:hAnsi="Times New Roman"/>
        </w:rPr>
        <w:t xml:space="preserve"> </w:t>
      </w:r>
      <w:r>
        <w:rPr>
          <w:rFonts w:ascii="Times New Roman" w:hAnsi="Times New Roman"/>
        </w:rPr>
        <w:t>младе</w:t>
      </w:r>
      <w:r w:rsidR="00736CC6" w:rsidRPr="00295637">
        <w:rPr>
          <w:rFonts w:ascii="Times New Roman" w:hAnsi="Times New Roman"/>
          <w:lang w:val="sr-Latn-BA"/>
        </w:rPr>
        <w:t>,</w:t>
      </w:r>
      <w:r w:rsidR="00CE593C" w:rsidRPr="00295637">
        <w:rPr>
          <w:rFonts w:ascii="Times New Roman" w:hAnsi="Times New Roman"/>
          <w:lang w:val="sr-Latn-BA"/>
        </w:rPr>
        <w:t xml:space="preserve"> </w:t>
      </w:r>
      <w:r>
        <w:rPr>
          <w:rFonts w:ascii="Times New Roman" w:hAnsi="Times New Roman"/>
        </w:rPr>
        <w:t>малољетне</w:t>
      </w:r>
      <w:r w:rsidR="00736CC6" w:rsidRPr="00295637">
        <w:rPr>
          <w:rFonts w:ascii="Times New Roman" w:hAnsi="Times New Roman"/>
        </w:rPr>
        <w:t xml:space="preserve"> </w:t>
      </w:r>
      <w:r>
        <w:rPr>
          <w:rFonts w:ascii="Times New Roman" w:hAnsi="Times New Roman"/>
        </w:rPr>
        <w:t>и</w:t>
      </w:r>
      <w:r w:rsidR="00736CC6" w:rsidRPr="00295637">
        <w:rPr>
          <w:rFonts w:ascii="Times New Roman" w:hAnsi="Times New Roman"/>
        </w:rPr>
        <w:t xml:space="preserve"> </w:t>
      </w:r>
      <w:r>
        <w:rPr>
          <w:rFonts w:ascii="Times New Roman" w:hAnsi="Times New Roman"/>
        </w:rPr>
        <w:t>пунољетне</w:t>
      </w:r>
      <w:r w:rsidR="00736CC6" w:rsidRPr="00295637">
        <w:rPr>
          <w:rFonts w:ascii="Times New Roman" w:hAnsi="Times New Roman"/>
        </w:rPr>
        <w:t xml:space="preserve"> </w:t>
      </w:r>
      <w:r>
        <w:rPr>
          <w:rFonts w:ascii="Times New Roman" w:hAnsi="Times New Roman"/>
        </w:rPr>
        <w:t>особе</w:t>
      </w:r>
      <w:r w:rsidR="00736CC6" w:rsidRPr="00295637">
        <w:rPr>
          <w:rFonts w:ascii="Times New Roman" w:hAnsi="Times New Roman"/>
        </w:rPr>
        <w:t xml:space="preserve"> </w:t>
      </w:r>
      <w:r>
        <w:rPr>
          <w:rFonts w:ascii="Times New Roman" w:hAnsi="Times New Roman"/>
        </w:rPr>
        <w:t>под</w:t>
      </w:r>
      <w:r w:rsidR="00736CC6" w:rsidRPr="00295637">
        <w:rPr>
          <w:rFonts w:ascii="Times New Roman" w:hAnsi="Times New Roman"/>
        </w:rPr>
        <w:t xml:space="preserve"> </w:t>
      </w:r>
      <w:r>
        <w:rPr>
          <w:rFonts w:ascii="Times New Roman" w:hAnsi="Times New Roman"/>
        </w:rPr>
        <w:t>старатељством</w:t>
      </w:r>
      <w:r w:rsidR="00736CC6" w:rsidRPr="00295637">
        <w:rPr>
          <w:rFonts w:ascii="Times New Roman" w:hAnsi="Times New Roman"/>
        </w:rPr>
        <w:t xml:space="preserve"> </w:t>
      </w:r>
      <w:r>
        <w:rPr>
          <w:rFonts w:ascii="Times New Roman" w:hAnsi="Times New Roman"/>
        </w:rPr>
        <w:t>и</w:t>
      </w:r>
      <w:r w:rsidR="00736CC6" w:rsidRPr="00295637">
        <w:rPr>
          <w:rFonts w:ascii="Times New Roman" w:hAnsi="Times New Roman"/>
        </w:rPr>
        <w:t xml:space="preserve"> </w:t>
      </w:r>
      <w:r>
        <w:rPr>
          <w:rFonts w:ascii="Times New Roman" w:hAnsi="Times New Roman"/>
        </w:rPr>
        <w:t>у</w:t>
      </w:r>
      <w:r w:rsidR="00736CC6" w:rsidRPr="00295637">
        <w:rPr>
          <w:rFonts w:ascii="Times New Roman" w:hAnsi="Times New Roman"/>
        </w:rPr>
        <w:t xml:space="preserve"> </w:t>
      </w:r>
      <w:r>
        <w:rPr>
          <w:rFonts w:ascii="Times New Roman" w:hAnsi="Times New Roman"/>
        </w:rPr>
        <w:t>хранитељским</w:t>
      </w:r>
      <w:r w:rsidR="00736CC6" w:rsidRPr="00295637">
        <w:rPr>
          <w:rFonts w:ascii="Times New Roman" w:hAnsi="Times New Roman"/>
        </w:rPr>
        <w:t xml:space="preserve"> </w:t>
      </w:r>
      <w:r>
        <w:rPr>
          <w:rFonts w:ascii="Times New Roman" w:hAnsi="Times New Roman"/>
        </w:rPr>
        <w:t>породицама</w:t>
      </w:r>
      <w:r w:rsidR="00736CC6" w:rsidRPr="00295637">
        <w:rPr>
          <w:rFonts w:ascii="Times New Roman" w:hAnsi="Times New Roman"/>
          <w:lang w:val="sr-Latn-BA"/>
        </w:rPr>
        <w:t>,</w:t>
      </w:r>
      <w:r w:rsidR="00CE593C" w:rsidRPr="00295637">
        <w:rPr>
          <w:rFonts w:ascii="Times New Roman" w:hAnsi="Times New Roman"/>
          <w:lang w:val="sr-Latn-BA"/>
        </w:rPr>
        <w:t xml:space="preserve"> </w:t>
      </w:r>
      <w:r>
        <w:rPr>
          <w:rFonts w:ascii="Times New Roman" w:hAnsi="Times New Roman"/>
        </w:rPr>
        <w:t>инвалиди</w:t>
      </w:r>
      <w:r w:rsidR="00736CC6" w:rsidRPr="00295637">
        <w:rPr>
          <w:rFonts w:ascii="Times New Roman" w:hAnsi="Times New Roman"/>
        </w:rPr>
        <w:t xml:space="preserve"> </w:t>
      </w:r>
      <w:r>
        <w:rPr>
          <w:rFonts w:ascii="Times New Roman" w:hAnsi="Times New Roman"/>
        </w:rPr>
        <w:t>запослени</w:t>
      </w:r>
      <w:r w:rsidR="00736CC6" w:rsidRPr="00295637">
        <w:rPr>
          <w:rFonts w:ascii="Times New Roman" w:hAnsi="Times New Roman"/>
        </w:rPr>
        <w:t xml:space="preserve"> </w:t>
      </w:r>
      <w:r>
        <w:rPr>
          <w:rFonts w:ascii="Times New Roman" w:hAnsi="Times New Roman"/>
        </w:rPr>
        <w:t>у</w:t>
      </w:r>
      <w:r w:rsidR="00736CC6" w:rsidRPr="00295637">
        <w:rPr>
          <w:rFonts w:ascii="Times New Roman" w:hAnsi="Times New Roman"/>
        </w:rPr>
        <w:t xml:space="preserve"> </w:t>
      </w:r>
      <w:r>
        <w:rPr>
          <w:rFonts w:ascii="Times New Roman" w:hAnsi="Times New Roman"/>
        </w:rPr>
        <w:t>установама</w:t>
      </w:r>
      <w:r w:rsidR="00736CC6" w:rsidRPr="00295637">
        <w:rPr>
          <w:rFonts w:ascii="Times New Roman" w:hAnsi="Times New Roman"/>
        </w:rPr>
        <w:t xml:space="preserve"> </w:t>
      </w:r>
      <w:r>
        <w:rPr>
          <w:rFonts w:ascii="Times New Roman" w:hAnsi="Times New Roman"/>
        </w:rPr>
        <w:t>социјалне</w:t>
      </w:r>
      <w:r w:rsidR="00736CC6" w:rsidRPr="00295637">
        <w:rPr>
          <w:rFonts w:ascii="Times New Roman" w:hAnsi="Times New Roman"/>
        </w:rPr>
        <w:t xml:space="preserve"> </w:t>
      </w:r>
      <w:r>
        <w:rPr>
          <w:rFonts w:ascii="Times New Roman" w:hAnsi="Times New Roman"/>
        </w:rPr>
        <w:t>заштите</w:t>
      </w:r>
      <w:r w:rsidR="00736CC6" w:rsidRPr="00295637">
        <w:rPr>
          <w:rFonts w:ascii="Times New Roman" w:hAnsi="Times New Roman"/>
        </w:rPr>
        <w:t xml:space="preserve"> </w:t>
      </w:r>
      <w:r>
        <w:rPr>
          <w:rFonts w:ascii="Times New Roman" w:hAnsi="Times New Roman"/>
        </w:rPr>
        <w:t>за</w:t>
      </w:r>
      <w:r w:rsidR="00736CC6" w:rsidRPr="00295637">
        <w:rPr>
          <w:rFonts w:ascii="Times New Roman" w:hAnsi="Times New Roman"/>
        </w:rPr>
        <w:t xml:space="preserve"> </w:t>
      </w:r>
      <w:r>
        <w:rPr>
          <w:rFonts w:ascii="Times New Roman" w:hAnsi="Times New Roman"/>
        </w:rPr>
        <w:t>одрасла</w:t>
      </w:r>
      <w:r w:rsidR="00736CC6" w:rsidRPr="00295637">
        <w:rPr>
          <w:rFonts w:ascii="Times New Roman" w:hAnsi="Times New Roman"/>
        </w:rPr>
        <w:t xml:space="preserve"> </w:t>
      </w:r>
      <w:r>
        <w:rPr>
          <w:rFonts w:ascii="Times New Roman" w:hAnsi="Times New Roman"/>
        </w:rPr>
        <w:t>инвалидна</w:t>
      </w:r>
      <w:r w:rsidR="00736CC6" w:rsidRPr="00295637">
        <w:rPr>
          <w:rFonts w:ascii="Times New Roman" w:hAnsi="Times New Roman"/>
        </w:rPr>
        <w:t xml:space="preserve"> </w:t>
      </w:r>
      <w:r>
        <w:rPr>
          <w:rFonts w:ascii="Times New Roman" w:hAnsi="Times New Roman"/>
        </w:rPr>
        <w:t>лица</w:t>
      </w:r>
      <w:r w:rsidR="00736CC6" w:rsidRPr="00295637">
        <w:rPr>
          <w:rFonts w:ascii="Times New Roman" w:hAnsi="Times New Roman"/>
          <w:lang w:val="sr-Latn-BA"/>
        </w:rPr>
        <w:t>,</w:t>
      </w:r>
      <w:r w:rsidR="00CE593C" w:rsidRPr="00295637">
        <w:rPr>
          <w:rFonts w:ascii="Times New Roman" w:hAnsi="Times New Roman"/>
          <w:lang w:val="sr-Latn-BA"/>
        </w:rPr>
        <w:t xml:space="preserve"> </w:t>
      </w:r>
      <w:r>
        <w:rPr>
          <w:rFonts w:ascii="Times New Roman" w:hAnsi="Times New Roman"/>
        </w:rPr>
        <w:t>корисници</w:t>
      </w:r>
      <w:r w:rsidR="00736CC6" w:rsidRPr="00295637">
        <w:rPr>
          <w:rFonts w:ascii="Times New Roman" w:hAnsi="Times New Roman"/>
        </w:rPr>
        <w:t xml:space="preserve"> </w:t>
      </w:r>
      <w:r>
        <w:rPr>
          <w:rFonts w:ascii="Times New Roman" w:hAnsi="Times New Roman"/>
        </w:rPr>
        <w:t>установа</w:t>
      </w:r>
      <w:r w:rsidR="00736CC6" w:rsidRPr="00295637">
        <w:rPr>
          <w:rFonts w:ascii="Times New Roman" w:hAnsi="Times New Roman"/>
        </w:rPr>
        <w:t xml:space="preserve"> </w:t>
      </w:r>
      <w:r>
        <w:rPr>
          <w:rFonts w:ascii="Times New Roman" w:hAnsi="Times New Roman"/>
        </w:rPr>
        <w:t>социјалне</w:t>
      </w:r>
      <w:r w:rsidR="00736CC6" w:rsidRPr="00295637">
        <w:rPr>
          <w:rFonts w:ascii="Times New Roman" w:hAnsi="Times New Roman"/>
        </w:rPr>
        <w:t xml:space="preserve"> </w:t>
      </w:r>
      <w:r>
        <w:rPr>
          <w:rFonts w:ascii="Times New Roman" w:hAnsi="Times New Roman"/>
        </w:rPr>
        <w:t>заштите</w:t>
      </w:r>
      <w:r w:rsidR="00736CC6" w:rsidRPr="00295637">
        <w:rPr>
          <w:rFonts w:ascii="Times New Roman" w:hAnsi="Times New Roman"/>
        </w:rPr>
        <w:t xml:space="preserve"> </w:t>
      </w:r>
      <w:r>
        <w:rPr>
          <w:rFonts w:ascii="Times New Roman" w:hAnsi="Times New Roman"/>
        </w:rPr>
        <w:t>за</w:t>
      </w:r>
      <w:r w:rsidR="00736CC6" w:rsidRPr="00295637">
        <w:rPr>
          <w:rFonts w:ascii="Times New Roman" w:hAnsi="Times New Roman"/>
        </w:rPr>
        <w:t xml:space="preserve"> </w:t>
      </w:r>
      <w:r>
        <w:rPr>
          <w:rFonts w:ascii="Times New Roman" w:hAnsi="Times New Roman"/>
        </w:rPr>
        <w:t>одрасла</w:t>
      </w:r>
      <w:r w:rsidR="00736CC6" w:rsidRPr="00295637">
        <w:rPr>
          <w:rFonts w:ascii="Times New Roman" w:hAnsi="Times New Roman"/>
        </w:rPr>
        <w:t xml:space="preserve"> </w:t>
      </w:r>
      <w:r>
        <w:rPr>
          <w:rFonts w:ascii="Times New Roman" w:hAnsi="Times New Roman"/>
        </w:rPr>
        <w:t>лица</w:t>
      </w:r>
      <w:r w:rsidR="00736CC6" w:rsidRPr="00295637">
        <w:rPr>
          <w:rFonts w:ascii="Times New Roman" w:hAnsi="Times New Roman"/>
          <w:lang w:val="sr-Latn-BA"/>
        </w:rPr>
        <w:t>,</w:t>
      </w:r>
      <w:r w:rsidR="00CE593C" w:rsidRPr="00295637">
        <w:rPr>
          <w:rFonts w:ascii="Times New Roman" w:hAnsi="Times New Roman"/>
          <w:lang w:val="sr-Latn-BA"/>
        </w:rPr>
        <w:t xml:space="preserve"> </w:t>
      </w:r>
      <w:r>
        <w:rPr>
          <w:rFonts w:ascii="Times New Roman" w:hAnsi="Times New Roman"/>
        </w:rPr>
        <w:t>запослени</w:t>
      </w:r>
      <w:r w:rsidR="00736CC6" w:rsidRPr="00295637">
        <w:rPr>
          <w:rFonts w:ascii="Times New Roman" w:hAnsi="Times New Roman"/>
        </w:rPr>
        <w:t xml:space="preserve"> </w:t>
      </w:r>
      <w:r>
        <w:rPr>
          <w:rFonts w:ascii="Times New Roman" w:hAnsi="Times New Roman"/>
        </w:rPr>
        <w:t>у</w:t>
      </w:r>
      <w:r w:rsidR="00736CC6" w:rsidRPr="00295637">
        <w:rPr>
          <w:rFonts w:ascii="Times New Roman" w:hAnsi="Times New Roman"/>
        </w:rPr>
        <w:t xml:space="preserve"> </w:t>
      </w:r>
      <w:r>
        <w:rPr>
          <w:rFonts w:ascii="Times New Roman" w:hAnsi="Times New Roman"/>
        </w:rPr>
        <w:t>социјалној</w:t>
      </w:r>
      <w:r w:rsidR="00736CC6" w:rsidRPr="00295637">
        <w:rPr>
          <w:rFonts w:ascii="Times New Roman" w:hAnsi="Times New Roman"/>
        </w:rPr>
        <w:t xml:space="preserve"> </w:t>
      </w:r>
      <w:r>
        <w:rPr>
          <w:rFonts w:ascii="Times New Roman" w:hAnsi="Times New Roman"/>
        </w:rPr>
        <w:t>заштити</w:t>
      </w:r>
      <w:r w:rsidR="00A1678D">
        <w:rPr>
          <w:rFonts w:ascii="Times New Roman" w:hAnsi="Times New Roman"/>
        </w:rPr>
        <w:t xml:space="preserve">. </w:t>
      </w:r>
    </w:p>
    <w:p w:rsidR="008E48A1" w:rsidRPr="00295637" w:rsidRDefault="008E48A1" w:rsidP="0086268D">
      <w:pPr>
        <w:rPr>
          <w:lang w:val="bs-Latn-BA"/>
        </w:rPr>
      </w:pPr>
    </w:p>
    <w:p w:rsidR="00447E84" w:rsidRPr="00295637" w:rsidRDefault="00E654F2" w:rsidP="002C4665">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2C4665">
        <w:rPr>
          <w:rFonts w:ascii="Times New Roman" w:hAnsi="Times New Roman"/>
          <w:szCs w:val="24"/>
          <w:lang w:val="bs-Latn-BA"/>
        </w:rPr>
        <w:t xml:space="preserve"> 6.3. </w:t>
      </w:r>
      <w:r w:rsidR="00C6214E">
        <w:rPr>
          <w:rFonts w:ascii="Times New Roman" w:hAnsi="Times New Roman"/>
          <w:szCs w:val="24"/>
          <w:lang w:val="bs-Latn-BA"/>
        </w:rPr>
        <w:t>Израда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остваривање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једнаких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једнаког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приступа</w:t>
      </w:r>
      <w:r w:rsidR="00356C2C" w:rsidRPr="00295637">
        <w:rPr>
          <w:rFonts w:ascii="Times New Roman" w:hAnsi="Times New Roman"/>
          <w:szCs w:val="24"/>
          <w:lang w:val="bs-Latn-BA"/>
        </w:rPr>
        <w:t xml:space="preserve"> </w:t>
      </w:r>
      <w:r w:rsidR="00C6214E">
        <w:rPr>
          <w:rFonts w:ascii="Times New Roman" w:hAnsi="Times New Roman"/>
          <w:szCs w:val="24"/>
          <w:lang w:val="bs-Latn-BA"/>
        </w:rPr>
        <w:t>социјалној</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заштити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укључујући</w:t>
      </w:r>
      <w:r w:rsidR="00356C2C" w:rsidRPr="00295637">
        <w:rPr>
          <w:rFonts w:ascii="Times New Roman" w:hAnsi="Times New Roman"/>
          <w:szCs w:val="24"/>
          <w:lang w:val="bs-Latn-BA"/>
        </w:rPr>
        <w:t xml:space="preserve"> </w:t>
      </w:r>
      <w:r w:rsidR="00C6214E">
        <w:rPr>
          <w:rFonts w:ascii="Times New Roman" w:hAnsi="Times New Roman"/>
          <w:szCs w:val="24"/>
          <w:lang w:val="bs-Latn-BA"/>
        </w:rPr>
        <w:t>јачање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професионалних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капацитета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примјену</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домаћих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овој</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увођење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родно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одговорних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буџета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те</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успостављање</w:t>
      </w:r>
      <w:r w:rsidR="002C4665">
        <w:rPr>
          <w:rFonts w:ascii="Times New Roman" w:hAnsi="Times New Roman"/>
          <w:szCs w:val="24"/>
          <w:lang w:val="bs-Latn-BA"/>
        </w:rPr>
        <w:t xml:space="preserve"> </w:t>
      </w:r>
      <w:r w:rsidR="00C6214E">
        <w:rPr>
          <w:rFonts w:ascii="Times New Roman" w:hAnsi="Times New Roman"/>
          <w:szCs w:val="24"/>
          <w:lang w:val="bs-Latn-BA"/>
        </w:rPr>
        <w:t>одговарајућих</w:t>
      </w:r>
      <w:r w:rsidR="002C4665">
        <w:rPr>
          <w:rFonts w:ascii="Times New Roman" w:hAnsi="Times New Roman"/>
          <w:szCs w:val="24"/>
          <w:lang w:val="bs-Latn-BA"/>
        </w:rPr>
        <w:t xml:space="preserve"> </w:t>
      </w:r>
      <w:r w:rsidR="00C6214E">
        <w:rPr>
          <w:rFonts w:ascii="Times New Roman" w:hAnsi="Times New Roman"/>
          <w:szCs w:val="24"/>
          <w:lang w:val="bs-Latn-BA"/>
        </w:rPr>
        <w:t>институционалних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механизама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координацију</w:t>
      </w:r>
      <w:r w:rsidR="00356C2C" w:rsidRPr="00295637">
        <w:rPr>
          <w:rFonts w:ascii="Times New Roman" w:hAnsi="Times New Roman"/>
          <w:szCs w:val="24"/>
          <w:lang w:val="bs-Latn-BA"/>
        </w:rPr>
        <w:t xml:space="preserve"> </w:t>
      </w:r>
      <w:r>
        <w:rPr>
          <w:rFonts w:ascii="Times New Roman" w:hAnsi="Times New Roman"/>
          <w:szCs w:val="24"/>
          <w:lang w:val="sr-Cyrl-BA"/>
        </w:rPr>
        <w:t>спровођења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ових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мјера</w:t>
      </w:r>
      <w:r w:rsidR="00356C2C" w:rsidRPr="00295637">
        <w:rPr>
          <w:rFonts w:ascii="Times New Roman" w:hAnsi="Times New Roman"/>
          <w:szCs w:val="24"/>
          <w:lang w:val="bs-Latn-BA"/>
        </w:rPr>
        <w:t>.</w:t>
      </w:r>
      <w:bookmarkStart w:id="41" w:name="_Toc193788538"/>
    </w:p>
    <w:p w:rsidR="009A65A1" w:rsidRPr="00295637" w:rsidRDefault="009A65A1" w:rsidP="0086268D">
      <w:pPr>
        <w:rPr>
          <w:lang w:val="bs-Latn-BA"/>
        </w:rPr>
      </w:pPr>
    </w:p>
    <w:p w:rsidR="006A34A8" w:rsidRPr="00295637" w:rsidRDefault="00C6214E" w:rsidP="0086268D">
      <w:pPr>
        <w:jc w:val="both"/>
        <w:rPr>
          <w:rFonts w:ascii="Times New Roman" w:hAnsi="Times New Roman"/>
          <w:shd w:val="clear" w:color="auto" w:fill="FFFFFF"/>
        </w:rPr>
      </w:pPr>
      <w:r>
        <w:rPr>
          <w:rFonts w:ascii="Times New Roman" w:hAnsi="Times New Roman"/>
        </w:rPr>
        <w:t>АР</w:t>
      </w:r>
      <w:r w:rsidR="00E654F2">
        <w:rPr>
          <w:rFonts w:ascii="Times New Roman" w:hAnsi="Times New Roman"/>
          <w:lang w:val="sr-Cyrl-BA"/>
        </w:rPr>
        <w:t>П</w:t>
      </w:r>
      <w:r w:rsidR="000D02B0">
        <w:rPr>
          <w:rFonts w:ascii="Times New Roman" w:hAnsi="Times New Roman"/>
        </w:rPr>
        <w:t xml:space="preserve"> </w:t>
      </w:r>
      <w:r>
        <w:rPr>
          <w:rFonts w:ascii="Times New Roman" w:hAnsi="Times New Roman"/>
        </w:rPr>
        <w:t>БиХ</w:t>
      </w:r>
      <w:r w:rsidR="00AA2171">
        <w:rPr>
          <w:rFonts w:ascii="Times New Roman" w:hAnsi="Times New Roman"/>
        </w:rPr>
        <w:t xml:space="preserve"> </w:t>
      </w:r>
      <w:r>
        <w:rPr>
          <w:rFonts w:ascii="Times New Roman" w:hAnsi="Times New Roman"/>
        </w:rPr>
        <w:t>МЉПИ</w:t>
      </w:r>
      <w:r w:rsidR="00AA2171">
        <w:rPr>
          <w:rFonts w:ascii="Times New Roman" w:hAnsi="Times New Roman"/>
        </w:rPr>
        <w:t xml:space="preserve"> </w:t>
      </w:r>
      <w:r>
        <w:rPr>
          <w:rFonts w:ascii="Times New Roman" w:hAnsi="Times New Roman"/>
        </w:rPr>
        <w:t>БиХ</w:t>
      </w:r>
      <w:r w:rsidR="006A34A8" w:rsidRPr="00295637">
        <w:rPr>
          <w:rFonts w:ascii="Times New Roman" w:hAnsi="Times New Roman"/>
        </w:rPr>
        <w:t xml:space="preserve"> </w:t>
      </w:r>
      <w:r w:rsidR="00E654F2">
        <w:rPr>
          <w:rFonts w:ascii="Times New Roman" w:hAnsi="Times New Roman"/>
        </w:rPr>
        <w:t>је</w:t>
      </w:r>
      <w:r w:rsidR="00E654F2" w:rsidRPr="00295637">
        <w:rPr>
          <w:rFonts w:ascii="Times New Roman" w:hAnsi="Times New Roman"/>
        </w:rPr>
        <w:t xml:space="preserve"> </w:t>
      </w:r>
      <w:r>
        <w:rPr>
          <w:rFonts w:ascii="Times New Roman" w:hAnsi="Times New Roman"/>
        </w:rPr>
        <w:t>учествовала</w:t>
      </w:r>
      <w:r w:rsidR="006A34A8" w:rsidRPr="00295637">
        <w:rPr>
          <w:rFonts w:ascii="Times New Roman" w:hAnsi="Times New Roman"/>
        </w:rPr>
        <w:t xml:space="preserve"> </w:t>
      </w:r>
      <w:r>
        <w:rPr>
          <w:rFonts w:ascii="Times New Roman" w:hAnsi="Times New Roman"/>
        </w:rPr>
        <w:t>у</w:t>
      </w:r>
      <w:r w:rsidR="006A34A8" w:rsidRPr="00295637">
        <w:rPr>
          <w:rFonts w:ascii="Times New Roman" w:hAnsi="Times New Roman"/>
        </w:rPr>
        <w:t xml:space="preserve"> </w:t>
      </w:r>
      <w:r>
        <w:rPr>
          <w:rFonts w:ascii="Times New Roman" w:hAnsi="Times New Roman"/>
        </w:rPr>
        <w:t>раду</w:t>
      </w:r>
      <w:r w:rsidR="006A34A8" w:rsidRPr="00295637">
        <w:rPr>
          <w:rFonts w:ascii="Times New Roman" w:hAnsi="Times New Roman"/>
        </w:rPr>
        <w:t xml:space="preserve"> </w:t>
      </w:r>
      <w:r>
        <w:rPr>
          <w:rFonts w:ascii="Times New Roman" w:hAnsi="Times New Roman"/>
        </w:rPr>
        <w:t>Управног</w:t>
      </w:r>
      <w:r w:rsidR="006A34A8" w:rsidRPr="00295637">
        <w:rPr>
          <w:rFonts w:ascii="Times New Roman" w:hAnsi="Times New Roman"/>
        </w:rPr>
        <w:t xml:space="preserve"> </w:t>
      </w:r>
      <w:r>
        <w:rPr>
          <w:rFonts w:ascii="Times New Roman" w:hAnsi="Times New Roman"/>
        </w:rPr>
        <w:t>одбора</w:t>
      </w:r>
      <w:r w:rsidR="006A34A8" w:rsidRPr="00295637">
        <w:rPr>
          <w:rFonts w:ascii="Times New Roman" w:hAnsi="Times New Roman"/>
        </w:rPr>
        <w:t xml:space="preserve"> </w:t>
      </w:r>
      <w:r>
        <w:rPr>
          <w:rFonts w:ascii="Times New Roman" w:hAnsi="Times New Roman"/>
        </w:rPr>
        <w:t>пројекта</w:t>
      </w:r>
      <w:r w:rsidR="006A34A8" w:rsidRPr="00295637">
        <w:rPr>
          <w:rFonts w:ascii="Times New Roman" w:hAnsi="Times New Roman"/>
        </w:rPr>
        <w:t xml:space="preserve"> „</w:t>
      </w:r>
      <w:r>
        <w:rPr>
          <w:rFonts w:ascii="Times New Roman" w:hAnsi="Times New Roman"/>
          <w:shd w:val="clear" w:color="auto" w:fill="FFFFFF"/>
        </w:rPr>
        <w:t>Пружање</w:t>
      </w:r>
      <w:r w:rsidR="006A34A8" w:rsidRPr="00295637">
        <w:rPr>
          <w:rFonts w:ascii="Times New Roman" w:hAnsi="Times New Roman"/>
          <w:shd w:val="clear" w:color="auto" w:fill="FFFFFF"/>
        </w:rPr>
        <w:t xml:space="preserve"> </w:t>
      </w:r>
      <w:r>
        <w:rPr>
          <w:rFonts w:ascii="Times New Roman" w:hAnsi="Times New Roman"/>
          <w:shd w:val="clear" w:color="auto" w:fill="FFFFFF"/>
        </w:rPr>
        <w:t>помоћи</w:t>
      </w:r>
      <w:r w:rsidR="006A34A8" w:rsidRPr="00295637">
        <w:rPr>
          <w:rFonts w:ascii="Times New Roman" w:hAnsi="Times New Roman"/>
          <w:shd w:val="clear" w:color="auto" w:fill="FFFFFF"/>
        </w:rPr>
        <w:t xml:space="preserve"> </w:t>
      </w:r>
      <w:r>
        <w:rPr>
          <w:rFonts w:ascii="Times New Roman" w:hAnsi="Times New Roman"/>
          <w:shd w:val="clear" w:color="auto" w:fill="FFFFFF"/>
        </w:rPr>
        <w:t>угроженим</w:t>
      </w:r>
      <w:r w:rsidR="006A34A8" w:rsidRPr="00295637">
        <w:rPr>
          <w:rFonts w:ascii="Times New Roman" w:hAnsi="Times New Roman"/>
          <w:shd w:val="clear" w:color="auto" w:fill="FFFFFF"/>
        </w:rPr>
        <w:t xml:space="preserve"> </w:t>
      </w:r>
      <w:r>
        <w:rPr>
          <w:rFonts w:ascii="Times New Roman" w:hAnsi="Times New Roman"/>
          <w:shd w:val="clear" w:color="auto" w:fill="FFFFFF"/>
        </w:rPr>
        <w:t>женама</w:t>
      </w:r>
      <w:r w:rsidR="006A34A8" w:rsidRPr="00295637">
        <w:rPr>
          <w:rFonts w:ascii="Times New Roman" w:hAnsi="Times New Roman"/>
          <w:shd w:val="clear" w:color="auto" w:fill="FFFFFF"/>
        </w:rPr>
        <w:t xml:space="preserve"> </w:t>
      </w:r>
      <w:r>
        <w:rPr>
          <w:rFonts w:ascii="Times New Roman" w:hAnsi="Times New Roman"/>
          <w:shd w:val="clear" w:color="auto" w:fill="FFFFFF"/>
        </w:rPr>
        <w:t>и</w:t>
      </w:r>
      <w:r w:rsidR="006A34A8" w:rsidRPr="00295637">
        <w:rPr>
          <w:rFonts w:ascii="Times New Roman" w:hAnsi="Times New Roman"/>
          <w:shd w:val="clear" w:color="auto" w:fill="FFFFFF"/>
        </w:rPr>
        <w:t xml:space="preserve"> </w:t>
      </w:r>
      <w:r>
        <w:rPr>
          <w:rFonts w:ascii="Times New Roman" w:hAnsi="Times New Roman"/>
          <w:shd w:val="clear" w:color="auto" w:fill="FFFFFF"/>
        </w:rPr>
        <w:t>развој</w:t>
      </w:r>
      <w:r w:rsidR="006A34A8" w:rsidRPr="00295637">
        <w:rPr>
          <w:rFonts w:ascii="Times New Roman" w:hAnsi="Times New Roman"/>
          <w:shd w:val="clear" w:color="auto" w:fill="FFFFFF"/>
        </w:rPr>
        <w:t xml:space="preserve"> </w:t>
      </w:r>
      <w:r>
        <w:rPr>
          <w:rFonts w:ascii="Times New Roman" w:hAnsi="Times New Roman"/>
          <w:shd w:val="clear" w:color="auto" w:fill="FFFFFF"/>
        </w:rPr>
        <w:t>интегри</w:t>
      </w:r>
      <w:r w:rsidR="00E654F2">
        <w:rPr>
          <w:rFonts w:ascii="Times New Roman" w:hAnsi="Times New Roman"/>
          <w:shd w:val="clear" w:color="auto" w:fill="FFFFFF"/>
          <w:lang w:val="sr-Cyrl-BA"/>
        </w:rPr>
        <w:t>с</w:t>
      </w:r>
      <w:r>
        <w:rPr>
          <w:rFonts w:ascii="Times New Roman" w:hAnsi="Times New Roman"/>
          <w:shd w:val="clear" w:color="auto" w:fill="FFFFFF"/>
        </w:rPr>
        <w:t>аног</w:t>
      </w:r>
      <w:r w:rsidR="006A34A8" w:rsidRPr="00295637">
        <w:rPr>
          <w:rFonts w:ascii="Times New Roman" w:hAnsi="Times New Roman"/>
          <w:shd w:val="clear" w:color="auto" w:fill="FFFFFF"/>
        </w:rPr>
        <w:t xml:space="preserve"> </w:t>
      </w:r>
      <w:r>
        <w:rPr>
          <w:rFonts w:ascii="Times New Roman" w:hAnsi="Times New Roman"/>
          <w:shd w:val="clear" w:color="auto" w:fill="FFFFFF"/>
        </w:rPr>
        <w:t>програма</w:t>
      </w:r>
      <w:r w:rsidR="006A34A8" w:rsidRPr="00295637">
        <w:rPr>
          <w:rFonts w:ascii="Times New Roman" w:hAnsi="Times New Roman"/>
          <w:shd w:val="clear" w:color="auto" w:fill="FFFFFF"/>
        </w:rPr>
        <w:t xml:space="preserve"> </w:t>
      </w:r>
      <w:r>
        <w:rPr>
          <w:rFonts w:ascii="Times New Roman" w:hAnsi="Times New Roman"/>
          <w:shd w:val="clear" w:color="auto" w:fill="FFFFFF"/>
        </w:rPr>
        <w:t>социјалне</w:t>
      </w:r>
      <w:r w:rsidR="006A34A8" w:rsidRPr="00295637">
        <w:rPr>
          <w:rFonts w:ascii="Times New Roman" w:hAnsi="Times New Roman"/>
          <w:shd w:val="clear" w:color="auto" w:fill="FFFFFF"/>
        </w:rPr>
        <w:t xml:space="preserve"> </w:t>
      </w:r>
      <w:r>
        <w:rPr>
          <w:rFonts w:ascii="Times New Roman" w:hAnsi="Times New Roman"/>
          <w:shd w:val="clear" w:color="auto" w:fill="FFFFFF"/>
        </w:rPr>
        <w:t>заштите</w:t>
      </w:r>
      <w:r w:rsidR="006A34A8" w:rsidRPr="00295637">
        <w:rPr>
          <w:rFonts w:ascii="Times New Roman" w:hAnsi="Times New Roman"/>
          <w:shd w:val="clear" w:color="auto" w:fill="FFFFFF"/>
        </w:rPr>
        <w:t xml:space="preserve">“ </w:t>
      </w:r>
      <w:r>
        <w:rPr>
          <w:rFonts w:ascii="Times New Roman" w:hAnsi="Times New Roman"/>
          <w:shd w:val="clear" w:color="auto" w:fill="FFFFFF"/>
        </w:rPr>
        <w:t>којег</w:t>
      </w:r>
      <w:r w:rsidR="006A34A8" w:rsidRPr="00295637">
        <w:rPr>
          <w:rFonts w:ascii="Times New Roman" w:hAnsi="Times New Roman"/>
          <w:shd w:val="clear" w:color="auto" w:fill="FFFFFF"/>
        </w:rPr>
        <w:t xml:space="preserve"> </w:t>
      </w:r>
      <w:r>
        <w:rPr>
          <w:rFonts w:ascii="Times New Roman" w:hAnsi="Times New Roman"/>
          <w:shd w:val="clear" w:color="auto" w:fill="FFFFFF"/>
        </w:rPr>
        <w:t>финансира</w:t>
      </w:r>
      <w:r w:rsidR="006A34A8" w:rsidRPr="00295637">
        <w:rPr>
          <w:rFonts w:ascii="Times New Roman" w:hAnsi="Times New Roman"/>
          <w:shd w:val="clear" w:color="auto" w:fill="FFFFFF"/>
        </w:rPr>
        <w:t xml:space="preserve"> </w:t>
      </w:r>
      <w:r>
        <w:rPr>
          <w:rFonts w:ascii="Times New Roman" w:hAnsi="Times New Roman"/>
          <w:shd w:val="clear" w:color="auto" w:fill="FFFFFF"/>
        </w:rPr>
        <w:t>ЕУ</w:t>
      </w:r>
      <w:r w:rsidR="006A34A8" w:rsidRPr="00295637">
        <w:rPr>
          <w:rFonts w:ascii="Times New Roman" w:hAnsi="Times New Roman"/>
          <w:shd w:val="clear" w:color="auto" w:fill="FFFFFF"/>
        </w:rPr>
        <w:t xml:space="preserve"> </w:t>
      </w:r>
      <w:r w:rsidR="00E654F2">
        <w:rPr>
          <w:rFonts w:ascii="Times New Roman" w:hAnsi="Times New Roman"/>
          <w:shd w:val="clear" w:color="auto" w:fill="FFFFFF"/>
          <w:lang w:val="sr-Cyrl-BA"/>
        </w:rPr>
        <w:t>с</w:t>
      </w:r>
      <w:r w:rsidR="006A34A8" w:rsidRPr="00295637">
        <w:rPr>
          <w:rFonts w:ascii="Times New Roman" w:hAnsi="Times New Roman"/>
          <w:shd w:val="clear" w:color="auto" w:fill="FFFFFF"/>
        </w:rPr>
        <w:t xml:space="preserve"> </w:t>
      </w:r>
      <w:r>
        <w:rPr>
          <w:rFonts w:ascii="Times New Roman" w:hAnsi="Times New Roman"/>
          <w:shd w:val="clear" w:color="auto" w:fill="FFFFFF"/>
        </w:rPr>
        <w:t>циљ</w:t>
      </w:r>
      <w:r w:rsidR="00E654F2">
        <w:rPr>
          <w:rFonts w:ascii="Times New Roman" w:hAnsi="Times New Roman"/>
          <w:shd w:val="clear" w:color="auto" w:fill="FFFFFF"/>
          <w:lang w:val="sr-Cyrl-BA"/>
        </w:rPr>
        <w:t>ем</w:t>
      </w:r>
      <w:r w:rsidR="006A34A8" w:rsidRPr="00295637">
        <w:rPr>
          <w:rFonts w:ascii="Times New Roman" w:hAnsi="Times New Roman"/>
          <w:shd w:val="clear" w:color="auto" w:fill="FFFFFF"/>
        </w:rPr>
        <w:t xml:space="preserve"> </w:t>
      </w:r>
      <w:r>
        <w:rPr>
          <w:rFonts w:ascii="Times New Roman" w:hAnsi="Times New Roman"/>
          <w:shd w:val="clear" w:color="auto" w:fill="FFFFFF"/>
        </w:rPr>
        <w:t>оснаживања</w:t>
      </w:r>
      <w:r w:rsidR="006A34A8" w:rsidRPr="00295637">
        <w:rPr>
          <w:rFonts w:ascii="Times New Roman" w:hAnsi="Times New Roman"/>
          <w:shd w:val="clear" w:color="auto" w:fill="FFFFFF"/>
        </w:rPr>
        <w:t xml:space="preserve"> </w:t>
      </w:r>
      <w:r>
        <w:rPr>
          <w:rFonts w:ascii="Times New Roman" w:hAnsi="Times New Roman"/>
          <w:shd w:val="clear" w:color="auto" w:fill="FFFFFF"/>
        </w:rPr>
        <w:t>маргинализ</w:t>
      </w:r>
      <w:r w:rsidR="00E654F2">
        <w:rPr>
          <w:rFonts w:ascii="Times New Roman" w:hAnsi="Times New Roman"/>
          <w:shd w:val="clear" w:color="auto" w:fill="FFFFFF"/>
          <w:lang w:val="sr-Cyrl-BA"/>
        </w:rPr>
        <w:t>ованих</w:t>
      </w:r>
      <w:r w:rsidR="006A34A8" w:rsidRPr="00295637">
        <w:rPr>
          <w:rFonts w:ascii="Times New Roman" w:hAnsi="Times New Roman"/>
          <w:shd w:val="clear" w:color="auto" w:fill="FFFFFF"/>
        </w:rPr>
        <w:t xml:space="preserve"> </w:t>
      </w:r>
      <w:r>
        <w:rPr>
          <w:rFonts w:ascii="Times New Roman" w:hAnsi="Times New Roman"/>
          <w:shd w:val="clear" w:color="auto" w:fill="FFFFFF"/>
        </w:rPr>
        <w:t>жена</w:t>
      </w:r>
      <w:r w:rsidR="006A34A8" w:rsidRPr="00295637">
        <w:rPr>
          <w:rFonts w:ascii="Times New Roman" w:hAnsi="Times New Roman"/>
          <w:shd w:val="clear" w:color="auto" w:fill="FFFFFF"/>
        </w:rPr>
        <w:t xml:space="preserve"> </w:t>
      </w:r>
      <w:r>
        <w:rPr>
          <w:rFonts w:ascii="Times New Roman" w:hAnsi="Times New Roman"/>
          <w:shd w:val="clear" w:color="auto" w:fill="FFFFFF"/>
        </w:rPr>
        <w:t>и</w:t>
      </w:r>
      <w:r w:rsidR="006A34A8" w:rsidRPr="00295637">
        <w:rPr>
          <w:rFonts w:ascii="Times New Roman" w:hAnsi="Times New Roman"/>
          <w:shd w:val="clear" w:color="auto" w:fill="FFFFFF"/>
        </w:rPr>
        <w:t xml:space="preserve"> </w:t>
      </w:r>
      <w:r>
        <w:rPr>
          <w:rFonts w:ascii="Times New Roman" w:hAnsi="Times New Roman"/>
          <w:shd w:val="clear" w:color="auto" w:fill="FFFFFF"/>
        </w:rPr>
        <w:t>јачања</w:t>
      </w:r>
      <w:r w:rsidR="006A34A8" w:rsidRPr="00295637">
        <w:rPr>
          <w:rFonts w:ascii="Times New Roman" w:hAnsi="Times New Roman"/>
          <w:shd w:val="clear" w:color="auto" w:fill="FFFFFF"/>
        </w:rPr>
        <w:t xml:space="preserve"> </w:t>
      </w:r>
      <w:r>
        <w:rPr>
          <w:rFonts w:ascii="Times New Roman" w:hAnsi="Times New Roman"/>
          <w:shd w:val="clear" w:color="auto" w:fill="FFFFFF"/>
        </w:rPr>
        <w:t>социјалне</w:t>
      </w:r>
      <w:r w:rsidR="006A34A8" w:rsidRPr="00295637">
        <w:rPr>
          <w:rFonts w:ascii="Times New Roman" w:hAnsi="Times New Roman"/>
          <w:shd w:val="clear" w:color="auto" w:fill="FFFFFF"/>
        </w:rPr>
        <w:t xml:space="preserve"> </w:t>
      </w:r>
      <w:r>
        <w:rPr>
          <w:rFonts w:ascii="Times New Roman" w:hAnsi="Times New Roman"/>
          <w:shd w:val="clear" w:color="auto" w:fill="FFFFFF"/>
        </w:rPr>
        <w:t>заштите</w:t>
      </w:r>
      <w:r w:rsidR="006A34A8" w:rsidRPr="00295637">
        <w:rPr>
          <w:rFonts w:ascii="Times New Roman" w:hAnsi="Times New Roman"/>
          <w:shd w:val="clear" w:color="auto" w:fill="FFFFFF"/>
        </w:rPr>
        <w:t xml:space="preserve"> </w:t>
      </w:r>
      <w:r>
        <w:rPr>
          <w:rFonts w:ascii="Times New Roman" w:hAnsi="Times New Roman"/>
          <w:shd w:val="clear" w:color="auto" w:fill="FFFFFF"/>
        </w:rPr>
        <w:t>у</w:t>
      </w:r>
      <w:r w:rsidR="006A34A8" w:rsidRPr="00295637">
        <w:rPr>
          <w:rFonts w:ascii="Times New Roman" w:hAnsi="Times New Roman"/>
          <w:shd w:val="clear" w:color="auto" w:fill="FFFFFF"/>
        </w:rPr>
        <w:t xml:space="preserve"> </w:t>
      </w:r>
      <w:r>
        <w:rPr>
          <w:rFonts w:ascii="Times New Roman" w:hAnsi="Times New Roman"/>
          <w:shd w:val="clear" w:color="auto" w:fill="FFFFFF"/>
        </w:rPr>
        <w:t>локалним</w:t>
      </w:r>
      <w:r w:rsidR="006A34A8" w:rsidRPr="00295637">
        <w:rPr>
          <w:rFonts w:ascii="Times New Roman" w:hAnsi="Times New Roman"/>
          <w:shd w:val="clear" w:color="auto" w:fill="FFFFFF"/>
        </w:rPr>
        <w:t xml:space="preserve"> </w:t>
      </w:r>
      <w:r>
        <w:rPr>
          <w:rFonts w:ascii="Times New Roman" w:hAnsi="Times New Roman"/>
          <w:shd w:val="clear" w:color="auto" w:fill="FFFFFF"/>
        </w:rPr>
        <w:t>заједницама</w:t>
      </w:r>
      <w:r w:rsidR="006A34A8" w:rsidRPr="00295637">
        <w:rPr>
          <w:rFonts w:ascii="Times New Roman" w:hAnsi="Times New Roman"/>
          <w:shd w:val="clear" w:color="auto" w:fill="FFFFFF"/>
        </w:rPr>
        <w:t xml:space="preserve"> </w:t>
      </w:r>
      <w:r>
        <w:rPr>
          <w:rFonts w:ascii="Times New Roman" w:hAnsi="Times New Roman"/>
          <w:shd w:val="clear" w:color="auto" w:fill="FFFFFF"/>
        </w:rPr>
        <w:t>у</w:t>
      </w:r>
      <w:r w:rsidR="00591A5B" w:rsidRPr="00295637">
        <w:rPr>
          <w:rFonts w:ascii="Times New Roman" w:hAnsi="Times New Roman"/>
          <w:shd w:val="clear" w:color="auto" w:fill="FFFFFF"/>
        </w:rPr>
        <w:t xml:space="preserve"> </w:t>
      </w:r>
      <w:r>
        <w:rPr>
          <w:rFonts w:ascii="Times New Roman" w:hAnsi="Times New Roman"/>
          <w:shd w:val="clear" w:color="auto" w:fill="FFFFFF"/>
        </w:rPr>
        <w:t>БиХ</w:t>
      </w:r>
      <w:r w:rsidR="006A34A8" w:rsidRPr="00295637">
        <w:rPr>
          <w:rFonts w:ascii="Times New Roman" w:hAnsi="Times New Roman"/>
          <w:shd w:val="clear" w:color="auto" w:fill="FFFFFF"/>
        </w:rPr>
        <w:t>.</w:t>
      </w:r>
      <w:r w:rsidR="000D02B0">
        <w:rPr>
          <w:rFonts w:ascii="Times New Roman" w:hAnsi="Times New Roman"/>
          <w:shd w:val="clear" w:color="auto" w:fill="FFFFFF"/>
        </w:rPr>
        <w:t xml:space="preserve"> </w:t>
      </w:r>
      <w:r>
        <w:rPr>
          <w:rFonts w:ascii="Times New Roman" w:hAnsi="Times New Roman"/>
          <w:shd w:val="clear" w:color="auto" w:fill="FFFFFF"/>
        </w:rPr>
        <w:t>Ова</w:t>
      </w:r>
      <w:r w:rsidR="000D02B0">
        <w:rPr>
          <w:rFonts w:ascii="Times New Roman" w:hAnsi="Times New Roman"/>
          <w:shd w:val="clear" w:color="auto" w:fill="FFFFFF"/>
        </w:rPr>
        <w:t xml:space="preserve"> </w:t>
      </w:r>
      <w:r>
        <w:rPr>
          <w:rFonts w:ascii="Times New Roman" w:hAnsi="Times New Roman"/>
          <w:shd w:val="clear" w:color="auto" w:fill="FFFFFF"/>
        </w:rPr>
        <w:t>иницијатива</w:t>
      </w:r>
      <w:r w:rsidR="000D02B0">
        <w:rPr>
          <w:rFonts w:ascii="Times New Roman" w:hAnsi="Times New Roman"/>
          <w:shd w:val="clear" w:color="auto" w:fill="FFFFFF"/>
        </w:rPr>
        <w:t xml:space="preserve"> </w:t>
      </w:r>
      <w:r>
        <w:rPr>
          <w:rFonts w:ascii="Times New Roman" w:hAnsi="Times New Roman"/>
          <w:shd w:val="clear" w:color="auto" w:fill="FFFFFF"/>
        </w:rPr>
        <w:t>је</w:t>
      </w:r>
      <w:r w:rsidR="000D02B0">
        <w:rPr>
          <w:rFonts w:ascii="Times New Roman" w:hAnsi="Times New Roman"/>
          <w:shd w:val="clear" w:color="auto" w:fill="FFFFFF"/>
        </w:rPr>
        <w:t xml:space="preserve"> </w:t>
      </w:r>
      <w:r>
        <w:rPr>
          <w:rFonts w:ascii="Times New Roman" w:hAnsi="Times New Roman"/>
          <w:shd w:val="clear" w:color="auto" w:fill="FFFFFF"/>
        </w:rPr>
        <w:t>усклађена</w:t>
      </w:r>
      <w:r w:rsidR="000D02B0">
        <w:rPr>
          <w:rFonts w:ascii="Times New Roman" w:hAnsi="Times New Roman"/>
          <w:shd w:val="clear" w:color="auto" w:fill="FFFFFF"/>
        </w:rPr>
        <w:t xml:space="preserve"> </w:t>
      </w:r>
      <w:r>
        <w:rPr>
          <w:rFonts w:ascii="Times New Roman" w:hAnsi="Times New Roman"/>
          <w:shd w:val="clear" w:color="auto" w:fill="FFFFFF"/>
        </w:rPr>
        <w:t>са</w:t>
      </w:r>
      <w:r w:rsidR="006A34A8" w:rsidRPr="00295637">
        <w:rPr>
          <w:rFonts w:ascii="Times New Roman" w:hAnsi="Times New Roman"/>
          <w:shd w:val="clear" w:color="auto" w:fill="FFFFFF"/>
        </w:rPr>
        <w:t xml:space="preserve"> </w:t>
      </w:r>
      <w:r>
        <w:rPr>
          <w:rFonts w:ascii="Times New Roman" w:hAnsi="Times New Roman"/>
          <w:shd w:val="clear" w:color="auto" w:fill="FFFFFF"/>
        </w:rPr>
        <w:t>широм</w:t>
      </w:r>
      <w:r w:rsidR="006A34A8" w:rsidRPr="00295637">
        <w:rPr>
          <w:rFonts w:ascii="Times New Roman" w:hAnsi="Times New Roman"/>
          <w:shd w:val="clear" w:color="auto" w:fill="FFFFFF"/>
        </w:rPr>
        <w:t xml:space="preserve"> </w:t>
      </w:r>
      <w:r>
        <w:rPr>
          <w:rFonts w:ascii="Times New Roman" w:hAnsi="Times New Roman"/>
          <w:shd w:val="clear" w:color="auto" w:fill="FFFFFF"/>
        </w:rPr>
        <w:t>агендом</w:t>
      </w:r>
      <w:r w:rsidR="006A34A8" w:rsidRPr="00295637">
        <w:rPr>
          <w:rFonts w:ascii="Times New Roman" w:hAnsi="Times New Roman"/>
          <w:shd w:val="clear" w:color="auto" w:fill="FFFFFF"/>
        </w:rPr>
        <w:t xml:space="preserve"> </w:t>
      </w:r>
      <w:r>
        <w:rPr>
          <w:rFonts w:ascii="Times New Roman" w:hAnsi="Times New Roman"/>
          <w:shd w:val="clear" w:color="auto" w:fill="FFFFFF"/>
        </w:rPr>
        <w:t>ЕУ</w:t>
      </w:r>
      <w:r w:rsidR="006A34A8" w:rsidRPr="00295637">
        <w:rPr>
          <w:rFonts w:ascii="Times New Roman" w:hAnsi="Times New Roman"/>
          <w:shd w:val="clear" w:color="auto" w:fill="FFFFFF"/>
        </w:rPr>
        <w:t xml:space="preserve"> </w:t>
      </w:r>
      <w:r>
        <w:rPr>
          <w:rFonts w:ascii="Times New Roman" w:hAnsi="Times New Roman"/>
          <w:shd w:val="clear" w:color="auto" w:fill="FFFFFF"/>
        </w:rPr>
        <w:t>интеграције</w:t>
      </w:r>
      <w:r w:rsidR="006A34A8" w:rsidRPr="00295637">
        <w:rPr>
          <w:rFonts w:ascii="Times New Roman" w:hAnsi="Times New Roman"/>
          <w:shd w:val="clear" w:color="auto" w:fill="FFFFFF"/>
        </w:rPr>
        <w:t xml:space="preserve"> </w:t>
      </w:r>
      <w:r>
        <w:rPr>
          <w:rFonts w:ascii="Times New Roman" w:hAnsi="Times New Roman"/>
          <w:shd w:val="clear" w:color="auto" w:fill="FFFFFF"/>
        </w:rPr>
        <w:t>БиХ</w:t>
      </w:r>
      <w:r w:rsidR="006A34A8" w:rsidRPr="00295637">
        <w:rPr>
          <w:rFonts w:ascii="Times New Roman" w:hAnsi="Times New Roman"/>
          <w:shd w:val="clear" w:color="auto" w:fill="FFFFFF"/>
        </w:rPr>
        <w:t xml:space="preserve"> </w:t>
      </w:r>
      <w:r>
        <w:rPr>
          <w:rFonts w:ascii="Times New Roman" w:hAnsi="Times New Roman"/>
          <w:shd w:val="clear" w:color="auto" w:fill="FFFFFF"/>
        </w:rPr>
        <w:t>и</w:t>
      </w:r>
      <w:r w:rsidR="006A34A8" w:rsidRPr="00295637">
        <w:rPr>
          <w:rFonts w:ascii="Times New Roman" w:hAnsi="Times New Roman"/>
          <w:shd w:val="clear" w:color="auto" w:fill="FFFFFF"/>
        </w:rPr>
        <w:t xml:space="preserve"> </w:t>
      </w:r>
      <w:r>
        <w:rPr>
          <w:rFonts w:ascii="Times New Roman" w:hAnsi="Times New Roman"/>
          <w:shd w:val="clear" w:color="auto" w:fill="FFFFFF"/>
        </w:rPr>
        <w:t>финансирана</w:t>
      </w:r>
      <w:r w:rsidR="006A34A8" w:rsidRPr="00295637">
        <w:rPr>
          <w:rFonts w:ascii="Times New Roman" w:hAnsi="Times New Roman"/>
          <w:shd w:val="clear" w:color="auto" w:fill="FFFFFF"/>
        </w:rPr>
        <w:t xml:space="preserve"> </w:t>
      </w:r>
      <w:r>
        <w:rPr>
          <w:rFonts w:ascii="Times New Roman" w:hAnsi="Times New Roman"/>
          <w:shd w:val="clear" w:color="auto" w:fill="FFFFFF"/>
        </w:rPr>
        <w:t>је</w:t>
      </w:r>
      <w:r w:rsidR="006A34A8" w:rsidRPr="00295637">
        <w:rPr>
          <w:rFonts w:ascii="Times New Roman" w:hAnsi="Times New Roman"/>
          <w:shd w:val="clear" w:color="auto" w:fill="FFFFFF"/>
        </w:rPr>
        <w:t xml:space="preserve"> </w:t>
      </w:r>
      <w:r>
        <w:rPr>
          <w:rFonts w:ascii="Times New Roman" w:hAnsi="Times New Roman"/>
          <w:shd w:val="clear" w:color="auto" w:fill="FFFFFF"/>
        </w:rPr>
        <w:t>у</w:t>
      </w:r>
      <w:r w:rsidR="006A34A8" w:rsidRPr="00295637">
        <w:rPr>
          <w:rFonts w:ascii="Times New Roman" w:hAnsi="Times New Roman"/>
          <w:shd w:val="clear" w:color="auto" w:fill="FFFFFF"/>
        </w:rPr>
        <w:t xml:space="preserve"> </w:t>
      </w:r>
      <w:r>
        <w:rPr>
          <w:rFonts w:ascii="Times New Roman" w:hAnsi="Times New Roman"/>
          <w:shd w:val="clear" w:color="auto" w:fill="FFFFFF"/>
        </w:rPr>
        <w:t>оквиру</w:t>
      </w:r>
      <w:r w:rsidR="006A34A8" w:rsidRPr="00295637">
        <w:rPr>
          <w:rFonts w:ascii="Times New Roman" w:hAnsi="Times New Roman"/>
          <w:shd w:val="clear" w:color="auto" w:fill="FFFFFF"/>
        </w:rPr>
        <w:t xml:space="preserve"> </w:t>
      </w:r>
      <w:r>
        <w:rPr>
          <w:rFonts w:ascii="Times New Roman" w:hAnsi="Times New Roman"/>
          <w:shd w:val="clear" w:color="auto" w:fill="FFFFFF"/>
        </w:rPr>
        <w:t>програма</w:t>
      </w:r>
      <w:r w:rsidR="006A34A8" w:rsidRPr="00295637">
        <w:rPr>
          <w:rFonts w:ascii="Times New Roman" w:hAnsi="Times New Roman"/>
          <w:shd w:val="clear" w:color="auto" w:fill="FFFFFF"/>
        </w:rPr>
        <w:t xml:space="preserve"> </w:t>
      </w:r>
      <w:r w:rsidR="00E023EE">
        <w:rPr>
          <w:rFonts w:ascii="Times New Roman" w:hAnsi="Times New Roman"/>
          <w:shd w:val="clear" w:color="auto" w:fill="FFFFFF"/>
        </w:rPr>
        <w:t>„</w:t>
      </w:r>
      <w:r>
        <w:rPr>
          <w:rFonts w:ascii="Times New Roman" w:hAnsi="Times New Roman"/>
          <w:shd w:val="clear" w:color="auto" w:fill="FFFFFF"/>
        </w:rPr>
        <w:t>ЕУзаИнклузију</w:t>
      </w:r>
      <w:r w:rsidR="00E023EE">
        <w:rPr>
          <w:rFonts w:ascii="Times New Roman" w:hAnsi="Times New Roman"/>
          <w:shd w:val="clear" w:color="auto" w:fill="FFFFFF"/>
        </w:rPr>
        <w:t>“</w:t>
      </w:r>
      <w:r w:rsidR="006A34A8" w:rsidRPr="00295637">
        <w:rPr>
          <w:rFonts w:ascii="Times New Roman" w:hAnsi="Times New Roman"/>
          <w:shd w:val="clear" w:color="auto" w:fill="FFFFFF"/>
        </w:rPr>
        <w:t>.</w:t>
      </w:r>
    </w:p>
    <w:p w:rsidR="006A34A8" w:rsidRPr="00295637" w:rsidRDefault="006A34A8" w:rsidP="0086268D">
      <w:pPr>
        <w:jc w:val="both"/>
        <w:rPr>
          <w:rFonts w:cs="Arial"/>
          <w:color w:val="616161"/>
          <w:shd w:val="clear" w:color="auto" w:fill="FFFFFF"/>
        </w:rPr>
      </w:pPr>
    </w:p>
    <w:p w:rsidR="00822AD8" w:rsidRPr="00295637" w:rsidRDefault="00C6214E" w:rsidP="0086268D">
      <w:pPr>
        <w:jc w:val="both"/>
        <w:rPr>
          <w:rFonts w:ascii="Times New Roman" w:hAnsi="Times New Roman"/>
          <w:lang w:val="bs-Latn-BA"/>
        </w:rPr>
      </w:pPr>
      <w:r>
        <w:rPr>
          <w:rFonts w:ascii="Times New Roman" w:hAnsi="Times New Roman"/>
          <w:lang w:val="bs-Latn-BA"/>
        </w:rPr>
        <w:t>У</w:t>
      </w:r>
      <w:r w:rsidR="00822AD8" w:rsidRPr="00295637">
        <w:rPr>
          <w:rFonts w:ascii="Times New Roman" w:hAnsi="Times New Roman"/>
          <w:lang w:val="bs-Latn-BA"/>
        </w:rPr>
        <w:t xml:space="preserve"> 2024. </w:t>
      </w:r>
      <w:r>
        <w:rPr>
          <w:rFonts w:ascii="Times New Roman" w:hAnsi="Times New Roman"/>
          <w:lang w:val="bs-Latn-BA"/>
        </w:rPr>
        <w:t>години</w:t>
      </w:r>
      <w:r w:rsidR="00822AD8" w:rsidRPr="00295637">
        <w:rPr>
          <w:rFonts w:ascii="Times New Roman" w:hAnsi="Times New Roman"/>
          <w:lang w:val="bs-Latn-BA"/>
        </w:rPr>
        <w:t xml:space="preserve">, </w:t>
      </w:r>
      <w:r>
        <w:rPr>
          <w:rFonts w:ascii="Times New Roman" w:hAnsi="Times New Roman"/>
          <w:lang w:val="bs-Latn-BA"/>
        </w:rPr>
        <w:t>ФМРСП</w:t>
      </w:r>
      <w:r w:rsidR="00822AD8" w:rsidRPr="00295637">
        <w:rPr>
          <w:rFonts w:ascii="Times New Roman" w:hAnsi="Times New Roman"/>
          <w:lang w:val="bs-Latn-BA"/>
        </w:rPr>
        <w:t xml:space="preserve"> </w:t>
      </w:r>
      <w:r>
        <w:rPr>
          <w:rFonts w:ascii="Times New Roman" w:hAnsi="Times New Roman"/>
          <w:lang w:val="bs-Latn-BA"/>
        </w:rPr>
        <w:t>је</w:t>
      </w:r>
      <w:r w:rsidR="008E48A1" w:rsidRPr="00295637">
        <w:rPr>
          <w:rFonts w:ascii="Times New Roman" w:hAnsi="Times New Roman"/>
          <w:lang w:val="bs-Latn-BA"/>
        </w:rPr>
        <w:t xml:space="preserve"> </w:t>
      </w:r>
      <w:r w:rsidR="00E654F2">
        <w:rPr>
          <w:rFonts w:ascii="Times New Roman" w:hAnsi="Times New Roman"/>
          <w:lang w:val="sr-Cyrl-BA"/>
        </w:rPr>
        <w:t>спровело</w:t>
      </w:r>
      <w:r w:rsidR="00822AD8" w:rsidRPr="00295637">
        <w:rPr>
          <w:rFonts w:ascii="Times New Roman" w:hAnsi="Times New Roman"/>
          <w:lang w:val="bs-Latn-BA"/>
        </w:rPr>
        <w:t xml:space="preserve"> </w:t>
      </w:r>
      <w:r>
        <w:rPr>
          <w:rFonts w:ascii="Times New Roman" w:hAnsi="Times New Roman"/>
          <w:lang w:val="bs-Latn-BA"/>
        </w:rPr>
        <w:t>програм</w:t>
      </w:r>
      <w:r w:rsidR="00822AD8" w:rsidRPr="00295637">
        <w:rPr>
          <w:rFonts w:ascii="Times New Roman" w:hAnsi="Times New Roman"/>
          <w:lang w:val="bs-Latn-BA"/>
        </w:rPr>
        <w:t xml:space="preserve"> </w:t>
      </w:r>
      <w:r>
        <w:rPr>
          <w:rFonts w:ascii="Times New Roman" w:hAnsi="Times New Roman"/>
          <w:lang w:val="bs-Latn-BA"/>
        </w:rPr>
        <w:t>једнократне</w:t>
      </w:r>
      <w:r w:rsidR="00822AD8" w:rsidRPr="00295637">
        <w:rPr>
          <w:rFonts w:ascii="Times New Roman" w:hAnsi="Times New Roman"/>
          <w:lang w:val="bs-Latn-BA"/>
        </w:rPr>
        <w:t xml:space="preserve"> </w:t>
      </w:r>
      <w:r>
        <w:rPr>
          <w:rFonts w:ascii="Times New Roman" w:hAnsi="Times New Roman"/>
          <w:lang w:val="bs-Latn-BA"/>
        </w:rPr>
        <w:t>новчане</w:t>
      </w:r>
      <w:r w:rsidR="00822AD8" w:rsidRPr="00295637">
        <w:rPr>
          <w:rFonts w:ascii="Times New Roman" w:hAnsi="Times New Roman"/>
          <w:lang w:val="bs-Latn-BA"/>
        </w:rPr>
        <w:t xml:space="preserve"> </w:t>
      </w:r>
      <w:r>
        <w:rPr>
          <w:rFonts w:ascii="Times New Roman" w:hAnsi="Times New Roman"/>
          <w:lang w:val="bs-Latn-BA"/>
        </w:rPr>
        <w:t>помоћи</w:t>
      </w:r>
      <w:r w:rsidR="00822AD8" w:rsidRPr="00295637">
        <w:rPr>
          <w:rFonts w:ascii="Times New Roman" w:hAnsi="Times New Roman"/>
          <w:lang w:val="bs-Latn-BA"/>
        </w:rPr>
        <w:t xml:space="preserve"> </w:t>
      </w:r>
      <w:r>
        <w:rPr>
          <w:rFonts w:ascii="Times New Roman" w:hAnsi="Times New Roman"/>
          <w:lang w:val="bs-Latn-BA"/>
        </w:rPr>
        <w:t>за</w:t>
      </w:r>
      <w:r w:rsidR="00822AD8" w:rsidRPr="00295637">
        <w:rPr>
          <w:rFonts w:ascii="Times New Roman" w:hAnsi="Times New Roman"/>
          <w:lang w:val="bs-Latn-BA"/>
        </w:rPr>
        <w:t xml:space="preserve"> </w:t>
      </w:r>
      <w:r>
        <w:rPr>
          <w:rFonts w:ascii="Times New Roman" w:hAnsi="Times New Roman"/>
          <w:lang w:val="bs-Latn-BA"/>
        </w:rPr>
        <w:t>новорођено</w:t>
      </w:r>
      <w:r w:rsidR="00822AD8" w:rsidRPr="00295637">
        <w:rPr>
          <w:rFonts w:ascii="Times New Roman" w:hAnsi="Times New Roman"/>
          <w:lang w:val="bs-Latn-BA"/>
        </w:rPr>
        <w:t xml:space="preserve"> </w:t>
      </w:r>
      <w:r>
        <w:rPr>
          <w:rFonts w:ascii="Times New Roman" w:hAnsi="Times New Roman"/>
          <w:lang w:val="bs-Latn-BA"/>
        </w:rPr>
        <w:t>дијете</w:t>
      </w:r>
      <w:r w:rsidR="00822AD8" w:rsidRPr="00295637">
        <w:rPr>
          <w:rFonts w:ascii="Times New Roman" w:hAnsi="Times New Roman"/>
          <w:lang w:val="bs-Latn-BA"/>
        </w:rPr>
        <w:t xml:space="preserve">, </w:t>
      </w:r>
      <w:r w:rsidR="00E654F2">
        <w:rPr>
          <w:rFonts w:ascii="Times New Roman" w:hAnsi="Times New Roman"/>
          <w:lang w:val="sr-Cyrl-BA"/>
        </w:rPr>
        <w:t>с</w:t>
      </w:r>
      <w:r w:rsidR="00822AD8" w:rsidRPr="00295637">
        <w:rPr>
          <w:rFonts w:ascii="Times New Roman" w:hAnsi="Times New Roman"/>
          <w:lang w:val="bs-Latn-BA"/>
        </w:rPr>
        <w:t xml:space="preserve"> </w:t>
      </w:r>
      <w:r>
        <w:rPr>
          <w:rFonts w:ascii="Times New Roman" w:hAnsi="Times New Roman"/>
          <w:lang w:val="bs-Latn-BA"/>
        </w:rPr>
        <w:t>циљ</w:t>
      </w:r>
      <w:r w:rsidR="00E654F2">
        <w:rPr>
          <w:rFonts w:ascii="Times New Roman" w:hAnsi="Times New Roman"/>
          <w:lang w:val="sr-Cyrl-BA"/>
        </w:rPr>
        <w:t>ем</w:t>
      </w:r>
      <w:r w:rsidR="00822AD8" w:rsidRPr="00295637">
        <w:rPr>
          <w:rFonts w:ascii="Times New Roman" w:hAnsi="Times New Roman"/>
          <w:lang w:val="bs-Latn-BA"/>
        </w:rPr>
        <w:t xml:space="preserve"> </w:t>
      </w:r>
      <w:r>
        <w:rPr>
          <w:rFonts w:ascii="Times New Roman" w:hAnsi="Times New Roman"/>
          <w:lang w:val="bs-Latn-BA"/>
        </w:rPr>
        <w:t>материјалног</w:t>
      </w:r>
      <w:r w:rsidR="00822AD8" w:rsidRPr="00295637">
        <w:rPr>
          <w:rFonts w:ascii="Times New Roman" w:hAnsi="Times New Roman"/>
          <w:lang w:val="bs-Latn-BA"/>
        </w:rPr>
        <w:t xml:space="preserve"> </w:t>
      </w:r>
      <w:r>
        <w:rPr>
          <w:rFonts w:ascii="Times New Roman" w:hAnsi="Times New Roman"/>
          <w:lang w:val="bs-Latn-BA"/>
        </w:rPr>
        <w:t>оснаживања</w:t>
      </w:r>
      <w:r w:rsidR="00822AD8" w:rsidRPr="00295637">
        <w:rPr>
          <w:rFonts w:ascii="Times New Roman" w:hAnsi="Times New Roman"/>
          <w:lang w:val="bs-Latn-BA"/>
        </w:rPr>
        <w:t xml:space="preserve"> </w:t>
      </w:r>
      <w:r>
        <w:rPr>
          <w:rFonts w:ascii="Times New Roman" w:hAnsi="Times New Roman"/>
          <w:lang w:val="bs-Latn-BA"/>
        </w:rPr>
        <w:t>породице</w:t>
      </w:r>
      <w:r w:rsidR="00822AD8"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ФБиХ</w:t>
      </w:r>
      <w:r w:rsidR="00822AD8" w:rsidRPr="00295637">
        <w:rPr>
          <w:rFonts w:ascii="Times New Roman" w:hAnsi="Times New Roman"/>
          <w:lang w:val="bs-Latn-BA"/>
        </w:rPr>
        <w:t xml:space="preserve">. </w:t>
      </w:r>
      <w:r>
        <w:rPr>
          <w:rFonts w:ascii="Times New Roman" w:hAnsi="Times New Roman"/>
          <w:lang w:val="bs-Latn-BA"/>
        </w:rPr>
        <w:t>Финансијска</w:t>
      </w:r>
      <w:r w:rsidR="00822AD8" w:rsidRPr="00295637">
        <w:rPr>
          <w:rFonts w:ascii="Times New Roman" w:hAnsi="Times New Roman"/>
          <w:lang w:val="bs-Latn-BA"/>
        </w:rPr>
        <w:t xml:space="preserve"> </w:t>
      </w:r>
      <w:r>
        <w:rPr>
          <w:rFonts w:ascii="Times New Roman" w:hAnsi="Times New Roman"/>
          <w:lang w:val="bs-Latn-BA"/>
        </w:rPr>
        <w:t>средства</w:t>
      </w:r>
      <w:r w:rsidR="00822AD8" w:rsidRPr="00295637">
        <w:rPr>
          <w:rFonts w:ascii="Times New Roman" w:hAnsi="Times New Roman"/>
          <w:lang w:val="bs-Latn-BA"/>
        </w:rPr>
        <w:t xml:space="preserve"> </w:t>
      </w:r>
      <w:r>
        <w:rPr>
          <w:rFonts w:ascii="Times New Roman" w:hAnsi="Times New Roman"/>
          <w:lang w:val="bs-Latn-BA"/>
        </w:rPr>
        <w:t>за</w:t>
      </w:r>
      <w:r w:rsidR="00822AD8" w:rsidRPr="00295637">
        <w:rPr>
          <w:rFonts w:ascii="Times New Roman" w:hAnsi="Times New Roman"/>
          <w:lang w:val="bs-Latn-BA"/>
        </w:rPr>
        <w:t xml:space="preserve"> </w:t>
      </w:r>
      <w:r>
        <w:rPr>
          <w:rFonts w:ascii="Times New Roman" w:hAnsi="Times New Roman"/>
          <w:lang w:val="bs-Latn-BA"/>
        </w:rPr>
        <w:t>ову</w:t>
      </w:r>
      <w:r w:rsidR="00822AD8" w:rsidRPr="00295637">
        <w:rPr>
          <w:rFonts w:ascii="Times New Roman" w:hAnsi="Times New Roman"/>
          <w:lang w:val="bs-Latn-BA"/>
        </w:rPr>
        <w:t xml:space="preserve"> </w:t>
      </w:r>
      <w:r>
        <w:rPr>
          <w:rFonts w:ascii="Times New Roman" w:hAnsi="Times New Roman"/>
          <w:lang w:val="bs-Latn-BA"/>
        </w:rPr>
        <w:t>намјену</w:t>
      </w:r>
      <w:r w:rsidR="00822AD8" w:rsidRPr="00295637">
        <w:rPr>
          <w:rFonts w:ascii="Times New Roman" w:hAnsi="Times New Roman"/>
          <w:lang w:val="bs-Latn-BA"/>
        </w:rPr>
        <w:t xml:space="preserve"> </w:t>
      </w:r>
      <w:r w:rsidR="00E654F2">
        <w:rPr>
          <w:rFonts w:ascii="Times New Roman" w:hAnsi="Times New Roman"/>
          <w:lang w:val="bs-Latn-BA"/>
        </w:rPr>
        <w:t xml:space="preserve">су </w:t>
      </w:r>
      <w:r>
        <w:rPr>
          <w:rFonts w:ascii="Times New Roman" w:hAnsi="Times New Roman"/>
          <w:lang w:val="bs-Latn-BA"/>
        </w:rPr>
        <w:t>о</w:t>
      </w:r>
      <w:r w:rsidR="00E654F2">
        <w:rPr>
          <w:rFonts w:ascii="Times New Roman" w:hAnsi="Times New Roman"/>
          <w:lang w:val="sr-Cyrl-BA"/>
        </w:rPr>
        <w:t>безбијеђена</w:t>
      </w:r>
      <w:r w:rsidR="00822AD8" w:rsidRPr="00295637">
        <w:rPr>
          <w:rFonts w:ascii="Times New Roman" w:hAnsi="Times New Roman"/>
          <w:lang w:val="bs-Latn-BA"/>
        </w:rPr>
        <w:t xml:space="preserve"> </w:t>
      </w:r>
      <w:r>
        <w:rPr>
          <w:rFonts w:ascii="Times New Roman" w:hAnsi="Times New Roman"/>
          <w:lang w:val="bs-Latn-BA"/>
        </w:rPr>
        <w:t>из</w:t>
      </w:r>
      <w:r w:rsidR="00822AD8" w:rsidRPr="00295637">
        <w:rPr>
          <w:rFonts w:ascii="Times New Roman" w:hAnsi="Times New Roman"/>
          <w:lang w:val="bs-Latn-BA"/>
        </w:rPr>
        <w:t xml:space="preserve"> </w:t>
      </w:r>
      <w:r>
        <w:rPr>
          <w:rFonts w:ascii="Times New Roman" w:hAnsi="Times New Roman"/>
          <w:lang w:val="bs-Latn-BA"/>
        </w:rPr>
        <w:t>буџета</w:t>
      </w:r>
      <w:r w:rsidR="00822AD8" w:rsidRPr="00295637">
        <w:rPr>
          <w:rFonts w:ascii="Times New Roman" w:hAnsi="Times New Roman"/>
          <w:lang w:val="bs-Latn-BA"/>
        </w:rPr>
        <w:t xml:space="preserve"> </w:t>
      </w:r>
      <w:r>
        <w:rPr>
          <w:rFonts w:ascii="Times New Roman" w:hAnsi="Times New Roman"/>
          <w:lang w:val="bs-Latn-BA"/>
        </w:rPr>
        <w:t>ФБиХ</w:t>
      </w:r>
      <w:r w:rsidR="00822AD8" w:rsidRPr="00295637">
        <w:rPr>
          <w:rFonts w:ascii="Times New Roman" w:hAnsi="Times New Roman"/>
          <w:lang w:val="bs-Latn-BA"/>
        </w:rPr>
        <w:t xml:space="preserve">, </w:t>
      </w:r>
      <w:r>
        <w:rPr>
          <w:rFonts w:ascii="Times New Roman" w:hAnsi="Times New Roman"/>
          <w:lang w:val="bs-Latn-BA"/>
        </w:rPr>
        <w:t>кроз</w:t>
      </w:r>
      <w:r w:rsidR="00822AD8" w:rsidRPr="00295637">
        <w:rPr>
          <w:rFonts w:ascii="Times New Roman" w:hAnsi="Times New Roman"/>
          <w:lang w:val="bs-Latn-BA"/>
        </w:rPr>
        <w:t xml:space="preserve"> </w:t>
      </w:r>
      <w:r>
        <w:rPr>
          <w:rFonts w:ascii="Times New Roman" w:hAnsi="Times New Roman"/>
          <w:lang w:val="bs-Latn-BA"/>
        </w:rPr>
        <w:t>текући</w:t>
      </w:r>
      <w:r w:rsidR="00822AD8" w:rsidRPr="00295637">
        <w:rPr>
          <w:rFonts w:ascii="Times New Roman" w:hAnsi="Times New Roman"/>
          <w:lang w:val="bs-Latn-BA"/>
        </w:rPr>
        <w:t xml:space="preserve"> </w:t>
      </w:r>
      <w:r>
        <w:rPr>
          <w:rFonts w:ascii="Times New Roman" w:hAnsi="Times New Roman"/>
          <w:lang w:val="bs-Latn-BA"/>
        </w:rPr>
        <w:t>трансфер</w:t>
      </w:r>
      <w:r w:rsidR="00822AD8" w:rsidRPr="00295637">
        <w:rPr>
          <w:rFonts w:ascii="Times New Roman" w:hAnsi="Times New Roman"/>
          <w:lang w:val="bs-Latn-BA"/>
        </w:rPr>
        <w:t xml:space="preserve"> </w:t>
      </w:r>
      <w:r>
        <w:rPr>
          <w:rFonts w:ascii="Times New Roman" w:hAnsi="Times New Roman"/>
          <w:lang w:val="bs-Latn-BA"/>
        </w:rPr>
        <w:t>појединцима</w:t>
      </w:r>
      <w:r w:rsidR="00822AD8" w:rsidRPr="00295637">
        <w:rPr>
          <w:rFonts w:ascii="Times New Roman" w:hAnsi="Times New Roman"/>
          <w:lang w:val="bs-Latn-BA"/>
        </w:rPr>
        <w:t xml:space="preserve">. </w:t>
      </w:r>
      <w:r>
        <w:rPr>
          <w:rFonts w:ascii="Times New Roman" w:hAnsi="Times New Roman"/>
          <w:lang w:val="bs-Latn-BA"/>
        </w:rPr>
        <w:t>Програм</w:t>
      </w:r>
      <w:r w:rsidR="00822AD8" w:rsidRPr="00295637">
        <w:rPr>
          <w:rFonts w:ascii="Times New Roman" w:hAnsi="Times New Roman"/>
          <w:lang w:val="bs-Latn-BA"/>
        </w:rPr>
        <w:t xml:space="preserve"> </w:t>
      </w:r>
      <w:r>
        <w:rPr>
          <w:rFonts w:ascii="Times New Roman" w:hAnsi="Times New Roman"/>
          <w:lang w:val="bs-Latn-BA"/>
        </w:rPr>
        <w:t>је</w:t>
      </w:r>
      <w:r w:rsidR="00822AD8" w:rsidRPr="00295637">
        <w:rPr>
          <w:rFonts w:ascii="Times New Roman" w:hAnsi="Times New Roman"/>
          <w:lang w:val="bs-Latn-BA"/>
        </w:rPr>
        <w:t xml:space="preserve"> </w:t>
      </w:r>
      <w:r>
        <w:rPr>
          <w:rFonts w:ascii="Times New Roman" w:hAnsi="Times New Roman"/>
          <w:lang w:val="bs-Latn-BA"/>
        </w:rPr>
        <w:t>осмишљен</w:t>
      </w:r>
      <w:r w:rsidR="00822AD8" w:rsidRPr="00295637">
        <w:rPr>
          <w:rFonts w:ascii="Times New Roman" w:hAnsi="Times New Roman"/>
          <w:lang w:val="bs-Latn-BA"/>
        </w:rPr>
        <w:t xml:space="preserve"> </w:t>
      </w:r>
      <w:r>
        <w:rPr>
          <w:rFonts w:ascii="Times New Roman" w:hAnsi="Times New Roman"/>
          <w:lang w:val="bs-Latn-BA"/>
        </w:rPr>
        <w:t>како</w:t>
      </w:r>
      <w:r w:rsidR="00822AD8" w:rsidRPr="00295637">
        <w:rPr>
          <w:rFonts w:ascii="Times New Roman" w:hAnsi="Times New Roman"/>
          <w:lang w:val="bs-Latn-BA"/>
        </w:rPr>
        <w:t xml:space="preserve"> </w:t>
      </w:r>
      <w:r>
        <w:rPr>
          <w:rFonts w:ascii="Times New Roman" w:hAnsi="Times New Roman"/>
          <w:lang w:val="bs-Latn-BA"/>
        </w:rPr>
        <w:t>би</w:t>
      </w:r>
      <w:r w:rsidR="00822AD8" w:rsidRPr="00295637">
        <w:rPr>
          <w:rFonts w:ascii="Times New Roman" w:hAnsi="Times New Roman"/>
          <w:lang w:val="bs-Latn-BA"/>
        </w:rPr>
        <w:t xml:space="preserve"> </w:t>
      </w:r>
      <w:r>
        <w:rPr>
          <w:rFonts w:ascii="Times New Roman" w:hAnsi="Times New Roman"/>
          <w:lang w:val="bs-Latn-BA"/>
        </w:rPr>
        <w:t>подржао</w:t>
      </w:r>
      <w:r w:rsidR="00822AD8" w:rsidRPr="00295637">
        <w:rPr>
          <w:rFonts w:ascii="Times New Roman" w:hAnsi="Times New Roman"/>
          <w:lang w:val="bs-Latn-BA"/>
        </w:rPr>
        <w:t xml:space="preserve"> </w:t>
      </w:r>
      <w:r>
        <w:rPr>
          <w:rFonts w:ascii="Times New Roman" w:hAnsi="Times New Roman"/>
          <w:lang w:val="bs-Latn-BA"/>
        </w:rPr>
        <w:t>породице</w:t>
      </w:r>
      <w:r w:rsidR="00822AD8"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раној</w:t>
      </w:r>
      <w:r w:rsidR="00822AD8" w:rsidRPr="00295637">
        <w:rPr>
          <w:rFonts w:ascii="Times New Roman" w:hAnsi="Times New Roman"/>
          <w:lang w:val="bs-Latn-BA"/>
        </w:rPr>
        <w:t xml:space="preserve"> </w:t>
      </w:r>
      <w:r>
        <w:rPr>
          <w:rFonts w:ascii="Times New Roman" w:hAnsi="Times New Roman"/>
          <w:lang w:val="bs-Latn-BA"/>
        </w:rPr>
        <w:t>фази</w:t>
      </w:r>
      <w:r w:rsidR="00822AD8" w:rsidRPr="00295637">
        <w:rPr>
          <w:rFonts w:ascii="Times New Roman" w:hAnsi="Times New Roman"/>
          <w:lang w:val="bs-Latn-BA"/>
        </w:rPr>
        <w:t xml:space="preserve"> </w:t>
      </w:r>
      <w:r>
        <w:rPr>
          <w:rFonts w:ascii="Times New Roman" w:hAnsi="Times New Roman"/>
          <w:lang w:val="bs-Latn-BA"/>
        </w:rPr>
        <w:t>родитељства</w:t>
      </w:r>
      <w:r w:rsidR="00822AD8" w:rsidRPr="00295637">
        <w:rPr>
          <w:rFonts w:ascii="Times New Roman" w:hAnsi="Times New Roman"/>
          <w:lang w:val="bs-Latn-BA"/>
        </w:rPr>
        <w:t xml:space="preserve">, </w:t>
      </w:r>
      <w:r>
        <w:rPr>
          <w:rFonts w:ascii="Times New Roman" w:hAnsi="Times New Roman"/>
          <w:lang w:val="bs-Latn-BA"/>
        </w:rPr>
        <w:t>смањио</w:t>
      </w:r>
      <w:r w:rsidR="00822AD8" w:rsidRPr="00295637">
        <w:rPr>
          <w:rFonts w:ascii="Times New Roman" w:hAnsi="Times New Roman"/>
          <w:lang w:val="bs-Latn-BA"/>
        </w:rPr>
        <w:t xml:space="preserve"> </w:t>
      </w:r>
      <w:r>
        <w:rPr>
          <w:rFonts w:ascii="Times New Roman" w:hAnsi="Times New Roman"/>
          <w:lang w:val="bs-Latn-BA"/>
        </w:rPr>
        <w:t>економски</w:t>
      </w:r>
      <w:r w:rsidR="00822AD8" w:rsidRPr="00295637">
        <w:rPr>
          <w:rFonts w:ascii="Times New Roman" w:hAnsi="Times New Roman"/>
          <w:lang w:val="bs-Latn-BA"/>
        </w:rPr>
        <w:t xml:space="preserve"> </w:t>
      </w:r>
      <w:r>
        <w:rPr>
          <w:rFonts w:ascii="Times New Roman" w:hAnsi="Times New Roman"/>
          <w:lang w:val="bs-Latn-BA"/>
        </w:rPr>
        <w:t>притисак</w:t>
      </w:r>
      <w:r w:rsidR="00822AD8" w:rsidRPr="00295637">
        <w:rPr>
          <w:rFonts w:ascii="Times New Roman" w:hAnsi="Times New Roman"/>
          <w:lang w:val="bs-Latn-BA"/>
        </w:rPr>
        <w:t xml:space="preserve"> </w:t>
      </w:r>
      <w:r>
        <w:rPr>
          <w:rFonts w:ascii="Times New Roman" w:hAnsi="Times New Roman"/>
          <w:lang w:val="bs-Latn-BA"/>
        </w:rPr>
        <w:t>и</w:t>
      </w:r>
      <w:r w:rsidR="00822AD8" w:rsidRPr="00295637">
        <w:rPr>
          <w:rFonts w:ascii="Times New Roman" w:hAnsi="Times New Roman"/>
          <w:lang w:val="bs-Latn-BA"/>
        </w:rPr>
        <w:t xml:space="preserve"> </w:t>
      </w:r>
      <w:r>
        <w:rPr>
          <w:rFonts w:ascii="Times New Roman" w:hAnsi="Times New Roman"/>
          <w:lang w:val="bs-Latn-BA"/>
        </w:rPr>
        <w:t>о</w:t>
      </w:r>
      <w:r w:rsidR="00E654F2">
        <w:rPr>
          <w:rFonts w:ascii="Times New Roman" w:hAnsi="Times New Roman"/>
          <w:lang w:val="sr-Cyrl-BA"/>
        </w:rPr>
        <w:t>безбиједио</w:t>
      </w:r>
      <w:r w:rsidR="00822AD8" w:rsidRPr="00295637">
        <w:rPr>
          <w:rFonts w:ascii="Times New Roman" w:hAnsi="Times New Roman"/>
          <w:lang w:val="bs-Latn-BA"/>
        </w:rPr>
        <w:t xml:space="preserve"> </w:t>
      </w:r>
      <w:r>
        <w:rPr>
          <w:rFonts w:ascii="Times New Roman" w:hAnsi="Times New Roman"/>
          <w:lang w:val="bs-Latn-BA"/>
        </w:rPr>
        <w:t>бољи</w:t>
      </w:r>
      <w:r w:rsidR="00822AD8" w:rsidRPr="00295637">
        <w:rPr>
          <w:rFonts w:ascii="Times New Roman" w:hAnsi="Times New Roman"/>
          <w:lang w:val="bs-Latn-BA"/>
        </w:rPr>
        <w:t xml:space="preserve"> </w:t>
      </w:r>
      <w:r>
        <w:rPr>
          <w:rFonts w:ascii="Times New Roman" w:hAnsi="Times New Roman"/>
          <w:lang w:val="bs-Latn-BA"/>
        </w:rPr>
        <w:t>почетак</w:t>
      </w:r>
      <w:r w:rsidR="00822AD8" w:rsidRPr="00295637">
        <w:rPr>
          <w:rFonts w:ascii="Times New Roman" w:hAnsi="Times New Roman"/>
          <w:lang w:val="bs-Latn-BA"/>
        </w:rPr>
        <w:t xml:space="preserve"> </w:t>
      </w:r>
      <w:r>
        <w:rPr>
          <w:rFonts w:ascii="Times New Roman" w:hAnsi="Times New Roman"/>
          <w:lang w:val="bs-Latn-BA"/>
        </w:rPr>
        <w:t>живота</w:t>
      </w:r>
      <w:r w:rsidR="00822AD8" w:rsidRPr="00295637">
        <w:rPr>
          <w:rFonts w:ascii="Times New Roman" w:hAnsi="Times New Roman"/>
          <w:lang w:val="bs-Latn-BA"/>
        </w:rPr>
        <w:t xml:space="preserve"> </w:t>
      </w:r>
      <w:r>
        <w:rPr>
          <w:rFonts w:ascii="Times New Roman" w:hAnsi="Times New Roman"/>
          <w:lang w:val="bs-Latn-BA"/>
        </w:rPr>
        <w:t>за</w:t>
      </w:r>
      <w:r w:rsidR="00822AD8" w:rsidRPr="00295637">
        <w:rPr>
          <w:rFonts w:ascii="Times New Roman" w:hAnsi="Times New Roman"/>
          <w:lang w:val="bs-Latn-BA"/>
        </w:rPr>
        <w:t xml:space="preserve"> </w:t>
      </w:r>
      <w:r>
        <w:rPr>
          <w:rFonts w:ascii="Times New Roman" w:hAnsi="Times New Roman"/>
          <w:lang w:val="bs-Latn-BA"/>
        </w:rPr>
        <w:t>новорођенчад</w:t>
      </w:r>
      <w:r w:rsidR="00822AD8" w:rsidRPr="00295637">
        <w:rPr>
          <w:rFonts w:ascii="Times New Roman" w:hAnsi="Times New Roman"/>
          <w:lang w:val="bs-Latn-BA"/>
        </w:rPr>
        <w:t>.</w:t>
      </w:r>
      <w:bookmarkEnd w:id="41"/>
    </w:p>
    <w:p w:rsidR="00736CC6" w:rsidRPr="00295637" w:rsidRDefault="00736CC6" w:rsidP="0086268D">
      <w:pPr>
        <w:jc w:val="both"/>
        <w:rPr>
          <w:rFonts w:ascii="Times New Roman" w:hAnsi="Times New Roman"/>
          <w:lang w:val="bs-Latn-BA"/>
        </w:rPr>
      </w:pPr>
    </w:p>
    <w:p w:rsidR="00736CC6"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736CC6" w:rsidRPr="00295637">
        <w:rPr>
          <w:rFonts w:ascii="Times New Roman" w:hAnsi="Times New Roman"/>
          <w:lang w:val="sr-Latn-BA"/>
        </w:rPr>
        <w:t xml:space="preserve"> </w:t>
      </w:r>
      <w:r>
        <w:rPr>
          <w:rFonts w:ascii="Times New Roman" w:hAnsi="Times New Roman"/>
          <w:lang w:val="sr-Latn-BA"/>
        </w:rPr>
        <w:t>извјештајном</w:t>
      </w:r>
      <w:r w:rsidR="00736CC6" w:rsidRPr="00295637">
        <w:rPr>
          <w:rFonts w:ascii="Times New Roman" w:hAnsi="Times New Roman"/>
          <w:lang w:val="sr-Latn-BA"/>
        </w:rPr>
        <w:t xml:space="preserve"> </w:t>
      </w:r>
      <w:r>
        <w:rPr>
          <w:rFonts w:ascii="Times New Roman" w:hAnsi="Times New Roman"/>
          <w:lang w:val="sr-Latn-BA"/>
        </w:rPr>
        <w:t>периоду</w:t>
      </w:r>
      <w:r w:rsidR="00736CC6" w:rsidRPr="00295637">
        <w:rPr>
          <w:rFonts w:ascii="Times New Roman" w:hAnsi="Times New Roman"/>
          <w:lang w:val="sr-Latn-BA"/>
        </w:rPr>
        <w:t xml:space="preserve">, </w:t>
      </w:r>
      <w:r>
        <w:rPr>
          <w:rFonts w:ascii="Times New Roman" w:hAnsi="Times New Roman"/>
          <w:lang w:val="sr-Latn-BA"/>
        </w:rPr>
        <w:t>Влада</w:t>
      </w:r>
      <w:r w:rsidR="00BB4B50" w:rsidRPr="00295637">
        <w:rPr>
          <w:rFonts w:ascii="Times New Roman" w:hAnsi="Times New Roman"/>
          <w:lang w:val="sr-Latn-BA"/>
        </w:rPr>
        <w:t xml:space="preserve"> </w:t>
      </w:r>
      <w:r>
        <w:rPr>
          <w:rFonts w:ascii="Times New Roman" w:hAnsi="Times New Roman"/>
          <w:lang w:val="sr-Latn-BA"/>
        </w:rPr>
        <w:t>РС</w:t>
      </w:r>
      <w:r w:rsidR="00BB4B50" w:rsidRPr="00295637">
        <w:rPr>
          <w:rFonts w:ascii="Times New Roman" w:hAnsi="Times New Roman"/>
          <w:lang w:val="sr-Latn-BA"/>
        </w:rPr>
        <w:t xml:space="preserve"> </w:t>
      </w:r>
      <w:r>
        <w:rPr>
          <w:rFonts w:ascii="Times New Roman" w:hAnsi="Times New Roman"/>
          <w:lang w:val="sr-Latn-BA"/>
        </w:rPr>
        <w:t>основала</w:t>
      </w:r>
      <w:r w:rsidR="00736CC6" w:rsidRPr="00295637">
        <w:rPr>
          <w:rFonts w:ascii="Times New Roman" w:hAnsi="Times New Roman"/>
          <w:lang w:val="sr-Latn-BA"/>
        </w:rPr>
        <w:t xml:space="preserve"> </w:t>
      </w:r>
      <w:r>
        <w:rPr>
          <w:rFonts w:ascii="Times New Roman" w:hAnsi="Times New Roman"/>
          <w:lang w:val="sr-Latn-BA"/>
        </w:rPr>
        <w:t>је</w:t>
      </w:r>
      <w:r w:rsidR="00736CC6" w:rsidRPr="00295637">
        <w:rPr>
          <w:rFonts w:ascii="Times New Roman" w:hAnsi="Times New Roman"/>
          <w:lang w:val="sr-Latn-BA"/>
        </w:rPr>
        <w:t xml:space="preserve"> </w:t>
      </w:r>
      <w:r>
        <w:rPr>
          <w:rFonts w:ascii="Times New Roman" w:hAnsi="Times New Roman"/>
          <w:lang w:val="sr-Latn-BA"/>
        </w:rPr>
        <w:t>Јавну</w:t>
      </w:r>
      <w:r w:rsidR="00736CC6" w:rsidRPr="00295637">
        <w:rPr>
          <w:rFonts w:ascii="Times New Roman" w:hAnsi="Times New Roman"/>
          <w:lang w:val="sr-Latn-BA"/>
        </w:rPr>
        <w:t xml:space="preserve"> </w:t>
      </w:r>
      <w:r>
        <w:rPr>
          <w:rFonts w:ascii="Times New Roman" w:hAnsi="Times New Roman"/>
          <w:lang w:val="sr-Latn-BA"/>
        </w:rPr>
        <w:t>установу</w:t>
      </w:r>
      <w:r w:rsidR="00736CC6" w:rsidRPr="00295637">
        <w:rPr>
          <w:rFonts w:ascii="Times New Roman" w:hAnsi="Times New Roman"/>
          <w:lang w:val="sr-Latn-BA"/>
        </w:rPr>
        <w:t xml:space="preserve"> </w:t>
      </w:r>
      <w:r>
        <w:rPr>
          <w:rFonts w:ascii="Times New Roman" w:hAnsi="Times New Roman"/>
          <w:lang w:val="sr-Latn-BA"/>
        </w:rPr>
        <w:t>Завод</w:t>
      </w:r>
      <w:r w:rsidR="00736CC6" w:rsidRPr="00295637">
        <w:rPr>
          <w:rFonts w:ascii="Times New Roman" w:hAnsi="Times New Roman"/>
          <w:lang w:val="sr-Latn-BA"/>
        </w:rPr>
        <w:t xml:space="preserve"> </w:t>
      </w:r>
      <w:r>
        <w:rPr>
          <w:rFonts w:ascii="Times New Roman" w:hAnsi="Times New Roman"/>
          <w:lang w:val="sr-Latn-BA"/>
        </w:rPr>
        <w:t>за</w:t>
      </w:r>
      <w:r w:rsidR="00736CC6" w:rsidRPr="00295637">
        <w:rPr>
          <w:rFonts w:ascii="Times New Roman" w:hAnsi="Times New Roman"/>
          <w:lang w:val="sr-Latn-BA"/>
        </w:rPr>
        <w:t xml:space="preserve"> </w:t>
      </w:r>
      <w:r>
        <w:rPr>
          <w:rFonts w:ascii="Times New Roman" w:hAnsi="Times New Roman"/>
          <w:lang w:val="sr-Latn-BA"/>
        </w:rPr>
        <w:t>социјалну</w:t>
      </w:r>
      <w:r w:rsidR="00736CC6" w:rsidRPr="00295637">
        <w:rPr>
          <w:rFonts w:ascii="Times New Roman" w:hAnsi="Times New Roman"/>
          <w:lang w:val="sr-Latn-BA"/>
        </w:rPr>
        <w:t xml:space="preserve"> </w:t>
      </w:r>
      <w:r>
        <w:rPr>
          <w:rFonts w:ascii="Times New Roman" w:hAnsi="Times New Roman"/>
          <w:lang w:val="sr-Latn-BA"/>
        </w:rPr>
        <w:t>заштиту</w:t>
      </w:r>
      <w:r w:rsidR="00736CC6" w:rsidRPr="00295637">
        <w:rPr>
          <w:rFonts w:ascii="Times New Roman" w:hAnsi="Times New Roman"/>
          <w:lang w:val="sr-Latn-BA"/>
        </w:rPr>
        <w:t xml:space="preserve"> </w:t>
      </w:r>
      <w:r>
        <w:rPr>
          <w:rFonts w:ascii="Times New Roman" w:hAnsi="Times New Roman"/>
          <w:lang w:val="sr-Latn-BA"/>
        </w:rPr>
        <w:t>РС</w:t>
      </w:r>
      <w:r w:rsidR="00736CC6" w:rsidRPr="00295637">
        <w:rPr>
          <w:rFonts w:ascii="Times New Roman" w:hAnsi="Times New Roman"/>
          <w:lang w:val="sr-Latn-BA"/>
        </w:rPr>
        <w:t xml:space="preserve">, </w:t>
      </w:r>
      <w:r>
        <w:rPr>
          <w:rFonts w:ascii="Times New Roman" w:hAnsi="Times New Roman"/>
          <w:lang w:val="sr-Latn-BA"/>
        </w:rPr>
        <w:t>ради</w:t>
      </w:r>
      <w:r w:rsidR="00736CC6" w:rsidRPr="00295637">
        <w:rPr>
          <w:rFonts w:ascii="Times New Roman" w:hAnsi="Times New Roman"/>
          <w:lang w:val="sr-Latn-BA"/>
        </w:rPr>
        <w:t xml:space="preserve"> </w:t>
      </w:r>
      <w:r>
        <w:rPr>
          <w:rFonts w:ascii="Times New Roman" w:hAnsi="Times New Roman"/>
          <w:lang w:val="sr-Latn-BA"/>
        </w:rPr>
        <w:t>праћења</w:t>
      </w:r>
      <w:r w:rsidR="00736CC6" w:rsidRPr="00295637">
        <w:rPr>
          <w:rFonts w:ascii="Times New Roman" w:hAnsi="Times New Roman"/>
          <w:lang w:val="sr-Latn-BA"/>
        </w:rPr>
        <w:t xml:space="preserve">, </w:t>
      </w:r>
      <w:r>
        <w:rPr>
          <w:rFonts w:ascii="Times New Roman" w:hAnsi="Times New Roman"/>
          <w:lang w:val="sr-Latn-BA"/>
        </w:rPr>
        <w:t>унапређивања</w:t>
      </w:r>
      <w:r w:rsidR="00736CC6" w:rsidRPr="00295637">
        <w:rPr>
          <w:rFonts w:ascii="Times New Roman" w:hAnsi="Times New Roman"/>
          <w:lang w:val="sr-Latn-BA"/>
        </w:rPr>
        <w:t xml:space="preserve">, </w:t>
      </w:r>
      <w:r>
        <w:rPr>
          <w:rFonts w:ascii="Times New Roman" w:hAnsi="Times New Roman"/>
          <w:lang w:val="sr-Latn-BA"/>
        </w:rPr>
        <w:t>планирања</w:t>
      </w:r>
      <w:r w:rsidR="00736CC6" w:rsidRPr="00295637">
        <w:rPr>
          <w:rFonts w:ascii="Times New Roman" w:hAnsi="Times New Roman"/>
          <w:lang w:val="sr-Latn-BA"/>
        </w:rPr>
        <w:t xml:space="preserve">, </w:t>
      </w:r>
      <w:r>
        <w:rPr>
          <w:rFonts w:ascii="Times New Roman" w:hAnsi="Times New Roman"/>
          <w:lang w:val="sr-Latn-BA"/>
        </w:rPr>
        <w:t>подстицања</w:t>
      </w:r>
      <w:r w:rsidR="00736CC6" w:rsidRPr="00295637">
        <w:rPr>
          <w:rFonts w:ascii="Times New Roman" w:hAnsi="Times New Roman"/>
          <w:lang w:val="sr-Latn-BA"/>
        </w:rPr>
        <w:t xml:space="preserve"> </w:t>
      </w:r>
      <w:r>
        <w:rPr>
          <w:rFonts w:ascii="Times New Roman" w:hAnsi="Times New Roman"/>
          <w:lang w:val="sr-Latn-BA"/>
        </w:rPr>
        <w:t>развоја</w:t>
      </w:r>
      <w:r w:rsidR="00736CC6" w:rsidRPr="00295637">
        <w:rPr>
          <w:rFonts w:ascii="Times New Roman" w:hAnsi="Times New Roman"/>
          <w:lang w:val="sr-Latn-BA"/>
        </w:rPr>
        <w:t xml:space="preserve"> </w:t>
      </w:r>
      <w:r>
        <w:rPr>
          <w:rFonts w:ascii="Times New Roman" w:hAnsi="Times New Roman"/>
          <w:lang w:val="sr-Latn-BA"/>
        </w:rPr>
        <w:t>и</w:t>
      </w:r>
      <w:r w:rsidR="00736CC6" w:rsidRPr="00295637">
        <w:rPr>
          <w:rFonts w:ascii="Times New Roman" w:hAnsi="Times New Roman"/>
          <w:lang w:val="sr-Latn-BA"/>
        </w:rPr>
        <w:t xml:space="preserve"> </w:t>
      </w:r>
      <w:r>
        <w:rPr>
          <w:rFonts w:ascii="Times New Roman" w:hAnsi="Times New Roman"/>
          <w:lang w:val="sr-Latn-BA"/>
        </w:rPr>
        <w:t>обављања</w:t>
      </w:r>
      <w:r w:rsidR="00736CC6" w:rsidRPr="00295637">
        <w:rPr>
          <w:rFonts w:ascii="Times New Roman" w:hAnsi="Times New Roman"/>
          <w:lang w:val="sr-Latn-BA"/>
        </w:rPr>
        <w:t xml:space="preserve"> </w:t>
      </w:r>
      <w:r>
        <w:rPr>
          <w:rFonts w:ascii="Times New Roman" w:hAnsi="Times New Roman"/>
          <w:lang w:val="sr-Latn-BA"/>
        </w:rPr>
        <w:t>истраживачких</w:t>
      </w:r>
      <w:r w:rsidR="00736CC6" w:rsidRPr="00295637">
        <w:rPr>
          <w:rFonts w:ascii="Times New Roman" w:hAnsi="Times New Roman"/>
          <w:lang w:val="sr-Latn-BA"/>
        </w:rPr>
        <w:t xml:space="preserve"> </w:t>
      </w:r>
      <w:r>
        <w:rPr>
          <w:rFonts w:ascii="Times New Roman" w:hAnsi="Times New Roman"/>
          <w:lang w:val="sr-Latn-BA"/>
        </w:rPr>
        <w:t>и</w:t>
      </w:r>
      <w:r w:rsidR="00736CC6" w:rsidRPr="00295637">
        <w:rPr>
          <w:rFonts w:ascii="Times New Roman" w:hAnsi="Times New Roman"/>
          <w:lang w:val="sr-Latn-BA"/>
        </w:rPr>
        <w:t xml:space="preserve"> </w:t>
      </w:r>
      <w:r>
        <w:rPr>
          <w:rFonts w:ascii="Times New Roman" w:hAnsi="Times New Roman"/>
          <w:lang w:val="sr-Latn-BA"/>
        </w:rPr>
        <w:t>стручних</w:t>
      </w:r>
      <w:r w:rsidR="00736CC6" w:rsidRPr="00295637">
        <w:rPr>
          <w:rFonts w:ascii="Times New Roman" w:hAnsi="Times New Roman"/>
          <w:lang w:val="sr-Latn-BA"/>
        </w:rPr>
        <w:t xml:space="preserve"> </w:t>
      </w:r>
      <w:r>
        <w:rPr>
          <w:rFonts w:ascii="Times New Roman" w:hAnsi="Times New Roman"/>
          <w:lang w:val="sr-Latn-BA"/>
        </w:rPr>
        <w:t>послова</w:t>
      </w:r>
      <w:r w:rsidR="00736CC6" w:rsidRPr="00295637">
        <w:rPr>
          <w:rFonts w:ascii="Times New Roman" w:hAnsi="Times New Roman"/>
          <w:lang w:val="sr-Latn-BA"/>
        </w:rPr>
        <w:t xml:space="preserve"> </w:t>
      </w:r>
      <w:r>
        <w:rPr>
          <w:rFonts w:ascii="Times New Roman" w:hAnsi="Times New Roman"/>
          <w:lang w:val="sr-Latn-BA"/>
        </w:rPr>
        <w:t>у</w:t>
      </w:r>
      <w:r w:rsidR="00736CC6" w:rsidRPr="00295637">
        <w:rPr>
          <w:rFonts w:ascii="Times New Roman" w:hAnsi="Times New Roman"/>
          <w:lang w:val="sr-Latn-BA"/>
        </w:rPr>
        <w:t xml:space="preserve"> </w:t>
      </w:r>
      <w:r>
        <w:rPr>
          <w:rFonts w:ascii="Times New Roman" w:hAnsi="Times New Roman"/>
          <w:lang w:val="sr-Latn-BA"/>
        </w:rPr>
        <w:t>области</w:t>
      </w:r>
      <w:r w:rsidR="00736CC6" w:rsidRPr="00295637">
        <w:rPr>
          <w:rFonts w:ascii="Times New Roman" w:hAnsi="Times New Roman"/>
          <w:lang w:val="sr-Latn-BA"/>
        </w:rPr>
        <w:t xml:space="preserve"> </w:t>
      </w:r>
      <w:r>
        <w:rPr>
          <w:rFonts w:ascii="Times New Roman" w:hAnsi="Times New Roman"/>
          <w:lang w:val="sr-Latn-BA"/>
        </w:rPr>
        <w:t>социјалне</w:t>
      </w:r>
      <w:r w:rsidR="00736CC6" w:rsidRPr="00295637">
        <w:rPr>
          <w:rFonts w:ascii="Times New Roman" w:hAnsi="Times New Roman"/>
          <w:lang w:val="sr-Latn-BA"/>
        </w:rPr>
        <w:t xml:space="preserve"> </w:t>
      </w:r>
      <w:r>
        <w:rPr>
          <w:rFonts w:ascii="Times New Roman" w:hAnsi="Times New Roman"/>
          <w:lang w:val="sr-Latn-BA"/>
        </w:rPr>
        <w:t>заштите</w:t>
      </w:r>
      <w:r w:rsidR="00736CC6" w:rsidRPr="00295637">
        <w:rPr>
          <w:rFonts w:ascii="Times New Roman" w:hAnsi="Times New Roman"/>
          <w:lang w:val="sr-Latn-BA"/>
        </w:rPr>
        <w:t>.</w:t>
      </w:r>
    </w:p>
    <w:p w:rsidR="006820FB" w:rsidRDefault="006820FB" w:rsidP="0086268D">
      <w:pPr>
        <w:pStyle w:val="HTMLPreformatted"/>
        <w:jc w:val="both"/>
        <w:rPr>
          <w:rStyle w:val="y2iqfc"/>
          <w:rFonts w:ascii="inherit" w:hAnsi="inherit"/>
          <w:color w:val="1F1F1F"/>
          <w:sz w:val="24"/>
          <w:szCs w:val="24"/>
        </w:rPr>
      </w:pPr>
    </w:p>
    <w:p w:rsidR="00DA76EC" w:rsidRPr="000D02B0" w:rsidRDefault="00C6214E" w:rsidP="0086268D">
      <w:pPr>
        <w:pStyle w:val="HTMLPreformatted"/>
        <w:jc w:val="both"/>
        <w:rPr>
          <w:rFonts w:ascii="inherit" w:hAnsi="inherit"/>
          <w:sz w:val="24"/>
          <w:szCs w:val="24"/>
          <w:lang w:val="en-US"/>
        </w:rPr>
      </w:pPr>
      <w:r>
        <w:rPr>
          <w:rStyle w:val="y2iqfc"/>
          <w:rFonts w:ascii="inherit" w:hAnsi="inherit"/>
          <w:sz w:val="24"/>
          <w:szCs w:val="24"/>
        </w:rPr>
        <w:t>Мисија</w:t>
      </w:r>
      <w:r w:rsidR="00DA76EC" w:rsidRPr="000D02B0">
        <w:rPr>
          <w:rStyle w:val="y2iqfc"/>
          <w:rFonts w:ascii="inherit" w:hAnsi="inherit"/>
          <w:sz w:val="24"/>
          <w:szCs w:val="24"/>
        </w:rPr>
        <w:t xml:space="preserve"> </w:t>
      </w:r>
      <w:r>
        <w:rPr>
          <w:rStyle w:val="y2iqfc"/>
          <w:rFonts w:ascii="inherit" w:hAnsi="inherit"/>
          <w:sz w:val="24"/>
          <w:szCs w:val="24"/>
        </w:rPr>
        <w:t>О</w:t>
      </w:r>
      <w:r w:rsidR="00A054E6">
        <w:rPr>
          <w:rStyle w:val="y2iqfc"/>
          <w:rFonts w:ascii="inherit" w:hAnsi="inherit"/>
          <w:sz w:val="24"/>
          <w:szCs w:val="24"/>
          <w:lang w:val="sr-Cyrl-BA"/>
        </w:rPr>
        <w:t>ЕБС-а</w:t>
      </w:r>
      <w:r w:rsidR="00DA76EC" w:rsidRPr="000D02B0">
        <w:rPr>
          <w:rStyle w:val="y2iqfc"/>
          <w:rFonts w:ascii="inherit" w:hAnsi="inherit"/>
          <w:sz w:val="24"/>
          <w:szCs w:val="24"/>
        </w:rPr>
        <w:t xml:space="preserve"> </w:t>
      </w:r>
      <w:r>
        <w:rPr>
          <w:rStyle w:val="y2iqfc"/>
          <w:rFonts w:ascii="inherit" w:hAnsi="inherit"/>
          <w:sz w:val="24"/>
          <w:szCs w:val="24"/>
        </w:rPr>
        <w:t>у</w:t>
      </w:r>
      <w:r w:rsidR="00DA76EC" w:rsidRPr="000D02B0">
        <w:rPr>
          <w:rStyle w:val="y2iqfc"/>
          <w:rFonts w:ascii="inherit" w:hAnsi="inherit"/>
          <w:sz w:val="24"/>
          <w:szCs w:val="24"/>
        </w:rPr>
        <w:t xml:space="preserve"> </w:t>
      </w:r>
      <w:r>
        <w:rPr>
          <w:rStyle w:val="y2iqfc"/>
          <w:rFonts w:ascii="inherit" w:hAnsi="inherit"/>
          <w:sz w:val="24"/>
          <w:szCs w:val="24"/>
        </w:rPr>
        <w:t>Босни</w:t>
      </w:r>
      <w:r w:rsidR="00DA76EC" w:rsidRPr="000D02B0">
        <w:rPr>
          <w:rStyle w:val="y2iqfc"/>
          <w:rFonts w:ascii="inherit" w:hAnsi="inherit"/>
          <w:sz w:val="24"/>
          <w:szCs w:val="24"/>
        </w:rPr>
        <w:t xml:space="preserve"> </w:t>
      </w:r>
      <w:r>
        <w:rPr>
          <w:rStyle w:val="y2iqfc"/>
          <w:rFonts w:ascii="inherit" w:hAnsi="inherit"/>
          <w:sz w:val="24"/>
          <w:szCs w:val="24"/>
        </w:rPr>
        <w:t>и</w:t>
      </w:r>
      <w:r w:rsidR="00DA76EC" w:rsidRPr="000D02B0">
        <w:rPr>
          <w:rStyle w:val="y2iqfc"/>
          <w:rFonts w:ascii="inherit" w:hAnsi="inherit"/>
          <w:sz w:val="24"/>
          <w:szCs w:val="24"/>
        </w:rPr>
        <w:t xml:space="preserve"> </w:t>
      </w:r>
      <w:r>
        <w:rPr>
          <w:rStyle w:val="y2iqfc"/>
          <w:rFonts w:ascii="inherit" w:hAnsi="inherit"/>
          <w:sz w:val="24"/>
          <w:szCs w:val="24"/>
        </w:rPr>
        <w:t>Херцеговини</w:t>
      </w:r>
      <w:r w:rsidR="00DA76EC" w:rsidRPr="000D02B0">
        <w:rPr>
          <w:rStyle w:val="y2iqfc"/>
          <w:rFonts w:ascii="inherit" w:hAnsi="inherit"/>
          <w:sz w:val="24"/>
          <w:szCs w:val="24"/>
        </w:rPr>
        <w:t xml:space="preserve"> </w:t>
      </w:r>
      <w:r>
        <w:rPr>
          <w:rStyle w:val="y2iqfc"/>
          <w:rFonts w:ascii="inherit" w:hAnsi="inherit"/>
          <w:sz w:val="24"/>
          <w:szCs w:val="24"/>
        </w:rPr>
        <w:t>подржала</w:t>
      </w:r>
      <w:r w:rsidR="00DA76EC" w:rsidRPr="000D02B0">
        <w:rPr>
          <w:rStyle w:val="y2iqfc"/>
          <w:rFonts w:ascii="inherit" w:hAnsi="inherit"/>
          <w:sz w:val="24"/>
          <w:szCs w:val="24"/>
        </w:rPr>
        <w:t xml:space="preserve"> </w:t>
      </w:r>
      <w:r>
        <w:rPr>
          <w:rStyle w:val="y2iqfc"/>
          <w:rFonts w:ascii="inherit" w:hAnsi="inherit"/>
          <w:sz w:val="24"/>
          <w:szCs w:val="24"/>
        </w:rPr>
        <w:t>је</w:t>
      </w:r>
      <w:r w:rsidR="002C4665" w:rsidRPr="000D02B0">
        <w:rPr>
          <w:rStyle w:val="y2iqfc"/>
          <w:rFonts w:ascii="inherit" w:hAnsi="inherit"/>
          <w:sz w:val="24"/>
          <w:szCs w:val="24"/>
        </w:rPr>
        <w:t xml:space="preserve"> </w:t>
      </w:r>
      <w:r>
        <w:rPr>
          <w:rStyle w:val="y2iqfc"/>
          <w:rFonts w:ascii="inherit" w:hAnsi="inherit"/>
          <w:sz w:val="24"/>
          <w:szCs w:val="24"/>
        </w:rPr>
        <w:t>ФМРСП</w:t>
      </w:r>
      <w:r w:rsidR="00DA76EC" w:rsidRPr="000D02B0">
        <w:rPr>
          <w:rStyle w:val="y2iqfc"/>
          <w:rFonts w:ascii="inherit" w:hAnsi="inherit"/>
          <w:sz w:val="24"/>
          <w:szCs w:val="24"/>
        </w:rPr>
        <w:t xml:space="preserve"> </w:t>
      </w:r>
      <w:r>
        <w:rPr>
          <w:rStyle w:val="y2iqfc"/>
          <w:rFonts w:ascii="inherit" w:hAnsi="inherit"/>
          <w:sz w:val="24"/>
          <w:szCs w:val="24"/>
        </w:rPr>
        <w:t>у</w:t>
      </w:r>
      <w:r w:rsidR="00DA76EC" w:rsidRPr="000D02B0">
        <w:rPr>
          <w:rStyle w:val="y2iqfc"/>
          <w:rFonts w:ascii="inherit" w:hAnsi="inherit"/>
          <w:sz w:val="24"/>
          <w:szCs w:val="24"/>
        </w:rPr>
        <w:t xml:space="preserve"> </w:t>
      </w:r>
      <w:r>
        <w:rPr>
          <w:rStyle w:val="y2iqfc"/>
          <w:rFonts w:ascii="inherit" w:hAnsi="inherit"/>
          <w:sz w:val="24"/>
          <w:szCs w:val="24"/>
        </w:rPr>
        <w:t>усвајању</w:t>
      </w:r>
      <w:r w:rsidR="00DA76EC" w:rsidRPr="000D02B0">
        <w:rPr>
          <w:rStyle w:val="y2iqfc"/>
          <w:rFonts w:ascii="inherit" w:hAnsi="inherit"/>
          <w:sz w:val="24"/>
          <w:szCs w:val="24"/>
        </w:rPr>
        <w:t xml:space="preserve"> </w:t>
      </w:r>
      <w:r>
        <w:rPr>
          <w:rStyle w:val="y2iqfc"/>
          <w:rFonts w:ascii="inherit" w:hAnsi="inherit"/>
          <w:sz w:val="24"/>
          <w:szCs w:val="24"/>
        </w:rPr>
        <w:t>акредит</w:t>
      </w:r>
      <w:r w:rsidR="00A054E6">
        <w:rPr>
          <w:rStyle w:val="y2iqfc"/>
          <w:rFonts w:ascii="inherit" w:hAnsi="inherit"/>
          <w:sz w:val="24"/>
          <w:szCs w:val="24"/>
          <w:lang w:val="sr-Cyrl-BA"/>
        </w:rPr>
        <w:t>ованог</w:t>
      </w:r>
      <w:r w:rsidR="00DA76EC" w:rsidRPr="000D02B0">
        <w:rPr>
          <w:rStyle w:val="y2iqfc"/>
          <w:rFonts w:ascii="inherit" w:hAnsi="inherit"/>
          <w:sz w:val="24"/>
          <w:szCs w:val="24"/>
        </w:rPr>
        <w:t xml:space="preserve"> </w:t>
      </w:r>
      <w:r>
        <w:rPr>
          <w:rStyle w:val="y2iqfc"/>
          <w:rFonts w:ascii="inherit" w:hAnsi="inherit"/>
          <w:sz w:val="24"/>
          <w:szCs w:val="24"/>
        </w:rPr>
        <w:t>Програма</w:t>
      </w:r>
      <w:r w:rsidR="00DA76EC" w:rsidRPr="000D02B0">
        <w:rPr>
          <w:rStyle w:val="y2iqfc"/>
          <w:rFonts w:ascii="inherit" w:hAnsi="inherit"/>
          <w:sz w:val="24"/>
          <w:szCs w:val="24"/>
        </w:rPr>
        <w:t xml:space="preserve"> </w:t>
      </w:r>
      <w:r>
        <w:rPr>
          <w:rStyle w:val="y2iqfc"/>
          <w:rFonts w:ascii="inherit" w:hAnsi="inherit"/>
          <w:sz w:val="24"/>
          <w:szCs w:val="24"/>
        </w:rPr>
        <w:t>обуке</w:t>
      </w:r>
      <w:r w:rsidR="00DA76EC" w:rsidRPr="000D02B0">
        <w:rPr>
          <w:rStyle w:val="y2iqfc"/>
          <w:rFonts w:ascii="inherit" w:hAnsi="inherit"/>
          <w:sz w:val="24"/>
          <w:szCs w:val="24"/>
        </w:rPr>
        <w:t xml:space="preserve"> </w:t>
      </w:r>
      <w:r>
        <w:rPr>
          <w:rStyle w:val="y2iqfc"/>
          <w:rFonts w:ascii="inherit" w:hAnsi="inherit"/>
          <w:sz w:val="24"/>
          <w:szCs w:val="24"/>
        </w:rPr>
        <w:t>за</w:t>
      </w:r>
      <w:r w:rsidR="00DA76EC" w:rsidRPr="000D02B0">
        <w:rPr>
          <w:rStyle w:val="y2iqfc"/>
          <w:rFonts w:ascii="inherit" w:hAnsi="inherit"/>
          <w:sz w:val="24"/>
          <w:szCs w:val="24"/>
        </w:rPr>
        <w:t xml:space="preserve"> </w:t>
      </w:r>
      <w:r>
        <w:rPr>
          <w:rStyle w:val="y2iqfc"/>
          <w:rFonts w:ascii="inherit" w:hAnsi="inherit"/>
          <w:sz w:val="24"/>
          <w:szCs w:val="24"/>
        </w:rPr>
        <w:t>стручњаке</w:t>
      </w:r>
      <w:r w:rsidR="00DA76EC" w:rsidRPr="000D02B0">
        <w:rPr>
          <w:rStyle w:val="y2iqfc"/>
          <w:rFonts w:ascii="inherit" w:hAnsi="inherit"/>
          <w:sz w:val="24"/>
          <w:szCs w:val="24"/>
        </w:rPr>
        <w:t xml:space="preserve"> </w:t>
      </w:r>
      <w:r>
        <w:rPr>
          <w:rStyle w:val="y2iqfc"/>
          <w:rFonts w:ascii="inherit" w:hAnsi="inherit"/>
          <w:sz w:val="24"/>
          <w:szCs w:val="24"/>
        </w:rPr>
        <w:t>за</w:t>
      </w:r>
      <w:r w:rsidR="00DA76EC" w:rsidRPr="000D02B0">
        <w:rPr>
          <w:rStyle w:val="y2iqfc"/>
          <w:rFonts w:ascii="inherit" w:hAnsi="inherit"/>
          <w:sz w:val="24"/>
          <w:szCs w:val="24"/>
        </w:rPr>
        <w:t xml:space="preserve"> </w:t>
      </w:r>
      <w:r>
        <w:rPr>
          <w:rStyle w:val="y2iqfc"/>
          <w:rFonts w:ascii="inherit" w:hAnsi="inherit"/>
          <w:sz w:val="24"/>
          <w:szCs w:val="24"/>
        </w:rPr>
        <w:t>социјални</w:t>
      </w:r>
      <w:r w:rsidR="00DA76EC" w:rsidRPr="000D02B0">
        <w:rPr>
          <w:rStyle w:val="y2iqfc"/>
          <w:rFonts w:ascii="inherit" w:hAnsi="inherit"/>
          <w:sz w:val="24"/>
          <w:szCs w:val="24"/>
        </w:rPr>
        <w:t xml:space="preserve"> </w:t>
      </w:r>
      <w:r>
        <w:rPr>
          <w:rStyle w:val="y2iqfc"/>
          <w:rFonts w:ascii="inherit" w:hAnsi="inherit"/>
          <w:sz w:val="24"/>
          <w:szCs w:val="24"/>
        </w:rPr>
        <w:t>рад</w:t>
      </w:r>
      <w:r w:rsidR="00DA76EC" w:rsidRPr="000D02B0">
        <w:rPr>
          <w:rStyle w:val="y2iqfc"/>
          <w:rFonts w:ascii="inherit" w:hAnsi="inherit"/>
          <w:sz w:val="24"/>
          <w:szCs w:val="24"/>
        </w:rPr>
        <w:t xml:space="preserve">. </w:t>
      </w:r>
      <w:r>
        <w:rPr>
          <w:rStyle w:val="y2iqfc"/>
          <w:rFonts w:ascii="inherit" w:hAnsi="inherit"/>
          <w:sz w:val="24"/>
          <w:szCs w:val="24"/>
        </w:rPr>
        <w:t>Програм</w:t>
      </w:r>
      <w:r w:rsidR="00DA76EC" w:rsidRPr="000D02B0">
        <w:rPr>
          <w:rStyle w:val="y2iqfc"/>
          <w:rFonts w:ascii="inherit" w:hAnsi="inherit"/>
          <w:sz w:val="24"/>
          <w:szCs w:val="24"/>
        </w:rPr>
        <w:t xml:space="preserve"> </w:t>
      </w:r>
      <w:r>
        <w:rPr>
          <w:rStyle w:val="y2iqfc"/>
          <w:rFonts w:ascii="inherit" w:hAnsi="inherit"/>
          <w:sz w:val="24"/>
          <w:szCs w:val="24"/>
        </w:rPr>
        <w:t>јача</w:t>
      </w:r>
      <w:r w:rsidR="00DA76EC" w:rsidRPr="000D02B0">
        <w:rPr>
          <w:rStyle w:val="y2iqfc"/>
          <w:rFonts w:ascii="inherit" w:hAnsi="inherit"/>
          <w:sz w:val="24"/>
          <w:szCs w:val="24"/>
        </w:rPr>
        <w:t xml:space="preserve"> </w:t>
      </w:r>
      <w:r>
        <w:rPr>
          <w:rStyle w:val="y2iqfc"/>
          <w:rFonts w:ascii="inherit" w:hAnsi="inherit"/>
          <w:sz w:val="24"/>
          <w:szCs w:val="24"/>
        </w:rPr>
        <w:t>капацитете</w:t>
      </w:r>
      <w:r w:rsidR="00DA76EC" w:rsidRPr="000D02B0">
        <w:rPr>
          <w:rStyle w:val="y2iqfc"/>
          <w:rFonts w:ascii="inherit" w:hAnsi="inherit"/>
          <w:sz w:val="24"/>
          <w:szCs w:val="24"/>
        </w:rPr>
        <w:t xml:space="preserve"> </w:t>
      </w:r>
      <w:r>
        <w:rPr>
          <w:rStyle w:val="y2iqfc"/>
          <w:rFonts w:ascii="inherit" w:hAnsi="inherit"/>
          <w:sz w:val="24"/>
          <w:szCs w:val="24"/>
        </w:rPr>
        <w:t>за</w:t>
      </w:r>
      <w:r w:rsidR="00DA76EC" w:rsidRPr="000D02B0">
        <w:rPr>
          <w:rStyle w:val="y2iqfc"/>
          <w:rFonts w:ascii="inherit" w:hAnsi="inherit"/>
          <w:sz w:val="24"/>
          <w:szCs w:val="24"/>
        </w:rPr>
        <w:t xml:space="preserve"> </w:t>
      </w:r>
      <w:r>
        <w:rPr>
          <w:rStyle w:val="y2iqfc"/>
          <w:rFonts w:ascii="inherit" w:hAnsi="inherit"/>
          <w:sz w:val="24"/>
          <w:szCs w:val="24"/>
        </w:rPr>
        <w:t>ефикасно</w:t>
      </w:r>
      <w:r w:rsidR="00DA76EC" w:rsidRPr="000D02B0">
        <w:rPr>
          <w:rStyle w:val="y2iqfc"/>
          <w:rFonts w:ascii="inherit" w:hAnsi="inherit"/>
          <w:sz w:val="24"/>
          <w:szCs w:val="24"/>
        </w:rPr>
        <w:t xml:space="preserve"> </w:t>
      </w:r>
      <w:r>
        <w:rPr>
          <w:rStyle w:val="y2iqfc"/>
          <w:rFonts w:ascii="inherit" w:hAnsi="inherit"/>
          <w:sz w:val="24"/>
          <w:szCs w:val="24"/>
        </w:rPr>
        <w:t>рјешавање</w:t>
      </w:r>
      <w:r w:rsidR="00DA76EC" w:rsidRPr="000D02B0">
        <w:rPr>
          <w:rStyle w:val="y2iqfc"/>
          <w:rFonts w:ascii="inherit" w:hAnsi="inherit"/>
          <w:sz w:val="24"/>
          <w:szCs w:val="24"/>
        </w:rPr>
        <w:t xml:space="preserve"> </w:t>
      </w:r>
      <w:r>
        <w:rPr>
          <w:rStyle w:val="y2iqfc"/>
          <w:rFonts w:ascii="inherit" w:hAnsi="inherit"/>
          <w:sz w:val="24"/>
          <w:szCs w:val="24"/>
        </w:rPr>
        <w:t>случајева</w:t>
      </w:r>
      <w:r w:rsidR="00DA76EC" w:rsidRPr="000D02B0">
        <w:rPr>
          <w:rStyle w:val="y2iqfc"/>
          <w:rFonts w:ascii="inherit" w:hAnsi="inherit"/>
          <w:sz w:val="24"/>
          <w:szCs w:val="24"/>
        </w:rPr>
        <w:t xml:space="preserve"> </w:t>
      </w:r>
      <w:r>
        <w:rPr>
          <w:rStyle w:val="y2iqfc"/>
          <w:rFonts w:ascii="inherit" w:hAnsi="inherit"/>
          <w:sz w:val="24"/>
          <w:szCs w:val="24"/>
        </w:rPr>
        <w:t>насиља</w:t>
      </w:r>
      <w:r w:rsidR="00DA76EC" w:rsidRPr="000D02B0">
        <w:rPr>
          <w:rStyle w:val="y2iqfc"/>
          <w:rFonts w:ascii="inherit" w:hAnsi="inherit"/>
          <w:sz w:val="24"/>
          <w:szCs w:val="24"/>
        </w:rPr>
        <w:t xml:space="preserve"> </w:t>
      </w:r>
      <w:r>
        <w:rPr>
          <w:rStyle w:val="y2iqfc"/>
          <w:rFonts w:ascii="inherit" w:hAnsi="inherit"/>
          <w:sz w:val="24"/>
          <w:szCs w:val="24"/>
        </w:rPr>
        <w:t>у</w:t>
      </w:r>
      <w:r w:rsidR="00DA76EC" w:rsidRPr="000D02B0">
        <w:rPr>
          <w:rStyle w:val="y2iqfc"/>
          <w:rFonts w:ascii="inherit" w:hAnsi="inherit"/>
          <w:sz w:val="24"/>
          <w:szCs w:val="24"/>
        </w:rPr>
        <w:t xml:space="preserve"> </w:t>
      </w:r>
      <w:r>
        <w:rPr>
          <w:rStyle w:val="y2iqfc"/>
          <w:rFonts w:ascii="inherit" w:hAnsi="inherit"/>
          <w:sz w:val="24"/>
          <w:szCs w:val="24"/>
        </w:rPr>
        <w:t>породици</w:t>
      </w:r>
      <w:r w:rsidR="00DA76EC" w:rsidRPr="000D02B0">
        <w:rPr>
          <w:rStyle w:val="y2iqfc"/>
          <w:rFonts w:ascii="inherit" w:hAnsi="inherit"/>
          <w:sz w:val="24"/>
          <w:szCs w:val="24"/>
        </w:rPr>
        <w:t xml:space="preserve">, </w:t>
      </w:r>
      <w:r>
        <w:rPr>
          <w:rStyle w:val="y2iqfc"/>
          <w:rFonts w:ascii="inherit" w:hAnsi="inherit"/>
          <w:sz w:val="24"/>
          <w:szCs w:val="24"/>
        </w:rPr>
        <w:t>пружање</w:t>
      </w:r>
      <w:r w:rsidR="00DA76EC" w:rsidRPr="000D02B0">
        <w:rPr>
          <w:rStyle w:val="y2iqfc"/>
          <w:rFonts w:ascii="inherit" w:hAnsi="inherit"/>
          <w:sz w:val="24"/>
          <w:szCs w:val="24"/>
        </w:rPr>
        <w:t xml:space="preserve"> </w:t>
      </w:r>
      <w:r>
        <w:rPr>
          <w:rStyle w:val="y2iqfc"/>
          <w:rFonts w:ascii="inherit" w:hAnsi="inherit"/>
          <w:sz w:val="24"/>
          <w:szCs w:val="24"/>
        </w:rPr>
        <w:t>адекватне</w:t>
      </w:r>
      <w:r w:rsidR="00DA76EC" w:rsidRPr="000D02B0">
        <w:rPr>
          <w:rStyle w:val="y2iqfc"/>
          <w:rFonts w:ascii="inherit" w:hAnsi="inherit"/>
          <w:sz w:val="24"/>
          <w:szCs w:val="24"/>
        </w:rPr>
        <w:t xml:space="preserve"> </w:t>
      </w:r>
      <w:r>
        <w:rPr>
          <w:rStyle w:val="y2iqfc"/>
          <w:rFonts w:ascii="inherit" w:hAnsi="inherit"/>
          <w:sz w:val="24"/>
          <w:szCs w:val="24"/>
        </w:rPr>
        <w:t>пдршке</w:t>
      </w:r>
      <w:r w:rsidR="00DA76EC" w:rsidRPr="000D02B0">
        <w:rPr>
          <w:rStyle w:val="y2iqfc"/>
          <w:rFonts w:ascii="inherit" w:hAnsi="inherit"/>
          <w:sz w:val="24"/>
          <w:szCs w:val="24"/>
        </w:rPr>
        <w:t xml:space="preserve"> </w:t>
      </w:r>
      <w:r>
        <w:rPr>
          <w:rStyle w:val="y2iqfc"/>
          <w:rFonts w:ascii="inherit" w:hAnsi="inherit"/>
          <w:sz w:val="24"/>
          <w:szCs w:val="24"/>
        </w:rPr>
        <w:t>жртвама</w:t>
      </w:r>
      <w:r w:rsidR="00DA76EC" w:rsidRPr="000D02B0">
        <w:rPr>
          <w:rStyle w:val="y2iqfc"/>
          <w:rFonts w:ascii="inherit" w:hAnsi="inherit"/>
          <w:sz w:val="24"/>
          <w:szCs w:val="24"/>
        </w:rPr>
        <w:t xml:space="preserve">, </w:t>
      </w:r>
      <w:r>
        <w:rPr>
          <w:rStyle w:val="y2iqfc"/>
          <w:rFonts w:ascii="inherit" w:hAnsi="inherit"/>
          <w:sz w:val="24"/>
          <w:szCs w:val="24"/>
        </w:rPr>
        <w:t>уз</w:t>
      </w:r>
      <w:r w:rsidR="00DA76EC" w:rsidRPr="000D02B0">
        <w:rPr>
          <w:rStyle w:val="y2iqfc"/>
          <w:rFonts w:ascii="inherit" w:hAnsi="inherit"/>
          <w:sz w:val="24"/>
          <w:szCs w:val="24"/>
        </w:rPr>
        <w:t xml:space="preserve"> </w:t>
      </w:r>
      <w:r>
        <w:rPr>
          <w:rStyle w:val="y2iqfc"/>
          <w:rFonts w:ascii="inherit" w:hAnsi="inherit"/>
          <w:sz w:val="24"/>
          <w:szCs w:val="24"/>
        </w:rPr>
        <w:t>додатно</w:t>
      </w:r>
      <w:r w:rsidR="00DA76EC" w:rsidRPr="000D02B0">
        <w:rPr>
          <w:rStyle w:val="y2iqfc"/>
          <w:rFonts w:ascii="inherit" w:hAnsi="inherit"/>
          <w:sz w:val="24"/>
          <w:szCs w:val="24"/>
        </w:rPr>
        <w:t xml:space="preserve"> </w:t>
      </w:r>
      <w:r>
        <w:rPr>
          <w:rStyle w:val="y2iqfc"/>
          <w:rFonts w:ascii="inherit" w:hAnsi="inherit"/>
          <w:sz w:val="24"/>
          <w:szCs w:val="24"/>
        </w:rPr>
        <w:t>знање</w:t>
      </w:r>
      <w:r w:rsidR="00DA76EC" w:rsidRPr="000D02B0">
        <w:rPr>
          <w:rStyle w:val="y2iqfc"/>
          <w:rFonts w:ascii="inherit" w:hAnsi="inherit"/>
          <w:sz w:val="24"/>
          <w:szCs w:val="24"/>
        </w:rPr>
        <w:t xml:space="preserve"> </w:t>
      </w:r>
      <w:r>
        <w:rPr>
          <w:rStyle w:val="y2iqfc"/>
          <w:rFonts w:ascii="inherit" w:hAnsi="inherit"/>
          <w:sz w:val="24"/>
          <w:szCs w:val="24"/>
        </w:rPr>
        <w:t>и</w:t>
      </w:r>
      <w:r w:rsidR="00DA76EC" w:rsidRPr="000D02B0">
        <w:rPr>
          <w:rStyle w:val="y2iqfc"/>
          <w:rFonts w:ascii="inherit" w:hAnsi="inherit"/>
          <w:sz w:val="24"/>
          <w:szCs w:val="24"/>
        </w:rPr>
        <w:t xml:space="preserve"> </w:t>
      </w:r>
      <w:r>
        <w:rPr>
          <w:rStyle w:val="y2iqfc"/>
          <w:rFonts w:ascii="inherit" w:hAnsi="inherit"/>
          <w:sz w:val="24"/>
          <w:szCs w:val="24"/>
        </w:rPr>
        <w:t>подршку</w:t>
      </w:r>
      <w:r w:rsidR="00DA76EC" w:rsidRPr="000D02B0">
        <w:rPr>
          <w:rStyle w:val="y2iqfc"/>
          <w:rFonts w:ascii="inherit" w:hAnsi="inherit"/>
          <w:sz w:val="24"/>
          <w:szCs w:val="24"/>
        </w:rPr>
        <w:t xml:space="preserve"> </w:t>
      </w:r>
      <w:r>
        <w:rPr>
          <w:rStyle w:val="y2iqfc"/>
          <w:rFonts w:ascii="inherit" w:hAnsi="inherit"/>
          <w:sz w:val="24"/>
          <w:szCs w:val="24"/>
        </w:rPr>
        <w:t>за</w:t>
      </w:r>
      <w:r w:rsidR="00DA76EC" w:rsidRPr="000D02B0">
        <w:rPr>
          <w:rStyle w:val="y2iqfc"/>
          <w:rFonts w:ascii="inherit" w:hAnsi="inherit"/>
          <w:sz w:val="24"/>
          <w:szCs w:val="24"/>
        </w:rPr>
        <w:t xml:space="preserve"> </w:t>
      </w:r>
      <w:r>
        <w:rPr>
          <w:rStyle w:val="y2iqfc"/>
          <w:rFonts w:ascii="inherit" w:hAnsi="inherit"/>
          <w:sz w:val="24"/>
          <w:szCs w:val="24"/>
        </w:rPr>
        <w:t>рјешавање</w:t>
      </w:r>
      <w:r w:rsidR="00DA76EC" w:rsidRPr="000D02B0">
        <w:rPr>
          <w:rStyle w:val="y2iqfc"/>
          <w:rFonts w:ascii="inherit" w:hAnsi="inherit"/>
          <w:sz w:val="24"/>
          <w:szCs w:val="24"/>
        </w:rPr>
        <w:t xml:space="preserve"> </w:t>
      </w:r>
      <w:r>
        <w:rPr>
          <w:rStyle w:val="y2iqfc"/>
          <w:rFonts w:ascii="inherit" w:hAnsi="inherit"/>
          <w:sz w:val="24"/>
          <w:szCs w:val="24"/>
        </w:rPr>
        <w:t>овог</w:t>
      </w:r>
      <w:r w:rsidR="00DA76EC" w:rsidRPr="000D02B0">
        <w:rPr>
          <w:rStyle w:val="y2iqfc"/>
          <w:rFonts w:ascii="inherit" w:hAnsi="inherit"/>
          <w:sz w:val="24"/>
          <w:szCs w:val="24"/>
        </w:rPr>
        <w:t xml:space="preserve"> </w:t>
      </w:r>
      <w:r>
        <w:rPr>
          <w:rStyle w:val="y2iqfc"/>
          <w:rFonts w:ascii="inherit" w:hAnsi="inherit"/>
          <w:sz w:val="24"/>
          <w:szCs w:val="24"/>
        </w:rPr>
        <w:t>друштвеног</w:t>
      </w:r>
      <w:r w:rsidR="00DA76EC" w:rsidRPr="000D02B0">
        <w:rPr>
          <w:rStyle w:val="y2iqfc"/>
          <w:rFonts w:ascii="inherit" w:hAnsi="inherit"/>
          <w:sz w:val="24"/>
          <w:szCs w:val="24"/>
        </w:rPr>
        <w:t xml:space="preserve"> </w:t>
      </w:r>
      <w:r>
        <w:rPr>
          <w:rStyle w:val="y2iqfc"/>
          <w:rFonts w:ascii="inherit" w:hAnsi="inherit"/>
          <w:sz w:val="24"/>
          <w:szCs w:val="24"/>
        </w:rPr>
        <w:t>проблема</w:t>
      </w:r>
      <w:r w:rsidR="002C4665">
        <w:rPr>
          <w:rStyle w:val="y2iqfc"/>
          <w:rFonts w:ascii="inherit" w:hAnsi="inherit"/>
          <w:sz w:val="24"/>
          <w:szCs w:val="24"/>
        </w:rPr>
        <w:t xml:space="preserve">, </w:t>
      </w:r>
      <w:r>
        <w:rPr>
          <w:rStyle w:val="y2iqfc"/>
          <w:rFonts w:ascii="inherit" w:hAnsi="inherit"/>
          <w:sz w:val="24"/>
          <w:szCs w:val="24"/>
        </w:rPr>
        <w:t>као</w:t>
      </w:r>
      <w:r w:rsidR="002C4665">
        <w:rPr>
          <w:rStyle w:val="y2iqfc"/>
          <w:rFonts w:ascii="inherit" w:hAnsi="inherit"/>
          <w:sz w:val="24"/>
          <w:szCs w:val="24"/>
        </w:rPr>
        <w:t xml:space="preserve"> </w:t>
      </w:r>
      <w:r>
        <w:rPr>
          <w:rStyle w:val="y2iqfc"/>
          <w:rFonts w:ascii="inherit" w:hAnsi="inherit"/>
          <w:sz w:val="24"/>
          <w:szCs w:val="24"/>
        </w:rPr>
        <w:t>и</w:t>
      </w:r>
      <w:r w:rsidR="002C4665">
        <w:rPr>
          <w:rStyle w:val="y2iqfc"/>
          <w:rFonts w:ascii="inherit" w:hAnsi="inherit"/>
          <w:sz w:val="24"/>
          <w:szCs w:val="24"/>
        </w:rPr>
        <w:t xml:space="preserve"> </w:t>
      </w:r>
      <w:r>
        <w:rPr>
          <w:rStyle w:val="y2iqfc"/>
          <w:rFonts w:ascii="inherit" w:hAnsi="inherit"/>
          <w:sz w:val="24"/>
          <w:szCs w:val="24"/>
        </w:rPr>
        <w:t>смјернице</w:t>
      </w:r>
      <w:r w:rsidR="002C4665">
        <w:rPr>
          <w:rStyle w:val="y2iqfc"/>
          <w:rFonts w:ascii="inherit" w:hAnsi="inherit"/>
          <w:sz w:val="24"/>
          <w:szCs w:val="24"/>
        </w:rPr>
        <w:t xml:space="preserve"> </w:t>
      </w:r>
      <w:r>
        <w:rPr>
          <w:rStyle w:val="y2iqfc"/>
          <w:rFonts w:ascii="inherit" w:hAnsi="inherit"/>
          <w:sz w:val="24"/>
          <w:szCs w:val="24"/>
        </w:rPr>
        <w:t>за</w:t>
      </w:r>
      <w:r w:rsidR="002C4665">
        <w:rPr>
          <w:rStyle w:val="y2iqfc"/>
          <w:rFonts w:ascii="inherit" w:hAnsi="inherit"/>
          <w:sz w:val="24"/>
          <w:szCs w:val="24"/>
        </w:rPr>
        <w:t xml:space="preserve"> </w:t>
      </w:r>
      <w:r>
        <w:rPr>
          <w:rStyle w:val="y2iqfc"/>
          <w:rFonts w:ascii="inherit" w:hAnsi="inherit"/>
          <w:sz w:val="24"/>
          <w:szCs w:val="24"/>
        </w:rPr>
        <w:t>спречавање</w:t>
      </w:r>
      <w:r w:rsidR="00DA76EC" w:rsidRPr="000D02B0">
        <w:rPr>
          <w:rStyle w:val="y2iqfc"/>
          <w:rFonts w:ascii="inherit" w:hAnsi="inherit"/>
          <w:sz w:val="24"/>
          <w:szCs w:val="24"/>
        </w:rPr>
        <w:t xml:space="preserve"> </w:t>
      </w:r>
      <w:r>
        <w:rPr>
          <w:rStyle w:val="y2iqfc"/>
          <w:rFonts w:ascii="inherit" w:hAnsi="inherit"/>
          <w:sz w:val="24"/>
          <w:szCs w:val="24"/>
        </w:rPr>
        <w:t>сагоријевања</w:t>
      </w:r>
      <w:r w:rsidR="00142AC8" w:rsidRPr="000D02B0">
        <w:rPr>
          <w:rStyle w:val="y2iqfc"/>
          <w:rFonts w:ascii="inherit" w:hAnsi="inherit"/>
          <w:sz w:val="24"/>
          <w:szCs w:val="24"/>
        </w:rPr>
        <w:t xml:space="preserve"> </w:t>
      </w:r>
      <w:r>
        <w:rPr>
          <w:rStyle w:val="y2iqfc"/>
          <w:rFonts w:ascii="inherit" w:hAnsi="inherit"/>
          <w:sz w:val="24"/>
          <w:szCs w:val="24"/>
        </w:rPr>
        <w:t>на</w:t>
      </w:r>
      <w:r w:rsidR="00142AC8" w:rsidRPr="000D02B0">
        <w:rPr>
          <w:rStyle w:val="y2iqfc"/>
          <w:rFonts w:ascii="inherit" w:hAnsi="inherit"/>
          <w:sz w:val="24"/>
          <w:szCs w:val="24"/>
        </w:rPr>
        <w:t xml:space="preserve"> </w:t>
      </w:r>
      <w:r>
        <w:rPr>
          <w:rStyle w:val="y2iqfc"/>
          <w:rFonts w:ascii="inherit" w:hAnsi="inherit"/>
          <w:sz w:val="24"/>
          <w:szCs w:val="24"/>
        </w:rPr>
        <w:t>послу</w:t>
      </w:r>
      <w:r w:rsidR="00142AC8" w:rsidRPr="000D02B0">
        <w:rPr>
          <w:rStyle w:val="y2iqfc"/>
          <w:rFonts w:ascii="inherit" w:hAnsi="inherit"/>
          <w:sz w:val="24"/>
          <w:szCs w:val="24"/>
        </w:rPr>
        <w:t xml:space="preserve">. </w:t>
      </w:r>
      <w:r>
        <w:rPr>
          <w:rStyle w:val="y2iqfc"/>
          <w:rFonts w:ascii="inherit" w:hAnsi="inherit"/>
          <w:sz w:val="24"/>
          <w:szCs w:val="24"/>
        </w:rPr>
        <w:t>Обуке</w:t>
      </w:r>
      <w:r w:rsidR="00142AC8" w:rsidRPr="000D02B0">
        <w:rPr>
          <w:rStyle w:val="y2iqfc"/>
          <w:rFonts w:ascii="inherit" w:hAnsi="inherit"/>
          <w:sz w:val="24"/>
          <w:szCs w:val="24"/>
        </w:rPr>
        <w:t xml:space="preserve"> </w:t>
      </w:r>
      <w:r>
        <w:rPr>
          <w:rStyle w:val="y2iqfc"/>
          <w:rFonts w:ascii="inherit" w:hAnsi="inherit"/>
          <w:sz w:val="24"/>
          <w:szCs w:val="24"/>
        </w:rPr>
        <w:t>су</w:t>
      </w:r>
      <w:r w:rsidR="00142AC8" w:rsidRPr="000D02B0">
        <w:rPr>
          <w:rStyle w:val="y2iqfc"/>
          <w:rFonts w:ascii="inherit" w:hAnsi="inherit"/>
          <w:sz w:val="24"/>
          <w:szCs w:val="24"/>
        </w:rPr>
        <w:t xml:space="preserve"> </w:t>
      </w:r>
      <w:r>
        <w:rPr>
          <w:rStyle w:val="y2iqfc"/>
          <w:rFonts w:ascii="inherit" w:hAnsi="inherit"/>
          <w:sz w:val="24"/>
          <w:szCs w:val="24"/>
        </w:rPr>
        <w:t>обухватиле</w:t>
      </w:r>
      <w:r w:rsidR="00DA76EC" w:rsidRPr="000D02B0">
        <w:rPr>
          <w:rStyle w:val="y2iqfc"/>
          <w:rFonts w:ascii="inherit" w:hAnsi="inherit"/>
          <w:sz w:val="24"/>
          <w:szCs w:val="24"/>
        </w:rPr>
        <w:t xml:space="preserve"> </w:t>
      </w:r>
      <w:r>
        <w:rPr>
          <w:rStyle w:val="y2iqfc"/>
          <w:rFonts w:ascii="inherit" w:hAnsi="inherit"/>
          <w:sz w:val="24"/>
          <w:szCs w:val="24"/>
        </w:rPr>
        <w:t>око</w:t>
      </w:r>
      <w:r w:rsidR="00DA76EC" w:rsidRPr="000D02B0">
        <w:rPr>
          <w:rStyle w:val="y2iqfc"/>
          <w:rFonts w:ascii="inherit" w:hAnsi="inherit"/>
          <w:sz w:val="24"/>
          <w:szCs w:val="24"/>
        </w:rPr>
        <w:t xml:space="preserve"> 80 </w:t>
      </w:r>
      <w:r>
        <w:rPr>
          <w:rStyle w:val="y2iqfc"/>
          <w:rFonts w:ascii="inherit" w:hAnsi="inherit"/>
          <w:sz w:val="24"/>
          <w:szCs w:val="24"/>
        </w:rPr>
        <w:t>запослених</w:t>
      </w:r>
      <w:r w:rsidR="00142AC8" w:rsidRPr="000D02B0">
        <w:rPr>
          <w:rStyle w:val="y2iqfc"/>
          <w:rFonts w:ascii="inherit" w:hAnsi="inherit"/>
          <w:sz w:val="24"/>
          <w:szCs w:val="24"/>
        </w:rPr>
        <w:t>.</w:t>
      </w:r>
    </w:p>
    <w:p w:rsidR="00DA76EC" w:rsidRPr="00295637" w:rsidRDefault="00DA76EC" w:rsidP="0086268D">
      <w:pPr>
        <w:jc w:val="both"/>
        <w:rPr>
          <w:rFonts w:ascii="Times New Roman" w:hAnsi="Times New Roman"/>
          <w:lang w:val="bs-Latn-BA"/>
        </w:rPr>
      </w:pPr>
    </w:p>
    <w:p w:rsidR="00CF2F55" w:rsidRPr="00295637" w:rsidRDefault="00A054E6" w:rsidP="0086268D">
      <w:pPr>
        <w:jc w:val="both"/>
        <w:rPr>
          <w:rFonts w:ascii="Times New Roman" w:eastAsia="Aptos" w:hAnsi="Times New Roman"/>
          <w:szCs w:val="24"/>
        </w:rPr>
      </w:pPr>
      <w:r w:rsidRPr="00A054E6">
        <w:rPr>
          <w:rFonts w:ascii="Times New Roman" w:hAnsi="Times New Roman"/>
          <w:i/>
          <w:szCs w:val="24"/>
          <w:lang w:val="bs-Latn-BA"/>
        </w:rPr>
        <w:t>UNHCR</w:t>
      </w:r>
      <w:r w:rsidR="003F0DED" w:rsidRPr="00295637">
        <w:rPr>
          <w:rFonts w:ascii="Times New Roman" w:hAnsi="Times New Roman"/>
          <w:szCs w:val="24"/>
          <w:lang w:val="bs-Latn-BA"/>
        </w:rPr>
        <w:t xml:space="preserve"> </w:t>
      </w:r>
      <w:r w:rsidR="00C6214E">
        <w:rPr>
          <w:rFonts w:ascii="Times New Roman" w:hAnsi="Times New Roman"/>
          <w:szCs w:val="24"/>
          <w:lang w:val="bs-Latn-BA"/>
        </w:rPr>
        <w:t>је</w:t>
      </w:r>
      <w:r w:rsidR="003F0DED" w:rsidRPr="00295637">
        <w:rPr>
          <w:rFonts w:ascii="Times New Roman" w:hAnsi="Times New Roman"/>
          <w:szCs w:val="24"/>
          <w:lang w:val="bs-Latn-BA"/>
        </w:rPr>
        <w:t xml:space="preserve"> </w:t>
      </w:r>
      <w:r w:rsidR="00C6214E">
        <w:rPr>
          <w:rFonts w:ascii="Times New Roman" w:hAnsi="Times New Roman"/>
          <w:szCs w:val="24"/>
          <w:lang w:val="bs-Latn-BA"/>
        </w:rPr>
        <w:t>преко</w:t>
      </w:r>
      <w:r w:rsidR="003F0DED" w:rsidRPr="00295637">
        <w:rPr>
          <w:rFonts w:ascii="Times New Roman" w:hAnsi="Times New Roman"/>
          <w:szCs w:val="24"/>
          <w:lang w:val="bs-Latn-BA"/>
        </w:rPr>
        <w:t xml:space="preserve"> </w:t>
      </w:r>
      <w:r>
        <w:rPr>
          <w:rFonts w:ascii="Times New Roman" w:hAnsi="Times New Roman"/>
          <w:szCs w:val="24"/>
          <w:lang w:val="sr-Cyrl-BA"/>
        </w:rPr>
        <w:t>проведбеног</w:t>
      </w:r>
      <w:r w:rsidR="003F0DED" w:rsidRPr="00295637">
        <w:rPr>
          <w:rFonts w:ascii="Times New Roman" w:hAnsi="Times New Roman"/>
          <w:szCs w:val="24"/>
          <w:lang w:val="bs-Latn-BA"/>
        </w:rPr>
        <w:t xml:space="preserve"> </w:t>
      </w:r>
      <w:r w:rsidR="00C6214E">
        <w:rPr>
          <w:rFonts w:ascii="Times New Roman" w:hAnsi="Times New Roman"/>
          <w:szCs w:val="24"/>
          <w:lang w:val="bs-Latn-BA"/>
        </w:rPr>
        <w:t>партнера</w:t>
      </w:r>
      <w:r w:rsidR="003F0DED" w:rsidRPr="00295637">
        <w:rPr>
          <w:rFonts w:ascii="Times New Roman" w:hAnsi="Times New Roman"/>
          <w:szCs w:val="24"/>
          <w:lang w:val="bs-Latn-BA"/>
        </w:rPr>
        <w:t xml:space="preserve"> </w:t>
      </w:r>
      <w:r w:rsidR="00C6214E">
        <w:rPr>
          <w:rFonts w:ascii="Times New Roman" w:hAnsi="Times New Roman"/>
          <w:szCs w:val="24"/>
          <w:lang w:val="bs-Latn-BA"/>
        </w:rPr>
        <w:t>Фондације</w:t>
      </w:r>
      <w:r w:rsidR="003F0DED" w:rsidRPr="00295637">
        <w:rPr>
          <w:rFonts w:ascii="Times New Roman" w:hAnsi="Times New Roman"/>
          <w:szCs w:val="24"/>
          <w:lang w:val="bs-Latn-BA"/>
        </w:rPr>
        <w:t xml:space="preserve"> </w:t>
      </w:r>
      <w:r w:rsidR="00142AC8" w:rsidRPr="00295637">
        <w:rPr>
          <w:rFonts w:ascii="Times New Roman" w:hAnsi="Times New Roman"/>
          <w:szCs w:val="24"/>
          <w:lang w:val="bs-Latn-BA"/>
        </w:rPr>
        <w:t>„</w:t>
      </w:r>
      <w:r w:rsidR="00C6214E">
        <w:rPr>
          <w:rFonts w:ascii="Times New Roman" w:hAnsi="Times New Roman"/>
          <w:szCs w:val="24"/>
          <w:lang w:val="bs-Latn-BA"/>
        </w:rPr>
        <w:t>БХ</w:t>
      </w:r>
      <w:r w:rsidR="003F0DED" w:rsidRPr="00295637">
        <w:rPr>
          <w:rFonts w:ascii="Times New Roman" w:hAnsi="Times New Roman"/>
          <w:szCs w:val="24"/>
          <w:lang w:val="bs-Latn-BA"/>
        </w:rPr>
        <w:t xml:space="preserve"> </w:t>
      </w:r>
      <w:r w:rsidR="00C6214E">
        <w:rPr>
          <w:rFonts w:ascii="Times New Roman" w:hAnsi="Times New Roman"/>
          <w:szCs w:val="24"/>
          <w:lang w:val="bs-Latn-BA"/>
        </w:rPr>
        <w:t>иницијатива</w:t>
      </w:r>
      <w:r w:rsidR="003F0DED" w:rsidRPr="00295637">
        <w:rPr>
          <w:rFonts w:ascii="Times New Roman" w:hAnsi="Times New Roman"/>
          <w:szCs w:val="24"/>
          <w:lang w:val="bs-Latn-BA"/>
        </w:rPr>
        <w:t xml:space="preserve"> </w:t>
      </w:r>
      <w:r w:rsidR="00C6214E">
        <w:rPr>
          <w:rFonts w:ascii="Times New Roman" w:hAnsi="Times New Roman"/>
          <w:szCs w:val="24"/>
          <w:lang w:val="bs-Latn-BA"/>
        </w:rPr>
        <w:t>жена</w:t>
      </w:r>
      <w:r w:rsidR="00142AC8" w:rsidRPr="00295637">
        <w:rPr>
          <w:rFonts w:ascii="Times New Roman" w:hAnsi="Times New Roman"/>
          <w:szCs w:val="24"/>
          <w:lang w:val="bs-Latn-BA"/>
        </w:rPr>
        <w:t>“</w:t>
      </w:r>
      <w:r w:rsidR="003F0DED" w:rsidRPr="00295637">
        <w:rPr>
          <w:rFonts w:ascii="Times New Roman" w:hAnsi="Times New Roman"/>
          <w:szCs w:val="24"/>
          <w:lang w:val="bs-Latn-BA"/>
        </w:rPr>
        <w:t xml:space="preserve">, </w:t>
      </w:r>
      <w:r w:rsidR="00C6214E">
        <w:rPr>
          <w:rFonts w:ascii="Times New Roman" w:hAnsi="Times New Roman"/>
          <w:szCs w:val="24"/>
          <w:lang w:val="bs-Latn-BA"/>
        </w:rPr>
        <w:t>стављао</w:t>
      </w:r>
      <w:r w:rsidR="000D02B0">
        <w:rPr>
          <w:rFonts w:ascii="Times New Roman" w:hAnsi="Times New Roman"/>
          <w:szCs w:val="24"/>
          <w:lang w:val="bs-Latn-BA"/>
        </w:rPr>
        <w:t xml:space="preserve"> </w:t>
      </w:r>
      <w:r w:rsidR="00C6214E">
        <w:rPr>
          <w:rFonts w:ascii="Times New Roman" w:hAnsi="Times New Roman"/>
          <w:szCs w:val="24"/>
          <w:lang w:val="bs-Latn-BA"/>
        </w:rPr>
        <w:t>акценат</w:t>
      </w:r>
      <w:r w:rsidR="003F0DED" w:rsidRPr="00295637">
        <w:rPr>
          <w:rFonts w:ascii="Times New Roman" w:hAnsi="Times New Roman"/>
          <w:szCs w:val="24"/>
          <w:lang w:val="bs-Latn-BA"/>
        </w:rPr>
        <w:t xml:space="preserve"> </w:t>
      </w:r>
      <w:r w:rsidR="00C6214E">
        <w:rPr>
          <w:rFonts w:ascii="Times New Roman" w:hAnsi="Times New Roman"/>
          <w:szCs w:val="24"/>
          <w:lang w:val="bs-Latn-BA"/>
        </w:rPr>
        <w:t>на</w:t>
      </w:r>
      <w:r w:rsidR="003F0DED" w:rsidRPr="00295637">
        <w:rPr>
          <w:rFonts w:ascii="Times New Roman" w:hAnsi="Times New Roman"/>
          <w:szCs w:val="24"/>
          <w:lang w:val="bs-Latn-BA"/>
        </w:rPr>
        <w:t xml:space="preserve"> </w:t>
      </w:r>
      <w:r w:rsidR="00C6214E">
        <w:rPr>
          <w:rFonts w:ascii="Times New Roman" w:hAnsi="Times New Roman"/>
          <w:szCs w:val="24"/>
          <w:lang w:val="bs-Latn-BA"/>
        </w:rPr>
        <w:t>истицање</w:t>
      </w:r>
      <w:r w:rsidR="003F0DED" w:rsidRPr="00295637">
        <w:rPr>
          <w:rFonts w:ascii="Times New Roman" w:hAnsi="Times New Roman"/>
          <w:szCs w:val="24"/>
          <w:lang w:val="bs-Latn-BA"/>
        </w:rPr>
        <w:t xml:space="preserve"> </w:t>
      </w:r>
      <w:r w:rsidR="00C6214E">
        <w:rPr>
          <w:rFonts w:ascii="Times New Roman" w:hAnsi="Times New Roman"/>
          <w:szCs w:val="24"/>
          <w:lang w:val="bs-Latn-BA"/>
        </w:rPr>
        <w:t>системских</w:t>
      </w:r>
      <w:r w:rsidR="003F0DED" w:rsidRPr="00295637">
        <w:rPr>
          <w:rFonts w:ascii="Times New Roman" w:hAnsi="Times New Roman"/>
          <w:szCs w:val="24"/>
          <w:lang w:val="bs-Latn-BA"/>
        </w:rPr>
        <w:t xml:space="preserve"> </w:t>
      </w:r>
      <w:r w:rsidR="00C6214E">
        <w:rPr>
          <w:rFonts w:ascii="Times New Roman" w:hAnsi="Times New Roman"/>
          <w:szCs w:val="24"/>
          <w:lang w:val="bs-Latn-BA"/>
        </w:rPr>
        <w:t>празнина</w:t>
      </w:r>
      <w:r w:rsidR="003F0DED" w:rsidRPr="00295637">
        <w:rPr>
          <w:rFonts w:ascii="Times New Roman" w:hAnsi="Times New Roman"/>
          <w:szCs w:val="24"/>
          <w:lang w:val="bs-Latn-BA"/>
        </w:rPr>
        <w:t xml:space="preserve"> </w:t>
      </w:r>
      <w:r w:rsidR="00C6214E">
        <w:rPr>
          <w:rFonts w:ascii="Times New Roman" w:hAnsi="Times New Roman"/>
          <w:szCs w:val="24"/>
          <w:lang w:val="bs-Latn-BA"/>
        </w:rPr>
        <w:t>у</w:t>
      </w:r>
      <w:r w:rsidR="003F0DED" w:rsidRPr="00295637">
        <w:rPr>
          <w:rFonts w:ascii="Times New Roman" w:hAnsi="Times New Roman"/>
          <w:szCs w:val="24"/>
          <w:lang w:val="bs-Latn-BA"/>
        </w:rPr>
        <w:t xml:space="preserve"> </w:t>
      </w:r>
      <w:r w:rsidR="00C6214E">
        <w:rPr>
          <w:rFonts w:ascii="Times New Roman" w:hAnsi="Times New Roman"/>
          <w:szCs w:val="24"/>
          <w:lang w:val="bs-Latn-BA"/>
        </w:rPr>
        <w:t>приступу</w:t>
      </w:r>
      <w:r w:rsidR="003F0DED" w:rsidRPr="00295637">
        <w:rPr>
          <w:rFonts w:ascii="Times New Roman" w:hAnsi="Times New Roman"/>
          <w:szCs w:val="24"/>
          <w:lang w:val="bs-Latn-BA"/>
        </w:rPr>
        <w:t xml:space="preserve"> </w:t>
      </w:r>
      <w:r w:rsidR="00C6214E">
        <w:rPr>
          <w:rFonts w:ascii="Times New Roman" w:hAnsi="Times New Roman"/>
          <w:szCs w:val="24"/>
          <w:lang w:val="bs-Latn-BA"/>
        </w:rPr>
        <w:t>социјалном</w:t>
      </w:r>
      <w:r w:rsidR="003F0DED" w:rsidRPr="00295637">
        <w:rPr>
          <w:rFonts w:ascii="Times New Roman" w:hAnsi="Times New Roman"/>
          <w:szCs w:val="24"/>
          <w:lang w:val="bs-Latn-BA"/>
        </w:rPr>
        <w:t xml:space="preserve"> </w:t>
      </w:r>
      <w:r w:rsidR="00C6214E">
        <w:rPr>
          <w:rFonts w:ascii="Times New Roman" w:hAnsi="Times New Roman"/>
          <w:szCs w:val="24"/>
          <w:lang w:val="bs-Latn-BA"/>
        </w:rPr>
        <w:t>становању</w:t>
      </w:r>
      <w:r w:rsidR="003F0DED" w:rsidRPr="00295637">
        <w:rPr>
          <w:rFonts w:ascii="Times New Roman" w:hAnsi="Times New Roman"/>
          <w:szCs w:val="24"/>
          <w:lang w:val="bs-Latn-BA"/>
        </w:rPr>
        <w:t xml:space="preserve"> </w:t>
      </w:r>
      <w:r w:rsidR="00C6214E">
        <w:rPr>
          <w:rFonts w:ascii="Times New Roman" w:hAnsi="Times New Roman"/>
          <w:szCs w:val="24"/>
          <w:lang w:val="bs-Latn-BA"/>
        </w:rPr>
        <w:t>за</w:t>
      </w:r>
      <w:r w:rsidR="003F0DED" w:rsidRPr="00295637">
        <w:rPr>
          <w:rFonts w:ascii="Times New Roman" w:hAnsi="Times New Roman"/>
          <w:szCs w:val="24"/>
          <w:lang w:val="bs-Latn-BA"/>
        </w:rPr>
        <w:t xml:space="preserve"> </w:t>
      </w:r>
      <w:r w:rsidR="00C6214E">
        <w:rPr>
          <w:rFonts w:ascii="Times New Roman" w:hAnsi="Times New Roman"/>
          <w:szCs w:val="24"/>
          <w:lang w:val="bs-Latn-BA"/>
        </w:rPr>
        <w:t>жртве</w:t>
      </w:r>
      <w:r w:rsidR="003F0DED"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3F0DED" w:rsidRPr="00295637">
        <w:rPr>
          <w:rFonts w:ascii="Times New Roman" w:hAnsi="Times New Roman"/>
          <w:szCs w:val="24"/>
          <w:lang w:val="bs-Latn-BA"/>
        </w:rPr>
        <w:t xml:space="preserve">, </w:t>
      </w:r>
      <w:r w:rsidR="00C6214E">
        <w:rPr>
          <w:rFonts w:ascii="Times New Roman" w:hAnsi="Times New Roman"/>
          <w:szCs w:val="24"/>
          <w:lang w:val="bs-Latn-BA"/>
        </w:rPr>
        <w:t>заговарајући</w:t>
      </w:r>
      <w:r w:rsidR="003F0DED" w:rsidRPr="00295637">
        <w:rPr>
          <w:rFonts w:ascii="Times New Roman" w:hAnsi="Times New Roman"/>
          <w:szCs w:val="24"/>
          <w:lang w:val="bs-Latn-BA"/>
        </w:rPr>
        <w:t xml:space="preserve"> </w:t>
      </w:r>
      <w:r w:rsidR="00C6214E">
        <w:rPr>
          <w:rFonts w:ascii="Times New Roman" w:hAnsi="Times New Roman"/>
          <w:szCs w:val="24"/>
          <w:lang w:val="bs-Latn-BA"/>
        </w:rPr>
        <w:t>боље</w:t>
      </w:r>
      <w:r w:rsidR="003F0DED" w:rsidRPr="00295637">
        <w:rPr>
          <w:rFonts w:ascii="Times New Roman" w:hAnsi="Times New Roman"/>
          <w:szCs w:val="24"/>
          <w:lang w:val="bs-Latn-BA"/>
        </w:rPr>
        <w:t xml:space="preserve"> </w:t>
      </w:r>
      <w:r w:rsidR="00C6214E">
        <w:rPr>
          <w:rFonts w:ascii="Times New Roman" w:hAnsi="Times New Roman"/>
          <w:szCs w:val="24"/>
          <w:lang w:val="bs-Latn-BA"/>
        </w:rPr>
        <w:t>укључивање</w:t>
      </w:r>
      <w:r w:rsidR="003F0DED" w:rsidRPr="00295637">
        <w:rPr>
          <w:rFonts w:ascii="Times New Roman" w:hAnsi="Times New Roman"/>
          <w:szCs w:val="24"/>
          <w:lang w:val="bs-Latn-BA"/>
        </w:rPr>
        <w:t xml:space="preserve"> </w:t>
      </w:r>
      <w:r w:rsidR="00C6214E">
        <w:rPr>
          <w:rFonts w:ascii="Times New Roman" w:hAnsi="Times New Roman"/>
          <w:szCs w:val="24"/>
          <w:lang w:val="bs-Latn-BA"/>
        </w:rPr>
        <w:t>маргинализованих</w:t>
      </w:r>
      <w:r w:rsidR="003F0DED" w:rsidRPr="00295637">
        <w:rPr>
          <w:rFonts w:ascii="Times New Roman" w:hAnsi="Times New Roman"/>
          <w:szCs w:val="24"/>
          <w:lang w:val="bs-Latn-BA"/>
        </w:rPr>
        <w:t xml:space="preserve"> </w:t>
      </w:r>
      <w:r w:rsidR="00C6214E">
        <w:rPr>
          <w:rFonts w:ascii="Times New Roman" w:hAnsi="Times New Roman"/>
          <w:szCs w:val="24"/>
          <w:lang w:val="bs-Latn-BA"/>
        </w:rPr>
        <w:t>група</w:t>
      </w:r>
      <w:r w:rsidR="003F0DED" w:rsidRPr="00295637">
        <w:rPr>
          <w:rFonts w:ascii="Times New Roman" w:hAnsi="Times New Roman"/>
          <w:szCs w:val="24"/>
          <w:lang w:val="bs-Latn-BA"/>
        </w:rPr>
        <w:t xml:space="preserve"> </w:t>
      </w:r>
      <w:r w:rsidR="00C6214E">
        <w:rPr>
          <w:rFonts w:ascii="Times New Roman" w:hAnsi="Times New Roman"/>
          <w:szCs w:val="24"/>
          <w:lang w:val="bs-Latn-BA"/>
        </w:rPr>
        <w:t>у</w:t>
      </w:r>
      <w:r w:rsidR="003F0DED" w:rsidRPr="00295637">
        <w:rPr>
          <w:rFonts w:ascii="Times New Roman" w:hAnsi="Times New Roman"/>
          <w:szCs w:val="24"/>
          <w:lang w:val="bs-Latn-BA"/>
        </w:rPr>
        <w:t xml:space="preserve"> </w:t>
      </w:r>
      <w:r w:rsidR="00C6214E">
        <w:rPr>
          <w:rFonts w:ascii="Times New Roman" w:hAnsi="Times New Roman"/>
          <w:szCs w:val="24"/>
          <w:lang w:val="bs-Latn-BA"/>
        </w:rPr>
        <w:t>стамбену</w:t>
      </w:r>
      <w:r w:rsidR="003F0DED" w:rsidRPr="00295637">
        <w:rPr>
          <w:rFonts w:ascii="Times New Roman" w:hAnsi="Times New Roman"/>
          <w:szCs w:val="24"/>
          <w:lang w:val="bs-Latn-BA"/>
        </w:rPr>
        <w:t xml:space="preserve"> </w:t>
      </w:r>
      <w:r w:rsidR="00C6214E">
        <w:rPr>
          <w:rFonts w:ascii="Times New Roman" w:hAnsi="Times New Roman"/>
          <w:szCs w:val="24"/>
          <w:lang w:val="bs-Latn-BA"/>
        </w:rPr>
        <w:t>политику</w:t>
      </w:r>
      <w:r w:rsidR="003F0DED" w:rsidRPr="00295637">
        <w:rPr>
          <w:rFonts w:ascii="Times New Roman" w:hAnsi="Times New Roman"/>
          <w:szCs w:val="24"/>
          <w:lang w:val="bs-Latn-BA"/>
        </w:rPr>
        <w:t xml:space="preserve">. </w:t>
      </w:r>
      <w:r w:rsidR="00C6214E">
        <w:rPr>
          <w:rFonts w:ascii="Times New Roman" w:hAnsi="Times New Roman"/>
          <w:szCs w:val="24"/>
          <w:lang w:val="bs-Latn-BA"/>
        </w:rPr>
        <w:t>Фондација</w:t>
      </w:r>
      <w:r w:rsidR="003F0DED" w:rsidRPr="00295637">
        <w:rPr>
          <w:rFonts w:ascii="Times New Roman" w:hAnsi="Times New Roman"/>
          <w:szCs w:val="24"/>
          <w:lang w:val="bs-Latn-BA"/>
        </w:rPr>
        <w:t xml:space="preserve"> </w:t>
      </w:r>
      <w:r w:rsidR="00C6214E">
        <w:rPr>
          <w:rFonts w:ascii="Times New Roman" w:hAnsi="Times New Roman"/>
          <w:szCs w:val="24"/>
          <w:lang w:val="bs-Latn-BA"/>
        </w:rPr>
        <w:t>је</w:t>
      </w:r>
      <w:r w:rsidR="009F5C20" w:rsidRPr="00295637">
        <w:rPr>
          <w:rFonts w:ascii="Times New Roman" w:hAnsi="Times New Roman"/>
          <w:szCs w:val="24"/>
          <w:lang w:val="bs-Latn-BA"/>
        </w:rPr>
        <w:t xml:space="preserve">, </w:t>
      </w:r>
      <w:r w:rsidR="00C6214E">
        <w:rPr>
          <w:rFonts w:ascii="Times New Roman" w:hAnsi="Times New Roman"/>
          <w:szCs w:val="24"/>
          <w:lang w:val="bs-Latn-BA"/>
        </w:rPr>
        <w:t>уз</w:t>
      </w:r>
      <w:r w:rsidR="009F5C20" w:rsidRPr="00295637">
        <w:rPr>
          <w:rFonts w:ascii="Times New Roman" w:hAnsi="Times New Roman"/>
          <w:szCs w:val="24"/>
          <w:lang w:val="bs-Latn-BA"/>
        </w:rPr>
        <w:t xml:space="preserve"> </w:t>
      </w:r>
      <w:r w:rsidR="00C6214E">
        <w:rPr>
          <w:rFonts w:ascii="Times New Roman" w:hAnsi="Times New Roman"/>
          <w:szCs w:val="24"/>
          <w:lang w:val="bs-Latn-BA"/>
        </w:rPr>
        <w:t>подршку</w:t>
      </w:r>
      <w:r w:rsidR="009F5C20" w:rsidRPr="00295637">
        <w:rPr>
          <w:rFonts w:ascii="Times New Roman" w:hAnsi="Times New Roman"/>
          <w:szCs w:val="24"/>
          <w:lang w:val="bs-Latn-BA"/>
        </w:rPr>
        <w:t xml:space="preserve"> </w:t>
      </w:r>
      <w:r w:rsidRPr="00A054E6">
        <w:rPr>
          <w:rFonts w:ascii="Times New Roman" w:hAnsi="Times New Roman"/>
          <w:i/>
          <w:szCs w:val="24"/>
          <w:lang w:val="bs-Latn-BA"/>
        </w:rPr>
        <w:t>UNHCR</w:t>
      </w:r>
      <w:r w:rsidR="009F5C20" w:rsidRPr="00295637">
        <w:rPr>
          <w:rFonts w:ascii="Times New Roman" w:hAnsi="Times New Roman"/>
          <w:szCs w:val="24"/>
          <w:lang w:val="bs-Latn-BA"/>
        </w:rPr>
        <w:t>-</w:t>
      </w:r>
      <w:r w:rsidR="00C6214E">
        <w:rPr>
          <w:rFonts w:ascii="Times New Roman" w:hAnsi="Times New Roman"/>
          <w:szCs w:val="24"/>
          <w:lang w:val="bs-Latn-BA"/>
        </w:rPr>
        <w:t>а</w:t>
      </w:r>
      <w:r w:rsidR="003F0DED" w:rsidRPr="00295637">
        <w:rPr>
          <w:rFonts w:ascii="Times New Roman" w:hAnsi="Times New Roman"/>
          <w:szCs w:val="24"/>
          <w:lang w:val="bs-Latn-BA"/>
        </w:rPr>
        <w:t xml:space="preserve"> </w:t>
      </w:r>
      <w:r>
        <w:rPr>
          <w:rFonts w:ascii="Times New Roman" w:hAnsi="Times New Roman"/>
          <w:szCs w:val="24"/>
          <w:lang w:val="bs-Latn-BA"/>
        </w:rPr>
        <w:t>такође</w:t>
      </w:r>
      <w:r w:rsidR="003F0DED" w:rsidRPr="00295637">
        <w:rPr>
          <w:rFonts w:ascii="Times New Roman" w:hAnsi="Times New Roman"/>
          <w:szCs w:val="24"/>
          <w:lang w:val="bs-Latn-BA"/>
        </w:rPr>
        <w:t xml:space="preserve"> </w:t>
      </w:r>
      <w:r w:rsidR="00C6214E">
        <w:rPr>
          <w:rFonts w:ascii="Times New Roman" w:hAnsi="Times New Roman"/>
          <w:szCs w:val="24"/>
          <w:lang w:val="bs-Latn-BA"/>
        </w:rPr>
        <w:t>сарађивала</w:t>
      </w:r>
      <w:r w:rsidR="000D02B0">
        <w:rPr>
          <w:rFonts w:ascii="Times New Roman" w:hAnsi="Times New Roman"/>
          <w:szCs w:val="24"/>
          <w:lang w:val="bs-Latn-BA"/>
        </w:rPr>
        <w:t xml:space="preserve"> </w:t>
      </w:r>
      <w:r w:rsidR="00C6214E">
        <w:rPr>
          <w:rFonts w:ascii="Times New Roman" w:hAnsi="Times New Roman"/>
          <w:szCs w:val="24"/>
          <w:lang w:val="bs-Latn-BA"/>
        </w:rPr>
        <w:t>са</w:t>
      </w:r>
      <w:r w:rsidR="009F5C20" w:rsidRPr="00295637">
        <w:rPr>
          <w:rFonts w:ascii="Times New Roman" w:hAnsi="Times New Roman"/>
          <w:szCs w:val="24"/>
          <w:lang w:val="bs-Latn-BA"/>
        </w:rPr>
        <w:t xml:space="preserve"> </w:t>
      </w:r>
      <w:r w:rsidR="00C6214E">
        <w:rPr>
          <w:rFonts w:ascii="Times New Roman" w:hAnsi="Times New Roman"/>
          <w:szCs w:val="24"/>
          <w:lang w:val="bs-Latn-BA"/>
        </w:rPr>
        <w:t>ФМРСП</w:t>
      </w:r>
      <w:r w:rsidR="009F5C20" w:rsidRPr="00295637">
        <w:rPr>
          <w:rFonts w:ascii="Times New Roman" w:hAnsi="Times New Roman"/>
          <w:szCs w:val="24"/>
          <w:lang w:val="bs-Latn-BA"/>
        </w:rPr>
        <w:t xml:space="preserve"> </w:t>
      </w:r>
      <w:r w:rsidR="00C6214E">
        <w:rPr>
          <w:rFonts w:ascii="Times New Roman" w:hAnsi="Times New Roman"/>
          <w:szCs w:val="24"/>
          <w:lang w:val="bs-Latn-BA"/>
        </w:rPr>
        <w:t>у</w:t>
      </w:r>
      <w:r w:rsidR="009F5C20"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9F5C20" w:rsidRPr="00295637">
        <w:rPr>
          <w:rFonts w:ascii="Times New Roman" w:hAnsi="Times New Roman"/>
          <w:szCs w:val="24"/>
          <w:lang w:val="bs-Latn-BA"/>
        </w:rPr>
        <w:t xml:space="preserve"> </w:t>
      </w:r>
      <w:r w:rsidR="00C6214E">
        <w:rPr>
          <w:rFonts w:ascii="Times New Roman" w:hAnsi="Times New Roman"/>
          <w:szCs w:val="24"/>
          <w:lang w:val="bs-Latn-BA"/>
        </w:rPr>
        <w:t>рјешавања</w:t>
      </w:r>
      <w:r w:rsidR="009F5C20" w:rsidRPr="00295637">
        <w:rPr>
          <w:rFonts w:ascii="Times New Roman" w:hAnsi="Times New Roman"/>
          <w:szCs w:val="24"/>
          <w:lang w:val="bs-Latn-BA"/>
        </w:rPr>
        <w:t xml:space="preserve"> </w:t>
      </w:r>
      <w:r w:rsidR="00C6214E">
        <w:rPr>
          <w:rFonts w:ascii="Times New Roman" w:hAnsi="Times New Roman"/>
          <w:szCs w:val="24"/>
          <w:lang w:val="bs-Latn-BA"/>
        </w:rPr>
        <w:t>трауме</w:t>
      </w:r>
      <w:r w:rsidR="000D02B0">
        <w:rPr>
          <w:rFonts w:ascii="Times New Roman" w:hAnsi="Times New Roman"/>
          <w:szCs w:val="24"/>
          <w:lang w:val="bs-Latn-BA"/>
        </w:rPr>
        <w:t xml:space="preserve"> </w:t>
      </w:r>
      <w:r w:rsidR="00C6214E">
        <w:rPr>
          <w:rFonts w:ascii="Times New Roman" w:hAnsi="Times New Roman"/>
          <w:szCs w:val="24"/>
          <w:lang w:val="bs-Latn-BA"/>
        </w:rPr>
        <w:t>међу</w:t>
      </w:r>
      <w:r w:rsidR="000D02B0">
        <w:rPr>
          <w:rFonts w:ascii="Times New Roman" w:hAnsi="Times New Roman"/>
          <w:szCs w:val="24"/>
          <w:lang w:val="bs-Latn-BA"/>
        </w:rPr>
        <w:t xml:space="preserve"> </w:t>
      </w:r>
      <w:r w:rsidR="00C6214E">
        <w:rPr>
          <w:rFonts w:ascii="Times New Roman" w:hAnsi="Times New Roman"/>
          <w:szCs w:val="24"/>
          <w:lang w:val="bs-Latn-BA"/>
        </w:rPr>
        <w:t>рањивим</w:t>
      </w:r>
      <w:r w:rsidR="000D02B0">
        <w:rPr>
          <w:rFonts w:ascii="Times New Roman" w:hAnsi="Times New Roman"/>
          <w:szCs w:val="24"/>
          <w:lang w:val="bs-Latn-BA"/>
        </w:rPr>
        <w:t xml:space="preserve"> </w:t>
      </w:r>
      <w:r w:rsidR="00C6214E">
        <w:rPr>
          <w:rFonts w:ascii="Times New Roman" w:hAnsi="Times New Roman"/>
          <w:szCs w:val="24"/>
          <w:lang w:val="bs-Latn-BA"/>
        </w:rPr>
        <w:t>становништвом</w:t>
      </w:r>
      <w:r w:rsidR="000D02B0">
        <w:rPr>
          <w:rFonts w:ascii="Times New Roman" w:hAnsi="Times New Roman"/>
          <w:szCs w:val="24"/>
          <w:lang w:val="bs-Latn-BA"/>
        </w:rPr>
        <w:t xml:space="preserve">, </w:t>
      </w:r>
      <w:r w:rsidR="00C6214E">
        <w:rPr>
          <w:rFonts w:ascii="Times New Roman" w:hAnsi="Times New Roman"/>
          <w:szCs w:val="24"/>
          <w:lang w:val="bs-Latn-BA"/>
        </w:rPr>
        <w:t>са</w:t>
      </w:r>
      <w:r w:rsidR="009F5C20" w:rsidRPr="00295637">
        <w:rPr>
          <w:rFonts w:ascii="Times New Roman" w:hAnsi="Times New Roman"/>
          <w:szCs w:val="24"/>
          <w:lang w:val="bs-Latn-BA"/>
        </w:rPr>
        <w:t xml:space="preserve"> </w:t>
      </w:r>
      <w:r w:rsidR="00C6214E">
        <w:rPr>
          <w:rFonts w:ascii="Times New Roman" w:hAnsi="Times New Roman"/>
          <w:szCs w:val="24"/>
          <w:lang w:val="bs-Latn-BA"/>
        </w:rPr>
        <w:t>акцентом</w:t>
      </w:r>
      <w:r w:rsidR="009F5C20" w:rsidRPr="00295637">
        <w:rPr>
          <w:rFonts w:ascii="Times New Roman" w:hAnsi="Times New Roman"/>
          <w:szCs w:val="24"/>
          <w:lang w:val="bs-Latn-BA"/>
        </w:rPr>
        <w:t xml:space="preserve"> </w:t>
      </w:r>
      <w:r w:rsidR="00C6214E">
        <w:rPr>
          <w:rFonts w:ascii="Times New Roman" w:hAnsi="Times New Roman"/>
          <w:szCs w:val="24"/>
          <w:lang w:val="bs-Latn-BA"/>
        </w:rPr>
        <w:t>на</w:t>
      </w:r>
      <w:r w:rsidR="009F5C20" w:rsidRPr="00295637">
        <w:rPr>
          <w:rFonts w:ascii="Times New Roman" w:hAnsi="Times New Roman"/>
          <w:szCs w:val="24"/>
          <w:lang w:val="bs-Latn-BA"/>
        </w:rPr>
        <w:t xml:space="preserve"> </w:t>
      </w:r>
      <w:r w:rsidR="00C6214E">
        <w:rPr>
          <w:rFonts w:ascii="Times New Roman" w:hAnsi="Times New Roman"/>
          <w:szCs w:val="24"/>
          <w:lang w:val="bs-Latn-BA"/>
        </w:rPr>
        <w:t>расељене</w:t>
      </w:r>
      <w:r w:rsidR="009F5C20" w:rsidRPr="00295637">
        <w:rPr>
          <w:rFonts w:ascii="Times New Roman" w:hAnsi="Times New Roman"/>
          <w:szCs w:val="24"/>
          <w:lang w:val="bs-Latn-BA"/>
        </w:rPr>
        <w:t xml:space="preserve"> </w:t>
      </w:r>
      <w:r w:rsidR="00C6214E">
        <w:rPr>
          <w:rFonts w:ascii="Times New Roman" w:hAnsi="Times New Roman"/>
          <w:szCs w:val="24"/>
          <w:lang w:val="bs-Latn-BA"/>
        </w:rPr>
        <w:t>жене</w:t>
      </w:r>
      <w:r w:rsidR="009F5C20" w:rsidRPr="00295637">
        <w:rPr>
          <w:rFonts w:ascii="Times New Roman" w:hAnsi="Times New Roman"/>
          <w:szCs w:val="24"/>
          <w:lang w:val="bs-Latn-BA"/>
        </w:rPr>
        <w:t xml:space="preserve"> </w:t>
      </w:r>
      <w:r w:rsidR="00C6214E">
        <w:rPr>
          <w:rFonts w:ascii="Times New Roman" w:hAnsi="Times New Roman"/>
          <w:szCs w:val="24"/>
          <w:lang w:val="bs-Latn-BA"/>
        </w:rPr>
        <w:t>и</w:t>
      </w:r>
      <w:r w:rsidR="009F5C20" w:rsidRPr="00295637">
        <w:rPr>
          <w:rFonts w:ascii="Times New Roman" w:hAnsi="Times New Roman"/>
          <w:szCs w:val="24"/>
          <w:lang w:val="bs-Latn-BA"/>
        </w:rPr>
        <w:t xml:space="preserve"> </w:t>
      </w:r>
      <w:r w:rsidR="00C6214E">
        <w:rPr>
          <w:rFonts w:ascii="Times New Roman" w:hAnsi="Times New Roman"/>
          <w:szCs w:val="24"/>
          <w:lang w:val="bs-Latn-BA"/>
        </w:rPr>
        <w:t>дјевојчице</w:t>
      </w:r>
      <w:r w:rsidR="009F5C20" w:rsidRPr="00295637">
        <w:rPr>
          <w:rFonts w:ascii="Times New Roman" w:hAnsi="Times New Roman"/>
          <w:szCs w:val="24"/>
          <w:lang w:val="bs-Latn-BA"/>
        </w:rPr>
        <w:t xml:space="preserve">. </w:t>
      </w:r>
      <w:r w:rsidR="00C6214E">
        <w:rPr>
          <w:rFonts w:ascii="Times New Roman" w:hAnsi="Times New Roman"/>
          <w:szCs w:val="24"/>
          <w:lang w:val="bs-Latn-BA"/>
        </w:rPr>
        <w:t>Поред</w:t>
      </w:r>
      <w:r w:rsidR="009F5C20" w:rsidRPr="00295637">
        <w:rPr>
          <w:rFonts w:ascii="Times New Roman" w:hAnsi="Times New Roman"/>
          <w:szCs w:val="24"/>
          <w:lang w:val="bs-Latn-BA"/>
        </w:rPr>
        <w:t xml:space="preserve"> </w:t>
      </w:r>
      <w:r w:rsidR="00C6214E">
        <w:rPr>
          <w:rFonts w:ascii="Times New Roman" w:hAnsi="Times New Roman"/>
          <w:szCs w:val="24"/>
          <w:lang w:val="bs-Latn-BA"/>
        </w:rPr>
        <w:t>тога</w:t>
      </w:r>
      <w:r w:rsidR="009F5C20" w:rsidRPr="00295637">
        <w:rPr>
          <w:rFonts w:ascii="Times New Roman" w:hAnsi="Times New Roman"/>
          <w:szCs w:val="24"/>
          <w:lang w:val="bs-Latn-BA"/>
        </w:rPr>
        <w:t xml:space="preserve">, </w:t>
      </w:r>
      <w:r w:rsidRPr="00A054E6">
        <w:rPr>
          <w:rFonts w:ascii="Times New Roman" w:eastAsia="Aptos" w:hAnsi="Times New Roman"/>
          <w:i/>
          <w:szCs w:val="24"/>
        </w:rPr>
        <w:t>UNICEF</w:t>
      </w:r>
      <w:r w:rsidR="009F5C20" w:rsidRPr="00295637">
        <w:rPr>
          <w:rFonts w:ascii="Times New Roman" w:eastAsia="Aptos" w:hAnsi="Times New Roman"/>
          <w:szCs w:val="24"/>
        </w:rPr>
        <w:t>-</w:t>
      </w:r>
      <w:r w:rsidR="00C6214E">
        <w:rPr>
          <w:rFonts w:ascii="Times New Roman" w:eastAsia="Aptos" w:hAnsi="Times New Roman"/>
          <w:szCs w:val="24"/>
        </w:rPr>
        <w:t>ов</w:t>
      </w:r>
      <w:r w:rsidR="009F5C20" w:rsidRPr="00295637">
        <w:rPr>
          <w:rFonts w:ascii="Times New Roman" w:eastAsia="Aptos" w:hAnsi="Times New Roman"/>
          <w:szCs w:val="24"/>
        </w:rPr>
        <w:t xml:space="preserve"> </w:t>
      </w:r>
      <w:r w:rsidR="00C6214E">
        <w:rPr>
          <w:rFonts w:ascii="Times New Roman" w:eastAsia="Aptos" w:hAnsi="Times New Roman"/>
          <w:szCs w:val="24"/>
        </w:rPr>
        <w:t>пилот</w:t>
      </w:r>
      <w:r w:rsidR="009F5C20" w:rsidRPr="00295637">
        <w:rPr>
          <w:rFonts w:ascii="Times New Roman" w:eastAsia="Aptos" w:hAnsi="Times New Roman"/>
          <w:szCs w:val="24"/>
        </w:rPr>
        <w:t>-</w:t>
      </w:r>
      <w:r w:rsidR="00C6214E">
        <w:rPr>
          <w:rFonts w:ascii="Times New Roman" w:eastAsia="Aptos" w:hAnsi="Times New Roman"/>
          <w:szCs w:val="24"/>
        </w:rPr>
        <w:t>модел</w:t>
      </w:r>
      <w:r w:rsidR="00CF2F55" w:rsidRPr="00295637">
        <w:rPr>
          <w:rFonts w:ascii="Times New Roman" w:eastAsia="Aptos" w:hAnsi="Times New Roman"/>
          <w:szCs w:val="24"/>
        </w:rPr>
        <w:t xml:space="preserve"> </w:t>
      </w:r>
      <w:r w:rsidR="00C6214E">
        <w:rPr>
          <w:rFonts w:ascii="Times New Roman" w:eastAsia="Aptos" w:hAnsi="Times New Roman"/>
          <w:szCs w:val="24"/>
        </w:rPr>
        <w:t>шок</w:t>
      </w:r>
      <w:r w:rsidR="00CF2F55" w:rsidRPr="00295637">
        <w:rPr>
          <w:rFonts w:ascii="Times New Roman" w:eastAsia="Aptos" w:hAnsi="Times New Roman"/>
          <w:szCs w:val="24"/>
        </w:rPr>
        <w:t>-</w:t>
      </w:r>
      <w:r w:rsidR="00C6214E">
        <w:rPr>
          <w:rFonts w:ascii="Times New Roman" w:eastAsia="Aptos" w:hAnsi="Times New Roman"/>
          <w:szCs w:val="24"/>
        </w:rPr>
        <w:t>респонсивне</w:t>
      </w:r>
      <w:r w:rsidR="00CF2F55" w:rsidRPr="00295637">
        <w:rPr>
          <w:rFonts w:ascii="Times New Roman" w:eastAsia="Aptos" w:hAnsi="Times New Roman"/>
          <w:szCs w:val="24"/>
        </w:rPr>
        <w:t xml:space="preserve"> </w:t>
      </w:r>
      <w:r w:rsidR="00C6214E">
        <w:rPr>
          <w:rFonts w:ascii="Times New Roman" w:eastAsia="Aptos" w:hAnsi="Times New Roman"/>
          <w:szCs w:val="24"/>
        </w:rPr>
        <w:t>социјалне</w:t>
      </w:r>
      <w:r w:rsidR="00CF2F55" w:rsidRPr="00295637">
        <w:rPr>
          <w:rFonts w:ascii="Times New Roman" w:eastAsia="Aptos" w:hAnsi="Times New Roman"/>
          <w:szCs w:val="24"/>
        </w:rPr>
        <w:t xml:space="preserve"> </w:t>
      </w:r>
      <w:r w:rsidR="00C6214E">
        <w:rPr>
          <w:rFonts w:ascii="Times New Roman" w:eastAsia="Aptos" w:hAnsi="Times New Roman"/>
          <w:szCs w:val="24"/>
        </w:rPr>
        <w:t>заштите</w:t>
      </w:r>
      <w:r w:rsidR="00CF2F55" w:rsidRPr="00295637">
        <w:rPr>
          <w:rFonts w:ascii="Times New Roman" w:eastAsia="Aptos" w:hAnsi="Times New Roman"/>
          <w:szCs w:val="24"/>
        </w:rPr>
        <w:t xml:space="preserve"> </w:t>
      </w:r>
      <w:r w:rsidR="00C6214E">
        <w:rPr>
          <w:rFonts w:ascii="Times New Roman" w:eastAsia="Aptos" w:hAnsi="Times New Roman"/>
          <w:szCs w:val="24"/>
        </w:rPr>
        <w:t>у</w:t>
      </w:r>
      <w:r w:rsidR="00CF2F55" w:rsidRPr="00295637">
        <w:rPr>
          <w:rFonts w:ascii="Times New Roman" w:eastAsia="Aptos" w:hAnsi="Times New Roman"/>
          <w:szCs w:val="24"/>
        </w:rPr>
        <w:t xml:space="preserve"> </w:t>
      </w:r>
      <w:r w:rsidR="00C6214E">
        <w:rPr>
          <w:rFonts w:ascii="Times New Roman" w:eastAsia="Aptos" w:hAnsi="Times New Roman"/>
          <w:szCs w:val="24"/>
        </w:rPr>
        <w:t>Бихаћу</w:t>
      </w:r>
      <w:r w:rsidR="00CF2F55" w:rsidRPr="00295637">
        <w:rPr>
          <w:rFonts w:ascii="Times New Roman" w:eastAsia="Aptos" w:hAnsi="Times New Roman"/>
          <w:szCs w:val="24"/>
        </w:rPr>
        <w:t xml:space="preserve"> </w:t>
      </w:r>
      <w:r w:rsidR="00C6214E">
        <w:rPr>
          <w:rFonts w:ascii="Times New Roman" w:eastAsia="Aptos" w:hAnsi="Times New Roman"/>
          <w:szCs w:val="24"/>
        </w:rPr>
        <w:t>обухватио</w:t>
      </w:r>
      <w:r w:rsidR="00CF2F55" w:rsidRPr="00295637">
        <w:rPr>
          <w:rFonts w:ascii="Times New Roman" w:eastAsia="Aptos" w:hAnsi="Times New Roman"/>
          <w:szCs w:val="24"/>
        </w:rPr>
        <w:t xml:space="preserve"> </w:t>
      </w:r>
      <w:r w:rsidR="00C6214E">
        <w:rPr>
          <w:rFonts w:ascii="Times New Roman" w:eastAsia="Aptos" w:hAnsi="Times New Roman"/>
          <w:szCs w:val="24"/>
        </w:rPr>
        <w:t>је</w:t>
      </w:r>
      <w:r w:rsidR="00CF2F55" w:rsidRPr="00295637">
        <w:rPr>
          <w:rFonts w:ascii="Times New Roman" w:eastAsia="Aptos" w:hAnsi="Times New Roman"/>
          <w:szCs w:val="24"/>
        </w:rPr>
        <w:t xml:space="preserve"> 5.000–8.000 </w:t>
      </w:r>
      <w:r w:rsidR="00C6214E">
        <w:rPr>
          <w:rFonts w:ascii="Times New Roman" w:eastAsia="Aptos" w:hAnsi="Times New Roman"/>
          <w:szCs w:val="24"/>
        </w:rPr>
        <w:t>рањивих</w:t>
      </w:r>
      <w:r w:rsidR="00CF2F55" w:rsidRPr="00295637">
        <w:rPr>
          <w:rFonts w:ascii="Times New Roman" w:eastAsia="Aptos" w:hAnsi="Times New Roman"/>
          <w:szCs w:val="24"/>
        </w:rPr>
        <w:t xml:space="preserve"> </w:t>
      </w:r>
      <w:r w:rsidR="00C6214E">
        <w:rPr>
          <w:rFonts w:ascii="Times New Roman" w:eastAsia="Aptos" w:hAnsi="Times New Roman"/>
          <w:szCs w:val="24"/>
        </w:rPr>
        <w:t>лица</w:t>
      </w:r>
      <w:r w:rsidR="00CF2F55" w:rsidRPr="00295637">
        <w:rPr>
          <w:rFonts w:ascii="Times New Roman" w:eastAsia="Aptos" w:hAnsi="Times New Roman"/>
          <w:szCs w:val="24"/>
        </w:rPr>
        <w:t xml:space="preserve">, </w:t>
      </w:r>
      <w:r w:rsidR="00C6214E">
        <w:rPr>
          <w:rFonts w:ascii="Times New Roman" w:eastAsia="Aptos" w:hAnsi="Times New Roman"/>
          <w:szCs w:val="24"/>
        </w:rPr>
        <w:t>укључујући</w:t>
      </w:r>
      <w:r w:rsidR="00CF2F55" w:rsidRPr="00295637">
        <w:rPr>
          <w:rFonts w:ascii="Times New Roman" w:eastAsia="Aptos" w:hAnsi="Times New Roman"/>
          <w:szCs w:val="24"/>
        </w:rPr>
        <w:t xml:space="preserve"> </w:t>
      </w:r>
      <w:r w:rsidR="00C6214E">
        <w:rPr>
          <w:rFonts w:ascii="Times New Roman" w:eastAsia="Aptos" w:hAnsi="Times New Roman"/>
          <w:szCs w:val="24"/>
        </w:rPr>
        <w:t>самохране</w:t>
      </w:r>
      <w:r w:rsidR="00CF2F55" w:rsidRPr="00295637">
        <w:rPr>
          <w:rFonts w:ascii="Times New Roman" w:eastAsia="Aptos" w:hAnsi="Times New Roman"/>
          <w:szCs w:val="24"/>
        </w:rPr>
        <w:t xml:space="preserve"> </w:t>
      </w:r>
      <w:r w:rsidR="00C6214E">
        <w:rPr>
          <w:rFonts w:ascii="Times New Roman" w:eastAsia="Aptos" w:hAnsi="Times New Roman"/>
          <w:szCs w:val="24"/>
        </w:rPr>
        <w:t>мајке</w:t>
      </w:r>
      <w:r w:rsidR="00CF2F55" w:rsidRPr="00295637">
        <w:rPr>
          <w:rFonts w:ascii="Times New Roman" w:eastAsia="Aptos" w:hAnsi="Times New Roman"/>
          <w:szCs w:val="24"/>
        </w:rPr>
        <w:t xml:space="preserve">, </w:t>
      </w:r>
      <w:r w:rsidR="00C6214E">
        <w:rPr>
          <w:rFonts w:ascii="Times New Roman" w:eastAsia="Aptos" w:hAnsi="Times New Roman"/>
          <w:szCs w:val="24"/>
        </w:rPr>
        <w:t>и</w:t>
      </w:r>
      <w:r w:rsidR="00CF2F55" w:rsidRPr="00295637">
        <w:rPr>
          <w:rFonts w:ascii="Times New Roman" w:eastAsia="Aptos" w:hAnsi="Times New Roman"/>
          <w:szCs w:val="24"/>
        </w:rPr>
        <w:t xml:space="preserve"> </w:t>
      </w:r>
      <w:r w:rsidR="00C6214E">
        <w:rPr>
          <w:rFonts w:ascii="Times New Roman" w:eastAsia="Aptos" w:hAnsi="Times New Roman"/>
          <w:szCs w:val="24"/>
        </w:rPr>
        <w:t>показао</w:t>
      </w:r>
      <w:r w:rsidR="00CF2F55" w:rsidRPr="00295637">
        <w:rPr>
          <w:rFonts w:ascii="Times New Roman" w:eastAsia="Aptos" w:hAnsi="Times New Roman"/>
          <w:szCs w:val="24"/>
        </w:rPr>
        <w:t xml:space="preserve"> </w:t>
      </w:r>
      <w:r w:rsidR="00C6214E">
        <w:rPr>
          <w:rFonts w:ascii="Times New Roman" w:eastAsia="Aptos" w:hAnsi="Times New Roman"/>
          <w:szCs w:val="24"/>
        </w:rPr>
        <w:t>могућности</w:t>
      </w:r>
      <w:r w:rsidR="00CF2F55" w:rsidRPr="00295637">
        <w:rPr>
          <w:rFonts w:ascii="Times New Roman" w:eastAsia="Aptos" w:hAnsi="Times New Roman"/>
          <w:szCs w:val="24"/>
        </w:rPr>
        <w:t xml:space="preserve"> </w:t>
      </w:r>
      <w:r w:rsidR="00C6214E">
        <w:rPr>
          <w:rFonts w:ascii="Times New Roman" w:eastAsia="Aptos" w:hAnsi="Times New Roman"/>
          <w:szCs w:val="24"/>
        </w:rPr>
        <w:t>скалирања</w:t>
      </w:r>
      <w:r w:rsidR="00CF2F55" w:rsidRPr="00295637">
        <w:rPr>
          <w:rFonts w:ascii="Times New Roman" w:eastAsia="Aptos" w:hAnsi="Times New Roman"/>
          <w:szCs w:val="24"/>
        </w:rPr>
        <w:t xml:space="preserve"> </w:t>
      </w:r>
      <w:r w:rsidR="00C6214E">
        <w:rPr>
          <w:rFonts w:ascii="Times New Roman" w:eastAsia="Aptos" w:hAnsi="Times New Roman"/>
          <w:szCs w:val="24"/>
        </w:rPr>
        <w:t>родно</w:t>
      </w:r>
      <w:r w:rsidR="00CF2F55" w:rsidRPr="00295637">
        <w:rPr>
          <w:rFonts w:ascii="Times New Roman" w:eastAsia="Aptos" w:hAnsi="Times New Roman"/>
          <w:szCs w:val="24"/>
        </w:rPr>
        <w:t xml:space="preserve"> </w:t>
      </w:r>
      <w:r w:rsidR="00C6214E">
        <w:rPr>
          <w:rFonts w:ascii="Times New Roman" w:eastAsia="Aptos" w:hAnsi="Times New Roman"/>
          <w:szCs w:val="24"/>
        </w:rPr>
        <w:t>осјетљивих</w:t>
      </w:r>
      <w:r w:rsidR="00CF2F55" w:rsidRPr="00295637">
        <w:rPr>
          <w:rFonts w:ascii="Times New Roman" w:eastAsia="Aptos" w:hAnsi="Times New Roman"/>
          <w:szCs w:val="24"/>
        </w:rPr>
        <w:t xml:space="preserve"> </w:t>
      </w:r>
      <w:r w:rsidR="00C6214E">
        <w:rPr>
          <w:rFonts w:ascii="Times New Roman" w:eastAsia="Aptos" w:hAnsi="Times New Roman"/>
          <w:szCs w:val="24"/>
        </w:rPr>
        <w:t>програма</w:t>
      </w:r>
      <w:r w:rsidR="00CF2F55" w:rsidRPr="00295637">
        <w:rPr>
          <w:rFonts w:ascii="Times New Roman" w:eastAsia="Aptos" w:hAnsi="Times New Roman"/>
          <w:szCs w:val="24"/>
        </w:rPr>
        <w:t xml:space="preserve"> </w:t>
      </w:r>
      <w:r w:rsidR="00C6214E">
        <w:rPr>
          <w:rFonts w:ascii="Times New Roman" w:eastAsia="Aptos" w:hAnsi="Times New Roman"/>
          <w:szCs w:val="24"/>
        </w:rPr>
        <w:t>у</w:t>
      </w:r>
      <w:r w:rsidR="00CF2F55" w:rsidRPr="00295637">
        <w:rPr>
          <w:rFonts w:ascii="Times New Roman" w:eastAsia="Aptos" w:hAnsi="Times New Roman"/>
          <w:szCs w:val="24"/>
        </w:rPr>
        <w:t xml:space="preserve"> </w:t>
      </w:r>
      <w:r w:rsidR="00C6214E">
        <w:rPr>
          <w:rFonts w:ascii="Times New Roman" w:eastAsia="Aptos" w:hAnsi="Times New Roman"/>
          <w:szCs w:val="24"/>
        </w:rPr>
        <w:t>кризним</w:t>
      </w:r>
      <w:r w:rsidR="00CF2F55" w:rsidRPr="00295637">
        <w:rPr>
          <w:rFonts w:ascii="Times New Roman" w:eastAsia="Aptos" w:hAnsi="Times New Roman"/>
          <w:szCs w:val="24"/>
        </w:rPr>
        <w:t xml:space="preserve"> </w:t>
      </w:r>
      <w:r w:rsidR="00C6214E">
        <w:rPr>
          <w:rFonts w:ascii="Times New Roman" w:eastAsia="Aptos" w:hAnsi="Times New Roman"/>
          <w:szCs w:val="24"/>
        </w:rPr>
        <w:t>ситуацијама</w:t>
      </w:r>
      <w:r w:rsidR="00CF2F55" w:rsidRPr="00295637">
        <w:rPr>
          <w:rFonts w:ascii="Times New Roman" w:eastAsia="Aptos" w:hAnsi="Times New Roman"/>
          <w:szCs w:val="24"/>
        </w:rPr>
        <w:t>.</w:t>
      </w:r>
      <w:r w:rsidR="00523574" w:rsidRPr="00295637">
        <w:rPr>
          <w:rFonts w:ascii="Times New Roman" w:eastAsia="Aptos" w:hAnsi="Times New Roman"/>
          <w:szCs w:val="24"/>
        </w:rPr>
        <w:t xml:space="preserve"> </w:t>
      </w:r>
      <w:r>
        <w:rPr>
          <w:rFonts w:ascii="Times New Roman" w:eastAsia="Aptos" w:hAnsi="Times New Roman"/>
          <w:szCs w:val="24"/>
        </w:rPr>
        <w:t>Такође</w:t>
      </w:r>
      <w:r w:rsidR="00523574" w:rsidRPr="00295637">
        <w:rPr>
          <w:rFonts w:ascii="Times New Roman" w:eastAsia="Aptos" w:hAnsi="Times New Roman"/>
          <w:szCs w:val="24"/>
        </w:rPr>
        <w:t xml:space="preserve">, </w:t>
      </w:r>
      <w:r w:rsidR="00C6214E">
        <w:rPr>
          <w:rFonts w:ascii="Times New Roman" w:eastAsia="Aptos" w:hAnsi="Times New Roman"/>
          <w:szCs w:val="24"/>
        </w:rPr>
        <w:t>реформа</w:t>
      </w:r>
      <w:r w:rsidR="00CF2F55" w:rsidRPr="00295637">
        <w:rPr>
          <w:rFonts w:ascii="Times New Roman" w:eastAsia="Aptos" w:hAnsi="Times New Roman"/>
          <w:szCs w:val="24"/>
        </w:rPr>
        <w:t xml:space="preserve"> </w:t>
      </w:r>
      <w:r w:rsidR="00C6214E">
        <w:rPr>
          <w:rFonts w:ascii="Times New Roman" w:eastAsia="Aptos" w:hAnsi="Times New Roman"/>
          <w:szCs w:val="24"/>
        </w:rPr>
        <w:t>процјене</w:t>
      </w:r>
      <w:r w:rsidR="00CF2F55" w:rsidRPr="00295637">
        <w:rPr>
          <w:rFonts w:ascii="Times New Roman" w:eastAsia="Aptos" w:hAnsi="Times New Roman"/>
          <w:szCs w:val="24"/>
        </w:rPr>
        <w:t xml:space="preserve"> </w:t>
      </w:r>
      <w:r w:rsidR="00C6214E">
        <w:rPr>
          <w:rFonts w:ascii="Times New Roman" w:eastAsia="Aptos" w:hAnsi="Times New Roman"/>
          <w:szCs w:val="24"/>
        </w:rPr>
        <w:t>инвалидитета</w:t>
      </w:r>
      <w:r w:rsidR="00CF2F55" w:rsidRPr="00295637">
        <w:rPr>
          <w:rFonts w:ascii="Times New Roman" w:eastAsia="Aptos" w:hAnsi="Times New Roman"/>
          <w:szCs w:val="24"/>
        </w:rPr>
        <w:t xml:space="preserve"> </w:t>
      </w:r>
      <w:r w:rsidR="00C6214E">
        <w:rPr>
          <w:rFonts w:ascii="Times New Roman" w:eastAsia="Aptos" w:hAnsi="Times New Roman"/>
          <w:szCs w:val="24"/>
        </w:rPr>
        <w:t>проширена</w:t>
      </w:r>
      <w:r w:rsidR="00CF2F55" w:rsidRPr="00295637">
        <w:rPr>
          <w:rFonts w:ascii="Times New Roman" w:eastAsia="Aptos" w:hAnsi="Times New Roman"/>
          <w:szCs w:val="24"/>
        </w:rPr>
        <w:t xml:space="preserve"> </w:t>
      </w:r>
      <w:r w:rsidR="00C6214E">
        <w:rPr>
          <w:rFonts w:ascii="Times New Roman" w:eastAsia="Aptos" w:hAnsi="Times New Roman"/>
          <w:szCs w:val="24"/>
        </w:rPr>
        <w:t>је</w:t>
      </w:r>
      <w:r w:rsidR="00CF2F55" w:rsidRPr="00295637">
        <w:rPr>
          <w:rFonts w:ascii="Times New Roman" w:eastAsia="Aptos" w:hAnsi="Times New Roman"/>
          <w:szCs w:val="24"/>
        </w:rPr>
        <w:t xml:space="preserve"> </w:t>
      </w:r>
      <w:r w:rsidR="00C6214E">
        <w:rPr>
          <w:rFonts w:ascii="Times New Roman" w:eastAsia="Aptos" w:hAnsi="Times New Roman"/>
          <w:szCs w:val="24"/>
        </w:rPr>
        <w:t>на</w:t>
      </w:r>
      <w:r w:rsidR="00CF2F55" w:rsidRPr="00295637">
        <w:rPr>
          <w:rFonts w:ascii="Times New Roman" w:eastAsia="Aptos" w:hAnsi="Times New Roman"/>
          <w:szCs w:val="24"/>
        </w:rPr>
        <w:t xml:space="preserve"> </w:t>
      </w:r>
      <w:r w:rsidR="00C6214E">
        <w:rPr>
          <w:rFonts w:ascii="Times New Roman" w:eastAsia="Aptos" w:hAnsi="Times New Roman"/>
          <w:szCs w:val="24"/>
        </w:rPr>
        <w:t>нове</w:t>
      </w:r>
      <w:r w:rsidR="00CF2F55" w:rsidRPr="00295637">
        <w:rPr>
          <w:rFonts w:ascii="Times New Roman" w:eastAsia="Aptos" w:hAnsi="Times New Roman"/>
          <w:szCs w:val="24"/>
        </w:rPr>
        <w:t xml:space="preserve"> </w:t>
      </w:r>
      <w:r w:rsidR="00C6214E">
        <w:rPr>
          <w:rFonts w:ascii="Times New Roman" w:eastAsia="Aptos" w:hAnsi="Times New Roman"/>
          <w:szCs w:val="24"/>
        </w:rPr>
        <w:t>кантоне</w:t>
      </w:r>
      <w:r w:rsidR="00CF2F55" w:rsidRPr="00295637">
        <w:rPr>
          <w:rFonts w:ascii="Times New Roman" w:eastAsia="Aptos" w:hAnsi="Times New Roman"/>
          <w:szCs w:val="24"/>
        </w:rPr>
        <w:t xml:space="preserve"> </w:t>
      </w:r>
      <w:r w:rsidR="00C6214E">
        <w:rPr>
          <w:rFonts w:ascii="Times New Roman" w:eastAsia="Aptos" w:hAnsi="Times New Roman"/>
          <w:szCs w:val="24"/>
        </w:rPr>
        <w:t>и</w:t>
      </w:r>
      <w:r w:rsidR="00CF2F55" w:rsidRPr="00295637">
        <w:rPr>
          <w:rFonts w:ascii="Times New Roman" w:eastAsia="Aptos" w:hAnsi="Times New Roman"/>
          <w:szCs w:val="24"/>
        </w:rPr>
        <w:t xml:space="preserve"> </w:t>
      </w:r>
      <w:r w:rsidR="00C6214E">
        <w:rPr>
          <w:rFonts w:ascii="Times New Roman" w:eastAsia="Aptos" w:hAnsi="Times New Roman"/>
          <w:szCs w:val="24"/>
        </w:rPr>
        <w:t>РС</w:t>
      </w:r>
      <w:r w:rsidR="00CF2F55" w:rsidRPr="00295637">
        <w:rPr>
          <w:rFonts w:ascii="Times New Roman" w:eastAsia="Aptos" w:hAnsi="Times New Roman"/>
          <w:szCs w:val="24"/>
        </w:rPr>
        <w:t xml:space="preserve">. </w:t>
      </w:r>
      <w:r w:rsidR="00C6214E">
        <w:rPr>
          <w:rFonts w:ascii="Times New Roman" w:eastAsia="Aptos" w:hAnsi="Times New Roman"/>
          <w:szCs w:val="24"/>
        </w:rPr>
        <w:t>Преко</w:t>
      </w:r>
      <w:r w:rsidR="00CF2F55" w:rsidRPr="00295637">
        <w:rPr>
          <w:rFonts w:ascii="Times New Roman" w:eastAsia="Aptos" w:hAnsi="Times New Roman"/>
          <w:szCs w:val="24"/>
        </w:rPr>
        <w:t xml:space="preserve"> 600 </w:t>
      </w:r>
      <w:r w:rsidR="00C6214E">
        <w:rPr>
          <w:rFonts w:ascii="Times New Roman" w:eastAsia="Aptos" w:hAnsi="Times New Roman"/>
          <w:szCs w:val="24"/>
        </w:rPr>
        <w:t>дјеце</w:t>
      </w:r>
      <w:r w:rsidR="00CF2F55" w:rsidRPr="00295637">
        <w:rPr>
          <w:rFonts w:ascii="Times New Roman" w:eastAsia="Aptos" w:hAnsi="Times New Roman"/>
          <w:szCs w:val="24"/>
        </w:rPr>
        <w:t xml:space="preserve"> </w:t>
      </w:r>
      <w:r w:rsidR="00C6214E">
        <w:rPr>
          <w:rFonts w:ascii="Times New Roman" w:eastAsia="Aptos" w:hAnsi="Times New Roman"/>
          <w:szCs w:val="24"/>
        </w:rPr>
        <w:t>прошло</w:t>
      </w:r>
      <w:r w:rsidR="00CF2F55" w:rsidRPr="00295637">
        <w:rPr>
          <w:rFonts w:ascii="Times New Roman" w:eastAsia="Aptos" w:hAnsi="Times New Roman"/>
          <w:szCs w:val="24"/>
        </w:rPr>
        <w:t xml:space="preserve"> </w:t>
      </w:r>
      <w:r w:rsidR="00C6214E">
        <w:rPr>
          <w:rFonts w:ascii="Times New Roman" w:eastAsia="Aptos" w:hAnsi="Times New Roman"/>
          <w:szCs w:val="24"/>
        </w:rPr>
        <w:t>је</w:t>
      </w:r>
      <w:r w:rsidR="00CF2F55" w:rsidRPr="00295637">
        <w:rPr>
          <w:rFonts w:ascii="Times New Roman" w:eastAsia="Aptos" w:hAnsi="Times New Roman"/>
          <w:szCs w:val="24"/>
        </w:rPr>
        <w:t xml:space="preserve"> </w:t>
      </w:r>
      <w:r w:rsidR="00C6214E">
        <w:rPr>
          <w:rFonts w:ascii="Times New Roman" w:eastAsia="Aptos" w:hAnsi="Times New Roman"/>
          <w:szCs w:val="24"/>
        </w:rPr>
        <w:t>нову</w:t>
      </w:r>
      <w:r w:rsidR="00CF2F55" w:rsidRPr="00295637">
        <w:rPr>
          <w:rFonts w:ascii="Times New Roman" w:eastAsia="Aptos" w:hAnsi="Times New Roman"/>
          <w:szCs w:val="24"/>
        </w:rPr>
        <w:t xml:space="preserve"> </w:t>
      </w:r>
      <w:r w:rsidR="00C6214E">
        <w:rPr>
          <w:rFonts w:ascii="Times New Roman" w:eastAsia="Aptos" w:hAnsi="Times New Roman"/>
          <w:szCs w:val="24"/>
        </w:rPr>
        <w:t>процјену</w:t>
      </w:r>
      <w:r w:rsidR="00CF2F55" w:rsidRPr="00295637">
        <w:rPr>
          <w:rFonts w:ascii="Times New Roman" w:eastAsia="Aptos" w:hAnsi="Times New Roman"/>
          <w:szCs w:val="24"/>
        </w:rPr>
        <w:t xml:space="preserve">, </w:t>
      </w:r>
      <w:r w:rsidR="00C6214E">
        <w:rPr>
          <w:rFonts w:ascii="Times New Roman" w:eastAsia="Aptos" w:hAnsi="Times New Roman"/>
          <w:szCs w:val="24"/>
        </w:rPr>
        <w:t>а</w:t>
      </w:r>
      <w:r w:rsidR="00CF2F55" w:rsidRPr="00295637">
        <w:rPr>
          <w:rFonts w:ascii="Times New Roman" w:eastAsia="Aptos" w:hAnsi="Times New Roman"/>
          <w:szCs w:val="24"/>
        </w:rPr>
        <w:t xml:space="preserve"> </w:t>
      </w:r>
      <w:r w:rsidR="00C6214E">
        <w:rPr>
          <w:rFonts w:ascii="Times New Roman" w:eastAsia="Aptos" w:hAnsi="Times New Roman"/>
          <w:szCs w:val="24"/>
        </w:rPr>
        <w:t>повратне</w:t>
      </w:r>
      <w:r w:rsidR="00CF2F55" w:rsidRPr="00295637">
        <w:rPr>
          <w:rFonts w:ascii="Times New Roman" w:eastAsia="Aptos" w:hAnsi="Times New Roman"/>
          <w:szCs w:val="24"/>
        </w:rPr>
        <w:t xml:space="preserve"> </w:t>
      </w:r>
      <w:r w:rsidR="00C6214E">
        <w:rPr>
          <w:rFonts w:ascii="Times New Roman" w:eastAsia="Aptos" w:hAnsi="Times New Roman"/>
          <w:szCs w:val="24"/>
        </w:rPr>
        <w:t>информације</w:t>
      </w:r>
      <w:r w:rsidR="00CF2F55" w:rsidRPr="00295637">
        <w:rPr>
          <w:rFonts w:ascii="Times New Roman" w:eastAsia="Aptos" w:hAnsi="Times New Roman"/>
          <w:szCs w:val="24"/>
        </w:rPr>
        <w:t xml:space="preserve"> </w:t>
      </w:r>
      <w:r w:rsidR="00C6214E">
        <w:rPr>
          <w:rFonts w:ascii="Times New Roman" w:eastAsia="Aptos" w:hAnsi="Times New Roman"/>
          <w:szCs w:val="24"/>
        </w:rPr>
        <w:t>мајки</w:t>
      </w:r>
      <w:r w:rsidR="00CF2F55" w:rsidRPr="00295637">
        <w:rPr>
          <w:rFonts w:ascii="Times New Roman" w:eastAsia="Aptos" w:hAnsi="Times New Roman"/>
          <w:szCs w:val="24"/>
        </w:rPr>
        <w:t xml:space="preserve"> </w:t>
      </w:r>
      <w:r w:rsidR="00C6214E">
        <w:rPr>
          <w:rFonts w:ascii="Times New Roman" w:eastAsia="Aptos" w:hAnsi="Times New Roman"/>
          <w:szCs w:val="24"/>
        </w:rPr>
        <w:t>кориш</w:t>
      </w:r>
      <w:r>
        <w:rPr>
          <w:rFonts w:ascii="Times New Roman" w:eastAsia="Aptos" w:hAnsi="Times New Roman"/>
          <w:szCs w:val="24"/>
          <w:lang w:val="sr-Cyrl-BA"/>
        </w:rPr>
        <w:t>ћ</w:t>
      </w:r>
      <w:r w:rsidR="00C6214E">
        <w:rPr>
          <w:rFonts w:ascii="Times New Roman" w:eastAsia="Aptos" w:hAnsi="Times New Roman"/>
          <w:szCs w:val="24"/>
        </w:rPr>
        <w:t>ене</w:t>
      </w:r>
      <w:r w:rsidR="00CF2F55" w:rsidRPr="00295637">
        <w:rPr>
          <w:rFonts w:ascii="Times New Roman" w:eastAsia="Aptos" w:hAnsi="Times New Roman"/>
          <w:szCs w:val="24"/>
        </w:rPr>
        <w:t xml:space="preserve"> </w:t>
      </w:r>
      <w:r w:rsidR="00C6214E">
        <w:rPr>
          <w:rFonts w:ascii="Times New Roman" w:eastAsia="Aptos" w:hAnsi="Times New Roman"/>
          <w:szCs w:val="24"/>
        </w:rPr>
        <w:t>су</w:t>
      </w:r>
      <w:r w:rsidR="00CF2F55" w:rsidRPr="00295637">
        <w:rPr>
          <w:rFonts w:ascii="Times New Roman" w:eastAsia="Aptos" w:hAnsi="Times New Roman"/>
          <w:szCs w:val="24"/>
        </w:rPr>
        <w:t xml:space="preserve"> </w:t>
      </w:r>
      <w:r w:rsidR="00C6214E">
        <w:rPr>
          <w:rFonts w:ascii="Times New Roman" w:eastAsia="Aptos" w:hAnsi="Times New Roman"/>
          <w:szCs w:val="24"/>
        </w:rPr>
        <w:t>за</w:t>
      </w:r>
      <w:r w:rsidR="00CF2F55" w:rsidRPr="00295637">
        <w:rPr>
          <w:rFonts w:ascii="Times New Roman" w:eastAsia="Aptos" w:hAnsi="Times New Roman"/>
          <w:szCs w:val="24"/>
        </w:rPr>
        <w:t xml:space="preserve"> </w:t>
      </w:r>
      <w:r w:rsidR="00C6214E">
        <w:rPr>
          <w:rFonts w:ascii="Times New Roman" w:eastAsia="Aptos" w:hAnsi="Times New Roman"/>
          <w:szCs w:val="24"/>
        </w:rPr>
        <w:t>побољшање</w:t>
      </w:r>
      <w:r w:rsidR="00CF2F55" w:rsidRPr="00295637">
        <w:rPr>
          <w:rFonts w:ascii="Times New Roman" w:eastAsia="Aptos" w:hAnsi="Times New Roman"/>
          <w:szCs w:val="24"/>
        </w:rPr>
        <w:t xml:space="preserve"> </w:t>
      </w:r>
      <w:r w:rsidR="00C6214E">
        <w:rPr>
          <w:rFonts w:ascii="Times New Roman" w:eastAsia="Aptos" w:hAnsi="Times New Roman"/>
          <w:szCs w:val="24"/>
        </w:rPr>
        <w:t>процеса</w:t>
      </w:r>
      <w:r w:rsidR="00523574" w:rsidRPr="00295637">
        <w:rPr>
          <w:rFonts w:ascii="Times New Roman" w:eastAsia="Aptos" w:hAnsi="Times New Roman"/>
          <w:szCs w:val="24"/>
        </w:rPr>
        <w:t xml:space="preserve">. </w:t>
      </w:r>
    </w:p>
    <w:p w:rsidR="00DD2974" w:rsidRPr="00295637" w:rsidRDefault="00DD2974" w:rsidP="0086268D">
      <w:pPr>
        <w:jc w:val="both"/>
        <w:rPr>
          <w:rFonts w:ascii="Times New Roman" w:eastAsia="Aptos" w:hAnsi="Times New Roman"/>
          <w:szCs w:val="24"/>
        </w:rPr>
      </w:pPr>
    </w:p>
    <w:p w:rsidR="00DD2974" w:rsidRPr="00295637" w:rsidRDefault="00C6214E" w:rsidP="0086268D">
      <w:pPr>
        <w:jc w:val="both"/>
        <w:rPr>
          <w:rFonts w:ascii="Times New Roman" w:eastAsia="Aptos" w:hAnsi="Times New Roman"/>
          <w:szCs w:val="24"/>
        </w:rPr>
      </w:pPr>
      <w:r>
        <w:rPr>
          <w:rFonts w:ascii="Times New Roman" w:eastAsia="Aptos" w:hAnsi="Times New Roman"/>
          <w:szCs w:val="24"/>
        </w:rPr>
        <w:t>ЕУ</w:t>
      </w:r>
      <w:r w:rsidR="00DD2974" w:rsidRPr="00295637">
        <w:rPr>
          <w:rFonts w:ascii="Times New Roman" w:eastAsia="Aptos" w:hAnsi="Times New Roman"/>
          <w:szCs w:val="24"/>
        </w:rPr>
        <w:t xml:space="preserve"> </w:t>
      </w:r>
      <w:r>
        <w:rPr>
          <w:rFonts w:ascii="Times New Roman" w:eastAsia="Aptos" w:hAnsi="Times New Roman"/>
          <w:szCs w:val="24"/>
        </w:rPr>
        <w:t>је</w:t>
      </w:r>
      <w:r w:rsidR="00DD2974" w:rsidRPr="00295637">
        <w:rPr>
          <w:rFonts w:ascii="Times New Roman" w:eastAsia="Aptos" w:hAnsi="Times New Roman"/>
          <w:szCs w:val="24"/>
        </w:rPr>
        <w:t xml:space="preserve"> </w:t>
      </w:r>
      <w:r>
        <w:rPr>
          <w:rFonts w:ascii="Times New Roman" w:eastAsia="Aptos" w:hAnsi="Times New Roman"/>
          <w:szCs w:val="24"/>
        </w:rPr>
        <w:t>у</w:t>
      </w:r>
      <w:r w:rsidR="00DD2974" w:rsidRPr="00295637">
        <w:rPr>
          <w:rFonts w:ascii="Times New Roman" w:eastAsia="Aptos" w:hAnsi="Times New Roman"/>
          <w:szCs w:val="24"/>
        </w:rPr>
        <w:t xml:space="preserve"> </w:t>
      </w:r>
      <w:r>
        <w:rPr>
          <w:rFonts w:ascii="Times New Roman" w:eastAsia="Aptos" w:hAnsi="Times New Roman"/>
          <w:szCs w:val="24"/>
        </w:rPr>
        <w:t>извјештајном</w:t>
      </w:r>
      <w:r w:rsidR="00DD2974" w:rsidRPr="00295637">
        <w:rPr>
          <w:rFonts w:ascii="Times New Roman" w:eastAsia="Aptos" w:hAnsi="Times New Roman"/>
          <w:szCs w:val="24"/>
        </w:rPr>
        <w:t xml:space="preserve"> </w:t>
      </w:r>
      <w:r>
        <w:rPr>
          <w:rFonts w:ascii="Times New Roman" w:eastAsia="Aptos" w:hAnsi="Times New Roman"/>
          <w:szCs w:val="24"/>
        </w:rPr>
        <w:t>периоду</w:t>
      </w:r>
      <w:r w:rsidR="00DD2974" w:rsidRPr="00295637">
        <w:rPr>
          <w:rFonts w:ascii="Times New Roman" w:eastAsia="Aptos" w:hAnsi="Times New Roman"/>
          <w:szCs w:val="24"/>
        </w:rPr>
        <w:t xml:space="preserve"> </w:t>
      </w:r>
      <w:r>
        <w:rPr>
          <w:rFonts w:ascii="Times New Roman" w:eastAsia="Aptos" w:hAnsi="Times New Roman"/>
          <w:szCs w:val="24"/>
        </w:rPr>
        <w:t>финансирала</w:t>
      </w:r>
      <w:r w:rsidR="000D02B0">
        <w:rPr>
          <w:rFonts w:ascii="Times New Roman" w:eastAsia="Aptos" w:hAnsi="Times New Roman"/>
          <w:szCs w:val="24"/>
        </w:rPr>
        <w:t xml:space="preserve"> </w:t>
      </w:r>
      <w:r>
        <w:rPr>
          <w:rFonts w:ascii="Times New Roman" w:eastAsia="Aptos" w:hAnsi="Times New Roman"/>
          <w:szCs w:val="24"/>
        </w:rPr>
        <w:t>пројекат</w:t>
      </w:r>
      <w:r w:rsidR="00DD2974" w:rsidRPr="00295637">
        <w:rPr>
          <w:rFonts w:ascii="Times New Roman" w:eastAsia="Aptos" w:hAnsi="Times New Roman"/>
          <w:szCs w:val="24"/>
        </w:rPr>
        <w:t xml:space="preserve"> „</w:t>
      </w:r>
      <w:r>
        <w:rPr>
          <w:rFonts w:ascii="Times New Roman" w:eastAsia="Aptos" w:hAnsi="Times New Roman"/>
          <w:szCs w:val="24"/>
        </w:rPr>
        <w:t>По</w:t>
      </w:r>
      <w:r w:rsidR="00A054E6">
        <w:rPr>
          <w:rFonts w:ascii="Times New Roman" w:eastAsia="Aptos" w:hAnsi="Times New Roman"/>
          <w:szCs w:val="24"/>
          <w:lang w:val="sr-Cyrl-BA"/>
        </w:rPr>
        <w:t>дршка</w:t>
      </w:r>
      <w:r w:rsidR="00DD2974" w:rsidRPr="00295637">
        <w:rPr>
          <w:rFonts w:ascii="Times New Roman" w:eastAsia="Aptos" w:hAnsi="Times New Roman"/>
          <w:szCs w:val="24"/>
        </w:rPr>
        <w:t xml:space="preserve"> </w:t>
      </w:r>
      <w:r>
        <w:rPr>
          <w:rFonts w:ascii="Times New Roman" w:eastAsia="Aptos" w:hAnsi="Times New Roman"/>
          <w:szCs w:val="24"/>
        </w:rPr>
        <w:t>рањивим</w:t>
      </w:r>
      <w:r w:rsidR="00DD2974" w:rsidRPr="00295637">
        <w:rPr>
          <w:rFonts w:ascii="Times New Roman" w:eastAsia="Aptos" w:hAnsi="Times New Roman"/>
          <w:szCs w:val="24"/>
        </w:rPr>
        <w:t xml:space="preserve"> </w:t>
      </w:r>
      <w:r>
        <w:rPr>
          <w:rFonts w:ascii="Times New Roman" w:eastAsia="Aptos" w:hAnsi="Times New Roman"/>
          <w:szCs w:val="24"/>
        </w:rPr>
        <w:t>женама</w:t>
      </w:r>
      <w:r w:rsidR="00DD2974" w:rsidRPr="00295637">
        <w:rPr>
          <w:rFonts w:ascii="Times New Roman" w:eastAsia="Aptos" w:hAnsi="Times New Roman"/>
          <w:szCs w:val="24"/>
        </w:rPr>
        <w:t xml:space="preserve"> </w:t>
      </w:r>
      <w:r>
        <w:rPr>
          <w:rFonts w:ascii="Times New Roman" w:eastAsia="Aptos" w:hAnsi="Times New Roman"/>
          <w:szCs w:val="24"/>
        </w:rPr>
        <w:t>и</w:t>
      </w:r>
      <w:r w:rsidR="00DD2974" w:rsidRPr="00295637">
        <w:rPr>
          <w:rFonts w:ascii="Times New Roman" w:eastAsia="Aptos" w:hAnsi="Times New Roman"/>
          <w:szCs w:val="24"/>
        </w:rPr>
        <w:t xml:space="preserve"> </w:t>
      </w:r>
      <w:r>
        <w:rPr>
          <w:rFonts w:ascii="Times New Roman" w:eastAsia="Aptos" w:hAnsi="Times New Roman"/>
          <w:szCs w:val="24"/>
        </w:rPr>
        <w:t>развијање</w:t>
      </w:r>
      <w:r w:rsidR="00DD2974" w:rsidRPr="00295637">
        <w:rPr>
          <w:rFonts w:ascii="Times New Roman" w:eastAsia="Aptos" w:hAnsi="Times New Roman"/>
          <w:szCs w:val="24"/>
        </w:rPr>
        <w:t xml:space="preserve"> </w:t>
      </w:r>
      <w:r>
        <w:rPr>
          <w:rFonts w:ascii="Times New Roman" w:eastAsia="Aptos" w:hAnsi="Times New Roman"/>
          <w:szCs w:val="24"/>
        </w:rPr>
        <w:t>интегри</w:t>
      </w:r>
      <w:r w:rsidR="00A054E6">
        <w:rPr>
          <w:rFonts w:ascii="Times New Roman" w:eastAsia="Aptos" w:hAnsi="Times New Roman"/>
          <w:szCs w:val="24"/>
          <w:lang w:val="sr-Cyrl-BA"/>
        </w:rPr>
        <w:t>с</w:t>
      </w:r>
      <w:r>
        <w:rPr>
          <w:rFonts w:ascii="Times New Roman" w:eastAsia="Aptos" w:hAnsi="Times New Roman"/>
          <w:szCs w:val="24"/>
        </w:rPr>
        <w:t>аног</w:t>
      </w:r>
      <w:r w:rsidR="00DD2974" w:rsidRPr="00295637">
        <w:rPr>
          <w:rFonts w:ascii="Times New Roman" w:eastAsia="Aptos" w:hAnsi="Times New Roman"/>
          <w:szCs w:val="24"/>
        </w:rPr>
        <w:t xml:space="preserve"> </w:t>
      </w:r>
      <w:r>
        <w:rPr>
          <w:rFonts w:ascii="Times New Roman" w:eastAsia="Aptos" w:hAnsi="Times New Roman"/>
          <w:szCs w:val="24"/>
        </w:rPr>
        <w:t>програма</w:t>
      </w:r>
      <w:r w:rsidR="00DD2974" w:rsidRPr="00295637">
        <w:rPr>
          <w:rFonts w:ascii="Times New Roman" w:eastAsia="Aptos" w:hAnsi="Times New Roman"/>
          <w:szCs w:val="24"/>
        </w:rPr>
        <w:t xml:space="preserve"> </w:t>
      </w:r>
      <w:r>
        <w:rPr>
          <w:rFonts w:ascii="Times New Roman" w:eastAsia="Aptos" w:hAnsi="Times New Roman"/>
          <w:szCs w:val="24"/>
        </w:rPr>
        <w:t>социјалне</w:t>
      </w:r>
      <w:r w:rsidR="00DD2974" w:rsidRPr="00295637">
        <w:rPr>
          <w:rFonts w:ascii="Times New Roman" w:eastAsia="Aptos" w:hAnsi="Times New Roman"/>
          <w:szCs w:val="24"/>
        </w:rPr>
        <w:t xml:space="preserve"> </w:t>
      </w:r>
      <w:r>
        <w:rPr>
          <w:rFonts w:ascii="Times New Roman" w:eastAsia="Aptos" w:hAnsi="Times New Roman"/>
          <w:szCs w:val="24"/>
        </w:rPr>
        <w:t>заштите</w:t>
      </w:r>
      <w:r w:rsidR="00DD2974" w:rsidRPr="00295637">
        <w:rPr>
          <w:rFonts w:ascii="Times New Roman" w:eastAsia="Aptos" w:hAnsi="Times New Roman"/>
          <w:szCs w:val="24"/>
        </w:rPr>
        <w:t xml:space="preserve">“ </w:t>
      </w:r>
      <w:r>
        <w:rPr>
          <w:rFonts w:ascii="Times New Roman" w:eastAsia="Aptos" w:hAnsi="Times New Roman"/>
          <w:szCs w:val="24"/>
        </w:rPr>
        <w:t>који</w:t>
      </w:r>
      <w:r w:rsidR="00DD2974" w:rsidRPr="00295637">
        <w:rPr>
          <w:rFonts w:ascii="Times New Roman" w:eastAsia="Aptos" w:hAnsi="Times New Roman"/>
          <w:szCs w:val="24"/>
        </w:rPr>
        <w:t xml:space="preserve"> </w:t>
      </w:r>
      <w:r>
        <w:rPr>
          <w:rFonts w:ascii="Times New Roman" w:eastAsia="Aptos" w:hAnsi="Times New Roman"/>
          <w:szCs w:val="24"/>
        </w:rPr>
        <w:t>подржава</w:t>
      </w:r>
      <w:r w:rsidR="00DD2974" w:rsidRPr="00295637">
        <w:rPr>
          <w:rFonts w:ascii="Times New Roman" w:eastAsia="Aptos" w:hAnsi="Times New Roman"/>
          <w:szCs w:val="24"/>
        </w:rPr>
        <w:t xml:space="preserve"> 10 </w:t>
      </w:r>
      <w:r>
        <w:rPr>
          <w:rFonts w:ascii="Times New Roman" w:eastAsia="Aptos" w:hAnsi="Times New Roman"/>
          <w:szCs w:val="24"/>
        </w:rPr>
        <w:t>јединица</w:t>
      </w:r>
      <w:r w:rsidR="00DD2974" w:rsidRPr="00295637">
        <w:rPr>
          <w:rFonts w:ascii="Times New Roman" w:eastAsia="Aptos" w:hAnsi="Times New Roman"/>
          <w:szCs w:val="24"/>
        </w:rPr>
        <w:t xml:space="preserve"> </w:t>
      </w:r>
      <w:r>
        <w:rPr>
          <w:rFonts w:ascii="Times New Roman" w:eastAsia="Aptos" w:hAnsi="Times New Roman"/>
          <w:szCs w:val="24"/>
        </w:rPr>
        <w:t>локалне</w:t>
      </w:r>
      <w:r w:rsidR="00DD2974" w:rsidRPr="00295637">
        <w:rPr>
          <w:rFonts w:ascii="Times New Roman" w:eastAsia="Aptos" w:hAnsi="Times New Roman"/>
          <w:szCs w:val="24"/>
        </w:rPr>
        <w:t xml:space="preserve"> </w:t>
      </w:r>
      <w:r>
        <w:rPr>
          <w:rFonts w:ascii="Times New Roman" w:eastAsia="Aptos" w:hAnsi="Times New Roman"/>
          <w:szCs w:val="24"/>
        </w:rPr>
        <w:t>самоуправе</w:t>
      </w:r>
      <w:r w:rsidR="00DD2974" w:rsidRPr="00295637">
        <w:rPr>
          <w:rFonts w:ascii="Times New Roman" w:eastAsia="Aptos" w:hAnsi="Times New Roman"/>
          <w:szCs w:val="24"/>
        </w:rPr>
        <w:t xml:space="preserve"> </w:t>
      </w:r>
      <w:r>
        <w:rPr>
          <w:rFonts w:ascii="Times New Roman" w:eastAsia="Aptos" w:hAnsi="Times New Roman"/>
          <w:szCs w:val="24"/>
        </w:rPr>
        <w:t>у</w:t>
      </w:r>
      <w:r w:rsidR="00DD2974" w:rsidRPr="00295637">
        <w:rPr>
          <w:rFonts w:ascii="Times New Roman" w:eastAsia="Aptos" w:hAnsi="Times New Roman"/>
          <w:szCs w:val="24"/>
        </w:rPr>
        <w:t xml:space="preserve"> </w:t>
      </w:r>
      <w:r>
        <w:rPr>
          <w:rFonts w:ascii="Times New Roman" w:eastAsia="Aptos" w:hAnsi="Times New Roman"/>
          <w:szCs w:val="24"/>
        </w:rPr>
        <w:t>јачању</w:t>
      </w:r>
      <w:r w:rsidR="00DD2974" w:rsidRPr="00295637">
        <w:rPr>
          <w:rFonts w:ascii="Times New Roman" w:eastAsia="Aptos" w:hAnsi="Times New Roman"/>
          <w:szCs w:val="24"/>
        </w:rPr>
        <w:t xml:space="preserve"> </w:t>
      </w:r>
      <w:r>
        <w:rPr>
          <w:rFonts w:ascii="Times New Roman" w:eastAsia="Aptos" w:hAnsi="Times New Roman"/>
          <w:szCs w:val="24"/>
        </w:rPr>
        <w:t>капацитета</w:t>
      </w:r>
      <w:r w:rsidR="00DD2974" w:rsidRPr="00295637">
        <w:rPr>
          <w:rFonts w:ascii="Times New Roman" w:eastAsia="Aptos" w:hAnsi="Times New Roman"/>
          <w:szCs w:val="24"/>
        </w:rPr>
        <w:t xml:space="preserve"> </w:t>
      </w:r>
      <w:r>
        <w:rPr>
          <w:rFonts w:ascii="Times New Roman" w:eastAsia="Aptos" w:hAnsi="Times New Roman"/>
          <w:szCs w:val="24"/>
        </w:rPr>
        <w:t>институција</w:t>
      </w:r>
      <w:r w:rsidR="00DD2974" w:rsidRPr="00295637">
        <w:rPr>
          <w:rFonts w:ascii="Times New Roman" w:eastAsia="Aptos" w:hAnsi="Times New Roman"/>
          <w:szCs w:val="24"/>
        </w:rPr>
        <w:t xml:space="preserve"> </w:t>
      </w:r>
      <w:r>
        <w:rPr>
          <w:rFonts w:ascii="Times New Roman" w:eastAsia="Aptos" w:hAnsi="Times New Roman"/>
          <w:szCs w:val="24"/>
        </w:rPr>
        <w:t>и</w:t>
      </w:r>
      <w:r w:rsidR="00DD2974" w:rsidRPr="00295637">
        <w:rPr>
          <w:rFonts w:ascii="Times New Roman" w:eastAsia="Aptos" w:hAnsi="Times New Roman"/>
          <w:szCs w:val="24"/>
        </w:rPr>
        <w:t xml:space="preserve"> </w:t>
      </w:r>
      <w:r>
        <w:rPr>
          <w:rFonts w:ascii="Times New Roman" w:eastAsia="Aptos" w:hAnsi="Times New Roman"/>
          <w:szCs w:val="24"/>
        </w:rPr>
        <w:t>невладиног</w:t>
      </w:r>
      <w:r w:rsidR="00DD2974" w:rsidRPr="00295637">
        <w:rPr>
          <w:rFonts w:ascii="Times New Roman" w:eastAsia="Aptos" w:hAnsi="Times New Roman"/>
          <w:szCs w:val="24"/>
        </w:rPr>
        <w:t xml:space="preserve"> </w:t>
      </w:r>
      <w:r>
        <w:rPr>
          <w:rFonts w:ascii="Times New Roman" w:eastAsia="Aptos" w:hAnsi="Times New Roman"/>
          <w:szCs w:val="24"/>
        </w:rPr>
        <w:t>сектора</w:t>
      </w:r>
      <w:r w:rsidR="00DD2974" w:rsidRPr="00295637">
        <w:rPr>
          <w:rFonts w:ascii="Times New Roman" w:eastAsia="Aptos" w:hAnsi="Times New Roman"/>
          <w:szCs w:val="24"/>
        </w:rPr>
        <w:t xml:space="preserve"> </w:t>
      </w:r>
      <w:r>
        <w:rPr>
          <w:rFonts w:ascii="Times New Roman" w:eastAsia="Aptos" w:hAnsi="Times New Roman"/>
          <w:szCs w:val="24"/>
        </w:rPr>
        <w:t>у</w:t>
      </w:r>
      <w:r w:rsidR="00DD2974" w:rsidRPr="00295637">
        <w:rPr>
          <w:rFonts w:ascii="Times New Roman" w:eastAsia="Aptos" w:hAnsi="Times New Roman"/>
          <w:szCs w:val="24"/>
        </w:rPr>
        <w:t xml:space="preserve"> </w:t>
      </w:r>
      <w:r>
        <w:rPr>
          <w:rFonts w:ascii="Times New Roman" w:eastAsia="Aptos" w:hAnsi="Times New Roman"/>
          <w:szCs w:val="24"/>
        </w:rPr>
        <w:t>заговарању</w:t>
      </w:r>
      <w:r w:rsidR="00DD2974" w:rsidRPr="00295637">
        <w:rPr>
          <w:rFonts w:ascii="Times New Roman" w:eastAsia="Aptos" w:hAnsi="Times New Roman"/>
          <w:szCs w:val="24"/>
        </w:rPr>
        <w:t xml:space="preserve"> </w:t>
      </w:r>
      <w:r>
        <w:rPr>
          <w:rFonts w:ascii="Times New Roman" w:eastAsia="Aptos" w:hAnsi="Times New Roman"/>
          <w:szCs w:val="24"/>
        </w:rPr>
        <w:t>реформи</w:t>
      </w:r>
      <w:r w:rsidR="00DD2974" w:rsidRPr="00295637">
        <w:rPr>
          <w:rFonts w:ascii="Times New Roman" w:eastAsia="Aptos" w:hAnsi="Times New Roman"/>
          <w:szCs w:val="24"/>
        </w:rPr>
        <w:t xml:space="preserve"> </w:t>
      </w:r>
      <w:r>
        <w:rPr>
          <w:rFonts w:ascii="Times New Roman" w:eastAsia="Aptos" w:hAnsi="Times New Roman"/>
          <w:szCs w:val="24"/>
        </w:rPr>
        <w:t>социјалне</w:t>
      </w:r>
      <w:r w:rsidR="00DD2974" w:rsidRPr="00295637">
        <w:rPr>
          <w:rFonts w:ascii="Times New Roman" w:eastAsia="Aptos" w:hAnsi="Times New Roman"/>
          <w:szCs w:val="24"/>
        </w:rPr>
        <w:t xml:space="preserve"> </w:t>
      </w:r>
      <w:r>
        <w:rPr>
          <w:rFonts w:ascii="Times New Roman" w:eastAsia="Aptos" w:hAnsi="Times New Roman"/>
          <w:szCs w:val="24"/>
        </w:rPr>
        <w:t>заштите</w:t>
      </w:r>
      <w:r w:rsidR="00DD2974" w:rsidRPr="00295637">
        <w:rPr>
          <w:rFonts w:ascii="Times New Roman" w:eastAsia="Aptos" w:hAnsi="Times New Roman"/>
          <w:szCs w:val="24"/>
        </w:rPr>
        <w:t xml:space="preserve"> </w:t>
      </w:r>
      <w:r>
        <w:rPr>
          <w:rFonts w:ascii="Times New Roman" w:eastAsia="Aptos" w:hAnsi="Times New Roman"/>
          <w:szCs w:val="24"/>
        </w:rPr>
        <w:t>жена</w:t>
      </w:r>
      <w:r w:rsidR="00DD2974" w:rsidRPr="00295637">
        <w:rPr>
          <w:rFonts w:ascii="Times New Roman" w:eastAsia="Aptos" w:hAnsi="Times New Roman"/>
          <w:szCs w:val="24"/>
        </w:rPr>
        <w:t xml:space="preserve"> </w:t>
      </w:r>
      <w:r>
        <w:rPr>
          <w:rFonts w:ascii="Times New Roman" w:eastAsia="Aptos" w:hAnsi="Times New Roman"/>
          <w:szCs w:val="24"/>
        </w:rPr>
        <w:t>из</w:t>
      </w:r>
      <w:r w:rsidR="00DD2974" w:rsidRPr="00295637">
        <w:rPr>
          <w:rFonts w:ascii="Times New Roman" w:eastAsia="Aptos" w:hAnsi="Times New Roman"/>
          <w:szCs w:val="24"/>
        </w:rPr>
        <w:t xml:space="preserve"> </w:t>
      </w:r>
      <w:r>
        <w:rPr>
          <w:rFonts w:ascii="Times New Roman" w:eastAsia="Aptos" w:hAnsi="Times New Roman"/>
          <w:szCs w:val="24"/>
        </w:rPr>
        <w:t>рањивих</w:t>
      </w:r>
      <w:r w:rsidR="00DD2974" w:rsidRPr="00295637">
        <w:rPr>
          <w:rFonts w:ascii="Times New Roman" w:eastAsia="Aptos" w:hAnsi="Times New Roman"/>
          <w:szCs w:val="24"/>
        </w:rPr>
        <w:t xml:space="preserve"> </w:t>
      </w:r>
      <w:r>
        <w:rPr>
          <w:rFonts w:ascii="Times New Roman" w:eastAsia="Aptos" w:hAnsi="Times New Roman"/>
          <w:szCs w:val="24"/>
        </w:rPr>
        <w:t>категорија</w:t>
      </w:r>
      <w:r w:rsidR="000D02B0">
        <w:rPr>
          <w:rFonts w:ascii="Times New Roman" w:eastAsia="Aptos" w:hAnsi="Times New Roman"/>
          <w:szCs w:val="24"/>
        </w:rPr>
        <w:t xml:space="preserve">. </w:t>
      </w:r>
      <w:r>
        <w:rPr>
          <w:rFonts w:ascii="Times New Roman" w:eastAsia="Aptos" w:hAnsi="Times New Roman"/>
          <w:szCs w:val="24"/>
        </w:rPr>
        <w:t>Пројекат</w:t>
      </w:r>
      <w:r w:rsidR="006F6EC6" w:rsidRPr="00295637">
        <w:rPr>
          <w:rFonts w:ascii="Times New Roman" w:eastAsia="Aptos" w:hAnsi="Times New Roman"/>
          <w:szCs w:val="24"/>
        </w:rPr>
        <w:t xml:space="preserve"> </w:t>
      </w:r>
      <w:r>
        <w:rPr>
          <w:rFonts w:ascii="Times New Roman" w:eastAsia="Aptos" w:hAnsi="Times New Roman"/>
          <w:szCs w:val="24"/>
        </w:rPr>
        <w:t>је</w:t>
      </w:r>
      <w:r w:rsidR="006F6EC6" w:rsidRPr="00295637">
        <w:rPr>
          <w:rFonts w:ascii="Times New Roman" w:eastAsia="Aptos" w:hAnsi="Times New Roman"/>
          <w:szCs w:val="24"/>
        </w:rPr>
        <w:t xml:space="preserve"> </w:t>
      </w:r>
      <w:r>
        <w:rPr>
          <w:rFonts w:ascii="Times New Roman" w:eastAsia="Aptos" w:hAnsi="Times New Roman"/>
          <w:szCs w:val="24"/>
        </w:rPr>
        <w:t>у</w:t>
      </w:r>
      <w:r w:rsidR="006F6EC6" w:rsidRPr="00295637">
        <w:rPr>
          <w:rFonts w:ascii="Times New Roman" w:eastAsia="Aptos" w:hAnsi="Times New Roman"/>
          <w:szCs w:val="24"/>
        </w:rPr>
        <w:t xml:space="preserve"> </w:t>
      </w:r>
      <w:r>
        <w:rPr>
          <w:rFonts w:ascii="Times New Roman" w:eastAsia="Aptos" w:hAnsi="Times New Roman"/>
          <w:szCs w:val="24"/>
        </w:rPr>
        <w:t>току</w:t>
      </w:r>
      <w:r w:rsidR="006F6EC6" w:rsidRPr="00295637">
        <w:rPr>
          <w:rFonts w:ascii="Times New Roman" w:eastAsia="Aptos" w:hAnsi="Times New Roman"/>
          <w:szCs w:val="24"/>
        </w:rPr>
        <w:t xml:space="preserve"> </w:t>
      </w:r>
      <w:r>
        <w:rPr>
          <w:rFonts w:ascii="Times New Roman" w:eastAsia="Aptos" w:hAnsi="Times New Roman"/>
          <w:szCs w:val="24"/>
        </w:rPr>
        <w:t>и</w:t>
      </w:r>
      <w:r w:rsidR="006F6EC6" w:rsidRPr="00295637">
        <w:rPr>
          <w:rFonts w:ascii="Times New Roman" w:eastAsia="Aptos" w:hAnsi="Times New Roman"/>
          <w:szCs w:val="24"/>
        </w:rPr>
        <w:t xml:space="preserve"> </w:t>
      </w:r>
      <w:r w:rsidR="00A054E6">
        <w:rPr>
          <w:rFonts w:ascii="Times New Roman" w:eastAsia="Aptos" w:hAnsi="Times New Roman"/>
          <w:szCs w:val="24"/>
          <w:lang w:val="sr-Cyrl-BA"/>
        </w:rPr>
        <w:t>спроводи</w:t>
      </w:r>
      <w:r w:rsidR="006F6EC6" w:rsidRPr="00295637">
        <w:rPr>
          <w:rFonts w:ascii="Times New Roman" w:eastAsia="Aptos" w:hAnsi="Times New Roman"/>
          <w:szCs w:val="24"/>
        </w:rPr>
        <w:t xml:space="preserve"> </w:t>
      </w:r>
      <w:r>
        <w:rPr>
          <w:rFonts w:ascii="Times New Roman" w:eastAsia="Aptos" w:hAnsi="Times New Roman"/>
          <w:szCs w:val="24"/>
        </w:rPr>
        <w:t>га</w:t>
      </w:r>
      <w:r w:rsidR="006F6EC6" w:rsidRPr="00295637">
        <w:rPr>
          <w:rFonts w:ascii="Times New Roman" w:eastAsia="Aptos" w:hAnsi="Times New Roman"/>
          <w:szCs w:val="24"/>
        </w:rPr>
        <w:t xml:space="preserve"> </w:t>
      </w:r>
      <w:r>
        <w:rPr>
          <w:rFonts w:ascii="Times New Roman" w:eastAsia="Aptos" w:hAnsi="Times New Roman"/>
          <w:szCs w:val="24"/>
        </w:rPr>
        <w:t>НВО</w:t>
      </w:r>
      <w:r w:rsidR="006F6EC6" w:rsidRPr="00295637">
        <w:rPr>
          <w:rFonts w:ascii="Times New Roman" w:eastAsia="Aptos" w:hAnsi="Times New Roman"/>
          <w:szCs w:val="24"/>
        </w:rPr>
        <w:t xml:space="preserve"> „</w:t>
      </w:r>
      <w:r>
        <w:rPr>
          <w:rFonts w:ascii="Times New Roman" w:eastAsia="Aptos" w:hAnsi="Times New Roman"/>
          <w:szCs w:val="24"/>
        </w:rPr>
        <w:t>Жене</w:t>
      </w:r>
      <w:r w:rsidR="006F6EC6" w:rsidRPr="00295637">
        <w:rPr>
          <w:rFonts w:ascii="Times New Roman" w:eastAsia="Aptos" w:hAnsi="Times New Roman"/>
          <w:szCs w:val="24"/>
        </w:rPr>
        <w:t xml:space="preserve"> </w:t>
      </w:r>
      <w:r>
        <w:rPr>
          <w:rFonts w:ascii="Times New Roman" w:eastAsia="Aptos" w:hAnsi="Times New Roman"/>
          <w:szCs w:val="24"/>
        </w:rPr>
        <w:t>са</w:t>
      </w:r>
      <w:r w:rsidR="006F6EC6" w:rsidRPr="00295637">
        <w:rPr>
          <w:rFonts w:ascii="Times New Roman" w:eastAsia="Aptos" w:hAnsi="Times New Roman"/>
          <w:szCs w:val="24"/>
        </w:rPr>
        <w:t xml:space="preserve"> </w:t>
      </w:r>
      <w:r>
        <w:rPr>
          <w:rFonts w:ascii="Times New Roman" w:eastAsia="Aptos" w:hAnsi="Times New Roman"/>
          <w:szCs w:val="24"/>
        </w:rPr>
        <w:t>Уне</w:t>
      </w:r>
      <w:r w:rsidR="006F6EC6" w:rsidRPr="00295637">
        <w:rPr>
          <w:rFonts w:ascii="Times New Roman" w:eastAsia="Aptos" w:hAnsi="Times New Roman"/>
          <w:szCs w:val="24"/>
        </w:rPr>
        <w:t xml:space="preserve">“ </w:t>
      </w:r>
      <w:r>
        <w:rPr>
          <w:rFonts w:ascii="Times New Roman" w:eastAsia="Aptos" w:hAnsi="Times New Roman"/>
          <w:szCs w:val="24"/>
        </w:rPr>
        <w:t>из</w:t>
      </w:r>
      <w:r w:rsidR="006F6EC6" w:rsidRPr="00295637">
        <w:rPr>
          <w:rFonts w:ascii="Times New Roman" w:eastAsia="Aptos" w:hAnsi="Times New Roman"/>
          <w:szCs w:val="24"/>
        </w:rPr>
        <w:t xml:space="preserve"> </w:t>
      </w:r>
      <w:r>
        <w:rPr>
          <w:rFonts w:ascii="Times New Roman" w:eastAsia="Aptos" w:hAnsi="Times New Roman"/>
          <w:szCs w:val="24"/>
        </w:rPr>
        <w:t>Бихаћа</w:t>
      </w:r>
      <w:r w:rsidR="006F6EC6" w:rsidRPr="00295637">
        <w:rPr>
          <w:rFonts w:ascii="Times New Roman" w:eastAsia="Aptos" w:hAnsi="Times New Roman"/>
          <w:szCs w:val="24"/>
        </w:rPr>
        <w:t xml:space="preserve">. </w:t>
      </w:r>
    </w:p>
    <w:p w:rsidR="00B12D6E" w:rsidRPr="00295637" w:rsidRDefault="00B12D6E" w:rsidP="0086268D">
      <w:pPr>
        <w:jc w:val="both"/>
        <w:rPr>
          <w:rFonts w:ascii="Times New Roman" w:hAnsi="Times New Roman"/>
          <w:lang w:val="bs-Latn-BA"/>
        </w:rPr>
      </w:pPr>
    </w:p>
    <w:p w:rsidR="008A1CDC" w:rsidRPr="00295637" w:rsidRDefault="00A054E6" w:rsidP="00B63A7C">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I</w:t>
      </w:r>
      <w:r w:rsidR="00B63A7C">
        <w:rPr>
          <w:rFonts w:ascii="Times New Roman" w:hAnsi="Times New Roman" w:cs="Times New Roman"/>
          <w:b w:val="0"/>
          <w:lang w:val="bs-Latn-BA"/>
        </w:rPr>
        <w:t xml:space="preserve"> 6.4. </w:t>
      </w:r>
      <w:r w:rsidR="00C6214E">
        <w:rPr>
          <w:rFonts w:ascii="Times New Roman" w:hAnsi="Times New Roman" w:cs="Times New Roman"/>
          <w:b w:val="0"/>
          <w:lang w:val="bs-Latn-BA"/>
        </w:rPr>
        <w:t>Израда</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8A1CDC" w:rsidRPr="00295637">
        <w:rPr>
          <w:rFonts w:ascii="Times New Roman" w:hAnsi="Times New Roman" w:cs="Times New Roman"/>
          <w:b w:val="0"/>
          <w:lang w:val="bs-Latn-BA"/>
        </w:rPr>
        <w:t xml:space="preserve"> </w:t>
      </w:r>
      <w:r>
        <w:rPr>
          <w:rFonts w:ascii="Times New Roman" w:hAnsi="Times New Roman" w:cs="Times New Roman"/>
          <w:b w:val="0"/>
          <w:lang w:val="sr-Cyrl-BA"/>
        </w:rPr>
        <w:t>спровођење</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мјера</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активности</w:t>
      </w:r>
      <w:r w:rsidR="008A1CDC" w:rsidRPr="00295637">
        <w:rPr>
          <w:rFonts w:ascii="Times New Roman" w:hAnsi="Times New Roman" w:cs="Times New Roman"/>
          <w:b w:val="0"/>
          <w:lang w:val="bs-Latn-BA"/>
        </w:rPr>
        <w:t xml:space="preserve"> </w:t>
      </w:r>
      <w:r>
        <w:rPr>
          <w:rFonts w:ascii="Times New Roman" w:hAnsi="Times New Roman" w:cs="Times New Roman"/>
          <w:b w:val="0"/>
          <w:lang w:val="sr-Cyrl-BA"/>
        </w:rPr>
        <w:t>с</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циљ</w:t>
      </w:r>
      <w:r>
        <w:rPr>
          <w:rFonts w:ascii="Times New Roman" w:hAnsi="Times New Roman" w:cs="Times New Roman"/>
          <w:b w:val="0"/>
          <w:lang w:val="sr-Cyrl-BA"/>
        </w:rPr>
        <w:t>ем</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спречавања</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родно</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заснованог</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насиља</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сексуалног</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узнемиравања</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установама</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социјалне</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заштите</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приликом</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пружања</w:t>
      </w:r>
      <w:r w:rsidR="008A1CD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услуга</w:t>
      </w:r>
      <w:r w:rsidR="008A1CDC" w:rsidRPr="00295637">
        <w:rPr>
          <w:rFonts w:ascii="Times New Roman" w:hAnsi="Times New Roman" w:cs="Times New Roman"/>
          <w:b w:val="0"/>
          <w:lang w:val="bs-Latn-BA"/>
        </w:rPr>
        <w:t>.</w:t>
      </w:r>
    </w:p>
    <w:p w:rsidR="00B45D80" w:rsidRPr="00295637" w:rsidRDefault="00B45D80" w:rsidP="0086268D">
      <w:pPr>
        <w:rPr>
          <w:rFonts w:ascii="Times New Roman" w:hAnsi="Times New Roman"/>
          <w:lang w:val="bs-Latn-BA"/>
        </w:rPr>
      </w:pPr>
    </w:p>
    <w:p w:rsidR="00404BE5"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Поједини</w:t>
      </w:r>
      <w:r w:rsidR="00404BE5" w:rsidRPr="00295637">
        <w:rPr>
          <w:rFonts w:ascii="Times New Roman" w:hAnsi="Times New Roman"/>
          <w:lang w:val="sr-Latn-BA"/>
        </w:rPr>
        <w:t xml:space="preserve"> </w:t>
      </w:r>
      <w:r>
        <w:rPr>
          <w:rFonts w:ascii="Times New Roman" w:hAnsi="Times New Roman"/>
          <w:lang w:val="sr-Latn-BA"/>
        </w:rPr>
        <w:t>центри</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социјални</w:t>
      </w:r>
      <w:r w:rsidR="00404BE5" w:rsidRPr="00295637">
        <w:rPr>
          <w:rFonts w:ascii="Times New Roman" w:hAnsi="Times New Roman"/>
          <w:lang w:val="sr-Latn-BA"/>
        </w:rPr>
        <w:t xml:space="preserve"> </w:t>
      </w:r>
      <w:r>
        <w:rPr>
          <w:rFonts w:ascii="Times New Roman" w:hAnsi="Times New Roman"/>
          <w:lang w:val="sr-Latn-BA"/>
        </w:rPr>
        <w:t>рад</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јединицама</w:t>
      </w:r>
      <w:r w:rsidR="00404BE5" w:rsidRPr="00295637">
        <w:rPr>
          <w:rFonts w:ascii="Times New Roman" w:hAnsi="Times New Roman"/>
          <w:lang w:val="sr-Latn-BA"/>
        </w:rPr>
        <w:t xml:space="preserve"> </w:t>
      </w:r>
      <w:r>
        <w:rPr>
          <w:rFonts w:ascii="Times New Roman" w:hAnsi="Times New Roman"/>
          <w:lang w:val="sr-Latn-BA"/>
        </w:rPr>
        <w:t>локалне</w:t>
      </w:r>
      <w:r w:rsidR="00404BE5" w:rsidRPr="00295637">
        <w:rPr>
          <w:rFonts w:ascii="Times New Roman" w:hAnsi="Times New Roman"/>
          <w:lang w:val="sr-Latn-BA"/>
        </w:rPr>
        <w:t xml:space="preserve"> </w:t>
      </w:r>
      <w:r>
        <w:rPr>
          <w:rFonts w:ascii="Times New Roman" w:hAnsi="Times New Roman"/>
          <w:lang w:val="sr-Latn-BA"/>
        </w:rPr>
        <w:t>самоуправе</w:t>
      </w:r>
      <w:r w:rsidR="00404BE5" w:rsidRPr="00295637">
        <w:rPr>
          <w:rFonts w:ascii="Times New Roman" w:hAnsi="Times New Roman"/>
          <w:lang w:val="sr-Latn-BA"/>
        </w:rPr>
        <w:t xml:space="preserve"> </w:t>
      </w:r>
      <w:r w:rsidR="00FB08CB">
        <w:rPr>
          <w:rFonts w:ascii="Times New Roman" w:hAnsi="Times New Roman"/>
          <w:lang w:val="sr-Latn-BA"/>
        </w:rPr>
        <w:t>Р</w:t>
      </w:r>
      <w:r w:rsidR="00FB08CB">
        <w:rPr>
          <w:rFonts w:ascii="Times New Roman" w:hAnsi="Times New Roman"/>
          <w:lang w:val="bs-Cyrl-BA"/>
        </w:rPr>
        <w:t xml:space="preserve">С, као што су </w:t>
      </w:r>
      <w:r>
        <w:rPr>
          <w:rFonts w:ascii="Times New Roman" w:hAnsi="Times New Roman"/>
          <w:lang w:val="sr-Latn-BA"/>
        </w:rPr>
        <w:t>Бања</w:t>
      </w:r>
      <w:r w:rsidR="00384CAD">
        <w:rPr>
          <w:rFonts w:ascii="Times New Roman" w:hAnsi="Times New Roman"/>
          <w:lang w:val="sr-Latn-BA"/>
        </w:rPr>
        <w:t xml:space="preserve"> </w:t>
      </w:r>
      <w:r>
        <w:rPr>
          <w:rFonts w:ascii="Times New Roman" w:hAnsi="Times New Roman"/>
          <w:lang w:val="sr-Latn-BA"/>
        </w:rPr>
        <w:t>Лука</w:t>
      </w:r>
      <w:r w:rsidR="00384CAD">
        <w:rPr>
          <w:rFonts w:ascii="Times New Roman" w:hAnsi="Times New Roman"/>
          <w:lang w:val="sr-Latn-BA"/>
        </w:rPr>
        <w:t xml:space="preserve">, </w:t>
      </w:r>
      <w:r>
        <w:rPr>
          <w:rFonts w:ascii="Times New Roman" w:hAnsi="Times New Roman"/>
          <w:lang w:val="sr-Latn-BA"/>
        </w:rPr>
        <w:t>Приједор</w:t>
      </w:r>
      <w:r w:rsidR="00384CAD">
        <w:rPr>
          <w:rFonts w:ascii="Times New Roman" w:hAnsi="Times New Roman"/>
          <w:lang w:val="sr-Latn-BA"/>
        </w:rPr>
        <w:t>,</w:t>
      </w:r>
      <w:r w:rsidR="00404BE5" w:rsidRPr="00295637">
        <w:rPr>
          <w:rFonts w:ascii="Times New Roman" w:hAnsi="Times New Roman"/>
          <w:lang w:val="sr-Latn-BA"/>
        </w:rPr>
        <w:t xml:space="preserve"> </w:t>
      </w:r>
      <w:r>
        <w:rPr>
          <w:rFonts w:ascii="Times New Roman" w:hAnsi="Times New Roman"/>
          <w:lang w:val="sr-Latn-BA"/>
        </w:rPr>
        <w:t>Берковићи</w:t>
      </w:r>
      <w:r w:rsidR="00FB08CB">
        <w:rPr>
          <w:rFonts w:ascii="Times New Roman" w:hAnsi="Times New Roman"/>
          <w:lang w:val="bs-Cyrl-BA"/>
        </w:rPr>
        <w:t>,</w:t>
      </w:r>
      <w:r w:rsidR="00404BE5" w:rsidRPr="00295637">
        <w:rPr>
          <w:rFonts w:ascii="Times New Roman" w:hAnsi="Times New Roman"/>
          <w:lang w:val="sr-Latn-BA"/>
        </w:rPr>
        <w:t xml:space="preserve"> </w:t>
      </w:r>
      <w:r>
        <w:rPr>
          <w:rFonts w:ascii="Times New Roman" w:hAnsi="Times New Roman"/>
          <w:lang w:val="sr-Latn-BA"/>
        </w:rPr>
        <w:t>извијестили</w:t>
      </w:r>
      <w:r w:rsidR="00404BE5" w:rsidRPr="00295637">
        <w:rPr>
          <w:rFonts w:ascii="Times New Roman" w:hAnsi="Times New Roman"/>
          <w:lang w:val="sr-Latn-BA"/>
        </w:rPr>
        <w:t xml:space="preserve"> </w:t>
      </w:r>
      <w:r>
        <w:rPr>
          <w:rFonts w:ascii="Times New Roman" w:hAnsi="Times New Roman"/>
          <w:lang w:val="sr-Latn-BA"/>
        </w:rPr>
        <w:t>су</w:t>
      </w:r>
      <w:r w:rsidR="00404BE5" w:rsidRPr="00295637">
        <w:rPr>
          <w:rFonts w:ascii="Times New Roman" w:hAnsi="Times New Roman"/>
          <w:lang w:val="sr-Latn-BA"/>
        </w:rPr>
        <w:t xml:space="preserve"> </w:t>
      </w:r>
      <w:r>
        <w:rPr>
          <w:rFonts w:ascii="Times New Roman" w:hAnsi="Times New Roman"/>
          <w:lang w:val="sr-Latn-BA"/>
        </w:rPr>
        <w:t>о</w:t>
      </w:r>
      <w:r w:rsidR="00404BE5" w:rsidRPr="00295637">
        <w:rPr>
          <w:rFonts w:ascii="Times New Roman" w:hAnsi="Times New Roman"/>
          <w:lang w:val="sr-Latn-BA"/>
        </w:rPr>
        <w:t xml:space="preserve"> </w:t>
      </w:r>
      <w:r w:rsidR="00A054E6">
        <w:rPr>
          <w:rFonts w:ascii="Times New Roman" w:hAnsi="Times New Roman"/>
          <w:lang w:val="sr-Cyrl-BA"/>
        </w:rPr>
        <w:t>спровођењу</w:t>
      </w:r>
      <w:r w:rsidR="00404BE5" w:rsidRPr="00295637">
        <w:rPr>
          <w:rFonts w:ascii="Times New Roman" w:hAnsi="Times New Roman"/>
          <w:lang w:val="sr-Latn-BA"/>
        </w:rPr>
        <w:t xml:space="preserve"> </w:t>
      </w:r>
      <w:r>
        <w:rPr>
          <w:rFonts w:ascii="Times New Roman" w:hAnsi="Times New Roman"/>
          <w:lang w:val="sr-Latn-BA"/>
        </w:rPr>
        <w:t>сљедећих</w:t>
      </w:r>
      <w:r w:rsidR="00404BE5" w:rsidRPr="00295637">
        <w:rPr>
          <w:rFonts w:ascii="Times New Roman" w:hAnsi="Times New Roman"/>
          <w:lang w:val="sr-Latn-BA"/>
        </w:rPr>
        <w:t xml:space="preserve"> </w:t>
      </w:r>
      <w:r>
        <w:rPr>
          <w:rFonts w:ascii="Times New Roman" w:hAnsi="Times New Roman"/>
          <w:lang w:val="sr-Latn-BA"/>
        </w:rPr>
        <w:t>мјера</w:t>
      </w:r>
      <w:r w:rsidR="00404BE5" w:rsidRPr="00295637">
        <w:rPr>
          <w:rFonts w:ascii="Times New Roman" w:hAnsi="Times New Roman"/>
          <w:lang w:val="sr-Latn-BA"/>
        </w:rPr>
        <w:t xml:space="preserve"> </w:t>
      </w:r>
      <w:r>
        <w:rPr>
          <w:rFonts w:ascii="Times New Roman" w:hAnsi="Times New Roman"/>
          <w:lang w:val="sr-Latn-BA"/>
        </w:rPr>
        <w:t>и</w:t>
      </w:r>
      <w:r w:rsidR="00404BE5" w:rsidRPr="00295637">
        <w:rPr>
          <w:rFonts w:ascii="Times New Roman" w:hAnsi="Times New Roman"/>
          <w:lang w:val="sr-Latn-BA"/>
        </w:rPr>
        <w:t xml:space="preserve"> </w:t>
      </w:r>
      <w:r>
        <w:rPr>
          <w:rFonts w:ascii="Times New Roman" w:hAnsi="Times New Roman"/>
          <w:lang w:val="sr-Latn-BA"/>
        </w:rPr>
        <w:t>активности</w:t>
      </w:r>
      <w:r w:rsidR="00404BE5" w:rsidRPr="00295637">
        <w:rPr>
          <w:rFonts w:ascii="Times New Roman" w:hAnsi="Times New Roman"/>
          <w:lang w:val="sr-Latn-BA"/>
        </w:rPr>
        <w:t>:</w:t>
      </w:r>
    </w:p>
    <w:p w:rsidR="00404BE5" w:rsidRPr="00295637" w:rsidRDefault="00C6214E" w:rsidP="0086268D">
      <w:pPr>
        <w:pStyle w:val="ListParagraph"/>
        <w:numPr>
          <w:ilvl w:val="0"/>
          <w:numId w:val="24"/>
        </w:numPr>
        <w:jc w:val="both"/>
        <w:rPr>
          <w:rFonts w:ascii="Times New Roman" w:hAnsi="Times New Roman"/>
          <w:lang w:val="sr-Latn-BA"/>
        </w:rPr>
      </w:pPr>
      <w:r>
        <w:rPr>
          <w:rFonts w:ascii="Times New Roman" w:hAnsi="Times New Roman"/>
          <w:lang w:val="sr-Latn-BA"/>
        </w:rPr>
        <w:t>Унапријеђени</w:t>
      </w:r>
      <w:r w:rsidR="00404BE5" w:rsidRPr="00295637">
        <w:rPr>
          <w:rFonts w:ascii="Times New Roman" w:hAnsi="Times New Roman"/>
          <w:lang w:val="sr-Latn-BA"/>
        </w:rPr>
        <w:t xml:space="preserve"> </w:t>
      </w:r>
      <w:r>
        <w:rPr>
          <w:rFonts w:ascii="Times New Roman" w:hAnsi="Times New Roman"/>
          <w:lang w:val="sr-Latn-BA"/>
        </w:rPr>
        <w:t>механизми</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надзор</w:t>
      </w:r>
      <w:r w:rsidR="00404BE5" w:rsidRPr="00295637">
        <w:rPr>
          <w:rFonts w:ascii="Times New Roman" w:hAnsi="Times New Roman"/>
          <w:lang w:val="sr-Latn-BA"/>
        </w:rPr>
        <w:t xml:space="preserve"> </w:t>
      </w:r>
      <w:r>
        <w:rPr>
          <w:rFonts w:ascii="Times New Roman" w:hAnsi="Times New Roman"/>
          <w:lang w:val="sr-Latn-BA"/>
        </w:rPr>
        <w:t>о</w:t>
      </w:r>
      <w:r w:rsidR="00A054E6">
        <w:rPr>
          <w:rFonts w:ascii="Times New Roman" w:hAnsi="Times New Roman"/>
          <w:lang w:val="sr-Cyrl-BA"/>
        </w:rPr>
        <w:t>безбјеђења</w:t>
      </w:r>
      <w:r w:rsidR="00404BE5" w:rsidRPr="00295637">
        <w:rPr>
          <w:rFonts w:ascii="Times New Roman" w:hAnsi="Times New Roman"/>
          <w:lang w:val="sr-Latn-BA"/>
        </w:rPr>
        <w:t xml:space="preserve"> </w:t>
      </w:r>
      <w:r>
        <w:rPr>
          <w:rFonts w:ascii="Times New Roman" w:hAnsi="Times New Roman"/>
          <w:lang w:val="sr-Latn-BA"/>
        </w:rPr>
        <w:t>поштивања</w:t>
      </w:r>
      <w:r w:rsidR="00404BE5" w:rsidRPr="00295637">
        <w:rPr>
          <w:rFonts w:ascii="Times New Roman" w:hAnsi="Times New Roman"/>
          <w:lang w:val="sr-Latn-BA"/>
        </w:rPr>
        <w:t xml:space="preserve"> </w:t>
      </w:r>
      <w:r>
        <w:rPr>
          <w:rFonts w:ascii="Times New Roman" w:hAnsi="Times New Roman"/>
          <w:lang w:val="sr-Latn-BA"/>
        </w:rPr>
        <w:t>и</w:t>
      </w:r>
      <w:r w:rsidR="00404BE5" w:rsidRPr="00295637">
        <w:rPr>
          <w:rFonts w:ascii="Times New Roman" w:hAnsi="Times New Roman"/>
          <w:lang w:val="sr-Latn-BA"/>
        </w:rPr>
        <w:t xml:space="preserve"> </w:t>
      </w:r>
      <w:r w:rsidR="00A054E6">
        <w:rPr>
          <w:rFonts w:ascii="Times New Roman" w:hAnsi="Times New Roman"/>
          <w:lang w:val="sr-Cyrl-BA"/>
        </w:rPr>
        <w:t>спровођења</w:t>
      </w:r>
      <w:r w:rsidR="00404BE5" w:rsidRPr="00295637">
        <w:rPr>
          <w:rFonts w:ascii="Times New Roman" w:hAnsi="Times New Roman"/>
          <w:lang w:val="sr-Latn-BA"/>
        </w:rPr>
        <w:t xml:space="preserve"> </w:t>
      </w:r>
      <w:r>
        <w:rPr>
          <w:rFonts w:ascii="Times New Roman" w:hAnsi="Times New Roman"/>
          <w:lang w:val="sr-Latn-BA"/>
        </w:rPr>
        <w:t>законских</w:t>
      </w:r>
      <w:r w:rsidR="00404BE5" w:rsidRPr="00295637">
        <w:rPr>
          <w:rFonts w:ascii="Times New Roman" w:hAnsi="Times New Roman"/>
          <w:lang w:val="sr-Latn-BA"/>
        </w:rPr>
        <w:t xml:space="preserve"> </w:t>
      </w:r>
      <w:r>
        <w:rPr>
          <w:rFonts w:ascii="Times New Roman" w:hAnsi="Times New Roman"/>
          <w:lang w:val="sr-Latn-BA"/>
        </w:rPr>
        <w:t>одредби</w:t>
      </w:r>
      <w:r w:rsidR="00404BE5" w:rsidRPr="00295637">
        <w:rPr>
          <w:rFonts w:ascii="Times New Roman" w:hAnsi="Times New Roman"/>
          <w:lang w:val="sr-Latn-BA"/>
        </w:rPr>
        <w:t xml:space="preserve"> „</w:t>
      </w:r>
      <w:r>
        <w:rPr>
          <w:rFonts w:ascii="Times New Roman" w:hAnsi="Times New Roman"/>
          <w:lang w:val="sr-Latn-BA"/>
        </w:rPr>
        <w:t>Кривичноправна</w:t>
      </w:r>
      <w:r w:rsidR="00404BE5" w:rsidRPr="00295637">
        <w:rPr>
          <w:rFonts w:ascii="Times New Roman" w:hAnsi="Times New Roman"/>
          <w:lang w:val="sr-Latn-BA"/>
        </w:rPr>
        <w:t xml:space="preserve"> </w:t>
      </w:r>
      <w:r>
        <w:rPr>
          <w:rFonts w:ascii="Times New Roman" w:hAnsi="Times New Roman"/>
          <w:lang w:val="sr-Latn-BA"/>
        </w:rPr>
        <w:t>заштита</w:t>
      </w:r>
      <w:r w:rsidR="00404BE5" w:rsidRPr="00295637">
        <w:rPr>
          <w:rFonts w:ascii="Times New Roman" w:hAnsi="Times New Roman"/>
          <w:lang w:val="sr-Latn-BA"/>
        </w:rPr>
        <w:t xml:space="preserve"> </w:t>
      </w:r>
      <w:r>
        <w:rPr>
          <w:rFonts w:ascii="Times New Roman" w:hAnsi="Times New Roman"/>
          <w:lang w:val="sr-Latn-BA"/>
        </w:rPr>
        <w:t>жртава</w:t>
      </w:r>
      <w:r w:rsidR="00404BE5" w:rsidRPr="00295637">
        <w:rPr>
          <w:rFonts w:ascii="Times New Roman" w:hAnsi="Times New Roman"/>
          <w:lang w:val="sr-Latn-BA"/>
        </w:rPr>
        <w:t xml:space="preserve"> </w:t>
      </w:r>
      <w:r>
        <w:rPr>
          <w:rFonts w:ascii="Times New Roman" w:hAnsi="Times New Roman"/>
          <w:lang w:val="sr-Latn-BA"/>
        </w:rPr>
        <w:t>насиља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породици</w:t>
      </w:r>
      <w:r w:rsidR="00404BE5" w:rsidRPr="00295637">
        <w:rPr>
          <w:rFonts w:ascii="Times New Roman" w:hAnsi="Times New Roman"/>
          <w:lang w:val="sr-Latn-BA"/>
        </w:rPr>
        <w:t xml:space="preserve"> – </w:t>
      </w:r>
      <w:r>
        <w:rPr>
          <w:rFonts w:ascii="Times New Roman" w:hAnsi="Times New Roman"/>
          <w:lang w:val="sr-Latn-BA"/>
        </w:rPr>
        <w:t>постигнућа</w:t>
      </w:r>
      <w:r w:rsidR="00404BE5" w:rsidRPr="00295637">
        <w:rPr>
          <w:rFonts w:ascii="Times New Roman" w:hAnsi="Times New Roman"/>
          <w:lang w:val="sr-Latn-BA"/>
        </w:rPr>
        <w:t xml:space="preserve"> </w:t>
      </w:r>
      <w:r>
        <w:rPr>
          <w:rFonts w:ascii="Times New Roman" w:hAnsi="Times New Roman"/>
          <w:lang w:val="sr-Latn-BA"/>
        </w:rPr>
        <w:t>и</w:t>
      </w:r>
      <w:r w:rsidR="00404BE5" w:rsidRPr="00295637">
        <w:rPr>
          <w:rFonts w:ascii="Times New Roman" w:hAnsi="Times New Roman"/>
          <w:lang w:val="sr-Latn-BA"/>
        </w:rPr>
        <w:t xml:space="preserve"> </w:t>
      </w:r>
      <w:r>
        <w:rPr>
          <w:rFonts w:ascii="Times New Roman" w:hAnsi="Times New Roman"/>
          <w:lang w:val="sr-Latn-BA"/>
        </w:rPr>
        <w:t>потребе</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унапређењем</w:t>
      </w:r>
      <w:r w:rsidR="00404BE5" w:rsidRPr="00295637">
        <w:rPr>
          <w:rFonts w:ascii="Times New Roman" w:hAnsi="Times New Roman"/>
          <w:lang w:val="sr-Latn-BA"/>
        </w:rPr>
        <w:t xml:space="preserve">“ </w:t>
      </w:r>
      <w:r>
        <w:rPr>
          <w:rFonts w:ascii="Times New Roman" w:hAnsi="Times New Roman"/>
          <w:lang w:val="sr-Latn-BA"/>
        </w:rPr>
        <w:t>и</w:t>
      </w:r>
      <w:r w:rsidR="00404BE5" w:rsidRPr="00295637">
        <w:rPr>
          <w:rFonts w:ascii="Times New Roman" w:hAnsi="Times New Roman"/>
          <w:lang w:val="sr-Latn-BA"/>
        </w:rPr>
        <w:t xml:space="preserve"> </w:t>
      </w:r>
      <w:r>
        <w:rPr>
          <w:rFonts w:ascii="Times New Roman" w:hAnsi="Times New Roman"/>
          <w:lang w:val="sr-Latn-BA"/>
        </w:rPr>
        <w:t>обука</w:t>
      </w:r>
      <w:r w:rsidR="00404BE5" w:rsidRPr="00295637">
        <w:rPr>
          <w:rFonts w:ascii="Times New Roman" w:hAnsi="Times New Roman"/>
          <w:lang w:val="sr-Latn-BA"/>
        </w:rPr>
        <w:t xml:space="preserve"> </w:t>
      </w:r>
      <w:r>
        <w:rPr>
          <w:rFonts w:ascii="Times New Roman" w:hAnsi="Times New Roman"/>
          <w:lang w:val="sr-Latn-BA"/>
        </w:rPr>
        <w:t>о</w:t>
      </w:r>
      <w:r w:rsidR="00404BE5" w:rsidRPr="00295637">
        <w:rPr>
          <w:rFonts w:ascii="Times New Roman" w:hAnsi="Times New Roman"/>
          <w:lang w:val="sr-Latn-BA"/>
        </w:rPr>
        <w:t xml:space="preserve"> </w:t>
      </w:r>
      <w:r>
        <w:rPr>
          <w:rFonts w:ascii="Times New Roman" w:hAnsi="Times New Roman"/>
          <w:lang w:val="sr-Latn-BA"/>
        </w:rPr>
        <w:t>поступању</w:t>
      </w:r>
      <w:r w:rsidR="00404BE5" w:rsidRPr="00295637">
        <w:rPr>
          <w:rFonts w:ascii="Times New Roman" w:hAnsi="Times New Roman"/>
          <w:lang w:val="sr-Latn-BA"/>
        </w:rPr>
        <w:t xml:space="preserve"> </w:t>
      </w:r>
      <w:r>
        <w:rPr>
          <w:rFonts w:ascii="Times New Roman" w:hAnsi="Times New Roman"/>
          <w:lang w:val="sr-Latn-BA"/>
        </w:rPr>
        <w:t>полицијских</w:t>
      </w:r>
      <w:r w:rsidR="00404BE5" w:rsidRPr="00295637">
        <w:rPr>
          <w:rFonts w:ascii="Times New Roman" w:hAnsi="Times New Roman"/>
          <w:lang w:val="sr-Latn-BA"/>
        </w:rPr>
        <w:t xml:space="preserve"> </w:t>
      </w:r>
      <w:r>
        <w:rPr>
          <w:rFonts w:ascii="Times New Roman" w:hAnsi="Times New Roman"/>
          <w:lang w:val="sr-Latn-BA"/>
        </w:rPr>
        <w:t>службеника</w:t>
      </w:r>
      <w:r w:rsidR="00404BE5" w:rsidRPr="00295637">
        <w:rPr>
          <w:rFonts w:ascii="Times New Roman" w:hAnsi="Times New Roman"/>
          <w:lang w:val="sr-Latn-BA"/>
        </w:rPr>
        <w:t>/</w:t>
      </w:r>
      <w:r>
        <w:rPr>
          <w:rFonts w:ascii="Times New Roman" w:hAnsi="Times New Roman"/>
          <w:lang w:val="sr-Latn-BA"/>
        </w:rPr>
        <w:t>ица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случајевима</w:t>
      </w:r>
      <w:r w:rsidR="00404BE5" w:rsidRPr="00295637">
        <w:rPr>
          <w:rFonts w:ascii="Times New Roman" w:hAnsi="Times New Roman"/>
          <w:lang w:val="sr-Latn-BA"/>
        </w:rPr>
        <w:t xml:space="preserve"> </w:t>
      </w:r>
      <w:r>
        <w:rPr>
          <w:rFonts w:ascii="Times New Roman" w:hAnsi="Times New Roman"/>
          <w:lang w:val="sr-Latn-BA"/>
        </w:rPr>
        <w:t>насиља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породици</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Приједору</w:t>
      </w:r>
      <w:r w:rsidR="00404BE5" w:rsidRPr="00295637">
        <w:rPr>
          <w:rFonts w:ascii="Times New Roman" w:hAnsi="Times New Roman"/>
          <w:lang w:val="sr-Latn-BA"/>
        </w:rPr>
        <w:t>;</w:t>
      </w:r>
    </w:p>
    <w:p w:rsidR="00404BE5" w:rsidRPr="00295637" w:rsidRDefault="00C6214E" w:rsidP="0086268D">
      <w:pPr>
        <w:pStyle w:val="ListParagraph"/>
        <w:numPr>
          <w:ilvl w:val="0"/>
          <w:numId w:val="24"/>
        </w:numPr>
        <w:jc w:val="both"/>
        <w:rPr>
          <w:rFonts w:ascii="Times New Roman" w:hAnsi="Times New Roman"/>
          <w:lang w:val="sr-Latn-BA"/>
        </w:rPr>
      </w:pPr>
      <w:r>
        <w:rPr>
          <w:rFonts w:ascii="Times New Roman" w:hAnsi="Times New Roman"/>
          <w:lang w:val="sr-Latn-BA"/>
        </w:rPr>
        <w:t>Организација</w:t>
      </w:r>
      <w:r w:rsidR="00404BE5" w:rsidRPr="00295637">
        <w:rPr>
          <w:rFonts w:ascii="Times New Roman" w:hAnsi="Times New Roman"/>
          <w:lang w:val="sr-Latn-BA"/>
        </w:rPr>
        <w:t xml:space="preserve"> </w:t>
      </w:r>
      <w:r w:rsidR="00384CAD">
        <w:rPr>
          <w:rFonts w:ascii="Times New Roman" w:hAnsi="Times New Roman"/>
          <w:lang w:val="sr-Latn-BA"/>
        </w:rPr>
        <w:t>„</w:t>
      </w:r>
      <w:r w:rsidR="00404BE5" w:rsidRPr="00295637">
        <w:rPr>
          <w:rFonts w:ascii="Times New Roman" w:hAnsi="Times New Roman"/>
          <w:lang w:val="sr-Latn-BA"/>
        </w:rPr>
        <w:t xml:space="preserve">16. </w:t>
      </w:r>
      <w:r>
        <w:rPr>
          <w:rFonts w:ascii="Times New Roman" w:hAnsi="Times New Roman"/>
          <w:lang w:val="sr-Latn-BA"/>
        </w:rPr>
        <w:t>дана</w:t>
      </w:r>
      <w:r w:rsidR="00404BE5" w:rsidRPr="00295637">
        <w:rPr>
          <w:rFonts w:ascii="Times New Roman" w:hAnsi="Times New Roman"/>
          <w:lang w:val="sr-Latn-BA"/>
        </w:rPr>
        <w:t xml:space="preserve"> </w:t>
      </w:r>
      <w:r>
        <w:rPr>
          <w:rFonts w:ascii="Times New Roman" w:hAnsi="Times New Roman"/>
          <w:lang w:val="sr-Latn-BA"/>
        </w:rPr>
        <w:t>активизма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борби</w:t>
      </w:r>
      <w:r w:rsidR="00404BE5" w:rsidRPr="00295637">
        <w:rPr>
          <w:rFonts w:ascii="Times New Roman" w:hAnsi="Times New Roman"/>
          <w:lang w:val="sr-Latn-BA"/>
        </w:rPr>
        <w:t xml:space="preserve"> </w:t>
      </w:r>
      <w:r>
        <w:rPr>
          <w:rFonts w:ascii="Times New Roman" w:hAnsi="Times New Roman"/>
          <w:lang w:val="sr-Latn-BA"/>
        </w:rPr>
        <w:t>против</w:t>
      </w:r>
      <w:r w:rsidR="00404BE5" w:rsidRPr="00295637">
        <w:rPr>
          <w:rFonts w:ascii="Times New Roman" w:hAnsi="Times New Roman"/>
          <w:lang w:val="sr-Latn-BA"/>
        </w:rPr>
        <w:t xml:space="preserve"> </w:t>
      </w:r>
      <w:r>
        <w:rPr>
          <w:rFonts w:ascii="Times New Roman" w:hAnsi="Times New Roman"/>
          <w:lang w:val="sr-Latn-BA"/>
        </w:rPr>
        <w:t>родно</w:t>
      </w:r>
      <w:r w:rsidR="00404BE5" w:rsidRPr="00295637">
        <w:rPr>
          <w:rFonts w:ascii="Times New Roman" w:hAnsi="Times New Roman"/>
          <w:lang w:val="sr-Latn-BA"/>
        </w:rPr>
        <w:t xml:space="preserve"> </w:t>
      </w:r>
      <w:r>
        <w:rPr>
          <w:rFonts w:ascii="Times New Roman" w:hAnsi="Times New Roman"/>
          <w:lang w:val="sr-Latn-BA"/>
        </w:rPr>
        <w:t>заснованог</w:t>
      </w:r>
      <w:r w:rsidR="00404BE5" w:rsidRPr="00295637">
        <w:rPr>
          <w:rFonts w:ascii="Times New Roman" w:hAnsi="Times New Roman"/>
          <w:lang w:val="sr-Latn-BA"/>
        </w:rPr>
        <w:t xml:space="preserve"> </w:t>
      </w:r>
      <w:r>
        <w:rPr>
          <w:rFonts w:ascii="Times New Roman" w:hAnsi="Times New Roman"/>
          <w:lang w:val="sr-Latn-BA"/>
        </w:rPr>
        <w:t>насиља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Приједору</w:t>
      </w:r>
      <w:r w:rsidR="00384CAD">
        <w:rPr>
          <w:rFonts w:ascii="Times New Roman" w:hAnsi="Times New Roman"/>
          <w:lang w:val="sr-Latn-BA"/>
        </w:rPr>
        <w:t xml:space="preserve">“: </w:t>
      </w:r>
      <w:r>
        <w:rPr>
          <w:rFonts w:ascii="Times New Roman" w:hAnsi="Times New Roman"/>
          <w:lang w:val="sr-Latn-BA"/>
        </w:rPr>
        <w:t>дијељење</w:t>
      </w:r>
      <w:r w:rsidR="00384CAD">
        <w:rPr>
          <w:rFonts w:ascii="Times New Roman" w:hAnsi="Times New Roman"/>
          <w:lang w:val="sr-Latn-BA"/>
        </w:rPr>
        <w:t xml:space="preserve"> </w:t>
      </w:r>
      <w:r>
        <w:rPr>
          <w:rFonts w:ascii="Times New Roman" w:hAnsi="Times New Roman"/>
          <w:lang w:val="sr-Latn-BA"/>
        </w:rPr>
        <w:t>промо</w:t>
      </w:r>
      <w:r w:rsidR="00384CAD">
        <w:rPr>
          <w:rFonts w:ascii="Times New Roman" w:hAnsi="Times New Roman"/>
          <w:lang w:val="sr-Latn-BA"/>
        </w:rPr>
        <w:t>-</w:t>
      </w:r>
      <w:r>
        <w:rPr>
          <w:rFonts w:ascii="Times New Roman" w:hAnsi="Times New Roman"/>
          <w:lang w:val="sr-Latn-BA"/>
        </w:rPr>
        <w:t>материјала</w:t>
      </w:r>
      <w:r w:rsidR="00404BE5" w:rsidRPr="00295637">
        <w:rPr>
          <w:rFonts w:ascii="Times New Roman" w:hAnsi="Times New Roman"/>
          <w:lang w:val="sr-Latn-BA"/>
        </w:rPr>
        <w:t xml:space="preserve">, </w:t>
      </w:r>
      <w:r>
        <w:rPr>
          <w:rFonts w:ascii="Times New Roman" w:hAnsi="Times New Roman"/>
          <w:lang w:val="sr-Latn-BA"/>
        </w:rPr>
        <w:t>гостовање</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ТВ</w:t>
      </w:r>
      <w:r w:rsidR="00404BE5" w:rsidRPr="00295637">
        <w:rPr>
          <w:rFonts w:ascii="Times New Roman" w:hAnsi="Times New Roman"/>
          <w:lang w:val="sr-Latn-BA"/>
        </w:rPr>
        <w:t xml:space="preserve"> </w:t>
      </w:r>
      <w:r>
        <w:rPr>
          <w:rFonts w:ascii="Times New Roman" w:hAnsi="Times New Roman"/>
          <w:lang w:val="sr-Latn-BA"/>
        </w:rPr>
        <w:t>и</w:t>
      </w:r>
      <w:r w:rsidR="00404BE5" w:rsidRPr="00295637">
        <w:rPr>
          <w:rFonts w:ascii="Times New Roman" w:hAnsi="Times New Roman"/>
          <w:lang w:val="sr-Latn-BA"/>
        </w:rPr>
        <w:t xml:space="preserve"> </w:t>
      </w:r>
      <w:r>
        <w:rPr>
          <w:rFonts w:ascii="Times New Roman" w:hAnsi="Times New Roman"/>
          <w:lang w:val="sr-Latn-BA"/>
        </w:rPr>
        <w:t>радио</w:t>
      </w:r>
      <w:r w:rsidR="00404BE5" w:rsidRPr="00295637">
        <w:rPr>
          <w:rFonts w:ascii="Times New Roman" w:hAnsi="Times New Roman"/>
          <w:lang w:val="sr-Latn-BA"/>
        </w:rPr>
        <w:t xml:space="preserve"> </w:t>
      </w:r>
      <w:r>
        <w:rPr>
          <w:rFonts w:ascii="Times New Roman" w:hAnsi="Times New Roman"/>
          <w:lang w:val="sr-Latn-BA"/>
        </w:rPr>
        <w:t>емисијама</w:t>
      </w:r>
      <w:r w:rsidR="00404BE5" w:rsidRPr="00295637">
        <w:rPr>
          <w:rFonts w:ascii="Times New Roman" w:hAnsi="Times New Roman"/>
          <w:lang w:val="sr-Latn-BA"/>
        </w:rPr>
        <w:t xml:space="preserve">, </w:t>
      </w:r>
      <w:r>
        <w:rPr>
          <w:rFonts w:ascii="Times New Roman" w:hAnsi="Times New Roman"/>
          <w:lang w:val="sr-Latn-BA"/>
        </w:rPr>
        <w:t>едукације</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школама</w:t>
      </w:r>
      <w:r w:rsidR="00404BE5" w:rsidRPr="00295637">
        <w:rPr>
          <w:rFonts w:ascii="Times New Roman" w:hAnsi="Times New Roman"/>
          <w:lang w:val="sr-Latn-BA"/>
        </w:rPr>
        <w:t xml:space="preserve">; 25.11.2024. </w:t>
      </w:r>
      <w:r>
        <w:rPr>
          <w:rFonts w:ascii="Times New Roman" w:hAnsi="Times New Roman"/>
          <w:lang w:val="sr-Latn-BA"/>
        </w:rPr>
        <w:t>године</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сарадњи</w:t>
      </w:r>
      <w:r w:rsidR="00384CAD">
        <w:rPr>
          <w:rFonts w:ascii="Times New Roman" w:hAnsi="Times New Roman"/>
          <w:lang w:val="sr-Latn-BA"/>
        </w:rPr>
        <w:t xml:space="preserve"> </w:t>
      </w:r>
      <w:r>
        <w:rPr>
          <w:rFonts w:ascii="Times New Roman" w:hAnsi="Times New Roman"/>
          <w:lang w:val="sr-Latn-BA"/>
        </w:rPr>
        <w:t>са</w:t>
      </w:r>
      <w:r w:rsidR="00404BE5" w:rsidRPr="00295637">
        <w:rPr>
          <w:rFonts w:ascii="Times New Roman" w:hAnsi="Times New Roman"/>
          <w:lang w:val="sr-Latn-BA"/>
        </w:rPr>
        <w:t xml:space="preserve"> </w:t>
      </w:r>
      <w:r>
        <w:rPr>
          <w:rFonts w:ascii="Times New Roman" w:hAnsi="Times New Roman"/>
          <w:lang w:val="sr-Latn-BA"/>
        </w:rPr>
        <w:t>Комисијом</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равноправност</w:t>
      </w:r>
      <w:r w:rsidR="00404BE5" w:rsidRPr="00295637">
        <w:rPr>
          <w:rFonts w:ascii="Times New Roman" w:hAnsi="Times New Roman"/>
          <w:lang w:val="sr-Latn-BA"/>
        </w:rPr>
        <w:t xml:space="preserve"> </w:t>
      </w:r>
      <w:r>
        <w:rPr>
          <w:rFonts w:ascii="Times New Roman" w:hAnsi="Times New Roman"/>
          <w:lang w:val="sr-Latn-BA"/>
        </w:rPr>
        <w:t>полова</w:t>
      </w:r>
      <w:r w:rsidR="00404BE5" w:rsidRPr="00295637">
        <w:rPr>
          <w:rFonts w:ascii="Times New Roman" w:hAnsi="Times New Roman"/>
          <w:lang w:val="sr-Latn-BA"/>
        </w:rPr>
        <w:t xml:space="preserve"> </w:t>
      </w:r>
      <w:r>
        <w:rPr>
          <w:rFonts w:ascii="Times New Roman" w:hAnsi="Times New Roman"/>
          <w:lang w:val="sr-Latn-BA"/>
        </w:rPr>
        <w:t>зграда</w:t>
      </w:r>
      <w:r w:rsidR="00404BE5" w:rsidRPr="00295637">
        <w:rPr>
          <w:rFonts w:ascii="Times New Roman" w:hAnsi="Times New Roman"/>
          <w:lang w:val="sr-Latn-BA"/>
        </w:rPr>
        <w:t xml:space="preserve"> </w:t>
      </w:r>
      <w:r>
        <w:rPr>
          <w:rFonts w:ascii="Times New Roman" w:hAnsi="Times New Roman"/>
          <w:lang w:val="sr-Latn-BA"/>
        </w:rPr>
        <w:t>Градске</w:t>
      </w:r>
      <w:r w:rsidR="00404BE5" w:rsidRPr="00295637">
        <w:rPr>
          <w:rFonts w:ascii="Times New Roman" w:hAnsi="Times New Roman"/>
          <w:lang w:val="sr-Latn-BA"/>
        </w:rPr>
        <w:t xml:space="preserve"> </w:t>
      </w:r>
      <w:r>
        <w:rPr>
          <w:rFonts w:ascii="Times New Roman" w:hAnsi="Times New Roman"/>
          <w:lang w:val="sr-Latn-BA"/>
        </w:rPr>
        <w:t>управе</w:t>
      </w:r>
      <w:r w:rsidR="00404BE5" w:rsidRPr="00295637">
        <w:rPr>
          <w:rFonts w:ascii="Times New Roman" w:hAnsi="Times New Roman"/>
          <w:lang w:val="sr-Latn-BA"/>
        </w:rPr>
        <w:t xml:space="preserve"> </w:t>
      </w:r>
      <w:r>
        <w:rPr>
          <w:rFonts w:ascii="Times New Roman" w:hAnsi="Times New Roman"/>
          <w:lang w:val="sr-Latn-BA"/>
        </w:rPr>
        <w:t>била</w:t>
      </w:r>
      <w:r w:rsidR="00404BE5" w:rsidRPr="00295637">
        <w:rPr>
          <w:rFonts w:ascii="Times New Roman" w:hAnsi="Times New Roman"/>
          <w:lang w:val="sr-Latn-BA"/>
        </w:rPr>
        <w:t xml:space="preserve"> </w:t>
      </w:r>
      <w:r>
        <w:rPr>
          <w:rFonts w:ascii="Times New Roman" w:hAnsi="Times New Roman"/>
          <w:lang w:val="sr-Latn-BA"/>
        </w:rPr>
        <w:t>је</w:t>
      </w:r>
      <w:r w:rsidR="00384CAD" w:rsidRPr="00295637">
        <w:rPr>
          <w:rFonts w:ascii="Times New Roman" w:hAnsi="Times New Roman"/>
          <w:lang w:val="sr-Latn-BA"/>
        </w:rPr>
        <w:t xml:space="preserve"> </w:t>
      </w:r>
      <w:r>
        <w:rPr>
          <w:rFonts w:ascii="Times New Roman" w:hAnsi="Times New Roman"/>
          <w:lang w:val="sr-Latn-BA"/>
        </w:rPr>
        <w:t>обојена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наранџасту</w:t>
      </w:r>
      <w:r w:rsidR="00404BE5" w:rsidRPr="00295637">
        <w:rPr>
          <w:rFonts w:ascii="Times New Roman" w:hAnsi="Times New Roman"/>
          <w:lang w:val="sr-Latn-BA"/>
        </w:rPr>
        <w:t xml:space="preserve"> </w:t>
      </w:r>
      <w:r>
        <w:rPr>
          <w:rFonts w:ascii="Times New Roman" w:hAnsi="Times New Roman"/>
          <w:lang w:val="sr-Latn-BA"/>
        </w:rPr>
        <w:t>боју</w:t>
      </w:r>
      <w:r w:rsidR="00404BE5" w:rsidRPr="00295637">
        <w:rPr>
          <w:rFonts w:ascii="Times New Roman" w:hAnsi="Times New Roman"/>
          <w:lang w:val="sr-Latn-BA"/>
        </w:rPr>
        <w:t>.</w:t>
      </w:r>
    </w:p>
    <w:p w:rsidR="00404BE5" w:rsidRPr="00295637" w:rsidRDefault="00C6214E" w:rsidP="0086268D">
      <w:pPr>
        <w:pStyle w:val="ListParagraph"/>
        <w:numPr>
          <w:ilvl w:val="0"/>
          <w:numId w:val="24"/>
        </w:numPr>
        <w:jc w:val="both"/>
        <w:rPr>
          <w:rFonts w:ascii="Times New Roman" w:hAnsi="Times New Roman"/>
          <w:lang w:val="sr-Latn-BA"/>
        </w:rPr>
      </w:pPr>
      <w:r>
        <w:rPr>
          <w:rFonts w:ascii="Times New Roman" w:hAnsi="Times New Roman"/>
          <w:lang w:val="sr-Latn-BA"/>
        </w:rPr>
        <w:t>Одржаних</w:t>
      </w:r>
      <w:r w:rsidR="00404BE5" w:rsidRPr="00295637">
        <w:rPr>
          <w:rFonts w:ascii="Times New Roman" w:hAnsi="Times New Roman"/>
          <w:lang w:val="sr-Latn-BA"/>
        </w:rPr>
        <w:t xml:space="preserve"> 12 </w:t>
      </w:r>
      <w:r>
        <w:rPr>
          <w:rFonts w:ascii="Times New Roman" w:hAnsi="Times New Roman"/>
          <w:lang w:val="sr-Latn-BA"/>
        </w:rPr>
        <w:t>мултисекторских</w:t>
      </w:r>
      <w:r w:rsidR="00404BE5" w:rsidRPr="00295637">
        <w:rPr>
          <w:rFonts w:ascii="Times New Roman" w:hAnsi="Times New Roman"/>
          <w:lang w:val="sr-Latn-BA"/>
        </w:rPr>
        <w:t xml:space="preserve"> </w:t>
      </w:r>
      <w:r>
        <w:rPr>
          <w:rFonts w:ascii="Times New Roman" w:hAnsi="Times New Roman"/>
          <w:lang w:val="sr-Latn-BA"/>
        </w:rPr>
        <w:t>састанака</w:t>
      </w:r>
      <w:r w:rsidR="00404BE5" w:rsidRPr="00295637">
        <w:rPr>
          <w:rFonts w:ascii="Times New Roman" w:hAnsi="Times New Roman"/>
          <w:lang w:val="sr-Latn-BA"/>
        </w:rPr>
        <w:t xml:space="preserve"> </w:t>
      </w:r>
      <w:r>
        <w:rPr>
          <w:rFonts w:ascii="Times New Roman" w:hAnsi="Times New Roman"/>
          <w:lang w:val="sr-Latn-BA"/>
        </w:rPr>
        <w:t>на</w:t>
      </w:r>
      <w:r w:rsidR="00404BE5" w:rsidRPr="00295637">
        <w:rPr>
          <w:rFonts w:ascii="Times New Roman" w:hAnsi="Times New Roman"/>
          <w:lang w:val="sr-Latn-BA"/>
        </w:rPr>
        <w:t xml:space="preserve"> </w:t>
      </w:r>
      <w:r>
        <w:rPr>
          <w:rFonts w:ascii="Times New Roman" w:hAnsi="Times New Roman"/>
          <w:lang w:val="sr-Latn-BA"/>
        </w:rPr>
        <w:t>годишњем</w:t>
      </w:r>
      <w:r w:rsidR="00404BE5" w:rsidRPr="00295637">
        <w:rPr>
          <w:rFonts w:ascii="Times New Roman" w:hAnsi="Times New Roman"/>
          <w:lang w:val="sr-Latn-BA"/>
        </w:rPr>
        <w:t xml:space="preserve"> </w:t>
      </w:r>
      <w:r>
        <w:rPr>
          <w:rFonts w:ascii="Times New Roman" w:hAnsi="Times New Roman"/>
          <w:lang w:val="sr-Latn-BA"/>
        </w:rPr>
        <w:t>нивоу</w:t>
      </w:r>
      <w:r w:rsidR="00404BE5" w:rsidRPr="00295637">
        <w:rPr>
          <w:rFonts w:ascii="Times New Roman" w:hAnsi="Times New Roman"/>
          <w:lang w:val="sr-Latn-BA"/>
        </w:rPr>
        <w:t xml:space="preserve"> </w:t>
      </w:r>
      <w:r>
        <w:rPr>
          <w:rFonts w:ascii="Times New Roman" w:hAnsi="Times New Roman"/>
          <w:lang w:val="sr-Latn-BA"/>
        </w:rPr>
        <w:t>субјекта</w:t>
      </w:r>
      <w:r w:rsidR="00404BE5" w:rsidRPr="00295637">
        <w:rPr>
          <w:rFonts w:ascii="Times New Roman" w:hAnsi="Times New Roman"/>
          <w:lang w:val="sr-Latn-BA"/>
        </w:rPr>
        <w:t xml:space="preserve"> </w:t>
      </w:r>
      <w:r>
        <w:rPr>
          <w:rFonts w:ascii="Times New Roman" w:hAnsi="Times New Roman"/>
          <w:lang w:val="sr-Latn-BA"/>
        </w:rPr>
        <w:t>заштите</w:t>
      </w:r>
      <w:r w:rsidR="00404BE5" w:rsidRPr="00295637">
        <w:rPr>
          <w:rFonts w:ascii="Times New Roman" w:hAnsi="Times New Roman"/>
          <w:lang w:val="sr-Latn-BA"/>
        </w:rPr>
        <w:t xml:space="preserve"> </w:t>
      </w:r>
      <w:r>
        <w:rPr>
          <w:rFonts w:ascii="Times New Roman" w:hAnsi="Times New Roman"/>
          <w:lang w:val="sr-Latn-BA"/>
        </w:rPr>
        <w:t>жртава</w:t>
      </w:r>
      <w:r w:rsidR="00404BE5" w:rsidRPr="00295637">
        <w:rPr>
          <w:rFonts w:ascii="Times New Roman" w:hAnsi="Times New Roman"/>
          <w:lang w:val="sr-Latn-BA"/>
        </w:rPr>
        <w:t xml:space="preserve"> </w:t>
      </w:r>
      <w:r>
        <w:rPr>
          <w:rFonts w:ascii="Times New Roman" w:hAnsi="Times New Roman"/>
          <w:lang w:val="sr-Latn-BA"/>
        </w:rPr>
        <w:t>породичног</w:t>
      </w:r>
      <w:r w:rsidR="00404BE5" w:rsidRPr="00295637">
        <w:rPr>
          <w:rFonts w:ascii="Times New Roman" w:hAnsi="Times New Roman"/>
          <w:lang w:val="sr-Latn-BA"/>
        </w:rPr>
        <w:t xml:space="preserve"> </w:t>
      </w:r>
      <w:r>
        <w:rPr>
          <w:rFonts w:ascii="Times New Roman" w:hAnsi="Times New Roman"/>
          <w:lang w:val="sr-Latn-BA"/>
        </w:rPr>
        <w:t>насиља</w:t>
      </w:r>
      <w:r w:rsidR="00404BE5" w:rsidRPr="00295637">
        <w:rPr>
          <w:rFonts w:ascii="Times New Roman" w:hAnsi="Times New Roman"/>
          <w:lang w:val="sr-Latn-BA"/>
        </w:rPr>
        <w:t xml:space="preserve">, </w:t>
      </w:r>
      <w:r>
        <w:rPr>
          <w:rFonts w:ascii="Times New Roman" w:hAnsi="Times New Roman"/>
          <w:lang w:val="sr-Latn-BA"/>
        </w:rPr>
        <w:t>као</w:t>
      </w:r>
      <w:r w:rsidR="00404BE5" w:rsidRPr="00295637">
        <w:rPr>
          <w:rFonts w:ascii="Times New Roman" w:hAnsi="Times New Roman"/>
          <w:lang w:val="sr-Latn-BA"/>
        </w:rPr>
        <w:t xml:space="preserve"> </w:t>
      </w:r>
      <w:r>
        <w:rPr>
          <w:rFonts w:ascii="Times New Roman" w:hAnsi="Times New Roman"/>
          <w:lang w:val="sr-Latn-BA"/>
        </w:rPr>
        <w:t>и</w:t>
      </w:r>
      <w:r w:rsidR="00404BE5" w:rsidRPr="00295637">
        <w:rPr>
          <w:rFonts w:ascii="Times New Roman" w:hAnsi="Times New Roman"/>
          <w:lang w:val="sr-Latn-BA"/>
        </w:rPr>
        <w:t xml:space="preserve"> 28 </w:t>
      </w:r>
      <w:r>
        <w:rPr>
          <w:rFonts w:ascii="Times New Roman" w:hAnsi="Times New Roman"/>
          <w:lang w:val="sr-Latn-BA"/>
        </w:rPr>
        <w:t>мултисекторских</w:t>
      </w:r>
      <w:r w:rsidR="00404BE5" w:rsidRPr="00295637">
        <w:rPr>
          <w:rFonts w:ascii="Times New Roman" w:hAnsi="Times New Roman"/>
          <w:lang w:val="sr-Latn-BA"/>
        </w:rPr>
        <w:t xml:space="preserve"> </w:t>
      </w:r>
      <w:r>
        <w:rPr>
          <w:rFonts w:ascii="Times New Roman" w:hAnsi="Times New Roman"/>
          <w:lang w:val="sr-Latn-BA"/>
        </w:rPr>
        <w:t>састанака</w:t>
      </w:r>
      <w:r w:rsidR="00404BE5" w:rsidRPr="00295637">
        <w:rPr>
          <w:rFonts w:ascii="Times New Roman" w:hAnsi="Times New Roman"/>
          <w:lang w:val="sr-Latn-BA"/>
        </w:rPr>
        <w:t xml:space="preserve"> „</w:t>
      </w:r>
      <w:r>
        <w:rPr>
          <w:rFonts w:ascii="Times New Roman" w:hAnsi="Times New Roman"/>
          <w:lang w:val="sr-Latn-BA"/>
        </w:rPr>
        <w:t>Брига</w:t>
      </w:r>
      <w:r w:rsidR="00404BE5" w:rsidRPr="00295637">
        <w:rPr>
          <w:rFonts w:ascii="Times New Roman" w:hAnsi="Times New Roman"/>
          <w:lang w:val="sr-Latn-BA"/>
        </w:rPr>
        <w:t xml:space="preserve"> </w:t>
      </w:r>
      <w:r>
        <w:rPr>
          <w:rFonts w:ascii="Times New Roman" w:hAnsi="Times New Roman"/>
          <w:lang w:val="sr-Latn-BA"/>
        </w:rPr>
        <w:t>о</w:t>
      </w:r>
      <w:r w:rsidR="00404BE5" w:rsidRPr="00295637">
        <w:rPr>
          <w:rFonts w:ascii="Times New Roman" w:hAnsi="Times New Roman"/>
          <w:lang w:val="sr-Latn-BA"/>
        </w:rPr>
        <w:t xml:space="preserve"> </w:t>
      </w:r>
      <w:r>
        <w:rPr>
          <w:rFonts w:ascii="Times New Roman" w:hAnsi="Times New Roman"/>
          <w:lang w:val="sr-Latn-BA"/>
        </w:rPr>
        <w:t>дјеци</w:t>
      </w:r>
      <w:r w:rsidR="00384CAD">
        <w:rPr>
          <w:rFonts w:ascii="Times New Roman" w:hAnsi="Times New Roman"/>
          <w:lang w:val="sr-Latn-BA"/>
        </w:rPr>
        <w:t xml:space="preserve">, </w:t>
      </w:r>
      <w:r>
        <w:rPr>
          <w:rFonts w:ascii="Times New Roman" w:hAnsi="Times New Roman"/>
          <w:lang w:val="sr-Latn-BA"/>
        </w:rPr>
        <w:t>заједничка</w:t>
      </w:r>
      <w:r w:rsidR="00384CAD">
        <w:rPr>
          <w:rFonts w:ascii="Times New Roman" w:hAnsi="Times New Roman"/>
          <w:lang w:val="sr-Latn-BA"/>
        </w:rPr>
        <w:t xml:space="preserve"> </w:t>
      </w:r>
      <w:r>
        <w:rPr>
          <w:rFonts w:ascii="Times New Roman" w:hAnsi="Times New Roman"/>
          <w:lang w:val="sr-Latn-BA"/>
        </w:rPr>
        <w:t>одговорност</w:t>
      </w:r>
      <w:r w:rsidR="00384CAD">
        <w:rPr>
          <w:rFonts w:ascii="Times New Roman" w:hAnsi="Times New Roman"/>
          <w:lang w:val="sr-Latn-BA"/>
        </w:rPr>
        <w:t xml:space="preserve"> </w:t>
      </w:r>
      <w:r>
        <w:rPr>
          <w:rFonts w:ascii="Times New Roman" w:hAnsi="Times New Roman"/>
          <w:lang w:val="sr-Latn-BA"/>
        </w:rPr>
        <w:t>и</w:t>
      </w:r>
      <w:r w:rsidR="00384CAD">
        <w:rPr>
          <w:rFonts w:ascii="Times New Roman" w:hAnsi="Times New Roman"/>
          <w:lang w:val="sr-Latn-BA"/>
        </w:rPr>
        <w:t xml:space="preserve"> </w:t>
      </w:r>
      <w:r>
        <w:rPr>
          <w:rFonts w:ascii="Times New Roman" w:hAnsi="Times New Roman"/>
          <w:lang w:val="sr-Latn-BA"/>
        </w:rPr>
        <w:t>обавеза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Приједору</w:t>
      </w:r>
      <w:r w:rsidR="00404BE5" w:rsidRPr="00295637">
        <w:rPr>
          <w:rFonts w:ascii="Times New Roman" w:hAnsi="Times New Roman"/>
          <w:lang w:val="sr-Latn-BA"/>
        </w:rPr>
        <w:t>;</w:t>
      </w:r>
    </w:p>
    <w:p w:rsidR="00404BE5" w:rsidRPr="00295637" w:rsidRDefault="00A054E6" w:rsidP="0086268D">
      <w:pPr>
        <w:pStyle w:val="ListParagraph"/>
        <w:numPr>
          <w:ilvl w:val="0"/>
          <w:numId w:val="24"/>
        </w:numPr>
        <w:jc w:val="both"/>
        <w:rPr>
          <w:rFonts w:ascii="Times New Roman" w:hAnsi="Times New Roman"/>
          <w:lang w:val="sr-Latn-BA"/>
        </w:rPr>
      </w:pPr>
      <w:r>
        <w:rPr>
          <w:rFonts w:ascii="Times New Roman" w:hAnsi="Times New Roman"/>
          <w:lang w:val="sr-Cyrl-BA"/>
        </w:rPr>
        <w:t>Сп</w:t>
      </w:r>
      <w:r w:rsidR="00C6214E">
        <w:rPr>
          <w:rFonts w:ascii="Times New Roman" w:hAnsi="Times New Roman"/>
          <w:lang w:val="sr-Latn-BA"/>
        </w:rPr>
        <w:t>роведена</w:t>
      </w:r>
      <w:r w:rsidR="00404BE5" w:rsidRPr="00295637">
        <w:rPr>
          <w:rFonts w:ascii="Times New Roman" w:hAnsi="Times New Roman"/>
          <w:lang w:val="sr-Latn-BA"/>
        </w:rPr>
        <w:t xml:space="preserve"> </w:t>
      </w:r>
      <w:r w:rsidR="00C6214E">
        <w:rPr>
          <w:rFonts w:ascii="Times New Roman" w:hAnsi="Times New Roman"/>
          <w:lang w:val="sr-Latn-BA"/>
        </w:rPr>
        <w:t>едукација</w:t>
      </w:r>
      <w:r w:rsidR="00404BE5" w:rsidRPr="00295637">
        <w:rPr>
          <w:rFonts w:ascii="Times New Roman" w:hAnsi="Times New Roman"/>
          <w:lang w:val="sr-Latn-BA"/>
        </w:rPr>
        <w:t xml:space="preserve"> </w:t>
      </w:r>
      <w:r w:rsidR="00C6214E">
        <w:rPr>
          <w:rFonts w:ascii="Times New Roman" w:hAnsi="Times New Roman"/>
          <w:lang w:val="sr-Latn-BA"/>
        </w:rPr>
        <w:t>учесника</w:t>
      </w:r>
      <w:r w:rsidR="00404BE5" w:rsidRPr="00295637">
        <w:rPr>
          <w:rFonts w:ascii="Times New Roman" w:hAnsi="Times New Roman"/>
          <w:lang w:val="sr-Latn-BA"/>
        </w:rPr>
        <w:t xml:space="preserve"> </w:t>
      </w:r>
      <w:r w:rsidR="00C6214E">
        <w:rPr>
          <w:rFonts w:ascii="Times New Roman" w:hAnsi="Times New Roman"/>
          <w:lang w:val="sr-Latn-BA"/>
        </w:rPr>
        <w:t>у</w:t>
      </w:r>
      <w:r w:rsidR="00404BE5" w:rsidRPr="00295637">
        <w:rPr>
          <w:rFonts w:ascii="Times New Roman" w:hAnsi="Times New Roman"/>
          <w:lang w:val="sr-Latn-BA"/>
        </w:rPr>
        <w:t xml:space="preserve"> </w:t>
      </w:r>
      <w:r w:rsidR="00C6214E">
        <w:rPr>
          <w:rFonts w:ascii="Times New Roman" w:hAnsi="Times New Roman"/>
          <w:lang w:val="sr-Latn-BA"/>
        </w:rPr>
        <w:t>поступању</w:t>
      </w:r>
      <w:r w:rsidR="00404BE5" w:rsidRPr="00295637">
        <w:rPr>
          <w:rFonts w:ascii="Times New Roman" w:hAnsi="Times New Roman"/>
          <w:lang w:val="sr-Latn-BA"/>
        </w:rPr>
        <w:t xml:space="preserve"> </w:t>
      </w:r>
      <w:r w:rsidR="00C6214E">
        <w:rPr>
          <w:rFonts w:ascii="Times New Roman" w:hAnsi="Times New Roman"/>
          <w:lang w:val="sr-Latn-BA"/>
        </w:rPr>
        <w:t>у</w:t>
      </w:r>
      <w:r w:rsidR="00404BE5" w:rsidRPr="00295637">
        <w:rPr>
          <w:rFonts w:ascii="Times New Roman" w:hAnsi="Times New Roman"/>
          <w:lang w:val="sr-Latn-BA"/>
        </w:rPr>
        <w:t xml:space="preserve"> </w:t>
      </w:r>
      <w:r w:rsidR="00C6214E">
        <w:rPr>
          <w:rFonts w:ascii="Times New Roman" w:hAnsi="Times New Roman"/>
          <w:lang w:val="sr-Latn-BA"/>
        </w:rPr>
        <w:t>случајевима</w:t>
      </w:r>
      <w:r w:rsidR="00404BE5" w:rsidRPr="00295637">
        <w:rPr>
          <w:rFonts w:ascii="Times New Roman" w:hAnsi="Times New Roman"/>
          <w:lang w:val="sr-Latn-BA"/>
        </w:rPr>
        <w:t xml:space="preserve"> </w:t>
      </w:r>
      <w:r w:rsidR="00C6214E">
        <w:rPr>
          <w:rFonts w:ascii="Times New Roman" w:hAnsi="Times New Roman"/>
          <w:lang w:val="sr-Latn-BA"/>
        </w:rPr>
        <w:t>насиља</w:t>
      </w:r>
      <w:r w:rsidR="00404BE5" w:rsidRPr="00295637">
        <w:rPr>
          <w:rFonts w:ascii="Times New Roman" w:hAnsi="Times New Roman"/>
          <w:lang w:val="sr-Latn-BA"/>
        </w:rPr>
        <w:t xml:space="preserve"> </w:t>
      </w:r>
      <w:r w:rsidR="00C6214E">
        <w:rPr>
          <w:rFonts w:ascii="Times New Roman" w:hAnsi="Times New Roman"/>
          <w:lang w:val="sr-Latn-BA"/>
        </w:rPr>
        <w:t>у</w:t>
      </w:r>
      <w:r w:rsidR="00404BE5" w:rsidRPr="00295637">
        <w:rPr>
          <w:rFonts w:ascii="Times New Roman" w:hAnsi="Times New Roman"/>
          <w:lang w:val="sr-Latn-BA"/>
        </w:rPr>
        <w:t xml:space="preserve"> </w:t>
      </w:r>
      <w:r w:rsidR="00C6214E">
        <w:rPr>
          <w:rFonts w:ascii="Times New Roman" w:hAnsi="Times New Roman"/>
          <w:lang w:val="sr-Latn-BA"/>
        </w:rPr>
        <w:t>породици</w:t>
      </w:r>
      <w:r w:rsidR="00404BE5" w:rsidRPr="00295637">
        <w:rPr>
          <w:rFonts w:ascii="Times New Roman" w:hAnsi="Times New Roman"/>
          <w:lang w:val="sr-Latn-BA"/>
        </w:rPr>
        <w:t xml:space="preserve"> </w:t>
      </w:r>
      <w:r w:rsidR="00C6214E">
        <w:rPr>
          <w:rFonts w:ascii="Times New Roman" w:hAnsi="Times New Roman"/>
          <w:lang w:val="sr-Latn-BA"/>
        </w:rPr>
        <w:t>и</w:t>
      </w:r>
      <w:r w:rsidR="00404BE5" w:rsidRPr="00295637">
        <w:rPr>
          <w:rFonts w:ascii="Times New Roman" w:hAnsi="Times New Roman"/>
          <w:lang w:val="sr-Latn-BA"/>
        </w:rPr>
        <w:t xml:space="preserve"> </w:t>
      </w:r>
      <w:r w:rsidR="00C6214E">
        <w:rPr>
          <w:rFonts w:ascii="Times New Roman" w:hAnsi="Times New Roman"/>
          <w:lang w:val="sr-Latn-BA"/>
        </w:rPr>
        <w:t>насиља</w:t>
      </w:r>
      <w:r w:rsidR="00050016">
        <w:rPr>
          <w:rFonts w:ascii="Times New Roman" w:hAnsi="Times New Roman"/>
          <w:lang w:val="sr-Latn-BA"/>
        </w:rPr>
        <w:t xml:space="preserve"> </w:t>
      </w:r>
      <w:r w:rsidR="00C6214E">
        <w:rPr>
          <w:rFonts w:ascii="Times New Roman" w:hAnsi="Times New Roman"/>
          <w:lang w:val="sr-Latn-BA"/>
        </w:rPr>
        <w:t>над</w:t>
      </w:r>
      <w:r w:rsidR="00050016">
        <w:rPr>
          <w:rFonts w:ascii="Times New Roman" w:hAnsi="Times New Roman"/>
          <w:lang w:val="sr-Latn-BA"/>
        </w:rPr>
        <w:t xml:space="preserve"> </w:t>
      </w:r>
      <w:r w:rsidR="00C6214E">
        <w:rPr>
          <w:rFonts w:ascii="Times New Roman" w:hAnsi="Times New Roman"/>
          <w:lang w:val="sr-Latn-BA"/>
        </w:rPr>
        <w:t>женама</w:t>
      </w:r>
      <w:r w:rsidR="00050016">
        <w:rPr>
          <w:rFonts w:ascii="Times New Roman" w:hAnsi="Times New Roman"/>
          <w:lang w:val="sr-Latn-BA"/>
        </w:rPr>
        <w:t xml:space="preserve"> </w:t>
      </w:r>
      <w:r w:rsidR="00C6214E">
        <w:rPr>
          <w:rFonts w:ascii="Times New Roman" w:hAnsi="Times New Roman"/>
          <w:lang w:val="sr-Latn-BA"/>
        </w:rPr>
        <w:t>у</w:t>
      </w:r>
      <w:r w:rsidR="00050016">
        <w:rPr>
          <w:rFonts w:ascii="Times New Roman" w:hAnsi="Times New Roman"/>
          <w:lang w:val="sr-Latn-BA"/>
        </w:rPr>
        <w:t xml:space="preserve"> </w:t>
      </w:r>
      <w:r w:rsidR="00C6214E">
        <w:rPr>
          <w:rFonts w:ascii="Times New Roman" w:hAnsi="Times New Roman"/>
          <w:lang w:val="sr-Latn-BA"/>
        </w:rPr>
        <w:t>Бањој</w:t>
      </w:r>
      <w:r w:rsidR="00050016">
        <w:rPr>
          <w:rFonts w:ascii="Times New Roman" w:hAnsi="Times New Roman"/>
          <w:lang w:val="sr-Latn-BA"/>
        </w:rPr>
        <w:t xml:space="preserve"> </w:t>
      </w:r>
      <w:r w:rsidR="00C6214E">
        <w:rPr>
          <w:rFonts w:ascii="Times New Roman" w:hAnsi="Times New Roman"/>
          <w:lang w:val="sr-Latn-BA"/>
        </w:rPr>
        <w:t>Луци</w:t>
      </w:r>
      <w:r w:rsidR="00050016">
        <w:rPr>
          <w:rFonts w:ascii="Times New Roman" w:hAnsi="Times New Roman"/>
          <w:lang w:val="sr-Latn-BA"/>
        </w:rPr>
        <w:t xml:space="preserve"> -</w:t>
      </w:r>
      <w:r w:rsidR="00404BE5" w:rsidRPr="00295637">
        <w:rPr>
          <w:rFonts w:ascii="Times New Roman" w:hAnsi="Times New Roman"/>
          <w:lang w:val="sr-Latn-BA"/>
        </w:rPr>
        <w:t xml:space="preserve"> </w:t>
      </w:r>
      <w:r w:rsidR="00C6214E">
        <w:rPr>
          <w:rFonts w:ascii="Times New Roman" w:hAnsi="Times New Roman"/>
          <w:lang w:val="sr-Latn-BA"/>
        </w:rPr>
        <w:t>реализ</w:t>
      </w:r>
      <w:r>
        <w:rPr>
          <w:rFonts w:ascii="Times New Roman" w:hAnsi="Times New Roman"/>
          <w:lang w:val="sr-Cyrl-BA"/>
        </w:rPr>
        <w:t>оване</w:t>
      </w:r>
      <w:r w:rsidR="00404BE5" w:rsidRPr="00295637">
        <w:rPr>
          <w:rFonts w:ascii="Times New Roman" w:hAnsi="Times New Roman"/>
          <w:lang w:val="sr-Latn-BA"/>
        </w:rPr>
        <w:t xml:space="preserve"> </w:t>
      </w:r>
      <w:r w:rsidR="00C6214E">
        <w:rPr>
          <w:rFonts w:ascii="Times New Roman" w:hAnsi="Times New Roman"/>
          <w:lang w:val="sr-Latn-BA"/>
        </w:rPr>
        <w:t>обуке</w:t>
      </w:r>
      <w:r w:rsidR="00404BE5" w:rsidRPr="00295637">
        <w:rPr>
          <w:rFonts w:ascii="Times New Roman" w:hAnsi="Times New Roman"/>
          <w:lang w:val="sr-Latn-BA"/>
        </w:rPr>
        <w:t>: „</w:t>
      </w:r>
      <w:r w:rsidR="00C6214E">
        <w:rPr>
          <w:rFonts w:ascii="Times New Roman" w:hAnsi="Times New Roman"/>
          <w:lang w:val="sr-Latn-BA"/>
        </w:rPr>
        <w:t>Унапређење</w:t>
      </w:r>
      <w:r w:rsidR="00384CAD">
        <w:rPr>
          <w:rFonts w:ascii="Times New Roman" w:hAnsi="Times New Roman"/>
          <w:lang w:val="sr-Latn-BA"/>
        </w:rPr>
        <w:t xml:space="preserve"> </w:t>
      </w:r>
      <w:r w:rsidR="00C6214E">
        <w:rPr>
          <w:rFonts w:ascii="Times New Roman" w:hAnsi="Times New Roman"/>
          <w:lang w:val="sr-Latn-BA"/>
        </w:rPr>
        <w:t>правне</w:t>
      </w:r>
      <w:r w:rsidR="00384CAD">
        <w:rPr>
          <w:rFonts w:ascii="Times New Roman" w:hAnsi="Times New Roman"/>
          <w:lang w:val="sr-Latn-BA"/>
        </w:rPr>
        <w:t xml:space="preserve"> </w:t>
      </w:r>
      <w:r w:rsidR="00C6214E">
        <w:rPr>
          <w:rFonts w:ascii="Times New Roman" w:hAnsi="Times New Roman"/>
          <w:lang w:val="sr-Latn-BA"/>
        </w:rPr>
        <w:t>и</w:t>
      </w:r>
      <w:r w:rsidR="00384CAD">
        <w:rPr>
          <w:rFonts w:ascii="Times New Roman" w:hAnsi="Times New Roman"/>
          <w:lang w:val="sr-Latn-BA"/>
        </w:rPr>
        <w:t xml:space="preserve"> </w:t>
      </w:r>
      <w:r w:rsidR="00C6214E">
        <w:rPr>
          <w:rFonts w:ascii="Times New Roman" w:hAnsi="Times New Roman"/>
          <w:lang w:val="sr-Latn-BA"/>
        </w:rPr>
        <w:t>друштвене</w:t>
      </w:r>
      <w:r w:rsidR="00404BE5" w:rsidRPr="00295637">
        <w:rPr>
          <w:rFonts w:ascii="Times New Roman" w:hAnsi="Times New Roman"/>
          <w:lang w:val="sr-Latn-BA"/>
        </w:rPr>
        <w:t xml:space="preserve"> </w:t>
      </w:r>
      <w:r w:rsidR="00C6214E">
        <w:rPr>
          <w:rFonts w:ascii="Times New Roman" w:hAnsi="Times New Roman"/>
          <w:lang w:val="sr-Latn-BA"/>
        </w:rPr>
        <w:t>матрице</w:t>
      </w:r>
      <w:r w:rsidR="00404BE5" w:rsidRPr="00295637">
        <w:rPr>
          <w:rFonts w:ascii="Times New Roman" w:hAnsi="Times New Roman"/>
          <w:lang w:val="sr-Latn-BA"/>
        </w:rPr>
        <w:t xml:space="preserve"> </w:t>
      </w:r>
      <w:r w:rsidR="00C6214E">
        <w:rPr>
          <w:rFonts w:ascii="Times New Roman" w:hAnsi="Times New Roman"/>
          <w:lang w:val="sr-Latn-BA"/>
        </w:rPr>
        <w:t>за</w:t>
      </w:r>
      <w:r w:rsidR="00404BE5" w:rsidRPr="00295637">
        <w:rPr>
          <w:rFonts w:ascii="Times New Roman" w:hAnsi="Times New Roman"/>
          <w:lang w:val="sr-Latn-BA"/>
        </w:rPr>
        <w:t xml:space="preserve"> </w:t>
      </w:r>
      <w:r w:rsidR="00C6214E">
        <w:rPr>
          <w:rFonts w:ascii="Times New Roman" w:hAnsi="Times New Roman"/>
          <w:lang w:val="sr-Latn-BA"/>
        </w:rPr>
        <w:t>спречавање</w:t>
      </w:r>
      <w:r w:rsidR="00404BE5" w:rsidRPr="00295637">
        <w:rPr>
          <w:rFonts w:ascii="Times New Roman" w:hAnsi="Times New Roman"/>
          <w:lang w:val="sr-Latn-BA"/>
        </w:rPr>
        <w:t xml:space="preserve"> </w:t>
      </w:r>
      <w:r w:rsidR="00C6214E">
        <w:rPr>
          <w:rFonts w:ascii="Times New Roman" w:hAnsi="Times New Roman"/>
          <w:lang w:val="sr-Latn-BA"/>
        </w:rPr>
        <w:t>фемицида</w:t>
      </w:r>
      <w:r w:rsidR="00404BE5" w:rsidRPr="00295637">
        <w:rPr>
          <w:rFonts w:ascii="Times New Roman" w:hAnsi="Times New Roman"/>
          <w:lang w:val="sr-Latn-BA"/>
        </w:rPr>
        <w:t xml:space="preserve"> </w:t>
      </w:r>
      <w:r w:rsidR="00C6214E">
        <w:rPr>
          <w:rFonts w:ascii="Times New Roman" w:hAnsi="Times New Roman"/>
          <w:lang w:val="sr-Latn-BA"/>
        </w:rPr>
        <w:t>и</w:t>
      </w:r>
      <w:r w:rsidR="00404BE5" w:rsidRPr="00295637">
        <w:rPr>
          <w:rFonts w:ascii="Times New Roman" w:hAnsi="Times New Roman"/>
          <w:lang w:val="sr-Latn-BA"/>
        </w:rPr>
        <w:t xml:space="preserve"> </w:t>
      </w:r>
      <w:r w:rsidR="00C6214E">
        <w:rPr>
          <w:rFonts w:ascii="Times New Roman" w:hAnsi="Times New Roman"/>
          <w:lang w:val="sr-Latn-BA"/>
        </w:rPr>
        <w:t>родно</w:t>
      </w:r>
      <w:r w:rsidR="00404BE5" w:rsidRPr="00295637">
        <w:rPr>
          <w:rFonts w:ascii="Times New Roman" w:hAnsi="Times New Roman"/>
          <w:lang w:val="sr-Latn-BA"/>
        </w:rPr>
        <w:t xml:space="preserve"> </w:t>
      </w:r>
      <w:r w:rsidR="00C6214E">
        <w:rPr>
          <w:rFonts w:ascii="Times New Roman" w:hAnsi="Times New Roman"/>
          <w:lang w:val="sr-Latn-BA"/>
        </w:rPr>
        <w:t>заснованог</w:t>
      </w:r>
      <w:r w:rsidR="00404BE5" w:rsidRPr="00295637">
        <w:rPr>
          <w:rFonts w:ascii="Times New Roman" w:hAnsi="Times New Roman"/>
          <w:lang w:val="sr-Latn-BA"/>
        </w:rPr>
        <w:t xml:space="preserve"> </w:t>
      </w:r>
      <w:r w:rsidR="00C6214E">
        <w:rPr>
          <w:rFonts w:ascii="Times New Roman" w:hAnsi="Times New Roman"/>
          <w:lang w:val="sr-Latn-BA"/>
        </w:rPr>
        <w:t>насиља</w:t>
      </w:r>
      <w:r w:rsidR="00404BE5" w:rsidRPr="00295637">
        <w:rPr>
          <w:rFonts w:ascii="Times New Roman" w:hAnsi="Times New Roman"/>
          <w:lang w:val="sr-Latn-BA"/>
        </w:rPr>
        <w:t xml:space="preserve"> </w:t>
      </w:r>
      <w:r w:rsidR="00C6214E">
        <w:rPr>
          <w:rFonts w:ascii="Times New Roman" w:hAnsi="Times New Roman"/>
          <w:lang w:val="sr-Latn-BA"/>
        </w:rPr>
        <w:t>у</w:t>
      </w:r>
      <w:r w:rsidR="00404BE5" w:rsidRPr="00295637">
        <w:rPr>
          <w:rFonts w:ascii="Times New Roman" w:hAnsi="Times New Roman"/>
          <w:lang w:val="sr-Latn-BA"/>
        </w:rPr>
        <w:t xml:space="preserve"> </w:t>
      </w:r>
      <w:r w:rsidR="00C6214E">
        <w:rPr>
          <w:rFonts w:ascii="Times New Roman" w:hAnsi="Times New Roman"/>
          <w:lang w:val="sr-Latn-BA"/>
        </w:rPr>
        <w:t>БиХ</w:t>
      </w:r>
      <w:r w:rsidR="00404BE5" w:rsidRPr="00295637">
        <w:rPr>
          <w:rFonts w:ascii="Times New Roman" w:hAnsi="Times New Roman"/>
          <w:lang w:val="sr-Latn-BA"/>
        </w:rPr>
        <w:t>“; „</w:t>
      </w:r>
      <w:r w:rsidR="00C6214E">
        <w:rPr>
          <w:rFonts w:ascii="Times New Roman" w:hAnsi="Times New Roman"/>
          <w:lang w:val="sr-Latn-BA"/>
        </w:rPr>
        <w:t>Оснаживање</w:t>
      </w:r>
      <w:r w:rsidR="00404BE5" w:rsidRPr="00295637">
        <w:rPr>
          <w:rFonts w:ascii="Times New Roman" w:hAnsi="Times New Roman"/>
          <w:lang w:val="sr-Latn-BA"/>
        </w:rPr>
        <w:t xml:space="preserve"> </w:t>
      </w:r>
      <w:r w:rsidR="00C6214E">
        <w:rPr>
          <w:rFonts w:ascii="Times New Roman" w:hAnsi="Times New Roman"/>
          <w:lang w:val="sr-Latn-BA"/>
        </w:rPr>
        <w:t>жена</w:t>
      </w:r>
      <w:r w:rsidR="00404BE5" w:rsidRPr="00295637">
        <w:rPr>
          <w:rFonts w:ascii="Times New Roman" w:hAnsi="Times New Roman"/>
          <w:lang w:val="sr-Latn-BA"/>
        </w:rPr>
        <w:t xml:space="preserve"> </w:t>
      </w:r>
      <w:r w:rsidR="00C6214E">
        <w:rPr>
          <w:rFonts w:ascii="Times New Roman" w:hAnsi="Times New Roman"/>
          <w:lang w:val="sr-Latn-BA"/>
        </w:rPr>
        <w:t>и</w:t>
      </w:r>
      <w:r w:rsidR="00404BE5" w:rsidRPr="00295637">
        <w:rPr>
          <w:rFonts w:ascii="Times New Roman" w:hAnsi="Times New Roman"/>
          <w:lang w:val="sr-Latn-BA"/>
        </w:rPr>
        <w:t xml:space="preserve"> </w:t>
      </w:r>
      <w:r w:rsidR="00C6214E">
        <w:rPr>
          <w:rFonts w:ascii="Times New Roman" w:hAnsi="Times New Roman"/>
          <w:lang w:val="sr-Latn-BA"/>
        </w:rPr>
        <w:t>дјевојчица</w:t>
      </w:r>
      <w:r w:rsidR="00404BE5" w:rsidRPr="00295637">
        <w:rPr>
          <w:rFonts w:ascii="Times New Roman" w:hAnsi="Times New Roman"/>
          <w:lang w:val="sr-Latn-BA"/>
        </w:rPr>
        <w:t xml:space="preserve"> </w:t>
      </w:r>
      <w:r w:rsidR="00C6214E">
        <w:rPr>
          <w:rFonts w:ascii="Times New Roman" w:hAnsi="Times New Roman"/>
          <w:lang w:val="sr-Latn-BA"/>
        </w:rPr>
        <w:t>за</w:t>
      </w:r>
      <w:r w:rsidR="00404BE5" w:rsidRPr="00295637">
        <w:rPr>
          <w:rFonts w:ascii="Times New Roman" w:hAnsi="Times New Roman"/>
          <w:lang w:val="sr-Latn-BA"/>
        </w:rPr>
        <w:t xml:space="preserve"> </w:t>
      </w:r>
      <w:r w:rsidR="00C6214E">
        <w:rPr>
          <w:rFonts w:ascii="Times New Roman" w:hAnsi="Times New Roman"/>
          <w:lang w:val="sr-Latn-BA"/>
        </w:rPr>
        <w:t>приступ</w:t>
      </w:r>
      <w:r w:rsidR="00404BE5" w:rsidRPr="00295637">
        <w:rPr>
          <w:rFonts w:ascii="Times New Roman" w:hAnsi="Times New Roman"/>
          <w:lang w:val="sr-Latn-BA"/>
        </w:rPr>
        <w:t xml:space="preserve"> </w:t>
      </w:r>
      <w:r w:rsidR="00C6214E">
        <w:rPr>
          <w:rFonts w:ascii="Times New Roman" w:hAnsi="Times New Roman"/>
          <w:lang w:val="sr-Latn-BA"/>
        </w:rPr>
        <w:t>правима</w:t>
      </w:r>
      <w:r w:rsidR="00404BE5" w:rsidRPr="00295637">
        <w:rPr>
          <w:rFonts w:ascii="Times New Roman" w:hAnsi="Times New Roman"/>
          <w:lang w:val="sr-Latn-BA"/>
        </w:rPr>
        <w:t>“; „</w:t>
      </w:r>
      <w:r w:rsidR="00C6214E">
        <w:rPr>
          <w:rFonts w:ascii="Times New Roman" w:hAnsi="Times New Roman"/>
          <w:lang w:val="sr-Latn-BA"/>
        </w:rPr>
        <w:t>Поступање</w:t>
      </w:r>
      <w:r w:rsidR="00404BE5" w:rsidRPr="00295637">
        <w:rPr>
          <w:rFonts w:ascii="Times New Roman" w:hAnsi="Times New Roman"/>
          <w:lang w:val="sr-Latn-BA"/>
        </w:rPr>
        <w:t xml:space="preserve"> </w:t>
      </w:r>
      <w:r w:rsidR="00C6214E">
        <w:rPr>
          <w:rFonts w:ascii="Times New Roman" w:hAnsi="Times New Roman"/>
          <w:lang w:val="sr-Latn-BA"/>
        </w:rPr>
        <w:t>у</w:t>
      </w:r>
      <w:r w:rsidR="00404BE5" w:rsidRPr="00295637">
        <w:rPr>
          <w:rFonts w:ascii="Times New Roman" w:hAnsi="Times New Roman"/>
          <w:lang w:val="sr-Latn-BA"/>
        </w:rPr>
        <w:t xml:space="preserve"> </w:t>
      </w:r>
      <w:r w:rsidR="00C6214E">
        <w:rPr>
          <w:rFonts w:ascii="Times New Roman" w:hAnsi="Times New Roman"/>
          <w:lang w:val="sr-Latn-BA"/>
        </w:rPr>
        <w:t>случајевима</w:t>
      </w:r>
      <w:r w:rsidR="00404BE5" w:rsidRPr="00295637">
        <w:rPr>
          <w:rFonts w:ascii="Times New Roman" w:hAnsi="Times New Roman"/>
          <w:lang w:val="sr-Latn-BA"/>
        </w:rPr>
        <w:t xml:space="preserve"> </w:t>
      </w:r>
      <w:r w:rsidR="00C6214E">
        <w:rPr>
          <w:rFonts w:ascii="Times New Roman" w:hAnsi="Times New Roman"/>
          <w:lang w:val="sr-Latn-BA"/>
        </w:rPr>
        <w:t>насиља</w:t>
      </w:r>
      <w:r w:rsidR="00404BE5" w:rsidRPr="00295637">
        <w:rPr>
          <w:rFonts w:ascii="Times New Roman" w:hAnsi="Times New Roman"/>
          <w:lang w:val="sr-Latn-BA"/>
        </w:rPr>
        <w:t xml:space="preserve"> </w:t>
      </w:r>
      <w:r w:rsidR="00C6214E">
        <w:rPr>
          <w:rFonts w:ascii="Times New Roman" w:hAnsi="Times New Roman"/>
          <w:lang w:val="sr-Latn-BA"/>
        </w:rPr>
        <w:t>у</w:t>
      </w:r>
      <w:r w:rsidR="00404BE5" w:rsidRPr="00295637">
        <w:rPr>
          <w:rFonts w:ascii="Times New Roman" w:hAnsi="Times New Roman"/>
          <w:lang w:val="sr-Latn-BA"/>
        </w:rPr>
        <w:t xml:space="preserve"> </w:t>
      </w:r>
      <w:r w:rsidR="00C6214E">
        <w:rPr>
          <w:rFonts w:ascii="Times New Roman" w:hAnsi="Times New Roman"/>
          <w:lang w:val="sr-Latn-BA"/>
        </w:rPr>
        <w:t>породици</w:t>
      </w:r>
      <w:r w:rsidR="00404BE5" w:rsidRPr="00295637">
        <w:rPr>
          <w:rFonts w:ascii="Times New Roman" w:hAnsi="Times New Roman"/>
          <w:lang w:val="sr-Latn-BA"/>
        </w:rPr>
        <w:t xml:space="preserve">“; </w:t>
      </w:r>
      <w:r w:rsidR="00C6214E">
        <w:rPr>
          <w:rFonts w:ascii="Times New Roman" w:hAnsi="Times New Roman"/>
          <w:lang w:val="sr-Latn-BA"/>
        </w:rPr>
        <w:t>обука</w:t>
      </w:r>
      <w:r w:rsidR="00404BE5" w:rsidRPr="00295637">
        <w:rPr>
          <w:rFonts w:ascii="Times New Roman" w:hAnsi="Times New Roman"/>
          <w:lang w:val="sr-Latn-BA"/>
        </w:rPr>
        <w:t xml:space="preserve"> </w:t>
      </w:r>
      <w:r w:rsidR="00C6214E">
        <w:rPr>
          <w:rFonts w:ascii="Times New Roman" w:hAnsi="Times New Roman"/>
          <w:lang w:val="sr-Latn-BA"/>
        </w:rPr>
        <w:t>о</w:t>
      </w:r>
      <w:r w:rsidR="00404BE5" w:rsidRPr="00295637">
        <w:rPr>
          <w:rFonts w:ascii="Times New Roman" w:hAnsi="Times New Roman"/>
          <w:lang w:val="sr-Latn-BA"/>
        </w:rPr>
        <w:t xml:space="preserve"> </w:t>
      </w:r>
      <w:r w:rsidR="00C6214E">
        <w:rPr>
          <w:rFonts w:ascii="Times New Roman" w:hAnsi="Times New Roman"/>
          <w:lang w:val="sr-Latn-BA"/>
        </w:rPr>
        <w:t>поступању</w:t>
      </w:r>
      <w:r w:rsidR="00404BE5" w:rsidRPr="00295637">
        <w:rPr>
          <w:rFonts w:ascii="Times New Roman" w:hAnsi="Times New Roman"/>
          <w:lang w:val="sr-Latn-BA"/>
        </w:rPr>
        <w:t xml:space="preserve"> </w:t>
      </w:r>
      <w:r w:rsidR="00C6214E">
        <w:rPr>
          <w:rFonts w:ascii="Times New Roman" w:hAnsi="Times New Roman"/>
          <w:lang w:val="sr-Latn-BA"/>
        </w:rPr>
        <w:t>полицијских</w:t>
      </w:r>
      <w:r w:rsidR="00404BE5" w:rsidRPr="00295637">
        <w:rPr>
          <w:rFonts w:ascii="Times New Roman" w:hAnsi="Times New Roman"/>
          <w:lang w:val="sr-Latn-BA"/>
        </w:rPr>
        <w:t xml:space="preserve"> </w:t>
      </w:r>
      <w:r w:rsidR="00C6214E">
        <w:rPr>
          <w:rFonts w:ascii="Times New Roman" w:hAnsi="Times New Roman"/>
          <w:lang w:val="sr-Latn-BA"/>
        </w:rPr>
        <w:t>службеника</w:t>
      </w:r>
      <w:r w:rsidR="00404BE5" w:rsidRPr="00295637">
        <w:rPr>
          <w:rFonts w:ascii="Times New Roman" w:hAnsi="Times New Roman"/>
          <w:lang w:val="sr-Latn-BA"/>
        </w:rPr>
        <w:t xml:space="preserve"> </w:t>
      </w:r>
      <w:r w:rsidR="00C6214E">
        <w:rPr>
          <w:rFonts w:ascii="Times New Roman" w:hAnsi="Times New Roman"/>
          <w:lang w:val="sr-Latn-BA"/>
        </w:rPr>
        <w:t>у</w:t>
      </w:r>
      <w:r w:rsidR="00404BE5" w:rsidRPr="00295637">
        <w:rPr>
          <w:rFonts w:ascii="Times New Roman" w:hAnsi="Times New Roman"/>
          <w:lang w:val="sr-Latn-BA"/>
        </w:rPr>
        <w:t xml:space="preserve"> </w:t>
      </w:r>
      <w:r w:rsidR="00C6214E">
        <w:rPr>
          <w:rFonts w:ascii="Times New Roman" w:hAnsi="Times New Roman"/>
          <w:lang w:val="sr-Latn-BA"/>
        </w:rPr>
        <w:t>случајевима</w:t>
      </w:r>
      <w:r w:rsidR="00404BE5" w:rsidRPr="00295637">
        <w:rPr>
          <w:rFonts w:ascii="Times New Roman" w:hAnsi="Times New Roman"/>
          <w:lang w:val="sr-Latn-BA"/>
        </w:rPr>
        <w:t xml:space="preserve"> </w:t>
      </w:r>
      <w:r w:rsidR="00C6214E">
        <w:rPr>
          <w:rFonts w:ascii="Times New Roman" w:hAnsi="Times New Roman"/>
          <w:lang w:val="sr-Latn-BA"/>
        </w:rPr>
        <w:t>насиља</w:t>
      </w:r>
      <w:r w:rsidR="00404BE5" w:rsidRPr="00295637">
        <w:rPr>
          <w:rFonts w:ascii="Times New Roman" w:hAnsi="Times New Roman"/>
          <w:lang w:val="sr-Latn-BA"/>
        </w:rPr>
        <w:t xml:space="preserve"> </w:t>
      </w:r>
      <w:r w:rsidR="00C6214E">
        <w:rPr>
          <w:rFonts w:ascii="Times New Roman" w:hAnsi="Times New Roman"/>
          <w:lang w:val="sr-Latn-BA"/>
        </w:rPr>
        <w:t>у</w:t>
      </w:r>
      <w:r w:rsidR="00404BE5" w:rsidRPr="00295637">
        <w:rPr>
          <w:rFonts w:ascii="Times New Roman" w:hAnsi="Times New Roman"/>
          <w:lang w:val="sr-Latn-BA"/>
        </w:rPr>
        <w:t xml:space="preserve"> </w:t>
      </w:r>
      <w:r w:rsidR="00C6214E">
        <w:rPr>
          <w:rFonts w:ascii="Times New Roman" w:hAnsi="Times New Roman"/>
          <w:lang w:val="sr-Latn-BA"/>
        </w:rPr>
        <w:t>породици</w:t>
      </w:r>
      <w:r w:rsidR="00404BE5" w:rsidRPr="00295637">
        <w:rPr>
          <w:rFonts w:ascii="Times New Roman" w:hAnsi="Times New Roman"/>
          <w:lang w:val="sr-Latn-BA"/>
        </w:rPr>
        <w:t>;</w:t>
      </w:r>
    </w:p>
    <w:p w:rsidR="00404BE5" w:rsidRPr="00295637" w:rsidRDefault="00C6214E" w:rsidP="0086268D">
      <w:pPr>
        <w:pStyle w:val="ListParagraph"/>
        <w:numPr>
          <w:ilvl w:val="0"/>
          <w:numId w:val="24"/>
        </w:numPr>
        <w:jc w:val="both"/>
        <w:rPr>
          <w:rFonts w:ascii="Times New Roman" w:hAnsi="Times New Roman"/>
          <w:lang w:val="sr-Latn-BA"/>
        </w:rPr>
      </w:pPr>
      <w:r>
        <w:rPr>
          <w:rFonts w:ascii="Times New Roman" w:hAnsi="Times New Roman"/>
          <w:lang w:val="sr-Latn-BA"/>
        </w:rPr>
        <w:t>Психолошко</w:t>
      </w:r>
      <w:r w:rsidR="00404BE5" w:rsidRPr="00295637">
        <w:rPr>
          <w:rFonts w:ascii="Times New Roman" w:hAnsi="Times New Roman"/>
          <w:lang w:val="sr-Latn-BA"/>
        </w:rPr>
        <w:t xml:space="preserve"> </w:t>
      </w:r>
      <w:r>
        <w:rPr>
          <w:rFonts w:ascii="Times New Roman" w:hAnsi="Times New Roman"/>
          <w:lang w:val="sr-Latn-BA"/>
        </w:rPr>
        <w:t>савјетовање</w:t>
      </w:r>
      <w:r w:rsidR="00404BE5" w:rsidRPr="00295637">
        <w:rPr>
          <w:rFonts w:ascii="Times New Roman" w:hAnsi="Times New Roman"/>
          <w:lang w:val="sr-Latn-BA"/>
        </w:rPr>
        <w:t xml:space="preserve"> </w:t>
      </w:r>
      <w:r>
        <w:rPr>
          <w:rFonts w:ascii="Times New Roman" w:hAnsi="Times New Roman"/>
          <w:lang w:val="sr-Latn-BA"/>
        </w:rPr>
        <w:t>дјеце</w:t>
      </w:r>
      <w:r w:rsidR="00404BE5" w:rsidRPr="00295637">
        <w:rPr>
          <w:rFonts w:ascii="Times New Roman" w:hAnsi="Times New Roman"/>
          <w:lang w:val="sr-Latn-BA"/>
        </w:rPr>
        <w:t xml:space="preserve"> </w:t>
      </w:r>
      <w:r>
        <w:rPr>
          <w:rFonts w:ascii="Times New Roman" w:hAnsi="Times New Roman"/>
          <w:lang w:val="sr-Latn-BA"/>
        </w:rPr>
        <w:t>која</w:t>
      </w:r>
      <w:r w:rsidR="00404BE5" w:rsidRPr="00295637">
        <w:rPr>
          <w:rFonts w:ascii="Times New Roman" w:hAnsi="Times New Roman"/>
          <w:lang w:val="sr-Latn-BA"/>
        </w:rPr>
        <w:t xml:space="preserve"> </w:t>
      </w:r>
      <w:r>
        <w:rPr>
          <w:rFonts w:ascii="Times New Roman" w:hAnsi="Times New Roman"/>
          <w:lang w:val="sr-Latn-BA"/>
        </w:rPr>
        <w:t>су</w:t>
      </w:r>
      <w:r w:rsidR="00404BE5" w:rsidRPr="00295637">
        <w:rPr>
          <w:rFonts w:ascii="Times New Roman" w:hAnsi="Times New Roman"/>
          <w:lang w:val="sr-Latn-BA"/>
        </w:rPr>
        <w:t xml:space="preserve"> </w:t>
      </w:r>
      <w:r>
        <w:rPr>
          <w:rFonts w:ascii="Times New Roman" w:hAnsi="Times New Roman"/>
          <w:lang w:val="sr-Latn-BA"/>
        </w:rPr>
        <w:t>свједоци</w:t>
      </w:r>
      <w:r w:rsidR="00404BE5" w:rsidRPr="00295637">
        <w:rPr>
          <w:rFonts w:ascii="Times New Roman" w:hAnsi="Times New Roman"/>
          <w:lang w:val="sr-Latn-BA"/>
        </w:rPr>
        <w:t xml:space="preserve"> </w:t>
      </w:r>
      <w:r>
        <w:rPr>
          <w:rFonts w:ascii="Times New Roman" w:hAnsi="Times New Roman"/>
          <w:lang w:val="sr-Latn-BA"/>
        </w:rPr>
        <w:t>насиља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Берковићима</w:t>
      </w:r>
      <w:r w:rsidR="00404BE5" w:rsidRPr="00295637">
        <w:rPr>
          <w:rFonts w:ascii="Times New Roman" w:hAnsi="Times New Roman"/>
          <w:lang w:val="sr-Latn-BA"/>
        </w:rPr>
        <w:t>;</w:t>
      </w:r>
    </w:p>
    <w:p w:rsidR="00404BE5" w:rsidRPr="00295637" w:rsidRDefault="00C6214E" w:rsidP="0086268D">
      <w:pPr>
        <w:pStyle w:val="ListParagraph"/>
        <w:numPr>
          <w:ilvl w:val="0"/>
          <w:numId w:val="24"/>
        </w:numPr>
        <w:jc w:val="both"/>
        <w:rPr>
          <w:rFonts w:ascii="Times New Roman" w:hAnsi="Times New Roman"/>
          <w:lang w:val="sr-Latn-BA"/>
        </w:rPr>
      </w:pPr>
      <w:r>
        <w:rPr>
          <w:rFonts w:ascii="Times New Roman" w:hAnsi="Times New Roman"/>
          <w:lang w:val="sr-Latn-BA"/>
        </w:rPr>
        <w:t>Рад</w:t>
      </w:r>
      <w:r w:rsidR="00404BE5" w:rsidRPr="00295637">
        <w:rPr>
          <w:rFonts w:ascii="Times New Roman" w:hAnsi="Times New Roman"/>
          <w:lang w:val="sr-Latn-BA"/>
        </w:rPr>
        <w:t xml:space="preserve"> </w:t>
      </w:r>
      <w:r>
        <w:rPr>
          <w:rFonts w:ascii="Times New Roman" w:hAnsi="Times New Roman"/>
          <w:lang w:val="sr-Latn-BA"/>
        </w:rPr>
        <w:t>мултидисциплинарног</w:t>
      </w:r>
      <w:r w:rsidR="00404BE5" w:rsidRPr="00295637">
        <w:rPr>
          <w:rFonts w:ascii="Times New Roman" w:hAnsi="Times New Roman"/>
          <w:lang w:val="sr-Latn-BA"/>
        </w:rPr>
        <w:t xml:space="preserve"> </w:t>
      </w:r>
      <w:r>
        <w:rPr>
          <w:rFonts w:ascii="Times New Roman" w:hAnsi="Times New Roman"/>
          <w:lang w:val="sr-Latn-BA"/>
        </w:rPr>
        <w:t>тима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Бањој</w:t>
      </w:r>
      <w:r w:rsidR="00404BE5" w:rsidRPr="00295637">
        <w:rPr>
          <w:rFonts w:ascii="Times New Roman" w:hAnsi="Times New Roman"/>
          <w:lang w:val="sr-Latn-BA"/>
        </w:rPr>
        <w:t xml:space="preserve"> </w:t>
      </w:r>
      <w:r>
        <w:rPr>
          <w:rFonts w:ascii="Times New Roman" w:hAnsi="Times New Roman"/>
          <w:lang w:val="sr-Latn-BA"/>
        </w:rPr>
        <w:t>Луци</w:t>
      </w:r>
      <w:r w:rsidR="00404BE5" w:rsidRPr="00295637">
        <w:rPr>
          <w:rFonts w:ascii="Times New Roman" w:hAnsi="Times New Roman"/>
          <w:lang w:val="sr-Latn-BA"/>
        </w:rPr>
        <w:t xml:space="preserve"> </w:t>
      </w:r>
      <w:r>
        <w:rPr>
          <w:rFonts w:ascii="Times New Roman" w:hAnsi="Times New Roman"/>
          <w:lang w:val="sr-Latn-BA"/>
        </w:rPr>
        <w:t>унапријеђен</w:t>
      </w:r>
      <w:r w:rsidR="00404BE5" w:rsidRPr="00295637">
        <w:rPr>
          <w:rFonts w:ascii="Times New Roman" w:hAnsi="Times New Roman"/>
          <w:lang w:val="sr-Latn-BA"/>
        </w:rPr>
        <w:t xml:space="preserve">: </w:t>
      </w:r>
      <w:r>
        <w:rPr>
          <w:rFonts w:ascii="Times New Roman" w:hAnsi="Times New Roman"/>
          <w:lang w:val="sr-Latn-BA"/>
        </w:rPr>
        <w:t>на</w:t>
      </w:r>
      <w:r w:rsidR="00404BE5" w:rsidRPr="00295637">
        <w:rPr>
          <w:rFonts w:ascii="Times New Roman" w:hAnsi="Times New Roman"/>
          <w:lang w:val="sr-Latn-BA"/>
        </w:rPr>
        <w:t xml:space="preserve"> </w:t>
      </w:r>
      <w:r>
        <w:rPr>
          <w:rFonts w:ascii="Times New Roman" w:hAnsi="Times New Roman"/>
          <w:lang w:val="sr-Latn-BA"/>
        </w:rPr>
        <w:t>нивоу</w:t>
      </w:r>
      <w:r w:rsidR="00404BE5" w:rsidRPr="00295637">
        <w:rPr>
          <w:rFonts w:ascii="Times New Roman" w:hAnsi="Times New Roman"/>
          <w:lang w:val="sr-Latn-BA"/>
        </w:rPr>
        <w:t xml:space="preserve"> </w:t>
      </w:r>
      <w:r>
        <w:rPr>
          <w:rFonts w:ascii="Times New Roman" w:hAnsi="Times New Roman"/>
          <w:lang w:val="sr-Latn-BA"/>
        </w:rPr>
        <w:t>ЈУ</w:t>
      </w:r>
      <w:r w:rsidR="00404BE5" w:rsidRPr="00295637">
        <w:rPr>
          <w:rFonts w:ascii="Times New Roman" w:hAnsi="Times New Roman"/>
          <w:lang w:val="sr-Latn-BA"/>
        </w:rPr>
        <w:t xml:space="preserve"> </w:t>
      </w:r>
      <w:r>
        <w:rPr>
          <w:rFonts w:ascii="Times New Roman" w:hAnsi="Times New Roman"/>
          <w:lang w:val="sr-Latn-BA"/>
        </w:rPr>
        <w:t>Центар</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социјални</w:t>
      </w:r>
      <w:r w:rsidR="00404BE5" w:rsidRPr="00295637">
        <w:rPr>
          <w:rFonts w:ascii="Times New Roman" w:hAnsi="Times New Roman"/>
          <w:lang w:val="sr-Latn-BA"/>
        </w:rPr>
        <w:t xml:space="preserve"> </w:t>
      </w:r>
      <w:r>
        <w:rPr>
          <w:rFonts w:ascii="Times New Roman" w:hAnsi="Times New Roman"/>
          <w:lang w:val="sr-Latn-BA"/>
        </w:rPr>
        <w:t>рад</w:t>
      </w:r>
      <w:r w:rsidR="00404BE5" w:rsidRPr="00295637">
        <w:rPr>
          <w:rFonts w:ascii="Times New Roman" w:hAnsi="Times New Roman"/>
          <w:lang w:val="sr-Latn-BA"/>
        </w:rPr>
        <w:t xml:space="preserve"> </w:t>
      </w:r>
      <w:r>
        <w:rPr>
          <w:rFonts w:ascii="Times New Roman" w:hAnsi="Times New Roman"/>
          <w:lang w:val="sr-Latn-BA"/>
        </w:rPr>
        <w:t>се</w:t>
      </w:r>
      <w:r w:rsidR="00404BE5" w:rsidRPr="00295637">
        <w:rPr>
          <w:rFonts w:ascii="Times New Roman" w:hAnsi="Times New Roman"/>
          <w:lang w:val="sr-Latn-BA"/>
        </w:rPr>
        <w:t xml:space="preserve"> </w:t>
      </w:r>
      <w:r>
        <w:rPr>
          <w:rFonts w:ascii="Times New Roman" w:hAnsi="Times New Roman"/>
          <w:lang w:val="sr-Latn-BA"/>
        </w:rPr>
        <w:t>одржавају</w:t>
      </w:r>
      <w:r w:rsidR="00404BE5" w:rsidRPr="00295637">
        <w:rPr>
          <w:rFonts w:ascii="Times New Roman" w:hAnsi="Times New Roman"/>
          <w:lang w:val="sr-Latn-BA"/>
        </w:rPr>
        <w:t xml:space="preserve"> </w:t>
      </w:r>
      <w:r>
        <w:rPr>
          <w:rFonts w:ascii="Times New Roman" w:hAnsi="Times New Roman"/>
          <w:lang w:val="sr-Latn-BA"/>
        </w:rPr>
        <w:t>састанци</w:t>
      </w:r>
      <w:r w:rsidR="00404BE5" w:rsidRPr="00295637">
        <w:rPr>
          <w:rFonts w:ascii="Times New Roman" w:hAnsi="Times New Roman"/>
          <w:lang w:val="sr-Latn-BA"/>
        </w:rPr>
        <w:t xml:space="preserve"> </w:t>
      </w:r>
      <w:r>
        <w:rPr>
          <w:rFonts w:ascii="Times New Roman" w:hAnsi="Times New Roman"/>
          <w:lang w:val="sr-Latn-BA"/>
        </w:rPr>
        <w:t>Тима</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приправност</w:t>
      </w:r>
      <w:r w:rsidR="00404BE5" w:rsidRPr="00295637">
        <w:rPr>
          <w:rFonts w:ascii="Times New Roman" w:hAnsi="Times New Roman"/>
          <w:lang w:val="sr-Latn-BA"/>
        </w:rPr>
        <w:t xml:space="preserve"> </w:t>
      </w:r>
      <w:r>
        <w:rPr>
          <w:rFonts w:ascii="Times New Roman" w:hAnsi="Times New Roman"/>
          <w:lang w:val="sr-Latn-BA"/>
        </w:rPr>
        <w:t>који</w:t>
      </w:r>
      <w:r w:rsidR="00404BE5" w:rsidRPr="00295637">
        <w:rPr>
          <w:rFonts w:ascii="Times New Roman" w:hAnsi="Times New Roman"/>
          <w:lang w:val="sr-Latn-BA"/>
        </w:rPr>
        <w:t xml:space="preserve"> </w:t>
      </w:r>
      <w:r>
        <w:rPr>
          <w:rFonts w:ascii="Times New Roman" w:hAnsi="Times New Roman"/>
          <w:lang w:val="sr-Latn-BA"/>
        </w:rPr>
        <w:t>поступа</w:t>
      </w:r>
      <w:r w:rsidR="00404BE5" w:rsidRPr="00295637">
        <w:rPr>
          <w:rFonts w:ascii="Times New Roman" w:hAnsi="Times New Roman"/>
          <w:lang w:val="sr-Latn-BA"/>
        </w:rPr>
        <w:t xml:space="preserve"> </w:t>
      </w:r>
      <w:r>
        <w:rPr>
          <w:rFonts w:ascii="Times New Roman" w:hAnsi="Times New Roman"/>
          <w:lang w:val="sr-Latn-BA"/>
        </w:rPr>
        <w:t>по</w:t>
      </w:r>
      <w:r w:rsidR="00404BE5" w:rsidRPr="00295637">
        <w:rPr>
          <w:rFonts w:ascii="Times New Roman" w:hAnsi="Times New Roman"/>
          <w:lang w:val="sr-Latn-BA"/>
        </w:rPr>
        <w:t xml:space="preserve"> </w:t>
      </w:r>
      <w:r>
        <w:rPr>
          <w:rFonts w:ascii="Times New Roman" w:hAnsi="Times New Roman"/>
          <w:lang w:val="sr-Latn-BA"/>
        </w:rPr>
        <w:t>пријави</w:t>
      </w:r>
      <w:r w:rsidR="00404BE5" w:rsidRPr="00295637">
        <w:rPr>
          <w:rFonts w:ascii="Times New Roman" w:hAnsi="Times New Roman"/>
          <w:lang w:val="sr-Latn-BA"/>
        </w:rPr>
        <w:t xml:space="preserve"> </w:t>
      </w:r>
      <w:r>
        <w:rPr>
          <w:rFonts w:ascii="Times New Roman" w:hAnsi="Times New Roman"/>
          <w:lang w:val="sr-Latn-BA"/>
        </w:rPr>
        <w:t>насиља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породици</w:t>
      </w:r>
      <w:r w:rsidR="00404BE5" w:rsidRPr="00295637">
        <w:rPr>
          <w:rFonts w:ascii="Times New Roman" w:hAnsi="Times New Roman"/>
          <w:lang w:val="sr-Latn-BA"/>
        </w:rPr>
        <w:t xml:space="preserve">. </w:t>
      </w:r>
      <w:r w:rsidR="00A054E6">
        <w:rPr>
          <w:rFonts w:ascii="Times New Roman" w:hAnsi="Times New Roman"/>
          <w:lang w:val="sr-Latn-BA"/>
        </w:rPr>
        <w:t>Такође</w:t>
      </w:r>
      <w:r w:rsidR="00404BE5" w:rsidRPr="00295637">
        <w:rPr>
          <w:rFonts w:ascii="Times New Roman" w:hAnsi="Times New Roman"/>
          <w:lang w:val="sr-Latn-BA"/>
        </w:rPr>
        <w:t xml:space="preserve">, </w:t>
      </w:r>
      <w:r>
        <w:rPr>
          <w:rFonts w:ascii="Times New Roman" w:hAnsi="Times New Roman"/>
          <w:lang w:val="sr-Latn-BA"/>
        </w:rPr>
        <w:t>на</w:t>
      </w:r>
      <w:r w:rsidR="00404BE5" w:rsidRPr="00295637">
        <w:rPr>
          <w:rFonts w:ascii="Times New Roman" w:hAnsi="Times New Roman"/>
          <w:lang w:val="sr-Latn-BA"/>
        </w:rPr>
        <w:t xml:space="preserve"> </w:t>
      </w:r>
      <w:r>
        <w:rPr>
          <w:rFonts w:ascii="Times New Roman" w:hAnsi="Times New Roman"/>
          <w:lang w:val="sr-Latn-BA"/>
        </w:rPr>
        <w:t>нивоу</w:t>
      </w:r>
      <w:r w:rsidR="00B63A7C">
        <w:rPr>
          <w:rFonts w:ascii="Times New Roman" w:hAnsi="Times New Roman"/>
          <w:lang w:val="sr-Latn-BA"/>
        </w:rPr>
        <w:t xml:space="preserve"> </w:t>
      </w:r>
      <w:r>
        <w:rPr>
          <w:rFonts w:ascii="Times New Roman" w:hAnsi="Times New Roman"/>
          <w:lang w:val="sr-Latn-BA"/>
        </w:rPr>
        <w:t>Града</w:t>
      </w:r>
      <w:r w:rsidR="00B63A7C">
        <w:rPr>
          <w:rFonts w:ascii="Times New Roman" w:hAnsi="Times New Roman"/>
          <w:lang w:val="sr-Latn-BA"/>
        </w:rPr>
        <w:t xml:space="preserve"> </w:t>
      </w:r>
      <w:r>
        <w:rPr>
          <w:rFonts w:ascii="Times New Roman" w:hAnsi="Times New Roman"/>
          <w:lang w:val="sr-Latn-BA"/>
        </w:rPr>
        <w:t>Бања</w:t>
      </w:r>
      <w:r w:rsidR="00B63A7C">
        <w:rPr>
          <w:rFonts w:ascii="Times New Roman" w:hAnsi="Times New Roman"/>
          <w:lang w:val="sr-Latn-BA"/>
        </w:rPr>
        <w:t xml:space="preserve"> </w:t>
      </w:r>
      <w:r>
        <w:rPr>
          <w:rFonts w:ascii="Times New Roman" w:hAnsi="Times New Roman"/>
          <w:lang w:val="sr-Latn-BA"/>
        </w:rPr>
        <w:t>Лука</w:t>
      </w:r>
      <w:r w:rsidR="00B63A7C">
        <w:rPr>
          <w:rFonts w:ascii="Times New Roman" w:hAnsi="Times New Roman"/>
          <w:lang w:val="sr-Latn-BA"/>
        </w:rPr>
        <w:t xml:space="preserve"> </w:t>
      </w:r>
      <w:r>
        <w:rPr>
          <w:rFonts w:ascii="Times New Roman" w:hAnsi="Times New Roman"/>
          <w:lang w:val="sr-Latn-BA"/>
        </w:rPr>
        <w:t>формиран</w:t>
      </w:r>
      <w:r w:rsidR="00404BE5" w:rsidRPr="00295637">
        <w:rPr>
          <w:rFonts w:ascii="Times New Roman" w:hAnsi="Times New Roman"/>
          <w:lang w:val="sr-Latn-BA"/>
        </w:rPr>
        <w:t xml:space="preserve"> </w:t>
      </w:r>
      <w:r>
        <w:rPr>
          <w:rFonts w:ascii="Times New Roman" w:hAnsi="Times New Roman"/>
          <w:lang w:val="sr-Latn-BA"/>
        </w:rPr>
        <w:t>је</w:t>
      </w:r>
      <w:r w:rsidR="00384CAD" w:rsidRPr="00295637">
        <w:rPr>
          <w:rFonts w:ascii="Times New Roman" w:hAnsi="Times New Roman"/>
          <w:lang w:val="sr-Latn-BA"/>
        </w:rPr>
        <w:t xml:space="preserve"> </w:t>
      </w:r>
      <w:r>
        <w:rPr>
          <w:rFonts w:ascii="Times New Roman" w:hAnsi="Times New Roman"/>
          <w:lang w:val="sr-Latn-BA"/>
        </w:rPr>
        <w:t>Координаци</w:t>
      </w:r>
      <w:r w:rsidR="00A054E6">
        <w:rPr>
          <w:rFonts w:ascii="Times New Roman" w:hAnsi="Times New Roman"/>
          <w:lang w:val="sr-Cyrl-BA"/>
        </w:rPr>
        <w:t>они</w:t>
      </w:r>
      <w:r w:rsidR="00404BE5" w:rsidRPr="00295637">
        <w:rPr>
          <w:rFonts w:ascii="Times New Roman" w:hAnsi="Times New Roman"/>
          <w:lang w:val="sr-Latn-BA"/>
        </w:rPr>
        <w:t xml:space="preserve"> </w:t>
      </w:r>
      <w:r>
        <w:rPr>
          <w:rFonts w:ascii="Times New Roman" w:hAnsi="Times New Roman"/>
          <w:lang w:val="sr-Latn-BA"/>
        </w:rPr>
        <w:t>орган</w:t>
      </w:r>
      <w:r w:rsidR="00404BE5" w:rsidRPr="00295637">
        <w:rPr>
          <w:rFonts w:ascii="Times New Roman" w:hAnsi="Times New Roman"/>
          <w:lang w:val="sr-Latn-BA"/>
        </w:rPr>
        <w:t xml:space="preserve"> </w:t>
      </w:r>
      <w:r>
        <w:rPr>
          <w:rFonts w:ascii="Times New Roman" w:hAnsi="Times New Roman"/>
          <w:lang w:val="sr-Latn-BA"/>
        </w:rPr>
        <w:t>чији</w:t>
      </w:r>
      <w:r w:rsidR="00404BE5" w:rsidRPr="00295637">
        <w:rPr>
          <w:rFonts w:ascii="Times New Roman" w:hAnsi="Times New Roman"/>
          <w:lang w:val="sr-Latn-BA"/>
        </w:rPr>
        <w:t xml:space="preserve"> </w:t>
      </w:r>
      <w:r>
        <w:rPr>
          <w:rFonts w:ascii="Times New Roman" w:hAnsi="Times New Roman"/>
          <w:lang w:val="sr-Latn-BA"/>
        </w:rPr>
        <w:t>је</w:t>
      </w:r>
      <w:r w:rsidR="00404BE5" w:rsidRPr="00295637">
        <w:rPr>
          <w:rFonts w:ascii="Times New Roman" w:hAnsi="Times New Roman"/>
          <w:lang w:val="sr-Latn-BA"/>
        </w:rPr>
        <w:t xml:space="preserve"> </w:t>
      </w:r>
      <w:r>
        <w:rPr>
          <w:rFonts w:ascii="Times New Roman" w:hAnsi="Times New Roman"/>
          <w:lang w:val="sr-Latn-BA"/>
        </w:rPr>
        <w:t>члан</w:t>
      </w:r>
      <w:r w:rsidR="00404BE5" w:rsidRPr="00295637">
        <w:rPr>
          <w:rFonts w:ascii="Times New Roman" w:hAnsi="Times New Roman"/>
          <w:lang w:val="sr-Latn-BA"/>
        </w:rPr>
        <w:t xml:space="preserve"> </w:t>
      </w:r>
      <w:r>
        <w:rPr>
          <w:rFonts w:ascii="Times New Roman" w:hAnsi="Times New Roman"/>
          <w:lang w:val="sr-Latn-BA"/>
        </w:rPr>
        <w:t>и</w:t>
      </w:r>
      <w:r w:rsidR="00404BE5" w:rsidRPr="00295637">
        <w:rPr>
          <w:rFonts w:ascii="Times New Roman" w:hAnsi="Times New Roman"/>
          <w:lang w:val="sr-Latn-BA"/>
        </w:rPr>
        <w:t xml:space="preserve"> </w:t>
      </w:r>
      <w:r>
        <w:rPr>
          <w:rFonts w:ascii="Times New Roman" w:hAnsi="Times New Roman"/>
          <w:lang w:val="sr-Latn-BA"/>
        </w:rPr>
        <w:t>представник</w:t>
      </w:r>
      <w:r w:rsidR="00404BE5" w:rsidRPr="00295637">
        <w:rPr>
          <w:rFonts w:ascii="Times New Roman" w:hAnsi="Times New Roman"/>
          <w:lang w:val="sr-Latn-BA"/>
        </w:rPr>
        <w:t xml:space="preserve"> </w:t>
      </w:r>
      <w:r>
        <w:rPr>
          <w:rFonts w:ascii="Times New Roman" w:hAnsi="Times New Roman"/>
          <w:lang w:val="sr-Latn-BA"/>
        </w:rPr>
        <w:t>ЈУ</w:t>
      </w:r>
      <w:r w:rsidR="00404BE5" w:rsidRPr="00295637">
        <w:rPr>
          <w:rFonts w:ascii="Times New Roman" w:hAnsi="Times New Roman"/>
          <w:lang w:val="sr-Latn-BA"/>
        </w:rPr>
        <w:t xml:space="preserve"> </w:t>
      </w:r>
      <w:r>
        <w:rPr>
          <w:rFonts w:ascii="Times New Roman" w:hAnsi="Times New Roman"/>
          <w:lang w:val="sr-Latn-BA"/>
        </w:rPr>
        <w:t>Центар</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социјални</w:t>
      </w:r>
      <w:r w:rsidR="00404BE5" w:rsidRPr="00295637">
        <w:rPr>
          <w:rFonts w:ascii="Times New Roman" w:hAnsi="Times New Roman"/>
          <w:lang w:val="sr-Latn-BA"/>
        </w:rPr>
        <w:t xml:space="preserve"> </w:t>
      </w:r>
      <w:r>
        <w:rPr>
          <w:rFonts w:ascii="Times New Roman" w:hAnsi="Times New Roman"/>
          <w:lang w:val="sr-Latn-BA"/>
        </w:rPr>
        <w:t>рад</w:t>
      </w:r>
      <w:r w:rsidR="00404BE5" w:rsidRPr="00295637">
        <w:rPr>
          <w:rFonts w:ascii="Times New Roman" w:hAnsi="Times New Roman"/>
          <w:lang w:val="sr-Latn-BA"/>
        </w:rPr>
        <w:t xml:space="preserve">. </w:t>
      </w:r>
      <w:r>
        <w:rPr>
          <w:rFonts w:ascii="Times New Roman" w:hAnsi="Times New Roman"/>
          <w:lang w:val="sr-Latn-BA"/>
        </w:rPr>
        <w:t>На</w:t>
      </w:r>
      <w:r w:rsidR="00404BE5" w:rsidRPr="00295637">
        <w:rPr>
          <w:rFonts w:ascii="Times New Roman" w:hAnsi="Times New Roman"/>
          <w:lang w:val="sr-Latn-BA"/>
        </w:rPr>
        <w:t xml:space="preserve"> </w:t>
      </w:r>
      <w:r>
        <w:rPr>
          <w:rFonts w:ascii="Times New Roman" w:hAnsi="Times New Roman"/>
          <w:lang w:val="sr-Latn-BA"/>
        </w:rPr>
        <w:t>састанцима</w:t>
      </w:r>
      <w:r w:rsidR="00404BE5" w:rsidRPr="00295637">
        <w:rPr>
          <w:rFonts w:ascii="Times New Roman" w:hAnsi="Times New Roman"/>
          <w:lang w:val="sr-Latn-BA"/>
        </w:rPr>
        <w:t xml:space="preserve"> </w:t>
      </w:r>
      <w:r>
        <w:rPr>
          <w:rFonts w:ascii="Times New Roman" w:hAnsi="Times New Roman"/>
          <w:lang w:val="sr-Latn-BA"/>
        </w:rPr>
        <w:t>Координаци</w:t>
      </w:r>
      <w:r w:rsidR="00A054E6">
        <w:rPr>
          <w:rFonts w:ascii="Times New Roman" w:hAnsi="Times New Roman"/>
          <w:lang w:val="sr-Cyrl-BA"/>
        </w:rPr>
        <w:t>оног</w:t>
      </w:r>
      <w:r w:rsidR="00404BE5" w:rsidRPr="00295637">
        <w:rPr>
          <w:rFonts w:ascii="Times New Roman" w:hAnsi="Times New Roman"/>
          <w:lang w:val="sr-Latn-BA"/>
        </w:rPr>
        <w:t xml:space="preserve"> </w:t>
      </w:r>
      <w:r>
        <w:rPr>
          <w:rFonts w:ascii="Times New Roman" w:hAnsi="Times New Roman"/>
          <w:lang w:val="sr-Latn-BA"/>
        </w:rPr>
        <w:t>органа</w:t>
      </w:r>
      <w:r w:rsidR="00404BE5" w:rsidRPr="00295637">
        <w:rPr>
          <w:rFonts w:ascii="Times New Roman" w:hAnsi="Times New Roman"/>
          <w:lang w:val="sr-Latn-BA"/>
        </w:rPr>
        <w:t xml:space="preserve"> </w:t>
      </w:r>
      <w:r>
        <w:rPr>
          <w:rFonts w:ascii="Times New Roman" w:hAnsi="Times New Roman"/>
          <w:lang w:val="sr-Latn-BA"/>
        </w:rPr>
        <w:t>разматрају</w:t>
      </w:r>
      <w:r w:rsidR="00404BE5" w:rsidRPr="00295637">
        <w:rPr>
          <w:rFonts w:ascii="Times New Roman" w:hAnsi="Times New Roman"/>
          <w:lang w:val="sr-Latn-BA"/>
        </w:rPr>
        <w:t xml:space="preserve"> </w:t>
      </w:r>
      <w:r>
        <w:rPr>
          <w:rFonts w:ascii="Times New Roman" w:hAnsi="Times New Roman"/>
          <w:lang w:val="sr-Latn-BA"/>
        </w:rPr>
        <w:t>се</w:t>
      </w:r>
      <w:r w:rsidR="00384CAD" w:rsidRPr="00295637">
        <w:rPr>
          <w:rFonts w:ascii="Times New Roman" w:hAnsi="Times New Roman"/>
          <w:lang w:val="sr-Latn-BA"/>
        </w:rPr>
        <w:t xml:space="preserve"> </w:t>
      </w:r>
      <w:r>
        <w:rPr>
          <w:rFonts w:ascii="Times New Roman" w:hAnsi="Times New Roman"/>
          <w:lang w:val="sr-Latn-BA"/>
        </w:rPr>
        <w:t>актуелна</w:t>
      </w:r>
      <w:r w:rsidR="00404BE5" w:rsidRPr="00295637">
        <w:rPr>
          <w:rFonts w:ascii="Times New Roman" w:hAnsi="Times New Roman"/>
          <w:lang w:val="sr-Latn-BA"/>
        </w:rPr>
        <w:t xml:space="preserve"> </w:t>
      </w:r>
      <w:r>
        <w:rPr>
          <w:rFonts w:ascii="Times New Roman" w:hAnsi="Times New Roman"/>
          <w:lang w:val="sr-Latn-BA"/>
        </w:rPr>
        <w:t>питања</w:t>
      </w:r>
      <w:r w:rsidR="00404BE5" w:rsidRPr="00295637">
        <w:rPr>
          <w:rFonts w:ascii="Times New Roman" w:hAnsi="Times New Roman"/>
          <w:lang w:val="sr-Latn-BA"/>
        </w:rPr>
        <w:t xml:space="preserve"> </w:t>
      </w:r>
      <w:r>
        <w:rPr>
          <w:rFonts w:ascii="Times New Roman" w:hAnsi="Times New Roman"/>
          <w:lang w:val="sr-Latn-BA"/>
        </w:rPr>
        <w:t>из</w:t>
      </w:r>
      <w:r w:rsidR="00404BE5" w:rsidRPr="00295637">
        <w:rPr>
          <w:rFonts w:ascii="Times New Roman" w:hAnsi="Times New Roman"/>
          <w:lang w:val="sr-Latn-BA"/>
        </w:rPr>
        <w:t xml:space="preserve"> </w:t>
      </w:r>
      <w:r>
        <w:rPr>
          <w:rFonts w:ascii="Times New Roman" w:hAnsi="Times New Roman"/>
          <w:lang w:val="sr-Latn-BA"/>
        </w:rPr>
        <w:t>области</w:t>
      </w:r>
      <w:r w:rsidR="00404BE5" w:rsidRPr="00295637">
        <w:rPr>
          <w:rFonts w:ascii="Times New Roman" w:hAnsi="Times New Roman"/>
          <w:lang w:val="sr-Latn-BA"/>
        </w:rPr>
        <w:t xml:space="preserve"> </w:t>
      </w:r>
      <w:r>
        <w:rPr>
          <w:rFonts w:ascii="Times New Roman" w:hAnsi="Times New Roman"/>
          <w:lang w:val="sr-Latn-BA"/>
        </w:rPr>
        <w:t>заштите</w:t>
      </w:r>
      <w:r w:rsidR="00404BE5" w:rsidRPr="00295637">
        <w:rPr>
          <w:rFonts w:ascii="Times New Roman" w:hAnsi="Times New Roman"/>
          <w:lang w:val="sr-Latn-BA"/>
        </w:rPr>
        <w:t xml:space="preserve"> </w:t>
      </w:r>
      <w:r>
        <w:rPr>
          <w:rFonts w:ascii="Times New Roman" w:hAnsi="Times New Roman"/>
          <w:lang w:val="sr-Latn-BA"/>
        </w:rPr>
        <w:t>од</w:t>
      </w:r>
      <w:r w:rsidR="00404BE5" w:rsidRPr="00295637">
        <w:rPr>
          <w:rFonts w:ascii="Times New Roman" w:hAnsi="Times New Roman"/>
          <w:lang w:val="sr-Latn-BA"/>
        </w:rPr>
        <w:t xml:space="preserve"> </w:t>
      </w:r>
      <w:r>
        <w:rPr>
          <w:rFonts w:ascii="Times New Roman" w:hAnsi="Times New Roman"/>
          <w:lang w:val="sr-Latn-BA"/>
        </w:rPr>
        <w:t>насиља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породици</w:t>
      </w:r>
      <w:r w:rsidR="00384CAD">
        <w:rPr>
          <w:rFonts w:ascii="Times New Roman" w:hAnsi="Times New Roman"/>
          <w:lang w:val="sr-Latn-BA"/>
        </w:rPr>
        <w:t>;</w:t>
      </w:r>
    </w:p>
    <w:p w:rsidR="00404BE5" w:rsidRPr="00295637" w:rsidRDefault="00C6214E" w:rsidP="0086268D">
      <w:pPr>
        <w:pStyle w:val="ListParagraph"/>
        <w:numPr>
          <w:ilvl w:val="0"/>
          <w:numId w:val="24"/>
        </w:numPr>
        <w:jc w:val="both"/>
        <w:rPr>
          <w:rFonts w:ascii="Times New Roman" w:hAnsi="Times New Roman"/>
          <w:lang w:val="sr-Latn-BA"/>
        </w:rPr>
      </w:pPr>
      <w:r>
        <w:rPr>
          <w:rFonts w:ascii="Times New Roman" w:hAnsi="Times New Roman"/>
          <w:lang w:val="sr-Latn-BA"/>
        </w:rPr>
        <w:t>Информи</w:t>
      </w:r>
      <w:r w:rsidR="00A054E6">
        <w:rPr>
          <w:rFonts w:ascii="Times New Roman" w:hAnsi="Times New Roman"/>
          <w:lang w:val="sr-Cyrl-BA"/>
        </w:rPr>
        <w:t>с</w:t>
      </w:r>
      <w:r>
        <w:rPr>
          <w:rFonts w:ascii="Times New Roman" w:hAnsi="Times New Roman"/>
          <w:lang w:val="sr-Latn-BA"/>
        </w:rPr>
        <w:t>ање</w:t>
      </w:r>
      <w:r w:rsidR="00404BE5" w:rsidRPr="00295637">
        <w:rPr>
          <w:rFonts w:ascii="Times New Roman" w:hAnsi="Times New Roman"/>
          <w:lang w:val="sr-Latn-BA"/>
        </w:rPr>
        <w:t xml:space="preserve"> </w:t>
      </w:r>
      <w:r>
        <w:rPr>
          <w:rFonts w:ascii="Times New Roman" w:hAnsi="Times New Roman"/>
          <w:lang w:val="sr-Latn-BA"/>
        </w:rPr>
        <w:t>о</w:t>
      </w:r>
      <w:r w:rsidR="00404BE5" w:rsidRPr="00295637">
        <w:rPr>
          <w:rFonts w:ascii="Times New Roman" w:hAnsi="Times New Roman"/>
          <w:lang w:val="sr-Latn-BA"/>
        </w:rPr>
        <w:t xml:space="preserve"> </w:t>
      </w:r>
      <w:r>
        <w:rPr>
          <w:rFonts w:ascii="Times New Roman" w:hAnsi="Times New Roman"/>
          <w:lang w:val="sr-Latn-BA"/>
        </w:rPr>
        <w:t>услугама</w:t>
      </w:r>
      <w:r w:rsidR="00404BE5" w:rsidRPr="00295637">
        <w:rPr>
          <w:rFonts w:ascii="Times New Roman" w:hAnsi="Times New Roman"/>
          <w:lang w:val="sr-Latn-BA"/>
        </w:rPr>
        <w:t xml:space="preserve"> </w:t>
      </w:r>
      <w:r>
        <w:rPr>
          <w:rFonts w:ascii="Times New Roman" w:hAnsi="Times New Roman"/>
          <w:lang w:val="sr-Latn-BA"/>
        </w:rPr>
        <w:t>подршке</w:t>
      </w:r>
      <w:r w:rsidR="00404BE5" w:rsidRPr="00295637">
        <w:rPr>
          <w:rFonts w:ascii="Times New Roman" w:hAnsi="Times New Roman"/>
          <w:lang w:val="sr-Latn-BA"/>
        </w:rPr>
        <w:t xml:space="preserve"> </w:t>
      </w:r>
      <w:r>
        <w:rPr>
          <w:rFonts w:ascii="Times New Roman" w:hAnsi="Times New Roman"/>
          <w:lang w:val="sr-Latn-BA"/>
        </w:rPr>
        <w:t>и</w:t>
      </w:r>
      <w:r w:rsidR="00404BE5" w:rsidRPr="00295637">
        <w:rPr>
          <w:rFonts w:ascii="Times New Roman" w:hAnsi="Times New Roman"/>
          <w:lang w:val="sr-Latn-BA"/>
        </w:rPr>
        <w:t xml:space="preserve"> </w:t>
      </w:r>
      <w:r>
        <w:rPr>
          <w:rFonts w:ascii="Times New Roman" w:hAnsi="Times New Roman"/>
          <w:lang w:val="sr-Latn-BA"/>
        </w:rPr>
        <w:t>законским</w:t>
      </w:r>
      <w:r w:rsidR="00404BE5" w:rsidRPr="00295637">
        <w:rPr>
          <w:rFonts w:ascii="Times New Roman" w:hAnsi="Times New Roman"/>
          <w:lang w:val="sr-Latn-BA"/>
        </w:rPr>
        <w:t xml:space="preserve"> </w:t>
      </w:r>
      <w:r>
        <w:rPr>
          <w:rFonts w:ascii="Times New Roman" w:hAnsi="Times New Roman"/>
          <w:lang w:val="sr-Latn-BA"/>
        </w:rPr>
        <w:t>мјерама</w:t>
      </w:r>
      <w:r w:rsidR="00404BE5" w:rsidRPr="00295637">
        <w:rPr>
          <w:rFonts w:ascii="Times New Roman" w:hAnsi="Times New Roman"/>
          <w:lang w:val="sr-Latn-BA"/>
        </w:rPr>
        <w:t xml:space="preserve"> </w:t>
      </w:r>
      <w:r>
        <w:rPr>
          <w:rFonts w:ascii="Times New Roman" w:hAnsi="Times New Roman"/>
          <w:lang w:val="sr-Latn-BA"/>
        </w:rPr>
        <w:t>које</w:t>
      </w:r>
      <w:r w:rsidR="00404BE5" w:rsidRPr="00295637">
        <w:rPr>
          <w:rFonts w:ascii="Times New Roman" w:hAnsi="Times New Roman"/>
          <w:lang w:val="sr-Latn-BA"/>
        </w:rPr>
        <w:t xml:space="preserve"> </w:t>
      </w:r>
      <w:r>
        <w:rPr>
          <w:rFonts w:ascii="Times New Roman" w:hAnsi="Times New Roman"/>
          <w:lang w:val="sr-Latn-BA"/>
        </w:rPr>
        <w:t>су</w:t>
      </w:r>
      <w:r w:rsidR="00404BE5" w:rsidRPr="00295637">
        <w:rPr>
          <w:rFonts w:ascii="Times New Roman" w:hAnsi="Times New Roman"/>
          <w:lang w:val="sr-Latn-BA"/>
        </w:rPr>
        <w:t xml:space="preserve"> </w:t>
      </w:r>
      <w:r>
        <w:rPr>
          <w:rFonts w:ascii="Times New Roman" w:hAnsi="Times New Roman"/>
          <w:lang w:val="sr-Latn-BA"/>
        </w:rPr>
        <w:t>доступне</w:t>
      </w:r>
      <w:r w:rsidR="00404BE5" w:rsidRPr="00295637">
        <w:rPr>
          <w:rFonts w:ascii="Times New Roman" w:hAnsi="Times New Roman"/>
          <w:lang w:val="sr-Latn-BA"/>
        </w:rPr>
        <w:t xml:space="preserve"> </w:t>
      </w:r>
      <w:r>
        <w:rPr>
          <w:rFonts w:ascii="Times New Roman" w:hAnsi="Times New Roman"/>
          <w:lang w:val="sr-Latn-BA"/>
        </w:rPr>
        <w:t>ради</w:t>
      </w:r>
      <w:r w:rsidR="00404BE5" w:rsidRPr="00295637">
        <w:rPr>
          <w:rFonts w:ascii="Times New Roman" w:hAnsi="Times New Roman"/>
          <w:lang w:val="sr-Latn-BA"/>
        </w:rPr>
        <w:t xml:space="preserve"> </w:t>
      </w:r>
      <w:r>
        <w:rPr>
          <w:rFonts w:ascii="Times New Roman" w:hAnsi="Times New Roman"/>
          <w:lang w:val="sr-Latn-BA"/>
        </w:rPr>
        <w:t>помоћи</w:t>
      </w:r>
      <w:r w:rsidR="00404BE5" w:rsidRPr="00295637">
        <w:rPr>
          <w:rFonts w:ascii="Times New Roman" w:hAnsi="Times New Roman"/>
          <w:lang w:val="sr-Latn-BA"/>
        </w:rPr>
        <w:t xml:space="preserve"> </w:t>
      </w:r>
      <w:r>
        <w:rPr>
          <w:rFonts w:ascii="Times New Roman" w:hAnsi="Times New Roman"/>
          <w:lang w:val="sr-Latn-BA"/>
        </w:rPr>
        <w:t>и</w:t>
      </w:r>
      <w:r w:rsidR="00404BE5" w:rsidRPr="00295637">
        <w:rPr>
          <w:rFonts w:ascii="Times New Roman" w:hAnsi="Times New Roman"/>
          <w:lang w:val="sr-Latn-BA"/>
        </w:rPr>
        <w:t xml:space="preserve"> </w:t>
      </w:r>
      <w:r>
        <w:rPr>
          <w:rFonts w:ascii="Times New Roman" w:hAnsi="Times New Roman"/>
          <w:lang w:val="sr-Latn-BA"/>
        </w:rPr>
        <w:t>подршке</w:t>
      </w:r>
      <w:r w:rsidR="00404BE5" w:rsidRPr="00295637">
        <w:rPr>
          <w:rFonts w:ascii="Times New Roman" w:hAnsi="Times New Roman"/>
          <w:lang w:val="sr-Latn-BA"/>
        </w:rPr>
        <w:t xml:space="preserve"> </w:t>
      </w:r>
      <w:r>
        <w:rPr>
          <w:rFonts w:ascii="Times New Roman" w:hAnsi="Times New Roman"/>
          <w:lang w:val="sr-Latn-BA"/>
        </w:rPr>
        <w:t>жртвама</w:t>
      </w:r>
      <w:r w:rsidR="00404BE5" w:rsidRPr="00295637">
        <w:rPr>
          <w:rFonts w:ascii="Times New Roman" w:hAnsi="Times New Roman"/>
          <w:lang w:val="sr-Latn-BA"/>
        </w:rPr>
        <w:t xml:space="preserve"> </w:t>
      </w:r>
      <w:r>
        <w:rPr>
          <w:rFonts w:ascii="Times New Roman" w:hAnsi="Times New Roman"/>
          <w:lang w:val="sr-Latn-BA"/>
        </w:rPr>
        <w:t>насиља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Берковићима</w:t>
      </w:r>
      <w:r w:rsidR="00404BE5" w:rsidRPr="00295637">
        <w:rPr>
          <w:rFonts w:ascii="Times New Roman" w:hAnsi="Times New Roman"/>
          <w:lang w:val="sr-Latn-BA"/>
        </w:rPr>
        <w:t>;</w:t>
      </w:r>
    </w:p>
    <w:p w:rsidR="00404BE5" w:rsidRPr="00295637" w:rsidRDefault="00404BE5" w:rsidP="0086268D">
      <w:pPr>
        <w:pStyle w:val="ListParagraph"/>
        <w:numPr>
          <w:ilvl w:val="0"/>
          <w:numId w:val="24"/>
        </w:numPr>
        <w:jc w:val="both"/>
        <w:rPr>
          <w:rFonts w:ascii="Times New Roman" w:hAnsi="Times New Roman"/>
          <w:lang w:val="sr-Latn-BA"/>
        </w:rPr>
      </w:pPr>
      <w:r w:rsidRPr="00295637">
        <w:rPr>
          <w:rFonts w:ascii="Times New Roman" w:hAnsi="Times New Roman"/>
          <w:lang w:val="sr-Latn-BA"/>
        </w:rPr>
        <w:t>„</w:t>
      </w:r>
      <w:r w:rsidR="00C6214E">
        <w:rPr>
          <w:rFonts w:ascii="Times New Roman" w:hAnsi="Times New Roman"/>
          <w:lang w:val="sr-Latn-BA"/>
        </w:rPr>
        <w:t>Јачање</w:t>
      </w:r>
      <w:r w:rsidRPr="00295637">
        <w:rPr>
          <w:rFonts w:ascii="Times New Roman" w:hAnsi="Times New Roman"/>
          <w:lang w:val="sr-Latn-BA"/>
        </w:rPr>
        <w:t xml:space="preserve"> </w:t>
      </w:r>
      <w:r w:rsidR="00C6214E">
        <w:rPr>
          <w:rFonts w:ascii="Times New Roman" w:hAnsi="Times New Roman"/>
          <w:lang w:val="sr-Latn-BA"/>
        </w:rPr>
        <w:t>правних</w:t>
      </w:r>
      <w:r w:rsidRPr="00295637">
        <w:rPr>
          <w:rFonts w:ascii="Times New Roman" w:hAnsi="Times New Roman"/>
          <w:lang w:val="sr-Latn-BA"/>
        </w:rPr>
        <w:t xml:space="preserve"> </w:t>
      </w:r>
      <w:r w:rsidR="00C6214E">
        <w:rPr>
          <w:rFonts w:ascii="Times New Roman" w:hAnsi="Times New Roman"/>
          <w:lang w:val="sr-Latn-BA"/>
        </w:rPr>
        <w:t>оквира</w:t>
      </w:r>
      <w:r w:rsidRPr="00295637">
        <w:rPr>
          <w:rFonts w:ascii="Times New Roman" w:hAnsi="Times New Roman"/>
          <w:lang w:val="sr-Latn-BA"/>
        </w:rPr>
        <w:t xml:space="preserve"> </w:t>
      </w:r>
      <w:r w:rsidR="00C6214E">
        <w:rPr>
          <w:rFonts w:ascii="Times New Roman" w:hAnsi="Times New Roman"/>
          <w:lang w:val="sr-Latn-BA"/>
        </w:rPr>
        <w:t>и</w:t>
      </w:r>
      <w:r w:rsidRPr="00295637">
        <w:rPr>
          <w:rFonts w:ascii="Times New Roman" w:hAnsi="Times New Roman"/>
          <w:lang w:val="sr-Latn-BA"/>
        </w:rPr>
        <w:t xml:space="preserve"> </w:t>
      </w:r>
      <w:r w:rsidR="00C6214E">
        <w:rPr>
          <w:rFonts w:ascii="Times New Roman" w:hAnsi="Times New Roman"/>
          <w:lang w:val="sr-Latn-BA"/>
        </w:rPr>
        <w:t>механизама</w:t>
      </w:r>
      <w:r w:rsidRPr="00295637">
        <w:rPr>
          <w:rFonts w:ascii="Times New Roman" w:hAnsi="Times New Roman"/>
          <w:lang w:val="sr-Latn-BA"/>
        </w:rPr>
        <w:t xml:space="preserve"> </w:t>
      </w:r>
      <w:r w:rsidR="00C6214E">
        <w:rPr>
          <w:rFonts w:ascii="Times New Roman" w:hAnsi="Times New Roman"/>
          <w:lang w:val="sr-Latn-BA"/>
        </w:rPr>
        <w:t>подршке</w:t>
      </w:r>
      <w:r w:rsidRPr="00295637">
        <w:rPr>
          <w:rFonts w:ascii="Times New Roman" w:hAnsi="Times New Roman"/>
          <w:lang w:val="sr-Latn-BA"/>
        </w:rPr>
        <w:t xml:space="preserve"> </w:t>
      </w:r>
      <w:r w:rsidR="00C6214E">
        <w:rPr>
          <w:rFonts w:ascii="Times New Roman" w:hAnsi="Times New Roman"/>
          <w:lang w:val="sr-Latn-BA"/>
        </w:rPr>
        <w:t>за</w:t>
      </w:r>
      <w:r w:rsidRPr="00295637">
        <w:rPr>
          <w:rFonts w:ascii="Times New Roman" w:hAnsi="Times New Roman"/>
          <w:lang w:val="sr-Latn-BA"/>
        </w:rPr>
        <w:t xml:space="preserve"> </w:t>
      </w:r>
      <w:r w:rsidR="00C6214E">
        <w:rPr>
          <w:rFonts w:ascii="Times New Roman" w:hAnsi="Times New Roman"/>
          <w:lang w:val="sr-Latn-BA"/>
        </w:rPr>
        <w:t>борбру</w:t>
      </w:r>
      <w:r w:rsidRPr="00295637">
        <w:rPr>
          <w:rFonts w:ascii="Times New Roman" w:hAnsi="Times New Roman"/>
          <w:lang w:val="sr-Latn-BA"/>
        </w:rPr>
        <w:t xml:space="preserve"> </w:t>
      </w:r>
      <w:r w:rsidR="00C6214E">
        <w:rPr>
          <w:rFonts w:ascii="Times New Roman" w:hAnsi="Times New Roman"/>
          <w:lang w:val="sr-Latn-BA"/>
        </w:rPr>
        <w:t>против</w:t>
      </w:r>
      <w:r w:rsidRPr="00295637">
        <w:rPr>
          <w:rFonts w:ascii="Times New Roman" w:hAnsi="Times New Roman"/>
          <w:lang w:val="sr-Latn-BA"/>
        </w:rPr>
        <w:t xml:space="preserve"> </w:t>
      </w:r>
      <w:r w:rsidR="00C6214E">
        <w:rPr>
          <w:rFonts w:ascii="Times New Roman" w:hAnsi="Times New Roman"/>
          <w:lang w:val="sr-Latn-BA"/>
        </w:rPr>
        <w:t>сексуалне</w:t>
      </w:r>
      <w:r w:rsidRPr="00295637">
        <w:rPr>
          <w:rFonts w:ascii="Times New Roman" w:hAnsi="Times New Roman"/>
          <w:lang w:val="sr-Latn-BA"/>
        </w:rPr>
        <w:t xml:space="preserve"> </w:t>
      </w:r>
      <w:r w:rsidR="00C6214E">
        <w:rPr>
          <w:rFonts w:ascii="Times New Roman" w:hAnsi="Times New Roman"/>
          <w:lang w:val="sr-Latn-BA"/>
        </w:rPr>
        <w:t>изнуде</w:t>
      </w:r>
      <w:r w:rsidRPr="00295637">
        <w:rPr>
          <w:rFonts w:ascii="Times New Roman" w:hAnsi="Times New Roman"/>
          <w:lang w:val="sr-Latn-BA"/>
        </w:rPr>
        <w:t xml:space="preserve"> </w:t>
      </w:r>
      <w:r w:rsidR="00C6214E">
        <w:rPr>
          <w:rFonts w:ascii="Times New Roman" w:hAnsi="Times New Roman"/>
          <w:lang w:val="sr-Latn-BA"/>
        </w:rPr>
        <w:t>у</w:t>
      </w:r>
      <w:r w:rsidRPr="00295637">
        <w:rPr>
          <w:rFonts w:ascii="Times New Roman" w:hAnsi="Times New Roman"/>
          <w:lang w:val="sr-Latn-BA"/>
        </w:rPr>
        <w:t xml:space="preserve"> </w:t>
      </w:r>
      <w:r w:rsidR="00C6214E">
        <w:rPr>
          <w:rFonts w:ascii="Times New Roman" w:hAnsi="Times New Roman"/>
          <w:lang w:val="sr-Latn-BA"/>
        </w:rPr>
        <w:t>БиХ</w:t>
      </w:r>
      <w:r w:rsidRPr="00295637">
        <w:rPr>
          <w:rFonts w:ascii="Times New Roman" w:hAnsi="Times New Roman"/>
          <w:lang w:val="sr-Latn-BA"/>
        </w:rPr>
        <w:t xml:space="preserve">“ </w:t>
      </w:r>
      <w:r w:rsidR="00C6214E">
        <w:rPr>
          <w:rFonts w:ascii="Times New Roman" w:hAnsi="Times New Roman"/>
          <w:lang w:val="sr-Latn-BA"/>
        </w:rPr>
        <w:t>у</w:t>
      </w:r>
      <w:r w:rsidRPr="00295637">
        <w:rPr>
          <w:rFonts w:ascii="Times New Roman" w:hAnsi="Times New Roman"/>
          <w:lang w:val="sr-Latn-BA"/>
        </w:rPr>
        <w:t xml:space="preserve"> </w:t>
      </w:r>
      <w:r w:rsidR="00C6214E">
        <w:rPr>
          <w:rFonts w:ascii="Times New Roman" w:hAnsi="Times New Roman"/>
          <w:lang w:val="sr-Latn-BA"/>
        </w:rPr>
        <w:t>Бањој</w:t>
      </w:r>
      <w:r w:rsidR="00384CAD">
        <w:rPr>
          <w:rFonts w:ascii="Times New Roman" w:hAnsi="Times New Roman"/>
          <w:lang w:val="sr-Latn-BA"/>
        </w:rPr>
        <w:t xml:space="preserve"> </w:t>
      </w:r>
      <w:r w:rsidR="00C6214E">
        <w:rPr>
          <w:rFonts w:ascii="Times New Roman" w:hAnsi="Times New Roman"/>
          <w:lang w:val="sr-Latn-BA"/>
        </w:rPr>
        <w:t>Луци</w:t>
      </w:r>
      <w:r w:rsidR="00384CAD">
        <w:rPr>
          <w:rFonts w:ascii="Times New Roman" w:hAnsi="Times New Roman"/>
          <w:lang w:val="sr-Latn-BA"/>
        </w:rPr>
        <w:t xml:space="preserve"> </w:t>
      </w:r>
      <w:r w:rsidR="00C6214E">
        <w:rPr>
          <w:rFonts w:ascii="Times New Roman" w:hAnsi="Times New Roman"/>
          <w:lang w:val="sr-Latn-BA"/>
        </w:rPr>
        <w:t>и</w:t>
      </w:r>
      <w:r w:rsidR="00384CAD">
        <w:rPr>
          <w:rFonts w:ascii="Times New Roman" w:hAnsi="Times New Roman"/>
          <w:lang w:val="sr-Latn-BA"/>
        </w:rPr>
        <w:t xml:space="preserve"> </w:t>
      </w:r>
      <w:r w:rsidR="00C6214E">
        <w:rPr>
          <w:rFonts w:ascii="Times New Roman" w:hAnsi="Times New Roman"/>
          <w:lang w:val="sr-Latn-BA"/>
        </w:rPr>
        <w:t>Приједору</w:t>
      </w:r>
      <w:r w:rsidR="00384CAD">
        <w:rPr>
          <w:rFonts w:ascii="Times New Roman" w:hAnsi="Times New Roman"/>
          <w:lang w:val="sr-Latn-BA"/>
        </w:rPr>
        <w:t>;</w:t>
      </w:r>
      <w:r w:rsidRPr="00295637">
        <w:rPr>
          <w:rFonts w:ascii="Times New Roman" w:hAnsi="Times New Roman"/>
          <w:lang w:val="sr-Latn-BA"/>
        </w:rPr>
        <w:t xml:space="preserve"> </w:t>
      </w:r>
    </w:p>
    <w:p w:rsidR="00404BE5" w:rsidRPr="00295637" w:rsidRDefault="00C6214E" w:rsidP="0086268D">
      <w:pPr>
        <w:pStyle w:val="ListParagraph"/>
        <w:numPr>
          <w:ilvl w:val="0"/>
          <w:numId w:val="24"/>
        </w:numPr>
        <w:jc w:val="both"/>
        <w:rPr>
          <w:rFonts w:ascii="Times New Roman" w:hAnsi="Times New Roman"/>
          <w:lang w:val="sr-Latn-BA"/>
        </w:rPr>
      </w:pPr>
      <w:r>
        <w:rPr>
          <w:rFonts w:ascii="Times New Roman" w:hAnsi="Times New Roman"/>
          <w:lang w:val="sr-Latn-BA"/>
        </w:rPr>
        <w:t>Састанак</w:t>
      </w:r>
      <w:r w:rsidR="00404BE5" w:rsidRPr="00295637">
        <w:rPr>
          <w:rFonts w:ascii="Times New Roman" w:hAnsi="Times New Roman"/>
          <w:lang w:val="sr-Latn-BA"/>
        </w:rPr>
        <w:t xml:space="preserve"> </w:t>
      </w:r>
      <w:r>
        <w:rPr>
          <w:rFonts w:ascii="Times New Roman" w:hAnsi="Times New Roman"/>
          <w:lang w:val="sr-Latn-BA"/>
        </w:rPr>
        <w:t>Групе</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координацију</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спречавање</w:t>
      </w:r>
      <w:r w:rsidR="00404BE5" w:rsidRPr="00295637">
        <w:rPr>
          <w:rFonts w:ascii="Times New Roman" w:hAnsi="Times New Roman"/>
          <w:lang w:val="sr-Latn-BA"/>
        </w:rPr>
        <w:t xml:space="preserve"> </w:t>
      </w:r>
      <w:r>
        <w:rPr>
          <w:rFonts w:ascii="Times New Roman" w:hAnsi="Times New Roman"/>
          <w:lang w:val="sr-Latn-BA"/>
        </w:rPr>
        <w:t>насиља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породици</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Граду</w:t>
      </w:r>
      <w:r w:rsidR="00404BE5" w:rsidRPr="00295637">
        <w:rPr>
          <w:rFonts w:ascii="Times New Roman" w:hAnsi="Times New Roman"/>
          <w:lang w:val="sr-Latn-BA"/>
        </w:rPr>
        <w:t xml:space="preserve"> </w:t>
      </w:r>
      <w:r>
        <w:rPr>
          <w:rFonts w:ascii="Times New Roman" w:hAnsi="Times New Roman"/>
          <w:lang w:val="sr-Latn-BA"/>
        </w:rPr>
        <w:t>Приједору</w:t>
      </w:r>
      <w:r w:rsidR="00404BE5" w:rsidRPr="00295637">
        <w:rPr>
          <w:rFonts w:ascii="Times New Roman" w:hAnsi="Times New Roman"/>
          <w:lang w:val="sr-Latn-BA"/>
        </w:rPr>
        <w:t>.</w:t>
      </w:r>
    </w:p>
    <w:p w:rsidR="008A1CDC" w:rsidRPr="00295637" w:rsidRDefault="008A1CDC" w:rsidP="0086268D">
      <w:pPr>
        <w:rPr>
          <w:lang w:val="bs-Latn-BA"/>
        </w:rPr>
      </w:pPr>
    </w:p>
    <w:p w:rsidR="008A1CDC" w:rsidRDefault="00A054E6" w:rsidP="00B63A7C">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B63A7C">
        <w:rPr>
          <w:rFonts w:ascii="Times New Roman" w:hAnsi="Times New Roman"/>
          <w:szCs w:val="24"/>
          <w:lang w:val="bs-Latn-BA"/>
        </w:rPr>
        <w:t xml:space="preserve"> 6.5. </w:t>
      </w:r>
      <w:r w:rsidR="00C6214E">
        <w:rPr>
          <w:rFonts w:ascii="Times New Roman" w:hAnsi="Times New Roman"/>
          <w:szCs w:val="24"/>
          <w:lang w:val="bs-Latn-BA"/>
        </w:rPr>
        <w:t>Подршка</w:t>
      </w:r>
      <w:r w:rsidR="008A1CDC" w:rsidRPr="00295637">
        <w:rPr>
          <w:rFonts w:ascii="Times New Roman" w:hAnsi="Times New Roman"/>
          <w:szCs w:val="24"/>
          <w:lang w:val="bs-Latn-BA"/>
        </w:rPr>
        <w:t xml:space="preserve"> </w:t>
      </w:r>
      <w:r w:rsidR="00C6214E">
        <w:rPr>
          <w:rFonts w:ascii="Times New Roman" w:hAnsi="Times New Roman"/>
          <w:szCs w:val="24"/>
          <w:lang w:val="bs-Latn-BA"/>
        </w:rPr>
        <w:t>програмима</w:t>
      </w:r>
      <w:r w:rsidR="008A1CDC" w:rsidRPr="00295637">
        <w:rPr>
          <w:rFonts w:ascii="Times New Roman" w:hAnsi="Times New Roman"/>
          <w:szCs w:val="24"/>
          <w:lang w:val="bs-Latn-BA"/>
        </w:rPr>
        <w:t xml:space="preserve"> </w:t>
      </w:r>
      <w:r w:rsidR="00C6214E">
        <w:rPr>
          <w:rFonts w:ascii="Times New Roman" w:hAnsi="Times New Roman"/>
          <w:szCs w:val="24"/>
          <w:lang w:val="bs-Latn-BA"/>
        </w:rPr>
        <w:t>намјењеним</w:t>
      </w:r>
      <w:r w:rsidR="008A1CDC" w:rsidRPr="00295637">
        <w:rPr>
          <w:rFonts w:ascii="Times New Roman" w:hAnsi="Times New Roman"/>
          <w:szCs w:val="24"/>
          <w:lang w:val="bs-Latn-BA"/>
        </w:rPr>
        <w:t xml:space="preserve"> </w:t>
      </w:r>
      <w:r w:rsidR="00C6214E">
        <w:rPr>
          <w:rFonts w:ascii="Times New Roman" w:hAnsi="Times New Roman"/>
          <w:szCs w:val="24"/>
          <w:lang w:val="bs-Latn-BA"/>
        </w:rPr>
        <w:t>вишеструко</w:t>
      </w:r>
      <w:r w:rsidR="008A1CDC" w:rsidRPr="00295637">
        <w:rPr>
          <w:rFonts w:ascii="Times New Roman" w:hAnsi="Times New Roman"/>
          <w:szCs w:val="24"/>
          <w:lang w:val="bs-Latn-BA"/>
        </w:rPr>
        <w:t xml:space="preserve"> </w:t>
      </w:r>
      <w:r w:rsidR="00C6214E">
        <w:rPr>
          <w:rFonts w:ascii="Times New Roman" w:hAnsi="Times New Roman"/>
          <w:szCs w:val="24"/>
          <w:lang w:val="bs-Latn-BA"/>
        </w:rPr>
        <w:t>маргинализ</w:t>
      </w:r>
      <w:r>
        <w:rPr>
          <w:rFonts w:ascii="Times New Roman" w:hAnsi="Times New Roman"/>
          <w:szCs w:val="24"/>
          <w:lang w:val="sr-Cyrl-BA"/>
        </w:rPr>
        <w:t>ваним</w:t>
      </w:r>
      <w:r w:rsidR="008A1CDC" w:rsidRPr="00295637">
        <w:rPr>
          <w:rFonts w:ascii="Times New Roman" w:hAnsi="Times New Roman"/>
          <w:szCs w:val="24"/>
          <w:lang w:val="bs-Latn-BA"/>
        </w:rPr>
        <w:t xml:space="preserve"> </w:t>
      </w:r>
      <w:r w:rsidR="00C6214E">
        <w:rPr>
          <w:rFonts w:ascii="Times New Roman" w:hAnsi="Times New Roman"/>
          <w:szCs w:val="24"/>
          <w:lang w:val="bs-Latn-BA"/>
        </w:rPr>
        <w:t>групама</w:t>
      </w:r>
      <w:r w:rsidR="008A1CDC" w:rsidRPr="00295637">
        <w:rPr>
          <w:rFonts w:ascii="Times New Roman" w:hAnsi="Times New Roman"/>
          <w:szCs w:val="24"/>
          <w:lang w:val="bs-Latn-BA"/>
        </w:rPr>
        <w:t xml:space="preserve"> </w:t>
      </w:r>
      <w:r w:rsidR="00C6214E">
        <w:rPr>
          <w:rFonts w:ascii="Times New Roman" w:hAnsi="Times New Roman"/>
          <w:szCs w:val="24"/>
          <w:lang w:val="bs-Latn-BA"/>
        </w:rPr>
        <w:t>које</w:t>
      </w:r>
      <w:r w:rsidR="008A1CDC" w:rsidRPr="00295637">
        <w:rPr>
          <w:rFonts w:ascii="Times New Roman" w:hAnsi="Times New Roman"/>
          <w:szCs w:val="24"/>
          <w:lang w:val="bs-Latn-BA"/>
        </w:rPr>
        <w:t xml:space="preserve"> </w:t>
      </w:r>
      <w:r w:rsidR="00C6214E">
        <w:rPr>
          <w:rFonts w:ascii="Times New Roman" w:hAnsi="Times New Roman"/>
          <w:szCs w:val="24"/>
          <w:lang w:val="bs-Latn-BA"/>
        </w:rPr>
        <w:t>су</w:t>
      </w:r>
      <w:r w:rsidR="008A1CDC" w:rsidRPr="00295637">
        <w:rPr>
          <w:rFonts w:ascii="Times New Roman" w:hAnsi="Times New Roman"/>
          <w:szCs w:val="24"/>
          <w:lang w:val="bs-Latn-BA"/>
        </w:rPr>
        <w:t xml:space="preserve"> </w:t>
      </w:r>
      <w:r w:rsidR="00C6214E">
        <w:rPr>
          <w:rFonts w:ascii="Times New Roman" w:hAnsi="Times New Roman"/>
          <w:szCs w:val="24"/>
          <w:lang w:val="bs-Latn-BA"/>
        </w:rPr>
        <w:t>изложене</w:t>
      </w:r>
      <w:r w:rsidR="008A1CDC" w:rsidRPr="00295637">
        <w:rPr>
          <w:rFonts w:ascii="Times New Roman" w:hAnsi="Times New Roman"/>
          <w:szCs w:val="24"/>
          <w:lang w:val="bs-Latn-BA"/>
        </w:rPr>
        <w:t xml:space="preserve"> </w:t>
      </w:r>
      <w:r w:rsidR="00C6214E">
        <w:rPr>
          <w:rFonts w:ascii="Times New Roman" w:hAnsi="Times New Roman"/>
          <w:szCs w:val="24"/>
          <w:lang w:val="bs-Latn-BA"/>
        </w:rPr>
        <w:t>ризику</w:t>
      </w:r>
      <w:r w:rsidR="008A1CDC" w:rsidRPr="00295637">
        <w:rPr>
          <w:rFonts w:ascii="Times New Roman" w:hAnsi="Times New Roman"/>
          <w:szCs w:val="24"/>
          <w:lang w:val="bs-Latn-BA"/>
        </w:rPr>
        <w:t xml:space="preserve"> </w:t>
      </w:r>
      <w:r w:rsidR="00C6214E">
        <w:rPr>
          <w:rFonts w:ascii="Times New Roman" w:hAnsi="Times New Roman"/>
          <w:szCs w:val="24"/>
          <w:lang w:val="bs-Latn-BA"/>
        </w:rPr>
        <w:t>од</w:t>
      </w:r>
      <w:r w:rsidR="008A1CDC" w:rsidRPr="00295637">
        <w:rPr>
          <w:rFonts w:ascii="Times New Roman" w:hAnsi="Times New Roman"/>
          <w:szCs w:val="24"/>
          <w:lang w:val="bs-Latn-BA"/>
        </w:rPr>
        <w:t xml:space="preserve"> </w:t>
      </w:r>
      <w:r w:rsidR="00C6214E">
        <w:rPr>
          <w:rFonts w:ascii="Times New Roman" w:hAnsi="Times New Roman"/>
          <w:szCs w:val="24"/>
          <w:lang w:val="bs-Latn-BA"/>
        </w:rPr>
        <w:t>сиромаштва</w:t>
      </w:r>
      <w:r w:rsidR="008A1CDC" w:rsidRPr="00295637">
        <w:rPr>
          <w:rFonts w:ascii="Times New Roman" w:hAnsi="Times New Roman"/>
          <w:szCs w:val="24"/>
          <w:lang w:val="bs-Latn-BA"/>
        </w:rPr>
        <w:t xml:space="preserve"> </w:t>
      </w:r>
      <w:r w:rsidR="00C6214E">
        <w:rPr>
          <w:rFonts w:ascii="Times New Roman" w:hAnsi="Times New Roman"/>
          <w:szCs w:val="24"/>
          <w:lang w:val="bs-Latn-BA"/>
        </w:rPr>
        <w:t>и</w:t>
      </w:r>
      <w:r w:rsidR="008A1CDC" w:rsidRPr="00295637">
        <w:rPr>
          <w:rFonts w:ascii="Times New Roman" w:hAnsi="Times New Roman"/>
          <w:szCs w:val="24"/>
          <w:lang w:val="bs-Latn-BA"/>
        </w:rPr>
        <w:t xml:space="preserve"> </w:t>
      </w:r>
      <w:r w:rsidR="00C6214E">
        <w:rPr>
          <w:rFonts w:ascii="Times New Roman" w:hAnsi="Times New Roman"/>
          <w:szCs w:val="24"/>
          <w:lang w:val="bs-Latn-BA"/>
        </w:rPr>
        <w:t>изол</w:t>
      </w:r>
      <w:r>
        <w:rPr>
          <w:rFonts w:ascii="Times New Roman" w:hAnsi="Times New Roman"/>
          <w:szCs w:val="24"/>
          <w:lang w:val="sr-Cyrl-BA"/>
        </w:rPr>
        <w:t>ованости</w:t>
      </w:r>
      <w:r w:rsidR="008A1CDC" w:rsidRPr="00295637">
        <w:rPr>
          <w:rFonts w:ascii="Times New Roman" w:hAnsi="Times New Roman"/>
          <w:szCs w:val="24"/>
          <w:lang w:val="bs-Latn-BA"/>
        </w:rPr>
        <w:t xml:space="preserve">, </w:t>
      </w:r>
      <w:r w:rsidR="00C6214E">
        <w:rPr>
          <w:rFonts w:ascii="Times New Roman" w:hAnsi="Times New Roman"/>
          <w:szCs w:val="24"/>
          <w:lang w:val="bs-Latn-BA"/>
        </w:rPr>
        <w:t>а</w:t>
      </w:r>
      <w:r w:rsidR="008A1CDC" w:rsidRPr="00295637">
        <w:rPr>
          <w:rFonts w:ascii="Times New Roman" w:hAnsi="Times New Roman"/>
          <w:szCs w:val="24"/>
          <w:lang w:val="bs-Latn-BA"/>
        </w:rPr>
        <w:t xml:space="preserve"> </w:t>
      </w:r>
      <w:r w:rsidR="00C6214E">
        <w:rPr>
          <w:rFonts w:ascii="Times New Roman" w:hAnsi="Times New Roman"/>
          <w:szCs w:val="24"/>
          <w:lang w:val="bs-Latn-BA"/>
        </w:rPr>
        <w:t>које</w:t>
      </w:r>
      <w:r w:rsidR="008A1CDC" w:rsidRPr="00295637">
        <w:rPr>
          <w:rFonts w:ascii="Times New Roman" w:hAnsi="Times New Roman"/>
          <w:szCs w:val="24"/>
          <w:lang w:val="bs-Latn-BA"/>
        </w:rPr>
        <w:t xml:space="preserve"> </w:t>
      </w:r>
      <w:r w:rsidR="00C6214E">
        <w:rPr>
          <w:rFonts w:ascii="Times New Roman" w:hAnsi="Times New Roman"/>
          <w:szCs w:val="24"/>
          <w:lang w:val="bs-Latn-BA"/>
        </w:rPr>
        <w:t>углавном</w:t>
      </w:r>
      <w:r w:rsidR="008A1CDC" w:rsidRPr="00295637">
        <w:rPr>
          <w:rFonts w:ascii="Times New Roman" w:hAnsi="Times New Roman"/>
          <w:szCs w:val="24"/>
          <w:lang w:val="bs-Latn-BA"/>
        </w:rPr>
        <w:t xml:space="preserve"> </w:t>
      </w:r>
      <w:r w:rsidR="00C6214E">
        <w:rPr>
          <w:rFonts w:ascii="Times New Roman" w:hAnsi="Times New Roman"/>
          <w:szCs w:val="24"/>
          <w:lang w:val="bs-Latn-BA"/>
        </w:rPr>
        <w:t>чине</w:t>
      </w:r>
      <w:r w:rsidR="008A1CDC" w:rsidRPr="00295637">
        <w:rPr>
          <w:rFonts w:ascii="Times New Roman" w:hAnsi="Times New Roman"/>
          <w:szCs w:val="24"/>
          <w:lang w:val="bs-Latn-BA"/>
        </w:rPr>
        <w:t xml:space="preserve"> </w:t>
      </w:r>
      <w:r w:rsidR="00C6214E">
        <w:rPr>
          <w:rFonts w:ascii="Times New Roman" w:hAnsi="Times New Roman"/>
          <w:szCs w:val="24"/>
          <w:lang w:val="bs-Latn-BA"/>
        </w:rPr>
        <w:t>жене</w:t>
      </w:r>
      <w:r w:rsidR="008A1CDC" w:rsidRPr="00295637">
        <w:rPr>
          <w:rFonts w:ascii="Times New Roman" w:hAnsi="Times New Roman"/>
          <w:szCs w:val="24"/>
          <w:lang w:val="bs-Latn-BA"/>
        </w:rPr>
        <w:t xml:space="preserve">, </w:t>
      </w:r>
      <w:r w:rsidR="00C6214E">
        <w:rPr>
          <w:rFonts w:ascii="Times New Roman" w:hAnsi="Times New Roman"/>
          <w:szCs w:val="24"/>
          <w:lang w:val="bs-Latn-BA"/>
        </w:rPr>
        <w:t>како</w:t>
      </w:r>
      <w:r w:rsidR="008A1CDC" w:rsidRPr="00295637">
        <w:rPr>
          <w:rFonts w:ascii="Times New Roman" w:hAnsi="Times New Roman"/>
          <w:szCs w:val="24"/>
          <w:lang w:val="bs-Latn-BA"/>
        </w:rPr>
        <w:t xml:space="preserve"> </w:t>
      </w:r>
      <w:r w:rsidR="00C6214E">
        <w:rPr>
          <w:rFonts w:ascii="Times New Roman" w:hAnsi="Times New Roman"/>
          <w:szCs w:val="24"/>
          <w:lang w:val="bs-Latn-BA"/>
        </w:rPr>
        <w:t>би</w:t>
      </w:r>
      <w:r w:rsidR="008A1CDC" w:rsidRPr="00295637">
        <w:rPr>
          <w:rFonts w:ascii="Times New Roman" w:hAnsi="Times New Roman"/>
          <w:szCs w:val="24"/>
          <w:lang w:val="bs-Latn-BA"/>
        </w:rPr>
        <w:t xml:space="preserve"> </w:t>
      </w:r>
      <w:r w:rsidR="00C6214E">
        <w:rPr>
          <w:rFonts w:ascii="Times New Roman" w:hAnsi="Times New Roman"/>
          <w:szCs w:val="24"/>
          <w:lang w:val="bs-Latn-BA"/>
        </w:rPr>
        <w:t>се</w:t>
      </w:r>
      <w:r w:rsidR="008A1CDC" w:rsidRPr="00295637">
        <w:rPr>
          <w:rFonts w:ascii="Times New Roman" w:hAnsi="Times New Roman"/>
          <w:szCs w:val="24"/>
          <w:lang w:val="bs-Latn-BA"/>
        </w:rPr>
        <w:t xml:space="preserve"> </w:t>
      </w:r>
      <w:r w:rsidR="00C6214E">
        <w:rPr>
          <w:rFonts w:ascii="Times New Roman" w:hAnsi="Times New Roman"/>
          <w:szCs w:val="24"/>
          <w:lang w:val="bs-Latn-BA"/>
        </w:rPr>
        <w:t>подржало</w:t>
      </w:r>
      <w:r w:rsidR="008A1CDC" w:rsidRPr="00295637">
        <w:rPr>
          <w:rFonts w:ascii="Times New Roman" w:hAnsi="Times New Roman"/>
          <w:szCs w:val="24"/>
          <w:lang w:val="bs-Latn-BA"/>
        </w:rPr>
        <w:t xml:space="preserve"> </w:t>
      </w:r>
      <w:r w:rsidR="00C6214E">
        <w:rPr>
          <w:rFonts w:ascii="Times New Roman" w:hAnsi="Times New Roman"/>
          <w:szCs w:val="24"/>
          <w:lang w:val="bs-Latn-BA"/>
        </w:rPr>
        <w:t>њихово</w:t>
      </w:r>
      <w:r w:rsidR="008A1CDC" w:rsidRPr="00295637">
        <w:rPr>
          <w:rFonts w:ascii="Times New Roman" w:hAnsi="Times New Roman"/>
          <w:szCs w:val="24"/>
          <w:lang w:val="bs-Latn-BA"/>
        </w:rPr>
        <w:t xml:space="preserve"> </w:t>
      </w:r>
      <w:r w:rsidR="00C6214E">
        <w:rPr>
          <w:rFonts w:ascii="Times New Roman" w:hAnsi="Times New Roman"/>
          <w:szCs w:val="24"/>
          <w:lang w:val="bs-Latn-BA"/>
        </w:rPr>
        <w:t>укључивање</w:t>
      </w:r>
      <w:r w:rsidR="008A1CDC" w:rsidRPr="00295637">
        <w:rPr>
          <w:rFonts w:ascii="Times New Roman" w:hAnsi="Times New Roman"/>
          <w:szCs w:val="24"/>
          <w:lang w:val="bs-Latn-BA"/>
        </w:rPr>
        <w:t xml:space="preserve"> </w:t>
      </w:r>
      <w:r w:rsidR="00C6214E">
        <w:rPr>
          <w:rFonts w:ascii="Times New Roman" w:hAnsi="Times New Roman"/>
          <w:szCs w:val="24"/>
          <w:lang w:val="bs-Latn-BA"/>
        </w:rPr>
        <w:t>на</w:t>
      </w:r>
      <w:r w:rsidR="008A1CDC" w:rsidRPr="00295637">
        <w:rPr>
          <w:rFonts w:ascii="Times New Roman" w:hAnsi="Times New Roman"/>
          <w:szCs w:val="24"/>
          <w:lang w:val="bs-Latn-BA"/>
        </w:rPr>
        <w:t xml:space="preserve"> </w:t>
      </w:r>
      <w:r w:rsidR="00C6214E">
        <w:rPr>
          <w:rFonts w:ascii="Times New Roman" w:hAnsi="Times New Roman"/>
          <w:szCs w:val="24"/>
          <w:lang w:val="bs-Latn-BA"/>
        </w:rPr>
        <w:t>тржиште</w:t>
      </w:r>
      <w:r w:rsidR="008A1CDC" w:rsidRPr="00295637">
        <w:rPr>
          <w:rFonts w:ascii="Times New Roman" w:hAnsi="Times New Roman"/>
          <w:szCs w:val="24"/>
          <w:lang w:val="bs-Latn-BA"/>
        </w:rPr>
        <w:t xml:space="preserve"> </w:t>
      </w:r>
      <w:r w:rsidR="00C6214E">
        <w:rPr>
          <w:rFonts w:ascii="Times New Roman" w:hAnsi="Times New Roman"/>
          <w:szCs w:val="24"/>
          <w:lang w:val="bs-Latn-BA"/>
        </w:rPr>
        <w:t>рада</w:t>
      </w:r>
      <w:r w:rsidR="008A1CDC" w:rsidRPr="00295637">
        <w:rPr>
          <w:rFonts w:ascii="Times New Roman" w:hAnsi="Times New Roman"/>
          <w:szCs w:val="24"/>
          <w:lang w:val="bs-Latn-BA"/>
        </w:rPr>
        <w:t xml:space="preserve"> </w:t>
      </w:r>
      <w:r w:rsidR="00C6214E">
        <w:rPr>
          <w:rFonts w:ascii="Times New Roman" w:hAnsi="Times New Roman"/>
          <w:szCs w:val="24"/>
          <w:lang w:val="bs-Latn-BA"/>
        </w:rPr>
        <w:t>и</w:t>
      </w:r>
      <w:r w:rsidR="008A1CDC" w:rsidRPr="00295637">
        <w:rPr>
          <w:rFonts w:ascii="Times New Roman" w:hAnsi="Times New Roman"/>
          <w:szCs w:val="24"/>
          <w:lang w:val="bs-Latn-BA"/>
        </w:rPr>
        <w:t xml:space="preserve"> </w:t>
      </w:r>
      <w:r w:rsidR="00C6214E">
        <w:rPr>
          <w:rFonts w:ascii="Times New Roman" w:hAnsi="Times New Roman"/>
          <w:szCs w:val="24"/>
          <w:lang w:val="bs-Latn-BA"/>
        </w:rPr>
        <w:t>остваривање</w:t>
      </w:r>
      <w:r w:rsidR="008A1CDC" w:rsidRPr="00295637">
        <w:rPr>
          <w:rFonts w:ascii="Times New Roman" w:hAnsi="Times New Roman"/>
          <w:szCs w:val="24"/>
          <w:lang w:val="bs-Latn-BA"/>
        </w:rPr>
        <w:t xml:space="preserve"> </w:t>
      </w:r>
      <w:r w:rsidR="00C6214E">
        <w:rPr>
          <w:rFonts w:ascii="Times New Roman" w:hAnsi="Times New Roman"/>
          <w:szCs w:val="24"/>
          <w:lang w:val="bs-Latn-BA"/>
        </w:rPr>
        <w:t>права</w:t>
      </w:r>
      <w:r w:rsidR="008A1CDC" w:rsidRPr="00295637">
        <w:rPr>
          <w:rFonts w:ascii="Times New Roman" w:hAnsi="Times New Roman"/>
          <w:szCs w:val="24"/>
          <w:lang w:val="bs-Latn-BA"/>
        </w:rPr>
        <w:t xml:space="preserve"> </w:t>
      </w:r>
      <w:r w:rsidR="00C6214E">
        <w:rPr>
          <w:rFonts w:ascii="Times New Roman" w:hAnsi="Times New Roman"/>
          <w:szCs w:val="24"/>
          <w:lang w:val="bs-Latn-BA"/>
        </w:rPr>
        <w:t>на</w:t>
      </w:r>
      <w:r w:rsidR="008A1CDC" w:rsidRPr="00295637">
        <w:rPr>
          <w:rFonts w:ascii="Times New Roman" w:hAnsi="Times New Roman"/>
          <w:szCs w:val="24"/>
          <w:lang w:val="bs-Latn-BA"/>
        </w:rPr>
        <w:t xml:space="preserve"> </w:t>
      </w:r>
      <w:r w:rsidR="00C6214E">
        <w:rPr>
          <w:rFonts w:ascii="Times New Roman" w:hAnsi="Times New Roman"/>
          <w:szCs w:val="24"/>
          <w:lang w:val="bs-Latn-BA"/>
        </w:rPr>
        <w:t>социјалну</w:t>
      </w:r>
      <w:r w:rsidR="008A1CDC" w:rsidRPr="00295637">
        <w:rPr>
          <w:rFonts w:ascii="Times New Roman" w:hAnsi="Times New Roman"/>
          <w:szCs w:val="24"/>
          <w:lang w:val="bs-Latn-BA"/>
        </w:rPr>
        <w:t xml:space="preserve"> </w:t>
      </w:r>
      <w:r w:rsidR="00C6214E">
        <w:rPr>
          <w:rFonts w:ascii="Times New Roman" w:hAnsi="Times New Roman"/>
          <w:szCs w:val="24"/>
          <w:lang w:val="bs-Latn-BA"/>
        </w:rPr>
        <w:t>заштиту</w:t>
      </w:r>
      <w:r w:rsidR="008A1CDC" w:rsidRPr="00295637">
        <w:rPr>
          <w:rFonts w:ascii="Times New Roman" w:hAnsi="Times New Roman"/>
          <w:szCs w:val="24"/>
          <w:lang w:val="bs-Latn-BA"/>
        </w:rPr>
        <w:t xml:space="preserve">. </w:t>
      </w:r>
    </w:p>
    <w:p w:rsidR="00820915" w:rsidRPr="00295637" w:rsidRDefault="00820915" w:rsidP="00820915">
      <w:pPr>
        <w:tabs>
          <w:tab w:val="left" w:pos="284"/>
          <w:tab w:val="left" w:pos="630"/>
          <w:tab w:val="left" w:pos="1080"/>
        </w:tabs>
        <w:ind w:left="1080"/>
        <w:jc w:val="both"/>
        <w:rPr>
          <w:rFonts w:ascii="Times New Roman" w:hAnsi="Times New Roman"/>
          <w:szCs w:val="24"/>
          <w:lang w:val="bs-Latn-BA"/>
        </w:rPr>
      </w:pPr>
    </w:p>
    <w:p w:rsidR="00BC3E5B" w:rsidRPr="00B63A7C" w:rsidRDefault="00C6214E" w:rsidP="0086268D">
      <w:pPr>
        <w:pStyle w:val="HTMLPreformatted"/>
        <w:jc w:val="both"/>
        <w:rPr>
          <w:rStyle w:val="y2iqfc"/>
          <w:rFonts w:ascii="inherit" w:hAnsi="inherit"/>
          <w:sz w:val="24"/>
          <w:szCs w:val="24"/>
        </w:rPr>
      </w:pPr>
      <w:r>
        <w:rPr>
          <w:rStyle w:val="y2iqfc"/>
          <w:rFonts w:ascii="inherit" w:hAnsi="inherit"/>
          <w:sz w:val="24"/>
          <w:szCs w:val="24"/>
        </w:rPr>
        <w:t>Значајна</w:t>
      </w:r>
      <w:r w:rsidR="00BC3E5B" w:rsidRPr="00B63A7C">
        <w:rPr>
          <w:rStyle w:val="y2iqfc"/>
          <w:rFonts w:ascii="inherit" w:hAnsi="inherit"/>
          <w:sz w:val="24"/>
          <w:szCs w:val="24"/>
        </w:rPr>
        <w:t xml:space="preserve"> </w:t>
      </w:r>
      <w:r>
        <w:rPr>
          <w:rStyle w:val="y2iqfc"/>
          <w:rFonts w:ascii="inherit" w:hAnsi="inherit"/>
          <w:sz w:val="24"/>
          <w:szCs w:val="24"/>
        </w:rPr>
        <w:t>прекретница</w:t>
      </w:r>
      <w:r w:rsidR="00BC3E5B" w:rsidRPr="00B63A7C">
        <w:rPr>
          <w:rStyle w:val="y2iqfc"/>
          <w:rFonts w:ascii="inherit" w:hAnsi="inherit"/>
          <w:sz w:val="24"/>
          <w:szCs w:val="24"/>
        </w:rPr>
        <w:t xml:space="preserve"> </w:t>
      </w:r>
      <w:r>
        <w:rPr>
          <w:rStyle w:val="y2iqfc"/>
          <w:rFonts w:ascii="inherit" w:hAnsi="inherit"/>
          <w:sz w:val="24"/>
          <w:szCs w:val="24"/>
        </w:rPr>
        <w:t>постигнута</w:t>
      </w:r>
      <w:r w:rsidR="00BC3E5B" w:rsidRPr="00B63A7C">
        <w:rPr>
          <w:rStyle w:val="y2iqfc"/>
          <w:rFonts w:ascii="inherit" w:hAnsi="inherit"/>
          <w:sz w:val="24"/>
          <w:szCs w:val="24"/>
        </w:rPr>
        <w:t xml:space="preserve"> </w:t>
      </w:r>
      <w:r>
        <w:rPr>
          <w:rStyle w:val="y2iqfc"/>
          <w:rFonts w:ascii="inherit" w:hAnsi="inherit"/>
          <w:sz w:val="24"/>
          <w:szCs w:val="24"/>
        </w:rPr>
        <w:t>је</w:t>
      </w:r>
      <w:r w:rsidR="00BC3E5B" w:rsidRPr="00B63A7C">
        <w:rPr>
          <w:rStyle w:val="y2iqfc"/>
          <w:rFonts w:ascii="inherit" w:hAnsi="inherit"/>
          <w:sz w:val="24"/>
          <w:szCs w:val="24"/>
        </w:rPr>
        <w:t xml:space="preserve"> </w:t>
      </w:r>
      <w:r>
        <w:rPr>
          <w:rStyle w:val="y2iqfc"/>
          <w:rFonts w:ascii="inherit" w:hAnsi="inherit"/>
          <w:sz w:val="24"/>
          <w:szCs w:val="24"/>
        </w:rPr>
        <w:t>у</w:t>
      </w:r>
      <w:r w:rsidR="00BC3E5B" w:rsidRPr="00B63A7C">
        <w:rPr>
          <w:rStyle w:val="y2iqfc"/>
          <w:rFonts w:ascii="inherit" w:hAnsi="inherit"/>
          <w:sz w:val="24"/>
          <w:szCs w:val="24"/>
        </w:rPr>
        <w:t xml:space="preserve"> </w:t>
      </w:r>
      <w:r>
        <w:rPr>
          <w:rStyle w:val="y2iqfc"/>
          <w:rFonts w:ascii="inherit" w:hAnsi="inherit"/>
          <w:sz w:val="24"/>
          <w:szCs w:val="24"/>
        </w:rPr>
        <w:t>другој</w:t>
      </w:r>
      <w:r w:rsidR="00BC3E5B" w:rsidRPr="00B63A7C">
        <w:rPr>
          <w:rStyle w:val="y2iqfc"/>
          <w:rFonts w:ascii="inherit" w:hAnsi="inherit"/>
          <w:sz w:val="24"/>
          <w:szCs w:val="24"/>
        </w:rPr>
        <w:t xml:space="preserve"> </w:t>
      </w:r>
      <w:r>
        <w:rPr>
          <w:rStyle w:val="y2iqfc"/>
          <w:rFonts w:ascii="inherit" w:hAnsi="inherit"/>
          <w:sz w:val="24"/>
          <w:szCs w:val="24"/>
        </w:rPr>
        <w:t>половини</w:t>
      </w:r>
      <w:r w:rsidR="00BC3E5B" w:rsidRPr="00B63A7C">
        <w:rPr>
          <w:rStyle w:val="y2iqfc"/>
          <w:rFonts w:ascii="inherit" w:hAnsi="inherit"/>
          <w:sz w:val="24"/>
          <w:szCs w:val="24"/>
        </w:rPr>
        <w:t xml:space="preserve"> 2024. </w:t>
      </w:r>
      <w:r>
        <w:rPr>
          <w:rStyle w:val="y2iqfc"/>
          <w:rFonts w:ascii="inherit" w:hAnsi="inherit"/>
          <w:sz w:val="24"/>
          <w:szCs w:val="24"/>
        </w:rPr>
        <w:t>године</w:t>
      </w:r>
      <w:r w:rsidR="00BC3E5B" w:rsidRPr="00B63A7C">
        <w:rPr>
          <w:rStyle w:val="y2iqfc"/>
          <w:rFonts w:ascii="inherit" w:hAnsi="inherit"/>
          <w:sz w:val="24"/>
          <w:szCs w:val="24"/>
        </w:rPr>
        <w:t xml:space="preserve"> </w:t>
      </w:r>
      <w:r>
        <w:rPr>
          <w:rStyle w:val="y2iqfc"/>
          <w:rFonts w:ascii="inherit" w:hAnsi="inherit"/>
          <w:sz w:val="24"/>
          <w:szCs w:val="24"/>
        </w:rPr>
        <w:t>службеним</w:t>
      </w:r>
      <w:r w:rsidR="00BC3E5B" w:rsidRPr="00B63A7C">
        <w:rPr>
          <w:rStyle w:val="y2iqfc"/>
          <w:rFonts w:ascii="inherit" w:hAnsi="inherit"/>
          <w:sz w:val="24"/>
          <w:szCs w:val="24"/>
        </w:rPr>
        <w:t xml:space="preserve"> </w:t>
      </w:r>
      <w:r>
        <w:rPr>
          <w:rStyle w:val="y2iqfc"/>
          <w:rFonts w:ascii="inherit" w:hAnsi="inherit"/>
          <w:sz w:val="24"/>
          <w:szCs w:val="24"/>
        </w:rPr>
        <w:t>покретањем</w:t>
      </w:r>
      <w:r w:rsidR="00BC3E5B" w:rsidRPr="00B63A7C">
        <w:rPr>
          <w:rStyle w:val="y2iqfc"/>
          <w:rFonts w:ascii="inherit" w:hAnsi="inherit"/>
          <w:sz w:val="24"/>
          <w:szCs w:val="24"/>
        </w:rPr>
        <w:t xml:space="preserve"> </w:t>
      </w:r>
      <w:r>
        <w:rPr>
          <w:rStyle w:val="y2iqfc"/>
          <w:rFonts w:ascii="inherit" w:hAnsi="inherit"/>
          <w:sz w:val="24"/>
          <w:szCs w:val="24"/>
        </w:rPr>
        <w:t>Интерактивне</w:t>
      </w:r>
      <w:r w:rsidR="00BC3E5B" w:rsidRPr="00B63A7C">
        <w:rPr>
          <w:rStyle w:val="y2iqfc"/>
          <w:rFonts w:ascii="inherit" w:hAnsi="inherit"/>
          <w:sz w:val="24"/>
          <w:szCs w:val="24"/>
        </w:rPr>
        <w:t xml:space="preserve"> </w:t>
      </w:r>
      <w:r>
        <w:rPr>
          <w:rStyle w:val="y2iqfc"/>
          <w:rFonts w:ascii="inherit" w:hAnsi="inherit"/>
          <w:sz w:val="24"/>
          <w:szCs w:val="24"/>
        </w:rPr>
        <w:t>мапе</w:t>
      </w:r>
      <w:r w:rsidR="00BC3E5B" w:rsidRPr="00B63A7C">
        <w:rPr>
          <w:rStyle w:val="y2iqfc"/>
          <w:rFonts w:ascii="inherit" w:hAnsi="inherit"/>
          <w:sz w:val="24"/>
          <w:szCs w:val="24"/>
        </w:rPr>
        <w:t xml:space="preserve"> </w:t>
      </w:r>
      <w:r>
        <w:rPr>
          <w:rStyle w:val="y2iqfc"/>
          <w:rFonts w:ascii="inherit" w:hAnsi="inherit"/>
          <w:sz w:val="24"/>
          <w:szCs w:val="24"/>
        </w:rPr>
        <w:t>права</w:t>
      </w:r>
      <w:r w:rsidR="00BC3E5B" w:rsidRPr="00B63A7C">
        <w:rPr>
          <w:rStyle w:val="y2iqfc"/>
          <w:rFonts w:ascii="inherit" w:hAnsi="inherit"/>
          <w:sz w:val="24"/>
          <w:szCs w:val="24"/>
        </w:rPr>
        <w:t xml:space="preserve"> </w:t>
      </w:r>
      <w:r>
        <w:rPr>
          <w:rStyle w:val="y2iqfc"/>
          <w:rFonts w:ascii="inherit" w:hAnsi="inherit"/>
          <w:sz w:val="24"/>
          <w:szCs w:val="24"/>
        </w:rPr>
        <w:t>и</w:t>
      </w:r>
      <w:r w:rsidR="00BC3E5B" w:rsidRPr="00B63A7C">
        <w:rPr>
          <w:rStyle w:val="y2iqfc"/>
          <w:rFonts w:ascii="inherit" w:hAnsi="inherit"/>
          <w:sz w:val="24"/>
          <w:szCs w:val="24"/>
        </w:rPr>
        <w:t xml:space="preserve"> </w:t>
      </w:r>
      <w:r>
        <w:rPr>
          <w:rStyle w:val="y2iqfc"/>
          <w:rFonts w:ascii="inherit" w:hAnsi="inherit"/>
          <w:sz w:val="24"/>
          <w:szCs w:val="24"/>
        </w:rPr>
        <w:t>услуга</w:t>
      </w:r>
      <w:r w:rsidR="00BC3E5B" w:rsidRPr="00B63A7C">
        <w:rPr>
          <w:rStyle w:val="y2iqfc"/>
          <w:rFonts w:ascii="inherit" w:hAnsi="inherit"/>
          <w:sz w:val="24"/>
          <w:szCs w:val="24"/>
        </w:rPr>
        <w:t xml:space="preserve"> </w:t>
      </w:r>
      <w:r>
        <w:rPr>
          <w:rStyle w:val="y2iqfc"/>
          <w:rFonts w:ascii="inherit" w:hAnsi="inherit"/>
          <w:sz w:val="24"/>
          <w:szCs w:val="24"/>
        </w:rPr>
        <w:t>за</w:t>
      </w:r>
      <w:r w:rsidR="00BC3E5B" w:rsidRPr="00B63A7C">
        <w:rPr>
          <w:rStyle w:val="y2iqfc"/>
          <w:rFonts w:ascii="inherit" w:hAnsi="inherit"/>
          <w:sz w:val="24"/>
          <w:szCs w:val="24"/>
        </w:rPr>
        <w:t xml:space="preserve"> </w:t>
      </w:r>
      <w:r>
        <w:rPr>
          <w:rStyle w:val="y2iqfc"/>
          <w:rFonts w:ascii="inherit" w:hAnsi="inherit"/>
          <w:sz w:val="24"/>
          <w:szCs w:val="24"/>
        </w:rPr>
        <w:t>лица</w:t>
      </w:r>
      <w:r w:rsidR="00BC3E5B" w:rsidRPr="00B63A7C">
        <w:rPr>
          <w:rStyle w:val="y2iqfc"/>
          <w:rFonts w:ascii="inherit" w:hAnsi="inherit"/>
          <w:sz w:val="24"/>
          <w:szCs w:val="24"/>
        </w:rPr>
        <w:t xml:space="preserve"> </w:t>
      </w:r>
      <w:r>
        <w:rPr>
          <w:rStyle w:val="y2iqfc"/>
          <w:rFonts w:ascii="inherit" w:hAnsi="inherit"/>
          <w:sz w:val="24"/>
          <w:szCs w:val="24"/>
        </w:rPr>
        <w:t>са</w:t>
      </w:r>
      <w:r w:rsidR="00BC3E5B" w:rsidRPr="00B63A7C">
        <w:rPr>
          <w:rStyle w:val="y2iqfc"/>
          <w:rFonts w:ascii="inherit" w:hAnsi="inherit"/>
          <w:sz w:val="24"/>
          <w:szCs w:val="24"/>
        </w:rPr>
        <w:t xml:space="preserve"> </w:t>
      </w:r>
      <w:r>
        <w:rPr>
          <w:rStyle w:val="y2iqfc"/>
          <w:rFonts w:ascii="inherit" w:hAnsi="inherit"/>
          <w:sz w:val="24"/>
          <w:szCs w:val="24"/>
        </w:rPr>
        <w:t>инвалидитетом</w:t>
      </w:r>
      <w:r w:rsidR="00BC3E5B" w:rsidRPr="00B63A7C">
        <w:rPr>
          <w:rStyle w:val="y2iqfc"/>
          <w:rFonts w:ascii="inherit" w:hAnsi="inherit"/>
          <w:sz w:val="24"/>
          <w:szCs w:val="24"/>
        </w:rPr>
        <w:t xml:space="preserve"> </w:t>
      </w:r>
      <w:r>
        <w:rPr>
          <w:rStyle w:val="y2iqfc"/>
          <w:rFonts w:ascii="inherit" w:hAnsi="inherit"/>
          <w:sz w:val="24"/>
          <w:szCs w:val="24"/>
        </w:rPr>
        <w:t>и</w:t>
      </w:r>
      <w:r w:rsidR="00BC3E5B" w:rsidRPr="00B63A7C">
        <w:rPr>
          <w:rStyle w:val="y2iqfc"/>
          <w:rFonts w:ascii="inherit" w:hAnsi="inherit"/>
          <w:sz w:val="24"/>
          <w:szCs w:val="24"/>
        </w:rPr>
        <w:t xml:space="preserve"> </w:t>
      </w:r>
      <w:r>
        <w:rPr>
          <w:rStyle w:val="y2iqfc"/>
          <w:rFonts w:ascii="inherit" w:hAnsi="inherit"/>
          <w:sz w:val="24"/>
          <w:szCs w:val="24"/>
        </w:rPr>
        <w:t>старија</w:t>
      </w:r>
      <w:r w:rsidR="00BC3E5B" w:rsidRPr="00B63A7C">
        <w:rPr>
          <w:rStyle w:val="y2iqfc"/>
          <w:rFonts w:ascii="inherit" w:hAnsi="inherit"/>
          <w:sz w:val="24"/>
          <w:szCs w:val="24"/>
        </w:rPr>
        <w:t xml:space="preserve"> </w:t>
      </w:r>
      <w:r>
        <w:rPr>
          <w:rStyle w:val="y2iqfc"/>
          <w:rFonts w:ascii="inherit" w:hAnsi="inherit"/>
          <w:sz w:val="24"/>
          <w:szCs w:val="24"/>
        </w:rPr>
        <w:t>лица</w:t>
      </w:r>
      <w:r w:rsidR="00BC3E5B" w:rsidRPr="00B63A7C">
        <w:rPr>
          <w:rStyle w:val="y2iqfc"/>
          <w:rFonts w:ascii="inherit" w:hAnsi="inherit"/>
          <w:sz w:val="24"/>
          <w:szCs w:val="24"/>
        </w:rPr>
        <w:t xml:space="preserve"> </w:t>
      </w:r>
      <w:r>
        <w:rPr>
          <w:rStyle w:val="y2iqfc"/>
          <w:rFonts w:ascii="inherit" w:hAnsi="inherit"/>
          <w:sz w:val="24"/>
          <w:szCs w:val="24"/>
        </w:rPr>
        <w:t>у</w:t>
      </w:r>
      <w:r w:rsidR="00BC3E5B" w:rsidRPr="00B63A7C">
        <w:rPr>
          <w:rStyle w:val="y2iqfc"/>
          <w:rFonts w:ascii="inherit" w:hAnsi="inherit"/>
          <w:sz w:val="24"/>
          <w:szCs w:val="24"/>
        </w:rPr>
        <w:t xml:space="preserve"> </w:t>
      </w:r>
      <w:r>
        <w:rPr>
          <w:rStyle w:val="y2iqfc"/>
          <w:rFonts w:ascii="inherit" w:hAnsi="inherit"/>
          <w:sz w:val="24"/>
          <w:szCs w:val="24"/>
        </w:rPr>
        <w:t>КС</w:t>
      </w:r>
      <w:r w:rsidR="00142AC8" w:rsidRPr="00B63A7C">
        <w:rPr>
          <w:rStyle w:val="y2iqfc"/>
          <w:rFonts w:ascii="inherit" w:hAnsi="inherit"/>
          <w:sz w:val="24"/>
          <w:szCs w:val="24"/>
        </w:rPr>
        <w:t xml:space="preserve">, </w:t>
      </w:r>
      <w:r>
        <w:rPr>
          <w:rStyle w:val="y2iqfc"/>
          <w:rFonts w:ascii="inherit" w:hAnsi="inherit"/>
          <w:sz w:val="24"/>
          <w:szCs w:val="24"/>
        </w:rPr>
        <w:t>уз</w:t>
      </w:r>
      <w:r w:rsidR="00142AC8" w:rsidRPr="00B63A7C">
        <w:rPr>
          <w:rStyle w:val="y2iqfc"/>
          <w:rFonts w:ascii="inherit" w:hAnsi="inherit"/>
          <w:sz w:val="24"/>
          <w:szCs w:val="24"/>
        </w:rPr>
        <w:t xml:space="preserve"> </w:t>
      </w:r>
      <w:r>
        <w:rPr>
          <w:rStyle w:val="y2iqfc"/>
          <w:rFonts w:ascii="inherit" w:hAnsi="inherit"/>
          <w:sz w:val="24"/>
          <w:szCs w:val="24"/>
        </w:rPr>
        <w:t>подршку</w:t>
      </w:r>
      <w:r w:rsidR="00142AC8" w:rsidRPr="00B63A7C">
        <w:rPr>
          <w:rStyle w:val="y2iqfc"/>
          <w:rFonts w:ascii="inherit" w:hAnsi="inherit"/>
          <w:sz w:val="24"/>
          <w:szCs w:val="24"/>
        </w:rPr>
        <w:t xml:space="preserve"> </w:t>
      </w:r>
      <w:r w:rsidR="00A054E6" w:rsidRPr="00A054E6">
        <w:rPr>
          <w:rFonts w:ascii="inherit" w:hAnsi="inherit"/>
          <w:i/>
          <w:sz w:val="24"/>
          <w:szCs w:val="24"/>
          <w:lang w:val="hr-BA"/>
        </w:rPr>
        <w:t>UN Women</w:t>
      </w:r>
      <w:r w:rsidR="00BC3E5B" w:rsidRPr="00B63A7C">
        <w:rPr>
          <w:rStyle w:val="y2iqfc"/>
          <w:rFonts w:ascii="inherit" w:hAnsi="inherit"/>
          <w:sz w:val="24"/>
          <w:szCs w:val="24"/>
        </w:rPr>
        <w:t xml:space="preserve">. </w:t>
      </w:r>
      <w:r>
        <w:rPr>
          <w:rStyle w:val="y2iqfc"/>
          <w:rFonts w:ascii="inherit" w:hAnsi="inherit"/>
          <w:sz w:val="24"/>
          <w:szCs w:val="24"/>
        </w:rPr>
        <w:t>Иницијатива</w:t>
      </w:r>
      <w:r w:rsidR="00BC3E5B" w:rsidRPr="00B63A7C">
        <w:rPr>
          <w:rStyle w:val="y2iqfc"/>
          <w:rFonts w:ascii="inherit" w:hAnsi="inherit"/>
          <w:sz w:val="24"/>
          <w:szCs w:val="24"/>
        </w:rPr>
        <w:t xml:space="preserve"> </w:t>
      </w:r>
      <w:r>
        <w:rPr>
          <w:rStyle w:val="y2iqfc"/>
          <w:rFonts w:ascii="inherit" w:hAnsi="inherit"/>
          <w:sz w:val="24"/>
          <w:szCs w:val="24"/>
        </w:rPr>
        <w:t>обједињује</w:t>
      </w:r>
      <w:r w:rsidR="00BC3E5B" w:rsidRPr="00B63A7C">
        <w:rPr>
          <w:rStyle w:val="y2iqfc"/>
          <w:rFonts w:ascii="inherit" w:hAnsi="inherit"/>
          <w:sz w:val="24"/>
          <w:szCs w:val="24"/>
        </w:rPr>
        <w:t xml:space="preserve"> </w:t>
      </w:r>
      <w:r>
        <w:rPr>
          <w:rStyle w:val="y2iqfc"/>
          <w:rFonts w:ascii="inherit" w:hAnsi="inherit"/>
          <w:sz w:val="24"/>
          <w:szCs w:val="24"/>
        </w:rPr>
        <w:t>информације</w:t>
      </w:r>
      <w:r w:rsidR="00BC3E5B" w:rsidRPr="00B63A7C">
        <w:rPr>
          <w:rStyle w:val="y2iqfc"/>
          <w:rFonts w:ascii="inherit" w:hAnsi="inherit"/>
          <w:sz w:val="24"/>
          <w:szCs w:val="24"/>
        </w:rPr>
        <w:t xml:space="preserve"> </w:t>
      </w:r>
      <w:r>
        <w:rPr>
          <w:rStyle w:val="y2iqfc"/>
          <w:rFonts w:ascii="inherit" w:hAnsi="inherit"/>
          <w:sz w:val="24"/>
          <w:szCs w:val="24"/>
        </w:rPr>
        <w:t>о</w:t>
      </w:r>
      <w:r w:rsidR="00BC3E5B" w:rsidRPr="00B63A7C">
        <w:rPr>
          <w:rStyle w:val="y2iqfc"/>
          <w:rFonts w:ascii="inherit" w:hAnsi="inherit"/>
          <w:sz w:val="24"/>
          <w:szCs w:val="24"/>
        </w:rPr>
        <w:t xml:space="preserve"> </w:t>
      </w:r>
      <w:r>
        <w:rPr>
          <w:rStyle w:val="y2iqfc"/>
          <w:rFonts w:ascii="inherit" w:hAnsi="inherit"/>
          <w:sz w:val="24"/>
          <w:szCs w:val="24"/>
        </w:rPr>
        <w:t>правима</w:t>
      </w:r>
      <w:r w:rsidR="00BC3E5B" w:rsidRPr="00B63A7C">
        <w:rPr>
          <w:rStyle w:val="y2iqfc"/>
          <w:rFonts w:ascii="inherit" w:hAnsi="inherit"/>
          <w:sz w:val="24"/>
          <w:szCs w:val="24"/>
        </w:rPr>
        <w:t xml:space="preserve">, </w:t>
      </w:r>
      <w:r>
        <w:rPr>
          <w:rStyle w:val="y2iqfc"/>
          <w:rFonts w:ascii="inherit" w:hAnsi="inherit"/>
          <w:sz w:val="24"/>
          <w:szCs w:val="24"/>
        </w:rPr>
        <w:t>бенефицијама</w:t>
      </w:r>
      <w:r w:rsidR="00BC3E5B" w:rsidRPr="00B63A7C">
        <w:rPr>
          <w:rStyle w:val="y2iqfc"/>
          <w:rFonts w:ascii="inherit" w:hAnsi="inherit"/>
          <w:sz w:val="24"/>
          <w:szCs w:val="24"/>
        </w:rPr>
        <w:t xml:space="preserve"> </w:t>
      </w:r>
      <w:r>
        <w:rPr>
          <w:rStyle w:val="y2iqfc"/>
          <w:rFonts w:ascii="inherit" w:hAnsi="inherit"/>
          <w:sz w:val="24"/>
          <w:szCs w:val="24"/>
        </w:rPr>
        <w:t>и</w:t>
      </w:r>
      <w:r w:rsidR="00BC3E5B" w:rsidRPr="00B63A7C">
        <w:rPr>
          <w:rStyle w:val="y2iqfc"/>
          <w:rFonts w:ascii="inherit" w:hAnsi="inherit"/>
          <w:sz w:val="24"/>
          <w:szCs w:val="24"/>
        </w:rPr>
        <w:t xml:space="preserve"> </w:t>
      </w:r>
      <w:r>
        <w:rPr>
          <w:rStyle w:val="y2iqfc"/>
          <w:rFonts w:ascii="inherit" w:hAnsi="inherit"/>
          <w:sz w:val="24"/>
          <w:szCs w:val="24"/>
        </w:rPr>
        <w:t>услугама</w:t>
      </w:r>
      <w:r w:rsidR="00BC3E5B" w:rsidRPr="00B63A7C">
        <w:rPr>
          <w:rStyle w:val="y2iqfc"/>
          <w:rFonts w:ascii="inherit" w:hAnsi="inherit"/>
          <w:sz w:val="24"/>
          <w:szCs w:val="24"/>
        </w:rPr>
        <w:t xml:space="preserve"> </w:t>
      </w:r>
      <w:r>
        <w:rPr>
          <w:rStyle w:val="y2iqfc"/>
          <w:rFonts w:ascii="inherit" w:hAnsi="inherit"/>
          <w:sz w:val="24"/>
          <w:szCs w:val="24"/>
        </w:rPr>
        <w:t>на</w:t>
      </w:r>
      <w:r w:rsidR="00BC3E5B" w:rsidRPr="00B63A7C">
        <w:rPr>
          <w:rStyle w:val="y2iqfc"/>
          <w:rFonts w:ascii="inherit" w:hAnsi="inherit"/>
          <w:sz w:val="24"/>
          <w:szCs w:val="24"/>
        </w:rPr>
        <w:t xml:space="preserve"> </w:t>
      </w:r>
      <w:r>
        <w:rPr>
          <w:rStyle w:val="y2iqfc"/>
          <w:rFonts w:ascii="inherit" w:hAnsi="inherit"/>
          <w:sz w:val="24"/>
          <w:szCs w:val="24"/>
        </w:rPr>
        <w:t>једној</w:t>
      </w:r>
      <w:r w:rsidR="00BC3E5B" w:rsidRPr="00B63A7C">
        <w:rPr>
          <w:rStyle w:val="y2iqfc"/>
          <w:rFonts w:ascii="inherit" w:hAnsi="inherit"/>
          <w:sz w:val="24"/>
          <w:szCs w:val="24"/>
        </w:rPr>
        <w:t xml:space="preserve"> </w:t>
      </w:r>
      <w:r>
        <w:rPr>
          <w:rStyle w:val="y2iqfc"/>
          <w:rFonts w:ascii="inherit" w:hAnsi="inherit"/>
          <w:sz w:val="24"/>
          <w:szCs w:val="24"/>
        </w:rPr>
        <w:t>приступачној</w:t>
      </w:r>
      <w:r w:rsidR="00BC3E5B" w:rsidRPr="00B63A7C">
        <w:rPr>
          <w:rStyle w:val="y2iqfc"/>
          <w:rFonts w:ascii="inherit" w:hAnsi="inherit"/>
          <w:sz w:val="24"/>
          <w:szCs w:val="24"/>
        </w:rPr>
        <w:t xml:space="preserve"> </w:t>
      </w:r>
      <w:r>
        <w:rPr>
          <w:rStyle w:val="y2iqfc"/>
          <w:rFonts w:ascii="inherit" w:hAnsi="inherit"/>
          <w:sz w:val="24"/>
          <w:szCs w:val="24"/>
        </w:rPr>
        <w:t>дигиталној</w:t>
      </w:r>
      <w:r w:rsidR="00BC3E5B" w:rsidRPr="00B63A7C">
        <w:rPr>
          <w:rStyle w:val="y2iqfc"/>
          <w:rFonts w:ascii="inherit" w:hAnsi="inherit"/>
          <w:sz w:val="24"/>
          <w:szCs w:val="24"/>
        </w:rPr>
        <w:t xml:space="preserve"> </w:t>
      </w:r>
      <w:r>
        <w:rPr>
          <w:rStyle w:val="y2iqfc"/>
          <w:rFonts w:ascii="inherit" w:hAnsi="inherit"/>
          <w:sz w:val="24"/>
          <w:szCs w:val="24"/>
        </w:rPr>
        <w:t>платформи</w:t>
      </w:r>
      <w:r w:rsidR="00142AC8" w:rsidRPr="00B63A7C">
        <w:rPr>
          <w:rStyle w:val="y2iqfc"/>
          <w:rFonts w:ascii="inherit" w:hAnsi="inherit"/>
          <w:sz w:val="24"/>
          <w:szCs w:val="24"/>
        </w:rPr>
        <w:t xml:space="preserve"> </w:t>
      </w:r>
      <w:r>
        <w:rPr>
          <w:rStyle w:val="y2iqfc"/>
          <w:rFonts w:ascii="inherit" w:hAnsi="inherit"/>
          <w:sz w:val="24"/>
          <w:szCs w:val="24"/>
        </w:rPr>
        <w:t>и</w:t>
      </w:r>
      <w:r w:rsidR="00142AC8" w:rsidRPr="00B63A7C">
        <w:rPr>
          <w:rStyle w:val="y2iqfc"/>
          <w:rFonts w:ascii="inherit" w:hAnsi="inherit"/>
          <w:sz w:val="24"/>
          <w:szCs w:val="24"/>
        </w:rPr>
        <w:t xml:space="preserve"> </w:t>
      </w:r>
      <w:r>
        <w:rPr>
          <w:rStyle w:val="y2iqfc"/>
          <w:rFonts w:ascii="inherit" w:hAnsi="inherit"/>
          <w:sz w:val="24"/>
          <w:szCs w:val="24"/>
        </w:rPr>
        <w:t>поједностављеним</w:t>
      </w:r>
      <w:r w:rsidR="00142AC8" w:rsidRPr="00B63A7C">
        <w:rPr>
          <w:rStyle w:val="y2iqfc"/>
          <w:rFonts w:ascii="inherit" w:hAnsi="inherit"/>
          <w:sz w:val="24"/>
          <w:szCs w:val="24"/>
        </w:rPr>
        <w:t xml:space="preserve"> </w:t>
      </w:r>
      <w:r>
        <w:rPr>
          <w:rStyle w:val="y2iqfc"/>
          <w:rFonts w:ascii="inherit" w:hAnsi="inherit"/>
          <w:sz w:val="24"/>
          <w:szCs w:val="24"/>
        </w:rPr>
        <w:t>приступом</w:t>
      </w:r>
      <w:r w:rsidR="00142AC8" w:rsidRPr="00B63A7C">
        <w:rPr>
          <w:rStyle w:val="y2iqfc"/>
          <w:rFonts w:ascii="inherit" w:hAnsi="inherit"/>
          <w:sz w:val="24"/>
          <w:szCs w:val="24"/>
        </w:rPr>
        <w:t xml:space="preserve"> </w:t>
      </w:r>
      <w:r>
        <w:rPr>
          <w:rStyle w:val="y2iqfc"/>
          <w:rFonts w:ascii="inherit" w:hAnsi="inherit"/>
          <w:sz w:val="24"/>
          <w:szCs w:val="24"/>
        </w:rPr>
        <w:t>поузданим</w:t>
      </w:r>
      <w:r w:rsidR="00142AC8" w:rsidRPr="00B63A7C">
        <w:rPr>
          <w:rStyle w:val="y2iqfc"/>
          <w:rFonts w:ascii="inherit" w:hAnsi="inherit"/>
          <w:sz w:val="24"/>
          <w:szCs w:val="24"/>
        </w:rPr>
        <w:t xml:space="preserve"> </w:t>
      </w:r>
      <w:r>
        <w:rPr>
          <w:rStyle w:val="y2iqfc"/>
          <w:rFonts w:ascii="inherit" w:hAnsi="inherit"/>
          <w:sz w:val="24"/>
          <w:szCs w:val="24"/>
        </w:rPr>
        <w:t>и</w:t>
      </w:r>
      <w:r w:rsidR="00142AC8" w:rsidRPr="00B63A7C">
        <w:rPr>
          <w:rStyle w:val="y2iqfc"/>
          <w:rFonts w:ascii="inherit" w:hAnsi="inherit"/>
          <w:sz w:val="24"/>
          <w:szCs w:val="24"/>
        </w:rPr>
        <w:t xml:space="preserve"> </w:t>
      </w:r>
      <w:r>
        <w:rPr>
          <w:rStyle w:val="y2iqfc"/>
          <w:rFonts w:ascii="inherit" w:hAnsi="inherit"/>
          <w:sz w:val="24"/>
          <w:szCs w:val="24"/>
        </w:rPr>
        <w:t>ажурним</w:t>
      </w:r>
      <w:r w:rsidR="00142AC8" w:rsidRPr="00B63A7C">
        <w:rPr>
          <w:rStyle w:val="y2iqfc"/>
          <w:rFonts w:ascii="inherit" w:hAnsi="inherit"/>
          <w:sz w:val="24"/>
          <w:szCs w:val="24"/>
        </w:rPr>
        <w:t xml:space="preserve"> </w:t>
      </w:r>
      <w:r>
        <w:rPr>
          <w:rStyle w:val="y2iqfc"/>
          <w:rFonts w:ascii="inherit" w:hAnsi="inherit"/>
          <w:sz w:val="24"/>
          <w:szCs w:val="24"/>
        </w:rPr>
        <w:t>информацијама</w:t>
      </w:r>
      <w:r w:rsidR="00142AC8" w:rsidRPr="00B63A7C">
        <w:rPr>
          <w:rStyle w:val="y2iqfc"/>
          <w:rFonts w:ascii="inherit" w:hAnsi="inherit"/>
          <w:sz w:val="24"/>
          <w:szCs w:val="24"/>
        </w:rPr>
        <w:t xml:space="preserve"> </w:t>
      </w:r>
      <w:r>
        <w:rPr>
          <w:rStyle w:val="y2iqfc"/>
          <w:rFonts w:ascii="inherit" w:hAnsi="inherit"/>
          <w:sz w:val="24"/>
          <w:szCs w:val="24"/>
        </w:rPr>
        <w:t>оснажује</w:t>
      </w:r>
      <w:r w:rsidR="00BC3E5B" w:rsidRPr="00B63A7C">
        <w:rPr>
          <w:rStyle w:val="y2iqfc"/>
          <w:rFonts w:ascii="inherit" w:hAnsi="inherit"/>
          <w:sz w:val="24"/>
          <w:szCs w:val="24"/>
        </w:rPr>
        <w:t xml:space="preserve"> </w:t>
      </w:r>
      <w:r>
        <w:rPr>
          <w:rStyle w:val="y2iqfc"/>
          <w:rFonts w:ascii="inherit" w:hAnsi="inherit"/>
          <w:sz w:val="24"/>
          <w:szCs w:val="24"/>
        </w:rPr>
        <w:t>кориснике</w:t>
      </w:r>
      <w:r w:rsidR="00BC3E5B" w:rsidRPr="00B63A7C">
        <w:rPr>
          <w:rStyle w:val="y2iqfc"/>
          <w:rFonts w:ascii="inherit" w:hAnsi="inherit"/>
          <w:sz w:val="24"/>
          <w:szCs w:val="24"/>
        </w:rPr>
        <w:t xml:space="preserve">, </w:t>
      </w:r>
      <w:r>
        <w:rPr>
          <w:rStyle w:val="y2iqfc"/>
          <w:rFonts w:ascii="inherit" w:hAnsi="inherit"/>
          <w:sz w:val="24"/>
          <w:szCs w:val="24"/>
        </w:rPr>
        <w:t>посебно</w:t>
      </w:r>
      <w:r w:rsidR="00BC3E5B" w:rsidRPr="00B63A7C">
        <w:rPr>
          <w:rStyle w:val="y2iqfc"/>
          <w:rFonts w:ascii="inherit" w:hAnsi="inherit"/>
          <w:sz w:val="24"/>
          <w:szCs w:val="24"/>
        </w:rPr>
        <w:t xml:space="preserve"> </w:t>
      </w:r>
      <w:r>
        <w:rPr>
          <w:rStyle w:val="y2iqfc"/>
          <w:rFonts w:ascii="inherit" w:hAnsi="inherit"/>
          <w:sz w:val="24"/>
          <w:szCs w:val="24"/>
        </w:rPr>
        <w:t>жене</w:t>
      </w:r>
      <w:r w:rsidR="00BC3E5B" w:rsidRPr="00B63A7C">
        <w:rPr>
          <w:rStyle w:val="y2iqfc"/>
          <w:rFonts w:ascii="inherit" w:hAnsi="inherit"/>
          <w:sz w:val="24"/>
          <w:szCs w:val="24"/>
        </w:rPr>
        <w:t xml:space="preserve"> </w:t>
      </w:r>
      <w:r>
        <w:rPr>
          <w:rStyle w:val="y2iqfc"/>
          <w:rFonts w:ascii="inherit" w:hAnsi="inherit"/>
          <w:sz w:val="24"/>
          <w:szCs w:val="24"/>
        </w:rPr>
        <w:t>његоватељице</w:t>
      </w:r>
      <w:r w:rsidR="00142AC8" w:rsidRPr="00B63A7C">
        <w:rPr>
          <w:rStyle w:val="y2iqfc"/>
          <w:rFonts w:ascii="inherit" w:hAnsi="inherit"/>
          <w:sz w:val="24"/>
          <w:szCs w:val="24"/>
        </w:rPr>
        <w:t xml:space="preserve"> </w:t>
      </w:r>
      <w:r>
        <w:rPr>
          <w:rStyle w:val="y2iqfc"/>
          <w:rFonts w:ascii="inherit" w:hAnsi="inherit"/>
          <w:sz w:val="24"/>
          <w:szCs w:val="24"/>
        </w:rPr>
        <w:t>јер</w:t>
      </w:r>
      <w:r w:rsidR="00BC3E5B" w:rsidRPr="00B63A7C">
        <w:rPr>
          <w:rStyle w:val="y2iqfc"/>
          <w:rFonts w:ascii="inherit" w:hAnsi="inherit"/>
          <w:sz w:val="24"/>
          <w:szCs w:val="24"/>
        </w:rPr>
        <w:t xml:space="preserve"> </w:t>
      </w:r>
      <w:r>
        <w:rPr>
          <w:rStyle w:val="y2iqfc"/>
          <w:rFonts w:ascii="inherit" w:hAnsi="inherit"/>
          <w:sz w:val="24"/>
          <w:szCs w:val="24"/>
        </w:rPr>
        <w:t>смањује</w:t>
      </w:r>
      <w:r w:rsidR="00BC3E5B" w:rsidRPr="00B63A7C">
        <w:rPr>
          <w:rStyle w:val="y2iqfc"/>
          <w:rFonts w:ascii="inherit" w:hAnsi="inherit"/>
          <w:sz w:val="24"/>
          <w:szCs w:val="24"/>
        </w:rPr>
        <w:t xml:space="preserve"> </w:t>
      </w:r>
      <w:r>
        <w:rPr>
          <w:rStyle w:val="y2iqfc"/>
          <w:rFonts w:ascii="inherit" w:hAnsi="inherit"/>
          <w:sz w:val="24"/>
          <w:szCs w:val="24"/>
        </w:rPr>
        <w:t>вријеме</w:t>
      </w:r>
      <w:r w:rsidR="00BC3E5B" w:rsidRPr="00B63A7C">
        <w:rPr>
          <w:rStyle w:val="y2iqfc"/>
          <w:rFonts w:ascii="inherit" w:hAnsi="inherit"/>
          <w:sz w:val="24"/>
          <w:szCs w:val="24"/>
        </w:rPr>
        <w:t xml:space="preserve"> </w:t>
      </w:r>
      <w:r>
        <w:rPr>
          <w:rStyle w:val="y2iqfc"/>
          <w:rFonts w:ascii="inherit" w:hAnsi="inherit"/>
          <w:sz w:val="24"/>
          <w:szCs w:val="24"/>
        </w:rPr>
        <w:t>и</w:t>
      </w:r>
      <w:r w:rsidR="00BC3E5B" w:rsidRPr="00B63A7C">
        <w:rPr>
          <w:rStyle w:val="y2iqfc"/>
          <w:rFonts w:ascii="inherit" w:hAnsi="inherit"/>
          <w:sz w:val="24"/>
          <w:szCs w:val="24"/>
        </w:rPr>
        <w:t xml:space="preserve"> </w:t>
      </w:r>
      <w:r>
        <w:rPr>
          <w:rStyle w:val="y2iqfc"/>
          <w:rFonts w:ascii="inherit" w:hAnsi="inherit"/>
          <w:sz w:val="24"/>
          <w:szCs w:val="24"/>
        </w:rPr>
        <w:t>труд</w:t>
      </w:r>
      <w:r w:rsidR="00BC3E5B" w:rsidRPr="00B63A7C">
        <w:rPr>
          <w:rStyle w:val="y2iqfc"/>
          <w:rFonts w:ascii="inherit" w:hAnsi="inherit"/>
          <w:sz w:val="24"/>
          <w:szCs w:val="24"/>
        </w:rPr>
        <w:t xml:space="preserve"> </w:t>
      </w:r>
      <w:r>
        <w:rPr>
          <w:rStyle w:val="y2iqfc"/>
          <w:rFonts w:ascii="inherit" w:hAnsi="inherit"/>
          <w:sz w:val="24"/>
          <w:szCs w:val="24"/>
        </w:rPr>
        <w:t>који</w:t>
      </w:r>
      <w:r w:rsidR="00C42624" w:rsidRPr="00B63A7C">
        <w:rPr>
          <w:rStyle w:val="y2iqfc"/>
          <w:rFonts w:ascii="inherit" w:hAnsi="inherit"/>
          <w:sz w:val="24"/>
          <w:szCs w:val="24"/>
        </w:rPr>
        <w:t xml:space="preserve"> </w:t>
      </w:r>
      <w:r>
        <w:rPr>
          <w:rStyle w:val="y2iqfc"/>
          <w:rFonts w:ascii="inherit" w:hAnsi="inherit"/>
          <w:sz w:val="24"/>
          <w:szCs w:val="24"/>
        </w:rPr>
        <w:t>су</w:t>
      </w:r>
      <w:r w:rsidR="00C42624" w:rsidRPr="00B63A7C">
        <w:rPr>
          <w:rStyle w:val="y2iqfc"/>
          <w:rFonts w:ascii="inherit" w:hAnsi="inherit"/>
          <w:sz w:val="24"/>
          <w:szCs w:val="24"/>
        </w:rPr>
        <w:t xml:space="preserve"> </w:t>
      </w:r>
      <w:r>
        <w:rPr>
          <w:rStyle w:val="y2iqfc"/>
          <w:rFonts w:ascii="inherit" w:hAnsi="inherit"/>
          <w:sz w:val="24"/>
          <w:szCs w:val="24"/>
        </w:rPr>
        <w:t>потребни</w:t>
      </w:r>
      <w:r w:rsidR="00BC3E5B" w:rsidRPr="00B63A7C">
        <w:rPr>
          <w:rStyle w:val="y2iqfc"/>
          <w:rFonts w:ascii="inherit" w:hAnsi="inherit"/>
          <w:sz w:val="24"/>
          <w:szCs w:val="24"/>
        </w:rPr>
        <w:t xml:space="preserve"> </w:t>
      </w:r>
      <w:r>
        <w:rPr>
          <w:rStyle w:val="y2iqfc"/>
          <w:rFonts w:ascii="inherit" w:hAnsi="inherit"/>
          <w:sz w:val="24"/>
          <w:szCs w:val="24"/>
        </w:rPr>
        <w:t>за</w:t>
      </w:r>
      <w:r w:rsidR="00BC3E5B" w:rsidRPr="00B63A7C">
        <w:rPr>
          <w:rStyle w:val="y2iqfc"/>
          <w:rFonts w:ascii="inherit" w:hAnsi="inherit"/>
          <w:sz w:val="24"/>
          <w:szCs w:val="24"/>
        </w:rPr>
        <w:t xml:space="preserve"> </w:t>
      </w:r>
      <w:r>
        <w:rPr>
          <w:rStyle w:val="y2iqfc"/>
          <w:rFonts w:ascii="inherit" w:hAnsi="inherit"/>
          <w:sz w:val="24"/>
          <w:szCs w:val="24"/>
        </w:rPr>
        <w:t>сналажење</w:t>
      </w:r>
      <w:r w:rsidR="00BC3E5B" w:rsidRPr="00B63A7C">
        <w:rPr>
          <w:rStyle w:val="y2iqfc"/>
          <w:rFonts w:ascii="inherit" w:hAnsi="inherit"/>
          <w:sz w:val="24"/>
          <w:szCs w:val="24"/>
        </w:rPr>
        <w:t xml:space="preserve"> </w:t>
      </w:r>
      <w:r>
        <w:rPr>
          <w:rStyle w:val="y2iqfc"/>
          <w:rFonts w:ascii="inherit" w:hAnsi="inherit"/>
          <w:sz w:val="24"/>
          <w:szCs w:val="24"/>
        </w:rPr>
        <w:t>у</w:t>
      </w:r>
      <w:r w:rsidR="00BC3E5B" w:rsidRPr="00B63A7C">
        <w:rPr>
          <w:rStyle w:val="y2iqfc"/>
          <w:rFonts w:ascii="inherit" w:hAnsi="inherit"/>
          <w:sz w:val="24"/>
          <w:szCs w:val="24"/>
        </w:rPr>
        <w:t xml:space="preserve"> </w:t>
      </w:r>
      <w:r>
        <w:rPr>
          <w:rStyle w:val="y2iqfc"/>
          <w:rFonts w:ascii="inherit" w:hAnsi="inherit"/>
          <w:sz w:val="24"/>
          <w:szCs w:val="24"/>
        </w:rPr>
        <w:t>фрагменти</w:t>
      </w:r>
      <w:r w:rsidR="00A054E6">
        <w:rPr>
          <w:rStyle w:val="y2iqfc"/>
          <w:rFonts w:ascii="inherit" w:hAnsi="inherit"/>
          <w:sz w:val="24"/>
          <w:szCs w:val="24"/>
          <w:lang w:val="sr-Cyrl-BA"/>
        </w:rPr>
        <w:t>с</w:t>
      </w:r>
      <w:r>
        <w:rPr>
          <w:rStyle w:val="y2iqfc"/>
          <w:rFonts w:ascii="inherit" w:hAnsi="inherit"/>
          <w:sz w:val="24"/>
          <w:szCs w:val="24"/>
        </w:rPr>
        <w:t>аним</w:t>
      </w:r>
      <w:r w:rsidR="00BC3E5B" w:rsidRPr="00B63A7C">
        <w:rPr>
          <w:rStyle w:val="y2iqfc"/>
          <w:rFonts w:ascii="inherit" w:hAnsi="inherit"/>
          <w:sz w:val="24"/>
          <w:szCs w:val="24"/>
        </w:rPr>
        <w:t xml:space="preserve"> </w:t>
      </w:r>
      <w:r>
        <w:rPr>
          <w:rStyle w:val="y2iqfc"/>
          <w:rFonts w:ascii="inherit" w:hAnsi="inherit"/>
          <w:sz w:val="24"/>
          <w:szCs w:val="24"/>
        </w:rPr>
        <w:t>институционалним</w:t>
      </w:r>
      <w:r w:rsidR="00BC3E5B" w:rsidRPr="00B63A7C">
        <w:rPr>
          <w:rStyle w:val="y2iqfc"/>
          <w:rFonts w:ascii="inherit" w:hAnsi="inherit"/>
          <w:sz w:val="24"/>
          <w:szCs w:val="24"/>
        </w:rPr>
        <w:t xml:space="preserve"> </w:t>
      </w:r>
      <w:r>
        <w:rPr>
          <w:rStyle w:val="y2iqfc"/>
          <w:rFonts w:ascii="inherit" w:hAnsi="inherit"/>
          <w:sz w:val="24"/>
          <w:szCs w:val="24"/>
        </w:rPr>
        <w:t>системима</w:t>
      </w:r>
      <w:r w:rsidR="00BC3E5B" w:rsidRPr="00B63A7C">
        <w:rPr>
          <w:rStyle w:val="y2iqfc"/>
          <w:rFonts w:ascii="inherit" w:hAnsi="inherit"/>
          <w:sz w:val="24"/>
          <w:szCs w:val="24"/>
        </w:rPr>
        <w:t>.</w:t>
      </w:r>
    </w:p>
    <w:p w:rsidR="008A1CDC" w:rsidRPr="00295637" w:rsidRDefault="008A1CDC" w:rsidP="0086268D">
      <w:pPr>
        <w:jc w:val="both"/>
        <w:rPr>
          <w:rFonts w:ascii="Times New Roman" w:hAnsi="Times New Roman"/>
          <w:lang w:val="bs-Latn-BA"/>
        </w:rPr>
      </w:pPr>
    </w:p>
    <w:p w:rsidR="00404BE5" w:rsidRDefault="00C6214E" w:rsidP="0086268D">
      <w:pPr>
        <w:jc w:val="both"/>
        <w:rPr>
          <w:rFonts w:ascii="Times New Roman" w:hAnsi="Times New Roman"/>
          <w:lang w:val="sr-Latn-BA"/>
        </w:rPr>
      </w:pPr>
      <w:r>
        <w:rPr>
          <w:rFonts w:ascii="Times New Roman" w:hAnsi="Times New Roman"/>
          <w:lang w:val="sr-Latn-BA"/>
        </w:rPr>
        <w:t>Комисија</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равноправност</w:t>
      </w:r>
      <w:r w:rsidR="00404BE5" w:rsidRPr="00295637">
        <w:rPr>
          <w:rFonts w:ascii="Times New Roman" w:hAnsi="Times New Roman"/>
          <w:lang w:val="sr-Latn-BA"/>
        </w:rPr>
        <w:t xml:space="preserve"> </w:t>
      </w:r>
      <w:r>
        <w:rPr>
          <w:rFonts w:ascii="Times New Roman" w:hAnsi="Times New Roman"/>
          <w:lang w:val="sr-Latn-BA"/>
        </w:rPr>
        <w:t>полова</w:t>
      </w:r>
      <w:r w:rsidR="00404BE5" w:rsidRPr="00295637">
        <w:rPr>
          <w:rFonts w:ascii="Times New Roman" w:hAnsi="Times New Roman"/>
          <w:lang w:val="sr-Latn-BA"/>
        </w:rPr>
        <w:t xml:space="preserve"> </w:t>
      </w:r>
      <w:r>
        <w:rPr>
          <w:rFonts w:ascii="Times New Roman" w:hAnsi="Times New Roman"/>
          <w:lang w:val="sr-Latn-BA"/>
        </w:rPr>
        <w:t>Града</w:t>
      </w:r>
      <w:r w:rsidR="00404BE5" w:rsidRPr="00295637">
        <w:rPr>
          <w:rFonts w:ascii="Times New Roman" w:hAnsi="Times New Roman"/>
          <w:lang w:val="sr-Latn-BA"/>
        </w:rPr>
        <w:t xml:space="preserve"> </w:t>
      </w:r>
      <w:r>
        <w:rPr>
          <w:rFonts w:ascii="Times New Roman" w:hAnsi="Times New Roman"/>
          <w:lang w:val="sr-Latn-BA"/>
        </w:rPr>
        <w:t>Приједора</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сарадњи</w:t>
      </w:r>
      <w:r w:rsidR="008F47E4">
        <w:rPr>
          <w:rFonts w:ascii="Times New Roman" w:hAnsi="Times New Roman"/>
          <w:lang w:val="sr-Latn-BA"/>
        </w:rPr>
        <w:t xml:space="preserve"> </w:t>
      </w:r>
      <w:r>
        <w:rPr>
          <w:rFonts w:ascii="Times New Roman" w:hAnsi="Times New Roman"/>
          <w:lang w:val="sr-Latn-BA"/>
        </w:rPr>
        <w:t>са</w:t>
      </w:r>
      <w:r w:rsidR="00404BE5" w:rsidRPr="00295637">
        <w:rPr>
          <w:rFonts w:ascii="Times New Roman" w:hAnsi="Times New Roman"/>
          <w:lang w:val="sr-Latn-BA"/>
        </w:rPr>
        <w:t xml:space="preserve"> </w:t>
      </w:r>
      <w:r>
        <w:rPr>
          <w:rFonts w:ascii="Times New Roman" w:hAnsi="Times New Roman"/>
          <w:lang w:val="sr-Latn-BA"/>
        </w:rPr>
        <w:t>Центром</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социјални</w:t>
      </w:r>
      <w:r w:rsidR="00404BE5" w:rsidRPr="00295637">
        <w:rPr>
          <w:rFonts w:ascii="Times New Roman" w:hAnsi="Times New Roman"/>
          <w:lang w:val="sr-Latn-BA"/>
        </w:rPr>
        <w:t xml:space="preserve"> </w:t>
      </w:r>
      <w:r>
        <w:rPr>
          <w:rFonts w:ascii="Times New Roman" w:hAnsi="Times New Roman"/>
          <w:lang w:val="sr-Latn-BA"/>
        </w:rPr>
        <w:t>рад</w:t>
      </w:r>
      <w:r w:rsidR="008F47E4">
        <w:rPr>
          <w:rFonts w:ascii="Times New Roman" w:hAnsi="Times New Roman"/>
          <w:lang w:val="sr-Latn-BA"/>
        </w:rPr>
        <w:t xml:space="preserve"> </w:t>
      </w:r>
      <w:r>
        <w:rPr>
          <w:rFonts w:ascii="Times New Roman" w:hAnsi="Times New Roman"/>
          <w:lang w:val="sr-Latn-BA"/>
        </w:rPr>
        <w:t>Приједор</w:t>
      </w:r>
      <w:r w:rsidR="008F47E4">
        <w:rPr>
          <w:rFonts w:ascii="Times New Roman" w:hAnsi="Times New Roman"/>
          <w:lang w:val="sr-Latn-BA"/>
        </w:rPr>
        <w:t xml:space="preserve">, </w:t>
      </w:r>
      <w:r>
        <w:rPr>
          <w:rFonts w:ascii="Times New Roman" w:hAnsi="Times New Roman"/>
          <w:lang w:val="sr-Latn-BA"/>
        </w:rPr>
        <w:t>провела</w:t>
      </w:r>
      <w:r w:rsidR="008F47E4">
        <w:rPr>
          <w:rFonts w:ascii="Times New Roman" w:hAnsi="Times New Roman"/>
          <w:lang w:val="sr-Latn-BA"/>
        </w:rPr>
        <w:t xml:space="preserve"> </w:t>
      </w:r>
      <w:r>
        <w:rPr>
          <w:rFonts w:ascii="Times New Roman" w:hAnsi="Times New Roman"/>
          <w:lang w:val="sr-Latn-BA"/>
        </w:rPr>
        <w:t>је</w:t>
      </w:r>
      <w:r w:rsidR="008F47E4">
        <w:rPr>
          <w:rFonts w:ascii="Times New Roman" w:hAnsi="Times New Roman"/>
          <w:lang w:val="sr-Latn-BA"/>
        </w:rPr>
        <w:t xml:space="preserve"> </w:t>
      </w:r>
      <w:r>
        <w:rPr>
          <w:rFonts w:ascii="Times New Roman" w:hAnsi="Times New Roman"/>
          <w:lang w:val="sr-Latn-BA"/>
        </w:rPr>
        <w:t>пројекат</w:t>
      </w:r>
      <w:r w:rsidR="00404BE5" w:rsidRPr="00295637">
        <w:rPr>
          <w:rFonts w:ascii="Times New Roman" w:hAnsi="Times New Roman"/>
          <w:lang w:val="sr-Latn-BA"/>
        </w:rPr>
        <w:t xml:space="preserve"> „</w:t>
      </w:r>
      <w:r>
        <w:rPr>
          <w:rFonts w:ascii="Times New Roman" w:hAnsi="Times New Roman"/>
          <w:lang w:val="sr-Latn-BA"/>
        </w:rPr>
        <w:t>Запосли</w:t>
      </w:r>
      <w:r w:rsidR="00404BE5" w:rsidRPr="00295637">
        <w:rPr>
          <w:rFonts w:ascii="Times New Roman" w:hAnsi="Times New Roman"/>
          <w:lang w:val="sr-Latn-BA"/>
        </w:rPr>
        <w:t xml:space="preserve"> </w:t>
      </w:r>
      <w:r>
        <w:rPr>
          <w:rFonts w:ascii="Times New Roman" w:hAnsi="Times New Roman"/>
          <w:lang w:val="sr-Latn-BA"/>
        </w:rPr>
        <w:t>се</w:t>
      </w:r>
      <w:r w:rsidR="00404BE5" w:rsidRPr="00295637">
        <w:rPr>
          <w:rFonts w:ascii="Times New Roman" w:hAnsi="Times New Roman"/>
          <w:lang w:val="sr-Latn-BA"/>
        </w:rPr>
        <w:t xml:space="preserve">“ </w:t>
      </w:r>
      <w:r>
        <w:rPr>
          <w:rFonts w:ascii="Times New Roman" w:hAnsi="Times New Roman"/>
          <w:lang w:val="sr-Latn-BA"/>
        </w:rPr>
        <w:t>намијењен</w:t>
      </w:r>
      <w:r w:rsidR="00404BE5" w:rsidRPr="00295637">
        <w:rPr>
          <w:rFonts w:ascii="Times New Roman" w:hAnsi="Times New Roman"/>
          <w:lang w:val="sr-Latn-BA"/>
        </w:rPr>
        <w:t xml:space="preserve"> </w:t>
      </w:r>
      <w:r>
        <w:rPr>
          <w:rFonts w:ascii="Times New Roman" w:hAnsi="Times New Roman"/>
          <w:lang w:val="sr-Latn-BA"/>
        </w:rPr>
        <w:t>женама</w:t>
      </w:r>
      <w:r w:rsidR="00404BE5" w:rsidRPr="00295637">
        <w:rPr>
          <w:rFonts w:ascii="Times New Roman" w:hAnsi="Times New Roman"/>
          <w:lang w:val="sr-Latn-BA"/>
        </w:rPr>
        <w:t xml:space="preserve"> </w:t>
      </w:r>
      <w:r>
        <w:rPr>
          <w:rFonts w:ascii="Times New Roman" w:hAnsi="Times New Roman"/>
          <w:lang w:val="sr-Latn-BA"/>
        </w:rPr>
        <w:t>угроженим</w:t>
      </w:r>
      <w:r w:rsidR="00404BE5" w:rsidRPr="00295637">
        <w:rPr>
          <w:rFonts w:ascii="Times New Roman" w:hAnsi="Times New Roman"/>
          <w:lang w:val="sr-Latn-BA"/>
        </w:rPr>
        <w:t xml:space="preserve"> </w:t>
      </w:r>
      <w:r>
        <w:rPr>
          <w:rFonts w:ascii="Times New Roman" w:hAnsi="Times New Roman"/>
          <w:lang w:val="sr-Latn-BA"/>
        </w:rPr>
        <w:t>социјалним</w:t>
      </w:r>
      <w:r w:rsidR="00404BE5" w:rsidRPr="00295637">
        <w:rPr>
          <w:rFonts w:ascii="Times New Roman" w:hAnsi="Times New Roman"/>
          <w:lang w:val="sr-Latn-BA"/>
        </w:rPr>
        <w:t xml:space="preserve"> </w:t>
      </w:r>
      <w:r>
        <w:rPr>
          <w:rFonts w:ascii="Times New Roman" w:hAnsi="Times New Roman"/>
          <w:lang w:val="sr-Latn-BA"/>
        </w:rPr>
        <w:t>приликама</w:t>
      </w:r>
      <w:r w:rsidR="00404BE5" w:rsidRPr="00295637">
        <w:rPr>
          <w:rFonts w:ascii="Times New Roman" w:hAnsi="Times New Roman"/>
          <w:lang w:val="sr-Latn-BA"/>
        </w:rPr>
        <w:t xml:space="preserve"> </w:t>
      </w:r>
      <w:r>
        <w:rPr>
          <w:rFonts w:ascii="Times New Roman" w:hAnsi="Times New Roman"/>
          <w:lang w:val="sr-Latn-BA"/>
        </w:rPr>
        <w:t>и</w:t>
      </w:r>
      <w:r w:rsidR="00404BE5" w:rsidRPr="00295637">
        <w:rPr>
          <w:rFonts w:ascii="Times New Roman" w:hAnsi="Times New Roman"/>
          <w:lang w:val="sr-Latn-BA"/>
        </w:rPr>
        <w:t xml:space="preserve"> </w:t>
      </w:r>
      <w:r>
        <w:rPr>
          <w:rFonts w:ascii="Times New Roman" w:hAnsi="Times New Roman"/>
          <w:lang w:val="sr-Latn-BA"/>
        </w:rPr>
        <w:t>женама</w:t>
      </w:r>
      <w:r w:rsidR="00404BE5" w:rsidRPr="00295637">
        <w:rPr>
          <w:rFonts w:ascii="Times New Roman" w:hAnsi="Times New Roman"/>
          <w:lang w:val="sr-Latn-BA"/>
        </w:rPr>
        <w:t xml:space="preserve"> </w:t>
      </w:r>
      <w:r>
        <w:rPr>
          <w:rFonts w:ascii="Times New Roman" w:hAnsi="Times New Roman"/>
          <w:lang w:val="sr-Latn-BA"/>
        </w:rPr>
        <w:t>из</w:t>
      </w:r>
      <w:r w:rsidR="00404BE5" w:rsidRPr="00295637">
        <w:rPr>
          <w:rFonts w:ascii="Times New Roman" w:hAnsi="Times New Roman"/>
          <w:lang w:val="sr-Latn-BA"/>
        </w:rPr>
        <w:t xml:space="preserve"> </w:t>
      </w:r>
      <w:r>
        <w:rPr>
          <w:rFonts w:ascii="Times New Roman" w:hAnsi="Times New Roman"/>
          <w:lang w:val="sr-Latn-BA"/>
        </w:rPr>
        <w:t>руралних</w:t>
      </w:r>
      <w:r w:rsidR="00404BE5" w:rsidRPr="00295637">
        <w:rPr>
          <w:rFonts w:ascii="Times New Roman" w:hAnsi="Times New Roman"/>
          <w:lang w:val="sr-Latn-BA"/>
        </w:rPr>
        <w:t xml:space="preserve"> </w:t>
      </w:r>
      <w:r>
        <w:rPr>
          <w:rFonts w:ascii="Times New Roman" w:hAnsi="Times New Roman"/>
          <w:lang w:val="sr-Latn-BA"/>
        </w:rPr>
        <w:t>средина</w:t>
      </w:r>
      <w:r w:rsidR="00404BE5" w:rsidRPr="00295637">
        <w:rPr>
          <w:rFonts w:ascii="Times New Roman" w:hAnsi="Times New Roman"/>
          <w:lang w:val="sr-Latn-BA"/>
        </w:rPr>
        <w:t>.</w:t>
      </w:r>
    </w:p>
    <w:p w:rsidR="00B80C7D" w:rsidRPr="00295637" w:rsidRDefault="00B80C7D" w:rsidP="0086268D">
      <w:pPr>
        <w:jc w:val="both"/>
        <w:rPr>
          <w:rFonts w:ascii="Times New Roman" w:hAnsi="Times New Roman"/>
          <w:lang w:val="bs-Latn-BA"/>
        </w:rPr>
      </w:pPr>
    </w:p>
    <w:p w:rsidR="00404BE5" w:rsidRPr="00295637" w:rsidRDefault="00A054E6" w:rsidP="00B63A7C">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I</w:t>
      </w:r>
      <w:r w:rsidR="00B63A7C">
        <w:rPr>
          <w:rFonts w:ascii="Times New Roman" w:hAnsi="Times New Roman" w:cs="Times New Roman"/>
          <w:b w:val="0"/>
          <w:lang w:val="bs-Latn-BA"/>
        </w:rPr>
        <w:t xml:space="preserve"> 6.6. </w:t>
      </w:r>
      <w:r>
        <w:rPr>
          <w:rFonts w:ascii="Times New Roman" w:hAnsi="Times New Roman" w:cs="Times New Roman"/>
          <w:b w:val="0"/>
          <w:lang w:val="sr-Cyrl-BA"/>
        </w:rPr>
        <w:t>Спровођење</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промотивних</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активности</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информативних</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кампања</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кампања</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подизања</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свијести</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јавности</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важности</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равноправности</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приступу</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кориш</w:t>
      </w:r>
      <w:r>
        <w:rPr>
          <w:rFonts w:ascii="Times New Roman" w:hAnsi="Times New Roman" w:cs="Times New Roman"/>
          <w:b w:val="0"/>
          <w:lang w:val="sr-Cyrl-BA"/>
        </w:rPr>
        <w:t>ћ</w:t>
      </w:r>
      <w:r w:rsidR="00C6214E">
        <w:rPr>
          <w:rFonts w:ascii="Times New Roman" w:hAnsi="Times New Roman" w:cs="Times New Roman"/>
          <w:b w:val="0"/>
          <w:lang w:val="bs-Latn-BA"/>
        </w:rPr>
        <w:t>ењу</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социјалне</w:t>
      </w:r>
      <w:r w:rsidR="00404BE5"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заштите</w:t>
      </w:r>
      <w:r w:rsidR="00404BE5" w:rsidRPr="00295637">
        <w:rPr>
          <w:rFonts w:ascii="Times New Roman" w:hAnsi="Times New Roman" w:cs="Times New Roman"/>
          <w:b w:val="0"/>
          <w:lang w:val="bs-Latn-BA"/>
        </w:rPr>
        <w:t>.</w:t>
      </w:r>
    </w:p>
    <w:p w:rsidR="003D0642" w:rsidRDefault="003D0642" w:rsidP="0086268D">
      <w:pPr>
        <w:jc w:val="both"/>
        <w:rPr>
          <w:rFonts w:ascii="Times New Roman" w:hAnsi="Times New Roman"/>
          <w:lang w:val="sr-Latn-BA"/>
        </w:rPr>
      </w:pPr>
    </w:p>
    <w:p w:rsidR="00404BE5" w:rsidRPr="00295637" w:rsidRDefault="00C6214E" w:rsidP="0086268D">
      <w:pPr>
        <w:jc w:val="both"/>
        <w:rPr>
          <w:rFonts w:ascii="Times New Roman" w:hAnsi="Times New Roman"/>
          <w:lang w:val="sr-Latn-BA"/>
        </w:rPr>
      </w:pPr>
      <w:r>
        <w:rPr>
          <w:rFonts w:ascii="Times New Roman" w:hAnsi="Times New Roman"/>
          <w:lang w:val="sr-Latn-BA"/>
        </w:rPr>
        <w:t>Служба</w:t>
      </w:r>
      <w:r w:rsidR="00404BE5" w:rsidRPr="00295637">
        <w:rPr>
          <w:rFonts w:ascii="Times New Roman" w:hAnsi="Times New Roman"/>
          <w:lang w:val="sr-Latn-BA"/>
        </w:rPr>
        <w:t xml:space="preserve"> </w:t>
      </w:r>
      <w:r>
        <w:rPr>
          <w:rFonts w:ascii="Times New Roman" w:hAnsi="Times New Roman"/>
          <w:lang w:val="sr-Latn-BA"/>
        </w:rPr>
        <w:t>за</w:t>
      </w:r>
      <w:r w:rsidR="00404BE5" w:rsidRPr="00295637">
        <w:rPr>
          <w:rFonts w:ascii="Times New Roman" w:hAnsi="Times New Roman"/>
          <w:lang w:val="sr-Latn-BA"/>
        </w:rPr>
        <w:t xml:space="preserve"> </w:t>
      </w:r>
      <w:r>
        <w:rPr>
          <w:rFonts w:ascii="Times New Roman" w:hAnsi="Times New Roman"/>
          <w:lang w:val="sr-Latn-BA"/>
        </w:rPr>
        <w:t>социјалну</w:t>
      </w:r>
      <w:r w:rsidR="00404BE5" w:rsidRPr="00295637">
        <w:rPr>
          <w:rFonts w:ascii="Times New Roman" w:hAnsi="Times New Roman"/>
          <w:lang w:val="sr-Latn-BA"/>
        </w:rPr>
        <w:t xml:space="preserve"> </w:t>
      </w:r>
      <w:r>
        <w:rPr>
          <w:rFonts w:ascii="Times New Roman" w:hAnsi="Times New Roman"/>
          <w:lang w:val="sr-Latn-BA"/>
        </w:rPr>
        <w:t>заштиту</w:t>
      </w:r>
      <w:r w:rsidR="00404BE5" w:rsidRPr="00295637">
        <w:rPr>
          <w:rFonts w:ascii="Times New Roman" w:hAnsi="Times New Roman"/>
          <w:lang w:val="sr-Latn-BA"/>
        </w:rPr>
        <w:t xml:space="preserve"> </w:t>
      </w:r>
      <w:r>
        <w:rPr>
          <w:rFonts w:ascii="Times New Roman" w:hAnsi="Times New Roman"/>
          <w:lang w:val="sr-Latn-BA"/>
        </w:rPr>
        <w:t>Оп</w:t>
      </w:r>
      <w:r w:rsidR="00A054E6">
        <w:rPr>
          <w:rFonts w:ascii="Times New Roman" w:hAnsi="Times New Roman"/>
          <w:lang w:val="sr-Cyrl-BA"/>
        </w:rPr>
        <w:t>шт</w:t>
      </w:r>
      <w:r>
        <w:rPr>
          <w:rFonts w:ascii="Times New Roman" w:hAnsi="Times New Roman"/>
          <w:lang w:val="sr-Latn-BA"/>
        </w:rPr>
        <w:t>ине</w:t>
      </w:r>
      <w:r w:rsidR="00404BE5" w:rsidRPr="00295637">
        <w:rPr>
          <w:rFonts w:ascii="Times New Roman" w:hAnsi="Times New Roman"/>
          <w:lang w:val="sr-Latn-BA"/>
        </w:rPr>
        <w:t xml:space="preserve"> </w:t>
      </w:r>
      <w:r>
        <w:rPr>
          <w:rFonts w:ascii="Times New Roman" w:hAnsi="Times New Roman"/>
          <w:lang w:val="sr-Latn-BA"/>
        </w:rPr>
        <w:t>Берковићи</w:t>
      </w:r>
      <w:r w:rsidR="00404BE5" w:rsidRPr="00295637">
        <w:rPr>
          <w:rFonts w:ascii="Times New Roman" w:hAnsi="Times New Roman"/>
          <w:lang w:val="sr-Latn-BA"/>
        </w:rPr>
        <w:t xml:space="preserve"> </w:t>
      </w:r>
      <w:r>
        <w:rPr>
          <w:rFonts w:ascii="Times New Roman" w:hAnsi="Times New Roman"/>
          <w:lang w:val="sr-Latn-BA"/>
        </w:rPr>
        <w:t>реализ</w:t>
      </w:r>
      <w:r w:rsidR="00A054E6">
        <w:rPr>
          <w:rFonts w:ascii="Times New Roman" w:hAnsi="Times New Roman"/>
          <w:lang w:val="sr-Cyrl-BA"/>
        </w:rPr>
        <w:t>овала</w:t>
      </w:r>
      <w:r w:rsidR="00404BE5" w:rsidRPr="00295637">
        <w:rPr>
          <w:rFonts w:ascii="Times New Roman" w:hAnsi="Times New Roman"/>
          <w:lang w:val="sr-Latn-BA"/>
        </w:rPr>
        <w:t xml:space="preserve"> </w:t>
      </w:r>
      <w:r>
        <w:rPr>
          <w:rFonts w:ascii="Times New Roman" w:hAnsi="Times New Roman"/>
          <w:lang w:val="sr-Latn-BA"/>
        </w:rPr>
        <w:t>је</w:t>
      </w:r>
      <w:r w:rsidR="00404BE5" w:rsidRPr="00295637">
        <w:rPr>
          <w:rFonts w:ascii="Times New Roman" w:hAnsi="Times New Roman"/>
          <w:lang w:val="sr-Latn-BA"/>
        </w:rPr>
        <w:t xml:space="preserve"> </w:t>
      </w:r>
      <w:r>
        <w:rPr>
          <w:rFonts w:ascii="Times New Roman" w:hAnsi="Times New Roman"/>
          <w:lang w:val="sr-Latn-BA"/>
        </w:rPr>
        <w:t>кампању</w:t>
      </w:r>
      <w:r w:rsidR="00404BE5" w:rsidRPr="00295637">
        <w:rPr>
          <w:rFonts w:ascii="Times New Roman" w:hAnsi="Times New Roman"/>
          <w:lang w:val="sr-Latn-BA"/>
        </w:rPr>
        <w:t xml:space="preserve"> „</w:t>
      </w:r>
      <w:r>
        <w:rPr>
          <w:rFonts w:ascii="Times New Roman" w:hAnsi="Times New Roman"/>
          <w:lang w:val="sr-Latn-BA"/>
        </w:rPr>
        <w:t>Искључимо</w:t>
      </w:r>
      <w:r w:rsidR="00404BE5" w:rsidRPr="00295637">
        <w:rPr>
          <w:rFonts w:ascii="Times New Roman" w:hAnsi="Times New Roman"/>
          <w:lang w:val="sr-Latn-BA"/>
        </w:rPr>
        <w:t xml:space="preserve"> </w:t>
      </w:r>
      <w:r>
        <w:rPr>
          <w:rFonts w:ascii="Times New Roman" w:hAnsi="Times New Roman"/>
          <w:lang w:val="sr-Latn-BA"/>
        </w:rPr>
        <w:t>стереотипе</w:t>
      </w:r>
      <w:r w:rsidR="00404BE5" w:rsidRPr="00295637">
        <w:rPr>
          <w:rFonts w:ascii="Times New Roman" w:hAnsi="Times New Roman"/>
          <w:lang w:val="sr-Latn-BA"/>
        </w:rPr>
        <w:t xml:space="preserve">“ </w:t>
      </w:r>
      <w:r>
        <w:rPr>
          <w:rFonts w:ascii="Times New Roman" w:hAnsi="Times New Roman"/>
          <w:lang w:val="sr-Latn-BA"/>
        </w:rPr>
        <w:t>путем</w:t>
      </w:r>
      <w:r w:rsidR="008F47E4">
        <w:rPr>
          <w:rFonts w:ascii="Times New Roman" w:hAnsi="Times New Roman"/>
          <w:lang w:val="sr-Latn-BA"/>
        </w:rPr>
        <w:t xml:space="preserve"> </w:t>
      </w:r>
      <w:r>
        <w:rPr>
          <w:rFonts w:ascii="Times New Roman" w:hAnsi="Times New Roman"/>
          <w:lang w:val="sr-Latn-BA"/>
        </w:rPr>
        <w:t>израде</w:t>
      </w:r>
      <w:r w:rsidR="008F47E4">
        <w:rPr>
          <w:rFonts w:ascii="Times New Roman" w:hAnsi="Times New Roman"/>
          <w:lang w:val="sr-Latn-BA"/>
        </w:rPr>
        <w:t xml:space="preserve"> </w:t>
      </w:r>
      <w:r>
        <w:rPr>
          <w:rFonts w:ascii="Times New Roman" w:hAnsi="Times New Roman"/>
          <w:lang w:val="sr-Latn-BA"/>
        </w:rPr>
        <w:t>и</w:t>
      </w:r>
      <w:r w:rsidR="008F47E4">
        <w:rPr>
          <w:rFonts w:ascii="Times New Roman" w:hAnsi="Times New Roman"/>
          <w:lang w:val="sr-Latn-BA"/>
        </w:rPr>
        <w:t xml:space="preserve"> </w:t>
      </w:r>
      <w:r>
        <w:rPr>
          <w:rFonts w:ascii="Times New Roman" w:hAnsi="Times New Roman"/>
          <w:lang w:val="sr-Latn-BA"/>
        </w:rPr>
        <w:t>дијељења</w:t>
      </w:r>
      <w:r w:rsidR="008F47E4">
        <w:rPr>
          <w:rFonts w:ascii="Times New Roman" w:hAnsi="Times New Roman"/>
          <w:lang w:val="sr-Latn-BA"/>
        </w:rPr>
        <w:t xml:space="preserve"> </w:t>
      </w:r>
      <w:r>
        <w:rPr>
          <w:rFonts w:ascii="Times New Roman" w:hAnsi="Times New Roman"/>
          <w:lang w:val="sr-Latn-BA"/>
        </w:rPr>
        <w:t>промо</w:t>
      </w:r>
      <w:r w:rsidR="008F47E4">
        <w:rPr>
          <w:rFonts w:ascii="Times New Roman" w:hAnsi="Times New Roman"/>
          <w:lang w:val="sr-Latn-BA"/>
        </w:rPr>
        <w:t>-</w:t>
      </w:r>
      <w:r>
        <w:rPr>
          <w:rFonts w:ascii="Times New Roman" w:hAnsi="Times New Roman"/>
          <w:lang w:val="sr-Latn-BA"/>
        </w:rPr>
        <w:t>материјала</w:t>
      </w:r>
      <w:r w:rsidR="00404BE5" w:rsidRPr="00295637">
        <w:rPr>
          <w:rFonts w:ascii="Times New Roman" w:hAnsi="Times New Roman"/>
          <w:lang w:val="sr-Latn-BA"/>
        </w:rPr>
        <w:t xml:space="preserve"> (</w:t>
      </w:r>
      <w:r>
        <w:rPr>
          <w:rFonts w:ascii="Times New Roman" w:hAnsi="Times New Roman"/>
          <w:lang w:val="sr-Latn-BA"/>
        </w:rPr>
        <w:t>летака</w:t>
      </w:r>
      <w:r w:rsidR="00404BE5" w:rsidRPr="00295637">
        <w:rPr>
          <w:rFonts w:ascii="Times New Roman" w:hAnsi="Times New Roman"/>
          <w:lang w:val="sr-Latn-BA"/>
        </w:rPr>
        <w:t xml:space="preserve">). </w:t>
      </w:r>
      <w:r>
        <w:rPr>
          <w:rFonts w:ascii="Times New Roman" w:hAnsi="Times New Roman"/>
          <w:lang w:val="sr-Latn-BA"/>
        </w:rPr>
        <w:t>ЦСР</w:t>
      </w:r>
      <w:r w:rsidR="00404BE5" w:rsidRPr="00295637">
        <w:rPr>
          <w:rFonts w:ascii="Times New Roman" w:hAnsi="Times New Roman"/>
          <w:lang w:val="sr-Latn-BA"/>
        </w:rPr>
        <w:t xml:space="preserve"> </w:t>
      </w:r>
      <w:r>
        <w:rPr>
          <w:rFonts w:ascii="Times New Roman" w:hAnsi="Times New Roman"/>
          <w:lang w:val="sr-Latn-BA"/>
        </w:rPr>
        <w:t>Приједор</w:t>
      </w:r>
      <w:r w:rsidR="00404BE5" w:rsidRPr="00295637">
        <w:rPr>
          <w:rFonts w:ascii="Times New Roman" w:hAnsi="Times New Roman"/>
          <w:lang w:val="sr-Latn-BA"/>
        </w:rPr>
        <w:t xml:space="preserve"> </w:t>
      </w:r>
      <w:r>
        <w:rPr>
          <w:rFonts w:ascii="Times New Roman" w:hAnsi="Times New Roman"/>
          <w:lang w:val="sr-Latn-BA"/>
        </w:rPr>
        <w:t>је</w:t>
      </w:r>
      <w:r w:rsidR="00404BE5" w:rsidRPr="00295637">
        <w:rPr>
          <w:rFonts w:ascii="Times New Roman" w:hAnsi="Times New Roman"/>
          <w:lang w:val="sr-Latn-BA"/>
        </w:rPr>
        <w:t xml:space="preserve"> </w:t>
      </w:r>
      <w:r>
        <w:rPr>
          <w:rFonts w:ascii="Times New Roman" w:hAnsi="Times New Roman"/>
          <w:lang w:val="sr-Latn-BA"/>
        </w:rPr>
        <w:t>у</w:t>
      </w:r>
      <w:r w:rsidR="00404BE5" w:rsidRPr="00295637">
        <w:rPr>
          <w:rFonts w:ascii="Times New Roman" w:hAnsi="Times New Roman"/>
          <w:lang w:val="sr-Latn-BA"/>
        </w:rPr>
        <w:t xml:space="preserve"> </w:t>
      </w:r>
      <w:r>
        <w:rPr>
          <w:rFonts w:ascii="Times New Roman" w:hAnsi="Times New Roman"/>
          <w:lang w:val="sr-Latn-BA"/>
        </w:rPr>
        <w:t>извјештајном</w:t>
      </w:r>
      <w:r w:rsidR="00404BE5" w:rsidRPr="00295637">
        <w:rPr>
          <w:rFonts w:ascii="Times New Roman" w:hAnsi="Times New Roman"/>
          <w:lang w:val="sr-Latn-BA"/>
        </w:rPr>
        <w:t xml:space="preserve"> </w:t>
      </w:r>
      <w:r>
        <w:rPr>
          <w:rFonts w:ascii="Times New Roman" w:hAnsi="Times New Roman"/>
          <w:lang w:val="sr-Latn-BA"/>
        </w:rPr>
        <w:t>периоду</w:t>
      </w:r>
      <w:r w:rsidR="008F47E4">
        <w:rPr>
          <w:rFonts w:ascii="Times New Roman" w:hAnsi="Times New Roman"/>
          <w:lang w:val="sr-Latn-BA"/>
        </w:rPr>
        <w:t xml:space="preserve"> </w:t>
      </w:r>
      <w:r>
        <w:rPr>
          <w:rFonts w:ascii="Times New Roman" w:hAnsi="Times New Roman"/>
          <w:lang w:val="sr-Latn-BA"/>
        </w:rPr>
        <w:t>упознао</w:t>
      </w:r>
      <w:r w:rsidR="008F47E4">
        <w:rPr>
          <w:rFonts w:ascii="Times New Roman" w:hAnsi="Times New Roman"/>
          <w:lang w:val="sr-Latn-BA"/>
        </w:rPr>
        <w:t xml:space="preserve"> </w:t>
      </w:r>
      <w:r>
        <w:rPr>
          <w:rFonts w:ascii="Times New Roman" w:hAnsi="Times New Roman"/>
          <w:lang w:val="sr-Latn-BA"/>
        </w:rPr>
        <w:t>своје</w:t>
      </w:r>
      <w:r w:rsidR="008F47E4">
        <w:rPr>
          <w:rFonts w:ascii="Times New Roman" w:hAnsi="Times New Roman"/>
          <w:lang w:val="sr-Latn-BA"/>
        </w:rPr>
        <w:t xml:space="preserve"> </w:t>
      </w:r>
      <w:r>
        <w:rPr>
          <w:rFonts w:ascii="Times New Roman" w:hAnsi="Times New Roman"/>
          <w:lang w:val="sr-Latn-BA"/>
        </w:rPr>
        <w:t>странке</w:t>
      </w:r>
      <w:r w:rsidR="008F47E4">
        <w:rPr>
          <w:rFonts w:ascii="Times New Roman" w:hAnsi="Times New Roman"/>
          <w:lang w:val="sr-Latn-BA"/>
        </w:rPr>
        <w:t xml:space="preserve"> </w:t>
      </w:r>
      <w:r>
        <w:rPr>
          <w:rFonts w:ascii="Times New Roman" w:hAnsi="Times New Roman"/>
          <w:lang w:val="sr-Latn-BA"/>
        </w:rPr>
        <w:t>са</w:t>
      </w:r>
      <w:r w:rsidR="00404BE5" w:rsidRPr="00295637">
        <w:rPr>
          <w:rFonts w:ascii="Times New Roman" w:hAnsi="Times New Roman"/>
          <w:lang w:val="sr-Latn-BA"/>
        </w:rPr>
        <w:t xml:space="preserve"> </w:t>
      </w:r>
      <w:r>
        <w:rPr>
          <w:rFonts w:ascii="Times New Roman" w:hAnsi="Times New Roman"/>
          <w:lang w:val="sr-Latn-BA"/>
        </w:rPr>
        <w:t>Законом</w:t>
      </w:r>
      <w:r w:rsidR="00404BE5" w:rsidRPr="00295637">
        <w:rPr>
          <w:rFonts w:ascii="Times New Roman" w:hAnsi="Times New Roman"/>
          <w:lang w:val="sr-Latn-BA"/>
        </w:rPr>
        <w:t xml:space="preserve"> </w:t>
      </w:r>
      <w:r>
        <w:rPr>
          <w:rFonts w:ascii="Times New Roman" w:hAnsi="Times New Roman"/>
          <w:lang w:val="sr-Latn-BA"/>
        </w:rPr>
        <w:t>о</w:t>
      </w:r>
      <w:r w:rsidR="00404BE5" w:rsidRPr="00295637">
        <w:rPr>
          <w:rFonts w:ascii="Times New Roman" w:hAnsi="Times New Roman"/>
          <w:lang w:val="sr-Latn-BA"/>
        </w:rPr>
        <w:t xml:space="preserve"> </w:t>
      </w:r>
      <w:r>
        <w:rPr>
          <w:rFonts w:ascii="Times New Roman" w:hAnsi="Times New Roman"/>
          <w:lang w:val="sr-Latn-BA"/>
        </w:rPr>
        <w:t>забрани</w:t>
      </w:r>
      <w:r w:rsidR="00404BE5" w:rsidRPr="00295637">
        <w:rPr>
          <w:rFonts w:ascii="Times New Roman" w:hAnsi="Times New Roman"/>
          <w:lang w:val="sr-Latn-BA"/>
        </w:rPr>
        <w:t xml:space="preserve"> </w:t>
      </w:r>
      <w:r>
        <w:rPr>
          <w:rFonts w:ascii="Times New Roman" w:hAnsi="Times New Roman"/>
          <w:lang w:val="sr-Latn-BA"/>
        </w:rPr>
        <w:t>дискриминације</w:t>
      </w:r>
      <w:r w:rsidR="00404BE5" w:rsidRPr="00295637">
        <w:rPr>
          <w:rFonts w:ascii="Times New Roman" w:hAnsi="Times New Roman"/>
          <w:lang w:val="sr-Latn-BA"/>
        </w:rPr>
        <w:t xml:space="preserve"> </w:t>
      </w:r>
      <w:r>
        <w:rPr>
          <w:rFonts w:ascii="Times New Roman" w:hAnsi="Times New Roman"/>
          <w:lang w:val="sr-Latn-BA"/>
        </w:rPr>
        <w:t>и</w:t>
      </w:r>
      <w:r w:rsidR="00404BE5" w:rsidRPr="00295637">
        <w:rPr>
          <w:rFonts w:ascii="Times New Roman" w:hAnsi="Times New Roman"/>
          <w:lang w:val="sr-Latn-BA"/>
        </w:rPr>
        <w:t xml:space="preserve"> </w:t>
      </w:r>
      <w:r>
        <w:rPr>
          <w:rFonts w:ascii="Times New Roman" w:hAnsi="Times New Roman"/>
          <w:lang w:val="sr-Latn-BA"/>
        </w:rPr>
        <w:t>ЗоР</w:t>
      </w:r>
      <w:r w:rsidR="00A054E6">
        <w:rPr>
          <w:rFonts w:ascii="Times New Roman" w:hAnsi="Times New Roman"/>
          <w:lang w:val="sr-Cyrl-BA"/>
        </w:rPr>
        <w:t>П</w:t>
      </w:r>
      <w:r w:rsidR="002F6C26" w:rsidRPr="00295637">
        <w:rPr>
          <w:rFonts w:ascii="Times New Roman" w:hAnsi="Times New Roman"/>
          <w:lang w:val="sr-Latn-BA"/>
        </w:rPr>
        <w:t xml:space="preserve"> </w:t>
      </w:r>
      <w:r>
        <w:rPr>
          <w:rFonts w:ascii="Times New Roman" w:hAnsi="Times New Roman"/>
          <w:lang w:val="sr-Latn-BA"/>
        </w:rPr>
        <w:t>БиХ</w:t>
      </w:r>
      <w:r w:rsidR="00404BE5" w:rsidRPr="00295637">
        <w:rPr>
          <w:rFonts w:ascii="Times New Roman" w:hAnsi="Times New Roman"/>
          <w:lang w:val="sr-Latn-BA"/>
        </w:rPr>
        <w:t>.</w:t>
      </w:r>
    </w:p>
    <w:p w:rsidR="00404BE5" w:rsidRPr="00295637" w:rsidRDefault="00404BE5" w:rsidP="0086268D">
      <w:pPr>
        <w:jc w:val="both"/>
        <w:rPr>
          <w:rFonts w:ascii="Times New Roman" w:hAnsi="Times New Roman"/>
          <w:lang w:val="bs-Latn-BA"/>
        </w:rPr>
      </w:pPr>
    </w:p>
    <w:p w:rsidR="00417514" w:rsidRPr="00295637" w:rsidRDefault="00C6214E" w:rsidP="0086268D">
      <w:pPr>
        <w:jc w:val="both"/>
        <w:rPr>
          <w:rFonts w:ascii="Times New Roman" w:hAnsi="Times New Roman"/>
          <w:lang w:val="bs-Latn-BA"/>
        </w:rPr>
      </w:pPr>
      <w:r>
        <w:rPr>
          <w:rFonts w:ascii="Times New Roman" w:hAnsi="Times New Roman"/>
          <w:lang w:val="bs-Latn-BA"/>
        </w:rPr>
        <w:t>У</w:t>
      </w:r>
      <w:r w:rsidR="009A65A1" w:rsidRPr="00295637">
        <w:rPr>
          <w:rFonts w:ascii="Times New Roman" w:hAnsi="Times New Roman"/>
          <w:lang w:val="bs-Latn-BA"/>
        </w:rPr>
        <w:t xml:space="preserve"> </w:t>
      </w:r>
      <w:r>
        <w:rPr>
          <w:rFonts w:ascii="Times New Roman" w:hAnsi="Times New Roman"/>
          <w:lang w:val="bs-Latn-BA"/>
        </w:rPr>
        <w:t>извјештајном</w:t>
      </w:r>
      <w:r w:rsidR="009A65A1" w:rsidRPr="00295637">
        <w:rPr>
          <w:rFonts w:ascii="Times New Roman" w:hAnsi="Times New Roman"/>
          <w:lang w:val="bs-Latn-BA"/>
        </w:rPr>
        <w:t xml:space="preserve"> </w:t>
      </w:r>
      <w:r>
        <w:rPr>
          <w:rFonts w:ascii="Times New Roman" w:hAnsi="Times New Roman"/>
          <w:lang w:val="bs-Latn-BA"/>
        </w:rPr>
        <w:t>периоду</w:t>
      </w:r>
      <w:r w:rsidR="009A65A1" w:rsidRPr="00295637">
        <w:rPr>
          <w:rFonts w:ascii="Times New Roman" w:hAnsi="Times New Roman"/>
          <w:lang w:val="bs-Latn-BA"/>
        </w:rPr>
        <w:t xml:space="preserve"> </w:t>
      </w:r>
      <w:r>
        <w:rPr>
          <w:rFonts w:ascii="Times New Roman" w:hAnsi="Times New Roman"/>
          <w:lang w:val="bs-Latn-BA"/>
        </w:rPr>
        <w:t>нису</w:t>
      </w:r>
      <w:r w:rsidR="009A65A1" w:rsidRPr="00295637">
        <w:rPr>
          <w:rFonts w:ascii="Times New Roman" w:hAnsi="Times New Roman"/>
          <w:lang w:val="bs-Latn-BA"/>
        </w:rPr>
        <w:t xml:space="preserve"> </w:t>
      </w:r>
      <w:r w:rsidR="00A054E6">
        <w:rPr>
          <w:rFonts w:ascii="Times New Roman" w:hAnsi="Times New Roman"/>
          <w:lang w:val="sr-Cyrl-BA"/>
        </w:rPr>
        <w:t>с</w:t>
      </w:r>
      <w:r>
        <w:rPr>
          <w:rFonts w:ascii="Times New Roman" w:hAnsi="Times New Roman"/>
          <w:lang w:val="bs-Latn-BA"/>
        </w:rPr>
        <w:t>провођене</w:t>
      </w:r>
      <w:r w:rsidR="009A65A1" w:rsidRPr="00295637">
        <w:rPr>
          <w:rFonts w:ascii="Times New Roman" w:hAnsi="Times New Roman"/>
          <w:lang w:val="bs-Latn-BA"/>
        </w:rPr>
        <w:t xml:space="preserve"> </w:t>
      </w:r>
      <w:r>
        <w:rPr>
          <w:rFonts w:ascii="Times New Roman" w:hAnsi="Times New Roman"/>
          <w:lang w:val="bs-Latn-BA"/>
        </w:rPr>
        <w:t>активности</w:t>
      </w:r>
      <w:r w:rsidR="009A65A1" w:rsidRPr="00295637">
        <w:rPr>
          <w:rFonts w:ascii="Times New Roman" w:hAnsi="Times New Roman"/>
          <w:lang w:val="bs-Latn-BA"/>
        </w:rPr>
        <w:t xml:space="preserve"> </w:t>
      </w:r>
      <w:r>
        <w:rPr>
          <w:rFonts w:ascii="Times New Roman" w:hAnsi="Times New Roman"/>
          <w:lang w:val="bs-Latn-BA"/>
        </w:rPr>
        <w:t>у</w:t>
      </w:r>
      <w:r w:rsidR="00B80C7D">
        <w:rPr>
          <w:rFonts w:ascii="Times New Roman" w:hAnsi="Times New Roman"/>
          <w:lang w:val="bs-Latn-BA"/>
        </w:rPr>
        <w:t xml:space="preserve"> </w:t>
      </w:r>
      <w:r>
        <w:rPr>
          <w:rFonts w:ascii="Times New Roman" w:hAnsi="Times New Roman"/>
          <w:lang w:val="bs-Latn-BA"/>
        </w:rPr>
        <w:t>вези</w:t>
      </w:r>
      <w:r w:rsidR="00B80C7D">
        <w:rPr>
          <w:rFonts w:ascii="Times New Roman" w:hAnsi="Times New Roman"/>
          <w:lang w:val="bs-Latn-BA"/>
        </w:rPr>
        <w:t xml:space="preserve"> </w:t>
      </w:r>
      <w:r>
        <w:rPr>
          <w:rFonts w:ascii="Times New Roman" w:hAnsi="Times New Roman"/>
          <w:lang w:val="bs-Latn-BA"/>
        </w:rPr>
        <w:t>са</w:t>
      </w:r>
      <w:r w:rsidR="00417514" w:rsidRPr="00295637">
        <w:rPr>
          <w:rFonts w:ascii="Times New Roman" w:hAnsi="Times New Roman"/>
          <w:lang w:val="bs-Latn-BA"/>
        </w:rPr>
        <w:t xml:space="preserve"> </w:t>
      </w:r>
      <w:r>
        <w:rPr>
          <w:rFonts w:ascii="Times New Roman" w:hAnsi="Times New Roman"/>
          <w:lang w:val="bs-Latn-BA"/>
        </w:rPr>
        <w:t>мјерама</w:t>
      </w:r>
      <w:r w:rsidR="00417514" w:rsidRPr="00295637">
        <w:rPr>
          <w:rFonts w:ascii="Times New Roman" w:hAnsi="Times New Roman"/>
          <w:lang w:val="bs-Latn-BA"/>
        </w:rPr>
        <w:t xml:space="preserve"> </w:t>
      </w:r>
      <w:r w:rsidR="00A054E6">
        <w:rPr>
          <w:rFonts w:ascii="Times New Roman" w:hAnsi="Times New Roman"/>
          <w:lang w:val="bs-Latn-BA"/>
        </w:rPr>
        <w:t>I</w:t>
      </w:r>
      <w:r w:rsidR="00B80C7D">
        <w:rPr>
          <w:rFonts w:ascii="Times New Roman" w:hAnsi="Times New Roman"/>
          <w:lang w:val="bs-Latn-BA"/>
        </w:rPr>
        <w:t xml:space="preserve"> </w:t>
      </w:r>
      <w:r w:rsidR="00417514" w:rsidRPr="00295637">
        <w:rPr>
          <w:rFonts w:ascii="Times New Roman" w:hAnsi="Times New Roman"/>
          <w:lang w:val="bs-Latn-BA"/>
        </w:rPr>
        <w:t>6.7</w:t>
      </w:r>
      <w:r w:rsidR="008F47E4">
        <w:rPr>
          <w:rFonts w:ascii="Times New Roman" w:hAnsi="Times New Roman"/>
          <w:lang w:val="bs-Latn-BA"/>
        </w:rPr>
        <w:t>.</w:t>
      </w:r>
      <w:r w:rsidR="00417514" w:rsidRPr="00295637">
        <w:rPr>
          <w:rFonts w:ascii="Times New Roman" w:hAnsi="Times New Roman"/>
          <w:lang w:val="bs-Latn-BA"/>
        </w:rPr>
        <w:t xml:space="preserve"> </w:t>
      </w:r>
      <w:r>
        <w:rPr>
          <w:rFonts w:ascii="Times New Roman" w:hAnsi="Times New Roman"/>
          <w:lang w:val="bs-Latn-BA"/>
        </w:rPr>
        <w:t>ГАП</w:t>
      </w:r>
      <w:r w:rsidR="00417514" w:rsidRPr="00295637">
        <w:rPr>
          <w:rFonts w:ascii="Times New Roman" w:hAnsi="Times New Roman"/>
          <w:lang w:val="bs-Latn-BA"/>
        </w:rPr>
        <w:t>-</w:t>
      </w:r>
      <w:r>
        <w:rPr>
          <w:rFonts w:ascii="Times New Roman" w:hAnsi="Times New Roman"/>
          <w:lang w:val="bs-Latn-BA"/>
        </w:rPr>
        <w:t>а</w:t>
      </w:r>
      <w:r w:rsidR="009E54A2" w:rsidRPr="00295637">
        <w:rPr>
          <w:rFonts w:ascii="Times New Roman" w:hAnsi="Times New Roman"/>
          <w:lang w:val="bs-Latn-BA"/>
        </w:rPr>
        <w:t xml:space="preserve"> </w:t>
      </w:r>
      <w:r>
        <w:rPr>
          <w:rFonts w:ascii="Times New Roman" w:hAnsi="Times New Roman"/>
          <w:lang w:val="bs-Latn-BA"/>
        </w:rPr>
        <w:t>БиХ</w:t>
      </w:r>
      <w:r w:rsidR="009E54A2" w:rsidRPr="00295637">
        <w:rPr>
          <w:rFonts w:ascii="Times New Roman" w:hAnsi="Times New Roman"/>
          <w:lang w:val="bs-Latn-BA"/>
        </w:rPr>
        <w:t xml:space="preserve"> </w:t>
      </w:r>
      <w:r>
        <w:rPr>
          <w:rFonts w:ascii="Times New Roman" w:hAnsi="Times New Roman"/>
          <w:lang w:val="bs-Latn-BA"/>
        </w:rPr>
        <w:t>у</w:t>
      </w:r>
      <w:r w:rsidR="00B80C7D">
        <w:rPr>
          <w:rFonts w:ascii="Times New Roman" w:hAnsi="Times New Roman"/>
          <w:lang w:val="bs-Latn-BA"/>
        </w:rPr>
        <w:t xml:space="preserve"> </w:t>
      </w:r>
      <w:r>
        <w:rPr>
          <w:rFonts w:ascii="Times New Roman" w:hAnsi="Times New Roman"/>
          <w:lang w:val="bs-Latn-BA"/>
        </w:rPr>
        <w:t>вези</w:t>
      </w:r>
      <w:r w:rsidR="00B80C7D">
        <w:rPr>
          <w:rFonts w:ascii="Times New Roman" w:hAnsi="Times New Roman"/>
          <w:lang w:val="bs-Latn-BA"/>
        </w:rPr>
        <w:t xml:space="preserve"> </w:t>
      </w:r>
      <w:r>
        <w:rPr>
          <w:rFonts w:ascii="Times New Roman" w:hAnsi="Times New Roman"/>
          <w:lang w:val="bs-Latn-BA"/>
        </w:rPr>
        <w:t>са</w:t>
      </w:r>
      <w:r w:rsidR="00404BE5" w:rsidRPr="00295637">
        <w:rPr>
          <w:rFonts w:ascii="Times New Roman" w:hAnsi="Times New Roman"/>
          <w:lang w:val="bs-Latn-BA"/>
        </w:rPr>
        <w:t xml:space="preserve"> </w:t>
      </w:r>
      <w:r>
        <w:rPr>
          <w:rFonts w:ascii="Times New Roman" w:hAnsi="Times New Roman"/>
          <w:szCs w:val="24"/>
          <w:lang w:val="bs-Latn-BA"/>
        </w:rPr>
        <w:t>праћењем</w:t>
      </w:r>
      <w:r w:rsidR="00417514" w:rsidRPr="00295637">
        <w:rPr>
          <w:rFonts w:ascii="Times New Roman" w:hAnsi="Times New Roman"/>
          <w:szCs w:val="24"/>
          <w:lang w:val="bs-Latn-BA"/>
        </w:rPr>
        <w:t xml:space="preserve"> </w:t>
      </w:r>
      <w:r>
        <w:rPr>
          <w:rFonts w:ascii="Times New Roman" w:hAnsi="Times New Roman"/>
          <w:szCs w:val="24"/>
          <w:lang w:val="bs-Latn-BA"/>
        </w:rPr>
        <w:t>напретка</w:t>
      </w:r>
      <w:r w:rsidR="00417514" w:rsidRPr="00295637">
        <w:rPr>
          <w:rFonts w:ascii="Times New Roman" w:hAnsi="Times New Roman"/>
          <w:szCs w:val="24"/>
          <w:lang w:val="bs-Latn-BA"/>
        </w:rPr>
        <w:t xml:space="preserve"> </w:t>
      </w:r>
      <w:r>
        <w:rPr>
          <w:rFonts w:ascii="Times New Roman" w:hAnsi="Times New Roman"/>
          <w:szCs w:val="24"/>
          <w:lang w:val="bs-Latn-BA"/>
        </w:rPr>
        <w:t>и</w:t>
      </w:r>
      <w:r w:rsidR="00417514" w:rsidRPr="00295637">
        <w:rPr>
          <w:rFonts w:ascii="Times New Roman" w:hAnsi="Times New Roman"/>
          <w:szCs w:val="24"/>
          <w:lang w:val="bs-Latn-BA"/>
        </w:rPr>
        <w:t xml:space="preserve"> </w:t>
      </w:r>
      <w:r>
        <w:rPr>
          <w:rFonts w:ascii="Times New Roman" w:hAnsi="Times New Roman"/>
          <w:szCs w:val="24"/>
          <w:lang w:val="bs-Latn-BA"/>
        </w:rPr>
        <w:t>извјештавање</w:t>
      </w:r>
      <w:r w:rsidR="00417514" w:rsidRPr="00295637">
        <w:rPr>
          <w:rFonts w:ascii="Times New Roman" w:hAnsi="Times New Roman"/>
          <w:szCs w:val="24"/>
          <w:lang w:val="bs-Latn-BA"/>
        </w:rPr>
        <w:t xml:space="preserve"> </w:t>
      </w:r>
      <w:r>
        <w:rPr>
          <w:rFonts w:ascii="Times New Roman" w:hAnsi="Times New Roman"/>
          <w:szCs w:val="24"/>
          <w:lang w:val="bs-Latn-BA"/>
        </w:rPr>
        <w:t>о</w:t>
      </w:r>
      <w:r w:rsidR="00417514" w:rsidRPr="00295637">
        <w:rPr>
          <w:rFonts w:ascii="Times New Roman" w:hAnsi="Times New Roman"/>
          <w:szCs w:val="24"/>
          <w:lang w:val="bs-Latn-BA"/>
        </w:rPr>
        <w:t xml:space="preserve"> </w:t>
      </w:r>
      <w:r>
        <w:rPr>
          <w:rFonts w:ascii="Times New Roman" w:hAnsi="Times New Roman"/>
          <w:szCs w:val="24"/>
          <w:lang w:val="bs-Latn-BA"/>
        </w:rPr>
        <w:t>заступљености</w:t>
      </w:r>
      <w:r w:rsidR="00417514" w:rsidRPr="00295637">
        <w:rPr>
          <w:rFonts w:ascii="Times New Roman" w:hAnsi="Times New Roman"/>
          <w:szCs w:val="24"/>
          <w:lang w:val="bs-Latn-BA"/>
        </w:rPr>
        <w:t xml:space="preserve"> </w:t>
      </w:r>
      <w:r>
        <w:rPr>
          <w:rFonts w:ascii="Times New Roman" w:hAnsi="Times New Roman"/>
          <w:szCs w:val="24"/>
          <w:lang w:val="bs-Latn-BA"/>
        </w:rPr>
        <w:t>жена</w:t>
      </w:r>
      <w:r w:rsidR="00417514" w:rsidRPr="00295637">
        <w:rPr>
          <w:rFonts w:ascii="Times New Roman" w:hAnsi="Times New Roman"/>
          <w:szCs w:val="24"/>
          <w:lang w:val="bs-Latn-BA"/>
        </w:rPr>
        <w:t xml:space="preserve"> </w:t>
      </w:r>
      <w:r>
        <w:rPr>
          <w:rFonts w:ascii="Times New Roman" w:hAnsi="Times New Roman"/>
          <w:szCs w:val="24"/>
          <w:lang w:val="bs-Latn-BA"/>
        </w:rPr>
        <w:t>и</w:t>
      </w:r>
      <w:r w:rsidR="00417514" w:rsidRPr="00295637">
        <w:rPr>
          <w:rFonts w:ascii="Times New Roman" w:hAnsi="Times New Roman"/>
          <w:szCs w:val="24"/>
          <w:lang w:val="bs-Latn-BA"/>
        </w:rPr>
        <w:t xml:space="preserve"> </w:t>
      </w:r>
      <w:r>
        <w:rPr>
          <w:rFonts w:ascii="Times New Roman" w:hAnsi="Times New Roman"/>
          <w:szCs w:val="24"/>
          <w:lang w:val="bs-Latn-BA"/>
        </w:rPr>
        <w:t>мушкараца</w:t>
      </w:r>
      <w:r w:rsidR="00417514" w:rsidRPr="00295637">
        <w:rPr>
          <w:rFonts w:ascii="Times New Roman" w:hAnsi="Times New Roman"/>
          <w:szCs w:val="24"/>
          <w:lang w:val="bs-Latn-BA"/>
        </w:rPr>
        <w:t xml:space="preserve"> </w:t>
      </w:r>
      <w:r>
        <w:rPr>
          <w:rFonts w:ascii="Times New Roman" w:hAnsi="Times New Roman"/>
          <w:szCs w:val="24"/>
          <w:lang w:val="bs-Latn-BA"/>
        </w:rPr>
        <w:t>у</w:t>
      </w:r>
      <w:r w:rsidR="00417514" w:rsidRPr="00295637">
        <w:rPr>
          <w:rFonts w:ascii="Times New Roman" w:hAnsi="Times New Roman"/>
          <w:szCs w:val="24"/>
          <w:lang w:val="bs-Latn-BA"/>
        </w:rPr>
        <w:t xml:space="preserve"> </w:t>
      </w:r>
      <w:r>
        <w:rPr>
          <w:rFonts w:ascii="Times New Roman" w:hAnsi="Times New Roman"/>
          <w:szCs w:val="24"/>
          <w:lang w:val="bs-Latn-BA"/>
        </w:rPr>
        <w:t>области</w:t>
      </w:r>
      <w:r w:rsidR="008F47E4">
        <w:rPr>
          <w:rFonts w:ascii="Times New Roman" w:hAnsi="Times New Roman"/>
          <w:szCs w:val="24"/>
          <w:lang w:val="bs-Latn-BA"/>
        </w:rPr>
        <w:t xml:space="preserve"> </w:t>
      </w:r>
      <w:r>
        <w:rPr>
          <w:rFonts w:ascii="Times New Roman" w:hAnsi="Times New Roman"/>
          <w:szCs w:val="24"/>
          <w:lang w:val="bs-Latn-BA"/>
        </w:rPr>
        <w:t>социјалне</w:t>
      </w:r>
      <w:r w:rsidR="008F47E4">
        <w:rPr>
          <w:rFonts w:ascii="Times New Roman" w:hAnsi="Times New Roman"/>
          <w:szCs w:val="24"/>
          <w:lang w:val="bs-Latn-BA"/>
        </w:rPr>
        <w:t xml:space="preserve"> </w:t>
      </w:r>
      <w:r>
        <w:rPr>
          <w:rFonts w:ascii="Times New Roman" w:hAnsi="Times New Roman"/>
          <w:szCs w:val="24"/>
          <w:lang w:val="bs-Latn-BA"/>
        </w:rPr>
        <w:t>заштите</w:t>
      </w:r>
      <w:r w:rsidR="008F47E4">
        <w:rPr>
          <w:rFonts w:ascii="Times New Roman" w:hAnsi="Times New Roman"/>
          <w:szCs w:val="24"/>
          <w:lang w:val="bs-Latn-BA"/>
        </w:rPr>
        <w:t xml:space="preserve">, </w:t>
      </w:r>
      <w:r>
        <w:rPr>
          <w:rFonts w:ascii="Times New Roman" w:hAnsi="Times New Roman"/>
          <w:szCs w:val="24"/>
          <w:lang w:val="bs-Latn-BA"/>
        </w:rPr>
        <w:t>приступу</w:t>
      </w:r>
      <w:r w:rsidR="00417514" w:rsidRPr="00295637">
        <w:rPr>
          <w:rFonts w:ascii="Times New Roman" w:hAnsi="Times New Roman"/>
          <w:szCs w:val="24"/>
          <w:lang w:val="bs-Latn-BA"/>
        </w:rPr>
        <w:t xml:space="preserve"> </w:t>
      </w:r>
      <w:r>
        <w:rPr>
          <w:rFonts w:ascii="Times New Roman" w:hAnsi="Times New Roman"/>
          <w:szCs w:val="24"/>
          <w:lang w:val="bs-Latn-BA"/>
        </w:rPr>
        <w:t>и</w:t>
      </w:r>
      <w:r w:rsidR="00417514" w:rsidRPr="00295637">
        <w:rPr>
          <w:rFonts w:ascii="Times New Roman" w:hAnsi="Times New Roman"/>
          <w:szCs w:val="24"/>
          <w:lang w:val="bs-Latn-BA"/>
        </w:rPr>
        <w:t xml:space="preserve"> </w:t>
      </w:r>
      <w:r>
        <w:rPr>
          <w:rFonts w:ascii="Times New Roman" w:hAnsi="Times New Roman"/>
          <w:szCs w:val="24"/>
          <w:lang w:val="bs-Latn-BA"/>
        </w:rPr>
        <w:t>кориш</w:t>
      </w:r>
      <w:r w:rsidR="00A054E6">
        <w:rPr>
          <w:rFonts w:ascii="Times New Roman" w:hAnsi="Times New Roman"/>
          <w:szCs w:val="24"/>
          <w:lang w:val="sr-Cyrl-BA"/>
        </w:rPr>
        <w:t>ћ</w:t>
      </w:r>
      <w:r>
        <w:rPr>
          <w:rFonts w:ascii="Times New Roman" w:hAnsi="Times New Roman"/>
          <w:szCs w:val="24"/>
          <w:lang w:val="bs-Latn-BA"/>
        </w:rPr>
        <w:t>ењу</w:t>
      </w:r>
      <w:r w:rsidR="00417514" w:rsidRPr="00295637">
        <w:rPr>
          <w:rFonts w:ascii="Times New Roman" w:hAnsi="Times New Roman"/>
          <w:szCs w:val="24"/>
          <w:lang w:val="bs-Latn-BA"/>
        </w:rPr>
        <w:t xml:space="preserve"> </w:t>
      </w:r>
      <w:r>
        <w:rPr>
          <w:rFonts w:ascii="Times New Roman" w:hAnsi="Times New Roman"/>
          <w:szCs w:val="24"/>
          <w:lang w:val="bs-Latn-BA"/>
        </w:rPr>
        <w:t>социјалних</w:t>
      </w:r>
      <w:r w:rsidR="00417514" w:rsidRPr="00295637">
        <w:rPr>
          <w:rFonts w:ascii="Times New Roman" w:hAnsi="Times New Roman"/>
          <w:szCs w:val="24"/>
          <w:lang w:val="bs-Latn-BA"/>
        </w:rPr>
        <w:t xml:space="preserve"> </w:t>
      </w:r>
      <w:r>
        <w:rPr>
          <w:rFonts w:ascii="Times New Roman" w:hAnsi="Times New Roman"/>
          <w:szCs w:val="24"/>
          <w:lang w:val="bs-Latn-BA"/>
        </w:rPr>
        <w:t>услуга</w:t>
      </w:r>
      <w:r w:rsidR="00417514" w:rsidRPr="00295637">
        <w:rPr>
          <w:rFonts w:ascii="Times New Roman" w:hAnsi="Times New Roman"/>
          <w:szCs w:val="24"/>
          <w:lang w:val="bs-Latn-BA"/>
        </w:rPr>
        <w:t xml:space="preserve"> </w:t>
      </w:r>
      <w:r>
        <w:rPr>
          <w:rFonts w:ascii="Times New Roman" w:hAnsi="Times New Roman"/>
          <w:szCs w:val="24"/>
          <w:lang w:val="bs-Latn-BA"/>
        </w:rPr>
        <w:t>и</w:t>
      </w:r>
      <w:r w:rsidR="00417514" w:rsidRPr="00295637">
        <w:rPr>
          <w:rFonts w:ascii="Times New Roman" w:hAnsi="Times New Roman"/>
          <w:szCs w:val="24"/>
          <w:lang w:val="bs-Latn-BA"/>
        </w:rPr>
        <w:t xml:space="preserve"> </w:t>
      </w:r>
      <w:r>
        <w:rPr>
          <w:rFonts w:ascii="Times New Roman" w:hAnsi="Times New Roman"/>
          <w:szCs w:val="24"/>
          <w:lang w:val="bs-Latn-BA"/>
        </w:rPr>
        <w:t>социјалне</w:t>
      </w:r>
      <w:r w:rsidR="00417514" w:rsidRPr="00295637">
        <w:rPr>
          <w:rFonts w:ascii="Times New Roman" w:hAnsi="Times New Roman"/>
          <w:szCs w:val="24"/>
          <w:lang w:val="bs-Latn-BA"/>
        </w:rPr>
        <w:t xml:space="preserve"> </w:t>
      </w:r>
      <w:r>
        <w:rPr>
          <w:rFonts w:ascii="Times New Roman" w:hAnsi="Times New Roman"/>
          <w:szCs w:val="24"/>
          <w:lang w:val="bs-Latn-BA"/>
        </w:rPr>
        <w:t>заштите</w:t>
      </w:r>
      <w:r w:rsidR="00417514" w:rsidRPr="00295637">
        <w:rPr>
          <w:rFonts w:ascii="Times New Roman" w:hAnsi="Times New Roman"/>
          <w:szCs w:val="24"/>
          <w:lang w:val="bs-Latn-BA"/>
        </w:rPr>
        <w:t>.</w:t>
      </w:r>
    </w:p>
    <w:p w:rsidR="003D0642" w:rsidRDefault="003D0642" w:rsidP="0086268D">
      <w:pPr>
        <w:tabs>
          <w:tab w:val="left" w:pos="284"/>
          <w:tab w:val="left" w:pos="567"/>
          <w:tab w:val="left" w:pos="709"/>
        </w:tabs>
        <w:jc w:val="both"/>
        <w:rPr>
          <w:rFonts w:ascii="Times New Roman" w:hAnsi="Times New Roman"/>
          <w:szCs w:val="24"/>
          <w:lang w:val="bs-Latn-BA"/>
        </w:rPr>
      </w:pPr>
    </w:p>
    <w:p w:rsidR="00371D92" w:rsidRPr="00295637" w:rsidRDefault="00371D92" w:rsidP="0086268D">
      <w:pPr>
        <w:tabs>
          <w:tab w:val="left" w:pos="284"/>
          <w:tab w:val="left" w:pos="567"/>
          <w:tab w:val="left" w:pos="709"/>
        </w:tabs>
        <w:jc w:val="both"/>
        <w:rPr>
          <w:rFonts w:ascii="Times New Roman" w:hAnsi="Times New Roman"/>
          <w:szCs w:val="24"/>
          <w:lang w:val="bs-Latn-BA"/>
        </w:rPr>
      </w:pPr>
    </w:p>
    <w:p w:rsidR="00356C2C" w:rsidRPr="00A054E6" w:rsidRDefault="00A054E6" w:rsidP="00B80C7D">
      <w:pPr>
        <w:pStyle w:val="Heading3"/>
        <w:numPr>
          <w:ilvl w:val="0"/>
          <w:numId w:val="0"/>
        </w:numPr>
        <w:spacing w:after="0" w:line="240" w:lineRule="auto"/>
        <w:rPr>
          <w:rFonts w:ascii="Times New Roman" w:hAnsi="Times New Roman" w:cs="Times New Roman"/>
          <w:lang w:val="sr-Cyrl-BA"/>
        </w:rPr>
      </w:pPr>
      <w:bookmarkStart w:id="42" w:name="_Toc497297155"/>
      <w:bookmarkStart w:id="43" w:name="_Toc195016597"/>
      <w:r>
        <w:rPr>
          <w:rFonts w:ascii="Times New Roman" w:hAnsi="Times New Roman" w:cs="Times New Roman"/>
          <w:color w:val="548DD4" w:themeColor="text2" w:themeTint="99"/>
          <w:lang w:val="bs-Latn-BA"/>
        </w:rPr>
        <w:t>I</w:t>
      </w:r>
      <w:r w:rsidR="00B80C7D" w:rsidRPr="00B80C7D">
        <w:rPr>
          <w:rFonts w:ascii="Times New Roman" w:hAnsi="Times New Roman" w:cs="Times New Roman"/>
          <w:color w:val="548DD4" w:themeColor="text2" w:themeTint="99"/>
          <w:lang w:val="bs-Latn-BA"/>
        </w:rPr>
        <w:t xml:space="preserve"> 7.  </w:t>
      </w:r>
      <w:r w:rsidR="00C6214E">
        <w:rPr>
          <w:rFonts w:ascii="Times New Roman" w:hAnsi="Times New Roman" w:cs="Times New Roman"/>
          <w:lang w:val="bs-Latn-BA"/>
        </w:rPr>
        <w:t>Род</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и</w:t>
      </w:r>
      <w:r w:rsidR="00356C2C" w:rsidRPr="00295637">
        <w:rPr>
          <w:rFonts w:ascii="Times New Roman" w:hAnsi="Times New Roman" w:cs="Times New Roman"/>
          <w:lang w:val="bs-Latn-BA"/>
        </w:rPr>
        <w:t xml:space="preserve"> </w:t>
      </w:r>
      <w:bookmarkEnd w:id="42"/>
      <w:bookmarkEnd w:id="43"/>
      <w:r>
        <w:rPr>
          <w:rFonts w:ascii="Times New Roman" w:hAnsi="Times New Roman" w:cs="Times New Roman"/>
          <w:lang w:val="sr-Cyrl-BA"/>
        </w:rPr>
        <w:t>безбједност</w:t>
      </w:r>
    </w:p>
    <w:p w:rsidR="003D53A6" w:rsidRPr="00295637" w:rsidRDefault="003D53A6" w:rsidP="0086268D">
      <w:pPr>
        <w:jc w:val="both"/>
        <w:rPr>
          <w:rFonts w:ascii="Times New Roman" w:hAnsi="Times New Roman"/>
          <w:szCs w:val="24"/>
          <w:lang w:val="bs-Latn-BA"/>
        </w:rPr>
      </w:pPr>
    </w:p>
    <w:p w:rsidR="009A763A" w:rsidRPr="008F47E4" w:rsidRDefault="00A054E6" w:rsidP="0086268D">
      <w:pPr>
        <w:jc w:val="both"/>
        <w:rPr>
          <w:rFonts w:ascii="Times New Roman" w:eastAsia="Calibri" w:hAnsi="Times New Roman"/>
          <w:szCs w:val="24"/>
        </w:rPr>
      </w:pPr>
      <w:r>
        <w:rPr>
          <w:rFonts w:ascii="Times New Roman" w:hAnsi="Times New Roman"/>
          <w:szCs w:val="24"/>
          <w:lang w:val="sr-Cyrl-BA"/>
        </w:rPr>
        <w:t>Спровођење</w:t>
      </w:r>
      <w:r w:rsidR="00B80C7D">
        <w:rPr>
          <w:rFonts w:ascii="Times New Roman" w:hAnsi="Times New Roman"/>
          <w:szCs w:val="24"/>
          <w:lang w:val="bs-Latn-BA"/>
        </w:rPr>
        <w:t xml:space="preserve"> </w:t>
      </w:r>
      <w:r w:rsidR="00C6214E">
        <w:rPr>
          <w:rFonts w:ascii="Times New Roman" w:hAnsi="Times New Roman"/>
          <w:szCs w:val="24"/>
          <w:lang w:val="bs-Latn-BA"/>
        </w:rPr>
        <w:t>агенде</w:t>
      </w:r>
      <w:r w:rsidR="009A763A" w:rsidRPr="008F47E4">
        <w:rPr>
          <w:rFonts w:ascii="Times New Roman" w:hAnsi="Times New Roman"/>
          <w:szCs w:val="24"/>
          <w:lang w:val="bs-Latn-BA"/>
        </w:rPr>
        <w:t xml:space="preserve"> </w:t>
      </w:r>
      <w:r w:rsidR="00B80C7D">
        <w:rPr>
          <w:rFonts w:ascii="Times New Roman" w:hAnsi="Times New Roman"/>
          <w:szCs w:val="24"/>
          <w:lang w:val="bs-Latn-BA"/>
        </w:rPr>
        <w:t>„</w:t>
      </w:r>
      <w:r w:rsidR="00C6214E">
        <w:rPr>
          <w:rFonts w:ascii="Times New Roman" w:hAnsi="Times New Roman"/>
          <w:szCs w:val="24"/>
          <w:lang w:val="bs-Latn-BA"/>
        </w:rPr>
        <w:t>Жене</w:t>
      </w:r>
      <w:r w:rsidR="009A763A" w:rsidRPr="008F47E4">
        <w:rPr>
          <w:rFonts w:ascii="Times New Roman" w:hAnsi="Times New Roman"/>
          <w:szCs w:val="24"/>
          <w:lang w:val="bs-Latn-BA"/>
        </w:rPr>
        <w:t xml:space="preserve">, </w:t>
      </w:r>
      <w:r w:rsidR="00C6214E">
        <w:rPr>
          <w:rFonts w:ascii="Times New Roman" w:hAnsi="Times New Roman"/>
          <w:szCs w:val="24"/>
          <w:lang w:val="bs-Latn-BA"/>
        </w:rPr>
        <w:t>мир</w:t>
      </w:r>
      <w:r w:rsidR="009A763A" w:rsidRPr="008F47E4">
        <w:rPr>
          <w:rFonts w:ascii="Times New Roman" w:hAnsi="Times New Roman"/>
          <w:szCs w:val="24"/>
          <w:lang w:val="bs-Latn-BA"/>
        </w:rPr>
        <w:t xml:space="preserve"> </w:t>
      </w:r>
      <w:r w:rsidR="00C6214E">
        <w:rPr>
          <w:rFonts w:ascii="Times New Roman" w:hAnsi="Times New Roman"/>
          <w:szCs w:val="24"/>
          <w:lang w:val="bs-Latn-BA"/>
        </w:rPr>
        <w:t>и</w:t>
      </w:r>
      <w:r w:rsidR="009A763A" w:rsidRPr="008F47E4">
        <w:rPr>
          <w:rFonts w:ascii="Times New Roman" w:hAnsi="Times New Roman"/>
          <w:szCs w:val="24"/>
          <w:lang w:val="bs-Latn-BA"/>
        </w:rPr>
        <w:t xml:space="preserve"> </w:t>
      </w:r>
      <w:r>
        <w:rPr>
          <w:rFonts w:ascii="Times New Roman" w:hAnsi="Times New Roman"/>
          <w:szCs w:val="24"/>
          <w:lang w:val="sr-Cyrl-BA"/>
        </w:rPr>
        <w:t>безбједност</w:t>
      </w:r>
      <w:r w:rsidR="009A763A" w:rsidRPr="008F47E4">
        <w:rPr>
          <w:rFonts w:ascii="Times New Roman" w:hAnsi="Times New Roman"/>
          <w:szCs w:val="24"/>
          <w:lang w:val="bs-Latn-BA"/>
        </w:rPr>
        <w:t xml:space="preserve">“ </w:t>
      </w:r>
      <w:r w:rsidR="00C6214E">
        <w:rPr>
          <w:rFonts w:ascii="Times New Roman" w:hAnsi="Times New Roman"/>
          <w:szCs w:val="24"/>
          <w:lang w:val="bs-Latn-BA"/>
        </w:rPr>
        <w:t>остаје</w:t>
      </w:r>
      <w:r w:rsidR="009A763A" w:rsidRPr="008F47E4">
        <w:rPr>
          <w:rFonts w:ascii="Times New Roman" w:hAnsi="Times New Roman"/>
          <w:szCs w:val="24"/>
          <w:lang w:val="bs-Latn-BA"/>
        </w:rPr>
        <w:t xml:space="preserve"> </w:t>
      </w:r>
      <w:r w:rsidR="00C6214E">
        <w:rPr>
          <w:rFonts w:ascii="Times New Roman" w:hAnsi="Times New Roman"/>
          <w:szCs w:val="24"/>
          <w:lang w:val="bs-Latn-BA"/>
        </w:rPr>
        <w:t>трајно</w:t>
      </w:r>
      <w:r w:rsidR="009A763A" w:rsidRPr="008F47E4">
        <w:rPr>
          <w:rFonts w:ascii="Times New Roman" w:hAnsi="Times New Roman"/>
          <w:szCs w:val="24"/>
          <w:lang w:val="bs-Latn-BA"/>
        </w:rPr>
        <w:t xml:space="preserve"> </w:t>
      </w:r>
      <w:r w:rsidR="00C6214E">
        <w:rPr>
          <w:rFonts w:ascii="Times New Roman" w:hAnsi="Times New Roman"/>
          <w:szCs w:val="24"/>
          <w:lang w:val="bs-Latn-BA"/>
        </w:rPr>
        <w:t>опредјељење</w:t>
      </w:r>
      <w:r w:rsidR="009A763A" w:rsidRPr="008F47E4">
        <w:rPr>
          <w:rFonts w:ascii="Times New Roman" w:hAnsi="Times New Roman"/>
          <w:szCs w:val="24"/>
          <w:lang w:val="bs-Latn-BA"/>
        </w:rPr>
        <w:t xml:space="preserve"> </w:t>
      </w:r>
      <w:r w:rsidR="00C6214E">
        <w:rPr>
          <w:rFonts w:ascii="Times New Roman" w:hAnsi="Times New Roman"/>
          <w:szCs w:val="24"/>
          <w:lang w:val="bs-Latn-BA"/>
        </w:rPr>
        <w:t>БиХ</w:t>
      </w:r>
      <w:r w:rsidR="008F47E4" w:rsidRPr="008F47E4">
        <w:rPr>
          <w:rFonts w:ascii="Times New Roman" w:hAnsi="Times New Roman"/>
          <w:szCs w:val="24"/>
          <w:lang w:val="bs-Latn-BA"/>
        </w:rPr>
        <w:t xml:space="preserve">. </w:t>
      </w:r>
      <w:r w:rsidR="00C6214E">
        <w:rPr>
          <w:rFonts w:ascii="Times New Roman" w:hAnsi="Times New Roman"/>
          <w:szCs w:val="24"/>
          <w:lang w:val="bs-Latn-BA"/>
        </w:rPr>
        <w:t>У</w:t>
      </w:r>
      <w:r w:rsidR="008F47E4" w:rsidRPr="008F47E4">
        <w:rPr>
          <w:rFonts w:ascii="Times New Roman" w:hAnsi="Times New Roman"/>
          <w:szCs w:val="24"/>
          <w:lang w:val="bs-Latn-BA"/>
        </w:rPr>
        <w:t xml:space="preserve"> </w:t>
      </w:r>
      <w:r w:rsidR="00C6214E">
        <w:rPr>
          <w:rFonts w:ascii="Times New Roman" w:hAnsi="Times New Roman"/>
          <w:szCs w:val="24"/>
          <w:lang w:val="bs-Latn-BA"/>
        </w:rPr>
        <w:t>том</w:t>
      </w:r>
      <w:r w:rsidR="008F47E4" w:rsidRPr="008F47E4">
        <w:rPr>
          <w:rFonts w:ascii="Times New Roman" w:hAnsi="Times New Roman"/>
          <w:szCs w:val="24"/>
          <w:lang w:val="bs-Latn-BA"/>
        </w:rPr>
        <w:t xml:space="preserve"> </w:t>
      </w:r>
      <w:r w:rsidR="00C6214E">
        <w:rPr>
          <w:rFonts w:ascii="Times New Roman" w:hAnsi="Times New Roman"/>
          <w:szCs w:val="24"/>
          <w:lang w:val="bs-Latn-BA"/>
        </w:rPr>
        <w:t>смислу</w:t>
      </w:r>
      <w:r w:rsidR="008F47E4" w:rsidRPr="008F47E4">
        <w:rPr>
          <w:rFonts w:ascii="Times New Roman" w:hAnsi="Times New Roman"/>
          <w:szCs w:val="24"/>
          <w:lang w:val="bs-Latn-BA"/>
        </w:rPr>
        <w:t xml:space="preserve"> </w:t>
      </w:r>
      <w:r w:rsidR="00C6214E">
        <w:rPr>
          <w:rFonts w:ascii="Times New Roman" w:hAnsi="Times New Roman"/>
          <w:szCs w:val="24"/>
          <w:lang w:val="bs-Latn-BA"/>
        </w:rPr>
        <w:t>АР</w:t>
      </w:r>
      <w:r>
        <w:rPr>
          <w:rFonts w:ascii="Times New Roman" w:hAnsi="Times New Roman"/>
          <w:szCs w:val="24"/>
          <w:lang w:val="sr-Cyrl-BA"/>
        </w:rPr>
        <w:t>П</w:t>
      </w:r>
      <w:r w:rsidR="008F47E4" w:rsidRPr="008F47E4">
        <w:rPr>
          <w:rFonts w:ascii="Times New Roman" w:hAnsi="Times New Roman"/>
          <w:szCs w:val="24"/>
          <w:lang w:val="bs-Latn-BA"/>
        </w:rPr>
        <w:t xml:space="preserve"> </w:t>
      </w:r>
      <w:r w:rsidR="00C6214E">
        <w:rPr>
          <w:rFonts w:ascii="Times New Roman" w:hAnsi="Times New Roman"/>
          <w:szCs w:val="24"/>
          <w:lang w:val="bs-Latn-BA"/>
        </w:rPr>
        <w:t>БиХ</w:t>
      </w:r>
      <w:r w:rsidR="009A763A" w:rsidRPr="008F47E4">
        <w:rPr>
          <w:rFonts w:ascii="Times New Roman" w:hAnsi="Times New Roman"/>
          <w:szCs w:val="24"/>
          <w:lang w:val="bs-Latn-BA"/>
        </w:rPr>
        <w:t xml:space="preserve"> </w:t>
      </w:r>
      <w:r w:rsidR="00C6214E">
        <w:rPr>
          <w:rFonts w:ascii="Times New Roman" w:hAnsi="Times New Roman"/>
          <w:szCs w:val="24"/>
          <w:lang w:val="bs-Latn-BA"/>
        </w:rPr>
        <w:t>МЉПИ</w:t>
      </w:r>
      <w:r w:rsidR="008F47E4" w:rsidRPr="008F47E4">
        <w:rPr>
          <w:rFonts w:ascii="Times New Roman" w:hAnsi="Times New Roman"/>
          <w:szCs w:val="24"/>
          <w:lang w:val="bs-Latn-BA"/>
        </w:rPr>
        <w:t xml:space="preserve"> </w:t>
      </w:r>
      <w:r w:rsidR="00C6214E">
        <w:rPr>
          <w:rFonts w:ascii="Times New Roman" w:hAnsi="Times New Roman"/>
          <w:szCs w:val="24"/>
          <w:lang w:val="bs-Latn-BA"/>
        </w:rPr>
        <w:t>БиХ</w:t>
      </w:r>
      <w:r w:rsidR="009A763A" w:rsidRPr="008F47E4">
        <w:rPr>
          <w:rFonts w:ascii="Times New Roman" w:hAnsi="Times New Roman"/>
          <w:szCs w:val="24"/>
          <w:lang w:val="bs-Latn-BA"/>
        </w:rPr>
        <w:t xml:space="preserve"> </w:t>
      </w:r>
      <w:r w:rsidR="00C6214E">
        <w:rPr>
          <w:rFonts w:ascii="Times New Roman" w:hAnsi="Times New Roman"/>
          <w:szCs w:val="24"/>
          <w:lang w:val="bs-Latn-BA"/>
        </w:rPr>
        <w:t>је</w:t>
      </w:r>
      <w:r w:rsidR="009A763A" w:rsidRPr="008F47E4">
        <w:rPr>
          <w:rFonts w:ascii="Times New Roman" w:hAnsi="Times New Roman"/>
          <w:szCs w:val="24"/>
          <w:lang w:val="bs-Latn-BA"/>
        </w:rPr>
        <w:t xml:space="preserve"> </w:t>
      </w:r>
      <w:r w:rsidR="00C6214E">
        <w:rPr>
          <w:rFonts w:ascii="Times New Roman" w:hAnsi="Times New Roman"/>
          <w:szCs w:val="24"/>
          <w:lang w:val="bs-Latn-BA"/>
        </w:rPr>
        <w:t>интензивно</w:t>
      </w:r>
      <w:r w:rsidR="009A763A" w:rsidRPr="008F47E4">
        <w:rPr>
          <w:rFonts w:ascii="Times New Roman" w:hAnsi="Times New Roman"/>
          <w:szCs w:val="24"/>
          <w:lang w:val="bs-Latn-BA"/>
        </w:rPr>
        <w:t xml:space="preserve"> </w:t>
      </w:r>
      <w:r>
        <w:rPr>
          <w:rFonts w:ascii="Times New Roman" w:hAnsi="Times New Roman"/>
          <w:szCs w:val="24"/>
          <w:lang w:val="sr-Cyrl-BA"/>
        </w:rPr>
        <w:t>спроводила</w:t>
      </w:r>
      <w:r w:rsidR="009A763A" w:rsidRPr="008F47E4">
        <w:rPr>
          <w:rFonts w:ascii="Times New Roman" w:hAnsi="Times New Roman"/>
          <w:szCs w:val="24"/>
          <w:lang w:val="bs-Latn-BA"/>
        </w:rPr>
        <w:t xml:space="preserve"> </w:t>
      </w:r>
      <w:r w:rsidR="00C6214E">
        <w:rPr>
          <w:rFonts w:ascii="Times New Roman" w:hAnsi="Times New Roman"/>
          <w:szCs w:val="24"/>
          <w:lang w:val="bs-Latn-BA"/>
        </w:rPr>
        <w:t>активности</w:t>
      </w:r>
      <w:r w:rsidR="009A763A" w:rsidRPr="008F47E4">
        <w:rPr>
          <w:rFonts w:ascii="Times New Roman" w:hAnsi="Times New Roman"/>
          <w:szCs w:val="24"/>
          <w:lang w:val="bs-Latn-BA"/>
        </w:rPr>
        <w:t xml:space="preserve"> </w:t>
      </w:r>
      <w:r w:rsidR="00C6214E">
        <w:rPr>
          <w:rFonts w:ascii="Times New Roman" w:hAnsi="Times New Roman"/>
          <w:szCs w:val="24"/>
          <w:lang w:val="bs-Latn-BA"/>
        </w:rPr>
        <w:t>усмјерене</w:t>
      </w:r>
      <w:r w:rsidR="009A763A" w:rsidRPr="008F47E4">
        <w:rPr>
          <w:rFonts w:ascii="Times New Roman" w:hAnsi="Times New Roman"/>
          <w:szCs w:val="24"/>
          <w:lang w:val="bs-Latn-BA"/>
        </w:rPr>
        <w:t xml:space="preserve"> </w:t>
      </w:r>
      <w:r w:rsidR="00C6214E">
        <w:rPr>
          <w:rFonts w:ascii="Times New Roman" w:hAnsi="Times New Roman"/>
          <w:szCs w:val="24"/>
          <w:lang w:val="bs-Latn-BA"/>
        </w:rPr>
        <w:t>на</w:t>
      </w:r>
      <w:r w:rsidR="009A763A" w:rsidRPr="008F47E4">
        <w:rPr>
          <w:rFonts w:ascii="Times New Roman" w:hAnsi="Times New Roman"/>
          <w:szCs w:val="24"/>
          <w:lang w:val="bs-Latn-BA"/>
        </w:rPr>
        <w:t xml:space="preserve"> </w:t>
      </w:r>
      <w:r w:rsidR="00C6214E">
        <w:rPr>
          <w:rFonts w:ascii="Times New Roman" w:hAnsi="Times New Roman"/>
          <w:szCs w:val="24"/>
          <w:lang w:val="bs-Latn-BA"/>
        </w:rPr>
        <w:t>доношење</w:t>
      </w:r>
      <w:r w:rsidR="009A763A" w:rsidRPr="008F47E4">
        <w:rPr>
          <w:rFonts w:ascii="Times New Roman" w:hAnsi="Times New Roman"/>
          <w:szCs w:val="24"/>
          <w:lang w:val="bs-Latn-BA"/>
        </w:rPr>
        <w:t xml:space="preserve"> </w:t>
      </w:r>
      <w:r w:rsidR="00C6214E">
        <w:rPr>
          <w:rFonts w:ascii="Times New Roman" w:hAnsi="Times New Roman"/>
          <w:szCs w:val="24"/>
          <w:lang w:val="bs-Latn-BA"/>
        </w:rPr>
        <w:t>новог</w:t>
      </w:r>
      <w:r w:rsidR="009A763A" w:rsidRPr="008F47E4">
        <w:rPr>
          <w:rFonts w:ascii="Times New Roman" w:hAnsi="Times New Roman"/>
          <w:szCs w:val="24"/>
          <w:lang w:val="bs-Latn-BA"/>
        </w:rPr>
        <w:t xml:space="preserve"> </w:t>
      </w:r>
      <w:r w:rsidR="00C6214E">
        <w:rPr>
          <w:rFonts w:ascii="Times New Roman" w:hAnsi="Times New Roman"/>
          <w:szCs w:val="24"/>
          <w:lang w:val="bs-Latn-BA"/>
        </w:rPr>
        <w:t>Акционог</w:t>
      </w:r>
      <w:r w:rsidR="009A763A" w:rsidRPr="008F47E4">
        <w:rPr>
          <w:rFonts w:ascii="Times New Roman" w:hAnsi="Times New Roman"/>
          <w:szCs w:val="24"/>
          <w:lang w:val="bs-Latn-BA"/>
        </w:rPr>
        <w:t xml:space="preserve"> </w:t>
      </w:r>
      <w:r w:rsidR="00C6214E">
        <w:rPr>
          <w:rFonts w:ascii="Times New Roman" w:hAnsi="Times New Roman"/>
          <w:szCs w:val="24"/>
          <w:lang w:val="bs-Latn-BA"/>
        </w:rPr>
        <w:t>плана</w:t>
      </w:r>
      <w:r w:rsidR="009A763A" w:rsidRPr="008F47E4">
        <w:rPr>
          <w:rFonts w:ascii="Times New Roman" w:hAnsi="Times New Roman"/>
          <w:szCs w:val="24"/>
          <w:lang w:val="bs-Latn-BA"/>
        </w:rPr>
        <w:t xml:space="preserve"> </w:t>
      </w:r>
      <w:r w:rsidR="00C6214E">
        <w:rPr>
          <w:rFonts w:ascii="Times New Roman" w:hAnsi="Times New Roman"/>
          <w:szCs w:val="24"/>
          <w:lang w:val="bs-Latn-BA"/>
        </w:rPr>
        <w:t>за</w:t>
      </w:r>
      <w:r w:rsidR="009A763A" w:rsidRPr="008F47E4">
        <w:rPr>
          <w:rFonts w:ascii="Times New Roman" w:hAnsi="Times New Roman"/>
          <w:szCs w:val="24"/>
          <w:lang w:val="bs-Latn-BA"/>
        </w:rPr>
        <w:t xml:space="preserve"> </w:t>
      </w:r>
      <w:r w:rsidR="00214C97">
        <w:rPr>
          <w:rFonts w:ascii="Times New Roman" w:hAnsi="Times New Roman"/>
          <w:szCs w:val="24"/>
          <w:lang w:val="sr-Cyrl-BA"/>
        </w:rPr>
        <w:t>спровођење</w:t>
      </w:r>
      <w:r w:rsidR="009A763A" w:rsidRPr="008F47E4">
        <w:rPr>
          <w:rFonts w:ascii="Times New Roman" w:hAnsi="Times New Roman"/>
          <w:szCs w:val="24"/>
          <w:lang w:val="bs-Latn-BA"/>
        </w:rPr>
        <w:t xml:space="preserve"> </w:t>
      </w:r>
      <w:r w:rsidR="00C6214E">
        <w:rPr>
          <w:rFonts w:ascii="Times New Roman" w:hAnsi="Times New Roman"/>
          <w:szCs w:val="24"/>
          <w:lang w:val="bs-Latn-BA"/>
        </w:rPr>
        <w:t>Резолуције</w:t>
      </w:r>
      <w:r w:rsidR="009A763A" w:rsidRPr="008F47E4">
        <w:rPr>
          <w:rFonts w:ascii="Times New Roman" w:hAnsi="Times New Roman"/>
          <w:szCs w:val="24"/>
          <w:lang w:val="bs-Latn-BA"/>
        </w:rPr>
        <w:t xml:space="preserve"> 1325 </w:t>
      </w:r>
      <w:r w:rsidR="00C6214E">
        <w:rPr>
          <w:rFonts w:ascii="Times New Roman" w:hAnsi="Times New Roman"/>
          <w:szCs w:val="24"/>
          <w:lang w:val="bs-Latn-BA"/>
        </w:rPr>
        <w:t>у</w:t>
      </w:r>
      <w:r w:rsidR="009A763A" w:rsidRPr="008F47E4">
        <w:rPr>
          <w:rFonts w:ascii="Times New Roman" w:hAnsi="Times New Roman"/>
          <w:szCs w:val="24"/>
          <w:lang w:val="bs-Latn-BA"/>
        </w:rPr>
        <w:t xml:space="preserve"> </w:t>
      </w:r>
      <w:r w:rsidR="00C6214E">
        <w:rPr>
          <w:rFonts w:ascii="Times New Roman" w:hAnsi="Times New Roman"/>
          <w:szCs w:val="24"/>
          <w:lang w:val="bs-Latn-BA"/>
        </w:rPr>
        <w:t>Босни</w:t>
      </w:r>
      <w:r w:rsidR="009A763A" w:rsidRPr="008F47E4">
        <w:rPr>
          <w:rFonts w:ascii="Times New Roman" w:hAnsi="Times New Roman"/>
          <w:szCs w:val="24"/>
          <w:lang w:val="bs-Latn-BA"/>
        </w:rPr>
        <w:t xml:space="preserve"> </w:t>
      </w:r>
      <w:r w:rsidR="00C6214E">
        <w:rPr>
          <w:rFonts w:ascii="Times New Roman" w:hAnsi="Times New Roman"/>
          <w:szCs w:val="24"/>
          <w:lang w:val="bs-Latn-BA"/>
        </w:rPr>
        <w:t>и</w:t>
      </w:r>
      <w:r w:rsidR="009A763A" w:rsidRPr="008F47E4">
        <w:rPr>
          <w:rFonts w:ascii="Times New Roman" w:hAnsi="Times New Roman"/>
          <w:szCs w:val="24"/>
          <w:lang w:val="bs-Latn-BA"/>
        </w:rPr>
        <w:t xml:space="preserve"> </w:t>
      </w:r>
      <w:r w:rsidR="00C6214E">
        <w:rPr>
          <w:rFonts w:ascii="Times New Roman" w:hAnsi="Times New Roman"/>
          <w:szCs w:val="24"/>
          <w:lang w:val="bs-Latn-BA"/>
        </w:rPr>
        <w:t>Херцеговини</w:t>
      </w:r>
      <w:r w:rsidR="009A763A" w:rsidRPr="008F47E4">
        <w:rPr>
          <w:rFonts w:ascii="Times New Roman" w:hAnsi="Times New Roman"/>
          <w:szCs w:val="24"/>
          <w:lang w:val="bs-Latn-BA"/>
        </w:rPr>
        <w:t xml:space="preserve"> (</w:t>
      </w:r>
      <w:r w:rsidR="00C6214E">
        <w:rPr>
          <w:rFonts w:ascii="Times New Roman" w:hAnsi="Times New Roman"/>
          <w:szCs w:val="24"/>
          <w:lang w:val="bs-Latn-BA"/>
        </w:rPr>
        <w:t>претходни</w:t>
      </w:r>
      <w:r w:rsidR="009A763A" w:rsidRPr="008F47E4">
        <w:rPr>
          <w:rFonts w:ascii="Times New Roman" w:hAnsi="Times New Roman"/>
          <w:szCs w:val="24"/>
          <w:lang w:val="bs-Latn-BA"/>
        </w:rPr>
        <w:t xml:space="preserve"> </w:t>
      </w:r>
      <w:r w:rsidR="00C6214E">
        <w:rPr>
          <w:rFonts w:ascii="Times New Roman" w:hAnsi="Times New Roman"/>
          <w:szCs w:val="24"/>
          <w:lang w:val="bs-Latn-BA"/>
        </w:rPr>
        <w:t>акциони</w:t>
      </w:r>
      <w:r w:rsidR="009A763A" w:rsidRPr="008F47E4">
        <w:rPr>
          <w:rFonts w:ascii="Times New Roman" w:hAnsi="Times New Roman"/>
          <w:szCs w:val="24"/>
          <w:lang w:val="bs-Latn-BA"/>
        </w:rPr>
        <w:t xml:space="preserve"> </w:t>
      </w:r>
      <w:r w:rsidR="00C6214E">
        <w:rPr>
          <w:rFonts w:ascii="Times New Roman" w:hAnsi="Times New Roman"/>
          <w:szCs w:val="24"/>
          <w:lang w:val="bs-Latn-BA"/>
        </w:rPr>
        <w:t>план</w:t>
      </w:r>
      <w:r w:rsidR="009A763A" w:rsidRPr="008F47E4">
        <w:rPr>
          <w:rFonts w:ascii="Times New Roman" w:hAnsi="Times New Roman"/>
          <w:szCs w:val="24"/>
          <w:lang w:val="bs-Latn-BA"/>
        </w:rPr>
        <w:t xml:space="preserve"> </w:t>
      </w:r>
      <w:r w:rsidR="00C6214E">
        <w:rPr>
          <w:rFonts w:ascii="Times New Roman" w:hAnsi="Times New Roman"/>
          <w:szCs w:val="24"/>
          <w:lang w:val="bs-Latn-BA"/>
        </w:rPr>
        <w:t>истекао</w:t>
      </w:r>
      <w:r w:rsidR="009A763A" w:rsidRPr="008F47E4">
        <w:rPr>
          <w:rFonts w:ascii="Times New Roman" w:hAnsi="Times New Roman"/>
          <w:szCs w:val="24"/>
          <w:lang w:val="bs-Latn-BA"/>
        </w:rPr>
        <w:t xml:space="preserve"> </w:t>
      </w:r>
      <w:r w:rsidR="00C6214E">
        <w:rPr>
          <w:rFonts w:ascii="Times New Roman" w:hAnsi="Times New Roman"/>
          <w:szCs w:val="24"/>
          <w:lang w:val="bs-Latn-BA"/>
        </w:rPr>
        <w:t>је</w:t>
      </w:r>
      <w:r w:rsidR="008F47E4" w:rsidRPr="008F47E4">
        <w:rPr>
          <w:rFonts w:ascii="Times New Roman" w:hAnsi="Times New Roman"/>
          <w:szCs w:val="24"/>
          <w:lang w:val="bs-Latn-BA"/>
        </w:rPr>
        <w:t xml:space="preserve"> </w:t>
      </w:r>
      <w:r w:rsidR="009A763A" w:rsidRPr="008F47E4">
        <w:rPr>
          <w:rFonts w:ascii="Times New Roman" w:hAnsi="Times New Roman"/>
          <w:szCs w:val="24"/>
          <w:lang w:val="bs-Latn-BA"/>
        </w:rPr>
        <w:t xml:space="preserve">2022. </w:t>
      </w:r>
      <w:r w:rsidR="00C6214E">
        <w:rPr>
          <w:rFonts w:ascii="Times New Roman" w:hAnsi="Times New Roman"/>
          <w:szCs w:val="24"/>
          <w:lang w:val="bs-Latn-BA"/>
        </w:rPr>
        <w:t>године</w:t>
      </w:r>
      <w:r w:rsidR="009A763A" w:rsidRPr="008F47E4">
        <w:rPr>
          <w:rFonts w:ascii="Times New Roman" w:hAnsi="Times New Roman"/>
          <w:szCs w:val="24"/>
          <w:lang w:val="bs-Latn-BA"/>
        </w:rPr>
        <w:t xml:space="preserve">), </w:t>
      </w:r>
      <w:r w:rsidR="00214C97">
        <w:rPr>
          <w:rFonts w:ascii="Times New Roman" w:eastAsia="Calibri" w:hAnsi="Times New Roman"/>
          <w:szCs w:val="24"/>
          <w:lang w:val="sr-Cyrl-BA"/>
        </w:rPr>
        <w:t>с</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циљ</w:t>
      </w:r>
      <w:r w:rsidR="00214C97">
        <w:rPr>
          <w:rFonts w:ascii="Times New Roman" w:eastAsia="Calibri" w:hAnsi="Times New Roman"/>
          <w:szCs w:val="24"/>
          <w:lang w:val="sr-Cyrl-BA"/>
        </w:rPr>
        <w:t>ем</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да</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о</w:t>
      </w:r>
      <w:r w:rsidR="00214C97">
        <w:rPr>
          <w:rFonts w:ascii="Times New Roman" w:eastAsia="Calibri" w:hAnsi="Times New Roman"/>
          <w:szCs w:val="24"/>
          <w:lang w:val="sr-Cyrl-BA"/>
        </w:rPr>
        <w:t>безбиједи</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континуиран</w:t>
      </w:r>
      <w:r w:rsidR="00214C97">
        <w:rPr>
          <w:rFonts w:ascii="Times New Roman" w:eastAsia="Calibri" w:hAnsi="Times New Roman"/>
          <w:szCs w:val="24"/>
          <w:lang w:val="sr-Cyrl-BA"/>
        </w:rPr>
        <w:t>о</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квалитетн</w:t>
      </w:r>
      <w:r w:rsidR="00214C97">
        <w:rPr>
          <w:rFonts w:ascii="Times New Roman" w:eastAsia="Calibri" w:hAnsi="Times New Roman"/>
          <w:szCs w:val="24"/>
          <w:lang w:val="sr-Cyrl-BA"/>
        </w:rPr>
        <w:t>о</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и</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дјелотворн</w:t>
      </w:r>
      <w:r w:rsidR="00214C97">
        <w:rPr>
          <w:rFonts w:ascii="Times New Roman" w:eastAsia="Calibri" w:hAnsi="Times New Roman"/>
          <w:szCs w:val="24"/>
          <w:lang w:val="sr-Cyrl-BA"/>
        </w:rPr>
        <w:t>о</w:t>
      </w:r>
      <w:r w:rsidR="009A763A" w:rsidRPr="008F47E4">
        <w:rPr>
          <w:rFonts w:ascii="Times New Roman" w:eastAsia="Calibri" w:hAnsi="Times New Roman"/>
          <w:szCs w:val="24"/>
          <w:lang w:val="hr-HR"/>
        </w:rPr>
        <w:t xml:space="preserve"> </w:t>
      </w:r>
      <w:r w:rsidR="00214C97">
        <w:rPr>
          <w:rFonts w:ascii="Times New Roman" w:eastAsia="Calibri" w:hAnsi="Times New Roman"/>
          <w:szCs w:val="24"/>
          <w:lang w:val="sr-Cyrl-BA"/>
        </w:rPr>
        <w:t>спровођење</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bs-Latn-BA"/>
        </w:rPr>
        <w:t>Резолуције</w:t>
      </w:r>
      <w:r w:rsidR="009A763A" w:rsidRPr="008F47E4">
        <w:rPr>
          <w:rFonts w:ascii="Times New Roman" w:eastAsia="Calibri" w:hAnsi="Times New Roman"/>
          <w:szCs w:val="24"/>
          <w:lang w:val="bs-Latn-BA"/>
        </w:rPr>
        <w:t xml:space="preserve"> </w:t>
      </w:r>
      <w:r w:rsidR="00214C97">
        <w:rPr>
          <w:rFonts w:ascii="Times New Roman" w:eastAsia="Calibri" w:hAnsi="Times New Roman"/>
          <w:szCs w:val="24"/>
          <w:lang w:val="sr-Cyrl-BA"/>
        </w:rPr>
        <w:t>Савјета безбједности</w:t>
      </w:r>
      <w:r w:rsidR="008F47E4">
        <w:rPr>
          <w:rFonts w:ascii="Times New Roman" w:eastAsia="Calibri" w:hAnsi="Times New Roman"/>
          <w:szCs w:val="24"/>
          <w:lang w:val="bs-Latn-BA"/>
        </w:rPr>
        <w:t xml:space="preserve"> </w:t>
      </w:r>
      <w:r w:rsidR="00C6214E">
        <w:rPr>
          <w:rFonts w:ascii="Times New Roman" w:eastAsia="Calibri" w:hAnsi="Times New Roman"/>
          <w:szCs w:val="24"/>
          <w:lang w:val="bs-Latn-BA"/>
        </w:rPr>
        <w:t>УН</w:t>
      </w:r>
      <w:r w:rsidR="008F47E4">
        <w:rPr>
          <w:rFonts w:ascii="Times New Roman" w:eastAsia="Calibri" w:hAnsi="Times New Roman"/>
          <w:szCs w:val="24"/>
          <w:lang w:val="bs-Latn-BA"/>
        </w:rPr>
        <w:t>-</w:t>
      </w:r>
      <w:r w:rsidR="00C6214E">
        <w:rPr>
          <w:rFonts w:ascii="Times New Roman" w:eastAsia="Calibri" w:hAnsi="Times New Roman"/>
          <w:szCs w:val="24"/>
          <w:lang w:val="bs-Latn-BA"/>
        </w:rPr>
        <w:t>а</w:t>
      </w:r>
      <w:r w:rsidR="008F47E4">
        <w:rPr>
          <w:rFonts w:ascii="Times New Roman" w:eastAsia="Calibri" w:hAnsi="Times New Roman"/>
          <w:szCs w:val="24"/>
          <w:lang w:val="bs-Latn-BA"/>
        </w:rPr>
        <w:t xml:space="preserve"> 1325 (2000)</w:t>
      </w:r>
      <w:r w:rsidR="009A763A" w:rsidRPr="008F47E4">
        <w:rPr>
          <w:rFonts w:ascii="Times New Roman" w:eastAsia="Calibri" w:hAnsi="Times New Roman"/>
          <w:szCs w:val="24"/>
          <w:lang w:val="bs-Latn-BA"/>
        </w:rPr>
        <w:t xml:space="preserve"> “</w:t>
      </w:r>
      <w:r w:rsidR="00C6214E">
        <w:rPr>
          <w:rFonts w:ascii="Times New Roman" w:eastAsia="Calibri" w:hAnsi="Times New Roman"/>
          <w:szCs w:val="24"/>
          <w:lang w:val="bs-Latn-BA"/>
        </w:rPr>
        <w:t>Жене</w:t>
      </w:r>
      <w:r w:rsidR="009A763A" w:rsidRPr="008F47E4">
        <w:rPr>
          <w:rFonts w:ascii="Times New Roman" w:eastAsia="Calibri" w:hAnsi="Times New Roman"/>
          <w:szCs w:val="24"/>
          <w:lang w:val="bs-Latn-BA"/>
        </w:rPr>
        <w:t xml:space="preserve">, </w:t>
      </w:r>
      <w:r w:rsidR="00C6214E">
        <w:rPr>
          <w:rFonts w:ascii="Times New Roman" w:eastAsia="Calibri" w:hAnsi="Times New Roman"/>
          <w:szCs w:val="24"/>
          <w:lang w:val="bs-Latn-BA"/>
        </w:rPr>
        <w:t>мир</w:t>
      </w:r>
      <w:r w:rsidR="009A763A" w:rsidRPr="008F47E4">
        <w:rPr>
          <w:rFonts w:ascii="Times New Roman" w:eastAsia="Calibri" w:hAnsi="Times New Roman"/>
          <w:szCs w:val="24"/>
          <w:lang w:val="bs-Latn-BA"/>
        </w:rPr>
        <w:t xml:space="preserve"> </w:t>
      </w:r>
      <w:r w:rsidR="00C6214E">
        <w:rPr>
          <w:rFonts w:ascii="Times New Roman" w:eastAsia="Calibri" w:hAnsi="Times New Roman"/>
          <w:szCs w:val="24"/>
          <w:lang w:val="bs-Latn-BA"/>
        </w:rPr>
        <w:t>и</w:t>
      </w:r>
      <w:r w:rsidR="009A763A" w:rsidRPr="008F47E4">
        <w:rPr>
          <w:rFonts w:ascii="Times New Roman" w:eastAsia="Calibri" w:hAnsi="Times New Roman"/>
          <w:szCs w:val="24"/>
          <w:lang w:val="bs-Latn-BA"/>
        </w:rPr>
        <w:t xml:space="preserve"> </w:t>
      </w:r>
      <w:r w:rsidR="00214C97">
        <w:rPr>
          <w:rFonts w:ascii="Times New Roman" w:eastAsia="Calibri" w:hAnsi="Times New Roman"/>
          <w:szCs w:val="24"/>
          <w:lang w:val="sr-Cyrl-BA"/>
        </w:rPr>
        <w:t>безбједност</w:t>
      </w:r>
      <w:r w:rsidR="009A763A" w:rsidRPr="008F47E4">
        <w:rPr>
          <w:rFonts w:ascii="Times New Roman" w:eastAsia="Calibri" w:hAnsi="Times New Roman"/>
          <w:szCs w:val="24"/>
          <w:lang w:val="bs-Latn-BA"/>
        </w:rPr>
        <w:t xml:space="preserve">” </w:t>
      </w:r>
      <w:r w:rsidR="00C6214E">
        <w:rPr>
          <w:rFonts w:ascii="Times New Roman" w:eastAsia="Calibri" w:hAnsi="Times New Roman"/>
          <w:szCs w:val="24"/>
          <w:lang w:val="hr-HR"/>
        </w:rPr>
        <w:t>у</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Босни</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и</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Херцеговини</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у</w:t>
      </w:r>
      <w:r w:rsidR="009A763A" w:rsidRPr="008F47E4">
        <w:rPr>
          <w:rFonts w:ascii="Times New Roman" w:eastAsia="Calibri" w:hAnsi="Times New Roman"/>
          <w:szCs w:val="24"/>
          <w:lang w:val="hr-HR"/>
        </w:rPr>
        <w:t xml:space="preserve"> </w:t>
      </w:r>
      <w:r w:rsidR="00C6214E">
        <w:rPr>
          <w:rFonts w:ascii="Times New Roman" w:eastAsia="Calibri" w:hAnsi="Times New Roman"/>
          <w:szCs w:val="24"/>
          <w:lang w:val="hr-HR"/>
        </w:rPr>
        <w:t>периоду</w:t>
      </w:r>
      <w:r w:rsidR="009A763A" w:rsidRPr="008F47E4">
        <w:rPr>
          <w:rFonts w:ascii="Times New Roman" w:eastAsia="Calibri" w:hAnsi="Times New Roman"/>
          <w:szCs w:val="24"/>
          <w:lang w:val="hr-HR"/>
        </w:rPr>
        <w:t xml:space="preserve"> 2024-2029. </w:t>
      </w:r>
      <w:r w:rsidR="00C6214E">
        <w:rPr>
          <w:rFonts w:ascii="Times New Roman" w:hAnsi="Times New Roman"/>
          <w:szCs w:val="24"/>
        </w:rPr>
        <w:t>године</w:t>
      </w:r>
      <w:r w:rsidR="009A763A" w:rsidRPr="008F47E4">
        <w:rPr>
          <w:rFonts w:ascii="Times New Roman" w:eastAsia="Calibri" w:hAnsi="Times New Roman"/>
          <w:szCs w:val="24"/>
          <w:lang w:val="hr-HR"/>
        </w:rPr>
        <w:t>.</w:t>
      </w:r>
      <w:r w:rsidR="009A763A" w:rsidRPr="008F47E4">
        <w:rPr>
          <w:rFonts w:ascii="Times New Roman" w:eastAsia="Calibri" w:hAnsi="Times New Roman"/>
          <w:szCs w:val="24"/>
        </w:rPr>
        <w:t xml:space="preserve"> </w:t>
      </w:r>
      <w:r w:rsidR="00C6214E">
        <w:rPr>
          <w:rFonts w:ascii="Times New Roman" w:eastAsia="Calibri" w:hAnsi="Times New Roman"/>
          <w:szCs w:val="24"/>
        </w:rPr>
        <w:t>Докуменат</w:t>
      </w:r>
      <w:r w:rsidR="009A763A" w:rsidRPr="008F47E4">
        <w:rPr>
          <w:rFonts w:ascii="Times New Roman" w:eastAsia="Calibri" w:hAnsi="Times New Roman"/>
          <w:szCs w:val="24"/>
        </w:rPr>
        <w:t xml:space="preserve"> </w:t>
      </w:r>
      <w:r w:rsidR="00C6214E">
        <w:rPr>
          <w:rFonts w:ascii="Times New Roman" w:eastAsia="Calibri" w:hAnsi="Times New Roman"/>
          <w:szCs w:val="24"/>
        </w:rPr>
        <w:t>је</w:t>
      </w:r>
      <w:r w:rsidR="009A763A" w:rsidRPr="008F47E4">
        <w:rPr>
          <w:rFonts w:ascii="Times New Roman" w:eastAsia="Calibri" w:hAnsi="Times New Roman"/>
          <w:szCs w:val="24"/>
        </w:rPr>
        <w:t xml:space="preserve"> </w:t>
      </w:r>
      <w:r w:rsidR="00C6214E">
        <w:rPr>
          <w:rFonts w:ascii="Times New Roman" w:eastAsia="Calibri" w:hAnsi="Times New Roman"/>
          <w:szCs w:val="24"/>
        </w:rPr>
        <w:t>израђен</w:t>
      </w:r>
      <w:r w:rsidR="009A763A" w:rsidRPr="008F47E4">
        <w:rPr>
          <w:rFonts w:ascii="Times New Roman" w:eastAsia="Calibri" w:hAnsi="Times New Roman"/>
          <w:szCs w:val="24"/>
        </w:rPr>
        <w:t xml:space="preserve"> </w:t>
      </w:r>
      <w:r w:rsidR="00C6214E">
        <w:rPr>
          <w:rFonts w:ascii="Times New Roman" w:eastAsia="Calibri" w:hAnsi="Times New Roman"/>
          <w:szCs w:val="24"/>
        </w:rPr>
        <w:t>ослањајући</w:t>
      </w:r>
      <w:r w:rsidR="009A763A" w:rsidRPr="008F47E4">
        <w:rPr>
          <w:rFonts w:ascii="Times New Roman" w:eastAsia="Calibri" w:hAnsi="Times New Roman"/>
          <w:szCs w:val="24"/>
        </w:rPr>
        <w:t xml:space="preserve"> </w:t>
      </w:r>
      <w:r w:rsidR="00C6214E">
        <w:rPr>
          <w:rFonts w:ascii="Times New Roman" w:eastAsia="Calibri" w:hAnsi="Times New Roman"/>
          <w:szCs w:val="24"/>
        </w:rPr>
        <w:t>се</w:t>
      </w:r>
      <w:r w:rsidR="009A763A" w:rsidRPr="008F47E4">
        <w:rPr>
          <w:rFonts w:ascii="Times New Roman" w:eastAsia="Calibri" w:hAnsi="Times New Roman"/>
          <w:szCs w:val="24"/>
        </w:rPr>
        <w:t xml:space="preserve"> </w:t>
      </w:r>
      <w:r w:rsidR="00C6214E">
        <w:rPr>
          <w:rFonts w:ascii="Times New Roman" w:eastAsia="Calibri" w:hAnsi="Times New Roman"/>
          <w:szCs w:val="24"/>
        </w:rPr>
        <w:t>на</w:t>
      </w:r>
      <w:r w:rsidR="009A763A" w:rsidRPr="008F47E4">
        <w:rPr>
          <w:rFonts w:ascii="Times New Roman" w:eastAsia="Calibri" w:hAnsi="Times New Roman"/>
          <w:szCs w:val="24"/>
        </w:rPr>
        <w:t xml:space="preserve"> </w:t>
      </w:r>
      <w:r w:rsidR="00C6214E">
        <w:rPr>
          <w:rFonts w:ascii="Times New Roman" w:eastAsia="Calibri" w:hAnsi="Times New Roman"/>
          <w:szCs w:val="24"/>
        </w:rPr>
        <w:t>стратешке</w:t>
      </w:r>
      <w:r w:rsidR="009A763A" w:rsidRPr="008F47E4">
        <w:rPr>
          <w:rFonts w:ascii="Times New Roman" w:eastAsia="Calibri" w:hAnsi="Times New Roman"/>
          <w:szCs w:val="24"/>
        </w:rPr>
        <w:t xml:space="preserve"> </w:t>
      </w:r>
      <w:r w:rsidR="00C6214E">
        <w:rPr>
          <w:rFonts w:ascii="Times New Roman" w:eastAsia="Calibri" w:hAnsi="Times New Roman"/>
          <w:szCs w:val="24"/>
        </w:rPr>
        <w:t>циљеве</w:t>
      </w:r>
      <w:r w:rsidR="009A763A" w:rsidRPr="008F47E4">
        <w:rPr>
          <w:rFonts w:ascii="Times New Roman" w:eastAsia="Calibri" w:hAnsi="Times New Roman"/>
          <w:szCs w:val="24"/>
        </w:rPr>
        <w:t xml:space="preserve"> </w:t>
      </w:r>
      <w:r w:rsidR="00C6214E">
        <w:rPr>
          <w:rFonts w:ascii="Times New Roman" w:eastAsia="Calibri" w:hAnsi="Times New Roman"/>
          <w:szCs w:val="24"/>
        </w:rPr>
        <w:t>и</w:t>
      </w:r>
      <w:r w:rsidR="009A763A" w:rsidRPr="008F47E4">
        <w:rPr>
          <w:rFonts w:ascii="Times New Roman" w:eastAsia="Calibri" w:hAnsi="Times New Roman"/>
          <w:szCs w:val="24"/>
        </w:rPr>
        <w:t xml:space="preserve"> </w:t>
      </w:r>
      <w:r w:rsidR="00C6214E">
        <w:rPr>
          <w:rFonts w:ascii="Times New Roman" w:eastAsia="Calibri" w:hAnsi="Times New Roman"/>
          <w:szCs w:val="24"/>
        </w:rPr>
        <w:t>очекиване</w:t>
      </w:r>
      <w:r w:rsidR="009A763A" w:rsidRPr="008F47E4">
        <w:rPr>
          <w:rFonts w:ascii="Times New Roman" w:eastAsia="Calibri" w:hAnsi="Times New Roman"/>
          <w:szCs w:val="24"/>
        </w:rPr>
        <w:t xml:space="preserve"> </w:t>
      </w:r>
      <w:r w:rsidR="00C6214E">
        <w:rPr>
          <w:rFonts w:ascii="Times New Roman" w:eastAsia="Calibri" w:hAnsi="Times New Roman"/>
          <w:szCs w:val="24"/>
        </w:rPr>
        <w:t>резултате</w:t>
      </w:r>
      <w:r w:rsidR="009A763A" w:rsidRPr="008F47E4">
        <w:rPr>
          <w:rFonts w:ascii="Times New Roman" w:eastAsia="Calibri" w:hAnsi="Times New Roman"/>
          <w:szCs w:val="24"/>
        </w:rPr>
        <w:t xml:space="preserve"> </w:t>
      </w:r>
      <w:r w:rsidR="00C6214E">
        <w:rPr>
          <w:rFonts w:ascii="Times New Roman" w:eastAsia="Calibri" w:hAnsi="Times New Roman"/>
          <w:szCs w:val="24"/>
        </w:rPr>
        <w:t>из</w:t>
      </w:r>
      <w:r w:rsidR="009A763A" w:rsidRPr="008F47E4">
        <w:rPr>
          <w:rFonts w:ascii="Times New Roman" w:eastAsia="Calibri" w:hAnsi="Times New Roman"/>
          <w:szCs w:val="24"/>
        </w:rPr>
        <w:t xml:space="preserve"> </w:t>
      </w:r>
      <w:r w:rsidR="00C6214E">
        <w:rPr>
          <w:rFonts w:ascii="Times New Roman" w:eastAsia="Calibri" w:hAnsi="Times New Roman"/>
          <w:szCs w:val="24"/>
        </w:rPr>
        <w:t>претходног</w:t>
      </w:r>
      <w:r w:rsidR="009A763A" w:rsidRPr="008F47E4">
        <w:rPr>
          <w:rFonts w:ascii="Times New Roman" w:eastAsia="Calibri" w:hAnsi="Times New Roman"/>
          <w:szCs w:val="24"/>
        </w:rPr>
        <w:t xml:space="preserve"> </w:t>
      </w:r>
      <w:r w:rsidR="00C6214E">
        <w:rPr>
          <w:rFonts w:ascii="Times New Roman" w:eastAsia="Calibri" w:hAnsi="Times New Roman"/>
          <w:szCs w:val="24"/>
        </w:rPr>
        <w:t>Акционог</w:t>
      </w:r>
      <w:r w:rsidR="009A763A" w:rsidRPr="008F47E4">
        <w:rPr>
          <w:rFonts w:ascii="Times New Roman" w:eastAsia="Calibri" w:hAnsi="Times New Roman"/>
          <w:szCs w:val="24"/>
        </w:rPr>
        <w:t xml:space="preserve"> </w:t>
      </w:r>
      <w:r w:rsidR="00C6214E">
        <w:rPr>
          <w:rFonts w:ascii="Times New Roman" w:eastAsia="Calibri" w:hAnsi="Times New Roman"/>
          <w:szCs w:val="24"/>
        </w:rPr>
        <w:t>плана</w:t>
      </w:r>
      <w:r w:rsidR="009A763A" w:rsidRPr="008F47E4">
        <w:rPr>
          <w:rFonts w:ascii="Times New Roman" w:eastAsia="Calibri" w:hAnsi="Times New Roman"/>
          <w:szCs w:val="24"/>
        </w:rPr>
        <w:t xml:space="preserve"> </w:t>
      </w:r>
      <w:r w:rsidR="00C6214E">
        <w:rPr>
          <w:rFonts w:ascii="Times New Roman" w:eastAsia="Calibri" w:hAnsi="Times New Roman"/>
          <w:szCs w:val="24"/>
        </w:rPr>
        <w:t>за</w:t>
      </w:r>
      <w:r w:rsidR="009A763A" w:rsidRPr="008F47E4">
        <w:rPr>
          <w:rFonts w:ascii="Times New Roman" w:eastAsia="Calibri" w:hAnsi="Times New Roman"/>
          <w:szCs w:val="24"/>
        </w:rPr>
        <w:t xml:space="preserve"> </w:t>
      </w:r>
      <w:r w:rsidR="00C6214E">
        <w:rPr>
          <w:rFonts w:ascii="Times New Roman" w:eastAsia="Calibri" w:hAnsi="Times New Roman"/>
          <w:szCs w:val="24"/>
        </w:rPr>
        <w:t>период</w:t>
      </w:r>
      <w:r w:rsidR="009A763A" w:rsidRPr="008F47E4">
        <w:rPr>
          <w:rFonts w:ascii="Times New Roman" w:eastAsia="Calibri" w:hAnsi="Times New Roman"/>
          <w:szCs w:val="24"/>
        </w:rPr>
        <w:t xml:space="preserve"> 2018-2022. </w:t>
      </w:r>
      <w:r w:rsidR="00C6214E">
        <w:rPr>
          <w:rFonts w:ascii="Times New Roman" w:eastAsia="Calibri" w:hAnsi="Times New Roman"/>
          <w:szCs w:val="24"/>
        </w:rPr>
        <w:t>године</w:t>
      </w:r>
      <w:r w:rsidR="009A763A" w:rsidRPr="008F47E4">
        <w:rPr>
          <w:rFonts w:ascii="Times New Roman" w:eastAsia="Calibri" w:hAnsi="Times New Roman"/>
          <w:szCs w:val="24"/>
        </w:rPr>
        <w:t xml:space="preserve"> </w:t>
      </w:r>
      <w:r w:rsidR="00C6214E">
        <w:rPr>
          <w:rFonts w:ascii="Times New Roman" w:eastAsia="Calibri" w:hAnsi="Times New Roman"/>
          <w:szCs w:val="24"/>
        </w:rPr>
        <w:t>и</w:t>
      </w:r>
      <w:r w:rsidR="009A763A" w:rsidRPr="008F47E4">
        <w:rPr>
          <w:rFonts w:ascii="Times New Roman" w:eastAsia="Calibri" w:hAnsi="Times New Roman"/>
          <w:szCs w:val="24"/>
        </w:rPr>
        <w:t xml:space="preserve"> </w:t>
      </w:r>
      <w:r w:rsidR="00C6214E">
        <w:rPr>
          <w:rFonts w:ascii="Times New Roman" w:eastAsia="Calibri" w:hAnsi="Times New Roman"/>
          <w:szCs w:val="24"/>
        </w:rPr>
        <w:t>релевантне</w:t>
      </w:r>
      <w:r w:rsidR="009A763A" w:rsidRPr="008F47E4">
        <w:rPr>
          <w:rFonts w:ascii="Times New Roman" w:eastAsia="Calibri" w:hAnsi="Times New Roman"/>
          <w:szCs w:val="24"/>
        </w:rPr>
        <w:t xml:space="preserve"> </w:t>
      </w:r>
      <w:r w:rsidR="00C6214E">
        <w:rPr>
          <w:rFonts w:ascii="Times New Roman" w:eastAsia="Calibri" w:hAnsi="Times New Roman"/>
          <w:szCs w:val="24"/>
        </w:rPr>
        <w:t>стратешке</w:t>
      </w:r>
      <w:r w:rsidR="009A763A" w:rsidRPr="008F47E4">
        <w:rPr>
          <w:rFonts w:ascii="Times New Roman" w:eastAsia="Calibri" w:hAnsi="Times New Roman"/>
          <w:szCs w:val="24"/>
        </w:rPr>
        <w:t xml:space="preserve"> </w:t>
      </w:r>
      <w:r w:rsidR="00C6214E">
        <w:rPr>
          <w:rFonts w:ascii="Times New Roman" w:eastAsia="Calibri" w:hAnsi="Times New Roman"/>
          <w:szCs w:val="24"/>
        </w:rPr>
        <w:t>документе</w:t>
      </w:r>
      <w:r w:rsidR="009A763A" w:rsidRPr="008F47E4">
        <w:rPr>
          <w:rFonts w:ascii="Times New Roman" w:eastAsia="Calibri" w:hAnsi="Times New Roman"/>
          <w:szCs w:val="24"/>
        </w:rPr>
        <w:t xml:space="preserve"> </w:t>
      </w:r>
      <w:r w:rsidR="00214C97">
        <w:rPr>
          <w:rFonts w:ascii="Times New Roman" w:eastAsia="Calibri" w:hAnsi="Times New Roman"/>
          <w:szCs w:val="24"/>
          <w:lang w:val="sr-Cyrl-BA"/>
        </w:rPr>
        <w:t>Савјета Европе</w:t>
      </w:r>
      <w:r w:rsidR="009A763A" w:rsidRPr="008F47E4">
        <w:rPr>
          <w:rFonts w:ascii="Times New Roman" w:eastAsia="Calibri" w:hAnsi="Times New Roman"/>
          <w:szCs w:val="24"/>
        </w:rPr>
        <w:t xml:space="preserve">, </w:t>
      </w:r>
      <w:r w:rsidR="00C6214E">
        <w:rPr>
          <w:rFonts w:ascii="Times New Roman" w:eastAsia="Calibri" w:hAnsi="Times New Roman"/>
          <w:szCs w:val="24"/>
        </w:rPr>
        <w:t>Европске</w:t>
      </w:r>
      <w:r w:rsidR="009A763A" w:rsidRPr="008F47E4">
        <w:rPr>
          <w:rFonts w:ascii="Times New Roman" w:eastAsia="Calibri" w:hAnsi="Times New Roman"/>
          <w:szCs w:val="24"/>
        </w:rPr>
        <w:t xml:space="preserve"> </w:t>
      </w:r>
      <w:r w:rsidR="00C6214E">
        <w:rPr>
          <w:rFonts w:ascii="Times New Roman" w:eastAsia="Calibri" w:hAnsi="Times New Roman"/>
          <w:szCs w:val="24"/>
        </w:rPr>
        <w:t>Уније</w:t>
      </w:r>
      <w:r w:rsidR="009A763A" w:rsidRPr="008F47E4">
        <w:rPr>
          <w:rFonts w:ascii="Times New Roman" w:eastAsia="Calibri" w:hAnsi="Times New Roman"/>
          <w:szCs w:val="24"/>
        </w:rPr>
        <w:t xml:space="preserve"> </w:t>
      </w:r>
      <w:r w:rsidR="00C6214E">
        <w:rPr>
          <w:rFonts w:ascii="Times New Roman" w:eastAsia="Calibri" w:hAnsi="Times New Roman"/>
          <w:szCs w:val="24"/>
        </w:rPr>
        <w:t>и</w:t>
      </w:r>
      <w:r w:rsidR="009A763A" w:rsidRPr="008F47E4">
        <w:rPr>
          <w:rFonts w:ascii="Times New Roman" w:eastAsia="Calibri" w:hAnsi="Times New Roman"/>
          <w:szCs w:val="24"/>
        </w:rPr>
        <w:t xml:space="preserve"> </w:t>
      </w:r>
      <w:r w:rsidR="00C6214E">
        <w:rPr>
          <w:rFonts w:ascii="Times New Roman" w:eastAsia="Calibri" w:hAnsi="Times New Roman"/>
          <w:szCs w:val="24"/>
        </w:rPr>
        <w:t>Уједињених</w:t>
      </w:r>
      <w:r w:rsidR="009A763A" w:rsidRPr="008F47E4">
        <w:rPr>
          <w:rFonts w:ascii="Times New Roman" w:eastAsia="Calibri" w:hAnsi="Times New Roman"/>
          <w:szCs w:val="24"/>
        </w:rPr>
        <w:t xml:space="preserve"> </w:t>
      </w:r>
      <w:r w:rsidR="00C6214E">
        <w:rPr>
          <w:rFonts w:ascii="Times New Roman" w:eastAsia="Calibri" w:hAnsi="Times New Roman"/>
          <w:szCs w:val="24"/>
        </w:rPr>
        <w:t>нација</w:t>
      </w:r>
      <w:r w:rsidR="009A763A" w:rsidRPr="008F47E4">
        <w:rPr>
          <w:rFonts w:ascii="Times New Roman" w:eastAsia="Calibri" w:hAnsi="Times New Roman"/>
          <w:szCs w:val="24"/>
        </w:rPr>
        <w:t>.</w:t>
      </w:r>
    </w:p>
    <w:p w:rsidR="00B4124E" w:rsidRPr="00295637" w:rsidRDefault="00B4124E" w:rsidP="0086268D">
      <w:pPr>
        <w:rPr>
          <w:lang w:val="bs-Latn-BA"/>
        </w:rPr>
      </w:pPr>
    </w:p>
    <w:p w:rsidR="00356C2C" w:rsidRPr="00295637" w:rsidRDefault="00214C97" w:rsidP="005C11B2">
      <w:pPr>
        <w:tabs>
          <w:tab w:val="left" w:pos="284"/>
          <w:tab w:val="left" w:pos="630"/>
          <w:tab w:val="left" w:pos="1080"/>
        </w:tabs>
        <w:ind w:left="567"/>
        <w:jc w:val="both"/>
        <w:rPr>
          <w:rFonts w:ascii="Times New Roman" w:hAnsi="Times New Roman"/>
          <w:szCs w:val="24"/>
          <w:lang w:val="bs-Latn-BA"/>
        </w:rPr>
      </w:pPr>
      <w:bookmarkStart w:id="44" w:name="_Toc332005653"/>
      <w:bookmarkStart w:id="45" w:name="_Toc332010884"/>
      <w:bookmarkStart w:id="46" w:name="_Toc332005669"/>
      <w:bookmarkStart w:id="47" w:name="_Toc332010900"/>
      <w:r w:rsidRPr="00214C97">
        <w:rPr>
          <w:rFonts w:ascii="Times New Roman" w:hAnsi="Times New Roman"/>
          <w:szCs w:val="24"/>
          <w:lang w:val="bs-Latn-BA"/>
        </w:rPr>
        <w:t>I</w:t>
      </w:r>
      <w:r w:rsidR="005C11B2">
        <w:rPr>
          <w:rFonts w:ascii="Times New Roman" w:hAnsi="Times New Roman"/>
          <w:szCs w:val="24"/>
          <w:lang w:val="bs-Latn-BA"/>
        </w:rPr>
        <w:t xml:space="preserve"> 7.1. </w:t>
      </w:r>
      <w:r w:rsidR="00C6214E">
        <w:rPr>
          <w:rFonts w:ascii="Times New Roman" w:hAnsi="Times New Roman"/>
          <w:szCs w:val="24"/>
          <w:lang w:val="bs-Latn-BA"/>
        </w:rPr>
        <w:t>Идентифи</w:t>
      </w:r>
      <w:r>
        <w:rPr>
          <w:rFonts w:ascii="Times New Roman" w:hAnsi="Times New Roman"/>
          <w:szCs w:val="24"/>
          <w:lang w:val="sr-Cyrl-BA"/>
        </w:rPr>
        <w:t>ковање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приоритетних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стратегија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акционих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планова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других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аката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10118E"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8F47E4">
        <w:rPr>
          <w:rFonts w:ascii="Times New Roman" w:hAnsi="Times New Roman"/>
          <w:szCs w:val="24"/>
          <w:lang w:val="bs-Latn-BA"/>
        </w:rPr>
        <w:t xml:space="preserve"> </w:t>
      </w:r>
      <w:r w:rsidR="00C6214E">
        <w:rPr>
          <w:rFonts w:ascii="Times New Roman" w:hAnsi="Times New Roman"/>
          <w:szCs w:val="24"/>
          <w:lang w:val="bs-Latn-BA"/>
        </w:rPr>
        <w:t>одбране</w:t>
      </w:r>
      <w:r w:rsidR="0010118E" w:rsidRPr="00295637">
        <w:rPr>
          <w:rFonts w:ascii="Times New Roman" w:hAnsi="Times New Roman"/>
          <w:szCs w:val="24"/>
          <w:lang w:val="bs-Latn-BA"/>
        </w:rPr>
        <w:t xml:space="preserve"> </w:t>
      </w:r>
      <w:r w:rsidR="00C6214E">
        <w:rPr>
          <w:rFonts w:ascii="Times New Roman" w:hAnsi="Times New Roman"/>
          <w:szCs w:val="24"/>
          <w:lang w:val="bs-Latn-BA"/>
        </w:rPr>
        <w:t>и</w:t>
      </w:r>
      <w:r w:rsidR="0010118E" w:rsidRPr="00295637">
        <w:rPr>
          <w:rFonts w:ascii="Times New Roman" w:hAnsi="Times New Roman"/>
          <w:szCs w:val="24"/>
          <w:lang w:val="bs-Latn-BA"/>
        </w:rPr>
        <w:t xml:space="preserve"> </w:t>
      </w:r>
      <w:r>
        <w:rPr>
          <w:rFonts w:ascii="Times New Roman" w:hAnsi="Times New Roman"/>
          <w:szCs w:val="24"/>
          <w:lang w:val="sr-Cyrl-BA"/>
        </w:rPr>
        <w:t>безбједности</w:t>
      </w:r>
      <w:r w:rsidR="0010118E" w:rsidRPr="00295637">
        <w:rPr>
          <w:rFonts w:ascii="Times New Roman" w:hAnsi="Times New Roman"/>
          <w:szCs w:val="24"/>
          <w:lang w:val="bs-Latn-BA"/>
        </w:rPr>
        <w:t xml:space="preserve">, </w:t>
      </w:r>
      <w:r>
        <w:rPr>
          <w:rFonts w:ascii="Times New Roman" w:hAnsi="Times New Roman"/>
          <w:szCs w:val="24"/>
          <w:lang w:val="sr-Cyrl-BA"/>
        </w:rPr>
        <w:t>с</w:t>
      </w:r>
      <w:r w:rsidR="00356C2C" w:rsidRPr="00295637">
        <w:rPr>
          <w:rFonts w:ascii="Times New Roman" w:hAnsi="Times New Roman"/>
          <w:szCs w:val="24"/>
          <w:lang w:val="bs-Latn-BA"/>
        </w:rPr>
        <w:t xml:space="preserve"> </w:t>
      </w:r>
      <w:r w:rsidR="00C6214E">
        <w:rPr>
          <w:rFonts w:ascii="Times New Roman" w:hAnsi="Times New Roman"/>
          <w:szCs w:val="24"/>
          <w:lang w:val="bs-Latn-BA"/>
        </w:rPr>
        <w:t>циљ</w:t>
      </w:r>
      <w:r>
        <w:rPr>
          <w:rFonts w:ascii="Times New Roman" w:hAnsi="Times New Roman"/>
          <w:szCs w:val="24"/>
          <w:lang w:val="sr-Cyrl-BA"/>
        </w:rPr>
        <w:t>ем</w:t>
      </w:r>
      <w:r w:rsidR="00356C2C" w:rsidRPr="00295637">
        <w:rPr>
          <w:rFonts w:ascii="Times New Roman" w:hAnsi="Times New Roman"/>
          <w:szCs w:val="24"/>
          <w:lang w:val="bs-Latn-BA"/>
        </w:rPr>
        <w:t xml:space="preserve"> </w:t>
      </w:r>
      <w:r w:rsidR="00C6214E">
        <w:rPr>
          <w:rFonts w:ascii="Times New Roman" w:hAnsi="Times New Roman"/>
          <w:szCs w:val="24"/>
          <w:lang w:val="bs-Latn-BA"/>
        </w:rPr>
        <w:t>увођења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примјене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домаћих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овим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областима</w:t>
      </w:r>
      <w:r w:rsidR="00356C2C" w:rsidRPr="00295637">
        <w:rPr>
          <w:rFonts w:ascii="Times New Roman" w:hAnsi="Times New Roman"/>
          <w:szCs w:val="24"/>
          <w:lang w:val="bs-Latn-BA"/>
        </w:rPr>
        <w:t xml:space="preserve">. </w:t>
      </w:r>
    </w:p>
    <w:p w:rsidR="008116D5" w:rsidRPr="00295637" w:rsidRDefault="008116D5" w:rsidP="0086268D">
      <w:pPr>
        <w:jc w:val="both"/>
        <w:rPr>
          <w:rFonts w:ascii="Times New Roman" w:hAnsi="Times New Roman"/>
          <w:szCs w:val="24"/>
          <w:lang w:val="bs-Latn-BA"/>
        </w:rPr>
      </w:pPr>
    </w:p>
    <w:p w:rsidR="00CC13EA" w:rsidRPr="00295637" w:rsidRDefault="00C6214E" w:rsidP="0086268D">
      <w:pPr>
        <w:pStyle w:val="NormalWeb"/>
        <w:spacing w:before="0" w:beforeAutospacing="0" w:after="0" w:afterAutospacing="0"/>
        <w:jc w:val="both"/>
        <w:textAlignment w:val="baseline"/>
        <w:rPr>
          <w:i/>
        </w:rPr>
      </w:pPr>
      <w:r>
        <w:rPr>
          <w:rStyle w:val="Emphasis"/>
          <w:i w:val="0"/>
          <w:bdr w:val="none" w:sz="0" w:space="0" w:color="auto" w:frame="1"/>
          <w:lang w:val="hr-HR"/>
        </w:rPr>
        <w:t>Састанак</w:t>
      </w:r>
      <w:r w:rsidR="00CC13EA" w:rsidRPr="006820FB">
        <w:rPr>
          <w:rStyle w:val="Emphasis"/>
          <w:i w:val="0"/>
          <w:bdr w:val="none" w:sz="0" w:space="0" w:color="auto" w:frame="1"/>
          <w:lang w:val="hr-HR"/>
        </w:rPr>
        <w:t xml:space="preserve"> </w:t>
      </w:r>
      <w:r>
        <w:rPr>
          <w:rStyle w:val="Emphasis"/>
          <w:i w:val="0"/>
          <w:bdr w:val="none" w:sz="0" w:space="0" w:color="auto" w:frame="1"/>
          <w:lang w:val="hr-HR"/>
        </w:rPr>
        <w:t>КО</w:t>
      </w:r>
      <w:r w:rsidR="00B400A2" w:rsidRPr="00295637">
        <w:rPr>
          <w:rStyle w:val="Emphasis"/>
          <w:i w:val="0"/>
          <w:bdr w:val="none" w:sz="0" w:space="0" w:color="auto" w:frame="1"/>
        </w:rPr>
        <w:t xml:space="preserve"> </w:t>
      </w:r>
      <w:r>
        <w:rPr>
          <w:rStyle w:val="Emphasis"/>
          <w:i w:val="0"/>
          <w:bdr w:val="none" w:sz="0" w:space="0" w:color="auto" w:frame="1"/>
        </w:rPr>
        <w:t>за</w:t>
      </w:r>
      <w:r w:rsidR="00CC13EA" w:rsidRPr="00295637">
        <w:rPr>
          <w:rStyle w:val="Emphasis"/>
          <w:i w:val="0"/>
          <w:bdr w:val="none" w:sz="0" w:space="0" w:color="auto" w:frame="1"/>
        </w:rPr>
        <w:t xml:space="preserve"> </w:t>
      </w:r>
      <w:r>
        <w:rPr>
          <w:rStyle w:val="Emphasis"/>
          <w:i w:val="0"/>
          <w:bdr w:val="none" w:sz="0" w:space="0" w:color="auto" w:frame="1"/>
        </w:rPr>
        <w:t>надзор</w:t>
      </w:r>
      <w:r w:rsidR="00CC13EA" w:rsidRPr="00295637">
        <w:rPr>
          <w:rStyle w:val="Emphasis"/>
          <w:i w:val="0"/>
          <w:bdr w:val="none" w:sz="0" w:space="0" w:color="auto" w:frame="1"/>
        </w:rPr>
        <w:t xml:space="preserve"> </w:t>
      </w:r>
      <w:r>
        <w:rPr>
          <w:rStyle w:val="Emphasis"/>
          <w:i w:val="0"/>
          <w:bdr w:val="none" w:sz="0" w:space="0" w:color="auto" w:frame="1"/>
        </w:rPr>
        <w:t>над</w:t>
      </w:r>
      <w:r w:rsidR="00CC13EA" w:rsidRPr="00295637">
        <w:rPr>
          <w:rStyle w:val="Emphasis"/>
          <w:i w:val="0"/>
          <w:bdr w:val="none" w:sz="0" w:space="0" w:color="auto" w:frame="1"/>
        </w:rPr>
        <w:t xml:space="preserve"> </w:t>
      </w:r>
      <w:r w:rsidR="00214C97">
        <w:rPr>
          <w:rStyle w:val="Emphasis"/>
          <w:i w:val="0"/>
          <w:bdr w:val="none" w:sz="0" w:space="0" w:color="auto" w:frame="1"/>
          <w:lang w:val="sr-Cyrl-BA"/>
        </w:rPr>
        <w:t>спровођењем</w:t>
      </w:r>
      <w:r w:rsidR="00CC13EA" w:rsidRPr="00295637">
        <w:rPr>
          <w:rStyle w:val="Emphasis"/>
          <w:i w:val="0"/>
          <w:bdr w:val="none" w:sz="0" w:space="0" w:color="auto" w:frame="1"/>
        </w:rPr>
        <w:t xml:space="preserve"> </w:t>
      </w:r>
      <w:r>
        <w:rPr>
          <w:rStyle w:val="Emphasis"/>
          <w:i w:val="0"/>
          <w:bdr w:val="none" w:sz="0" w:space="0" w:color="auto" w:frame="1"/>
        </w:rPr>
        <w:t>АП</w:t>
      </w:r>
      <w:r w:rsidR="00BB4B50" w:rsidRPr="00295637">
        <w:rPr>
          <w:rStyle w:val="Emphasis"/>
          <w:i w:val="0"/>
          <w:bdr w:val="none" w:sz="0" w:space="0" w:color="auto" w:frame="1"/>
        </w:rPr>
        <w:t xml:space="preserve"> </w:t>
      </w:r>
      <w:r w:rsidR="00214C97" w:rsidRPr="00214C97">
        <w:rPr>
          <w:i/>
          <w:iCs/>
          <w:bdr w:val="none" w:sz="0" w:space="0" w:color="auto" w:frame="1"/>
          <w:lang w:val="hr-BA"/>
        </w:rPr>
        <w:t>UNSCR</w:t>
      </w:r>
      <w:r w:rsidR="00CC13EA" w:rsidRPr="00295637">
        <w:rPr>
          <w:rStyle w:val="Emphasis"/>
          <w:i w:val="0"/>
          <w:bdr w:val="none" w:sz="0" w:space="0" w:color="auto" w:frame="1"/>
        </w:rPr>
        <w:t xml:space="preserve"> 1325 </w:t>
      </w:r>
      <w:r>
        <w:rPr>
          <w:rStyle w:val="Emphasis"/>
          <w:i w:val="0"/>
          <w:bdr w:val="none" w:sz="0" w:space="0" w:color="auto" w:frame="1"/>
        </w:rPr>
        <w:t>одржан</w:t>
      </w:r>
      <w:r w:rsidR="00CC13EA" w:rsidRPr="00295637">
        <w:rPr>
          <w:rStyle w:val="Emphasis"/>
          <w:i w:val="0"/>
          <w:bdr w:val="none" w:sz="0" w:space="0" w:color="auto" w:frame="1"/>
        </w:rPr>
        <w:t xml:space="preserve"> </w:t>
      </w:r>
      <w:r>
        <w:rPr>
          <w:rStyle w:val="Emphasis"/>
          <w:i w:val="0"/>
          <w:bdr w:val="none" w:sz="0" w:space="0" w:color="auto" w:frame="1"/>
        </w:rPr>
        <w:t>је</w:t>
      </w:r>
      <w:r w:rsidR="008F47E4" w:rsidRPr="00295637">
        <w:rPr>
          <w:rStyle w:val="Emphasis"/>
          <w:i w:val="0"/>
          <w:bdr w:val="none" w:sz="0" w:space="0" w:color="auto" w:frame="1"/>
        </w:rPr>
        <w:t xml:space="preserve"> </w:t>
      </w:r>
      <w:r>
        <w:rPr>
          <w:rStyle w:val="Emphasis"/>
          <w:i w:val="0"/>
          <w:bdr w:val="none" w:sz="0" w:space="0" w:color="auto" w:frame="1"/>
        </w:rPr>
        <w:t>у</w:t>
      </w:r>
      <w:r w:rsidR="00CC13EA" w:rsidRPr="00295637">
        <w:rPr>
          <w:rStyle w:val="Emphasis"/>
          <w:i w:val="0"/>
          <w:bdr w:val="none" w:sz="0" w:space="0" w:color="auto" w:frame="1"/>
        </w:rPr>
        <w:t xml:space="preserve"> </w:t>
      </w:r>
      <w:r>
        <w:rPr>
          <w:rStyle w:val="Emphasis"/>
          <w:i w:val="0"/>
          <w:bdr w:val="none" w:sz="0" w:space="0" w:color="auto" w:frame="1"/>
        </w:rPr>
        <w:t>децембру</w:t>
      </w:r>
      <w:r w:rsidR="00CC13EA" w:rsidRPr="00295637">
        <w:rPr>
          <w:rStyle w:val="Emphasis"/>
          <w:i w:val="0"/>
          <w:bdr w:val="none" w:sz="0" w:space="0" w:color="auto" w:frame="1"/>
        </w:rPr>
        <w:t xml:space="preserve"> 2024. </w:t>
      </w:r>
      <w:r>
        <w:rPr>
          <w:rStyle w:val="Emphasis"/>
          <w:i w:val="0"/>
          <w:bdr w:val="none" w:sz="0" w:space="0" w:color="auto" w:frame="1"/>
          <w:lang w:val="hr-HR"/>
        </w:rPr>
        <w:t>године</w:t>
      </w:r>
      <w:r w:rsidR="00CC13EA" w:rsidRPr="006820FB">
        <w:rPr>
          <w:rStyle w:val="Emphasis"/>
          <w:i w:val="0"/>
          <w:bdr w:val="none" w:sz="0" w:space="0" w:color="auto" w:frame="1"/>
          <w:lang w:val="hr-HR"/>
        </w:rPr>
        <w:t>.</w:t>
      </w:r>
      <w:r w:rsidR="00CC13EA" w:rsidRPr="00295637">
        <w:rPr>
          <w:rStyle w:val="Emphasis"/>
          <w:i w:val="0"/>
          <w:bdr w:val="none" w:sz="0" w:space="0" w:color="auto" w:frame="1"/>
        </w:rPr>
        <w:t xml:space="preserve"> </w:t>
      </w:r>
      <w:r>
        <w:rPr>
          <w:rStyle w:val="Emphasis"/>
          <w:i w:val="0"/>
          <w:bdr w:val="none" w:sz="0" w:space="0" w:color="auto" w:frame="1"/>
        </w:rPr>
        <w:t>На</w:t>
      </w:r>
      <w:r w:rsidR="00CC13EA" w:rsidRPr="00295637">
        <w:rPr>
          <w:rStyle w:val="Emphasis"/>
          <w:i w:val="0"/>
          <w:bdr w:val="none" w:sz="0" w:space="0" w:color="auto" w:frame="1"/>
        </w:rPr>
        <w:t xml:space="preserve"> </w:t>
      </w:r>
      <w:r>
        <w:rPr>
          <w:rStyle w:val="Emphasis"/>
          <w:i w:val="0"/>
          <w:bdr w:val="none" w:sz="0" w:space="0" w:color="auto" w:frame="1"/>
        </w:rPr>
        <w:t>састанку</w:t>
      </w:r>
      <w:r w:rsidR="00CC13EA" w:rsidRPr="00295637">
        <w:rPr>
          <w:rStyle w:val="Emphasis"/>
          <w:i w:val="0"/>
          <w:bdr w:val="none" w:sz="0" w:space="0" w:color="auto" w:frame="1"/>
        </w:rPr>
        <w:t xml:space="preserve"> </w:t>
      </w:r>
      <w:r>
        <w:rPr>
          <w:rStyle w:val="Emphasis"/>
          <w:i w:val="0"/>
          <w:bdr w:val="none" w:sz="0" w:space="0" w:color="auto" w:frame="1"/>
        </w:rPr>
        <w:t>су</w:t>
      </w:r>
      <w:r w:rsidR="00CC13EA" w:rsidRPr="00295637">
        <w:rPr>
          <w:rStyle w:val="Emphasis"/>
          <w:i w:val="0"/>
          <w:bdr w:val="none" w:sz="0" w:space="0" w:color="auto" w:frame="1"/>
        </w:rPr>
        <w:t xml:space="preserve">, </w:t>
      </w:r>
      <w:r>
        <w:rPr>
          <w:rStyle w:val="Emphasis"/>
          <w:i w:val="0"/>
          <w:bdr w:val="none" w:sz="0" w:space="0" w:color="auto" w:frame="1"/>
        </w:rPr>
        <w:t>поред</w:t>
      </w:r>
      <w:r w:rsidR="00CC13EA" w:rsidRPr="00295637">
        <w:rPr>
          <w:rStyle w:val="Emphasis"/>
          <w:i w:val="0"/>
          <w:bdr w:val="none" w:sz="0" w:space="0" w:color="auto" w:frame="1"/>
        </w:rPr>
        <w:t xml:space="preserve"> </w:t>
      </w:r>
      <w:r>
        <w:rPr>
          <w:rStyle w:val="Emphasis"/>
          <w:i w:val="0"/>
          <w:bdr w:val="none" w:sz="0" w:space="0" w:color="auto" w:frame="1"/>
        </w:rPr>
        <w:t>осталог</w:t>
      </w:r>
      <w:r w:rsidR="00CC13EA" w:rsidRPr="00295637">
        <w:rPr>
          <w:rStyle w:val="Emphasis"/>
          <w:i w:val="0"/>
          <w:bdr w:val="none" w:sz="0" w:space="0" w:color="auto" w:frame="1"/>
        </w:rPr>
        <w:t>, </w:t>
      </w:r>
      <w:r>
        <w:rPr>
          <w:rStyle w:val="Emphasis"/>
          <w:i w:val="0"/>
          <w:bdr w:val="none" w:sz="0" w:space="0" w:color="auto" w:frame="1"/>
        </w:rPr>
        <w:t>размијењене</w:t>
      </w:r>
      <w:r w:rsidR="00CC13EA" w:rsidRPr="00295637">
        <w:rPr>
          <w:rStyle w:val="Emphasis"/>
          <w:i w:val="0"/>
          <w:bdr w:val="none" w:sz="0" w:space="0" w:color="auto" w:frame="1"/>
        </w:rPr>
        <w:t xml:space="preserve"> </w:t>
      </w:r>
      <w:r>
        <w:rPr>
          <w:rStyle w:val="Emphasis"/>
          <w:i w:val="0"/>
          <w:bdr w:val="none" w:sz="0" w:space="0" w:color="auto" w:frame="1"/>
        </w:rPr>
        <w:t>информације</w:t>
      </w:r>
      <w:r w:rsidR="00CC13EA" w:rsidRPr="00295637">
        <w:rPr>
          <w:rStyle w:val="Emphasis"/>
          <w:i w:val="0"/>
          <w:bdr w:val="none" w:sz="0" w:space="0" w:color="auto" w:frame="1"/>
        </w:rPr>
        <w:t xml:space="preserve"> </w:t>
      </w:r>
      <w:r>
        <w:rPr>
          <w:rStyle w:val="Emphasis"/>
          <w:i w:val="0"/>
          <w:bdr w:val="none" w:sz="0" w:space="0" w:color="auto" w:frame="1"/>
        </w:rPr>
        <w:t>о</w:t>
      </w:r>
      <w:r w:rsidR="00CC13EA" w:rsidRPr="00295637">
        <w:rPr>
          <w:rStyle w:val="Emphasis"/>
          <w:i w:val="0"/>
          <w:bdr w:val="none" w:sz="0" w:space="0" w:color="auto" w:frame="1"/>
        </w:rPr>
        <w:t xml:space="preserve"> </w:t>
      </w:r>
      <w:r>
        <w:rPr>
          <w:rStyle w:val="Emphasis"/>
          <w:i w:val="0"/>
          <w:bdr w:val="none" w:sz="0" w:space="0" w:color="auto" w:frame="1"/>
        </w:rPr>
        <w:t>статусу</w:t>
      </w:r>
      <w:r w:rsidR="00CC13EA" w:rsidRPr="00295637">
        <w:rPr>
          <w:rStyle w:val="Emphasis"/>
          <w:i w:val="0"/>
          <w:bdr w:val="none" w:sz="0" w:space="0" w:color="auto" w:frame="1"/>
        </w:rPr>
        <w:t xml:space="preserve"> </w:t>
      </w:r>
      <w:r>
        <w:rPr>
          <w:rStyle w:val="Emphasis"/>
          <w:i w:val="0"/>
          <w:bdr w:val="none" w:sz="0" w:space="0" w:color="auto" w:frame="1"/>
        </w:rPr>
        <w:t>новог</w:t>
      </w:r>
      <w:r w:rsidR="00CC13EA" w:rsidRPr="00295637">
        <w:rPr>
          <w:rStyle w:val="Emphasis"/>
          <w:i w:val="0"/>
          <w:bdr w:val="none" w:sz="0" w:space="0" w:color="auto" w:frame="1"/>
        </w:rPr>
        <w:t xml:space="preserve"> </w:t>
      </w:r>
      <w:r>
        <w:rPr>
          <w:rStyle w:val="Emphasis"/>
          <w:i w:val="0"/>
          <w:bdr w:val="none" w:sz="0" w:space="0" w:color="auto" w:frame="1"/>
        </w:rPr>
        <w:t>АП</w:t>
      </w:r>
      <w:r w:rsidR="00CC13EA" w:rsidRPr="00295637">
        <w:rPr>
          <w:rStyle w:val="Emphasis"/>
          <w:i w:val="0"/>
          <w:bdr w:val="none" w:sz="0" w:space="0" w:color="auto" w:frame="1"/>
        </w:rPr>
        <w:t xml:space="preserve"> </w:t>
      </w:r>
      <w:r w:rsidR="00214C97" w:rsidRPr="00214C97">
        <w:rPr>
          <w:i/>
          <w:iCs/>
          <w:bdr w:val="none" w:sz="0" w:space="0" w:color="auto" w:frame="1"/>
          <w:lang w:val="hr-BA"/>
        </w:rPr>
        <w:t>UNSCR</w:t>
      </w:r>
      <w:r w:rsidR="00CC13EA" w:rsidRPr="00295637">
        <w:rPr>
          <w:rStyle w:val="Emphasis"/>
          <w:i w:val="0"/>
          <w:bdr w:val="none" w:sz="0" w:space="0" w:color="auto" w:frame="1"/>
        </w:rPr>
        <w:t xml:space="preserve"> 1325 </w:t>
      </w:r>
      <w:r>
        <w:rPr>
          <w:rStyle w:val="Emphasis"/>
          <w:i w:val="0"/>
          <w:bdr w:val="none" w:sz="0" w:space="0" w:color="auto" w:frame="1"/>
        </w:rPr>
        <w:t>у</w:t>
      </w:r>
      <w:r w:rsidR="00797AD1" w:rsidRPr="00295637">
        <w:rPr>
          <w:rStyle w:val="Emphasis"/>
          <w:i w:val="0"/>
          <w:bdr w:val="none" w:sz="0" w:space="0" w:color="auto" w:frame="1"/>
        </w:rPr>
        <w:t xml:space="preserve"> </w:t>
      </w:r>
      <w:r>
        <w:rPr>
          <w:rStyle w:val="Emphasis"/>
          <w:i w:val="0"/>
          <w:bdr w:val="none" w:sz="0" w:space="0" w:color="auto" w:frame="1"/>
        </w:rPr>
        <w:t>БиХ</w:t>
      </w:r>
      <w:r w:rsidR="00797AD1" w:rsidRPr="00295637">
        <w:rPr>
          <w:rStyle w:val="Emphasis"/>
          <w:i w:val="0"/>
          <w:bdr w:val="none" w:sz="0" w:space="0" w:color="auto" w:frame="1"/>
        </w:rPr>
        <w:t>, </w:t>
      </w:r>
      <w:r w:rsidR="00214C97">
        <w:rPr>
          <w:rStyle w:val="Emphasis"/>
          <w:i w:val="0"/>
          <w:bdr w:val="none" w:sz="0" w:space="0" w:color="auto" w:frame="1"/>
          <w:lang w:val="sr-Cyrl-BA"/>
        </w:rPr>
        <w:t>спровођењу</w:t>
      </w:r>
      <w:r w:rsidR="00CC13EA" w:rsidRPr="00295637">
        <w:rPr>
          <w:rStyle w:val="Emphasis"/>
          <w:i w:val="0"/>
          <w:bdr w:val="none" w:sz="0" w:space="0" w:color="auto" w:frame="1"/>
        </w:rPr>
        <w:t xml:space="preserve"> </w:t>
      </w:r>
      <w:r>
        <w:rPr>
          <w:rStyle w:val="Emphasis"/>
          <w:i w:val="0"/>
          <w:bdr w:val="none" w:sz="0" w:space="0" w:color="auto" w:frame="1"/>
        </w:rPr>
        <w:t>ове</w:t>
      </w:r>
      <w:r w:rsidR="00CC13EA" w:rsidRPr="00295637">
        <w:rPr>
          <w:rStyle w:val="Emphasis"/>
          <w:i w:val="0"/>
          <w:bdr w:val="none" w:sz="0" w:space="0" w:color="auto" w:frame="1"/>
        </w:rPr>
        <w:t xml:space="preserve"> </w:t>
      </w:r>
      <w:r>
        <w:rPr>
          <w:rStyle w:val="Emphasis"/>
          <w:i w:val="0"/>
          <w:bdr w:val="none" w:sz="0" w:space="0" w:color="auto" w:frame="1"/>
        </w:rPr>
        <w:t>резолуције</w:t>
      </w:r>
      <w:r w:rsidR="00CC13EA" w:rsidRPr="00295637">
        <w:rPr>
          <w:rStyle w:val="Emphasis"/>
          <w:i w:val="0"/>
          <w:bdr w:val="none" w:sz="0" w:space="0" w:color="auto" w:frame="1"/>
        </w:rPr>
        <w:t xml:space="preserve"> </w:t>
      </w:r>
      <w:r>
        <w:rPr>
          <w:rStyle w:val="Emphasis"/>
          <w:i w:val="0"/>
          <w:bdr w:val="none" w:sz="0" w:space="0" w:color="auto" w:frame="1"/>
        </w:rPr>
        <w:t>у</w:t>
      </w:r>
      <w:r w:rsidR="00CC13EA" w:rsidRPr="00295637">
        <w:rPr>
          <w:rStyle w:val="Emphasis"/>
          <w:i w:val="0"/>
          <w:bdr w:val="none" w:sz="0" w:space="0" w:color="auto" w:frame="1"/>
        </w:rPr>
        <w:t xml:space="preserve"> </w:t>
      </w:r>
      <w:r>
        <w:rPr>
          <w:rStyle w:val="Emphasis"/>
          <w:i w:val="0"/>
          <w:bdr w:val="none" w:sz="0" w:space="0" w:color="auto" w:frame="1"/>
        </w:rPr>
        <w:t>надлежним</w:t>
      </w:r>
      <w:r w:rsidR="00E34305" w:rsidRPr="00295637">
        <w:rPr>
          <w:rStyle w:val="Emphasis"/>
          <w:i w:val="0"/>
          <w:bdr w:val="none" w:sz="0" w:space="0" w:color="auto" w:frame="1"/>
        </w:rPr>
        <w:t xml:space="preserve"> </w:t>
      </w:r>
      <w:r>
        <w:rPr>
          <w:rStyle w:val="Emphasis"/>
          <w:i w:val="0"/>
          <w:bdr w:val="none" w:sz="0" w:space="0" w:color="auto" w:frame="1"/>
        </w:rPr>
        <w:t>институцијама</w:t>
      </w:r>
      <w:r w:rsidR="00E34305" w:rsidRPr="00295637">
        <w:rPr>
          <w:rStyle w:val="Emphasis"/>
          <w:i w:val="0"/>
          <w:bdr w:val="none" w:sz="0" w:space="0" w:color="auto" w:frame="1"/>
        </w:rPr>
        <w:t xml:space="preserve">, </w:t>
      </w:r>
      <w:r>
        <w:rPr>
          <w:rStyle w:val="Emphasis"/>
          <w:i w:val="0"/>
          <w:bdr w:val="none" w:sz="0" w:space="0" w:color="auto" w:frame="1"/>
        </w:rPr>
        <w:t>те</w:t>
      </w:r>
      <w:r w:rsidR="00E34305" w:rsidRPr="00295637">
        <w:rPr>
          <w:rStyle w:val="Emphasis"/>
          <w:i w:val="0"/>
          <w:bdr w:val="none" w:sz="0" w:space="0" w:color="auto" w:frame="1"/>
        </w:rPr>
        <w:t xml:space="preserve"> </w:t>
      </w:r>
      <w:r>
        <w:rPr>
          <w:rStyle w:val="Emphasis"/>
          <w:i w:val="0"/>
          <w:bdr w:val="none" w:sz="0" w:space="0" w:color="auto" w:frame="1"/>
        </w:rPr>
        <w:t>подршци</w:t>
      </w:r>
      <w:r w:rsidR="00CC13EA" w:rsidRPr="00295637">
        <w:rPr>
          <w:rStyle w:val="Emphasis"/>
          <w:i w:val="0"/>
          <w:bdr w:val="none" w:sz="0" w:space="0" w:color="auto" w:frame="1"/>
        </w:rPr>
        <w:t xml:space="preserve"> </w:t>
      </w:r>
      <w:r>
        <w:rPr>
          <w:rStyle w:val="Emphasis"/>
          <w:i w:val="0"/>
          <w:bdr w:val="none" w:sz="0" w:space="0" w:color="auto" w:frame="1"/>
        </w:rPr>
        <w:t>УН</w:t>
      </w:r>
      <w:r w:rsidR="00CC13EA" w:rsidRPr="00295637">
        <w:rPr>
          <w:rStyle w:val="Emphasis"/>
          <w:i w:val="0"/>
          <w:bdr w:val="none" w:sz="0" w:space="0" w:color="auto" w:frame="1"/>
        </w:rPr>
        <w:t>-</w:t>
      </w:r>
      <w:r>
        <w:rPr>
          <w:rStyle w:val="Emphasis"/>
          <w:i w:val="0"/>
          <w:bdr w:val="none" w:sz="0" w:space="0" w:color="auto" w:frame="1"/>
        </w:rPr>
        <w:t>а</w:t>
      </w:r>
      <w:r w:rsidR="00CC13EA" w:rsidRPr="00295637">
        <w:rPr>
          <w:rStyle w:val="Emphasis"/>
          <w:i w:val="0"/>
          <w:bdr w:val="none" w:sz="0" w:space="0" w:color="auto" w:frame="1"/>
        </w:rPr>
        <w:t xml:space="preserve"> </w:t>
      </w:r>
      <w:r>
        <w:rPr>
          <w:rStyle w:val="Emphasis"/>
          <w:i w:val="0"/>
          <w:bdr w:val="none" w:sz="0" w:space="0" w:color="auto" w:frame="1"/>
        </w:rPr>
        <w:t>у</w:t>
      </w:r>
      <w:r w:rsidR="00CC13EA" w:rsidRPr="00295637">
        <w:rPr>
          <w:rStyle w:val="Emphasis"/>
          <w:i w:val="0"/>
          <w:bdr w:val="none" w:sz="0" w:space="0" w:color="auto" w:frame="1"/>
        </w:rPr>
        <w:t xml:space="preserve"> </w:t>
      </w:r>
      <w:r>
        <w:rPr>
          <w:rStyle w:val="Emphasis"/>
          <w:i w:val="0"/>
          <w:bdr w:val="none" w:sz="0" w:space="0" w:color="auto" w:frame="1"/>
        </w:rPr>
        <w:t>оквиру</w:t>
      </w:r>
      <w:r w:rsidR="00CC13EA" w:rsidRPr="00295637">
        <w:rPr>
          <w:rStyle w:val="Emphasis"/>
          <w:i w:val="0"/>
          <w:bdr w:val="none" w:sz="0" w:space="0" w:color="auto" w:frame="1"/>
        </w:rPr>
        <w:t xml:space="preserve"> </w:t>
      </w:r>
      <w:r>
        <w:rPr>
          <w:rStyle w:val="Emphasis"/>
          <w:i w:val="0"/>
          <w:bdr w:val="none" w:sz="0" w:space="0" w:color="auto" w:frame="1"/>
        </w:rPr>
        <w:t>Фонда</w:t>
      </w:r>
      <w:r w:rsidR="00CC13EA" w:rsidRPr="00295637">
        <w:rPr>
          <w:rStyle w:val="Emphasis"/>
          <w:i w:val="0"/>
          <w:bdr w:val="none" w:sz="0" w:space="0" w:color="auto" w:frame="1"/>
        </w:rPr>
        <w:t xml:space="preserve"> </w:t>
      </w:r>
      <w:r>
        <w:rPr>
          <w:rStyle w:val="Emphasis"/>
          <w:i w:val="0"/>
          <w:bdr w:val="none" w:sz="0" w:space="0" w:color="auto" w:frame="1"/>
        </w:rPr>
        <w:t>за</w:t>
      </w:r>
      <w:r w:rsidR="00CC13EA" w:rsidRPr="00295637">
        <w:rPr>
          <w:rStyle w:val="Emphasis"/>
          <w:i w:val="0"/>
          <w:bdr w:val="none" w:sz="0" w:space="0" w:color="auto" w:frame="1"/>
        </w:rPr>
        <w:t xml:space="preserve"> </w:t>
      </w:r>
      <w:r>
        <w:rPr>
          <w:rStyle w:val="Emphasis"/>
          <w:i w:val="0"/>
          <w:bdr w:val="none" w:sz="0" w:space="0" w:color="auto" w:frame="1"/>
        </w:rPr>
        <w:t>изградњу</w:t>
      </w:r>
      <w:r w:rsidR="00CC13EA" w:rsidRPr="00295637">
        <w:rPr>
          <w:rStyle w:val="Emphasis"/>
          <w:i w:val="0"/>
          <w:bdr w:val="none" w:sz="0" w:space="0" w:color="auto" w:frame="1"/>
        </w:rPr>
        <w:t xml:space="preserve"> </w:t>
      </w:r>
      <w:r>
        <w:rPr>
          <w:rStyle w:val="Emphasis"/>
          <w:i w:val="0"/>
          <w:bdr w:val="none" w:sz="0" w:space="0" w:color="auto" w:frame="1"/>
        </w:rPr>
        <w:t>мира</w:t>
      </w:r>
      <w:r w:rsidR="00CC13EA" w:rsidRPr="00295637">
        <w:rPr>
          <w:rStyle w:val="Emphasis"/>
          <w:i w:val="0"/>
          <w:bdr w:val="none" w:sz="0" w:space="0" w:color="auto" w:frame="1"/>
        </w:rPr>
        <w:t xml:space="preserve"> </w:t>
      </w:r>
      <w:r>
        <w:rPr>
          <w:rStyle w:val="Emphasis"/>
          <w:i w:val="0"/>
          <w:bdr w:val="none" w:sz="0" w:space="0" w:color="auto" w:frame="1"/>
        </w:rPr>
        <w:t>Генералног</w:t>
      </w:r>
      <w:r w:rsidR="005C11B2">
        <w:rPr>
          <w:rStyle w:val="Emphasis"/>
          <w:i w:val="0"/>
          <w:bdr w:val="none" w:sz="0" w:space="0" w:color="auto" w:frame="1"/>
        </w:rPr>
        <w:t xml:space="preserve"> </w:t>
      </w:r>
      <w:r>
        <w:rPr>
          <w:rStyle w:val="Emphasis"/>
          <w:i w:val="0"/>
          <w:bdr w:val="none" w:sz="0" w:space="0" w:color="auto" w:frame="1"/>
        </w:rPr>
        <w:t>секретара</w:t>
      </w:r>
      <w:r w:rsidR="00CC13EA" w:rsidRPr="00295637">
        <w:rPr>
          <w:rStyle w:val="Emphasis"/>
          <w:i w:val="0"/>
          <w:bdr w:val="none" w:sz="0" w:space="0" w:color="auto" w:frame="1"/>
        </w:rPr>
        <w:t xml:space="preserve"> </w:t>
      </w:r>
      <w:r>
        <w:rPr>
          <w:rStyle w:val="Emphasis"/>
          <w:i w:val="0"/>
          <w:bdr w:val="none" w:sz="0" w:space="0" w:color="auto" w:frame="1"/>
        </w:rPr>
        <w:t>УН</w:t>
      </w:r>
      <w:r w:rsidR="00CC13EA" w:rsidRPr="00295637">
        <w:rPr>
          <w:rStyle w:val="Emphasis"/>
          <w:i w:val="0"/>
          <w:bdr w:val="none" w:sz="0" w:space="0" w:color="auto" w:frame="1"/>
        </w:rPr>
        <w:t>.</w:t>
      </w:r>
      <w:r w:rsidR="00CC13EA" w:rsidRPr="00295637">
        <w:rPr>
          <w:i/>
        </w:rPr>
        <w:t xml:space="preserve"> </w:t>
      </w:r>
      <w:r>
        <w:rPr>
          <w:rStyle w:val="Emphasis"/>
          <w:i w:val="0"/>
          <w:bdr w:val="none" w:sz="0" w:space="0" w:color="auto" w:frame="1"/>
        </w:rPr>
        <w:t>Разматрани</w:t>
      </w:r>
      <w:r w:rsidR="00CC13EA" w:rsidRPr="00295637">
        <w:rPr>
          <w:rStyle w:val="Emphasis"/>
          <w:i w:val="0"/>
          <w:bdr w:val="none" w:sz="0" w:space="0" w:color="auto" w:frame="1"/>
        </w:rPr>
        <w:t xml:space="preserve"> </w:t>
      </w:r>
      <w:r>
        <w:rPr>
          <w:rStyle w:val="Emphasis"/>
          <w:i w:val="0"/>
          <w:bdr w:val="none" w:sz="0" w:space="0" w:color="auto" w:frame="1"/>
        </w:rPr>
        <w:t>су</w:t>
      </w:r>
      <w:r w:rsidR="00CC13EA" w:rsidRPr="00295637">
        <w:rPr>
          <w:rStyle w:val="Emphasis"/>
          <w:i w:val="0"/>
          <w:bdr w:val="none" w:sz="0" w:space="0" w:color="auto" w:frame="1"/>
        </w:rPr>
        <w:t xml:space="preserve"> </w:t>
      </w:r>
      <w:r>
        <w:rPr>
          <w:rStyle w:val="Emphasis"/>
          <w:i w:val="0"/>
          <w:bdr w:val="none" w:sz="0" w:space="0" w:color="auto" w:frame="1"/>
        </w:rPr>
        <w:t>наредни</w:t>
      </w:r>
      <w:r w:rsidR="00CC13EA" w:rsidRPr="00295637">
        <w:rPr>
          <w:rStyle w:val="Emphasis"/>
          <w:i w:val="0"/>
          <w:bdr w:val="none" w:sz="0" w:space="0" w:color="auto" w:frame="1"/>
        </w:rPr>
        <w:t xml:space="preserve"> </w:t>
      </w:r>
      <w:r>
        <w:rPr>
          <w:rStyle w:val="Emphasis"/>
          <w:i w:val="0"/>
          <w:bdr w:val="none" w:sz="0" w:space="0" w:color="auto" w:frame="1"/>
        </w:rPr>
        <w:t>кораци</w:t>
      </w:r>
      <w:r w:rsidR="00CC13EA" w:rsidRPr="00295637">
        <w:rPr>
          <w:rStyle w:val="Emphasis"/>
          <w:i w:val="0"/>
          <w:bdr w:val="none" w:sz="0" w:space="0" w:color="auto" w:frame="1"/>
        </w:rPr>
        <w:t xml:space="preserve">, </w:t>
      </w:r>
      <w:r>
        <w:rPr>
          <w:rStyle w:val="Emphasis"/>
          <w:i w:val="0"/>
          <w:bdr w:val="none" w:sz="0" w:space="0" w:color="auto" w:frame="1"/>
        </w:rPr>
        <w:t>укључујући</w:t>
      </w:r>
      <w:r w:rsidR="00CC13EA" w:rsidRPr="00295637">
        <w:rPr>
          <w:rStyle w:val="Emphasis"/>
          <w:i w:val="0"/>
          <w:bdr w:val="none" w:sz="0" w:space="0" w:color="auto" w:frame="1"/>
        </w:rPr>
        <w:t xml:space="preserve"> </w:t>
      </w:r>
      <w:r>
        <w:rPr>
          <w:rStyle w:val="Emphasis"/>
          <w:i w:val="0"/>
          <w:bdr w:val="none" w:sz="0" w:space="0" w:color="auto" w:frame="1"/>
        </w:rPr>
        <w:t>приступање</w:t>
      </w:r>
      <w:r w:rsidR="00CC13EA" w:rsidRPr="00295637">
        <w:rPr>
          <w:rStyle w:val="Emphasis"/>
          <w:i w:val="0"/>
          <w:bdr w:val="none" w:sz="0" w:space="0" w:color="auto" w:frame="1"/>
        </w:rPr>
        <w:t xml:space="preserve"> </w:t>
      </w:r>
      <w:r>
        <w:rPr>
          <w:rStyle w:val="Emphasis"/>
          <w:i w:val="0"/>
          <w:bdr w:val="none" w:sz="0" w:space="0" w:color="auto" w:frame="1"/>
        </w:rPr>
        <w:t>БиХ</w:t>
      </w:r>
      <w:r w:rsidR="00CC13EA" w:rsidRPr="00295637">
        <w:rPr>
          <w:rStyle w:val="Emphasis"/>
          <w:i w:val="0"/>
          <w:bdr w:val="none" w:sz="0" w:space="0" w:color="auto" w:frame="1"/>
        </w:rPr>
        <w:t xml:space="preserve"> </w:t>
      </w:r>
      <w:r>
        <w:rPr>
          <w:rStyle w:val="Emphasis"/>
          <w:i w:val="0"/>
          <w:bdr w:val="none" w:sz="0" w:space="0" w:color="auto" w:frame="1"/>
        </w:rPr>
        <w:t>Глобалном</w:t>
      </w:r>
      <w:r w:rsidR="00CC13EA" w:rsidRPr="00295637">
        <w:rPr>
          <w:rStyle w:val="Emphasis"/>
          <w:i w:val="0"/>
          <w:bdr w:val="none" w:sz="0" w:space="0" w:color="auto" w:frame="1"/>
        </w:rPr>
        <w:t xml:space="preserve"> </w:t>
      </w:r>
      <w:r>
        <w:rPr>
          <w:rStyle w:val="Emphasis"/>
          <w:i w:val="0"/>
          <w:bdr w:val="none" w:sz="0" w:space="0" w:color="auto" w:frame="1"/>
        </w:rPr>
        <w:t>компакту</w:t>
      </w:r>
      <w:r w:rsidR="00CC13EA" w:rsidRPr="00295637">
        <w:rPr>
          <w:rStyle w:val="Emphasis"/>
          <w:i w:val="0"/>
          <w:bdr w:val="none" w:sz="0" w:space="0" w:color="auto" w:frame="1"/>
        </w:rPr>
        <w:t xml:space="preserve"> „</w:t>
      </w:r>
      <w:r>
        <w:rPr>
          <w:rStyle w:val="Emphasis"/>
          <w:i w:val="0"/>
          <w:bdr w:val="none" w:sz="0" w:space="0" w:color="auto" w:frame="1"/>
        </w:rPr>
        <w:t>Жене</w:t>
      </w:r>
      <w:r w:rsidR="00CC13EA" w:rsidRPr="00295637">
        <w:rPr>
          <w:rStyle w:val="Emphasis"/>
          <w:i w:val="0"/>
          <w:bdr w:val="none" w:sz="0" w:space="0" w:color="auto" w:frame="1"/>
        </w:rPr>
        <w:t xml:space="preserve">, </w:t>
      </w:r>
      <w:r>
        <w:rPr>
          <w:rStyle w:val="Emphasis"/>
          <w:i w:val="0"/>
          <w:bdr w:val="none" w:sz="0" w:space="0" w:color="auto" w:frame="1"/>
        </w:rPr>
        <w:t>мир</w:t>
      </w:r>
      <w:r w:rsidR="00CC13EA" w:rsidRPr="00295637">
        <w:rPr>
          <w:rStyle w:val="Emphasis"/>
          <w:i w:val="0"/>
          <w:bdr w:val="none" w:sz="0" w:space="0" w:color="auto" w:frame="1"/>
        </w:rPr>
        <w:t xml:space="preserve"> </w:t>
      </w:r>
      <w:r>
        <w:rPr>
          <w:rStyle w:val="Emphasis"/>
          <w:i w:val="0"/>
          <w:bdr w:val="none" w:sz="0" w:space="0" w:color="auto" w:frame="1"/>
        </w:rPr>
        <w:t>и</w:t>
      </w:r>
      <w:r w:rsidR="00CC13EA" w:rsidRPr="00295637">
        <w:rPr>
          <w:rStyle w:val="Emphasis"/>
          <w:i w:val="0"/>
          <w:bdr w:val="none" w:sz="0" w:space="0" w:color="auto" w:frame="1"/>
        </w:rPr>
        <w:t xml:space="preserve"> </w:t>
      </w:r>
      <w:r w:rsidR="00214C97">
        <w:rPr>
          <w:rStyle w:val="Emphasis"/>
          <w:i w:val="0"/>
          <w:bdr w:val="none" w:sz="0" w:space="0" w:color="auto" w:frame="1"/>
          <w:lang w:val="sr-Cyrl-BA"/>
        </w:rPr>
        <w:t>безбједност</w:t>
      </w:r>
      <w:r w:rsidR="00CC13EA" w:rsidRPr="00295637">
        <w:rPr>
          <w:rStyle w:val="Emphasis"/>
          <w:i w:val="0"/>
          <w:bdr w:val="none" w:sz="0" w:space="0" w:color="auto" w:frame="1"/>
        </w:rPr>
        <w:t xml:space="preserve"> </w:t>
      </w:r>
      <w:r>
        <w:rPr>
          <w:rStyle w:val="Emphasis"/>
          <w:i w:val="0"/>
          <w:bdr w:val="none" w:sz="0" w:space="0" w:color="auto" w:frame="1"/>
        </w:rPr>
        <w:t>и</w:t>
      </w:r>
      <w:r w:rsidR="00CC13EA" w:rsidRPr="00295637">
        <w:rPr>
          <w:rStyle w:val="Emphasis"/>
          <w:i w:val="0"/>
          <w:bdr w:val="none" w:sz="0" w:space="0" w:color="auto" w:frame="1"/>
        </w:rPr>
        <w:t xml:space="preserve"> </w:t>
      </w:r>
      <w:r>
        <w:rPr>
          <w:rStyle w:val="Emphasis"/>
          <w:i w:val="0"/>
          <w:bdr w:val="none" w:sz="0" w:space="0" w:color="auto" w:frame="1"/>
        </w:rPr>
        <w:t>хуманитарна</w:t>
      </w:r>
      <w:r w:rsidR="00CC13EA" w:rsidRPr="00295637">
        <w:rPr>
          <w:rStyle w:val="Emphasis"/>
          <w:i w:val="0"/>
          <w:bdr w:val="none" w:sz="0" w:space="0" w:color="auto" w:frame="1"/>
        </w:rPr>
        <w:t xml:space="preserve"> </w:t>
      </w:r>
      <w:r>
        <w:rPr>
          <w:rStyle w:val="Emphasis"/>
          <w:i w:val="0"/>
          <w:bdr w:val="none" w:sz="0" w:space="0" w:color="auto" w:frame="1"/>
        </w:rPr>
        <w:t>акција</w:t>
      </w:r>
      <w:r w:rsidR="00CC13EA" w:rsidRPr="00295637">
        <w:rPr>
          <w:rStyle w:val="Emphasis"/>
          <w:i w:val="0"/>
          <w:bdr w:val="none" w:sz="0" w:space="0" w:color="auto" w:frame="1"/>
        </w:rPr>
        <w:t xml:space="preserve">“, </w:t>
      </w:r>
      <w:r>
        <w:rPr>
          <w:rStyle w:val="Emphasis"/>
          <w:i w:val="0"/>
          <w:bdr w:val="none" w:sz="0" w:space="0" w:color="auto" w:frame="1"/>
        </w:rPr>
        <w:t>те</w:t>
      </w:r>
      <w:r w:rsidR="00CC13EA" w:rsidRPr="00295637">
        <w:rPr>
          <w:rStyle w:val="Emphasis"/>
          <w:i w:val="0"/>
          <w:bdr w:val="none" w:sz="0" w:space="0" w:color="auto" w:frame="1"/>
        </w:rPr>
        <w:t xml:space="preserve"> </w:t>
      </w:r>
      <w:r>
        <w:rPr>
          <w:rStyle w:val="Emphasis"/>
          <w:i w:val="0"/>
          <w:bdr w:val="none" w:sz="0" w:space="0" w:color="auto" w:frame="1"/>
        </w:rPr>
        <w:t>планове</w:t>
      </w:r>
      <w:r w:rsidR="00CC13EA" w:rsidRPr="00295637">
        <w:rPr>
          <w:rStyle w:val="Emphasis"/>
          <w:i w:val="0"/>
          <w:bdr w:val="none" w:sz="0" w:space="0" w:color="auto" w:frame="1"/>
        </w:rPr>
        <w:t xml:space="preserve"> </w:t>
      </w:r>
      <w:r>
        <w:rPr>
          <w:rStyle w:val="Emphasis"/>
          <w:i w:val="0"/>
          <w:bdr w:val="none" w:sz="0" w:space="0" w:color="auto" w:frame="1"/>
        </w:rPr>
        <w:t>за</w:t>
      </w:r>
      <w:r w:rsidR="00CC13EA" w:rsidRPr="00295637">
        <w:rPr>
          <w:rStyle w:val="Emphasis"/>
          <w:i w:val="0"/>
          <w:bdr w:val="none" w:sz="0" w:space="0" w:color="auto" w:frame="1"/>
        </w:rPr>
        <w:t xml:space="preserve"> </w:t>
      </w:r>
      <w:r>
        <w:rPr>
          <w:rStyle w:val="Emphasis"/>
          <w:i w:val="0"/>
          <w:bdr w:val="none" w:sz="0" w:space="0" w:color="auto" w:frame="1"/>
        </w:rPr>
        <w:t>обиљежавање</w:t>
      </w:r>
      <w:r w:rsidR="0060447B" w:rsidRPr="00295637">
        <w:rPr>
          <w:rStyle w:val="Emphasis"/>
          <w:i w:val="0"/>
          <w:bdr w:val="none" w:sz="0" w:space="0" w:color="auto" w:frame="1"/>
        </w:rPr>
        <w:t xml:space="preserve"> 25</w:t>
      </w:r>
      <w:r w:rsidR="008F47E4">
        <w:rPr>
          <w:rStyle w:val="Emphasis"/>
          <w:i w:val="0"/>
          <w:bdr w:val="none" w:sz="0" w:space="0" w:color="auto" w:frame="1"/>
        </w:rPr>
        <w:t xml:space="preserve">. </w:t>
      </w:r>
      <w:r>
        <w:rPr>
          <w:rStyle w:val="Emphasis"/>
          <w:i w:val="0"/>
          <w:bdr w:val="none" w:sz="0" w:space="0" w:color="auto" w:frame="1"/>
        </w:rPr>
        <w:t>годишњице</w:t>
      </w:r>
      <w:r w:rsidR="0060447B" w:rsidRPr="00295637">
        <w:rPr>
          <w:rStyle w:val="Emphasis"/>
          <w:i w:val="0"/>
          <w:bdr w:val="none" w:sz="0" w:space="0" w:color="auto" w:frame="1"/>
        </w:rPr>
        <w:t xml:space="preserve"> </w:t>
      </w:r>
      <w:r w:rsidR="00214C97" w:rsidRPr="00214C97">
        <w:rPr>
          <w:i/>
          <w:iCs/>
          <w:bdr w:val="none" w:sz="0" w:space="0" w:color="auto" w:frame="1"/>
          <w:lang w:val="hr-BA"/>
        </w:rPr>
        <w:t>UNSCR</w:t>
      </w:r>
      <w:r w:rsidR="0060447B" w:rsidRPr="00295637">
        <w:rPr>
          <w:rStyle w:val="Emphasis"/>
          <w:i w:val="0"/>
          <w:bdr w:val="none" w:sz="0" w:space="0" w:color="auto" w:frame="1"/>
        </w:rPr>
        <w:t xml:space="preserve"> 1325 </w:t>
      </w:r>
      <w:r>
        <w:rPr>
          <w:rStyle w:val="Emphasis"/>
          <w:i w:val="0"/>
          <w:bdr w:val="none" w:sz="0" w:space="0" w:color="auto" w:frame="1"/>
        </w:rPr>
        <w:t>сљедеће</w:t>
      </w:r>
      <w:r w:rsidR="00CC13EA" w:rsidRPr="00295637">
        <w:rPr>
          <w:rStyle w:val="Emphasis"/>
          <w:i w:val="0"/>
          <w:bdr w:val="none" w:sz="0" w:space="0" w:color="auto" w:frame="1"/>
        </w:rPr>
        <w:t xml:space="preserve"> </w:t>
      </w:r>
      <w:r>
        <w:rPr>
          <w:rStyle w:val="Emphasis"/>
          <w:i w:val="0"/>
          <w:bdr w:val="none" w:sz="0" w:space="0" w:color="auto" w:frame="1"/>
        </w:rPr>
        <w:t>године</w:t>
      </w:r>
      <w:r w:rsidR="00CC13EA" w:rsidRPr="00295637">
        <w:rPr>
          <w:rStyle w:val="Emphasis"/>
          <w:i w:val="0"/>
          <w:bdr w:val="none" w:sz="0" w:space="0" w:color="auto" w:frame="1"/>
        </w:rPr>
        <w:t>.</w:t>
      </w:r>
    </w:p>
    <w:p w:rsidR="00392985" w:rsidRPr="00295637" w:rsidRDefault="00392985" w:rsidP="0086268D">
      <w:pPr>
        <w:pStyle w:val="NormalWeb"/>
        <w:spacing w:before="0" w:beforeAutospacing="0" w:after="0" w:afterAutospacing="0"/>
        <w:textAlignment w:val="baseline"/>
      </w:pPr>
    </w:p>
    <w:p w:rsidR="00C11BD5" w:rsidRPr="00295637" w:rsidRDefault="00C6214E" w:rsidP="0086268D">
      <w:pPr>
        <w:pStyle w:val="NormalWeb"/>
        <w:spacing w:before="0" w:beforeAutospacing="0" w:after="0" w:afterAutospacing="0"/>
        <w:jc w:val="both"/>
        <w:textAlignment w:val="baseline"/>
      </w:pPr>
      <w:r>
        <w:t>У</w:t>
      </w:r>
      <w:r w:rsidR="00CC13EA" w:rsidRPr="00295637">
        <w:t xml:space="preserve"> </w:t>
      </w:r>
      <w:r>
        <w:t>извјештајном</w:t>
      </w:r>
      <w:r w:rsidR="00CC13EA" w:rsidRPr="00295637">
        <w:t xml:space="preserve"> </w:t>
      </w:r>
      <w:r>
        <w:t>периоду</w:t>
      </w:r>
      <w:r w:rsidR="00CC13EA" w:rsidRPr="00295637">
        <w:t xml:space="preserve"> </w:t>
      </w:r>
      <w:r>
        <w:t>почеле</w:t>
      </w:r>
      <w:r w:rsidR="00CC13EA" w:rsidRPr="00295637">
        <w:t xml:space="preserve"> </w:t>
      </w:r>
      <w:r>
        <w:t>су</w:t>
      </w:r>
      <w:r w:rsidR="00CC13EA" w:rsidRPr="00295637">
        <w:t xml:space="preserve"> </w:t>
      </w:r>
      <w:r>
        <w:t>активности</w:t>
      </w:r>
      <w:r w:rsidR="00CC13EA" w:rsidRPr="00295637">
        <w:t xml:space="preserve"> </w:t>
      </w:r>
      <w:r>
        <w:t>на</w:t>
      </w:r>
      <w:r w:rsidR="00CC13EA" w:rsidRPr="00295637">
        <w:t xml:space="preserve"> </w:t>
      </w:r>
      <w:r w:rsidR="00214C97">
        <w:rPr>
          <w:lang w:val="sr-Cyrl-BA"/>
        </w:rPr>
        <w:t>спровођењу</w:t>
      </w:r>
      <w:r w:rsidR="00E34305" w:rsidRPr="00295637">
        <w:t xml:space="preserve"> </w:t>
      </w:r>
      <w:r>
        <w:t>пројекта</w:t>
      </w:r>
      <w:r w:rsidR="00E34305" w:rsidRPr="00295637">
        <w:t xml:space="preserve"> “</w:t>
      </w:r>
      <w:r>
        <w:t>Печат</w:t>
      </w:r>
      <w:r w:rsidR="00644C7A">
        <w:t xml:space="preserve"> </w:t>
      </w:r>
      <w:r>
        <w:t>равноправности</w:t>
      </w:r>
      <w:r w:rsidR="00644C7A">
        <w:t xml:space="preserve"> </w:t>
      </w:r>
      <w:r>
        <w:t>полова</w:t>
      </w:r>
      <w:r w:rsidR="00CC13EA" w:rsidRPr="00295637">
        <w:t xml:space="preserve">” </w:t>
      </w:r>
      <w:r>
        <w:t>у</w:t>
      </w:r>
      <w:r w:rsidR="00CC13EA" w:rsidRPr="00295637">
        <w:t xml:space="preserve"> </w:t>
      </w:r>
      <w:r>
        <w:t>М</w:t>
      </w:r>
      <w:r w:rsidR="00214C97">
        <w:rPr>
          <w:lang w:val="sr-Cyrl-BA"/>
        </w:rPr>
        <w:t>Б</w:t>
      </w:r>
      <w:r w:rsidR="0063663C" w:rsidRPr="00295637">
        <w:t xml:space="preserve"> </w:t>
      </w:r>
      <w:r>
        <w:t>БиХ</w:t>
      </w:r>
      <w:r w:rsidR="00CC13EA" w:rsidRPr="00295637">
        <w:t xml:space="preserve">, </w:t>
      </w:r>
      <w:r>
        <w:t>укључујући</w:t>
      </w:r>
      <w:r w:rsidR="00CC13EA" w:rsidRPr="00295637">
        <w:t xml:space="preserve"> </w:t>
      </w:r>
      <w:r>
        <w:t>и</w:t>
      </w:r>
      <w:r w:rsidR="00CC13EA" w:rsidRPr="00295637">
        <w:t xml:space="preserve"> </w:t>
      </w:r>
      <w:r>
        <w:t>управне</w:t>
      </w:r>
      <w:r w:rsidR="00CC13EA" w:rsidRPr="00295637">
        <w:t xml:space="preserve"> </w:t>
      </w:r>
      <w:r>
        <w:t>организације</w:t>
      </w:r>
      <w:r w:rsidR="00CC13EA" w:rsidRPr="00295637">
        <w:t xml:space="preserve"> </w:t>
      </w:r>
      <w:r>
        <w:t>у</w:t>
      </w:r>
      <w:r w:rsidR="00CC13EA" w:rsidRPr="00295637">
        <w:t xml:space="preserve"> </w:t>
      </w:r>
      <w:r>
        <w:t>његовом</w:t>
      </w:r>
      <w:r w:rsidR="00CC13EA" w:rsidRPr="00295637">
        <w:t xml:space="preserve"> </w:t>
      </w:r>
      <w:r>
        <w:t>саставу</w:t>
      </w:r>
      <w:r w:rsidR="00CC13EA" w:rsidRPr="00295637">
        <w:t xml:space="preserve">. </w:t>
      </w:r>
      <w:r>
        <w:t>Пројекат</w:t>
      </w:r>
      <w:r w:rsidR="00CC13EA" w:rsidRPr="00295637">
        <w:t xml:space="preserve"> </w:t>
      </w:r>
      <w:r>
        <w:t>се</w:t>
      </w:r>
      <w:r w:rsidR="00CC13EA" w:rsidRPr="00295637">
        <w:t xml:space="preserve"> </w:t>
      </w:r>
      <w:r w:rsidR="00214C97">
        <w:rPr>
          <w:lang w:val="sr-Cyrl-BA"/>
        </w:rPr>
        <w:t>с</w:t>
      </w:r>
      <w:r>
        <w:t>проводи</w:t>
      </w:r>
      <w:r w:rsidR="00CC13EA" w:rsidRPr="00295637">
        <w:t xml:space="preserve"> </w:t>
      </w:r>
      <w:r>
        <w:t>уз</w:t>
      </w:r>
      <w:r w:rsidR="00CC13EA" w:rsidRPr="00295637">
        <w:t xml:space="preserve"> </w:t>
      </w:r>
      <w:r>
        <w:t>подршку</w:t>
      </w:r>
      <w:r w:rsidR="00C11BD5" w:rsidRPr="00295637">
        <w:t xml:space="preserve"> </w:t>
      </w:r>
      <w:r w:rsidR="00214C97" w:rsidRPr="00214C97">
        <w:rPr>
          <w:i/>
          <w:lang w:val="hr-BA"/>
        </w:rPr>
        <w:t>UNDP</w:t>
      </w:r>
      <w:r w:rsidR="0063663C" w:rsidRPr="00295637">
        <w:t>-</w:t>
      </w:r>
      <w:r>
        <w:t>а</w:t>
      </w:r>
      <w:r w:rsidR="00CC13EA" w:rsidRPr="00295637">
        <w:t xml:space="preserve"> </w:t>
      </w:r>
      <w:r>
        <w:t>и</w:t>
      </w:r>
      <w:r w:rsidR="00C11BD5" w:rsidRPr="00295637">
        <w:t xml:space="preserve"> </w:t>
      </w:r>
      <w:r>
        <w:t>кроз</w:t>
      </w:r>
      <w:r w:rsidR="00C11BD5" w:rsidRPr="00295637">
        <w:t xml:space="preserve"> </w:t>
      </w:r>
      <w:r>
        <w:t>процес</w:t>
      </w:r>
      <w:r w:rsidR="00CC13EA" w:rsidRPr="00295637">
        <w:t xml:space="preserve"> </w:t>
      </w:r>
      <w:r>
        <w:t>унапређења</w:t>
      </w:r>
      <w:r w:rsidR="00CC13EA" w:rsidRPr="00295637">
        <w:t xml:space="preserve"> </w:t>
      </w:r>
      <w:r>
        <w:t>капацитета</w:t>
      </w:r>
      <w:r w:rsidR="00CC13EA" w:rsidRPr="00295637">
        <w:t xml:space="preserve">, </w:t>
      </w:r>
      <w:r>
        <w:t>додјелом</w:t>
      </w:r>
      <w:r w:rsidR="00C11BD5" w:rsidRPr="00295637">
        <w:t xml:space="preserve"> </w:t>
      </w:r>
      <w:r>
        <w:t>бронзаног</w:t>
      </w:r>
      <w:r w:rsidR="00C11BD5" w:rsidRPr="00295637">
        <w:t xml:space="preserve">, </w:t>
      </w:r>
      <w:r>
        <w:t>сребрног</w:t>
      </w:r>
      <w:r w:rsidR="00C11BD5" w:rsidRPr="00295637">
        <w:t xml:space="preserve"> </w:t>
      </w:r>
      <w:r>
        <w:t>или</w:t>
      </w:r>
      <w:r w:rsidR="00C11BD5" w:rsidRPr="00295637">
        <w:t xml:space="preserve"> </w:t>
      </w:r>
      <w:r>
        <w:t>златног</w:t>
      </w:r>
      <w:r w:rsidR="00C11BD5" w:rsidRPr="00295637">
        <w:t xml:space="preserve"> </w:t>
      </w:r>
      <w:r>
        <w:t>печата</w:t>
      </w:r>
      <w:r w:rsidR="00C11BD5" w:rsidRPr="00295637">
        <w:t xml:space="preserve"> </w:t>
      </w:r>
      <w:r>
        <w:t>одаје</w:t>
      </w:r>
      <w:r w:rsidR="00C11BD5" w:rsidRPr="00295637">
        <w:t xml:space="preserve"> </w:t>
      </w:r>
      <w:r>
        <w:t>признање</w:t>
      </w:r>
      <w:r w:rsidR="00C11BD5" w:rsidRPr="00295637">
        <w:t xml:space="preserve"> </w:t>
      </w:r>
      <w:r>
        <w:t>институцијама</w:t>
      </w:r>
      <w:r w:rsidR="00C11BD5" w:rsidRPr="00295637">
        <w:t xml:space="preserve"> </w:t>
      </w:r>
      <w:r>
        <w:t>које</w:t>
      </w:r>
      <w:r w:rsidR="00C11BD5" w:rsidRPr="00295637">
        <w:t xml:space="preserve"> </w:t>
      </w:r>
      <w:r>
        <w:t>су</w:t>
      </w:r>
      <w:r w:rsidR="00C11BD5" w:rsidRPr="00295637">
        <w:t xml:space="preserve"> </w:t>
      </w:r>
      <w:r>
        <w:t>посвећене</w:t>
      </w:r>
      <w:r w:rsidR="00C11BD5" w:rsidRPr="00295637">
        <w:t xml:space="preserve"> </w:t>
      </w:r>
      <w:r>
        <w:t>равноправности</w:t>
      </w:r>
      <w:r w:rsidR="00C11BD5" w:rsidRPr="00295637">
        <w:t xml:space="preserve"> </w:t>
      </w:r>
      <w:r>
        <w:t>полова</w:t>
      </w:r>
      <w:r w:rsidR="00F90528" w:rsidRPr="00295637">
        <w:t xml:space="preserve"> </w:t>
      </w:r>
      <w:r>
        <w:t>и</w:t>
      </w:r>
      <w:r w:rsidR="00C11BD5" w:rsidRPr="00295637">
        <w:t xml:space="preserve"> </w:t>
      </w:r>
      <w:r>
        <w:t>оснаживању</w:t>
      </w:r>
      <w:r w:rsidR="00C11BD5" w:rsidRPr="00295637">
        <w:t xml:space="preserve"> </w:t>
      </w:r>
      <w:r>
        <w:t>жена</w:t>
      </w:r>
      <w:r w:rsidR="00C11BD5" w:rsidRPr="00295637">
        <w:t xml:space="preserve"> </w:t>
      </w:r>
      <w:r>
        <w:t>у</w:t>
      </w:r>
      <w:r w:rsidR="00C11BD5" w:rsidRPr="00295637">
        <w:t xml:space="preserve"> </w:t>
      </w:r>
      <w:r>
        <w:t>њиховом</w:t>
      </w:r>
      <w:r w:rsidR="00C11BD5" w:rsidRPr="00295637">
        <w:t xml:space="preserve"> </w:t>
      </w:r>
      <w:r>
        <w:t>унапређењу</w:t>
      </w:r>
      <w:r w:rsidR="00C11BD5" w:rsidRPr="00295637">
        <w:t xml:space="preserve">. </w:t>
      </w:r>
      <w:r>
        <w:t>Циљ</w:t>
      </w:r>
      <w:r w:rsidR="00C11BD5" w:rsidRPr="00295637">
        <w:t xml:space="preserve"> </w:t>
      </w:r>
      <w:r>
        <w:t>је</w:t>
      </w:r>
      <w:r w:rsidR="00C11BD5" w:rsidRPr="00295637">
        <w:t xml:space="preserve"> </w:t>
      </w:r>
      <w:r>
        <w:t>да</w:t>
      </w:r>
      <w:r w:rsidR="00C11BD5" w:rsidRPr="00295637">
        <w:t xml:space="preserve"> </w:t>
      </w:r>
      <w:r>
        <w:t>помогне</w:t>
      </w:r>
      <w:r w:rsidR="00C11BD5" w:rsidRPr="00295637">
        <w:t xml:space="preserve"> </w:t>
      </w:r>
      <w:r>
        <w:t>институцијама</w:t>
      </w:r>
      <w:r w:rsidR="00C11BD5" w:rsidRPr="00295637">
        <w:t xml:space="preserve"> </w:t>
      </w:r>
      <w:r>
        <w:t>да</w:t>
      </w:r>
      <w:r w:rsidR="00C11BD5" w:rsidRPr="00295637">
        <w:t xml:space="preserve"> </w:t>
      </w:r>
      <w:r>
        <w:t>унаприједе</w:t>
      </w:r>
      <w:r w:rsidR="00C11BD5" w:rsidRPr="00295637">
        <w:t xml:space="preserve"> </w:t>
      </w:r>
      <w:r>
        <w:t>капацитете</w:t>
      </w:r>
      <w:r w:rsidR="00C11BD5" w:rsidRPr="00295637">
        <w:t xml:space="preserve"> </w:t>
      </w:r>
      <w:r>
        <w:t>за</w:t>
      </w:r>
      <w:r w:rsidR="00C11BD5" w:rsidRPr="00295637">
        <w:t xml:space="preserve"> </w:t>
      </w:r>
      <w:r>
        <w:t>реализацију</w:t>
      </w:r>
      <w:r w:rsidR="00C11BD5" w:rsidRPr="00295637">
        <w:t xml:space="preserve"> </w:t>
      </w:r>
      <w:r>
        <w:t>Агенде</w:t>
      </w:r>
      <w:r w:rsidR="00C11BD5" w:rsidRPr="00295637">
        <w:t xml:space="preserve"> 2030, </w:t>
      </w:r>
      <w:r>
        <w:t>а</w:t>
      </w:r>
      <w:r w:rsidR="00C11BD5" w:rsidRPr="00295637">
        <w:t xml:space="preserve"> </w:t>
      </w:r>
      <w:r>
        <w:t>посебно</w:t>
      </w:r>
      <w:r w:rsidR="00C11BD5" w:rsidRPr="00295637">
        <w:t xml:space="preserve"> </w:t>
      </w:r>
      <w:r>
        <w:t>са</w:t>
      </w:r>
      <w:r w:rsidR="005C11B2">
        <w:t xml:space="preserve"> </w:t>
      </w:r>
      <w:r>
        <w:t>аспекта</w:t>
      </w:r>
      <w:r w:rsidR="00C11BD5" w:rsidRPr="00295637">
        <w:t xml:space="preserve"> </w:t>
      </w:r>
      <w:r>
        <w:t>родне</w:t>
      </w:r>
      <w:r w:rsidR="00C11BD5" w:rsidRPr="00295637">
        <w:t xml:space="preserve"> </w:t>
      </w:r>
      <w:r>
        <w:t>равноправности</w:t>
      </w:r>
      <w:r w:rsidR="00C11BD5" w:rsidRPr="00295637">
        <w:t xml:space="preserve">, </w:t>
      </w:r>
      <w:r>
        <w:t>затим</w:t>
      </w:r>
      <w:r w:rsidR="00C11BD5" w:rsidRPr="00295637">
        <w:t xml:space="preserve"> </w:t>
      </w:r>
      <w:r>
        <w:t>доношење</w:t>
      </w:r>
      <w:r w:rsidR="00C11BD5" w:rsidRPr="00295637">
        <w:t xml:space="preserve"> </w:t>
      </w:r>
      <w:r>
        <w:t>дјелотворних</w:t>
      </w:r>
      <w:r w:rsidR="00C11BD5" w:rsidRPr="00295637">
        <w:t xml:space="preserve"> </w:t>
      </w:r>
      <w:r>
        <w:t>јавних</w:t>
      </w:r>
      <w:r w:rsidR="00C11BD5" w:rsidRPr="00295637">
        <w:t xml:space="preserve"> </w:t>
      </w:r>
      <w:r>
        <w:t>политика</w:t>
      </w:r>
      <w:r w:rsidR="00C11BD5" w:rsidRPr="00295637">
        <w:t xml:space="preserve">, </w:t>
      </w:r>
      <w:r>
        <w:t>побољшање</w:t>
      </w:r>
      <w:r w:rsidR="00C11BD5" w:rsidRPr="00295637">
        <w:t xml:space="preserve"> </w:t>
      </w:r>
      <w:r>
        <w:t>радног</w:t>
      </w:r>
      <w:r w:rsidR="00C11BD5" w:rsidRPr="00295637">
        <w:t xml:space="preserve"> </w:t>
      </w:r>
      <w:r>
        <w:t>амбијента</w:t>
      </w:r>
      <w:r w:rsidR="00C11BD5" w:rsidRPr="00295637">
        <w:t xml:space="preserve"> </w:t>
      </w:r>
      <w:r>
        <w:t>кроз</w:t>
      </w:r>
      <w:r w:rsidR="00C11BD5" w:rsidRPr="00295637">
        <w:t xml:space="preserve"> </w:t>
      </w:r>
      <w:r>
        <w:t>искорјењивање</w:t>
      </w:r>
      <w:r w:rsidR="00C11BD5" w:rsidRPr="00295637">
        <w:t xml:space="preserve"> </w:t>
      </w:r>
      <w:r>
        <w:t>дискриминаторских</w:t>
      </w:r>
      <w:r w:rsidR="00C11BD5" w:rsidRPr="00295637">
        <w:t xml:space="preserve"> </w:t>
      </w:r>
      <w:r>
        <w:t>пракси</w:t>
      </w:r>
      <w:r w:rsidR="00C11BD5" w:rsidRPr="00295637">
        <w:t xml:space="preserve">, </w:t>
      </w:r>
      <w:r>
        <w:t>повећање</w:t>
      </w:r>
      <w:r w:rsidR="00C11BD5" w:rsidRPr="00295637">
        <w:t xml:space="preserve"> </w:t>
      </w:r>
      <w:r>
        <w:t>институционалне</w:t>
      </w:r>
      <w:r w:rsidR="00C11BD5" w:rsidRPr="00295637">
        <w:t xml:space="preserve"> </w:t>
      </w:r>
      <w:r>
        <w:t>транспарентности</w:t>
      </w:r>
      <w:r w:rsidR="00C11BD5" w:rsidRPr="00295637">
        <w:t xml:space="preserve">, </w:t>
      </w:r>
      <w:r>
        <w:t>итд</w:t>
      </w:r>
      <w:r w:rsidR="00C11BD5" w:rsidRPr="00295637">
        <w:t xml:space="preserve">. </w:t>
      </w:r>
      <w:r>
        <w:t>Кроз</w:t>
      </w:r>
      <w:r w:rsidR="0043305F" w:rsidRPr="00295637">
        <w:t xml:space="preserve"> </w:t>
      </w:r>
      <w:r w:rsidR="00214C97">
        <w:rPr>
          <w:lang w:val="sr-Cyrl-BA"/>
        </w:rPr>
        <w:t>спровођење</w:t>
      </w:r>
      <w:r w:rsidR="005C11B2">
        <w:t xml:space="preserve"> </w:t>
      </w:r>
      <w:r w:rsidR="003601A7">
        <w:rPr>
          <w:lang w:val="sr-Cyrl-BA"/>
        </w:rPr>
        <w:t>„П</w:t>
      </w:r>
      <w:r>
        <w:t>ечата</w:t>
      </w:r>
      <w:r w:rsidR="003601A7">
        <w:rPr>
          <w:lang w:val="sr-Cyrl-BA"/>
        </w:rPr>
        <w:t>“</w:t>
      </w:r>
      <w:r w:rsidR="0060447B" w:rsidRPr="00295637">
        <w:t>,</w:t>
      </w:r>
      <w:r w:rsidR="0043305F" w:rsidRPr="00295637">
        <w:t xml:space="preserve"> </w:t>
      </w:r>
      <w:r>
        <w:t>као</w:t>
      </w:r>
      <w:r w:rsidR="0043305F" w:rsidRPr="00295637">
        <w:t xml:space="preserve"> </w:t>
      </w:r>
      <w:r>
        <w:t>и</w:t>
      </w:r>
      <w:r w:rsidR="0043305F" w:rsidRPr="00295637">
        <w:t xml:space="preserve"> </w:t>
      </w:r>
      <w:r w:rsidR="00214C97">
        <w:rPr>
          <w:lang w:val="sr-Cyrl-BA"/>
        </w:rPr>
        <w:t>спровођење</w:t>
      </w:r>
      <w:r w:rsidR="0043305F" w:rsidRPr="00295637">
        <w:t xml:space="preserve"> </w:t>
      </w:r>
      <w:r>
        <w:t>усвојене</w:t>
      </w:r>
      <w:r w:rsidR="0043305F" w:rsidRPr="00295637">
        <w:t xml:space="preserve"> </w:t>
      </w:r>
      <w:r>
        <w:t>Политике</w:t>
      </w:r>
      <w:r w:rsidR="0043305F" w:rsidRPr="00295637">
        <w:t xml:space="preserve"> </w:t>
      </w:r>
      <w:r>
        <w:t>равноправности</w:t>
      </w:r>
      <w:r w:rsidR="0043305F" w:rsidRPr="00295637">
        <w:t xml:space="preserve"> </w:t>
      </w:r>
      <w:r>
        <w:t>полова</w:t>
      </w:r>
      <w:r w:rsidR="0043305F" w:rsidRPr="00295637">
        <w:t xml:space="preserve">, </w:t>
      </w:r>
      <w:r>
        <w:t>М</w:t>
      </w:r>
      <w:r w:rsidR="00214C97">
        <w:rPr>
          <w:lang w:val="sr-Cyrl-BA"/>
        </w:rPr>
        <w:t>Б</w:t>
      </w:r>
      <w:r w:rsidR="009E54A2" w:rsidRPr="00295637">
        <w:t xml:space="preserve"> </w:t>
      </w:r>
      <w:r>
        <w:t>БиХ</w:t>
      </w:r>
      <w:r w:rsidR="009E54A2" w:rsidRPr="00295637">
        <w:t xml:space="preserve"> </w:t>
      </w:r>
      <w:r>
        <w:t>је</w:t>
      </w:r>
      <w:r w:rsidR="003E5583" w:rsidRPr="00295637">
        <w:t xml:space="preserve"> </w:t>
      </w:r>
      <w:r>
        <w:t>идентифи</w:t>
      </w:r>
      <w:r w:rsidR="00214C97">
        <w:rPr>
          <w:lang w:val="sr-Cyrl-BA"/>
        </w:rPr>
        <w:t>ковало</w:t>
      </w:r>
      <w:r w:rsidR="003E5583" w:rsidRPr="00295637">
        <w:t xml:space="preserve"> </w:t>
      </w:r>
      <w:r>
        <w:t>приоритетне</w:t>
      </w:r>
      <w:r w:rsidR="003E5583" w:rsidRPr="00295637">
        <w:t xml:space="preserve"> </w:t>
      </w:r>
      <w:r>
        <w:t>интерне</w:t>
      </w:r>
      <w:r w:rsidR="003E5583" w:rsidRPr="00295637">
        <w:t xml:space="preserve"> </w:t>
      </w:r>
      <w:r>
        <w:t>акте</w:t>
      </w:r>
      <w:r w:rsidR="008F47E4">
        <w:t xml:space="preserve"> </w:t>
      </w:r>
      <w:r>
        <w:t>које</w:t>
      </w:r>
      <w:r w:rsidR="008F47E4">
        <w:t xml:space="preserve"> </w:t>
      </w:r>
      <w:r>
        <w:t>је</w:t>
      </w:r>
      <w:r w:rsidR="008F47E4">
        <w:t xml:space="preserve"> </w:t>
      </w:r>
      <w:r>
        <w:t>потребно</w:t>
      </w:r>
      <w:r w:rsidR="008F47E4">
        <w:t xml:space="preserve"> </w:t>
      </w:r>
      <w:r>
        <w:t>ускладити</w:t>
      </w:r>
      <w:r w:rsidR="008F47E4">
        <w:t xml:space="preserve"> </w:t>
      </w:r>
      <w:r>
        <w:t>са</w:t>
      </w:r>
      <w:r w:rsidR="0043305F" w:rsidRPr="00295637">
        <w:t xml:space="preserve"> </w:t>
      </w:r>
      <w:r>
        <w:t>ЗоР</w:t>
      </w:r>
      <w:r w:rsidR="00214C97">
        <w:rPr>
          <w:lang w:val="sr-Cyrl-BA"/>
        </w:rPr>
        <w:t>П</w:t>
      </w:r>
      <w:r w:rsidR="002F6C26" w:rsidRPr="00295637">
        <w:t>-</w:t>
      </w:r>
      <w:r>
        <w:t>ом</w:t>
      </w:r>
      <w:r w:rsidR="0060447B" w:rsidRPr="00295637">
        <w:t>.</w:t>
      </w:r>
    </w:p>
    <w:p w:rsidR="0069618F" w:rsidRPr="00295637" w:rsidRDefault="0069618F" w:rsidP="0086268D">
      <w:pPr>
        <w:ind w:right="14"/>
        <w:jc w:val="both"/>
        <w:rPr>
          <w:rFonts w:ascii="Times New Roman" w:hAnsi="Times New Roman"/>
        </w:rPr>
      </w:pPr>
    </w:p>
    <w:p w:rsidR="00FA1173" w:rsidRPr="00295637" w:rsidRDefault="004549B1" w:rsidP="0086268D">
      <w:pPr>
        <w:ind w:right="14"/>
        <w:jc w:val="both"/>
        <w:rPr>
          <w:rFonts w:ascii="Times New Roman" w:hAnsi="Times New Roman"/>
        </w:rPr>
      </w:pPr>
      <w:r>
        <w:rPr>
          <w:rFonts w:ascii="Times New Roman" w:hAnsi="Times New Roman"/>
          <w:szCs w:val="24"/>
          <w:lang w:val="sr-Cyrl-BA"/>
        </w:rPr>
        <w:t>С</w:t>
      </w:r>
      <w:r w:rsidR="00FA1173" w:rsidRPr="00295637">
        <w:rPr>
          <w:rFonts w:ascii="Times New Roman" w:hAnsi="Times New Roman"/>
          <w:szCs w:val="24"/>
        </w:rPr>
        <w:t xml:space="preserve"> </w:t>
      </w:r>
      <w:r w:rsidR="00C6214E">
        <w:rPr>
          <w:rFonts w:ascii="Times New Roman" w:hAnsi="Times New Roman"/>
          <w:szCs w:val="24"/>
        </w:rPr>
        <w:t>циљ</w:t>
      </w:r>
      <w:r>
        <w:rPr>
          <w:rFonts w:ascii="Times New Roman" w:hAnsi="Times New Roman"/>
          <w:szCs w:val="24"/>
          <w:lang w:val="sr-Cyrl-BA"/>
        </w:rPr>
        <w:t>ем</w:t>
      </w:r>
      <w:r w:rsidR="00FA1173" w:rsidRPr="00295637">
        <w:rPr>
          <w:rFonts w:ascii="Times New Roman" w:hAnsi="Times New Roman"/>
          <w:szCs w:val="24"/>
        </w:rPr>
        <w:t xml:space="preserve"> </w:t>
      </w:r>
      <w:r w:rsidR="00C6214E">
        <w:rPr>
          <w:rFonts w:ascii="Times New Roman" w:hAnsi="Times New Roman"/>
          <w:szCs w:val="24"/>
        </w:rPr>
        <w:t>интегри</w:t>
      </w:r>
      <w:r>
        <w:rPr>
          <w:rFonts w:ascii="Times New Roman" w:hAnsi="Times New Roman"/>
          <w:szCs w:val="24"/>
          <w:lang w:val="sr-Cyrl-BA"/>
        </w:rPr>
        <w:t>с</w:t>
      </w:r>
      <w:r w:rsidR="00C6214E">
        <w:rPr>
          <w:rFonts w:ascii="Times New Roman" w:hAnsi="Times New Roman"/>
          <w:szCs w:val="24"/>
        </w:rPr>
        <w:t>ања</w:t>
      </w:r>
      <w:r w:rsidR="00FA1173" w:rsidRPr="00295637">
        <w:rPr>
          <w:rFonts w:ascii="Times New Roman" w:hAnsi="Times New Roman"/>
          <w:szCs w:val="24"/>
        </w:rPr>
        <w:t xml:space="preserve"> </w:t>
      </w:r>
      <w:r w:rsidR="00C6214E">
        <w:rPr>
          <w:rFonts w:ascii="Times New Roman" w:hAnsi="Times New Roman"/>
          <w:szCs w:val="24"/>
        </w:rPr>
        <w:t>принципа</w:t>
      </w:r>
      <w:r w:rsidR="00FA1173" w:rsidRPr="00295637">
        <w:rPr>
          <w:rFonts w:ascii="Times New Roman" w:hAnsi="Times New Roman"/>
          <w:szCs w:val="24"/>
        </w:rPr>
        <w:t xml:space="preserve"> </w:t>
      </w:r>
      <w:r w:rsidR="00C6214E">
        <w:rPr>
          <w:rFonts w:ascii="Times New Roman" w:hAnsi="Times New Roman"/>
          <w:szCs w:val="24"/>
        </w:rPr>
        <w:t>равноправности</w:t>
      </w:r>
      <w:r w:rsidR="00FA1173" w:rsidRPr="00295637">
        <w:rPr>
          <w:rFonts w:ascii="Times New Roman" w:hAnsi="Times New Roman"/>
          <w:szCs w:val="24"/>
        </w:rPr>
        <w:t xml:space="preserve"> </w:t>
      </w:r>
      <w:r w:rsidR="00C6214E">
        <w:rPr>
          <w:rFonts w:ascii="Times New Roman" w:hAnsi="Times New Roman"/>
          <w:szCs w:val="24"/>
        </w:rPr>
        <w:t>полова</w:t>
      </w:r>
      <w:r w:rsidR="00FA1173" w:rsidRPr="00295637">
        <w:rPr>
          <w:rFonts w:ascii="Times New Roman" w:hAnsi="Times New Roman"/>
          <w:szCs w:val="24"/>
        </w:rPr>
        <w:t xml:space="preserve"> </w:t>
      </w:r>
      <w:r w:rsidR="00C6214E">
        <w:rPr>
          <w:rFonts w:ascii="Times New Roman" w:hAnsi="Times New Roman"/>
          <w:szCs w:val="24"/>
        </w:rPr>
        <w:t>у</w:t>
      </w:r>
      <w:r w:rsidR="00FA1173" w:rsidRPr="00295637">
        <w:rPr>
          <w:rFonts w:ascii="Times New Roman" w:hAnsi="Times New Roman"/>
          <w:szCs w:val="24"/>
        </w:rPr>
        <w:t xml:space="preserve"> </w:t>
      </w:r>
      <w:r>
        <w:rPr>
          <w:rFonts w:ascii="Times New Roman" w:hAnsi="Times New Roman"/>
          <w:szCs w:val="24"/>
          <w:lang w:val="sr-Cyrl-BA"/>
        </w:rPr>
        <w:t>област дјеловања</w:t>
      </w:r>
      <w:r w:rsidR="00FA1173" w:rsidRPr="00295637">
        <w:rPr>
          <w:rFonts w:ascii="Times New Roman" w:hAnsi="Times New Roman"/>
          <w:szCs w:val="24"/>
        </w:rPr>
        <w:t xml:space="preserve"> </w:t>
      </w:r>
      <w:r w:rsidR="00C6214E">
        <w:rPr>
          <w:rFonts w:ascii="Times New Roman" w:hAnsi="Times New Roman"/>
          <w:szCs w:val="24"/>
        </w:rPr>
        <w:t>рада</w:t>
      </w:r>
      <w:r w:rsidR="00FA1173" w:rsidRPr="00295637">
        <w:rPr>
          <w:rFonts w:ascii="Times New Roman" w:hAnsi="Times New Roman"/>
          <w:szCs w:val="24"/>
        </w:rPr>
        <w:t xml:space="preserve"> </w:t>
      </w:r>
      <w:r w:rsidR="00C6214E">
        <w:rPr>
          <w:rFonts w:ascii="Times New Roman" w:hAnsi="Times New Roman"/>
          <w:szCs w:val="24"/>
        </w:rPr>
        <w:t>Државне</w:t>
      </w:r>
      <w:r w:rsidR="00FA1173" w:rsidRPr="00295637">
        <w:rPr>
          <w:rFonts w:ascii="Times New Roman" w:hAnsi="Times New Roman"/>
          <w:szCs w:val="24"/>
        </w:rPr>
        <w:t xml:space="preserve"> </w:t>
      </w:r>
      <w:r w:rsidR="00C6214E">
        <w:rPr>
          <w:rFonts w:ascii="Times New Roman" w:hAnsi="Times New Roman"/>
          <w:szCs w:val="24"/>
        </w:rPr>
        <w:t>агенције</w:t>
      </w:r>
      <w:r w:rsidR="00FA1173" w:rsidRPr="00295637">
        <w:rPr>
          <w:rFonts w:ascii="Times New Roman" w:hAnsi="Times New Roman"/>
          <w:szCs w:val="24"/>
        </w:rPr>
        <w:t xml:space="preserve"> </w:t>
      </w:r>
      <w:r w:rsidR="00C6214E">
        <w:rPr>
          <w:rFonts w:ascii="Times New Roman" w:hAnsi="Times New Roman"/>
          <w:szCs w:val="24"/>
        </w:rPr>
        <w:t>за</w:t>
      </w:r>
      <w:r w:rsidR="00FA1173" w:rsidRPr="00295637">
        <w:rPr>
          <w:rFonts w:ascii="Times New Roman" w:hAnsi="Times New Roman"/>
          <w:szCs w:val="24"/>
        </w:rPr>
        <w:t xml:space="preserve"> </w:t>
      </w:r>
      <w:r w:rsidR="00C6214E">
        <w:rPr>
          <w:rFonts w:ascii="Times New Roman" w:hAnsi="Times New Roman"/>
          <w:szCs w:val="24"/>
        </w:rPr>
        <w:t>истраге</w:t>
      </w:r>
      <w:r w:rsidR="00FA1173" w:rsidRPr="00295637">
        <w:rPr>
          <w:rFonts w:ascii="Times New Roman" w:hAnsi="Times New Roman"/>
          <w:szCs w:val="24"/>
        </w:rPr>
        <w:t xml:space="preserve"> </w:t>
      </w:r>
      <w:r w:rsidR="00C6214E">
        <w:rPr>
          <w:rFonts w:ascii="Times New Roman" w:hAnsi="Times New Roman"/>
          <w:szCs w:val="24"/>
        </w:rPr>
        <w:t>и</w:t>
      </w:r>
      <w:r w:rsidR="00FA1173" w:rsidRPr="00295637">
        <w:rPr>
          <w:rFonts w:ascii="Times New Roman" w:hAnsi="Times New Roman"/>
          <w:szCs w:val="24"/>
        </w:rPr>
        <w:t xml:space="preserve"> </w:t>
      </w:r>
      <w:r w:rsidR="00C6214E">
        <w:rPr>
          <w:rFonts w:ascii="Times New Roman" w:hAnsi="Times New Roman"/>
          <w:szCs w:val="24"/>
        </w:rPr>
        <w:t>заштиту</w:t>
      </w:r>
      <w:r w:rsidR="00FA1173" w:rsidRPr="00295637">
        <w:rPr>
          <w:rFonts w:ascii="Times New Roman" w:hAnsi="Times New Roman"/>
          <w:szCs w:val="24"/>
        </w:rPr>
        <w:t xml:space="preserve">, </w:t>
      </w:r>
      <w:r w:rsidR="00C6214E">
        <w:rPr>
          <w:rFonts w:ascii="Times New Roman" w:hAnsi="Times New Roman"/>
          <w:szCs w:val="24"/>
        </w:rPr>
        <w:t>у</w:t>
      </w:r>
      <w:r w:rsidR="0043305F" w:rsidRPr="00295637">
        <w:rPr>
          <w:rFonts w:ascii="Times New Roman" w:hAnsi="Times New Roman"/>
          <w:szCs w:val="24"/>
        </w:rPr>
        <w:t xml:space="preserve"> </w:t>
      </w:r>
      <w:r w:rsidR="00C6214E">
        <w:rPr>
          <w:rFonts w:ascii="Times New Roman" w:hAnsi="Times New Roman"/>
          <w:szCs w:val="24"/>
        </w:rPr>
        <w:t>јулу</w:t>
      </w:r>
      <w:r w:rsidR="0043305F" w:rsidRPr="00295637">
        <w:rPr>
          <w:rFonts w:ascii="Times New Roman" w:hAnsi="Times New Roman"/>
          <w:szCs w:val="24"/>
        </w:rPr>
        <w:t xml:space="preserve"> </w:t>
      </w:r>
      <w:r w:rsidR="00C6214E">
        <w:rPr>
          <w:rFonts w:ascii="Times New Roman" w:hAnsi="Times New Roman"/>
          <w:szCs w:val="24"/>
        </w:rPr>
        <w:t>су</w:t>
      </w:r>
      <w:r w:rsidR="0043305F" w:rsidRPr="00295637">
        <w:rPr>
          <w:rFonts w:ascii="Times New Roman" w:hAnsi="Times New Roman"/>
          <w:szCs w:val="24"/>
        </w:rPr>
        <w:t xml:space="preserve"> </w:t>
      </w:r>
      <w:r w:rsidR="00C6214E">
        <w:rPr>
          <w:rFonts w:ascii="Times New Roman" w:hAnsi="Times New Roman"/>
          <w:szCs w:val="24"/>
        </w:rPr>
        <w:t>донесене</w:t>
      </w:r>
      <w:r w:rsidR="00FA1173" w:rsidRPr="00295637">
        <w:rPr>
          <w:rFonts w:ascii="Times New Roman" w:hAnsi="Times New Roman"/>
          <w:szCs w:val="24"/>
        </w:rPr>
        <w:t xml:space="preserve"> </w:t>
      </w:r>
      <w:r w:rsidR="00C6214E">
        <w:rPr>
          <w:rFonts w:ascii="Times New Roman" w:hAnsi="Times New Roman"/>
          <w:szCs w:val="24"/>
        </w:rPr>
        <w:t>Смјернице</w:t>
      </w:r>
      <w:r w:rsidR="00FA1173" w:rsidRPr="00295637">
        <w:rPr>
          <w:rFonts w:ascii="Times New Roman" w:hAnsi="Times New Roman"/>
          <w:szCs w:val="24"/>
        </w:rPr>
        <w:t xml:space="preserve"> </w:t>
      </w:r>
      <w:r w:rsidR="00C6214E">
        <w:rPr>
          <w:rFonts w:ascii="Times New Roman" w:hAnsi="Times New Roman"/>
          <w:szCs w:val="24"/>
        </w:rPr>
        <w:t>за</w:t>
      </w:r>
      <w:r w:rsidR="00FA1173" w:rsidRPr="00295637">
        <w:rPr>
          <w:rFonts w:ascii="Times New Roman" w:hAnsi="Times New Roman"/>
          <w:szCs w:val="24"/>
        </w:rPr>
        <w:t xml:space="preserve"> </w:t>
      </w:r>
      <w:r w:rsidR="00C6214E">
        <w:rPr>
          <w:rFonts w:ascii="Times New Roman" w:hAnsi="Times New Roman"/>
          <w:szCs w:val="24"/>
        </w:rPr>
        <w:t>остваривање</w:t>
      </w:r>
      <w:r w:rsidR="00FA1173" w:rsidRPr="00295637">
        <w:rPr>
          <w:rFonts w:ascii="Times New Roman" w:hAnsi="Times New Roman"/>
          <w:szCs w:val="24"/>
        </w:rPr>
        <w:t xml:space="preserve"> </w:t>
      </w:r>
      <w:r w:rsidR="00C6214E">
        <w:rPr>
          <w:rFonts w:ascii="Times New Roman" w:hAnsi="Times New Roman"/>
          <w:szCs w:val="24"/>
        </w:rPr>
        <w:t>равноправности</w:t>
      </w:r>
      <w:r w:rsidR="00FA1173" w:rsidRPr="00295637">
        <w:rPr>
          <w:rFonts w:ascii="Times New Roman" w:hAnsi="Times New Roman"/>
          <w:szCs w:val="24"/>
        </w:rPr>
        <w:t xml:space="preserve"> </w:t>
      </w:r>
      <w:r w:rsidR="00C6214E">
        <w:rPr>
          <w:rFonts w:ascii="Times New Roman" w:hAnsi="Times New Roman"/>
          <w:szCs w:val="24"/>
        </w:rPr>
        <w:t>полова</w:t>
      </w:r>
      <w:r w:rsidR="00FA1173" w:rsidRPr="00295637">
        <w:rPr>
          <w:rFonts w:ascii="Times New Roman" w:hAnsi="Times New Roman"/>
          <w:szCs w:val="24"/>
        </w:rPr>
        <w:t xml:space="preserve"> </w:t>
      </w:r>
      <w:r w:rsidR="00C6214E">
        <w:rPr>
          <w:rFonts w:ascii="Times New Roman" w:hAnsi="Times New Roman"/>
          <w:szCs w:val="24"/>
        </w:rPr>
        <w:t>у</w:t>
      </w:r>
      <w:r w:rsidR="00FA1173" w:rsidRPr="00295637">
        <w:rPr>
          <w:rFonts w:ascii="Times New Roman" w:hAnsi="Times New Roman"/>
          <w:szCs w:val="24"/>
        </w:rPr>
        <w:t xml:space="preserve"> </w:t>
      </w:r>
      <w:r w:rsidR="00C6214E">
        <w:rPr>
          <w:rFonts w:ascii="Times New Roman" w:hAnsi="Times New Roman"/>
          <w:szCs w:val="24"/>
        </w:rPr>
        <w:t>Државној</w:t>
      </w:r>
      <w:r w:rsidR="00FA1173" w:rsidRPr="00295637">
        <w:rPr>
          <w:rFonts w:ascii="Times New Roman" w:hAnsi="Times New Roman"/>
          <w:szCs w:val="24"/>
        </w:rPr>
        <w:t xml:space="preserve"> </w:t>
      </w:r>
      <w:r w:rsidR="00C6214E">
        <w:rPr>
          <w:rFonts w:ascii="Times New Roman" w:hAnsi="Times New Roman"/>
          <w:szCs w:val="24"/>
        </w:rPr>
        <w:t>агенцији</w:t>
      </w:r>
      <w:r w:rsidR="00FA1173" w:rsidRPr="00295637">
        <w:rPr>
          <w:rFonts w:ascii="Times New Roman" w:hAnsi="Times New Roman"/>
          <w:szCs w:val="24"/>
        </w:rPr>
        <w:t xml:space="preserve"> </w:t>
      </w:r>
      <w:r w:rsidR="00C6214E">
        <w:rPr>
          <w:rFonts w:ascii="Times New Roman" w:hAnsi="Times New Roman"/>
          <w:szCs w:val="24"/>
        </w:rPr>
        <w:t>за</w:t>
      </w:r>
      <w:r w:rsidR="00FA1173" w:rsidRPr="00295637">
        <w:rPr>
          <w:rFonts w:ascii="Times New Roman" w:hAnsi="Times New Roman"/>
          <w:szCs w:val="24"/>
        </w:rPr>
        <w:t xml:space="preserve"> </w:t>
      </w:r>
      <w:r w:rsidR="00C6214E">
        <w:rPr>
          <w:rFonts w:ascii="Times New Roman" w:hAnsi="Times New Roman"/>
          <w:szCs w:val="24"/>
        </w:rPr>
        <w:t>истраге</w:t>
      </w:r>
      <w:r w:rsidR="00FA1173" w:rsidRPr="00295637">
        <w:rPr>
          <w:rFonts w:ascii="Times New Roman" w:hAnsi="Times New Roman"/>
          <w:szCs w:val="24"/>
        </w:rPr>
        <w:t xml:space="preserve"> </w:t>
      </w:r>
      <w:r w:rsidR="00C6214E">
        <w:rPr>
          <w:rFonts w:ascii="Times New Roman" w:hAnsi="Times New Roman"/>
          <w:szCs w:val="24"/>
        </w:rPr>
        <w:t>и</w:t>
      </w:r>
      <w:r w:rsidR="00FA1173" w:rsidRPr="00295637">
        <w:rPr>
          <w:rFonts w:ascii="Times New Roman" w:hAnsi="Times New Roman"/>
          <w:szCs w:val="24"/>
        </w:rPr>
        <w:t xml:space="preserve"> </w:t>
      </w:r>
      <w:r w:rsidR="00C6214E">
        <w:rPr>
          <w:rFonts w:ascii="Times New Roman" w:hAnsi="Times New Roman"/>
          <w:szCs w:val="24"/>
        </w:rPr>
        <w:t>заштиту</w:t>
      </w:r>
      <w:r w:rsidR="0094319B" w:rsidRPr="00295637">
        <w:rPr>
          <w:rFonts w:ascii="Times New Roman" w:hAnsi="Times New Roman"/>
          <w:szCs w:val="24"/>
        </w:rPr>
        <w:t>,</w:t>
      </w:r>
      <w:r w:rsidR="0043305F" w:rsidRPr="00295637">
        <w:rPr>
          <w:rFonts w:ascii="Times New Roman" w:hAnsi="Times New Roman"/>
          <w:szCs w:val="24"/>
        </w:rPr>
        <w:t xml:space="preserve"> </w:t>
      </w:r>
      <w:r w:rsidR="00C6214E">
        <w:rPr>
          <w:rFonts w:ascii="Times New Roman" w:hAnsi="Times New Roman"/>
          <w:szCs w:val="24"/>
        </w:rPr>
        <w:t>а</w:t>
      </w:r>
      <w:r w:rsidR="0043305F" w:rsidRPr="00295637">
        <w:rPr>
          <w:rFonts w:ascii="Times New Roman" w:hAnsi="Times New Roman"/>
          <w:szCs w:val="24"/>
        </w:rPr>
        <w:t xml:space="preserve"> </w:t>
      </w:r>
      <w:r w:rsidR="00C6214E">
        <w:rPr>
          <w:rFonts w:ascii="Times New Roman" w:hAnsi="Times New Roman"/>
          <w:szCs w:val="24"/>
        </w:rPr>
        <w:t>у</w:t>
      </w:r>
      <w:r w:rsidR="0094319B" w:rsidRPr="00295637">
        <w:rPr>
          <w:rFonts w:ascii="Times New Roman" w:hAnsi="Times New Roman"/>
          <w:szCs w:val="24"/>
        </w:rPr>
        <w:t xml:space="preserve"> </w:t>
      </w:r>
      <w:r w:rsidR="00C6214E">
        <w:rPr>
          <w:rFonts w:ascii="Times New Roman" w:hAnsi="Times New Roman"/>
          <w:szCs w:val="24"/>
        </w:rPr>
        <w:t>децембру</w:t>
      </w:r>
      <w:r w:rsidR="0043305F" w:rsidRPr="00295637">
        <w:rPr>
          <w:rFonts w:ascii="Times New Roman" w:hAnsi="Times New Roman"/>
          <w:szCs w:val="24"/>
        </w:rPr>
        <w:t xml:space="preserve"> </w:t>
      </w:r>
      <w:r w:rsidR="00C6214E">
        <w:rPr>
          <w:rFonts w:ascii="Times New Roman" w:hAnsi="Times New Roman"/>
          <w:szCs w:val="24"/>
        </w:rPr>
        <w:t>и</w:t>
      </w:r>
      <w:r w:rsidR="0043305F" w:rsidRPr="00295637">
        <w:rPr>
          <w:rFonts w:ascii="Times New Roman" w:hAnsi="Times New Roman"/>
          <w:szCs w:val="24"/>
        </w:rPr>
        <w:t xml:space="preserve"> </w:t>
      </w:r>
      <w:r w:rsidR="00C6214E">
        <w:rPr>
          <w:rFonts w:ascii="Times New Roman" w:hAnsi="Times New Roman"/>
          <w:szCs w:val="24"/>
        </w:rPr>
        <w:t>Одлука</w:t>
      </w:r>
      <w:r w:rsidR="00FA1173" w:rsidRPr="00295637">
        <w:rPr>
          <w:rFonts w:ascii="Times New Roman" w:hAnsi="Times New Roman"/>
          <w:szCs w:val="24"/>
        </w:rPr>
        <w:t xml:space="preserve"> </w:t>
      </w:r>
      <w:r w:rsidR="00C6214E">
        <w:rPr>
          <w:rFonts w:ascii="Times New Roman" w:hAnsi="Times New Roman"/>
          <w:szCs w:val="24"/>
        </w:rPr>
        <w:t>о</w:t>
      </w:r>
      <w:r w:rsidR="00FA1173" w:rsidRPr="00295637">
        <w:rPr>
          <w:rFonts w:ascii="Times New Roman" w:hAnsi="Times New Roman"/>
          <w:szCs w:val="24"/>
        </w:rPr>
        <w:t xml:space="preserve"> </w:t>
      </w:r>
      <w:r w:rsidR="00C6214E">
        <w:rPr>
          <w:rFonts w:ascii="Times New Roman" w:hAnsi="Times New Roman"/>
          <w:szCs w:val="24"/>
        </w:rPr>
        <w:t>именовању</w:t>
      </w:r>
      <w:r w:rsidR="00FA1173" w:rsidRPr="00295637">
        <w:rPr>
          <w:rFonts w:ascii="Times New Roman" w:hAnsi="Times New Roman"/>
          <w:szCs w:val="24"/>
        </w:rPr>
        <w:t xml:space="preserve"> </w:t>
      </w:r>
      <w:r w:rsidR="00C6214E">
        <w:rPr>
          <w:rFonts w:ascii="Times New Roman" w:hAnsi="Times New Roman"/>
          <w:szCs w:val="24"/>
        </w:rPr>
        <w:t>савјетника</w:t>
      </w:r>
      <w:r w:rsidR="00FA1173" w:rsidRPr="00295637">
        <w:rPr>
          <w:rFonts w:ascii="Times New Roman" w:hAnsi="Times New Roman"/>
          <w:szCs w:val="24"/>
        </w:rPr>
        <w:t xml:space="preserve"> </w:t>
      </w:r>
      <w:r w:rsidR="00C6214E">
        <w:rPr>
          <w:rFonts w:ascii="Times New Roman" w:hAnsi="Times New Roman"/>
          <w:szCs w:val="24"/>
        </w:rPr>
        <w:t>за</w:t>
      </w:r>
      <w:r w:rsidR="00FA1173" w:rsidRPr="00295637">
        <w:rPr>
          <w:rFonts w:ascii="Times New Roman" w:hAnsi="Times New Roman"/>
          <w:szCs w:val="24"/>
        </w:rPr>
        <w:t xml:space="preserve"> </w:t>
      </w:r>
      <w:r w:rsidR="00C6214E">
        <w:rPr>
          <w:rFonts w:ascii="Times New Roman" w:hAnsi="Times New Roman"/>
          <w:szCs w:val="24"/>
        </w:rPr>
        <w:t>превенцију</w:t>
      </w:r>
      <w:r w:rsidR="00FA1173" w:rsidRPr="00295637">
        <w:rPr>
          <w:rFonts w:ascii="Times New Roman" w:hAnsi="Times New Roman"/>
          <w:szCs w:val="24"/>
        </w:rPr>
        <w:t xml:space="preserve"> </w:t>
      </w:r>
      <w:r w:rsidR="00C6214E">
        <w:rPr>
          <w:rFonts w:ascii="Times New Roman" w:hAnsi="Times New Roman"/>
          <w:szCs w:val="24"/>
        </w:rPr>
        <w:t>сексуалног</w:t>
      </w:r>
      <w:r w:rsidR="00FA1173" w:rsidRPr="00295637">
        <w:rPr>
          <w:rFonts w:ascii="Times New Roman" w:hAnsi="Times New Roman"/>
          <w:szCs w:val="24"/>
        </w:rPr>
        <w:t xml:space="preserve"> </w:t>
      </w:r>
      <w:r w:rsidR="00C6214E">
        <w:rPr>
          <w:rFonts w:ascii="Times New Roman" w:hAnsi="Times New Roman"/>
          <w:szCs w:val="24"/>
        </w:rPr>
        <w:t>узнемиравања</w:t>
      </w:r>
      <w:r w:rsidR="00FA1173" w:rsidRPr="00295637">
        <w:rPr>
          <w:rFonts w:ascii="Times New Roman" w:hAnsi="Times New Roman"/>
          <w:szCs w:val="24"/>
        </w:rPr>
        <w:t xml:space="preserve"> </w:t>
      </w:r>
      <w:r w:rsidR="00C6214E">
        <w:rPr>
          <w:rFonts w:ascii="Times New Roman" w:hAnsi="Times New Roman"/>
          <w:szCs w:val="24"/>
        </w:rPr>
        <w:t>и</w:t>
      </w:r>
      <w:r w:rsidR="00FA1173" w:rsidRPr="00295637">
        <w:rPr>
          <w:rFonts w:ascii="Times New Roman" w:hAnsi="Times New Roman"/>
          <w:szCs w:val="24"/>
        </w:rPr>
        <w:t xml:space="preserve"> </w:t>
      </w:r>
      <w:r w:rsidR="00C6214E">
        <w:rPr>
          <w:rFonts w:ascii="Times New Roman" w:hAnsi="Times New Roman"/>
          <w:szCs w:val="24"/>
        </w:rPr>
        <w:t>узнемиравања</w:t>
      </w:r>
      <w:r w:rsidR="00FA1173" w:rsidRPr="00295637">
        <w:rPr>
          <w:rFonts w:ascii="Times New Roman" w:hAnsi="Times New Roman"/>
          <w:szCs w:val="24"/>
        </w:rPr>
        <w:t xml:space="preserve"> </w:t>
      </w:r>
      <w:r w:rsidR="00C6214E">
        <w:rPr>
          <w:rFonts w:ascii="Times New Roman" w:hAnsi="Times New Roman"/>
          <w:szCs w:val="24"/>
        </w:rPr>
        <w:t>на</w:t>
      </w:r>
      <w:r w:rsidR="00FA1173" w:rsidRPr="00295637">
        <w:rPr>
          <w:rFonts w:ascii="Times New Roman" w:hAnsi="Times New Roman"/>
          <w:szCs w:val="24"/>
        </w:rPr>
        <w:t xml:space="preserve"> </w:t>
      </w:r>
      <w:r w:rsidR="00C6214E">
        <w:rPr>
          <w:rFonts w:ascii="Times New Roman" w:hAnsi="Times New Roman"/>
          <w:szCs w:val="24"/>
        </w:rPr>
        <w:t>основу</w:t>
      </w:r>
      <w:r w:rsidR="00FA1173" w:rsidRPr="00295637">
        <w:rPr>
          <w:rFonts w:ascii="Times New Roman" w:hAnsi="Times New Roman"/>
          <w:szCs w:val="24"/>
        </w:rPr>
        <w:t xml:space="preserve"> </w:t>
      </w:r>
      <w:r w:rsidR="00C6214E">
        <w:rPr>
          <w:rFonts w:ascii="Times New Roman" w:hAnsi="Times New Roman"/>
          <w:szCs w:val="24"/>
        </w:rPr>
        <w:t>пола</w:t>
      </w:r>
      <w:r w:rsidR="00FA1173" w:rsidRPr="00295637">
        <w:rPr>
          <w:rFonts w:ascii="Times New Roman" w:hAnsi="Times New Roman"/>
          <w:szCs w:val="24"/>
        </w:rPr>
        <w:t xml:space="preserve"> </w:t>
      </w:r>
      <w:r w:rsidR="00C6214E">
        <w:rPr>
          <w:rFonts w:ascii="Times New Roman" w:hAnsi="Times New Roman"/>
          <w:szCs w:val="24"/>
        </w:rPr>
        <w:t>у</w:t>
      </w:r>
      <w:r w:rsidR="00FA1173" w:rsidRPr="00295637">
        <w:rPr>
          <w:rFonts w:ascii="Times New Roman" w:hAnsi="Times New Roman"/>
          <w:szCs w:val="24"/>
        </w:rPr>
        <w:t xml:space="preserve"> </w:t>
      </w:r>
      <w:r w:rsidR="00C6214E">
        <w:rPr>
          <w:rFonts w:ascii="Times New Roman" w:hAnsi="Times New Roman"/>
          <w:szCs w:val="24"/>
        </w:rPr>
        <w:t>Државној</w:t>
      </w:r>
      <w:r w:rsidR="00FA1173" w:rsidRPr="00295637">
        <w:rPr>
          <w:rFonts w:ascii="Times New Roman" w:hAnsi="Times New Roman"/>
          <w:szCs w:val="24"/>
        </w:rPr>
        <w:t xml:space="preserve"> </w:t>
      </w:r>
      <w:r w:rsidR="00C6214E">
        <w:rPr>
          <w:rFonts w:ascii="Times New Roman" w:hAnsi="Times New Roman"/>
          <w:szCs w:val="24"/>
        </w:rPr>
        <w:t>агенцији</w:t>
      </w:r>
      <w:r w:rsidR="00FA1173" w:rsidRPr="00295637">
        <w:rPr>
          <w:rFonts w:ascii="Times New Roman" w:hAnsi="Times New Roman"/>
          <w:szCs w:val="24"/>
        </w:rPr>
        <w:t xml:space="preserve"> </w:t>
      </w:r>
      <w:r w:rsidR="00C6214E">
        <w:rPr>
          <w:rFonts w:ascii="Times New Roman" w:hAnsi="Times New Roman"/>
          <w:szCs w:val="24"/>
        </w:rPr>
        <w:t>за</w:t>
      </w:r>
      <w:r w:rsidR="00FA1173" w:rsidRPr="00295637">
        <w:rPr>
          <w:rFonts w:ascii="Times New Roman" w:hAnsi="Times New Roman"/>
          <w:szCs w:val="24"/>
        </w:rPr>
        <w:t xml:space="preserve"> </w:t>
      </w:r>
      <w:r w:rsidR="00C6214E">
        <w:rPr>
          <w:rFonts w:ascii="Times New Roman" w:hAnsi="Times New Roman"/>
          <w:szCs w:val="24"/>
        </w:rPr>
        <w:t>истраге</w:t>
      </w:r>
      <w:r w:rsidR="00FA1173" w:rsidRPr="00295637">
        <w:rPr>
          <w:rFonts w:ascii="Times New Roman" w:hAnsi="Times New Roman"/>
          <w:szCs w:val="24"/>
        </w:rPr>
        <w:t xml:space="preserve"> </w:t>
      </w:r>
      <w:r w:rsidR="00C6214E">
        <w:rPr>
          <w:rFonts w:ascii="Times New Roman" w:hAnsi="Times New Roman"/>
          <w:szCs w:val="24"/>
        </w:rPr>
        <w:t>и</w:t>
      </w:r>
      <w:r w:rsidR="00FA1173" w:rsidRPr="00295637">
        <w:rPr>
          <w:rFonts w:ascii="Times New Roman" w:hAnsi="Times New Roman"/>
          <w:szCs w:val="24"/>
        </w:rPr>
        <w:t xml:space="preserve"> </w:t>
      </w:r>
      <w:r w:rsidR="00C6214E">
        <w:rPr>
          <w:rFonts w:ascii="Times New Roman" w:hAnsi="Times New Roman"/>
          <w:szCs w:val="24"/>
        </w:rPr>
        <w:t>заштиту</w:t>
      </w:r>
      <w:r w:rsidR="00FA1173" w:rsidRPr="00295637">
        <w:rPr>
          <w:rFonts w:ascii="Times New Roman" w:hAnsi="Times New Roman"/>
          <w:szCs w:val="24"/>
        </w:rPr>
        <w:t>.</w:t>
      </w:r>
    </w:p>
    <w:p w:rsidR="00A92736" w:rsidRPr="00295637" w:rsidRDefault="00A92736" w:rsidP="0086268D">
      <w:pPr>
        <w:pStyle w:val="Heading3"/>
        <w:numPr>
          <w:ilvl w:val="0"/>
          <w:numId w:val="0"/>
        </w:numPr>
        <w:spacing w:after="0" w:line="240" w:lineRule="auto"/>
        <w:ind w:left="720"/>
        <w:rPr>
          <w:lang w:val="bs-Latn-BA"/>
        </w:rPr>
      </w:pPr>
    </w:p>
    <w:p w:rsidR="00BD4051" w:rsidRDefault="00C6214E" w:rsidP="0086268D">
      <w:pPr>
        <w:jc w:val="both"/>
        <w:rPr>
          <w:rFonts w:ascii="Times New Roman" w:hAnsi="Times New Roman"/>
          <w:lang w:val="sr-Latn-BA"/>
        </w:rPr>
      </w:pPr>
      <w:r>
        <w:rPr>
          <w:rFonts w:ascii="Times New Roman" w:hAnsi="Times New Roman"/>
          <w:lang w:val="sr-Latn-BA"/>
        </w:rPr>
        <w:t>Системско</w:t>
      </w:r>
      <w:r w:rsidR="00E1132E" w:rsidRPr="00295637">
        <w:rPr>
          <w:rFonts w:ascii="Times New Roman" w:hAnsi="Times New Roman"/>
          <w:lang w:val="sr-Latn-BA"/>
        </w:rPr>
        <w:t xml:space="preserve"> </w:t>
      </w:r>
      <w:r>
        <w:rPr>
          <w:rFonts w:ascii="Times New Roman" w:hAnsi="Times New Roman"/>
          <w:lang w:val="sr-Latn-BA"/>
        </w:rPr>
        <w:t>законодавство</w:t>
      </w:r>
      <w:r w:rsidR="00E1132E" w:rsidRPr="00295637">
        <w:rPr>
          <w:rFonts w:ascii="Times New Roman" w:hAnsi="Times New Roman"/>
          <w:lang w:val="sr-Latn-BA"/>
        </w:rPr>
        <w:t xml:space="preserve"> </w:t>
      </w:r>
      <w:r>
        <w:rPr>
          <w:rFonts w:ascii="Times New Roman" w:hAnsi="Times New Roman"/>
          <w:lang w:val="sr-Latn-BA"/>
        </w:rPr>
        <w:t>Републике</w:t>
      </w:r>
      <w:r w:rsidR="003041EE">
        <w:rPr>
          <w:rFonts w:ascii="Times New Roman" w:hAnsi="Times New Roman"/>
          <w:lang w:val="sr-Latn-BA"/>
        </w:rPr>
        <w:t xml:space="preserve"> </w:t>
      </w:r>
      <w:r>
        <w:rPr>
          <w:rFonts w:ascii="Times New Roman" w:hAnsi="Times New Roman"/>
          <w:lang w:val="sr-Latn-BA"/>
        </w:rPr>
        <w:t>Српске</w:t>
      </w:r>
      <w:r w:rsidR="003041EE">
        <w:rPr>
          <w:rFonts w:ascii="Times New Roman" w:hAnsi="Times New Roman"/>
          <w:lang w:val="sr-Latn-BA"/>
        </w:rPr>
        <w:t xml:space="preserve"> </w:t>
      </w:r>
      <w:r>
        <w:rPr>
          <w:rFonts w:ascii="Times New Roman" w:hAnsi="Times New Roman"/>
          <w:lang w:val="sr-Latn-BA"/>
        </w:rPr>
        <w:t>из</w:t>
      </w:r>
      <w:r w:rsidR="00E1132E" w:rsidRPr="00295637">
        <w:rPr>
          <w:rFonts w:ascii="Times New Roman" w:hAnsi="Times New Roman"/>
          <w:lang w:val="sr-Latn-BA"/>
        </w:rPr>
        <w:t xml:space="preserve"> </w:t>
      </w:r>
      <w:r>
        <w:rPr>
          <w:rFonts w:ascii="Times New Roman" w:hAnsi="Times New Roman"/>
          <w:lang w:val="sr-Latn-BA"/>
        </w:rPr>
        <w:t>ове</w:t>
      </w:r>
      <w:r w:rsidR="00E1132E" w:rsidRPr="00295637">
        <w:rPr>
          <w:rFonts w:ascii="Times New Roman" w:hAnsi="Times New Roman"/>
          <w:lang w:val="sr-Latn-BA"/>
        </w:rPr>
        <w:t xml:space="preserve"> </w:t>
      </w:r>
      <w:r>
        <w:rPr>
          <w:rFonts w:ascii="Times New Roman" w:hAnsi="Times New Roman"/>
          <w:lang w:val="sr-Latn-BA"/>
        </w:rPr>
        <w:t>области</w:t>
      </w:r>
      <w:r w:rsidR="00E1132E" w:rsidRPr="00295637">
        <w:rPr>
          <w:rFonts w:ascii="Times New Roman" w:hAnsi="Times New Roman"/>
          <w:lang w:val="sr-Latn-BA"/>
        </w:rPr>
        <w:t xml:space="preserve"> </w:t>
      </w:r>
      <w:r>
        <w:rPr>
          <w:rFonts w:ascii="Times New Roman" w:hAnsi="Times New Roman"/>
          <w:lang w:val="sr-Latn-BA"/>
        </w:rPr>
        <w:t>усаглашено</w:t>
      </w:r>
      <w:r w:rsidR="00E1132E" w:rsidRPr="00295637">
        <w:rPr>
          <w:rFonts w:ascii="Times New Roman" w:hAnsi="Times New Roman"/>
          <w:lang w:val="sr-Latn-BA"/>
        </w:rPr>
        <w:t xml:space="preserve"> </w:t>
      </w:r>
      <w:r>
        <w:rPr>
          <w:rFonts w:ascii="Times New Roman" w:hAnsi="Times New Roman"/>
          <w:lang w:val="sr-Latn-BA"/>
        </w:rPr>
        <w:t>је</w:t>
      </w:r>
      <w:r w:rsidR="008F47E4" w:rsidRPr="00295637">
        <w:rPr>
          <w:rFonts w:ascii="Times New Roman" w:hAnsi="Times New Roman"/>
          <w:lang w:val="sr-Latn-BA"/>
        </w:rPr>
        <w:t xml:space="preserve"> </w:t>
      </w:r>
      <w:r>
        <w:rPr>
          <w:rFonts w:ascii="Times New Roman" w:hAnsi="Times New Roman"/>
          <w:lang w:val="sr-Latn-BA"/>
        </w:rPr>
        <w:t>са</w:t>
      </w:r>
      <w:r w:rsidR="00E1132E" w:rsidRPr="00295637">
        <w:rPr>
          <w:rFonts w:ascii="Times New Roman" w:hAnsi="Times New Roman"/>
          <w:lang w:val="sr-Latn-BA"/>
        </w:rPr>
        <w:t xml:space="preserve"> </w:t>
      </w:r>
      <w:r>
        <w:rPr>
          <w:rFonts w:ascii="Times New Roman" w:hAnsi="Times New Roman"/>
          <w:lang w:val="sr-Latn-BA"/>
        </w:rPr>
        <w:t>стандардима</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равноправност</w:t>
      </w:r>
      <w:r w:rsidR="00E1132E" w:rsidRPr="00295637">
        <w:rPr>
          <w:rFonts w:ascii="Times New Roman" w:hAnsi="Times New Roman"/>
          <w:lang w:val="sr-Latn-BA"/>
        </w:rPr>
        <w:t xml:space="preserve"> </w:t>
      </w:r>
      <w:r>
        <w:rPr>
          <w:rFonts w:ascii="Times New Roman" w:hAnsi="Times New Roman"/>
          <w:lang w:val="sr-Latn-BA"/>
        </w:rPr>
        <w:t>полова</w:t>
      </w:r>
      <w:r w:rsidR="00E1132E"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Latn-BA"/>
        </w:rPr>
        <w:t xml:space="preserve"> 2024. </w:t>
      </w:r>
      <w:r>
        <w:rPr>
          <w:rFonts w:ascii="Times New Roman" w:hAnsi="Times New Roman"/>
          <w:lang w:val="sr-Latn-BA"/>
        </w:rPr>
        <w:t>години</w:t>
      </w:r>
      <w:r w:rsidR="00E1132E" w:rsidRPr="00295637">
        <w:rPr>
          <w:rFonts w:ascii="Times New Roman" w:hAnsi="Times New Roman"/>
          <w:lang w:val="sr-Latn-BA"/>
        </w:rPr>
        <w:t xml:space="preserve">, </w:t>
      </w:r>
      <w:r>
        <w:rPr>
          <w:rFonts w:ascii="Times New Roman" w:hAnsi="Times New Roman"/>
          <w:lang w:val="sr-Latn-BA"/>
        </w:rPr>
        <w:t>ЦЈРП</w:t>
      </w:r>
      <w:r w:rsidR="00E1132E" w:rsidRPr="00295637">
        <w:rPr>
          <w:rFonts w:ascii="Times New Roman" w:hAnsi="Times New Roman"/>
          <w:lang w:val="sr-Latn-BA"/>
        </w:rPr>
        <w:t xml:space="preserve"> </w:t>
      </w:r>
      <w:r>
        <w:rPr>
          <w:rFonts w:ascii="Times New Roman" w:hAnsi="Times New Roman"/>
          <w:lang w:val="sr-Latn-BA"/>
        </w:rPr>
        <w:t>РС</w:t>
      </w:r>
      <w:r w:rsidR="00E1132E" w:rsidRPr="00295637">
        <w:rPr>
          <w:rFonts w:ascii="Times New Roman" w:hAnsi="Times New Roman"/>
          <w:lang w:val="sr-Latn-BA"/>
        </w:rPr>
        <w:t xml:space="preserve"> </w:t>
      </w:r>
      <w:r>
        <w:rPr>
          <w:rFonts w:ascii="Times New Roman" w:hAnsi="Times New Roman"/>
          <w:lang w:val="sr-Latn-BA"/>
        </w:rPr>
        <w:t>је</w:t>
      </w:r>
      <w:r w:rsidR="00E1132E" w:rsidRPr="00295637">
        <w:rPr>
          <w:rFonts w:ascii="Times New Roman" w:hAnsi="Times New Roman"/>
          <w:lang w:val="sr-Latn-BA"/>
        </w:rPr>
        <w:t xml:space="preserve"> </w:t>
      </w:r>
      <w:r>
        <w:rPr>
          <w:rFonts w:ascii="Times New Roman" w:hAnsi="Times New Roman"/>
          <w:lang w:val="sr-Latn-BA"/>
        </w:rPr>
        <w:t>дао</w:t>
      </w:r>
      <w:r w:rsidR="00E1132E" w:rsidRPr="00295637">
        <w:rPr>
          <w:rFonts w:ascii="Times New Roman" w:hAnsi="Times New Roman"/>
          <w:lang w:val="sr-Latn-BA"/>
        </w:rPr>
        <w:t xml:space="preserve"> </w:t>
      </w:r>
      <w:r>
        <w:rPr>
          <w:rFonts w:ascii="Times New Roman" w:hAnsi="Times New Roman"/>
          <w:lang w:val="sr-Latn-BA"/>
        </w:rPr>
        <w:t>мишљење</w:t>
      </w:r>
      <w:r w:rsidR="00E1132E" w:rsidRPr="00295637">
        <w:rPr>
          <w:rFonts w:ascii="Times New Roman" w:hAnsi="Times New Roman"/>
          <w:lang w:val="sr-Latn-BA"/>
        </w:rPr>
        <w:t xml:space="preserve"> </w:t>
      </w:r>
      <w:r>
        <w:rPr>
          <w:rFonts w:ascii="Times New Roman" w:hAnsi="Times New Roman"/>
          <w:lang w:val="sr-Latn-BA"/>
        </w:rPr>
        <w:t>на</w:t>
      </w:r>
      <w:r w:rsidR="00E1132E" w:rsidRPr="00295637">
        <w:rPr>
          <w:rFonts w:ascii="Times New Roman" w:hAnsi="Times New Roman"/>
          <w:lang w:val="sr-Latn-BA"/>
        </w:rPr>
        <w:t xml:space="preserve"> </w:t>
      </w:r>
      <w:r>
        <w:rPr>
          <w:rFonts w:ascii="Times New Roman" w:hAnsi="Times New Roman"/>
          <w:lang w:val="sr-Cyrl-BA"/>
        </w:rPr>
        <w:t>Акци</w:t>
      </w:r>
      <w:r>
        <w:rPr>
          <w:rFonts w:ascii="Times New Roman" w:hAnsi="Times New Roman"/>
          <w:lang w:val="hr-HR"/>
        </w:rPr>
        <w:t>они</w:t>
      </w:r>
      <w:r w:rsidR="00E1132E" w:rsidRPr="00295637">
        <w:rPr>
          <w:rFonts w:ascii="Times New Roman" w:hAnsi="Times New Roman"/>
          <w:lang w:val="sr-Cyrl-BA"/>
        </w:rPr>
        <w:t xml:space="preserve"> </w:t>
      </w:r>
      <w:r>
        <w:rPr>
          <w:rFonts w:ascii="Times New Roman" w:hAnsi="Times New Roman"/>
          <w:lang w:val="sr-Cyrl-BA"/>
        </w:rPr>
        <w:t>план</w:t>
      </w:r>
      <w:r w:rsidR="00E1132E" w:rsidRPr="00295637">
        <w:rPr>
          <w:rFonts w:ascii="Times New Roman" w:hAnsi="Times New Roman"/>
          <w:lang w:val="sr-Cyrl-BA"/>
        </w:rPr>
        <w:t xml:space="preserve"> </w:t>
      </w:r>
      <w:r>
        <w:rPr>
          <w:rFonts w:ascii="Times New Roman" w:hAnsi="Times New Roman"/>
          <w:lang w:val="sr-Cyrl-BA"/>
        </w:rPr>
        <w:t>за</w:t>
      </w:r>
      <w:r w:rsidR="00E1132E" w:rsidRPr="00295637">
        <w:rPr>
          <w:rFonts w:ascii="Times New Roman" w:hAnsi="Times New Roman"/>
          <w:lang w:val="sr-Cyrl-BA"/>
        </w:rPr>
        <w:t xml:space="preserve"> </w:t>
      </w:r>
      <w:r>
        <w:rPr>
          <w:rFonts w:ascii="Times New Roman" w:hAnsi="Times New Roman"/>
          <w:lang w:val="sr-Cyrl-BA"/>
        </w:rPr>
        <w:t>супротстављање</w:t>
      </w:r>
      <w:r w:rsidR="00E1132E" w:rsidRPr="00295637">
        <w:rPr>
          <w:rFonts w:ascii="Times New Roman" w:hAnsi="Times New Roman"/>
          <w:lang w:val="sr-Cyrl-BA"/>
        </w:rPr>
        <w:t xml:space="preserve"> </w:t>
      </w:r>
      <w:r>
        <w:rPr>
          <w:rFonts w:ascii="Times New Roman" w:hAnsi="Times New Roman"/>
          <w:lang w:val="sr-Cyrl-BA"/>
        </w:rPr>
        <w:t>тргов</w:t>
      </w:r>
      <w:r>
        <w:rPr>
          <w:rFonts w:ascii="Times New Roman" w:hAnsi="Times New Roman"/>
          <w:lang w:val="hr-HR"/>
        </w:rPr>
        <w:t>ини</w:t>
      </w:r>
      <w:r w:rsidR="00E1132E" w:rsidRPr="00295637">
        <w:rPr>
          <w:rFonts w:ascii="Times New Roman" w:hAnsi="Times New Roman"/>
          <w:lang w:val="sr-Cyrl-BA"/>
        </w:rPr>
        <w:t xml:space="preserve"> </w:t>
      </w:r>
      <w:r>
        <w:rPr>
          <w:rFonts w:ascii="Times New Roman" w:hAnsi="Times New Roman"/>
          <w:lang w:val="sr-Cyrl-BA"/>
        </w:rPr>
        <w:t>људима</w:t>
      </w:r>
      <w:r w:rsidR="00E1132E" w:rsidRPr="00295637">
        <w:rPr>
          <w:rFonts w:ascii="Times New Roman" w:hAnsi="Times New Roman"/>
          <w:lang w:val="sr-Cyrl-BA"/>
        </w:rPr>
        <w:t xml:space="preserve"> </w:t>
      </w:r>
      <w:r>
        <w:rPr>
          <w:rFonts w:ascii="Times New Roman" w:hAnsi="Times New Roman"/>
          <w:lang w:val="sr-Cyrl-BA"/>
        </w:rPr>
        <w:t>за</w:t>
      </w:r>
      <w:r w:rsidR="00E1132E" w:rsidRPr="00295637">
        <w:rPr>
          <w:rFonts w:ascii="Times New Roman" w:hAnsi="Times New Roman"/>
          <w:lang w:val="sr-Cyrl-BA"/>
        </w:rPr>
        <w:t xml:space="preserve"> 2024</w:t>
      </w:r>
      <w:r w:rsidR="00DC19C9">
        <w:rPr>
          <w:rFonts w:ascii="Times New Roman" w:hAnsi="Times New Roman"/>
          <w:lang w:val="hr-HR"/>
        </w:rPr>
        <w:t>-</w:t>
      </w:r>
      <w:r w:rsidR="00E1132E" w:rsidRPr="00295637">
        <w:rPr>
          <w:rFonts w:ascii="Times New Roman" w:hAnsi="Times New Roman"/>
          <w:lang w:val="sr-Cyrl-BA"/>
        </w:rPr>
        <w:t xml:space="preserve">2027. </w:t>
      </w:r>
      <w:r>
        <w:rPr>
          <w:rFonts w:ascii="Times New Roman" w:hAnsi="Times New Roman"/>
          <w:lang w:val="sr-Cyrl-BA"/>
        </w:rPr>
        <w:t>годину</w:t>
      </w:r>
      <w:r w:rsidR="00E1132E" w:rsidRPr="00295637">
        <w:rPr>
          <w:rFonts w:ascii="Times New Roman" w:hAnsi="Times New Roman"/>
          <w:lang w:val="sr-Latn-BA"/>
        </w:rPr>
        <w:t xml:space="preserve">, </w:t>
      </w:r>
      <w:r>
        <w:rPr>
          <w:rFonts w:ascii="Times New Roman" w:hAnsi="Times New Roman"/>
          <w:lang w:val="sr-Latn-BA"/>
        </w:rPr>
        <w:t>који</w:t>
      </w:r>
      <w:r w:rsidR="00E1132E" w:rsidRPr="00295637">
        <w:rPr>
          <w:rFonts w:ascii="Times New Roman" w:hAnsi="Times New Roman"/>
          <w:lang w:val="sr-Cyrl-BA"/>
        </w:rPr>
        <w:t xml:space="preserve"> </w:t>
      </w:r>
      <w:r>
        <w:rPr>
          <w:rFonts w:ascii="Times New Roman" w:hAnsi="Times New Roman"/>
          <w:lang w:val="sr-Cyrl-BA"/>
        </w:rPr>
        <w:t>је</w:t>
      </w:r>
      <w:r w:rsidR="00E1132E" w:rsidRPr="00295637">
        <w:rPr>
          <w:rFonts w:ascii="Times New Roman" w:hAnsi="Times New Roman"/>
          <w:lang w:val="sr-Cyrl-BA"/>
        </w:rPr>
        <w:t xml:space="preserve"> </w:t>
      </w:r>
      <w:r>
        <w:rPr>
          <w:rFonts w:ascii="Times New Roman" w:hAnsi="Times New Roman"/>
          <w:lang w:val="sr-Cyrl-BA"/>
        </w:rPr>
        <w:t>усклађен</w:t>
      </w:r>
      <w:r w:rsidR="00E1132E" w:rsidRPr="00295637">
        <w:rPr>
          <w:rFonts w:ascii="Times New Roman" w:hAnsi="Times New Roman"/>
          <w:lang w:val="sr-Cyrl-BA"/>
        </w:rPr>
        <w:t xml:space="preserve"> </w:t>
      </w:r>
      <w:r>
        <w:rPr>
          <w:rFonts w:ascii="Times New Roman" w:hAnsi="Times New Roman"/>
          <w:lang w:val="sr-Cyrl-BA"/>
        </w:rPr>
        <w:t>са</w:t>
      </w:r>
      <w:r w:rsidR="00E1132E" w:rsidRPr="00295637">
        <w:rPr>
          <w:rFonts w:ascii="Times New Roman" w:hAnsi="Times New Roman"/>
          <w:lang w:val="sr-Cyrl-BA"/>
        </w:rPr>
        <w:t xml:space="preserve"> </w:t>
      </w:r>
      <w:r>
        <w:rPr>
          <w:rFonts w:ascii="Times New Roman" w:hAnsi="Times New Roman"/>
          <w:lang w:val="sr-Cyrl-BA"/>
        </w:rPr>
        <w:t>стандардима</w:t>
      </w:r>
      <w:r w:rsidR="00E1132E" w:rsidRPr="00295637">
        <w:rPr>
          <w:rFonts w:ascii="Times New Roman" w:hAnsi="Times New Roman"/>
          <w:lang w:val="sr-Cyrl-BA"/>
        </w:rPr>
        <w:t xml:space="preserve"> </w:t>
      </w:r>
      <w:r>
        <w:rPr>
          <w:rFonts w:ascii="Times New Roman" w:hAnsi="Times New Roman"/>
          <w:lang w:val="sr-Cyrl-BA"/>
        </w:rPr>
        <w:t>за</w:t>
      </w:r>
      <w:r w:rsidR="00E1132E" w:rsidRPr="00295637">
        <w:rPr>
          <w:rFonts w:ascii="Times New Roman" w:hAnsi="Times New Roman"/>
          <w:lang w:val="sr-Cyrl-BA"/>
        </w:rPr>
        <w:t xml:space="preserve"> </w:t>
      </w:r>
      <w:r>
        <w:rPr>
          <w:rFonts w:ascii="Times New Roman" w:hAnsi="Times New Roman"/>
          <w:lang w:val="sr-Cyrl-BA"/>
        </w:rPr>
        <w:t>равноправност</w:t>
      </w:r>
      <w:r w:rsidR="00E1132E" w:rsidRPr="00295637">
        <w:rPr>
          <w:rFonts w:ascii="Times New Roman" w:hAnsi="Times New Roman"/>
          <w:lang w:val="sr-Cyrl-BA"/>
        </w:rPr>
        <w:t xml:space="preserve"> </w:t>
      </w:r>
      <w:r>
        <w:rPr>
          <w:rFonts w:ascii="Times New Roman" w:hAnsi="Times New Roman"/>
          <w:lang w:val="sr-Cyrl-BA"/>
        </w:rPr>
        <w:t>полова</w:t>
      </w:r>
      <w:r w:rsidR="00E1132E" w:rsidRPr="00295637">
        <w:rPr>
          <w:rFonts w:ascii="Times New Roman" w:hAnsi="Times New Roman"/>
          <w:lang w:val="sr-Latn-BA"/>
        </w:rPr>
        <w:t xml:space="preserve"> </w:t>
      </w:r>
      <w:r>
        <w:rPr>
          <w:rFonts w:ascii="Times New Roman" w:hAnsi="Times New Roman"/>
          <w:lang w:val="sr-Latn-BA"/>
        </w:rPr>
        <w:t>и</w:t>
      </w:r>
      <w:r w:rsidR="00E1132E" w:rsidRPr="00295637">
        <w:rPr>
          <w:rFonts w:ascii="Times New Roman" w:hAnsi="Times New Roman"/>
          <w:lang w:val="sr-Latn-BA"/>
        </w:rPr>
        <w:t xml:space="preserve"> </w:t>
      </w:r>
      <w:r>
        <w:rPr>
          <w:rFonts w:ascii="Times New Roman" w:hAnsi="Times New Roman"/>
          <w:lang w:val="sr-Latn-BA"/>
        </w:rPr>
        <w:t>садржи</w:t>
      </w:r>
      <w:r w:rsidR="00E1132E" w:rsidRPr="00295637">
        <w:rPr>
          <w:rFonts w:ascii="Times New Roman" w:hAnsi="Times New Roman"/>
          <w:lang w:val="sr-Latn-BA"/>
        </w:rPr>
        <w:t xml:space="preserve"> </w:t>
      </w:r>
      <w:r>
        <w:rPr>
          <w:rFonts w:ascii="Times New Roman" w:hAnsi="Times New Roman"/>
          <w:lang w:val="sr-Latn-BA"/>
        </w:rPr>
        <w:t>посебне</w:t>
      </w:r>
      <w:r w:rsidR="00E1132E" w:rsidRPr="00295637">
        <w:rPr>
          <w:rFonts w:ascii="Times New Roman" w:hAnsi="Times New Roman"/>
          <w:lang w:val="sr-Latn-BA"/>
        </w:rPr>
        <w:t xml:space="preserve"> </w:t>
      </w:r>
      <w:r>
        <w:rPr>
          <w:rFonts w:ascii="Times New Roman" w:hAnsi="Times New Roman"/>
          <w:lang w:val="sr-Latn-BA"/>
        </w:rPr>
        <w:t>мјере</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жене</w:t>
      </w:r>
      <w:r w:rsidR="00E1132E" w:rsidRPr="00295637">
        <w:rPr>
          <w:rFonts w:ascii="Times New Roman" w:hAnsi="Times New Roman"/>
          <w:lang w:val="sr-Latn-BA"/>
        </w:rPr>
        <w:t xml:space="preserve"> </w:t>
      </w:r>
      <w:r>
        <w:rPr>
          <w:rFonts w:ascii="Times New Roman" w:hAnsi="Times New Roman"/>
          <w:lang w:val="sr-Latn-BA"/>
        </w:rPr>
        <w:t>жртве</w:t>
      </w:r>
      <w:r w:rsidR="00E1132E" w:rsidRPr="00295637">
        <w:rPr>
          <w:rFonts w:ascii="Times New Roman" w:hAnsi="Times New Roman"/>
          <w:lang w:val="sr-Latn-BA"/>
        </w:rPr>
        <w:t xml:space="preserve"> </w:t>
      </w:r>
      <w:r>
        <w:rPr>
          <w:rFonts w:ascii="Times New Roman" w:hAnsi="Times New Roman"/>
          <w:lang w:val="sr-Latn-BA"/>
        </w:rPr>
        <w:t>трговине</w:t>
      </w:r>
      <w:r w:rsidR="00E1132E" w:rsidRPr="00295637">
        <w:rPr>
          <w:rFonts w:ascii="Times New Roman" w:hAnsi="Times New Roman"/>
          <w:lang w:val="sr-Latn-BA"/>
        </w:rPr>
        <w:t xml:space="preserve"> </w:t>
      </w:r>
      <w:r>
        <w:rPr>
          <w:rFonts w:ascii="Times New Roman" w:hAnsi="Times New Roman"/>
          <w:lang w:val="sr-Latn-BA"/>
        </w:rPr>
        <w:t>људима</w:t>
      </w:r>
      <w:r w:rsidR="00E1132E" w:rsidRPr="00295637">
        <w:rPr>
          <w:rFonts w:ascii="Times New Roman" w:hAnsi="Times New Roman"/>
          <w:lang w:val="sr-Latn-BA"/>
        </w:rPr>
        <w:t>.</w:t>
      </w:r>
    </w:p>
    <w:p w:rsidR="00BD4051" w:rsidRPr="00295637" w:rsidRDefault="00BD4051" w:rsidP="0086268D">
      <w:pPr>
        <w:rPr>
          <w:lang w:val="bs-Latn-BA"/>
        </w:rPr>
      </w:pPr>
    </w:p>
    <w:p w:rsidR="00356C2C" w:rsidRPr="00295637" w:rsidRDefault="004549B1" w:rsidP="00CB42E6">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CB42E6">
        <w:rPr>
          <w:rFonts w:ascii="Times New Roman" w:hAnsi="Times New Roman"/>
          <w:szCs w:val="24"/>
          <w:lang w:val="bs-Latn-BA"/>
        </w:rPr>
        <w:t xml:space="preserve"> 7.2. </w:t>
      </w:r>
      <w:r w:rsidR="00C6214E">
        <w:rPr>
          <w:rFonts w:ascii="Times New Roman" w:hAnsi="Times New Roman"/>
          <w:szCs w:val="24"/>
          <w:lang w:val="bs-Latn-BA"/>
        </w:rPr>
        <w:t>Редовно</w:t>
      </w:r>
      <w:r w:rsidR="00356C2C" w:rsidRPr="00295637">
        <w:rPr>
          <w:rFonts w:ascii="Times New Roman" w:hAnsi="Times New Roman"/>
          <w:szCs w:val="24"/>
          <w:lang w:val="bs-Latn-BA"/>
        </w:rPr>
        <w:t xml:space="preserve"> </w:t>
      </w:r>
      <w:r w:rsidR="00C6214E">
        <w:rPr>
          <w:rFonts w:ascii="Times New Roman" w:hAnsi="Times New Roman"/>
          <w:szCs w:val="24"/>
          <w:lang w:val="bs-Latn-BA"/>
        </w:rPr>
        <w:t>систематско</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прикупљање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анализа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објављивање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података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информација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стању</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DC19C9">
        <w:rPr>
          <w:rFonts w:ascii="Times New Roman" w:hAnsi="Times New Roman"/>
          <w:szCs w:val="24"/>
          <w:lang w:val="bs-Latn-BA"/>
        </w:rPr>
        <w:t xml:space="preserve"> </w:t>
      </w:r>
      <w:r w:rsidR="00C6214E">
        <w:rPr>
          <w:rFonts w:ascii="Times New Roman" w:hAnsi="Times New Roman"/>
          <w:szCs w:val="24"/>
          <w:lang w:val="bs-Latn-BA"/>
        </w:rPr>
        <w:t>полова</w:t>
      </w:r>
      <w:r w:rsidR="00DC19C9">
        <w:rPr>
          <w:rFonts w:ascii="Times New Roman" w:hAnsi="Times New Roman"/>
          <w:szCs w:val="24"/>
          <w:lang w:val="bs-Latn-BA"/>
        </w:rPr>
        <w:t xml:space="preserve"> </w:t>
      </w:r>
      <w:r w:rsidR="00C6214E">
        <w:rPr>
          <w:rFonts w:ascii="Times New Roman" w:hAnsi="Times New Roman"/>
          <w:szCs w:val="24"/>
          <w:lang w:val="bs-Latn-BA"/>
        </w:rPr>
        <w:t>у</w:t>
      </w:r>
      <w:r w:rsidR="00DC19C9">
        <w:rPr>
          <w:rFonts w:ascii="Times New Roman" w:hAnsi="Times New Roman"/>
          <w:szCs w:val="24"/>
          <w:lang w:val="bs-Latn-BA"/>
        </w:rPr>
        <w:t xml:space="preserve"> </w:t>
      </w:r>
      <w:r w:rsidR="00C6214E">
        <w:rPr>
          <w:rFonts w:ascii="Times New Roman" w:hAnsi="Times New Roman"/>
          <w:szCs w:val="24"/>
          <w:lang w:val="bs-Latn-BA"/>
        </w:rPr>
        <w:t>секторима</w:t>
      </w:r>
      <w:r w:rsidR="00DC19C9">
        <w:rPr>
          <w:rFonts w:ascii="Times New Roman" w:hAnsi="Times New Roman"/>
          <w:szCs w:val="24"/>
          <w:lang w:val="bs-Latn-BA"/>
        </w:rPr>
        <w:t xml:space="preserve"> </w:t>
      </w:r>
      <w:r w:rsidR="00C6214E">
        <w:rPr>
          <w:rFonts w:ascii="Times New Roman" w:hAnsi="Times New Roman"/>
          <w:szCs w:val="24"/>
          <w:lang w:val="bs-Latn-BA"/>
        </w:rPr>
        <w:t>одбране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безбједности</w:t>
      </w:r>
      <w:r w:rsidR="00356C2C" w:rsidRPr="00295637">
        <w:rPr>
          <w:rFonts w:ascii="Times New Roman" w:hAnsi="Times New Roman"/>
          <w:szCs w:val="24"/>
          <w:lang w:val="bs-Latn-BA"/>
        </w:rPr>
        <w:t xml:space="preserve">. </w:t>
      </w:r>
    </w:p>
    <w:p w:rsidR="00B4124E" w:rsidRPr="00295637" w:rsidRDefault="00B4124E" w:rsidP="0086268D">
      <w:pPr>
        <w:ind w:right="14"/>
        <w:jc w:val="both"/>
        <w:rPr>
          <w:rFonts w:ascii="Times New Roman" w:hAnsi="Times New Roman"/>
        </w:rPr>
      </w:pPr>
    </w:p>
    <w:p w:rsidR="00C11BD5" w:rsidRPr="00295637" w:rsidRDefault="00C6214E" w:rsidP="0086268D">
      <w:pPr>
        <w:ind w:right="149"/>
        <w:jc w:val="both"/>
        <w:rPr>
          <w:rFonts w:ascii="Times New Roman" w:hAnsi="Times New Roman"/>
        </w:rPr>
      </w:pPr>
      <w:r>
        <w:rPr>
          <w:rFonts w:ascii="Times New Roman" w:hAnsi="Times New Roman"/>
        </w:rPr>
        <w:t>МО</w:t>
      </w:r>
      <w:r w:rsidR="009E54A2" w:rsidRPr="00295637">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Pr>
          <w:rFonts w:ascii="Times New Roman" w:hAnsi="Times New Roman"/>
        </w:rPr>
        <w:t>води</w:t>
      </w:r>
      <w:r w:rsidR="00F26B27" w:rsidRPr="00295637">
        <w:rPr>
          <w:rFonts w:ascii="Times New Roman" w:hAnsi="Times New Roman"/>
        </w:rPr>
        <w:t xml:space="preserve"> </w:t>
      </w:r>
      <w:r>
        <w:rPr>
          <w:rFonts w:ascii="Times New Roman" w:hAnsi="Times New Roman"/>
        </w:rPr>
        <w:t>електронску</w:t>
      </w:r>
      <w:r w:rsidR="001E0139" w:rsidRPr="00295637">
        <w:rPr>
          <w:rFonts w:ascii="Times New Roman" w:hAnsi="Times New Roman"/>
        </w:rPr>
        <w:t xml:space="preserve"> </w:t>
      </w:r>
      <w:r>
        <w:rPr>
          <w:rFonts w:ascii="Times New Roman" w:hAnsi="Times New Roman"/>
        </w:rPr>
        <w:t>базу</w:t>
      </w:r>
      <w:r w:rsidR="001E0139" w:rsidRPr="00295637">
        <w:rPr>
          <w:rFonts w:ascii="Times New Roman" w:hAnsi="Times New Roman"/>
        </w:rPr>
        <w:t xml:space="preserve"> </w:t>
      </w:r>
      <w:r>
        <w:rPr>
          <w:rFonts w:ascii="Times New Roman" w:hAnsi="Times New Roman"/>
        </w:rPr>
        <w:t>података</w:t>
      </w:r>
      <w:r w:rsidR="001E0139" w:rsidRPr="00295637">
        <w:rPr>
          <w:rFonts w:ascii="Times New Roman" w:hAnsi="Times New Roman"/>
        </w:rPr>
        <w:t xml:space="preserve"> </w:t>
      </w:r>
      <w:r>
        <w:rPr>
          <w:rFonts w:ascii="Times New Roman" w:hAnsi="Times New Roman"/>
        </w:rPr>
        <w:t>персоналне</w:t>
      </w:r>
      <w:r w:rsidR="001E0139" w:rsidRPr="00295637">
        <w:rPr>
          <w:rFonts w:ascii="Times New Roman" w:hAnsi="Times New Roman"/>
        </w:rPr>
        <w:t xml:space="preserve"> </w:t>
      </w:r>
      <w:r>
        <w:rPr>
          <w:rFonts w:ascii="Times New Roman" w:hAnsi="Times New Roman"/>
        </w:rPr>
        <w:t>евиденције</w:t>
      </w:r>
      <w:r w:rsidR="001E0139" w:rsidRPr="00295637">
        <w:rPr>
          <w:rFonts w:ascii="Times New Roman" w:hAnsi="Times New Roman"/>
        </w:rPr>
        <w:t xml:space="preserve">, </w:t>
      </w:r>
      <w:r>
        <w:rPr>
          <w:rFonts w:ascii="Times New Roman" w:hAnsi="Times New Roman"/>
        </w:rPr>
        <w:t>војну</w:t>
      </w:r>
      <w:r w:rsidR="001E0139" w:rsidRPr="00295637">
        <w:rPr>
          <w:rFonts w:ascii="Times New Roman" w:hAnsi="Times New Roman"/>
        </w:rPr>
        <w:t xml:space="preserve"> </w:t>
      </w:r>
      <w:r>
        <w:rPr>
          <w:rFonts w:ascii="Times New Roman" w:hAnsi="Times New Roman"/>
        </w:rPr>
        <w:t>евиденцију</w:t>
      </w:r>
      <w:r w:rsidR="001E0139" w:rsidRPr="00295637">
        <w:rPr>
          <w:rFonts w:ascii="Times New Roman" w:hAnsi="Times New Roman"/>
        </w:rPr>
        <w:t xml:space="preserve"> </w:t>
      </w:r>
      <w:r>
        <w:rPr>
          <w:rFonts w:ascii="Times New Roman" w:hAnsi="Times New Roman"/>
        </w:rPr>
        <w:t>о</w:t>
      </w:r>
      <w:r w:rsidR="001E0139" w:rsidRPr="00295637">
        <w:rPr>
          <w:rFonts w:ascii="Times New Roman" w:hAnsi="Times New Roman"/>
        </w:rPr>
        <w:t xml:space="preserve"> </w:t>
      </w:r>
      <w:r>
        <w:rPr>
          <w:rFonts w:ascii="Times New Roman" w:hAnsi="Times New Roman"/>
        </w:rPr>
        <w:t>извршавању</w:t>
      </w:r>
      <w:r w:rsidR="001E0139" w:rsidRPr="00295637">
        <w:rPr>
          <w:rFonts w:ascii="Times New Roman" w:hAnsi="Times New Roman"/>
        </w:rPr>
        <w:t xml:space="preserve"> </w:t>
      </w:r>
      <w:r>
        <w:rPr>
          <w:rFonts w:ascii="Times New Roman" w:hAnsi="Times New Roman"/>
        </w:rPr>
        <w:t>дужности</w:t>
      </w:r>
      <w:r w:rsidR="001E0139" w:rsidRPr="00295637">
        <w:rPr>
          <w:rFonts w:ascii="Times New Roman" w:hAnsi="Times New Roman"/>
        </w:rPr>
        <w:t xml:space="preserve">, </w:t>
      </w:r>
      <w:r>
        <w:rPr>
          <w:rFonts w:ascii="Times New Roman" w:hAnsi="Times New Roman"/>
        </w:rPr>
        <w:t>књигу</w:t>
      </w:r>
      <w:r w:rsidR="001E0139" w:rsidRPr="00295637">
        <w:rPr>
          <w:rFonts w:ascii="Times New Roman" w:hAnsi="Times New Roman"/>
        </w:rPr>
        <w:t xml:space="preserve"> </w:t>
      </w:r>
      <w:r>
        <w:rPr>
          <w:rFonts w:ascii="Times New Roman" w:hAnsi="Times New Roman"/>
        </w:rPr>
        <w:t>евиденције</w:t>
      </w:r>
      <w:r w:rsidR="001E0139" w:rsidRPr="00295637">
        <w:rPr>
          <w:rFonts w:ascii="Times New Roman" w:hAnsi="Times New Roman"/>
        </w:rPr>
        <w:t xml:space="preserve"> </w:t>
      </w:r>
      <w:r>
        <w:rPr>
          <w:rFonts w:ascii="Times New Roman" w:hAnsi="Times New Roman"/>
        </w:rPr>
        <w:t>запослених</w:t>
      </w:r>
      <w:r w:rsidR="001E0139" w:rsidRPr="00295637">
        <w:rPr>
          <w:rFonts w:ascii="Times New Roman" w:hAnsi="Times New Roman"/>
        </w:rPr>
        <w:t xml:space="preserve">, </w:t>
      </w:r>
      <w:r>
        <w:rPr>
          <w:rFonts w:ascii="Times New Roman" w:hAnsi="Times New Roman"/>
        </w:rPr>
        <w:t>персонални</w:t>
      </w:r>
      <w:r w:rsidR="001E0139" w:rsidRPr="00295637">
        <w:rPr>
          <w:rFonts w:ascii="Times New Roman" w:hAnsi="Times New Roman"/>
        </w:rPr>
        <w:t xml:space="preserve"> </w:t>
      </w:r>
      <w:r>
        <w:rPr>
          <w:rFonts w:ascii="Times New Roman" w:hAnsi="Times New Roman"/>
        </w:rPr>
        <w:t>досије</w:t>
      </w:r>
      <w:r w:rsidR="001E0139" w:rsidRPr="00295637">
        <w:rPr>
          <w:rFonts w:ascii="Times New Roman" w:hAnsi="Times New Roman"/>
        </w:rPr>
        <w:t xml:space="preserve"> </w:t>
      </w:r>
      <w:r>
        <w:rPr>
          <w:rFonts w:ascii="Times New Roman" w:hAnsi="Times New Roman"/>
        </w:rPr>
        <w:t>запослених</w:t>
      </w:r>
      <w:r w:rsidR="001E0139" w:rsidRPr="00295637">
        <w:rPr>
          <w:rFonts w:ascii="Times New Roman" w:hAnsi="Times New Roman"/>
        </w:rPr>
        <w:t xml:space="preserve"> </w:t>
      </w:r>
      <w:r>
        <w:rPr>
          <w:rFonts w:ascii="Times New Roman" w:hAnsi="Times New Roman"/>
        </w:rPr>
        <w:t>и</w:t>
      </w:r>
      <w:r w:rsidR="004D5693" w:rsidRPr="00295637">
        <w:rPr>
          <w:rFonts w:ascii="Times New Roman" w:hAnsi="Times New Roman"/>
          <w:sz w:val="20"/>
        </w:rPr>
        <w:t xml:space="preserve"> </w:t>
      </w:r>
      <w:r>
        <w:rPr>
          <w:rFonts w:ascii="Times New Roman" w:hAnsi="Times New Roman"/>
        </w:rPr>
        <w:t>евиденцију</w:t>
      </w:r>
      <w:r w:rsidR="001E0139" w:rsidRPr="00295637">
        <w:rPr>
          <w:rFonts w:ascii="Times New Roman" w:hAnsi="Times New Roman"/>
        </w:rPr>
        <w:t xml:space="preserve"> </w:t>
      </w:r>
      <w:r>
        <w:rPr>
          <w:rFonts w:ascii="Times New Roman" w:hAnsi="Times New Roman"/>
        </w:rPr>
        <w:t>професионалних</w:t>
      </w:r>
      <w:r w:rsidR="001E0139" w:rsidRPr="00295637">
        <w:rPr>
          <w:rFonts w:ascii="Times New Roman" w:hAnsi="Times New Roman"/>
        </w:rPr>
        <w:t xml:space="preserve"> </w:t>
      </w:r>
      <w:r>
        <w:rPr>
          <w:rFonts w:ascii="Times New Roman" w:hAnsi="Times New Roman"/>
        </w:rPr>
        <w:t>војних</w:t>
      </w:r>
      <w:r w:rsidR="001E0139" w:rsidRPr="00295637">
        <w:rPr>
          <w:rFonts w:ascii="Times New Roman" w:hAnsi="Times New Roman"/>
        </w:rPr>
        <w:t xml:space="preserve"> </w:t>
      </w:r>
      <w:r>
        <w:rPr>
          <w:rFonts w:ascii="Times New Roman" w:hAnsi="Times New Roman"/>
        </w:rPr>
        <w:t>лица</w:t>
      </w:r>
      <w:r w:rsidR="001E0139" w:rsidRPr="00295637">
        <w:rPr>
          <w:rFonts w:ascii="Times New Roman" w:hAnsi="Times New Roman"/>
        </w:rPr>
        <w:t xml:space="preserve"> </w:t>
      </w:r>
      <w:r>
        <w:rPr>
          <w:rFonts w:ascii="Times New Roman" w:hAnsi="Times New Roman"/>
        </w:rPr>
        <w:t>којима</w:t>
      </w:r>
      <w:r w:rsidR="001E0139" w:rsidRPr="00295637">
        <w:rPr>
          <w:rFonts w:ascii="Times New Roman" w:hAnsi="Times New Roman"/>
        </w:rPr>
        <w:t xml:space="preserve"> </w:t>
      </w:r>
      <w:r>
        <w:rPr>
          <w:rFonts w:ascii="Times New Roman" w:hAnsi="Times New Roman"/>
        </w:rPr>
        <w:t>је</w:t>
      </w:r>
      <w:r w:rsidR="001E0139" w:rsidRPr="00295637">
        <w:rPr>
          <w:rFonts w:ascii="Times New Roman" w:hAnsi="Times New Roman"/>
        </w:rPr>
        <w:t xml:space="preserve"> </w:t>
      </w:r>
      <w:r>
        <w:rPr>
          <w:rFonts w:ascii="Times New Roman" w:hAnsi="Times New Roman"/>
        </w:rPr>
        <w:t>престала</w:t>
      </w:r>
      <w:r w:rsidR="001E0139" w:rsidRPr="00295637">
        <w:rPr>
          <w:rFonts w:ascii="Times New Roman" w:hAnsi="Times New Roman"/>
        </w:rPr>
        <w:t xml:space="preserve"> </w:t>
      </w:r>
      <w:r>
        <w:rPr>
          <w:rFonts w:ascii="Times New Roman" w:hAnsi="Times New Roman"/>
        </w:rPr>
        <w:t>служба</w:t>
      </w:r>
      <w:r w:rsidR="001E0139" w:rsidRPr="00295637">
        <w:rPr>
          <w:rFonts w:ascii="Times New Roman" w:hAnsi="Times New Roman"/>
        </w:rPr>
        <w:t xml:space="preserve">. </w:t>
      </w:r>
      <w:r>
        <w:rPr>
          <w:rFonts w:ascii="Times New Roman" w:hAnsi="Times New Roman"/>
        </w:rPr>
        <w:t>Сви</w:t>
      </w:r>
      <w:r w:rsidR="001E0139" w:rsidRPr="00295637">
        <w:rPr>
          <w:rFonts w:ascii="Times New Roman" w:hAnsi="Times New Roman"/>
        </w:rPr>
        <w:t xml:space="preserve"> </w:t>
      </w:r>
      <w:r>
        <w:rPr>
          <w:rFonts w:ascii="Times New Roman" w:hAnsi="Times New Roman"/>
        </w:rPr>
        <w:t>подаци</w:t>
      </w:r>
      <w:r w:rsidR="001E0139" w:rsidRPr="00295637">
        <w:rPr>
          <w:rFonts w:ascii="Times New Roman" w:hAnsi="Times New Roman"/>
        </w:rPr>
        <w:t xml:space="preserve"> </w:t>
      </w:r>
      <w:r>
        <w:rPr>
          <w:rFonts w:ascii="Times New Roman" w:hAnsi="Times New Roman"/>
        </w:rPr>
        <w:t>који</w:t>
      </w:r>
      <w:r w:rsidR="001E0139" w:rsidRPr="00295637">
        <w:rPr>
          <w:rFonts w:ascii="Times New Roman" w:hAnsi="Times New Roman"/>
        </w:rPr>
        <w:t xml:space="preserve"> </w:t>
      </w:r>
      <w:r>
        <w:rPr>
          <w:rFonts w:ascii="Times New Roman" w:hAnsi="Times New Roman"/>
        </w:rPr>
        <w:t>се</w:t>
      </w:r>
      <w:r w:rsidR="001E0139" w:rsidRPr="00295637">
        <w:rPr>
          <w:rFonts w:ascii="Times New Roman" w:hAnsi="Times New Roman"/>
        </w:rPr>
        <w:t xml:space="preserve"> </w:t>
      </w:r>
      <w:r>
        <w:rPr>
          <w:rFonts w:ascii="Times New Roman" w:hAnsi="Times New Roman"/>
        </w:rPr>
        <w:t>прикупљају</w:t>
      </w:r>
      <w:r w:rsidR="004D5693" w:rsidRPr="00295637">
        <w:rPr>
          <w:rFonts w:ascii="Times New Roman" w:hAnsi="Times New Roman"/>
        </w:rPr>
        <w:t xml:space="preserve">, </w:t>
      </w:r>
      <w:r>
        <w:rPr>
          <w:rFonts w:ascii="Times New Roman" w:hAnsi="Times New Roman"/>
        </w:rPr>
        <w:t>евидентирају</w:t>
      </w:r>
      <w:r w:rsidR="004D5693" w:rsidRPr="00295637">
        <w:rPr>
          <w:rFonts w:ascii="Times New Roman" w:hAnsi="Times New Roman"/>
        </w:rPr>
        <w:t xml:space="preserve"> </w:t>
      </w:r>
      <w:r>
        <w:rPr>
          <w:rFonts w:ascii="Times New Roman" w:hAnsi="Times New Roman"/>
        </w:rPr>
        <w:t>и</w:t>
      </w:r>
      <w:r w:rsidR="004D5693" w:rsidRPr="00295637">
        <w:rPr>
          <w:rFonts w:ascii="Times New Roman" w:hAnsi="Times New Roman"/>
        </w:rPr>
        <w:t xml:space="preserve"> </w:t>
      </w:r>
      <w:r>
        <w:rPr>
          <w:rFonts w:ascii="Times New Roman" w:hAnsi="Times New Roman"/>
        </w:rPr>
        <w:t>обрађују</w:t>
      </w:r>
      <w:r w:rsidR="001E0139" w:rsidRPr="00295637">
        <w:rPr>
          <w:rFonts w:ascii="Times New Roman" w:hAnsi="Times New Roman"/>
        </w:rPr>
        <w:t xml:space="preserve"> </w:t>
      </w:r>
      <w:r>
        <w:rPr>
          <w:rFonts w:ascii="Times New Roman" w:hAnsi="Times New Roman"/>
        </w:rPr>
        <w:t>су</w:t>
      </w:r>
      <w:r w:rsidR="001E0139" w:rsidRPr="00295637">
        <w:rPr>
          <w:rFonts w:ascii="Times New Roman" w:hAnsi="Times New Roman"/>
        </w:rPr>
        <w:t xml:space="preserve"> </w:t>
      </w:r>
      <w:r>
        <w:rPr>
          <w:rFonts w:ascii="Times New Roman" w:hAnsi="Times New Roman"/>
        </w:rPr>
        <w:t>разврстани</w:t>
      </w:r>
      <w:r w:rsidR="00DC19C9">
        <w:rPr>
          <w:rFonts w:ascii="Times New Roman" w:hAnsi="Times New Roman"/>
        </w:rPr>
        <w:t xml:space="preserve"> </w:t>
      </w:r>
      <w:r>
        <w:rPr>
          <w:rFonts w:ascii="Times New Roman" w:hAnsi="Times New Roman"/>
        </w:rPr>
        <w:t>по</w:t>
      </w:r>
      <w:r w:rsidR="00DC19C9">
        <w:rPr>
          <w:rFonts w:ascii="Times New Roman" w:hAnsi="Times New Roman"/>
        </w:rPr>
        <w:t xml:space="preserve"> </w:t>
      </w:r>
      <w:r>
        <w:rPr>
          <w:rFonts w:ascii="Times New Roman" w:hAnsi="Times New Roman"/>
        </w:rPr>
        <w:t>полу</w:t>
      </w:r>
      <w:r w:rsidR="00DC19C9">
        <w:rPr>
          <w:rFonts w:ascii="Times New Roman" w:hAnsi="Times New Roman"/>
        </w:rPr>
        <w:t xml:space="preserve">, </w:t>
      </w:r>
      <w:r>
        <w:rPr>
          <w:rFonts w:ascii="Times New Roman" w:hAnsi="Times New Roman"/>
        </w:rPr>
        <w:t>што</w:t>
      </w:r>
      <w:r w:rsidR="00DC19C9">
        <w:rPr>
          <w:rFonts w:ascii="Times New Roman" w:hAnsi="Times New Roman"/>
        </w:rPr>
        <w:t xml:space="preserve"> </w:t>
      </w:r>
      <w:r>
        <w:rPr>
          <w:rFonts w:ascii="Times New Roman" w:hAnsi="Times New Roman"/>
        </w:rPr>
        <w:t>представља</w:t>
      </w:r>
      <w:r w:rsidR="00DC19C9">
        <w:rPr>
          <w:rFonts w:ascii="Times New Roman" w:hAnsi="Times New Roman"/>
        </w:rPr>
        <w:t xml:space="preserve"> </w:t>
      </w:r>
      <w:r>
        <w:rPr>
          <w:rFonts w:ascii="Times New Roman" w:hAnsi="Times New Roman"/>
        </w:rPr>
        <w:t>обавезу</w:t>
      </w:r>
      <w:r w:rsidR="001E0139" w:rsidRPr="00295637">
        <w:rPr>
          <w:rFonts w:ascii="Times New Roman" w:hAnsi="Times New Roman"/>
        </w:rPr>
        <w:t xml:space="preserve"> </w:t>
      </w:r>
      <w:r>
        <w:rPr>
          <w:rFonts w:ascii="Times New Roman" w:hAnsi="Times New Roman"/>
        </w:rPr>
        <w:t>према</w:t>
      </w:r>
      <w:r w:rsidR="001E0139" w:rsidRPr="00295637">
        <w:rPr>
          <w:rFonts w:ascii="Times New Roman" w:hAnsi="Times New Roman"/>
        </w:rPr>
        <w:t xml:space="preserve"> </w:t>
      </w:r>
      <w:r>
        <w:rPr>
          <w:rFonts w:ascii="Times New Roman" w:hAnsi="Times New Roman"/>
        </w:rPr>
        <w:t>ЗоР</w:t>
      </w:r>
      <w:r w:rsidR="004549B1">
        <w:rPr>
          <w:rFonts w:ascii="Times New Roman" w:hAnsi="Times New Roman"/>
          <w:lang w:val="sr-Cyrl-BA"/>
        </w:rPr>
        <w:t>П</w:t>
      </w:r>
      <w:r w:rsidR="002F6C26" w:rsidRPr="00295637">
        <w:rPr>
          <w:rFonts w:ascii="Times New Roman" w:hAnsi="Times New Roman"/>
        </w:rPr>
        <w:t>-</w:t>
      </w:r>
      <w:r>
        <w:rPr>
          <w:rFonts w:ascii="Times New Roman" w:hAnsi="Times New Roman"/>
        </w:rPr>
        <w:t>у</w:t>
      </w:r>
      <w:r w:rsidR="001E0139" w:rsidRPr="00295637">
        <w:rPr>
          <w:rFonts w:ascii="Times New Roman" w:hAnsi="Times New Roman"/>
        </w:rPr>
        <w:t xml:space="preserve">. </w:t>
      </w:r>
      <w:r>
        <w:rPr>
          <w:rFonts w:ascii="Times New Roman" w:hAnsi="Times New Roman"/>
        </w:rPr>
        <w:t>Све</w:t>
      </w:r>
      <w:r w:rsidR="001E0139" w:rsidRPr="00295637">
        <w:rPr>
          <w:rFonts w:ascii="Times New Roman" w:hAnsi="Times New Roman"/>
        </w:rPr>
        <w:t xml:space="preserve"> </w:t>
      </w:r>
      <w:r>
        <w:rPr>
          <w:rFonts w:ascii="Times New Roman" w:hAnsi="Times New Roman"/>
        </w:rPr>
        <w:t>организаци</w:t>
      </w:r>
      <w:r w:rsidR="004549B1">
        <w:rPr>
          <w:rFonts w:ascii="Times New Roman" w:hAnsi="Times New Roman"/>
          <w:lang w:val="sr-Cyrl-BA"/>
        </w:rPr>
        <w:t>оне</w:t>
      </w:r>
      <w:r w:rsidR="001E0139" w:rsidRPr="00295637">
        <w:rPr>
          <w:rFonts w:ascii="Times New Roman" w:hAnsi="Times New Roman"/>
        </w:rPr>
        <w:t xml:space="preserve"> </w:t>
      </w:r>
      <w:r>
        <w:rPr>
          <w:rFonts w:ascii="Times New Roman" w:hAnsi="Times New Roman"/>
        </w:rPr>
        <w:t>јединице</w:t>
      </w:r>
      <w:r w:rsidR="001E0139" w:rsidRPr="00295637">
        <w:rPr>
          <w:rFonts w:ascii="Times New Roman" w:hAnsi="Times New Roman"/>
        </w:rPr>
        <w:t xml:space="preserve"> </w:t>
      </w:r>
      <w:r>
        <w:rPr>
          <w:rFonts w:ascii="Times New Roman" w:hAnsi="Times New Roman"/>
        </w:rPr>
        <w:t>МО</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Заједнички</w:t>
      </w:r>
      <w:r w:rsidR="001E0139" w:rsidRPr="00295637">
        <w:rPr>
          <w:rFonts w:ascii="Times New Roman" w:hAnsi="Times New Roman"/>
        </w:rPr>
        <w:t xml:space="preserve"> </w:t>
      </w:r>
      <w:r>
        <w:rPr>
          <w:rFonts w:ascii="Times New Roman" w:hAnsi="Times New Roman"/>
        </w:rPr>
        <w:t>штаб</w:t>
      </w:r>
      <w:r w:rsidR="001E0139" w:rsidRPr="00295637">
        <w:rPr>
          <w:rFonts w:ascii="Times New Roman" w:hAnsi="Times New Roman"/>
        </w:rPr>
        <w:t xml:space="preserve"> </w:t>
      </w:r>
      <w:r>
        <w:rPr>
          <w:rFonts w:ascii="Times New Roman" w:hAnsi="Times New Roman"/>
        </w:rPr>
        <w:t>ОС</w:t>
      </w:r>
      <w:r w:rsidR="001E0139" w:rsidRPr="00295637">
        <w:rPr>
          <w:rFonts w:ascii="Times New Roman" w:hAnsi="Times New Roman"/>
        </w:rPr>
        <w:t xml:space="preserve"> </w:t>
      </w:r>
      <w:r>
        <w:rPr>
          <w:rFonts w:ascii="Times New Roman" w:hAnsi="Times New Roman"/>
        </w:rPr>
        <w:t>упознати</w:t>
      </w:r>
      <w:r w:rsidR="001E0139" w:rsidRPr="00295637">
        <w:rPr>
          <w:rFonts w:ascii="Times New Roman" w:hAnsi="Times New Roman"/>
        </w:rPr>
        <w:t xml:space="preserve"> </w:t>
      </w:r>
      <w:r>
        <w:rPr>
          <w:rFonts w:ascii="Times New Roman" w:hAnsi="Times New Roman"/>
        </w:rPr>
        <w:t>су</w:t>
      </w:r>
      <w:r w:rsidR="00DC19C9" w:rsidRPr="00295637">
        <w:rPr>
          <w:rFonts w:ascii="Times New Roman" w:hAnsi="Times New Roman"/>
        </w:rPr>
        <w:t xml:space="preserve"> </w:t>
      </w:r>
      <w:r>
        <w:rPr>
          <w:rFonts w:ascii="Times New Roman" w:hAnsi="Times New Roman"/>
        </w:rPr>
        <w:t>са</w:t>
      </w:r>
      <w:r w:rsidR="001E0139" w:rsidRPr="00295637">
        <w:rPr>
          <w:rFonts w:ascii="Times New Roman" w:hAnsi="Times New Roman"/>
        </w:rPr>
        <w:t xml:space="preserve"> </w:t>
      </w:r>
      <w:r>
        <w:rPr>
          <w:rFonts w:ascii="Times New Roman" w:hAnsi="Times New Roman"/>
        </w:rPr>
        <w:t>Оп</w:t>
      </w:r>
      <w:r w:rsidR="004549B1">
        <w:rPr>
          <w:rFonts w:ascii="Times New Roman" w:hAnsi="Times New Roman"/>
          <w:lang w:val="sr-Cyrl-BA"/>
        </w:rPr>
        <w:t>шт</w:t>
      </w:r>
      <w:r>
        <w:rPr>
          <w:rFonts w:ascii="Times New Roman" w:hAnsi="Times New Roman"/>
        </w:rPr>
        <w:t>им</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специфичним</w:t>
      </w:r>
      <w:r w:rsidR="001E0139" w:rsidRPr="00295637">
        <w:rPr>
          <w:rFonts w:ascii="Times New Roman" w:hAnsi="Times New Roman"/>
        </w:rPr>
        <w:t xml:space="preserve"> </w:t>
      </w:r>
      <w:r>
        <w:rPr>
          <w:rFonts w:ascii="Times New Roman" w:hAnsi="Times New Roman"/>
        </w:rPr>
        <w:t>препорукама</w:t>
      </w:r>
      <w:r w:rsidR="001E0139" w:rsidRPr="00295637">
        <w:rPr>
          <w:rFonts w:ascii="Times New Roman" w:hAnsi="Times New Roman"/>
        </w:rPr>
        <w:t xml:space="preserve"> </w:t>
      </w:r>
      <w:r>
        <w:rPr>
          <w:rFonts w:ascii="Times New Roman" w:hAnsi="Times New Roman"/>
        </w:rPr>
        <w:t>АР</w:t>
      </w:r>
      <w:r w:rsidR="004549B1">
        <w:rPr>
          <w:rFonts w:ascii="Times New Roman" w:hAnsi="Times New Roman"/>
          <w:lang w:val="sr-Cyrl-BA"/>
        </w:rPr>
        <w:t>П</w:t>
      </w:r>
      <w:r w:rsidR="00DC19C9">
        <w:rPr>
          <w:rFonts w:ascii="Times New Roman" w:hAnsi="Times New Roman"/>
        </w:rPr>
        <w:t xml:space="preserve"> </w:t>
      </w:r>
      <w:r>
        <w:rPr>
          <w:rFonts w:ascii="Times New Roman" w:hAnsi="Times New Roman"/>
        </w:rPr>
        <w:t>БиХ</w:t>
      </w:r>
      <w:r w:rsidR="00DC19C9">
        <w:rPr>
          <w:rFonts w:ascii="Times New Roman" w:hAnsi="Times New Roman"/>
        </w:rPr>
        <w:t xml:space="preserve"> </w:t>
      </w:r>
      <w:r>
        <w:rPr>
          <w:rFonts w:ascii="Times New Roman" w:hAnsi="Times New Roman"/>
        </w:rPr>
        <w:t>МЉПИ</w:t>
      </w:r>
      <w:r w:rsidR="00DC19C9">
        <w:rPr>
          <w:rFonts w:ascii="Times New Roman" w:hAnsi="Times New Roman"/>
        </w:rPr>
        <w:t xml:space="preserve"> </w:t>
      </w:r>
      <w:r>
        <w:rPr>
          <w:rFonts w:ascii="Times New Roman" w:hAnsi="Times New Roman"/>
        </w:rPr>
        <w:t>БиХ</w:t>
      </w:r>
      <w:r w:rsidR="001E0139" w:rsidRPr="00295637">
        <w:rPr>
          <w:rFonts w:ascii="Times New Roman" w:hAnsi="Times New Roman"/>
        </w:rPr>
        <w:t xml:space="preserve">, </w:t>
      </w:r>
      <w:r>
        <w:rPr>
          <w:rFonts w:ascii="Times New Roman" w:hAnsi="Times New Roman"/>
        </w:rPr>
        <w:t>за</w:t>
      </w:r>
      <w:r w:rsidR="001E0139" w:rsidRPr="00295637">
        <w:rPr>
          <w:rFonts w:ascii="Times New Roman" w:hAnsi="Times New Roman"/>
        </w:rPr>
        <w:t xml:space="preserve"> </w:t>
      </w:r>
      <w:r>
        <w:rPr>
          <w:rFonts w:ascii="Times New Roman" w:hAnsi="Times New Roman"/>
        </w:rPr>
        <w:t>унапређење</w:t>
      </w:r>
      <w:r w:rsidR="001E0139" w:rsidRPr="00295637">
        <w:rPr>
          <w:rFonts w:ascii="Times New Roman" w:hAnsi="Times New Roman"/>
        </w:rPr>
        <w:t xml:space="preserve"> </w:t>
      </w:r>
      <w:r>
        <w:rPr>
          <w:rFonts w:ascii="Times New Roman" w:hAnsi="Times New Roman"/>
        </w:rPr>
        <w:t>родно</w:t>
      </w:r>
      <w:r w:rsidR="001E0139" w:rsidRPr="00295637">
        <w:rPr>
          <w:rFonts w:ascii="Times New Roman" w:hAnsi="Times New Roman"/>
        </w:rPr>
        <w:t xml:space="preserve"> </w:t>
      </w:r>
      <w:r>
        <w:rPr>
          <w:rFonts w:ascii="Times New Roman" w:hAnsi="Times New Roman"/>
        </w:rPr>
        <w:t>осјетљиве</w:t>
      </w:r>
      <w:r w:rsidR="001E0139" w:rsidRPr="00295637">
        <w:rPr>
          <w:rFonts w:ascii="Times New Roman" w:hAnsi="Times New Roman"/>
        </w:rPr>
        <w:t xml:space="preserve"> </w:t>
      </w:r>
      <w:r>
        <w:rPr>
          <w:rFonts w:ascii="Times New Roman" w:hAnsi="Times New Roman"/>
        </w:rPr>
        <w:t>статистике</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задужени</w:t>
      </w:r>
      <w:r w:rsidR="001E0139" w:rsidRPr="00295637">
        <w:rPr>
          <w:rFonts w:ascii="Times New Roman" w:hAnsi="Times New Roman"/>
        </w:rPr>
        <w:t xml:space="preserve"> </w:t>
      </w:r>
      <w:r>
        <w:rPr>
          <w:rFonts w:ascii="Times New Roman" w:hAnsi="Times New Roman"/>
        </w:rPr>
        <w:t>да</w:t>
      </w:r>
      <w:r w:rsidR="001E0139" w:rsidRPr="00295637">
        <w:rPr>
          <w:rFonts w:ascii="Times New Roman" w:hAnsi="Times New Roman"/>
        </w:rPr>
        <w:t xml:space="preserve"> </w:t>
      </w:r>
      <w:r>
        <w:rPr>
          <w:rFonts w:ascii="Times New Roman" w:hAnsi="Times New Roman"/>
        </w:rPr>
        <w:t>поступају</w:t>
      </w:r>
      <w:r w:rsidR="001E0139" w:rsidRPr="00295637">
        <w:rPr>
          <w:rFonts w:ascii="Times New Roman" w:hAnsi="Times New Roman"/>
        </w:rPr>
        <w:t xml:space="preserve"> </w:t>
      </w:r>
      <w:r>
        <w:rPr>
          <w:rFonts w:ascii="Times New Roman" w:hAnsi="Times New Roman"/>
        </w:rPr>
        <w:t>по</w:t>
      </w:r>
      <w:r w:rsidR="001E0139" w:rsidRPr="00295637">
        <w:rPr>
          <w:rFonts w:ascii="Times New Roman" w:hAnsi="Times New Roman"/>
        </w:rPr>
        <w:t xml:space="preserve"> </w:t>
      </w:r>
      <w:r>
        <w:rPr>
          <w:rFonts w:ascii="Times New Roman" w:hAnsi="Times New Roman"/>
        </w:rPr>
        <w:t>истим</w:t>
      </w:r>
      <w:r w:rsidR="001E0139" w:rsidRPr="00295637">
        <w:rPr>
          <w:rFonts w:ascii="Times New Roman" w:hAnsi="Times New Roman"/>
        </w:rPr>
        <w:t>.</w:t>
      </w:r>
    </w:p>
    <w:p w:rsidR="00C11BD5" w:rsidRPr="00295637" w:rsidRDefault="00C11BD5" w:rsidP="0086268D">
      <w:pPr>
        <w:ind w:right="149"/>
        <w:jc w:val="both"/>
        <w:rPr>
          <w:rFonts w:ascii="Times New Roman" w:hAnsi="Times New Roman"/>
        </w:rPr>
      </w:pPr>
    </w:p>
    <w:p w:rsidR="00392985" w:rsidRPr="00295637" w:rsidRDefault="00C6214E" w:rsidP="0086268D">
      <w:pPr>
        <w:ind w:right="149"/>
        <w:jc w:val="both"/>
        <w:rPr>
          <w:rFonts w:ascii="Times New Roman" w:hAnsi="Times New Roman"/>
        </w:rPr>
      </w:pPr>
      <w:r>
        <w:rPr>
          <w:rFonts w:ascii="Times New Roman" w:hAnsi="Times New Roman"/>
        </w:rPr>
        <w:t>МО</w:t>
      </w:r>
      <w:r w:rsidR="006F27CF" w:rsidRPr="00295637">
        <w:rPr>
          <w:rFonts w:ascii="Times New Roman" w:hAnsi="Times New Roman"/>
        </w:rPr>
        <w:t xml:space="preserve"> </w:t>
      </w:r>
      <w:r>
        <w:rPr>
          <w:rFonts w:ascii="Times New Roman" w:hAnsi="Times New Roman"/>
        </w:rPr>
        <w:t>БиХ</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ОС</w:t>
      </w:r>
      <w:r w:rsidR="009E54A2" w:rsidRPr="00295637">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Pr>
          <w:rFonts w:ascii="Times New Roman" w:hAnsi="Times New Roman"/>
        </w:rPr>
        <w:t>ажурирају</w:t>
      </w:r>
      <w:r w:rsidR="001E0139" w:rsidRPr="00295637">
        <w:rPr>
          <w:rFonts w:ascii="Times New Roman" w:hAnsi="Times New Roman"/>
        </w:rPr>
        <w:t xml:space="preserve"> </w:t>
      </w:r>
      <w:r>
        <w:rPr>
          <w:rFonts w:ascii="Times New Roman" w:hAnsi="Times New Roman"/>
        </w:rPr>
        <w:t>базу</w:t>
      </w:r>
      <w:r w:rsidR="001E0139" w:rsidRPr="00295637">
        <w:rPr>
          <w:rFonts w:ascii="Times New Roman" w:hAnsi="Times New Roman"/>
        </w:rPr>
        <w:t xml:space="preserve"> </w:t>
      </w:r>
      <w:r>
        <w:rPr>
          <w:rFonts w:ascii="Times New Roman" w:hAnsi="Times New Roman"/>
        </w:rPr>
        <w:t>података</w:t>
      </w:r>
      <w:r w:rsidR="001E0139" w:rsidRPr="00295637">
        <w:rPr>
          <w:rFonts w:ascii="Times New Roman" w:hAnsi="Times New Roman"/>
        </w:rPr>
        <w:t xml:space="preserve"> </w:t>
      </w:r>
      <w:r>
        <w:rPr>
          <w:rFonts w:ascii="Times New Roman" w:hAnsi="Times New Roman"/>
        </w:rPr>
        <w:t>о</w:t>
      </w:r>
      <w:r w:rsidR="001E0139" w:rsidRPr="00295637">
        <w:rPr>
          <w:rFonts w:ascii="Times New Roman" w:hAnsi="Times New Roman"/>
        </w:rPr>
        <w:t xml:space="preserve"> </w:t>
      </w:r>
      <w:r>
        <w:rPr>
          <w:rFonts w:ascii="Times New Roman" w:hAnsi="Times New Roman"/>
        </w:rPr>
        <w:t>заступљености</w:t>
      </w:r>
      <w:r w:rsidR="001E0139" w:rsidRPr="00295637">
        <w:rPr>
          <w:rFonts w:ascii="Times New Roman" w:hAnsi="Times New Roman"/>
        </w:rPr>
        <w:t xml:space="preserve"> </w:t>
      </w:r>
      <w:r>
        <w:rPr>
          <w:rFonts w:ascii="Times New Roman" w:hAnsi="Times New Roman"/>
        </w:rPr>
        <w:t>жена</w:t>
      </w:r>
      <w:r w:rsidR="001E0139" w:rsidRPr="00295637">
        <w:rPr>
          <w:rFonts w:ascii="Times New Roman" w:hAnsi="Times New Roman"/>
        </w:rPr>
        <w:t xml:space="preserve"> </w:t>
      </w:r>
      <w:r>
        <w:rPr>
          <w:rFonts w:ascii="Times New Roman" w:hAnsi="Times New Roman"/>
        </w:rPr>
        <w:t>у</w:t>
      </w:r>
      <w:r w:rsidR="001E0139" w:rsidRPr="00295637">
        <w:rPr>
          <w:rFonts w:ascii="Times New Roman" w:hAnsi="Times New Roman"/>
        </w:rPr>
        <w:t xml:space="preserve"> </w:t>
      </w:r>
      <w:r>
        <w:rPr>
          <w:rFonts w:ascii="Times New Roman" w:hAnsi="Times New Roman"/>
        </w:rPr>
        <w:t>војним</w:t>
      </w:r>
      <w:r w:rsidR="001E0139" w:rsidRPr="00295637">
        <w:rPr>
          <w:rFonts w:ascii="Times New Roman" w:hAnsi="Times New Roman"/>
        </w:rPr>
        <w:t xml:space="preserve"> </w:t>
      </w:r>
      <w:r>
        <w:rPr>
          <w:rFonts w:ascii="Times New Roman" w:hAnsi="Times New Roman"/>
        </w:rPr>
        <w:t>структурама</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базу</w:t>
      </w:r>
      <w:r w:rsidR="001E0139" w:rsidRPr="00295637">
        <w:rPr>
          <w:rFonts w:ascii="Times New Roman" w:hAnsi="Times New Roman"/>
        </w:rPr>
        <w:t xml:space="preserve"> </w:t>
      </w:r>
      <w:r>
        <w:rPr>
          <w:rFonts w:ascii="Times New Roman" w:hAnsi="Times New Roman"/>
        </w:rPr>
        <w:t>података</w:t>
      </w:r>
      <w:r w:rsidR="001E0139" w:rsidRPr="00295637">
        <w:rPr>
          <w:rFonts w:ascii="Times New Roman" w:hAnsi="Times New Roman"/>
        </w:rPr>
        <w:t xml:space="preserve"> </w:t>
      </w:r>
      <w:r>
        <w:rPr>
          <w:rFonts w:ascii="Times New Roman" w:hAnsi="Times New Roman"/>
        </w:rPr>
        <w:t>о</w:t>
      </w:r>
      <w:r w:rsidR="001E0139" w:rsidRPr="00295637">
        <w:rPr>
          <w:rFonts w:ascii="Times New Roman" w:hAnsi="Times New Roman"/>
        </w:rPr>
        <w:t xml:space="preserve"> </w:t>
      </w:r>
      <w:r>
        <w:rPr>
          <w:rFonts w:ascii="Times New Roman" w:hAnsi="Times New Roman"/>
        </w:rPr>
        <w:t>учешћу</w:t>
      </w:r>
      <w:r w:rsidR="001E0139" w:rsidRPr="00295637">
        <w:rPr>
          <w:rFonts w:ascii="Times New Roman" w:hAnsi="Times New Roman"/>
        </w:rPr>
        <w:t xml:space="preserve"> </w:t>
      </w:r>
      <w:r>
        <w:rPr>
          <w:rFonts w:ascii="Times New Roman" w:hAnsi="Times New Roman"/>
        </w:rPr>
        <w:t>у</w:t>
      </w:r>
      <w:r w:rsidR="001E0139" w:rsidRPr="00295637">
        <w:rPr>
          <w:rFonts w:ascii="Times New Roman" w:hAnsi="Times New Roman"/>
        </w:rPr>
        <w:t xml:space="preserve"> </w:t>
      </w:r>
      <w:r>
        <w:rPr>
          <w:rFonts w:ascii="Times New Roman" w:hAnsi="Times New Roman"/>
        </w:rPr>
        <w:t>мировним</w:t>
      </w:r>
      <w:r w:rsidR="001E0139" w:rsidRPr="00295637">
        <w:rPr>
          <w:rFonts w:ascii="Times New Roman" w:hAnsi="Times New Roman"/>
        </w:rPr>
        <w:t xml:space="preserve"> </w:t>
      </w:r>
      <w:r>
        <w:rPr>
          <w:rFonts w:ascii="Times New Roman" w:hAnsi="Times New Roman"/>
        </w:rPr>
        <w:t>мисијама</w:t>
      </w:r>
      <w:r w:rsidR="001E0139" w:rsidRPr="00295637">
        <w:rPr>
          <w:rFonts w:ascii="Times New Roman" w:hAnsi="Times New Roman"/>
        </w:rPr>
        <w:t xml:space="preserve"> </w:t>
      </w:r>
      <w:r>
        <w:rPr>
          <w:rFonts w:ascii="Times New Roman" w:hAnsi="Times New Roman"/>
        </w:rPr>
        <w:t>које</w:t>
      </w:r>
      <w:r w:rsidR="001E0139" w:rsidRPr="00295637">
        <w:rPr>
          <w:rFonts w:ascii="Times New Roman" w:hAnsi="Times New Roman"/>
        </w:rPr>
        <w:t xml:space="preserve"> </w:t>
      </w:r>
      <w:r>
        <w:rPr>
          <w:rFonts w:ascii="Times New Roman" w:hAnsi="Times New Roman"/>
        </w:rPr>
        <w:t>су</w:t>
      </w:r>
      <w:r w:rsidR="001E0139" w:rsidRPr="00295637">
        <w:rPr>
          <w:rFonts w:ascii="Times New Roman" w:hAnsi="Times New Roman"/>
        </w:rPr>
        <w:t xml:space="preserve"> </w:t>
      </w:r>
      <w:r>
        <w:rPr>
          <w:rFonts w:ascii="Times New Roman" w:hAnsi="Times New Roman"/>
        </w:rPr>
        <w:t>разврстане</w:t>
      </w:r>
      <w:r w:rsidR="001E0139" w:rsidRPr="00295637">
        <w:rPr>
          <w:rFonts w:ascii="Times New Roman" w:hAnsi="Times New Roman"/>
        </w:rPr>
        <w:t xml:space="preserve"> </w:t>
      </w:r>
      <w:r>
        <w:rPr>
          <w:rFonts w:ascii="Times New Roman" w:hAnsi="Times New Roman"/>
        </w:rPr>
        <w:t>по</w:t>
      </w:r>
      <w:r w:rsidR="001E0139" w:rsidRPr="00295637">
        <w:rPr>
          <w:rFonts w:ascii="Times New Roman" w:hAnsi="Times New Roman"/>
        </w:rPr>
        <w:t xml:space="preserve"> </w:t>
      </w:r>
      <w:r>
        <w:rPr>
          <w:rFonts w:ascii="Times New Roman" w:hAnsi="Times New Roman"/>
        </w:rPr>
        <w:t>полу</w:t>
      </w:r>
      <w:r w:rsidR="001E0139" w:rsidRPr="00295637">
        <w:rPr>
          <w:rFonts w:ascii="Times New Roman" w:hAnsi="Times New Roman"/>
        </w:rPr>
        <w:t xml:space="preserve">. </w:t>
      </w:r>
      <w:r>
        <w:rPr>
          <w:rFonts w:ascii="Times New Roman" w:hAnsi="Times New Roman"/>
        </w:rPr>
        <w:t>Креирана</w:t>
      </w:r>
      <w:r w:rsidR="001E0139" w:rsidRPr="00295637">
        <w:rPr>
          <w:rFonts w:ascii="Times New Roman" w:hAnsi="Times New Roman"/>
        </w:rPr>
        <w:t xml:space="preserve"> </w:t>
      </w:r>
      <w:r>
        <w:rPr>
          <w:rFonts w:ascii="Times New Roman" w:hAnsi="Times New Roman"/>
        </w:rPr>
        <w:t>је</w:t>
      </w:r>
      <w:r w:rsidR="001E0139" w:rsidRPr="00295637">
        <w:rPr>
          <w:rFonts w:ascii="Times New Roman" w:hAnsi="Times New Roman"/>
        </w:rPr>
        <w:t xml:space="preserve"> </w:t>
      </w:r>
      <w:r>
        <w:rPr>
          <w:rFonts w:ascii="Times New Roman" w:hAnsi="Times New Roman"/>
        </w:rPr>
        <w:t>база</w:t>
      </w:r>
      <w:r w:rsidR="001E0139" w:rsidRPr="00295637">
        <w:rPr>
          <w:rFonts w:ascii="Times New Roman" w:hAnsi="Times New Roman"/>
        </w:rPr>
        <w:t xml:space="preserve"> </w:t>
      </w:r>
      <w:r>
        <w:rPr>
          <w:rFonts w:ascii="Times New Roman" w:hAnsi="Times New Roman"/>
        </w:rPr>
        <w:t>података</w:t>
      </w:r>
      <w:r w:rsidR="001E0139" w:rsidRPr="00295637">
        <w:rPr>
          <w:rFonts w:ascii="Times New Roman" w:hAnsi="Times New Roman"/>
        </w:rPr>
        <w:t xml:space="preserve"> </w:t>
      </w:r>
      <w:r>
        <w:rPr>
          <w:rFonts w:ascii="Times New Roman" w:hAnsi="Times New Roman"/>
        </w:rPr>
        <w:t>лица</w:t>
      </w:r>
      <w:r w:rsidR="001E0139" w:rsidRPr="00295637">
        <w:rPr>
          <w:rFonts w:ascii="Times New Roman" w:hAnsi="Times New Roman"/>
        </w:rPr>
        <w:t xml:space="preserve"> </w:t>
      </w:r>
      <w:r>
        <w:rPr>
          <w:rFonts w:ascii="Times New Roman" w:hAnsi="Times New Roman"/>
        </w:rPr>
        <w:t>која</w:t>
      </w:r>
      <w:r w:rsidR="001E0139" w:rsidRPr="00295637">
        <w:rPr>
          <w:rFonts w:ascii="Times New Roman" w:hAnsi="Times New Roman"/>
        </w:rPr>
        <w:t xml:space="preserve"> </w:t>
      </w:r>
      <w:r>
        <w:rPr>
          <w:rFonts w:ascii="Times New Roman" w:hAnsi="Times New Roman"/>
        </w:rPr>
        <w:t>су</w:t>
      </w:r>
      <w:r w:rsidR="001E0139" w:rsidRPr="00295637">
        <w:rPr>
          <w:rFonts w:ascii="Times New Roman" w:hAnsi="Times New Roman"/>
        </w:rPr>
        <w:t xml:space="preserve"> </w:t>
      </w:r>
      <w:r>
        <w:rPr>
          <w:rFonts w:ascii="Times New Roman" w:hAnsi="Times New Roman"/>
        </w:rPr>
        <w:t>стека</w:t>
      </w:r>
      <w:r w:rsidR="001E0139" w:rsidRPr="00295637">
        <w:rPr>
          <w:rFonts w:ascii="Times New Roman" w:hAnsi="Times New Roman"/>
        </w:rPr>
        <w:t xml:space="preserve"> </w:t>
      </w:r>
      <w:r>
        <w:rPr>
          <w:rFonts w:ascii="Times New Roman" w:hAnsi="Times New Roman"/>
        </w:rPr>
        <w:t>звање</w:t>
      </w:r>
      <w:r w:rsidR="001E0139" w:rsidRPr="00295637">
        <w:rPr>
          <w:rFonts w:ascii="Times New Roman" w:hAnsi="Times New Roman"/>
        </w:rPr>
        <w:t xml:space="preserve"> </w:t>
      </w:r>
      <w:r>
        <w:rPr>
          <w:rFonts w:ascii="Times New Roman" w:hAnsi="Times New Roman"/>
        </w:rPr>
        <w:t>инструктора</w:t>
      </w:r>
      <w:r w:rsidR="001E0139" w:rsidRPr="00295637">
        <w:rPr>
          <w:rFonts w:ascii="Times New Roman" w:hAnsi="Times New Roman"/>
        </w:rPr>
        <w:t xml:space="preserve"> </w:t>
      </w:r>
      <w:r>
        <w:rPr>
          <w:rFonts w:ascii="Times New Roman" w:hAnsi="Times New Roman"/>
        </w:rPr>
        <w:t>за</w:t>
      </w:r>
      <w:r w:rsidR="001E0139" w:rsidRPr="00295637">
        <w:rPr>
          <w:rFonts w:ascii="Times New Roman" w:hAnsi="Times New Roman"/>
        </w:rPr>
        <w:t xml:space="preserve"> </w:t>
      </w:r>
      <w:r>
        <w:rPr>
          <w:rFonts w:ascii="Times New Roman" w:hAnsi="Times New Roman"/>
        </w:rPr>
        <w:t>обуку</w:t>
      </w:r>
      <w:r w:rsidR="001E0139" w:rsidRPr="00295637">
        <w:rPr>
          <w:rFonts w:ascii="Times New Roman" w:hAnsi="Times New Roman"/>
        </w:rPr>
        <w:t xml:space="preserve"> </w:t>
      </w:r>
      <w:r>
        <w:rPr>
          <w:rFonts w:ascii="Times New Roman" w:hAnsi="Times New Roman"/>
        </w:rPr>
        <w:t>припадника</w:t>
      </w:r>
      <w:r w:rsidR="001E0139" w:rsidRPr="00295637">
        <w:rPr>
          <w:rFonts w:ascii="Times New Roman" w:hAnsi="Times New Roman"/>
        </w:rPr>
        <w:t>/</w:t>
      </w:r>
      <w:r>
        <w:rPr>
          <w:rFonts w:ascii="Times New Roman" w:hAnsi="Times New Roman"/>
        </w:rPr>
        <w:t>ца</w:t>
      </w:r>
      <w:r w:rsidR="001E0139" w:rsidRPr="00295637">
        <w:rPr>
          <w:rFonts w:ascii="Times New Roman" w:hAnsi="Times New Roman"/>
        </w:rPr>
        <w:t xml:space="preserve"> </w:t>
      </w:r>
      <w:r>
        <w:rPr>
          <w:rFonts w:ascii="Times New Roman" w:hAnsi="Times New Roman"/>
        </w:rPr>
        <w:t>који</w:t>
      </w:r>
      <w:r w:rsidR="001E0139" w:rsidRPr="00295637">
        <w:rPr>
          <w:rFonts w:ascii="Times New Roman" w:hAnsi="Times New Roman"/>
        </w:rPr>
        <w:t xml:space="preserve"> </w:t>
      </w:r>
      <w:r>
        <w:rPr>
          <w:rFonts w:ascii="Times New Roman" w:hAnsi="Times New Roman"/>
        </w:rPr>
        <w:t>се</w:t>
      </w:r>
      <w:r w:rsidR="001E0139" w:rsidRPr="00295637">
        <w:rPr>
          <w:rFonts w:ascii="Times New Roman" w:hAnsi="Times New Roman"/>
        </w:rPr>
        <w:t xml:space="preserve"> </w:t>
      </w:r>
      <w:r>
        <w:rPr>
          <w:rFonts w:ascii="Times New Roman" w:hAnsi="Times New Roman"/>
        </w:rPr>
        <w:t>ангаж</w:t>
      </w:r>
      <w:r w:rsidR="004549B1">
        <w:rPr>
          <w:rFonts w:ascii="Times New Roman" w:hAnsi="Times New Roman"/>
          <w:lang w:val="sr-Cyrl-BA"/>
        </w:rPr>
        <w:t>ују</w:t>
      </w:r>
      <w:r w:rsidR="001E0139" w:rsidRPr="00295637">
        <w:rPr>
          <w:rFonts w:ascii="Times New Roman" w:hAnsi="Times New Roman"/>
        </w:rPr>
        <w:t xml:space="preserve"> </w:t>
      </w:r>
      <w:r>
        <w:rPr>
          <w:rFonts w:ascii="Times New Roman" w:hAnsi="Times New Roman"/>
        </w:rPr>
        <w:t>у</w:t>
      </w:r>
      <w:r w:rsidR="001E0139" w:rsidRPr="00295637">
        <w:rPr>
          <w:rFonts w:ascii="Times New Roman" w:hAnsi="Times New Roman"/>
        </w:rPr>
        <w:t xml:space="preserve"> </w:t>
      </w:r>
      <w:r>
        <w:rPr>
          <w:rFonts w:ascii="Times New Roman" w:hAnsi="Times New Roman"/>
        </w:rPr>
        <w:t>мировним</w:t>
      </w:r>
      <w:r w:rsidR="001E0139" w:rsidRPr="00295637">
        <w:rPr>
          <w:rFonts w:ascii="Times New Roman" w:hAnsi="Times New Roman"/>
        </w:rPr>
        <w:t xml:space="preserve"> </w:t>
      </w:r>
      <w:r>
        <w:rPr>
          <w:rFonts w:ascii="Times New Roman" w:hAnsi="Times New Roman"/>
        </w:rPr>
        <w:t>мисијама</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база</w:t>
      </w:r>
      <w:r w:rsidR="001E0139" w:rsidRPr="00295637">
        <w:rPr>
          <w:rFonts w:ascii="Times New Roman" w:hAnsi="Times New Roman"/>
        </w:rPr>
        <w:t xml:space="preserve"> </w:t>
      </w:r>
      <w:r>
        <w:rPr>
          <w:rFonts w:ascii="Times New Roman" w:hAnsi="Times New Roman"/>
        </w:rPr>
        <w:t>података</w:t>
      </w:r>
      <w:r w:rsidR="001E0139" w:rsidRPr="00295637">
        <w:rPr>
          <w:rFonts w:ascii="Times New Roman" w:hAnsi="Times New Roman"/>
        </w:rPr>
        <w:t xml:space="preserve"> </w:t>
      </w:r>
      <w:r>
        <w:rPr>
          <w:rFonts w:ascii="Times New Roman" w:hAnsi="Times New Roman"/>
        </w:rPr>
        <w:t>о</w:t>
      </w:r>
      <w:r w:rsidR="001E0139" w:rsidRPr="00295637">
        <w:rPr>
          <w:rFonts w:ascii="Times New Roman" w:hAnsi="Times New Roman"/>
        </w:rPr>
        <w:t xml:space="preserve"> </w:t>
      </w:r>
      <w:r>
        <w:rPr>
          <w:rFonts w:ascii="Times New Roman" w:hAnsi="Times New Roman"/>
        </w:rPr>
        <w:t>лицима</w:t>
      </w:r>
      <w:r w:rsidR="001E0139" w:rsidRPr="00295637">
        <w:rPr>
          <w:rFonts w:ascii="Times New Roman" w:hAnsi="Times New Roman"/>
        </w:rPr>
        <w:t xml:space="preserve"> </w:t>
      </w:r>
      <w:r>
        <w:rPr>
          <w:rFonts w:ascii="Times New Roman" w:hAnsi="Times New Roman"/>
        </w:rPr>
        <w:t>која</w:t>
      </w:r>
      <w:r w:rsidR="001E0139" w:rsidRPr="00295637">
        <w:rPr>
          <w:rFonts w:ascii="Times New Roman" w:hAnsi="Times New Roman"/>
        </w:rPr>
        <w:t xml:space="preserve"> </w:t>
      </w:r>
      <w:r>
        <w:rPr>
          <w:rFonts w:ascii="Times New Roman" w:hAnsi="Times New Roman"/>
        </w:rPr>
        <w:t>су</w:t>
      </w:r>
      <w:r w:rsidR="001E0139" w:rsidRPr="00295637">
        <w:rPr>
          <w:rFonts w:ascii="Times New Roman" w:hAnsi="Times New Roman"/>
        </w:rPr>
        <w:t xml:space="preserve"> </w:t>
      </w:r>
      <w:r>
        <w:rPr>
          <w:rFonts w:ascii="Times New Roman" w:hAnsi="Times New Roman"/>
        </w:rPr>
        <w:t>стручно</w:t>
      </w:r>
      <w:r w:rsidR="000C3D5B" w:rsidRPr="00295637">
        <w:rPr>
          <w:rFonts w:ascii="Times New Roman" w:hAnsi="Times New Roman"/>
        </w:rPr>
        <w:t xml:space="preserve"> </w:t>
      </w:r>
      <w:r>
        <w:rPr>
          <w:rFonts w:ascii="Times New Roman" w:hAnsi="Times New Roman"/>
        </w:rPr>
        <w:t>обучена</w:t>
      </w:r>
      <w:r w:rsidR="000C3D5B" w:rsidRPr="00295637">
        <w:rPr>
          <w:rFonts w:ascii="Times New Roman" w:hAnsi="Times New Roman"/>
        </w:rPr>
        <w:t xml:space="preserve"> </w:t>
      </w:r>
      <w:r>
        <w:rPr>
          <w:rFonts w:ascii="Times New Roman" w:hAnsi="Times New Roman"/>
        </w:rPr>
        <w:t>о</w:t>
      </w:r>
      <w:r w:rsidR="000C3D5B" w:rsidRPr="00295637">
        <w:rPr>
          <w:rFonts w:ascii="Times New Roman" w:hAnsi="Times New Roman"/>
        </w:rPr>
        <w:t xml:space="preserve"> </w:t>
      </w:r>
      <w:r>
        <w:rPr>
          <w:rFonts w:ascii="Times New Roman" w:hAnsi="Times New Roman"/>
        </w:rPr>
        <w:t>питањима</w:t>
      </w:r>
      <w:r w:rsidR="000C3D5B" w:rsidRPr="00295637">
        <w:rPr>
          <w:rFonts w:ascii="Times New Roman" w:hAnsi="Times New Roman"/>
        </w:rPr>
        <w:t xml:space="preserve"> </w:t>
      </w:r>
      <w:r>
        <w:rPr>
          <w:rFonts w:ascii="Times New Roman" w:hAnsi="Times New Roman"/>
        </w:rPr>
        <w:t>равноправности</w:t>
      </w:r>
      <w:r w:rsidR="000C3D5B" w:rsidRPr="00295637">
        <w:rPr>
          <w:rFonts w:ascii="Times New Roman" w:hAnsi="Times New Roman"/>
        </w:rPr>
        <w:t xml:space="preserve"> </w:t>
      </w:r>
      <w:r>
        <w:rPr>
          <w:rFonts w:ascii="Times New Roman" w:hAnsi="Times New Roman"/>
        </w:rPr>
        <w:t>полова</w:t>
      </w:r>
      <w:r w:rsidR="001E0139" w:rsidRPr="00295637">
        <w:rPr>
          <w:rFonts w:ascii="Times New Roman" w:hAnsi="Times New Roman"/>
        </w:rPr>
        <w:t>.</w:t>
      </w:r>
    </w:p>
    <w:p w:rsidR="00A92736" w:rsidRPr="00295637" w:rsidRDefault="00A92736" w:rsidP="0086268D">
      <w:pPr>
        <w:pStyle w:val="Normal1"/>
        <w:rPr>
          <w:rFonts w:asciiTheme="minorHAnsi" w:eastAsia="Times New Roman" w:hAnsiTheme="minorHAnsi" w:cstheme="minorHAnsi"/>
          <w:bdr w:val="none" w:sz="0" w:space="0" w:color="auto"/>
          <w:lang w:val="hr-BA"/>
        </w:rPr>
      </w:pPr>
    </w:p>
    <w:p w:rsidR="009A763A" w:rsidRPr="00295637" w:rsidRDefault="00C6214E" w:rsidP="0086268D">
      <w:pPr>
        <w:ind w:right="149"/>
        <w:jc w:val="both"/>
        <w:rPr>
          <w:rFonts w:ascii="Times New Roman" w:hAnsi="Times New Roman"/>
        </w:rPr>
      </w:pPr>
      <w:r>
        <w:rPr>
          <w:rFonts w:ascii="Times New Roman" w:hAnsi="Times New Roman"/>
        </w:rPr>
        <w:t>Забиљежен</w:t>
      </w:r>
      <w:r w:rsidR="009A763A">
        <w:rPr>
          <w:rFonts w:ascii="Times New Roman" w:hAnsi="Times New Roman"/>
        </w:rPr>
        <w:t xml:space="preserve"> </w:t>
      </w:r>
      <w:r>
        <w:rPr>
          <w:rFonts w:ascii="Times New Roman" w:hAnsi="Times New Roman"/>
        </w:rPr>
        <w:t>је</w:t>
      </w:r>
      <w:r w:rsidR="009A763A">
        <w:rPr>
          <w:rFonts w:ascii="Times New Roman" w:hAnsi="Times New Roman"/>
        </w:rPr>
        <w:t xml:space="preserve"> </w:t>
      </w:r>
      <w:r>
        <w:rPr>
          <w:rFonts w:ascii="Times New Roman" w:hAnsi="Times New Roman"/>
        </w:rPr>
        <w:t>позитиван</w:t>
      </w:r>
      <w:r w:rsidR="009A763A">
        <w:rPr>
          <w:rFonts w:ascii="Times New Roman" w:hAnsi="Times New Roman"/>
        </w:rPr>
        <w:t xml:space="preserve"> </w:t>
      </w:r>
      <w:r>
        <w:rPr>
          <w:rFonts w:ascii="Times New Roman" w:hAnsi="Times New Roman"/>
        </w:rPr>
        <w:t>тренд</w:t>
      </w:r>
      <w:r w:rsidR="0086268D">
        <w:rPr>
          <w:rFonts w:ascii="Times New Roman" w:hAnsi="Times New Roman"/>
        </w:rPr>
        <w:t xml:space="preserve"> </w:t>
      </w:r>
      <w:r>
        <w:rPr>
          <w:rFonts w:ascii="Times New Roman" w:hAnsi="Times New Roman"/>
        </w:rPr>
        <w:t>повећања</w:t>
      </w:r>
      <w:r w:rsidR="0086268D">
        <w:rPr>
          <w:rFonts w:ascii="Times New Roman" w:hAnsi="Times New Roman"/>
        </w:rPr>
        <w:t xml:space="preserve"> </w:t>
      </w:r>
      <w:r>
        <w:rPr>
          <w:rFonts w:ascii="Times New Roman" w:hAnsi="Times New Roman"/>
        </w:rPr>
        <w:t>процента</w:t>
      </w:r>
      <w:r w:rsidR="0086268D">
        <w:rPr>
          <w:rFonts w:ascii="Times New Roman" w:hAnsi="Times New Roman"/>
        </w:rPr>
        <w:t xml:space="preserve"> </w:t>
      </w:r>
      <w:r>
        <w:rPr>
          <w:rFonts w:ascii="Times New Roman" w:hAnsi="Times New Roman"/>
        </w:rPr>
        <w:t>жена</w:t>
      </w:r>
      <w:r w:rsidR="0086268D">
        <w:rPr>
          <w:rFonts w:ascii="Times New Roman" w:hAnsi="Times New Roman"/>
        </w:rPr>
        <w:t xml:space="preserve"> </w:t>
      </w:r>
      <w:r>
        <w:rPr>
          <w:rFonts w:ascii="Times New Roman" w:hAnsi="Times New Roman"/>
        </w:rPr>
        <w:t>у</w:t>
      </w:r>
      <w:r w:rsidR="0086268D">
        <w:rPr>
          <w:rFonts w:ascii="Times New Roman" w:hAnsi="Times New Roman"/>
        </w:rPr>
        <w:t xml:space="preserve"> </w:t>
      </w:r>
      <w:r>
        <w:rPr>
          <w:rFonts w:ascii="Times New Roman" w:hAnsi="Times New Roman"/>
        </w:rPr>
        <w:t>ОС</w:t>
      </w:r>
      <w:r w:rsidR="00CB42E6">
        <w:rPr>
          <w:rFonts w:ascii="Times New Roman" w:hAnsi="Times New Roman"/>
        </w:rPr>
        <w:t xml:space="preserve"> </w:t>
      </w:r>
      <w:r>
        <w:rPr>
          <w:rFonts w:ascii="Times New Roman" w:hAnsi="Times New Roman"/>
        </w:rPr>
        <w:t>БиХ</w:t>
      </w:r>
      <w:r w:rsidR="009A763A">
        <w:rPr>
          <w:rFonts w:ascii="Times New Roman" w:hAnsi="Times New Roman"/>
        </w:rPr>
        <w:t xml:space="preserve">, </w:t>
      </w:r>
      <w:r>
        <w:rPr>
          <w:rFonts w:ascii="Times New Roman" w:hAnsi="Times New Roman"/>
        </w:rPr>
        <w:t>као</w:t>
      </w:r>
      <w:r w:rsidR="009A763A" w:rsidRPr="00295637">
        <w:rPr>
          <w:rFonts w:ascii="Times New Roman" w:hAnsi="Times New Roman"/>
        </w:rPr>
        <w:t xml:space="preserve"> </w:t>
      </w:r>
      <w:r>
        <w:rPr>
          <w:rFonts w:ascii="Times New Roman" w:hAnsi="Times New Roman"/>
        </w:rPr>
        <w:t>резултат</w:t>
      </w:r>
      <w:r w:rsidR="009A763A" w:rsidRPr="00295637">
        <w:rPr>
          <w:rFonts w:ascii="Times New Roman" w:hAnsi="Times New Roman"/>
        </w:rPr>
        <w:t xml:space="preserve"> </w:t>
      </w:r>
      <w:r>
        <w:rPr>
          <w:rFonts w:ascii="Times New Roman" w:hAnsi="Times New Roman"/>
        </w:rPr>
        <w:t>примјене</w:t>
      </w:r>
      <w:r w:rsidR="009A763A" w:rsidRPr="00295637">
        <w:rPr>
          <w:rFonts w:ascii="Times New Roman" w:hAnsi="Times New Roman"/>
        </w:rPr>
        <w:t xml:space="preserve"> </w:t>
      </w:r>
      <w:r>
        <w:rPr>
          <w:rFonts w:ascii="Times New Roman" w:hAnsi="Times New Roman"/>
        </w:rPr>
        <w:t>Политике</w:t>
      </w:r>
      <w:r w:rsidR="009A763A" w:rsidRPr="00295637">
        <w:rPr>
          <w:rFonts w:ascii="Times New Roman" w:hAnsi="Times New Roman"/>
        </w:rPr>
        <w:t xml:space="preserve"> </w:t>
      </w:r>
      <w:r>
        <w:rPr>
          <w:rFonts w:ascii="Times New Roman" w:hAnsi="Times New Roman"/>
        </w:rPr>
        <w:t>родне</w:t>
      </w:r>
      <w:r w:rsidR="009A763A" w:rsidRPr="00295637">
        <w:rPr>
          <w:rFonts w:ascii="Times New Roman" w:hAnsi="Times New Roman"/>
        </w:rPr>
        <w:t xml:space="preserve"> </w:t>
      </w:r>
      <w:r>
        <w:rPr>
          <w:rFonts w:ascii="Times New Roman" w:hAnsi="Times New Roman"/>
        </w:rPr>
        <w:t>равноправности</w:t>
      </w:r>
      <w:r w:rsidR="009A763A" w:rsidRPr="00295637">
        <w:rPr>
          <w:rFonts w:ascii="Times New Roman" w:hAnsi="Times New Roman"/>
        </w:rPr>
        <w:t xml:space="preserve"> </w:t>
      </w:r>
      <w:r>
        <w:rPr>
          <w:rFonts w:ascii="Times New Roman" w:hAnsi="Times New Roman"/>
        </w:rPr>
        <w:t>у</w:t>
      </w:r>
      <w:r w:rsidR="009A763A" w:rsidRPr="00295637">
        <w:rPr>
          <w:rFonts w:ascii="Times New Roman" w:hAnsi="Times New Roman"/>
        </w:rPr>
        <w:t xml:space="preserve"> </w:t>
      </w:r>
      <w:r>
        <w:rPr>
          <w:rFonts w:ascii="Times New Roman" w:hAnsi="Times New Roman"/>
        </w:rPr>
        <w:t>МО</w:t>
      </w:r>
      <w:r w:rsidR="009A763A" w:rsidRPr="00295637">
        <w:rPr>
          <w:rFonts w:ascii="Times New Roman" w:hAnsi="Times New Roman"/>
        </w:rPr>
        <w:t xml:space="preserve"> </w:t>
      </w:r>
      <w:r>
        <w:rPr>
          <w:rFonts w:ascii="Times New Roman" w:hAnsi="Times New Roman"/>
        </w:rPr>
        <w:t>БиХ</w:t>
      </w:r>
      <w:r w:rsidR="009A763A">
        <w:rPr>
          <w:rFonts w:ascii="Times New Roman" w:hAnsi="Times New Roman"/>
        </w:rPr>
        <w:t xml:space="preserve"> </w:t>
      </w:r>
      <w:r>
        <w:rPr>
          <w:rFonts w:ascii="Times New Roman" w:hAnsi="Times New Roman"/>
        </w:rPr>
        <w:t>и</w:t>
      </w:r>
      <w:r w:rsidR="009A763A" w:rsidRPr="00295637">
        <w:rPr>
          <w:rFonts w:ascii="Times New Roman" w:hAnsi="Times New Roman"/>
        </w:rPr>
        <w:t xml:space="preserve"> </w:t>
      </w:r>
      <w:r>
        <w:rPr>
          <w:rFonts w:ascii="Times New Roman" w:hAnsi="Times New Roman"/>
        </w:rPr>
        <w:t>ОС</w:t>
      </w:r>
      <w:r w:rsidR="009A763A" w:rsidRPr="00295637">
        <w:rPr>
          <w:rFonts w:ascii="Times New Roman" w:hAnsi="Times New Roman"/>
        </w:rPr>
        <w:t xml:space="preserve"> </w:t>
      </w:r>
      <w:r>
        <w:rPr>
          <w:rFonts w:ascii="Times New Roman" w:hAnsi="Times New Roman"/>
        </w:rPr>
        <w:t>БиХ</w:t>
      </w:r>
      <w:r w:rsidR="009A763A" w:rsidRPr="00295637">
        <w:rPr>
          <w:rFonts w:ascii="Times New Roman" w:hAnsi="Times New Roman"/>
        </w:rPr>
        <w:t xml:space="preserve">. </w:t>
      </w:r>
      <w:r>
        <w:rPr>
          <w:rFonts w:ascii="Times New Roman" w:hAnsi="Times New Roman"/>
        </w:rPr>
        <w:t>Проценат</w:t>
      </w:r>
      <w:r w:rsidR="009A763A" w:rsidRPr="00295637">
        <w:rPr>
          <w:rFonts w:ascii="Times New Roman" w:hAnsi="Times New Roman"/>
        </w:rPr>
        <w:t xml:space="preserve"> </w:t>
      </w:r>
      <w:r>
        <w:rPr>
          <w:rFonts w:ascii="Times New Roman" w:hAnsi="Times New Roman"/>
        </w:rPr>
        <w:t>жена</w:t>
      </w:r>
      <w:r w:rsidR="009A763A" w:rsidRPr="00295637">
        <w:rPr>
          <w:rFonts w:ascii="Times New Roman" w:hAnsi="Times New Roman"/>
        </w:rPr>
        <w:t xml:space="preserve"> – </w:t>
      </w:r>
      <w:r>
        <w:rPr>
          <w:rFonts w:ascii="Times New Roman" w:hAnsi="Times New Roman"/>
        </w:rPr>
        <w:t>професионалних</w:t>
      </w:r>
      <w:r w:rsidR="009A763A" w:rsidRPr="00295637">
        <w:rPr>
          <w:rFonts w:ascii="Times New Roman" w:hAnsi="Times New Roman"/>
        </w:rPr>
        <w:t xml:space="preserve"> </w:t>
      </w:r>
      <w:r>
        <w:rPr>
          <w:rFonts w:ascii="Times New Roman" w:hAnsi="Times New Roman"/>
        </w:rPr>
        <w:t>војних</w:t>
      </w:r>
      <w:r w:rsidR="009A763A" w:rsidRPr="00295637">
        <w:rPr>
          <w:rFonts w:ascii="Times New Roman" w:hAnsi="Times New Roman"/>
        </w:rPr>
        <w:t xml:space="preserve"> </w:t>
      </w:r>
      <w:r>
        <w:rPr>
          <w:rFonts w:ascii="Times New Roman" w:hAnsi="Times New Roman"/>
        </w:rPr>
        <w:t>лица</w:t>
      </w:r>
      <w:r w:rsidR="009A763A" w:rsidRPr="00295637">
        <w:rPr>
          <w:rFonts w:ascii="Times New Roman" w:hAnsi="Times New Roman"/>
        </w:rPr>
        <w:t xml:space="preserve"> </w:t>
      </w:r>
      <w:r w:rsidR="00371D92">
        <w:rPr>
          <w:rFonts w:ascii="Times New Roman" w:hAnsi="Times New Roman"/>
          <w:lang w:val="bs-Cyrl-BA"/>
        </w:rPr>
        <w:t xml:space="preserve">(ПВЛ) </w:t>
      </w:r>
      <w:r>
        <w:rPr>
          <w:rFonts w:ascii="Times New Roman" w:hAnsi="Times New Roman"/>
        </w:rPr>
        <w:t>у</w:t>
      </w:r>
      <w:r w:rsidR="009A763A" w:rsidRPr="00295637">
        <w:rPr>
          <w:rFonts w:ascii="Times New Roman" w:hAnsi="Times New Roman"/>
        </w:rPr>
        <w:t xml:space="preserve"> </w:t>
      </w:r>
      <w:r>
        <w:rPr>
          <w:rFonts w:ascii="Times New Roman" w:hAnsi="Times New Roman"/>
        </w:rPr>
        <w:t>категорији</w:t>
      </w:r>
      <w:r w:rsidR="009A763A" w:rsidRPr="00295637">
        <w:rPr>
          <w:rFonts w:ascii="Times New Roman" w:hAnsi="Times New Roman"/>
        </w:rPr>
        <w:t xml:space="preserve"> </w:t>
      </w:r>
      <w:r>
        <w:rPr>
          <w:rFonts w:ascii="Times New Roman" w:hAnsi="Times New Roman"/>
        </w:rPr>
        <w:t>војника</w:t>
      </w:r>
      <w:r w:rsidR="009A763A" w:rsidRPr="00295637">
        <w:rPr>
          <w:rFonts w:ascii="Times New Roman" w:hAnsi="Times New Roman"/>
        </w:rPr>
        <w:t>/</w:t>
      </w:r>
      <w:r>
        <w:rPr>
          <w:rFonts w:ascii="Times New Roman" w:hAnsi="Times New Roman"/>
        </w:rPr>
        <w:t>војникиња</w:t>
      </w:r>
      <w:r w:rsidR="009A763A" w:rsidRPr="00295637">
        <w:rPr>
          <w:rFonts w:ascii="Times New Roman" w:hAnsi="Times New Roman"/>
        </w:rPr>
        <w:t xml:space="preserve"> </w:t>
      </w:r>
      <w:r>
        <w:rPr>
          <w:rFonts w:ascii="Times New Roman" w:hAnsi="Times New Roman"/>
        </w:rPr>
        <w:t>је</w:t>
      </w:r>
      <w:r w:rsidR="009A763A" w:rsidRPr="00295637">
        <w:rPr>
          <w:rFonts w:ascii="Times New Roman" w:hAnsi="Times New Roman"/>
        </w:rPr>
        <w:t xml:space="preserve"> 12,97 %, (2022. </w:t>
      </w:r>
      <w:r>
        <w:rPr>
          <w:rFonts w:ascii="Times New Roman" w:hAnsi="Times New Roman"/>
        </w:rPr>
        <w:t>године</w:t>
      </w:r>
      <w:r w:rsidR="009A763A" w:rsidRPr="00295637">
        <w:rPr>
          <w:rFonts w:ascii="Times New Roman" w:hAnsi="Times New Roman"/>
        </w:rPr>
        <w:t xml:space="preserve"> </w:t>
      </w:r>
      <w:r>
        <w:rPr>
          <w:rFonts w:ascii="Times New Roman" w:hAnsi="Times New Roman"/>
        </w:rPr>
        <w:t>је</w:t>
      </w:r>
      <w:r w:rsidR="009A763A" w:rsidRPr="00295637">
        <w:rPr>
          <w:rFonts w:ascii="Times New Roman" w:hAnsi="Times New Roman"/>
        </w:rPr>
        <w:t xml:space="preserve"> </w:t>
      </w:r>
      <w:r>
        <w:rPr>
          <w:rFonts w:ascii="Times New Roman" w:hAnsi="Times New Roman"/>
        </w:rPr>
        <w:t>био</w:t>
      </w:r>
      <w:r w:rsidR="009A763A" w:rsidRPr="00295637">
        <w:rPr>
          <w:rFonts w:ascii="Times New Roman" w:hAnsi="Times New Roman"/>
        </w:rPr>
        <w:t xml:space="preserve"> 10%), </w:t>
      </w:r>
      <w:r>
        <w:rPr>
          <w:rFonts w:ascii="Times New Roman" w:hAnsi="Times New Roman"/>
        </w:rPr>
        <w:t>у</w:t>
      </w:r>
      <w:r w:rsidR="009A763A" w:rsidRPr="00295637">
        <w:rPr>
          <w:rFonts w:ascii="Times New Roman" w:hAnsi="Times New Roman"/>
        </w:rPr>
        <w:t xml:space="preserve"> </w:t>
      </w:r>
      <w:r>
        <w:rPr>
          <w:rFonts w:ascii="Times New Roman" w:hAnsi="Times New Roman"/>
        </w:rPr>
        <w:t>категорији</w:t>
      </w:r>
      <w:r w:rsidR="009A763A" w:rsidRPr="00295637">
        <w:rPr>
          <w:rFonts w:ascii="Times New Roman" w:hAnsi="Times New Roman"/>
        </w:rPr>
        <w:t xml:space="preserve"> </w:t>
      </w:r>
      <w:r>
        <w:rPr>
          <w:rFonts w:ascii="Times New Roman" w:hAnsi="Times New Roman"/>
        </w:rPr>
        <w:t>подофицира</w:t>
      </w:r>
      <w:r w:rsidR="009A763A" w:rsidRPr="00295637">
        <w:rPr>
          <w:rFonts w:ascii="Times New Roman" w:hAnsi="Times New Roman"/>
        </w:rPr>
        <w:t xml:space="preserve"> 5,90 % (2022. </w:t>
      </w:r>
      <w:r>
        <w:rPr>
          <w:rFonts w:ascii="Times New Roman" w:hAnsi="Times New Roman"/>
        </w:rPr>
        <w:t>године</w:t>
      </w:r>
      <w:r w:rsidR="009A763A" w:rsidRPr="00295637">
        <w:rPr>
          <w:rFonts w:ascii="Times New Roman" w:hAnsi="Times New Roman"/>
        </w:rPr>
        <w:t xml:space="preserve"> 4,2%) </w:t>
      </w:r>
      <w:r>
        <w:rPr>
          <w:rFonts w:ascii="Times New Roman" w:hAnsi="Times New Roman"/>
        </w:rPr>
        <w:t>и</w:t>
      </w:r>
      <w:r w:rsidR="009A763A" w:rsidRPr="00295637">
        <w:rPr>
          <w:rFonts w:ascii="Times New Roman" w:hAnsi="Times New Roman"/>
        </w:rPr>
        <w:t xml:space="preserve"> </w:t>
      </w:r>
      <w:r>
        <w:rPr>
          <w:rFonts w:ascii="Times New Roman" w:hAnsi="Times New Roman"/>
        </w:rPr>
        <w:t>у</w:t>
      </w:r>
      <w:r w:rsidR="009A763A" w:rsidRPr="00295637">
        <w:rPr>
          <w:rFonts w:ascii="Times New Roman" w:hAnsi="Times New Roman"/>
        </w:rPr>
        <w:t xml:space="preserve"> </w:t>
      </w:r>
      <w:r>
        <w:rPr>
          <w:rFonts w:ascii="Times New Roman" w:hAnsi="Times New Roman"/>
        </w:rPr>
        <w:t>категорији</w:t>
      </w:r>
      <w:r w:rsidR="009A763A" w:rsidRPr="00295637">
        <w:rPr>
          <w:rFonts w:ascii="Times New Roman" w:hAnsi="Times New Roman"/>
        </w:rPr>
        <w:t xml:space="preserve"> </w:t>
      </w:r>
      <w:r>
        <w:rPr>
          <w:rFonts w:ascii="Times New Roman" w:hAnsi="Times New Roman"/>
        </w:rPr>
        <w:t>официра</w:t>
      </w:r>
      <w:r w:rsidR="009A763A" w:rsidRPr="00295637">
        <w:rPr>
          <w:rFonts w:ascii="Times New Roman" w:hAnsi="Times New Roman"/>
        </w:rPr>
        <w:t xml:space="preserve"> </w:t>
      </w:r>
      <w:r>
        <w:rPr>
          <w:rFonts w:ascii="Times New Roman" w:hAnsi="Times New Roman"/>
        </w:rPr>
        <w:t>износи</w:t>
      </w:r>
      <w:r w:rsidR="009A763A" w:rsidRPr="00295637">
        <w:rPr>
          <w:rFonts w:ascii="Times New Roman" w:hAnsi="Times New Roman"/>
        </w:rPr>
        <w:t xml:space="preserve"> 9,35 % (2022.</w:t>
      </w:r>
      <w:r>
        <w:rPr>
          <w:rFonts w:ascii="Times New Roman" w:hAnsi="Times New Roman"/>
        </w:rPr>
        <w:t>године</w:t>
      </w:r>
      <w:r w:rsidR="009A763A" w:rsidRPr="00295637">
        <w:rPr>
          <w:rFonts w:ascii="Times New Roman" w:hAnsi="Times New Roman"/>
        </w:rPr>
        <w:t xml:space="preserve"> 5,2%). </w:t>
      </w:r>
      <w:r>
        <w:rPr>
          <w:rFonts w:ascii="Times New Roman" w:hAnsi="Times New Roman"/>
        </w:rPr>
        <w:t>Чињеница</w:t>
      </w:r>
      <w:r w:rsidR="009A763A" w:rsidRPr="00295637">
        <w:rPr>
          <w:rFonts w:ascii="Times New Roman" w:hAnsi="Times New Roman"/>
        </w:rPr>
        <w:t xml:space="preserve"> </w:t>
      </w:r>
      <w:r>
        <w:rPr>
          <w:rFonts w:ascii="Times New Roman" w:hAnsi="Times New Roman"/>
        </w:rPr>
        <w:t>да</w:t>
      </w:r>
      <w:r w:rsidR="009A763A" w:rsidRPr="00295637">
        <w:rPr>
          <w:rFonts w:ascii="Times New Roman" w:hAnsi="Times New Roman"/>
        </w:rPr>
        <w:t xml:space="preserve"> </w:t>
      </w:r>
      <w:r>
        <w:rPr>
          <w:rFonts w:ascii="Times New Roman" w:hAnsi="Times New Roman"/>
        </w:rPr>
        <w:t>је</w:t>
      </w:r>
      <w:r w:rsidR="009A763A" w:rsidRPr="00295637">
        <w:rPr>
          <w:rFonts w:ascii="Times New Roman" w:hAnsi="Times New Roman"/>
        </w:rPr>
        <w:t xml:space="preserve"> </w:t>
      </w:r>
      <w:r>
        <w:rPr>
          <w:rFonts w:ascii="Times New Roman" w:hAnsi="Times New Roman"/>
        </w:rPr>
        <w:t>највећи</w:t>
      </w:r>
      <w:r w:rsidR="009A763A" w:rsidRPr="00295637">
        <w:rPr>
          <w:rFonts w:ascii="Times New Roman" w:hAnsi="Times New Roman"/>
        </w:rPr>
        <w:t xml:space="preserve"> </w:t>
      </w:r>
      <w:r>
        <w:rPr>
          <w:rFonts w:ascii="Times New Roman" w:hAnsi="Times New Roman"/>
        </w:rPr>
        <w:t>проценат</w:t>
      </w:r>
      <w:r w:rsidR="009A763A" w:rsidRPr="00295637">
        <w:rPr>
          <w:rFonts w:ascii="Times New Roman" w:hAnsi="Times New Roman"/>
        </w:rPr>
        <w:t xml:space="preserve"> </w:t>
      </w:r>
      <w:r>
        <w:rPr>
          <w:rFonts w:ascii="Times New Roman" w:hAnsi="Times New Roman"/>
        </w:rPr>
        <w:t>жена</w:t>
      </w:r>
      <w:r w:rsidR="009A763A" w:rsidRPr="00295637">
        <w:rPr>
          <w:rFonts w:ascii="Times New Roman" w:hAnsi="Times New Roman"/>
        </w:rPr>
        <w:t xml:space="preserve"> </w:t>
      </w:r>
      <w:r>
        <w:rPr>
          <w:rFonts w:ascii="Times New Roman" w:hAnsi="Times New Roman"/>
        </w:rPr>
        <w:t>ПВЛ</w:t>
      </w:r>
      <w:r w:rsidR="00DC19C9">
        <w:rPr>
          <w:rFonts w:ascii="Times New Roman" w:hAnsi="Times New Roman"/>
        </w:rPr>
        <w:t xml:space="preserve"> </w:t>
      </w:r>
      <w:r>
        <w:rPr>
          <w:rFonts w:ascii="Times New Roman" w:hAnsi="Times New Roman"/>
        </w:rPr>
        <w:t>у</w:t>
      </w:r>
      <w:r w:rsidR="00DC19C9">
        <w:rPr>
          <w:rFonts w:ascii="Times New Roman" w:hAnsi="Times New Roman"/>
        </w:rPr>
        <w:t xml:space="preserve"> </w:t>
      </w:r>
      <w:r>
        <w:rPr>
          <w:rFonts w:ascii="Times New Roman" w:hAnsi="Times New Roman"/>
        </w:rPr>
        <w:t>категорији</w:t>
      </w:r>
      <w:r w:rsidR="00DC19C9">
        <w:rPr>
          <w:rFonts w:ascii="Times New Roman" w:hAnsi="Times New Roman"/>
        </w:rPr>
        <w:t xml:space="preserve"> </w:t>
      </w:r>
      <w:r>
        <w:rPr>
          <w:rFonts w:ascii="Times New Roman" w:hAnsi="Times New Roman"/>
        </w:rPr>
        <w:t>војника</w:t>
      </w:r>
      <w:r w:rsidR="00DC19C9">
        <w:rPr>
          <w:rFonts w:ascii="Times New Roman" w:hAnsi="Times New Roman"/>
        </w:rPr>
        <w:t xml:space="preserve"> </w:t>
      </w:r>
      <w:r>
        <w:rPr>
          <w:rFonts w:ascii="Times New Roman" w:hAnsi="Times New Roman"/>
        </w:rPr>
        <w:t>повезан</w:t>
      </w:r>
      <w:r w:rsidR="00DC19C9">
        <w:rPr>
          <w:rFonts w:ascii="Times New Roman" w:hAnsi="Times New Roman"/>
        </w:rPr>
        <w:t xml:space="preserve"> </w:t>
      </w:r>
      <w:r>
        <w:rPr>
          <w:rFonts w:ascii="Times New Roman" w:hAnsi="Times New Roman"/>
        </w:rPr>
        <w:t>са</w:t>
      </w:r>
      <w:r w:rsidR="009A763A" w:rsidRPr="00295637">
        <w:rPr>
          <w:rFonts w:ascii="Times New Roman" w:hAnsi="Times New Roman"/>
        </w:rPr>
        <w:t xml:space="preserve"> </w:t>
      </w:r>
      <w:r>
        <w:rPr>
          <w:rFonts w:ascii="Times New Roman" w:hAnsi="Times New Roman"/>
        </w:rPr>
        <w:t>подмлађивањем</w:t>
      </w:r>
      <w:r w:rsidR="009A763A" w:rsidRPr="00295637">
        <w:rPr>
          <w:rFonts w:ascii="Times New Roman" w:hAnsi="Times New Roman"/>
        </w:rPr>
        <w:t xml:space="preserve"> </w:t>
      </w:r>
      <w:r>
        <w:rPr>
          <w:rFonts w:ascii="Times New Roman" w:hAnsi="Times New Roman"/>
        </w:rPr>
        <w:t>запослених</w:t>
      </w:r>
      <w:r w:rsidR="009A763A" w:rsidRPr="00295637">
        <w:rPr>
          <w:rFonts w:ascii="Times New Roman" w:hAnsi="Times New Roman"/>
        </w:rPr>
        <w:t xml:space="preserve"> </w:t>
      </w:r>
      <w:r>
        <w:rPr>
          <w:rFonts w:ascii="Times New Roman" w:hAnsi="Times New Roman"/>
        </w:rPr>
        <w:t>у</w:t>
      </w:r>
      <w:r w:rsidR="009A763A" w:rsidRPr="00295637">
        <w:rPr>
          <w:rFonts w:ascii="Times New Roman" w:hAnsi="Times New Roman"/>
        </w:rPr>
        <w:t xml:space="preserve"> </w:t>
      </w:r>
      <w:r w:rsidR="009A763A" w:rsidRPr="00295637">
        <w:rPr>
          <w:rFonts w:ascii="Times New Roman" w:hAnsi="Times New Roman"/>
          <w:noProof/>
          <w:lang w:val="en-US"/>
        </w:rPr>
        <w:drawing>
          <wp:inline distT="0" distB="0" distL="0" distR="0" wp14:anchorId="25EBDEEB" wp14:editId="64D3A7C6">
            <wp:extent cx="3048" cy="914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158" name="Picture 5158"/>
                    <pic:cNvPicPr/>
                  </pic:nvPicPr>
                  <pic:blipFill>
                    <a:blip r:embed="rId10"/>
                    <a:stretch>
                      <a:fillRect/>
                    </a:stretch>
                  </pic:blipFill>
                  <pic:spPr>
                    <a:xfrm>
                      <a:off x="0" y="0"/>
                      <a:ext cx="3048" cy="9146"/>
                    </a:xfrm>
                    <a:prstGeom prst="rect">
                      <a:avLst/>
                    </a:prstGeom>
                  </pic:spPr>
                </pic:pic>
              </a:graphicData>
            </a:graphic>
          </wp:inline>
        </w:drawing>
      </w:r>
      <w:r>
        <w:rPr>
          <w:rFonts w:ascii="Times New Roman" w:hAnsi="Times New Roman"/>
        </w:rPr>
        <w:t>ОС</w:t>
      </w:r>
      <w:r w:rsidR="009A763A" w:rsidRPr="00295637">
        <w:rPr>
          <w:rFonts w:ascii="Times New Roman" w:hAnsi="Times New Roman"/>
        </w:rPr>
        <w:t xml:space="preserve"> </w:t>
      </w:r>
      <w:r>
        <w:rPr>
          <w:rFonts w:ascii="Times New Roman" w:hAnsi="Times New Roman"/>
        </w:rPr>
        <w:t>БиХ</w:t>
      </w:r>
      <w:r w:rsidR="009A763A" w:rsidRPr="00295637">
        <w:rPr>
          <w:rFonts w:ascii="Times New Roman" w:hAnsi="Times New Roman"/>
        </w:rPr>
        <w:t xml:space="preserve">. </w:t>
      </w:r>
      <w:r>
        <w:rPr>
          <w:rFonts w:ascii="Times New Roman" w:hAnsi="Times New Roman"/>
        </w:rPr>
        <w:t>Потребно</w:t>
      </w:r>
      <w:r w:rsidR="009A763A" w:rsidRPr="00295637">
        <w:rPr>
          <w:rFonts w:ascii="Times New Roman" w:hAnsi="Times New Roman"/>
        </w:rPr>
        <w:t xml:space="preserve"> </w:t>
      </w:r>
      <w:r>
        <w:rPr>
          <w:rFonts w:ascii="Times New Roman" w:hAnsi="Times New Roman"/>
        </w:rPr>
        <w:t>је</w:t>
      </w:r>
      <w:r w:rsidR="009A763A" w:rsidRPr="00295637">
        <w:rPr>
          <w:rFonts w:ascii="Times New Roman" w:hAnsi="Times New Roman"/>
        </w:rPr>
        <w:t xml:space="preserve"> </w:t>
      </w:r>
      <w:r>
        <w:rPr>
          <w:rFonts w:ascii="Times New Roman" w:hAnsi="Times New Roman"/>
        </w:rPr>
        <w:t>нагласити</w:t>
      </w:r>
      <w:r w:rsidR="009A763A" w:rsidRPr="00295637">
        <w:rPr>
          <w:rFonts w:ascii="Times New Roman" w:hAnsi="Times New Roman"/>
        </w:rPr>
        <w:t xml:space="preserve"> </w:t>
      </w:r>
      <w:r>
        <w:rPr>
          <w:rFonts w:ascii="Times New Roman" w:hAnsi="Times New Roman"/>
        </w:rPr>
        <w:t>да</w:t>
      </w:r>
      <w:r w:rsidR="009A763A" w:rsidRPr="00295637">
        <w:rPr>
          <w:rFonts w:ascii="Times New Roman" w:hAnsi="Times New Roman"/>
        </w:rPr>
        <w:t xml:space="preserve"> </w:t>
      </w:r>
      <w:r>
        <w:rPr>
          <w:rFonts w:ascii="Times New Roman" w:hAnsi="Times New Roman"/>
        </w:rPr>
        <w:t>је</w:t>
      </w:r>
      <w:r w:rsidR="009A763A" w:rsidRPr="00295637">
        <w:rPr>
          <w:rFonts w:ascii="Times New Roman" w:hAnsi="Times New Roman"/>
        </w:rPr>
        <w:t xml:space="preserve"> </w:t>
      </w:r>
      <w:r>
        <w:rPr>
          <w:rFonts w:ascii="Times New Roman" w:hAnsi="Times New Roman"/>
        </w:rPr>
        <w:t>евидентан</w:t>
      </w:r>
      <w:r w:rsidR="009A763A" w:rsidRPr="00295637">
        <w:rPr>
          <w:rFonts w:ascii="Times New Roman" w:hAnsi="Times New Roman"/>
        </w:rPr>
        <w:t xml:space="preserve"> </w:t>
      </w:r>
      <w:r>
        <w:rPr>
          <w:rFonts w:ascii="Times New Roman" w:hAnsi="Times New Roman"/>
        </w:rPr>
        <w:t>тренд</w:t>
      </w:r>
      <w:r w:rsidR="009A763A" w:rsidRPr="00295637">
        <w:rPr>
          <w:rFonts w:ascii="Times New Roman" w:hAnsi="Times New Roman"/>
        </w:rPr>
        <w:t xml:space="preserve"> </w:t>
      </w:r>
      <w:r>
        <w:rPr>
          <w:rFonts w:ascii="Times New Roman" w:hAnsi="Times New Roman"/>
        </w:rPr>
        <w:t>повећаног</w:t>
      </w:r>
      <w:r w:rsidR="009A763A" w:rsidRPr="00295637">
        <w:rPr>
          <w:rFonts w:ascii="Times New Roman" w:hAnsi="Times New Roman"/>
        </w:rPr>
        <w:t xml:space="preserve"> </w:t>
      </w:r>
      <w:r>
        <w:rPr>
          <w:rFonts w:ascii="Times New Roman" w:hAnsi="Times New Roman"/>
        </w:rPr>
        <w:t>интереса</w:t>
      </w:r>
      <w:r w:rsidR="009A763A" w:rsidRPr="00295637">
        <w:rPr>
          <w:rFonts w:ascii="Times New Roman" w:hAnsi="Times New Roman"/>
        </w:rPr>
        <w:t xml:space="preserve"> </w:t>
      </w:r>
      <w:r>
        <w:rPr>
          <w:rFonts w:ascii="Times New Roman" w:hAnsi="Times New Roman"/>
        </w:rPr>
        <w:t>особа</w:t>
      </w:r>
      <w:r w:rsidR="009A763A" w:rsidRPr="00295637">
        <w:rPr>
          <w:rFonts w:ascii="Times New Roman" w:hAnsi="Times New Roman"/>
        </w:rPr>
        <w:t xml:space="preserve"> </w:t>
      </w:r>
      <w:r>
        <w:rPr>
          <w:rFonts w:ascii="Times New Roman" w:hAnsi="Times New Roman"/>
        </w:rPr>
        <w:t>женског</w:t>
      </w:r>
      <w:r w:rsidR="009A763A" w:rsidRPr="00295637">
        <w:rPr>
          <w:rFonts w:ascii="Times New Roman" w:hAnsi="Times New Roman"/>
        </w:rPr>
        <w:t xml:space="preserve"> </w:t>
      </w:r>
      <w:r>
        <w:rPr>
          <w:rFonts w:ascii="Times New Roman" w:hAnsi="Times New Roman"/>
        </w:rPr>
        <w:t>пола</w:t>
      </w:r>
      <w:r w:rsidR="009A763A" w:rsidRPr="00295637">
        <w:rPr>
          <w:rFonts w:ascii="Times New Roman" w:hAnsi="Times New Roman"/>
        </w:rPr>
        <w:t xml:space="preserve"> </w:t>
      </w:r>
      <w:r>
        <w:rPr>
          <w:rFonts w:ascii="Times New Roman" w:hAnsi="Times New Roman"/>
        </w:rPr>
        <w:t>за</w:t>
      </w:r>
      <w:r w:rsidR="009A763A" w:rsidRPr="00295637">
        <w:rPr>
          <w:rFonts w:ascii="Times New Roman" w:hAnsi="Times New Roman"/>
        </w:rPr>
        <w:t xml:space="preserve"> </w:t>
      </w:r>
      <w:r>
        <w:rPr>
          <w:rFonts w:ascii="Times New Roman" w:hAnsi="Times New Roman"/>
        </w:rPr>
        <w:t>службу</w:t>
      </w:r>
      <w:r w:rsidR="009A763A" w:rsidRPr="00295637">
        <w:rPr>
          <w:rFonts w:ascii="Times New Roman" w:hAnsi="Times New Roman"/>
        </w:rPr>
        <w:t xml:space="preserve"> </w:t>
      </w:r>
      <w:r>
        <w:rPr>
          <w:rFonts w:ascii="Times New Roman" w:hAnsi="Times New Roman"/>
        </w:rPr>
        <w:t>у</w:t>
      </w:r>
      <w:r w:rsidR="009A763A" w:rsidRPr="00295637">
        <w:rPr>
          <w:rFonts w:ascii="Times New Roman" w:hAnsi="Times New Roman"/>
        </w:rPr>
        <w:t xml:space="preserve"> </w:t>
      </w:r>
      <w:r>
        <w:rPr>
          <w:rFonts w:ascii="Times New Roman" w:hAnsi="Times New Roman"/>
        </w:rPr>
        <w:t>ОС</w:t>
      </w:r>
      <w:r w:rsidR="009A763A" w:rsidRPr="00295637">
        <w:rPr>
          <w:rFonts w:ascii="Times New Roman" w:hAnsi="Times New Roman"/>
        </w:rPr>
        <w:t xml:space="preserve"> </w:t>
      </w:r>
      <w:r>
        <w:rPr>
          <w:rFonts w:ascii="Times New Roman" w:hAnsi="Times New Roman"/>
        </w:rPr>
        <w:t>БиХ</w:t>
      </w:r>
      <w:r w:rsidR="009A763A" w:rsidRPr="00295637">
        <w:rPr>
          <w:rFonts w:ascii="Times New Roman" w:hAnsi="Times New Roman"/>
        </w:rPr>
        <w:t xml:space="preserve"> .</w:t>
      </w:r>
    </w:p>
    <w:p w:rsidR="009A763A" w:rsidRPr="00295637" w:rsidRDefault="009A763A" w:rsidP="0086268D">
      <w:pPr>
        <w:ind w:right="149"/>
        <w:jc w:val="both"/>
        <w:rPr>
          <w:rFonts w:ascii="Times New Roman" w:hAnsi="Times New Roman"/>
        </w:rPr>
      </w:pPr>
    </w:p>
    <w:p w:rsidR="009A763A" w:rsidRPr="00295637" w:rsidRDefault="00C6214E" w:rsidP="0086268D">
      <w:pPr>
        <w:ind w:right="149"/>
        <w:jc w:val="both"/>
        <w:rPr>
          <w:rFonts w:ascii="Times New Roman" w:hAnsi="Times New Roman"/>
        </w:rPr>
      </w:pPr>
      <w:r>
        <w:rPr>
          <w:rFonts w:ascii="Times New Roman" w:hAnsi="Times New Roman"/>
        </w:rPr>
        <w:t>Закључно</w:t>
      </w:r>
      <w:r w:rsidR="009A763A" w:rsidRPr="00295637">
        <w:rPr>
          <w:rFonts w:ascii="Times New Roman" w:hAnsi="Times New Roman"/>
        </w:rPr>
        <w:t xml:space="preserve"> </w:t>
      </w:r>
      <w:r>
        <w:rPr>
          <w:rFonts w:ascii="Times New Roman" w:hAnsi="Times New Roman"/>
        </w:rPr>
        <w:t>са</w:t>
      </w:r>
      <w:r w:rsidR="009A763A" w:rsidRPr="00295637">
        <w:rPr>
          <w:rFonts w:ascii="Times New Roman" w:hAnsi="Times New Roman"/>
        </w:rPr>
        <w:t xml:space="preserve"> </w:t>
      </w:r>
      <w:r>
        <w:rPr>
          <w:rFonts w:ascii="Times New Roman" w:hAnsi="Times New Roman"/>
        </w:rPr>
        <w:t>децембром</w:t>
      </w:r>
      <w:r w:rsidR="009A763A" w:rsidRPr="00295637">
        <w:rPr>
          <w:rFonts w:ascii="Times New Roman" w:hAnsi="Times New Roman"/>
        </w:rPr>
        <w:t xml:space="preserve"> 2024. </w:t>
      </w:r>
      <w:r>
        <w:rPr>
          <w:rFonts w:ascii="Times New Roman" w:hAnsi="Times New Roman"/>
        </w:rPr>
        <w:t>године</w:t>
      </w:r>
      <w:r w:rsidR="009A763A" w:rsidRPr="00295637">
        <w:rPr>
          <w:rFonts w:ascii="Times New Roman" w:hAnsi="Times New Roman"/>
        </w:rPr>
        <w:t xml:space="preserve">, 139 </w:t>
      </w:r>
      <w:r>
        <w:rPr>
          <w:rFonts w:ascii="Times New Roman" w:hAnsi="Times New Roman"/>
        </w:rPr>
        <w:t>жена</w:t>
      </w:r>
      <w:r w:rsidR="009A763A" w:rsidRPr="00295637">
        <w:rPr>
          <w:rFonts w:ascii="Times New Roman" w:hAnsi="Times New Roman"/>
        </w:rPr>
        <w:t xml:space="preserve"> </w:t>
      </w:r>
      <w:r>
        <w:rPr>
          <w:rFonts w:ascii="Times New Roman" w:hAnsi="Times New Roman"/>
        </w:rPr>
        <w:t>или</w:t>
      </w:r>
      <w:r w:rsidR="009A763A" w:rsidRPr="00295637">
        <w:rPr>
          <w:rFonts w:ascii="Times New Roman" w:hAnsi="Times New Roman"/>
        </w:rPr>
        <w:t xml:space="preserve"> 13,3 % </w:t>
      </w:r>
      <w:r>
        <w:rPr>
          <w:rFonts w:ascii="Times New Roman" w:hAnsi="Times New Roman"/>
        </w:rPr>
        <w:t>је</w:t>
      </w:r>
      <w:r w:rsidR="009A763A" w:rsidRPr="00295637">
        <w:rPr>
          <w:rFonts w:ascii="Times New Roman" w:hAnsi="Times New Roman"/>
        </w:rPr>
        <w:t xml:space="preserve"> </w:t>
      </w:r>
      <w:r>
        <w:rPr>
          <w:rFonts w:ascii="Times New Roman" w:hAnsi="Times New Roman"/>
        </w:rPr>
        <w:t>примљено</w:t>
      </w:r>
      <w:r w:rsidR="009A763A" w:rsidRPr="00295637">
        <w:rPr>
          <w:rFonts w:ascii="Times New Roman" w:hAnsi="Times New Roman"/>
        </w:rPr>
        <w:t xml:space="preserve"> </w:t>
      </w:r>
      <w:r>
        <w:rPr>
          <w:rFonts w:ascii="Times New Roman" w:hAnsi="Times New Roman"/>
        </w:rPr>
        <w:t>у</w:t>
      </w:r>
      <w:r w:rsidR="009A763A" w:rsidRPr="00295637">
        <w:rPr>
          <w:rFonts w:ascii="Times New Roman" w:hAnsi="Times New Roman"/>
        </w:rPr>
        <w:t xml:space="preserve"> </w:t>
      </w:r>
      <w:r>
        <w:rPr>
          <w:rFonts w:ascii="Times New Roman" w:hAnsi="Times New Roman"/>
        </w:rPr>
        <w:t>професионалну</w:t>
      </w:r>
      <w:r w:rsidR="009A763A" w:rsidRPr="00295637">
        <w:rPr>
          <w:rFonts w:ascii="Times New Roman" w:hAnsi="Times New Roman"/>
        </w:rPr>
        <w:t xml:space="preserve"> </w:t>
      </w:r>
      <w:r>
        <w:rPr>
          <w:rFonts w:ascii="Times New Roman" w:hAnsi="Times New Roman"/>
        </w:rPr>
        <w:t>војну</w:t>
      </w:r>
      <w:r w:rsidR="009A763A" w:rsidRPr="00295637">
        <w:rPr>
          <w:rFonts w:ascii="Times New Roman" w:hAnsi="Times New Roman"/>
        </w:rPr>
        <w:t xml:space="preserve"> </w:t>
      </w:r>
      <w:r>
        <w:rPr>
          <w:rFonts w:ascii="Times New Roman" w:hAnsi="Times New Roman"/>
        </w:rPr>
        <w:t>службу</w:t>
      </w:r>
      <w:r w:rsidR="009A763A" w:rsidRPr="00295637">
        <w:rPr>
          <w:rFonts w:ascii="Times New Roman" w:hAnsi="Times New Roman"/>
        </w:rPr>
        <w:t xml:space="preserve"> (37 </w:t>
      </w:r>
      <w:r>
        <w:rPr>
          <w:rFonts w:ascii="Times New Roman" w:hAnsi="Times New Roman"/>
        </w:rPr>
        <w:t>жена</w:t>
      </w:r>
      <w:r w:rsidR="009A763A" w:rsidRPr="00295637">
        <w:rPr>
          <w:rFonts w:ascii="Times New Roman" w:hAnsi="Times New Roman"/>
        </w:rPr>
        <w:t xml:space="preserve"> </w:t>
      </w:r>
      <w:r>
        <w:rPr>
          <w:rFonts w:ascii="Times New Roman" w:hAnsi="Times New Roman"/>
        </w:rPr>
        <w:t>више</w:t>
      </w:r>
      <w:r w:rsidR="009A763A" w:rsidRPr="00295637">
        <w:rPr>
          <w:rFonts w:ascii="Times New Roman" w:hAnsi="Times New Roman"/>
        </w:rPr>
        <w:t xml:space="preserve"> </w:t>
      </w:r>
      <w:r>
        <w:rPr>
          <w:rFonts w:ascii="Times New Roman" w:hAnsi="Times New Roman"/>
        </w:rPr>
        <w:t>него</w:t>
      </w:r>
      <w:r w:rsidR="009A763A" w:rsidRPr="00295637">
        <w:rPr>
          <w:rFonts w:ascii="Times New Roman" w:hAnsi="Times New Roman"/>
        </w:rPr>
        <w:t xml:space="preserve"> </w:t>
      </w:r>
      <w:r>
        <w:rPr>
          <w:rFonts w:ascii="Times New Roman" w:hAnsi="Times New Roman"/>
        </w:rPr>
        <w:t>у</w:t>
      </w:r>
      <w:r w:rsidR="009A763A" w:rsidRPr="00295637">
        <w:rPr>
          <w:rFonts w:ascii="Times New Roman" w:hAnsi="Times New Roman"/>
        </w:rPr>
        <w:t xml:space="preserve"> 2022. </w:t>
      </w:r>
      <w:r>
        <w:rPr>
          <w:rFonts w:ascii="Times New Roman" w:hAnsi="Times New Roman"/>
        </w:rPr>
        <w:t>години</w:t>
      </w:r>
      <w:r w:rsidR="009A763A" w:rsidRPr="00295637">
        <w:rPr>
          <w:rFonts w:ascii="Times New Roman" w:hAnsi="Times New Roman"/>
        </w:rPr>
        <w:t xml:space="preserve">), 92 </w:t>
      </w:r>
      <w:r>
        <w:rPr>
          <w:rFonts w:ascii="Times New Roman" w:hAnsi="Times New Roman"/>
        </w:rPr>
        <w:t>у</w:t>
      </w:r>
      <w:r w:rsidR="009A763A" w:rsidRPr="00295637">
        <w:rPr>
          <w:rFonts w:ascii="Times New Roman" w:hAnsi="Times New Roman"/>
        </w:rPr>
        <w:t xml:space="preserve"> </w:t>
      </w:r>
      <w:r>
        <w:rPr>
          <w:rFonts w:ascii="Times New Roman" w:hAnsi="Times New Roman"/>
        </w:rPr>
        <w:t>категорији</w:t>
      </w:r>
      <w:r w:rsidR="009A763A" w:rsidRPr="00295637">
        <w:rPr>
          <w:rFonts w:ascii="Times New Roman" w:hAnsi="Times New Roman"/>
        </w:rPr>
        <w:t xml:space="preserve"> </w:t>
      </w:r>
      <w:r>
        <w:rPr>
          <w:rFonts w:ascii="Times New Roman" w:hAnsi="Times New Roman"/>
        </w:rPr>
        <w:t>војници</w:t>
      </w:r>
      <w:r w:rsidR="009A763A" w:rsidRPr="00295637">
        <w:rPr>
          <w:rFonts w:ascii="Times New Roman" w:hAnsi="Times New Roman"/>
        </w:rPr>
        <w:t xml:space="preserve"> (15,2%), 23 </w:t>
      </w:r>
      <w:r>
        <w:rPr>
          <w:rFonts w:ascii="Times New Roman" w:hAnsi="Times New Roman"/>
        </w:rPr>
        <w:t>жене</w:t>
      </w:r>
      <w:r w:rsidR="009A763A" w:rsidRPr="00295637">
        <w:rPr>
          <w:rFonts w:ascii="Times New Roman" w:hAnsi="Times New Roman"/>
        </w:rPr>
        <w:t xml:space="preserve"> </w:t>
      </w:r>
      <w:r>
        <w:rPr>
          <w:rFonts w:ascii="Times New Roman" w:hAnsi="Times New Roman"/>
        </w:rPr>
        <w:t>у</w:t>
      </w:r>
      <w:r w:rsidR="009A763A" w:rsidRPr="00295637">
        <w:rPr>
          <w:rFonts w:ascii="Times New Roman" w:hAnsi="Times New Roman"/>
        </w:rPr>
        <w:t xml:space="preserve"> </w:t>
      </w:r>
      <w:r>
        <w:rPr>
          <w:rFonts w:ascii="Times New Roman" w:hAnsi="Times New Roman"/>
        </w:rPr>
        <w:t>категорији</w:t>
      </w:r>
      <w:r w:rsidR="009A763A" w:rsidRPr="00295637">
        <w:rPr>
          <w:rFonts w:ascii="Times New Roman" w:hAnsi="Times New Roman"/>
        </w:rPr>
        <w:t xml:space="preserve"> </w:t>
      </w:r>
      <w:r>
        <w:rPr>
          <w:rFonts w:ascii="Times New Roman" w:hAnsi="Times New Roman"/>
        </w:rPr>
        <w:t>подофицири</w:t>
      </w:r>
      <w:r w:rsidR="009A763A" w:rsidRPr="00295637">
        <w:rPr>
          <w:rFonts w:ascii="Times New Roman" w:hAnsi="Times New Roman"/>
        </w:rPr>
        <w:t xml:space="preserve"> (7,3%) </w:t>
      </w:r>
      <w:r>
        <w:rPr>
          <w:rFonts w:ascii="Times New Roman" w:hAnsi="Times New Roman"/>
        </w:rPr>
        <w:t>и</w:t>
      </w:r>
      <w:r w:rsidR="009A763A" w:rsidRPr="00295637">
        <w:rPr>
          <w:rFonts w:ascii="Times New Roman" w:hAnsi="Times New Roman"/>
        </w:rPr>
        <w:t xml:space="preserve"> 17 </w:t>
      </w:r>
      <w:r>
        <w:rPr>
          <w:rFonts w:ascii="Times New Roman" w:hAnsi="Times New Roman"/>
        </w:rPr>
        <w:t>жена</w:t>
      </w:r>
      <w:r w:rsidR="009A763A" w:rsidRPr="00295637">
        <w:rPr>
          <w:rFonts w:ascii="Times New Roman" w:hAnsi="Times New Roman"/>
        </w:rPr>
        <w:t xml:space="preserve"> </w:t>
      </w:r>
      <w:r>
        <w:rPr>
          <w:rFonts w:ascii="Times New Roman" w:hAnsi="Times New Roman"/>
        </w:rPr>
        <w:t>у</w:t>
      </w:r>
      <w:r w:rsidR="009A763A" w:rsidRPr="00295637">
        <w:rPr>
          <w:rFonts w:ascii="Times New Roman" w:hAnsi="Times New Roman"/>
        </w:rPr>
        <w:t xml:space="preserve"> </w:t>
      </w:r>
      <w:r>
        <w:rPr>
          <w:rFonts w:ascii="Times New Roman" w:hAnsi="Times New Roman"/>
        </w:rPr>
        <w:t>категорији</w:t>
      </w:r>
      <w:r w:rsidR="009A763A" w:rsidRPr="00295637">
        <w:rPr>
          <w:rFonts w:ascii="Times New Roman" w:hAnsi="Times New Roman"/>
        </w:rPr>
        <w:t xml:space="preserve"> </w:t>
      </w:r>
      <w:r>
        <w:rPr>
          <w:rFonts w:ascii="Times New Roman" w:hAnsi="Times New Roman"/>
        </w:rPr>
        <w:t>официри</w:t>
      </w:r>
      <w:r w:rsidR="009A763A" w:rsidRPr="00295637">
        <w:rPr>
          <w:rFonts w:ascii="Times New Roman" w:hAnsi="Times New Roman"/>
        </w:rPr>
        <w:t xml:space="preserve"> (17,</w:t>
      </w:r>
      <w:r w:rsidR="009A763A" w:rsidRPr="00295637">
        <w:rPr>
          <w:rFonts w:ascii="Times New Roman" w:hAnsi="Times New Roman"/>
          <w:vertAlign w:val="superscript"/>
        </w:rPr>
        <w:t>0</w:t>
      </w:r>
      <w:r w:rsidR="009A763A" w:rsidRPr="00295637">
        <w:rPr>
          <w:rFonts w:ascii="Times New Roman" w:hAnsi="Times New Roman"/>
        </w:rPr>
        <w:t xml:space="preserve">/0). </w:t>
      </w:r>
      <w:r>
        <w:rPr>
          <w:rFonts w:ascii="Times New Roman" w:hAnsi="Times New Roman"/>
        </w:rPr>
        <w:t>По</w:t>
      </w:r>
      <w:r w:rsidR="009A763A" w:rsidRPr="00295637">
        <w:rPr>
          <w:rFonts w:ascii="Times New Roman" w:hAnsi="Times New Roman"/>
        </w:rPr>
        <w:t xml:space="preserve"> </w:t>
      </w:r>
      <w:r>
        <w:rPr>
          <w:rFonts w:ascii="Times New Roman" w:hAnsi="Times New Roman"/>
        </w:rPr>
        <w:t>завршетку</w:t>
      </w:r>
      <w:r w:rsidR="009A763A" w:rsidRPr="00295637">
        <w:rPr>
          <w:rFonts w:ascii="Times New Roman" w:hAnsi="Times New Roman"/>
        </w:rPr>
        <w:t xml:space="preserve"> </w:t>
      </w:r>
      <w:r>
        <w:rPr>
          <w:rFonts w:ascii="Times New Roman" w:hAnsi="Times New Roman"/>
        </w:rPr>
        <w:t>војне</w:t>
      </w:r>
      <w:r w:rsidR="009A763A" w:rsidRPr="00295637">
        <w:rPr>
          <w:rFonts w:ascii="Times New Roman" w:hAnsi="Times New Roman"/>
        </w:rPr>
        <w:t xml:space="preserve"> </w:t>
      </w:r>
      <w:r>
        <w:rPr>
          <w:rFonts w:ascii="Times New Roman" w:hAnsi="Times New Roman"/>
        </w:rPr>
        <w:t>академије</w:t>
      </w:r>
      <w:r w:rsidR="009A763A" w:rsidRPr="00295637">
        <w:rPr>
          <w:rFonts w:ascii="Times New Roman" w:hAnsi="Times New Roman"/>
        </w:rPr>
        <w:t xml:space="preserve"> </w:t>
      </w:r>
      <w:r>
        <w:rPr>
          <w:rFonts w:ascii="Times New Roman" w:hAnsi="Times New Roman"/>
        </w:rPr>
        <w:t>у</w:t>
      </w:r>
      <w:r w:rsidR="009A763A" w:rsidRPr="00295637">
        <w:rPr>
          <w:rFonts w:ascii="Times New Roman" w:hAnsi="Times New Roman"/>
        </w:rPr>
        <w:t xml:space="preserve"> </w:t>
      </w:r>
      <w:r>
        <w:rPr>
          <w:rFonts w:ascii="Times New Roman" w:hAnsi="Times New Roman"/>
        </w:rPr>
        <w:t>професионалну</w:t>
      </w:r>
      <w:r w:rsidR="009A763A" w:rsidRPr="00295637">
        <w:rPr>
          <w:rFonts w:ascii="Times New Roman" w:hAnsi="Times New Roman"/>
        </w:rPr>
        <w:t xml:space="preserve"> </w:t>
      </w:r>
      <w:r>
        <w:rPr>
          <w:rFonts w:ascii="Times New Roman" w:hAnsi="Times New Roman"/>
        </w:rPr>
        <w:t>војну</w:t>
      </w:r>
      <w:r w:rsidR="009A763A" w:rsidRPr="00295637">
        <w:rPr>
          <w:rFonts w:ascii="Times New Roman" w:hAnsi="Times New Roman"/>
        </w:rPr>
        <w:t xml:space="preserve"> </w:t>
      </w:r>
      <w:r>
        <w:rPr>
          <w:rFonts w:ascii="Times New Roman" w:hAnsi="Times New Roman"/>
        </w:rPr>
        <w:t>службу</w:t>
      </w:r>
      <w:r w:rsidR="009A763A" w:rsidRPr="00295637">
        <w:rPr>
          <w:rFonts w:ascii="Times New Roman" w:hAnsi="Times New Roman"/>
        </w:rPr>
        <w:t xml:space="preserve"> </w:t>
      </w:r>
      <w:r>
        <w:rPr>
          <w:rFonts w:ascii="Times New Roman" w:hAnsi="Times New Roman"/>
        </w:rPr>
        <w:t>у</w:t>
      </w:r>
      <w:r w:rsidR="009A763A" w:rsidRPr="00295637">
        <w:rPr>
          <w:rFonts w:ascii="Times New Roman" w:hAnsi="Times New Roman"/>
        </w:rPr>
        <w:t xml:space="preserve"> </w:t>
      </w:r>
      <w:r>
        <w:rPr>
          <w:rFonts w:ascii="Times New Roman" w:hAnsi="Times New Roman"/>
        </w:rPr>
        <w:t>почетном</w:t>
      </w:r>
      <w:r w:rsidR="009A763A" w:rsidRPr="00295637">
        <w:rPr>
          <w:rFonts w:ascii="Times New Roman" w:hAnsi="Times New Roman"/>
        </w:rPr>
        <w:t xml:space="preserve"> </w:t>
      </w:r>
      <w:r>
        <w:rPr>
          <w:rFonts w:ascii="Times New Roman" w:hAnsi="Times New Roman"/>
        </w:rPr>
        <w:t>чину</w:t>
      </w:r>
      <w:r w:rsidR="009A763A" w:rsidRPr="00295637">
        <w:rPr>
          <w:rFonts w:ascii="Times New Roman" w:hAnsi="Times New Roman"/>
        </w:rPr>
        <w:t xml:space="preserve"> </w:t>
      </w:r>
      <w:r>
        <w:rPr>
          <w:rFonts w:ascii="Times New Roman" w:hAnsi="Times New Roman"/>
        </w:rPr>
        <w:t>официра</w:t>
      </w:r>
      <w:r w:rsidR="009A763A" w:rsidRPr="00295637">
        <w:rPr>
          <w:rFonts w:ascii="Times New Roman" w:hAnsi="Times New Roman"/>
        </w:rPr>
        <w:t xml:space="preserve"> </w:t>
      </w:r>
      <w:r>
        <w:rPr>
          <w:rFonts w:ascii="Times New Roman" w:hAnsi="Times New Roman"/>
        </w:rPr>
        <w:t>примљено</w:t>
      </w:r>
      <w:r w:rsidR="009A763A" w:rsidRPr="00295637">
        <w:rPr>
          <w:rFonts w:ascii="Times New Roman" w:hAnsi="Times New Roman"/>
        </w:rPr>
        <w:t xml:space="preserve"> </w:t>
      </w:r>
      <w:r>
        <w:rPr>
          <w:rFonts w:ascii="Times New Roman" w:hAnsi="Times New Roman"/>
        </w:rPr>
        <w:t>је</w:t>
      </w:r>
      <w:r w:rsidR="009A763A" w:rsidRPr="00295637">
        <w:rPr>
          <w:rFonts w:ascii="Times New Roman" w:hAnsi="Times New Roman"/>
        </w:rPr>
        <w:t xml:space="preserve"> 7 </w:t>
      </w:r>
      <w:r>
        <w:rPr>
          <w:rFonts w:ascii="Times New Roman" w:hAnsi="Times New Roman"/>
        </w:rPr>
        <w:t>жена</w:t>
      </w:r>
      <w:r w:rsidR="009A763A" w:rsidRPr="00295637">
        <w:rPr>
          <w:rFonts w:ascii="Times New Roman" w:hAnsi="Times New Roman"/>
        </w:rPr>
        <w:t xml:space="preserve"> </w:t>
      </w:r>
      <w:r>
        <w:rPr>
          <w:rFonts w:ascii="Times New Roman" w:hAnsi="Times New Roman"/>
        </w:rPr>
        <w:t>или</w:t>
      </w:r>
      <w:r w:rsidR="009A763A" w:rsidRPr="00295637">
        <w:rPr>
          <w:rFonts w:ascii="Times New Roman" w:hAnsi="Times New Roman"/>
        </w:rPr>
        <w:t xml:space="preserve"> 23,3 % (2022. </w:t>
      </w:r>
      <w:r>
        <w:rPr>
          <w:rFonts w:ascii="Times New Roman" w:hAnsi="Times New Roman"/>
        </w:rPr>
        <w:t>године</w:t>
      </w:r>
      <w:r w:rsidR="009A763A" w:rsidRPr="00295637">
        <w:rPr>
          <w:rFonts w:ascii="Times New Roman" w:hAnsi="Times New Roman"/>
        </w:rPr>
        <w:t xml:space="preserve"> 17,7%). </w:t>
      </w:r>
      <w:r>
        <w:rPr>
          <w:rFonts w:ascii="Times New Roman" w:hAnsi="Times New Roman"/>
        </w:rPr>
        <w:t>Подаци</w:t>
      </w:r>
      <w:r w:rsidR="009A763A" w:rsidRPr="00295637">
        <w:rPr>
          <w:rFonts w:ascii="Times New Roman" w:hAnsi="Times New Roman"/>
        </w:rPr>
        <w:t xml:space="preserve"> </w:t>
      </w:r>
      <w:r>
        <w:rPr>
          <w:rFonts w:ascii="Times New Roman" w:hAnsi="Times New Roman"/>
        </w:rPr>
        <w:t>показују</w:t>
      </w:r>
      <w:r w:rsidR="009A763A" w:rsidRPr="00295637">
        <w:rPr>
          <w:rFonts w:ascii="Times New Roman" w:hAnsi="Times New Roman"/>
        </w:rPr>
        <w:t xml:space="preserve"> </w:t>
      </w:r>
      <w:r>
        <w:rPr>
          <w:rFonts w:ascii="Times New Roman" w:hAnsi="Times New Roman"/>
        </w:rPr>
        <w:t>повећање</w:t>
      </w:r>
      <w:r w:rsidR="009A763A" w:rsidRPr="00295637">
        <w:rPr>
          <w:rFonts w:ascii="Times New Roman" w:hAnsi="Times New Roman"/>
        </w:rPr>
        <w:t xml:space="preserve"> </w:t>
      </w:r>
      <w:r>
        <w:rPr>
          <w:rFonts w:ascii="Times New Roman" w:hAnsi="Times New Roman"/>
        </w:rPr>
        <w:t>процента</w:t>
      </w:r>
      <w:r w:rsidR="00CB42E6">
        <w:rPr>
          <w:rFonts w:ascii="Times New Roman" w:hAnsi="Times New Roman"/>
        </w:rPr>
        <w:t xml:space="preserve"> </w:t>
      </w:r>
      <w:r>
        <w:rPr>
          <w:rFonts w:ascii="Times New Roman" w:hAnsi="Times New Roman"/>
        </w:rPr>
        <w:t>примљених</w:t>
      </w:r>
      <w:r w:rsidR="00CB42E6">
        <w:rPr>
          <w:rFonts w:ascii="Times New Roman" w:hAnsi="Times New Roman"/>
        </w:rPr>
        <w:t xml:space="preserve"> </w:t>
      </w:r>
      <w:r>
        <w:rPr>
          <w:rFonts w:ascii="Times New Roman" w:hAnsi="Times New Roman"/>
        </w:rPr>
        <w:t>жена</w:t>
      </w:r>
      <w:r w:rsidR="00CB42E6">
        <w:rPr>
          <w:rFonts w:ascii="Times New Roman" w:hAnsi="Times New Roman"/>
        </w:rPr>
        <w:t xml:space="preserve"> </w:t>
      </w:r>
      <w:r>
        <w:rPr>
          <w:rFonts w:ascii="Times New Roman" w:hAnsi="Times New Roman"/>
        </w:rPr>
        <w:t>у</w:t>
      </w:r>
      <w:r w:rsidR="00CB42E6">
        <w:rPr>
          <w:rFonts w:ascii="Times New Roman" w:hAnsi="Times New Roman"/>
        </w:rPr>
        <w:t xml:space="preserve"> </w:t>
      </w:r>
      <w:r>
        <w:rPr>
          <w:rFonts w:ascii="Times New Roman" w:hAnsi="Times New Roman"/>
        </w:rPr>
        <w:t>ОС</w:t>
      </w:r>
      <w:r w:rsidR="00CB42E6">
        <w:rPr>
          <w:rFonts w:ascii="Times New Roman" w:hAnsi="Times New Roman"/>
        </w:rPr>
        <w:t xml:space="preserve"> </w:t>
      </w:r>
      <w:r>
        <w:rPr>
          <w:rFonts w:ascii="Times New Roman" w:hAnsi="Times New Roman"/>
        </w:rPr>
        <w:t>БиХ</w:t>
      </w:r>
      <w:r w:rsidR="009A763A" w:rsidRPr="00295637">
        <w:rPr>
          <w:rFonts w:ascii="Times New Roman" w:hAnsi="Times New Roman"/>
        </w:rPr>
        <w:t xml:space="preserve"> </w:t>
      </w:r>
      <w:r>
        <w:rPr>
          <w:rFonts w:ascii="Times New Roman" w:hAnsi="Times New Roman"/>
        </w:rPr>
        <w:t>на</w:t>
      </w:r>
      <w:r w:rsidR="009A763A" w:rsidRPr="00295637">
        <w:rPr>
          <w:rFonts w:ascii="Times New Roman" w:hAnsi="Times New Roman"/>
        </w:rPr>
        <w:t xml:space="preserve"> </w:t>
      </w:r>
      <w:r>
        <w:rPr>
          <w:rFonts w:ascii="Times New Roman" w:hAnsi="Times New Roman"/>
        </w:rPr>
        <w:t>годишњем</w:t>
      </w:r>
      <w:r w:rsidR="009A763A" w:rsidRPr="00295637">
        <w:rPr>
          <w:rFonts w:ascii="Times New Roman" w:hAnsi="Times New Roman"/>
        </w:rPr>
        <w:t xml:space="preserve"> </w:t>
      </w:r>
      <w:r>
        <w:rPr>
          <w:rFonts w:ascii="Times New Roman" w:hAnsi="Times New Roman"/>
        </w:rPr>
        <w:t>нивоу</w:t>
      </w:r>
      <w:r w:rsidR="009A763A" w:rsidRPr="00295637">
        <w:rPr>
          <w:rFonts w:ascii="Times New Roman" w:hAnsi="Times New Roman"/>
        </w:rPr>
        <w:t xml:space="preserve"> </w:t>
      </w:r>
      <w:r>
        <w:rPr>
          <w:rFonts w:ascii="Times New Roman" w:hAnsi="Times New Roman"/>
        </w:rPr>
        <w:t>у</w:t>
      </w:r>
      <w:r w:rsidR="009A763A" w:rsidRPr="00295637">
        <w:rPr>
          <w:rFonts w:ascii="Times New Roman" w:hAnsi="Times New Roman"/>
        </w:rPr>
        <w:t xml:space="preserve"> </w:t>
      </w:r>
      <w:r>
        <w:rPr>
          <w:rFonts w:ascii="Times New Roman" w:hAnsi="Times New Roman"/>
        </w:rPr>
        <w:t>односу</w:t>
      </w:r>
      <w:r w:rsidR="009A763A" w:rsidRPr="00295637">
        <w:rPr>
          <w:rFonts w:ascii="Times New Roman" w:hAnsi="Times New Roman"/>
        </w:rPr>
        <w:t xml:space="preserve"> </w:t>
      </w:r>
      <w:r>
        <w:rPr>
          <w:rFonts w:ascii="Times New Roman" w:hAnsi="Times New Roman"/>
        </w:rPr>
        <w:t>на</w:t>
      </w:r>
      <w:r w:rsidR="009A763A" w:rsidRPr="00295637">
        <w:rPr>
          <w:rFonts w:ascii="Times New Roman" w:hAnsi="Times New Roman"/>
        </w:rPr>
        <w:t xml:space="preserve"> </w:t>
      </w:r>
      <w:r>
        <w:rPr>
          <w:rFonts w:ascii="Times New Roman" w:hAnsi="Times New Roman"/>
        </w:rPr>
        <w:t>укупан</w:t>
      </w:r>
      <w:r w:rsidR="009A763A" w:rsidRPr="00295637">
        <w:rPr>
          <w:rFonts w:ascii="Times New Roman" w:hAnsi="Times New Roman"/>
        </w:rPr>
        <w:t xml:space="preserve"> </w:t>
      </w:r>
      <w:r>
        <w:rPr>
          <w:rFonts w:ascii="Times New Roman" w:hAnsi="Times New Roman"/>
        </w:rPr>
        <w:t>број</w:t>
      </w:r>
      <w:r w:rsidR="009A763A" w:rsidRPr="00295637">
        <w:rPr>
          <w:rFonts w:ascii="Times New Roman" w:hAnsi="Times New Roman"/>
        </w:rPr>
        <w:t xml:space="preserve"> </w:t>
      </w:r>
      <w:r>
        <w:rPr>
          <w:rFonts w:ascii="Times New Roman" w:hAnsi="Times New Roman"/>
        </w:rPr>
        <w:t>примљених</w:t>
      </w:r>
      <w:r w:rsidR="009A763A" w:rsidRPr="00295637">
        <w:rPr>
          <w:rFonts w:ascii="Times New Roman" w:hAnsi="Times New Roman"/>
        </w:rPr>
        <w:t>.</w:t>
      </w:r>
    </w:p>
    <w:p w:rsidR="009A763A" w:rsidRDefault="009A763A" w:rsidP="0086268D">
      <w:pPr>
        <w:pStyle w:val="ListParagraph"/>
        <w:ind w:left="0"/>
        <w:jc w:val="both"/>
        <w:rPr>
          <w:rFonts w:ascii="Times New Roman" w:hAnsi="Times New Roman"/>
          <w:lang w:val="sr-Latn-BA"/>
        </w:rPr>
      </w:pPr>
    </w:p>
    <w:p w:rsidR="009A763A" w:rsidRPr="00295637" w:rsidRDefault="00C6214E" w:rsidP="0086268D">
      <w:pPr>
        <w:ind w:right="14"/>
        <w:jc w:val="both"/>
        <w:rPr>
          <w:rFonts w:ascii="Times New Roman" w:hAnsi="Times New Roman"/>
          <w:szCs w:val="24"/>
        </w:rPr>
      </w:pPr>
      <w:r>
        <w:rPr>
          <w:rFonts w:ascii="Times New Roman" w:hAnsi="Times New Roman"/>
          <w:szCs w:val="24"/>
        </w:rPr>
        <w:t>У</w:t>
      </w:r>
      <w:r w:rsidR="009A763A" w:rsidRPr="00295637">
        <w:rPr>
          <w:rFonts w:ascii="Times New Roman" w:hAnsi="Times New Roman"/>
          <w:szCs w:val="24"/>
        </w:rPr>
        <w:t xml:space="preserve"> </w:t>
      </w:r>
      <w:r>
        <w:rPr>
          <w:rFonts w:ascii="Times New Roman" w:hAnsi="Times New Roman"/>
          <w:szCs w:val="24"/>
        </w:rPr>
        <w:t>М</w:t>
      </w:r>
      <w:r w:rsidR="004549B1">
        <w:rPr>
          <w:rFonts w:ascii="Times New Roman" w:hAnsi="Times New Roman"/>
          <w:szCs w:val="24"/>
          <w:lang w:val="sr-Cyrl-BA"/>
        </w:rPr>
        <w:t>Б</w:t>
      </w:r>
      <w:r w:rsidR="009A763A" w:rsidRPr="00295637">
        <w:rPr>
          <w:rFonts w:ascii="Times New Roman" w:hAnsi="Times New Roman"/>
          <w:szCs w:val="24"/>
        </w:rPr>
        <w:t xml:space="preserve"> </w:t>
      </w:r>
      <w:r>
        <w:rPr>
          <w:rFonts w:ascii="Times New Roman" w:hAnsi="Times New Roman"/>
          <w:szCs w:val="24"/>
        </w:rPr>
        <w:t>БИХ</w:t>
      </w:r>
      <w:r w:rsidR="009A763A" w:rsidRPr="00295637">
        <w:rPr>
          <w:rFonts w:ascii="Times New Roman" w:hAnsi="Times New Roman"/>
          <w:szCs w:val="24"/>
        </w:rPr>
        <w:t xml:space="preserve">, </w:t>
      </w:r>
      <w:r>
        <w:rPr>
          <w:rFonts w:ascii="Times New Roman" w:hAnsi="Times New Roman"/>
          <w:szCs w:val="24"/>
        </w:rPr>
        <w:t>у</w:t>
      </w:r>
      <w:r w:rsidR="009A763A" w:rsidRPr="00295637">
        <w:rPr>
          <w:rFonts w:ascii="Times New Roman" w:hAnsi="Times New Roman"/>
          <w:szCs w:val="24"/>
        </w:rPr>
        <w:t xml:space="preserve"> </w:t>
      </w:r>
      <w:r>
        <w:rPr>
          <w:rFonts w:ascii="Times New Roman" w:hAnsi="Times New Roman"/>
          <w:szCs w:val="24"/>
        </w:rPr>
        <w:t>сарадњи</w:t>
      </w:r>
      <w:r w:rsidR="00DC19C9">
        <w:rPr>
          <w:rFonts w:ascii="Times New Roman" w:hAnsi="Times New Roman"/>
          <w:szCs w:val="24"/>
        </w:rPr>
        <w:t xml:space="preserve"> </w:t>
      </w:r>
      <w:r>
        <w:rPr>
          <w:rFonts w:ascii="Times New Roman" w:hAnsi="Times New Roman"/>
          <w:szCs w:val="24"/>
        </w:rPr>
        <w:t>са</w:t>
      </w:r>
      <w:r w:rsidR="009A763A" w:rsidRPr="00295637">
        <w:rPr>
          <w:rFonts w:ascii="Times New Roman" w:hAnsi="Times New Roman"/>
          <w:szCs w:val="24"/>
        </w:rPr>
        <w:t xml:space="preserve"> </w:t>
      </w:r>
      <w:r>
        <w:rPr>
          <w:rFonts w:ascii="Times New Roman" w:hAnsi="Times New Roman"/>
          <w:szCs w:val="24"/>
        </w:rPr>
        <w:t>АПП</w:t>
      </w:r>
      <w:r w:rsidR="009A763A" w:rsidRPr="00295637">
        <w:rPr>
          <w:rFonts w:ascii="Times New Roman" w:hAnsi="Times New Roman"/>
          <w:szCs w:val="24"/>
        </w:rPr>
        <w:t xml:space="preserve">, </w:t>
      </w:r>
      <w:r>
        <w:rPr>
          <w:rFonts w:ascii="Times New Roman" w:hAnsi="Times New Roman"/>
          <w:szCs w:val="24"/>
        </w:rPr>
        <w:t>континуирано</w:t>
      </w:r>
      <w:r w:rsidR="009A763A" w:rsidRPr="00295637">
        <w:rPr>
          <w:rFonts w:ascii="Times New Roman" w:hAnsi="Times New Roman"/>
          <w:szCs w:val="24"/>
        </w:rPr>
        <w:t xml:space="preserve"> </w:t>
      </w:r>
      <w:r>
        <w:rPr>
          <w:rFonts w:ascii="Times New Roman" w:hAnsi="Times New Roman"/>
          <w:szCs w:val="24"/>
        </w:rPr>
        <w:t>се</w:t>
      </w:r>
      <w:r w:rsidR="009A763A" w:rsidRPr="00295637">
        <w:rPr>
          <w:rFonts w:ascii="Times New Roman" w:hAnsi="Times New Roman"/>
          <w:szCs w:val="24"/>
        </w:rPr>
        <w:t xml:space="preserve"> </w:t>
      </w:r>
      <w:r>
        <w:rPr>
          <w:rFonts w:ascii="Times New Roman" w:hAnsi="Times New Roman"/>
          <w:szCs w:val="24"/>
        </w:rPr>
        <w:t>ради</w:t>
      </w:r>
      <w:r w:rsidR="009A763A" w:rsidRPr="00295637">
        <w:rPr>
          <w:rFonts w:ascii="Times New Roman" w:hAnsi="Times New Roman"/>
          <w:szCs w:val="24"/>
        </w:rPr>
        <w:t xml:space="preserve"> </w:t>
      </w:r>
      <w:r>
        <w:rPr>
          <w:rFonts w:ascii="Times New Roman" w:hAnsi="Times New Roman"/>
          <w:szCs w:val="24"/>
        </w:rPr>
        <w:t>на</w:t>
      </w:r>
      <w:r w:rsidR="009A763A" w:rsidRPr="00295637">
        <w:rPr>
          <w:rFonts w:ascii="Times New Roman" w:hAnsi="Times New Roman"/>
          <w:szCs w:val="24"/>
        </w:rPr>
        <w:t xml:space="preserve"> </w:t>
      </w:r>
      <w:r>
        <w:rPr>
          <w:rFonts w:ascii="Times New Roman" w:hAnsi="Times New Roman"/>
          <w:szCs w:val="24"/>
        </w:rPr>
        <w:t>унапређењу</w:t>
      </w:r>
      <w:r w:rsidR="009A763A" w:rsidRPr="00295637">
        <w:rPr>
          <w:rFonts w:ascii="Times New Roman" w:hAnsi="Times New Roman"/>
          <w:szCs w:val="24"/>
        </w:rPr>
        <w:t xml:space="preserve"> </w:t>
      </w:r>
      <w:r>
        <w:rPr>
          <w:rFonts w:ascii="Times New Roman" w:hAnsi="Times New Roman"/>
          <w:szCs w:val="24"/>
        </w:rPr>
        <w:t>Централне</w:t>
      </w:r>
      <w:r w:rsidR="009A763A" w:rsidRPr="00295637">
        <w:rPr>
          <w:rFonts w:ascii="Times New Roman" w:hAnsi="Times New Roman"/>
          <w:szCs w:val="24"/>
        </w:rPr>
        <w:t xml:space="preserve"> </w:t>
      </w:r>
      <w:r>
        <w:rPr>
          <w:rFonts w:ascii="Times New Roman" w:hAnsi="Times New Roman"/>
          <w:szCs w:val="24"/>
        </w:rPr>
        <w:t>евиденције</w:t>
      </w:r>
      <w:r w:rsidR="009A763A" w:rsidRPr="00295637">
        <w:rPr>
          <w:rFonts w:ascii="Times New Roman" w:hAnsi="Times New Roman"/>
          <w:szCs w:val="24"/>
        </w:rPr>
        <w:t xml:space="preserve"> </w:t>
      </w:r>
      <w:r>
        <w:rPr>
          <w:rFonts w:ascii="Times New Roman" w:hAnsi="Times New Roman"/>
          <w:szCs w:val="24"/>
        </w:rPr>
        <w:t>података</w:t>
      </w:r>
      <w:r w:rsidR="009A763A" w:rsidRPr="00295637">
        <w:rPr>
          <w:rFonts w:ascii="Times New Roman" w:hAnsi="Times New Roman"/>
          <w:szCs w:val="24"/>
        </w:rPr>
        <w:t xml:space="preserve"> </w:t>
      </w:r>
      <w:r>
        <w:rPr>
          <w:rFonts w:ascii="Times New Roman" w:hAnsi="Times New Roman"/>
          <w:szCs w:val="24"/>
        </w:rPr>
        <w:t>запослених</w:t>
      </w:r>
      <w:r w:rsidR="009A763A" w:rsidRPr="00295637">
        <w:rPr>
          <w:rFonts w:ascii="Times New Roman" w:hAnsi="Times New Roman"/>
          <w:szCs w:val="24"/>
        </w:rPr>
        <w:t xml:space="preserve"> </w:t>
      </w:r>
      <w:r>
        <w:rPr>
          <w:rFonts w:ascii="Times New Roman" w:hAnsi="Times New Roman"/>
          <w:szCs w:val="24"/>
        </w:rPr>
        <w:t>у</w:t>
      </w:r>
      <w:r w:rsidR="009A763A" w:rsidRPr="00295637">
        <w:rPr>
          <w:rFonts w:ascii="Times New Roman" w:hAnsi="Times New Roman"/>
          <w:szCs w:val="24"/>
        </w:rPr>
        <w:t xml:space="preserve"> </w:t>
      </w:r>
      <w:r>
        <w:rPr>
          <w:rFonts w:ascii="Times New Roman" w:hAnsi="Times New Roman"/>
          <w:szCs w:val="24"/>
        </w:rPr>
        <w:t>полицијским</w:t>
      </w:r>
      <w:r w:rsidR="009A763A" w:rsidRPr="00295637">
        <w:rPr>
          <w:rFonts w:ascii="Times New Roman" w:hAnsi="Times New Roman"/>
          <w:szCs w:val="24"/>
        </w:rPr>
        <w:t xml:space="preserve"> </w:t>
      </w:r>
      <w:r>
        <w:rPr>
          <w:rFonts w:ascii="Times New Roman" w:hAnsi="Times New Roman"/>
          <w:szCs w:val="24"/>
        </w:rPr>
        <w:t>органима</w:t>
      </w:r>
      <w:r w:rsidR="009A763A" w:rsidRPr="00295637">
        <w:rPr>
          <w:rFonts w:ascii="Times New Roman" w:hAnsi="Times New Roman"/>
          <w:szCs w:val="24"/>
        </w:rPr>
        <w:t xml:space="preserve"> </w:t>
      </w:r>
      <w:r>
        <w:rPr>
          <w:rFonts w:ascii="Times New Roman" w:hAnsi="Times New Roman"/>
          <w:szCs w:val="24"/>
        </w:rPr>
        <w:t>БиХ</w:t>
      </w:r>
      <w:r w:rsidR="009A763A" w:rsidRPr="00295637">
        <w:rPr>
          <w:rFonts w:ascii="Times New Roman" w:hAnsi="Times New Roman"/>
          <w:szCs w:val="24"/>
        </w:rPr>
        <w:t xml:space="preserve">, </w:t>
      </w:r>
      <w:r w:rsidR="004549B1">
        <w:rPr>
          <w:rFonts w:ascii="Times New Roman" w:hAnsi="Times New Roman"/>
          <w:szCs w:val="24"/>
          <w:lang w:val="sr-Cyrl-BA"/>
        </w:rPr>
        <w:t>с</w:t>
      </w:r>
      <w:r w:rsidR="009A763A" w:rsidRPr="00295637">
        <w:rPr>
          <w:rFonts w:ascii="Times New Roman" w:hAnsi="Times New Roman"/>
          <w:szCs w:val="24"/>
        </w:rPr>
        <w:t xml:space="preserve"> </w:t>
      </w:r>
      <w:r>
        <w:rPr>
          <w:rFonts w:ascii="Times New Roman" w:hAnsi="Times New Roman"/>
          <w:szCs w:val="24"/>
        </w:rPr>
        <w:t>циљ</w:t>
      </w:r>
      <w:r w:rsidR="004549B1">
        <w:rPr>
          <w:rFonts w:ascii="Times New Roman" w:hAnsi="Times New Roman"/>
          <w:szCs w:val="24"/>
          <w:lang w:val="sr-Cyrl-BA"/>
        </w:rPr>
        <w:t>ем</w:t>
      </w:r>
      <w:r w:rsidR="009A763A" w:rsidRPr="00295637">
        <w:rPr>
          <w:rFonts w:ascii="Times New Roman" w:hAnsi="Times New Roman"/>
          <w:szCs w:val="24"/>
        </w:rPr>
        <w:t xml:space="preserve"> </w:t>
      </w:r>
      <w:r>
        <w:rPr>
          <w:rFonts w:ascii="Times New Roman" w:hAnsi="Times New Roman"/>
          <w:szCs w:val="24"/>
        </w:rPr>
        <w:t>да</w:t>
      </w:r>
      <w:r w:rsidR="009A763A" w:rsidRPr="00295637">
        <w:rPr>
          <w:rFonts w:ascii="Times New Roman" w:hAnsi="Times New Roman"/>
          <w:szCs w:val="24"/>
        </w:rPr>
        <w:t xml:space="preserve"> </w:t>
      </w:r>
      <w:r>
        <w:rPr>
          <w:rFonts w:ascii="Times New Roman" w:hAnsi="Times New Roman"/>
          <w:szCs w:val="24"/>
        </w:rPr>
        <w:t>се</w:t>
      </w:r>
      <w:r w:rsidR="009A763A" w:rsidRPr="00295637">
        <w:rPr>
          <w:rFonts w:ascii="Times New Roman" w:hAnsi="Times New Roman"/>
          <w:szCs w:val="24"/>
        </w:rPr>
        <w:t xml:space="preserve"> </w:t>
      </w:r>
      <w:r>
        <w:rPr>
          <w:rFonts w:ascii="Times New Roman" w:hAnsi="Times New Roman"/>
          <w:szCs w:val="24"/>
        </w:rPr>
        <w:t>о</w:t>
      </w:r>
      <w:r w:rsidR="004549B1">
        <w:rPr>
          <w:rFonts w:ascii="Times New Roman" w:hAnsi="Times New Roman"/>
          <w:szCs w:val="24"/>
          <w:lang w:val="sr-Cyrl-BA"/>
        </w:rPr>
        <w:t>безбиједи</w:t>
      </w:r>
      <w:r w:rsidR="009A763A" w:rsidRPr="00295637">
        <w:rPr>
          <w:rFonts w:ascii="Times New Roman" w:hAnsi="Times New Roman"/>
          <w:szCs w:val="24"/>
        </w:rPr>
        <w:t xml:space="preserve"> </w:t>
      </w:r>
      <w:r>
        <w:rPr>
          <w:rFonts w:ascii="Times New Roman" w:hAnsi="Times New Roman"/>
          <w:szCs w:val="24"/>
        </w:rPr>
        <w:t>вођење</w:t>
      </w:r>
      <w:r w:rsidR="009A763A" w:rsidRPr="00295637">
        <w:rPr>
          <w:rFonts w:ascii="Times New Roman" w:hAnsi="Times New Roman"/>
          <w:szCs w:val="24"/>
        </w:rPr>
        <w:t xml:space="preserve"> </w:t>
      </w:r>
      <w:r>
        <w:rPr>
          <w:rFonts w:ascii="Times New Roman" w:hAnsi="Times New Roman"/>
          <w:szCs w:val="24"/>
        </w:rPr>
        <w:t>родно</w:t>
      </w:r>
      <w:r w:rsidR="009A763A" w:rsidRPr="00295637">
        <w:rPr>
          <w:rFonts w:ascii="Times New Roman" w:hAnsi="Times New Roman"/>
          <w:szCs w:val="24"/>
        </w:rPr>
        <w:t xml:space="preserve"> </w:t>
      </w:r>
      <w:r>
        <w:rPr>
          <w:rFonts w:ascii="Times New Roman" w:hAnsi="Times New Roman"/>
          <w:szCs w:val="24"/>
        </w:rPr>
        <w:t>осјетљиве</w:t>
      </w:r>
      <w:r w:rsidR="009A763A" w:rsidRPr="00295637">
        <w:rPr>
          <w:rFonts w:ascii="Times New Roman" w:hAnsi="Times New Roman"/>
          <w:szCs w:val="24"/>
        </w:rPr>
        <w:t xml:space="preserve"> </w:t>
      </w:r>
      <w:r>
        <w:rPr>
          <w:rFonts w:ascii="Times New Roman" w:hAnsi="Times New Roman"/>
          <w:szCs w:val="24"/>
        </w:rPr>
        <w:t>статистике</w:t>
      </w:r>
      <w:r w:rsidR="009A763A" w:rsidRPr="00295637">
        <w:rPr>
          <w:rFonts w:ascii="Times New Roman" w:hAnsi="Times New Roman"/>
          <w:szCs w:val="24"/>
        </w:rPr>
        <w:t xml:space="preserve"> </w:t>
      </w:r>
      <w:r>
        <w:rPr>
          <w:rFonts w:ascii="Times New Roman" w:hAnsi="Times New Roman"/>
          <w:szCs w:val="24"/>
        </w:rPr>
        <w:t>и</w:t>
      </w:r>
      <w:r w:rsidR="009A763A" w:rsidRPr="00295637">
        <w:rPr>
          <w:rFonts w:ascii="Times New Roman" w:hAnsi="Times New Roman"/>
          <w:szCs w:val="24"/>
        </w:rPr>
        <w:t xml:space="preserve"> </w:t>
      </w:r>
      <w:r>
        <w:rPr>
          <w:rFonts w:ascii="Times New Roman" w:hAnsi="Times New Roman"/>
          <w:szCs w:val="24"/>
        </w:rPr>
        <w:t>креирања</w:t>
      </w:r>
      <w:r w:rsidR="009A763A" w:rsidRPr="00295637">
        <w:rPr>
          <w:rFonts w:ascii="Times New Roman" w:hAnsi="Times New Roman"/>
          <w:szCs w:val="24"/>
        </w:rPr>
        <w:t xml:space="preserve"> </w:t>
      </w:r>
      <w:r>
        <w:rPr>
          <w:rFonts w:ascii="Times New Roman" w:hAnsi="Times New Roman"/>
          <w:szCs w:val="24"/>
        </w:rPr>
        <w:t>извјештаја</w:t>
      </w:r>
      <w:r w:rsidR="009A763A" w:rsidRPr="00295637">
        <w:rPr>
          <w:rFonts w:ascii="Times New Roman" w:hAnsi="Times New Roman"/>
          <w:szCs w:val="24"/>
        </w:rPr>
        <w:t xml:space="preserve"> (</w:t>
      </w:r>
      <w:r>
        <w:rPr>
          <w:rFonts w:ascii="Times New Roman" w:hAnsi="Times New Roman"/>
          <w:szCs w:val="24"/>
        </w:rPr>
        <w:t>разврставање</w:t>
      </w:r>
      <w:r w:rsidR="009A763A" w:rsidRPr="00295637">
        <w:rPr>
          <w:rFonts w:ascii="Times New Roman" w:hAnsi="Times New Roman"/>
          <w:szCs w:val="24"/>
        </w:rPr>
        <w:t xml:space="preserve"> </w:t>
      </w:r>
      <w:r>
        <w:rPr>
          <w:rFonts w:ascii="Times New Roman" w:hAnsi="Times New Roman"/>
          <w:szCs w:val="24"/>
        </w:rPr>
        <w:t>по</w:t>
      </w:r>
      <w:r w:rsidR="009A763A" w:rsidRPr="00295637">
        <w:rPr>
          <w:rFonts w:ascii="Times New Roman" w:hAnsi="Times New Roman"/>
          <w:szCs w:val="24"/>
        </w:rPr>
        <w:t xml:space="preserve"> </w:t>
      </w:r>
      <w:r>
        <w:rPr>
          <w:rFonts w:ascii="Times New Roman" w:hAnsi="Times New Roman"/>
          <w:szCs w:val="24"/>
        </w:rPr>
        <w:t>полу</w:t>
      </w:r>
      <w:r w:rsidR="009A763A" w:rsidRPr="00295637">
        <w:rPr>
          <w:rFonts w:ascii="Times New Roman" w:hAnsi="Times New Roman"/>
          <w:szCs w:val="24"/>
        </w:rPr>
        <w:t>).</w:t>
      </w:r>
    </w:p>
    <w:p w:rsidR="009A763A" w:rsidRDefault="009A763A" w:rsidP="0086268D">
      <w:pPr>
        <w:pStyle w:val="ListParagraph"/>
        <w:ind w:left="0"/>
        <w:jc w:val="both"/>
        <w:rPr>
          <w:rFonts w:ascii="Times New Roman" w:hAnsi="Times New Roman"/>
          <w:lang w:val="sr-Latn-BA"/>
        </w:rPr>
      </w:pPr>
    </w:p>
    <w:p w:rsidR="009A763A" w:rsidRPr="0063181D" w:rsidRDefault="00C6214E" w:rsidP="0086268D">
      <w:pPr>
        <w:jc w:val="both"/>
        <w:rPr>
          <w:rFonts w:ascii="Times New Roman" w:hAnsi="Times New Roman"/>
          <w:szCs w:val="24"/>
          <w:lang w:val="bs-Latn-BA"/>
        </w:rPr>
      </w:pPr>
      <w:r>
        <w:rPr>
          <w:rFonts w:ascii="Times New Roman" w:hAnsi="Times New Roman"/>
          <w:szCs w:val="24"/>
          <w:lang w:val="bs-Latn-BA"/>
        </w:rPr>
        <w:t>Према</w:t>
      </w:r>
      <w:r w:rsidR="009A763A" w:rsidRPr="0063181D">
        <w:rPr>
          <w:rFonts w:ascii="Times New Roman" w:hAnsi="Times New Roman"/>
          <w:szCs w:val="24"/>
          <w:lang w:val="bs-Latn-BA"/>
        </w:rPr>
        <w:t xml:space="preserve"> </w:t>
      </w:r>
      <w:r>
        <w:rPr>
          <w:rFonts w:ascii="Times New Roman" w:hAnsi="Times New Roman"/>
          <w:szCs w:val="24"/>
          <w:lang w:val="bs-Latn-BA"/>
        </w:rPr>
        <w:t>посљедњим</w:t>
      </w:r>
      <w:r w:rsidR="009A763A" w:rsidRPr="0063181D">
        <w:rPr>
          <w:rFonts w:ascii="Times New Roman" w:hAnsi="Times New Roman"/>
          <w:szCs w:val="24"/>
          <w:lang w:val="bs-Latn-BA"/>
        </w:rPr>
        <w:t xml:space="preserve"> </w:t>
      </w:r>
      <w:r>
        <w:rPr>
          <w:rFonts w:ascii="Times New Roman" w:hAnsi="Times New Roman"/>
          <w:szCs w:val="24"/>
          <w:lang w:val="bs-Latn-BA"/>
        </w:rPr>
        <w:t>доступним</w:t>
      </w:r>
      <w:r w:rsidR="009A763A" w:rsidRPr="0063181D">
        <w:rPr>
          <w:rFonts w:ascii="Times New Roman" w:hAnsi="Times New Roman"/>
          <w:szCs w:val="24"/>
          <w:lang w:val="bs-Latn-BA"/>
        </w:rPr>
        <w:t xml:space="preserve"> </w:t>
      </w:r>
      <w:r>
        <w:rPr>
          <w:rFonts w:ascii="Times New Roman" w:hAnsi="Times New Roman"/>
          <w:szCs w:val="24"/>
          <w:lang w:val="bs-Latn-BA"/>
        </w:rPr>
        <w:t>подацима</w:t>
      </w:r>
      <w:r w:rsidR="009A763A" w:rsidRPr="0063181D">
        <w:rPr>
          <w:rFonts w:ascii="Times New Roman" w:hAnsi="Times New Roman"/>
          <w:szCs w:val="24"/>
          <w:lang w:val="bs-Latn-BA"/>
        </w:rPr>
        <w:t xml:space="preserve"> </w:t>
      </w:r>
      <w:r>
        <w:rPr>
          <w:rFonts w:ascii="Times New Roman" w:hAnsi="Times New Roman"/>
          <w:szCs w:val="24"/>
          <w:lang w:val="bs-Latn-BA"/>
        </w:rPr>
        <w:t>за</w:t>
      </w:r>
      <w:r w:rsidR="009A763A" w:rsidRPr="0063181D">
        <w:rPr>
          <w:rFonts w:ascii="Times New Roman" w:hAnsi="Times New Roman"/>
          <w:szCs w:val="24"/>
          <w:lang w:val="bs-Latn-BA"/>
        </w:rPr>
        <w:t xml:space="preserve"> 2023</w:t>
      </w:r>
      <w:r w:rsidR="00DC19C9">
        <w:rPr>
          <w:rFonts w:ascii="Times New Roman" w:hAnsi="Times New Roman"/>
          <w:szCs w:val="24"/>
          <w:lang w:val="bs-Latn-BA"/>
        </w:rPr>
        <w:t>.</w:t>
      </w:r>
      <w:r w:rsidR="009A763A" w:rsidRPr="0063181D">
        <w:rPr>
          <w:rFonts w:ascii="Times New Roman" w:hAnsi="Times New Roman"/>
          <w:szCs w:val="24"/>
          <w:lang w:val="bs-Latn-BA"/>
        </w:rPr>
        <w:t xml:space="preserve"> </w:t>
      </w:r>
      <w:r>
        <w:rPr>
          <w:rFonts w:ascii="Times New Roman" w:hAnsi="Times New Roman"/>
          <w:szCs w:val="24"/>
          <w:lang w:val="bs-Latn-BA"/>
        </w:rPr>
        <w:t>и</w:t>
      </w:r>
      <w:r w:rsidR="009A763A" w:rsidRPr="0063181D">
        <w:rPr>
          <w:rFonts w:ascii="Times New Roman" w:hAnsi="Times New Roman"/>
          <w:szCs w:val="24"/>
          <w:lang w:val="bs-Latn-BA"/>
        </w:rPr>
        <w:t xml:space="preserve"> 2024. </w:t>
      </w:r>
      <w:r>
        <w:rPr>
          <w:rFonts w:ascii="Times New Roman" w:hAnsi="Times New Roman"/>
          <w:szCs w:val="24"/>
          <w:lang w:val="bs-Latn-BA"/>
        </w:rPr>
        <w:t>годину</w:t>
      </w:r>
      <w:r w:rsidR="009A763A" w:rsidRPr="0063181D">
        <w:rPr>
          <w:rFonts w:ascii="Times New Roman" w:hAnsi="Times New Roman"/>
          <w:szCs w:val="24"/>
          <w:lang w:val="bs-Latn-BA"/>
        </w:rPr>
        <w:t xml:space="preserve">, </w:t>
      </w:r>
      <w:r>
        <w:rPr>
          <w:rFonts w:ascii="Times New Roman" w:hAnsi="Times New Roman"/>
          <w:szCs w:val="24"/>
          <w:lang w:val="bs-Latn-BA"/>
        </w:rPr>
        <w:t>просјечна</w:t>
      </w:r>
      <w:r w:rsidR="009A763A" w:rsidRPr="0063181D">
        <w:rPr>
          <w:rFonts w:ascii="Times New Roman" w:hAnsi="Times New Roman"/>
          <w:szCs w:val="24"/>
          <w:lang w:val="bs-Latn-BA"/>
        </w:rPr>
        <w:t xml:space="preserve"> </w:t>
      </w:r>
      <w:r>
        <w:rPr>
          <w:rFonts w:ascii="Times New Roman" w:hAnsi="Times New Roman"/>
          <w:bCs/>
          <w:szCs w:val="24"/>
          <w:lang w:val="bs-Latn-BA"/>
        </w:rPr>
        <w:t>заступљеност</w:t>
      </w:r>
      <w:r w:rsidR="009A763A" w:rsidRPr="0063181D">
        <w:rPr>
          <w:rFonts w:ascii="Times New Roman" w:hAnsi="Times New Roman"/>
          <w:bCs/>
          <w:szCs w:val="24"/>
          <w:lang w:val="bs-Latn-BA"/>
        </w:rPr>
        <w:t xml:space="preserve"> </w:t>
      </w:r>
      <w:r>
        <w:rPr>
          <w:rFonts w:ascii="Times New Roman" w:hAnsi="Times New Roman"/>
          <w:bCs/>
          <w:szCs w:val="24"/>
          <w:lang w:val="bs-Latn-BA"/>
        </w:rPr>
        <w:t>жена</w:t>
      </w:r>
      <w:r w:rsidR="009A763A" w:rsidRPr="0063181D">
        <w:rPr>
          <w:rFonts w:ascii="Times New Roman" w:hAnsi="Times New Roman"/>
          <w:bCs/>
          <w:szCs w:val="24"/>
          <w:lang w:val="bs-Latn-BA"/>
        </w:rPr>
        <w:t xml:space="preserve"> </w:t>
      </w:r>
      <w:r>
        <w:rPr>
          <w:rFonts w:ascii="Times New Roman" w:hAnsi="Times New Roman"/>
          <w:bCs/>
          <w:szCs w:val="24"/>
          <w:lang w:val="bs-Latn-BA"/>
        </w:rPr>
        <w:t>у</w:t>
      </w:r>
      <w:r w:rsidR="009A763A" w:rsidRPr="0063181D">
        <w:rPr>
          <w:rFonts w:ascii="Times New Roman" w:hAnsi="Times New Roman"/>
          <w:bCs/>
          <w:szCs w:val="24"/>
          <w:lang w:val="bs-Latn-BA"/>
        </w:rPr>
        <w:t xml:space="preserve"> </w:t>
      </w:r>
      <w:r>
        <w:rPr>
          <w:rFonts w:ascii="Times New Roman" w:hAnsi="Times New Roman"/>
          <w:bCs/>
          <w:szCs w:val="24"/>
          <w:lang w:val="bs-Latn-BA"/>
        </w:rPr>
        <w:t>полицијским</w:t>
      </w:r>
      <w:r w:rsidR="009A763A" w:rsidRPr="0063181D">
        <w:rPr>
          <w:rFonts w:ascii="Times New Roman" w:hAnsi="Times New Roman"/>
          <w:bCs/>
          <w:szCs w:val="24"/>
          <w:lang w:val="bs-Latn-BA"/>
        </w:rPr>
        <w:t xml:space="preserve"> </w:t>
      </w:r>
      <w:r>
        <w:rPr>
          <w:rFonts w:ascii="Times New Roman" w:hAnsi="Times New Roman"/>
          <w:bCs/>
          <w:szCs w:val="24"/>
          <w:lang w:val="bs-Latn-BA"/>
        </w:rPr>
        <w:t>структурама</w:t>
      </w:r>
      <w:r w:rsidR="009A763A" w:rsidRPr="0063181D">
        <w:rPr>
          <w:rFonts w:ascii="Times New Roman" w:hAnsi="Times New Roman"/>
          <w:bCs/>
          <w:szCs w:val="24"/>
          <w:lang w:val="bs-Latn-BA"/>
        </w:rPr>
        <w:t xml:space="preserve"> </w:t>
      </w:r>
      <w:r>
        <w:rPr>
          <w:rFonts w:ascii="Times New Roman" w:hAnsi="Times New Roman"/>
          <w:bCs/>
          <w:szCs w:val="24"/>
          <w:lang w:val="bs-Latn-BA"/>
        </w:rPr>
        <w:t>на</w:t>
      </w:r>
      <w:r w:rsidR="009A763A" w:rsidRPr="0063181D">
        <w:rPr>
          <w:rFonts w:ascii="Times New Roman" w:hAnsi="Times New Roman"/>
          <w:bCs/>
          <w:szCs w:val="24"/>
          <w:lang w:val="bs-Latn-BA"/>
        </w:rPr>
        <w:t xml:space="preserve"> </w:t>
      </w:r>
      <w:r>
        <w:rPr>
          <w:rFonts w:ascii="Times New Roman" w:hAnsi="Times New Roman"/>
          <w:bCs/>
          <w:szCs w:val="24"/>
          <w:lang w:val="bs-Latn-BA"/>
        </w:rPr>
        <w:t>свим</w:t>
      </w:r>
      <w:r w:rsidR="009A763A" w:rsidRPr="0063181D">
        <w:rPr>
          <w:rFonts w:ascii="Times New Roman" w:hAnsi="Times New Roman"/>
          <w:bCs/>
          <w:szCs w:val="24"/>
          <w:lang w:val="bs-Latn-BA"/>
        </w:rPr>
        <w:t xml:space="preserve"> </w:t>
      </w:r>
      <w:r>
        <w:rPr>
          <w:rFonts w:ascii="Times New Roman" w:hAnsi="Times New Roman"/>
          <w:bCs/>
          <w:szCs w:val="24"/>
          <w:lang w:val="bs-Latn-BA"/>
        </w:rPr>
        <w:t>нивоима</w:t>
      </w:r>
      <w:r w:rsidR="009A763A" w:rsidRPr="0063181D">
        <w:rPr>
          <w:rFonts w:ascii="Times New Roman" w:hAnsi="Times New Roman"/>
          <w:bCs/>
          <w:szCs w:val="24"/>
          <w:lang w:val="bs-Latn-BA"/>
        </w:rPr>
        <w:t xml:space="preserve"> </w:t>
      </w:r>
      <w:r>
        <w:rPr>
          <w:rFonts w:ascii="Times New Roman" w:hAnsi="Times New Roman"/>
          <w:bCs/>
          <w:szCs w:val="24"/>
          <w:lang w:val="bs-Latn-BA"/>
        </w:rPr>
        <w:t>власти</w:t>
      </w:r>
      <w:r w:rsidR="009A763A" w:rsidRPr="0063181D">
        <w:rPr>
          <w:rFonts w:ascii="Times New Roman" w:hAnsi="Times New Roman"/>
          <w:bCs/>
          <w:szCs w:val="24"/>
          <w:lang w:val="bs-Latn-BA"/>
        </w:rPr>
        <w:t xml:space="preserve"> </w:t>
      </w:r>
      <w:r>
        <w:rPr>
          <w:rFonts w:ascii="Times New Roman" w:hAnsi="Times New Roman"/>
          <w:bCs/>
          <w:szCs w:val="24"/>
          <w:lang w:val="bs-Latn-BA"/>
        </w:rPr>
        <w:t>у</w:t>
      </w:r>
      <w:r w:rsidR="009A763A" w:rsidRPr="0063181D">
        <w:rPr>
          <w:rFonts w:ascii="Times New Roman" w:hAnsi="Times New Roman"/>
          <w:bCs/>
          <w:szCs w:val="24"/>
          <w:lang w:val="bs-Latn-BA"/>
        </w:rPr>
        <w:t xml:space="preserve"> </w:t>
      </w:r>
      <w:r>
        <w:rPr>
          <w:rFonts w:ascii="Times New Roman" w:hAnsi="Times New Roman"/>
          <w:bCs/>
          <w:szCs w:val="24"/>
          <w:lang w:val="bs-Latn-BA"/>
        </w:rPr>
        <w:t>БиХ</w:t>
      </w:r>
      <w:r w:rsidR="009A763A" w:rsidRPr="0063181D">
        <w:rPr>
          <w:rFonts w:ascii="Times New Roman" w:hAnsi="Times New Roman"/>
          <w:bCs/>
          <w:szCs w:val="24"/>
          <w:lang w:val="bs-Latn-BA"/>
        </w:rPr>
        <w:t xml:space="preserve"> </w:t>
      </w:r>
      <w:r>
        <w:rPr>
          <w:rFonts w:ascii="Times New Roman" w:hAnsi="Times New Roman"/>
          <w:szCs w:val="24"/>
          <w:lang w:val="bs-Latn-BA"/>
        </w:rPr>
        <w:t>се</w:t>
      </w:r>
      <w:r w:rsidR="009A763A" w:rsidRPr="0063181D">
        <w:rPr>
          <w:rFonts w:ascii="Times New Roman" w:hAnsi="Times New Roman"/>
          <w:szCs w:val="24"/>
          <w:lang w:val="bs-Latn-BA"/>
        </w:rPr>
        <w:t xml:space="preserve"> </w:t>
      </w:r>
      <w:r>
        <w:rPr>
          <w:rFonts w:ascii="Times New Roman" w:hAnsi="Times New Roman"/>
          <w:szCs w:val="24"/>
          <w:lang w:val="bs-Latn-BA"/>
        </w:rPr>
        <w:t>повећала</w:t>
      </w:r>
      <w:r w:rsidR="009A763A" w:rsidRPr="0063181D">
        <w:rPr>
          <w:rFonts w:ascii="Times New Roman" w:hAnsi="Times New Roman"/>
          <w:szCs w:val="24"/>
          <w:lang w:val="bs-Latn-BA"/>
        </w:rPr>
        <w:t xml:space="preserve"> </w:t>
      </w:r>
      <w:r>
        <w:rPr>
          <w:rFonts w:ascii="Times New Roman" w:hAnsi="Times New Roman"/>
          <w:szCs w:val="24"/>
          <w:lang w:val="bs-Latn-BA"/>
        </w:rPr>
        <w:t>на</w:t>
      </w:r>
      <w:r w:rsidR="009A763A" w:rsidRPr="0063181D">
        <w:rPr>
          <w:rFonts w:ascii="Times New Roman" w:hAnsi="Times New Roman"/>
          <w:szCs w:val="24"/>
          <w:lang w:val="bs-Latn-BA"/>
        </w:rPr>
        <w:t xml:space="preserve"> </w:t>
      </w:r>
      <w:r>
        <w:rPr>
          <w:rFonts w:ascii="Times New Roman" w:hAnsi="Times New Roman"/>
          <w:bCs/>
          <w:szCs w:val="24"/>
          <w:lang w:val="bs-Latn-BA"/>
        </w:rPr>
        <w:t>око</w:t>
      </w:r>
      <w:r w:rsidR="009A763A" w:rsidRPr="0063181D">
        <w:rPr>
          <w:rFonts w:ascii="Times New Roman" w:hAnsi="Times New Roman"/>
          <w:bCs/>
          <w:szCs w:val="24"/>
          <w:lang w:val="bs-Latn-BA"/>
        </w:rPr>
        <w:t xml:space="preserve"> 11%. </w:t>
      </w:r>
      <w:r>
        <w:rPr>
          <w:rFonts w:ascii="Times New Roman" w:hAnsi="Times New Roman"/>
          <w:szCs w:val="24"/>
          <w:lang w:val="bs-Latn-BA"/>
        </w:rPr>
        <w:t>Жене</w:t>
      </w:r>
      <w:r w:rsidR="009A763A" w:rsidRPr="0063181D">
        <w:rPr>
          <w:rFonts w:ascii="Times New Roman" w:hAnsi="Times New Roman"/>
          <w:szCs w:val="24"/>
          <w:lang w:val="bs-Latn-BA"/>
        </w:rPr>
        <w:t xml:space="preserve"> </w:t>
      </w:r>
      <w:r>
        <w:rPr>
          <w:rFonts w:ascii="Times New Roman" w:hAnsi="Times New Roman"/>
          <w:szCs w:val="24"/>
          <w:lang w:val="bs-Latn-BA"/>
        </w:rPr>
        <w:t>су</w:t>
      </w:r>
      <w:r w:rsidR="009A763A" w:rsidRPr="0063181D">
        <w:rPr>
          <w:rFonts w:ascii="Times New Roman" w:hAnsi="Times New Roman"/>
          <w:szCs w:val="24"/>
          <w:lang w:val="bs-Latn-BA"/>
        </w:rPr>
        <w:t xml:space="preserve">, </w:t>
      </w:r>
      <w:r>
        <w:rPr>
          <w:rFonts w:ascii="Times New Roman" w:hAnsi="Times New Roman"/>
          <w:szCs w:val="24"/>
          <w:lang w:val="bs-Latn-BA"/>
        </w:rPr>
        <w:t>углавном</w:t>
      </w:r>
      <w:r w:rsidR="009A763A" w:rsidRPr="0063181D">
        <w:rPr>
          <w:rFonts w:ascii="Times New Roman" w:hAnsi="Times New Roman"/>
          <w:szCs w:val="24"/>
          <w:lang w:val="bs-Latn-BA"/>
        </w:rPr>
        <w:t xml:space="preserve">, </w:t>
      </w:r>
      <w:r>
        <w:rPr>
          <w:rFonts w:ascii="Times New Roman" w:hAnsi="Times New Roman"/>
          <w:szCs w:val="24"/>
          <w:lang w:val="bs-Latn-BA"/>
        </w:rPr>
        <w:t>на</w:t>
      </w:r>
      <w:r w:rsidR="009A763A" w:rsidRPr="0063181D">
        <w:rPr>
          <w:rFonts w:ascii="Times New Roman" w:hAnsi="Times New Roman"/>
          <w:szCs w:val="24"/>
          <w:lang w:val="bs-Latn-BA"/>
        </w:rPr>
        <w:t xml:space="preserve"> </w:t>
      </w:r>
      <w:r>
        <w:rPr>
          <w:rFonts w:ascii="Times New Roman" w:hAnsi="Times New Roman"/>
          <w:szCs w:val="24"/>
          <w:lang w:val="bs-Latn-BA"/>
        </w:rPr>
        <w:t>позицијама</w:t>
      </w:r>
      <w:r w:rsidR="009A763A" w:rsidRPr="0063181D">
        <w:rPr>
          <w:rFonts w:ascii="Times New Roman" w:hAnsi="Times New Roman"/>
          <w:szCs w:val="24"/>
          <w:lang w:val="bs-Latn-BA"/>
        </w:rPr>
        <w:t xml:space="preserve"> </w:t>
      </w:r>
      <w:r>
        <w:rPr>
          <w:rFonts w:ascii="Times New Roman" w:hAnsi="Times New Roman"/>
          <w:szCs w:val="24"/>
          <w:lang w:val="bs-Latn-BA"/>
        </w:rPr>
        <w:t>полицајки</w:t>
      </w:r>
      <w:r w:rsidR="009A763A" w:rsidRPr="0063181D">
        <w:rPr>
          <w:rFonts w:ascii="Times New Roman" w:hAnsi="Times New Roman"/>
          <w:szCs w:val="24"/>
          <w:lang w:val="bs-Latn-BA"/>
        </w:rPr>
        <w:t xml:space="preserve"> </w:t>
      </w:r>
      <w:r>
        <w:rPr>
          <w:rFonts w:ascii="Times New Roman" w:hAnsi="Times New Roman"/>
          <w:szCs w:val="24"/>
          <w:lang w:val="bs-Latn-BA"/>
        </w:rPr>
        <w:t>и</w:t>
      </w:r>
      <w:r w:rsidR="009A763A" w:rsidRPr="0063181D">
        <w:rPr>
          <w:rFonts w:ascii="Times New Roman" w:hAnsi="Times New Roman"/>
          <w:szCs w:val="24"/>
          <w:lang w:val="bs-Latn-BA"/>
        </w:rPr>
        <w:t xml:space="preserve"> </w:t>
      </w:r>
      <w:r>
        <w:rPr>
          <w:rFonts w:ascii="Times New Roman" w:hAnsi="Times New Roman"/>
          <w:szCs w:val="24"/>
          <w:lang w:val="bs-Latn-BA"/>
        </w:rPr>
        <w:t>старијих</w:t>
      </w:r>
      <w:r w:rsidR="009A763A" w:rsidRPr="0063181D">
        <w:rPr>
          <w:rFonts w:ascii="Times New Roman" w:hAnsi="Times New Roman"/>
          <w:szCs w:val="24"/>
          <w:lang w:val="bs-Latn-BA"/>
        </w:rPr>
        <w:t xml:space="preserve"> </w:t>
      </w:r>
      <w:r>
        <w:rPr>
          <w:rFonts w:ascii="Times New Roman" w:hAnsi="Times New Roman"/>
          <w:szCs w:val="24"/>
          <w:lang w:val="bs-Latn-BA"/>
        </w:rPr>
        <w:t>полицајки</w:t>
      </w:r>
      <w:r w:rsidR="009A763A" w:rsidRPr="0063181D">
        <w:rPr>
          <w:rFonts w:ascii="Times New Roman" w:hAnsi="Times New Roman"/>
          <w:szCs w:val="24"/>
          <w:lang w:val="bs-Latn-BA"/>
        </w:rPr>
        <w:t xml:space="preserve">, </w:t>
      </w:r>
      <w:r>
        <w:rPr>
          <w:rFonts w:ascii="Times New Roman" w:hAnsi="Times New Roman"/>
          <w:szCs w:val="24"/>
          <w:lang w:val="bs-Latn-BA"/>
        </w:rPr>
        <w:t>млађих</w:t>
      </w:r>
      <w:r w:rsidR="009A763A" w:rsidRPr="0063181D">
        <w:rPr>
          <w:rFonts w:ascii="Times New Roman" w:hAnsi="Times New Roman"/>
          <w:szCs w:val="24"/>
          <w:lang w:val="bs-Latn-BA"/>
        </w:rPr>
        <w:t xml:space="preserve"> </w:t>
      </w:r>
      <w:r>
        <w:rPr>
          <w:rFonts w:ascii="Times New Roman" w:hAnsi="Times New Roman"/>
          <w:szCs w:val="24"/>
          <w:lang w:val="bs-Latn-BA"/>
        </w:rPr>
        <w:t>инспекторица</w:t>
      </w:r>
      <w:r w:rsidR="009A763A" w:rsidRPr="0063181D">
        <w:rPr>
          <w:rFonts w:ascii="Times New Roman" w:hAnsi="Times New Roman"/>
          <w:szCs w:val="24"/>
          <w:lang w:val="bs-Latn-BA"/>
        </w:rPr>
        <w:t xml:space="preserve">, </w:t>
      </w:r>
      <w:r>
        <w:rPr>
          <w:rFonts w:ascii="Times New Roman" w:hAnsi="Times New Roman"/>
          <w:szCs w:val="24"/>
          <w:lang w:val="bs-Latn-BA"/>
        </w:rPr>
        <w:t>инспекторица</w:t>
      </w:r>
      <w:r w:rsidR="009A763A" w:rsidRPr="0063181D">
        <w:rPr>
          <w:rFonts w:ascii="Times New Roman" w:hAnsi="Times New Roman"/>
          <w:szCs w:val="24"/>
          <w:lang w:val="bs-Latn-BA"/>
        </w:rPr>
        <w:t xml:space="preserve"> </w:t>
      </w:r>
      <w:r>
        <w:rPr>
          <w:rFonts w:ascii="Times New Roman" w:hAnsi="Times New Roman"/>
          <w:szCs w:val="24"/>
          <w:lang w:val="bs-Latn-BA"/>
        </w:rPr>
        <w:t>и</w:t>
      </w:r>
      <w:r w:rsidR="009A763A" w:rsidRPr="0063181D">
        <w:rPr>
          <w:rFonts w:ascii="Times New Roman" w:hAnsi="Times New Roman"/>
          <w:szCs w:val="24"/>
          <w:lang w:val="bs-Latn-BA"/>
        </w:rPr>
        <w:t xml:space="preserve"> </w:t>
      </w:r>
      <w:r>
        <w:rPr>
          <w:rFonts w:ascii="Times New Roman" w:hAnsi="Times New Roman"/>
          <w:szCs w:val="24"/>
          <w:lang w:val="bs-Latn-BA"/>
        </w:rPr>
        <w:t>виших</w:t>
      </w:r>
      <w:r w:rsidR="009A763A" w:rsidRPr="0063181D">
        <w:rPr>
          <w:rFonts w:ascii="Times New Roman" w:hAnsi="Times New Roman"/>
          <w:szCs w:val="24"/>
          <w:lang w:val="bs-Latn-BA"/>
        </w:rPr>
        <w:t xml:space="preserve"> </w:t>
      </w:r>
      <w:r>
        <w:rPr>
          <w:rFonts w:ascii="Times New Roman" w:hAnsi="Times New Roman"/>
          <w:szCs w:val="24"/>
          <w:lang w:val="bs-Latn-BA"/>
        </w:rPr>
        <w:t>инспекторица</w:t>
      </w:r>
      <w:r w:rsidR="009A763A" w:rsidRPr="0063181D">
        <w:rPr>
          <w:rFonts w:ascii="Times New Roman" w:hAnsi="Times New Roman"/>
          <w:szCs w:val="24"/>
          <w:lang w:val="bs-Latn-BA"/>
        </w:rPr>
        <w:t xml:space="preserve">, </w:t>
      </w:r>
      <w:r>
        <w:rPr>
          <w:rFonts w:ascii="Times New Roman" w:hAnsi="Times New Roman"/>
          <w:szCs w:val="24"/>
          <w:lang w:val="bs-Latn-BA"/>
        </w:rPr>
        <w:t>те</w:t>
      </w:r>
      <w:r w:rsidR="009A763A" w:rsidRPr="0063181D">
        <w:rPr>
          <w:rFonts w:ascii="Times New Roman" w:hAnsi="Times New Roman"/>
          <w:szCs w:val="24"/>
          <w:lang w:val="bs-Latn-BA"/>
        </w:rPr>
        <w:t xml:space="preserve"> </w:t>
      </w:r>
      <w:r>
        <w:rPr>
          <w:rFonts w:ascii="Times New Roman" w:hAnsi="Times New Roman"/>
          <w:szCs w:val="24"/>
          <w:lang w:val="bs-Latn-BA"/>
        </w:rPr>
        <w:t>су</w:t>
      </w:r>
      <w:r w:rsidR="009A763A" w:rsidRPr="0063181D">
        <w:rPr>
          <w:rFonts w:ascii="Times New Roman" w:hAnsi="Times New Roman"/>
          <w:szCs w:val="24"/>
          <w:lang w:val="bs-Latn-BA"/>
        </w:rPr>
        <w:t xml:space="preserve"> </w:t>
      </w:r>
      <w:r>
        <w:rPr>
          <w:rFonts w:ascii="Times New Roman" w:hAnsi="Times New Roman"/>
          <w:szCs w:val="24"/>
          <w:lang w:val="bs-Latn-BA"/>
        </w:rPr>
        <w:t>и</w:t>
      </w:r>
      <w:r w:rsidR="009A763A" w:rsidRPr="0063181D">
        <w:rPr>
          <w:rFonts w:ascii="Times New Roman" w:hAnsi="Times New Roman"/>
          <w:szCs w:val="24"/>
          <w:lang w:val="bs-Latn-BA"/>
        </w:rPr>
        <w:t xml:space="preserve"> </w:t>
      </w:r>
      <w:r>
        <w:rPr>
          <w:rFonts w:ascii="Times New Roman" w:hAnsi="Times New Roman"/>
          <w:szCs w:val="24"/>
          <w:lang w:val="bs-Latn-BA"/>
        </w:rPr>
        <w:t>даље</w:t>
      </w:r>
      <w:r w:rsidR="009A763A" w:rsidRPr="0063181D">
        <w:rPr>
          <w:rFonts w:ascii="Times New Roman" w:hAnsi="Times New Roman"/>
          <w:szCs w:val="24"/>
          <w:lang w:val="bs-Latn-BA"/>
        </w:rPr>
        <w:t xml:space="preserve"> </w:t>
      </w:r>
      <w:r>
        <w:rPr>
          <w:rFonts w:ascii="Times New Roman" w:hAnsi="Times New Roman"/>
          <w:szCs w:val="24"/>
          <w:lang w:val="bs-Latn-BA"/>
        </w:rPr>
        <w:t>подзаступљене</w:t>
      </w:r>
      <w:r w:rsidR="009A763A" w:rsidRPr="0063181D">
        <w:rPr>
          <w:rFonts w:ascii="Times New Roman" w:hAnsi="Times New Roman"/>
          <w:szCs w:val="24"/>
          <w:lang w:val="bs-Latn-BA"/>
        </w:rPr>
        <w:t xml:space="preserve"> </w:t>
      </w:r>
      <w:r>
        <w:rPr>
          <w:rFonts w:ascii="Times New Roman" w:hAnsi="Times New Roman"/>
          <w:szCs w:val="24"/>
          <w:lang w:val="bs-Latn-BA"/>
        </w:rPr>
        <w:t>у</w:t>
      </w:r>
      <w:r w:rsidR="009A763A" w:rsidRPr="0063181D">
        <w:rPr>
          <w:rFonts w:ascii="Times New Roman" w:hAnsi="Times New Roman"/>
          <w:szCs w:val="24"/>
          <w:lang w:val="bs-Latn-BA"/>
        </w:rPr>
        <w:t xml:space="preserve"> </w:t>
      </w:r>
      <w:r>
        <w:rPr>
          <w:rFonts w:ascii="Times New Roman" w:hAnsi="Times New Roman"/>
          <w:szCs w:val="24"/>
          <w:lang w:val="bs-Latn-BA"/>
        </w:rPr>
        <w:t>полицијским</w:t>
      </w:r>
      <w:r w:rsidR="009A763A" w:rsidRPr="0063181D">
        <w:rPr>
          <w:rFonts w:ascii="Times New Roman" w:hAnsi="Times New Roman"/>
          <w:szCs w:val="24"/>
          <w:lang w:val="bs-Latn-BA"/>
        </w:rPr>
        <w:t xml:space="preserve"> </w:t>
      </w:r>
      <w:r>
        <w:rPr>
          <w:rFonts w:ascii="Times New Roman" w:hAnsi="Times New Roman"/>
          <w:szCs w:val="24"/>
          <w:lang w:val="bs-Latn-BA"/>
        </w:rPr>
        <w:t>структурама</w:t>
      </w:r>
      <w:r w:rsidR="009A763A" w:rsidRPr="0063181D">
        <w:rPr>
          <w:rFonts w:ascii="Times New Roman" w:hAnsi="Times New Roman"/>
          <w:szCs w:val="24"/>
          <w:lang w:val="bs-Latn-BA"/>
        </w:rPr>
        <w:t xml:space="preserve">, </w:t>
      </w:r>
      <w:r>
        <w:rPr>
          <w:rFonts w:ascii="Times New Roman" w:hAnsi="Times New Roman"/>
          <w:szCs w:val="24"/>
          <w:lang w:val="bs-Latn-BA"/>
        </w:rPr>
        <w:t>а</w:t>
      </w:r>
      <w:r w:rsidR="009A763A" w:rsidRPr="0063181D">
        <w:rPr>
          <w:rFonts w:ascii="Times New Roman" w:hAnsi="Times New Roman"/>
          <w:szCs w:val="24"/>
          <w:lang w:val="bs-Latn-BA"/>
        </w:rPr>
        <w:t xml:space="preserve"> </w:t>
      </w:r>
      <w:r>
        <w:rPr>
          <w:rFonts w:ascii="Times New Roman" w:hAnsi="Times New Roman"/>
          <w:szCs w:val="24"/>
          <w:lang w:val="bs-Latn-BA"/>
        </w:rPr>
        <w:t>посебно</w:t>
      </w:r>
      <w:r w:rsidR="009A763A" w:rsidRPr="0063181D">
        <w:rPr>
          <w:rFonts w:ascii="Times New Roman" w:hAnsi="Times New Roman"/>
          <w:szCs w:val="24"/>
          <w:lang w:val="bs-Latn-BA"/>
        </w:rPr>
        <w:t xml:space="preserve"> </w:t>
      </w:r>
      <w:r>
        <w:rPr>
          <w:rFonts w:ascii="Times New Roman" w:hAnsi="Times New Roman"/>
          <w:szCs w:val="24"/>
          <w:lang w:val="bs-Latn-BA"/>
        </w:rPr>
        <w:t>на</w:t>
      </w:r>
      <w:r w:rsidR="009A763A" w:rsidRPr="0063181D">
        <w:rPr>
          <w:rFonts w:ascii="Times New Roman" w:hAnsi="Times New Roman"/>
          <w:szCs w:val="24"/>
          <w:lang w:val="bs-Latn-BA"/>
        </w:rPr>
        <w:t xml:space="preserve"> </w:t>
      </w:r>
      <w:r>
        <w:rPr>
          <w:rFonts w:ascii="Times New Roman" w:hAnsi="Times New Roman"/>
          <w:szCs w:val="24"/>
          <w:lang w:val="bs-Latn-BA"/>
        </w:rPr>
        <w:t>највишим</w:t>
      </w:r>
      <w:r w:rsidR="00DC19C9">
        <w:rPr>
          <w:rFonts w:ascii="Times New Roman" w:hAnsi="Times New Roman"/>
          <w:szCs w:val="24"/>
          <w:lang w:val="bs-Latn-BA"/>
        </w:rPr>
        <w:t xml:space="preserve"> </w:t>
      </w:r>
      <w:r>
        <w:rPr>
          <w:rFonts w:ascii="Times New Roman" w:hAnsi="Times New Roman"/>
          <w:szCs w:val="24"/>
          <w:lang w:val="bs-Latn-BA"/>
        </w:rPr>
        <w:t>руководећим</w:t>
      </w:r>
      <w:r w:rsidR="00DC19C9">
        <w:rPr>
          <w:rFonts w:ascii="Times New Roman" w:hAnsi="Times New Roman"/>
          <w:szCs w:val="24"/>
          <w:lang w:val="bs-Latn-BA"/>
        </w:rPr>
        <w:t xml:space="preserve"> </w:t>
      </w:r>
      <w:r>
        <w:rPr>
          <w:rFonts w:ascii="Times New Roman" w:hAnsi="Times New Roman"/>
          <w:szCs w:val="24"/>
          <w:lang w:val="bs-Latn-BA"/>
        </w:rPr>
        <w:t>позицијама</w:t>
      </w:r>
      <w:r w:rsidR="00DC19C9">
        <w:rPr>
          <w:rFonts w:ascii="Times New Roman" w:hAnsi="Times New Roman"/>
          <w:szCs w:val="24"/>
          <w:lang w:val="bs-Latn-BA"/>
        </w:rPr>
        <w:t xml:space="preserve"> </w:t>
      </w:r>
      <w:r>
        <w:rPr>
          <w:rFonts w:ascii="Times New Roman" w:hAnsi="Times New Roman"/>
          <w:szCs w:val="24"/>
          <w:lang w:val="bs-Latn-BA"/>
        </w:rPr>
        <w:t>са</w:t>
      </w:r>
      <w:r w:rsidR="009A763A" w:rsidRPr="0063181D">
        <w:rPr>
          <w:rFonts w:ascii="Times New Roman" w:hAnsi="Times New Roman"/>
          <w:szCs w:val="24"/>
          <w:lang w:val="bs-Latn-BA"/>
        </w:rPr>
        <w:t xml:space="preserve"> </w:t>
      </w:r>
      <w:r>
        <w:rPr>
          <w:rFonts w:ascii="Times New Roman" w:hAnsi="Times New Roman"/>
          <w:szCs w:val="24"/>
          <w:lang w:val="bs-Latn-BA"/>
        </w:rPr>
        <w:t>вишим</w:t>
      </w:r>
      <w:r w:rsidR="009A763A" w:rsidRPr="0063181D">
        <w:rPr>
          <w:rFonts w:ascii="Times New Roman" w:hAnsi="Times New Roman"/>
          <w:szCs w:val="24"/>
          <w:lang w:val="bs-Latn-BA"/>
        </w:rPr>
        <w:t xml:space="preserve"> </w:t>
      </w:r>
      <w:r>
        <w:rPr>
          <w:rFonts w:ascii="Times New Roman" w:hAnsi="Times New Roman"/>
          <w:szCs w:val="24"/>
          <w:lang w:val="bs-Latn-BA"/>
        </w:rPr>
        <w:t>чиновима</w:t>
      </w:r>
      <w:r w:rsidR="009A763A" w:rsidRPr="0063181D">
        <w:rPr>
          <w:rFonts w:ascii="Times New Roman" w:hAnsi="Times New Roman"/>
          <w:szCs w:val="24"/>
          <w:lang w:val="bs-Latn-BA"/>
        </w:rPr>
        <w:t>.</w:t>
      </w:r>
    </w:p>
    <w:p w:rsidR="009A763A" w:rsidRDefault="009A763A" w:rsidP="0086268D">
      <w:pPr>
        <w:pStyle w:val="ListParagraph"/>
        <w:ind w:left="0"/>
        <w:jc w:val="both"/>
        <w:rPr>
          <w:rFonts w:ascii="Times New Roman" w:hAnsi="Times New Roman"/>
          <w:lang w:val="sr-Latn-BA"/>
        </w:rPr>
      </w:pPr>
    </w:p>
    <w:p w:rsidR="00E1132E" w:rsidRDefault="00C6214E" w:rsidP="0086268D">
      <w:pPr>
        <w:pStyle w:val="ListParagraph"/>
        <w:ind w:left="0"/>
        <w:jc w:val="both"/>
        <w:rPr>
          <w:rFonts w:ascii="Times New Roman" w:hAnsi="Times New Roman"/>
          <w:lang w:val="sr-Latn-BA"/>
        </w:rPr>
      </w:pPr>
      <w:r>
        <w:rPr>
          <w:rFonts w:ascii="Times New Roman" w:hAnsi="Times New Roman"/>
          <w:lang w:val="sr-Latn-BA"/>
        </w:rPr>
        <w:t>Према</w:t>
      </w:r>
      <w:r w:rsidR="00E1132E" w:rsidRPr="00295637">
        <w:rPr>
          <w:rFonts w:ascii="Times New Roman" w:hAnsi="Times New Roman"/>
          <w:lang w:val="sr-Latn-BA"/>
        </w:rPr>
        <w:t xml:space="preserve"> </w:t>
      </w:r>
      <w:r>
        <w:rPr>
          <w:rFonts w:ascii="Times New Roman" w:hAnsi="Times New Roman"/>
          <w:lang w:val="sr-Latn-BA"/>
        </w:rPr>
        <w:t>подацима</w:t>
      </w:r>
      <w:r w:rsidR="00E1132E" w:rsidRPr="00295637">
        <w:rPr>
          <w:rFonts w:ascii="Times New Roman" w:hAnsi="Times New Roman"/>
          <w:lang w:val="sr-Latn-BA"/>
        </w:rPr>
        <w:t xml:space="preserve">, </w:t>
      </w:r>
      <w:r>
        <w:rPr>
          <w:rFonts w:ascii="Times New Roman" w:hAnsi="Times New Roman"/>
          <w:lang w:val="sr-Latn-BA"/>
        </w:rPr>
        <w:t>које</w:t>
      </w:r>
      <w:r w:rsidR="00E1132E" w:rsidRPr="00295637">
        <w:rPr>
          <w:rFonts w:ascii="Times New Roman" w:hAnsi="Times New Roman"/>
          <w:lang w:val="sr-Latn-BA"/>
        </w:rPr>
        <w:t xml:space="preserve"> </w:t>
      </w:r>
      <w:r>
        <w:rPr>
          <w:rFonts w:ascii="Times New Roman" w:hAnsi="Times New Roman"/>
          <w:lang w:val="sr-Latn-BA"/>
        </w:rPr>
        <w:t>прикупља</w:t>
      </w:r>
      <w:r w:rsidR="00E1132E" w:rsidRPr="00295637">
        <w:rPr>
          <w:rFonts w:ascii="Times New Roman" w:hAnsi="Times New Roman"/>
          <w:lang w:val="sr-Latn-BA"/>
        </w:rPr>
        <w:t xml:space="preserve"> </w:t>
      </w:r>
      <w:r>
        <w:rPr>
          <w:rFonts w:ascii="Times New Roman" w:hAnsi="Times New Roman"/>
          <w:lang w:val="sr-Cyrl-BA"/>
        </w:rPr>
        <w:t>Мрежа</w:t>
      </w:r>
      <w:r w:rsidR="00E1132E" w:rsidRPr="00295637">
        <w:rPr>
          <w:rFonts w:ascii="Times New Roman" w:hAnsi="Times New Roman"/>
          <w:lang w:val="sr-Cyrl-BA"/>
        </w:rPr>
        <w:t xml:space="preserve"> </w:t>
      </w:r>
      <w:r>
        <w:rPr>
          <w:rFonts w:ascii="Times New Roman" w:hAnsi="Times New Roman"/>
          <w:lang w:val="sr-Cyrl-BA"/>
        </w:rPr>
        <w:t>жена</w:t>
      </w:r>
      <w:r w:rsidR="00E1132E" w:rsidRPr="00295637">
        <w:rPr>
          <w:rFonts w:ascii="Times New Roman" w:hAnsi="Times New Roman"/>
          <w:lang w:val="sr-Latn-BA"/>
        </w:rPr>
        <w:t xml:space="preserve"> </w:t>
      </w:r>
      <w:r>
        <w:rPr>
          <w:rFonts w:ascii="Times New Roman" w:hAnsi="Times New Roman"/>
          <w:lang w:val="sr-Latn-BA"/>
        </w:rPr>
        <w:t>МУП</w:t>
      </w:r>
      <w:r w:rsidR="00E1132E" w:rsidRPr="00295637">
        <w:rPr>
          <w:rFonts w:ascii="Times New Roman" w:hAnsi="Times New Roman"/>
          <w:lang w:val="sr-Latn-BA"/>
        </w:rPr>
        <w:t xml:space="preserve"> </w:t>
      </w:r>
      <w:r>
        <w:rPr>
          <w:rFonts w:ascii="Times New Roman" w:hAnsi="Times New Roman"/>
          <w:lang w:val="sr-Latn-BA"/>
        </w:rPr>
        <w:t>РС</w:t>
      </w:r>
      <w:r w:rsidR="00E1132E" w:rsidRPr="00295637">
        <w:rPr>
          <w:rFonts w:ascii="Times New Roman" w:hAnsi="Times New Roman"/>
          <w:lang w:val="sr-Latn-BA"/>
        </w:rPr>
        <w:t>-</w:t>
      </w:r>
      <w:r w:rsidR="00DB7573" w:rsidRPr="00DB7573">
        <w:rPr>
          <w:rFonts w:ascii="Times New Roman" w:hAnsi="Times New Roman"/>
          <w:lang w:val="sr-Cyrl-BA"/>
        </w:rPr>
        <w:t xml:space="preserve"> </w:t>
      </w:r>
      <w:r w:rsidR="00DB7573" w:rsidRPr="00DB7573">
        <w:rPr>
          <w:rFonts w:ascii="Times New Roman" w:hAnsi="Times New Roman"/>
          <w:i/>
          <w:lang w:val="sr-Cyrl-BA"/>
        </w:rPr>
        <w:t>WPON</w:t>
      </w:r>
      <w:r w:rsidR="00E1132E"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Latn-BA"/>
        </w:rPr>
        <w:t xml:space="preserve"> 2024. </w:t>
      </w:r>
      <w:r>
        <w:rPr>
          <w:rFonts w:ascii="Times New Roman" w:hAnsi="Times New Roman"/>
          <w:lang w:val="sr-Latn-BA"/>
        </w:rPr>
        <w:t>години</w:t>
      </w:r>
      <w:r w:rsidR="00E1132E" w:rsidRPr="00295637">
        <w:rPr>
          <w:rFonts w:ascii="Times New Roman" w:hAnsi="Times New Roman"/>
          <w:lang w:val="sr-Latn-BA"/>
        </w:rPr>
        <w:t>:</w:t>
      </w:r>
      <w:r w:rsidR="008939A7"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Cyrl-BA"/>
        </w:rPr>
        <w:t xml:space="preserve"> 26. </w:t>
      </w:r>
      <w:r>
        <w:rPr>
          <w:rFonts w:ascii="Times New Roman" w:hAnsi="Times New Roman"/>
          <w:lang w:val="sr-Cyrl-BA"/>
        </w:rPr>
        <w:t>Класи</w:t>
      </w:r>
      <w:r w:rsidR="00E1132E" w:rsidRPr="00295637">
        <w:rPr>
          <w:rFonts w:ascii="Times New Roman" w:hAnsi="Times New Roman"/>
          <w:lang w:val="sr-Cyrl-BA"/>
        </w:rPr>
        <w:t xml:space="preserve"> </w:t>
      </w:r>
      <w:r>
        <w:rPr>
          <w:rFonts w:ascii="Times New Roman" w:hAnsi="Times New Roman"/>
          <w:lang w:val="sr-Cyrl-BA"/>
        </w:rPr>
        <w:t>ПА</w:t>
      </w:r>
      <w:r w:rsidR="00E1132E" w:rsidRPr="00295637">
        <w:rPr>
          <w:rFonts w:ascii="Times New Roman" w:hAnsi="Times New Roman"/>
          <w:lang w:val="sr-Cyrl-BA"/>
        </w:rPr>
        <w:t xml:space="preserve"> </w:t>
      </w:r>
      <w:r>
        <w:rPr>
          <w:rFonts w:ascii="Times New Roman" w:hAnsi="Times New Roman"/>
          <w:lang w:val="sr-Cyrl-BA"/>
        </w:rPr>
        <w:t>уписано</w:t>
      </w:r>
      <w:r w:rsidR="00E1132E" w:rsidRPr="00295637">
        <w:rPr>
          <w:rFonts w:ascii="Times New Roman" w:hAnsi="Times New Roman"/>
          <w:lang w:val="sr-Cyrl-BA"/>
        </w:rPr>
        <w:t xml:space="preserve"> </w:t>
      </w:r>
      <w:r>
        <w:rPr>
          <w:rFonts w:ascii="Times New Roman" w:hAnsi="Times New Roman"/>
          <w:lang w:val="sr-Cyrl-BA"/>
        </w:rPr>
        <w:t>и</w:t>
      </w:r>
      <w:r w:rsidR="00E1132E" w:rsidRPr="00295637">
        <w:rPr>
          <w:rFonts w:ascii="Times New Roman" w:hAnsi="Times New Roman"/>
          <w:lang w:val="sr-Cyrl-BA"/>
        </w:rPr>
        <w:t xml:space="preserve"> </w:t>
      </w:r>
      <w:r>
        <w:rPr>
          <w:rFonts w:ascii="Times New Roman" w:hAnsi="Times New Roman"/>
          <w:lang w:val="sr-Cyrl-BA"/>
        </w:rPr>
        <w:t>завршило</w:t>
      </w:r>
      <w:r w:rsidR="00E1132E" w:rsidRPr="00295637">
        <w:rPr>
          <w:rFonts w:ascii="Times New Roman" w:hAnsi="Times New Roman"/>
          <w:lang w:val="sr-Cyrl-BA"/>
        </w:rPr>
        <w:t xml:space="preserve"> 62 </w:t>
      </w:r>
      <w:r>
        <w:rPr>
          <w:rFonts w:ascii="Times New Roman" w:hAnsi="Times New Roman"/>
          <w:lang w:val="sr-Cyrl-BA"/>
        </w:rPr>
        <w:t>жене</w:t>
      </w:r>
      <w:r w:rsidR="00E1132E" w:rsidRPr="00295637">
        <w:rPr>
          <w:rFonts w:ascii="Times New Roman" w:hAnsi="Times New Roman"/>
          <w:lang w:val="sr-Latn-BA"/>
        </w:rPr>
        <w:t>;</w:t>
      </w:r>
      <w:r w:rsidR="008939A7"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Cyrl-BA"/>
        </w:rPr>
        <w:t xml:space="preserve"> </w:t>
      </w:r>
      <w:r>
        <w:rPr>
          <w:rFonts w:ascii="Times New Roman" w:hAnsi="Times New Roman"/>
          <w:lang w:val="sr-Cyrl-BA"/>
        </w:rPr>
        <w:t>школску</w:t>
      </w:r>
      <w:r w:rsidR="00E1132E" w:rsidRPr="00295637">
        <w:rPr>
          <w:rFonts w:ascii="Times New Roman" w:hAnsi="Times New Roman"/>
          <w:lang w:val="sr-Cyrl-BA"/>
        </w:rPr>
        <w:t xml:space="preserve"> 2023/2024</w:t>
      </w:r>
      <w:r w:rsidR="00CB42E6">
        <w:rPr>
          <w:rFonts w:ascii="Times New Roman" w:hAnsi="Times New Roman"/>
          <w:lang w:val="hr-HR"/>
        </w:rPr>
        <w:t>.</w:t>
      </w:r>
      <w:r w:rsidR="00CB42E6">
        <w:rPr>
          <w:rFonts w:ascii="Times New Roman" w:hAnsi="Times New Roman"/>
          <w:lang w:val="sr-Cyrl-BA"/>
        </w:rPr>
        <w:t xml:space="preserve"> </w:t>
      </w:r>
      <w:r>
        <w:rPr>
          <w:rFonts w:ascii="Times New Roman" w:hAnsi="Times New Roman"/>
          <w:lang w:val="sr-Cyrl-BA"/>
        </w:rPr>
        <w:t>годину</w:t>
      </w:r>
      <w:r w:rsidR="00CB42E6">
        <w:rPr>
          <w:rFonts w:ascii="Times New Roman" w:hAnsi="Times New Roman"/>
          <w:lang w:val="sr-Cyrl-BA"/>
        </w:rPr>
        <w:t xml:space="preserve">, </w:t>
      </w:r>
      <w:r>
        <w:rPr>
          <w:rFonts w:ascii="Times New Roman" w:hAnsi="Times New Roman"/>
          <w:lang w:val="sr-Cyrl-BA"/>
        </w:rPr>
        <w:t>у</w:t>
      </w:r>
      <w:r w:rsidR="00CB42E6">
        <w:rPr>
          <w:rFonts w:ascii="Times New Roman" w:hAnsi="Times New Roman"/>
          <w:lang w:val="sr-Cyrl-BA"/>
        </w:rPr>
        <w:t xml:space="preserve"> 9 </w:t>
      </w:r>
      <w:r>
        <w:rPr>
          <w:rFonts w:ascii="Times New Roman" w:hAnsi="Times New Roman"/>
          <w:lang w:val="sr-Cyrl-BA"/>
        </w:rPr>
        <w:t>класу</w:t>
      </w:r>
      <w:r w:rsidR="00CB42E6">
        <w:rPr>
          <w:rFonts w:ascii="Times New Roman" w:hAnsi="Times New Roman"/>
          <w:lang w:val="sr-Cyrl-BA"/>
        </w:rPr>
        <w:t xml:space="preserve"> </w:t>
      </w:r>
      <w:r>
        <w:rPr>
          <w:rFonts w:ascii="Times New Roman" w:hAnsi="Times New Roman"/>
          <w:lang w:val="sr-Cyrl-BA"/>
        </w:rPr>
        <w:t>СШУП</w:t>
      </w:r>
      <w:r w:rsidR="00E1132E" w:rsidRPr="00295637">
        <w:rPr>
          <w:rFonts w:ascii="Times New Roman" w:hAnsi="Times New Roman"/>
          <w:lang w:val="sr-Cyrl-BA"/>
        </w:rPr>
        <w:t xml:space="preserve"> </w:t>
      </w:r>
      <w:r>
        <w:rPr>
          <w:rFonts w:ascii="Times New Roman" w:hAnsi="Times New Roman"/>
          <w:lang w:val="sr-Cyrl-BA"/>
        </w:rPr>
        <w:t>уписано</w:t>
      </w:r>
      <w:r w:rsidR="00E1132E" w:rsidRPr="00295637">
        <w:rPr>
          <w:rFonts w:ascii="Times New Roman" w:hAnsi="Times New Roman"/>
          <w:lang w:val="sr-Cyrl-BA"/>
        </w:rPr>
        <w:t xml:space="preserve"> </w:t>
      </w:r>
      <w:r>
        <w:rPr>
          <w:rFonts w:ascii="Times New Roman" w:hAnsi="Times New Roman"/>
          <w:lang w:val="sr-Cyrl-BA"/>
        </w:rPr>
        <w:t>је</w:t>
      </w:r>
      <w:r w:rsidR="00E1132E" w:rsidRPr="00295637">
        <w:rPr>
          <w:rFonts w:ascii="Times New Roman" w:hAnsi="Times New Roman"/>
          <w:lang w:val="sr-Cyrl-BA"/>
        </w:rPr>
        <w:t xml:space="preserve"> 53 </w:t>
      </w:r>
      <w:r>
        <w:rPr>
          <w:rFonts w:ascii="Times New Roman" w:hAnsi="Times New Roman"/>
          <w:lang w:val="sr-Cyrl-BA"/>
        </w:rPr>
        <w:t>ученика</w:t>
      </w:r>
      <w:r w:rsidR="00E1132E" w:rsidRPr="00295637">
        <w:rPr>
          <w:rFonts w:ascii="Times New Roman" w:hAnsi="Times New Roman"/>
          <w:lang w:val="sr-Cyrl-BA"/>
        </w:rPr>
        <w:t xml:space="preserve"> </w:t>
      </w:r>
      <w:r>
        <w:rPr>
          <w:rFonts w:ascii="Times New Roman" w:hAnsi="Times New Roman"/>
          <w:lang w:val="sr-Cyrl-BA"/>
        </w:rPr>
        <w:t>женског</w:t>
      </w:r>
      <w:r w:rsidR="000F7324">
        <w:rPr>
          <w:rFonts w:ascii="Times New Roman" w:hAnsi="Times New Roman"/>
          <w:lang w:val="sr-Cyrl-BA"/>
        </w:rPr>
        <w:t xml:space="preserve"> </w:t>
      </w:r>
      <w:r>
        <w:rPr>
          <w:rFonts w:ascii="Times New Roman" w:hAnsi="Times New Roman"/>
          <w:lang w:val="sr-Cyrl-BA"/>
        </w:rPr>
        <w:t>пола</w:t>
      </w:r>
      <w:r w:rsidR="00DC19C9">
        <w:rPr>
          <w:rFonts w:ascii="Times New Roman" w:hAnsi="Times New Roman"/>
          <w:lang w:val="hr-HR"/>
        </w:rPr>
        <w:t>,</w:t>
      </w:r>
      <w:r w:rsidR="000F7324">
        <w:rPr>
          <w:rFonts w:ascii="Times New Roman" w:hAnsi="Times New Roman"/>
          <w:lang w:val="sr-Cyrl-BA"/>
        </w:rPr>
        <w:t xml:space="preserve"> </w:t>
      </w:r>
      <w:r>
        <w:rPr>
          <w:rFonts w:ascii="Times New Roman" w:hAnsi="Times New Roman"/>
          <w:lang w:val="sr-Latn-BA"/>
        </w:rPr>
        <w:t>а</w:t>
      </w:r>
      <w:r w:rsidR="008939A7"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Cyrl-BA"/>
        </w:rPr>
        <w:t xml:space="preserve"> </w:t>
      </w:r>
      <w:r>
        <w:rPr>
          <w:rFonts w:ascii="Times New Roman" w:hAnsi="Times New Roman"/>
          <w:lang w:val="sr-Cyrl-BA"/>
        </w:rPr>
        <w:t>школску</w:t>
      </w:r>
      <w:r w:rsidR="00E1132E" w:rsidRPr="00295637">
        <w:rPr>
          <w:rFonts w:ascii="Times New Roman" w:hAnsi="Times New Roman"/>
          <w:lang w:val="sr-Cyrl-BA"/>
        </w:rPr>
        <w:t xml:space="preserve"> 2024/2025</w:t>
      </w:r>
      <w:r w:rsidR="00CB42E6">
        <w:rPr>
          <w:rFonts w:ascii="Times New Roman" w:hAnsi="Times New Roman"/>
          <w:lang w:val="hr-HR"/>
        </w:rPr>
        <w:t>.</w:t>
      </w:r>
      <w:r w:rsidR="00E1132E" w:rsidRPr="00295637">
        <w:rPr>
          <w:rFonts w:ascii="Times New Roman" w:hAnsi="Times New Roman"/>
          <w:lang w:val="sr-Cyrl-BA"/>
        </w:rPr>
        <w:t xml:space="preserve"> </w:t>
      </w:r>
      <w:r>
        <w:rPr>
          <w:rFonts w:ascii="Times New Roman" w:hAnsi="Times New Roman"/>
          <w:lang w:val="sr-Cyrl-BA"/>
        </w:rPr>
        <w:t>годину</w:t>
      </w:r>
      <w:r w:rsidR="00E1132E" w:rsidRPr="00295637">
        <w:rPr>
          <w:rFonts w:ascii="Times New Roman" w:hAnsi="Times New Roman"/>
          <w:lang w:val="sr-Cyrl-BA"/>
        </w:rPr>
        <w:t xml:space="preserve">, </w:t>
      </w:r>
      <w:r>
        <w:rPr>
          <w:rFonts w:ascii="Times New Roman" w:hAnsi="Times New Roman"/>
          <w:lang w:val="sr-Cyrl-BA"/>
        </w:rPr>
        <w:t>у</w:t>
      </w:r>
      <w:r w:rsidR="00E1132E" w:rsidRPr="00295637">
        <w:rPr>
          <w:rFonts w:ascii="Times New Roman" w:hAnsi="Times New Roman"/>
          <w:lang w:val="sr-Cyrl-BA"/>
        </w:rPr>
        <w:t xml:space="preserve"> 10 </w:t>
      </w:r>
      <w:r>
        <w:rPr>
          <w:rFonts w:ascii="Times New Roman" w:hAnsi="Times New Roman"/>
          <w:lang w:val="sr-Cyrl-BA"/>
        </w:rPr>
        <w:t>класу</w:t>
      </w:r>
      <w:r w:rsidR="00E1132E" w:rsidRPr="00295637">
        <w:rPr>
          <w:rFonts w:ascii="Times New Roman" w:hAnsi="Times New Roman"/>
          <w:lang w:val="sr-Cyrl-BA"/>
        </w:rPr>
        <w:t xml:space="preserve"> </w:t>
      </w:r>
      <w:r>
        <w:rPr>
          <w:rFonts w:ascii="Times New Roman" w:hAnsi="Times New Roman"/>
          <w:lang w:val="sr-Cyrl-BA"/>
        </w:rPr>
        <w:t>СШУП</w:t>
      </w:r>
      <w:r w:rsidR="00E1132E" w:rsidRPr="00295637">
        <w:rPr>
          <w:rFonts w:ascii="Times New Roman" w:hAnsi="Times New Roman"/>
          <w:lang w:val="sr-Cyrl-BA"/>
        </w:rPr>
        <w:t xml:space="preserve"> </w:t>
      </w:r>
      <w:r>
        <w:rPr>
          <w:rFonts w:ascii="Times New Roman" w:hAnsi="Times New Roman"/>
          <w:lang w:val="sr-Cyrl-BA"/>
        </w:rPr>
        <w:t>уписано</w:t>
      </w:r>
      <w:r w:rsidR="00E1132E" w:rsidRPr="00295637">
        <w:rPr>
          <w:rFonts w:ascii="Times New Roman" w:hAnsi="Times New Roman"/>
          <w:lang w:val="sr-Cyrl-BA"/>
        </w:rPr>
        <w:t xml:space="preserve"> </w:t>
      </w:r>
      <w:r>
        <w:rPr>
          <w:rFonts w:ascii="Times New Roman" w:hAnsi="Times New Roman"/>
          <w:lang w:val="sr-Cyrl-BA"/>
        </w:rPr>
        <w:t>је</w:t>
      </w:r>
      <w:r w:rsidR="00E1132E" w:rsidRPr="00295637">
        <w:rPr>
          <w:rFonts w:ascii="Times New Roman" w:hAnsi="Times New Roman"/>
          <w:lang w:val="sr-Cyrl-BA"/>
        </w:rPr>
        <w:t xml:space="preserve"> 60 </w:t>
      </w:r>
      <w:r>
        <w:rPr>
          <w:rFonts w:ascii="Times New Roman" w:hAnsi="Times New Roman"/>
          <w:lang w:val="sr-Cyrl-BA"/>
        </w:rPr>
        <w:t>ученика</w:t>
      </w:r>
      <w:r w:rsidR="00E1132E" w:rsidRPr="00295637">
        <w:rPr>
          <w:rFonts w:ascii="Times New Roman" w:hAnsi="Times New Roman"/>
          <w:lang w:val="sr-Cyrl-BA"/>
        </w:rPr>
        <w:t xml:space="preserve"> </w:t>
      </w:r>
      <w:r>
        <w:rPr>
          <w:rFonts w:ascii="Times New Roman" w:hAnsi="Times New Roman"/>
          <w:lang w:val="sr-Cyrl-BA"/>
        </w:rPr>
        <w:t>женског</w:t>
      </w:r>
      <w:r w:rsidR="00E1132E" w:rsidRPr="00295637">
        <w:rPr>
          <w:rFonts w:ascii="Times New Roman" w:hAnsi="Times New Roman"/>
          <w:lang w:val="sr-Cyrl-BA"/>
        </w:rPr>
        <w:t xml:space="preserve"> </w:t>
      </w:r>
      <w:r>
        <w:rPr>
          <w:rFonts w:ascii="Times New Roman" w:hAnsi="Times New Roman"/>
          <w:lang w:val="sr-Cyrl-BA"/>
        </w:rPr>
        <w:t>пола</w:t>
      </w:r>
      <w:r w:rsidR="00E1132E" w:rsidRPr="00295637">
        <w:rPr>
          <w:rFonts w:ascii="Times New Roman" w:hAnsi="Times New Roman"/>
          <w:lang w:val="sr-Latn-BA"/>
        </w:rPr>
        <w:t>.</w:t>
      </w:r>
    </w:p>
    <w:p w:rsidR="00DC0485" w:rsidRPr="00295637" w:rsidRDefault="00DC0485" w:rsidP="0086268D">
      <w:pPr>
        <w:pStyle w:val="Normal1"/>
      </w:pPr>
    </w:p>
    <w:p w:rsidR="00356C2C" w:rsidRPr="00295637" w:rsidRDefault="00DB7573" w:rsidP="00CB42E6">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CB42E6">
        <w:rPr>
          <w:rFonts w:ascii="Times New Roman" w:hAnsi="Times New Roman"/>
          <w:szCs w:val="24"/>
          <w:lang w:val="bs-Latn-BA"/>
        </w:rPr>
        <w:t xml:space="preserve"> 7.3.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или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подршка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истраживањима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која</w:t>
      </w:r>
      <w:r w:rsidR="00356C2C" w:rsidRPr="00295637">
        <w:rPr>
          <w:rFonts w:ascii="Times New Roman" w:hAnsi="Times New Roman"/>
          <w:szCs w:val="24"/>
          <w:lang w:val="bs-Latn-BA"/>
        </w:rPr>
        <w:t xml:space="preserve"> </w:t>
      </w:r>
      <w:r w:rsidR="00C6214E">
        <w:rPr>
          <w:rFonts w:ascii="Times New Roman" w:hAnsi="Times New Roman"/>
          <w:szCs w:val="24"/>
          <w:lang w:val="bs-Latn-BA"/>
        </w:rPr>
        <w:t>се</w:t>
      </w:r>
      <w:r w:rsidR="00356C2C" w:rsidRPr="00295637">
        <w:rPr>
          <w:rFonts w:ascii="Times New Roman" w:hAnsi="Times New Roman"/>
          <w:szCs w:val="24"/>
          <w:lang w:val="bs-Latn-BA"/>
        </w:rPr>
        <w:t xml:space="preserve"> </w:t>
      </w:r>
      <w:r w:rsidR="00C6214E">
        <w:rPr>
          <w:rFonts w:ascii="Times New Roman" w:hAnsi="Times New Roman"/>
          <w:szCs w:val="24"/>
          <w:lang w:val="bs-Latn-BA"/>
        </w:rPr>
        <w:t>односе</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тему</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мир</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безбједност</w:t>
      </w:r>
      <w:r w:rsidR="00DC19C9">
        <w:rPr>
          <w:rFonts w:ascii="Times New Roman" w:hAnsi="Times New Roman"/>
          <w:szCs w:val="24"/>
          <w:lang w:val="bs-Latn-BA"/>
        </w:rPr>
        <w:t xml:space="preserve">“, </w:t>
      </w:r>
      <w:r w:rsidR="00C6214E">
        <w:rPr>
          <w:rFonts w:ascii="Times New Roman" w:hAnsi="Times New Roman"/>
          <w:szCs w:val="24"/>
          <w:lang w:val="bs-Latn-BA"/>
        </w:rPr>
        <w:t>са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посебним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освртом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акту</w:t>
      </w:r>
      <w:r>
        <w:rPr>
          <w:rFonts w:ascii="Times New Roman" w:hAnsi="Times New Roman"/>
          <w:szCs w:val="24"/>
          <w:lang w:val="sr-Cyrl-BA"/>
        </w:rPr>
        <w:t>е</w:t>
      </w:r>
      <w:r w:rsidR="00C6214E">
        <w:rPr>
          <w:rFonts w:ascii="Times New Roman" w:hAnsi="Times New Roman"/>
          <w:szCs w:val="24"/>
          <w:lang w:val="bs-Latn-BA"/>
        </w:rPr>
        <w:t>лне</w:t>
      </w:r>
      <w:r w:rsidR="00356C2C" w:rsidRPr="00295637">
        <w:rPr>
          <w:rFonts w:ascii="Times New Roman" w:hAnsi="Times New Roman"/>
          <w:szCs w:val="24"/>
          <w:lang w:val="bs-Latn-BA"/>
        </w:rPr>
        <w:t xml:space="preserve"> </w:t>
      </w:r>
      <w:r>
        <w:rPr>
          <w:rFonts w:ascii="Times New Roman" w:hAnsi="Times New Roman"/>
          <w:szCs w:val="24"/>
          <w:lang w:val="sr-Cyrl-BA"/>
        </w:rPr>
        <w:t>безбједносне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пријет</w:t>
      </w:r>
      <w:r>
        <w:rPr>
          <w:rFonts w:ascii="Times New Roman" w:hAnsi="Times New Roman"/>
          <w:szCs w:val="24"/>
          <w:lang w:val="sr-Cyrl-BA"/>
        </w:rPr>
        <w:t>њ</w:t>
      </w:r>
      <w:r w:rsidR="00C6214E">
        <w:rPr>
          <w:rFonts w:ascii="Times New Roman" w:hAnsi="Times New Roman"/>
          <w:szCs w:val="24"/>
          <w:lang w:val="bs-Latn-BA"/>
        </w:rPr>
        <w:t>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изазове</w:t>
      </w:r>
      <w:r w:rsidR="00356C2C" w:rsidRPr="00295637">
        <w:rPr>
          <w:rFonts w:ascii="Times New Roman" w:hAnsi="Times New Roman"/>
          <w:szCs w:val="24"/>
          <w:lang w:val="bs-Latn-BA"/>
        </w:rPr>
        <w:t>.</w:t>
      </w:r>
    </w:p>
    <w:p w:rsidR="00286171" w:rsidRPr="00295637" w:rsidRDefault="00286171" w:rsidP="0086268D">
      <w:pPr>
        <w:tabs>
          <w:tab w:val="left" w:pos="284"/>
          <w:tab w:val="left" w:pos="630"/>
          <w:tab w:val="left" w:pos="1080"/>
        </w:tabs>
        <w:ind w:left="270"/>
        <w:jc w:val="both"/>
        <w:rPr>
          <w:rFonts w:ascii="Times New Roman" w:hAnsi="Times New Roman"/>
          <w:szCs w:val="24"/>
          <w:lang w:val="bs-Latn-BA"/>
        </w:rPr>
      </w:pPr>
    </w:p>
    <w:p w:rsidR="000A6005"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АР</w:t>
      </w:r>
      <w:r w:rsidR="00650438">
        <w:rPr>
          <w:rFonts w:ascii="Times New Roman" w:hAnsi="Times New Roman"/>
          <w:szCs w:val="24"/>
          <w:lang w:val="sr-Cyrl-BA"/>
        </w:rPr>
        <w:t>П</w:t>
      </w:r>
      <w:r w:rsidR="00DC19C9">
        <w:rPr>
          <w:rFonts w:ascii="Times New Roman" w:hAnsi="Times New Roman"/>
          <w:szCs w:val="24"/>
          <w:lang w:val="bs-Latn-BA"/>
        </w:rPr>
        <w:t xml:space="preserve"> </w:t>
      </w:r>
      <w:r>
        <w:rPr>
          <w:rFonts w:ascii="Times New Roman" w:hAnsi="Times New Roman"/>
          <w:szCs w:val="24"/>
          <w:lang w:val="bs-Latn-BA"/>
        </w:rPr>
        <w:t>БиХ</w:t>
      </w:r>
      <w:r w:rsidR="00AA2171">
        <w:rPr>
          <w:rFonts w:ascii="Times New Roman" w:hAnsi="Times New Roman"/>
          <w:szCs w:val="24"/>
          <w:lang w:val="bs-Latn-BA"/>
        </w:rPr>
        <w:t xml:space="preserve"> </w:t>
      </w:r>
      <w:r>
        <w:rPr>
          <w:rFonts w:ascii="Times New Roman" w:hAnsi="Times New Roman"/>
          <w:szCs w:val="24"/>
          <w:lang w:val="bs-Latn-BA"/>
        </w:rPr>
        <w:t>МЉПИ</w:t>
      </w:r>
      <w:r w:rsidR="00AA2171">
        <w:rPr>
          <w:rFonts w:ascii="Times New Roman" w:hAnsi="Times New Roman"/>
          <w:szCs w:val="24"/>
          <w:lang w:val="bs-Latn-BA"/>
        </w:rPr>
        <w:t xml:space="preserve"> </w:t>
      </w:r>
      <w:r>
        <w:rPr>
          <w:rFonts w:ascii="Times New Roman" w:hAnsi="Times New Roman"/>
          <w:szCs w:val="24"/>
          <w:lang w:val="bs-Latn-BA"/>
        </w:rPr>
        <w:t>БиХ</w:t>
      </w:r>
      <w:r w:rsidR="00674C78" w:rsidRPr="00295637">
        <w:rPr>
          <w:rFonts w:ascii="Times New Roman" w:hAnsi="Times New Roman"/>
          <w:szCs w:val="24"/>
          <w:lang w:val="bs-Latn-BA"/>
        </w:rPr>
        <w:t xml:space="preserve"> </w:t>
      </w:r>
      <w:r w:rsidR="00650438">
        <w:rPr>
          <w:rFonts w:ascii="Times New Roman" w:hAnsi="Times New Roman"/>
          <w:szCs w:val="24"/>
          <w:lang w:val="bs-Latn-BA"/>
        </w:rPr>
        <w:t xml:space="preserve">је </w:t>
      </w:r>
      <w:r>
        <w:rPr>
          <w:rFonts w:ascii="Times New Roman" w:hAnsi="Times New Roman"/>
          <w:szCs w:val="24"/>
          <w:lang w:val="bs-Latn-BA"/>
        </w:rPr>
        <w:t>успоставила</w:t>
      </w:r>
      <w:r w:rsidR="00674C78" w:rsidRPr="00295637">
        <w:rPr>
          <w:rFonts w:ascii="Times New Roman" w:hAnsi="Times New Roman"/>
          <w:szCs w:val="24"/>
          <w:lang w:val="bs-Latn-BA"/>
        </w:rPr>
        <w:t xml:space="preserve"> </w:t>
      </w:r>
      <w:r>
        <w:rPr>
          <w:rFonts w:ascii="Times New Roman" w:hAnsi="Times New Roman"/>
          <w:szCs w:val="24"/>
          <w:lang w:val="bs-Latn-BA"/>
        </w:rPr>
        <w:t>сарадњу</w:t>
      </w:r>
      <w:r w:rsidR="00DC19C9">
        <w:rPr>
          <w:rFonts w:ascii="Times New Roman" w:hAnsi="Times New Roman"/>
          <w:szCs w:val="24"/>
          <w:lang w:val="bs-Latn-BA"/>
        </w:rPr>
        <w:t xml:space="preserve"> </w:t>
      </w:r>
      <w:r>
        <w:rPr>
          <w:rFonts w:ascii="Times New Roman" w:hAnsi="Times New Roman"/>
          <w:szCs w:val="24"/>
          <w:lang w:val="bs-Latn-BA"/>
        </w:rPr>
        <w:t>са</w:t>
      </w:r>
      <w:r w:rsidR="00674C78" w:rsidRPr="00295637">
        <w:rPr>
          <w:rFonts w:ascii="Times New Roman" w:hAnsi="Times New Roman"/>
          <w:szCs w:val="24"/>
          <w:lang w:val="bs-Latn-BA"/>
        </w:rPr>
        <w:t xml:space="preserve"> </w:t>
      </w:r>
      <w:r>
        <w:rPr>
          <w:rFonts w:ascii="Times New Roman" w:hAnsi="Times New Roman"/>
          <w:szCs w:val="24"/>
          <w:lang w:val="bs-Latn-BA"/>
        </w:rPr>
        <w:t>Центром</w:t>
      </w:r>
      <w:r w:rsidR="00674C78" w:rsidRPr="00295637">
        <w:rPr>
          <w:rFonts w:ascii="Times New Roman" w:hAnsi="Times New Roman"/>
          <w:szCs w:val="24"/>
          <w:lang w:val="bs-Latn-BA"/>
        </w:rPr>
        <w:t xml:space="preserve"> </w:t>
      </w:r>
      <w:r>
        <w:rPr>
          <w:rFonts w:ascii="Times New Roman" w:hAnsi="Times New Roman"/>
          <w:szCs w:val="24"/>
          <w:lang w:val="bs-Latn-BA"/>
        </w:rPr>
        <w:t>за</w:t>
      </w:r>
      <w:r w:rsidR="00674C78" w:rsidRPr="00295637">
        <w:rPr>
          <w:rFonts w:ascii="Times New Roman" w:hAnsi="Times New Roman"/>
          <w:szCs w:val="24"/>
          <w:lang w:val="bs-Latn-BA"/>
        </w:rPr>
        <w:t xml:space="preserve"> </w:t>
      </w:r>
      <w:r w:rsidR="00650438">
        <w:rPr>
          <w:rFonts w:ascii="Times New Roman" w:hAnsi="Times New Roman"/>
          <w:szCs w:val="24"/>
          <w:lang w:val="sr-Cyrl-BA"/>
        </w:rPr>
        <w:t>безбједносне</w:t>
      </w:r>
      <w:r w:rsidR="00674C78" w:rsidRPr="00295637">
        <w:rPr>
          <w:rFonts w:ascii="Times New Roman" w:hAnsi="Times New Roman"/>
          <w:szCs w:val="24"/>
          <w:lang w:val="bs-Latn-BA"/>
        </w:rPr>
        <w:t xml:space="preserve"> </w:t>
      </w:r>
      <w:r>
        <w:rPr>
          <w:rFonts w:ascii="Times New Roman" w:hAnsi="Times New Roman"/>
          <w:szCs w:val="24"/>
          <w:lang w:val="bs-Latn-BA"/>
        </w:rPr>
        <w:t>студије</w:t>
      </w:r>
      <w:r w:rsidR="00674C78" w:rsidRPr="00295637">
        <w:rPr>
          <w:rFonts w:ascii="Times New Roman" w:hAnsi="Times New Roman"/>
          <w:szCs w:val="24"/>
          <w:lang w:val="bs-Latn-BA"/>
        </w:rPr>
        <w:t xml:space="preserve"> </w:t>
      </w:r>
      <w:r>
        <w:rPr>
          <w:rFonts w:ascii="Times New Roman" w:hAnsi="Times New Roman"/>
          <w:szCs w:val="24"/>
          <w:lang w:val="bs-Latn-BA"/>
        </w:rPr>
        <w:t>Универзитета</w:t>
      </w:r>
      <w:r w:rsidR="00E44A2F" w:rsidRPr="00295637">
        <w:rPr>
          <w:rFonts w:ascii="Times New Roman" w:hAnsi="Times New Roman"/>
          <w:szCs w:val="24"/>
          <w:lang w:val="bs-Latn-BA"/>
        </w:rPr>
        <w:t xml:space="preserve"> </w:t>
      </w:r>
      <w:r>
        <w:rPr>
          <w:rFonts w:ascii="Times New Roman" w:hAnsi="Times New Roman"/>
          <w:szCs w:val="24"/>
          <w:lang w:val="bs-Latn-BA"/>
        </w:rPr>
        <w:t>у</w:t>
      </w:r>
      <w:r w:rsidR="00E44A2F" w:rsidRPr="00295637">
        <w:rPr>
          <w:rFonts w:ascii="Times New Roman" w:hAnsi="Times New Roman"/>
          <w:szCs w:val="24"/>
          <w:lang w:val="bs-Latn-BA"/>
        </w:rPr>
        <w:t xml:space="preserve"> </w:t>
      </w:r>
      <w:r>
        <w:rPr>
          <w:rFonts w:ascii="Times New Roman" w:hAnsi="Times New Roman"/>
          <w:szCs w:val="24"/>
          <w:lang w:val="bs-Latn-BA"/>
        </w:rPr>
        <w:t>Сарајеву</w:t>
      </w:r>
      <w:r w:rsidR="00E44A2F" w:rsidRPr="00295637">
        <w:rPr>
          <w:rFonts w:ascii="Times New Roman" w:hAnsi="Times New Roman"/>
          <w:szCs w:val="24"/>
          <w:lang w:val="bs-Latn-BA"/>
        </w:rPr>
        <w:t xml:space="preserve"> </w:t>
      </w:r>
      <w:r>
        <w:rPr>
          <w:rFonts w:ascii="Times New Roman" w:hAnsi="Times New Roman"/>
          <w:szCs w:val="24"/>
          <w:lang w:val="bs-Latn-BA"/>
        </w:rPr>
        <w:t>на</w:t>
      </w:r>
      <w:r w:rsidR="00BA08C9" w:rsidRPr="00295637">
        <w:rPr>
          <w:rFonts w:ascii="Times New Roman" w:hAnsi="Times New Roman"/>
          <w:szCs w:val="24"/>
          <w:lang w:val="bs-Latn-BA"/>
        </w:rPr>
        <w:t xml:space="preserve"> </w:t>
      </w:r>
      <w:r w:rsidR="00650438">
        <w:rPr>
          <w:rFonts w:ascii="Times New Roman" w:hAnsi="Times New Roman"/>
          <w:szCs w:val="24"/>
          <w:lang w:val="sr-Cyrl-BA"/>
        </w:rPr>
        <w:t>спровођењу</w:t>
      </w:r>
      <w:r w:rsidR="00BA08C9" w:rsidRPr="00295637">
        <w:rPr>
          <w:rFonts w:ascii="Times New Roman" w:hAnsi="Times New Roman"/>
          <w:szCs w:val="24"/>
          <w:lang w:val="bs-Latn-BA"/>
        </w:rPr>
        <w:t xml:space="preserve"> </w:t>
      </w:r>
      <w:r>
        <w:rPr>
          <w:rFonts w:ascii="Times New Roman" w:hAnsi="Times New Roman"/>
          <w:szCs w:val="24"/>
          <w:lang w:val="bs-Latn-BA"/>
        </w:rPr>
        <w:t>пројекта</w:t>
      </w:r>
      <w:r w:rsidR="00674C78" w:rsidRPr="00295637">
        <w:rPr>
          <w:rFonts w:ascii="Times New Roman" w:hAnsi="Times New Roman"/>
          <w:szCs w:val="24"/>
          <w:lang w:val="bs-Latn-BA"/>
        </w:rPr>
        <w:t xml:space="preserve"> „</w:t>
      </w:r>
      <w:r>
        <w:rPr>
          <w:rFonts w:ascii="Times New Roman" w:hAnsi="Times New Roman"/>
          <w:szCs w:val="24"/>
          <w:lang w:val="bs-Latn-BA"/>
        </w:rPr>
        <w:t>Ородњавање</w:t>
      </w:r>
      <w:r w:rsidR="00DC0485" w:rsidRPr="00295637">
        <w:rPr>
          <w:rFonts w:ascii="Times New Roman" w:hAnsi="Times New Roman"/>
          <w:szCs w:val="24"/>
          <w:lang w:val="bs-Latn-BA"/>
        </w:rPr>
        <w:t xml:space="preserve"> </w:t>
      </w:r>
      <w:r>
        <w:rPr>
          <w:rFonts w:ascii="Times New Roman" w:hAnsi="Times New Roman"/>
          <w:szCs w:val="24"/>
          <w:lang w:val="bs-Latn-BA"/>
        </w:rPr>
        <w:t>друштва</w:t>
      </w:r>
      <w:r w:rsidR="00DC0485" w:rsidRPr="00295637">
        <w:rPr>
          <w:rFonts w:ascii="Times New Roman" w:hAnsi="Times New Roman"/>
          <w:szCs w:val="24"/>
          <w:lang w:val="bs-Latn-BA"/>
        </w:rPr>
        <w:t xml:space="preserve"> </w:t>
      </w:r>
      <w:r>
        <w:rPr>
          <w:rFonts w:ascii="Times New Roman" w:hAnsi="Times New Roman"/>
          <w:szCs w:val="24"/>
          <w:lang w:val="bs-Latn-BA"/>
        </w:rPr>
        <w:t>и</w:t>
      </w:r>
      <w:r w:rsidR="00DC0485" w:rsidRPr="00295637">
        <w:rPr>
          <w:rFonts w:ascii="Times New Roman" w:hAnsi="Times New Roman"/>
          <w:szCs w:val="24"/>
          <w:lang w:val="bs-Latn-BA"/>
        </w:rPr>
        <w:t xml:space="preserve"> </w:t>
      </w:r>
      <w:r>
        <w:rPr>
          <w:rFonts w:ascii="Times New Roman" w:hAnsi="Times New Roman"/>
          <w:szCs w:val="24"/>
          <w:lang w:val="bs-Latn-BA"/>
        </w:rPr>
        <w:t>сектора</w:t>
      </w:r>
      <w:r w:rsidR="00DC0485" w:rsidRPr="00295637">
        <w:rPr>
          <w:rFonts w:ascii="Times New Roman" w:hAnsi="Times New Roman"/>
          <w:szCs w:val="24"/>
          <w:lang w:val="bs-Latn-BA"/>
        </w:rPr>
        <w:t xml:space="preserve"> </w:t>
      </w:r>
      <w:r w:rsidR="00650438">
        <w:rPr>
          <w:rFonts w:ascii="Times New Roman" w:hAnsi="Times New Roman"/>
          <w:szCs w:val="24"/>
          <w:lang w:val="sr-Cyrl-BA"/>
        </w:rPr>
        <w:t>безбједности</w:t>
      </w:r>
      <w:r w:rsidR="00DC0485" w:rsidRPr="00295637">
        <w:rPr>
          <w:rFonts w:ascii="Times New Roman" w:hAnsi="Times New Roman"/>
          <w:szCs w:val="24"/>
          <w:lang w:val="bs-Latn-BA"/>
        </w:rPr>
        <w:t>“ (</w:t>
      </w:r>
      <w:r w:rsidR="006F27CF" w:rsidRPr="00295637">
        <w:rPr>
          <w:rFonts w:ascii="Times New Roman" w:hAnsi="Times New Roman"/>
          <w:szCs w:val="24"/>
          <w:lang w:val="bs-Latn-BA"/>
        </w:rPr>
        <w:t>„</w:t>
      </w:r>
      <w:r w:rsidR="00650438" w:rsidRPr="00650438">
        <w:rPr>
          <w:rFonts w:ascii="Times New Roman" w:hAnsi="Times New Roman"/>
          <w:i/>
          <w:szCs w:val="24"/>
          <w:lang w:val="bs-Latn-BA"/>
        </w:rPr>
        <w:t>GESOSS</w:t>
      </w:r>
      <w:r w:rsidR="00CB42E6">
        <w:rPr>
          <w:rFonts w:ascii="Times New Roman" w:hAnsi="Times New Roman"/>
          <w:szCs w:val="24"/>
          <w:lang w:val="bs-Latn-BA"/>
        </w:rPr>
        <w:t xml:space="preserve"> </w:t>
      </w:r>
      <w:r>
        <w:rPr>
          <w:rFonts w:ascii="Times New Roman" w:hAnsi="Times New Roman"/>
          <w:szCs w:val="24"/>
          <w:lang w:val="bs-Latn-BA"/>
        </w:rPr>
        <w:t>БиХ</w:t>
      </w:r>
      <w:r w:rsidR="00674C78" w:rsidRPr="00295637">
        <w:rPr>
          <w:rFonts w:ascii="Times New Roman" w:hAnsi="Times New Roman"/>
          <w:szCs w:val="24"/>
          <w:lang w:val="bs-Latn-BA"/>
        </w:rPr>
        <w:t>“</w:t>
      </w:r>
      <w:r w:rsidR="00DC0485" w:rsidRPr="00295637">
        <w:rPr>
          <w:rFonts w:ascii="Times New Roman" w:hAnsi="Times New Roman"/>
          <w:szCs w:val="24"/>
          <w:lang w:val="bs-Latn-BA"/>
        </w:rPr>
        <w:t>)</w:t>
      </w:r>
      <w:r w:rsidR="00674C78" w:rsidRPr="00295637">
        <w:rPr>
          <w:rFonts w:ascii="Times New Roman" w:hAnsi="Times New Roman"/>
          <w:szCs w:val="24"/>
          <w:lang w:val="bs-Latn-BA"/>
        </w:rPr>
        <w:t xml:space="preserve"> </w:t>
      </w:r>
      <w:r>
        <w:rPr>
          <w:rFonts w:ascii="Times New Roman" w:hAnsi="Times New Roman"/>
          <w:szCs w:val="24"/>
          <w:lang w:val="bs-Latn-BA"/>
        </w:rPr>
        <w:t>којег</w:t>
      </w:r>
      <w:r w:rsidR="004122CE" w:rsidRPr="00295637">
        <w:rPr>
          <w:rFonts w:ascii="Times New Roman" w:hAnsi="Times New Roman"/>
          <w:szCs w:val="24"/>
          <w:lang w:val="bs-Latn-BA"/>
        </w:rPr>
        <w:t xml:space="preserve"> </w:t>
      </w:r>
      <w:r>
        <w:rPr>
          <w:rFonts w:ascii="Times New Roman" w:hAnsi="Times New Roman"/>
          <w:szCs w:val="24"/>
          <w:lang w:val="bs-Latn-BA"/>
        </w:rPr>
        <w:t>финансира</w:t>
      </w:r>
      <w:r w:rsidR="004122CE" w:rsidRPr="00295637">
        <w:rPr>
          <w:rFonts w:ascii="Times New Roman" w:hAnsi="Times New Roman"/>
          <w:szCs w:val="24"/>
          <w:lang w:val="bs-Latn-BA"/>
        </w:rPr>
        <w:t xml:space="preserve"> </w:t>
      </w:r>
      <w:r>
        <w:rPr>
          <w:rFonts w:ascii="Times New Roman" w:hAnsi="Times New Roman"/>
          <w:szCs w:val="24"/>
          <w:lang w:val="bs-Latn-BA"/>
        </w:rPr>
        <w:t>ЕУ</w:t>
      </w:r>
      <w:r w:rsidR="004122CE" w:rsidRPr="00295637">
        <w:rPr>
          <w:rFonts w:ascii="Times New Roman" w:hAnsi="Times New Roman"/>
          <w:szCs w:val="24"/>
          <w:lang w:val="bs-Latn-BA"/>
        </w:rPr>
        <w:t xml:space="preserve"> </w:t>
      </w:r>
      <w:r>
        <w:rPr>
          <w:rFonts w:ascii="Times New Roman" w:hAnsi="Times New Roman"/>
          <w:szCs w:val="24"/>
          <w:lang w:val="bs-Latn-BA"/>
        </w:rPr>
        <w:t>а</w:t>
      </w:r>
      <w:r w:rsidR="004122CE" w:rsidRPr="00295637">
        <w:rPr>
          <w:rFonts w:ascii="Times New Roman" w:hAnsi="Times New Roman"/>
          <w:szCs w:val="24"/>
          <w:lang w:val="bs-Latn-BA"/>
        </w:rPr>
        <w:t xml:space="preserve"> </w:t>
      </w:r>
      <w:r>
        <w:rPr>
          <w:rFonts w:ascii="Times New Roman" w:hAnsi="Times New Roman"/>
          <w:szCs w:val="24"/>
          <w:lang w:val="bs-Latn-BA"/>
        </w:rPr>
        <w:t>чији</w:t>
      </w:r>
      <w:r w:rsidR="00674C78" w:rsidRPr="00295637">
        <w:rPr>
          <w:rFonts w:ascii="Times New Roman" w:hAnsi="Times New Roman"/>
          <w:szCs w:val="24"/>
          <w:lang w:val="bs-Latn-BA"/>
        </w:rPr>
        <w:t xml:space="preserve"> </w:t>
      </w:r>
      <w:r>
        <w:rPr>
          <w:rFonts w:ascii="Times New Roman" w:hAnsi="Times New Roman"/>
          <w:szCs w:val="24"/>
          <w:lang w:val="bs-Latn-BA"/>
        </w:rPr>
        <w:t>је</w:t>
      </w:r>
      <w:r w:rsidR="00674C78" w:rsidRPr="00295637">
        <w:rPr>
          <w:rFonts w:ascii="Times New Roman" w:hAnsi="Times New Roman"/>
          <w:szCs w:val="24"/>
          <w:lang w:val="bs-Latn-BA"/>
        </w:rPr>
        <w:t xml:space="preserve"> </w:t>
      </w:r>
      <w:r>
        <w:rPr>
          <w:rFonts w:ascii="Times New Roman" w:hAnsi="Times New Roman"/>
          <w:szCs w:val="24"/>
          <w:lang w:val="bs-Latn-BA"/>
        </w:rPr>
        <w:t>циљ</w:t>
      </w:r>
      <w:r w:rsidR="00392985" w:rsidRPr="00295637">
        <w:rPr>
          <w:rFonts w:ascii="Times New Roman" w:hAnsi="Times New Roman"/>
          <w:szCs w:val="24"/>
          <w:lang w:val="bs-Latn-BA"/>
        </w:rPr>
        <w:t xml:space="preserve"> </w:t>
      </w:r>
      <w:r>
        <w:rPr>
          <w:rFonts w:ascii="Times New Roman" w:hAnsi="Times New Roman"/>
          <w:szCs w:val="24"/>
          <w:lang w:val="bs-Latn-BA"/>
        </w:rPr>
        <w:t>унапређење</w:t>
      </w:r>
      <w:r w:rsidR="00674C78" w:rsidRPr="00295637">
        <w:rPr>
          <w:rFonts w:ascii="Times New Roman" w:hAnsi="Times New Roman"/>
          <w:szCs w:val="24"/>
          <w:lang w:val="bs-Latn-BA"/>
        </w:rPr>
        <w:t xml:space="preserve"> </w:t>
      </w:r>
      <w:r>
        <w:rPr>
          <w:rFonts w:ascii="Times New Roman" w:hAnsi="Times New Roman"/>
          <w:szCs w:val="24"/>
          <w:lang w:val="bs-Latn-BA"/>
        </w:rPr>
        <w:t>положаја</w:t>
      </w:r>
      <w:r w:rsidR="00674C78" w:rsidRPr="00295637">
        <w:rPr>
          <w:rFonts w:ascii="Times New Roman" w:hAnsi="Times New Roman"/>
          <w:szCs w:val="24"/>
          <w:lang w:val="bs-Latn-BA"/>
        </w:rPr>
        <w:t xml:space="preserve"> </w:t>
      </w:r>
      <w:r>
        <w:rPr>
          <w:rFonts w:ascii="Times New Roman" w:hAnsi="Times New Roman"/>
          <w:szCs w:val="24"/>
          <w:lang w:val="bs-Latn-BA"/>
        </w:rPr>
        <w:t>жена</w:t>
      </w:r>
      <w:r w:rsidR="00674C78" w:rsidRPr="00295637">
        <w:rPr>
          <w:rFonts w:ascii="Times New Roman" w:hAnsi="Times New Roman"/>
          <w:szCs w:val="24"/>
          <w:lang w:val="bs-Latn-BA"/>
        </w:rPr>
        <w:t xml:space="preserve"> </w:t>
      </w:r>
      <w:r>
        <w:rPr>
          <w:rFonts w:ascii="Times New Roman" w:hAnsi="Times New Roman"/>
          <w:szCs w:val="24"/>
          <w:lang w:val="bs-Latn-BA"/>
        </w:rPr>
        <w:t>у</w:t>
      </w:r>
      <w:r w:rsidR="00674C78" w:rsidRPr="00295637">
        <w:rPr>
          <w:rFonts w:ascii="Times New Roman" w:hAnsi="Times New Roman"/>
          <w:szCs w:val="24"/>
          <w:lang w:val="bs-Latn-BA"/>
        </w:rPr>
        <w:t xml:space="preserve"> </w:t>
      </w:r>
      <w:r>
        <w:rPr>
          <w:rFonts w:ascii="Times New Roman" w:hAnsi="Times New Roman"/>
          <w:szCs w:val="24"/>
          <w:lang w:val="bs-Latn-BA"/>
        </w:rPr>
        <w:t>сектору</w:t>
      </w:r>
      <w:r w:rsidR="00674C78" w:rsidRPr="00295637">
        <w:rPr>
          <w:rFonts w:ascii="Times New Roman" w:hAnsi="Times New Roman"/>
          <w:szCs w:val="24"/>
          <w:lang w:val="bs-Latn-BA"/>
        </w:rPr>
        <w:t xml:space="preserve"> </w:t>
      </w:r>
      <w:r w:rsidR="00650438">
        <w:rPr>
          <w:rFonts w:ascii="Times New Roman" w:hAnsi="Times New Roman"/>
          <w:szCs w:val="24"/>
          <w:lang w:val="sr-Cyrl-BA"/>
        </w:rPr>
        <w:t>безбједности</w:t>
      </w:r>
      <w:r w:rsidR="00674C78" w:rsidRPr="00295637">
        <w:rPr>
          <w:rFonts w:ascii="Times New Roman" w:hAnsi="Times New Roman"/>
          <w:szCs w:val="24"/>
          <w:lang w:val="bs-Latn-BA"/>
        </w:rPr>
        <w:t xml:space="preserve"> </w:t>
      </w:r>
      <w:r>
        <w:rPr>
          <w:rFonts w:ascii="Times New Roman" w:hAnsi="Times New Roman"/>
          <w:szCs w:val="24"/>
          <w:lang w:val="bs-Latn-BA"/>
        </w:rPr>
        <w:t>путем</w:t>
      </w:r>
      <w:r w:rsidR="00674C78" w:rsidRPr="00295637">
        <w:rPr>
          <w:rFonts w:ascii="Times New Roman" w:hAnsi="Times New Roman"/>
          <w:szCs w:val="24"/>
          <w:lang w:val="bs-Latn-BA"/>
        </w:rPr>
        <w:t xml:space="preserve"> </w:t>
      </w:r>
      <w:r>
        <w:rPr>
          <w:rFonts w:ascii="Times New Roman" w:hAnsi="Times New Roman"/>
          <w:szCs w:val="24"/>
          <w:lang w:val="bs-Latn-BA"/>
        </w:rPr>
        <w:t>бољег</w:t>
      </w:r>
      <w:r w:rsidR="00674C78" w:rsidRPr="00295637">
        <w:rPr>
          <w:rFonts w:ascii="Times New Roman" w:hAnsi="Times New Roman"/>
          <w:szCs w:val="24"/>
          <w:lang w:val="bs-Latn-BA"/>
        </w:rPr>
        <w:t xml:space="preserve"> </w:t>
      </w:r>
      <w:r>
        <w:rPr>
          <w:rFonts w:ascii="Times New Roman" w:hAnsi="Times New Roman"/>
          <w:szCs w:val="24"/>
          <w:lang w:val="bs-Latn-BA"/>
        </w:rPr>
        <w:t>схватања</w:t>
      </w:r>
      <w:r w:rsidR="00674C78" w:rsidRPr="00295637">
        <w:rPr>
          <w:rFonts w:ascii="Times New Roman" w:hAnsi="Times New Roman"/>
          <w:szCs w:val="24"/>
          <w:lang w:val="bs-Latn-BA"/>
        </w:rPr>
        <w:t xml:space="preserve"> </w:t>
      </w:r>
      <w:r>
        <w:rPr>
          <w:rFonts w:ascii="Times New Roman" w:hAnsi="Times New Roman"/>
          <w:szCs w:val="24"/>
          <w:lang w:val="bs-Latn-BA"/>
        </w:rPr>
        <w:t>и</w:t>
      </w:r>
      <w:r w:rsidR="00674C78" w:rsidRPr="00295637">
        <w:rPr>
          <w:rFonts w:ascii="Times New Roman" w:hAnsi="Times New Roman"/>
          <w:szCs w:val="24"/>
          <w:lang w:val="bs-Latn-BA"/>
        </w:rPr>
        <w:t xml:space="preserve"> </w:t>
      </w:r>
      <w:r>
        <w:rPr>
          <w:rFonts w:ascii="Times New Roman" w:hAnsi="Times New Roman"/>
          <w:szCs w:val="24"/>
          <w:lang w:val="bs-Latn-BA"/>
        </w:rPr>
        <w:t>примјене</w:t>
      </w:r>
      <w:r w:rsidR="003E5583" w:rsidRPr="00295637">
        <w:rPr>
          <w:rFonts w:ascii="Times New Roman" w:hAnsi="Times New Roman"/>
          <w:szCs w:val="24"/>
          <w:lang w:val="bs-Latn-BA"/>
        </w:rPr>
        <w:t xml:space="preserve"> </w:t>
      </w:r>
      <w:r>
        <w:rPr>
          <w:rFonts w:ascii="Times New Roman" w:hAnsi="Times New Roman"/>
          <w:szCs w:val="24"/>
          <w:lang w:val="bs-Latn-BA"/>
        </w:rPr>
        <w:t>Резолуције</w:t>
      </w:r>
      <w:r w:rsidR="00DC0485" w:rsidRPr="00295637">
        <w:rPr>
          <w:rFonts w:ascii="Times New Roman" w:hAnsi="Times New Roman"/>
          <w:szCs w:val="24"/>
          <w:lang w:val="bs-Latn-BA"/>
        </w:rPr>
        <w:t xml:space="preserve"> </w:t>
      </w:r>
      <w:r w:rsidR="00650438" w:rsidRPr="00650438">
        <w:rPr>
          <w:rFonts w:ascii="Times New Roman" w:hAnsi="Times New Roman"/>
          <w:i/>
          <w:szCs w:val="24"/>
          <w:lang w:val="bs-Latn-BA"/>
        </w:rPr>
        <w:t>UNSCR</w:t>
      </w:r>
      <w:r w:rsidR="003E5583" w:rsidRPr="00295637">
        <w:rPr>
          <w:rFonts w:ascii="Times New Roman" w:hAnsi="Times New Roman"/>
          <w:szCs w:val="24"/>
          <w:lang w:val="bs-Latn-BA"/>
        </w:rPr>
        <w:t xml:space="preserve"> </w:t>
      </w:r>
      <w:r w:rsidR="00DC0485" w:rsidRPr="00295637">
        <w:rPr>
          <w:rFonts w:ascii="Times New Roman" w:hAnsi="Times New Roman"/>
          <w:szCs w:val="24"/>
          <w:lang w:val="bs-Latn-BA"/>
        </w:rPr>
        <w:t xml:space="preserve">1325 </w:t>
      </w:r>
      <w:r>
        <w:rPr>
          <w:rFonts w:ascii="Times New Roman" w:hAnsi="Times New Roman"/>
          <w:szCs w:val="24"/>
          <w:lang w:val="bs-Latn-BA"/>
        </w:rPr>
        <w:t>у</w:t>
      </w:r>
      <w:r w:rsidR="00DC0485" w:rsidRPr="00295637">
        <w:rPr>
          <w:rFonts w:ascii="Times New Roman" w:hAnsi="Times New Roman"/>
          <w:szCs w:val="24"/>
          <w:lang w:val="bs-Latn-BA"/>
        </w:rPr>
        <w:t xml:space="preserve"> </w:t>
      </w:r>
      <w:r>
        <w:rPr>
          <w:rFonts w:ascii="Times New Roman" w:hAnsi="Times New Roman"/>
          <w:szCs w:val="24"/>
          <w:lang w:val="bs-Latn-BA"/>
        </w:rPr>
        <w:t>друштву</w:t>
      </w:r>
      <w:r w:rsidR="006B6DD4" w:rsidRPr="00295637">
        <w:rPr>
          <w:rFonts w:ascii="Times New Roman" w:hAnsi="Times New Roman"/>
          <w:szCs w:val="24"/>
          <w:lang w:val="bs-Latn-BA"/>
        </w:rPr>
        <w:t xml:space="preserve">, </w:t>
      </w:r>
      <w:r>
        <w:rPr>
          <w:rFonts w:ascii="Times New Roman" w:hAnsi="Times New Roman"/>
          <w:szCs w:val="24"/>
          <w:lang w:val="bs-Latn-BA"/>
        </w:rPr>
        <w:t>те</w:t>
      </w:r>
      <w:r w:rsidR="006B6DD4" w:rsidRPr="00295637">
        <w:rPr>
          <w:rFonts w:ascii="Times New Roman" w:hAnsi="Times New Roman"/>
          <w:szCs w:val="24"/>
          <w:lang w:val="bs-Latn-BA"/>
        </w:rPr>
        <w:t xml:space="preserve"> </w:t>
      </w:r>
      <w:r>
        <w:rPr>
          <w:rFonts w:ascii="Times New Roman" w:hAnsi="Times New Roman"/>
          <w:szCs w:val="24"/>
          <w:lang w:val="bs-Latn-BA"/>
        </w:rPr>
        <w:t>о</w:t>
      </w:r>
      <w:r w:rsidR="00650438">
        <w:rPr>
          <w:rFonts w:ascii="Times New Roman" w:hAnsi="Times New Roman"/>
          <w:szCs w:val="24"/>
          <w:lang w:val="sr-Cyrl-BA"/>
        </w:rPr>
        <w:t>безбјеђивање</w:t>
      </w:r>
      <w:r w:rsidR="00674C78" w:rsidRPr="00295637">
        <w:rPr>
          <w:rFonts w:ascii="Times New Roman" w:hAnsi="Times New Roman"/>
          <w:szCs w:val="24"/>
          <w:lang w:val="bs-Latn-BA"/>
        </w:rPr>
        <w:t xml:space="preserve"> </w:t>
      </w:r>
      <w:r>
        <w:rPr>
          <w:rFonts w:ascii="Times New Roman" w:hAnsi="Times New Roman"/>
          <w:szCs w:val="24"/>
          <w:lang w:val="bs-Latn-BA"/>
        </w:rPr>
        <w:t>више</w:t>
      </w:r>
      <w:r w:rsidR="00674C78" w:rsidRPr="00295637">
        <w:rPr>
          <w:rFonts w:ascii="Times New Roman" w:hAnsi="Times New Roman"/>
          <w:szCs w:val="24"/>
          <w:lang w:val="bs-Latn-BA"/>
        </w:rPr>
        <w:t xml:space="preserve"> </w:t>
      </w:r>
      <w:r>
        <w:rPr>
          <w:rFonts w:ascii="Times New Roman" w:hAnsi="Times New Roman"/>
          <w:szCs w:val="24"/>
          <w:lang w:val="bs-Latn-BA"/>
        </w:rPr>
        <w:t>родно</w:t>
      </w:r>
      <w:r w:rsidR="00674C78" w:rsidRPr="00295637">
        <w:rPr>
          <w:rFonts w:ascii="Times New Roman" w:hAnsi="Times New Roman"/>
          <w:szCs w:val="24"/>
          <w:lang w:val="bs-Latn-BA"/>
        </w:rPr>
        <w:t xml:space="preserve"> </w:t>
      </w:r>
      <w:r>
        <w:rPr>
          <w:rFonts w:ascii="Times New Roman" w:hAnsi="Times New Roman"/>
          <w:szCs w:val="24"/>
          <w:lang w:val="bs-Latn-BA"/>
        </w:rPr>
        <w:t>осјетљивог</w:t>
      </w:r>
      <w:r w:rsidR="00674C78" w:rsidRPr="00295637">
        <w:rPr>
          <w:rFonts w:ascii="Times New Roman" w:hAnsi="Times New Roman"/>
          <w:szCs w:val="24"/>
          <w:lang w:val="bs-Latn-BA"/>
        </w:rPr>
        <w:t xml:space="preserve"> </w:t>
      </w:r>
      <w:r>
        <w:rPr>
          <w:rFonts w:ascii="Times New Roman" w:hAnsi="Times New Roman"/>
          <w:szCs w:val="24"/>
          <w:lang w:val="bs-Latn-BA"/>
        </w:rPr>
        <w:t>надзора</w:t>
      </w:r>
      <w:r w:rsidR="00674C78" w:rsidRPr="00295637">
        <w:rPr>
          <w:rFonts w:ascii="Times New Roman" w:hAnsi="Times New Roman"/>
          <w:szCs w:val="24"/>
          <w:lang w:val="bs-Latn-BA"/>
        </w:rPr>
        <w:t xml:space="preserve"> </w:t>
      </w:r>
      <w:r>
        <w:rPr>
          <w:rFonts w:ascii="Times New Roman" w:hAnsi="Times New Roman"/>
          <w:szCs w:val="24"/>
          <w:lang w:val="bs-Latn-BA"/>
        </w:rPr>
        <w:t>над</w:t>
      </w:r>
      <w:r w:rsidR="00674C78" w:rsidRPr="00295637">
        <w:rPr>
          <w:rFonts w:ascii="Times New Roman" w:hAnsi="Times New Roman"/>
          <w:szCs w:val="24"/>
          <w:lang w:val="bs-Latn-BA"/>
        </w:rPr>
        <w:t xml:space="preserve"> </w:t>
      </w:r>
      <w:r>
        <w:rPr>
          <w:rFonts w:ascii="Times New Roman" w:hAnsi="Times New Roman"/>
          <w:szCs w:val="24"/>
          <w:lang w:val="bs-Latn-BA"/>
        </w:rPr>
        <w:t>сектором</w:t>
      </w:r>
      <w:r w:rsidR="00674C78" w:rsidRPr="00295637">
        <w:rPr>
          <w:rFonts w:ascii="Times New Roman" w:hAnsi="Times New Roman"/>
          <w:szCs w:val="24"/>
          <w:lang w:val="bs-Latn-BA"/>
        </w:rPr>
        <w:t xml:space="preserve"> </w:t>
      </w:r>
      <w:r w:rsidR="00650438">
        <w:rPr>
          <w:rFonts w:ascii="Times New Roman" w:hAnsi="Times New Roman"/>
          <w:szCs w:val="24"/>
          <w:lang w:val="sr-Cyrl-BA"/>
        </w:rPr>
        <w:t>безбједности</w:t>
      </w:r>
      <w:r w:rsidR="00674C78" w:rsidRPr="00295637">
        <w:rPr>
          <w:rFonts w:ascii="Times New Roman" w:hAnsi="Times New Roman"/>
          <w:szCs w:val="24"/>
          <w:lang w:val="bs-Latn-BA"/>
        </w:rPr>
        <w:t xml:space="preserve"> </w:t>
      </w:r>
      <w:r>
        <w:rPr>
          <w:rFonts w:ascii="Times New Roman" w:hAnsi="Times New Roman"/>
          <w:szCs w:val="24"/>
          <w:lang w:val="bs-Latn-BA"/>
        </w:rPr>
        <w:t>у</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674C78" w:rsidRPr="00295637">
        <w:rPr>
          <w:rFonts w:ascii="Times New Roman" w:hAnsi="Times New Roman"/>
          <w:szCs w:val="24"/>
          <w:lang w:val="bs-Latn-BA"/>
        </w:rPr>
        <w:t xml:space="preserve">. </w:t>
      </w:r>
      <w:r>
        <w:rPr>
          <w:rFonts w:ascii="Times New Roman" w:hAnsi="Times New Roman"/>
          <w:szCs w:val="24"/>
          <w:lang w:val="bs-Latn-BA"/>
        </w:rPr>
        <w:t>Почетни</w:t>
      </w:r>
      <w:r w:rsidR="00E44A2F" w:rsidRPr="00295637">
        <w:rPr>
          <w:rFonts w:ascii="Times New Roman" w:hAnsi="Times New Roman"/>
          <w:szCs w:val="24"/>
          <w:lang w:val="bs-Latn-BA"/>
        </w:rPr>
        <w:t xml:space="preserve"> </w:t>
      </w:r>
      <w:r>
        <w:rPr>
          <w:rFonts w:ascii="Times New Roman" w:hAnsi="Times New Roman"/>
          <w:szCs w:val="24"/>
          <w:lang w:val="bs-Latn-BA"/>
        </w:rPr>
        <w:t>догађај</w:t>
      </w:r>
      <w:r w:rsidR="00E44A2F" w:rsidRPr="00295637">
        <w:rPr>
          <w:rFonts w:ascii="Times New Roman" w:hAnsi="Times New Roman"/>
          <w:szCs w:val="24"/>
          <w:lang w:val="bs-Latn-BA"/>
        </w:rPr>
        <w:t xml:space="preserve"> </w:t>
      </w:r>
      <w:r>
        <w:rPr>
          <w:rFonts w:ascii="Times New Roman" w:hAnsi="Times New Roman"/>
          <w:szCs w:val="24"/>
          <w:lang w:val="bs-Latn-BA"/>
        </w:rPr>
        <w:t>пројекта</w:t>
      </w:r>
      <w:r w:rsidR="00E44A2F" w:rsidRPr="00295637">
        <w:rPr>
          <w:rFonts w:ascii="Times New Roman" w:hAnsi="Times New Roman"/>
          <w:szCs w:val="24"/>
          <w:lang w:val="bs-Latn-BA"/>
        </w:rPr>
        <w:t xml:space="preserve"> </w:t>
      </w:r>
      <w:r>
        <w:rPr>
          <w:rFonts w:ascii="Times New Roman" w:hAnsi="Times New Roman"/>
          <w:szCs w:val="24"/>
          <w:lang w:val="bs-Latn-BA"/>
        </w:rPr>
        <w:t>на</w:t>
      </w:r>
      <w:r w:rsidR="00E44A2F" w:rsidRPr="00295637">
        <w:rPr>
          <w:rFonts w:ascii="Times New Roman" w:hAnsi="Times New Roman"/>
          <w:szCs w:val="24"/>
          <w:lang w:val="bs-Latn-BA"/>
        </w:rPr>
        <w:t xml:space="preserve"> </w:t>
      </w:r>
      <w:r>
        <w:rPr>
          <w:rFonts w:ascii="Times New Roman" w:hAnsi="Times New Roman"/>
          <w:szCs w:val="24"/>
          <w:lang w:val="bs-Latn-BA"/>
        </w:rPr>
        <w:t>којему</w:t>
      </w:r>
      <w:r w:rsidR="00E44A2F" w:rsidRPr="00295637">
        <w:rPr>
          <w:rFonts w:ascii="Times New Roman" w:hAnsi="Times New Roman"/>
          <w:szCs w:val="24"/>
          <w:lang w:val="bs-Latn-BA"/>
        </w:rPr>
        <w:t xml:space="preserve"> </w:t>
      </w:r>
      <w:r>
        <w:rPr>
          <w:rFonts w:ascii="Times New Roman" w:hAnsi="Times New Roman"/>
          <w:szCs w:val="24"/>
          <w:lang w:val="bs-Latn-BA"/>
        </w:rPr>
        <w:t>је</w:t>
      </w:r>
      <w:r w:rsidR="00E44A2F" w:rsidRPr="00295637">
        <w:rPr>
          <w:rFonts w:ascii="Times New Roman" w:hAnsi="Times New Roman"/>
          <w:szCs w:val="24"/>
          <w:lang w:val="bs-Latn-BA"/>
        </w:rPr>
        <w:t xml:space="preserve"> </w:t>
      </w:r>
      <w:r>
        <w:rPr>
          <w:rFonts w:ascii="Times New Roman" w:hAnsi="Times New Roman"/>
          <w:szCs w:val="24"/>
          <w:lang w:val="bs-Latn-BA"/>
        </w:rPr>
        <w:t>учествовала</w:t>
      </w:r>
      <w:r w:rsidR="00E44A2F" w:rsidRPr="00295637">
        <w:rPr>
          <w:rFonts w:ascii="Times New Roman" w:hAnsi="Times New Roman"/>
          <w:szCs w:val="24"/>
          <w:lang w:val="bs-Latn-BA"/>
        </w:rPr>
        <w:t xml:space="preserve"> </w:t>
      </w:r>
      <w:r>
        <w:rPr>
          <w:rFonts w:ascii="Times New Roman" w:hAnsi="Times New Roman"/>
          <w:szCs w:val="24"/>
          <w:lang w:val="bs-Latn-BA"/>
        </w:rPr>
        <w:t>и</w:t>
      </w:r>
      <w:r w:rsidR="00E44A2F" w:rsidRPr="00295637">
        <w:rPr>
          <w:rFonts w:ascii="Times New Roman" w:hAnsi="Times New Roman"/>
          <w:szCs w:val="24"/>
          <w:lang w:val="bs-Latn-BA"/>
        </w:rPr>
        <w:t xml:space="preserve"> </w:t>
      </w:r>
      <w:r>
        <w:rPr>
          <w:rFonts w:ascii="Times New Roman" w:hAnsi="Times New Roman"/>
          <w:szCs w:val="24"/>
          <w:lang w:val="bs-Latn-BA"/>
        </w:rPr>
        <w:t>АР</w:t>
      </w:r>
      <w:r w:rsidR="00650438">
        <w:rPr>
          <w:rFonts w:ascii="Times New Roman" w:hAnsi="Times New Roman"/>
          <w:szCs w:val="24"/>
          <w:lang w:val="sr-Cyrl-BA"/>
        </w:rPr>
        <w:t>П</w:t>
      </w:r>
      <w:r w:rsidR="00CB42E6">
        <w:rPr>
          <w:rFonts w:ascii="Times New Roman" w:hAnsi="Times New Roman"/>
          <w:szCs w:val="24"/>
          <w:lang w:val="bs-Latn-BA"/>
        </w:rPr>
        <w:t xml:space="preserve"> </w:t>
      </w:r>
      <w:r>
        <w:rPr>
          <w:rFonts w:ascii="Times New Roman" w:hAnsi="Times New Roman"/>
          <w:szCs w:val="24"/>
          <w:lang w:val="bs-Latn-BA"/>
        </w:rPr>
        <w:t>БиХ</w:t>
      </w:r>
      <w:r w:rsidR="00E44A2F" w:rsidRPr="00295637">
        <w:rPr>
          <w:rFonts w:ascii="Times New Roman" w:hAnsi="Times New Roman"/>
          <w:szCs w:val="24"/>
          <w:lang w:val="bs-Latn-BA"/>
        </w:rPr>
        <w:t xml:space="preserve"> </w:t>
      </w:r>
      <w:r>
        <w:rPr>
          <w:rFonts w:ascii="Times New Roman" w:hAnsi="Times New Roman"/>
          <w:szCs w:val="24"/>
          <w:lang w:val="bs-Latn-BA"/>
        </w:rPr>
        <w:t>МЉПИ</w:t>
      </w:r>
      <w:r w:rsidR="00DC19C9">
        <w:rPr>
          <w:rFonts w:ascii="Times New Roman" w:hAnsi="Times New Roman"/>
          <w:szCs w:val="24"/>
          <w:lang w:val="bs-Latn-BA"/>
        </w:rPr>
        <w:t xml:space="preserve"> </w:t>
      </w:r>
      <w:r>
        <w:rPr>
          <w:rFonts w:ascii="Times New Roman" w:hAnsi="Times New Roman"/>
          <w:szCs w:val="24"/>
          <w:lang w:val="bs-Latn-BA"/>
        </w:rPr>
        <w:t>БиХ</w:t>
      </w:r>
      <w:r w:rsidR="00E44A2F" w:rsidRPr="00295637">
        <w:rPr>
          <w:rFonts w:ascii="Times New Roman" w:hAnsi="Times New Roman"/>
          <w:szCs w:val="24"/>
          <w:lang w:val="bs-Latn-BA"/>
        </w:rPr>
        <w:t xml:space="preserve">, </w:t>
      </w:r>
      <w:r>
        <w:rPr>
          <w:rFonts w:ascii="Times New Roman" w:hAnsi="Times New Roman"/>
          <w:szCs w:val="24"/>
          <w:lang w:val="bs-Latn-BA"/>
        </w:rPr>
        <w:t>одржан</w:t>
      </w:r>
      <w:r w:rsidR="00E44A2F" w:rsidRPr="00295637">
        <w:rPr>
          <w:rFonts w:ascii="Times New Roman" w:hAnsi="Times New Roman"/>
          <w:szCs w:val="24"/>
          <w:lang w:val="bs-Latn-BA"/>
        </w:rPr>
        <w:t xml:space="preserve"> </w:t>
      </w:r>
      <w:r>
        <w:rPr>
          <w:rFonts w:ascii="Times New Roman" w:hAnsi="Times New Roman"/>
          <w:szCs w:val="24"/>
          <w:lang w:val="bs-Latn-BA"/>
        </w:rPr>
        <w:t>је</w:t>
      </w:r>
      <w:r w:rsidR="00E44A2F" w:rsidRPr="00295637">
        <w:rPr>
          <w:rFonts w:ascii="Times New Roman" w:hAnsi="Times New Roman"/>
          <w:szCs w:val="24"/>
          <w:lang w:val="bs-Latn-BA"/>
        </w:rPr>
        <w:t xml:space="preserve"> </w:t>
      </w:r>
      <w:r>
        <w:rPr>
          <w:rFonts w:ascii="Times New Roman" w:hAnsi="Times New Roman"/>
          <w:szCs w:val="24"/>
          <w:lang w:val="bs-Latn-BA"/>
        </w:rPr>
        <w:t>у</w:t>
      </w:r>
      <w:r w:rsidR="00E44A2F" w:rsidRPr="00295637">
        <w:rPr>
          <w:rFonts w:ascii="Times New Roman" w:hAnsi="Times New Roman"/>
          <w:szCs w:val="24"/>
          <w:lang w:val="bs-Latn-BA"/>
        </w:rPr>
        <w:t xml:space="preserve"> </w:t>
      </w:r>
      <w:r>
        <w:rPr>
          <w:rFonts w:ascii="Times New Roman" w:hAnsi="Times New Roman"/>
          <w:szCs w:val="24"/>
          <w:lang w:val="bs-Latn-BA"/>
        </w:rPr>
        <w:t>мају</w:t>
      </w:r>
      <w:r w:rsidR="00E44A2F" w:rsidRPr="00295637">
        <w:rPr>
          <w:rFonts w:ascii="Times New Roman" w:hAnsi="Times New Roman"/>
          <w:szCs w:val="24"/>
          <w:lang w:val="bs-Latn-BA"/>
        </w:rPr>
        <w:t xml:space="preserve"> 2024. </w:t>
      </w:r>
      <w:r>
        <w:rPr>
          <w:rFonts w:ascii="Times New Roman" w:hAnsi="Times New Roman"/>
          <w:szCs w:val="24"/>
          <w:lang w:val="bs-Latn-BA"/>
        </w:rPr>
        <w:t>године</w:t>
      </w:r>
      <w:r w:rsidR="00E44A2F" w:rsidRPr="00295637">
        <w:rPr>
          <w:rFonts w:ascii="Times New Roman" w:hAnsi="Times New Roman"/>
          <w:szCs w:val="24"/>
          <w:lang w:val="bs-Latn-BA"/>
        </w:rPr>
        <w:t xml:space="preserve">. </w:t>
      </w:r>
      <w:r>
        <w:rPr>
          <w:rFonts w:ascii="Times New Roman" w:hAnsi="Times New Roman"/>
          <w:szCs w:val="24"/>
          <w:lang w:val="bs-Latn-BA"/>
        </w:rPr>
        <w:t>Сарадњу</w:t>
      </w:r>
      <w:r w:rsidR="00980BFE" w:rsidRPr="00295637">
        <w:rPr>
          <w:rFonts w:ascii="Times New Roman" w:hAnsi="Times New Roman"/>
          <w:szCs w:val="24"/>
          <w:lang w:val="bs-Latn-BA"/>
        </w:rPr>
        <w:t xml:space="preserve"> </w:t>
      </w:r>
      <w:r>
        <w:rPr>
          <w:rFonts w:ascii="Times New Roman" w:hAnsi="Times New Roman"/>
          <w:szCs w:val="24"/>
          <w:lang w:val="bs-Latn-BA"/>
        </w:rPr>
        <w:t>и</w:t>
      </w:r>
      <w:r w:rsidR="00980BFE" w:rsidRPr="00295637">
        <w:rPr>
          <w:rFonts w:ascii="Times New Roman" w:hAnsi="Times New Roman"/>
          <w:szCs w:val="24"/>
          <w:lang w:val="bs-Latn-BA"/>
        </w:rPr>
        <w:t xml:space="preserve"> </w:t>
      </w:r>
      <w:r>
        <w:rPr>
          <w:rFonts w:ascii="Times New Roman" w:hAnsi="Times New Roman"/>
          <w:szCs w:val="24"/>
          <w:lang w:val="bs-Latn-BA"/>
        </w:rPr>
        <w:t>допринос</w:t>
      </w:r>
      <w:r w:rsidR="00980BFE" w:rsidRPr="00295637">
        <w:rPr>
          <w:rFonts w:ascii="Times New Roman" w:hAnsi="Times New Roman"/>
          <w:szCs w:val="24"/>
          <w:lang w:val="bs-Latn-BA"/>
        </w:rPr>
        <w:t xml:space="preserve"> </w:t>
      </w:r>
      <w:r>
        <w:rPr>
          <w:rFonts w:ascii="Times New Roman" w:hAnsi="Times New Roman"/>
          <w:szCs w:val="24"/>
          <w:lang w:val="bs-Latn-BA"/>
        </w:rPr>
        <w:t>реализацији</w:t>
      </w:r>
      <w:r w:rsidR="00980BFE" w:rsidRPr="00295637">
        <w:rPr>
          <w:rFonts w:ascii="Times New Roman" w:hAnsi="Times New Roman"/>
          <w:szCs w:val="24"/>
          <w:lang w:val="bs-Latn-BA"/>
        </w:rPr>
        <w:t xml:space="preserve"> </w:t>
      </w:r>
      <w:r>
        <w:rPr>
          <w:rFonts w:ascii="Times New Roman" w:hAnsi="Times New Roman"/>
          <w:szCs w:val="24"/>
          <w:lang w:val="bs-Latn-BA"/>
        </w:rPr>
        <w:t>истраживања</w:t>
      </w:r>
      <w:r w:rsidR="00980BFE" w:rsidRPr="00295637">
        <w:rPr>
          <w:rFonts w:ascii="Times New Roman" w:hAnsi="Times New Roman"/>
          <w:szCs w:val="24"/>
          <w:lang w:val="bs-Latn-BA"/>
        </w:rPr>
        <w:t xml:space="preserve"> </w:t>
      </w:r>
      <w:r>
        <w:rPr>
          <w:rFonts w:ascii="Times New Roman" w:hAnsi="Times New Roman"/>
          <w:szCs w:val="24"/>
          <w:lang w:val="bs-Latn-BA"/>
        </w:rPr>
        <w:t>у</w:t>
      </w:r>
      <w:r w:rsidR="00980BFE" w:rsidRPr="00295637">
        <w:rPr>
          <w:rFonts w:ascii="Times New Roman" w:hAnsi="Times New Roman"/>
          <w:szCs w:val="24"/>
          <w:lang w:val="bs-Latn-BA"/>
        </w:rPr>
        <w:t xml:space="preserve"> </w:t>
      </w:r>
      <w:r>
        <w:rPr>
          <w:rFonts w:ascii="Times New Roman" w:hAnsi="Times New Roman"/>
          <w:szCs w:val="24"/>
          <w:lang w:val="bs-Latn-BA"/>
        </w:rPr>
        <w:t>оквиру</w:t>
      </w:r>
      <w:r w:rsidR="00980BFE" w:rsidRPr="00295637">
        <w:rPr>
          <w:rFonts w:ascii="Times New Roman" w:hAnsi="Times New Roman"/>
          <w:szCs w:val="24"/>
          <w:lang w:val="bs-Latn-BA"/>
        </w:rPr>
        <w:t xml:space="preserve"> </w:t>
      </w:r>
      <w:r>
        <w:rPr>
          <w:rFonts w:ascii="Times New Roman" w:hAnsi="Times New Roman"/>
          <w:szCs w:val="24"/>
          <w:lang w:val="bs-Latn-BA"/>
        </w:rPr>
        <w:t>пројекта</w:t>
      </w:r>
      <w:r w:rsidR="00980BFE" w:rsidRPr="00295637">
        <w:rPr>
          <w:rFonts w:ascii="Times New Roman" w:hAnsi="Times New Roman"/>
          <w:szCs w:val="24"/>
          <w:lang w:val="bs-Latn-BA"/>
        </w:rPr>
        <w:t xml:space="preserve"> </w:t>
      </w:r>
      <w:r>
        <w:rPr>
          <w:rFonts w:ascii="Times New Roman" w:hAnsi="Times New Roman"/>
          <w:szCs w:val="24"/>
          <w:lang w:val="bs-Latn-BA"/>
        </w:rPr>
        <w:t>пружа</w:t>
      </w:r>
      <w:r w:rsidR="00980BFE" w:rsidRPr="00295637">
        <w:rPr>
          <w:rFonts w:ascii="Times New Roman" w:hAnsi="Times New Roman"/>
          <w:szCs w:val="24"/>
          <w:lang w:val="bs-Latn-BA"/>
        </w:rPr>
        <w:t xml:space="preserve"> </w:t>
      </w:r>
      <w:r>
        <w:rPr>
          <w:rFonts w:ascii="Times New Roman" w:hAnsi="Times New Roman"/>
          <w:szCs w:val="24"/>
          <w:lang w:val="bs-Latn-BA"/>
        </w:rPr>
        <w:t>и</w:t>
      </w:r>
      <w:r w:rsidR="00980BFE" w:rsidRPr="00295637">
        <w:rPr>
          <w:rFonts w:ascii="Times New Roman" w:hAnsi="Times New Roman"/>
          <w:szCs w:val="24"/>
          <w:lang w:val="bs-Latn-BA"/>
        </w:rPr>
        <w:t xml:space="preserve"> </w:t>
      </w:r>
      <w:r>
        <w:rPr>
          <w:rFonts w:ascii="Times New Roman" w:hAnsi="Times New Roman"/>
          <w:szCs w:val="24"/>
          <w:lang w:val="bs-Latn-BA"/>
        </w:rPr>
        <w:t>ГП</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9E54A2" w:rsidRPr="00295637">
        <w:rPr>
          <w:rFonts w:ascii="Times New Roman" w:hAnsi="Times New Roman"/>
          <w:szCs w:val="24"/>
          <w:lang w:val="bs-Latn-BA"/>
        </w:rPr>
        <w:t xml:space="preserve"> </w:t>
      </w:r>
      <w:r w:rsidR="00980BFE" w:rsidRPr="00295637">
        <w:rPr>
          <w:rFonts w:ascii="Times New Roman" w:hAnsi="Times New Roman"/>
          <w:szCs w:val="24"/>
          <w:lang w:val="bs-Latn-BA"/>
        </w:rPr>
        <w:t>.</w:t>
      </w:r>
    </w:p>
    <w:p w:rsidR="000A6005" w:rsidRPr="00295637" w:rsidRDefault="000A6005" w:rsidP="0086268D">
      <w:pPr>
        <w:tabs>
          <w:tab w:val="left" w:pos="284"/>
          <w:tab w:val="left" w:pos="630"/>
          <w:tab w:val="left" w:pos="1080"/>
        </w:tabs>
        <w:jc w:val="both"/>
        <w:rPr>
          <w:rFonts w:ascii="Times New Roman" w:hAnsi="Times New Roman"/>
          <w:szCs w:val="24"/>
          <w:lang w:val="bs-Latn-BA"/>
        </w:rPr>
      </w:pPr>
    </w:p>
    <w:p w:rsidR="00611F15" w:rsidRPr="00295637" w:rsidRDefault="00C6214E" w:rsidP="0086268D">
      <w:pPr>
        <w:pStyle w:val="NormalWeb"/>
        <w:spacing w:before="0" w:beforeAutospacing="0" w:after="0" w:afterAutospacing="0"/>
        <w:jc w:val="both"/>
      </w:pPr>
      <w:r>
        <w:rPr>
          <w:lang w:val="hr-HR"/>
        </w:rPr>
        <w:t>АР</w:t>
      </w:r>
      <w:r w:rsidR="00650438">
        <w:rPr>
          <w:lang w:val="sr-Cyrl-BA"/>
        </w:rPr>
        <w:t>П</w:t>
      </w:r>
      <w:r w:rsidR="00DC19C9">
        <w:rPr>
          <w:lang w:val="hr-HR"/>
        </w:rPr>
        <w:t xml:space="preserve"> </w:t>
      </w:r>
      <w:r>
        <w:rPr>
          <w:lang w:val="hr-HR"/>
        </w:rPr>
        <w:t>БиХ</w:t>
      </w:r>
      <w:r w:rsidR="00DC19C9">
        <w:rPr>
          <w:lang w:val="hr-HR"/>
        </w:rPr>
        <w:t xml:space="preserve"> </w:t>
      </w:r>
      <w:r>
        <w:rPr>
          <w:lang w:val="hr-HR"/>
        </w:rPr>
        <w:t>МЉПИ</w:t>
      </w:r>
      <w:r w:rsidR="00DC19C9">
        <w:rPr>
          <w:lang w:val="hr-HR"/>
        </w:rPr>
        <w:t xml:space="preserve"> </w:t>
      </w:r>
      <w:r>
        <w:rPr>
          <w:lang w:val="hr-HR"/>
        </w:rPr>
        <w:t>БиХ</w:t>
      </w:r>
      <w:r w:rsidR="004F24AC" w:rsidRPr="006820FB">
        <w:rPr>
          <w:lang w:val="hr-HR"/>
        </w:rPr>
        <w:t xml:space="preserve"> </w:t>
      </w:r>
      <w:r>
        <w:rPr>
          <w:lang w:val="hr-HR"/>
        </w:rPr>
        <w:t>учествовала</w:t>
      </w:r>
      <w:r w:rsidR="004F24AC" w:rsidRPr="006820FB">
        <w:rPr>
          <w:lang w:val="hr-HR"/>
        </w:rPr>
        <w:t xml:space="preserve"> </w:t>
      </w:r>
      <w:r>
        <w:rPr>
          <w:lang w:val="hr-HR"/>
        </w:rPr>
        <w:t>је</w:t>
      </w:r>
      <w:r w:rsidR="00DC19C9" w:rsidRPr="006820FB">
        <w:rPr>
          <w:lang w:val="hr-HR"/>
        </w:rPr>
        <w:t xml:space="preserve"> </w:t>
      </w:r>
      <w:r>
        <w:rPr>
          <w:lang w:val="hr-HR"/>
        </w:rPr>
        <w:t>у</w:t>
      </w:r>
      <w:r w:rsidR="004F24AC" w:rsidRPr="006820FB">
        <w:rPr>
          <w:lang w:val="hr-HR"/>
        </w:rPr>
        <w:t xml:space="preserve"> </w:t>
      </w:r>
      <w:r>
        <w:rPr>
          <w:lang w:val="hr-HR"/>
        </w:rPr>
        <w:t>раду</w:t>
      </w:r>
      <w:r w:rsidR="009E07F0" w:rsidRPr="006820FB">
        <w:rPr>
          <w:lang w:val="hr-HR"/>
        </w:rPr>
        <w:t xml:space="preserve"> </w:t>
      </w:r>
      <w:r>
        <w:rPr>
          <w:lang w:val="hr-HR"/>
        </w:rPr>
        <w:t>догађаја</w:t>
      </w:r>
      <w:r w:rsidR="009E07F0" w:rsidRPr="006820FB">
        <w:rPr>
          <w:lang w:val="hr-HR"/>
        </w:rPr>
        <w:t xml:space="preserve"> </w:t>
      </w:r>
      <w:r w:rsidR="00611F15" w:rsidRPr="006820FB">
        <w:rPr>
          <w:lang w:val="hr-HR"/>
        </w:rPr>
        <w:t>“</w:t>
      </w:r>
      <w:r>
        <w:rPr>
          <w:lang w:val="hr-HR"/>
        </w:rPr>
        <w:t>Женски</w:t>
      </w:r>
      <w:r w:rsidR="00611F15" w:rsidRPr="006820FB">
        <w:rPr>
          <w:lang w:val="hr-HR"/>
        </w:rPr>
        <w:t xml:space="preserve"> </w:t>
      </w:r>
      <w:r>
        <w:rPr>
          <w:lang w:val="hr-HR"/>
        </w:rPr>
        <w:t>караван</w:t>
      </w:r>
      <w:r w:rsidR="00611F15" w:rsidRPr="006820FB">
        <w:rPr>
          <w:lang w:val="hr-HR"/>
        </w:rPr>
        <w:t xml:space="preserve"> </w:t>
      </w:r>
      <w:r>
        <w:rPr>
          <w:lang w:val="hr-HR"/>
        </w:rPr>
        <w:t>за</w:t>
      </w:r>
      <w:r w:rsidR="00611F15" w:rsidRPr="006820FB">
        <w:rPr>
          <w:lang w:val="hr-HR"/>
        </w:rPr>
        <w:t xml:space="preserve"> </w:t>
      </w:r>
      <w:r>
        <w:rPr>
          <w:lang w:val="hr-HR"/>
        </w:rPr>
        <w:t>правду</w:t>
      </w:r>
      <w:r w:rsidR="00611F15" w:rsidRPr="006820FB">
        <w:rPr>
          <w:lang w:val="hr-HR"/>
        </w:rPr>
        <w:t xml:space="preserve"> </w:t>
      </w:r>
      <w:r>
        <w:rPr>
          <w:lang w:val="hr-HR"/>
        </w:rPr>
        <w:t>и</w:t>
      </w:r>
      <w:r w:rsidR="00611F15" w:rsidRPr="006820FB">
        <w:rPr>
          <w:lang w:val="hr-HR"/>
        </w:rPr>
        <w:t xml:space="preserve"> </w:t>
      </w:r>
      <w:r>
        <w:rPr>
          <w:lang w:val="hr-HR"/>
        </w:rPr>
        <w:t>помирење</w:t>
      </w:r>
      <w:r w:rsidR="00611F15" w:rsidRPr="006820FB">
        <w:rPr>
          <w:lang w:val="hr-HR"/>
        </w:rPr>
        <w:t xml:space="preserve">” 27. </w:t>
      </w:r>
      <w:r>
        <w:rPr>
          <w:lang w:val="hr-HR"/>
        </w:rPr>
        <w:t>марта</w:t>
      </w:r>
      <w:r w:rsidR="00611F15" w:rsidRPr="006820FB">
        <w:rPr>
          <w:lang w:val="hr-HR"/>
        </w:rPr>
        <w:t xml:space="preserve"> 2024. </w:t>
      </w:r>
      <w:r>
        <w:rPr>
          <w:lang w:val="hr-HR"/>
        </w:rPr>
        <w:t>године</w:t>
      </w:r>
      <w:r w:rsidR="00611F15" w:rsidRPr="00295637">
        <w:t xml:space="preserve"> </w:t>
      </w:r>
      <w:r>
        <w:t>у</w:t>
      </w:r>
      <w:r w:rsidR="00611F15" w:rsidRPr="00295637">
        <w:t xml:space="preserve"> </w:t>
      </w:r>
      <w:r>
        <w:t>Сарајеву</w:t>
      </w:r>
      <w:r w:rsidR="00611F15" w:rsidRPr="00295637">
        <w:t xml:space="preserve">. </w:t>
      </w:r>
      <w:r>
        <w:t>Организатор</w:t>
      </w:r>
      <w:r w:rsidR="00611F15" w:rsidRPr="00295637">
        <w:t xml:space="preserve"> </w:t>
      </w:r>
      <w:r>
        <w:t>је</w:t>
      </w:r>
      <w:r w:rsidR="00611F15" w:rsidRPr="00295637">
        <w:t xml:space="preserve"> </w:t>
      </w:r>
      <w:r>
        <w:t>Фондација</w:t>
      </w:r>
      <w:r w:rsidR="00611F15" w:rsidRPr="00295637">
        <w:t xml:space="preserve"> “</w:t>
      </w:r>
      <w:r>
        <w:t>Лара</w:t>
      </w:r>
      <w:r w:rsidR="00611F15" w:rsidRPr="00295637">
        <w:t xml:space="preserve">” </w:t>
      </w:r>
      <w:r>
        <w:t>Бијељина</w:t>
      </w:r>
      <w:r w:rsidR="006F27CF" w:rsidRPr="00295637">
        <w:t xml:space="preserve"> </w:t>
      </w:r>
      <w:r>
        <w:t>у</w:t>
      </w:r>
      <w:r w:rsidR="006F27CF" w:rsidRPr="00295637">
        <w:t xml:space="preserve"> </w:t>
      </w:r>
      <w:r>
        <w:t>оквиру</w:t>
      </w:r>
      <w:r w:rsidR="006F27CF" w:rsidRPr="00295637">
        <w:t xml:space="preserve"> </w:t>
      </w:r>
      <w:r>
        <w:t>пројекта</w:t>
      </w:r>
      <w:r w:rsidR="006F27CF" w:rsidRPr="00295637">
        <w:t xml:space="preserve"> </w:t>
      </w:r>
      <w:r>
        <w:t>који</w:t>
      </w:r>
      <w:r w:rsidR="006F27CF" w:rsidRPr="00295637">
        <w:t xml:space="preserve"> </w:t>
      </w:r>
      <w:r>
        <w:t>је</w:t>
      </w:r>
      <w:r w:rsidR="00611F15" w:rsidRPr="00295637">
        <w:t xml:space="preserve"> </w:t>
      </w:r>
      <w:r>
        <w:t>креиран</w:t>
      </w:r>
      <w:r w:rsidR="00611F15" w:rsidRPr="00295637">
        <w:t xml:space="preserve"> </w:t>
      </w:r>
      <w:r>
        <w:t>да</w:t>
      </w:r>
      <w:r w:rsidR="00611F15" w:rsidRPr="00295637">
        <w:t xml:space="preserve"> </w:t>
      </w:r>
      <w:r>
        <w:t>одговори</w:t>
      </w:r>
      <w:r w:rsidR="00611F15" w:rsidRPr="00295637">
        <w:t xml:space="preserve"> </w:t>
      </w:r>
      <w:r>
        <w:t>на</w:t>
      </w:r>
      <w:r w:rsidR="00611F15" w:rsidRPr="00295637">
        <w:t xml:space="preserve"> </w:t>
      </w:r>
      <w:r>
        <w:t>изазове</w:t>
      </w:r>
      <w:r w:rsidR="00611F15" w:rsidRPr="00295637">
        <w:t xml:space="preserve"> </w:t>
      </w:r>
      <w:r>
        <w:t>мање</w:t>
      </w:r>
      <w:r w:rsidR="00611F15" w:rsidRPr="00295637">
        <w:t xml:space="preserve"> </w:t>
      </w:r>
      <w:r>
        <w:t>видљивости</w:t>
      </w:r>
      <w:r w:rsidR="00611F15" w:rsidRPr="00295637">
        <w:t xml:space="preserve"> </w:t>
      </w:r>
      <w:r>
        <w:t>и</w:t>
      </w:r>
      <w:r w:rsidR="00611F15" w:rsidRPr="00295637">
        <w:t xml:space="preserve"> </w:t>
      </w:r>
      <w:r>
        <w:t>укључености</w:t>
      </w:r>
      <w:r w:rsidR="00611F15" w:rsidRPr="00295637">
        <w:t xml:space="preserve"> </w:t>
      </w:r>
      <w:r>
        <w:t>жена</w:t>
      </w:r>
      <w:r w:rsidR="00611F15" w:rsidRPr="00295637">
        <w:t xml:space="preserve"> </w:t>
      </w:r>
      <w:r>
        <w:t>у</w:t>
      </w:r>
      <w:r w:rsidR="00611F15" w:rsidRPr="00295637">
        <w:t xml:space="preserve"> </w:t>
      </w:r>
      <w:r>
        <w:t>процесима</w:t>
      </w:r>
      <w:r w:rsidR="00611F15" w:rsidRPr="00295637">
        <w:t xml:space="preserve"> </w:t>
      </w:r>
      <w:r>
        <w:t>суочавања</w:t>
      </w:r>
      <w:r w:rsidR="00611F15" w:rsidRPr="00295637">
        <w:t xml:space="preserve"> </w:t>
      </w:r>
      <w:r>
        <w:t>са</w:t>
      </w:r>
      <w:r w:rsidR="00611F15" w:rsidRPr="00295637">
        <w:t xml:space="preserve"> </w:t>
      </w:r>
      <w:r>
        <w:t>прошлошћу</w:t>
      </w:r>
      <w:r w:rsidR="00611F15" w:rsidRPr="00295637">
        <w:t xml:space="preserve">, </w:t>
      </w:r>
      <w:r>
        <w:t>те</w:t>
      </w:r>
      <w:r w:rsidR="00611F15" w:rsidRPr="00295637">
        <w:t xml:space="preserve"> </w:t>
      </w:r>
      <w:r>
        <w:t>допринесе</w:t>
      </w:r>
      <w:r w:rsidR="00611F15" w:rsidRPr="00295637">
        <w:t xml:space="preserve"> </w:t>
      </w:r>
      <w:r>
        <w:t>афирмацији</w:t>
      </w:r>
      <w:r w:rsidR="00611F15" w:rsidRPr="00295637">
        <w:t xml:space="preserve"> </w:t>
      </w:r>
      <w:r>
        <w:t>кривичне</w:t>
      </w:r>
      <w:r w:rsidR="00611F15" w:rsidRPr="00295637">
        <w:t xml:space="preserve"> </w:t>
      </w:r>
      <w:r>
        <w:t>правде</w:t>
      </w:r>
      <w:r w:rsidR="00611F15" w:rsidRPr="00295637">
        <w:t xml:space="preserve"> </w:t>
      </w:r>
      <w:r>
        <w:t>као</w:t>
      </w:r>
      <w:r w:rsidR="00611F15" w:rsidRPr="00295637">
        <w:t xml:space="preserve"> </w:t>
      </w:r>
      <w:r>
        <w:t>важног</w:t>
      </w:r>
      <w:r w:rsidR="00611F15" w:rsidRPr="00295637">
        <w:t xml:space="preserve"> </w:t>
      </w:r>
      <w:r>
        <w:t>аспекта</w:t>
      </w:r>
      <w:r w:rsidR="00611F15" w:rsidRPr="00295637">
        <w:t xml:space="preserve"> </w:t>
      </w:r>
      <w:r>
        <w:t>помирења</w:t>
      </w:r>
      <w:r w:rsidR="00611F15" w:rsidRPr="00295637">
        <w:t xml:space="preserve"> </w:t>
      </w:r>
      <w:r>
        <w:t>у</w:t>
      </w:r>
      <w:r w:rsidR="00611F15" w:rsidRPr="00295637">
        <w:t xml:space="preserve"> </w:t>
      </w:r>
      <w:r>
        <w:t>БиХ</w:t>
      </w:r>
      <w:r w:rsidR="00611F15" w:rsidRPr="00295637">
        <w:t xml:space="preserve"> </w:t>
      </w:r>
      <w:r>
        <w:t>и</w:t>
      </w:r>
      <w:r w:rsidR="00611F15" w:rsidRPr="00295637">
        <w:t xml:space="preserve"> </w:t>
      </w:r>
      <w:r>
        <w:t>промоцији</w:t>
      </w:r>
      <w:r w:rsidR="00611F15" w:rsidRPr="00295637">
        <w:t xml:space="preserve"> </w:t>
      </w:r>
      <w:r>
        <w:t>помирења</w:t>
      </w:r>
      <w:r w:rsidR="00611F15" w:rsidRPr="00295637">
        <w:t xml:space="preserve"> </w:t>
      </w:r>
      <w:r>
        <w:t>кроз</w:t>
      </w:r>
      <w:r w:rsidR="00611F15" w:rsidRPr="00295637">
        <w:t xml:space="preserve"> </w:t>
      </w:r>
      <w:r>
        <w:t>инклузиван</w:t>
      </w:r>
      <w:r w:rsidR="00611F15" w:rsidRPr="00295637">
        <w:t xml:space="preserve"> </w:t>
      </w:r>
      <w:r>
        <w:t>и</w:t>
      </w:r>
      <w:r w:rsidR="00611F15" w:rsidRPr="00295637">
        <w:t xml:space="preserve"> </w:t>
      </w:r>
      <w:r>
        <w:t>међугенерацијски</w:t>
      </w:r>
      <w:r w:rsidR="00611F15" w:rsidRPr="00295637">
        <w:t xml:space="preserve"> </w:t>
      </w:r>
      <w:r>
        <w:t>дијалог</w:t>
      </w:r>
      <w:r w:rsidR="00611F15" w:rsidRPr="00295637">
        <w:t xml:space="preserve"> </w:t>
      </w:r>
      <w:r>
        <w:t>жена</w:t>
      </w:r>
      <w:r w:rsidR="00611F15" w:rsidRPr="00295637">
        <w:t xml:space="preserve">. </w:t>
      </w:r>
      <w:r>
        <w:t>Презент</w:t>
      </w:r>
      <w:r w:rsidR="00650438">
        <w:rPr>
          <w:lang w:val="sr-Cyrl-BA"/>
        </w:rPr>
        <w:t>оване</w:t>
      </w:r>
      <w:r w:rsidR="006F27CF" w:rsidRPr="00295637">
        <w:t xml:space="preserve"> </w:t>
      </w:r>
      <w:r>
        <w:t>су</w:t>
      </w:r>
      <w:r w:rsidR="006F27CF" w:rsidRPr="00295637">
        <w:t xml:space="preserve"> </w:t>
      </w:r>
      <w:r>
        <w:t>кључне</w:t>
      </w:r>
      <w:r w:rsidR="00611F15" w:rsidRPr="00295637">
        <w:t xml:space="preserve"> </w:t>
      </w:r>
      <w:r>
        <w:t>активности</w:t>
      </w:r>
      <w:r w:rsidR="00611F15" w:rsidRPr="00295637">
        <w:t xml:space="preserve">: </w:t>
      </w:r>
      <w:r>
        <w:t>женски</w:t>
      </w:r>
      <w:r w:rsidR="00611F15" w:rsidRPr="00295637">
        <w:t xml:space="preserve"> </w:t>
      </w:r>
      <w:r>
        <w:t>мировни</w:t>
      </w:r>
      <w:r w:rsidR="00611F15" w:rsidRPr="00295637">
        <w:t xml:space="preserve"> </w:t>
      </w:r>
      <w:r>
        <w:t>камп</w:t>
      </w:r>
      <w:r w:rsidR="00611F15" w:rsidRPr="00295637">
        <w:t xml:space="preserve">, </w:t>
      </w:r>
      <w:r>
        <w:t>студијска</w:t>
      </w:r>
      <w:r w:rsidR="00611F15" w:rsidRPr="00295637">
        <w:t xml:space="preserve"> </w:t>
      </w:r>
      <w:r>
        <w:t>посјета</w:t>
      </w:r>
      <w:r w:rsidR="00611F15" w:rsidRPr="00295637">
        <w:t xml:space="preserve"> „</w:t>
      </w:r>
      <w:r>
        <w:t>Путевима</w:t>
      </w:r>
      <w:r w:rsidR="00611F15" w:rsidRPr="00295637">
        <w:t xml:space="preserve"> </w:t>
      </w:r>
      <w:r>
        <w:t>транзици</w:t>
      </w:r>
      <w:r w:rsidR="00650438">
        <w:rPr>
          <w:lang w:val="sr-Cyrl-BA"/>
        </w:rPr>
        <w:t>оне</w:t>
      </w:r>
      <w:r w:rsidR="00611F15" w:rsidRPr="00295637">
        <w:t xml:space="preserve"> </w:t>
      </w:r>
      <w:r>
        <w:t>правде</w:t>
      </w:r>
      <w:r w:rsidR="00611F15" w:rsidRPr="00295637">
        <w:t xml:space="preserve">“, </w:t>
      </w:r>
      <w:r>
        <w:t>локалне</w:t>
      </w:r>
      <w:r w:rsidR="00611F15" w:rsidRPr="00295637">
        <w:t xml:space="preserve"> </w:t>
      </w:r>
      <w:r>
        <w:t>мировне</w:t>
      </w:r>
      <w:r w:rsidR="00611F15" w:rsidRPr="00295637">
        <w:t xml:space="preserve"> </w:t>
      </w:r>
      <w:r>
        <w:t>акције</w:t>
      </w:r>
      <w:r w:rsidR="00611F15" w:rsidRPr="00295637">
        <w:t xml:space="preserve">, </w:t>
      </w:r>
      <w:r>
        <w:t>израда</w:t>
      </w:r>
      <w:r w:rsidR="00611F15" w:rsidRPr="00295637">
        <w:t xml:space="preserve"> </w:t>
      </w:r>
      <w:r>
        <w:t>ресурсног</w:t>
      </w:r>
      <w:r w:rsidR="00611F15" w:rsidRPr="00295637">
        <w:t xml:space="preserve"> </w:t>
      </w:r>
      <w:r>
        <w:t>пакета</w:t>
      </w:r>
      <w:r w:rsidR="00611F15" w:rsidRPr="00295637">
        <w:t xml:space="preserve"> </w:t>
      </w:r>
      <w:r>
        <w:t>за</w:t>
      </w:r>
      <w:r w:rsidR="00611F15" w:rsidRPr="00295637">
        <w:t xml:space="preserve"> </w:t>
      </w:r>
      <w:r>
        <w:t>мировно</w:t>
      </w:r>
      <w:r w:rsidR="00611F15" w:rsidRPr="00295637">
        <w:t xml:space="preserve"> </w:t>
      </w:r>
      <w:r>
        <w:t>образовање</w:t>
      </w:r>
      <w:r w:rsidR="00611F15" w:rsidRPr="00295637">
        <w:t xml:space="preserve">, </w:t>
      </w:r>
      <w:r>
        <w:t>регионална</w:t>
      </w:r>
      <w:r w:rsidR="000C7C15">
        <w:t xml:space="preserve"> </w:t>
      </w:r>
      <w:r>
        <w:t>конференција</w:t>
      </w:r>
      <w:r w:rsidR="000C7C15">
        <w:t xml:space="preserve"> </w:t>
      </w:r>
      <w:r>
        <w:t>и</w:t>
      </w:r>
      <w:r w:rsidR="000C7C15">
        <w:t xml:space="preserve"> </w:t>
      </w:r>
      <w:r>
        <w:t>др</w:t>
      </w:r>
      <w:r w:rsidR="000C7C15">
        <w:t xml:space="preserve">. </w:t>
      </w:r>
      <w:r>
        <w:t>Пројекат</w:t>
      </w:r>
      <w:r w:rsidR="00611F15" w:rsidRPr="00295637">
        <w:t xml:space="preserve"> </w:t>
      </w:r>
      <w:r>
        <w:t>је</w:t>
      </w:r>
      <w:r w:rsidR="00611F15" w:rsidRPr="00295637">
        <w:t xml:space="preserve"> </w:t>
      </w:r>
      <w:r>
        <w:t>реализ</w:t>
      </w:r>
      <w:r w:rsidR="00650438">
        <w:rPr>
          <w:lang w:val="sr-Cyrl-BA"/>
        </w:rPr>
        <w:t>ован</w:t>
      </w:r>
      <w:r w:rsidR="00611F15" w:rsidRPr="00295637">
        <w:t xml:space="preserve"> </w:t>
      </w:r>
      <w:r>
        <w:t>уз</w:t>
      </w:r>
      <w:r w:rsidR="00611F15" w:rsidRPr="00295637">
        <w:t xml:space="preserve"> </w:t>
      </w:r>
      <w:r>
        <w:t>помоћ</w:t>
      </w:r>
      <w:r w:rsidR="00611F15" w:rsidRPr="00295637">
        <w:t xml:space="preserve"> </w:t>
      </w:r>
      <w:r>
        <w:t>пројекта</w:t>
      </w:r>
      <w:r w:rsidR="00611F15" w:rsidRPr="00295637">
        <w:t xml:space="preserve"> </w:t>
      </w:r>
      <w:r>
        <w:t>Подршка</w:t>
      </w:r>
      <w:r w:rsidR="00611F15" w:rsidRPr="00295637">
        <w:t xml:space="preserve"> </w:t>
      </w:r>
      <w:r>
        <w:t>ЕУ</w:t>
      </w:r>
      <w:r w:rsidR="00611F15" w:rsidRPr="00295637">
        <w:t xml:space="preserve"> </w:t>
      </w:r>
      <w:r>
        <w:t>изградњи</w:t>
      </w:r>
      <w:r w:rsidR="00611F15" w:rsidRPr="00295637">
        <w:t xml:space="preserve"> </w:t>
      </w:r>
      <w:r>
        <w:t>повјерења</w:t>
      </w:r>
      <w:r w:rsidR="00611F15" w:rsidRPr="00295637">
        <w:t xml:space="preserve"> </w:t>
      </w:r>
      <w:r>
        <w:t>на</w:t>
      </w:r>
      <w:r w:rsidR="00611F15" w:rsidRPr="00295637">
        <w:t xml:space="preserve"> </w:t>
      </w:r>
      <w:r>
        <w:t>Западном</w:t>
      </w:r>
      <w:r w:rsidR="00611F15" w:rsidRPr="00295637">
        <w:t xml:space="preserve"> </w:t>
      </w:r>
      <w:r>
        <w:t>Балкану</w:t>
      </w:r>
      <w:r w:rsidR="00611F15" w:rsidRPr="00295637">
        <w:t xml:space="preserve">, </w:t>
      </w:r>
      <w:r>
        <w:t>који</w:t>
      </w:r>
      <w:r w:rsidR="00611F15" w:rsidRPr="00295637">
        <w:t xml:space="preserve"> </w:t>
      </w:r>
      <w:r>
        <w:t>финансира</w:t>
      </w:r>
      <w:r w:rsidR="00611F15" w:rsidRPr="00295637">
        <w:t xml:space="preserve"> </w:t>
      </w:r>
      <w:r>
        <w:t>Европска</w:t>
      </w:r>
      <w:r w:rsidR="00611F15" w:rsidRPr="00295637">
        <w:t xml:space="preserve"> </w:t>
      </w:r>
      <w:r>
        <w:t>унија</w:t>
      </w:r>
      <w:r w:rsidR="00611F15" w:rsidRPr="00295637">
        <w:t xml:space="preserve">, </w:t>
      </w:r>
      <w:r>
        <w:t>а</w:t>
      </w:r>
      <w:r w:rsidR="00611F15" w:rsidRPr="00295637">
        <w:t xml:space="preserve"> </w:t>
      </w:r>
      <w:r>
        <w:t>проводи</w:t>
      </w:r>
      <w:r w:rsidR="00611F15" w:rsidRPr="00295637">
        <w:t xml:space="preserve"> </w:t>
      </w:r>
      <w:r w:rsidR="00650438" w:rsidRPr="00650438">
        <w:rPr>
          <w:i/>
          <w:lang w:val="hr-BA"/>
        </w:rPr>
        <w:t>UNDP</w:t>
      </w:r>
      <w:r w:rsidR="00611F15" w:rsidRPr="00295637">
        <w:t>.</w:t>
      </w:r>
    </w:p>
    <w:p w:rsidR="00980BFE" w:rsidRPr="00295637" w:rsidRDefault="00980BFE" w:rsidP="0086268D">
      <w:pPr>
        <w:tabs>
          <w:tab w:val="left" w:pos="284"/>
          <w:tab w:val="left" w:pos="630"/>
          <w:tab w:val="left" w:pos="1080"/>
        </w:tabs>
        <w:jc w:val="both"/>
        <w:rPr>
          <w:rFonts w:ascii="Times New Roman" w:hAnsi="Times New Roman"/>
          <w:szCs w:val="24"/>
          <w:lang w:val="bs-Latn-BA"/>
        </w:rPr>
      </w:pPr>
    </w:p>
    <w:p w:rsidR="00AA7725" w:rsidRPr="00295637" w:rsidRDefault="00C6214E" w:rsidP="0086268D">
      <w:pPr>
        <w:pStyle w:val="Heading1"/>
        <w:spacing w:after="0" w:line="240" w:lineRule="auto"/>
        <w:rPr>
          <w:sz w:val="24"/>
          <w:szCs w:val="24"/>
          <w:lang w:val="en-US"/>
        </w:rPr>
      </w:pPr>
      <w:r>
        <w:rPr>
          <w:rFonts w:ascii="Times New Roman" w:hAnsi="Times New Roman" w:cs="Times New Roman"/>
          <w:b w:val="0"/>
          <w:sz w:val="24"/>
          <w:szCs w:val="24"/>
          <w:lang w:val="bs-Latn-BA"/>
        </w:rPr>
        <w:t>ГИЗ</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је</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у</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оквиру</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пројекта</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Друштвена</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партиципација</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лица</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у</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покрету</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и</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локалног</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становништва</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у</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земљама</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Западног</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Балкана</w:t>
      </w:r>
      <w:r w:rsidR="008F6CAA" w:rsidRPr="00295637">
        <w:rPr>
          <w:rFonts w:ascii="Times New Roman" w:hAnsi="Times New Roman" w:cs="Times New Roman"/>
          <w:b w:val="0"/>
          <w:sz w:val="24"/>
          <w:szCs w:val="24"/>
          <w:lang w:val="bs-Latn-BA"/>
        </w:rPr>
        <w:t>“</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реализ</w:t>
      </w:r>
      <w:r w:rsidR="00650438">
        <w:rPr>
          <w:rFonts w:ascii="Times New Roman" w:hAnsi="Times New Roman" w:cs="Times New Roman"/>
          <w:b w:val="0"/>
          <w:sz w:val="24"/>
          <w:szCs w:val="24"/>
          <w:lang w:val="sr-Cyrl-BA"/>
        </w:rPr>
        <w:t>овао</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е</w:t>
      </w:r>
      <w:r w:rsidR="00DC146F" w:rsidRPr="00295637">
        <w:rPr>
          <w:rFonts w:ascii="Times New Roman" w:hAnsi="Times New Roman" w:cs="Times New Roman"/>
          <w:b w:val="0"/>
          <w:sz w:val="24"/>
          <w:szCs w:val="24"/>
          <w:lang w:val="bs-Latn-BA"/>
        </w:rPr>
        <w:t>-</w:t>
      </w:r>
      <w:r>
        <w:rPr>
          <w:rFonts w:ascii="Times New Roman" w:hAnsi="Times New Roman" w:cs="Times New Roman"/>
          <w:b w:val="0"/>
          <w:sz w:val="24"/>
          <w:szCs w:val="24"/>
          <w:lang w:val="bs-Latn-BA"/>
        </w:rPr>
        <w:t>курс</w:t>
      </w:r>
      <w:r w:rsidR="00DC146F"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Управљање</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миграцијама</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на</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локалном</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нивоу</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и</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род</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и</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трансформација</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конфликта</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у</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оквиру</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Мреже</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асоцијација</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локалних</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управа</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Југоисточне</w:t>
      </w:r>
      <w:r w:rsidR="00AA7725" w:rsidRPr="00295637">
        <w:rPr>
          <w:rFonts w:ascii="Times New Roman" w:hAnsi="Times New Roman" w:cs="Times New Roman"/>
          <w:b w:val="0"/>
          <w:sz w:val="24"/>
          <w:szCs w:val="24"/>
          <w:lang w:val="bs-Latn-BA"/>
        </w:rPr>
        <w:t xml:space="preserve"> </w:t>
      </w:r>
      <w:r>
        <w:rPr>
          <w:rFonts w:ascii="Times New Roman" w:hAnsi="Times New Roman" w:cs="Times New Roman"/>
          <w:b w:val="0"/>
          <w:sz w:val="24"/>
          <w:szCs w:val="24"/>
          <w:lang w:val="bs-Latn-BA"/>
        </w:rPr>
        <w:t>Европе</w:t>
      </w:r>
      <w:r w:rsidR="00AA7725" w:rsidRPr="00295637">
        <w:rPr>
          <w:rFonts w:ascii="Times New Roman" w:hAnsi="Times New Roman" w:cs="Times New Roman"/>
          <w:b w:val="0"/>
          <w:sz w:val="24"/>
          <w:szCs w:val="24"/>
          <w:lang w:val="bs-Latn-BA"/>
        </w:rPr>
        <w:t>“ (</w:t>
      </w:r>
      <w:r w:rsidR="00650438" w:rsidRPr="00650438">
        <w:rPr>
          <w:rFonts w:ascii="Times New Roman" w:hAnsi="Times New Roman" w:cs="Times New Roman"/>
          <w:b w:val="0"/>
          <w:i/>
          <w:sz w:val="24"/>
          <w:szCs w:val="24"/>
          <w:lang w:val="bs-Latn-BA"/>
        </w:rPr>
        <w:t>NALAS</w:t>
      </w:r>
      <w:r w:rsidR="00AA7725" w:rsidRPr="00295637">
        <w:rPr>
          <w:rFonts w:ascii="Times New Roman" w:hAnsi="Times New Roman" w:cs="Times New Roman"/>
          <w:b w:val="0"/>
          <w:sz w:val="24"/>
          <w:szCs w:val="24"/>
          <w:lang w:val="bs-Latn-BA"/>
        </w:rPr>
        <w:t>).</w:t>
      </w:r>
    </w:p>
    <w:p w:rsidR="00DC146F" w:rsidRPr="00295637" w:rsidRDefault="00DC146F" w:rsidP="0086268D">
      <w:pPr>
        <w:pStyle w:val="Default"/>
        <w:jc w:val="both"/>
        <w:rPr>
          <w:rFonts w:ascii="Arial" w:hAnsi="Arial" w:cs="Arial"/>
          <w:color w:val="auto"/>
          <w:sz w:val="18"/>
          <w:szCs w:val="18"/>
          <w:lang w:val="en-US" w:eastAsia="en-US"/>
        </w:rPr>
      </w:pPr>
      <w:r w:rsidRPr="00295637">
        <w:rPr>
          <w:rFonts w:ascii="Arial" w:hAnsi="Arial" w:cs="Arial"/>
          <w:color w:val="auto"/>
          <w:sz w:val="18"/>
          <w:szCs w:val="18"/>
          <w:lang w:val="en-US" w:eastAsia="en-US"/>
        </w:rPr>
        <w:t xml:space="preserve"> </w:t>
      </w:r>
    </w:p>
    <w:p w:rsidR="00A57F15" w:rsidRPr="000C7C15" w:rsidRDefault="00650438" w:rsidP="0086268D">
      <w:pPr>
        <w:tabs>
          <w:tab w:val="left" w:pos="284"/>
          <w:tab w:val="left" w:pos="630"/>
          <w:tab w:val="left" w:pos="1080"/>
        </w:tabs>
        <w:jc w:val="both"/>
        <w:rPr>
          <w:rStyle w:val="y2iqfc"/>
          <w:rFonts w:ascii="inherit" w:hAnsi="inherit"/>
          <w:szCs w:val="24"/>
        </w:rPr>
      </w:pPr>
      <w:r w:rsidRPr="00650438">
        <w:rPr>
          <w:rFonts w:ascii="inherit" w:hAnsi="inherit"/>
          <w:i/>
          <w:szCs w:val="24"/>
        </w:rPr>
        <w:t xml:space="preserve">UN Women </w:t>
      </w:r>
      <w:r w:rsidR="00C6214E">
        <w:rPr>
          <w:rStyle w:val="y2iqfc"/>
          <w:rFonts w:ascii="inherit" w:hAnsi="inherit"/>
          <w:szCs w:val="24"/>
        </w:rPr>
        <w:t>је</w:t>
      </w:r>
      <w:r w:rsidR="0061659F" w:rsidRPr="000C7C15">
        <w:rPr>
          <w:rStyle w:val="y2iqfc"/>
          <w:rFonts w:ascii="inherit" w:hAnsi="inherit"/>
          <w:szCs w:val="24"/>
        </w:rPr>
        <w:t xml:space="preserve"> </w:t>
      </w:r>
      <w:r w:rsidR="00C6214E">
        <w:rPr>
          <w:rStyle w:val="y2iqfc"/>
          <w:rFonts w:ascii="inherit" w:hAnsi="inherit"/>
          <w:szCs w:val="24"/>
        </w:rPr>
        <w:t>пружио</w:t>
      </w:r>
      <w:r w:rsidR="0061659F" w:rsidRPr="000C7C15">
        <w:rPr>
          <w:rStyle w:val="y2iqfc"/>
          <w:rFonts w:ascii="inherit" w:hAnsi="inherit"/>
          <w:szCs w:val="24"/>
        </w:rPr>
        <w:t xml:space="preserve"> </w:t>
      </w:r>
      <w:r w:rsidR="00C6214E">
        <w:rPr>
          <w:rStyle w:val="y2iqfc"/>
          <w:rFonts w:ascii="inherit" w:hAnsi="inherit"/>
          <w:szCs w:val="24"/>
        </w:rPr>
        <w:t>подршку</w:t>
      </w:r>
      <w:r w:rsidR="0061659F" w:rsidRPr="000C7C15">
        <w:rPr>
          <w:rStyle w:val="y2iqfc"/>
          <w:rFonts w:ascii="inherit" w:hAnsi="inherit"/>
          <w:szCs w:val="24"/>
        </w:rPr>
        <w:t xml:space="preserve"> </w:t>
      </w:r>
      <w:r w:rsidR="00C6214E">
        <w:rPr>
          <w:rStyle w:val="y2iqfc"/>
          <w:rFonts w:ascii="inherit" w:hAnsi="inherit"/>
          <w:szCs w:val="24"/>
        </w:rPr>
        <w:t>Факултету</w:t>
      </w:r>
      <w:r w:rsidR="0061659F" w:rsidRPr="000C7C15">
        <w:rPr>
          <w:rStyle w:val="y2iqfc"/>
          <w:rFonts w:ascii="inherit" w:hAnsi="inherit"/>
          <w:szCs w:val="24"/>
        </w:rPr>
        <w:t xml:space="preserve"> </w:t>
      </w:r>
      <w:r w:rsidR="00C6214E">
        <w:rPr>
          <w:rStyle w:val="y2iqfc"/>
          <w:rFonts w:ascii="inherit" w:hAnsi="inherit"/>
          <w:szCs w:val="24"/>
        </w:rPr>
        <w:t>за</w:t>
      </w:r>
      <w:r w:rsidR="0061659F" w:rsidRPr="000C7C15">
        <w:rPr>
          <w:rStyle w:val="y2iqfc"/>
          <w:rFonts w:ascii="inherit" w:hAnsi="inherit"/>
          <w:szCs w:val="24"/>
        </w:rPr>
        <w:t xml:space="preserve"> </w:t>
      </w:r>
      <w:r w:rsidR="00C6214E">
        <w:rPr>
          <w:rStyle w:val="y2iqfc"/>
          <w:rFonts w:ascii="inherit" w:hAnsi="inherit"/>
          <w:szCs w:val="24"/>
        </w:rPr>
        <w:t>криминалистику</w:t>
      </w:r>
      <w:r w:rsidR="0061659F" w:rsidRPr="000C7C15">
        <w:rPr>
          <w:rStyle w:val="y2iqfc"/>
          <w:rFonts w:ascii="inherit" w:hAnsi="inherit"/>
          <w:szCs w:val="24"/>
        </w:rPr>
        <w:t xml:space="preserve">, </w:t>
      </w:r>
      <w:r w:rsidR="00C6214E">
        <w:rPr>
          <w:rStyle w:val="y2iqfc"/>
          <w:rFonts w:ascii="inherit" w:hAnsi="inherit"/>
          <w:szCs w:val="24"/>
        </w:rPr>
        <w:t>криминологију</w:t>
      </w:r>
      <w:r w:rsidR="008F6CAA" w:rsidRPr="000C7C15">
        <w:rPr>
          <w:rStyle w:val="y2iqfc"/>
          <w:rFonts w:ascii="inherit" w:hAnsi="inherit"/>
          <w:szCs w:val="24"/>
        </w:rPr>
        <w:t xml:space="preserve"> </w:t>
      </w:r>
      <w:r w:rsidR="00C6214E">
        <w:rPr>
          <w:rStyle w:val="y2iqfc"/>
          <w:rFonts w:ascii="inherit" w:hAnsi="inherit"/>
          <w:szCs w:val="24"/>
        </w:rPr>
        <w:t>и</w:t>
      </w:r>
      <w:r w:rsidR="008F6CAA" w:rsidRPr="000C7C15">
        <w:rPr>
          <w:rStyle w:val="y2iqfc"/>
          <w:rFonts w:ascii="inherit" w:hAnsi="inherit"/>
          <w:szCs w:val="24"/>
        </w:rPr>
        <w:t xml:space="preserve"> </w:t>
      </w:r>
      <w:r>
        <w:rPr>
          <w:rStyle w:val="y2iqfc"/>
          <w:rFonts w:ascii="inherit" w:hAnsi="inherit"/>
          <w:szCs w:val="24"/>
          <w:lang w:val="sr-Cyrl-BA"/>
        </w:rPr>
        <w:t>безбједносне</w:t>
      </w:r>
      <w:r w:rsidR="008F6CAA" w:rsidRPr="000C7C15">
        <w:rPr>
          <w:rStyle w:val="y2iqfc"/>
          <w:rFonts w:ascii="inherit" w:hAnsi="inherit"/>
          <w:szCs w:val="24"/>
        </w:rPr>
        <w:t xml:space="preserve"> </w:t>
      </w:r>
      <w:r w:rsidR="00C6214E">
        <w:rPr>
          <w:rStyle w:val="y2iqfc"/>
          <w:rFonts w:ascii="inherit" w:hAnsi="inherit"/>
          <w:szCs w:val="24"/>
        </w:rPr>
        <w:t>студије</w:t>
      </w:r>
      <w:r w:rsidR="008F6CAA" w:rsidRPr="000C7C15">
        <w:rPr>
          <w:rStyle w:val="y2iqfc"/>
          <w:rFonts w:ascii="inherit" w:hAnsi="inherit"/>
          <w:szCs w:val="24"/>
        </w:rPr>
        <w:t xml:space="preserve"> </w:t>
      </w:r>
      <w:r w:rsidR="00C6214E">
        <w:rPr>
          <w:rStyle w:val="y2iqfc"/>
          <w:rFonts w:ascii="inherit" w:hAnsi="inherit"/>
          <w:szCs w:val="24"/>
        </w:rPr>
        <w:t>Универзитета</w:t>
      </w:r>
      <w:r w:rsidR="008F6CAA" w:rsidRPr="000C7C15">
        <w:rPr>
          <w:rStyle w:val="y2iqfc"/>
          <w:rFonts w:ascii="inherit" w:hAnsi="inherit"/>
          <w:szCs w:val="24"/>
        </w:rPr>
        <w:t xml:space="preserve"> </w:t>
      </w:r>
      <w:r w:rsidR="00C6214E">
        <w:rPr>
          <w:rStyle w:val="y2iqfc"/>
          <w:rFonts w:ascii="inherit" w:hAnsi="inherit"/>
          <w:szCs w:val="24"/>
        </w:rPr>
        <w:t>у</w:t>
      </w:r>
      <w:r w:rsidR="0061659F" w:rsidRPr="000C7C15">
        <w:rPr>
          <w:rStyle w:val="y2iqfc"/>
          <w:rFonts w:ascii="inherit" w:hAnsi="inherit"/>
          <w:szCs w:val="24"/>
        </w:rPr>
        <w:t xml:space="preserve"> </w:t>
      </w:r>
      <w:r w:rsidR="00C6214E">
        <w:rPr>
          <w:rStyle w:val="y2iqfc"/>
          <w:rFonts w:ascii="inherit" w:hAnsi="inherit"/>
          <w:szCs w:val="24"/>
        </w:rPr>
        <w:t>Сарајеву</w:t>
      </w:r>
      <w:r w:rsidR="0061659F" w:rsidRPr="000C7C15">
        <w:rPr>
          <w:rStyle w:val="y2iqfc"/>
          <w:rFonts w:ascii="inherit" w:hAnsi="inherit"/>
          <w:szCs w:val="24"/>
        </w:rPr>
        <w:t xml:space="preserve"> </w:t>
      </w:r>
      <w:r w:rsidR="00C6214E">
        <w:rPr>
          <w:rStyle w:val="y2iqfc"/>
          <w:rFonts w:ascii="inherit" w:hAnsi="inherit"/>
          <w:szCs w:val="24"/>
        </w:rPr>
        <w:t>у</w:t>
      </w:r>
      <w:r w:rsidR="008F6CAA" w:rsidRPr="000C7C15">
        <w:rPr>
          <w:rStyle w:val="y2iqfc"/>
          <w:rFonts w:ascii="inherit" w:hAnsi="inherit"/>
          <w:szCs w:val="24"/>
        </w:rPr>
        <w:t xml:space="preserve"> </w:t>
      </w:r>
      <w:r w:rsidR="00C6214E">
        <w:rPr>
          <w:rStyle w:val="y2iqfc"/>
          <w:rFonts w:ascii="inherit" w:hAnsi="inherit"/>
          <w:szCs w:val="24"/>
        </w:rPr>
        <w:t>погледу</w:t>
      </w:r>
      <w:r w:rsidR="0061659F" w:rsidRPr="000C7C15">
        <w:rPr>
          <w:rStyle w:val="y2iqfc"/>
          <w:rFonts w:ascii="inherit" w:hAnsi="inherit"/>
          <w:szCs w:val="24"/>
        </w:rPr>
        <w:t xml:space="preserve"> </w:t>
      </w:r>
      <w:r w:rsidR="00C6214E">
        <w:rPr>
          <w:rStyle w:val="y2iqfc"/>
          <w:rFonts w:ascii="inherit" w:hAnsi="inherit"/>
          <w:szCs w:val="24"/>
        </w:rPr>
        <w:t>укључивања</w:t>
      </w:r>
      <w:r w:rsidR="008F6CAA" w:rsidRPr="000C7C15">
        <w:rPr>
          <w:rStyle w:val="y2iqfc"/>
          <w:rFonts w:ascii="inherit" w:hAnsi="inherit"/>
          <w:szCs w:val="24"/>
        </w:rPr>
        <w:t xml:space="preserve"> </w:t>
      </w:r>
      <w:r w:rsidR="00C6214E">
        <w:rPr>
          <w:rStyle w:val="y2iqfc"/>
          <w:rFonts w:ascii="inherit" w:hAnsi="inherit"/>
          <w:szCs w:val="24"/>
        </w:rPr>
        <w:t>теме</w:t>
      </w:r>
      <w:r w:rsidR="0061659F" w:rsidRPr="000C7C15">
        <w:rPr>
          <w:rStyle w:val="y2iqfc"/>
          <w:rFonts w:ascii="inherit" w:hAnsi="inherit"/>
          <w:szCs w:val="24"/>
        </w:rPr>
        <w:t xml:space="preserve"> </w:t>
      </w:r>
      <w:r w:rsidR="008F6CAA" w:rsidRPr="000C7C15">
        <w:rPr>
          <w:rStyle w:val="y2iqfc"/>
          <w:rFonts w:ascii="inherit" w:hAnsi="inherit"/>
          <w:szCs w:val="24"/>
        </w:rPr>
        <w:t>„</w:t>
      </w:r>
      <w:r w:rsidR="00C6214E">
        <w:rPr>
          <w:rStyle w:val="y2iqfc"/>
          <w:rFonts w:ascii="inherit" w:hAnsi="inherit"/>
          <w:szCs w:val="24"/>
        </w:rPr>
        <w:t>Жене</w:t>
      </w:r>
      <w:r w:rsidR="008F6CAA" w:rsidRPr="000C7C15">
        <w:rPr>
          <w:rStyle w:val="y2iqfc"/>
          <w:rFonts w:ascii="inherit" w:hAnsi="inherit"/>
          <w:szCs w:val="24"/>
        </w:rPr>
        <w:t xml:space="preserve">, </w:t>
      </w:r>
      <w:r w:rsidR="00C6214E">
        <w:rPr>
          <w:rStyle w:val="y2iqfc"/>
          <w:rFonts w:ascii="inherit" w:hAnsi="inherit"/>
          <w:szCs w:val="24"/>
        </w:rPr>
        <w:t>мир</w:t>
      </w:r>
      <w:r w:rsidR="008F6CAA" w:rsidRPr="000C7C15">
        <w:rPr>
          <w:rStyle w:val="y2iqfc"/>
          <w:rFonts w:ascii="inherit" w:hAnsi="inherit"/>
          <w:szCs w:val="24"/>
        </w:rPr>
        <w:t xml:space="preserve"> </w:t>
      </w:r>
      <w:r w:rsidR="00C6214E">
        <w:rPr>
          <w:rStyle w:val="y2iqfc"/>
          <w:rFonts w:ascii="inherit" w:hAnsi="inherit"/>
          <w:szCs w:val="24"/>
        </w:rPr>
        <w:t>и</w:t>
      </w:r>
      <w:r w:rsidR="008F6CAA" w:rsidRPr="000C7C15">
        <w:rPr>
          <w:rStyle w:val="y2iqfc"/>
          <w:rFonts w:ascii="inherit" w:hAnsi="inherit"/>
          <w:szCs w:val="24"/>
        </w:rPr>
        <w:t xml:space="preserve"> </w:t>
      </w:r>
      <w:r>
        <w:rPr>
          <w:rStyle w:val="y2iqfc"/>
          <w:rFonts w:ascii="inherit" w:hAnsi="inherit"/>
          <w:szCs w:val="24"/>
          <w:lang w:val="sr-Cyrl-BA"/>
        </w:rPr>
        <w:t>безбједност</w:t>
      </w:r>
      <w:r w:rsidR="008F6CAA" w:rsidRPr="000C7C15">
        <w:rPr>
          <w:rStyle w:val="y2iqfc"/>
          <w:rFonts w:ascii="inherit" w:hAnsi="inherit"/>
          <w:szCs w:val="24"/>
        </w:rPr>
        <w:t>“</w:t>
      </w:r>
      <w:r w:rsidR="0061659F" w:rsidRPr="000C7C15">
        <w:rPr>
          <w:rStyle w:val="y2iqfc"/>
          <w:rFonts w:ascii="inherit" w:hAnsi="inherit"/>
          <w:szCs w:val="24"/>
        </w:rPr>
        <w:t xml:space="preserve"> </w:t>
      </w:r>
      <w:r w:rsidR="00C6214E">
        <w:rPr>
          <w:rStyle w:val="y2iqfc"/>
          <w:rFonts w:ascii="inherit" w:hAnsi="inherit"/>
          <w:szCs w:val="24"/>
        </w:rPr>
        <w:t>у</w:t>
      </w:r>
      <w:r w:rsidR="0061659F" w:rsidRPr="000C7C15">
        <w:rPr>
          <w:rStyle w:val="y2iqfc"/>
          <w:rFonts w:ascii="inherit" w:hAnsi="inherit"/>
          <w:szCs w:val="24"/>
        </w:rPr>
        <w:t xml:space="preserve"> </w:t>
      </w:r>
      <w:r w:rsidR="00C6214E">
        <w:rPr>
          <w:rStyle w:val="y2iqfc"/>
          <w:rFonts w:ascii="inherit" w:hAnsi="inherit"/>
          <w:szCs w:val="24"/>
        </w:rPr>
        <w:t>наставне</w:t>
      </w:r>
      <w:r w:rsidR="0061659F" w:rsidRPr="000C7C15">
        <w:rPr>
          <w:rStyle w:val="y2iqfc"/>
          <w:rFonts w:ascii="inherit" w:hAnsi="inherit"/>
          <w:szCs w:val="24"/>
        </w:rPr>
        <w:t xml:space="preserve"> </w:t>
      </w:r>
      <w:r w:rsidR="00C6214E">
        <w:rPr>
          <w:rStyle w:val="y2iqfc"/>
          <w:rFonts w:ascii="inherit" w:hAnsi="inherit"/>
          <w:szCs w:val="24"/>
        </w:rPr>
        <w:t>планове</w:t>
      </w:r>
      <w:r w:rsidR="0061659F" w:rsidRPr="000C7C15">
        <w:rPr>
          <w:rStyle w:val="y2iqfc"/>
          <w:rFonts w:ascii="inherit" w:hAnsi="inherit"/>
          <w:szCs w:val="24"/>
        </w:rPr>
        <w:t xml:space="preserve"> </w:t>
      </w:r>
      <w:r w:rsidR="00C6214E">
        <w:rPr>
          <w:rStyle w:val="y2iqfc"/>
          <w:rFonts w:ascii="inherit" w:hAnsi="inherit"/>
          <w:szCs w:val="24"/>
        </w:rPr>
        <w:t>и</w:t>
      </w:r>
      <w:r w:rsidR="0061659F" w:rsidRPr="000C7C15">
        <w:rPr>
          <w:rStyle w:val="y2iqfc"/>
          <w:rFonts w:ascii="inherit" w:hAnsi="inherit"/>
          <w:szCs w:val="24"/>
        </w:rPr>
        <w:t xml:space="preserve"> </w:t>
      </w:r>
      <w:r w:rsidR="00C6214E">
        <w:rPr>
          <w:rStyle w:val="y2iqfc"/>
          <w:rFonts w:ascii="inherit" w:hAnsi="inherit"/>
          <w:szCs w:val="24"/>
        </w:rPr>
        <w:t>програме</w:t>
      </w:r>
      <w:r w:rsidR="0061659F" w:rsidRPr="000C7C15">
        <w:rPr>
          <w:rStyle w:val="y2iqfc"/>
          <w:rFonts w:ascii="inherit" w:hAnsi="inherit"/>
          <w:szCs w:val="24"/>
        </w:rPr>
        <w:t xml:space="preserve"> </w:t>
      </w:r>
      <w:r w:rsidR="00C6214E">
        <w:rPr>
          <w:rStyle w:val="y2iqfc"/>
          <w:rFonts w:ascii="inherit" w:hAnsi="inherit"/>
          <w:szCs w:val="24"/>
        </w:rPr>
        <w:t>и</w:t>
      </w:r>
      <w:r w:rsidR="0061659F" w:rsidRPr="000C7C15">
        <w:rPr>
          <w:rStyle w:val="y2iqfc"/>
          <w:rFonts w:ascii="inherit" w:hAnsi="inherit"/>
          <w:szCs w:val="24"/>
        </w:rPr>
        <w:t xml:space="preserve"> </w:t>
      </w:r>
      <w:r w:rsidR="00C6214E">
        <w:rPr>
          <w:rStyle w:val="y2iqfc"/>
          <w:rFonts w:ascii="inherit" w:hAnsi="inherit"/>
          <w:szCs w:val="24"/>
        </w:rPr>
        <w:t>праксу</w:t>
      </w:r>
      <w:r w:rsidR="0061659F" w:rsidRPr="000C7C15">
        <w:rPr>
          <w:rStyle w:val="y2iqfc"/>
          <w:rFonts w:ascii="inherit" w:hAnsi="inherit"/>
          <w:szCs w:val="24"/>
        </w:rPr>
        <w:t xml:space="preserve"> </w:t>
      </w:r>
      <w:r w:rsidR="00C6214E">
        <w:rPr>
          <w:rStyle w:val="y2iqfc"/>
          <w:rFonts w:ascii="inherit" w:hAnsi="inherit"/>
          <w:szCs w:val="24"/>
        </w:rPr>
        <w:t>кроз</w:t>
      </w:r>
      <w:r w:rsidR="0061659F" w:rsidRPr="000C7C15">
        <w:rPr>
          <w:rStyle w:val="y2iqfc"/>
          <w:rFonts w:ascii="inherit" w:hAnsi="inherit"/>
          <w:szCs w:val="24"/>
        </w:rPr>
        <w:t xml:space="preserve"> </w:t>
      </w:r>
      <w:r w:rsidR="00C6214E">
        <w:rPr>
          <w:rStyle w:val="y2iqfc"/>
          <w:rFonts w:ascii="inherit" w:hAnsi="inherit"/>
          <w:szCs w:val="24"/>
        </w:rPr>
        <w:t>нове</w:t>
      </w:r>
      <w:r w:rsidR="0061659F" w:rsidRPr="000C7C15">
        <w:rPr>
          <w:rStyle w:val="y2iqfc"/>
          <w:rFonts w:ascii="inherit" w:hAnsi="inherit"/>
          <w:szCs w:val="24"/>
        </w:rPr>
        <w:t xml:space="preserve"> </w:t>
      </w:r>
      <w:r w:rsidR="00C6214E">
        <w:rPr>
          <w:rStyle w:val="y2iqfc"/>
          <w:rFonts w:ascii="inherit" w:hAnsi="inherit"/>
          <w:szCs w:val="24"/>
        </w:rPr>
        <w:t>академске</w:t>
      </w:r>
      <w:r w:rsidR="0061659F" w:rsidRPr="000C7C15">
        <w:rPr>
          <w:rStyle w:val="y2iqfc"/>
          <w:rFonts w:ascii="inherit" w:hAnsi="inherit"/>
          <w:szCs w:val="24"/>
        </w:rPr>
        <w:t xml:space="preserve"> </w:t>
      </w:r>
      <w:r w:rsidR="00C6214E">
        <w:rPr>
          <w:rStyle w:val="y2iqfc"/>
          <w:rFonts w:ascii="inherit" w:hAnsi="inherit"/>
          <w:szCs w:val="24"/>
        </w:rPr>
        <w:t>модуле</w:t>
      </w:r>
      <w:r w:rsidR="0061659F" w:rsidRPr="000C7C15">
        <w:rPr>
          <w:rStyle w:val="y2iqfc"/>
          <w:rFonts w:ascii="inherit" w:hAnsi="inherit"/>
          <w:szCs w:val="24"/>
        </w:rPr>
        <w:t xml:space="preserve">, </w:t>
      </w:r>
      <w:r w:rsidR="00C6214E">
        <w:rPr>
          <w:rStyle w:val="y2iqfc"/>
          <w:rFonts w:ascii="inherit" w:hAnsi="inherit"/>
          <w:szCs w:val="24"/>
        </w:rPr>
        <w:t>студентске</w:t>
      </w:r>
      <w:r w:rsidR="0061659F" w:rsidRPr="000C7C15">
        <w:rPr>
          <w:rStyle w:val="y2iqfc"/>
          <w:rFonts w:ascii="inherit" w:hAnsi="inherit"/>
          <w:szCs w:val="24"/>
        </w:rPr>
        <w:t xml:space="preserve"> </w:t>
      </w:r>
      <w:r w:rsidR="00C6214E">
        <w:rPr>
          <w:rStyle w:val="y2iqfc"/>
          <w:rFonts w:ascii="inherit" w:hAnsi="inherit"/>
          <w:szCs w:val="24"/>
        </w:rPr>
        <w:t>праксе</w:t>
      </w:r>
      <w:r w:rsidR="0061659F" w:rsidRPr="000C7C15">
        <w:rPr>
          <w:rStyle w:val="y2iqfc"/>
          <w:rFonts w:ascii="inherit" w:hAnsi="inherit"/>
          <w:szCs w:val="24"/>
        </w:rPr>
        <w:t xml:space="preserve"> </w:t>
      </w:r>
      <w:r w:rsidR="00C6214E">
        <w:rPr>
          <w:rStyle w:val="y2iqfc"/>
          <w:rFonts w:ascii="inherit" w:hAnsi="inherit"/>
          <w:szCs w:val="24"/>
        </w:rPr>
        <w:t>повезане</w:t>
      </w:r>
      <w:r w:rsidR="0061659F" w:rsidRPr="000C7C15">
        <w:rPr>
          <w:rStyle w:val="y2iqfc"/>
          <w:rFonts w:ascii="inherit" w:hAnsi="inherit"/>
          <w:szCs w:val="24"/>
        </w:rPr>
        <w:t xml:space="preserve"> </w:t>
      </w:r>
      <w:r w:rsidR="00C6214E">
        <w:rPr>
          <w:rStyle w:val="y2iqfc"/>
          <w:rFonts w:ascii="inherit" w:hAnsi="inherit"/>
          <w:szCs w:val="24"/>
        </w:rPr>
        <w:t>са</w:t>
      </w:r>
      <w:r w:rsidR="0061659F" w:rsidRPr="000C7C15">
        <w:rPr>
          <w:rStyle w:val="y2iqfc"/>
          <w:rFonts w:ascii="inherit" w:hAnsi="inherit"/>
          <w:szCs w:val="24"/>
        </w:rPr>
        <w:t xml:space="preserve"> </w:t>
      </w:r>
      <w:r w:rsidR="00C6214E">
        <w:rPr>
          <w:rStyle w:val="y2iqfc"/>
          <w:rFonts w:ascii="inherit" w:hAnsi="inherit"/>
          <w:szCs w:val="24"/>
        </w:rPr>
        <w:t>дијалозима</w:t>
      </w:r>
      <w:r w:rsidR="0061659F" w:rsidRPr="000C7C15">
        <w:rPr>
          <w:rStyle w:val="y2iqfc"/>
          <w:rFonts w:ascii="inherit" w:hAnsi="inherit"/>
          <w:szCs w:val="24"/>
        </w:rPr>
        <w:t xml:space="preserve"> </w:t>
      </w:r>
      <w:r w:rsidR="00C6214E">
        <w:rPr>
          <w:rStyle w:val="y2iqfc"/>
          <w:rFonts w:ascii="inherit" w:hAnsi="inherit"/>
          <w:szCs w:val="24"/>
        </w:rPr>
        <w:t>у</w:t>
      </w:r>
      <w:r w:rsidR="0061659F" w:rsidRPr="000C7C15">
        <w:rPr>
          <w:rStyle w:val="y2iqfc"/>
          <w:rFonts w:ascii="inherit" w:hAnsi="inherit"/>
          <w:szCs w:val="24"/>
        </w:rPr>
        <w:t xml:space="preserve"> </w:t>
      </w:r>
      <w:r w:rsidR="00C6214E">
        <w:rPr>
          <w:rStyle w:val="y2iqfc"/>
          <w:rFonts w:ascii="inherit" w:hAnsi="inherit"/>
          <w:szCs w:val="24"/>
        </w:rPr>
        <w:t>заједници</w:t>
      </w:r>
      <w:r w:rsidR="0061659F" w:rsidRPr="000C7C15">
        <w:rPr>
          <w:rStyle w:val="y2iqfc"/>
          <w:rFonts w:ascii="inherit" w:hAnsi="inherit"/>
          <w:szCs w:val="24"/>
        </w:rPr>
        <w:t>.</w:t>
      </w:r>
    </w:p>
    <w:p w:rsidR="00A57F15" w:rsidRPr="00295637" w:rsidRDefault="00A57F15" w:rsidP="0086268D">
      <w:pPr>
        <w:tabs>
          <w:tab w:val="left" w:pos="284"/>
          <w:tab w:val="left" w:pos="630"/>
          <w:tab w:val="left" w:pos="1080"/>
        </w:tabs>
        <w:jc w:val="both"/>
        <w:rPr>
          <w:rFonts w:ascii="Times New Roman" w:hAnsi="Times New Roman"/>
          <w:b/>
          <w:szCs w:val="24"/>
          <w:lang w:val="bs-Latn-BA"/>
        </w:rPr>
      </w:pPr>
    </w:p>
    <w:p w:rsidR="00356C2C" w:rsidRPr="00295637" w:rsidRDefault="00650438" w:rsidP="00CB42E6">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CB42E6">
        <w:rPr>
          <w:rFonts w:ascii="Times New Roman" w:hAnsi="Times New Roman"/>
          <w:szCs w:val="24"/>
          <w:lang w:val="bs-Latn-BA"/>
        </w:rPr>
        <w:t xml:space="preserve"> 7.4.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промотивних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информативних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кампања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подизања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свијести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јавности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важности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учешћа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областима</w:t>
      </w:r>
      <w:r w:rsidR="000C7C15">
        <w:rPr>
          <w:rFonts w:ascii="Times New Roman" w:hAnsi="Times New Roman"/>
          <w:szCs w:val="24"/>
          <w:lang w:val="bs-Latn-BA"/>
        </w:rPr>
        <w:t xml:space="preserve"> </w:t>
      </w:r>
      <w:r w:rsidR="00C6214E">
        <w:rPr>
          <w:rFonts w:ascii="Times New Roman" w:hAnsi="Times New Roman"/>
          <w:szCs w:val="24"/>
          <w:lang w:val="bs-Latn-BA"/>
        </w:rPr>
        <w:t>одбране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безбједности</w:t>
      </w:r>
      <w:r w:rsidR="00356C2C" w:rsidRPr="00295637">
        <w:rPr>
          <w:rFonts w:ascii="Times New Roman" w:hAnsi="Times New Roman"/>
          <w:szCs w:val="24"/>
          <w:lang w:val="bs-Latn-BA"/>
        </w:rPr>
        <w:t>.</w:t>
      </w:r>
    </w:p>
    <w:p w:rsidR="00837ED5" w:rsidRPr="00295637" w:rsidRDefault="00837ED5" w:rsidP="0086268D">
      <w:pPr>
        <w:ind w:right="14"/>
      </w:pPr>
    </w:p>
    <w:p w:rsidR="0010196C" w:rsidRPr="00295637" w:rsidRDefault="00C6214E" w:rsidP="0086268D">
      <w:pPr>
        <w:jc w:val="both"/>
        <w:rPr>
          <w:rFonts w:ascii="Times New Roman" w:hAnsi="Times New Roman"/>
          <w:szCs w:val="24"/>
          <w:lang w:val="bs-Latn-BA" w:eastAsia="sr-Latn-BA"/>
        </w:rPr>
      </w:pPr>
      <w:r>
        <w:rPr>
          <w:rFonts w:ascii="Times New Roman" w:hAnsi="Times New Roman"/>
        </w:rPr>
        <w:t>АР</w:t>
      </w:r>
      <w:r w:rsidR="00650438">
        <w:rPr>
          <w:rFonts w:ascii="Times New Roman" w:hAnsi="Times New Roman"/>
          <w:lang w:val="sr-Cyrl-BA"/>
        </w:rPr>
        <w:t>П</w:t>
      </w:r>
      <w:r w:rsidR="000C7C15">
        <w:rPr>
          <w:rFonts w:ascii="Times New Roman" w:hAnsi="Times New Roman"/>
        </w:rPr>
        <w:t xml:space="preserve"> </w:t>
      </w:r>
      <w:r>
        <w:rPr>
          <w:rFonts w:ascii="Times New Roman" w:hAnsi="Times New Roman"/>
        </w:rPr>
        <w:t>БиХ</w:t>
      </w:r>
      <w:r w:rsidR="000C7C15">
        <w:rPr>
          <w:rFonts w:ascii="Times New Roman" w:hAnsi="Times New Roman"/>
        </w:rPr>
        <w:t xml:space="preserve"> </w:t>
      </w:r>
      <w:r>
        <w:rPr>
          <w:rFonts w:ascii="Times New Roman" w:hAnsi="Times New Roman"/>
        </w:rPr>
        <w:t>МЉПИ</w:t>
      </w:r>
      <w:r w:rsidR="000C7C15">
        <w:rPr>
          <w:rFonts w:ascii="Times New Roman" w:hAnsi="Times New Roman"/>
        </w:rPr>
        <w:t xml:space="preserve"> </w:t>
      </w:r>
      <w:r>
        <w:rPr>
          <w:rFonts w:ascii="Times New Roman" w:hAnsi="Times New Roman"/>
        </w:rPr>
        <w:t>БиХ</w:t>
      </w:r>
      <w:r w:rsidR="00233097" w:rsidRPr="00295637">
        <w:rPr>
          <w:rFonts w:ascii="Times New Roman" w:hAnsi="Times New Roman"/>
        </w:rPr>
        <w:t xml:space="preserve"> </w:t>
      </w:r>
      <w:r>
        <w:rPr>
          <w:rFonts w:ascii="Times New Roman" w:hAnsi="Times New Roman"/>
        </w:rPr>
        <w:t>је</w:t>
      </w:r>
      <w:r w:rsidR="00A1678D">
        <w:rPr>
          <w:rFonts w:ascii="Times New Roman" w:hAnsi="Times New Roman"/>
        </w:rPr>
        <w:t xml:space="preserve">, </w:t>
      </w:r>
      <w:r>
        <w:rPr>
          <w:rFonts w:ascii="Times New Roman" w:hAnsi="Times New Roman"/>
        </w:rPr>
        <w:t>на</w:t>
      </w:r>
      <w:r w:rsidR="00A1678D">
        <w:rPr>
          <w:rFonts w:ascii="Times New Roman" w:hAnsi="Times New Roman"/>
        </w:rPr>
        <w:t xml:space="preserve"> </w:t>
      </w:r>
      <w:r>
        <w:rPr>
          <w:rFonts w:ascii="Times New Roman" w:hAnsi="Times New Roman"/>
        </w:rPr>
        <w:t>иницијативу</w:t>
      </w:r>
      <w:r w:rsidR="00A1678D">
        <w:rPr>
          <w:rFonts w:ascii="Times New Roman" w:hAnsi="Times New Roman"/>
        </w:rPr>
        <w:t xml:space="preserve"> </w:t>
      </w:r>
      <w:r>
        <w:rPr>
          <w:rFonts w:ascii="Times New Roman" w:hAnsi="Times New Roman"/>
        </w:rPr>
        <w:t>министра</w:t>
      </w:r>
      <w:r w:rsidR="00A1678D">
        <w:rPr>
          <w:rFonts w:ascii="Times New Roman" w:hAnsi="Times New Roman"/>
        </w:rPr>
        <w:t xml:space="preserve"> </w:t>
      </w:r>
      <w:r>
        <w:rPr>
          <w:rFonts w:ascii="Times New Roman" w:hAnsi="Times New Roman"/>
        </w:rPr>
        <w:t>за</w:t>
      </w:r>
      <w:r w:rsidR="00A1678D">
        <w:rPr>
          <w:rFonts w:ascii="Times New Roman" w:hAnsi="Times New Roman"/>
        </w:rPr>
        <w:t xml:space="preserve"> </w:t>
      </w:r>
      <w:r>
        <w:rPr>
          <w:rFonts w:ascii="Times New Roman" w:hAnsi="Times New Roman"/>
        </w:rPr>
        <w:t>људска</w:t>
      </w:r>
      <w:r w:rsidR="00A1678D">
        <w:rPr>
          <w:rFonts w:ascii="Times New Roman" w:hAnsi="Times New Roman"/>
        </w:rPr>
        <w:t xml:space="preserve"> </w:t>
      </w:r>
      <w:r>
        <w:rPr>
          <w:rFonts w:ascii="Times New Roman" w:hAnsi="Times New Roman"/>
        </w:rPr>
        <w:t>права</w:t>
      </w:r>
      <w:r w:rsidR="00A1678D">
        <w:rPr>
          <w:rFonts w:ascii="Times New Roman" w:hAnsi="Times New Roman"/>
        </w:rPr>
        <w:t xml:space="preserve"> </w:t>
      </w:r>
      <w:r>
        <w:rPr>
          <w:rFonts w:ascii="Times New Roman" w:hAnsi="Times New Roman"/>
        </w:rPr>
        <w:t>и</w:t>
      </w:r>
      <w:r w:rsidR="00A1678D">
        <w:rPr>
          <w:rFonts w:ascii="Times New Roman" w:hAnsi="Times New Roman"/>
        </w:rPr>
        <w:t xml:space="preserve"> </w:t>
      </w:r>
      <w:r>
        <w:rPr>
          <w:rFonts w:ascii="Times New Roman" w:hAnsi="Times New Roman"/>
        </w:rPr>
        <w:t>избјеглице</w:t>
      </w:r>
      <w:r w:rsidR="00050016">
        <w:rPr>
          <w:rFonts w:ascii="Times New Roman" w:hAnsi="Times New Roman"/>
        </w:rPr>
        <w:t xml:space="preserve"> </w:t>
      </w:r>
      <w:r>
        <w:rPr>
          <w:rFonts w:ascii="Times New Roman" w:hAnsi="Times New Roman"/>
        </w:rPr>
        <w:t>Босне</w:t>
      </w:r>
      <w:r w:rsidR="00050016">
        <w:rPr>
          <w:rFonts w:ascii="Times New Roman" w:hAnsi="Times New Roman"/>
        </w:rPr>
        <w:t xml:space="preserve"> </w:t>
      </w:r>
      <w:r>
        <w:rPr>
          <w:rFonts w:ascii="Times New Roman" w:hAnsi="Times New Roman"/>
        </w:rPr>
        <w:t>и</w:t>
      </w:r>
      <w:r w:rsidR="00050016">
        <w:rPr>
          <w:rFonts w:ascii="Times New Roman" w:hAnsi="Times New Roman"/>
        </w:rPr>
        <w:t xml:space="preserve"> </w:t>
      </w:r>
      <w:r>
        <w:rPr>
          <w:rFonts w:ascii="Times New Roman" w:hAnsi="Times New Roman"/>
        </w:rPr>
        <w:t>Херцеговине</w:t>
      </w:r>
      <w:r w:rsidR="00050016">
        <w:rPr>
          <w:rFonts w:ascii="Times New Roman" w:hAnsi="Times New Roman"/>
        </w:rPr>
        <w:t>,</w:t>
      </w:r>
      <w:r w:rsidR="0010196C" w:rsidRPr="00295637">
        <w:rPr>
          <w:rFonts w:ascii="Times New Roman" w:hAnsi="Times New Roman"/>
        </w:rPr>
        <w:t xml:space="preserve"> </w:t>
      </w:r>
      <w:r>
        <w:rPr>
          <w:rFonts w:ascii="Times New Roman" w:hAnsi="Times New Roman"/>
        </w:rPr>
        <w:t>у</w:t>
      </w:r>
      <w:r w:rsidR="000C2215" w:rsidRPr="00295637">
        <w:rPr>
          <w:rFonts w:ascii="Times New Roman" w:hAnsi="Times New Roman"/>
        </w:rPr>
        <w:t xml:space="preserve"> </w:t>
      </w:r>
      <w:r>
        <w:rPr>
          <w:rFonts w:ascii="Times New Roman" w:hAnsi="Times New Roman"/>
        </w:rPr>
        <w:t>октобру</w:t>
      </w:r>
      <w:r w:rsidR="000C2215" w:rsidRPr="00295637">
        <w:rPr>
          <w:rFonts w:ascii="Times New Roman" w:hAnsi="Times New Roman"/>
        </w:rPr>
        <w:t xml:space="preserve"> 2024. </w:t>
      </w:r>
      <w:r>
        <w:rPr>
          <w:rFonts w:ascii="Times New Roman" w:hAnsi="Times New Roman"/>
        </w:rPr>
        <w:t>године</w:t>
      </w:r>
      <w:r w:rsidR="000C2215" w:rsidRPr="00295637">
        <w:rPr>
          <w:rFonts w:ascii="Times New Roman" w:hAnsi="Times New Roman"/>
        </w:rPr>
        <w:t xml:space="preserve"> </w:t>
      </w:r>
      <w:r>
        <w:rPr>
          <w:rFonts w:ascii="Times New Roman" w:hAnsi="Times New Roman"/>
        </w:rPr>
        <w:t>у</w:t>
      </w:r>
      <w:r w:rsidR="00931930">
        <w:rPr>
          <w:rFonts w:ascii="Times New Roman" w:hAnsi="Times New Roman"/>
        </w:rPr>
        <w:t xml:space="preserve"> </w:t>
      </w:r>
      <w:r>
        <w:rPr>
          <w:rFonts w:ascii="Times New Roman" w:hAnsi="Times New Roman"/>
        </w:rPr>
        <w:t>Бањој</w:t>
      </w:r>
      <w:r w:rsidR="00DC6017" w:rsidRPr="00295637">
        <w:rPr>
          <w:rFonts w:ascii="Times New Roman" w:hAnsi="Times New Roman"/>
        </w:rPr>
        <w:t xml:space="preserve"> </w:t>
      </w:r>
      <w:r>
        <w:rPr>
          <w:rFonts w:ascii="Times New Roman" w:hAnsi="Times New Roman"/>
        </w:rPr>
        <w:t>Луци</w:t>
      </w:r>
      <w:r w:rsidR="0010196C" w:rsidRPr="00295637">
        <w:rPr>
          <w:rFonts w:ascii="Times New Roman" w:hAnsi="Times New Roman"/>
        </w:rPr>
        <w:t xml:space="preserve"> </w:t>
      </w:r>
      <w:r>
        <w:rPr>
          <w:rFonts w:ascii="Times New Roman" w:hAnsi="Times New Roman"/>
        </w:rPr>
        <w:t>организовала</w:t>
      </w:r>
      <w:r w:rsidR="0010196C" w:rsidRPr="00295637">
        <w:rPr>
          <w:rFonts w:ascii="Times New Roman" w:hAnsi="Times New Roman"/>
        </w:rPr>
        <w:t xml:space="preserve"> </w:t>
      </w:r>
      <w:r>
        <w:rPr>
          <w:rFonts w:ascii="Times New Roman" w:hAnsi="Times New Roman"/>
        </w:rPr>
        <w:t>округли</w:t>
      </w:r>
      <w:r w:rsidR="00BF30F5" w:rsidRPr="00295637">
        <w:rPr>
          <w:rFonts w:ascii="Times New Roman" w:hAnsi="Times New Roman"/>
        </w:rPr>
        <w:t xml:space="preserve"> </w:t>
      </w:r>
      <w:r>
        <w:rPr>
          <w:rFonts w:ascii="Times New Roman" w:hAnsi="Times New Roman"/>
        </w:rPr>
        <w:t>сто</w:t>
      </w:r>
      <w:r w:rsidR="0010196C" w:rsidRPr="00295637">
        <w:rPr>
          <w:rFonts w:ascii="Times New Roman" w:hAnsi="Times New Roman"/>
        </w:rPr>
        <w:t xml:space="preserve"> </w:t>
      </w:r>
      <w:r>
        <w:rPr>
          <w:rFonts w:ascii="Times New Roman" w:hAnsi="Times New Roman"/>
        </w:rPr>
        <w:t>под</w:t>
      </w:r>
      <w:r w:rsidR="0010196C" w:rsidRPr="00295637">
        <w:rPr>
          <w:rFonts w:ascii="Times New Roman" w:hAnsi="Times New Roman"/>
        </w:rPr>
        <w:t xml:space="preserve"> </w:t>
      </w:r>
      <w:r>
        <w:rPr>
          <w:rFonts w:ascii="Times New Roman" w:hAnsi="Times New Roman"/>
        </w:rPr>
        <w:t>називом</w:t>
      </w:r>
      <w:r w:rsidR="0010196C" w:rsidRPr="00295637">
        <w:rPr>
          <w:rFonts w:ascii="Times New Roman" w:hAnsi="Times New Roman"/>
        </w:rPr>
        <w:t xml:space="preserve"> “</w:t>
      </w:r>
      <w:r>
        <w:rPr>
          <w:rFonts w:ascii="Times New Roman" w:hAnsi="Times New Roman"/>
        </w:rPr>
        <w:t>Положај</w:t>
      </w:r>
      <w:r w:rsidR="0010196C" w:rsidRPr="00295637">
        <w:rPr>
          <w:rFonts w:ascii="Times New Roman" w:hAnsi="Times New Roman"/>
        </w:rPr>
        <w:t xml:space="preserve"> </w:t>
      </w:r>
      <w:r>
        <w:rPr>
          <w:rFonts w:ascii="Times New Roman" w:hAnsi="Times New Roman"/>
        </w:rPr>
        <w:t>полицијских</w:t>
      </w:r>
      <w:r w:rsidR="0010196C" w:rsidRPr="00295637">
        <w:rPr>
          <w:rFonts w:ascii="Times New Roman" w:hAnsi="Times New Roman"/>
        </w:rPr>
        <w:t xml:space="preserve"> </w:t>
      </w:r>
      <w:r>
        <w:rPr>
          <w:rFonts w:ascii="Times New Roman" w:hAnsi="Times New Roman"/>
        </w:rPr>
        <w:t>службеница</w:t>
      </w:r>
      <w:r w:rsidR="0010196C" w:rsidRPr="00295637">
        <w:rPr>
          <w:rFonts w:ascii="Times New Roman" w:hAnsi="Times New Roman"/>
        </w:rPr>
        <w:t xml:space="preserve"> </w:t>
      </w:r>
      <w:r>
        <w:rPr>
          <w:rFonts w:ascii="Times New Roman" w:hAnsi="Times New Roman"/>
        </w:rPr>
        <w:t>у</w:t>
      </w:r>
      <w:r w:rsidR="0010196C" w:rsidRPr="00295637">
        <w:rPr>
          <w:rFonts w:ascii="Times New Roman" w:hAnsi="Times New Roman"/>
        </w:rPr>
        <w:t xml:space="preserve"> </w:t>
      </w:r>
      <w:r>
        <w:rPr>
          <w:rFonts w:ascii="Times New Roman" w:hAnsi="Times New Roman"/>
        </w:rPr>
        <w:t>Босни</w:t>
      </w:r>
      <w:r w:rsidR="0010196C" w:rsidRPr="00295637">
        <w:rPr>
          <w:rFonts w:ascii="Times New Roman" w:hAnsi="Times New Roman"/>
        </w:rPr>
        <w:t xml:space="preserve"> </w:t>
      </w:r>
      <w:r>
        <w:rPr>
          <w:rFonts w:ascii="Times New Roman" w:hAnsi="Times New Roman"/>
        </w:rPr>
        <w:t>и</w:t>
      </w:r>
      <w:r w:rsidR="0010196C" w:rsidRPr="00295637">
        <w:rPr>
          <w:rFonts w:ascii="Times New Roman" w:hAnsi="Times New Roman"/>
        </w:rPr>
        <w:t xml:space="preserve"> </w:t>
      </w:r>
      <w:r>
        <w:rPr>
          <w:rFonts w:ascii="Times New Roman" w:hAnsi="Times New Roman"/>
        </w:rPr>
        <w:t>Херцеговини</w:t>
      </w:r>
      <w:r w:rsidR="0010196C" w:rsidRPr="00295637">
        <w:rPr>
          <w:rFonts w:ascii="Times New Roman" w:hAnsi="Times New Roman"/>
        </w:rPr>
        <w:t>”</w:t>
      </w:r>
      <w:r w:rsidR="0010196C" w:rsidRPr="00295637">
        <w:rPr>
          <w:rFonts w:ascii="Times New Roman" w:hAnsi="Times New Roman"/>
          <w:szCs w:val="24"/>
          <w:lang w:val="bs-Latn-BA"/>
        </w:rPr>
        <w:t xml:space="preserve"> </w:t>
      </w:r>
      <w:r w:rsidR="00650438">
        <w:rPr>
          <w:rFonts w:ascii="Times New Roman" w:hAnsi="Times New Roman"/>
          <w:szCs w:val="24"/>
          <w:lang w:val="sr-Cyrl-BA"/>
        </w:rPr>
        <w:t>с</w:t>
      </w:r>
      <w:r w:rsidR="0010196C" w:rsidRPr="00295637">
        <w:rPr>
          <w:rFonts w:ascii="Times New Roman" w:hAnsi="Times New Roman"/>
          <w:szCs w:val="24"/>
          <w:lang w:val="bs-Latn-BA"/>
        </w:rPr>
        <w:t xml:space="preserve"> </w:t>
      </w:r>
      <w:r>
        <w:rPr>
          <w:rFonts w:ascii="Times New Roman" w:hAnsi="Times New Roman"/>
          <w:szCs w:val="24"/>
          <w:lang w:val="bs-Latn-BA"/>
        </w:rPr>
        <w:t>циљ</w:t>
      </w:r>
      <w:r w:rsidR="00650438">
        <w:rPr>
          <w:rFonts w:ascii="Times New Roman" w:hAnsi="Times New Roman"/>
          <w:szCs w:val="24"/>
          <w:lang w:val="sr-Cyrl-BA"/>
        </w:rPr>
        <w:t>ем</w:t>
      </w:r>
      <w:r w:rsidR="0010196C" w:rsidRPr="00295637">
        <w:rPr>
          <w:rFonts w:ascii="Times New Roman" w:hAnsi="Times New Roman"/>
          <w:szCs w:val="24"/>
          <w:lang w:val="bs-Latn-BA"/>
        </w:rPr>
        <w:t xml:space="preserve"> </w:t>
      </w:r>
      <w:r>
        <w:rPr>
          <w:rFonts w:ascii="Times New Roman" w:hAnsi="Times New Roman"/>
          <w:szCs w:val="24"/>
          <w:lang w:val="bs-Latn-BA"/>
        </w:rPr>
        <w:t>представљања</w:t>
      </w:r>
      <w:r w:rsidR="0010196C" w:rsidRPr="00295637">
        <w:rPr>
          <w:rFonts w:ascii="Times New Roman" w:hAnsi="Times New Roman"/>
          <w:szCs w:val="24"/>
          <w:lang w:val="bs-Latn-BA"/>
        </w:rPr>
        <w:t xml:space="preserve"> </w:t>
      </w:r>
      <w:r>
        <w:rPr>
          <w:rFonts w:ascii="Times New Roman" w:hAnsi="Times New Roman"/>
          <w:szCs w:val="24"/>
          <w:lang w:val="bs-Latn-BA" w:eastAsia="sr-Latn-BA"/>
        </w:rPr>
        <w:t>положаја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полицијских</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службеница</w:t>
      </w:r>
      <w:r w:rsidR="00202600">
        <w:rPr>
          <w:rFonts w:ascii="Times New Roman" w:hAnsi="Times New Roman"/>
          <w:szCs w:val="24"/>
          <w:lang w:val="bs-Latn-BA" w:eastAsia="sr-Latn-BA"/>
        </w:rPr>
        <w:t xml:space="preserve"> </w:t>
      </w:r>
      <w:r>
        <w:rPr>
          <w:rFonts w:ascii="Times New Roman" w:hAnsi="Times New Roman"/>
          <w:szCs w:val="24"/>
          <w:lang w:val="bs-Latn-BA" w:eastAsia="sr-Latn-BA"/>
        </w:rPr>
        <w:t>и</w:t>
      </w:r>
      <w:r w:rsidR="00202600">
        <w:rPr>
          <w:rFonts w:ascii="Times New Roman" w:hAnsi="Times New Roman"/>
          <w:szCs w:val="24"/>
          <w:lang w:val="bs-Latn-BA" w:eastAsia="sr-Latn-BA"/>
        </w:rPr>
        <w:t xml:space="preserve"> </w:t>
      </w:r>
      <w:r>
        <w:rPr>
          <w:rFonts w:ascii="Times New Roman" w:hAnsi="Times New Roman"/>
          <w:szCs w:val="24"/>
          <w:lang w:val="bs-Latn-BA" w:eastAsia="sr-Latn-BA"/>
        </w:rPr>
        <w:t>проблема</w:t>
      </w:r>
      <w:r w:rsidR="00202600">
        <w:rPr>
          <w:rFonts w:ascii="Times New Roman" w:hAnsi="Times New Roman"/>
          <w:szCs w:val="24"/>
          <w:lang w:val="bs-Latn-BA" w:eastAsia="sr-Latn-BA"/>
        </w:rPr>
        <w:t xml:space="preserve"> </w:t>
      </w:r>
      <w:r>
        <w:rPr>
          <w:rFonts w:ascii="Times New Roman" w:hAnsi="Times New Roman"/>
          <w:szCs w:val="24"/>
          <w:lang w:val="bs-Latn-BA" w:eastAsia="sr-Latn-BA"/>
        </w:rPr>
        <w:t>са</w:t>
      </w:r>
      <w:r w:rsidR="00202600">
        <w:rPr>
          <w:rFonts w:ascii="Times New Roman" w:hAnsi="Times New Roman"/>
          <w:szCs w:val="24"/>
          <w:lang w:val="bs-Latn-BA" w:eastAsia="sr-Latn-BA"/>
        </w:rPr>
        <w:t xml:space="preserve"> </w:t>
      </w:r>
      <w:r>
        <w:rPr>
          <w:rFonts w:ascii="Times New Roman" w:hAnsi="Times New Roman"/>
          <w:szCs w:val="24"/>
          <w:lang w:val="bs-Latn-BA" w:eastAsia="sr-Latn-BA"/>
        </w:rPr>
        <w:t>којима</w:t>
      </w:r>
      <w:r w:rsidR="00202600">
        <w:rPr>
          <w:rFonts w:ascii="Times New Roman" w:hAnsi="Times New Roman"/>
          <w:szCs w:val="24"/>
          <w:lang w:val="bs-Latn-BA" w:eastAsia="sr-Latn-BA"/>
        </w:rPr>
        <w:t xml:space="preserve"> </w:t>
      </w:r>
      <w:r>
        <w:rPr>
          <w:rFonts w:ascii="Times New Roman" w:hAnsi="Times New Roman"/>
          <w:szCs w:val="24"/>
          <w:lang w:val="bs-Latn-BA" w:eastAsia="sr-Latn-BA"/>
        </w:rPr>
        <w:t>се</w:t>
      </w:r>
      <w:r w:rsidR="00202600">
        <w:rPr>
          <w:rFonts w:ascii="Times New Roman" w:hAnsi="Times New Roman"/>
          <w:szCs w:val="24"/>
          <w:lang w:val="bs-Latn-BA" w:eastAsia="sr-Latn-BA"/>
        </w:rPr>
        <w:t xml:space="preserve"> </w:t>
      </w:r>
      <w:r>
        <w:rPr>
          <w:rFonts w:ascii="Times New Roman" w:hAnsi="Times New Roman"/>
          <w:szCs w:val="24"/>
          <w:lang w:val="bs-Latn-BA" w:eastAsia="sr-Latn-BA"/>
        </w:rPr>
        <w:t>сусрећу</w:t>
      </w:r>
      <w:r w:rsidR="00E738A0">
        <w:rPr>
          <w:rFonts w:ascii="Times New Roman" w:hAnsi="Times New Roman"/>
          <w:szCs w:val="24"/>
          <w:lang w:val="bs-Cyrl-BA" w:eastAsia="sr-Latn-BA"/>
        </w:rPr>
        <w:t>,</w:t>
      </w:r>
      <w:r w:rsidR="00202600">
        <w:rPr>
          <w:rFonts w:ascii="Times New Roman" w:hAnsi="Times New Roman"/>
          <w:szCs w:val="24"/>
          <w:lang w:val="bs-Latn-BA" w:eastAsia="sr-Latn-BA"/>
        </w:rPr>
        <w:t xml:space="preserve"> </w:t>
      </w:r>
      <w:r>
        <w:rPr>
          <w:rFonts w:ascii="Times New Roman" w:hAnsi="Times New Roman"/>
          <w:szCs w:val="24"/>
          <w:lang w:val="bs-Latn-BA" w:eastAsia="sr-Latn-BA"/>
        </w:rPr>
        <w:t>као</w:t>
      </w:r>
      <w:r w:rsidR="00202600">
        <w:rPr>
          <w:rFonts w:ascii="Times New Roman" w:hAnsi="Times New Roman"/>
          <w:szCs w:val="24"/>
          <w:lang w:val="bs-Latn-BA" w:eastAsia="sr-Latn-BA"/>
        </w:rPr>
        <w:t xml:space="preserve"> </w:t>
      </w:r>
      <w:r>
        <w:rPr>
          <w:rFonts w:ascii="Times New Roman" w:hAnsi="Times New Roman"/>
          <w:szCs w:val="24"/>
          <w:lang w:val="bs-Latn-BA" w:eastAsia="sr-Latn-BA"/>
        </w:rPr>
        <w:t>и</w:t>
      </w:r>
      <w:r w:rsidR="00202600">
        <w:rPr>
          <w:rFonts w:ascii="Times New Roman" w:hAnsi="Times New Roman"/>
          <w:szCs w:val="24"/>
          <w:lang w:val="bs-Latn-BA" w:eastAsia="sr-Latn-BA"/>
        </w:rPr>
        <w:t xml:space="preserve"> </w:t>
      </w:r>
      <w:r>
        <w:rPr>
          <w:rFonts w:ascii="Times New Roman" w:hAnsi="Times New Roman"/>
          <w:szCs w:val="24"/>
          <w:lang w:val="bs-Latn-BA" w:eastAsia="sr-Latn-BA"/>
        </w:rPr>
        <w:t>механизама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заштите</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од</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дискриминације</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на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радном</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мјесту</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те</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заштите</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приликом</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обављања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службених</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послова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и</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задатака</w:t>
      </w:r>
      <w:r w:rsidR="0010196C" w:rsidRPr="00295637">
        <w:rPr>
          <w:rFonts w:ascii="Times New Roman" w:hAnsi="Times New Roman"/>
          <w:szCs w:val="24"/>
          <w:lang w:val="bs-Latn-BA" w:eastAsia="sr-Latn-BA"/>
        </w:rPr>
        <w:t xml:space="preserve">. </w:t>
      </w:r>
      <w:r>
        <w:rPr>
          <w:rFonts w:ascii="Times New Roman" w:hAnsi="Times New Roman"/>
          <w:szCs w:val="24"/>
          <w:lang w:val="bs-Latn-BA"/>
        </w:rPr>
        <w:t>Округи</w:t>
      </w:r>
      <w:r w:rsidR="0010196C" w:rsidRPr="00295637">
        <w:rPr>
          <w:rFonts w:ascii="Times New Roman" w:hAnsi="Times New Roman"/>
          <w:szCs w:val="24"/>
          <w:lang w:val="bs-Latn-BA"/>
        </w:rPr>
        <w:t xml:space="preserve"> </w:t>
      </w:r>
      <w:r>
        <w:rPr>
          <w:rFonts w:ascii="Times New Roman" w:hAnsi="Times New Roman"/>
          <w:szCs w:val="24"/>
          <w:lang w:val="bs-Latn-BA"/>
        </w:rPr>
        <w:t>сто</w:t>
      </w:r>
      <w:r w:rsidR="0010196C" w:rsidRPr="00295637">
        <w:rPr>
          <w:rFonts w:ascii="Times New Roman" w:hAnsi="Times New Roman"/>
          <w:szCs w:val="24"/>
          <w:lang w:val="bs-Latn-BA"/>
        </w:rPr>
        <w:t xml:space="preserve"> </w:t>
      </w:r>
      <w:r>
        <w:rPr>
          <w:rFonts w:ascii="Times New Roman" w:hAnsi="Times New Roman"/>
          <w:szCs w:val="24"/>
          <w:lang w:val="bs-Latn-BA"/>
        </w:rPr>
        <w:t>је</w:t>
      </w:r>
      <w:r w:rsidR="0010196C" w:rsidRPr="00295637">
        <w:rPr>
          <w:rFonts w:ascii="Times New Roman" w:hAnsi="Times New Roman"/>
          <w:szCs w:val="24"/>
          <w:lang w:val="bs-Latn-BA"/>
        </w:rPr>
        <w:t xml:space="preserve"> </w:t>
      </w:r>
      <w:r>
        <w:rPr>
          <w:rFonts w:ascii="Times New Roman" w:hAnsi="Times New Roman"/>
          <w:szCs w:val="24"/>
          <w:lang w:val="bs-Latn-BA"/>
        </w:rPr>
        <w:t>организ</w:t>
      </w:r>
      <w:r w:rsidR="00650438">
        <w:rPr>
          <w:rFonts w:ascii="Times New Roman" w:hAnsi="Times New Roman"/>
          <w:szCs w:val="24"/>
          <w:lang w:val="sr-Cyrl-BA"/>
        </w:rPr>
        <w:t>ован</w:t>
      </w:r>
      <w:r w:rsidR="0010196C" w:rsidRPr="00295637">
        <w:rPr>
          <w:rFonts w:ascii="Times New Roman" w:hAnsi="Times New Roman"/>
          <w:szCs w:val="24"/>
          <w:lang w:val="bs-Latn-BA"/>
        </w:rPr>
        <w:t xml:space="preserve"> </w:t>
      </w:r>
      <w:r>
        <w:rPr>
          <w:rFonts w:ascii="Times New Roman" w:hAnsi="Times New Roman"/>
          <w:szCs w:val="24"/>
          <w:lang w:val="bs-Latn-BA"/>
        </w:rPr>
        <w:t>у</w:t>
      </w:r>
      <w:r w:rsidR="0010196C" w:rsidRPr="00295637">
        <w:rPr>
          <w:rFonts w:ascii="Times New Roman" w:hAnsi="Times New Roman"/>
          <w:szCs w:val="24"/>
          <w:lang w:val="bs-Latn-BA"/>
        </w:rPr>
        <w:t xml:space="preserve"> </w:t>
      </w:r>
      <w:r>
        <w:rPr>
          <w:rFonts w:ascii="Times New Roman" w:hAnsi="Times New Roman"/>
          <w:szCs w:val="24"/>
          <w:lang w:val="bs-Latn-BA"/>
        </w:rPr>
        <w:t>сарадњи</w:t>
      </w:r>
      <w:r w:rsidR="000C7C15">
        <w:rPr>
          <w:rFonts w:ascii="Times New Roman" w:hAnsi="Times New Roman"/>
          <w:szCs w:val="24"/>
          <w:lang w:val="bs-Latn-BA"/>
        </w:rPr>
        <w:t xml:space="preserve"> </w:t>
      </w:r>
      <w:r>
        <w:rPr>
          <w:rFonts w:ascii="Times New Roman" w:hAnsi="Times New Roman"/>
          <w:szCs w:val="24"/>
          <w:lang w:val="bs-Latn-BA"/>
        </w:rPr>
        <w:t>са</w:t>
      </w:r>
      <w:r w:rsidR="0010196C" w:rsidRPr="00295637">
        <w:rPr>
          <w:rFonts w:ascii="Times New Roman" w:hAnsi="Times New Roman"/>
          <w:szCs w:val="24"/>
          <w:lang w:val="bs-Latn-BA"/>
        </w:rPr>
        <w:t xml:space="preserve"> </w:t>
      </w:r>
      <w:r>
        <w:rPr>
          <w:rFonts w:ascii="Times New Roman" w:hAnsi="Times New Roman"/>
          <w:szCs w:val="24"/>
          <w:lang w:val="bs-Latn-BA"/>
        </w:rPr>
        <w:t>представницама</w:t>
      </w:r>
      <w:r w:rsidR="0010196C" w:rsidRPr="00295637">
        <w:rPr>
          <w:rFonts w:ascii="Times New Roman" w:hAnsi="Times New Roman"/>
          <w:szCs w:val="24"/>
          <w:lang w:val="bs-Latn-BA"/>
        </w:rPr>
        <w:t xml:space="preserve"> </w:t>
      </w:r>
      <w:r>
        <w:rPr>
          <w:rFonts w:ascii="Times New Roman" w:hAnsi="Times New Roman"/>
          <w:szCs w:val="24"/>
          <w:lang w:val="bs-Latn-BA"/>
        </w:rPr>
        <w:t>Удружења</w:t>
      </w:r>
      <w:r w:rsidR="0010196C" w:rsidRPr="00295637">
        <w:rPr>
          <w:rFonts w:ascii="Times New Roman" w:hAnsi="Times New Roman"/>
          <w:szCs w:val="24"/>
          <w:lang w:val="bs-Latn-BA"/>
        </w:rPr>
        <w:t xml:space="preserve"> </w:t>
      </w:r>
      <w:r>
        <w:rPr>
          <w:rFonts w:ascii="Times New Roman" w:hAnsi="Times New Roman"/>
          <w:szCs w:val="24"/>
          <w:lang w:val="bs-Latn-BA"/>
        </w:rPr>
        <w:t>Мрежа</w:t>
      </w:r>
      <w:r w:rsidR="0010196C" w:rsidRPr="00295637">
        <w:rPr>
          <w:rFonts w:ascii="Times New Roman" w:hAnsi="Times New Roman"/>
          <w:szCs w:val="24"/>
          <w:lang w:val="bs-Latn-BA"/>
        </w:rPr>
        <w:t xml:space="preserve"> </w:t>
      </w:r>
      <w:r>
        <w:rPr>
          <w:rFonts w:ascii="Times New Roman" w:hAnsi="Times New Roman"/>
          <w:szCs w:val="24"/>
          <w:lang w:val="bs-Latn-BA"/>
        </w:rPr>
        <w:t>полицијских</w:t>
      </w:r>
      <w:r w:rsidR="0010196C" w:rsidRPr="00295637">
        <w:rPr>
          <w:rFonts w:ascii="Times New Roman" w:hAnsi="Times New Roman"/>
          <w:szCs w:val="24"/>
          <w:lang w:val="bs-Latn-BA"/>
        </w:rPr>
        <w:t xml:space="preserve"> </w:t>
      </w:r>
      <w:r>
        <w:rPr>
          <w:rFonts w:ascii="Times New Roman" w:hAnsi="Times New Roman"/>
          <w:szCs w:val="24"/>
          <w:lang w:val="bs-Latn-BA"/>
        </w:rPr>
        <w:t>службеница</w:t>
      </w:r>
      <w:r w:rsidR="000C7C15">
        <w:rPr>
          <w:rFonts w:ascii="Times New Roman" w:hAnsi="Times New Roman"/>
          <w:szCs w:val="24"/>
          <w:lang w:val="bs-Latn-BA"/>
        </w:rPr>
        <w:t xml:space="preserve"> </w:t>
      </w:r>
      <w:r>
        <w:rPr>
          <w:rFonts w:ascii="Times New Roman" w:hAnsi="Times New Roman"/>
          <w:szCs w:val="24"/>
          <w:lang w:val="bs-Latn-BA"/>
        </w:rPr>
        <w:t>БиХ</w:t>
      </w:r>
      <w:r w:rsidR="00050016">
        <w:rPr>
          <w:rFonts w:ascii="Times New Roman" w:hAnsi="Times New Roman"/>
          <w:szCs w:val="24"/>
          <w:lang w:val="bs-Latn-BA"/>
        </w:rPr>
        <w:t xml:space="preserve"> </w:t>
      </w:r>
      <w:r>
        <w:rPr>
          <w:rFonts w:ascii="Times New Roman" w:hAnsi="Times New Roman"/>
          <w:szCs w:val="24"/>
          <w:lang w:val="bs-Latn-BA"/>
        </w:rPr>
        <w:t>и</w:t>
      </w:r>
      <w:r w:rsidR="00050016">
        <w:rPr>
          <w:rFonts w:ascii="Times New Roman" w:hAnsi="Times New Roman"/>
          <w:szCs w:val="24"/>
          <w:lang w:val="bs-Latn-BA"/>
        </w:rPr>
        <w:t xml:space="preserve"> </w:t>
      </w:r>
      <w:r>
        <w:rPr>
          <w:rFonts w:ascii="Times New Roman" w:hAnsi="Times New Roman"/>
          <w:szCs w:val="24"/>
          <w:lang w:val="bs-Latn-BA"/>
        </w:rPr>
        <w:t>Мреже</w:t>
      </w:r>
      <w:r w:rsidR="00050016">
        <w:rPr>
          <w:rFonts w:ascii="Times New Roman" w:hAnsi="Times New Roman"/>
          <w:szCs w:val="24"/>
          <w:lang w:val="bs-Latn-BA"/>
        </w:rPr>
        <w:t xml:space="preserve"> </w:t>
      </w:r>
      <w:r>
        <w:rPr>
          <w:rFonts w:ascii="Times New Roman" w:hAnsi="Times New Roman"/>
          <w:szCs w:val="24"/>
          <w:lang w:val="bs-Latn-BA"/>
        </w:rPr>
        <w:t>жена</w:t>
      </w:r>
      <w:r w:rsidR="00050016">
        <w:rPr>
          <w:rFonts w:ascii="Times New Roman" w:hAnsi="Times New Roman"/>
          <w:szCs w:val="24"/>
          <w:lang w:val="bs-Latn-BA"/>
        </w:rPr>
        <w:t xml:space="preserve"> </w:t>
      </w:r>
      <w:r>
        <w:rPr>
          <w:rFonts w:ascii="Times New Roman" w:hAnsi="Times New Roman"/>
          <w:szCs w:val="24"/>
          <w:lang w:val="bs-Latn-BA"/>
        </w:rPr>
        <w:t>МУП</w:t>
      </w:r>
      <w:r w:rsidR="00050016">
        <w:rPr>
          <w:rFonts w:ascii="Times New Roman" w:hAnsi="Times New Roman"/>
          <w:szCs w:val="24"/>
          <w:lang w:val="bs-Latn-BA"/>
        </w:rPr>
        <w:t xml:space="preserve"> </w:t>
      </w:r>
      <w:r>
        <w:rPr>
          <w:rFonts w:ascii="Times New Roman" w:hAnsi="Times New Roman"/>
          <w:szCs w:val="24"/>
          <w:lang w:val="bs-Latn-BA"/>
        </w:rPr>
        <w:t>РС</w:t>
      </w:r>
      <w:r w:rsidR="00050016">
        <w:rPr>
          <w:rFonts w:ascii="Times New Roman" w:hAnsi="Times New Roman"/>
          <w:szCs w:val="24"/>
          <w:lang w:val="bs-Latn-BA"/>
        </w:rPr>
        <w:t>-</w:t>
      </w:r>
      <w:r w:rsidR="00650438" w:rsidRPr="00650438">
        <w:rPr>
          <w:rFonts w:ascii="Times New Roman" w:hAnsi="Times New Roman"/>
          <w:i/>
          <w:szCs w:val="24"/>
          <w:lang w:val="bs-Latn-BA"/>
        </w:rPr>
        <w:t>WPON</w:t>
      </w:r>
      <w:r w:rsidR="00050016">
        <w:rPr>
          <w:rFonts w:ascii="Times New Roman" w:hAnsi="Times New Roman"/>
          <w:szCs w:val="24"/>
          <w:lang w:val="bs-Latn-BA"/>
        </w:rPr>
        <w:t>.</w:t>
      </w:r>
      <w:r w:rsidR="000431C7" w:rsidRPr="00295637">
        <w:rPr>
          <w:rFonts w:ascii="Times New Roman" w:hAnsi="Times New Roman"/>
          <w:szCs w:val="24"/>
          <w:lang w:val="bs-Latn-BA" w:eastAsia="sr-Latn-BA"/>
        </w:rPr>
        <w:t xml:space="preserve"> </w:t>
      </w:r>
      <w:r>
        <w:rPr>
          <w:rFonts w:ascii="Times New Roman" w:hAnsi="Times New Roman"/>
          <w:szCs w:val="24"/>
          <w:lang w:val="bs-Latn-BA" w:eastAsia="sr-Latn-BA"/>
        </w:rPr>
        <w:t>Истакнут</w:t>
      </w:r>
      <w:r w:rsidR="00233097" w:rsidRPr="00295637">
        <w:rPr>
          <w:rFonts w:ascii="Times New Roman" w:hAnsi="Times New Roman"/>
          <w:szCs w:val="24"/>
          <w:lang w:val="bs-Latn-BA" w:eastAsia="sr-Latn-BA"/>
        </w:rPr>
        <w:t xml:space="preserve"> </w:t>
      </w:r>
      <w:r>
        <w:rPr>
          <w:rFonts w:ascii="Times New Roman" w:hAnsi="Times New Roman"/>
          <w:szCs w:val="24"/>
          <w:lang w:val="bs-Latn-BA" w:eastAsia="sr-Latn-BA"/>
        </w:rPr>
        <w:t>је</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значај</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међусобне</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сарадње</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мрежа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полицијских</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службеница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као</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и</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између</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мрежа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и</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институционалних</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механизама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за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равноправност</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полова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у</w:t>
      </w:r>
      <w:r w:rsidR="005F0394" w:rsidRPr="00295637">
        <w:rPr>
          <w:rFonts w:ascii="Times New Roman" w:hAnsi="Times New Roman"/>
          <w:szCs w:val="24"/>
          <w:lang w:val="bs-Latn-BA" w:eastAsia="sr-Latn-BA"/>
        </w:rPr>
        <w:t xml:space="preserve"> </w:t>
      </w:r>
      <w:r>
        <w:rPr>
          <w:rFonts w:ascii="Times New Roman" w:hAnsi="Times New Roman"/>
          <w:szCs w:val="24"/>
          <w:lang w:val="bs-Latn-BA" w:eastAsia="sr-Latn-BA"/>
        </w:rPr>
        <w:t>БиХ</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у</w:t>
      </w:r>
      <w:r w:rsidR="000C7C15">
        <w:rPr>
          <w:rFonts w:ascii="Times New Roman" w:hAnsi="Times New Roman"/>
          <w:szCs w:val="24"/>
          <w:lang w:val="bs-Latn-BA" w:eastAsia="sr-Latn-BA"/>
        </w:rPr>
        <w:t xml:space="preserve"> </w:t>
      </w:r>
      <w:r>
        <w:rPr>
          <w:rFonts w:ascii="Times New Roman" w:hAnsi="Times New Roman"/>
          <w:szCs w:val="24"/>
          <w:lang w:val="bs-Latn-BA" w:eastAsia="sr-Latn-BA"/>
        </w:rPr>
        <w:t>раду</w:t>
      </w:r>
      <w:r w:rsidR="000C7C15">
        <w:rPr>
          <w:rFonts w:ascii="Times New Roman" w:hAnsi="Times New Roman"/>
          <w:szCs w:val="24"/>
          <w:lang w:val="bs-Latn-BA" w:eastAsia="sr-Latn-BA"/>
        </w:rPr>
        <w:t xml:space="preserve"> </w:t>
      </w:r>
      <w:r>
        <w:rPr>
          <w:rFonts w:ascii="Times New Roman" w:hAnsi="Times New Roman"/>
          <w:szCs w:val="24"/>
          <w:lang w:val="bs-Latn-BA" w:eastAsia="sr-Latn-BA"/>
        </w:rPr>
        <w:t>на</w:t>
      </w:r>
      <w:r w:rsidR="000C7C15">
        <w:rPr>
          <w:rFonts w:ascii="Times New Roman" w:hAnsi="Times New Roman"/>
          <w:szCs w:val="24"/>
          <w:lang w:val="bs-Latn-BA" w:eastAsia="sr-Latn-BA"/>
        </w:rPr>
        <w:t xml:space="preserve"> </w:t>
      </w:r>
      <w:r>
        <w:rPr>
          <w:rFonts w:ascii="Times New Roman" w:hAnsi="Times New Roman"/>
          <w:szCs w:val="24"/>
          <w:lang w:val="bs-Latn-BA" w:eastAsia="sr-Latn-BA"/>
        </w:rPr>
        <w:t>важним</w:t>
      </w:r>
      <w:r w:rsidR="000C7C15">
        <w:rPr>
          <w:rFonts w:ascii="Times New Roman" w:hAnsi="Times New Roman"/>
          <w:szCs w:val="24"/>
          <w:lang w:val="bs-Latn-BA" w:eastAsia="sr-Latn-BA"/>
        </w:rPr>
        <w:t xml:space="preserve"> </w:t>
      </w:r>
      <w:r>
        <w:rPr>
          <w:rFonts w:ascii="Times New Roman" w:hAnsi="Times New Roman"/>
          <w:szCs w:val="24"/>
          <w:lang w:val="bs-Latn-BA" w:eastAsia="sr-Latn-BA"/>
        </w:rPr>
        <w:t>питањима</w:t>
      </w:r>
      <w:r w:rsidR="000C7C15">
        <w:rPr>
          <w:rFonts w:ascii="Times New Roman" w:hAnsi="Times New Roman"/>
          <w:szCs w:val="24"/>
          <w:lang w:val="bs-Latn-BA" w:eastAsia="sr-Latn-BA"/>
        </w:rPr>
        <w:t xml:space="preserve"> </w:t>
      </w:r>
      <w:r>
        <w:rPr>
          <w:rFonts w:ascii="Times New Roman" w:hAnsi="Times New Roman"/>
          <w:szCs w:val="24"/>
          <w:lang w:val="bs-Latn-BA" w:eastAsia="sr-Latn-BA"/>
        </w:rPr>
        <w:t>унапређења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положаја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полицијских</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службеница</w:t>
      </w:r>
      <w:r w:rsidR="0010196C" w:rsidRPr="00295637">
        <w:rPr>
          <w:rFonts w:ascii="Times New Roman" w:hAnsi="Times New Roman"/>
          <w:szCs w:val="24"/>
          <w:lang w:val="bs-Latn-BA" w:eastAsia="sr-Latn-BA"/>
        </w:rPr>
        <w:t>.</w:t>
      </w:r>
      <w:r w:rsidR="000431C7" w:rsidRPr="00295637">
        <w:rPr>
          <w:rFonts w:ascii="Times New Roman" w:hAnsi="Times New Roman"/>
          <w:szCs w:val="24"/>
          <w:lang w:val="bs-Latn-BA" w:eastAsia="sr-Latn-BA"/>
        </w:rPr>
        <w:t xml:space="preserve"> </w:t>
      </w:r>
      <w:r>
        <w:rPr>
          <w:rFonts w:ascii="Times New Roman" w:hAnsi="Times New Roman"/>
          <w:szCs w:val="24"/>
          <w:lang w:val="bs-Latn-BA" w:eastAsia="sr-Latn-BA"/>
        </w:rPr>
        <w:t>Представнице</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мрежа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су</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презент</w:t>
      </w:r>
      <w:r w:rsidR="00650438">
        <w:rPr>
          <w:rFonts w:ascii="Times New Roman" w:hAnsi="Times New Roman"/>
          <w:szCs w:val="24"/>
          <w:lang w:val="sr-Cyrl-BA" w:eastAsia="sr-Latn-BA"/>
        </w:rPr>
        <w:t>овале</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тренутну</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ситуацију</w:t>
      </w:r>
      <w:r w:rsidR="00233097" w:rsidRPr="00295637">
        <w:rPr>
          <w:rFonts w:ascii="Times New Roman" w:hAnsi="Times New Roman"/>
          <w:szCs w:val="24"/>
          <w:lang w:val="bs-Latn-BA" w:eastAsia="sr-Latn-BA"/>
        </w:rPr>
        <w:t xml:space="preserve"> </w:t>
      </w:r>
      <w:r>
        <w:rPr>
          <w:rFonts w:ascii="Times New Roman" w:hAnsi="Times New Roman"/>
          <w:szCs w:val="24"/>
          <w:lang w:val="bs-Latn-BA" w:eastAsia="sr-Latn-BA"/>
        </w:rPr>
        <w:t>о</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заступљености</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и</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положају</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полицијских</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службеница</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те</w:t>
      </w:r>
      <w:r w:rsidR="00233097" w:rsidRPr="00295637">
        <w:rPr>
          <w:rFonts w:ascii="Times New Roman" w:hAnsi="Times New Roman"/>
          <w:szCs w:val="24"/>
          <w:lang w:val="bs-Latn-BA" w:eastAsia="sr-Latn-BA"/>
        </w:rPr>
        <w:t xml:space="preserve"> </w:t>
      </w:r>
      <w:r>
        <w:rPr>
          <w:rFonts w:ascii="Times New Roman" w:hAnsi="Times New Roman"/>
          <w:szCs w:val="24"/>
          <w:lang w:val="bs-Latn-BA" w:eastAsia="sr-Latn-BA"/>
        </w:rPr>
        <w:t>представиле</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активности</w:t>
      </w:r>
      <w:r w:rsidR="0010196C" w:rsidRPr="00295637">
        <w:rPr>
          <w:rFonts w:ascii="Times New Roman" w:hAnsi="Times New Roman"/>
          <w:szCs w:val="24"/>
          <w:lang w:val="bs-Latn-BA" w:eastAsia="sr-Latn-BA"/>
        </w:rPr>
        <w:t xml:space="preserve"> </w:t>
      </w:r>
      <w:r>
        <w:rPr>
          <w:rFonts w:ascii="Times New Roman" w:hAnsi="Times New Roman"/>
          <w:szCs w:val="24"/>
          <w:lang w:val="bs-Latn-BA" w:eastAsia="sr-Latn-BA"/>
        </w:rPr>
        <w:t>мрежа</w:t>
      </w:r>
      <w:r w:rsidR="00233097" w:rsidRPr="00295637">
        <w:rPr>
          <w:rFonts w:ascii="Times New Roman" w:hAnsi="Times New Roman"/>
          <w:szCs w:val="24"/>
          <w:lang w:val="bs-Latn-BA" w:eastAsia="sr-Latn-BA"/>
        </w:rPr>
        <w:t>.</w:t>
      </w:r>
      <w:r w:rsidR="00472E21" w:rsidRPr="00295637">
        <w:rPr>
          <w:rFonts w:ascii="Times New Roman" w:hAnsi="Times New Roman"/>
          <w:szCs w:val="24"/>
          <w:lang w:val="bs-Latn-BA" w:eastAsia="sr-Latn-BA"/>
        </w:rPr>
        <w:t xml:space="preserve"> </w:t>
      </w:r>
    </w:p>
    <w:p w:rsidR="007C7E83" w:rsidRPr="00295637" w:rsidRDefault="007C7E83" w:rsidP="0086268D">
      <w:pPr>
        <w:ind w:right="14"/>
      </w:pPr>
    </w:p>
    <w:p w:rsidR="00837ED5" w:rsidRPr="00295637" w:rsidRDefault="00C6214E" w:rsidP="0086268D">
      <w:pPr>
        <w:ind w:right="14"/>
        <w:jc w:val="both"/>
        <w:rPr>
          <w:rFonts w:ascii="Times New Roman" w:hAnsi="Times New Roman"/>
        </w:rPr>
      </w:pPr>
      <w:r>
        <w:rPr>
          <w:rFonts w:ascii="Times New Roman" w:hAnsi="Times New Roman"/>
        </w:rPr>
        <w:t>У</w:t>
      </w:r>
      <w:r w:rsidR="00837ED5" w:rsidRPr="00295637">
        <w:rPr>
          <w:rFonts w:ascii="Times New Roman" w:hAnsi="Times New Roman"/>
        </w:rPr>
        <w:t xml:space="preserve"> </w:t>
      </w:r>
      <w:r>
        <w:rPr>
          <w:rFonts w:ascii="Times New Roman" w:hAnsi="Times New Roman"/>
        </w:rPr>
        <w:t>децембру</w:t>
      </w:r>
      <w:r w:rsidR="00837ED5" w:rsidRPr="00295637">
        <w:rPr>
          <w:rFonts w:ascii="Times New Roman" w:hAnsi="Times New Roman"/>
        </w:rPr>
        <w:t xml:space="preserve"> 2024. </w:t>
      </w:r>
      <w:r>
        <w:rPr>
          <w:rFonts w:ascii="Times New Roman" w:hAnsi="Times New Roman"/>
        </w:rPr>
        <w:t>године</w:t>
      </w:r>
      <w:r w:rsidR="00837ED5" w:rsidRPr="00295637">
        <w:rPr>
          <w:rFonts w:ascii="Times New Roman" w:hAnsi="Times New Roman"/>
        </w:rPr>
        <w:t xml:space="preserve"> </w:t>
      </w:r>
      <w:r>
        <w:rPr>
          <w:rFonts w:ascii="Times New Roman" w:hAnsi="Times New Roman"/>
        </w:rPr>
        <w:t>АР</w:t>
      </w:r>
      <w:r w:rsidR="00650438">
        <w:rPr>
          <w:rFonts w:ascii="Times New Roman" w:hAnsi="Times New Roman"/>
          <w:lang w:val="sr-Cyrl-BA"/>
        </w:rPr>
        <w:t>П</w:t>
      </w:r>
      <w:r w:rsidR="000C7C15">
        <w:rPr>
          <w:rFonts w:ascii="Times New Roman" w:hAnsi="Times New Roman"/>
        </w:rPr>
        <w:t xml:space="preserve"> </w:t>
      </w:r>
      <w:r>
        <w:rPr>
          <w:rFonts w:ascii="Times New Roman" w:hAnsi="Times New Roman"/>
        </w:rPr>
        <w:t>БиХ</w:t>
      </w:r>
      <w:r w:rsidR="000C7C15">
        <w:rPr>
          <w:rFonts w:ascii="Times New Roman" w:hAnsi="Times New Roman"/>
        </w:rPr>
        <w:t xml:space="preserve"> </w:t>
      </w:r>
      <w:r>
        <w:rPr>
          <w:rFonts w:ascii="Times New Roman" w:hAnsi="Times New Roman"/>
        </w:rPr>
        <w:t>МЉПИ</w:t>
      </w:r>
      <w:r w:rsidR="000C7C15">
        <w:rPr>
          <w:rFonts w:ascii="Times New Roman" w:hAnsi="Times New Roman"/>
        </w:rPr>
        <w:t xml:space="preserve"> </w:t>
      </w:r>
      <w:r>
        <w:rPr>
          <w:rFonts w:ascii="Times New Roman" w:hAnsi="Times New Roman"/>
        </w:rPr>
        <w:t>БиХ</w:t>
      </w:r>
      <w:r w:rsidR="00163040">
        <w:rPr>
          <w:rFonts w:ascii="Times New Roman" w:hAnsi="Times New Roman"/>
        </w:rPr>
        <w:t xml:space="preserve"> </w:t>
      </w:r>
      <w:r w:rsidR="00650438">
        <w:rPr>
          <w:rFonts w:ascii="Times New Roman" w:hAnsi="Times New Roman"/>
        </w:rPr>
        <w:t xml:space="preserve">је </w:t>
      </w:r>
      <w:r>
        <w:rPr>
          <w:rFonts w:ascii="Times New Roman" w:hAnsi="Times New Roman"/>
        </w:rPr>
        <w:t>учествовала</w:t>
      </w:r>
      <w:r w:rsidR="000C7C15">
        <w:rPr>
          <w:rFonts w:ascii="Times New Roman" w:hAnsi="Times New Roman"/>
        </w:rPr>
        <w:t xml:space="preserve"> </w:t>
      </w:r>
      <w:r>
        <w:rPr>
          <w:rFonts w:ascii="Times New Roman" w:hAnsi="Times New Roman"/>
        </w:rPr>
        <w:t>у</w:t>
      </w:r>
      <w:r w:rsidR="00837ED5" w:rsidRPr="00295637">
        <w:rPr>
          <w:rFonts w:ascii="Times New Roman" w:hAnsi="Times New Roman"/>
        </w:rPr>
        <w:t xml:space="preserve"> </w:t>
      </w:r>
      <w:r>
        <w:rPr>
          <w:rFonts w:ascii="Times New Roman" w:hAnsi="Times New Roman"/>
        </w:rPr>
        <w:t>реализацији</w:t>
      </w:r>
      <w:r w:rsidR="00C11BD5" w:rsidRPr="00295637">
        <w:rPr>
          <w:rFonts w:ascii="Times New Roman" w:hAnsi="Times New Roman"/>
        </w:rPr>
        <w:t xml:space="preserve"> </w:t>
      </w:r>
      <w:r>
        <w:rPr>
          <w:rFonts w:ascii="Times New Roman" w:hAnsi="Times New Roman"/>
        </w:rPr>
        <w:t>обуке</w:t>
      </w:r>
      <w:r w:rsidR="00C11BD5" w:rsidRPr="00295637">
        <w:rPr>
          <w:rFonts w:ascii="Times New Roman" w:hAnsi="Times New Roman"/>
        </w:rPr>
        <w:t xml:space="preserve"> </w:t>
      </w:r>
      <w:r w:rsidR="00837ED5" w:rsidRPr="00295637">
        <w:rPr>
          <w:rFonts w:ascii="Times New Roman" w:hAnsi="Times New Roman"/>
        </w:rPr>
        <w:t>„</w:t>
      </w:r>
      <w:r>
        <w:rPr>
          <w:rFonts w:ascii="Times New Roman" w:hAnsi="Times New Roman"/>
        </w:rPr>
        <w:t>Интегри</w:t>
      </w:r>
      <w:r w:rsidR="00650438">
        <w:rPr>
          <w:rFonts w:ascii="Times New Roman" w:hAnsi="Times New Roman"/>
          <w:lang w:val="sr-Cyrl-BA"/>
        </w:rPr>
        <w:t>с</w:t>
      </w:r>
      <w:r>
        <w:rPr>
          <w:rFonts w:ascii="Times New Roman" w:hAnsi="Times New Roman"/>
        </w:rPr>
        <w:t>ање</w:t>
      </w:r>
      <w:r w:rsidR="00837ED5" w:rsidRPr="00295637">
        <w:rPr>
          <w:rFonts w:ascii="Times New Roman" w:hAnsi="Times New Roman"/>
        </w:rPr>
        <w:t xml:space="preserve"> </w:t>
      </w:r>
      <w:r>
        <w:rPr>
          <w:rFonts w:ascii="Times New Roman" w:hAnsi="Times New Roman"/>
        </w:rPr>
        <w:t>перспективе</w:t>
      </w:r>
      <w:r w:rsidR="00837ED5" w:rsidRPr="00295637">
        <w:rPr>
          <w:rFonts w:ascii="Times New Roman" w:hAnsi="Times New Roman"/>
        </w:rPr>
        <w:t xml:space="preserve"> </w:t>
      </w:r>
      <w:r>
        <w:rPr>
          <w:rFonts w:ascii="Times New Roman" w:hAnsi="Times New Roman"/>
        </w:rPr>
        <w:t>родне</w:t>
      </w:r>
      <w:r w:rsidR="00837ED5" w:rsidRPr="00295637">
        <w:rPr>
          <w:rFonts w:ascii="Times New Roman" w:hAnsi="Times New Roman"/>
        </w:rPr>
        <w:t xml:space="preserve"> </w:t>
      </w:r>
      <w:r>
        <w:rPr>
          <w:rFonts w:ascii="Times New Roman" w:hAnsi="Times New Roman"/>
        </w:rPr>
        <w:t>равноправности</w:t>
      </w:r>
      <w:r w:rsidR="00837ED5" w:rsidRPr="00295637">
        <w:rPr>
          <w:rFonts w:ascii="Times New Roman" w:hAnsi="Times New Roman"/>
        </w:rPr>
        <w:t xml:space="preserve"> </w:t>
      </w:r>
      <w:r>
        <w:rPr>
          <w:rFonts w:ascii="Times New Roman" w:hAnsi="Times New Roman"/>
        </w:rPr>
        <w:t>у</w:t>
      </w:r>
      <w:r w:rsidR="00837ED5" w:rsidRPr="00295637">
        <w:rPr>
          <w:rFonts w:ascii="Times New Roman" w:hAnsi="Times New Roman"/>
        </w:rPr>
        <w:t xml:space="preserve"> </w:t>
      </w:r>
      <w:r>
        <w:rPr>
          <w:rFonts w:ascii="Times New Roman" w:hAnsi="Times New Roman"/>
        </w:rPr>
        <w:t>сектор</w:t>
      </w:r>
      <w:r w:rsidR="00837ED5" w:rsidRPr="00295637">
        <w:rPr>
          <w:rFonts w:ascii="Times New Roman" w:hAnsi="Times New Roman"/>
        </w:rPr>
        <w:t xml:space="preserve"> </w:t>
      </w:r>
      <w:r w:rsidR="00650438">
        <w:rPr>
          <w:rFonts w:ascii="Times New Roman" w:hAnsi="Times New Roman"/>
          <w:lang w:val="sr-Cyrl-BA"/>
        </w:rPr>
        <w:t>безбједности</w:t>
      </w:r>
      <w:r w:rsidR="00837ED5" w:rsidRPr="00295637">
        <w:rPr>
          <w:rFonts w:ascii="Times New Roman" w:hAnsi="Times New Roman"/>
        </w:rPr>
        <w:t xml:space="preserve"> </w:t>
      </w:r>
      <w:r>
        <w:rPr>
          <w:rFonts w:ascii="Times New Roman" w:hAnsi="Times New Roman"/>
        </w:rPr>
        <w:t>у</w:t>
      </w:r>
      <w:r w:rsidR="009E54A2" w:rsidRPr="00295637">
        <w:rPr>
          <w:rFonts w:ascii="Times New Roman" w:hAnsi="Times New Roman"/>
        </w:rPr>
        <w:t xml:space="preserve"> </w:t>
      </w:r>
      <w:r>
        <w:rPr>
          <w:rFonts w:ascii="Times New Roman" w:hAnsi="Times New Roman"/>
        </w:rPr>
        <w:t>БиХ</w:t>
      </w:r>
      <w:r w:rsidR="00837ED5" w:rsidRPr="00295637">
        <w:rPr>
          <w:rFonts w:ascii="Times New Roman" w:hAnsi="Times New Roman"/>
        </w:rPr>
        <w:t xml:space="preserve">“, </w:t>
      </w:r>
      <w:r>
        <w:rPr>
          <w:rFonts w:ascii="Times New Roman" w:hAnsi="Times New Roman"/>
        </w:rPr>
        <w:t>у</w:t>
      </w:r>
      <w:r w:rsidR="00837ED5" w:rsidRPr="00295637">
        <w:rPr>
          <w:rFonts w:ascii="Times New Roman" w:hAnsi="Times New Roman"/>
        </w:rPr>
        <w:t xml:space="preserve"> </w:t>
      </w:r>
      <w:r>
        <w:rPr>
          <w:rFonts w:ascii="Times New Roman" w:hAnsi="Times New Roman"/>
        </w:rPr>
        <w:t>оквиру</w:t>
      </w:r>
      <w:r w:rsidR="00837ED5" w:rsidRPr="00295637">
        <w:rPr>
          <w:rFonts w:ascii="Times New Roman" w:hAnsi="Times New Roman"/>
        </w:rPr>
        <w:t xml:space="preserve"> </w:t>
      </w:r>
      <w:r>
        <w:rPr>
          <w:rFonts w:ascii="Times New Roman" w:hAnsi="Times New Roman"/>
        </w:rPr>
        <w:t>Центра</w:t>
      </w:r>
      <w:r w:rsidR="006E5609" w:rsidRPr="00295637">
        <w:rPr>
          <w:rFonts w:ascii="Times New Roman" w:hAnsi="Times New Roman"/>
        </w:rPr>
        <w:t xml:space="preserve"> </w:t>
      </w:r>
      <w:r>
        <w:rPr>
          <w:rFonts w:ascii="Times New Roman" w:hAnsi="Times New Roman"/>
        </w:rPr>
        <w:t>за</w:t>
      </w:r>
      <w:r w:rsidR="006E5609" w:rsidRPr="00295637">
        <w:rPr>
          <w:rFonts w:ascii="Times New Roman" w:hAnsi="Times New Roman"/>
        </w:rPr>
        <w:t xml:space="preserve"> </w:t>
      </w:r>
      <w:r w:rsidR="00650438">
        <w:rPr>
          <w:rFonts w:ascii="Times New Roman" w:hAnsi="Times New Roman"/>
          <w:lang w:val="sr-Cyrl-BA"/>
        </w:rPr>
        <w:t>безбједносне</w:t>
      </w:r>
      <w:r w:rsidR="006E5609" w:rsidRPr="00295637">
        <w:rPr>
          <w:rFonts w:ascii="Times New Roman" w:hAnsi="Times New Roman"/>
        </w:rPr>
        <w:t xml:space="preserve"> </w:t>
      </w:r>
      <w:r>
        <w:rPr>
          <w:rFonts w:ascii="Times New Roman" w:hAnsi="Times New Roman"/>
        </w:rPr>
        <w:t>студије</w:t>
      </w:r>
      <w:r w:rsidR="00050016">
        <w:rPr>
          <w:rFonts w:ascii="Times New Roman" w:hAnsi="Times New Roman"/>
        </w:rPr>
        <w:t xml:space="preserve"> </w:t>
      </w:r>
      <w:r>
        <w:rPr>
          <w:rFonts w:ascii="Times New Roman" w:hAnsi="Times New Roman"/>
        </w:rPr>
        <w:t>БиХ</w:t>
      </w:r>
      <w:r w:rsidR="006E5609" w:rsidRPr="00295637">
        <w:rPr>
          <w:rFonts w:ascii="Times New Roman" w:hAnsi="Times New Roman"/>
        </w:rPr>
        <w:t xml:space="preserve"> </w:t>
      </w:r>
      <w:r>
        <w:rPr>
          <w:rFonts w:ascii="Times New Roman" w:hAnsi="Times New Roman"/>
        </w:rPr>
        <w:t>Универзитета</w:t>
      </w:r>
      <w:r w:rsidR="006E5609" w:rsidRPr="00295637">
        <w:rPr>
          <w:rFonts w:ascii="Times New Roman" w:hAnsi="Times New Roman"/>
        </w:rPr>
        <w:t xml:space="preserve"> </w:t>
      </w:r>
      <w:r>
        <w:rPr>
          <w:rFonts w:ascii="Times New Roman" w:hAnsi="Times New Roman"/>
        </w:rPr>
        <w:t>у</w:t>
      </w:r>
      <w:r w:rsidR="006E5609" w:rsidRPr="00295637">
        <w:rPr>
          <w:rFonts w:ascii="Times New Roman" w:hAnsi="Times New Roman"/>
        </w:rPr>
        <w:t xml:space="preserve"> </w:t>
      </w:r>
      <w:r>
        <w:rPr>
          <w:rFonts w:ascii="Times New Roman" w:hAnsi="Times New Roman"/>
        </w:rPr>
        <w:t>Сарајеву</w:t>
      </w:r>
      <w:r w:rsidR="006E5609" w:rsidRPr="00295637">
        <w:rPr>
          <w:rFonts w:ascii="Times New Roman" w:hAnsi="Times New Roman"/>
        </w:rPr>
        <w:t>.</w:t>
      </w:r>
    </w:p>
    <w:p w:rsidR="00837ED5" w:rsidRPr="00295637" w:rsidRDefault="00837ED5" w:rsidP="0086268D">
      <w:pPr>
        <w:ind w:right="14"/>
        <w:jc w:val="both"/>
        <w:rPr>
          <w:rFonts w:ascii="Times New Roman" w:hAnsi="Times New Roman"/>
        </w:rPr>
      </w:pPr>
    </w:p>
    <w:p w:rsidR="00235D0F" w:rsidRPr="00295637" w:rsidRDefault="00C6214E" w:rsidP="0086268D">
      <w:pPr>
        <w:ind w:right="14"/>
        <w:jc w:val="both"/>
        <w:rPr>
          <w:rFonts w:ascii="Times New Roman" w:hAnsi="Times New Roman"/>
          <w:szCs w:val="24"/>
          <w:lang w:eastAsia="hr-HR"/>
        </w:rPr>
      </w:pPr>
      <w:r>
        <w:rPr>
          <w:rFonts w:ascii="Times New Roman" w:hAnsi="Times New Roman"/>
          <w:szCs w:val="24"/>
          <w:lang w:eastAsia="hr-HR"/>
        </w:rPr>
        <w:t>Активности</w:t>
      </w:r>
      <w:r w:rsidR="00837ED5" w:rsidRPr="00295637">
        <w:rPr>
          <w:rFonts w:ascii="Times New Roman" w:hAnsi="Times New Roman"/>
          <w:szCs w:val="24"/>
          <w:lang w:eastAsia="hr-HR"/>
        </w:rPr>
        <w:t xml:space="preserve"> </w:t>
      </w:r>
      <w:r>
        <w:rPr>
          <w:rFonts w:ascii="Times New Roman" w:hAnsi="Times New Roman"/>
          <w:szCs w:val="24"/>
          <w:lang w:eastAsia="hr-HR"/>
        </w:rPr>
        <w:t>усмјерене</w:t>
      </w:r>
      <w:r w:rsidR="00837ED5" w:rsidRPr="00295637">
        <w:rPr>
          <w:rFonts w:ascii="Times New Roman" w:hAnsi="Times New Roman"/>
          <w:szCs w:val="24"/>
          <w:lang w:eastAsia="hr-HR"/>
        </w:rPr>
        <w:t xml:space="preserve"> </w:t>
      </w:r>
      <w:r>
        <w:rPr>
          <w:rFonts w:ascii="Times New Roman" w:hAnsi="Times New Roman"/>
          <w:szCs w:val="24"/>
          <w:lang w:eastAsia="hr-HR"/>
        </w:rPr>
        <w:t>на</w:t>
      </w:r>
      <w:r w:rsidR="00837ED5" w:rsidRPr="00295637">
        <w:rPr>
          <w:rFonts w:ascii="Times New Roman" w:hAnsi="Times New Roman"/>
          <w:szCs w:val="24"/>
          <w:lang w:eastAsia="hr-HR"/>
        </w:rPr>
        <w:t xml:space="preserve"> </w:t>
      </w:r>
      <w:r>
        <w:rPr>
          <w:rFonts w:ascii="Times New Roman" w:hAnsi="Times New Roman"/>
          <w:szCs w:val="24"/>
          <w:lang w:eastAsia="hr-HR"/>
        </w:rPr>
        <w:t>промоцију</w:t>
      </w:r>
      <w:r w:rsidR="00837ED5" w:rsidRPr="00295637">
        <w:rPr>
          <w:rFonts w:ascii="Times New Roman" w:hAnsi="Times New Roman"/>
          <w:szCs w:val="24"/>
          <w:lang w:eastAsia="hr-HR"/>
        </w:rPr>
        <w:t xml:space="preserve"> </w:t>
      </w:r>
      <w:r>
        <w:rPr>
          <w:rFonts w:ascii="Times New Roman" w:hAnsi="Times New Roman"/>
          <w:szCs w:val="24"/>
          <w:lang w:eastAsia="hr-HR"/>
        </w:rPr>
        <w:t>послова</w:t>
      </w:r>
      <w:r w:rsidR="00837ED5" w:rsidRPr="00295637">
        <w:rPr>
          <w:rFonts w:ascii="Times New Roman" w:hAnsi="Times New Roman"/>
          <w:szCs w:val="24"/>
          <w:lang w:eastAsia="hr-HR"/>
        </w:rPr>
        <w:t xml:space="preserve"> </w:t>
      </w:r>
      <w:r>
        <w:rPr>
          <w:rFonts w:ascii="Times New Roman" w:hAnsi="Times New Roman"/>
          <w:szCs w:val="24"/>
          <w:lang w:eastAsia="hr-HR"/>
        </w:rPr>
        <w:t>у</w:t>
      </w:r>
      <w:r w:rsidR="00837ED5" w:rsidRPr="00295637">
        <w:rPr>
          <w:rFonts w:ascii="Times New Roman" w:hAnsi="Times New Roman"/>
          <w:szCs w:val="24"/>
          <w:lang w:eastAsia="hr-HR"/>
        </w:rPr>
        <w:t xml:space="preserve"> </w:t>
      </w:r>
      <w:r w:rsidR="00650438">
        <w:rPr>
          <w:rFonts w:ascii="Times New Roman" w:hAnsi="Times New Roman"/>
          <w:szCs w:val="24"/>
          <w:lang w:val="sr-Cyrl-BA" w:eastAsia="hr-HR"/>
        </w:rPr>
        <w:t>безбједносном</w:t>
      </w:r>
      <w:r w:rsidR="00837ED5" w:rsidRPr="00295637">
        <w:rPr>
          <w:rFonts w:ascii="Times New Roman" w:hAnsi="Times New Roman"/>
          <w:szCs w:val="24"/>
          <w:lang w:eastAsia="hr-HR"/>
        </w:rPr>
        <w:t xml:space="preserve"> </w:t>
      </w:r>
      <w:r>
        <w:rPr>
          <w:rFonts w:ascii="Times New Roman" w:hAnsi="Times New Roman"/>
          <w:szCs w:val="24"/>
          <w:lang w:eastAsia="hr-HR"/>
        </w:rPr>
        <w:t>сектору</w:t>
      </w:r>
      <w:r w:rsidR="00837ED5" w:rsidRPr="00295637">
        <w:rPr>
          <w:rFonts w:ascii="Times New Roman" w:hAnsi="Times New Roman"/>
          <w:szCs w:val="24"/>
          <w:lang w:eastAsia="hr-HR"/>
        </w:rPr>
        <w:t xml:space="preserve"> </w:t>
      </w:r>
      <w:r>
        <w:rPr>
          <w:rFonts w:ascii="Times New Roman" w:hAnsi="Times New Roman"/>
          <w:szCs w:val="24"/>
          <w:lang w:eastAsia="hr-HR"/>
        </w:rPr>
        <w:t>укључивале</w:t>
      </w:r>
      <w:r w:rsidR="00837ED5" w:rsidRPr="00295637">
        <w:rPr>
          <w:rFonts w:ascii="Times New Roman" w:hAnsi="Times New Roman"/>
          <w:szCs w:val="24"/>
          <w:lang w:eastAsia="hr-HR"/>
        </w:rPr>
        <w:t xml:space="preserve"> </w:t>
      </w:r>
      <w:r>
        <w:rPr>
          <w:rFonts w:ascii="Times New Roman" w:hAnsi="Times New Roman"/>
          <w:szCs w:val="24"/>
          <w:lang w:eastAsia="hr-HR"/>
        </w:rPr>
        <w:t>су</w:t>
      </w:r>
      <w:r w:rsidR="00837ED5" w:rsidRPr="00295637">
        <w:rPr>
          <w:rFonts w:ascii="Times New Roman" w:hAnsi="Times New Roman"/>
          <w:szCs w:val="24"/>
          <w:lang w:eastAsia="hr-HR"/>
        </w:rPr>
        <w:t xml:space="preserve"> </w:t>
      </w:r>
      <w:r>
        <w:rPr>
          <w:rFonts w:ascii="Times New Roman" w:hAnsi="Times New Roman"/>
          <w:szCs w:val="24"/>
          <w:lang w:eastAsia="hr-HR"/>
        </w:rPr>
        <w:t>инцијативе</w:t>
      </w:r>
      <w:r w:rsidR="00837ED5" w:rsidRPr="00295637">
        <w:rPr>
          <w:rFonts w:ascii="Times New Roman" w:hAnsi="Times New Roman"/>
          <w:szCs w:val="24"/>
          <w:lang w:eastAsia="hr-HR"/>
        </w:rPr>
        <w:t xml:space="preserve"> </w:t>
      </w:r>
      <w:r>
        <w:rPr>
          <w:rFonts w:ascii="Times New Roman" w:hAnsi="Times New Roman"/>
          <w:szCs w:val="24"/>
          <w:lang w:eastAsia="hr-HR"/>
        </w:rPr>
        <w:t>за</w:t>
      </w:r>
      <w:r w:rsidR="00837ED5" w:rsidRPr="00295637">
        <w:rPr>
          <w:rFonts w:ascii="Times New Roman" w:hAnsi="Times New Roman"/>
          <w:szCs w:val="24"/>
          <w:lang w:eastAsia="hr-HR"/>
        </w:rPr>
        <w:t xml:space="preserve"> </w:t>
      </w:r>
      <w:r>
        <w:rPr>
          <w:rFonts w:ascii="Times New Roman" w:hAnsi="Times New Roman"/>
          <w:szCs w:val="24"/>
          <w:lang w:eastAsia="hr-HR"/>
        </w:rPr>
        <w:t>јачање</w:t>
      </w:r>
      <w:r w:rsidR="00837ED5" w:rsidRPr="00295637">
        <w:rPr>
          <w:rFonts w:ascii="Times New Roman" w:hAnsi="Times New Roman"/>
          <w:szCs w:val="24"/>
          <w:lang w:eastAsia="hr-HR"/>
        </w:rPr>
        <w:t xml:space="preserve"> </w:t>
      </w:r>
      <w:r>
        <w:rPr>
          <w:rFonts w:ascii="Times New Roman" w:hAnsi="Times New Roman"/>
          <w:szCs w:val="24"/>
          <w:lang w:eastAsia="hr-HR"/>
        </w:rPr>
        <w:t>сарадње</w:t>
      </w:r>
      <w:r w:rsidR="000C7C15">
        <w:rPr>
          <w:rFonts w:ascii="Times New Roman" w:hAnsi="Times New Roman"/>
          <w:szCs w:val="24"/>
          <w:lang w:eastAsia="hr-HR"/>
        </w:rPr>
        <w:t xml:space="preserve"> </w:t>
      </w:r>
      <w:r>
        <w:rPr>
          <w:rFonts w:ascii="Times New Roman" w:hAnsi="Times New Roman"/>
          <w:szCs w:val="24"/>
          <w:lang w:eastAsia="hr-HR"/>
        </w:rPr>
        <w:t>са</w:t>
      </w:r>
      <w:r w:rsidR="00837ED5" w:rsidRPr="00295637">
        <w:rPr>
          <w:rFonts w:ascii="Times New Roman" w:hAnsi="Times New Roman"/>
          <w:szCs w:val="24"/>
          <w:lang w:eastAsia="hr-HR"/>
        </w:rPr>
        <w:t xml:space="preserve"> </w:t>
      </w:r>
      <w:r>
        <w:rPr>
          <w:rFonts w:ascii="Times New Roman" w:hAnsi="Times New Roman"/>
          <w:szCs w:val="24"/>
          <w:lang w:eastAsia="hr-HR"/>
        </w:rPr>
        <w:t>образовним</w:t>
      </w:r>
      <w:r w:rsidR="00837ED5" w:rsidRPr="00295637">
        <w:rPr>
          <w:rFonts w:ascii="Times New Roman" w:hAnsi="Times New Roman"/>
          <w:szCs w:val="24"/>
          <w:lang w:eastAsia="hr-HR"/>
        </w:rPr>
        <w:t xml:space="preserve"> </w:t>
      </w:r>
      <w:r>
        <w:rPr>
          <w:rFonts w:ascii="Times New Roman" w:hAnsi="Times New Roman"/>
          <w:szCs w:val="24"/>
          <w:lang w:eastAsia="hr-HR"/>
        </w:rPr>
        <w:t>институцијама</w:t>
      </w:r>
      <w:r w:rsidR="00837ED5" w:rsidRPr="00295637">
        <w:rPr>
          <w:rFonts w:ascii="Times New Roman" w:hAnsi="Times New Roman"/>
          <w:szCs w:val="24"/>
          <w:lang w:eastAsia="hr-HR"/>
        </w:rPr>
        <w:t xml:space="preserve"> </w:t>
      </w:r>
      <w:r>
        <w:rPr>
          <w:rFonts w:ascii="Times New Roman" w:hAnsi="Times New Roman"/>
          <w:szCs w:val="24"/>
          <w:lang w:eastAsia="hr-HR"/>
        </w:rPr>
        <w:t>и</w:t>
      </w:r>
      <w:r w:rsidR="00837ED5" w:rsidRPr="00295637">
        <w:rPr>
          <w:rFonts w:ascii="Times New Roman" w:hAnsi="Times New Roman"/>
          <w:szCs w:val="24"/>
          <w:lang w:eastAsia="hr-HR"/>
        </w:rPr>
        <w:t xml:space="preserve"> </w:t>
      </w:r>
      <w:r>
        <w:rPr>
          <w:rFonts w:ascii="Times New Roman" w:hAnsi="Times New Roman"/>
          <w:szCs w:val="24"/>
          <w:lang w:eastAsia="hr-HR"/>
        </w:rPr>
        <w:t>цивилним</w:t>
      </w:r>
      <w:r w:rsidR="00837ED5" w:rsidRPr="00295637">
        <w:rPr>
          <w:rFonts w:ascii="Times New Roman" w:hAnsi="Times New Roman"/>
          <w:szCs w:val="24"/>
          <w:lang w:eastAsia="hr-HR"/>
        </w:rPr>
        <w:t xml:space="preserve"> </w:t>
      </w:r>
      <w:r>
        <w:rPr>
          <w:rFonts w:ascii="Times New Roman" w:hAnsi="Times New Roman"/>
          <w:szCs w:val="24"/>
          <w:lang w:eastAsia="hr-HR"/>
        </w:rPr>
        <w:t>друштвом</w:t>
      </w:r>
      <w:r w:rsidR="00837ED5" w:rsidRPr="00295637">
        <w:rPr>
          <w:rFonts w:ascii="Times New Roman" w:hAnsi="Times New Roman"/>
          <w:szCs w:val="24"/>
          <w:lang w:eastAsia="hr-HR"/>
        </w:rPr>
        <w:t xml:space="preserve">. </w:t>
      </w:r>
      <w:r>
        <w:rPr>
          <w:rFonts w:ascii="Times New Roman" w:hAnsi="Times New Roman"/>
          <w:szCs w:val="24"/>
          <w:lang w:eastAsia="hr-HR"/>
        </w:rPr>
        <w:t>У</w:t>
      </w:r>
      <w:r w:rsidR="006E5609" w:rsidRPr="00295637">
        <w:rPr>
          <w:rFonts w:ascii="Times New Roman" w:hAnsi="Times New Roman"/>
          <w:szCs w:val="24"/>
          <w:lang w:eastAsia="hr-HR"/>
        </w:rPr>
        <w:t xml:space="preserve"> </w:t>
      </w:r>
      <w:r>
        <w:rPr>
          <w:rFonts w:ascii="Times New Roman" w:hAnsi="Times New Roman"/>
          <w:szCs w:val="24"/>
          <w:lang w:eastAsia="hr-HR"/>
        </w:rPr>
        <w:t>извјештајном</w:t>
      </w:r>
      <w:r w:rsidR="006E5609" w:rsidRPr="00295637">
        <w:rPr>
          <w:rFonts w:ascii="Times New Roman" w:hAnsi="Times New Roman"/>
          <w:szCs w:val="24"/>
          <w:lang w:eastAsia="hr-HR"/>
        </w:rPr>
        <w:t xml:space="preserve"> </w:t>
      </w:r>
      <w:r>
        <w:rPr>
          <w:rFonts w:ascii="Times New Roman" w:hAnsi="Times New Roman"/>
          <w:szCs w:val="24"/>
          <w:lang w:eastAsia="hr-HR"/>
        </w:rPr>
        <w:t>периоду</w:t>
      </w:r>
      <w:r w:rsidR="006E5609" w:rsidRPr="00295637">
        <w:rPr>
          <w:rFonts w:ascii="Times New Roman" w:hAnsi="Times New Roman"/>
          <w:szCs w:val="24"/>
          <w:lang w:eastAsia="hr-HR"/>
        </w:rPr>
        <w:t xml:space="preserve"> </w:t>
      </w:r>
      <w:r>
        <w:rPr>
          <w:rFonts w:ascii="Times New Roman" w:hAnsi="Times New Roman"/>
          <w:szCs w:val="24"/>
          <w:lang w:eastAsia="hr-HR"/>
        </w:rPr>
        <w:t>је</w:t>
      </w:r>
      <w:r w:rsidR="006E5609" w:rsidRPr="00295637">
        <w:rPr>
          <w:rFonts w:ascii="Times New Roman" w:hAnsi="Times New Roman"/>
          <w:szCs w:val="24"/>
          <w:lang w:eastAsia="hr-HR"/>
        </w:rPr>
        <w:t xml:space="preserve"> </w:t>
      </w:r>
      <w:r>
        <w:rPr>
          <w:rFonts w:ascii="Times New Roman" w:hAnsi="Times New Roman"/>
          <w:szCs w:val="24"/>
          <w:lang w:eastAsia="hr-HR"/>
        </w:rPr>
        <w:t>организ</w:t>
      </w:r>
      <w:r w:rsidR="00650438">
        <w:rPr>
          <w:rFonts w:ascii="Times New Roman" w:hAnsi="Times New Roman"/>
          <w:szCs w:val="24"/>
          <w:lang w:val="sr-Cyrl-BA" w:eastAsia="hr-HR"/>
        </w:rPr>
        <w:t>овано</w:t>
      </w:r>
      <w:r w:rsidR="006E5609" w:rsidRPr="00295637">
        <w:rPr>
          <w:rFonts w:ascii="Times New Roman" w:hAnsi="Times New Roman"/>
          <w:szCs w:val="24"/>
          <w:lang w:eastAsia="hr-HR"/>
        </w:rPr>
        <w:t xml:space="preserve"> 38 </w:t>
      </w:r>
      <w:r>
        <w:rPr>
          <w:rFonts w:ascii="Times New Roman" w:hAnsi="Times New Roman"/>
          <w:szCs w:val="24"/>
          <w:lang w:eastAsia="hr-HR"/>
        </w:rPr>
        <w:t>посјета</w:t>
      </w:r>
      <w:r w:rsidR="006E5609" w:rsidRPr="00295637">
        <w:rPr>
          <w:rFonts w:ascii="Times New Roman" w:hAnsi="Times New Roman"/>
          <w:szCs w:val="24"/>
          <w:lang w:eastAsia="hr-HR"/>
        </w:rPr>
        <w:t xml:space="preserve"> </w:t>
      </w:r>
      <w:r>
        <w:rPr>
          <w:rFonts w:ascii="Times New Roman" w:hAnsi="Times New Roman"/>
          <w:szCs w:val="24"/>
          <w:lang w:eastAsia="hr-HR"/>
        </w:rPr>
        <w:t>дјеце</w:t>
      </w:r>
      <w:r w:rsidR="006E5609" w:rsidRPr="00295637">
        <w:rPr>
          <w:rFonts w:ascii="Times New Roman" w:hAnsi="Times New Roman"/>
          <w:szCs w:val="24"/>
          <w:lang w:eastAsia="hr-HR"/>
        </w:rPr>
        <w:t xml:space="preserve"> </w:t>
      </w:r>
      <w:r>
        <w:rPr>
          <w:rFonts w:ascii="Times New Roman" w:hAnsi="Times New Roman"/>
          <w:szCs w:val="24"/>
          <w:lang w:eastAsia="hr-HR"/>
        </w:rPr>
        <w:t>ученичког</w:t>
      </w:r>
      <w:r w:rsidR="006E5609" w:rsidRPr="00295637">
        <w:rPr>
          <w:rFonts w:ascii="Times New Roman" w:hAnsi="Times New Roman"/>
          <w:szCs w:val="24"/>
          <w:lang w:eastAsia="hr-HR"/>
        </w:rPr>
        <w:t xml:space="preserve"> </w:t>
      </w:r>
      <w:r>
        <w:rPr>
          <w:rFonts w:ascii="Times New Roman" w:hAnsi="Times New Roman"/>
          <w:szCs w:val="24"/>
          <w:lang w:eastAsia="hr-HR"/>
        </w:rPr>
        <w:t>и</w:t>
      </w:r>
      <w:r w:rsidR="006E5609" w:rsidRPr="00295637">
        <w:rPr>
          <w:rFonts w:ascii="Times New Roman" w:hAnsi="Times New Roman"/>
          <w:szCs w:val="24"/>
          <w:lang w:eastAsia="hr-HR"/>
        </w:rPr>
        <w:t xml:space="preserve"> </w:t>
      </w:r>
      <w:r>
        <w:rPr>
          <w:rFonts w:ascii="Times New Roman" w:hAnsi="Times New Roman"/>
          <w:szCs w:val="24"/>
          <w:lang w:eastAsia="hr-HR"/>
        </w:rPr>
        <w:t>вртићког</w:t>
      </w:r>
      <w:r w:rsidR="006E5609" w:rsidRPr="00295637">
        <w:rPr>
          <w:rFonts w:ascii="Times New Roman" w:hAnsi="Times New Roman"/>
          <w:szCs w:val="24"/>
          <w:lang w:eastAsia="hr-HR"/>
        </w:rPr>
        <w:t xml:space="preserve"> </w:t>
      </w:r>
      <w:r>
        <w:rPr>
          <w:rFonts w:ascii="Times New Roman" w:hAnsi="Times New Roman"/>
          <w:szCs w:val="24"/>
          <w:lang w:eastAsia="hr-HR"/>
        </w:rPr>
        <w:t>узраста</w:t>
      </w:r>
      <w:r w:rsidR="006E5609" w:rsidRPr="00295637">
        <w:rPr>
          <w:rFonts w:ascii="Times New Roman" w:hAnsi="Times New Roman"/>
          <w:szCs w:val="24"/>
          <w:lang w:eastAsia="hr-HR"/>
        </w:rPr>
        <w:t xml:space="preserve"> </w:t>
      </w:r>
      <w:r>
        <w:rPr>
          <w:rFonts w:ascii="Times New Roman" w:hAnsi="Times New Roman"/>
          <w:szCs w:val="24"/>
          <w:lang w:eastAsia="hr-HR"/>
        </w:rPr>
        <w:t>јединицама</w:t>
      </w:r>
      <w:r w:rsidR="006E5609" w:rsidRPr="00295637">
        <w:rPr>
          <w:rFonts w:ascii="Times New Roman" w:hAnsi="Times New Roman"/>
          <w:szCs w:val="24"/>
          <w:lang w:eastAsia="hr-HR"/>
        </w:rPr>
        <w:t xml:space="preserve"> </w:t>
      </w:r>
      <w:r>
        <w:rPr>
          <w:rFonts w:ascii="Times New Roman" w:hAnsi="Times New Roman"/>
          <w:szCs w:val="24"/>
          <w:lang w:eastAsia="hr-HR"/>
        </w:rPr>
        <w:t>ГП</w:t>
      </w:r>
      <w:r w:rsidR="008D3E45" w:rsidRPr="00295637">
        <w:rPr>
          <w:rFonts w:ascii="Times New Roman" w:hAnsi="Times New Roman"/>
          <w:szCs w:val="24"/>
          <w:lang w:eastAsia="hr-HR"/>
        </w:rPr>
        <w:t xml:space="preserve"> </w:t>
      </w:r>
      <w:r>
        <w:rPr>
          <w:rFonts w:ascii="Times New Roman" w:hAnsi="Times New Roman"/>
          <w:szCs w:val="24"/>
          <w:lang w:eastAsia="hr-HR"/>
        </w:rPr>
        <w:t>БиХ</w:t>
      </w:r>
      <w:r w:rsidR="00837ED5" w:rsidRPr="00295637">
        <w:rPr>
          <w:rFonts w:ascii="Times New Roman" w:hAnsi="Times New Roman"/>
          <w:szCs w:val="24"/>
          <w:lang w:eastAsia="hr-HR"/>
        </w:rPr>
        <w:t>.</w:t>
      </w:r>
      <w:r w:rsidR="006E5609" w:rsidRPr="00295637">
        <w:rPr>
          <w:rFonts w:ascii="Times New Roman" w:hAnsi="Times New Roman"/>
          <w:szCs w:val="24"/>
          <w:lang w:eastAsia="hr-HR"/>
        </w:rPr>
        <w:t xml:space="preserve"> </w:t>
      </w:r>
      <w:r w:rsidR="00650438">
        <w:rPr>
          <w:rFonts w:ascii="Times New Roman" w:hAnsi="Times New Roman"/>
          <w:szCs w:val="24"/>
          <w:lang w:eastAsia="hr-HR"/>
        </w:rPr>
        <w:t>Такође</w:t>
      </w:r>
      <w:r w:rsidR="00157EC0" w:rsidRPr="00295637">
        <w:rPr>
          <w:rFonts w:ascii="Times New Roman" w:hAnsi="Times New Roman"/>
          <w:szCs w:val="24"/>
          <w:lang w:eastAsia="hr-HR"/>
        </w:rPr>
        <w:t xml:space="preserve">, </w:t>
      </w:r>
      <w:r>
        <w:rPr>
          <w:rFonts w:ascii="Times New Roman" w:hAnsi="Times New Roman"/>
          <w:szCs w:val="24"/>
          <w:lang w:eastAsia="hr-HR"/>
        </w:rPr>
        <w:t>ГП</w:t>
      </w:r>
      <w:r w:rsidR="00050016">
        <w:rPr>
          <w:rFonts w:ascii="Times New Roman" w:hAnsi="Times New Roman"/>
          <w:szCs w:val="24"/>
          <w:lang w:eastAsia="hr-HR"/>
        </w:rPr>
        <w:t xml:space="preserve"> </w:t>
      </w:r>
      <w:r>
        <w:rPr>
          <w:rFonts w:ascii="Times New Roman" w:hAnsi="Times New Roman"/>
          <w:szCs w:val="24"/>
          <w:lang w:eastAsia="hr-HR"/>
        </w:rPr>
        <w:t>БиХ</w:t>
      </w:r>
      <w:r w:rsidR="00837ED5" w:rsidRPr="00295637">
        <w:rPr>
          <w:rFonts w:ascii="Times New Roman" w:hAnsi="Times New Roman"/>
          <w:szCs w:val="24"/>
          <w:lang w:eastAsia="hr-HR"/>
        </w:rPr>
        <w:t xml:space="preserve"> </w:t>
      </w:r>
      <w:r>
        <w:rPr>
          <w:rFonts w:ascii="Times New Roman" w:hAnsi="Times New Roman"/>
          <w:szCs w:val="24"/>
          <w:lang w:eastAsia="hr-HR"/>
        </w:rPr>
        <w:t>има</w:t>
      </w:r>
      <w:r w:rsidR="00837ED5" w:rsidRPr="00295637">
        <w:rPr>
          <w:rFonts w:ascii="Times New Roman" w:hAnsi="Times New Roman"/>
          <w:szCs w:val="24"/>
          <w:lang w:eastAsia="hr-HR"/>
        </w:rPr>
        <w:t xml:space="preserve"> </w:t>
      </w:r>
      <w:r>
        <w:rPr>
          <w:rFonts w:ascii="Times New Roman" w:hAnsi="Times New Roman"/>
          <w:szCs w:val="24"/>
          <w:lang w:eastAsia="hr-HR"/>
        </w:rPr>
        <w:t>успостављену</w:t>
      </w:r>
      <w:r w:rsidR="00837ED5" w:rsidRPr="00295637">
        <w:rPr>
          <w:rFonts w:ascii="Times New Roman" w:hAnsi="Times New Roman"/>
          <w:szCs w:val="24"/>
          <w:lang w:eastAsia="hr-HR"/>
        </w:rPr>
        <w:t xml:space="preserve"> </w:t>
      </w:r>
      <w:r>
        <w:rPr>
          <w:rFonts w:ascii="Times New Roman" w:hAnsi="Times New Roman"/>
          <w:szCs w:val="24"/>
          <w:lang w:eastAsia="hr-HR"/>
        </w:rPr>
        <w:t>и</w:t>
      </w:r>
      <w:r w:rsidR="00837ED5" w:rsidRPr="00295637">
        <w:rPr>
          <w:rFonts w:ascii="Times New Roman" w:hAnsi="Times New Roman"/>
          <w:szCs w:val="24"/>
          <w:lang w:eastAsia="hr-HR"/>
        </w:rPr>
        <w:t xml:space="preserve"> </w:t>
      </w:r>
      <w:r>
        <w:rPr>
          <w:rFonts w:ascii="Times New Roman" w:hAnsi="Times New Roman"/>
          <w:szCs w:val="24"/>
          <w:lang w:eastAsia="hr-HR"/>
        </w:rPr>
        <w:t>одрживу</w:t>
      </w:r>
      <w:r w:rsidR="00837ED5" w:rsidRPr="00295637">
        <w:rPr>
          <w:rFonts w:ascii="Times New Roman" w:hAnsi="Times New Roman"/>
          <w:szCs w:val="24"/>
          <w:lang w:eastAsia="hr-HR"/>
        </w:rPr>
        <w:t xml:space="preserve"> </w:t>
      </w:r>
      <w:r>
        <w:rPr>
          <w:rFonts w:ascii="Times New Roman" w:hAnsi="Times New Roman"/>
          <w:szCs w:val="24"/>
          <w:lang w:eastAsia="hr-HR"/>
        </w:rPr>
        <w:t>сарадњу</w:t>
      </w:r>
      <w:r w:rsidR="000C7C15">
        <w:rPr>
          <w:rFonts w:ascii="Times New Roman" w:hAnsi="Times New Roman"/>
          <w:szCs w:val="24"/>
          <w:lang w:eastAsia="hr-HR"/>
        </w:rPr>
        <w:t xml:space="preserve"> </w:t>
      </w:r>
      <w:r>
        <w:rPr>
          <w:rFonts w:ascii="Times New Roman" w:hAnsi="Times New Roman"/>
          <w:szCs w:val="24"/>
          <w:lang w:eastAsia="hr-HR"/>
        </w:rPr>
        <w:t>са</w:t>
      </w:r>
      <w:r w:rsidR="00837ED5" w:rsidRPr="00295637">
        <w:rPr>
          <w:rFonts w:ascii="Times New Roman" w:hAnsi="Times New Roman"/>
          <w:szCs w:val="24"/>
          <w:lang w:eastAsia="hr-HR"/>
        </w:rPr>
        <w:t xml:space="preserve"> </w:t>
      </w:r>
      <w:r>
        <w:rPr>
          <w:rFonts w:ascii="Times New Roman" w:hAnsi="Times New Roman"/>
          <w:szCs w:val="24"/>
          <w:lang w:eastAsia="hr-HR"/>
        </w:rPr>
        <w:t>удружењем</w:t>
      </w:r>
      <w:r w:rsidR="00837ED5" w:rsidRPr="00295637">
        <w:rPr>
          <w:rFonts w:ascii="Times New Roman" w:hAnsi="Times New Roman"/>
          <w:szCs w:val="24"/>
          <w:lang w:eastAsia="hr-HR"/>
        </w:rPr>
        <w:t xml:space="preserve"> </w:t>
      </w:r>
      <w:r>
        <w:rPr>
          <w:rFonts w:ascii="Times New Roman" w:hAnsi="Times New Roman"/>
          <w:szCs w:val="24"/>
          <w:lang w:eastAsia="hr-HR"/>
        </w:rPr>
        <w:t>Мрежа</w:t>
      </w:r>
      <w:r w:rsidR="00837ED5" w:rsidRPr="00295637">
        <w:rPr>
          <w:rFonts w:ascii="Times New Roman" w:hAnsi="Times New Roman"/>
          <w:szCs w:val="24"/>
          <w:lang w:eastAsia="hr-HR"/>
        </w:rPr>
        <w:t xml:space="preserve"> </w:t>
      </w:r>
      <w:r>
        <w:rPr>
          <w:rFonts w:ascii="Times New Roman" w:hAnsi="Times New Roman"/>
          <w:szCs w:val="24"/>
          <w:lang w:eastAsia="hr-HR"/>
        </w:rPr>
        <w:t>полицијских</w:t>
      </w:r>
      <w:r w:rsidR="00837ED5" w:rsidRPr="00295637">
        <w:rPr>
          <w:rFonts w:ascii="Times New Roman" w:hAnsi="Times New Roman"/>
          <w:szCs w:val="24"/>
          <w:lang w:eastAsia="hr-HR"/>
        </w:rPr>
        <w:t xml:space="preserve"> </w:t>
      </w:r>
      <w:r>
        <w:rPr>
          <w:rFonts w:ascii="Times New Roman" w:hAnsi="Times New Roman"/>
          <w:szCs w:val="24"/>
          <w:lang w:eastAsia="hr-HR"/>
        </w:rPr>
        <w:t>службеница</w:t>
      </w:r>
      <w:r w:rsidR="00837ED5" w:rsidRPr="00295637">
        <w:rPr>
          <w:rFonts w:ascii="Times New Roman" w:hAnsi="Times New Roman"/>
          <w:szCs w:val="24"/>
          <w:lang w:eastAsia="hr-HR"/>
        </w:rPr>
        <w:t xml:space="preserve">, </w:t>
      </w:r>
      <w:r>
        <w:rPr>
          <w:rFonts w:ascii="Times New Roman" w:hAnsi="Times New Roman"/>
          <w:szCs w:val="24"/>
          <w:lang w:eastAsia="hr-HR"/>
        </w:rPr>
        <w:t>у</w:t>
      </w:r>
      <w:r w:rsidR="00837ED5" w:rsidRPr="00295637">
        <w:rPr>
          <w:rFonts w:ascii="Times New Roman" w:hAnsi="Times New Roman"/>
          <w:szCs w:val="24"/>
          <w:lang w:eastAsia="hr-HR"/>
        </w:rPr>
        <w:t xml:space="preserve"> </w:t>
      </w:r>
      <w:r>
        <w:rPr>
          <w:rFonts w:ascii="Times New Roman" w:hAnsi="Times New Roman"/>
          <w:szCs w:val="24"/>
          <w:lang w:eastAsia="hr-HR"/>
        </w:rPr>
        <w:t>промоцији</w:t>
      </w:r>
      <w:r w:rsidR="00837ED5" w:rsidRPr="00295637">
        <w:rPr>
          <w:rFonts w:ascii="Times New Roman" w:hAnsi="Times New Roman"/>
          <w:szCs w:val="24"/>
          <w:lang w:eastAsia="hr-HR"/>
        </w:rPr>
        <w:t xml:space="preserve"> </w:t>
      </w:r>
      <w:r>
        <w:rPr>
          <w:rFonts w:ascii="Times New Roman" w:hAnsi="Times New Roman"/>
          <w:szCs w:val="24"/>
          <w:lang w:eastAsia="hr-HR"/>
        </w:rPr>
        <w:t>и</w:t>
      </w:r>
      <w:r w:rsidR="00837ED5" w:rsidRPr="00295637">
        <w:rPr>
          <w:rFonts w:ascii="Times New Roman" w:hAnsi="Times New Roman"/>
          <w:szCs w:val="24"/>
          <w:lang w:eastAsia="hr-HR"/>
        </w:rPr>
        <w:t xml:space="preserve"> </w:t>
      </w:r>
      <w:r>
        <w:rPr>
          <w:rFonts w:ascii="Times New Roman" w:hAnsi="Times New Roman"/>
          <w:szCs w:val="24"/>
          <w:lang w:eastAsia="hr-HR"/>
        </w:rPr>
        <w:t>подизању</w:t>
      </w:r>
      <w:r w:rsidR="00837ED5" w:rsidRPr="00295637">
        <w:rPr>
          <w:rFonts w:ascii="Times New Roman" w:hAnsi="Times New Roman"/>
          <w:szCs w:val="24"/>
          <w:lang w:eastAsia="hr-HR"/>
        </w:rPr>
        <w:t xml:space="preserve"> </w:t>
      </w:r>
      <w:r>
        <w:rPr>
          <w:rFonts w:ascii="Times New Roman" w:hAnsi="Times New Roman"/>
          <w:szCs w:val="24"/>
          <w:lang w:eastAsia="hr-HR"/>
        </w:rPr>
        <w:t>свијести</w:t>
      </w:r>
      <w:r w:rsidR="00837ED5" w:rsidRPr="00295637">
        <w:rPr>
          <w:rFonts w:ascii="Times New Roman" w:hAnsi="Times New Roman"/>
          <w:szCs w:val="24"/>
          <w:lang w:eastAsia="hr-HR"/>
        </w:rPr>
        <w:t xml:space="preserve"> </w:t>
      </w:r>
      <w:r>
        <w:rPr>
          <w:rFonts w:ascii="Times New Roman" w:hAnsi="Times New Roman"/>
          <w:szCs w:val="24"/>
          <w:lang w:eastAsia="hr-HR"/>
        </w:rPr>
        <w:t>о</w:t>
      </w:r>
      <w:r w:rsidR="00837ED5" w:rsidRPr="00295637">
        <w:rPr>
          <w:rFonts w:ascii="Times New Roman" w:hAnsi="Times New Roman"/>
          <w:szCs w:val="24"/>
          <w:lang w:eastAsia="hr-HR"/>
        </w:rPr>
        <w:t xml:space="preserve"> </w:t>
      </w:r>
      <w:r>
        <w:rPr>
          <w:rFonts w:ascii="Times New Roman" w:hAnsi="Times New Roman"/>
          <w:szCs w:val="24"/>
          <w:lang w:eastAsia="hr-HR"/>
        </w:rPr>
        <w:t>важности</w:t>
      </w:r>
      <w:r w:rsidR="00837ED5" w:rsidRPr="00295637">
        <w:rPr>
          <w:rFonts w:ascii="Times New Roman" w:hAnsi="Times New Roman"/>
          <w:szCs w:val="24"/>
          <w:lang w:eastAsia="hr-HR"/>
        </w:rPr>
        <w:t xml:space="preserve"> </w:t>
      </w:r>
      <w:r>
        <w:rPr>
          <w:rFonts w:ascii="Times New Roman" w:hAnsi="Times New Roman"/>
          <w:szCs w:val="24"/>
          <w:lang w:eastAsia="hr-HR"/>
        </w:rPr>
        <w:t>равноправности</w:t>
      </w:r>
      <w:r w:rsidR="00837ED5" w:rsidRPr="00295637">
        <w:rPr>
          <w:rFonts w:ascii="Times New Roman" w:hAnsi="Times New Roman"/>
          <w:szCs w:val="24"/>
          <w:lang w:eastAsia="hr-HR"/>
        </w:rPr>
        <w:t xml:space="preserve"> </w:t>
      </w:r>
      <w:r>
        <w:rPr>
          <w:rFonts w:ascii="Times New Roman" w:hAnsi="Times New Roman"/>
          <w:szCs w:val="24"/>
          <w:lang w:eastAsia="hr-HR"/>
        </w:rPr>
        <w:t>полова</w:t>
      </w:r>
      <w:r w:rsidR="00837ED5" w:rsidRPr="00295637">
        <w:rPr>
          <w:rFonts w:ascii="Times New Roman" w:hAnsi="Times New Roman"/>
          <w:szCs w:val="24"/>
          <w:lang w:eastAsia="hr-HR"/>
        </w:rPr>
        <w:t xml:space="preserve"> </w:t>
      </w:r>
      <w:r>
        <w:rPr>
          <w:rFonts w:ascii="Times New Roman" w:hAnsi="Times New Roman"/>
          <w:szCs w:val="24"/>
          <w:lang w:eastAsia="hr-HR"/>
        </w:rPr>
        <w:t>у</w:t>
      </w:r>
      <w:r w:rsidR="00837ED5" w:rsidRPr="00295637">
        <w:rPr>
          <w:rFonts w:ascii="Times New Roman" w:hAnsi="Times New Roman"/>
          <w:szCs w:val="24"/>
          <w:lang w:eastAsia="hr-HR"/>
        </w:rPr>
        <w:t xml:space="preserve"> </w:t>
      </w:r>
      <w:r w:rsidR="00650438">
        <w:rPr>
          <w:rFonts w:ascii="Times New Roman" w:hAnsi="Times New Roman"/>
          <w:szCs w:val="24"/>
          <w:lang w:val="sr-Cyrl-BA" w:eastAsia="hr-HR"/>
        </w:rPr>
        <w:t>безбједносном</w:t>
      </w:r>
      <w:r w:rsidR="00837ED5" w:rsidRPr="00295637">
        <w:rPr>
          <w:rFonts w:ascii="Times New Roman" w:hAnsi="Times New Roman"/>
          <w:szCs w:val="24"/>
          <w:lang w:eastAsia="hr-HR"/>
        </w:rPr>
        <w:t xml:space="preserve"> </w:t>
      </w:r>
      <w:r>
        <w:rPr>
          <w:rFonts w:ascii="Times New Roman" w:hAnsi="Times New Roman"/>
          <w:szCs w:val="24"/>
          <w:lang w:eastAsia="hr-HR"/>
        </w:rPr>
        <w:t>сектору</w:t>
      </w:r>
      <w:r w:rsidR="00837ED5" w:rsidRPr="00295637">
        <w:rPr>
          <w:rFonts w:ascii="Times New Roman" w:hAnsi="Times New Roman"/>
          <w:szCs w:val="24"/>
          <w:lang w:eastAsia="hr-HR"/>
        </w:rPr>
        <w:t xml:space="preserve">. </w:t>
      </w:r>
    </w:p>
    <w:p w:rsidR="00235D0F" w:rsidRPr="00295637" w:rsidRDefault="00235D0F" w:rsidP="0086268D">
      <w:pPr>
        <w:ind w:right="14"/>
        <w:jc w:val="both"/>
        <w:rPr>
          <w:rFonts w:ascii="Times New Roman" w:hAnsi="Times New Roman"/>
          <w:szCs w:val="24"/>
          <w:lang w:eastAsia="hr-HR"/>
        </w:rPr>
      </w:pPr>
    </w:p>
    <w:p w:rsidR="008D3E45" w:rsidRPr="00295637" w:rsidRDefault="00C6214E" w:rsidP="0086268D">
      <w:pPr>
        <w:pStyle w:val="HTMLPreformatted"/>
        <w:jc w:val="both"/>
        <w:rPr>
          <w:rFonts w:ascii="Times New Roman" w:hAnsi="Times New Roman" w:cs="Times New Roman"/>
          <w:sz w:val="24"/>
          <w:szCs w:val="24"/>
          <w:lang w:val="en-US"/>
        </w:rPr>
      </w:pPr>
      <w:r>
        <w:rPr>
          <w:rFonts w:ascii="Times New Roman" w:hAnsi="Times New Roman" w:cs="Times New Roman"/>
          <w:sz w:val="24"/>
          <w:szCs w:val="24"/>
        </w:rPr>
        <w:t>АР</w:t>
      </w:r>
      <w:r w:rsidR="00650438">
        <w:rPr>
          <w:rFonts w:ascii="Times New Roman" w:hAnsi="Times New Roman" w:cs="Times New Roman"/>
          <w:sz w:val="24"/>
          <w:szCs w:val="24"/>
          <w:lang w:val="sr-Cyrl-BA"/>
        </w:rPr>
        <w:t>П</w:t>
      </w:r>
      <w:r w:rsidR="000C7C15">
        <w:rPr>
          <w:rFonts w:ascii="Times New Roman" w:hAnsi="Times New Roman" w:cs="Times New Roman"/>
          <w:sz w:val="24"/>
          <w:szCs w:val="24"/>
        </w:rPr>
        <w:t xml:space="preserve"> </w:t>
      </w:r>
      <w:r>
        <w:rPr>
          <w:rFonts w:ascii="Times New Roman" w:hAnsi="Times New Roman" w:cs="Times New Roman"/>
          <w:sz w:val="24"/>
          <w:szCs w:val="24"/>
        </w:rPr>
        <w:t>БиХ</w:t>
      </w:r>
      <w:r w:rsidR="000C7C15">
        <w:rPr>
          <w:rFonts w:ascii="Times New Roman" w:hAnsi="Times New Roman" w:cs="Times New Roman"/>
          <w:sz w:val="24"/>
          <w:szCs w:val="24"/>
        </w:rPr>
        <w:t xml:space="preserve"> </w:t>
      </w:r>
      <w:r>
        <w:rPr>
          <w:rFonts w:ascii="Times New Roman" w:hAnsi="Times New Roman" w:cs="Times New Roman"/>
          <w:sz w:val="24"/>
          <w:szCs w:val="24"/>
        </w:rPr>
        <w:t>МЉПИ</w:t>
      </w:r>
      <w:r w:rsidR="000C7C15">
        <w:rPr>
          <w:rFonts w:ascii="Times New Roman" w:hAnsi="Times New Roman" w:cs="Times New Roman"/>
          <w:sz w:val="24"/>
          <w:szCs w:val="24"/>
        </w:rPr>
        <w:t xml:space="preserve"> </w:t>
      </w:r>
      <w:r>
        <w:rPr>
          <w:rFonts w:ascii="Times New Roman" w:hAnsi="Times New Roman" w:cs="Times New Roman"/>
          <w:sz w:val="24"/>
          <w:szCs w:val="24"/>
        </w:rPr>
        <w:t>БиХ</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тренутно</w:t>
      </w:r>
      <w:r w:rsidR="000C7C15">
        <w:rPr>
          <w:rFonts w:ascii="Times New Roman" w:hAnsi="Times New Roman" w:cs="Times New Roman"/>
          <w:sz w:val="24"/>
          <w:szCs w:val="24"/>
        </w:rPr>
        <w:t xml:space="preserve"> </w:t>
      </w:r>
      <w:r>
        <w:rPr>
          <w:rFonts w:ascii="Times New Roman" w:hAnsi="Times New Roman" w:cs="Times New Roman"/>
          <w:sz w:val="24"/>
          <w:szCs w:val="24"/>
        </w:rPr>
        <w:t>проводи</w:t>
      </w:r>
      <w:r w:rsidR="000C7C15">
        <w:rPr>
          <w:rFonts w:ascii="Times New Roman" w:hAnsi="Times New Roman" w:cs="Times New Roman"/>
          <w:sz w:val="24"/>
          <w:szCs w:val="24"/>
        </w:rPr>
        <w:t xml:space="preserve"> </w:t>
      </w:r>
      <w:r>
        <w:rPr>
          <w:rFonts w:ascii="Times New Roman" w:hAnsi="Times New Roman" w:cs="Times New Roman"/>
          <w:sz w:val="24"/>
          <w:szCs w:val="24"/>
        </w:rPr>
        <w:t>пројекат</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Жене</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воде</w:t>
      </w:r>
      <w:r w:rsidR="000C7C15">
        <w:rPr>
          <w:rFonts w:ascii="Times New Roman" w:hAnsi="Times New Roman" w:cs="Times New Roman"/>
          <w:sz w:val="24"/>
          <w:szCs w:val="24"/>
        </w:rPr>
        <w:t xml:space="preserve"> </w:t>
      </w:r>
      <w:r>
        <w:rPr>
          <w:rFonts w:ascii="Times New Roman" w:hAnsi="Times New Roman" w:cs="Times New Roman"/>
          <w:sz w:val="24"/>
          <w:szCs w:val="24"/>
        </w:rPr>
        <w:t>на</w:t>
      </w:r>
      <w:r w:rsidR="000C7C15">
        <w:rPr>
          <w:rFonts w:ascii="Times New Roman" w:hAnsi="Times New Roman" w:cs="Times New Roman"/>
          <w:sz w:val="24"/>
          <w:szCs w:val="24"/>
        </w:rPr>
        <w:t xml:space="preserve"> </w:t>
      </w:r>
      <w:r>
        <w:rPr>
          <w:rFonts w:ascii="Times New Roman" w:hAnsi="Times New Roman" w:cs="Times New Roman"/>
          <w:sz w:val="24"/>
          <w:szCs w:val="24"/>
        </w:rPr>
        <w:t>путу</w:t>
      </w:r>
      <w:r w:rsidR="000C7C15">
        <w:rPr>
          <w:rFonts w:ascii="Times New Roman" w:hAnsi="Times New Roman" w:cs="Times New Roman"/>
          <w:sz w:val="24"/>
          <w:szCs w:val="24"/>
        </w:rPr>
        <w:t xml:space="preserve"> </w:t>
      </w:r>
      <w:r>
        <w:rPr>
          <w:rFonts w:ascii="Times New Roman" w:hAnsi="Times New Roman" w:cs="Times New Roman"/>
          <w:sz w:val="24"/>
          <w:szCs w:val="24"/>
        </w:rPr>
        <w:t>мира</w:t>
      </w:r>
      <w:r w:rsidR="000C7C15">
        <w:rPr>
          <w:rFonts w:ascii="Times New Roman" w:hAnsi="Times New Roman" w:cs="Times New Roman"/>
          <w:sz w:val="24"/>
          <w:szCs w:val="24"/>
        </w:rPr>
        <w:t xml:space="preserve"> </w:t>
      </w:r>
      <w:r>
        <w:rPr>
          <w:rFonts w:ascii="Times New Roman" w:hAnsi="Times New Roman" w:cs="Times New Roman"/>
          <w:sz w:val="24"/>
          <w:szCs w:val="24"/>
        </w:rPr>
        <w:t>и</w:t>
      </w:r>
      <w:r w:rsidR="000C7C15">
        <w:rPr>
          <w:rFonts w:ascii="Times New Roman" w:hAnsi="Times New Roman" w:cs="Times New Roman"/>
          <w:sz w:val="24"/>
          <w:szCs w:val="24"/>
        </w:rPr>
        <w:t xml:space="preserve"> </w:t>
      </w:r>
      <w:r w:rsidR="00650438">
        <w:rPr>
          <w:rFonts w:ascii="Times New Roman" w:hAnsi="Times New Roman" w:cs="Times New Roman"/>
          <w:sz w:val="24"/>
          <w:szCs w:val="24"/>
          <w:lang w:val="sr-Cyrl-BA"/>
        </w:rPr>
        <w:t>безбједности</w:t>
      </w:r>
      <w:r w:rsidR="000C7C15">
        <w:rPr>
          <w:rFonts w:ascii="Times New Roman" w:hAnsi="Times New Roman" w:cs="Times New Roman"/>
          <w:sz w:val="24"/>
          <w:szCs w:val="24"/>
        </w:rPr>
        <w:t xml:space="preserve">“ </w:t>
      </w:r>
      <w:r>
        <w:rPr>
          <w:rFonts w:ascii="Times New Roman" w:hAnsi="Times New Roman" w:cs="Times New Roman"/>
          <w:sz w:val="24"/>
          <w:szCs w:val="24"/>
        </w:rPr>
        <w:t>са</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партнерима</w:t>
      </w:r>
      <w:r w:rsidR="008D3E45" w:rsidRPr="00295637">
        <w:rPr>
          <w:rFonts w:ascii="Times New Roman" w:hAnsi="Times New Roman" w:cs="Times New Roman"/>
          <w:sz w:val="24"/>
          <w:szCs w:val="24"/>
        </w:rPr>
        <w:t xml:space="preserve"> </w:t>
      </w:r>
      <w:r w:rsidR="00650438" w:rsidRPr="00650438">
        <w:rPr>
          <w:rFonts w:ascii="Times New Roman" w:hAnsi="Times New Roman" w:cs="Times New Roman"/>
          <w:i/>
          <w:sz w:val="24"/>
          <w:szCs w:val="24"/>
          <w:lang w:val="hr-BA"/>
        </w:rPr>
        <w:t>UN Women</w:t>
      </w:r>
      <w:r w:rsidR="008D3E45" w:rsidRPr="00295637">
        <w:rPr>
          <w:rFonts w:ascii="Times New Roman" w:hAnsi="Times New Roman" w:cs="Times New Roman"/>
          <w:sz w:val="24"/>
          <w:szCs w:val="24"/>
        </w:rPr>
        <w:t xml:space="preserve">, </w:t>
      </w:r>
      <w:r w:rsidR="00650438" w:rsidRPr="00650438">
        <w:rPr>
          <w:rFonts w:ascii="Times New Roman" w:hAnsi="Times New Roman" w:cs="Times New Roman"/>
          <w:i/>
          <w:sz w:val="24"/>
          <w:szCs w:val="24"/>
          <w:lang w:val="hr-BA"/>
        </w:rPr>
        <w:t>IOM</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и</w:t>
      </w:r>
      <w:r w:rsidR="008D3E45" w:rsidRPr="00295637">
        <w:rPr>
          <w:rFonts w:ascii="Times New Roman" w:hAnsi="Times New Roman" w:cs="Times New Roman"/>
          <w:sz w:val="24"/>
          <w:szCs w:val="24"/>
        </w:rPr>
        <w:t xml:space="preserve"> </w:t>
      </w:r>
      <w:r w:rsidR="00650438" w:rsidRPr="00650438">
        <w:rPr>
          <w:rFonts w:ascii="Times New Roman" w:hAnsi="Times New Roman" w:cs="Times New Roman"/>
          <w:i/>
          <w:sz w:val="24"/>
          <w:szCs w:val="24"/>
          <w:lang w:val="hr-BA"/>
        </w:rPr>
        <w:t>UNFPA</w:t>
      </w:r>
      <w:r w:rsidR="000C7C15">
        <w:rPr>
          <w:rFonts w:ascii="Times New Roman" w:hAnsi="Times New Roman" w:cs="Times New Roman"/>
          <w:sz w:val="24"/>
          <w:szCs w:val="24"/>
        </w:rPr>
        <w:t>,</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а</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који</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се</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финансира</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из</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средстава</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Фонда</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за</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изградњу</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мира</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Генералног</w:t>
      </w:r>
      <w:r w:rsidR="00175B40">
        <w:rPr>
          <w:rFonts w:ascii="Times New Roman" w:hAnsi="Times New Roman" w:cs="Times New Roman"/>
          <w:sz w:val="24"/>
          <w:szCs w:val="24"/>
        </w:rPr>
        <w:t xml:space="preserve"> </w:t>
      </w:r>
      <w:r>
        <w:rPr>
          <w:rFonts w:ascii="Times New Roman" w:hAnsi="Times New Roman" w:cs="Times New Roman"/>
          <w:sz w:val="24"/>
          <w:szCs w:val="24"/>
        </w:rPr>
        <w:t>секретара</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УН</w:t>
      </w:r>
      <w:r w:rsidR="008D3E45" w:rsidRPr="00295637">
        <w:rPr>
          <w:rFonts w:ascii="Times New Roman" w:hAnsi="Times New Roman" w:cs="Times New Roman"/>
          <w:sz w:val="24"/>
          <w:szCs w:val="24"/>
        </w:rPr>
        <w:t>-</w:t>
      </w:r>
      <w:r>
        <w:rPr>
          <w:rFonts w:ascii="Times New Roman" w:hAnsi="Times New Roman" w:cs="Times New Roman"/>
          <w:sz w:val="24"/>
          <w:szCs w:val="24"/>
        </w:rPr>
        <w:t>а</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за</w:t>
      </w:r>
      <w:r w:rsidR="008D3E45" w:rsidRPr="00295637">
        <w:rPr>
          <w:rFonts w:ascii="Times New Roman" w:hAnsi="Times New Roman" w:cs="Times New Roman"/>
          <w:sz w:val="24"/>
          <w:szCs w:val="24"/>
        </w:rPr>
        <w:t xml:space="preserve"> </w:t>
      </w:r>
      <w:r>
        <w:rPr>
          <w:rFonts w:ascii="Times New Roman" w:hAnsi="Times New Roman" w:cs="Times New Roman"/>
          <w:sz w:val="24"/>
          <w:szCs w:val="24"/>
        </w:rPr>
        <w:t>БиХ</w:t>
      </w:r>
      <w:r w:rsidR="008D3E45" w:rsidRPr="00295637">
        <w:rPr>
          <w:rFonts w:ascii="Times New Roman" w:hAnsi="Times New Roman" w:cs="Times New Roman"/>
          <w:sz w:val="24"/>
          <w:szCs w:val="24"/>
        </w:rPr>
        <w:t xml:space="preserve">. </w:t>
      </w:r>
      <w:r>
        <w:rPr>
          <w:rStyle w:val="y2iqfc"/>
          <w:rFonts w:ascii="Times New Roman" w:hAnsi="Times New Roman" w:cs="Times New Roman"/>
          <w:sz w:val="24"/>
          <w:szCs w:val="24"/>
          <w:lang w:val="hr-HR"/>
        </w:rPr>
        <w:t>У</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извјештајном</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периоду</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пројекат</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се</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фокусирао</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на</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мапирање</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терена</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и</w:t>
      </w:r>
      <w:r w:rsidR="008D3E45" w:rsidRPr="00295637">
        <w:rPr>
          <w:rStyle w:val="y2iqfc"/>
          <w:rFonts w:ascii="Times New Roman" w:hAnsi="Times New Roman" w:cs="Times New Roman"/>
          <w:sz w:val="24"/>
          <w:szCs w:val="24"/>
          <w:lang w:val="hr-HR"/>
        </w:rPr>
        <w:t xml:space="preserve"> </w:t>
      </w:r>
      <w:r w:rsidR="001B6CD8">
        <w:rPr>
          <w:rStyle w:val="y2iqfc"/>
          <w:rFonts w:ascii="Times New Roman" w:hAnsi="Times New Roman" w:cs="Times New Roman"/>
          <w:sz w:val="24"/>
          <w:szCs w:val="24"/>
          <w:lang w:val="hr-HR"/>
        </w:rPr>
        <w:t>идентифи</w:t>
      </w:r>
      <w:r w:rsidR="001B6CD8">
        <w:rPr>
          <w:rStyle w:val="y2iqfc"/>
          <w:rFonts w:ascii="Times New Roman" w:hAnsi="Times New Roman" w:cs="Times New Roman"/>
          <w:sz w:val="24"/>
          <w:szCs w:val="24"/>
          <w:lang w:val="sr-Cyrl-BA"/>
        </w:rPr>
        <w:t>ковање</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потенцијалних</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партнера</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у</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локалној</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заједници</w:t>
      </w:r>
      <w:r w:rsidR="006D7AB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као</w:t>
      </w:r>
      <w:r w:rsidR="006D7ABD"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и</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партнерство</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са</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нетрадиционалним</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актерима</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као</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што</w:t>
      </w:r>
      <w:r w:rsidR="008D3E45" w:rsidRPr="00295637">
        <w:rPr>
          <w:rStyle w:val="y2iqfc"/>
          <w:rFonts w:ascii="Times New Roman" w:hAnsi="Times New Roman" w:cs="Times New Roman"/>
          <w:sz w:val="24"/>
          <w:szCs w:val="24"/>
          <w:lang w:val="hr-HR"/>
        </w:rPr>
        <w:t xml:space="preserve"> </w:t>
      </w:r>
      <w:r>
        <w:rPr>
          <w:rStyle w:val="y2iqfc"/>
          <w:rFonts w:ascii="Times New Roman" w:hAnsi="Times New Roman" w:cs="Times New Roman"/>
          <w:sz w:val="24"/>
          <w:szCs w:val="24"/>
          <w:lang w:val="hr-HR"/>
        </w:rPr>
        <w:t>су</w:t>
      </w:r>
      <w:r w:rsidR="008D3E45" w:rsidRPr="00295637">
        <w:rPr>
          <w:rStyle w:val="y2iqfc"/>
          <w:rFonts w:ascii="Times New Roman" w:hAnsi="Times New Roman" w:cs="Times New Roman"/>
          <w:sz w:val="24"/>
          <w:szCs w:val="24"/>
          <w:lang w:val="hr-HR"/>
        </w:rPr>
        <w:t xml:space="preserve"> </w:t>
      </w:r>
      <w:r w:rsidR="001B6CD8" w:rsidRPr="001B6CD8">
        <w:rPr>
          <w:rFonts w:ascii="Times New Roman" w:hAnsi="Times New Roman" w:cs="Times New Roman"/>
          <w:i/>
          <w:sz w:val="24"/>
          <w:szCs w:val="24"/>
          <w:lang w:val="hr-HR"/>
        </w:rPr>
        <w:t xml:space="preserve">Al Jazeera Balkans </w:t>
      </w:r>
      <w:r>
        <w:rPr>
          <w:rStyle w:val="y2iqfc"/>
          <w:rFonts w:ascii="Times New Roman" w:hAnsi="Times New Roman" w:cs="Times New Roman"/>
          <w:sz w:val="24"/>
          <w:szCs w:val="24"/>
          <w:lang w:val="hr-HR"/>
        </w:rPr>
        <w:t>за</w:t>
      </w:r>
      <w:r w:rsidR="008D3E45" w:rsidRPr="00295637">
        <w:rPr>
          <w:rStyle w:val="y2iqfc"/>
          <w:rFonts w:ascii="Times New Roman" w:hAnsi="Times New Roman" w:cs="Times New Roman"/>
          <w:sz w:val="24"/>
          <w:szCs w:val="24"/>
          <w:lang w:val="hr-HR"/>
        </w:rPr>
        <w:t xml:space="preserve"> </w:t>
      </w:r>
      <w:r w:rsidR="001B6CD8" w:rsidRPr="001B6CD8">
        <w:rPr>
          <w:rFonts w:ascii="Times New Roman" w:hAnsi="Times New Roman" w:cs="Times New Roman"/>
          <w:i/>
          <w:sz w:val="24"/>
          <w:szCs w:val="24"/>
          <w:lang w:val="hr-HR"/>
        </w:rPr>
        <w:t>AJB Docs Festival</w:t>
      </w:r>
      <w:r w:rsidR="008D3E45" w:rsidRPr="00295637">
        <w:rPr>
          <w:rStyle w:val="y2iqfc"/>
          <w:rFonts w:ascii="Times New Roman" w:hAnsi="Times New Roman" w:cs="Times New Roman"/>
          <w:sz w:val="24"/>
          <w:szCs w:val="24"/>
          <w:lang w:val="hr-HR"/>
        </w:rPr>
        <w:t>.</w:t>
      </w:r>
    </w:p>
    <w:p w:rsidR="00C11BD5" w:rsidRPr="00295637" w:rsidRDefault="00C11BD5" w:rsidP="0086268D">
      <w:pPr>
        <w:ind w:right="14"/>
        <w:rPr>
          <w:rFonts w:asciiTheme="minorHAnsi" w:hAnsiTheme="minorHAnsi" w:cstheme="minorHAnsi"/>
          <w:szCs w:val="24"/>
          <w:lang w:eastAsia="hr-HR"/>
        </w:rPr>
      </w:pPr>
    </w:p>
    <w:p w:rsidR="001E0139" w:rsidRPr="00295637" w:rsidRDefault="00C6214E" w:rsidP="0086268D">
      <w:pPr>
        <w:ind w:right="14"/>
        <w:jc w:val="both"/>
        <w:rPr>
          <w:rFonts w:ascii="Times New Roman" w:hAnsi="Times New Roman"/>
        </w:rPr>
      </w:pPr>
      <w:r>
        <w:rPr>
          <w:rFonts w:ascii="Times New Roman" w:hAnsi="Times New Roman"/>
        </w:rPr>
        <w:t>МО</w:t>
      </w:r>
      <w:r w:rsidR="005F0394" w:rsidRPr="00295637">
        <w:rPr>
          <w:rFonts w:ascii="Times New Roman" w:hAnsi="Times New Roman"/>
        </w:rPr>
        <w:t xml:space="preserve"> </w:t>
      </w:r>
      <w:r>
        <w:rPr>
          <w:rFonts w:ascii="Times New Roman" w:hAnsi="Times New Roman"/>
        </w:rPr>
        <w:t>БиХ</w:t>
      </w:r>
      <w:r w:rsidR="000C7C15">
        <w:rPr>
          <w:rFonts w:ascii="Times New Roman" w:hAnsi="Times New Roman"/>
        </w:rPr>
        <w:t xml:space="preserve">, </w:t>
      </w:r>
      <w:r>
        <w:rPr>
          <w:rFonts w:ascii="Times New Roman" w:hAnsi="Times New Roman"/>
        </w:rPr>
        <w:t>заједно</w:t>
      </w:r>
      <w:r w:rsidR="000C7C15">
        <w:rPr>
          <w:rFonts w:ascii="Times New Roman" w:hAnsi="Times New Roman"/>
        </w:rPr>
        <w:t xml:space="preserve"> </w:t>
      </w:r>
      <w:r>
        <w:rPr>
          <w:rFonts w:ascii="Times New Roman" w:hAnsi="Times New Roman"/>
        </w:rPr>
        <w:t>са</w:t>
      </w:r>
      <w:r w:rsidR="000C7C15">
        <w:rPr>
          <w:rFonts w:ascii="Times New Roman" w:hAnsi="Times New Roman"/>
        </w:rPr>
        <w:t xml:space="preserve"> </w:t>
      </w:r>
      <w:r>
        <w:rPr>
          <w:rFonts w:ascii="Times New Roman" w:hAnsi="Times New Roman"/>
        </w:rPr>
        <w:t>министарствима</w:t>
      </w:r>
      <w:r w:rsidR="000C7C15">
        <w:rPr>
          <w:rFonts w:ascii="Times New Roman" w:hAnsi="Times New Roman"/>
        </w:rPr>
        <w:t xml:space="preserve"> </w:t>
      </w:r>
      <w:r>
        <w:rPr>
          <w:rFonts w:ascii="Times New Roman" w:hAnsi="Times New Roman"/>
        </w:rPr>
        <w:t>одбране</w:t>
      </w:r>
      <w:r w:rsidR="001E0139" w:rsidRPr="00295637">
        <w:rPr>
          <w:rFonts w:ascii="Times New Roman" w:hAnsi="Times New Roman"/>
        </w:rPr>
        <w:t xml:space="preserve"> </w:t>
      </w:r>
      <w:r w:rsidR="00E738A0">
        <w:rPr>
          <w:rFonts w:ascii="Times New Roman" w:hAnsi="Times New Roman"/>
          <w:lang w:val="bs-Cyrl-BA"/>
        </w:rPr>
        <w:t xml:space="preserve">Сјеверне </w:t>
      </w:r>
      <w:r>
        <w:rPr>
          <w:rFonts w:ascii="Times New Roman" w:hAnsi="Times New Roman"/>
        </w:rPr>
        <w:t>Македоније</w:t>
      </w:r>
      <w:r w:rsidR="001E0139" w:rsidRPr="00295637">
        <w:rPr>
          <w:rFonts w:ascii="Times New Roman" w:hAnsi="Times New Roman"/>
        </w:rPr>
        <w:t xml:space="preserve">, </w:t>
      </w:r>
      <w:r>
        <w:rPr>
          <w:rFonts w:ascii="Times New Roman" w:hAnsi="Times New Roman"/>
        </w:rPr>
        <w:t>Црне</w:t>
      </w:r>
      <w:r w:rsidR="001E0139" w:rsidRPr="00295637">
        <w:rPr>
          <w:rFonts w:ascii="Times New Roman" w:hAnsi="Times New Roman"/>
        </w:rPr>
        <w:t xml:space="preserve"> </w:t>
      </w:r>
      <w:r>
        <w:rPr>
          <w:rFonts w:ascii="Times New Roman" w:hAnsi="Times New Roman"/>
        </w:rPr>
        <w:t>Горе</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Србије</w:t>
      </w:r>
      <w:r w:rsidR="001E0139" w:rsidRPr="00295637">
        <w:rPr>
          <w:rFonts w:ascii="Times New Roman" w:hAnsi="Times New Roman"/>
        </w:rPr>
        <w:t xml:space="preserve">, </w:t>
      </w:r>
      <w:r>
        <w:rPr>
          <w:rFonts w:ascii="Times New Roman" w:hAnsi="Times New Roman"/>
        </w:rPr>
        <w:t>учествује</w:t>
      </w:r>
      <w:r w:rsidR="001E0139" w:rsidRPr="00295637">
        <w:rPr>
          <w:rFonts w:ascii="Times New Roman" w:hAnsi="Times New Roman"/>
        </w:rPr>
        <w:t xml:space="preserve"> </w:t>
      </w:r>
      <w:r>
        <w:rPr>
          <w:rFonts w:ascii="Times New Roman" w:hAnsi="Times New Roman"/>
        </w:rPr>
        <w:t>у</w:t>
      </w:r>
      <w:r w:rsidR="000C7C15">
        <w:rPr>
          <w:rFonts w:ascii="Times New Roman" w:hAnsi="Times New Roman"/>
        </w:rPr>
        <w:t xml:space="preserve"> </w:t>
      </w:r>
      <w:r>
        <w:rPr>
          <w:rFonts w:ascii="Times New Roman" w:hAnsi="Times New Roman"/>
        </w:rPr>
        <w:t>наставку</w:t>
      </w:r>
      <w:r w:rsidR="000C7C15">
        <w:rPr>
          <w:rFonts w:ascii="Times New Roman" w:hAnsi="Times New Roman"/>
        </w:rPr>
        <w:t xml:space="preserve"> </w:t>
      </w:r>
      <w:r>
        <w:rPr>
          <w:rFonts w:ascii="Times New Roman" w:hAnsi="Times New Roman"/>
        </w:rPr>
        <w:t>регионалног</w:t>
      </w:r>
      <w:r w:rsidR="000C7C15">
        <w:rPr>
          <w:rFonts w:ascii="Times New Roman" w:hAnsi="Times New Roman"/>
        </w:rPr>
        <w:t xml:space="preserve"> </w:t>
      </w:r>
      <w:r>
        <w:rPr>
          <w:rFonts w:ascii="Times New Roman" w:hAnsi="Times New Roman"/>
        </w:rPr>
        <w:t>пројекта</w:t>
      </w:r>
      <w:r w:rsidR="000C7C15">
        <w:rPr>
          <w:rFonts w:ascii="Times New Roman" w:hAnsi="Times New Roman"/>
        </w:rPr>
        <w:t xml:space="preserve">: </w:t>
      </w:r>
      <w:r w:rsidR="001E0139" w:rsidRPr="00295637">
        <w:rPr>
          <w:rFonts w:ascii="Times New Roman" w:hAnsi="Times New Roman"/>
        </w:rPr>
        <w:t>”</w:t>
      </w:r>
      <w:r>
        <w:rPr>
          <w:rFonts w:ascii="Times New Roman" w:hAnsi="Times New Roman"/>
        </w:rPr>
        <w:t>Подршка</w:t>
      </w:r>
      <w:r w:rsidR="001E0139" w:rsidRPr="00295637">
        <w:rPr>
          <w:rFonts w:ascii="Times New Roman" w:hAnsi="Times New Roman"/>
        </w:rPr>
        <w:t xml:space="preserve"> </w:t>
      </w:r>
      <w:r>
        <w:rPr>
          <w:rFonts w:ascii="Times New Roman" w:hAnsi="Times New Roman"/>
        </w:rPr>
        <w:t>интеграцији</w:t>
      </w:r>
      <w:r w:rsidR="001E0139" w:rsidRPr="00295637">
        <w:rPr>
          <w:rFonts w:ascii="Times New Roman" w:hAnsi="Times New Roman"/>
        </w:rPr>
        <w:t xml:space="preserve"> </w:t>
      </w:r>
      <w:r>
        <w:rPr>
          <w:rFonts w:ascii="Times New Roman" w:hAnsi="Times New Roman"/>
        </w:rPr>
        <w:t>начела</w:t>
      </w:r>
      <w:r w:rsidR="001E0139" w:rsidRPr="00295637">
        <w:rPr>
          <w:rFonts w:ascii="Times New Roman" w:hAnsi="Times New Roman"/>
        </w:rPr>
        <w:t xml:space="preserve"> </w:t>
      </w:r>
      <w:r>
        <w:rPr>
          <w:rFonts w:ascii="Times New Roman" w:hAnsi="Times New Roman"/>
        </w:rPr>
        <w:t>родне</w:t>
      </w:r>
      <w:r w:rsidR="001E0139" w:rsidRPr="00295637">
        <w:rPr>
          <w:rFonts w:ascii="Times New Roman" w:hAnsi="Times New Roman"/>
        </w:rPr>
        <w:t xml:space="preserve"> </w:t>
      </w:r>
      <w:r>
        <w:rPr>
          <w:rFonts w:ascii="Times New Roman" w:hAnsi="Times New Roman"/>
        </w:rPr>
        <w:t>равноправности</w:t>
      </w:r>
      <w:r w:rsidR="001E0139" w:rsidRPr="00295637">
        <w:rPr>
          <w:rFonts w:ascii="Times New Roman" w:hAnsi="Times New Roman"/>
        </w:rPr>
        <w:t xml:space="preserve"> </w:t>
      </w:r>
      <w:r>
        <w:rPr>
          <w:rFonts w:ascii="Times New Roman" w:hAnsi="Times New Roman"/>
        </w:rPr>
        <w:t>у</w:t>
      </w:r>
      <w:r w:rsidR="001E0139" w:rsidRPr="00295637">
        <w:rPr>
          <w:rFonts w:ascii="Times New Roman" w:hAnsi="Times New Roman"/>
        </w:rPr>
        <w:t xml:space="preserve"> </w:t>
      </w:r>
      <w:r>
        <w:rPr>
          <w:rFonts w:ascii="Times New Roman" w:hAnsi="Times New Roman"/>
        </w:rPr>
        <w:t>реформу</w:t>
      </w:r>
      <w:r w:rsidR="001E0139" w:rsidRPr="00295637">
        <w:rPr>
          <w:rFonts w:ascii="Times New Roman" w:hAnsi="Times New Roman"/>
        </w:rPr>
        <w:t xml:space="preserve"> </w:t>
      </w:r>
      <w:r>
        <w:rPr>
          <w:rFonts w:ascii="Times New Roman" w:hAnsi="Times New Roman"/>
        </w:rPr>
        <w:t>сектора</w:t>
      </w:r>
      <w:r w:rsidR="001E0139" w:rsidRPr="00295637">
        <w:rPr>
          <w:rFonts w:ascii="Times New Roman" w:hAnsi="Times New Roman"/>
        </w:rPr>
        <w:t xml:space="preserve"> </w:t>
      </w:r>
      <w:r w:rsidR="00577FA5">
        <w:rPr>
          <w:rFonts w:ascii="Times New Roman" w:hAnsi="Times New Roman"/>
          <w:lang w:val="sr-Cyrl-BA"/>
        </w:rPr>
        <w:t>безбједности</w:t>
      </w:r>
      <w:r w:rsidR="001E0139" w:rsidRPr="00295637">
        <w:rPr>
          <w:rFonts w:ascii="Times New Roman" w:hAnsi="Times New Roman"/>
        </w:rPr>
        <w:t xml:space="preserve"> </w:t>
      </w:r>
      <w:r>
        <w:rPr>
          <w:rFonts w:ascii="Times New Roman" w:hAnsi="Times New Roman"/>
        </w:rPr>
        <w:t>на</w:t>
      </w:r>
      <w:r w:rsidR="001E0139" w:rsidRPr="00295637">
        <w:rPr>
          <w:rFonts w:ascii="Times New Roman" w:hAnsi="Times New Roman"/>
        </w:rPr>
        <w:t xml:space="preserve"> </w:t>
      </w:r>
      <w:r>
        <w:rPr>
          <w:rFonts w:ascii="Times New Roman" w:hAnsi="Times New Roman"/>
        </w:rPr>
        <w:t>Западном</w:t>
      </w:r>
      <w:r w:rsidR="001E0139" w:rsidRPr="00295637">
        <w:rPr>
          <w:rFonts w:ascii="Times New Roman" w:hAnsi="Times New Roman"/>
        </w:rPr>
        <w:t xml:space="preserve"> </w:t>
      </w:r>
      <w:r>
        <w:rPr>
          <w:rFonts w:ascii="Times New Roman" w:hAnsi="Times New Roman"/>
        </w:rPr>
        <w:t>Балкану</w:t>
      </w:r>
      <w:r w:rsidR="001E0139" w:rsidRPr="00295637">
        <w:rPr>
          <w:rFonts w:ascii="Times New Roman" w:hAnsi="Times New Roman"/>
        </w:rPr>
        <w:t xml:space="preserve">” </w:t>
      </w:r>
      <w:r>
        <w:rPr>
          <w:rFonts w:ascii="Times New Roman" w:hAnsi="Times New Roman"/>
        </w:rPr>
        <w:t>у</w:t>
      </w:r>
      <w:r w:rsidR="001E0139" w:rsidRPr="00295637">
        <w:rPr>
          <w:rFonts w:ascii="Times New Roman" w:hAnsi="Times New Roman"/>
        </w:rPr>
        <w:t xml:space="preserve"> </w:t>
      </w:r>
      <w:r>
        <w:rPr>
          <w:rFonts w:ascii="Times New Roman" w:hAnsi="Times New Roman"/>
        </w:rPr>
        <w:t>организацији</w:t>
      </w:r>
      <w:r w:rsidR="00837ED5" w:rsidRPr="00295637">
        <w:rPr>
          <w:rFonts w:ascii="Times New Roman" w:hAnsi="Times New Roman"/>
        </w:rPr>
        <w:t xml:space="preserve"> </w:t>
      </w:r>
      <w:r w:rsidR="00577FA5" w:rsidRPr="00577FA5">
        <w:rPr>
          <w:rFonts w:ascii="Times New Roman" w:hAnsi="Times New Roman"/>
          <w:i/>
        </w:rPr>
        <w:t>UNDP/SEESAC</w:t>
      </w:r>
      <w:r w:rsidR="001E0139" w:rsidRPr="00295637">
        <w:rPr>
          <w:rFonts w:ascii="Times New Roman" w:hAnsi="Times New Roman"/>
        </w:rPr>
        <w:t>.</w:t>
      </w:r>
      <w:r w:rsidR="00D124A2" w:rsidRPr="00295637">
        <w:rPr>
          <w:rFonts w:ascii="Times New Roman" w:hAnsi="Times New Roman"/>
        </w:rPr>
        <w:t xml:space="preserve"> </w:t>
      </w:r>
      <w:r>
        <w:rPr>
          <w:rFonts w:ascii="Times New Roman" w:hAnsi="Times New Roman"/>
        </w:rPr>
        <w:t>У</w:t>
      </w:r>
      <w:r w:rsidR="001E0139" w:rsidRPr="00295637">
        <w:rPr>
          <w:rFonts w:ascii="Times New Roman" w:hAnsi="Times New Roman"/>
        </w:rPr>
        <w:t xml:space="preserve"> </w:t>
      </w:r>
      <w:r>
        <w:rPr>
          <w:rFonts w:ascii="Times New Roman" w:hAnsi="Times New Roman"/>
        </w:rPr>
        <w:t>оквиру</w:t>
      </w:r>
      <w:r w:rsidR="001E0139" w:rsidRPr="00295637">
        <w:rPr>
          <w:rFonts w:ascii="Times New Roman" w:hAnsi="Times New Roman"/>
        </w:rPr>
        <w:t xml:space="preserve"> </w:t>
      </w:r>
      <w:r>
        <w:rPr>
          <w:rFonts w:ascii="Times New Roman" w:hAnsi="Times New Roman"/>
        </w:rPr>
        <w:t>овог</w:t>
      </w:r>
      <w:r w:rsidR="001E0139" w:rsidRPr="00295637">
        <w:rPr>
          <w:rFonts w:ascii="Times New Roman" w:hAnsi="Times New Roman"/>
        </w:rPr>
        <w:t xml:space="preserve"> </w:t>
      </w:r>
      <w:r>
        <w:rPr>
          <w:rFonts w:ascii="Times New Roman" w:hAnsi="Times New Roman"/>
        </w:rPr>
        <w:t>пројекта</w:t>
      </w:r>
      <w:r w:rsidR="001E0139" w:rsidRPr="00295637">
        <w:rPr>
          <w:rFonts w:ascii="Times New Roman" w:hAnsi="Times New Roman"/>
        </w:rPr>
        <w:t xml:space="preserve"> </w:t>
      </w:r>
      <w:r>
        <w:rPr>
          <w:rFonts w:ascii="Times New Roman" w:hAnsi="Times New Roman"/>
        </w:rPr>
        <w:t>припремљен</w:t>
      </w:r>
      <w:r w:rsidR="000C7C15">
        <w:rPr>
          <w:rFonts w:ascii="Times New Roman" w:hAnsi="Times New Roman"/>
        </w:rPr>
        <w:t xml:space="preserve"> </w:t>
      </w:r>
      <w:r>
        <w:rPr>
          <w:rFonts w:ascii="Times New Roman" w:hAnsi="Times New Roman"/>
        </w:rPr>
        <w:t>је</w:t>
      </w:r>
      <w:r w:rsidR="000C7C15">
        <w:rPr>
          <w:rFonts w:ascii="Times New Roman" w:hAnsi="Times New Roman"/>
        </w:rPr>
        <w:t xml:space="preserve"> </w:t>
      </w:r>
      <w:r>
        <w:rPr>
          <w:rFonts w:ascii="Times New Roman" w:hAnsi="Times New Roman"/>
        </w:rPr>
        <w:t>курс</w:t>
      </w:r>
      <w:r w:rsidR="000C7C15">
        <w:rPr>
          <w:rFonts w:ascii="Times New Roman" w:hAnsi="Times New Roman"/>
        </w:rPr>
        <w:t xml:space="preserve"> </w:t>
      </w:r>
      <w:r>
        <w:rPr>
          <w:rFonts w:ascii="Times New Roman" w:hAnsi="Times New Roman"/>
        </w:rPr>
        <w:t>за</w:t>
      </w:r>
      <w:r w:rsidR="000C7C15">
        <w:rPr>
          <w:rFonts w:ascii="Times New Roman" w:hAnsi="Times New Roman"/>
        </w:rPr>
        <w:t xml:space="preserve"> </w:t>
      </w:r>
      <w:r>
        <w:rPr>
          <w:rFonts w:ascii="Times New Roman" w:hAnsi="Times New Roman"/>
        </w:rPr>
        <w:t>учење</w:t>
      </w:r>
      <w:r w:rsidR="000C7C15">
        <w:rPr>
          <w:rFonts w:ascii="Times New Roman" w:hAnsi="Times New Roman"/>
        </w:rPr>
        <w:t xml:space="preserve"> </w:t>
      </w:r>
      <w:r>
        <w:rPr>
          <w:rFonts w:ascii="Times New Roman" w:hAnsi="Times New Roman"/>
        </w:rPr>
        <w:t>на</w:t>
      </w:r>
      <w:r w:rsidR="000C7C15">
        <w:rPr>
          <w:rFonts w:ascii="Times New Roman" w:hAnsi="Times New Roman"/>
        </w:rPr>
        <w:t xml:space="preserve"> </w:t>
      </w:r>
      <w:r>
        <w:rPr>
          <w:rFonts w:ascii="Times New Roman" w:hAnsi="Times New Roman"/>
        </w:rPr>
        <w:t>даљину</w:t>
      </w:r>
      <w:r w:rsidR="000C7C15">
        <w:rPr>
          <w:rFonts w:ascii="Times New Roman" w:hAnsi="Times New Roman"/>
        </w:rPr>
        <w:t xml:space="preserve"> „</w:t>
      </w:r>
      <w:r>
        <w:rPr>
          <w:rFonts w:ascii="Times New Roman" w:hAnsi="Times New Roman"/>
        </w:rPr>
        <w:t>Курс</w:t>
      </w:r>
      <w:r w:rsidR="001E0139" w:rsidRPr="00295637">
        <w:rPr>
          <w:rFonts w:ascii="Times New Roman" w:hAnsi="Times New Roman"/>
        </w:rPr>
        <w:t xml:space="preserve"> </w:t>
      </w:r>
      <w:r>
        <w:rPr>
          <w:rFonts w:ascii="Times New Roman" w:hAnsi="Times New Roman"/>
        </w:rPr>
        <w:t>о</w:t>
      </w:r>
      <w:r w:rsidR="001E0139" w:rsidRPr="00295637">
        <w:rPr>
          <w:rFonts w:ascii="Times New Roman" w:hAnsi="Times New Roman"/>
        </w:rPr>
        <w:t xml:space="preserve"> </w:t>
      </w:r>
      <w:r>
        <w:rPr>
          <w:rFonts w:ascii="Times New Roman" w:hAnsi="Times New Roman"/>
        </w:rPr>
        <w:t>родној</w:t>
      </w:r>
      <w:r w:rsidR="001E0139" w:rsidRPr="00295637">
        <w:rPr>
          <w:rFonts w:ascii="Times New Roman" w:hAnsi="Times New Roman"/>
        </w:rPr>
        <w:t xml:space="preserve"> </w:t>
      </w:r>
      <w:r>
        <w:rPr>
          <w:rFonts w:ascii="Times New Roman" w:hAnsi="Times New Roman"/>
        </w:rPr>
        <w:t>равноправности</w:t>
      </w:r>
      <w:r w:rsidR="001E0139" w:rsidRPr="00295637">
        <w:rPr>
          <w:rFonts w:ascii="Times New Roman" w:hAnsi="Times New Roman"/>
        </w:rPr>
        <w:t xml:space="preserve">”. </w:t>
      </w:r>
      <w:r>
        <w:rPr>
          <w:rFonts w:ascii="Times New Roman" w:hAnsi="Times New Roman"/>
        </w:rPr>
        <w:t>Похађању</w:t>
      </w:r>
      <w:r w:rsidR="001E0139" w:rsidRPr="00295637">
        <w:rPr>
          <w:rFonts w:ascii="Times New Roman" w:hAnsi="Times New Roman"/>
        </w:rPr>
        <w:t xml:space="preserve"> </w:t>
      </w:r>
      <w:r>
        <w:rPr>
          <w:rFonts w:ascii="Times New Roman" w:hAnsi="Times New Roman"/>
        </w:rPr>
        <w:t>предметног</w:t>
      </w:r>
      <w:r w:rsidR="001E0139" w:rsidRPr="00295637">
        <w:rPr>
          <w:rFonts w:ascii="Times New Roman" w:hAnsi="Times New Roman"/>
        </w:rPr>
        <w:t xml:space="preserve"> </w:t>
      </w:r>
      <w:r>
        <w:rPr>
          <w:rFonts w:ascii="Times New Roman" w:hAnsi="Times New Roman"/>
        </w:rPr>
        <w:t>курса</w:t>
      </w:r>
      <w:r w:rsidR="001E0139" w:rsidRPr="00295637">
        <w:rPr>
          <w:rFonts w:ascii="Times New Roman" w:hAnsi="Times New Roman"/>
        </w:rPr>
        <w:t xml:space="preserve"> </w:t>
      </w:r>
      <w:r>
        <w:rPr>
          <w:rFonts w:ascii="Times New Roman" w:hAnsi="Times New Roman"/>
        </w:rPr>
        <w:t>подлијежу</w:t>
      </w:r>
      <w:r w:rsidR="001E0139" w:rsidRPr="00295637">
        <w:rPr>
          <w:rFonts w:ascii="Times New Roman" w:hAnsi="Times New Roman"/>
        </w:rPr>
        <w:t xml:space="preserve"> </w:t>
      </w:r>
      <w:r>
        <w:rPr>
          <w:rFonts w:ascii="Times New Roman" w:hAnsi="Times New Roman"/>
        </w:rPr>
        <w:t>сви</w:t>
      </w:r>
      <w:r w:rsidR="001E0139" w:rsidRPr="00295637">
        <w:rPr>
          <w:rFonts w:ascii="Times New Roman" w:hAnsi="Times New Roman"/>
        </w:rPr>
        <w:t xml:space="preserve"> </w:t>
      </w:r>
      <w:r>
        <w:rPr>
          <w:rFonts w:ascii="Times New Roman" w:hAnsi="Times New Roman"/>
        </w:rPr>
        <w:t>државни</w:t>
      </w:r>
      <w:r w:rsidR="001E0139" w:rsidRPr="00295637">
        <w:rPr>
          <w:rFonts w:ascii="Times New Roman" w:hAnsi="Times New Roman"/>
        </w:rPr>
        <w:t xml:space="preserve"> </w:t>
      </w:r>
      <w:r>
        <w:rPr>
          <w:rFonts w:ascii="Times New Roman" w:hAnsi="Times New Roman"/>
        </w:rPr>
        <w:t>службеници</w:t>
      </w:r>
      <w:r w:rsidR="001E0139" w:rsidRPr="00295637">
        <w:rPr>
          <w:rFonts w:ascii="Times New Roman" w:hAnsi="Times New Roman"/>
        </w:rPr>
        <w:t>/</w:t>
      </w:r>
      <w:r>
        <w:rPr>
          <w:rFonts w:ascii="Times New Roman" w:hAnsi="Times New Roman"/>
        </w:rPr>
        <w:t>е</w:t>
      </w:r>
      <w:r w:rsidR="001E0139" w:rsidRPr="00295637">
        <w:rPr>
          <w:rFonts w:ascii="Times New Roman" w:hAnsi="Times New Roman"/>
        </w:rPr>
        <w:t xml:space="preserve"> </w:t>
      </w:r>
      <w:r>
        <w:rPr>
          <w:rFonts w:ascii="Times New Roman" w:hAnsi="Times New Roman"/>
        </w:rPr>
        <w:t>МО</w:t>
      </w:r>
      <w:r w:rsidR="000C7C15">
        <w:rPr>
          <w:rFonts w:ascii="Times New Roman" w:hAnsi="Times New Roman"/>
        </w:rPr>
        <w:t xml:space="preserve"> </w:t>
      </w:r>
      <w:r>
        <w:rPr>
          <w:rFonts w:ascii="Times New Roman" w:hAnsi="Times New Roman"/>
        </w:rPr>
        <w:t>БиХ</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припадници</w:t>
      </w:r>
      <w:r w:rsidR="001E0139" w:rsidRPr="00295637">
        <w:rPr>
          <w:rFonts w:ascii="Times New Roman" w:hAnsi="Times New Roman"/>
        </w:rPr>
        <w:t>/</w:t>
      </w:r>
      <w:r>
        <w:rPr>
          <w:rFonts w:ascii="Times New Roman" w:hAnsi="Times New Roman"/>
        </w:rPr>
        <w:t>е</w:t>
      </w:r>
      <w:r w:rsidR="001E0139" w:rsidRPr="00295637">
        <w:rPr>
          <w:rFonts w:ascii="Times New Roman" w:hAnsi="Times New Roman"/>
        </w:rPr>
        <w:t xml:space="preserve"> </w:t>
      </w:r>
      <w:r>
        <w:rPr>
          <w:rFonts w:ascii="Times New Roman" w:hAnsi="Times New Roman"/>
        </w:rPr>
        <w:t>ОС</w:t>
      </w:r>
      <w:r w:rsidR="000C7C15">
        <w:rPr>
          <w:rFonts w:ascii="Times New Roman" w:hAnsi="Times New Roman"/>
        </w:rPr>
        <w:t xml:space="preserve"> </w:t>
      </w:r>
      <w:r>
        <w:rPr>
          <w:rFonts w:ascii="Times New Roman" w:hAnsi="Times New Roman"/>
        </w:rPr>
        <w:t>БиХ</w:t>
      </w:r>
      <w:r w:rsidR="001E0139" w:rsidRPr="00295637">
        <w:rPr>
          <w:rFonts w:ascii="Times New Roman" w:hAnsi="Times New Roman"/>
        </w:rPr>
        <w:t xml:space="preserve"> </w:t>
      </w:r>
      <w:r>
        <w:rPr>
          <w:rFonts w:ascii="Times New Roman" w:hAnsi="Times New Roman"/>
        </w:rPr>
        <w:t>који</w:t>
      </w:r>
      <w:r w:rsidR="001E0139" w:rsidRPr="00295637">
        <w:rPr>
          <w:rFonts w:ascii="Times New Roman" w:hAnsi="Times New Roman"/>
        </w:rPr>
        <w:t xml:space="preserve"> </w:t>
      </w:r>
      <w:r>
        <w:rPr>
          <w:rFonts w:ascii="Times New Roman" w:hAnsi="Times New Roman"/>
        </w:rPr>
        <w:t>приступају</w:t>
      </w:r>
      <w:r w:rsidR="001E0139" w:rsidRPr="00295637">
        <w:rPr>
          <w:rFonts w:ascii="Times New Roman" w:hAnsi="Times New Roman"/>
        </w:rPr>
        <w:t xml:space="preserve"> </w:t>
      </w:r>
      <w:r>
        <w:rPr>
          <w:rFonts w:ascii="Times New Roman" w:hAnsi="Times New Roman"/>
        </w:rPr>
        <w:t>мрежним</w:t>
      </w:r>
      <w:r w:rsidR="001E0139" w:rsidRPr="00295637">
        <w:rPr>
          <w:rFonts w:ascii="Times New Roman" w:hAnsi="Times New Roman"/>
        </w:rPr>
        <w:t xml:space="preserve"> </w:t>
      </w:r>
      <w:r>
        <w:rPr>
          <w:rFonts w:ascii="Times New Roman" w:hAnsi="Times New Roman"/>
        </w:rPr>
        <w:t>информаци</w:t>
      </w:r>
      <w:r w:rsidR="00577FA5">
        <w:rPr>
          <w:rFonts w:ascii="Times New Roman" w:hAnsi="Times New Roman"/>
          <w:lang w:val="sr-Cyrl-BA"/>
        </w:rPr>
        <w:t>оним</w:t>
      </w:r>
      <w:r w:rsidR="000C7C15">
        <w:rPr>
          <w:rFonts w:ascii="Times New Roman" w:hAnsi="Times New Roman"/>
        </w:rPr>
        <w:t xml:space="preserve"> </w:t>
      </w:r>
      <w:r>
        <w:rPr>
          <w:rFonts w:ascii="Times New Roman" w:hAnsi="Times New Roman"/>
        </w:rPr>
        <w:t>системима</w:t>
      </w:r>
      <w:r w:rsidR="001E0139" w:rsidRPr="00295637">
        <w:rPr>
          <w:rFonts w:ascii="Times New Roman" w:hAnsi="Times New Roman"/>
        </w:rPr>
        <w:t xml:space="preserve"> </w:t>
      </w:r>
      <w:r>
        <w:rPr>
          <w:rFonts w:ascii="Times New Roman" w:hAnsi="Times New Roman"/>
        </w:rPr>
        <w:t>МО</w:t>
      </w:r>
      <w:r w:rsidR="000C7C15">
        <w:rPr>
          <w:rFonts w:ascii="Times New Roman" w:hAnsi="Times New Roman"/>
        </w:rPr>
        <w:t xml:space="preserve"> </w:t>
      </w:r>
      <w:r>
        <w:rPr>
          <w:rFonts w:ascii="Times New Roman" w:hAnsi="Times New Roman"/>
        </w:rPr>
        <w:t>БиХ</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ОС</w:t>
      </w:r>
      <w:r w:rsidR="000C7C15">
        <w:rPr>
          <w:rFonts w:ascii="Times New Roman" w:hAnsi="Times New Roman"/>
        </w:rPr>
        <w:t xml:space="preserve"> </w:t>
      </w:r>
      <w:r>
        <w:rPr>
          <w:rFonts w:ascii="Times New Roman" w:hAnsi="Times New Roman"/>
        </w:rPr>
        <w:t>БиХ</w:t>
      </w:r>
      <w:r w:rsidR="001E0139" w:rsidRPr="00295637">
        <w:rPr>
          <w:rFonts w:ascii="Times New Roman" w:hAnsi="Times New Roman"/>
        </w:rPr>
        <w:t xml:space="preserve"> </w:t>
      </w:r>
      <w:r>
        <w:rPr>
          <w:rFonts w:ascii="Times New Roman" w:hAnsi="Times New Roman"/>
        </w:rPr>
        <w:t>на</w:t>
      </w:r>
      <w:r w:rsidR="001E0139" w:rsidRPr="00295637">
        <w:rPr>
          <w:rFonts w:ascii="Times New Roman" w:hAnsi="Times New Roman"/>
        </w:rPr>
        <w:t xml:space="preserve"> </w:t>
      </w:r>
      <w:r>
        <w:rPr>
          <w:rFonts w:ascii="Times New Roman" w:hAnsi="Times New Roman"/>
        </w:rPr>
        <w:t>постојећим</w:t>
      </w:r>
      <w:r w:rsidR="001E0139" w:rsidRPr="00295637">
        <w:rPr>
          <w:rFonts w:ascii="Times New Roman" w:hAnsi="Times New Roman"/>
        </w:rPr>
        <w:t xml:space="preserve"> </w:t>
      </w:r>
      <w:r>
        <w:rPr>
          <w:rFonts w:ascii="Times New Roman" w:hAnsi="Times New Roman"/>
        </w:rPr>
        <w:t>онл</w:t>
      </w:r>
      <w:r w:rsidR="00577FA5">
        <w:rPr>
          <w:rFonts w:ascii="Times New Roman" w:hAnsi="Times New Roman"/>
          <w:lang w:val="sr-Cyrl-BA"/>
        </w:rPr>
        <w:t>ајн</w:t>
      </w:r>
      <w:r w:rsidR="001E0139" w:rsidRPr="00295637">
        <w:rPr>
          <w:rFonts w:ascii="Times New Roman" w:hAnsi="Times New Roman"/>
        </w:rPr>
        <w:t xml:space="preserve"> </w:t>
      </w:r>
      <w:r>
        <w:rPr>
          <w:rFonts w:ascii="Times New Roman" w:hAnsi="Times New Roman"/>
        </w:rPr>
        <w:t>платформама</w:t>
      </w:r>
      <w:r w:rsidR="001E0139" w:rsidRPr="00295637">
        <w:rPr>
          <w:rFonts w:ascii="Times New Roman" w:hAnsi="Times New Roman"/>
        </w:rPr>
        <w:t xml:space="preserve"> </w:t>
      </w:r>
      <w:r>
        <w:rPr>
          <w:rFonts w:ascii="Times New Roman" w:hAnsi="Times New Roman"/>
        </w:rPr>
        <w:t>за</w:t>
      </w:r>
      <w:r w:rsidR="001E0139" w:rsidRPr="00295637">
        <w:rPr>
          <w:rFonts w:ascii="Times New Roman" w:hAnsi="Times New Roman"/>
        </w:rPr>
        <w:t xml:space="preserve"> </w:t>
      </w:r>
      <w:r>
        <w:rPr>
          <w:rFonts w:ascii="Times New Roman" w:hAnsi="Times New Roman"/>
        </w:rPr>
        <w:t>учење</w:t>
      </w:r>
      <w:r w:rsidR="001E0139" w:rsidRPr="00295637">
        <w:rPr>
          <w:rFonts w:ascii="Times New Roman" w:hAnsi="Times New Roman"/>
        </w:rPr>
        <w:t xml:space="preserve"> </w:t>
      </w:r>
      <w:r>
        <w:rPr>
          <w:rFonts w:ascii="Times New Roman" w:hAnsi="Times New Roman"/>
        </w:rPr>
        <w:t>на</w:t>
      </w:r>
      <w:r w:rsidR="001E0139" w:rsidRPr="00295637">
        <w:rPr>
          <w:rFonts w:ascii="Times New Roman" w:hAnsi="Times New Roman"/>
        </w:rPr>
        <w:t xml:space="preserve"> </w:t>
      </w:r>
      <w:r>
        <w:rPr>
          <w:rFonts w:ascii="Times New Roman" w:hAnsi="Times New Roman"/>
        </w:rPr>
        <w:t>даљину</w:t>
      </w:r>
      <w:r w:rsidR="001E0139" w:rsidRPr="00295637">
        <w:rPr>
          <w:rFonts w:ascii="Times New Roman" w:hAnsi="Times New Roman"/>
        </w:rPr>
        <w:t xml:space="preserve">. </w:t>
      </w:r>
      <w:r>
        <w:rPr>
          <w:rFonts w:ascii="Times New Roman" w:hAnsi="Times New Roman"/>
        </w:rPr>
        <w:t>У</w:t>
      </w:r>
      <w:r w:rsidR="001E0139" w:rsidRPr="00295637">
        <w:rPr>
          <w:rFonts w:ascii="Times New Roman" w:hAnsi="Times New Roman"/>
        </w:rPr>
        <w:t xml:space="preserve"> </w:t>
      </w:r>
      <w:r>
        <w:rPr>
          <w:rFonts w:ascii="Times New Roman" w:hAnsi="Times New Roman"/>
        </w:rPr>
        <w:t>оквиру</w:t>
      </w:r>
      <w:r w:rsidR="001E0139" w:rsidRPr="00295637">
        <w:rPr>
          <w:rFonts w:ascii="Times New Roman" w:hAnsi="Times New Roman"/>
        </w:rPr>
        <w:t xml:space="preserve"> </w:t>
      </w:r>
      <w:r>
        <w:rPr>
          <w:rFonts w:ascii="Times New Roman" w:hAnsi="Times New Roman"/>
        </w:rPr>
        <w:t>овог</w:t>
      </w:r>
      <w:r w:rsidR="001E0139" w:rsidRPr="00295637">
        <w:rPr>
          <w:rFonts w:ascii="Times New Roman" w:hAnsi="Times New Roman"/>
        </w:rPr>
        <w:t xml:space="preserve"> </w:t>
      </w:r>
      <w:r>
        <w:rPr>
          <w:rFonts w:ascii="Times New Roman" w:hAnsi="Times New Roman"/>
        </w:rPr>
        <w:t>пројекта</w:t>
      </w:r>
      <w:r w:rsidR="001E0139" w:rsidRPr="00295637">
        <w:rPr>
          <w:rFonts w:ascii="Times New Roman" w:hAnsi="Times New Roman"/>
        </w:rPr>
        <w:t xml:space="preserve"> </w:t>
      </w:r>
      <w:r>
        <w:rPr>
          <w:rFonts w:ascii="Times New Roman" w:hAnsi="Times New Roman"/>
        </w:rPr>
        <w:t>се</w:t>
      </w:r>
      <w:r w:rsidR="001E0139" w:rsidRPr="00295637">
        <w:rPr>
          <w:rFonts w:ascii="Times New Roman" w:hAnsi="Times New Roman"/>
        </w:rPr>
        <w:t xml:space="preserve"> </w:t>
      </w:r>
      <w:r>
        <w:rPr>
          <w:rFonts w:ascii="Times New Roman" w:hAnsi="Times New Roman"/>
        </w:rPr>
        <w:t>одржавају</w:t>
      </w:r>
      <w:r w:rsidR="001E0139" w:rsidRPr="00295637">
        <w:rPr>
          <w:rFonts w:ascii="Times New Roman" w:hAnsi="Times New Roman"/>
        </w:rPr>
        <w:t xml:space="preserve"> </w:t>
      </w:r>
      <w:r>
        <w:rPr>
          <w:rFonts w:ascii="Times New Roman" w:hAnsi="Times New Roman"/>
        </w:rPr>
        <w:t>састанци</w:t>
      </w:r>
      <w:r w:rsidR="001E0139" w:rsidRPr="00295637">
        <w:rPr>
          <w:rFonts w:ascii="Times New Roman" w:hAnsi="Times New Roman"/>
        </w:rPr>
        <w:t xml:space="preserve"> </w:t>
      </w:r>
      <w:r>
        <w:rPr>
          <w:rFonts w:ascii="Times New Roman" w:hAnsi="Times New Roman"/>
        </w:rPr>
        <w:t>представника</w:t>
      </w:r>
      <w:r w:rsidR="001E0139" w:rsidRPr="00295637">
        <w:rPr>
          <w:rFonts w:ascii="Times New Roman" w:hAnsi="Times New Roman"/>
        </w:rPr>
        <w:t xml:space="preserve"> </w:t>
      </w:r>
      <w:r>
        <w:rPr>
          <w:rFonts w:ascii="Times New Roman" w:hAnsi="Times New Roman"/>
        </w:rPr>
        <w:t>механизама</w:t>
      </w:r>
      <w:r w:rsidR="001E0139" w:rsidRPr="00295637">
        <w:rPr>
          <w:rFonts w:ascii="Times New Roman" w:hAnsi="Times New Roman"/>
        </w:rPr>
        <w:t xml:space="preserve"> </w:t>
      </w:r>
      <w:r>
        <w:rPr>
          <w:rFonts w:ascii="Times New Roman" w:hAnsi="Times New Roman"/>
        </w:rPr>
        <w:t>за</w:t>
      </w:r>
      <w:r w:rsidR="001E0139" w:rsidRPr="00295637">
        <w:rPr>
          <w:rFonts w:ascii="Times New Roman" w:hAnsi="Times New Roman"/>
        </w:rPr>
        <w:t xml:space="preserve"> </w:t>
      </w:r>
      <w:r>
        <w:rPr>
          <w:rFonts w:ascii="Times New Roman" w:hAnsi="Times New Roman"/>
        </w:rPr>
        <w:t>равноправност</w:t>
      </w:r>
      <w:r w:rsidR="001E0139" w:rsidRPr="00295637">
        <w:rPr>
          <w:rFonts w:ascii="Times New Roman" w:hAnsi="Times New Roman"/>
        </w:rPr>
        <w:t xml:space="preserve"> </w:t>
      </w:r>
      <w:r>
        <w:rPr>
          <w:rFonts w:ascii="Times New Roman" w:hAnsi="Times New Roman"/>
        </w:rPr>
        <w:t>полова</w:t>
      </w:r>
      <w:r w:rsidR="00B26225" w:rsidRPr="00295637">
        <w:rPr>
          <w:rFonts w:ascii="Times New Roman" w:hAnsi="Times New Roman"/>
        </w:rPr>
        <w:t xml:space="preserve"> </w:t>
      </w:r>
      <w:r>
        <w:rPr>
          <w:rFonts w:ascii="Times New Roman" w:hAnsi="Times New Roman"/>
        </w:rPr>
        <w:t>министарстава</w:t>
      </w:r>
      <w:r w:rsidR="000C7C15">
        <w:rPr>
          <w:rFonts w:ascii="Times New Roman" w:hAnsi="Times New Roman"/>
        </w:rPr>
        <w:t xml:space="preserve"> </w:t>
      </w:r>
      <w:r>
        <w:rPr>
          <w:rFonts w:ascii="Times New Roman" w:hAnsi="Times New Roman"/>
        </w:rPr>
        <w:t>одбране</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оружаних</w:t>
      </w:r>
      <w:r w:rsidR="001E0139" w:rsidRPr="00295637">
        <w:rPr>
          <w:rFonts w:ascii="Times New Roman" w:hAnsi="Times New Roman"/>
        </w:rPr>
        <w:t xml:space="preserve"> </w:t>
      </w:r>
      <w:r>
        <w:rPr>
          <w:rFonts w:ascii="Times New Roman" w:hAnsi="Times New Roman"/>
        </w:rPr>
        <w:t>снага</w:t>
      </w:r>
      <w:r w:rsidR="001E0139" w:rsidRPr="00295637">
        <w:rPr>
          <w:rFonts w:ascii="Times New Roman" w:hAnsi="Times New Roman"/>
        </w:rPr>
        <w:t xml:space="preserve"> </w:t>
      </w:r>
      <w:r>
        <w:rPr>
          <w:rFonts w:ascii="Times New Roman" w:hAnsi="Times New Roman"/>
        </w:rPr>
        <w:t>Западног</w:t>
      </w:r>
      <w:r w:rsidR="001E0139" w:rsidRPr="00295637">
        <w:rPr>
          <w:rFonts w:ascii="Times New Roman" w:hAnsi="Times New Roman"/>
        </w:rPr>
        <w:t xml:space="preserve"> </w:t>
      </w:r>
      <w:r>
        <w:rPr>
          <w:rFonts w:ascii="Times New Roman" w:hAnsi="Times New Roman"/>
        </w:rPr>
        <w:t>Балкана</w:t>
      </w:r>
      <w:r w:rsidR="001E0139" w:rsidRPr="00295637">
        <w:rPr>
          <w:rFonts w:ascii="Times New Roman" w:hAnsi="Times New Roman"/>
        </w:rPr>
        <w:t xml:space="preserve"> </w:t>
      </w:r>
      <w:r>
        <w:rPr>
          <w:rFonts w:ascii="Times New Roman" w:hAnsi="Times New Roman"/>
        </w:rPr>
        <w:t>као</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састанци</w:t>
      </w:r>
      <w:r w:rsidR="001E0139" w:rsidRPr="00295637">
        <w:rPr>
          <w:rFonts w:ascii="Times New Roman" w:hAnsi="Times New Roman"/>
        </w:rPr>
        <w:t xml:space="preserve"> </w:t>
      </w:r>
      <w:r>
        <w:rPr>
          <w:rFonts w:ascii="Times New Roman" w:hAnsi="Times New Roman"/>
        </w:rPr>
        <w:t>тренера</w:t>
      </w:r>
      <w:r w:rsidR="001E0139" w:rsidRPr="00295637">
        <w:rPr>
          <w:rFonts w:ascii="Times New Roman" w:hAnsi="Times New Roman"/>
        </w:rPr>
        <w:t xml:space="preserve"> </w:t>
      </w:r>
      <w:r>
        <w:rPr>
          <w:rFonts w:ascii="Times New Roman" w:hAnsi="Times New Roman"/>
        </w:rPr>
        <w:t>за</w:t>
      </w:r>
      <w:r w:rsidR="001E0139" w:rsidRPr="00295637">
        <w:rPr>
          <w:rFonts w:ascii="Times New Roman" w:hAnsi="Times New Roman"/>
        </w:rPr>
        <w:t xml:space="preserve"> </w:t>
      </w:r>
      <w:r>
        <w:rPr>
          <w:rFonts w:ascii="Times New Roman" w:hAnsi="Times New Roman"/>
        </w:rPr>
        <w:t>равноправност</w:t>
      </w:r>
      <w:r w:rsidR="00B26225" w:rsidRPr="00295637">
        <w:rPr>
          <w:rFonts w:ascii="Times New Roman" w:hAnsi="Times New Roman"/>
        </w:rPr>
        <w:t xml:space="preserve"> </w:t>
      </w:r>
      <w:r>
        <w:rPr>
          <w:rFonts w:ascii="Times New Roman" w:hAnsi="Times New Roman"/>
        </w:rPr>
        <w:t>полова</w:t>
      </w:r>
      <w:r w:rsidR="001E0139" w:rsidRPr="00295637">
        <w:rPr>
          <w:rFonts w:ascii="Times New Roman" w:hAnsi="Times New Roman"/>
        </w:rPr>
        <w:t xml:space="preserve">. </w:t>
      </w:r>
      <w:r>
        <w:rPr>
          <w:rFonts w:ascii="Times New Roman" w:hAnsi="Times New Roman"/>
        </w:rPr>
        <w:t>Ови</w:t>
      </w:r>
      <w:r w:rsidR="001E0139" w:rsidRPr="00295637">
        <w:rPr>
          <w:rFonts w:ascii="Times New Roman" w:hAnsi="Times New Roman"/>
        </w:rPr>
        <w:t xml:space="preserve"> </w:t>
      </w:r>
      <w:r>
        <w:rPr>
          <w:rFonts w:ascii="Times New Roman" w:hAnsi="Times New Roman"/>
        </w:rPr>
        <w:t>састанци</w:t>
      </w:r>
      <w:r w:rsidR="001E0139" w:rsidRPr="00295637">
        <w:rPr>
          <w:rFonts w:ascii="Times New Roman" w:hAnsi="Times New Roman"/>
        </w:rPr>
        <w:t xml:space="preserve"> </w:t>
      </w:r>
      <w:r>
        <w:rPr>
          <w:rFonts w:ascii="Times New Roman" w:hAnsi="Times New Roman"/>
        </w:rPr>
        <w:t>представљају</w:t>
      </w:r>
      <w:r w:rsidR="001E0139" w:rsidRPr="00295637">
        <w:rPr>
          <w:rFonts w:ascii="Times New Roman" w:hAnsi="Times New Roman"/>
        </w:rPr>
        <w:t xml:space="preserve"> </w:t>
      </w:r>
      <w:r>
        <w:rPr>
          <w:rFonts w:ascii="Times New Roman" w:hAnsi="Times New Roman"/>
        </w:rPr>
        <w:t>облик</w:t>
      </w:r>
      <w:r w:rsidR="001E0139" w:rsidRPr="00295637">
        <w:rPr>
          <w:rFonts w:ascii="Times New Roman" w:hAnsi="Times New Roman"/>
        </w:rPr>
        <w:t xml:space="preserve"> </w:t>
      </w:r>
      <w:r>
        <w:rPr>
          <w:rFonts w:ascii="Times New Roman" w:hAnsi="Times New Roman"/>
        </w:rPr>
        <w:t>размјене</w:t>
      </w:r>
      <w:r w:rsidR="001E0139" w:rsidRPr="00295637">
        <w:rPr>
          <w:rFonts w:ascii="Times New Roman" w:hAnsi="Times New Roman"/>
        </w:rPr>
        <w:t xml:space="preserve"> </w:t>
      </w:r>
      <w:r>
        <w:rPr>
          <w:rFonts w:ascii="Times New Roman" w:hAnsi="Times New Roman"/>
        </w:rPr>
        <w:t>искустава</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sidR="001E0139" w:rsidRPr="00295637">
        <w:rPr>
          <w:rFonts w:ascii="Times New Roman" w:hAnsi="Times New Roman"/>
          <w:noProof/>
          <w:lang w:val="en-US"/>
        </w:rPr>
        <w:drawing>
          <wp:inline distT="0" distB="0" distL="0" distR="0" wp14:anchorId="26D83EEF" wp14:editId="50F30ECC">
            <wp:extent cx="3048" cy="3049"/>
            <wp:effectExtent l="0" t="0" r="0" b="0"/>
            <wp:docPr id="5163" name="Picture 5163"/>
            <wp:cNvGraphicFramePr/>
            <a:graphic xmlns:a="http://schemas.openxmlformats.org/drawingml/2006/main">
              <a:graphicData uri="http://schemas.openxmlformats.org/drawingml/2006/picture">
                <pic:pic xmlns:pic="http://schemas.openxmlformats.org/drawingml/2006/picture">
                  <pic:nvPicPr>
                    <pic:cNvPr id="5163" name="Picture 5163"/>
                    <pic:cNvPicPr/>
                  </pic:nvPicPr>
                  <pic:blipFill>
                    <a:blip r:embed="rId11"/>
                    <a:stretch>
                      <a:fillRect/>
                    </a:stretch>
                  </pic:blipFill>
                  <pic:spPr>
                    <a:xfrm>
                      <a:off x="0" y="0"/>
                      <a:ext cx="3048" cy="3049"/>
                    </a:xfrm>
                    <a:prstGeom prst="rect">
                      <a:avLst/>
                    </a:prstGeom>
                  </pic:spPr>
                </pic:pic>
              </a:graphicData>
            </a:graphic>
          </wp:inline>
        </w:drawing>
      </w:r>
      <w:r>
        <w:rPr>
          <w:rFonts w:ascii="Times New Roman" w:hAnsi="Times New Roman"/>
        </w:rPr>
        <w:t>научених</w:t>
      </w:r>
      <w:r w:rsidR="001E0139" w:rsidRPr="00295637">
        <w:rPr>
          <w:rFonts w:ascii="Times New Roman" w:hAnsi="Times New Roman"/>
        </w:rPr>
        <w:t xml:space="preserve"> </w:t>
      </w:r>
      <w:r>
        <w:rPr>
          <w:rFonts w:ascii="Times New Roman" w:hAnsi="Times New Roman"/>
        </w:rPr>
        <w:t>лекција</w:t>
      </w:r>
      <w:r w:rsidR="001E0139" w:rsidRPr="00295637">
        <w:rPr>
          <w:rFonts w:ascii="Times New Roman" w:hAnsi="Times New Roman"/>
        </w:rPr>
        <w:t>.</w:t>
      </w:r>
    </w:p>
    <w:p w:rsidR="00837ED5" w:rsidRPr="00295637" w:rsidRDefault="00837ED5" w:rsidP="0086268D">
      <w:pPr>
        <w:ind w:right="14"/>
        <w:jc w:val="both"/>
        <w:rPr>
          <w:rFonts w:ascii="Times New Roman" w:hAnsi="Times New Roman"/>
        </w:rPr>
      </w:pPr>
    </w:p>
    <w:p w:rsidR="00DB71AF" w:rsidRPr="00295637" w:rsidRDefault="00C6214E" w:rsidP="0086268D">
      <w:pPr>
        <w:ind w:right="14"/>
        <w:jc w:val="both"/>
        <w:rPr>
          <w:rFonts w:ascii="Times New Roman" w:hAnsi="Times New Roman"/>
        </w:rPr>
      </w:pPr>
      <w:r>
        <w:rPr>
          <w:rFonts w:ascii="Times New Roman" w:hAnsi="Times New Roman"/>
        </w:rPr>
        <w:t>У</w:t>
      </w:r>
      <w:r w:rsidR="00DB71AF" w:rsidRPr="006068B7">
        <w:rPr>
          <w:rFonts w:ascii="Times New Roman" w:hAnsi="Times New Roman"/>
        </w:rPr>
        <w:t xml:space="preserve"> </w:t>
      </w:r>
      <w:r>
        <w:rPr>
          <w:rFonts w:ascii="Times New Roman" w:hAnsi="Times New Roman"/>
        </w:rPr>
        <w:t>новембру</w:t>
      </w:r>
      <w:r w:rsidR="00DB71AF" w:rsidRPr="006068B7">
        <w:rPr>
          <w:rFonts w:ascii="Times New Roman" w:hAnsi="Times New Roman"/>
        </w:rPr>
        <w:t xml:space="preserve"> 2024. </w:t>
      </w:r>
      <w:r>
        <w:rPr>
          <w:rFonts w:ascii="Times New Roman" w:hAnsi="Times New Roman"/>
        </w:rPr>
        <w:t>године</w:t>
      </w:r>
      <w:r w:rsidR="00DB71AF" w:rsidRPr="006068B7">
        <w:rPr>
          <w:rFonts w:ascii="Times New Roman" w:hAnsi="Times New Roman"/>
        </w:rPr>
        <w:t xml:space="preserve"> </w:t>
      </w:r>
      <w:r>
        <w:rPr>
          <w:rFonts w:ascii="Times New Roman" w:hAnsi="Times New Roman"/>
        </w:rPr>
        <w:t>је</w:t>
      </w:r>
      <w:r w:rsidR="00DB71AF" w:rsidRPr="006068B7">
        <w:rPr>
          <w:rFonts w:ascii="Times New Roman" w:hAnsi="Times New Roman"/>
        </w:rPr>
        <w:t xml:space="preserve"> </w:t>
      </w:r>
      <w:r>
        <w:rPr>
          <w:rFonts w:ascii="Times New Roman" w:hAnsi="Times New Roman"/>
        </w:rPr>
        <w:t>у</w:t>
      </w:r>
      <w:r w:rsidR="00DB71AF" w:rsidRPr="006068B7">
        <w:rPr>
          <w:rFonts w:ascii="Times New Roman" w:hAnsi="Times New Roman"/>
        </w:rPr>
        <w:t xml:space="preserve"> </w:t>
      </w:r>
      <w:r>
        <w:rPr>
          <w:rFonts w:ascii="Times New Roman" w:hAnsi="Times New Roman"/>
        </w:rPr>
        <w:t>Сарајеву</w:t>
      </w:r>
      <w:r w:rsidR="00DB71AF" w:rsidRPr="006068B7">
        <w:rPr>
          <w:rFonts w:ascii="Times New Roman" w:hAnsi="Times New Roman"/>
        </w:rPr>
        <w:t xml:space="preserve"> </w:t>
      </w:r>
      <w:r>
        <w:rPr>
          <w:rFonts w:ascii="Times New Roman" w:hAnsi="Times New Roman"/>
        </w:rPr>
        <w:t>одржана</w:t>
      </w:r>
      <w:r w:rsidR="00DB71AF" w:rsidRPr="006068B7">
        <w:rPr>
          <w:rFonts w:ascii="Times New Roman" w:hAnsi="Times New Roman"/>
        </w:rPr>
        <w:t xml:space="preserve"> „</w:t>
      </w:r>
      <w:r>
        <w:rPr>
          <w:rFonts w:ascii="Times New Roman" w:hAnsi="Times New Roman"/>
        </w:rPr>
        <w:t>Друга</w:t>
      </w:r>
      <w:r w:rsidR="00DB71AF" w:rsidRPr="006068B7">
        <w:rPr>
          <w:rFonts w:ascii="Times New Roman" w:hAnsi="Times New Roman"/>
        </w:rPr>
        <w:t xml:space="preserve"> </w:t>
      </w:r>
      <w:r>
        <w:rPr>
          <w:rFonts w:ascii="Times New Roman" w:hAnsi="Times New Roman"/>
        </w:rPr>
        <w:t>међународна</w:t>
      </w:r>
      <w:r w:rsidR="00DB71AF">
        <w:rPr>
          <w:rFonts w:ascii="Times New Roman" w:hAnsi="Times New Roman"/>
        </w:rPr>
        <w:t xml:space="preserve"> </w:t>
      </w:r>
      <w:r>
        <w:rPr>
          <w:rFonts w:ascii="Times New Roman" w:hAnsi="Times New Roman"/>
        </w:rPr>
        <w:t>конференција</w:t>
      </w:r>
      <w:r w:rsidR="00DB71AF">
        <w:rPr>
          <w:rFonts w:ascii="Times New Roman" w:hAnsi="Times New Roman"/>
        </w:rPr>
        <w:t xml:space="preserve"> </w:t>
      </w:r>
      <w:r>
        <w:rPr>
          <w:rFonts w:ascii="Times New Roman" w:hAnsi="Times New Roman"/>
        </w:rPr>
        <w:t>Мреже</w:t>
      </w:r>
      <w:r w:rsidR="00DB71AF" w:rsidRPr="006068B7">
        <w:rPr>
          <w:rFonts w:ascii="Times New Roman" w:hAnsi="Times New Roman"/>
        </w:rPr>
        <w:t xml:space="preserve"> </w:t>
      </w:r>
      <w:r>
        <w:rPr>
          <w:rFonts w:ascii="Times New Roman" w:hAnsi="Times New Roman"/>
        </w:rPr>
        <w:t>начелника</w:t>
      </w:r>
      <w:r w:rsidR="00DB71AF" w:rsidRPr="006068B7">
        <w:rPr>
          <w:rFonts w:ascii="Times New Roman" w:hAnsi="Times New Roman"/>
        </w:rPr>
        <w:t xml:space="preserve"> </w:t>
      </w:r>
      <w:r>
        <w:rPr>
          <w:rFonts w:ascii="Times New Roman" w:hAnsi="Times New Roman"/>
        </w:rPr>
        <w:t>заједничких</w:t>
      </w:r>
      <w:r w:rsidR="00DB71AF" w:rsidRPr="006068B7">
        <w:rPr>
          <w:rFonts w:ascii="Times New Roman" w:hAnsi="Times New Roman"/>
        </w:rPr>
        <w:t xml:space="preserve"> </w:t>
      </w:r>
      <w:r>
        <w:rPr>
          <w:rFonts w:ascii="Times New Roman" w:hAnsi="Times New Roman"/>
        </w:rPr>
        <w:t>штабова</w:t>
      </w:r>
      <w:r w:rsidR="00DB71AF" w:rsidRPr="006068B7">
        <w:rPr>
          <w:rFonts w:ascii="Times New Roman" w:hAnsi="Times New Roman"/>
        </w:rPr>
        <w:t xml:space="preserve"> </w:t>
      </w:r>
      <w:r>
        <w:rPr>
          <w:rFonts w:ascii="Times New Roman" w:hAnsi="Times New Roman"/>
        </w:rPr>
        <w:t>оружаних</w:t>
      </w:r>
      <w:r w:rsidR="00DB71AF" w:rsidRPr="006068B7">
        <w:rPr>
          <w:rFonts w:ascii="Times New Roman" w:hAnsi="Times New Roman"/>
        </w:rPr>
        <w:t xml:space="preserve"> </w:t>
      </w:r>
      <w:r>
        <w:rPr>
          <w:rFonts w:ascii="Times New Roman" w:hAnsi="Times New Roman"/>
        </w:rPr>
        <w:t>снага</w:t>
      </w:r>
      <w:r w:rsidR="00DB71AF">
        <w:rPr>
          <w:rFonts w:ascii="Times New Roman" w:hAnsi="Times New Roman"/>
        </w:rPr>
        <w:t xml:space="preserve"> “</w:t>
      </w:r>
      <w:r>
        <w:rPr>
          <w:rFonts w:ascii="Times New Roman" w:hAnsi="Times New Roman"/>
        </w:rPr>
        <w:t>Жене</w:t>
      </w:r>
      <w:r w:rsidR="00DB71AF">
        <w:rPr>
          <w:rFonts w:ascii="Times New Roman" w:hAnsi="Times New Roman"/>
        </w:rPr>
        <w:t xml:space="preserve">, </w:t>
      </w:r>
      <w:r>
        <w:rPr>
          <w:rFonts w:ascii="Times New Roman" w:hAnsi="Times New Roman"/>
        </w:rPr>
        <w:t>мир</w:t>
      </w:r>
      <w:r w:rsidR="00DB71AF">
        <w:rPr>
          <w:rFonts w:ascii="Times New Roman" w:hAnsi="Times New Roman"/>
        </w:rPr>
        <w:t xml:space="preserve"> </w:t>
      </w:r>
      <w:r>
        <w:rPr>
          <w:rFonts w:ascii="Times New Roman" w:hAnsi="Times New Roman"/>
        </w:rPr>
        <w:t>и</w:t>
      </w:r>
      <w:r w:rsidR="00DB71AF">
        <w:rPr>
          <w:rFonts w:ascii="Times New Roman" w:hAnsi="Times New Roman"/>
        </w:rPr>
        <w:t xml:space="preserve"> </w:t>
      </w:r>
      <w:r w:rsidR="00577FA5">
        <w:rPr>
          <w:rFonts w:ascii="Times New Roman" w:hAnsi="Times New Roman"/>
          <w:lang w:val="sr-Cyrl-BA"/>
        </w:rPr>
        <w:t>безбједност</w:t>
      </w:r>
      <w:r w:rsidR="00DB71AF" w:rsidRPr="006068B7">
        <w:rPr>
          <w:rFonts w:ascii="Times New Roman" w:hAnsi="Times New Roman"/>
        </w:rPr>
        <w:t xml:space="preserve">“ </w:t>
      </w:r>
      <w:r>
        <w:rPr>
          <w:rFonts w:ascii="Times New Roman" w:hAnsi="Times New Roman"/>
        </w:rPr>
        <w:t>чији</w:t>
      </w:r>
      <w:r w:rsidR="00DB71AF" w:rsidRPr="006068B7">
        <w:rPr>
          <w:rFonts w:ascii="Times New Roman" w:hAnsi="Times New Roman"/>
        </w:rPr>
        <w:t xml:space="preserve"> </w:t>
      </w:r>
      <w:r>
        <w:rPr>
          <w:rFonts w:ascii="Times New Roman" w:hAnsi="Times New Roman"/>
        </w:rPr>
        <w:t>су</w:t>
      </w:r>
      <w:r w:rsidR="00DB71AF" w:rsidRPr="006068B7">
        <w:rPr>
          <w:rFonts w:ascii="Times New Roman" w:hAnsi="Times New Roman"/>
        </w:rPr>
        <w:t xml:space="preserve"> </w:t>
      </w:r>
      <w:r>
        <w:rPr>
          <w:rFonts w:ascii="Times New Roman" w:hAnsi="Times New Roman"/>
        </w:rPr>
        <w:t>домаћини</w:t>
      </w:r>
      <w:r w:rsidR="00DB71AF" w:rsidRPr="006068B7">
        <w:rPr>
          <w:rFonts w:ascii="Times New Roman" w:hAnsi="Times New Roman"/>
        </w:rPr>
        <w:t xml:space="preserve"> </w:t>
      </w:r>
      <w:r>
        <w:rPr>
          <w:rFonts w:ascii="Times New Roman" w:hAnsi="Times New Roman"/>
        </w:rPr>
        <w:t>били</w:t>
      </w:r>
      <w:r w:rsidR="00DB71AF" w:rsidRPr="006068B7">
        <w:rPr>
          <w:rFonts w:ascii="Times New Roman" w:hAnsi="Times New Roman"/>
        </w:rPr>
        <w:t xml:space="preserve"> </w:t>
      </w:r>
      <w:r>
        <w:rPr>
          <w:rFonts w:ascii="Times New Roman" w:hAnsi="Times New Roman"/>
        </w:rPr>
        <w:t>Заједнички</w:t>
      </w:r>
      <w:r w:rsidR="00DB71AF" w:rsidRPr="006068B7">
        <w:rPr>
          <w:rFonts w:ascii="Times New Roman" w:hAnsi="Times New Roman"/>
        </w:rPr>
        <w:t xml:space="preserve"> </w:t>
      </w:r>
      <w:r>
        <w:rPr>
          <w:rFonts w:ascii="Times New Roman" w:hAnsi="Times New Roman"/>
        </w:rPr>
        <w:t>штаб</w:t>
      </w:r>
      <w:r w:rsidR="000C7C15">
        <w:rPr>
          <w:rFonts w:ascii="Times New Roman" w:hAnsi="Times New Roman"/>
        </w:rPr>
        <w:t xml:space="preserve"> </w:t>
      </w:r>
      <w:r>
        <w:rPr>
          <w:rFonts w:ascii="Times New Roman" w:hAnsi="Times New Roman"/>
        </w:rPr>
        <w:t>ОС</w:t>
      </w:r>
      <w:r w:rsidR="000C7C15">
        <w:rPr>
          <w:rFonts w:ascii="Times New Roman" w:hAnsi="Times New Roman"/>
        </w:rPr>
        <w:t xml:space="preserve"> </w:t>
      </w:r>
      <w:r>
        <w:rPr>
          <w:rFonts w:ascii="Times New Roman" w:hAnsi="Times New Roman"/>
        </w:rPr>
        <w:t>БиХ</w:t>
      </w:r>
      <w:r w:rsidR="000C7C15">
        <w:rPr>
          <w:rFonts w:ascii="Times New Roman" w:hAnsi="Times New Roman"/>
        </w:rPr>
        <w:t xml:space="preserve">, </w:t>
      </w:r>
      <w:r>
        <w:rPr>
          <w:rFonts w:ascii="Times New Roman" w:hAnsi="Times New Roman"/>
        </w:rPr>
        <w:t>у</w:t>
      </w:r>
      <w:r w:rsidR="000C7C15">
        <w:rPr>
          <w:rFonts w:ascii="Times New Roman" w:hAnsi="Times New Roman"/>
        </w:rPr>
        <w:t xml:space="preserve"> </w:t>
      </w:r>
      <w:r>
        <w:rPr>
          <w:rFonts w:ascii="Times New Roman" w:hAnsi="Times New Roman"/>
        </w:rPr>
        <w:t>партнерству</w:t>
      </w:r>
      <w:r w:rsidR="000C7C15">
        <w:rPr>
          <w:rFonts w:ascii="Times New Roman" w:hAnsi="Times New Roman"/>
        </w:rPr>
        <w:t xml:space="preserve"> </w:t>
      </w:r>
      <w:r>
        <w:rPr>
          <w:rFonts w:ascii="Times New Roman" w:hAnsi="Times New Roman"/>
        </w:rPr>
        <w:t>са</w:t>
      </w:r>
      <w:r w:rsidR="00DB71AF" w:rsidRPr="006068B7">
        <w:rPr>
          <w:rFonts w:ascii="Times New Roman" w:hAnsi="Times New Roman"/>
        </w:rPr>
        <w:t xml:space="preserve"> </w:t>
      </w:r>
      <w:r>
        <w:rPr>
          <w:rFonts w:ascii="Times New Roman" w:hAnsi="Times New Roman"/>
        </w:rPr>
        <w:t>Британском</w:t>
      </w:r>
      <w:r w:rsidR="00DB71AF" w:rsidRPr="006068B7">
        <w:rPr>
          <w:rFonts w:ascii="Times New Roman" w:hAnsi="Times New Roman"/>
        </w:rPr>
        <w:t xml:space="preserve"> </w:t>
      </w:r>
      <w:r>
        <w:rPr>
          <w:rFonts w:ascii="Times New Roman" w:hAnsi="Times New Roman"/>
        </w:rPr>
        <w:t>амбасадом</w:t>
      </w:r>
      <w:r w:rsidR="00DB71AF" w:rsidRPr="006068B7">
        <w:rPr>
          <w:rFonts w:ascii="Times New Roman" w:hAnsi="Times New Roman"/>
        </w:rPr>
        <w:t xml:space="preserve"> </w:t>
      </w:r>
      <w:r>
        <w:rPr>
          <w:rFonts w:ascii="Times New Roman" w:hAnsi="Times New Roman"/>
        </w:rPr>
        <w:t>и</w:t>
      </w:r>
      <w:r w:rsidR="00DB71AF" w:rsidRPr="006068B7">
        <w:rPr>
          <w:rFonts w:ascii="Times New Roman" w:hAnsi="Times New Roman"/>
        </w:rPr>
        <w:t xml:space="preserve"> </w:t>
      </w:r>
      <w:r>
        <w:rPr>
          <w:rFonts w:ascii="Times New Roman" w:hAnsi="Times New Roman"/>
        </w:rPr>
        <w:t>иста</w:t>
      </w:r>
      <w:r w:rsidR="00DB71AF" w:rsidRPr="006068B7">
        <w:rPr>
          <w:rFonts w:ascii="Times New Roman" w:hAnsi="Times New Roman"/>
        </w:rPr>
        <w:t xml:space="preserve"> </w:t>
      </w:r>
      <w:r>
        <w:rPr>
          <w:rFonts w:ascii="Times New Roman" w:hAnsi="Times New Roman"/>
        </w:rPr>
        <w:t>је</w:t>
      </w:r>
      <w:r w:rsidR="00DB71AF" w:rsidRPr="006068B7">
        <w:rPr>
          <w:rFonts w:ascii="Times New Roman" w:hAnsi="Times New Roman"/>
        </w:rPr>
        <w:t xml:space="preserve"> </w:t>
      </w:r>
      <w:r>
        <w:rPr>
          <w:rFonts w:ascii="Times New Roman" w:hAnsi="Times New Roman"/>
        </w:rPr>
        <w:t>резултирала</w:t>
      </w:r>
      <w:r w:rsidR="00DB71AF" w:rsidRPr="006068B7">
        <w:rPr>
          <w:rFonts w:ascii="Times New Roman" w:hAnsi="Times New Roman"/>
        </w:rPr>
        <w:t xml:space="preserve"> </w:t>
      </w:r>
      <w:r>
        <w:rPr>
          <w:rFonts w:ascii="Times New Roman" w:hAnsi="Times New Roman"/>
        </w:rPr>
        <w:t>усвајањем</w:t>
      </w:r>
      <w:r w:rsidR="00DB71AF" w:rsidRPr="006068B7">
        <w:rPr>
          <w:rFonts w:ascii="Times New Roman" w:hAnsi="Times New Roman"/>
        </w:rPr>
        <w:t xml:space="preserve"> </w:t>
      </w:r>
      <w:r>
        <w:rPr>
          <w:rFonts w:ascii="Times New Roman" w:hAnsi="Times New Roman"/>
        </w:rPr>
        <w:t>конкретних</w:t>
      </w:r>
      <w:r w:rsidR="00DB71AF" w:rsidRPr="006068B7">
        <w:rPr>
          <w:rFonts w:ascii="Times New Roman" w:hAnsi="Times New Roman"/>
        </w:rPr>
        <w:t xml:space="preserve"> </w:t>
      </w:r>
      <w:r>
        <w:rPr>
          <w:rFonts w:ascii="Times New Roman" w:hAnsi="Times New Roman"/>
        </w:rPr>
        <w:t>закључака</w:t>
      </w:r>
      <w:r w:rsidR="00DB71AF" w:rsidRPr="006068B7">
        <w:rPr>
          <w:rFonts w:ascii="Times New Roman" w:hAnsi="Times New Roman"/>
        </w:rPr>
        <w:t xml:space="preserve"> </w:t>
      </w:r>
      <w:r>
        <w:rPr>
          <w:rFonts w:ascii="Times New Roman" w:hAnsi="Times New Roman"/>
        </w:rPr>
        <w:t>за</w:t>
      </w:r>
      <w:r w:rsidR="00DB71AF" w:rsidRPr="006068B7">
        <w:rPr>
          <w:rFonts w:ascii="Times New Roman" w:hAnsi="Times New Roman"/>
        </w:rPr>
        <w:t xml:space="preserve"> </w:t>
      </w:r>
      <w:r>
        <w:rPr>
          <w:rFonts w:ascii="Times New Roman" w:hAnsi="Times New Roman"/>
        </w:rPr>
        <w:t>даљу</w:t>
      </w:r>
      <w:r w:rsidR="00DB71AF" w:rsidRPr="006068B7">
        <w:rPr>
          <w:rFonts w:ascii="Times New Roman" w:hAnsi="Times New Roman"/>
        </w:rPr>
        <w:t xml:space="preserve"> </w:t>
      </w:r>
      <w:r>
        <w:rPr>
          <w:rFonts w:ascii="Times New Roman" w:hAnsi="Times New Roman"/>
        </w:rPr>
        <w:t>интеграцију</w:t>
      </w:r>
      <w:r w:rsidR="000C7C15">
        <w:rPr>
          <w:rFonts w:ascii="Times New Roman" w:hAnsi="Times New Roman"/>
        </w:rPr>
        <w:t xml:space="preserve"> </w:t>
      </w:r>
      <w:r>
        <w:rPr>
          <w:rFonts w:ascii="Times New Roman" w:hAnsi="Times New Roman"/>
        </w:rPr>
        <w:t>равноправности</w:t>
      </w:r>
      <w:r w:rsidR="000C7C15">
        <w:rPr>
          <w:rFonts w:ascii="Times New Roman" w:hAnsi="Times New Roman"/>
        </w:rPr>
        <w:t xml:space="preserve"> </w:t>
      </w:r>
      <w:r>
        <w:rPr>
          <w:rFonts w:ascii="Times New Roman" w:hAnsi="Times New Roman"/>
        </w:rPr>
        <w:t>полова</w:t>
      </w:r>
      <w:r w:rsidR="000C7C15">
        <w:rPr>
          <w:rFonts w:ascii="Times New Roman" w:hAnsi="Times New Roman"/>
        </w:rPr>
        <w:t xml:space="preserve"> </w:t>
      </w:r>
      <w:r>
        <w:rPr>
          <w:rFonts w:ascii="Times New Roman" w:hAnsi="Times New Roman"/>
        </w:rPr>
        <w:t>у</w:t>
      </w:r>
      <w:r w:rsidR="000C7C15">
        <w:rPr>
          <w:rFonts w:ascii="Times New Roman" w:hAnsi="Times New Roman"/>
        </w:rPr>
        <w:t xml:space="preserve"> </w:t>
      </w:r>
      <w:r>
        <w:rPr>
          <w:rFonts w:ascii="Times New Roman" w:hAnsi="Times New Roman"/>
        </w:rPr>
        <w:t>ОС</w:t>
      </w:r>
      <w:r w:rsidR="000C7C15">
        <w:rPr>
          <w:rFonts w:ascii="Times New Roman" w:hAnsi="Times New Roman"/>
        </w:rPr>
        <w:t xml:space="preserve"> </w:t>
      </w:r>
      <w:r>
        <w:rPr>
          <w:rFonts w:ascii="Times New Roman" w:hAnsi="Times New Roman"/>
        </w:rPr>
        <w:t>БиХ</w:t>
      </w:r>
      <w:r w:rsidR="00DB71AF" w:rsidRPr="006068B7">
        <w:rPr>
          <w:rFonts w:ascii="Times New Roman" w:hAnsi="Times New Roman"/>
        </w:rPr>
        <w:t>.</w:t>
      </w:r>
      <w:r w:rsidR="00DB71AF" w:rsidRPr="00204A51">
        <w:rPr>
          <w:rFonts w:ascii="Times New Roman" w:hAnsi="Times New Roman"/>
        </w:rPr>
        <w:t xml:space="preserve"> </w:t>
      </w:r>
      <w:r>
        <w:rPr>
          <w:rFonts w:ascii="Times New Roman" w:hAnsi="Times New Roman"/>
        </w:rPr>
        <w:t>Чланство</w:t>
      </w:r>
      <w:r w:rsidR="00DB71AF" w:rsidRPr="00295637">
        <w:rPr>
          <w:rFonts w:ascii="Times New Roman" w:hAnsi="Times New Roman"/>
        </w:rPr>
        <w:t xml:space="preserve"> </w:t>
      </w:r>
      <w:r>
        <w:rPr>
          <w:rFonts w:ascii="Times New Roman" w:hAnsi="Times New Roman"/>
        </w:rPr>
        <w:t>ОС</w:t>
      </w:r>
      <w:r w:rsidR="00DB71AF">
        <w:rPr>
          <w:rFonts w:ascii="Times New Roman" w:hAnsi="Times New Roman"/>
        </w:rPr>
        <w:t xml:space="preserve"> </w:t>
      </w:r>
      <w:r>
        <w:rPr>
          <w:rFonts w:ascii="Times New Roman" w:hAnsi="Times New Roman"/>
        </w:rPr>
        <w:t>БиХ</w:t>
      </w:r>
      <w:r w:rsidR="00DB71AF">
        <w:rPr>
          <w:rFonts w:ascii="Times New Roman" w:hAnsi="Times New Roman"/>
        </w:rPr>
        <w:t xml:space="preserve"> </w:t>
      </w:r>
      <w:r>
        <w:rPr>
          <w:rFonts w:ascii="Times New Roman" w:hAnsi="Times New Roman"/>
        </w:rPr>
        <w:t>у</w:t>
      </w:r>
      <w:r w:rsidR="00DB71AF" w:rsidRPr="00295637">
        <w:rPr>
          <w:rFonts w:ascii="Times New Roman" w:hAnsi="Times New Roman"/>
        </w:rPr>
        <w:t xml:space="preserve"> </w:t>
      </w:r>
      <w:r>
        <w:rPr>
          <w:rFonts w:ascii="Times New Roman" w:hAnsi="Times New Roman"/>
        </w:rPr>
        <w:t>Мрежи</w:t>
      </w:r>
      <w:r w:rsidR="00DB71AF" w:rsidRPr="00295637">
        <w:rPr>
          <w:rFonts w:ascii="Times New Roman" w:hAnsi="Times New Roman"/>
        </w:rPr>
        <w:t xml:space="preserve"> </w:t>
      </w:r>
      <w:r>
        <w:rPr>
          <w:rFonts w:ascii="Times New Roman" w:hAnsi="Times New Roman"/>
        </w:rPr>
        <w:t>је</w:t>
      </w:r>
      <w:r w:rsidR="00DB71AF" w:rsidRPr="00295637">
        <w:rPr>
          <w:rFonts w:ascii="Times New Roman" w:hAnsi="Times New Roman"/>
        </w:rPr>
        <w:t xml:space="preserve"> </w:t>
      </w:r>
      <w:r>
        <w:rPr>
          <w:rFonts w:ascii="Times New Roman" w:hAnsi="Times New Roman"/>
        </w:rPr>
        <w:t>отворило</w:t>
      </w:r>
      <w:r w:rsidR="00DB71AF" w:rsidRPr="00295637">
        <w:rPr>
          <w:rFonts w:ascii="Times New Roman" w:hAnsi="Times New Roman"/>
        </w:rPr>
        <w:t xml:space="preserve"> </w:t>
      </w:r>
      <w:r>
        <w:rPr>
          <w:rFonts w:ascii="Times New Roman" w:hAnsi="Times New Roman"/>
        </w:rPr>
        <w:t>нове</w:t>
      </w:r>
      <w:r w:rsidR="00DB71AF" w:rsidRPr="00295637">
        <w:rPr>
          <w:rFonts w:ascii="Times New Roman" w:hAnsi="Times New Roman"/>
        </w:rPr>
        <w:t xml:space="preserve"> </w:t>
      </w:r>
      <w:r>
        <w:rPr>
          <w:rFonts w:ascii="Times New Roman" w:hAnsi="Times New Roman"/>
        </w:rPr>
        <w:t>димензиј</w:t>
      </w:r>
      <w:r w:rsidR="00577FA5">
        <w:rPr>
          <w:rFonts w:ascii="Times New Roman" w:hAnsi="Times New Roman"/>
          <w:lang w:val="sr-Cyrl-BA"/>
        </w:rPr>
        <w:t>е</w:t>
      </w:r>
      <w:r w:rsidR="00DB71AF" w:rsidRPr="00295637">
        <w:rPr>
          <w:rFonts w:ascii="Times New Roman" w:hAnsi="Times New Roman"/>
        </w:rPr>
        <w:t xml:space="preserve"> </w:t>
      </w:r>
      <w:r>
        <w:rPr>
          <w:rFonts w:ascii="Times New Roman" w:hAnsi="Times New Roman"/>
        </w:rPr>
        <w:t>и</w:t>
      </w:r>
      <w:r w:rsidR="00DB71AF" w:rsidRPr="00295637">
        <w:rPr>
          <w:rFonts w:ascii="Times New Roman" w:hAnsi="Times New Roman"/>
        </w:rPr>
        <w:t xml:space="preserve"> </w:t>
      </w:r>
      <w:r>
        <w:rPr>
          <w:rFonts w:ascii="Times New Roman" w:hAnsi="Times New Roman"/>
        </w:rPr>
        <w:t>приступе</w:t>
      </w:r>
      <w:r w:rsidR="00DB71AF" w:rsidRPr="00295637">
        <w:rPr>
          <w:rFonts w:ascii="Times New Roman" w:hAnsi="Times New Roman"/>
        </w:rPr>
        <w:t xml:space="preserve"> </w:t>
      </w:r>
      <w:r>
        <w:rPr>
          <w:rFonts w:ascii="Times New Roman" w:hAnsi="Times New Roman"/>
        </w:rPr>
        <w:t>питањима</w:t>
      </w:r>
      <w:r w:rsidR="00DB71AF">
        <w:rPr>
          <w:rFonts w:ascii="Times New Roman" w:hAnsi="Times New Roman"/>
        </w:rPr>
        <w:t xml:space="preserve"> </w:t>
      </w:r>
      <w:r>
        <w:rPr>
          <w:rFonts w:ascii="Times New Roman" w:hAnsi="Times New Roman"/>
        </w:rPr>
        <w:t>равноправности</w:t>
      </w:r>
      <w:r w:rsidR="00DB71AF">
        <w:rPr>
          <w:rFonts w:ascii="Times New Roman" w:hAnsi="Times New Roman"/>
        </w:rPr>
        <w:t xml:space="preserve"> </w:t>
      </w:r>
      <w:r>
        <w:rPr>
          <w:rFonts w:ascii="Times New Roman" w:hAnsi="Times New Roman"/>
        </w:rPr>
        <w:t>полова</w:t>
      </w:r>
      <w:r w:rsidR="00DB71AF">
        <w:rPr>
          <w:rFonts w:ascii="Times New Roman" w:hAnsi="Times New Roman"/>
        </w:rPr>
        <w:t xml:space="preserve"> </w:t>
      </w:r>
      <w:r>
        <w:rPr>
          <w:rFonts w:ascii="Times New Roman" w:hAnsi="Times New Roman"/>
        </w:rPr>
        <w:t>у</w:t>
      </w:r>
      <w:r w:rsidR="00DB71AF">
        <w:rPr>
          <w:rFonts w:ascii="Times New Roman" w:hAnsi="Times New Roman"/>
        </w:rPr>
        <w:t xml:space="preserve"> </w:t>
      </w:r>
      <w:r>
        <w:rPr>
          <w:rFonts w:ascii="Times New Roman" w:hAnsi="Times New Roman"/>
        </w:rPr>
        <w:t>оружаним</w:t>
      </w:r>
      <w:r w:rsidR="00DB71AF">
        <w:rPr>
          <w:rFonts w:ascii="Times New Roman" w:hAnsi="Times New Roman"/>
        </w:rPr>
        <w:t xml:space="preserve"> </w:t>
      </w:r>
      <w:r>
        <w:rPr>
          <w:rFonts w:ascii="Times New Roman" w:hAnsi="Times New Roman"/>
        </w:rPr>
        <w:t>снагама</w:t>
      </w:r>
      <w:r w:rsidR="00DB71AF">
        <w:rPr>
          <w:rFonts w:ascii="Times New Roman" w:hAnsi="Times New Roman"/>
        </w:rPr>
        <w:t>.</w:t>
      </w:r>
    </w:p>
    <w:p w:rsidR="00837ED5" w:rsidRPr="00295637" w:rsidRDefault="00837ED5" w:rsidP="0086268D">
      <w:pPr>
        <w:ind w:right="14"/>
        <w:jc w:val="both"/>
        <w:rPr>
          <w:rFonts w:ascii="Times New Roman" w:hAnsi="Times New Roman"/>
        </w:rPr>
      </w:pPr>
    </w:p>
    <w:p w:rsidR="00837ED5" w:rsidRPr="00295637" w:rsidRDefault="00C6214E" w:rsidP="0086268D">
      <w:pPr>
        <w:ind w:right="14"/>
        <w:jc w:val="both"/>
        <w:rPr>
          <w:rFonts w:ascii="Times New Roman" w:hAnsi="Times New Roman"/>
        </w:rPr>
      </w:pPr>
      <w:r>
        <w:rPr>
          <w:rFonts w:ascii="Times New Roman" w:hAnsi="Times New Roman"/>
        </w:rPr>
        <w:t>У</w:t>
      </w:r>
      <w:r w:rsidR="00837ED5" w:rsidRPr="00295637">
        <w:rPr>
          <w:rFonts w:ascii="Times New Roman" w:hAnsi="Times New Roman"/>
        </w:rPr>
        <w:t xml:space="preserve"> </w:t>
      </w:r>
      <w:r>
        <w:rPr>
          <w:rFonts w:ascii="Times New Roman" w:hAnsi="Times New Roman"/>
        </w:rPr>
        <w:t>извјештајном</w:t>
      </w:r>
      <w:r w:rsidR="00837ED5" w:rsidRPr="00295637">
        <w:rPr>
          <w:rFonts w:ascii="Times New Roman" w:hAnsi="Times New Roman"/>
        </w:rPr>
        <w:t xml:space="preserve"> </w:t>
      </w:r>
      <w:r>
        <w:rPr>
          <w:rFonts w:ascii="Times New Roman" w:hAnsi="Times New Roman"/>
        </w:rPr>
        <w:t>периоду</w:t>
      </w:r>
      <w:r w:rsidR="00837ED5" w:rsidRPr="00295637">
        <w:rPr>
          <w:rFonts w:ascii="Times New Roman" w:hAnsi="Times New Roman"/>
        </w:rPr>
        <w:t xml:space="preserve"> </w:t>
      </w:r>
      <w:r>
        <w:rPr>
          <w:rFonts w:ascii="Times New Roman" w:hAnsi="Times New Roman"/>
        </w:rPr>
        <w:t>одржано</w:t>
      </w:r>
      <w:r w:rsidR="00837ED5" w:rsidRPr="00295637">
        <w:rPr>
          <w:rFonts w:ascii="Times New Roman" w:hAnsi="Times New Roman"/>
        </w:rPr>
        <w:t xml:space="preserve"> </w:t>
      </w:r>
      <w:r>
        <w:rPr>
          <w:rFonts w:ascii="Times New Roman" w:hAnsi="Times New Roman"/>
        </w:rPr>
        <w:t>је</w:t>
      </w:r>
      <w:r w:rsidR="000C7C15" w:rsidRPr="00295637">
        <w:rPr>
          <w:rFonts w:ascii="Times New Roman" w:hAnsi="Times New Roman"/>
        </w:rPr>
        <w:t xml:space="preserve"> </w:t>
      </w:r>
      <w:r>
        <w:rPr>
          <w:rFonts w:ascii="Times New Roman" w:hAnsi="Times New Roman"/>
        </w:rPr>
        <w:t>шест</w:t>
      </w:r>
      <w:r w:rsidR="001E0139" w:rsidRPr="00295637">
        <w:rPr>
          <w:rFonts w:ascii="Times New Roman" w:hAnsi="Times New Roman"/>
        </w:rPr>
        <w:t xml:space="preserve"> </w:t>
      </w:r>
      <w:r>
        <w:rPr>
          <w:rFonts w:ascii="Times New Roman" w:hAnsi="Times New Roman"/>
        </w:rPr>
        <w:t>семинара</w:t>
      </w:r>
      <w:r w:rsidR="001E0139" w:rsidRPr="00295637">
        <w:rPr>
          <w:rFonts w:ascii="Times New Roman" w:hAnsi="Times New Roman"/>
        </w:rPr>
        <w:t xml:space="preserve"> </w:t>
      </w:r>
      <w:r w:rsidR="00837ED5" w:rsidRPr="00295637">
        <w:rPr>
          <w:rFonts w:ascii="Times New Roman" w:hAnsi="Times New Roman"/>
        </w:rPr>
        <w:t>„</w:t>
      </w:r>
      <w:r>
        <w:rPr>
          <w:rFonts w:ascii="Times New Roman" w:hAnsi="Times New Roman"/>
        </w:rPr>
        <w:t>Жене</w:t>
      </w:r>
      <w:r w:rsidR="00837ED5" w:rsidRPr="00295637">
        <w:rPr>
          <w:rFonts w:ascii="Times New Roman" w:hAnsi="Times New Roman"/>
        </w:rPr>
        <w:t xml:space="preserve"> </w:t>
      </w:r>
      <w:r>
        <w:rPr>
          <w:rFonts w:ascii="Times New Roman" w:hAnsi="Times New Roman"/>
        </w:rPr>
        <w:t>у</w:t>
      </w:r>
      <w:r w:rsidR="00837ED5" w:rsidRPr="00295637">
        <w:rPr>
          <w:rFonts w:ascii="Times New Roman" w:hAnsi="Times New Roman"/>
        </w:rPr>
        <w:t xml:space="preserve"> </w:t>
      </w:r>
      <w:r>
        <w:rPr>
          <w:rFonts w:ascii="Times New Roman" w:hAnsi="Times New Roman"/>
        </w:rPr>
        <w:t>војној</w:t>
      </w:r>
      <w:r w:rsidR="00837ED5" w:rsidRPr="00295637">
        <w:rPr>
          <w:rFonts w:ascii="Times New Roman" w:hAnsi="Times New Roman"/>
        </w:rPr>
        <w:t xml:space="preserve"> </w:t>
      </w:r>
      <w:r>
        <w:rPr>
          <w:rFonts w:ascii="Times New Roman" w:hAnsi="Times New Roman"/>
        </w:rPr>
        <w:t>служби</w:t>
      </w:r>
      <w:r w:rsidR="00837ED5" w:rsidRPr="00295637">
        <w:rPr>
          <w:rFonts w:ascii="Times New Roman" w:hAnsi="Times New Roman"/>
        </w:rPr>
        <w:t xml:space="preserve">“, </w:t>
      </w:r>
      <w:r>
        <w:rPr>
          <w:rFonts w:ascii="Times New Roman" w:hAnsi="Times New Roman"/>
        </w:rPr>
        <w:t>на</w:t>
      </w:r>
      <w:r w:rsidR="001E0139" w:rsidRPr="00295637">
        <w:rPr>
          <w:rFonts w:ascii="Times New Roman" w:hAnsi="Times New Roman"/>
        </w:rPr>
        <w:t xml:space="preserve"> </w:t>
      </w:r>
      <w:r>
        <w:rPr>
          <w:rFonts w:ascii="Times New Roman" w:hAnsi="Times New Roman"/>
        </w:rPr>
        <w:t>којима</w:t>
      </w:r>
      <w:r w:rsidR="00837ED5" w:rsidRPr="00295637">
        <w:rPr>
          <w:rFonts w:ascii="Times New Roman" w:hAnsi="Times New Roman"/>
        </w:rPr>
        <w:t xml:space="preserve"> </w:t>
      </w:r>
      <w:r>
        <w:rPr>
          <w:rFonts w:ascii="Times New Roman" w:hAnsi="Times New Roman"/>
        </w:rPr>
        <w:t>је</w:t>
      </w:r>
      <w:r w:rsidR="001E0139" w:rsidRPr="00295637">
        <w:rPr>
          <w:rFonts w:ascii="Times New Roman" w:hAnsi="Times New Roman"/>
        </w:rPr>
        <w:t xml:space="preserve"> </w:t>
      </w:r>
      <w:r>
        <w:rPr>
          <w:rFonts w:ascii="Times New Roman" w:hAnsi="Times New Roman"/>
        </w:rPr>
        <w:t>учествовало</w:t>
      </w:r>
      <w:r w:rsidR="001E0139" w:rsidRPr="00295637">
        <w:rPr>
          <w:rFonts w:ascii="Times New Roman" w:hAnsi="Times New Roman"/>
        </w:rPr>
        <w:t xml:space="preserve"> </w:t>
      </w:r>
      <w:r>
        <w:rPr>
          <w:rFonts w:ascii="Times New Roman" w:hAnsi="Times New Roman"/>
        </w:rPr>
        <w:t>близу</w:t>
      </w:r>
      <w:r w:rsidR="00837ED5" w:rsidRPr="00295637">
        <w:rPr>
          <w:rFonts w:ascii="Times New Roman" w:hAnsi="Times New Roman"/>
        </w:rPr>
        <w:t xml:space="preserve"> 200 </w:t>
      </w:r>
      <w:r>
        <w:rPr>
          <w:rFonts w:ascii="Times New Roman" w:hAnsi="Times New Roman"/>
        </w:rPr>
        <w:t>припадница</w:t>
      </w:r>
      <w:r w:rsidR="00837ED5" w:rsidRPr="00295637">
        <w:rPr>
          <w:rFonts w:ascii="Times New Roman" w:hAnsi="Times New Roman"/>
        </w:rPr>
        <w:t xml:space="preserve"> </w:t>
      </w:r>
      <w:r>
        <w:rPr>
          <w:rFonts w:ascii="Times New Roman" w:hAnsi="Times New Roman"/>
        </w:rPr>
        <w:t>ОС</w:t>
      </w:r>
      <w:r w:rsidR="009E54A2" w:rsidRPr="00295637">
        <w:rPr>
          <w:rFonts w:ascii="Times New Roman" w:hAnsi="Times New Roman"/>
        </w:rPr>
        <w:t xml:space="preserve"> </w:t>
      </w:r>
      <w:r>
        <w:rPr>
          <w:rFonts w:ascii="Times New Roman" w:hAnsi="Times New Roman"/>
        </w:rPr>
        <w:t>БиХ</w:t>
      </w:r>
      <w:r w:rsidR="000C7C15">
        <w:rPr>
          <w:rFonts w:ascii="Times New Roman" w:hAnsi="Times New Roman"/>
        </w:rPr>
        <w:t>,</w:t>
      </w:r>
      <w:r w:rsidR="00837ED5" w:rsidRPr="00295637">
        <w:rPr>
          <w:rFonts w:ascii="Times New Roman" w:hAnsi="Times New Roman"/>
        </w:rPr>
        <w:t xml:space="preserve"> </w:t>
      </w:r>
      <w:r>
        <w:rPr>
          <w:rFonts w:ascii="Times New Roman" w:hAnsi="Times New Roman"/>
        </w:rPr>
        <w:t>а</w:t>
      </w:r>
      <w:r w:rsidR="00837ED5" w:rsidRPr="00295637">
        <w:rPr>
          <w:rFonts w:ascii="Times New Roman" w:hAnsi="Times New Roman"/>
        </w:rPr>
        <w:t xml:space="preserve"> </w:t>
      </w:r>
      <w:r>
        <w:rPr>
          <w:rFonts w:ascii="Times New Roman" w:hAnsi="Times New Roman"/>
        </w:rPr>
        <w:t>реализ</w:t>
      </w:r>
      <w:r w:rsidR="00577FA5">
        <w:rPr>
          <w:rFonts w:ascii="Times New Roman" w:hAnsi="Times New Roman"/>
          <w:lang w:val="sr-Cyrl-BA"/>
        </w:rPr>
        <w:t>ују</w:t>
      </w:r>
      <w:r w:rsidR="00837ED5" w:rsidRPr="00295637">
        <w:rPr>
          <w:rFonts w:ascii="Times New Roman" w:hAnsi="Times New Roman"/>
        </w:rPr>
        <w:t xml:space="preserve"> </w:t>
      </w:r>
      <w:r>
        <w:rPr>
          <w:rFonts w:ascii="Times New Roman" w:hAnsi="Times New Roman"/>
        </w:rPr>
        <w:t>се</w:t>
      </w:r>
      <w:r w:rsidR="00837ED5" w:rsidRPr="00295637">
        <w:rPr>
          <w:rFonts w:ascii="Times New Roman" w:hAnsi="Times New Roman"/>
        </w:rPr>
        <w:t xml:space="preserve"> </w:t>
      </w:r>
      <w:r>
        <w:rPr>
          <w:rFonts w:ascii="Times New Roman" w:hAnsi="Times New Roman"/>
        </w:rPr>
        <w:t>уз</w:t>
      </w:r>
      <w:r w:rsidR="00837ED5" w:rsidRPr="00295637">
        <w:rPr>
          <w:rFonts w:ascii="Times New Roman" w:hAnsi="Times New Roman"/>
        </w:rPr>
        <w:t xml:space="preserve"> </w:t>
      </w:r>
      <w:r>
        <w:rPr>
          <w:rFonts w:ascii="Times New Roman" w:hAnsi="Times New Roman"/>
        </w:rPr>
        <w:t>подршку</w:t>
      </w:r>
      <w:r w:rsidR="00837ED5" w:rsidRPr="00295637">
        <w:rPr>
          <w:rFonts w:ascii="Times New Roman" w:hAnsi="Times New Roman"/>
        </w:rPr>
        <w:t xml:space="preserve"> </w:t>
      </w:r>
      <w:r>
        <w:rPr>
          <w:rFonts w:ascii="Times New Roman" w:hAnsi="Times New Roman"/>
        </w:rPr>
        <w:t>МО</w:t>
      </w:r>
      <w:r w:rsidR="00837ED5" w:rsidRPr="00295637">
        <w:rPr>
          <w:rFonts w:ascii="Times New Roman" w:hAnsi="Times New Roman"/>
        </w:rPr>
        <w:t xml:space="preserve"> </w:t>
      </w:r>
      <w:r>
        <w:rPr>
          <w:rFonts w:ascii="Times New Roman" w:hAnsi="Times New Roman"/>
        </w:rPr>
        <w:t>Краљевине</w:t>
      </w:r>
      <w:r w:rsidR="00837ED5" w:rsidRPr="00295637">
        <w:rPr>
          <w:rFonts w:ascii="Times New Roman" w:hAnsi="Times New Roman"/>
        </w:rPr>
        <w:t xml:space="preserve"> </w:t>
      </w:r>
      <w:r>
        <w:rPr>
          <w:rFonts w:ascii="Times New Roman" w:hAnsi="Times New Roman"/>
        </w:rPr>
        <w:t>Норвешке</w:t>
      </w:r>
      <w:r w:rsidR="00837ED5" w:rsidRPr="00295637">
        <w:rPr>
          <w:rFonts w:ascii="Times New Roman" w:hAnsi="Times New Roman"/>
        </w:rPr>
        <w:t xml:space="preserve"> </w:t>
      </w:r>
      <w:r>
        <w:rPr>
          <w:rFonts w:ascii="Times New Roman" w:hAnsi="Times New Roman"/>
        </w:rPr>
        <w:t>и</w:t>
      </w:r>
      <w:r w:rsidR="00837ED5" w:rsidRPr="00295637">
        <w:rPr>
          <w:rFonts w:ascii="Times New Roman" w:hAnsi="Times New Roman"/>
        </w:rPr>
        <w:t xml:space="preserve"> </w:t>
      </w:r>
      <w:r>
        <w:rPr>
          <w:rFonts w:ascii="Times New Roman" w:hAnsi="Times New Roman"/>
        </w:rPr>
        <w:t>НАТО</w:t>
      </w:r>
      <w:r w:rsidR="00837ED5" w:rsidRPr="00295637">
        <w:rPr>
          <w:rFonts w:ascii="Times New Roman" w:hAnsi="Times New Roman"/>
        </w:rPr>
        <w:t xml:space="preserve"> </w:t>
      </w:r>
      <w:r>
        <w:rPr>
          <w:rFonts w:ascii="Times New Roman" w:hAnsi="Times New Roman"/>
        </w:rPr>
        <w:t>штаба</w:t>
      </w:r>
      <w:r w:rsidR="00837ED5" w:rsidRPr="00295637">
        <w:rPr>
          <w:rFonts w:ascii="Times New Roman" w:hAnsi="Times New Roman"/>
        </w:rPr>
        <w:t xml:space="preserve"> </w:t>
      </w:r>
      <w:r>
        <w:rPr>
          <w:rFonts w:ascii="Times New Roman" w:hAnsi="Times New Roman"/>
        </w:rPr>
        <w:t>у</w:t>
      </w:r>
      <w:r w:rsidR="00837ED5" w:rsidRPr="00295637">
        <w:rPr>
          <w:rFonts w:ascii="Times New Roman" w:hAnsi="Times New Roman"/>
        </w:rPr>
        <w:t xml:space="preserve"> </w:t>
      </w:r>
      <w:r>
        <w:rPr>
          <w:rFonts w:ascii="Times New Roman" w:hAnsi="Times New Roman"/>
        </w:rPr>
        <w:t>Сарајеву</w:t>
      </w:r>
      <w:r w:rsidR="00837ED5" w:rsidRPr="00295637">
        <w:rPr>
          <w:rFonts w:ascii="Times New Roman" w:hAnsi="Times New Roman"/>
        </w:rPr>
        <w:t>.</w:t>
      </w:r>
    </w:p>
    <w:p w:rsidR="00837ED5" w:rsidRPr="00295637" w:rsidRDefault="00837ED5" w:rsidP="0086268D">
      <w:pPr>
        <w:ind w:right="14"/>
        <w:jc w:val="both"/>
        <w:rPr>
          <w:rFonts w:ascii="Times New Roman" w:hAnsi="Times New Roman"/>
        </w:rPr>
      </w:pPr>
    </w:p>
    <w:p w:rsidR="00D124A2" w:rsidRPr="00295637" w:rsidRDefault="001E0139" w:rsidP="0086268D">
      <w:pPr>
        <w:ind w:right="14"/>
        <w:jc w:val="both"/>
        <w:rPr>
          <w:rFonts w:ascii="Times New Roman" w:hAnsi="Times New Roman"/>
        </w:rPr>
      </w:pPr>
      <w:r w:rsidRPr="00295637">
        <w:rPr>
          <w:rFonts w:ascii="Times New Roman" w:hAnsi="Times New Roman"/>
          <w:noProof/>
          <w:lang w:val="en-US"/>
        </w:rPr>
        <w:drawing>
          <wp:anchor distT="0" distB="0" distL="114300" distR="114300" simplePos="0" relativeHeight="251661312" behindDoc="0" locked="0" layoutInCell="1" allowOverlap="0" wp14:anchorId="178B75E3" wp14:editId="5C364DC5">
            <wp:simplePos x="0" y="0"/>
            <wp:positionH relativeFrom="page">
              <wp:posOffset>551688</wp:posOffset>
            </wp:positionH>
            <wp:positionV relativeFrom="page">
              <wp:posOffset>8186215</wp:posOffset>
            </wp:positionV>
            <wp:extent cx="6096" cy="9146"/>
            <wp:effectExtent l="0" t="0" r="0" b="0"/>
            <wp:wrapSquare wrapText="bothSides"/>
            <wp:docPr id="8561" name="Picture 8561"/>
            <wp:cNvGraphicFramePr/>
            <a:graphic xmlns:a="http://schemas.openxmlformats.org/drawingml/2006/main">
              <a:graphicData uri="http://schemas.openxmlformats.org/drawingml/2006/picture">
                <pic:pic xmlns:pic="http://schemas.openxmlformats.org/drawingml/2006/picture">
                  <pic:nvPicPr>
                    <pic:cNvPr id="8561" name="Picture 8561"/>
                    <pic:cNvPicPr/>
                  </pic:nvPicPr>
                  <pic:blipFill>
                    <a:blip r:embed="rId12"/>
                    <a:stretch>
                      <a:fillRect/>
                    </a:stretch>
                  </pic:blipFill>
                  <pic:spPr>
                    <a:xfrm>
                      <a:off x="0" y="0"/>
                      <a:ext cx="6096" cy="9146"/>
                    </a:xfrm>
                    <a:prstGeom prst="rect">
                      <a:avLst/>
                    </a:prstGeom>
                  </pic:spPr>
                </pic:pic>
              </a:graphicData>
            </a:graphic>
          </wp:anchor>
        </w:drawing>
      </w:r>
      <w:r w:rsidRPr="00295637">
        <w:rPr>
          <w:rFonts w:ascii="Times New Roman" w:hAnsi="Times New Roman"/>
          <w:noProof/>
          <w:lang w:val="en-US"/>
        </w:rPr>
        <w:drawing>
          <wp:anchor distT="0" distB="0" distL="114300" distR="114300" simplePos="0" relativeHeight="251662336" behindDoc="0" locked="0" layoutInCell="1" allowOverlap="0" wp14:anchorId="2A526346" wp14:editId="35B72CB4">
            <wp:simplePos x="0" y="0"/>
            <wp:positionH relativeFrom="page">
              <wp:posOffset>594360</wp:posOffset>
            </wp:positionH>
            <wp:positionV relativeFrom="page">
              <wp:posOffset>8201459</wp:posOffset>
            </wp:positionV>
            <wp:extent cx="3048" cy="12195"/>
            <wp:effectExtent l="0" t="0" r="0" b="0"/>
            <wp:wrapSquare wrapText="bothSides"/>
            <wp:docPr id="8562" name="Picture 8562"/>
            <wp:cNvGraphicFramePr/>
            <a:graphic xmlns:a="http://schemas.openxmlformats.org/drawingml/2006/main">
              <a:graphicData uri="http://schemas.openxmlformats.org/drawingml/2006/picture">
                <pic:pic xmlns:pic="http://schemas.openxmlformats.org/drawingml/2006/picture">
                  <pic:nvPicPr>
                    <pic:cNvPr id="8562" name="Picture 8562"/>
                    <pic:cNvPicPr/>
                  </pic:nvPicPr>
                  <pic:blipFill>
                    <a:blip r:embed="rId13"/>
                    <a:stretch>
                      <a:fillRect/>
                    </a:stretch>
                  </pic:blipFill>
                  <pic:spPr>
                    <a:xfrm>
                      <a:off x="0" y="0"/>
                      <a:ext cx="3048" cy="12195"/>
                    </a:xfrm>
                    <a:prstGeom prst="rect">
                      <a:avLst/>
                    </a:prstGeom>
                  </pic:spPr>
                </pic:pic>
              </a:graphicData>
            </a:graphic>
          </wp:anchor>
        </w:drawing>
      </w:r>
      <w:r w:rsidRPr="00295637">
        <w:rPr>
          <w:rFonts w:ascii="Times New Roman" w:hAnsi="Times New Roman"/>
          <w:noProof/>
          <w:lang w:val="en-US"/>
        </w:rPr>
        <w:drawing>
          <wp:anchor distT="0" distB="0" distL="114300" distR="114300" simplePos="0" relativeHeight="251663360" behindDoc="0" locked="0" layoutInCell="1" allowOverlap="0" wp14:anchorId="4F3AB8AD" wp14:editId="1ACBA309">
            <wp:simplePos x="0" y="0"/>
            <wp:positionH relativeFrom="column">
              <wp:posOffset>5544312</wp:posOffset>
            </wp:positionH>
            <wp:positionV relativeFrom="paragraph">
              <wp:posOffset>1072311</wp:posOffset>
            </wp:positionV>
            <wp:extent cx="3049" cy="9147"/>
            <wp:effectExtent l="0" t="0" r="0" b="0"/>
            <wp:wrapSquare wrapText="bothSides"/>
            <wp:docPr id="8558" name="Picture 8558"/>
            <wp:cNvGraphicFramePr/>
            <a:graphic xmlns:a="http://schemas.openxmlformats.org/drawingml/2006/main">
              <a:graphicData uri="http://schemas.openxmlformats.org/drawingml/2006/picture">
                <pic:pic xmlns:pic="http://schemas.openxmlformats.org/drawingml/2006/picture">
                  <pic:nvPicPr>
                    <pic:cNvPr id="8558" name="Picture 8558"/>
                    <pic:cNvPicPr/>
                  </pic:nvPicPr>
                  <pic:blipFill>
                    <a:blip r:embed="rId14"/>
                    <a:stretch>
                      <a:fillRect/>
                    </a:stretch>
                  </pic:blipFill>
                  <pic:spPr>
                    <a:xfrm>
                      <a:off x="0" y="0"/>
                      <a:ext cx="3049" cy="9147"/>
                    </a:xfrm>
                    <a:prstGeom prst="rect">
                      <a:avLst/>
                    </a:prstGeom>
                  </pic:spPr>
                </pic:pic>
              </a:graphicData>
            </a:graphic>
          </wp:anchor>
        </w:drawing>
      </w:r>
      <w:r w:rsidR="00C6214E">
        <w:rPr>
          <w:rFonts w:ascii="Times New Roman" w:hAnsi="Times New Roman"/>
        </w:rPr>
        <w:t>Обука</w:t>
      </w:r>
      <w:r w:rsidRPr="00295637">
        <w:rPr>
          <w:rFonts w:ascii="Times New Roman" w:hAnsi="Times New Roman"/>
        </w:rPr>
        <w:t xml:space="preserve"> </w:t>
      </w:r>
      <w:r w:rsidR="00C6214E">
        <w:rPr>
          <w:rFonts w:ascii="Times New Roman" w:hAnsi="Times New Roman"/>
        </w:rPr>
        <w:t>у</w:t>
      </w:r>
      <w:r w:rsidRPr="00295637">
        <w:rPr>
          <w:rFonts w:ascii="Times New Roman" w:hAnsi="Times New Roman"/>
        </w:rPr>
        <w:t xml:space="preserve"> </w:t>
      </w:r>
      <w:r w:rsidR="00C6214E">
        <w:rPr>
          <w:rFonts w:ascii="Times New Roman" w:hAnsi="Times New Roman"/>
        </w:rPr>
        <w:t>ОС</w:t>
      </w:r>
      <w:r w:rsidR="009E54A2" w:rsidRPr="00295637">
        <w:rPr>
          <w:rFonts w:ascii="Times New Roman" w:hAnsi="Times New Roman"/>
        </w:rPr>
        <w:t xml:space="preserve"> </w:t>
      </w:r>
      <w:r w:rsidR="00C6214E">
        <w:rPr>
          <w:rFonts w:ascii="Times New Roman" w:hAnsi="Times New Roman"/>
        </w:rPr>
        <w:t>БиХ</w:t>
      </w:r>
      <w:r w:rsidR="009E54A2" w:rsidRPr="00295637">
        <w:rPr>
          <w:rFonts w:ascii="Times New Roman" w:hAnsi="Times New Roman"/>
        </w:rPr>
        <w:t xml:space="preserve"> </w:t>
      </w:r>
      <w:r w:rsidR="00C6214E">
        <w:rPr>
          <w:rFonts w:ascii="Times New Roman" w:hAnsi="Times New Roman"/>
        </w:rPr>
        <w:t>се</w:t>
      </w:r>
      <w:r w:rsidRPr="00295637">
        <w:rPr>
          <w:rFonts w:ascii="Times New Roman" w:hAnsi="Times New Roman"/>
        </w:rPr>
        <w:t xml:space="preserve"> </w:t>
      </w:r>
      <w:r w:rsidR="00C6214E">
        <w:rPr>
          <w:rFonts w:ascii="Times New Roman" w:hAnsi="Times New Roman"/>
        </w:rPr>
        <w:t>одвија</w:t>
      </w:r>
      <w:r w:rsidRPr="00295637">
        <w:rPr>
          <w:rFonts w:ascii="Times New Roman" w:hAnsi="Times New Roman"/>
        </w:rPr>
        <w:t xml:space="preserve"> </w:t>
      </w:r>
      <w:r w:rsidR="00C6214E">
        <w:rPr>
          <w:rFonts w:ascii="Times New Roman" w:hAnsi="Times New Roman"/>
        </w:rPr>
        <w:t>на</w:t>
      </w:r>
      <w:r w:rsidRPr="00295637">
        <w:rPr>
          <w:rFonts w:ascii="Times New Roman" w:hAnsi="Times New Roman"/>
        </w:rPr>
        <w:t xml:space="preserve"> </w:t>
      </w:r>
      <w:r w:rsidR="00C6214E">
        <w:rPr>
          <w:rFonts w:ascii="Times New Roman" w:hAnsi="Times New Roman"/>
        </w:rPr>
        <w:t>три</w:t>
      </w:r>
      <w:r w:rsidRPr="00295637">
        <w:rPr>
          <w:rFonts w:ascii="Times New Roman" w:hAnsi="Times New Roman"/>
        </w:rPr>
        <w:t xml:space="preserve"> </w:t>
      </w:r>
      <w:r w:rsidR="00C6214E">
        <w:rPr>
          <w:rFonts w:ascii="Times New Roman" w:hAnsi="Times New Roman"/>
        </w:rPr>
        <w:t>нивоа</w:t>
      </w:r>
      <w:r w:rsidRPr="00295637">
        <w:rPr>
          <w:rFonts w:ascii="Times New Roman" w:hAnsi="Times New Roman"/>
        </w:rPr>
        <w:t xml:space="preserve">: </w:t>
      </w:r>
      <w:r w:rsidR="00C6214E">
        <w:rPr>
          <w:rFonts w:ascii="Times New Roman" w:hAnsi="Times New Roman"/>
        </w:rPr>
        <w:t>оперативно</w:t>
      </w:r>
      <w:r w:rsidRPr="00295637">
        <w:rPr>
          <w:rFonts w:ascii="Times New Roman" w:hAnsi="Times New Roman"/>
        </w:rPr>
        <w:t>-</w:t>
      </w:r>
      <w:r w:rsidR="00C6214E">
        <w:rPr>
          <w:rFonts w:ascii="Times New Roman" w:hAnsi="Times New Roman"/>
        </w:rPr>
        <w:t>стратегијски</w:t>
      </w:r>
      <w:r w:rsidRPr="00295637">
        <w:rPr>
          <w:rFonts w:ascii="Times New Roman" w:hAnsi="Times New Roman"/>
        </w:rPr>
        <w:t xml:space="preserve">, </w:t>
      </w:r>
      <w:r w:rsidR="00C6214E">
        <w:rPr>
          <w:rFonts w:ascii="Times New Roman" w:hAnsi="Times New Roman"/>
        </w:rPr>
        <w:t>тактички</w:t>
      </w:r>
      <w:r w:rsidRPr="00295637">
        <w:rPr>
          <w:rFonts w:ascii="Times New Roman" w:hAnsi="Times New Roman"/>
        </w:rPr>
        <w:t xml:space="preserve">, </w:t>
      </w:r>
      <w:r w:rsidR="00C6214E">
        <w:rPr>
          <w:rFonts w:ascii="Times New Roman" w:hAnsi="Times New Roman"/>
        </w:rPr>
        <w:t>те</w:t>
      </w:r>
      <w:r w:rsidRPr="00295637">
        <w:rPr>
          <w:rFonts w:ascii="Times New Roman" w:hAnsi="Times New Roman"/>
        </w:rPr>
        <w:t xml:space="preserve"> </w:t>
      </w:r>
      <w:r w:rsidR="00C6214E">
        <w:rPr>
          <w:rFonts w:ascii="Times New Roman" w:hAnsi="Times New Roman"/>
        </w:rPr>
        <w:t>кроз</w:t>
      </w:r>
      <w:r w:rsidRPr="00295637">
        <w:rPr>
          <w:rFonts w:ascii="Times New Roman" w:hAnsi="Times New Roman"/>
        </w:rPr>
        <w:t xml:space="preserve"> </w:t>
      </w:r>
      <w:r w:rsidR="00C6214E">
        <w:rPr>
          <w:rFonts w:ascii="Times New Roman" w:hAnsi="Times New Roman"/>
        </w:rPr>
        <w:t>обуке</w:t>
      </w:r>
      <w:r w:rsidRPr="00295637">
        <w:rPr>
          <w:rFonts w:ascii="Times New Roman" w:hAnsi="Times New Roman"/>
        </w:rPr>
        <w:t xml:space="preserve"> </w:t>
      </w:r>
      <w:r w:rsidR="00C6214E">
        <w:rPr>
          <w:rFonts w:ascii="Times New Roman" w:hAnsi="Times New Roman"/>
        </w:rPr>
        <w:t>прије</w:t>
      </w:r>
      <w:r w:rsidR="00B26225" w:rsidRPr="00295637">
        <w:rPr>
          <w:rFonts w:ascii="Times New Roman" w:hAnsi="Times New Roman"/>
        </w:rPr>
        <w:t xml:space="preserve"> </w:t>
      </w:r>
      <w:r w:rsidR="00C6214E">
        <w:rPr>
          <w:rFonts w:ascii="Times New Roman" w:hAnsi="Times New Roman"/>
        </w:rPr>
        <w:t>слања</w:t>
      </w:r>
      <w:r w:rsidR="00B26225" w:rsidRPr="00295637">
        <w:rPr>
          <w:rFonts w:ascii="Times New Roman" w:hAnsi="Times New Roman"/>
        </w:rPr>
        <w:t xml:space="preserve"> </w:t>
      </w:r>
      <w:r w:rsidR="00C6214E">
        <w:rPr>
          <w:rFonts w:ascii="Times New Roman" w:hAnsi="Times New Roman"/>
        </w:rPr>
        <w:t>у</w:t>
      </w:r>
      <w:r w:rsidR="00B26225" w:rsidRPr="00295637">
        <w:rPr>
          <w:rFonts w:ascii="Times New Roman" w:hAnsi="Times New Roman"/>
        </w:rPr>
        <w:t xml:space="preserve"> </w:t>
      </w:r>
      <w:r w:rsidR="00C6214E">
        <w:rPr>
          <w:rFonts w:ascii="Times New Roman" w:hAnsi="Times New Roman"/>
        </w:rPr>
        <w:t>мисије</w:t>
      </w:r>
      <w:r w:rsidR="00B26225" w:rsidRPr="00295637">
        <w:rPr>
          <w:rFonts w:ascii="Times New Roman" w:hAnsi="Times New Roman"/>
        </w:rPr>
        <w:t xml:space="preserve"> </w:t>
      </w:r>
      <w:r w:rsidR="00C6214E">
        <w:rPr>
          <w:rFonts w:ascii="Times New Roman" w:hAnsi="Times New Roman"/>
        </w:rPr>
        <w:t>ван</w:t>
      </w:r>
      <w:r w:rsidR="00001748" w:rsidRPr="00295637">
        <w:rPr>
          <w:rFonts w:ascii="Times New Roman" w:hAnsi="Times New Roman"/>
        </w:rPr>
        <w:t xml:space="preserve"> </w:t>
      </w:r>
      <w:r w:rsidR="00C6214E">
        <w:rPr>
          <w:rFonts w:ascii="Times New Roman" w:hAnsi="Times New Roman"/>
        </w:rPr>
        <w:t>БиХ</w:t>
      </w:r>
      <w:r w:rsidR="00B26225" w:rsidRPr="00295637">
        <w:rPr>
          <w:rFonts w:ascii="Times New Roman" w:hAnsi="Times New Roman"/>
        </w:rPr>
        <w:t xml:space="preserve">. </w:t>
      </w:r>
      <w:r w:rsidR="00C6214E">
        <w:rPr>
          <w:rFonts w:ascii="Times New Roman" w:hAnsi="Times New Roman"/>
        </w:rPr>
        <w:t>Израђен</w:t>
      </w:r>
      <w:r w:rsidRPr="00295637">
        <w:rPr>
          <w:rFonts w:ascii="Times New Roman" w:hAnsi="Times New Roman"/>
        </w:rPr>
        <w:t xml:space="preserve"> </w:t>
      </w:r>
      <w:r w:rsidR="00C6214E">
        <w:rPr>
          <w:rFonts w:ascii="Times New Roman" w:hAnsi="Times New Roman"/>
        </w:rPr>
        <w:t>је</w:t>
      </w:r>
      <w:r w:rsidRPr="00295637">
        <w:rPr>
          <w:rFonts w:ascii="Times New Roman" w:hAnsi="Times New Roman"/>
        </w:rPr>
        <w:t xml:space="preserve"> </w:t>
      </w:r>
      <w:r w:rsidR="00C6214E">
        <w:rPr>
          <w:rFonts w:ascii="Times New Roman" w:hAnsi="Times New Roman"/>
        </w:rPr>
        <w:t>Програм</w:t>
      </w:r>
      <w:r w:rsidRPr="00295637">
        <w:rPr>
          <w:rFonts w:ascii="Times New Roman" w:hAnsi="Times New Roman"/>
        </w:rPr>
        <w:t xml:space="preserve"> </w:t>
      </w:r>
      <w:r w:rsidR="00C6214E">
        <w:rPr>
          <w:rFonts w:ascii="Times New Roman" w:hAnsi="Times New Roman"/>
        </w:rPr>
        <w:t>обуке</w:t>
      </w:r>
      <w:r w:rsidRPr="00295637">
        <w:rPr>
          <w:rFonts w:ascii="Times New Roman" w:hAnsi="Times New Roman"/>
        </w:rPr>
        <w:t xml:space="preserve"> </w:t>
      </w:r>
      <w:r w:rsidR="00C6214E">
        <w:rPr>
          <w:rFonts w:ascii="Times New Roman" w:hAnsi="Times New Roman"/>
        </w:rPr>
        <w:t>за</w:t>
      </w:r>
      <w:r w:rsidRPr="00295637">
        <w:rPr>
          <w:rFonts w:ascii="Times New Roman" w:hAnsi="Times New Roman"/>
        </w:rPr>
        <w:t xml:space="preserve"> </w:t>
      </w:r>
      <w:r w:rsidR="00C6214E">
        <w:rPr>
          <w:rFonts w:ascii="Times New Roman" w:hAnsi="Times New Roman"/>
        </w:rPr>
        <w:t>интегри</w:t>
      </w:r>
      <w:r w:rsidR="00577FA5">
        <w:rPr>
          <w:rFonts w:ascii="Times New Roman" w:hAnsi="Times New Roman"/>
          <w:lang w:val="sr-Cyrl-BA"/>
        </w:rPr>
        <w:t>с</w:t>
      </w:r>
      <w:r w:rsidR="00C6214E">
        <w:rPr>
          <w:rFonts w:ascii="Times New Roman" w:hAnsi="Times New Roman"/>
        </w:rPr>
        <w:t>ање</w:t>
      </w:r>
      <w:r w:rsidRPr="00295637">
        <w:rPr>
          <w:rFonts w:ascii="Times New Roman" w:hAnsi="Times New Roman"/>
        </w:rPr>
        <w:t xml:space="preserve"> </w:t>
      </w:r>
      <w:r w:rsidR="00C6214E">
        <w:rPr>
          <w:rFonts w:ascii="Times New Roman" w:hAnsi="Times New Roman"/>
        </w:rPr>
        <w:t>садржаја</w:t>
      </w:r>
      <w:r w:rsidRPr="00295637">
        <w:rPr>
          <w:rFonts w:ascii="Times New Roman" w:hAnsi="Times New Roman"/>
        </w:rPr>
        <w:t xml:space="preserve"> </w:t>
      </w:r>
      <w:r w:rsidR="00C6214E">
        <w:rPr>
          <w:rFonts w:ascii="Times New Roman" w:hAnsi="Times New Roman"/>
        </w:rPr>
        <w:t>равноправности</w:t>
      </w:r>
      <w:r w:rsidRPr="00295637">
        <w:rPr>
          <w:rFonts w:ascii="Times New Roman" w:hAnsi="Times New Roman"/>
        </w:rPr>
        <w:t xml:space="preserve"> </w:t>
      </w:r>
      <w:r w:rsidR="00C6214E">
        <w:rPr>
          <w:rFonts w:ascii="Times New Roman" w:hAnsi="Times New Roman"/>
        </w:rPr>
        <w:t>полова</w:t>
      </w:r>
      <w:r w:rsidRPr="00295637">
        <w:rPr>
          <w:rFonts w:ascii="Times New Roman" w:hAnsi="Times New Roman"/>
        </w:rPr>
        <w:t xml:space="preserve"> </w:t>
      </w:r>
      <w:r w:rsidR="00C6214E">
        <w:rPr>
          <w:rFonts w:ascii="Times New Roman" w:hAnsi="Times New Roman"/>
        </w:rPr>
        <w:t>у</w:t>
      </w:r>
      <w:r w:rsidRPr="00295637">
        <w:rPr>
          <w:rFonts w:ascii="Times New Roman" w:hAnsi="Times New Roman"/>
        </w:rPr>
        <w:t xml:space="preserve"> </w:t>
      </w:r>
      <w:r w:rsidR="00C6214E">
        <w:rPr>
          <w:rFonts w:ascii="Times New Roman" w:hAnsi="Times New Roman"/>
        </w:rPr>
        <w:t>обуку</w:t>
      </w:r>
      <w:r w:rsidRPr="00295637">
        <w:rPr>
          <w:rFonts w:ascii="Times New Roman" w:hAnsi="Times New Roman"/>
        </w:rPr>
        <w:t xml:space="preserve"> </w:t>
      </w:r>
      <w:r w:rsidR="00C6214E">
        <w:rPr>
          <w:rFonts w:ascii="Times New Roman" w:hAnsi="Times New Roman"/>
        </w:rPr>
        <w:t>и</w:t>
      </w:r>
      <w:r w:rsidRPr="00295637">
        <w:rPr>
          <w:rFonts w:ascii="Times New Roman" w:hAnsi="Times New Roman"/>
        </w:rPr>
        <w:t xml:space="preserve"> </w:t>
      </w:r>
      <w:r w:rsidR="00C6214E">
        <w:rPr>
          <w:rFonts w:ascii="Times New Roman" w:hAnsi="Times New Roman"/>
        </w:rPr>
        <w:t>вјежбе</w:t>
      </w:r>
      <w:r w:rsidRPr="00295637">
        <w:rPr>
          <w:rFonts w:ascii="Times New Roman" w:hAnsi="Times New Roman"/>
        </w:rPr>
        <w:t xml:space="preserve"> </w:t>
      </w:r>
      <w:r w:rsidR="00C6214E">
        <w:rPr>
          <w:rFonts w:ascii="Times New Roman" w:hAnsi="Times New Roman"/>
        </w:rPr>
        <w:t>ОС</w:t>
      </w:r>
      <w:r w:rsidR="000247E5" w:rsidRPr="00295637">
        <w:rPr>
          <w:rFonts w:ascii="Times New Roman" w:hAnsi="Times New Roman"/>
        </w:rPr>
        <w:t xml:space="preserve"> </w:t>
      </w:r>
      <w:r w:rsidR="00C6214E">
        <w:rPr>
          <w:rFonts w:ascii="Times New Roman" w:hAnsi="Times New Roman"/>
        </w:rPr>
        <w:t>БиХ</w:t>
      </w:r>
      <w:r w:rsidRPr="00295637">
        <w:rPr>
          <w:rFonts w:ascii="Times New Roman" w:hAnsi="Times New Roman"/>
        </w:rPr>
        <w:t xml:space="preserve">. </w:t>
      </w:r>
      <w:r w:rsidR="00C6214E">
        <w:rPr>
          <w:rFonts w:ascii="Times New Roman" w:hAnsi="Times New Roman"/>
        </w:rPr>
        <w:t>Све</w:t>
      </w:r>
      <w:r w:rsidRPr="00295637">
        <w:rPr>
          <w:rFonts w:ascii="Times New Roman" w:hAnsi="Times New Roman"/>
        </w:rPr>
        <w:t xml:space="preserve"> </w:t>
      </w:r>
      <w:r w:rsidR="00C6214E">
        <w:rPr>
          <w:rFonts w:ascii="Times New Roman" w:hAnsi="Times New Roman"/>
        </w:rPr>
        <w:t>команде</w:t>
      </w:r>
      <w:r w:rsidRPr="00295637">
        <w:rPr>
          <w:rFonts w:ascii="Times New Roman" w:hAnsi="Times New Roman"/>
        </w:rPr>
        <w:t xml:space="preserve"> </w:t>
      </w:r>
      <w:r w:rsidR="00C6214E">
        <w:rPr>
          <w:rFonts w:ascii="Times New Roman" w:hAnsi="Times New Roman"/>
        </w:rPr>
        <w:t>и</w:t>
      </w:r>
      <w:r w:rsidRPr="00295637">
        <w:rPr>
          <w:rFonts w:ascii="Times New Roman" w:hAnsi="Times New Roman"/>
        </w:rPr>
        <w:t xml:space="preserve"> </w:t>
      </w:r>
      <w:r w:rsidR="00C6214E">
        <w:rPr>
          <w:rFonts w:ascii="Times New Roman" w:hAnsi="Times New Roman"/>
        </w:rPr>
        <w:t>јединице</w:t>
      </w:r>
      <w:r w:rsidRPr="00295637">
        <w:rPr>
          <w:rFonts w:ascii="Times New Roman" w:hAnsi="Times New Roman"/>
        </w:rPr>
        <w:t xml:space="preserve"> </w:t>
      </w:r>
      <w:r w:rsidR="00C6214E">
        <w:rPr>
          <w:rFonts w:ascii="Times New Roman" w:hAnsi="Times New Roman"/>
        </w:rPr>
        <w:t>ОС</w:t>
      </w:r>
      <w:r w:rsidR="009E54A2" w:rsidRPr="00295637">
        <w:rPr>
          <w:rFonts w:ascii="Times New Roman" w:hAnsi="Times New Roman"/>
        </w:rPr>
        <w:t xml:space="preserve"> </w:t>
      </w:r>
      <w:r w:rsidR="00C6214E">
        <w:rPr>
          <w:rFonts w:ascii="Times New Roman" w:hAnsi="Times New Roman"/>
        </w:rPr>
        <w:t>БиХ</w:t>
      </w:r>
      <w:r w:rsidR="009E54A2" w:rsidRPr="00295637">
        <w:rPr>
          <w:rFonts w:ascii="Times New Roman" w:hAnsi="Times New Roman"/>
        </w:rPr>
        <w:t xml:space="preserve"> </w:t>
      </w:r>
      <w:r w:rsidR="00C6214E">
        <w:rPr>
          <w:rFonts w:ascii="Times New Roman" w:hAnsi="Times New Roman"/>
        </w:rPr>
        <w:t>у</w:t>
      </w:r>
      <w:r w:rsidR="00175B40">
        <w:rPr>
          <w:rFonts w:ascii="Times New Roman" w:hAnsi="Times New Roman"/>
        </w:rPr>
        <w:t xml:space="preserve"> </w:t>
      </w:r>
      <w:r w:rsidR="00C6214E">
        <w:rPr>
          <w:rFonts w:ascii="Times New Roman" w:hAnsi="Times New Roman"/>
        </w:rPr>
        <w:t>складу</w:t>
      </w:r>
      <w:r w:rsidR="00175B40">
        <w:rPr>
          <w:rFonts w:ascii="Times New Roman" w:hAnsi="Times New Roman"/>
        </w:rPr>
        <w:t xml:space="preserve"> </w:t>
      </w:r>
      <w:r w:rsidR="00C6214E">
        <w:rPr>
          <w:rFonts w:ascii="Times New Roman" w:hAnsi="Times New Roman"/>
        </w:rPr>
        <w:t>са</w:t>
      </w:r>
      <w:r w:rsidR="000C7C15">
        <w:rPr>
          <w:rFonts w:ascii="Times New Roman" w:hAnsi="Times New Roman"/>
        </w:rPr>
        <w:t xml:space="preserve"> </w:t>
      </w:r>
      <w:r w:rsidR="00C6214E">
        <w:rPr>
          <w:rFonts w:ascii="Times New Roman" w:hAnsi="Times New Roman"/>
        </w:rPr>
        <w:t>Смјерницама</w:t>
      </w:r>
      <w:r w:rsidR="000C7C15">
        <w:rPr>
          <w:rFonts w:ascii="Times New Roman" w:hAnsi="Times New Roman"/>
        </w:rPr>
        <w:t xml:space="preserve"> </w:t>
      </w:r>
      <w:r w:rsidR="00C6214E">
        <w:rPr>
          <w:rFonts w:ascii="Times New Roman" w:hAnsi="Times New Roman"/>
        </w:rPr>
        <w:t>начелника</w:t>
      </w:r>
      <w:r w:rsidR="003A4D78" w:rsidRPr="00295637">
        <w:rPr>
          <w:rFonts w:ascii="Times New Roman" w:hAnsi="Times New Roman"/>
        </w:rPr>
        <w:t xml:space="preserve"> </w:t>
      </w:r>
      <w:r w:rsidR="00C6214E">
        <w:rPr>
          <w:rFonts w:ascii="Times New Roman" w:hAnsi="Times New Roman"/>
        </w:rPr>
        <w:t>Заједничког</w:t>
      </w:r>
      <w:r w:rsidR="003A4D78" w:rsidRPr="00295637">
        <w:rPr>
          <w:rFonts w:ascii="Times New Roman" w:hAnsi="Times New Roman"/>
        </w:rPr>
        <w:t xml:space="preserve"> </w:t>
      </w:r>
      <w:r w:rsidR="00C6214E">
        <w:rPr>
          <w:rFonts w:ascii="Times New Roman" w:hAnsi="Times New Roman"/>
        </w:rPr>
        <w:t>штаба</w:t>
      </w:r>
      <w:r w:rsidR="003A4D78" w:rsidRPr="00295637">
        <w:rPr>
          <w:rFonts w:ascii="Times New Roman" w:hAnsi="Times New Roman"/>
        </w:rPr>
        <w:t xml:space="preserve"> </w:t>
      </w:r>
      <w:r w:rsidR="00C6214E">
        <w:rPr>
          <w:rFonts w:ascii="Times New Roman" w:hAnsi="Times New Roman"/>
        </w:rPr>
        <w:t>ОС</w:t>
      </w:r>
      <w:r w:rsidR="000C7C15">
        <w:rPr>
          <w:rFonts w:ascii="Times New Roman" w:hAnsi="Times New Roman"/>
        </w:rPr>
        <w:t xml:space="preserve"> </w:t>
      </w:r>
      <w:r w:rsidR="00C6214E">
        <w:rPr>
          <w:rFonts w:ascii="Times New Roman" w:hAnsi="Times New Roman"/>
        </w:rPr>
        <w:t>БиХ</w:t>
      </w:r>
      <w:r w:rsidR="000C7C15">
        <w:rPr>
          <w:rFonts w:ascii="Times New Roman" w:hAnsi="Times New Roman"/>
        </w:rPr>
        <w:t xml:space="preserve"> </w:t>
      </w:r>
      <w:r w:rsidR="00C6214E">
        <w:rPr>
          <w:rFonts w:ascii="Times New Roman" w:hAnsi="Times New Roman"/>
        </w:rPr>
        <w:t>и</w:t>
      </w:r>
      <w:r w:rsidR="000C7C15">
        <w:rPr>
          <w:rFonts w:ascii="Times New Roman" w:hAnsi="Times New Roman"/>
        </w:rPr>
        <w:t xml:space="preserve"> </w:t>
      </w:r>
      <w:r w:rsidR="00C6214E">
        <w:rPr>
          <w:rFonts w:ascii="Times New Roman" w:hAnsi="Times New Roman"/>
        </w:rPr>
        <w:t>Програмом</w:t>
      </w:r>
      <w:r w:rsidR="000C7C15">
        <w:rPr>
          <w:rFonts w:ascii="Times New Roman" w:hAnsi="Times New Roman"/>
        </w:rPr>
        <w:t xml:space="preserve"> </w:t>
      </w:r>
      <w:r w:rsidR="00C6214E">
        <w:rPr>
          <w:rFonts w:ascii="Times New Roman" w:hAnsi="Times New Roman"/>
        </w:rPr>
        <w:t>обуке</w:t>
      </w:r>
      <w:r w:rsidR="000C7C15">
        <w:rPr>
          <w:rFonts w:ascii="Times New Roman" w:hAnsi="Times New Roman"/>
        </w:rPr>
        <w:t xml:space="preserve"> </w:t>
      </w:r>
      <w:r w:rsidR="00C6214E">
        <w:rPr>
          <w:rFonts w:ascii="Times New Roman" w:hAnsi="Times New Roman"/>
        </w:rPr>
        <w:t>од</w:t>
      </w:r>
      <w:r w:rsidR="000C7C15">
        <w:rPr>
          <w:rFonts w:ascii="Times New Roman" w:hAnsi="Times New Roman"/>
        </w:rPr>
        <w:t xml:space="preserve"> </w:t>
      </w:r>
      <w:r w:rsidRPr="00295637">
        <w:rPr>
          <w:rFonts w:ascii="Times New Roman" w:hAnsi="Times New Roman"/>
        </w:rPr>
        <w:t xml:space="preserve">1.1.2022. </w:t>
      </w:r>
      <w:r w:rsidR="00C6214E">
        <w:rPr>
          <w:rFonts w:ascii="Times New Roman" w:hAnsi="Times New Roman"/>
        </w:rPr>
        <w:t>године</w:t>
      </w:r>
      <w:r w:rsidRPr="00295637">
        <w:rPr>
          <w:rFonts w:ascii="Times New Roman" w:hAnsi="Times New Roman"/>
        </w:rPr>
        <w:t xml:space="preserve">, </w:t>
      </w:r>
      <w:r w:rsidR="00C6214E">
        <w:rPr>
          <w:rFonts w:ascii="Times New Roman" w:hAnsi="Times New Roman"/>
        </w:rPr>
        <w:t>интегри</w:t>
      </w:r>
      <w:r w:rsidR="00577FA5">
        <w:rPr>
          <w:rFonts w:ascii="Times New Roman" w:hAnsi="Times New Roman"/>
          <w:lang w:val="sr-Cyrl-BA"/>
        </w:rPr>
        <w:t>с</w:t>
      </w:r>
      <w:r w:rsidR="00C6214E">
        <w:rPr>
          <w:rFonts w:ascii="Times New Roman" w:hAnsi="Times New Roman"/>
        </w:rPr>
        <w:t>але</w:t>
      </w:r>
      <w:r w:rsidRPr="00295637">
        <w:rPr>
          <w:rFonts w:ascii="Times New Roman" w:hAnsi="Times New Roman"/>
        </w:rPr>
        <w:t xml:space="preserve"> </w:t>
      </w:r>
      <w:r w:rsidR="00577FA5">
        <w:rPr>
          <w:rFonts w:ascii="Times New Roman" w:hAnsi="Times New Roman"/>
          <w:lang w:val="sr-Cyrl-BA"/>
        </w:rPr>
        <w:t xml:space="preserve">су </w:t>
      </w:r>
      <w:r w:rsidR="00C6214E">
        <w:rPr>
          <w:rFonts w:ascii="Times New Roman" w:hAnsi="Times New Roman"/>
        </w:rPr>
        <w:t>садржаје</w:t>
      </w:r>
      <w:r w:rsidRPr="00295637">
        <w:rPr>
          <w:rFonts w:ascii="Times New Roman" w:hAnsi="Times New Roman"/>
        </w:rPr>
        <w:t xml:space="preserve"> </w:t>
      </w:r>
      <w:r w:rsidR="00C6214E">
        <w:rPr>
          <w:rFonts w:ascii="Times New Roman" w:hAnsi="Times New Roman"/>
        </w:rPr>
        <w:t>равноправности</w:t>
      </w:r>
      <w:r w:rsidRPr="00295637">
        <w:rPr>
          <w:rFonts w:ascii="Times New Roman" w:hAnsi="Times New Roman"/>
        </w:rPr>
        <w:t xml:space="preserve"> </w:t>
      </w:r>
      <w:r w:rsidR="00C6214E">
        <w:rPr>
          <w:rFonts w:ascii="Times New Roman" w:hAnsi="Times New Roman"/>
        </w:rPr>
        <w:t>полова</w:t>
      </w:r>
      <w:r w:rsidRPr="00295637">
        <w:rPr>
          <w:rFonts w:ascii="Times New Roman" w:hAnsi="Times New Roman"/>
        </w:rPr>
        <w:t xml:space="preserve"> </w:t>
      </w:r>
      <w:r w:rsidR="00C6214E">
        <w:rPr>
          <w:rFonts w:ascii="Times New Roman" w:hAnsi="Times New Roman"/>
        </w:rPr>
        <w:t>у</w:t>
      </w:r>
      <w:r w:rsidRPr="00295637">
        <w:rPr>
          <w:rFonts w:ascii="Times New Roman" w:hAnsi="Times New Roman"/>
        </w:rPr>
        <w:t xml:space="preserve"> </w:t>
      </w:r>
      <w:r w:rsidR="00C6214E">
        <w:rPr>
          <w:rFonts w:ascii="Times New Roman" w:hAnsi="Times New Roman"/>
        </w:rPr>
        <w:t>планове</w:t>
      </w:r>
      <w:r w:rsidRPr="00295637">
        <w:rPr>
          <w:rFonts w:ascii="Times New Roman" w:hAnsi="Times New Roman"/>
        </w:rPr>
        <w:t xml:space="preserve"> </w:t>
      </w:r>
      <w:r w:rsidR="00C6214E">
        <w:rPr>
          <w:rFonts w:ascii="Times New Roman" w:hAnsi="Times New Roman"/>
        </w:rPr>
        <w:t>обуке</w:t>
      </w:r>
      <w:r w:rsidRPr="00295637">
        <w:rPr>
          <w:rFonts w:ascii="Times New Roman" w:hAnsi="Times New Roman"/>
        </w:rPr>
        <w:t xml:space="preserve"> </w:t>
      </w:r>
      <w:r w:rsidR="00C6214E">
        <w:rPr>
          <w:rFonts w:ascii="Times New Roman" w:hAnsi="Times New Roman"/>
        </w:rPr>
        <w:t>и</w:t>
      </w:r>
      <w:r w:rsidRPr="00295637">
        <w:rPr>
          <w:rFonts w:ascii="Times New Roman" w:hAnsi="Times New Roman"/>
        </w:rPr>
        <w:t xml:space="preserve"> </w:t>
      </w:r>
      <w:r w:rsidR="00C6214E">
        <w:rPr>
          <w:rFonts w:ascii="Times New Roman" w:hAnsi="Times New Roman"/>
        </w:rPr>
        <w:t>вјежби</w:t>
      </w:r>
      <w:r w:rsidRPr="00295637">
        <w:rPr>
          <w:rFonts w:ascii="Times New Roman" w:hAnsi="Times New Roman"/>
        </w:rPr>
        <w:t xml:space="preserve">, </w:t>
      </w:r>
      <w:r w:rsidR="00C6214E">
        <w:rPr>
          <w:rFonts w:ascii="Times New Roman" w:hAnsi="Times New Roman"/>
        </w:rPr>
        <w:t>као</w:t>
      </w:r>
      <w:r w:rsidRPr="00295637">
        <w:rPr>
          <w:rFonts w:ascii="Times New Roman" w:hAnsi="Times New Roman"/>
        </w:rPr>
        <w:t xml:space="preserve"> </w:t>
      </w:r>
      <w:r w:rsidR="00C6214E">
        <w:rPr>
          <w:rFonts w:ascii="Times New Roman" w:hAnsi="Times New Roman"/>
        </w:rPr>
        <w:t>и</w:t>
      </w:r>
      <w:r w:rsidRPr="00295637">
        <w:rPr>
          <w:rFonts w:ascii="Times New Roman" w:hAnsi="Times New Roman"/>
        </w:rPr>
        <w:t xml:space="preserve"> </w:t>
      </w:r>
      <w:r w:rsidR="00C6214E">
        <w:rPr>
          <w:rFonts w:ascii="Times New Roman" w:hAnsi="Times New Roman"/>
        </w:rPr>
        <w:t>тематске</w:t>
      </w:r>
      <w:r w:rsidRPr="00295637">
        <w:rPr>
          <w:rFonts w:ascii="Times New Roman" w:hAnsi="Times New Roman"/>
        </w:rPr>
        <w:t xml:space="preserve"> </w:t>
      </w:r>
      <w:r w:rsidR="00C6214E">
        <w:rPr>
          <w:rFonts w:ascii="Times New Roman" w:hAnsi="Times New Roman"/>
        </w:rPr>
        <w:t>планове</w:t>
      </w:r>
      <w:r w:rsidRPr="00295637">
        <w:rPr>
          <w:rFonts w:ascii="Times New Roman" w:hAnsi="Times New Roman"/>
        </w:rPr>
        <w:t xml:space="preserve"> </w:t>
      </w:r>
      <w:r w:rsidR="00C6214E">
        <w:rPr>
          <w:rFonts w:ascii="Times New Roman" w:hAnsi="Times New Roman"/>
        </w:rPr>
        <w:t>и</w:t>
      </w:r>
      <w:r w:rsidRPr="00295637">
        <w:rPr>
          <w:rFonts w:ascii="Times New Roman" w:hAnsi="Times New Roman"/>
        </w:rPr>
        <w:t xml:space="preserve"> </w:t>
      </w:r>
      <w:r w:rsidR="00C6214E">
        <w:rPr>
          <w:rFonts w:ascii="Times New Roman" w:hAnsi="Times New Roman"/>
        </w:rPr>
        <w:t>програме</w:t>
      </w:r>
      <w:r w:rsidRPr="00295637">
        <w:rPr>
          <w:rFonts w:ascii="Times New Roman" w:hAnsi="Times New Roman"/>
        </w:rPr>
        <w:t xml:space="preserve"> </w:t>
      </w:r>
      <w:r w:rsidR="00C6214E">
        <w:rPr>
          <w:rFonts w:ascii="Times New Roman" w:hAnsi="Times New Roman"/>
        </w:rPr>
        <w:t>инструкција</w:t>
      </w:r>
      <w:r w:rsidRPr="00295637">
        <w:rPr>
          <w:rFonts w:ascii="Times New Roman" w:hAnsi="Times New Roman"/>
        </w:rPr>
        <w:t xml:space="preserve"> </w:t>
      </w:r>
      <w:r w:rsidR="00C6214E">
        <w:rPr>
          <w:rFonts w:ascii="Times New Roman" w:hAnsi="Times New Roman"/>
        </w:rPr>
        <w:t>институционалне</w:t>
      </w:r>
      <w:r w:rsidRPr="00295637">
        <w:rPr>
          <w:rFonts w:ascii="Times New Roman" w:hAnsi="Times New Roman"/>
        </w:rPr>
        <w:t xml:space="preserve"> </w:t>
      </w:r>
      <w:r w:rsidR="00C6214E">
        <w:rPr>
          <w:rFonts w:ascii="Times New Roman" w:hAnsi="Times New Roman"/>
        </w:rPr>
        <w:t>обуке</w:t>
      </w:r>
      <w:r w:rsidRPr="00295637">
        <w:rPr>
          <w:rFonts w:ascii="Times New Roman" w:hAnsi="Times New Roman"/>
        </w:rPr>
        <w:t>.</w:t>
      </w:r>
    </w:p>
    <w:p w:rsidR="00D124A2" w:rsidRPr="00295637" w:rsidRDefault="00D124A2" w:rsidP="0086268D">
      <w:pPr>
        <w:ind w:right="14"/>
        <w:jc w:val="both"/>
        <w:rPr>
          <w:rFonts w:ascii="Times New Roman" w:hAnsi="Times New Roman"/>
        </w:rPr>
      </w:pPr>
    </w:p>
    <w:p w:rsidR="00C11BD5" w:rsidRPr="00295637" w:rsidRDefault="00C6214E" w:rsidP="00C86613">
      <w:pPr>
        <w:rPr>
          <w:rFonts w:ascii="Times New Roman" w:hAnsi="Times New Roman"/>
        </w:rPr>
      </w:pPr>
      <w:r>
        <w:rPr>
          <w:rFonts w:ascii="Times New Roman" w:hAnsi="Times New Roman"/>
        </w:rPr>
        <w:t>МО</w:t>
      </w:r>
      <w:r w:rsidR="000C7C15">
        <w:rPr>
          <w:rFonts w:ascii="Times New Roman" w:hAnsi="Times New Roman"/>
        </w:rPr>
        <w:t xml:space="preserve"> </w:t>
      </w:r>
      <w:r>
        <w:rPr>
          <w:rFonts w:ascii="Times New Roman" w:hAnsi="Times New Roman"/>
        </w:rPr>
        <w:t>БиХ</w:t>
      </w:r>
      <w:r w:rsidR="00D124A2" w:rsidRPr="00295637">
        <w:rPr>
          <w:rFonts w:ascii="Times New Roman" w:hAnsi="Times New Roman"/>
        </w:rPr>
        <w:t xml:space="preserve"> </w:t>
      </w:r>
      <w:r>
        <w:rPr>
          <w:rFonts w:ascii="Times New Roman" w:hAnsi="Times New Roman"/>
        </w:rPr>
        <w:t>и</w:t>
      </w:r>
      <w:r w:rsidR="00D124A2" w:rsidRPr="00295637">
        <w:rPr>
          <w:rFonts w:ascii="Times New Roman" w:hAnsi="Times New Roman"/>
        </w:rPr>
        <w:t xml:space="preserve"> </w:t>
      </w:r>
      <w:r>
        <w:rPr>
          <w:rFonts w:ascii="Times New Roman" w:hAnsi="Times New Roman"/>
        </w:rPr>
        <w:t>ОС</w:t>
      </w:r>
      <w:r w:rsidR="009E54A2" w:rsidRPr="00295637">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Pr>
          <w:rFonts w:ascii="Times New Roman" w:hAnsi="Times New Roman"/>
        </w:rPr>
        <w:t>континуирано</w:t>
      </w:r>
      <w:r w:rsidR="001E0139" w:rsidRPr="00295637">
        <w:rPr>
          <w:rFonts w:ascii="Times New Roman" w:hAnsi="Times New Roman"/>
        </w:rPr>
        <w:t xml:space="preserve"> </w:t>
      </w:r>
      <w:r>
        <w:rPr>
          <w:rFonts w:ascii="Times New Roman" w:hAnsi="Times New Roman"/>
        </w:rPr>
        <w:t>проводе</w:t>
      </w:r>
      <w:r w:rsidR="001E0139" w:rsidRPr="00295637">
        <w:rPr>
          <w:rFonts w:ascii="Times New Roman" w:hAnsi="Times New Roman"/>
        </w:rPr>
        <w:t xml:space="preserve"> </w:t>
      </w:r>
      <w:r>
        <w:rPr>
          <w:rFonts w:ascii="Times New Roman" w:hAnsi="Times New Roman"/>
        </w:rPr>
        <w:t>активности</w:t>
      </w:r>
      <w:r w:rsidR="001E0139" w:rsidRPr="00295637">
        <w:rPr>
          <w:rFonts w:ascii="Times New Roman" w:hAnsi="Times New Roman"/>
        </w:rPr>
        <w:t xml:space="preserve"> </w:t>
      </w:r>
      <w:r>
        <w:rPr>
          <w:rFonts w:ascii="Times New Roman" w:hAnsi="Times New Roman"/>
        </w:rPr>
        <w:t>на</w:t>
      </w:r>
      <w:r w:rsidR="001E0139" w:rsidRPr="00295637">
        <w:rPr>
          <w:rFonts w:ascii="Times New Roman" w:hAnsi="Times New Roman"/>
        </w:rPr>
        <w:t xml:space="preserve"> </w:t>
      </w:r>
      <w:r>
        <w:rPr>
          <w:rFonts w:ascii="Times New Roman" w:hAnsi="Times New Roman"/>
        </w:rPr>
        <w:t>промоцији</w:t>
      </w:r>
      <w:r w:rsidR="002B7194">
        <w:rPr>
          <w:rFonts w:ascii="Times New Roman" w:hAnsi="Times New Roman"/>
        </w:rPr>
        <w:t xml:space="preserve"> </w:t>
      </w:r>
      <w:r>
        <w:rPr>
          <w:rFonts w:ascii="Times New Roman" w:hAnsi="Times New Roman"/>
        </w:rPr>
        <w:t>војног</w:t>
      </w:r>
      <w:r w:rsidR="002B7194">
        <w:rPr>
          <w:rFonts w:ascii="Times New Roman" w:hAnsi="Times New Roman"/>
        </w:rPr>
        <w:t xml:space="preserve"> </w:t>
      </w:r>
      <w:r>
        <w:rPr>
          <w:rFonts w:ascii="Times New Roman" w:hAnsi="Times New Roman"/>
        </w:rPr>
        <w:t>позива</w:t>
      </w:r>
      <w:r w:rsidR="002B7194">
        <w:rPr>
          <w:rFonts w:ascii="Times New Roman" w:hAnsi="Times New Roman"/>
        </w:rPr>
        <w:t xml:space="preserve"> </w:t>
      </w:r>
      <w:r>
        <w:rPr>
          <w:rFonts w:ascii="Times New Roman" w:hAnsi="Times New Roman"/>
        </w:rPr>
        <w:t>у</w:t>
      </w:r>
      <w:r w:rsidR="00175B40">
        <w:rPr>
          <w:rFonts w:ascii="Times New Roman" w:hAnsi="Times New Roman"/>
        </w:rPr>
        <w:t xml:space="preserve"> </w:t>
      </w:r>
      <w:r>
        <w:rPr>
          <w:rFonts w:ascii="Times New Roman" w:hAnsi="Times New Roman"/>
        </w:rPr>
        <w:t>складу</w:t>
      </w:r>
      <w:r w:rsidR="00175B40">
        <w:rPr>
          <w:rFonts w:ascii="Times New Roman" w:hAnsi="Times New Roman"/>
        </w:rPr>
        <w:t xml:space="preserve"> </w:t>
      </w:r>
      <w:r>
        <w:rPr>
          <w:rFonts w:ascii="Times New Roman" w:hAnsi="Times New Roman"/>
        </w:rPr>
        <w:t>са</w:t>
      </w:r>
      <w:r w:rsidR="000C7C15">
        <w:rPr>
          <w:rFonts w:ascii="Times New Roman" w:hAnsi="Times New Roman"/>
        </w:rPr>
        <w:t xml:space="preserve"> </w:t>
      </w:r>
      <w:r>
        <w:rPr>
          <w:rFonts w:ascii="Times New Roman" w:hAnsi="Times New Roman"/>
        </w:rPr>
        <w:t>Динамичким</w:t>
      </w:r>
      <w:r w:rsidR="001E0139" w:rsidRPr="00295637">
        <w:rPr>
          <w:rFonts w:ascii="Times New Roman" w:hAnsi="Times New Roman"/>
        </w:rPr>
        <w:t xml:space="preserve"> </w:t>
      </w:r>
      <w:r>
        <w:rPr>
          <w:rFonts w:ascii="Times New Roman" w:hAnsi="Times New Roman"/>
        </w:rPr>
        <w:t>планом</w:t>
      </w:r>
      <w:r w:rsidR="001E0139" w:rsidRPr="00295637">
        <w:rPr>
          <w:rFonts w:ascii="Times New Roman" w:hAnsi="Times New Roman"/>
        </w:rPr>
        <w:t xml:space="preserve"> </w:t>
      </w:r>
      <w:r>
        <w:rPr>
          <w:rFonts w:ascii="Times New Roman" w:hAnsi="Times New Roman"/>
        </w:rPr>
        <w:t>кампање</w:t>
      </w:r>
      <w:r w:rsidR="001E0139" w:rsidRPr="00295637">
        <w:rPr>
          <w:rFonts w:ascii="Times New Roman" w:hAnsi="Times New Roman"/>
        </w:rPr>
        <w:t xml:space="preserve"> </w:t>
      </w:r>
      <w:r>
        <w:rPr>
          <w:rFonts w:ascii="Times New Roman" w:hAnsi="Times New Roman"/>
        </w:rPr>
        <w:t>промоције</w:t>
      </w:r>
      <w:r w:rsidR="001E0139" w:rsidRPr="00295637">
        <w:rPr>
          <w:rFonts w:ascii="Times New Roman" w:hAnsi="Times New Roman"/>
        </w:rPr>
        <w:t xml:space="preserve"> </w:t>
      </w:r>
      <w:r>
        <w:rPr>
          <w:rFonts w:ascii="Times New Roman" w:hAnsi="Times New Roman"/>
        </w:rPr>
        <w:t>војног</w:t>
      </w:r>
      <w:r w:rsidR="001E0139" w:rsidRPr="00295637">
        <w:rPr>
          <w:rFonts w:ascii="Times New Roman" w:hAnsi="Times New Roman"/>
        </w:rPr>
        <w:t xml:space="preserve"> </w:t>
      </w:r>
      <w:r>
        <w:rPr>
          <w:rFonts w:ascii="Times New Roman" w:hAnsi="Times New Roman"/>
        </w:rPr>
        <w:t>позива</w:t>
      </w:r>
      <w:r w:rsidR="001E0139" w:rsidRPr="00295637">
        <w:rPr>
          <w:rFonts w:ascii="Times New Roman" w:hAnsi="Times New Roman"/>
        </w:rPr>
        <w:t xml:space="preserve"> </w:t>
      </w:r>
      <w:r>
        <w:rPr>
          <w:rFonts w:ascii="Times New Roman" w:hAnsi="Times New Roman"/>
        </w:rPr>
        <w:t>у</w:t>
      </w:r>
      <w:r w:rsidR="001E0139" w:rsidRPr="00295637">
        <w:rPr>
          <w:rFonts w:ascii="Times New Roman" w:hAnsi="Times New Roman"/>
        </w:rPr>
        <w:t xml:space="preserve"> </w:t>
      </w:r>
      <w:r>
        <w:rPr>
          <w:rFonts w:ascii="Times New Roman" w:hAnsi="Times New Roman"/>
        </w:rPr>
        <w:t>ОС</w:t>
      </w:r>
      <w:r w:rsidR="00050016">
        <w:rPr>
          <w:rFonts w:ascii="Times New Roman" w:hAnsi="Times New Roman"/>
        </w:rPr>
        <w:t xml:space="preserve"> </w:t>
      </w:r>
      <w:r>
        <w:rPr>
          <w:rFonts w:ascii="Times New Roman" w:hAnsi="Times New Roman"/>
        </w:rPr>
        <w:t>БиХ</w:t>
      </w:r>
      <w:r w:rsidR="001E0139" w:rsidRPr="00295637">
        <w:rPr>
          <w:rFonts w:ascii="Times New Roman" w:hAnsi="Times New Roman"/>
        </w:rPr>
        <w:t xml:space="preserve"> </w:t>
      </w:r>
      <w:r>
        <w:rPr>
          <w:rFonts w:ascii="Times New Roman" w:hAnsi="Times New Roman"/>
        </w:rPr>
        <w:t>који</w:t>
      </w:r>
      <w:r w:rsidR="001E0139" w:rsidRPr="00295637">
        <w:rPr>
          <w:rFonts w:ascii="Times New Roman" w:hAnsi="Times New Roman"/>
        </w:rPr>
        <w:t xml:space="preserve"> </w:t>
      </w:r>
      <w:r>
        <w:rPr>
          <w:rFonts w:ascii="Times New Roman" w:hAnsi="Times New Roman"/>
        </w:rPr>
        <w:t>се</w:t>
      </w:r>
      <w:r w:rsidR="001E0139" w:rsidRPr="00295637">
        <w:rPr>
          <w:rFonts w:ascii="Times New Roman" w:hAnsi="Times New Roman"/>
        </w:rPr>
        <w:t xml:space="preserve"> </w:t>
      </w:r>
      <w:r>
        <w:rPr>
          <w:rFonts w:ascii="Times New Roman" w:hAnsi="Times New Roman"/>
        </w:rPr>
        <w:t>доноси</w:t>
      </w:r>
      <w:r w:rsidR="001E0139" w:rsidRPr="00295637">
        <w:rPr>
          <w:rFonts w:ascii="Times New Roman" w:hAnsi="Times New Roman"/>
        </w:rPr>
        <w:t xml:space="preserve"> </w:t>
      </w:r>
      <w:r>
        <w:rPr>
          <w:rFonts w:ascii="Times New Roman" w:hAnsi="Times New Roman"/>
        </w:rPr>
        <w:t>на</w:t>
      </w:r>
      <w:r w:rsidR="001E0139" w:rsidRPr="00295637">
        <w:rPr>
          <w:rFonts w:ascii="Times New Roman" w:hAnsi="Times New Roman"/>
        </w:rPr>
        <w:t xml:space="preserve"> </w:t>
      </w:r>
      <w:r>
        <w:rPr>
          <w:rFonts w:ascii="Times New Roman" w:hAnsi="Times New Roman"/>
        </w:rPr>
        <w:t>годишњем</w:t>
      </w:r>
      <w:r w:rsidR="001E0139" w:rsidRPr="00295637">
        <w:rPr>
          <w:rFonts w:ascii="Times New Roman" w:hAnsi="Times New Roman"/>
        </w:rPr>
        <w:t xml:space="preserve"> </w:t>
      </w:r>
      <w:r>
        <w:rPr>
          <w:rFonts w:ascii="Times New Roman" w:hAnsi="Times New Roman"/>
        </w:rPr>
        <w:t>нивоу</w:t>
      </w:r>
      <w:r w:rsidR="00C11BD5" w:rsidRPr="00295637">
        <w:rPr>
          <w:rFonts w:ascii="Times New Roman" w:hAnsi="Times New Roman"/>
        </w:rPr>
        <w:t>.</w:t>
      </w:r>
      <w:r w:rsidR="001E0139" w:rsidRPr="00295637">
        <w:rPr>
          <w:rFonts w:ascii="Times New Roman" w:hAnsi="Times New Roman"/>
          <w:noProof/>
          <w:lang w:val="en-US"/>
        </w:rPr>
        <w:drawing>
          <wp:anchor distT="0" distB="0" distL="114300" distR="114300" simplePos="0" relativeHeight="251664384" behindDoc="0" locked="0" layoutInCell="1" allowOverlap="0" wp14:anchorId="113A501D" wp14:editId="052012B9">
            <wp:simplePos x="0" y="0"/>
            <wp:positionH relativeFrom="column">
              <wp:posOffset>4578096</wp:posOffset>
            </wp:positionH>
            <wp:positionV relativeFrom="paragraph">
              <wp:posOffset>368606</wp:posOffset>
            </wp:positionV>
            <wp:extent cx="15240" cy="12196"/>
            <wp:effectExtent l="0" t="0" r="0" b="0"/>
            <wp:wrapSquare wrapText="bothSides"/>
            <wp:docPr id="19758" name="Picture 19758"/>
            <wp:cNvGraphicFramePr/>
            <a:graphic xmlns:a="http://schemas.openxmlformats.org/drawingml/2006/main">
              <a:graphicData uri="http://schemas.openxmlformats.org/drawingml/2006/picture">
                <pic:pic xmlns:pic="http://schemas.openxmlformats.org/drawingml/2006/picture">
                  <pic:nvPicPr>
                    <pic:cNvPr id="19758" name="Picture 19758"/>
                    <pic:cNvPicPr/>
                  </pic:nvPicPr>
                  <pic:blipFill>
                    <a:blip r:embed="rId15"/>
                    <a:stretch>
                      <a:fillRect/>
                    </a:stretch>
                  </pic:blipFill>
                  <pic:spPr>
                    <a:xfrm>
                      <a:off x="0" y="0"/>
                      <a:ext cx="15240" cy="12196"/>
                    </a:xfrm>
                    <a:prstGeom prst="rect">
                      <a:avLst/>
                    </a:prstGeom>
                  </pic:spPr>
                </pic:pic>
              </a:graphicData>
            </a:graphic>
          </wp:anchor>
        </w:drawing>
      </w:r>
    </w:p>
    <w:p w:rsidR="00A44CD5" w:rsidRDefault="00A44CD5" w:rsidP="0086268D">
      <w:pPr>
        <w:jc w:val="both"/>
        <w:rPr>
          <w:rFonts w:ascii="Times New Roman" w:hAnsi="Times New Roman"/>
        </w:rPr>
      </w:pPr>
    </w:p>
    <w:p w:rsidR="00837ED5" w:rsidRPr="00295637" w:rsidRDefault="00C6214E" w:rsidP="0086268D">
      <w:pPr>
        <w:jc w:val="both"/>
        <w:rPr>
          <w:rFonts w:ascii="Times New Roman" w:hAnsi="Times New Roman"/>
        </w:rPr>
      </w:pPr>
      <w:r>
        <w:rPr>
          <w:rFonts w:ascii="Times New Roman" w:hAnsi="Times New Roman"/>
        </w:rPr>
        <w:t>Успостављена</w:t>
      </w:r>
      <w:r w:rsidR="00001748" w:rsidRPr="00295637">
        <w:rPr>
          <w:rFonts w:ascii="Times New Roman" w:hAnsi="Times New Roman"/>
        </w:rPr>
        <w:t xml:space="preserve"> </w:t>
      </w:r>
      <w:r>
        <w:rPr>
          <w:rFonts w:ascii="Times New Roman" w:hAnsi="Times New Roman"/>
        </w:rPr>
        <w:t>је</w:t>
      </w:r>
      <w:r w:rsidR="00001748" w:rsidRPr="00295637">
        <w:rPr>
          <w:rFonts w:ascii="Times New Roman" w:hAnsi="Times New Roman"/>
        </w:rPr>
        <w:t xml:space="preserve"> </w:t>
      </w:r>
      <w:r>
        <w:rPr>
          <w:rFonts w:ascii="Times New Roman" w:hAnsi="Times New Roman"/>
        </w:rPr>
        <w:t>сарадња</w:t>
      </w:r>
      <w:r w:rsidR="002B7194">
        <w:rPr>
          <w:rFonts w:ascii="Times New Roman" w:hAnsi="Times New Roman"/>
        </w:rPr>
        <w:t xml:space="preserve"> </w:t>
      </w:r>
      <w:r>
        <w:rPr>
          <w:rFonts w:ascii="Times New Roman" w:hAnsi="Times New Roman"/>
        </w:rPr>
        <w:t>са</w:t>
      </w:r>
      <w:r w:rsidR="00001748" w:rsidRPr="00295637">
        <w:rPr>
          <w:rFonts w:ascii="Times New Roman" w:hAnsi="Times New Roman"/>
        </w:rPr>
        <w:t xml:space="preserve"> </w:t>
      </w:r>
      <w:r>
        <w:rPr>
          <w:rFonts w:ascii="Times New Roman" w:hAnsi="Times New Roman"/>
        </w:rPr>
        <w:t>локалном</w:t>
      </w:r>
      <w:r w:rsidR="00001748" w:rsidRPr="00295637">
        <w:rPr>
          <w:rFonts w:ascii="Times New Roman" w:hAnsi="Times New Roman"/>
        </w:rPr>
        <w:t xml:space="preserve"> </w:t>
      </w:r>
      <w:r>
        <w:rPr>
          <w:rFonts w:ascii="Times New Roman" w:hAnsi="Times New Roman"/>
        </w:rPr>
        <w:t>заједницом</w:t>
      </w:r>
      <w:r w:rsidR="00001748" w:rsidRPr="00295637">
        <w:rPr>
          <w:rFonts w:ascii="Times New Roman" w:hAnsi="Times New Roman"/>
        </w:rPr>
        <w:t xml:space="preserve"> </w:t>
      </w:r>
      <w:r>
        <w:rPr>
          <w:rFonts w:ascii="Times New Roman" w:hAnsi="Times New Roman"/>
        </w:rPr>
        <w:t>и</w:t>
      </w:r>
      <w:r w:rsidR="00001748" w:rsidRPr="00295637">
        <w:rPr>
          <w:rFonts w:ascii="Times New Roman" w:hAnsi="Times New Roman"/>
        </w:rPr>
        <w:t xml:space="preserve"> </w:t>
      </w:r>
      <w:r>
        <w:rPr>
          <w:rFonts w:ascii="Times New Roman" w:hAnsi="Times New Roman"/>
        </w:rPr>
        <w:t>редовно</w:t>
      </w:r>
      <w:r w:rsidR="00001748" w:rsidRPr="00295637">
        <w:rPr>
          <w:rFonts w:ascii="Times New Roman" w:hAnsi="Times New Roman"/>
        </w:rPr>
        <w:t xml:space="preserve"> </w:t>
      </w:r>
      <w:r>
        <w:rPr>
          <w:rFonts w:ascii="Times New Roman" w:hAnsi="Times New Roman"/>
        </w:rPr>
        <w:t>су</w:t>
      </w:r>
      <w:r w:rsidR="00B26225" w:rsidRPr="00295637">
        <w:rPr>
          <w:rFonts w:ascii="Times New Roman" w:hAnsi="Times New Roman"/>
        </w:rPr>
        <w:t xml:space="preserve"> </w:t>
      </w:r>
      <w:r>
        <w:rPr>
          <w:rFonts w:ascii="Times New Roman" w:hAnsi="Times New Roman"/>
        </w:rPr>
        <w:t>организ</w:t>
      </w:r>
      <w:r w:rsidR="00577FA5">
        <w:rPr>
          <w:rFonts w:ascii="Times New Roman" w:hAnsi="Times New Roman"/>
          <w:lang w:val="sr-Cyrl-BA"/>
        </w:rPr>
        <w:t>овани</w:t>
      </w:r>
      <w:r w:rsidR="001E0139" w:rsidRPr="00295637">
        <w:rPr>
          <w:rFonts w:ascii="Times New Roman" w:hAnsi="Times New Roman"/>
        </w:rPr>
        <w:t xml:space="preserve"> </w:t>
      </w:r>
      <w:r>
        <w:rPr>
          <w:rFonts w:ascii="Times New Roman" w:hAnsi="Times New Roman"/>
        </w:rPr>
        <w:t>и</w:t>
      </w:r>
      <w:r w:rsidR="00B26225" w:rsidRPr="00295637">
        <w:rPr>
          <w:rFonts w:ascii="Times New Roman" w:hAnsi="Times New Roman"/>
        </w:rPr>
        <w:t xml:space="preserve"> </w:t>
      </w:r>
      <w:r>
        <w:rPr>
          <w:rFonts w:ascii="Times New Roman" w:hAnsi="Times New Roman"/>
        </w:rPr>
        <w:t>дани</w:t>
      </w:r>
      <w:r w:rsidR="001E0139" w:rsidRPr="00295637">
        <w:rPr>
          <w:rFonts w:ascii="Times New Roman" w:hAnsi="Times New Roman"/>
        </w:rPr>
        <w:t xml:space="preserve"> </w:t>
      </w:r>
      <w:r>
        <w:rPr>
          <w:rFonts w:ascii="Times New Roman" w:hAnsi="Times New Roman"/>
        </w:rPr>
        <w:t>отворених</w:t>
      </w:r>
      <w:r w:rsidR="001E0139" w:rsidRPr="00295637">
        <w:rPr>
          <w:rFonts w:ascii="Times New Roman" w:hAnsi="Times New Roman"/>
        </w:rPr>
        <w:t xml:space="preserve"> </w:t>
      </w:r>
      <w:r>
        <w:rPr>
          <w:rFonts w:ascii="Times New Roman" w:hAnsi="Times New Roman"/>
        </w:rPr>
        <w:t>врата</w:t>
      </w:r>
      <w:r w:rsidR="001E0139" w:rsidRPr="00295637">
        <w:rPr>
          <w:rFonts w:ascii="Times New Roman" w:hAnsi="Times New Roman"/>
        </w:rPr>
        <w:t xml:space="preserve"> </w:t>
      </w:r>
      <w:r>
        <w:rPr>
          <w:rFonts w:ascii="Times New Roman" w:hAnsi="Times New Roman"/>
        </w:rPr>
        <w:t>у</w:t>
      </w:r>
      <w:r w:rsidR="00001748" w:rsidRPr="00295637">
        <w:rPr>
          <w:rFonts w:ascii="Times New Roman" w:hAnsi="Times New Roman"/>
        </w:rPr>
        <w:t xml:space="preserve"> </w:t>
      </w:r>
      <w:r>
        <w:rPr>
          <w:rFonts w:ascii="Times New Roman" w:hAnsi="Times New Roman"/>
        </w:rPr>
        <w:t>војним</w:t>
      </w:r>
      <w:r w:rsidR="00001748" w:rsidRPr="00295637">
        <w:rPr>
          <w:rFonts w:ascii="Times New Roman" w:hAnsi="Times New Roman"/>
        </w:rPr>
        <w:t xml:space="preserve"> </w:t>
      </w:r>
      <w:r>
        <w:rPr>
          <w:rFonts w:ascii="Times New Roman" w:hAnsi="Times New Roman"/>
        </w:rPr>
        <w:t>објектима</w:t>
      </w:r>
      <w:r w:rsidR="00001748" w:rsidRPr="00295637">
        <w:rPr>
          <w:rFonts w:ascii="Times New Roman" w:hAnsi="Times New Roman"/>
        </w:rPr>
        <w:t xml:space="preserve"> </w:t>
      </w:r>
      <w:r>
        <w:rPr>
          <w:rFonts w:ascii="Times New Roman" w:hAnsi="Times New Roman"/>
        </w:rPr>
        <w:t>поводом</w:t>
      </w:r>
      <w:r w:rsidR="001E0139" w:rsidRPr="00295637">
        <w:rPr>
          <w:rFonts w:ascii="Times New Roman" w:hAnsi="Times New Roman"/>
        </w:rPr>
        <w:t xml:space="preserve"> </w:t>
      </w:r>
      <w:r>
        <w:rPr>
          <w:rFonts w:ascii="Times New Roman" w:hAnsi="Times New Roman"/>
        </w:rPr>
        <w:t>Дана</w:t>
      </w:r>
      <w:r w:rsidR="001E0139" w:rsidRPr="00295637">
        <w:rPr>
          <w:rFonts w:ascii="Times New Roman" w:hAnsi="Times New Roman"/>
        </w:rPr>
        <w:t xml:space="preserve"> </w:t>
      </w:r>
      <w:r>
        <w:rPr>
          <w:rFonts w:ascii="Times New Roman" w:hAnsi="Times New Roman"/>
        </w:rPr>
        <w:t>ОС</w:t>
      </w:r>
      <w:r w:rsidR="00050016">
        <w:rPr>
          <w:rFonts w:ascii="Times New Roman" w:hAnsi="Times New Roman"/>
        </w:rPr>
        <w:t xml:space="preserve"> </w:t>
      </w:r>
      <w:r>
        <w:rPr>
          <w:rFonts w:ascii="Times New Roman" w:hAnsi="Times New Roman"/>
        </w:rPr>
        <w:t>БиХ</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Дана</w:t>
      </w:r>
      <w:r w:rsidR="001E0139" w:rsidRPr="00295637">
        <w:rPr>
          <w:rFonts w:ascii="Times New Roman" w:hAnsi="Times New Roman"/>
        </w:rPr>
        <w:t xml:space="preserve"> </w:t>
      </w:r>
      <w:r>
        <w:rPr>
          <w:rFonts w:ascii="Times New Roman" w:hAnsi="Times New Roman"/>
        </w:rPr>
        <w:t>пукова</w:t>
      </w:r>
      <w:r w:rsidR="00001748" w:rsidRPr="00295637">
        <w:rPr>
          <w:rFonts w:ascii="Times New Roman" w:hAnsi="Times New Roman"/>
        </w:rPr>
        <w:t xml:space="preserve">. </w:t>
      </w:r>
      <w:r>
        <w:rPr>
          <w:rFonts w:ascii="Times New Roman" w:hAnsi="Times New Roman"/>
        </w:rPr>
        <w:t>Жене</w:t>
      </w:r>
      <w:r w:rsidR="001E0139" w:rsidRPr="00295637">
        <w:rPr>
          <w:rFonts w:ascii="Times New Roman" w:hAnsi="Times New Roman"/>
        </w:rPr>
        <w:t xml:space="preserve"> </w:t>
      </w:r>
      <w:r>
        <w:rPr>
          <w:rFonts w:ascii="Times New Roman" w:hAnsi="Times New Roman"/>
        </w:rPr>
        <w:t>из</w:t>
      </w:r>
      <w:r w:rsidR="001E0139" w:rsidRPr="00295637">
        <w:rPr>
          <w:rFonts w:ascii="Times New Roman" w:hAnsi="Times New Roman"/>
        </w:rPr>
        <w:t xml:space="preserve"> </w:t>
      </w:r>
      <w:r>
        <w:rPr>
          <w:rFonts w:ascii="Times New Roman" w:hAnsi="Times New Roman"/>
        </w:rPr>
        <w:t>ОС</w:t>
      </w:r>
      <w:r w:rsidR="00050016">
        <w:rPr>
          <w:rFonts w:ascii="Times New Roman" w:hAnsi="Times New Roman"/>
        </w:rPr>
        <w:t xml:space="preserve"> </w:t>
      </w:r>
      <w:r>
        <w:rPr>
          <w:rFonts w:ascii="Times New Roman" w:hAnsi="Times New Roman"/>
        </w:rPr>
        <w:t>БиХ</w:t>
      </w:r>
      <w:r w:rsidR="001E0139" w:rsidRPr="00295637">
        <w:rPr>
          <w:rFonts w:ascii="Times New Roman" w:hAnsi="Times New Roman"/>
        </w:rPr>
        <w:t xml:space="preserve"> </w:t>
      </w:r>
      <w:r>
        <w:rPr>
          <w:rFonts w:ascii="Times New Roman" w:hAnsi="Times New Roman"/>
        </w:rPr>
        <w:t>су</w:t>
      </w:r>
      <w:r w:rsidR="001E0139" w:rsidRPr="00295637">
        <w:rPr>
          <w:rFonts w:ascii="Times New Roman" w:hAnsi="Times New Roman"/>
        </w:rPr>
        <w:t xml:space="preserve"> </w:t>
      </w:r>
      <w:r>
        <w:rPr>
          <w:rFonts w:ascii="Times New Roman" w:hAnsi="Times New Roman"/>
        </w:rPr>
        <w:t>укључене</w:t>
      </w:r>
      <w:r w:rsidR="001E0139" w:rsidRPr="00295637">
        <w:rPr>
          <w:rFonts w:ascii="Times New Roman" w:hAnsi="Times New Roman"/>
        </w:rPr>
        <w:t xml:space="preserve"> </w:t>
      </w:r>
      <w:r>
        <w:rPr>
          <w:rFonts w:ascii="Times New Roman" w:hAnsi="Times New Roman"/>
        </w:rPr>
        <w:t>у</w:t>
      </w:r>
      <w:r w:rsidR="001E0139" w:rsidRPr="00295637">
        <w:rPr>
          <w:rFonts w:ascii="Times New Roman" w:hAnsi="Times New Roman"/>
        </w:rPr>
        <w:t xml:space="preserve"> </w:t>
      </w:r>
      <w:r>
        <w:rPr>
          <w:rFonts w:ascii="Times New Roman" w:hAnsi="Times New Roman"/>
        </w:rPr>
        <w:t>планирање</w:t>
      </w:r>
      <w:r w:rsidR="001E0139" w:rsidRPr="00295637">
        <w:rPr>
          <w:rFonts w:ascii="Times New Roman" w:hAnsi="Times New Roman"/>
        </w:rPr>
        <w:t xml:space="preserve">, </w:t>
      </w:r>
      <w:r>
        <w:rPr>
          <w:rFonts w:ascii="Times New Roman" w:hAnsi="Times New Roman"/>
        </w:rPr>
        <w:t>презент</w:t>
      </w:r>
      <w:r w:rsidR="00577FA5">
        <w:rPr>
          <w:rFonts w:ascii="Times New Roman" w:hAnsi="Times New Roman"/>
          <w:lang w:val="sr-Cyrl-BA"/>
        </w:rPr>
        <w:t>овање</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извршавање</w:t>
      </w:r>
      <w:r w:rsidR="001E0139" w:rsidRPr="00295637">
        <w:rPr>
          <w:rFonts w:ascii="Times New Roman" w:hAnsi="Times New Roman"/>
        </w:rPr>
        <w:t xml:space="preserve"> </w:t>
      </w:r>
      <w:r>
        <w:rPr>
          <w:rFonts w:ascii="Times New Roman" w:hAnsi="Times New Roman"/>
        </w:rPr>
        <w:t>конкретних</w:t>
      </w:r>
      <w:r w:rsidR="001E0139" w:rsidRPr="00295637">
        <w:rPr>
          <w:rFonts w:ascii="Times New Roman" w:hAnsi="Times New Roman"/>
        </w:rPr>
        <w:t xml:space="preserve"> </w:t>
      </w:r>
      <w:r>
        <w:rPr>
          <w:rFonts w:ascii="Times New Roman" w:hAnsi="Times New Roman"/>
        </w:rPr>
        <w:t>задатака</w:t>
      </w:r>
      <w:r w:rsidR="001E0139" w:rsidRPr="00295637">
        <w:rPr>
          <w:rFonts w:ascii="Times New Roman" w:hAnsi="Times New Roman"/>
        </w:rPr>
        <w:t xml:space="preserve"> </w:t>
      </w:r>
      <w:r>
        <w:rPr>
          <w:rFonts w:ascii="Times New Roman" w:hAnsi="Times New Roman"/>
        </w:rPr>
        <w:t>приликом</w:t>
      </w:r>
      <w:r w:rsidR="001E0139" w:rsidRPr="00295637">
        <w:rPr>
          <w:rFonts w:ascii="Times New Roman" w:hAnsi="Times New Roman"/>
        </w:rPr>
        <w:t xml:space="preserve"> </w:t>
      </w:r>
      <w:r>
        <w:rPr>
          <w:rFonts w:ascii="Times New Roman" w:hAnsi="Times New Roman"/>
        </w:rPr>
        <w:t>ових</w:t>
      </w:r>
      <w:r w:rsidR="001E0139" w:rsidRPr="00295637">
        <w:rPr>
          <w:rFonts w:ascii="Times New Roman" w:hAnsi="Times New Roman"/>
        </w:rPr>
        <w:t xml:space="preserve"> </w:t>
      </w:r>
      <w:r>
        <w:rPr>
          <w:rFonts w:ascii="Times New Roman" w:hAnsi="Times New Roman"/>
        </w:rPr>
        <w:t>посјета</w:t>
      </w:r>
      <w:r w:rsidR="001E0139" w:rsidRPr="00295637">
        <w:rPr>
          <w:rFonts w:ascii="Times New Roman" w:hAnsi="Times New Roman"/>
        </w:rPr>
        <w:t>.</w:t>
      </w:r>
    </w:p>
    <w:p w:rsidR="00837ED5" w:rsidRPr="00295637" w:rsidRDefault="00837ED5" w:rsidP="0086268D">
      <w:pPr>
        <w:ind w:right="14"/>
        <w:jc w:val="both"/>
        <w:rPr>
          <w:rFonts w:ascii="Times New Roman" w:hAnsi="Times New Roman"/>
        </w:rPr>
      </w:pPr>
    </w:p>
    <w:p w:rsidR="00837ED5" w:rsidRPr="00295637" w:rsidRDefault="00C6214E" w:rsidP="0086268D">
      <w:pPr>
        <w:ind w:right="14"/>
        <w:jc w:val="both"/>
        <w:rPr>
          <w:rFonts w:ascii="Times New Roman" w:hAnsi="Times New Roman"/>
        </w:rPr>
      </w:pPr>
      <w:r>
        <w:rPr>
          <w:rFonts w:ascii="Times New Roman" w:hAnsi="Times New Roman"/>
        </w:rPr>
        <w:t>Приликом</w:t>
      </w:r>
      <w:r w:rsidR="001E0139" w:rsidRPr="00295637">
        <w:rPr>
          <w:rFonts w:ascii="Times New Roman" w:hAnsi="Times New Roman"/>
        </w:rPr>
        <w:t xml:space="preserve"> </w:t>
      </w:r>
      <w:r>
        <w:rPr>
          <w:rFonts w:ascii="Times New Roman" w:hAnsi="Times New Roman"/>
        </w:rPr>
        <w:t>објаве</w:t>
      </w:r>
      <w:r w:rsidR="001E0139" w:rsidRPr="00295637">
        <w:rPr>
          <w:rFonts w:ascii="Times New Roman" w:hAnsi="Times New Roman"/>
        </w:rPr>
        <w:t xml:space="preserve"> </w:t>
      </w:r>
      <w:r>
        <w:rPr>
          <w:rFonts w:ascii="Times New Roman" w:hAnsi="Times New Roman"/>
        </w:rPr>
        <w:t>конкурса</w:t>
      </w:r>
      <w:r w:rsidR="001E0139" w:rsidRPr="00295637">
        <w:rPr>
          <w:rFonts w:ascii="Times New Roman" w:hAnsi="Times New Roman"/>
        </w:rPr>
        <w:t xml:space="preserve"> </w:t>
      </w:r>
      <w:r>
        <w:rPr>
          <w:rFonts w:ascii="Times New Roman" w:hAnsi="Times New Roman"/>
        </w:rPr>
        <w:t>за</w:t>
      </w:r>
      <w:r w:rsidR="001E0139" w:rsidRPr="00295637">
        <w:rPr>
          <w:rFonts w:ascii="Times New Roman" w:hAnsi="Times New Roman"/>
        </w:rPr>
        <w:t xml:space="preserve"> </w:t>
      </w:r>
      <w:r>
        <w:rPr>
          <w:rFonts w:ascii="Times New Roman" w:hAnsi="Times New Roman"/>
        </w:rPr>
        <w:t>пријем</w:t>
      </w:r>
      <w:r w:rsidR="001E0139" w:rsidRPr="00295637">
        <w:rPr>
          <w:rFonts w:ascii="Times New Roman" w:hAnsi="Times New Roman"/>
        </w:rPr>
        <w:t xml:space="preserve"> </w:t>
      </w:r>
      <w:r>
        <w:rPr>
          <w:rFonts w:ascii="Times New Roman" w:hAnsi="Times New Roman"/>
        </w:rPr>
        <w:t>у</w:t>
      </w:r>
      <w:r w:rsidR="001E0139" w:rsidRPr="00295637">
        <w:rPr>
          <w:rFonts w:ascii="Times New Roman" w:hAnsi="Times New Roman"/>
        </w:rPr>
        <w:t xml:space="preserve"> </w:t>
      </w:r>
      <w:r>
        <w:rPr>
          <w:rFonts w:ascii="Times New Roman" w:hAnsi="Times New Roman"/>
        </w:rPr>
        <w:t>ОС</w:t>
      </w:r>
      <w:r w:rsidR="002B7194">
        <w:rPr>
          <w:rFonts w:ascii="Times New Roman" w:hAnsi="Times New Roman"/>
        </w:rPr>
        <w:t xml:space="preserve"> </w:t>
      </w:r>
      <w:r>
        <w:rPr>
          <w:rFonts w:ascii="Times New Roman" w:hAnsi="Times New Roman"/>
        </w:rPr>
        <w:t>БиХ</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пратеће</w:t>
      </w:r>
      <w:r w:rsidR="001E0139" w:rsidRPr="00295637">
        <w:rPr>
          <w:rFonts w:ascii="Times New Roman" w:hAnsi="Times New Roman"/>
        </w:rPr>
        <w:t xml:space="preserve"> </w:t>
      </w:r>
      <w:r>
        <w:rPr>
          <w:rFonts w:ascii="Times New Roman" w:hAnsi="Times New Roman"/>
        </w:rPr>
        <w:t>кампање</w:t>
      </w:r>
      <w:r w:rsidR="002B7194">
        <w:rPr>
          <w:rFonts w:ascii="Times New Roman" w:hAnsi="Times New Roman"/>
        </w:rPr>
        <w:t>,</w:t>
      </w:r>
      <w:r w:rsidR="001E0139" w:rsidRPr="00295637">
        <w:rPr>
          <w:rFonts w:ascii="Times New Roman" w:hAnsi="Times New Roman"/>
        </w:rPr>
        <w:t xml:space="preserve"> </w:t>
      </w:r>
      <w:r>
        <w:rPr>
          <w:rFonts w:ascii="Times New Roman" w:hAnsi="Times New Roman"/>
        </w:rPr>
        <w:t>посебна</w:t>
      </w:r>
      <w:r w:rsidR="001E0139" w:rsidRPr="00295637">
        <w:rPr>
          <w:rFonts w:ascii="Times New Roman" w:hAnsi="Times New Roman"/>
        </w:rPr>
        <w:t xml:space="preserve"> </w:t>
      </w:r>
      <w:r>
        <w:rPr>
          <w:rFonts w:ascii="Times New Roman" w:hAnsi="Times New Roman"/>
        </w:rPr>
        <w:t>пажња</w:t>
      </w:r>
      <w:r w:rsidR="001E0139" w:rsidRPr="00295637">
        <w:rPr>
          <w:rFonts w:ascii="Times New Roman" w:hAnsi="Times New Roman"/>
        </w:rPr>
        <w:t xml:space="preserve"> </w:t>
      </w:r>
      <w:r>
        <w:rPr>
          <w:rFonts w:ascii="Times New Roman" w:hAnsi="Times New Roman"/>
        </w:rPr>
        <w:t>посвећена</w:t>
      </w:r>
      <w:r w:rsidR="001E0139" w:rsidRPr="00295637">
        <w:rPr>
          <w:rFonts w:ascii="Times New Roman" w:hAnsi="Times New Roman"/>
        </w:rPr>
        <w:t xml:space="preserve"> </w:t>
      </w:r>
      <w:r>
        <w:rPr>
          <w:rFonts w:ascii="Times New Roman" w:hAnsi="Times New Roman"/>
        </w:rPr>
        <w:t>је</w:t>
      </w:r>
      <w:r w:rsidR="001E0139" w:rsidRPr="00295637">
        <w:rPr>
          <w:rFonts w:ascii="Times New Roman" w:hAnsi="Times New Roman"/>
        </w:rPr>
        <w:t xml:space="preserve"> </w:t>
      </w:r>
      <w:r>
        <w:rPr>
          <w:rFonts w:ascii="Times New Roman" w:hAnsi="Times New Roman"/>
        </w:rPr>
        <w:t>промоцији</w:t>
      </w:r>
      <w:r w:rsidR="001E0139" w:rsidRPr="00295637">
        <w:rPr>
          <w:rFonts w:ascii="Times New Roman" w:hAnsi="Times New Roman"/>
        </w:rPr>
        <w:t xml:space="preserve"> </w:t>
      </w:r>
      <w:r>
        <w:rPr>
          <w:rFonts w:ascii="Times New Roman" w:hAnsi="Times New Roman"/>
        </w:rPr>
        <w:t>учешћа</w:t>
      </w:r>
      <w:r w:rsidR="001E0139" w:rsidRPr="00295637">
        <w:rPr>
          <w:rFonts w:ascii="Times New Roman" w:hAnsi="Times New Roman"/>
        </w:rPr>
        <w:t xml:space="preserve"> </w:t>
      </w:r>
      <w:r>
        <w:rPr>
          <w:rFonts w:ascii="Times New Roman" w:hAnsi="Times New Roman"/>
        </w:rPr>
        <w:t>жена</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охрабривању</w:t>
      </w:r>
      <w:r w:rsidR="001E0139" w:rsidRPr="00295637">
        <w:rPr>
          <w:rFonts w:ascii="Times New Roman" w:hAnsi="Times New Roman"/>
        </w:rPr>
        <w:t xml:space="preserve"> </w:t>
      </w:r>
      <w:r>
        <w:rPr>
          <w:rFonts w:ascii="Times New Roman" w:hAnsi="Times New Roman"/>
        </w:rPr>
        <w:t>дјевојака</w:t>
      </w:r>
      <w:r w:rsidR="001E0139" w:rsidRPr="00295637">
        <w:rPr>
          <w:rFonts w:ascii="Times New Roman" w:hAnsi="Times New Roman"/>
        </w:rPr>
        <w:t xml:space="preserve"> </w:t>
      </w:r>
      <w:r>
        <w:rPr>
          <w:rFonts w:ascii="Times New Roman" w:hAnsi="Times New Roman"/>
        </w:rPr>
        <w:t>да</w:t>
      </w:r>
      <w:r w:rsidR="001E0139" w:rsidRPr="00295637">
        <w:rPr>
          <w:rFonts w:ascii="Times New Roman" w:hAnsi="Times New Roman"/>
        </w:rPr>
        <w:t xml:space="preserve"> </w:t>
      </w:r>
      <w:r>
        <w:rPr>
          <w:rFonts w:ascii="Times New Roman" w:hAnsi="Times New Roman"/>
        </w:rPr>
        <w:t>се</w:t>
      </w:r>
      <w:r w:rsidR="001E0139" w:rsidRPr="00295637">
        <w:rPr>
          <w:rFonts w:ascii="Times New Roman" w:hAnsi="Times New Roman"/>
        </w:rPr>
        <w:t xml:space="preserve"> </w:t>
      </w:r>
      <w:r>
        <w:rPr>
          <w:rFonts w:ascii="Times New Roman" w:hAnsi="Times New Roman"/>
        </w:rPr>
        <w:t>пријаве</w:t>
      </w:r>
      <w:r w:rsidR="001E0139" w:rsidRPr="00295637">
        <w:rPr>
          <w:rFonts w:ascii="Times New Roman" w:hAnsi="Times New Roman"/>
        </w:rPr>
        <w:t xml:space="preserve">. </w:t>
      </w:r>
      <w:r>
        <w:rPr>
          <w:rFonts w:ascii="Times New Roman" w:hAnsi="Times New Roman"/>
        </w:rPr>
        <w:t>То</w:t>
      </w:r>
      <w:r w:rsidR="001E0139" w:rsidRPr="00295637">
        <w:rPr>
          <w:rFonts w:ascii="Times New Roman" w:hAnsi="Times New Roman"/>
        </w:rPr>
        <w:t xml:space="preserve"> </w:t>
      </w:r>
      <w:r>
        <w:rPr>
          <w:rFonts w:ascii="Times New Roman" w:hAnsi="Times New Roman"/>
        </w:rPr>
        <w:t>укључује</w:t>
      </w:r>
      <w:r w:rsidR="001E0139" w:rsidRPr="00295637">
        <w:rPr>
          <w:rFonts w:ascii="Times New Roman" w:hAnsi="Times New Roman"/>
        </w:rPr>
        <w:t xml:space="preserve"> </w:t>
      </w:r>
      <w:r>
        <w:rPr>
          <w:rFonts w:ascii="Times New Roman" w:hAnsi="Times New Roman"/>
        </w:rPr>
        <w:t>бројне</w:t>
      </w:r>
      <w:r w:rsidR="001E0139" w:rsidRPr="00295637">
        <w:rPr>
          <w:rFonts w:ascii="Times New Roman" w:hAnsi="Times New Roman"/>
        </w:rPr>
        <w:t xml:space="preserve"> </w:t>
      </w:r>
      <w:r>
        <w:rPr>
          <w:rFonts w:ascii="Times New Roman" w:hAnsi="Times New Roman"/>
        </w:rPr>
        <w:t>промотивне</w:t>
      </w:r>
      <w:r w:rsidR="008D37A7">
        <w:rPr>
          <w:rFonts w:ascii="Times New Roman" w:hAnsi="Times New Roman"/>
        </w:rPr>
        <w:t xml:space="preserve"> </w:t>
      </w:r>
      <w:r>
        <w:rPr>
          <w:rFonts w:ascii="Times New Roman" w:hAnsi="Times New Roman"/>
        </w:rPr>
        <w:t>и</w:t>
      </w:r>
      <w:r w:rsidR="008D37A7">
        <w:rPr>
          <w:rFonts w:ascii="Times New Roman" w:hAnsi="Times New Roman"/>
        </w:rPr>
        <w:t xml:space="preserve"> </w:t>
      </w:r>
      <w:r>
        <w:rPr>
          <w:rFonts w:ascii="Times New Roman" w:hAnsi="Times New Roman"/>
        </w:rPr>
        <w:t>медијске</w:t>
      </w:r>
      <w:r w:rsidR="001E0139" w:rsidRPr="00295637">
        <w:rPr>
          <w:rFonts w:ascii="Times New Roman" w:hAnsi="Times New Roman"/>
        </w:rPr>
        <w:t xml:space="preserve"> </w:t>
      </w:r>
      <w:r>
        <w:rPr>
          <w:rFonts w:ascii="Times New Roman" w:hAnsi="Times New Roman"/>
        </w:rPr>
        <w:t>садржаје</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материјале</w:t>
      </w:r>
      <w:r w:rsidR="00B26225" w:rsidRPr="00295637">
        <w:rPr>
          <w:rFonts w:ascii="Times New Roman" w:hAnsi="Times New Roman"/>
        </w:rPr>
        <w:t xml:space="preserve"> (</w:t>
      </w:r>
      <w:r>
        <w:rPr>
          <w:rFonts w:ascii="Times New Roman" w:hAnsi="Times New Roman"/>
        </w:rPr>
        <w:t>видео</w:t>
      </w:r>
      <w:r w:rsidR="00B26225" w:rsidRPr="00295637">
        <w:rPr>
          <w:rFonts w:ascii="Times New Roman" w:hAnsi="Times New Roman"/>
        </w:rPr>
        <w:t xml:space="preserve"> </w:t>
      </w:r>
      <w:r>
        <w:rPr>
          <w:rFonts w:ascii="Times New Roman" w:hAnsi="Times New Roman"/>
        </w:rPr>
        <w:t>снимке</w:t>
      </w:r>
      <w:r w:rsidR="00B26225" w:rsidRPr="00295637">
        <w:rPr>
          <w:rFonts w:ascii="Times New Roman" w:hAnsi="Times New Roman"/>
        </w:rPr>
        <w:t xml:space="preserve">, </w:t>
      </w:r>
      <w:r>
        <w:rPr>
          <w:rFonts w:ascii="Times New Roman" w:hAnsi="Times New Roman"/>
        </w:rPr>
        <w:t>билборде</w:t>
      </w:r>
      <w:r w:rsidR="001E0139" w:rsidRPr="00295637">
        <w:rPr>
          <w:rFonts w:ascii="Times New Roman" w:hAnsi="Times New Roman"/>
        </w:rPr>
        <w:t xml:space="preserve">, </w:t>
      </w:r>
      <w:r>
        <w:rPr>
          <w:rFonts w:ascii="Times New Roman" w:hAnsi="Times New Roman"/>
        </w:rPr>
        <w:t>постере</w:t>
      </w:r>
      <w:r w:rsidR="001E0139" w:rsidRPr="00295637">
        <w:rPr>
          <w:rFonts w:ascii="Times New Roman" w:hAnsi="Times New Roman"/>
        </w:rPr>
        <w:t xml:space="preserve">) </w:t>
      </w:r>
      <w:r>
        <w:rPr>
          <w:rFonts w:ascii="Times New Roman" w:hAnsi="Times New Roman"/>
        </w:rPr>
        <w:t>презент</w:t>
      </w:r>
      <w:r w:rsidR="00577FA5">
        <w:rPr>
          <w:rFonts w:ascii="Times New Roman" w:hAnsi="Times New Roman"/>
          <w:lang w:val="sr-Cyrl-BA"/>
        </w:rPr>
        <w:t>оване</w:t>
      </w:r>
      <w:r w:rsidR="001E0139" w:rsidRPr="00295637">
        <w:rPr>
          <w:rFonts w:ascii="Times New Roman" w:hAnsi="Times New Roman"/>
        </w:rPr>
        <w:t xml:space="preserve"> </w:t>
      </w:r>
      <w:r>
        <w:rPr>
          <w:rFonts w:ascii="Times New Roman" w:hAnsi="Times New Roman"/>
        </w:rPr>
        <w:t>путем</w:t>
      </w:r>
      <w:r w:rsidR="001E0139" w:rsidRPr="00295637">
        <w:rPr>
          <w:rFonts w:ascii="Times New Roman" w:hAnsi="Times New Roman"/>
        </w:rPr>
        <w:t xml:space="preserve"> </w:t>
      </w:r>
      <w:r>
        <w:rPr>
          <w:rFonts w:ascii="Times New Roman" w:hAnsi="Times New Roman"/>
        </w:rPr>
        <w:t>свих</w:t>
      </w:r>
      <w:r w:rsidR="001E0139" w:rsidRPr="00295637">
        <w:rPr>
          <w:rFonts w:ascii="Times New Roman" w:hAnsi="Times New Roman"/>
        </w:rPr>
        <w:t xml:space="preserve"> </w:t>
      </w:r>
      <w:r>
        <w:rPr>
          <w:rFonts w:ascii="Times New Roman" w:hAnsi="Times New Roman"/>
        </w:rPr>
        <w:t>средстава</w:t>
      </w:r>
      <w:r w:rsidR="001E0139" w:rsidRPr="00295637">
        <w:rPr>
          <w:rFonts w:ascii="Times New Roman" w:hAnsi="Times New Roman"/>
        </w:rPr>
        <w:t xml:space="preserve"> </w:t>
      </w:r>
      <w:r>
        <w:rPr>
          <w:rFonts w:ascii="Times New Roman" w:hAnsi="Times New Roman"/>
        </w:rPr>
        <w:t>јавног</w:t>
      </w:r>
      <w:r w:rsidR="001E0139" w:rsidRPr="00295637">
        <w:rPr>
          <w:rFonts w:ascii="Times New Roman" w:hAnsi="Times New Roman"/>
        </w:rPr>
        <w:t xml:space="preserve"> </w:t>
      </w:r>
      <w:r>
        <w:rPr>
          <w:rFonts w:ascii="Times New Roman" w:hAnsi="Times New Roman"/>
        </w:rPr>
        <w:t>информи</w:t>
      </w:r>
      <w:r w:rsidR="00577FA5">
        <w:rPr>
          <w:rFonts w:ascii="Times New Roman" w:hAnsi="Times New Roman"/>
          <w:lang w:val="sr-Cyrl-BA"/>
        </w:rPr>
        <w:t>с</w:t>
      </w:r>
      <w:r>
        <w:rPr>
          <w:rFonts w:ascii="Times New Roman" w:hAnsi="Times New Roman"/>
        </w:rPr>
        <w:t>ања</w:t>
      </w:r>
      <w:r w:rsidR="001E0139" w:rsidRPr="00295637">
        <w:rPr>
          <w:rFonts w:ascii="Times New Roman" w:hAnsi="Times New Roman"/>
        </w:rPr>
        <w:t xml:space="preserve">. </w:t>
      </w:r>
      <w:r>
        <w:rPr>
          <w:rFonts w:ascii="Times New Roman" w:hAnsi="Times New Roman"/>
        </w:rPr>
        <w:t>У</w:t>
      </w:r>
      <w:r w:rsidR="001E0139" w:rsidRPr="00295637">
        <w:rPr>
          <w:rFonts w:ascii="Times New Roman" w:hAnsi="Times New Roman"/>
        </w:rPr>
        <w:t xml:space="preserve"> </w:t>
      </w:r>
      <w:r>
        <w:rPr>
          <w:rFonts w:ascii="Times New Roman" w:hAnsi="Times New Roman"/>
        </w:rPr>
        <w:t>извјештајном</w:t>
      </w:r>
      <w:r w:rsidR="001E0139" w:rsidRPr="00295637">
        <w:rPr>
          <w:rFonts w:ascii="Times New Roman" w:hAnsi="Times New Roman"/>
        </w:rPr>
        <w:t xml:space="preserve"> </w:t>
      </w:r>
      <w:r>
        <w:rPr>
          <w:rFonts w:ascii="Times New Roman" w:hAnsi="Times New Roman"/>
        </w:rPr>
        <w:t>периоду</w:t>
      </w:r>
      <w:r w:rsidR="001E0139" w:rsidRPr="00295637">
        <w:rPr>
          <w:rFonts w:ascii="Times New Roman" w:hAnsi="Times New Roman"/>
        </w:rPr>
        <w:t xml:space="preserve">, </w:t>
      </w:r>
      <w:r>
        <w:rPr>
          <w:rFonts w:ascii="Times New Roman" w:hAnsi="Times New Roman"/>
        </w:rPr>
        <w:t>на</w:t>
      </w:r>
      <w:r w:rsidR="001E0139" w:rsidRPr="00295637">
        <w:rPr>
          <w:rFonts w:ascii="Times New Roman" w:hAnsi="Times New Roman"/>
        </w:rPr>
        <w:t xml:space="preserve"> </w:t>
      </w:r>
      <w:r>
        <w:rPr>
          <w:rFonts w:ascii="Times New Roman" w:hAnsi="Times New Roman"/>
        </w:rPr>
        <w:t>јавни</w:t>
      </w:r>
      <w:r w:rsidR="001E0139" w:rsidRPr="00295637">
        <w:rPr>
          <w:rFonts w:ascii="Times New Roman" w:hAnsi="Times New Roman"/>
        </w:rPr>
        <w:t xml:space="preserve"> </w:t>
      </w:r>
      <w:r>
        <w:rPr>
          <w:rFonts w:ascii="Times New Roman" w:hAnsi="Times New Roman"/>
        </w:rPr>
        <w:t>оглас</w:t>
      </w:r>
      <w:r w:rsidR="001E0139" w:rsidRPr="00295637">
        <w:rPr>
          <w:rFonts w:ascii="Times New Roman" w:hAnsi="Times New Roman"/>
        </w:rPr>
        <w:t xml:space="preserve"> </w:t>
      </w:r>
      <w:r>
        <w:rPr>
          <w:rFonts w:ascii="Times New Roman" w:hAnsi="Times New Roman"/>
        </w:rPr>
        <w:t>за</w:t>
      </w:r>
      <w:r w:rsidR="001E0139" w:rsidRPr="00295637">
        <w:rPr>
          <w:rFonts w:ascii="Times New Roman" w:hAnsi="Times New Roman"/>
        </w:rPr>
        <w:t xml:space="preserve"> </w:t>
      </w:r>
      <w:r>
        <w:rPr>
          <w:rFonts w:ascii="Times New Roman" w:hAnsi="Times New Roman"/>
        </w:rPr>
        <w:t>пријем</w:t>
      </w:r>
      <w:r w:rsidR="001E0139" w:rsidRPr="00295637">
        <w:rPr>
          <w:rFonts w:ascii="Times New Roman" w:hAnsi="Times New Roman"/>
        </w:rPr>
        <w:t xml:space="preserve"> </w:t>
      </w:r>
      <w:r>
        <w:rPr>
          <w:rFonts w:ascii="Times New Roman" w:hAnsi="Times New Roman"/>
        </w:rPr>
        <w:t>војника</w:t>
      </w:r>
      <w:r w:rsidR="001E0139" w:rsidRPr="00295637">
        <w:rPr>
          <w:rFonts w:ascii="Times New Roman" w:hAnsi="Times New Roman"/>
        </w:rPr>
        <w:t xml:space="preserve">, </w:t>
      </w:r>
      <w:r>
        <w:rPr>
          <w:rFonts w:ascii="Times New Roman" w:hAnsi="Times New Roman"/>
        </w:rPr>
        <w:t>од</w:t>
      </w:r>
      <w:r w:rsidR="001E0139" w:rsidRPr="00295637">
        <w:rPr>
          <w:rFonts w:ascii="Times New Roman" w:hAnsi="Times New Roman"/>
        </w:rPr>
        <w:t xml:space="preserve"> </w:t>
      </w:r>
      <w:r>
        <w:rPr>
          <w:rFonts w:ascii="Times New Roman" w:hAnsi="Times New Roman"/>
        </w:rPr>
        <w:t>укупно</w:t>
      </w:r>
      <w:r w:rsidR="001E0139" w:rsidRPr="00295637">
        <w:rPr>
          <w:rFonts w:ascii="Times New Roman" w:hAnsi="Times New Roman"/>
        </w:rPr>
        <w:t xml:space="preserve"> </w:t>
      </w:r>
      <w:r>
        <w:rPr>
          <w:rFonts w:ascii="Times New Roman" w:hAnsi="Times New Roman"/>
        </w:rPr>
        <w:t>пријављених</w:t>
      </w:r>
      <w:r w:rsidR="001E0139" w:rsidRPr="00295637">
        <w:rPr>
          <w:rFonts w:ascii="Times New Roman" w:hAnsi="Times New Roman"/>
        </w:rPr>
        <w:t xml:space="preserve"> </w:t>
      </w:r>
      <w:r>
        <w:rPr>
          <w:rFonts w:ascii="Times New Roman" w:hAnsi="Times New Roman"/>
        </w:rPr>
        <w:t>било</w:t>
      </w:r>
      <w:r w:rsidR="001E0139" w:rsidRPr="00295637">
        <w:rPr>
          <w:rFonts w:ascii="Times New Roman" w:hAnsi="Times New Roman"/>
        </w:rPr>
        <w:t xml:space="preserve"> </w:t>
      </w:r>
      <w:r>
        <w:rPr>
          <w:rFonts w:ascii="Times New Roman" w:hAnsi="Times New Roman"/>
        </w:rPr>
        <w:t>је</w:t>
      </w:r>
      <w:r w:rsidR="001E0139" w:rsidRPr="00295637">
        <w:rPr>
          <w:rFonts w:ascii="Times New Roman" w:hAnsi="Times New Roman"/>
        </w:rPr>
        <w:t xml:space="preserve"> 15,2 % </w:t>
      </w:r>
      <w:r>
        <w:rPr>
          <w:rFonts w:ascii="Times New Roman" w:hAnsi="Times New Roman"/>
        </w:rPr>
        <w:t>жена</w:t>
      </w:r>
      <w:r w:rsidR="001E0139" w:rsidRPr="00295637">
        <w:rPr>
          <w:rFonts w:ascii="Times New Roman" w:hAnsi="Times New Roman"/>
        </w:rPr>
        <w:t xml:space="preserve">, </w:t>
      </w:r>
      <w:r>
        <w:rPr>
          <w:rFonts w:ascii="Times New Roman" w:hAnsi="Times New Roman"/>
        </w:rPr>
        <w:t>на</w:t>
      </w:r>
      <w:r w:rsidR="001E0139" w:rsidRPr="00295637">
        <w:rPr>
          <w:rFonts w:ascii="Times New Roman" w:hAnsi="Times New Roman"/>
        </w:rPr>
        <w:t xml:space="preserve"> </w:t>
      </w:r>
      <w:r>
        <w:rPr>
          <w:rFonts w:ascii="Times New Roman" w:hAnsi="Times New Roman"/>
        </w:rPr>
        <w:t>јавни</w:t>
      </w:r>
      <w:r w:rsidR="001E0139" w:rsidRPr="00295637">
        <w:rPr>
          <w:rFonts w:ascii="Times New Roman" w:hAnsi="Times New Roman"/>
        </w:rPr>
        <w:t xml:space="preserve"> </w:t>
      </w:r>
      <w:r>
        <w:rPr>
          <w:rFonts w:ascii="Times New Roman" w:hAnsi="Times New Roman"/>
        </w:rPr>
        <w:t>конкурс</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јавни</w:t>
      </w:r>
      <w:r w:rsidR="001E0139" w:rsidRPr="00295637">
        <w:rPr>
          <w:rFonts w:ascii="Times New Roman" w:hAnsi="Times New Roman"/>
        </w:rPr>
        <w:t xml:space="preserve"> </w:t>
      </w:r>
      <w:r>
        <w:rPr>
          <w:rFonts w:ascii="Times New Roman" w:hAnsi="Times New Roman"/>
        </w:rPr>
        <w:t>позив</w:t>
      </w:r>
      <w:r w:rsidR="001E0139" w:rsidRPr="00295637">
        <w:rPr>
          <w:rFonts w:ascii="Times New Roman" w:hAnsi="Times New Roman"/>
        </w:rPr>
        <w:t xml:space="preserve"> </w:t>
      </w:r>
      <w:r>
        <w:rPr>
          <w:rFonts w:ascii="Times New Roman" w:hAnsi="Times New Roman"/>
        </w:rPr>
        <w:t>за</w:t>
      </w:r>
      <w:r w:rsidR="001E0139" w:rsidRPr="00295637">
        <w:rPr>
          <w:rFonts w:ascii="Times New Roman" w:hAnsi="Times New Roman"/>
        </w:rPr>
        <w:t xml:space="preserve"> </w:t>
      </w:r>
      <w:r>
        <w:rPr>
          <w:rFonts w:ascii="Times New Roman" w:hAnsi="Times New Roman"/>
        </w:rPr>
        <w:t>пријем</w:t>
      </w:r>
      <w:r w:rsidR="001E0139" w:rsidRPr="00295637">
        <w:rPr>
          <w:rFonts w:ascii="Times New Roman" w:hAnsi="Times New Roman"/>
        </w:rPr>
        <w:t xml:space="preserve"> </w:t>
      </w:r>
      <w:r>
        <w:rPr>
          <w:rFonts w:ascii="Times New Roman" w:hAnsi="Times New Roman"/>
        </w:rPr>
        <w:t>официра</w:t>
      </w:r>
      <w:r w:rsidR="001E0139" w:rsidRPr="00295637">
        <w:rPr>
          <w:rFonts w:ascii="Times New Roman" w:hAnsi="Times New Roman"/>
        </w:rPr>
        <w:t xml:space="preserve"> </w:t>
      </w:r>
      <w:r>
        <w:rPr>
          <w:rFonts w:ascii="Times New Roman" w:hAnsi="Times New Roman"/>
        </w:rPr>
        <w:t>пријавило</w:t>
      </w:r>
      <w:r w:rsidR="001E0139" w:rsidRPr="00295637">
        <w:rPr>
          <w:rFonts w:ascii="Times New Roman" w:hAnsi="Times New Roman"/>
        </w:rPr>
        <w:t xml:space="preserve"> </w:t>
      </w:r>
      <w:r>
        <w:rPr>
          <w:rFonts w:ascii="Times New Roman" w:hAnsi="Times New Roman"/>
        </w:rPr>
        <w:t>се</w:t>
      </w:r>
      <w:r w:rsidR="001E0139" w:rsidRPr="00295637">
        <w:rPr>
          <w:rFonts w:ascii="Times New Roman" w:hAnsi="Times New Roman"/>
        </w:rPr>
        <w:t xml:space="preserve"> 18,6 % </w:t>
      </w:r>
      <w:r>
        <w:rPr>
          <w:rFonts w:ascii="Times New Roman" w:hAnsi="Times New Roman"/>
        </w:rPr>
        <w:t>жена</w:t>
      </w:r>
      <w:r w:rsidR="001E0139" w:rsidRPr="00295637">
        <w:rPr>
          <w:rFonts w:ascii="Times New Roman" w:hAnsi="Times New Roman"/>
        </w:rPr>
        <w:t xml:space="preserve">, </w:t>
      </w:r>
      <w:r>
        <w:rPr>
          <w:rFonts w:ascii="Times New Roman" w:hAnsi="Times New Roman"/>
        </w:rPr>
        <w:t>те</w:t>
      </w:r>
      <w:r w:rsidR="001E0139" w:rsidRPr="00295637">
        <w:rPr>
          <w:rFonts w:ascii="Times New Roman" w:hAnsi="Times New Roman"/>
        </w:rPr>
        <w:t xml:space="preserve"> </w:t>
      </w:r>
      <w:r>
        <w:rPr>
          <w:rFonts w:ascii="Times New Roman" w:hAnsi="Times New Roman"/>
        </w:rPr>
        <w:t>на</w:t>
      </w:r>
      <w:r w:rsidR="001E0139" w:rsidRPr="00295637">
        <w:rPr>
          <w:rFonts w:ascii="Times New Roman" w:hAnsi="Times New Roman"/>
        </w:rPr>
        <w:t xml:space="preserve"> </w:t>
      </w:r>
      <w:r>
        <w:rPr>
          <w:rFonts w:ascii="Times New Roman" w:hAnsi="Times New Roman"/>
        </w:rPr>
        <w:t>интерни</w:t>
      </w:r>
      <w:r w:rsidR="001E0139" w:rsidRPr="00295637">
        <w:rPr>
          <w:rFonts w:ascii="Times New Roman" w:hAnsi="Times New Roman"/>
        </w:rPr>
        <w:t xml:space="preserve"> </w:t>
      </w:r>
      <w:r>
        <w:rPr>
          <w:rFonts w:ascii="Times New Roman" w:hAnsi="Times New Roman"/>
        </w:rPr>
        <w:t>оглас</w:t>
      </w:r>
      <w:r w:rsidR="001E0139" w:rsidRPr="00295637">
        <w:rPr>
          <w:rFonts w:ascii="Times New Roman" w:hAnsi="Times New Roman"/>
        </w:rPr>
        <w:t xml:space="preserve"> </w:t>
      </w:r>
      <w:r>
        <w:rPr>
          <w:rFonts w:ascii="Times New Roman" w:hAnsi="Times New Roman"/>
        </w:rPr>
        <w:t>и</w:t>
      </w:r>
      <w:r w:rsidR="001E0139" w:rsidRPr="00295637">
        <w:rPr>
          <w:rFonts w:ascii="Times New Roman" w:hAnsi="Times New Roman"/>
        </w:rPr>
        <w:t xml:space="preserve"> </w:t>
      </w:r>
      <w:r>
        <w:rPr>
          <w:rFonts w:ascii="Times New Roman" w:hAnsi="Times New Roman"/>
        </w:rPr>
        <w:t>јавни</w:t>
      </w:r>
      <w:r w:rsidR="001E0139" w:rsidRPr="00295637">
        <w:rPr>
          <w:rFonts w:ascii="Times New Roman" w:hAnsi="Times New Roman"/>
        </w:rPr>
        <w:t xml:space="preserve"> </w:t>
      </w:r>
      <w:r>
        <w:rPr>
          <w:rFonts w:ascii="Times New Roman" w:hAnsi="Times New Roman"/>
        </w:rPr>
        <w:t>позив</w:t>
      </w:r>
      <w:r w:rsidR="001E0139" w:rsidRPr="00295637">
        <w:rPr>
          <w:rFonts w:ascii="Times New Roman" w:hAnsi="Times New Roman"/>
        </w:rPr>
        <w:t xml:space="preserve"> </w:t>
      </w:r>
      <w:r>
        <w:rPr>
          <w:rFonts w:ascii="Times New Roman" w:hAnsi="Times New Roman"/>
        </w:rPr>
        <w:t>за</w:t>
      </w:r>
      <w:r w:rsidR="001E0139" w:rsidRPr="00295637">
        <w:rPr>
          <w:rFonts w:ascii="Times New Roman" w:hAnsi="Times New Roman"/>
        </w:rPr>
        <w:t xml:space="preserve"> </w:t>
      </w:r>
      <w:r>
        <w:rPr>
          <w:rFonts w:ascii="Times New Roman" w:hAnsi="Times New Roman"/>
        </w:rPr>
        <w:t>пријем</w:t>
      </w:r>
      <w:r w:rsidR="001E0139" w:rsidRPr="00295637">
        <w:rPr>
          <w:rFonts w:ascii="Times New Roman" w:hAnsi="Times New Roman"/>
        </w:rPr>
        <w:t xml:space="preserve"> </w:t>
      </w:r>
      <w:r>
        <w:rPr>
          <w:rFonts w:ascii="Times New Roman" w:hAnsi="Times New Roman"/>
        </w:rPr>
        <w:t>подофицира</w:t>
      </w:r>
      <w:r w:rsidR="001E0139" w:rsidRPr="00295637">
        <w:rPr>
          <w:rFonts w:ascii="Times New Roman" w:hAnsi="Times New Roman"/>
        </w:rPr>
        <w:t xml:space="preserve"> </w:t>
      </w:r>
      <w:r>
        <w:rPr>
          <w:rFonts w:ascii="Times New Roman" w:hAnsi="Times New Roman"/>
        </w:rPr>
        <w:t>пријавило</w:t>
      </w:r>
      <w:r w:rsidR="001E0139" w:rsidRPr="00295637">
        <w:rPr>
          <w:rFonts w:ascii="Times New Roman" w:hAnsi="Times New Roman"/>
        </w:rPr>
        <w:t xml:space="preserve"> </w:t>
      </w:r>
      <w:r>
        <w:rPr>
          <w:rFonts w:ascii="Times New Roman" w:hAnsi="Times New Roman"/>
        </w:rPr>
        <w:t>се</w:t>
      </w:r>
      <w:r w:rsidR="001E0139" w:rsidRPr="00295637">
        <w:rPr>
          <w:rFonts w:ascii="Times New Roman" w:hAnsi="Times New Roman"/>
        </w:rPr>
        <w:t xml:space="preserve"> 9,5 % </w:t>
      </w:r>
      <w:r>
        <w:rPr>
          <w:rFonts w:ascii="Times New Roman" w:hAnsi="Times New Roman"/>
        </w:rPr>
        <w:t>жена</w:t>
      </w:r>
      <w:r w:rsidR="001E0139" w:rsidRPr="00295637">
        <w:rPr>
          <w:rFonts w:ascii="Times New Roman" w:hAnsi="Times New Roman"/>
        </w:rPr>
        <w:t>.</w:t>
      </w:r>
    </w:p>
    <w:p w:rsidR="0084290C" w:rsidRPr="00295637" w:rsidRDefault="0084290C" w:rsidP="0086268D">
      <w:pPr>
        <w:rPr>
          <w:i/>
          <w:iCs/>
          <w:color w:val="FF0000"/>
          <w:lang w:val="bs-Latn-BA"/>
        </w:rPr>
      </w:pPr>
    </w:p>
    <w:p w:rsidR="00E1132E" w:rsidRPr="00295637" w:rsidRDefault="00C6214E" w:rsidP="0086268D">
      <w:pPr>
        <w:pStyle w:val="ListParagraph"/>
        <w:ind w:left="0"/>
        <w:jc w:val="both"/>
        <w:rPr>
          <w:rFonts w:ascii="Times New Roman" w:hAnsi="Times New Roman"/>
          <w:lang w:val="sr-Cyrl-BA"/>
        </w:rPr>
      </w:pPr>
      <w:r>
        <w:rPr>
          <w:rFonts w:ascii="Times New Roman" w:hAnsi="Times New Roman"/>
          <w:lang w:val="sr-Latn-BA"/>
        </w:rPr>
        <w:t>У</w:t>
      </w:r>
      <w:r w:rsidR="00E1132E" w:rsidRPr="00295637">
        <w:rPr>
          <w:rFonts w:ascii="Times New Roman" w:hAnsi="Times New Roman"/>
          <w:lang w:val="sr-Latn-BA"/>
        </w:rPr>
        <w:t xml:space="preserve"> 2024. </w:t>
      </w:r>
      <w:r>
        <w:rPr>
          <w:rFonts w:ascii="Times New Roman" w:hAnsi="Times New Roman"/>
          <w:lang w:val="sr-Latn-BA"/>
        </w:rPr>
        <w:t>години</w:t>
      </w:r>
      <w:r w:rsidR="00E1132E" w:rsidRPr="00295637">
        <w:rPr>
          <w:rFonts w:ascii="Times New Roman" w:hAnsi="Times New Roman"/>
          <w:lang w:val="sr-Latn-BA"/>
        </w:rPr>
        <w:t xml:space="preserve">, </w:t>
      </w:r>
      <w:r>
        <w:rPr>
          <w:rFonts w:ascii="Times New Roman" w:hAnsi="Times New Roman"/>
          <w:lang w:val="sr-Latn-BA"/>
        </w:rPr>
        <w:t>о</w:t>
      </w:r>
      <w:r>
        <w:rPr>
          <w:rFonts w:ascii="Times New Roman" w:hAnsi="Times New Roman"/>
          <w:lang w:val="sr-Cyrl-BA"/>
        </w:rPr>
        <w:t>држано</w:t>
      </w:r>
      <w:r w:rsidR="00E1132E" w:rsidRPr="00295637">
        <w:rPr>
          <w:rFonts w:ascii="Times New Roman" w:hAnsi="Times New Roman"/>
          <w:lang w:val="sr-Latn-BA"/>
        </w:rPr>
        <w:t xml:space="preserve"> </w:t>
      </w:r>
      <w:r>
        <w:rPr>
          <w:rFonts w:ascii="Times New Roman" w:hAnsi="Times New Roman"/>
          <w:lang w:val="sr-Latn-BA"/>
        </w:rPr>
        <w:t>је</w:t>
      </w:r>
      <w:r w:rsidR="00E1132E" w:rsidRPr="00295637">
        <w:rPr>
          <w:rFonts w:ascii="Times New Roman" w:hAnsi="Times New Roman"/>
          <w:lang w:val="sr-Cyrl-BA"/>
        </w:rPr>
        <w:t xml:space="preserve"> 46 </w:t>
      </w:r>
      <w:r>
        <w:rPr>
          <w:rFonts w:ascii="Times New Roman" w:hAnsi="Times New Roman"/>
          <w:lang w:val="sr-Cyrl-BA"/>
        </w:rPr>
        <w:t>пром</w:t>
      </w:r>
      <w:r>
        <w:rPr>
          <w:rFonts w:ascii="Times New Roman" w:hAnsi="Times New Roman"/>
          <w:lang w:val="hr-HR"/>
        </w:rPr>
        <w:t>оција</w:t>
      </w:r>
      <w:r w:rsidR="00E1132E" w:rsidRPr="00295637">
        <w:rPr>
          <w:rFonts w:ascii="Times New Roman" w:hAnsi="Times New Roman"/>
          <w:lang w:val="sr-Cyrl-BA"/>
        </w:rPr>
        <w:t xml:space="preserve"> </w:t>
      </w:r>
      <w:r>
        <w:rPr>
          <w:rFonts w:ascii="Times New Roman" w:hAnsi="Times New Roman"/>
          <w:lang w:val="sr-Cyrl-BA"/>
        </w:rPr>
        <w:t>у</w:t>
      </w:r>
      <w:r w:rsidR="00E1132E" w:rsidRPr="00295637">
        <w:rPr>
          <w:rFonts w:ascii="Times New Roman" w:hAnsi="Times New Roman"/>
          <w:lang w:val="sr-Cyrl-BA"/>
        </w:rPr>
        <w:t xml:space="preserve"> </w:t>
      </w:r>
      <w:r>
        <w:rPr>
          <w:rFonts w:ascii="Times New Roman" w:hAnsi="Times New Roman"/>
          <w:lang w:val="sr-Cyrl-BA"/>
        </w:rPr>
        <w:t>различитим</w:t>
      </w:r>
      <w:r w:rsidR="00E1132E" w:rsidRPr="00295637">
        <w:rPr>
          <w:rFonts w:ascii="Times New Roman" w:hAnsi="Times New Roman"/>
          <w:lang w:val="sr-Cyrl-BA"/>
        </w:rPr>
        <w:t xml:space="preserve"> </w:t>
      </w:r>
      <w:r>
        <w:rPr>
          <w:rFonts w:ascii="Times New Roman" w:hAnsi="Times New Roman"/>
          <w:lang w:val="sr-Cyrl-BA"/>
        </w:rPr>
        <w:t>средњим</w:t>
      </w:r>
      <w:r w:rsidR="00E1132E" w:rsidRPr="00295637">
        <w:rPr>
          <w:rFonts w:ascii="Times New Roman" w:hAnsi="Times New Roman"/>
          <w:lang w:val="sr-Cyrl-BA"/>
        </w:rPr>
        <w:t xml:space="preserve"> </w:t>
      </w:r>
      <w:r>
        <w:rPr>
          <w:rFonts w:ascii="Times New Roman" w:hAnsi="Times New Roman"/>
          <w:lang w:val="sr-Cyrl-BA"/>
        </w:rPr>
        <w:t>школама</w:t>
      </w:r>
      <w:r w:rsidR="00E1132E" w:rsidRPr="00295637">
        <w:rPr>
          <w:rFonts w:ascii="Times New Roman" w:hAnsi="Times New Roman"/>
          <w:lang w:val="sr-Cyrl-BA"/>
        </w:rPr>
        <w:t xml:space="preserve"> </w:t>
      </w:r>
      <w:r>
        <w:rPr>
          <w:rFonts w:ascii="Times New Roman" w:hAnsi="Times New Roman"/>
          <w:lang w:val="sr-Cyrl-BA"/>
        </w:rPr>
        <w:t>на</w:t>
      </w:r>
      <w:r w:rsidR="00E1132E" w:rsidRPr="00295637">
        <w:rPr>
          <w:rFonts w:ascii="Times New Roman" w:hAnsi="Times New Roman"/>
          <w:lang w:val="sr-Cyrl-BA"/>
        </w:rPr>
        <w:t xml:space="preserve"> </w:t>
      </w:r>
      <w:r>
        <w:rPr>
          <w:rFonts w:ascii="Times New Roman" w:hAnsi="Times New Roman"/>
          <w:lang w:val="sr-Cyrl-BA"/>
        </w:rPr>
        <w:t>простору</w:t>
      </w:r>
      <w:r w:rsidR="00E1132E" w:rsidRPr="00295637">
        <w:rPr>
          <w:rFonts w:ascii="Times New Roman" w:hAnsi="Times New Roman"/>
          <w:lang w:val="sr-Cyrl-BA"/>
        </w:rPr>
        <w:t xml:space="preserve"> </w:t>
      </w:r>
      <w:r>
        <w:rPr>
          <w:rFonts w:ascii="Times New Roman" w:hAnsi="Times New Roman"/>
          <w:lang w:val="sr-Cyrl-BA"/>
        </w:rPr>
        <w:t>РС</w:t>
      </w:r>
      <w:r w:rsidR="00E1132E" w:rsidRPr="00295637">
        <w:rPr>
          <w:rFonts w:ascii="Times New Roman" w:hAnsi="Times New Roman"/>
          <w:lang w:val="sr-Cyrl-BA"/>
        </w:rPr>
        <w:t xml:space="preserve"> </w:t>
      </w:r>
      <w:r>
        <w:rPr>
          <w:rFonts w:ascii="Times New Roman" w:hAnsi="Times New Roman"/>
          <w:lang w:val="sr-Cyrl-BA"/>
        </w:rPr>
        <w:t>за</w:t>
      </w:r>
      <w:r w:rsidR="00E1132E" w:rsidRPr="00295637">
        <w:rPr>
          <w:rFonts w:ascii="Times New Roman" w:hAnsi="Times New Roman"/>
          <w:lang w:val="sr-Cyrl-BA"/>
        </w:rPr>
        <w:t xml:space="preserve"> </w:t>
      </w:r>
      <w:r>
        <w:rPr>
          <w:rFonts w:ascii="Times New Roman" w:hAnsi="Times New Roman"/>
          <w:lang w:val="sr-Cyrl-BA"/>
        </w:rPr>
        <w:t>ученике</w:t>
      </w:r>
      <w:r w:rsidR="00E1132E" w:rsidRPr="00295637">
        <w:rPr>
          <w:rFonts w:ascii="Times New Roman" w:hAnsi="Times New Roman"/>
          <w:lang w:val="sr-Cyrl-BA"/>
        </w:rPr>
        <w:t xml:space="preserve"> </w:t>
      </w:r>
      <w:r>
        <w:rPr>
          <w:rFonts w:ascii="Times New Roman" w:hAnsi="Times New Roman"/>
          <w:lang w:val="sr-Cyrl-BA"/>
        </w:rPr>
        <w:t>других</w:t>
      </w:r>
      <w:r w:rsidR="00E1132E" w:rsidRPr="00295637">
        <w:rPr>
          <w:rFonts w:ascii="Times New Roman" w:hAnsi="Times New Roman"/>
          <w:lang w:val="sr-Cyrl-BA"/>
        </w:rPr>
        <w:t xml:space="preserve"> </w:t>
      </w:r>
      <w:r>
        <w:rPr>
          <w:rFonts w:ascii="Times New Roman" w:hAnsi="Times New Roman"/>
          <w:lang w:val="sr-Cyrl-BA"/>
        </w:rPr>
        <w:t>разреда</w:t>
      </w:r>
      <w:r w:rsidR="002B7194">
        <w:rPr>
          <w:rFonts w:ascii="Times New Roman" w:hAnsi="Times New Roman"/>
          <w:lang w:val="hr-HR"/>
        </w:rPr>
        <w:t>,</w:t>
      </w:r>
      <w:r w:rsidR="00E1132E" w:rsidRPr="00295637">
        <w:rPr>
          <w:rFonts w:ascii="Times New Roman" w:hAnsi="Times New Roman"/>
          <w:lang w:val="sr-Cyrl-BA"/>
        </w:rPr>
        <w:t xml:space="preserve"> </w:t>
      </w:r>
      <w:r>
        <w:rPr>
          <w:rFonts w:ascii="Times New Roman" w:hAnsi="Times New Roman"/>
          <w:lang w:val="sr-Cyrl-BA"/>
        </w:rPr>
        <w:t>а</w:t>
      </w:r>
      <w:r w:rsidR="00E1132E" w:rsidRPr="00295637">
        <w:rPr>
          <w:rFonts w:ascii="Times New Roman" w:hAnsi="Times New Roman"/>
          <w:lang w:val="sr-Cyrl-BA"/>
        </w:rPr>
        <w:t xml:space="preserve"> </w:t>
      </w:r>
      <w:r>
        <w:rPr>
          <w:rFonts w:ascii="Times New Roman" w:hAnsi="Times New Roman"/>
          <w:lang w:val="sr-Cyrl-BA"/>
        </w:rPr>
        <w:t>који</w:t>
      </w:r>
      <w:r w:rsidR="00E1132E" w:rsidRPr="00295637">
        <w:rPr>
          <w:rFonts w:ascii="Times New Roman" w:hAnsi="Times New Roman"/>
          <w:lang w:val="sr-Cyrl-BA"/>
        </w:rPr>
        <w:t xml:space="preserve"> </w:t>
      </w:r>
      <w:r>
        <w:rPr>
          <w:rFonts w:ascii="Times New Roman" w:hAnsi="Times New Roman"/>
          <w:lang w:val="sr-Cyrl-BA"/>
        </w:rPr>
        <w:t>желе</w:t>
      </w:r>
      <w:r w:rsidR="00E1132E" w:rsidRPr="00295637">
        <w:rPr>
          <w:rFonts w:ascii="Times New Roman" w:hAnsi="Times New Roman"/>
          <w:lang w:val="sr-Cyrl-BA"/>
        </w:rPr>
        <w:t xml:space="preserve"> </w:t>
      </w:r>
      <w:r>
        <w:rPr>
          <w:rFonts w:ascii="Times New Roman" w:hAnsi="Times New Roman"/>
          <w:lang w:val="sr-Cyrl-BA"/>
        </w:rPr>
        <w:t>да</w:t>
      </w:r>
      <w:r w:rsidR="002B7194">
        <w:rPr>
          <w:rFonts w:ascii="Times New Roman" w:hAnsi="Times New Roman"/>
          <w:lang w:val="hr-HR"/>
        </w:rPr>
        <w:t xml:space="preserve"> </w:t>
      </w:r>
      <w:r>
        <w:rPr>
          <w:rFonts w:ascii="Times New Roman" w:hAnsi="Times New Roman"/>
          <w:lang w:val="hr-HR"/>
        </w:rPr>
        <w:t>се</w:t>
      </w:r>
      <w:r w:rsidR="00E1132E" w:rsidRPr="00295637">
        <w:rPr>
          <w:rFonts w:ascii="Times New Roman" w:hAnsi="Times New Roman"/>
          <w:lang w:val="sr-Cyrl-BA"/>
        </w:rPr>
        <w:t xml:space="preserve"> </w:t>
      </w:r>
      <w:r>
        <w:rPr>
          <w:rFonts w:ascii="Times New Roman" w:hAnsi="Times New Roman"/>
          <w:lang w:val="sr-Cyrl-BA"/>
        </w:rPr>
        <w:t>упишу</w:t>
      </w:r>
      <w:r w:rsidR="002B7194">
        <w:rPr>
          <w:rFonts w:ascii="Times New Roman" w:hAnsi="Times New Roman"/>
          <w:lang w:val="hr-HR"/>
        </w:rPr>
        <w:t xml:space="preserve"> </w:t>
      </w:r>
      <w:r>
        <w:rPr>
          <w:rFonts w:ascii="Times New Roman" w:hAnsi="Times New Roman"/>
          <w:lang w:val="hr-HR"/>
        </w:rPr>
        <w:t>у</w:t>
      </w:r>
      <w:r w:rsidR="00E1132E" w:rsidRPr="00295637">
        <w:rPr>
          <w:rFonts w:ascii="Times New Roman" w:hAnsi="Times New Roman"/>
          <w:lang w:val="sr-Cyrl-BA"/>
        </w:rPr>
        <w:t xml:space="preserve"> </w:t>
      </w:r>
      <w:r>
        <w:rPr>
          <w:rFonts w:ascii="Times New Roman" w:hAnsi="Times New Roman"/>
          <w:lang w:val="sr-Cyrl-BA"/>
        </w:rPr>
        <w:t>СШУП</w:t>
      </w:r>
      <w:r w:rsidR="00E1132E" w:rsidRPr="00295637">
        <w:rPr>
          <w:rFonts w:ascii="Times New Roman" w:hAnsi="Times New Roman"/>
          <w:lang w:val="sr-Cyrl-BA"/>
        </w:rPr>
        <w:t>.</w:t>
      </w:r>
      <w:r w:rsidR="00E1132E" w:rsidRPr="00295637">
        <w:rPr>
          <w:rFonts w:ascii="Times New Roman" w:hAnsi="Times New Roman"/>
          <w:lang w:val="sr-Latn-BA"/>
        </w:rPr>
        <w:t xml:space="preserve"> </w:t>
      </w:r>
      <w:r>
        <w:rPr>
          <w:rFonts w:ascii="Times New Roman" w:hAnsi="Times New Roman"/>
          <w:lang w:val="sr-Cyrl-BA"/>
        </w:rPr>
        <w:t>Константна</w:t>
      </w:r>
      <w:r w:rsidR="00E1132E" w:rsidRPr="00295637">
        <w:rPr>
          <w:rFonts w:ascii="Times New Roman" w:hAnsi="Times New Roman"/>
          <w:lang w:val="sr-Cyrl-BA"/>
        </w:rPr>
        <w:t xml:space="preserve"> </w:t>
      </w:r>
      <w:r>
        <w:rPr>
          <w:rFonts w:ascii="Times New Roman" w:hAnsi="Times New Roman"/>
          <w:lang w:val="sr-Cyrl-BA"/>
        </w:rPr>
        <w:t>пром</w:t>
      </w:r>
      <w:r>
        <w:rPr>
          <w:rFonts w:ascii="Times New Roman" w:hAnsi="Times New Roman"/>
          <w:lang w:val="hr-HR"/>
        </w:rPr>
        <w:t>оција</w:t>
      </w:r>
      <w:r w:rsidR="00E1132E" w:rsidRPr="00295637">
        <w:rPr>
          <w:rFonts w:ascii="Times New Roman" w:hAnsi="Times New Roman"/>
          <w:lang w:val="sr-Cyrl-BA"/>
        </w:rPr>
        <w:t xml:space="preserve"> </w:t>
      </w:r>
      <w:r>
        <w:rPr>
          <w:rFonts w:ascii="Times New Roman" w:hAnsi="Times New Roman"/>
          <w:lang w:val="sr-Cyrl-BA"/>
        </w:rPr>
        <w:t>жена</w:t>
      </w:r>
      <w:r w:rsidR="00E1132E" w:rsidRPr="00295637">
        <w:rPr>
          <w:rFonts w:ascii="Times New Roman" w:hAnsi="Times New Roman"/>
          <w:lang w:val="sr-Cyrl-BA"/>
        </w:rPr>
        <w:t xml:space="preserve"> </w:t>
      </w:r>
      <w:r>
        <w:rPr>
          <w:rFonts w:ascii="Times New Roman" w:hAnsi="Times New Roman"/>
          <w:lang w:val="sr-Cyrl-BA"/>
        </w:rPr>
        <w:t>у</w:t>
      </w:r>
      <w:r w:rsidR="00E1132E" w:rsidRPr="00295637">
        <w:rPr>
          <w:rFonts w:ascii="Times New Roman" w:hAnsi="Times New Roman"/>
          <w:lang w:val="sr-Cyrl-BA"/>
        </w:rPr>
        <w:t xml:space="preserve"> </w:t>
      </w:r>
      <w:r>
        <w:rPr>
          <w:rFonts w:ascii="Times New Roman" w:hAnsi="Times New Roman"/>
          <w:lang w:val="sr-Cyrl-BA"/>
        </w:rPr>
        <w:t>полицији</w:t>
      </w:r>
      <w:r w:rsidR="00E1132E" w:rsidRPr="00295637">
        <w:rPr>
          <w:rFonts w:ascii="Times New Roman" w:hAnsi="Times New Roman"/>
          <w:lang w:val="sr-Cyrl-BA"/>
        </w:rPr>
        <w:t xml:space="preserve"> </w:t>
      </w:r>
      <w:r>
        <w:rPr>
          <w:rFonts w:ascii="Times New Roman" w:hAnsi="Times New Roman"/>
          <w:lang w:val="sr-Cyrl-BA"/>
        </w:rPr>
        <w:t>врши</w:t>
      </w:r>
      <w:r w:rsidR="00E1132E" w:rsidRPr="00295637">
        <w:rPr>
          <w:rFonts w:ascii="Times New Roman" w:hAnsi="Times New Roman"/>
          <w:lang w:val="sr-Cyrl-BA"/>
        </w:rPr>
        <w:t xml:space="preserve"> </w:t>
      </w:r>
      <w:r>
        <w:rPr>
          <w:rFonts w:ascii="Times New Roman" w:hAnsi="Times New Roman"/>
          <w:lang w:val="sr-Cyrl-BA"/>
        </w:rPr>
        <w:t>се</w:t>
      </w:r>
      <w:r w:rsidR="00E1132E" w:rsidRPr="00295637">
        <w:rPr>
          <w:rFonts w:ascii="Times New Roman" w:hAnsi="Times New Roman"/>
          <w:lang w:val="sr-Cyrl-BA"/>
        </w:rPr>
        <w:t xml:space="preserve"> </w:t>
      </w:r>
      <w:r>
        <w:rPr>
          <w:rFonts w:ascii="Times New Roman" w:hAnsi="Times New Roman"/>
          <w:lang w:val="sr-Cyrl-BA"/>
        </w:rPr>
        <w:t>кроз</w:t>
      </w:r>
      <w:r w:rsidR="00E1132E" w:rsidRPr="00295637">
        <w:rPr>
          <w:rFonts w:ascii="Times New Roman" w:hAnsi="Times New Roman"/>
          <w:lang w:val="sr-Cyrl-BA"/>
        </w:rPr>
        <w:t xml:space="preserve"> </w:t>
      </w:r>
      <w:r>
        <w:rPr>
          <w:rFonts w:ascii="Times New Roman" w:hAnsi="Times New Roman"/>
          <w:lang w:val="sr-Cyrl-BA"/>
        </w:rPr>
        <w:t>званичне</w:t>
      </w:r>
      <w:r w:rsidR="00E1132E" w:rsidRPr="00295637">
        <w:rPr>
          <w:rFonts w:ascii="Times New Roman" w:hAnsi="Times New Roman"/>
          <w:lang w:val="sr-Cyrl-BA"/>
        </w:rPr>
        <w:t xml:space="preserve"> </w:t>
      </w:r>
      <w:r>
        <w:rPr>
          <w:rFonts w:ascii="Times New Roman" w:hAnsi="Times New Roman"/>
          <w:lang w:val="sr-Cyrl-BA"/>
        </w:rPr>
        <w:t>странице</w:t>
      </w:r>
      <w:r w:rsidR="00E1132E" w:rsidRPr="00295637">
        <w:rPr>
          <w:rFonts w:ascii="Times New Roman" w:hAnsi="Times New Roman"/>
          <w:lang w:val="sr-Cyrl-BA"/>
        </w:rPr>
        <w:t xml:space="preserve"> </w:t>
      </w:r>
      <w:r>
        <w:rPr>
          <w:rFonts w:ascii="Times New Roman" w:hAnsi="Times New Roman"/>
          <w:lang w:val="sr-Cyrl-BA"/>
        </w:rPr>
        <w:t>МУП</w:t>
      </w:r>
      <w:r w:rsidR="00E1132E" w:rsidRPr="00295637">
        <w:rPr>
          <w:rFonts w:ascii="Times New Roman" w:hAnsi="Times New Roman"/>
          <w:lang w:val="sr-Cyrl-BA"/>
        </w:rPr>
        <w:t xml:space="preserve"> </w:t>
      </w:r>
      <w:r>
        <w:rPr>
          <w:rFonts w:ascii="Times New Roman" w:hAnsi="Times New Roman"/>
          <w:lang w:val="sr-Cyrl-BA"/>
        </w:rPr>
        <w:t>РС</w:t>
      </w:r>
      <w:r w:rsidR="00E1132E" w:rsidRPr="00295637">
        <w:rPr>
          <w:rFonts w:ascii="Times New Roman" w:hAnsi="Times New Roman"/>
          <w:lang w:val="sr-Cyrl-BA"/>
        </w:rPr>
        <w:t xml:space="preserve"> </w:t>
      </w:r>
      <w:r>
        <w:rPr>
          <w:rFonts w:ascii="Times New Roman" w:hAnsi="Times New Roman"/>
          <w:lang w:val="sr-Cyrl-BA"/>
        </w:rPr>
        <w:t>и</w:t>
      </w:r>
      <w:r w:rsidR="00E1132E" w:rsidRPr="00295637">
        <w:rPr>
          <w:rFonts w:ascii="Times New Roman" w:hAnsi="Times New Roman"/>
          <w:lang w:val="sr-Cyrl-BA"/>
        </w:rPr>
        <w:t xml:space="preserve"> </w:t>
      </w:r>
      <w:r>
        <w:rPr>
          <w:rFonts w:ascii="Times New Roman" w:hAnsi="Times New Roman"/>
          <w:lang w:val="sr-Cyrl-BA"/>
        </w:rPr>
        <w:t>СШУП</w:t>
      </w:r>
      <w:r w:rsidR="00E1132E" w:rsidRPr="00295637">
        <w:rPr>
          <w:rFonts w:ascii="Times New Roman" w:hAnsi="Times New Roman"/>
          <w:lang w:val="sr-Cyrl-BA"/>
        </w:rPr>
        <w:t xml:space="preserve">, </w:t>
      </w:r>
      <w:r>
        <w:rPr>
          <w:rFonts w:ascii="Times New Roman" w:hAnsi="Times New Roman"/>
          <w:lang w:val="sr-Cyrl-BA"/>
        </w:rPr>
        <w:t>затим</w:t>
      </w:r>
      <w:r w:rsidR="00E1132E" w:rsidRPr="00295637">
        <w:rPr>
          <w:rFonts w:ascii="Times New Roman" w:hAnsi="Times New Roman"/>
          <w:lang w:val="sr-Cyrl-BA"/>
        </w:rPr>
        <w:t xml:space="preserve"> </w:t>
      </w:r>
      <w:r>
        <w:rPr>
          <w:rFonts w:ascii="Times New Roman" w:hAnsi="Times New Roman"/>
          <w:lang w:val="sr-Cyrl-BA"/>
        </w:rPr>
        <w:t>кроз</w:t>
      </w:r>
      <w:r w:rsidR="00E1132E" w:rsidRPr="00295637">
        <w:rPr>
          <w:rFonts w:ascii="Times New Roman" w:hAnsi="Times New Roman"/>
          <w:lang w:val="sr-Cyrl-BA"/>
        </w:rPr>
        <w:t xml:space="preserve"> </w:t>
      </w:r>
      <w:r>
        <w:rPr>
          <w:rFonts w:ascii="Times New Roman" w:hAnsi="Times New Roman"/>
          <w:lang w:val="sr-Cyrl-BA"/>
        </w:rPr>
        <w:t>званичне</w:t>
      </w:r>
      <w:r w:rsidR="00E1132E" w:rsidRPr="00295637">
        <w:rPr>
          <w:rFonts w:ascii="Times New Roman" w:hAnsi="Times New Roman"/>
          <w:lang w:val="sr-Cyrl-BA"/>
        </w:rPr>
        <w:t xml:space="preserve"> </w:t>
      </w:r>
      <w:r>
        <w:rPr>
          <w:rFonts w:ascii="Times New Roman" w:hAnsi="Times New Roman"/>
          <w:lang w:val="sr-Cyrl-BA"/>
        </w:rPr>
        <w:t>странице</w:t>
      </w:r>
      <w:r w:rsidR="00E1132E" w:rsidRPr="00295637">
        <w:rPr>
          <w:rFonts w:ascii="Times New Roman" w:hAnsi="Times New Roman"/>
          <w:lang w:val="sr-Cyrl-BA"/>
        </w:rPr>
        <w:t xml:space="preserve"> </w:t>
      </w:r>
      <w:r>
        <w:rPr>
          <w:rFonts w:ascii="Times New Roman" w:hAnsi="Times New Roman"/>
          <w:lang w:val="sr-Cyrl-BA"/>
        </w:rPr>
        <w:t>на</w:t>
      </w:r>
      <w:r w:rsidR="00E1132E" w:rsidRPr="00295637">
        <w:rPr>
          <w:rFonts w:ascii="Times New Roman" w:hAnsi="Times New Roman"/>
          <w:lang w:val="sr-Cyrl-BA"/>
        </w:rPr>
        <w:t xml:space="preserve"> </w:t>
      </w:r>
      <w:r>
        <w:rPr>
          <w:rFonts w:ascii="Times New Roman" w:hAnsi="Times New Roman"/>
          <w:lang w:val="sr-Cyrl-BA"/>
        </w:rPr>
        <w:t>друштвеним</w:t>
      </w:r>
      <w:r w:rsidR="00E1132E" w:rsidRPr="00295637">
        <w:rPr>
          <w:rFonts w:ascii="Times New Roman" w:hAnsi="Times New Roman"/>
          <w:lang w:val="sr-Cyrl-BA"/>
        </w:rPr>
        <w:t xml:space="preserve"> </w:t>
      </w:r>
      <w:r>
        <w:rPr>
          <w:rFonts w:ascii="Times New Roman" w:hAnsi="Times New Roman"/>
          <w:lang w:val="sr-Cyrl-BA"/>
        </w:rPr>
        <w:t>мрежама</w:t>
      </w:r>
      <w:r w:rsidR="00E1132E" w:rsidRPr="00295637">
        <w:rPr>
          <w:rFonts w:ascii="Times New Roman" w:hAnsi="Times New Roman"/>
          <w:lang w:val="sr-Cyrl-BA"/>
        </w:rPr>
        <w:t>.</w:t>
      </w:r>
    </w:p>
    <w:p w:rsidR="00E1132E" w:rsidRPr="00295637" w:rsidRDefault="00E1132E" w:rsidP="0086268D">
      <w:pPr>
        <w:pStyle w:val="ListParagraph"/>
        <w:ind w:left="0"/>
        <w:jc w:val="both"/>
        <w:rPr>
          <w:rFonts w:ascii="Times New Roman" w:hAnsi="Times New Roman"/>
          <w:lang w:val="sr-Latn-BA"/>
        </w:rPr>
      </w:pPr>
    </w:p>
    <w:p w:rsidR="00DB71AF" w:rsidRDefault="00C6214E" w:rsidP="0086268D">
      <w:pPr>
        <w:pStyle w:val="ListParagraph"/>
        <w:ind w:left="0"/>
        <w:jc w:val="both"/>
        <w:rPr>
          <w:rFonts w:ascii="Times New Roman" w:hAnsi="Times New Roman"/>
          <w:lang w:val="sr-Latn-BA"/>
        </w:rPr>
      </w:pPr>
      <w:r>
        <w:rPr>
          <w:rFonts w:ascii="Times New Roman" w:hAnsi="Times New Roman"/>
          <w:lang w:val="sr-Latn-BA"/>
        </w:rPr>
        <w:t>Ради</w:t>
      </w:r>
      <w:r w:rsidR="00E1132E" w:rsidRPr="00295637">
        <w:rPr>
          <w:rFonts w:ascii="Times New Roman" w:hAnsi="Times New Roman"/>
          <w:lang w:val="sr-Latn-BA"/>
        </w:rPr>
        <w:t xml:space="preserve"> </w:t>
      </w:r>
      <w:r>
        <w:rPr>
          <w:rFonts w:ascii="Times New Roman" w:hAnsi="Times New Roman"/>
          <w:szCs w:val="24"/>
          <w:lang w:val="bs-Latn-BA"/>
        </w:rPr>
        <w:t>подизања</w:t>
      </w:r>
      <w:r w:rsidR="00E1132E" w:rsidRPr="00295637">
        <w:rPr>
          <w:rFonts w:ascii="Times New Roman" w:hAnsi="Times New Roman"/>
          <w:szCs w:val="24"/>
          <w:lang w:val="bs-Latn-BA"/>
        </w:rPr>
        <w:t xml:space="preserve"> </w:t>
      </w:r>
      <w:r>
        <w:rPr>
          <w:rFonts w:ascii="Times New Roman" w:hAnsi="Times New Roman"/>
          <w:szCs w:val="24"/>
          <w:lang w:val="bs-Latn-BA"/>
        </w:rPr>
        <w:t>свијести</w:t>
      </w:r>
      <w:r w:rsidR="00E1132E" w:rsidRPr="00295637">
        <w:rPr>
          <w:rFonts w:ascii="Times New Roman" w:hAnsi="Times New Roman"/>
          <w:szCs w:val="24"/>
          <w:lang w:val="bs-Latn-BA"/>
        </w:rPr>
        <w:t xml:space="preserve"> </w:t>
      </w:r>
      <w:r>
        <w:rPr>
          <w:rFonts w:ascii="Times New Roman" w:hAnsi="Times New Roman"/>
          <w:szCs w:val="24"/>
          <w:lang w:val="bs-Latn-BA"/>
        </w:rPr>
        <w:t>јавности</w:t>
      </w:r>
      <w:r w:rsidR="00E1132E" w:rsidRPr="00295637">
        <w:rPr>
          <w:rFonts w:ascii="Times New Roman" w:hAnsi="Times New Roman"/>
          <w:szCs w:val="24"/>
          <w:lang w:val="bs-Latn-BA"/>
        </w:rPr>
        <w:t xml:space="preserve"> </w:t>
      </w:r>
      <w:r>
        <w:rPr>
          <w:rFonts w:ascii="Times New Roman" w:hAnsi="Times New Roman"/>
          <w:szCs w:val="24"/>
          <w:lang w:val="bs-Latn-BA"/>
        </w:rPr>
        <w:t>о</w:t>
      </w:r>
      <w:r w:rsidR="00E1132E" w:rsidRPr="00295637">
        <w:rPr>
          <w:rFonts w:ascii="Times New Roman" w:hAnsi="Times New Roman"/>
          <w:szCs w:val="24"/>
          <w:lang w:val="bs-Latn-BA"/>
        </w:rPr>
        <w:t xml:space="preserve"> </w:t>
      </w:r>
      <w:r>
        <w:rPr>
          <w:rFonts w:ascii="Times New Roman" w:hAnsi="Times New Roman"/>
          <w:szCs w:val="24"/>
          <w:lang w:val="bs-Latn-BA"/>
        </w:rPr>
        <w:t>важности</w:t>
      </w:r>
      <w:r w:rsidR="00E1132E" w:rsidRPr="00295637">
        <w:rPr>
          <w:rFonts w:ascii="Times New Roman" w:hAnsi="Times New Roman"/>
          <w:szCs w:val="24"/>
          <w:lang w:val="bs-Latn-BA"/>
        </w:rPr>
        <w:t xml:space="preserve"> </w:t>
      </w:r>
      <w:r>
        <w:rPr>
          <w:rFonts w:ascii="Times New Roman" w:hAnsi="Times New Roman"/>
          <w:szCs w:val="24"/>
          <w:lang w:val="bs-Latn-BA"/>
        </w:rPr>
        <w:t>равноправног</w:t>
      </w:r>
      <w:r w:rsidR="00E1132E" w:rsidRPr="00295637">
        <w:rPr>
          <w:rFonts w:ascii="Times New Roman" w:hAnsi="Times New Roman"/>
          <w:szCs w:val="24"/>
          <w:lang w:val="bs-Latn-BA"/>
        </w:rPr>
        <w:t xml:space="preserve"> </w:t>
      </w:r>
      <w:r>
        <w:rPr>
          <w:rFonts w:ascii="Times New Roman" w:hAnsi="Times New Roman"/>
          <w:szCs w:val="24"/>
          <w:lang w:val="bs-Latn-BA"/>
        </w:rPr>
        <w:t>учешћа</w:t>
      </w:r>
      <w:r w:rsidR="00E1132E" w:rsidRPr="00295637">
        <w:rPr>
          <w:rFonts w:ascii="Times New Roman" w:hAnsi="Times New Roman"/>
          <w:szCs w:val="24"/>
          <w:lang w:val="bs-Latn-BA"/>
        </w:rPr>
        <w:t xml:space="preserve"> </w:t>
      </w:r>
      <w:r>
        <w:rPr>
          <w:rFonts w:ascii="Times New Roman" w:hAnsi="Times New Roman"/>
          <w:szCs w:val="24"/>
          <w:lang w:val="bs-Latn-BA"/>
        </w:rPr>
        <w:t>у</w:t>
      </w:r>
      <w:r w:rsidR="00E1132E" w:rsidRPr="00295637">
        <w:rPr>
          <w:rFonts w:ascii="Times New Roman" w:hAnsi="Times New Roman"/>
          <w:szCs w:val="24"/>
          <w:lang w:val="bs-Latn-BA"/>
        </w:rPr>
        <w:t xml:space="preserve"> </w:t>
      </w:r>
      <w:r>
        <w:rPr>
          <w:rFonts w:ascii="Times New Roman" w:hAnsi="Times New Roman"/>
          <w:szCs w:val="24"/>
          <w:lang w:val="bs-Latn-BA"/>
        </w:rPr>
        <w:t>областима</w:t>
      </w:r>
      <w:r w:rsidR="002B7194">
        <w:rPr>
          <w:rFonts w:ascii="Times New Roman" w:hAnsi="Times New Roman"/>
          <w:szCs w:val="24"/>
          <w:lang w:val="bs-Latn-BA"/>
        </w:rPr>
        <w:t xml:space="preserve"> </w:t>
      </w:r>
      <w:r>
        <w:rPr>
          <w:rFonts w:ascii="Times New Roman" w:hAnsi="Times New Roman"/>
          <w:szCs w:val="24"/>
          <w:lang w:val="bs-Latn-BA"/>
        </w:rPr>
        <w:t>одбране</w:t>
      </w:r>
      <w:r w:rsidR="00E1132E" w:rsidRPr="00295637">
        <w:rPr>
          <w:rFonts w:ascii="Times New Roman" w:hAnsi="Times New Roman"/>
          <w:szCs w:val="24"/>
          <w:lang w:val="bs-Latn-BA"/>
        </w:rPr>
        <w:t xml:space="preserve"> </w:t>
      </w:r>
      <w:r>
        <w:rPr>
          <w:rFonts w:ascii="Times New Roman" w:hAnsi="Times New Roman"/>
          <w:szCs w:val="24"/>
          <w:lang w:val="bs-Latn-BA"/>
        </w:rPr>
        <w:t>и</w:t>
      </w:r>
      <w:r w:rsidR="00E1132E" w:rsidRPr="00295637">
        <w:rPr>
          <w:rFonts w:ascii="Times New Roman" w:hAnsi="Times New Roman"/>
          <w:szCs w:val="24"/>
          <w:lang w:val="bs-Latn-BA"/>
        </w:rPr>
        <w:t xml:space="preserve"> </w:t>
      </w:r>
      <w:r w:rsidR="00577FA5">
        <w:rPr>
          <w:rFonts w:ascii="Times New Roman" w:hAnsi="Times New Roman"/>
          <w:szCs w:val="24"/>
          <w:lang w:val="sr-Cyrl-BA"/>
        </w:rPr>
        <w:t>безбједности</w:t>
      </w:r>
      <w:r w:rsidR="00E1132E" w:rsidRPr="00295637">
        <w:rPr>
          <w:rFonts w:ascii="Times New Roman" w:hAnsi="Times New Roman"/>
          <w:lang w:val="sr-Cyrl-BA"/>
        </w:rPr>
        <w:t xml:space="preserve">, </w:t>
      </w:r>
      <w:r>
        <w:rPr>
          <w:rFonts w:ascii="Times New Roman" w:hAnsi="Times New Roman"/>
          <w:lang w:val="sr-Cyrl-BA"/>
        </w:rPr>
        <w:t>организ</w:t>
      </w:r>
      <w:r w:rsidR="00577FA5">
        <w:rPr>
          <w:rFonts w:ascii="Times New Roman" w:hAnsi="Times New Roman"/>
          <w:lang w:val="sr-Cyrl-BA"/>
        </w:rPr>
        <w:t>оване</w:t>
      </w:r>
      <w:r w:rsidR="00E1132E" w:rsidRPr="00295637">
        <w:rPr>
          <w:rFonts w:ascii="Times New Roman" w:hAnsi="Times New Roman"/>
          <w:lang w:val="sr-Cyrl-BA"/>
        </w:rPr>
        <w:t xml:space="preserve"> </w:t>
      </w:r>
      <w:r>
        <w:rPr>
          <w:rFonts w:ascii="Times New Roman" w:hAnsi="Times New Roman"/>
          <w:lang w:val="sr-Cyrl-BA"/>
        </w:rPr>
        <w:t>су</w:t>
      </w:r>
      <w:r w:rsidR="00E1132E" w:rsidRPr="00295637">
        <w:rPr>
          <w:rFonts w:ascii="Times New Roman" w:hAnsi="Times New Roman"/>
          <w:lang w:val="sr-Cyrl-BA"/>
        </w:rPr>
        <w:t xml:space="preserve"> </w:t>
      </w:r>
      <w:r>
        <w:rPr>
          <w:rFonts w:ascii="Times New Roman" w:hAnsi="Times New Roman"/>
          <w:lang w:val="sr-Cyrl-BA"/>
        </w:rPr>
        <w:t>обуке</w:t>
      </w:r>
      <w:r w:rsidR="00E1132E" w:rsidRPr="00295637">
        <w:rPr>
          <w:rFonts w:ascii="Times New Roman" w:hAnsi="Times New Roman"/>
          <w:lang w:val="sr-Cyrl-BA"/>
        </w:rPr>
        <w:t xml:space="preserve"> </w:t>
      </w:r>
      <w:r>
        <w:rPr>
          <w:rFonts w:ascii="Times New Roman" w:hAnsi="Times New Roman"/>
          <w:lang w:val="sr-Cyrl-BA"/>
        </w:rPr>
        <w:t>и</w:t>
      </w:r>
      <w:r w:rsidR="00E1132E" w:rsidRPr="00295637">
        <w:rPr>
          <w:rFonts w:ascii="Times New Roman" w:hAnsi="Times New Roman"/>
          <w:lang w:val="sr-Cyrl-BA"/>
        </w:rPr>
        <w:t xml:space="preserve"> </w:t>
      </w:r>
      <w:r>
        <w:rPr>
          <w:rFonts w:ascii="Times New Roman" w:hAnsi="Times New Roman"/>
          <w:lang w:val="sr-Cyrl-BA"/>
        </w:rPr>
        <w:t>регионални</w:t>
      </w:r>
      <w:r w:rsidR="00E1132E" w:rsidRPr="00295637">
        <w:rPr>
          <w:rFonts w:ascii="Times New Roman" w:hAnsi="Times New Roman"/>
          <w:lang w:val="sr-Cyrl-BA"/>
        </w:rPr>
        <w:t xml:space="preserve"> </w:t>
      </w:r>
      <w:r>
        <w:rPr>
          <w:rFonts w:ascii="Times New Roman" w:hAnsi="Times New Roman"/>
          <w:lang w:val="sr-Cyrl-BA"/>
        </w:rPr>
        <w:t>састанци</w:t>
      </w:r>
      <w:r w:rsidR="00E1132E" w:rsidRPr="00295637">
        <w:rPr>
          <w:rFonts w:ascii="Times New Roman" w:hAnsi="Times New Roman"/>
          <w:lang w:val="sr-Cyrl-BA"/>
        </w:rPr>
        <w:t xml:space="preserve"> </w:t>
      </w:r>
      <w:r>
        <w:rPr>
          <w:rFonts w:ascii="Times New Roman" w:hAnsi="Times New Roman"/>
          <w:lang w:val="sr-Cyrl-BA"/>
        </w:rPr>
        <w:t>на</w:t>
      </w:r>
      <w:r w:rsidR="00E1132E" w:rsidRPr="00295637">
        <w:rPr>
          <w:rFonts w:ascii="Times New Roman" w:hAnsi="Times New Roman"/>
          <w:lang w:val="sr-Cyrl-BA"/>
        </w:rPr>
        <w:t xml:space="preserve"> </w:t>
      </w:r>
      <w:r>
        <w:rPr>
          <w:rFonts w:ascii="Times New Roman" w:hAnsi="Times New Roman"/>
          <w:lang w:val="sr-Cyrl-BA"/>
        </w:rPr>
        <w:t>теме</w:t>
      </w:r>
      <w:r w:rsidR="00E1132E" w:rsidRPr="00295637">
        <w:rPr>
          <w:rFonts w:ascii="Times New Roman" w:hAnsi="Times New Roman"/>
          <w:lang w:val="sr-Cyrl-BA"/>
        </w:rPr>
        <w:t xml:space="preserve"> </w:t>
      </w:r>
      <w:r>
        <w:rPr>
          <w:rFonts w:ascii="Times New Roman" w:hAnsi="Times New Roman"/>
          <w:lang w:val="sr-Cyrl-BA"/>
        </w:rPr>
        <w:t>превенције</w:t>
      </w:r>
      <w:r w:rsidR="00E1132E" w:rsidRPr="00295637">
        <w:rPr>
          <w:rFonts w:ascii="Times New Roman" w:hAnsi="Times New Roman"/>
          <w:lang w:val="sr-Cyrl-BA"/>
        </w:rPr>
        <w:t xml:space="preserve"> </w:t>
      </w:r>
      <w:r>
        <w:rPr>
          <w:rFonts w:ascii="Times New Roman" w:hAnsi="Times New Roman"/>
          <w:lang w:val="sr-Cyrl-BA"/>
        </w:rPr>
        <w:t>родно</w:t>
      </w:r>
      <w:r w:rsidR="00E1132E" w:rsidRPr="00295637">
        <w:rPr>
          <w:rFonts w:ascii="Times New Roman" w:hAnsi="Times New Roman"/>
          <w:lang w:val="sr-Cyrl-BA"/>
        </w:rPr>
        <w:t xml:space="preserve"> </w:t>
      </w:r>
      <w:r>
        <w:rPr>
          <w:rFonts w:ascii="Times New Roman" w:hAnsi="Times New Roman"/>
          <w:lang w:val="hr-HR"/>
        </w:rPr>
        <w:t>заснованог</w:t>
      </w:r>
      <w:r w:rsidR="00E1132E" w:rsidRPr="00295637">
        <w:rPr>
          <w:rFonts w:ascii="Times New Roman" w:hAnsi="Times New Roman"/>
          <w:lang w:val="sr-Cyrl-BA"/>
        </w:rPr>
        <w:t xml:space="preserve"> </w:t>
      </w:r>
      <w:r>
        <w:rPr>
          <w:rFonts w:ascii="Times New Roman" w:hAnsi="Times New Roman"/>
          <w:lang w:val="sr-Cyrl-BA"/>
        </w:rPr>
        <w:t>насиља</w:t>
      </w:r>
      <w:r w:rsidR="00E1132E" w:rsidRPr="00295637">
        <w:rPr>
          <w:rFonts w:ascii="Times New Roman" w:hAnsi="Times New Roman"/>
          <w:lang w:val="sr-Cyrl-BA"/>
        </w:rPr>
        <w:t xml:space="preserve"> </w:t>
      </w:r>
      <w:r>
        <w:rPr>
          <w:rFonts w:ascii="Times New Roman" w:hAnsi="Times New Roman"/>
          <w:lang w:val="sr-Cyrl-BA"/>
        </w:rPr>
        <w:t>кроз</w:t>
      </w:r>
      <w:r w:rsidR="00E1132E" w:rsidRPr="00295637">
        <w:rPr>
          <w:rFonts w:ascii="Times New Roman" w:hAnsi="Times New Roman"/>
          <w:lang w:val="sr-Cyrl-BA"/>
        </w:rPr>
        <w:t xml:space="preserve"> </w:t>
      </w:r>
      <w:r>
        <w:rPr>
          <w:rFonts w:ascii="Times New Roman" w:hAnsi="Times New Roman"/>
          <w:lang w:val="sr-Cyrl-BA"/>
        </w:rPr>
        <w:t>злоупо</w:t>
      </w:r>
      <w:r>
        <w:rPr>
          <w:rFonts w:ascii="Times New Roman" w:hAnsi="Times New Roman"/>
          <w:lang w:val="hr-HR"/>
        </w:rPr>
        <w:t>требу</w:t>
      </w:r>
      <w:r w:rsidR="00E1132E" w:rsidRPr="00295637">
        <w:rPr>
          <w:rFonts w:ascii="Times New Roman" w:hAnsi="Times New Roman"/>
          <w:lang w:val="sr-Cyrl-BA"/>
        </w:rPr>
        <w:t xml:space="preserve"> </w:t>
      </w:r>
      <w:r w:rsidR="00577FA5" w:rsidRPr="00577FA5">
        <w:rPr>
          <w:rFonts w:ascii="Times New Roman" w:hAnsi="Times New Roman"/>
          <w:i/>
          <w:lang w:val="sr-Cyrl-BA"/>
        </w:rPr>
        <w:t>SALW</w:t>
      </w:r>
      <w:r w:rsidR="00E1132E" w:rsidRPr="00295637">
        <w:rPr>
          <w:rFonts w:ascii="Times New Roman" w:hAnsi="Times New Roman"/>
          <w:lang w:val="sr-Cyrl-BA"/>
        </w:rPr>
        <w:t>-</w:t>
      </w:r>
      <w:r>
        <w:rPr>
          <w:rFonts w:ascii="Times New Roman" w:hAnsi="Times New Roman"/>
          <w:lang w:val="sr-Cyrl-BA"/>
        </w:rPr>
        <w:t>а</w:t>
      </w:r>
      <w:r w:rsidR="00E1132E" w:rsidRPr="00295637">
        <w:rPr>
          <w:rFonts w:ascii="Times New Roman" w:hAnsi="Times New Roman"/>
          <w:lang w:val="sr-Cyrl-BA"/>
        </w:rPr>
        <w:t xml:space="preserve"> </w:t>
      </w:r>
      <w:r>
        <w:rPr>
          <w:rFonts w:ascii="Times New Roman" w:hAnsi="Times New Roman"/>
          <w:lang w:val="sr-Cyrl-BA"/>
        </w:rPr>
        <w:t>и</w:t>
      </w:r>
      <w:r w:rsidR="00E1132E" w:rsidRPr="00295637">
        <w:rPr>
          <w:rFonts w:ascii="Times New Roman" w:hAnsi="Times New Roman"/>
          <w:lang w:val="sr-Cyrl-BA"/>
        </w:rPr>
        <w:t xml:space="preserve"> </w:t>
      </w:r>
      <w:r>
        <w:rPr>
          <w:rFonts w:ascii="Times New Roman" w:hAnsi="Times New Roman"/>
          <w:lang w:val="sr-Latn-BA"/>
        </w:rPr>
        <w:t>проведена</w:t>
      </w:r>
      <w:r w:rsidR="00E1132E" w:rsidRPr="00295637">
        <w:rPr>
          <w:rFonts w:ascii="Times New Roman" w:hAnsi="Times New Roman"/>
          <w:lang w:val="sr-Latn-BA"/>
        </w:rPr>
        <w:t xml:space="preserve"> </w:t>
      </w:r>
      <w:r>
        <w:rPr>
          <w:rFonts w:ascii="Times New Roman" w:hAnsi="Times New Roman"/>
          <w:lang w:val="sr-Latn-BA"/>
        </w:rPr>
        <w:t>је</w:t>
      </w:r>
      <w:r w:rsidR="00E1132E" w:rsidRPr="00295637">
        <w:rPr>
          <w:rFonts w:ascii="Times New Roman" w:hAnsi="Times New Roman"/>
          <w:lang w:val="sr-Latn-BA"/>
        </w:rPr>
        <w:t xml:space="preserve"> </w:t>
      </w:r>
      <w:r>
        <w:rPr>
          <w:rFonts w:ascii="Times New Roman" w:hAnsi="Times New Roman"/>
          <w:lang w:val="sr-Cyrl-BA"/>
        </w:rPr>
        <w:t>родна</w:t>
      </w:r>
      <w:r w:rsidR="00E1132E" w:rsidRPr="00295637">
        <w:rPr>
          <w:rFonts w:ascii="Times New Roman" w:hAnsi="Times New Roman"/>
          <w:lang w:val="sr-Cyrl-BA"/>
        </w:rPr>
        <w:t xml:space="preserve"> </w:t>
      </w:r>
      <w:r>
        <w:rPr>
          <w:rFonts w:ascii="Times New Roman" w:hAnsi="Times New Roman"/>
          <w:lang w:val="sr-Cyrl-BA"/>
        </w:rPr>
        <w:t>анализа</w:t>
      </w:r>
      <w:r w:rsidR="00E1132E" w:rsidRPr="00295637">
        <w:rPr>
          <w:rFonts w:ascii="Times New Roman" w:hAnsi="Times New Roman"/>
          <w:lang w:val="sr-Cyrl-BA"/>
        </w:rPr>
        <w:t xml:space="preserve"> </w:t>
      </w:r>
      <w:r>
        <w:rPr>
          <w:rFonts w:ascii="Times New Roman" w:hAnsi="Times New Roman"/>
          <w:lang w:val="sr-Cyrl-BA"/>
        </w:rPr>
        <w:t>о</w:t>
      </w:r>
      <w:r w:rsidR="00E1132E" w:rsidRPr="00295637">
        <w:rPr>
          <w:rFonts w:ascii="Times New Roman" w:hAnsi="Times New Roman"/>
          <w:lang w:val="sr-Cyrl-BA"/>
        </w:rPr>
        <w:t xml:space="preserve"> </w:t>
      </w:r>
      <w:r>
        <w:rPr>
          <w:rFonts w:ascii="Times New Roman" w:hAnsi="Times New Roman"/>
          <w:lang w:val="sr-Cyrl-BA"/>
        </w:rPr>
        <w:t>злоупо</w:t>
      </w:r>
      <w:r>
        <w:rPr>
          <w:rFonts w:ascii="Times New Roman" w:hAnsi="Times New Roman"/>
          <w:lang w:val="hr-HR"/>
        </w:rPr>
        <w:t>треби</w:t>
      </w:r>
      <w:r w:rsidR="00E1132E" w:rsidRPr="00295637">
        <w:rPr>
          <w:rFonts w:ascii="Times New Roman" w:hAnsi="Times New Roman"/>
          <w:lang w:val="sr-Cyrl-BA"/>
        </w:rPr>
        <w:t xml:space="preserve"> </w:t>
      </w:r>
      <w:r w:rsidR="00577FA5" w:rsidRPr="00577FA5">
        <w:rPr>
          <w:rFonts w:ascii="Times New Roman" w:hAnsi="Times New Roman"/>
          <w:i/>
          <w:lang w:val="sr-Cyrl-BA"/>
        </w:rPr>
        <w:t>SALW</w:t>
      </w:r>
      <w:r w:rsidR="00E1132E" w:rsidRPr="00295637">
        <w:rPr>
          <w:rFonts w:ascii="Times New Roman" w:hAnsi="Times New Roman"/>
          <w:lang w:val="sr-Cyrl-BA"/>
        </w:rPr>
        <w:t>-</w:t>
      </w:r>
      <w:r>
        <w:rPr>
          <w:rFonts w:ascii="Times New Roman" w:hAnsi="Times New Roman"/>
          <w:lang w:val="sr-Cyrl-BA"/>
        </w:rPr>
        <w:t>а</w:t>
      </w:r>
      <w:r w:rsidR="00E1132E" w:rsidRPr="00295637">
        <w:rPr>
          <w:rFonts w:ascii="Times New Roman" w:hAnsi="Times New Roman"/>
          <w:lang w:val="sr-Cyrl-BA"/>
        </w:rPr>
        <w:t xml:space="preserve"> </w:t>
      </w:r>
      <w:r>
        <w:rPr>
          <w:rFonts w:ascii="Times New Roman" w:hAnsi="Times New Roman"/>
          <w:lang w:val="sr-Cyrl-BA"/>
        </w:rPr>
        <w:t>у</w:t>
      </w:r>
      <w:r w:rsidR="00E1132E" w:rsidRPr="00295637">
        <w:rPr>
          <w:rFonts w:ascii="Times New Roman" w:hAnsi="Times New Roman"/>
          <w:lang w:val="sr-Cyrl-BA"/>
        </w:rPr>
        <w:t xml:space="preserve"> </w:t>
      </w:r>
      <w:r>
        <w:rPr>
          <w:rFonts w:ascii="Times New Roman" w:hAnsi="Times New Roman"/>
          <w:lang w:val="sr-Cyrl-BA"/>
        </w:rPr>
        <w:t>оквиру</w:t>
      </w:r>
      <w:r w:rsidR="00E1132E" w:rsidRPr="00295637">
        <w:rPr>
          <w:rFonts w:ascii="Times New Roman" w:hAnsi="Times New Roman"/>
          <w:lang w:val="sr-Cyrl-BA"/>
        </w:rPr>
        <w:t xml:space="preserve"> </w:t>
      </w:r>
      <w:r>
        <w:rPr>
          <w:rFonts w:ascii="Times New Roman" w:hAnsi="Times New Roman"/>
          <w:lang w:val="sr-Cyrl-BA"/>
        </w:rPr>
        <w:t>пројекта</w:t>
      </w:r>
      <w:r w:rsidR="00E1132E" w:rsidRPr="00295637">
        <w:rPr>
          <w:rFonts w:ascii="Times New Roman" w:hAnsi="Times New Roman"/>
          <w:lang w:val="sr-Cyrl-BA"/>
        </w:rPr>
        <w:t xml:space="preserve"> „</w:t>
      </w:r>
      <w:r>
        <w:rPr>
          <w:rFonts w:ascii="Times New Roman" w:hAnsi="Times New Roman"/>
          <w:lang w:val="sr-Cyrl-BA"/>
        </w:rPr>
        <w:t>Рјешавање</w:t>
      </w:r>
      <w:r w:rsidR="00E1132E" w:rsidRPr="00295637">
        <w:rPr>
          <w:rFonts w:ascii="Times New Roman" w:hAnsi="Times New Roman"/>
          <w:lang w:val="sr-Cyrl-BA"/>
        </w:rPr>
        <w:t xml:space="preserve"> </w:t>
      </w:r>
      <w:r w:rsidR="00577FA5">
        <w:rPr>
          <w:rFonts w:ascii="Times New Roman" w:hAnsi="Times New Roman"/>
          <w:lang w:val="sr-Cyrl-BA"/>
        </w:rPr>
        <w:t>безбједносних</w:t>
      </w:r>
      <w:r w:rsidR="00E1132E" w:rsidRPr="00295637">
        <w:rPr>
          <w:rFonts w:ascii="Times New Roman" w:hAnsi="Times New Roman"/>
          <w:lang w:val="sr-Cyrl-BA"/>
        </w:rPr>
        <w:t xml:space="preserve"> </w:t>
      </w:r>
      <w:r>
        <w:rPr>
          <w:rFonts w:ascii="Times New Roman" w:hAnsi="Times New Roman"/>
          <w:lang w:val="sr-Cyrl-BA"/>
        </w:rPr>
        <w:t>ризика</w:t>
      </w:r>
      <w:r w:rsidR="00E1132E" w:rsidRPr="00295637">
        <w:rPr>
          <w:rFonts w:ascii="Times New Roman" w:hAnsi="Times New Roman"/>
          <w:lang w:val="sr-Cyrl-BA"/>
        </w:rPr>
        <w:t xml:space="preserve"> </w:t>
      </w:r>
      <w:r>
        <w:rPr>
          <w:rFonts w:ascii="Times New Roman" w:hAnsi="Times New Roman"/>
          <w:lang w:val="sr-Cyrl-BA"/>
        </w:rPr>
        <w:t>нелегалног</w:t>
      </w:r>
      <w:r w:rsidR="00E1132E" w:rsidRPr="00295637">
        <w:rPr>
          <w:rFonts w:ascii="Times New Roman" w:hAnsi="Times New Roman"/>
          <w:lang w:val="sr-Cyrl-BA"/>
        </w:rPr>
        <w:t xml:space="preserve"> </w:t>
      </w:r>
      <w:r>
        <w:rPr>
          <w:rFonts w:ascii="Times New Roman" w:hAnsi="Times New Roman"/>
          <w:lang w:val="sr-Cyrl-BA"/>
        </w:rPr>
        <w:t>посједовања</w:t>
      </w:r>
      <w:r w:rsidR="00E1132E" w:rsidRPr="00295637">
        <w:rPr>
          <w:rFonts w:ascii="Times New Roman" w:hAnsi="Times New Roman"/>
          <w:lang w:val="sr-Cyrl-BA"/>
        </w:rPr>
        <w:t xml:space="preserve">, </w:t>
      </w:r>
      <w:r>
        <w:rPr>
          <w:rFonts w:ascii="Times New Roman" w:hAnsi="Times New Roman"/>
          <w:lang w:val="sr-Cyrl-BA"/>
        </w:rPr>
        <w:t>злоупо</w:t>
      </w:r>
      <w:r>
        <w:rPr>
          <w:rFonts w:ascii="Times New Roman" w:hAnsi="Times New Roman"/>
          <w:lang w:val="hr-HR"/>
        </w:rPr>
        <w:t>требе</w:t>
      </w:r>
      <w:r w:rsidR="00E1132E" w:rsidRPr="00295637">
        <w:rPr>
          <w:rFonts w:ascii="Times New Roman" w:hAnsi="Times New Roman"/>
          <w:lang w:val="sr-Cyrl-BA"/>
        </w:rPr>
        <w:t xml:space="preserve"> </w:t>
      </w:r>
      <w:r>
        <w:rPr>
          <w:rFonts w:ascii="Times New Roman" w:hAnsi="Times New Roman"/>
          <w:lang w:val="sr-Cyrl-BA"/>
        </w:rPr>
        <w:t>и</w:t>
      </w:r>
      <w:r w:rsidR="00E1132E" w:rsidRPr="00295637">
        <w:rPr>
          <w:rFonts w:ascii="Times New Roman" w:hAnsi="Times New Roman"/>
          <w:lang w:val="sr-Cyrl-BA"/>
        </w:rPr>
        <w:t xml:space="preserve"> </w:t>
      </w:r>
      <w:r>
        <w:rPr>
          <w:rFonts w:ascii="Times New Roman" w:hAnsi="Times New Roman"/>
          <w:lang w:val="sr-Cyrl-BA"/>
        </w:rPr>
        <w:t>трговине</w:t>
      </w:r>
      <w:r w:rsidR="00E1132E" w:rsidRPr="00295637">
        <w:rPr>
          <w:rFonts w:ascii="Times New Roman" w:hAnsi="Times New Roman"/>
          <w:lang w:val="sr-Cyrl-BA"/>
        </w:rPr>
        <w:t xml:space="preserve"> </w:t>
      </w:r>
      <w:r>
        <w:rPr>
          <w:rFonts w:ascii="Times New Roman" w:hAnsi="Times New Roman"/>
          <w:lang w:val="sr-Cyrl-BA"/>
        </w:rPr>
        <w:t>малим</w:t>
      </w:r>
      <w:r w:rsidR="00E1132E" w:rsidRPr="00295637">
        <w:rPr>
          <w:rFonts w:ascii="Times New Roman" w:hAnsi="Times New Roman"/>
          <w:lang w:val="sr-Cyrl-BA"/>
        </w:rPr>
        <w:t xml:space="preserve"> </w:t>
      </w:r>
      <w:r>
        <w:rPr>
          <w:rFonts w:ascii="Times New Roman" w:hAnsi="Times New Roman"/>
          <w:lang w:val="sr-Cyrl-BA"/>
        </w:rPr>
        <w:t>оружјем</w:t>
      </w:r>
      <w:r w:rsidR="00E1132E" w:rsidRPr="00295637">
        <w:rPr>
          <w:rFonts w:ascii="Times New Roman" w:hAnsi="Times New Roman"/>
          <w:lang w:val="sr-Cyrl-BA"/>
        </w:rPr>
        <w:t xml:space="preserve"> </w:t>
      </w:r>
      <w:r>
        <w:rPr>
          <w:rFonts w:ascii="Times New Roman" w:hAnsi="Times New Roman"/>
          <w:lang w:val="sr-Cyrl-BA"/>
        </w:rPr>
        <w:t>и</w:t>
      </w:r>
      <w:r w:rsidR="00E1132E" w:rsidRPr="00295637">
        <w:rPr>
          <w:rFonts w:ascii="Times New Roman" w:hAnsi="Times New Roman"/>
          <w:lang w:val="sr-Cyrl-BA"/>
        </w:rPr>
        <w:t xml:space="preserve"> </w:t>
      </w:r>
      <w:r>
        <w:rPr>
          <w:rFonts w:ascii="Times New Roman" w:hAnsi="Times New Roman"/>
          <w:lang w:val="sr-Cyrl-BA"/>
        </w:rPr>
        <w:t>лаким</w:t>
      </w:r>
      <w:r w:rsidR="00E1132E" w:rsidRPr="00295637">
        <w:rPr>
          <w:rFonts w:ascii="Times New Roman" w:hAnsi="Times New Roman"/>
          <w:lang w:val="sr-Cyrl-BA"/>
        </w:rPr>
        <w:t xml:space="preserve"> </w:t>
      </w:r>
      <w:r>
        <w:rPr>
          <w:rFonts w:ascii="Times New Roman" w:hAnsi="Times New Roman"/>
          <w:lang w:val="sr-Cyrl-BA"/>
        </w:rPr>
        <w:t>наоружањем</w:t>
      </w:r>
      <w:r w:rsidR="002B7194">
        <w:rPr>
          <w:rFonts w:ascii="Times New Roman" w:hAnsi="Times New Roman"/>
          <w:lang w:val="hr-HR"/>
        </w:rPr>
        <w:t xml:space="preserve"> </w:t>
      </w:r>
      <w:r w:rsidR="00E1132E" w:rsidRPr="00295637">
        <w:rPr>
          <w:rFonts w:ascii="Times New Roman" w:hAnsi="Times New Roman"/>
          <w:lang w:val="sr-Cyrl-BA"/>
        </w:rPr>
        <w:t>(</w:t>
      </w:r>
      <w:r w:rsidR="00577FA5" w:rsidRPr="00577FA5">
        <w:rPr>
          <w:rFonts w:ascii="Times New Roman" w:hAnsi="Times New Roman"/>
          <w:i/>
          <w:lang w:val="sr-Cyrl-BA"/>
        </w:rPr>
        <w:t>SALW</w:t>
      </w:r>
      <w:r w:rsidR="00E1132E" w:rsidRPr="00295637">
        <w:rPr>
          <w:rFonts w:ascii="Times New Roman" w:hAnsi="Times New Roman"/>
          <w:lang w:val="sr-Cyrl-BA"/>
        </w:rPr>
        <w:t xml:space="preserve">) </w:t>
      </w:r>
      <w:r>
        <w:rPr>
          <w:rFonts w:ascii="Times New Roman" w:hAnsi="Times New Roman"/>
          <w:lang w:val="sr-Cyrl-BA"/>
        </w:rPr>
        <w:t>и</w:t>
      </w:r>
      <w:r w:rsidR="00E1132E" w:rsidRPr="00295637">
        <w:rPr>
          <w:rFonts w:ascii="Times New Roman" w:hAnsi="Times New Roman"/>
          <w:lang w:val="sr-Cyrl-BA"/>
        </w:rPr>
        <w:t xml:space="preserve"> </w:t>
      </w:r>
      <w:r>
        <w:rPr>
          <w:rFonts w:ascii="Times New Roman" w:hAnsi="Times New Roman"/>
          <w:lang w:val="sr-Cyrl-BA"/>
        </w:rPr>
        <w:t>њиховом</w:t>
      </w:r>
      <w:r w:rsidR="00E1132E" w:rsidRPr="00295637">
        <w:rPr>
          <w:rFonts w:ascii="Times New Roman" w:hAnsi="Times New Roman"/>
          <w:lang w:val="sr-Cyrl-BA"/>
        </w:rPr>
        <w:t xml:space="preserve"> </w:t>
      </w:r>
      <w:r>
        <w:rPr>
          <w:rFonts w:ascii="Times New Roman" w:hAnsi="Times New Roman"/>
          <w:lang w:val="sr-Cyrl-BA"/>
        </w:rPr>
        <w:t>припадајућом</w:t>
      </w:r>
      <w:r w:rsidR="00E1132E" w:rsidRPr="00295637">
        <w:rPr>
          <w:rFonts w:ascii="Times New Roman" w:hAnsi="Times New Roman"/>
          <w:lang w:val="sr-Cyrl-BA"/>
        </w:rPr>
        <w:t xml:space="preserve"> </w:t>
      </w:r>
      <w:r>
        <w:rPr>
          <w:rFonts w:ascii="Times New Roman" w:hAnsi="Times New Roman"/>
          <w:lang w:val="sr-Cyrl-BA"/>
        </w:rPr>
        <w:t>муницијом</w:t>
      </w:r>
      <w:r w:rsidR="00E1132E" w:rsidRPr="00295637">
        <w:rPr>
          <w:rFonts w:ascii="Times New Roman" w:hAnsi="Times New Roman"/>
          <w:lang w:val="sr-Cyrl-BA"/>
        </w:rPr>
        <w:t xml:space="preserve"> </w:t>
      </w:r>
      <w:r>
        <w:rPr>
          <w:rFonts w:ascii="Times New Roman" w:hAnsi="Times New Roman"/>
          <w:lang w:val="sr-Cyrl-BA"/>
        </w:rPr>
        <w:t>у</w:t>
      </w:r>
      <w:r w:rsidR="00E1132E" w:rsidRPr="00295637">
        <w:rPr>
          <w:rFonts w:ascii="Times New Roman" w:hAnsi="Times New Roman"/>
          <w:lang w:val="sr-Cyrl-BA"/>
        </w:rPr>
        <w:t xml:space="preserve"> </w:t>
      </w:r>
      <w:r>
        <w:rPr>
          <w:rFonts w:ascii="Times New Roman" w:hAnsi="Times New Roman"/>
          <w:lang w:val="sr-Cyrl-BA"/>
        </w:rPr>
        <w:t>БиХ</w:t>
      </w:r>
      <w:r w:rsidR="00E1132E" w:rsidRPr="00295637">
        <w:rPr>
          <w:rFonts w:ascii="Times New Roman" w:hAnsi="Times New Roman"/>
          <w:lang w:val="sr-Cyrl-BA"/>
        </w:rPr>
        <w:t>“</w:t>
      </w:r>
      <w:r w:rsidR="00441B11" w:rsidRPr="00295637">
        <w:rPr>
          <w:rFonts w:ascii="Times New Roman" w:hAnsi="Times New Roman"/>
          <w:lang w:val="sr-Latn-BA"/>
        </w:rPr>
        <w:t xml:space="preserve">. </w:t>
      </w:r>
    </w:p>
    <w:p w:rsidR="00DB71AF" w:rsidRDefault="00DB71AF" w:rsidP="0086268D">
      <w:pPr>
        <w:pStyle w:val="ListParagraph"/>
        <w:ind w:left="0"/>
        <w:jc w:val="both"/>
        <w:rPr>
          <w:rFonts w:ascii="Times New Roman" w:hAnsi="Times New Roman"/>
          <w:lang w:val="sr-Latn-BA"/>
        </w:rPr>
      </w:pPr>
    </w:p>
    <w:p w:rsidR="00E1132E" w:rsidRPr="003041EE" w:rsidRDefault="00C6214E" w:rsidP="0086268D">
      <w:pPr>
        <w:pStyle w:val="ListParagraph"/>
        <w:ind w:left="0"/>
        <w:jc w:val="both"/>
        <w:rPr>
          <w:rFonts w:ascii="Times New Roman" w:hAnsi="Times New Roman"/>
          <w:lang w:val="sr-Latn-BA"/>
        </w:rPr>
      </w:pPr>
      <w:r>
        <w:rPr>
          <w:rFonts w:ascii="Times New Roman" w:hAnsi="Times New Roman"/>
          <w:lang w:val="sr-Latn-BA"/>
        </w:rPr>
        <w:t>Током</w:t>
      </w:r>
      <w:r w:rsidR="00DB71AF">
        <w:rPr>
          <w:rFonts w:ascii="Times New Roman" w:hAnsi="Times New Roman"/>
          <w:lang w:val="sr-Latn-BA"/>
        </w:rPr>
        <w:t xml:space="preserve"> 2024. </w:t>
      </w:r>
      <w:r>
        <w:rPr>
          <w:rFonts w:ascii="Times New Roman" w:hAnsi="Times New Roman"/>
          <w:lang w:val="sr-Latn-BA"/>
        </w:rPr>
        <w:t>године</w:t>
      </w:r>
      <w:r w:rsidR="00DB71AF">
        <w:rPr>
          <w:rFonts w:ascii="Times New Roman" w:hAnsi="Times New Roman"/>
          <w:lang w:val="sr-Latn-BA"/>
        </w:rPr>
        <w:t xml:space="preserve">, </w:t>
      </w:r>
      <w:r>
        <w:rPr>
          <w:rFonts w:ascii="Times New Roman" w:hAnsi="Times New Roman"/>
          <w:lang w:val="sr-Latn-BA"/>
        </w:rPr>
        <w:t>уз</w:t>
      </w:r>
      <w:r w:rsidR="00DB71AF">
        <w:rPr>
          <w:rFonts w:ascii="Times New Roman" w:hAnsi="Times New Roman"/>
          <w:lang w:val="sr-Latn-BA"/>
        </w:rPr>
        <w:t xml:space="preserve"> </w:t>
      </w:r>
      <w:r>
        <w:rPr>
          <w:rFonts w:ascii="Times New Roman" w:hAnsi="Times New Roman"/>
          <w:lang w:val="sr-Latn-BA"/>
        </w:rPr>
        <w:t>учешће</w:t>
      </w:r>
      <w:r w:rsidR="00DB71AF">
        <w:rPr>
          <w:rFonts w:ascii="Times New Roman" w:hAnsi="Times New Roman"/>
          <w:lang w:val="sr-Latn-BA"/>
        </w:rPr>
        <w:t xml:space="preserve"> </w:t>
      </w:r>
      <w:r>
        <w:rPr>
          <w:rFonts w:ascii="Times New Roman" w:hAnsi="Times New Roman"/>
          <w:lang w:val="sr-Latn-BA"/>
        </w:rPr>
        <w:t>припадника</w:t>
      </w:r>
      <w:r w:rsidR="00DB71AF">
        <w:rPr>
          <w:rFonts w:ascii="Times New Roman" w:hAnsi="Times New Roman"/>
          <w:lang w:val="sr-Latn-BA"/>
        </w:rPr>
        <w:t>/</w:t>
      </w:r>
      <w:r>
        <w:rPr>
          <w:rFonts w:ascii="Times New Roman" w:hAnsi="Times New Roman"/>
          <w:lang w:val="sr-Latn-BA"/>
        </w:rPr>
        <w:t>ца</w:t>
      </w:r>
      <w:r w:rsidR="00DB71AF">
        <w:rPr>
          <w:rFonts w:ascii="Times New Roman" w:hAnsi="Times New Roman"/>
          <w:lang w:val="sr-Latn-BA"/>
        </w:rPr>
        <w:t xml:space="preserve"> </w:t>
      </w:r>
      <w:r>
        <w:rPr>
          <w:rFonts w:ascii="Times New Roman" w:hAnsi="Times New Roman"/>
          <w:lang w:val="sr-Latn-BA"/>
        </w:rPr>
        <w:t>МУП</w:t>
      </w:r>
      <w:r w:rsidR="00DB71AF">
        <w:rPr>
          <w:rFonts w:ascii="Times New Roman" w:hAnsi="Times New Roman"/>
          <w:lang w:val="sr-Latn-BA"/>
        </w:rPr>
        <w:t xml:space="preserve"> </w:t>
      </w:r>
      <w:r>
        <w:rPr>
          <w:rFonts w:ascii="Times New Roman" w:hAnsi="Times New Roman"/>
          <w:lang w:val="sr-Latn-BA"/>
        </w:rPr>
        <w:t>РС</w:t>
      </w:r>
      <w:r w:rsidR="00DB71AF">
        <w:rPr>
          <w:rFonts w:ascii="Times New Roman" w:hAnsi="Times New Roman"/>
          <w:lang w:val="sr-Latn-BA"/>
        </w:rPr>
        <w:t xml:space="preserve"> </w:t>
      </w:r>
      <w:r>
        <w:rPr>
          <w:rFonts w:ascii="Times New Roman" w:hAnsi="Times New Roman"/>
          <w:lang w:val="sr-Cyrl-BA"/>
        </w:rPr>
        <w:t>реализ</w:t>
      </w:r>
      <w:r w:rsidR="00577FA5">
        <w:rPr>
          <w:rFonts w:ascii="Times New Roman" w:hAnsi="Times New Roman"/>
          <w:lang w:val="sr-Cyrl-BA"/>
        </w:rPr>
        <w:t>ована</w:t>
      </w:r>
      <w:r w:rsidR="00DB71AF" w:rsidRPr="00295637">
        <w:rPr>
          <w:rFonts w:ascii="Times New Roman" w:hAnsi="Times New Roman"/>
          <w:lang w:val="sr-Cyrl-BA"/>
        </w:rPr>
        <w:t xml:space="preserve"> </w:t>
      </w:r>
      <w:r>
        <w:rPr>
          <w:rFonts w:ascii="Times New Roman" w:hAnsi="Times New Roman"/>
          <w:lang w:val="bs-Latn-BA"/>
        </w:rPr>
        <w:t>је</w:t>
      </w:r>
      <w:r w:rsidR="00DB71AF" w:rsidRPr="00295637">
        <w:rPr>
          <w:rFonts w:ascii="Times New Roman" w:hAnsi="Times New Roman"/>
          <w:lang w:val="bs-Latn-BA"/>
        </w:rPr>
        <w:t xml:space="preserve"> </w:t>
      </w:r>
      <w:r>
        <w:rPr>
          <w:rFonts w:ascii="Times New Roman" w:hAnsi="Times New Roman"/>
          <w:lang w:val="sr-Cyrl-BA"/>
        </w:rPr>
        <w:t>обука</w:t>
      </w:r>
      <w:r w:rsidR="00DB71AF" w:rsidRPr="00295637">
        <w:rPr>
          <w:rFonts w:ascii="Times New Roman" w:hAnsi="Times New Roman"/>
          <w:lang w:val="sr-Cyrl-BA"/>
        </w:rPr>
        <w:t xml:space="preserve"> </w:t>
      </w:r>
      <w:r>
        <w:rPr>
          <w:rFonts w:ascii="Times New Roman" w:hAnsi="Times New Roman"/>
          <w:lang w:val="sr-Cyrl-BA"/>
        </w:rPr>
        <w:t>о</w:t>
      </w:r>
      <w:r w:rsidR="00DB71AF" w:rsidRPr="00295637">
        <w:rPr>
          <w:rFonts w:ascii="Times New Roman" w:hAnsi="Times New Roman"/>
          <w:lang w:val="sr-Cyrl-BA"/>
        </w:rPr>
        <w:t xml:space="preserve"> </w:t>
      </w:r>
      <w:r>
        <w:rPr>
          <w:rFonts w:ascii="Times New Roman" w:hAnsi="Times New Roman"/>
          <w:lang w:val="sr-Cyrl-BA"/>
        </w:rPr>
        <w:t>унапређењу</w:t>
      </w:r>
      <w:r w:rsidR="00DB71AF" w:rsidRPr="00295637">
        <w:rPr>
          <w:rFonts w:ascii="Times New Roman" w:hAnsi="Times New Roman"/>
          <w:lang w:val="sr-Cyrl-BA"/>
        </w:rPr>
        <w:t xml:space="preserve"> </w:t>
      </w:r>
      <w:r>
        <w:rPr>
          <w:rFonts w:ascii="Times New Roman" w:hAnsi="Times New Roman"/>
          <w:lang w:val="sr-Cyrl-BA"/>
        </w:rPr>
        <w:t>родне</w:t>
      </w:r>
      <w:r w:rsidR="00DB71AF" w:rsidRPr="00295637">
        <w:rPr>
          <w:rFonts w:ascii="Times New Roman" w:hAnsi="Times New Roman"/>
          <w:lang w:val="sr-Cyrl-BA"/>
        </w:rPr>
        <w:t xml:space="preserve"> </w:t>
      </w:r>
      <w:r>
        <w:rPr>
          <w:rFonts w:ascii="Times New Roman" w:hAnsi="Times New Roman"/>
          <w:lang w:val="sr-Cyrl-BA"/>
        </w:rPr>
        <w:t>равноправности</w:t>
      </w:r>
      <w:r w:rsidR="00DB71AF" w:rsidRPr="00295637">
        <w:rPr>
          <w:rFonts w:ascii="Times New Roman" w:hAnsi="Times New Roman"/>
          <w:lang w:val="sr-Cyrl-BA"/>
        </w:rPr>
        <w:t xml:space="preserve"> </w:t>
      </w:r>
      <w:r>
        <w:rPr>
          <w:rFonts w:ascii="Times New Roman" w:hAnsi="Times New Roman"/>
          <w:lang w:val="sr-Cyrl-BA"/>
        </w:rPr>
        <w:t>у</w:t>
      </w:r>
      <w:r w:rsidR="00DB71AF" w:rsidRPr="00295637">
        <w:rPr>
          <w:rFonts w:ascii="Times New Roman" w:hAnsi="Times New Roman"/>
          <w:lang w:val="sr-Cyrl-BA"/>
        </w:rPr>
        <w:t xml:space="preserve"> </w:t>
      </w:r>
      <w:r>
        <w:rPr>
          <w:rFonts w:ascii="Times New Roman" w:hAnsi="Times New Roman"/>
          <w:lang w:val="sr-Cyrl-BA"/>
        </w:rPr>
        <w:t>контроли</w:t>
      </w:r>
      <w:r w:rsidR="00DB71AF" w:rsidRPr="00295637">
        <w:rPr>
          <w:rFonts w:ascii="Times New Roman" w:hAnsi="Times New Roman"/>
          <w:lang w:val="sr-Cyrl-BA"/>
        </w:rPr>
        <w:t xml:space="preserve"> </w:t>
      </w:r>
      <w:r w:rsidR="00577FA5" w:rsidRPr="00577FA5">
        <w:rPr>
          <w:rFonts w:ascii="Times New Roman" w:hAnsi="Times New Roman"/>
          <w:i/>
          <w:lang w:val="sr-Cyrl-BA"/>
        </w:rPr>
        <w:t>SALW</w:t>
      </w:r>
      <w:r w:rsidR="00DB71AF" w:rsidRPr="00295637">
        <w:rPr>
          <w:rFonts w:ascii="Times New Roman" w:hAnsi="Times New Roman"/>
          <w:lang w:val="sr-Cyrl-BA"/>
        </w:rPr>
        <w:t>-</w:t>
      </w:r>
      <w:r>
        <w:rPr>
          <w:rFonts w:ascii="Times New Roman" w:hAnsi="Times New Roman"/>
          <w:lang w:val="sr-Cyrl-BA"/>
        </w:rPr>
        <w:t>а</w:t>
      </w:r>
      <w:r w:rsidR="00DB71AF" w:rsidRPr="00295637">
        <w:rPr>
          <w:rFonts w:ascii="Times New Roman" w:hAnsi="Times New Roman"/>
          <w:lang w:val="sr-Cyrl-BA"/>
        </w:rPr>
        <w:t xml:space="preserve"> </w:t>
      </w:r>
      <w:r>
        <w:rPr>
          <w:rFonts w:ascii="Times New Roman" w:hAnsi="Times New Roman"/>
          <w:lang w:val="sr-Cyrl-BA"/>
        </w:rPr>
        <w:t>и</w:t>
      </w:r>
      <w:r w:rsidR="00DB71AF" w:rsidRPr="00295637">
        <w:rPr>
          <w:rFonts w:ascii="Times New Roman" w:hAnsi="Times New Roman"/>
          <w:lang w:val="sr-Cyrl-BA"/>
        </w:rPr>
        <w:t xml:space="preserve"> </w:t>
      </w:r>
      <w:r>
        <w:rPr>
          <w:rFonts w:ascii="Times New Roman" w:hAnsi="Times New Roman"/>
          <w:lang w:val="sr-Cyrl-BA"/>
        </w:rPr>
        <w:t>насиља</w:t>
      </w:r>
      <w:r w:rsidR="00DB71AF" w:rsidRPr="00295637">
        <w:rPr>
          <w:rFonts w:ascii="Times New Roman" w:hAnsi="Times New Roman"/>
          <w:lang w:val="sr-Cyrl-BA"/>
        </w:rPr>
        <w:t xml:space="preserve"> </w:t>
      </w:r>
      <w:r>
        <w:rPr>
          <w:rFonts w:ascii="Times New Roman" w:hAnsi="Times New Roman"/>
          <w:lang w:val="sr-Cyrl-BA"/>
        </w:rPr>
        <w:t>у</w:t>
      </w:r>
      <w:r w:rsidR="00DB71AF" w:rsidRPr="00295637">
        <w:rPr>
          <w:rFonts w:ascii="Times New Roman" w:hAnsi="Times New Roman"/>
          <w:lang w:val="sr-Cyrl-BA"/>
        </w:rPr>
        <w:t xml:space="preserve"> </w:t>
      </w:r>
      <w:r>
        <w:rPr>
          <w:rFonts w:ascii="Times New Roman" w:hAnsi="Times New Roman"/>
          <w:lang w:val="hr-HR"/>
        </w:rPr>
        <w:t>породици</w:t>
      </w:r>
      <w:r w:rsidR="00DB71AF" w:rsidRPr="00295637">
        <w:rPr>
          <w:rFonts w:ascii="Times New Roman" w:hAnsi="Times New Roman"/>
          <w:lang w:val="sr-Cyrl-BA"/>
        </w:rPr>
        <w:t xml:space="preserve">, </w:t>
      </w:r>
      <w:r>
        <w:rPr>
          <w:rFonts w:ascii="Times New Roman" w:hAnsi="Times New Roman"/>
          <w:lang w:val="bs-Latn-BA"/>
        </w:rPr>
        <w:t>р</w:t>
      </w:r>
      <w:r>
        <w:rPr>
          <w:rFonts w:ascii="Times New Roman" w:hAnsi="Times New Roman"/>
          <w:lang w:val="sr-Cyrl-BA"/>
        </w:rPr>
        <w:t>еализ</w:t>
      </w:r>
      <w:r w:rsidR="00577FA5">
        <w:rPr>
          <w:rFonts w:ascii="Times New Roman" w:hAnsi="Times New Roman"/>
          <w:lang w:val="sr-Cyrl-BA"/>
        </w:rPr>
        <w:t>ован</w:t>
      </w:r>
      <w:r w:rsidR="00DB71AF" w:rsidRPr="00295637">
        <w:rPr>
          <w:rFonts w:ascii="Times New Roman" w:hAnsi="Times New Roman"/>
          <w:lang w:val="sr-Cyrl-BA"/>
        </w:rPr>
        <w:t xml:space="preserve"> </w:t>
      </w:r>
      <w:r>
        <w:rPr>
          <w:rFonts w:ascii="Times New Roman" w:hAnsi="Times New Roman"/>
          <w:lang w:val="sr-Cyrl-BA"/>
        </w:rPr>
        <w:t>састанак</w:t>
      </w:r>
      <w:r w:rsidR="00DB71AF" w:rsidRPr="00295637">
        <w:rPr>
          <w:rFonts w:ascii="Times New Roman" w:hAnsi="Times New Roman"/>
          <w:lang w:val="sr-Cyrl-BA"/>
        </w:rPr>
        <w:t xml:space="preserve"> </w:t>
      </w:r>
      <w:r>
        <w:rPr>
          <w:rFonts w:ascii="Times New Roman" w:hAnsi="Times New Roman"/>
          <w:lang w:val="sr-Cyrl-BA"/>
        </w:rPr>
        <w:t>о</w:t>
      </w:r>
      <w:r w:rsidR="00DB71AF" w:rsidRPr="00295637">
        <w:rPr>
          <w:rFonts w:ascii="Times New Roman" w:hAnsi="Times New Roman"/>
          <w:lang w:val="sr-Cyrl-BA"/>
        </w:rPr>
        <w:t xml:space="preserve"> </w:t>
      </w:r>
      <w:r>
        <w:rPr>
          <w:rFonts w:ascii="Times New Roman" w:hAnsi="Times New Roman"/>
          <w:lang w:val="sr-Cyrl-BA"/>
        </w:rPr>
        <w:t>међуинституционалном</w:t>
      </w:r>
      <w:r w:rsidR="00DB71AF" w:rsidRPr="00295637">
        <w:rPr>
          <w:rFonts w:ascii="Times New Roman" w:hAnsi="Times New Roman"/>
          <w:lang w:val="sr-Cyrl-BA"/>
        </w:rPr>
        <w:t xml:space="preserve"> </w:t>
      </w:r>
      <w:r>
        <w:rPr>
          <w:rFonts w:ascii="Times New Roman" w:hAnsi="Times New Roman"/>
          <w:lang w:val="sr-Cyrl-BA"/>
        </w:rPr>
        <w:t>дијалогу</w:t>
      </w:r>
      <w:r w:rsidR="00DB71AF" w:rsidRPr="00295637">
        <w:rPr>
          <w:rFonts w:ascii="Times New Roman" w:hAnsi="Times New Roman"/>
          <w:lang w:val="sr-Cyrl-BA"/>
        </w:rPr>
        <w:t xml:space="preserve"> </w:t>
      </w:r>
      <w:r>
        <w:rPr>
          <w:rFonts w:ascii="Times New Roman" w:hAnsi="Times New Roman"/>
          <w:lang w:val="sr-Cyrl-BA"/>
        </w:rPr>
        <w:t>и</w:t>
      </w:r>
      <w:r w:rsidR="00DB71AF" w:rsidRPr="00295637">
        <w:rPr>
          <w:rFonts w:ascii="Times New Roman" w:hAnsi="Times New Roman"/>
          <w:lang w:val="sr-Cyrl-BA"/>
        </w:rPr>
        <w:t xml:space="preserve"> </w:t>
      </w:r>
      <w:r>
        <w:rPr>
          <w:rFonts w:ascii="Times New Roman" w:hAnsi="Times New Roman"/>
          <w:lang w:val="sr-Cyrl-BA"/>
        </w:rPr>
        <w:t>родној</w:t>
      </w:r>
      <w:r w:rsidR="00DB71AF" w:rsidRPr="00295637">
        <w:rPr>
          <w:rFonts w:ascii="Times New Roman" w:hAnsi="Times New Roman"/>
          <w:lang w:val="sr-Cyrl-BA"/>
        </w:rPr>
        <w:t xml:space="preserve"> </w:t>
      </w:r>
      <w:r>
        <w:rPr>
          <w:rFonts w:ascii="Times New Roman" w:hAnsi="Times New Roman"/>
          <w:lang w:val="sr-Cyrl-BA"/>
        </w:rPr>
        <w:t>анализи</w:t>
      </w:r>
      <w:r w:rsidR="00DB71AF" w:rsidRPr="00295637">
        <w:rPr>
          <w:rFonts w:ascii="Times New Roman" w:hAnsi="Times New Roman"/>
          <w:lang w:val="sr-Cyrl-BA"/>
        </w:rPr>
        <w:t xml:space="preserve"> </w:t>
      </w:r>
      <w:r>
        <w:rPr>
          <w:rFonts w:ascii="Times New Roman" w:hAnsi="Times New Roman"/>
          <w:lang w:val="sr-Cyrl-BA"/>
        </w:rPr>
        <w:t>у</w:t>
      </w:r>
      <w:r w:rsidR="00DB71AF" w:rsidRPr="00295637">
        <w:rPr>
          <w:rFonts w:ascii="Times New Roman" w:hAnsi="Times New Roman"/>
          <w:lang w:val="sr-Cyrl-BA"/>
        </w:rPr>
        <w:t xml:space="preserve"> </w:t>
      </w:r>
      <w:r>
        <w:rPr>
          <w:rFonts w:ascii="Times New Roman" w:hAnsi="Times New Roman"/>
          <w:lang w:val="sr-Cyrl-BA"/>
        </w:rPr>
        <w:t>контексту</w:t>
      </w:r>
      <w:r w:rsidR="00DB71AF" w:rsidRPr="00295637">
        <w:rPr>
          <w:rFonts w:ascii="Times New Roman" w:hAnsi="Times New Roman"/>
          <w:lang w:val="sr-Cyrl-BA"/>
        </w:rPr>
        <w:t xml:space="preserve"> </w:t>
      </w:r>
      <w:r w:rsidR="00577FA5" w:rsidRPr="00577FA5">
        <w:rPr>
          <w:rFonts w:ascii="Times New Roman" w:hAnsi="Times New Roman"/>
          <w:i/>
          <w:lang w:val="sr-Cyrl-BA"/>
        </w:rPr>
        <w:t>SALW</w:t>
      </w:r>
      <w:r w:rsidR="00DB71AF" w:rsidRPr="00295637">
        <w:rPr>
          <w:rFonts w:ascii="Times New Roman" w:hAnsi="Times New Roman"/>
          <w:lang w:val="sr-Cyrl-BA"/>
        </w:rPr>
        <w:t>-</w:t>
      </w:r>
      <w:r>
        <w:rPr>
          <w:rFonts w:ascii="Times New Roman" w:hAnsi="Times New Roman"/>
          <w:lang w:val="sr-Cyrl-BA"/>
        </w:rPr>
        <w:t>а</w:t>
      </w:r>
      <w:r w:rsidR="00DB71AF" w:rsidRPr="00295637">
        <w:rPr>
          <w:rFonts w:ascii="Times New Roman" w:hAnsi="Times New Roman"/>
          <w:lang w:val="sr-Cyrl-BA"/>
        </w:rPr>
        <w:t xml:space="preserve">, </w:t>
      </w:r>
      <w:r>
        <w:rPr>
          <w:rFonts w:ascii="Times New Roman" w:hAnsi="Times New Roman"/>
          <w:lang w:val="sr-Cyrl-BA"/>
        </w:rPr>
        <w:t>као</w:t>
      </w:r>
      <w:r w:rsidR="00DB71AF" w:rsidRPr="00295637">
        <w:rPr>
          <w:rFonts w:ascii="Times New Roman" w:hAnsi="Times New Roman"/>
          <w:lang w:val="sr-Cyrl-BA"/>
        </w:rPr>
        <w:t xml:space="preserve"> </w:t>
      </w:r>
      <w:r>
        <w:rPr>
          <w:rFonts w:ascii="Times New Roman" w:hAnsi="Times New Roman"/>
          <w:lang w:val="sr-Cyrl-BA"/>
        </w:rPr>
        <w:t>и</w:t>
      </w:r>
      <w:r w:rsidR="00DB71AF" w:rsidRPr="00295637">
        <w:rPr>
          <w:rFonts w:ascii="Times New Roman" w:hAnsi="Times New Roman"/>
          <w:lang w:val="sr-Cyrl-BA"/>
        </w:rPr>
        <w:t xml:space="preserve"> </w:t>
      </w:r>
      <w:r>
        <w:rPr>
          <w:rFonts w:ascii="Times New Roman" w:hAnsi="Times New Roman"/>
          <w:lang w:val="sr-Cyrl-BA"/>
        </w:rPr>
        <w:t>састанак</w:t>
      </w:r>
      <w:r w:rsidR="00DB71AF" w:rsidRPr="00295637">
        <w:rPr>
          <w:rFonts w:ascii="Times New Roman" w:hAnsi="Times New Roman"/>
          <w:lang w:val="sr-Cyrl-BA"/>
        </w:rPr>
        <w:t xml:space="preserve"> </w:t>
      </w:r>
      <w:r>
        <w:rPr>
          <w:rFonts w:ascii="Times New Roman" w:hAnsi="Times New Roman"/>
          <w:lang w:val="sr-Cyrl-BA"/>
        </w:rPr>
        <w:t>о</w:t>
      </w:r>
      <w:r w:rsidR="00DB71AF" w:rsidRPr="00295637">
        <w:rPr>
          <w:rFonts w:ascii="Times New Roman" w:hAnsi="Times New Roman"/>
          <w:lang w:val="sr-Cyrl-BA"/>
        </w:rPr>
        <w:t xml:space="preserve"> </w:t>
      </w:r>
      <w:r>
        <w:rPr>
          <w:rFonts w:ascii="Times New Roman" w:hAnsi="Times New Roman"/>
          <w:lang w:val="sr-Cyrl-BA"/>
        </w:rPr>
        <w:t>међуинституционалној</w:t>
      </w:r>
      <w:r w:rsidR="00DB71AF"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Pr>
          <w:rFonts w:ascii="Times New Roman" w:hAnsi="Times New Roman"/>
          <w:lang w:val="sr-Cyrl-BA"/>
        </w:rPr>
        <w:t>радњи</w:t>
      </w:r>
      <w:r w:rsidR="00DB71AF" w:rsidRPr="00295637">
        <w:rPr>
          <w:rFonts w:ascii="Times New Roman" w:hAnsi="Times New Roman"/>
          <w:lang w:val="sr-Latn-BA"/>
        </w:rPr>
        <w:t xml:space="preserve">. </w:t>
      </w:r>
      <w:r>
        <w:rPr>
          <w:rFonts w:ascii="Times New Roman" w:hAnsi="Times New Roman"/>
          <w:lang w:val="sr-Latn-BA"/>
        </w:rPr>
        <w:t>Поред</w:t>
      </w:r>
      <w:r w:rsidR="00DB71AF" w:rsidRPr="00295637">
        <w:rPr>
          <w:rFonts w:ascii="Times New Roman" w:hAnsi="Times New Roman"/>
          <w:lang w:val="sr-Latn-BA"/>
        </w:rPr>
        <w:t xml:space="preserve"> </w:t>
      </w:r>
      <w:r>
        <w:rPr>
          <w:rFonts w:ascii="Times New Roman" w:hAnsi="Times New Roman"/>
          <w:lang w:val="sr-Latn-BA"/>
        </w:rPr>
        <w:t>тога</w:t>
      </w:r>
      <w:r w:rsidR="00DB71AF" w:rsidRPr="00295637">
        <w:rPr>
          <w:rFonts w:ascii="Times New Roman" w:hAnsi="Times New Roman"/>
          <w:lang w:val="sr-Latn-BA"/>
        </w:rPr>
        <w:t xml:space="preserve">, </w:t>
      </w:r>
      <w:r>
        <w:rPr>
          <w:rFonts w:ascii="Times New Roman" w:hAnsi="Times New Roman"/>
          <w:lang w:val="sr-Latn-BA"/>
        </w:rPr>
        <w:t>одржан</w:t>
      </w:r>
      <w:r w:rsidR="00DB71AF" w:rsidRPr="00295637">
        <w:rPr>
          <w:rFonts w:ascii="Times New Roman" w:hAnsi="Times New Roman"/>
          <w:lang w:val="sr-Latn-BA"/>
        </w:rPr>
        <w:t xml:space="preserve"> </w:t>
      </w:r>
      <w:r>
        <w:rPr>
          <w:rFonts w:ascii="Times New Roman" w:hAnsi="Times New Roman"/>
          <w:lang w:val="sr-Latn-BA"/>
        </w:rPr>
        <w:t>је</w:t>
      </w:r>
      <w:r w:rsidR="00DB71AF" w:rsidRPr="00295637">
        <w:rPr>
          <w:rFonts w:ascii="Times New Roman" w:hAnsi="Times New Roman"/>
          <w:lang w:val="sr-Latn-BA"/>
        </w:rPr>
        <w:t xml:space="preserve"> </w:t>
      </w:r>
      <w:r>
        <w:rPr>
          <w:rFonts w:ascii="Times New Roman" w:hAnsi="Times New Roman"/>
          <w:lang w:val="sr-Latn-BA"/>
        </w:rPr>
        <w:t>о</w:t>
      </w:r>
      <w:r>
        <w:rPr>
          <w:rFonts w:ascii="Times New Roman" w:hAnsi="Times New Roman"/>
          <w:lang w:val="sr-Cyrl-BA"/>
        </w:rPr>
        <w:t>кругли</w:t>
      </w:r>
      <w:r w:rsidR="00DB71AF" w:rsidRPr="00295637">
        <w:rPr>
          <w:rFonts w:ascii="Times New Roman" w:hAnsi="Times New Roman"/>
          <w:lang w:val="sr-Cyrl-BA"/>
        </w:rPr>
        <w:t xml:space="preserve"> </w:t>
      </w:r>
      <w:r>
        <w:rPr>
          <w:rFonts w:ascii="Times New Roman" w:hAnsi="Times New Roman"/>
          <w:lang w:val="sr-Cyrl-BA"/>
        </w:rPr>
        <w:t>сто</w:t>
      </w:r>
      <w:r w:rsidR="00DB71AF"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дршка</w:t>
      </w:r>
      <w:r w:rsidR="00DB71AF" w:rsidRPr="00295637">
        <w:rPr>
          <w:rFonts w:ascii="Times New Roman" w:hAnsi="Times New Roman"/>
          <w:lang w:val="sr-Cyrl-BA"/>
        </w:rPr>
        <w:t xml:space="preserve"> </w:t>
      </w:r>
      <w:r>
        <w:rPr>
          <w:rFonts w:ascii="Times New Roman" w:hAnsi="Times New Roman"/>
          <w:lang w:val="sr-Cyrl-BA"/>
        </w:rPr>
        <w:t>МУП</w:t>
      </w:r>
      <w:r w:rsidR="00DB71AF" w:rsidRPr="00295637">
        <w:rPr>
          <w:rFonts w:ascii="Times New Roman" w:hAnsi="Times New Roman"/>
          <w:lang w:val="sr-Cyrl-BA"/>
        </w:rPr>
        <w:t xml:space="preserve"> </w:t>
      </w:r>
      <w:r>
        <w:rPr>
          <w:rFonts w:ascii="Times New Roman" w:hAnsi="Times New Roman"/>
          <w:lang w:val="sr-Cyrl-BA"/>
        </w:rPr>
        <w:t>РС</w:t>
      </w:r>
      <w:r w:rsidR="00DB71AF" w:rsidRPr="00295637">
        <w:rPr>
          <w:rFonts w:ascii="Times New Roman" w:hAnsi="Times New Roman"/>
          <w:lang w:val="sr-Cyrl-BA"/>
        </w:rPr>
        <w:t xml:space="preserve"> </w:t>
      </w:r>
      <w:r>
        <w:rPr>
          <w:rFonts w:ascii="Times New Roman" w:hAnsi="Times New Roman"/>
          <w:lang w:val="sr-Cyrl-BA"/>
        </w:rPr>
        <w:t>унапређењу</w:t>
      </w:r>
      <w:r w:rsidR="00DB71AF" w:rsidRPr="00295637">
        <w:rPr>
          <w:rFonts w:ascii="Times New Roman" w:hAnsi="Times New Roman"/>
          <w:lang w:val="sr-Cyrl-BA"/>
        </w:rPr>
        <w:t xml:space="preserve"> </w:t>
      </w:r>
      <w:r>
        <w:rPr>
          <w:rFonts w:ascii="Times New Roman" w:hAnsi="Times New Roman"/>
          <w:lang w:val="sr-Cyrl-BA"/>
        </w:rPr>
        <w:t>законодавних</w:t>
      </w:r>
      <w:r w:rsidR="00DB71AF"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sr-Latn-BA"/>
        </w:rPr>
        <w:t>л</w:t>
      </w:r>
      <w:r>
        <w:rPr>
          <w:rFonts w:ascii="Times New Roman" w:hAnsi="Times New Roman"/>
          <w:lang w:val="sr-Cyrl-BA"/>
        </w:rPr>
        <w:t>итика</w:t>
      </w:r>
      <w:r w:rsidR="00DB71AF" w:rsidRPr="00295637">
        <w:rPr>
          <w:rFonts w:ascii="Times New Roman" w:hAnsi="Times New Roman"/>
          <w:lang w:val="sr-Cyrl-BA"/>
        </w:rPr>
        <w:t xml:space="preserve"> </w:t>
      </w:r>
      <w:r>
        <w:rPr>
          <w:rFonts w:ascii="Times New Roman" w:hAnsi="Times New Roman"/>
          <w:lang w:val="sr-Cyrl-BA"/>
        </w:rPr>
        <w:t>у</w:t>
      </w:r>
      <w:r w:rsidR="00DB71AF" w:rsidRPr="00295637">
        <w:rPr>
          <w:rFonts w:ascii="Times New Roman" w:hAnsi="Times New Roman"/>
          <w:lang w:val="sr-Cyrl-BA"/>
        </w:rPr>
        <w:t xml:space="preserve"> </w:t>
      </w:r>
      <w:r>
        <w:rPr>
          <w:rFonts w:ascii="Times New Roman" w:hAnsi="Times New Roman"/>
          <w:lang w:val="hr-HR"/>
        </w:rPr>
        <w:t>области</w:t>
      </w:r>
      <w:r w:rsidR="00DB71AF" w:rsidRPr="00295637">
        <w:rPr>
          <w:rFonts w:ascii="Times New Roman" w:hAnsi="Times New Roman"/>
          <w:lang w:val="sr-Cyrl-BA"/>
        </w:rPr>
        <w:t xml:space="preserve"> </w:t>
      </w:r>
      <w:r>
        <w:rPr>
          <w:rFonts w:ascii="Times New Roman" w:hAnsi="Times New Roman"/>
          <w:lang w:val="sr-Cyrl-BA"/>
        </w:rPr>
        <w:t>спречавања</w:t>
      </w:r>
      <w:r w:rsidR="00DB71AF" w:rsidRPr="00295637">
        <w:rPr>
          <w:rFonts w:ascii="Times New Roman" w:hAnsi="Times New Roman"/>
          <w:lang w:val="sr-Cyrl-BA"/>
        </w:rPr>
        <w:t xml:space="preserve"> </w:t>
      </w:r>
      <w:r>
        <w:rPr>
          <w:rFonts w:ascii="Times New Roman" w:hAnsi="Times New Roman"/>
          <w:lang w:val="sr-Cyrl-BA"/>
        </w:rPr>
        <w:t>и</w:t>
      </w:r>
      <w:r w:rsidR="00DB71AF" w:rsidRPr="00295637">
        <w:rPr>
          <w:rFonts w:ascii="Times New Roman" w:hAnsi="Times New Roman"/>
          <w:lang w:val="sr-Cyrl-BA"/>
        </w:rPr>
        <w:t xml:space="preserve"> </w:t>
      </w:r>
      <w:r>
        <w:rPr>
          <w:rFonts w:ascii="Times New Roman" w:hAnsi="Times New Roman"/>
          <w:lang w:val="sr-Cyrl-BA"/>
        </w:rPr>
        <w:t>сузбијања</w:t>
      </w:r>
      <w:r w:rsidR="00DB71AF" w:rsidRPr="00295637">
        <w:rPr>
          <w:rFonts w:ascii="Times New Roman" w:hAnsi="Times New Roman"/>
          <w:lang w:val="sr-Cyrl-BA"/>
        </w:rPr>
        <w:t xml:space="preserve"> </w:t>
      </w:r>
      <w:r>
        <w:rPr>
          <w:rFonts w:ascii="Times New Roman" w:hAnsi="Times New Roman"/>
          <w:lang w:val="sr-Cyrl-BA"/>
        </w:rPr>
        <w:t>насиља</w:t>
      </w:r>
      <w:r w:rsidR="00DB71AF" w:rsidRPr="00295637">
        <w:rPr>
          <w:rFonts w:ascii="Times New Roman" w:hAnsi="Times New Roman"/>
          <w:lang w:val="sr-Cyrl-BA"/>
        </w:rPr>
        <w:t xml:space="preserve"> </w:t>
      </w:r>
      <w:r>
        <w:rPr>
          <w:rFonts w:ascii="Times New Roman" w:hAnsi="Times New Roman"/>
          <w:lang w:val="sr-Cyrl-BA"/>
        </w:rPr>
        <w:t>у</w:t>
      </w:r>
      <w:r w:rsidR="00DB71AF" w:rsidRPr="00295637">
        <w:rPr>
          <w:rFonts w:ascii="Times New Roman" w:hAnsi="Times New Roman"/>
          <w:lang w:val="sr-Cyrl-BA"/>
        </w:rPr>
        <w:t xml:space="preserve"> </w:t>
      </w:r>
      <w:r>
        <w:rPr>
          <w:rFonts w:ascii="Times New Roman" w:hAnsi="Times New Roman"/>
          <w:lang w:val="hr-HR"/>
        </w:rPr>
        <w:t>породици</w:t>
      </w:r>
      <w:r w:rsidR="00DB71AF" w:rsidRPr="00295637">
        <w:rPr>
          <w:rFonts w:ascii="Times New Roman" w:hAnsi="Times New Roman"/>
          <w:lang w:val="sr-Cyrl-BA"/>
        </w:rPr>
        <w:t xml:space="preserve">”, </w:t>
      </w:r>
      <w:r>
        <w:rPr>
          <w:rFonts w:ascii="Times New Roman" w:hAnsi="Times New Roman"/>
          <w:lang w:val="sr-Cyrl-BA"/>
        </w:rPr>
        <w:t>Мреже</w:t>
      </w:r>
      <w:r w:rsidR="00DB71AF" w:rsidRPr="00295637">
        <w:rPr>
          <w:rFonts w:ascii="Times New Roman" w:hAnsi="Times New Roman"/>
          <w:lang w:val="sr-Cyrl-BA"/>
        </w:rPr>
        <w:t xml:space="preserve"> </w:t>
      </w:r>
      <w:r>
        <w:rPr>
          <w:rFonts w:ascii="Times New Roman" w:hAnsi="Times New Roman"/>
          <w:lang w:val="sr-Cyrl-BA"/>
        </w:rPr>
        <w:t>жена</w:t>
      </w:r>
      <w:r w:rsidR="00DB71AF" w:rsidRPr="00295637">
        <w:rPr>
          <w:rFonts w:ascii="Times New Roman" w:hAnsi="Times New Roman"/>
          <w:lang w:val="sr-Cyrl-BA"/>
        </w:rPr>
        <w:t xml:space="preserve"> </w:t>
      </w:r>
      <w:r>
        <w:rPr>
          <w:rFonts w:ascii="Times New Roman" w:hAnsi="Times New Roman"/>
          <w:lang w:val="sr-Cyrl-BA"/>
        </w:rPr>
        <w:t>МУП</w:t>
      </w:r>
      <w:r w:rsidR="00DB71AF" w:rsidRPr="00295637">
        <w:rPr>
          <w:rFonts w:ascii="Times New Roman" w:hAnsi="Times New Roman"/>
          <w:lang w:val="sr-Cyrl-BA"/>
        </w:rPr>
        <w:t xml:space="preserve"> </w:t>
      </w:r>
      <w:r>
        <w:rPr>
          <w:rFonts w:ascii="Times New Roman" w:hAnsi="Times New Roman"/>
          <w:lang w:val="sr-Cyrl-BA"/>
        </w:rPr>
        <w:t>РС</w:t>
      </w:r>
      <w:r w:rsidR="00DB71AF" w:rsidRPr="00295637">
        <w:rPr>
          <w:rFonts w:ascii="Times New Roman" w:hAnsi="Times New Roman"/>
          <w:lang w:val="sr-Cyrl-BA"/>
        </w:rPr>
        <w:t>-</w:t>
      </w:r>
      <w:r w:rsidR="00577FA5" w:rsidRPr="00577FA5">
        <w:rPr>
          <w:rFonts w:ascii="Times New Roman" w:hAnsi="Times New Roman"/>
          <w:i/>
          <w:lang w:val="sr-Cyrl-BA"/>
        </w:rPr>
        <w:t>WPON</w:t>
      </w:r>
      <w:r w:rsidR="00DB71AF" w:rsidRPr="00295637">
        <w:rPr>
          <w:rFonts w:ascii="Times New Roman" w:hAnsi="Times New Roman"/>
          <w:lang w:val="sr-Latn-BA"/>
        </w:rPr>
        <w:t xml:space="preserve"> </w:t>
      </w:r>
      <w:r>
        <w:rPr>
          <w:rFonts w:ascii="Times New Roman" w:hAnsi="Times New Roman"/>
          <w:lang w:val="sr-Latn-BA"/>
        </w:rPr>
        <w:t>и</w:t>
      </w:r>
      <w:r w:rsidR="00DB71AF" w:rsidRPr="00295637">
        <w:rPr>
          <w:rFonts w:ascii="Times New Roman" w:hAnsi="Times New Roman"/>
          <w:lang w:val="sr-Latn-BA"/>
        </w:rPr>
        <w:t xml:space="preserve"> </w:t>
      </w:r>
      <w:r>
        <w:rPr>
          <w:rFonts w:ascii="Times New Roman" w:hAnsi="Times New Roman"/>
          <w:lang w:val="bs-Latn-BA"/>
        </w:rPr>
        <w:t>реализ</w:t>
      </w:r>
      <w:r w:rsidR="00577FA5">
        <w:rPr>
          <w:rFonts w:ascii="Times New Roman" w:hAnsi="Times New Roman"/>
          <w:lang w:val="sr-Cyrl-BA"/>
        </w:rPr>
        <w:t>ован</w:t>
      </w:r>
      <w:r w:rsidR="00DB71AF" w:rsidRPr="00295637">
        <w:rPr>
          <w:rFonts w:ascii="Times New Roman" w:hAnsi="Times New Roman"/>
          <w:lang w:val="sr-Cyrl-BA"/>
        </w:rPr>
        <w:t xml:space="preserve"> </w:t>
      </w:r>
      <w:r>
        <w:rPr>
          <w:rFonts w:ascii="Times New Roman" w:hAnsi="Times New Roman"/>
          <w:lang w:val="sr-Cyrl-BA"/>
        </w:rPr>
        <w:t>документ</w:t>
      </w:r>
      <w:r w:rsidR="002B7194">
        <w:rPr>
          <w:rFonts w:ascii="Times New Roman" w:hAnsi="Times New Roman"/>
          <w:lang w:val="sr-Cyrl-BA"/>
        </w:rPr>
        <w:t xml:space="preserve"> </w:t>
      </w:r>
      <w:r w:rsidR="00E738A0">
        <w:rPr>
          <w:rFonts w:ascii="Times New Roman" w:hAnsi="Times New Roman"/>
          <w:lang w:val="sr-Cyrl-BA"/>
        </w:rPr>
        <w:t xml:space="preserve">за политике </w:t>
      </w:r>
      <w:r>
        <w:rPr>
          <w:rFonts w:ascii="Times New Roman" w:hAnsi="Times New Roman"/>
          <w:lang w:val="sr-Cyrl-BA"/>
        </w:rPr>
        <w:t>с</w:t>
      </w:r>
      <w:r>
        <w:rPr>
          <w:rFonts w:ascii="Times New Roman" w:hAnsi="Times New Roman"/>
          <w:lang w:val="hr-HR"/>
        </w:rPr>
        <w:t>а</w:t>
      </w:r>
      <w:r w:rsidR="00DB71AF" w:rsidRPr="00295637">
        <w:rPr>
          <w:rFonts w:ascii="Times New Roman" w:hAnsi="Times New Roman"/>
          <w:lang w:val="sr-Cyrl-BA"/>
        </w:rPr>
        <w:t xml:space="preserve"> </w:t>
      </w:r>
      <w:r>
        <w:rPr>
          <w:rFonts w:ascii="Times New Roman" w:hAnsi="Times New Roman"/>
          <w:lang w:val="sr-Cyrl-BA"/>
        </w:rPr>
        <w:t>анализом</w:t>
      </w:r>
      <w:r w:rsidR="00DB71AF" w:rsidRPr="00295637">
        <w:rPr>
          <w:rFonts w:ascii="Times New Roman" w:hAnsi="Times New Roman"/>
          <w:lang w:val="sr-Cyrl-BA"/>
        </w:rPr>
        <w:t xml:space="preserve"> </w:t>
      </w:r>
      <w:r>
        <w:rPr>
          <w:rFonts w:ascii="Times New Roman" w:hAnsi="Times New Roman"/>
          <w:lang w:val="sr-Cyrl-BA"/>
        </w:rPr>
        <w:t>и</w:t>
      </w:r>
      <w:r w:rsidR="00DB71AF" w:rsidRPr="00295637">
        <w:rPr>
          <w:rFonts w:ascii="Times New Roman" w:hAnsi="Times New Roman"/>
          <w:lang w:val="sr-Cyrl-BA"/>
        </w:rPr>
        <w:t xml:space="preserve"> </w:t>
      </w:r>
      <w:r>
        <w:rPr>
          <w:rFonts w:ascii="Times New Roman" w:hAnsi="Times New Roman"/>
          <w:lang w:val="sr-Cyrl-BA"/>
        </w:rPr>
        <w:t>пре</w:t>
      </w:r>
      <w:r>
        <w:rPr>
          <w:rFonts w:ascii="Times New Roman" w:hAnsi="Times New Roman"/>
          <w:lang w:val="sr-Latn-BA"/>
        </w:rPr>
        <w:t>п</w:t>
      </w:r>
      <w:r>
        <w:rPr>
          <w:rFonts w:ascii="Times New Roman" w:hAnsi="Times New Roman"/>
          <w:lang w:val="sr-Cyrl-BA"/>
        </w:rPr>
        <w:t>орукама</w:t>
      </w:r>
      <w:r w:rsidR="00DB71AF" w:rsidRPr="00295637">
        <w:rPr>
          <w:rFonts w:ascii="Times New Roman" w:hAnsi="Times New Roman"/>
          <w:lang w:val="sr-Cyrl-BA"/>
        </w:rPr>
        <w:t xml:space="preserve"> </w:t>
      </w:r>
      <w:r>
        <w:rPr>
          <w:rFonts w:ascii="Times New Roman" w:hAnsi="Times New Roman"/>
          <w:lang w:val="sr-Cyrl-BA"/>
        </w:rPr>
        <w:t>за</w:t>
      </w:r>
      <w:r w:rsidR="00DB71AF" w:rsidRPr="00295637">
        <w:rPr>
          <w:rFonts w:ascii="Times New Roman" w:hAnsi="Times New Roman"/>
          <w:lang w:val="sr-Cyrl-BA"/>
        </w:rPr>
        <w:t xml:space="preserve"> </w:t>
      </w:r>
      <w:r>
        <w:rPr>
          <w:rFonts w:ascii="Times New Roman" w:hAnsi="Times New Roman"/>
          <w:lang w:val="sr-Cyrl-BA"/>
        </w:rPr>
        <w:t>унапређење</w:t>
      </w:r>
      <w:r w:rsidR="00DB71AF" w:rsidRPr="00295637">
        <w:rPr>
          <w:rFonts w:ascii="Times New Roman" w:hAnsi="Times New Roman"/>
          <w:lang w:val="sr-Cyrl-BA"/>
        </w:rPr>
        <w:t xml:space="preserve"> </w:t>
      </w:r>
      <w:r>
        <w:rPr>
          <w:rFonts w:ascii="Times New Roman" w:hAnsi="Times New Roman"/>
          <w:lang w:val="sr-Cyrl-BA"/>
        </w:rPr>
        <w:t>законодавних</w:t>
      </w:r>
      <w:r w:rsidR="00DB71AF" w:rsidRPr="00295637">
        <w:rPr>
          <w:rFonts w:ascii="Times New Roman" w:hAnsi="Times New Roman"/>
          <w:lang w:val="sr-Cyrl-BA"/>
        </w:rPr>
        <w:t xml:space="preserve"> </w:t>
      </w:r>
      <w:r>
        <w:rPr>
          <w:rFonts w:ascii="Times New Roman" w:hAnsi="Times New Roman"/>
          <w:lang w:val="sr-Cyrl-BA"/>
        </w:rPr>
        <w:t>политика</w:t>
      </w:r>
      <w:r w:rsidR="00DB71AF" w:rsidRPr="00295637">
        <w:rPr>
          <w:rFonts w:ascii="Times New Roman" w:hAnsi="Times New Roman"/>
          <w:lang w:val="sr-Cyrl-BA"/>
        </w:rPr>
        <w:t xml:space="preserve"> </w:t>
      </w:r>
      <w:r>
        <w:rPr>
          <w:rFonts w:ascii="Times New Roman" w:hAnsi="Times New Roman"/>
          <w:lang w:val="sr-Cyrl-BA"/>
        </w:rPr>
        <w:t>у</w:t>
      </w:r>
      <w:r w:rsidR="00DB71AF" w:rsidRPr="00295637">
        <w:rPr>
          <w:rFonts w:ascii="Times New Roman" w:hAnsi="Times New Roman"/>
          <w:lang w:val="sr-Cyrl-BA"/>
        </w:rPr>
        <w:t xml:space="preserve"> </w:t>
      </w:r>
      <w:r>
        <w:rPr>
          <w:rFonts w:ascii="Times New Roman" w:hAnsi="Times New Roman"/>
          <w:lang w:val="hr-HR"/>
        </w:rPr>
        <w:t>области</w:t>
      </w:r>
      <w:r w:rsidR="00DB71AF" w:rsidRPr="00295637">
        <w:rPr>
          <w:rFonts w:ascii="Times New Roman" w:hAnsi="Times New Roman"/>
          <w:lang w:val="sr-Cyrl-BA"/>
        </w:rPr>
        <w:t xml:space="preserve"> </w:t>
      </w:r>
      <w:r>
        <w:rPr>
          <w:rFonts w:ascii="Times New Roman" w:hAnsi="Times New Roman"/>
          <w:lang w:val="sr-Cyrl-BA"/>
        </w:rPr>
        <w:t>заштите</w:t>
      </w:r>
      <w:r w:rsidR="00DB71AF" w:rsidRPr="00295637">
        <w:rPr>
          <w:rFonts w:ascii="Times New Roman" w:hAnsi="Times New Roman"/>
          <w:lang w:val="sr-Cyrl-BA"/>
        </w:rPr>
        <w:t xml:space="preserve"> </w:t>
      </w:r>
      <w:r>
        <w:rPr>
          <w:rFonts w:ascii="Times New Roman" w:hAnsi="Times New Roman"/>
          <w:lang w:val="sr-Cyrl-BA"/>
        </w:rPr>
        <w:t>од</w:t>
      </w:r>
      <w:r w:rsidR="00DB71AF" w:rsidRPr="00295637">
        <w:rPr>
          <w:rFonts w:ascii="Times New Roman" w:hAnsi="Times New Roman"/>
          <w:lang w:val="sr-Cyrl-BA"/>
        </w:rPr>
        <w:t xml:space="preserve"> </w:t>
      </w:r>
      <w:r>
        <w:rPr>
          <w:rFonts w:ascii="Times New Roman" w:hAnsi="Times New Roman"/>
          <w:lang w:val="sr-Cyrl-BA"/>
        </w:rPr>
        <w:t>насиља</w:t>
      </w:r>
      <w:r w:rsidR="00DB71AF" w:rsidRPr="00295637">
        <w:rPr>
          <w:rFonts w:ascii="Times New Roman" w:hAnsi="Times New Roman"/>
          <w:lang w:val="sr-Cyrl-BA"/>
        </w:rPr>
        <w:t xml:space="preserve"> </w:t>
      </w:r>
      <w:r>
        <w:rPr>
          <w:rFonts w:ascii="Times New Roman" w:hAnsi="Times New Roman"/>
          <w:lang w:val="sr-Cyrl-BA"/>
        </w:rPr>
        <w:t>у</w:t>
      </w:r>
      <w:r w:rsidR="00DB71AF" w:rsidRPr="00295637">
        <w:rPr>
          <w:rFonts w:ascii="Times New Roman" w:hAnsi="Times New Roman"/>
          <w:lang w:val="sr-Cyrl-BA"/>
        </w:rPr>
        <w:t xml:space="preserve"> </w:t>
      </w:r>
      <w:r>
        <w:rPr>
          <w:rFonts w:ascii="Times New Roman" w:hAnsi="Times New Roman"/>
          <w:lang w:val="hr-HR"/>
        </w:rPr>
        <w:t>породици</w:t>
      </w:r>
      <w:r w:rsidR="003041EE">
        <w:rPr>
          <w:rFonts w:ascii="Times New Roman" w:hAnsi="Times New Roman"/>
          <w:lang w:val="sr-Latn-BA"/>
        </w:rPr>
        <w:t>.</w:t>
      </w:r>
    </w:p>
    <w:p w:rsidR="00E1132E" w:rsidRPr="00295637" w:rsidRDefault="00E1132E" w:rsidP="0086268D">
      <w:pPr>
        <w:rPr>
          <w:i/>
          <w:iCs/>
          <w:color w:val="FF0000"/>
          <w:lang w:val="bs-Latn-BA"/>
        </w:rPr>
      </w:pPr>
    </w:p>
    <w:p w:rsidR="002104F9" w:rsidRPr="00295637" w:rsidRDefault="00C6214E" w:rsidP="0086268D">
      <w:pPr>
        <w:pStyle w:val="HTMLPreformatted"/>
        <w:jc w:val="both"/>
        <w:rPr>
          <w:rFonts w:ascii="Times New Roman" w:hAnsi="Times New Roman" w:cs="Times New Roman"/>
          <w:sz w:val="24"/>
          <w:szCs w:val="24"/>
          <w:lang w:val="en-US"/>
        </w:rPr>
      </w:pPr>
      <w:r>
        <w:rPr>
          <w:rStyle w:val="y2iqfc"/>
          <w:rFonts w:ascii="Times New Roman" w:hAnsi="Times New Roman" w:cs="Times New Roman"/>
          <w:sz w:val="24"/>
          <w:szCs w:val="24"/>
        </w:rPr>
        <w:t>У</w:t>
      </w:r>
      <w:r w:rsidR="00B91D3B"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оквиру</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пројекта</w:t>
      </w:r>
      <w:r w:rsidR="002104F9" w:rsidRPr="00930A8D">
        <w:rPr>
          <w:rStyle w:val="y2iqfc"/>
          <w:rFonts w:ascii="Times New Roman" w:hAnsi="Times New Roman" w:cs="Times New Roman"/>
          <w:sz w:val="24"/>
          <w:szCs w:val="24"/>
        </w:rPr>
        <w:t xml:space="preserve"> </w:t>
      </w:r>
      <w:r w:rsidR="00577FA5">
        <w:rPr>
          <w:rStyle w:val="y2iqfc"/>
          <w:rFonts w:ascii="Times New Roman" w:hAnsi="Times New Roman" w:cs="Times New Roman"/>
          <w:sz w:val="24"/>
          <w:szCs w:val="24"/>
          <w:lang w:val="sr-Cyrl-BA"/>
        </w:rPr>
        <w:t>С</w:t>
      </w:r>
      <w:r>
        <w:rPr>
          <w:rStyle w:val="y2iqfc"/>
          <w:rFonts w:ascii="Times New Roman" w:hAnsi="Times New Roman" w:cs="Times New Roman"/>
          <w:sz w:val="24"/>
          <w:szCs w:val="24"/>
        </w:rPr>
        <w:t>Е</w:t>
      </w:r>
      <w:r w:rsidR="00B91D3B" w:rsidRPr="00930A8D">
        <w:rPr>
          <w:rStyle w:val="y2iqfc"/>
          <w:rFonts w:ascii="Times New Roman" w:hAnsi="Times New Roman" w:cs="Times New Roman"/>
          <w:sz w:val="24"/>
          <w:szCs w:val="24"/>
        </w:rPr>
        <w:t xml:space="preserve"> </w:t>
      </w:r>
      <w:r w:rsidR="002104F9" w:rsidRPr="00930A8D">
        <w:rPr>
          <w:rStyle w:val="y2iqfc"/>
          <w:rFonts w:ascii="Times New Roman" w:hAnsi="Times New Roman" w:cs="Times New Roman"/>
          <w:sz w:val="24"/>
          <w:szCs w:val="24"/>
        </w:rPr>
        <w:t>„</w:t>
      </w:r>
      <w:r>
        <w:rPr>
          <w:rStyle w:val="y2iqfc"/>
          <w:rFonts w:ascii="Times New Roman" w:hAnsi="Times New Roman" w:cs="Times New Roman"/>
          <w:sz w:val="24"/>
          <w:szCs w:val="24"/>
        </w:rPr>
        <w:t>Даљње</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јачање</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поступања</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према</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притвореним</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осуђеним</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лицима</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складу</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са</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европским</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стандардима</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Босни</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Херцеговини</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реализ</w:t>
      </w:r>
      <w:r w:rsidR="00577FA5">
        <w:rPr>
          <w:rStyle w:val="y2iqfc"/>
          <w:rFonts w:ascii="Times New Roman" w:hAnsi="Times New Roman" w:cs="Times New Roman"/>
          <w:sz w:val="24"/>
          <w:szCs w:val="24"/>
          <w:lang w:val="sr-Cyrl-BA"/>
        </w:rPr>
        <w:t>ован</w:t>
      </w:r>
      <w:r w:rsidR="00B91D3B"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Документ</w:t>
      </w:r>
      <w:r w:rsidR="00BA2EC4"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BA2EC4"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дискусију</w:t>
      </w:r>
      <w:r w:rsidR="00BA2EC4"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улози</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полицајки</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агенцијама</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2104F9" w:rsidRPr="00930A8D">
        <w:rPr>
          <w:rStyle w:val="y2iqfc"/>
          <w:rFonts w:ascii="Times New Roman" w:hAnsi="Times New Roman" w:cs="Times New Roman"/>
          <w:sz w:val="24"/>
          <w:szCs w:val="24"/>
        </w:rPr>
        <w:t xml:space="preserve"> </w:t>
      </w:r>
      <w:r w:rsidR="00577FA5">
        <w:rPr>
          <w:rStyle w:val="y2iqfc"/>
          <w:rFonts w:ascii="Times New Roman" w:hAnsi="Times New Roman" w:cs="Times New Roman"/>
          <w:sz w:val="24"/>
          <w:szCs w:val="24"/>
          <w:lang w:val="sr-Cyrl-BA"/>
        </w:rPr>
        <w:t>спровођење</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закона</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БиХ</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Поред</w:t>
      </w:r>
      <w:r w:rsidR="002765C8"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тога</w:t>
      </w:r>
      <w:r w:rsidR="002765C8"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произведен</w:t>
      </w:r>
      <w:r w:rsidR="002765C8"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2765C8"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кратки</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документарни</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филм</w:t>
      </w:r>
      <w:r w:rsidR="002104F9" w:rsidRP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Хелена</w:t>
      </w:r>
      <w:r w:rsidR="002104F9" w:rsidRPr="00295637">
        <w:rPr>
          <w:rStyle w:val="y2iqfc"/>
          <w:rFonts w:ascii="Times New Roman" w:hAnsi="Times New Roman" w:cs="Times New Roman"/>
          <w:sz w:val="24"/>
          <w:szCs w:val="24"/>
        </w:rPr>
        <w:t xml:space="preserve"> - </w:t>
      </w:r>
      <w:r>
        <w:rPr>
          <w:rStyle w:val="y2iqfc"/>
          <w:rFonts w:ascii="Times New Roman" w:hAnsi="Times New Roman" w:cs="Times New Roman"/>
          <w:sz w:val="24"/>
          <w:szCs w:val="24"/>
        </w:rPr>
        <w:t>Дан</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животу</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полицајке</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БиХ</w:t>
      </w:r>
      <w:r w:rsidR="002104F9" w:rsidRPr="00295637">
        <w:rPr>
          <w:rStyle w:val="y2iqfc"/>
          <w:rFonts w:ascii="Times New Roman" w:hAnsi="Times New Roman" w:cs="Times New Roman"/>
          <w:sz w:val="24"/>
          <w:szCs w:val="24"/>
        </w:rPr>
        <w:t>“</w:t>
      </w:r>
      <w:r w:rsidR="002765C8" w:rsidRPr="00295637">
        <w:rPr>
          <w:rStyle w:val="y2iqfc"/>
          <w:rFonts w:ascii="Times New Roman" w:hAnsi="Times New Roman" w:cs="Times New Roman"/>
          <w:sz w:val="24"/>
          <w:szCs w:val="24"/>
        </w:rPr>
        <w:t>,</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као</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модул</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сесију</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подизања</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свијести</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горе</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наведеном</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Документу</w:t>
      </w:r>
      <w:r w:rsidR="002765C8"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2765C8"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дискусију</w:t>
      </w:r>
      <w:r w:rsidR="002765C8" w:rsidRPr="00295637">
        <w:rPr>
          <w:rStyle w:val="y2iqfc"/>
          <w:rFonts w:ascii="Times New Roman" w:hAnsi="Times New Roman" w:cs="Times New Roman"/>
          <w:sz w:val="24"/>
          <w:szCs w:val="24"/>
        </w:rPr>
        <w:t>.</w:t>
      </w:r>
      <w:r w:rsidR="00BA2EC4" w:rsidRPr="00295637">
        <w:rPr>
          <w:rStyle w:val="y2iqfc"/>
          <w:rFonts w:ascii="Times New Roman" w:hAnsi="Times New Roman" w:cs="Times New Roman"/>
          <w:sz w:val="24"/>
          <w:szCs w:val="24"/>
        </w:rPr>
        <w:t xml:space="preserve"> </w:t>
      </w:r>
      <w:r w:rsidR="00991DBA">
        <w:rPr>
          <w:rStyle w:val="y2iqfc"/>
          <w:rFonts w:ascii="Times New Roman" w:hAnsi="Times New Roman" w:cs="Times New Roman"/>
          <w:sz w:val="24"/>
          <w:szCs w:val="24"/>
        </w:rPr>
        <w:t>Такође</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тим</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тренера</w:t>
      </w:r>
      <w:r w:rsidR="002765C8"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2765C8"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људска</w:t>
      </w:r>
      <w:r w:rsidR="002765C8"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права</w:t>
      </w:r>
      <w:r w:rsid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полицијским</w:t>
      </w:r>
      <w:r w:rsid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агенцијама</w:t>
      </w:r>
      <w:r w:rsid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930A8D">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БиХ</w:t>
      </w:r>
      <w:r w:rsidR="002765C8"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акредит</w:t>
      </w:r>
      <w:r w:rsidR="00991DBA">
        <w:rPr>
          <w:rStyle w:val="y2iqfc"/>
          <w:rFonts w:ascii="Times New Roman" w:hAnsi="Times New Roman" w:cs="Times New Roman"/>
          <w:sz w:val="24"/>
          <w:szCs w:val="24"/>
          <w:lang w:val="sr-Cyrl-BA"/>
        </w:rPr>
        <w:t>ованих</w:t>
      </w:r>
      <w:r w:rsidR="002765C8"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од</w:t>
      </w:r>
      <w:r w:rsidR="002765C8"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програма</w:t>
      </w:r>
      <w:r w:rsidR="002765C8" w:rsidRPr="00295637">
        <w:rPr>
          <w:rStyle w:val="y2iqfc"/>
          <w:rFonts w:ascii="Times New Roman" w:hAnsi="Times New Roman" w:cs="Times New Roman"/>
          <w:sz w:val="24"/>
          <w:szCs w:val="24"/>
        </w:rPr>
        <w:t xml:space="preserve"> </w:t>
      </w:r>
      <w:r w:rsidR="00991DBA" w:rsidRPr="00991DBA">
        <w:rPr>
          <w:rFonts w:ascii="Times New Roman" w:hAnsi="Times New Roman" w:cs="Times New Roman"/>
          <w:i/>
          <w:sz w:val="24"/>
          <w:szCs w:val="24"/>
          <w:lang w:val="hr-BA"/>
        </w:rPr>
        <w:t>Horizontal facility HF5</w:t>
      </w:r>
      <w:r w:rsidR="00BA2EC4" w:rsidRPr="00295637">
        <w:rPr>
          <w:rStyle w:val="y2iqfc"/>
          <w:rFonts w:ascii="Times New Roman" w:hAnsi="Times New Roman" w:cs="Times New Roman"/>
          <w:sz w:val="24"/>
          <w:szCs w:val="24"/>
        </w:rPr>
        <w:t>,</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представио</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заједничка</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професионална</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искуства</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полицајки</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БиХ</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регионалној</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конференцији</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коју</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је</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организ</w:t>
      </w:r>
      <w:r w:rsidR="00991DBA">
        <w:rPr>
          <w:rStyle w:val="y2iqfc"/>
          <w:rFonts w:ascii="Times New Roman" w:hAnsi="Times New Roman" w:cs="Times New Roman"/>
          <w:sz w:val="24"/>
          <w:szCs w:val="24"/>
          <w:lang w:val="sr-Cyrl-BA"/>
        </w:rPr>
        <w:t>овао</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ХФ</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програм</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Црној</w:t>
      </w:r>
      <w:r w:rsidR="002104F9" w:rsidRPr="00295637">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Гори</w:t>
      </w:r>
      <w:r w:rsidR="002104F9" w:rsidRPr="00295637">
        <w:rPr>
          <w:rStyle w:val="y2iqfc"/>
          <w:rFonts w:ascii="Times New Roman" w:hAnsi="Times New Roman" w:cs="Times New Roman"/>
          <w:sz w:val="24"/>
          <w:szCs w:val="24"/>
        </w:rPr>
        <w:t>.</w:t>
      </w:r>
    </w:p>
    <w:p w:rsidR="00BD17B5" w:rsidRPr="00295637" w:rsidRDefault="00BD17B5" w:rsidP="0086268D">
      <w:pPr>
        <w:pStyle w:val="Default"/>
        <w:jc w:val="both"/>
        <w:rPr>
          <w:color w:val="auto"/>
        </w:rPr>
      </w:pPr>
    </w:p>
    <w:p w:rsidR="00BD17B5" w:rsidRPr="00295637" w:rsidRDefault="00C6214E" w:rsidP="0086268D">
      <w:pPr>
        <w:pStyle w:val="Default"/>
        <w:jc w:val="both"/>
        <w:rPr>
          <w:color w:val="auto"/>
        </w:rPr>
      </w:pPr>
      <w:r>
        <w:rPr>
          <w:color w:val="auto"/>
        </w:rPr>
        <w:t>У</w:t>
      </w:r>
      <w:r w:rsidR="002765C8" w:rsidRPr="00295637">
        <w:rPr>
          <w:color w:val="auto"/>
        </w:rPr>
        <w:t xml:space="preserve"> </w:t>
      </w:r>
      <w:r>
        <w:rPr>
          <w:color w:val="auto"/>
        </w:rPr>
        <w:t>организацији</w:t>
      </w:r>
      <w:r w:rsidR="002765C8" w:rsidRPr="00295637">
        <w:rPr>
          <w:color w:val="auto"/>
        </w:rPr>
        <w:t xml:space="preserve"> </w:t>
      </w:r>
      <w:r w:rsidR="00991DBA" w:rsidRPr="00991DBA">
        <w:rPr>
          <w:i/>
          <w:color w:val="auto"/>
          <w:lang w:val="hr-BA"/>
        </w:rPr>
        <w:t>UNFPA</w:t>
      </w:r>
      <w:r w:rsidR="00BA2EC4" w:rsidRPr="00295637">
        <w:rPr>
          <w:color w:val="auto"/>
        </w:rPr>
        <w:t>,</w:t>
      </w:r>
      <w:r w:rsidR="00931930">
        <w:rPr>
          <w:color w:val="auto"/>
        </w:rPr>
        <w:t xml:space="preserve"> </w:t>
      </w:r>
      <w:r>
        <w:rPr>
          <w:color w:val="auto"/>
        </w:rPr>
        <w:t>у</w:t>
      </w:r>
      <w:r w:rsidR="00931930">
        <w:rPr>
          <w:color w:val="auto"/>
        </w:rPr>
        <w:t xml:space="preserve"> </w:t>
      </w:r>
      <w:r>
        <w:rPr>
          <w:color w:val="auto"/>
        </w:rPr>
        <w:t>Бањој</w:t>
      </w:r>
      <w:r w:rsidR="00B91D3B" w:rsidRPr="00295637">
        <w:rPr>
          <w:color w:val="auto"/>
        </w:rPr>
        <w:t xml:space="preserve"> </w:t>
      </w:r>
      <w:r>
        <w:rPr>
          <w:color w:val="auto"/>
        </w:rPr>
        <w:t>Луци</w:t>
      </w:r>
      <w:r w:rsidR="002765C8" w:rsidRPr="00295637">
        <w:rPr>
          <w:color w:val="auto"/>
        </w:rPr>
        <w:t xml:space="preserve"> </w:t>
      </w:r>
      <w:r>
        <w:rPr>
          <w:color w:val="auto"/>
        </w:rPr>
        <w:t>и</w:t>
      </w:r>
      <w:r w:rsidR="002765C8" w:rsidRPr="00295637">
        <w:rPr>
          <w:color w:val="auto"/>
        </w:rPr>
        <w:t xml:space="preserve"> </w:t>
      </w:r>
      <w:r>
        <w:rPr>
          <w:color w:val="auto"/>
        </w:rPr>
        <w:t>Сарајеву</w:t>
      </w:r>
      <w:r w:rsidR="002765C8" w:rsidRPr="00295637">
        <w:rPr>
          <w:color w:val="auto"/>
        </w:rPr>
        <w:t xml:space="preserve"> </w:t>
      </w:r>
      <w:r>
        <w:rPr>
          <w:color w:val="auto"/>
        </w:rPr>
        <w:t>организ</w:t>
      </w:r>
      <w:r w:rsidR="00991DBA">
        <w:rPr>
          <w:color w:val="auto"/>
          <w:lang w:val="sr-Cyrl-BA"/>
        </w:rPr>
        <w:t>оване</w:t>
      </w:r>
      <w:r w:rsidR="002765C8" w:rsidRPr="00295637">
        <w:rPr>
          <w:color w:val="auto"/>
        </w:rPr>
        <w:t xml:space="preserve"> </w:t>
      </w:r>
      <w:r>
        <w:rPr>
          <w:color w:val="auto"/>
        </w:rPr>
        <w:t>су</w:t>
      </w:r>
      <w:r w:rsidR="00930A8D" w:rsidRPr="00295637">
        <w:rPr>
          <w:color w:val="auto"/>
        </w:rPr>
        <w:t xml:space="preserve"> </w:t>
      </w:r>
      <w:r>
        <w:rPr>
          <w:color w:val="auto"/>
        </w:rPr>
        <w:t>радонице</w:t>
      </w:r>
      <w:r w:rsidR="00BD17B5" w:rsidRPr="00295637">
        <w:rPr>
          <w:color w:val="auto"/>
        </w:rPr>
        <w:t xml:space="preserve"> </w:t>
      </w:r>
      <w:r>
        <w:rPr>
          <w:color w:val="auto"/>
        </w:rPr>
        <w:t>за</w:t>
      </w:r>
      <w:r w:rsidR="00BD17B5" w:rsidRPr="00295637">
        <w:rPr>
          <w:color w:val="auto"/>
        </w:rPr>
        <w:t xml:space="preserve"> </w:t>
      </w:r>
      <w:r>
        <w:rPr>
          <w:color w:val="auto"/>
        </w:rPr>
        <w:t>новинаре</w:t>
      </w:r>
      <w:r w:rsidR="00BD17B5" w:rsidRPr="00295637">
        <w:rPr>
          <w:color w:val="auto"/>
        </w:rPr>
        <w:t xml:space="preserve"> </w:t>
      </w:r>
      <w:r>
        <w:rPr>
          <w:color w:val="auto"/>
        </w:rPr>
        <w:t>усмјерене</w:t>
      </w:r>
      <w:r w:rsidR="00BD17B5" w:rsidRPr="00295637">
        <w:rPr>
          <w:color w:val="auto"/>
        </w:rPr>
        <w:t xml:space="preserve"> </w:t>
      </w:r>
      <w:r>
        <w:rPr>
          <w:color w:val="auto"/>
        </w:rPr>
        <w:t>на</w:t>
      </w:r>
      <w:r w:rsidR="00BD17B5" w:rsidRPr="00295637">
        <w:rPr>
          <w:color w:val="auto"/>
        </w:rPr>
        <w:t xml:space="preserve"> </w:t>
      </w:r>
      <w:r>
        <w:rPr>
          <w:color w:val="auto"/>
        </w:rPr>
        <w:t>усавршавање</w:t>
      </w:r>
      <w:r w:rsidR="00BD17B5" w:rsidRPr="00295637">
        <w:rPr>
          <w:color w:val="auto"/>
        </w:rPr>
        <w:t xml:space="preserve"> </w:t>
      </w:r>
      <w:r>
        <w:rPr>
          <w:color w:val="auto"/>
        </w:rPr>
        <w:t>у</w:t>
      </w:r>
      <w:r w:rsidR="00BD17B5" w:rsidRPr="00295637">
        <w:rPr>
          <w:color w:val="auto"/>
        </w:rPr>
        <w:t xml:space="preserve"> </w:t>
      </w:r>
      <w:r>
        <w:rPr>
          <w:color w:val="auto"/>
        </w:rPr>
        <w:t>погледу</w:t>
      </w:r>
      <w:r w:rsidR="00BD17B5" w:rsidRPr="00295637">
        <w:rPr>
          <w:color w:val="auto"/>
        </w:rPr>
        <w:t xml:space="preserve"> </w:t>
      </w:r>
      <w:r>
        <w:rPr>
          <w:color w:val="auto"/>
        </w:rPr>
        <w:t>етичког</w:t>
      </w:r>
      <w:r w:rsidR="00BD17B5" w:rsidRPr="00295637">
        <w:rPr>
          <w:color w:val="auto"/>
        </w:rPr>
        <w:t xml:space="preserve"> </w:t>
      </w:r>
      <w:r>
        <w:rPr>
          <w:color w:val="auto"/>
        </w:rPr>
        <w:t>извјештавања</w:t>
      </w:r>
      <w:r w:rsidR="00BD17B5" w:rsidRPr="00295637">
        <w:rPr>
          <w:color w:val="auto"/>
        </w:rPr>
        <w:t xml:space="preserve"> </w:t>
      </w:r>
      <w:r>
        <w:rPr>
          <w:color w:val="auto"/>
        </w:rPr>
        <w:t>о</w:t>
      </w:r>
      <w:r w:rsidR="00BD17B5" w:rsidRPr="00295637">
        <w:rPr>
          <w:color w:val="auto"/>
        </w:rPr>
        <w:t xml:space="preserve"> </w:t>
      </w:r>
      <w:r>
        <w:rPr>
          <w:color w:val="auto"/>
        </w:rPr>
        <w:t>женама</w:t>
      </w:r>
      <w:r w:rsidR="00BD17B5" w:rsidRPr="00295637">
        <w:rPr>
          <w:color w:val="auto"/>
        </w:rPr>
        <w:t xml:space="preserve"> </w:t>
      </w:r>
      <w:r>
        <w:rPr>
          <w:color w:val="auto"/>
        </w:rPr>
        <w:t>погођених</w:t>
      </w:r>
      <w:r w:rsidR="008D37A7">
        <w:rPr>
          <w:color w:val="auto"/>
        </w:rPr>
        <w:t xml:space="preserve"> </w:t>
      </w:r>
      <w:r>
        <w:rPr>
          <w:color w:val="auto"/>
        </w:rPr>
        <w:t>оружаним</w:t>
      </w:r>
      <w:r w:rsidR="008D37A7">
        <w:rPr>
          <w:color w:val="auto"/>
        </w:rPr>
        <w:t xml:space="preserve"> </w:t>
      </w:r>
      <w:r>
        <w:rPr>
          <w:color w:val="auto"/>
        </w:rPr>
        <w:t>сукобом</w:t>
      </w:r>
      <w:r w:rsidR="008D37A7">
        <w:rPr>
          <w:color w:val="auto"/>
        </w:rPr>
        <w:t xml:space="preserve"> </w:t>
      </w:r>
      <w:r>
        <w:rPr>
          <w:color w:val="auto"/>
        </w:rPr>
        <w:t>и</w:t>
      </w:r>
      <w:r w:rsidR="008D37A7">
        <w:rPr>
          <w:color w:val="auto"/>
        </w:rPr>
        <w:t xml:space="preserve"> </w:t>
      </w:r>
      <w:r>
        <w:rPr>
          <w:color w:val="auto"/>
        </w:rPr>
        <w:t>теми</w:t>
      </w:r>
      <w:r w:rsidR="008D37A7">
        <w:rPr>
          <w:color w:val="auto"/>
        </w:rPr>
        <w:t xml:space="preserve"> „</w:t>
      </w:r>
      <w:r>
        <w:rPr>
          <w:color w:val="auto"/>
        </w:rPr>
        <w:t>Жене</w:t>
      </w:r>
      <w:r w:rsidR="008D37A7">
        <w:rPr>
          <w:color w:val="auto"/>
        </w:rPr>
        <w:t>-</w:t>
      </w:r>
      <w:r>
        <w:rPr>
          <w:color w:val="auto"/>
        </w:rPr>
        <w:t>мир</w:t>
      </w:r>
      <w:r w:rsidR="00BD17B5" w:rsidRPr="00295637">
        <w:rPr>
          <w:color w:val="auto"/>
        </w:rPr>
        <w:t>-</w:t>
      </w:r>
      <w:r w:rsidR="00991DBA">
        <w:rPr>
          <w:color w:val="auto"/>
          <w:lang w:val="sr-Cyrl-BA"/>
        </w:rPr>
        <w:t>безбједност</w:t>
      </w:r>
      <w:r w:rsidR="00BD17B5" w:rsidRPr="00295637">
        <w:rPr>
          <w:color w:val="auto"/>
        </w:rPr>
        <w:t>“</w:t>
      </w:r>
      <w:r w:rsidR="002765C8" w:rsidRPr="00295637">
        <w:rPr>
          <w:color w:val="auto"/>
        </w:rPr>
        <w:t>.</w:t>
      </w:r>
    </w:p>
    <w:p w:rsidR="00BD17B5" w:rsidRPr="00295637" w:rsidRDefault="00BD17B5" w:rsidP="0086268D">
      <w:pPr>
        <w:rPr>
          <w:lang w:val="bs-Latn-BA"/>
        </w:rPr>
      </w:pPr>
    </w:p>
    <w:p w:rsidR="006355C1" w:rsidRPr="00295637" w:rsidRDefault="00991DBA" w:rsidP="0086268D">
      <w:pPr>
        <w:pStyle w:val="HTMLPreformatted"/>
        <w:jc w:val="both"/>
        <w:rPr>
          <w:rStyle w:val="y2iqfc"/>
          <w:rFonts w:ascii="inherit" w:hAnsi="inherit"/>
          <w:color w:val="1F1F1F"/>
          <w:sz w:val="24"/>
          <w:szCs w:val="24"/>
        </w:rPr>
      </w:pPr>
      <w:r w:rsidRPr="00991DBA">
        <w:rPr>
          <w:rFonts w:ascii="inherit" w:hAnsi="inherit"/>
          <w:i/>
          <w:color w:val="1F1F1F"/>
          <w:sz w:val="24"/>
          <w:szCs w:val="24"/>
          <w:lang w:val="hr-BA"/>
        </w:rPr>
        <w:t xml:space="preserve">UN Women </w:t>
      </w:r>
      <w:r>
        <w:rPr>
          <w:rStyle w:val="y2iqfc"/>
          <w:rFonts w:ascii="inherit" w:hAnsi="inherit"/>
          <w:color w:val="1F1F1F"/>
          <w:sz w:val="24"/>
          <w:szCs w:val="24"/>
        </w:rPr>
        <w:t xml:space="preserve">је </w:t>
      </w:r>
      <w:r w:rsidR="00C6214E">
        <w:rPr>
          <w:rStyle w:val="y2iqfc"/>
          <w:rFonts w:ascii="inherit" w:hAnsi="inherit"/>
          <w:color w:val="1F1F1F"/>
          <w:sz w:val="24"/>
          <w:szCs w:val="24"/>
        </w:rPr>
        <w:t>објавио</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три</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позива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приједлоге</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партнерство</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мрежама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полицајки</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организацијама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цивилног</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друштва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изградњу</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мира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жене</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нетрадиционалним</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заинтерес</w:t>
      </w:r>
      <w:r>
        <w:rPr>
          <w:rStyle w:val="y2iqfc"/>
          <w:rFonts w:ascii="inherit" w:hAnsi="inherit"/>
          <w:color w:val="1F1F1F"/>
          <w:sz w:val="24"/>
          <w:szCs w:val="24"/>
          <w:lang w:val="sr-Cyrl-BA"/>
        </w:rPr>
        <w:t>ованим</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странама</w:t>
      </w:r>
      <w:r w:rsidR="006355C1" w:rsidRPr="00295637">
        <w:rPr>
          <w:rStyle w:val="y2iqfc"/>
          <w:rFonts w:ascii="inherit" w:hAnsi="inherit"/>
          <w:color w:val="1F1F1F"/>
          <w:sz w:val="24"/>
          <w:szCs w:val="24"/>
        </w:rPr>
        <w:t xml:space="preserve"> </w:t>
      </w:r>
      <w:r>
        <w:rPr>
          <w:rStyle w:val="y2iqfc"/>
          <w:rFonts w:ascii="inherit" w:hAnsi="inherit"/>
          <w:color w:val="1F1F1F"/>
          <w:sz w:val="24"/>
          <w:szCs w:val="24"/>
          <w:lang w:val="sr-Cyrl-BA"/>
        </w:rPr>
        <w:t>с</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циљ</w:t>
      </w:r>
      <w:r>
        <w:rPr>
          <w:rStyle w:val="y2iqfc"/>
          <w:rFonts w:ascii="inherit" w:hAnsi="inherit"/>
          <w:color w:val="1F1F1F"/>
          <w:sz w:val="24"/>
          <w:szCs w:val="24"/>
          <w:lang w:val="sr-Cyrl-BA"/>
        </w:rPr>
        <w:t>ем</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јачања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женског</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лидерства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изградњи</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мира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подршке</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родно</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одговорном</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полицијском</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раду</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подстицања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одговора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заједнице</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на</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пријетње</w:t>
      </w:r>
      <w:r w:rsidR="006355C1" w:rsidRPr="00295637">
        <w:rPr>
          <w:rStyle w:val="y2iqfc"/>
          <w:rFonts w:ascii="inherit" w:hAnsi="inherit"/>
          <w:color w:val="1F1F1F"/>
          <w:sz w:val="24"/>
          <w:szCs w:val="24"/>
        </w:rPr>
        <w:t xml:space="preserve"> </w:t>
      </w:r>
      <w:r w:rsidR="00C6214E">
        <w:rPr>
          <w:rStyle w:val="y2iqfc"/>
          <w:rFonts w:ascii="inherit" w:hAnsi="inherit"/>
          <w:color w:val="1F1F1F"/>
          <w:sz w:val="24"/>
          <w:szCs w:val="24"/>
        </w:rPr>
        <w:t>људској</w:t>
      </w:r>
      <w:r w:rsidR="006355C1" w:rsidRPr="00295637">
        <w:rPr>
          <w:rStyle w:val="y2iqfc"/>
          <w:rFonts w:ascii="inherit" w:hAnsi="inherit"/>
          <w:color w:val="1F1F1F"/>
          <w:sz w:val="24"/>
          <w:szCs w:val="24"/>
        </w:rPr>
        <w:t xml:space="preserve"> </w:t>
      </w:r>
      <w:r>
        <w:rPr>
          <w:rStyle w:val="y2iqfc"/>
          <w:rFonts w:ascii="inherit" w:hAnsi="inherit"/>
          <w:color w:val="1F1F1F"/>
          <w:sz w:val="24"/>
          <w:szCs w:val="24"/>
          <w:lang w:val="sr-Cyrl-BA"/>
        </w:rPr>
        <w:t>безбједности</w:t>
      </w:r>
      <w:r w:rsidR="006355C1" w:rsidRPr="00295637">
        <w:rPr>
          <w:rStyle w:val="y2iqfc"/>
          <w:rFonts w:ascii="inherit" w:hAnsi="inherit"/>
          <w:color w:val="1F1F1F"/>
          <w:sz w:val="24"/>
          <w:szCs w:val="24"/>
        </w:rPr>
        <w:t>.</w:t>
      </w:r>
    </w:p>
    <w:p w:rsidR="006355C1" w:rsidRPr="00295637" w:rsidRDefault="006355C1" w:rsidP="0086268D">
      <w:pPr>
        <w:pStyle w:val="HTMLPreformatted"/>
        <w:jc w:val="both"/>
        <w:rPr>
          <w:rStyle w:val="y2iqfc"/>
          <w:rFonts w:ascii="inherit" w:hAnsi="inherit"/>
          <w:color w:val="1F1F1F"/>
          <w:sz w:val="24"/>
          <w:szCs w:val="24"/>
        </w:rPr>
      </w:pPr>
    </w:p>
    <w:p w:rsidR="00B6016A" w:rsidRPr="00295637" w:rsidRDefault="00C6214E" w:rsidP="0086268D">
      <w:pPr>
        <w:pStyle w:val="HTMLPreformatted"/>
        <w:jc w:val="both"/>
        <w:rPr>
          <w:rFonts w:ascii="inherit" w:hAnsi="inherit"/>
          <w:color w:val="1F1F1F"/>
          <w:sz w:val="24"/>
          <w:szCs w:val="24"/>
          <w:lang w:val="en-US"/>
        </w:rPr>
      </w:pPr>
      <w:r>
        <w:rPr>
          <w:rStyle w:val="y2iqfc"/>
          <w:rFonts w:ascii="inherit" w:hAnsi="inherit"/>
          <w:color w:val="1F1F1F"/>
          <w:sz w:val="24"/>
          <w:szCs w:val="24"/>
        </w:rPr>
        <w:t>Надаље</w:t>
      </w:r>
      <w:r w:rsidR="006355C1" w:rsidRPr="00295637">
        <w:rPr>
          <w:rStyle w:val="y2iqfc"/>
          <w:rFonts w:ascii="inherit" w:hAnsi="inherit"/>
          <w:color w:val="1F1F1F"/>
          <w:sz w:val="24"/>
          <w:szCs w:val="24"/>
        </w:rPr>
        <w:t xml:space="preserve">, </w:t>
      </w:r>
      <w:r>
        <w:rPr>
          <w:rStyle w:val="y2iqfc"/>
          <w:rFonts w:ascii="inherit" w:hAnsi="inherit"/>
          <w:color w:val="1F1F1F"/>
          <w:sz w:val="24"/>
          <w:szCs w:val="24"/>
        </w:rPr>
        <w:t>проширена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је</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јавна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свијест</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о</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доприносу</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жена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одржавању</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мира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ојачани</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су</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и</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повезани</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позитивни</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наративи</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као</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резултат</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кампање</w:t>
      </w:r>
      <w:r w:rsidR="00B6016A" w:rsidRPr="00295637">
        <w:rPr>
          <w:rStyle w:val="y2iqfc"/>
          <w:rFonts w:ascii="inherit" w:hAnsi="inherit"/>
          <w:color w:val="1F1F1F"/>
          <w:sz w:val="24"/>
          <w:szCs w:val="24"/>
        </w:rPr>
        <w:t xml:space="preserve"> „12 </w:t>
      </w:r>
      <w:r>
        <w:rPr>
          <w:rStyle w:val="y2iqfc"/>
          <w:rFonts w:ascii="inherit" w:hAnsi="inherit"/>
          <w:color w:val="1F1F1F"/>
          <w:sz w:val="24"/>
          <w:szCs w:val="24"/>
        </w:rPr>
        <w:t>дана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активизма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за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мир</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коју</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је</w:t>
      </w:r>
      <w:r w:rsidR="00B6016A">
        <w:rPr>
          <w:rStyle w:val="y2iqfc"/>
          <w:rFonts w:ascii="inherit" w:hAnsi="inherit"/>
          <w:color w:val="1F1F1F"/>
          <w:sz w:val="24"/>
          <w:szCs w:val="24"/>
        </w:rPr>
        <w:t xml:space="preserve"> </w:t>
      </w:r>
      <w:r>
        <w:rPr>
          <w:rStyle w:val="y2iqfc"/>
          <w:rFonts w:ascii="inherit" w:hAnsi="inherit"/>
          <w:color w:val="1F1F1F"/>
          <w:sz w:val="24"/>
          <w:szCs w:val="24"/>
        </w:rPr>
        <w:t>покренуло</w:t>
      </w:r>
      <w:r w:rsidR="00B6016A">
        <w:rPr>
          <w:rStyle w:val="y2iqfc"/>
          <w:rFonts w:ascii="inherit" w:hAnsi="inherit"/>
          <w:color w:val="1F1F1F"/>
          <w:sz w:val="24"/>
          <w:szCs w:val="24"/>
        </w:rPr>
        <w:t xml:space="preserve"> </w:t>
      </w:r>
      <w:r>
        <w:rPr>
          <w:rStyle w:val="y2iqfc"/>
          <w:rFonts w:ascii="inherit" w:hAnsi="inherit"/>
          <w:color w:val="1F1F1F"/>
          <w:sz w:val="24"/>
          <w:szCs w:val="24"/>
        </w:rPr>
        <w:t>М</w:t>
      </w:r>
      <w:r w:rsidR="00991DBA">
        <w:rPr>
          <w:rStyle w:val="y2iqfc"/>
          <w:rFonts w:ascii="inherit" w:hAnsi="inherit"/>
          <w:color w:val="1F1F1F"/>
          <w:sz w:val="24"/>
          <w:szCs w:val="24"/>
          <w:lang w:val="sr-Cyrl-BA"/>
        </w:rPr>
        <w:t>С</w:t>
      </w:r>
      <w:r>
        <w:rPr>
          <w:rStyle w:val="y2iqfc"/>
          <w:rFonts w:ascii="inherit" w:hAnsi="inherit"/>
          <w:color w:val="1F1F1F"/>
          <w:sz w:val="24"/>
          <w:szCs w:val="24"/>
        </w:rPr>
        <w:t>П</w:t>
      </w:r>
      <w:r w:rsidR="00B6016A">
        <w:rPr>
          <w:rStyle w:val="y2iqfc"/>
          <w:rFonts w:ascii="inherit" w:hAnsi="inherit"/>
          <w:color w:val="1F1F1F"/>
          <w:sz w:val="24"/>
          <w:szCs w:val="24"/>
        </w:rPr>
        <w:t xml:space="preserve"> </w:t>
      </w:r>
      <w:r>
        <w:rPr>
          <w:rStyle w:val="y2iqfc"/>
          <w:rFonts w:ascii="inherit" w:hAnsi="inherit"/>
          <w:color w:val="1F1F1F"/>
          <w:sz w:val="24"/>
          <w:szCs w:val="24"/>
        </w:rPr>
        <w:t>БИХ</w:t>
      </w:r>
      <w:r w:rsidR="00B6016A">
        <w:rPr>
          <w:rStyle w:val="y2iqfc"/>
          <w:rFonts w:ascii="inherit" w:hAnsi="inherit"/>
          <w:color w:val="1F1F1F"/>
          <w:sz w:val="24"/>
          <w:szCs w:val="24"/>
        </w:rPr>
        <w:t xml:space="preserve"> </w:t>
      </w:r>
      <w:r>
        <w:rPr>
          <w:rStyle w:val="y2iqfc"/>
          <w:rFonts w:ascii="inherit" w:hAnsi="inherit"/>
          <w:color w:val="1F1F1F"/>
          <w:sz w:val="24"/>
          <w:szCs w:val="24"/>
        </w:rPr>
        <w:t>и</w:t>
      </w:r>
      <w:r w:rsidR="00B6016A">
        <w:rPr>
          <w:rStyle w:val="y2iqfc"/>
          <w:rFonts w:ascii="inherit" w:hAnsi="inherit"/>
          <w:color w:val="1F1F1F"/>
          <w:sz w:val="24"/>
          <w:szCs w:val="24"/>
        </w:rPr>
        <w:t xml:space="preserve"> </w:t>
      </w:r>
      <w:r>
        <w:rPr>
          <w:rStyle w:val="y2iqfc"/>
          <w:rFonts w:ascii="inherit" w:hAnsi="inherit"/>
          <w:color w:val="1F1F1F"/>
          <w:sz w:val="24"/>
          <w:szCs w:val="24"/>
        </w:rPr>
        <w:t>УН</w:t>
      </w:r>
      <w:r w:rsidR="00B6016A">
        <w:rPr>
          <w:rStyle w:val="y2iqfc"/>
          <w:rFonts w:ascii="inherit" w:hAnsi="inherit"/>
          <w:color w:val="1F1F1F"/>
          <w:sz w:val="24"/>
          <w:szCs w:val="24"/>
        </w:rPr>
        <w:t xml:space="preserve"> </w:t>
      </w:r>
      <w:r>
        <w:rPr>
          <w:rStyle w:val="y2iqfc"/>
          <w:rFonts w:ascii="inherit" w:hAnsi="inherit"/>
          <w:color w:val="1F1F1F"/>
          <w:sz w:val="24"/>
          <w:szCs w:val="24"/>
        </w:rPr>
        <w:t>у</w:t>
      </w:r>
      <w:r w:rsidR="00B6016A">
        <w:rPr>
          <w:rStyle w:val="y2iqfc"/>
          <w:rFonts w:ascii="inherit" w:hAnsi="inherit"/>
          <w:color w:val="1F1F1F"/>
          <w:sz w:val="24"/>
          <w:szCs w:val="24"/>
        </w:rPr>
        <w:t xml:space="preserve"> </w:t>
      </w:r>
      <w:r>
        <w:rPr>
          <w:rStyle w:val="y2iqfc"/>
          <w:rFonts w:ascii="inherit" w:hAnsi="inherit"/>
          <w:color w:val="1F1F1F"/>
          <w:sz w:val="24"/>
          <w:szCs w:val="24"/>
        </w:rPr>
        <w:t>Босни</w:t>
      </w:r>
      <w:r w:rsidR="00B6016A">
        <w:rPr>
          <w:rStyle w:val="y2iqfc"/>
          <w:rFonts w:ascii="inherit" w:hAnsi="inherit"/>
          <w:color w:val="1F1F1F"/>
          <w:sz w:val="24"/>
          <w:szCs w:val="24"/>
        </w:rPr>
        <w:t xml:space="preserve"> </w:t>
      </w:r>
      <w:r>
        <w:rPr>
          <w:rStyle w:val="y2iqfc"/>
          <w:rFonts w:ascii="inherit" w:hAnsi="inherit"/>
          <w:color w:val="1F1F1F"/>
          <w:sz w:val="24"/>
          <w:szCs w:val="24"/>
        </w:rPr>
        <w:t>и</w:t>
      </w:r>
      <w:r w:rsidR="00B6016A">
        <w:rPr>
          <w:rStyle w:val="y2iqfc"/>
          <w:rFonts w:ascii="inherit" w:hAnsi="inherit"/>
          <w:color w:val="1F1F1F"/>
          <w:sz w:val="24"/>
          <w:szCs w:val="24"/>
        </w:rPr>
        <w:t xml:space="preserve"> </w:t>
      </w:r>
      <w:r>
        <w:rPr>
          <w:rStyle w:val="y2iqfc"/>
          <w:rFonts w:ascii="inherit" w:hAnsi="inherit"/>
          <w:color w:val="1F1F1F"/>
          <w:sz w:val="24"/>
          <w:szCs w:val="24"/>
        </w:rPr>
        <w:t>Херцеговини</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која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је</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досегла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више</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од</w:t>
      </w:r>
      <w:r w:rsidR="00B6016A" w:rsidRPr="00295637">
        <w:rPr>
          <w:rStyle w:val="y2iqfc"/>
          <w:rFonts w:ascii="inherit" w:hAnsi="inherit"/>
          <w:color w:val="1F1F1F"/>
          <w:sz w:val="24"/>
          <w:szCs w:val="24"/>
        </w:rPr>
        <w:t xml:space="preserve"> 30.000 </w:t>
      </w:r>
      <w:r>
        <w:rPr>
          <w:rStyle w:val="y2iqfc"/>
          <w:rFonts w:ascii="inherit" w:hAnsi="inherit"/>
          <w:color w:val="1F1F1F"/>
          <w:sz w:val="24"/>
          <w:szCs w:val="24"/>
        </w:rPr>
        <w:t>људи</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на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друштвеним</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мрежама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Два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подкаста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на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тему</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жена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мира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и</w:t>
      </w:r>
      <w:r w:rsidR="00B6016A" w:rsidRPr="00295637">
        <w:rPr>
          <w:rStyle w:val="y2iqfc"/>
          <w:rFonts w:ascii="inherit" w:hAnsi="inherit"/>
          <w:color w:val="1F1F1F"/>
          <w:sz w:val="24"/>
          <w:szCs w:val="24"/>
        </w:rPr>
        <w:t xml:space="preserve"> </w:t>
      </w:r>
      <w:r w:rsidR="00991DBA">
        <w:rPr>
          <w:rStyle w:val="y2iqfc"/>
          <w:rFonts w:ascii="inherit" w:hAnsi="inherit"/>
          <w:color w:val="1F1F1F"/>
          <w:sz w:val="24"/>
          <w:szCs w:val="24"/>
          <w:lang w:val="sr-Cyrl-BA"/>
        </w:rPr>
        <w:t>безбједности</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проширила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су</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свијест</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о</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важности</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агенде</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жена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мира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и</w:t>
      </w:r>
      <w:r w:rsidR="00B6016A" w:rsidRPr="00295637">
        <w:rPr>
          <w:rStyle w:val="y2iqfc"/>
          <w:rFonts w:ascii="inherit" w:hAnsi="inherit"/>
          <w:color w:val="1F1F1F"/>
          <w:sz w:val="24"/>
          <w:szCs w:val="24"/>
        </w:rPr>
        <w:t xml:space="preserve"> </w:t>
      </w:r>
      <w:r w:rsidR="00991DBA">
        <w:rPr>
          <w:rStyle w:val="y2iqfc"/>
          <w:rFonts w:ascii="inherit" w:hAnsi="inherit"/>
          <w:color w:val="1F1F1F"/>
          <w:sz w:val="24"/>
          <w:szCs w:val="24"/>
          <w:lang w:val="sr-Cyrl-BA"/>
        </w:rPr>
        <w:t>безбједности</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у</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БиХ</w:t>
      </w:r>
      <w:r w:rsidR="008D37A7">
        <w:rPr>
          <w:rStyle w:val="y2iqfc"/>
          <w:rFonts w:ascii="inherit" w:hAnsi="inherit"/>
          <w:color w:val="1F1F1F"/>
          <w:sz w:val="24"/>
          <w:szCs w:val="24"/>
        </w:rPr>
        <w:t>,</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међу</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учесницама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подкаста</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су</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биле</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и</w:t>
      </w:r>
      <w:r w:rsidR="00B6016A" w:rsidRPr="00295637">
        <w:rPr>
          <w:rStyle w:val="y2iqfc"/>
          <w:rFonts w:ascii="inherit" w:hAnsi="inherit"/>
          <w:color w:val="1F1F1F"/>
          <w:sz w:val="24"/>
          <w:szCs w:val="24"/>
        </w:rPr>
        <w:t xml:space="preserve"> </w:t>
      </w:r>
      <w:r>
        <w:rPr>
          <w:rStyle w:val="y2iqfc"/>
          <w:rFonts w:ascii="inherit" w:hAnsi="inherit"/>
          <w:color w:val="1F1F1F"/>
          <w:sz w:val="24"/>
          <w:szCs w:val="24"/>
        </w:rPr>
        <w:t>Резидентна</w:t>
      </w:r>
      <w:r w:rsidR="00B6016A">
        <w:rPr>
          <w:rStyle w:val="y2iqfc"/>
          <w:rFonts w:ascii="inherit" w:hAnsi="inherit"/>
          <w:color w:val="1F1F1F"/>
          <w:sz w:val="24"/>
          <w:szCs w:val="24"/>
        </w:rPr>
        <w:t xml:space="preserve"> </w:t>
      </w:r>
      <w:r>
        <w:rPr>
          <w:rStyle w:val="y2iqfc"/>
          <w:rFonts w:ascii="inherit" w:hAnsi="inherit"/>
          <w:color w:val="1F1F1F"/>
          <w:sz w:val="24"/>
          <w:szCs w:val="24"/>
        </w:rPr>
        <w:t>координатор</w:t>
      </w:r>
      <w:r w:rsidR="00991DBA">
        <w:rPr>
          <w:rStyle w:val="y2iqfc"/>
          <w:rFonts w:ascii="inherit" w:hAnsi="inherit"/>
          <w:color w:val="1F1F1F"/>
          <w:sz w:val="24"/>
          <w:szCs w:val="24"/>
          <w:lang w:val="sr-Cyrl-BA"/>
        </w:rPr>
        <w:t>ка</w:t>
      </w:r>
      <w:r w:rsidR="00B6016A">
        <w:rPr>
          <w:rStyle w:val="y2iqfc"/>
          <w:rFonts w:ascii="inherit" w:hAnsi="inherit"/>
          <w:color w:val="1F1F1F"/>
          <w:sz w:val="24"/>
          <w:szCs w:val="24"/>
        </w:rPr>
        <w:t xml:space="preserve"> </w:t>
      </w:r>
      <w:r>
        <w:rPr>
          <w:rStyle w:val="y2iqfc"/>
          <w:rFonts w:ascii="inherit" w:hAnsi="inherit"/>
          <w:color w:val="1F1F1F"/>
          <w:sz w:val="24"/>
          <w:szCs w:val="24"/>
        </w:rPr>
        <w:t>УН</w:t>
      </w:r>
      <w:r w:rsidR="00B6016A">
        <w:rPr>
          <w:rStyle w:val="y2iqfc"/>
          <w:rFonts w:ascii="inherit" w:hAnsi="inherit"/>
          <w:color w:val="1F1F1F"/>
          <w:sz w:val="24"/>
          <w:szCs w:val="24"/>
        </w:rPr>
        <w:t xml:space="preserve"> </w:t>
      </w:r>
      <w:r>
        <w:rPr>
          <w:rStyle w:val="y2iqfc"/>
          <w:rFonts w:ascii="inherit" w:hAnsi="inherit"/>
          <w:color w:val="1F1F1F"/>
          <w:sz w:val="24"/>
          <w:szCs w:val="24"/>
        </w:rPr>
        <w:t>у</w:t>
      </w:r>
      <w:r w:rsidR="00B6016A">
        <w:rPr>
          <w:rStyle w:val="y2iqfc"/>
          <w:rFonts w:ascii="inherit" w:hAnsi="inherit"/>
          <w:color w:val="1F1F1F"/>
          <w:sz w:val="24"/>
          <w:szCs w:val="24"/>
        </w:rPr>
        <w:t xml:space="preserve"> </w:t>
      </w:r>
      <w:r>
        <w:rPr>
          <w:rStyle w:val="y2iqfc"/>
          <w:rFonts w:ascii="inherit" w:hAnsi="inherit"/>
          <w:color w:val="1F1F1F"/>
          <w:sz w:val="24"/>
          <w:szCs w:val="24"/>
        </w:rPr>
        <w:t>БиХ</w:t>
      </w:r>
      <w:r w:rsidR="00B6016A">
        <w:rPr>
          <w:rStyle w:val="y2iqfc"/>
          <w:rFonts w:ascii="inherit" w:hAnsi="inherit"/>
          <w:color w:val="1F1F1F"/>
          <w:sz w:val="24"/>
          <w:szCs w:val="24"/>
        </w:rPr>
        <w:t xml:space="preserve"> </w:t>
      </w:r>
      <w:r>
        <w:rPr>
          <w:rStyle w:val="y2iqfc"/>
          <w:rFonts w:ascii="inherit" w:hAnsi="inherit"/>
          <w:color w:val="1F1F1F"/>
          <w:sz w:val="24"/>
          <w:szCs w:val="24"/>
        </w:rPr>
        <w:t>и</w:t>
      </w:r>
      <w:r w:rsidR="00B6016A">
        <w:rPr>
          <w:rStyle w:val="y2iqfc"/>
          <w:rFonts w:ascii="inherit" w:hAnsi="inherit"/>
          <w:color w:val="1F1F1F"/>
          <w:sz w:val="24"/>
          <w:szCs w:val="24"/>
        </w:rPr>
        <w:t xml:space="preserve"> </w:t>
      </w:r>
      <w:r>
        <w:rPr>
          <w:rStyle w:val="y2iqfc"/>
          <w:rFonts w:ascii="inherit" w:hAnsi="inherit"/>
          <w:color w:val="1F1F1F"/>
          <w:sz w:val="24"/>
          <w:szCs w:val="24"/>
        </w:rPr>
        <w:t>директорица</w:t>
      </w:r>
      <w:r w:rsidR="00B6016A">
        <w:rPr>
          <w:rStyle w:val="y2iqfc"/>
          <w:rFonts w:ascii="inherit" w:hAnsi="inherit"/>
          <w:color w:val="1F1F1F"/>
          <w:sz w:val="24"/>
          <w:szCs w:val="24"/>
        </w:rPr>
        <w:t xml:space="preserve"> </w:t>
      </w:r>
      <w:r>
        <w:rPr>
          <w:rStyle w:val="y2iqfc"/>
          <w:rFonts w:ascii="inherit" w:hAnsi="inherit"/>
          <w:color w:val="1F1F1F"/>
          <w:sz w:val="24"/>
          <w:szCs w:val="24"/>
        </w:rPr>
        <w:t>АР</w:t>
      </w:r>
      <w:r w:rsidR="00991DBA">
        <w:rPr>
          <w:rStyle w:val="y2iqfc"/>
          <w:rFonts w:ascii="inherit" w:hAnsi="inherit"/>
          <w:color w:val="1F1F1F"/>
          <w:sz w:val="24"/>
          <w:szCs w:val="24"/>
          <w:lang w:val="sr-Cyrl-BA"/>
        </w:rPr>
        <w:t>П</w:t>
      </w:r>
      <w:r w:rsidR="00EC4571">
        <w:rPr>
          <w:rStyle w:val="y2iqfc"/>
          <w:rFonts w:ascii="inherit" w:hAnsi="inherit"/>
          <w:color w:val="1F1F1F"/>
          <w:sz w:val="24"/>
          <w:szCs w:val="24"/>
        </w:rPr>
        <w:t xml:space="preserve"> </w:t>
      </w:r>
      <w:r>
        <w:rPr>
          <w:rStyle w:val="y2iqfc"/>
          <w:rFonts w:ascii="inherit" w:hAnsi="inherit"/>
          <w:color w:val="1F1F1F"/>
          <w:sz w:val="24"/>
          <w:szCs w:val="24"/>
        </w:rPr>
        <w:t>БиХ</w:t>
      </w:r>
      <w:r w:rsidR="00EC4571">
        <w:rPr>
          <w:rStyle w:val="y2iqfc"/>
          <w:rFonts w:ascii="inherit" w:hAnsi="inherit"/>
          <w:color w:val="1F1F1F"/>
          <w:sz w:val="24"/>
          <w:szCs w:val="24"/>
        </w:rPr>
        <w:t xml:space="preserve"> </w:t>
      </w:r>
      <w:r>
        <w:rPr>
          <w:rStyle w:val="y2iqfc"/>
          <w:rFonts w:ascii="inherit" w:hAnsi="inherit"/>
          <w:color w:val="1F1F1F"/>
          <w:sz w:val="24"/>
          <w:szCs w:val="24"/>
        </w:rPr>
        <w:t>МЉПИ</w:t>
      </w:r>
      <w:r w:rsidR="00EC4571">
        <w:rPr>
          <w:rStyle w:val="y2iqfc"/>
          <w:rFonts w:ascii="inherit" w:hAnsi="inherit"/>
          <w:color w:val="1F1F1F"/>
          <w:sz w:val="24"/>
          <w:szCs w:val="24"/>
        </w:rPr>
        <w:t xml:space="preserve"> </w:t>
      </w:r>
      <w:r>
        <w:rPr>
          <w:rStyle w:val="y2iqfc"/>
          <w:rFonts w:ascii="inherit" w:hAnsi="inherit"/>
          <w:color w:val="1F1F1F"/>
          <w:sz w:val="24"/>
          <w:szCs w:val="24"/>
        </w:rPr>
        <w:t>БиХ</w:t>
      </w:r>
      <w:r w:rsidR="00B6016A" w:rsidRPr="00295637">
        <w:rPr>
          <w:rStyle w:val="y2iqfc"/>
          <w:rFonts w:ascii="inherit" w:hAnsi="inherit"/>
          <w:color w:val="1F1F1F"/>
          <w:sz w:val="24"/>
          <w:szCs w:val="24"/>
        </w:rPr>
        <w:t xml:space="preserve">. </w:t>
      </w:r>
    </w:p>
    <w:p w:rsidR="00BA2EC4" w:rsidRPr="00295637" w:rsidRDefault="00BA2EC4" w:rsidP="0086268D">
      <w:pPr>
        <w:rPr>
          <w:b/>
          <w:lang w:val="bs-Latn-BA"/>
        </w:rPr>
      </w:pPr>
    </w:p>
    <w:p w:rsidR="00356C2C" w:rsidRPr="00295637" w:rsidRDefault="00991DBA" w:rsidP="008D37A7">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8D37A7">
        <w:rPr>
          <w:rFonts w:ascii="Times New Roman" w:hAnsi="Times New Roman"/>
          <w:szCs w:val="24"/>
          <w:lang w:val="bs-Latn-BA"/>
        </w:rPr>
        <w:t xml:space="preserve"> 7.5. </w:t>
      </w:r>
      <w:r w:rsidR="00C6214E">
        <w:rPr>
          <w:rFonts w:ascii="Times New Roman" w:hAnsi="Times New Roman"/>
          <w:szCs w:val="24"/>
          <w:lang w:val="bs-Latn-BA"/>
        </w:rPr>
        <w:t>Редовно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праћење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извјештавање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напретку</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институција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примјени</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домаћих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областима</w:t>
      </w:r>
      <w:r w:rsidR="00EC4571">
        <w:rPr>
          <w:rFonts w:ascii="Times New Roman" w:hAnsi="Times New Roman"/>
          <w:szCs w:val="24"/>
          <w:lang w:val="bs-Latn-BA"/>
        </w:rPr>
        <w:t xml:space="preserve"> </w:t>
      </w:r>
      <w:r w:rsidR="00C6214E">
        <w:rPr>
          <w:rFonts w:ascii="Times New Roman" w:hAnsi="Times New Roman"/>
          <w:szCs w:val="24"/>
          <w:lang w:val="bs-Latn-BA"/>
        </w:rPr>
        <w:t>одбране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безбједности</w:t>
      </w:r>
      <w:r w:rsidR="00356C2C" w:rsidRPr="00295637">
        <w:rPr>
          <w:rFonts w:ascii="Times New Roman" w:hAnsi="Times New Roman"/>
          <w:szCs w:val="24"/>
          <w:lang w:val="bs-Latn-BA"/>
        </w:rPr>
        <w:t>.</w:t>
      </w:r>
    </w:p>
    <w:p w:rsidR="000A42E5" w:rsidRPr="00295637" w:rsidRDefault="000A42E5" w:rsidP="0086268D">
      <w:pPr>
        <w:pStyle w:val="NormalWeb"/>
        <w:spacing w:before="0" w:beforeAutospacing="0" w:after="0" w:afterAutospacing="0"/>
        <w:jc w:val="both"/>
        <w:textAlignment w:val="baseline"/>
      </w:pPr>
    </w:p>
    <w:p w:rsidR="00923DBC" w:rsidRDefault="00C6214E" w:rsidP="0086268D">
      <w:pPr>
        <w:pStyle w:val="NormalWeb"/>
        <w:spacing w:before="0" w:beforeAutospacing="0" w:after="0" w:afterAutospacing="0"/>
        <w:jc w:val="both"/>
        <w:textAlignment w:val="baseline"/>
      </w:pPr>
      <w:r>
        <w:t>АР</w:t>
      </w:r>
      <w:r w:rsidR="00991DBA">
        <w:rPr>
          <w:lang w:val="sr-Cyrl-BA"/>
        </w:rPr>
        <w:t>П</w:t>
      </w:r>
      <w:r w:rsidR="00EC4571">
        <w:t xml:space="preserve"> </w:t>
      </w:r>
      <w:r>
        <w:t>БиХ</w:t>
      </w:r>
      <w:r w:rsidR="00923DBC" w:rsidRPr="00295637">
        <w:t xml:space="preserve"> </w:t>
      </w:r>
      <w:r>
        <w:t>МЉПИ</w:t>
      </w:r>
      <w:r w:rsidR="00923DBC" w:rsidRPr="00295637">
        <w:t xml:space="preserve"> </w:t>
      </w:r>
      <w:r>
        <w:t>БиХ</w:t>
      </w:r>
      <w:r w:rsidR="00923DBC" w:rsidRPr="00295637">
        <w:t xml:space="preserve"> </w:t>
      </w:r>
      <w:r>
        <w:t>је</w:t>
      </w:r>
      <w:r w:rsidR="00923DBC" w:rsidRPr="00295637">
        <w:t xml:space="preserve"> </w:t>
      </w:r>
      <w:r>
        <w:t>у</w:t>
      </w:r>
      <w:r w:rsidR="00923DBC" w:rsidRPr="00295637">
        <w:t xml:space="preserve"> </w:t>
      </w:r>
      <w:r>
        <w:t>извјештајном</w:t>
      </w:r>
      <w:r w:rsidR="00923DBC" w:rsidRPr="00295637">
        <w:t xml:space="preserve"> </w:t>
      </w:r>
      <w:r>
        <w:t>периоду</w:t>
      </w:r>
      <w:r w:rsidR="00923DBC" w:rsidRPr="00295637">
        <w:t xml:space="preserve"> </w:t>
      </w:r>
      <w:r>
        <w:t>координи</w:t>
      </w:r>
      <w:r w:rsidR="00991DBA">
        <w:rPr>
          <w:lang w:val="sr-Cyrl-BA"/>
        </w:rPr>
        <w:t>с</w:t>
      </w:r>
      <w:r>
        <w:t>ала</w:t>
      </w:r>
      <w:r w:rsidR="00923DBC" w:rsidRPr="00295637">
        <w:t xml:space="preserve"> </w:t>
      </w:r>
      <w:r>
        <w:t>израдом</w:t>
      </w:r>
      <w:r w:rsidR="00923DBC" w:rsidRPr="00295637">
        <w:t xml:space="preserve"> </w:t>
      </w:r>
      <w:r>
        <w:t>и</w:t>
      </w:r>
      <w:r w:rsidR="00923DBC" w:rsidRPr="00295637">
        <w:t xml:space="preserve"> </w:t>
      </w:r>
      <w:r>
        <w:t>финализирала</w:t>
      </w:r>
      <w:r w:rsidR="00923DBC" w:rsidRPr="00295637">
        <w:t xml:space="preserve"> </w:t>
      </w:r>
      <w:r>
        <w:t>нацрт</w:t>
      </w:r>
      <w:r w:rsidR="00923DBC" w:rsidRPr="00295637">
        <w:t xml:space="preserve"> </w:t>
      </w:r>
      <w:r>
        <w:t>новог</w:t>
      </w:r>
      <w:r w:rsidR="00923DBC" w:rsidRPr="00295637">
        <w:t xml:space="preserve"> </w:t>
      </w:r>
      <w:r>
        <w:t>Акционог</w:t>
      </w:r>
      <w:r w:rsidR="00923DBC" w:rsidRPr="00295637">
        <w:t xml:space="preserve"> </w:t>
      </w:r>
      <w:r>
        <w:t>плана</w:t>
      </w:r>
      <w:r w:rsidR="00923DBC" w:rsidRPr="00295637">
        <w:t xml:space="preserve"> </w:t>
      </w:r>
      <w:r>
        <w:t>за</w:t>
      </w:r>
      <w:r w:rsidR="00923DBC" w:rsidRPr="00295637">
        <w:t xml:space="preserve"> </w:t>
      </w:r>
      <w:r w:rsidR="00991DBA">
        <w:rPr>
          <w:lang w:val="sr-Cyrl-BA"/>
        </w:rPr>
        <w:t>спровођење</w:t>
      </w:r>
      <w:r w:rsidR="00050016">
        <w:t xml:space="preserve"> </w:t>
      </w:r>
      <w:r>
        <w:t>УН</w:t>
      </w:r>
      <w:r w:rsidR="00050016">
        <w:t xml:space="preserve"> </w:t>
      </w:r>
      <w:r>
        <w:t>Резолуције</w:t>
      </w:r>
      <w:r w:rsidR="00050016">
        <w:t xml:space="preserve"> 1325 </w:t>
      </w:r>
      <w:r>
        <w:t>у</w:t>
      </w:r>
      <w:r w:rsidR="00050016">
        <w:t xml:space="preserve"> </w:t>
      </w:r>
      <w:r>
        <w:t>БиХ</w:t>
      </w:r>
      <w:r w:rsidR="00923DBC" w:rsidRPr="00295637">
        <w:t xml:space="preserve"> </w:t>
      </w:r>
      <w:r>
        <w:t>за</w:t>
      </w:r>
      <w:r w:rsidR="00923DBC" w:rsidRPr="00295637">
        <w:t xml:space="preserve"> </w:t>
      </w:r>
      <w:r>
        <w:t>период</w:t>
      </w:r>
      <w:r w:rsidR="00923DBC" w:rsidRPr="00295637">
        <w:t xml:space="preserve"> 202</w:t>
      </w:r>
      <w:r w:rsidR="00923DBC">
        <w:t>4</w:t>
      </w:r>
      <w:r w:rsidR="00923DBC" w:rsidRPr="00295637">
        <w:t>-202</w:t>
      </w:r>
      <w:r w:rsidR="00923DBC">
        <w:t>9</w:t>
      </w:r>
      <w:r w:rsidR="00EC4571">
        <w:t>.</w:t>
      </w:r>
      <w:r w:rsidR="00923DBC" w:rsidRPr="00295637">
        <w:t xml:space="preserve"> (</w:t>
      </w:r>
      <w:r>
        <w:t>АП</w:t>
      </w:r>
      <w:r w:rsidR="00923DBC" w:rsidRPr="00295637">
        <w:t xml:space="preserve"> </w:t>
      </w:r>
      <w:r w:rsidR="00991DBA" w:rsidRPr="00991DBA">
        <w:rPr>
          <w:i/>
          <w:lang w:val="hr-BA"/>
        </w:rPr>
        <w:t>UNSCR</w:t>
      </w:r>
      <w:r w:rsidR="00923DBC" w:rsidRPr="00295637">
        <w:t xml:space="preserve"> 1325). </w:t>
      </w:r>
      <w:r>
        <w:t>Међутим</w:t>
      </w:r>
      <w:r w:rsidR="00923DBC" w:rsidRPr="00295637">
        <w:t xml:space="preserve">, </w:t>
      </w:r>
      <w:r>
        <w:t>Акциони</w:t>
      </w:r>
      <w:r w:rsidR="00923DBC" w:rsidRPr="00295637">
        <w:t xml:space="preserve"> </w:t>
      </w:r>
      <w:r>
        <w:t>план</w:t>
      </w:r>
      <w:r w:rsidR="00923DBC" w:rsidRPr="00295637">
        <w:t xml:space="preserve"> (</w:t>
      </w:r>
      <w:r>
        <w:t>АП</w:t>
      </w:r>
      <w:r w:rsidR="00923DBC" w:rsidRPr="00295637">
        <w:t xml:space="preserve">) </w:t>
      </w:r>
      <w:r>
        <w:t>није</w:t>
      </w:r>
      <w:r w:rsidR="00923DBC" w:rsidRPr="00295637">
        <w:t xml:space="preserve"> </w:t>
      </w:r>
      <w:r>
        <w:t>достављен</w:t>
      </w:r>
      <w:r w:rsidR="00923DBC" w:rsidRPr="00295637">
        <w:t xml:space="preserve"> </w:t>
      </w:r>
      <w:r>
        <w:t>на</w:t>
      </w:r>
      <w:r w:rsidR="006A4148">
        <w:t xml:space="preserve"> </w:t>
      </w:r>
      <w:r>
        <w:t>разматрање</w:t>
      </w:r>
      <w:r w:rsidR="006A4148">
        <w:t xml:space="preserve"> </w:t>
      </w:r>
      <w:r>
        <w:t>и</w:t>
      </w:r>
      <w:r w:rsidR="006A4148">
        <w:t xml:space="preserve"> </w:t>
      </w:r>
      <w:r>
        <w:t>усвајање</w:t>
      </w:r>
      <w:r w:rsidR="006A4148">
        <w:t xml:space="preserve"> </w:t>
      </w:r>
      <w:r w:rsidR="00991DBA">
        <w:rPr>
          <w:lang w:val="sr-Cyrl-BA"/>
        </w:rPr>
        <w:t>С</w:t>
      </w:r>
      <w:r>
        <w:t>М</w:t>
      </w:r>
      <w:r w:rsidR="006A4148">
        <w:t xml:space="preserve"> </w:t>
      </w:r>
      <w:r>
        <w:t>БиХ</w:t>
      </w:r>
      <w:r w:rsidR="00923DBC" w:rsidRPr="00295637">
        <w:t xml:space="preserve"> </w:t>
      </w:r>
      <w:r>
        <w:t>због</w:t>
      </w:r>
      <w:r w:rsidR="00923DBC" w:rsidRPr="00295637">
        <w:t xml:space="preserve"> </w:t>
      </w:r>
      <w:r>
        <w:t>настојања</w:t>
      </w:r>
      <w:r w:rsidR="00923DBC" w:rsidRPr="00295637">
        <w:t xml:space="preserve"> </w:t>
      </w:r>
      <w:r>
        <w:t>да</w:t>
      </w:r>
      <w:r w:rsidR="00923DBC" w:rsidRPr="00295637">
        <w:t xml:space="preserve"> </w:t>
      </w:r>
      <w:r>
        <w:t>се</w:t>
      </w:r>
      <w:r w:rsidR="00923DBC" w:rsidRPr="00295637">
        <w:t xml:space="preserve"> </w:t>
      </w:r>
      <w:r>
        <w:t>институције</w:t>
      </w:r>
      <w:r w:rsidR="00923DBC" w:rsidRPr="00295637">
        <w:t xml:space="preserve"> </w:t>
      </w:r>
      <w:r>
        <w:t>РС</w:t>
      </w:r>
      <w:r w:rsidR="00923DBC" w:rsidRPr="00295637">
        <w:t xml:space="preserve"> </w:t>
      </w:r>
      <w:r>
        <w:t>укључе</w:t>
      </w:r>
      <w:r w:rsidR="000246A7">
        <w:t xml:space="preserve"> </w:t>
      </w:r>
      <w:r>
        <w:t>у</w:t>
      </w:r>
      <w:r w:rsidR="000246A7">
        <w:t xml:space="preserve"> </w:t>
      </w:r>
      <w:r>
        <w:t>израду</w:t>
      </w:r>
      <w:r w:rsidR="000246A7">
        <w:t xml:space="preserve"> </w:t>
      </w:r>
      <w:r>
        <w:t>и</w:t>
      </w:r>
      <w:r w:rsidR="000246A7">
        <w:t xml:space="preserve"> </w:t>
      </w:r>
      <w:r w:rsidR="00991DBA">
        <w:rPr>
          <w:lang w:val="sr-Cyrl-BA"/>
        </w:rPr>
        <w:t>спровођење</w:t>
      </w:r>
      <w:r w:rsidR="000246A7">
        <w:t xml:space="preserve"> </w:t>
      </w:r>
      <w:r>
        <w:t>плана</w:t>
      </w:r>
      <w:r w:rsidR="00923DBC" w:rsidRPr="00295637">
        <w:t xml:space="preserve">. </w:t>
      </w:r>
      <w:r>
        <w:t>Крајем</w:t>
      </w:r>
      <w:r w:rsidR="00923DBC">
        <w:t xml:space="preserve"> 2024. </w:t>
      </w:r>
      <w:r>
        <w:t>године</w:t>
      </w:r>
      <w:r w:rsidR="00923DBC">
        <w:t xml:space="preserve"> </w:t>
      </w:r>
      <w:r>
        <w:t>започет</w:t>
      </w:r>
      <w:r w:rsidR="00923DBC">
        <w:t xml:space="preserve"> </w:t>
      </w:r>
      <w:r>
        <w:t>је</w:t>
      </w:r>
      <w:r w:rsidR="00923DBC">
        <w:t xml:space="preserve"> </w:t>
      </w:r>
      <w:r>
        <w:t>процес</w:t>
      </w:r>
      <w:r w:rsidR="00923DBC">
        <w:t xml:space="preserve"> </w:t>
      </w:r>
      <w:r>
        <w:t>ажурирања</w:t>
      </w:r>
      <w:r w:rsidR="00923DBC">
        <w:t xml:space="preserve"> </w:t>
      </w:r>
      <w:r>
        <w:t>информација</w:t>
      </w:r>
      <w:r w:rsidR="00923DBC">
        <w:t xml:space="preserve"> </w:t>
      </w:r>
      <w:r>
        <w:t>и</w:t>
      </w:r>
      <w:r w:rsidR="00923DBC">
        <w:t xml:space="preserve"> </w:t>
      </w:r>
      <w:r>
        <w:t>трајања</w:t>
      </w:r>
      <w:r w:rsidR="00923DBC">
        <w:t xml:space="preserve"> </w:t>
      </w:r>
      <w:r>
        <w:t>АП</w:t>
      </w:r>
      <w:r w:rsidR="00923DBC">
        <w:t xml:space="preserve"> </w:t>
      </w:r>
      <w:r w:rsidR="00991DBA" w:rsidRPr="00991DBA">
        <w:rPr>
          <w:i/>
          <w:lang w:val="hr-BA"/>
        </w:rPr>
        <w:t>UNSCR</w:t>
      </w:r>
      <w:r w:rsidR="00923DBC">
        <w:t xml:space="preserve"> 1325 </w:t>
      </w:r>
      <w:r>
        <w:t>за</w:t>
      </w:r>
      <w:r w:rsidR="00923DBC">
        <w:t xml:space="preserve"> </w:t>
      </w:r>
      <w:r>
        <w:t>период</w:t>
      </w:r>
      <w:r w:rsidR="00923DBC">
        <w:t xml:space="preserve"> 2025-2030. </w:t>
      </w:r>
      <w:r>
        <w:t>године</w:t>
      </w:r>
      <w:r w:rsidR="00923DBC">
        <w:t>.</w:t>
      </w:r>
    </w:p>
    <w:p w:rsidR="00923DBC" w:rsidRPr="00295637" w:rsidRDefault="00923DBC" w:rsidP="0086268D">
      <w:pPr>
        <w:pStyle w:val="NormalWeb"/>
        <w:spacing w:before="0" w:beforeAutospacing="0" w:after="0" w:afterAutospacing="0"/>
        <w:jc w:val="both"/>
        <w:textAlignment w:val="baseline"/>
      </w:pPr>
    </w:p>
    <w:p w:rsidR="00EF369D" w:rsidRPr="00295637" w:rsidRDefault="00EF369D" w:rsidP="0086268D">
      <w:pPr>
        <w:rPr>
          <w:rFonts w:ascii="Times New Roman" w:hAnsi="Times New Roman"/>
          <w:szCs w:val="24"/>
          <w:lang w:val="bs-Latn-BA"/>
        </w:rPr>
      </w:pPr>
    </w:p>
    <w:p w:rsidR="00356C2C" w:rsidRPr="00295637" w:rsidRDefault="00991DBA" w:rsidP="006A4148">
      <w:pPr>
        <w:pStyle w:val="Heading3"/>
        <w:numPr>
          <w:ilvl w:val="0"/>
          <w:numId w:val="0"/>
        </w:numPr>
        <w:spacing w:after="0" w:line="240" w:lineRule="auto"/>
        <w:rPr>
          <w:rFonts w:ascii="Times New Roman" w:hAnsi="Times New Roman" w:cs="Times New Roman"/>
          <w:lang w:val="bs-Latn-BA"/>
        </w:rPr>
      </w:pPr>
      <w:bookmarkStart w:id="48" w:name="_Toc195016598"/>
      <w:r>
        <w:rPr>
          <w:rFonts w:ascii="Times New Roman" w:hAnsi="Times New Roman" w:cs="Times New Roman"/>
          <w:color w:val="548DD4" w:themeColor="text2" w:themeTint="99"/>
          <w:lang w:val="bs-Latn-BA"/>
        </w:rPr>
        <w:t>I</w:t>
      </w:r>
      <w:r w:rsidR="006A4148" w:rsidRPr="006A4148">
        <w:rPr>
          <w:rFonts w:ascii="Times New Roman" w:hAnsi="Times New Roman" w:cs="Times New Roman"/>
          <w:color w:val="548DD4" w:themeColor="text2" w:themeTint="99"/>
          <w:lang w:val="bs-Latn-BA"/>
        </w:rPr>
        <w:t xml:space="preserve"> 8.  </w:t>
      </w:r>
      <w:r w:rsidR="00C6214E">
        <w:rPr>
          <w:rFonts w:ascii="Times New Roman" w:hAnsi="Times New Roman" w:cs="Times New Roman"/>
          <w:lang w:val="bs-Latn-BA"/>
        </w:rPr>
        <w:t>Равноправност</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полова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у</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контексту</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заштите</w:t>
      </w:r>
      <w:r w:rsidR="00356C2C" w:rsidRPr="00295637">
        <w:rPr>
          <w:rFonts w:ascii="Times New Roman" w:hAnsi="Times New Roman" w:cs="Times New Roman"/>
          <w:lang w:val="bs-Latn-BA"/>
        </w:rPr>
        <w:t xml:space="preserve"> </w:t>
      </w:r>
      <w:r>
        <w:rPr>
          <w:rFonts w:ascii="Times New Roman" w:hAnsi="Times New Roman" w:cs="Times New Roman"/>
          <w:lang w:val="sr-Cyrl-BA"/>
        </w:rPr>
        <w:t>животне средине</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и</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климатских</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промјена</w:t>
      </w:r>
      <w:bookmarkStart w:id="49" w:name="_Toc502218533"/>
      <w:bookmarkEnd w:id="48"/>
      <w:bookmarkEnd w:id="49"/>
    </w:p>
    <w:p w:rsidR="00871777" w:rsidRPr="00295637" w:rsidRDefault="00871777" w:rsidP="0086268D">
      <w:pPr>
        <w:rPr>
          <w:lang w:val="bs-Latn-BA"/>
        </w:rPr>
      </w:pPr>
    </w:p>
    <w:p w:rsidR="00871777" w:rsidRPr="00295637" w:rsidRDefault="00C6214E" w:rsidP="0086268D">
      <w:pPr>
        <w:jc w:val="both"/>
        <w:rPr>
          <w:rFonts w:ascii="Times New Roman" w:hAnsi="Times New Roman"/>
          <w:szCs w:val="24"/>
          <w:shd w:val="clear" w:color="auto" w:fill="FEFEFE"/>
        </w:rPr>
      </w:pPr>
      <w:r>
        <w:rPr>
          <w:rFonts w:ascii="Times New Roman" w:hAnsi="Times New Roman"/>
          <w:szCs w:val="24"/>
          <w:shd w:val="clear" w:color="auto" w:fill="FEFEFE"/>
        </w:rPr>
        <w:t>Климатске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промјене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погађају</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све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само</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што</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не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погађају</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све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једнако</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несразмјерно</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више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погађају</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жене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што</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је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феномен</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у</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вези</w:t>
      </w:r>
      <w:r w:rsidR="00EC4571">
        <w:rPr>
          <w:rFonts w:ascii="Times New Roman" w:hAnsi="Times New Roman"/>
          <w:szCs w:val="24"/>
          <w:shd w:val="clear" w:color="auto" w:fill="FEFEFE"/>
        </w:rPr>
        <w:t xml:space="preserve"> </w:t>
      </w:r>
      <w:r>
        <w:rPr>
          <w:rFonts w:ascii="Times New Roman" w:hAnsi="Times New Roman"/>
          <w:szCs w:val="24"/>
          <w:shd w:val="clear" w:color="auto" w:fill="FEFEFE"/>
        </w:rPr>
        <w:t>са</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којим</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у</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Босни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Херцеговини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тек</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предстоје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дубље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анализе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Климатске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промјене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нису</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родно</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неутралне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постоје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родно</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засноване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разлике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у</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изложености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способности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прилагођавања</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климатским</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промјенама</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Учињени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су</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први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кораци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у</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БиХ</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да</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се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равноправност</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полова</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интегри</w:t>
      </w:r>
      <w:r w:rsidR="00991DBA">
        <w:rPr>
          <w:rFonts w:ascii="Times New Roman" w:hAnsi="Times New Roman"/>
          <w:szCs w:val="24"/>
          <w:shd w:val="clear" w:color="auto" w:fill="FEFEFE"/>
          <w:lang w:val="sr-Cyrl-BA"/>
        </w:rPr>
        <w:t>ше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у</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политике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програме</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и</w:t>
      </w:r>
      <w:r w:rsidR="00871777" w:rsidRPr="00295637">
        <w:rPr>
          <w:rFonts w:ascii="Times New Roman" w:hAnsi="Times New Roman"/>
          <w:szCs w:val="24"/>
          <w:shd w:val="clear" w:color="auto" w:fill="FEFEFE"/>
        </w:rPr>
        <w:t xml:space="preserve"> </w:t>
      </w:r>
      <w:r>
        <w:rPr>
          <w:rFonts w:ascii="Times New Roman" w:hAnsi="Times New Roman"/>
          <w:szCs w:val="24"/>
          <w:shd w:val="clear" w:color="auto" w:fill="FEFEFE"/>
        </w:rPr>
        <w:t>пројекте</w:t>
      </w:r>
      <w:r w:rsidR="00090A74" w:rsidRPr="00295637">
        <w:rPr>
          <w:rFonts w:ascii="Times New Roman" w:hAnsi="Times New Roman"/>
          <w:szCs w:val="24"/>
          <w:shd w:val="clear" w:color="auto" w:fill="FEFEFE"/>
        </w:rPr>
        <w:t>.</w:t>
      </w:r>
    </w:p>
    <w:p w:rsidR="00C71846" w:rsidRPr="00295637" w:rsidRDefault="00C71846" w:rsidP="0086268D">
      <w:pPr>
        <w:jc w:val="both"/>
        <w:rPr>
          <w:rFonts w:ascii="Times New Roman" w:hAnsi="Times New Roman"/>
          <w:szCs w:val="24"/>
          <w:shd w:val="clear" w:color="auto" w:fill="FEFEFE"/>
        </w:rPr>
      </w:pPr>
    </w:p>
    <w:p w:rsidR="000F73A7" w:rsidRPr="00295637" w:rsidRDefault="00C6214E" w:rsidP="0086268D">
      <w:pPr>
        <w:jc w:val="both"/>
      </w:pPr>
      <w:r>
        <w:rPr>
          <w:rFonts w:ascii="Times New Roman" w:hAnsi="Times New Roman"/>
          <w:szCs w:val="24"/>
          <w:shd w:val="clear" w:color="auto" w:fill="FEFEFE"/>
        </w:rPr>
        <w:t>Не</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само</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у</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Босни</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и</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Херцеговини</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већ</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и</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глобално</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жене</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се</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налазе</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у</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неповољном</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положају</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када</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је</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ријеч</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о</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приступу</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земљиштима</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пословним</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капацитетима</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и</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технологијама</w:t>
      </w:r>
      <w:r w:rsidR="00EC4571">
        <w:rPr>
          <w:rFonts w:ascii="Times New Roman" w:hAnsi="Times New Roman"/>
          <w:szCs w:val="24"/>
          <w:shd w:val="clear" w:color="auto" w:fill="FEFEFE"/>
        </w:rPr>
        <w:t>,</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због</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тога</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њихов</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потенцијал</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не</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доприноси</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довољно</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економији</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у</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овим</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секторима</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који</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имају</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велики</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утицај</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на</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климатске</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промјене</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попут</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транспорта</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или</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грађевинске</w:t>
      </w:r>
      <w:r w:rsidR="00C71846" w:rsidRPr="00295637">
        <w:rPr>
          <w:rFonts w:ascii="Times New Roman" w:hAnsi="Times New Roman"/>
          <w:szCs w:val="24"/>
          <w:shd w:val="clear" w:color="auto" w:fill="FEFEFE"/>
        </w:rPr>
        <w:t xml:space="preserve"> </w:t>
      </w:r>
      <w:r>
        <w:rPr>
          <w:rFonts w:ascii="Times New Roman" w:hAnsi="Times New Roman"/>
          <w:szCs w:val="24"/>
          <w:shd w:val="clear" w:color="auto" w:fill="FEFEFE"/>
        </w:rPr>
        <w:t>индустрије</w:t>
      </w:r>
      <w:r w:rsidR="00C71846" w:rsidRPr="00295637">
        <w:rPr>
          <w:rFonts w:ascii="Times New Roman" w:hAnsi="Times New Roman"/>
          <w:szCs w:val="24"/>
          <w:shd w:val="clear" w:color="auto" w:fill="FEFEFE"/>
        </w:rPr>
        <w:t xml:space="preserve">. </w:t>
      </w:r>
      <w:r>
        <w:rPr>
          <w:rFonts w:ascii="Times New Roman" w:hAnsi="Times New Roman"/>
        </w:rPr>
        <w:t>Упркос</w:t>
      </w:r>
      <w:r w:rsidR="00C71846" w:rsidRPr="00295637">
        <w:rPr>
          <w:rFonts w:ascii="Times New Roman" w:hAnsi="Times New Roman"/>
        </w:rPr>
        <w:t xml:space="preserve"> </w:t>
      </w:r>
      <w:r>
        <w:rPr>
          <w:rFonts w:ascii="Times New Roman" w:hAnsi="Times New Roman"/>
        </w:rPr>
        <w:t>забринутости</w:t>
      </w:r>
      <w:r w:rsidR="00C71846" w:rsidRPr="00295637">
        <w:rPr>
          <w:rFonts w:ascii="Times New Roman" w:hAnsi="Times New Roman"/>
        </w:rPr>
        <w:t xml:space="preserve"> </w:t>
      </w:r>
      <w:r>
        <w:rPr>
          <w:rFonts w:ascii="Times New Roman" w:hAnsi="Times New Roman"/>
        </w:rPr>
        <w:t>због</w:t>
      </w:r>
      <w:r w:rsidR="00C71846" w:rsidRPr="00295637">
        <w:rPr>
          <w:rFonts w:ascii="Times New Roman" w:hAnsi="Times New Roman"/>
        </w:rPr>
        <w:t xml:space="preserve"> </w:t>
      </w:r>
      <w:r>
        <w:rPr>
          <w:rFonts w:ascii="Times New Roman" w:hAnsi="Times New Roman"/>
        </w:rPr>
        <w:t>климатских</w:t>
      </w:r>
      <w:r w:rsidR="00C71846" w:rsidRPr="00295637">
        <w:rPr>
          <w:rFonts w:ascii="Times New Roman" w:hAnsi="Times New Roman"/>
        </w:rPr>
        <w:t xml:space="preserve"> </w:t>
      </w:r>
      <w:r>
        <w:rPr>
          <w:rFonts w:ascii="Times New Roman" w:hAnsi="Times New Roman"/>
        </w:rPr>
        <w:t>промјена</w:t>
      </w:r>
      <w:r w:rsidR="00C71846" w:rsidRPr="00295637">
        <w:rPr>
          <w:rFonts w:ascii="Times New Roman" w:hAnsi="Times New Roman"/>
        </w:rPr>
        <w:t xml:space="preserve">, </w:t>
      </w:r>
      <w:r>
        <w:rPr>
          <w:rFonts w:ascii="Times New Roman" w:hAnsi="Times New Roman"/>
        </w:rPr>
        <w:t>жене</w:t>
      </w:r>
      <w:r w:rsidR="00C71846" w:rsidRPr="00295637">
        <w:rPr>
          <w:rFonts w:ascii="Times New Roman" w:hAnsi="Times New Roman"/>
        </w:rPr>
        <w:t xml:space="preserve"> </w:t>
      </w:r>
      <w:r>
        <w:rPr>
          <w:rFonts w:ascii="Times New Roman" w:hAnsi="Times New Roman"/>
        </w:rPr>
        <w:t>често</w:t>
      </w:r>
      <w:r w:rsidR="00C71846" w:rsidRPr="00295637">
        <w:rPr>
          <w:rFonts w:ascii="Times New Roman" w:hAnsi="Times New Roman"/>
        </w:rPr>
        <w:t xml:space="preserve"> </w:t>
      </w:r>
      <w:r>
        <w:rPr>
          <w:rFonts w:ascii="Times New Roman" w:hAnsi="Times New Roman"/>
        </w:rPr>
        <w:t>немају</w:t>
      </w:r>
      <w:r w:rsidR="00C71846" w:rsidRPr="00295637">
        <w:rPr>
          <w:rFonts w:ascii="Times New Roman" w:hAnsi="Times New Roman"/>
        </w:rPr>
        <w:t xml:space="preserve"> </w:t>
      </w:r>
      <w:r>
        <w:rPr>
          <w:rFonts w:ascii="Times New Roman" w:hAnsi="Times New Roman"/>
        </w:rPr>
        <w:t>довољно</w:t>
      </w:r>
      <w:r w:rsidR="00C71846" w:rsidRPr="00295637">
        <w:rPr>
          <w:rFonts w:ascii="Times New Roman" w:hAnsi="Times New Roman"/>
        </w:rPr>
        <w:t xml:space="preserve"> </w:t>
      </w:r>
      <w:r>
        <w:rPr>
          <w:rFonts w:ascii="Times New Roman" w:hAnsi="Times New Roman"/>
        </w:rPr>
        <w:t>повјерења</w:t>
      </w:r>
      <w:r w:rsidR="00C71846" w:rsidRPr="00295637">
        <w:rPr>
          <w:rFonts w:ascii="Times New Roman" w:hAnsi="Times New Roman"/>
        </w:rPr>
        <w:t xml:space="preserve"> </w:t>
      </w:r>
      <w:r>
        <w:rPr>
          <w:rFonts w:ascii="Times New Roman" w:hAnsi="Times New Roman"/>
        </w:rPr>
        <w:t>у</w:t>
      </w:r>
      <w:r w:rsidR="00C71846" w:rsidRPr="00295637">
        <w:rPr>
          <w:rFonts w:ascii="Times New Roman" w:hAnsi="Times New Roman"/>
        </w:rPr>
        <w:t xml:space="preserve"> </w:t>
      </w:r>
      <w:r>
        <w:rPr>
          <w:rFonts w:ascii="Times New Roman" w:hAnsi="Times New Roman"/>
        </w:rPr>
        <w:t>своје</w:t>
      </w:r>
      <w:r w:rsidR="00C71846" w:rsidRPr="00295637">
        <w:rPr>
          <w:rFonts w:ascii="Times New Roman" w:hAnsi="Times New Roman"/>
        </w:rPr>
        <w:t xml:space="preserve"> </w:t>
      </w:r>
      <w:r>
        <w:rPr>
          <w:rFonts w:ascii="Times New Roman" w:hAnsi="Times New Roman"/>
        </w:rPr>
        <w:t>техничко</w:t>
      </w:r>
      <w:r w:rsidR="00C71846" w:rsidRPr="00295637">
        <w:rPr>
          <w:rFonts w:ascii="Times New Roman" w:hAnsi="Times New Roman"/>
        </w:rPr>
        <w:t xml:space="preserve"> </w:t>
      </w:r>
      <w:r>
        <w:rPr>
          <w:rFonts w:ascii="Times New Roman" w:hAnsi="Times New Roman"/>
        </w:rPr>
        <w:t>знање</w:t>
      </w:r>
      <w:r w:rsidR="00C71846" w:rsidRPr="00295637">
        <w:rPr>
          <w:rFonts w:ascii="Times New Roman" w:hAnsi="Times New Roman"/>
        </w:rPr>
        <w:t xml:space="preserve"> </w:t>
      </w:r>
      <w:r>
        <w:rPr>
          <w:rFonts w:ascii="Times New Roman" w:hAnsi="Times New Roman"/>
        </w:rPr>
        <w:t>о</w:t>
      </w:r>
      <w:r w:rsidR="00C71846" w:rsidRPr="00295637">
        <w:rPr>
          <w:rFonts w:ascii="Times New Roman" w:hAnsi="Times New Roman"/>
        </w:rPr>
        <w:t xml:space="preserve"> </w:t>
      </w:r>
      <w:r>
        <w:rPr>
          <w:rFonts w:ascii="Times New Roman" w:hAnsi="Times New Roman"/>
        </w:rPr>
        <w:t>зеленим</w:t>
      </w:r>
      <w:r w:rsidR="00C71846" w:rsidRPr="00295637">
        <w:rPr>
          <w:rFonts w:ascii="Times New Roman" w:hAnsi="Times New Roman"/>
        </w:rPr>
        <w:t xml:space="preserve"> </w:t>
      </w:r>
      <w:r>
        <w:rPr>
          <w:rFonts w:ascii="Times New Roman" w:hAnsi="Times New Roman"/>
        </w:rPr>
        <w:t>технологијама</w:t>
      </w:r>
      <w:r w:rsidR="00C71846" w:rsidRPr="00295637">
        <w:rPr>
          <w:rFonts w:ascii="Times New Roman" w:hAnsi="Times New Roman"/>
        </w:rPr>
        <w:t xml:space="preserve"> </w:t>
      </w:r>
      <w:r>
        <w:rPr>
          <w:rFonts w:ascii="Times New Roman" w:hAnsi="Times New Roman"/>
        </w:rPr>
        <w:t>и</w:t>
      </w:r>
      <w:r w:rsidR="00C71846" w:rsidRPr="00295637">
        <w:rPr>
          <w:rFonts w:ascii="Times New Roman" w:hAnsi="Times New Roman"/>
        </w:rPr>
        <w:t xml:space="preserve"> </w:t>
      </w:r>
      <w:r>
        <w:rPr>
          <w:rFonts w:ascii="Times New Roman" w:hAnsi="Times New Roman"/>
        </w:rPr>
        <w:t>искључене</w:t>
      </w:r>
      <w:r w:rsidR="00C71846" w:rsidRPr="00295637">
        <w:rPr>
          <w:rFonts w:ascii="Times New Roman" w:hAnsi="Times New Roman"/>
        </w:rPr>
        <w:t xml:space="preserve"> </w:t>
      </w:r>
      <w:r>
        <w:rPr>
          <w:rFonts w:ascii="Times New Roman" w:hAnsi="Times New Roman"/>
        </w:rPr>
        <w:t>су</w:t>
      </w:r>
      <w:r w:rsidR="00C71846" w:rsidRPr="00295637">
        <w:rPr>
          <w:rFonts w:ascii="Times New Roman" w:hAnsi="Times New Roman"/>
        </w:rPr>
        <w:t xml:space="preserve"> </w:t>
      </w:r>
      <w:r>
        <w:rPr>
          <w:rFonts w:ascii="Times New Roman" w:hAnsi="Times New Roman"/>
        </w:rPr>
        <w:t>из</w:t>
      </w:r>
      <w:r w:rsidR="00C71846" w:rsidRPr="00295637">
        <w:rPr>
          <w:rFonts w:ascii="Times New Roman" w:hAnsi="Times New Roman"/>
        </w:rPr>
        <w:t xml:space="preserve"> </w:t>
      </w:r>
      <w:r>
        <w:rPr>
          <w:rFonts w:ascii="Times New Roman" w:hAnsi="Times New Roman"/>
        </w:rPr>
        <w:t>доношења</w:t>
      </w:r>
      <w:r w:rsidR="00C71846" w:rsidRPr="00295637">
        <w:rPr>
          <w:rFonts w:ascii="Times New Roman" w:hAnsi="Times New Roman"/>
        </w:rPr>
        <w:t xml:space="preserve"> </w:t>
      </w:r>
      <w:r>
        <w:rPr>
          <w:rFonts w:ascii="Times New Roman" w:hAnsi="Times New Roman"/>
        </w:rPr>
        <w:t>одлука</w:t>
      </w:r>
      <w:r w:rsidR="00C71846" w:rsidRPr="00295637">
        <w:rPr>
          <w:rFonts w:ascii="Times New Roman" w:hAnsi="Times New Roman"/>
        </w:rPr>
        <w:t xml:space="preserve"> </w:t>
      </w:r>
      <w:r>
        <w:rPr>
          <w:rFonts w:ascii="Times New Roman" w:hAnsi="Times New Roman"/>
        </w:rPr>
        <w:t>о</w:t>
      </w:r>
      <w:r w:rsidR="00C71846" w:rsidRPr="00295637">
        <w:rPr>
          <w:rFonts w:ascii="Times New Roman" w:hAnsi="Times New Roman"/>
        </w:rPr>
        <w:t xml:space="preserve"> </w:t>
      </w:r>
      <w:r>
        <w:rPr>
          <w:rFonts w:ascii="Times New Roman" w:hAnsi="Times New Roman"/>
        </w:rPr>
        <w:t>значајним</w:t>
      </w:r>
      <w:r w:rsidR="00C71846" w:rsidRPr="00295637">
        <w:rPr>
          <w:rFonts w:ascii="Times New Roman" w:hAnsi="Times New Roman"/>
        </w:rPr>
        <w:t xml:space="preserve"> </w:t>
      </w:r>
      <w:r>
        <w:rPr>
          <w:rFonts w:ascii="Times New Roman" w:hAnsi="Times New Roman"/>
        </w:rPr>
        <w:t>улагањима</w:t>
      </w:r>
      <w:r w:rsidR="00C71846" w:rsidRPr="00295637">
        <w:rPr>
          <w:rFonts w:ascii="Times New Roman" w:hAnsi="Times New Roman"/>
        </w:rPr>
        <w:t xml:space="preserve"> </w:t>
      </w:r>
      <w:r>
        <w:rPr>
          <w:rFonts w:ascii="Times New Roman" w:hAnsi="Times New Roman"/>
        </w:rPr>
        <w:t>у</w:t>
      </w:r>
      <w:r w:rsidR="00C71846" w:rsidRPr="00295637">
        <w:rPr>
          <w:rFonts w:ascii="Times New Roman" w:hAnsi="Times New Roman"/>
        </w:rPr>
        <w:t xml:space="preserve"> </w:t>
      </w:r>
      <w:r>
        <w:rPr>
          <w:rFonts w:ascii="Times New Roman" w:hAnsi="Times New Roman"/>
        </w:rPr>
        <w:t>домаћинству</w:t>
      </w:r>
      <w:r w:rsidR="00C71846" w:rsidRPr="00295637">
        <w:rPr>
          <w:rFonts w:ascii="Times New Roman" w:hAnsi="Times New Roman"/>
        </w:rPr>
        <w:t xml:space="preserve"> </w:t>
      </w:r>
      <w:r>
        <w:rPr>
          <w:rFonts w:ascii="Times New Roman" w:hAnsi="Times New Roman"/>
        </w:rPr>
        <w:t>јер</w:t>
      </w:r>
      <w:r w:rsidR="00C71846" w:rsidRPr="00295637">
        <w:rPr>
          <w:rFonts w:ascii="Times New Roman" w:hAnsi="Times New Roman"/>
        </w:rPr>
        <w:t xml:space="preserve"> </w:t>
      </w:r>
      <w:r>
        <w:rPr>
          <w:rFonts w:ascii="Times New Roman" w:hAnsi="Times New Roman"/>
        </w:rPr>
        <w:t>се</w:t>
      </w:r>
      <w:r w:rsidR="00C71846" w:rsidRPr="00295637">
        <w:rPr>
          <w:rFonts w:ascii="Times New Roman" w:hAnsi="Times New Roman"/>
        </w:rPr>
        <w:t xml:space="preserve"> </w:t>
      </w:r>
      <w:r>
        <w:rPr>
          <w:rFonts w:ascii="Times New Roman" w:hAnsi="Times New Roman"/>
        </w:rPr>
        <w:t>обично</w:t>
      </w:r>
      <w:r w:rsidR="00C71846" w:rsidRPr="00295637">
        <w:rPr>
          <w:rFonts w:ascii="Times New Roman" w:hAnsi="Times New Roman"/>
        </w:rPr>
        <w:t xml:space="preserve"> </w:t>
      </w:r>
      <w:r>
        <w:rPr>
          <w:rFonts w:ascii="Times New Roman" w:hAnsi="Times New Roman"/>
        </w:rPr>
        <w:t>не</w:t>
      </w:r>
      <w:r w:rsidR="00C71846" w:rsidRPr="00295637">
        <w:rPr>
          <w:rFonts w:ascii="Times New Roman" w:hAnsi="Times New Roman"/>
        </w:rPr>
        <w:t xml:space="preserve"> </w:t>
      </w:r>
      <w:r>
        <w:rPr>
          <w:rFonts w:ascii="Times New Roman" w:hAnsi="Times New Roman"/>
        </w:rPr>
        <w:t>сматрају</w:t>
      </w:r>
      <w:r w:rsidR="00C71846" w:rsidRPr="00295637">
        <w:rPr>
          <w:rFonts w:ascii="Times New Roman" w:hAnsi="Times New Roman"/>
        </w:rPr>
        <w:t xml:space="preserve"> </w:t>
      </w:r>
      <w:r>
        <w:rPr>
          <w:rFonts w:ascii="Times New Roman" w:hAnsi="Times New Roman"/>
        </w:rPr>
        <w:t>формалним</w:t>
      </w:r>
      <w:r w:rsidR="00C71846" w:rsidRPr="00295637">
        <w:rPr>
          <w:rFonts w:ascii="Times New Roman" w:hAnsi="Times New Roman"/>
        </w:rPr>
        <w:t xml:space="preserve"> </w:t>
      </w:r>
      <w:r>
        <w:rPr>
          <w:rFonts w:ascii="Times New Roman" w:hAnsi="Times New Roman"/>
        </w:rPr>
        <w:t>доносиоцима</w:t>
      </w:r>
      <w:r w:rsidR="00C71846" w:rsidRPr="00295637">
        <w:rPr>
          <w:rFonts w:ascii="Times New Roman" w:hAnsi="Times New Roman"/>
        </w:rPr>
        <w:t xml:space="preserve"> </w:t>
      </w:r>
      <w:r>
        <w:rPr>
          <w:rFonts w:ascii="Times New Roman" w:hAnsi="Times New Roman"/>
        </w:rPr>
        <w:t>прихода</w:t>
      </w:r>
      <w:r w:rsidR="00C71846" w:rsidRPr="00295637">
        <w:rPr>
          <w:rFonts w:ascii="Times New Roman" w:hAnsi="Times New Roman"/>
        </w:rPr>
        <w:t xml:space="preserve"> </w:t>
      </w:r>
      <w:r>
        <w:rPr>
          <w:rFonts w:ascii="Times New Roman" w:hAnsi="Times New Roman"/>
        </w:rPr>
        <w:t>или</w:t>
      </w:r>
      <w:r w:rsidR="00C71846" w:rsidRPr="00295637">
        <w:rPr>
          <w:rFonts w:ascii="Times New Roman" w:hAnsi="Times New Roman"/>
        </w:rPr>
        <w:t xml:space="preserve"> </w:t>
      </w:r>
      <w:r>
        <w:rPr>
          <w:rFonts w:ascii="Times New Roman" w:hAnsi="Times New Roman"/>
        </w:rPr>
        <w:t>главама</w:t>
      </w:r>
      <w:r w:rsidR="00C71846" w:rsidRPr="00295637">
        <w:rPr>
          <w:rFonts w:ascii="Times New Roman" w:hAnsi="Times New Roman"/>
        </w:rPr>
        <w:t xml:space="preserve"> </w:t>
      </w:r>
      <w:r>
        <w:rPr>
          <w:rFonts w:ascii="Times New Roman" w:hAnsi="Times New Roman"/>
        </w:rPr>
        <w:t>домаћинства</w:t>
      </w:r>
      <w:r w:rsidR="00C71846" w:rsidRPr="00295637">
        <w:t>.</w:t>
      </w:r>
    </w:p>
    <w:p w:rsidR="00C71846" w:rsidRPr="00295637" w:rsidRDefault="00C71846" w:rsidP="0086268D">
      <w:pPr>
        <w:jc w:val="both"/>
        <w:rPr>
          <w:rFonts w:ascii="Times New Roman" w:hAnsi="Times New Roman"/>
          <w:szCs w:val="24"/>
          <w:shd w:val="clear" w:color="auto" w:fill="FEFEFE"/>
        </w:rPr>
      </w:pPr>
      <w:r w:rsidRPr="00295637">
        <w:t xml:space="preserve"> </w:t>
      </w:r>
    </w:p>
    <w:p w:rsidR="006768EA" w:rsidRPr="00295637" w:rsidRDefault="00C6214E" w:rsidP="0086268D">
      <w:pPr>
        <w:jc w:val="both"/>
        <w:rPr>
          <w:rFonts w:ascii="Times New Roman" w:hAnsi="Times New Roman"/>
          <w:lang w:val="bs-Latn-BA"/>
        </w:rPr>
      </w:pPr>
      <w:r>
        <w:rPr>
          <w:rFonts w:ascii="Times New Roman" w:hAnsi="Times New Roman"/>
          <w:lang w:val="bs-Latn-BA"/>
        </w:rPr>
        <w:t>Босна</w:t>
      </w:r>
      <w:r w:rsidR="00C71846" w:rsidRPr="00295637">
        <w:rPr>
          <w:rFonts w:ascii="Times New Roman" w:hAnsi="Times New Roman"/>
          <w:lang w:val="bs-Latn-BA"/>
        </w:rPr>
        <w:t xml:space="preserve"> </w:t>
      </w:r>
      <w:r>
        <w:rPr>
          <w:rFonts w:ascii="Times New Roman" w:hAnsi="Times New Roman"/>
          <w:lang w:val="bs-Latn-BA"/>
        </w:rPr>
        <w:t>и</w:t>
      </w:r>
      <w:r w:rsidR="00C71846" w:rsidRPr="00295637">
        <w:rPr>
          <w:rFonts w:ascii="Times New Roman" w:hAnsi="Times New Roman"/>
          <w:lang w:val="bs-Latn-BA"/>
        </w:rPr>
        <w:t xml:space="preserve"> </w:t>
      </w:r>
      <w:r>
        <w:rPr>
          <w:rFonts w:ascii="Times New Roman" w:hAnsi="Times New Roman"/>
          <w:lang w:val="bs-Latn-BA"/>
        </w:rPr>
        <w:t>Херцеговина</w:t>
      </w:r>
      <w:r w:rsidR="00C71846" w:rsidRPr="00295637">
        <w:rPr>
          <w:rFonts w:ascii="Times New Roman" w:hAnsi="Times New Roman"/>
          <w:lang w:val="bs-Latn-BA"/>
        </w:rPr>
        <w:t xml:space="preserve"> </w:t>
      </w:r>
      <w:r>
        <w:rPr>
          <w:rFonts w:ascii="Times New Roman" w:hAnsi="Times New Roman"/>
          <w:lang w:val="bs-Latn-BA"/>
        </w:rPr>
        <w:t>је</w:t>
      </w:r>
      <w:r w:rsidR="00C71846" w:rsidRPr="00295637">
        <w:rPr>
          <w:rFonts w:ascii="Times New Roman" w:hAnsi="Times New Roman"/>
          <w:lang w:val="bs-Latn-BA"/>
        </w:rPr>
        <w:t xml:space="preserve"> </w:t>
      </w:r>
      <w:r>
        <w:rPr>
          <w:rFonts w:ascii="Times New Roman" w:hAnsi="Times New Roman"/>
          <w:lang w:val="bs-Latn-BA"/>
        </w:rPr>
        <w:t>као</w:t>
      </w:r>
      <w:r w:rsidR="00C71846" w:rsidRPr="00295637">
        <w:rPr>
          <w:rFonts w:ascii="Times New Roman" w:hAnsi="Times New Roman"/>
          <w:lang w:val="bs-Latn-BA"/>
        </w:rPr>
        <w:t xml:space="preserve"> </w:t>
      </w:r>
      <w:r>
        <w:rPr>
          <w:rFonts w:ascii="Times New Roman" w:hAnsi="Times New Roman"/>
          <w:lang w:val="bs-Latn-BA"/>
        </w:rPr>
        <w:t>потписница</w:t>
      </w:r>
      <w:r w:rsidR="00C71846" w:rsidRPr="00295637">
        <w:rPr>
          <w:rFonts w:ascii="Times New Roman" w:hAnsi="Times New Roman"/>
          <w:lang w:val="bs-Latn-BA"/>
        </w:rPr>
        <w:t xml:space="preserve"> </w:t>
      </w:r>
      <w:r>
        <w:rPr>
          <w:rFonts w:ascii="Times New Roman" w:hAnsi="Times New Roman"/>
          <w:lang w:val="bs-Latn-BA"/>
        </w:rPr>
        <w:t>УН</w:t>
      </w:r>
      <w:r w:rsidR="00C71846" w:rsidRPr="00295637">
        <w:rPr>
          <w:rFonts w:ascii="Times New Roman" w:hAnsi="Times New Roman"/>
          <w:lang w:val="bs-Latn-BA"/>
        </w:rPr>
        <w:t xml:space="preserve"> </w:t>
      </w:r>
      <w:r>
        <w:rPr>
          <w:rFonts w:ascii="Times New Roman" w:hAnsi="Times New Roman"/>
          <w:lang w:val="bs-Latn-BA"/>
        </w:rPr>
        <w:t>Оквирне</w:t>
      </w:r>
      <w:r w:rsidR="00C71846" w:rsidRPr="00295637">
        <w:rPr>
          <w:rFonts w:ascii="Times New Roman" w:hAnsi="Times New Roman"/>
          <w:lang w:val="bs-Latn-BA"/>
        </w:rPr>
        <w:t xml:space="preserve"> </w:t>
      </w:r>
      <w:r>
        <w:rPr>
          <w:rFonts w:ascii="Times New Roman" w:hAnsi="Times New Roman"/>
          <w:lang w:val="bs-Latn-BA"/>
        </w:rPr>
        <w:t>конвенцију</w:t>
      </w:r>
      <w:r w:rsidR="00C71846" w:rsidRPr="00295637">
        <w:rPr>
          <w:rFonts w:ascii="Times New Roman" w:hAnsi="Times New Roman"/>
          <w:lang w:val="bs-Latn-BA"/>
        </w:rPr>
        <w:t xml:space="preserve"> </w:t>
      </w:r>
      <w:r>
        <w:rPr>
          <w:rFonts w:ascii="Times New Roman" w:hAnsi="Times New Roman"/>
          <w:lang w:val="bs-Latn-BA"/>
        </w:rPr>
        <w:t>о</w:t>
      </w:r>
      <w:r w:rsidR="00050016">
        <w:rPr>
          <w:rFonts w:ascii="Times New Roman" w:hAnsi="Times New Roman"/>
          <w:lang w:val="bs-Latn-BA"/>
        </w:rPr>
        <w:t xml:space="preserve"> </w:t>
      </w:r>
      <w:r>
        <w:rPr>
          <w:rFonts w:ascii="Times New Roman" w:hAnsi="Times New Roman"/>
          <w:lang w:val="bs-Latn-BA"/>
        </w:rPr>
        <w:t>климатским</w:t>
      </w:r>
      <w:r w:rsidR="00050016">
        <w:rPr>
          <w:rFonts w:ascii="Times New Roman" w:hAnsi="Times New Roman"/>
          <w:lang w:val="bs-Latn-BA"/>
        </w:rPr>
        <w:t xml:space="preserve"> </w:t>
      </w:r>
      <w:r>
        <w:rPr>
          <w:rFonts w:ascii="Times New Roman" w:hAnsi="Times New Roman"/>
          <w:lang w:val="bs-Latn-BA"/>
        </w:rPr>
        <w:t>промјенама</w:t>
      </w:r>
      <w:r w:rsidR="00050016">
        <w:rPr>
          <w:rFonts w:ascii="Times New Roman" w:hAnsi="Times New Roman"/>
          <w:lang w:val="bs-Latn-BA"/>
        </w:rPr>
        <w:t xml:space="preserve"> (</w:t>
      </w:r>
      <w:r w:rsidR="00991DBA" w:rsidRPr="00991DBA">
        <w:rPr>
          <w:rFonts w:ascii="Times New Roman" w:hAnsi="Times New Roman"/>
          <w:i/>
          <w:lang w:val="bs-Latn-BA"/>
        </w:rPr>
        <w:t>UNFCC</w:t>
      </w:r>
      <w:r w:rsidR="003601A7">
        <w:rPr>
          <w:rFonts w:ascii="Times New Roman" w:hAnsi="Times New Roman"/>
          <w:i/>
          <w:lang w:val="bs-Latn-BA"/>
        </w:rPr>
        <w:t>C</w:t>
      </w:r>
      <w:r w:rsidR="00050016">
        <w:rPr>
          <w:rFonts w:ascii="Times New Roman" w:hAnsi="Times New Roman"/>
          <w:lang w:val="bs-Latn-BA"/>
        </w:rPr>
        <w:t>)</w:t>
      </w:r>
      <w:r w:rsidR="00C71846" w:rsidRPr="00295637">
        <w:rPr>
          <w:rFonts w:ascii="Times New Roman" w:hAnsi="Times New Roman"/>
          <w:lang w:val="bs-Latn-BA"/>
        </w:rPr>
        <w:t xml:space="preserve"> </w:t>
      </w:r>
      <w:r>
        <w:rPr>
          <w:rFonts w:ascii="Times New Roman" w:hAnsi="Times New Roman"/>
          <w:lang w:val="bs-Latn-BA"/>
        </w:rPr>
        <w:t>препознала</w:t>
      </w:r>
      <w:r w:rsidR="00C71846" w:rsidRPr="00295637">
        <w:rPr>
          <w:rFonts w:ascii="Times New Roman" w:hAnsi="Times New Roman"/>
          <w:lang w:val="bs-Latn-BA"/>
        </w:rPr>
        <w:t xml:space="preserve"> </w:t>
      </w:r>
      <w:r>
        <w:rPr>
          <w:rFonts w:ascii="Times New Roman" w:hAnsi="Times New Roman"/>
          <w:lang w:val="bs-Latn-BA"/>
        </w:rPr>
        <w:t>важност</w:t>
      </w:r>
      <w:r w:rsidR="00C71846" w:rsidRPr="00295637">
        <w:rPr>
          <w:rFonts w:ascii="Times New Roman" w:hAnsi="Times New Roman"/>
          <w:lang w:val="bs-Latn-BA"/>
        </w:rPr>
        <w:t xml:space="preserve"> </w:t>
      </w:r>
      <w:r>
        <w:rPr>
          <w:rFonts w:ascii="Times New Roman" w:hAnsi="Times New Roman"/>
          <w:lang w:val="bs-Latn-BA"/>
        </w:rPr>
        <w:t>равноправног</w:t>
      </w:r>
      <w:r w:rsidR="00C71846" w:rsidRPr="00295637">
        <w:rPr>
          <w:rFonts w:ascii="Times New Roman" w:hAnsi="Times New Roman"/>
          <w:lang w:val="bs-Latn-BA"/>
        </w:rPr>
        <w:t xml:space="preserve"> </w:t>
      </w:r>
      <w:r>
        <w:rPr>
          <w:rFonts w:ascii="Times New Roman" w:hAnsi="Times New Roman"/>
          <w:lang w:val="bs-Latn-BA"/>
        </w:rPr>
        <w:t>укључивања</w:t>
      </w:r>
      <w:r w:rsidR="00C71846" w:rsidRPr="00295637">
        <w:rPr>
          <w:rFonts w:ascii="Times New Roman" w:hAnsi="Times New Roman"/>
          <w:lang w:val="bs-Latn-BA"/>
        </w:rPr>
        <w:t xml:space="preserve"> </w:t>
      </w:r>
      <w:r>
        <w:rPr>
          <w:rFonts w:ascii="Times New Roman" w:hAnsi="Times New Roman"/>
          <w:lang w:val="bs-Latn-BA"/>
        </w:rPr>
        <w:t>жена</w:t>
      </w:r>
      <w:r w:rsidR="00C71846" w:rsidRPr="00295637">
        <w:rPr>
          <w:rFonts w:ascii="Times New Roman" w:hAnsi="Times New Roman"/>
          <w:lang w:val="bs-Latn-BA"/>
        </w:rPr>
        <w:t xml:space="preserve"> </w:t>
      </w:r>
      <w:r>
        <w:rPr>
          <w:rFonts w:ascii="Times New Roman" w:hAnsi="Times New Roman"/>
          <w:lang w:val="bs-Latn-BA"/>
        </w:rPr>
        <w:t>и</w:t>
      </w:r>
      <w:r w:rsidR="00C71846" w:rsidRPr="00295637">
        <w:rPr>
          <w:rFonts w:ascii="Times New Roman" w:hAnsi="Times New Roman"/>
          <w:lang w:val="bs-Latn-BA"/>
        </w:rPr>
        <w:t xml:space="preserve"> </w:t>
      </w:r>
      <w:r>
        <w:rPr>
          <w:rFonts w:ascii="Times New Roman" w:hAnsi="Times New Roman"/>
          <w:lang w:val="bs-Latn-BA"/>
        </w:rPr>
        <w:t>мушкараца</w:t>
      </w:r>
      <w:r w:rsidR="00C71846" w:rsidRPr="00295637">
        <w:rPr>
          <w:rFonts w:ascii="Times New Roman" w:hAnsi="Times New Roman"/>
          <w:lang w:val="bs-Latn-BA"/>
        </w:rPr>
        <w:t xml:space="preserve"> </w:t>
      </w:r>
      <w:r>
        <w:rPr>
          <w:rFonts w:ascii="Times New Roman" w:hAnsi="Times New Roman"/>
          <w:lang w:val="bs-Latn-BA"/>
        </w:rPr>
        <w:t>у</w:t>
      </w:r>
      <w:r w:rsidR="00C71846" w:rsidRPr="00295637">
        <w:rPr>
          <w:rFonts w:ascii="Times New Roman" w:hAnsi="Times New Roman"/>
          <w:lang w:val="bs-Latn-BA"/>
        </w:rPr>
        <w:t xml:space="preserve"> </w:t>
      </w:r>
      <w:r>
        <w:rPr>
          <w:rFonts w:ascii="Times New Roman" w:hAnsi="Times New Roman"/>
          <w:lang w:val="bs-Latn-BA"/>
        </w:rPr>
        <w:t>процесе</w:t>
      </w:r>
      <w:r w:rsidR="00C71846" w:rsidRPr="00295637">
        <w:rPr>
          <w:rFonts w:ascii="Times New Roman" w:hAnsi="Times New Roman"/>
          <w:lang w:val="bs-Latn-BA"/>
        </w:rPr>
        <w:t xml:space="preserve"> </w:t>
      </w:r>
      <w:r w:rsidR="00991DBA" w:rsidRPr="00991DBA">
        <w:rPr>
          <w:rFonts w:ascii="Times New Roman" w:hAnsi="Times New Roman"/>
          <w:i/>
          <w:lang w:val="bs-Latn-BA"/>
        </w:rPr>
        <w:t>UNFCC</w:t>
      </w:r>
      <w:r w:rsidR="003601A7">
        <w:rPr>
          <w:rFonts w:ascii="Times New Roman" w:hAnsi="Times New Roman"/>
          <w:i/>
          <w:lang w:val="bs-Latn-BA"/>
        </w:rPr>
        <w:t>C</w:t>
      </w:r>
      <w:r w:rsidR="00C71846" w:rsidRPr="00295637">
        <w:rPr>
          <w:rFonts w:ascii="Times New Roman" w:hAnsi="Times New Roman"/>
          <w:lang w:val="bs-Latn-BA"/>
        </w:rPr>
        <w:t>-</w:t>
      </w:r>
      <w:r>
        <w:rPr>
          <w:rFonts w:ascii="Times New Roman" w:hAnsi="Times New Roman"/>
          <w:lang w:val="bs-Latn-BA"/>
        </w:rPr>
        <w:t>а</w:t>
      </w:r>
      <w:r w:rsidR="00C71846" w:rsidRPr="00295637">
        <w:rPr>
          <w:rFonts w:ascii="Times New Roman" w:hAnsi="Times New Roman"/>
          <w:lang w:val="bs-Latn-BA"/>
        </w:rPr>
        <w:t xml:space="preserve"> </w:t>
      </w:r>
      <w:r>
        <w:rPr>
          <w:rFonts w:ascii="Times New Roman" w:hAnsi="Times New Roman"/>
          <w:lang w:val="bs-Latn-BA"/>
        </w:rPr>
        <w:t>и</w:t>
      </w:r>
      <w:r w:rsidR="00C71846" w:rsidRPr="00295637">
        <w:rPr>
          <w:rFonts w:ascii="Times New Roman" w:hAnsi="Times New Roman"/>
          <w:lang w:val="bs-Latn-BA"/>
        </w:rPr>
        <w:t xml:space="preserve"> </w:t>
      </w:r>
      <w:r>
        <w:rPr>
          <w:rFonts w:ascii="Times New Roman" w:hAnsi="Times New Roman"/>
          <w:lang w:val="bs-Latn-BA"/>
        </w:rPr>
        <w:t>у</w:t>
      </w:r>
      <w:r w:rsidR="00C71846" w:rsidRPr="00295637">
        <w:rPr>
          <w:rFonts w:ascii="Times New Roman" w:hAnsi="Times New Roman"/>
          <w:lang w:val="bs-Latn-BA"/>
        </w:rPr>
        <w:t xml:space="preserve"> </w:t>
      </w:r>
      <w:r>
        <w:rPr>
          <w:rFonts w:ascii="Times New Roman" w:hAnsi="Times New Roman"/>
          <w:lang w:val="bs-Latn-BA"/>
        </w:rPr>
        <w:t>развој</w:t>
      </w:r>
      <w:r w:rsidR="00C71846" w:rsidRPr="00295637">
        <w:rPr>
          <w:rFonts w:ascii="Times New Roman" w:hAnsi="Times New Roman"/>
          <w:lang w:val="bs-Latn-BA"/>
        </w:rPr>
        <w:t xml:space="preserve"> </w:t>
      </w:r>
      <w:r>
        <w:rPr>
          <w:rFonts w:ascii="Times New Roman" w:hAnsi="Times New Roman"/>
          <w:lang w:val="bs-Latn-BA"/>
        </w:rPr>
        <w:t>и</w:t>
      </w:r>
      <w:r w:rsidR="00C71846" w:rsidRPr="00295637">
        <w:rPr>
          <w:rFonts w:ascii="Times New Roman" w:hAnsi="Times New Roman"/>
          <w:lang w:val="bs-Latn-BA"/>
        </w:rPr>
        <w:t xml:space="preserve"> </w:t>
      </w:r>
      <w:r w:rsidR="00991DBA">
        <w:rPr>
          <w:rFonts w:ascii="Times New Roman" w:hAnsi="Times New Roman"/>
          <w:lang w:val="sr-Cyrl-BA"/>
        </w:rPr>
        <w:t>спровођењу</w:t>
      </w:r>
      <w:r w:rsidR="00C71846" w:rsidRPr="00295637">
        <w:rPr>
          <w:rFonts w:ascii="Times New Roman" w:hAnsi="Times New Roman"/>
          <w:lang w:val="bs-Latn-BA"/>
        </w:rPr>
        <w:t xml:space="preserve"> </w:t>
      </w:r>
      <w:r>
        <w:rPr>
          <w:rFonts w:ascii="Times New Roman" w:hAnsi="Times New Roman"/>
          <w:lang w:val="bs-Latn-BA"/>
        </w:rPr>
        <w:t>климатских</w:t>
      </w:r>
      <w:r w:rsidR="00C71846" w:rsidRPr="00295637">
        <w:rPr>
          <w:rFonts w:ascii="Times New Roman" w:hAnsi="Times New Roman"/>
          <w:lang w:val="bs-Latn-BA"/>
        </w:rPr>
        <w:t xml:space="preserve"> </w:t>
      </w:r>
      <w:r>
        <w:rPr>
          <w:rFonts w:ascii="Times New Roman" w:hAnsi="Times New Roman"/>
          <w:lang w:val="bs-Latn-BA"/>
        </w:rPr>
        <w:t>политика</w:t>
      </w:r>
      <w:r w:rsidR="00C71846" w:rsidRPr="00295637">
        <w:rPr>
          <w:rFonts w:ascii="Times New Roman" w:hAnsi="Times New Roman"/>
          <w:lang w:val="bs-Latn-BA"/>
        </w:rPr>
        <w:t xml:space="preserve"> </w:t>
      </w:r>
      <w:r>
        <w:rPr>
          <w:rFonts w:ascii="Times New Roman" w:hAnsi="Times New Roman"/>
          <w:lang w:val="bs-Latn-BA"/>
        </w:rPr>
        <w:t>које</w:t>
      </w:r>
      <w:r w:rsidR="00C71846" w:rsidRPr="00295637">
        <w:rPr>
          <w:rFonts w:ascii="Times New Roman" w:hAnsi="Times New Roman"/>
          <w:lang w:val="bs-Latn-BA"/>
        </w:rPr>
        <w:t xml:space="preserve"> </w:t>
      </w:r>
      <w:r>
        <w:rPr>
          <w:rFonts w:ascii="Times New Roman" w:hAnsi="Times New Roman"/>
          <w:lang w:val="bs-Latn-BA"/>
        </w:rPr>
        <w:t>су</w:t>
      </w:r>
      <w:r w:rsidR="00C71846" w:rsidRPr="00295637">
        <w:rPr>
          <w:rFonts w:ascii="Times New Roman" w:hAnsi="Times New Roman"/>
          <w:lang w:val="bs-Latn-BA"/>
        </w:rPr>
        <w:t xml:space="preserve"> </w:t>
      </w:r>
      <w:r>
        <w:rPr>
          <w:rFonts w:ascii="Times New Roman" w:hAnsi="Times New Roman"/>
          <w:lang w:val="bs-Latn-BA"/>
        </w:rPr>
        <w:t>родно</w:t>
      </w:r>
      <w:r w:rsidR="00C71846" w:rsidRPr="00295637">
        <w:rPr>
          <w:rFonts w:ascii="Times New Roman" w:hAnsi="Times New Roman"/>
          <w:lang w:val="bs-Latn-BA"/>
        </w:rPr>
        <w:t xml:space="preserve"> </w:t>
      </w:r>
      <w:r>
        <w:rPr>
          <w:rFonts w:ascii="Times New Roman" w:hAnsi="Times New Roman"/>
          <w:lang w:val="bs-Latn-BA"/>
        </w:rPr>
        <w:t>одговорне</w:t>
      </w:r>
      <w:r w:rsidR="00C71846" w:rsidRPr="00295637">
        <w:rPr>
          <w:rFonts w:ascii="Times New Roman" w:hAnsi="Times New Roman"/>
          <w:lang w:val="bs-Latn-BA"/>
        </w:rPr>
        <w:t xml:space="preserve">. </w:t>
      </w:r>
      <w:r>
        <w:rPr>
          <w:rFonts w:ascii="Times New Roman" w:hAnsi="Times New Roman"/>
          <w:lang w:val="bs-Latn-BA"/>
        </w:rPr>
        <w:t>БиХ</w:t>
      </w:r>
      <w:r w:rsidR="00C71846" w:rsidRPr="00295637">
        <w:rPr>
          <w:rFonts w:ascii="Times New Roman" w:hAnsi="Times New Roman"/>
          <w:lang w:val="bs-Latn-BA"/>
        </w:rPr>
        <w:t xml:space="preserve"> </w:t>
      </w:r>
      <w:r>
        <w:rPr>
          <w:rFonts w:ascii="Times New Roman" w:hAnsi="Times New Roman"/>
          <w:lang w:val="bs-Latn-BA"/>
        </w:rPr>
        <w:t>је</w:t>
      </w:r>
      <w:r w:rsidR="00C71846" w:rsidRPr="00295637">
        <w:rPr>
          <w:rFonts w:ascii="Times New Roman" w:hAnsi="Times New Roman"/>
          <w:lang w:val="bs-Latn-BA"/>
        </w:rPr>
        <w:t xml:space="preserve"> </w:t>
      </w:r>
      <w:r>
        <w:rPr>
          <w:rFonts w:ascii="Times New Roman" w:hAnsi="Times New Roman"/>
          <w:lang w:val="bs-Latn-BA"/>
        </w:rPr>
        <w:t>једна</w:t>
      </w:r>
      <w:r w:rsidR="00C71846" w:rsidRPr="00295637">
        <w:rPr>
          <w:rFonts w:ascii="Times New Roman" w:hAnsi="Times New Roman"/>
          <w:lang w:val="bs-Latn-BA"/>
        </w:rPr>
        <w:t xml:space="preserve"> </w:t>
      </w:r>
      <w:r>
        <w:rPr>
          <w:rFonts w:ascii="Times New Roman" w:hAnsi="Times New Roman"/>
          <w:lang w:val="bs-Latn-BA"/>
        </w:rPr>
        <w:t>од</w:t>
      </w:r>
      <w:r w:rsidR="00C71846" w:rsidRPr="00295637">
        <w:rPr>
          <w:rFonts w:ascii="Times New Roman" w:hAnsi="Times New Roman"/>
          <w:lang w:val="bs-Latn-BA"/>
        </w:rPr>
        <w:t xml:space="preserve"> 41 </w:t>
      </w:r>
      <w:r>
        <w:rPr>
          <w:rFonts w:ascii="Times New Roman" w:hAnsi="Times New Roman"/>
          <w:lang w:val="bs-Latn-BA"/>
        </w:rPr>
        <w:t>земље</w:t>
      </w:r>
      <w:r w:rsidR="00C71846" w:rsidRPr="00295637">
        <w:rPr>
          <w:rFonts w:ascii="Times New Roman" w:hAnsi="Times New Roman"/>
          <w:lang w:val="bs-Latn-BA"/>
        </w:rPr>
        <w:t xml:space="preserve"> </w:t>
      </w:r>
      <w:r>
        <w:rPr>
          <w:rFonts w:ascii="Times New Roman" w:hAnsi="Times New Roman"/>
          <w:lang w:val="bs-Latn-BA"/>
        </w:rPr>
        <w:t>у</w:t>
      </w:r>
      <w:r w:rsidR="00C71846" w:rsidRPr="00295637">
        <w:rPr>
          <w:rFonts w:ascii="Times New Roman" w:hAnsi="Times New Roman"/>
          <w:lang w:val="bs-Latn-BA"/>
        </w:rPr>
        <w:t xml:space="preserve"> </w:t>
      </w:r>
      <w:r>
        <w:rPr>
          <w:rFonts w:ascii="Times New Roman" w:hAnsi="Times New Roman"/>
          <w:lang w:val="bs-Latn-BA"/>
        </w:rPr>
        <w:t>свијету</w:t>
      </w:r>
      <w:r w:rsidR="00C71846" w:rsidRPr="00295637">
        <w:rPr>
          <w:rFonts w:ascii="Times New Roman" w:hAnsi="Times New Roman"/>
          <w:lang w:val="bs-Latn-BA"/>
        </w:rPr>
        <w:t xml:space="preserve">, </w:t>
      </w:r>
      <w:r>
        <w:rPr>
          <w:rFonts w:ascii="Times New Roman" w:hAnsi="Times New Roman"/>
          <w:lang w:val="bs-Latn-BA"/>
        </w:rPr>
        <w:t>а</w:t>
      </w:r>
      <w:r w:rsidR="00C71846" w:rsidRPr="00295637">
        <w:rPr>
          <w:rFonts w:ascii="Times New Roman" w:hAnsi="Times New Roman"/>
          <w:lang w:val="bs-Latn-BA"/>
        </w:rPr>
        <w:t xml:space="preserve"> </w:t>
      </w:r>
      <w:r>
        <w:rPr>
          <w:rFonts w:ascii="Times New Roman" w:hAnsi="Times New Roman"/>
          <w:lang w:val="bs-Latn-BA"/>
        </w:rPr>
        <w:t>друга</w:t>
      </w:r>
      <w:r w:rsidR="00C71846" w:rsidRPr="00295637">
        <w:rPr>
          <w:rFonts w:ascii="Times New Roman" w:hAnsi="Times New Roman"/>
          <w:lang w:val="bs-Latn-BA"/>
        </w:rPr>
        <w:t xml:space="preserve"> </w:t>
      </w:r>
      <w:r>
        <w:rPr>
          <w:rFonts w:ascii="Times New Roman" w:hAnsi="Times New Roman"/>
          <w:lang w:val="bs-Latn-BA"/>
        </w:rPr>
        <w:t>на</w:t>
      </w:r>
      <w:r w:rsidR="00C71846" w:rsidRPr="00295637">
        <w:rPr>
          <w:rFonts w:ascii="Times New Roman" w:hAnsi="Times New Roman"/>
          <w:lang w:val="bs-Latn-BA"/>
        </w:rPr>
        <w:t xml:space="preserve"> </w:t>
      </w:r>
      <w:r>
        <w:rPr>
          <w:rFonts w:ascii="Times New Roman" w:hAnsi="Times New Roman"/>
          <w:lang w:val="bs-Latn-BA"/>
        </w:rPr>
        <w:t>Западном</w:t>
      </w:r>
      <w:r w:rsidR="00C71846" w:rsidRPr="00295637">
        <w:rPr>
          <w:rFonts w:ascii="Times New Roman" w:hAnsi="Times New Roman"/>
          <w:lang w:val="bs-Latn-BA"/>
        </w:rPr>
        <w:t xml:space="preserve"> </w:t>
      </w:r>
      <w:r>
        <w:rPr>
          <w:rFonts w:ascii="Times New Roman" w:hAnsi="Times New Roman"/>
          <w:lang w:val="bs-Latn-BA"/>
        </w:rPr>
        <w:t>Балкану</w:t>
      </w:r>
      <w:r w:rsidR="00C71846" w:rsidRPr="00295637">
        <w:rPr>
          <w:rFonts w:ascii="Times New Roman" w:hAnsi="Times New Roman"/>
          <w:lang w:val="bs-Latn-BA"/>
        </w:rPr>
        <w:t xml:space="preserve">, </w:t>
      </w:r>
      <w:r>
        <w:rPr>
          <w:rFonts w:ascii="Times New Roman" w:hAnsi="Times New Roman"/>
          <w:lang w:val="bs-Latn-BA"/>
        </w:rPr>
        <w:t>која</w:t>
      </w:r>
      <w:r w:rsidR="00C71846" w:rsidRPr="00295637">
        <w:rPr>
          <w:rFonts w:ascii="Times New Roman" w:hAnsi="Times New Roman"/>
          <w:lang w:val="bs-Latn-BA"/>
        </w:rPr>
        <w:t xml:space="preserve"> </w:t>
      </w:r>
      <w:r>
        <w:rPr>
          <w:rFonts w:ascii="Times New Roman" w:hAnsi="Times New Roman"/>
          <w:lang w:val="bs-Latn-BA"/>
        </w:rPr>
        <w:t>је</w:t>
      </w:r>
      <w:r w:rsidR="00C71846" w:rsidRPr="00295637">
        <w:rPr>
          <w:rFonts w:ascii="Times New Roman" w:hAnsi="Times New Roman"/>
          <w:lang w:val="bs-Latn-BA"/>
        </w:rPr>
        <w:t xml:space="preserve"> </w:t>
      </w:r>
      <w:r>
        <w:rPr>
          <w:rFonts w:ascii="Times New Roman" w:hAnsi="Times New Roman"/>
          <w:lang w:val="bs-Latn-BA"/>
        </w:rPr>
        <w:t>финализирала</w:t>
      </w:r>
      <w:r w:rsidR="00C71846" w:rsidRPr="00295637">
        <w:rPr>
          <w:rFonts w:ascii="Times New Roman" w:hAnsi="Times New Roman"/>
          <w:lang w:val="bs-Latn-BA"/>
        </w:rPr>
        <w:t xml:space="preserve"> </w:t>
      </w:r>
      <w:r>
        <w:rPr>
          <w:rFonts w:ascii="Times New Roman" w:hAnsi="Times New Roman"/>
          <w:lang w:val="bs-Latn-BA"/>
        </w:rPr>
        <w:t>и</w:t>
      </w:r>
      <w:r w:rsidR="00C71846" w:rsidRPr="00295637">
        <w:rPr>
          <w:rFonts w:ascii="Times New Roman" w:hAnsi="Times New Roman"/>
          <w:lang w:val="bs-Latn-BA"/>
        </w:rPr>
        <w:t xml:space="preserve"> </w:t>
      </w:r>
      <w:r>
        <w:rPr>
          <w:rFonts w:ascii="Times New Roman" w:hAnsi="Times New Roman"/>
          <w:lang w:val="bs-Latn-BA"/>
        </w:rPr>
        <w:t>доставила</w:t>
      </w:r>
      <w:r w:rsidR="00C71846" w:rsidRPr="00295637">
        <w:rPr>
          <w:rFonts w:ascii="Times New Roman" w:hAnsi="Times New Roman"/>
          <w:lang w:val="bs-Latn-BA"/>
        </w:rPr>
        <w:t xml:space="preserve"> </w:t>
      </w:r>
      <w:r>
        <w:rPr>
          <w:rFonts w:ascii="Times New Roman" w:hAnsi="Times New Roman"/>
          <w:lang w:val="bs-Latn-BA"/>
        </w:rPr>
        <w:t>свој</w:t>
      </w:r>
      <w:r w:rsidR="00C71846" w:rsidRPr="00295637">
        <w:rPr>
          <w:rFonts w:ascii="Times New Roman" w:hAnsi="Times New Roman"/>
          <w:lang w:val="bs-Latn-BA"/>
        </w:rPr>
        <w:t xml:space="preserve"> </w:t>
      </w:r>
      <w:r>
        <w:rPr>
          <w:rFonts w:ascii="Times New Roman" w:hAnsi="Times New Roman"/>
          <w:lang w:val="bs-Latn-BA"/>
        </w:rPr>
        <w:t>План</w:t>
      </w:r>
      <w:r w:rsidR="00C71846" w:rsidRPr="00295637">
        <w:rPr>
          <w:rFonts w:ascii="Times New Roman" w:hAnsi="Times New Roman"/>
          <w:lang w:val="bs-Latn-BA"/>
        </w:rPr>
        <w:t xml:space="preserve"> </w:t>
      </w:r>
      <w:r>
        <w:rPr>
          <w:rFonts w:ascii="Times New Roman" w:hAnsi="Times New Roman"/>
          <w:lang w:val="bs-Latn-BA"/>
        </w:rPr>
        <w:t>прилагођавања</w:t>
      </w:r>
      <w:r w:rsidR="00C71846" w:rsidRPr="00295637">
        <w:rPr>
          <w:rFonts w:ascii="Times New Roman" w:hAnsi="Times New Roman"/>
          <w:lang w:val="bs-Latn-BA"/>
        </w:rPr>
        <w:t xml:space="preserve"> </w:t>
      </w:r>
      <w:r>
        <w:rPr>
          <w:rFonts w:ascii="Times New Roman" w:hAnsi="Times New Roman"/>
          <w:lang w:val="bs-Latn-BA"/>
        </w:rPr>
        <w:t>на</w:t>
      </w:r>
      <w:r w:rsidR="00C71846" w:rsidRPr="00295637">
        <w:rPr>
          <w:rFonts w:ascii="Times New Roman" w:hAnsi="Times New Roman"/>
          <w:lang w:val="bs-Latn-BA"/>
        </w:rPr>
        <w:t xml:space="preserve"> </w:t>
      </w:r>
      <w:r>
        <w:rPr>
          <w:rFonts w:ascii="Times New Roman" w:hAnsi="Times New Roman"/>
          <w:lang w:val="bs-Latn-BA"/>
        </w:rPr>
        <w:t>климатске</w:t>
      </w:r>
      <w:r w:rsidR="00C71846" w:rsidRPr="00295637">
        <w:rPr>
          <w:rFonts w:ascii="Times New Roman" w:hAnsi="Times New Roman"/>
          <w:lang w:val="bs-Latn-BA"/>
        </w:rPr>
        <w:t xml:space="preserve"> </w:t>
      </w:r>
      <w:r>
        <w:rPr>
          <w:rFonts w:ascii="Times New Roman" w:hAnsi="Times New Roman"/>
          <w:lang w:val="bs-Latn-BA"/>
        </w:rPr>
        <w:t>промјене</w:t>
      </w:r>
      <w:r w:rsidR="00C71846" w:rsidRPr="00295637">
        <w:rPr>
          <w:rFonts w:ascii="Times New Roman" w:hAnsi="Times New Roman"/>
          <w:lang w:val="bs-Latn-BA"/>
        </w:rPr>
        <w:t xml:space="preserve"> (</w:t>
      </w:r>
      <w:r w:rsidR="00991DBA" w:rsidRPr="00991DBA">
        <w:rPr>
          <w:rFonts w:ascii="Times New Roman" w:hAnsi="Times New Roman"/>
          <w:i/>
          <w:lang w:val="bs-Latn-BA"/>
        </w:rPr>
        <w:t>NAP</w:t>
      </w:r>
      <w:r w:rsidR="00C71846" w:rsidRPr="00295637">
        <w:rPr>
          <w:rFonts w:ascii="Times New Roman" w:hAnsi="Times New Roman"/>
          <w:lang w:val="bs-Latn-BA"/>
        </w:rPr>
        <w:t xml:space="preserve">) </w:t>
      </w:r>
      <w:r>
        <w:rPr>
          <w:rFonts w:ascii="Times New Roman" w:hAnsi="Times New Roman"/>
          <w:lang w:val="bs-Latn-BA"/>
        </w:rPr>
        <w:t>Оквирној</w:t>
      </w:r>
      <w:r w:rsidR="00C71846" w:rsidRPr="00295637">
        <w:rPr>
          <w:rFonts w:ascii="Times New Roman" w:hAnsi="Times New Roman"/>
          <w:lang w:val="bs-Latn-BA"/>
        </w:rPr>
        <w:t xml:space="preserve"> </w:t>
      </w:r>
      <w:r>
        <w:rPr>
          <w:rFonts w:ascii="Times New Roman" w:hAnsi="Times New Roman"/>
          <w:lang w:val="bs-Latn-BA"/>
        </w:rPr>
        <w:t>конвенцији</w:t>
      </w:r>
      <w:r w:rsidR="00C71846" w:rsidRPr="00295637">
        <w:rPr>
          <w:rFonts w:ascii="Times New Roman" w:hAnsi="Times New Roman"/>
          <w:lang w:val="bs-Latn-BA"/>
        </w:rPr>
        <w:t xml:space="preserve"> </w:t>
      </w:r>
      <w:r>
        <w:rPr>
          <w:rFonts w:ascii="Times New Roman" w:hAnsi="Times New Roman"/>
          <w:lang w:val="bs-Latn-BA"/>
        </w:rPr>
        <w:t>УН</w:t>
      </w:r>
      <w:r w:rsidR="00C71846" w:rsidRPr="00295637">
        <w:rPr>
          <w:rFonts w:ascii="Times New Roman" w:hAnsi="Times New Roman"/>
          <w:lang w:val="bs-Latn-BA"/>
        </w:rPr>
        <w:t>-</w:t>
      </w:r>
      <w:r>
        <w:rPr>
          <w:rFonts w:ascii="Times New Roman" w:hAnsi="Times New Roman"/>
          <w:lang w:val="bs-Latn-BA"/>
        </w:rPr>
        <w:t>а</w:t>
      </w:r>
      <w:r w:rsidR="00C71846" w:rsidRPr="00295637">
        <w:rPr>
          <w:rFonts w:ascii="Times New Roman" w:hAnsi="Times New Roman"/>
          <w:lang w:val="bs-Latn-BA"/>
        </w:rPr>
        <w:t xml:space="preserve"> </w:t>
      </w:r>
      <w:r>
        <w:rPr>
          <w:rFonts w:ascii="Times New Roman" w:hAnsi="Times New Roman"/>
          <w:lang w:val="bs-Latn-BA"/>
        </w:rPr>
        <w:t>о</w:t>
      </w:r>
      <w:r w:rsidR="00C71846" w:rsidRPr="00295637">
        <w:rPr>
          <w:rFonts w:ascii="Times New Roman" w:hAnsi="Times New Roman"/>
          <w:lang w:val="bs-Latn-BA"/>
        </w:rPr>
        <w:t xml:space="preserve"> </w:t>
      </w:r>
      <w:r>
        <w:rPr>
          <w:rFonts w:ascii="Times New Roman" w:hAnsi="Times New Roman"/>
          <w:lang w:val="bs-Latn-BA"/>
        </w:rPr>
        <w:t>климатским</w:t>
      </w:r>
      <w:r w:rsidR="00C71846" w:rsidRPr="00295637">
        <w:rPr>
          <w:rFonts w:ascii="Times New Roman" w:hAnsi="Times New Roman"/>
          <w:lang w:val="bs-Latn-BA"/>
        </w:rPr>
        <w:t xml:space="preserve"> </w:t>
      </w:r>
      <w:r>
        <w:rPr>
          <w:rFonts w:ascii="Times New Roman" w:hAnsi="Times New Roman"/>
          <w:lang w:val="bs-Latn-BA"/>
        </w:rPr>
        <w:t>промјенама</w:t>
      </w:r>
      <w:r w:rsidR="00C71846" w:rsidRPr="00295637">
        <w:rPr>
          <w:rFonts w:ascii="Times New Roman" w:hAnsi="Times New Roman"/>
          <w:lang w:val="bs-Latn-BA"/>
        </w:rPr>
        <w:t>.</w:t>
      </w:r>
    </w:p>
    <w:p w:rsidR="00240048" w:rsidRPr="00295637" w:rsidRDefault="00240048" w:rsidP="0086268D">
      <w:pPr>
        <w:jc w:val="both"/>
        <w:rPr>
          <w:rFonts w:ascii="Times New Roman" w:hAnsi="Times New Roman"/>
          <w:lang w:val="bs-Latn-BA"/>
        </w:rPr>
      </w:pPr>
    </w:p>
    <w:p w:rsidR="00DB1A4A" w:rsidRPr="00295637" w:rsidRDefault="00C6214E" w:rsidP="0086268D">
      <w:pPr>
        <w:pStyle w:val="NormalWeb"/>
        <w:spacing w:before="0" w:beforeAutospacing="0" w:after="0" w:afterAutospacing="0"/>
        <w:jc w:val="both"/>
        <w:rPr>
          <w:rFonts w:ascii="Roboto" w:hAnsi="Roboto"/>
        </w:rPr>
      </w:pPr>
      <w:r>
        <w:rPr>
          <w:rFonts w:ascii="Roboto" w:hAnsi="Roboto"/>
        </w:rPr>
        <w:t>Бројне</w:t>
      </w:r>
      <w:r w:rsidR="00F359D5" w:rsidRPr="00295637">
        <w:rPr>
          <w:rFonts w:ascii="Roboto" w:hAnsi="Roboto"/>
        </w:rPr>
        <w:t xml:space="preserve"> </w:t>
      </w:r>
      <w:r>
        <w:rPr>
          <w:rFonts w:ascii="Roboto" w:hAnsi="Roboto"/>
        </w:rPr>
        <w:t>анализе</w:t>
      </w:r>
      <w:r w:rsidR="00F359D5" w:rsidRPr="00295637">
        <w:rPr>
          <w:rFonts w:ascii="Roboto" w:hAnsi="Roboto"/>
        </w:rPr>
        <w:t xml:space="preserve"> </w:t>
      </w:r>
      <w:r>
        <w:rPr>
          <w:rFonts w:ascii="Roboto" w:hAnsi="Roboto"/>
        </w:rPr>
        <w:t>и</w:t>
      </w:r>
      <w:r w:rsidR="00F359D5" w:rsidRPr="00295637">
        <w:rPr>
          <w:rFonts w:ascii="Roboto" w:hAnsi="Roboto"/>
        </w:rPr>
        <w:t xml:space="preserve"> </w:t>
      </w:r>
      <w:r>
        <w:rPr>
          <w:rFonts w:ascii="Roboto" w:hAnsi="Roboto"/>
        </w:rPr>
        <w:t>истраживања</w:t>
      </w:r>
      <w:r w:rsidR="00F359D5" w:rsidRPr="00295637">
        <w:rPr>
          <w:rFonts w:ascii="Roboto" w:hAnsi="Roboto"/>
        </w:rPr>
        <w:t xml:space="preserve"> </w:t>
      </w:r>
      <w:r>
        <w:rPr>
          <w:rFonts w:ascii="Roboto" w:hAnsi="Roboto"/>
        </w:rPr>
        <w:t>показали</w:t>
      </w:r>
      <w:r w:rsidR="00F359D5" w:rsidRPr="00295637">
        <w:rPr>
          <w:rFonts w:ascii="Roboto" w:hAnsi="Roboto"/>
        </w:rPr>
        <w:t xml:space="preserve"> </w:t>
      </w:r>
      <w:r>
        <w:rPr>
          <w:rFonts w:ascii="Roboto" w:hAnsi="Roboto"/>
        </w:rPr>
        <w:t>су</w:t>
      </w:r>
      <w:r w:rsidR="00EC4571" w:rsidRPr="00295637">
        <w:rPr>
          <w:rFonts w:ascii="Roboto" w:hAnsi="Roboto"/>
        </w:rPr>
        <w:t xml:space="preserve"> </w:t>
      </w:r>
      <w:r>
        <w:rPr>
          <w:rFonts w:ascii="Roboto" w:hAnsi="Roboto"/>
        </w:rPr>
        <w:t>да</w:t>
      </w:r>
      <w:r w:rsidR="00F359D5" w:rsidRPr="00295637">
        <w:rPr>
          <w:rFonts w:ascii="Roboto" w:hAnsi="Roboto"/>
        </w:rPr>
        <w:t xml:space="preserve"> </w:t>
      </w:r>
      <w:r>
        <w:rPr>
          <w:rFonts w:ascii="Roboto" w:hAnsi="Roboto"/>
        </w:rPr>
        <w:t>је</w:t>
      </w:r>
      <w:r w:rsidR="00F359D5" w:rsidRPr="00295637">
        <w:rPr>
          <w:rFonts w:ascii="Roboto" w:hAnsi="Roboto"/>
        </w:rPr>
        <w:t xml:space="preserve"> </w:t>
      </w:r>
      <w:r>
        <w:rPr>
          <w:rFonts w:ascii="Roboto" w:hAnsi="Roboto"/>
        </w:rPr>
        <w:t>улога</w:t>
      </w:r>
      <w:r w:rsidR="00F359D5" w:rsidRPr="00295637">
        <w:rPr>
          <w:rFonts w:ascii="Roboto" w:hAnsi="Roboto"/>
        </w:rPr>
        <w:t xml:space="preserve"> </w:t>
      </w:r>
      <w:r>
        <w:rPr>
          <w:rFonts w:ascii="Roboto" w:hAnsi="Roboto"/>
        </w:rPr>
        <w:t>жена</w:t>
      </w:r>
      <w:r w:rsidR="00F359D5" w:rsidRPr="00295637">
        <w:rPr>
          <w:rFonts w:ascii="Roboto" w:hAnsi="Roboto"/>
        </w:rPr>
        <w:t xml:space="preserve"> </w:t>
      </w:r>
      <w:r>
        <w:rPr>
          <w:rFonts w:ascii="Roboto" w:hAnsi="Roboto"/>
        </w:rPr>
        <w:t>у</w:t>
      </w:r>
      <w:r w:rsidR="00F359D5" w:rsidRPr="00295637">
        <w:rPr>
          <w:rFonts w:ascii="Roboto" w:hAnsi="Roboto"/>
        </w:rPr>
        <w:t xml:space="preserve"> </w:t>
      </w:r>
      <w:r>
        <w:rPr>
          <w:rFonts w:ascii="Roboto" w:hAnsi="Roboto"/>
        </w:rPr>
        <w:t>процесу</w:t>
      </w:r>
      <w:r w:rsidR="00F359D5" w:rsidRPr="00295637">
        <w:rPr>
          <w:rFonts w:ascii="Roboto" w:hAnsi="Roboto"/>
        </w:rPr>
        <w:t xml:space="preserve"> </w:t>
      </w:r>
      <w:r>
        <w:rPr>
          <w:rFonts w:ascii="Roboto" w:hAnsi="Roboto"/>
        </w:rPr>
        <w:t>доношења</w:t>
      </w:r>
      <w:r w:rsidR="00F359D5" w:rsidRPr="00295637">
        <w:rPr>
          <w:rFonts w:ascii="Roboto" w:hAnsi="Roboto"/>
        </w:rPr>
        <w:t xml:space="preserve"> </w:t>
      </w:r>
      <w:r>
        <w:rPr>
          <w:rFonts w:ascii="Roboto" w:hAnsi="Roboto"/>
        </w:rPr>
        <w:t>одлука</w:t>
      </w:r>
      <w:r w:rsidR="00F359D5" w:rsidRPr="00295637">
        <w:rPr>
          <w:rFonts w:ascii="Roboto" w:hAnsi="Roboto"/>
        </w:rPr>
        <w:t xml:space="preserve"> </w:t>
      </w:r>
      <w:r>
        <w:rPr>
          <w:rFonts w:ascii="Roboto" w:hAnsi="Roboto"/>
        </w:rPr>
        <w:t>током</w:t>
      </w:r>
      <w:r w:rsidR="00F359D5" w:rsidRPr="00295637">
        <w:rPr>
          <w:rFonts w:ascii="Roboto" w:hAnsi="Roboto"/>
        </w:rPr>
        <w:t xml:space="preserve"> </w:t>
      </w:r>
      <w:r>
        <w:rPr>
          <w:rFonts w:ascii="Roboto" w:hAnsi="Roboto"/>
        </w:rPr>
        <w:t>кризних</w:t>
      </w:r>
      <w:r w:rsidR="00F359D5" w:rsidRPr="00295637">
        <w:rPr>
          <w:rFonts w:ascii="Roboto" w:hAnsi="Roboto"/>
        </w:rPr>
        <w:t xml:space="preserve"> </w:t>
      </w:r>
      <w:r>
        <w:rPr>
          <w:rFonts w:ascii="Roboto" w:hAnsi="Roboto"/>
        </w:rPr>
        <w:t>ситуација</w:t>
      </w:r>
      <w:r w:rsidR="00F359D5" w:rsidRPr="00295637">
        <w:rPr>
          <w:rFonts w:ascii="Roboto" w:hAnsi="Roboto"/>
        </w:rPr>
        <w:t xml:space="preserve"> </w:t>
      </w:r>
      <w:r>
        <w:rPr>
          <w:rFonts w:ascii="Roboto" w:hAnsi="Roboto"/>
        </w:rPr>
        <w:t>од</w:t>
      </w:r>
      <w:r w:rsidR="00F359D5" w:rsidRPr="00295637">
        <w:rPr>
          <w:rFonts w:ascii="Roboto" w:hAnsi="Roboto"/>
        </w:rPr>
        <w:t xml:space="preserve"> </w:t>
      </w:r>
      <w:r>
        <w:rPr>
          <w:rFonts w:ascii="Roboto" w:hAnsi="Roboto"/>
        </w:rPr>
        <w:t>великог</w:t>
      </w:r>
      <w:r w:rsidR="00F359D5" w:rsidRPr="00295637">
        <w:rPr>
          <w:rFonts w:ascii="Roboto" w:hAnsi="Roboto"/>
        </w:rPr>
        <w:t xml:space="preserve"> </w:t>
      </w:r>
      <w:r>
        <w:rPr>
          <w:rFonts w:ascii="Roboto" w:hAnsi="Roboto"/>
        </w:rPr>
        <w:t>значаја</w:t>
      </w:r>
      <w:r w:rsidR="00F359D5" w:rsidRPr="00295637">
        <w:rPr>
          <w:rFonts w:ascii="Roboto" w:hAnsi="Roboto"/>
        </w:rPr>
        <w:t xml:space="preserve">. </w:t>
      </w:r>
      <w:r>
        <w:rPr>
          <w:rFonts w:ascii="Roboto" w:hAnsi="Roboto"/>
          <w:lang w:val="hr-HR"/>
        </w:rPr>
        <w:t>Разли</w:t>
      </w:r>
      <w:r>
        <w:rPr>
          <w:rFonts w:ascii="Roboto" w:hAnsi="Roboto" w:hint="eastAsia"/>
          <w:lang w:val="hr-HR"/>
        </w:rPr>
        <w:t>ч</w:t>
      </w:r>
      <w:r>
        <w:rPr>
          <w:rFonts w:ascii="Roboto" w:hAnsi="Roboto"/>
          <w:lang w:val="hr-HR"/>
        </w:rPr>
        <w:t>ите</w:t>
      </w:r>
      <w:r w:rsidR="00F359D5" w:rsidRPr="006820FB">
        <w:rPr>
          <w:rFonts w:ascii="Roboto" w:hAnsi="Roboto"/>
          <w:lang w:val="hr-HR"/>
        </w:rPr>
        <w:t xml:space="preserve"> </w:t>
      </w:r>
      <w:r>
        <w:rPr>
          <w:rFonts w:ascii="Roboto" w:hAnsi="Roboto"/>
          <w:lang w:val="hr-HR"/>
        </w:rPr>
        <w:t>перспективе</w:t>
      </w:r>
      <w:r w:rsidR="00F359D5" w:rsidRPr="006820FB">
        <w:rPr>
          <w:rFonts w:ascii="Roboto" w:hAnsi="Roboto"/>
          <w:lang w:val="hr-HR"/>
        </w:rPr>
        <w:t xml:space="preserve"> </w:t>
      </w:r>
      <w:r>
        <w:rPr>
          <w:rFonts w:ascii="Roboto" w:hAnsi="Roboto"/>
          <w:lang w:val="hr-HR"/>
        </w:rPr>
        <w:t>које</w:t>
      </w:r>
      <w:r w:rsidR="00F359D5" w:rsidRPr="006820FB">
        <w:rPr>
          <w:rFonts w:ascii="Roboto" w:hAnsi="Roboto"/>
          <w:lang w:val="hr-HR"/>
        </w:rPr>
        <w:t xml:space="preserve"> </w:t>
      </w:r>
      <w:r>
        <w:rPr>
          <w:rFonts w:ascii="Roboto" w:hAnsi="Roboto"/>
          <w:lang w:val="hr-HR"/>
        </w:rPr>
        <w:t>имају</w:t>
      </w:r>
      <w:r w:rsidR="00F359D5" w:rsidRPr="006820FB">
        <w:rPr>
          <w:rFonts w:ascii="Roboto" w:hAnsi="Roboto"/>
          <w:lang w:val="hr-HR"/>
        </w:rPr>
        <w:t xml:space="preserve"> </w:t>
      </w:r>
      <w:r>
        <w:rPr>
          <w:rFonts w:ascii="Roboto" w:hAnsi="Roboto"/>
          <w:lang w:val="hr-HR"/>
        </w:rPr>
        <w:t>му</w:t>
      </w:r>
      <w:r>
        <w:rPr>
          <w:rFonts w:ascii="Roboto" w:hAnsi="Roboto" w:hint="eastAsia"/>
          <w:lang w:val="hr-HR"/>
        </w:rPr>
        <w:t>ш</w:t>
      </w:r>
      <w:r>
        <w:rPr>
          <w:rFonts w:ascii="Roboto" w:hAnsi="Roboto"/>
          <w:lang w:val="hr-HR"/>
        </w:rPr>
        <w:t>карци</w:t>
      </w:r>
      <w:r w:rsidR="00F359D5" w:rsidRPr="006820FB">
        <w:rPr>
          <w:rFonts w:ascii="Roboto" w:hAnsi="Roboto"/>
          <w:lang w:val="hr-HR"/>
        </w:rPr>
        <w:t xml:space="preserve"> </w:t>
      </w:r>
      <w:r>
        <w:rPr>
          <w:rFonts w:ascii="Roboto" w:hAnsi="Roboto"/>
          <w:lang w:val="hr-HR"/>
        </w:rPr>
        <w:t>и</w:t>
      </w:r>
      <w:r w:rsidR="00F359D5" w:rsidRPr="006820FB">
        <w:rPr>
          <w:rFonts w:ascii="Roboto" w:hAnsi="Roboto"/>
          <w:lang w:val="hr-HR"/>
        </w:rPr>
        <w:t xml:space="preserve"> </w:t>
      </w:r>
      <w:r>
        <w:rPr>
          <w:rFonts w:ascii="Roboto" w:hAnsi="Roboto" w:hint="eastAsia"/>
          <w:lang w:val="hr-HR"/>
        </w:rPr>
        <w:t>ж</w:t>
      </w:r>
      <w:r>
        <w:rPr>
          <w:rFonts w:ascii="Roboto" w:hAnsi="Roboto"/>
          <w:lang w:val="hr-HR"/>
        </w:rPr>
        <w:t>ене</w:t>
      </w:r>
      <w:r w:rsidR="00F359D5" w:rsidRPr="006820FB">
        <w:rPr>
          <w:rFonts w:ascii="Roboto" w:hAnsi="Roboto"/>
          <w:lang w:val="hr-HR"/>
        </w:rPr>
        <w:t xml:space="preserve">, </w:t>
      </w:r>
      <w:r>
        <w:rPr>
          <w:rFonts w:ascii="Roboto" w:hAnsi="Roboto"/>
          <w:lang w:val="hr-HR"/>
        </w:rPr>
        <w:t>у</w:t>
      </w:r>
      <w:r w:rsidR="00F359D5" w:rsidRPr="006820FB">
        <w:rPr>
          <w:rFonts w:ascii="Roboto" w:hAnsi="Roboto"/>
          <w:lang w:val="hr-HR"/>
        </w:rPr>
        <w:t xml:space="preserve"> </w:t>
      </w:r>
      <w:r>
        <w:rPr>
          <w:rFonts w:ascii="Roboto" w:hAnsi="Roboto"/>
          <w:lang w:val="hr-HR"/>
        </w:rPr>
        <w:t>процјени</w:t>
      </w:r>
      <w:r w:rsidR="00F359D5" w:rsidRPr="006820FB">
        <w:rPr>
          <w:rFonts w:ascii="Roboto" w:hAnsi="Roboto"/>
          <w:lang w:val="hr-HR"/>
        </w:rPr>
        <w:t xml:space="preserve"> </w:t>
      </w:r>
      <w:r>
        <w:rPr>
          <w:rFonts w:ascii="Roboto" w:hAnsi="Roboto"/>
          <w:lang w:val="hr-HR"/>
        </w:rPr>
        <w:t>и</w:t>
      </w:r>
      <w:r w:rsidR="00F359D5" w:rsidRPr="006820FB">
        <w:rPr>
          <w:rFonts w:ascii="Roboto" w:hAnsi="Roboto"/>
          <w:lang w:val="hr-HR"/>
        </w:rPr>
        <w:t xml:space="preserve"> </w:t>
      </w:r>
      <w:r>
        <w:rPr>
          <w:rFonts w:ascii="Roboto" w:hAnsi="Roboto"/>
          <w:lang w:val="hr-HR"/>
        </w:rPr>
        <w:t>одлу</w:t>
      </w:r>
      <w:r>
        <w:rPr>
          <w:rFonts w:ascii="Roboto" w:hAnsi="Roboto" w:hint="eastAsia"/>
          <w:lang w:val="hr-HR"/>
        </w:rPr>
        <w:t>ч</w:t>
      </w:r>
      <w:r>
        <w:rPr>
          <w:rFonts w:ascii="Roboto" w:hAnsi="Roboto"/>
          <w:lang w:val="hr-HR"/>
        </w:rPr>
        <w:t>ивању</w:t>
      </w:r>
      <w:r w:rsidR="00F359D5" w:rsidRPr="006820FB">
        <w:rPr>
          <w:rFonts w:ascii="Roboto" w:hAnsi="Roboto"/>
          <w:lang w:val="hr-HR"/>
        </w:rPr>
        <w:t xml:space="preserve">, </w:t>
      </w:r>
      <w:r>
        <w:rPr>
          <w:rFonts w:ascii="Roboto" w:hAnsi="Roboto"/>
          <w:lang w:val="hr-HR"/>
        </w:rPr>
        <w:t>доводе</w:t>
      </w:r>
      <w:r w:rsidR="00F359D5" w:rsidRPr="006820FB">
        <w:rPr>
          <w:rFonts w:ascii="Roboto" w:hAnsi="Roboto"/>
          <w:lang w:val="hr-HR"/>
        </w:rPr>
        <w:t xml:space="preserve"> </w:t>
      </w:r>
      <w:r>
        <w:rPr>
          <w:rFonts w:ascii="Roboto" w:hAnsi="Roboto"/>
          <w:lang w:val="hr-HR"/>
        </w:rPr>
        <w:t>до</w:t>
      </w:r>
      <w:r w:rsidR="00F359D5" w:rsidRPr="006820FB">
        <w:rPr>
          <w:rFonts w:ascii="Roboto" w:hAnsi="Roboto"/>
          <w:lang w:val="hr-HR"/>
        </w:rPr>
        <w:t xml:space="preserve"> </w:t>
      </w:r>
      <w:r>
        <w:rPr>
          <w:rFonts w:ascii="Roboto" w:hAnsi="Roboto"/>
          <w:lang w:val="hr-HR"/>
        </w:rPr>
        <w:t>бољих</w:t>
      </w:r>
      <w:r w:rsidR="00F359D5" w:rsidRPr="006820FB">
        <w:rPr>
          <w:rFonts w:ascii="Roboto" w:hAnsi="Roboto"/>
          <w:lang w:val="hr-HR"/>
        </w:rPr>
        <w:t xml:space="preserve"> </w:t>
      </w:r>
      <w:r>
        <w:rPr>
          <w:rFonts w:ascii="Roboto" w:hAnsi="Roboto"/>
          <w:lang w:val="hr-HR"/>
        </w:rPr>
        <w:t>одлука</w:t>
      </w:r>
      <w:r w:rsidR="00F359D5" w:rsidRPr="006820FB">
        <w:rPr>
          <w:rFonts w:ascii="Roboto" w:hAnsi="Roboto"/>
          <w:lang w:val="hr-HR"/>
        </w:rPr>
        <w:t xml:space="preserve"> </w:t>
      </w:r>
      <w:r>
        <w:rPr>
          <w:rFonts w:ascii="Roboto" w:hAnsi="Roboto"/>
          <w:lang w:val="hr-HR"/>
        </w:rPr>
        <w:t>које</w:t>
      </w:r>
      <w:r w:rsidR="00F359D5" w:rsidRPr="006820FB">
        <w:rPr>
          <w:rFonts w:ascii="Roboto" w:hAnsi="Roboto"/>
          <w:lang w:val="hr-HR"/>
        </w:rPr>
        <w:t xml:space="preserve"> </w:t>
      </w:r>
      <w:r>
        <w:rPr>
          <w:rFonts w:ascii="Roboto" w:hAnsi="Roboto"/>
          <w:lang w:val="hr-HR"/>
        </w:rPr>
        <w:t>узимају</w:t>
      </w:r>
      <w:r w:rsidR="00F359D5" w:rsidRPr="006820FB">
        <w:rPr>
          <w:rFonts w:ascii="Roboto" w:hAnsi="Roboto"/>
          <w:lang w:val="hr-HR"/>
        </w:rPr>
        <w:t xml:space="preserve"> </w:t>
      </w:r>
      <w:r>
        <w:rPr>
          <w:rFonts w:ascii="Roboto" w:hAnsi="Roboto"/>
          <w:lang w:val="hr-HR"/>
        </w:rPr>
        <w:t>у</w:t>
      </w:r>
      <w:r w:rsidR="00F359D5" w:rsidRPr="006820FB">
        <w:rPr>
          <w:rFonts w:ascii="Roboto" w:hAnsi="Roboto"/>
          <w:lang w:val="hr-HR"/>
        </w:rPr>
        <w:t xml:space="preserve"> </w:t>
      </w:r>
      <w:r>
        <w:rPr>
          <w:rFonts w:ascii="Roboto" w:hAnsi="Roboto"/>
          <w:lang w:val="hr-HR"/>
        </w:rPr>
        <w:t>обзир</w:t>
      </w:r>
      <w:r w:rsidR="00F359D5" w:rsidRPr="006820FB">
        <w:rPr>
          <w:rFonts w:ascii="Roboto" w:hAnsi="Roboto"/>
          <w:lang w:val="hr-HR"/>
        </w:rPr>
        <w:t xml:space="preserve"> </w:t>
      </w:r>
      <w:r>
        <w:rPr>
          <w:rFonts w:ascii="Roboto" w:hAnsi="Roboto" w:hint="eastAsia"/>
          <w:lang w:val="hr-HR"/>
        </w:rPr>
        <w:t>ш</w:t>
      </w:r>
      <w:r>
        <w:rPr>
          <w:rFonts w:ascii="Roboto" w:hAnsi="Roboto"/>
          <w:lang w:val="hr-HR"/>
        </w:rPr>
        <w:t>иру</w:t>
      </w:r>
      <w:r w:rsidR="00F359D5" w:rsidRPr="006820FB">
        <w:rPr>
          <w:rFonts w:ascii="Roboto" w:hAnsi="Roboto"/>
          <w:lang w:val="hr-HR"/>
        </w:rPr>
        <w:t xml:space="preserve"> </w:t>
      </w:r>
      <w:r>
        <w:rPr>
          <w:rFonts w:ascii="Roboto" w:hAnsi="Roboto"/>
          <w:lang w:val="hr-HR"/>
        </w:rPr>
        <w:t>слику</w:t>
      </w:r>
      <w:r w:rsidR="00F359D5" w:rsidRPr="006820FB">
        <w:rPr>
          <w:rFonts w:ascii="Roboto" w:hAnsi="Roboto"/>
          <w:lang w:val="hr-HR"/>
        </w:rPr>
        <w:t xml:space="preserve"> </w:t>
      </w:r>
      <w:r>
        <w:rPr>
          <w:rFonts w:ascii="Roboto" w:hAnsi="Roboto"/>
          <w:lang w:val="hr-HR"/>
        </w:rPr>
        <w:t>потреба</w:t>
      </w:r>
      <w:r w:rsidR="00F359D5" w:rsidRPr="006820FB">
        <w:rPr>
          <w:rFonts w:ascii="Roboto" w:hAnsi="Roboto"/>
          <w:lang w:val="hr-HR"/>
        </w:rPr>
        <w:t xml:space="preserve"> </w:t>
      </w:r>
      <w:r>
        <w:rPr>
          <w:rFonts w:ascii="Roboto" w:hAnsi="Roboto"/>
          <w:lang w:val="hr-HR"/>
        </w:rPr>
        <w:t>појединаца</w:t>
      </w:r>
      <w:r w:rsidR="00F359D5" w:rsidRPr="006820FB">
        <w:rPr>
          <w:rFonts w:ascii="Roboto" w:hAnsi="Roboto"/>
          <w:lang w:val="hr-HR"/>
        </w:rPr>
        <w:t xml:space="preserve">, </w:t>
      </w:r>
      <w:r>
        <w:rPr>
          <w:rFonts w:ascii="Roboto" w:hAnsi="Roboto"/>
          <w:lang w:val="hr-HR"/>
        </w:rPr>
        <w:t>заједнице</w:t>
      </w:r>
      <w:r w:rsidR="00F359D5" w:rsidRPr="006820FB">
        <w:rPr>
          <w:rFonts w:ascii="Roboto" w:hAnsi="Roboto"/>
          <w:lang w:val="hr-HR"/>
        </w:rPr>
        <w:t xml:space="preserve"> </w:t>
      </w:r>
      <w:r>
        <w:rPr>
          <w:rFonts w:ascii="Roboto" w:hAnsi="Roboto"/>
          <w:lang w:val="hr-HR"/>
        </w:rPr>
        <w:t>и</w:t>
      </w:r>
      <w:r w:rsidR="00F359D5" w:rsidRPr="006820FB">
        <w:rPr>
          <w:rFonts w:ascii="Roboto" w:hAnsi="Roboto"/>
          <w:lang w:val="hr-HR"/>
        </w:rPr>
        <w:t xml:space="preserve"> </w:t>
      </w:r>
      <w:r>
        <w:rPr>
          <w:rFonts w:ascii="Roboto" w:hAnsi="Roboto"/>
          <w:lang w:val="hr-HR"/>
        </w:rPr>
        <w:t>дру</w:t>
      </w:r>
      <w:r>
        <w:rPr>
          <w:rFonts w:ascii="Roboto" w:hAnsi="Roboto" w:hint="eastAsia"/>
          <w:lang w:val="hr-HR"/>
        </w:rPr>
        <w:t>ш</w:t>
      </w:r>
      <w:r>
        <w:rPr>
          <w:rFonts w:ascii="Roboto" w:hAnsi="Roboto"/>
          <w:lang w:val="hr-HR"/>
        </w:rPr>
        <w:t>тва</w:t>
      </w:r>
      <w:r w:rsidR="00F359D5" w:rsidRPr="006820FB">
        <w:rPr>
          <w:rFonts w:ascii="Roboto" w:hAnsi="Roboto"/>
          <w:lang w:val="hr-HR"/>
        </w:rPr>
        <w:t xml:space="preserve"> </w:t>
      </w:r>
      <w:r>
        <w:rPr>
          <w:rFonts w:ascii="Roboto" w:hAnsi="Roboto"/>
          <w:lang w:val="hr-HR"/>
        </w:rPr>
        <w:t>у</w:t>
      </w:r>
      <w:r w:rsidR="00F359D5" w:rsidRPr="006820FB">
        <w:rPr>
          <w:rFonts w:ascii="Roboto" w:hAnsi="Roboto"/>
          <w:lang w:val="hr-HR"/>
        </w:rPr>
        <w:t xml:space="preserve"> </w:t>
      </w:r>
      <w:r>
        <w:rPr>
          <w:rFonts w:ascii="Roboto" w:hAnsi="Roboto"/>
          <w:lang w:val="hr-HR"/>
        </w:rPr>
        <w:t>цјелини</w:t>
      </w:r>
      <w:r w:rsidR="00F359D5" w:rsidRPr="006820FB">
        <w:rPr>
          <w:rFonts w:ascii="Roboto" w:hAnsi="Roboto"/>
          <w:lang w:val="hr-HR"/>
        </w:rPr>
        <w:t xml:space="preserve">. </w:t>
      </w:r>
      <w:r>
        <w:rPr>
          <w:rFonts w:ascii="Roboto" w:hAnsi="Roboto"/>
        </w:rPr>
        <w:t>Пракса</w:t>
      </w:r>
      <w:r w:rsidR="00EC4571">
        <w:rPr>
          <w:rFonts w:ascii="Roboto" w:hAnsi="Roboto"/>
        </w:rPr>
        <w:t xml:space="preserve"> </w:t>
      </w:r>
      <w:r>
        <w:rPr>
          <w:rFonts w:ascii="Roboto" w:hAnsi="Roboto"/>
        </w:rPr>
        <w:t>је</w:t>
      </w:r>
      <w:r w:rsidR="00EC4571">
        <w:rPr>
          <w:rFonts w:ascii="Roboto" w:hAnsi="Roboto"/>
        </w:rPr>
        <w:t xml:space="preserve"> </w:t>
      </w:r>
      <w:r>
        <w:rPr>
          <w:rFonts w:ascii="Roboto" w:hAnsi="Roboto"/>
        </w:rPr>
        <w:t>показала</w:t>
      </w:r>
      <w:r w:rsidR="00EC4571">
        <w:rPr>
          <w:rFonts w:ascii="Roboto" w:hAnsi="Roboto"/>
        </w:rPr>
        <w:t xml:space="preserve"> </w:t>
      </w:r>
      <w:r>
        <w:rPr>
          <w:rFonts w:ascii="Roboto" w:hAnsi="Roboto"/>
        </w:rPr>
        <w:t>да</w:t>
      </w:r>
      <w:r w:rsidR="00EC4571">
        <w:rPr>
          <w:rFonts w:ascii="Roboto" w:hAnsi="Roboto"/>
        </w:rPr>
        <w:t xml:space="preserve"> </w:t>
      </w:r>
      <w:r>
        <w:rPr>
          <w:rFonts w:ascii="Roboto" w:hAnsi="Roboto"/>
        </w:rPr>
        <w:t>организације</w:t>
      </w:r>
      <w:r w:rsidR="00EC4571">
        <w:rPr>
          <w:rFonts w:ascii="Roboto" w:hAnsi="Roboto"/>
        </w:rPr>
        <w:t xml:space="preserve"> </w:t>
      </w:r>
      <w:r>
        <w:rPr>
          <w:rFonts w:ascii="Roboto" w:hAnsi="Roboto"/>
        </w:rPr>
        <w:t>са</w:t>
      </w:r>
      <w:r w:rsidR="00F359D5" w:rsidRPr="00295637">
        <w:rPr>
          <w:rFonts w:ascii="Roboto" w:hAnsi="Roboto"/>
        </w:rPr>
        <w:t xml:space="preserve"> </w:t>
      </w:r>
      <w:r>
        <w:rPr>
          <w:rFonts w:ascii="Roboto" w:hAnsi="Roboto"/>
        </w:rPr>
        <w:t>већим</w:t>
      </w:r>
      <w:r w:rsidR="00F359D5" w:rsidRPr="00295637">
        <w:rPr>
          <w:rFonts w:ascii="Roboto" w:hAnsi="Roboto"/>
        </w:rPr>
        <w:t xml:space="preserve"> </w:t>
      </w:r>
      <w:r>
        <w:rPr>
          <w:rFonts w:ascii="Roboto" w:hAnsi="Roboto"/>
        </w:rPr>
        <w:t>бројем</w:t>
      </w:r>
      <w:r w:rsidR="00F359D5" w:rsidRPr="00295637">
        <w:rPr>
          <w:rFonts w:ascii="Roboto" w:hAnsi="Roboto"/>
        </w:rPr>
        <w:t xml:space="preserve"> </w:t>
      </w:r>
      <w:r>
        <w:rPr>
          <w:rFonts w:ascii="Roboto" w:hAnsi="Roboto"/>
        </w:rPr>
        <w:t>жена</w:t>
      </w:r>
      <w:r w:rsidR="00F359D5" w:rsidRPr="00295637">
        <w:rPr>
          <w:rFonts w:ascii="Roboto" w:hAnsi="Roboto"/>
        </w:rPr>
        <w:t xml:space="preserve"> </w:t>
      </w:r>
      <w:r>
        <w:rPr>
          <w:rFonts w:ascii="Roboto" w:hAnsi="Roboto"/>
        </w:rPr>
        <w:t>у</w:t>
      </w:r>
      <w:r w:rsidR="00F359D5" w:rsidRPr="00295637">
        <w:rPr>
          <w:rFonts w:ascii="Roboto" w:hAnsi="Roboto"/>
        </w:rPr>
        <w:t xml:space="preserve"> </w:t>
      </w:r>
      <w:r>
        <w:rPr>
          <w:rFonts w:ascii="Roboto" w:hAnsi="Roboto"/>
        </w:rPr>
        <w:t>својим</w:t>
      </w:r>
      <w:r w:rsidR="00F359D5" w:rsidRPr="00295637">
        <w:rPr>
          <w:rFonts w:ascii="Roboto" w:hAnsi="Roboto"/>
        </w:rPr>
        <w:t xml:space="preserve"> </w:t>
      </w:r>
      <w:r>
        <w:rPr>
          <w:rFonts w:ascii="Roboto" w:hAnsi="Roboto"/>
        </w:rPr>
        <w:t>управним</w:t>
      </w:r>
      <w:r w:rsidR="00F359D5" w:rsidRPr="00295637">
        <w:rPr>
          <w:rFonts w:ascii="Roboto" w:hAnsi="Roboto"/>
        </w:rPr>
        <w:t xml:space="preserve"> </w:t>
      </w:r>
      <w:r>
        <w:rPr>
          <w:rFonts w:ascii="Roboto" w:hAnsi="Roboto"/>
        </w:rPr>
        <w:t>структурама</w:t>
      </w:r>
      <w:r w:rsidR="00F359D5" w:rsidRPr="00295637">
        <w:rPr>
          <w:rFonts w:ascii="Roboto" w:hAnsi="Roboto"/>
        </w:rPr>
        <w:t xml:space="preserve"> </w:t>
      </w:r>
      <w:r>
        <w:rPr>
          <w:rFonts w:ascii="Roboto" w:hAnsi="Roboto"/>
        </w:rPr>
        <w:t>имају</w:t>
      </w:r>
      <w:r w:rsidR="00F359D5" w:rsidRPr="00295637">
        <w:rPr>
          <w:rFonts w:ascii="Roboto" w:hAnsi="Roboto"/>
        </w:rPr>
        <w:t xml:space="preserve"> </w:t>
      </w:r>
      <w:r>
        <w:rPr>
          <w:rFonts w:ascii="Roboto" w:hAnsi="Roboto"/>
        </w:rPr>
        <w:t>тенденцију</w:t>
      </w:r>
      <w:r w:rsidR="00F359D5" w:rsidRPr="00295637">
        <w:rPr>
          <w:rFonts w:ascii="Roboto" w:hAnsi="Roboto"/>
        </w:rPr>
        <w:t xml:space="preserve"> </w:t>
      </w:r>
      <w:r>
        <w:rPr>
          <w:rFonts w:ascii="Roboto" w:hAnsi="Roboto"/>
        </w:rPr>
        <w:t>да</w:t>
      </w:r>
      <w:r w:rsidR="00F359D5" w:rsidRPr="00295637">
        <w:rPr>
          <w:rFonts w:ascii="Roboto" w:hAnsi="Roboto"/>
        </w:rPr>
        <w:t xml:space="preserve"> </w:t>
      </w:r>
      <w:r>
        <w:rPr>
          <w:rFonts w:ascii="Roboto" w:hAnsi="Roboto"/>
        </w:rPr>
        <w:t>буду</w:t>
      </w:r>
      <w:r w:rsidR="00F359D5" w:rsidRPr="00295637">
        <w:rPr>
          <w:rFonts w:ascii="Roboto" w:hAnsi="Roboto"/>
        </w:rPr>
        <w:t xml:space="preserve"> </w:t>
      </w:r>
      <w:r>
        <w:rPr>
          <w:rFonts w:ascii="Roboto" w:hAnsi="Roboto"/>
        </w:rPr>
        <w:t>ефикасније</w:t>
      </w:r>
      <w:r w:rsidR="00F359D5" w:rsidRPr="00295637">
        <w:rPr>
          <w:rFonts w:ascii="Roboto" w:hAnsi="Roboto"/>
        </w:rPr>
        <w:t xml:space="preserve"> </w:t>
      </w:r>
      <w:r>
        <w:rPr>
          <w:rFonts w:ascii="Roboto" w:hAnsi="Roboto"/>
        </w:rPr>
        <w:t>у</w:t>
      </w:r>
      <w:r w:rsidR="00F359D5" w:rsidRPr="00295637">
        <w:rPr>
          <w:rFonts w:ascii="Roboto" w:hAnsi="Roboto"/>
        </w:rPr>
        <w:t xml:space="preserve"> </w:t>
      </w:r>
      <w:r>
        <w:rPr>
          <w:rFonts w:ascii="Roboto" w:hAnsi="Roboto"/>
        </w:rPr>
        <w:t>управљању</w:t>
      </w:r>
      <w:r w:rsidR="00F359D5" w:rsidRPr="00295637">
        <w:rPr>
          <w:rFonts w:ascii="Roboto" w:hAnsi="Roboto"/>
        </w:rPr>
        <w:t xml:space="preserve"> </w:t>
      </w:r>
      <w:r>
        <w:rPr>
          <w:rFonts w:ascii="Roboto" w:hAnsi="Roboto"/>
        </w:rPr>
        <w:t>кризним</w:t>
      </w:r>
      <w:r w:rsidR="00F359D5" w:rsidRPr="00295637">
        <w:rPr>
          <w:rFonts w:ascii="Roboto" w:hAnsi="Roboto"/>
        </w:rPr>
        <w:t xml:space="preserve"> </w:t>
      </w:r>
      <w:r>
        <w:rPr>
          <w:rFonts w:ascii="Roboto" w:hAnsi="Roboto"/>
        </w:rPr>
        <w:t>ситуацијама</w:t>
      </w:r>
      <w:r w:rsidR="00F359D5" w:rsidRPr="00295637">
        <w:rPr>
          <w:rFonts w:ascii="Roboto" w:hAnsi="Roboto"/>
        </w:rPr>
        <w:t xml:space="preserve"> </w:t>
      </w:r>
      <w:r>
        <w:rPr>
          <w:rFonts w:ascii="Roboto" w:hAnsi="Roboto"/>
        </w:rPr>
        <w:t>и</w:t>
      </w:r>
      <w:r w:rsidR="00F359D5" w:rsidRPr="00295637">
        <w:rPr>
          <w:rFonts w:ascii="Roboto" w:hAnsi="Roboto"/>
        </w:rPr>
        <w:t xml:space="preserve"> </w:t>
      </w:r>
      <w:r>
        <w:rPr>
          <w:rFonts w:ascii="Roboto" w:hAnsi="Roboto"/>
        </w:rPr>
        <w:t>да</w:t>
      </w:r>
      <w:r w:rsidR="00240048" w:rsidRPr="00295637">
        <w:rPr>
          <w:rFonts w:ascii="Roboto" w:hAnsi="Roboto"/>
        </w:rPr>
        <w:t xml:space="preserve"> </w:t>
      </w:r>
      <w:r>
        <w:rPr>
          <w:rFonts w:ascii="Roboto" w:hAnsi="Roboto"/>
        </w:rPr>
        <w:t>остваре</w:t>
      </w:r>
      <w:r w:rsidR="00240048" w:rsidRPr="00295637">
        <w:rPr>
          <w:rFonts w:ascii="Roboto" w:hAnsi="Roboto"/>
        </w:rPr>
        <w:t xml:space="preserve"> </w:t>
      </w:r>
      <w:r>
        <w:rPr>
          <w:rFonts w:ascii="Roboto" w:hAnsi="Roboto"/>
        </w:rPr>
        <w:t>боље</w:t>
      </w:r>
      <w:r w:rsidR="00240048" w:rsidRPr="00295637">
        <w:rPr>
          <w:rFonts w:ascii="Roboto" w:hAnsi="Roboto"/>
        </w:rPr>
        <w:t xml:space="preserve"> </w:t>
      </w:r>
      <w:r>
        <w:rPr>
          <w:rFonts w:ascii="Roboto" w:hAnsi="Roboto"/>
        </w:rPr>
        <w:t>дугорочне</w:t>
      </w:r>
      <w:r w:rsidR="00240048" w:rsidRPr="00295637">
        <w:rPr>
          <w:rFonts w:ascii="Roboto" w:hAnsi="Roboto"/>
        </w:rPr>
        <w:t xml:space="preserve"> </w:t>
      </w:r>
      <w:r>
        <w:rPr>
          <w:rFonts w:ascii="Roboto" w:hAnsi="Roboto"/>
        </w:rPr>
        <w:t>резултате</w:t>
      </w:r>
      <w:r w:rsidR="00240048" w:rsidRPr="00295637">
        <w:rPr>
          <w:rFonts w:ascii="Roboto" w:hAnsi="Roboto"/>
        </w:rPr>
        <w:t>.</w:t>
      </w:r>
    </w:p>
    <w:p w:rsidR="00240048" w:rsidRPr="00295637" w:rsidRDefault="00240048" w:rsidP="0086268D">
      <w:pPr>
        <w:pStyle w:val="NormalWeb"/>
        <w:spacing w:before="0" w:beforeAutospacing="0" w:after="0" w:afterAutospacing="0"/>
        <w:jc w:val="both"/>
        <w:rPr>
          <w:rFonts w:ascii="Roboto" w:hAnsi="Roboto"/>
        </w:rPr>
      </w:pPr>
    </w:p>
    <w:p w:rsidR="00C71846" w:rsidRDefault="00C6214E" w:rsidP="0086268D">
      <w:pPr>
        <w:pStyle w:val="NormalWeb"/>
        <w:spacing w:before="0" w:beforeAutospacing="0" w:after="0" w:afterAutospacing="0"/>
        <w:jc w:val="both"/>
        <w:rPr>
          <w:rFonts w:ascii="Roboto" w:hAnsi="Roboto"/>
        </w:rPr>
      </w:pPr>
      <w:r>
        <w:rPr>
          <w:rFonts w:ascii="Roboto" w:hAnsi="Roboto"/>
        </w:rPr>
        <w:t>Не</w:t>
      </w:r>
      <w:r w:rsidR="00DB1A4A" w:rsidRPr="00295637">
        <w:rPr>
          <w:rFonts w:ascii="Roboto" w:hAnsi="Roboto"/>
        </w:rPr>
        <w:t xml:space="preserve"> </w:t>
      </w:r>
      <w:r>
        <w:rPr>
          <w:rFonts w:ascii="Roboto" w:hAnsi="Roboto"/>
        </w:rPr>
        <w:t>постоје</w:t>
      </w:r>
      <w:r w:rsidR="00DB1A4A" w:rsidRPr="00295637">
        <w:rPr>
          <w:rFonts w:ascii="Roboto" w:hAnsi="Roboto"/>
        </w:rPr>
        <w:t xml:space="preserve"> </w:t>
      </w:r>
      <w:r>
        <w:rPr>
          <w:rFonts w:ascii="Roboto" w:hAnsi="Roboto"/>
        </w:rPr>
        <w:t>релевантни</w:t>
      </w:r>
      <w:r w:rsidR="00DB1A4A" w:rsidRPr="00295637">
        <w:rPr>
          <w:rFonts w:ascii="Roboto" w:hAnsi="Roboto"/>
        </w:rPr>
        <w:t xml:space="preserve">, </w:t>
      </w:r>
      <w:r>
        <w:rPr>
          <w:rFonts w:ascii="Roboto" w:hAnsi="Roboto"/>
        </w:rPr>
        <w:t>свеобухватни</w:t>
      </w:r>
      <w:r w:rsidR="00DB1A4A" w:rsidRPr="00295637">
        <w:rPr>
          <w:rFonts w:ascii="Roboto" w:hAnsi="Roboto"/>
        </w:rPr>
        <w:t xml:space="preserve"> </w:t>
      </w:r>
      <w:r>
        <w:rPr>
          <w:rFonts w:ascii="Roboto" w:hAnsi="Roboto"/>
        </w:rPr>
        <w:t>и</w:t>
      </w:r>
      <w:r w:rsidR="00DB1A4A" w:rsidRPr="00295637">
        <w:rPr>
          <w:rFonts w:ascii="Roboto" w:hAnsi="Roboto"/>
        </w:rPr>
        <w:t xml:space="preserve"> </w:t>
      </w:r>
      <w:r>
        <w:rPr>
          <w:rFonts w:ascii="Roboto" w:hAnsi="Roboto"/>
        </w:rPr>
        <w:t>поуздани</w:t>
      </w:r>
      <w:r w:rsidR="00DB1A4A" w:rsidRPr="00295637">
        <w:rPr>
          <w:rFonts w:ascii="Roboto" w:hAnsi="Roboto"/>
        </w:rPr>
        <w:t xml:space="preserve"> </w:t>
      </w:r>
      <w:r>
        <w:rPr>
          <w:rFonts w:ascii="Roboto" w:hAnsi="Roboto"/>
        </w:rPr>
        <w:t>подаци</w:t>
      </w:r>
      <w:r w:rsidR="00DB1A4A" w:rsidRPr="00295637">
        <w:rPr>
          <w:rFonts w:ascii="Roboto" w:hAnsi="Roboto"/>
        </w:rPr>
        <w:t xml:space="preserve"> </w:t>
      </w:r>
      <w:r>
        <w:rPr>
          <w:rFonts w:ascii="Roboto" w:hAnsi="Roboto"/>
        </w:rPr>
        <w:t>о</w:t>
      </w:r>
      <w:r w:rsidR="00DB1A4A" w:rsidRPr="00295637">
        <w:rPr>
          <w:rFonts w:ascii="Roboto" w:hAnsi="Roboto"/>
        </w:rPr>
        <w:t xml:space="preserve"> </w:t>
      </w:r>
      <w:r>
        <w:rPr>
          <w:rFonts w:ascii="Roboto" w:hAnsi="Roboto"/>
        </w:rPr>
        <w:t>повријеђеним</w:t>
      </w:r>
      <w:r w:rsidR="00DB1A4A" w:rsidRPr="00295637">
        <w:rPr>
          <w:rFonts w:ascii="Roboto" w:hAnsi="Roboto"/>
        </w:rPr>
        <w:t xml:space="preserve">, </w:t>
      </w:r>
      <w:r>
        <w:rPr>
          <w:rFonts w:ascii="Roboto" w:hAnsi="Roboto"/>
        </w:rPr>
        <w:t>несталим</w:t>
      </w:r>
      <w:r w:rsidR="00DB1A4A" w:rsidRPr="00295637">
        <w:rPr>
          <w:rFonts w:ascii="Roboto" w:hAnsi="Roboto"/>
        </w:rPr>
        <w:t xml:space="preserve"> </w:t>
      </w:r>
      <w:r>
        <w:rPr>
          <w:rFonts w:ascii="Roboto" w:hAnsi="Roboto"/>
        </w:rPr>
        <w:t>и</w:t>
      </w:r>
      <w:r w:rsidR="00DB1A4A" w:rsidRPr="00295637">
        <w:rPr>
          <w:rFonts w:ascii="Roboto" w:hAnsi="Roboto"/>
        </w:rPr>
        <w:t xml:space="preserve"> </w:t>
      </w:r>
      <w:r>
        <w:rPr>
          <w:rFonts w:ascii="Roboto" w:hAnsi="Roboto"/>
        </w:rPr>
        <w:t>лицима</w:t>
      </w:r>
      <w:r w:rsidR="00DB1A4A" w:rsidRPr="00295637">
        <w:rPr>
          <w:rFonts w:ascii="Roboto" w:hAnsi="Roboto"/>
        </w:rPr>
        <w:t xml:space="preserve"> </w:t>
      </w:r>
      <w:r>
        <w:rPr>
          <w:rFonts w:ascii="Roboto" w:hAnsi="Roboto"/>
        </w:rPr>
        <w:t>страдалим</w:t>
      </w:r>
      <w:r w:rsidR="00837F75" w:rsidRPr="00295637">
        <w:rPr>
          <w:rFonts w:ascii="Roboto" w:hAnsi="Roboto"/>
        </w:rPr>
        <w:t xml:space="preserve"> </w:t>
      </w:r>
      <w:r>
        <w:rPr>
          <w:rFonts w:ascii="Roboto" w:hAnsi="Roboto"/>
        </w:rPr>
        <w:t>од</w:t>
      </w:r>
      <w:r w:rsidR="00837F75" w:rsidRPr="00295637">
        <w:rPr>
          <w:rFonts w:ascii="Roboto" w:hAnsi="Roboto"/>
        </w:rPr>
        <w:t xml:space="preserve"> </w:t>
      </w:r>
      <w:r>
        <w:rPr>
          <w:rFonts w:ascii="Roboto" w:hAnsi="Roboto"/>
        </w:rPr>
        <w:t>природних</w:t>
      </w:r>
      <w:r w:rsidR="00837F75" w:rsidRPr="00295637">
        <w:rPr>
          <w:rFonts w:ascii="Roboto" w:hAnsi="Roboto"/>
        </w:rPr>
        <w:t xml:space="preserve"> </w:t>
      </w:r>
      <w:r>
        <w:rPr>
          <w:rFonts w:ascii="Roboto" w:hAnsi="Roboto"/>
        </w:rPr>
        <w:t>непогода</w:t>
      </w:r>
      <w:r w:rsidR="00837F75" w:rsidRPr="00295637">
        <w:rPr>
          <w:rFonts w:ascii="Roboto" w:hAnsi="Roboto"/>
        </w:rPr>
        <w:t xml:space="preserve"> </w:t>
      </w:r>
      <w:r>
        <w:rPr>
          <w:rFonts w:ascii="Roboto" w:hAnsi="Roboto"/>
        </w:rPr>
        <w:t>у</w:t>
      </w:r>
      <w:r w:rsidR="00837F75" w:rsidRPr="00295637">
        <w:rPr>
          <w:rFonts w:ascii="Roboto" w:hAnsi="Roboto"/>
        </w:rPr>
        <w:t xml:space="preserve"> </w:t>
      </w:r>
      <w:r>
        <w:rPr>
          <w:rFonts w:ascii="Roboto" w:hAnsi="Roboto"/>
        </w:rPr>
        <w:t>БиХ</w:t>
      </w:r>
      <w:r w:rsidR="00DB1A4A" w:rsidRPr="00295637">
        <w:rPr>
          <w:rFonts w:ascii="Roboto" w:hAnsi="Roboto"/>
        </w:rPr>
        <w:t xml:space="preserve">. </w:t>
      </w:r>
      <w:r>
        <w:rPr>
          <w:rFonts w:ascii="Roboto" w:hAnsi="Roboto"/>
        </w:rPr>
        <w:t>Потребно</w:t>
      </w:r>
      <w:r w:rsidR="00DB1A4A" w:rsidRPr="00295637">
        <w:rPr>
          <w:rFonts w:ascii="Roboto" w:hAnsi="Roboto"/>
        </w:rPr>
        <w:t xml:space="preserve"> </w:t>
      </w:r>
      <w:r>
        <w:rPr>
          <w:rFonts w:ascii="Roboto" w:hAnsi="Roboto"/>
        </w:rPr>
        <w:t>је</w:t>
      </w:r>
      <w:r w:rsidR="00DB1A4A" w:rsidRPr="00295637">
        <w:rPr>
          <w:rFonts w:ascii="Roboto" w:hAnsi="Roboto"/>
        </w:rPr>
        <w:t xml:space="preserve"> </w:t>
      </w:r>
      <w:r>
        <w:rPr>
          <w:rFonts w:ascii="Roboto" w:hAnsi="Roboto"/>
        </w:rPr>
        <w:t>креирати</w:t>
      </w:r>
      <w:r w:rsidR="00DB1A4A" w:rsidRPr="00295637">
        <w:rPr>
          <w:rFonts w:ascii="Roboto" w:hAnsi="Roboto"/>
        </w:rPr>
        <w:t xml:space="preserve"> </w:t>
      </w:r>
      <w:r>
        <w:rPr>
          <w:rFonts w:ascii="Roboto" w:hAnsi="Roboto"/>
        </w:rPr>
        <w:t>или</w:t>
      </w:r>
      <w:r w:rsidR="00DB1A4A" w:rsidRPr="00295637">
        <w:rPr>
          <w:rFonts w:ascii="Roboto" w:hAnsi="Roboto"/>
        </w:rPr>
        <w:t xml:space="preserve"> </w:t>
      </w:r>
      <w:r>
        <w:rPr>
          <w:rFonts w:ascii="Roboto" w:hAnsi="Roboto"/>
        </w:rPr>
        <w:t>ажурирати</w:t>
      </w:r>
      <w:r w:rsidR="00DB1A4A" w:rsidRPr="00295637">
        <w:rPr>
          <w:rFonts w:ascii="Roboto" w:hAnsi="Roboto"/>
        </w:rPr>
        <w:t xml:space="preserve"> </w:t>
      </w:r>
      <w:r>
        <w:rPr>
          <w:rFonts w:ascii="Roboto" w:hAnsi="Roboto"/>
        </w:rPr>
        <w:t>евентуелне</w:t>
      </w:r>
      <w:r w:rsidR="00DB1A4A" w:rsidRPr="00295637">
        <w:rPr>
          <w:rFonts w:ascii="Roboto" w:hAnsi="Roboto"/>
        </w:rPr>
        <w:t xml:space="preserve"> </w:t>
      </w:r>
      <w:r>
        <w:rPr>
          <w:rFonts w:ascii="Roboto" w:hAnsi="Roboto"/>
        </w:rPr>
        <w:t>постојеће</w:t>
      </w:r>
      <w:r w:rsidR="00DB1A4A" w:rsidRPr="00295637">
        <w:rPr>
          <w:rFonts w:ascii="Roboto" w:hAnsi="Roboto"/>
        </w:rPr>
        <w:t xml:space="preserve"> </w:t>
      </w:r>
      <w:r>
        <w:rPr>
          <w:rFonts w:ascii="Roboto" w:hAnsi="Roboto"/>
        </w:rPr>
        <w:t>базе</w:t>
      </w:r>
      <w:r w:rsidR="00DB1A4A" w:rsidRPr="00295637">
        <w:rPr>
          <w:rFonts w:ascii="Roboto" w:hAnsi="Roboto"/>
        </w:rPr>
        <w:t xml:space="preserve"> </w:t>
      </w:r>
      <w:r>
        <w:rPr>
          <w:rFonts w:ascii="Roboto" w:hAnsi="Roboto"/>
        </w:rPr>
        <w:t>података</w:t>
      </w:r>
      <w:r w:rsidR="00DB1A4A" w:rsidRPr="00295637">
        <w:rPr>
          <w:rFonts w:ascii="Roboto" w:hAnsi="Roboto"/>
        </w:rPr>
        <w:t xml:space="preserve"> </w:t>
      </w:r>
      <w:r>
        <w:rPr>
          <w:rFonts w:ascii="Roboto" w:hAnsi="Roboto"/>
        </w:rPr>
        <w:t>за</w:t>
      </w:r>
      <w:r w:rsidR="00DB1A4A" w:rsidRPr="00295637">
        <w:rPr>
          <w:rFonts w:ascii="Roboto" w:hAnsi="Roboto"/>
        </w:rPr>
        <w:t xml:space="preserve"> </w:t>
      </w:r>
      <w:r>
        <w:rPr>
          <w:rFonts w:ascii="Roboto" w:hAnsi="Roboto"/>
        </w:rPr>
        <w:t>повријеђене</w:t>
      </w:r>
      <w:r w:rsidR="00DB1A4A" w:rsidRPr="00295637">
        <w:rPr>
          <w:rFonts w:ascii="Roboto" w:hAnsi="Roboto"/>
        </w:rPr>
        <w:t xml:space="preserve">, </w:t>
      </w:r>
      <w:r>
        <w:rPr>
          <w:rFonts w:ascii="Roboto" w:hAnsi="Roboto"/>
        </w:rPr>
        <w:t>нестале</w:t>
      </w:r>
      <w:r w:rsidR="00DB1A4A" w:rsidRPr="00295637">
        <w:rPr>
          <w:rFonts w:ascii="Roboto" w:hAnsi="Roboto"/>
        </w:rPr>
        <w:t xml:space="preserve"> </w:t>
      </w:r>
      <w:r>
        <w:rPr>
          <w:rFonts w:ascii="Roboto" w:hAnsi="Roboto"/>
        </w:rPr>
        <w:t>и</w:t>
      </w:r>
      <w:r w:rsidR="00DB1A4A" w:rsidRPr="00295637">
        <w:rPr>
          <w:rFonts w:ascii="Roboto" w:hAnsi="Roboto"/>
        </w:rPr>
        <w:t xml:space="preserve"> </w:t>
      </w:r>
      <w:r>
        <w:rPr>
          <w:rFonts w:ascii="Roboto" w:hAnsi="Roboto"/>
        </w:rPr>
        <w:t>страдале</w:t>
      </w:r>
      <w:r w:rsidR="00DB1A4A" w:rsidRPr="00295637">
        <w:rPr>
          <w:rFonts w:ascii="Roboto" w:hAnsi="Roboto"/>
        </w:rPr>
        <w:t xml:space="preserve"> </w:t>
      </w:r>
      <w:r>
        <w:rPr>
          <w:rFonts w:ascii="Roboto" w:hAnsi="Roboto"/>
        </w:rPr>
        <w:t>од</w:t>
      </w:r>
      <w:r w:rsidR="00DB1A4A" w:rsidRPr="00295637">
        <w:rPr>
          <w:rFonts w:ascii="Roboto" w:hAnsi="Roboto"/>
        </w:rPr>
        <w:t xml:space="preserve"> </w:t>
      </w:r>
      <w:r>
        <w:rPr>
          <w:rFonts w:ascii="Roboto" w:hAnsi="Roboto"/>
        </w:rPr>
        <w:t>природних</w:t>
      </w:r>
      <w:r w:rsidR="00DB1A4A" w:rsidRPr="00295637">
        <w:rPr>
          <w:rFonts w:ascii="Roboto" w:hAnsi="Roboto"/>
        </w:rPr>
        <w:t xml:space="preserve"> </w:t>
      </w:r>
      <w:r>
        <w:rPr>
          <w:rFonts w:ascii="Roboto" w:hAnsi="Roboto"/>
        </w:rPr>
        <w:t>непогода</w:t>
      </w:r>
      <w:r w:rsidR="00DB1A4A" w:rsidRPr="00295637">
        <w:rPr>
          <w:rFonts w:ascii="Roboto" w:hAnsi="Roboto"/>
        </w:rPr>
        <w:t xml:space="preserve">, </w:t>
      </w:r>
      <w:r>
        <w:rPr>
          <w:rFonts w:ascii="Roboto" w:hAnsi="Roboto"/>
        </w:rPr>
        <w:t>јер</w:t>
      </w:r>
      <w:r w:rsidR="00DB1A4A" w:rsidRPr="00295637">
        <w:rPr>
          <w:rFonts w:ascii="Roboto" w:hAnsi="Roboto"/>
        </w:rPr>
        <w:t xml:space="preserve"> </w:t>
      </w:r>
      <w:r>
        <w:rPr>
          <w:rFonts w:ascii="Roboto" w:hAnsi="Roboto"/>
        </w:rPr>
        <w:t>ови</w:t>
      </w:r>
      <w:r w:rsidR="00DB1A4A" w:rsidRPr="00295637">
        <w:rPr>
          <w:rFonts w:ascii="Roboto" w:hAnsi="Roboto"/>
        </w:rPr>
        <w:t xml:space="preserve"> </w:t>
      </w:r>
      <w:r>
        <w:rPr>
          <w:rFonts w:ascii="Roboto" w:hAnsi="Roboto"/>
        </w:rPr>
        <w:t>подаци</w:t>
      </w:r>
      <w:r w:rsidR="00DB1A4A" w:rsidRPr="00295637">
        <w:rPr>
          <w:rFonts w:ascii="Roboto" w:hAnsi="Roboto"/>
        </w:rPr>
        <w:t xml:space="preserve"> </w:t>
      </w:r>
      <w:r>
        <w:rPr>
          <w:rFonts w:ascii="Roboto" w:hAnsi="Roboto"/>
        </w:rPr>
        <w:t>нису</w:t>
      </w:r>
      <w:r w:rsidR="00DB1A4A" w:rsidRPr="00295637">
        <w:rPr>
          <w:rFonts w:ascii="Roboto" w:hAnsi="Roboto"/>
        </w:rPr>
        <w:t xml:space="preserve"> </w:t>
      </w:r>
      <w:r>
        <w:rPr>
          <w:rFonts w:ascii="Roboto" w:hAnsi="Roboto"/>
        </w:rPr>
        <w:t>доступни</w:t>
      </w:r>
      <w:r w:rsidR="00DB1A4A" w:rsidRPr="00295637">
        <w:rPr>
          <w:rFonts w:ascii="Roboto" w:hAnsi="Roboto"/>
        </w:rPr>
        <w:t xml:space="preserve"> </w:t>
      </w:r>
      <w:r>
        <w:rPr>
          <w:rFonts w:ascii="Roboto" w:hAnsi="Roboto"/>
        </w:rPr>
        <w:t>ни</w:t>
      </w:r>
      <w:r w:rsidR="00DB1A4A" w:rsidRPr="00295637">
        <w:rPr>
          <w:rFonts w:ascii="Roboto" w:hAnsi="Roboto"/>
        </w:rPr>
        <w:t xml:space="preserve"> </w:t>
      </w:r>
      <w:r>
        <w:rPr>
          <w:rFonts w:ascii="Roboto" w:hAnsi="Roboto"/>
        </w:rPr>
        <w:t>у</w:t>
      </w:r>
      <w:r w:rsidR="00DB1A4A" w:rsidRPr="00295637">
        <w:rPr>
          <w:rFonts w:ascii="Roboto" w:hAnsi="Roboto"/>
        </w:rPr>
        <w:t xml:space="preserve"> </w:t>
      </w:r>
      <w:r>
        <w:rPr>
          <w:rFonts w:ascii="Roboto" w:hAnsi="Roboto"/>
        </w:rPr>
        <w:t>хидрометеоролошким</w:t>
      </w:r>
      <w:r w:rsidR="00DB1A4A" w:rsidRPr="00295637">
        <w:rPr>
          <w:rFonts w:ascii="Roboto" w:hAnsi="Roboto"/>
        </w:rPr>
        <w:t xml:space="preserve"> </w:t>
      </w:r>
      <w:r>
        <w:rPr>
          <w:rFonts w:ascii="Roboto" w:hAnsi="Roboto"/>
        </w:rPr>
        <w:t>институтима</w:t>
      </w:r>
      <w:r w:rsidR="00DB1A4A" w:rsidRPr="00295637">
        <w:rPr>
          <w:rFonts w:ascii="Roboto" w:hAnsi="Roboto"/>
        </w:rPr>
        <w:t xml:space="preserve"> </w:t>
      </w:r>
      <w:r>
        <w:rPr>
          <w:rFonts w:ascii="Roboto" w:hAnsi="Roboto"/>
        </w:rPr>
        <w:t>нити</w:t>
      </w:r>
      <w:r w:rsidR="00DB1A4A" w:rsidRPr="00295637">
        <w:rPr>
          <w:rFonts w:ascii="Roboto" w:hAnsi="Roboto"/>
        </w:rPr>
        <w:t xml:space="preserve"> </w:t>
      </w:r>
      <w:r>
        <w:rPr>
          <w:rFonts w:ascii="Roboto" w:hAnsi="Roboto"/>
        </w:rPr>
        <w:t>у</w:t>
      </w:r>
      <w:r w:rsidR="00DB1A4A" w:rsidRPr="00295637">
        <w:rPr>
          <w:rFonts w:ascii="Roboto" w:hAnsi="Roboto"/>
        </w:rPr>
        <w:t xml:space="preserve"> </w:t>
      </w:r>
      <w:r>
        <w:rPr>
          <w:rFonts w:ascii="Roboto" w:hAnsi="Roboto"/>
        </w:rPr>
        <w:t>ресорним</w:t>
      </w:r>
      <w:r w:rsidR="00DB1A4A" w:rsidRPr="00295637">
        <w:rPr>
          <w:rFonts w:ascii="Roboto" w:hAnsi="Roboto"/>
        </w:rPr>
        <w:t xml:space="preserve"> </w:t>
      </w:r>
      <w:r>
        <w:rPr>
          <w:rFonts w:ascii="Roboto" w:hAnsi="Roboto"/>
        </w:rPr>
        <w:t>министарствима</w:t>
      </w:r>
      <w:r w:rsidR="00DB1A4A" w:rsidRPr="00295637">
        <w:rPr>
          <w:rFonts w:ascii="Roboto" w:hAnsi="Roboto"/>
        </w:rPr>
        <w:t xml:space="preserve">. </w:t>
      </w:r>
      <w:r>
        <w:rPr>
          <w:rFonts w:ascii="Roboto" w:hAnsi="Roboto"/>
        </w:rPr>
        <w:t>Тако</w:t>
      </w:r>
      <w:r w:rsidR="00991DBA">
        <w:rPr>
          <w:rFonts w:ascii="Roboto" w:hAnsi="Roboto"/>
        </w:rPr>
        <w:t>ђе</w:t>
      </w:r>
      <w:r w:rsidR="00DB1A4A" w:rsidRPr="00295637">
        <w:rPr>
          <w:rFonts w:ascii="Roboto" w:hAnsi="Roboto"/>
        </w:rPr>
        <w:t xml:space="preserve">, </w:t>
      </w:r>
      <w:r>
        <w:rPr>
          <w:rFonts w:ascii="Roboto" w:hAnsi="Roboto"/>
        </w:rPr>
        <w:t>потребно</w:t>
      </w:r>
      <w:r w:rsidR="00DB1A4A" w:rsidRPr="00295637">
        <w:rPr>
          <w:rFonts w:ascii="Roboto" w:hAnsi="Roboto"/>
        </w:rPr>
        <w:t xml:space="preserve"> </w:t>
      </w:r>
      <w:r>
        <w:rPr>
          <w:rFonts w:ascii="Roboto" w:hAnsi="Roboto"/>
        </w:rPr>
        <w:t>је</w:t>
      </w:r>
      <w:r w:rsidR="00DB1A4A" w:rsidRPr="00295637">
        <w:rPr>
          <w:rFonts w:ascii="Roboto" w:hAnsi="Roboto"/>
        </w:rPr>
        <w:t xml:space="preserve"> </w:t>
      </w:r>
      <w:r>
        <w:rPr>
          <w:rFonts w:ascii="Roboto" w:hAnsi="Roboto"/>
        </w:rPr>
        <w:t>развити</w:t>
      </w:r>
      <w:r w:rsidR="00DB1A4A" w:rsidRPr="00295637">
        <w:rPr>
          <w:rFonts w:ascii="Roboto" w:hAnsi="Roboto"/>
        </w:rPr>
        <w:t xml:space="preserve"> </w:t>
      </w:r>
      <w:r>
        <w:rPr>
          <w:rFonts w:ascii="Roboto" w:hAnsi="Roboto"/>
        </w:rPr>
        <w:t>методологију</w:t>
      </w:r>
      <w:r w:rsidR="00DB1A4A" w:rsidRPr="00295637">
        <w:rPr>
          <w:rFonts w:ascii="Roboto" w:hAnsi="Roboto"/>
        </w:rPr>
        <w:t xml:space="preserve"> </w:t>
      </w:r>
      <w:r>
        <w:rPr>
          <w:rFonts w:ascii="Roboto" w:hAnsi="Roboto"/>
        </w:rPr>
        <w:t>за</w:t>
      </w:r>
      <w:r w:rsidR="00DB1A4A" w:rsidRPr="00295637">
        <w:rPr>
          <w:rFonts w:ascii="Roboto" w:hAnsi="Roboto"/>
        </w:rPr>
        <w:t xml:space="preserve"> </w:t>
      </w:r>
      <w:r>
        <w:rPr>
          <w:rFonts w:ascii="Roboto" w:hAnsi="Roboto"/>
        </w:rPr>
        <w:t>праћење</w:t>
      </w:r>
      <w:r w:rsidR="00DB1A4A" w:rsidRPr="00295637">
        <w:rPr>
          <w:rFonts w:ascii="Roboto" w:hAnsi="Roboto"/>
        </w:rPr>
        <w:t xml:space="preserve"> </w:t>
      </w:r>
      <w:r>
        <w:rPr>
          <w:rFonts w:ascii="Roboto" w:hAnsi="Roboto"/>
        </w:rPr>
        <w:t>релевантних</w:t>
      </w:r>
      <w:r w:rsidR="00DB1A4A" w:rsidRPr="00295637">
        <w:rPr>
          <w:rFonts w:ascii="Roboto" w:hAnsi="Roboto"/>
        </w:rPr>
        <w:t xml:space="preserve"> </w:t>
      </w:r>
      <w:r>
        <w:rPr>
          <w:rFonts w:ascii="Roboto" w:hAnsi="Roboto"/>
        </w:rPr>
        <w:t>индикатора</w:t>
      </w:r>
      <w:r w:rsidR="00DB1A4A" w:rsidRPr="00295637">
        <w:rPr>
          <w:rFonts w:ascii="Roboto" w:hAnsi="Roboto"/>
        </w:rPr>
        <w:t xml:space="preserve"> </w:t>
      </w:r>
      <w:r>
        <w:rPr>
          <w:rFonts w:ascii="Roboto" w:hAnsi="Roboto"/>
        </w:rPr>
        <w:t>о</w:t>
      </w:r>
      <w:r w:rsidR="00DB1A4A" w:rsidRPr="00295637">
        <w:rPr>
          <w:rFonts w:ascii="Roboto" w:hAnsi="Roboto"/>
        </w:rPr>
        <w:t xml:space="preserve"> </w:t>
      </w:r>
      <w:r>
        <w:rPr>
          <w:rFonts w:ascii="Roboto" w:hAnsi="Roboto"/>
        </w:rPr>
        <w:t>подацима</w:t>
      </w:r>
      <w:r w:rsidR="00DB1A4A" w:rsidRPr="00295637">
        <w:rPr>
          <w:rFonts w:ascii="Roboto" w:hAnsi="Roboto"/>
        </w:rPr>
        <w:t xml:space="preserve"> </w:t>
      </w:r>
      <w:r>
        <w:rPr>
          <w:rFonts w:ascii="Roboto" w:hAnsi="Roboto"/>
        </w:rPr>
        <w:t>утицаја</w:t>
      </w:r>
      <w:r w:rsidR="00DB1A4A" w:rsidRPr="00295637">
        <w:rPr>
          <w:rFonts w:ascii="Roboto" w:hAnsi="Roboto"/>
        </w:rPr>
        <w:t xml:space="preserve"> </w:t>
      </w:r>
      <w:r>
        <w:rPr>
          <w:rFonts w:ascii="Roboto" w:hAnsi="Roboto"/>
        </w:rPr>
        <w:t>елементарних</w:t>
      </w:r>
      <w:r w:rsidR="00DB1A4A" w:rsidRPr="00295637">
        <w:rPr>
          <w:rFonts w:ascii="Roboto" w:hAnsi="Roboto"/>
        </w:rPr>
        <w:t xml:space="preserve"> </w:t>
      </w:r>
      <w:r>
        <w:rPr>
          <w:rFonts w:ascii="Roboto" w:hAnsi="Roboto"/>
        </w:rPr>
        <w:t>непогода</w:t>
      </w:r>
      <w:r w:rsidR="00DB1A4A" w:rsidRPr="00295637">
        <w:rPr>
          <w:rFonts w:ascii="Roboto" w:hAnsi="Roboto"/>
        </w:rPr>
        <w:t xml:space="preserve">, </w:t>
      </w:r>
      <w:r>
        <w:rPr>
          <w:rFonts w:ascii="Roboto" w:hAnsi="Roboto"/>
        </w:rPr>
        <w:t>програма</w:t>
      </w:r>
      <w:r w:rsidR="00DB1A4A" w:rsidRPr="00295637">
        <w:rPr>
          <w:rFonts w:ascii="Roboto" w:hAnsi="Roboto"/>
        </w:rPr>
        <w:t xml:space="preserve"> </w:t>
      </w:r>
      <w:r>
        <w:rPr>
          <w:rFonts w:ascii="Roboto" w:hAnsi="Roboto"/>
        </w:rPr>
        <w:t>спашавања</w:t>
      </w:r>
      <w:r w:rsidR="00DB1A4A" w:rsidRPr="00295637">
        <w:rPr>
          <w:rFonts w:ascii="Roboto" w:hAnsi="Roboto"/>
        </w:rPr>
        <w:t xml:space="preserve"> </w:t>
      </w:r>
      <w:r>
        <w:rPr>
          <w:rFonts w:ascii="Roboto" w:hAnsi="Roboto"/>
        </w:rPr>
        <w:t>и</w:t>
      </w:r>
      <w:r w:rsidR="00DB1A4A" w:rsidRPr="00295637">
        <w:rPr>
          <w:rFonts w:ascii="Roboto" w:hAnsi="Roboto"/>
        </w:rPr>
        <w:t xml:space="preserve"> </w:t>
      </w:r>
      <w:r>
        <w:rPr>
          <w:rFonts w:ascii="Roboto" w:hAnsi="Roboto"/>
        </w:rPr>
        <w:t>збрињавања</w:t>
      </w:r>
      <w:r w:rsidR="00DB1A4A" w:rsidRPr="00295637">
        <w:rPr>
          <w:rFonts w:ascii="Roboto" w:hAnsi="Roboto"/>
        </w:rPr>
        <w:t xml:space="preserve">, </w:t>
      </w:r>
      <w:r>
        <w:rPr>
          <w:rFonts w:ascii="Roboto" w:hAnsi="Roboto"/>
        </w:rPr>
        <w:t>те</w:t>
      </w:r>
      <w:r w:rsidR="00DB1A4A" w:rsidRPr="00295637">
        <w:rPr>
          <w:rFonts w:ascii="Roboto" w:hAnsi="Roboto"/>
        </w:rPr>
        <w:t xml:space="preserve"> </w:t>
      </w:r>
      <w:r>
        <w:rPr>
          <w:rFonts w:ascii="Roboto" w:hAnsi="Roboto"/>
        </w:rPr>
        <w:t>укључености</w:t>
      </w:r>
      <w:r w:rsidR="00DB1A4A" w:rsidRPr="00295637">
        <w:rPr>
          <w:rFonts w:ascii="Roboto" w:hAnsi="Roboto"/>
        </w:rPr>
        <w:t xml:space="preserve"> </w:t>
      </w:r>
      <w:r>
        <w:rPr>
          <w:rFonts w:ascii="Roboto" w:hAnsi="Roboto"/>
        </w:rPr>
        <w:t>жена</w:t>
      </w:r>
      <w:r w:rsidR="00DB1A4A" w:rsidRPr="00295637">
        <w:rPr>
          <w:rFonts w:ascii="Roboto" w:hAnsi="Roboto"/>
        </w:rPr>
        <w:t xml:space="preserve"> </w:t>
      </w:r>
      <w:r>
        <w:rPr>
          <w:rFonts w:ascii="Roboto" w:hAnsi="Roboto"/>
        </w:rPr>
        <w:t>у</w:t>
      </w:r>
      <w:r w:rsidR="00DB1A4A" w:rsidRPr="00295637">
        <w:rPr>
          <w:rFonts w:ascii="Roboto" w:hAnsi="Roboto"/>
        </w:rPr>
        <w:t xml:space="preserve"> </w:t>
      </w:r>
      <w:r>
        <w:rPr>
          <w:rFonts w:ascii="Roboto" w:hAnsi="Roboto"/>
        </w:rPr>
        <w:t>рад</w:t>
      </w:r>
      <w:r w:rsidR="00DB1A4A" w:rsidRPr="00295637">
        <w:rPr>
          <w:rFonts w:ascii="Roboto" w:hAnsi="Roboto"/>
        </w:rPr>
        <w:t xml:space="preserve"> </w:t>
      </w:r>
      <w:r>
        <w:rPr>
          <w:rFonts w:ascii="Roboto" w:hAnsi="Roboto"/>
        </w:rPr>
        <w:t>цивилних</w:t>
      </w:r>
      <w:r w:rsidR="00DB1A4A" w:rsidRPr="00295637">
        <w:rPr>
          <w:rFonts w:ascii="Roboto" w:hAnsi="Roboto"/>
        </w:rPr>
        <w:t xml:space="preserve"> </w:t>
      </w:r>
      <w:r>
        <w:rPr>
          <w:rFonts w:ascii="Roboto" w:hAnsi="Roboto"/>
        </w:rPr>
        <w:t>заштита</w:t>
      </w:r>
      <w:r w:rsidR="00240048" w:rsidRPr="00295637">
        <w:rPr>
          <w:rFonts w:ascii="Roboto" w:hAnsi="Roboto"/>
        </w:rPr>
        <w:t>.</w:t>
      </w:r>
    </w:p>
    <w:p w:rsidR="00D57CEE" w:rsidRPr="00295637" w:rsidRDefault="00D57CEE" w:rsidP="0086268D">
      <w:pPr>
        <w:pStyle w:val="NormalWeb"/>
        <w:spacing w:before="0" w:beforeAutospacing="0" w:after="0" w:afterAutospacing="0"/>
        <w:jc w:val="both"/>
        <w:rPr>
          <w:lang w:val="bs-Latn-BA"/>
        </w:rPr>
      </w:pPr>
    </w:p>
    <w:p w:rsidR="00911804" w:rsidRPr="00295637" w:rsidRDefault="00991DBA" w:rsidP="006A4148">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6A4148">
        <w:rPr>
          <w:rFonts w:ascii="Times New Roman" w:hAnsi="Times New Roman"/>
          <w:szCs w:val="24"/>
          <w:lang w:val="bs-Latn-BA"/>
        </w:rPr>
        <w:t xml:space="preserve"> 8.1  </w:t>
      </w:r>
      <w:r w:rsidR="00C6214E">
        <w:rPr>
          <w:rFonts w:ascii="Times New Roman" w:hAnsi="Times New Roman"/>
          <w:szCs w:val="24"/>
          <w:lang w:val="bs-Latn-BA"/>
        </w:rPr>
        <w:t>Идентифи</w:t>
      </w:r>
      <w:r>
        <w:rPr>
          <w:rFonts w:ascii="Times New Roman" w:hAnsi="Times New Roman"/>
          <w:szCs w:val="24"/>
          <w:lang w:val="sr-Cyrl-BA"/>
        </w:rPr>
        <w:t>ковање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приоритетних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гендер</w:t>
      </w:r>
      <w:r w:rsidR="00356C2C" w:rsidRPr="00295637">
        <w:rPr>
          <w:rFonts w:ascii="Times New Roman" w:hAnsi="Times New Roman"/>
          <w:szCs w:val="24"/>
          <w:lang w:val="bs-Latn-BA"/>
        </w:rPr>
        <w:t xml:space="preserve"> </w:t>
      </w:r>
      <w:r w:rsidR="00C6214E">
        <w:rPr>
          <w:rFonts w:ascii="Times New Roman" w:hAnsi="Times New Roman"/>
          <w:szCs w:val="24"/>
          <w:lang w:val="bs-Latn-BA"/>
        </w:rPr>
        <w:t>анализе</w:t>
      </w:r>
      <w:r w:rsidR="00356C2C" w:rsidRPr="00295637">
        <w:rPr>
          <w:rFonts w:ascii="Times New Roman" w:hAnsi="Times New Roman"/>
          <w:szCs w:val="24"/>
          <w:lang w:val="bs-Latn-BA"/>
        </w:rPr>
        <w:t xml:space="preserve">, </w:t>
      </w:r>
      <w:r w:rsidR="00C6214E">
        <w:rPr>
          <w:rFonts w:ascii="Times New Roman" w:hAnsi="Times New Roman"/>
          <w:szCs w:val="24"/>
          <w:lang w:val="bs-Latn-BA"/>
        </w:rPr>
        <w:t>стратегија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акционих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планова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других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аката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управљања</w:t>
      </w:r>
      <w:r w:rsidR="00356C2C" w:rsidRPr="00295637">
        <w:rPr>
          <w:rFonts w:ascii="Times New Roman" w:hAnsi="Times New Roman"/>
          <w:szCs w:val="24"/>
          <w:lang w:val="bs-Latn-BA"/>
        </w:rPr>
        <w:t xml:space="preserve"> </w:t>
      </w:r>
      <w:r>
        <w:rPr>
          <w:rFonts w:ascii="Times New Roman" w:hAnsi="Times New Roman"/>
          <w:szCs w:val="24"/>
          <w:lang w:val="sr-Cyrl-BA"/>
        </w:rPr>
        <w:t>животном средином</w:t>
      </w:r>
      <w:r w:rsidR="00356C2C" w:rsidRPr="00295637">
        <w:rPr>
          <w:rFonts w:ascii="Times New Roman" w:hAnsi="Times New Roman"/>
          <w:szCs w:val="24"/>
          <w:lang w:val="bs-Latn-BA"/>
        </w:rPr>
        <w:t xml:space="preserve"> </w:t>
      </w:r>
      <w:r>
        <w:rPr>
          <w:rFonts w:ascii="Times New Roman" w:hAnsi="Times New Roman"/>
          <w:szCs w:val="24"/>
          <w:lang w:val="sr-Cyrl-BA"/>
        </w:rPr>
        <w:t>с</w:t>
      </w:r>
      <w:r w:rsidR="00356C2C" w:rsidRPr="00295637">
        <w:rPr>
          <w:rFonts w:ascii="Times New Roman" w:hAnsi="Times New Roman"/>
          <w:szCs w:val="24"/>
          <w:lang w:val="bs-Latn-BA"/>
        </w:rPr>
        <w:t xml:space="preserve"> </w:t>
      </w:r>
      <w:r w:rsidR="00C6214E">
        <w:rPr>
          <w:rFonts w:ascii="Times New Roman" w:hAnsi="Times New Roman"/>
          <w:szCs w:val="24"/>
          <w:lang w:val="bs-Latn-BA"/>
        </w:rPr>
        <w:t>циљ</w:t>
      </w:r>
      <w:r>
        <w:rPr>
          <w:rFonts w:ascii="Times New Roman" w:hAnsi="Times New Roman"/>
          <w:szCs w:val="24"/>
          <w:lang w:val="sr-Cyrl-BA"/>
        </w:rPr>
        <w:t>ем</w:t>
      </w:r>
      <w:r w:rsidR="00356C2C" w:rsidRPr="00295637">
        <w:rPr>
          <w:rFonts w:ascii="Times New Roman" w:hAnsi="Times New Roman"/>
          <w:szCs w:val="24"/>
          <w:lang w:val="bs-Latn-BA"/>
        </w:rPr>
        <w:t xml:space="preserve"> </w:t>
      </w:r>
      <w:r w:rsidR="00C6214E">
        <w:rPr>
          <w:rFonts w:ascii="Times New Roman" w:hAnsi="Times New Roman"/>
          <w:szCs w:val="24"/>
          <w:lang w:val="bs-Latn-BA"/>
        </w:rPr>
        <w:t>увођења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примјене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домаћих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овој</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утврђивања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недостатака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предности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стварних</w:t>
      </w:r>
      <w:r w:rsidR="005D3782">
        <w:rPr>
          <w:rFonts w:ascii="Times New Roman" w:hAnsi="Times New Roman"/>
          <w:szCs w:val="24"/>
          <w:lang w:val="bs-Latn-BA"/>
        </w:rPr>
        <w:t xml:space="preserve"> </w:t>
      </w:r>
      <w:r w:rsidR="00C6214E">
        <w:rPr>
          <w:rFonts w:ascii="Times New Roman" w:hAnsi="Times New Roman"/>
          <w:szCs w:val="24"/>
          <w:lang w:val="bs-Latn-BA"/>
        </w:rPr>
        <w:t>потреба</w:t>
      </w:r>
      <w:r w:rsidR="005D3782">
        <w:rPr>
          <w:rFonts w:ascii="Times New Roman" w:hAnsi="Times New Roman"/>
          <w:szCs w:val="24"/>
          <w:lang w:val="bs-Latn-BA"/>
        </w:rPr>
        <w:t xml:space="preserve"> </w:t>
      </w:r>
      <w:r w:rsidR="00C6214E">
        <w:rPr>
          <w:rFonts w:ascii="Times New Roman" w:hAnsi="Times New Roman"/>
          <w:szCs w:val="24"/>
          <w:lang w:val="bs-Latn-BA"/>
        </w:rPr>
        <w:t>и</w:t>
      </w:r>
      <w:r w:rsidR="005D3782">
        <w:rPr>
          <w:rFonts w:ascii="Times New Roman" w:hAnsi="Times New Roman"/>
          <w:szCs w:val="24"/>
          <w:lang w:val="bs-Latn-BA"/>
        </w:rPr>
        <w:t xml:space="preserve"> </w:t>
      </w:r>
      <w:r w:rsidR="00C6214E">
        <w:rPr>
          <w:rFonts w:ascii="Times New Roman" w:hAnsi="Times New Roman"/>
          <w:szCs w:val="24"/>
          <w:lang w:val="bs-Latn-BA"/>
        </w:rPr>
        <w:t>могућности</w:t>
      </w:r>
      <w:r w:rsidR="005D3782">
        <w:rPr>
          <w:rFonts w:ascii="Times New Roman" w:hAnsi="Times New Roman"/>
          <w:szCs w:val="24"/>
          <w:lang w:val="bs-Latn-BA"/>
        </w:rPr>
        <w:t xml:space="preserve"> </w:t>
      </w:r>
      <w:r w:rsidR="00C6214E">
        <w:rPr>
          <w:rFonts w:ascii="Times New Roman" w:hAnsi="Times New Roman"/>
          <w:szCs w:val="24"/>
          <w:lang w:val="bs-Latn-BA"/>
        </w:rPr>
        <w:t>са</w:t>
      </w:r>
      <w:r w:rsidR="00DB4F16" w:rsidRPr="00295637">
        <w:rPr>
          <w:rFonts w:ascii="Times New Roman" w:hAnsi="Times New Roman"/>
          <w:szCs w:val="24"/>
          <w:lang w:val="bs-Latn-BA"/>
        </w:rPr>
        <w:t xml:space="preserve"> </w:t>
      </w:r>
      <w:r w:rsidR="00C6214E">
        <w:rPr>
          <w:rFonts w:ascii="Times New Roman" w:hAnsi="Times New Roman"/>
          <w:szCs w:val="24"/>
          <w:lang w:val="bs-Latn-BA"/>
        </w:rPr>
        <w:t>аспекта</w:t>
      </w:r>
      <w:r w:rsidR="00DB4F16"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DB4F16"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DB4F16" w:rsidRPr="00295637">
        <w:rPr>
          <w:rFonts w:ascii="Times New Roman" w:hAnsi="Times New Roman"/>
          <w:szCs w:val="24"/>
          <w:lang w:val="bs-Latn-BA"/>
        </w:rPr>
        <w:t>.</w:t>
      </w:r>
    </w:p>
    <w:p w:rsidR="00DB4F16" w:rsidRPr="00295637" w:rsidRDefault="00DB4F16" w:rsidP="0086268D">
      <w:pPr>
        <w:jc w:val="both"/>
        <w:rPr>
          <w:rFonts w:ascii="Times New Roman" w:eastAsia="SimSun" w:hAnsi="Times New Roman"/>
          <w:bCs/>
          <w:lang w:val="bs-Latn-BA" w:eastAsia="zh-CN"/>
        </w:rPr>
      </w:pPr>
    </w:p>
    <w:p w:rsidR="00960D0A" w:rsidRPr="00295637" w:rsidRDefault="00C6214E" w:rsidP="0086268D">
      <w:pPr>
        <w:jc w:val="both"/>
        <w:rPr>
          <w:rFonts w:ascii="Times New Roman" w:hAnsi="Times New Roman"/>
          <w:szCs w:val="24"/>
        </w:rPr>
      </w:pPr>
      <w:r>
        <w:rPr>
          <w:rFonts w:ascii="Times New Roman" w:hAnsi="Times New Roman"/>
          <w:szCs w:val="24"/>
        </w:rPr>
        <w:t>У</w:t>
      </w:r>
      <w:r w:rsidR="00960D0A" w:rsidRPr="00295637">
        <w:rPr>
          <w:rFonts w:ascii="Times New Roman" w:hAnsi="Times New Roman"/>
          <w:szCs w:val="24"/>
        </w:rPr>
        <w:t xml:space="preserve"> </w:t>
      </w:r>
      <w:r>
        <w:rPr>
          <w:rFonts w:ascii="Times New Roman" w:hAnsi="Times New Roman"/>
          <w:szCs w:val="24"/>
        </w:rPr>
        <w:t>оквиру</w:t>
      </w:r>
      <w:r w:rsidR="00960D0A" w:rsidRPr="00295637">
        <w:rPr>
          <w:rFonts w:ascii="Times New Roman" w:hAnsi="Times New Roman"/>
          <w:szCs w:val="24"/>
        </w:rPr>
        <w:t xml:space="preserve"> </w:t>
      </w:r>
      <w:r>
        <w:rPr>
          <w:rFonts w:ascii="Times New Roman" w:hAnsi="Times New Roman"/>
          <w:szCs w:val="24"/>
        </w:rPr>
        <w:t>Међународног</w:t>
      </w:r>
      <w:r w:rsidR="00960D0A" w:rsidRPr="00295637">
        <w:rPr>
          <w:rFonts w:ascii="Times New Roman" w:hAnsi="Times New Roman"/>
          <w:szCs w:val="24"/>
        </w:rPr>
        <w:t xml:space="preserve"> </w:t>
      </w:r>
      <w:r>
        <w:rPr>
          <w:rFonts w:ascii="Times New Roman" w:hAnsi="Times New Roman"/>
          <w:szCs w:val="24"/>
        </w:rPr>
        <w:t>покрета</w:t>
      </w:r>
      <w:r w:rsidR="00960D0A" w:rsidRPr="00295637">
        <w:rPr>
          <w:rFonts w:ascii="Times New Roman" w:hAnsi="Times New Roman"/>
          <w:szCs w:val="24"/>
        </w:rPr>
        <w:t xml:space="preserve"> </w:t>
      </w:r>
      <w:r w:rsidR="004F0A65" w:rsidRPr="00295637">
        <w:rPr>
          <w:rFonts w:ascii="Times New Roman" w:hAnsi="Times New Roman"/>
          <w:szCs w:val="24"/>
        </w:rPr>
        <w:t>„</w:t>
      </w:r>
      <w:r>
        <w:rPr>
          <w:rFonts w:ascii="Times New Roman" w:hAnsi="Times New Roman"/>
          <w:szCs w:val="24"/>
        </w:rPr>
        <w:t>Генерација</w:t>
      </w:r>
      <w:r w:rsidR="00960D0A" w:rsidRPr="00295637">
        <w:rPr>
          <w:rFonts w:ascii="Times New Roman" w:hAnsi="Times New Roman"/>
          <w:szCs w:val="24"/>
        </w:rPr>
        <w:t xml:space="preserve"> </w:t>
      </w:r>
      <w:r>
        <w:rPr>
          <w:rFonts w:ascii="Times New Roman" w:hAnsi="Times New Roman"/>
          <w:szCs w:val="24"/>
        </w:rPr>
        <w:t>за</w:t>
      </w:r>
      <w:r w:rsidR="00960D0A" w:rsidRPr="00295637">
        <w:rPr>
          <w:rFonts w:ascii="Times New Roman" w:hAnsi="Times New Roman"/>
          <w:szCs w:val="24"/>
        </w:rPr>
        <w:t xml:space="preserve"> </w:t>
      </w:r>
      <w:r>
        <w:rPr>
          <w:rFonts w:ascii="Times New Roman" w:hAnsi="Times New Roman"/>
          <w:szCs w:val="24"/>
        </w:rPr>
        <w:t>равноправност</w:t>
      </w:r>
      <w:r w:rsidR="004F0A65" w:rsidRPr="00295637">
        <w:rPr>
          <w:rFonts w:ascii="Times New Roman" w:hAnsi="Times New Roman"/>
          <w:szCs w:val="24"/>
        </w:rPr>
        <w:t>“</w:t>
      </w:r>
      <w:r w:rsidR="00960D0A" w:rsidRPr="00295637">
        <w:rPr>
          <w:rFonts w:ascii="Times New Roman" w:hAnsi="Times New Roman"/>
          <w:szCs w:val="24"/>
        </w:rPr>
        <w:t xml:space="preserve">, </w:t>
      </w:r>
      <w:r>
        <w:rPr>
          <w:rFonts w:ascii="Times New Roman" w:hAnsi="Times New Roman"/>
          <w:szCs w:val="24"/>
        </w:rPr>
        <w:t>чиј</w:t>
      </w:r>
      <w:r w:rsidR="00991DBA">
        <w:rPr>
          <w:rFonts w:ascii="Times New Roman" w:hAnsi="Times New Roman"/>
          <w:szCs w:val="24"/>
          <w:lang w:val="sr-Cyrl-BA"/>
        </w:rPr>
        <w:t>и</w:t>
      </w:r>
      <w:r>
        <w:rPr>
          <w:rFonts w:ascii="Times New Roman" w:hAnsi="Times New Roman"/>
          <w:szCs w:val="24"/>
        </w:rPr>
        <w:t>м</w:t>
      </w:r>
      <w:r w:rsidR="00960D0A" w:rsidRPr="00295637">
        <w:rPr>
          <w:rFonts w:ascii="Times New Roman" w:hAnsi="Times New Roman"/>
          <w:szCs w:val="24"/>
        </w:rPr>
        <w:t xml:space="preserve"> </w:t>
      </w:r>
      <w:r w:rsidR="00991DBA">
        <w:rPr>
          <w:rFonts w:ascii="Times New Roman" w:hAnsi="Times New Roman"/>
          <w:szCs w:val="24"/>
          <w:lang w:val="sr-Cyrl-BA"/>
        </w:rPr>
        <w:t>спровођењем</w:t>
      </w:r>
      <w:r w:rsidR="00960D0A" w:rsidRPr="00295637">
        <w:rPr>
          <w:rFonts w:ascii="Times New Roman" w:hAnsi="Times New Roman"/>
          <w:szCs w:val="24"/>
        </w:rPr>
        <w:t xml:space="preserve"> </w:t>
      </w:r>
      <w:r>
        <w:rPr>
          <w:rFonts w:ascii="Times New Roman" w:hAnsi="Times New Roman"/>
          <w:szCs w:val="24"/>
        </w:rPr>
        <w:t>у</w:t>
      </w:r>
      <w:r w:rsidR="00960D0A" w:rsidRPr="00295637">
        <w:rPr>
          <w:rFonts w:ascii="Times New Roman" w:hAnsi="Times New Roman"/>
          <w:szCs w:val="24"/>
        </w:rPr>
        <w:t xml:space="preserve"> </w:t>
      </w:r>
      <w:r>
        <w:rPr>
          <w:rFonts w:ascii="Times New Roman" w:hAnsi="Times New Roman"/>
          <w:szCs w:val="24"/>
        </w:rPr>
        <w:t>БиХ</w:t>
      </w:r>
      <w:r w:rsidR="005D3782">
        <w:rPr>
          <w:rFonts w:ascii="Times New Roman" w:hAnsi="Times New Roman"/>
          <w:szCs w:val="24"/>
        </w:rPr>
        <w:t xml:space="preserve"> </w:t>
      </w:r>
      <w:r>
        <w:rPr>
          <w:rFonts w:ascii="Times New Roman" w:hAnsi="Times New Roman"/>
          <w:szCs w:val="24"/>
        </w:rPr>
        <w:t>заједно</w:t>
      </w:r>
      <w:r w:rsidR="005D3782">
        <w:rPr>
          <w:rFonts w:ascii="Times New Roman" w:hAnsi="Times New Roman"/>
          <w:szCs w:val="24"/>
        </w:rPr>
        <w:t xml:space="preserve"> </w:t>
      </w:r>
      <w:r>
        <w:rPr>
          <w:rFonts w:ascii="Times New Roman" w:hAnsi="Times New Roman"/>
          <w:szCs w:val="24"/>
        </w:rPr>
        <w:t>са</w:t>
      </w:r>
      <w:r w:rsidR="00960D0A" w:rsidRPr="00295637">
        <w:rPr>
          <w:rFonts w:ascii="Times New Roman" w:hAnsi="Times New Roman"/>
          <w:szCs w:val="24"/>
        </w:rPr>
        <w:t xml:space="preserve"> </w:t>
      </w:r>
      <w:r>
        <w:rPr>
          <w:rFonts w:ascii="Times New Roman" w:hAnsi="Times New Roman"/>
          <w:szCs w:val="24"/>
        </w:rPr>
        <w:t>УН</w:t>
      </w:r>
      <w:r w:rsidR="00616674" w:rsidRPr="00295637">
        <w:rPr>
          <w:rFonts w:ascii="Times New Roman" w:hAnsi="Times New Roman"/>
          <w:szCs w:val="24"/>
        </w:rPr>
        <w:t>-</w:t>
      </w:r>
      <w:r>
        <w:rPr>
          <w:rFonts w:ascii="Times New Roman" w:hAnsi="Times New Roman"/>
          <w:szCs w:val="24"/>
        </w:rPr>
        <w:t>агенцијама</w:t>
      </w:r>
      <w:r w:rsidR="00616674" w:rsidRPr="00295637">
        <w:rPr>
          <w:rFonts w:ascii="Times New Roman" w:hAnsi="Times New Roman"/>
          <w:szCs w:val="24"/>
        </w:rPr>
        <w:t xml:space="preserve"> </w:t>
      </w:r>
      <w:r>
        <w:rPr>
          <w:rFonts w:ascii="Times New Roman" w:hAnsi="Times New Roman"/>
          <w:szCs w:val="24"/>
        </w:rPr>
        <w:t>у</w:t>
      </w:r>
      <w:r w:rsidR="00050016">
        <w:rPr>
          <w:rFonts w:ascii="Times New Roman" w:hAnsi="Times New Roman"/>
          <w:szCs w:val="24"/>
        </w:rPr>
        <w:t xml:space="preserve"> </w:t>
      </w:r>
      <w:r>
        <w:rPr>
          <w:rFonts w:ascii="Times New Roman" w:hAnsi="Times New Roman"/>
          <w:szCs w:val="24"/>
        </w:rPr>
        <w:t>БиХ</w:t>
      </w:r>
      <w:r w:rsidR="00960D0A" w:rsidRPr="00295637">
        <w:rPr>
          <w:rFonts w:ascii="Times New Roman" w:hAnsi="Times New Roman"/>
          <w:szCs w:val="24"/>
        </w:rPr>
        <w:t xml:space="preserve"> </w:t>
      </w:r>
      <w:r>
        <w:rPr>
          <w:rFonts w:ascii="Times New Roman" w:hAnsi="Times New Roman"/>
          <w:szCs w:val="24"/>
        </w:rPr>
        <w:t>координира</w:t>
      </w:r>
      <w:r w:rsidR="00960D0A" w:rsidRPr="00295637">
        <w:rPr>
          <w:rFonts w:ascii="Times New Roman" w:hAnsi="Times New Roman"/>
          <w:szCs w:val="24"/>
        </w:rPr>
        <w:t xml:space="preserve"> </w:t>
      </w:r>
      <w:r>
        <w:rPr>
          <w:rFonts w:ascii="Times New Roman" w:hAnsi="Times New Roman"/>
          <w:szCs w:val="24"/>
        </w:rPr>
        <w:t>АР</w:t>
      </w:r>
      <w:r w:rsidR="00991DBA">
        <w:rPr>
          <w:rFonts w:ascii="Times New Roman" w:hAnsi="Times New Roman"/>
          <w:szCs w:val="24"/>
          <w:lang w:val="sr-Cyrl-BA"/>
        </w:rPr>
        <w:t>П</w:t>
      </w:r>
      <w:r w:rsidR="005D3782">
        <w:rPr>
          <w:rFonts w:ascii="Times New Roman" w:hAnsi="Times New Roman"/>
          <w:szCs w:val="24"/>
        </w:rPr>
        <w:t xml:space="preserve"> </w:t>
      </w:r>
      <w:r>
        <w:rPr>
          <w:rFonts w:ascii="Times New Roman" w:hAnsi="Times New Roman"/>
          <w:szCs w:val="24"/>
        </w:rPr>
        <w:t>БиХ</w:t>
      </w:r>
      <w:r w:rsidR="005D3782">
        <w:rPr>
          <w:rFonts w:ascii="Times New Roman" w:hAnsi="Times New Roman"/>
          <w:szCs w:val="24"/>
        </w:rPr>
        <w:t xml:space="preserve"> </w:t>
      </w:r>
      <w:r>
        <w:rPr>
          <w:rFonts w:ascii="Times New Roman" w:hAnsi="Times New Roman"/>
          <w:szCs w:val="24"/>
        </w:rPr>
        <w:t>МЉПИ</w:t>
      </w:r>
      <w:r w:rsidR="005D3782">
        <w:rPr>
          <w:rFonts w:ascii="Times New Roman" w:hAnsi="Times New Roman"/>
          <w:szCs w:val="24"/>
        </w:rPr>
        <w:t xml:space="preserve"> </w:t>
      </w:r>
      <w:r>
        <w:rPr>
          <w:rFonts w:ascii="Times New Roman" w:hAnsi="Times New Roman"/>
          <w:szCs w:val="24"/>
        </w:rPr>
        <w:t>БиХ</w:t>
      </w:r>
      <w:r w:rsidR="00616674" w:rsidRPr="00295637">
        <w:rPr>
          <w:rFonts w:ascii="Times New Roman" w:hAnsi="Times New Roman"/>
          <w:szCs w:val="24"/>
        </w:rPr>
        <w:t>,</w:t>
      </w:r>
      <w:r w:rsidR="00960D0A" w:rsidRPr="00295637">
        <w:rPr>
          <w:rFonts w:ascii="Times New Roman" w:hAnsi="Times New Roman"/>
          <w:szCs w:val="24"/>
        </w:rPr>
        <w:t xml:space="preserve"> </w:t>
      </w:r>
      <w:r>
        <w:rPr>
          <w:rFonts w:ascii="Times New Roman" w:hAnsi="Times New Roman"/>
          <w:szCs w:val="24"/>
        </w:rPr>
        <w:t>настављене</w:t>
      </w:r>
      <w:r w:rsidR="00960D0A" w:rsidRPr="00295637">
        <w:rPr>
          <w:rFonts w:ascii="Times New Roman" w:hAnsi="Times New Roman"/>
          <w:szCs w:val="24"/>
        </w:rPr>
        <w:t xml:space="preserve"> </w:t>
      </w:r>
      <w:r>
        <w:rPr>
          <w:rFonts w:ascii="Times New Roman" w:hAnsi="Times New Roman"/>
          <w:szCs w:val="24"/>
        </w:rPr>
        <w:t>су</w:t>
      </w:r>
      <w:r w:rsidR="00960D0A" w:rsidRPr="00295637">
        <w:rPr>
          <w:rFonts w:ascii="Times New Roman" w:hAnsi="Times New Roman"/>
          <w:szCs w:val="24"/>
        </w:rPr>
        <w:t xml:space="preserve"> </w:t>
      </w:r>
      <w:r>
        <w:rPr>
          <w:rFonts w:ascii="Times New Roman" w:hAnsi="Times New Roman"/>
          <w:szCs w:val="24"/>
        </w:rPr>
        <w:t>активности</w:t>
      </w:r>
      <w:r w:rsidR="00960D0A" w:rsidRPr="00295637">
        <w:rPr>
          <w:rFonts w:ascii="Times New Roman" w:hAnsi="Times New Roman"/>
          <w:szCs w:val="24"/>
        </w:rPr>
        <w:t xml:space="preserve"> </w:t>
      </w:r>
      <w:r>
        <w:rPr>
          <w:rFonts w:ascii="Times New Roman" w:hAnsi="Times New Roman"/>
          <w:szCs w:val="24"/>
        </w:rPr>
        <w:t>у</w:t>
      </w:r>
      <w:r w:rsidR="00960D0A" w:rsidRPr="00295637">
        <w:rPr>
          <w:rFonts w:ascii="Times New Roman" w:hAnsi="Times New Roman"/>
          <w:szCs w:val="24"/>
        </w:rPr>
        <w:t xml:space="preserve"> </w:t>
      </w:r>
      <w:r>
        <w:rPr>
          <w:rFonts w:ascii="Times New Roman" w:hAnsi="Times New Roman"/>
          <w:szCs w:val="24"/>
        </w:rPr>
        <w:t>оквиру</w:t>
      </w:r>
      <w:r w:rsidR="00960D0A" w:rsidRPr="00295637">
        <w:rPr>
          <w:rFonts w:ascii="Times New Roman" w:hAnsi="Times New Roman"/>
          <w:szCs w:val="24"/>
        </w:rPr>
        <w:t xml:space="preserve"> </w:t>
      </w:r>
      <w:r>
        <w:rPr>
          <w:rFonts w:ascii="Times New Roman" w:hAnsi="Times New Roman"/>
          <w:szCs w:val="24"/>
        </w:rPr>
        <w:t>четири</w:t>
      </w:r>
      <w:r w:rsidR="00960D0A" w:rsidRPr="00295637">
        <w:rPr>
          <w:rFonts w:ascii="Times New Roman" w:hAnsi="Times New Roman"/>
          <w:szCs w:val="24"/>
        </w:rPr>
        <w:t xml:space="preserve"> </w:t>
      </w:r>
      <w:r>
        <w:rPr>
          <w:rFonts w:ascii="Times New Roman" w:hAnsi="Times New Roman"/>
          <w:szCs w:val="24"/>
        </w:rPr>
        <w:t>акционе</w:t>
      </w:r>
      <w:r w:rsidR="00960D0A" w:rsidRPr="00295637">
        <w:rPr>
          <w:rFonts w:ascii="Times New Roman" w:hAnsi="Times New Roman"/>
          <w:szCs w:val="24"/>
        </w:rPr>
        <w:t xml:space="preserve"> </w:t>
      </w:r>
      <w:r>
        <w:rPr>
          <w:rFonts w:ascii="Times New Roman" w:hAnsi="Times New Roman"/>
          <w:szCs w:val="24"/>
        </w:rPr>
        <w:t>коалиције</w:t>
      </w:r>
      <w:r w:rsidR="00960D0A" w:rsidRPr="00295637">
        <w:rPr>
          <w:rFonts w:ascii="Times New Roman" w:hAnsi="Times New Roman"/>
          <w:szCs w:val="24"/>
        </w:rPr>
        <w:t xml:space="preserve">, </w:t>
      </w:r>
      <w:r>
        <w:rPr>
          <w:rFonts w:ascii="Times New Roman" w:hAnsi="Times New Roman"/>
          <w:szCs w:val="24"/>
        </w:rPr>
        <w:t>укључујући</w:t>
      </w:r>
      <w:r w:rsidR="00960D0A" w:rsidRPr="00295637">
        <w:rPr>
          <w:rFonts w:ascii="Times New Roman" w:hAnsi="Times New Roman"/>
          <w:szCs w:val="24"/>
        </w:rPr>
        <w:t xml:space="preserve"> </w:t>
      </w:r>
      <w:r>
        <w:rPr>
          <w:rFonts w:ascii="Times New Roman" w:hAnsi="Times New Roman"/>
          <w:szCs w:val="24"/>
        </w:rPr>
        <w:t>и</w:t>
      </w:r>
      <w:r w:rsidR="00960D0A" w:rsidRPr="00295637">
        <w:rPr>
          <w:rFonts w:ascii="Times New Roman" w:hAnsi="Times New Roman"/>
          <w:szCs w:val="24"/>
        </w:rPr>
        <w:t xml:space="preserve"> </w:t>
      </w:r>
      <w:r>
        <w:rPr>
          <w:rFonts w:ascii="Times New Roman" w:hAnsi="Times New Roman"/>
          <w:szCs w:val="24"/>
        </w:rPr>
        <w:t>акциону</w:t>
      </w:r>
      <w:r w:rsidR="00960D0A" w:rsidRPr="00295637">
        <w:rPr>
          <w:rFonts w:ascii="Times New Roman" w:hAnsi="Times New Roman"/>
          <w:szCs w:val="24"/>
        </w:rPr>
        <w:t xml:space="preserve"> </w:t>
      </w:r>
      <w:r>
        <w:rPr>
          <w:rFonts w:ascii="Times New Roman" w:hAnsi="Times New Roman"/>
          <w:szCs w:val="24"/>
        </w:rPr>
        <w:t>коалицију</w:t>
      </w:r>
      <w:r w:rsidR="00960D0A" w:rsidRPr="00295637">
        <w:rPr>
          <w:rFonts w:ascii="Times New Roman" w:hAnsi="Times New Roman"/>
          <w:szCs w:val="24"/>
        </w:rPr>
        <w:t xml:space="preserve"> „</w:t>
      </w:r>
      <w:r>
        <w:rPr>
          <w:rFonts w:ascii="Times New Roman" w:hAnsi="Times New Roman"/>
          <w:szCs w:val="24"/>
        </w:rPr>
        <w:t>Клима</w:t>
      </w:r>
      <w:r w:rsidR="00960D0A" w:rsidRPr="00295637">
        <w:rPr>
          <w:rFonts w:ascii="Times New Roman" w:hAnsi="Times New Roman"/>
          <w:szCs w:val="24"/>
        </w:rPr>
        <w:t xml:space="preserve"> </w:t>
      </w:r>
      <w:r>
        <w:rPr>
          <w:rFonts w:ascii="Times New Roman" w:hAnsi="Times New Roman"/>
          <w:szCs w:val="24"/>
        </w:rPr>
        <w:t>и</w:t>
      </w:r>
      <w:r w:rsidR="00960D0A" w:rsidRPr="00295637">
        <w:rPr>
          <w:rFonts w:ascii="Times New Roman" w:hAnsi="Times New Roman"/>
          <w:szCs w:val="24"/>
        </w:rPr>
        <w:t xml:space="preserve"> </w:t>
      </w:r>
      <w:r>
        <w:rPr>
          <w:rFonts w:ascii="Times New Roman" w:hAnsi="Times New Roman"/>
          <w:szCs w:val="24"/>
        </w:rPr>
        <w:t>род</w:t>
      </w:r>
      <w:r w:rsidR="00960D0A" w:rsidRPr="00295637">
        <w:rPr>
          <w:rFonts w:ascii="Times New Roman" w:hAnsi="Times New Roman"/>
          <w:szCs w:val="24"/>
        </w:rPr>
        <w:t xml:space="preserve">“. </w:t>
      </w:r>
    </w:p>
    <w:p w:rsidR="004F0A65" w:rsidRPr="00295637" w:rsidRDefault="004F0A65" w:rsidP="0086268D">
      <w:pPr>
        <w:jc w:val="both"/>
        <w:rPr>
          <w:rFonts w:ascii="Times New Roman" w:hAnsi="Times New Roman"/>
          <w:szCs w:val="24"/>
        </w:rPr>
      </w:pPr>
    </w:p>
    <w:p w:rsidR="007F7F66" w:rsidRPr="00295637" w:rsidRDefault="00C6214E" w:rsidP="0086268D">
      <w:pPr>
        <w:pStyle w:val="PlainText"/>
        <w:jc w:val="both"/>
        <w:rPr>
          <w:rFonts w:ascii="Times New Roman" w:hAnsi="Times New Roman"/>
          <w:sz w:val="24"/>
          <w:szCs w:val="24"/>
        </w:rPr>
      </w:pPr>
      <w:r>
        <w:rPr>
          <w:rFonts w:ascii="Times New Roman" w:hAnsi="Times New Roman"/>
          <w:sz w:val="24"/>
          <w:szCs w:val="24"/>
        </w:rPr>
        <w:t>Учешће</w:t>
      </w:r>
      <w:r w:rsidR="00871777" w:rsidRPr="00295637">
        <w:rPr>
          <w:rFonts w:ascii="Times New Roman" w:hAnsi="Times New Roman"/>
          <w:sz w:val="24"/>
          <w:szCs w:val="24"/>
        </w:rPr>
        <w:t xml:space="preserve"> </w:t>
      </w:r>
      <w:r>
        <w:rPr>
          <w:rFonts w:ascii="Times New Roman" w:hAnsi="Times New Roman"/>
          <w:sz w:val="24"/>
          <w:szCs w:val="24"/>
        </w:rPr>
        <w:t>представника</w:t>
      </w:r>
      <w:r w:rsidR="00871777" w:rsidRPr="00295637">
        <w:rPr>
          <w:rFonts w:ascii="Times New Roman" w:hAnsi="Times New Roman"/>
          <w:sz w:val="24"/>
          <w:szCs w:val="24"/>
        </w:rPr>
        <w:t xml:space="preserve"> </w:t>
      </w:r>
      <w:r>
        <w:rPr>
          <w:rFonts w:ascii="Times New Roman" w:hAnsi="Times New Roman"/>
          <w:sz w:val="24"/>
          <w:szCs w:val="24"/>
        </w:rPr>
        <w:t>АР</w:t>
      </w:r>
      <w:r w:rsidR="00991DBA">
        <w:rPr>
          <w:rFonts w:ascii="Times New Roman" w:hAnsi="Times New Roman"/>
          <w:sz w:val="24"/>
          <w:szCs w:val="24"/>
          <w:lang w:val="sr-Cyrl-BA"/>
        </w:rPr>
        <w:t>П</w:t>
      </w:r>
      <w:r w:rsidR="005D3782">
        <w:rPr>
          <w:rFonts w:ascii="Times New Roman" w:hAnsi="Times New Roman"/>
          <w:sz w:val="24"/>
          <w:szCs w:val="24"/>
        </w:rPr>
        <w:t xml:space="preserve"> </w:t>
      </w:r>
      <w:r>
        <w:rPr>
          <w:rFonts w:ascii="Times New Roman" w:hAnsi="Times New Roman"/>
          <w:sz w:val="24"/>
          <w:szCs w:val="24"/>
        </w:rPr>
        <w:t>БиХ</w:t>
      </w:r>
      <w:r w:rsidR="005D3782">
        <w:rPr>
          <w:rFonts w:ascii="Times New Roman" w:hAnsi="Times New Roman"/>
          <w:sz w:val="24"/>
          <w:szCs w:val="24"/>
        </w:rPr>
        <w:t xml:space="preserve"> </w:t>
      </w:r>
      <w:r>
        <w:rPr>
          <w:rFonts w:ascii="Times New Roman" w:hAnsi="Times New Roman"/>
          <w:sz w:val="24"/>
          <w:szCs w:val="24"/>
        </w:rPr>
        <w:t>МЉПИ</w:t>
      </w:r>
      <w:r w:rsidR="005D3782">
        <w:rPr>
          <w:rFonts w:ascii="Times New Roman" w:hAnsi="Times New Roman"/>
          <w:sz w:val="24"/>
          <w:szCs w:val="24"/>
        </w:rPr>
        <w:t xml:space="preserve"> </w:t>
      </w:r>
      <w:r>
        <w:rPr>
          <w:rFonts w:ascii="Times New Roman" w:hAnsi="Times New Roman"/>
          <w:sz w:val="24"/>
          <w:szCs w:val="24"/>
        </w:rPr>
        <w:t>БиХ</w:t>
      </w:r>
      <w:r w:rsidR="00871777" w:rsidRPr="00295637">
        <w:rPr>
          <w:rFonts w:ascii="Times New Roman" w:hAnsi="Times New Roman"/>
          <w:sz w:val="24"/>
          <w:szCs w:val="24"/>
        </w:rPr>
        <w:t xml:space="preserve"> </w:t>
      </w:r>
      <w:r>
        <w:rPr>
          <w:rFonts w:ascii="Times New Roman" w:hAnsi="Times New Roman"/>
          <w:sz w:val="24"/>
          <w:szCs w:val="24"/>
        </w:rPr>
        <w:t>на</w:t>
      </w:r>
      <w:r w:rsidR="007F7F66" w:rsidRPr="00295637">
        <w:rPr>
          <w:rFonts w:ascii="Times New Roman" w:hAnsi="Times New Roman"/>
          <w:sz w:val="24"/>
          <w:szCs w:val="24"/>
        </w:rPr>
        <w:t xml:space="preserve"> </w:t>
      </w:r>
      <w:r>
        <w:rPr>
          <w:rFonts w:ascii="Times New Roman" w:hAnsi="Times New Roman"/>
          <w:sz w:val="24"/>
          <w:szCs w:val="24"/>
        </w:rPr>
        <w:t>бројним</w:t>
      </w:r>
      <w:r w:rsidR="007F7F66" w:rsidRPr="00295637">
        <w:rPr>
          <w:rFonts w:ascii="Times New Roman" w:hAnsi="Times New Roman"/>
          <w:sz w:val="24"/>
          <w:szCs w:val="24"/>
        </w:rPr>
        <w:t xml:space="preserve"> </w:t>
      </w:r>
      <w:r>
        <w:rPr>
          <w:rFonts w:ascii="Times New Roman" w:hAnsi="Times New Roman"/>
          <w:sz w:val="24"/>
          <w:szCs w:val="24"/>
        </w:rPr>
        <w:t>догађајима</w:t>
      </w:r>
      <w:r w:rsidR="007F7F66" w:rsidRPr="00295637">
        <w:rPr>
          <w:rFonts w:ascii="Times New Roman" w:hAnsi="Times New Roman"/>
          <w:sz w:val="24"/>
          <w:szCs w:val="24"/>
        </w:rPr>
        <w:t xml:space="preserve"> </w:t>
      </w:r>
      <w:r>
        <w:rPr>
          <w:rFonts w:ascii="Times New Roman" w:hAnsi="Times New Roman"/>
          <w:sz w:val="24"/>
          <w:szCs w:val="24"/>
        </w:rPr>
        <w:t>дало</w:t>
      </w:r>
      <w:r w:rsidR="007F7F66" w:rsidRPr="00295637">
        <w:rPr>
          <w:rFonts w:ascii="Times New Roman" w:hAnsi="Times New Roman"/>
          <w:sz w:val="24"/>
          <w:szCs w:val="24"/>
        </w:rPr>
        <w:t xml:space="preserve"> </w:t>
      </w:r>
      <w:r>
        <w:rPr>
          <w:rFonts w:ascii="Times New Roman" w:hAnsi="Times New Roman"/>
          <w:sz w:val="24"/>
          <w:szCs w:val="24"/>
        </w:rPr>
        <w:t>је</w:t>
      </w:r>
      <w:r w:rsidR="005D3782" w:rsidRPr="00295637">
        <w:rPr>
          <w:rFonts w:ascii="Times New Roman" w:hAnsi="Times New Roman"/>
          <w:sz w:val="24"/>
          <w:szCs w:val="24"/>
        </w:rPr>
        <w:t xml:space="preserve"> </w:t>
      </w:r>
      <w:r>
        <w:rPr>
          <w:rFonts w:ascii="Times New Roman" w:hAnsi="Times New Roman"/>
          <w:sz w:val="24"/>
          <w:szCs w:val="24"/>
        </w:rPr>
        <w:t>допринос</w:t>
      </w:r>
      <w:r w:rsidR="007F7F66" w:rsidRPr="00295637">
        <w:rPr>
          <w:rFonts w:ascii="Times New Roman" w:hAnsi="Times New Roman"/>
          <w:sz w:val="24"/>
          <w:szCs w:val="24"/>
        </w:rPr>
        <w:t xml:space="preserve"> </w:t>
      </w:r>
      <w:r>
        <w:rPr>
          <w:rFonts w:ascii="Times New Roman" w:hAnsi="Times New Roman"/>
          <w:sz w:val="24"/>
          <w:szCs w:val="24"/>
        </w:rPr>
        <w:t>укључивању</w:t>
      </w:r>
      <w:r w:rsidR="007F7F66" w:rsidRPr="00295637">
        <w:rPr>
          <w:rFonts w:ascii="Times New Roman" w:hAnsi="Times New Roman"/>
          <w:sz w:val="24"/>
          <w:szCs w:val="24"/>
        </w:rPr>
        <w:t xml:space="preserve"> </w:t>
      </w:r>
      <w:r>
        <w:rPr>
          <w:rFonts w:ascii="Times New Roman" w:hAnsi="Times New Roman"/>
          <w:sz w:val="24"/>
          <w:szCs w:val="24"/>
        </w:rPr>
        <w:t>теме</w:t>
      </w:r>
      <w:r w:rsidR="007F7F66" w:rsidRPr="00295637">
        <w:rPr>
          <w:rFonts w:ascii="Times New Roman" w:hAnsi="Times New Roman"/>
          <w:sz w:val="24"/>
          <w:szCs w:val="24"/>
        </w:rPr>
        <w:t xml:space="preserve"> </w:t>
      </w:r>
      <w:r>
        <w:rPr>
          <w:rFonts w:ascii="Times New Roman" w:hAnsi="Times New Roman"/>
          <w:sz w:val="24"/>
          <w:szCs w:val="24"/>
        </w:rPr>
        <w:t>равноправности</w:t>
      </w:r>
      <w:r w:rsidR="007F7F66" w:rsidRPr="00295637">
        <w:rPr>
          <w:rFonts w:ascii="Times New Roman" w:hAnsi="Times New Roman"/>
          <w:sz w:val="24"/>
          <w:szCs w:val="24"/>
        </w:rPr>
        <w:t xml:space="preserve"> </w:t>
      </w:r>
      <w:r>
        <w:rPr>
          <w:rFonts w:ascii="Times New Roman" w:hAnsi="Times New Roman"/>
          <w:sz w:val="24"/>
          <w:szCs w:val="24"/>
        </w:rPr>
        <w:t>полова</w:t>
      </w:r>
      <w:r w:rsidR="007F7F66" w:rsidRPr="00295637">
        <w:rPr>
          <w:rFonts w:ascii="Times New Roman" w:hAnsi="Times New Roman"/>
          <w:sz w:val="24"/>
          <w:szCs w:val="24"/>
        </w:rPr>
        <w:t xml:space="preserve"> </w:t>
      </w:r>
      <w:r>
        <w:rPr>
          <w:rFonts w:ascii="Times New Roman" w:hAnsi="Times New Roman"/>
          <w:sz w:val="24"/>
          <w:szCs w:val="24"/>
        </w:rPr>
        <w:t>у</w:t>
      </w:r>
      <w:r w:rsidR="007F7F66" w:rsidRPr="00295637">
        <w:rPr>
          <w:rFonts w:ascii="Times New Roman" w:hAnsi="Times New Roman"/>
          <w:sz w:val="24"/>
          <w:szCs w:val="24"/>
        </w:rPr>
        <w:t xml:space="preserve"> </w:t>
      </w:r>
      <w:r>
        <w:rPr>
          <w:rFonts w:ascii="Times New Roman" w:hAnsi="Times New Roman"/>
          <w:sz w:val="24"/>
          <w:szCs w:val="24"/>
        </w:rPr>
        <w:t>областима</w:t>
      </w:r>
      <w:r w:rsidR="007F7F66" w:rsidRPr="00295637">
        <w:rPr>
          <w:rFonts w:ascii="Times New Roman" w:hAnsi="Times New Roman"/>
          <w:sz w:val="24"/>
          <w:szCs w:val="24"/>
        </w:rPr>
        <w:t xml:space="preserve"> </w:t>
      </w:r>
      <w:r>
        <w:rPr>
          <w:rFonts w:ascii="Times New Roman" w:hAnsi="Times New Roman"/>
          <w:sz w:val="24"/>
          <w:szCs w:val="24"/>
        </w:rPr>
        <w:t>зелене</w:t>
      </w:r>
      <w:r w:rsidR="007F7F66" w:rsidRPr="00295637">
        <w:rPr>
          <w:rFonts w:ascii="Times New Roman" w:hAnsi="Times New Roman"/>
          <w:sz w:val="24"/>
          <w:szCs w:val="24"/>
        </w:rPr>
        <w:t xml:space="preserve"> </w:t>
      </w:r>
      <w:r>
        <w:rPr>
          <w:rFonts w:ascii="Times New Roman" w:hAnsi="Times New Roman"/>
          <w:sz w:val="24"/>
          <w:szCs w:val="24"/>
        </w:rPr>
        <w:t>транзиције</w:t>
      </w:r>
      <w:r w:rsidR="007F7F66" w:rsidRPr="00295637">
        <w:rPr>
          <w:rFonts w:ascii="Times New Roman" w:hAnsi="Times New Roman"/>
          <w:sz w:val="24"/>
          <w:szCs w:val="24"/>
        </w:rPr>
        <w:t xml:space="preserve">, </w:t>
      </w:r>
      <w:r>
        <w:rPr>
          <w:rFonts w:ascii="Times New Roman" w:hAnsi="Times New Roman"/>
          <w:sz w:val="24"/>
          <w:szCs w:val="24"/>
        </w:rPr>
        <w:t>управљања</w:t>
      </w:r>
      <w:r w:rsidR="007F7F66" w:rsidRPr="00295637">
        <w:rPr>
          <w:rFonts w:ascii="Times New Roman" w:hAnsi="Times New Roman"/>
          <w:sz w:val="24"/>
          <w:szCs w:val="24"/>
        </w:rPr>
        <w:t xml:space="preserve"> </w:t>
      </w:r>
      <w:r>
        <w:rPr>
          <w:rFonts w:ascii="Times New Roman" w:hAnsi="Times New Roman"/>
          <w:sz w:val="24"/>
          <w:szCs w:val="24"/>
        </w:rPr>
        <w:t>микропластиком</w:t>
      </w:r>
      <w:r w:rsidR="007F7F66" w:rsidRPr="00295637">
        <w:rPr>
          <w:rFonts w:ascii="Times New Roman" w:hAnsi="Times New Roman"/>
          <w:sz w:val="24"/>
          <w:szCs w:val="24"/>
        </w:rPr>
        <w:t xml:space="preserve">, </w:t>
      </w:r>
      <w:r>
        <w:rPr>
          <w:rFonts w:ascii="Times New Roman" w:hAnsi="Times New Roman"/>
          <w:sz w:val="24"/>
          <w:szCs w:val="24"/>
        </w:rPr>
        <w:t>декарбонизација</w:t>
      </w:r>
      <w:r w:rsidR="007F7F66" w:rsidRPr="00295637">
        <w:rPr>
          <w:rFonts w:ascii="Times New Roman" w:hAnsi="Times New Roman"/>
          <w:sz w:val="24"/>
          <w:szCs w:val="24"/>
        </w:rPr>
        <w:t xml:space="preserve">, </w:t>
      </w:r>
      <w:r>
        <w:rPr>
          <w:rFonts w:ascii="Times New Roman" w:hAnsi="Times New Roman"/>
          <w:sz w:val="24"/>
          <w:szCs w:val="24"/>
        </w:rPr>
        <w:t>климатске</w:t>
      </w:r>
      <w:r w:rsidR="007F7F66" w:rsidRPr="00295637">
        <w:rPr>
          <w:rFonts w:ascii="Times New Roman" w:hAnsi="Times New Roman"/>
          <w:sz w:val="24"/>
          <w:szCs w:val="24"/>
        </w:rPr>
        <w:t xml:space="preserve"> </w:t>
      </w:r>
      <w:r>
        <w:rPr>
          <w:rFonts w:ascii="Times New Roman" w:hAnsi="Times New Roman"/>
          <w:sz w:val="24"/>
          <w:szCs w:val="24"/>
        </w:rPr>
        <w:t>промјене</w:t>
      </w:r>
      <w:r w:rsidR="007F7F66" w:rsidRPr="00295637">
        <w:rPr>
          <w:rFonts w:ascii="Times New Roman" w:hAnsi="Times New Roman"/>
          <w:sz w:val="24"/>
          <w:szCs w:val="24"/>
        </w:rPr>
        <w:t xml:space="preserve">, </w:t>
      </w:r>
      <w:r>
        <w:rPr>
          <w:rFonts w:ascii="Times New Roman" w:hAnsi="Times New Roman"/>
          <w:sz w:val="24"/>
          <w:szCs w:val="24"/>
        </w:rPr>
        <w:t>зелена</w:t>
      </w:r>
      <w:r w:rsidR="007F7F66" w:rsidRPr="00295637">
        <w:rPr>
          <w:rFonts w:ascii="Times New Roman" w:hAnsi="Times New Roman"/>
          <w:sz w:val="24"/>
          <w:szCs w:val="24"/>
        </w:rPr>
        <w:t xml:space="preserve"> </w:t>
      </w:r>
      <w:r>
        <w:rPr>
          <w:rFonts w:ascii="Times New Roman" w:hAnsi="Times New Roman"/>
          <w:sz w:val="24"/>
          <w:szCs w:val="24"/>
        </w:rPr>
        <w:t>енергија</w:t>
      </w:r>
      <w:r w:rsidR="007F7F66" w:rsidRPr="00295637">
        <w:rPr>
          <w:rFonts w:ascii="Times New Roman" w:hAnsi="Times New Roman"/>
          <w:sz w:val="24"/>
          <w:szCs w:val="24"/>
        </w:rPr>
        <w:t xml:space="preserve">, </w:t>
      </w:r>
      <w:r>
        <w:rPr>
          <w:rFonts w:ascii="Times New Roman" w:hAnsi="Times New Roman"/>
          <w:sz w:val="24"/>
          <w:szCs w:val="24"/>
        </w:rPr>
        <w:t>енергетско</w:t>
      </w:r>
      <w:r w:rsidR="007F7F66" w:rsidRPr="00295637">
        <w:rPr>
          <w:rFonts w:ascii="Times New Roman" w:hAnsi="Times New Roman"/>
          <w:sz w:val="24"/>
          <w:szCs w:val="24"/>
        </w:rPr>
        <w:t xml:space="preserve"> </w:t>
      </w:r>
      <w:r>
        <w:rPr>
          <w:rFonts w:ascii="Times New Roman" w:hAnsi="Times New Roman"/>
          <w:sz w:val="24"/>
          <w:szCs w:val="24"/>
        </w:rPr>
        <w:t>сиромаштво</w:t>
      </w:r>
      <w:r w:rsidR="007F7F66" w:rsidRPr="00295637">
        <w:rPr>
          <w:rFonts w:ascii="Times New Roman" w:hAnsi="Times New Roman"/>
          <w:sz w:val="24"/>
          <w:szCs w:val="24"/>
        </w:rPr>
        <w:t xml:space="preserve">, </w:t>
      </w:r>
      <w:r>
        <w:rPr>
          <w:rFonts w:ascii="Times New Roman" w:hAnsi="Times New Roman"/>
          <w:sz w:val="24"/>
          <w:szCs w:val="24"/>
        </w:rPr>
        <w:t>еколошка</w:t>
      </w:r>
      <w:r w:rsidR="007F7F66" w:rsidRPr="00295637">
        <w:rPr>
          <w:rFonts w:ascii="Times New Roman" w:hAnsi="Times New Roman"/>
          <w:sz w:val="24"/>
          <w:szCs w:val="24"/>
        </w:rPr>
        <w:t xml:space="preserve"> </w:t>
      </w:r>
      <w:r>
        <w:rPr>
          <w:rFonts w:ascii="Times New Roman" w:hAnsi="Times New Roman"/>
          <w:sz w:val="24"/>
          <w:szCs w:val="24"/>
        </w:rPr>
        <w:t>правда</w:t>
      </w:r>
      <w:r w:rsidR="007F7F66" w:rsidRPr="00295637">
        <w:rPr>
          <w:rFonts w:ascii="Times New Roman" w:hAnsi="Times New Roman"/>
          <w:sz w:val="24"/>
          <w:szCs w:val="24"/>
        </w:rPr>
        <w:t xml:space="preserve"> </w:t>
      </w:r>
      <w:r>
        <w:rPr>
          <w:rFonts w:ascii="Times New Roman" w:hAnsi="Times New Roman"/>
          <w:sz w:val="24"/>
          <w:szCs w:val="24"/>
        </w:rPr>
        <w:t>итд</w:t>
      </w:r>
      <w:r w:rsidR="007F7F66" w:rsidRPr="00295637">
        <w:rPr>
          <w:rFonts w:ascii="Times New Roman" w:hAnsi="Times New Roman"/>
          <w:sz w:val="24"/>
          <w:szCs w:val="24"/>
        </w:rPr>
        <w:t xml:space="preserve">. </w:t>
      </w:r>
    </w:p>
    <w:p w:rsidR="00960D0A" w:rsidRPr="00295637" w:rsidRDefault="00960D0A" w:rsidP="0086268D">
      <w:pPr>
        <w:jc w:val="both"/>
        <w:rPr>
          <w:rFonts w:ascii="Times New Roman" w:hAnsi="Times New Roman"/>
          <w:szCs w:val="24"/>
        </w:rPr>
      </w:pPr>
    </w:p>
    <w:p w:rsidR="00911804" w:rsidRPr="00295637" w:rsidRDefault="00C6214E" w:rsidP="0086268D">
      <w:pPr>
        <w:jc w:val="both"/>
        <w:rPr>
          <w:rFonts w:ascii="Times New Roman" w:eastAsia="SimSun" w:hAnsi="Times New Roman"/>
          <w:bCs/>
          <w:u w:val="single"/>
          <w:lang w:val="bs-Latn-BA" w:eastAsia="zh-CN"/>
        </w:rPr>
      </w:pPr>
      <w:r>
        <w:rPr>
          <w:rFonts w:ascii="Times New Roman" w:eastAsia="SimSun" w:hAnsi="Times New Roman"/>
          <w:bCs/>
          <w:lang w:val="bs-Latn-BA" w:eastAsia="zh-CN"/>
        </w:rPr>
        <w:t>М</w:t>
      </w:r>
      <w:r w:rsidR="00991DBA">
        <w:rPr>
          <w:rFonts w:ascii="Times New Roman" w:eastAsia="SimSun" w:hAnsi="Times New Roman"/>
          <w:bCs/>
          <w:lang w:val="sr-Cyrl-BA" w:eastAsia="zh-CN"/>
        </w:rPr>
        <w:t>С</w:t>
      </w:r>
      <w:r>
        <w:rPr>
          <w:rFonts w:ascii="Times New Roman" w:eastAsia="SimSun" w:hAnsi="Times New Roman"/>
          <w:bCs/>
          <w:lang w:val="bs-Latn-BA" w:eastAsia="zh-CN"/>
        </w:rPr>
        <w:t>ТЕО</w:t>
      </w:r>
      <w:r w:rsidR="00911804" w:rsidRPr="00295637">
        <w:rPr>
          <w:rFonts w:ascii="Times New Roman" w:eastAsia="SimSun" w:hAnsi="Times New Roman"/>
          <w:bCs/>
          <w:lang w:val="bs-Latn-BA" w:eastAsia="zh-CN"/>
        </w:rPr>
        <w:t xml:space="preserve"> </w:t>
      </w:r>
      <w:r w:rsidR="00E738A0">
        <w:rPr>
          <w:rFonts w:ascii="Times New Roman" w:eastAsia="SimSun" w:hAnsi="Times New Roman"/>
          <w:bCs/>
          <w:lang w:val="bs-Cyrl-BA" w:eastAsia="zh-CN"/>
        </w:rPr>
        <w:t xml:space="preserve">БиХ </w:t>
      </w:r>
      <w:r>
        <w:rPr>
          <w:rFonts w:ascii="Times New Roman" w:eastAsia="SimSun" w:hAnsi="Times New Roman"/>
          <w:bCs/>
          <w:lang w:val="bs-Latn-BA" w:eastAsia="zh-CN"/>
        </w:rPr>
        <w:t>интегри</w:t>
      </w:r>
      <w:r w:rsidR="00991DBA">
        <w:rPr>
          <w:rFonts w:ascii="Times New Roman" w:eastAsia="SimSun" w:hAnsi="Times New Roman"/>
          <w:bCs/>
          <w:lang w:val="sr-Cyrl-BA" w:eastAsia="zh-CN"/>
        </w:rPr>
        <w:t>ше</w:t>
      </w:r>
      <w:r w:rsidR="00911804" w:rsidRPr="00295637">
        <w:rPr>
          <w:rFonts w:ascii="Times New Roman" w:eastAsia="SimSun" w:hAnsi="Times New Roman"/>
          <w:bCs/>
          <w:lang w:val="bs-Latn-BA" w:eastAsia="zh-CN"/>
        </w:rPr>
        <w:t xml:space="preserve"> </w:t>
      </w:r>
      <w:r>
        <w:rPr>
          <w:rFonts w:ascii="Times New Roman" w:eastAsia="SimSun" w:hAnsi="Times New Roman"/>
          <w:bCs/>
          <w:lang w:val="sr-Cyrl-BA" w:eastAsia="zh-CN"/>
        </w:rPr>
        <w:t>перспективу</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родне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политике</w:t>
      </w:r>
      <w:r w:rsidR="00911804" w:rsidRPr="00295637">
        <w:rPr>
          <w:rFonts w:ascii="Times New Roman" w:eastAsia="SimSun" w:hAnsi="Times New Roman"/>
          <w:bCs/>
          <w:lang w:val="bs-Latn-BA" w:eastAsia="zh-CN"/>
        </w:rPr>
        <w:t>,</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укључујући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остала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мултидисциплинарна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питања</w:t>
      </w:r>
      <w:r w:rsidR="00911804"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п</w:t>
      </w:r>
      <w:r>
        <w:rPr>
          <w:rFonts w:ascii="Times New Roman" w:eastAsia="SimSun" w:hAnsi="Times New Roman"/>
          <w:bCs/>
          <w:lang w:val="sr-Cyrl-BA" w:eastAsia="zh-CN"/>
        </w:rPr>
        <w:t>риликом</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развоја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докумената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програма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политика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911804" w:rsidRPr="00295637">
        <w:rPr>
          <w:rFonts w:ascii="Times New Roman" w:eastAsia="SimSun" w:hAnsi="Times New Roman"/>
          <w:bCs/>
          <w:lang w:val="sr-Cyrl-BA" w:eastAsia="zh-CN"/>
        </w:rPr>
        <w:t xml:space="preserve"> </w:t>
      </w:r>
      <w:r>
        <w:rPr>
          <w:rFonts w:ascii="Times New Roman" w:eastAsia="SimSun" w:hAnsi="Times New Roman"/>
          <w:bCs/>
          <w:lang w:val="hr-HR" w:eastAsia="zh-CN"/>
        </w:rPr>
        <w:t>области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заштите</w:t>
      </w:r>
      <w:r w:rsidR="00911804" w:rsidRPr="00295637">
        <w:rPr>
          <w:rFonts w:ascii="Times New Roman" w:eastAsia="SimSun" w:hAnsi="Times New Roman"/>
          <w:bCs/>
          <w:lang w:val="sr-Cyrl-BA" w:eastAsia="zh-CN"/>
        </w:rPr>
        <w:t xml:space="preserve"> </w:t>
      </w:r>
      <w:r w:rsidR="00991DBA">
        <w:rPr>
          <w:rFonts w:ascii="Times New Roman" w:eastAsia="SimSun" w:hAnsi="Times New Roman"/>
          <w:bCs/>
          <w:lang w:val="sr-Cyrl-BA" w:eastAsia="zh-CN"/>
        </w:rPr>
        <w:t>животне средине</w:t>
      </w:r>
      <w:r w:rsidR="00911804"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У</w:t>
      </w:r>
      <w:r w:rsidR="00911804"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извјештајном</w:t>
      </w:r>
      <w:r w:rsidR="00911804"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периоду</w:t>
      </w:r>
      <w:r w:rsidR="00911804"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значајан</w:t>
      </w:r>
      <w:r w:rsidR="006A4148">
        <w:rPr>
          <w:rFonts w:ascii="Times New Roman" w:eastAsia="SimSun" w:hAnsi="Times New Roman"/>
          <w:bCs/>
          <w:lang w:val="bs-Latn-BA" w:eastAsia="zh-CN"/>
        </w:rPr>
        <w:t xml:space="preserve"> </w:t>
      </w:r>
      <w:r>
        <w:rPr>
          <w:rFonts w:ascii="Times New Roman" w:eastAsia="SimSun" w:hAnsi="Times New Roman"/>
          <w:bCs/>
          <w:lang w:val="bs-Latn-BA" w:eastAsia="zh-CN"/>
        </w:rPr>
        <w:t>стратешки</w:t>
      </w:r>
      <w:r w:rsidR="006A4148">
        <w:rPr>
          <w:rFonts w:ascii="Times New Roman" w:eastAsia="SimSun" w:hAnsi="Times New Roman"/>
          <w:bCs/>
          <w:lang w:val="bs-Latn-BA" w:eastAsia="zh-CN"/>
        </w:rPr>
        <w:t xml:space="preserve"> </w:t>
      </w:r>
      <w:r>
        <w:rPr>
          <w:rFonts w:ascii="Times New Roman" w:eastAsia="SimSun" w:hAnsi="Times New Roman"/>
          <w:bCs/>
          <w:lang w:val="bs-Latn-BA" w:eastAsia="zh-CN"/>
        </w:rPr>
        <w:t>документ</w:t>
      </w:r>
      <w:r w:rsidR="006A4148">
        <w:rPr>
          <w:rFonts w:ascii="Times New Roman" w:eastAsia="SimSun" w:hAnsi="Times New Roman"/>
          <w:bCs/>
          <w:lang w:val="bs-Latn-BA" w:eastAsia="zh-CN"/>
        </w:rPr>
        <w:t xml:space="preserve"> </w:t>
      </w:r>
      <w:r>
        <w:rPr>
          <w:rFonts w:ascii="Times New Roman" w:eastAsia="SimSun" w:hAnsi="Times New Roman"/>
          <w:bCs/>
          <w:lang w:val="bs-Latn-BA" w:eastAsia="zh-CN"/>
        </w:rPr>
        <w:t>је</w:t>
      </w:r>
      <w:r w:rsidR="006A4148">
        <w:rPr>
          <w:rFonts w:ascii="Times New Roman" w:eastAsia="SimSun" w:hAnsi="Times New Roman"/>
          <w:bCs/>
          <w:lang w:val="bs-Latn-BA" w:eastAsia="zh-CN"/>
        </w:rPr>
        <w:t xml:space="preserve"> </w:t>
      </w:r>
      <w:r>
        <w:rPr>
          <w:rFonts w:ascii="Times New Roman" w:eastAsia="SimSun" w:hAnsi="Times New Roman"/>
          <w:bCs/>
          <w:lang w:val="bs-Latn-BA" w:eastAsia="zh-CN"/>
        </w:rPr>
        <w:t>Нацрт</w:t>
      </w:r>
      <w:r w:rsidR="006A4148">
        <w:rPr>
          <w:rFonts w:ascii="Times New Roman" w:eastAsia="SimSun" w:hAnsi="Times New Roman"/>
          <w:bCs/>
          <w:lang w:val="bs-Latn-BA" w:eastAsia="zh-CN"/>
        </w:rPr>
        <w:t xml:space="preserve"> </w:t>
      </w:r>
      <w:r>
        <w:rPr>
          <w:rFonts w:ascii="Times New Roman" w:eastAsia="SimSun" w:hAnsi="Times New Roman"/>
          <w:bCs/>
          <w:lang w:val="bs-Latn-BA" w:eastAsia="zh-CN"/>
        </w:rPr>
        <w:t>стратегије</w:t>
      </w:r>
      <w:r w:rsidR="00911804"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заштите</w:t>
      </w:r>
      <w:r w:rsidR="00911804"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околиша</w:t>
      </w:r>
      <w:r w:rsidR="00050016">
        <w:rPr>
          <w:rFonts w:ascii="Times New Roman" w:eastAsia="SimSun" w:hAnsi="Times New Roman"/>
          <w:bCs/>
          <w:lang w:val="bs-Latn-BA" w:eastAsia="zh-CN"/>
        </w:rPr>
        <w:t xml:space="preserve"> </w:t>
      </w:r>
      <w:r>
        <w:rPr>
          <w:rFonts w:ascii="Times New Roman" w:eastAsia="SimSun" w:hAnsi="Times New Roman"/>
          <w:bCs/>
          <w:lang w:val="bs-Latn-BA" w:eastAsia="zh-CN"/>
        </w:rPr>
        <w:t>БиХ</w:t>
      </w:r>
      <w:r w:rsidR="00911804" w:rsidRPr="00295637">
        <w:rPr>
          <w:rFonts w:ascii="Times New Roman" w:eastAsia="SimSun" w:hAnsi="Times New Roman"/>
          <w:bCs/>
          <w:lang w:val="bs-Latn-BA" w:eastAsia="zh-CN"/>
        </w:rPr>
        <w:t xml:space="preserve"> 2022</w:t>
      </w:r>
      <w:r w:rsidR="005D3782">
        <w:rPr>
          <w:rFonts w:ascii="Times New Roman" w:eastAsia="SimSun" w:hAnsi="Times New Roman"/>
          <w:bCs/>
          <w:lang w:val="bs-Latn-BA" w:eastAsia="zh-CN"/>
        </w:rPr>
        <w:t>-</w:t>
      </w:r>
      <w:r w:rsidR="00911804" w:rsidRPr="00295637">
        <w:rPr>
          <w:rFonts w:ascii="Times New Roman" w:eastAsia="SimSun" w:hAnsi="Times New Roman"/>
          <w:bCs/>
          <w:lang w:val="bs-Latn-BA" w:eastAsia="zh-CN"/>
        </w:rPr>
        <w:t>2032</w:t>
      </w:r>
      <w:r w:rsidR="005D3782">
        <w:rPr>
          <w:rFonts w:ascii="Times New Roman" w:eastAsia="SimSun" w:hAnsi="Times New Roman"/>
          <w:bCs/>
          <w:lang w:val="bs-Latn-BA" w:eastAsia="zh-CN"/>
        </w:rPr>
        <w:t>.</w:t>
      </w:r>
      <w:r w:rsidR="00911804"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ЕСАП</w:t>
      </w:r>
      <w:r w:rsidR="009E54A2" w:rsidRPr="00295637">
        <w:rPr>
          <w:rFonts w:ascii="Times New Roman" w:eastAsia="SimSun" w:hAnsi="Times New Roman"/>
          <w:bCs/>
          <w:lang w:val="bs-Latn-BA" w:eastAsia="zh-CN"/>
        </w:rPr>
        <w:t xml:space="preserve"> </w:t>
      </w:r>
      <w:r>
        <w:rPr>
          <w:rFonts w:ascii="Times New Roman" w:eastAsia="SimSun" w:hAnsi="Times New Roman"/>
          <w:bCs/>
          <w:lang w:val="bs-Latn-BA" w:eastAsia="zh-CN"/>
        </w:rPr>
        <w:t>БиХ</w:t>
      </w:r>
      <w:r w:rsidR="00911804" w:rsidRPr="00295637">
        <w:rPr>
          <w:rFonts w:ascii="Times New Roman" w:eastAsia="SimSun" w:hAnsi="Times New Roman"/>
          <w:bCs/>
          <w:lang w:val="bs-Latn-BA" w:eastAsia="zh-CN"/>
        </w:rPr>
        <w:t xml:space="preserve">). </w:t>
      </w:r>
      <w:r>
        <w:rPr>
          <w:rFonts w:ascii="Times New Roman" w:eastAsia="SimSun" w:hAnsi="Times New Roman"/>
          <w:bCs/>
          <w:lang w:val="sr-Cyrl-BA" w:eastAsia="zh-CN"/>
        </w:rPr>
        <w:t>У</w:t>
      </w:r>
      <w:r w:rsidR="00050016">
        <w:rPr>
          <w:rFonts w:ascii="Times New Roman" w:eastAsia="SimSun" w:hAnsi="Times New Roman"/>
          <w:bCs/>
          <w:lang w:val="sr-Cyrl-BA" w:eastAsia="zh-CN"/>
        </w:rPr>
        <w:t xml:space="preserve"> </w:t>
      </w:r>
      <w:r>
        <w:rPr>
          <w:rFonts w:ascii="Times New Roman" w:eastAsia="SimSun" w:hAnsi="Times New Roman"/>
          <w:bCs/>
          <w:lang w:val="sr-Cyrl-BA" w:eastAsia="zh-CN"/>
        </w:rPr>
        <w:t>оквиру</w:t>
      </w:r>
      <w:r w:rsidR="00050016">
        <w:rPr>
          <w:rFonts w:ascii="Times New Roman" w:eastAsia="SimSun" w:hAnsi="Times New Roman"/>
          <w:bCs/>
          <w:lang w:val="sr-Cyrl-BA" w:eastAsia="zh-CN"/>
        </w:rPr>
        <w:t xml:space="preserve"> </w:t>
      </w:r>
      <w:r>
        <w:rPr>
          <w:rFonts w:ascii="Times New Roman" w:eastAsia="SimSun" w:hAnsi="Times New Roman"/>
          <w:bCs/>
          <w:lang w:val="sr-Cyrl-BA" w:eastAsia="zh-CN"/>
        </w:rPr>
        <w:t>подсектора</w:t>
      </w:r>
      <w:r w:rsidR="00050016">
        <w:rPr>
          <w:rFonts w:ascii="Times New Roman" w:eastAsia="SimSun" w:hAnsi="Times New Roman"/>
          <w:bCs/>
          <w:lang w:val="sr-Cyrl-BA" w:eastAsia="zh-CN"/>
        </w:rPr>
        <w:t xml:space="preserve"> „</w:t>
      </w:r>
      <w:r>
        <w:rPr>
          <w:rFonts w:ascii="Times New Roman" w:eastAsia="SimSun" w:hAnsi="Times New Roman"/>
          <w:bCs/>
          <w:lang w:val="sr-Cyrl-BA" w:eastAsia="zh-CN"/>
        </w:rPr>
        <w:t>управљање</w:t>
      </w:r>
      <w:r w:rsidR="00911804" w:rsidRPr="00295637">
        <w:rPr>
          <w:rFonts w:ascii="Times New Roman" w:eastAsia="SimSun" w:hAnsi="Times New Roman"/>
          <w:bCs/>
          <w:lang w:val="sr-Cyrl-BA" w:eastAsia="zh-CN"/>
        </w:rPr>
        <w:t xml:space="preserve"> </w:t>
      </w:r>
      <w:r w:rsidR="00991DBA">
        <w:rPr>
          <w:rFonts w:ascii="Times New Roman" w:eastAsia="SimSun" w:hAnsi="Times New Roman"/>
          <w:bCs/>
          <w:lang w:val="sr-Cyrl-BA" w:eastAsia="zh-CN"/>
        </w:rPr>
        <w:t>животном средином</w:t>
      </w:r>
      <w:r w:rsidR="00911804" w:rsidRPr="00295637">
        <w:rPr>
          <w:rFonts w:ascii="Times New Roman" w:eastAsia="SimSun" w:hAnsi="Times New Roman"/>
          <w:bCs/>
          <w:lang w:val="sr-Cyrl-BA" w:eastAsia="zh-CN"/>
        </w:rPr>
        <w:t>“</w:t>
      </w:r>
      <w:r w:rsidR="00911804" w:rsidRPr="00295637">
        <w:rPr>
          <w:rFonts w:ascii="Times New Roman" w:eastAsia="SimSun" w:hAnsi="Times New Roman"/>
          <w:bCs/>
          <w:lang w:val="bs-Latn-BA" w:eastAsia="zh-CN"/>
        </w:rPr>
        <w:t>,</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односно</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хоризонталних</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питања</w:t>
      </w:r>
      <w:r w:rsidR="00911804" w:rsidRPr="00295637">
        <w:rPr>
          <w:rFonts w:ascii="Times New Roman" w:eastAsia="SimSun" w:hAnsi="Times New Roman"/>
          <w:bCs/>
          <w:lang w:val="bs-Latn-BA" w:eastAsia="zh-CN"/>
        </w:rPr>
        <w:t>,</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дефини</w:t>
      </w:r>
      <w:r w:rsidR="00991DBA">
        <w:rPr>
          <w:rFonts w:ascii="Times New Roman" w:eastAsia="SimSun" w:hAnsi="Times New Roman"/>
          <w:bCs/>
          <w:lang w:val="sr-Cyrl-BA" w:eastAsia="zh-CN"/>
        </w:rPr>
        <w:t>с</w:t>
      </w:r>
      <w:r>
        <w:rPr>
          <w:rFonts w:ascii="Times New Roman" w:eastAsia="SimSun" w:hAnsi="Times New Roman"/>
          <w:bCs/>
          <w:lang w:val="sr-Cyrl-BA" w:eastAsia="zh-CN"/>
        </w:rPr>
        <w:t>ан</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је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приоритет</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Постизање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висок</w:t>
      </w:r>
      <w:r>
        <w:rPr>
          <w:rFonts w:ascii="Times New Roman" w:eastAsia="SimSun" w:hAnsi="Times New Roman"/>
          <w:bCs/>
          <w:lang w:val="hr-HR" w:eastAsia="zh-CN"/>
        </w:rPr>
        <w:t>ог</w:t>
      </w:r>
      <w:r w:rsidR="00911804" w:rsidRPr="00295637">
        <w:rPr>
          <w:rFonts w:ascii="Times New Roman" w:eastAsia="SimSun" w:hAnsi="Times New Roman"/>
          <w:bCs/>
          <w:lang w:val="sr-Cyrl-BA" w:eastAsia="zh-CN"/>
        </w:rPr>
        <w:t xml:space="preserve"> </w:t>
      </w:r>
      <w:r>
        <w:rPr>
          <w:rFonts w:ascii="Times New Roman" w:eastAsia="SimSun" w:hAnsi="Times New Roman"/>
          <w:bCs/>
          <w:lang w:val="hr-HR" w:eastAsia="zh-CN"/>
        </w:rPr>
        <w:t>нивоа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међусекторског</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интерсекторског</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дјеловања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интеграције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јавних</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политика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свим</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сегментима</w:t>
      </w:r>
      <w:r w:rsidR="00911804" w:rsidRPr="00295637">
        <w:rPr>
          <w:rFonts w:ascii="Times New Roman" w:eastAsia="SimSun" w:hAnsi="Times New Roman"/>
          <w:bCs/>
          <w:lang w:val="sr-Cyrl-BA" w:eastAsia="zh-CN"/>
        </w:rPr>
        <w:t xml:space="preserve"> </w:t>
      </w:r>
      <w:r w:rsidR="00991DBA">
        <w:rPr>
          <w:rFonts w:ascii="Times New Roman" w:eastAsia="SimSun" w:hAnsi="Times New Roman"/>
          <w:bCs/>
          <w:lang w:val="sr-Cyrl-BA" w:eastAsia="zh-CN"/>
        </w:rPr>
        <w:t>животне средине</w:t>
      </w:r>
      <w:r w:rsidR="00B26225"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Планирано</w:t>
      </w:r>
      <w:r w:rsidR="00B26225"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је</w:t>
      </w:r>
      <w:r w:rsidR="00B26225"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унапређење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ст</w:t>
      </w:r>
      <w:r>
        <w:rPr>
          <w:rFonts w:ascii="Times New Roman" w:eastAsia="SimSun" w:hAnsi="Times New Roman"/>
          <w:bCs/>
          <w:lang w:val="hr-HR" w:eastAsia="zh-CN"/>
        </w:rPr>
        <w:t>епена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интеграције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стандарда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принципа</w:t>
      </w:r>
      <w:r w:rsidR="00911804" w:rsidRPr="00295637">
        <w:rPr>
          <w:rFonts w:ascii="Times New Roman" w:eastAsia="SimSun" w:hAnsi="Times New Roman"/>
          <w:bCs/>
          <w:lang w:val="sr-Cyrl-BA" w:eastAsia="zh-CN"/>
        </w:rPr>
        <w:t xml:space="preserve"> </w:t>
      </w:r>
      <w:r>
        <w:rPr>
          <w:rFonts w:ascii="Times New Roman" w:hAnsi="Times New Roman"/>
        </w:rPr>
        <w:t>равноправности</w:t>
      </w:r>
      <w:r w:rsidR="00CC105E" w:rsidRPr="00295637">
        <w:rPr>
          <w:rFonts w:ascii="Times New Roman" w:hAnsi="Times New Roman"/>
        </w:rPr>
        <w:t xml:space="preserve"> </w:t>
      </w:r>
      <w:r>
        <w:rPr>
          <w:rFonts w:ascii="Times New Roman" w:hAnsi="Times New Roman"/>
        </w:rPr>
        <w:t>полова</w:t>
      </w:r>
      <w:r w:rsidR="00CC105E"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кључне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политике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стратегије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програме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911804" w:rsidRPr="00295637">
        <w:rPr>
          <w:rFonts w:ascii="Times New Roman" w:eastAsia="SimSun" w:hAnsi="Times New Roman"/>
          <w:bCs/>
          <w:lang w:val="sr-Cyrl-BA" w:eastAsia="zh-CN"/>
        </w:rPr>
        <w:t xml:space="preserve"> </w:t>
      </w:r>
      <w:r>
        <w:rPr>
          <w:rFonts w:ascii="Times New Roman" w:eastAsia="SimSun" w:hAnsi="Times New Roman"/>
          <w:bCs/>
          <w:lang w:val="hr-HR" w:eastAsia="zh-CN"/>
        </w:rPr>
        <w:t>области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животне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средине</w:t>
      </w:r>
      <w:r w:rsidR="00911804" w:rsidRPr="00295637">
        <w:rPr>
          <w:rFonts w:ascii="Times New Roman" w:eastAsia="SimSun" w:hAnsi="Times New Roman"/>
          <w:bCs/>
          <w:lang w:val="sr-Cyrl-BA" w:eastAsia="zh-CN"/>
        </w:rPr>
        <w:t>.</w:t>
      </w:r>
      <w:r w:rsidR="00911804" w:rsidRPr="00295637">
        <w:rPr>
          <w:rFonts w:ascii="Times New Roman" w:hAnsi="Times New Roman"/>
        </w:rPr>
        <w:t xml:space="preserve"> </w:t>
      </w:r>
      <w:r>
        <w:rPr>
          <w:rFonts w:ascii="Times New Roman" w:hAnsi="Times New Roman"/>
          <w:lang w:val="sr-Cyrl-BA"/>
        </w:rPr>
        <w:t>Предвиђено</w:t>
      </w:r>
      <w:r w:rsidR="00911804" w:rsidRPr="00295637">
        <w:rPr>
          <w:rFonts w:ascii="Times New Roman" w:hAnsi="Times New Roman"/>
          <w:lang w:val="sr-Cyrl-BA"/>
        </w:rPr>
        <w:t xml:space="preserve"> </w:t>
      </w:r>
      <w:r>
        <w:rPr>
          <w:rFonts w:ascii="Times New Roman" w:hAnsi="Times New Roman"/>
          <w:lang w:val="sr-Cyrl-BA"/>
        </w:rPr>
        <w:t>је</w:t>
      </w:r>
      <w:r w:rsidR="00911804" w:rsidRPr="00295637">
        <w:rPr>
          <w:rFonts w:ascii="Times New Roman" w:hAnsi="Times New Roman"/>
          <w:lang w:val="sr-Cyrl-BA"/>
        </w:rPr>
        <w:t xml:space="preserve"> </w:t>
      </w:r>
      <w:r>
        <w:rPr>
          <w:rFonts w:ascii="Times New Roman" w:hAnsi="Times New Roman"/>
          <w:lang w:val="sr-Cyrl-BA"/>
        </w:rPr>
        <w:t>да</w:t>
      </w:r>
      <w:r w:rsidR="00911804" w:rsidRPr="00295637">
        <w:rPr>
          <w:rFonts w:ascii="Times New Roman" w:hAnsi="Times New Roman"/>
          <w:lang w:val="sr-Cyrl-BA"/>
        </w:rPr>
        <w:t xml:space="preserve"> </w:t>
      </w:r>
      <w:r>
        <w:rPr>
          <w:rFonts w:ascii="Times New Roman" w:hAnsi="Times New Roman"/>
          <w:lang w:val="sr-Cyrl-BA"/>
        </w:rPr>
        <w:t>се</w:t>
      </w:r>
      <w:r w:rsidR="00911804" w:rsidRPr="00295637">
        <w:rPr>
          <w:rFonts w:ascii="Times New Roman" w:hAnsi="Times New Roman"/>
          <w:lang w:val="sr-Cyrl-BA"/>
        </w:rPr>
        <w:t xml:space="preserve"> </w:t>
      </w:r>
      <w:r>
        <w:rPr>
          <w:rFonts w:ascii="Times New Roman" w:eastAsia="SimSun" w:hAnsi="Times New Roman"/>
          <w:bCs/>
          <w:lang w:val="sr-Cyrl-BA" w:eastAsia="zh-CN"/>
        </w:rPr>
        <w:t>приликом</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планирања</w:t>
      </w:r>
      <w:r w:rsidR="00911804" w:rsidRPr="00295637">
        <w:rPr>
          <w:rFonts w:ascii="Times New Roman" w:eastAsia="SimSun" w:hAnsi="Times New Roman"/>
          <w:bCs/>
          <w:lang w:val="sr-Cyrl-BA" w:eastAsia="zh-CN"/>
        </w:rPr>
        <w:t xml:space="preserve">, </w:t>
      </w:r>
      <w:r w:rsidR="00BB07D8">
        <w:rPr>
          <w:rFonts w:ascii="Times New Roman" w:eastAsia="SimSun" w:hAnsi="Times New Roman"/>
          <w:bCs/>
          <w:lang w:val="sr-Cyrl-BA" w:eastAsia="zh-CN"/>
        </w:rPr>
        <w:t>спровођења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праћења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оцјене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политика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програма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пројеката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911804" w:rsidRPr="00295637">
        <w:rPr>
          <w:rFonts w:ascii="Times New Roman" w:eastAsia="SimSun" w:hAnsi="Times New Roman"/>
          <w:bCs/>
          <w:lang w:val="sr-Cyrl-BA" w:eastAsia="zh-CN"/>
        </w:rPr>
        <w:t xml:space="preserve"> </w:t>
      </w:r>
      <w:r>
        <w:rPr>
          <w:rFonts w:ascii="Times New Roman" w:eastAsia="SimSun" w:hAnsi="Times New Roman"/>
          <w:bCs/>
          <w:lang w:val="hr-HR" w:eastAsia="zh-CN"/>
        </w:rPr>
        <w:t>области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управљања</w:t>
      </w:r>
      <w:r w:rsidR="005360F0" w:rsidRPr="00295637">
        <w:rPr>
          <w:rFonts w:ascii="Times New Roman" w:eastAsia="SimSun" w:hAnsi="Times New Roman"/>
          <w:bCs/>
          <w:lang w:val="sr-Cyrl-BA" w:eastAsia="zh-CN"/>
        </w:rPr>
        <w:t xml:space="preserve"> </w:t>
      </w:r>
      <w:r w:rsidR="00BB07D8">
        <w:rPr>
          <w:rFonts w:ascii="Times New Roman" w:eastAsia="SimSun" w:hAnsi="Times New Roman"/>
          <w:bCs/>
          <w:lang w:val="sr-Cyrl-BA" w:eastAsia="zh-CN"/>
        </w:rPr>
        <w:t>животном средином</w:t>
      </w:r>
      <w:r w:rsidR="005360F0"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примјењују</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алати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попут</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гендер</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анализе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процјене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гендер</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ут</w:t>
      </w:r>
      <w:r>
        <w:rPr>
          <w:rFonts w:ascii="Times New Roman" w:eastAsia="SimSun" w:hAnsi="Times New Roman"/>
          <w:bCs/>
          <w:lang w:val="hr-HR" w:eastAsia="zh-CN"/>
        </w:rPr>
        <w:t>и</w:t>
      </w:r>
      <w:r>
        <w:rPr>
          <w:rFonts w:ascii="Times New Roman" w:eastAsia="SimSun" w:hAnsi="Times New Roman"/>
          <w:bCs/>
          <w:lang w:val="sr-Cyrl-BA" w:eastAsia="zh-CN"/>
        </w:rPr>
        <w:t>цаја</w:t>
      </w:r>
      <w:r w:rsidR="004F0A65"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гендер</w:t>
      </w:r>
      <w:r w:rsidR="004F0A65"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родно</w:t>
      </w:r>
      <w:r w:rsidR="004F0A65"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одговорног</w:t>
      </w:r>
      <w:r w:rsidR="00911804" w:rsidRPr="00295637">
        <w:rPr>
          <w:rFonts w:ascii="Times New Roman" w:eastAsia="SimSun" w:hAnsi="Times New Roman"/>
          <w:bCs/>
          <w:lang w:val="sr-Cyrl-BA" w:eastAsia="zh-CN"/>
        </w:rPr>
        <w:t xml:space="preserve"> </w:t>
      </w:r>
      <w:r>
        <w:rPr>
          <w:rFonts w:ascii="Times New Roman" w:eastAsia="SimSun" w:hAnsi="Times New Roman"/>
          <w:bCs/>
          <w:lang w:val="hr-HR" w:eastAsia="zh-CN"/>
        </w:rPr>
        <w:t>буџетирања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гендер</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индекса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911804" w:rsidRPr="00295637">
        <w:rPr>
          <w:rFonts w:ascii="Times New Roman" w:eastAsia="SimSun" w:hAnsi="Times New Roman"/>
          <w:bCs/>
          <w:lang w:val="sr-Cyrl-BA" w:eastAsia="zh-CN"/>
        </w:rPr>
        <w:t xml:space="preserve"> </w:t>
      </w:r>
      <w:r>
        <w:rPr>
          <w:rFonts w:ascii="Times New Roman" w:eastAsia="SimSun" w:hAnsi="Times New Roman"/>
          <w:bCs/>
          <w:lang w:val="hr-HR" w:eastAsia="zh-CN"/>
        </w:rPr>
        <w:t>области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животне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средине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те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родне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ревизије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Стратегија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је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још</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увијек</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фази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нацрта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те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њен</w:t>
      </w:r>
      <w:r w:rsidR="00BB07D8">
        <w:rPr>
          <w:rFonts w:ascii="Times New Roman" w:eastAsia="SimSun" w:hAnsi="Times New Roman"/>
          <w:bCs/>
          <w:lang w:val="sr-Cyrl-BA" w:eastAsia="zh-CN"/>
        </w:rPr>
        <w:t>о</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пун</w:t>
      </w:r>
      <w:r w:rsidR="00BB07D8">
        <w:rPr>
          <w:rFonts w:ascii="Times New Roman" w:eastAsia="SimSun" w:hAnsi="Times New Roman"/>
          <w:bCs/>
          <w:lang w:val="sr-Cyrl-BA" w:eastAsia="zh-CN"/>
        </w:rPr>
        <w:t>о</w:t>
      </w:r>
      <w:r w:rsidR="00911804" w:rsidRPr="00295637">
        <w:rPr>
          <w:rFonts w:ascii="Times New Roman" w:eastAsia="SimSun" w:hAnsi="Times New Roman"/>
          <w:bCs/>
          <w:lang w:val="sr-Cyrl-BA" w:eastAsia="zh-CN"/>
        </w:rPr>
        <w:t xml:space="preserve"> </w:t>
      </w:r>
      <w:r w:rsidR="00BB07D8">
        <w:rPr>
          <w:rFonts w:ascii="Times New Roman" w:eastAsia="SimSun" w:hAnsi="Times New Roman"/>
          <w:bCs/>
          <w:lang w:val="sr-Cyrl-BA" w:eastAsia="zh-CN"/>
        </w:rPr>
        <w:t>спровођење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још</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увијек</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није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почел</w:t>
      </w:r>
      <w:r w:rsidR="00BB07D8">
        <w:rPr>
          <w:rFonts w:ascii="Times New Roman" w:eastAsia="SimSun" w:hAnsi="Times New Roman"/>
          <w:bCs/>
          <w:lang w:val="sr-Cyrl-BA" w:eastAsia="zh-CN"/>
        </w:rPr>
        <w:t>о</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али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важно</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је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напоменути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да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су</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ентитетске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стратегије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заштите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животне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средине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усвојене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те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да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је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њихов</w:t>
      </w:r>
      <w:r w:rsidR="00BB07D8">
        <w:rPr>
          <w:rFonts w:ascii="Times New Roman" w:eastAsia="SimSun" w:hAnsi="Times New Roman"/>
          <w:bCs/>
          <w:lang w:val="sr-Cyrl-BA" w:eastAsia="zh-CN"/>
        </w:rPr>
        <w:t>о</w:t>
      </w:r>
      <w:r w:rsidR="00911804" w:rsidRPr="00295637">
        <w:rPr>
          <w:rFonts w:ascii="Times New Roman" w:eastAsia="SimSun" w:hAnsi="Times New Roman"/>
          <w:bCs/>
          <w:lang w:val="sr-Cyrl-BA" w:eastAsia="zh-CN"/>
        </w:rPr>
        <w:t xml:space="preserve"> </w:t>
      </w:r>
      <w:r w:rsidR="00BB07D8">
        <w:rPr>
          <w:rFonts w:ascii="Times New Roman" w:eastAsia="SimSun" w:hAnsi="Times New Roman"/>
          <w:bCs/>
          <w:lang w:val="sr-Cyrl-BA" w:eastAsia="zh-CN"/>
        </w:rPr>
        <w:t>спровођење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почел</w:t>
      </w:r>
      <w:r w:rsidR="00BB07D8">
        <w:rPr>
          <w:rFonts w:ascii="Times New Roman" w:eastAsia="SimSun" w:hAnsi="Times New Roman"/>
          <w:bCs/>
          <w:lang w:val="sr-Cyrl-BA" w:eastAsia="zh-CN"/>
        </w:rPr>
        <w:t>о</w:t>
      </w:r>
      <w:r w:rsidR="00911804" w:rsidRPr="00295637">
        <w:rPr>
          <w:rFonts w:ascii="Times New Roman" w:eastAsia="SimSun" w:hAnsi="Times New Roman"/>
          <w:bCs/>
          <w:lang w:val="bs-Latn-BA" w:eastAsia="zh-CN"/>
        </w:rPr>
        <w:t>,</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цијенећи</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идентичне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приоритете</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свих</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дијелова</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овог</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стратешког</w:t>
      </w:r>
      <w:r w:rsidR="00911804" w:rsidRPr="00295637">
        <w:rPr>
          <w:rFonts w:ascii="Times New Roman" w:eastAsia="SimSun" w:hAnsi="Times New Roman"/>
          <w:bCs/>
          <w:lang w:val="sr-Cyrl-BA" w:eastAsia="zh-CN"/>
        </w:rPr>
        <w:t xml:space="preserve"> </w:t>
      </w:r>
      <w:r>
        <w:rPr>
          <w:rFonts w:ascii="Times New Roman" w:eastAsia="SimSun" w:hAnsi="Times New Roman"/>
          <w:bCs/>
          <w:lang w:val="sr-Cyrl-BA" w:eastAsia="zh-CN"/>
        </w:rPr>
        <w:t>документа</w:t>
      </w:r>
      <w:r w:rsidR="00911804" w:rsidRPr="00295637">
        <w:rPr>
          <w:rFonts w:ascii="Times New Roman" w:eastAsia="SimSun" w:hAnsi="Times New Roman"/>
          <w:bCs/>
          <w:lang w:val="sr-Cyrl-BA" w:eastAsia="zh-CN"/>
        </w:rPr>
        <w:t xml:space="preserve">. </w:t>
      </w:r>
    </w:p>
    <w:p w:rsidR="00911804" w:rsidRPr="00295637" w:rsidRDefault="00911804" w:rsidP="0086268D">
      <w:pPr>
        <w:jc w:val="both"/>
        <w:rPr>
          <w:rFonts w:ascii="Times New Roman" w:eastAsia="SimSun" w:hAnsi="Times New Roman"/>
          <w:bCs/>
          <w:lang w:val="sr-Cyrl-BA" w:eastAsia="zh-CN"/>
        </w:rPr>
      </w:pPr>
    </w:p>
    <w:p w:rsidR="00822AD8" w:rsidRPr="00295637" w:rsidRDefault="00C6214E" w:rsidP="0086268D">
      <w:pPr>
        <w:jc w:val="both"/>
        <w:rPr>
          <w:rFonts w:ascii="Times New Roman" w:eastAsia="SimSun" w:hAnsi="Times New Roman"/>
          <w:bCs/>
          <w:lang w:val="sr-Cyrl-BA" w:eastAsia="zh-CN"/>
        </w:rPr>
      </w:pPr>
      <w:r>
        <w:rPr>
          <w:rFonts w:ascii="Times New Roman" w:hAnsi="Times New Roman"/>
          <w:bCs/>
          <w:lang w:val="bs-Latn-BA"/>
        </w:rPr>
        <w:t>ФМОИТ</w:t>
      </w:r>
      <w:r w:rsidR="00822AD8" w:rsidRPr="00295637">
        <w:rPr>
          <w:rFonts w:ascii="Times New Roman" w:hAnsi="Times New Roman"/>
          <w:lang w:val="bs-Latn-BA"/>
        </w:rPr>
        <w:t xml:space="preserve"> </w:t>
      </w:r>
      <w:r>
        <w:rPr>
          <w:rFonts w:ascii="Times New Roman" w:hAnsi="Times New Roman"/>
          <w:lang w:val="bs-Latn-BA"/>
        </w:rPr>
        <w:t>континуирано</w:t>
      </w:r>
      <w:r w:rsidR="00822AD8" w:rsidRPr="00295637">
        <w:rPr>
          <w:rFonts w:ascii="Times New Roman" w:hAnsi="Times New Roman"/>
          <w:lang w:val="bs-Latn-BA"/>
        </w:rPr>
        <w:t xml:space="preserve"> </w:t>
      </w:r>
      <w:r>
        <w:rPr>
          <w:rFonts w:ascii="Times New Roman" w:hAnsi="Times New Roman"/>
          <w:lang w:val="bs-Latn-BA"/>
        </w:rPr>
        <w:t>ради</w:t>
      </w:r>
      <w:r w:rsidR="00822AD8" w:rsidRPr="00295637">
        <w:rPr>
          <w:rFonts w:ascii="Times New Roman" w:hAnsi="Times New Roman"/>
          <w:lang w:val="bs-Latn-BA"/>
        </w:rPr>
        <w:t xml:space="preserve"> </w:t>
      </w:r>
      <w:r>
        <w:rPr>
          <w:rFonts w:ascii="Times New Roman" w:hAnsi="Times New Roman"/>
          <w:lang w:val="bs-Latn-BA"/>
        </w:rPr>
        <w:t>на</w:t>
      </w:r>
      <w:r w:rsidR="00822AD8" w:rsidRPr="00295637">
        <w:rPr>
          <w:rFonts w:ascii="Times New Roman" w:hAnsi="Times New Roman"/>
          <w:lang w:val="bs-Latn-BA"/>
        </w:rPr>
        <w:t xml:space="preserve"> </w:t>
      </w:r>
      <w:r>
        <w:rPr>
          <w:rFonts w:ascii="Times New Roman" w:hAnsi="Times New Roman"/>
          <w:lang w:val="bs-Latn-BA"/>
        </w:rPr>
        <w:t>интеграцији</w:t>
      </w:r>
      <w:r w:rsidR="00822AD8" w:rsidRPr="00295637">
        <w:rPr>
          <w:rFonts w:ascii="Times New Roman" w:hAnsi="Times New Roman"/>
          <w:lang w:val="bs-Latn-BA"/>
        </w:rPr>
        <w:t xml:space="preserve"> </w:t>
      </w:r>
      <w:r>
        <w:rPr>
          <w:rFonts w:ascii="Times New Roman" w:hAnsi="Times New Roman"/>
        </w:rPr>
        <w:t>равноправности</w:t>
      </w:r>
      <w:r w:rsidR="00CC105E" w:rsidRPr="00295637">
        <w:rPr>
          <w:rFonts w:ascii="Times New Roman" w:hAnsi="Times New Roman"/>
        </w:rPr>
        <w:t xml:space="preserve"> </w:t>
      </w:r>
      <w:r>
        <w:rPr>
          <w:rFonts w:ascii="Times New Roman" w:hAnsi="Times New Roman"/>
        </w:rPr>
        <w:t>полова</w:t>
      </w:r>
      <w:r w:rsidR="00CC105E"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област</w:t>
      </w:r>
      <w:r w:rsidR="00822AD8" w:rsidRPr="00295637">
        <w:rPr>
          <w:rFonts w:ascii="Times New Roman" w:hAnsi="Times New Roman"/>
          <w:lang w:val="bs-Latn-BA"/>
        </w:rPr>
        <w:t xml:space="preserve"> </w:t>
      </w:r>
      <w:r>
        <w:rPr>
          <w:rFonts w:ascii="Times New Roman" w:hAnsi="Times New Roman"/>
          <w:lang w:val="bs-Latn-BA"/>
        </w:rPr>
        <w:t>заштите</w:t>
      </w:r>
      <w:r w:rsidR="00822AD8" w:rsidRPr="00295637">
        <w:rPr>
          <w:rFonts w:ascii="Times New Roman" w:hAnsi="Times New Roman"/>
          <w:lang w:val="bs-Latn-BA"/>
        </w:rPr>
        <w:t xml:space="preserve"> </w:t>
      </w:r>
      <w:r w:rsidR="00BB07D8">
        <w:rPr>
          <w:rFonts w:ascii="Times New Roman" w:hAnsi="Times New Roman"/>
          <w:lang w:val="sr-Cyrl-BA"/>
        </w:rPr>
        <w:t>животне средине</w:t>
      </w:r>
      <w:r w:rsidR="00822AD8" w:rsidRPr="00295637">
        <w:rPr>
          <w:rFonts w:ascii="Times New Roman" w:hAnsi="Times New Roman"/>
          <w:lang w:val="bs-Latn-BA"/>
        </w:rPr>
        <w:t xml:space="preserve"> </w:t>
      </w:r>
      <w:r>
        <w:rPr>
          <w:rFonts w:ascii="Times New Roman" w:hAnsi="Times New Roman"/>
          <w:lang w:val="bs-Latn-BA"/>
        </w:rPr>
        <w:t>и</w:t>
      </w:r>
      <w:r w:rsidR="00822AD8" w:rsidRPr="00295637">
        <w:rPr>
          <w:rFonts w:ascii="Times New Roman" w:hAnsi="Times New Roman"/>
          <w:lang w:val="bs-Latn-BA"/>
        </w:rPr>
        <w:t xml:space="preserve"> </w:t>
      </w:r>
      <w:r>
        <w:rPr>
          <w:rFonts w:ascii="Times New Roman" w:hAnsi="Times New Roman"/>
          <w:lang w:val="bs-Latn-BA"/>
        </w:rPr>
        <w:t>климатских</w:t>
      </w:r>
      <w:r w:rsidR="00822AD8" w:rsidRPr="00295637">
        <w:rPr>
          <w:rFonts w:ascii="Times New Roman" w:hAnsi="Times New Roman"/>
          <w:lang w:val="bs-Latn-BA"/>
        </w:rPr>
        <w:t xml:space="preserve"> </w:t>
      </w:r>
      <w:r>
        <w:rPr>
          <w:rFonts w:ascii="Times New Roman" w:hAnsi="Times New Roman"/>
          <w:lang w:val="bs-Latn-BA"/>
        </w:rPr>
        <w:t>промјена</w:t>
      </w:r>
      <w:r w:rsidR="00822AD8" w:rsidRPr="00295637">
        <w:rPr>
          <w:rFonts w:ascii="Times New Roman" w:hAnsi="Times New Roman"/>
          <w:lang w:val="bs-Latn-BA"/>
        </w:rPr>
        <w:t xml:space="preserve">. </w:t>
      </w:r>
      <w:r>
        <w:rPr>
          <w:rFonts w:ascii="Times New Roman" w:hAnsi="Times New Roman"/>
          <w:lang w:val="bs-Latn-BA"/>
        </w:rPr>
        <w:t>Кроз</w:t>
      </w:r>
      <w:r w:rsidR="00822AD8" w:rsidRPr="00295637">
        <w:rPr>
          <w:rFonts w:ascii="Times New Roman" w:hAnsi="Times New Roman"/>
          <w:lang w:val="bs-Latn-BA"/>
        </w:rPr>
        <w:t xml:space="preserve"> </w:t>
      </w:r>
      <w:r>
        <w:rPr>
          <w:rFonts w:ascii="Times New Roman" w:hAnsi="Times New Roman"/>
          <w:bCs/>
          <w:lang w:val="bs-Latn-BA"/>
        </w:rPr>
        <w:t>Федералну</w:t>
      </w:r>
      <w:r w:rsidR="00822AD8" w:rsidRPr="00295637">
        <w:rPr>
          <w:rFonts w:ascii="Times New Roman" w:hAnsi="Times New Roman"/>
          <w:bCs/>
          <w:lang w:val="bs-Latn-BA"/>
        </w:rPr>
        <w:t xml:space="preserve"> </w:t>
      </w:r>
      <w:r>
        <w:rPr>
          <w:rFonts w:ascii="Times New Roman" w:hAnsi="Times New Roman"/>
          <w:bCs/>
          <w:lang w:val="bs-Latn-BA"/>
        </w:rPr>
        <w:t>стратегију</w:t>
      </w:r>
      <w:r w:rsidR="00822AD8" w:rsidRPr="00295637">
        <w:rPr>
          <w:rFonts w:ascii="Times New Roman" w:hAnsi="Times New Roman"/>
          <w:bCs/>
          <w:lang w:val="bs-Latn-BA"/>
        </w:rPr>
        <w:t xml:space="preserve"> </w:t>
      </w:r>
      <w:r>
        <w:rPr>
          <w:rFonts w:ascii="Times New Roman" w:hAnsi="Times New Roman"/>
          <w:bCs/>
          <w:lang w:val="bs-Latn-BA"/>
        </w:rPr>
        <w:t>заштите</w:t>
      </w:r>
      <w:r w:rsidR="00822AD8" w:rsidRPr="00295637">
        <w:rPr>
          <w:rFonts w:ascii="Times New Roman" w:hAnsi="Times New Roman"/>
          <w:bCs/>
          <w:lang w:val="bs-Latn-BA"/>
        </w:rPr>
        <w:t xml:space="preserve"> </w:t>
      </w:r>
      <w:r w:rsidR="00BB07D8">
        <w:rPr>
          <w:rFonts w:ascii="Times New Roman" w:hAnsi="Times New Roman"/>
          <w:bCs/>
          <w:lang w:val="sr-Cyrl-BA"/>
        </w:rPr>
        <w:t>животне средине</w:t>
      </w:r>
      <w:r w:rsidR="00822AD8" w:rsidRPr="00295637">
        <w:rPr>
          <w:rFonts w:ascii="Times New Roman" w:hAnsi="Times New Roman"/>
          <w:bCs/>
          <w:lang w:val="bs-Latn-BA"/>
        </w:rPr>
        <w:t xml:space="preserve"> 2030+,</w:t>
      </w:r>
      <w:r w:rsidR="00822AD8" w:rsidRPr="00295637">
        <w:rPr>
          <w:rFonts w:ascii="Times New Roman" w:hAnsi="Times New Roman"/>
          <w:lang w:val="bs-Latn-BA"/>
        </w:rPr>
        <w:t xml:space="preserve"> </w:t>
      </w:r>
      <w:r>
        <w:rPr>
          <w:rFonts w:ascii="Times New Roman" w:hAnsi="Times New Roman"/>
          <w:lang w:val="bs-Latn-BA"/>
        </w:rPr>
        <w:t>Министарство</w:t>
      </w:r>
      <w:r w:rsidR="00822AD8" w:rsidRPr="00295637">
        <w:rPr>
          <w:rFonts w:ascii="Times New Roman" w:hAnsi="Times New Roman"/>
          <w:lang w:val="bs-Latn-BA"/>
        </w:rPr>
        <w:t xml:space="preserve"> </w:t>
      </w:r>
      <w:r>
        <w:rPr>
          <w:rFonts w:ascii="Times New Roman" w:hAnsi="Times New Roman"/>
          <w:lang w:val="bs-Latn-BA"/>
        </w:rPr>
        <w:t>је</w:t>
      </w:r>
      <w:r w:rsidR="00822AD8" w:rsidRPr="00295637">
        <w:rPr>
          <w:rFonts w:ascii="Times New Roman" w:hAnsi="Times New Roman"/>
          <w:lang w:val="bs-Latn-BA"/>
        </w:rPr>
        <w:t xml:space="preserve"> </w:t>
      </w:r>
      <w:r>
        <w:rPr>
          <w:rFonts w:ascii="Times New Roman" w:hAnsi="Times New Roman"/>
          <w:lang w:val="bs-Latn-BA"/>
        </w:rPr>
        <w:t>о</w:t>
      </w:r>
      <w:r w:rsidR="00BB07D8">
        <w:rPr>
          <w:rFonts w:ascii="Times New Roman" w:hAnsi="Times New Roman"/>
          <w:lang w:val="sr-Cyrl-BA"/>
        </w:rPr>
        <w:t>безбиједило</w:t>
      </w:r>
      <w:r w:rsidR="00822AD8" w:rsidRPr="00295637">
        <w:rPr>
          <w:rFonts w:ascii="Times New Roman" w:hAnsi="Times New Roman"/>
          <w:lang w:val="bs-Latn-BA"/>
        </w:rPr>
        <w:t xml:space="preserve"> </w:t>
      </w:r>
      <w:r>
        <w:rPr>
          <w:rFonts w:ascii="Times New Roman" w:hAnsi="Times New Roman"/>
          <w:lang w:val="bs-Latn-BA"/>
        </w:rPr>
        <w:t>укључивање</w:t>
      </w:r>
      <w:r w:rsidR="00822AD8" w:rsidRPr="00295637">
        <w:rPr>
          <w:rFonts w:ascii="Times New Roman" w:hAnsi="Times New Roman"/>
          <w:lang w:val="bs-Latn-BA"/>
        </w:rPr>
        <w:t xml:space="preserve"> </w:t>
      </w:r>
      <w:r>
        <w:rPr>
          <w:rFonts w:ascii="Times New Roman" w:hAnsi="Times New Roman"/>
          <w:lang w:val="bs-Latn-BA"/>
        </w:rPr>
        <w:t>родно</w:t>
      </w:r>
      <w:r w:rsidR="00822AD8" w:rsidRPr="00295637">
        <w:rPr>
          <w:rFonts w:ascii="Times New Roman" w:hAnsi="Times New Roman"/>
          <w:lang w:val="bs-Latn-BA"/>
        </w:rPr>
        <w:t xml:space="preserve"> </w:t>
      </w:r>
      <w:r>
        <w:rPr>
          <w:rFonts w:ascii="Times New Roman" w:hAnsi="Times New Roman"/>
          <w:lang w:val="bs-Latn-BA"/>
        </w:rPr>
        <w:t>осјетљивих</w:t>
      </w:r>
      <w:r w:rsidR="00822AD8" w:rsidRPr="00295637">
        <w:rPr>
          <w:rFonts w:ascii="Times New Roman" w:hAnsi="Times New Roman"/>
          <w:lang w:val="bs-Latn-BA"/>
        </w:rPr>
        <w:t xml:space="preserve"> </w:t>
      </w:r>
      <w:r>
        <w:rPr>
          <w:rFonts w:ascii="Times New Roman" w:hAnsi="Times New Roman"/>
          <w:lang w:val="bs-Latn-BA"/>
        </w:rPr>
        <w:t>група</w:t>
      </w:r>
      <w:r w:rsidR="00822AD8"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процесе</w:t>
      </w:r>
      <w:r w:rsidR="00822AD8" w:rsidRPr="00295637">
        <w:rPr>
          <w:rFonts w:ascii="Times New Roman" w:hAnsi="Times New Roman"/>
          <w:lang w:val="bs-Latn-BA"/>
        </w:rPr>
        <w:t xml:space="preserve"> </w:t>
      </w:r>
      <w:r>
        <w:rPr>
          <w:rFonts w:ascii="Times New Roman" w:hAnsi="Times New Roman"/>
          <w:lang w:val="bs-Latn-BA"/>
        </w:rPr>
        <w:t>планирања</w:t>
      </w:r>
      <w:r w:rsidR="00822AD8" w:rsidRPr="00295637">
        <w:rPr>
          <w:rFonts w:ascii="Times New Roman" w:hAnsi="Times New Roman"/>
          <w:lang w:val="bs-Latn-BA"/>
        </w:rPr>
        <w:t xml:space="preserve"> </w:t>
      </w:r>
      <w:r>
        <w:rPr>
          <w:rFonts w:ascii="Times New Roman" w:hAnsi="Times New Roman"/>
          <w:lang w:val="bs-Latn-BA"/>
        </w:rPr>
        <w:t>и</w:t>
      </w:r>
      <w:r w:rsidR="00822AD8" w:rsidRPr="00295637">
        <w:rPr>
          <w:rFonts w:ascii="Times New Roman" w:hAnsi="Times New Roman"/>
          <w:lang w:val="bs-Latn-BA"/>
        </w:rPr>
        <w:t xml:space="preserve"> </w:t>
      </w:r>
      <w:r>
        <w:rPr>
          <w:rFonts w:ascii="Times New Roman" w:hAnsi="Times New Roman"/>
          <w:lang w:val="bs-Latn-BA"/>
        </w:rPr>
        <w:t>доношења</w:t>
      </w:r>
      <w:r w:rsidR="00822AD8" w:rsidRPr="00295637">
        <w:rPr>
          <w:rFonts w:ascii="Times New Roman" w:hAnsi="Times New Roman"/>
          <w:lang w:val="bs-Latn-BA"/>
        </w:rPr>
        <w:t xml:space="preserve"> </w:t>
      </w:r>
      <w:r>
        <w:rPr>
          <w:rFonts w:ascii="Times New Roman" w:hAnsi="Times New Roman"/>
          <w:lang w:val="bs-Latn-BA"/>
        </w:rPr>
        <w:t>политика</w:t>
      </w:r>
      <w:r w:rsidR="00822AD8" w:rsidRPr="00295637">
        <w:rPr>
          <w:rFonts w:ascii="Times New Roman" w:hAnsi="Times New Roman"/>
          <w:lang w:val="bs-Latn-BA"/>
        </w:rPr>
        <w:t xml:space="preserve">. </w:t>
      </w:r>
      <w:r>
        <w:rPr>
          <w:rFonts w:ascii="Times New Roman" w:hAnsi="Times New Roman"/>
          <w:lang w:val="bs-Latn-BA"/>
        </w:rPr>
        <w:t>Додатно</w:t>
      </w:r>
      <w:r w:rsidR="00822AD8" w:rsidRPr="00295637">
        <w:rPr>
          <w:rFonts w:ascii="Times New Roman" w:hAnsi="Times New Roman"/>
          <w:lang w:val="bs-Latn-BA"/>
        </w:rPr>
        <w:t xml:space="preserve">, </w:t>
      </w:r>
      <w:r>
        <w:rPr>
          <w:rFonts w:ascii="Times New Roman" w:hAnsi="Times New Roman"/>
          <w:lang w:val="bs-Latn-BA"/>
        </w:rPr>
        <w:t>измјенама</w:t>
      </w:r>
      <w:r w:rsidR="00822AD8" w:rsidRPr="00295637">
        <w:rPr>
          <w:rFonts w:ascii="Times New Roman" w:hAnsi="Times New Roman"/>
          <w:lang w:val="bs-Latn-BA"/>
        </w:rPr>
        <w:t xml:space="preserve"> </w:t>
      </w:r>
      <w:r>
        <w:rPr>
          <w:rFonts w:ascii="Times New Roman" w:hAnsi="Times New Roman"/>
          <w:lang w:val="bs-Latn-BA"/>
        </w:rPr>
        <w:t>Правилника</w:t>
      </w:r>
      <w:r w:rsidR="00822AD8" w:rsidRPr="00295637">
        <w:rPr>
          <w:rFonts w:ascii="Times New Roman" w:hAnsi="Times New Roman"/>
          <w:lang w:val="bs-Latn-BA"/>
        </w:rPr>
        <w:t xml:space="preserve"> </w:t>
      </w:r>
      <w:r>
        <w:rPr>
          <w:rFonts w:ascii="Times New Roman" w:hAnsi="Times New Roman"/>
          <w:lang w:val="bs-Latn-BA"/>
        </w:rPr>
        <w:t>о</w:t>
      </w:r>
      <w:r w:rsidR="00822AD8" w:rsidRPr="00295637">
        <w:rPr>
          <w:rFonts w:ascii="Times New Roman" w:hAnsi="Times New Roman"/>
          <w:lang w:val="bs-Latn-BA"/>
        </w:rPr>
        <w:t xml:space="preserve"> </w:t>
      </w:r>
      <w:r>
        <w:rPr>
          <w:rFonts w:ascii="Times New Roman" w:hAnsi="Times New Roman"/>
          <w:lang w:val="bs-Latn-BA"/>
        </w:rPr>
        <w:t>систематизацији</w:t>
      </w:r>
      <w:r w:rsidR="00822AD8" w:rsidRPr="00295637">
        <w:rPr>
          <w:rFonts w:ascii="Times New Roman" w:hAnsi="Times New Roman"/>
          <w:lang w:val="bs-Latn-BA"/>
        </w:rPr>
        <w:t xml:space="preserve"> </w:t>
      </w:r>
      <w:r>
        <w:rPr>
          <w:rFonts w:ascii="Times New Roman" w:hAnsi="Times New Roman"/>
          <w:lang w:val="bs-Latn-BA"/>
        </w:rPr>
        <w:t>радних</w:t>
      </w:r>
      <w:r w:rsidR="00822AD8" w:rsidRPr="00295637">
        <w:rPr>
          <w:rFonts w:ascii="Times New Roman" w:hAnsi="Times New Roman"/>
          <w:lang w:val="bs-Latn-BA"/>
        </w:rPr>
        <w:t xml:space="preserve"> </w:t>
      </w:r>
      <w:r>
        <w:rPr>
          <w:rFonts w:ascii="Times New Roman" w:hAnsi="Times New Roman"/>
          <w:lang w:val="bs-Latn-BA"/>
        </w:rPr>
        <w:t>мјеста</w:t>
      </w:r>
      <w:r w:rsidR="00822AD8" w:rsidRPr="00295637">
        <w:rPr>
          <w:rFonts w:ascii="Times New Roman" w:hAnsi="Times New Roman"/>
          <w:lang w:val="bs-Latn-BA"/>
        </w:rPr>
        <w:t xml:space="preserve">, </w:t>
      </w:r>
      <w:r>
        <w:rPr>
          <w:rFonts w:ascii="Times New Roman" w:hAnsi="Times New Roman"/>
          <w:lang w:val="bs-Latn-BA"/>
        </w:rPr>
        <w:t>унутар</w:t>
      </w:r>
      <w:r w:rsidR="00822AD8" w:rsidRPr="00295637">
        <w:rPr>
          <w:rFonts w:ascii="Times New Roman" w:hAnsi="Times New Roman"/>
          <w:lang w:val="bs-Latn-BA"/>
        </w:rPr>
        <w:t xml:space="preserve"> </w:t>
      </w:r>
      <w:r>
        <w:rPr>
          <w:rFonts w:ascii="Times New Roman" w:hAnsi="Times New Roman"/>
          <w:lang w:val="bs-Latn-BA"/>
        </w:rPr>
        <w:t>Сектора</w:t>
      </w:r>
      <w:r w:rsidR="00822AD8" w:rsidRPr="00295637">
        <w:rPr>
          <w:rFonts w:ascii="Times New Roman" w:hAnsi="Times New Roman"/>
          <w:lang w:val="bs-Latn-BA"/>
        </w:rPr>
        <w:t xml:space="preserve"> </w:t>
      </w:r>
      <w:r w:rsidR="00BB07D8">
        <w:rPr>
          <w:rFonts w:ascii="Times New Roman" w:hAnsi="Times New Roman"/>
          <w:lang w:val="sr-Cyrl-BA"/>
        </w:rPr>
        <w:t>животне средине</w:t>
      </w:r>
      <w:r w:rsidR="00822AD8" w:rsidRPr="00295637">
        <w:rPr>
          <w:rFonts w:ascii="Times New Roman" w:hAnsi="Times New Roman"/>
          <w:lang w:val="bs-Latn-BA"/>
        </w:rPr>
        <w:t xml:space="preserve">, </w:t>
      </w:r>
      <w:r>
        <w:rPr>
          <w:rFonts w:ascii="Times New Roman" w:hAnsi="Times New Roman"/>
          <w:lang w:val="bs-Latn-BA"/>
        </w:rPr>
        <w:t>прецизирано</w:t>
      </w:r>
      <w:r w:rsidR="00822AD8" w:rsidRPr="00295637">
        <w:rPr>
          <w:rFonts w:ascii="Times New Roman" w:hAnsi="Times New Roman"/>
          <w:lang w:val="bs-Latn-BA"/>
        </w:rPr>
        <w:t xml:space="preserve"> </w:t>
      </w:r>
      <w:r>
        <w:rPr>
          <w:rFonts w:ascii="Times New Roman" w:hAnsi="Times New Roman"/>
          <w:lang w:val="bs-Latn-BA"/>
        </w:rPr>
        <w:t>је</w:t>
      </w:r>
      <w:r w:rsidR="00822AD8" w:rsidRPr="00295637">
        <w:rPr>
          <w:rFonts w:ascii="Times New Roman" w:hAnsi="Times New Roman"/>
          <w:lang w:val="bs-Latn-BA"/>
        </w:rPr>
        <w:t xml:space="preserve"> </w:t>
      </w:r>
      <w:r>
        <w:rPr>
          <w:rFonts w:ascii="Times New Roman" w:hAnsi="Times New Roman"/>
          <w:lang w:val="bs-Latn-BA"/>
        </w:rPr>
        <w:t>остваривање</w:t>
      </w:r>
      <w:r w:rsidR="00822AD8" w:rsidRPr="00295637">
        <w:rPr>
          <w:rFonts w:ascii="Times New Roman" w:hAnsi="Times New Roman"/>
          <w:lang w:val="bs-Latn-BA"/>
        </w:rPr>
        <w:t xml:space="preserve"> </w:t>
      </w:r>
      <w:r>
        <w:rPr>
          <w:rFonts w:ascii="Times New Roman" w:hAnsi="Times New Roman"/>
          <w:lang w:val="bs-Latn-BA"/>
        </w:rPr>
        <w:t>сарадње</w:t>
      </w:r>
      <w:r w:rsidR="00822AD8" w:rsidRPr="00295637">
        <w:rPr>
          <w:rFonts w:ascii="Times New Roman" w:hAnsi="Times New Roman"/>
          <w:lang w:val="bs-Latn-BA"/>
        </w:rPr>
        <w:t xml:space="preserve"> </w:t>
      </w:r>
      <w:r>
        <w:rPr>
          <w:rFonts w:ascii="Times New Roman" w:hAnsi="Times New Roman"/>
          <w:lang w:val="bs-Latn-BA"/>
        </w:rPr>
        <w:t>са</w:t>
      </w:r>
      <w:r w:rsidR="00822AD8" w:rsidRPr="00295637">
        <w:rPr>
          <w:rFonts w:ascii="Times New Roman" w:hAnsi="Times New Roman"/>
          <w:lang w:val="bs-Latn-BA"/>
        </w:rPr>
        <w:t xml:space="preserve"> </w:t>
      </w:r>
      <w:r>
        <w:rPr>
          <w:rFonts w:ascii="Times New Roman" w:hAnsi="Times New Roman"/>
          <w:lang w:val="bs-Latn-BA"/>
        </w:rPr>
        <w:t>младима</w:t>
      </w:r>
      <w:r w:rsidR="00822AD8" w:rsidRPr="00295637">
        <w:rPr>
          <w:rFonts w:ascii="Times New Roman" w:hAnsi="Times New Roman"/>
          <w:lang w:val="bs-Latn-BA"/>
        </w:rPr>
        <w:t xml:space="preserve">, </w:t>
      </w:r>
      <w:r>
        <w:rPr>
          <w:rFonts w:ascii="Times New Roman" w:hAnsi="Times New Roman"/>
          <w:lang w:val="bs-Latn-BA"/>
        </w:rPr>
        <w:t>женама</w:t>
      </w:r>
      <w:r w:rsidR="00822AD8" w:rsidRPr="00295637">
        <w:rPr>
          <w:rFonts w:ascii="Times New Roman" w:hAnsi="Times New Roman"/>
          <w:lang w:val="bs-Latn-BA"/>
        </w:rPr>
        <w:t xml:space="preserve"> </w:t>
      </w:r>
      <w:r>
        <w:rPr>
          <w:rFonts w:ascii="Times New Roman" w:hAnsi="Times New Roman"/>
          <w:lang w:val="bs-Latn-BA"/>
        </w:rPr>
        <w:t>и</w:t>
      </w:r>
      <w:r w:rsidR="00822AD8" w:rsidRPr="00295637">
        <w:rPr>
          <w:rFonts w:ascii="Times New Roman" w:hAnsi="Times New Roman"/>
          <w:lang w:val="bs-Latn-BA"/>
        </w:rPr>
        <w:t xml:space="preserve"> </w:t>
      </w:r>
      <w:r>
        <w:rPr>
          <w:rFonts w:ascii="Times New Roman" w:hAnsi="Times New Roman"/>
          <w:lang w:val="bs-Latn-BA"/>
        </w:rPr>
        <w:t>друштвено</w:t>
      </w:r>
      <w:r w:rsidR="00822AD8" w:rsidRPr="00295637">
        <w:rPr>
          <w:rFonts w:ascii="Times New Roman" w:hAnsi="Times New Roman"/>
          <w:lang w:val="bs-Latn-BA"/>
        </w:rPr>
        <w:t xml:space="preserve"> </w:t>
      </w:r>
      <w:r>
        <w:rPr>
          <w:rFonts w:ascii="Times New Roman" w:hAnsi="Times New Roman"/>
          <w:lang w:val="bs-Latn-BA"/>
        </w:rPr>
        <w:t>осјетљивим</w:t>
      </w:r>
      <w:r w:rsidR="00822AD8" w:rsidRPr="00295637">
        <w:rPr>
          <w:rFonts w:ascii="Times New Roman" w:hAnsi="Times New Roman"/>
          <w:lang w:val="bs-Latn-BA"/>
        </w:rPr>
        <w:t xml:space="preserve"> </w:t>
      </w:r>
      <w:r>
        <w:rPr>
          <w:rFonts w:ascii="Times New Roman" w:hAnsi="Times New Roman"/>
          <w:lang w:val="bs-Latn-BA"/>
        </w:rPr>
        <w:t>групама</w:t>
      </w:r>
      <w:r w:rsidR="00822AD8" w:rsidRPr="00295637">
        <w:rPr>
          <w:rFonts w:ascii="Times New Roman" w:hAnsi="Times New Roman"/>
          <w:lang w:val="bs-Latn-BA"/>
        </w:rPr>
        <w:t xml:space="preserve">, </w:t>
      </w:r>
      <w:r>
        <w:rPr>
          <w:rFonts w:ascii="Times New Roman" w:hAnsi="Times New Roman"/>
          <w:lang w:val="bs-Latn-BA"/>
        </w:rPr>
        <w:t>чиме</w:t>
      </w:r>
      <w:r w:rsidR="00822AD8" w:rsidRPr="00295637">
        <w:rPr>
          <w:rFonts w:ascii="Times New Roman" w:hAnsi="Times New Roman"/>
          <w:lang w:val="bs-Latn-BA"/>
        </w:rPr>
        <w:t xml:space="preserve"> </w:t>
      </w:r>
      <w:r>
        <w:rPr>
          <w:rFonts w:ascii="Times New Roman" w:hAnsi="Times New Roman"/>
          <w:lang w:val="bs-Latn-BA"/>
        </w:rPr>
        <w:t>се</w:t>
      </w:r>
      <w:r w:rsidR="00822AD8" w:rsidRPr="00295637">
        <w:rPr>
          <w:rFonts w:ascii="Times New Roman" w:hAnsi="Times New Roman"/>
          <w:lang w:val="bs-Latn-BA"/>
        </w:rPr>
        <w:t xml:space="preserve"> </w:t>
      </w:r>
      <w:r>
        <w:rPr>
          <w:rFonts w:ascii="Times New Roman" w:hAnsi="Times New Roman"/>
          <w:lang w:val="bs-Latn-BA"/>
        </w:rPr>
        <w:t>оснажује</w:t>
      </w:r>
      <w:r w:rsidR="00822AD8" w:rsidRPr="00295637">
        <w:rPr>
          <w:rFonts w:ascii="Times New Roman" w:hAnsi="Times New Roman"/>
          <w:lang w:val="bs-Latn-BA"/>
        </w:rPr>
        <w:t xml:space="preserve"> </w:t>
      </w:r>
      <w:r>
        <w:rPr>
          <w:rFonts w:ascii="Times New Roman" w:hAnsi="Times New Roman"/>
          <w:lang w:val="bs-Latn-BA"/>
        </w:rPr>
        <w:t>институционални</w:t>
      </w:r>
      <w:r w:rsidR="00822AD8" w:rsidRPr="00295637">
        <w:rPr>
          <w:rFonts w:ascii="Times New Roman" w:hAnsi="Times New Roman"/>
          <w:lang w:val="bs-Latn-BA"/>
        </w:rPr>
        <w:t xml:space="preserve"> </w:t>
      </w:r>
      <w:r>
        <w:rPr>
          <w:rFonts w:ascii="Times New Roman" w:hAnsi="Times New Roman"/>
          <w:lang w:val="bs-Latn-BA"/>
        </w:rPr>
        <w:t>оквир</w:t>
      </w:r>
      <w:r w:rsidR="00822AD8" w:rsidRPr="00295637">
        <w:rPr>
          <w:rFonts w:ascii="Times New Roman" w:hAnsi="Times New Roman"/>
          <w:lang w:val="bs-Latn-BA"/>
        </w:rPr>
        <w:t xml:space="preserve"> </w:t>
      </w:r>
      <w:r>
        <w:rPr>
          <w:rFonts w:ascii="Times New Roman" w:hAnsi="Times New Roman"/>
          <w:lang w:val="bs-Latn-BA"/>
        </w:rPr>
        <w:t>за</w:t>
      </w:r>
      <w:r w:rsidR="00822AD8" w:rsidRPr="00295637">
        <w:rPr>
          <w:rFonts w:ascii="Times New Roman" w:hAnsi="Times New Roman"/>
          <w:lang w:val="bs-Latn-BA"/>
        </w:rPr>
        <w:t xml:space="preserve"> </w:t>
      </w:r>
      <w:r>
        <w:rPr>
          <w:rFonts w:ascii="Times New Roman" w:hAnsi="Times New Roman"/>
          <w:lang w:val="bs-Latn-BA"/>
        </w:rPr>
        <w:t>примјену</w:t>
      </w:r>
      <w:r w:rsidR="00822AD8" w:rsidRPr="00295637">
        <w:rPr>
          <w:rFonts w:ascii="Times New Roman" w:hAnsi="Times New Roman"/>
          <w:lang w:val="bs-Latn-BA"/>
        </w:rPr>
        <w:t xml:space="preserve"> </w:t>
      </w:r>
      <w:r>
        <w:rPr>
          <w:rFonts w:ascii="Times New Roman" w:hAnsi="Times New Roman"/>
          <w:lang w:val="bs-Latn-BA"/>
        </w:rPr>
        <w:t>међународних</w:t>
      </w:r>
      <w:r w:rsidR="00822AD8" w:rsidRPr="00295637">
        <w:rPr>
          <w:rFonts w:ascii="Times New Roman" w:hAnsi="Times New Roman"/>
          <w:lang w:val="bs-Latn-BA"/>
        </w:rPr>
        <w:t xml:space="preserve"> </w:t>
      </w:r>
      <w:r>
        <w:rPr>
          <w:rFonts w:ascii="Times New Roman" w:hAnsi="Times New Roman"/>
          <w:lang w:val="bs-Latn-BA"/>
        </w:rPr>
        <w:t>и</w:t>
      </w:r>
      <w:r w:rsidR="00822AD8" w:rsidRPr="00295637">
        <w:rPr>
          <w:rFonts w:ascii="Times New Roman" w:hAnsi="Times New Roman"/>
          <w:lang w:val="bs-Latn-BA"/>
        </w:rPr>
        <w:t xml:space="preserve"> </w:t>
      </w:r>
      <w:r>
        <w:rPr>
          <w:rFonts w:ascii="Times New Roman" w:hAnsi="Times New Roman"/>
          <w:lang w:val="bs-Latn-BA"/>
        </w:rPr>
        <w:t>домаћих</w:t>
      </w:r>
      <w:r w:rsidR="00822AD8" w:rsidRPr="00295637">
        <w:rPr>
          <w:rFonts w:ascii="Times New Roman" w:hAnsi="Times New Roman"/>
          <w:lang w:val="bs-Latn-BA"/>
        </w:rPr>
        <w:t xml:space="preserve"> </w:t>
      </w:r>
      <w:r>
        <w:rPr>
          <w:rFonts w:ascii="Times New Roman" w:hAnsi="Times New Roman"/>
          <w:lang w:val="bs-Latn-BA"/>
        </w:rPr>
        <w:t>стандарда</w:t>
      </w:r>
      <w:r w:rsidR="00822AD8" w:rsidRPr="00295637">
        <w:rPr>
          <w:rFonts w:ascii="Times New Roman" w:hAnsi="Times New Roman"/>
          <w:lang w:val="bs-Latn-BA"/>
        </w:rPr>
        <w:t xml:space="preserve"> </w:t>
      </w:r>
      <w:r>
        <w:rPr>
          <w:rFonts w:ascii="Times New Roman" w:hAnsi="Times New Roman"/>
          <w:lang w:val="bs-Latn-BA"/>
        </w:rPr>
        <w:t>равноправности</w:t>
      </w:r>
      <w:r w:rsidR="00822AD8" w:rsidRPr="00295637">
        <w:rPr>
          <w:rFonts w:ascii="Times New Roman" w:hAnsi="Times New Roman"/>
          <w:lang w:val="bs-Latn-BA"/>
        </w:rPr>
        <w:t xml:space="preserve"> </w:t>
      </w:r>
      <w:r>
        <w:rPr>
          <w:rFonts w:ascii="Times New Roman" w:hAnsi="Times New Roman"/>
          <w:lang w:val="bs-Latn-BA"/>
        </w:rPr>
        <w:t>полова</w:t>
      </w:r>
      <w:r w:rsidR="00822AD8" w:rsidRPr="00295637">
        <w:rPr>
          <w:rFonts w:ascii="Times New Roman" w:hAnsi="Times New Roman"/>
          <w:lang w:val="bs-Latn-BA"/>
        </w:rPr>
        <w:t xml:space="preserve"> </w:t>
      </w:r>
      <w:r>
        <w:rPr>
          <w:rFonts w:ascii="Times New Roman" w:hAnsi="Times New Roman"/>
          <w:lang w:val="bs-Latn-BA"/>
        </w:rPr>
        <w:t>у</w:t>
      </w:r>
      <w:r w:rsidR="00822AD8" w:rsidRPr="00295637">
        <w:rPr>
          <w:rFonts w:ascii="Times New Roman" w:hAnsi="Times New Roman"/>
          <w:lang w:val="bs-Latn-BA"/>
        </w:rPr>
        <w:t xml:space="preserve"> </w:t>
      </w:r>
      <w:r>
        <w:rPr>
          <w:rFonts w:ascii="Times New Roman" w:hAnsi="Times New Roman"/>
          <w:lang w:val="bs-Latn-BA"/>
        </w:rPr>
        <w:t>управљању</w:t>
      </w:r>
      <w:r w:rsidR="00822AD8" w:rsidRPr="00295637">
        <w:rPr>
          <w:rFonts w:ascii="Times New Roman" w:hAnsi="Times New Roman"/>
          <w:lang w:val="bs-Latn-BA"/>
        </w:rPr>
        <w:t xml:space="preserve"> </w:t>
      </w:r>
      <w:r w:rsidR="00BB07D8">
        <w:rPr>
          <w:rFonts w:ascii="Times New Roman" w:hAnsi="Times New Roman"/>
          <w:lang w:val="sr-Cyrl-BA"/>
        </w:rPr>
        <w:t>животном средином</w:t>
      </w:r>
      <w:r w:rsidR="00822AD8" w:rsidRPr="00295637">
        <w:rPr>
          <w:rFonts w:ascii="Times New Roman" w:hAnsi="Times New Roman"/>
          <w:lang w:val="bs-Latn-BA"/>
        </w:rPr>
        <w:t>.</w:t>
      </w:r>
    </w:p>
    <w:p w:rsidR="00822AD8" w:rsidRPr="00295637" w:rsidRDefault="00822AD8" w:rsidP="0086268D">
      <w:pPr>
        <w:rPr>
          <w:szCs w:val="24"/>
          <w:lang w:val="sr-Cyrl-BA" w:eastAsia="zh-CN"/>
        </w:rPr>
      </w:pPr>
    </w:p>
    <w:p w:rsidR="00E1132E"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E1132E" w:rsidRPr="00295637">
        <w:rPr>
          <w:rFonts w:ascii="Times New Roman" w:hAnsi="Times New Roman"/>
          <w:lang w:val="sr-Latn-BA"/>
        </w:rPr>
        <w:t xml:space="preserve"> 2024. </w:t>
      </w:r>
      <w:r>
        <w:rPr>
          <w:rFonts w:ascii="Times New Roman" w:hAnsi="Times New Roman"/>
          <w:lang w:val="sr-Latn-BA"/>
        </w:rPr>
        <w:t>години</w:t>
      </w:r>
      <w:r w:rsidR="00E1132E" w:rsidRPr="00295637">
        <w:rPr>
          <w:rFonts w:ascii="Times New Roman" w:hAnsi="Times New Roman"/>
          <w:lang w:val="sr-Latn-BA"/>
        </w:rPr>
        <w:t xml:space="preserve"> </w:t>
      </w:r>
      <w:r>
        <w:rPr>
          <w:rFonts w:ascii="Times New Roman" w:hAnsi="Times New Roman"/>
          <w:lang w:val="sr-Latn-BA"/>
        </w:rPr>
        <w:t>ЦЈРП</w:t>
      </w:r>
      <w:r w:rsidR="00E1132E" w:rsidRPr="00295637">
        <w:rPr>
          <w:rFonts w:ascii="Times New Roman" w:hAnsi="Times New Roman"/>
          <w:lang w:val="sr-Latn-BA"/>
        </w:rPr>
        <w:t xml:space="preserve"> </w:t>
      </w:r>
      <w:r>
        <w:rPr>
          <w:rFonts w:ascii="Times New Roman" w:hAnsi="Times New Roman"/>
          <w:lang w:val="sr-Latn-BA"/>
        </w:rPr>
        <w:t>РС</w:t>
      </w:r>
      <w:r w:rsidR="00E1132E" w:rsidRPr="00295637">
        <w:rPr>
          <w:rFonts w:ascii="Times New Roman" w:hAnsi="Times New Roman"/>
          <w:lang w:val="sr-Cyrl-BA"/>
        </w:rPr>
        <w:t xml:space="preserve"> </w:t>
      </w:r>
      <w:r>
        <w:rPr>
          <w:rFonts w:ascii="Times New Roman" w:hAnsi="Times New Roman"/>
          <w:lang w:val="sr-Cyrl-BA"/>
        </w:rPr>
        <w:t>је</w:t>
      </w:r>
      <w:r w:rsidR="00E1132E" w:rsidRPr="00295637">
        <w:rPr>
          <w:rFonts w:ascii="Times New Roman" w:hAnsi="Times New Roman"/>
          <w:lang w:val="sr-Cyrl-BA"/>
        </w:rPr>
        <w:t xml:space="preserve"> </w:t>
      </w:r>
      <w:r>
        <w:rPr>
          <w:rFonts w:ascii="Times New Roman" w:hAnsi="Times New Roman"/>
          <w:lang w:val="sr-Cyrl-BA"/>
        </w:rPr>
        <w:t>дао</w:t>
      </w:r>
      <w:r w:rsidR="00E1132E" w:rsidRPr="00295637">
        <w:rPr>
          <w:rFonts w:ascii="Times New Roman" w:hAnsi="Times New Roman"/>
          <w:lang w:val="sr-Cyrl-BA"/>
        </w:rPr>
        <w:t xml:space="preserve"> </w:t>
      </w:r>
      <w:r>
        <w:rPr>
          <w:rFonts w:ascii="Times New Roman" w:hAnsi="Times New Roman"/>
          <w:lang w:val="sr-Cyrl-BA"/>
        </w:rPr>
        <w:t>мишљење</w:t>
      </w:r>
      <w:r w:rsidR="00E1132E" w:rsidRPr="00295637">
        <w:rPr>
          <w:rFonts w:ascii="Times New Roman" w:hAnsi="Times New Roman"/>
          <w:lang w:val="sr-Cyrl-BA"/>
        </w:rPr>
        <w:t xml:space="preserve"> </w:t>
      </w:r>
      <w:r>
        <w:rPr>
          <w:rFonts w:ascii="Times New Roman" w:hAnsi="Times New Roman"/>
          <w:lang w:val="sr-Cyrl-BA"/>
        </w:rPr>
        <w:t>о</w:t>
      </w:r>
      <w:r w:rsidR="00E1132E" w:rsidRPr="00295637">
        <w:rPr>
          <w:rFonts w:ascii="Times New Roman" w:hAnsi="Times New Roman"/>
          <w:lang w:val="sr-Cyrl-BA"/>
        </w:rPr>
        <w:t xml:space="preserve"> </w:t>
      </w:r>
      <w:r>
        <w:rPr>
          <w:rFonts w:ascii="Times New Roman" w:hAnsi="Times New Roman"/>
          <w:lang w:val="sr-Cyrl-BA"/>
        </w:rPr>
        <w:t>усклађености</w:t>
      </w:r>
      <w:r w:rsidR="00E1132E" w:rsidRPr="00295637">
        <w:rPr>
          <w:rFonts w:ascii="Times New Roman" w:hAnsi="Times New Roman"/>
          <w:lang w:val="sr-Cyrl-BA"/>
        </w:rPr>
        <w:t xml:space="preserve"> </w:t>
      </w:r>
      <w:r>
        <w:rPr>
          <w:rFonts w:ascii="Times New Roman" w:hAnsi="Times New Roman"/>
          <w:lang w:val="sr-Cyrl-BA"/>
        </w:rPr>
        <w:t>прописа</w:t>
      </w:r>
      <w:r w:rsidR="00E1132E" w:rsidRPr="00295637">
        <w:rPr>
          <w:rFonts w:ascii="Times New Roman" w:hAnsi="Times New Roman"/>
          <w:lang w:val="sr-Cyrl-BA"/>
        </w:rPr>
        <w:t xml:space="preserve">, </w:t>
      </w:r>
      <w:r>
        <w:rPr>
          <w:rFonts w:ascii="Times New Roman" w:hAnsi="Times New Roman"/>
          <w:lang w:val="sr-Cyrl-BA"/>
        </w:rPr>
        <w:t>стратегија</w:t>
      </w:r>
      <w:r w:rsidR="00E1132E" w:rsidRPr="00295637">
        <w:rPr>
          <w:rFonts w:ascii="Times New Roman" w:hAnsi="Times New Roman"/>
          <w:lang w:val="sr-Cyrl-BA"/>
        </w:rPr>
        <w:t xml:space="preserve"> </w:t>
      </w:r>
      <w:r>
        <w:rPr>
          <w:rFonts w:ascii="Times New Roman" w:hAnsi="Times New Roman"/>
          <w:lang w:val="sr-Cyrl-BA"/>
        </w:rPr>
        <w:t>и</w:t>
      </w:r>
      <w:r w:rsidR="00E1132E" w:rsidRPr="00295637">
        <w:rPr>
          <w:rFonts w:ascii="Times New Roman" w:hAnsi="Times New Roman"/>
          <w:lang w:val="sr-Cyrl-BA"/>
        </w:rPr>
        <w:t xml:space="preserve"> </w:t>
      </w:r>
      <w:r>
        <w:rPr>
          <w:rFonts w:ascii="Times New Roman" w:hAnsi="Times New Roman"/>
          <w:lang w:val="sr-Cyrl-BA"/>
        </w:rPr>
        <w:t>програма</w:t>
      </w:r>
      <w:r w:rsidR="00E1132E" w:rsidRPr="00295637">
        <w:rPr>
          <w:rFonts w:ascii="Times New Roman" w:hAnsi="Times New Roman"/>
          <w:lang w:val="sr-Cyrl-BA"/>
        </w:rPr>
        <w:t xml:space="preserve"> </w:t>
      </w:r>
      <w:r>
        <w:rPr>
          <w:rFonts w:ascii="Times New Roman" w:hAnsi="Times New Roman"/>
          <w:lang w:val="sr-Latn-BA"/>
        </w:rPr>
        <w:t>Републике</w:t>
      </w:r>
      <w:r w:rsidR="003041EE">
        <w:rPr>
          <w:rFonts w:ascii="Times New Roman" w:hAnsi="Times New Roman"/>
          <w:lang w:val="sr-Latn-BA"/>
        </w:rPr>
        <w:t xml:space="preserve"> </w:t>
      </w:r>
      <w:r>
        <w:rPr>
          <w:rFonts w:ascii="Times New Roman" w:hAnsi="Times New Roman"/>
          <w:lang w:val="sr-Latn-BA"/>
        </w:rPr>
        <w:t>Српске</w:t>
      </w:r>
      <w:r w:rsidR="003041EE">
        <w:rPr>
          <w:rFonts w:ascii="Times New Roman" w:hAnsi="Times New Roman"/>
          <w:lang w:val="sr-Latn-BA"/>
        </w:rPr>
        <w:t xml:space="preserve"> </w:t>
      </w:r>
      <w:r>
        <w:rPr>
          <w:rFonts w:ascii="Times New Roman" w:hAnsi="Times New Roman"/>
          <w:lang w:val="sr-Cyrl-BA"/>
        </w:rPr>
        <w:t>с</w:t>
      </w:r>
      <w:r>
        <w:rPr>
          <w:rFonts w:ascii="Times New Roman" w:hAnsi="Times New Roman"/>
          <w:lang w:val="hr-HR"/>
        </w:rPr>
        <w:t>а</w:t>
      </w:r>
      <w:r w:rsidR="00E1132E" w:rsidRPr="00295637">
        <w:rPr>
          <w:rFonts w:ascii="Times New Roman" w:hAnsi="Times New Roman"/>
          <w:lang w:val="sr-Cyrl-BA"/>
        </w:rPr>
        <w:t xml:space="preserve"> </w:t>
      </w:r>
      <w:r>
        <w:rPr>
          <w:rFonts w:ascii="Times New Roman" w:hAnsi="Times New Roman"/>
          <w:lang w:val="sr-Cyrl-BA"/>
        </w:rPr>
        <w:t>З</w:t>
      </w:r>
      <w:r>
        <w:rPr>
          <w:rFonts w:ascii="Times New Roman" w:hAnsi="Times New Roman"/>
          <w:lang w:val="bs-Latn-BA"/>
        </w:rPr>
        <w:t>оР</w:t>
      </w:r>
      <w:r w:rsidR="00BB07D8">
        <w:rPr>
          <w:rFonts w:ascii="Times New Roman" w:hAnsi="Times New Roman"/>
          <w:lang w:val="sr-Cyrl-BA"/>
        </w:rPr>
        <w:t>П</w:t>
      </w:r>
      <w:r w:rsidR="002F6C26" w:rsidRPr="00295637">
        <w:rPr>
          <w:rFonts w:ascii="Times New Roman" w:hAnsi="Times New Roman"/>
          <w:lang w:val="bs-Latn-BA"/>
        </w:rPr>
        <w:t>-</w:t>
      </w:r>
      <w:r>
        <w:rPr>
          <w:rFonts w:ascii="Times New Roman" w:hAnsi="Times New Roman"/>
          <w:lang w:val="bs-Latn-BA"/>
        </w:rPr>
        <w:t>ом</w:t>
      </w:r>
      <w:r w:rsidR="00E1132E" w:rsidRPr="00295637">
        <w:rPr>
          <w:rFonts w:ascii="Times New Roman" w:hAnsi="Times New Roman"/>
          <w:lang w:val="sr-Cyrl-BA"/>
        </w:rPr>
        <w:t xml:space="preserve"> </w:t>
      </w:r>
      <w:r>
        <w:rPr>
          <w:rFonts w:ascii="Times New Roman" w:hAnsi="Times New Roman"/>
          <w:lang w:val="sr-Cyrl-BA"/>
        </w:rPr>
        <w:t>у</w:t>
      </w:r>
      <w:r w:rsidR="00E1132E" w:rsidRPr="00295637">
        <w:rPr>
          <w:rFonts w:ascii="Times New Roman" w:hAnsi="Times New Roman"/>
          <w:lang w:val="sr-Cyrl-BA"/>
        </w:rPr>
        <w:t xml:space="preserve"> </w:t>
      </w:r>
      <w:r>
        <w:rPr>
          <w:rFonts w:ascii="Times New Roman" w:hAnsi="Times New Roman"/>
          <w:lang w:val="sr-Cyrl-BA"/>
        </w:rPr>
        <w:t>прописаном</w:t>
      </w:r>
      <w:r w:rsidR="00E1132E" w:rsidRPr="00295637">
        <w:rPr>
          <w:rFonts w:ascii="Times New Roman" w:hAnsi="Times New Roman"/>
          <w:lang w:val="sr-Cyrl-BA"/>
        </w:rPr>
        <w:t xml:space="preserve"> </w:t>
      </w:r>
      <w:r>
        <w:rPr>
          <w:rFonts w:ascii="Times New Roman" w:hAnsi="Times New Roman"/>
          <w:lang w:val="sr-Cyrl-BA"/>
        </w:rPr>
        <w:t>року</w:t>
      </w:r>
      <w:r w:rsidR="00E1132E" w:rsidRPr="00295637">
        <w:rPr>
          <w:rFonts w:ascii="Times New Roman" w:hAnsi="Times New Roman"/>
          <w:lang w:val="sr-Cyrl-BA"/>
        </w:rPr>
        <w:t xml:space="preserve"> </w:t>
      </w:r>
      <w:r>
        <w:rPr>
          <w:rFonts w:ascii="Times New Roman" w:hAnsi="Times New Roman"/>
          <w:lang w:val="sr-Cyrl-BA"/>
        </w:rPr>
        <w:t>на</w:t>
      </w:r>
      <w:r w:rsidR="00E1132E" w:rsidRPr="00295637">
        <w:rPr>
          <w:rFonts w:ascii="Times New Roman" w:hAnsi="Times New Roman"/>
          <w:lang w:val="sr-Cyrl-BA"/>
        </w:rPr>
        <w:t xml:space="preserve"> </w:t>
      </w:r>
      <w:r>
        <w:rPr>
          <w:rFonts w:ascii="Times New Roman" w:hAnsi="Times New Roman"/>
          <w:lang w:val="sr-Cyrl-BA"/>
        </w:rPr>
        <w:t>Приједлог</w:t>
      </w:r>
      <w:r w:rsidR="00E1132E" w:rsidRPr="00295637">
        <w:rPr>
          <w:rFonts w:ascii="Times New Roman" w:hAnsi="Times New Roman"/>
          <w:lang w:val="sr-Cyrl-BA"/>
        </w:rPr>
        <w:t xml:space="preserve"> </w:t>
      </w:r>
      <w:r>
        <w:rPr>
          <w:rFonts w:ascii="Times New Roman" w:hAnsi="Times New Roman"/>
          <w:lang w:val="sr-Cyrl-BA"/>
        </w:rPr>
        <w:t>закона</w:t>
      </w:r>
      <w:r w:rsidR="00E1132E" w:rsidRPr="00295637">
        <w:rPr>
          <w:rFonts w:ascii="Times New Roman" w:hAnsi="Times New Roman"/>
          <w:lang w:val="sr-Cyrl-BA"/>
        </w:rPr>
        <w:t xml:space="preserve"> </w:t>
      </w:r>
      <w:r>
        <w:rPr>
          <w:rFonts w:ascii="Times New Roman" w:hAnsi="Times New Roman"/>
          <w:lang w:val="sr-Cyrl-BA"/>
        </w:rPr>
        <w:t>о</w:t>
      </w:r>
      <w:r w:rsidR="00E1132E" w:rsidRPr="00295637">
        <w:rPr>
          <w:rFonts w:ascii="Times New Roman" w:hAnsi="Times New Roman"/>
          <w:lang w:val="sr-Cyrl-BA"/>
        </w:rPr>
        <w:t xml:space="preserve"> </w:t>
      </w:r>
      <w:r>
        <w:rPr>
          <w:rFonts w:ascii="Times New Roman" w:hAnsi="Times New Roman"/>
          <w:lang w:val="sr-Cyrl-BA"/>
        </w:rPr>
        <w:t>измјенама</w:t>
      </w:r>
      <w:r w:rsidR="00E1132E" w:rsidRPr="00295637">
        <w:rPr>
          <w:rFonts w:ascii="Times New Roman" w:hAnsi="Times New Roman"/>
          <w:lang w:val="sr-Cyrl-BA"/>
        </w:rPr>
        <w:t xml:space="preserve"> </w:t>
      </w:r>
      <w:r>
        <w:rPr>
          <w:rFonts w:ascii="Times New Roman" w:hAnsi="Times New Roman"/>
          <w:lang w:val="sr-Cyrl-BA"/>
        </w:rPr>
        <w:t>и</w:t>
      </w:r>
      <w:r w:rsidR="00E1132E" w:rsidRPr="00295637">
        <w:rPr>
          <w:rFonts w:ascii="Times New Roman" w:hAnsi="Times New Roman"/>
          <w:lang w:val="sr-Cyrl-BA"/>
        </w:rPr>
        <w:t xml:space="preserve"> </w:t>
      </w:r>
      <w:r>
        <w:rPr>
          <w:rFonts w:ascii="Times New Roman" w:hAnsi="Times New Roman"/>
          <w:lang w:val="sr-Cyrl-BA"/>
        </w:rPr>
        <w:t>допунама</w:t>
      </w:r>
      <w:r w:rsidR="00E1132E" w:rsidRPr="00295637">
        <w:rPr>
          <w:rFonts w:ascii="Times New Roman" w:hAnsi="Times New Roman"/>
          <w:lang w:val="sr-Cyrl-BA"/>
        </w:rPr>
        <w:t xml:space="preserve"> </w:t>
      </w:r>
      <w:r>
        <w:rPr>
          <w:rFonts w:ascii="Times New Roman" w:hAnsi="Times New Roman"/>
          <w:lang w:val="sr-Cyrl-BA"/>
        </w:rPr>
        <w:t>Закона</w:t>
      </w:r>
      <w:r w:rsidR="00E1132E" w:rsidRPr="00295637">
        <w:rPr>
          <w:rFonts w:ascii="Times New Roman" w:hAnsi="Times New Roman"/>
          <w:lang w:val="sr-Cyrl-BA"/>
        </w:rPr>
        <w:t xml:space="preserve"> </w:t>
      </w:r>
      <w:r>
        <w:rPr>
          <w:rFonts w:ascii="Times New Roman" w:hAnsi="Times New Roman"/>
          <w:lang w:val="sr-Cyrl-BA"/>
        </w:rPr>
        <w:t>о</w:t>
      </w:r>
      <w:r w:rsidR="00E1132E" w:rsidRPr="00295637">
        <w:rPr>
          <w:rFonts w:ascii="Times New Roman" w:hAnsi="Times New Roman"/>
          <w:lang w:val="sr-Cyrl-BA"/>
        </w:rPr>
        <w:t xml:space="preserve"> </w:t>
      </w:r>
      <w:r>
        <w:rPr>
          <w:rFonts w:ascii="Times New Roman" w:hAnsi="Times New Roman"/>
          <w:lang w:val="sr-Cyrl-BA"/>
        </w:rPr>
        <w:t>геолошким</w:t>
      </w:r>
      <w:r w:rsidR="00E1132E" w:rsidRPr="00295637">
        <w:rPr>
          <w:rFonts w:ascii="Times New Roman" w:hAnsi="Times New Roman"/>
          <w:lang w:val="sr-Cyrl-BA"/>
        </w:rPr>
        <w:t xml:space="preserve"> </w:t>
      </w:r>
      <w:r>
        <w:rPr>
          <w:rFonts w:ascii="Times New Roman" w:hAnsi="Times New Roman"/>
          <w:lang w:val="sr-Cyrl-BA"/>
        </w:rPr>
        <w:t>истраживањима</w:t>
      </w:r>
      <w:r w:rsidR="005D3782">
        <w:rPr>
          <w:rFonts w:ascii="Times New Roman" w:hAnsi="Times New Roman"/>
          <w:lang w:val="sr-Cyrl-BA"/>
        </w:rPr>
        <w:t xml:space="preserve"> </w:t>
      </w:r>
      <w:r>
        <w:rPr>
          <w:rFonts w:ascii="Times New Roman" w:hAnsi="Times New Roman"/>
          <w:lang w:val="sr-Cyrl-BA"/>
        </w:rPr>
        <w:t>који</w:t>
      </w:r>
      <w:r w:rsidR="005D3782">
        <w:rPr>
          <w:rFonts w:ascii="Times New Roman" w:hAnsi="Times New Roman"/>
          <w:lang w:val="sr-Cyrl-BA"/>
        </w:rPr>
        <w:t xml:space="preserve"> </w:t>
      </w:r>
      <w:r>
        <w:rPr>
          <w:rFonts w:ascii="Times New Roman" w:hAnsi="Times New Roman"/>
          <w:lang w:val="sr-Cyrl-BA"/>
        </w:rPr>
        <w:t>је</w:t>
      </w:r>
      <w:r w:rsidR="005D3782">
        <w:rPr>
          <w:rFonts w:ascii="Times New Roman" w:hAnsi="Times New Roman"/>
          <w:lang w:val="sr-Cyrl-BA"/>
        </w:rPr>
        <w:t xml:space="preserve"> </w:t>
      </w:r>
      <w:r>
        <w:rPr>
          <w:rFonts w:ascii="Times New Roman" w:hAnsi="Times New Roman"/>
          <w:lang w:val="sr-Cyrl-BA"/>
        </w:rPr>
        <w:t>усклађен</w:t>
      </w:r>
      <w:r w:rsidR="005D3782">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E1132E" w:rsidRPr="00295637">
        <w:rPr>
          <w:rFonts w:ascii="Times New Roman" w:hAnsi="Times New Roman"/>
          <w:lang w:val="sr-Cyrl-BA"/>
        </w:rPr>
        <w:t xml:space="preserve"> </w:t>
      </w:r>
      <w:r>
        <w:rPr>
          <w:rFonts w:ascii="Times New Roman" w:hAnsi="Times New Roman"/>
          <w:lang w:val="sr-Cyrl-BA"/>
        </w:rPr>
        <w:t>ЗРП</w:t>
      </w:r>
      <w:r w:rsidR="00E1132E" w:rsidRPr="00295637">
        <w:rPr>
          <w:rFonts w:ascii="Times New Roman" w:hAnsi="Times New Roman"/>
          <w:lang w:val="sr-Cyrl-BA"/>
        </w:rPr>
        <w:t xml:space="preserve"> </w:t>
      </w:r>
      <w:r>
        <w:rPr>
          <w:rFonts w:ascii="Times New Roman" w:hAnsi="Times New Roman"/>
          <w:lang w:val="sr-Cyrl-BA"/>
        </w:rPr>
        <w:t>БиХ</w:t>
      </w:r>
      <w:r w:rsidR="00E1132E" w:rsidRPr="00295637">
        <w:rPr>
          <w:rFonts w:ascii="Times New Roman" w:hAnsi="Times New Roman"/>
          <w:lang w:val="sr-Cyrl-BA"/>
        </w:rPr>
        <w:t xml:space="preserve">, </w:t>
      </w:r>
      <w:r>
        <w:rPr>
          <w:rFonts w:ascii="Times New Roman" w:hAnsi="Times New Roman"/>
          <w:lang w:val="sr-Cyrl-BA"/>
        </w:rPr>
        <w:t>као</w:t>
      </w:r>
      <w:r w:rsidR="00E1132E" w:rsidRPr="00295637">
        <w:rPr>
          <w:rFonts w:ascii="Times New Roman" w:hAnsi="Times New Roman"/>
          <w:lang w:val="sr-Cyrl-BA"/>
        </w:rPr>
        <w:t xml:space="preserve"> </w:t>
      </w:r>
      <w:r>
        <w:rPr>
          <w:rFonts w:ascii="Times New Roman" w:hAnsi="Times New Roman"/>
          <w:lang w:val="sr-Cyrl-BA"/>
        </w:rPr>
        <w:t>и</w:t>
      </w:r>
      <w:r w:rsidR="00E1132E" w:rsidRPr="00295637">
        <w:rPr>
          <w:rFonts w:ascii="Times New Roman" w:hAnsi="Times New Roman"/>
          <w:lang w:val="sr-Cyrl-BA"/>
        </w:rPr>
        <w:t xml:space="preserve"> </w:t>
      </w:r>
      <w:r>
        <w:rPr>
          <w:rFonts w:ascii="Times New Roman" w:hAnsi="Times New Roman"/>
          <w:lang w:val="sr-Cyrl-BA"/>
        </w:rPr>
        <w:t>на</w:t>
      </w:r>
      <w:r w:rsidR="00E1132E" w:rsidRPr="00295637">
        <w:rPr>
          <w:rFonts w:ascii="Times New Roman" w:hAnsi="Times New Roman"/>
          <w:lang w:val="sr-Cyrl-BA"/>
        </w:rPr>
        <w:t xml:space="preserve"> </w:t>
      </w:r>
      <w:r>
        <w:rPr>
          <w:rFonts w:ascii="Times New Roman" w:hAnsi="Times New Roman"/>
          <w:lang w:val="sr-Cyrl-BA"/>
        </w:rPr>
        <w:t>Приједлог</w:t>
      </w:r>
      <w:r w:rsidR="00E1132E" w:rsidRPr="00295637">
        <w:rPr>
          <w:rFonts w:ascii="Times New Roman" w:hAnsi="Times New Roman"/>
          <w:lang w:val="sr-Cyrl-BA"/>
        </w:rPr>
        <w:t xml:space="preserve"> </w:t>
      </w:r>
      <w:r>
        <w:rPr>
          <w:rFonts w:ascii="Times New Roman" w:hAnsi="Times New Roman"/>
          <w:lang w:val="sr-Cyrl-BA"/>
        </w:rPr>
        <w:t>закона</w:t>
      </w:r>
      <w:r w:rsidR="005D3782">
        <w:rPr>
          <w:rFonts w:ascii="Times New Roman" w:hAnsi="Times New Roman"/>
          <w:lang w:val="sr-Cyrl-BA"/>
        </w:rPr>
        <w:t xml:space="preserve"> </w:t>
      </w:r>
      <w:r>
        <w:rPr>
          <w:rFonts w:ascii="Times New Roman" w:hAnsi="Times New Roman"/>
          <w:lang w:val="sr-Cyrl-BA"/>
        </w:rPr>
        <w:t>о</w:t>
      </w:r>
      <w:r w:rsidR="005D3782">
        <w:rPr>
          <w:rFonts w:ascii="Times New Roman" w:hAnsi="Times New Roman"/>
          <w:lang w:val="sr-Cyrl-BA"/>
        </w:rPr>
        <w:t xml:space="preserve"> </w:t>
      </w:r>
      <w:r>
        <w:rPr>
          <w:rFonts w:ascii="Times New Roman" w:hAnsi="Times New Roman"/>
          <w:lang w:val="sr-Cyrl-BA"/>
        </w:rPr>
        <w:t>заштити</w:t>
      </w:r>
      <w:r w:rsidR="005D3782">
        <w:rPr>
          <w:rFonts w:ascii="Times New Roman" w:hAnsi="Times New Roman"/>
          <w:lang w:val="sr-Cyrl-BA"/>
        </w:rPr>
        <w:t xml:space="preserve"> </w:t>
      </w:r>
      <w:r>
        <w:rPr>
          <w:rFonts w:ascii="Times New Roman" w:hAnsi="Times New Roman"/>
          <w:lang w:val="sr-Cyrl-BA"/>
        </w:rPr>
        <w:t>природе</w:t>
      </w:r>
      <w:r w:rsidR="005D3782">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E1132E" w:rsidRPr="00295637">
        <w:rPr>
          <w:rFonts w:ascii="Times New Roman" w:hAnsi="Times New Roman"/>
          <w:lang w:val="sr-Cyrl-BA"/>
        </w:rPr>
        <w:t xml:space="preserve"> </w:t>
      </w:r>
      <w:r>
        <w:rPr>
          <w:rFonts w:ascii="Times New Roman" w:hAnsi="Times New Roman"/>
          <w:lang w:val="sr-Cyrl-BA"/>
        </w:rPr>
        <w:t>пр</w:t>
      </w:r>
      <w:r>
        <w:rPr>
          <w:rFonts w:ascii="Times New Roman" w:hAnsi="Times New Roman"/>
          <w:lang w:val="sr-Latn-BA"/>
        </w:rPr>
        <w:t>е</w:t>
      </w:r>
      <w:r>
        <w:rPr>
          <w:rFonts w:ascii="Times New Roman" w:hAnsi="Times New Roman"/>
          <w:lang w:val="sr-Cyrl-BA"/>
        </w:rPr>
        <w:t>поруком</w:t>
      </w:r>
      <w:r w:rsidR="00E1132E" w:rsidRPr="00295637">
        <w:rPr>
          <w:rFonts w:ascii="Times New Roman" w:hAnsi="Times New Roman"/>
          <w:lang w:val="sr-Cyrl-BA"/>
        </w:rPr>
        <w:t xml:space="preserve"> </w:t>
      </w:r>
      <w:r>
        <w:rPr>
          <w:rFonts w:ascii="Times New Roman" w:hAnsi="Times New Roman"/>
          <w:lang w:val="sr-Cyrl-BA"/>
        </w:rPr>
        <w:t>за</w:t>
      </w:r>
      <w:r w:rsidR="00E1132E" w:rsidRPr="00295637">
        <w:rPr>
          <w:rFonts w:ascii="Times New Roman" w:hAnsi="Times New Roman"/>
          <w:lang w:val="sr-Cyrl-BA"/>
        </w:rPr>
        <w:t xml:space="preserve"> </w:t>
      </w:r>
      <w:r>
        <w:rPr>
          <w:rFonts w:ascii="Times New Roman" w:hAnsi="Times New Roman"/>
          <w:lang w:val="sr-Latn-BA"/>
        </w:rPr>
        <w:t>у</w:t>
      </w:r>
      <w:r>
        <w:rPr>
          <w:rFonts w:ascii="Times New Roman" w:hAnsi="Times New Roman"/>
          <w:lang w:val="sr-Cyrl-BA"/>
        </w:rPr>
        <w:t>склађив</w:t>
      </w:r>
      <w:r>
        <w:rPr>
          <w:rFonts w:ascii="Times New Roman" w:hAnsi="Times New Roman"/>
          <w:lang w:val="sr-Latn-BA"/>
        </w:rPr>
        <w:t>а</w:t>
      </w:r>
      <w:r>
        <w:rPr>
          <w:rFonts w:ascii="Times New Roman" w:hAnsi="Times New Roman"/>
          <w:lang w:val="sr-Cyrl-BA"/>
        </w:rPr>
        <w:t>ње</w:t>
      </w:r>
      <w:r w:rsidR="005D3782">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E1132E" w:rsidRPr="00295637">
        <w:rPr>
          <w:rFonts w:ascii="Times New Roman" w:hAnsi="Times New Roman"/>
          <w:lang w:val="sr-Cyrl-BA"/>
        </w:rPr>
        <w:t xml:space="preserve"> </w:t>
      </w:r>
      <w:r>
        <w:rPr>
          <w:rFonts w:ascii="Times New Roman" w:hAnsi="Times New Roman"/>
          <w:lang w:val="sr-Latn-BA"/>
        </w:rPr>
        <w:t>ЗОР</w:t>
      </w:r>
      <w:r w:rsidR="00BB07D8">
        <w:rPr>
          <w:rFonts w:ascii="Times New Roman" w:hAnsi="Times New Roman"/>
          <w:lang w:val="sr-Cyrl-BA"/>
        </w:rPr>
        <w:t>П</w:t>
      </w:r>
      <w:r w:rsidR="00E1132E" w:rsidRPr="00295637">
        <w:rPr>
          <w:rFonts w:ascii="Times New Roman" w:hAnsi="Times New Roman"/>
          <w:lang w:val="sr-Cyrl-BA"/>
        </w:rPr>
        <w:t xml:space="preserve"> </w:t>
      </w:r>
      <w:r>
        <w:rPr>
          <w:rFonts w:ascii="Times New Roman" w:hAnsi="Times New Roman"/>
          <w:lang w:val="sr-Cyrl-BA"/>
        </w:rPr>
        <w:t>БиХ</w:t>
      </w:r>
      <w:r w:rsidR="00E1132E" w:rsidRPr="00295637">
        <w:rPr>
          <w:rFonts w:ascii="Times New Roman" w:hAnsi="Times New Roman"/>
          <w:lang w:val="sr-Latn-BA"/>
        </w:rPr>
        <w:t>.</w:t>
      </w:r>
    </w:p>
    <w:p w:rsidR="00E1132E" w:rsidRPr="00295637" w:rsidRDefault="00E1132E" w:rsidP="0086268D">
      <w:pPr>
        <w:pStyle w:val="ListParagraph"/>
        <w:ind w:left="0"/>
        <w:jc w:val="both"/>
        <w:rPr>
          <w:rFonts w:ascii="Times New Roman" w:hAnsi="Times New Roman"/>
          <w:lang w:val="sr-Latn-BA"/>
        </w:rPr>
      </w:pPr>
    </w:p>
    <w:p w:rsidR="00E1132E"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Стратегија</w:t>
      </w:r>
      <w:r w:rsidR="00E1132E" w:rsidRPr="00295637">
        <w:rPr>
          <w:rFonts w:ascii="Times New Roman" w:hAnsi="Times New Roman"/>
          <w:lang w:val="sr-Latn-BA"/>
        </w:rPr>
        <w:t xml:space="preserve"> </w:t>
      </w:r>
      <w:r>
        <w:rPr>
          <w:rFonts w:ascii="Times New Roman" w:hAnsi="Times New Roman"/>
          <w:lang w:val="sr-Latn-BA"/>
        </w:rPr>
        <w:t>заштите</w:t>
      </w:r>
      <w:r w:rsidR="00E1132E" w:rsidRPr="00295637">
        <w:rPr>
          <w:rFonts w:ascii="Times New Roman" w:hAnsi="Times New Roman"/>
          <w:lang w:val="sr-Latn-BA"/>
        </w:rPr>
        <w:t xml:space="preserve"> </w:t>
      </w:r>
      <w:r w:rsidR="00BB07D8">
        <w:rPr>
          <w:rFonts w:ascii="Times New Roman" w:hAnsi="Times New Roman"/>
          <w:lang w:val="sr-Cyrl-BA"/>
        </w:rPr>
        <w:t>животне средине</w:t>
      </w:r>
      <w:r w:rsidR="00E1132E" w:rsidRPr="00295637">
        <w:rPr>
          <w:rFonts w:ascii="Times New Roman" w:hAnsi="Times New Roman"/>
          <w:lang w:val="sr-Latn-BA"/>
        </w:rPr>
        <w:t xml:space="preserve"> </w:t>
      </w:r>
      <w:r>
        <w:rPr>
          <w:rFonts w:ascii="Times New Roman" w:hAnsi="Times New Roman"/>
          <w:lang w:val="sr-Latn-BA"/>
        </w:rPr>
        <w:t>РС</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период</w:t>
      </w:r>
      <w:r w:rsidR="00E1132E" w:rsidRPr="00295637">
        <w:rPr>
          <w:rFonts w:ascii="Times New Roman" w:hAnsi="Times New Roman"/>
          <w:lang w:val="sr-Latn-BA"/>
        </w:rPr>
        <w:t xml:space="preserve"> 2022-2032.</w:t>
      </w:r>
      <w:r w:rsidR="008D2DC6">
        <w:rPr>
          <w:rFonts w:ascii="Times New Roman" w:hAnsi="Times New Roman"/>
          <w:lang w:val="sr-Latn-BA"/>
        </w:rPr>
        <w:t xml:space="preserve"> </w:t>
      </w:r>
      <w:r>
        <w:rPr>
          <w:rFonts w:ascii="Times New Roman" w:hAnsi="Times New Roman"/>
          <w:lang w:val="sr-Latn-BA"/>
        </w:rPr>
        <w:t>година</w:t>
      </w:r>
      <w:r w:rsidR="00E1132E" w:rsidRPr="00295637">
        <w:rPr>
          <w:rFonts w:ascii="Times New Roman" w:hAnsi="Times New Roman"/>
          <w:lang w:val="sr-Latn-BA"/>
        </w:rPr>
        <w:t xml:space="preserve"> </w:t>
      </w:r>
      <w:r>
        <w:rPr>
          <w:rFonts w:ascii="Times New Roman" w:hAnsi="Times New Roman"/>
          <w:lang w:val="sr-Latn-BA"/>
        </w:rPr>
        <w:t>идентифи</w:t>
      </w:r>
      <w:r w:rsidR="00BB07D8">
        <w:rPr>
          <w:rFonts w:ascii="Times New Roman" w:hAnsi="Times New Roman"/>
          <w:lang w:val="sr-Cyrl-BA"/>
        </w:rPr>
        <w:t>ковала</w:t>
      </w:r>
      <w:r w:rsidR="00E1132E" w:rsidRPr="00295637">
        <w:rPr>
          <w:rFonts w:ascii="Times New Roman" w:hAnsi="Times New Roman"/>
          <w:lang w:val="sr-Latn-BA"/>
        </w:rPr>
        <w:t xml:space="preserve"> </w:t>
      </w:r>
      <w:r>
        <w:rPr>
          <w:rFonts w:ascii="Times New Roman" w:hAnsi="Times New Roman"/>
          <w:lang w:val="sr-Latn-BA"/>
        </w:rPr>
        <w:t>је</w:t>
      </w:r>
      <w:r w:rsidR="00E1132E" w:rsidRPr="00295637">
        <w:rPr>
          <w:rFonts w:ascii="Times New Roman" w:hAnsi="Times New Roman"/>
          <w:lang w:val="sr-Latn-BA"/>
        </w:rPr>
        <w:t xml:space="preserve"> </w:t>
      </w:r>
      <w:r>
        <w:rPr>
          <w:rFonts w:ascii="Times New Roman" w:hAnsi="Times New Roman"/>
          <w:lang w:val="sr-Latn-BA"/>
        </w:rPr>
        <w:t>недовољну</w:t>
      </w:r>
      <w:r w:rsidR="00E1132E" w:rsidRPr="00295637">
        <w:rPr>
          <w:rFonts w:ascii="Times New Roman" w:hAnsi="Times New Roman"/>
          <w:lang w:val="sr-Latn-BA"/>
        </w:rPr>
        <w:t xml:space="preserve"> </w:t>
      </w:r>
      <w:r>
        <w:rPr>
          <w:rFonts w:ascii="Times New Roman" w:hAnsi="Times New Roman"/>
          <w:lang w:val="sr-Latn-BA"/>
        </w:rPr>
        <w:t>функционалност</w:t>
      </w:r>
      <w:r w:rsidR="00E1132E" w:rsidRPr="00295637">
        <w:rPr>
          <w:rFonts w:ascii="Times New Roman" w:hAnsi="Times New Roman"/>
          <w:lang w:val="sr-Latn-BA"/>
        </w:rPr>
        <w:t xml:space="preserve"> </w:t>
      </w:r>
      <w:r>
        <w:rPr>
          <w:rFonts w:ascii="Times New Roman" w:hAnsi="Times New Roman"/>
          <w:lang w:val="sr-Latn-BA"/>
        </w:rPr>
        <w:t>и</w:t>
      </w:r>
      <w:r w:rsidR="00E1132E" w:rsidRPr="00295637">
        <w:rPr>
          <w:rFonts w:ascii="Times New Roman" w:hAnsi="Times New Roman"/>
          <w:lang w:val="sr-Latn-BA"/>
        </w:rPr>
        <w:t xml:space="preserve"> </w:t>
      </w:r>
      <w:r>
        <w:rPr>
          <w:rFonts w:ascii="Times New Roman" w:hAnsi="Times New Roman"/>
          <w:lang w:val="sr-Latn-BA"/>
        </w:rPr>
        <w:t>примјену</w:t>
      </w:r>
      <w:r w:rsidR="00E1132E" w:rsidRPr="00295637">
        <w:rPr>
          <w:rFonts w:ascii="Times New Roman" w:hAnsi="Times New Roman"/>
          <w:lang w:val="sr-Latn-BA"/>
        </w:rPr>
        <w:t xml:space="preserve"> </w:t>
      </w:r>
      <w:r>
        <w:rPr>
          <w:rFonts w:ascii="Times New Roman" w:hAnsi="Times New Roman"/>
          <w:lang w:val="sr-Latn-BA"/>
        </w:rPr>
        <w:t>стандарда</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равноправност</w:t>
      </w:r>
      <w:r w:rsidR="00E1132E" w:rsidRPr="00295637">
        <w:rPr>
          <w:rFonts w:ascii="Times New Roman" w:hAnsi="Times New Roman"/>
          <w:lang w:val="sr-Latn-BA"/>
        </w:rPr>
        <w:t xml:space="preserve"> </w:t>
      </w:r>
      <w:r>
        <w:rPr>
          <w:rFonts w:ascii="Times New Roman" w:hAnsi="Times New Roman"/>
          <w:lang w:val="sr-Latn-BA"/>
        </w:rPr>
        <w:t>полова</w:t>
      </w:r>
      <w:r w:rsidR="00E1132E"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Latn-BA"/>
        </w:rPr>
        <w:t xml:space="preserve"> </w:t>
      </w:r>
      <w:r>
        <w:rPr>
          <w:rFonts w:ascii="Times New Roman" w:hAnsi="Times New Roman"/>
          <w:lang w:val="sr-Latn-BA"/>
        </w:rPr>
        <w:t>оквиру</w:t>
      </w:r>
      <w:r w:rsidR="00E1132E" w:rsidRPr="00295637">
        <w:rPr>
          <w:rFonts w:ascii="Times New Roman" w:hAnsi="Times New Roman"/>
          <w:lang w:val="sr-Latn-BA"/>
        </w:rPr>
        <w:t xml:space="preserve"> </w:t>
      </w:r>
      <w:r>
        <w:rPr>
          <w:rFonts w:ascii="Times New Roman" w:hAnsi="Times New Roman"/>
          <w:lang w:val="sr-Latn-BA"/>
        </w:rPr>
        <w:t>ове</w:t>
      </w:r>
      <w:r w:rsidR="00E1132E" w:rsidRPr="00295637">
        <w:rPr>
          <w:rFonts w:ascii="Times New Roman" w:hAnsi="Times New Roman"/>
          <w:lang w:val="sr-Latn-BA"/>
        </w:rPr>
        <w:t xml:space="preserve"> </w:t>
      </w:r>
      <w:r>
        <w:rPr>
          <w:rFonts w:ascii="Times New Roman" w:hAnsi="Times New Roman"/>
          <w:lang w:val="sr-Latn-BA"/>
        </w:rPr>
        <w:t>области</w:t>
      </w:r>
      <w:r w:rsidR="00E1132E" w:rsidRPr="00295637">
        <w:rPr>
          <w:rFonts w:ascii="Times New Roman" w:hAnsi="Times New Roman"/>
          <w:lang w:val="sr-Latn-BA"/>
        </w:rPr>
        <w:t xml:space="preserve">, </w:t>
      </w:r>
      <w:r>
        <w:rPr>
          <w:rFonts w:ascii="Times New Roman" w:hAnsi="Times New Roman"/>
          <w:lang w:val="sr-Latn-BA"/>
        </w:rPr>
        <w:t>те</w:t>
      </w:r>
      <w:r w:rsidR="00E1132E"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Latn-BA"/>
        </w:rPr>
        <w:t xml:space="preserve"> </w:t>
      </w:r>
      <w:r>
        <w:rPr>
          <w:rFonts w:ascii="Times New Roman" w:hAnsi="Times New Roman"/>
          <w:lang w:val="sr-Latn-BA"/>
        </w:rPr>
        <w:t>стратешке</w:t>
      </w:r>
      <w:r w:rsidR="00E1132E" w:rsidRPr="00295637">
        <w:rPr>
          <w:rFonts w:ascii="Times New Roman" w:hAnsi="Times New Roman"/>
          <w:lang w:val="sr-Latn-BA"/>
        </w:rPr>
        <w:t xml:space="preserve"> </w:t>
      </w:r>
      <w:r>
        <w:rPr>
          <w:rFonts w:ascii="Times New Roman" w:hAnsi="Times New Roman"/>
          <w:lang w:val="sr-Latn-BA"/>
        </w:rPr>
        <w:t>циљеве</w:t>
      </w:r>
      <w:r w:rsidR="00E1132E" w:rsidRPr="00295637">
        <w:rPr>
          <w:rFonts w:ascii="Times New Roman" w:hAnsi="Times New Roman"/>
          <w:lang w:val="sr-Latn-BA"/>
        </w:rPr>
        <w:t xml:space="preserve">, </w:t>
      </w:r>
      <w:r>
        <w:rPr>
          <w:rFonts w:ascii="Times New Roman" w:hAnsi="Times New Roman"/>
          <w:lang w:val="sr-Latn-BA"/>
        </w:rPr>
        <w:t>приоритете</w:t>
      </w:r>
      <w:r w:rsidR="00E1132E" w:rsidRPr="00295637">
        <w:rPr>
          <w:rFonts w:ascii="Times New Roman" w:hAnsi="Times New Roman"/>
          <w:lang w:val="sr-Latn-BA"/>
        </w:rPr>
        <w:t xml:space="preserve"> </w:t>
      </w:r>
      <w:r>
        <w:rPr>
          <w:rFonts w:ascii="Times New Roman" w:hAnsi="Times New Roman"/>
          <w:lang w:val="sr-Latn-BA"/>
        </w:rPr>
        <w:t>и</w:t>
      </w:r>
      <w:r w:rsidR="00E1132E" w:rsidRPr="00295637">
        <w:rPr>
          <w:rFonts w:ascii="Times New Roman" w:hAnsi="Times New Roman"/>
          <w:lang w:val="sr-Latn-BA"/>
        </w:rPr>
        <w:t xml:space="preserve"> </w:t>
      </w:r>
      <w:r>
        <w:rPr>
          <w:rFonts w:ascii="Times New Roman" w:hAnsi="Times New Roman"/>
          <w:lang w:val="sr-Latn-BA"/>
        </w:rPr>
        <w:t>индикаторе</w:t>
      </w:r>
      <w:r w:rsidR="00E1132E" w:rsidRPr="00295637">
        <w:rPr>
          <w:rFonts w:ascii="Times New Roman" w:hAnsi="Times New Roman"/>
          <w:lang w:val="sr-Latn-BA"/>
        </w:rPr>
        <w:t xml:space="preserve"> </w:t>
      </w:r>
      <w:r>
        <w:rPr>
          <w:rFonts w:ascii="Times New Roman" w:hAnsi="Times New Roman"/>
          <w:lang w:val="sr-Latn-BA"/>
        </w:rPr>
        <w:t>увела</w:t>
      </w:r>
      <w:r w:rsidR="00E1132E" w:rsidRPr="00295637">
        <w:rPr>
          <w:rFonts w:ascii="Times New Roman" w:hAnsi="Times New Roman"/>
          <w:lang w:val="sr-Latn-BA"/>
        </w:rPr>
        <w:t xml:space="preserve"> </w:t>
      </w:r>
      <w:r>
        <w:rPr>
          <w:rFonts w:ascii="Times New Roman" w:hAnsi="Times New Roman"/>
          <w:lang w:val="sr-Latn-BA"/>
        </w:rPr>
        <w:t>стандарде</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равноправност</w:t>
      </w:r>
      <w:r w:rsidR="00E1132E" w:rsidRPr="00295637">
        <w:rPr>
          <w:rFonts w:ascii="Times New Roman" w:hAnsi="Times New Roman"/>
          <w:lang w:val="sr-Latn-BA"/>
        </w:rPr>
        <w:t xml:space="preserve"> </w:t>
      </w:r>
      <w:r>
        <w:rPr>
          <w:rFonts w:ascii="Times New Roman" w:hAnsi="Times New Roman"/>
          <w:lang w:val="sr-Latn-BA"/>
        </w:rPr>
        <w:t>полова</w:t>
      </w:r>
      <w:r w:rsidR="00E1132E" w:rsidRPr="00295637">
        <w:rPr>
          <w:rFonts w:ascii="Times New Roman" w:hAnsi="Times New Roman"/>
          <w:lang w:val="sr-Latn-BA"/>
        </w:rPr>
        <w:t xml:space="preserve">, </w:t>
      </w:r>
      <w:r>
        <w:rPr>
          <w:rFonts w:ascii="Times New Roman" w:hAnsi="Times New Roman"/>
          <w:lang w:val="sr-Latn-BA"/>
        </w:rPr>
        <w:t>као</w:t>
      </w:r>
      <w:r w:rsidR="00E1132E" w:rsidRPr="00295637">
        <w:rPr>
          <w:rFonts w:ascii="Times New Roman" w:hAnsi="Times New Roman"/>
          <w:lang w:val="sr-Latn-BA"/>
        </w:rPr>
        <w:t xml:space="preserve"> </w:t>
      </w:r>
      <w:r>
        <w:rPr>
          <w:rFonts w:ascii="Times New Roman" w:hAnsi="Times New Roman"/>
          <w:lang w:val="sr-Latn-BA"/>
        </w:rPr>
        <w:t>и</w:t>
      </w:r>
      <w:r w:rsidR="00E1132E" w:rsidRPr="00295637">
        <w:rPr>
          <w:rFonts w:ascii="Times New Roman" w:hAnsi="Times New Roman"/>
          <w:lang w:val="sr-Latn-BA"/>
        </w:rPr>
        <w:t xml:space="preserve"> </w:t>
      </w:r>
      <w:r>
        <w:rPr>
          <w:rFonts w:ascii="Times New Roman" w:hAnsi="Times New Roman"/>
          <w:lang w:val="sr-Latn-BA"/>
        </w:rPr>
        <w:t>привремене</w:t>
      </w:r>
      <w:r w:rsidR="00E1132E" w:rsidRPr="00295637">
        <w:rPr>
          <w:rFonts w:ascii="Times New Roman" w:hAnsi="Times New Roman"/>
          <w:lang w:val="sr-Latn-BA"/>
        </w:rPr>
        <w:t xml:space="preserve"> </w:t>
      </w:r>
      <w:r>
        <w:rPr>
          <w:rFonts w:ascii="Times New Roman" w:hAnsi="Times New Roman"/>
          <w:lang w:val="sr-Latn-BA"/>
        </w:rPr>
        <w:t>посебне</w:t>
      </w:r>
      <w:r w:rsidR="00E1132E" w:rsidRPr="00295637">
        <w:rPr>
          <w:rFonts w:ascii="Times New Roman" w:hAnsi="Times New Roman"/>
          <w:lang w:val="sr-Latn-BA"/>
        </w:rPr>
        <w:t xml:space="preserve"> </w:t>
      </w:r>
      <w:r>
        <w:rPr>
          <w:rFonts w:ascii="Times New Roman" w:hAnsi="Times New Roman"/>
          <w:lang w:val="sr-Latn-BA"/>
        </w:rPr>
        <w:t>мјере</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веће</w:t>
      </w:r>
      <w:r w:rsidR="00E1132E" w:rsidRPr="00295637">
        <w:rPr>
          <w:rFonts w:ascii="Times New Roman" w:hAnsi="Times New Roman"/>
          <w:lang w:val="sr-Latn-BA"/>
        </w:rPr>
        <w:t xml:space="preserve"> </w:t>
      </w:r>
      <w:r>
        <w:rPr>
          <w:rFonts w:ascii="Times New Roman" w:hAnsi="Times New Roman"/>
          <w:lang w:val="sr-Latn-BA"/>
        </w:rPr>
        <w:t>учешће</w:t>
      </w:r>
      <w:r w:rsidR="00E1132E" w:rsidRPr="00295637">
        <w:rPr>
          <w:rFonts w:ascii="Times New Roman" w:hAnsi="Times New Roman"/>
          <w:lang w:val="sr-Latn-BA"/>
        </w:rPr>
        <w:t xml:space="preserve"> </w:t>
      </w:r>
      <w:r>
        <w:rPr>
          <w:rFonts w:ascii="Times New Roman" w:hAnsi="Times New Roman"/>
          <w:lang w:val="sr-Latn-BA"/>
        </w:rPr>
        <w:t>жена</w:t>
      </w:r>
      <w:r w:rsidR="00E1132E" w:rsidRPr="00295637">
        <w:rPr>
          <w:rFonts w:ascii="Times New Roman" w:hAnsi="Times New Roman"/>
          <w:lang w:val="sr-Latn-BA"/>
        </w:rPr>
        <w:t>.</w:t>
      </w:r>
    </w:p>
    <w:p w:rsidR="00E1132E" w:rsidRPr="00295637" w:rsidRDefault="00E1132E" w:rsidP="0086268D">
      <w:pPr>
        <w:pStyle w:val="ListParagraph"/>
        <w:ind w:left="0"/>
        <w:jc w:val="both"/>
        <w:rPr>
          <w:rFonts w:ascii="Times New Roman" w:hAnsi="Times New Roman"/>
          <w:lang w:val="sr-Latn-BA"/>
        </w:rPr>
      </w:pPr>
    </w:p>
    <w:p w:rsidR="00CC149F" w:rsidRDefault="00C6214E" w:rsidP="00CC149F">
      <w:pPr>
        <w:pStyle w:val="ListParagraph"/>
        <w:ind w:left="0"/>
        <w:jc w:val="both"/>
        <w:rPr>
          <w:rFonts w:ascii="Times New Roman" w:hAnsi="Times New Roman"/>
          <w:lang w:val="sr-Latn-BA"/>
        </w:rPr>
      </w:pPr>
      <w:r>
        <w:rPr>
          <w:rFonts w:ascii="Times New Roman" w:hAnsi="Times New Roman"/>
          <w:lang w:val="sr-Latn-BA"/>
        </w:rPr>
        <w:t>Представница</w:t>
      </w:r>
      <w:r w:rsidR="00CC149F">
        <w:rPr>
          <w:rFonts w:ascii="Times New Roman" w:hAnsi="Times New Roman"/>
          <w:lang w:val="sr-Latn-BA"/>
        </w:rPr>
        <w:t xml:space="preserve"> </w:t>
      </w:r>
      <w:r>
        <w:rPr>
          <w:rFonts w:ascii="Times New Roman" w:hAnsi="Times New Roman"/>
          <w:lang w:val="sr-Latn-BA"/>
        </w:rPr>
        <w:t>ЦЈРП</w:t>
      </w:r>
      <w:r w:rsidR="00CC149F">
        <w:rPr>
          <w:rFonts w:ascii="Times New Roman" w:hAnsi="Times New Roman"/>
          <w:lang w:val="sr-Latn-BA"/>
        </w:rPr>
        <w:t xml:space="preserve"> </w:t>
      </w:r>
      <w:r>
        <w:rPr>
          <w:rFonts w:ascii="Times New Roman" w:hAnsi="Times New Roman"/>
          <w:lang w:val="sr-Latn-BA"/>
        </w:rPr>
        <w:t>РС</w:t>
      </w:r>
      <w:r w:rsidR="00CC149F">
        <w:rPr>
          <w:rFonts w:ascii="Times New Roman" w:hAnsi="Times New Roman"/>
          <w:lang w:val="sr-Latn-BA"/>
        </w:rPr>
        <w:t xml:space="preserve"> </w:t>
      </w:r>
      <w:r>
        <w:rPr>
          <w:rFonts w:ascii="Times New Roman" w:hAnsi="Times New Roman"/>
          <w:lang w:val="sr-Latn-BA"/>
        </w:rPr>
        <w:t>именована</w:t>
      </w:r>
      <w:r w:rsidR="00CC149F">
        <w:rPr>
          <w:rFonts w:ascii="Times New Roman" w:hAnsi="Times New Roman"/>
          <w:lang w:val="sr-Latn-BA"/>
        </w:rPr>
        <w:t xml:space="preserve"> </w:t>
      </w:r>
      <w:r>
        <w:rPr>
          <w:rFonts w:ascii="Times New Roman" w:hAnsi="Times New Roman"/>
          <w:lang w:val="sr-Latn-BA"/>
        </w:rPr>
        <w:t>је</w:t>
      </w:r>
      <w:r w:rsidR="008D2DC6">
        <w:rPr>
          <w:rFonts w:ascii="Times New Roman" w:hAnsi="Times New Roman"/>
          <w:lang w:val="sr-Latn-BA"/>
        </w:rPr>
        <w:t xml:space="preserve"> </w:t>
      </w:r>
      <w:r>
        <w:rPr>
          <w:rFonts w:ascii="Times New Roman" w:hAnsi="Times New Roman"/>
          <w:lang w:val="sr-Latn-BA"/>
        </w:rPr>
        <w:t>као</w:t>
      </w:r>
      <w:r w:rsidR="00CC149F">
        <w:rPr>
          <w:rFonts w:ascii="Times New Roman" w:hAnsi="Times New Roman"/>
          <w:lang w:val="sr-Latn-BA"/>
        </w:rPr>
        <w:t xml:space="preserve"> </w:t>
      </w:r>
      <w:r w:rsidR="00E738A0">
        <w:rPr>
          <w:rFonts w:ascii="Times New Roman" w:hAnsi="Times New Roman"/>
          <w:lang w:val="bs-Cyrl-BA"/>
        </w:rPr>
        <w:t>контакт-особа за гендер (</w:t>
      </w:r>
      <w:r w:rsidR="00BB07D8" w:rsidRPr="00BB07D8">
        <w:rPr>
          <w:rFonts w:ascii="Times New Roman" w:hAnsi="Times New Roman"/>
          <w:i/>
          <w:lang w:val="sr-Latn-BA"/>
        </w:rPr>
        <w:t>Gender Focal Point</w:t>
      </w:r>
      <w:r w:rsidR="00E738A0">
        <w:rPr>
          <w:rFonts w:ascii="Times New Roman" w:hAnsi="Times New Roman"/>
          <w:i/>
          <w:lang w:val="bs-Cyrl-BA"/>
        </w:rPr>
        <w:t>)</w:t>
      </w:r>
      <w:r w:rsidR="00BB07D8" w:rsidRPr="00BB07D8">
        <w:rPr>
          <w:rFonts w:ascii="Times New Roman" w:hAnsi="Times New Roman"/>
          <w:i/>
          <w:lang w:val="sr-Latn-BA"/>
        </w:rPr>
        <w:t xml:space="preserve"> </w:t>
      </w:r>
      <w:r>
        <w:rPr>
          <w:rFonts w:ascii="Times New Roman" w:hAnsi="Times New Roman"/>
          <w:lang w:val="sr-Latn-BA"/>
        </w:rPr>
        <w:t>за</w:t>
      </w:r>
      <w:r w:rsidR="00CC149F">
        <w:rPr>
          <w:rFonts w:ascii="Times New Roman" w:hAnsi="Times New Roman"/>
          <w:lang w:val="sr-Latn-BA"/>
        </w:rPr>
        <w:t xml:space="preserve"> </w:t>
      </w:r>
      <w:r>
        <w:rPr>
          <w:rFonts w:ascii="Times New Roman" w:hAnsi="Times New Roman"/>
          <w:lang w:val="sr-Latn-BA"/>
        </w:rPr>
        <w:t>БиХ</w:t>
      </w:r>
      <w:r w:rsidR="00CC149F">
        <w:rPr>
          <w:rFonts w:ascii="Times New Roman" w:hAnsi="Times New Roman"/>
          <w:lang w:val="sr-Latn-BA"/>
        </w:rPr>
        <w:t xml:space="preserve"> </w:t>
      </w:r>
      <w:r>
        <w:rPr>
          <w:rFonts w:ascii="Times New Roman" w:hAnsi="Times New Roman"/>
          <w:lang w:val="sr-Latn-BA"/>
        </w:rPr>
        <w:t>за</w:t>
      </w:r>
      <w:r w:rsidR="00CC149F">
        <w:rPr>
          <w:rFonts w:ascii="Times New Roman" w:hAnsi="Times New Roman"/>
          <w:lang w:val="sr-Latn-BA"/>
        </w:rPr>
        <w:t xml:space="preserve"> </w:t>
      </w:r>
      <w:r>
        <w:rPr>
          <w:rFonts w:ascii="Times New Roman" w:hAnsi="Times New Roman"/>
          <w:lang w:val="sr-Latn-BA"/>
        </w:rPr>
        <w:t>област</w:t>
      </w:r>
      <w:r w:rsidR="00CC149F">
        <w:rPr>
          <w:rFonts w:ascii="Times New Roman" w:hAnsi="Times New Roman"/>
          <w:lang w:val="sr-Latn-BA"/>
        </w:rPr>
        <w:t xml:space="preserve"> </w:t>
      </w:r>
      <w:r>
        <w:rPr>
          <w:rFonts w:ascii="Times New Roman" w:hAnsi="Times New Roman"/>
          <w:lang w:val="sr-Latn-BA"/>
        </w:rPr>
        <w:t>климатских</w:t>
      </w:r>
      <w:r w:rsidR="00CC149F">
        <w:rPr>
          <w:rFonts w:ascii="Times New Roman" w:hAnsi="Times New Roman"/>
          <w:lang w:val="sr-Latn-BA"/>
        </w:rPr>
        <w:t xml:space="preserve"> </w:t>
      </w:r>
      <w:r>
        <w:rPr>
          <w:rFonts w:ascii="Times New Roman" w:hAnsi="Times New Roman"/>
          <w:lang w:val="sr-Latn-BA"/>
        </w:rPr>
        <w:t>промјена</w:t>
      </w:r>
      <w:r w:rsidR="00CC149F">
        <w:rPr>
          <w:rFonts w:ascii="Times New Roman" w:hAnsi="Times New Roman"/>
          <w:lang w:val="sr-Latn-BA"/>
        </w:rPr>
        <w:t xml:space="preserve"> </w:t>
      </w:r>
      <w:r>
        <w:rPr>
          <w:rFonts w:ascii="Times New Roman" w:hAnsi="Times New Roman"/>
          <w:lang w:val="sr-Latn-BA"/>
        </w:rPr>
        <w:t>на</w:t>
      </w:r>
      <w:r w:rsidR="00CC149F">
        <w:rPr>
          <w:rFonts w:ascii="Times New Roman" w:hAnsi="Times New Roman"/>
          <w:lang w:val="sr-Latn-BA"/>
        </w:rPr>
        <w:t xml:space="preserve"> </w:t>
      </w:r>
      <w:r>
        <w:rPr>
          <w:rFonts w:ascii="Times New Roman" w:hAnsi="Times New Roman"/>
          <w:lang w:val="sr-Latn-BA"/>
        </w:rPr>
        <w:t>нивоу</w:t>
      </w:r>
      <w:r w:rsidR="00CC149F">
        <w:rPr>
          <w:rFonts w:ascii="Times New Roman" w:hAnsi="Times New Roman"/>
          <w:lang w:val="sr-Latn-BA"/>
        </w:rPr>
        <w:t xml:space="preserve"> </w:t>
      </w:r>
      <w:r>
        <w:rPr>
          <w:rFonts w:ascii="Times New Roman" w:hAnsi="Times New Roman"/>
          <w:lang w:val="sr-Latn-BA"/>
        </w:rPr>
        <w:t>Уједињених</w:t>
      </w:r>
      <w:r w:rsidR="00CC149F">
        <w:rPr>
          <w:rFonts w:ascii="Times New Roman" w:hAnsi="Times New Roman"/>
          <w:lang w:val="sr-Latn-BA"/>
        </w:rPr>
        <w:t xml:space="preserve"> </w:t>
      </w:r>
      <w:r>
        <w:rPr>
          <w:rFonts w:ascii="Times New Roman" w:hAnsi="Times New Roman"/>
          <w:lang w:val="sr-Latn-BA"/>
        </w:rPr>
        <w:t>нација</w:t>
      </w:r>
      <w:r w:rsidR="00CC149F">
        <w:rPr>
          <w:rStyle w:val="FootnoteReference"/>
          <w:rFonts w:ascii="Times New Roman" w:hAnsi="Times New Roman"/>
          <w:lang w:val="sr-Latn-BA"/>
        </w:rPr>
        <w:footnoteReference w:id="6"/>
      </w:r>
      <w:r w:rsidR="00CC149F">
        <w:rPr>
          <w:rFonts w:ascii="Times New Roman" w:hAnsi="Times New Roman"/>
          <w:lang w:val="sr-Latn-BA"/>
        </w:rPr>
        <w:t xml:space="preserve"> </w:t>
      </w:r>
      <w:r>
        <w:rPr>
          <w:rFonts w:ascii="Times New Roman" w:hAnsi="Times New Roman"/>
          <w:lang w:val="sr-Latn-BA"/>
        </w:rPr>
        <w:t>и</w:t>
      </w:r>
      <w:r w:rsidR="00CC149F">
        <w:rPr>
          <w:rFonts w:ascii="Times New Roman" w:hAnsi="Times New Roman"/>
          <w:lang w:val="sr-Latn-BA"/>
        </w:rPr>
        <w:t xml:space="preserve"> </w:t>
      </w:r>
      <w:r>
        <w:rPr>
          <w:rFonts w:ascii="Times New Roman" w:hAnsi="Times New Roman"/>
          <w:lang w:val="sr-Latn-BA"/>
        </w:rPr>
        <w:t>у</w:t>
      </w:r>
      <w:r w:rsidR="00CC149F">
        <w:rPr>
          <w:rFonts w:ascii="Times New Roman" w:hAnsi="Times New Roman"/>
          <w:lang w:val="sr-Latn-BA"/>
        </w:rPr>
        <w:t xml:space="preserve"> </w:t>
      </w:r>
      <w:r>
        <w:rPr>
          <w:rFonts w:ascii="Times New Roman" w:hAnsi="Times New Roman"/>
          <w:lang w:val="sr-Latn-BA"/>
        </w:rPr>
        <w:t>том</w:t>
      </w:r>
      <w:r w:rsidR="00CC149F">
        <w:rPr>
          <w:rFonts w:ascii="Times New Roman" w:hAnsi="Times New Roman"/>
          <w:lang w:val="sr-Latn-BA"/>
        </w:rPr>
        <w:t xml:space="preserve"> </w:t>
      </w:r>
      <w:r>
        <w:rPr>
          <w:rFonts w:ascii="Times New Roman" w:hAnsi="Times New Roman"/>
          <w:lang w:val="sr-Latn-BA"/>
        </w:rPr>
        <w:t>капацитету</w:t>
      </w:r>
      <w:r w:rsidR="008D2DC6">
        <w:rPr>
          <w:rFonts w:ascii="Times New Roman" w:hAnsi="Times New Roman"/>
          <w:lang w:val="sr-Latn-BA"/>
        </w:rPr>
        <w:t xml:space="preserve"> </w:t>
      </w:r>
      <w:r>
        <w:rPr>
          <w:rFonts w:ascii="Times New Roman" w:hAnsi="Times New Roman"/>
          <w:lang w:val="sr-Latn-BA"/>
        </w:rPr>
        <w:t>прати</w:t>
      </w:r>
      <w:r w:rsidR="008D2DC6">
        <w:rPr>
          <w:rFonts w:ascii="Times New Roman" w:hAnsi="Times New Roman"/>
          <w:lang w:val="sr-Latn-BA"/>
        </w:rPr>
        <w:t xml:space="preserve"> </w:t>
      </w:r>
      <w:r>
        <w:rPr>
          <w:rFonts w:ascii="Times New Roman" w:hAnsi="Times New Roman"/>
          <w:lang w:val="sr-Latn-BA"/>
        </w:rPr>
        <w:t>стање</w:t>
      </w:r>
      <w:r w:rsidR="008D2DC6">
        <w:rPr>
          <w:rFonts w:ascii="Times New Roman" w:hAnsi="Times New Roman"/>
          <w:lang w:val="sr-Latn-BA"/>
        </w:rPr>
        <w:t xml:space="preserve"> </w:t>
      </w:r>
      <w:r>
        <w:rPr>
          <w:rFonts w:ascii="Times New Roman" w:hAnsi="Times New Roman"/>
          <w:lang w:val="sr-Latn-BA"/>
        </w:rPr>
        <w:t>са</w:t>
      </w:r>
      <w:r w:rsidR="00CC149F">
        <w:rPr>
          <w:rFonts w:ascii="Times New Roman" w:hAnsi="Times New Roman"/>
          <w:lang w:val="sr-Latn-BA"/>
        </w:rPr>
        <w:t xml:space="preserve"> </w:t>
      </w:r>
      <w:r>
        <w:rPr>
          <w:rFonts w:ascii="Times New Roman" w:hAnsi="Times New Roman"/>
          <w:lang w:val="sr-Latn-BA"/>
        </w:rPr>
        <w:t>аспекта</w:t>
      </w:r>
      <w:r w:rsidR="00CC149F">
        <w:rPr>
          <w:rFonts w:ascii="Times New Roman" w:hAnsi="Times New Roman"/>
          <w:lang w:val="sr-Latn-BA"/>
        </w:rPr>
        <w:t xml:space="preserve"> </w:t>
      </w:r>
      <w:r>
        <w:rPr>
          <w:rFonts w:ascii="Times New Roman" w:hAnsi="Times New Roman"/>
          <w:lang w:val="sr-Latn-BA"/>
        </w:rPr>
        <w:t>равноправности</w:t>
      </w:r>
      <w:r w:rsidR="00CC149F">
        <w:rPr>
          <w:rFonts w:ascii="Times New Roman" w:hAnsi="Times New Roman"/>
          <w:lang w:val="sr-Latn-BA"/>
        </w:rPr>
        <w:t xml:space="preserve"> </w:t>
      </w:r>
      <w:r>
        <w:rPr>
          <w:rFonts w:ascii="Times New Roman" w:hAnsi="Times New Roman"/>
          <w:lang w:val="sr-Latn-BA"/>
        </w:rPr>
        <w:t>полова</w:t>
      </w:r>
      <w:r w:rsidR="00CC149F">
        <w:rPr>
          <w:rFonts w:ascii="Times New Roman" w:hAnsi="Times New Roman"/>
          <w:lang w:val="sr-Latn-BA"/>
        </w:rPr>
        <w:t xml:space="preserve">, </w:t>
      </w:r>
      <w:r>
        <w:rPr>
          <w:rFonts w:ascii="Times New Roman" w:hAnsi="Times New Roman"/>
          <w:lang w:val="sr-Latn-BA"/>
        </w:rPr>
        <w:t>учествује</w:t>
      </w:r>
      <w:r w:rsidR="00CC149F">
        <w:rPr>
          <w:rFonts w:ascii="Times New Roman" w:hAnsi="Times New Roman"/>
          <w:lang w:val="sr-Latn-BA"/>
        </w:rPr>
        <w:t xml:space="preserve"> </w:t>
      </w:r>
      <w:r>
        <w:rPr>
          <w:rFonts w:ascii="Times New Roman" w:hAnsi="Times New Roman"/>
          <w:lang w:val="sr-Latn-BA"/>
        </w:rPr>
        <w:t>у</w:t>
      </w:r>
      <w:r w:rsidR="00CC149F">
        <w:rPr>
          <w:rFonts w:ascii="Times New Roman" w:hAnsi="Times New Roman"/>
          <w:lang w:val="sr-Latn-BA"/>
        </w:rPr>
        <w:t xml:space="preserve"> </w:t>
      </w:r>
      <w:r>
        <w:rPr>
          <w:rFonts w:ascii="Times New Roman" w:hAnsi="Times New Roman"/>
          <w:lang w:val="sr-Latn-BA"/>
        </w:rPr>
        <w:t>активностима</w:t>
      </w:r>
      <w:r w:rsidR="00CC149F">
        <w:rPr>
          <w:rFonts w:ascii="Times New Roman" w:hAnsi="Times New Roman"/>
          <w:lang w:val="sr-Latn-BA"/>
        </w:rPr>
        <w:t xml:space="preserve"> </w:t>
      </w:r>
      <w:r>
        <w:rPr>
          <w:rFonts w:ascii="Times New Roman" w:hAnsi="Times New Roman"/>
          <w:lang w:val="sr-Latn-BA"/>
        </w:rPr>
        <w:t>обука</w:t>
      </w:r>
      <w:r w:rsidR="00CC149F">
        <w:rPr>
          <w:rFonts w:ascii="Times New Roman" w:hAnsi="Times New Roman"/>
          <w:lang w:val="sr-Latn-BA"/>
        </w:rPr>
        <w:t xml:space="preserve"> </w:t>
      </w:r>
      <w:r>
        <w:rPr>
          <w:rFonts w:ascii="Times New Roman" w:hAnsi="Times New Roman"/>
          <w:lang w:val="sr-Latn-BA"/>
        </w:rPr>
        <w:t>и</w:t>
      </w:r>
      <w:r w:rsidR="00CC149F">
        <w:rPr>
          <w:rFonts w:ascii="Times New Roman" w:hAnsi="Times New Roman"/>
          <w:lang w:val="sr-Latn-BA"/>
        </w:rPr>
        <w:t xml:space="preserve"> </w:t>
      </w:r>
      <w:r>
        <w:rPr>
          <w:rFonts w:ascii="Times New Roman" w:hAnsi="Times New Roman"/>
          <w:lang w:val="sr-Latn-BA"/>
        </w:rPr>
        <w:t>извјештавању</w:t>
      </w:r>
      <w:r w:rsidR="00CC149F">
        <w:rPr>
          <w:rFonts w:ascii="Times New Roman" w:hAnsi="Times New Roman"/>
          <w:lang w:val="sr-Latn-BA"/>
        </w:rPr>
        <w:t xml:space="preserve"> </w:t>
      </w:r>
      <w:r>
        <w:rPr>
          <w:rFonts w:ascii="Times New Roman" w:hAnsi="Times New Roman"/>
          <w:lang w:val="sr-Latn-BA"/>
        </w:rPr>
        <w:t>о</w:t>
      </w:r>
      <w:r w:rsidR="00CC149F">
        <w:rPr>
          <w:rFonts w:ascii="Times New Roman" w:hAnsi="Times New Roman"/>
          <w:lang w:val="sr-Latn-BA"/>
        </w:rPr>
        <w:t xml:space="preserve"> </w:t>
      </w:r>
      <w:r>
        <w:rPr>
          <w:rFonts w:ascii="Times New Roman" w:hAnsi="Times New Roman"/>
          <w:lang w:val="sr-Latn-BA"/>
        </w:rPr>
        <w:t>климатским</w:t>
      </w:r>
      <w:r w:rsidR="00CC149F">
        <w:rPr>
          <w:rFonts w:ascii="Times New Roman" w:hAnsi="Times New Roman"/>
          <w:lang w:val="sr-Latn-BA"/>
        </w:rPr>
        <w:t xml:space="preserve"> </w:t>
      </w:r>
      <w:r>
        <w:rPr>
          <w:rFonts w:ascii="Times New Roman" w:hAnsi="Times New Roman"/>
          <w:lang w:val="sr-Latn-BA"/>
        </w:rPr>
        <w:t>промјенама</w:t>
      </w:r>
      <w:r w:rsidR="00CC149F">
        <w:rPr>
          <w:rFonts w:ascii="Times New Roman" w:hAnsi="Times New Roman"/>
          <w:lang w:val="sr-Latn-BA"/>
        </w:rPr>
        <w:t xml:space="preserve">. </w:t>
      </w:r>
      <w:r>
        <w:rPr>
          <w:rFonts w:ascii="Times New Roman" w:hAnsi="Times New Roman"/>
          <w:lang w:val="sr-Latn-BA"/>
        </w:rPr>
        <w:t>У</w:t>
      </w:r>
      <w:r w:rsidR="00CC149F">
        <w:rPr>
          <w:rFonts w:ascii="Times New Roman" w:hAnsi="Times New Roman"/>
          <w:lang w:val="sr-Latn-BA"/>
        </w:rPr>
        <w:t xml:space="preserve"> 2024. </w:t>
      </w:r>
      <w:r>
        <w:rPr>
          <w:rFonts w:ascii="Times New Roman" w:hAnsi="Times New Roman"/>
          <w:lang w:val="sr-Latn-BA"/>
        </w:rPr>
        <w:t>години</w:t>
      </w:r>
      <w:r w:rsidR="00CC149F">
        <w:rPr>
          <w:rFonts w:ascii="Times New Roman" w:hAnsi="Times New Roman"/>
          <w:lang w:val="sr-Latn-BA"/>
        </w:rPr>
        <w:t xml:space="preserve">, </w:t>
      </w:r>
      <w:r w:rsidR="00BB07D8" w:rsidRPr="00BB07D8">
        <w:rPr>
          <w:rFonts w:ascii="Times New Roman" w:hAnsi="Times New Roman"/>
          <w:i/>
          <w:lang w:val="sr-Latn-BA"/>
        </w:rPr>
        <w:t>GFP</w:t>
      </w:r>
      <w:r w:rsidR="00CC149F">
        <w:rPr>
          <w:rFonts w:ascii="Times New Roman" w:hAnsi="Times New Roman"/>
          <w:lang w:val="sr-Latn-BA"/>
        </w:rPr>
        <w:t xml:space="preserve"> </w:t>
      </w:r>
      <w:r>
        <w:rPr>
          <w:rFonts w:ascii="Times New Roman" w:hAnsi="Times New Roman"/>
          <w:lang w:val="sr-Latn-BA"/>
        </w:rPr>
        <w:t>је</w:t>
      </w:r>
      <w:r w:rsidR="00CC149F">
        <w:rPr>
          <w:rFonts w:ascii="Times New Roman" w:hAnsi="Times New Roman"/>
          <w:lang w:val="sr-Latn-BA"/>
        </w:rPr>
        <w:t xml:space="preserve"> </w:t>
      </w:r>
      <w:r>
        <w:rPr>
          <w:rFonts w:ascii="Times New Roman" w:hAnsi="Times New Roman"/>
          <w:lang w:val="sr-Latn-BA"/>
        </w:rPr>
        <w:t>учествовала</w:t>
      </w:r>
      <w:r w:rsidR="00CC149F">
        <w:rPr>
          <w:rFonts w:ascii="Times New Roman" w:hAnsi="Times New Roman"/>
          <w:lang w:val="sr-Latn-BA"/>
        </w:rPr>
        <w:t xml:space="preserve"> </w:t>
      </w:r>
      <w:r>
        <w:rPr>
          <w:rFonts w:ascii="Times New Roman" w:hAnsi="Times New Roman"/>
          <w:lang w:val="sr-Latn-BA"/>
        </w:rPr>
        <w:t>на</w:t>
      </w:r>
      <w:r w:rsidR="00CC149F">
        <w:rPr>
          <w:rFonts w:ascii="Times New Roman" w:hAnsi="Times New Roman"/>
          <w:lang w:val="sr-Latn-BA"/>
        </w:rPr>
        <w:t xml:space="preserve"> </w:t>
      </w:r>
      <w:r>
        <w:rPr>
          <w:rFonts w:ascii="Times New Roman" w:hAnsi="Times New Roman"/>
          <w:lang w:val="sr-Latn-BA"/>
        </w:rPr>
        <w:t>другом</w:t>
      </w:r>
      <w:r w:rsidR="00CC149F">
        <w:rPr>
          <w:rFonts w:ascii="Times New Roman" w:hAnsi="Times New Roman"/>
          <w:lang w:val="sr-Latn-BA"/>
        </w:rPr>
        <w:t xml:space="preserve"> </w:t>
      </w:r>
      <w:r>
        <w:rPr>
          <w:rFonts w:ascii="Times New Roman" w:hAnsi="Times New Roman"/>
          <w:lang w:val="sr-Latn-BA"/>
        </w:rPr>
        <w:t>састанку</w:t>
      </w:r>
      <w:r w:rsidR="00CC149F">
        <w:rPr>
          <w:rFonts w:ascii="Times New Roman" w:hAnsi="Times New Roman"/>
          <w:lang w:val="sr-Latn-BA"/>
        </w:rPr>
        <w:t xml:space="preserve"> „</w:t>
      </w:r>
      <w:r>
        <w:rPr>
          <w:rFonts w:ascii="Times New Roman" w:hAnsi="Times New Roman"/>
          <w:lang w:val="sr-Latn-BA"/>
        </w:rPr>
        <w:t>Подршка</w:t>
      </w:r>
      <w:r w:rsidR="00CC149F">
        <w:rPr>
          <w:rFonts w:ascii="Times New Roman" w:hAnsi="Times New Roman"/>
          <w:lang w:val="sr-Latn-BA"/>
        </w:rPr>
        <w:t xml:space="preserve"> </w:t>
      </w:r>
      <w:r>
        <w:rPr>
          <w:rFonts w:ascii="Times New Roman" w:hAnsi="Times New Roman"/>
          <w:lang w:val="sr-Latn-BA"/>
        </w:rPr>
        <w:t>побољшању</w:t>
      </w:r>
      <w:r w:rsidR="00CC149F">
        <w:rPr>
          <w:rFonts w:ascii="Times New Roman" w:hAnsi="Times New Roman"/>
          <w:lang w:val="sr-Latn-BA"/>
        </w:rPr>
        <w:t xml:space="preserve"> </w:t>
      </w:r>
      <w:r>
        <w:rPr>
          <w:rFonts w:ascii="Times New Roman" w:hAnsi="Times New Roman"/>
          <w:lang w:val="sr-Latn-BA"/>
        </w:rPr>
        <w:t>родно</w:t>
      </w:r>
      <w:r w:rsidR="00CC149F">
        <w:rPr>
          <w:rFonts w:ascii="Times New Roman" w:hAnsi="Times New Roman"/>
          <w:lang w:val="sr-Latn-BA"/>
        </w:rPr>
        <w:t xml:space="preserve"> </w:t>
      </w:r>
      <w:r>
        <w:rPr>
          <w:rFonts w:ascii="Times New Roman" w:hAnsi="Times New Roman"/>
          <w:lang w:val="sr-Latn-BA"/>
        </w:rPr>
        <w:t>освијештене</w:t>
      </w:r>
      <w:r w:rsidR="00CC149F">
        <w:rPr>
          <w:rFonts w:ascii="Times New Roman" w:hAnsi="Times New Roman"/>
          <w:lang w:val="sr-Latn-BA"/>
        </w:rPr>
        <w:t xml:space="preserve"> </w:t>
      </w:r>
      <w:r>
        <w:rPr>
          <w:rFonts w:ascii="Times New Roman" w:hAnsi="Times New Roman"/>
          <w:lang w:val="sr-Latn-BA"/>
        </w:rPr>
        <w:t>политике</w:t>
      </w:r>
      <w:r w:rsidR="00CC149F">
        <w:rPr>
          <w:rFonts w:ascii="Times New Roman" w:hAnsi="Times New Roman"/>
          <w:lang w:val="sr-Latn-BA"/>
        </w:rPr>
        <w:t xml:space="preserve"> </w:t>
      </w:r>
      <w:r>
        <w:rPr>
          <w:rFonts w:ascii="Times New Roman" w:hAnsi="Times New Roman"/>
          <w:lang w:val="sr-Latn-BA"/>
        </w:rPr>
        <w:t>у</w:t>
      </w:r>
      <w:r w:rsidR="00CC149F">
        <w:rPr>
          <w:rFonts w:ascii="Times New Roman" w:hAnsi="Times New Roman"/>
          <w:lang w:val="sr-Latn-BA"/>
        </w:rPr>
        <w:t xml:space="preserve"> </w:t>
      </w:r>
      <w:r>
        <w:rPr>
          <w:rFonts w:ascii="Times New Roman" w:hAnsi="Times New Roman"/>
          <w:lang w:val="sr-Latn-BA"/>
        </w:rPr>
        <w:t>извјештавању</w:t>
      </w:r>
      <w:r w:rsidR="00CC149F">
        <w:rPr>
          <w:rFonts w:ascii="Times New Roman" w:hAnsi="Times New Roman"/>
          <w:lang w:val="sr-Latn-BA"/>
        </w:rPr>
        <w:t xml:space="preserve"> </w:t>
      </w:r>
      <w:r>
        <w:rPr>
          <w:rFonts w:ascii="Times New Roman" w:hAnsi="Times New Roman"/>
          <w:lang w:val="sr-Latn-BA"/>
        </w:rPr>
        <w:t>о</w:t>
      </w:r>
      <w:r w:rsidR="00CC149F">
        <w:rPr>
          <w:rFonts w:ascii="Times New Roman" w:hAnsi="Times New Roman"/>
          <w:lang w:val="sr-Latn-BA"/>
        </w:rPr>
        <w:t xml:space="preserve"> </w:t>
      </w:r>
      <w:r>
        <w:rPr>
          <w:rFonts w:ascii="Times New Roman" w:hAnsi="Times New Roman"/>
          <w:lang w:val="sr-Latn-BA"/>
        </w:rPr>
        <w:t>климатској</w:t>
      </w:r>
      <w:r w:rsidR="00CC149F">
        <w:rPr>
          <w:rFonts w:ascii="Times New Roman" w:hAnsi="Times New Roman"/>
          <w:lang w:val="sr-Latn-BA"/>
        </w:rPr>
        <w:t xml:space="preserve"> </w:t>
      </w:r>
      <w:r>
        <w:rPr>
          <w:rFonts w:ascii="Times New Roman" w:hAnsi="Times New Roman"/>
          <w:lang w:val="sr-Latn-BA"/>
        </w:rPr>
        <w:t>транспарентности</w:t>
      </w:r>
      <w:r w:rsidR="00CC149F">
        <w:rPr>
          <w:rFonts w:ascii="Times New Roman" w:hAnsi="Times New Roman"/>
          <w:lang w:val="sr-Latn-BA"/>
        </w:rPr>
        <w:t xml:space="preserve"> </w:t>
      </w:r>
      <w:r>
        <w:rPr>
          <w:rFonts w:ascii="Times New Roman" w:hAnsi="Times New Roman"/>
          <w:lang w:val="sr-Latn-BA"/>
        </w:rPr>
        <w:t>Босне</w:t>
      </w:r>
      <w:r w:rsidR="00CC149F">
        <w:rPr>
          <w:rFonts w:ascii="Times New Roman" w:hAnsi="Times New Roman"/>
          <w:lang w:val="sr-Latn-BA"/>
        </w:rPr>
        <w:t xml:space="preserve"> </w:t>
      </w:r>
      <w:r>
        <w:rPr>
          <w:rFonts w:ascii="Times New Roman" w:hAnsi="Times New Roman"/>
          <w:lang w:val="sr-Latn-BA"/>
        </w:rPr>
        <w:t>и</w:t>
      </w:r>
      <w:r w:rsidR="00CC149F">
        <w:rPr>
          <w:rFonts w:ascii="Times New Roman" w:hAnsi="Times New Roman"/>
          <w:lang w:val="sr-Latn-BA"/>
        </w:rPr>
        <w:t xml:space="preserve"> </w:t>
      </w:r>
      <w:r>
        <w:rPr>
          <w:rFonts w:ascii="Times New Roman" w:hAnsi="Times New Roman"/>
          <w:lang w:val="sr-Latn-BA"/>
        </w:rPr>
        <w:t>Херцеговине</w:t>
      </w:r>
      <w:r w:rsidR="00CC149F">
        <w:rPr>
          <w:rFonts w:ascii="Times New Roman" w:hAnsi="Times New Roman"/>
          <w:lang w:val="sr-Latn-BA"/>
        </w:rPr>
        <w:t xml:space="preserve">“. </w:t>
      </w:r>
      <w:r>
        <w:rPr>
          <w:rFonts w:ascii="Times New Roman" w:hAnsi="Times New Roman"/>
          <w:lang w:val="sr-Latn-BA"/>
        </w:rPr>
        <w:t>На</w:t>
      </w:r>
      <w:r w:rsidR="00CC149F">
        <w:rPr>
          <w:rFonts w:ascii="Times New Roman" w:hAnsi="Times New Roman"/>
          <w:lang w:val="sr-Latn-BA"/>
        </w:rPr>
        <w:t xml:space="preserve"> </w:t>
      </w:r>
      <w:r>
        <w:rPr>
          <w:rFonts w:ascii="Times New Roman" w:hAnsi="Times New Roman"/>
          <w:lang w:val="sr-Latn-BA"/>
        </w:rPr>
        <w:t>састанку</w:t>
      </w:r>
      <w:r w:rsidR="00CC149F">
        <w:rPr>
          <w:rFonts w:ascii="Times New Roman" w:hAnsi="Times New Roman"/>
          <w:lang w:val="sr-Latn-BA"/>
        </w:rPr>
        <w:t xml:space="preserve"> </w:t>
      </w:r>
      <w:r>
        <w:rPr>
          <w:rFonts w:ascii="Times New Roman" w:hAnsi="Times New Roman"/>
          <w:lang w:val="sr-Latn-BA"/>
        </w:rPr>
        <w:t>су</w:t>
      </w:r>
      <w:r w:rsidR="00CC149F">
        <w:rPr>
          <w:rFonts w:ascii="Times New Roman" w:hAnsi="Times New Roman"/>
          <w:lang w:val="sr-Latn-BA"/>
        </w:rPr>
        <w:t xml:space="preserve"> </w:t>
      </w:r>
      <w:r>
        <w:rPr>
          <w:rFonts w:ascii="Times New Roman" w:hAnsi="Times New Roman"/>
          <w:lang w:val="sr-Latn-BA"/>
        </w:rPr>
        <w:t>размијењена</w:t>
      </w:r>
      <w:r w:rsidR="00CC149F">
        <w:rPr>
          <w:rFonts w:ascii="Times New Roman" w:hAnsi="Times New Roman"/>
          <w:lang w:val="sr-Latn-BA"/>
        </w:rPr>
        <w:t xml:space="preserve"> </w:t>
      </w:r>
      <w:r>
        <w:rPr>
          <w:rFonts w:ascii="Times New Roman" w:hAnsi="Times New Roman"/>
          <w:lang w:val="sr-Latn-BA"/>
        </w:rPr>
        <w:t>искуства</w:t>
      </w:r>
      <w:r w:rsidR="00CC149F">
        <w:rPr>
          <w:rFonts w:ascii="Times New Roman" w:hAnsi="Times New Roman"/>
          <w:lang w:val="sr-Latn-BA"/>
        </w:rPr>
        <w:t xml:space="preserve"> </w:t>
      </w:r>
      <w:r>
        <w:rPr>
          <w:rFonts w:ascii="Times New Roman" w:hAnsi="Times New Roman"/>
          <w:lang w:val="sr-Latn-BA"/>
        </w:rPr>
        <w:t>и</w:t>
      </w:r>
      <w:r w:rsidR="00CC149F">
        <w:rPr>
          <w:rFonts w:ascii="Times New Roman" w:hAnsi="Times New Roman"/>
          <w:lang w:val="sr-Latn-BA"/>
        </w:rPr>
        <w:t xml:space="preserve"> </w:t>
      </w:r>
      <w:r>
        <w:rPr>
          <w:rFonts w:ascii="Times New Roman" w:hAnsi="Times New Roman"/>
          <w:lang w:val="sr-Latn-BA"/>
        </w:rPr>
        <w:t>досадашња</w:t>
      </w:r>
      <w:r w:rsidR="00CC149F">
        <w:rPr>
          <w:rFonts w:ascii="Times New Roman" w:hAnsi="Times New Roman"/>
          <w:lang w:val="sr-Latn-BA"/>
        </w:rPr>
        <w:t xml:space="preserve"> </w:t>
      </w:r>
      <w:r>
        <w:rPr>
          <w:rFonts w:ascii="Times New Roman" w:hAnsi="Times New Roman"/>
          <w:lang w:val="sr-Latn-BA"/>
        </w:rPr>
        <w:t>сазнања</w:t>
      </w:r>
      <w:r w:rsidR="00CC149F">
        <w:rPr>
          <w:rFonts w:ascii="Times New Roman" w:hAnsi="Times New Roman"/>
          <w:lang w:val="sr-Latn-BA"/>
        </w:rPr>
        <w:t xml:space="preserve"> </w:t>
      </w:r>
      <w:r>
        <w:rPr>
          <w:rFonts w:ascii="Times New Roman" w:hAnsi="Times New Roman"/>
          <w:lang w:val="sr-Latn-BA"/>
        </w:rPr>
        <w:t>о</w:t>
      </w:r>
      <w:r w:rsidR="00CC149F">
        <w:rPr>
          <w:rFonts w:ascii="Times New Roman" w:hAnsi="Times New Roman"/>
          <w:lang w:val="sr-Latn-BA"/>
        </w:rPr>
        <w:t xml:space="preserve"> </w:t>
      </w:r>
      <w:r>
        <w:rPr>
          <w:rFonts w:ascii="Times New Roman" w:hAnsi="Times New Roman"/>
          <w:lang w:val="sr-Latn-BA"/>
        </w:rPr>
        <w:t>потреби</w:t>
      </w:r>
      <w:r w:rsidR="00CC149F">
        <w:rPr>
          <w:rFonts w:ascii="Times New Roman" w:hAnsi="Times New Roman"/>
          <w:lang w:val="sr-Latn-BA"/>
        </w:rPr>
        <w:t xml:space="preserve"> </w:t>
      </w:r>
      <w:r>
        <w:rPr>
          <w:rFonts w:ascii="Times New Roman" w:hAnsi="Times New Roman"/>
          <w:lang w:val="sr-Latn-BA"/>
        </w:rPr>
        <w:t>увођења</w:t>
      </w:r>
      <w:r w:rsidR="00CC149F">
        <w:rPr>
          <w:rFonts w:ascii="Times New Roman" w:hAnsi="Times New Roman"/>
          <w:lang w:val="sr-Latn-BA"/>
        </w:rPr>
        <w:t xml:space="preserve"> </w:t>
      </w:r>
      <w:r>
        <w:rPr>
          <w:rFonts w:ascii="Times New Roman" w:hAnsi="Times New Roman"/>
          <w:lang w:val="sr-Latn-BA"/>
        </w:rPr>
        <w:t>питања</w:t>
      </w:r>
      <w:r w:rsidR="00CC149F">
        <w:rPr>
          <w:rFonts w:ascii="Times New Roman" w:hAnsi="Times New Roman"/>
          <w:lang w:val="sr-Latn-BA"/>
        </w:rPr>
        <w:t xml:space="preserve"> </w:t>
      </w:r>
      <w:r>
        <w:rPr>
          <w:rFonts w:ascii="Times New Roman" w:hAnsi="Times New Roman"/>
          <w:lang w:val="sr-Latn-BA"/>
        </w:rPr>
        <w:t>равноправности</w:t>
      </w:r>
      <w:r w:rsidR="00CC149F">
        <w:rPr>
          <w:rFonts w:ascii="Times New Roman" w:hAnsi="Times New Roman"/>
          <w:lang w:val="sr-Latn-BA"/>
        </w:rPr>
        <w:t xml:space="preserve"> </w:t>
      </w:r>
      <w:r>
        <w:rPr>
          <w:rFonts w:ascii="Times New Roman" w:hAnsi="Times New Roman"/>
          <w:lang w:val="sr-Latn-BA"/>
        </w:rPr>
        <w:t>полова</w:t>
      </w:r>
      <w:r w:rsidR="00CC149F">
        <w:rPr>
          <w:rFonts w:ascii="Times New Roman" w:hAnsi="Times New Roman"/>
          <w:lang w:val="sr-Latn-BA"/>
        </w:rPr>
        <w:t xml:space="preserve"> </w:t>
      </w:r>
      <w:r>
        <w:rPr>
          <w:rFonts w:ascii="Times New Roman" w:hAnsi="Times New Roman"/>
          <w:lang w:val="sr-Latn-BA"/>
        </w:rPr>
        <w:t>у</w:t>
      </w:r>
      <w:r w:rsidR="00CC149F">
        <w:rPr>
          <w:rFonts w:ascii="Times New Roman" w:hAnsi="Times New Roman"/>
          <w:lang w:val="sr-Latn-BA"/>
        </w:rPr>
        <w:t xml:space="preserve"> </w:t>
      </w:r>
      <w:r>
        <w:rPr>
          <w:rFonts w:ascii="Times New Roman" w:hAnsi="Times New Roman"/>
          <w:lang w:val="sr-Latn-BA"/>
        </w:rPr>
        <w:t>климатско</w:t>
      </w:r>
      <w:r w:rsidR="00CC149F">
        <w:rPr>
          <w:rFonts w:ascii="Times New Roman" w:hAnsi="Times New Roman"/>
          <w:lang w:val="sr-Latn-BA"/>
        </w:rPr>
        <w:t xml:space="preserve"> </w:t>
      </w:r>
      <w:r>
        <w:rPr>
          <w:rFonts w:ascii="Times New Roman" w:hAnsi="Times New Roman"/>
          <w:lang w:val="sr-Latn-BA"/>
        </w:rPr>
        <w:t>извјештавање</w:t>
      </w:r>
      <w:r w:rsidR="00CC149F">
        <w:rPr>
          <w:rFonts w:ascii="Times New Roman" w:hAnsi="Times New Roman"/>
          <w:lang w:val="sr-Latn-BA"/>
        </w:rPr>
        <w:t xml:space="preserve">, </w:t>
      </w:r>
      <w:r>
        <w:rPr>
          <w:rFonts w:ascii="Times New Roman" w:hAnsi="Times New Roman"/>
          <w:lang w:val="sr-Latn-BA"/>
        </w:rPr>
        <w:t>планирање</w:t>
      </w:r>
      <w:r w:rsidR="00CC149F">
        <w:rPr>
          <w:rFonts w:ascii="Times New Roman" w:hAnsi="Times New Roman"/>
          <w:lang w:val="sr-Latn-BA"/>
        </w:rPr>
        <w:t xml:space="preserve"> </w:t>
      </w:r>
      <w:r>
        <w:rPr>
          <w:rFonts w:ascii="Times New Roman" w:hAnsi="Times New Roman"/>
          <w:lang w:val="sr-Latn-BA"/>
        </w:rPr>
        <w:t>климатских</w:t>
      </w:r>
      <w:r w:rsidR="00CC149F">
        <w:rPr>
          <w:rFonts w:ascii="Times New Roman" w:hAnsi="Times New Roman"/>
          <w:lang w:val="sr-Latn-BA"/>
        </w:rPr>
        <w:t xml:space="preserve"> </w:t>
      </w:r>
      <w:r>
        <w:rPr>
          <w:rFonts w:ascii="Times New Roman" w:hAnsi="Times New Roman"/>
          <w:lang w:val="sr-Latn-BA"/>
        </w:rPr>
        <w:t>политика</w:t>
      </w:r>
      <w:r w:rsidR="00CC149F">
        <w:rPr>
          <w:rFonts w:ascii="Times New Roman" w:hAnsi="Times New Roman"/>
          <w:lang w:val="sr-Latn-BA"/>
        </w:rPr>
        <w:t xml:space="preserve"> </w:t>
      </w:r>
      <w:r>
        <w:rPr>
          <w:rFonts w:ascii="Times New Roman" w:hAnsi="Times New Roman"/>
          <w:lang w:val="sr-Latn-BA"/>
        </w:rPr>
        <w:t>и</w:t>
      </w:r>
      <w:r w:rsidR="00CC149F">
        <w:rPr>
          <w:rFonts w:ascii="Times New Roman" w:hAnsi="Times New Roman"/>
          <w:lang w:val="sr-Latn-BA"/>
        </w:rPr>
        <w:t xml:space="preserve"> </w:t>
      </w:r>
      <w:r>
        <w:rPr>
          <w:rFonts w:ascii="Times New Roman" w:hAnsi="Times New Roman"/>
          <w:lang w:val="sr-Latn-BA"/>
        </w:rPr>
        <w:t>начине</w:t>
      </w:r>
      <w:r w:rsidR="00CC149F">
        <w:rPr>
          <w:rFonts w:ascii="Times New Roman" w:hAnsi="Times New Roman"/>
          <w:lang w:val="sr-Latn-BA"/>
        </w:rPr>
        <w:t xml:space="preserve"> </w:t>
      </w:r>
      <w:r>
        <w:rPr>
          <w:rFonts w:ascii="Times New Roman" w:hAnsi="Times New Roman"/>
          <w:lang w:val="sr-Latn-BA"/>
        </w:rPr>
        <w:t>реализације</w:t>
      </w:r>
      <w:r w:rsidR="00CC149F">
        <w:rPr>
          <w:rFonts w:ascii="Times New Roman" w:hAnsi="Times New Roman"/>
          <w:lang w:val="sr-Latn-BA"/>
        </w:rPr>
        <w:t xml:space="preserve">. </w:t>
      </w:r>
      <w:r w:rsidR="00BB07D8">
        <w:rPr>
          <w:rFonts w:ascii="Times New Roman" w:hAnsi="Times New Roman"/>
          <w:lang w:val="sr-Latn-BA"/>
        </w:rPr>
        <w:t>Такође</w:t>
      </w:r>
      <w:r w:rsidR="00CC149F">
        <w:rPr>
          <w:rFonts w:ascii="Times New Roman" w:hAnsi="Times New Roman"/>
          <w:lang w:val="sr-Latn-BA"/>
        </w:rPr>
        <w:t xml:space="preserve">, </w:t>
      </w:r>
      <w:r>
        <w:rPr>
          <w:rFonts w:ascii="Times New Roman" w:hAnsi="Times New Roman"/>
          <w:lang w:val="sr-Latn-BA"/>
        </w:rPr>
        <w:t>ЦЈРП</w:t>
      </w:r>
      <w:r w:rsidR="00CC149F">
        <w:rPr>
          <w:rFonts w:ascii="Times New Roman" w:hAnsi="Times New Roman"/>
          <w:lang w:val="sr-Latn-BA"/>
        </w:rPr>
        <w:t xml:space="preserve"> </w:t>
      </w:r>
      <w:r>
        <w:rPr>
          <w:rFonts w:ascii="Times New Roman" w:hAnsi="Times New Roman"/>
          <w:lang w:val="sr-Latn-BA"/>
        </w:rPr>
        <w:t>РС</w:t>
      </w:r>
      <w:r w:rsidR="00CC149F">
        <w:rPr>
          <w:rFonts w:ascii="Times New Roman" w:hAnsi="Times New Roman"/>
          <w:lang w:val="sr-Latn-BA"/>
        </w:rPr>
        <w:t xml:space="preserve"> </w:t>
      </w:r>
      <w:r>
        <w:rPr>
          <w:rFonts w:ascii="Times New Roman" w:hAnsi="Times New Roman"/>
          <w:lang w:val="sr-Latn-BA"/>
        </w:rPr>
        <w:t>је</w:t>
      </w:r>
      <w:r w:rsidR="00CC149F">
        <w:rPr>
          <w:rFonts w:ascii="Times New Roman" w:hAnsi="Times New Roman"/>
          <w:lang w:val="sr-Latn-BA"/>
        </w:rPr>
        <w:t xml:space="preserve"> </w:t>
      </w:r>
      <w:r>
        <w:rPr>
          <w:rFonts w:ascii="Times New Roman" w:hAnsi="Times New Roman"/>
          <w:lang w:val="sr-Latn-BA"/>
        </w:rPr>
        <w:t>у</w:t>
      </w:r>
      <w:r w:rsidR="00CC149F">
        <w:rPr>
          <w:rFonts w:ascii="Times New Roman" w:hAnsi="Times New Roman"/>
          <w:lang w:val="sr-Latn-BA"/>
        </w:rPr>
        <w:t xml:space="preserve"> 2024. </w:t>
      </w:r>
      <w:r>
        <w:rPr>
          <w:rFonts w:ascii="Times New Roman" w:hAnsi="Times New Roman"/>
          <w:lang w:val="sr-Latn-BA"/>
        </w:rPr>
        <w:t>години</w:t>
      </w:r>
      <w:r w:rsidR="00CC149F">
        <w:rPr>
          <w:rFonts w:ascii="Times New Roman" w:hAnsi="Times New Roman"/>
          <w:lang w:val="sr-Latn-BA"/>
        </w:rPr>
        <w:t xml:space="preserve"> </w:t>
      </w:r>
      <w:r>
        <w:rPr>
          <w:rFonts w:ascii="Times New Roman" w:hAnsi="Times New Roman"/>
          <w:lang w:val="sr-Latn-BA"/>
        </w:rPr>
        <w:t>учествовао</w:t>
      </w:r>
      <w:r w:rsidR="00CC149F">
        <w:rPr>
          <w:rFonts w:ascii="Times New Roman" w:hAnsi="Times New Roman"/>
          <w:lang w:val="sr-Latn-BA"/>
        </w:rPr>
        <w:t xml:space="preserve"> </w:t>
      </w:r>
      <w:r>
        <w:rPr>
          <w:rFonts w:ascii="Times New Roman" w:hAnsi="Times New Roman"/>
          <w:lang w:val="sr-Latn-BA"/>
        </w:rPr>
        <w:t>на</w:t>
      </w:r>
      <w:r w:rsidR="00CC149F">
        <w:rPr>
          <w:rFonts w:ascii="Times New Roman" w:hAnsi="Times New Roman"/>
          <w:lang w:val="sr-Latn-BA"/>
        </w:rPr>
        <w:t xml:space="preserve"> </w:t>
      </w:r>
      <w:r>
        <w:rPr>
          <w:rFonts w:ascii="Times New Roman" w:hAnsi="Times New Roman"/>
          <w:lang w:val="sr-Latn-BA"/>
        </w:rPr>
        <w:t>иницијалном</w:t>
      </w:r>
      <w:r w:rsidR="00CC149F">
        <w:rPr>
          <w:rFonts w:ascii="Times New Roman" w:hAnsi="Times New Roman"/>
          <w:lang w:val="sr-Latn-BA"/>
        </w:rPr>
        <w:t xml:space="preserve"> </w:t>
      </w:r>
      <w:r>
        <w:rPr>
          <w:rFonts w:ascii="Times New Roman" w:hAnsi="Times New Roman"/>
          <w:lang w:val="sr-Latn-BA"/>
        </w:rPr>
        <w:t>састанку</w:t>
      </w:r>
      <w:r w:rsidR="00CC149F">
        <w:rPr>
          <w:rFonts w:ascii="Times New Roman" w:hAnsi="Times New Roman"/>
          <w:lang w:val="sr-Latn-BA"/>
        </w:rPr>
        <w:t xml:space="preserve"> </w:t>
      </w:r>
      <w:r>
        <w:rPr>
          <w:rFonts w:ascii="Times New Roman" w:hAnsi="Times New Roman"/>
          <w:lang w:val="sr-Latn-BA"/>
        </w:rPr>
        <w:t>у</w:t>
      </w:r>
      <w:r w:rsidR="00CC149F">
        <w:rPr>
          <w:rFonts w:ascii="Times New Roman" w:hAnsi="Times New Roman"/>
          <w:lang w:val="sr-Latn-BA"/>
        </w:rPr>
        <w:t xml:space="preserve"> </w:t>
      </w:r>
      <w:r>
        <w:rPr>
          <w:rFonts w:ascii="Times New Roman" w:hAnsi="Times New Roman"/>
          <w:lang w:val="sr-Latn-BA"/>
        </w:rPr>
        <w:t>оквиру</w:t>
      </w:r>
      <w:r w:rsidR="00CC149F">
        <w:rPr>
          <w:rFonts w:ascii="Times New Roman" w:hAnsi="Times New Roman"/>
          <w:lang w:val="sr-Latn-BA"/>
        </w:rPr>
        <w:t xml:space="preserve"> </w:t>
      </w:r>
      <w:r>
        <w:rPr>
          <w:rFonts w:ascii="Times New Roman" w:hAnsi="Times New Roman"/>
          <w:lang w:val="sr-Latn-BA"/>
        </w:rPr>
        <w:t>пројекта</w:t>
      </w:r>
      <w:r w:rsidR="00CC149F">
        <w:rPr>
          <w:rFonts w:ascii="Times New Roman" w:hAnsi="Times New Roman"/>
          <w:lang w:val="sr-Latn-BA"/>
        </w:rPr>
        <w:t xml:space="preserve"> „</w:t>
      </w:r>
      <w:r>
        <w:rPr>
          <w:rFonts w:ascii="Times New Roman" w:hAnsi="Times New Roman"/>
          <w:lang w:val="sr-Latn-BA"/>
        </w:rPr>
        <w:t>Израда</w:t>
      </w:r>
      <w:r w:rsidR="00CC149F">
        <w:rPr>
          <w:rFonts w:ascii="Times New Roman" w:hAnsi="Times New Roman"/>
          <w:lang w:val="sr-Latn-BA"/>
        </w:rPr>
        <w:t xml:space="preserve"> </w:t>
      </w:r>
      <w:r>
        <w:rPr>
          <w:rFonts w:ascii="Times New Roman" w:hAnsi="Times New Roman"/>
          <w:lang w:val="sr-Latn-BA"/>
        </w:rPr>
        <w:t>Првог</w:t>
      </w:r>
      <w:r w:rsidR="00CC149F">
        <w:rPr>
          <w:rFonts w:ascii="Times New Roman" w:hAnsi="Times New Roman"/>
          <w:lang w:val="sr-Latn-BA"/>
        </w:rPr>
        <w:t xml:space="preserve"> </w:t>
      </w:r>
      <w:r>
        <w:rPr>
          <w:rFonts w:ascii="Times New Roman" w:hAnsi="Times New Roman"/>
          <w:lang w:val="sr-Latn-BA"/>
        </w:rPr>
        <w:t>двогодишњег</w:t>
      </w:r>
      <w:r w:rsidR="00CC149F">
        <w:rPr>
          <w:rFonts w:ascii="Times New Roman" w:hAnsi="Times New Roman"/>
          <w:lang w:val="sr-Latn-BA"/>
        </w:rPr>
        <w:t xml:space="preserve"> </w:t>
      </w:r>
      <w:r>
        <w:rPr>
          <w:rFonts w:ascii="Times New Roman" w:hAnsi="Times New Roman"/>
          <w:lang w:val="sr-Latn-BA"/>
        </w:rPr>
        <w:t>извјештаја</w:t>
      </w:r>
      <w:r w:rsidR="00CC149F">
        <w:rPr>
          <w:rFonts w:ascii="Times New Roman" w:hAnsi="Times New Roman"/>
          <w:lang w:val="sr-Latn-BA"/>
        </w:rPr>
        <w:t xml:space="preserve"> </w:t>
      </w:r>
      <w:r>
        <w:rPr>
          <w:rFonts w:ascii="Times New Roman" w:hAnsi="Times New Roman"/>
          <w:lang w:val="sr-Latn-BA"/>
        </w:rPr>
        <w:t>о</w:t>
      </w:r>
      <w:r w:rsidR="00CC149F">
        <w:rPr>
          <w:rFonts w:ascii="Times New Roman" w:hAnsi="Times New Roman"/>
          <w:lang w:val="sr-Latn-BA"/>
        </w:rPr>
        <w:t xml:space="preserve"> </w:t>
      </w:r>
      <w:r>
        <w:rPr>
          <w:rFonts w:ascii="Times New Roman" w:hAnsi="Times New Roman"/>
          <w:lang w:val="sr-Latn-BA"/>
        </w:rPr>
        <w:t>транспарентности</w:t>
      </w:r>
      <w:r w:rsidR="00CC149F">
        <w:rPr>
          <w:rFonts w:ascii="Times New Roman" w:hAnsi="Times New Roman"/>
          <w:lang w:val="sr-Latn-BA"/>
        </w:rPr>
        <w:t xml:space="preserve"> </w:t>
      </w:r>
      <w:r>
        <w:rPr>
          <w:rFonts w:ascii="Times New Roman" w:hAnsi="Times New Roman"/>
          <w:lang w:val="sr-Latn-BA"/>
        </w:rPr>
        <w:t>Босне</w:t>
      </w:r>
      <w:r w:rsidR="00CC149F">
        <w:rPr>
          <w:rFonts w:ascii="Times New Roman" w:hAnsi="Times New Roman"/>
          <w:lang w:val="sr-Latn-BA"/>
        </w:rPr>
        <w:t xml:space="preserve"> </w:t>
      </w:r>
      <w:r>
        <w:rPr>
          <w:rFonts w:ascii="Times New Roman" w:hAnsi="Times New Roman"/>
          <w:lang w:val="sr-Latn-BA"/>
        </w:rPr>
        <w:t>и</w:t>
      </w:r>
      <w:r w:rsidR="00CC149F">
        <w:rPr>
          <w:rFonts w:ascii="Times New Roman" w:hAnsi="Times New Roman"/>
          <w:lang w:val="sr-Latn-BA"/>
        </w:rPr>
        <w:t xml:space="preserve"> </w:t>
      </w:r>
      <w:r>
        <w:rPr>
          <w:rFonts w:ascii="Times New Roman" w:hAnsi="Times New Roman"/>
          <w:lang w:val="sr-Latn-BA"/>
        </w:rPr>
        <w:t>Херцеговине</w:t>
      </w:r>
      <w:r w:rsidR="00CC149F">
        <w:rPr>
          <w:rFonts w:ascii="Times New Roman" w:hAnsi="Times New Roman"/>
          <w:lang w:val="sr-Latn-BA"/>
        </w:rPr>
        <w:t xml:space="preserve"> </w:t>
      </w:r>
      <w:r>
        <w:rPr>
          <w:rFonts w:ascii="Times New Roman" w:hAnsi="Times New Roman"/>
          <w:lang w:val="sr-Latn-BA"/>
        </w:rPr>
        <w:t>и</w:t>
      </w:r>
      <w:r w:rsidR="00CC149F">
        <w:rPr>
          <w:rFonts w:ascii="Times New Roman" w:hAnsi="Times New Roman"/>
          <w:lang w:val="sr-Latn-BA"/>
        </w:rPr>
        <w:t xml:space="preserve"> </w:t>
      </w:r>
      <w:r>
        <w:rPr>
          <w:rFonts w:ascii="Times New Roman" w:hAnsi="Times New Roman"/>
          <w:lang w:val="sr-Latn-BA"/>
        </w:rPr>
        <w:t>Пете</w:t>
      </w:r>
      <w:r w:rsidR="00CC149F">
        <w:rPr>
          <w:rFonts w:ascii="Times New Roman" w:hAnsi="Times New Roman"/>
          <w:lang w:val="sr-Latn-BA"/>
        </w:rPr>
        <w:t xml:space="preserve"> </w:t>
      </w:r>
      <w:r>
        <w:rPr>
          <w:rFonts w:ascii="Times New Roman" w:hAnsi="Times New Roman"/>
          <w:lang w:val="sr-Latn-BA"/>
        </w:rPr>
        <w:t>државне</w:t>
      </w:r>
      <w:r w:rsidR="00CC149F">
        <w:rPr>
          <w:rFonts w:ascii="Times New Roman" w:hAnsi="Times New Roman"/>
          <w:lang w:val="sr-Latn-BA"/>
        </w:rPr>
        <w:t xml:space="preserve"> </w:t>
      </w:r>
      <w:r>
        <w:rPr>
          <w:rFonts w:ascii="Times New Roman" w:hAnsi="Times New Roman"/>
          <w:lang w:val="sr-Latn-BA"/>
        </w:rPr>
        <w:t>комуникације</w:t>
      </w:r>
      <w:r w:rsidR="00CC149F">
        <w:rPr>
          <w:rFonts w:ascii="Times New Roman" w:hAnsi="Times New Roman"/>
          <w:lang w:val="sr-Latn-BA"/>
        </w:rPr>
        <w:t xml:space="preserve"> </w:t>
      </w:r>
      <w:r>
        <w:rPr>
          <w:rFonts w:ascii="Times New Roman" w:hAnsi="Times New Roman"/>
          <w:lang w:val="sr-Latn-BA"/>
        </w:rPr>
        <w:t>и</w:t>
      </w:r>
      <w:r w:rsidR="00CC149F">
        <w:rPr>
          <w:rFonts w:ascii="Times New Roman" w:hAnsi="Times New Roman"/>
          <w:lang w:val="sr-Latn-BA"/>
        </w:rPr>
        <w:t xml:space="preserve"> </w:t>
      </w:r>
      <w:r>
        <w:rPr>
          <w:rFonts w:ascii="Times New Roman" w:hAnsi="Times New Roman"/>
          <w:lang w:val="sr-Latn-BA"/>
        </w:rPr>
        <w:t>Другог</w:t>
      </w:r>
      <w:r w:rsidR="00CC149F">
        <w:rPr>
          <w:rFonts w:ascii="Times New Roman" w:hAnsi="Times New Roman"/>
          <w:lang w:val="sr-Latn-BA"/>
        </w:rPr>
        <w:t xml:space="preserve"> </w:t>
      </w:r>
      <w:r>
        <w:rPr>
          <w:rFonts w:ascii="Times New Roman" w:hAnsi="Times New Roman"/>
          <w:lang w:val="sr-Latn-BA"/>
        </w:rPr>
        <w:t>двогодишњег</w:t>
      </w:r>
      <w:r w:rsidR="00CC149F">
        <w:rPr>
          <w:rFonts w:ascii="Times New Roman" w:hAnsi="Times New Roman"/>
          <w:lang w:val="sr-Latn-BA"/>
        </w:rPr>
        <w:t xml:space="preserve"> </w:t>
      </w:r>
      <w:r>
        <w:rPr>
          <w:rFonts w:ascii="Times New Roman" w:hAnsi="Times New Roman"/>
          <w:lang w:val="sr-Latn-BA"/>
        </w:rPr>
        <w:t>извјештаја</w:t>
      </w:r>
      <w:r w:rsidR="00CC149F">
        <w:rPr>
          <w:rFonts w:ascii="Times New Roman" w:hAnsi="Times New Roman"/>
          <w:lang w:val="sr-Latn-BA"/>
        </w:rPr>
        <w:t xml:space="preserve"> </w:t>
      </w:r>
      <w:r>
        <w:rPr>
          <w:rFonts w:ascii="Times New Roman" w:hAnsi="Times New Roman"/>
          <w:lang w:val="sr-Latn-BA"/>
        </w:rPr>
        <w:t>о</w:t>
      </w:r>
      <w:r w:rsidR="00CC149F">
        <w:rPr>
          <w:rFonts w:ascii="Times New Roman" w:hAnsi="Times New Roman"/>
          <w:lang w:val="sr-Latn-BA"/>
        </w:rPr>
        <w:t xml:space="preserve"> </w:t>
      </w:r>
      <w:r>
        <w:rPr>
          <w:rFonts w:ascii="Times New Roman" w:hAnsi="Times New Roman"/>
          <w:lang w:val="sr-Latn-BA"/>
        </w:rPr>
        <w:t>транспарентности</w:t>
      </w:r>
      <w:r w:rsidR="00CC149F">
        <w:rPr>
          <w:rFonts w:ascii="Times New Roman" w:hAnsi="Times New Roman"/>
          <w:lang w:val="sr-Latn-BA"/>
        </w:rPr>
        <w:t xml:space="preserve"> </w:t>
      </w:r>
      <w:r>
        <w:rPr>
          <w:rFonts w:ascii="Times New Roman" w:hAnsi="Times New Roman"/>
          <w:lang w:val="sr-Latn-BA"/>
        </w:rPr>
        <w:t>у</w:t>
      </w:r>
      <w:r w:rsidR="00CC149F">
        <w:rPr>
          <w:rFonts w:ascii="Times New Roman" w:hAnsi="Times New Roman"/>
          <w:lang w:val="sr-Latn-BA"/>
        </w:rPr>
        <w:t xml:space="preserve"> </w:t>
      </w:r>
      <w:r>
        <w:rPr>
          <w:rFonts w:ascii="Times New Roman" w:hAnsi="Times New Roman"/>
          <w:lang w:val="sr-Latn-BA"/>
        </w:rPr>
        <w:t>комбин</w:t>
      </w:r>
      <w:r w:rsidR="00BB07D8">
        <w:rPr>
          <w:rFonts w:ascii="Times New Roman" w:hAnsi="Times New Roman"/>
          <w:lang w:val="sr-Cyrl-BA"/>
        </w:rPr>
        <w:t>ованом</w:t>
      </w:r>
      <w:r w:rsidR="00CC149F">
        <w:rPr>
          <w:rFonts w:ascii="Times New Roman" w:hAnsi="Times New Roman"/>
          <w:lang w:val="sr-Latn-BA"/>
        </w:rPr>
        <w:t xml:space="preserve"> </w:t>
      </w:r>
      <w:r>
        <w:rPr>
          <w:rFonts w:ascii="Times New Roman" w:hAnsi="Times New Roman"/>
          <w:lang w:val="sr-Latn-BA"/>
        </w:rPr>
        <w:t>извјештају</w:t>
      </w:r>
      <w:r w:rsidR="00CC149F">
        <w:rPr>
          <w:rFonts w:ascii="Times New Roman" w:hAnsi="Times New Roman"/>
          <w:lang w:val="sr-Latn-BA"/>
        </w:rPr>
        <w:t xml:space="preserve"> </w:t>
      </w:r>
      <w:r>
        <w:rPr>
          <w:rFonts w:ascii="Times New Roman" w:hAnsi="Times New Roman"/>
          <w:lang w:val="sr-Latn-BA"/>
        </w:rPr>
        <w:t>према</w:t>
      </w:r>
      <w:r w:rsidR="00CC149F">
        <w:rPr>
          <w:rFonts w:ascii="Times New Roman" w:hAnsi="Times New Roman"/>
          <w:lang w:val="sr-Latn-BA"/>
        </w:rPr>
        <w:t xml:space="preserve"> </w:t>
      </w:r>
      <w:r w:rsidR="00BB07D8" w:rsidRPr="00BB07D8">
        <w:rPr>
          <w:rFonts w:ascii="Times New Roman" w:hAnsi="Times New Roman"/>
          <w:i/>
          <w:lang w:val="sr-Latn-BA"/>
        </w:rPr>
        <w:t>UNFCCC</w:t>
      </w:r>
      <w:r w:rsidR="00CC149F">
        <w:rPr>
          <w:rFonts w:ascii="Times New Roman" w:hAnsi="Times New Roman"/>
          <w:lang w:val="sr-Latn-BA"/>
        </w:rPr>
        <w:t xml:space="preserve">“, </w:t>
      </w:r>
      <w:r>
        <w:rPr>
          <w:rFonts w:ascii="Times New Roman" w:hAnsi="Times New Roman"/>
          <w:lang w:val="sr-Latn-BA"/>
        </w:rPr>
        <w:t>у</w:t>
      </w:r>
      <w:r w:rsidR="00CC149F">
        <w:rPr>
          <w:rFonts w:ascii="Times New Roman" w:hAnsi="Times New Roman"/>
          <w:lang w:val="sr-Latn-BA"/>
        </w:rPr>
        <w:t xml:space="preserve"> </w:t>
      </w:r>
      <w:r>
        <w:rPr>
          <w:rFonts w:ascii="Times New Roman" w:hAnsi="Times New Roman"/>
          <w:lang w:val="sr-Latn-BA"/>
        </w:rPr>
        <w:t>координацији</w:t>
      </w:r>
      <w:r w:rsidR="00CC149F">
        <w:rPr>
          <w:rFonts w:ascii="Times New Roman" w:hAnsi="Times New Roman"/>
          <w:lang w:val="sr-Latn-BA"/>
        </w:rPr>
        <w:t xml:space="preserve"> </w:t>
      </w:r>
      <w:r>
        <w:rPr>
          <w:rFonts w:ascii="Times New Roman" w:hAnsi="Times New Roman"/>
          <w:lang w:val="sr-Latn-BA"/>
        </w:rPr>
        <w:t>Развојног</w:t>
      </w:r>
      <w:r w:rsidR="00CC149F">
        <w:rPr>
          <w:rFonts w:ascii="Times New Roman" w:hAnsi="Times New Roman"/>
          <w:lang w:val="sr-Latn-BA"/>
        </w:rPr>
        <w:t xml:space="preserve"> </w:t>
      </w:r>
      <w:r>
        <w:rPr>
          <w:rFonts w:ascii="Times New Roman" w:hAnsi="Times New Roman"/>
          <w:lang w:val="sr-Latn-BA"/>
        </w:rPr>
        <w:t>програма</w:t>
      </w:r>
      <w:r w:rsidR="00CC149F">
        <w:rPr>
          <w:rFonts w:ascii="Times New Roman" w:hAnsi="Times New Roman"/>
          <w:lang w:val="sr-Latn-BA"/>
        </w:rPr>
        <w:t xml:space="preserve"> </w:t>
      </w:r>
      <w:r>
        <w:rPr>
          <w:rFonts w:ascii="Times New Roman" w:hAnsi="Times New Roman"/>
          <w:lang w:val="sr-Latn-BA"/>
        </w:rPr>
        <w:t>УН</w:t>
      </w:r>
      <w:r w:rsidR="00CC149F">
        <w:rPr>
          <w:rFonts w:ascii="Times New Roman" w:hAnsi="Times New Roman"/>
          <w:lang w:val="sr-Latn-BA"/>
        </w:rPr>
        <w:t xml:space="preserve"> </w:t>
      </w:r>
      <w:r>
        <w:rPr>
          <w:rFonts w:ascii="Times New Roman" w:hAnsi="Times New Roman"/>
          <w:lang w:val="sr-Latn-BA"/>
        </w:rPr>
        <w:t>у</w:t>
      </w:r>
      <w:r w:rsidR="00CC149F">
        <w:rPr>
          <w:rFonts w:ascii="Times New Roman" w:hAnsi="Times New Roman"/>
          <w:lang w:val="sr-Latn-BA"/>
        </w:rPr>
        <w:t xml:space="preserve"> </w:t>
      </w:r>
      <w:r>
        <w:rPr>
          <w:rFonts w:ascii="Times New Roman" w:hAnsi="Times New Roman"/>
          <w:lang w:val="sr-Latn-BA"/>
        </w:rPr>
        <w:t>БиХ</w:t>
      </w:r>
      <w:r w:rsidR="00CC149F">
        <w:rPr>
          <w:rFonts w:ascii="Times New Roman" w:hAnsi="Times New Roman"/>
          <w:lang w:val="sr-Latn-BA"/>
        </w:rPr>
        <w:t xml:space="preserve"> (</w:t>
      </w:r>
      <w:r w:rsidR="00BB07D8" w:rsidRPr="00BB07D8">
        <w:rPr>
          <w:rFonts w:ascii="Times New Roman" w:hAnsi="Times New Roman"/>
          <w:i/>
          <w:lang w:val="sr-Latn-BA"/>
        </w:rPr>
        <w:t>UNDP</w:t>
      </w:r>
      <w:r w:rsidR="00CC149F">
        <w:rPr>
          <w:rFonts w:ascii="Times New Roman" w:hAnsi="Times New Roman"/>
          <w:lang w:val="sr-Latn-BA"/>
        </w:rPr>
        <w:t>).</w:t>
      </w:r>
    </w:p>
    <w:p w:rsidR="00971C6C" w:rsidRPr="00295637" w:rsidRDefault="00971C6C" w:rsidP="0086268D">
      <w:pPr>
        <w:rPr>
          <w:szCs w:val="24"/>
          <w:lang w:val="sr-Cyrl-BA" w:eastAsia="zh-CN"/>
        </w:rPr>
      </w:pPr>
    </w:p>
    <w:p w:rsidR="004D48D0" w:rsidRPr="00295637" w:rsidRDefault="00BB07D8" w:rsidP="000B709D">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0B709D">
        <w:rPr>
          <w:rFonts w:ascii="Times New Roman" w:hAnsi="Times New Roman"/>
          <w:szCs w:val="24"/>
          <w:lang w:val="bs-Latn-BA"/>
        </w:rPr>
        <w:t xml:space="preserve"> 8.2. </w:t>
      </w:r>
      <w:r w:rsidR="00C6214E">
        <w:rPr>
          <w:rFonts w:ascii="Times New Roman" w:hAnsi="Times New Roman"/>
          <w:szCs w:val="24"/>
          <w:lang w:val="bs-Latn-BA"/>
        </w:rPr>
        <w:t>Унаприједити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систем</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прикупљања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родно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осјетљивих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података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дефини</w:t>
      </w:r>
      <w:r>
        <w:rPr>
          <w:rFonts w:ascii="Times New Roman" w:hAnsi="Times New Roman"/>
          <w:szCs w:val="24"/>
          <w:lang w:val="sr-Cyrl-BA"/>
        </w:rPr>
        <w:t>с</w:t>
      </w:r>
      <w:r w:rsidR="00C6214E">
        <w:rPr>
          <w:rFonts w:ascii="Times New Roman" w:hAnsi="Times New Roman"/>
          <w:szCs w:val="24"/>
          <w:lang w:val="bs-Latn-BA"/>
        </w:rPr>
        <w:t>ати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сет</w:t>
      </w:r>
      <w:r w:rsidR="00356C2C" w:rsidRPr="00295637">
        <w:rPr>
          <w:rFonts w:ascii="Times New Roman" w:hAnsi="Times New Roman"/>
          <w:szCs w:val="24"/>
          <w:lang w:val="bs-Latn-BA"/>
        </w:rPr>
        <w:t xml:space="preserve"> </w:t>
      </w:r>
      <w:r w:rsidR="00C6214E">
        <w:rPr>
          <w:rFonts w:ascii="Times New Roman" w:hAnsi="Times New Roman"/>
          <w:szCs w:val="24"/>
          <w:lang w:val="bs-Latn-BA"/>
        </w:rPr>
        <w:t>родно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осјетљивих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квантитативних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квалитативних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индикатора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управљања</w:t>
      </w:r>
      <w:r w:rsidR="00356C2C" w:rsidRPr="00295637">
        <w:rPr>
          <w:rFonts w:ascii="Times New Roman" w:hAnsi="Times New Roman"/>
          <w:szCs w:val="24"/>
          <w:lang w:val="bs-Latn-BA"/>
        </w:rPr>
        <w:t xml:space="preserve"> </w:t>
      </w:r>
      <w:r>
        <w:rPr>
          <w:rFonts w:ascii="Times New Roman" w:hAnsi="Times New Roman"/>
          <w:szCs w:val="24"/>
          <w:lang w:val="sr-Cyrl-BA"/>
        </w:rPr>
        <w:t>животном средином</w:t>
      </w:r>
      <w:r w:rsidR="00356C2C" w:rsidRPr="00295637">
        <w:rPr>
          <w:rFonts w:ascii="Times New Roman" w:hAnsi="Times New Roman"/>
          <w:szCs w:val="24"/>
          <w:lang w:val="bs-Latn-BA"/>
        </w:rPr>
        <w:t xml:space="preserve">. </w:t>
      </w:r>
    </w:p>
    <w:p w:rsidR="004D48D0" w:rsidRPr="00295637" w:rsidRDefault="004D48D0" w:rsidP="0086268D">
      <w:pPr>
        <w:tabs>
          <w:tab w:val="left" w:pos="284"/>
          <w:tab w:val="left" w:pos="630"/>
          <w:tab w:val="left" w:pos="1080"/>
        </w:tabs>
        <w:jc w:val="both"/>
        <w:rPr>
          <w:rFonts w:ascii="Times New Roman" w:hAnsi="Times New Roman"/>
          <w:color w:val="FF0000"/>
          <w:szCs w:val="24"/>
          <w:lang w:val="bs-Latn-BA"/>
        </w:rPr>
      </w:pPr>
    </w:p>
    <w:p w:rsidR="004D48D0" w:rsidRPr="00295637" w:rsidRDefault="00C6214E" w:rsidP="0086268D">
      <w:pPr>
        <w:tabs>
          <w:tab w:val="left" w:pos="284"/>
          <w:tab w:val="left" w:pos="630"/>
          <w:tab w:val="left" w:pos="1080"/>
        </w:tabs>
        <w:jc w:val="both"/>
        <w:rPr>
          <w:rFonts w:ascii="Times New Roman" w:hAnsi="Times New Roman"/>
          <w:color w:val="FF0000"/>
          <w:szCs w:val="24"/>
          <w:lang w:val="bs-Latn-BA"/>
        </w:rPr>
      </w:pPr>
      <w:r>
        <w:rPr>
          <w:rFonts w:ascii="Times New Roman" w:hAnsi="Times New Roman"/>
          <w:szCs w:val="24"/>
        </w:rPr>
        <w:t>АР</w:t>
      </w:r>
      <w:r w:rsidR="00BB07D8">
        <w:rPr>
          <w:rFonts w:ascii="Times New Roman" w:hAnsi="Times New Roman"/>
          <w:szCs w:val="24"/>
          <w:lang w:val="sr-Cyrl-BA"/>
        </w:rPr>
        <w:t>П</w:t>
      </w:r>
      <w:r w:rsidR="00C636D1">
        <w:rPr>
          <w:rFonts w:ascii="Times New Roman" w:hAnsi="Times New Roman"/>
          <w:szCs w:val="24"/>
        </w:rPr>
        <w:t xml:space="preserve"> </w:t>
      </w:r>
      <w:r>
        <w:rPr>
          <w:rFonts w:ascii="Times New Roman" w:hAnsi="Times New Roman"/>
          <w:szCs w:val="24"/>
        </w:rPr>
        <w:t>БиХ</w:t>
      </w:r>
      <w:r w:rsidR="00C636D1">
        <w:rPr>
          <w:rFonts w:ascii="Times New Roman" w:hAnsi="Times New Roman"/>
          <w:szCs w:val="24"/>
        </w:rPr>
        <w:t xml:space="preserve"> </w:t>
      </w:r>
      <w:r>
        <w:rPr>
          <w:rFonts w:ascii="Times New Roman" w:hAnsi="Times New Roman"/>
          <w:szCs w:val="24"/>
        </w:rPr>
        <w:t>МЉПИ</w:t>
      </w:r>
      <w:r w:rsidR="00C636D1">
        <w:rPr>
          <w:rFonts w:ascii="Times New Roman" w:hAnsi="Times New Roman"/>
          <w:szCs w:val="24"/>
        </w:rPr>
        <w:t xml:space="preserve"> </w:t>
      </w:r>
      <w:r>
        <w:rPr>
          <w:rFonts w:ascii="Times New Roman" w:hAnsi="Times New Roman"/>
          <w:szCs w:val="24"/>
        </w:rPr>
        <w:t>БиХ</w:t>
      </w:r>
      <w:r w:rsidR="004D48D0" w:rsidRPr="00295637">
        <w:rPr>
          <w:rFonts w:ascii="Times New Roman" w:hAnsi="Times New Roman"/>
          <w:szCs w:val="24"/>
        </w:rPr>
        <w:t xml:space="preserve"> </w:t>
      </w:r>
      <w:r>
        <w:rPr>
          <w:rFonts w:ascii="Times New Roman" w:hAnsi="Times New Roman"/>
          <w:szCs w:val="24"/>
        </w:rPr>
        <w:t>је</w:t>
      </w:r>
      <w:r w:rsidR="004D48D0" w:rsidRPr="00295637">
        <w:rPr>
          <w:rFonts w:ascii="Times New Roman" w:hAnsi="Times New Roman"/>
          <w:szCs w:val="24"/>
        </w:rPr>
        <w:t xml:space="preserve"> </w:t>
      </w:r>
      <w:r>
        <w:rPr>
          <w:rFonts w:ascii="Times New Roman" w:hAnsi="Times New Roman"/>
          <w:szCs w:val="24"/>
        </w:rPr>
        <w:t>у</w:t>
      </w:r>
      <w:r w:rsidR="004D48D0" w:rsidRPr="00295637">
        <w:rPr>
          <w:rFonts w:ascii="Times New Roman" w:hAnsi="Times New Roman"/>
          <w:szCs w:val="24"/>
        </w:rPr>
        <w:t xml:space="preserve"> </w:t>
      </w:r>
      <w:r>
        <w:rPr>
          <w:rFonts w:ascii="Times New Roman" w:hAnsi="Times New Roman"/>
          <w:szCs w:val="24"/>
        </w:rPr>
        <w:t>извјештајном</w:t>
      </w:r>
      <w:r w:rsidR="004D48D0" w:rsidRPr="00295637">
        <w:rPr>
          <w:rFonts w:ascii="Times New Roman" w:hAnsi="Times New Roman"/>
          <w:szCs w:val="24"/>
        </w:rPr>
        <w:t xml:space="preserve"> </w:t>
      </w:r>
      <w:r>
        <w:rPr>
          <w:rFonts w:ascii="Times New Roman" w:hAnsi="Times New Roman"/>
          <w:szCs w:val="24"/>
        </w:rPr>
        <w:t>периоду</w:t>
      </w:r>
      <w:r w:rsidR="00C636D1">
        <w:rPr>
          <w:rFonts w:ascii="Times New Roman" w:hAnsi="Times New Roman"/>
          <w:szCs w:val="24"/>
        </w:rPr>
        <w:t xml:space="preserve"> </w:t>
      </w:r>
      <w:r>
        <w:rPr>
          <w:rFonts w:ascii="Times New Roman" w:hAnsi="Times New Roman"/>
          <w:szCs w:val="24"/>
        </w:rPr>
        <w:t>са</w:t>
      </w:r>
      <w:r w:rsidR="004D48D0" w:rsidRPr="00295637">
        <w:rPr>
          <w:rFonts w:ascii="Times New Roman" w:hAnsi="Times New Roman"/>
          <w:szCs w:val="24"/>
        </w:rPr>
        <w:t xml:space="preserve"> </w:t>
      </w:r>
      <w:r w:rsidR="00BB07D8" w:rsidRPr="00BB07D8">
        <w:rPr>
          <w:rFonts w:ascii="Times New Roman" w:hAnsi="Times New Roman"/>
          <w:i/>
          <w:szCs w:val="24"/>
          <w:lang w:val="sr-Latn-BA"/>
        </w:rPr>
        <w:t>UNDP</w:t>
      </w:r>
      <w:r w:rsidR="000B709D">
        <w:rPr>
          <w:rFonts w:ascii="Times New Roman" w:hAnsi="Times New Roman"/>
          <w:szCs w:val="24"/>
        </w:rPr>
        <w:t>-</w:t>
      </w:r>
      <w:r>
        <w:rPr>
          <w:rFonts w:ascii="Times New Roman" w:hAnsi="Times New Roman"/>
          <w:szCs w:val="24"/>
        </w:rPr>
        <w:t>ом</w:t>
      </w:r>
      <w:r w:rsidR="00BF01AB" w:rsidRPr="00295637">
        <w:rPr>
          <w:rFonts w:ascii="Times New Roman" w:hAnsi="Times New Roman"/>
          <w:szCs w:val="24"/>
        </w:rPr>
        <w:t xml:space="preserve"> </w:t>
      </w:r>
      <w:r w:rsidR="00BB07D8">
        <w:rPr>
          <w:rFonts w:ascii="Times New Roman" w:hAnsi="Times New Roman"/>
          <w:szCs w:val="24"/>
          <w:lang w:val="sr-Cyrl-BA"/>
        </w:rPr>
        <w:t>спровела</w:t>
      </w:r>
      <w:r w:rsidR="004D48D0" w:rsidRPr="00295637">
        <w:rPr>
          <w:rFonts w:ascii="Times New Roman" w:hAnsi="Times New Roman"/>
          <w:szCs w:val="24"/>
        </w:rPr>
        <w:t xml:space="preserve"> </w:t>
      </w:r>
      <w:r>
        <w:rPr>
          <w:rFonts w:ascii="Times New Roman" w:hAnsi="Times New Roman"/>
          <w:szCs w:val="24"/>
        </w:rPr>
        <w:t>заједничку</w:t>
      </w:r>
      <w:r w:rsidR="004D48D0" w:rsidRPr="00295637">
        <w:rPr>
          <w:rFonts w:ascii="Times New Roman" w:hAnsi="Times New Roman"/>
          <w:szCs w:val="24"/>
        </w:rPr>
        <w:t xml:space="preserve"> </w:t>
      </w:r>
      <w:r>
        <w:rPr>
          <w:rFonts w:ascii="Times New Roman" w:hAnsi="Times New Roman"/>
          <w:szCs w:val="24"/>
        </w:rPr>
        <w:t>иницијативу</w:t>
      </w:r>
      <w:r w:rsidR="004D48D0" w:rsidRPr="00295637">
        <w:rPr>
          <w:rFonts w:ascii="Times New Roman" w:hAnsi="Times New Roman"/>
          <w:szCs w:val="24"/>
        </w:rPr>
        <w:t xml:space="preserve"> „</w:t>
      </w:r>
      <w:r>
        <w:rPr>
          <w:rFonts w:ascii="Times New Roman" w:hAnsi="Times New Roman"/>
          <w:szCs w:val="24"/>
        </w:rPr>
        <w:t>Коалиција</w:t>
      </w:r>
      <w:r w:rsidR="004D48D0" w:rsidRPr="00295637">
        <w:rPr>
          <w:rFonts w:ascii="Times New Roman" w:hAnsi="Times New Roman"/>
          <w:szCs w:val="24"/>
        </w:rPr>
        <w:t xml:space="preserve"> </w:t>
      </w:r>
      <w:r>
        <w:rPr>
          <w:rFonts w:ascii="Times New Roman" w:hAnsi="Times New Roman"/>
          <w:szCs w:val="24"/>
        </w:rPr>
        <w:t>за</w:t>
      </w:r>
      <w:r w:rsidR="004D48D0" w:rsidRPr="00295637">
        <w:rPr>
          <w:rFonts w:ascii="Times New Roman" w:hAnsi="Times New Roman"/>
          <w:szCs w:val="24"/>
        </w:rPr>
        <w:t xml:space="preserve"> </w:t>
      </w:r>
      <w:r>
        <w:rPr>
          <w:rFonts w:ascii="Times New Roman" w:hAnsi="Times New Roman"/>
          <w:szCs w:val="24"/>
        </w:rPr>
        <w:t>род</w:t>
      </w:r>
      <w:r w:rsidR="004D48D0" w:rsidRPr="00295637">
        <w:rPr>
          <w:rFonts w:ascii="Times New Roman" w:hAnsi="Times New Roman"/>
          <w:szCs w:val="24"/>
        </w:rPr>
        <w:t xml:space="preserve"> </w:t>
      </w:r>
      <w:r>
        <w:rPr>
          <w:rFonts w:ascii="Times New Roman" w:hAnsi="Times New Roman"/>
          <w:szCs w:val="24"/>
        </w:rPr>
        <w:t>и</w:t>
      </w:r>
      <w:r w:rsidR="004D48D0" w:rsidRPr="00295637">
        <w:rPr>
          <w:rFonts w:ascii="Times New Roman" w:hAnsi="Times New Roman"/>
          <w:szCs w:val="24"/>
        </w:rPr>
        <w:t xml:space="preserve"> </w:t>
      </w:r>
      <w:r>
        <w:rPr>
          <w:rFonts w:ascii="Times New Roman" w:hAnsi="Times New Roman"/>
          <w:szCs w:val="24"/>
        </w:rPr>
        <w:t>климу</w:t>
      </w:r>
      <w:r w:rsidR="004D48D0" w:rsidRPr="00295637">
        <w:rPr>
          <w:rFonts w:ascii="Times New Roman" w:hAnsi="Times New Roman"/>
          <w:szCs w:val="24"/>
        </w:rPr>
        <w:t>“,</w:t>
      </w:r>
      <w:r w:rsidR="004D48D0" w:rsidRPr="00295637">
        <w:rPr>
          <w:rFonts w:ascii="Times New Roman" w:hAnsi="Times New Roman"/>
        </w:rPr>
        <w:t xml:space="preserve"> </w:t>
      </w:r>
      <w:r>
        <w:rPr>
          <w:rFonts w:ascii="Times New Roman" w:hAnsi="Times New Roman"/>
        </w:rPr>
        <w:t>као</w:t>
      </w:r>
      <w:r w:rsidR="004D48D0" w:rsidRPr="00295637">
        <w:rPr>
          <w:rFonts w:ascii="Times New Roman" w:hAnsi="Times New Roman"/>
        </w:rPr>
        <w:t xml:space="preserve"> </w:t>
      </w:r>
      <w:r>
        <w:rPr>
          <w:rFonts w:ascii="Times New Roman" w:hAnsi="Times New Roman"/>
        </w:rPr>
        <w:t>облик</w:t>
      </w:r>
      <w:r w:rsidR="004D48D0" w:rsidRPr="00295637">
        <w:rPr>
          <w:rFonts w:ascii="Times New Roman" w:hAnsi="Times New Roman"/>
        </w:rPr>
        <w:t xml:space="preserve"> </w:t>
      </w:r>
      <w:r>
        <w:rPr>
          <w:rFonts w:ascii="Times New Roman" w:hAnsi="Times New Roman"/>
        </w:rPr>
        <w:t>партнерства</w:t>
      </w:r>
      <w:r w:rsidR="004D48D0" w:rsidRPr="00295637">
        <w:rPr>
          <w:rFonts w:ascii="Times New Roman" w:hAnsi="Times New Roman"/>
        </w:rPr>
        <w:t xml:space="preserve"> </w:t>
      </w:r>
      <w:r>
        <w:rPr>
          <w:rFonts w:ascii="Times New Roman" w:hAnsi="Times New Roman"/>
        </w:rPr>
        <w:t>које</w:t>
      </w:r>
      <w:r w:rsidR="004D48D0" w:rsidRPr="00295637">
        <w:rPr>
          <w:rFonts w:ascii="Times New Roman" w:hAnsi="Times New Roman"/>
        </w:rPr>
        <w:t xml:space="preserve"> </w:t>
      </w:r>
      <w:r>
        <w:rPr>
          <w:rFonts w:ascii="Times New Roman" w:hAnsi="Times New Roman"/>
        </w:rPr>
        <w:t>повезује</w:t>
      </w:r>
      <w:r w:rsidR="004D48D0" w:rsidRPr="00295637">
        <w:rPr>
          <w:rFonts w:ascii="Times New Roman" w:hAnsi="Times New Roman"/>
        </w:rPr>
        <w:t xml:space="preserve"> </w:t>
      </w:r>
      <w:r>
        <w:rPr>
          <w:rFonts w:ascii="Times New Roman" w:hAnsi="Times New Roman"/>
        </w:rPr>
        <w:t>родну</w:t>
      </w:r>
      <w:r w:rsidR="004D48D0" w:rsidRPr="00295637">
        <w:rPr>
          <w:rFonts w:ascii="Times New Roman" w:hAnsi="Times New Roman"/>
        </w:rPr>
        <w:t xml:space="preserve"> </w:t>
      </w:r>
      <w:r>
        <w:rPr>
          <w:rFonts w:ascii="Times New Roman" w:hAnsi="Times New Roman"/>
        </w:rPr>
        <w:t>равноправност</w:t>
      </w:r>
      <w:r w:rsidR="004D48D0" w:rsidRPr="00295637">
        <w:rPr>
          <w:rFonts w:ascii="Times New Roman" w:hAnsi="Times New Roman"/>
        </w:rPr>
        <w:t xml:space="preserve"> </w:t>
      </w:r>
      <w:r>
        <w:rPr>
          <w:rFonts w:ascii="Times New Roman" w:hAnsi="Times New Roman"/>
        </w:rPr>
        <w:t>и</w:t>
      </w:r>
      <w:r w:rsidR="004D48D0" w:rsidRPr="00295637">
        <w:rPr>
          <w:rFonts w:ascii="Times New Roman" w:hAnsi="Times New Roman"/>
        </w:rPr>
        <w:t xml:space="preserve"> </w:t>
      </w:r>
      <w:r>
        <w:rPr>
          <w:rFonts w:ascii="Times New Roman" w:hAnsi="Times New Roman"/>
        </w:rPr>
        <w:t>климатске</w:t>
      </w:r>
      <w:r w:rsidR="004D48D0" w:rsidRPr="00295637">
        <w:rPr>
          <w:rFonts w:ascii="Times New Roman" w:hAnsi="Times New Roman"/>
        </w:rPr>
        <w:t xml:space="preserve"> </w:t>
      </w:r>
      <w:r>
        <w:rPr>
          <w:rFonts w:ascii="Times New Roman" w:hAnsi="Times New Roman"/>
        </w:rPr>
        <w:t>промјене</w:t>
      </w:r>
      <w:r w:rsidR="004D48D0" w:rsidRPr="00295637">
        <w:rPr>
          <w:rFonts w:ascii="Times New Roman" w:hAnsi="Times New Roman"/>
        </w:rPr>
        <w:t xml:space="preserve">, </w:t>
      </w:r>
      <w:r w:rsidR="00BB07D8">
        <w:rPr>
          <w:rFonts w:ascii="Times New Roman" w:hAnsi="Times New Roman"/>
          <w:lang w:val="sr-Cyrl-BA"/>
        </w:rPr>
        <w:t>с</w:t>
      </w:r>
      <w:r w:rsidR="004D48D0" w:rsidRPr="00295637">
        <w:rPr>
          <w:rFonts w:ascii="Times New Roman" w:hAnsi="Times New Roman"/>
        </w:rPr>
        <w:t xml:space="preserve"> </w:t>
      </w:r>
      <w:r>
        <w:rPr>
          <w:rFonts w:ascii="Times New Roman" w:hAnsi="Times New Roman"/>
        </w:rPr>
        <w:t>циљ</w:t>
      </w:r>
      <w:r w:rsidR="00BB07D8">
        <w:rPr>
          <w:rFonts w:ascii="Times New Roman" w:hAnsi="Times New Roman"/>
          <w:lang w:val="sr-Cyrl-BA"/>
        </w:rPr>
        <w:t>ем</w:t>
      </w:r>
      <w:r w:rsidR="004D48D0" w:rsidRPr="00295637">
        <w:rPr>
          <w:rFonts w:ascii="Times New Roman" w:hAnsi="Times New Roman"/>
        </w:rPr>
        <w:t xml:space="preserve"> </w:t>
      </w:r>
      <w:r>
        <w:rPr>
          <w:rFonts w:ascii="Times New Roman" w:hAnsi="Times New Roman"/>
        </w:rPr>
        <w:t>интеграције</w:t>
      </w:r>
      <w:r w:rsidR="004D48D0" w:rsidRPr="00295637">
        <w:rPr>
          <w:rFonts w:ascii="Times New Roman" w:hAnsi="Times New Roman"/>
        </w:rPr>
        <w:t xml:space="preserve"> </w:t>
      </w:r>
      <w:r>
        <w:rPr>
          <w:rFonts w:ascii="Times New Roman" w:hAnsi="Times New Roman"/>
        </w:rPr>
        <w:t>равноправности</w:t>
      </w:r>
      <w:r w:rsidR="00CC105E" w:rsidRPr="00295637">
        <w:rPr>
          <w:rFonts w:ascii="Times New Roman" w:hAnsi="Times New Roman"/>
        </w:rPr>
        <w:t xml:space="preserve"> </w:t>
      </w:r>
      <w:r>
        <w:rPr>
          <w:rFonts w:ascii="Times New Roman" w:hAnsi="Times New Roman"/>
        </w:rPr>
        <w:t>полова</w:t>
      </w:r>
      <w:r w:rsidR="00CC105E" w:rsidRPr="00295637">
        <w:rPr>
          <w:rFonts w:ascii="Times New Roman" w:hAnsi="Times New Roman"/>
        </w:rPr>
        <w:t xml:space="preserve"> </w:t>
      </w:r>
      <w:r>
        <w:rPr>
          <w:rFonts w:ascii="Times New Roman" w:hAnsi="Times New Roman"/>
        </w:rPr>
        <w:t>у</w:t>
      </w:r>
      <w:r w:rsidR="004D48D0" w:rsidRPr="00295637">
        <w:rPr>
          <w:rFonts w:ascii="Times New Roman" w:hAnsi="Times New Roman"/>
        </w:rPr>
        <w:t xml:space="preserve"> </w:t>
      </w:r>
      <w:r>
        <w:rPr>
          <w:rFonts w:ascii="Times New Roman" w:hAnsi="Times New Roman"/>
        </w:rPr>
        <w:t>политике</w:t>
      </w:r>
      <w:r w:rsidR="004D48D0" w:rsidRPr="00295637">
        <w:rPr>
          <w:rFonts w:ascii="Times New Roman" w:hAnsi="Times New Roman"/>
        </w:rPr>
        <w:t xml:space="preserve"> </w:t>
      </w:r>
      <w:r>
        <w:rPr>
          <w:rFonts w:ascii="Times New Roman" w:hAnsi="Times New Roman"/>
        </w:rPr>
        <w:t>и</w:t>
      </w:r>
      <w:r w:rsidR="004D48D0" w:rsidRPr="00295637">
        <w:rPr>
          <w:rFonts w:ascii="Times New Roman" w:hAnsi="Times New Roman"/>
        </w:rPr>
        <w:t xml:space="preserve"> </w:t>
      </w:r>
      <w:r>
        <w:rPr>
          <w:rFonts w:ascii="Times New Roman" w:hAnsi="Times New Roman"/>
        </w:rPr>
        <w:t>мјере</w:t>
      </w:r>
      <w:r w:rsidR="004D48D0" w:rsidRPr="00295637">
        <w:rPr>
          <w:rFonts w:ascii="Times New Roman" w:hAnsi="Times New Roman"/>
        </w:rPr>
        <w:t xml:space="preserve"> </w:t>
      </w:r>
      <w:r>
        <w:rPr>
          <w:rFonts w:ascii="Times New Roman" w:hAnsi="Times New Roman"/>
        </w:rPr>
        <w:t>у</w:t>
      </w:r>
      <w:r w:rsidR="000B709D">
        <w:rPr>
          <w:rFonts w:ascii="Times New Roman" w:hAnsi="Times New Roman"/>
        </w:rPr>
        <w:t xml:space="preserve"> </w:t>
      </w:r>
      <w:r>
        <w:rPr>
          <w:rFonts w:ascii="Times New Roman" w:hAnsi="Times New Roman"/>
        </w:rPr>
        <w:t>вези</w:t>
      </w:r>
      <w:r w:rsidR="000B709D">
        <w:rPr>
          <w:rFonts w:ascii="Times New Roman" w:hAnsi="Times New Roman"/>
        </w:rPr>
        <w:t xml:space="preserve"> </w:t>
      </w:r>
      <w:r>
        <w:rPr>
          <w:rFonts w:ascii="Times New Roman" w:hAnsi="Times New Roman"/>
        </w:rPr>
        <w:t>са</w:t>
      </w:r>
      <w:r w:rsidR="004D48D0" w:rsidRPr="00295637">
        <w:rPr>
          <w:rFonts w:ascii="Times New Roman" w:hAnsi="Times New Roman"/>
        </w:rPr>
        <w:t xml:space="preserve"> </w:t>
      </w:r>
      <w:r>
        <w:rPr>
          <w:rFonts w:ascii="Times New Roman" w:hAnsi="Times New Roman"/>
        </w:rPr>
        <w:t>климатским</w:t>
      </w:r>
      <w:r w:rsidR="004D48D0" w:rsidRPr="00295637">
        <w:rPr>
          <w:rFonts w:ascii="Times New Roman" w:hAnsi="Times New Roman"/>
        </w:rPr>
        <w:t xml:space="preserve"> </w:t>
      </w:r>
      <w:r>
        <w:rPr>
          <w:rFonts w:ascii="Times New Roman" w:hAnsi="Times New Roman"/>
        </w:rPr>
        <w:t>акцијама</w:t>
      </w:r>
      <w:r w:rsidR="004D48D0" w:rsidRPr="00295637">
        <w:rPr>
          <w:rFonts w:ascii="Times New Roman" w:hAnsi="Times New Roman"/>
          <w:szCs w:val="24"/>
        </w:rPr>
        <w:t xml:space="preserve">. </w:t>
      </w:r>
    </w:p>
    <w:p w:rsidR="004D48D0" w:rsidRPr="00295637" w:rsidRDefault="004D48D0" w:rsidP="0086268D">
      <w:pPr>
        <w:jc w:val="both"/>
        <w:rPr>
          <w:rFonts w:ascii="Times New Roman" w:hAnsi="Times New Roman"/>
          <w:szCs w:val="24"/>
        </w:rPr>
      </w:pPr>
    </w:p>
    <w:p w:rsidR="006768EA" w:rsidRPr="00295637" w:rsidRDefault="00C6214E" w:rsidP="0086268D">
      <w:pPr>
        <w:jc w:val="both"/>
        <w:rPr>
          <w:rFonts w:ascii="Times New Roman" w:hAnsi="Times New Roman"/>
          <w:szCs w:val="24"/>
        </w:rPr>
      </w:pPr>
      <w:r>
        <w:rPr>
          <w:rFonts w:ascii="Times New Roman" w:hAnsi="Times New Roman"/>
          <w:szCs w:val="24"/>
        </w:rPr>
        <w:t>Рађено</w:t>
      </w:r>
      <w:r w:rsidR="004D48D0" w:rsidRPr="00295637">
        <w:rPr>
          <w:rFonts w:ascii="Times New Roman" w:hAnsi="Times New Roman"/>
          <w:szCs w:val="24"/>
        </w:rPr>
        <w:t xml:space="preserve"> </w:t>
      </w:r>
      <w:r>
        <w:rPr>
          <w:rFonts w:ascii="Times New Roman" w:hAnsi="Times New Roman"/>
          <w:szCs w:val="24"/>
        </w:rPr>
        <w:t>је</w:t>
      </w:r>
      <w:r w:rsidR="004D48D0" w:rsidRPr="00295637">
        <w:rPr>
          <w:rFonts w:ascii="Times New Roman" w:hAnsi="Times New Roman"/>
          <w:szCs w:val="24"/>
        </w:rPr>
        <w:t xml:space="preserve"> </w:t>
      </w:r>
      <w:r>
        <w:rPr>
          <w:rFonts w:ascii="Times New Roman" w:hAnsi="Times New Roman"/>
          <w:szCs w:val="24"/>
        </w:rPr>
        <w:t>на</w:t>
      </w:r>
      <w:r w:rsidR="004D48D0" w:rsidRPr="00295637">
        <w:rPr>
          <w:rFonts w:ascii="Times New Roman" w:hAnsi="Times New Roman"/>
          <w:szCs w:val="24"/>
        </w:rPr>
        <w:t xml:space="preserve"> </w:t>
      </w:r>
      <w:r>
        <w:rPr>
          <w:rFonts w:ascii="Times New Roman" w:hAnsi="Times New Roman"/>
          <w:szCs w:val="24"/>
          <w:lang w:val="bs-Latn-BA"/>
        </w:rPr>
        <w:t>унапређењу</w:t>
      </w:r>
      <w:r w:rsidR="00871777" w:rsidRPr="00295637">
        <w:rPr>
          <w:rFonts w:ascii="Times New Roman" w:hAnsi="Times New Roman"/>
          <w:szCs w:val="24"/>
          <w:lang w:val="bs-Latn-BA"/>
        </w:rPr>
        <w:t xml:space="preserve"> </w:t>
      </w:r>
      <w:r>
        <w:rPr>
          <w:rFonts w:ascii="Times New Roman" w:hAnsi="Times New Roman"/>
          <w:szCs w:val="24"/>
          <w:lang w:val="bs-Latn-BA"/>
        </w:rPr>
        <w:t>система</w:t>
      </w:r>
      <w:r w:rsidR="00871777" w:rsidRPr="00295637">
        <w:rPr>
          <w:rFonts w:ascii="Times New Roman" w:hAnsi="Times New Roman"/>
          <w:szCs w:val="24"/>
          <w:lang w:val="bs-Latn-BA"/>
        </w:rPr>
        <w:t xml:space="preserve"> </w:t>
      </w:r>
      <w:r>
        <w:rPr>
          <w:rFonts w:ascii="Times New Roman" w:hAnsi="Times New Roman"/>
          <w:szCs w:val="24"/>
          <w:lang w:val="bs-Latn-BA"/>
        </w:rPr>
        <w:t>за</w:t>
      </w:r>
      <w:r w:rsidR="00871777" w:rsidRPr="00295637">
        <w:rPr>
          <w:rFonts w:ascii="Times New Roman" w:hAnsi="Times New Roman"/>
          <w:szCs w:val="24"/>
          <w:lang w:val="bs-Latn-BA"/>
        </w:rPr>
        <w:t xml:space="preserve"> </w:t>
      </w:r>
      <w:r>
        <w:rPr>
          <w:rFonts w:ascii="Times New Roman" w:hAnsi="Times New Roman"/>
          <w:szCs w:val="24"/>
          <w:lang w:val="bs-Latn-BA"/>
        </w:rPr>
        <w:t>прикупљање</w:t>
      </w:r>
      <w:r w:rsidR="004D48D0" w:rsidRPr="00295637">
        <w:rPr>
          <w:rFonts w:ascii="Times New Roman" w:hAnsi="Times New Roman"/>
          <w:szCs w:val="24"/>
          <w:lang w:val="bs-Latn-BA"/>
        </w:rPr>
        <w:t xml:space="preserve"> </w:t>
      </w:r>
      <w:r>
        <w:rPr>
          <w:rFonts w:ascii="Times New Roman" w:hAnsi="Times New Roman"/>
          <w:szCs w:val="24"/>
          <w:lang w:val="bs-Latn-BA"/>
        </w:rPr>
        <w:t>родно</w:t>
      </w:r>
      <w:r w:rsidR="004D48D0" w:rsidRPr="00295637">
        <w:rPr>
          <w:rFonts w:ascii="Times New Roman" w:hAnsi="Times New Roman"/>
          <w:szCs w:val="24"/>
          <w:lang w:val="bs-Latn-BA"/>
        </w:rPr>
        <w:t xml:space="preserve"> </w:t>
      </w:r>
      <w:r>
        <w:rPr>
          <w:rFonts w:ascii="Times New Roman" w:hAnsi="Times New Roman"/>
          <w:szCs w:val="24"/>
          <w:lang w:val="bs-Latn-BA"/>
        </w:rPr>
        <w:t>осјетљивих</w:t>
      </w:r>
      <w:r w:rsidR="004D48D0" w:rsidRPr="00295637">
        <w:rPr>
          <w:rFonts w:ascii="Times New Roman" w:hAnsi="Times New Roman"/>
          <w:szCs w:val="24"/>
          <w:lang w:val="bs-Latn-BA"/>
        </w:rPr>
        <w:t xml:space="preserve"> </w:t>
      </w:r>
      <w:r>
        <w:rPr>
          <w:rFonts w:ascii="Times New Roman" w:hAnsi="Times New Roman"/>
          <w:szCs w:val="24"/>
          <w:lang w:val="bs-Latn-BA"/>
        </w:rPr>
        <w:t>података</w:t>
      </w:r>
      <w:r w:rsidR="004D48D0" w:rsidRPr="00295637">
        <w:rPr>
          <w:rFonts w:ascii="Times New Roman" w:hAnsi="Times New Roman"/>
          <w:szCs w:val="24"/>
          <w:lang w:val="bs-Latn-BA"/>
        </w:rPr>
        <w:t xml:space="preserve">, </w:t>
      </w:r>
      <w:r>
        <w:rPr>
          <w:rFonts w:ascii="Times New Roman" w:hAnsi="Times New Roman"/>
          <w:szCs w:val="24"/>
          <w:lang w:val="bs-Latn-BA"/>
        </w:rPr>
        <w:t>квантитативних</w:t>
      </w:r>
      <w:r w:rsidR="004D48D0" w:rsidRPr="00295637">
        <w:rPr>
          <w:rFonts w:ascii="Times New Roman" w:hAnsi="Times New Roman"/>
          <w:szCs w:val="24"/>
          <w:lang w:val="bs-Latn-BA"/>
        </w:rPr>
        <w:t xml:space="preserve"> </w:t>
      </w:r>
      <w:r>
        <w:rPr>
          <w:rFonts w:ascii="Times New Roman" w:hAnsi="Times New Roman"/>
          <w:szCs w:val="24"/>
          <w:lang w:val="bs-Latn-BA"/>
        </w:rPr>
        <w:t>и</w:t>
      </w:r>
      <w:r w:rsidR="004D48D0" w:rsidRPr="00295637">
        <w:rPr>
          <w:rFonts w:ascii="Times New Roman" w:hAnsi="Times New Roman"/>
          <w:szCs w:val="24"/>
          <w:lang w:val="bs-Latn-BA"/>
        </w:rPr>
        <w:t xml:space="preserve"> </w:t>
      </w:r>
      <w:r>
        <w:rPr>
          <w:rFonts w:ascii="Times New Roman" w:hAnsi="Times New Roman"/>
          <w:szCs w:val="24"/>
          <w:lang w:val="bs-Latn-BA"/>
        </w:rPr>
        <w:t>квалитативних</w:t>
      </w:r>
      <w:r w:rsidR="004D48D0" w:rsidRPr="00295637">
        <w:rPr>
          <w:rFonts w:ascii="Times New Roman" w:hAnsi="Times New Roman"/>
          <w:szCs w:val="24"/>
          <w:lang w:val="bs-Latn-BA"/>
        </w:rPr>
        <w:t xml:space="preserve"> </w:t>
      </w:r>
      <w:r>
        <w:rPr>
          <w:rFonts w:ascii="Times New Roman" w:hAnsi="Times New Roman"/>
          <w:szCs w:val="24"/>
          <w:lang w:val="bs-Latn-BA"/>
        </w:rPr>
        <w:t>индикатора</w:t>
      </w:r>
      <w:r w:rsidR="004D48D0" w:rsidRPr="00295637">
        <w:rPr>
          <w:rFonts w:ascii="Times New Roman" w:hAnsi="Times New Roman"/>
          <w:szCs w:val="24"/>
          <w:lang w:val="bs-Latn-BA"/>
        </w:rPr>
        <w:t xml:space="preserve">, </w:t>
      </w:r>
      <w:r>
        <w:rPr>
          <w:rFonts w:ascii="Times New Roman" w:hAnsi="Times New Roman"/>
          <w:szCs w:val="24"/>
          <w:lang w:val="bs-Latn-BA"/>
        </w:rPr>
        <w:t>те</w:t>
      </w:r>
      <w:r w:rsidR="004D48D0" w:rsidRPr="00295637">
        <w:rPr>
          <w:rFonts w:ascii="Times New Roman" w:hAnsi="Times New Roman"/>
          <w:szCs w:val="24"/>
          <w:lang w:val="bs-Latn-BA"/>
        </w:rPr>
        <w:t xml:space="preserve"> </w:t>
      </w:r>
      <w:r>
        <w:rPr>
          <w:rFonts w:ascii="Times New Roman" w:hAnsi="Times New Roman"/>
          <w:szCs w:val="24"/>
          <w:lang w:val="bs-Latn-BA"/>
        </w:rPr>
        <w:t>подизању</w:t>
      </w:r>
      <w:r w:rsidR="004D48D0" w:rsidRPr="00295637">
        <w:rPr>
          <w:rFonts w:ascii="Times New Roman" w:hAnsi="Times New Roman"/>
          <w:szCs w:val="24"/>
          <w:lang w:val="bs-Latn-BA"/>
        </w:rPr>
        <w:t xml:space="preserve"> </w:t>
      </w:r>
      <w:r>
        <w:rPr>
          <w:rFonts w:ascii="Times New Roman" w:hAnsi="Times New Roman"/>
          <w:szCs w:val="24"/>
          <w:lang w:val="bs-Latn-BA"/>
        </w:rPr>
        <w:t>свијести</w:t>
      </w:r>
      <w:r w:rsidR="004D48D0" w:rsidRPr="00295637">
        <w:rPr>
          <w:rFonts w:ascii="Times New Roman" w:hAnsi="Times New Roman"/>
          <w:szCs w:val="24"/>
          <w:lang w:val="bs-Latn-BA"/>
        </w:rPr>
        <w:t xml:space="preserve"> </w:t>
      </w:r>
      <w:r>
        <w:rPr>
          <w:rFonts w:ascii="Times New Roman" w:hAnsi="Times New Roman"/>
          <w:szCs w:val="24"/>
          <w:lang w:val="bs-Latn-BA"/>
        </w:rPr>
        <w:t>и</w:t>
      </w:r>
      <w:r w:rsidR="004D48D0" w:rsidRPr="00295637">
        <w:rPr>
          <w:rFonts w:ascii="Times New Roman" w:hAnsi="Times New Roman"/>
          <w:szCs w:val="24"/>
          <w:lang w:val="bs-Latn-BA"/>
        </w:rPr>
        <w:t xml:space="preserve"> </w:t>
      </w:r>
      <w:r>
        <w:rPr>
          <w:rFonts w:ascii="Times New Roman" w:hAnsi="Times New Roman"/>
          <w:szCs w:val="24"/>
          <w:lang w:val="bs-Latn-BA"/>
        </w:rPr>
        <w:t>едукацијама</w:t>
      </w:r>
      <w:r w:rsidR="004D48D0" w:rsidRPr="00295637">
        <w:rPr>
          <w:rFonts w:ascii="Times New Roman" w:hAnsi="Times New Roman"/>
          <w:szCs w:val="24"/>
          <w:lang w:val="bs-Latn-BA"/>
        </w:rPr>
        <w:t xml:space="preserve"> </w:t>
      </w:r>
      <w:r>
        <w:rPr>
          <w:rFonts w:ascii="Times New Roman" w:hAnsi="Times New Roman"/>
          <w:szCs w:val="24"/>
          <w:lang w:val="bs-Latn-BA"/>
        </w:rPr>
        <w:t>у</w:t>
      </w:r>
      <w:r w:rsidR="004D48D0" w:rsidRPr="00295637">
        <w:rPr>
          <w:rFonts w:ascii="Times New Roman" w:hAnsi="Times New Roman"/>
          <w:szCs w:val="24"/>
          <w:lang w:val="bs-Latn-BA"/>
        </w:rPr>
        <w:t xml:space="preserve"> </w:t>
      </w:r>
      <w:r>
        <w:rPr>
          <w:rFonts w:ascii="Times New Roman" w:hAnsi="Times New Roman"/>
          <w:szCs w:val="24"/>
          <w:lang w:val="bs-Latn-BA"/>
        </w:rPr>
        <w:t>контексту</w:t>
      </w:r>
      <w:r w:rsidR="004D48D0" w:rsidRPr="00295637">
        <w:rPr>
          <w:rFonts w:ascii="Times New Roman" w:hAnsi="Times New Roman"/>
          <w:szCs w:val="24"/>
          <w:lang w:val="bs-Latn-BA"/>
        </w:rPr>
        <w:t xml:space="preserve"> </w:t>
      </w:r>
      <w:r>
        <w:rPr>
          <w:rFonts w:ascii="Times New Roman" w:hAnsi="Times New Roman"/>
          <w:szCs w:val="24"/>
          <w:lang w:val="bs-Latn-BA"/>
        </w:rPr>
        <w:t>климатских</w:t>
      </w:r>
      <w:r w:rsidR="004D48D0" w:rsidRPr="00295637">
        <w:rPr>
          <w:rFonts w:ascii="Times New Roman" w:hAnsi="Times New Roman"/>
          <w:szCs w:val="24"/>
          <w:lang w:val="bs-Latn-BA"/>
        </w:rPr>
        <w:t xml:space="preserve"> </w:t>
      </w:r>
      <w:r>
        <w:rPr>
          <w:rFonts w:ascii="Times New Roman" w:hAnsi="Times New Roman"/>
          <w:szCs w:val="24"/>
          <w:lang w:val="bs-Latn-BA"/>
        </w:rPr>
        <w:t>промјена</w:t>
      </w:r>
      <w:r w:rsidR="004D48D0" w:rsidRPr="00295637">
        <w:rPr>
          <w:rFonts w:ascii="Times New Roman" w:hAnsi="Times New Roman"/>
          <w:szCs w:val="24"/>
          <w:lang w:val="bs-Latn-BA"/>
        </w:rPr>
        <w:t xml:space="preserve"> </w:t>
      </w:r>
      <w:r>
        <w:rPr>
          <w:rFonts w:ascii="Times New Roman" w:hAnsi="Times New Roman"/>
          <w:szCs w:val="24"/>
          <w:lang w:val="bs-Latn-BA"/>
        </w:rPr>
        <w:t>и</w:t>
      </w:r>
      <w:r w:rsidR="004D48D0" w:rsidRPr="00295637">
        <w:rPr>
          <w:rFonts w:ascii="Times New Roman" w:hAnsi="Times New Roman"/>
          <w:szCs w:val="24"/>
          <w:lang w:val="bs-Latn-BA"/>
        </w:rPr>
        <w:t xml:space="preserve"> </w:t>
      </w:r>
      <w:r>
        <w:rPr>
          <w:rFonts w:ascii="Times New Roman" w:hAnsi="Times New Roman"/>
          <w:szCs w:val="24"/>
          <w:lang w:val="bs-Latn-BA"/>
        </w:rPr>
        <w:t>управљања</w:t>
      </w:r>
      <w:r w:rsidR="004D48D0" w:rsidRPr="00295637">
        <w:rPr>
          <w:rFonts w:ascii="Times New Roman" w:hAnsi="Times New Roman"/>
          <w:szCs w:val="24"/>
          <w:lang w:val="bs-Latn-BA"/>
        </w:rPr>
        <w:t xml:space="preserve"> </w:t>
      </w:r>
      <w:r w:rsidR="00BB07D8">
        <w:rPr>
          <w:rFonts w:ascii="Times New Roman" w:hAnsi="Times New Roman"/>
          <w:szCs w:val="24"/>
          <w:lang w:val="sr-Cyrl-BA"/>
        </w:rPr>
        <w:t>животном средином</w:t>
      </w:r>
      <w:r w:rsidR="004D48D0" w:rsidRPr="00295637">
        <w:rPr>
          <w:rFonts w:ascii="Times New Roman" w:hAnsi="Times New Roman"/>
          <w:szCs w:val="24"/>
          <w:lang w:val="bs-Latn-BA"/>
        </w:rPr>
        <w:t xml:space="preserve">. </w:t>
      </w:r>
      <w:r>
        <w:rPr>
          <w:rFonts w:ascii="Times New Roman" w:hAnsi="Times New Roman"/>
          <w:szCs w:val="24"/>
          <w:lang w:val="bs-Latn-BA"/>
        </w:rPr>
        <w:t>Конкретно</w:t>
      </w:r>
      <w:r w:rsidR="004D48D0" w:rsidRPr="00295637">
        <w:rPr>
          <w:rFonts w:ascii="Times New Roman" w:hAnsi="Times New Roman"/>
          <w:szCs w:val="24"/>
          <w:lang w:val="bs-Latn-BA"/>
        </w:rPr>
        <w:t>,</w:t>
      </w:r>
      <w:r w:rsidR="004D48D0" w:rsidRPr="00295637">
        <w:rPr>
          <w:rFonts w:ascii="Times New Roman" w:hAnsi="Times New Roman"/>
          <w:color w:val="FF0000"/>
          <w:szCs w:val="24"/>
          <w:lang w:val="bs-Latn-BA"/>
        </w:rPr>
        <w:t xml:space="preserve"> </w:t>
      </w:r>
      <w:r>
        <w:rPr>
          <w:rFonts w:ascii="Times New Roman" w:hAnsi="Times New Roman"/>
        </w:rPr>
        <w:t>у</w:t>
      </w:r>
      <w:r w:rsidR="004D48D0" w:rsidRPr="00295637">
        <w:rPr>
          <w:rFonts w:ascii="Times New Roman" w:hAnsi="Times New Roman"/>
        </w:rPr>
        <w:t xml:space="preserve"> </w:t>
      </w:r>
      <w:r>
        <w:rPr>
          <w:rFonts w:ascii="Times New Roman" w:hAnsi="Times New Roman"/>
        </w:rPr>
        <w:t>контексту</w:t>
      </w:r>
      <w:r w:rsidR="004D48D0" w:rsidRPr="00295637">
        <w:rPr>
          <w:rFonts w:ascii="Times New Roman" w:hAnsi="Times New Roman"/>
        </w:rPr>
        <w:t xml:space="preserve"> </w:t>
      </w:r>
      <w:r w:rsidR="00BB07D8">
        <w:rPr>
          <w:rFonts w:ascii="Times New Roman" w:hAnsi="Times New Roman"/>
          <w:lang w:val="sr-Cyrl-BA"/>
        </w:rPr>
        <w:t>спровођења</w:t>
      </w:r>
      <w:r w:rsidR="004D48D0" w:rsidRPr="00295637">
        <w:rPr>
          <w:rFonts w:ascii="Times New Roman" w:hAnsi="Times New Roman"/>
        </w:rPr>
        <w:t xml:space="preserve"> </w:t>
      </w:r>
      <w:r>
        <w:rPr>
          <w:rFonts w:ascii="Times New Roman" w:hAnsi="Times New Roman"/>
        </w:rPr>
        <w:t>мјере</w:t>
      </w:r>
      <w:r w:rsidR="004D48D0" w:rsidRPr="00295637">
        <w:rPr>
          <w:rFonts w:ascii="Times New Roman" w:hAnsi="Times New Roman"/>
        </w:rPr>
        <w:t xml:space="preserve"> </w:t>
      </w:r>
      <w:r>
        <w:rPr>
          <w:rFonts w:ascii="Times New Roman" w:hAnsi="Times New Roman"/>
        </w:rPr>
        <w:t>из</w:t>
      </w:r>
      <w:r w:rsidR="004D48D0" w:rsidRPr="00295637">
        <w:rPr>
          <w:rFonts w:ascii="Times New Roman" w:hAnsi="Times New Roman"/>
        </w:rPr>
        <w:t xml:space="preserve"> </w:t>
      </w:r>
      <w:r>
        <w:rPr>
          <w:rFonts w:ascii="Times New Roman" w:hAnsi="Times New Roman"/>
        </w:rPr>
        <w:t>Оперативног</w:t>
      </w:r>
      <w:r w:rsidR="004D48D0" w:rsidRPr="00295637">
        <w:rPr>
          <w:rFonts w:ascii="Times New Roman" w:hAnsi="Times New Roman"/>
        </w:rPr>
        <w:t xml:space="preserve"> </w:t>
      </w:r>
      <w:r>
        <w:rPr>
          <w:rFonts w:ascii="Times New Roman" w:hAnsi="Times New Roman"/>
        </w:rPr>
        <w:t>плана</w:t>
      </w:r>
      <w:r w:rsidR="004D48D0" w:rsidRPr="00295637">
        <w:rPr>
          <w:rFonts w:ascii="Times New Roman" w:hAnsi="Times New Roman"/>
        </w:rPr>
        <w:t xml:space="preserve"> </w:t>
      </w:r>
      <w:r>
        <w:rPr>
          <w:rFonts w:ascii="Times New Roman" w:hAnsi="Times New Roman"/>
        </w:rPr>
        <w:t>за</w:t>
      </w:r>
      <w:r w:rsidR="004D48D0" w:rsidRPr="00295637">
        <w:rPr>
          <w:rFonts w:ascii="Times New Roman" w:hAnsi="Times New Roman"/>
        </w:rPr>
        <w:t xml:space="preserve"> </w:t>
      </w:r>
      <w:r w:rsidR="00BB07D8">
        <w:rPr>
          <w:rFonts w:ascii="Times New Roman" w:hAnsi="Times New Roman"/>
          <w:lang w:val="sr-Cyrl-BA"/>
        </w:rPr>
        <w:t>спровођење</w:t>
      </w:r>
      <w:r w:rsidR="004D48D0" w:rsidRPr="00295637">
        <w:rPr>
          <w:rFonts w:ascii="Times New Roman" w:hAnsi="Times New Roman"/>
        </w:rPr>
        <w:t xml:space="preserve"> </w:t>
      </w:r>
      <w:r>
        <w:rPr>
          <w:rFonts w:ascii="Times New Roman" w:hAnsi="Times New Roman"/>
        </w:rPr>
        <w:t>ГАП</w:t>
      </w:r>
      <w:r w:rsidR="00050016">
        <w:rPr>
          <w:rFonts w:ascii="Times New Roman" w:hAnsi="Times New Roman"/>
        </w:rPr>
        <w:t xml:space="preserve"> </w:t>
      </w:r>
      <w:r>
        <w:rPr>
          <w:rFonts w:ascii="Times New Roman" w:hAnsi="Times New Roman"/>
        </w:rPr>
        <w:t>БиХ</w:t>
      </w:r>
      <w:r w:rsidR="004D48D0" w:rsidRPr="00295637">
        <w:rPr>
          <w:rFonts w:ascii="Times New Roman" w:hAnsi="Times New Roman"/>
        </w:rPr>
        <w:t xml:space="preserve"> </w:t>
      </w:r>
      <w:r>
        <w:rPr>
          <w:rFonts w:ascii="Times New Roman" w:hAnsi="Times New Roman"/>
        </w:rPr>
        <w:t>о</w:t>
      </w:r>
      <w:r w:rsidR="004D48D0" w:rsidRPr="00295637">
        <w:rPr>
          <w:rFonts w:ascii="Times New Roman" w:hAnsi="Times New Roman"/>
        </w:rPr>
        <w:t xml:space="preserve"> </w:t>
      </w:r>
      <w:r w:rsidR="00BB07D8">
        <w:rPr>
          <w:rFonts w:ascii="Times New Roman" w:hAnsi="Times New Roman"/>
          <w:lang w:val="sr-Cyrl-BA"/>
        </w:rPr>
        <w:t>спровођењу</w:t>
      </w:r>
      <w:r w:rsidR="004D48D0" w:rsidRPr="00295637">
        <w:rPr>
          <w:rFonts w:ascii="Times New Roman" w:hAnsi="Times New Roman"/>
        </w:rPr>
        <w:t xml:space="preserve"> </w:t>
      </w:r>
      <w:r>
        <w:rPr>
          <w:rFonts w:ascii="Times New Roman" w:hAnsi="Times New Roman"/>
        </w:rPr>
        <w:t>препорука</w:t>
      </w:r>
      <w:r w:rsidR="004D48D0" w:rsidRPr="00295637">
        <w:rPr>
          <w:rFonts w:ascii="Times New Roman" w:hAnsi="Times New Roman"/>
        </w:rPr>
        <w:t xml:space="preserve"> </w:t>
      </w:r>
      <w:r>
        <w:rPr>
          <w:rFonts w:ascii="Times New Roman" w:hAnsi="Times New Roman"/>
        </w:rPr>
        <w:t>из</w:t>
      </w:r>
      <w:r w:rsidR="004D48D0" w:rsidRPr="00295637">
        <w:rPr>
          <w:rFonts w:ascii="Times New Roman" w:hAnsi="Times New Roman"/>
        </w:rPr>
        <w:t xml:space="preserve"> „</w:t>
      </w:r>
      <w:r>
        <w:rPr>
          <w:rFonts w:ascii="Times New Roman" w:hAnsi="Times New Roman"/>
        </w:rPr>
        <w:t>Извјештаја</w:t>
      </w:r>
      <w:r w:rsidR="004D48D0" w:rsidRPr="00295637">
        <w:rPr>
          <w:rFonts w:ascii="Times New Roman" w:hAnsi="Times New Roman"/>
        </w:rPr>
        <w:t xml:space="preserve"> </w:t>
      </w:r>
      <w:r>
        <w:rPr>
          <w:rFonts w:ascii="Times New Roman" w:hAnsi="Times New Roman"/>
        </w:rPr>
        <w:t>о</w:t>
      </w:r>
      <w:r w:rsidR="004D48D0" w:rsidRPr="00295637">
        <w:rPr>
          <w:rFonts w:ascii="Times New Roman" w:hAnsi="Times New Roman"/>
        </w:rPr>
        <w:t xml:space="preserve"> </w:t>
      </w:r>
      <w:r>
        <w:rPr>
          <w:rFonts w:ascii="Times New Roman" w:hAnsi="Times New Roman"/>
        </w:rPr>
        <w:t>мапирању</w:t>
      </w:r>
      <w:r w:rsidR="004D48D0" w:rsidRPr="00295637">
        <w:rPr>
          <w:rFonts w:ascii="Times New Roman" w:hAnsi="Times New Roman"/>
        </w:rPr>
        <w:t xml:space="preserve"> </w:t>
      </w:r>
      <w:r>
        <w:rPr>
          <w:rFonts w:ascii="Times New Roman" w:hAnsi="Times New Roman"/>
        </w:rPr>
        <w:t>података</w:t>
      </w:r>
      <w:r w:rsidR="004D48D0" w:rsidRPr="00295637">
        <w:rPr>
          <w:rFonts w:ascii="Times New Roman" w:hAnsi="Times New Roman"/>
        </w:rPr>
        <w:t xml:space="preserve"> </w:t>
      </w:r>
      <w:r>
        <w:rPr>
          <w:rFonts w:ascii="Times New Roman" w:hAnsi="Times New Roman"/>
        </w:rPr>
        <w:t>о</w:t>
      </w:r>
      <w:r w:rsidR="004D48D0" w:rsidRPr="00295637">
        <w:rPr>
          <w:rFonts w:ascii="Times New Roman" w:hAnsi="Times New Roman"/>
        </w:rPr>
        <w:t xml:space="preserve"> </w:t>
      </w:r>
      <w:r>
        <w:rPr>
          <w:rFonts w:ascii="Times New Roman" w:hAnsi="Times New Roman"/>
        </w:rPr>
        <w:t>равноправности</w:t>
      </w:r>
      <w:r w:rsidR="004D48D0" w:rsidRPr="00295637">
        <w:rPr>
          <w:rFonts w:ascii="Times New Roman" w:hAnsi="Times New Roman"/>
        </w:rPr>
        <w:t xml:space="preserve"> </w:t>
      </w:r>
      <w:r>
        <w:rPr>
          <w:rFonts w:ascii="Times New Roman" w:hAnsi="Times New Roman"/>
        </w:rPr>
        <w:t>полова</w:t>
      </w:r>
      <w:r w:rsidR="004D48D0" w:rsidRPr="00295637">
        <w:rPr>
          <w:rFonts w:ascii="Times New Roman" w:hAnsi="Times New Roman"/>
        </w:rPr>
        <w:t xml:space="preserve"> </w:t>
      </w:r>
      <w:r>
        <w:rPr>
          <w:rFonts w:ascii="Times New Roman" w:hAnsi="Times New Roman"/>
        </w:rPr>
        <w:t>у</w:t>
      </w:r>
      <w:r w:rsidR="004D48D0" w:rsidRPr="00295637">
        <w:rPr>
          <w:rFonts w:ascii="Times New Roman" w:hAnsi="Times New Roman"/>
        </w:rPr>
        <w:t xml:space="preserve"> </w:t>
      </w:r>
      <w:r>
        <w:rPr>
          <w:rFonts w:ascii="Times New Roman" w:hAnsi="Times New Roman"/>
        </w:rPr>
        <w:t>области</w:t>
      </w:r>
      <w:r w:rsidR="004D48D0" w:rsidRPr="00295637">
        <w:rPr>
          <w:rFonts w:ascii="Times New Roman" w:hAnsi="Times New Roman"/>
        </w:rPr>
        <w:t xml:space="preserve"> </w:t>
      </w:r>
      <w:r w:rsidR="00BB07D8">
        <w:rPr>
          <w:rFonts w:ascii="Times New Roman" w:hAnsi="Times New Roman"/>
          <w:lang w:val="sr-Cyrl-BA"/>
        </w:rPr>
        <w:t>животне средине</w:t>
      </w:r>
      <w:r w:rsidR="004D48D0" w:rsidRPr="00295637">
        <w:rPr>
          <w:rFonts w:ascii="Times New Roman" w:hAnsi="Times New Roman"/>
          <w:szCs w:val="24"/>
        </w:rPr>
        <w:t xml:space="preserve"> </w:t>
      </w:r>
      <w:r>
        <w:rPr>
          <w:rFonts w:ascii="Times New Roman" w:hAnsi="Times New Roman"/>
          <w:szCs w:val="24"/>
        </w:rPr>
        <w:t>у</w:t>
      </w:r>
      <w:r w:rsidR="004D48D0" w:rsidRPr="00295637">
        <w:rPr>
          <w:rFonts w:ascii="Times New Roman" w:hAnsi="Times New Roman"/>
          <w:szCs w:val="24"/>
        </w:rPr>
        <w:t xml:space="preserve"> </w:t>
      </w:r>
      <w:r>
        <w:rPr>
          <w:rFonts w:ascii="Times New Roman" w:hAnsi="Times New Roman"/>
          <w:szCs w:val="24"/>
        </w:rPr>
        <w:t>Босни</w:t>
      </w:r>
      <w:r w:rsidR="004D48D0" w:rsidRPr="00295637">
        <w:rPr>
          <w:rFonts w:ascii="Times New Roman" w:hAnsi="Times New Roman"/>
          <w:szCs w:val="24"/>
        </w:rPr>
        <w:t xml:space="preserve"> </w:t>
      </w:r>
      <w:r>
        <w:rPr>
          <w:rFonts w:ascii="Times New Roman" w:hAnsi="Times New Roman"/>
          <w:szCs w:val="24"/>
        </w:rPr>
        <w:t>и</w:t>
      </w:r>
      <w:r w:rsidR="004D48D0" w:rsidRPr="00295637">
        <w:rPr>
          <w:rFonts w:ascii="Times New Roman" w:hAnsi="Times New Roman"/>
          <w:szCs w:val="24"/>
        </w:rPr>
        <w:t xml:space="preserve"> </w:t>
      </w:r>
      <w:r>
        <w:rPr>
          <w:rFonts w:ascii="Times New Roman" w:hAnsi="Times New Roman"/>
          <w:szCs w:val="24"/>
        </w:rPr>
        <w:t>Херцеговини</w:t>
      </w:r>
      <w:r w:rsidR="004D48D0" w:rsidRPr="00295637">
        <w:rPr>
          <w:rFonts w:ascii="Times New Roman" w:hAnsi="Times New Roman"/>
          <w:szCs w:val="24"/>
        </w:rPr>
        <w:t xml:space="preserve">“ </w:t>
      </w:r>
      <w:r>
        <w:rPr>
          <w:rFonts w:ascii="Times New Roman" w:hAnsi="Times New Roman"/>
          <w:szCs w:val="24"/>
        </w:rPr>
        <w:t>дефини</w:t>
      </w:r>
      <w:r w:rsidR="00BB07D8">
        <w:rPr>
          <w:rFonts w:ascii="Times New Roman" w:hAnsi="Times New Roman"/>
          <w:szCs w:val="24"/>
          <w:lang w:val="sr-Cyrl-BA"/>
        </w:rPr>
        <w:t>с</w:t>
      </w:r>
      <w:r>
        <w:rPr>
          <w:rFonts w:ascii="Times New Roman" w:hAnsi="Times New Roman"/>
          <w:szCs w:val="24"/>
        </w:rPr>
        <w:t>ано</w:t>
      </w:r>
      <w:r w:rsidR="004D48D0" w:rsidRPr="00295637">
        <w:rPr>
          <w:rFonts w:ascii="Times New Roman" w:hAnsi="Times New Roman"/>
          <w:szCs w:val="24"/>
        </w:rPr>
        <w:t xml:space="preserve"> </w:t>
      </w:r>
      <w:r>
        <w:rPr>
          <w:rFonts w:ascii="Times New Roman" w:hAnsi="Times New Roman"/>
          <w:szCs w:val="24"/>
        </w:rPr>
        <w:t>је</w:t>
      </w:r>
      <w:r w:rsidR="004D48D0" w:rsidRPr="00295637">
        <w:rPr>
          <w:rFonts w:ascii="Times New Roman" w:hAnsi="Times New Roman"/>
          <w:szCs w:val="24"/>
        </w:rPr>
        <w:t xml:space="preserve"> </w:t>
      </w:r>
      <w:r>
        <w:rPr>
          <w:rFonts w:ascii="Times New Roman" w:hAnsi="Times New Roman"/>
          <w:szCs w:val="24"/>
        </w:rPr>
        <w:t>осам</w:t>
      </w:r>
      <w:r w:rsidR="004D48D0" w:rsidRPr="00295637">
        <w:rPr>
          <w:rFonts w:ascii="Times New Roman" w:hAnsi="Times New Roman"/>
          <w:szCs w:val="24"/>
        </w:rPr>
        <w:t xml:space="preserve"> </w:t>
      </w:r>
      <w:r>
        <w:rPr>
          <w:rFonts w:ascii="Times New Roman" w:hAnsi="Times New Roman"/>
          <w:szCs w:val="24"/>
        </w:rPr>
        <w:t>препорука</w:t>
      </w:r>
      <w:r w:rsidR="004D48D0" w:rsidRPr="00295637">
        <w:rPr>
          <w:rFonts w:ascii="Times New Roman" w:hAnsi="Times New Roman"/>
          <w:szCs w:val="24"/>
        </w:rPr>
        <w:t xml:space="preserve"> </w:t>
      </w:r>
      <w:r>
        <w:rPr>
          <w:rFonts w:ascii="Times New Roman" w:hAnsi="Times New Roman"/>
          <w:szCs w:val="24"/>
        </w:rPr>
        <w:t>које</w:t>
      </w:r>
      <w:r w:rsidR="004D48D0" w:rsidRPr="00295637">
        <w:rPr>
          <w:rFonts w:ascii="Times New Roman" w:hAnsi="Times New Roman"/>
          <w:szCs w:val="24"/>
        </w:rPr>
        <w:t xml:space="preserve"> </w:t>
      </w:r>
      <w:r>
        <w:rPr>
          <w:rFonts w:ascii="Times New Roman" w:hAnsi="Times New Roman"/>
          <w:szCs w:val="24"/>
        </w:rPr>
        <w:t>се</w:t>
      </w:r>
      <w:r w:rsidR="004D48D0" w:rsidRPr="00295637">
        <w:rPr>
          <w:rFonts w:ascii="Times New Roman" w:hAnsi="Times New Roman"/>
          <w:szCs w:val="24"/>
        </w:rPr>
        <w:t xml:space="preserve"> </w:t>
      </w:r>
      <w:r>
        <w:rPr>
          <w:rFonts w:ascii="Times New Roman" w:hAnsi="Times New Roman"/>
          <w:szCs w:val="24"/>
        </w:rPr>
        <w:t>требају</w:t>
      </w:r>
      <w:r w:rsidR="004D48D0" w:rsidRPr="00295637">
        <w:rPr>
          <w:rFonts w:ascii="Times New Roman" w:hAnsi="Times New Roman"/>
          <w:szCs w:val="24"/>
        </w:rPr>
        <w:t xml:space="preserve"> </w:t>
      </w:r>
      <w:r w:rsidR="00BB07D8">
        <w:rPr>
          <w:rFonts w:ascii="Times New Roman" w:hAnsi="Times New Roman"/>
          <w:szCs w:val="24"/>
          <w:lang w:val="sr-Cyrl-BA"/>
        </w:rPr>
        <w:t>спровести</w:t>
      </w:r>
      <w:r w:rsidR="004D48D0" w:rsidRPr="00295637">
        <w:rPr>
          <w:rFonts w:ascii="Times New Roman" w:hAnsi="Times New Roman"/>
          <w:szCs w:val="24"/>
        </w:rPr>
        <w:t xml:space="preserve"> </w:t>
      </w:r>
      <w:r>
        <w:rPr>
          <w:rFonts w:ascii="Times New Roman" w:hAnsi="Times New Roman"/>
          <w:szCs w:val="24"/>
        </w:rPr>
        <w:t>како</w:t>
      </w:r>
      <w:r w:rsidR="004D48D0" w:rsidRPr="00295637">
        <w:rPr>
          <w:rFonts w:ascii="Times New Roman" w:hAnsi="Times New Roman"/>
          <w:szCs w:val="24"/>
        </w:rPr>
        <w:t xml:space="preserve"> </w:t>
      </w:r>
      <w:r>
        <w:rPr>
          <w:rFonts w:ascii="Times New Roman" w:hAnsi="Times New Roman"/>
          <w:szCs w:val="24"/>
        </w:rPr>
        <w:t>би</w:t>
      </w:r>
      <w:r w:rsidR="004D48D0" w:rsidRPr="00295637">
        <w:rPr>
          <w:rFonts w:ascii="Times New Roman" w:hAnsi="Times New Roman"/>
          <w:szCs w:val="24"/>
        </w:rPr>
        <w:t xml:space="preserve"> </w:t>
      </w:r>
      <w:r>
        <w:rPr>
          <w:rFonts w:ascii="Times New Roman" w:hAnsi="Times New Roman"/>
          <w:szCs w:val="24"/>
        </w:rPr>
        <w:t>се</w:t>
      </w:r>
      <w:r w:rsidR="004D48D0" w:rsidRPr="00295637">
        <w:rPr>
          <w:rFonts w:ascii="Times New Roman" w:hAnsi="Times New Roman"/>
          <w:szCs w:val="24"/>
        </w:rPr>
        <w:t xml:space="preserve"> </w:t>
      </w:r>
      <w:r>
        <w:rPr>
          <w:rFonts w:ascii="Times New Roman" w:hAnsi="Times New Roman"/>
          <w:szCs w:val="24"/>
        </w:rPr>
        <w:t>задовољила</w:t>
      </w:r>
      <w:r w:rsidR="004D48D0" w:rsidRPr="00295637">
        <w:rPr>
          <w:rFonts w:ascii="Times New Roman" w:hAnsi="Times New Roman"/>
          <w:szCs w:val="24"/>
        </w:rPr>
        <w:t xml:space="preserve"> </w:t>
      </w:r>
      <w:r>
        <w:rPr>
          <w:rFonts w:ascii="Times New Roman" w:hAnsi="Times New Roman"/>
          <w:szCs w:val="24"/>
        </w:rPr>
        <w:t>равноправност</w:t>
      </w:r>
      <w:r w:rsidR="00C80D02" w:rsidRPr="00295637">
        <w:rPr>
          <w:rFonts w:ascii="Times New Roman" w:hAnsi="Times New Roman"/>
          <w:szCs w:val="24"/>
        </w:rPr>
        <w:t xml:space="preserve"> </w:t>
      </w:r>
      <w:r>
        <w:rPr>
          <w:rFonts w:ascii="Times New Roman" w:hAnsi="Times New Roman"/>
          <w:szCs w:val="24"/>
        </w:rPr>
        <w:t>полова</w:t>
      </w:r>
      <w:r w:rsidR="00C80D02" w:rsidRPr="00295637">
        <w:rPr>
          <w:rFonts w:ascii="Times New Roman" w:hAnsi="Times New Roman"/>
          <w:szCs w:val="24"/>
        </w:rPr>
        <w:t xml:space="preserve"> </w:t>
      </w:r>
      <w:r>
        <w:rPr>
          <w:rFonts w:ascii="Times New Roman" w:hAnsi="Times New Roman"/>
          <w:szCs w:val="24"/>
        </w:rPr>
        <w:t>у</w:t>
      </w:r>
      <w:r w:rsidR="004D48D0" w:rsidRPr="00295637">
        <w:rPr>
          <w:rFonts w:ascii="Times New Roman" w:hAnsi="Times New Roman"/>
          <w:szCs w:val="24"/>
        </w:rPr>
        <w:t xml:space="preserve"> </w:t>
      </w:r>
      <w:r>
        <w:rPr>
          <w:rFonts w:ascii="Times New Roman" w:hAnsi="Times New Roman"/>
          <w:szCs w:val="24"/>
        </w:rPr>
        <w:t>области</w:t>
      </w:r>
      <w:r w:rsidR="004D48D0" w:rsidRPr="00295637">
        <w:rPr>
          <w:rFonts w:ascii="Times New Roman" w:hAnsi="Times New Roman"/>
          <w:szCs w:val="24"/>
        </w:rPr>
        <w:t xml:space="preserve"> </w:t>
      </w:r>
      <w:r w:rsidR="00BB07D8">
        <w:rPr>
          <w:rFonts w:ascii="Times New Roman" w:hAnsi="Times New Roman"/>
          <w:szCs w:val="24"/>
          <w:lang w:val="sr-Cyrl-BA"/>
        </w:rPr>
        <w:t>животне средине</w:t>
      </w:r>
      <w:r w:rsidR="00AC537E" w:rsidRPr="00295637">
        <w:rPr>
          <w:rFonts w:ascii="Times New Roman" w:hAnsi="Times New Roman"/>
          <w:szCs w:val="24"/>
        </w:rPr>
        <w:t xml:space="preserve">. </w:t>
      </w:r>
      <w:r>
        <w:rPr>
          <w:rFonts w:ascii="Times New Roman" w:hAnsi="Times New Roman"/>
          <w:szCs w:val="24"/>
        </w:rPr>
        <w:t>Коалиција</w:t>
      </w:r>
      <w:r w:rsidR="00BF01AB" w:rsidRPr="00295637">
        <w:rPr>
          <w:rFonts w:ascii="Times New Roman" w:hAnsi="Times New Roman"/>
          <w:szCs w:val="24"/>
        </w:rPr>
        <w:t xml:space="preserve"> „</w:t>
      </w:r>
      <w:r>
        <w:rPr>
          <w:rFonts w:ascii="Times New Roman" w:hAnsi="Times New Roman"/>
          <w:szCs w:val="24"/>
        </w:rPr>
        <w:t>Род</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клима</w:t>
      </w:r>
      <w:r w:rsidR="00BF01AB" w:rsidRPr="00295637">
        <w:rPr>
          <w:rFonts w:ascii="Times New Roman" w:hAnsi="Times New Roman"/>
          <w:szCs w:val="24"/>
        </w:rPr>
        <w:t xml:space="preserve">“ </w:t>
      </w:r>
      <w:r>
        <w:rPr>
          <w:rFonts w:ascii="Times New Roman" w:hAnsi="Times New Roman"/>
          <w:szCs w:val="24"/>
        </w:rPr>
        <w:t>континуирано</w:t>
      </w:r>
      <w:r w:rsidR="00BF01AB" w:rsidRPr="00295637">
        <w:rPr>
          <w:rFonts w:ascii="Times New Roman" w:hAnsi="Times New Roman"/>
          <w:szCs w:val="24"/>
        </w:rPr>
        <w:t xml:space="preserve"> </w:t>
      </w:r>
      <w:r>
        <w:rPr>
          <w:rFonts w:ascii="Times New Roman" w:hAnsi="Times New Roman"/>
          <w:szCs w:val="24"/>
        </w:rPr>
        <w:t>ради</w:t>
      </w:r>
      <w:r w:rsidR="00BF01AB" w:rsidRPr="00295637">
        <w:rPr>
          <w:rFonts w:ascii="Times New Roman" w:hAnsi="Times New Roman"/>
          <w:szCs w:val="24"/>
        </w:rPr>
        <w:t xml:space="preserve"> </w:t>
      </w:r>
      <w:r>
        <w:rPr>
          <w:rFonts w:ascii="Times New Roman" w:hAnsi="Times New Roman"/>
          <w:szCs w:val="24"/>
        </w:rPr>
        <w:t>на</w:t>
      </w:r>
      <w:r w:rsidR="00BF01AB" w:rsidRPr="00295637">
        <w:rPr>
          <w:rFonts w:ascii="Times New Roman" w:hAnsi="Times New Roman"/>
          <w:szCs w:val="24"/>
        </w:rPr>
        <w:t xml:space="preserve"> </w:t>
      </w:r>
      <w:r>
        <w:rPr>
          <w:rFonts w:ascii="Times New Roman" w:hAnsi="Times New Roman"/>
          <w:szCs w:val="24"/>
        </w:rPr>
        <w:t>анализи</w:t>
      </w:r>
      <w:r w:rsidR="00BF01AB" w:rsidRPr="00295637">
        <w:rPr>
          <w:rFonts w:ascii="Times New Roman" w:hAnsi="Times New Roman"/>
          <w:szCs w:val="24"/>
        </w:rPr>
        <w:t xml:space="preserve"> </w:t>
      </w:r>
      <w:r>
        <w:rPr>
          <w:rFonts w:ascii="Times New Roman" w:hAnsi="Times New Roman"/>
          <w:szCs w:val="24"/>
        </w:rPr>
        <w:t>препорука</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стварању</w:t>
      </w:r>
      <w:r w:rsidR="00BF01AB" w:rsidRPr="00295637">
        <w:rPr>
          <w:rFonts w:ascii="Times New Roman" w:hAnsi="Times New Roman"/>
          <w:szCs w:val="24"/>
        </w:rPr>
        <w:t xml:space="preserve"> </w:t>
      </w:r>
      <w:r>
        <w:rPr>
          <w:rFonts w:ascii="Times New Roman" w:hAnsi="Times New Roman"/>
          <w:szCs w:val="24"/>
        </w:rPr>
        <w:t>услова</w:t>
      </w:r>
      <w:r w:rsidR="00BF01AB" w:rsidRPr="00295637">
        <w:rPr>
          <w:rFonts w:ascii="Times New Roman" w:hAnsi="Times New Roman"/>
          <w:szCs w:val="24"/>
        </w:rPr>
        <w:t xml:space="preserve"> </w:t>
      </w:r>
      <w:r>
        <w:rPr>
          <w:rFonts w:ascii="Times New Roman" w:hAnsi="Times New Roman"/>
          <w:szCs w:val="24"/>
        </w:rPr>
        <w:t>за</w:t>
      </w:r>
      <w:r w:rsidR="00BF01AB" w:rsidRPr="00295637">
        <w:rPr>
          <w:rFonts w:ascii="Times New Roman" w:hAnsi="Times New Roman"/>
          <w:szCs w:val="24"/>
        </w:rPr>
        <w:t xml:space="preserve"> </w:t>
      </w:r>
      <w:r>
        <w:rPr>
          <w:rFonts w:ascii="Times New Roman" w:hAnsi="Times New Roman"/>
          <w:szCs w:val="24"/>
        </w:rPr>
        <w:t>њихов</w:t>
      </w:r>
      <w:r w:rsidR="00BB07D8">
        <w:rPr>
          <w:rFonts w:ascii="Times New Roman" w:hAnsi="Times New Roman"/>
          <w:szCs w:val="24"/>
          <w:lang w:val="sr-Cyrl-BA"/>
        </w:rPr>
        <w:t>о</w:t>
      </w:r>
      <w:r w:rsidR="00BF01AB" w:rsidRPr="00295637">
        <w:rPr>
          <w:rFonts w:ascii="Times New Roman" w:hAnsi="Times New Roman"/>
          <w:szCs w:val="24"/>
        </w:rPr>
        <w:t xml:space="preserve"> </w:t>
      </w:r>
      <w:r w:rsidR="00BB07D8">
        <w:rPr>
          <w:rFonts w:ascii="Times New Roman" w:hAnsi="Times New Roman"/>
          <w:szCs w:val="24"/>
          <w:lang w:val="sr-Cyrl-BA"/>
        </w:rPr>
        <w:t>спровођење</w:t>
      </w:r>
      <w:r w:rsidR="00BF01AB" w:rsidRPr="00295637">
        <w:rPr>
          <w:rFonts w:ascii="Times New Roman" w:hAnsi="Times New Roman"/>
          <w:szCs w:val="24"/>
        </w:rPr>
        <w:t xml:space="preserve">. </w:t>
      </w:r>
    </w:p>
    <w:p w:rsidR="006768EA" w:rsidRPr="00295637" w:rsidRDefault="006768EA" w:rsidP="0086268D">
      <w:pPr>
        <w:jc w:val="both"/>
        <w:rPr>
          <w:rFonts w:ascii="Times New Roman" w:hAnsi="Times New Roman"/>
          <w:szCs w:val="24"/>
        </w:rPr>
      </w:pPr>
    </w:p>
    <w:p w:rsidR="009704AD" w:rsidRPr="00295637" w:rsidRDefault="00C6214E" w:rsidP="0086268D">
      <w:pPr>
        <w:jc w:val="both"/>
        <w:rPr>
          <w:rFonts w:ascii="Times New Roman" w:hAnsi="Times New Roman"/>
          <w:szCs w:val="24"/>
        </w:rPr>
      </w:pPr>
      <w:r>
        <w:rPr>
          <w:rFonts w:ascii="Times New Roman" w:hAnsi="Times New Roman"/>
          <w:szCs w:val="24"/>
        </w:rPr>
        <w:t>У</w:t>
      </w:r>
      <w:r w:rsidR="000B709D">
        <w:rPr>
          <w:rFonts w:ascii="Times New Roman" w:hAnsi="Times New Roman"/>
          <w:szCs w:val="24"/>
        </w:rPr>
        <w:t xml:space="preserve"> </w:t>
      </w:r>
      <w:r>
        <w:rPr>
          <w:rFonts w:ascii="Times New Roman" w:hAnsi="Times New Roman"/>
          <w:szCs w:val="24"/>
        </w:rPr>
        <w:t>вези</w:t>
      </w:r>
      <w:r w:rsidR="000B709D">
        <w:rPr>
          <w:rFonts w:ascii="Times New Roman" w:hAnsi="Times New Roman"/>
          <w:szCs w:val="24"/>
        </w:rPr>
        <w:t xml:space="preserve"> </w:t>
      </w:r>
      <w:r>
        <w:rPr>
          <w:rFonts w:ascii="Times New Roman" w:hAnsi="Times New Roman"/>
          <w:szCs w:val="24"/>
        </w:rPr>
        <w:t>са</w:t>
      </w:r>
      <w:r w:rsidR="00BF01AB" w:rsidRPr="00295637">
        <w:rPr>
          <w:rFonts w:ascii="Times New Roman" w:hAnsi="Times New Roman"/>
          <w:szCs w:val="24"/>
        </w:rPr>
        <w:t xml:space="preserve"> </w:t>
      </w:r>
      <w:r>
        <w:rPr>
          <w:rFonts w:ascii="Times New Roman" w:hAnsi="Times New Roman"/>
          <w:szCs w:val="24"/>
        </w:rPr>
        <w:t>системским</w:t>
      </w:r>
      <w:r w:rsidR="00BF01AB" w:rsidRPr="00295637">
        <w:rPr>
          <w:rFonts w:ascii="Times New Roman" w:hAnsi="Times New Roman"/>
          <w:szCs w:val="24"/>
        </w:rPr>
        <w:t xml:space="preserve"> </w:t>
      </w:r>
      <w:r>
        <w:rPr>
          <w:rFonts w:ascii="Times New Roman" w:hAnsi="Times New Roman"/>
          <w:szCs w:val="24"/>
        </w:rPr>
        <w:t>праћењем</w:t>
      </w:r>
      <w:r w:rsidR="00BF01AB" w:rsidRPr="00295637">
        <w:rPr>
          <w:rFonts w:ascii="Times New Roman" w:hAnsi="Times New Roman"/>
          <w:szCs w:val="24"/>
        </w:rPr>
        <w:t xml:space="preserve"> </w:t>
      </w:r>
      <w:r>
        <w:rPr>
          <w:rFonts w:ascii="Times New Roman" w:hAnsi="Times New Roman"/>
          <w:szCs w:val="24"/>
        </w:rPr>
        <w:t>ут</w:t>
      </w:r>
      <w:r w:rsidR="00BB07D8">
        <w:rPr>
          <w:rFonts w:ascii="Times New Roman" w:hAnsi="Times New Roman"/>
          <w:szCs w:val="24"/>
          <w:lang w:val="sr-Cyrl-BA"/>
        </w:rPr>
        <w:t>и</w:t>
      </w:r>
      <w:r>
        <w:rPr>
          <w:rFonts w:ascii="Times New Roman" w:hAnsi="Times New Roman"/>
          <w:szCs w:val="24"/>
        </w:rPr>
        <w:t>цаја</w:t>
      </w:r>
      <w:r w:rsidR="00BF01AB" w:rsidRPr="00295637">
        <w:rPr>
          <w:rFonts w:ascii="Times New Roman" w:hAnsi="Times New Roman"/>
          <w:szCs w:val="24"/>
        </w:rPr>
        <w:t xml:space="preserve"> </w:t>
      </w:r>
      <w:r>
        <w:rPr>
          <w:rFonts w:ascii="Times New Roman" w:hAnsi="Times New Roman"/>
          <w:szCs w:val="24"/>
        </w:rPr>
        <w:t>климатских</w:t>
      </w:r>
      <w:r w:rsidR="00BF01AB" w:rsidRPr="00295637">
        <w:rPr>
          <w:rFonts w:ascii="Times New Roman" w:hAnsi="Times New Roman"/>
          <w:szCs w:val="24"/>
        </w:rPr>
        <w:t xml:space="preserve"> </w:t>
      </w:r>
      <w:r>
        <w:rPr>
          <w:rFonts w:ascii="Times New Roman" w:hAnsi="Times New Roman"/>
          <w:szCs w:val="24"/>
        </w:rPr>
        <w:t>промјена</w:t>
      </w:r>
      <w:r w:rsidR="00BF01AB" w:rsidRPr="00295637">
        <w:rPr>
          <w:rFonts w:ascii="Times New Roman" w:hAnsi="Times New Roman"/>
          <w:szCs w:val="24"/>
        </w:rPr>
        <w:t xml:space="preserve"> </w:t>
      </w:r>
      <w:r>
        <w:rPr>
          <w:rFonts w:ascii="Times New Roman" w:hAnsi="Times New Roman"/>
          <w:szCs w:val="24"/>
        </w:rPr>
        <w:t>на</w:t>
      </w:r>
      <w:r w:rsidR="00BF01AB" w:rsidRPr="00295637">
        <w:rPr>
          <w:rFonts w:ascii="Times New Roman" w:hAnsi="Times New Roman"/>
          <w:szCs w:val="24"/>
        </w:rPr>
        <w:t xml:space="preserve"> </w:t>
      </w:r>
      <w:r>
        <w:rPr>
          <w:rFonts w:ascii="Times New Roman" w:hAnsi="Times New Roman"/>
          <w:szCs w:val="24"/>
        </w:rPr>
        <w:t>људско</w:t>
      </w:r>
      <w:r w:rsidR="00BF01AB" w:rsidRPr="00295637">
        <w:rPr>
          <w:rFonts w:ascii="Times New Roman" w:hAnsi="Times New Roman"/>
          <w:szCs w:val="24"/>
        </w:rPr>
        <w:t xml:space="preserve"> </w:t>
      </w:r>
      <w:r>
        <w:rPr>
          <w:rFonts w:ascii="Times New Roman" w:hAnsi="Times New Roman"/>
          <w:szCs w:val="24"/>
        </w:rPr>
        <w:t>здравље</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прикупљање</w:t>
      </w:r>
      <w:r w:rsidR="00BF01AB" w:rsidRPr="00295637">
        <w:rPr>
          <w:rFonts w:ascii="Times New Roman" w:hAnsi="Times New Roman"/>
          <w:szCs w:val="24"/>
        </w:rPr>
        <w:t xml:space="preserve"> </w:t>
      </w:r>
      <w:r>
        <w:rPr>
          <w:rFonts w:ascii="Times New Roman" w:hAnsi="Times New Roman"/>
          <w:szCs w:val="24"/>
        </w:rPr>
        <w:t>података</w:t>
      </w:r>
      <w:r w:rsidR="00BF01AB" w:rsidRPr="00295637">
        <w:rPr>
          <w:rFonts w:ascii="Times New Roman" w:hAnsi="Times New Roman"/>
          <w:szCs w:val="24"/>
        </w:rPr>
        <w:t xml:space="preserve"> </w:t>
      </w:r>
      <w:r>
        <w:rPr>
          <w:rFonts w:ascii="Times New Roman" w:hAnsi="Times New Roman"/>
          <w:szCs w:val="24"/>
        </w:rPr>
        <w:t>о</w:t>
      </w:r>
      <w:r w:rsidR="00BF01AB" w:rsidRPr="00295637">
        <w:rPr>
          <w:rFonts w:ascii="Times New Roman" w:hAnsi="Times New Roman"/>
          <w:szCs w:val="24"/>
        </w:rPr>
        <w:t xml:space="preserve"> </w:t>
      </w:r>
      <w:r>
        <w:rPr>
          <w:rFonts w:ascii="Times New Roman" w:hAnsi="Times New Roman"/>
          <w:szCs w:val="24"/>
        </w:rPr>
        <w:t>повријеђеним</w:t>
      </w:r>
      <w:r w:rsidR="00BF01AB" w:rsidRPr="00295637">
        <w:rPr>
          <w:rFonts w:ascii="Times New Roman" w:hAnsi="Times New Roman"/>
          <w:szCs w:val="24"/>
        </w:rPr>
        <w:t xml:space="preserve">, </w:t>
      </w:r>
      <w:r>
        <w:rPr>
          <w:rFonts w:ascii="Times New Roman" w:hAnsi="Times New Roman"/>
          <w:szCs w:val="24"/>
        </w:rPr>
        <w:t>несталим</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лицима</w:t>
      </w:r>
      <w:r w:rsidR="00BF01AB" w:rsidRPr="00295637">
        <w:rPr>
          <w:rFonts w:ascii="Times New Roman" w:hAnsi="Times New Roman"/>
          <w:szCs w:val="24"/>
        </w:rPr>
        <w:t xml:space="preserve"> </w:t>
      </w:r>
      <w:r>
        <w:rPr>
          <w:rFonts w:ascii="Times New Roman" w:hAnsi="Times New Roman"/>
          <w:szCs w:val="24"/>
        </w:rPr>
        <w:t>страдалим</w:t>
      </w:r>
      <w:r w:rsidR="00BF01AB" w:rsidRPr="00295637">
        <w:rPr>
          <w:rFonts w:ascii="Times New Roman" w:hAnsi="Times New Roman"/>
          <w:szCs w:val="24"/>
        </w:rPr>
        <w:t xml:space="preserve"> </w:t>
      </w:r>
      <w:r>
        <w:rPr>
          <w:rFonts w:ascii="Times New Roman" w:hAnsi="Times New Roman"/>
          <w:szCs w:val="24"/>
        </w:rPr>
        <w:t>у</w:t>
      </w:r>
      <w:r w:rsidR="00BF01AB" w:rsidRPr="00295637">
        <w:rPr>
          <w:rFonts w:ascii="Times New Roman" w:hAnsi="Times New Roman"/>
          <w:szCs w:val="24"/>
        </w:rPr>
        <w:t xml:space="preserve"> </w:t>
      </w:r>
      <w:r>
        <w:rPr>
          <w:rFonts w:ascii="Times New Roman" w:hAnsi="Times New Roman"/>
          <w:szCs w:val="24"/>
        </w:rPr>
        <w:t>природним</w:t>
      </w:r>
      <w:r w:rsidR="00BF01AB" w:rsidRPr="00295637">
        <w:rPr>
          <w:rFonts w:ascii="Times New Roman" w:hAnsi="Times New Roman"/>
          <w:szCs w:val="24"/>
        </w:rPr>
        <w:t xml:space="preserve"> </w:t>
      </w:r>
      <w:r>
        <w:rPr>
          <w:rFonts w:ascii="Times New Roman" w:hAnsi="Times New Roman"/>
          <w:szCs w:val="24"/>
        </w:rPr>
        <w:t>непогодама</w:t>
      </w:r>
      <w:r w:rsidR="00E13875" w:rsidRPr="00295637">
        <w:rPr>
          <w:rFonts w:ascii="Times New Roman" w:hAnsi="Times New Roman"/>
          <w:szCs w:val="24"/>
        </w:rPr>
        <w:t>,</w:t>
      </w:r>
      <w:r w:rsidR="00BF01AB" w:rsidRPr="00295637">
        <w:rPr>
          <w:rFonts w:ascii="Times New Roman" w:hAnsi="Times New Roman"/>
          <w:szCs w:val="24"/>
        </w:rPr>
        <w:t xml:space="preserve"> </w:t>
      </w:r>
      <w:r>
        <w:rPr>
          <w:rFonts w:ascii="Times New Roman" w:hAnsi="Times New Roman"/>
          <w:szCs w:val="24"/>
        </w:rPr>
        <w:t>током</w:t>
      </w:r>
      <w:r w:rsidR="002620D9" w:rsidRPr="00295637">
        <w:rPr>
          <w:rFonts w:ascii="Times New Roman" w:hAnsi="Times New Roman"/>
          <w:szCs w:val="24"/>
        </w:rPr>
        <w:t xml:space="preserve"> </w:t>
      </w:r>
      <w:r>
        <w:rPr>
          <w:rFonts w:ascii="Times New Roman" w:hAnsi="Times New Roman"/>
          <w:szCs w:val="24"/>
        </w:rPr>
        <w:t>рада</w:t>
      </w:r>
      <w:r w:rsidR="002620D9" w:rsidRPr="00295637">
        <w:rPr>
          <w:rFonts w:ascii="Times New Roman" w:hAnsi="Times New Roman"/>
          <w:szCs w:val="24"/>
        </w:rPr>
        <w:t xml:space="preserve"> </w:t>
      </w:r>
      <w:r>
        <w:rPr>
          <w:rFonts w:ascii="Times New Roman" w:hAnsi="Times New Roman"/>
          <w:szCs w:val="24"/>
        </w:rPr>
        <w:t>Коалиције</w:t>
      </w:r>
      <w:r w:rsidR="002620D9" w:rsidRPr="00295637">
        <w:rPr>
          <w:rFonts w:ascii="Times New Roman" w:hAnsi="Times New Roman"/>
          <w:szCs w:val="24"/>
        </w:rPr>
        <w:t xml:space="preserve"> </w:t>
      </w:r>
      <w:r>
        <w:rPr>
          <w:rFonts w:ascii="Times New Roman" w:hAnsi="Times New Roman"/>
          <w:szCs w:val="24"/>
        </w:rPr>
        <w:t>је</w:t>
      </w:r>
      <w:r w:rsidR="002620D9" w:rsidRPr="00295637">
        <w:rPr>
          <w:rFonts w:ascii="Times New Roman" w:hAnsi="Times New Roman"/>
          <w:szCs w:val="24"/>
        </w:rPr>
        <w:t xml:space="preserve"> </w:t>
      </w:r>
      <w:r>
        <w:rPr>
          <w:rFonts w:ascii="Times New Roman" w:hAnsi="Times New Roman"/>
          <w:szCs w:val="24"/>
        </w:rPr>
        <w:t>предложено</w:t>
      </w:r>
      <w:r w:rsidR="00BF01AB" w:rsidRPr="00295637">
        <w:rPr>
          <w:rFonts w:ascii="Times New Roman" w:hAnsi="Times New Roman"/>
          <w:szCs w:val="24"/>
        </w:rPr>
        <w:t xml:space="preserve"> </w:t>
      </w:r>
      <w:r>
        <w:rPr>
          <w:rFonts w:ascii="Times New Roman" w:hAnsi="Times New Roman"/>
          <w:szCs w:val="24"/>
        </w:rPr>
        <w:t>да</w:t>
      </w:r>
      <w:r w:rsidR="00BF01AB" w:rsidRPr="00295637">
        <w:rPr>
          <w:rFonts w:ascii="Times New Roman" w:hAnsi="Times New Roman"/>
          <w:szCs w:val="24"/>
        </w:rPr>
        <w:t xml:space="preserve"> </w:t>
      </w:r>
      <w:r>
        <w:rPr>
          <w:rFonts w:ascii="Times New Roman" w:hAnsi="Times New Roman"/>
          <w:szCs w:val="24"/>
        </w:rPr>
        <w:t>се</w:t>
      </w:r>
      <w:r w:rsidR="00BF01AB" w:rsidRPr="00295637">
        <w:rPr>
          <w:rFonts w:ascii="Times New Roman" w:hAnsi="Times New Roman"/>
          <w:szCs w:val="24"/>
        </w:rPr>
        <w:t xml:space="preserve"> </w:t>
      </w:r>
      <w:r>
        <w:rPr>
          <w:rFonts w:ascii="Times New Roman" w:hAnsi="Times New Roman"/>
          <w:szCs w:val="24"/>
        </w:rPr>
        <w:t>уз</w:t>
      </w:r>
      <w:r w:rsidR="00BF01AB" w:rsidRPr="00295637">
        <w:rPr>
          <w:rFonts w:ascii="Times New Roman" w:hAnsi="Times New Roman"/>
          <w:szCs w:val="24"/>
        </w:rPr>
        <w:t xml:space="preserve"> </w:t>
      </w:r>
      <w:r>
        <w:rPr>
          <w:rFonts w:ascii="Times New Roman" w:hAnsi="Times New Roman"/>
          <w:szCs w:val="24"/>
        </w:rPr>
        <w:t>помоћ</w:t>
      </w:r>
      <w:r w:rsidR="00BF01AB" w:rsidRPr="00295637">
        <w:rPr>
          <w:rFonts w:ascii="Times New Roman" w:hAnsi="Times New Roman"/>
          <w:szCs w:val="24"/>
        </w:rPr>
        <w:t xml:space="preserve"> </w:t>
      </w:r>
      <w:r>
        <w:rPr>
          <w:rFonts w:ascii="Times New Roman" w:hAnsi="Times New Roman"/>
          <w:szCs w:val="24"/>
        </w:rPr>
        <w:t>експертизе</w:t>
      </w:r>
      <w:r w:rsidR="00BF01AB" w:rsidRPr="00295637">
        <w:rPr>
          <w:rFonts w:ascii="Times New Roman" w:hAnsi="Times New Roman"/>
          <w:szCs w:val="24"/>
        </w:rPr>
        <w:t xml:space="preserve"> </w:t>
      </w:r>
      <w:r>
        <w:rPr>
          <w:rFonts w:ascii="Times New Roman" w:hAnsi="Times New Roman"/>
          <w:szCs w:val="24"/>
        </w:rPr>
        <w:t>Свјетске</w:t>
      </w:r>
      <w:r w:rsidR="00BF01AB" w:rsidRPr="00295637">
        <w:rPr>
          <w:rFonts w:ascii="Times New Roman" w:hAnsi="Times New Roman"/>
          <w:szCs w:val="24"/>
        </w:rPr>
        <w:t xml:space="preserve"> </w:t>
      </w:r>
      <w:r>
        <w:rPr>
          <w:rFonts w:ascii="Times New Roman" w:hAnsi="Times New Roman"/>
          <w:szCs w:val="24"/>
        </w:rPr>
        <w:t>здравствене</w:t>
      </w:r>
      <w:r w:rsidR="00BF01AB" w:rsidRPr="00295637">
        <w:rPr>
          <w:rFonts w:ascii="Times New Roman" w:hAnsi="Times New Roman"/>
          <w:szCs w:val="24"/>
        </w:rPr>
        <w:t xml:space="preserve"> </w:t>
      </w:r>
      <w:r>
        <w:rPr>
          <w:rFonts w:ascii="Times New Roman" w:hAnsi="Times New Roman"/>
          <w:szCs w:val="24"/>
        </w:rPr>
        <w:t>организације</w:t>
      </w:r>
      <w:r w:rsidR="00BF01AB" w:rsidRPr="00295637">
        <w:rPr>
          <w:rFonts w:ascii="Times New Roman" w:hAnsi="Times New Roman"/>
          <w:szCs w:val="24"/>
        </w:rPr>
        <w:t xml:space="preserve"> </w:t>
      </w:r>
      <w:r>
        <w:rPr>
          <w:rFonts w:ascii="Times New Roman" w:hAnsi="Times New Roman"/>
          <w:szCs w:val="24"/>
        </w:rPr>
        <w:t>дефини</w:t>
      </w:r>
      <w:r w:rsidR="00B34E5E">
        <w:rPr>
          <w:rFonts w:ascii="Times New Roman" w:hAnsi="Times New Roman"/>
          <w:szCs w:val="24"/>
          <w:lang w:val="sr-Cyrl-BA"/>
        </w:rPr>
        <w:t>шу</w:t>
      </w:r>
      <w:r w:rsidR="00BF01AB" w:rsidRPr="00295637">
        <w:rPr>
          <w:rFonts w:ascii="Times New Roman" w:hAnsi="Times New Roman"/>
          <w:szCs w:val="24"/>
        </w:rPr>
        <w:t xml:space="preserve"> </w:t>
      </w:r>
      <w:r>
        <w:rPr>
          <w:rFonts w:ascii="Times New Roman" w:hAnsi="Times New Roman"/>
          <w:szCs w:val="24"/>
        </w:rPr>
        <w:t>болести</w:t>
      </w:r>
      <w:r w:rsidR="00BF01AB" w:rsidRPr="00295637">
        <w:rPr>
          <w:rFonts w:ascii="Times New Roman" w:hAnsi="Times New Roman"/>
          <w:szCs w:val="24"/>
        </w:rPr>
        <w:t xml:space="preserve">, </w:t>
      </w:r>
      <w:r>
        <w:rPr>
          <w:rFonts w:ascii="Times New Roman" w:hAnsi="Times New Roman"/>
          <w:szCs w:val="24"/>
        </w:rPr>
        <w:t>а</w:t>
      </w:r>
      <w:r w:rsidR="00BF01AB" w:rsidRPr="00295637">
        <w:rPr>
          <w:rFonts w:ascii="Times New Roman" w:hAnsi="Times New Roman"/>
          <w:szCs w:val="24"/>
        </w:rPr>
        <w:t xml:space="preserve"> </w:t>
      </w:r>
      <w:r>
        <w:rPr>
          <w:rFonts w:ascii="Times New Roman" w:hAnsi="Times New Roman"/>
          <w:szCs w:val="24"/>
        </w:rPr>
        <w:t>сходно</w:t>
      </w:r>
      <w:r w:rsidR="00BF01AB" w:rsidRPr="00295637">
        <w:rPr>
          <w:rFonts w:ascii="Times New Roman" w:hAnsi="Times New Roman"/>
          <w:szCs w:val="24"/>
        </w:rPr>
        <w:t xml:space="preserve"> </w:t>
      </w:r>
      <w:r>
        <w:rPr>
          <w:rFonts w:ascii="Times New Roman" w:hAnsi="Times New Roman"/>
          <w:szCs w:val="24"/>
        </w:rPr>
        <w:t>томе</w:t>
      </w:r>
      <w:r w:rsidR="00BF01AB" w:rsidRPr="00295637">
        <w:rPr>
          <w:rFonts w:ascii="Times New Roman" w:hAnsi="Times New Roman"/>
          <w:szCs w:val="24"/>
        </w:rPr>
        <w:t xml:space="preserve"> </w:t>
      </w:r>
      <w:r>
        <w:rPr>
          <w:rFonts w:ascii="Times New Roman" w:hAnsi="Times New Roman"/>
          <w:szCs w:val="24"/>
        </w:rPr>
        <w:t>и</w:t>
      </w:r>
      <w:r w:rsidR="00BF01AB" w:rsidRPr="00295637">
        <w:rPr>
          <w:rFonts w:ascii="Times New Roman" w:hAnsi="Times New Roman"/>
          <w:szCs w:val="24"/>
        </w:rPr>
        <w:t xml:space="preserve"> </w:t>
      </w:r>
      <w:r>
        <w:rPr>
          <w:rFonts w:ascii="Times New Roman" w:hAnsi="Times New Roman"/>
          <w:szCs w:val="24"/>
        </w:rPr>
        <w:t>смртни</w:t>
      </w:r>
      <w:r w:rsidR="00BF01AB" w:rsidRPr="00295637">
        <w:rPr>
          <w:rFonts w:ascii="Times New Roman" w:hAnsi="Times New Roman"/>
          <w:szCs w:val="24"/>
        </w:rPr>
        <w:t xml:space="preserve"> </w:t>
      </w:r>
      <w:r>
        <w:rPr>
          <w:rFonts w:ascii="Times New Roman" w:hAnsi="Times New Roman"/>
          <w:szCs w:val="24"/>
        </w:rPr>
        <w:t>исходи</w:t>
      </w:r>
      <w:r w:rsidR="00BF01AB" w:rsidRPr="00295637">
        <w:rPr>
          <w:rFonts w:ascii="Times New Roman" w:hAnsi="Times New Roman"/>
          <w:szCs w:val="24"/>
        </w:rPr>
        <w:t xml:space="preserve"> </w:t>
      </w:r>
      <w:r>
        <w:rPr>
          <w:rFonts w:ascii="Times New Roman" w:hAnsi="Times New Roman"/>
          <w:szCs w:val="24"/>
        </w:rPr>
        <w:t>настали</w:t>
      </w:r>
      <w:r w:rsidR="00BF01AB" w:rsidRPr="00295637">
        <w:rPr>
          <w:rFonts w:ascii="Times New Roman" w:hAnsi="Times New Roman"/>
          <w:szCs w:val="24"/>
        </w:rPr>
        <w:t xml:space="preserve"> </w:t>
      </w:r>
      <w:r>
        <w:rPr>
          <w:rFonts w:ascii="Times New Roman" w:hAnsi="Times New Roman"/>
          <w:szCs w:val="24"/>
        </w:rPr>
        <w:t>од</w:t>
      </w:r>
      <w:r w:rsidR="00BF01AB" w:rsidRPr="00295637">
        <w:rPr>
          <w:rFonts w:ascii="Times New Roman" w:hAnsi="Times New Roman"/>
          <w:szCs w:val="24"/>
        </w:rPr>
        <w:t xml:space="preserve"> </w:t>
      </w:r>
      <w:r>
        <w:rPr>
          <w:rFonts w:ascii="Times New Roman" w:hAnsi="Times New Roman"/>
          <w:szCs w:val="24"/>
        </w:rPr>
        <w:t>болести</w:t>
      </w:r>
      <w:r w:rsidR="00BF01AB" w:rsidRPr="00295637">
        <w:rPr>
          <w:rFonts w:ascii="Times New Roman" w:hAnsi="Times New Roman"/>
          <w:szCs w:val="24"/>
        </w:rPr>
        <w:t xml:space="preserve"> </w:t>
      </w:r>
      <w:r>
        <w:rPr>
          <w:rFonts w:ascii="Times New Roman" w:hAnsi="Times New Roman"/>
          <w:szCs w:val="24"/>
        </w:rPr>
        <w:t>које</w:t>
      </w:r>
      <w:r w:rsidR="00BF01AB" w:rsidRPr="00295637">
        <w:rPr>
          <w:rFonts w:ascii="Times New Roman" w:hAnsi="Times New Roman"/>
          <w:szCs w:val="24"/>
        </w:rPr>
        <w:t xml:space="preserve"> </w:t>
      </w:r>
      <w:r>
        <w:rPr>
          <w:rFonts w:ascii="Times New Roman" w:hAnsi="Times New Roman"/>
          <w:szCs w:val="24"/>
        </w:rPr>
        <w:t>су</w:t>
      </w:r>
      <w:r w:rsidR="00BF01AB" w:rsidRPr="00295637">
        <w:rPr>
          <w:rFonts w:ascii="Times New Roman" w:hAnsi="Times New Roman"/>
          <w:szCs w:val="24"/>
        </w:rPr>
        <w:t xml:space="preserve"> </w:t>
      </w:r>
      <w:r>
        <w:rPr>
          <w:rFonts w:ascii="Times New Roman" w:hAnsi="Times New Roman"/>
          <w:szCs w:val="24"/>
        </w:rPr>
        <w:t>узроковане</w:t>
      </w:r>
      <w:r w:rsidR="00BF01AB" w:rsidRPr="00295637">
        <w:rPr>
          <w:rFonts w:ascii="Times New Roman" w:hAnsi="Times New Roman"/>
          <w:szCs w:val="24"/>
        </w:rPr>
        <w:t xml:space="preserve"> </w:t>
      </w:r>
      <w:r>
        <w:rPr>
          <w:rFonts w:ascii="Times New Roman" w:hAnsi="Times New Roman"/>
          <w:szCs w:val="24"/>
        </w:rPr>
        <w:t>промјенама</w:t>
      </w:r>
      <w:r w:rsidR="00BF01AB" w:rsidRPr="00295637">
        <w:rPr>
          <w:rFonts w:ascii="Times New Roman" w:hAnsi="Times New Roman"/>
          <w:szCs w:val="24"/>
        </w:rPr>
        <w:t xml:space="preserve"> </w:t>
      </w:r>
      <w:r>
        <w:rPr>
          <w:rFonts w:ascii="Times New Roman" w:hAnsi="Times New Roman"/>
          <w:szCs w:val="24"/>
        </w:rPr>
        <w:t>у</w:t>
      </w:r>
      <w:r w:rsidR="00BF01AB" w:rsidRPr="00295637">
        <w:rPr>
          <w:rFonts w:ascii="Times New Roman" w:hAnsi="Times New Roman"/>
          <w:szCs w:val="24"/>
        </w:rPr>
        <w:t xml:space="preserve"> </w:t>
      </w:r>
      <w:r w:rsidR="00B34E5E">
        <w:rPr>
          <w:rFonts w:ascii="Times New Roman" w:hAnsi="Times New Roman"/>
          <w:szCs w:val="24"/>
          <w:lang w:val="sr-Cyrl-BA"/>
        </w:rPr>
        <w:t>животној средини</w:t>
      </w:r>
      <w:r w:rsidR="00C636D1">
        <w:rPr>
          <w:rFonts w:ascii="Times New Roman" w:hAnsi="Times New Roman"/>
          <w:szCs w:val="24"/>
        </w:rPr>
        <w:t xml:space="preserve">, </w:t>
      </w:r>
      <w:r>
        <w:rPr>
          <w:rFonts w:ascii="Times New Roman" w:hAnsi="Times New Roman"/>
          <w:szCs w:val="24"/>
        </w:rPr>
        <w:t>са</w:t>
      </w:r>
      <w:r w:rsidR="00BF01AB" w:rsidRPr="00295637">
        <w:rPr>
          <w:rFonts w:ascii="Times New Roman" w:hAnsi="Times New Roman"/>
          <w:szCs w:val="24"/>
        </w:rPr>
        <w:t xml:space="preserve"> </w:t>
      </w:r>
      <w:r>
        <w:rPr>
          <w:rFonts w:ascii="Times New Roman" w:hAnsi="Times New Roman"/>
          <w:szCs w:val="24"/>
        </w:rPr>
        <w:t>акцентом</w:t>
      </w:r>
      <w:r w:rsidR="00BF01AB" w:rsidRPr="00295637">
        <w:rPr>
          <w:rFonts w:ascii="Times New Roman" w:hAnsi="Times New Roman"/>
          <w:szCs w:val="24"/>
        </w:rPr>
        <w:t xml:space="preserve"> </w:t>
      </w:r>
      <w:r>
        <w:rPr>
          <w:rFonts w:ascii="Times New Roman" w:hAnsi="Times New Roman"/>
          <w:szCs w:val="24"/>
        </w:rPr>
        <w:t>на</w:t>
      </w:r>
      <w:r w:rsidR="00BF01AB" w:rsidRPr="00295637">
        <w:rPr>
          <w:rFonts w:ascii="Times New Roman" w:hAnsi="Times New Roman"/>
          <w:szCs w:val="24"/>
        </w:rPr>
        <w:t xml:space="preserve"> </w:t>
      </w:r>
      <w:r>
        <w:rPr>
          <w:rFonts w:ascii="Times New Roman" w:hAnsi="Times New Roman"/>
          <w:szCs w:val="24"/>
        </w:rPr>
        <w:t>респираторне</w:t>
      </w:r>
      <w:r w:rsidR="00BF01AB" w:rsidRPr="00295637">
        <w:rPr>
          <w:rFonts w:ascii="Times New Roman" w:hAnsi="Times New Roman"/>
          <w:szCs w:val="24"/>
        </w:rPr>
        <w:t xml:space="preserve"> </w:t>
      </w:r>
      <w:r>
        <w:rPr>
          <w:rFonts w:ascii="Times New Roman" w:hAnsi="Times New Roman"/>
          <w:szCs w:val="24"/>
        </w:rPr>
        <w:t>болести</w:t>
      </w:r>
      <w:r w:rsidR="00BF01AB" w:rsidRPr="00295637">
        <w:rPr>
          <w:rFonts w:ascii="Times New Roman" w:hAnsi="Times New Roman"/>
          <w:szCs w:val="24"/>
        </w:rPr>
        <w:t xml:space="preserve"> </w:t>
      </w:r>
      <w:r>
        <w:rPr>
          <w:rFonts w:ascii="Times New Roman" w:hAnsi="Times New Roman"/>
          <w:szCs w:val="24"/>
        </w:rPr>
        <w:t>узроковане</w:t>
      </w:r>
      <w:r w:rsidR="00BF01AB" w:rsidRPr="00295637">
        <w:rPr>
          <w:rFonts w:ascii="Times New Roman" w:hAnsi="Times New Roman"/>
          <w:szCs w:val="24"/>
        </w:rPr>
        <w:t xml:space="preserve"> </w:t>
      </w:r>
      <w:r>
        <w:rPr>
          <w:rFonts w:ascii="Times New Roman" w:hAnsi="Times New Roman"/>
          <w:szCs w:val="24"/>
        </w:rPr>
        <w:t>аерозагађењем</w:t>
      </w:r>
      <w:r w:rsidR="00BF01AB" w:rsidRPr="00295637">
        <w:rPr>
          <w:rFonts w:ascii="Times New Roman" w:hAnsi="Times New Roman"/>
          <w:szCs w:val="24"/>
        </w:rPr>
        <w:t xml:space="preserve">, </w:t>
      </w:r>
      <w:r>
        <w:rPr>
          <w:rFonts w:ascii="Times New Roman" w:hAnsi="Times New Roman"/>
          <w:szCs w:val="24"/>
        </w:rPr>
        <w:t>имајући</w:t>
      </w:r>
      <w:r w:rsidR="00BF01AB" w:rsidRPr="00295637">
        <w:rPr>
          <w:rFonts w:ascii="Times New Roman" w:hAnsi="Times New Roman"/>
          <w:szCs w:val="24"/>
        </w:rPr>
        <w:t xml:space="preserve"> </w:t>
      </w:r>
      <w:r>
        <w:rPr>
          <w:rFonts w:ascii="Times New Roman" w:hAnsi="Times New Roman"/>
          <w:szCs w:val="24"/>
        </w:rPr>
        <w:t>у</w:t>
      </w:r>
      <w:r w:rsidR="00BF01AB" w:rsidRPr="00295637">
        <w:rPr>
          <w:rFonts w:ascii="Times New Roman" w:hAnsi="Times New Roman"/>
          <w:szCs w:val="24"/>
        </w:rPr>
        <w:t xml:space="preserve"> </w:t>
      </w:r>
      <w:r>
        <w:rPr>
          <w:rFonts w:ascii="Times New Roman" w:hAnsi="Times New Roman"/>
          <w:szCs w:val="24"/>
        </w:rPr>
        <w:t>виду</w:t>
      </w:r>
      <w:r w:rsidR="00BF01AB" w:rsidRPr="00295637">
        <w:rPr>
          <w:rFonts w:ascii="Times New Roman" w:hAnsi="Times New Roman"/>
          <w:szCs w:val="24"/>
        </w:rPr>
        <w:t xml:space="preserve"> </w:t>
      </w:r>
      <w:r>
        <w:rPr>
          <w:rFonts w:ascii="Times New Roman" w:hAnsi="Times New Roman"/>
          <w:szCs w:val="24"/>
        </w:rPr>
        <w:t>да</w:t>
      </w:r>
      <w:r w:rsidR="00050016">
        <w:rPr>
          <w:rFonts w:ascii="Times New Roman" w:hAnsi="Times New Roman"/>
          <w:szCs w:val="24"/>
        </w:rPr>
        <w:t xml:space="preserve"> </w:t>
      </w:r>
      <w:r>
        <w:rPr>
          <w:rFonts w:ascii="Times New Roman" w:hAnsi="Times New Roman"/>
          <w:szCs w:val="24"/>
        </w:rPr>
        <w:t>БиХ</w:t>
      </w:r>
      <w:r w:rsidR="00BF01AB" w:rsidRPr="00295637">
        <w:rPr>
          <w:rFonts w:ascii="Times New Roman" w:hAnsi="Times New Roman"/>
          <w:szCs w:val="24"/>
        </w:rPr>
        <w:t xml:space="preserve"> </w:t>
      </w:r>
      <w:r>
        <w:rPr>
          <w:rFonts w:ascii="Times New Roman" w:hAnsi="Times New Roman"/>
          <w:szCs w:val="24"/>
        </w:rPr>
        <w:t>има</w:t>
      </w:r>
      <w:r w:rsidR="00BF01AB" w:rsidRPr="00295637">
        <w:rPr>
          <w:rFonts w:ascii="Times New Roman" w:hAnsi="Times New Roman"/>
          <w:szCs w:val="24"/>
        </w:rPr>
        <w:t xml:space="preserve"> </w:t>
      </w:r>
      <w:r>
        <w:rPr>
          <w:rFonts w:ascii="Times New Roman" w:hAnsi="Times New Roman"/>
          <w:szCs w:val="24"/>
        </w:rPr>
        <w:t>константан</w:t>
      </w:r>
      <w:r w:rsidR="00BF01AB" w:rsidRPr="00295637">
        <w:rPr>
          <w:rFonts w:ascii="Times New Roman" w:hAnsi="Times New Roman"/>
          <w:szCs w:val="24"/>
        </w:rPr>
        <w:t xml:space="preserve"> </w:t>
      </w:r>
      <w:r>
        <w:rPr>
          <w:rFonts w:ascii="Times New Roman" w:hAnsi="Times New Roman"/>
          <w:szCs w:val="24"/>
        </w:rPr>
        <w:t>проблем</w:t>
      </w:r>
      <w:r w:rsidR="00BF01AB" w:rsidRPr="00295637">
        <w:rPr>
          <w:rFonts w:ascii="Times New Roman" w:hAnsi="Times New Roman"/>
          <w:szCs w:val="24"/>
        </w:rPr>
        <w:t xml:space="preserve"> </w:t>
      </w:r>
      <w:r>
        <w:rPr>
          <w:rFonts w:ascii="Times New Roman" w:hAnsi="Times New Roman"/>
          <w:szCs w:val="24"/>
        </w:rPr>
        <w:t>са</w:t>
      </w:r>
      <w:r w:rsidR="00BF01AB" w:rsidRPr="00295637">
        <w:rPr>
          <w:rFonts w:ascii="Times New Roman" w:hAnsi="Times New Roman"/>
          <w:szCs w:val="24"/>
        </w:rPr>
        <w:t xml:space="preserve"> </w:t>
      </w:r>
      <w:r>
        <w:rPr>
          <w:rFonts w:ascii="Times New Roman" w:hAnsi="Times New Roman"/>
          <w:szCs w:val="24"/>
        </w:rPr>
        <w:t>загађењем</w:t>
      </w:r>
      <w:r w:rsidR="00BF01AB" w:rsidRPr="00295637">
        <w:rPr>
          <w:rFonts w:ascii="Times New Roman" w:hAnsi="Times New Roman"/>
          <w:szCs w:val="24"/>
        </w:rPr>
        <w:t xml:space="preserve"> </w:t>
      </w:r>
      <w:r>
        <w:rPr>
          <w:rFonts w:ascii="Times New Roman" w:hAnsi="Times New Roman"/>
          <w:szCs w:val="24"/>
        </w:rPr>
        <w:t>ваздуха</w:t>
      </w:r>
      <w:r w:rsidR="00BF01AB" w:rsidRPr="00295637">
        <w:rPr>
          <w:rFonts w:ascii="Times New Roman" w:hAnsi="Times New Roman"/>
          <w:szCs w:val="24"/>
        </w:rPr>
        <w:t xml:space="preserve">. </w:t>
      </w:r>
      <w:r>
        <w:rPr>
          <w:rFonts w:ascii="Times New Roman" w:hAnsi="Times New Roman"/>
          <w:szCs w:val="24"/>
        </w:rPr>
        <w:t>Циљ</w:t>
      </w:r>
      <w:r w:rsidR="00BF01AB" w:rsidRPr="00295637">
        <w:rPr>
          <w:rFonts w:ascii="Times New Roman" w:hAnsi="Times New Roman"/>
          <w:szCs w:val="24"/>
        </w:rPr>
        <w:t xml:space="preserve"> </w:t>
      </w:r>
      <w:r>
        <w:rPr>
          <w:rFonts w:ascii="Times New Roman" w:hAnsi="Times New Roman"/>
          <w:szCs w:val="24"/>
        </w:rPr>
        <w:t>Коалиције</w:t>
      </w:r>
      <w:r w:rsidR="00BF01AB" w:rsidRPr="00295637">
        <w:rPr>
          <w:rFonts w:ascii="Times New Roman" w:hAnsi="Times New Roman"/>
          <w:szCs w:val="24"/>
        </w:rPr>
        <w:t xml:space="preserve"> </w:t>
      </w:r>
      <w:r>
        <w:rPr>
          <w:rFonts w:ascii="Times New Roman" w:hAnsi="Times New Roman"/>
          <w:szCs w:val="24"/>
        </w:rPr>
        <w:t>је</w:t>
      </w:r>
      <w:r w:rsidR="00BF01AB" w:rsidRPr="00295637">
        <w:rPr>
          <w:rFonts w:ascii="Times New Roman" w:hAnsi="Times New Roman"/>
          <w:szCs w:val="24"/>
        </w:rPr>
        <w:t xml:space="preserve"> </w:t>
      </w:r>
      <w:r>
        <w:rPr>
          <w:rFonts w:ascii="Times New Roman" w:hAnsi="Times New Roman"/>
          <w:szCs w:val="24"/>
        </w:rPr>
        <w:t>да</w:t>
      </w:r>
      <w:r w:rsidR="00BF01AB" w:rsidRPr="00295637">
        <w:rPr>
          <w:rFonts w:ascii="Times New Roman" w:hAnsi="Times New Roman"/>
          <w:szCs w:val="24"/>
        </w:rPr>
        <w:t xml:space="preserve"> </w:t>
      </w:r>
      <w:r>
        <w:rPr>
          <w:rFonts w:ascii="Times New Roman" w:hAnsi="Times New Roman"/>
          <w:szCs w:val="24"/>
        </w:rPr>
        <w:t>се</w:t>
      </w:r>
      <w:r w:rsidR="00BF01AB" w:rsidRPr="00295637">
        <w:rPr>
          <w:rFonts w:ascii="Times New Roman" w:hAnsi="Times New Roman"/>
          <w:szCs w:val="24"/>
        </w:rPr>
        <w:t xml:space="preserve"> </w:t>
      </w:r>
      <w:r>
        <w:rPr>
          <w:rFonts w:ascii="Times New Roman" w:hAnsi="Times New Roman"/>
          <w:szCs w:val="24"/>
        </w:rPr>
        <w:t>у</w:t>
      </w:r>
      <w:r w:rsidR="00BF01AB" w:rsidRPr="00295637">
        <w:rPr>
          <w:rFonts w:ascii="Times New Roman" w:hAnsi="Times New Roman"/>
          <w:szCs w:val="24"/>
        </w:rPr>
        <w:t xml:space="preserve"> </w:t>
      </w:r>
      <w:r>
        <w:rPr>
          <w:rFonts w:ascii="Times New Roman" w:hAnsi="Times New Roman"/>
          <w:szCs w:val="24"/>
        </w:rPr>
        <w:t>периоду</w:t>
      </w:r>
      <w:r w:rsidR="00BF01AB" w:rsidRPr="00295637">
        <w:rPr>
          <w:rFonts w:ascii="Times New Roman" w:hAnsi="Times New Roman"/>
          <w:szCs w:val="24"/>
        </w:rPr>
        <w:t xml:space="preserve"> </w:t>
      </w:r>
      <w:r>
        <w:rPr>
          <w:rFonts w:ascii="Times New Roman" w:hAnsi="Times New Roman"/>
          <w:szCs w:val="24"/>
        </w:rPr>
        <w:t>од</w:t>
      </w:r>
      <w:r w:rsidR="00BF01AB" w:rsidRPr="00295637">
        <w:rPr>
          <w:rFonts w:ascii="Times New Roman" w:hAnsi="Times New Roman"/>
          <w:szCs w:val="24"/>
        </w:rPr>
        <w:t xml:space="preserve"> </w:t>
      </w:r>
      <w:r>
        <w:rPr>
          <w:rFonts w:ascii="Times New Roman" w:hAnsi="Times New Roman"/>
          <w:szCs w:val="24"/>
        </w:rPr>
        <w:t>двије</w:t>
      </w:r>
      <w:r w:rsidR="00BF01AB" w:rsidRPr="00295637">
        <w:rPr>
          <w:rFonts w:ascii="Times New Roman" w:hAnsi="Times New Roman"/>
          <w:szCs w:val="24"/>
        </w:rPr>
        <w:t xml:space="preserve"> </w:t>
      </w:r>
      <w:r>
        <w:rPr>
          <w:rFonts w:ascii="Times New Roman" w:hAnsi="Times New Roman"/>
          <w:szCs w:val="24"/>
        </w:rPr>
        <w:t>до</w:t>
      </w:r>
      <w:r w:rsidR="00BF01AB" w:rsidRPr="00295637">
        <w:rPr>
          <w:rFonts w:ascii="Times New Roman" w:hAnsi="Times New Roman"/>
          <w:szCs w:val="24"/>
        </w:rPr>
        <w:t xml:space="preserve"> </w:t>
      </w:r>
      <w:r>
        <w:rPr>
          <w:rFonts w:ascii="Times New Roman" w:hAnsi="Times New Roman"/>
          <w:szCs w:val="24"/>
        </w:rPr>
        <w:t>три</w:t>
      </w:r>
      <w:r w:rsidR="00BF01AB" w:rsidRPr="00295637">
        <w:rPr>
          <w:rFonts w:ascii="Times New Roman" w:hAnsi="Times New Roman"/>
          <w:szCs w:val="24"/>
        </w:rPr>
        <w:t xml:space="preserve"> </w:t>
      </w:r>
      <w:r>
        <w:rPr>
          <w:rFonts w:ascii="Times New Roman" w:hAnsi="Times New Roman"/>
          <w:szCs w:val="24"/>
        </w:rPr>
        <w:t>године</w:t>
      </w:r>
      <w:r w:rsidR="00BF01AB" w:rsidRPr="00295637">
        <w:rPr>
          <w:rFonts w:ascii="Times New Roman" w:hAnsi="Times New Roman"/>
          <w:szCs w:val="24"/>
        </w:rPr>
        <w:t xml:space="preserve"> </w:t>
      </w:r>
      <w:r w:rsidR="00B34E5E">
        <w:rPr>
          <w:rFonts w:ascii="Times New Roman" w:hAnsi="Times New Roman"/>
          <w:szCs w:val="24"/>
          <w:lang w:val="sr-Cyrl-BA"/>
        </w:rPr>
        <w:t>спроведу</w:t>
      </w:r>
      <w:r w:rsidR="00BF01AB" w:rsidRPr="00295637">
        <w:rPr>
          <w:rFonts w:ascii="Times New Roman" w:hAnsi="Times New Roman"/>
          <w:szCs w:val="24"/>
        </w:rPr>
        <w:t xml:space="preserve"> </w:t>
      </w:r>
      <w:r>
        <w:rPr>
          <w:rFonts w:ascii="Times New Roman" w:hAnsi="Times New Roman"/>
          <w:szCs w:val="24"/>
        </w:rPr>
        <w:t>све</w:t>
      </w:r>
      <w:r w:rsidR="00BF01AB" w:rsidRPr="00295637">
        <w:rPr>
          <w:rFonts w:ascii="Times New Roman" w:hAnsi="Times New Roman"/>
          <w:szCs w:val="24"/>
        </w:rPr>
        <w:t xml:space="preserve"> </w:t>
      </w:r>
      <w:r>
        <w:rPr>
          <w:rFonts w:ascii="Times New Roman" w:hAnsi="Times New Roman"/>
          <w:szCs w:val="24"/>
        </w:rPr>
        <w:t>или</w:t>
      </w:r>
      <w:r w:rsidR="00BF01AB" w:rsidRPr="00295637">
        <w:rPr>
          <w:rFonts w:ascii="Times New Roman" w:hAnsi="Times New Roman"/>
          <w:szCs w:val="24"/>
        </w:rPr>
        <w:t xml:space="preserve"> </w:t>
      </w:r>
      <w:r>
        <w:rPr>
          <w:rFonts w:ascii="Times New Roman" w:hAnsi="Times New Roman"/>
          <w:szCs w:val="24"/>
        </w:rPr>
        <w:t>готово</w:t>
      </w:r>
      <w:r w:rsidR="00BF01AB" w:rsidRPr="00295637">
        <w:rPr>
          <w:rFonts w:ascii="Times New Roman" w:hAnsi="Times New Roman"/>
          <w:szCs w:val="24"/>
        </w:rPr>
        <w:t xml:space="preserve"> </w:t>
      </w:r>
      <w:r>
        <w:rPr>
          <w:rFonts w:ascii="Times New Roman" w:hAnsi="Times New Roman"/>
          <w:szCs w:val="24"/>
        </w:rPr>
        <w:t>све</w:t>
      </w:r>
      <w:r w:rsidR="00BF01AB" w:rsidRPr="00295637">
        <w:rPr>
          <w:rFonts w:ascii="Times New Roman" w:hAnsi="Times New Roman"/>
          <w:szCs w:val="24"/>
        </w:rPr>
        <w:t xml:space="preserve"> </w:t>
      </w:r>
      <w:r>
        <w:rPr>
          <w:rFonts w:ascii="Times New Roman" w:hAnsi="Times New Roman"/>
          <w:szCs w:val="24"/>
        </w:rPr>
        <w:t>препоруке</w:t>
      </w:r>
      <w:r w:rsidR="00BF01AB" w:rsidRPr="00295637">
        <w:rPr>
          <w:rFonts w:ascii="Times New Roman" w:hAnsi="Times New Roman"/>
          <w:szCs w:val="24"/>
        </w:rPr>
        <w:t xml:space="preserve"> </w:t>
      </w:r>
      <w:r>
        <w:rPr>
          <w:rFonts w:ascii="Times New Roman" w:hAnsi="Times New Roman"/>
          <w:szCs w:val="24"/>
        </w:rPr>
        <w:t>из</w:t>
      </w:r>
      <w:r w:rsidR="00BF01AB" w:rsidRPr="00295637">
        <w:rPr>
          <w:rFonts w:ascii="Times New Roman" w:hAnsi="Times New Roman"/>
          <w:szCs w:val="24"/>
        </w:rPr>
        <w:t xml:space="preserve"> </w:t>
      </w:r>
      <w:r>
        <w:rPr>
          <w:rFonts w:ascii="Times New Roman" w:hAnsi="Times New Roman"/>
          <w:szCs w:val="24"/>
        </w:rPr>
        <w:t>Извјештаја</w:t>
      </w:r>
      <w:r w:rsidR="00BF01AB" w:rsidRPr="00295637">
        <w:rPr>
          <w:rFonts w:ascii="Times New Roman" w:hAnsi="Times New Roman"/>
          <w:szCs w:val="24"/>
        </w:rPr>
        <w:t>.</w:t>
      </w:r>
      <w:r w:rsidR="006768EA" w:rsidRPr="00295637">
        <w:rPr>
          <w:rFonts w:ascii="Times New Roman" w:hAnsi="Times New Roman"/>
          <w:szCs w:val="24"/>
        </w:rPr>
        <w:t xml:space="preserve"> </w:t>
      </w:r>
      <w:r>
        <w:rPr>
          <w:rFonts w:ascii="Times New Roman" w:hAnsi="Times New Roman"/>
          <w:szCs w:val="24"/>
        </w:rPr>
        <w:t>Предложено</w:t>
      </w:r>
      <w:r w:rsidR="00BF01AB" w:rsidRPr="00295637">
        <w:rPr>
          <w:rFonts w:ascii="Times New Roman" w:hAnsi="Times New Roman"/>
          <w:szCs w:val="24"/>
        </w:rPr>
        <w:t xml:space="preserve"> </w:t>
      </w:r>
      <w:r>
        <w:rPr>
          <w:rFonts w:ascii="Times New Roman" w:hAnsi="Times New Roman"/>
          <w:szCs w:val="24"/>
        </w:rPr>
        <w:t>је</w:t>
      </w:r>
      <w:r w:rsidR="00BF01AB" w:rsidRPr="00295637">
        <w:rPr>
          <w:rFonts w:ascii="Times New Roman" w:hAnsi="Times New Roman"/>
          <w:szCs w:val="24"/>
        </w:rPr>
        <w:t xml:space="preserve"> </w:t>
      </w:r>
      <w:r>
        <w:rPr>
          <w:rFonts w:ascii="Times New Roman" w:hAnsi="Times New Roman"/>
          <w:szCs w:val="24"/>
        </w:rPr>
        <w:t>да</w:t>
      </w:r>
      <w:r w:rsidR="00BF01AB" w:rsidRPr="00295637">
        <w:rPr>
          <w:rFonts w:ascii="Times New Roman" w:hAnsi="Times New Roman"/>
          <w:szCs w:val="24"/>
        </w:rPr>
        <w:t xml:space="preserve"> </w:t>
      </w:r>
      <w:r>
        <w:rPr>
          <w:rFonts w:ascii="Times New Roman" w:hAnsi="Times New Roman"/>
          <w:szCs w:val="24"/>
        </w:rPr>
        <w:t>се</w:t>
      </w:r>
      <w:r w:rsidR="00BF01AB" w:rsidRPr="00295637">
        <w:rPr>
          <w:rFonts w:ascii="Times New Roman" w:hAnsi="Times New Roman"/>
          <w:szCs w:val="24"/>
        </w:rPr>
        <w:t xml:space="preserve"> </w:t>
      </w:r>
      <w:r>
        <w:rPr>
          <w:rFonts w:ascii="Times New Roman" w:hAnsi="Times New Roman"/>
          <w:szCs w:val="24"/>
        </w:rPr>
        <w:t>подаци</w:t>
      </w:r>
      <w:r w:rsidR="00BF01AB" w:rsidRPr="00295637">
        <w:rPr>
          <w:rFonts w:ascii="Times New Roman" w:hAnsi="Times New Roman"/>
          <w:szCs w:val="24"/>
        </w:rPr>
        <w:t xml:space="preserve"> </w:t>
      </w:r>
      <w:r>
        <w:rPr>
          <w:rFonts w:ascii="Times New Roman" w:hAnsi="Times New Roman"/>
          <w:szCs w:val="24"/>
        </w:rPr>
        <w:t>представљени</w:t>
      </w:r>
      <w:r w:rsidR="00BF01AB" w:rsidRPr="00295637">
        <w:rPr>
          <w:rFonts w:ascii="Times New Roman" w:hAnsi="Times New Roman"/>
          <w:szCs w:val="24"/>
        </w:rPr>
        <w:t xml:space="preserve"> </w:t>
      </w:r>
      <w:r>
        <w:rPr>
          <w:rFonts w:ascii="Times New Roman" w:hAnsi="Times New Roman"/>
          <w:szCs w:val="24"/>
        </w:rPr>
        <w:t>у</w:t>
      </w:r>
      <w:r w:rsidR="00BF01AB" w:rsidRPr="00295637">
        <w:rPr>
          <w:rFonts w:ascii="Times New Roman" w:hAnsi="Times New Roman"/>
          <w:szCs w:val="24"/>
        </w:rPr>
        <w:t xml:space="preserve"> </w:t>
      </w:r>
      <w:r>
        <w:rPr>
          <w:rFonts w:ascii="Times New Roman" w:hAnsi="Times New Roman"/>
          <w:szCs w:val="24"/>
        </w:rPr>
        <w:t>Извјештају</w:t>
      </w:r>
      <w:r w:rsidR="00BF01AB" w:rsidRPr="00295637">
        <w:rPr>
          <w:rFonts w:ascii="Times New Roman" w:hAnsi="Times New Roman"/>
          <w:szCs w:val="24"/>
        </w:rPr>
        <w:t xml:space="preserve"> </w:t>
      </w:r>
      <w:r>
        <w:rPr>
          <w:rFonts w:ascii="Times New Roman" w:hAnsi="Times New Roman"/>
          <w:szCs w:val="24"/>
        </w:rPr>
        <w:t>ажурирају</w:t>
      </w:r>
      <w:r w:rsidR="00BF01AB" w:rsidRPr="00295637">
        <w:rPr>
          <w:rFonts w:ascii="Times New Roman" w:hAnsi="Times New Roman"/>
          <w:szCs w:val="24"/>
        </w:rPr>
        <w:t xml:space="preserve">, </w:t>
      </w:r>
      <w:r>
        <w:rPr>
          <w:rFonts w:ascii="Times New Roman" w:hAnsi="Times New Roman"/>
          <w:szCs w:val="24"/>
        </w:rPr>
        <w:t>те</w:t>
      </w:r>
      <w:r w:rsidR="00BF01AB" w:rsidRPr="00295637">
        <w:rPr>
          <w:rFonts w:ascii="Times New Roman" w:hAnsi="Times New Roman"/>
          <w:szCs w:val="24"/>
        </w:rPr>
        <w:t xml:space="preserve"> </w:t>
      </w:r>
      <w:r>
        <w:rPr>
          <w:rFonts w:ascii="Times New Roman" w:hAnsi="Times New Roman"/>
          <w:szCs w:val="24"/>
        </w:rPr>
        <w:t>да</w:t>
      </w:r>
      <w:r w:rsidR="00BF01AB" w:rsidRPr="00295637">
        <w:rPr>
          <w:rFonts w:ascii="Times New Roman" w:hAnsi="Times New Roman"/>
          <w:szCs w:val="24"/>
        </w:rPr>
        <w:t xml:space="preserve"> </w:t>
      </w:r>
      <w:r>
        <w:rPr>
          <w:rFonts w:ascii="Times New Roman" w:hAnsi="Times New Roman"/>
          <w:szCs w:val="24"/>
        </w:rPr>
        <w:t>се</w:t>
      </w:r>
      <w:r w:rsidR="00BF01AB" w:rsidRPr="00295637">
        <w:rPr>
          <w:rFonts w:ascii="Times New Roman" w:hAnsi="Times New Roman"/>
          <w:szCs w:val="24"/>
        </w:rPr>
        <w:t xml:space="preserve"> </w:t>
      </w:r>
      <w:r>
        <w:rPr>
          <w:rFonts w:ascii="Times New Roman" w:hAnsi="Times New Roman"/>
          <w:szCs w:val="24"/>
        </w:rPr>
        <w:t>евентуално</w:t>
      </w:r>
      <w:r w:rsidR="00BF01AB" w:rsidRPr="00295637">
        <w:rPr>
          <w:rFonts w:ascii="Times New Roman" w:hAnsi="Times New Roman"/>
          <w:szCs w:val="24"/>
        </w:rPr>
        <w:t xml:space="preserve"> </w:t>
      </w:r>
      <w:r>
        <w:rPr>
          <w:rFonts w:ascii="Times New Roman" w:hAnsi="Times New Roman"/>
          <w:szCs w:val="24"/>
        </w:rPr>
        <w:t>анализирају</w:t>
      </w:r>
      <w:r w:rsidR="00BF01AB" w:rsidRPr="00295637">
        <w:rPr>
          <w:rFonts w:ascii="Times New Roman" w:hAnsi="Times New Roman"/>
          <w:szCs w:val="24"/>
        </w:rPr>
        <w:t xml:space="preserve"> </w:t>
      </w:r>
      <w:r>
        <w:rPr>
          <w:rFonts w:ascii="Times New Roman" w:hAnsi="Times New Roman"/>
          <w:szCs w:val="24"/>
        </w:rPr>
        <w:t>додатни</w:t>
      </w:r>
      <w:r w:rsidR="00BF01AB" w:rsidRPr="00295637">
        <w:rPr>
          <w:rFonts w:ascii="Times New Roman" w:hAnsi="Times New Roman"/>
          <w:szCs w:val="24"/>
        </w:rPr>
        <w:t xml:space="preserve"> </w:t>
      </w:r>
      <w:r>
        <w:rPr>
          <w:rFonts w:ascii="Times New Roman" w:hAnsi="Times New Roman"/>
          <w:szCs w:val="24"/>
        </w:rPr>
        <w:t>подаци</w:t>
      </w:r>
      <w:r w:rsidR="00BF01AB" w:rsidRPr="00295637">
        <w:rPr>
          <w:rFonts w:ascii="Times New Roman" w:hAnsi="Times New Roman"/>
          <w:szCs w:val="24"/>
        </w:rPr>
        <w:t xml:space="preserve"> </w:t>
      </w:r>
      <w:r>
        <w:rPr>
          <w:rFonts w:ascii="Times New Roman" w:hAnsi="Times New Roman"/>
          <w:szCs w:val="24"/>
        </w:rPr>
        <w:t>који</w:t>
      </w:r>
      <w:r w:rsidR="00BF01AB" w:rsidRPr="00295637">
        <w:rPr>
          <w:rFonts w:ascii="Times New Roman" w:hAnsi="Times New Roman"/>
          <w:szCs w:val="24"/>
        </w:rPr>
        <w:t xml:space="preserve"> </w:t>
      </w:r>
      <w:r>
        <w:rPr>
          <w:rFonts w:ascii="Times New Roman" w:hAnsi="Times New Roman"/>
          <w:szCs w:val="24"/>
        </w:rPr>
        <w:t>нису</w:t>
      </w:r>
      <w:r w:rsidR="00BF01AB" w:rsidRPr="00295637">
        <w:rPr>
          <w:rFonts w:ascii="Times New Roman" w:hAnsi="Times New Roman"/>
          <w:szCs w:val="24"/>
        </w:rPr>
        <w:t xml:space="preserve"> </w:t>
      </w:r>
      <w:r>
        <w:rPr>
          <w:rFonts w:ascii="Times New Roman" w:hAnsi="Times New Roman"/>
          <w:szCs w:val="24"/>
        </w:rPr>
        <w:t>били</w:t>
      </w:r>
      <w:r w:rsidR="00BF01AB" w:rsidRPr="00295637">
        <w:rPr>
          <w:rFonts w:ascii="Times New Roman" w:hAnsi="Times New Roman"/>
          <w:szCs w:val="24"/>
        </w:rPr>
        <w:t xml:space="preserve"> </w:t>
      </w:r>
      <w:r>
        <w:rPr>
          <w:rFonts w:ascii="Times New Roman" w:hAnsi="Times New Roman"/>
          <w:szCs w:val="24"/>
        </w:rPr>
        <w:t>узети</w:t>
      </w:r>
      <w:r w:rsidR="00BF01AB" w:rsidRPr="00295637">
        <w:rPr>
          <w:rFonts w:ascii="Times New Roman" w:hAnsi="Times New Roman"/>
          <w:szCs w:val="24"/>
        </w:rPr>
        <w:t xml:space="preserve"> </w:t>
      </w:r>
      <w:r>
        <w:rPr>
          <w:rFonts w:ascii="Times New Roman" w:hAnsi="Times New Roman"/>
          <w:szCs w:val="24"/>
        </w:rPr>
        <w:t>у</w:t>
      </w:r>
      <w:r w:rsidR="006768EA" w:rsidRPr="00295637">
        <w:rPr>
          <w:rFonts w:ascii="Times New Roman" w:hAnsi="Times New Roman"/>
          <w:szCs w:val="24"/>
        </w:rPr>
        <w:t xml:space="preserve"> </w:t>
      </w:r>
      <w:r>
        <w:rPr>
          <w:rFonts w:ascii="Times New Roman" w:hAnsi="Times New Roman"/>
          <w:szCs w:val="24"/>
        </w:rPr>
        <w:t>обзир</w:t>
      </w:r>
      <w:r w:rsidR="006768EA" w:rsidRPr="00295637">
        <w:rPr>
          <w:rFonts w:ascii="Times New Roman" w:hAnsi="Times New Roman"/>
          <w:szCs w:val="24"/>
        </w:rPr>
        <w:t xml:space="preserve"> </w:t>
      </w:r>
      <w:r>
        <w:rPr>
          <w:rFonts w:ascii="Times New Roman" w:hAnsi="Times New Roman"/>
          <w:szCs w:val="24"/>
        </w:rPr>
        <w:t>приликом</w:t>
      </w:r>
      <w:r w:rsidR="006768EA" w:rsidRPr="00295637">
        <w:rPr>
          <w:rFonts w:ascii="Times New Roman" w:hAnsi="Times New Roman"/>
          <w:szCs w:val="24"/>
        </w:rPr>
        <w:t xml:space="preserve"> </w:t>
      </w:r>
      <w:r>
        <w:rPr>
          <w:rFonts w:ascii="Times New Roman" w:hAnsi="Times New Roman"/>
          <w:szCs w:val="24"/>
        </w:rPr>
        <w:t>креирања</w:t>
      </w:r>
      <w:r w:rsidR="006768EA" w:rsidRPr="00295637">
        <w:rPr>
          <w:rFonts w:ascii="Times New Roman" w:hAnsi="Times New Roman"/>
          <w:szCs w:val="24"/>
        </w:rPr>
        <w:t xml:space="preserve"> </w:t>
      </w:r>
      <w:r>
        <w:rPr>
          <w:rFonts w:ascii="Times New Roman" w:hAnsi="Times New Roman"/>
          <w:szCs w:val="24"/>
        </w:rPr>
        <w:t>првог</w:t>
      </w:r>
      <w:r w:rsidR="00BF01AB" w:rsidRPr="00295637">
        <w:rPr>
          <w:rFonts w:ascii="Times New Roman" w:hAnsi="Times New Roman"/>
          <w:szCs w:val="24"/>
        </w:rPr>
        <w:t xml:space="preserve"> </w:t>
      </w:r>
      <w:r>
        <w:rPr>
          <w:rFonts w:ascii="Times New Roman" w:hAnsi="Times New Roman"/>
          <w:szCs w:val="24"/>
        </w:rPr>
        <w:t>Извјештаја</w:t>
      </w:r>
      <w:r w:rsidR="00BF01AB" w:rsidRPr="00295637">
        <w:rPr>
          <w:rFonts w:ascii="Times New Roman" w:hAnsi="Times New Roman"/>
          <w:szCs w:val="24"/>
        </w:rPr>
        <w:t xml:space="preserve">. </w:t>
      </w:r>
    </w:p>
    <w:p w:rsidR="006768EA" w:rsidRPr="00295637" w:rsidRDefault="006768EA" w:rsidP="0086268D">
      <w:pPr>
        <w:jc w:val="both"/>
        <w:rPr>
          <w:rFonts w:ascii="Times New Roman" w:hAnsi="Times New Roman"/>
          <w:lang w:val="bs-Latn-BA"/>
        </w:rPr>
      </w:pPr>
    </w:p>
    <w:p w:rsidR="00A92736" w:rsidRPr="00295637" w:rsidRDefault="00B34E5E" w:rsidP="0086268D">
      <w:pPr>
        <w:jc w:val="both"/>
        <w:rPr>
          <w:rFonts w:ascii="Times New Roman" w:hAnsi="Times New Roman"/>
          <w:lang w:val="bs-Latn-BA"/>
        </w:rPr>
      </w:pPr>
      <w:r>
        <w:rPr>
          <w:rFonts w:ascii="Times New Roman" w:hAnsi="Times New Roman"/>
          <w:lang w:val="sr-Cyrl-BA"/>
        </w:rPr>
        <w:t>С</w:t>
      </w:r>
      <w:r w:rsidR="006768EA" w:rsidRPr="00295637">
        <w:rPr>
          <w:rFonts w:ascii="Times New Roman" w:hAnsi="Times New Roman"/>
          <w:lang w:val="bs-Latn-BA"/>
        </w:rPr>
        <w:t xml:space="preserve"> </w:t>
      </w:r>
      <w:r w:rsidR="00C6214E">
        <w:rPr>
          <w:rFonts w:ascii="Times New Roman" w:hAnsi="Times New Roman"/>
          <w:lang w:val="bs-Latn-BA"/>
        </w:rPr>
        <w:t>циљ</w:t>
      </w:r>
      <w:r>
        <w:rPr>
          <w:rFonts w:ascii="Times New Roman" w:hAnsi="Times New Roman"/>
          <w:lang w:val="sr-Cyrl-BA"/>
        </w:rPr>
        <w:t>ем</w:t>
      </w:r>
      <w:r w:rsidR="006768EA" w:rsidRPr="00295637">
        <w:rPr>
          <w:rFonts w:ascii="Times New Roman" w:hAnsi="Times New Roman"/>
          <w:lang w:val="bs-Latn-BA"/>
        </w:rPr>
        <w:t xml:space="preserve"> </w:t>
      </w:r>
      <w:r w:rsidR="00C6214E">
        <w:rPr>
          <w:rFonts w:ascii="Times New Roman" w:hAnsi="Times New Roman"/>
          <w:lang w:val="bs-Latn-BA"/>
        </w:rPr>
        <w:t>унапређења</w:t>
      </w:r>
      <w:r w:rsidR="006768EA" w:rsidRPr="00295637">
        <w:rPr>
          <w:rFonts w:ascii="Times New Roman" w:hAnsi="Times New Roman"/>
          <w:lang w:val="bs-Latn-BA"/>
        </w:rPr>
        <w:t xml:space="preserve"> </w:t>
      </w:r>
      <w:r w:rsidR="00C6214E">
        <w:rPr>
          <w:rFonts w:ascii="Times New Roman" w:hAnsi="Times New Roman"/>
          <w:lang w:val="bs-Latn-BA"/>
        </w:rPr>
        <w:t>система</w:t>
      </w:r>
      <w:r w:rsidR="006768EA" w:rsidRPr="00295637">
        <w:rPr>
          <w:rFonts w:ascii="Times New Roman" w:hAnsi="Times New Roman"/>
          <w:lang w:val="bs-Latn-BA"/>
        </w:rPr>
        <w:t xml:space="preserve"> </w:t>
      </w:r>
      <w:r w:rsidR="00C6214E">
        <w:rPr>
          <w:rFonts w:ascii="Times New Roman" w:hAnsi="Times New Roman"/>
          <w:lang w:val="bs-Latn-BA"/>
        </w:rPr>
        <w:t>за</w:t>
      </w:r>
      <w:r w:rsidR="006768EA" w:rsidRPr="00295637">
        <w:rPr>
          <w:rFonts w:ascii="Times New Roman" w:hAnsi="Times New Roman"/>
          <w:lang w:val="bs-Latn-BA"/>
        </w:rPr>
        <w:t xml:space="preserve"> </w:t>
      </w:r>
      <w:r w:rsidR="00C6214E">
        <w:rPr>
          <w:rFonts w:ascii="Times New Roman" w:hAnsi="Times New Roman"/>
          <w:lang w:val="bs-Latn-BA"/>
        </w:rPr>
        <w:t>прикупљање</w:t>
      </w:r>
      <w:r w:rsidR="006768EA" w:rsidRPr="00295637">
        <w:rPr>
          <w:rFonts w:ascii="Times New Roman" w:hAnsi="Times New Roman"/>
          <w:lang w:val="bs-Latn-BA"/>
        </w:rPr>
        <w:t xml:space="preserve"> </w:t>
      </w:r>
      <w:r w:rsidR="00C6214E">
        <w:rPr>
          <w:rFonts w:ascii="Times New Roman" w:hAnsi="Times New Roman"/>
          <w:lang w:val="bs-Latn-BA"/>
        </w:rPr>
        <w:t>родно</w:t>
      </w:r>
      <w:r w:rsidR="006768EA" w:rsidRPr="00295637">
        <w:rPr>
          <w:rFonts w:ascii="Times New Roman" w:hAnsi="Times New Roman"/>
          <w:lang w:val="bs-Latn-BA"/>
        </w:rPr>
        <w:t xml:space="preserve"> </w:t>
      </w:r>
      <w:r w:rsidR="00C6214E">
        <w:rPr>
          <w:rFonts w:ascii="Times New Roman" w:hAnsi="Times New Roman"/>
          <w:lang w:val="bs-Latn-BA"/>
        </w:rPr>
        <w:t>осјетљивих</w:t>
      </w:r>
      <w:r w:rsidR="006768EA" w:rsidRPr="00295637">
        <w:rPr>
          <w:rFonts w:ascii="Times New Roman" w:hAnsi="Times New Roman"/>
          <w:lang w:val="bs-Latn-BA"/>
        </w:rPr>
        <w:t xml:space="preserve"> </w:t>
      </w:r>
      <w:r w:rsidR="00C6214E">
        <w:rPr>
          <w:rFonts w:ascii="Times New Roman" w:hAnsi="Times New Roman"/>
          <w:lang w:val="bs-Latn-BA"/>
        </w:rPr>
        <w:t>података</w:t>
      </w:r>
      <w:r w:rsidR="006768EA" w:rsidRPr="00295637">
        <w:rPr>
          <w:rFonts w:ascii="Times New Roman" w:hAnsi="Times New Roman"/>
          <w:lang w:val="bs-Latn-BA"/>
        </w:rPr>
        <w:t xml:space="preserve">, </w:t>
      </w:r>
      <w:r w:rsidR="00C6214E">
        <w:rPr>
          <w:rFonts w:ascii="Times New Roman" w:hAnsi="Times New Roman"/>
          <w:lang w:val="bs-Latn-BA"/>
        </w:rPr>
        <w:t>ФМОИТ</w:t>
      </w:r>
      <w:r w:rsidR="006768EA" w:rsidRPr="00295637">
        <w:rPr>
          <w:rFonts w:ascii="Times New Roman" w:hAnsi="Times New Roman"/>
          <w:lang w:val="bs-Latn-BA"/>
        </w:rPr>
        <w:t xml:space="preserve">, </w:t>
      </w:r>
      <w:r w:rsidR="00C6214E">
        <w:rPr>
          <w:rFonts w:ascii="Times New Roman" w:hAnsi="Times New Roman"/>
          <w:lang w:val="bs-Latn-BA"/>
        </w:rPr>
        <w:t>у</w:t>
      </w:r>
      <w:r w:rsidR="006768EA" w:rsidRPr="00295637">
        <w:rPr>
          <w:rFonts w:ascii="Times New Roman" w:hAnsi="Times New Roman"/>
          <w:lang w:val="bs-Latn-BA"/>
        </w:rPr>
        <w:t xml:space="preserve"> </w:t>
      </w:r>
      <w:r w:rsidR="00C6214E">
        <w:rPr>
          <w:rFonts w:ascii="Times New Roman" w:hAnsi="Times New Roman"/>
          <w:lang w:val="bs-Latn-BA"/>
        </w:rPr>
        <w:t>сарадњи</w:t>
      </w:r>
      <w:r w:rsidR="006768EA" w:rsidRPr="00295637">
        <w:rPr>
          <w:rFonts w:ascii="Times New Roman" w:hAnsi="Times New Roman"/>
          <w:lang w:val="bs-Latn-BA"/>
        </w:rPr>
        <w:t xml:space="preserve"> </w:t>
      </w:r>
      <w:r w:rsidR="00C6214E">
        <w:rPr>
          <w:rFonts w:ascii="Times New Roman" w:hAnsi="Times New Roman"/>
          <w:lang w:val="bs-Latn-BA"/>
        </w:rPr>
        <w:t>са</w:t>
      </w:r>
      <w:r w:rsidR="006768EA" w:rsidRPr="00295637">
        <w:rPr>
          <w:rFonts w:ascii="Times New Roman" w:hAnsi="Times New Roman"/>
          <w:lang w:val="bs-Latn-BA"/>
        </w:rPr>
        <w:t xml:space="preserve"> </w:t>
      </w:r>
      <w:r w:rsidR="00C6214E">
        <w:rPr>
          <w:rFonts w:ascii="Times New Roman" w:hAnsi="Times New Roman"/>
          <w:lang w:val="bs-Latn-BA"/>
        </w:rPr>
        <w:t>Фондом</w:t>
      </w:r>
      <w:r w:rsidR="006768EA" w:rsidRPr="00295637">
        <w:rPr>
          <w:rFonts w:ascii="Times New Roman" w:hAnsi="Times New Roman"/>
          <w:lang w:val="bs-Latn-BA"/>
        </w:rPr>
        <w:t xml:space="preserve"> </w:t>
      </w:r>
      <w:r w:rsidR="00C6214E">
        <w:rPr>
          <w:rFonts w:ascii="Times New Roman" w:hAnsi="Times New Roman"/>
          <w:lang w:val="bs-Latn-BA"/>
        </w:rPr>
        <w:t>за</w:t>
      </w:r>
      <w:r w:rsidR="006768EA" w:rsidRPr="00295637">
        <w:rPr>
          <w:rFonts w:ascii="Times New Roman" w:hAnsi="Times New Roman"/>
          <w:lang w:val="bs-Latn-BA"/>
        </w:rPr>
        <w:t xml:space="preserve"> </w:t>
      </w:r>
      <w:r w:rsidR="00C6214E">
        <w:rPr>
          <w:rFonts w:ascii="Times New Roman" w:hAnsi="Times New Roman"/>
          <w:lang w:val="bs-Latn-BA"/>
        </w:rPr>
        <w:t>заштиту</w:t>
      </w:r>
      <w:r w:rsidR="006768EA" w:rsidRPr="00295637">
        <w:rPr>
          <w:rFonts w:ascii="Times New Roman" w:hAnsi="Times New Roman"/>
          <w:lang w:val="bs-Latn-BA"/>
        </w:rPr>
        <w:t xml:space="preserve"> </w:t>
      </w:r>
      <w:r>
        <w:rPr>
          <w:rFonts w:ascii="Times New Roman" w:hAnsi="Times New Roman"/>
          <w:lang w:val="sr-Cyrl-BA"/>
        </w:rPr>
        <w:t>животне средине</w:t>
      </w:r>
      <w:r w:rsidR="006768EA" w:rsidRPr="00295637">
        <w:rPr>
          <w:rFonts w:ascii="Times New Roman" w:hAnsi="Times New Roman"/>
          <w:lang w:val="bs-Latn-BA"/>
        </w:rPr>
        <w:t xml:space="preserve"> </w:t>
      </w:r>
      <w:r w:rsidR="00C6214E">
        <w:rPr>
          <w:rFonts w:ascii="Times New Roman" w:hAnsi="Times New Roman"/>
          <w:lang w:val="bs-Latn-BA"/>
        </w:rPr>
        <w:t>ФБиХ</w:t>
      </w:r>
      <w:r w:rsidR="006768EA" w:rsidRPr="00295637">
        <w:rPr>
          <w:rFonts w:ascii="Times New Roman" w:hAnsi="Times New Roman"/>
          <w:lang w:val="bs-Latn-BA"/>
        </w:rPr>
        <w:t xml:space="preserve"> </w:t>
      </w:r>
      <w:r w:rsidR="00C6214E">
        <w:rPr>
          <w:rFonts w:ascii="Times New Roman" w:hAnsi="Times New Roman"/>
          <w:lang w:val="bs-Latn-BA"/>
        </w:rPr>
        <w:t>и</w:t>
      </w:r>
      <w:r w:rsidR="006768EA" w:rsidRPr="00295637">
        <w:rPr>
          <w:rFonts w:ascii="Times New Roman" w:hAnsi="Times New Roman"/>
          <w:lang w:val="bs-Latn-BA"/>
        </w:rPr>
        <w:t xml:space="preserve"> </w:t>
      </w:r>
      <w:r w:rsidR="00C6214E">
        <w:rPr>
          <w:rFonts w:ascii="Times New Roman" w:hAnsi="Times New Roman"/>
          <w:lang w:val="bs-Latn-BA"/>
        </w:rPr>
        <w:t>релевантним</w:t>
      </w:r>
      <w:r w:rsidR="006768EA" w:rsidRPr="00295637">
        <w:rPr>
          <w:rFonts w:ascii="Times New Roman" w:hAnsi="Times New Roman"/>
          <w:lang w:val="bs-Latn-BA"/>
        </w:rPr>
        <w:t xml:space="preserve"> </w:t>
      </w:r>
      <w:r w:rsidR="00C6214E">
        <w:rPr>
          <w:rFonts w:ascii="Times New Roman" w:hAnsi="Times New Roman"/>
          <w:lang w:val="bs-Latn-BA"/>
        </w:rPr>
        <w:t>институцијама</w:t>
      </w:r>
      <w:r w:rsidR="006768EA" w:rsidRPr="00295637">
        <w:rPr>
          <w:rFonts w:ascii="Times New Roman" w:hAnsi="Times New Roman"/>
          <w:lang w:val="bs-Latn-BA"/>
        </w:rPr>
        <w:t xml:space="preserve">, </w:t>
      </w:r>
      <w:r w:rsidR="00C6214E">
        <w:rPr>
          <w:rFonts w:ascii="Times New Roman" w:hAnsi="Times New Roman"/>
          <w:lang w:val="bs-Latn-BA"/>
        </w:rPr>
        <w:t>постепено</w:t>
      </w:r>
      <w:r w:rsidR="006768EA" w:rsidRPr="00295637">
        <w:rPr>
          <w:rFonts w:ascii="Times New Roman" w:hAnsi="Times New Roman"/>
          <w:lang w:val="bs-Latn-BA"/>
        </w:rPr>
        <w:t xml:space="preserve"> </w:t>
      </w:r>
      <w:r w:rsidR="00C6214E">
        <w:rPr>
          <w:rFonts w:ascii="Times New Roman" w:hAnsi="Times New Roman"/>
          <w:lang w:val="bs-Latn-BA"/>
        </w:rPr>
        <w:t>развија</w:t>
      </w:r>
      <w:r w:rsidR="006768EA" w:rsidRPr="00295637">
        <w:rPr>
          <w:rFonts w:ascii="Times New Roman" w:hAnsi="Times New Roman"/>
          <w:lang w:val="bs-Latn-BA"/>
        </w:rPr>
        <w:t xml:space="preserve"> </w:t>
      </w:r>
      <w:r w:rsidR="00C6214E">
        <w:rPr>
          <w:rFonts w:ascii="Times New Roman" w:hAnsi="Times New Roman"/>
          <w:lang w:val="bs-Latn-BA"/>
        </w:rPr>
        <w:t>сет</w:t>
      </w:r>
      <w:r w:rsidR="006768EA" w:rsidRPr="00295637">
        <w:rPr>
          <w:rFonts w:ascii="Times New Roman" w:hAnsi="Times New Roman"/>
          <w:lang w:val="bs-Latn-BA"/>
        </w:rPr>
        <w:t xml:space="preserve"> </w:t>
      </w:r>
      <w:r w:rsidR="00C6214E">
        <w:rPr>
          <w:rFonts w:ascii="Times New Roman" w:hAnsi="Times New Roman"/>
          <w:lang w:val="bs-Latn-BA"/>
        </w:rPr>
        <w:t>квантитативних</w:t>
      </w:r>
      <w:r w:rsidR="006768EA" w:rsidRPr="00295637">
        <w:rPr>
          <w:rFonts w:ascii="Times New Roman" w:hAnsi="Times New Roman"/>
          <w:lang w:val="bs-Latn-BA"/>
        </w:rPr>
        <w:t xml:space="preserve"> </w:t>
      </w:r>
      <w:r w:rsidR="00C6214E">
        <w:rPr>
          <w:rFonts w:ascii="Times New Roman" w:hAnsi="Times New Roman"/>
          <w:lang w:val="bs-Latn-BA"/>
        </w:rPr>
        <w:t>и</w:t>
      </w:r>
      <w:r w:rsidR="006768EA" w:rsidRPr="00295637">
        <w:rPr>
          <w:rFonts w:ascii="Times New Roman" w:hAnsi="Times New Roman"/>
          <w:lang w:val="bs-Latn-BA"/>
        </w:rPr>
        <w:t xml:space="preserve"> </w:t>
      </w:r>
      <w:r w:rsidR="00C6214E">
        <w:rPr>
          <w:rFonts w:ascii="Times New Roman" w:hAnsi="Times New Roman"/>
          <w:lang w:val="bs-Latn-BA"/>
        </w:rPr>
        <w:t>квалитативних</w:t>
      </w:r>
      <w:r w:rsidR="006768EA" w:rsidRPr="00295637">
        <w:rPr>
          <w:rFonts w:ascii="Times New Roman" w:hAnsi="Times New Roman"/>
          <w:lang w:val="bs-Latn-BA"/>
        </w:rPr>
        <w:t xml:space="preserve"> </w:t>
      </w:r>
      <w:r w:rsidR="00C6214E">
        <w:rPr>
          <w:rFonts w:ascii="Times New Roman" w:hAnsi="Times New Roman"/>
          <w:lang w:val="bs-Latn-BA"/>
        </w:rPr>
        <w:t>индикатора</w:t>
      </w:r>
      <w:r w:rsidR="006768EA" w:rsidRPr="00295637">
        <w:rPr>
          <w:rFonts w:ascii="Times New Roman" w:hAnsi="Times New Roman"/>
          <w:lang w:val="bs-Latn-BA"/>
        </w:rPr>
        <w:t xml:space="preserve"> </w:t>
      </w:r>
      <w:r w:rsidR="00C6214E">
        <w:rPr>
          <w:rFonts w:ascii="Times New Roman" w:hAnsi="Times New Roman"/>
          <w:lang w:val="bs-Latn-BA"/>
        </w:rPr>
        <w:t>који</w:t>
      </w:r>
      <w:r w:rsidR="006768EA" w:rsidRPr="00295637">
        <w:rPr>
          <w:rFonts w:ascii="Times New Roman" w:hAnsi="Times New Roman"/>
          <w:lang w:val="bs-Latn-BA"/>
        </w:rPr>
        <w:t xml:space="preserve"> </w:t>
      </w:r>
      <w:r w:rsidR="00C6214E">
        <w:rPr>
          <w:rFonts w:ascii="Times New Roman" w:hAnsi="Times New Roman"/>
          <w:lang w:val="bs-Latn-BA"/>
        </w:rPr>
        <w:t>ће</w:t>
      </w:r>
      <w:r w:rsidR="006768EA" w:rsidRPr="00295637">
        <w:rPr>
          <w:rFonts w:ascii="Times New Roman" w:hAnsi="Times New Roman"/>
          <w:lang w:val="bs-Latn-BA"/>
        </w:rPr>
        <w:t xml:space="preserve"> </w:t>
      </w:r>
      <w:r w:rsidR="00C6214E">
        <w:rPr>
          <w:rFonts w:ascii="Times New Roman" w:hAnsi="Times New Roman"/>
          <w:lang w:val="bs-Latn-BA"/>
        </w:rPr>
        <w:t>омогућити</w:t>
      </w:r>
      <w:r w:rsidR="006768EA" w:rsidRPr="00295637">
        <w:rPr>
          <w:rFonts w:ascii="Times New Roman" w:hAnsi="Times New Roman"/>
          <w:lang w:val="bs-Latn-BA"/>
        </w:rPr>
        <w:t xml:space="preserve"> </w:t>
      </w:r>
      <w:r w:rsidR="00C6214E">
        <w:rPr>
          <w:rFonts w:ascii="Times New Roman" w:hAnsi="Times New Roman"/>
          <w:lang w:val="bs-Latn-BA"/>
        </w:rPr>
        <w:t>праћење</w:t>
      </w:r>
      <w:r w:rsidR="006768EA" w:rsidRPr="00295637">
        <w:rPr>
          <w:rFonts w:ascii="Times New Roman" w:hAnsi="Times New Roman"/>
          <w:lang w:val="bs-Latn-BA"/>
        </w:rPr>
        <w:t xml:space="preserve"> </w:t>
      </w:r>
      <w:r w:rsidR="00C6214E">
        <w:rPr>
          <w:rFonts w:ascii="Times New Roman" w:hAnsi="Times New Roman"/>
          <w:lang w:val="bs-Latn-BA"/>
        </w:rPr>
        <w:t>димензије</w:t>
      </w:r>
      <w:r w:rsidR="006768EA" w:rsidRPr="00295637">
        <w:rPr>
          <w:rFonts w:ascii="Times New Roman" w:hAnsi="Times New Roman"/>
          <w:lang w:val="bs-Latn-BA"/>
        </w:rPr>
        <w:t xml:space="preserve"> </w:t>
      </w:r>
      <w:r w:rsidR="00C6214E">
        <w:rPr>
          <w:rFonts w:ascii="Times New Roman" w:hAnsi="Times New Roman"/>
          <w:lang w:val="bs-Latn-BA"/>
        </w:rPr>
        <w:t>равноправности</w:t>
      </w:r>
      <w:r w:rsidR="00B26225" w:rsidRPr="00295637">
        <w:rPr>
          <w:rFonts w:ascii="Times New Roman" w:hAnsi="Times New Roman"/>
          <w:lang w:val="bs-Latn-BA"/>
        </w:rPr>
        <w:t xml:space="preserve"> </w:t>
      </w:r>
      <w:r w:rsidR="00C6214E">
        <w:rPr>
          <w:rFonts w:ascii="Times New Roman" w:hAnsi="Times New Roman"/>
          <w:lang w:val="bs-Latn-BA"/>
        </w:rPr>
        <w:t>полова</w:t>
      </w:r>
      <w:r w:rsidR="00B26225" w:rsidRPr="00295637">
        <w:rPr>
          <w:rFonts w:ascii="Times New Roman" w:hAnsi="Times New Roman"/>
          <w:lang w:val="bs-Latn-BA"/>
        </w:rPr>
        <w:t xml:space="preserve"> </w:t>
      </w:r>
      <w:r w:rsidR="00C6214E">
        <w:rPr>
          <w:rFonts w:ascii="Times New Roman" w:hAnsi="Times New Roman"/>
          <w:lang w:val="bs-Latn-BA"/>
        </w:rPr>
        <w:t>у</w:t>
      </w:r>
      <w:r w:rsidR="006768EA" w:rsidRPr="00295637">
        <w:rPr>
          <w:rFonts w:ascii="Times New Roman" w:hAnsi="Times New Roman"/>
          <w:lang w:val="bs-Latn-BA"/>
        </w:rPr>
        <w:t xml:space="preserve"> </w:t>
      </w:r>
      <w:r w:rsidR="00C6214E">
        <w:rPr>
          <w:rFonts w:ascii="Times New Roman" w:hAnsi="Times New Roman"/>
          <w:lang w:val="bs-Latn-BA"/>
        </w:rPr>
        <w:t>овој</w:t>
      </w:r>
      <w:r w:rsidR="006768EA" w:rsidRPr="00295637">
        <w:rPr>
          <w:rFonts w:ascii="Times New Roman" w:hAnsi="Times New Roman"/>
          <w:lang w:val="bs-Latn-BA"/>
        </w:rPr>
        <w:t xml:space="preserve"> </w:t>
      </w:r>
      <w:r w:rsidR="00C6214E">
        <w:rPr>
          <w:rFonts w:ascii="Times New Roman" w:hAnsi="Times New Roman"/>
          <w:lang w:val="bs-Latn-BA"/>
        </w:rPr>
        <w:t>области</w:t>
      </w:r>
      <w:r w:rsidR="006768EA" w:rsidRPr="00295637">
        <w:rPr>
          <w:rFonts w:ascii="Times New Roman" w:hAnsi="Times New Roman"/>
          <w:lang w:val="bs-Latn-BA"/>
        </w:rPr>
        <w:t xml:space="preserve">. </w:t>
      </w:r>
      <w:r w:rsidR="00C6214E">
        <w:rPr>
          <w:rFonts w:ascii="Times New Roman" w:hAnsi="Times New Roman"/>
          <w:lang w:val="bs-Latn-BA"/>
        </w:rPr>
        <w:t>Прикупљање</w:t>
      </w:r>
      <w:r w:rsidR="006768EA" w:rsidRPr="00295637">
        <w:rPr>
          <w:rFonts w:ascii="Times New Roman" w:hAnsi="Times New Roman"/>
          <w:lang w:val="bs-Latn-BA"/>
        </w:rPr>
        <w:t xml:space="preserve"> </w:t>
      </w:r>
      <w:r w:rsidR="00C6214E">
        <w:rPr>
          <w:rFonts w:ascii="Times New Roman" w:hAnsi="Times New Roman"/>
          <w:lang w:val="bs-Latn-BA"/>
        </w:rPr>
        <w:t>података</w:t>
      </w:r>
      <w:r w:rsidR="006768EA" w:rsidRPr="00295637">
        <w:rPr>
          <w:rFonts w:ascii="Times New Roman" w:hAnsi="Times New Roman"/>
          <w:lang w:val="bs-Latn-BA"/>
        </w:rPr>
        <w:t xml:space="preserve"> </w:t>
      </w:r>
      <w:r w:rsidR="00C6214E">
        <w:rPr>
          <w:rFonts w:ascii="Times New Roman" w:hAnsi="Times New Roman"/>
          <w:lang w:val="bs-Latn-BA"/>
        </w:rPr>
        <w:t>о</w:t>
      </w:r>
      <w:r w:rsidR="006768EA" w:rsidRPr="00295637">
        <w:rPr>
          <w:rFonts w:ascii="Times New Roman" w:hAnsi="Times New Roman"/>
          <w:lang w:val="bs-Latn-BA"/>
        </w:rPr>
        <w:t xml:space="preserve"> </w:t>
      </w:r>
      <w:r w:rsidR="00C6214E">
        <w:rPr>
          <w:rFonts w:ascii="Times New Roman" w:hAnsi="Times New Roman"/>
          <w:lang w:val="bs-Latn-BA"/>
        </w:rPr>
        <w:t>родно</w:t>
      </w:r>
      <w:r w:rsidR="006768EA" w:rsidRPr="00295637">
        <w:rPr>
          <w:rFonts w:ascii="Times New Roman" w:hAnsi="Times New Roman"/>
          <w:lang w:val="bs-Latn-BA"/>
        </w:rPr>
        <w:t xml:space="preserve"> </w:t>
      </w:r>
      <w:r w:rsidR="00C6214E">
        <w:rPr>
          <w:rFonts w:ascii="Times New Roman" w:hAnsi="Times New Roman"/>
          <w:lang w:val="bs-Latn-BA"/>
        </w:rPr>
        <w:t>осјетљивим</w:t>
      </w:r>
      <w:r w:rsidR="006768EA" w:rsidRPr="00295637">
        <w:rPr>
          <w:rFonts w:ascii="Times New Roman" w:hAnsi="Times New Roman"/>
          <w:lang w:val="bs-Latn-BA"/>
        </w:rPr>
        <w:t xml:space="preserve"> </w:t>
      </w:r>
      <w:r w:rsidR="00C6214E">
        <w:rPr>
          <w:rFonts w:ascii="Times New Roman" w:hAnsi="Times New Roman"/>
          <w:lang w:val="bs-Latn-BA"/>
        </w:rPr>
        <w:t>ут</w:t>
      </w:r>
      <w:r>
        <w:rPr>
          <w:rFonts w:ascii="Times New Roman" w:hAnsi="Times New Roman"/>
          <w:lang w:val="sr-Cyrl-BA"/>
        </w:rPr>
        <w:t>и</w:t>
      </w:r>
      <w:r w:rsidR="00C6214E">
        <w:rPr>
          <w:rFonts w:ascii="Times New Roman" w:hAnsi="Times New Roman"/>
          <w:lang w:val="bs-Latn-BA"/>
        </w:rPr>
        <w:t>цајима</w:t>
      </w:r>
      <w:r w:rsidR="006768EA" w:rsidRPr="00295637">
        <w:rPr>
          <w:rFonts w:ascii="Times New Roman" w:hAnsi="Times New Roman"/>
          <w:lang w:val="bs-Latn-BA"/>
        </w:rPr>
        <w:t xml:space="preserve"> </w:t>
      </w:r>
      <w:r w:rsidR="00C6214E">
        <w:rPr>
          <w:rFonts w:ascii="Times New Roman" w:hAnsi="Times New Roman"/>
          <w:lang w:val="bs-Latn-BA"/>
        </w:rPr>
        <w:t>на</w:t>
      </w:r>
      <w:r w:rsidR="006768EA" w:rsidRPr="00295637">
        <w:rPr>
          <w:rFonts w:ascii="Times New Roman" w:hAnsi="Times New Roman"/>
          <w:lang w:val="bs-Latn-BA"/>
        </w:rPr>
        <w:t xml:space="preserve"> </w:t>
      </w:r>
      <w:r w:rsidR="00C6214E">
        <w:rPr>
          <w:rFonts w:ascii="Times New Roman" w:hAnsi="Times New Roman"/>
          <w:lang w:val="bs-Latn-BA"/>
        </w:rPr>
        <w:t>људско</w:t>
      </w:r>
      <w:r w:rsidR="006768EA" w:rsidRPr="00295637">
        <w:rPr>
          <w:rFonts w:ascii="Times New Roman" w:hAnsi="Times New Roman"/>
          <w:lang w:val="bs-Latn-BA"/>
        </w:rPr>
        <w:t xml:space="preserve"> </w:t>
      </w:r>
      <w:r w:rsidR="00C6214E">
        <w:rPr>
          <w:rFonts w:ascii="Times New Roman" w:hAnsi="Times New Roman"/>
          <w:lang w:val="bs-Latn-BA"/>
        </w:rPr>
        <w:t>здравље</w:t>
      </w:r>
      <w:r w:rsidR="006768EA" w:rsidRPr="00295637">
        <w:rPr>
          <w:rFonts w:ascii="Times New Roman" w:hAnsi="Times New Roman"/>
          <w:lang w:val="bs-Latn-BA"/>
        </w:rPr>
        <w:t xml:space="preserve"> </w:t>
      </w:r>
      <w:r w:rsidR="00C6214E">
        <w:rPr>
          <w:rFonts w:ascii="Times New Roman" w:hAnsi="Times New Roman"/>
          <w:lang w:val="bs-Latn-BA"/>
        </w:rPr>
        <w:t>и</w:t>
      </w:r>
      <w:r w:rsidR="006768EA" w:rsidRPr="00295637">
        <w:rPr>
          <w:rFonts w:ascii="Times New Roman" w:hAnsi="Times New Roman"/>
          <w:lang w:val="bs-Latn-BA"/>
        </w:rPr>
        <w:t xml:space="preserve"> </w:t>
      </w:r>
      <w:r w:rsidR="00C6214E">
        <w:rPr>
          <w:rFonts w:ascii="Times New Roman" w:hAnsi="Times New Roman"/>
          <w:lang w:val="bs-Latn-BA"/>
        </w:rPr>
        <w:t>изложености</w:t>
      </w:r>
      <w:r w:rsidR="006768EA" w:rsidRPr="00295637">
        <w:rPr>
          <w:rFonts w:ascii="Times New Roman" w:hAnsi="Times New Roman"/>
          <w:lang w:val="bs-Latn-BA"/>
        </w:rPr>
        <w:t xml:space="preserve"> </w:t>
      </w:r>
      <w:r w:rsidR="00C6214E">
        <w:rPr>
          <w:rFonts w:ascii="Times New Roman" w:hAnsi="Times New Roman"/>
          <w:lang w:val="bs-Latn-BA"/>
        </w:rPr>
        <w:t>природним</w:t>
      </w:r>
      <w:r w:rsidR="006768EA" w:rsidRPr="00295637">
        <w:rPr>
          <w:rFonts w:ascii="Times New Roman" w:hAnsi="Times New Roman"/>
          <w:lang w:val="bs-Latn-BA"/>
        </w:rPr>
        <w:t xml:space="preserve"> </w:t>
      </w:r>
      <w:r w:rsidR="00C6214E">
        <w:rPr>
          <w:rFonts w:ascii="Times New Roman" w:hAnsi="Times New Roman"/>
          <w:lang w:val="bs-Latn-BA"/>
        </w:rPr>
        <w:t>катастрофама</w:t>
      </w:r>
      <w:r w:rsidR="006768EA" w:rsidRPr="00295637">
        <w:rPr>
          <w:rFonts w:ascii="Times New Roman" w:hAnsi="Times New Roman"/>
          <w:lang w:val="bs-Latn-BA"/>
        </w:rPr>
        <w:t xml:space="preserve"> </w:t>
      </w:r>
      <w:r w:rsidR="00C6214E">
        <w:rPr>
          <w:rFonts w:ascii="Times New Roman" w:hAnsi="Times New Roman"/>
          <w:lang w:val="bs-Latn-BA"/>
        </w:rPr>
        <w:t>кључно</w:t>
      </w:r>
      <w:r w:rsidR="006768EA" w:rsidRPr="00295637">
        <w:rPr>
          <w:rFonts w:ascii="Times New Roman" w:hAnsi="Times New Roman"/>
          <w:lang w:val="bs-Latn-BA"/>
        </w:rPr>
        <w:t xml:space="preserve"> </w:t>
      </w:r>
      <w:r w:rsidR="00C6214E">
        <w:rPr>
          <w:rFonts w:ascii="Times New Roman" w:hAnsi="Times New Roman"/>
          <w:lang w:val="bs-Latn-BA"/>
        </w:rPr>
        <w:t>је</w:t>
      </w:r>
      <w:r w:rsidR="006768EA" w:rsidRPr="00295637">
        <w:rPr>
          <w:rFonts w:ascii="Times New Roman" w:hAnsi="Times New Roman"/>
          <w:lang w:val="bs-Latn-BA"/>
        </w:rPr>
        <w:t xml:space="preserve"> </w:t>
      </w:r>
      <w:r w:rsidR="00C6214E">
        <w:rPr>
          <w:rFonts w:ascii="Times New Roman" w:hAnsi="Times New Roman"/>
          <w:lang w:val="bs-Latn-BA"/>
        </w:rPr>
        <w:t>за</w:t>
      </w:r>
      <w:r w:rsidR="006768EA" w:rsidRPr="00295637">
        <w:rPr>
          <w:rFonts w:ascii="Times New Roman" w:hAnsi="Times New Roman"/>
          <w:lang w:val="bs-Latn-BA"/>
        </w:rPr>
        <w:t xml:space="preserve"> </w:t>
      </w:r>
      <w:r w:rsidR="00C6214E">
        <w:rPr>
          <w:rFonts w:ascii="Times New Roman" w:hAnsi="Times New Roman"/>
          <w:lang w:val="bs-Latn-BA"/>
        </w:rPr>
        <w:t>ефикасније</w:t>
      </w:r>
      <w:r w:rsidR="006768EA" w:rsidRPr="00295637">
        <w:rPr>
          <w:rFonts w:ascii="Times New Roman" w:hAnsi="Times New Roman"/>
          <w:lang w:val="bs-Latn-BA"/>
        </w:rPr>
        <w:t xml:space="preserve"> </w:t>
      </w:r>
      <w:r w:rsidR="00C6214E">
        <w:rPr>
          <w:rFonts w:ascii="Times New Roman" w:hAnsi="Times New Roman"/>
          <w:lang w:val="bs-Latn-BA"/>
        </w:rPr>
        <w:t>планирање</w:t>
      </w:r>
      <w:r w:rsidR="006768EA" w:rsidRPr="00295637">
        <w:rPr>
          <w:rFonts w:ascii="Times New Roman" w:hAnsi="Times New Roman"/>
          <w:lang w:val="bs-Latn-BA"/>
        </w:rPr>
        <w:t xml:space="preserve"> </w:t>
      </w:r>
      <w:r w:rsidR="00C6214E">
        <w:rPr>
          <w:rFonts w:ascii="Times New Roman" w:hAnsi="Times New Roman"/>
          <w:lang w:val="bs-Latn-BA"/>
        </w:rPr>
        <w:t>мјера</w:t>
      </w:r>
      <w:r w:rsidR="006768EA" w:rsidRPr="00295637">
        <w:rPr>
          <w:rFonts w:ascii="Times New Roman" w:hAnsi="Times New Roman"/>
          <w:lang w:val="bs-Latn-BA"/>
        </w:rPr>
        <w:t xml:space="preserve"> </w:t>
      </w:r>
      <w:r w:rsidR="00C6214E">
        <w:rPr>
          <w:rFonts w:ascii="Times New Roman" w:hAnsi="Times New Roman"/>
          <w:lang w:val="bs-Latn-BA"/>
        </w:rPr>
        <w:t>прилагођених</w:t>
      </w:r>
      <w:r w:rsidR="006768EA" w:rsidRPr="00295637">
        <w:rPr>
          <w:rFonts w:ascii="Times New Roman" w:hAnsi="Times New Roman"/>
          <w:lang w:val="bs-Latn-BA"/>
        </w:rPr>
        <w:t xml:space="preserve"> </w:t>
      </w:r>
      <w:r w:rsidR="00C6214E">
        <w:rPr>
          <w:rFonts w:ascii="Times New Roman" w:hAnsi="Times New Roman"/>
          <w:lang w:val="bs-Latn-BA"/>
        </w:rPr>
        <w:t>специфичним</w:t>
      </w:r>
      <w:r w:rsidR="006768EA" w:rsidRPr="00295637">
        <w:rPr>
          <w:rFonts w:ascii="Times New Roman" w:hAnsi="Times New Roman"/>
          <w:lang w:val="bs-Latn-BA"/>
        </w:rPr>
        <w:t xml:space="preserve"> </w:t>
      </w:r>
      <w:r w:rsidR="00C6214E">
        <w:rPr>
          <w:rFonts w:ascii="Times New Roman" w:hAnsi="Times New Roman"/>
          <w:lang w:val="bs-Latn-BA"/>
        </w:rPr>
        <w:t>потребама</w:t>
      </w:r>
      <w:r w:rsidR="006768EA" w:rsidRPr="00295637">
        <w:rPr>
          <w:rFonts w:ascii="Times New Roman" w:hAnsi="Times New Roman"/>
          <w:lang w:val="bs-Latn-BA"/>
        </w:rPr>
        <w:t xml:space="preserve"> </w:t>
      </w:r>
      <w:r w:rsidR="00C6214E">
        <w:rPr>
          <w:rFonts w:ascii="Times New Roman" w:hAnsi="Times New Roman"/>
          <w:lang w:val="bs-Latn-BA"/>
        </w:rPr>
        <w:t>жена</w:t>
      </w:r>
      <w:r w:rsidR="006768EA" w:rsidRPr="00295637">
        <w:rPr>
          <w:rFonts w:ascii="Times New Roman" w:hAnsi="Times New Roman"/>
          <w:lang w:val="bs-Latn-BA"/>
        </w:rPr>
        <w:t xml:space="preserve"> </w:t>
      </w:r>
      <w:r w:rsidR="00C6214E">
        <w:rPr>
          <w:rFonts w:ascii="Times New Roman" w:hAnsi="Times New Roman"/>
          <w:lang w:val="bs-Latn-BA"/>
        </w:rPr>
        <w:t>и</w:t>
      </w:r>
      <w:r w:rsidR="006768EA" w:rsidRPr="00295637">
        <w:rPr>
          <w:rFonts w:ascii="Times New Roman" w:hAnsi="Times New Roman"/>
          <w:lang w:val="bs-Latn-BA"/>
        </w:rPr>
        <w:t xml:space="preserve"> </w:t>
      </w:r>
      <w:r w:rsidR="00C6214E">
        <w:rPr>
          <w:rFonts w:ascii="Times New Roman" w:hAnsi="Times New Roman"/>
          <w:lang w:val="bs-Latn-BA"/>
        </w:rPr>
        <w:t>других</w:t>
      </w:r>
      <w:r w:rsidR="006768EA" w:rsidRPr="00295637">
        <w:rPr>
          <w:rFonts w:ascii="Times New Roman" w:hAnsi="Times New Roman"/>
          <w:lang w:val="bs-Latn-BA"/>
        </w:rPr>
        <w:t xml:space="preserve"> </w:t>
      </w:r>
      <w:r w:rsidR="00C6214E">
        <w:rPr>
          <w:rFonts w:ascii="Times New Roman" w:hAnsi="Times New Roman"/>
          <w:lang w:val="bs-Latn-BA"/>
        </w:rPr>
        <w:t>рањивих</w:t>
      </w:r>
      <w:r w:rsidR="006768EA" w:rsidRPr="00295637">
        <w:rPr>
          <w:rFonts w:ascii="Times New Roman" w:hAnsi="Times New Roman"/>
          <w:lang w:val="bs-Latn-BA"/>
        </w:rPr>
        <w:t xml:space="preserve"> </w:t>
      </w:r>
      <w:r w:rsidR="00C6214E">
        <w:rPr>
          <w:rFonts w:ascii="Times New Roman" w:hAnsi="Times New Roman"/>
          <w:lang w:val="bs-Latn-BA"/>
        </w:rPr>
        <w:t>група</w:t>
      </w:r>
      <w:r w:rsidR="006768EA" w:rsidRPr="00295637">
        <w:rPr>
          <w:rFonts w:ascii="Times New Roman" w:hAnsi="Times New Roman"/>
          <w:lang w:val="bs-Latn-BA"/>
        </w:rPr>
        <w:t xml:space="preserve">. </w:t>
      </w:r>
      <w:r w:rsidR="00C6214E">
        <w:rPr>
          <w:rFonts w:ascii="Times New Roman" w:hAnsi="Times New Roman"/>
          <w:lang w:val="bs-Latn-BA"/>
        </w:rPr>
        <w:t>Ове</w:t>
      </w:r>
      <w:r w:rsidR="006768EA" w:rsidRPr="00295637">
        <w:rPr>
          <w:rFonts w:ascii="Times New Roman" w:hAnsi="Times New Roman"/>
          <w:lang w:val="bs-Latn-BA"/>
        </w:rPr>
        <w:t xml:space="preserve"> </w:t>
      </w:r>
      <w:r w:rsidR="00C6214E">
        <w:rPr>
          <w:rFonts w:ascii="Times New Roman" w:hAnsi="Times New Roman"/>
          <w:lang w:val="bs-Latn-BA"/>
        </w:rPr>
        <w:t>активности</w:t>
      </w:r>
      <w:r w:rsidR="006768EA" w:rsidRPr="00295637">
        <w:rPr>
          <w:rFonts w:ascii="Times New Roman" w:hAnsi="Times New Roman"/>
          <w:lang w:val="bs-Latn-BA"/>
        </w:rPr>
        <w:t xml:space="preserve"> </w:t>
      </w:r>
      <w:r w:rsidR="00C6214E">
        <w:rPr>
          <w:rFonts w:ascii="Times New Roman" w:hAnsi="Times New Roman"/>
          <w:lang w:val="bs-Latn-BA"/>
        </w:rPr>
        <w:t>дио</w:t>
      </w:r>
      <w:r w:rsidR="006768EA" w:rsidRPr="00295637">
        <w:rPr>
          <w:rFonts w:ascii="Times New Roman" w:hAnsi="Times New Roman"/>
          <w:lang w:val="bs-Latn-BA"/>
        </w:rPr>
        <w:t xml:space="preserve"> </w:t>
      </w:r>
      <w:r w:rsidR="00C6214E">
        <w:rPr>
          <w:rFonts w:ascii="Times New Roman" w:hAnsi="Times New Roman"/>
          <w:lang w:val="bs-Latn-BA"/>
        </w:rPr>
        <w:t>су</w:t>
      </w:r>
      <w:r w:rsidR="006768EA" w:rsidRPr="00295637">
        <w:rPr>
          <w:rFonts w:ascii="Times New Roman" w:hAnsi="Times New Roman"/>
          <w:lang w:val="bs-Latn-BA"/>
        </w:rPr>
        <w:t xml:space="preserve"> </w:t>
      </w:r>
      <w:r w:rsidR="00C6214E">
        <w:rPr>
          <w:rFonts w:ascii="Times New Roman" w:hAnsi="Times New Roman"/>
          <w:lang w:val="bs-Latn-BA"/>
        </w:rPr>
        <w:t>дугорочног</w:t>
      </w:r>
      <w:r w:rsidR="006768EA" w:rsidRPr="00295637">
        <w:rPr>
          <w:rFonts w:ascii="Times New Roman" w:hAnsi="Times New Roman"/>
          <w:lang w:val="bs-Latn-BA"/>
        </w:rPr>
        <w:t xml:space="preserve"> </w:t>
      </w:r>
      <w:r w:rsidR="00C6214E">
        <w:rPr>
          <w:rFonts w:ascii="Times New Roman" w:hAnsi="Times New Roman"/>
          <w:lang w:val="bs-Latn-BA"/>
        </w:rPr>
        <w:t>процеса</w:t>
      </w:r>
      <w:r w:rsidR="006768EA" w:rsidRPr="00295637">
        <w:rPr>
          <w:rFonts w:ascii="Times New Roman" w:hAnsi="Times New Roman"/>
          <w:lang w:val="bs-Latn-BA"/>
        </w:rPr>
        <w:t xml:space="preserve">, </w:t>
      </w:r>
      <w:r w:rsidR="00C6214E">
        <w:rPr>
          <w:rFonts w:ascii="Times New Roman" w:hAnsi="Times New Roman"/>
          <w:lang w:val="bs-Latn-BA"/>
        </w:rPr>
        <w:t>а</w:t>
      </w:r>
      <w:r w:rsidR="006768EA" w:rsidRPr="00295637">
        <w:rPr>
          <w:rFonts w:ascii="Times New Roman" w:hAnsi="Times New Roman"/>
          <w:lang w:val="bs-Latn-BA"/>
        </w:rPr>
        <w:t xml:space="preserve"> </w:t>
      </w:r>
      <w:r w:rsidR="00C6214E">
        <w:rPr>
          <w:rFonts w:ascii="Times New Roman" w:hAnsi="Times New Roman"/>
          <w:lang w:val="bs-Latn-BA"/>
        </w:rPr>
        <w:t>информаци</w:t>
      </w:r>
      <w:r>
        <w:rPr>
          <w:rFonts w:ascii="Times New Roman" w:hAnsi="Times New Roman"/>
          <w:lang w:val="sr-Cyrl-BA"/>
        </w:rPr>
        <w:t>они</w:t>
      </w:r>
      <w:r w:rsidR="006768EA" w:rsidRPr="00295637">
        <w:rPr>
          <w:rFonts w:ascii="Times New Roman" w:hAnsi="Times New Roman"/>
          <w:lang w:val="bs-Latn-BA"/>
        </w:rPr>
        <w:t xml:space="preserve"> </w:t>
      </w:r>
      <w:r w:rsidR="00C6214E">
        <w:rPr>
          <w:rFonts w:ascii="Times New Roman" w:hAnsi="Times New Roman"/>
          <w:lang w:val="bs-Latn-BA"/>
        </w:rPr>
        <w:t>систем</w:t>
      </w:r>
      <w:r w:rsidR="006768EA" w:rsidRPr="00295637">
        <w:rPr>
          <w:rFonts w:ascii="Times New Roman" w:hAnsi="Times New Roman"/>
          <w:lang w:val="bs-Latn-BA"/>
        </w:rPr>
        <w:t xml:space="preserve"> </w:t>
      </w:r>
      <w:r w:rsidR="00C6214E">
        <w:rPr>
          <w:rFonts w:ascii="Times New Roman" w:hAnsi="Times New Roman"/>
          <w:lang w:val="bs-Latn-BA"/>
        </w:rPr>
        <w:t>Фонда</w:t>
      </w:r>
      <w:r w:rsidR="006768EA" w:rsidRPr="00295637">
        <w:rPr>
          <w:rFonts w:ascii="Times New Roman" w:hAnsi="Times New Roman"/>
          <w:lang w:val="bs-Latn-BA"/>
        </w:rPr>
        <w:t xml:space="preserve"> </w:t>
      </w:r>
      <w:r w:rsidR="00C6214E">
        <w:rPr>
          <w:rFonts w:ascii="Times New Roman" w:hAnsi="Times New Roman"/>
          <w:lang w:val="bs-Latn-BA"/>
        </w:rPr>
        <w:t>за</w:t>
      </w:r>
      <w:r w:rsidR="006768EA" w:rsidRPr="00295637">
        <w:rPr>
          <w:rFonts w:ascii="Times New Roman" w:hAnsi="Times New Roman"/>
          <w:lang w:val="bs-Latn-BA"/>
        </w:rPr>
        <w:t xml:space="preserve"> </w:t>
      </w:r>
      <w:r w:rsidR="00C6214E">
        <w:rPr>
          <w:rFonts w:ascii="Times New Roman" w:hAnsi="Times New Roman"/>
          <w:lang w:val="bs-Latn-BA"/>
        </w:rPr>
        <w:t>заштиту</w:t>
      </w:r>
      <w:r w:rsidR="006768EA" w:rsidRPr="00295637">
        <w:rPr>
          <w:rFonts w:ascii="Times New Roman" w:hAnsi="Times New Roman"/>
          <w:lang w:val="bs-Latn-BA"/>
        </w:rPr>
        <w:t xml:space="preserve"> </w:t>
      </w:r>
      <w:r>
        <w:rPr>
          <w:rFonts w:ascii="Times New Roman" w:hAnsi="Times New Roman"/>
          <w:lang w:val="sr-Cyrl-BA"/>
        </w:rPr>
        <w:t>животне средине</w:t>
      </w:r>
      <w:r w:rsidR="006768EA" w:rsidRPr="00295637">
        <w:rPr>
          <w:rFonts w:ascii="Times New Roman" w:hAnsi="Times New Roman"/>
          <w:lang w:val="bs-Latn-BA"/>
        </w:rPr>
        <w:t xml:space="preserve"> </w:t>
      </w:r>
      <w:r w:rsidR="00C6214E">
        <w:rPr>
          <w:rFonts w:ascii="Times New Roman" w:hAnsi="Times New Roman"/>
          <w:lang w:val="bs-Latn-BA"/>
        </w:rPr>
        <w:t>тренутно</w:t>
      </w:r>
      <w:r w:rsidR="006768EA" w:rsidRPr="00295637">
        <w:rPr>
          <w:rFonts w:ascii="Times New Roman" w:hAnsi="Times New Roman"/>
          <w:lang w:val="bs-Latn-BA"/>
        </w:rPr>
        <w:t xml:space="preserve"> </w:t>
      </w:r>
      <w:r w:rsidR="00C6214E">
        <w:rPr>
          <w:rFonts w:ascii="Times New Roman" w:hAnsi="Times New Roman"/>
          <w:lang w:val="bs-Latn-BA"/>
        </w:rPr>
        <w:t>је</w:t>
      </w:r>
      <w:r w:rsidR="006768EA" w:rsidRPr="00295637">
        <w:rPr>
          <w:rFonts w:ascii="Times New Roman" w:hAnsi="Times New Roman"/>
          <w:lang w:val="bs-Latn-BA"/>
        </w:rPr>
        <w:t xml:space="preserve"> </w:t>
      </w:r>
      <w:r w:rsidR="00C6214E">
        <w:rPr>
          <w:rFonts w:ascii="Times New Roman" w:hAnsi="Times New Roman"/>
          <w:lang w:val="bs-Latn-BA"/>
        </w:rPr>
        <w:t>у</w:t>
      </w:r>
      <w:r w:rsidR="006768EA" w:rsidRPr="00295637">
        <w:rPr>
          <w:rFonts w:ascii="Times New Roman" w:hAnsi="Times New Roman"/>
          <w:lang w:val="bs-Latn-BA"/>
        </w:rPr>
        <w:t xml:space="preserve"> </w:t>
      </w:r>
      <w:r w:rsidR="00C6214E">
        <w:rPr>
          <w:rFonts w:ascii="Times New Roman" w:hAnsi="Times New Roman"/>
          <w:lang w:val="bs-Latn-BA"/>
        </w:rPr>
        <w:t>фази</w:t>
      </w:r>
      <w:r w:rsidR="006768EA" w:rsidRPr="00295637">
        <w:rPr>
          <w:rFonts w:ascii="Times New Roman" w:hAnsi="Times New Roman"/>
          <w:lang w:val="bs-Latn-BA"/>
        </w:rPr>
        <w:t xml:space="preserve"> </w:t>
      </w:r>
      <w:r w:rsidR="00C6214E">
        <w:rPr>
          <w:rFonts w:ascii="Times New Roman" w:hAnsi="Times New Roman"/>
          <w:lang w:val="bs-Latn-BA"/>
        </w:rPr>
        <w:t>развоја</w:t>
      </w:r>
      <w:r w:rsidR="006768EA" w:rsidRPr="00295637">
        <w:rPr>
          <w:rFonts w:ascii="Times New Roman" w:hAnsi="Times New Roman"/>
          <w:lang w:val="bs-Latn-BA"/>
        </w:rPr>
        <w:t xml:space="preserve">, </w:t>
      </w:r>
      <w:r>
        <w:rPr>
          <w:rFonts w:ascii="Times New Roman" w:hAnsi="Times New Roman"/>
          <w:lang w:val="sr-Cyrl-BA"/>
        </w:rPr>
        <w:t>с</w:t>
      </w:r>
      <w:r w:rsidR="006768EA" w:rsidRPr="00295637">
        <w:rPr>
          <w:rFonts w:ascii="Times New Roman" w:hAnsi="Times New Roman"/>
          <w:lang w:val="bs-Latn-BA"/>
        </w:rPr>
        <w:t xml:space="preserve"> </w:t>
      </w:r>
      <w:r w:rsidR="00C6214E">
        <w:rPr>
          <w:rFonts w:ascii="Times New Roman" w:hAnsi="Times New Roman"/>
          <w:lang w:val="bs-Latn-BA"/>
        </w:rPr>
        <w:t>циљ</w:t>
      </w:r>
      <w:r>
        <w:rPr>
          <w:rFonts w:ascii="Times New Roman" w:hAnsi="Times New Roman"/>
          <w:lang w:val="sr-Cyrl-BA"/>
        </w:rPr>
        <w:t>ем</w:t>
      </w:r>
      <w:r w:rsidR="006768EA" w:rsidRPr="00295637">
        <w:rPr>
          <w:rFonts w:ascii="Times New Roman" w:hAnsi="Times New Roman"/>
          <w:lang w:val="bs-Latn-BA"/>
        </w:rPr>
        <w:t xml:space="preserve"> </w:t>
      </w:r>
      <w:r w:rsidR="00C6214E">
        <w:rPr>
          <w:rFonts w:ascii="Times New Roman" w:hAnsi="Times New Roman"/>
          <w:lang w:val="bs-Latn-BA"/>
        </w:rPr>
        <w:t>о</w:t>
      </w:r>
      <w:r>
        <w:rPr>
          <w:rFonts w:ascii="Times New Roman" w:hAnsi="Times New Roman"/>
          <w:lang w:val="sr-Cyrl-BA"/>
        </w:rPr>
        <w:t>безбјеђења</w:t>
      </w:r>
      <w:r w:rsidR="006768EA" w:rsidRPr="00295637">
        <w:rPr>
          <w:rFonts w:ascii="Times New Roman" w:hAnsi="Times New Roman"/>
          <w:lang w:val="bs-Latn-BA"/>
        </w:rPr>
        <w:t xml:space="preserve"> </w:t>
      </w:r>
      <w:r w:rsidR="00C6214E">
        <w:rPr>
          <w:rFonts w:ascii="Times New Roman" w:hAnsi="Times New Roman"/>
          <w:lang w:val="bs-Latn-BA"/>
        </w:rPr>
        <w:t>системског</w:t>
      </w:r>
      <w:r w:rsidR="006768EA" w:rsidRPr="00295637">
        <w:rPr>
          <w:rFonts w:ascii="Times New Roman" w:hAnsi="Times New Roman"/>
          <w:lang w:val="bs-Latn-BA"/>
        </w:rPr>
        <w:t xml:space="preserve"> </w:t>
      </w:r>
      <w:r w:rsidR="00C6214E">
        <w:rPr>
          <w:rFonts w:ascii="Times New Roman" w:hAnsi="Times New Roman"/>
          <w:lang w:val="bs-Latn-BA"/>
        </w:rPr>
        <w:t>и</w:t>
      </w:r>
      <w:r w:rsidR="006768EA" w:rsidRPr="00295637">
        <w:rPr>
          <w:rFonts w:ascii="Times New Roman" w:hAnsi="Times New Roman"/>
          <w:lang w:val="bs-Latn-BA"/>
        </w:rPr>
        <w:t xml:space="preserve"> </w:t>
      </w:r>
      <w:r w:rsidR="00C6214E">
        <w:rPr>
          <w:rFonts w:ascii="Times New Roman" w:hAnsi="Times New Roman"/>
          <w:lang w:val="bs-Latn-BA"/>
        </w:rPr>
        <w:t>континуираног</w:t>
      </w:r>
      <w:r w:rsidR="006768EA" w:rsidRPr="00295637">
        <w:rPr>
          <w:rFonts w:ascii="Times New Roman" w:hAnsi="Times New Roman"/>
          <w:lang w:val="bs-Latn-BA"/>
        </w:rPr>
        <w:t xml:space="preserve"> </w:t>
      </w:r>
      <w:r w:rsidR="00C6214E">
        <w:rPr>
          <w:rFonts w:ascii="Times New Roman" w:hAnsi="Times New Roman"/>
          <w:lang w:val="bs-Latn-BA"/>
        </w:rPr>
        <w:t>прикупљања</w:t>
      </w:r>
      <w:r w:rsidR="006768EA" w:rsidRPr="00295637">
        <w:rPr>
          <w:rFonts w:ascii="Times New Roman" w:hAnsi="Times New Roman"/>
          <w:lang w:val="bs-Latn-BA"/>
        </w:rPr>
        <w:t xml:space="preserve"> </w:t>
      </w:r>
      <w:r w:rsidR="00C6214E">
        <w:rPr>
          <w:rFonts w:ascii="Times New Roman" w:hAnsi="Times New Roman"/>
          <w:lang w:val="bs-Latn-BA"/>
        </w:rPr>
        <w:t>података</w:t>
      </w:r>
      <w:r w:rsidR="006768EA" w:rsidRPr="00295637">
        <w:rPr>
          <w:rFonts w:ascii="Times New Roman" w:hAnsi="Times New Roman"/>
          <w:lang w:val="bs-Latn-BA"/>
        </w:rPr>
        <w:t xml:space="preserve"> </w:t>
      </w:r>
      <w:r w:rsidR="00C6214E">
        <w:rPr>
          <w:rFonts w:ascii="Times New Roman" w:hAnsi="Times New Roman"/>
          <w:lang w:val="bs-Latn-BA"/>
        </w:rPr>
        <w:t>релевантних</w:t>
      </w:r>
      <w:r w:rsidR="006768EA" w:rsidRPr="00295637">
        <w:rPr>
          <w:rFonts w:ascii="Times New Roman" w:hAnsi="Times New Roman"/>
          <w:lang w:val="bs-Latn-BA"/>
        </w:rPr>
        <w:t xml:space="preserve"> </w:t>
      </w:r>
      <w:r w:rsidR="00C6214E">
        <w:rPr>
          <w:rFonts w:ascii="Times New Roman" w:hAnsi="Times New Roman"/>
          <w:lang w:val="bs-Latn-BA"/>
        </w:rPr>
        <w:t>за</w:t>
      </w:r>
      <w:r w:rsidR="006768EA" w:rsidRPr="00295637">
        <w:rPr>
          <w:rFonts w:ascii="Times New Roman" w:hAnsi="Times New Roman"/>
          <w:lang w:val="bs-Latn-BA"/>
        </w:rPr>
        <w:t xml:space="preserve"> </w:t>
      </w:r>
      <w:r w:rsidR="00C6214E">
        <w:rPr>
          <w:rFonts w:ascii="Times New Roman" w:hAnsi="Times New Roman"/>
          <w:lang w:val="bs-Latn-BA"/>
        </w:rPr>
        <w:t>равноправност</w:t>
      </w:r>
      <w:r w:rsidR="006768EA" w:rsidRPr="00295637">
        <w:rPr>
          <w:rFonts w:ascii="Times New Roman" w:hAnsi="Times New Roman"/>
          <w:lang w:val="bs-Latn-BA"/>
        </w:rPr>
        <w:t xml:space="preserve"> </w:t>
      </w:r>
      <w:r w:rsidR="00C6214E">
        <w:rPr>
          <w:rFonts w:ascii="Times New Roman" w:hAnsi="Times New Roman"/>
          <w:lang w:val="bs-Latn-BA"/>
        </w:rPr>
        <w:t>полова</w:t>
      </w:r>
      <w:r w:rsidR="006768EA" w:rsidRPr="00295637">
        <w:rPr>
          <w:rFonts w:ascii="Times New Roman" w:hAnsi="Times New Roman"/>
          <w:lang w:val="bs-Latn-BA"/>
        </w:rPr>
        <w:t xml:space="preserve"> </w:t>
      </w:r>
      <w:r w:rsidR="00C6214E">
        <w:rPr>
          <w:rFonts w:ascii="Times New Roman" w:hAnsi="Times New Roman"/>
          <w:lang w:val="bs-Latn-BA"/>
        </w:rPr>
        <w:t>у</w:t>
      </w:r>
      <w:r w:rsidR="006768EA" w:rsidRPr="00295637">
        <w:rPr>
          <w:rFonts w:ascii="Times New Roman" w:hAnsi="Times New Roman"/>
          <w:lang w:val="bs-Latn-BA"/>
        </w:rPr>
        <w:t xml:space="preserve"> </w:t>
      </w:r>
      <w:r w:rsidR="00C6214E">
        <w:rPr>
          <w:rFonts w:ascii="Times New Roman" w:hAnsi="Times New Roman"/>
          <w:lang w:val="bs-Latn-BA"/>
        </w:rPr>
        <w:t>заштити</w:t>
      </w:r>
      <w:r w:rsidR="006768EA" w:rsidRPr="00295637">
        <w:rPr>
          <w:rFonts w:ascii="Times New Roman" w:hAnsi="Times New Roman"/>
          <w:lang w:val="bs-Latn-BA"/>
        </w:rPr>
        <w:t xml:space="preserve"> </w:t>
      </w:r>
      <w:r>
        <w:rPr>
          <w:rFonts w:ascii="Times New Roman" w:hAnsi="Times New Roman"/>
          <w:lang w:val="sr-Cyrl-BA"/>
        </w:rPr>
        <w:t>животне средине</w:t>
      </w:r>
      <w:r w:rsidR="006768EA" w:rsidRPr="00295637">
        <w:rPr>
          <w:rFonts w:ascii="Times New Roman" w:hAnsi="Times New Roman"/>
          <w:lang w:val="bs-Latn-BA"/>
        </w:rPr>
        <w:t xml:space="preserve"> </w:t>
      </w:r>
      <w:r w:rsidR="00C6214E">
        <w:rPr>
          <w:rFonts w:ascii="Times New Roman" w:hAnsi="Times New Roman"/>
          <w:lang w:val="bs-Latn-BA"/>
        </w:rPr>
        <w:t>и</w:t>
      </w:r>
      <w:r w:rsidR="006768EA" w:rsidRPr="00295637">
        <w:rPr>
          <w:rFonts w:ascii="Times New Roman" w:hAnsi="Times New Roman"/>
          <w:lang w:val="bs-Latn-BA"/>
        </w:rPr>
        <w:t xml:space="preserve"> </w:t>
      </w:r>
      <w:r w:rsidR="00C6214E">
        <w:rPr>
          <w:rFonts w:ascii="Times New Roman" w:hAnsi="Times New Roman"/>
          <w:lang w:val="bs-Latn-BA"/>
        </w:rPr>
        <w:t>климатским</w:t>
      </w:r>
      <w:r w:rsidR="006768EA" w:rsidRPr="00295637">
        <w:rPr>
          <w:rFonts w:ascii="Times New Roman" w:hAnsi="Times New Roman"/>
          <w:lang w:val="bs-Latn-BA"/>
        </w:rPr>
        <w:t xml:space="preserve"> </w:t>
      </w:r>
      <w:r w:rsidR="00C6214E">
        <w:rPr>
          <w:rFonts w:ascii="Times New Roman" w:hAnsi="Times New Roman"/>
          <w:lang w:val="bs-Latn-BA"/>
        </w:rPr>
        <w:t>политикама</w:t>
      </w:r>
      <w:r w:rsidR="006768EA" w:rsidRPr="00295637">
        <w:rPr>
          <w:rFonts w:ascii="Times New Roman" w:hAnsi="Times New Roman"/>
          <w:lang w:val="bs-Latn-BA"/>
        </w:rPr>
        <w:t>.</w:t>
      </w:r>
    </w:p>
    <w:p w:rsidR="00A57F15" w:rsidRPr="00295637" w:rsidRDefault="00A57F15" w:rsidP="0086268D">
      <w:pPr>
        <w:jc w:val="both"/>
        <w:rPr>
          <w:rFonts w:ascii="Times New Roman" w:hAnsi="Times New Roman"/>
          <w:szCs w:val="24"/>
        </w:rPr>
      </w:pPr>
    </w:p>
    <w:p w:rsidR="006B7252" w:rsidRPr="00295637" w:rsidRDefault="00C6214E" w:rsidP="0086268D">
      <w:pPr>
        <w:pStyle w:val="ListParagraph"/>
        <w:ind w:left="0"/>
        <w:jc w:val="both"/>
        <w:rPr>
          <w:rFonts w:ascii="Times New Roman" w:hAnsi="Times New Roman"/>
          <w:lang w:val="sr-Latn-BA"/>
        </w:rPr>
      </w:pPr>
      <w:r>
        <w:rPr>
          <w:rFonts w:ascii="Times New Roman" w:hAnsi="Times New Roman"/>
          <w:lang w:val="sr-Cyrl-BA"/>
        </w:rPr>
        <w:t>Стратегија</w:t>
      </w:r>
      <w:r w:rsidR="00E1132E" w:rsidRPr="00295637">
        <w:rPr>
          <w:rFonts w:ascii="Times New Roman" w:hAnsi="Times New Roman"/>
          <w:lang w:val="sr-Cyrl-BA"/>
        </w:rPr>
        <w:t xml:space="preserve"> </w:t>
      </w:r>
      <w:r>
        <w:rPr>
          <w:rFonts w:ascii="Times New Roman" w:hAnsi="Times New Roman"/>
          <w:lang w:val="sr-Cyrl-BA"/>
        </w:rPr>
        <w:t>заштите</w:t>
      </w:r>
      <w:r w:rsidR="00E1132E" w:rsidRPr="00295637">
        <w:rPr>
          <w:rFonts w:ascii="Times New Roman" w:hAnsi="Times New Roman"/>
          <w:lang w:val="sr-Cyrl-BA"/>
        </w:rPr>
        <w:t xml:space="preserve"> </w:t>
      </w:r>
      <w:r>
        <w:rPr>
          <w:rFonts w:ascii="Times New Roman" w:hAnsi="Times New Roman"/>
          <w:lang w:val="sr-Cyrl-BA"/>
        </w:rPr>
        <w:t>животне</w:t>
      </w:r>
      <w:r w:rsidR="00E1132E" w:rsidRPr="00295637">
        <w:rPr>
          <w:rFonts w:ascii="Times New Roman" w:hAnsi="Times New Roman"/>
          <w:lang w:val="sr-Cyrl-BA"/>
        </w:rPr>
        <w:t xml:space="preserve"> </w:t>
      </w:r>
      <w:r>
        <w:rPr>
          <w:rFonts w:ascii="Times New Roman" w:hAnsi="Times New Roman"/>
          <w:lang w:val="sr-Cyrl-BA"/>
        </w:rPr>
        <w:t>средине</w:t>
      </w:r>
      <w:r w:rsidR="00E1132E" w:rsidRPr="00295637">
        <w:rPr>
          <w:rFonts w:ascii="Times New Roman" w:hAnsi="Times New Roman"/>
          <w:lang w:val="sr-Cyrl-BA"/>
        </w:rPr>
        <w:t xml:space="preserve"> </w:t>
      </w:r>
      <w:r>
        <w:rPr>
          <w:rFonts w:ascii="Times New Roman" w:hAnsi="Times New Roman"/>
          <w:lang w:val="sr-Cyrl-BA"/>
        </w:rPr>
        <w:t>РС</w:t>
      </w:r>
      <w:r w:rsidR="00E1132E" w:rsidRPr="00295637">
        <w:rPr>
          <w:rFonts w:ascii="Times New Roman" w:hAnsi="Times New Roman"/>
          <w:lang w:val="sr-Cyrl-BA"/>
        </w:rPr>
        <w:t xml:space="preserve"> </w:t>
      </w:r>
      <w:r>
        <w:rPr>
          <w:rFonts w:ascii="Times New Roman" w:hAnsi="Times New Roman"/>
          <w:lang w:val="sr-Cyrl-BA"/>
        </w:rPr>
        <w:t>за</w:t>
      </w:r>
      <w:r w:rsidR="00E1132E" w:rsidRPr="00295637">
        <w:rPr>
          <w:rFonts w:ascii="Times New Roman" w:hAnsi="Times New Roman"/>
          <w:lang w:val="sr-Cyrl-BA"/>
        </w:rPr>
        <w:t xml:space="preserve"> </w:t>
      </w:r>
      <w:r>
        <w:rPr>
          <w:rFonts w:ascii="Times New Roman" w:hAnsi="Times New Roman"/>
          <w:lang w:val="hr-HR"/>
        </w:rPr>
        <w:t>период</w:t>
      </w:r>
      <w:r w:rsidR="00E1132E" w:rsidRPr="00295637">
        <w:rPr>
          <w:rFonts w:ascii="Times New Roman" w:hAnsi="Times New Roman"/>
          <w:lang w:val="sr-Cyrl-BA"/>
        </w:rPr>
        <w:t xml:space="preserve"> 2022-2032.</w:t>
      </w:r>
      <w:r w:rsidR="00E1132E" w:rsidRPr="00295637">
        <w:rPr>
          <w:rFonts w:ascii="Times New Roman" w:hAnsi="Times New Roman"/>
          <w:lang w:val="sr-Latn-BA"/>
        </w:rPr>
        <w:t xml:space="preserve"> </w:t>
      </w:r>
      <w:r>
        <w:rPr>
          <w:rFonts w:ascii="Times New Roman" w:hAnsi="Times New Roman"/>
          <w:lang w:val="sr-Latn-BA"/>
        </w:rPr>
        <w:t>дефини</w:t>
      </w:r>
      <w:r w:rsidR="00B34E5E">
        <w:rPr>
          <w:rFonts w:ascii="Times New Roman" w:hAnsi="Times New Roman"/>
          <w:lang w:val="sr-Cyrl-BA"/>
        </w:rPr>
        <w:t>ше</w:t>
      </w:r>
      <w:r w:rsidR="00E1132E" w:rsidRPr="00295637">
        <w:rPr>
          <w:rFonts w:ascii="Times New Roman" w:hAnsi="Times New Roman"/>
          <w:lang w:val="sr-Latn-BA"/>
        </w:rPr>
        <w:t xml:space="preserve"> </w:t>
      </w:r>
      <w:r>
        <w:rPr>
          <w:rFonts w:ascii="Times New Roman" w:hAnsi="Times New Roman"/>
          <w:lang w:val="sr-Latn-BA"/>
        </w:rPr>
        <w:t>мјере</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унапређење</w:t>
      </w:r>
      <w:r w:rsidR="00E1132E" w:rsidRPr="00295637">
        <w:rPr>
          <w:rFonts w:ascii="Times New Roman" w:hAnsi="Times New Roman"/>
          <w:lang w:val="sr-Latn-BA"/>
        </w:rPr>
        <w:t xml:space="preserve"> </w:t>
      </w:r>
      <w:r>
        <w:rPr>
          <w:rFonts w:ascii="Times New Roman" w:hAnsi="Times New Roman"/>
          <w:lang w:val="sr-Latn-BA"/>
        </w:rPr>
        <w:t>равноправности</w:t>
      </w:r>
      <w:r w:rsidR="00E1132E" w:rsidRPr="00295637">
        <w:rPr>
          <w:rFonts w:ascii="Times New Roman" w:hAnsi="Times New Roman"/>
          <w:lang w:val="sr-Latn-BA"/>
        </w:rPr>
        <w:t xml:space="preserve"> </w:t>
      </w:r>
      <w:r>
        <w:rPr>
          <w:rFonts w:ascii="Times New Roman" w:hAnsi="Times New Roman"/>
          <w:lang w:val="sr-Latn-BA"/>
        </w:rPr>
        <w:t>полова</w:t>
      </w:r>
      <w:r w:rsidR="00C636D1">
        <w:rPr>
          <w:rFonts w:ascii="Times New Roman" w:hAnsi="Times New Roman"/>
          <w:lang w:val="sr-Latn-BA"/>
        </w:rPr>
        <w:t xml:space="preserve"> </w:t>
      </w:r>
      <w:r>
        <w:rPr>
          <w:rFonts w:ascii="Times New Roman" w:hAnsi="Times New Roman"/>
          <w:lang w:val="sr-Latn-BA"/>
        </w:rPr>
        <w:t>и</w:t>
      </w:r>
      <w:r w:rsidR="00C636D1">
        <w:rPr>
          <w:rFonts w:ascii="Times New Roman" w:hAnsi="Times New Roman"/>
          <w:lang w:val="sr-Latn-BA"/>
        </w:rPr>
        <w:t xml:space="preserve"> </w:t>
      </w:r>
      <w:r>
        <w:rPr>
          <w:rFonts w:ascii="Times New Roman" w:hAnsi="Times New Roman"/>
          <w:lang w:val="sr-Latn-BA"/>
        </w:rPr>
        <w:t>посебне</w:t>
      </w:r>
      <w:r w:rsidR="00C636D1">
        <w:rPr>
          <w:rFonts w:ascii="Times New Roman" w:hAnsi="Times New Roman"/>
          <w:lang w:val="sr-Latn-BA"/>
        </w:rPr>
        <w:t xml:space="preserve"> </w:t>
      </w:r>
      <w:r>
        <w:rPr>
          <w:rFonts w:ascii="Times New Roman" w:hAnsi="Times New Roman"/>
          <w:lang w:val="sr-Latn-BA"/>
        </w:rPr>
        <w:t>мјере</w:t>
      </w:r>
      <w:r w:rsidR="00C636D1">
        <w:rPr>
          <w:rFonts w:ascii="Times New Roman" w:hAnsi="Times New Roman"/>
          <w:lang w:val="sr-Latn-BA"/>
        </w:rPr>
        <w:t xml:space="preserve"> </w:t>
      </w:r>
      <w:r>
        <w:rPr>
          <w:rFonts w:ascii="Times New Roman" w:hAnsi="Times New Roman"/>
          <w:lang w:val="sr-Latn-BA"/>
        </w:rPr>
        <w:t>за</w:t>
      </w:r>
      <w:r w:rsidR="00C636D1">
        <w:rPr>
          <w:rFonts w:ascii="Times New Roman" w:hAnsi="Times New Roman"/>
          <w:lang w:val="sr-Latn-BA"/>
        </w:rPr>
        <w:t xml:space="preserve"> </w:t>
      </w:r>
      <w:r>
        <w:rPr>
          <w:rFonts w:ascii="Times New Roman" w:hAnsi="Times New Roman"/>
          <w:lang w:val="sr-Latn-BA"/>
        </w:rPr>
        <w:t>жене</w:t>
      </w:r>
      <w:r w:rsidR="00C636D1">
        <w:rPr>
          <w:rFonts w:ascii="Times New Roman" w:hAnsi="Times New Roman"/>
          <w:lang w:val="sr-Latn-BA"/>
        </w:rPr>
        <w:t xml:space="preserve">, </w:t>
      </w:r>
      <w:r>
        <w:rPr>
          <w:rFonts w:ascii="Times New Roman" w:hAnsi="Times New Roman"/>
          <w:lang w:val="sr-Latn-BA"/>
        </w:rPr>
        <w:t>са</w:t>
      </w:r>
      <w:r w:rsidR="00E1132E" w:rsidRPr="00295637">
        <w:rPr>
          <w:rFonts w:ascii="Times New Roman" w:hAnsi="Times New Roman"/>
          <w:lang w:val="sr-Latn-BA"/>
        </w:rPr>
        <w:t xml:space="preserve"> </w:t>
      </w:r>
      <w:r>
        <w:rPr>
          <w:rFonts w:ascii="Times New Roman" w:hAnsi="Times New Roman"/>
          <w:lang w:val="sr-Latn-BA"/>
        </w:rPr>
        <w:t>припадајућим</w:t>
      </w:r>
      <w:r w:rsidR="00E1132E" w:rsidRPr="00295637">
        <w:rPr>
          <w:rFonts w:ascii="Times New Roman" w:hAnsi="Times New Roman"/>
          <w:lang w:val="sr-Latn-BA"/>
        </w:rPr>
        <w:t xml:space="preserve"> </w:t>
      </w:r>
      <w:r>
        <w:rPr>
          <w:rFonts w:ascii="Times New Roman" w:hAnsi="Times New Roman"/>
          <w:lang w:val="sr-Latn-BA"/>
        </w:rPr>
        <w:t>индикаторима</w:t>
      </w:r>
      <w:r w:rsidR="00E1132E"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Latn-BA"/>
        </w:rPr>
        <w:t xml:space="preserve"> </w:t>
      </w:r>
      <w:r>
        <w:rPr>
          <w:rFonts w:ascii="Times New Roman" w:hAnsi="Times New Roman"/>
          <w:lang w:val="sr-Latn-BA"/>
        </w:rPr>
        <w:t>овом</w:t>
      </w:r>
      <w:r w:rsidR="00E1132E" w:rsidRPr="00295637">
        <w:rPr>
          <w:rFonts w:ascii="Times New Roman" w:hAnsi="Times New Roman"/>
          <w:lang w:val="sr-Latn-BA"/>
        </w:rPr>
        <w:t xml:space="preserve"> </w:t>
      </w:r>
      <w:r>
        <w:rPr>
          <w:rFonts w:ascii="Times New Roman" w:hAnsi="Times New Roman"/>
          <w:lang w:val="sr-Latn-BA"/>
        </w:rPr>
        <w:t>контексту</w:t>
      </w:r>
      <w:r w:rsidR="00E1132E" w:rsidRPr="00295637">
        <w:rPr>
          <w:rFonts w:ascii="Times New Roman" w:hAnsi="Times New Roman"/>
          <w:lang w:val="sr-Latn-BA"/>
        </w:rPr>
        <w:t xml:space="preserve"> </w:t>
      </w:r>
      <w:r>
        <w:rPr>
          <w:rFonts w:ascii="Times New Roman" w:hAnsi="Times New Roman"/>
          <w:lang w:val="sr-Latn-BA"/>
        </w:rPr>
        <w:t>издвајамо</w:t>
      </w:r>
      <w:r w:rsidR="00E1132E" w:rsidRPr="00295637">
        <w:rPr>
          <w:rFonts w:ascii="Times New Roman" w:hAnsi="Times New Roman"/>
          <w:lang w:val="sr-Latn-BA"/>
        </w:rPr>
        <w:t xml:space="preserve"> </w:t>
      </w:r>
      <w:r>
        <w:rPr>
          <w:rFonts w:ascii="Times New Roman" w:hAnsi="Times New Roman"/>
          <w:lang w:val="sr-Latn-BA"/>
        </w:rPr>
        <w:t>мјеру</w:t>
      </w:r>
      <w:r w:rsidR="00E1132E" w:rsidRPr="00295637">
        <w:rPr>
          <w:rFonts w:ascii="Times New Roman" w:hAnsi="Times New Roman"/>
          <w:lang w:val="sr-Latn-BA"/>
        </w:rPr>
        <w:t xml:space="preserve"> 7.6.2. </w:t>
      </w:r>
      <w:r>
        <w:rPr>
          <w:rFonts w:ascii="Times New Roman" w:hAnsi="Times New Roman"/>
          <w:lang w:val="sr-Latn-BA"/>
        </w:rPr>
        <w:t>Мјера</w:t>
      </w:r>
      <w:r w:rsidR="00E1132E" w:rsidRPr="00295637">
        <w:rPr>
          <w:rFonts w:ascii="Times New Roman" w:hAnsi="Times New Roman"/>
          <w:lang w:val="sr-Latn-BA"/>
        </w:rPr>
        <w:t xml:space="preserve"> </w:t>
      </w:r>
      <w:r>
        <w:rPr>
          <w:rFonts w:ascii="Times New Roman" w:hAnsi="Times New Roman"/>
          <w:lang w:val="sr-Latn-BA"/>
        </w:rPr>
        <w:t>Интегри</w:t>
      </w:r>
      <w:r w:rsidR="00B34E5E">
        <w:rPr>
          <w:rFonts w:ascii="Times New Roman" w:hAnsi="Times New Roman"/>
          <w:lang w:val="sr-Cyrl-BA"/>
        </w:rPr>
        <w:t>с</w:t>
      </w:r>
      <w:r>
        <w:rPr>
          <w:rFonts w:ascii="Times New Roman" w:hAnsi="Times New Roman"/>
          <w:lang w:val="sr-Latn-BA"/>
        </w:rPr>
        <w:t>ање</w:t>
      </w:r>
      <w:r w:rsidR="00E1132E" w:rsidRPr="00295637">
        <w:rPr>
          <w:rFonts w:ascii="Times New Roman" w:hAnsi="Times New Roman"/>
          <w:lang w:val="sr-Latn-BA"/>
        </w:rPr>
        <w:t xml:space="preserve"> </w:t>
      </w:r>
      <w:r>
        <w:rPr>
          <w:rFonts w:ascii="Times New Roman" w:hAnsi="Times New Roman"/>
          <w:lang w:val="sr-Latn-BA"/>
        </w:rPr>
        <w:t>стандарда</w:t>
      </w:r>
      <w:r w:rsidR="00E1132E" w:rsidRPr="00295637">
        <w:rPr>
          <w:rFonts w:ascii="Times New Roman" w:hAnsi="Times New Roman"/>
          <w:lang w:val="sr-Latn-BA"/>
        </w:rPr>
        <w:t xml:space="preserve"> </w:t>
      </w:r>
      <w:r>
        <w:rPr>
          <w:rFonts w:ascii="Times New Roman" w:hAnsi="Times New Roman"/>
          <w:lang w:val="sr-Latn-BA"/>
        </w:rPr>
        <w:t>и</w:t>
      </w:r>
      <w:r w:rsidR="00E1132E" w:rsidRPr="00295637">
        <w:rPr>
          <w:rFonts w:ascii="Times New Roman" w:hAnsi="Times New Roman"/>
          <w:lang w:val="sr-Latn-BA"/>
        </w:rPr>
        <w:t xml:space="preserve"> </w:t>
      </w:r>
      <w:r>
        <w:rPr>
          <w:rFonts w:ascii="Times New Roman" w:hAnsi="Times New Roman"/>
          <w:lang w:val="sr-Latn-BA"/>
        </w:rPr>
        <w:t>принципа</w:t>
      </w:r>
      <w:r w:rsidR="00E1132E" w:rsidRPr="00295637">
        <w:rPr>
          <w:rFonts w:ascii="Times New Roman" w:hAnsi="Times New Roman"/>
          <w:lang w:val="sr-Latn-BA"/>
        </w:rPr>
        <w:t xml:space="preserve"> </w:t>
      </w:r>
      <w:r>
        <w:rPr>
          <w:rFonts w:ascii="Times New Roman" w:hAnsi="Times New Roman"/>
          <w:lang w:val="sr-Latn-BA"/>
        </w:rPr>
        <w:t>родне</w:t>
      </w:r>
      <w:r w:rsidR="00E1132E" w:rsidRPr="00295637">
        <w:rPr>
          <w:rFonts w:ascii="Times New Roman" w:hAnsi="Times New Roman"/>
          <w:lang w:val="sr-Latn-BA"/>
        </w:rPr>
        <w:t xml:space="preserve"> </w:t>
      </w:r>
      <w:r>
        <w:rPr>
          <w:rFonts w:ascii="Times New Roman" w:hAnsi="Times New Roman"/>
          <w:lang w:val="sr-Latn-BA"/>
        </w:rPr>
        <w:t>равноправности</w:t>
      </w:r>
      <w:r w:rsidR="00E1132E"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Latn-BA"/>
        </w:rPr>
        <w:t xml:space="preserve"> </w:t>
      </w:r>
      <w:r>
        <w:rPr>
          <w:rFonts w:ascii="Times New Roman" w:hAnsi="Times New Roman"/>
          <w:lang w:val="sr-Latn-BA"/>
        </w:rPr>
        <w:t>кључне</w:t>
      </w:r>
      <w:r w:rsidR="00E1132E" w:rsidRPr="00295637">
        <w:rPr>
          <w:rFonts w:ascii="Times New Roman" w:hAnsi="Times New Roman"/>
          <w:lang w:val="sr-Latn-BA"/>
        </w:rPr>
        <w:t xml:space="preserve"> </w:t>
      </w:r>
      <w:r>
        <w:rPr>
          <w:rFonts w:ascii="Times New Roman" w:hAnsi="Times New Roman"/>
          <w:lang w:val="sr-Latn-BA"/>
        </w:rPr>
        <w:t>политике</w:t>
      </w:r>
      <w:r w:rsidR="00E1132E" w:rsidRPr="00295637">
        <w:rPr>
          <w:rFonts w:ascii="Times New Roman" w:hAnsi="Times New Roman"/>
          <w:lang w:val="sr-Latn-BA"/>
        </w:rPr>
        <w:t xml:space="preserve">, </w:t>
      </w:r>
      <w:r>
        <w:rPr>
          <w:rFonts w:ascii="Times New Roman" w:hAnsi="Times New Roman"/>
          <w:lang w:val="sr-Latn-BA"/>
        </w:rPr>
        <w:t>стратегије</w:t>
      </w:r>
      <w:r w:rsidR="00E1132E" w:rsidRPr="00295637">
        <w:rPr>
          <w:rFonts w:ascii="Times New Roman" w:hAnsi="Times New Roman"/>
          <w:lang w:val="sr-Latn-BA"/>
        </w:rPr>
        <w:t xml:space="preserve"> </w:t>
      </w:r>
      <w:r>
        <w:rPr>
          <w:rFonts w:ascii="Times New Roman" w:hAnsi="Times New Roman"/>
          <w:lang w:val="sr-Latn-BA"/>
        </w:rPr>
        <w:t>и</w:t>
      </w:r>
      <w:r w:rsidR="00E1132E" w:rsidRPr="00295637">
        <w:rPr>
          <w:rFonts w:ascii="Times New Roman" w:hAnsi="Times New Roman"/>
          <w:lang w:val="sr-Latn-BA"/>
        </w:rPr>
        <w:t xml:space="preserve"> </w:t>
      </w:r>
      <w:r>
        <w:rPr>
          <w:rFonts w:ascii="Times New Roman" w:hAnsi="Times New Roman"/>
          <w:lang w:val="sr-Latn-BA"/>
        </w:rPr>
        <w:t>програме</w:t>
      </w:r>
      <w:r w:rsidR="00E1132E"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Latn-BA"/>
        </w:rPr>
        <w:t xml:space="preserve"> </w:t>
      </w:r>
      <w:r>
        <w:rPr>
          <w:rFonts w:ascii="Times New Roman" w:hAnsi="Times New Roman"/>
          <w:lang w:val="sr-Latn-BA"/>
        </w:rPr>
        <w:t>области</w:t>
      </w:r>
      <w:r w:rsidR="00E1132E" w:rsidRPr="00295637">
        <w:rPr>
          <w:rFonts w:ascii="Times New Roman" w:hAnsi="Times New Roman"/>
          <w:lang w:val="sr-Latn-BA"/>
        </w:rPr>
        <w:t xml:space="preserve"> </w:t>
      </w:r>
      <w:r>
        <w:rPr>
          <w:rFonts w:ascii="Times New Roman" w:hAnsi="Times New Roman"/>
          <w:lang w:val="sr-Latn-BA"/>
        </w:rPr>
        <w:t>животне</w:t>
      </w:r>
      <w:r w:rsidR="00E1132E" w:rsidRPr="00295637">
        <w:rPr>
          <w:rFonts w:ascii="Times New Roman" w:hAnsi="Times New Roman"/>
          <w:lang w:val="sr-Latn-BA"/>
        </w:rPr>
        <w:t xml:space="preserve"> </w:t>
      </w:r>
      <w:r>
        <w:rPr>
          <w:rFonts w:ascii="Times New Roman" w:hAnsi="Times New Roman"/>
          <w:lang w:val="sr-Latn-BA"/>
        </w:rPr>
        <w:t>средине</w:t>
      </w:r>
      <w:r w:rsidR="00E1132E" w:rsidRPr="00295637">
        <w:rPr>
          <w:rFonts w:ascii="Times New Roman" w:hAnsi="Times New Roman"/>
          <w:lang w:val="sr-Latn-BA"/>
        </w:rPr>
        <w:t xml:space="preserve">, </w:t>
      </w:r>
      <w:r>
        <w:rPr>
          <w:rFonts w:ascii="Times New Roman" w:hAnsi="Times New Roman"/>
          <w:lang w:val="sr-Latn-BA"/>
        </w:rPr>
        <w:t>која</w:t>
      </w:r>
      <w:r w:rsidR="00E1132E" w:rsidRPr="00295637">
        <w:rPr>
          <w:rFonts w:ascii="Times New Roman" w:hAnsi="Times New Roman"/>
          <w:lang w:val="sr-Latn-BA"/>
        </w:rPr>
        <w:t xml:space="preserve"> </w:t>
      </w:r>
      <w:r>
        <w:rPr>
          <w:rFonts w:ascii="Times New Roman" w:hAnsi="Times New Roman"/>
          <w:lang w:val="sr-Latn-BA"/>
        </w:rPr>
        <w:t>дефини</w:t>
      </w:r>
      <w:r w:rsidR="00B34E5E">
        <w:rPr>
          <w:rFonts w:ascii="Times New Roman" w:hAnsi="Times New Roman"/>
          <w:lang w:val="sr-Cyrl-BA"/>
        </w:rPr>
        <w:t>ше</w:t>
      </w:r>
      <w:r w:rsidR="00E1132E" w:rsidRPr="00295637">
        <w:rPr>
          <w:rFonts w:ascii="Times New Roman" w:hAnsi="Times New Roman"/>
          <w:lang w:val="sr-Latn-BA"/>
        </w:rPr>
        <w:t xml:space="preserve"> </w:t>
      </w:r>
      <w:r>
        <w:rPr>
          <w:rFonts w:ascii="Times New Roman" w:hAnsi="Times New Roman"/>
          <w:lang w:val="sr-Latn-BA"/>
        </w:rPr>
        <w:t>сљедеће</w:t>
      </w:r>
      <w:r w:rsidR="00E1132E" w:rsidRPr="00295637">
        <w:rPr>
          <w:rFonts w:ascii="Times New Roman" w:hAnsi="Times New Roman"/>
          <w:lang w:val="sr-Latn-BA"/>
        </w:rPr>
        <w:t xml:space="preserve"> </w:t>
      </w:r>
      <w:r>
        <w:rPr>
          <w:rFonts w:ascii="Times New Roman" w:hAnsi="Times New Roman"/>
          <w:lang w:val="sr-Latn-BA"/>
        </w:rPr>
        <w:t>индикаторе</w:t>
      </w:r>
      <w:r w:rsidR="00E1132E" w:rsidRPr="00295637">
        <w:rPr>
          <w:rFonts w:ascii="Times New Roman" w:hAnsi="Times New Roman"/>
          <w:lang w:val="sr-Latn-BA"/>
        </w:rPr>
        <w:t>:</w:t>
      </w:r>
      <w:r w:rsidR="007E010A" w:rsidRPr="00295637">
        <w:rPr>
          <w:rFonts w:ascii="Times New Roman" w:hAnsi="Times New Roman"/>
          <w:lang w:val="sr-Latn-BA"/>
        </w:rPr>
        <w:t xml:space="preserve"> </w:t>
      </w:r>
      <w:r>
        <w:rPr>
          <w:rFonts w:ascii="Times New Roman" w:hAnsi="Times New Roman"/>
          <w:lang w:val="sr-Latn-BA"/>
        </w:rPr>
        <w:t>степен</w:t>
      </w:r>
      <w:r w:rsidR="00E1132E" w:rsidRPr="00295637">
        <w:rPr>
          <w:rFonts w:ascii="Times New Roman" w:hAnsi="Times New Roman"/>
          <w:lang w:val="sr-Latn-BA"/>
        </w:rPr>
        <w:t xml:space="preserve"> </w:t>
      </w:r>
      <w:r>
        <w:rPr>
          <w:rFonts w:ascii="Times New Roman" w:hAnsi="Times New Roman"/>
          <w:lang w:val="sr-Latn-BA"/>
        </w:rPr>
        <w:t>институционализације</w:t>
      </w:r>
      <w:r w:rsidR="00E1132E" w:rsidRPr="00295637">
        <w:rPr>
          <w:rFonts w:ascii="Times New Roman" w:hAnsi="Times New Roman"/>
          <w:lang w:val="sr-Latn-BA"/>
        </w:rPr>
        <w:t xml:space="preserve"> </w:t>
      </w:r>
      <w:r>
        <w:rPr>
          <w:rFonts w:ascii="Times New Roman" w:hAnsi="Times New Roman"/>
          <w:lang w:val="sr-Latn-BA"/>
        </w:rPr>
        <w:t>процедура</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интегри</w:t>
      </w:r>
      <w:r w:rsidR="00B34E5E">
        <w:rPr>
          <w:rFonts w:ascii="Times New Roman" w:hAnsi="Times New Roman"/>
          <w:lang w:val="sr-Cyrl-BA"/>
        </w:rPr>
        <w:t>с</w:t>
      </w:r>
      <w:r>
        <w:rPr>
          <w:rFonts w:ascii="Times New Roman" w:hAnsi="Times New Roman"/>
          <w:lang w:val="sr-Latn-BA"/>
        </w:rPr>
        <w:t>ање</w:t>
      </w:r>
      <w:r w:rsidR="00E1132E" w:rsidRPr="00295637">
        <w:rPr>
          <w:rFonts w:ascii="Times New Roman" w:hAnsi="Times New Roman"/>
          <w:lang w:val="sr-Latn-BA"/>
        </w:rPr>
        <w:t xml:space="preserve"> </w:t>
      </w:r>
      <w:r>
        <w:rPr>
          <w:rFonts w:ascii="Times New Roman" w:hAnsi="Times New Roman"/>
          <w:lang w:val="sr-Latn-BA"/>
        </w:rPr>
        <w:t>питања</w:t>
      </w:r>
      <w:r w:rsidR="00E1132E" w:rsidRPr="00295637">
        <w:rPr>
          <w:rFonts w:ascii="Times New Roman" w:hAnsi="Times New Roman"/>
          <w:lang w:val="sr-Latn-BA"/>
        </w:rPr>
        <w:t xml:space="preserve"> </w:t>
      </w:r>
      <w:r>
        <w:rPr>
          <w:rFonts w:ascii="Times New Roman" w:hAnsi="Times New Roman"/>
          <w:lang w:val="sr-Latn-BA"/>
        </w:rPr>
        <w:t>равноправности</w:t>
      </w:r>
      <w:r w:rsidR="00E1132E" w:rsidRPr="00295637">
        <w:rPr>
          <w:rFonts w:ascii="Times New Roman" w:hAnsi="Times New Roman"/>
          <w:lang w:val="sr-Latn-BA"/>
        </w:rPr>
        <w:t xml:space="preserve"> </w:t>
      </w:r>
      <w:r>
        <w:rPr>
          <w:rFonts w:ascii="Times New Roman" w:hAnsi="Times New Roman"/>
          <w:lang w:val="sr-Latn-BA"/>
        </w:rPr>
        <w:t>полова</w:t>
      </w:r>
      <w:r w:rsidR="00E1132E" w:rsidRPr="00295637">
        <w:rPr>
          <w:rFonts w:ascii="Times New Roman" w:hAnsi="Times New Roman"/>
          <w:lang w:val="sr-Latn-BA"/>
        </w:rPr>
        <w:t xml:space="preserve">, </w:t>
      </w:r>
      <w:r>
        <w:rPr>
          <w:rFonts w:ascii="Times New Roman" w:hAnsi="Times New Roman"/>
          <w:lang w:val="sr-Latn-BA"/>
        </w:rPr>
        <w:t>друштвене</w:t>
      </w:r>
      <w:r w:rsidR="00E1132E" w:rsidRPr="00295637">
        <w:rPr>
          <w:rFonts w:ascii="Times New Roman" w:hAnsi="Times New Roman"/>
          <w:lang w:val="sr-Latn-BA"/>
        </w:rPr>
        <w:t xml:space="preserve"> </w:t>
      </w:r>
      <w:r>
        <w:rPr>
          <w:rFonts w:ascii="Times New Roman" w:hAnsi="Times New Roman"/>
          <w:lang w:val="sr-Latn-BA"/>
        </w:rPr>
        <w:t>једнакости</w:t>
      </w:r>
      <w:r w:rsidR="00E1132E" w:rsidRPr="00295637">
        <w:rPr>
          <w:rFonts w:ascii="Times New Roman" w:hAnsi="Times New Roman"/>
          <w:lang w:val="sr-Latn-BA"/>
        </w:rPr>
        <w:t xml:space="preserve"> </w:t>
      </w:r>
      <w:r>
        <w:rPr>
          <w:rFonts w:ascii="Times New Roman" w:hAnsi="Times New Roman"/>
          <w:lang w:val="sr-Latn-BA"/>
        </w:rPr>
        <w:t>и</w:t>
      </w:r>
      <w:r w:rsidR="00E1132E" w:rsidRPr="00295637">
        <w:rPr>
          <w:rFonts w:ascii="Times New Roman" w:hAnsi="Times New Roman"/>
          <w:lang w:val="sr-Latn-BA"/>
        </w:rPr>
        <w:t xml:space="preserve"> </w:t>
      </w:r>
      <w:r>
        <w:rPr>
          <w:rFonts w:ascii="Times New Roman" w:hAnsi="Times New Roman"/>
          <w:lang w:val="sr-Latn-BA"/>
        </w:rPr>
        <w:t>сиромаштва</w:t>
      </w:r>
      <w:r w:rsidR="00E1132E"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Latn-BA"/>
        </w:rPr>
        <w:t xml:space="preserve"> </w:t>
      </w:r>
      <w:r>
        <w:rPr>
          <w:rFonts w:ascii="Times New Roman" w:hAnsi="Times New Roman"/>
          <w:lang w:val="sr-Latn-BA"/>
        </w:rPr>
        <w:t>документе</w:t>
      </w:r>
      <w:r w:rsidR="00E1132E" w:rsidRPr="00295637">
        <w:rPr>
          <w:rFonts w:ascii="Times New Roman" w:hAnsi="Times New Roman"/>
          <w:lang w:val="sr-Latn-BA"/>
        </w:rPr>
        <w:t xml:space="preserve"> </w:t>
      </w:r>
      <w:r w:rsidR="00B34E5E">
        <w:rPr>
          <w:rFonts w:ascii="Times New Roman" w:hAnsi="Times New Roman"/>
          <w:lang w:val="sr-Cyrl-BA"/>
        </w:rPr>
        <w:t>животне средине</w:t>
      </w:r>
      <w:r w:rsidR="007E010A" w:rsidRPr="00295637">
        <w:rPr>
          <w:rFonts w:ascii="Times New Roman" w:hAnsi="Times New Roman"/>
          <w:lang w:val="sr-Latn-BA"/>
        </w:rPr>
        <w:t xml:space="preserve">, </w:t>
      </w:r>
      <w:r>
        <w:rPr>
          <w:rFonts w:ascii="Times New Roman" w:hAnsi="Times New Roman"/>
          <w:lang w:val="sr-Latn-BA"/>
        </w:rPr>
        <w:t>развијање</w:t>
      </w:r>
      <w:r w:rsidR="00E1132E" w:rsidRPr="00295637">
        <w:rPr>
          <w:rFonts w:ascii="Times New Roman" w:hAnsi="Times New Roman"/>
          <w:lang w:val="sr-Latn-BA"/>
        </w:rPr>
        <w:t xml:space="preserve"> </w:t>
      </w:r>
      <w:r>
        <w:rPr>
          <w:rFonts w:ascii="Times New Roman" w:hAnsi="Times New Roman"/>
          <w:lang w:val="sr-Latn-BA"/>
        </w:rPr>
        <w:t>смјерница</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укључивање</w:t>
      </w:r>
      <w:r w:rsidR="00E1132E" w:rsidRPr="00295637">
        <w:rPr>
          <w:rFonts w:ascii="Times New Roman" w:hAnsi="Times New Roman"/>
          <w:lang w:val="sr-Latn-BA"/>
        </w:rPr>
        <w:t xml:space="preserve"> </w:t>
      </w:r>
      <w:r>
        <w:rPr>
          <w:rFonts w:ascii="Times New Roman" w:hAnsi="Times New Roman"/>
          <w:lang w:val="sr-Latn-BA"/>
        </w:rPr>
        <w:t>принципа</w:t>
      </w:r>
      <w:r w:rsidR="00E1132E" w:rsidRPr="00295637">
        <w:rPr>
          <w:rFonts w:ascii="Times New Roman" w:hAnsi="Times New Roman"/>
          <w:lang w:val="sr-Latn-BA"/>
        </w:rPr>
        <w:t xml:space="preserve"> </w:t>
      </w:r>
      <w:r>
        <w:rPr>
          <w:rFonts w:ascii="Times New Roman" w:hAnsi="Times New Roman"/>
          <w:lang w:val="sr-Latn-BA"/>
        </w:rPr>
        <w:t>равноправности</w:t>
      </w:r>
      <w:r w:rsidR="00E1132E" w:rsidRPr="00295637">
        <w:rPr>
          <w:rFonts w:ascii="Times New Roman" w:hAnsi="Times New Roman"/>
          <w:lang w:val="sr-Latn-BA"/>
        </w:rPr>
        <w:t xml:space="preserve"> </w:t>
      </w:r>
      <w:r>
        <w:rPr>
          <w:rFonts w:ascii="Times New Roman" w:hAnsi="Times New Roman"/>
          <w:lang w:val="sr-Latn-BA"/>
        </w:rPr>
        <w:t>полова</w:t>
      </w:r>
      <w:r w:rsidR="00E1132E" w:rsidRPr="00295637">
        <w:rPr>
          <w:rFonts w:ascii="Times New Roman" w:hAnsi="Times New Roman"/>
          <w:lang w:val="sr-Latn-BA"/>
        </w:rPr>
        <w:t xml:space="preserve">, </w:t>
      </w:r>
      <w:r>
        <w:rPr>
          <w:rFonts w:ascii="Times New Roman" w:hAnsi="Times New Roman"/>
          <w:lang w:val="sr-Latn-BA"/>
        </w:rPr>
        <w:t>друштвене</w:t>
      </w:r>
      <w:r w:rsidR="00E1132E" w:rsidRPr="00295637">
        <w:rPr>
          <w:rFonts w:ascii="Times New Roman" w:hAnsi="Times New Roman"/>
          <w:lang w:val="sr-Latn-BA"/>
        </w:rPr>
        <w:t xml:space="preserve"> </w:t>
      </w:r>
      <w:r>
        <w:rPr>
          <w:rFonts w:ascii="Times New Roman" w:hAnsi="Times New Roman"/>
          <w:lang w:val="sr-Latn-BA"/>
        </w:rPr>
        <w:t>једнакости</w:t>
      </w:r>
      <w:r w:rsidR="00E1132E" w:rsidRPr="00295637">
        <w:rPr>
          <w:rFonts w:ascii="Times New Roman" w:hAnsi="Times New Roman"/>
          <w:lang w:val="sr-Latn-BA"/>
        </w:rPr>
        <w:t xml:space="preserve"> </w:t>
      </w:r>
      <w:r>
        <w:rPr>
          <w:rFonts w:ascii="Times New Roman" w:hAnsi="Times New Roman"/>
          <w:lang w:val="sr-Latn-BA"/>
        </w:rPr>
        <w:t>и</w:t>
      </w:r>
      <w:r w:rsidR="00E1132E" w:rsidRPr="00295637">
        <w:rPr>
          <w:rFonts w:ascii="Times New Roman" w:hAnsi="Times New Roman"/>
          <w:lang w:val="sr-Latn-BA"/>
        </w:rPr>
        <w:t xml:space="preserve"> </w:t>
      </w:r>
      <w:r>
        <w:rPr>
          <w:rFonts w:ascii="Times New Roman" w:hAnsi="Times New Roman"/>
          <w:lang w:val="sr-Latn-BA"/>
        </w:rPr>
        <w:t>питања</w:t>
      </w:r>
      <w:r w:rsidR="00E1132E" w:rsidRPr="00295637">
        <w:rPr>
          <w:rFonts w:ascii="Times New Roman" w:hAnsi="Times New Roman"/>
          <w:lang w:val="sr-Latn-BA"/>
        </w:rPr>
        <w:t xml:space="preserve"> </w:t>
      </w:r>
      <w:r>
        <w:rPr>
          <w:rFonts w:ascii="Times New Roman" w:hAnsi="Times New Roman"/>
          <w:lang w:val="sr-Latn-BA"/>
        </w:rPr>
        <w:t>сиромаштва</w:t>
      </w:r>
      <w:r w:rsidR="00E1132E"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Latn-BA"/>
        </w:rPr>
        <w:t xml:space="preserve"> </w:t>
      </w:r>
      <w:r>
        <w:rPr>
          <w:rFonts w:ascii="Times New Roman" w:hAnsi="Times New Roman"/>
          <w:lang w:val="sr-Latn-BA"/>
        </w:rPr>
        <w:t>све</w:t>
      </w:r>
      <w:r w:rsidR="00E1132E" w:rsidRPr="00295637">
        <w:rPr>
          <w:rFonts w:ascii="Times New Roman" w:hAnsi="Times New Roman"/>
          <w:lang w:val="sr-Latn-BA"/>
        </w:rPr>
        <w:t xml:space="preserve"> </w:t>
      </w:r>
      <w:r>
        <w:rPr>
          <w:rFonts w:ascii="Times New Roman" w:hAnsi="Times New Roman"/>
          <w:lang w:val="sr-Latn-BA"/>
        </w:rPr>
        <w:t>фазе</w:t>
      </w:r>
      <w:r w:rsidR="00E1132E" w:rsidRPr="00295637">
        <w:rPr>
          <w:rFonts w:ascii="Times New Roman" w:hAnsi="Times New Roman"/>
          <w:lang w:val="sr-Latn-BA"/>
        </w:rPr>
        <w:t xml:space="preserve"> </w:t>
      </w:r>
      <w:r>
        <w:rPr>
          <w:rFonts w:ascii="Times New Roman" w:hAnsi="Times New Roman"/>
          <w:lang w:val="sr-Latn-BA"/>
        </w:rPr>
        <w:t>управљања</w:t>
      </w:r>
      <w:r w:rsidR="00E1132E" w:rsidRPr="00295637">
        <w:rPr>
          <w:rFonts w:ascii="Times New Roman" w:hAnsi="Times New Roman"/>
          <w:lang w:val="sr-Latn-BA"/>
        </w:rPr>
        <w:t xml:space="preserve"> </w:t>
      </w:r>
      <w:r w:rsidR="00B34E5E">
        <w:rPr>
          <w:rFonts w:ascii="Times New Roman" w:hAnsi="Times New Roman"/>
          <w:lang w:val="sr-Cyrl-BA"/>
        </w:rPr>
        <w:t>животном средином</w:t>
      </w:r>
      <w:r w:rsidR="007E010A" w:rsidRPr="00295637">
        <w:rPr>
          <w:rFonts w:ascii="Times New Roman" w:hAnsi="Times New Roman"/>
          <w:lang w:val="sr-Latn-BA"/>
        </w:rPr>
        <w:t xml:space="preserve">, </w:t>
      </w:r>
      <w:r>
        <w:rPr>
          <w:rFonts w:ascii="Times New Roman" w:hAnsi="Times New Roman"/>
          <w:lang w:val="sr-Latn-BA"/>
        </w:rPr>
        <w:t>ниво</w:t>
      </w:r>
      <w:r w:rsidR="00E1132E" w:rsidRPr="00295637">
        <w:rPr>
          <w:rFonts w:ascii="Times New Roman" w:hAnsi="Times New Roman"/>
          <w:lang w:val="sr-Latn-BA"/>
        </w:rPr>
        <w:t xml:space="preserve"> </w:t>
      </w:r>
      <w:r>
        <w:rPr>
          <w:rFonts w:ascii="Times New Roman" w:hAnsi="Times New Roman"/>
          <w:lang w:val="sr-Latn-BA"/>
        </w:rPr>
        <w:t>знања</w:t>
      </w:r>
      <w:r w:rsidR="00E1132E" w:rsidRPr="00295637">
        <w:rPr>
          <w:rFonts w:ascii="Times New Roman" w:hAnsi="Times New Roman"/>
          <w:lang w:val="sr-Latn-BA"/>
        </w:rPr>
        <w:t xml:space="preserve"> </w:t>
      </w:r>
      <w:r>
        <w:rPr>
          <w:rFonts w:ascii="Times New Roman" w:hAnsi="Times New Roman"/>
          <w:lang w:val="sr-Latn-BA"/>
        </w:rPr>
        <w:t>и</w:t>
      </w:r>
      <w:r w:rsidR="00E1132E" w:rsidRPr="00295637">
        <w:rPr>
          <w:rFonts w:ascii="Times New Roman" w:hAnsi="Times New Roman"/>
          <w:lang w:val="sr-Latn-BA"/>
        </w:rPr>
        <w:t xml:space="preserve"> </w:t>
      </w:r>
      <w:r>
        <w:rPr>
          <w:rFonts w:ascii="Times New Roman" w:hAnsi="Times New Roman"/>
          <w:lang w:val="sr-Latn-BA"/>
        </w:rPr>
        <w:t>свијести</w:t>
      </w:r>
      <w:r w:rsidR="00E1132E" w:rsidRPr="00295637">
        <w:rPr>
          <w:rFonts w:ascii="Times New Roman" w:hAnsi="Times New Roman"/>
          <w:lang w:val="sr-Latn-BA"/>
        </w:rPr>
        <w:t xml:space="preserve"> </w:t>
      </w:r>
      <w:r>
        <w:rPr>
          <w:rFonts w:ascii="Times New Roman" w:hAnsi="Times New Roman"/>
          <w:lang w:val="sr-Latn-BA"/>
        </w:rPr>
        <w:t>контакт</w:t>
      </w:r>
      <w:r w:rsidR="00E1132E" w:rsidRPr="00295637">
        <w:rPr>
          <w:rFonts w:ascii="Times New Roman" w:hAnsi="Times New Roman"/>
          <w:lang w:val="sr-Latn-BA"/>
        </w:rPr>
        <w:t xml:space="preserve"> </w:t>
      </w:r>
      <w:r>
        <w:rPr>
          <w:rFonts w:ascii="Times New Roman" w:hAnsi="Times New Roman"/>
          <w:lang w:val="sr-Latn-BA"/>
        </w:rPr>
        <w:t>лица</w:t>
      </w:r>
      <w:r w:rsidR="00E1132E" w:rsidRPr="00295637">
        <w:rPr>
          <w:rFonts w:ascii="Times New Roman" w:hAnsi="Times New Roman"/>
          <w:lang w:val="sr-Latn-BA"/>
        </w:rPr>
        <w:t xml:space="preserve"> </w:t>
      </w:r>
      <w:r>
        <w:rPr>
          <w:rFonts w:ascii="Times New Roman" w:hAnsi="Times New Roman"/>
          <w:lang w:val="sr-Latn-BA"/>
        </w:rPr>
        <w:t>номин</w:t>
      </w:r>
      <w:r w:rsidR="00B34E5E">
        <w:rPr>
          <w:rFonts w:ascii="Times New Roman" w:hAnsi="Times New Roman"/>
          <w:lang w:val="sr-Cyrl-BA"/>
        </w:rPr>
        <w:t>ованих</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равноправност</w:t>
      </w:r>
      <w:r w:rsidR="00E1132E" w:rsidRPr="00295637">
        <w:rPr>
          <w:rFonts w:ascii="Times New Roman" w:hAnsi="Times New Roman"/>
          <w:lang w:val="sr-Latn-BA"/>
        </w:rPr>
        <w:t xml:space="preserve"> </w:t>
      </w:r>
      <w:r>
        <w:rPr>
          <w:rFonts w:ascii="Times New Roman" w:hAnsi="Times New Roman"/>
          <w:lang w:val="sr-Latn-BA"/>
        </w:rPr>
        <w:t>полова</w:t>
      </w:r>
      <w:r w:rsidR="00E1132E"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Latn-BA"/>
        </w:rPr>
        <w:t xml:space="preserve"> </w:t>
      </w:r>
      <w:r>
        <w:rPr>
          <w:rFonts w:ascii="Times New Roman" w:hAnsi="Times New Roman"/>
          <w:lang w:val="sr-Latn-BA"/>
        </w:rPr>
        <w:t>институцијама</w:t>
      </w:r>
      <w:r w:rsidR="00E1132E" w:rsidRPr="00295637">
        <w:rPr>
          <w:rFonts w:ascii="Times New Roman" w:hAnsi="Times New Roman"/>
          <w:lang w:val="sr-Latn-BA"/>
        </w:rPr>
        <w:t xml:space="preserve"> </w:t>
      </w:r>
      <w:r>
        <w:rPr>
          <w:rFonts w:ascii="Times New Roman" w:hAnsi="Times New Roman"/>
          <w:lang w:val="sr-Latn-BA"/>
        </w:rPr>
        <w:t>о</w:t>
      </w:r>
      <w:r w:rsidR="00E1132E" w:rsidRPr="00295637">
        <w:rPr>
          <w:rFonts w:ascii="Times New Roman" w:hAnsi="Times New Roman"/>
          <w:lang w:val="sr-Latn-BA"/>
        </w:rPr>
        <w:t xml:space="preserve"> </w:t>
      </w:r>
      <w:r>
        <w:rPr>
          <w:rFonts w:ascii="Times New Roman" w:hAnsi="Times New Roman"/>
          <w:lang w:val="sr-Latn-BA"/>
        </w:rPr>
        <w:t>повезаности</w:t>
      </w:r>
      <w:r w:rsidR="00E1132E" w:rsidRPr="00295637">
        <w:rPr>
          <w:rFonts w:ascii="Times New Roman" w:hAnsi="Times New Roman"/>
          <w:lang w:val="sr-Latn-BA"/>
        </w:rPr>
        <w:t xml:space="preserve"> </w:t>
      </w:r>
      <w:r w:rsidR="00B34E5E">
        <w:rPr>
          <w:rFonts w:ascii="Times New Roman" w:hAnsi="Times New Roman"/>
          <w:lang w:val="sr-Cyrl-BA"/>
        </w:rPr>
        <w:t>животне средине</w:t>
      </w:r>
      <w:r w:rsidR="00E1132E" w:rsidRPr="00295637">
        <w:rPr>
          <w:rFonts w:ascii="Times New Roman" w:hAnsi="Times New Roman"/>
          <w:lang w:val="sr-Latn-BA"/>
        </w:rPr>
        <w:t xml:space="preserve"> </w:t>
      </w:r>
      <w:r>
        <w:rPr>
          <w:rFonts w:ascii="Times New Roman" w:hAnsi="Times New Roman"/>
          <w:lang w:val="sr-Latn-BA"/>
        </w:rPr>
        <w:t>и</w:t>
      </w:r>
      <w:r w:rsidR="00E1132E" w:rsidRPr="00295637">
        <w:rPr>
          <w:rFonts w:ascii="Times New Roman" w:hAnsi="Times New Roman"/>
          <w:lang w:val="sr-Latn-BA"/>
        </w:rPr>
        <w:t xml:space="preserve"> </w:t>
      </w:r>
      <w:r>
        <w:rPr>
          <w:rFonts w:ascii="Times New Roman" w:hAnsi="Times New Roman"/>
          <w:lang w:val="sr-Latn-BA"/>
        </w:rPr>
        <w:t>равноправности</w:t>
      </w:r>
      <w:r w:rsidR="00E1132E" w:rsidRPr="00295637">
        <w:rPr>
          <w:rFonts w:ascii="Times New Roman" w:hAnsi="Times New Roman"/>
          <w:lang w:val="sr-Latn-BA"/>
        </w:rPr>
        <w:t xml:space="preserve"> </w:t>
      </w:r>
      <w:r>
        <w:rPr>
          <w:rFonts w:ascii="Times New Roman" w:hAnsi="Times New Roman"/>
          <w:lang w:val="sr-Latn-BA"/>
        </w:rPr>
        <w:t>полова</w:t>
      </w:r>
      <w:r w:rsidR="007E010A" w:rsidRPr="00295637">
        <w:rPr>
          <w:rFonts w:ascii="Times New Roman" w:hAnsi="Times New Roman"/>
          <w:lang w:val="sr-Latn-BA"/>
        </w:rPr>
        <w:t xml:space="preserve">, </w:t>
      </w:r>
      <w:r>
        <w:rPr>
          <w:rFonts w:ascii="Times New Roman" w:hAnsi="Times New Roman"/>
          <w:lang w:val="sr-Latn-BA"/>
        </w:rPr>
        <w:t>те</w:t>
      </w:r>
      <w:r w:rsidR="007E010A" w:rsidRPr="00295637">
        <w:rPr>
          <w:rFonts w:ascii="Times New Roman" w:hAnsi="Times New Roman"/>
          <w:lang w:val="sr-Latn-BA"/>
        </w:rPr>
        <w:t xml:space="preserve"> </w:t>
      </w:r>
      <w:r>
        <w:rPr>
          <w:rFonts w:ascii="Times New Roman" w:hAnsi="Times New Roman"/>
          <w:lang w:val="sr-Latn-BA"/>
        </w:rPr>
        <w:t>ниво</w:t>
      </w:r>
      <w:r w:rsidR="00E1132E" w:rsidRPr="00295637">
        <w:rPr>
          <w:rFonts w:ascii="Times New Roman" w:hAnsi="Times New Roman"/>
          <w:lang w:val="sr-Latn-BA"/>
        </w:rPr>
        <w:t xml:space="preserve"> </w:t>
      </w:r>
      <w:r>
        <w:rPr>
          <w:rFonts w:ascii="Times New Roman" w:hAnsi="Times New Roman"/>
          <w:lang w:val="sr-Latn-BA"/>
        </w:rPr>
        <w:t>капацитета</w:t>
      </w:r>
      <w:r w:rsidR="00E1132E" w:rsidRPr="00295637">
        <w:rPr>
          <w:rFonts w:ascii="Times New Roman" w:hAnsi="Times New Roman"/>
          <w:lang w:val="sr-Latn-BA"/>
        </w:rPr>
        <w:t xml:space="preserve"> </w:t>
      </w:r>
      <w:r>
        <w:rPr>
          <w:rFonts w:ascii="Times New Roman" w:hAnsi="Times New Roman"/>
          <w:lang w:val="sr-Latn-BA"/>
        </w:rPr>
        <w:t>институција</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sidR="00B34E5E">
        <w:rPr>
          <w:rFonts w:ascii="Times New Roman" w:hAnsi="Times New Roman"/>
          <w:lang w:val="sr-Cyrl-BA"/>
        </w:rPr>
        <w:t>животну средину</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примјену</w:t>
      </w:r>
      <w:r w:rsidR="00E1132E" w:rsidRPr="00295637">
        <w:rPr>
          <w:rFonts w:ascii="Times New Roman" w:hAnsi="Times New Roman"/>
          <w:lang w:val="sr-Latn-BA"/>
        </w:rPr>
        <w:t xml:space="preserve"> </w:t>
      </w:r>
      <w:r>
        <w:rPr>
          <w:rFonts w:ascii="Times New Roman" w:hAnsi="Times New Roman"/>
          <w:lang w:val="sr-Latn-BA"/>
        </w:rPr>
        <w:t>алата</w:t>
      </w:r>
      <w:r w:rsidR="00E1132E" w:rsidRPr="00295637">
        <w:rPr>
          <w:rFonts w:ascii="Times New Roman" w:hAnsi="Times New Roman"/>
          <w:lang w:val="sr-Latn-BA"/>
        </w:rPr>
        <w:t xml:space="preserve"> </w:t>
      </w:r>
      <w:r>
        <w:rPr>
          <w:rFonts w:ascii="Times New Roman" w:hAnsi="Times New Roman"/>
          <w:lang w:val="sr-Latn-BA"/>
        </w:rPr>
        <w:t>за</w:t>
      </w:r>
      <w:r w:rsidR="00E1132E" w:rsidRPr="00295637">
        <w:rPr>
          <w:rFonts w:ascii="Times New Roman" w:hAnsi="Times New Roman"/>
          <w:lang w:val="sr-Latn-BA"/>
        </w:rPr>
        <w:t xml:space="preserve"> </w:t>
      </w:r>
      <w:r>
        <w:rPr>
          <w:rFonts w:ascii="Times New Roman" w:hAnsi="Times New Roman"/>
          <w:lang w:val="sr-Latn-BA"/>
        </w:rPr>
        <w:t>интегри</w:t>
      </w:r>
      <w:r w:rsidR="00B34E5E">
        <w:rPr>
          <w:rFonts w:ascii="Times New Roman" w:hAnsi="Times New Roman"/>
          <w:lang w:val="sr-Cyrl-BA"/>
        </w:rPr>
        <w:t>с</w:t>
      </w:r>
      <w:r>
        <w:rPr>
          <w:rFonts w:ascii="Times New Roman" w:hAnsi="Times New Roman"/>
          <w:lang w:val="sr-Latn-BA"/>
        </w:rPr>
        <w:t>ање</w:t>
      </w:r>
      <w:r w:rsidR="00E1132E" w:rsidRPr="00295637">
        <w:rPr>
          <w:rFonts w:ascii="Times New Roman" w:hAnsi="Times New Roman"/>
          <w:lang w:val="sr-Latn-BA"/>
        </w:rPr>
        <w:t xml:space="preserve"> </w:t>
      </w:r>
      <w:r>
        <w:rPr>
          <w:rFonts w:ascii="Times New Roman" w:hAnsi="Times New Roman"/>
          <w:lang w:val="sr-Latn-BA"/>
        </w:rPr>
        <w:t>родне</w:t>
      </w:r>
      <w:r w:rsidR="00E1132E" w:rsidRPr="00295637">
        <w:rPr>
          <w:rFonts w:ascii="Times New Roman" w:hAnsi="Times New Roman"/>
          <w:lang w:val="sr-Latn-BA"/>
        </w:rPr>
        <w:t xml:space="preserve"> </w:t>
      </w:r>
      <w:r>
        <w:rPr>
          <w:rFonts w:ascii="Times New Roman" w:hAnsi="Times New Roman"/>
          <w:lang w:val="sr-Latn-BA"/>
        </w:rPr>
        <w:t>равноправности</w:t>
      </w:r>
      <w:r w:rsidR="00E1132E" w:rsidRPr="00295637">
        <w:rPr>
          <w:rFonts w:ascii="Times New Roman" w:hAnsi="Times New Roman"/>
          <w:lang w:val="sr-Latn-BA"/>
        </w:rPr>
        <w:t>.</w:t>
      </w:r>
    </w:p>
    <w:p w:rsidR="006768EA" w:rsidRPr="00295637" w:rsidRDefault="006768EA" w:rsidP="0086268D">
      <w:pPr>
        <w:rPr>
          <w:lang w:val="bs-Latn-BA"/>
        </w:rPr>
      </w:pPr>
    </w:p>
    <w:p w:rsidR="0086538A" w:rsidRPr="00295637" w:rsidRDefault="00B34E5E" w:rsidP="00FA38ED">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FA38ED">
        <w:rPr>
          <w:rFonts w:ascii="Times New Roman" w:hAnsi="Times New Roman"/>
          <w:szCs w:val="24"/>
          <w:lang w:val="bs-Latn-BA"/>
        </w:rPr>
        <w:t xml:space="preserve"> 8.3. </w:t>
      </w:r>
      <w:r w:rsidR="00C6214E">
        <w:rPr>
          <w:rFonts w:ascii="Times New Roman" w:hAnsi="Times New Roman"/>
          <w:szCs w:val="24"/>
          <w:lang w:val="bs-Latn-BA"/>
        </w:rPr>
        <w:t>Идентифи</w:t>
      </w:r>
      <w:r>
        <w:rPr>
          <w:rFonts w:ascii="Times New Roman" w:hAnsi="Times New Roman"/>
          <w:szCs w:val="24"/>
          <w:lang w:val="sr-Cyrl-BA"/>
        </w:rPr>
        <w:t>ковати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родна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питања</w:t>
      </w:r>
      <w:r w:rsidR="00C636D1">
        <w:rPr>
          <w:rFonts w:ascii="Times New Roman" w:hAnsi="Times New Roman"/>
          <w:szCs w:val="24"/>
          <w:lang w:val="bs-Latn-BA"/>
        </w:rPr>
        <w:t xml:space="preserve"> </w:t>
      </w:r>
      <w:r w:rsidR="00C6214E">
        <w:rPr>
          <w:rFonts w:ascii="Times New Roman" w:hAnsi="Times New Roman"/>
          <w:szCs w:val="24"/>
          <w:lang w:val="bs-Latn-BA"/>
        </w:rPr>
        <w:t>за</w:t>
      </w:r>
      <w:r w:rsidR="00C636D1">
        <w:rPr>
          <w:rFonts w:ascii="Times New Roman" w:hAnsi="Times New Roman"/>
          <w:szCs w:val="24"/>
          <w:lang w:val="bs-Latn-BA"/>
        </w:rPr>
        <w:t xml:space="preserve"> </w:t>
      </w:r>
      <w:r w:rsidR="00C6214E">
        <w:rPr>
          <w:rFonts w:ascii="Times New Roman" w:hAnsi="Times New Roman"/>
          <w:szCs w:val="24"/>
          <w:lang w:val="bs-Latn-BA"/>
        </w:rPr>
        <w:t>истраживања</w:t>
      </w:r>
      <w:r w:rsidR="00C636D1">
        <w:rPr>
          <w:rFonts w:ascii="Times New Roman" w:hAnsi="Times New Roman"/>
          <w:szCs w:val="24"/>
          <w:lang w:val="bs-Latn-BA"/>
        </w:rPr>
        <w:t xml:space="preserve">, </w:t>
      </w:r>
      <w:r w:rsidR="00C6214E">
        <w:rPr>
          <w:rFonts w:ascii="Times New Roman" w:hAnsi="Times New Roman"/>
          <w:szCs w:val="24"/>
          <w:lang w:val="bs-Latn-BA"/>
        </w:rPr>
        <w:t>нарочито</w:t>
      </w:r>
      <w:r w:rsidR="00C636D1">
        <w:rPr>
          <w:rFonts w:ascii="Times New Roman" w:hAnsi="Times New Roman"/>
          <w:szCs w:val="24"/>
          <w:lang w:val="bs-Latn-BA"/>
        </w:rPr>
        <w:t xml:space="preserve"> </w:t>
      </w:r>
      <w:r w:rsidR="00C6214E">
        <w:rPr>
          <w:rFonts w:ascii="Times New Roman" w:hAnsi="Times New Roman"/>
          <w:szCs w:val="24"/>
          <w:lang w:val="bs-Latn-BA"/>
        </w:rPr>
        <w:t>са</w:t>
      </w:r>
      <w:r w:rsidR="00356C2C" w:rsidRPr="00295637">
        <w:rPr>
          <w:rFonts w:ascii="Times New Roman" w:hAnsi="Times New Roman"/>
          <w:szCs w:val="24"/>
          <w:lang w:val="bs-Latn-BA"/>
        </w:rPr>
        <w:t xml:space="preserve"> </w:t>
      </w:r>
      <w:r w:rsidR="00C6214E">
        <w:rPr>
          <w:rFonts w:ascii="Times New Roman" w:hAnsi="Times New Roman"/>
          <w:szCs w:val="24"/>
          <w:lang w:val="bs-Latn-BA"/>
        </w:rPr>
        <w:t>аспекта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родно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осјетљивих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утицаја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људско</w:t>
      </w:r>
      <w:r w:rsidR="00356C2C" w:rsidRPr="00295637">
        <w:rPr>
          <w:rFonts w:ascii="Times New Roman" w:hAnsi="Times New Roman"/>
          <w:szCs w:val="24"/>
          <w:lang w:val="bs-Latn-BA"/>
        </w:rPr>
        <w:t xml:space="preserve"> </w:t>
      </w:r>
      <w:r w:rsidR="00C6214E">
        <w:rPr>
          <w:rFonts w:ascii="Times New Roman" w:hAnsi="Times New Roman"/>
          <w:szCs w:val="24"/>
          <w:lang w:val="bs-Latn-BA"/>
        </w:rPr>
        <w:t>здравље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изложености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природним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катастрофама</w:t>
      </w:r>
      <w:r w:rsidR="00356C2C" w:rsidRPr="00295637">
        <w:rPr>
          <w:rFonts w:ascii="Times New Roman" w:hAnsi="Times New Roman"/>
          <w:szCs w:val="24"/>
          <w:lang w:val="bs-Latn-BA"/>
        </w:rPr>
        <w:t>.</w:t>
      </w:r>
    </w:p>
    <w:p w:rsidR="006831C1" w:rsidRPr="00295637" w:rsidRDefault="006831C1" w:rsidP="0086268D">
      <w:pPr>
        <w:tabs>
          <w:tab w:val="left" w:pos="284"/>
          <w:tab w:val="left" w:pos="630"/>
          <w:tab w:val="left" w:pos="1080"/>
        </w:tabs>
        <w:ind w:left="1080"/>
        <w:jc w:val="both"/>
        <w:rPr>
          <w:rFonts w:ascii="Times New Roman" w:hAnsi="Times New Roman"/>
          <w:szCs w:val="24"/>
          <w:lang w:val="bs-Latn-BA"/>
        </w:rPr>
      </w:pPr>
    </w:p>
    <w:p w:rsidR="006768EA" w:rsidRPr="00D139B5" w:rsidRDefault="00C6214E" w:rsidP="0086268D">
      <w:pPr>
        <w:contextualSpacing/>
        <w:jc w:val="both"/>
        <w:rPr>
          <w:rFonts w:ascii="Times New Roman" w:eastAsia="SimSun" w:hAnsi="Times New Roman"/>
          <w:bCs/>
          <w:szCs w:val="24"/>
          <w:lang w:val="bs-Latn-BA" w:eastAsia="zh-CN"/>
        </w:rPr>
      </w:pPr>
      <w:r>
        <w:rPr>
          <w:rFonts w:ascii="Times New Roman" w:eastAsia="SimSun" w:hAnsi="Times New Roman"/>
          <w:bCs/>
          <w:szCs w:val="24"/>
          <w:lang w:val="sr-Cyrl-BA" w:eastAsia="zh-CN"/>
        </w:rPr>
        <w:t>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оквиру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процеса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програмирања</w:t>
      </w:r>
      <w:r w:rsidR="006768EA" w:rsidRPr="00295637">
        <w:rPr>
          <w:rFonts w:ascii="Times New Roman" w:eastAsia="SimSun" w:hAnsi="Times New Roman"/>
          <w:bCs/>
          <w:szCs w:val="24"/>
          <w:lang w:val="sr-Cyrl-BA" w:eastAsia="zh-CN"/>
        </w:rPr>
        <w:t xml:space="preserve"> </w:t>
      </w:r>
      <w:r w:rsidR="00B34E5E" w:rsidRPr="00B34E5E">
        <w:rPr>
          <w:rFonts w:ascii="Times New Roman" w:eastAsia="SimSun" w:hAnsi="Times New Roman"/>
          <w:bCs/>
          <w:i/>
          <w:szCs w:val="24"/>
          <w:lang w:val="bs-Latn-BA" w:eastAsia="zh-CN"/>
        </w:rPr>
        <w:t>IPA</w:t>
      </w:r>
      <w:r w:rsidR="006768EA" w:rsidRPr="00295637">
        <w:rPr>
          <w:rFonts w:ascii="Times New Roman" w:eastAsia="SimSun" w:hAnsi="Times New Roman"/>
          <w:bCs/>
          <w:szCs w:val="24"/>
          <w:lang w:val="sr-Cyrl-BA" w:eastAsia="zh-CN"/>
        </w:rPr>
        <w:t xml:space="preserve"> 2025</w:t>
      </w:r>
      <w:r w:rsidR="00C636D1">
        <w:rPr>
          <w:rFonts w:ascii="Times New Roman" w:eastAsia="SimSun" w:hAnsi="Times New Roman"/>
          <w:bCs/>
          <w:szCs w:val="24"/>
          <w:lang w:val="bs-Latn-BA" w:eastAsia="zh-CN"/>
        </w:rPr>
        <w:t>-</w:t>
      </w:r>
      <w:r w:rsidR="006768EA" w:rsidRPr="00295637">
        <w:rPr>
          <w:rFonts w:ascii="Times New Roman" w:eastAsia="SimSun" w:hAnsi="Times New Roman"/>
          <w:bCs/>
          <w:szCs w:val="24"/>
          <w:lang w:val="sr-Cyrl-BA" w:eastAsia="zh-CN"/>
        </w:rPr>
        <w:t>2027</w:t>
      </w:r>
      <w:r w:rsidR="00C636D1">
        <w:rPr>
          <w:rFonts w:ascii="Times New Roman" w:eastAsia="SimSun" w:hAnsi="Times New Roman"/>
          <w:bCs/>
          <w:szCs w:val="24"/>
          <w:lang w:val="hr-HR" w:eastAsia="zh-CN"/>
        </w:rPr>
        <w:t xml:space="preserve">. </w:t>
      </w:r>
      <w:r>
        <w:rPr>
          <w:rFonts w:ascii="Times New Roman" w:eastAsia="SimSun" w:hAnsi="Times New Roman"/>
          <w:bCs/>
          <w:szCs w:val="24"/>
          <w:lang w:val="hr-HR" w:eastAsia="zh-CN"/>
        </w:rPr>
        <w:t>година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hr-HR" w:eastAsia="zh-CN"/>
        </w:rPr>
        <w:t>области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заштите</w:t>
      </w:r>
      <w:r w:rsidR="006768EA" w:rsidRPr="00295637">
        <w:rPr>
          <w:rFonts w:ascii="Times New Roman" w:eastAsia="SimSun" w:hAnsi="Times New Roman"/>
          <w:bCs/>
          <w:szCs w:val="24"/>
          <w:lang w:val="sr-Cyrl-BA" w:eastAsia="zh-CN"/>
        </w:rPr>
        <w:t xml:space="preserve"> </w:t>
      </w:r>
      <w:r w:rsidR="00B34E5E">
        <w:rPr>
          <w:rFonts w:ascii="Times New Roman" w:eastAsia="SimSun" w:hAnsi="Times New Roman"/>
          <w:bCs/>
          <w:szCs w:val="24"/>
          <w:lang w:val="sr-Cyrl-BA" w:eastAsia="zh-CN"/>
        </w:rPr>
        <w:t>жив</w:t>
      </w:r>
      <w:r w:rsidR="00E738A0">
        <w:rPr>
          <w:rFonts w:ascii="Times New Roman" w:eastAsia="SimSun" w:hAnsi="Times New Roman"/>
          <w:bCs/>
          <w:szCs w:val="24"/>
          <w:lang w:val="sr-Cyrl-BA" w:eastAsia="zh-CN"/>
        </w:rPr>
        <w:t>о</w:t>
      </w:r>
      <w:r w:rsidR="00B34E5E">
        <w:rPr>
          <w:rFonts w:ascii="Times New Roman" w:eastAsia="SimSun" w:hAnsi="Times New Roman"/>
          <w:bCs/>
          <w:szCs w:val="24"/>
          <w:lang w:val="sr-Cyrl-BA" w:eastAsia="zh-CN"/>
        </w:rPr>
        <w:t>тне средине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те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развоја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припадајућих</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hr-HR" w:eastAsia="zh-CN"/>
        </w:rPr>
        <w:t>акци</w:t>
      </w:r>
      <w:r w:rsidR="00B34E5E">
        <w:rPr>
          <w:rFonts w:ascii="Times New Roman" w:eastAsia="SimSun" w:hAnsi="Times New Roman"/>
          <w:bCs/>
          <w:szCs w:val="24"/>
          <w:lang w:val="sr-Cyrl-BA" w:eastAsia="zh-CN"/>
        </w:rPr>
        <w:t>оних</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докумената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т</w:t>
      </w:r>
      <w:r>
        <w:rPr>
          <w:rFonts w:ascii="Times New Roman" w:eastAsia="SimSun" w:hAnsi="Times New Roman"/>
          <w:bCs/>
          <w:szCs w:val="24"/>
          <w:lang w:val="hr-HR" w:eastAsia="zh-CN"/>
        </w:rPr>
        <w:t>о</w:t>
      </w:r>
      <w:r>
        <w:rPr>
          <w:rFonts w:ascii="Times New Roman" w:eastAsia="SimSun" w:hAnsi="Times New Roman"/>
          <w:bCs/>
          <w:szCs w:val="24"/>
          <w:lang w:val="sr-Cyrl-BA" w:eastAsia="zh-CN"/>
        </w:rPr>
        <w:t>ком</w:t>
      </w:r>
      <w:r w:rsidR="006768EA" w:rsidRPr="00295637">
        <w:rPr>
          <w:rFonts w:ascii="Times New Roman" w:eastAsia="SimSun" w:hAnsi="Times New Roman"/>
          <w:bCs/>
          <w:szCs w:val="24"/>
          <w:lang w:val="sr-Cyrl-BA" w:eastAsia="zh-CN"/>
        </w:rPr>
        <w:t xml:space="preserve"> 2024. </w:t>
      </w:r>
      <w:r>
        <w:rPr>
          <w:rFonts w:ascii="Times New Roman" w:eastAsia="SimSun" w:hAnsi="Times New Roman"/>
          <w:bCs/>
          <w:szCs w:val="24"/>
          <w:lang w:val="sr-Cyrl-BA" w:eastAsia="zh-CN"/>
        </w:rPr>
        <w:t>године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bs-Latn-BA" w:eastAsia="zh-CN"/>
        </w:rPr>
        <w:t>АР</w:t>
      </w:r>
      <w:r w:rsidR="00B34E5E">
        <w:rPr>
          <w:rFonts w:ascii="Times New Roman" w:eastAsia="SimSun" w:hAnsi="Times New Roman"/>
          <w:bCs/>
          <w:szCs w:val="24"/>
          <w:lang w:val="sr-Cyrl-BA" w:eastAsia="zh-CN"/>
        </w:rPr>
        <w:t>П</w:t>
      </w:r>
      <w:r w:rsidR="00C636D1">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БиХ</w:t>
      </w:r>
      <w:r w:rsidR="00C636D1">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МЉПИ</w:t>
      </w:r>
      <w:r w:rsidR="00C636D1">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БиХ</w:t>
      </w:r>
      <w:r w:rsidR="00FA38ED">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доприносила</w:t>
      </w:r>
      <w:r w:rsidR="00D139B5">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је</w:t>
      </w:r>
      <w:r w:rsidR="00C636D1">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интегри</w:t>
      </w:r>
      <w:r w:rsidR="00B34E5E">
        <w:rPr>
          <w:rFonts w:ascii="Times New Roman" w:eastAsia="SimSun" w:hAnsi="Times New Roman"/>
          <w:bCs/>
          <w:szCs w:val="24"/>
          <w:lang w:val="sr-Cyrl-BA" w:eastAsia="zh-CN"/>
        </w:rPr>
        <w:t>с</w:t>
      </w:r>
      <w:r>
        <w:rPr>
          <w:rFonts w:ascii="Times New Roman" w:eastAsia="SimSun" w:hAnsi="Times New Roman"/>
          <w:bCs/>
          <w:szCs w:val="24"/>
          <w:lang w:val="bs-Latn-BA" w:eastAsia="zh-CN"/>
        </w:rPr>
        <w:t>ању</w:t>
      </w:r>
      <w:r w:rsidR="00D139B5">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перспективе</w:t>
      </w:r>
      <w:r w:rsidR="00D139B5">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равноправности</w:t>
      </w:r>
      <w:r w:rsidR="00D139B5">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полова</w:t>
      </w:r>
      <w:r w:rsidR="00D139B5">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у</w:t>
      </w:r>
      <w:r w:rsidR="00D139B5">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поменуте</w:t>
      </w:r>
      <w:r w:rsidR="00D139B5">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документе</w:t>
      </w:r>
      <w:r w:rsidR="00D139B5">
        <w:rPr>
          <w:rFonts w:ascii="Times New Roman" w:eastAsia="SimSun" w:hAnsi="Times New Roman"/>
          <w:bCs/>
          <w:szCs w:val="24"/>
          <w:lang w:val="bs-Latn-BA" w:eastAsia="zh-CN"/>
        </w:rPr>
        <w:t xml:space="preserve">, </w:t>
      </w:r>
      <w:r>
        <w:rPr>
          <w:rFonts w:ascii="Times New Roman" w:eastAsia="SimSun" w:hAnsi="Times New Roman"/>
          <w:bCs/>
          <w:szCs w:val="24"/>
          <w:lang w:val="bs-Latn-BA" w:eastAsia="zh-CN"/>
        </w:rPr>
        <w:t>а</w:t>
      </w:r>
      <w:r w:rsidR="00D139B5">
        <w:rPr>
          <w:rFonts w:ascii="Times New Roman" w:eastAsia="SimSun" w:hAnsi="Times New Roman"/>
          <w:bCs/>
          <w:szCs w:val="24"/>
          <w:lang w:val="bs-Latn-BA" w:eastAsia="zh-CN"/>
        </w:rPr>
        <w:t xml:space="preserve"> </w:t>
      </w:r>
      <w:r>
        <w:rPr>
          <w:rFonts w:ascii="Times New Roman" w:eastAsia="SimSun" w:hAnsi="Times New Roman"/>
          <w:bCs/>
          <w:szCs w:val="24"/>
          <w:lang w:val="sr-Cyrl-BA" w:eastAsia="zh-CN"/>
        </w:rPr>
        <w:t>развијени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посебни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обрасци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за</w:t>
      </w:r>
      <w:r w:rsidR="00B26225"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мултидисциплинарна</w:t>
      </w:r>
      <w:r w:rsidR="00B26225"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питања</w:t>
      </w:r>
      <w:r w:rsidR="00B26225"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који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укључују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родну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равноправност</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те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ут</w:t>
      </w:r>
      <w:r>
        <w:rPr>
          <w:rFonts w:ascii="Times New Roman" w:eastAsia="SimSun" w:hAnsi="Times New Roman"/>
          <w:bCs/>
          <w:szCs w:val="24"/>
          <w:lang w:val="hr-HR" w:eastAsia="zh-CN"/>
        </w:rPr>
        <w:t>и</w:t>
      </w:r>
      <w:r>
        <w:rPr>
          <w:rFonts w:ascii="Times New Roman" w:eastAsia="SimSun" w:hAnsi="Times New Roman"/>
          <w:bCs/>
          <w:szCs w:val="24"/>
          <w:lang w:val="sr-Cyrl-BA" w:eastAsia="zh-CN"/>
        </w:rPr>
        <w:t>цај</w:t>
      </w:r>
      <w:r w:rsidR="006768EA" w:rsidRPr="00295637">
        <w:rPr>
          <w:rFonts w:ascii="Times New Roman" w:eastAsia="SimSun" w:hAnsi="Times New Roman"/>
          <w:bCs/>
          <w:szCs w:val="24"/>
          <w:lang w:val="sr-Cyrl-BA" w:eastAsia="zh-CN"/>
        </w:rPr>
        <w:t xml:space="preserve"> </w:t>
      </w:r>
      <w:r w:rsidR="00B34E5E">
        <w:rPr>
          <w:rFonts w:ascii="Times New Roman" w:eastAsia="SimSun" w:hAnsi="Times New Roman"/>
          <w:bCs/>
          <w:szCs w:val="24"/>
          <w:lang w:val="sr-Cyrl-BA" w:eastAsia="zh-CN"/>
        </w:rPr>
        <w:t>животне средине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на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здравље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људи</w:t>
      </w:r>
      <w:r w:rsidR="006768EA" w:rsidRPr="00295637">
        <w:rPr>
          <w:rFonts w:ascii="Times New Roman" w:eastAsia="SimSun" w:hAnsi="Times New Roman"/>
          <w:bCs/>
          <w:szCs w:val="24"/>
          <w:lang w:val="sr-Cyrl-BA" w:eastAsia="zh-CN"/>
        </w:rPr>
        <w:t xml:space="preserve">. </w:t>
      </w:r>
    </w:p>
    <w:p w:rsidR="006768EA" w:rsidRPr="00295637" w:rsidRDefault="006768EA" w:rsidP="0086268D">
      <w:pPr>
        <w:pStyle w:val="ListParagraph"/>
        <w:jc w:val="both"/>
        <w:rPr>
          <w:rFonts w:ascii="Times New Roman" w:eastAsia="SimSun" w:hAnsi="Times New Roman"/>
          <w:bCs/>
          <w:szCs w:val="24"/>
          <w:lang w:val="sr-Cyrl-BA" w:eastAsia="zh-CN"/>
        </w:rPr>
      </w:pPr>
    </w:p>
    <w:p w:rsidR="006768EA" w:rsidRPr="00295637" w:rsidRDefault="00C6214E" w:rsidP="0086268D">
      <w:pPr>
        <w:contextualSpacing/>
        <w:jc w:val="both"/>
        <w:rPr>
          <w:rFonts w:ascii="Times New Roman" w:eastAsia="SimSun" w:hAnsi="Times New Roman"/>
          <w:bCs/>
          <w:szCs w:val="24"/>
          <w:lang w:val="sr-Cyrl-BA" w:eastAsia="zh-CN"/>
        </w:rPr>
      </w:pPr>
      <w:r>
        <w:rPr>
          <w:rFonts w:ascii="Times New Roman" w:eastAsia="SimSun" w:hAnsi="Times New Roman"/>
          <w:bCs/>
          <w:szCs w:val="24"/>
          <w:lang w:val="hr-HR" w:eastAsia="zh-CN"/>
        </w:rPr>
        <w:t>Током</w:t>
      </w:r>
      <w:r w:rsidR="006768EA" w:rsidRPr="00295637">
        <w:rPr>
          <w:rFonts w:ascii="Times New Roman" w:eastAsia="SimSun" w:hAnsi="Times New Roman"/>
          <w:bCs/>
          <w:szCs w:val="24"/>
          <w:lang w:val="sr-Cyrl-BA" w:eastAsia="zh-CN"/>
        </w:rPr>
        <w:t xml:space="preserve"> 2024. </w:t>
      </w:r>
      <w:r>
        <w:rPr>
          <w:rFonts w:ascii="Times New Roman" w:eastAsia="SimSun" w:hAnsi="Times New Roman"/>
          <w:bCs/>
          <w:szCs w:val="24"/>
          <w:lang w:val="sr-Cyrl-BA" w:eastAsia="zh-CN"/>
        </w:rPr>
        <w:t>године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почел</w:t>
      </w:r>
      <w:r w:rsidR="00B34E5E">
        <w:rPr>
          <w:rFonts w:ascii="Times New Roman" w:eastAsia="SimSun" w:hAnsi="Times New Roman"/>
          <w:bCs/>
          <w:szCs w:val="24"/>
          <w:lang w:val="sr-Cyrl-BA" w:eastAsia="zh-CN"/>
        </w:rPr>
        <w:t>о</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је</w:t>
      </w:r>
      <w:r w:rsidR="006768EA" w:rsidRPr="00295637">
        <w:rPr>
          <w:rFonts w:ascii="Times New Roman" w:eastAsia="SimSun" w:hAnsi="Times New Roman"/>
          <w:bCs/>
          <w:szCs w:val="24"/>
          <w:lang w:val="sr-Cyrl-BA" w:eastAsia="zh-CN"/>
        </w:rPr>
        <w:t xml:space="preserve"> </w:t>
      </w:r>
      <w:r w:rsidR="00B34E5E">
        <w:rPr>
          <w:rFonts w:ascii="Times New Roman" w:eastAsia="SimSun" w:hAnsi="Times New Roman"/>
          <w:bCs/>
          <w:szCs w:val="24"/>
          <w:lang w:val="sr-Cyrl-BA" w:eastAsia="zh-CN"/>
        </w:rPr>
        <w:t>спровођење</w:t>
      </w:r>
      <w:r w:rsidR="006768EA" w:rsidRPr="00295637">
        <w:rPr>
          <w:rFonts w:ascii="Times New Roman" w:eastAsia="SimSun" w:hAnsi="Times New Roman"/>
          <w:bCs/>
          <w:szCs w:val="24"/>
          <w:lang w:val="sr-Cyrl-BA" w:eastAsia="zh-CN"/>
        </w:rPr>
        <w:t xml:space="preserve"> </w:t>
      </w:r>
      <w:r w:rsidR="00B34E5E" w:rsidRPr="00B34E5E">
        <w:rPr>
          <w:rFonts w:ascii="Times New Roman" w:eastAsia="SimSun" w:hAnsi="Times New Roman"/>
          <w:bCs/>
          <w:i/>
          <w:szCs w:val="24"/>
          <w:lang w:val="bs-Latn-BA" w:eastAsia="zh-CN"/>
        </w:rPr>
        <w:t>IPA</w:t>
      </w:r>
      <w:r w:rsidR="006768EA" w:rsidRPr="00295637">
        <w:rPr>
          <w:rFonts w:ascii="Times New Roman" w:eastAsia="SimSun" w:hAnsi="Times New Roman"/>
          <w:bCs/>
          <w:szCs w:val="24"/>
          <w:lang w:val="sr-Cyrl-BA" w:eastAsia="zh-CN"/>
        </w:rPr>
        <w:t xml:space="preserve"> 2020</w:t>
      </w:r>
      <w:r w:rsidR="00C636D1">
        <w:rPr>
          <w:rFonts w:ascii="Times New Roman" w:eastAsia="SimSun" w:hAnsi="Times New Roman"/>
          <w:bCs/>
          <w:szCs w:val="24"/>
          <w:lang w:val="hr-HR" w:eastAsia="zh-CN"/>
        </w:rPr>
        <w:t>.</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пројекта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чији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је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циљ</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даље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усклађивање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политика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прописа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w:t>
      </w:r>
      <w:r w:rsidR="00050016">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БиХ</w:t>
      </w:r>
      <w:r w:rsidR="00C636D1">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w:t>
      </w:r>
      <w:r>
        <w:rPr>
          <w:rFonts w:ascii="Times New Roman" w:eastAsia="SimSun" w:hAnsi="Times New Roman"/>
          <w:bCs/>
          <w:szCs w:val="24"/>
          <w:lang w:val="hr-HR" w:eastAsia="zh-CN"/>
        </w:rPr>
        <w:t>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ЕУ</w:t>
      </w:r>
      <w:r w:rsidR="006768EA" w:rsidRPr="00295637">
        <w:rPr>
          <w:rFonts w:ascii="Times New Roman" w:hAnsi="Times New Roman"/>
          <w:szCs w:val="24"/>
        </w:rPr>
        <w:t xml:space="preserve"> </w:t>
      </w:r>
      <w:r w:rsidR="00B34E5E" w:rsidRPr="00B34E5E">
        <w:rPr>
          <w:rFonts w:ascii="Times New Roman" w:eastAsia="SimSun" w:hAnsi="Times New Roman"/>
          <w:bCs/>
          <w:i/>
          <w:iCs/>
          <w:szCs w:val="24"/>
          <w:lang w:val="sr-Cyrl-BA" w:eastAsia="zh-CN"/>
        </w:rPr>
        <w:t>acquis</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као</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развој</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инфраструктуре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hr-HR" w:eastAsia="zh-CN"/>
        </w:rPr>
        <w:t>области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водоснабдијевања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Индиректни</w:t>
      </w:r>
      <w:r w:rsidR="006768EA" w:rsidRPr="00295637">
        <w:rPr>
          <w:rFonts w:ascii="Times New Roman" w:eastAsia="SimSun" w:hAnsi="Times New Roman"/>
          <w:bCs/>
          <w:szCs w:val="24"/>
          <w:lang w:val="sr-Cyrl-BA" w:eastAsia="zh-CN"/>
        </w:rPr>
        <w:t xml:space="preserve"> </w:t>
      </w:r>
      <w:r w:rsidR="00E738A0">
        <w:rPr>
          <w:rFonts w:ascii="Times New Roman" w:eastAsia="SimSun" w:hAnsi="Times New Roman"/>
          <w:bCs/>
          <w:szCs w:val="24"/>
          <w:lang w:val="sr-Cyrl-BA" w:eastAsia="zh-CN"/>
        </w:rPr>
        <w:t>утицај</w:t>
      </w:r>
      <w:r w:rsidR="00E738A0"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свих</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планираних</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активности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укључује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побољшање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стања</w:t>
      </w:r>
      <w:r w:rsidR="006768EA" w:rsidRPr="00295637">
        <w:rPr>
          <w:rFonts w:ascii="Times New Roman" w:eastAsia="SimSun" w:hAnsi="Times New Roman"/>
          <w:bCs/>
          <w:szCs w:val="24"/>
          <w:lang w:val="sr-Cyrl-BA" w:eastAsia="zh-CN"/>
        </w:rPr>
        <w:t xml:space="preserve"> </w:t>
      </w:r>
      <w:r w:rsidR="00B34E5E">
        <w:rPr>
          <w:rFonts w:ascii="Times New Roman" w:eastAsia="SimSun" w:hAnsi="Times New Roman"/>
          <w:bCs/>
          <w:szCs w:val="24"/>
          <w:lang w:val="sr-Cyrl-BA" w:eastAsia="zh-CN"/>
        </w:rPr>
        <w:t>животне средине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одрживог</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развоја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w:t>
      </w:r>
      <w:r w:rsidR="0068491D"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БиХ</w:t>
      </w:r>
      <w:r w:rsidR="006768EA" w:rsidRPr="00295637">
        <w:rPr>
          <w:rFonts w:ascii="Times New Roman" w:eastAsia="SimSun" w:hAnsi="Times New Roman"/>
          <w:bCs/>
          <w:szCs w:val="24"/>
          <w:lang w:val="sr-Cyrl-BA" w:eastAsia="zh-CN"/>
        </w:rPr>
        <w:t>.</w:t>
      </w:r>
      <w:r w:rsidR="00C636D1">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Проје</w:t>
      </w:r>
      <w:r>
        <w:rPr>
          <w:rFonts w:ascii="Times New Roman" w:eastAsia="SimSun" w:hAnsi="Times New Roman"/>
          <w:bCs/>
          <w:szCs w:val="24"/>
          <w:lang w:val="hr-HR" w:eastAsia="zh-CN"/>
        </w:rPr>
        <w:t>ка</w:t>
      </w:r>
      <w:r>
        <w:rPr>
          <w:rFonts w:ascii="Times New Roman" w:eastAsia="SimSun" w:hAnsi="Times New Roman"/>
          <w:bCs/>
          <w:szCs w:val="24"/>
          <w:lang w:val="sr-Cyrl-BA" w:eastAsia="zh-CN"/>
        </w:rPr>
        <w:t>т</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укључује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четири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компоненте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успостав</w:t>
      </w:r>
      <w:r>
        <w:rPr>
          <w:rFonts w:ascii="Times New Roman" w:eastAsia="SimSun" w:hAnsi="Times New Roman"/>
          <w:bCs/>
          <w:szCs w:val="24"/>
          <w:lang w:val="hr-HR" w:eastAsia="zh-CN"/>
        </w:rPr>
        <w:t>љање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функционалног</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w:t>
      </w:r>
      <w:r>
        <w:rPr>
          <w:rFonts w:ascii="Times New Roman" w:eastAsia="SimSun" w:hAnsi="Times New Roman"/>
          <w:bCs/>
          <w:szCs w:val="24"/>
          <w:lang w:val="hr-HR" w:eastAsia="zh-CN"/>
        </w:rPr>
        <w:t>истема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за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извјеш</w:t>
      </w:r>
      <w:r>
        <w:rPr>
          <w:rFonts w:ascii="Times New Roman" w:eastAsia="SimSun" w:hAnsi="Times New Roman"/>
          <w:bCs/>
          <w:szCs w:val="24"/>
          <w:lang w:val="hr-HR" w:eastAsia="zh-CN"/>
        </w:rPr>
        <w:t>тавање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о</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свим</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подсекторима</w:t>
      </w:r>
      <w:r w:rsidR="006768EA" w:rsidRPr="00295637">
        <w:rPr>
          <w:rFonts w:ascii="Times New Roman" w:eastAsia="SimSun" w:hAnsi="Times New Roman"/>
          <w:bCs/>
          <w:szCs w:val="24"/>
          <w:lang w:val="sr-Cyrl-BA" w:eastAsia="zh-CN"/>
        </w:rPr>
        <w:t xml:space="preserve"> </w:t>
      </w:r>
      <w:r w:rsidR="00B34E5E">
        <w:rPr>
          <w:rFonts w:ascii="Times New Roman" w:eastAsia="SimSun" w:hAnsi="Times New Roman"/>
          <w:bCs/>
          <w:szCs w:val="24"/>
          <w:lang w:val="sr-Cyrl-BA" w:eastAsia="zh-CN"/>
        </w:rPr>
        <w:t>животне средине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hr-HR" w:eastAsia="zh-CN"/>
        </w:rPr>
        <w:t>у</w:t>
      </w:r>
      <w:r w:rsidR="00FA38ED">
        <w:rPr>
          <w:rFonts w:ascii="Times New Roman" w:eastAsia="SimSun" w:hAnsi="Times New Roman"/>
          <w:bCs/>
          <w:szCs w:val="24"/>
          <w:lang w:val="hr-HR" w:eastAsia="zh-CN"/>
        </w:rPr>
        <w:t xml:space="preserve"> </w:t>
      </w:r>
      <w:r>
        <w:rPr>
          <w:rFonts w:ascii="Times New Roman" w:eastAsia="SimSun" w:hAnsi="Times New Roman"/>
          <w:bCs/>
          <w:szCs w:val="24"/>
          <w:lang w:val="hr-HR" w:eastAsia="zh-CN"/>
        </w:rPr>
        <w:t>складу</w:t>
      </w:r>
      <w:r w:rsidR="00FA38ED">
        <w:rPr>
          <w:rFonts w:ascii="Times New Roman" w:eastAsia="SimSun" w:hAnsi="Times New Roman"/>
          <w:bCs/>
          <w:szCs w:val="24"/>
          <w:lang w:val="hr-HR" w:eastAsia="zh-CN"/>
        </w:rPr>
        <w:t xml:space="preserve"> </w:t>
      </w:r>
      <w:r>
        <w:rPr>
          <w:rFonts w:ascii="Times New Roman" w:eastAsia="SimSun" w:hAnsi="Times New Roman"/>
          <w:bCs/>
          <w:szCs w:val="24"/>
          <w:lang w:val="hr-HR" w:eastAsia="zh-CN"/>
        </w:rPr>
        <w:t>са</w:t>
      </w:r>
      <w:r w:rsidR="00C636D1">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међународним</w:t>
      </w:r>
      <w:r w:rsidR="00C636D1">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об</w:t>
      </w:r>
      <w:r>
        <w:rPr>
          <w:rFonts w:ascii="Times New Roman" w:eastAsia="SimSun" w:hAnsi="Times New Roman"/>
          <w:bCs/>
          <w:szCs w:val="24"/>
          <w:lang w:val="hr-HR" w:eastAsia="zh-CN"/>
        </w:rPr>
        <w:t>а</w:t>
      </w:r>
      <w:r>
        <w:rPr>
          <w:rFonts w:ascii="Times New Roman" w:eastAsia="SimSun" w:hAnsi="Times New Roman"/>
          <w:bCs/>
          <w:szCs w:val="24"/>
          <w:lang w:val="sr-Cyrl-BA" w:eastAsia="zh-CN"/>
        </w:rPr>
        <w:t>везама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одрживе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инвестиције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услуга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водоснабдијевања</w:t>
      </w:r>
      <w:r w:rsidR="00FA38ED">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w:t>
      </w:r>
      <w:r w:rsidR="00FA38ED">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локалним</w:t>
      </w:r>
      <w:r w:rsidR="00FA38ED">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заједницама</w:t>
      </w:r>
      <w:r w:rsidR="00FA38ED">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унапређење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поновне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упо</w:t>
      </w:r>
      <w:r>
        <w:rPr>
          <w:rFonts w:ascii="Times New Roman" w:eastAsia="SimSun" w:hAnsi="Times New Roman"/>
          <w:bCs/>
          <w:szCs w:val="24"/>
          <w:lang w:val="hr-HR" w:eastAsia="zh-CN"/>
        </w:rPr>
        <w:t>требе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материјала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кроз</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одвојено</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сакупљање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поновну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упо</w:t>
      </w:r>
      <w:r>
        <w:rPr>
          <w:rFonts w:ascii="Times New Roman" w:eastAsia="SimSun" w:hAnsi="Times New Roman"/>
          <w:bCs/>
          <w:szCs w:val="24"/>
          <w:lang w:val="hr-HR" w:eastAsia="zh-CN"/>
        </w:rPr>
        <w:t>требу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рециклирање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hr-HR" w:eastAsia="zh-CN"/>
        </w:rPr>
        <w:t>у</w:t>
      </w:r>
      <w:r w:rsidR="00FA38ED">
        <w:rPr>
          <w:rFonts w:ascii="Times New Roman" w:eastAsia="SimSun" w:hAnsi="Times New Roman"/>
          <w:bCs/>
          <w:szCs w:val="24"/>
          <w:lang w:val="hr-HR" w:eastAsia="zh-CN"/>
        </w:rPr>
        <w:t xml:space="preserve"> </w:t>
      </w:r>
      <w:r>
        <w:rPr>
          <w:rFonts w:ascii="Times New Roman" w:eastAsia="SimSun" w:hAnsi="Times New Roman"/>
          <w:bCs/>
          <w:szCs w:val="24"/>
          <w:lang w:val="hr-HR" w:eastAsia="zh-CN"/>
        </w:rPr>
        <w:t>складу</w:t>
      </w:r>
      <w:r w:rsidR="00FA38ED">
        <w:rPr>
          <w:rFonts w:ascii="Times New Roman" w:eastAsia="SimSun" w:hAnsi="Times New Roman"/>
          <w:bCs/>
          <w:szCs w:val="24"/>
          <w:lang w:val="hr-HR" w:eastAsia="zh-CN"/>
        </w:rPr>
        <w:t xml:space="preserve"> </w:t>
      </w:r>
      <w:r>
        <w:rPr>
          <w:rFonts w:ascii="Times New Roman" w:eastAsia="SimSun" w:hAnsi="Times New Roman"/>
          <w:bCs/>
          <w:szCs w:val="24"/>
          <w:lang w:val="hr-HR" w:eastAsia="zh-CN"/>
        </w:rPr>
        <w:t>са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принципима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циркуларне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економије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те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успостав</w:t>
      </w:r>
      <w:r>
        <w:rPr>
          <w:rFonts w:ascii="Times New Roman" w:eastAsia="SimSun" w:hAnsi="Times New Roman"/>
          <w:bCs/>
          <w:szCs w:val="24"/>
          <w:lang w:val="hr-HR" w:eastAsia="zh-CN"/>
        </w:rPr>
        <w:t>љање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отпорнијих</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структура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за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одговор</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ванредним</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ситуацијама</w:t>
      </w:r>
      <w:r w:rsidR="006768EA" w:rsidRPr="00295637">
        <w:rPr>
          <w:rFonts w:ascii="Times New Roman" w:eastAsia="SimSun" w:hAnsi="Times New Roman"/>
          <w:bCs/>
          <w:szCs w:val="24"/>
          <w:lang w:val="sr-Cyrl-BA" w:eastAsia="zh-CN"/>
        </w:rPr>
        <w:t>.</w:t>
      </w:r>
      <w:r w:rsidR="0068491D" w:rsidRPr="00295637">
        <w:rPr>
          <w:rFonts w:ascii="Times New Roman" w:eastAsia="SimSun" w:hAnsi="Times New Roman"/>
          <w:bCs/>
          <w:szCs w:val="24"/>
          <w:lang w:val="bs-Latn-BA" w:eastAsia="zh-CN"/>
        </w:rPr>
        <w:t xml:space="preserve"> </w:t>
      </w:r>
      <w:r>
        <w:rPr>
          <w:rFonts w:ascii="Times New Roman" w:eastAsia="SimSun" w:hAnsi="Times New Roman"/>
          <w:bCs/>
          <w:szCs w:val="24"/>
          <w:lang w:val="sr-Cyrl-BA" w:eastAsia="zh-CN"/>
        </w:rPr>
        <w:t>Све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компоненте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укључују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јачање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свијести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о</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заштит</w:t>
      </w:r>
      <w:r w:rsidR="00B34E5E">
        <w:rPr>
          <w:rFonts w:ascii="Times New Roman" w:eastAsia="SimSun" w:hAnsi="Times New Roman"/>
          <w:bCs/>
          <w:szCs w:val="24"/>
          <w:lang w:val="sr-Cyrl-BA" w:eastAsia="zh-CN"/>
        </w:rPr>
        <w:t>и</w:t>
      </w:r>
      <w:r w:rsidR="006768EA" w:rsidRPr="00295637">
        <w:rPr>
          <w:rFonts w:ascii="Times New Roman" w:eastAsia="SimSun" w:hAnsi="Times New Roman"/>
          <w:bCs/>
          <w:szCs w:val="24"/>
          <w:lang w:val="sr-Cyrl-BA" w:eastAsia="zh-CN"/>
        </w:rPr>
        <w:t xml:space="preserve"> </w:t>
      </w:r>
      <w:r w:rsidR="00B34E5E">
        <w:rPr>
          <w:rFonts w:ascii="Times New Roman" w:eastAsia="SimSun" w:hAnsi="Times New Roman"/>
          <w:bCs/>
          <w:szCs w:val="24"/>
          <w:lang w:val="sr-Cyrl-BA" w:eastAsia="zh-CN"/>
        </w:rPr>
        <w:t>животне средине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укључивање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рањивих</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hr-HR" w:eastAsia="zh-CN"/>
        </w:rPr>
        <w:t>група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пром</w:t>
      </w:r>
      <w:r>
        <w:rPr>
          <w:rFonts w:ascii="Times New Roman" w:eastAsia="SimSun" w:hAnsi="Times New Roman"/>
          <w:bCs/>
          <w:szCs w:val="24"/>
          <w:lang w:val="hr-HR" w:eastAsia="zh-CN"/>
        </w:rPr>
        <w:t>оција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социјалне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једнакости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као</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и</w:t>
      </w:r>
      <w:r w:rsidR="006768EA" w:rsidRPr="00295637">
        <w:rPr>
          <w:rFonts w:ascii="Times New Roman" w:eastAsia="SimSun" w:hAnsi="Times New Roman"/>
          <w:bCs/>
          <w:szCs w:val="24"/>
          <w:lang w:val="sr-Cyrl-BA" w:eastAsia="zh-CN"/>
        </w:rPr>
        <w:t xml:space="preserve"> </w:t>
      </w:r>
      <w:r w:rsidR="00B34E5E">
        <w:rPr>
          <w:rFonts w:ascii="Times New Roman" w:eastAsia="SimSun" w:hAnsi="Times New Roman"/>
          <w:bCs/>
          <w:szCs w:val="24"/>
          <w:lang w:val="sr-Cyrl-BA" w:eastAsia="zh-CN"/>
        </w:rPr>
        <w:t>спровођење</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кампања</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о</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јачању</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свијести</w:t>
      </w:r>
      <w:r w:rsidR="006768EA" w:rsidRPr="00295637">
        <w:rPr>
          <w:rFonts w:ascii="Times New Roman" w:eastAsia="SimSun" w:hAnsi="Times New Roman"/>
          <w:bCs/>
          <w:szCs w:val="24"/>
          <w:lang w:val="sr-Cyrl-BA" w:eastAsia="zh-CN"/>
        </w:rPr>
        <w:t xml:space="preserve"> </w:t>
      </w:r>
      <w:r>
        <w:rPr>
          <w:rFonts w:ascii="Times New Roman" w:eastAsia="SimSun" w:hAnsi="Times New Roman"/>
          <w:bCs/>
          <w:szCs w:val="24"/>
          <w:lang w:val="sr-Cyrl-BA" w:eastAsia="zh-CN"/>
        </w:rPr>
        <w:t>грађана</w:t>
      </w:r>
      <w:r w:rsidR="006768EA" w:rsidRPr="00295637">
        <w:rPr>
          <w:rFonts w:ascii="Times New Roman" w:eastAsia="SimSun" w:hAnsi="Times New Roman"/>
          <w:bCs/>
          <w:szCs w:val="24"/>
          <w:lang w:val="sr-Cyrl-BA" w:eastAsia="zh-CN"/>
        </w:rPr>
        <w:t>.</w:t>
      </w:r>
    </w:p>
    <w:p w:rsidR="006768EA" w:rsidRPr="00295637" w:rsidRDefault="006768EA" w:rsidP="0086268D">
      <w:pPr>
        <w:jc w:val="both"/>
        <w:rPr>
          <w:rFonts w:ascii="Times New Roman" w:eastAsia="SimSun" w:hAnsi="Times New Roman"/>
          <w:bCs/>
          <w:szCs w:val="24"/>
          <w:lang w:val="sr-Cyrl-BA" w:eastAsia="zh-CN"/>
        </w:rPr>
      </w:pPr>
    </w:p>
    <w:p w:rsidR="00097449" w:rsidRPr="00E738A0" w:rsidRDefault="00C6214E" w:rsidP="0086268D">
      <w:pPr>
        <w:jc w:val="both"/>
        <w:rPr>
          <w:rStyle w:val="y2iqfc"/>
          <w:rFonts w:ascii="Times New Roman" w:hAnsi="Times New Roman"/>
          <w:szCs w:val="24"/>
          <w:lang w:val="hr-HR"/>
        </w:rPr>
      </w:pPr>
      <w:r>
        <w:rPr>
          <w:rFonts w:ascii="Times New Roman" w:eastAsia="SimSun" w:hAnsi="Times New Roman"/>
          <w:bCs/>
          <w:szCs w:val="24"/>
          <w:lang w:eastAsia="zh-CN"/>
        </w:rPr>
        <w:t>АР</w:t>
      </w:r>
      <w:r w:rsidR="0009304B">
        <w:rPr>
          <w:rFonts w:ascii="Times New Roman" w:eastAsia="SimSun" w:hAnsi="Times New Roman"/>
          <w:bCs/>
          <w:szCs w:val="24"/>
          <w:lang w:val="sr-Cyrl-BA" w:eastAsia="zh-CN"/>
        </w:rPr>
        <w:t>П</w:t>
      </w:r>
      <w:r w:rsidR="003A2305">
        <w:rPr>
          <w:rFonts w:ascii="Times New Roman" w:eastAsia="SimSun" w:hAnsi="Times New Roman"/>
          <w:bCs/>
          <w:szCs w:val="24"/>
          <w:lang w:eastAsia="zh-CN"/>
        </w:rPr>
        <w:t xml:space="preserve"> </w:t>
      </w:r>
      <w:r>
        <w:rPr>
          <w:rFonts w:ascii="Times New Roman" w:eastAsia="SimSun" w:hAnsi="Times New Roman"/>
          <w:bCs/>
          <w:szCs w:val="24"/>
          <w:lang w:eastAsia="zh-CN"/>
        </w:rPr>
        <w:t>БиХ</w:t>
      </w:r>
      <w:r w:rsidR="003A2305">
        <w:rPr>
          <w:rFonts w:ascii="Times New Roman" w:eastAsia="SimSun" w:hAnsi="Times New Roman"/>
          <w:bCs/>
          <w:szCs w:val="24"/>
          <w:lang w:eastAsia="zh-CN"/>
        </w:rPr>
        <w:t xml:space="preserve"> </w:t>
      </w:r>
      <w:r>
        <w:rPr>
          <w:rFonts w:ascii="Times New Roman" w:eastAsia="SimSun" w:hAnsi="Times New Roman"/>
          <w:bCs/>
          <w:szCs w:val="24"/>
          <w:lang w:eastAsia="zh-CN"/>
        </w:rPr>
        <w:t>МЉПИ</w:t>
      </w:r>
      <w:r w:rsidR="003A2305">
        <w:rPr>
          <w:rFonts w:ascii="Times New Roman" w:eastAsia="SimSun" w:hAnsi="Times New Roman"/>
          <w:bCs/>
          <w:szCs w:val="24"/>
          <w:lang w:eastAsia="zh-CN"/>
        </w:rPr>
        <w:t xml:space="preserve"> </w:t>
      </w:r>
      <w:r>
        <w:rPr>
          <w:rFonts w:ascii="Times New Roman" w:eastAsia="SimSun" w:hAnsi="Times New Roman"/>
          <w:bCs/>
          <w:szCs w:val="24"/>
          <w:lang w:eastAsia="zh-CN"/>
        </w:rPr>
        <w:t>БиХ</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је</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у</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мају</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учествовала</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у</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раду</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Регионалне</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конференције</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о</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роду</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и</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смањењу</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ризика</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од</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катастрофа</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која</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је</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одржана</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у</w:t>
      </w:r>
      <w:r w:rsidR="005805B0" w:rsidRPr="00865718">
        <w:rPr>
          <w:rFonts w:ascii="Times New Roman" w:eastAsia="SimSun" w:hAnsi="Times New Roman"/>
          <w:bCs/>
          <w:szCs w:val="24"/>
          <w:lang w:eastAsia="zh-CN"/>
        </w:rPr>
        <w:t xml:space="preserve"> </w:t>
      </w:r>
      <w:r>
        <w:rPr>
          <w:rFonts w:ascii="Times New Roman" w:eastAsia="SimSun" w:hAnsi="Times New Roman"/>
          <w:bCs/>
          <w:szCs w:val="24"/>
          <w:lang w:eastAsia="zh-CN"/>
        </w:rPr>
        <w:t>Скопљу</w:t>
      </w:r>
      <w:r w:rsidR="008648C7" w:rsidRPr="00865718">
        <w:rPr>
          <w:rFonts w:ascii="Times New Roman" w:eastAsia="SimSun" w:hAnsi="Times New Roman"/>
          <w:bCs/>
          <w:szCs w:val="24"/>
          <w:lang w:eastAsia="zh-CN"/>
        </w:rPr>
        <w:t>.</w:t>
      </w:r>
      <w:r w:rsidR="00131980" w:rsidRPr="00865718">
        <w:rPr>
          <w:rFonts w:ascii="Times New Roman" w:eastAsia="SimSun" w:hAnsi="Times New Roman"/>
          <w:bCs/>
          <w:szCs w:val="24"/>
          <w:lang w:eastAsia="zh-CN"/>
        </w:rPr>
        <w:t xml:space="preserve"> </w:t>
      </w:r>
      <w:r>
        <w:rPr>
          <w:rStyle w:val="y2iqfc"/>
          <w:rFonts w:ascii="Times New Roman" w:hAnsi="Times New Roman"/>
          <w:szCs w:val="24"/>
          <w:lang w:val="hr-HR"/>
        </w:rPr>
        <w:t>Конференција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је</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истакла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трансформативну</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моћ</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оснаживања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жена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и</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дјевојчица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као</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актера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промјена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у</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смањењу</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ризика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од</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катастрофа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и</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отпорности</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на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климатске</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промјене</w:t>
      </w:r>
      <w:r w:rsidR="00131980" w:rsidRPr="00865718">
        <w:rPr>
          <w:rStyle w:val="y2iqfc"/>
          <w:rFonts w:ascii="Times New Roman" w:hAnsi="Times New Roman"/>
          <w:szCs w:val="24"/>
          <w:lang w:val="hr-HR"/>
        </w:rPr>
        <w:t xml:space="preserve">. </w:t>
      </w:r>
      <w:r w:rsidR="0009304B">
        <w:rPr>
          <w:rStyle w:val="y2iqfc"/>
          <w:rFonts w:ascii="Times New Roman" w:hAnsi="Times New Roman"/>
          <w:szCs w:val="24"/>
          <w:lang w:val="hr-HR"/>
        </w:rPr>
        <w:t>Такође</w:t>
      </w:r>
      <w:r w:rsidR="003A2305">
        <w:rPr>
          <w:rStyle w:val="y2iqfc"/>
          <w:rFonts w:ascii="Times New Roman" w:hAnsi="Times New Roman"/>
          <w:szCs w:val="24"/>
          <w:lang w:val="hr-HR"/>
        </w:rPr>
        <w:t>,</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скренута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је</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пажња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на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неопходност</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промоције</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и</w:t>
      </w:r>
      <w:r w:rsidR="00131980">
        <w:rPr>
          <w:rStyle w:val="y2iqfc"/>
          <w:rFonts w:ascii="Times New Roman" w:hAnsi="Times New Roman"/>
          <w:szCs w:val="24"/>
          <w:lang w:val="hr-HR"/>
        </w:rPr>
        <w:t xml:space="preserve"> </w:t>
      </w:r>
      <w:r>
        <w:rPr>
          <w:rStyle w:val="y2iqfc"/>
          <w:rFonts w:ascii="Times New Roman" w:hAnsi="Times New Roman"/>
          <w:szCs w:val="24"/>
          <w:lang w:val="hr-HR"/>
        </w:rPr>
        <w:t>увођења</w:t>
      </w:r>
      <w:r w:rsidR="00131980">
        <w:rPr>
          <w:rStyle w:val="y2iqfc"/>
          <w:rFonts w:ascii="Times New Roman" w:hAnsi="Times New Roman"/>
          <w:szCs w:val="24"/>
          <w:lang w:val="hr-HR"/>
        </w:rPr>
        <w:t xml:space="preserve"> </w:t>
      </w:r>
      <w:r>
        <w:rPr>
          <w:rStyle w:val="y2iqfc"/>
          <w:rFonts w:ascii="Times New Roman" w:hAnsi="Times New Roman"/>
          <w:szCs w:val="24"/>
          <w:lang w:val="hr-HR"/>
        </w:rPr>
        <w:t>родно</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осјетљивих</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приступа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у</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смањењу</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ризика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од</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катастрофа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и</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отпорности</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на</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климатске</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промјене</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подстичући</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боље</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разумијевање</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сарадњу</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и</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дјеловање</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у</w:t>
      </w:r>
      <w:r w:rsidR="00131980" w:rsidRPr="00865718">
        <w:rPr>
          <w:rStyle w:val="y2iqfc"/>
          <w:rFonts w:ascii="Times New Roman" w:hAnsi="Times New Roman"/>
          <w:szCs w:val="24"/>
          <w:lang w:val="hr-HR"/>
        </w:rPr>
        <w:t xml:space="preserve"> </w:t>
      </w:r>
      <w:r>
        <w:rPr>
          <w:rStyle w:val="y2iqfc"/>
          <w:rFonts w:ascii="Times New Roman" w:hAnsi="Times New Roman"/>
          <w:szCs w:val="24"/>
          <w:lang w:val="hr-HR"/>
        </w:rPr>
        <w:t>регији</w:t>
      </w:r>
      <w:r w:rsidR="00131980" w:rsidRPr="00865718">
        <w:rPr>
          <w:rStyle w:val="y2iqfc"/>
          <w:rFonts w:ascii="Times New Roman" w:hAnsi="Times New Roman"/>
          <w:szCs w:val="24"/>
          <w:lang w:val="hr-HR"/>
        </w:rPr>
        <w:t>.</w:t>
      </w:r>
      <w:bookmarkStart w:id="50" w:name="_Hlk102024581"/>
    </w:p>
    <w:p w:rsidR="0086268D" w:rsidRPr="00295637" w:rsidRDefault="0086268D" w:rsidP="0086268D">
      <w:pPr>
        <w:jc w:val="both"/>
        <w:rPr>
          <w:strike/>
          <w:szCs w:val="24"/>
          <w:lang w:val="bs-Latn-BA"/>
        </w:rPr>
      </w:pPr>
    </w:p>
    <w:p w:rsidR="000315E5" w:rsidRDefault="0009304B" w:rsidP="00097449">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097449">
        <w:rPr>
          <w:rFonts w:ascii="Times New Roman" w:hAnsi="Times New Roman"/>
          <w:szCs w:val="24"/>
          <w:lang w:val="bs-Latn-BA"/>
        </w:rPr>
        <w:t xml:space="preserve"> 8.4. </w:t>
      </w:r>
      <w:r w:rsidR="00C6214E">
        <w:rPr>
          <w:rFonts w:ascii="Times New Roman" w:hAnsi="Times New Roman"/>
          <w:szCs w:val="24"/>
          <w:lang w:val="bs-Latn-BA"/>
        </w:rPr>
        <w:t>Подизати</w:t>
      </w:r>
      <w:r w:rsidR="000315E5" w:rsidRPr="00295637">
        <w:rPr>
          <w:rFonts w:ascii="Times New Roman" w:hAnsi="Times New Roman"/>
          <w:szCs w:val="24"/>
          <w:lang w:val="bs-Latn-BA"/>
        </w:rPr>
        <w:t xml:space="preserve"> </w:t>
      </w:r>
      <w:r w:rsidR="00C6214E">
        <w:rPr>
          <w:rFonts w:ascii="Times New Roman" w:hAnsi="Times New Roman"/>
          <w:szCs w:val="24"/>
          <w:lang w:val="bs-Latn-BA"/>
        </w:rPr>
        <w:t>свијест</w:t>
      </w:r>
      <w:r w:rsidR="000315E5" w:rsidRPr="00295637">
        <w:rPr>
          <w:rFonts w:ascii="Times New Roman" w:hAnsi="Times New Roman"/>
          <w:szCs w:val="24"/>
          <w:lang w:val="bs-Latn-BA"/>
        </w:rPr>
        <w:t xml:space="preserve"> </w:t>
      </w:r>
      <w:r w:rsidR="00C6214E">
        <w:rPr>
          <w:rFonts w:ascii="Times New Roman" w:hAnsi="Times New Roman"/>
          <w:szCs w:val="24"/>
          <w:lang w:val="bs-Latn-BA"/>
        </w:rPr>
        <w:t>о</w:t>
      </w:r>
      <w:r w:rsidR="000315E5" w:rsidRPr="00295637">
        <w:rPr>
          <w:rFonts w:ascii="Times New Roman" w:hAnsi="Times New Roman"/>
          <w:szCs w:val="24"/>
          <w:lang w:val="bs-Latn-BA"/>
        </w:rPr>
        <w:t xml:space="preserve"> </w:t>
      </w:r>
      <w:r w:rsidR="00C6214E">
        <w:rPr>
          <w:rFonts w:ascii="Times New Roman" w:hAnsi="Times New Roman"/>
          <w:szCs w:val="24"/>
          <w:lang w:val="bs-Latn-BA"/>
        </w:rPr>
        <w:t>различитим</w:t>
      </w:r>
      <w:r w:rsidR="000315E5" w:rsidRPr="00295637">
        <w:rPr>
          <w:rFonts w:ascii="Times New Roman" w:hAnsi="Times New Roman"/>
          <w:szCs w:val="24"/>
          <w:lang w:val="bs-Latn-BA"/>
        </w:rPr>
        <w:t xml:space="preserve"> </w:t>
      </w:r>
      <w:r w:rsidR="00C6214E">
        <w:rPr>
          <w:rFonts w:ascii="Times New Roman" w:hAnsi="Times New Roman"/>
          <w:szCs w:val="24"/>
          <w:lang w:val="bs-Latn-BA"/>
        </w:rPr>
        <w:t>врстама</w:t>
      </w:r>
      <w:r w:rsidR="000315E5" w:rsidRPr="00295637">
        <w:rPr>
          <w:rFonts w:ascii="Times New Roman" w:hAnsi="Times New Roman"/>
          <w:szCs w:val="24"/>
          <w:lang w:val="bs-Latn-BA"/>
        </w:rPr>
        <w:t xml:space="preserve"> </w:t>
      </w:r>
      <w:r w:rsidR="00C6214E">
        <w:rPr>
          <w:rFonts w:ascii="Times New Roman" w:hAnsi="Times New Roman"/>
          <w:szCs w:val="24"/>
          <w:lang w:val="bs-Latn-BA"/>
        </w:rPr>
        <w:t>нових</w:t>
      </w:r>
      <w:r w:rsidR="000315E5" w:rsidRPr="00295637">
        <w:rPr>
          <w:rFonts w:ascii="Times New Roman" w:hAnsi="Times New Roman"/>
          <w:szCs w:val="24"/>
          <w:lang w:val="bs-Latn-BA"/>
        </w:rPr>
        <w:t xml:space="preserve"> </w:t>
      </w:r>
      <w:r w:rsidR="00C6214E">
        <w:rPr>
          <w:rFonts w:ascii="Times New Roman" w:hAnsi="Times New Roman"/>
          <w:szCs w:val="24"/>
          <w:lang w:val="bs-Latn-BA"/>
        </w:rPr>
        <w:t>технологија</w:t>
      </w:r>
      <w:r w:rsidR="000315E5" w:rsidRPr="00295637">
        <w:rPr>
          <w:rFonts w:ascii="Times New Roman" w:hAnsi="Times New Roman"/>
          <w:szCs w:val="24"/>
          <w:lang w:val="bs-Latn-BA"/>
        </w:rPr>
        <w:t xml:space="preserve"> </w:t>
      </w:r>
      <w:r w:rsidR="00C6214E">
        <w:rPr>
          <w:rFonts w:ascii="Times New Roman" w:hAnsi="Times New Roman"/>
          <w:szCs w:val="24"/>
          <w:lang w:val="bs-Latn-BA"/>
        </w:rPr>
        <w:t>у</w:t>
      </w:r>
      <w:r w:rsidR="000315E5"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0315E5" w:rsidRPr="00295637">
        <w:rPr>
          <w:rFonts w:ascii="Times New Roman" w:hAnsi="Times New Roman"/>
          <w:szCs w:val="24"/>
          <w:lang w:val="bs-Latn-BA"/>
        </w:rPr>
        <w:t xml:space="preserve"> </w:t>
      </w:r>
      <w:r w:rsidR="00C6214E">
        <w:rPr>
          <w:rFonts w:ascii="Times New Roman" w:hAnsi="Times New Roman"/>
          <w:szCs w:val="24"/>
          <w:lang w:val="bs-Latn-BA"/>
        </w:rPr>
        <w:t>управљања</w:t>
      </w:r>
      <w:r w:rsidR="000315E5" w:rsidRPr="00295637">
        <w:rPr>
          <w:rFonts w:ascii="Times New Roman" w:hAnsi="Times New Roman"/>
          <w:szCs w:val="24"/>
          <w:lang w:val="bs-Latn-BA"/>
        </w:rPr>
        <w:t xml:space="preserve"> </w:t>
      </w:r>
      <w:r>
        <w:rPr>
          <w:rFonts w:ascii="Times New Roman" w:hAnsi="Times New Roman"/>
          <w:szCs w:val="24"/>
          <w:lang w:val="sr-Cyrl-BA"/>
        </w:rPr>
        <w:t>животном средином</w:t>
      </w:r>
      <w:r w:rsidR="000315E5" w:rsidRPr="00295637">
        <w:rPr>
          <w:rFonts w:ascii="Times New Roman" w:hAnsi="Times New Roman"/>
          <w:szCs w:val="24"/>
          <w:lang w:val="bs-Latn-BA"/>
        </w:rPr>
        <w:t xml:space="preserve"> </w:t>
      </w:r>
      <w:r w:rsidR="00C6214E">
        <w:rPr>
          <w:rFonts w:ascii="Times New Roman" w:hAnsi="Times New Roman"/>
          <w:szCs w:val="24"/>
          <w:lang w:val="bs-Latn-BA"/>
        </w:rPr>
        <w:t>и</w:t>
      </w:r>
      <w:r w:rsidR="000315E5" w:rsidRPr="00295637">
        <w:rPr>
          <w:rFonts w:ascii="Times New Roman" w:hAnsi="Times New Roman"/>
          <w:szCs w:val="24"/>
          <w:lang w:val="bs-Latn-BA"/>
        </w:rPr>
        <w:t xml:space="preserve"> </w:t>
      </w:r>
      <w:r w:rsidR="00C6214E">
        <w:rPr>
          <w:rFonts w:ascii="Times New Roman" w:hAnsi="Times New Roman"/>
          <w:szCs w:val="24"/>
          <w:lang w:val="bs-Latn-BA"/>
        </w:rPr>
        <w:t>нетехничких</w:t>
      </w:r>
      <w:r w:rsidR="000315E5" w:rsidRPr="00295637">
        <w:rPr>
          <w:rFonts w:ascii="Times New Roman" w:hAnsi="Times New Roman"/>
          <w:szCs w:val="24"/>
          <w:lang w:val="bs-Latn-BA"/>
        </w:rPr>
        <w:t xml:space="preserve"> </w:t>
      </w:r>
      <w:r w:rsidR="00C6214E">
        <w:rPr>
          <w:rFonts w:ascii="Times New Roman" w:hAnsi="Times New Roman"/>
          <w:szCs w:val="24"/>
          <w:lang w:val="bs-Latn-BA"/>
        </w:rPr>
        <w:t>иновација</w:t>
      </w:r>
      <w:r w:rsidR="000315E5" w:rsidRPr="00295637">
        <w:rPr>
          <w:rFonts w:ascii="Times New Roman" w:hAnsi="Times New Roman"/>
          <w:szCs w:val="24"/>
          <w:lang w:val="bs-Latn-BA"/>
        </w:rPr>
        <w:t xml:space="preserve"> </w:t>
      </w:r>
      <w:r w:rsidR="00C6214E">
        <w:rPr>
          <w:rFonts w:ascii="Times New Roman" w:hAnsi="Times New Roman"/>
          <w:szCs w:val="24"/>
          <w:lang w:val="bs-Latn-BA"/>
        </w:rPr>
        <w:t>које</w:t>
      </w:r>
      <w:r w:rsidR="000315E5" w:rsidRPr="00295637">
        <w:rPr>
          <w:rFonts w:ascii="Times New Roman" w:hAnsi="Times New Roman"/>
          <w:szCs w:val="24"/>
          <w:lang w:val="bs-Latn-BA"/>
        </w:rPr>
        <w:t xml:space="preserve"> </w:t>
      </w:r>
      <w:r w:rsidR="00C6214E">
        <w:rPr>
          <w:rFonts w:ascii="Times New Roman" w:hAnsi="Times New Roman"/>
          <w:szCs w:val="24"/>
          <w:lang w:val="bs-Latn-BA"/>
        </w:rPr>
        <w:t>штеде</w:t>
      </w:r>
      <w:r w:rsidR="000315E5" w:rsidRPr="00295637">
        <w:rPr>
          <w:rFonts w:ascii="Times New Roman" w:hAnsi="Times New Roman"/>
          <w:szCs w:val="24"/>
          <w:lang w:val="bs-Latn-BA"/>
        </w:rPr>
        <w:t xml:space="preserve"> </w:t>
      </w:r>
      <w:r w:rsidR="00C6214E">
        <w:rPr>
          <w:rFonts w:ascii="Times New Roman" w:hAnsi="Times New Roman"/>
          <w:szCs w:val="24"/>
          <w:lang w:val="bs-Latn-BA"/>
        </w:rPr>
        <w:t>вријеме</w:t>
      </w:r>
      <w:r w:rsidR="000315E5" w:rsidRPr="00295637">
        <w:rPr>
          <w:rFonts w:ascii="Times New Roman" w:hAnsi="Times New Roman"/>
          <w:szCs w:val="24"/>
          <w:lang w:val="bs-Latn-BA"/>
        </w:rPr>
        <w:t xml:space="preserve"> </w:t>
      </w:r>
      <w:r w:rsidR="00C6214E">
        <w:rPr>
          <w:rFonts w:ascii="Times New Roman" w:hAnsi="Times New Roman"/>
          <w:szCs w:val="24"/>
          <w:lang w:val="bs-Latn-BA"/>
        </w:rPr>
        <w:t>и</w:t>
      </w:r>
      <w:r w:rsidR="000315E5" w:rsidRPr="00295637">
        <w:rPr>
          <w:rFonts w:ascii="Times New Roman" w:hAnsi="Times New Roman"/>
          <w:szCs w:val="24"/>
          <w:lang w:val="bs-Latn-BA"/>
        </w:rPr>
        <w:t xml:space="preserve"> </w:t>
      </w:r>
      <w:r w:rsidR="00C6214E">
        <w:rPr>
          <w:rFonts w:ascii="Times New Roman" w:hAnsi="Times New Roman"/>
          <w:szCs w:val="24"/>
          <w:lang w:val="bs-Latn-BA"/>
        </w:rPr>
        <w:t>енергију</w:t>
      </w:r>
      <w:r w:rsidR="000315E5" w:rsidRPr="00295637">
        <w:rPr>
          <w:rFonts w:ascii="Times New Roman" w:hAnsi="Times New Roman"/>
          <w:szCs w:val="24"/>
          <w:lang w:val="bs-Latn-BA"/>
        </w:rPr>
        <w:t xml:space="preserve"> </w:t>
      </w:r>
      <w:r w:rsidR="00C6214E">
        <w:rPr>
          <w:rFonts w:ascii="Times New Roman" w:hAnsi="Times New Roman"/>
          <w:szCs w:val="24"/>
          <w:lang w:val="bs-Latn-BA"/>
        </w:rPr>
        <w:t>и</w:t>
      </w:r>
      <w:r w:rsidR="000315E5" w:rsidRPr="00295637">
        <w:rPr>
          <w:rFonts w:ascii="Times New Roman" w:hAnsi="Times New Roman"/>
          <w:szCs w:val="24"/>
          <w:lang w:val="bs-Latn-BA"/>
        </w:rPr>
        <w:t xml:space="preserve"> </w:t>
      </w:r>
      <w:r w:rsidR="00C6214E">
        <w:rPr>
          <w:rFonts w:ascii="Times New Roman" w:hAnsi="Times New Roman"/>
          <w:szCs w:val="24"/>
          <w:lang w:val="bs-Latn-BA"/>
        </w:rPr>
        <w:t>које</w:t>
      </w:r>
      <w:r w:rsidR="000315E5" w:rsidRPr="00295637">
        <w:rPr>
          <w:rFonts w:ascii="Times New Roman" w:hAnsi="Times New Roman"/>
          <w:szCs w:val="24"/>
          <w:lang w:val="bs-Latn-BA"/>
        </w:rPr>
        <w:t xml:space="preserve"> </w:t>
      </w:r>
      <w:r w:rsidR="00C6214E">
        <w:rPr>
          <w:rFonts w:ascii="Times New Roman" w:hAnsi="Times New Roman"/>
          <w:szCs w:val="24"/>
          <w:lang w:val="bs-Latn-BA"/>
        </w:rPr>
        <w:t>су</w:t>
      </w:r>
      <w:r w:rsidR="000315E5" w:rsidRPr="00295637">
        <w:rPr>
          <w:rFonts w:ascii="Times New Roman" w:hAnsi="Times New Roman"/>
          <w:szCs w:val="24"/>
          <w:lang w:val="bs-Latn-BA"/>
        </w:rPr>
        <w:t xml:space="preserve"> </w:t>
      </w:r>
      <w:r w:rsidR="00C6214E">
        <w:rPr>
          <w:rFonts w:ascii="Times New Roman" w:hAnsi="Times New Roman"/>
          <w:szCs w:val="24"/>
          <w:lang w:val="bs-Latn-BA"/>
        </w:rPr>
        <w:t>прилагођене</w:t>
      </w:r>
      <w:r w:rsidR="000315E5" w:rsidRPr="00295637">
        <w:rPr>
          <w:rFonts w:ascii="Times New Roman" w:hAnsi="Times New Roman"/>
          <w:szCs w:val="24"/>
          <w:lang w:val="bs-Latn-BA"/>
        </w:rPr>
        <w:t xml:space="preserve"> </w:t>
      </w:r>
      <w:r w:rsidR="00C6214E">
        <w:rPr>
          <w:rFonts w:ascii="Times New Roman" w:hAnsi="Times New Roman"/>
          <w:szCs w:val="24"/>
          <w:lang w:val="bs-Latn-BA"/>
        </w:rPr>
        <w:t>различитим</w:t>
      </w:r>
      <w:r w:rsidR="000315E5" w:rsidRPr="00295637">
        <w:rPr>
          <w:rFonts w:ascii="Times New Roman" w:hAnsi="Times New Roman"/>
          <w:szCs w:val="24"/>
          <w:lang w:val="bs-Latn-BA"/>
        </w:rPr>
        <w:t xml:space="preserve"> </w:t>
      </w:r>
      <w:r w:rsidR="00C6214E">
        <w:rPr>
          <w:rFonts w:ascii="Times New Roman" w:hAnsi="Times New Roman"/>
          <w:szCs w:val="24"/>
          <w:lang w:val="bs-Latn-BA"/>
        </w:rPr>
        <w:t>потребама</w:t>
      </w:r>
      <w:r w:rsidR="000315E5" w:rsidRPr="00295637">
        <w:rPr>
          <w:rFonts w:ascii="Times New Roman" w:hAnsi="Times New Roman"/>
          <w:szCs w:val="24"/>
          <w:lang w:val="bs-Latn-BA"/>
        </w:rPr>
        <w:t xml:space="preserve"> </w:t>
      </w:r>
      <w:r w:rsidR="00C6214E">
        <w:rPr>
          <w:rFonts w:ascii="Times New Roman" w:hAnsi="Times New Roman"/>
          <w:szCs w:val="24"/>
          <w:lang w:val="bs-Latn-BA"/>
        </w:rPr>
        <w:t>жена</w:t>
      </w:r>
      <w:r w:rsidR="000315E5" w:rsidRPr="00295637">
        <w:rPr>
          <w:rFonts w:ascii="Times New Roman" w:hAnsi="Times New Roman"/>
          <w:szCs w:val="24"/>
          <w:lang w:val="bs-Latn-BA"/>
        </w:rPr>
        <w:t xml:space="preserve"> </w:t>
      </w:r>
      <w:r w:rsidR="00C6214E">
        <w:rPr>
          <w:rFonts w:ascii="Times New Roman" w:hAnsi="Times New Roman"/>
          <w:szCs w:val="24"/>
          <w:lang w:val="bs-Latn-BA"/>
        </w:rPr>
        <w:t>и</w:t>
      </w:r>
      <w:r w:rsidR="000315E5" w:rsidRPr="00295637">
        <w:rPr>
          <w:rFonts w:ascii="Times New Roman" w:hAnsi="Times New Roman"/>
          <w:szCs w:val="24"/>
          <w:lang w:val="bs-Latn-BA"/>
        </w:rPr>
        <w:t xml:space="preserve"> </w:t>
      </w:r>
      <w:r w:rsidR="00C6214E">
        <w:rPr>
          <w:rFonts w:ascii="Times New Roman" w:hAnsi="Times New Roman"/>
          <w:szCs w:val="24"/>
          <w:lang w:val="bs-Latn-BA"/>
        </w:rPr>
        <w:t>мушкараца</w:t>
      </w:r>
      <w:r w:rsidR="000315E5" w:rsidRPr="00295637">
        <w:rPr>
          <w:rFonts w:ascii="Times New Roman" w:hAnsi="Times New Roman"/>
          <w:szCs w:val="24"/>
          <w:lang w:val="bs-Latn-BA"/>
        </w:rPr>
        <w:t xml:space="preserve">. </w:t>
      </w:r>
    </w:p>
    <w:p w:rsidR="0086268D" w:rsidRPr="00295637" w:rsidRDefault="0086268D" w:rsidP="0086268D">
      <w:pPr>
        <w:tabs>
          <w:tab w:val="left" w:pos="284"/>
          <w:tab w:val="left" w:pos="630"/>
          <w:tab w:val="left" w:pos="1080"/>
        </w:tabs>
        <w:ind w:left="1080"/>
        <w:jc w:val="both"/>
        <w:rPr>
          <w:rFonts w:ascii="Times New Roman" w:hAnsi="Times New Roman"/>
          <w:szCs w:val="24"/>
          <w:lang w:val="bs-Latn-BA"/>
        </w:rPr>
      </w:pPr>
    </w:p>
    <w:p w:rsidR="00523574" w:rsidRPr="00295637" w:rsidRDefault="00C6214E" w:rsidP="0086268D">
      <w:pPr>
        <w:jc w:val="both"/>
        <w:rPr>
          <w:rFonts w:ascii="Times New Roman" w:eastAsia="Aptos" w:hAnsi="Times New Roman"/>
          <w:szCs w:val="24"/>
        </w:rPr>
      </w:pPr>
      <w:r>
        <w:rPr>
          <w:rFonts w:ascii="Times New Roman" w:eastAsia="Aptos" w:hAnsi="Times New Roman"/>
          <w:szCs w:val="24"/>
        </w:rPr>
        <w:t>Уз</w:t>
      </w:r>
      <w:r w:rsidR="00523574" w:rsidRPr="00295637">
        <w:rPr>
          <w:rFonts w:ascii="Times New Roman" w:eastAsia="Aptos" w:hAnsi="Times New Roman"/>
          <w:szCs w:val="24"/>
        </w:rPr>
        <w:t xml:space="preserve"> </w:t>
      </w:r>
      <w:r>
        <w:rPr>
          <w:rFonts w:ascii="Times New Roman" w:eastAsia="Aptos" w:hAnsi="Times New Roman"/>
          <w:szCs w:val="24"/>
        </w:rPr>
        <w:t>подршку</w:t>
      </w:r>
      <w:r w:rsidR="00523574" w:rsidRPr="00295637">
        <w:rPr>
          <w:rFonts w:ascii="Times New Roman" w:eastAsia="Aptos" w:hAnsi="Times New Roman"/>
          <w:szCs w:val="24"/>
        </w:rPr>
        <w:t xml:space="preserve"> </w:t>
      </w:r>
      <w:r w:rsidR="00AF62B1" w:rsidRPr="00AF62B1">
        <w:rPr>
          <w:rFonts w:ascii="Times New Roman" w:eastAsia="Aptos" w:hAnsi="Times New Roman"/>
          <w:i/>
          <w:szCs w:val="24"/>
        </w:rPr>
        <w:t>UNICEF</w:t>
      </w:r>
      <w:r w:rsidR="00523574" w:rsidRPr="00295637">
        <w:rPr>
          <w:rFonts w:ascii="Times New Roman" w:eastAsia="Aptos" w:hAnsi="Times New Roman"/>
          <w:szCs w:val="24"/>
        </w:rPr>
        <w:t>-</w:t>
      </w:r>
      <w:r>
        <w:rPr>
          <w:rFonts w:ascii="Times New Roman" w:eastAsia="Aptos" w:hAnsi="Times New Roman"/>
          <w:szCs w:val="24"/>
        </w:rPr>
        <w:t>а</w:t>
      </w:r>
      <w:r w:rsidR="00523574" w:rsidRPr="00295637">
        <w:rPr>
          <w:rFonts w:ascii="Times New Roman" w:eastAsia="Aptos" w:hAnsi="Times New Roman"/>
          <w:szCs w:val="24"/>
        </w:rPr>
        <w:t xml:space="preserve">, </w:t>
      </w:r>
      <w:r>
        <w:rPr>
          <w:rFonts w:ascii="Times New Roman" w:eastAsia="Aptos" w:hAnsi="Times New Roman"/>
          <w:szCs w:val="24"/>
        </w:rPr>
        <w:t>дјевојчице</w:t>
      </w:r>
      <w:r w:rsidR="00523574" w:rsidRPr="00295637">
        <w:rPr>
          <w:rFonts w:ascii="Times New Roman" w:eastAsia="Aptos" w:hAnsi="Times New Roman"/>
          <w:szCs w:val="24"/>
        </w:rPr>
        <w:t xml:space="preserve"> </w:t>
      </w:r>
      <w:r>
        <w:rPr>
          <w:rFonts w:ascii="Times New Roman" w:eastAsia="Aptos" w:hAnsi="Times New Roman"/>
          <w:szCs w:val="24"/>
        </w:rPr>
        <w:t>су</w:t>
      </w:r>
      <w:r w:rsidR="00523574" w:rsidRPr="00295637">
        <w:rPr>
          <w:rFonts w:ascii="Times New Roman" w:eastAsia="Aptos" w:hAnsi="Times New Roman"/>
          <w:szCs w:val="24"/>
        </w:rPr>
        <w:t xml:space="preserve"> </w:t>
      </w:r>
      <w:r>
        <w:rPr>
          <w:rFonts w:ascii="Times New Roman" w:eastAsia="Aptos" w:hAnsi="Times New Roman"/>
          <w:szCs w:val="24"/>
        </w:rPr>
        <w:t>биле</w:t>
      </w:r>
      <w:r w:rsidR="00523574" w:rsidRPr="00295637">
        <w:rPr>
          <w:rFonts w:ascii="Times New Roman" w:eastAsia="Aptos" w:hAnsi="Times New Roman"/>
          <w:szCs w:val="24"/>
        </w:rPr>
        <w:t xml:space="preserve"> </w:t>
      </w:r>
      <w:r>
        <w:rPr>
          <w:rFonts w:ascii="Times New Roman" w:eastAsia="Aptos" w:hAnsi="Times New Roman"/>
          <w:szCs w:val="24"/>
        </w:rPr>
        <w:t>кључне</w:t>
      </w:r>
      <w:r w:rsidR="00523574" w:rsidRPr="00295637">
        <w:rPr>
          <w:rFonts w:ascii="Times New Roman" w:eastAsia="Aptos" w:hAnsi="Times New Roman"/>
          <w:szCs w:val="24"/>
        </w:rPr>
        <w:t xml:space="preserve"> </w:t>
      </w:r>
      <w:r>
        <w:rPr>
          <w:rFonts w:ascii="Times New Roman" w:eastAsia="Aptos" w:hAnsi="Times New Roman"/>
          <w:szCs w:val="24"/>
        </w:rPr>
        <w:t>актерке</w:t>
      </w:r>
      <w:r w:rsidR="00523574" w:rsidRPr="00295637">
        <w:rPr>
          <w:rFonts w:ascii="Times New Roman" w:eastAsia="Aptos" w:hAnsi="Times New Roman"/>
          <w:szCs w:val="24"/>
        </w:rPr>
        <w:t xml:space="preserve"> </w:t>
      </w:r>
      <w:r>
        <w:rPr>
          <w:rFonts w:ascii="Times New Roman" w:eastAsia="Aptos" w:hAnsi="Times New Roman"/>
          <w:szCs w:val="24"/>
        </w:rPr>
        <w:t>у</w:t>
      </w:r>
      <w:r w:rsidR="00523574" w:rsidRPr="00295637">
        <w:rPr>
          <w:rFonts w:ascii="Times New Roman" w:eastAsia="Aptos" w:hAnsi="Times New Roman"/>
          <w:szCs w:val="24"/>
        </w:rPr>
        <w:t xml:space="preserve"> </w:t>
      </w:r>
      <w:r>
        <w:rPr>
          <w:rFonts w:ascii="Times New Roman" w:eastAsia="Aptos" w:hAnsi="Times New Roman"/>
          <w:szCs w:val="24"/>
        </w:rPr>
        <w:t>климатском</w:t>
      </w:r>
      <w:r w:rsidR="00523574" w:rsidRPr="00295637">
        <w:rPr>
          <w:rFonts w:ascii="Times New Roman" w:eastAsia="Aptos" w:hAnsi="Times New Roman"/>
          <w:szCs w:val="24"/>
        </w:rPr>
        <w:t xml:space="preserve"> </w:t>
      </w:r>
      <w:r>
        <w:rPr>
          <w:rFonts w:ascii="Times New Roman" w:eastAsia="Aptos" w:hAnsi="Times New Roman"/>
          <w:szCs w:val="24"/>
        </w:rPr>
        <w:t>заговарању</w:t>
      </w:r>
      <w:r w:rsidR="00523574" w:rsidRPr="00295637">
        <w:rPr>
          <w:rFonts w:ascii="Times New Roman" w:eastAsia="Aptos" w:hAnsi="Times New Roman"/>
          <w:szCs w:val="24"/>
        </w:rPr>
        <w:t>.</w:t>
      </w:r>
      <w:r w:rsidR="00523574" w:rsidRPr="00295637">
        <w:rPr>
          <w:rFonts w:ascii="Times New Roman" w:hAnsi="Times New Roman"/>
          <w:szCs w:val="24"/>
        </w:rPr>
        <w:t xml:space="preserve"> </w:t>
      </w:r>
      <w:r>
        <w:rPr>
          <w:rFonts w:ascii="Times New Roman" w:eastAsia="Aptos" w:hAnsi="Times New Roman"/>
          <w:szCs w:val="24"/>
        </w:rPr>
        <w:t>Кроз</w:t>
      </w:r>
      <w:r w:rsidR="00523574" w:rsidRPr="00295637">
        <w:rPr>
          <w:rFonts w:ascii="Times New Roman" w:eastAsia="Aptos" w:hAnsi="Times New Roman"/>
          <w:szCs w:val="24"/>
        </w:rPr>
        <w:t xml:space="preserve"> </w:t>
      </w:r>
      <w:r w:rsidR="00AF62B1" w:rsidRPr="00AF62B1">
        <w:rPr>
          <w:rFonts w:ascii="Times New Roman" w:eastAsia="Aptos" w:hAnsi="Times New Roman"/>
          <w:i/>
          <w:szCs w:val="24"/>
        </w:rPr>
        <w:t>UPSHIFT</w:t>
      </w:r>
      <w:r w:rsidR="00523574" w:rsidRPr="00295637">
        <w:rPr>
          <w:rFonts w:ascii="Times New Roman" w:eastAsia="Aptos" w:hAnsi="Times New Roman"/>
          <w:szCs w:val="24"/>
        </w:rPr>
        <w:t xml:space="preserve"> </w:t>
      </w:r>
      <w:r>
        <w:rPr>
          <w:rFonts w:ascii="Times New Roman" w:eastAsia="Aptos" w:hAnsi="Times New Roman"/>
          <w:szCs w:val="24"/>
        </w:rPr>
        <w:t>и</w:t>
      </w:r>
      <w:r w:rsidR="00523574" w:rsidRPr="00295637">
        <w:rPr>
          <w:rFonts w:ascii="Times New Roman" w:eastAsia="Aptos" w:hAnsi="Times New Roman"/>
          <w:szCs w:val="24"/>
        </w:rPr>
        <w:t xml:space="preserve"> </w:t>
      </w:r>
      <w:r>
        <w:rPr>
          <w:rFonts w:ascii="Times New Roman" w:eastAsia="Aptos" w:hAnsi="Times New Roman"/>
          <w:szCs w:val="24"/>
        </w:rPr>
        <w:t>програм</w:t>
      </w:r>
      <w:r w:rsidR="00E93508" w:rsidRPr="00295637">
        <w:rPr>
          <w:rFonts w:ascii="Times New Roman" w:eastAsia="Aptos" w:hAnsi="Times New Roman"/>
          <w:szCs w:val="24"/>
        </w:rPr>
        <w:t xml:space="preserve"> „</w:t>
      </w:r>
      <w:r w:rsidR="00AF62B1" w:rsidRPr="00AF62B1">
        <w:rPr>
          <w:rFonts w:ascii="Times New Roman" w:eastAsia="Aptos" w:hAnsi="Times New Roman"/>
          <w:i/>
          <w:szCs w:val="24"/>
        </w:rPr>
        <w:t>Adolescent Girls</w:t>
      </w:r>
      <w:r w:rsidR="00E93508" w:rsidRPr="00295637">
        <w:rPr>
          <w:rFonts w:ascii="Times New Roman" w:eastAsia="Aptos" w:hAnsi="Times New Roman"/>
          <w:szCs w:val="24"/>
        </w:rPr>
        <w:t>“</w:t>
      </w:r>
      <w:r w:rsidR="00523574" w:rsidRPr="00295637">
        <w:rPr>
          <w:rFonts w:ascii="Times New Roman" w:eastAsia="Aptos" w:hAnsi="Times New Roman"/>
          <w:szCs w:val="24"/>
        </w:rPr>
        <w:t xml:space="preserve">, 302 </w:t>
      </w:r>
      <w:r>
        <w:rPr>
          <w:rFonts w:ascii="Times New Roman" w:eastAsia="Aptos" w:hAnsi="Times New Roman"/>
          <w:szCs w:val="24"/>
        </w:rPr>
        <w:t>дјевојчице</w:t>
      </w:r>
      <w:r w:rsidR="00523574" w:rsidRPr="00295637">
        <w:rPr>
          <w:rFonts w:ascii="Times New Roman" w:eastAsia="Aptos" w:hAnsi="Times New Roman"/>
          <w:szCs w:val="24"/>
        </w:rPr>
        <w:t xml:space="preserve"> </w:t>
      </w:r>
      <w:r>
        <w:rPr>
          <w:rFonts w:ascii="Times New Roman" w:eastAsia="Aptos" w:hAnsi="Times New Roman"/>
          <w:szCs w:val="24"/>
        </w:rPr>
        <w:t>су</w:t>
      </w:r>
      <w:r w:rsidR="00523574" w:rsidRPr="00295637">
        <w:rPr>
          <w:rFonts w:ascii="Times New Roman" w:eastAsia="Aptos" w:hAnsi="Times New Roman"/>
          <w:szCs w:val="24"/>
        </w:rPr>
        <w:t xml:space="preserve"> </w:t>
      </w:r>
      <w:r>
        <w:rPr>
          <w:rFonts w:ascii="Times New Roman" w:eastAsia="Aptos" w:hAnsi="Times New Roman"/>
          <w:szCs w:val="24"/>
        </w:rPr>
        <w:t>прошле</w:t>
      </w:r>
      <w:r w:rsidR="00523574" w:rsidRPr="00295637">
        <w:rPr>
          <w:rFonts w:ascii="Times New Roman" w:eastAsia="Aptos" w:hAnsi="Times New Roman"/>
          <w:szCs w:val="24"/>
        </w:rPr>
        <w:t xml:space="preserve"> </w:t>
      </w:r>
      <w:r>
        <w:rPr>
          <w:rFonts w:ascii="Times New Roman" w:eastAsia="Aptos" w:hAnsi="Times New Roman"/>
          <w:szCs w:val="24"/>
        </w:rPr>
        <w:t>обуку</w:t>
      </w:r>
      <w:r w:rsidR="00523574" w:rsidRPr="00295637">
        <w:rPr>
          <w:rFonts w:ascii="Times New Roman" w:eastAsia="Aptos" w:hAnsi="Times New Roman"/>
          <w:szCs w:val="24"/>
        </w:rPr>
        <w:t xml:space="preserve"> </w:t>
      </w:r>
      <w:r>
        <w:rPr>
          <w:rFonts w:ascii="Times New Roman" w:eastAsia="Aptos" w:hAnsi="Times New Roman"/>
          <w:szCs w:val="24"/>
        </w:rPr>
        <w:t>из</w:t>
      </w:r>
      <w:r w:rsidR="00523574" w:rsidRPr="00295637">
        <w:rPr>
          <w:rFonts w:ascii="Times New Roman" w:eastAsia="Aptos" w:hAnsi="Times New Roman"/>
          <w:szCs w:val="24"/>
        </w:rPr>
        <w:t xml:space="preserve"> </w:t>
      </w:r>
      <w:r>
        <w:rPr>
          <w:rFonts w:ascii="Times New Roman" w:eastAsia="Aptos" w:hAnsi="Times New Roman"/>
          <w:szCs w:val="24"/>
        </w:rPr>
        <w:t>зелених</w:t>
      </w:r>
      <w:r w:rsidR="00523574" w:rsidRPr="00295637">
        <w:rPr>
          <w:rFonts w:ascii="Times New Roman" w:eastAsia="Aptos" w:hAnsi="Times New Roman"/>
          <w:szCs w:val="24"/>
        </w:rPr>
        <w:t xml:space="preserve"> </w:t>
      </w:r>
      <w:r>
        <w:rPr>
          <w:rFonts w:ascii="Times New Roman" w:eastAsia="Aptos" w:hAnsi="Times New Roman"/>
          <w:szCs w:val="24"/>
        </w:rPr>
        <w:t>вјештина</w:t>
      </w:r>
      <w:r w:rsidR="00523574" w:rsidRPr="00295637">
        <w:rPr>
          <w:rFonts w:ascii="Times New Roman" w:eastAsia="Aptos" w:hAnsi="Times New Roman"/>
          <w:szCs w:val="24"/>
        </w:rPr>
        <w:t xml:space="preserve"> </w:t>
      </w:r>
      <w:r>
        <w:rPr>
          <w:rFonts w:ascii="Times New Roman" w:eastAsia="Aptos" w:hAnsi="Times New Roman"/>
          <w:szCs w:val="24"/>
        </w:rPr>
        <w:t>и</w:t>
      </w:r>
      <w:r w:rsidR="00523574" w:rsidRPr="00295637">
        <w:rPr>
          <w:rFonts w:ascii="Times New Roman" w:eastAsia="Aptos" w:hAnsi="Times New Roman"/>
          <w:szCs w:val="24"/>
        </w:rPr>
        <w:t xml:space="preserve"> </w:t>
      </w:r>
      <w:r>
        <w:rPr>
          <w:rFonts w:ascii="Times New Roman" w:eastAsia="Aptos" w:hAnsi="Times New Roman"/>
          <w:szCs w:val="24"/>
        </w:rPr>
        <w:t>климатског</w:t>
      </w:r>
      <w:r w:rsidR="00523574" w:rsidRPr="00295637">
        <w:rPr>
          <w:rFonts w:ascii="Times New Roman" w:eastAsia="Aptos" w:hAnsi="Times New Roman"/>
          <w:szCs w:val="24"/>
        </w:rPr>
        <w:t xml:space="preserve"> </w:t>
      </w:r>
      <w:r>
        <w:rPr>
          <w:rFonts w:ascii="Times New Roman" w:eastAsia="Aptos" w:hAnsi="Times New Roman"/>
          <w:szCs w:val="24"/>
        </w:rPr>
        <w:t>заговарања</w:t>
      </w:r>
      <w:r w:rsidR="00523574" w:rsidRPr="00295637">
        <w:rPr>
          <w:rFonts w:ascii="Times New Roman" w:eastAsia="Aptos" w:hAnsi="Times New Roman"/>
          <w:szCs w:val="24"/>
        </w:rPr>
        <w:t xml:space="preserve">, </w:t>
      </w:r>
      <w:r>
        <w:rPr>
          <w:rFonts w:ascii="Times New Roman" w:eastAsia="Aptos" w:hAnsi="Times New Roman"/>
          <w:szCs w:val="24"/>
        </w:rPr>
        <w:t>те</w:t>
      </w:r>
      <w:r w:rsidR="00523574" w:rsidRPr="00295637">
        <w:rPr>
          <w:rFonts w:ascii="Times New Roman" w:eastAsia="Aptos" w:hAnsi="Times New Roman"/>
          <w:szCs w:val="24"/>
        </w:rPr>
        <w:t xml:space="preserve"> </w:t>
      </w:r>
      <w:r>
        <w:rPr>
          <w:rFonts w:ascii="Times New Roman" w:eastAsia="Aptos" w:hAnsi="Times New Roman"/>
          <w:szCs w:val="24"/>
        </w:rPr>
        <w:t>допринијеле</w:t>
      </w:r>
      <w:r w:rsidR="00523574" w:rsidRPr="00295637">
        <w:rPr>
          <w:rFonts w:ascii="Times New Roman" w:eastAsia="Aptos" w:hAnsi="Times New Roman"/>
          <w:szCs w:val="24"/>
        </w:rPr>
        <w:t xml:space="preserve"> </w:t>
      </w:r>
      <w:r>
        <w:rPr>
          <w:rFonts w:ascii="Times New Roman" w:eastAsia="Aptos" w:hAnsi="Times New Roman"/>
          <w:szCs w:val="24"/>
        </w:rPr>
        <w:t>усвајању</w:t>
      </w:r>
      <w:r w:rsidR="00523574" w:rsidRPr="00295637">
        <w:rPr>
          <w:rFonts w:ascii="Times New Roman" w:eastAsia="Aptos" w:hAnsi="Times New Roman"/>
          <w:szCs w:val="24"/>
        </w:rPr>
        <w:t xml:space="preserve"> </w:t>
      </w:r>
      <w:r>
        <w:rPr>
          <w:rFonts w:ascii="Times New Roman" w:eastAsia="Aptos" w:hAnsi="Times New Roman"/>
          <w:szCs w:val="24"/>
        </w:rPr>
        <w:t>Акционог</w:t>
      </w:r>
      <w:r w:rsidR="00523574" w:rsidRPr="00295637">
        <w:rPr>
          <w:rFonts w:ascii="Times New Roman" w:eastAsia="Aptos" w:hAnsi="Times New Roman"/>
          <w:szCs w:val="24"/>
        </w:rPr>
        <w:t xml:space="preserve"> </w:t>
      </w:r>
      <w:r>
        <w:rPr>
          <w:rFonts w:ascii="Times New Roman" w:eastAsia="Aptos" w:hAnsi="Times New Roman"/>
          <w:szCs w:val="24"/>
        </w:rPr>
        <w:t>плана</w:t>
      </w:r>
      <w:r w:rsidR="00523574" w:rsidRPr="00295637">
        <w:rPr>
          <w:rFonts w:ascii="Times New Roman" w:eastAsia="Aptos" w:hAnsi="Times New Roman"/>
          <w:szCs w:val="24"/>
        </w:rPr>
        <w:t xml:space="preserve"> </w:t>
      </w:r>
      <w:r>
        <w:rPr>
          <w:rFonts w:ascii="Times New Roman" w:eastAsia="Aptos" w:hAnsi="Times New Roman"/>
          <w:szCs w:val="24"/>
        </w:rPr>
        <w:t>за</w:t>
      </w:r>
      <w:r w:rsidR="00523574" w:rsidRPr="00295637">
        <w:rPr>
          <w:rFonts w:ascii="Times New Roman" w:eastAsia="Aptos" w:hAnsi="Times New Roman"/>
          <w:szCs w:val="24"/>
        </w:rPr>
        <w:t xml:space="preserve"> </w:t>
      </w:r>
      <w:r>
        <w:rPr>
          <w:rFonts w:ascii="Times New Roman" w:eastAsia="Aptos" w:hAnsi="Times New Roman"/>
          <w:szCs w:val="24"/>
        </w:rPr>
        <w:t>квалитет</w:t>
      </w:r>
      <w:r w:rsidR="00523574" w:rsidRPr="00295637">
        <w:rPr>
          <w:rFonts w:ascii="Times New Roman" w:eastAsia="Aptos" w:hAnsi="Times New Roman"/>
          <w:szCs w:val="24"/>
        </w:rPr>
        <w:t xml:space="preserve"> </w:t>
      </w:r>
      <w:r>
        <w:rPr>
          <w:rFonts w:ascii="Times New Roman" w:eastAsia="Aptos" w:hAnsi="Times New Roman"/>
          <w:szCs w:val="24"/>
        </w:rPr>
        <w:t>ваздуха</w:t>
      </w:r>
      <w:r w:rsidR="00523574" w:rsidRPr="00295637">
        <w:rPr>
          <w:rFonts w:ascii="Times New Roman" w:eastAsia="Aptos" w:hAnsi="Times New Roman"/>
          <w:szCs w:val="24"/>
        </w:rPr>
        <w:t xml:space="preserve"> </w:t>
      </w:r>
      <w:r>
        <w:rPr>
          <w:rFonts w:ascii="Times New Roman" w:eastAsia="Aptos" w:hAnsi="Times New Roman"/>
          <w:szCs w:val="24"/>
        </w:rPr>
        <w:t>у</w:t>
      </w:r>
      <w:r w:rsidR="00523574" w:rsidRPr="00295637">
        <w:rPr>
          <w:rFonts w:ascii="Times New Roman" w:eastAsia="Aptos" w:hAnsi="Times New Roman"/>
          <w:szCs w:val="24"/>
        </w:rPr>
        <w:t xml:space="preserve"> </w:t>
      </w:r>
      <w:r>
        <w:rPr>
          <w:rFonts w:ascii="Times New Roman" w:eastAsia="Aptos" w:hAnsi="Times New Roman"/>
          <w:szCs w:val="24"/>
        </w:rPr>
        <w:t>Тузланском</w:t>
      </w:r>
      <w:r w:rsidR="00523574" w:rsidRPr="00295637">
        <w:rPr>
          <w:rFonts w:ascii="Times New Roman" w:eastAsia="Aptos" w:hAnsi="Times New Roman"/>
          <w:szCs w:val="24"/>
        </w:rPr>
        <w:t xml:space="preserve"> </w:t>
      </w:r>
      <w:r>
        <w:rPr>
          <w:rFonts w:ascii="Times New Roman" w:eastAsia="Aptos" w:hAnsi="Times New Roman"/>
          <w:szCs w:val="24"/>
        </w:rPr>
        <w:t>кантону</w:t>
      </w:r>
      <w:r w:rsidR="00523574" w:rsidRPr="00295637">
        <w:rPr>
          <w:rFonts w:ascii="Times New Roman" w:eastAsia="Aptos" w:hAnsi="Times New Roman"/>
          <w:szCs w:val="24"/>
        </w:rPr>
        <w:t>.</w:t>
      </w:r>
    </w:p>
    <w:p w:rsidR="00FE04B1" w:rsidRDefault="00FE04B1" w:rsidP="0086268D">
      <w:pPr>
        <w:pStyle w:val="HTMLPreformatted"/>
        <w:jc w:val="both"/>
        <w:rPr>
          <w:rStyle w:val="y2iqfc"/>
          <w:rFonts w:ascii="inherit" w:hAnsi="inherit"/>
          <w:color w:val="1F1F1F"/>
          <w:sz w:val="24"/>
          <w:szCs w:val="24"/>
        </w:rPr>
      </w:pPr>
    </w:p>
    <w:p w:rsidR="002D1EC9" w:rsidRPr="00985C5F" w:rsidRDefault="00C6214E" w:rsidP="0086268D">
      <w:pPr>
        <w:pStyle w:val="HTMLPreformatted"/>
        <w:jc w:val="both"/>
        <w:rPr>
          <w:rFonts w:ascii="inherit" w:hAnsi="inherit"/>
          <w:color w:val="1F1F1F"/>
          <w:sz w:val="24"/>
          <w:szCs w:val="24"/>
        </w:rPr>
      </w:pPr>
      <w:r>
        <w:rPr>
          <w:rStyle w:val="y2iqfc"/>
          <w:rFonts w:ascii="inherit" w:hAnsi="inherit"/>
          <w:color w:val="1F1F1F"/>
          <w:sz w:val="24"/>
          <w:szCs w:val="24"/>
        </w:rPr>
        <w:t>У</w:t>
      </w:r>
      <w:r w:rsidR="002D1EC9" w:rsidRPr="00295637">
        <w:rPr>
          <w:rStyle w:val="y2iqfc"/>
          <w:rFonts w:ascii="inherit" w:hAnsi="inherit"/>
          <w:color w:val="1F1F1F"/>
          <w:sz w:val="24"/>
          <w:szCs w:val="24"/>
        </w:rPr>
        <w:t xml:space="preserve"> 2024. </w:t>
      </w:r>
      <w:r>
        <w:rPr>
          <w:rStyle w:val="y2iqfc"/>
          <w:rFonts w:ascii="inherit" w:hAnsi="inherit"/>
          <w:color w:val="1F1F1F"/>
          <w:sz w:val="24"/>
          <w:szCs w:val="24"/>
        </w:rPr>
        <w:t>години</w:t>
      </w:r>
      <w:r w:rsidR="002D1EC9" w:rsidRPr="00295637">
        <w:rPr>
          <w:rStyle w:val="y2iqfc"/>
          <w:rFonts w:ascii="inherit" w:hAnsi="inherit"/>
          <w:color w:val="1F1F1F"/>
          <w:sz w:val="24"/>
          <w:szCs w:val="24"/>
        </w:rPr>
        <w:t xml:space="preserve">, </w:t>
      </w:r>
      <w:r w:rsidR="00AF62B1" w:rsidRPr="00AF62B1">
        <w:rPr>
          <w:rFonts w:ascii="inherit" w:hAnsi="inherit"/>
          <w:i/>
          <w:color w:val="1F1F1F"/>
          <w:sz w:val="24"/>
          <w:szCs w:val="24"/>
          <w:lang w:val="hr-BA"/>
        </w:rPr>
        <w:t xml:space="preserve">UN Women </w:t>
      </w:r>
      <w:r w:rsidR="00AF62B1">
        <w:rPr>
          <w:rStyle w:val="y2iqfc"/>
          <w:rFonts w:ascii="inherit" w:hAnsi="inherit"/>
          <w:color w:val="1F1F1F"/>
          <w:sz w:val="24"/>
          <w:szCs w:val="24"/>
        </w:rPr>
        <w:t xml:space="preserve">је </w:t>
      </w:r>
      <w:r>
        <w:rPr>
          <w:rStyle w:val="y2iqfc"/>
          <w:rFonts w:ascii="inherit" w:hAnsi="inherit"/>
          <w:color w:val="1F1F1F"/>
          <w:sz w:val="24"/>
          <w:szCs w:val="24"/>
        </w:rPr>
        <w:t>водила</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комуникацијску</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кампању</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на</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друштвеним</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мрежама</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и</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циљано</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медијско</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дјеловање</w:t>
      </w:r>
      <w:r w:rsidR="00E93508" w:rsidRPr="00295637">
        <w:rPr>
          <w:rStyle w:val="y2iqfc"/>
          <w:rFonts w:ascii="inherit" w:hAnsi="inherit"/>
          <w:color w:val="1F1F1F"/>
          <w:sz w:val="24"/>
          <w:szCs w:val="24"/>
        </w:rPr>
        <w:t xml:space="preserve"> </w:t>
      </w:r>
      <w:r>
        <w:rPr>
          <w:rStyle w:val="y2iqfc"/>
          <w:rFonts w:ascii="inherit" w:hAnsi="inherit"/>
          <w:color w:val="1F1F1F"/>
          <w:sz w:val="24"/>
          <w:szCs w:val="24"/>
        </w:rPr>
        <w:t>у</w:t>
      </w:r>
      <w:r w:rsidR="00E93508" w:rsidRPr="00295637">
        <w:rPr>
          <w:rStyle w:val="y2iqfc"/>
          <w:rFonts w:ascii="inherit" w:hAnsi="inherit"/>
          <w:color w:val="1F1F1F"/>
          <w:sz w:val="24"/>
          <w:szCs w:val="24"/>
        </w:rPr>
        <w:t xml:space="preserve"> </w:t>
      </w:r>
      <w:r>
        <w:rPr>
          <w:rStyle w:val="y2iqfc"/>
          <w:rFonts w:ascii="inherit" w:hAnsi="inherit"/>
          <w:color w:val="1F1F1F"/>
          <w:sz w:val="24"/>
          <w:szCs w:val="24"/>
        </w:rPr>
        <w:t>којим</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су</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представљене</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жене</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узори</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које</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су</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активне</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у</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зеленим</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технологијама</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заштити</w:t>
      </w:r>
      <w:r w:rsidR="002D1EC9" w:rsidRPr="00295637">
        <w:rPr>
          <w:rStyle w:val="y2iqfc"/>
          <w:rFonts w:ascii="inherit" w:hAnsi="inherit"/>
          <w:color w:val="1F1F1F"/>
          <w:sz w:val="24"/>
          <w:szCs w:val="24"/>
        </w:rPr>
        <w:t xml:space="preserve"> </w:t>
      </w:r>
      <w:r w:rsidR="00AF62B1">
        <w:rPr>
          <w:rStyle w:val="y2iqfc"/>
          <w:rFonts w:ascii="inherit" w:hAnsi="inherit"/>
          <w:color w:val="1F1F1F"/>
          <w:sz w:val="24"/>
          <w:szCs w:val="24"/>
          <w:lang w:val="sr-Cyrl-BA"/>
        </w:rPr>
        <w:t>животне средине</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и</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креирању</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политика</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што</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је</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инспирирало</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ширу</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јавну</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свијест</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и</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заговарање</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за</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укључивање</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жена</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у</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процесе</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доношења</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одлука</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у</w:t>
      </w:r>
      <w:r w:rsidR="00097449">
        <w:rPr>
          <w:rStyle w:val="y2iqfc"/>
          <w:rFonts w:ascii="inherit" w:hAnsi="inherit"/>
          <w:color w:val="1F1F1F"/>
          <w:sz w:val="24"/>
          <w:szCs w:val="24"/>
        </w:rPr>
        <w:t xml:space="preserve"> </w:t>
      </w:r>
      <w:r>
        <w:rPr>
          <w:rStyle w:val="y2iqfc"/>
          <w:rFonts w:ascii="inherit" w:hAnsi="inherit"/>
          <w:color w:val="1F1F1F"/>
          <w:sz w:val="24"/>
          <w:szCs w:val="24"/>
        </w:rPr>
        <w:t>вези</w:t>
      </w:r>
      <w:r w:rsidR="00097449">
        <w:rPr>
          <w:rStyle w:val="y2iqfc"/>
          <w:rFonts w:ascii="inherit" w:hAnsi="inherit"/>
          <w:color w:val="1F1F1F"/>
          <w:sz w:val="24"/>
          <w:szCs w:val="24"/>
        </w:rPr>
        <w:t xml:space="preserve"> </w:t>
      </w:r>
      <w:r>
        <w:rPr>
          <w:rStyle w:val="y2iqfc"/>
          <w:rFonts w:ascii="inherit" w:hAnsi="inherit"/>
          <w:color w:val="1F1F1F"/>
          <w:sz w:val="24"/>
          <w:szCs w:val="24"/>
        </w:rPr>
        <w:t>са</w:t>
      </w:r>
      <w:r w:rsidR="002D1EC9" w:rsidRPr="00295637">
        <w:rPr>
          <w:rStyle w:val="y2iqfc"/>
          <w:rFonts w:ascii="inherit" w:hAnsi="inherit"/>
          <w:color w:val="1F1F1F"/>
          <w:sz w:val="24"/>
          <w:szCs w:val="24"/>
        </w:rPr>
        <w:t xml:space="preserve"> </w:t>
      </w:r>
      <w:r>
        <w:rPr>
          <w:rStyle w:val="y2iqfc"/>
          <w:rFonts w:ascii="inherit" w:hAnsi="inherit"/>
          <w:color w:val="1F1F1F"/>
          <w:sz w:val="24"/>
          <w:szCs w:val="24"/>
        </w:rPr>
        <w:t>климом</w:t>
      </w:r>
      <w:r w:rsidR="002D1EC9" w:rsidRPr="00295637">
        <w:rPr>
          <w:rStyle w:val="y2iqfc"/>
          <w:rFonts w:ascii="inherit" w:hAnsi="inherit"/>
          <w:color w:val="1F1F1F"/>
          <w:sz w:val="24"/>
          <w:szCs w:val="24"/>
        </w:rPr>
        <w:t>.</w:t>
      </w:r>
    </w:p>
    <w:p w:rsidR="00A57F15" w:rsidRPr="00295637" w:rsidRDefault="00A57F15" w:rsidP="0086268D">
      <w:pPr>
        <w:pStyle w:val="HTMLPreformatted"/>
        <w:jc w:val="both"/>
        <w:rPr>
          <w:rFonts w:ascii="inherit" w:hAnsi="inherit"/>
          <w:color w:val="1F1F1F"/>
          <w:sz w:val="24"/>
          <w:szCs w:val="24"/>
          <w:lang w:val="en-US"/>
        </w:rPr>
      </w:pPr>
    </w:p>
    <w:p w:rsidR="000315E5" w:rsidRDefault="00AF62B1" w:rsidP="00097449">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097449">
        <w:rPr>
          <w:rFonts w:ascii="Times New Roman" w:hAnsi="Times New Roman"/>
          <w:szCs w:val="24"/>
          <w:lang w:val="bs-Latn-BA"/>
        </w:rPr>
        <w:t xml:space="preserve"> 8.5. </w:t>
      </w:r>
      <w:r>
        <w:rPr>
          <w:rFonts w:ascii="Times New Roman" w:hAnsi="Times New Roman"/>
          <w:szCs w:val="24"/>
          <w:lang w:val="sr-Cyrl-BA"/>
        </w:rPr>
        <w:t>Спроводити</w:t>
      </w:r>
      <w:r w:rsidR="000315E5" w:rsidRPr="00295637">
        <w:rPr>
          <w:rFonts w:ascii="Times New Roman" w:hAnsi="Times New Roman"/>
          <w:szCs w:val="24"/>
          <w:lang w:val="bs-Latn-BA"/>
        </w:rPr>
        <w:t xml:space="preserve"> </w:t>
      </w:r>
      <w:r w:rsidR="00C6214E">
        <w:rPr>
          <w:rFonts w:ascii="Times New Roman" w:hAnsi="Times New Roman"/>
          <w:szCs w:val="24"/>
          <w:lang w:val="bs-Latn-BA"/>
        </w:rPr>
        <w:t>едукативне</w:t>
      </w:r>
      <w:r w:rsidR="000315E5" w:rsidRPr="00295637">
        <w:rPr>
          <w:rFonts w:ascii="Times New Roman" w:hAnsi="Times New Roman"/>
          <w:szCs w:val="24"/>
          <w:lang w:val="bs-Latn-BA"/>
        </w:rPr>
        <w:t xml:space="preserve"> </w:t>
      </w:r>
      <w:r w:rsidR="00C6214E">
        <w:rPr>
          <w:rFonts w:ascii="Times New Roman" w:hAnsi="Times New Roman"/>
          <w:szCs w:val="24"/>
          <w:lang w:val="bs-Latn-BA"/>
        </w:rPr>
        <w:t>активности</w:t>
      </w:r>
      <w:r w:rsidR="000315E5" w:rsidRPr="00295637">
        <w:rPr>
          <w:rFonts w:ascii="Times New Roman" w:hAnsi="Times New Roman"/>
          <w:szCs w:val="24"/>
          <w:lang w:val="bs-Latn-BA"/>
        </w:rPr>
        <w:t xml:space="preserve"> </w:t>
      </w:r>
      <w:r w:rsidR="00C6214E">
        <w:rPr>
          <w:rFonts w:ascii="Times New Roman" w:hAnsi="Times New Roman"/>
          <w:szCs w:val="24"/>
          <w:lang w:val="bs-Latn-BA"/>
        </w:rPr>
        <w:t>о</w:t>
      </w:r>
      <w:r w:rsidR="000315E5" w:rsidRPr="00295637">
        <w:rPr>
          <w:rFonts w:ascii="Times New Roman" w:hAnsi="Times New Roman"/>
          <w:szCs w:val="24"/>
          <w:lang w:val="bs-Latn-BA"/>
        </w:rPr>
        <w:t xml:space="preserve"> </w:t>
      </w:r>
      <w:r w:rsidR="00C6214E">
        <w:rPr>
          <w:rFonts w:ascii="Times New Roman" w:hAnsi="Times New Roman"/>
          <w:szCs w:val="24"/>
          <w:lang w:val="bs-Latn-BA"/>
        </w:rPr>
        <w:t>примјени</w:t>
      </w:r>
      <w:r w:rsidR="000315E5" w:rsidRPr="00295637">
        <w:rPr>
          <w:rFonts w:ascii="Times New Roman" w:hAnsi="Times New Roman"/>
          <w:szCs w:val="24"/>
          <w:lang w:val="bs-Latn-BA"/>
        </w:rPr>
        <w:t xml:space="preserve"> </w:t>
      </w:r>
      <w:r w:rsidR="00C6214E">
        <w:rPr>
          <w:rFonts w:ascii="Times New Roman" w:hAnsi="Times New Roman"/>
          <w:szCs w:val="24"/>
          <w:lang w:val="bs-Latn-BA"/>
        </w:rPr>
        <w:t>гендер</w:t>
      </w:r>
      <w:r w:rsidR="000315E5" w:rsidRPr="00295637">
        <w:rPr>
          <w:rFonts w:ascii="Times New Roman" w:hAnsi="Times New Roman"/>
          <w:szCs w:val="24"/>
          <w:lang w:val="bs-Latn-BA"/>
        </w:rPr>
        <w:t xml:space="preserve"> </w:t>
      </w:r>
      <w:r w:rsidR="00C6214E">
        <w:rPr>
          <w:rFonts w:ascii="Times New Roman" w:hAnsi="Times New Roman"/>
          <w:szCs w:val="24"/>
          <w:lang w:val="bs-Latn-BA"/>
        </w:rPr>
        <w:t>маинстреаминга</w:t>
      </w:r>
      <w:r w:rsidR="000315E5" w:rsidRPr="00295637">
        <w:rPr>
          <w:rFonts w:ascii="Times New Roman" w:hAnsi="Times New Roman"/>
          <w:szCs w:val="24"/>
          <w:lang w:val="bs-Latn-BA"/>
        </w:rPr>
        <w:t xml:space="preserve"> </w:t>
      </w:r>
      <w:r w:rsidR="00C6214E">
        <w:rPr>
          <w:rFonts w:ascii="Times New Roman" w:hAnsi="Times New Roman"/>
          <w:szCs w:val="24"/>
          <w:lang w:val="bs-Latn-BA"/>
        </w:rPr>
        <w:t>и</w:t>
      </w:r>
      <w:r w:rsidR="000315E5" w:rsidRPr="00295637">
        <w:rPr>
          <w:rFonts w:ascii="Times New Roman" w:hAnsi="Times New Roman"/>
          <w:szCs w:val="24"/>
          <w:lang w:val="bs-Latn-BA"/>
        </w:rPr>
        <w:t xml:space="preserve"> </w:t>
      </w:r>
      <w:r w:rsidR="00C6214E">
        <w:rPr>
          <w:rFonts w:ascii="Times New Roman" w:hAnsi="Times New Roman"/>
          <w:szCs w:val="24"/>
          <w:lang w:val="bs-Latn-BA"/>
        </w:rPr>
        <w:t>посебних</w:t>
      </w:r>
      <w:r w:rsidR="000315E5" w:rsidRPr="00295637">
        <w:rPr>
          <w:rFonts w:ascii="Times New Roman" w:hAnsi="Times New Roman"/>
          <w:szCs w:val="24"/>
          <w:lang w:val="bs-Latn-BA"/>
        </w:rPr>
        <w:t xml:space="preserve"> </w:t>
      </w:r>
      <w:r w:rsidR="00C6214E">
        <w:rPr>
          <w:rFonts w:ascii="Times New Roman" w:hAnsi="Times New Roman"/>
          <w:szCs w:val="24"/>
          <w:lang w:val="bs-Latn-BA"/>
        </w:rPr>
        <w:t>мјера</w:t>
      </w:r>
      <w:r w:rsidR="000315E5" w:rsidRPr="00295637">
        <w:rPr>
          <w:rFonts w:ascii="Times New Roman" w:hAnsi="Times New Roman"/>
          <w:szCs w:val="24"/>
          <w:lang w:val="bs-Latn-BA"/>
        </w:rPr>
        <w:t xml:space="preserve"> </w:t>
      </w:r>
      <w:r w:rsidR="00C6214E">
        <w:rPr>
          <w:rFonts w:ascii="Times New Roman" w:hAnsi="Times New Roman"/>
          <w:szCs w:val="24"/>
          <w:lang w:val="bs-Latn-BA"/>
        </w:rPr>
        <w:t>и</w:t>
      </w:r>
      <w:r w:rsidR="000315E5" w:rsidRPr="00295637">
        <w:rPr>
          <w:rFonts w:ascii="Times New Roman" w:hAnsi="Times New Roman"/>
          <w:szCs w:val="24"/>
          <w:lang w:val="bs-Latn-BA"/>
        </w:rPr>
        <w:t xml:space="preserve"> </w:t>
      </w:r>
      <w:r w:rsidR="00C6214E">
        <w:rPr>
          <w:rFonts w:ascii="Times New Roman" w:hAnsi="Times New Roman"/>
          <w:szCs w:val="24"/>
          <w:lang w:val="bs-Latn-BA"/>
        </w:rPr>
        <w:t>инструмената</w:t>
      </w:r>
      <w:r w:rsidR="000315E5" w:rsidRPr="00295637">
        <w:rPr>
          <w:rFonts w:ascii="Times New Roman" w:hAnsi="Times New Roman"/>
          <w:szCs w:val="24"/>
          <w:lang w:val="bs-Latn-BA"/>
        </w:rPr>
        <w:t xml:space="preserve"> </w:t>
      </w:r>
      <w:r w:rsidR="00C6214E">
        <w:rPr>
          <w:rFonts w:ascii="Times New Roman" w:hAnsi="Times New Roman"/>
          <w:szCs w:val="24"/>
          <w:lang w:val="bs-Latn-BA"/>
        </w:rPr>
        <w:t>у</w:t>
      </w:r>
      <w:r w:rsidR="000315E5" w:rsidRPr="00295637">
        <w:rPr>
          <w:rFonts w:ascii="Times New Roman" w:hAnsi="Times New Roman"/>
          <w:szCs w:val="24"/>
          <w:lang w:val="bs-Latn-BA"/>
        </w:rPr>
        <w:t xml:space="preserve"> </w:t>
      </w:r>
      <w:r w:rsidR="00C6214E">
        <w:rPr>
          <w:rFonts w:ascii="Times New Roman" w:hAnsi="Times New Roman"/>
          <w:szCs w:val="24"/>
          <w:lang w:val="bs-Latn-BA"/>
        </w:rPr>
        <w:t>контексту</w:t>
      </w:r>
      <w:r w:rsidR="000315E5" w:rsidRPr="00295637">
        <w:rPr>
          <w:rFonts w:ascii="Times New Roman" w:hAnsi="Times New Roman"/>
          <w:szCs w:val="24"/>
          <w:lang w:val="bs-Latn-BA"/>
        </w:rPr>
        <w:t xml:space="preserve"> </w:t>
      </w:r>
      <w:r w:rsidR="00C6214E">
        <w:rPr>
          <w:rFonts w:ascii="Times New Roman" w:hAnsi="Times New Roman"/>
          <w:szCs w:val="24"/>
          <w:lang w:val="bs-Latn-BA"/>
        </w:rPr>
        <w:t>управљања</w:t>
      </w:r>
      <w:r w:rsidR="000315E5" w:rsidRPr="00295637">
        <w:rPr>
          <w:rFonts w:ascii="Times New Roman" w:hAnsi="Times New Roman"/>
          <w:szCs w:val="24"/>
          <w:lang w:val="bs-Latn-BA"/>
        </w:rPr>
        <w:t xml:space="preserve"> </w:t>
      </w:r>
      <w:r>
        <w:rPr>
          <w:rFonts w:ascii="Times New Roman" w:hAnsi="Times New Roman"/>
          <w:szCs w:val="24"/>
          <w:lang w:val="sr-Cyrl-BA"/>
        </w:rPr>
        <w:t>животном средином</w:t>
      </w:r>
      <w:r w:rsidR="000315E5" w:rsidRPr="00295637">
        <w:rPr>
          <w:rFonts w:ascii="Times New Roman" w:hAnsi="Times New Roman"/>
          <w:szCs w:val="24"/>
          <w:lang w:val="bs-Latn-BA"/>
        </w:rPr>
        <w:t xml:space="preserve">, </w:t>
      </w:r>
      <w:r w:rsidR="00C6214E">
        <w:rPr>
          <w:rFonts w:ascii="Times New Roman" w:hAnsi="Times New Roman"/>
          <w:szCs w:val="24"/>
          <w:lang w:val="bs-Latn-BA"/>
        </w:rPr>
        <w:t>укључити</w:t>
      </w:r>
      <w:r w:rsidR="000315E5" w:rsidRPr="00295637">
        <w:rPr>
          <w:rFonts w:ascii="Times New Roman" w:hAnsi="Times New Roman"/>
          <w:szCs w:val="24"/>
          <w:lang w:val="bs-Latn-BA"/>
        </w:rPr>
        <w:t xml:space="preserve"> </w:t>
      </w:r>
      <w:r w:rsidR="00C6214E">
        <w:rPr>
          <w:rFonts w:ascii="Times New Roman" w:hAnsi="Times New Roman"/>
          <w:szCs w:val="24"/>
          <w:lang w:val="bs-Latn-BA"/>
        </w:rPr>
        <w:t>и</w:t>
      </w:r>
      <w:r w:rsidR="000315E5" w:rsidRPr="00295637">
        <w:rPr>
          <w:rFonts w:ascii="Times New Roman" w:hAnsi="Times New Roman"/>
          <w:szCs w:val="24"/>
          <w:lang w:val="bs-Latn-BA"/>
        </w:rPr>
        <w:t xml:space="preserve"> </w:t>
      </w:r>
      <w:r w:rsidR="00C6214E">
        <w:rPr>
          <w:rFonts w:ascii="Times New Roman" w:hAnsi="Times New Roman"/>
          <w:szCs w:val="24"/>
          <w:lang w:val="bs-Latn-BA"/>
        </w:rPr>
        <w:t>информације</w:t>
      </w:r>
      <w:r w:rsidR="000315E5" w:rsidRPr="00295637">
        <w:rPr>
          <w:rFonts w:ascii="Times New Roman" w:hAnsi="Times New Roman"/>
          <w:szCs w:val="24"/>
          <w:lang w:val="bs-Latn-BA"/>
        </w:rPr>
        <w:t xml:space="preserve"> </w:t>
      </w:r>
      <w:r w:rsidR="00C6214E">
        <w:rPr>
          <w:rFonts w:ascii="Times New Roman" w:hAnsi="Times New Roman"/>
          <w:szCs w:val="24"/>
          <w:lang w:val="bs-Latn-BA"/>
        </w:rPr>
        <w:t>о</w:t>
      </w:r>
      <w:r w:rsidR="000315E5" w:rsidRPr="00295637">
        <w:rPr>
          <w:rFonts w:ascii="Times New Roman" w:hAnsi="Times New Roman"/>
          <w:szCs w:val="24"/>
          <w:lang w:val="bs-Latn-BA"/>
        </w:rPr>
        <w:t xml:space="preserve"> </w:t>
      </w:r>
      <w:r w:rsidR="00C6214E">
        <w:rPr>
          <w:rFonts w:ascii="Times New Roman" w:hAnsi="Times New Roman"/>
          <w:szCs w:val="24"/>
          <w:lang w:val="bs-Latn-BA"/>
        </w:rPr>
        <w:t>интервенцијама</w:t>
      </w:r>
      <w:r w:rsidR="000315E5" w:rsidRPr="00295637">
        <w:rPr>
          <w:rFonts w:ascii="Times New Roman" w:hAnsi="Times New Roman"/>
          <w:szCs w:val="24"/>
          <w:lang w:val="bs-Latn-BA"/>
        </w:rPr>
        <w:t xml:space="preserve"> </w:t>
      </w:r>
      <w:r w:rsidR="00C6214E">
        <w:rPr>
          <w:rFonts w:ascii="Times New Roman" w:hAnsi="Times New Roman"/>
          <w:szCs w:val="24"/>
          <w:lang w:val="bs-Latn-BA"/>
        </w:rPr>
        <w:t>НВО</w:t>
      </w:r>
      <w:r w:rsidR="000315E5" w:rsidRPr="00295637">
        <w:rPr>
          <w:rFonts w:ascii="Times New Roman" w:hAnsi="Times New Roman"/>
          <w:szCs w:val="24"/>
          <w:lang w:val="bs-Latn-BA"/>
        </w:rPr>
        <w:t xml:space="preserve"> </w:t>
      </w:r>
      <w:r w:rsidR="00C6214E">
        <w:rPr>
          <w:rFonts w:ascii="Times New Roman" w:hAnsi="Times New Roman"/>
          <w:szCs w:val="24"/>
          <w:lang w:val="bs-Latn-BA"/>
        </w:rPr>
        <w:t>сектора</w:t>
      </w:r>
      <w:r w:rsidR="000315E5" w:rsidRPr="00295637">
        <w:rPr>
          <w:rFonts w:ascii="Times New Roman" w:hAnsi="Times New Roman"/>
          <w:szCs w:val="24"/>
          <w:lang w:val="bs-Latn-BA"/>
        </w:rPr>
        <w:t xml:space="preserve"> </w:t>
      </w:r>
      <w:r w:rsidR="00C6214E">
        <w:rPr>
          <w:rFonts w:ascii="Times New Roman" w:hAnsi="Times New Roman"/>
          <w:szCs w:val="24"/>
          <w:lang w:val="bs-Latn-BA"/>
        </w:rPr>
        <w:t>на</w:t>
      </w:r>
      <w:r w:rsidR="000315E5" w:rsidRPr="00295637">
        <w:rPr>
          <w:rFonts w:ascii="Times New Roman" w:hAnsi="Times New Roman"/>
          <w:szCs w:val="24"/>
          <w:lang w:val="bs-Latn-BA"/>
        </w:rPr>
        <w:t xml:space="preserve"> </w:t>
      </w:r>
      <w:r w:rsidR="00C6214E">
        <w:rPr>
          <w:rFonts w:ascii="Times New Roman" w:hAnsi="Times New Roman"/>
          <w:szCs w:val="24"/>
          <w:lang w:val="bs-Latn-BA"/>
        </w:rPr>
        <w:t>подизању</w:t>
      </w:r>
      <w:r w:rsidR="000315E5" w:rsidRPr="00295637">
        <w:rPr>
          <w:rFonts w:ascii="Times New Roman" w:hAnsi="Times New Roman"/>
          <w:szCs w:val="24"/>
          <w:lang w:val="bs-Latn-BA"/>
        </w:rPr>
        <w:t xml:space="preserve"> </w:t>
      </w:r>
      <w:r w:rsidR="00C6214E">
        <w:rPr>
          <w:rFonts w:ascii="Times New Roman" w:hAnsi="Times New Roman"/>
          <w:szCs w:val="24"/>
          <w:lang w:val="bs-Latn-BA"/>
        </w:rPr>
        <w:t>свијести</w:t>
      </w:r>
      <w:r w:rsidR="000315E5" w:rsidRPr="00295637">
        <w:rPr>
          <w:rFonts w:ascii="Times New Roman" w:hAnsi="Times New Roman"/>
          <w:szCs w:val="24"/>
          <w:lang w:val="bs-Latn-BA"/>
        </w:rPr>
        <w:t xml:space="preserve"> </w:t>
      </w:r>
      <w:r w:rsidR="00C6214E">
        <w:rPr>
          <w:rFonts w:ascii="Times New Roman" w:hAnsi="Times New Roman"/>
          <w:szCs w:val="24"/>
          <w:lang w:val="bs-Latn-BA"/>
        </w:rPr>
        <w:t>о</w:t>
      </w:r>
      <w:r w:rsidR="000315E5" w:rsidRPr="00295637">
        <w:rPr>
          <w:rFonts w:ascii="Times New Roman" w:hAnsi="Times New Roman"/>
          <w:szCs w:val="24"/>
          <w:lang w:val="bs-Latn-BA"/>
        </w:rPr>
        <w:t xml:space="preserve"> </w:t>
      </w:r>
      <w:r w:rsidR="00C6214E">
        <w:rPr>
          <w:rFonts w:ascii="Times New Roman" w:hAnsi="Times New Roman"/>
          <w:szCs w:val="24"/>
          <w:lang w:val="bs-Latn-BA"/>
        </w:rPr>
        <w:t>заштити</w:t>
      </w:r>
      <w:r w:rsidR="000315E5" w:rsidRPr="00295637">
        <w:rPr>
          <w:rFonts w:ascii="Times New Roman" w:hAnsi="Times New Roman"/>
          <w:szCs w:val="24"/>
          <w:lang w:val="bs-Latn-BA"/>
        </w:rPr>
        <w:t xml:space="preserve"> </w:t>
      </w:r>
      <w:r>
        <w:rPr>
          <w:rFonts w:ascii="Times New Roman" w:hAnsi="Times New Roman"/>
          <w:szCs w:val="24"/>
          <w:lang w:val="sr-Cyrl-BA"/>
        </w:rPr>
        <w:t>животне средине</w:t>
      </w:r>
      <w:r w:rsidR="000315E5" w:rsidRPr="00295637">
        <w:rPr>
          <w:rFonts w:ascii="Times New Roman" w:hAnsi="Times New Roman"/>
          <w:szCs w:val="24"/>
          <w:lang w:val="bs-Latn-BA"/>
        </w:rPr>
        <w:t>.</w:t>
      </w:r>
    </w:p>
    <w:p w:rsidR="0086268D" w:rsidRPr="00295637" w:rsidRDefault="0086268D" w:rsidP="0086268D">
      <w:pPr>
        <w:tabs>
          <w:tab w:val="left" w:pos="284"/>
          <w:tab w:val="left" w:pos="630"/>
          <w:tab w:val="left" w:pos="1080"/>
        </w:tabs>
        <w:ind w:left="1080"/>
        <w:jc w:val="both"/>
        <w:rPr>
          <w:rFonts w:ascii="Times New Roman" w:hAnsi="Times New Roman"/>
          <w:szCs w:val="24"/>
          <w:lang w:val="bs-Latn-BA"/>
        </w:rPr>
      </w:pPr>
    </w:p>
    <w:p w:rsidR="0011239A" w:rsidRPr="00295637" w:rsidRDefault="00C6214E" w:rsidP="0086268D">
      <w:pPr>
        <w:jc w:val="both"/>
        <w:rPr>
          <w:rFonts w:ascii="Times New Roman" w:hAnsi="Times New Roman"/>
          <w:szCs w:val="24"/>
          <w:shd w:val="clear" w:color="auto" w:fill="FEFEFE"/>
        </w:rPr>
      </w:pPr>
      <w:r>
        <w:rPr>
          <w:rFonts w:ascii="Times New Roman" w:hAnsi="Times New Roman"/>
          <w:szCs w:val="24"/>
          <w:shd w:val="clear" w:color="auto" w:fill="FEFEFE"/>
        </w:rPr>
        <w:t>У</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реализацији</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планираних</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активности</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АР</w:t>
      </w:r>
      <w:r w:rsidR="00AF62B1">
        <w:rPr>
          <w:rFonts w:ascii="Times New Roman" w:hAnsi="Times New Roman"/>
          <w:szCs w:val="24"/>
          <w:shd w:val="clear" w:color="auto" w:fill="FEFEFE"/>
          <w:lang w:val="sr-Cyrl-BA"/>
        </w:rPr>
        <w:t>П</w:t>
      </w:r>
      <w:r w:rsidR="003A2305">
        <w:rPr>
          <w:rFonts w:ascii="Times New Roman" w:hAnsi="Times New Roman"/>
          <w:szCs w:val="24"/>
          <w:shd w:val="clear" w:color="auto" w:fill="FEFEFE"/>
        </w:rPr>
        <w:t xml:space="preserve"> </w:t>
      </w:r>
      <w:r>
        <w:rPr>
          <w:rFonts w:ascii="Times New Roman" w:hAnsi="Times New Roman"/>
          <w:szCs w:val="24"/>
          <w:shd w:val="clear" w:color="auto" w:fill="FEFEFE"/>
        </w:rPr>
        <w:t>БиХ</w:t>
      </w:r>
      <w:r w:rsidR="003A2305">
        <w:rPr>
          <w:rFonts w:ascii="Times New Roman" w:hAnsi="Times New Roman"/>
          <w:szCs w:val="24"/>
          <w:shd w:val="clear" w:color="auto" w:fill="FEFEFE"/>
        </w:rPr>
        <w:t xml:space="preserve"> </w:t>
      </w:r>
      <w:r>
        <w:rPr>
          <w:rFonts w:ascii="Times New Roman" w:hAnsi="Times New Roman"/>
          <w:szCs w:val="24"/>
          <w:shd w:val="clear" w:color="auto" w:fill="FEFEFE"/>
        </w:rPr>
        <w:t>МЉПИ</w:t>
      </w:r>
      <w:r w:rsidR="003A2305">
        <w:rPr>
          <w:rFonts w:ascii="Times New Roman" w:hAnsi="Times New Roman"/>
          <w:szCs w:val="24"/>
          <w:shd w:val="clear" w:color="auto" w:fill="FEFEFE"/>
        </w:rPr>
        <w:t xml:space="preserve"> </w:t>
      </w:r>
      <w:r>
        <w:rPr>
          <w:rFonts w:ascii="Times New Roman" w:hAnsi="Times New Roman"/>
          <w:szCs w:val="24"/>
          <w:shd w:val="clear" w:color="auto" w:fill="FEFEFE"/>
        </w:rPr>
        <w:t>БиХ</w:t>
      </w:r>
      <w:r w:rsidR="00BF7D27" w:rsidRPr="00295637">
        <w:rPr>
          <w:rFonts w:ascii="Times New Roman" w:hAnsi="Times New Roman"/>
          <w:szCs w:val="24"/>
          <w:shd w:val="clear" w:color="auto" w:fill="FEFEFE"/>
        </w:rPr>
        <w:t xml:space="preserve"> </w:t>
      </w:r>
      <w:r>
        <w:rPr>
          <w:rFonts w:ascii="Times New Roman" w:hAnsi="Times New Roman"/>
          <w:szCs w:val="24"/>
          <w:shd w:val="clear" w:color="auto" w:fill="FEFEFE"/>
        </w:rPr>
        <w:t>је</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сарађивала</w:t>
      </w:r>
      <w:r w:rsidR="003A2305">
        <w:rPr>
          <w:rFonts w:ascii="Times New Roman" w:hAnsi="Times New Roman"/>
          <w:szCs w:val="24"/>
          <w:shd w:val="clear" w:color="auto" w:fill="FEFEFE"/>
        </w:rPr>
        <w:t xml:space="preserve"> </w:t>
      </w:r>
      <w:r>
        <w:rPr>
          <w:rFonts w:ascii="Times New Roman" w:hAnsi="Times New Roman"/>
          <w:szCs w:val="24"/>
          <w:shd w:val="clear" w:color="auto" w:fill="FEFEFE"/>
        </w:rPr>
        <w:t>са</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невладиним</w:t>
      </w:r>
      <w:r w:rsidR="00240048" w:rsidRPr="00295637">
        <w:rPr>
          <w:rFonts w:ascii="Times New Roman" w:hAnsi="Times New Roman"/>
          <w:szCs w:val="24"/>
          <w:shd w:val="clear" w:color="auto" w:fill="FEFEFE"/>
        </w:rPr>
        <w:t xml:space="preserve"> </w:t>
      </w:r>
      <w:r>
        <w:rPr>
          <w:rFonts w:ascii="Times New Roman" w:hAnsi="Times New Roman"/>
          <w:szCs w:val="24"/>
          <w:shd w:val="clear" w:color="auto" w:fill="FEFEFE"/>
        </w:rPr>
        <w:t>организацијама</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у</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контексту</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управљања</w:t>
      </w:r>
      <w:r w:rsidR="0059340D" w:rsidRPr="00295637">
        <w:rPr>
          <w:rFonts w:ascii="Times New Roman" w:hAnsi="Times New Roman"/>
          <w:szCs w:val="24"/>
          <w:shd w:val="clear" w:color="auto" w:fill="FEFEFE"/>
        </w:rPr>
        <w:t xml:space="preserve"> </w:t>
      </w:r>
      <w:r w:rsidR="00AF62B1">
        <w:rPr>
          <w:rFonts w:ascii="Times New Roman" w:hAnsi="Times New Roman"/>
          <w:szCs w:val="24"/>
          <w:shd w:val="clear" w:color="auto" w:fill="FEFEFE"/>
          <w:lang w:val="sr-Cyrl-BA"/>
        </w:rPr>
        <w:t>животном средином</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кроз</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едукације</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подизање</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свијести</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и</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изградњу</w:t>
      </w:r>
      <w:r w:rsidR="0059340D" w:rsidRPr="00295637">
        <w:rPr>
          <w:rFonts w:ascii="Times New Roman" w:hAnsi="Times New Roman"/>
          <w:szCs w:val="24"/>
          <w:shd w:val="clear" w:color="auto" w:fill="FEFEFE"/>
        </w:rPr>
        <w:t xml:space="preserve"> </w:t>
      </w:r>
      <w:r>
        <w:rPr>
          <w:rFonts w:ascii="Times New Roman" w:hAnsi="Times New Roman"/>
          <w:szCs w:val="24"/>
          <w:shd w:val="clear" w:color="auto" w:fill="FEFEFE"/>
        </w:rPr>
        <w:t>капацитета</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за</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рад</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на</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питањима</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равноправности</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полова</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Невладине</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организације</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које</w:t>
      </w:r>
      <w:r w:rsidR="003A2305">
        <w:rPr>
          <w:rFonts w:ascii="Times New Roman" w:hAnsi="Times New Roman"/>
          <w:szCs w:val="24"/>
          <w:shd w:val="clear" w:color="auto" w:fill="FEFEFE"/>
        </w:rPr>
        <w:t xml:space="preserve"> </w:t>
      </w:r>
      <w:r>
        <w:rPr>
          <w:rFonts w:ascii="Times New Roman" w:hAnsi="Times New Roman"/>
          <w:szCs w:val="24"/>
          <w:shd w:val="clear" w:color="auto" w:fill="FEFEFE"/>
        </w:rPr>
        <w:t>раде</w:t>
      </w:r>
      <w:r w:rsidR="003A2305">
        <w:rPr>
          <w:rFonts w:ascii="Times New Roman" w:hAnsi="Times New Roman"/>
          <w:szCs w:val="24"/>
          <w:shd w:val="clear" w:color="auto" w:fill="FEFEFE"/>
        </w:rPr>
        <w:t xml:space="preserve"> </w:t>
      </w:r>
      <w:r>
        <w:rPr>
          <w:rFonts w:ascii="Times New Roman" w:hAnsi="Times New Roman"/>
          <w:szCs w:val="24"/>
          <w:shd w:val="clear" w:color="auto" w:fill="FEFEFE"/>
        </w:rPr>
        <w:t>са</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крајњим</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корисницима</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имају</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информације</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о</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потребама</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тих</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група</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и</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могу</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допринијети</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ефикаснијој</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реализацији</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активности</w:t>
      </w:r>
      <w:r w:rsidR="006831C1" w:rsidRPr="00295637">
        <w:rPr>
          <w:rFonts w:ascii="Times New Roman" w:hAnsi="Times New Roman"/>
          <w:szCs w:val="24"/>
          <w:shd w:val="clear" w:color="auto" w:fill="FEFEFE"/>
        </w:rPr>
        <w:t xml:space="preserve"> </w:t>
      </w:r>
      <w:r>
        <w:rPr>
          <w:rFonts w:ascii="Times New Roman" w:hAnsi="Times New Roman"/>
          <w:szCs w:val="24"/>
          <w:shd w:val="clear" w:color="auto" w:fill="FEFEFE"/>
        </w:rPr>
        <w:t>ГАП</w:t>
      </w:r>
      <w:r w:rsidR="00240048" w:rsidRPr="00295637">
        <w:rPr>
          <w:rFonts w:ascii="Times New Roman" w:hAnsi="Times New Roman"/>
          <w:szCs w:val="24"/>
          <w:shd w:val="clear" w:color="auto" w:fill="FEFEFE"/>
        </w:rPr>
        <w:t xml:space="preserve"> </w:t>
      </w:r>
      <w:r>
        <w:rPr>
          <w:rFonts w:ascii="Times New Roman" w:hAnsi="Times New Roman"/>
          <w:szCs w:val="24"/>
          <w:shd w:val="clear" w:color="auto" w:fill="FEFEFE"/>
        </w:rPr>
        <w:t>БиХ</w:t>
      </w:r>
      <w:r w:rsidR="006831C1" w:rsidRPr="00295637">
        <w:rPr>
          <w:rFonts w:ascii="Times New Roman" w:hAnsi="Times New Roman"/>
          <w:szCs w:val="24"/>
          <w:shd w:val="clear" w:color="auto" w:fill="FEFEFE"/>
        </w:rPr>
        <w:t xml:space="preserve">.    </w:t>
      </w:r>
    </w:p>
    <w:p w:rsidR="0011239A" w:rsidRPr="00295637" w:rsidRDefault="0011239A" w:rsidP="0086268D">
      <w:pPr>
        <w:jc w:val="both"/>
        <w:rPr>
          <w:rFonts w:ascii="Times New Roman" w:hAnsi="Times New Roman"/>
          <w:szCs w:val="24"/>
          <w:shd w:val="clear" w:color="auto" w:fill="FEFEFE"/>
        </w:rPr>
      </w:pPr>
    </w:p>
    <w:p w:rsidR="00E1132E"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МИЕР</w:t>
      </w:r>
      <w:r w:rsidR="00A51DD6" w:rsidRPr="00295637">
        <w:rPr>
          <w:rFonts w:ascii="Times New Roman" w:hAnsi="Times New Roman"/>
          <w:lang w:val="sr-Latn-BA"/>
        </w:rPr>
        <w:t xml:space="preserve"> </w:t>
      </w:r>
      <w:r>
        <w:rPr>
          <w:rFonts w:ascii="Times New Roman" w:hAnsi="Times New Roman"/>
          <w:lang w:val="sr-Latn-BA"/>
        </w:rPr>
        <w:t>РС</w:t>
      </w:r>
      <w:r w:rsidR="00E1132E" w:rsidRPr="00295637">
        <w:rPr>
          <w:rFonts w:ascii="Times New Roman" w:hAnsi="Times New Roman"/>
          <w:lang w:val="sr-Latn-BA"/>
        </w:rPr>
        <w:t xml:space="preserve"> </w:t>
      </w:r>
      <w:r>
        <w:rPr>
          <w:rFonts w:ascii="Times New Roman" w:hAnsi="Times New Roman"/>
          <w:lang w:val="sr-Latn-BA"/>
        </w:rPr>
        <w:t>је</w:t>
      </w:r>
      <w:r w:rsidR="00E1132E" w:rsidRPr="00295637">
        <w:rPr>
          <w:rFonts w:ascii="Times New Roman" w:hAnsi="Times New Roman"/>
          <w:lang w:val="sr-Latn-BA"/>
        </w:rPr>
        <w:t xml:space="preserve"> </w:t>
      </w:r>
      <w:r>
        <w:rPr>
          <w:rFonts w:ascii="Times New Roman" w:hAnsi="Times New Roman"/>
          <w:lang w:val="sr-Latn-BA"/>
        </w:rPr>
        <w:t>у</w:t>
      </w:r>
      <w:r w:rsidR="00E1132E" w:rsidRPr="00295637">
        <w:rPr>
          <w:rFonts w:ascii="Times New Roman" w:hAnsi="Times New Roman"/>
          <w:lang w:val="sr-Latn-BA"/>
        </w:rPr>
        <w:t xml:space="preserve"> 2024. </w:t>
      </w:r>
      <w:r>
        <w:rPr>
          <w:rFonts w:ascii="Times New Roman" w:hAnsi="Times New Roman"/>
          <w:lang w:val="sr-Latn-BA"/>
        </w:rPr>
        <w:t>години</w:t>
      </w:r>
      <w:r w:rsidR="00E1132E" w:rsidRPr="00295637">
        <w:rPr>
          <w:rFonts w:ascii="Times New Roman" w:hAnsi="Times New Roman"/>
          <w:lang w:val="sr-Latn-BA"/>
        </w:rPr>
        <w:t xml:space="preserve"> </w:t>
      </w:r>
      <w:r w:rsidR="00AF62B1">
        <w:rPr>
          <w:rFonts w:ascii="Times New Roman" w:hAnsi="Times New Roman"/>
          <w:lang w:val="sr-Cyrl-BA"/>
        </w:rPr>
        <w:t>спровело</w:t>
      </w:r>
      <w:r w:rsidR="00E1132E" w:rsidRPr="00295637">
        <w:rPr>
          <w:rFonts w:ascii="Times New Roman" w:hAnsi="Times New Roman"/>
          <w:lang w:val="sr-Latn-BA"/>
        </w:rPr>
        <w:t xml:space="preserve"> </w:t>
      </w:r>
      <w:r>
        <w:rPr>
          <w:rFonts w:ascii="Times New Roman" w:hAnsi="Times New Roman"/>
          <w:lang w:val="sr-Latn-BA"/>
        </w:rPr>
        <w:t>обуку</w:t>
      </w:r>
      <w:r w:rsidR="00E1132E" w:rsidRPr="00295637">
        <w:rPr>
          <w:rFonts w:ascii="Times New Roman" w:hAnsi="Times New Roman"/>
          <w:lang w:val="sr-Latn-BA"/>
        </w:rPr>
        <w:t xml:space="preserve"> </w:t>
      </w:r>
      <w:r>
        <w:rPr>
          <w:rFonts w:ascii="Times New Roman" w:hAnsi="Times New Roman"/>
          <w:lang w:val="sr-Latn-BA"/>
        </w:rPr>
        <w:t>запослених</w:t>
      </w:r>
      <w:r w:rsidR="00E1132E" w:rsidRPr="00295637">
        <w:rPr>
          <w:rFonts w:ascii="Times New Roman" w:hAnsi="Times New Roman"/>
          <w:lang w:val="sr-Latn-BA"/>
        </w:rPr>
        <w:t xml:space="preserve"> </w:t>
      </w:r>
      <w:r>
        <w:rPr>
          <w:rFonts w:ascii="Times New Roman" w:hAnsi="Times New Roman"/>
          <w:lang w:val="sr-Latn-BA"/>
        </w:rPr>
        <w:t>службеника</w:t>
      </w:r>
      <w:r w:rsidR="00E1132E" w:rsidRPr="00295637">
        <w:rPr>
          <w:rFonts w:ascii="Times New Roman" w:hAnsi="Times New Roman"/>
          <w:lang w:val="sr-Latn-BA"/>
        </w:rPr>
        <w:t xml:space="preserve"> </w:t>
      </w:r>
      <w:r>
        <w:rPr>
          <w:rFonts w:ascii="Times New Roman" w:hAnsi="Times New Roman"/>
          <w:lang w:val="sr-Latn-BA"/>
        </w:rPr>
        <w:t>о</w:t>
      </w:r>
      <w:r w:rsidR="00E1132E" w:rsidRPr="00295637">
        <w:rPr>
          <w:rFonts w:ascii="Times New Roman" w:hAnsi="Times New Roman"/>
          <w:lang w:val="sr-Latn-BA"/>
        </w:rPr>
        <w:t xml:space="preserve"> </w:t>
      </w:r>
      <w:r>
        <w:rPr>
          <w:rFonts w:ascii="Times New Roman" w:hAnsi="Times New Roman"/>
          <w:lang w:val="sr-Latn-BA"/>
        </w:rPr>
        <w:t>равноправности</w:t>
      </w:r>
      <w:r w:rsidR="00E1132E" w:rsidRPr="00295637">
        <w:rPr>
          <w:rFonts w:ascii="Times New Roman" w:hAnsi="Times New Roman"/>
          <w:lang w:val="sr-Latn-BA"/>
        </w:rPr>
        <w:t xml:space="preserve"> </w:t>
      </w:r>
      <w:r>
        <w:rPr>
          <w:rFonts w:ascii="Times New Roman" w:hAnsi="Times New Roman"/>
          <w:lang w:val="sr-Latn-BA"/>
        </w:rPr>
        <w:t>полова</w:t>
      </w:r>
      <w:r w:rsidR="00E1132E" w:rsidRPr="00295637">
        <w:rPr>
          <w:rFonts w:ascii="Times New Roman" w:hAnsi="Times New Roman"/>
          <w:lang w:val="sr-Latn-BA"/>
        </w:rPr>
        <w:t xml:space="preserve"> </w:t>
      </w:r>
      <w:r>
        <w:rPr>
          <w:rFonts w:ascii="Times New Roman" w:hAnsi="Times New Roman"/>
          <w:lang w:val="sr-Latn-BA"/>
        </w:rPr>
        <w:t>и</w:t>
      </w:r>
      <w:r w:rsidR="00E1132E" w:rsidRPr="00295637">
        <w:rPr>
          <w:rFonts w:ascii="Times New Roman" w:hAnsi="Times New Roman"/>
          <w:lang w:val="sr-Latn-BA"/>
        </w:rPr>
        <w:t xml:space="preserve"> </w:t>
      </w:r>
      <w:r>
        <w:rPr>
          <w:rFonts w:ascii="Times New Roman" w:hAnsi="Times New Roman"/>
          <w:lang w:val="sr-Latn-BA"/>
        </w:rPr>
        <w:t>људским</w:t>
      </w:r>
      <w:r w:rsidR="00E1132E" w:rsidRPr="00295637">
        <w:rPr>
          <w:rFonts w:ascii="Times New Roman" w:hAnsi="Times New Roman"/>
          <w:lang w:val="sr-Latn-BA"/>
        </w:rPr>
        <w:t xml:space="preserve"> </w:t>
      </w:r>
      <w:r>
        <w:rPr>
          <w:rFonts w:ascii="Times New Roman" w:hAnsi="Times New Roman"/>
          <w:lang w:val="sr-Latn-BA"/>
        </w:rPr>
        <w:t>правима</w:t>
      </w:r>
      <w:r w:rsidR="00E1132E" w:rsidRPr="00295637">
        <w:rPr>
          <w:rFonts w:ascii="Times New Roman" w:hAnsi="Times New Roman"/>
          <w:lang w:val="sr-Latn-BA"/>
        </w:rPr>
        <w:t xml:space="preserve"> </w:t>
      </w:r>
      <w:r>
        <w:rPr>
          <w:rFonts w:ascii="Times New Roman" w:hAnsi="Times New Roman"/>
          <w:lang w:val="sr-Latn-BA"/>
        </w:rPr>
        <w:t>жена</w:t>
      </w:r>
      <w:r w:rsidR="00E1132E" w:rsidRPr="00295637">
        <w:rPr>
          <w:rFonts w:ascii="Times New Roman" w:hAnsi="Times New Roman"/>
          <w:lang w:val="sr-Latn-BA"/>
        </w:rPr>
        <w:t>.</w:t>
      </w:r>
    </w:p>
    <w:p w:rsidR="00E1132E" w:rsidRPr="00295637" w:rsidRDefault="00E1132E" w:rsidP="0086268D">
      <w:pPr>
        <w:jc w:val="both"/>
        <w:rPr>
          <w:rStyle w:val="y2iqfc"/>
          <w:rFonts w:ascii="inherit" w:hAnsi="inherit"/>
          <w:color w:val="1F1F1F"/>
          <w:szCs w:val="24"/>
        </w:rPr>
      </w:pPr>
    </w:p>
    <w:p w:rsidR="00DC146F" w:rsidRPr="00295637" w:rsidRDefault="00C6214E" w:rsidP="0086268D">
      <w:pPr>
        <w:jc w:val="both"/>
        <w:rPr>
          <w:rFonts w:ascii="Times New Roman" w:hAnsi="Times New Roman"/>
          <w:szCs w:val="24"/>
          <w:shd w:val="clear" w:color="auto" w:fill="FEFEFE"/>
        </w:rPr>
      </w:pPr>
      <w:r>
        <w:rPr>
          <w:rStyle w:val="y2iqfc"/>
          <w:rFonts w:ascii="inherit" w:hAnsi="inherit"/>
          <w:color w:val="1F1F1F"/>
          <w:szCs w:val="24"/>
        </w:rPr>
        <w:t>У</w:t>
      </w:r>
      <w:r w:rsidR="0011239A" w:rsidRPr="00295637">
        <w:rPr>
          <w:rStyle w:val="y2iqfc"/>
          <w:rFonts w:ascii="inherit" w:hAnsi="inherit"/>
          <w:color w:val="1F1F1F"/>
          <w:szCs w:val="24"/>
        </w:rPr>
        <w:t xml:space="preserve"> </w:t>
      </w:r>
      <w:r>
        <w:rPr>
          <w:rStyle w:val="y2iqfc"/>
          <w:rFonts w:ascii="inherit" w:hAnsi="inherit"/>
          <w:color w:val="1F1F1F"/>
          <w:szCs w:val="24"/>
        </w:rPr>
        <w:t>оквиру</w:t>
      </w:r>
      <w:r w:rsidR="0011239A" w:rsidRPr="00295637">
        <w:rPr>
          <w:rStyle w:val="y2iqfc"/>
          <w:rFonts w:ascii="inherit" w:hAnsi="inherit"/>
          <w:color w:val="1F1F1F"/>
          <w:szCs w:val="24"/>
        </w:rPr>
        <w:t xml:space="preserve"> </w:t>
      </w:r>
      <w:r>
        <w:rPr>
          <w:rStyle w:val="y2iqfc"/>
          <w:rFonts w:ascii="inherit" w:hAnsi="inherit"/>
          <w:color w:val="1F1F1F"/>
          <w:szCs w:val="24"/>
        </w:rPr>
        <w:t>пројекта</w:t>
      </w:r>
      <w:r w:rsidR="0011239A" w:rsidRPr="00295637">
        <w:rPr>
          <w:rStyle w:val="y2iqfc"/>
          <w:rFonts w:ascii="inherit" w:hAnsi="inherit"/>
          <w:color w:val="1F1F1F"/>
          <w:szCs w:val="24"/>
        </w:rPr>
        <w:t xml:space="preserve"> „</w:t>
      </w:r>
      <w:r>
        <w:rPr>
          <w:rStyle w:val="y2iqfc"/>
          <w:rFonts w:ascii="inherit" w:hAnsi="inherit"/>
          <w:color w:val="1F1F1F"/>
          <w:szCs w:val="24"/>
        </w:rPr>
        <w:t>Декарбонизација</w:t>
      </w:r>
      <w:r w:rsidR="0011239A" w:rsidRPr="00295637">
        <w:rPr>
          <w:rStyle w:val="y2iqfc"/>
          <w:rFonts w:ascii="inherit" w:hAnsi="inherit"/>
          <w:color w:val="1F1F1F"/>
          <w:szCs w:val="24"/>
        </w:rPr>
        <w:t xml:space="preserve"> </w:t>
      </w:r>
      <w:r>
        <w:rPr>
          <w:rStyle w:val="y2iqfc"/>
          <w:rFonts w:ascii="inherit" w:hAnsi="inherit"/>
          <w:color w:val="1F1F1F"/>
          <w:szCs w:val="24"/>
        </w:rPr>
        <w:t>електричног</w:t>
      </w:r>
      <w:r w:rsidR="0011239A" w:rsidRPr="00295637">
        <w:rPr>
          <w:rStyle w:val="y2iqfc"/>
          <w:rFonts w:ascii="inherit" w:hAnsi="inherit"/>
          <w:color w:val="1F1F1F"/>
          <w:szCs w:val="24"/>
        </w:rPr>
        <w:t xml:space="preserve"> </w:t>
      </w:r>
      <w:r>
        <w:rPr>
          <w:rStyle w:val="y2iqfc"/>
          <w:rFonts w:ascii="inherit" w:hAnsi="inherit"/>
          <w:color w:val="1F1F1F"/>
          <w:szCs w:val="24"/>
        </w:rPr>
        <w:t>сектора</w:t>
      </w:r>
      <w:r w:rsidR="0011239A" w:rsidRPr="00295637">
        <w:rPr>
          <w:rStyle w:val="y2iqfc"/>
          <w:rFonts w:ascii="inherit" w:hAnsi="inherit"/>
          <w:color w:val="1F1F1F"/>
          <w:szCs w:val="24"/>
        </w:rPr>
        <w:t xml:space="preserve"> </w:t>
      </w:r>
      <w:r>
        <w:rPr>
          <w:rStyle w:val="y2iqfc"/>
          <w:rFonts w:ascii="inherit" w:hAnsi="inherit"/>
          <w:color w:val="1F1F1F"/>
          <w:szCs w:val="24"/>
        </w:rPr>
        <w:t>на</w:t>
      </w:r>
      <w:r w:rsidR="0011239A" w:rsidRPr="00295637">
        <w:rPr>
          <w:rStyle w:val="y2iqfc"/>
          <w:rFonts w:ascii="inherit" w:hAnsi="inherit"/>
          <w:color w:val="1F1F1F"/>
          <w:szCs w:val="24"/>
        </w:rPr>
        <w:t xml:space="preserve"> </w:t>
      </w:r>
      <w:r>
        <w:rPr>
          <w:rStyle w:val="y2iqfc"/>
          <w:rFonts w:ascii="inherit" w:hAnsi="inherit"/>
          <w:color w:val="1F1F1F"/>
          <w:szCs w:val="24"/>
        </w:rPr>
        <w:t>Западном</w:t>
      </w:r>
      <w:r w:rsidR="0011239A" w:rsidRPr="00295637">
        <w:rPr>
          <w:rStyle w:val="y2iqfc"/>
          <w:rFonts w:ascii="inherit" w:hAnsi="inherit"/>
          <w:color w:val="1F1F1F"/>
          <w:szCs w:val="24"/>
        </w:rPr>
        <w:t xml:space="preserve"> </w:t>
      </w:r>
      <w:r>
        <w:rPr>
          <w:rStyle w:val="y2iqfc"/>
          <w:rFonts w:ascii="inherit" w:hAnsi="inherit"/>
          <w:color w:val="1F1F1F"/>
          <w:szCs w:val="24"/>
        </w:rPr>
        <w:t>Балкану</w:t>
      </w:r>
      <w:r w:rsidR="0011239A" w:rsidRPr="00295637">
        <w:rPr>
          <w:rStyle w:val="y2iqfc"/>
          <w:rFonts w:ascii="inherit" w:hAnsi="inherit"/>
          <w:color w:val="1F1F1F"/>
          <w:szCs w:val="24"/>
        </w:rPr>
        <w:t>“</w:t>
      </w:r>
      <w:r w:rsidR="00E93508" w:rsidRPr="00295637">
        <w:rPr>
          <w:rStyle w:val="y2iqfc"/>
          <w:rFonts w:ascii="inherit" w:hAnsi="inherit"/>
          <w:color w:val="1F1F1F"/>
          <w:szCs w:val="24"/>
        </w:rPr>
        <w:t>,</w:t>
      </w:r>
      <w:r w:rsidR="0011239A" w:rsidRPr="00295637">
        <w:rPr>
          <w:rStyle w:val="y2iqfc"/>
          <w:rFonts w:ascii="inherit" w:hAnsi="inherit"/>
          <w:color w:val="1F1F1F"/>
          <w:szCs w:val="24"/>
        </w:rPr>
        <w:t xml:space="preserve"> </w:t>
      </w:r>
      <w:r w:rsidR="00AF62B1" w:rsidRPr="00AF62B1">
        <w:rPr>
          <w:rFonts w:ascii="inherit" w:hAnsi="inherit"/>
          <w:i/>
          <w:color w:val="1F1F1F"/>
          <w:szCs w:val="24"/>
        </w:rPr>
        <w:t>GIZ</w:t>
      </w:r>
      <w:r w:rsidR="0011239A" w:rsidRPr="00295637">
        <w:rPr>
          <w:rStyle w:val="y2iqfc"/>
          <w:rFonts w:ascii="inherit" w:hAnsi="inherit"/>
          <w:color w:val="1F1F1F"/>
          <w:szCs w:val="24"/>
        </w:rPr>
        <w:t xml:space="preserve"> </w:t>
      </w:r>
      <w:r>
        <w:rPr>
          <w:rStyle w:val="y2iqfc"/>
          <w:rFonts w:ascii="inherit" w:hAnsi="inherit"/>
          <w:color w:val="1F1F1F"/>
          <w:szCs w:val="24"/>
        </w:rPr>
        <w:t>је</w:t>
      </w:r>
      <w:r w:rsidR="0011239A" w:rsidRPr="00295637">
        <w:rPr>
          <w:rStyle w:val="y2iqfc"/>
          <w:rFonts w:ascii="inherit" w:hAnsi="inherit"/>
          <w:color w:val="1F1F1F"/>
          <w:szCs w:val="24"/>
        </w:rPr>
        <w:t xml:space="preserve"> </w:t>
      </w:r>
      <w:r>
        <w:rPr>
          <w:rStyle w:val="y2iqfc"/>
          <w:rFonts w:ascii="inherit" w:hAnsi="inherit"/>
          <w:color w:val="1F1F1F"/>
          <w:szCs w:val="24"/>
        </w:rPr>
        <w:t>укључивао</w:t>
      </w:r>
      <w:r w:rsidR="0011239A" w:rsidRPr="00295637">
        <w:rPr>
          <w:rStyle w:val="y2iqfc"/>
          <w:rFonts w:ascii="inherit" w:hAnsi="inherit"/>
          <w:color w:val="1F1F1F"/>
          <w:szCs w:val="24"/>
        </w:rPr>
        <w:t xml:space="preserve"> </w:t>
      </w:r>
      <w:r>
        <w:rPr>
          <w:rStyle w:val="y2iqfc"/>
          <w:rFonts w:ascii="inherit" w:hAnsi="inherit"/>
          <w:color w:val="1F1F1F"/>
          <w:szCs w:val="24"/>
        </w:rPr>
        <w:t>перспективу</w:t>
      </w:r>
      <w:r w:rsidR="0011239A" w:rsidRPr="00295637">
        <w:rPr>
          <w:rStyle w:val="y2iqfc"/>
          <w:rFonts w:ascii="inherit" w:hAnsi="inherit"/>
          <w:color w:val="1F1F1F"/>
          <w:szCs w:val="24"/>
        </w:rPr>
        <w:t xml:space="preserve"> </w:t>
      </w:r>
      <w:r>
        <w:rPr>
          <w:rStyle w:val="y2iqfc"/>
          <w:rFonts w:ascii="inherit" w:hAnsi="inherit"/>
          <w:color w:val="1F1F1F"/>
          <w:szCs w:val="24"/>
        </w:rPr>
        <w:t>равноправности</w:t>
      </w:r>
      <w:r w:rsidR="0011239A" w:rsidRPr="00295637">
        <w:rPr>
          <w:rStyle w:val="y2iqfc"/>
          <w:rFonts w:ascii="inherit" w:hAnsi="inherit"/>
          <w:color w:val="1F1F1F"/>
          <w:szCs w:val="24"/>
        </w:rPr>
        <w:t xml:space="preserve"> </w:t>
      </w:r>
      <w:r>
        <w:rPr>
          <w:rStyle w:val="y2iqfc"/>
          <w:rFonts w:ascii="inherit" w:hAnsi="inherit"/>
          <w:color w:val="1F1F1F"/>
          <w:szCs w:val="24"/>
        </w:rPr>
        <w:t>полова</w:t>
      </w:r>
      <w:r w:rsidR="0011239A" w:rsidRPr="00295637">
        <w:rPr>
          <w:rStyle w:val="y2iqfc"/>
          <w:rFonts w:ascii="inherit" w:hAnsi="inherit"/>
          <w:color w:val="1F1F1F"/>
          <w:szCs w:val="24"/>
        </w:rPr>
        <w:t xml:space="preserve"> </w:t>
      </w:r>
      <w:r>
        <w:rPr>
          <w:rStyle w:val="y2iqfc"/>
          <w:rFonts w:ascii="inherit" w:hAnsi="inherit"/>
          <w:color w:val="1F1F1F"/>
          <w:szCs w:val="24"/>
        </w:rPr>
        <w:t>у</w:t>
      </w:r>
      <w:r w:rsidR="0011239A" w:rsidRPr="00295637">
        <w:rPr>
          <w:rStyle w:val="y2iqfc"/>
          <w:rFonts w:ascii="inherit" w:hAnsi="inherit"/>
          <w:color w:val="1F1F1F"/>
          <w:szCs w:val="24"/>
        </w:rPr>
        <w:t xml:space="preserve"> </w:t>
      </w:r>
      <w:r>
        <w:rPr>
          <w:rStyle w:val="y2iqfc"/>
          <w:rFonts w:ascii="inherit" w:hAnsi="inherit"/>
          <w:color w:val="1F1F1F"/>
          <w:szCs w:val="24"/>
        </w:rPr>
        <w:t>процес</w:t>
      </w:r>
      <w:r w:rsidR="00E93508" w:rsidRPr="00295637">
        <w:rPr>
          <w:rStyle w:val="y2iqfc"/>
          <w:rFonts w:ascii="inherit" w:hAnsi="inherit"/>
          <w:color w:val="1F1F1F"/>
          <w:szCs w:val="24"/>
        </w:rPr>
        <w:t xml:space="preserve"> </w:t>
      </w:r>
      <w:r>
        <w:rPr>
          <w:rStyle w:val="y2iqfc"/>
          <w:rFonts w:ascii="inherit" w:hAnsi="inherit"/>
          <w:color w:val="1F1F1F"/>
          <w:szCs w:val="24"/>
        </w:rPr>
        <w:t>регионалне</w:t>
      </w:r>
      <w:r w:rsidR="0011239A" w:rsidRPr="00295637">
        <w:rPr>
          <w:rStyle w:val="y2iqfc"/>
          <w:rFonts w:ascii="inherit" w:hAnsi="inherit"/>
          <w:color w:val="1F1F1F"/>
          <w:szCs w:val="24"/>
        </w:rPr>
        <w:t xml:space="preserve"> </w:t>
      </w:r>
      <w:r>
        <w:rPr>
          <w:rStyle w:val="y2iqfc"/>
          <w:rFonts w:ascii="inherit" w:hAnsi="inherit"/>
          <w:color w:val="1F1F1F"/>
          <w:szCs w:val="24"/>
        </w:rPr>
        <w:t>размјене</w:t>
      </w:r>
      <w:r w:rsidR="0011239A" w:rsidRPr="00295637">
        <w:rPr>
          <w:rStyle w:val="y2iqfc"/>
          <w:rFonts w:ascii="inherit" w:hAnsi="inherit"/>
          <w:color w:val="1F1F1F"/>
          <w:szCs w:val="24"/>
        </w:rPr>
        <w:t xml:space="preserve"> (</w:t>
      </w:r>
      <w:r>
        <w:rPr>
          <w:rStyle w:val="y2iqfc"/>
          <w:rFonts w:ascii="inherit" w:hAnsi="inherit"/>
          <w:color w:val="1F1F1F"/>
          <w:szCs w:val="24"/>
        </w:rPr>
        <w:t>конференцијски</w:t>
      </w:r>
      <w:r w:rsidR="0011239A" w:rsidRPr="00295637">
        <w:rPr>
          <w:rStyle w:val="y2iqfc"/>
          <w:rFonts w:ascii="inherit" w:hAnsi="inherit"/>
          <w:color w:val="1F1F1F"/>
          <w:szCs w:val="24"/>
        </w:rPr>
        <w:t xml:space="preserve"> </w:t>
      </w:r>
      <w:r>
        <w:rPr>
          <w:rStyle w:val="y2iqfc"/>
          <w:rFonts w:ascii="inherit" w:hAnsi="inherit"/>
          <w:color w:val="1F1F1F"/>
          <w:szCs w:val="24"/>
        </w:rPr>
        <w:t>формати</w:t>
      </w:r>
      <w:r w:rsidR="0011239A" w:rsidRPr="00295637">
        <w:rPr>
          <w:rStyle w:val="y2iqfc"/>
          <w:rFonts w:ascii="inherit" w:hAnsi="inherit"/>
          <w:color w:val="1F1F1F"/>
          <w:szCs w:val="24"/>
        </w:rPr>
        <w:t xml:space="preserve">) </w:t>
      </w:r>
      <w:r>
        <w:rPr>
          <w:rStyle w:val="y2iqfc"/>
          <w:rFonts w:ascii="inherit" w:hAnsi="inherit"/>
          <w:color w:val="1F1F1F"/>
          <w:szCs w:val="24"/>
        </w:rPr>
        <w:t>са</w:t>
      </w:r>
      <w:r w:rsidR="0011239A" w:rsidRPr="00295637">
        <w:rPr>
          <w:rStyle w:val="y2iqfc"/>
          <w:rFonts w:ascii="inherit" w:hAnsi="inherit"/>
          <w:color w:val="1F1F1F"/>
          <w:szCs w:val="24"/>
        </w:rPr>
        <w:t xml:space="preserve"> </w:t>
      </w:r>
      <w:r>
        <w:rPr>
          <w:rStyle w:val="y2iqfc"/>
          <w:rFonts w:ascii="inherit" w:hAnsi="inherit"/>
          <w:color w:val="1F1F1F"/>
          <w:szCs w:val="24"/>
        </w:rPr>
        <w:t>партнерским</w:t>
      </w:r>
      <w:r w:rsidR="0011239A" w:rsidRPr="00295637">
        <w:rPr>
          <w:rStyle w:val="y2iqfc"/>
          <w:rFonts w:ascii="inherit" w:hAnsi="inherit"/>
          <w:color w:val="1F1F1F"/>
          <w:szCs w:val="24"/>
        </w:rPr>
        <w:t xml:space="preserve"> </w:t>
      </w:r>
      <w:r>
        <w:rPr>
          <w:rStyle w:val="y2iqfc"/>
          <w:rFonts w:ascii="inherit" w:hAnsi="inherit"/>
          <w:color w:val="1F1F1F"/>
          <w:szCs w:val="24"/>
        </w:rPr>
        <w:t>организацијама</w:t>
      </w:r>
      <w:r w:rsidR="00E93508" w:rsidRPr="00295637">
        <w:rPr>
          <w:rStyle w:val="y2iqfc"/>
          <w:rFonts w:ascii="inherit" w:hAnsi="inherit"/>
          <w:color w:val="1F1F1F"/>
          <w:szCs w:val="24"/>
        </w:rPr>
        <w:t>,</w:t>
      </w:r>
      <w:r w:rsidR="0011239A" w:rsidRPr="00295637">
        <w:rPr>
          <w:rStyle w:val="y2iqfc"/>
          <w:rFonts w:ascii="inherit" w:hAnsi="inherit"/>
          <w:color w:val="1F1F1F"/>
          <w:szCs w:val="24"/>
        </w:rPr>
        <w:t xml:space="preserve"> </w:t>
      </w:r>
      <w:r>
        <w:rPr>
          <w:rStyle w:val="y2iqfc"/>
          <w:rFonts w:ascii="inherit" w:hAnsi="inherit"/>
          <w:color w:val="1F1F1F"/>
          <w:szCs w:val="24"/>
        </w:rPr>
        <w:t>како</w:t>
      </w:r>
      <w:r w:rsidR="0011239A" w:rsidRPr="00295637">
        <w:rPr>
          <w:rStyle w:val="y2iqfc"/>
          <w:rFonts w:ascii="inherit" w:hAnsi="inherit"/>
          <w:color w:val="1F1F1F"/>
          <w:szCs w:val="24"/>
        </w:rPr>
        <w:t xml:space="preserve"> </w:t>
      </w:r>
      <w:r>
        <w:rPr>
          <w:rStyle w:val="y2iqfc"/>
          <w:rFonts w:ascii="inherit" w:hAnsi="inherit"/>
          <w:color w:val="1F1F1F"/>
          <w:szCs w:val="24"/>
        </w:rPr>
        <w:t>би</w:t>
      </w:r>
      <w:r w:rsidR="0011239A" w:rsidRPr="00295637">
        <w:rPr>
          <w:rStyle w:val="y2iqfc"/>
          <w:rFonts w:ascii="inherit" w:hAnsi="inherit"/>
          <w:color w:val="1F1F1F"/>
          <w:szCs w:val="24"/>
        </w:rPr>
        <w:t xml:space="preserve"> </w:t>
      </w:r>
      <w:r>
        <w:rPr>
          <w:rStyle w:val="y2iqfc"/>
          <w:rFonts w:ascii="inherit" w:hAnsi="inherit"/>
          <w:color w:val="1F1F1F"/>
          <w:szCs w:val="24"/>
        </w:rPr>
        <w:t>се</w:t>
      </w:r>
      <w:r w:rsidR="0011239A" w:rsidRPr="00295637">
        <w:rPr>
          <w:rStyle w:val="y2iqfc"/>
          <w:rFonts w:ascii="inherit" w:hAnsi="inherit"/>
          <w:color w:val="1F1F1F"/>
          <w:szCs w:val="24"/>
        </w:rPr>
        <w:t xml:space="preserve"> </w:t>
      </w:r>
      <w:r>
        <w:rPr>
          <w:rStyle w:val="y2iqfc"/>
          <w:rFonts w:ascii="inherit" w:hAnsi="inherit"/>
          <w:color w:val="1F1F1F"/>
          <w:szCs w:val="24"/>
        </w:rPr>
        <w:t>скренула</w:t>
      </w:r>
      <w:r w:rsidR="0011239A" w:rsidRPr="00295637">
        <w:rPr>
          <w:rStyle w:val="y2iqfc"/>
          <w:rFonts w:ascii="inherit" w:hAnsi="inherit"/>
          <w:color w:val="1F1F1F"/>
          <w:szCs w:val="24"/>
        </w:rPr>
        <w:t xml:space="preserve"> </w:t>
      </w:r>
      <w:r>
        <w:rPr>
          <w:rStyle w:val="y2iqfc"/>
          <w:rFonts w:ascii="inherit" w:hAnsi="inherit"/>
          <w:color w:val="1F1F1F"/>
          <w:szCs w:val="24"/>
        </w:rPr>
        <w:t>пажња</w:t>
      </w:r>
      <w:r w:rsidR="0011239A" w:rsidRPr="00295637">
        <w:rPr>
          <w:rStyle w:val="y2iqfc"/>
          <w:rFonts w:ascii="inherit" w:hAnsi="inherit"/>
          <w:color w:val="1F1F1F"/>
          <w:szCs w:val="24"/>
        </w:rPr>
        <w:t xml:space="preserve"> </w:t>
      </w:r>
      <w:r>
        <w:rPr>
          <w:rStyle w:val="y2iqfc"/>
          <w:rFonts w:ascii="inherit" w:hAnsi="inherit"/>
          <w:color w:val="1F1F1F"/>
          <w:szCs w:val="24"/>
        </w:rPr>
        <w:t>на</w:t>
      </w:r>
      <w:r w:rsidR="0011239A" w:rsidRPr="00295637">
        <w:rPr>
          <w:rStyle w:val="y2iqfc"/>
          <w:rFonts w:ascii="inherit" w:hAnsi="inherit"/>
          <w:color w:val="1F1F1F"/>
          <w:szCs w:val="24"/>
        </w:rPr>
        <w:t xml:space="preserve"> </w:t>
      </w:r>
      <w:r>
        <w:rPr>
          <w:rStyle w:val="y2iqfc"/>
          <w:rFonts w:ascii="inherit" w:hAnsi="inherit"/>
          <w:color w:val="1F1F1F"/>
          <w:szCs w:val="24"/>
        </w:rPr>
        <w:t>значајне</w:t>
      </w:r>
      <w:r w:rsidR="0011239A" w:rsidRPr="00295637">
        <w:rPr>
          <w:rStyle w:val="y2iqfc"/>
          <w:rFonts w:ascii="inherit" w:hAnsi="inherit"/>
          <w:color w:val="1F1F1F"/>
          <w:szCs w:val="24"/>
        </w:rPr>
        <w:t xml:space="preserve"> </w:t>
      </w:r>
      <w:r>
        <w:rPr>
          <w:rStyle w:val="y2iqfc"/>
          <w:rFonts w:ascii="inherit" w:hAnsi="inherit"/>
          <w:color w:val="1F1F1F"/>
          <w:szCs w:val="24"/>
        </w:rPr>
        <w:t>родне</w:t>
      </w:r>
      <w:r w:rsidR="0011239A" w:rsidRPr="00295637">
        <w:rPr>
          <w:rStyle w:val="y2iqfc"/>
          <w:rFonts w:ascii="inherit" w:hAnsi="inherit"/>
          <w:color w:val="1F1F1F"/>
          <w:szCs w:val="24"/>
        </w:rPr>
        <w:t xml:space="preserve"> </w:t>
      </w:r>
      <w:r>
        <w:rPr>
          <w:rStyle w:val="y2iqfc"/>
          <w:rFonts w:ascii="inherit" w:hAnsi="inherit"/>
          <w:color w:val="1F1F1F"/>
          <w:szCs w:val="24"/>
        </w:rPr>
        <w:t>неравнотеже</w:t>
      </w:r>
      <w:r w:rsidR="0011239A" w:rsidRPr="00295637">
        <w:rPr>
          <w:rStyle w:val="y2iqfc"/>
          <w:rFonts w:ascii="inherit" w:hAnsi="inherit"/>
          <w:color w:val="1F1F1F"/>
          <w:szCs w:val="24"/>
        </w:rPr>
        <w:t xml:space="preserve"> </w:t>
      </w:r>
      <w:r>
        <w:rPr>
          <w:rStyle w:val="y2iqfc"/>
          <w:rFonts w:ascii="inherit" w:hAnsi="inherit"/>
          <w:color w:val="1F1F1F"/>
          <w:szCs w:val="24"/>
        </w:rPr>
        <w:t>у</w:t>
      </w:r>
      <w:r w:rsidR="0011239A" w:rsidRPr="00295637">
        <w:rPr>
          <w:rStyle w:val="y2iqfc"/>
          <w:rFonts w:ascii="inherit" w:hAnsi="inherit"/>
          <w:color w:val="1F1F1F"/>
          <w:szCs w:val="24"/>
        </w:rPr>
        <w:t xml:space="preserve"> </w:t>
      </w:r>
      <w:r>
        <w:rPr>
          <w:rStyle w:val="y2iqfc"/>
          <w:rFonts w:ascii="inherit" w:hAnsi="inherit"/>
          <w:color w:val="1F1F1F"/>
          <w:szCs w:val="24"/>
        </w:rPr>
        <w:t>енергетском</w:t>
      </w:r>
      <w:r w:rsidR="0011239A" w:rsidRPr="00295637">
        <w:rPr>
          <w:rStyle w:val="y2iqfc"/>
          <w:rFonts w:ascii="inherit" w:hAnsi="inherit"/>
          <w:color w:val="1F1F1F"/>
          <w:szCs w:val="24"/>
        </w:rPr>
        <w:t xml:space="preserve"> </w:t>
      </w:r>
      <w:r>
        <w:rPr>
          <w:rStyle w:val="y2iqfc"/>
          <w:rFonts w:ascii="inherit" w:hAnsi="inherit"/>
          <w:color w:val="1F1F1F"/>
          <w:szCs w:val="24"/>
        </w:rPr>
        <w:t>сектору</w:t>
      </w:r>
      <w:r w:rsidR="0011239A" w:rsidRPr="00295637">
        <w:rPr>
          <w:rStyle w:val="y2iqfc"/>
          <w:rFonts w:ascii="inherit" w:hAnsi="inherit"/>
          <w:color w:val="1F1F1F"/>
          <w:szCs w:val="24"/>
        </w:rPr>
        <w:t xml:space="preserve">. </w:t>
      </w:r>
      <w:r>
        <w:rPr>
          <w:rStyle w:val="y2iqfc"/>
          <w:rFonts w:ascii="inherit" w:hAnsi="inherit"/>
          <w:color w:val="1F1F1F"/>
          <w:szCs w:val="24"/>
        </w:rPr>
        <w:t>Поред</w:t>
      </w:r>
      <w:r w:rsidR="0011239A" w:rsidRPr="00295637">
        <w:rPr>
          <w:rStyle w:val="y2iqfc"/>
          <w:rFonts w:ascii="inherit" w:hAnsi="inherit"/>
          <w:color w:val="1F1F1F"/>
          <w:szCs w:val="24"/>
        </w:rPr>
        <w:t xml:space="preserve"> </w:t>
      </w:r>
      <w:r>
        <w:rPr>
          <w:rStyle w:val="y2iqfc"/>
          <w:rFonts w:ascii="inherit" w:hAnsi="inherit"/>
          <w:color w:val="1F1F1F"/>
          <w:szCs w:val="24"/>
        </w:rPr>
        <w:t>тога</w:t>
      </w:r>
      <w:r w:rsidR="0011239A" w:rsidRPr="00295637">
        <w:rPr>
          <w:rStyle w:val="y2iqfc"/>
          <w:rFonts w:ascii="inherit" w:hAnsi="inherit"/>
          <w:color w:val="1F1F1F"/>
          <w:szCs w:val="24"/>
        </w:rPr>
        <w:t xml:space="preserve">, </w:t>
      </w:r>
      <w:r>
        <w:rPr>
          <w:rStyle w:val="y2iqfc"/>
          <w:rFonts w:ascii="inherit" w:hAnsi="inherit"/>
          <w:color w:val="1F1F1F"/>
          <w:szCs w:val="24"/>
        </w:rPr>
        <w:t>реализ</w:t>
      </w:r>
      <w:r w:rsidR="00AF62B1">
        <w:rPr>
          <w:rStyle w:val="y2iqfc"/>
          <w:rFonts w:ascii="inherit" w:hAnsi="inherit"/>
          <w:color w:val="1F1F1F"/>
          <w:szCs w:val="24"/>
          <w:lang w:val="sr-Cyrl-BA"/>
        </w:rPr>
        <w:t>ован</w:t>
      </w:r>
      <w:r w:rsidR="0011239A" w:rsidRPr="00295637">
        <w:rPr>
          <w:rStyle w:val="y2iqfc"/>
          <w:rFonts w:ascii="inherit" w:hAnsi="inherit"/>
          <w:color w:val="1F1F1F"/>
          <w:szCs w:val="24"/>
        </w:rPr>
        <w:t xml:space="preserve"> </w:t>
      </w:r>
      <w:r>
        <w:rPr>
          <w:rStyle w:val="y2iqfc"/>
          <w:rFonts w:ascii="inherit" w:hAnsi="inherit"/>
          <w:color w:val="1F1F1F"/>
          <w:szCs w:val="24"/>
        </w:rPr>
        <w:t>је</w:t>
      </w:r>
      <w:r w:rsidR="0011239A" w:rsidRPr="00295637">
        <w:rPr>
          <w:rStyle w:val="y2iqfc"/>
          <w:rFonts w:ascii="inherit" w:hAnsi="inherit"/>
          <w:color w:val="1F1F1F"/>
          <w:szCs w:val="24"/>
        </w:rPr>
        <w:t xml:space="preserve"> </w:t>
      </w:r>
      <w:r>
        <w:rPr>
          <w:rStyle w:val="y2iqfc"/>
          <w:rFonts w:ascii="inherit" w:hAnsi="inherit"/>
          <w:color w:val="1F1F1F"/>
          <w:szCs w:val="24"/>
        </w:rPr>
        <w:t>и</w:t>
      </w:r>
      <w:r w:rsidR="0011239A" w:rsidRPr="00295637">
        <w:rPr>
          <w:rStyle w:val="y2iqfc"/>
          <w:rFonts w:ascii="inherit" w:hAnsi="inherit"/>
          <w:color w:val="1F1F1F"/>
          <w:szCs w:val="24"/>
        </w:rPr>
        <w:t xml:space="preserve"> </w:t>
      </w:r>
      <w:r>
        <w:rPr>
          <w:rStyle w:val="y2iqfc"/>
          <w:rFonts w:ascii="inherit" w:hAnsi="inherit"/>
          <w:color w:val="1F1F1F"/>
          <w:szCs w:val="24"/>
        </w:rPr>
        <w:t>документ</w:t>
      </w:r>
      <w:r w:rsidR="0011239A" w:rsidRPr="00295637">
        <w:rPr>
          <w:rStyle w:val="y2iqfc"/>
          <w:rFonts w:ascii="inherit" w:hAnsi="inherit"/>
          <w:color w:val="1F1F1F"/>
          <w:szCs w:val="24"/>
        </w:rPr>
        <w:t xml:space="preserve"> </w:t>
      </w:r>
      <w:r>
        <w:rPr>
          <w:rStyle w:val="y2iqfc"/>
          <w:rFonts w:ascii="inherit" w:hAnsi="inherit"/>
          <w:color w:val="1F1F1F"/>
          <w:szCs w:val="24"/>
        </w:rPr>
        <w:t>о</w:t>
      </w:r>
      <w:r w:rsidR="0011239A" w:rsidRPr="00295637">
        <w:rPr>
          <w:rStyle w:val="y2iqfc"/>
          <w:rFonts w:ascii="inherit" w:hAnsi="inherit"/>
          <w:color w:val="1F1F1F"/>
          <w:szCs w:val="24"/>
        </w:rPr>
        <w:t xml:space="preserve"> </w:t>
      </w:r>
      <w:r>
        <w:rPr>
          <w:rStyle w:val="y2iqfc"/>
          <w:rFonts w:ascii="inherit" w:hAnsi="inherit"/>
          <w:color w:val="1F1F1F"/>
          <w:szCs w:val="24"/>
        </w:rPr>
        <w:t>негативним</w:t>
      </w:r>
      <w:r w:rsidR="0011239A" w:rsidRPr="00295637">
        <w:rPr>
          <w:rStyle w:val="y2iqfc"/>
          <w:rFonts w:ascii="inherit" w:hAnsi="inherit"/>
          <w:color w:val="1F1F1F"/>
          <w:szCs w:val="24"/>
        </w:rPr>
        <w:t xml:space="preserve"> </w:t>
      </w:r>
      <w:r>
        <w:rPr>
          <w:rStyle w:val="y2iqfc"/>
          <w:rFonts w:ascii="inherit" w:hAnsi="inherit"/>
          <w:color w:val="1F1F1F"/>
          <w:szCs w:val="24"/>
        </w:rPr>
        <w:t>ефектима</w:t>
      </w:r>
      <w:r w:rsidR="0011239A" w:rsidRPr="00295637">
        <w:rPr>
          <w:rStyle w:val="y2iqfc"/>
          <w:rFonts w:ascii="inherit" w:hAnsi="inherit"/>
          <w:color w:val="1F1F1F"/>
          <w:szCs w:val="24"/>
        </w:rPr>
        <w:t xml:space="preserve"> </w:t>
      </w:r>
      <w:r>
        <w:rPr>
          <w:rStyle w:val="y2iqfc"/>
          <w:rFonts w:ascii="inherit" w:hAnsi="inherit"/>
          <w:color w:val="1F1F1F"/>
          <w:szCs w:val="24"/>
        </w:rPr>
        <w:t>трансформације</w:t>
      </w:r>
      <w:r w:rsidR="0011239A" w:rsidRPr="00295637">
        <w:rPr>
          <w:rStyle w:val="y2iqfc"/>
          <w:rFonts w:ascii="inherit" w:hAnsi="inherit"/>
          <w:color w:val="1F1F1F"/>
          <w:szCs w:val="24"/>
        </w:rPr>
        <w:t xml:space="preserve"> </w:t>
      </w:r>
      <w:r>
        <w:rPr>
          <w:rStyle w:val="y2iqfc"/>
          <w:rFonts w:ascii="inherit" w:hAnsi="inherit"/>
          <w:color w:val="1F1F1F"/>
          <w:szCs w:val="24"/>
        </w:rPr>
        <w:t>угља</w:t>
      </w:r>
      <w:r w:rsidR="0011239A" w:rsidRPr="00295637">
        <w:rPr>
          <w:rStyle w:val="y2iqfc"/>
          <w:rFonts w:ascii="inherit" w:hAnsi="inherit"/>
          <w:color w:val="1F1F1F"/>
          <w:szCs w:val="24"/>
        </w:rPr>
        <w:t xml:space="preserve"> </w:t>
      </w:r>
      <w:r>
        <w:rPr>
          <w:rStyle w:val="y2iqfc"/>
          <w:rFonts w:ascii="inherit" w:hAnsi="inherit"/>
          <w:color w:val="1F1F1F"/>
          <w:szCs w:val="24"/>
        </w:rPr>
        <w:t>на</w:t>
      </w:r>
      <w:r w:rsidR="0011239A" w:rsidRPr="00295637">
        <w:rPr>
          <w:rStyle w:val="y2iqfc"/>
          <w:rFonts w:ascii="inherit" w:hAnsi="inherit"/>
          <w:color w:val="1F1F1F"/>
          <w:szCs w:val="24"/>
        </w:rPr>
        <w:t xml:space="preserve"> </w:t>
      </w:r>
      <w:r>
        <w:rPr>
          <w:rStyle w:val="y2iqfc"/>
          <w:rFonts w:ascii="inherit" w:hAnsi="inherit"/>
          <w:color w:val="1F1F1F"/>
          <w:szCs w:val="24"/>
        </w:rPr>
        <w:t>Западном</w:t>
      </w:r>
      <w:r w:rsidR="0011239A" w:rsidRPr="00295637">
        <w:rPr>
          <w:rStyle w:val="y2iqfc"/>
          <w:rFonts w:ascii="inherit" w:hAnsi="inherit"/>
          <w:color w:val="1F1F1F"/>
          <w:szCs w:val="24"/>
        </w:rPr>
        <w:t xml:space="preserve"> </w:t>
      </w:r>
      <w:r>
        <w:rPr>
          <w:rStyle w:val="y2iqfc"/>
          <w:rFonts w:ascii="inherit" w:hAnsi="inherit"/>
          <w:color w:val="1F1F1F"/>
          <w:szCs w:val="24"/>
        </w:rPr>
        <w:t>Балкану</w:t>
      </w:r>
      <w:r w:rsidR="0011239A" w:rsidRPr="00295637">
        <w:rPr>
          <w:rStyle w:val="y2iqfc"/>
          <w:rFonts w:ascii="inherit" w:hAnsi="inherit"/>
          <w:color w:val="1F1F1F"/>
          <w:szCs w:val="24"/>
        </w:rPr>
        <w:t xml:space="preserve"> </w:t>
      </w:r>
      <w:r>
        <w:rPr>
          <w:rStyle w:val="y2iqfc"/>
          <w:rFonts w:ascii="inherit" w:hAnsi="inherit"/>
          <w:color w:val="1F1F1F"/>
          <w:szCs w:val="24"/>
        </w:rPr>
        <w:t>на</w:t>
      </w:r>
      <w:r w:rsidR="0011239A" w:rsidRPr="00295637">
        <w:rPr>
          <w:rStyle w:val="y2iqfc"/>
          <w:rFonts w:ascii="inherit" w:hAnsi="inherit"/>
          <w:color w:val="1F1F1F"/>
          <w:szCs w:val="24"/>
        </w:rPr>
        <w:t xml:space="preserve"> </w:t>
      </w:r>
      <w:r>
        <w:rPr>
          <w:rStyle w:val="y2iqfc"/>
          <w:rFonts w:ascii="inherit" w:hAnsi="inherit"/>
          <w:color w:val="1F1F1F"/>
          <w:szCs w:val="24"/>
        </w:rPr>
        <w:t>рањиве</w:t>
      </w:r>
      <w:r w:rsidR="0011239A" w:rsidRPr="00295637">
        <w:rPr>
          <w:rStyle w:val="y2iqfc"/>
          <w:rFonts w:ascii="inherit" w:hAnsi="inherit"/>
          <w:color w:val="1F1F1F"/>
          <w:szCs w:val="24"/>
        </w:rPr>
        <w:t xml:space="preserve"> </w:t>
      </w:r>
      <w:r>
        <w:rPr>
          <w:rStyle w:val="y2iqfc"/>
          <w:rFonts w:ascii="inherit" w:hAnsi="inherit"/>
          <w:color w:val="1F1F1F"/>
          <w:szCs w:val="24"/>
        </w:rPr>
        <w:t>групе</w:t>
      </w:r>
      <w:r w:rsidR="0011239A" w:rsidRPr="00295637">
        <w:rPr>
          <w:rStyle w:val="y2iqfc"/>
          <w:rFonts w:ascii="inherit" w:hAnsi="inherit"/>
          <w:color w:val="1F1F1F"/>
          <w:szCs w:val="24"/>
        </w:rPr>
        <w:t xml:space="preserve"> </w:t>
      </w:r>
      <w:r>
        <w:rPr>
          <w:rStyle w:val="y2iqfc"/>
          <w:rFonts w:ascii="inherit" w:hAnsi="inherit"/>
          <w:color w:val="1F1F1F"/>
          <w:szCs w:val="24"/>
        </w:rPr>
        <w:t>и</w:t>
      </w:r>
      <w:r w:rsidR="0011239A" w:rsidRPr="00295637">
        <w:rPr>
          <w:rStyle w:val="y2iqfc"/>
          <w:rFonts w:ascii="inherit" w:hAnsi="inherit"/>
          <w:color w:val="1F1F1F"/>
          <w:szCs w:val="24"/>
        </w:rPr>
        <w:t xml:space="preserve"> </w:t>
      </w:r>
      <w:r>
        <w:rPr>
          <w:rStyle w:val="y2iqfc"/>
          <w:rFonts w:ascii="inherit" w:hAnsi="inherit"/>
          <w:color w:val="1F1F1F"/>
          <w:szCs w:val="24"/>
        </w:rPr>
        <w:t>жене</w:t>
      </w:r>
      <w:r w:rsidR="0011239A" w:rsidRPr="00295637">
        <w:rPr>
          <w:rStyle w:val="y2iqfc"/>
          <w:rFonts w:ascii="inherit" w:hAnsi="inherit"/>
          <w:color w:val="1F1F1F"/>
          <w:szCs w:val="24"/>
        </w:rPr>
        <w:t xml:space="preserve"> </w:t>
      </w:r>
      <w:r>
        <w:rPr>
          <w:rStyle w:val="y2iqfc"/>
          <w:rFonts w:ascii="inherit" w:hAnsi="inherit"/>
          <w:color w:val="1F1F1F"/>
          <w:szCs w:val="24"/>
        </w:rPr>
        <w:t>као</w:t>
      </w:r>
      <w:r w:rsidR="0011239A" w:rsidRPr="00295637">
        <w:rPr>
          <w:rStyle w:val="y2iqfc"/>
          <w:rFonts w:ascii="inherit" w:hAnsi="inherit"/>
          <w:color w:val="1F1F1F"/>
          <w:szCs w:val="24"/>
        </w:rPr>
        <w:t xml:space="preserve"> </w:t>
      </w:r>
      <w:r>
        <w:rPr>
          <w:rStyle w:val="y2iqfc"/>
          <w:rFonts w:ascii="inherit" w:hAnsi="inherit"/>
          <w:color w:val="1F1F1F"/>
          <w:szCs w:val="24"/>
        </w:rPr>
        <w:t>и</w:t>
      </w:r>
      <w:r w:rsidR="0011239A" w:rsidRPr="00295637">
        <w:rPr>
          <w:rStyle w:val="y2iqfc"/>
          <w:rFonts w:ascii="inherit" w:hAnsi="inherit"/>
          <w:color w:val="1F1F1F"/>
          <w:szCs w:val="24"/>
        </w:rPr>
        <w:t xml:space="preserve"> </w:t>
      </w:r>
      <w:r>
        <w:rPr>
          <w:rStyle w:val="y2iqfc"/>
          <w:rFonts w:ascii="inherit" w:hAnsi="inherit"/>
          <w:color w:val="1F1F1F"/>
          <w:szCs w:val="24"/>
        </w:rPr>
        <w:t>вебинар</w:t>
      </w:r>
      <w:r w:rsidR="0011239A" w:rsidRPr="00295637">
        <w:rPr>
          <w:rStyle w:val="y2iqfc"/>
          <w:rFonts w:ascii="inherit" w:hAnsi="inherit"/>
          <w:color w:val="1F1F1F"/>
          <w:szCs w:val="24"/>
        </w:rPr>
        <w:t xml:space="preserve"> </w:t>
      </w:r>
      <w:r>
        <w:rPr>
          <w:rStyle w:val="y2iqfc"/>
          <w:rFonts w:ascii="inherit" w:hAnsi="inherit"/>
          <w:color w:val="1F1F1F"/>
          <w:szCs w:val="24"/>
        </w:rPr>
        <w:t>како</w:t>
      </w:r>
      <w:r w:rsidR="0011239A" w:rsidRPr="00295637">
        <w:rPr>
          <w:rStyle w:val="y2iqfc"/>
          <w:rFonts w:ascii="inherit" w:hAnsi="inherit"/>
          <w:color w:val="1F1F1F"/>
          <w:szCs w:val="24"/>
        </w:rPr>
        <w:t xml:space="preserve"> </w:t>
      </w:r>
      <w:r>
        <w:rPr>
          <w:rStyle w:val="y2iqfc"/>
          <w:rFonts w:ascii="inherit" w:hAnsi="inherit"/>
          <w:color w:val="1F1F1F"/>
          <w:szCs w:val="24"/>
        </w:rPr>
        <w:t>би</w:t>
      </w:r>
      <w:r w:rsidR="0011239A" w:rsidRPr="00295637">
        <w:rPr>
          <w:rStyle w:val="y2iqfc"/>
          <w:rFonts w:ascii="inherit" w:hAnsi="inherit"/>
          <w:color w:val="1F1F1F"/>
          <w:szCs w:val="24"/>
        </w:rPr>
        <w:t xml:space="preserve"> </w:t>
      </w:r>
      <w:r>
        <w:rPr>
          <w:rStyle w:val="y2iqfc"/>
          <w:rFonts w:ascii="inherit" w:hAnsi="inherit"/>
          <w:color w:val="1F1F1F"/>
          <w:szCs w:val="24"/>
        </w:rPr>
        <w:t>се</w:t>
      </w:r>
      <w:r w:rsidR="0011239A" w:rsidRPr="00295637">
        <w:rPr>
          <w:rStyle w:val="y2iqfc"/>
          <w:rFonts w:ascii="inherit" w:hAnsi="inherit"/>
          <w:color w:val="1F1F1F"/>
          <w:szCs w:val="24"/>
        </w:rPr>
        <w:t xml:space="preserve"> </w:t>
      </w:r>
      <w:r>
        <w:rPr>
          <w:rStyle w:val="y2iqfc"/>
          <w:rFonts w:ascii="inherit" w:hAnsi="inherit"/>
          <w:color w:val="1F1F1F"/>
          <w:szCs w:val="24"/>
        </w:rPr>
        <w:t>скренула</w:t>
      </w:r>
      <w:r w:rsidR="0011239A" w:rsidRPr="00295637">
        <w:rPr>
          <w:rStyle w:val="y2iqfc"/>
          <w:rFonts w:ascii="inherit" w:hAnsi="inherit"/>
          <w:color w:val="1F1F1F"/>
          <w:szCs w:val="24"/>
        </w:rPr>
        <w:t xml:space="preserve"> </w:t>
      </w:r>
      <w:r>
        <w:rPr>
          <w:rStyle w:val="y2iqfc"/>
          <w:rFonts w:ascii="inherit" w:hAnsi="inherit"/>
          <w:color w:val="1F1F1F"/>
          <w:szCs w:val="24"/>
        </w:rPr>
        <w:t>пажња</w:t>
      </w:r>
      <w:r w:rsidR="0011239A" w:rsidRPr="00295637">
        <w:rPr>
          <w:rStyle w:val="y2iqfc"/>
          <w:rFonts w:ascii="inherit" w:hAnsi="inherit"/>
          <w:color w:val="1F1F1F"/>
          <w:szCs w:val="24"/>
        </w:rPr>
        <w:t xml:space="preserve"> </w:t>
      </w:r>
      <w:r>
        <w:rPr>
          <w:rStyle w:val="y2iqfc"/>
          <w:rFonts w:ascii="inherit" w:hAnsi="inherit"/>
          <w:color w:val="1F1F1F"/>
          <w:szCs w:val="24"/>
        </w:rPr>
        <w:t>на</w:t>
      </w:r>
      <w:r w:rsidR="0011239A" w:rsidRPr="00295637">
        <w:rPr>
          <w:rStyle w:val="y2iqfc"/>
          <w:rFonts w:ascii="inherit" w:hAnsi="inherit"/>
          <w:color w:val="1F1F1F"/>
          <w:szCs w:val="24"/>
        </w:rPr>
        <w:t xml:space="preserve"> </w:t>
      </w:r>
      <w:r>
        <w:rPr>
          <w:rStyle w:val="y2iqfc"/>
          <w:rFonts w:ascii="inherit" w:hAnsi="inherit"/>
          <w:color w:val="1F1F1F"/>
          <w:szCs w:val="24"/>
        </w:rPr>
        <w:t>родну</w:t>
      </w:r>
      <w:r w:rsidR="0011239A" w:rsidRPr="00295637">
        <w:rPr>
          <w:rStyle w:val="y2iqfc"/>
          <w:rFonts w:ascii="inherit" w:hAnsi="inherit"/>
          <w:color w:val="1F1F1F"/>
          <w:szCs w:val="24"/>
        </w:rPr>
        <w:t xml:space="preserve"> </w:t>
      </w:r>
      <w:r>
        <w:rPr>
          <w:rStyle w:val="y2iqfc"/>
          <w:rFonts w:ascii="inherit" w:hAnsi="inherit"/>
          <w:color w:val="1F1F1F"/>
          <w:szCs w:val="24"/>
        </w:rPr>
        <w:t>укључивост</w:t>
      </w:r>
      <w:r w:rsidR="0011239A" w:rsidRPr="00295637">
        <w:rPr>
          <w:rStyle w:val="y2iqfc"/>
          <w:rFonts w:ascii="inherit" w:hAnsi="inherit"/>
          <w:color w:val="1F1F1F"/>
          <w:szCs w:val="24"/>
        </w:rPr>
        <w:t xml:space="preserve"> </w:t>
      </w:r>
      <w:r>
        <w:rPr>
          <w:rStyle w:val="y2iqfc"/>
          <w:rFonts w:ascii="inherit" w:hAnsi="inherit"/>
          <w:color w:val="1F1F1F"/>
          <w:szCs w:val="24"/>
        </w:rPr>
        <w:t>у</w:t>
      </w:r>
      <w:r w:rsidR="0011239A" w:rsidRPr="00295637">
        <w:rPr>
          <w:rStyle w:val="y2iqfc"/>
          <w:rFonts w:ascii="inherit" w:hAnsi="inherit"/>
          <w:color w:val="1F1F1F"/>
          <w:szCs w:val="24"/>
        </w:rPr>
        <w:t xml:space="preserve"> </w:t>
      </w:r>
      <w:r>
        <w:rPr>
          <w:rStyle w:val="y2iqfc"/>
          <w:rFonts w:ascii="inherit" w:hAnsi="inherit"/>
          <w:color w:val="1F1F1F"/>
          <w:szCs w:val="24"/>
        </w:rPr>
        <w:t>енергетској</w:t>
      </w:r>
      <w:r w:rsidR="0011239A" w:rsidRPr="00295637">
        <w:rPr>
          <w:rStyle w:val="y2iqfc"/>
          <w:rFonts w:ascii="inherit" w:hAnsi="inherit"/>
          <w:color w:val="1F1F1F"/>
          <w:szCs w:val="24"/>
        </w:rPr>
        <w:t xml:space="preserve"> </w:t>
      </w:r>
      <w:r>
        <w:rPr>
          <w:rStyle w:val="y2iqfc"/>
          <w:rFonts w:ascii="inherit" w:hAnsi="inherit"/>
          <w:color w:val="1F1F1F"/>
          <w:szCs w:val="24"/>
        </w:rPr>
        <w:t>транзицији</w:t>
      </w:r>
      <w:r w:rsidR="0011239A" w:rsidRPr="00295637">
        <w:rPr>
          <w:rStyle w:val="y2iqfc"/>
          <w:rFonts w:ascii="inherit" w:hAnsi="inherit"/>
          <w:color w:val="1F1F1F"/>
          <w:szCs w:val="24"/>
        </w:rPr>
        <w:t>.</w:t>
      </w:r>
    </w:p>
    <w:p w:rsidR="005360F0" w:rsidRPr="00295637" w:rsidRDefault="005360F0" w:rsidP="0086268D">
      <w:pPr>
        <w:jc w:val="both"/>
        <w:rPr>
          <w:rFonts w:ascii="Times New Roman" w:hAnsi="Times New Roman"/>
          <w:szCs w:val="24"/>
          <w:shd w:val="clear" w:color="auto" w:fill="FEFEFE"/>
        </w:rPr>
      </w:pPr>
    </w:p>
    <w:p w:rsidR="0096260D" w:rsidRPr="00295637" w:rsidRDefault="00AF62B1" w:rsidP="0086268D">
      <w:pPr>
        <w:pStyle w:val="HTMLPreformatted"/>
        <w:jc w:val="both"/>
        <w:rPr>
          <w:rStyle w:val="y2iqfc"/>
          <w:rFonts w:ascii="inherit" w:hAnsi="inherit"/>
          <w:color w:val="1F1F1F"/>
          <w:sz w:val="24"/>
          <w:szCs w:val="24"/>
        </w:rPr>
      </w:pPr>
      <w:r w:rsidRPr="00AF62B1">
        <w:rPr>
          <w:rFonts w:ascii="inherit" w:hAnsi="inherit"/>
          <w:i/>
          <w:color w:val="1F1F1F"/>
          <w:sz w:val="24"/>
          <w:szCs w:val="24"/>
          <w:lang w:val="hr-BA"/>
        </w:rPr>
        <w:t xml:space="preserve">UN Women </w:t>
      </w:r>
      <w:r>
        <w:rPr>
          <w:rStyle w:val="y2iqfc"/>
          <w:rFonts w:ascii="inherit" w:hAnsi="inherit"/>
          <w:color w:val="1F1F1F"/>
          <w:sz w:val="24"/>
          <w:szCs w:val="24"/>
        </w:rPr>
        <w:t xml:space="preserve">је </w:t>
      </w:r>
      <w:r w:rsidR="00C6214E">
        <w:rPr>
          <w:rStyle w:val="y2iqfc"/>
          <w:rFonts w:ascii="inherit" w:hAnsi="inherit"/>
          <w:color w:val="1F1F1F"/>
          <w:sz w:val="24"/>
          <w:szCs w:val="24"/>
        </w:rPr>
        <w:t>развио</w:t>
      </w:r>
      <w:r w:rsidR="00E93508" w:rsidRPr="00295637">
        <w:rPr>
          <w:rStyle w:val="y2iqfc"/>
          <w:rFonts w:ascii="inherit" w:hAnsi="inherit"/>
          <w:color w:val="1F1F1F"/>
          <w:sz w:val="24"/>
          <w:szCs w:val="24"/>
        </w:rPr>
        <w:t xml:space="preserve"> </w:t>
      </w:r>
      <w:r w:rsidR="00C6214E">
        <w:rPr>
          <w:rStyle w:val="y2iqfc"/>
          <w:rFonts w:ascii="inherit" w:hAnsi="inherit"/>
          <w:color w:val="1F1F1F"/>
          <w:sz w:val="24"/>
          <w:szCs w:val="24"/>
        </w:rPr>
        <w:t>тематски</w:t>
      </w:r>
      <w:r w:rsidR="00E93508" w:rsidRPr="00295637">
        <w:rPr>
          <w:rStyle w:val="y2iqfc"/>
          <w:rFonts w:ascii="inherit" w:hAnsi="inherit"/>
          <w:color w:val="1F1F1F"/>
          <w:sz w:val="24"/>
          <w:szCs w:val="24"/>
        </w:rPr>
        <w:t xml:space="preserve"> </w:t>
      </w:r>
      <w:r w:rsidR="00C6214E">
        <w:rPr>
          <w:rStyle w:val="y2iqfc"/>
          <w:rFonts w:ascii="inherit" w:hAnsi="inherit"/>
          <w:color w:val="1F1F1F"/>
          <w:sz w:val="24"/>
          <w:szCs w:val="24"/>
        </w:rPr>
        <w:t>документ</w:t>
      </w:r>
      <w:r w:rsidR="0096260D" w:rsidRPr="00295637">
        <w:rPr>
          <w:rStyle w:val="y2iqfc"/>
          <w:rFonts w:ascii="inherit" w:hAnsi="inherit"/>
          <w:color w:val="1F1F1F"/>
          <w:sz w:val="24"/>
          <w:szCs w:val="24"/>
        </w:rPr>
        <w:t xml:space="preserve"> </w:t>
      </w:r>
      <w:r w:rsidR="00E93508" w:rsidRPr="00295637">
        <w:rPr>
          <w:rStyle w:val="y2iqfc"/>
          <w:rFonts w:ascii="inherit" w:hAnsi="inherit"/>
          <w:color w:val="1F1F1F"/>
          <w:sz w:val="24"/>
          <w:szCs w:val="24"/>
        </w:rPr>
        <w:t>„</w:t>
      </w:r>
      <w:r w:rsidR="00C6214E">
        <w:rPr>
          <w:rStyle w:val="y2iqfc"/>
          <w:rFonts w:ascii="inherit" w:hAnsi="inherit"/>
          <w:color w:val="1F1F1F"/>
          <w:sz w:val="24"/>
          <w:szCs w:val="24"/>
        </w:rPr>
        <w:t>Родно</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засновани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утицаји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климатских</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промјена</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Фокус</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на</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родно</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осјетљиву</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пољопривреду</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зелену</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транзицију</w:t>
      </w:r>
      <w:r w:rsidR="00E93508" w:rsidRPr="00295637">
        <w:rPr>
          <w:rStyle w:val="y2iqfc"/>
          <w:rFonts w:ascii="inherit" w:hAnsi="inherit"/>
          <w:color w:val="1F1F1F"/>
          <w:sz w:val="24"/>
          <w:szCs w:val="24"/>
        </w:rPr>
        <w:t>“</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који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пружа</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практичне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увиде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унапређење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родно</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осјетљивих</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климатских</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политика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Такође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израђен</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је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преглед</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родне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климатске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ситуације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који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идентифи</w:t>
      </w:r>
      <w:r>
        <w:rPr>
          <w:rStyle w:val="y2iqfc"/>
          <w:rFonts w:ascii="inherit" w:hAnsi="inherit"/>
          <w:color w:val="1F1F1F"/>
          <w:sz w:val="24"/>
          <w:szCs w:val="24"/>
          <w:lang w:val="sr-Cyrl-BA"/>
        </w:rPr>
        <w:t>кује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недостатке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могућности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интеграцију</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родних</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разматрања</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климатске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политике</w:t>
      </w:r>
      <w:r>
        <w:rPr>
          <w:rStyle w:val="y2iqfc"/>
          <w:rFonts w:ascii="inherit" w:hAnsi="inherit"/>
          <w:color w:val="1F1F1F"/>
          <w:sz w:val="24"/>
          <w:szCs w:val="24"/>
          <w:lang w:val="sr-Cyrl-BA"/>
        </w:rPr>
        <w:t xml:space="preserve"> животне средине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подржавајући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заинтерес</w:t>
      </w:r>
      <w:r>
        <w:rPr>
          <w:rStyle w:val="y2iqfc"/>
          <w:rFonts w:ascii="inherit" w:hAnsi="inherit"/>
          <w:color w:val="1F1F1F"/>
          <w:sz w:val="24"/>
          <w:szCs w:val="24"/>
          <w:lang w:val="sr-Cyrl-BA"/>
        </w:rPr>
        <w:t>оване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стране</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у</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доношењу</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одлука</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заснованих</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на</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доказима</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и</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развоју</w:t>
      </w:r>
      <w:r w:rsidR="0096260D" w:rsidRPr="00295637">
        <w:rPr>
          <w:rStyle w:val="y2iqfc"/>
          <w:rFonts w:ascii="inherit" w:hAnsi="inherit"/>
          <w:color w:val="1F1F1F"/>
          <w:sz w:val="24"/>
          <w:szCs w:val="24"/>
        </w:rPr>
        <w:t xml:space="preserve"> </w:t>
      </w:r>
      <w:r w:rsidR="00C6214E">
        <w:rPr>
          <w:rStyle w:val="y2iqfc"/>
          <w:rFonts w:ascii="inherit" w:hAnsi="inherit"/>
          <w:color w:val="1F1F1F"/>
          <w:sz w:val="24"/>
          <w:szCs w:val="24"/>
        </w:rPr>
        <w:t>програма</w:t>
      </w:r>
      <w:r w:rsidR="0096260D" w:rsidRPr="00295637">
        <w:rPr>
          <w:rStyle w:val="y2iqfc"/>
          <w:rFonts w:ascii="inherit" w:hAnsi="inherit"/>
          <w:color w:val="1F1F1F"/>
          <w:sz w:val="24"/>
          <w:szCs w:val="24"/>
        </w:rPr>
        <w:t>.</w:t>
      </w:r>
    </w:p>
    <w:p w:rsidR="0096260D" w:rsidRPr="00295637" w:rsidRDefault="0096260D" w:rsidP="0086268D">
      <w:pPr>
        <w:jc w:val="both"/>
        <w:rPr>
          <w:b/>
          <w:bCs/>
          <w:color w:val="FF0000"/>
          <w:szCs w:val="24"/>
        </w:rPr>
      </w:pPr>
    </w:p>
    <w:p w:rsidR="0096260D" w:rsidRPr="00295637" w:rsidRDefault="00C6214E" w:rsidP="0086268D">
      <w:pPr>
        <w:pStyle w:val="HTMLPreformatted"/>
        <w:jc w:val="both"/>
        <w:rPr>
          <w:rStyle w:val="y2iqfc"/>
          <w:rFonts w:ascii="inherit" w:hAnsi="inherit"/>
          <w:color w:val="1F1F1F"/>
          <w:sz w:val="24"/>
          <w:szCs w:val="24"/>
        </w:rPr>
      </w:pPr>
      <w:r>
        <w:rPr>
          <w:rStyle w:val="y2iqfc"/>
          <w:rFonts w:ascii="inherit" w:hAnsi="inherit"/>
          <w:color w:val="1F1F1F"/>
          <w:sz w:val="24"/>
          <w:szCs w:val="24"/>
        </w:rPr>
        <w:t>Кроз</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низ</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локалних</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ангажмана</w:t>
      </w:r>
      <w:r w:rsidR="00E93508" w:rsidRPr="00295637">
        <w:rPr>
          <w:rStyle w:val="y2iqfc"/>
          <w:rFonts w:ascii="inherit" w:hAnsi="inherit"/>
          <w:color w:val="1F1F1F"/>
          <w:sz w:val="24"/>
          <w:szCs w:val="24"/>
        </w:rPr>
        <w:t xml:space="preserve"> </w:t>
      </w:r>
      <w:r>
        <w:rPr>
          <w:rStyle w:val="y2iqfc"/>
          <w:rFonts w:ascii="inherit" w:hAnsi="inherit"/>
          <w:color w:val="1F1F1F"/>
          <w:sz w:val="24"/>
          <w:szCs w:val="24"/>
        </w:rPr>
        <w:t>подржаних</w:t>
      </w:r>
      <w:r w:rsidR="00E93508" w:rsidRPr="00295637">
        <w:rPr>
          <w:rStyle w:val="y2iqfc"/>
          <w:rFonts w:ascii="inherit" w:hAnsi="inherit"/>
          <w:color w:val="1F1F1F"/>
          <w:sz w:val="24"/>
          <w:szCs w:val="24"/>
        </w:rPr>
        <w:t xml:space="preserve"> </w:t>
      </w:r>
      <w:r>
        <w:rPr>
          <w:rStyle w:val="y2iqfc"/>
          <w:rFonts w:ascii="inherit" w:hAnsi="inherit"/>
          <w:color w:val="1F1F1F"/>
          <w:sz w:val="24"/>
          <w:szCs w:val="24"/>
        </w:rPr>
        <w:t>од</w:t>
      </w:r>
      <w:r w:rsidR="00E93508" w:rsidRPr="00295637">
        <w:rPr>
          <w:rStyle w:val="y2iqfc"/>
          <w:rFonts w:ascii="inherit" w:hAnsi="inherit"/>
          <w:color w:val="1F1F1F"/>
          <w:sz w:val="24"/>
          <w:szCs w:val="24"/>
        </w:rPr>
        <w:t xml:space="preserve"> </w:t>
      </w:r>
      <w:r w:rsidR="00AF62B1" w:rsidRPr="00AF62B1">
        <w:rPr>
          <w:rFonts w:ascii="inherit" w:hAnsi="inherit"/>
          <w:i/>
          <w:color w:val="1F1F1F"/>
          <w:sz w:val="24"/>
          <w:szCs w:val="24"/>
          <w:lang w:val="hr-BA"/>
        </w:rPr>
        <w:t>UN Women</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заинтерес</w:t>
      </w:r>
      <w:r w:rsidR="00AF62B1">
        <w:rPr>
          <w:rStyle w:val="y2iqfc"/>
          <w:rFonts w:ascii="inherit" w:hAnsi="inherit"/>
          <w:color w:val="1F1F1F"/>
          <w:sz w:val="24"/>
          <w:szCs w:val="24"/>
          <w:lang w:val="sr-Cyrl-BA"/>
        </w:rPr>
        <w:t>оване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стране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четири</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оп</w:t>
      </w:r>
      <w:r w:rsidR="00AF62B1">
        <w:rPr>
          <w:rStyle w:val="y2iqfc"/>
          <w:rFonts w:ascii="inherit" w:hAnsi="inherit"/>
          <w:color w:val="1F1F1F"/>
          <w:sz w:val="24"/>
          <w:szCs w:val="24"/>
          <w:lang w:val="sr-Cyrl-BA"/>
        </w:rPr>
        <w:t>шт</w:t>
      </w:r>
      <w:r>
        <w:rPr>
          <w:rStyle w:val="y2iqfc"/>
          <w:rFonts w:ascii="inherit" w:hAnsi="inherit"/>
          <w:color w:val="1F1F1F"/>
          <w:sz w:val="24"/>
          <w:szCs w:val="24"/>
        </w:rPr>
        <w:t>ине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побољшале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су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своје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разумијевање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родно</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осјетљивих</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климатских</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акција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Процјене</w:t>
      </w:r>
      <w:r w:rsidR="0096260D" w:rsidRPr="00295637">
        <w:rPr>
          <w:rStyle w:val="y2iqfc"/>
          <w:rFonts w:ascii="inherit" w:hAnsi="inherit"/>
          <w:color w:val="1F1F1F"/>
          <w:sz w:val="24"/>
          <w:szCs w:val="24"/>
        </w:rPr>
        <w:t xml:space="preserve"> </w:t>
      </w:r>
      <w:r w:rsidR="00AF62B1">
        <w:rPr>
          <w:rStyle w:val="y2iqfc"/>
          <w:rFonts w:ascii="inherit" w:hAnsi="inherit"/>
          <w:color w:val="1F1F1F"/>
          <w:sz w:val="24"/>
          <w:szCs w:val="24"/>
          <w:lang w:val="sr-Cyrl-BA"/>
        </w:rPr>
        <w:t>спроведене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током</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ових</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ангажмана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идентифи</w:t>
      </w:r>
      <w:r w:rsidR="00AF62B1">
        <w:rPr>
          <w:rStyle w:val="y2iqfc"/>
          <w:rFonts w:ascii="inherit" w:hAnsi="inherit"/>
          <w:color w:val="1F1F1F"/>
          <w:sz w:val="24"/>
          <w:szCs w:val="24"/>
          <w:lang w:val="sr-Cyrl-BA"/>
        </w:rPr>
        <w:t>ковале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су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недостатке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локалним</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политикама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и</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праксама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што</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је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омогућило</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концептуализацију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двије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пилот</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иницијативе</w:t>
      </w:r>
      <w:r w:rsidR="0096260D" w:rsidRPr="00295637">
        <w:rPr>
          <w:rStyle w:val="y2iqfc"/>
          <w:rFonts w:ascii="inherit" w:hAnsi="inherit"/>
          <w:color w:val="1F1F1F"/>
          <w:sz w:val="24"/>
          <w:szCs w:val="24"/>
        </w:rPr>
        <w:t>.</w:t>
      </w:r>
    </w:p>
    <w:p w:rsidR="0096260D" w:rsidRPr="00295637" w:rsidRDefault="0096260D" w:rsidP="0086268D">
      <w:pPr>
        <w:pStyle w:val="HTMLPreformatted"/>
        <w:jc w:val="both"/>
        <w:rPr>
          <w:rStyle w:val="y2iqfc"/>
          <w:rFonts w:ascii="inherit" w:hAnsi="inherit"/>
          <w:color w:val="1F1F1F"/>
          <w:sz w:val="24"/>
          <w:szCs w:val="24"/>
        </w:rPr>
      </w:pPr>
    </w:p>
    <w:p w:rsidR="00A221F4" w:rsidRPr="00295637" w:rsidRDefault="00C6214E" w:rsidP="0086268D">
      <w:pPr>
        <w:pStyle w:val="HTMLPreformatted"/>
        <w:jc w:val="both"/>
        <w:rPr>
          <w:rFonts w:ascii="inherit" w:hAnsi="inherit"/>
          <w:color w:val="1F1F1F"/>
          <w:sz w:val="24"/>
          <w:szCs w:val="24"/>
          <w:lang w:val="en-US"/>
        </w:rPr>
      </w:pPr>
      <w:r>
        <w:rPr>
          <w:rStyle w:val="y2iqfc"/>
          <w:rFonts w:ascii="inherit" w:hAnsi="inherit"/>
          <w:color w:val="1F1F1F"/>
          <w:sz w:val="24"/>
          <w:szCs w:val="24"/>
        </w:rPr>
        <w:t>Седамнаест</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универзитетских</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студената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опремљено</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је</w:t>
      </w:r>
      <w:r w:rsidR="003A2305" w:rsidRPr="00295637">
        <w:rPr>
          <w:rStyle w:val="y2iqfc"/>
          <w:rFonts w:ascii="inherit" w:hAnsi="inherit"/>
          <w:color w:val="1F1F1F"/>
          <w:sz w:val="24"/>
          <w:szCs w:val="24"/>
        </w:rPr>
        <w:t xml:space="preserve"> </w:t>
      </w:r>
      <w:r>
        <w:rPr>
          <w:rStyle w:val="y2iqfc"/>
          <w:rFonts w:ascii="inherit" w:hAnsi="inherit"/>
          <w:color w:val="1F1F1F"/>
          <w:sz w:val="24"/>
          <w:szCs w:val="24"/>
        </w:rPr>
        <w:t>вјештинама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за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интеграцију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родно</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осјетљивих</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пракси</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своје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студије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и</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будуће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каријере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зеленој</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транзицији</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кроз</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обуку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коју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је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организ</w:t>
      </w:r>
      <w:r w:rsidR="00AF62B1">
        <w:rPr>
          <w:rStyle w:val="y2iqfc"/>
          <w:rFonts w:ascii="inherit" w:hAnsi="inherit"/>
          <w:color w:val="1F1F1F"/>
          <w:sz w:val="24"/>
          <w:szCs w:val="24"/>
          <w:lang w:val="sr-Cyrl-BA"/>
        </w:rPr>
        <w:t>овао</w:t>
      </w:r>
      <w:r w:rsidR="0096260D" w:rsidRPr="00295637">
        <w:rPr>
          <w:rStyle w:val="y2iqfc"/>
          <w:rFonts w:ascii="inherit" w:hAnsi="inherit"/>
          <w:color w:val="1F1F1F"/>
          <w:sz w:val="24"/>
          <w:szCs w:val="24"/>
        </w:rPr>
        <w:t xml:space="preserve"> </w:t>
      </w:r>
      <w:r w:rsidR="00AF62B1" w:rsidRPr="00AF62B1">
        <w:rPr>
          <w:rFonts w:ascii="inherit" w:hAnsi="inherit"/>
          <w:i/>
          <w:color w:val="1F1F1F"/>
          <w:sz w:val="24"/>
          <w:szCs w:val="24"/>
          <w:lang w:val="hr-BA"/>
        </w:rPr>
        <w:t>UN Women</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Поред</w:t>
      </w:r>
      <w:r w:rsidR="00E93508" w:rsidRPr="00295637">
        <w:rPr>
          <w:rStyle w:val="y2iqfc"/>
          <w:rFonts w:ascii="inherit" w:hAnsi="inherit"/>
          <w:color w:val="1F1F1F"/>
          <w:sz w:val="24"/>
          <w:szCs w:val="24"/>
        </w:rPr>
        <w:t xml:space="preserve"> </w:t>
      </w:r>
      <w:r>
        <w:rPr>
          <w:rStyle w:val="y2iqfc"/>
          <w:rFonts w:ascii="inherit" w:hAnsi="inherit"/>
          <w:color w:val="1F1F1F"/>
          <w:sz w:val="24"/>
          <w:szCs w:val="24"/>
        </w:rPr>
        <w:t>тога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преко</w:t>
      </w:r>
      <w:r w:rsidR="0096260D" w:rsidRPr="00295637">
        <w:rPr>
          <w:rStyle w:val="y2iqfc"/>
          <w:rFonts w:ascii="inherit" w:hAnsi="inherit"/>
          <w:color w:val="1F1F1F"/>
          <w:sz w:val="24"/>
          <w:szCs w:val="24"/>
        </w:rPr>
        <w:t xml:space="preserve"> 20 </w:t>
      </w:r>
      <w:r>
        <w:rPr>
          <w:rStyle w:val="y2iqfc"/>
          <w:rFonts w:ascii="inherit" w:hAnsi="inherit"/>
          <w:color w:val="1F1F1F"/>
          <w:sz w:val="24"/>
          <w:szCs w:val="24"/>
        </w:rPr>
        <w:t>учесника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из</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владиних</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институција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организација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цивилног</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друштва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и</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омладинских</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организација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унаприједило</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је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своје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капацитете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за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рјешавање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родних</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и</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климатских</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питања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учешћем</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на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састанку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Коалиције</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за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феминистичку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акцију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за</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климатску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правду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који</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су</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заједнички</w:t>
      </w:r>
      <w:r w:rsidR="0096260D" w:rsidRPr="00295637">
        <w:rPr>
          <w:rStyle w:val="y2iqfc"/>
          <w:rFonts w:ascii="inherit" w:hAnsi="inherit"/>
          <w:color w:val="1F1F1F"/>
          <w:sz w:val="24"/>
          <w:szCs w:val="24"/>
        </w:rPr>
        <w:t xml:space="preserve"> </w:t>
      </w:r>
      <w:r>
        <w:rPr>
          <w:rStyle w:val="y2iqfc"/>
          <w:rFonts w:ascii="inherit" w:hAnsi="inherit"/>
          <w:color w:val="1F1F1F"/>
          <w:sz w:val="24"/>
          <w:szCs w:val="24"/>
        </w:rPr>
        <w:t>сазвали</w:t>
      </w:r>
      <w:r w:rsidR="0096260D" w:rsidRPr="00295637">
        <w:rPr>
          <w:rStyle w:val="y2iqfc"/>
          <w:rFonts w:ascii="inherit" w:hAnsi="inherit"/>
          <w:color w:val="1F1F1F"/>
          <w:sz w:val="24"/>
          <w:szCs w:val="24"/>
        </w:rPr>
        <w:t xml:space="preserve"> </w:t>
      </w:r>
      <w:r w:rsidR="00AF62B1" w:rsidRPr="00AF62B1">
        <w:rPr>
          <w:rFonts w:ascii="inherit" w:hAnsi="inherit"/>
          <w:i/>
          <w:color w:val="1F1F1F"/>
          <w:sz w:val="24"/>
          <w:szCs w:val="24"/>
          <w:lang w:val="hr-BA"/>
        </w:rPr>
        <w:t xml:space="preserve">UN Women </w:t>
      </w:r>
      <w:r>
        <w:rPr>
          <w:rStyle w:val="y2iqfc"/>
          <w:rFonts w:ascii="inherit" w:hAnsi="inherit"/>
          <w:color w:val="1F1F1F"/>
          <w:sz w:val="24"/>
          <w:szCs w:val="24"/>
        </w:rPr>
        <w:t>и</w:t>
      </w:r>
      <w:r w:rsidR="0096260D" w:rsidRPr="00295637">
        <w:rPr>
          <w:rStyle w:val="y2iqfc"/>
          <w:rFonts w:ascii="inherit" w:hAnsi="inherit"/>
          <w:color w:val="1F1F1F"/>
          <w:sz w:val="24"/>
          <w:szCs w:val="24"/>
        </w:rPr>
        <w:t xml:space="preserve"> </w:t>
      </w:r>
      <w:r w:rsidR="00AF62B1" w:rsidRPr="00AF62B1">
        <w:rPr>
          <w:rFonts w:ascii="inherit" w:hAnsi="inherit"/>
          <w:i/>
          <w:color w:val="1F1F1F"/>
          <w:sz w:val="24"/>
          <w:szCs w:val="24"/>
          <w:lang w:val="hr-BA"/>
        </w:rPr>
        <w:t>UNDP</w:t>
      </w:r>
      <w:r w:rsidR="0096260D" w:rsidRPr="00295637">
        <w:rPr>
          <w:rStyle w:val="y2iqfc"/>
          <w:rFonts w:ascii="inherit" w:hAnsi="inherit"/>
          <w:color w:val="1F1F1F"/>
          <w:sz w:val="24"/>
          <w:szCs w:val="24"/>
        </w:rPr>
        <w:t xml:space="preserve">. </w:t>
      </w:r>
    </w:p>
    <w:p w:rsidR="00097449" w:rsidRPr="00AF62B1" w:rsidRDefault="00097449" w:rsidP="0086268D">
      <w:pPr>
        <w:tabs>
          <w:tab w:val="left" w:pos="284"/>
          <w:tab w:val="left" w:pos="630"/>
          <w:tab w:val="left" w:pos="1080"/>
        </w:tabs>
        <w:jc w:val="both"/>
        <w:rPr>
          <w:rFonts w:ascii="Times New Roman" w:hAnsi="Times New Roman"/>
          <w:b/>
          <w:szCs w:val="24"/>
          <w:lang w:val="sr-Cyrl-BA"/>
        </w:rPr>
      </w:pPr>
    </w:p>
    <w:p w:rsidR="00E2273D" w:rsidRDefault="00AF62B1" w:rsidP="00097449">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w:t>
      </w:r>
      <w:r w:rsidR="00097449">
        <w:rPr>
          <w:rFonts w:ascii="Times New Roman" w:hAnsi="Times New Roman"/>
          <w:szCs w:val="24"/>
          <w:lang w:val="bs-Latn-BA"/>
        </w:rPr>
        <w:t xml:space="preserve"> 8.6. </w:t>
      </w:r>
      <w:r w:rsidR="00C6214E">
        <w:rPr>
          <w:rFonts w:ascii="Times New Roman" w:hAnsi="Times New Roman"/>
          <w:szCs w:val="24"/>
          <w:lang w:val="bs-Latn-BA"/>
        </w:rPr>
        <w:t>Подстицати</w:t>
      </w:r>
      <w:r w:rsidR="000315E5" w:rsidRPr="00295637">
        <w:rPr>
          <w:rFonts w:ascii="Times New Roman" w:hAnsi="Times New Roman"/>
          <w:szCs w:val="24"/>
          <w:lang w:val="bs-Latn-BA"/>
        </w:rPr>
        <w:t xml:space="preserve"> </w:t>
      </w:r>
      <w:r w:rsidR="00C6214E">
        <w:rPr>
          <w:rFonts w:ascii="Times New Roman" w:hAnsi="Times New Roman"/>
          <w:szCs w:val="24"/>
          <w:lang w:val="bs-Latn-BA"/>
        </w:rPr>
        <w:t>финансијске</w:t>
      </w:r>
      <w:r w:rsidR="000315E5" w:rsidRPr="00295637">
        <w:rPr>
          <w:rFonts w:ascii="Times New Roman" w:hAnsi="Times New Roman"/>
          <w:szCs w:val="24"/>
          <w:lang w:val="bs-Latn-BA"/>
        </w:rPr>
        <w:t xml:space="preserve"> </w:t>
      </w:r>
      <w:r w:rsidR="00C6214E">
        <w:rPr>
          <w:rFonts w:ascii="Times New Roman" w:hAnsi="Times New Roman"/>
          <w:szCs w:val="24"/>
          <w:lang w:val="bs-Latn-BA"/>
        </w:rPr>
        <w:t>алокације</w:t>
      </w:r>
      <w:r w:rsidR="000315E5" w:rsidRPr="00295637">
        <w:rPr>
          <w:rFonts w:ascii="Times New Roman" w:hAnsi="Times New Roman"/>
          <w:szCs w:val="24"/>
          <w:lang w:val="bs-Latn-BA"/>
        </w:rPr>
        <w:t xml:space="preserve"> </w:t>
      </w:r>
      <w:r w:rsidR="00C6214E">
        <w:rPr>
          <w:rFonts w:ascii="Times New Roman" w:hAnsi="Times New Roman"/>
          <w:szCs w:val="24"/>
          <w:lang w:val="bs-Latn-BA"/>
        </w:rPr>
        <w:t>за</w:t>
      </w:r>
      <w:r w:rsidR="000315E5" w:rsidRPr="00295637">
        <w:rPr>
          <w:rFonts w:ascii="Times New Roman" w:hAnsi="Times New Roman"/>
          <w:szCs w:val="24"/>
          <w:lang w:val="bs-Latn-BA"/>
        </w:rPr>
        <w:t xml:space="preserve"> </w:t>
      </w:r>
      <w:r w:rsidR="00C6214E">
        <w:rPr>
          <w:rFonts w:ascii="Times New Roman" w:hAnsi="Times New Roman"/>
          <w:szCs w:val="24"/>
          <w:lang w:val="bs-Latn-BA"/>
        </w:rPr>
        <w:t>специфично</w:t>
      </w:r>
      <w:r w:rsidR="000315E5" w:rsidRPr="00295637">
        <w:rPr>
          <w:rFonts w:ascii="Times New Roman" w:hAnsi="Times New Roman"/>
          <w:szCs w:val="24"/>
          <w:lang w:val="bs-Latn-BA"/>
        </w:rPr>
        <w:t xml:space="preserve"> </w:t>
      </w:r>
      <w:r w:rsidR="00C6214E">
        <w:rPr>
          <w:rFonts w:ascii="Times New Roman" w:hAnsi="Times New Roman"/>
          <w:szCs w:val="24"/>
          <w:lang w:val="bs-Latn-BA"/>
        </w:rPr>
        <w:t>циљане</w:t>
      </w:r>
      <w:r w:rsidR="000315E5" w:rsidRPr="00295637">
        <w:rPr>
          <w:rFonts w:ascii="Times New Roman" w:hAnsi="Times New Roman"/>
          <w:szCs w:val="24"/>
          <w:lang w:val="bs-Latn-BA"/>
        </w:rPr>
        <w:t xml:space="preserve"> </w:t>
      </w:r>
      <w:r w:rsidR="00C6214E">
        <w:rPr>
          <w:rFonts w:ascii="Times New Roman" w:hAnsi="Times New Roman"/>
          <w:szCs w:val="24"/>
          <w:lang w:val="bs-Latn-BA"/>
        </w:rPr>
        <w:t>интервенције</w:t>
      </w:r>
      <w:r w:rsidR="000315E5" w:rsidRPr="00295637">
        <w:rPr>
          <w:rFonts w:ascii="Times New Roman" w:hAnsi="Times New Roman"/>
          <w:szCs w:val="24"/>
          <w:lang w:val="bs-Latn-BA"/>
        </w:rPr>
        <w:t xml:space="preserve"> </w:t>
      </w:r>
      <w:r w:rsidR="00C6214E">
        <w:rPr>
          <w:rFonts w:ascii="Times New Roman" w:hAnsi="Times New Roman"/>
          <w:szCs w:val="24"/>
          <w:lang w:val="bs-Latn-BA"/>
        </w:rPr>
        <w:t>за</w:t>
      </w:r>
      <w:r w:rsidR="000315E5" w:rsidRPr="00295637">
        <w:rPr>
          <w:rFonts w:ascii="Times New Roman" w:hAnsi="Times New Roman"/>
          <w:szCs w:val="24"/>
          <w:lang w:val="bs-Latn-BA"/>
        </w:rPr>
        <w:t xml:space="preserve"> </w:t>
      </w:r>
      <w:r w:rsidR="00C6214E">
        <w:rPr>
          <w:rFonts w:ascii="Times New Roman" w:hAnsi="Times New Roman"/>
          <w:szCs w:val="24"/>
          <w:lang w:val="bs-Latn-BA"/>
        </w:rPr>
        <w:t>унапређивање</w:t>
      </w:r>
      <w:r w:rsidR="000315E5" w:rsidRPr="00295637">
        <w:rPr>
          <w:rFonts w:ascii="Times New Roman" w:hAnsi="Times New Roman"/>
          <w:szCs w:val="24"/>
          <w:lang w:val="bs-Latn-BA"/>
        </w:rPr>
        <w:t xml:space="preserve"> </w:t>
      </w:r>
      <w:r w:rsidR="00C6214E">
        <w:rPr>
          <w:rFonts w:ascii="Times New Roman" w:hAnsi="Times New Roman"/>
          <w:szCs w:val="24"/>
          <w:lang w:val="bs-Latn-BA"/>
        </w:rPr>
        <w:t>друштвене</w:t>
      </w:r>
      <w:r w:rsidR="000315E5" w:rsidRPr="00295637">
        <w:rPr>
          <w:rFonts w:ascii="Times New Roman" w:hAnsi="Times New Roman"/>
          <w:szCs w:val="24"/>
          <w:lang w:val="bs-Latn-BA"/>
        </w:rPr>
        <w:t xml:space="preserve"> </w:t>
      </w:r>
      <w:r w:rsidR="00C6214E">
        <w:rPr>
          <w:rFonts w:ascii="Times New Roman" w:hAnsi="Times New Roman"/>
          <w:szCs w:val="24"/>
          <w:lang w:val="bs-Latn-BA"/>
        </w:rPr>
        <w:t>једнакости</w:t>
      </w:r>
      <w:r w:rsidR="00050016">
        <w:rPr>
          <w:rFonts w:ascii="Times New Roman" w:hAnsi="Times New Roman"/>
          <w:szCs w:val="24"/>
          <w:lang w:val="bs-Latn-BA"/>
        </w:rPr>
        <w:t xml:space="preserve"> </w:t>
      </w:r>
      <w:r w:rsidR="00C6214E">
        <w:rPr>
          <w:rFonts w:ascii="Times New Roman" w:hAnsi="Times New Roman"/>
          <w:szCs w:val="24"/>
          <w:lang w:val="bs-Latn-BA"/>
        </w:rPr>
        <w:t>и</w:t>
      </w:r>
      <w:r w:rsidR="00050016">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050016">
        <w:rPr>
          <w:rFonts w:ascii="Times New Roman" w:hAnsi="Times New Roman"/>
          <w:szCs w:val="24"/>
          <w:lang w:val="bs-Latn-BA"/>
        </w:rPr>
        <w:t xml:space="preserve"> </w:t>
      </w:r>
      <w:r w:rsidR="00C6214E">
        <w:rPr>
          <w:rFonts w:ascii="Times New Roman" w:hAnsi="Times New Roman"/>
          <w:szCs w:val="24"/>
          <w:lang w:val="bs-Latn-BA"/>
        </w:rPr>
        <w:t>полова</w:t>
      </w:r>
      <w:r w:rsidR="00050016">
        <w:rPr>
          <w:rFonts w:ascii="Times New Roman" w:hAnsi="Times New Roman"/>
          <w:szCs w:val="24"/>
          <w:lang w:val="bs-Latn-BA"/>
        </w:rPr>
        <w:t>,</w:t>
      </w:r>
      <w:r w:rsidR="000315E5" w:rsidRPr="00295637">
        <w:rPr>
          <w:rFonts w:ascii="Times New Roman" w:hAnsi="Times New Roman"/>
          <w:szCs w:val="24"/>
          <w:lang w:val="bs-Latn-BA"/>
        </w:rPr>
        <w:t xml:space="preserve"> </w:t>
      </w:r>
      <w:r w:rsidR="00C6214E">
        <w:rPr>
          <w:rFonts w:ascii="Times New Roman" w:hAnsi="Times New Roman"/>
          <w:szCs w:val="24"/>
          <w:lang w:val="bs-Latn-BA"/>
        </w:rPr>
        <w:t>за</w:t>
      </w:r>
      <w:r w:rsidR="000315E5" w:rsidRPr="00295637">
        <w:rPr>
          <w:rFonts w:ascii="Times New Roman" w:hAnsi="Times New Roman"/>
          <w:szCs w:val="24"/>
          <w:lang w:val="bs-Latn-BA"/>
        </w:rPr>
        <w:t xml:space="preserve"> </w:t>
      </w:r>
      <w:r w:rsidR="00C6214E">
        <w:rPr>
          <w:rFonts w:ascii="Times New Roman" w:hAnsi="Times New Roman"/>
          <w:szCs w:val="24"/>
          <w:lang w:val="bs-Latn-BA"/>
        </w:rPr>
        <w:t>економско</w:t>
      </w:r>
      <w:r w:rsidR="000315E5" w:rsidRPr="00295637">
        <w:rPr>
          <w:rFonts w:ascii="Times New Roman" w:hAnsi="Times New Roman"/>
          <w:szCs w:val="24"/>
          <w:lang w:val="bs-Latn-BA"/>
        </w:rPr>
        <w:t xml:space="preserve"> </w:t>
      </w:r>
      <w:r w:rsidR="00C6214E">
        <w:rPr>
          <w:rFonts w:ascii="Times New Roman" w:hAnsi="Times New Roman"/>
          <w:szCs w:val="24"/>
          <w:lang w:val="bs-Latn-BA"/>
        </w:rPr>
        <w:t>оснаживање</w:t>
      </w:r>
      <w:r w:rsidR="000315E5" w:rsidRPr="00295637">
        <w:rPr>
          <w:rFonts w:ascii="Times New Roman" w:hAnsi="Times New Roman"/>
          <w:szCs w:val="24"/>
          <w:lang w:val="bs-Latn-BA"/>
        </w:rPr>
        <w:t xml:space="preserve"> </w:t>
      </w:r>
      <w:r w:rsidR="00C6214E">
        <w:rPr>
          <w:rFonts w:ascii="Times New Roman" w:hAnsi="Times New Roman"/>
          <w:szCs w:val="24"/>
          <w:lang w:val="bs-Latn-BA"/>
        </w:rPr>
        <w:t>рањивих</w:t>
      </w:r>
      <w:r w:rsidR="000315E5" w:rsidRPr="00295637">
        <w:rPr>
          <w:rFonts w:ascii="Times New Roman" w:hAnsi="Times New Roman"/>
          <w:szCs w:val="24"/>
          <w:lang w:val="bs-Latn-BA"/>
        </w:rPr>
        <w:t xml:space="preserve"> </w:t>
      </w:r>
      <w:r w:rsidR="00C6214E">
        <w:rPr>
          <w:rFonts w:ascii="Times New Roman" w:hAnsi="Times New Roman"/>
          <w:szCs w:val="24"/>
          <w:lang w:val="bs-Latn-BA"/>
        </w:rPr>
        <w:t>друштвених</w:t>
      </w:r>
      <w:r w:rsidR="000315E5" w:rsidRPr="00295637">
        <w:rPr>
          <w:rFonts w:ascii="Times New Roman" w:hAnsi="Times New Roman"/>
          <w:szCs w:val="24"/>
          <w:lang w:val="bs-Latn-BA"/>
        </w:rPr>
        <w:t xml:space="preserve"> </w:t>
      </w:r>
      <w:r w:rsidR="00C6214E">
        <w:rPr>
          <w:rFonts w:ascii="Times New Roman" w:hAnsi="Times New Roman"/>
          <w:szCs w:val="24"/>
          <w:lang w:val="bs-Latn-BA"/>
        </w:rPr>
        <w:t>група</w:t>
      </w:r>
      <w:r w:rsidR="000315E5" w:rsidRPr="00295637">
        <w:rPr>
          <w:rFonts w:ascii="Times New Roman" w:hAnsi="Times New Roman"/>
          <w:szCs w:val="24"/>
          <w:lang w:val="bs-Latn-BA"/>
        </w:rPr>
        <w:t xml:space="preserve">, </w:t>
      </w:r>
      <w:r w:rsidR="00C6214E">
        <w:rPr>
          <w:rFonts w:ascii="Times New Roman" w:hAnsi="Times New Roman"/>
          <w:szCs w:val="24"/>
          <w:lang w:val="bs-Latn-BA"/>
        </w:rPr>
        <w:t>нарочито</w:t>
      </w:r>
      <w:r w:rsidR="000315E5" w:rsidRPr="00295637">
        <w:rPr>
          <w:rFonts w:ascii="Times New Roman" w:hAnsi="Times New Roman"/>
          <w:szCs w:val="24"/>
          <w:lang w:val="bs-Latn-BA"/>
        </w:rPr>
        <w:t xml:space="preserve"> </w:t>
      </w:r>
      <w:r w:rsidR="00C6214E">
        <w:rPr>
          <w:rFonts w:ascii="Times New Roman" w:hAnsi="Times New Roman"/>
          <w:szCs w:val="24"/>
          <w:lang w:val="bs-Latn-BA"/>
        </w:rPr>
        <w:t>жена</w:t>
      </w:r>
      <w:r w:rsidR="000315E5" w:rsidRPr="00295637">
        <w:rPr>
          <w:rFonts w:ascii="Times New Roman" w:hAnsi="Times New Roman"/>
          <w:szCs w:val="24"/>
          <w:lang w:val="bs-Latn-BA"/>
        </w:rPr>
        <w:t xml:space="preserve">, </w:t>
      </w:r>
      <w:r w:rsidR="00C6214E">
        <w:rPr>
          <w:rFonts w:ascii="Times New Roman" w:hAnsi="Times New Roman"/>
          <w:szCs w:val="24"/>
          <w:lang w:val="bs-Latn-BA"/>
        </w:rPr>
        <w:t>у</w:t>
      </w:r>
      <w:r w:rsidR="000315E5"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0315E5" w:rsidRPr="00295637">
        <w:rPr>
          <w:rFonts w:ascii="Times New Roman" w:hAnsi="Times New Roman"/>
          <w:szCs w:val="24"/>
          <w:lang w:val="bs-Latn-BA"/>
        </w:rPr>
        <w:t xml:space="preserve"> </w:t>
      </w:r>
      <w:r w:rsidR="00C6214E">
        <w:rPr>
          <w:rFonts w:ascii="Times New Roman" w:hAnsi="Times New Roman"/>
          <w:szCs w:val="24"/>
          <w:lang w:val="bs-Latn-BA"/>
        </w:rPr>
        <w:t>тзв</w:t>
      </w:r>
      <w:r w:rsidR="000315E5" w:rsidRPr="00295637">
        <w:rPr>
          <w:rFonts w:ascii="Times New Roman" w:hAnsi="Times New Roman"/>
          <w:szCs w:val="24"/>
          <w:lang w:val="bs-Latn-BA"/>
        </w:rPr>
        <w:t xml:space="preserve">. </w:t>
      </w:r>
      <w:r w:rsidR="00C6214E">
        <w:rPr>
          <w:rFonts w:ascii="Times New Roman" w:hAnsi="Times New Roman"/>
          <w:szCs w:val="24"/>
          <w:lang w:val="bs-Latn-BA"/>
        </w:rPr>
        <w:t>зеленог</w:t>
      </w:r>
      <w:r w:rsidR="000315E5" w:rsidRPr="00295637">
        <w:rPr>
          <w:rFonts w:ascii="Times New Roman" w:hAnsi="Times New Roman"/>
          <w:szCs w:val="24"/>
          <w:lang w:val="bs-Latn-BA"/>
        </w:rPr>
        <w:t xml:space="preserve"> </w:t>
      </w:r>
      <w:r w:rsidR="00C6214E">
        <w:rPr>
          <w:rFonts w:ascii="Times New Roman" w:hAnsi="Times New Roman"/>
          <w:szCs w:val="24"/>
          <w:lang w:val="bs-Latn-BA"/>
        </w:rPr>
        <w:t>предузетништва</w:t>
      </w:r>
      <w:r w:rsidR="000315E5" w:rsidRPr="00295637">
        <w:rPr>
          <w:rFonts w:ascii="Times New Roman" w:hAnsi="Times New Roman"/>
          <w:szCs w:val="24"/>
          <w:lang w:val="bs-Latn-BA"/>
        </w:rPr>
        <w:t xml:space="preserve">, </w:t>
      </w:r>
      <w:r w:rsidR="00C6214E">
        <w:rPr>
          <w:rFonts w:ascii="Times New Roman" w:hAnsi="Times New Roman"/>
          <w:szCs w:val="24"/>
          <w:lang w:val="bs-Latn-BA"/>
        </w:rPr>
        <w:t>поновне</w:t>
      </w:r>
      <w:r w:rsidR="000315E5" w:rsidRPr="00295637">
        <w:rPr>
          <w:rFonts w:ascii="Times New Roman" w:hAnsi="Times New Roman"/>
          <w:szCs w:val="24"/>
          <w:lang w:val="bs-Latn-BA"/>
        </w:rPr>
        <w:t xml:space="preserve"> </w:t>
      </w:r>
      <w:r w:rsidR="00C6214E">
        <w:rPr>
          <w:rFonts w:ascii="Times New Roman" w:hAnsi="Times New Roman"/>
          <w:szCs w:val="24"/>
          <w:lang w:val="bs-Latn-BA"/>
        </w:rPr>
        <w:t>употребе</w:t>
      </w:r>
      <w:r w:rsidR="000315E5" w:rsidRPr="00295637">
        <w:rPr>
          <w:rFonts w:ascii="Times New Roman" w:hAnsi="Times New Roman"/>
          <w:szCs w:val="24"/>
          <w:lang w:val="bs-Latn-BA"/>
        </w:rPr>
        <w:t xml:space="preserve"> </w:t>
      </w:r>
      <w:r w:rsidR="00C6214E">
        <w:rPr>
          <w:rFonts w:ascii="Times New Roman" w:hAnsi="Times New Roman"/>
          <w:szCs w:val="24"/>
          <w:lang w:val="bs-Latn-BA"/>
        </w:rPr>
        <w:t>рециклираног</w:t>
      </w:r>
      <w:r w:rsidR="000315E5" w:rsidRPr="00295637">
        <w:rPr>
          <w:rFonts w:ascii="Times New Roman" w:hAnsi="Times New Roman"/>
          <w:szCs w:val="24"/>
          <w:lang w:val="bs-Latn-BA"/>
        </w:rPr>
        <w:t xml:space="preserve"> </w:t>
      </w:r>
      <w:r w:rsidR="00C6214E">
        <w:rPr>
          <w:rFonts w:ascii="Times New Roman" w:hAnsi="Times New Roman"/>
          <w:szCs w:val="24"/>
          <w:lang w:val="bs-Latn-BA"/>
        </w:rPr>
        <w:t>отпада</w:t>
      </w:r>
      <w:r w:rsidR="000315E5" w:rsidRPr="00295637">
        <w:rPr>
          <w:rFonts w:ascii="Times New Roman" w:hAnsi="Times New Roman"/>
          <w:szCs w:val="24"/>
          <w:lang w:val="bs-Latn-BA"/>
        </w:rPr>
        <w:t xml:space="preserve">, </w:t>
      </w:r>
      <w:r w:rsidR="00C6214E">
        <w:rPr>
          <w:rFonts w:ascii="Times New Roman" w:hAnsi="Times New Roman"/>
          <w:szCs w:val="24"/>
          <w:lang w:val="bs-Latn-BA"/>
        </w:rPr>
        <w:t>итд</w:t>
      </w:r>
      <w:r w:rsidR="000315E5" w:rsidRPr="00295637">
        <w:rPr>
          <w:rFonts w:ascii="Times New Roman" w:hAnsi="Times New Roman"/>
          <w:szCs w:val="24"/>
          <w:lang w:val="bs-Latn-BA"/>
        </w:rPr>
        <w:t>.</w:t>
      </w:r>
    </w:p>
    <w:p w:rsidR="00EF369D" w:rsidRPr="00295637" w:rsidRDefault="00EF369D" w:rsidP="0086268D">
      <w:pPr>
        <w:tabs>
          <w:tab w:val="left" w:pos="284"/>
          <w:tab w:val="left" w:pos="630"/>
          <w:tab w:val="left" w:pos="1080"/>
        </w:tabs>
        <w:ind w:left="1080"/>
        <w:jc w:val="both"/>
        <w:rPr>
          <w:rFonts w:ascii="Times New Roman" w:hAnsi="Times New Roman"/>
          <w:szCs w:val="24"/>
          <w:lang w:val="bs-Latn-BA"/>
        </w:rPr>
      </w:pPr>
    </w:p>
    <w:p w:rsidR="000315E5" w:rsidRDefault="00C6214E" w:rsidP="0086268D">
      <w:pPr>
        <w:pStyle w:val="NormalWeb"/>
        <w:spacing w:before="0" w:beforeAutospacing="0" w:after="0" w:afterAutospacing="0"/>
        <w:jc w:val="both"/>
        <w:rPr>
          <w:shd w:val="clear" w:color="auto" w:fill="FFFFFF"/>
        </w:rPr>
      </w:pPr>
      <w:r>
        <w:rPr>
          <w:shd w:val="clear" w:color="auto" w:fill="FFFFFF"/>
        </w:rPr>
        <w:t>Растуће</w:t>
      </w:r>
      <w:r w:rsidR="00A51DD6" w:rsidRPr="00295637">
        <w:rPr>
          <w:shd w:val="clear" w:color="auto" w:fill="FFFFFF"/>
        </w:rPr>
        <w:t xml:space="preserve"> </w:t>
      </w:r>
      <w:r>
        <w:rPr>
          <w:shd w:val="clear" w:color="auto" w:fill="FFFFFF"/>
        </w:rPr>
        <w:t>енергетско</w:t>
      </w:r>
      <w:r w:rsidR="00A51DD6" w:rsidRPr="00295637">
        <w:rPr>
          <w:shd w:val="clear" w:color="auto" w:fill="FFFFFF"/>
        </w:rPr>
        <w:t xml:space="preserve"> </w:t>
      </w:r>
      <w:r>
        <w:rPr>
          <w:shd w:val="clear" w:color="auto" w:fill="FFFFFF"/>
        </w:rPr>
        <w:t>сиромаштво</w:t>
      </w:r>
      <w:r w:rsidR="00A51DD6" w:rsidRPr="00295637">
        <w:rPr>
          <w:shd w:val="clear" w:color="auto" w:fill="FFFFFF"/>
        </w:rPr>
        <w:t xml:space="preserve"> </w:t>
      </w:r>
      <w:r>
        <w:rPr>
          <w:shd w:val="clear" w:color="auto" w:fill="FFFFFF"/>
        </w:rPr>
        <w:t>изискује</w:t>
      </w:r>
      <w:r w:rsidR="00A51DD6" w:rsidRPr="00295637">
        <w:rPr>
          <w:shd w:val="clear" w:color="auto" w:fill="FFFFFF"/>
        </w:rPr>
        <w:t xml:space="preserve"> </w:t>
      </w:r>
      <w:r>
        <w:rPr>
          <w:shd w:val="clear" w:color="auto" w:fill="FFFFFF"/>
        </w:rPr>
        <w:t>дугорочна</w:t>
      </w:r>
      <w:r w:rsidR="00A51DD6" w:rsidRPr="00295637">
        <w:rPr>
          <w:shd w:val="clear" w:color="auto" w:fill="FFFFFF"/>
        </w:rPr>
        <w:t xml:space="preserve"> </w:t>
      </w:r>
      <w:r>
        <w:rPr>
          <w:shd w:val="clear" w:color="auto" w:fill="FFFFFF"/>
        </w:rPr>
        <w:t>рјешења</w:t>
      </w:r>
      <w:r w:rsidR="00A51DD6" w:rsidRPr="00295637">
        <w:rPr>
          <w:shd w:val="clear" w:color="auto" w:fill="FFFFFF"/>
        </w:rPr>
        <w:t xml:space="preserve"> </w:t>
      </w:r>
      <w:r>
        <w:rPr>
          <w:shd w:val="clear" w:color="auto" w:fill="FFFFFF"/>
        </w:rPr>
        <w:t>која</w:t>
      </w:r>
      <w:r w:rsidR="00A51DD6" w:rsidRPr="00295637">
        <w:rPr>
          <w:shd w:val="clear" w:color="auto" w:fill="FFFFFF"/>
        </w:rPr>
        <w:t xml:space="preserve"> </w:t>
      </w:r>
      <w:r>
        <w:rPr>
          <w:shd w:val="clear" w:color="auto" w:fill="FFFFFF"/>
        </w:rPr>
        <w:t>ће</w:t>
      </w:r>
      <w:r w:rsidR="00A51DD6" w:rsidRPr="00295637">
        <w:rPr>
          <w:shd w:val="clear" w:color="auto" w:fill="FFFFFF"/>
        </w:rPr>
        <w:t xml:space="preserve"> </w:t>
      </w:r>
      <w:r>
        <w:rPr>
          <w:shd w:val="clear" w:color="auto" w:fill="FFFFFF"/>
        </w:rPr>
        <w:t>бити</w:t>
      </w:r>
      <w:r w:rsidR="00A51DD6" w:rsidRPr="00295637">
        <w:rPr>
          <w:shd w:val="clear" w:color="auto" w:fill="FFFFFF"/>
        </w:rPr>
        <w:t xml:space="preserve"> </w:t>
      </w:r>
      <w:r>
        <w:rPr>
          <w:shd w:val="clear" w:color="auto" w:fill="FFFFFF"/>
        </w:rPr>
        <w:t>заснован</w:t>
      </w:r>
      <w:r w:rsidR="00AF62B1">
        <w:rPr>
          <w:shd w:val="clear" w:color="auto" w:fill="FFFFFF"/>
          <w:lang w:val="sr-Cyrl-BA"/>
        </w:rPr>
        <w:t>а</w:t>
      </w:r>
      <w:r w:rsidR="00A51DD6" w:rsidRPr="00295637">
        <w:rPr>
          <w:shd w:val="clear" w:color="auto" w:fill="FFFFFF"/>
        </w:rPr>
        <w:t xml:space="preserve"> </w:t>
      </w:r>
      <w:r>
        <w:rPr>
          <w:shd w:val="clear" w:color="auto" w:fill="FFFFFF"/>
        </w:rPr>
        <w:t>на</w:t>
      </w:r>
      <w:r w:rsidR="00A51DD6" w:rsidRPr="00295637">
        <w:rPr>
          <w:shd w:val="clear" w:color="auto" w:fill="FFFFFF"/>
        </w:rPr>
        <w:t xml:space="preserve"> </w:t>
      </w:r>
      <w:r>
        <w:rPr>
          <w:shd w:val="clear" w:color="auto" w:fill="FFFFFF"/>
        </w:rPr>
        <w:t>енергетској</w:t>
      </w:r>
      <w:r w:rsidR="00A51DD6" w:rsidRPr="00295637">
        <w:rPr>
          <w:shd w:val="clear" w:color="auto" w:fill="FFFFFF"/>
        </w:rPr>
        <w:t xml:space="preserve"> </w:t>
      </w:r>
      <w:r>
        <w:rPr>
          <w:shd w:val="clear" w:color="auto" w:fill="FFFFFF"/>
        </w:rPr>
        <w:t>ефикасности</w:t>
      </w:r>
      <w:r w:rsidR="00A51DD6" w:rsidRPr="00295637">
        <w:rPr>
          <w:shd w:val="clear" w:color="auto" w:fill="FFFFFF"/>
        </w:rPr>
        <w:t xml:space="preserve"> </w:t>
      </w:r>
      <w:r>
        <w:rPr>
          <w:shd w:val="clear" w:color="auto" w:fill="FFFFFF"/>
        </w:rPr>
        <w:t>и</w:t>
      </w:r>
      <w:r w:rsidR="00A51DD6" w:rsidRPr="00295637">
        <w:rPr>
          <w:shd w:val="clear" w:color="auto" w:fill="FFFFFF"/>
        </w:rPr>
        <w:t xml:space="preserve"> </w:t>
      </w:r>
      <w:r>
        <w:rPr>
          <w:shd w:val="clear" w:color="auto" w:fill="FFFFFF"/>
        </w:rPr>
        <w:t>заштити</w:t>
      </w:r>
      <w:r w:rsidR="00A51DD6" w:rsidRPr="00295637">
        <w:rPr>
          <w:shd w:val="clear" w:color="auto" w:fill="FFFFFF"/>
        </w:rPr>
        <w:t xml:space="preserve"> </w:t>
      </w:r>
      <w:r>
        <w:rPr>
          <w:shd w:val="clear" w:color="auto" w:fill="FFFFFF"/>
        </w:rPr>
        <w:t>социјално</w:t>
      </w:r>
      <w:r w:rsidR="00A51DD6" w:rsidRPr="00295637">
        <w:rPr>
          <w:shd w:val="clear" w:color="auto" w:fill="FFFFFF"/>
        </w:rPr>
        <w:t xml:space="preserve"> </w:t>
      </w:r>
      <w:r>
        <w:rPr>
          <w:shd w:val="clear" w:color="auto" w:fill="FFFFFF"/>
        </w:rPr>
        <w:t>угрожених</w:t>
      </w:r>
      <w:r w:rsidR="00A51DD6" w:rsidRPr="00295637">
        <w:rPr>
          <w:shd w:val="clear" w:color="auto" w:fill="FFFFFF"/>
        </w:rPr>
        <w:t xml:space="preserve"> </w:t>
      </w:r>
      <w:r>
        <w:rPr>
          <w:shd w:val="clear" w:color="auto" w:fill="FFFFFF"/>
        </w:rPr>
        <w:t>група</w:t>
      </w:r>
      <w:r w:rsidR="00A51DD6" w:rsidRPr="00295637">
        <w:rPr>
          <w:shd w:val="clear" w:color="auto" w:fill="FFFFFF"/>
        </w:rPr>
        <w:t xml:space="preserve"> </w:t>
      </w:r>
      <w:r>
        <w:rPr>
          <w:shd w:val="clear" w:color="auto" w:fill="FFFFFF"/>
        </w:rPr>
        <w:t>становништва</w:t>
      </w:r>
      <w:r w:rsidR="00A51DD6" w:rsidRPr="00295637">
        <w:rPr>
          <w:shd w:val="clear" w:color="auto" w:fill="FFFFFF"/>
        </w:rPr>
        <w:t xml:space="preserve">. </w:t>
      </w:r>
      <w:r>
        <w:rPr>
          <w:shd w:val="clear" w:color="auto" w:fill="FFFFFF"/>
        </w:rPr>
        <w:t>АР</w:t>
      </w:r>
      <w:r w:rsidR="00AF62B1">
        <w:rPr>
          <w:shd w:val="clear" w:color="auto" w:fill="FFFFFF"/>
          <w:lang w:val="sr-Cyrl-BA"/>
        </w:rPr>
        <w:t>П</w:t>
      </w:r>
      <w:r w:rsidR="003A2305">
        <w:rPr>
          <w:shd w:val="clear" w:color="auto" w:fill="FFFFFF"/>
        </w:rPr>
        <w:t xml:space="preserve"> </w:t>
      </w:r>
      <w:r>
        <w:rPr>
          <w:shd w:val="clear" w:color="auto" w:fill="FFFFFF"/>
        </w:rPr>
        <w:t>БиХ</w:t>
      </w:r>
      <w:r w:rsidR="003A2305">
        <w:rPr>
          <w:shd w:val="clear" w:color="auto" w:fill="FFFFFF"/>
        </w:rPr>
        <w:t xml:space="preserve"> </w:t>
      </w:r>
      <w:r>
        <w:rPr>
          <w:shd w:val="clear" w:color="auto" w:fill="FFFFFF"/>
        </w:rPr>
        <w:t>МЉПИ</w:t>
      </w:r>
      <w:r w:rsidR="003A2305">
        <w:rPr>
          <w:shd w:val="clear" w:color="auto" w:fill="FFFFFF"/>
        </w:rPr>
        <w:t xml:space="preserve"> </w:t>
      </w:r>
      <w:r>
        <w:rPr>
          <w:shd w:val="clear" w:color="auto" w:fill="FFFFFF"/>
        </w:rPr>
        <w:t>БиХ</w:t>
      </w:r>
      <w:r w:rsidR="00A7731A" w:rsidRPr="00295637">
        <w:rPr>
          <w:shd w:val="clear" w:color="auto" w:fill="FFFFFF"/>
        </w:rPr>
        <w:t xml:space="preserve"> </w:t>
      </w:r>
      <w:r>
        <w:rPr>
          <w:shd w:val="clear" w:color="auto" w:fill="FFFFFF"/>
        </w:rPr>
        <w:t>је</w:t>
      </w:r>
      <w:r w:rsidR="00A7731A" w:rsidRPr="00295637">
        <w:rPr>
          <w:shd w:val="clear" w:color="auto" w:fill="FFFFFF"/>
        </w:rPr>
        <w:t xml:space="preserve"> </w:t>
      </w:r>
      <w:r>
        <w:rPr>
          <w:shd w:val="clear" w:color="auto" w:fill="FFFFFF"/>
        </w:rPr>
        <w:t>у</w:t>
      </w:r>
      <w:r w:rsidR="00A7731A" w:rsidRPr="00295637">
        <w:rPr>
          <w:shd w:val="clear" w:color="auto" w:fill="FFFFFF"/>
        </w:rPr>
        <w:t xml:space="preserve"> </w:t>
      </w:r>
      <w:r>
        <w:rPr>
          <w:shd w:val="clear" w:color="auto" w:fill="FFFFFF"/>
        </w:rPr>
        <w:t>извјештајном</w:t>
      </w:r>
      <w:r w:rsidR="00A7731A" w:rsidRPr="00295637">
        <w:rPr>
          <w:shd w:val="clear" w:color="auto" w:fill="FFFFFF"/>
        </w:rPr>
        <w:t xml:space="preserve"> </w:t>
      </w:r>
      <w:r>
        <w:rPr>
          <w:shd w:val="clear" w:color="auto" w:fill="FFFFFF"/>
        </w:rPr>
        <w:t>периоду</w:t>
      </w:r>
      <w:r w:rsidR="00A7731A" w:rsidRPr="00295637">
        <w:rPr>
          <w:shd w:val="clear" w:color="auto" w:fill="FFFFFF"/>
        </w:rPr>
        <w:t xml:space="preserve"> </w:t>
      </w:r>
      <w:r>
        <w:rPr>
          <w:shd w:val="clear" w:color="auto" w:fill="FFFFFF"/>
        </w:rPr>
        <w:t>учествовалаа</w:t>
      </w:r>
      <w:r w:rsidR="00594A80" w:rsidRPr="00295637">
        <w:rPr>
          <w:shd w:val="clear" w:color="auto" w:fill="FFFFFF"/>
        </w:rPr>
        <w:t xml:space="preserve"> </w:t>
      </w:r>
      <w:r>
        <w:rPr>
          <w:shd w:val="clear" w:color="auto" w:fill="FFFFFF"/>
        </w:rPr>
        <w:t>у</w:t>
      </w:r>
      <w:r w:rsidR="00594A80" w:rsidRPr="00295637">
        <w:rPr>
          <w:shd w:val="clear" w:color="auto" w:fill="FFFFFF"/>
        </w:rPr>
        <w:t xml:space="preserve"> </w:t>
      </w:r>
      <w:r>
        <w:rPr>
          <w:shd w:val="clear" w:color="auto" w:fill="FFFFFF"/>
        </w:rPr>
        <w:t>планирању</w:t>
      </w:r>
      <w:r w:rsidR="00594A80" w:rsidRPr="00295637">
        <w:rPr>
          <w:shd w:val="clear" w:color="auto" w:fill="FFFFFF"/>
        </w:rPr>
        <w:t xml:space="preserve"> </w:t>
      </w:r>
      <w:r>
        <w:rPr>
          <w:shd w:val="clear" w:color="auto" w:fill="FFFFFF"/>
        </w:rPr>
        <w:t>и</w:t>
      </w:r>
      <w:r w:rsidR="00594A80" w:rsidRPr="00295637">
        <w:rPr>
          <w:shd w:val="clear" w:color="auto" w:fill="FFFFFF"/>
        </w:rPr>
        <w:t xml:space="preserve"> </w:t>
      </w:r>
      <w:r>
        <w:rPr>
          <w:shd w:val="clear" w:color="auto" w:fill="FFFFFF"/>
        </w:rPr>
        <w:t>консултацијама</w:t>
      </w:r>
      <w:r w:rsidR="003A2305">
        <w:rPr>
          <w:shd w:val="clear" w:color="auto" w:fill="FFFFFF"/>
        </w:rPr>
        <w:t xml:space="preserve"> </w:t>
      </w:r>
      <w:r>
        <w:rPr>
          <w:shd w:val="clear" w:color="auto" w:fill="FFFFFF"/>
        </w:rPr>
        <w:t>са</w:t>
      </w:r>
      <w:r w:rsidR="003A2305">
        <w:rPr>
          <w:shd w:val="clear" w:color="auto" w:fill="FFFFFF"/>
        </w:rPr>
        <w:t xml:space="preserve"> </w:t>
      </w:r>
      <w:r w:rsidR="00AF62B1" w:rsidRPr="00AF62B1">
        <w:rPr>
          <w:i/>
          <w:shd w:val="clear" w:color="auto" w:fill="FFFFFF"/>
          <w:lang w:val="hr-BA"/>
        </w:rPr>
        <w:t>UNDP</w:t>
      </w:r>
      <w:r w:rsidR="003A2305">
        <w:rPr>
          <w:shd w:val="clear" w:color="auto" w:fill="FFFFFF"/>
        </w:rPr>
        <w:t xml:space="preserve"> </w:t>
      </w:r>
      <w:r>
        <w:rPr>
          <w:shd w:val="clear" w:color="auto" w:fill="FFFFFF"/>
        </w:rPr>
        <w:t>у</w:t>
      </w:r>
      <w:r w:rsidR="003A2305">
        <w:rPr>
          <w:shd w:val="clear" w:color="auto" w:fill="FFFFFF"/>
        </w:rPr>
        <w:t xml:space="preserve"> </w:t>
      </w:r>
      <w:r>
        <w:rPr>
          <w:shd w:val="clear" w:color="auto" w:fill="FFFFFF"/>
        </w:rPr>
        <w:t>вези</w:t>
      </w:r>
      <w:r w:rsidR="003A2305">
        <w:rPr>
          <w:shd w:val="clear" w:color="auto" w:fill="FFFFFF"/>
        </w:rPr>
        <w:t xml:space="preserve"> </w:t>
      </w:r>
      <w:r>
        <w:rPr>
          <w:shd w:val="clear" w:color="auto" w:fill="FFFFFF"/>
        </w:rPr>
        <w:t>са</w:t>
      </w:r>
      <w:r w:rsidR="00594A80" w:rsidRPr="00295637">
        <w:rPr>
          <w:shd w:val="clear" w:color="auto" w:fill="FFFFFF"/>
        </w:rPr>
        <w:t xml:space="preserve"> </w:t>
      </w:r>
      <w:r>
        <w:rPr>
          <w:shd w:val="clear" w:color="auto" w:fill="FFFFFF"/>
        </w:rPr>
        <w:t>припремом</w:t>
      </w:r>
      <w:r w:rsidR="00594A80" w:rsidRPr="00295637">
        <w:rPr>
          <w:shd w:val="clear" w:color="auto" w:fill="FFFFFF"/>
        </w:rPr>
        <w:t xml:space="preserve"> </w:t>
      </w:r>
      <w:r>
        <w:rPr>
          <w:shd w:val="clear" w:color="auto" w:fill="FFFFFF"/>
        </w:rPr>
        <w:t>и</w:t>
      </w:r>
      <w:r w:rsidR="00594A80" w:rsidRPr="00295637">
        <w:rPr>
          <w:shd w:val="clear" w:color="auto" w:fill="FFFFFF"/>
        </w:rPr>
        <w:t xml:space="preserve"> </w:t>
      </w:r>
      <w:r>
        <w:rPr>
          <w:shd w:val="clear" w:color="auto" w:fill="FFFFFF"/>
        </w:rPr>
        <w:t>реализацијом</w:t>
      </w:r>
      <w:r w:rsidR="00594A80" w:rsidRPr="00295637">
        <w:rPr>
          <w:shd w:val="clear" w:color="auto" w:fill="FFFFFF"/>
        </w:rPr>
        <w:t xml:space="preserve"> </w:t>
      </w:r>
      <w:r>
        <w:rPr>
          <w:shd w:val="clear" w:color="auto" w:fill="FFFFFF"/>
        </w:rPr>
        <w:t>Зеленог</w:t>
      </w:r>
      <w:r w:rsidR="00A51DD6" w:rsidRPr="00295637">
        <w:rPr>
          <w:shd w:val="clear" w:color="auto" w:fill="FFFFFF"/>
        </w:rPr>
        <w:t xml:space="preserve"> </w:t>
      </w:r>
      <w:r>
        <w:rPr>
          <w:shd w:val="clear" w:color="auto" w:fill="FFFFFF"/>
        </w:rPr>
        <w:t>транзици</w:t>
      </w:r>
      <w:r w:rsidR="00AF62B1">
        <w:rPr>
          <w:shd w:val="clear" w:color="auto" w:fill="FFFFFF"/>
          <w:lang w:val="sr-Cyrl-BA"/>
        </w:rPr>
        <w:t>оног</w:t>
      </w:r>
      <w:r w:rsidR="00A7731A" w:rsidRPr="00295637">
        <w:rPr>
          <w:shd w:val="clear" w:color="auto" w:fill="FFFFFF"/>
        </w:rPr>
        <w:t xml:space="preserve"> </w:t>
      </w:r>
      <w:r>
        <w:rPr>
          <w:shd w:val="clear" w:color="auto" w:fill="FFFFFF"/>
        </w:rPr>
        <w:t>програма</w:t>
      </w:r>
      <w:r w:rsidR="00594A80" w:rsidRPr="00295637">
        <w:rPr>
          <w:shd w:val="clear" w:color="auto" w:fill="FFFFFF"/>
        </w:rPr>
        <w:t xml:space="preserve">. </w:t>
      </w:r>
    </w:p>
    <w:p w:rsidR="0086268D" w:rsidRPr="00295637" w:rsidRDefault="0086268D" w:rsidP="0086268D">
      <w:pPr>
        <w:pStyle w:val="NormalWeb"/>
        <w:spacing w:before="0" w:beforeAutospacing="0" w:after="0" w:afterAutospacing="0"/>
        <w:jc w:val="both"/>
        <w:rPr>
          <w:shd w:val="clear" w:color="auto" w:fill="FFFFFF"/>
        </w:rPr>
      </w:pPr>
    </w:p>
    <w:p w:rsidR="003F792F" w:rsidRDefault="00C6214E" w:rsidP="0086268D">
      <w:pPr>
        <w:pStyle w:val="NormalWeb"/>
        <w:spacing w:before="0" w:beforeAutospacing="0" w:after="0" w:afterAutospacing="0"/>
        <w:jc w:val="both"/>
        <w:rPr>
          <w:shd w:val="clear" w:color="auto" w:fill="FFFFFF"/>
          <w:lang w:val="hr-HR"/>
        </w:rPr>
      </w:pPr>
      <w:r>
        <w:rPr>
          <w:shd w:val="clear" w:color="auto" w:fill="FFFFFF"/>
        </w:rPr>
        <w:t>АР</w:t>
      </w:r>
      <w:r w:rsidR="00AF62B1">
        <w:rPr>
          <w:shd w:val="clear" w:color="auto" w:fill="FFFFFF"/>
          <w:lang w:val="sr-Cyrl-BA"/>
        </w:rPr>
        <w:t>П</w:t>
      </w:r>
      <w:r w:rsidR="003A2305">
        <w:rPr>
          <w:shd w:val="clear" w:color="auto" w:fill="FFFFFF"/>
        </w:rPr>
        <w:t xml:space="preserve"> </w:t>
      </w:r>
      <w:r>
        <w:rPr>
          <w:shd w:val="clear" w:color="auto" w:fill="FFFFFF"/>
        </w:rPr>
        <w:t>БиХ</w:t>
      </w:r>
      <w:r w:rsidR="003A2305">
        <w:rPr>
          <w:shd w:val="clear" w:color="auto" w:fill="FFFFFF"/>
        </w:rPr>
        <w:t xml:space="preserve"> </w:t>
      </w:r>
      <w:r>
        <w:rPr>
          <w:shd w:val="clear" w:color="auto" w:fill="FFFFFF"/>
        </w:rPr>
        <w:t>МЉПИ</w:t>
      </w:r>
      <w:r w:rsidR="003A2305">
        <w:rPr>
          <w:shd w:val="clear" w:color="auto" w:fill="FFFFFF"/>
        </w:rPr>
        <w:t xml:space="preserve"> </w:t>
      </w:r>
      <w:r>
        <w:rPr>
          <w:shd w:val="clear" w:color="auto" w:fill="FFFFFF"/>
        </w:rPr>
        <w:t>БиХ</w:t>
      </w:r>
      <w:r w:rsidR="00B92A85" w:rsidRPr="00295637">
        <w:rPr>
          <w:shd w:val="clear" w:color="auto" w:fill="FFFFFF"/>
        </w:rPr>
        <w:t xml:space="preserve"> </w:t>
      </w:r>
      <w:r>
        <w:rPr>
          <w:shd w:val="clear" w:color="auto" w:fill="FFFFFF"/>
        </w:rPr>
        <w:t>је</w:t>
      </w:r>
      <w:r w:rsidR="00B92A85" w:rsidRPr="00295637">
        <w:rPr>
          <w:shd w:val="clear" w:color="auto" w:fill="FFFFFF"/>
        </w:rPr>
        <w:t xml:space="preserve"> </w:t>
      </w:r>
      <w:r>
        <w:rPr>
          <w:shd w:val="clear" w:color="auto" w:fill="FFFFFF"/>
        </w:rPr>
        <w:t>учествовала</w:t>
      </w:r>
      <w:r w:rsidR="00062436" w:rsidRPr="00295637">
        <w:rPr>
          <w:shd w:val="clear" w:color="auto" w:fill="FFFFFF"/>
        </w:rPr>
        <w:t xml:space="preserve"> </w:t>
      </w:r>
      <w:r>
        <w:rPr>
          <w:shd w:val="clear" w:color="auto" w:fill="FFFFFF"/>
        </w:rPr>
        <w:t>у</w:t>
      </w:r>
      <w:r w:rsidR="00B92A85" w:rsidRPr="00295637">
        <w:rPr>
          <w:shd w:val="clear" w:color="auto" w:fill="FFFFFF"/>
        </w:rPr>
        <w:t xml:space="preserve"> </w:t>
      </w:r>
      <w:r>
        <w:rPr>
          <w:shd w:val="clear" w:color="auto" w:fill="FFFFFF"/>
        </w:rPr>
        <w:t>раду</w:t>
      </w:r>
      <w:r w:rsidR="00B92A85" w:rsidRPr="00295637">
        <w:rPr>
          <w:shd w:val="clear" w:color="auto" w:fill="FFFFFF"/>
        </w:rPr>
        <w:t xml:space="preserve"> </w:t>
      </w:r>
      <w:r>
        <w:rPr>
          <w:shd w:val="clear" w:color="auto" w:fill="FFFFFF"/>
        </w:rPr>
        <w:t>конференције</w:t>
      </w:r>
      <w:r w:rsidR="00B92A85" w:rsidRPr="00295637">
        <w:rPr>
          <w:shd w:val="clear" w:color="auto" w:fill="FFFFFF"/>
        </w:rPr>
        <w:t xml:space="preserve"> </w:t>
      </w:r>
      <w:r>
        <w:rPr>
          <w:shd w:val="clear" w:color="auto" w:fill="FFFFFF"/>
        </w:rPr>
        <w:t>у</w:t>
      </w:r>
      <w:r w:rsidR="00B92A85" w:rsidRPr="00295637">
        <w:rPr>
          <w:shd w:val="clear" w:color="auto" w:fill="FFFFFF"/>
        </w:rPr>
        <w:t xml:space="preserve"> </w:t>
      </w:r>
      <w:r>
        <w:rPr>
          <w:shd w:val="clear" w:color="auto" w:fill="FFFFFF"/>
        </w:rPr>
        <w:t>оквиру</w:t>
      </w:r>
      <w:r w:rsidR="00B92A85" w:rsidRPr="00295637">
        <w:rPr>
          <w:shd w:val="clear" w:color="auto" w:fill="FFFFFF"/>
        </w:rPr>
        <w:t xml:space="preserve"> </w:t>
      </w:r>
      <w:r>
        <w:rPr>
          <w:shd w:val="clear" w:color="auto" w:fill="FFFFFF"/>
        </w:rPr>
        <w:t>пројекта</w:t>
      </w:r>
      <w:r w:rsidR="00B92A85" w:rsidRPr="00295637">
        <w:rPr>
          <w:shd w:val="clear" w:color="auto" w:fill="FFFFFF"/>
        </w:rPr>
        <w:t xml:space="preserve"> “</w:t>
      </w:r>
      <w:r>
        <w:rPr>
          <w:shd w:val="clear" w:color="auto" w:fill="FFFFFF"/>
        </w:rPr>
        <w:t>Праведна</w:t>
      </w:r>
      <w:r w:rsidR="00B92A85" w:rsidRPr="00295637">
        <w:rPr>
          <w:shd w:val="clear" w:color="auto" w:fill="FFFFFF"/>
        </w:rPr>
        <w:t xml:space="preserve"> </w:t>
      </w:r>
      <w:r>
        <w:rPr>
          <w:shd w:val="clear" w:color="auto" w:fill="FFFFFF"/>
        </w:rPr>
        <w:t>транзиција</w:t>
      </w:r>
      <w:r w:rsidR="00B92A85" w:rsidRPr="00295637">
        <w:rPr>
          <w:shd w:val="clear" w:color="auto" w:fill="FFFFFF"/>
        </w:rPr>
        <w:t xml:space="preserve"> </w:t>
      </w:r>
      <w:r>
        <w:rPr>
          <w:shd w:val="clear" w:color="auto" w:fill="FFFFFF"/>
        </w:rPr>
        <w:t>на</w:t>
      </w:r>
      <w:r w:rsidR="00B92A85" w:rsidRPr="00295637">
        <w:rPr>
          <w:shd w:val="clear" w:color="auto" w:fill="FFFFFF"/>
        </w:rPr>
        <w:t xml:space="preserve"> </w:t>
      </w:r>
      <w:r>
        <w:rPr>
          <w:shd w:val="clear" w:color="auto" w:fill="FFFFFF"/>
        </w:rPr>
        <w:t>Западном</w:t>
      </w:r>
      <w:r w:rsidR="00B92A85" w:rsidRPr="00295637">
        <w:rPr>
          <w:shd w:val="clear" w:color="auto" w:fill="FFFFFF"/>
        </w:rPr>
        <w:t xml:space="preserve"> </w:t>
      </w:r>
      <w:r>
        <w:rPr>
          <w:shd w:val="clear" w:color="auto" w:fill="FFFFFF"/>
        </w:rPr>
        <w:t>Балкану</w:t>
      </w:r>
      <w:r w:rsidR="00B92A85" w:rsidRPr="00295637">
        <w:rPr>
          <w:shd w:val="clear" w:color="auto" w:fill="FFFFFF"/>
        </w:rPr>
        <w:t xml:space="preserve">: </w:t>
      </w:r>
      <w:r>
        <w:rPr>
          <w:shd w:val="clear" w:color="auto" w:fill="FFFFFF"/>
        </w:rPr>
        <w:t>помоћ</w:t>
      </w:r>
      <w:r w:rsidR="00B92A85" w:rsidRPr="00295637">
        <w:rPr>
          <w:shd w:val="clear" w:color="auto" w:fill="FFFFFF"/>
        </w:rPr>
        <w:t xml:space="preserve"> </w:t>
      </w:r>
      <w:r>
        <w:rPr>
          <w:shd w:val="clear" w:color="auto" w:fill="FFFFFF"/>
        </w:rPr>
        <w:t>координи</w:t>
      </w:r>
      <w:r w:rsidR="00AF62B1">
        <w:rPr>
          <w:shd w:val="clear" w:color="auto" w:fill="FFFFFF"/>
          <w:lang w:val="sr-Cyrl-BA"/>
        </w:rPr>
        <w:t>с</w:t>
      </w:r>
      <w:r>
        <w:rPr>
          <w:shd w:val="clear" w:color="auto" w:fill="FFFFFF"/>
        </w:rPr>
        <w:t>аној</w:t>
      </w:r>
      <w:r w:rsidR="00B92A85" w:rsidRPr="00295637">
        <w:rPr>
          <w:shd w:val="clear" w:color="auto" w:fill="FFFFFF"/>
        </w:rPr>
        <w:t xml:space="preserve"> </w:t>
      </w:r>
      <w:r>
        <w:rPr>
          <w:shd w:val="clear" w:color="auto" w:fill="FFFFFF"/>
        </w:rPr>
        <w:t>реформи</w:t>
      </w:r>
      <w:r w:rsidR="00B92A85" w:rsidRPr="00295637">
        <w:rPr>
          <w:shd w:val="clear" w:color="auto" w:fill="FFFFFF"/>
        </w:rPr>
        <w:t xml:space="preserve"> </w:t>
      </w:r>
      <w:r>
        <w:rPr>
          <w:shd w:val="clear" w:color="auto" w:fill="FFFFFF"/>
        </w:rPr>
        <w:t>енергетског</w:t>
      </w:r>
      <w:r w:rsidR="00B92A85" w:rsidRPr="00295637">
        <w:rPr>
          <w:shd w:val="clear" w:color="auto" w:fill="FFFFFF"/>
        </w:rPr>
        <w:t xml:space="preserve"> </w:t>
      </w:r>
      <w:r>
        <w:rPr>
          <w:shd w:val="clear" w:color="auto" w:fill="FFFFFF"/>
        </w:rPr>
        <w:t>сектора</w:t>
      </w:r>
      <w:r w:rsidR="00B92A85" w:rsidRPr="00295637">
        <w:rPr>
          <w:shd w:val="clear" w:color="auto" w:fill="FFFFFF"/>
        </w:rPr>
        <w:t xml:space="preserve">, </w:t>
      </w:r>
      <w:r>
        <w:rPr>
          <w:shd w:val="clear" w:color="auto" w:fill="FFFFFF"/>
        </w:rPr>
        <w:t>фискалне</w:t>
      </w:r>
      <w:r w:rsidR="00B92A85" w:rsidRPr="00295637">
        <w:rPr>
          <w:shd w:val="clear" w:color="auto" w:fill="FFFFFF"/>
        </w:rPr>
        <w:t xml:space="preserve"> </w:t>
      </w:r>
      <w:r>
        <w:rPr>
          <w:shd w:val="clear" w:color="auto" w:fill="FFFFFF"/>
        </w:rPr>
        <w:t>и</w:t>
      </w:r>
      <w:r w:rsidR="00B92A85" w:rsidRPr="00295637">
        <w:rPr>
          <w:shd w:val="clear" w:color="auto" w:fill="FFFFFF"/>
        </w:rPr>
        <w:t xml:space="preserve"> </w:t>
      </w:r>
      <w:r>
        <w:rPr>
          <w:shd w:val="clear" w:color="auto" w:fill="FFFFFF"/>
        </w:rPr>
        <w:t>социјалне</w:t>
      </w:r>
      <w:r w:rsidR="00B92A85" w:rsidRPr="00295637">
        <w:rPr>
          <w:shd w:val="clear" w:color="auto" w:fill="FFFFFF"/>
        </w:rPr>
        <w:t xml:space="preserve"> </w:t>
      </w:r>
      <w:r>
        <w:rPr>
          <w:shd w:val="clear" w:color="auto" w:fill="FFFFFF"/>
        </w:rPr>
        <w:t>заштите</w:t>
      </w:r>
      <w:r w:rsidR="00B92A85" w:rsidRPr="00295637">
        <w:rPr>
          <w:shd w:val="clear" w:color="auto" w:fill="FFFFFF"/>
        </w:rPr>
        <w:t xml:space="preserve">”, </w:t>
      </w:r>
      <w:r>
        <w:rPr>
          <w:shd w:val="clear" w:color="auto" w:fill="FFFFFF"/>
        </w:rPr>
        <w:t>који</w:t>
      </w:r>
      <w:r w:rsidR="00B92A85" w:rsidRPr="00295637">
        <w:rPr>
          <w:shd w:val="clear" w:color="auto" w:fill="FFFFFF"/>
        </w:rPr>
        <w:t xml:space="preserve"> </w:t>
      </w:r>
      <w:r w:rsidR="00AF62B1" w:rsidRPr="00AF62B1">
        <w:rPr>
          <w:i/>
          <w:shd w:val="clear" w:color="auto" w:fill="FFFFFF"/>
          <w:lang w:val="hr-BA"/>
        </w:rPr>
        <w:t>OECD</w:t>
      </w:r>
      <w:r w:rsidR="00B92A85" w:rsidRPr="00295637">
        <w:rPr>
          <w:shd w:val="clear" w:color="auto" w:fill="FFFFFF"/>
        </w:rPr>
        <w:t xml:space="preserve"> </w:t>
      </w:r>
      <w:r>
        <w:rPr>
          <w:shd w:val="clear" w:color="auto" w:fill="FFFFFF"/>
        </w:rPr>
        <w:t>проводи</w:t>
      </w:r>
      <w:r w:rsidR="00B92A85" w:rsidRPr="00295637">
        <w:rPr>
          <w:shd w:val="clear" w:color="auto" w:fill="FFFFFF"/>
        </w:rPr>
        <w:t xml:space="preserve"> </w:t>
      </w:r>
      <w:r>
        <w:rPr>
          <w:shd w:val="clear" w:color="auto" w:fill="FFFFFF"/>
        </w:rPr>
        <w:t>уз</w:t>
      </w:r>
      <w:r w:rsidR="00B92A85" w:rsidRPr="00295637">
        <w:rPr>
          <w:shd w:val="clear" w:color="auto" w:fill="FFFFFF"/>
        </w:rPr>
        <w:t xml:space="preserve"> </w:t>
      </w:r>
      <w:r>
        <w:rPr>
          <w:shd w:val="clear" w:color="auto" w:fill="FFFFFF"/>
        </w:rPr>
        <w:t>подршку</w:t>
      </w:r>
      <w:r w:rsidR="00B92A85" w:rsidRPr="00295637">
        <w:rPr>
          <w:shd w:val="clear" w:color="auto" w:fill="FFFFFF"/>
        </w:rPr>
        <w:t xml:space="preserve"> </w:t>
      </w:r>
      <w:r>
        <w:rPr>
          <w:shd w:val="clear" w:color="auto" w:fill="FFFFFF"/>
        </w:rPr>
        <w:t>шведске</w:t>
      </w:r>
      <w:r w:rsidR="005F19F7" w:rsidRPr="00295637">
        <w:rPr>
          <w:shd w:val="clear" w:color="auto" w:fill="FFFFFF"/>
        </w:rPr>
        <w:t xml:space="preserve"> </w:t>
      </w:r>
      <w:r w:rsidR="0083033C" w:rsidRPr="0083033C">
        <w:rPr>
          <w:i/>
          <w:shd w:val="clear" w:color="auto" w:fill="FFFFFF"/>
          <w:lang w:val="hr-BA"/>
        </w:rPr>
        <w:t>SIDE</w:t>
      </w:r>
      <w:r w:rsidR="00B92A85" w:rsidRPr="00295637">
        <w:rPr>
          <w:shd w:val="clear" w:color="auto" w:fill="FFFFFF"/>
        </w:rPr>
        <w:t xml:space="preserve">. </w:t>
      </w:r>
      <w:r>
        <w:rPr>
          <w:shd w:val="clear" w:color="auto" w:fill="FFFFFF"/>
        </w:rPr>
        <w:t>АР</w:t>
      </w:r>
      <w:r w:rsidR="0083033C">
        <w:rPr>
          <w:shd w:val="clear" w:color="auto" w:fill="FFFFFF"/>
          <w:lang w:val="sr-Cyrl-BA"/>
        </w:rPr>
        <w:t>П</w:t>
      </w:r>
      <w:r w:rsidR="003A2305">
        <w:rPr>
          <w:shd w:val="clear" w:color="auto" w:fill="FFFFFF"/>
        </w:rPr>
        <w:t xml:space="preserve"> </w:t>
      </w:r>
      <w:r>
        <w:rPr>
          <w:shd w:val="clear" w:color="auto" w:fill="FFFFFF"/>
        </w:rPr>
        <w:t>БиХ</w:t>
      </w:r>
      <w:r w:rsidR="003A2305">
        <w:rPr>
          <w:shd w:val="clear" w:color="auto" w:fill="FFFFFF"/>
        </w:rPr>
        <w:t xml:space="preserve"> </w:t>
      </w:r>
      <w:r>
        <w:rPr>
          <w:shd w:val="clear" w:color="auto" w:fill="FFFFFF"/>
        </w:rPr>
        <w:t>МЉПИ</w:t>
      </w:r>
      <w:r w:rsidR="003A2305">
        <w:rPr>
          <w:shd w:val="clear" w:color="auto" w:fill="FFFFFF"/>
        </w:rPr>
        <w:t xml:space="preserve"> </w:t>
      </w:r>
      <w:r>
        <w:rPr>
          <w:shd w:val="clear" w:color="auto" w:fill="FFFFFF"/>
        </w:rPr>
        <w:t>БиХ</w:t>
      </w:r>
      <w:r w:rsidR="00062436">
        <w:rPr>
          <w:shd w:val="clear" w:color="auto" w:fill="FFFFFF"/>
        </w:rPr>
        <w:t xml:space="preserve"> </w:t>
      </w:r>
      <w:r>
        <w:rPr>
          <w:shd w:val="clear" w:color="auto" w:fill="FFFFFF"/>
        </w:rPr>
        <w:t>је</w:t>
      </w:r>
      <w:r w:rsidR="003A2305">
        <w:rPr>
          <w:shd w:val="clear" w:color="auto" w:fill="FFFFFF"/>
        </w:rPr>
        <w:t xml:space="preserve"> </w:t>
      </w:r>
      <w:r w:rsidR="00E738A0">
        <w:rPr>
          <w:shd w:val="clear" w:color="auto" w:fill="FFFFFF"/>
        </w:rPr>
        <w:t xml:space="preserve">дала </w:t>
      </w:r>
      <w:r>
        <w:rPr>
          <w:shd w:val="clear" w:color="auto" w:fill="FFFFFF"/>
        </w:rPr>
        <w:t>допринос</w:t>
      </w:r>
      <w:r w:rsidR="00062436">
        <w:rPr>
          <w:shd w:val="clear" w:color="auto" w:fill="FFFFFF"/>
        </w:rPr>
        <w:t xml:space="preserve"> </w:t>
      </w:r>
      <w:r>
        <w:rPr>
          <w:shd w:val="clear" w:color="auto" w:fill="FFFFFF"/>
        </w:rPr>
        <w:t>дискусији</w:t>
      </w:r>
      <w:r w:rsidR="00062436">
        <w:rPr>
          <w:shd w:val="clear" w:color="auto" w:fill="FFFFFF"/>
        </w:rPr>
        <w:t xml:space="preserve"> </w:t>
      </w:r>
      <w:r>
        <w:rPr>
          <w:shd w:val="clear" w:color="auto" w:fill="FFFFFF"/>
        </w:rPr>
        <w:t>у</w:t>
      </w:r>
      <w:r w:rsidR="00D139B5">
        <w:rPr>
          <w:shd w:val="clear" w:color="auto" w:fill="FFFFFF"/>
        </w:rPr>
        <w:t xml:space="preserve"> </w:t>
      </w:r>
      <w:r>
        <w:rPr>
          <w:shd w:val="clear" w:color="auto" w:fill="FFFFFF"/>
        </w:rPr>
        <w:t>којој</w:t>
      </w:r>
      <w:r w:rsidR="00D139B5">
        <w:rPr>
          <w:shd w:val="clear" w:color="auto" w:fill="FFFFFF"/>
        </w:rPr>
        <w:t xml:space="preserve"> </w:t>
      </w:r>
      <w:r>
        <w:rPr>
          <w:shd w:val="clear" w:color="auto" w:fill="FFFFFF"/>
        </w:rPr>
        <w:t>је</w:t>
      </w:r>
      <w:r w:rsidR="00D139B5">
        <w:rPr>
          <w:shd w:val="clear" w:color="auto" w:fill="FFFFFF"/>
        </w:rPr>
        <w:t xml:space="preserve">, </w:t>
      </w:r>
      <w:r>
        <w:rPr>
          <w:shd w:val="clear" w:color="auto" w:fill="FFFFFF"/>
        </w:rPr>
        <w:t>поред</w:t>
      </w:r>
      <w:r w:rsidR="00D139B5">
        <w:rPr>
          <w:shd w:val="clear" w:color="auto" w:fill="FFFFFF"/>
        </w:rPr>
        <w:t xml:space="preserve"> </w:t>
      </w:r>
      <w:r>
        <w:rPr>
          <w:shd w:val="clear" w:color="auto" w:fill="FFFFFF"/>
        </w:rPr>
        <w:t>осталог</w:t>
      </w:r>
      <w:r w:rsidR="00D139B5">
        <w:rPr>
          <w:shd w:val="clear" w:color="auto" w:fill="FFFFFF"/>
        </w:rPr>
        <w:t xml:space="preserve">, </w:t>
      </w:r>
      <w:r>
        <w:rPr>
          <w:shd w:val="clear" w:color="auto" w:fill="FFFFFF"/>
        </w:rPr>
        <w:t>предложила</w:t>
      </w:r>
      <w:r w:rsidR="00D139B5">
        <w:rPr>
          <w:shd w:val="clear" w:color="auto" w:fill="FFFFFF"/>
        </w:rPr>
        <w:t xml:space="preserve"> </w:t>
      </w:r>
      <w:r>
        <w:rPr>
          <w:shd w:val="clear" w:color="auto" w:fill="FFFFFF"/>
        </w:rPr>
        <w:t>укључење</w:t>
      </w:r>
      <w:r w:rsidR="00D139B5">
        <w:rPr>
          <w:shd w:val="clear" w:color="auto" w:fill="FFFFFF"/>
        </w:rPr>
        <w:t xml:space="preserve"> </w:t>
      </w:r>
      <w:r>
        <w:rPr>
          <w:shd w:val="clear" w:color="auto" w:fill="FFFFFF"/>
        </w:rPr>
        <w:t>аспекта</w:t>
      </w:r>
      <w:r w:rsidR="00D139B5">
        <w:rPr>
          <w:shd w:val="clear" w:color="auto" w:fill="FFFFFF"/>
        </w:rPr>
        <w:t xml:space="preserve"> </w:t>
      </w:r>
      <w:r>
        <w:rPr>
          <w:shd w:val="clear" w:color="auto" w:fill="FFFFFF"/>
          <w:lang w:val="hr-HR"/>
        </w:rPr>
        <w:t>различитих</w:t>
      </w:r>
      <w:r w:rsidR="00D139B5" w:rsidRPr="006820FB">
        <w:rPr>
          <w:shd w:val="clear" w:color="auto" w:fill="FFFFFF"/>
          <w:lang w:val="hr-HR"/>
        </w:rPr>
        <w:t xml:space="preserve"> </w:t>
      </w:r>
      <w:r>
        <w:rPr>
          <w:shd w:val="clear" w:color="auto" w:fill="FFFFFF"/>
          <w:lang w:val="hr-HR"/>
        </w:rPr>
        <w:t>енергетским</w:t>
      </w:r>
      <w:r w:rsidR="007908F1" w:rsidRPr="006820FB">
        <w:rPr>
          <w:shd w:val="clear" w:color="auto" w:fill="FFFFFF"/>
          <w:lang w:val="hr-HR"/>
        </w:rPr>
        <w:t xml:space="preserve"> </w:t>
      </w:r>
      <w:r>
        <w:rPr>
          <w:shd w:val="clear" w:color="auto" w:fill="FFFFFF"/>
          <w:lang w:val="hr-HR"/>
        </w:rPr>
        <w:t>потреба</w:t>
      </w:r>
      <w:r w:rsidR="007908F1" w:rsidRPr="006820FB">
        <w:rPr>
          <w:shd w:val="clear" w:color="auto" w:fill="FFFFFF"/>
          <w:lang w:val="hr-HR"/>
        </w:rPr>
        <w:t xml:space="preserve"> </w:t>
      </w:r>
      <w:r>
        <w:rPr>
          <w:shd w:val="clear" w:color="auto" w:fill="FFFFFF"/>
          <w:lang w:val="hr-HR"/>
        </w:rPr>
        <w:t>мушкараца</w:t>
      </w:r>
      <w:r w:rsidR="007908F1" w:rsidRPr="006820FB">
        <w:rPr>
          <w:shd w:val="clear" w:color="auto" w:fill="FFFFFF"/>
          <w:lang w:val="hr-HR"/>
        </w:rPr>
        <w:t xml:space="preserve"> </w:t>
      </w:r>
      <w:r>
        <w:rPr>
          <w:shd w:val="clear" w:color="auto" w:fill="FFFFFF"/>
          <w:lang w:val="hr-HR"/>
        </w:rPr>
        <w:t>и</w:t>
      </w:r>
      <w:r w:rsidR="007908F1" w:rsidRPr="006820FB">
        <w:rPr>
          <w:shd w:val="clear" w:color="auto" w:fill="FFFFFF"/>
          <w:lang w:val="hr-HR"/>
        </w:rPr>
        <w:t xml:space="preserve"> </w:t>
      </w:r>
      <w:r>
        <w:rPr>
          <w:shd w:val="clear" w:color="auto" w:fill="FFFFFF"/>
          <w:lang w:val="hr-HR"/>
        </w:rPr>
        <w:t>жена</w:t>
      </w:r>
      <w:r w:rsidR="007908F1" w:rsidRPr="006820FB">
        <w:rPr>
          <w:shd w:val="clear" w:color="auto" w:fill="FFFFFF"/>
          <w:lang w:val="hr-HR"/>
        </w:rPr>
        <w:t xml:space="preserve">, </w:t>
      </w:r>
      <w:r>
        <w:rPr>
          <w:shd w:val="clear" w:color="auto" w:fill="FFFFFF"/>
          <w:lang w:val="hr-HR"/>
        </w:rPr>
        <w:t>улози</w:t>
      </w:r>
      <w:r w:rsidR="00D139B5" w:rsidRPr="006820FB">
        <w:rPr>
          <w:shd w:val="clear" w:color="auto" w:fill="FFFFFF"/>
          <w:lang w:val="hr-HR"/>
        </w:rPr>
        <w:t xml:space="preserve"> </w:t>
      </w:r>
      <w:r>
        <w:rPr>
          <w:shd w:val="clear" w:color="auto" w:fill="FFFFFF"/>
          <w:lang w:val="hr-HR"/>
        </w:rPr>
        <w:t>пола</w:t>
      </w:r>
      <w:r w:rsidR="007908F1" w:rsidRPr="006820FB">
        <w:rPr>
          <w:shd w:val="clear" w:color="auto" w:fill="FFFFFF"/>
          <w:lang w:val="hr-HR"/>
        </w:rPr>
        <w:t xml:space="preserve"> </w:t>
      </w:r>
      <w:r>
        <w:rPr>
          <w:shd w:val="clear" w:color="auto" w:fill="FFFFFF"/>
          <w:lang w:val="hr-HR"/>
        </w:rPr>
        <w:t>у</w:t>
      </w:r>
      <w:r w:rsidR="007908F1" w:rsidRPr="006820FB">
        <w:rPr>
          <w:shd w:val="clear" w:color="auto" w:fill="FFFFFF"/>
          <w:lang w:val="hr-HR"/>
        </w:rPr>
        <w:t xml:space="preserve"> </w:t>
      </w:r>
      <w:r>
        <w:rPr>
          <w:shd w:val="clear" w:color="auto" w:fill="FFFFFF"/>
          <w:lang w:val="hr-HR"/>
        </w:rPr>
        <w:t>доношењу</w:t>
      </w:r>
      <w:r w:rsidR="007908F1" w:rsidRPr="006820FB">
        <w:rPr>
          <w:shd w:val="clear" w:color="auto" w:fill="FFFFFF"/>
          <w:lang w:val="hr-HR"/>
        </w:rPr>
        <w:t xml:space="preserve"> </w:t>
      </w:r>
      <w:r>
        <w:rPr>
          <w:shd w:val="clear" w:color="auto" w:fill="FFFFFF"/>
          <w:lang w:val="hr-HR"/>
        </w:rPr>
        <w:t>одлука</w:t>
      </w:r>
      <w:r w:rsidR="007908F1" w:rsidRPr="006820FB">
        <w:rPr>
          <w:shd w:val="clear" w:color="auto" w:fill="FFFFFF"/>
          <w:lang w:val="hr-HR"/>
        </w:rPr>
        <w:t xml:space="preserve"> </w:t>
      </w:r>
      <w:r>
        <w:rPr>
          <w:shd w:val="clear" w:color="auto" w:fill="FFFFFF"/>
          <w:lang w:val="hr-HR"/>
        </w:rPr>
        <w:t>у</w:t>
      </w:r>
      <w:r w:rsidR="007908F1" w:rsidRPr="006820FB">
        <w:rPr>
          <w:shd w:val="clear" w:color="auto" w:fill="FFFFFF"/>
          <w:lang w:val="hr-HR"/>
        </w:rPr>
        <w:t xml:space="preserve"> </w:t>
      </w:r>
      <w:r>
        <w:rPr>
          <w:shd w:val="clear" w:color="auto" w:fill="FFFFFF"/>
          <w:lang w:val="hr-HR"/>
        </w:rPr>
        <w:t>домаћинству</w:t>
      </w:r>
      <w:r w:rsidR="007908F1" w:rsidRPr="006820FB">
        <w:rPr>
          <w:shd w:val="clear" w:color="auto" w:fill="FFFFFF"/>
          <w:lang w:val="hr-HR"/>
        </w:rPr>
        <w:t xml:space="preserve"> </w:t>
      </w:r>
      <w:r>
        <w:rPr>
          <w:shd w:val="clear" w:color="auto" w:fill="FFFFFF"/>
          <w:lang w:val="hr-HR"/>
        </w:rPr>
        <w:t>о</w:t>
      </w:r>
      <w:r w:rsidR="007908F1" w:rsidRPr="006820FB">
        <w:rPr>
          <w:shd w:val="clear" w:color="auto" w:fill="FFFFFF"/>
          <w:lang w:val="hr-HR"/>
        </w:rPr>
        <w:t xml:space="preserve"> </w:t>
      </w:r>
      <w:r>
        <w:rPr>
          <w:shd w:val="clear" w:color="auto" w:fill="FFFFFF"/>
          <w:lang w:val="hr-HR"/>
        </w:rPr>
        <w:t>енергији</w:t>
      </w:r>
      <w:r w:rsidR="007908F1" w:rsidRPr="006820FB">
        <w:rPr>
          <w:shd w:val="clear" w:color="auto" w:fill="FFFFFF"/>
          <w:lang w:val="hr-HR"/>
        </w:rPr>
        <w:t xml:space="preserve">, </w:t>
      </w:r>
      <w:r>
        <w:rPr>
          <w:shd w:val="clear" w:color="auto" w:fill="FFFFFF"/>
          <w:lang w:val="hr-HR"/>
        </w:rPr>
        <w:t>родно</w:t>
      </w:r>
      <w:r w:rsidR="007908F1" w:rsidRPr="006820FB">
        <w:rPr>
          <w:shd w:val="clear" w:color="auto" w:fill="FFFFFF"/>
          <w:lang w:val="hr-HR"/>
        </w:rPr>
        <w:t xml:space="preserve"> </w:t>
      </w:r>
      <w:r>
        <w:rPr>
          <w:shd w:val="clear" w:color="auto" w:fill="FFFFFF"/>
          <w:lang w:val="hr-HR"/>
        </w:rPr>
        <w:t>специфичној</w:t>
      </w:r>
      <w:r w:rsidR="007908F1" w:rsidRPr="006820FB">
        <w:rPr>
          <w:shd w:val="clear" w:color="auto" w:fill="FFFFFF"/>
          <w:lang w:val="hr-HR"/>
        </w:rPr>
        <w:t xml:space="preserve"> </w:t>
      </w:r>
      <w:r>
        <w:rPr>
          <w:shd w:val="clear" w:color="auto" w:fill="FFFFFF"/>
          <w:lang w:val="hr-HR"/>
        </w:rPr>
        <w:t>рањивости</w:t>
      </w:r>
      <w:r w:rsidR="007908F1" w:rsidRPr="006820FB">
        <w:rPr>
          <w:shd w:val="clear" w:color="auto" w:fill="FFFFFF"/>
          <w:lang w:val="hr-HR"/>
        </w:rPr>
        <w:t xml:space="preserve"> </w:t>
      </w:r>
      <w:r>
        <w:rPr>
          <w:shd w:val="clear" w:color="auto" w:fill="FFFFFF"/>
          <w:lang w:val="hr-HR"/>
        </w:rPr>
        <w:t>у</w:t>
      </w:r>
      <w:r w:rsidR="007908F1" w:rsidRPr="006820FB">
        <w:rPr>
          <w:shd w:val="clear" w:color="auto" w:fill="FFFFFF"/>
          <w:lang w:val="hr-HR"/>
        </w:rPr>
        <w:t xml:space="preserve"> </w:t>
      </w:r>
      <w:r w:rsidR="0083033C">
        <w:rPr>
          <w:shd w:val="clear" w:color="auto" w:fill="FFFFFF"/>
          <w:lang w:val="sr-Cyrl-BA"/>
        </w:rPr>
        <w:t>спровођењу</w:t>
      </w:r>
      <w:r w:rsidR="007908F1" w:rsidRPr="006820FB">
        <w:rPr>
          <w:shd w:val="clear" w:color="auto" w:fill="FFFFFF"/>
          <w:lang w:val="hr-HR"/>
        </w:rPr>
        <w:t xml:space="preserve"> </w:t>
      </w:r>
      <w:r>
        <w:rPr>
          <w:shd w:val="clear" w:color="auto" w:fill="FFFFFF"/>
          <w:lang w:val="hr-HR"/>
        </w:rPr>
        <w:t>мјера</w:t>
      </w:r>
      <w:r w:rsidR="007908F1" w:rsidRPr="006820FB">
        <w:rPr>
          <w:shd w:val="clear" w:color="auto" w:fill="FFFFFF"/>
          <w:lang w:val="hr-HR"/>
        </w:rPr>
        <w:t xml:space="preserve"> </w:t>
      </w:r>
      <w:r>
        <w:rPr>
          <w:shd w:val="clear" w:color="auto" w:fill="FFFFFF"/>
          <w:lang w:val="hr-HR"/>
        </w:rPr>
        <w:t>социјалне</w:t>
      </w:r>
      <w:r w:rsidR="007908F1" w:rsidRPr="006820FB">
        <w:rPr>
          <w:shd w:val="clear" w:color="auto" w:fill="FFFFFF"/>
          <w:lang w:val="hr-HR"/>
        </w:rPr>
        <w:t xml:space="preserve"> </w:t>
      </w:r>
      <w:r>
        <w:rPr>
          <w:shd w:val="clear" w:color="auto" w:fill="FFFFFF"/>
          <w:lang w:val="hr-HR"/>
        </w:rPr>
        <w:t>заштите</w:t>
      </w:r>
      <w:r w:rsidR="005F19F7" w:rsidRPr="006820FB">
        <w:rPr>
          <w:shd w:val="clear" w:color="auto" w:fill="FFFFFF"/>
          <w:lang w:val="hr-HR"/>
        </w:rPr>
        <w:t xml:space="preserve"> </w:t>
      </w:r>
      <w:r>
        <w:rPr>
          <w:shd w:val="clear" w:color="auto" w:fill="FFFFFF"/>
          <w:lang w:val="hr-HR"/>
        </w:rPr>
        <w:t>и</w:t>
      </w:r>
      <w:r w:rsidR="007908F1" w:rsidRPr="006820FB">
        <w:rPr>
          <w:shd w:val="clear" w:color="auto" w:fill="FFFFFF"/>
          <w:lang w:val="hr-HR"/>
        </w:rPr>
        <w:t xml:space="preserve"> </w:t>
      </w:r>
      <w:r>
        <w:rPr>
          <w:shd w:val="clear" w:color="auto" w:fill="FFFFFF"/>
          <w:lang w:val="hr-HR"/>
        </w:rPr>
        <w:t>разумијевању</w:t>
      </w:r>
      <w:r w:rsidR="007908F1" w:rsidRPr="006820FB">
        <w:rPr>
          <w:shd w:val="clear" w:color="auto" w:fill="FFFFFF"/>
          <w:lang w:val="hr-HR"/>
        </w:rPr>
        <w:t xml:space="preserve"> </w:t>
      </w:r>
      <w:r>
        <w:rPr>
          <w:shd w:val="clear" w:color="auto" w:fill="FFFFFF"/>
          <w:lang w:val="hr-HR"/>
        </w:rPr>
        <w:t>различитих</w:t>
      </w:r>
      <w:r w:rsidR="007908F1" w:rsidRPr="006820FB">
        <w:rPr>
          <w:shd w:val="clear" w:color="auto" w:fill="FFFFFF"/>
          <w:lang w:val="hr-HR"/>
        </w:rPr>
        <w:t xml:space="preserve"> </w:t>
      </w:r>
      <w:r>
        <w:rPr>
          <w:shd w:val="clear" w:color="auto" w:fill="FFFFFF"/>
          <w:lang w:val="hr-HR"/>
        </w:rPr>
        <w:t>лица</w:t>
      </w:r>
      <w:r w:rsidR="007908F1" w:rsidRPr="006820FB">
        <w:rPr>
          <w:shd w:val="clear" w:color="auto" w:fill="FFFFFF"/>
          <w:lang w:val="hr-HR"/>
        </w:rPr>
        <w:t xml:space="preserve"> </w:t>
      </w:r>
      <w:r>
        <w:rPr>
          <w:shd w:val="clear" w:color="auto" w:fill="FFFFFF"/>
          <w:lang w:val="hr-HR"/>
        </w:rPr>
        <w:t>енергетског</w:t>
      </w:r>
      <w:r w:rsidR="007908F1" w:rsidRPr="006820FB">
        <w:rPr>
          <w:shd w:val="clear" w:color="auto" w:fill="FFFFFF"/>
          <w:lang w:val="hr-HR"/>
        </w:rPr>
        <w:t xml:space="preserve"> </w:t>
      </w:r>
      <w:r>
        <w:rPr>
          <w:shd w:val="clear" w:color="auto" w:fill="FFFFFF"/>
          <w:lang w:val="hr-HR"/>
        </w:rPr>
        <w:t>сиромаштва</w:t>
      </w:r>
      <w:r w:rsidR="007908F1" w:rsidRPr="006820FB">
        <w:rPr>
          <w:shd w:val="clear" w:color="auto" w:fill="FFFFFF"/>
          <w:lang w:val="hr-HR"/>
        </w:rPr>
        <w:t xml:space="preserve">. </w:t>
      </w:r>
    </w:p>
    <w:p w:rsidR="0086268D" w:rsidRPr="006820FB" w:rsidRDefault="0086268D" w:rsidP="0086268D">
      <w:pPr>
        <w:pStyle w:val="NormalWeb"/>
        <w:spacing w:before="0" w:beforeAutospacing="0" w:after="0" w:afterAutospacing="0"/>
        <w:jc w:val="both"/>
        <w:rPr>
          <w:shd w:val="clear" w:color="auto" w:fill="FFFFFF"/>
          <w:lang w:val="hr-HR"/>
        </w:rPr>
      </w:pPr>
    </w:p>
    <w:p w:rsidR="003F792F" w:rsidRDefault="00C6214E" w:rsidP="0086268D">
      <w:pPr>
        <w:pStyle w:val="NormalWeb"/>
        <w:spacing w:before="0" w:beforeAutospacing="0" w:after="0" w:afterAutospacing="0"/>
        <w:jc w:val="both"/>
        <w:rPr>
          <w:color w:val="FF0000"/>
          <w:shd w:val="clear" w:color="auto" w:fill="FFFFFF"/>
        </w:rPr>
      </w:pPr>
      <w:r>
        <w:rPr>
          <w:shd w:val="clear" w:color="auto" w:fill="FFFFFF"/>
        </w:rPr>
        <w:t>У</w:t>
      </w:r>
      <w:r w:rsidR="00D37F84" w:rsidRPr="00295637">
        <w:rPr>
          <w:shd w:val="clear" w:color="auto" w:fill="FFFFFF"/>
        </w:rPr>
        <w:t xml:space="preserve"> </w:t>
      </w:r>
      <w:r>
        <w:rPr>
          <w:shd w:val="clear" w:color="auto" w:fill="FFFFFF"/>
        </w:rPr>
        <w:t>априлу</w:t>
      </w:r>
      <w:r w:rsidR="00D37F84" w:rsidRPr="00295637">
        <w:rPr>
          <w:shd w:val="clear" w:color="auto" w:fill="FFFFFF"/>
        </w:rPr>
        <w:t xml:space="preserve"> 2024</w:t>
      </w:r>
      <w:r w:rsidR="005806C5" w:rsidRPr="00295637">
        <w:rPr>
          <w:shd w:val="clear" w:color="auto" w:fill="FFFFFF"/>
        </w:rPr>
        <w:t xml:space="preserve">, </w:t>
      </w:r>
      <w:r>
        <w:rPr>
          <w:shd w:val="clear" w:color="auto" w:fill="FFFFFF"/>
        </w:rPr>
        <w:t>АР</w:t>
      </w:r>
      <w:r w:rsidR="0083033C">
        <w:rPr>
          <w:shd w:val="clear" w:color="auto" w:fill="FFFFFF"/>
          <w:lang w:val="sr-Cyrl-BA"/>
        </w:rPr>
        <w:t>П</w:t>
      </w:r>
      <w:r w:rsidR="003A2305">
        <w:rPr>
          <w:shd w:val="clear" w:color="auto" w:fill="FFFFFF"/>
        </w:rPr>
        <w:t xml:space="preserve"> </w:t>
      </w:r>
      <w:r>
        <w:rPr>
          <w:shd w:val="clear" w:color="auto" w:fill="FFFFFF"/>
        </w:rPr>
        <w:t>БиХ</w:t>
      </w:r>
      <w:r w:rsidR="003A2305">
        <w:rPr>
          <w:shd w:val="clear" w:color="auto" w:fill="FFFFFF"/>
        </w:rPr>
        <w:t xml:space="preserve"> </w:t>
      </w:r>
      <w:r>
        <w:rPr>
          <w:shd w:val="clear" w:color="auto" w:fill="FFFFFF"/>
        </w:rPr>
        <w:t>МЉПИ</w:t>
      </w:r>
      <w:r w:rsidR="003A2305">
        <w:rPr>
          <w:shd w:val="clear" w:color="auto" w:fill="FFFFFF"/>
        </w:rPr>
        <w:t xml:space="preserve"> </w:t>
      </w:r>
      <w:r>
        <w:rPr>
          <w:shd w:val="clear" w:color="auto" w:fill="FFFFFF"/>
        </w:rPr>
        <w:t>БиХ</w:t>
      </w:r>
      <w:r w:rsidR="00875888" w:rsidRPr="00295637">
        <w:rPr>
          <w:shd w:val="clear" w:color="auto" w:fill="FFFFFF"/>
        </w:rPr>
        <w:t xml:space="preserve"> </w:t>
      </w:r>
      <w:r>
        <w:rPr>
          <w:shd w:val="clear" w:color="auto" w:fill="FFFFFF"/>
        </w:rPr>
        <w:t>је</w:t>
      </w:r>
      <w:r w:rsidR="003A2305" w:rsidRPr="00295637">
        <w:rPr>
          <w:shd w:val="clear" w:color="auto" w:fill="FFFFFF"/>
        </w:rPr>
        <w:t xml:space="preserve"> </w:t>
      </w:r>
      <w:r w:rsidR="00E738A0">
        <w:rPr>
          <w:shd w:val="clear" w:color="auto" w:fill="FFFFFF"/>
        </w:rPr>
        <w:t>учествовала</w:t>
      </w:r>
      <w:r w:rsidR="00E738A0" w:rsidRPr="00295637">
        <w:rPr>
          <w:shd w:val="clear" w:color="auto" w:fill="FFFFFF"/>
        </w:rPr>
        <w:t xml:space="preserve"> </w:t>
      </w:r>
      <w:r>
        <w:rPr>
          <w:shd w:val="clear" w:color="auto" w:fill="FFFFFF"/>
        </w:rPr>
        <w:t>у</w:t>
      </w:r>
      <w:r w:rsidR="00875888" w:rsidRPr="00295637">
        <w:rPr>
          <w:shd w:val="clear" w:color="auto" w:fill="FFFFFF"/>
        </w:rPr>
        <w:t xml:space="preserve"> </w:t>
      </w:r>
      <w:r>
        <w:rPr>
          <w:shd w:val="clear" w:color="auto" w:fill="FFFFFF"/>
        </w:rPr>
        <w:t>раду</w:t>
      </w:r>
      <w:r w:rsidR="00875888" w:rsidRPr="00295637">
        <w:rPr>
          <w:shd w:val="clear" w:color="auto" w:fill="FFFFFF"/>
        </w:rPr>
        <w:t xml:space="preserve"> </w:t>
      </w:r>
      <w:r>
        <w:rPr>
          <w:shd w:val="clear" w:color="auto" w:fill="FFFFFF"/>
        </w:rPr>
        <w:t>конференције</w:t>
      </w:r>
      <w:r w:rsidR="00B92A85" w:rsidRPr="00295637">
        <w:rPr>
          <w:shd w:val="clear" w:color="auto" w:fill="FFFFFF"/>
        </w:rPr>
        <w:t xml:space="preserve"> </w:t>
      </w:r>
      <w:r>
        <w:rPr>
          <w:shd w:val="clear" w:color="auto" w:fill="FFFFFF"/>
        </w:rPr>
        <w:t>на</w:t>
      </w:r>
      <w:r w:rsidR="00B92A85" w:rsidRPr="00295637">
        <w:rPr>
          <w:shd w:val="clear" w:color="auto" w:fill="FFFFFF"/>
        </w:rPr>
        <w:t xml:space="preserve"> </w:t>
      </w:r>
      <w:r>
        <w:rPr>
          <w:shd w:val="clear" w:color="auto" w:fill="FFFFFF"/>
        </w:rPr>
        <w:t>тему</w:t>
      </w:r>
      <w:r w:rsidR="00B92A85" w:rsidRPr="00295637">
        <w:rPr>
          <w:shd w:val="clear" w:color="auto" w:fill="FFFFFF"/>
        </w:rPr>
        <w:t xml:space="preserve"> </w:t>
      </w:r>
      <w:r w:rsidR="003A2305">
        <w:rPr>
          <w:shd w:val="clear" w:color="auto" w:fill="FFFFFF"/>
        </w:rPr>
        <w:t>“</w:t>
      </w:r>
      <w:r>
        <w:rPr>
          <w:shd w:val="clear" w:color="auto" w:fill="FFFFFF"/>
        </w:rPr>
        <w:t>Утицај</w:t>
      </w:r>
      <w:r w:rsidR="00B92A85" w:rsidRPr="00295637">
        <w:rPr>
          <w:shd w:val="clear" w:color="auto" w:fill="FFFFFF"/>
        </w:rPr>
        <w:t xml:space="preserve"> </w:t>
      </w:r>
      <w:r>
        <w:rPr>
          <w:shd w:val="clear" w:color="auto" w:fill="FFFFFF"/>
        </w:rPr>
        <w:t>загађења</w:t>
      </w:r>
      <w:r w:rsidR="00B92A85" w:rsidRPr="00295637">
        <w:rPr>
          <w:shd w:val="clear" w:color="auto" w:fill="FFFFFF"/>
        </w:rPr>
        <w:t xml:space="preserve"> </w:t>
      </w:r>
      <w:r>
        <w:rPr>
          <w:shd w:val="clear" w:color="auto" w:fill="FFFFFF"/>
        </w:rPr>
        <w:t>на</w:t>
      </w:r>
      <w:r w:rsidR="00B92A85" w:rsidRPr="00295637">
        <w:rPr>
          <w:shd w:val="clear" w:color="auto" w:fill="FFFFFF"/>
        </w:rPr>
        <w:t xml:space="preserve"> </w:t>
      </w:r>
      <w:r>
        <w:rPr>
          <w:shd w:val="clear" w:color="auto" w:fill="FFFFFF"/>
        </w:rPr>
        <w:t>мушкарце</w:t>
      </w:r>
      <w:r w:rsidR="00B92A85" w:rsidRPr="00295637">
        <w:rPr>
          <w:shd w:val="clear" w:color="auto" w:fill="FFFFFF"/>
        </w:rPr>
        <w:t xml:space="preserve"> </w:t>
      </w:r>
      <w:r>
        <w:rPr>
          <w:shd w:val="clear" w:color="auto" w:fill="FFFFFF"/>
        </w:rPr>
        <w:t>и</w:t>
      </w:r>
      <w:r w:rsidR="00B92A85" w:rsidRPr="00295637">
        <w:rPr>
          <w:shd w:val="clear" w:color="auto" w:fill="FFFFFF"/>
        </w:rPr>
        <w:t xml:space="preserve"> </w:t>
      </w:r>
      <w:r>
        <w:rPr>
          <w:shd w:val="clear" w:color="auto" w:fill="FFFFFF"/>
        </w:rPr>
        <w:t>жене</w:t>
      </w:r>
      <w:r w:rsidR="003A2305">
        <w:rPr>
          <w:shd w:val="clear" w:color="auto" w:fill="FFFFFF"/>
        </w:rPr>
        <w:t>”</w:t>
      </w:r>
      <w:r w:rsidR="00D37F84" w:rsidRPr="00295637">
        <w:rPr>
          <w:shd w:val="clear" w:color="auto" w:fill="FFFFFF"/>
        </w:rPr>
        <w:t xml:space="preserve"> </w:t>
      </w:r>
      <w:r>
        <w:rPr>
          <w:shd w:val="clear" w:color="auto" w:fill="FFFFFF"/>
        </w:rPr>
        <w:t>која</w:t>
      </w:r>
      <w:r w:rsidR="00D37F84" w:rsidRPr="00295637">
        <w:rPr>
          <w:shd w:val="clear" w:color="auto" w:fill="FFFFFF"/>
        </w:rPr>
        <w:t xml:space="preserve"> </w:t>
      </w:r>
      <w:r>
        <w:rPr>
          <w:shd w:val="clear" w:color="auto" w:fill="FFFFFF"/>
        </w:rPr>
        <w:t>је</w:t>
      </w:r>
      <w:r w:rsidR="00D37F84" w:rsidRPr="00295637">
        <w:rPr>
          <w:shd w:val="clear" w:color="auto" w:fill="FFFFFF"/>
        </w:rPr>
        <w:t xml:space="preserve"> </w:t>
      </w:r>
      <w:r>
        <w:rPr>
          <w:shd w:val="clear" w:color="auto" w:fill="FFFFFF"/>
        </w:rPr>
        <w:t>одржана</w:t>
      </w:r>
      <w:r w:rsidR="00875888" w:rsidRPr="00295637">
        <w:rPr>
          <w:shd w:val="clear" w:color="auto" w:fill="FFFFFF"/>
        </w:rPr>
        <w:t xml:space="preserve"> </w:t>
      </w:r>
      <w:r>
        <w:rPr>
          <w:shd w:val="clear" w:color="auto" w:fill="FFFFFF"/>
        </w:rPr>
        <w:t>поводом</w:t>
      </w:r>
      <w:r w:rsidR="003F792F" w:rsidRPr="00295637">
        <w:rPr>
          <w:shd w:val="clear" w:color="auto" w:fill="FFFFFF"/>
        </w:rPr>
        <w:t xml:space="preserve"> </w:t>
      </w:r>
      <w:r>
        <w:rPr>
          <w:shd w:val="clear" w:color="auto" w:fill="FFFFFF"/>
        </w:rPr>
        <w:t>обиљежавања</w:t>
      </w:r>
      <w:r w:rsidR="003F792F" w:rsidRPr="00295637">
        <w:rPr>
          <w:shd w:val="clear" w:color="auto" w:fill="FFFFFF"/>
        </w:rPr>
        <w:t xml:space="preserve"> </w:t>
      </w:r>
      <w:r w:rsidR="00875888" w:rsidRPr="00295637">
        <w:rPr>
          <w:shd w:val="clear" w:color="auto" w:fill="FFFFFF"/>
        </w:rPr>
        <w:t>“</w:t>
      </w:r>
      <w:r>
        <w:rPr>
          <w:shd w:val="clear" w:color="auto" w:fill="FFFFFF"/>
        </w:rPr>
        <w:t>Дана</w:t>
      </w:r>
      <w:r w:rsidR="003F792F" w:rsidRPr="00295637">
        <w:rPr>
          <w:shd w:val="clear" w:color="auto" w:fill="FFFFFF"/>
        </w:rPr>
        <w:t xml:space="preserve"> </w:t>
      </w:r>
      <w:r>
        <w:rPr>
          <w:shd w:val="clear" w:color="auto" w:fill="FFFFFF"/>
        </w:rPr>
        <w:t>планете</w:t>
      </w:r>
      <w:r w:rsidR="003F792F" w:rsidRPr="00295637">
        <w:rPr>
          <w:shd w:val="clear" w:color="auto" w:fill="FFFFFF"/>
        </w:rPr>
        <w:t xml:space="preserve"> </w:t>
      </w:r>
      <w:r>
        <w:rPr>
          <w:shd w:val="clear" w:color="auto" w:fill="FFFFFF"/>
        </w:rPr>
        <w:t>земље</w:t>
      </w:r>
      <w:r w:rsidR="00875888" w:rsidRPr="00295637">
        <w:rPr>
          <w:shd w:val="clear" w:color="auto" w:fill="FFFFFF"/>
        </w:rPr>
        <w:t>”</w:t>
      </w:r>
      <w:r w:rsidR="00D13785" w:rsidRPr="00295637">
        <w:rPr>
          <w:shd w:val="clear" w:color="auto" w:fill="FFFFFF"/>
        </w:rPr>
        <w:t>,</w:t>
      </w:r>
      <w:r w:rsidR="00B92A85" w:rsidRPr="00295637">
        <w:rPr>
          <w:shd w:val="clear" w:color="auto" w:fill="FFFFFF"/>
        </w:rPr>
        <w:t xml:space="preserve"> </w:t>
      </w:r>
      <w:r>
        <w:rPr>
          <w:shd w:val="clear" w:color="auto" w:fill="FFFFFF"/>
        </w:rPr>
        <w:t>у</w:t>
      </w:r>
      <w:r w:rsidR="005806C5" w:rsidRPr="00295637">
        <w:rPr>
          <w:shd w:val="clear" w:color="auto" w:fill="FFFFFF"/>
        </w:rPr>
        <w:t xml:space="preserve"> </w:t>
      </w:r>
      <w:r>
        <w:rPr>
          <w:shd w:val="clear" w:color="auto" w:fill="FFFFFF"/>
        </w:rPr>
        <w:t>сарадњи</w:t>
      </w:r>
      <w:r w:rsidR="003A2305">
        <w:rPr>
          <w:shd w:val="clear" w:color="auto" w:fill="FFFFFF"/>
        </w:rPr>
        <w:t xml:space="preserve"> </w:t>
      </w:r>
      <w:r>
        <w:rPr>
          <w:shd w:val="clear" w:color="auto" w:fill="FFFFFF"/>
        </w:rPr>
        <w:t>са</w:t>
      </w:r>
      <w:r w:rsidR="005806C5" w:rsidRPr="00295637">
        <w:rPr>
          <w:shd w:val="clear" w:color="auto" w:fill="FFFFFF"/>
        </w:rPr>
        <w:t xml:space="preserve"> </w:t>
      </w:r>
      <w:r w:rsidR="0083033C" w:rsidRPr="0083033C">
        <w:rPr>
          <w:i/>
          <w:shd w:val="clear" w:color="auto" w:fill="FFFFFF"/>
          <w:lang w:val="hr-BA"/>
        </w:rPr>
        <w:t>UNDP</w:t>
      </w:r>
      <w:r w:rsidR="00D37F84" w:rsidRPr="00295637">
        <w:rPr>
          <w:shd w:val="clear" w:color="auto" w:fill="FFFFFF"/>
        </w:rPr>
        <w:t xml:space="preserve"> </w:t>
      </w:r>
      <w:r>
        <w:rPr>
          <w:shd w:val="clear" w:color="auto" w:fill="FFFFFF"/>
        </w:rPr>
        <w:t>И</w:t>
      </w:r>
      <w:r w:rsidR="00D37F84" w:rsidRPr="00295637">
        <w:rPr>
          <w:shd w:val="clear" w:color="auto" w:fill="FFFFFF"/>
        </w:rPr>
        <w:t xml:space="preserve"> </w:t>
      </w:r>
      <w:r>
        <w:rPr>
          <w:shd w:val="clear" w:color="auto" w:fill="FFFFFF"/>
        </w:rPr>
        <w:t>ЕУ</w:t>
      </w:r>
      <w:r w:rsidR="00B92A85" w:rsidRPr="00295637">
        <w:rPr>
          <w:shd w:val="clear" w:color="auto" w:fill="FFFFFF"/>
        </w:rPr>
        <w:t>.</w:t>
      </w:r>
      <w:r w:rsidR="005806C5" w:rsidRPr="00295637">
        <w:rPr>
          <w:shd w:val="clear" w:color="auto" w:fill="FFFFFF"/>
        </w:rPr>
        <w:t xml:space="preserve"> </w:t>
      </w:r>
      <w:r>
        <w:rPr>
          <w:shd w:val="clear" w:color="auto" w:fill="FFFFFF"/>
        </w:rPr>
        <w:t>Рад</w:t>
      </w:r>
      <w:r w:rsidR="003F792F" w:rsidRPr="00295637">
        <w:rPr>
          <w:shd w:val="clear" w:color="auto" w:fill="FFFFFF"/>
        </w:rPr>
        <w:t xml:space="preserve"> </w:t>
      </w:r>
      <w:r>
        <w:rPr>
          <w:shd w:val="clear" w:color="auto" w:fill="FFFFFF"/>
        </w:rPr>
        <w:t>је</w:t>
      </w:r>
      <w:r w:rsidR="003F792F" w:rsidRPr="00295637">
        <w:rPr>
          <w:shd w:val="clear" w:color="auto" w:fill="FFFFFF"/>
        </w:rPr>
        <w:t xml:space="preserve"> </w:t>
      </w:r>
      <w:r>
        <w:rPr>
          <w:shd w:val="clear" w:color="auto" w:fill="FFFFFF"/>
        </w:rPr>
        <w:t>био</w:t>
      </w:r>
      <w:r w:rsidR="005806C5" w:rsidRPr="00295637">
        <w:rPr>
          <w:shd w:val="clear" w:color="auto" w:fill="FFFFFF"/>
        </w:rPr>
        <w:t xml:space="preserve"> </w:t>
      </w:r>
      <w:r>
        <w:rPr>
          <w:shd w:val="clear" w:color="auto" w:fill="FFFFFF"/>
        </w:rPr>
        <w:t>организ</w:t>
      </w:r>
      <w:r w:rsidR="0083033C">
        <w:rPr>
          <w:shd w:val="clear" w:color="auto" w:fill="FFFFFF"/>
          <w:lang w:val="sr-Cyrl-BA"/>
        </w:rPr>
        <w:t>ован</w:t>
      </w:r>
      <w:r w:rsidR="003F792F" w:rsidRPr="00295637">
        <w:rPr>
          <w:shd w:val="clear" w:color="auto" w:fill="FFFFFF"/>
        </w:rPr>
        <w:t xml:space="preserve"> </w:t>
      </w:r>
      <w:r>
        <w:rPr>
          <w:shd w:val="clear" w:color="auto" w:fill="FFFFFF"/>
        </w:rPr>
        <w:t>кроз</w:t>
      </w:r>
      <w:r w:rsidR="003F792F" w:rsidRPr="00295637">
        <w:rPr>
          <w:shd w:val="clear" w:color="auto" w:fill="FFFFFF"/>
        </w:rPr>
        <w:t xml:space="preserve"> </w:t>
      </w:r>
      <w:r>
        <w:rPr>
          <w:shd w:val="clear" w:color="auto" w:fill="FFFFFF"/>
        </w:rPr>
        <w:t>панеле</w:t>
      </w:r>
      <w:r w:rsidR="003F792F" w:rsidRPr="00295637">
        <w:rPr>
          <w:shd w:val="clear" w:color="auto" w:fill="FFFFFF"/>
        </w:rPr>
        <w:t xml:space="preserve">: </w:t>
      </w:r>
      <w:r>
        <w:rPr>
          <w:shd w:val="clear" w:color="auto" w:fill="FFFFFF"/>
        </w:rPr>
        <w:t>Политике</w:t>
      </w:r>
      <w:r w:rsidR="003F792F" w:rsidRPr="00295637">
        <w:rPr>
          <w:shd w:val="clear" w:color="auto" w:fill="FFFFFF"/>
        </w:rPr>
        <w:t xml:space="preserve"> </w:t>
      </w:r>
      <w:r>
        <w:rPr>
          <w:shd w:val="clear" w:color="auto" w:fill="FFFFFF"/>
        </w:rPr>
        <w:t>и</w:t>
      </w:r>
      <w:r w:rsidR="003F792F" w:rsidRPr="00295637">
        <w:rPr>
          <w:shd w:val="clear" w:color="auto" w:fill="FFFFFF"/>
        </w:rPr>
        <w:t xml:space="preserve"> </w:t>
      </w:r>
      <w:r>
        <w:rPr>
          <w:shd w:val="clear" w:color="auto" w:fill="FFFFFF"/>
        </w:rPr>
        <w:t>стратегије</w:t>
      </w:r>
      <w:r w:rsidR="003F792F" w:rsidRPr="00295637">
        <w:rPr>
          <w:shd w:val="clear" w:color="auto" w:fill="FFFFFF"/>
        </w:rPr>
        <w:t xml:space="preserve"> </w:t>
      </w:r>
      <w:r>
        <w:rPr>
          <w:shd w:val="clear" w:color="auto" w:fill="FFFFFF"/>
        </w:rPr>
        <w:t>за</w:t>
      </w:r>
      <w:r w:rsidR="003F792F" w:rsidRPr="00295637">
        <w:rPr>
          <w:shd w:val="clear" w:color="auto" w:fill="FFFFFF"/>
        </w:rPr>
        <w:t xml:space="preserve"> </w:t>
      </w:r>
      <w:r>
        <w:rPr>
          <w:shd w:val="clear" w:color="auto" w:fill="FFFFFF"/>
        </w:rPr>
        <w:t>смањење</w:t>
      </w:r>
      <w:r w:rsidR="003F792F" w:rsidRPr="00295637">
        <w:rPr>
          <w:shd w:val="clear" w:color="auto" w:fill="FFFFFF"/>
        </w:rPr>
        <w:t xml:space="preserve"> </w:t>
      </w:r>
      <w:r>
        <w:rPr>
          <w:shd w:val="clear" w:color="auto" w:fill="FFFFFF"/>
        </w:rPr>
        <w:t>загађења</w:t>
      </w:r>
      <w:r w:rsidR="003F792F" w:rsidRPr="00295637">
        <w:rPr>
          <w:shd w:val="clear" w:color="auto" w:fill="FFFFFF"/>
        </w:rPr>
        <w:t xml:space="preserve">, </w:t>
      </w:r>
      <w:r>
        <w:rPr>
          <w:shd w:val="clear" w:color="auto" w:fill="FFFFFF"/>
        </w:rPr>
        <w:t>Кључне</w:t>
      </w:r>
      <w:r w:rsidR="003F792F" w:rsidRPr="00295637">
        <w:rPr>
          <w:shd w:val="clear" w:color="auto" w:fill="FFFFFF"/>
        </w:rPr>
        <w:t xml:space="preserve"> </w:t>
      </w:r>
      <w:r>
        <w:rPr>
          <w:shd w:val="clear" w:color="auto" w:fill="FFFFFF"/>
        </w:rPr>
        <w:t>тачке</w:t>
      </w:r>
      <w:r w:rsidR="003F792F" w:rsidRPr="00295637">
        <w:rPr>
          <w:shd w:val="clear" w:color="auto" w:fill="FFFFFF"/>
        </w:rPr>
        <w:t xml:space="preserve"> </w:t>
      </w:r>
      <w:r>
        <w:rPr>
          <w:shd w:val="clear" w:color="auto" w:fill="FFFFFF"/>
        </w:rPr>
        <w:t>притиска</w:t>
      </w:r>
      <w:r w:rsidR="003F792F" w:rsidRPr="00295637">
        <w:rPr>
          <w:shd w:val="clear" w:color="auto" w:fill="FFFFFF"/>
        </w:rPr>
        <w:t xml:space="preserve"> </w:t>
      </w:r>
      <w:r>
        <w:rPr>
          <w:shd w:val="clear" w:color="auto" w:fill="FFFFFF"/>
        </w:rPr>
        <w:t>за</w:t>
      </w:r>
      <w:r w:rsidR="003F792F" w:rsidRPr="00295637">
        <w:rPr>
          <w:shd w:val="clear" w:color="auto" w:fill="FFFFFF"/>
        </w:rPr>
        <w:t xml:space="preserve"> </w:t>
      </w:r>
      <w:r>
        <w:rPr>
          <w:shd w:val="clear" w:color="auto" w:fill="FFFFFF"/>
        </w:rPr>
        <w:t>позитиван</w:t>
      </w:r>
      <w:r w:rsidR="003F792F" w:rsidRPr="00295637">
        <w:rPr>
          <w:shd w:val="clear" w:color="auto" w:fill="FFFFFF"/>
        </w:rPr>
        <w:t xml:space="preserve"> </w:t>
      </w:r>
      <w:r>
        <w:rPr>
          <w:shd w:val="clear" w:color="auto" w:fill="FFFFFF"/>
        </w:rPr>
        <w:t>утицај</w:t>
      </w:r>
      <w:r w:rsidR="003F792F" w:rsidRPr="00295637">
        <w:rPr>
          <w:shd w:val="clear" w:color="auto" w:fill="FFFFFF"/>
        </w:rPr>
        <w:t xml:space="preserve">, </w:t>
      </w:r>
      <w:r>
        <w:rPr>
          <w:shd w:val="clear" w:color="auto" w:fill="FFFFFF"/>
        </w:rPr>
        <w:t>Успјешни</w:t>
      </w:r>
      <w:r w:rsidR="003F792F" w:rsidRPr="00295637">
        <w:rPr>
          <w:shd w:val="clear" w:color="auto" w:fill="FFFFFF"/>
        </w:rPr>
        <w:t xml:space="preserve"> </w:t>
      </w:r>
      <w:r>
        <w:rPr>
          <w:shd w:val="clear" w:color="auto" w:fill="FFFFFF"/>
        </w:rPr>
        <w:t>примјери</w:t>
      </w:r>
      <w:r w:rsidR="00B56350" w:rsidRPr="00295637">
        <w:rPr>
          <w:shd w:val="clear" w:color="auto" w:fill="FFFFFF"/>
        </w:rPr>
        <w:t xml:space="preserve"> </w:t>
      </w:r>
      <w:r>
        <w:rPr>
          <w:shd w:val="clear" w:color="auto" w:fill="FFFFFF"/>
        </w:rPr>
        <w:t>у</w:t>
      </w:r>
      <w:r w:rsidR="00B56350" w:rsidRPr="00295637">
        <w:rPr>
          <w:shd w:val="clear" w:color="auto" w:fill="FFFFFF"/>
        </w:rPr>
        <w:t xml:space="preserve"> </w:t>
      </w:r>
      <w:r>
        <w:rPr>
          <w:shd w:val="clear" w:color="auto" w:fill="FFFFFF"/>
        </w:rPr>
        <w:t>смањењу</w:t>
      </w:r>
      <w:r w:rsidR="00B56350" w:rsidRPr="00295637">
        <w:rPr>
          <w:shd w:val="clear" w:color="auto" w:fill="FFFFFF"/>
        </w:rPr>
        <w:t xml:space="preserve"> </w:t>
      </w:r>
      <w:r>
        <w:rPr>
          <w:shd w:val="clear" w:color="auto" w:fill="FFFFFF"/>
        </w:rPr>
        <w:t>загађења</w:t>
      </w:r>
      <w:r w:rsidR="003F792F" w:rsidRPr="00295637">
        <w:rPr>
          <w:shd w:val="clear" w:color="auto" w:fill="FFFFFF"/>
        </w:rPr>
        <w:t xml:space="preserve"> </w:t>
      </w:r>
      <w:r>
        <w:rPr>
          <w:shd w:val="clear" w:color="auto" w:fill="FFFFFF"/>
        </w:rPr>
        <w:t>органским</w:t>
      </w:r>
      <w:r w:rsidR="000A3E59" w:rsidRPr="00295637">
        <w:rPr>
          <w:shd w:val="clear" w:color="auto" w:fill="FFFFFF"/>
        </w:rPr>
        <w:t xml:space="preserve"> </w:t>
      </w:r>
      <w:r>
        <w:rPr>
          <w:shd w:val="clear" w:color="auto" w:fill="FFFFFF"/>
        </w:rPr>
        <w:t>загађујућим</w:t>
      </w:r>
      <w:r w:rsidR="000A3E59" w:rsidRPr="00295637">
        <w:rPr>
          <w:shd w:val="clear" w:color="auto" w:fill="FFFFFF"/>
        </w:rPr>
        <w:t xml:space="preserve"> </w:t>
      </w:r>
      <w:r>
        <w:rPr>
          <w:shd w:val="clear" w:color="auto" w:fill="FFFFFF"/>
        </w:rPr>
        <w:t>материјама</w:t>
      </w:r>
      <w:r w:rsidR="003F792F" w:rsidRPr="00295637">
        <w:rPr>
          <w:shd w:val="clear" w:color="auto" w:fill="FFFFFF"/>
        </w:rPr>
        <w:t xml:space="preserve">, </w:t>
      </w:r>
      <w:r>
        <w:rPr>
          <w:shd w:val="clear" w:color="auto" w:fill="FFFFFF"/>
        </w:rPr>
        <w:t>те</w:t>
      </w:r>
      <w:r w:rsidR="00B56350" w:rsidRPr="00295637">
        <w:rPr>
          <w:shd w:val="clear" w:color="auto" w:fill="FFFFFF"/>
        </w:rPr>
        <w:t xml:space="preserve"> </w:t>
      </w:r>
      <w:r>
        <w:rPr>
          <w:shd w:val="clear" w:color="auto" w:fill="FFFFFF"/>
        </w:rPr>
        <w:t>Примјер</w:t>
      </w:r>
      <w:r w:rsidR="003F792F" w:rsidRPr="00295637">
        <w:rPr>
          <w:shd w:val="clear" w:color="auto" w:fill="FFFFFF"/>
        </w:rPr>
        <w:t xml:space="preserve"> </w:t>
      </w:r>
      <w:r>
        <w:rPr>
          <w:shd w:val="clear" w:color="auto" w:fill="FFFFFF"/>
        </w:rPr>
        <w:t>управљања</w:t>
      </w:r>
      <w:r w:rsidR="003F792F" w:rsidRPr="00295637">
        <w:rPr>
          <w:shd w:val="clear" w:color="auto" w:fill="FFFFFF"/>
        </w:rPr>
        <w:t xml:space="preserve"> </w:t>
      </w:r>
      <w:r>
        <w:rPr>
          <w:shd w:val="clear" w:color="auto" w:fill="FFFFFF"/>
        </w:rPr>
        <w:t>пластичном</w:t>
      </w:r>
      <w:r w:rsidR="003F792F" w:rsidRPr="00295637">
        <w:rPr>
          <w:shd w:val="clear" w:color="auto" w:fill="FFFFFF"/>
        </w:rPr>
        <w:t xml:space="preserve"> </w:t>
      </w:r>
      <w:r>
        <w:rPr>
          <w:shd w:val="clear" w:color="auto" w:fill="FFFFFF"/>
        </w:rPr>
        <w:t>амбалажом</w:t>
      </w:r>
      <w:r w:rsidR="003F792F" w:rsidRPr="00295637">
        <w:rPr>
          <w:shd w:val="clear" w:color="auto" w:fill="FFFFFF"/>
        </w:rPr>
        <w:t xml:space="preserve"> </w:t>
      </w:r>
      <w:r>
        <w:rPr>
          <w:shd w:val="clear" w:color="auto" w:fill="FFFFFF"/>
        </w:rPr>
        <w:t>од</w:t>
      </w:r>
      <w:r w:rsidR="003F792F" w:rsidRPr="00295637">
        <w:rPr>
          <w:shd w:val="clear" w:color="auto" w:fill="FFFFFF"/>
        </w:rPr>
        <w:t xml:space="preserve"> </w:t>
      </w:r>
      <w:r>
        <w:rPr>
          <w:shd w:val="clear" w:color="auto" w:fill="FFFFFF"/>
        </w:rPr>
        <w:t>пестицида</w:t>
      </w:r>
      <w:r w:rsidR="003F792F" w:rsidRPr="00295637">
        <w:rPr>
          <w:color w:val="FF0000"/>
          <w:shd w:val="clear" w:color="auto" w:fill="FFFFFF"/>
        </w:rPr>
        <w:t>.</w:t>
      </w:r>
    </w:p>
    <w:p w:rsidR="0086268D" w:rsidRPr="00295637" w:rsidRDefault="0086268D" w:rsidP="0086268D">
      <w:pPr>
        <w:pStyle w:val="NormalWeb"/>
        <w:spacing w:before="0" w:beforeAutospacing="0" w:after="0" w:afterAutospacing="0"/>
        <w:jc w:val="both"/>
        <w:rPr>
          <w:shd w:val="clear" w:color="auto" w:fill="FFFFFF"/>
        </w:rPr>
      </w:pPr>
    </w:p>
    <w:p w:rsidR="00985C5F" w:rsidRPr="00820915" w:rsidRDefault="00C6214E" w:rsidP="00820915">
      <w:pPr>
        <w:pStyle w:val="NormalWeb"/>
        <w:spacing w:before="0" w:beforeAutospacing="0" w:after="0" w:afterAutospacing="0"/>
        <w:jc w:val="both"/>
        <w:rPr>
          <w:shd w:val="clear" w:color="auto" w:fill="FFFFFF"/>
          <w:lang w:val="hr-HR"/>
        </w:rPr>
      </w:pPr>
      <w:r>
        <w:rPr>
          <w:shd w:val="clear" w:color="auto" w:fill="FFFFFF"/>
          <w:lang w:val="hr-HR"/>
        </w:rPr>
        <w:t>Поред</w:t>
      </w:r>
      <w:r w:rsidR="00CE6219" w:rsidRPr="006820FB">
        <w:rPr>
          <w:shd w:val="clear" w:color="auto" w:fill="FFFFFF"/>
          <w:lang w:val="hr-HR"/>
        </w:rPr>
        <w:t xml:space="preserve"> </w:t>
      </w:r>
      <w:r>
        <w:rPr>
          <w:shd w:val="clear" w:color="auto" w:fill="FFFFFF"/>
          <w:lang w:val="hr-HR"/>
        </w:rPr>
        <w:t>тога</w:t>
      </w:r>
      <w:r w:rsidR="00CE6219" w:rsidRPr="006820FB">
        <w:rPr>
          <w:shd w:val="clear" w:color="auto" w:fill="FFFFFF"/>
          <w:lang w:val="hr-HR"/>
        </w:rPr>
        <w:t xml:space="preserve">, </w:t>
      </w:r>
      <w:r>
        <w:rPr>
          <w:shd w:val="clear" w:color="auto" w:fill="FFFFFF"/>
          <w:lang w:val="hr-HR"/>
        </w:rPr>
        <w:t>у</w:t>
      </w:r>
      <w:r w:rsidR="00CE6219" w:rsidRPr="006820FB">
        <w:rPr>
          <w:shd w:val="clear" w:color="auto" w:fill="FFFFFF"/>
          <w:lang w:val="hr-HR"/>
        </w:rPr>
        <w:t xml:space="preserve"> </w:t>
      </w:r>
      <w:r>
        <w:rPr>
          <w:shd w:val="clear" w:color="auto" w:fill="FFFFFF"/>
          <w:lang w:val="hr-HR"/>
        </w:rPr>
        <w:t>новембру</w:t>
      </w:r>
      <w:r w:rsidR="00CE6219" w:rsidRPr="006820FB">
        <w:rPr>
          <w:shd w:val="clear" w:color="auto" w:fill="FFFFFF"/>
          <w:lang w:val="hr-HR"/>
        </w:rPr>
        <w:t xml:space="preserve"> 2024. </w:t>
      </w:r>
      <w:r>
        <w:rPr>
          <w:shd w:val="clear" w:color="auto" w:fill="FFFFFF"/>
          <w:lang w:val="hr-HR"/>
        </w:rPr>
        <w:t>године</w:t>
      </w:r>
      <w:r w:rsidR="00CE6219" w:rsidRPr="006820FB">
        <w:rPr>
          <w:shd w:val="clear" w:color="auto" w:fill="FFFFFF"/>
          <w:lang w:val="hr-HR"/>
        </w:rPr>
        <w:t>,</w:t>
      </w:r>
      <w:r w:rsidR="00CE6219" w:rsidRPr="00295637">
        <w:rPr>
          <w:shd w:val="clear" w:color="auto" w:fill="FFFFFF"/>
        </w:rPr>
        <w:t xml:space="preserve"> </w:t>
      </w:r>
      <w:r>
        <w:rPr>
          <w:shd w:val="clear" w:color="auto" w:fill="FFFFFF"/>
        </w:rPr>
        <w:t>АР</w:t>
      </w:r>
      <w:r w:rsidR="0083033C">
        <w:rPr>
          <w:shd w:val="clear" w:color="auto" w:fill="FFFFFF"/>
          <w:lang w:val="sr-Cyrl-BA"/>
        </w:rPr>
        <w:t>П</w:t>
      </w:r>
      <w:r w:rsidR="003A2305">
        <w:rPr>
          <w:shd w:val="clear" w:color="auto" w:fill="FFFFFF"/>
        </w:rPr>
        <w:t xml:space="preserve"> </w:t>
      </w:r>
      <w:r>
        <w:rPr>
          <w:shd w:val="clear" w:color="auto" w:fill="FFFFFF"/>
        </w:rPr>
        <w:t>БиХ</w:t>
      </w:r>
      <w:r w:rsidR="003A2305">
        <w:rPr>
          <w:shd w:val="clear" w:color="auto" w:fill="FFFFFF"/>
        </w:rPr>
        <w:t xml:space="preserve"> </w:t>
      </w:r>
      <w:r>
        <w:rPr>
          <w:shd w:val="clear" w:color="auto" w:fill="FFFFFF"/>
        </w:rPr>
        <w:t>МЉПИ</w:t>
      </w:r>
      <w:r w:rsidR="003A2305">
        <w:rPr>
          <w:shd w:val="clear" w:color="auto" w:fill="FFFFFF"/>
        </w:rPr>
        <w:t xml:space="preserve"> </w:t>
      </w:r>
      <w:r>
        <w:rPr>
          <w:shd w:val="clear" w:color="auto" w:fill="FFFFFF"/>
        </w:rPr>
        <w:t>БиХ</w:t>
      </w:r>
      <w:r w:rsidR="00CE6219" w:rsidRPr="00295637">
        <w:rPr>
          <w:shd w:val="clear" w:color="auto" w:fill="FFFFFF"/>
        </w:rPr>
        <w:t xml:space="preserve"> </w:t>
      </w:r>
      <w:r>
        <w:rPr>
          <w:shd w:val="clear" w:color="auto" w:fill="FFFFFF"/>
        </w:rPr>
        <w:t>је</w:t>
      </w:r>
      <w:r w:rsidR="003A2305" w:rsidRPr="00295637">
        <w:rPr>
          <w:shd w:val="clear" w:color="auto" w:fill="FFFFFF"/>
        </w:rPr>
        <w:t xml:space="preserve"> </w:t>
      </w:r>
      <w:r w:rsidR="00E738A0">
        <w:rPr>
          <w:shd w:val="clear" w:color="auto" w:fill="FFFFFF"/>
        </w:rPr>
        <w:t>допринијела</w:t>
      </w:r>
      <w:r w:rsidR="00E738A0" w:rsidRPr="00295637">
        <w:rPr>
          <w:shd w:val="clear" w:color="auto" w:fill="FFFFFF"/>
        </w:rPr>
        <w:t xml:space="preserve"> </w:t>
      </w:r>
      <w:r>
        <w:rPr>
          <w:shd w:val="clear" w:color="auto" w:fill="FFFFFF"/>
        </w:rPr>
        <w:t>и</w:t>
      </w:r>
      <w:r w:rsidR="00CE6219" w:rsidRPr="00295637">
        <w:rPr>
          <w:shd w:val="clear" w:color="auto" w:fill="FFFFFF"/>
        </w:rPr>
        <w:t xml:space="preserve"> </w:t>
      </w:r>
      <w:r>
        <w:rPr>
          <w:shd w:val="clear" w:color="auto" w:fill="FFFFFF"/>
        </w:rPr>
        <w:t>дискусији</w:t>
      </w:r>
      <w:r w:rsidR="00CE6219" w:rsidRPr="00295637">
        <w:rPr>
          <w:shd w:val="clear" w:color="auto" w:fill="FFFFFF"/>
        </w:rPr>
        <w:t xml:space="preserve"> </w:t>
      </w:r>
      <w:r>
        <w:rPr>
          <w:shd w:val="clear" w:color="auto" w:fill="FFFFFF"/>
        </w:rPr>
        <w:t>у</w:t>
      </w:r>
      <w:r w:rsidR="00CE6219" w:rsidRPr="00295637">
        <w:rPr>
          <w:shd w:val="clear" w:color="auto" w:fill="FFFFFF"/>
        </w:rPr>
        <w:t xml:space="preserve"> </w:t>
      </w:r>
      <w:r>
        <w:rPr>
          <w:shd w:val="clear" w:color="auto" w:fill="FFFFFF"/>
        </w:rPr>
        <w:t>оквиру</w:t>
      </w:r>
      <w:r w:rsidR="00CE6219" w:rsidRPr="00295637">
        <w:rPr>
          <w:shd w:val="clear" w:color="auto" w:fill="FFFFFF"/>
        </w:rPr>
        <w:t xml:space="preserve"> </w:t>
      </w:r>
      <w:r>
        <w:rPr>
          <w:shd w:val="clear" w:color="auto" w:fill="FFFFFF"/>
        </w:rPr>
        <w:t>онл</w:t>
      </w:r>
      <w:r w:rsidR="0083033C">
        <w:rPr>
          <w:shd w:val="clear" w:color="auto" w:fill="FFFFFF"/>
          <w:lang w:val="sr-Cyrl-BA"/>
        </w:rPr>
        <w:t>ајн</w:t>
      </w:r>
      <w:r w:rsidR="003F792F" w:rsidRPr="00295637">
        <w:rPr>
          <w:shd w:val="clear" w:color="auto" w:fill="FFFFFF"/>
        </w:rPr>
        <w:t xml:space="preserve"> </w:t>
      </w:r>
      <w:r>
        <w:rPr>
          <w:shd w:val="clear" w:color="auto" w:fill="FFFFFF"/>
        </w:rPr>
        <w:t>фокус</w:t>
      </w:r>
      <w:r w:rsidR="003F792F" w:rsidRPr="00295637">
        <w:rPr>
          <w:shd w:val="clear" w:color="auto" w:fill="FFFFFF"/>
        </w:rPr>
        <w:t xml:space="preserve"> </w:t>
      </w:r>
      <w:r>
        <w:rPr>
          <w:shd w:val="clear" w:color="auto" w:fill="FFFFFF"/>
        </w:rPr>
        <w:t>групе</w:t>
      </w:r>
      <w:r w:rsidR="003F792F" w:rsidRPr="00295637">
        <w:rPr>
          <w:shd w:val="clear" w:color="auto" w:fill="FFFFFF"/>
        </w:rPr>
        <w:t xml:space="preserve"> </w:t>
      </w:r>
      <w:r>
        <w:rPr>
          <w:shd w:val="clear" w:color="auto" w:fill="FFFFFF"/>
        </w:rPr>
        <w:t>пројекта</w:t>
      </w:r>
      <w:r w:rsidR="003F792F" w:rsidRPr="00295637">
        <w:rPr>
          <w:shd w:val="clear" w:color="auto" w:fill="FFFFFF"/>
        </w:rPr>
        <w:t xml:space="preserve"> </w:t>
      </w:r>
      <w:r w:rsidR="00CE6219" w:rsidRPr="00295637">
        <w:rPr>
          <w:shd w:val="clear" w:color="auto" w:fill="FFFFFF"/>
        </w:rPr>
        <w:t>“</w:t>
      </w:r>
      <w:r w:rsidR="0083033C" w:rsidRPr="0083033C">
        <w:rPr>
          <w:i/>
          <w:iCs/>
          <w:shd w:val="clear" w:color="auto" w:fill="FFFFFF"/>
          <w:lang w:val="hr-BA"/>
        </w:rPr>
        <w:t>Women In eNergy – WIN</w:t>
      </w:r>
      <w:r w:rsidR="00CE6219" w:rsidRPr="00295637">
        <w:rPr>
          <w:shd w:val="clear" w:color="auto" w:fill="FFFFFF"/>
        </w:rPr>
        <w:t xml:space="preserve">”, </w:t>
      </w:r>
      <w:r>
        <w:rPr>
          <w:shd w:val="clear" w:color="auto" w:fill="FFFFFF"/>
        </w:rPr>
        <w:t>чији</w:t>
      </w:r>
      <w:r w:rsidR="00CE6219" w:rsidRPr="00295637">
        <w:rPr>
          <w:shd w:val="clear" w:color="auto" w:fill="FFFFFF"/>
        </w:rPr>
        <w:t xml:space="preserve"> </w:t>
      </w:r>
      <w:r>
        <w:rPr>
          <w:shd w:val="clear" w:color="auto" w:fill="FFFFFF"/>
        </w:rPr>
        <w:t>је</w:t>
      </w:r>
      <w:r w:rsidR="003F792F" w:rsidRPr="00295637">
        <w:rPr>
          <w:shd w:val="clear" w:color="auto" w:fill="FFFFFF"/>
        </w:rPr>
        <w:t xml:space="preserve"> </w:t>
      </w:r>
      <w:r>
        <w:rPr>
          <w:shd w:val="clear" w:color="auto" w:fill="FFFFFF"/>
        </w:rPr>
        <w:t>циљ</w:t>
      </w:r>
      <w:r w:rsidR="00A775A3" w:rsidRPr="00295637">
        <w:rPr>
          <w:shd w:val="clear" w:color="auto" w:fill="FFFFFF"/>
        </w:rPr>
        <w:t xml:space="preserve"> </w:t>
      </w:r>
      <w:r>
        <w:rPr>
          <w:shd w:val="clear" w:color="auto" w:fill="FFFFFF"/>
        </w:rPr>
        <w:t>оснажити</w:t>
      </w:r>
      <w:r w:rsidR="003F792F" w:rsidRPr="00295637">
        <w:rPr>
          <w:shd w:val="clear" w:color="auto" w:fill="FFFFFF"/>
        </w:rPr>
        <w:t xml:space="preserve"> </w:t>
      </w:r>
      <w:r>
        <w:rPr>
          <w:shd w:val="clear" w:color="auto" w:fill="FFFFFF"/>
        </w:rPr>
        <w:t>жене</w:t>
      </w:r>
      <w:r w:rsidR="003F792F" w:rsidRPr="00295637">
        <w:rPr>
          <w:shd w:val="clear" w:color="auto" w:fill="FFFFFF"/>
        </w:rPr>
        <w:t xml:space="preserve"> </w:t>
      </w:r>
      <w:r>
        <w:rPr>
          <w:shd w:val="clear" w:color="auto" w:fill="FFFFFF"/>
        </w:rPr>
        <w:t>у</w:t>
      </w:r>
      <w:r w:rsidR="003F792F" w:rsidRPr="00295637">
        <w:rPr>
          <w:shd w:val="clear" w:color="auto" w:fill="FFFFFF"/>
        </w:rPr>
        <w:t xml:space="preserve"> </w:t>
      </w:r>
      <w:r>
        <w:rPr>
          <w:shd w:val="clear" w:color="auto" w:fill="FFFFFF"/>
        </w:rPr>
        <w:t>енергетској</w:t>
      </w:r>
      <w:r w:rsidR="003F792F" w:rsidRPr="00295637">
        <w:rPr>
          <w:shd w:val="clear" w:color="auto" w:fill="FFFFFF"/>
        </w:rPr>
        <w:t xml:space="preserve"> </w:t>
      </w:r>
      <w:r>
        <w:rPr>
          <w:shd w:val="clear" w:color="auto" w:fill="FFFFFF"/>
        </w:rPr>
        <w:t>транзицији</w:t>
      </w:r>
      <w:r w:rsidR="003F792F" w:rsidRPr="00295637">
        <w:rPr>
          <w:shd w:val="clear" w:color="auto" w:fill="FFFFFF"/>
        </w:rPr>
        <w:t xml:space="preserve"> </w:t>
      </w:r>
      <w:r>
        <w:rPr>
          <w:shd w:val="clear" w:color="auto" w:fill="FFFFFF"/>
        </w:rPr>
        <w:t>кроз</w:t>
      </w:r>
      <w:r w:rsidR="003F792F" w:rsidRPr="00295637">
        <w:rPr>
          <w:shd w:val="clear" w:color="auto" w:fill="FFFFFF"/>
        </w:rPr>
        <w:t xml:space="preserve"> </w:t>
      </w:r>
      <w:r>
        <w:rPr>
          <w:shd w:val="clear" w:color="auto" w:fill="FFFFFF"/>
        </w:rPr>
        <w:t>развој</w:t>
      </w:r>
      <w:r w:rsidR="003F792F" w:rsidRPr="00295637">
        <w:rPr>
          <w:shd w:val="clear" w:color="auto" w:fill="FFFFFF"/>
        </w:rPr>
        <w:t xml:space="preserve"> </w:t>
      </w:r>
      <w:r>
        <w:rPr>
          <w:shd w:val="clear" w:color="auto" w:fill="FFFFFF"/>
        </w:rPr>
        <w:t>и</w:t>
      </w:r>
      <w:r w:rsidR="003F792F" w:rsidRPr="00295637">
        <w:rPr>
          <w:shd w:val="clear" w:color="auto" w:fill="FFFFFF"/>
        </w:rPr>
        <w:t xml:space="preserve"> </w:t>
      </w:r>
      <w:r>
        <w:rPr>
          <w:shd w:val="clear" w:color="auto" w:fill="FFFFFF"/>
        </w:rPr>
        <w:t>промоцију</w:t>
      </w:r>
      <w:r w:rsidR="003F792F" w:rsidRPr="00295637">
        <w:rPr>
          <w:shd w:val="clear" w:color="auto" w:fill="FFFFFF"/>
        </w:rPr>
        <w:t xml:space="preserve"> </w:t>
      </w:r>
      <w:r>
        <w:rPr>
          <w:shd w:val="clear" w:color="auto" w:fill="FFFFFF"/>
        </w:rPr>
        <w:t>енергетских</w:t>
      </w:r>
      <w:r w:rsidR="003F792F" w:rsidRPr="00295637">
        <w:rPr>
          <w:shd w:val="clear" w:color="auto" w:fill="FFFFFF"/>
        </w:rPr>
        <w:t xml:space="preserve"> </w:t>
      </w:r>
      <w:r>
        <w:rPr>
          <w:shd w:val="clear" w:color="auto" w:fill="FFFFFF"/>
        </w:rPr>
        <w:t>заједница</w:t>
      </w:r>
      <w:r w:rsidR="003F792F" w:rsidRPr="00295637">
        <w:rPr>
          <w:shd w:val="clear" w:color="auto" w:fill="FFFFFF"/>
        </w:rPr>
        <w:t xml:space="preserve">, </w:t>
      </w:r>
      <w:r>
        <w:rPr>
          <w:shd w:val="clear" w:color="auto" w:fill="FFFFFF"/>
        </w:rPr>
        <w:t>као</w:t>
      </w:r>
      <w:r w:rsidR="003F792F" w:rsidRPr="00295637">
        <w:rPr>
          <w:shd w:val="clear" w:color="auto" w:fill="FFFFFF"/>
        </w:rPr>
        <w:t xml:space="preserve"> </w:t>
      </w:r>
      <w:r>
        <w:rPr>
          <w:shd w:val="clear" w:color="auto" w:fill="FFFFFF"/>
        </w:rPr>
        <w:t>и</w:t>
      </w:r>
      <w:r w:rsidR="003F792F" w:rsidRPr="00295637">
        <w:rPr>
          <w:shd w:val="clear" w:color="auto" w:fill="FFFFFF"/>
        </w:rPr>
        <w:t xml:space="preserve"> </w:t>
      </w:r>
      <w:r>
        <w:rPr>
          <w:shd w:val="clear" w:color="auto" w:fill="FFFFFF"/>
        </w:rPr>
        <w:t>повећати</w:t>
      </w:r>
      <w:r w:rsidR="003F792F" w:rsidRPr="00295637">
        <w:rPr>
          <w:shd w:val="clear" w:color="auto" w:fill="FFFFFF"/>
        </w:rPr>
        <w:t xml:space="preserve"> </w:t>
      </w:r>
      <w:r>
        <w:rPr>
          <w:shd w:val="clear" w:color="auto" w:fill="FFFFFF"/>
        </w:rPr>
        <w:t>њихову</w:t>
      </w:r>
      <w:r w:rsidR="003F792F" w:rsidRPr="00295637">
        <w:rPr>
          <w:shd w:val="clear" w:color="auto" w:fill="FFFFFF"/>
        </w:rPr>
        <w:t xml:space="preserve"> </w:t>
      </w:r>
      <w:r>
        <w:rPr>
          <w:shd w:val="clear" w:color="auto" w:fill="FFFFFF"/>
        </w:rPr>
        <w:t>укљученост</w:t>
      </w:r>
      <w:r w:rsidR="003F792F" w:rsidRPr="00295637">
        <w:rPr>
          <w:shd w:val="clear" w:color="auto" w:fill="FFFFFF"/>
        </w:rPr>
        <w:t xml:space="preserve"> </w:t>
      </w:r>
      <w:r>
        <w:rPr>
          <w:shd w:val="clear" w:color="auto" w:fill="FFFFFF"/>
        </w:rPr>
        <w:t>у</w:t>
      </w:r>
      <w:r w:rsidR="003A2305">
        <w:rPr>
          <w:shd w:val="clear" w:color="auto" w:fill="FFFFFF"/>
        </w:rPr>
        <w:t xml:space="preserve"> </w:t>
      </w:r>
      <w:r>
        <w:rPr>
          <w:shd w:val="clear" w:color="auto" w:fill="FFFFFF"/>
        </w:rPr>
        <w:t>енергетски</w:t>
      </w:r>
      <w:r w:rsidR="003A2305">
        <w:rPr>
          <w:shd w:val="clear" w:color="auto" w:fill="FFFFFF"/>
        </w:rPr>
        <w:t xml:space="preserve"> </w:t>
      </w:r>
      <w:r>
        <w:rPr>
          <w:shd w:val="clear" w:color="auto" w:fill="FFFFFF"/>
        </w:rPr>
        <w:t>сектор</w:t>
      </w:r>
      <w:r w:rsidR="003A2305">
        <w:rPr>
          <w:shd w:val="clear" w:color="auto" w:fill="FFFFFF"/>
        </w:rPr>
        <w:t xml:space="preserve"> </w:t>
      </w:r>
      <w:r>
        <w:rPr>
          <w:shd w:val="clear" w:color="auto" w:fill="FFFFFF"/>
        </w:rPr>
        <w:t>у</w:t>
      </w:r>
      <w:r w:rsidR="003A2305">
        <w:rPr>
          <w:shd w:val="clear" w:color="auto" w:fill="FFFFFF"/>
        </w:rPr>
        <w:t xml:space="preserve"> </w:t>
      </w:r>
      <w:r>
        <w:rPr>
          <w:shd w:val="clear" w:color="auto" w:fill="FFFFFF"/>
        </w:rPr>
        <w:t>земљама</w:t>
      </w:r>
      <w:r w:rsidR="003A2305">
        <w:rPr>
          <w:shd w:val="clear" w:color="auto" w:fill="FFFFFF"/>
        </w:rPr>
        <w:t xml:space="preserve"> </w:t>
      </w:r>
      <w:r>
        <w:rPr>
          <w:shd w:val="clear" w:color="auto" w:fill="FFFFFF"/>
        </w:rPr>
        <w:t>Југоисточне</w:t>
      </w:r>
      <w:r w:rsidR="003F792F" w:rsidRPr="00295637">
        <w:rPr>
          <w:shd w:val="clear" w:color="auto" w:fill="FFFFFF"/>
        </w:rPr>
        <w:t xml:space="preserve"> </w:t>
      </w:r>
      <w:r>
        <w:rPr>
          <w:shd w:val="clear" w:color="auto" w:fill="FFFFFF"/>
        </w:rPr>
        <w:t>Европе</w:t>
      </w:r>
      <w:r w:rsidR="003F792F" w:rsidRPr="00295637">
        <w:rPr>
          <w:shd w:val="clear" w:color="auto" w:fill="FFFFFF"/>
        </w:rPr>
        <w:t>.</w:t>
      </w:r>
      <w:r w:rsidR="002F4DBC" w:rsidRPr="00295637">
        <w:rPr>
          <w:shd w:val="clear" w:color="auto" w:fill="FFFFFF"/>
        </w:rPr>
        <w:t xml:space="preserve"> </w:t>
      </w:r>
      <w:r>
        <w:rPr>
          <w:shd w:val="clear" w:color="auto" w:fill="FFFFFF"/>
          <w:lang w:val="hr-HR"/>
        </w:rPr>
        <w:t>Током</w:t>
      </w:r>
      <w:r w:rsidR="003F792F" w:rsidRPr="006820FB">
        <w:rPr>
          <w:shd w:val="clear" w:color="auto" w:fill="FFFFFF"/>
          <w:lang w:val="hr-HR"/>
        </w:rPr>
        <w:t xml:space="preserve"> </w:t>
      </w:r>
      <w:r>
        <w:rPr>
          <w:shd w:val="clear" w:color="auto" w:fill="FFFFFF"/>
          <w:lang w:val="hr-HR"/>
        </w:rPr>
        <w:t>фокус</w:t>
      </w:r>
      <w:r w:rsidR="003F792F" w:rsidRPr="006820FB">
        <w:rPr>
          <w:shd w:val="clear" w:color="auto" w:fill="FFFFFF"/>
          <w:lang w:val="hr-HR"/>
        </w:rPr>
        <w:t xml:space="preserve"> </w:t>
      </w:r>
      <w:r>
        <w:rPr>
          <w:shd w:val="clear" w:color="auto" w:fill="FFFFFF"/>
          <w:lang w:val="hr-HR"/>
        </w:rPr>
        <w:t>групе</w:t>
      </w:r>
      <w:r w:rsidR="003F792F" w:rsidRPr="006820FB">
        <w:rPr>
          <w:shd w:val="clear" w:color="auto" w:fill="FFFFFF"/>
          <w:lang w:val="hr-HR"/>
        </w:rPr>
        <w:t xml:space="preserve"> </w:t>
      </w:r>
      <w:r>
        <w:rPr>
          <w:shd w:val="clear" w:color="auto" w:fill="FFFFFF"/>
          <w:lang w:val="hr-HR"/>
        </w:rPr>
        <w:t>представљени</w:t>
      </w:r>
      <w:r w:rsidR="003F792F" w:rsidRPr="006820FB">
        <w:rPr>
          <w:shd w:val="clear" w:color="auto" w:fill="FFFFFF"/>
          <w:lang w:val="hr-HR"/>
        </w:rPr>
        <w:t xml:space="preserve"> </w:t>
      </w:r>
      <w:r>
        <w:rPr>
          <w:shd w:val="clear" w:color="auto" w:fill="FFFFFF"/>
          <w:lang w:val="hr-HR"/>
        </w:rPr>
        <w:t>су</w:t>
      </w:r>
      <w:r w:rsidR="003F792F" w:rsidRPr="006820FB">
        <w:rPr>
          <w:shd w:val="clear" w:color="auto" w:fill="FFFFFF"/>
          <w:lang w:val="hr-HR"/>
        </w:rPr>
        <w:t xml:space="preserve"> </w:t>
      </w:r>
      <w:r>
        <w:rPr>
          <w:shd w:val="clear" w:color="auto" w:fill="FFFFFF"/>
          <w:lang w:val="hr-HR"/>
        </w:rPr>
        <w:t>резултати</w:t>
      </w:r>
      <w:r w:rsidR="003F792F" w:rsidRPr="006820FB">
        <w:rPr>
          <w:shd w:val="clear" w:color="auto" w:fill="FFFFFF"/>
          <w:lang w:val="hr-HR"/>
        </w:rPr>
        <w:t xml:space="preserve"> </w:t>
      </w:r>
      <w:r>
        <w:rPr>
          <w:shd w:val="clear" w:color="auto" w:fill="FFFFFF"/>
          <w:lang w:val="hr-HR"/>
        </w:rPr>
        <w:t>иницијалних</w:t>
      </w:r>
      <w:r w:rsidR="003F792F" w:rsidRPr="006820FB">
        <w:rPr>
          <w:shd w:val="clear" w:color="auto" w:fill="FFFFFF"/>
          <w:lang w:val="hr-HR"/>
        </w:rPr>
        <w:t xml:space="preserve"> </w:t>
      </w:r>
      <w:r>
        <w:rPr>
          <w:shd w:val="clear" w:color="auto" w:fill="FFFFFF"/>
          <w:lang w:val="hr-HR"/>
        </w:rPr>
        <w:t>истраживања</w:t>
      </w:r>
      <w:r w:rsidR="003F792F" w:rsidRPr="006820FB">
        <w:rPr>
          <w:shd w:val="clear" w:color="auto" w:fill="FFFFFF"/>
          <w:lang w:val="hr-HR"/>
        </w:rPr>
        <w:t xml:space="preserve"> </w:t>
      </w:r>
      <w:r>
        <w:rPr>
          <w:shd w:val="clear" w:color="auto" w:fill="FFFFFF"/>
          <w:lang w:val="hr-HR"/>
        </w:rPr>
        <w:t>и</w:t>
      </w:r>
      <w:r w:rsidR="003F792F" w:rsidRPr="006820FB">
        <w:rPr>
          <w:shd w:val="clear" w:color="auto" w:fill="FFFFFF"/>
          <w:lang w:val="hr-HR"/>
        </w:rPr>
        <w:t xml:space="preserve"> </w:t>
      </w:r>
      <w:r>
        <w:rPr>
          <w:shd w:val="clear" w:color="auto" w:fill="FFFFFF"/>
          <w:lang w:val="hr-HR"/>
        </w:rPr>
        <w:t>дискутовано</w:t>
      </w:r>
      <w:r w:rsidR="003F792F" w:rsidRPr="006820FB">
        <w:rPr>
          <w:shd w:val="clear" w:color="auto" w:fill="FFFFFF"/>
          <w:lang w:val="hr-HR"/>
        </w:rPr>
        <w:t xml:space="preserve"> </w:t>
      </w:r>
      <w:r>
        <w:rPr>
          <w:shd w:val="clear" w:color="auto" w:fill="FFFFFF"/>
          <w:lang w:val="hr-HR"/>
        </w:rPr>
        <w:t>је</w:t>
      </w:r>
      <w:r w:rsidR="003F792F" w:rsidRPr="006820FB">
        <w:rPr>
          <w:shd w:val="clear" w:color="auto" w:fill="FFFFFF"/>
          <w:lang w:val="hr-HR"/>
        </w:rPr>
        <w:t xml:space="preserve"> </w:t>
      </w:r>
      <w:r>
        <w:rPr>
          <w:shd w:val="clear" w:color="auto" w:fill="FFFFFF"/>
          <w:lang w:val="hr-HR"/>
        </w:rPr>
        <w:t>о</w:t>
      </w:r>
      <w:r w:rsidR="003F792F" w:rsidRPr="006820FB">
        <w:rPr>
          <w:shd w:val="clear" w:color="auto" w:fill="FFFFFF"/>
          <w:lang w:val="hr-HR"/>
        </w:rPr>
        <w:t xml:space="preserve"> </w:t>
      </w:r>
      <w:r>
        <w:rPr>
          <w:shd w:val="clear" w:color="auto" w:fill="FFFFFF"/>
          <w:lang w:val="hr-HR"/>
        </w:rPr>
        <w:t>кључним</w:t>
      </w:r>
      <w:r w:rsidR="003F792F" w:rsidRPr="006820FB">
        <w:rPr>
          <w:shd w:val="clear" w:color="auto" w:fill="FFFFFF"/>
          <w:lang w:val="hr-HR"/>
        </w:rPr>
        <w:t xml:space="preserve"> </w:t>
      </w:r>
      <w:r>
        <w:rPr>
          <w:shd w:val="clear" w:color="auto" w:fill="FFFFFF"/>
          <w:lang w:val="hr-HR"/>
        </w:rPr>
        <w:t>изазовима</w:t>
      </w:r>
      <w:r w:rsidR="003F792F" w:rsidRPr="006820FB">
        <w:rPr>
          <w:shd w:val="clear" w:color="auto" w:fill="FFFFFF"/>
          <w:lang w:val="hr-HR"/>
        </w:rPr>
        <w:t xml:space="preserve">, </w:t>
      </w:r>
      <w:r>
        <w:rPr>
          <w:shd w:val="clear" w:color="auto" w:fill="FFFFFF"/>
          <w:lang w:val="hr-HR"/>
        </w:rPr>
        <w:t>приликама</w:t>
      </w:r>
      <w:r w:rsidR="003F792F" w:rsidRPr="006820FB">
        <w:rPr>
          <w:shd w:val="clear" w:color="auto" w:fill="FFFFFF"/>
          <w:lang w:val="hr-HR"/>
        </w:rPr>
        <w:t xml:space="preserve"> </w:t>
      </w:r>
      <w:r>
        <w:rPr>
          <w:shd w:val="clear" w:color="auto" w:fill="FFFFFF"/>
          <w:lang w:val="hr-HR"/>
        </w:rPr>
        <w:t>и</w:t>
      </w:r>
      <w:r w:rsidR="003F792F" w:rsidRPr="006820FB">
        <w:rPr>
          <w:shd w:val="clear" w:color="auto" w:fill="FFFFFF"/>
          <w:lang w:val="hr-HR"/>
        </w:rPr>
        <w:t xml:space="preserve"> </w:t>
      </w:r>
      <w:r>
        <w:rPr>
          <w:shd w:val="clear" w:color="auto" w:fill="FFFFFF"/>
          <w:lang w:val="hr-HR"/>
        </w:rPr>
        <w:t>стратегијама</w:t>
      </w:r>
      <w:r w:rsidR="003F792F" w:rsidRPr="006820FB">
        <w:rPr>
          <w:shd w:val="clear" w:color="auto" w:fill="FFFFFF"/>
          <w:lang w:val="hr-HR"/>
        </w:rPr>
        <w:t xml:space="preserve"> </w:t>
      </w:r>
      <w:r>
        <w:rPr>
          <w:shd w:val="clear" w:color="auto" w:fill="FFFFFF"/>
          <w:lang w:val="hr-HR"/>
        </w:rPr>
        <w:t>које</w:t>
      </w:r>
      <w:r w:rsidR="003F792F" w:rsidRPr="006820FB">
        <w:rPr>
          <w:shd w:val="clear" w:color="auto" w:fill="FFFFFF"/>
          <w:lang w:val="hr-HR"/>
        </w:rPr>
        <w:t xml:space="preserve"> </w:t>
      </w:r>
      <w:r>
        <w:rPr>
          <w:shd w:val="clear" w:color="auto" w:fill="FFFFFF"/>
          <w:lang w:val="hr-HR"/>
        </w:rPr>
        <w:t>могу</w:t>
      </w:r>
      <w:r w:rsidR="003F792F" w:rsidRPr="006820FB">
        <w:rPr>
          <w:shd w:val="clear" w:color="auto" w:fill="FFFFFF"/>
          <w:lang w:val="hr-HR"/>
        </w:rPr>
        <w:t xml:space="preserve"> </w:t>
      </w:r>
      <w:r>
        <w:rPr>
          <w:shd w:val="clear" w:color="auto" w:fill="FFFFFF"/>
          <w:lang w:val="hr-HR"/>
        </w:rPr>
        <w:t>помоћи</w:t>
      </w:r>
      <w:r w:rsidR="003F792F" w:rsidRPr="006820FB">
        <w:rPr>
          <w:shd w:val="clear" w:color="auto" w:fill="FFFFFF"/>
          <w:lang w:val="hr-HR"/>
        </w:rPr>
        <w:t xml:space="preserve"> </w:t>
      </w:r>
      <w:r>
        <w:rPr>
          <w:shd w:val="clear" w:color="auto" w:fill="FFFFFF"/>
          <w:lang w:val="hr-HR"/>
        </w:rPr>
        <w:t>женама</w:t>
      </w:r>
      <w:r w:rsidR="003F792F" w:rsidRPr="006820FB">
        <w:rPr>
          <w:shd w:val="clear" w:color="auto" w:fill="FFFFFF"/>
          <w:lang w:val="hr-HR"/>
        </w:rPr>
        <w:t xml:space="preserve"> </w:t>
      </w:r>
      <w:r>
        <w:rPr>
          <w:shd w:val="clear" w:color="auto" w:fill="FFFFFF"/>
          <w:lang w:val="hr-HR"/>
        </w:rPr>
        <w:t>да</w:t>
      </w:r>
      <w:r w:rsidR="003F792F" w:rsidRPr="006820FB">
        <w:rPr>
          <w:shd w:val="clear" w:color="auto" w:fill="FFFFFF"/>
          <w:lang w:val="hr-HR"/>
        </w:rPr>
        <w:t xml:space="preserve"> </w:t>
      </w:r>
      <w:r>
        <w:rPr>
          <w:shd w:val="clear" w:color="auto" w:fill="FFFFFF"/>
          <w:lang w:val="hr-HR"/>
        </w:rPr>
        <w:t>постану</w:t>
      </w:r>
      <w:r w:rsidR="003F792F" w:rsidRPr="006820FB">
        <w:rPr>
          <w:shd w:val="clear" w:color="auto" w:fill="FFFFFF"/>
          <w:lang w:val="hr-HR"/>
        </w:rPr>
        <w:t xml:space="preserve"> </w:t>
      </w:r>
      <w:r>
        <w:rPr>
          <w:shd w:val="clear" w:color="auto" w:fill="FFFFFF"/>
          <w:lang w:val="hr-HR"/>
        </w:rPr>
        <w:t>активне</w:t>
      </w:r>
      <w:r w:rsidR="003F792F" w:rsidRPr="006820FB">
        <w:rPr>
          <w:shd w:val="clear" w:color="auto" w:fill="FFFFFF"/>
          <w:lang w:val="hr-HR"/>
        </w:rPr>
        <w:t xml:space="preserve"> </w:t>
      </w:r>
      <w:r>
        <w:rPr>
          <w:shd w:val="clear" w:color="auto" w:fill="FFFFFF"/>
          <w:lang w:val="hr-HR"/>
        </w:rPr>
        <w:t>учеснице</w:t>
      </w:r>
      <w:r w:rsidR="003F792F" w:rsidRPr="006820FB">
        <w:rPr>
          <w:shd w:val="clear" w:color="auto" w:fill="FFFFFF"/>
          <w:lang w:val="hr-HR"/>
        </w:rPr>
        <w:t xml:space="preserve"> </w:t>
      </w:r>
      <w:r>
        <w:rPr>
          <w:shd w:val="clear" w:color="auto" w:fill="FFFFFF"/>
          <w:lang w:val="hr-HR"/>
        </w:rPr>
        <w:t>у</w:t>
      </w:r>
      <w:r w:rsidR="003F792F" w:rsidRPr="006820FB">
        <w:rPr>
          <w:shd w:val="clear" w:color="auto" w:fill="FFFFFF"/>
          <w:lang w:val="hr-HR"/>
        </w:rPr>
        <w:t xml:space="preserve"> </w:t>
      </w:r>
      <w:r>
        <w:rPr>
          <w:shd w:val="clear" w:color="auto" w:fill="FFFFFF"/>
          <w:lang w:val="hr-HR"/>
        </w:rPr>
        <w:t>енергетској</w:t>
      </w:r>
      <w:r w:rsidR="003F792F" w:rsidRPr="006820FB">
        <w:rPr>
          <w:shd w:val="clear" w:color="auto" w:fill="FFFFFF"/>
          <w:lang w:val="hr-HR"/>
        </w:rPr>
        <w:t xml:space="preserve"> </w:t>
      </w:r>
      <w:r>
        <w:rPr>
          <w:shd w:val="clear" w:color="auto" w:fill="FFFFFF"/>
          <w:lang w:val="hr-HR"/>
        </w:rPr>
        <w:t>транзицији</w:t>
      </w:r>
      <w:r w:rsidR="003F792F" w:rsidRPr="006820FB">
        <w:rPr>
          <w:shd w:val="clear" w:color="auto" w:fill="FFFFFF"/>
          <w:lang w:val="hr-HR"/>
        </w:rPr>
        <w:t>.</w:t>
      </w:r>
      <w:bookmarkEnd w:id="50"/>
      <w:r w:rsidR="00D57CEE">
        <w:rPr>
          <w:shd w:val="clear" w:color="auto" w:fill="FFFFFF"/>
        </w:rPr>
        <w:br w:type="page"/>
      </w:r>
    </w:p>
    <w:p w:rsidR="00356C2C" w:rsidRPr="00295637" w:rsidRDefault="0083033C" w:rsidP="002327D1">
      <w:pPr>
        <w:pStyle w:val="Heading2"/>
        <w:numPr>
          <w:ilvl w:val="0"/>
          <w:numId w:val="0"/>
        </w:numPr>
        <w:spacing w:after="0" w:line="240" w:lineRule="auto"/>
        <w:rPr>
          <w:rFonts w:ascii="Times New Roman" w:hAnsi="Times New Roman" w:cs="Times New Roman"/>
          <w:lang w:val="bs-Latn-BA"/>
        </w:rPr>
      </w:pPr>
      <w:bookmarkStart w:id="51" w:name="_Toc195016599"/>
      <w:r>
        <w:rPr>
          <w:rFonts w:ascii="Times New Roman" w:hAnsi="Times New Roman" w:cs="Times New Roman"/>
          <w:lang w:val="bs-Latn-BA"/>
        </w:rPr>
        <w:t>II</w:t>
      </w:r>
      <w:r w:rsidR="002327D1">
        <w:rPr>
          <w:rFonts w:ascii="Times New Roman" w:hAnsi="Times New Roman" w:cs="Times New Roman"/>
          <w:lang w:val="bs-Latn-BA"/>
        </w:rPr>
        <w:t xml:space="preserve">   </w:t>
      </w:r>
      <w:r w:rsidR="00C6214E">
        <w:rPr>
          <w:rFonts w:ascii="Times New Roman" w:hAnsi="Times New Roman" w:cs="Times New Roman"/>
          <w:lang w:val="bs-Latn-BA"/>
        </w:rPr>
        <w:t>СТРАТЕШКИ</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ЦИЉ</w:t>
      </w:r>
      <w:r w:rsidR="00356C2C" w:rsidRPr="00295637">
        <w:rPr>
          <w:rFonts w:ascii="Times New Roman" w:hAnsi="Times New Roman" w:cs="Times New Roman"/>
          <w:lang w:val="bs-Latn-BA"/>
        </w:rPr>
        <w:t xml:space="preserve"> 2: </w:t>
      </w:r>
      <w:r w:rsidR="00C6214E">
        <w:rPr>
          <w:rFonts w:ascii="Times New Roman" w:hAnsi="Times New Roman" w:cs="Times New Roman"/>
          <w:lang w:val="bs-Latn-BA"/>
        </w:rPr>
        <w:t>Изградња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и</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јачање</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система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механизама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и</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инструмената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за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постизање</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равноправности</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полова</w:t>
      </w:r>
      <w:bookmarkEnd w:id="44"/>
      <w:bookmarkEnd w:id="45"/>
      <w:bookmarkEnd w:id="51"/>
    </w:p>
    <w:p w:rsidR="00356C2C" w:rsidRPr="00295637" w:rsidRDefault="00356C2C" w:rsidP="0086268D">
      <w:pPr>
        <w:autoSpaceDE w:val="0"/>
        <w:autoSpaceDN w:val="0"/>
        <w:adjustRightInd w:val="0"/>
        <w:jc w:val="both"/>
        <w:rPr>
          <w:rFonts w:ascii="Times New Roman" w:hAnsi="Times New Roman"/>
          <w:b/>
          <w:szCs w:val="24"/>
          <w:lang w:val="bs-Latn-BA" w:eastAsia="sr-Latn-BA"/>
        </w:rPr>
      </w:pPr>
    </w:p>
    <w:p w:rsidR="007B7A77" w:rsidRPr="00295637" w:rsidRDefault="0083033C" w:rsidP="0086268D">
      <w:pPr>
        <w:pStyle w:val="Heading3"/>
        <w:numPr>
          <w:ilvl w:val="0"/>
          <w:numId w:val="0"/>
        </w:numPr>
        <w:tabs>
          <w:tab w:val="clear" w:pos="567"/>
          <w:tab w:val="clear" w:pos="709"/>
          <w:tab w:val="left" w:pos="630"/>
        </w:tabs>
        <w:spacing w:after="0" w:line="240" w:lineRule="auto"/>
        <w:ind w:left="720" w:hanging="720"/>
        <w:rPr>
          <w:rFonts w:ascii="Times New Roman" w:hAnsi="Times New Roman" w:cs="Times New Roman"/>
          <w:lang w:val="bs-Latn-BA" w:eastAsia="bs-Latn-BA"/>
        </w:rPr>
      </w:pPr>
      <w:bookmarkStart w:id="52" w:name="_Toc195016600"/>
      <w:r>
        <w:rPr>
          <w:rFonts w:ascii="Times New Roman" w:hAnsi="Times New Roman"/>
          <w:b w:val="0"/>
          <w:lang w:val="bs-Latn-BA"/>
        </w:rPr>
        <w:t>II</w:t>
      </w:r>
      <w:r w:rsidR="002327D1">
        <w:rPr>
          <w:rFonts w:ascii="Times New Roman" w:hAnsi="Times New Roman"/>
          <w:b w:val="0"/>
          <w:lang w:val="bs-Latn-BA"/>
        </w:rPr>
        <w:t xml:space="preserve"> </w:t>
      </w:r>
      <w:r w:rsidR="007B7A77" w:rsidRPr="00295637">
        <w:rPr>
          <w:rFonts w:ascii="Times New Roman" w:hAnsi="Times New Roman"/>
          <w:b w:val="0"/>
          <w:lang w:val="bs-Latn-BA"/>
        </w:rPr>
        <w:t>1</w:t>
      </w:r>
      <w:r w:rsidR="006318F4">
        <w:rPr>
          <w:rFonts w:ascii="Times New Roman" w:hAnsi="Times New Roman"/>
          <w:b w:val="0"/>
          <w:lang w:val="sr-Cyrl-BA"/>
        </w:rPr>
        <w:t>.</w:t>
      </w:r>
      <w:r w:rsidR="007B7A77" w:rsidRPr="00295637">
        <w:rPr>
          <w:rFonts w:ascii="Times New Roman" w:hAnsi="Times New Roman"/>
          <w:b w:val="0"/>
          <w:lang w:val="bs-Latn-BA"/>
        </w:rPr>
        <w:t xml:space="preserve"> </w:t>
      </w:r>
      <w:bookmarkStart w:id="53" w:name="_Toc152667114"/>
      <w:r w:rsidR="00C6214E">
        <w:rPr>
          <w:rFonts w:ascii="Times New Roman" w:hAnsi="Times New Roman" w:cs="Times New Roman"/>
          <w:lang w:val="bs-Latn-BA" w:eastAsia="bs-Latn-BA"/>
        </w:rPr>
        <w:t>Координација</w:t>
      </w:r>
      <w:r w:rsidR="007B7A77" w:rsidRPr="00295637">
        <w:rPr>
          <w:rFonts w:ascii="Times New Roman" w:hAnsi="Times New Roman" w:cs="Times New Roman"/>
          <w:lang w:val="bs-Latn-BA" w:eastAsia="bs-Latn-BA"/>
        </w:rPr>
        <w:t xml:space="preserve"> </w:t>
      </w:r>
      <w:r w:rsidR="006318F4">
        <w:rPr>
          <w:rFonts w:ascii="Times New Roman" w:hAnsi="Times New Roman" w:cs="Times New Roman"/>
          <w:lang w:val="sr-Cyrl-BA" w:eastAsia="bs-Latn-BA"/>
        </w:rPr>
        <w:t>спровођења</w:t>
      </w:r>
      <w:r w:rsidR="007B7A77"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и</w:t>
      </w:r>
      <w:r w:rsidR="007B7A77"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надзор</w:t>
      </w:r>
      <w:r w:rsidR="007B7A77"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над</w:t>
      </w:r>
      <w:r w:rsidR="007B7A77" w:rsidRPr="00295637">
        <w:rPr>
          <w:rFonts w:ascii="Times New Roman" w:hAnsi="Times New Roman" w:cs="Times New Roman"/>
          <w:lang w:val="bs-Latn-BA" w:eastAsia="bs-Latn-BA"/>
        </w:rPr>
        <w:t xml:space="preserve"> </w:t>
      </w:r>
      <w:r w:rsidR="006318F4">
        <w:rPr>
          <w:rFonts w:ascii="Times New Roman" w:hAnsi="Times New Roman" w:cs="Times New Roman"/>
          <w:lang w:val="sr-Cyrl-BA" w:eastAsia="bs-Latn-BA"/>
        </w:rPr>
        <w:t>спровођењем</w:t>
      </w:r>
      <w:r w:rsidR="007B7A77"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Гендер</w:t>
      </w:r>
      <w:r w:rsidR="007B7A77"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акционог</w:t>
      </w:r>
      <w:r w:rsidR="007B7A77"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плана</w:t>
      </w:r>
      <w:r w:rsidR="009E54A2"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БиХ</w:t>
      </w:r>
      <w:r w:rsidR="009E54A2" w:rsidRPr="00295637">
        <w:rPr>
          <w:rFonts w:ascii="Times New Roman" w:hAnsi="Times New Roman" w:cs="Times New Roman"/>
          <w:lang w:val="bs-Latn-BA" w:eastAsia="bs-Latn-BA"/>
        </w:rPr>
        <w:t xml:space="preserve"> </w:t>
      </w:r>
      <w:bookmarkEnd w:id="52"/>
      <w:bookmarkEnd w:id="53"/>
    </w:p>
    <w:p w:rsidR="00356C2C" w:rsidRPr="00295637" w:rsidRDefault="00356C2C" w:rsidP="0086268D">
      <w:pPr>
        <w:widowControl w:val="0"/>
        <w:autoSpaceDE w:val="0"/>
        <w:autoSpaceDN w:val="0"/>
        <w:adjustRightInd w:val="0"/>
        <w:ind w:right="73"/>
        <w:jc w:val="both"/>
        <w:rPr>
          <w:rFonts w:ascii="Times New Roman" w:hAnsi="Times New Roman"/>
          <w:b/>
          <w:szCs w:val="24"/>
          <w:lang w:val="bs-Latn-BA"/>
        </w:rPr>
      </w:pPr>
    </w:p>
    <w:p w:rsidR="00356C2C" w:rsidRPr="00295637" w:rsidRDefault="006318F4" w:rsidP="002327D1">
      <w:pPr>
        <w:tabs>
          <w:tab w:val="left" w:pos="284"/>
          <w:tab w:val="left" w:pos="630"/>
          <w:tab w:val="left" w:pos="1080"/>
        </w:tabs>
        <w:ind w:left="567"/>
        <w:jc w:val="both"/>
        <w:rPr>
          <w:rFonts w:ascii="Times New Roman" w:hAnsi="Times New Roman"/>
          <w:szCs w:val="24"/>
          <w:lang w:val="bs-Latn-BA"/>
        </w:rPr>
      </w:pPr>
      <w:r w:rsidRPr="006318F4">
        <w:rPr>
          <w:rFonts w:ascii="Times New Roman" w:hAnsi="Times New Roman"/>
          <w:szCs w:val="24"/>
          <w:lang w:val="bs-Latn-BA"/>
        </w:rPr>
        <w:t>II</w:t>
      </w:r>
      <w:r w:rsidR="002327D1">
        <w:rPr>
          <w:rFonts w:ascii="Times New Roman" w:hAnsi="Times New Roman"/>
          <w:szCs w:val="24"/>
          <w:lang w:val="bs-Latn-BA"/>
        </w:rPr>
        <w:t xml:space="preserve"> 1.1. </w:t>
      </w:r>
      <w:r w:rsidR="00C6214E">
        <w:rPr>
          <w:rFonts w:ascii="Times New Roman" w:hAnsi="Times New Roman"/>
          <w:szCs w:val="24"/>
          <w:lang w:val="bs-Latn-BA"/>
        </w:rPr>
        <w:t>Успостављање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Управног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одбора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координацију</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праћење</w:t>
      </w:r>
      <w:r w:rsidR="00356C2C" w:rsidRPr="00295637">
        <w:rPr>
          <w:rFonts w:ascii="Times New Roman" w:hAnsi="Times New Roman"/>
          <w:szCs w:val="24"/>
          <w:lang w:val="bs-Latn-BA"/>
        </w:rPr>
        <w:t xml:space="preserve"> </w:t>
      </w:r>
      <w:r>
        <w:rPr>
          <w:rFonts w:ascii="Times New Roman" w:hAnsi="Times New Roman"/>
          <w:szCs w:val="24"/>
          <w:lang w:val="sr-Cyrl-BA"/>
        </w:rPr>
        <w:t>спровођења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ГАП</w:t>
      </w:r>
      <w:r w:rsidR="009E54A2" w:rsidRPr="00295637">
        <w:rPr>
          <w:rFonts w:ascii="Times New Roman" w:hAnsi="Times New Roman"/>
          <w:szCs w:val="24"/>
          <w:lang w:val="bs-Latn-BA"/>
        </w:rPr>
        <w:t xml:space="preserve"> </w:t>
      </w:r>
      <w:r w:rsidR="00C6214E">
        <w:rPr>
          <w:rFonts w:ascii="Times New Roman" w:hAnsi="Times New Roman"/>
          <w:szCs w:val="24"/>
          <w:lang w:val="bs-Latn-BA"/>
        </w:rPr>
        <w:t>БиХ</w:t>
      </w:r>
      <w:r w:rsidR="009E54A2" w:rsidRPr="00295637">
        <w:rPr>
          <w:rFonts w:ascii="Times New Roman" w:hAnsi="Times New Roman"/>
          <w:szCs w:val="24"/>
          <w:lang w:val="bs-Latn-BA"/>
        </w:rPr>
        <w:t xml:space="preserve"> </w:t>
      </w:r>
      <w:r w:rsidR="00356C2C" w:rsidRPr="00295637">
        <w:rPr>
          <w:rFonts w:ascii="Times New Roman" w:hAnsi="Times New Roman"/>
          <w:szCs w:val="24"/>
          <w:lang w:val="bs-Latn-BA"/>
        </w:rPr>
        <w:t xml:space="preserve"> (</w:t>
      </w:r>
      <w:r w:rsidR="00C6214E">
        <w:rPr>
          <w:rFonts w:ascii="Times New Roman" w:hAnsi="Times New Roman"/>
          <w:szCs w:val="24"/>
          <w:lang w:val="bs-Latn-BA"/>
        </w:rPr>
        <w:t>којег</w:t>
      </w:r>
      <w:r w:rsidR="00356C2C" w:rsidRPr="00295637">
        <w:rPr>
          <w:rFonts w:ascii="Times New Roman" w:hAnsi="Times New Roman"/>
          <w:szCs w:val="24"/>
          <w:lang w:val="bs-Latn-BA"/>
        </w:rPr>
        <w:t xml:space="preserve"> </w:t>
      </w:r>
      <w:r w:rsidR="00C6214E">
        <w:rPr>
          <w:rFonts w:ascii="Times New Roman" w:hAnsi="Times New Roman"/>
          <w:szCs w:val="24"/>
          <w:lang w:val="bs-Latn-BA"/>
        </w:rPr>
        <w:t>чине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директорице</w:t>
      </w:r>
      <w:r w:rsidR="00356C2C" w:rsidRPr="00295637">
        <w:rPr>
          <w:rFonts w:ascii="Times New Roman" w:hAnsi="Times New Roman"/>
          <w:szCs w:val="24"/>
          <w:lang w:val="bs-Latn-BA"/>
        </w:rPr>
        <w:t xml:space="preserve"> </w:t>
      </w:r>
      <w:r w:rsidR="00C6214E">
        <w:rPr>
          <w:rFonts w:ascii="Times New Roman" w:hAnsi="Times New Roman"/>
          <w:szCs w:val="24"/>
          <w:lang w:val="bs-Latn-BA"/>
        </w:rPr>
        <w:t>АР</w:t>
      </w:r>
      <w:r>
        <w:rPr>
          <w:rFonts w:ascii="Times New Roman" w:hAnsi="Times New Roman"/>
          <w:szCs w:val="24"/>
          <w:lang w:val="sr-Cyrl-BA"/>
        </w:rPr>
        <w:t>П</w:t>
      </w:r>
      <w:r w:rsidR="00050016">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МЉПИ</w:t>
      </w:r>
      <w:r w:rsidR="00831EA5">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ГЦ</w:t>
      </w:r>
      <w:r w:rsidR="00356C2C" w:rsidRPr="00295637">
        <w:rPr>
          <w:rFonts w:ascii="Times New Roman" w:hAnsi="Times New Roman"/>
          <w:szCs w:val="24"/>
          <w:lang w:val="bs-Latn-BA"/>
        </w:rPr>
        <w:t xml:space="preserve"> </w:t>
      </w:r>
      <w:r w:rsidR="00C6214E">
        <w:rPr>
          <w:rFonts w:ascii="Times New Roman" w:hAnsi="Times New Roman"/>
          <w:szCs w:val="24"/>
          <w:lang w:val="bs-Latn-BA"/>
        </w:rPr>
        <w:t>РС</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ГЦ</w:t>
      </w:r>
      <w:r w:rsidR="00356C2C" w:rsidRPr="00295637">
        <w:rPr>
          <w:rFonts w:ascii="Times New Roman" w:hAnsi="Times New Roman"/>
          <w:szCs w:val="24"/>
          <w:lang w:val="bs-Latn-BA"/>
        </w:rPr>
        <w:t xml:space="preserve"> </w:t>
      </w:r>
      <w:r w:rsidR="00C6214E">
        <w:rPr>
          <w:rFonts w:ascii="Times New Roman" w:hAnsi="Times New Roman"/>
          <w:szCs w:val="24"/>
          <w:lang w:val="bs-Latn-BA"/>
        </w:rPr>
        <w:t>ФБиХ</w:t>
      </w:r>
      <w:r w:rsidR="00356C2C" w:rsidRPr="00295637">
        <w:rPr>
          <w:rFonts w:ascii="Times New Roman" w:hAnsi="Times New Roman"/>
          <w:szCs w:val="24"/>
          <w:lang w:val="bs-Latn-BA"/>
        </w:rPr>
        <w:t>).</w:t>
      </w:r>
    </w:p>
    <w:p w:rsidR="00E61368" w:rsidRPr="00295637" w:rsidRDefault="00E61368" w:rsidP="0086268D">
      <w:pPr>
        <w:rPr>
          <w:rFonts w:ascii="Segoe UI" w:hAnsi="Segoe UI" w:cs="Segoe UI"/>
          <w:sz w:val="20"/>
          <w:shd w:val="clear" w:color="auto" w:fill="FFFFFF"/>
          <w:lang w:val="en-US"/>
        </w:rPr>
      </w:pPr>
    </w:p>
    <w:p w:rsidR="00BE66CB" w:rsidRPr="00295637" w:rsidRDefault="00C6214E" w:rsidP="0086268D">
      <w:pPr>
        <w:jc w:val="both"/>
        <w:rPr>
          <w:rFonts w:ascii="Times New Roman" w:hAnsi="Times New Roman"/>
          <w:szCs w:val="24"/>
          <w:shd w:val="clear" w:color="auto" w:fill="FFFFFF"/>
          <w:lang w:val="en-US"/>
        </w:rPr>
      </w:pPr>
      <w:r>
        <w:rPr>
          <w:rFonts w:ascii="Times New Roman" w:hAnsi="Times New Roman"/>
          <w:szCs w:val="24"/>
          <w:shd w:val="clear" w:color="auto" w:fill="FFFFFF"/>
          <w:lang w:val="en-US"/>
        </w:rPr>
        <w:t>На</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приједлог</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МЉПИ</w:t>
      </w:r>
      <w:r w:rsidR="005360F0"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266D0D" w:rsidRPr="00295637">
        <w:rPr>
          <w:rFonts w:ascii="Times New Roman" w:hAnsi="Times New Roman"/>
          <w:szCs w:val="24"/>
          <w:shd w:val="clear" w:color="auto" w:fill="FFFFFF"/>
          <w:lang w:val="en-US"/>
        </w:rPr>
        <w:t xml:space="preserve">, </w:t>
      </w:r>
      <w:r w:rsidR="006318F4">
        <w:rPr>
          <w:rFonts w:ascii="Times New Roman" w:hAnsi="Times New Roman"/>
          <w:szCs w:val="24"/>
          <w:shd w:val="clear" w:color="auto" w:fill="FFFFFF"/>
          <w:lang w:val="sr-Cyrl-BA"/>
        </w:rPr>
        <w:t>С</w:t>
      </w:r>
      <w:r>
        <w:rPr>
          <w:rFonts w:ascii="Times New Roman" w:hAnsi="Times New Roman"/>
          <w:szCs w:val="24"/>
          <w:shd w:val="clear" w:color="auto" w:fill="FFFFFF"/>
          <w:lang w:val="en-US"/>
        </w:rPr>
        <w:t>М</w:t>
      </w:r>
      <w:r w:rsidR="00050016">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је</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на</w:t>
      </w:r>
      <w:r w:rsidR="00831EA5">
        <w:rPr>
          <w:rFonts w:ascii="Times New Roman" w:hAnsi="Times New Roman"/>
          <w:szCs w:val="24"/>
          <w:shd w:val="clear" w:color="auto" w:fill="FFFFFF"/>
          <w:lang w:val="en-US"/>
        </w:rPr>
        <w:t xml:space="preserve"> 53. </w:t>
      </w:r>
      <w:r>
        <w:rPr>
          <w:rFonts w:ascii="Times New Roman" w:hAnsi="Times New Roman"/>
          <w:szCs w:val="24"/>
          <w:shd w:val="clear" w:color="auto" w:fill="FFFFFF"/>
          <w:lang w:val="en-US"/>
        </w:rPr>
        <w:t>сједници</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одржаној</w:t>
      </w:r>
      <w:r w:rsidR="00831EA5">
        <w:rPr>
          <w:rFonts w:ascii="Times New Roman" w:hAnsi="Times New Roman"/>
          <w:szCs w:val="24"/>
          <w:shd w:val="clear" w:color="auto" w:fill="FFFFFF"/>
          <w:lang w:val="en-US"/>
        </w:rPr>
        <w:t xml:space="preserve"> 27.6.</w:t>
      </w:r>
      <w:r w:rsidR="00266D0D" w:rsidRPr="00295637">
        <w:rPr>
          <w:rFonts w:ascii="Times New Roman" w:hAnsi="Times New Roman"/>
          <w:szCs w:val="24"/>
          <w:shd w:val="clear" w:color="auto" w:fill="FFFFFF"/>
          <w:lang w:val="en-US"/>
        </w:rPr>
        <w:t xml:space="preserve">2024. </w:t>
      </w:r>
      <w:r>
        <w:rPr>
          <w:rFonts w:ascii="Times New Roman" w:hAnsi="Times New Roman"/>
          <w:szCs w:val="24"/>
          <w:shd w:val="clear" w:color="auto" w:fill="FFFFFF"/>
          <w:lang w:val="en-US"/>
        </w:rPr>
        <w:t>године</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донио</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Одлуку</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успостављању</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Управног</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одбора</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за</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координацију</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и</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праћење</w:t>
      </w:r>
      <w:r w:rsidR="00266D0D" w:rsidRPr="00295637">
        <w:rPr>
          <w:rFonts w:ascii="Times New Roman" w:hAnsi="Times New Roman"/>
          <w:szCs w:val="24"/>
          <w:shd w:val="clear" w:color="auto" w:fill="FFFFFF"/>
          <w:lang w:val="en-US"/>
        </w:rPr>
        <w:t xml:space="preserve"> </w:t>
      </w:r>
      <w:r w:rsidR="006318F4">
        <w:rPr>
          <w:rFonts w:ascii="Times New Roman" w:hAnsi="Times New Roman"/>
          <w:szCs w:val="24"/>
          <w:shd w:val="clear" w:color="auto" w:fill="FFFFFF"/>
          <w:lang w:val="sr-Cyrl-BA"/>
        </w:rPr>
        <w:t>спровођења</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ГАП</w:t>
      </w:r>
      <w:r w:rsidR="00050016">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за</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период</w:t>
      </w:r>
      <w:r w:rsidR="00266D0D" w:rsidRPr="00295637">
        <w:rPr>
          <w:rFonts w:ascii="Times New Roman" w:hAnsi="Times New Roman"/>
          <w:szCs w:val="24"/>
          <w:shd w:val="clear" w:color="auto" w:fill="FFFFFF"/>
          <w:lang w:val="en-US"/>
        </w:rPr>
        <w:t xml:space="preserve"> 2023</w:t>
      </w:r>
      <w:r w:rsidR="00831EA5">
        <w:rPr>
          <w:rFonts w:ascii="Times New Roman" w:hAnsi="Times New Roman"/>
          <w:szCs w:val="24"/>
          <w:shd w:val="clear" w:color="auto" w:fill="FFFFFF"/>
          <w:lang w:val="en-US"/>
        </w:rPr>
        <w:t>-</w:t>
      </w:r>
      <w:r w:rsidR="00266D0D" w:rsidRPr="00295637">
        <w:rPr>
          <w:rFonts w:ascii="Times New Roman" w:hAnsi="Times New Roman"/>
          <w:szCs w:val="24"/>
          <w:shd w:val="clear" w:color="auto" w:fill="FFFFFF"/>
          <w:lang w:val="en-US"/>
        </w:rPr>
        <w:t xml:space="preserve">2027. </w:t>
      </w:r>
      <w:r>
        <w:rPr>
          <w:rFonts w:ascii="Times New Roman" w:hAnsi="Times New Roman"/>
          <w:szCs w:val="24"/>
          <w:shd w:val="clear" w:color="auto" w:fill="FFFFFF"/>
          <w:lang w:val="en-US"/>
        </w:rPr>
        <w:t>година</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Одлука</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је</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донесена</w:t>
      </w:r>
      <w:r w:rsidR="00266D0D"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на</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основу</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члана</w:t>
      </w:r>
      <w:r w:rsidR="00BE66CB" w:rsidRPr="00295637">
        <w:rPr>
          <w:rFonts w:ascii="Times New Roman" w:hAnsi="Times New Roman"/>
          <w:szCs w:val="24"/>
          <w:shd w:val="clear" w:color="auto" w:fill="FFFFFF"/>
          <w:lang w:val="en-US"/>
        </w:rPr>
        <w:t xml:space="preserve"> 17. </w:t>
      </w:r>
      <w:r>
        <w:rPr>
          <w:rFonts w:ascii="Times New Roman" w:hAnsi="Times New Roman"/>
          <w:szCs w:val="24"/>
          <w:shd w:val="clear" w:color="auto" w:fill="FFFFFF"/>
          <w:lang w:val="en-US"/>
        </w:rPr>
        <w:t>и</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члана</w:t>
      </w:r>
      <w:r w:rsidR="00BE66CB" w:rsidRPr="00295637">
        <w:rPr>
          <w:rFonts w:ascii="Times New Roman" w:hAnsi="Times New Roman"/>
          <w:szCs w:val="24"/>
          <w:shd w:val="clear" w:color="auto" w:fill="FFFFFF"/>
          <w:lang w:val="en-US"/>
        </w:rPr>
        <w:t xml:space="preserve"> 22. </w:t>
      </w:r>
      <w:r>
        <w:rPr>
          <w:rFonts w:ascii="Times New Roman" w:hAnsi="Times New Roman"/>
          <w:szCs w:val="24"/>
          <w:shd w:val="clear" w:color="auto" w:fill="FFFFFF"/>
          <w:lang w:val="en-US"/>
        </w:rPr>
        <w:t>став</w:t>
      </w:r>
      <w:r w:rsidR="002327D1">
        <w:rPr>
          <w:rFonts w:ascii="Times New Roman" w:hAnsi="Times New Roman"/>
          <w:szCs w:val="24"/>
          <w:shd w:val="clear" w:color="auto" w:fill="FFFFFF"/>
          <w:lang w:val="en-US"/>
        </w:rPr>
        <w:t xml:space="preserve"> 1)</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Закона</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w:t>
      </w:r>
      <w:r w:rsidR="00BE66CB" w:rsidRPr="00295637">
        <w:rPr>
          <w:rFonts w:ascii="Times New Roman" w:hAnsi="Times New Roman"/>
          <w:szCs w:val="24"/>
          <w:shd w:val="clear" w:color="auto" w:fill="FFFFFF"/>
          <w:lang w:val="en-US"/>
        </w:rPr>
        <w:t xml:space="preserve"> </w:t>
      </w:r>
      <w:r w:rsidR="006318F4">
        <w:rPr>
          <w:rFonts w:ascii="Times New Roman" w:hAnsi="Times New Roman"/>
          <w:szCs w:val="24"/>
          <w:shd w:val="clear" w:color="auto" w:fill="FFFFFF"/>
          <w:lang w:val="sr-Cyrl-BA"/>
        </w:rPr>
        <w:t>Савјету</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министара</w:t>
      </w:r>
      <w:r w:rsidR="009E54A2"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9E54A2" w:rsidRPr="00295637">
        <w:rPr>
          <w:rFonts w:ascii="Times New Roman" w:hAnsi="Times New Roman"/>
          <w:szCs w:val="24"/>
          <w:shd w:val="clear" w:color="auto" w:fill="FFFFFF"/>
          <w:lang w:val="en-US"/>
        </w:rPr>
        <w:t xml:space="preserve"> </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а</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у</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вези</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са</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Одлуком</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усвајању</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Гендер</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акционог</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плана</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314B0D">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за</w:t>
      </w:r>
      <w:r w:rsidR="00314B0D">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период</w:t>
      </w:r>
      <w:r w:rsidR="00314B0D">
        <w:rPr>
          <w:rFonts w:ascii="Times New Roman" w:hAnsi="Times New Roman"/>
          <w:szCs w:val="24"/>
          <w:shd w:val="clear" w:color="auto" w:fill="FFFFFF"/>
          <w:lang w:val="en-US"/>
        </w:rPr>
        <w:t xml:space="preserve"> 2023</w:t>
      </w:r>
      <w:r w:rsidR="00831EA5">
        <w:rPr>
          <w:rFonts w:ascii="Times New Roman" w:hAnsi="Times New Roman"/>
          <w:szCs w:val="24"/>
          <w:shd w:val="clear" w:color="auto" w:fill="FFFFFF"/>
          <w:lang w:val="en-US"/>
        </w:rPr>
        <w:t xml:space="preserve">-2027. </w:t>
      </w:r>
      <w:r>
        <w:rPr>
          <w:rFonts w:ascii="Times New Roman" w:hAnsi="Times New Roman"/>
          <w:szCs w:val="24"/>
          <w:shd w:val="clear" w:color="auto" w:fill="FFFFFF"/>
          <w:lang w:val="en-US"/>
        </w:rPr>
        <w:t>године</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са</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Оперативним</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планом</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институција</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за</w:t>
      </w:r>
      <w:r w:rsidR="00BE66CB" w:rsidRPr="00295637">
        <w:rPr>
          <w:rFonts w:ascii="Times New Roman" w:hAnsi="Times New Roman"/>
          <w:szCs w:val="24"/>
          <w:shd w:val="clear" w:color="auto" w:fill="FFFFFF"/>
          <w:lang w:val="en-US"/>
        </w:rPr>
        <w:t xml:space="preserve"> </w:t>
      </w:r>
      <w:r w:rsidR="006318F4">
        <w:rPr>
          <w:rFonts w:ascii="Times New Roman" w:hAnsi="Times New Roman"/>
          <w:szCs w:val="24"/>
          <w:shd w:val="clear" w:color="auto" w:fill="FFFFFF"/>
          <w:lang w:val="sr-Cyrl-BA"/>
        </w:rPr>
        <w:t>спровођење</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ГАП</w:t>
      </w:r>
      <w:r w:rsidR="009E54A2"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9E54A2" w:rsidRPr="00295637">
        <w:rPr>
          <w:rFonts w:ascii="Times New Roman" w:hAnsi="Times New Roman"/>
          <w:szCs w:val="24"/>
          <w:shd w:val="clear" w:color="auto" w:fill="FFFFFF"/>
          <w:lang w:val="en-US"/>
        </w:rPr>
        <w:t xml:space="preserve"> </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Као</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и</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до</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сада</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Управни</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одбор</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чине</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директорице</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АР</w:t>
      </w:r>
      <w:r w:rsidR="006318F4">
        <w:rPr>
          <w:rFonts w:ascii="Times New Roman" w:hAnsi="Times New Roman"/>
          <w:szCs w:val="24"/>
          <w:shd w:val="clear" w:color="auto" w:fill="FFFFFF"/>
          <w:lang w:val="sr-Cyrl-BA"/>
        </w:rPr>
        <w:t>П</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МЉПИ</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БиХ</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и</w:t>
      </w:r>
      <w:r w:rsidR="00BE66CB"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ЦЈРП</w:t>
      </w:r>
      <w:r w:rsidR="00314B0D">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РС</w:t>
      </w:r>
      <w:r w:rsidR="004D3A25"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и</w:t>
      </w:r>
      <w:r w:rsidR="004D3A25" w:rsidRPr="00295637">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директор</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ГЦ</w:t>
      </w:r>
      <w:r w:rsidR="00831EA5">
        <w:rPr>
          <w:rFonts w:ascii="Times New Roman" w:hAnsi="Times New Roman"/>
          <w:szCs w:val="24"/>
          <w:shd w:val="clear" w:color="auto" w:fill="FFFFFF"/>
          <w:lang w:val="en-US"/>
        </w:rPr>
        <w:t xml:space="preserve"> </w:t>
      </w:r>
      <w:r>
        <w:rPr>
          <w:rFonts w:ascii="Times New Roman" w:hAnsi="Times New Roman"/>
          <w:szCs w:val="24"/>
          <w:shd w:val="clear" w:color="auto" w:fill="FFFFFF"/>
          <w:lang w:val="en-US"/>
        </w:rPr>
        <w:t>ФБиХ</w:t>
      </w:r>
      <w:r w:rsidR="004D3A25" w:rsidRPr="00295637">
        <w:rPr>
          <w:rFonts w:ascii="Times New Roman" w:hAnsi="Times New Roman"/>
          <w:szCs w:val="24"/>
          <w:shd w:val="clear" w:color="auto" w:fill="FFFFFF"/>
          <w:lang w:val="en-US"/>
        </w:rPr>
        <w:t>.</w:t>
      </w:r>
    </w:p>
    <w:p w:rsidR="00FF59AA" w:rsidRPr="00295637" w:rsidRDefault="00FF59AA" w:rsidP="0086268D">
      <w:pPr>
        <w:rPr>
          <w:lang w:val="bs-Latn-BA"/>
        </w:rPr>
      </w:pPr>
    </w:p>
    <w:p w:rsidR="00356C2C" w:rsidRPr="00295637" w:rsidRDefault="006318F4" w:rsidP="002327D1">
      <w:pPr>
        <w:tabs>
          <w:tab w:val="left" w:pos="284"/>
          <w:tab w:val="left" w:pos="630"/>
          <w:tab w:val="left" w:pos="1080"/>
        </w:tabs>
        <w:ind w:left="567"/>
        <w:jc w:val="both"/>
        <w:rPr>
          <w:rFonts w:ascii="Times New Roman" w:hAnsi="Times New Roman"/>
          <w:szCs w:val="24"/>
          <w:lang w:val="bs-Latn-BA"/>
        </w:rPr>
      </w:pPr>
      <w:r w:rsidRPr="006318F4">
        <w:rPr>
          <w:rFonts w:ascii="Times New Roman" w:hAnsi="Times New Roman"/>
          <w:szCs w:val="24"/>
          <w:lang w:val="bs-Latn-BA"/>
        </w:rPr>
        <w:t>II</w:t>
      </w:r>
      <w:r w:rsidR="002327D1">
        <w:rPr>
          <w:rFonts w:ascii="Times New Roman" w:hAnsi="Times New Roman"/>
          <w:szCs w:val="24"/>
          <w:lang w:val="bs-Latn-BA"/>
        </w:rPr>
        <w:t xml:space="preserve"> 1.2. </w:t>
      </w:r>
      <w:r w:rsidR="00C6214E">
        <w:rPr>
          <w:rFonts w:ascii="Times New Roman" w:hAnsi="Times New Roman"/>
          <w:szCs w:val="24"/>
          <w:lang w:val="bs-Latn-BA"/>
        </w:rPr>
        <w:t>Успостављање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КО</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праћење</w:t>
      </w:r>
      <w:r w:rsidR="00356C2C" w:rsidRPr="00295637">
        <w:rPr>
          <w:rFonts w:ascii="Times New Roman" w:hAnsi="Times New Roman"/>
          <w:szCs w:val="24"/>
          <w:lang w:val="bs-Latn-BA"/>
        </w:rPr>
        <w:t xml:space="preserve"> </w:t>
      </w:r>
      <w:r>
        <w:rPr>
          <w:rFonts w:ascii="Times New Roman" w:hAnsi="Times New Roman"/>
          <w:szCs w:val="24"/>
          <w:lang w:val="sr-Cyrl-BA"/>
        </w:rPr>
        <w:t>спровођења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ГАП</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нивоу</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институција</w:t>
      </w:r>
      <w:r w:rsidR="002327D1">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БД</w:t>
      </w:r>
      <w:r w:rsidR="00050016">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којег</w:t>
      </w:r>
      <w:r w:rsidR="00356C2C" w:rsidRPr="00295637">
        <w:rPr>
          <w:rFonts w:ascii="Times New Roman" w:hAnsi="Times New Roman"/>
          <w:szCs w:val="24"/>
          <w:lang w:val="bs-Latn-BA"/>
        </w:rPr>
        <w:t xml:space="preserve"> </w:t>
      </w:r>
      <w:r w:rsidR="00C6214E">
        <w:rPr>
          <w:rFonts w:ascii="Times New Roman" w:hAnsi="Times New Roman"/>
          <w:szCs w:val="24"/>
          <w:lang w:val="bs-Latn-BA"/>
        </w:rPr>
        <w:t>чине</w:t>
      </w:r>
      <w:r w:rsidR="00356C2C" w:rsidRPr="00295637">
        <w:rPr>
          <w:rFonts w:ascii="Times New Roman" w:hAnsi="Times New Roman"/>
          <w:szCs w:val="24"/>
          <w:lang w:val="bs-Latn-BA"/>
        </w:rPr>
        <w:t xml:space="preserve"> </w:t>
      </w:r>
      <w:r w:rsidR="00C6214E">
        <w:rPr>
          <w:rFonts w:ascii="Times New Roman" w:hAnsi="Times New Roman"/>
          <w:szCs w:val="24"/>
          <w:lang w:val="bs-Latn-BA"/>
        </w:rPr>
        <w:t>АР</w:t>
      </w:r>
      <w:r>
        <w:rPr>
          <w:rFonts w:ascii="Times New Roman" w:hAnsi="Times New Roman"/>
          <w:szCs w:val="24"/>
          <w:lang w:val="sr-Cyrl-BA"/>
        </w:rPr>
        <w:t>П</w:t>
      </w:r>
      <w:r w:rsidR="00831EA5">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МЉПИ</w:t>
      </w:r>
      <w:r w:rsidR="00831EA5">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w:t>
      </w:r>
      <w:r w:rsidR="00112293" w:rsidRPr="00295637">
        <w:rPr>
          <w:rFonts w:ascii="Times New Roman" w:hAnsi="Times New Roman"/>
          <w:szCs w:val="24"/>
          <w:lang w:val="bs-Latn-BA"/>
        </w:rPr>
        <w:t xml:space="preserve"> </w:t>
      </w:r>
      <w:r w:rsidR="00C6214E">
        <w:rPr>
          <w:rFonts w:ascii="Times New Roman" w:hAnsi="Times New Roman"/>
          <w:szCs w:val="24"/>
          <w:lang w:val="bs-Latn-BA"/>
        </w:rPr>
        <w:t>институције</w:t>
      </w:r>
      <w:r w:rsidR="00050016">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БД</w:t>
      </w:r>
      <w:r w:rsidR="002327D1">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w:t>
      </w:r>
    </w:p>
    <w:p w:rsidR="00C05C2D" w:rsidRPr="00295637" w:rsidRDefault="00C05C2D" w:rsidP="0086268D"/>
    <w:p w:rsidR="00C05C2D" w:rsidRPr="00295637" w:rsidRDefault="00C6214E" w:rsidP="0086268D">
      <w:pPr>
        <w:jc w:val="both"/>
        <w:rPr>
          <w:rFonts w:ascii="Times New Roman" w:hAnsi="Times New Roman"/>
        </w:rPr>
      </w:pPr>
      <w:r>
        <w:rPr>
          <w:rFonts w:ascii="Times New Roman" w:hAnsi="Times New Roman"/>
        </w:rPr>
        <w:t>АР</w:t>
      </w:r>
      <w:r w:rsidR="006318F4">
        <w:rPr>
          <w:rFonts w:ascii="Times New Roman" w:hAnsi="Times New Roman"/>
          <w:lang w:val="sr-Cyrl-BA"/>
        </w:rPr>
        <w:t>П</w:t>
      </w:r>
      <w:r w:rsidR="00831EA5">
        <w:rPr>
          <w:rFonts w:ascii="Times New Roman" w:hAnsi="Times New Roman"/>
        </w:rPr>
        <w:t xml:space="preserve"> </w:t>
      </w:r>
      <w:r>
        <w:rPr>
          <w:rFonts w:ascii="Times New Roman" w:hAnsi="Times New Roman"/>
        </w:rPr>
        <w:t>БиХ</w:t>
      </w:r>
      <w:r w:rsidR="00831EA5">
        <w:rPr>
          <w:rFonts w:ascii="Times New Roman" w:hAnsi="Times New Roman"/>
        </w:rPr>
        <w:t xml:space="preserve"> </w:t>
      </w:r>
      <w:r>
        <w:rPr>
          <w:rFonts w:ascii="Times New Roman" w:hAnsi="Times New Roman"/>
        </w:rPr>
        <w:t>МЉПИ</w:t>
      </w:r>
      <w:r w:rsidR="00831EA5">
        <w:rPr>
          <w:rFonts w:ascii="Times New Roman" w:hAnsi="Times New Roman"/>
        </w:rPr>
        <w:t xml:space="preserve"> </w:t>
      </w:r>
      <w:r>
        <w:rPr>
          <w:rFonts w:ascii="Times New Roman" w:hAnsi="Times New Roman"/>
        </w:rPr>
        <w:t>БиХ</w:t>
      </w:r>
      <w:r w:rsidR="00E61368" w:rsidRPr="00295637">
        <w:rPr>
          <w:rFonts w:ascii="Times New Roman" w:hAnsi="Times New Roman"/>
        </w:rPr>
        <w:t xml:space="preserve"> </w:t>
      </w:r>
      <w:r>
        <w:rPr>
          <w:rFonts w:ascii="Times New Roman" w:hAnsi="Times New Roman"/>
        </w:rPr>
        <w:t>је</w:t>
      </w:r>
      <w:r w:rsidR="00E61368" w:rsidRPr="00295637">
        <w:rPr>
          <w:rFonts w:ascii="Times New Roman" w:hAnsi="Times New Roman"/>
        </w:rPr>
        <w:t xml:space="preserve"> </w:t>
      </w:r>
      <w:r>
        <w:rPr>
          <w:rFonts w:ascii="Times New Roman" w:hAnsi="Times New Roman"/>
        </w:rPr>
        <w:t>у</w:t>
      </w:r>
      <w:r w:rsidR="00E61368" w:rsidRPr="00295637">
        <w:rPr>
          <w:rFonts w:ascii="Times New Roman" w:hAnsi="Times New Roman"/>
        </w:rPr>
        <w:t xml:space="preserve"> </w:t>
      </w:r>
      <w:r>
        <w:rPr>
          <w:rFonts w:ascii="Times New Roman" w:hAnsi="Times New Roman"/>
        </w:rPr>
        <w:t>марту</w:t>
      </w:r>
      <w:r w:rsidR="00E61368" w:rsidRPr="00295637">
        <w:rPr>
          <w:rFonts w:ascii="Times New Roman" w:hAnsi="Times New Roman"/>
        </w:rPr>
        <w:t xml:space="preserve"> 2024. </w:t>
      </w:r>
      <w:r>
        <w:rPr>
          <w:rFonts w:ascii="Times New Roman" w:hAnsi="Times New Roman"/>
        </w:rPr>
        <w:t>године</w:t>
      </w:r>
      <w:r w:rsidR="00E61368" w:rsidRPr="00295637">
        <w:rPr>
          <w:rFonts w:ascii="Times New Roman" w:hAnsi="Times New Roman"/>
        </w:rPr>
        <w:t xml:space="preserve">, </w:t>
      </w:r>
      <w:r>
        <w:rPr>
          <w:rFonts w:ascii="Times New Roman" w:hAnsi="Times New Roman"/>
        </w:rPr>
        <w:t>упутила</w:t>
      </w:r>
      <w:r w:rsidR="00E61368" w:rsidRPr="00295637">
        <w:rPr>
          <w:rFonts w:ascii="Times New Roman" w:hAnsi="Times New Roman"/>
        </w:rPr>
        <w:t xml:space="preserve"> </w:t>
      </w:r>
      <w:r>
        <w:rPr>
          <w:rFonts w:ascii="Times New Roman" w:hAnsi="Times New Roman"/>
        </w:rPr>
        <w:t>затјев</w:t>
      </w:r>
      <w:r w:rsidR="00E61368" w:rsidRPr="00295637">
        <w:rPr>
          <w:rFonts w:ascii="Times New Roman" w:hAnsi="Times New Roman"/>
        </w:rPr>
        <w:t xml:space="preserve"> </w:t>
      </w:r>
      <w:r>
        <w:rPr>
          <w:rFonts w:ascii="Times New Roman" w:hAnsi="Times New Roman"/>
        </w:rPr>
        <w:t>за</w:t>
      </w:r>
      <w:r w:rsidR="00E61368" w:rsidRPr="00295637">
        <w:rPr>
          <w:rFonts w:ascii="Times New Roman" w:hAnsi="Times New Roman"/>
        </w:rPr>
        <w:t xml:space="preserve"> </w:t>
      </w:r>
      <w:r>
        <w:rPr>
          <w:rFonts w:ascii="Times New Roman" w:hAnsi="Times New Roman"/>
        </w:rPr>
        <w:t>номинацију</w:t>
      </w:r>
      <w:r w:rsidR="00E61368" w:rsidRPr="00295637">
        <w:rPr>
          <w:rFonts w:ascii="Times New Roman" w:hAnsi="Times New Roman"/>
        </w:rPr>
        <w:t xml:space="preserve"> </w:t>
      </w:r>
      <w:r>
        <w:rPr>
          <w:rFonts w:ascii="Times New Roman" w:hAnsi="Times New Roman"/>
        </w:rPr>
        <w:t>нових</w:t>
      </w:r>
      <w:r w:rsidR="00E61368" w:rsidRPr="00295637">
        <w:rPr>
          <w:rFonts w:ascii="Times New Roman" w:hAnsi="Times New Roman"/>
        </w:rPr>
        <w:t xml:space="preserve"> </w:t>
      </w:r>
      <w:r>
        <w:rPr>
          <w:rFonts w:ascii="Times New Roman" w:hAnsi="Times New Roman"/>
        </w:rPr>
        <w:t>чланова</w:t>
      </w:r>
      <w:r w:rsidR="00E61368" w:rsidRPr="00295637">
        <w:rPr>
          <w:rFonts w:ascii="Times New Roman" w:hAnsi="Times New Roman"/>
        </w:rPr>
        <w:t xml:space="preserve"> </w:t>
      </w:r>
      <w:r>
        <w:rPr>
          <w:rFonts w:ascii="Times New Roman" w:hAnsi="Times New Roman"/>
        </w:rPr>
        <w:t>у</w:t>
      </w:r>
      <w:r w:rsidR="00E61368" w:rsidRPr="00295637">
        <w:rPr>
          <w:rFonts w:ascii="Times New Roman" w:hAnsi="Times New Roman"/>
        </w:rPr>
        <w:t xml:space="preserve"> </w:t>
      </w:r>
      <w:r>
        <w:rPr>
          <w:rFonts w:ascii="Times New Roman" w:hAnsi="Times New Roman"/>
        </w:rPr>
        <w:t>КО</w:t>
      </w:r>
      <w:r w:rsidR="00E61368" w:rsidRPr="00295637">
        <w:rPr>
          <w:rFonts w:ascii="Times New Roman" w:hAnsi="Times New Roman"/>
        </w:rPr>
        <w:t xml:space="preserve"> </w:t>
      </w:r>
      <w:r>
        <w:rPr>
          <w:rFonts w:ascii="Times New Roman" w:hAnsi="Times New Roman"/>
        </w:rPr>
        <w:t>за</w:t>
      </w:r>
      <w:r w:rsidR="00E61368" w:rsidRPr="00295637">
        <w:rPr>
          <w:rFonts w:ascii="Times New Roman" w:hAnsi="Times New Roman"/>
        </w:rPr>
        <w:t xml:space="preserve"> </w:t>
      </w:r>
      <w:r>
        <w:rPr>
          <w:rFonts w:ascii="Times New Roman" w:hAnsi="Times New Roman"/>
        </w:rPr>
        <w:t>праћење</w:t>
      </w:r>
      <w:r w:rsidR="00E61368" w:rsidRPr="00295637">
        <w:rPr>
          <w:rFonts w:ascii="Times New Roman" w:hAnsi="Times New Roman"/>
        </w:rPr>
        <w:t xml:space="preserve"> </w:t>
      </w:r>
      <w:r w:rsidR="006318F4">
        <w:rPr>
          <w:rFonts w:ascii="Times New Roman" w:hAnsi="Times New Roman"/>
          <w:lang w:val="sr-Cyrl-BA"/>
        </w:rPr>
        <w:t>спровођења</w:t>
      </w:r>
      <w:r w:rsidR="00E61368" w:rsidRPr="00295637">
        <w:rPr>
          <w:rFonts w:ascii="Times New Roman" w:hAnsi="Times New Roman"/>
        </w:rPr>
        <w:t xml:space="preserve"> </w:t>
      </w:r>
      <w:r>
        <w:rPr>
          <w:rFonts w:ascii="Times New Roman" w:hAnsi="Times New Roman"/>
        </w:rPr>
        <w:t>ГАП</w:t>
      </w:r>
      <w:r w:rsidR="009E54A2" w:rsidRPr="00295637">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Pr>
          <w:rFonts w:ascii="Times New Roman" w:hAnsi="Times New Roman"/>
        </w:rPr>
        <w:t>на</w:t>
      </w:r>
      <w:r w:rsidR="00E61368" w:rsidRPr="00295637">
        <w:rPr>
          <w:rFonts w:ascii="Times New Roman" w:hAnsi="Times New Roman"/>
        </w:rPr>
        <w:t xml:space="preserve"> </w:t>
      </w:r>
      <w:r>
        <w:rPr>
          <w:rFonts w:ascii="Times New Roman" w:hAnsi="Times New Roman"/>
        </w:rPr>
        <w:t>нивоу</w:t>
      </w:r>
      <w:r w:rsidR="00E61368" w:rsidRPr="00295637">
        <w:rPr>
          <w:rFonts w:ascii="Times New Roman" w:hAnsi="Times New Roman"/>
        </w:rPr>
        <w:t xml:space="preserve"> </w:t>
      </w:r>
      <w:r>
        <w:rPr>
          <w:rFonts w:ascii="Times New Roman" w:hAnsi="Times New Roman"/>
        </w:rPr>
        <w:t>институција</w:t>
      </w:r>
      <w:r w:rsidR="00E61368" w:rsidRPr="00295637">
        <w:rPr>
          <w:rFonts w:ascii="Times New Roman" w:hAnsi="Times New Roman"/>
        </w:rPr>
        <w:t xml:space="preserve"> </w:t>
      </w:r>
      <w:r>
        <w:rPr>
          <w:rFonts w:ascii="Times New Roman" w:hAnsi="Times New Roman"/>
        </w:rPr>
        <w:t>БиХ</w:t>
      </w:r>
      <w:r w:rsidR="00E61368" w:rsidRPr="00295637">
        <w:rPr>
          <w:rFonts w:ascii="Times New Roman" w:hAnsi="Times New Roman"/>
        </w:rPr>
        <w:t xml:space="preserve">, </w:t>
      </w:r>
      <w:r>
        <w:rPr>
          <w:rFonts w:ascii="Times New Roman" w:hAnsi="Times New Roman"/>
        </w:rPr>
        <w:t>умјесто</w:t>
      </w:r>
      <w:r w:rsidR="00E61368" w:rsidRPr="00295637">
        <w:rPr>
          <w:rFonts w:ascii="Times New Roman" w:hAnsi="Times New Roman"/>
        </w:rPr>
        <w:t xml:space="preserve"> </w:t>
      </w:r>
      <w:r>
        <w:rPr>
          <w:rFonts w:ascii="Times New Roman" w:hAnsi="Times New Roman"/>
        </w:rPr>
        <w:t>чланова</w:t>
      </w:r>
      <w:r w:rsidR="00E61368" w:rsidRPr="00295637">
        <w:rPr>
          <w:rFonts w:ascii="Times New Roman" w:hAnsi="Times New Roman"/>
        </w:rPr>
        <w:t xml:space="preserve"> </w:t>
      </w:r>
      <w:r>
        <w:rPr>
          <w:rFonts w:ascii="Times New Roman" w:hAnsi="Times New Roman"/>
        </w:rPr>
        <w:t>који</w:t>
      </w:r>
      <w:r w:rsidR="00E61368" w:rsidRPr="00295637">
        <w:rPr>
          <w:rFonts w:ascii="Times New Roman" w:hAnsi="Times New Roman"/>
        </w:rPr>
        <w:t xml:space="preserve"> </w:t>
      </w:r>
      <w:r>
        <w:rPr>
          <w:rFonts w:ascii="Times New Roman" w:hAnsi="Times New Roman"/>
        </w:rPr>
        <w:t>су</w:t>
      </w:r>
      <w:r w:rsidR="00E61368" w:rsidRPr="00295637">
        <w:rPr>
          <w:rFonts w:ascii="Times New Roman" w:hAnsi="Times New Roman"/>
        </w:rPr>
        <w:t xml:space="preserve"> </w:t>
      </w:r>
      <w:r>
        <w:rPr>
          <w:rFonts w:ascii="Times New Roman" w:hAnsi="Times New Roman"/>
        </w:rPr>
        <w:t>прешли</w:t>
      </w:r>
      <w:r w:rsidR="00E61368" w:rsidRPr="00295637">
        <w:rPr>
          <w:rFonts w:ascii="Times New Roman" w:hAnsi="Times New Roman"/>
        </w:rPr>
        <w:t xml:space="preserve"> </w:t>
      </w:r>
      <w:r>
        <w:rPr>
          <w:rFonts w:ascii="Times New Roman" w:hAnsi="Times New Roman"/>
        </w:rPr>
        <w:t>на</w:t>
      </w:r>
      <w:r w:rsidR="00E61368" w:rsidRPr="00295637">
        <w:rPr>
          <w:rFonts w:ascii="Times New Roman" w:hAnsi="Times New Roman"/>
        </w:rPr>
        <w:t xml:space="preserve"> </w:t>
      </w:r>
      <w:r>
        <w:rPr>
          <w:rFonts w:ascii="Times New Roman" w:hAnsi="Times New Roman"/>
        </w:rPr>
        <w:t>друго</w:t>
      </w:r>
      <w:r w:rsidR="00E61368" w:rsidRPr="00295637">
        <w:rPr>
          <w:rFonts w:ascii="Times New Roman" w:hAnsi="Times New Roman"/>
        </w:rPr>
        <w:t xml:space="preserve"> </w:t>
      </w:r>
      <w:r>
        <w:rPr>
          <w:rFonts w:ascii="Times New Roman" w:hAnsi="Times New Roman"/>
        </w:rPr>
        <w:t>радно</w:t>
      </w:r>
      <w:r w:rsidR="00E61368" w:rsidRPr="00295637">
        <w:rPr>
          <w:rFonts w:ascii="Times New Roman" w:hAnsi="Times New Roman"/>
        </w:rPr>
        <w:t xml:space="preserve"> </w:t>
      </w:r>
      <w:r>
        <w:rPr>
          <w:rFonts w:ascii="Times New Roman" w:hAnsi="Times New Roman"/>
        </w:rPr>
        <w:t>мјесто</w:t>
      </w:r>
      <w:r w:rsidR="00E61368" w:rsidRPr="00295637">
        <w:rPr>
          <w:rFonts w:ascii="Times New Roman" w:hAnsi="Times New Roman"/>
        </w:rPr>
        <w:t xml:space="preserve"> </w:t>
      </w:r>
      <w:r>
        <w:rPr>
          <w:rFonts w:ascii="Times New Roman" w:hAnsi="Times New Roman"/>
        </w:rPr>
        <w:t>или</w:t>
      </w:r>
      <w:r w:rsidR="00E61368" w:rsidRPr="00295637">
        <w:rPr>
          <w:rFonts w:ascii="Times New Roman" w:hAnsi="Times New Roman"/>
        </w:rPr>
        <w:t xml:space="preserve"> </w:t>
      </w:r>
      <w:r>
        <w:rPr>
          <w:rFonts w:ascii="Times New Roman" w:hAnsi="Times New Roman"/>
        </w:rPr>
        <w:t>су</w:t>
      </w:r>
      <w:r w:rsidR="00E61368" w:rsidRPr="00295637">
        <w:rPr>
          <w:rFonts w:ascii="Times New Roman" w:hAnsi="Times New Roman"/>
        </w:rPr>
        <w:t xml:space="preserve"> </w:t>
      </w:r>
      <w:r>
        <w:rPr>
          <w:rFonts w:ascii="Times New Roman" w:hAnsi="Times New Roman"/>
        </w:rPr>
        <w:t>пензионисани</w:t>
      </w:r>
      <w:r w:rsidR="00E61368" w:rsidRPr="00295637">
        <w:rPr>
          <w:rFonts w:ascii="Times New Roman" w:hAnsi="Times New Roman"/>
        </w:rPr>
        <w:t xml:space="preserve">. </w:t>
      </w:r>
      <w:r>
        <w:rPr>
          <w:rFonts w:ascii="Times New Roman" w:hAnsi="Times New Roman"/>
        </w:rPr>
        <w:t>Институције</w:t>
      </w:r>
      <w:r w:rsidR="00C05C2D" w:rsidRPr="00295637">
        <w:rPr>
          <w:rFonts w:ascii="Times New Roman" w:hAnsi="Times New Roman"/>
        </w:rPr>
        <w:t xml:space="preserve"> </w:t>
      </w:r>
      <w:r>
        <w:rPr>
          <w:rFonts w:ascii="Times New Roman" w:hAnsi="Times New Roman"/>
        </w:rPr>
        <w:t>су</w:t>
      </w:r>
      <w:r w:rsidR="00C05C2D" w:rsidRPr="00295637">
        <w:rPr>
          <w:rFonts w:ascii="Times New Roman" w:hAnsi="Times New Roman"/>
        </w:rPr>
        <w:t xml:space="preserve"> </w:t>
      </w:r>
      <w:r>
        <w:rPr>
          <w:rFonts w:ascii="Times New Roman" w:hAnsi="Times New Roman"/>
        </w:rPr>
        <w:t>доставиле</w:t>
      </w:r>
      <w:r w:rsidR="00C05C2D" w:rsidRPr="00295637">
        <w:rPr>
          <w:rFonts w:ascii="Times New Roman" w:hAnsi="Times New Roman"/>
        </w:rPr>
        <w:t xml:space="preserve"> </w:t>
      </w:r>
      <w:r>
        <w:rPr>
          <w:rFonts w:ascii="Times New Roman" w:hAnsi="Times New Roman"/>
        </w:rPr>
        <w:t>имена</w:t>
      </w:r>
      <w:r w:rsidR="00C05C2D" w:rsidRPr="00295637">
        <w:rPr>
          <w:rFonts w:ascii="Times New Roman" w:hAnsi="Times New Roman"/>
        </w:rPr>
        <w:t xml:space="preserve"> </w:t>
      </w:r>
      <w:r>
        <w:rPr>
          <w:rFonts w:ascii="Times New Roman" w:hAnsi="Times New Roman"/>
        </w:rPr>
        <w:t>нових</w:t>
      </w:r>
      <w:r w:rsidR="00C05C2D" w:rsidRPr="00295637">
        <w:rPr>
          <w:rFonts w:ascii="Times New Roman" w:hAnsi="Times New Roman"/>
        </w:rPr>
        <w:t xml:space="preserve"> </w:t>
      </w:r>
      <w:r>
        <w:rPr>
          <w:rFonts w:ascii="Times New Roman" w:hAnsi="Times New Roman"/>
        </w:rPr>
        <w:t>представника</w:t>
      </w:r>
      <w:r w:rsidR="00C05C2D" w:rsidRPr="00295637">
        <w:rPr>
          <w:rFonts w:ascii="Times New Roman" w:hAnsi="Times New Roman"/>
        </w:rPr>
        <w:t xml:space="preserve"> </w:t>
      </w:r>
      <w:r>
        <w:rPr>
          <w:rFonts w:ascii="Times New Roman" w:hAnsi="Times New Roman"/>
        </w:rPr>
        <w:t>надлежних</w:t>
      </w:r>
      <w:r w:rsidR="00C05C2D" w:rsidRPr="00295637">
        <w:rPr>
          <w:rFonts w:ascii="Times New Roman" w:hAnsi="Times New Roman"/>
        </w:rPr>
        <w:t xml:space="preserve"> </w:t>
      </w:r>
      <w:r>
        <w:rPr>
          <w:rFonts w:ascii="Times New Roman" w:hAnsi="Times New Roman"/>
        </w:rPr>
        <w:t>институција</w:t>
      </w:r>
      <w:r w:rsidR="00C05C2D" w:rsidRPr="00295637">
        <w:rPr>
          <w:rFonts w:ascii="Times New Roman" w:hAnsi="Times New Roman"/>
        </w:rPr>
        <w:t xml:space="preserve">, </w:t>
      </w:r>
      <w:r>
        <w:rPr>
          <w:rFonts w:ascii="Times New Roman" w:hAnsi="Times New Roman"/>
        </w:rPr>
        <w:t>те</w:t>
      </w:r>
      <w:r w:rsidR="00C05C2D" w:rsidRPr="00295637">
        <w:rPr>
          <w:rFonts w:ascii="Times New Roman" w:hAnsi="Times New Roman"/>
        </w:rPr>
        <w:t xml:space="preserve"> </w:t>
      </w:r>
      <w:r>
        <w:rPr>
          <w:rFonts w:ascii="Times New Roman" w:hAnsi="Times New Roman"/>
        </w:rPr>
        <w:t>је</w:t>
      </w:r>
      <w:r w:rsidR="00C05C2D" w:rsidRPr="00295637">
        <w:rPr>
          <w:rFonts w:ascii="Times New Roman" w:hAnsi="Times New Roman"/>
        </w:rPr>
        <w:t xml:space="preserve"> </w:t>
      </w:r>
      <w:r>
        <w:rPr>
          <w:rFonts w:ascii="Times New Roman" w:hAnsi="Times New Roman"/>
        </w:rPr>
        <w:t>израђен</w:t>
      </w:r>
      <w:r w:rsidR="002327D1">
        <w:rPr>
          <w:rFonts w:ascii="Times New Roman" w:hAnsi="Times New Roman"/>
        </w:rPr>
        <w:t xml:space="preserve"> </w:t>
      </w:r>
      <w:r>
        <w:rPr>
          <w:rFonts w:ascii="Times New Roman" w:hAnsi="Times New Roman"/>
        </w:rPr>
        <w:t>Приједлог</w:t>
      </w:r>
      <w:r w:rsidR="002327D1">
        <w:rPr>
          <w:rFonts w:ascii="Times New Roman" w:hAnsi="Times New Roman"/>
        </w:rPr>
        <w:t xml:space="preserve"> </w:t>
      </w:r>
      <w:r>
        <w:rPr>
          <w:rFonts w:ascii="Times New Roman" w:hAnsi="Times New Roman"/>
        </w:rPr>
        <w:t>одлуке</w:t>
      </w:r>
      <w:r w:rsidR="002327D1">
        <w:rPr>
          <w:rFonts w:ascii="Times New Roman" w:hAnsi="Times New Roman"/>
        </w:rPr>
        <w:t xml:space="preserve"> </w:t>
      </w:r>
      <w:r>
        <w:rPr>
          <w:rFonts w:ascii="Times New Roman" w:hAnsi="Times New Roman"/>
        </w:rPr>
        <w:t>о</w:t>
      </w:r>
      <w:r w:rsidR="002327D1">
        <w:rPr>
          <w:rFonts w:ascii="Times New Roman" w:hAnsi="Times New Roman"/>
        </w:rPr>
        <w:t xml:space="preserve"> </w:t>
      </w:r>
      <w:r>
        <w:rPr>
          <w:rFonts w:ascii="Times New Roman" w:hAnsi="Times New Roman"/>
        </w:rPr>
        <w:t>измјени</w:t>
      </w:r>
      <w:r w:rsidR="002327D1">
        <w:rPr>
          <w:rFonts w:ascii="Times New Roman" w:hAnsi="Times New Roman"/>
        </w:rPr>
        <w:t xml:space="preserve"> </w:t>
      </w:r>
      <w:r>
        <w:rPr>
          <w:rFonts w:ascii="Times New Roman" w:hAnsi="Times New Roman"/>
        </w:rPr>
        <w:t>Одлуке</w:t>
      </w:r>
      <w:r w:rsidR="00C05C2D" w:rsidRPr="00295637">
        <w:rPr>
          <w:rFonts w:ascii="Times New Roman" w:hAnsi="Times New Roman"/>
        </w:rPr>
        <w:t xml:space="preserve"> </w:t>
      </w:r>
      <w:r>
        <w:rPr>
          <w:rFonts w:ascii="Times New Roman" w:hAnsi="Times New Roman"/>
        </w:rPr>
        <w:t>о</w:t>
      </w:r>
      <w:r w:rsidR="00C05C2D" w:rsidRPr="00295637">
        <w:rPr>
          <w:rFonts w:ascii="Times New Roman" w:hAnsi="Times New Roman"/>
        </w:rPr>
        <w:t xml:space="preserve"> </w:t>
      </w:r>
      <w:r>
        <w:rPr>
          <w:rFonts w:ascii="Times New Roman" w:hAnsi="Times New Roman"/>
        </w:rPr>
        <w:t>успостављању</w:t>
      </w:r>
      <w:r w:rsidR="00C05C2D" w:rsidRPr="00295637">
        <w:rPr>
          <w:rFonts w:ascii="Times New Roman" w:hAnsi="Times New Roman"/>
        </w:rPr>
        <w:t xml:space="preserve"> </w:t>
      </w:r>
      <w:r>
        <w:rPr>
          <w:rFonts w:ascii="Times New Roman" w:hAnsi="Times New Roman"/>
        </w:rPr>
        <w:t>КО</w:t>
      </w:r>
      <w:r w:rsidR="00C05C2D" w:rsidRPr="00295637">
        <w:rPr>
          <w:rFonts w:ascii="Times New Roman" w:hAnsi="Times New Roman"/>
        </w:rPr>
        <w:t xml:space="preserve"> </w:t>
      </w:r>
      <w:r>
        <w:rPr>
          <w:rFonts w:ascii="Times New Roman" w:hAnsi="Times New Roman"/>
        </w:rPr>
        <w:t>за</w:t>
      </w:r>
      <w:r w:rsidR="00C05C2D" w:rsidRPr="00295637">
        <w:rPr>
          <w:rFonts w:ascii="Times New Roman" w:hAnsi="Times New Roman"/>
        </w:rPr>
        <w:t xml:space="preserve"> </w:t>
      </w:r>
      <w:r>
        <w:rPr>
          <w:rFonts w:ascii="Times New Roman" w:hAnsi="Times New Roman"/>
        </w:rPr>
        <w:t>праћење</w:t>
      </w:r>
      <w:r w:rsidR="00C05C2D" w:rsidRPr="00295637">
        <w:rPr>
          <w:rFonts w:ascii="Times New Roman" w:hAnsi="Times New Roman"/>
        </w:rPr>
        <w:t xml:space="preserve"> </w:t>
      </w:r>
      <w:r w:rsidR="006318F4">
        <w:rPr>
          <w:rFonts w:ascii="Times New Roman" w:hAnsi="Times New Roman"/>
          <w:lang w:val="sr-Cyrl-BA"/>
        </w:rPr>
        <w:t>спровођења</w:t>
      </w:r>
      <w:r w:rsidR="00C05C2D" w:rsidRPr="00295637">
        <w:rPr>
          <w:rFonts w:ascii="Times New Roman" w:hAnsi="Times New Roman"/>
        </w:rPr>
        <w:t xml:space="preserve"> </w:t>
      </w:r>
      <w:r>
        <w:rPr>
          <w:rFonts w:ascii="Times New Roman" w:hAnsi="Times New Roman"/>
        </w:rPr>
        <w:t>ГАП</w:t>
      </w:r>
      <w:r w:rsidR="00B400A2" w:rsidRPr="00295637">
        <w:rPr>
          <w:rFonts w:ascii="Times New Roman" w:hAnsi="Times New Roman"/>
        </w:rPr>
        <w:t xml:space="preserve"> </w:t>
      </w:r>
      <w:r>
        <w:rPr>
          <w:rFonts w:ascii="Times New Roman" w:hAnsi="Times New Roman"/>
        </w:rPr>
        <w:t>БиХ</w:t>
      </w:r>
      <w:r w:rsidR="00C05C2D" w:rsidRPr="00295637">
        <w:rPr>
          <w:rFonts w:ascii="Times New Roman" w:hAnsi="Times New Roman"/>
        </w:rPr>
        <w:t xml:space="preserve"> </w:t>
      </w:r>
      <w:r>
        <w:rPr>
          <w:rFonts w:ascii="Times New Roman" w:hAnsi="Times New Roman"/>
        </w:rPr>
        <w:t>који</w:t>
      </w:r>
      <w:r w:rsidR="00C05C2D" w:rsidRPr="00295637">
        <w:rPr>
          <w:rFonts w:ascii="Times New Roman" w:hAnsi="Times New Roman"/>
        </w:rPr>
        <w:t xml:space="preserve"> </w:t>
      </w:r>
      <w:r>
        <w:rPr>
          <w:rFonts w:ascii="Times New Roman" w:hAnsi="Times New Roman"/>
        </w:rPr>
        <w:t>је</w:t>
      </w:r>
      <w:r w:rsidR="00C05C2D" w:rsidRPr="00295637">
        <w:rPr>
          <w:rFonts w:ascii="Times New Roman" w:hAnsi="Times New Roman"/>
        </w:rPr>
        <w:t xml:space="preserve"> </w:t>
      </w:r>
      <w:r>
        <w:rPr>
          <w:rFonts w:ascii="Times New Roman" w:hAnsi="Times New Roman"/>
        </w:rPr>
        <w:t>достављен</w:t>
      </w:r>
      <w:r w:rsidR="00C05C2D" w:rsidRPr="00295637">
        <w:rPr>
          <w:rFonts w:ascii="Times New Roman" w:hAnsi="Times New Roman"/>
        </w:rPr>
        <w:t xml:space="preserve"> </w:t>
      </w:r>
      <w:r w:rsidR="006318F4">
        <w:rPr>
          <w:rFonts w:ascii="Times New Roman" w:hAnsi="Times New Roman"/>
          <w:lang w:val="sr-Cyrl-BA"/>
        </w:rPr>
        <w:t>С</w:t>
      </w:r>
      <w:r>
        <w:rPr>
          <w:rFonts w:ascii="Times New Roman" w:hAnsi="Times New Roman"/>
        </w:rPr>
        <w:t>М</w:t>
      </w:r>
      <w:r w:rsidR="00B400A2" w:rsidRPr="00295637">
        <w:rPr>
          <w:rFonts w:ascii="Times New Roman" w:hAnsi="Times New Roman"/>
        </w:rPr>
        <w:t xml:space="preserve"> </w:t>
      </w:r>
      <w:r>
        <w:rPr>
          <w:rFonts w:ascii="Times New Roman" w:hAnsi="Times New Roman"/>
        </w:rPr>
        <w:t>БиХ</w:t>
      </w:r>
      <w:r w:rsidR="00C05C2D" w:rsidRPr="00295637">
        <w:rPr>
          <w:rFonts w:ascii="Times New Roman" w:hAnsi="Times New Roman"/>
        </w:rPr>
        <w:t xml:space="preserve"> </w:t>
      </w:r>
      <w:r>
        <w:rPr>
          <w:rFonts w:ascii="Times New Roman" w:hAnsi="Times New Roman"/>
        </w:rPr>
        <w:t>на</w:t>
      </w:r>
      <w:r w:rsidR="00C05C2D" w:rsidRPr="00295637">
        <w:rPr>
          <w:rFonts w:ascii="Times New Roman" w:hAnsi="Times New Roman"/>
        </w:rPr>
        <w:t xml:space="preserve"> </w:t>
      </w:r>
      <w:r>
        <w:rPr>
          <w:rFonts w:ascii="Times New Roman" w:hAnsi="Times New Roman"/>
        </w:rPr>
        <w:t>усвајање</w:t>
      </w:r>
      <w:r w:rsidR="00C05C2D" w:rsidRPr="00295637">
        <w:rPr>
          <w:rFonts w:ascii="Times New Roman" w:hAnsi="Times New Roman"/>
        </w:rPr>
        <w:t xml:space="preserve">. </w:t>
      </w:r>
    </w:p>
    <w:p w:rsidR="00E61368" w:rsidRPr="00295637" w:rsidRDefault="00E61368" w:rsidP="0086268D">
      <w:pPr>
        <w:rPr>
          <w:lang w:val="bs-Latn-BA"/>
        </w:rPr>
      </w:pPr>
    </w:p>
    <w:p w:rsidR="00356C2C" w:rsidRPr="00295637" w:rsidRDefault="006318F4" w:rsidP="002327D1">
      <w:pPr>
        <w:tabs>
          <w:tab w:val="left" w:pos="284"/>
          <w:tab w:val="left" w:pos="630"/>
          <w:tab w:val="left" w:pos="1080"/>
        </w:tabs>
        <w:ind w:left="567"/>
        <w:jc w:val="both"/>
        <w:rPr>
          <w:rFonts w:ascii="Times New Roman" w:hAnsi="Times New Roman"/>
          <w:szCs w:val="24"/>
          <w:lang w:val="bs-Latn-BA"/>
        </w:rPr>
      </w:pPr>
      <w:r w:rsidRPr="006318F4">
        <w:rPr>
          <w:rFonts w:ascii="Times New Roman" w:hAnsi="Times New Roman"/>
          <w:szCs w:val="24"/>
          <w:lang w:val="bs-Latn-BA"/>
        </w:rPr>
        <w:t>II</w:t>
      </w:r>
      <w:r w:rsidR="002327D1">
        <w:rPr>
          <w:rFonts w:ascii="Times New Roman" w:hAnsi="Times New Roman"/>
          <w:szCs w:val="24"/>
          <w:lang w:val="bs-Latn-BA"/>
        </w:rPr>
        <w:t xml:space="preserve"> 1.3. </w:t>
      </w:r>
      <w:r w:rsidR="00C6214E">
        <w:rPr>
          <w:rFonts w:ascii="Times New Roman" w:hAnsi="Times New Roman"/>
          <w:szCs w:val="24"/>
          <w:lang w:val="bs-Latn-BA"/>
        </w:rPr>
        <w:t>Успостављање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КО</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праћење</w:t>
      </w:r>
      <w:r w:rsidR="00356C2C" w:rsidRPr="00295637">
        <w:rPr>
          <w:rFonts w:ascii="Times New Roman" w:hAnsi="Times New Roman"/>
          <w:szCs w:val="24"/>
          <w:lang w:val="bs-Latn-BA"/>
        </w:rPr>
        <w:t xml:space="preserve"> </w:t>
      </w:r>
      <w:r>
        <w:rPr>
          <w:rFonts w:ascii="Times New Roman" w:hAnsi="Times New Roman"/>
          <w:szCs w:val="24"/>
          <w:lang w:val="sr-Cyrl-BA"/>
        </w:rPr>
        <w:t>спровођења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ГАП</w:t>
      </w:r>
      <w:r w:rsidR="002327D1">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Републици</w:t>
      </w:r>
      <w:r w:rsidR="00050016">
        <w:rPr>
          <w:rFonts w:ascii="Times New Roman" w:hAnsi="Times New Roman"/>
          <w:szCs w:val="24"/>
          <w:lang w:val="bs-Latn-BA"/>
        </w:rPr>
        <w:t xml:space="preserve"> </w:t>
      </w:r>
      <w:r w:rsidR="00C6214E">
        <w:rPr>
          <w:rFonts w:ascii="Times New Roman" w:hAnsi="Times New Roman"/>
          <w:szCs w:val="24"/>
          <w:lang w:val="bs-Latn-BA"/>
        </w:rPr>
        <w:t>Српској</w:t>
      </w:r>
      <w:r w:rsidR="00050016">
        <w:rPr>
          <w:rFonts w:ascii="Times New Roman" w:hAnsi="Times New Roman"/>
          <w:szCs w:val="24"/>
          <w:lang w:val="bs-Latn-BA"/>
        </w:rPr>
        <w:t xml:space="preserve"> (</w:t>
      </w:r>
      <w:r w:rsidR="00C6214E">
        <w:rPr>
          <w:rFonts w:ascii="Times New Roman" w:hAnsi="Times New Roman"/>
          <w:szCs w:val="24"/>
          <w:lang w:val="bs-Latn-BA"/>
        </w:rPr>
        <w:t>којег</w:t>
      </w:r>
      <w:r w:rsidR="00050016">
        <w:rPr>
          <w:rFonts w:ascii="Times New Roman" w:hAnsi="Times New Roman"/>
          <w:szCs w:val="24"/>
          <w:lang w:val="bs-Latn-BA"/>
        </w:rPr>
        <w:t xml:space="preserve"> </w:t>
      </w:r>
      <w:r w:rsidR="00C6214E">
        <w:rPr>
          <w:rFonts w:ascii="Times New Roman" w:hAnsi="Times New Roman"/>
          <w:szCs w:val="24"/>
          <w:lang w:val="bs-Latn-BA"/>
        </w:rPr>
        <w:t>чине</w:t>
      </w:r>
      <w:r w:rsidR="00050016">
        <w:rPr>
          <w:rFonts w:ascii="Times New Roman" w:hAnsi="Times New Roman"/>
          <w:szCs w:val="24"/>
          <w:lang w:val="bs-Latn-BA"/>
        </w:rPr>
        <w:t xml:space="preserve"> </w:t>
      </w:r>
      <w:r w:rsidR="00C6214E">
        <w:rPr>
          <w:rFonts w:ascii="Times New Roman" w:hAnsi="Times New Roman"/>
          <w:szCs w:val="24"/>
          <w:lang w:val="bs-Latn-BA"/>
        </w:rPr>
        <w:t>ГЦ</w:t>
      </w:r>
      <w:r w:rsidR="00050016">
        <w:rPr>
          <w:rFonts w:ascii="Times New Roman" w:hAnsi="Times New Roman"/>
          <w:szCs w:val="24"/>
          <w:lang w:val="bs-Latn-BA"/>
        </w:rPr>
        <w:t xml:space="preserve"> </w:t>
      </w:r>
      <w:r w:rsidR="00C6214E">
        <w:rPr>
          <w:rFonts w:ascii="Times New Roman" w:hAnsi="Times New Roman"/>
          <w:szCs w:val="24"/>
          <w:lang w:val="bs-Latn-BA"/>
        </w:rPr>
        <w:t>РС</w:t>
      </w:r>
      <w:r w:rsidR="00050016">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институције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РС</w:t>
      </w:r>
      <w:r w:rsidR="00356C2C" w:rsidRPr="00295637">
        <w:rPr>
          <w:rFonts w:ascii="Times New Roman" w:hAnsi="Times New Roman"/>
          <w:szCs w:val="24"/>
          <w:lang w:val="bs-Latn-BA"/>
        </w:rPr>
        <w:t>).</w:t>
      </w:r>
    </w:p>
    <w:p w:rsidR="00E61368" w:rsidRPr="00295637" w:rsidRDefault="00E61368" w:rsidP="0086268D">
      <w:pPr>
        <w:rPr>
          <w:lang w:val="bs-Latn-BA"/>
        </w:rPr>
      </w:pPr>
    </w:p>
    <w:p w:rsidR="003D0582" w:rsidRPr="00295637" w:rsidRDefault="00C6214E" w:rsidP="0086268D">
      <w:pPr>
        <w:pStyle w:val="ListParagraph"/>
        <w:ind w:left="0"/>
        <w:jc w:val="both"/>
        <w:rPr>
          <w:rFonts w:ascii="Times New Roman" w:hAnsi="Times New Roman"/>
          <w:lang w:val="sr-Latn-BA"/>
        </w:rPr>
      </w:pPr>
      <w:r>
        <w:rPr>
          <w:rFonts w:ascii="Times New Roman" w:hAnsi="Times New Roman"/>
          <w:lang w:val="sr-Cyrl-BA"/>
        </w:rPr>
        <w:t>На</w:t>
      </w:r>
      <w:r w:rsidR="003D0582" w:rsidRPr="00295637">
        <w:rPr>
          <w:rFonts w:ascii="Times New Roman" w:hAnsi="Times New Roman"/>
          <w:lang w:val="sr-Cyrl-BA"/>
        </w:rPr>
        <w:t xml:space="preserve"> </w:t>
      </w:r>
      <w:r>
        <w:rPr>
          <w:rFonts w:ascii="Times New Roman" w:hAnsi="Times New Roman"/>
          <w:lang w:val="sr-Cyrl-BA"/>
        </w:rPr>
        <w:t>иницијативу</w:t>
      </w:r>
      <w:r w:rsidR="003D0582" w:rsidRPr="00295637">
        <w:rPr>
          <w:rFonts w:ascii="Times New Roman" w:hAnsi="Times New Roman"/>
          <w:lang w:val="sr-Cyrl-BA"/>
        </w:rPr>
        <w:t xml:space="preserve"> </w:t>
      </w:r>
      <w:r>
        <w:rPr>
          <w:rFonts w:ascii="Times New Roman" w:hAnsi="Times New Roman"/>
          <w:lang w:val="sr-Cyrl-BA"/>
        </w:rPr>
        <w:t>и</w:t>
      </w:r>
      <w:r w:rsidR="003D0582" w:rsidRPr="00295637">
        <w:rPr>
          <w:rFonts w:ascii="Times New Roman" w:hAnsi="Times New Roman"/>
          <w:lang w:val="sr-Cyrl-BA"/>
        </w:rPr>
        <w:t xml:space="preserve"> </w:t>
      </w:r>
      <w:r>
        <w:rPr>
          <w:rFonts w:ascii="Times New Roman" w:hAnsi="Times New Roman"/>
          <w:lang w:val="sr-Cyrl-BA"/>
        </w:rPr>
        <w:t>у</w:t>
      </w:r>
      <w:r w:rsidR="003D0582" w:rsidRPr="00295637">
        <w:rPr>
          <w:rFonts w:ascii="Times New Roman" w:hAnsi="Times New Roman"/>
          <w:lang w:val="sr-Cyrl-BA"/>
        </w:rPr>
        <w:t xml:space="preserve"> </w:t>
      </w:r>
      <w:r>
        <w:rPr>
          <w:rFonts w:ascii="Times New Roman" w:hAnsi="Times New Roman"/>
          <w:lang w:val="sr-Cyrl-BA"/>
        </w:rPr>
        <w:t>координацији</w:t>
      </w:r>
      <w:r w:rsidR="003D0582" w:rsidRPr="00295637">
        <w:rPr>
          <w:rFonts w:ascii="Times New Roman" w:hAnsi="Times New Roman"/>
          <w:lang w:val="sr-Cyrl-BA"/>
        </w:rPr>
        <w:t xml:space="preserve"> </w:t>
      </w:r>
      <w:r>
        <w:rPr>
          <w:rFonts w:ascii="Times New Roman" w:hAnsi="Times New Roman"/>
          <w:lang w:val="sr-Cyrl-BA"/>
        </w:rPr>
        <w:t>ЦЈРП</w:t>
      </w:r>
      <w:r w:rsidR="003D0582" w:rsidRPr="00295637">
        <w:rPr>
          <w:rFonts w:ascii="Times New Roman" w:hAnsi="Times New Roman"/>
          <w:lang w:val="sr-Latn-BA"/>
        </w:rPr>
        <w:t xml:space="preserve"> </w:t>
      </w:r>
      <w:r>
        <w:rPr>
          <w:rFonts w:ascii="Times New Roman" w:hAnsi="Times New Roman"/>
          <w:lang w:val="sr-Cyrl-BA"/>
        </w:rPr>
        <w:t>РС</w:t>
      </w:r>
      <w:r w:rsidR="003D0582" w:rsidRPr="00295637">
        <w:rPr>
          <w:rFonts w:ascii="Times New Roman" w:hAnsi="Times New Roman"/>
          <w:lang w:val="sr-Cyrl-BA"/>
        </w:rPr>
        <w:t xml:space="preserve">, </w:t>
      </w:r>
      <w:r>
        <w:rPr>
          <w:rFonts w:ascii="Times New Roman" w:hAnsi="Times New Roman"/>
          <w:lang w:val="sr-Cyrl-BA"/>
        </w:rPr>
        <w:t>Влада</w:t>
      </w:r>
      <w:r w:rsidR="003D0582" w:rsidRPr="00295637">
        <w:rPr>
          <w:rFonts w:ascii="Times New Roman" w:hAnsi="Times New Roman"/>
          <w:lang w:val="sr-Cyrl-BA"/>
        </w:rPr>
        <w:t xml:space="preserve"> </w:t>
      </w:r>
      <w:r>
        <w:rPr>
          <w:rFonts w:ascii="Times New Roman" w:hAnsi="Times New Roman"/>
          <w:lang w:val="sr-Cyrl-BA"/>
        </w:rPr>
        <w:t>РС</w:t>
      </w:r>
      <w:r w:rsidR="003D0582" w:rsidRPr="00295637">
        <w:rPr>
          <w:rFonts w:ascii="Times New Roman" w:hAnsi="Times New Roman"/>
          <w:lang w:val="sr-Cyrl-BA"/>
        </w:rPr>
        <w:t xml:space="preserve"> </w:t>
      </w:r>
      <w:r>
        <w:rPr>
          <w:rFonts w:ascii="Times New Roman" w:hAnsi="Times New Roman"/>
          <w:lang w:val="sr-Cyrl-BA"/>
        </w:rPr>
        <w:t>именовала</w:t>
      </w:r>
      <w:r w:rsidR="003D0582" w:rsidRPr="00295637">
        <w:rPr>
          <w:rFonts w:ascii="Times New Roman" w:hAnsi="Times New Roman"/>
          <w:lang w:val="sr-Cyrl-BA"/>
        </w:rPr>
        <w:t xml:space="preserve"> </w:t>
      </w:r>
      <w:r>
        <w:rPr>
          <w:rFonts w:ascii="Times New Roman" w:hAnsi="Times New Roman"/>
          <w:lang w:val="sr-Cyrl-BA"/>
        </w:rPr>
        <w:t>је</w:t>
      </w:r>
      <w:r w:rsidR="003D0582" w:rsidRPr="00295637">
        <w:rPr>
          <w:rFonts w:ascii="Times New Roman" w:hAnsi="Times New Roman"/>
          <w:lang w:val="sr-Cyrl-BA"/>
        </w:rPr>
        <w:t xml:space="preserve"> </w:t>
      </w:r>
      <w:r>
        <w:rPr>
          <w:rFonts w:ascii="Times New Roman" w:hAnsi="Times New Roman"/>
          <w:lang w:val="sr-Cyrl-BA"/>
        </w:rPr>
        <w:t>Координаци</w:t>
      </w:r>
      <w:r w:rsidR="006318F4">
        <w:rPr>
          <w:rFonts w:ascii="Times New Roman" w:hAnsi="Times New Roman"/>
          <w:lang w:val="sr-Cyrl-BA"/>
        </w:rPr>
        <w:t>они</w:t>
      </w:r>
      <w:r w:rsidR="003D0582" w:rsidRPr="00295637">
        <w:rPr>
          <w:rFonts w:ascii="Times New Roman" w:hAnsi="Times New Roman"/>
          <w:lang w:val="sr-Cyrl-BA"/>
        </w:rPr>
        <w:t xml:space="preserve"> </w:t>
      </w:r>
      <w:r>
        <w:rPr>
          <w:rFonts w:ascii="Times New Roman" w:hAnsi="Times New Roman"/>
          <w:lang w:val="sr-Cyrl-BA"/>
        </w:rPr>
        <w:t>одбор</w:t>
      </w:r>
      <w:r w:rsidR="003D0582" w:rsidRPr="00295637">
        <w:rPr>
          <w:rFonts w:ascii="Times New Roman" w:hAnsi="Times New Roman"/>
          <w:lang w:val="sr-Cyrl-BA"/>
        </w:rPr>
        <w:t xml:space="preserve"> </w:t>
      </w:r>
      <w:r>
        <w:rPr>
          <w:rFonts w:ascii="Times New Roman" w:hAnsi="Times New Roman"/>
          <w:lang w:val="sr-Cyrl-BA"/>
        </w:rPr>
        <w:t>РС</w:t>
      </w:r>
      <w:r w:rsidR="003D0582" w:rsidRPr="00295637">
        <w:rPr>
          <w:rFonts w:ascii="Times New Roman" w:hAnsi="Times New Roman"/>
          <w:lang w:val="sr-Cyrl-BA"/>
        </w:rPr>
        <w:t xml:space="preserve"> </w:t>
      </w:r>
      <w:r>
        <w:rPr>
          <w:rFonts w:ascii="Times New Roman" w:hAnsi="Times New Roman"/>
          <w:lang w:val="sr-Cyrl-BA"/>
        </w:rPr>
        <w:t>који</w:t>
      </w:r>
      <w:r w:rsidR="003D0582" w:rsidRPr="00295637">
        <w:rPr>
          <w:rFonts w:ascii="Times New Roman" w:hAnsi="Times New Roman"/>
          <w:lang w:val="sr-Cyrl-BA"/>
        </w:rPr>
        <w:t xml:space="preserve"> </w:t>
      </w:r>
      <w:r>
        <w:rPr>
          <w:rFonts w:ascii="Times New Roman" w:hAnsi="Times New Roman"/>
          <w:lang w:val="sr-Cyrl-BA"/>
        </w:rPr>
        <w:t>се</w:t>
      </w:r>
      <w:r w:rsidR="003D0582" w:rsidRPr="00295637">
        <w:rPr>
          <w:rFonts w:ascii="Times New Roman" w:hAnsi="Times New Roman"/>
          <w:lang w:val="sr-Cyrl-BA"/>
        </w:rPr>
        <w:t xml:space="preserve"> </w:t>
      </w:r>
      <w:r>
        <w:rPr>
          <w:rFonts w:ascii="Times New Roman" w:hAnsi="Times New Roman"/>
          <w:lang w:val="sr-Cyrl-BA"/>
        </w:rPr>
        <w:t>састоји</w:t>
      </w:r>
      <w:r w:rsidR="003D0582" w:rsidRPr="00295637">
        <w:rPr>
          <w:rFonts w:ascii="Times New Roman" w:hAnsi="Times New Roman"/>
          <w:lang w:val="sr-Cyrl-BA"/>
        </w:rPr>
        <w:t xml:space="preserve"> </w:t>
      </w:r>
      <w:r>
        <w:rPr>
          <w:rFonts w:ascii="Times New Roman" w:hAnsi="Times New Roman"/>
          <w:lang w:val="sr-Cyrl-BA"/>
        </w:rPr>
        <w:t>од</w:t>
      </w:r>
      <w:r w:rsidR="003D0582" w:rsidRPr="00295637">
        <w:rPr>
          <w:rFonts w:ascii="Times New Roman" w:hAnsi="Times New Roman"/>
          <w:lang w:val="sr-Cyrl-BA"/>
        </w:rPr>
        <w:t xml:space="preserve"> 19 </w:t>
      </w:r>
      <w:r>
        <w:rPr>
          <w:rFonts w:ascii="Times New Roman" w:hAnsi="Times New Roman"/>
          <w:lang w:val="sr-Cyrl-BA"/>
        </w:rPr>
        <w:t>чланова</w:t>
      </w:r>
      <w:r w:rsidR="003D0582" w:rsidRPr="00295637">
        <w:rPr>
          <w:rFonts w:ascii="Times New Roman" w:hAnsi="Times New Roman"/>
          <w:lang w:val="sr-Cyrl-BA"/>
        </w:rPr>
        <w:t xml:space="preserve"> </w:t>
      </w:r>
      <w:r>
        <w:rPr>
          <w:rFonts w:ascii="Times New Roman" w:hAnsi="Times New Roman"/>
          <w:lang w:val="sr-Cyrl-BA"/>
        </w:rPr>
        <w:t>из</w:t>
      </w:r>
      <w:r w:rsidR="003D0582" w:rsidRPr="00295637">
        <w:rPr>
          <w:rFonts w:ascii="Times New Roman" w:hAnsi="Times New Roman"/>
          <w:lang w:val="sr-Cyrl-BA"/>
        </w:rPr>
        <w:t xml:space="preserve"> </w:t>
      </w:r>
      <w:r>
        <w:rPr>
          <w:rFonts w:ascii="Times New Roman" w:hAnsi="Times New Roman"/>
          <w:lang w:val="sr-Cyrl-BA"/>
        </w:rPr>
        <w:t>ЦЈРП</w:t>
      </w:r>
      <w:r w:rsidR="00C831CE" w:rsidRPr="00295637">
        <w:rPr>
          <w:rFonts w:ascii="Times New Roman" w:hAnsi="Times New Roman"/>
          <w:lang w:val="bs-Latn-BA"/>
        </w:rPr>
        <w:t xml:space="preserve"> </w:t>
      </w:r>
      <w:r>
        <w:rPr>
          <w:rFonts w:ascii="Times New Roman" w:hAnsi="Times New Roman"/>
          <w:lang w:val="sr-Cyrl-BA"/>
        </w:rPr>
        <w:t>РС</w:t>
      </w:r>
      <w:r w:rsidR="003D0582" w:rsidRPr="00295637">
        <w:rPr>
          <w:rFonts w:ascii="Times New Roman" w:hAnsi="Times New Roman"/>
          <w:lang w:val="sr-Cyrl-BA"/>
        </w:rPr>
        <w:t xml:space="preserve"> </w:t>
      </w:r>
      <w:r>
        <w:rPr>
          <w:rFonts w:ascii="Times New Roman" w:hAnsi="Times New Roman"/>
          <w:lang w:val="sr-Cyrl-BA"/>
        </w:rPr>
        <w:t>и</w:t>
      </w:r>
      <w:r w:rsidR="003D0582" w:rsidRPr="00295637">
        <w:rPr>
          <w:rFonts w:ascii="Times New Roman" w:hAnsi="Times New Roman"/>
          <w:lang w:val="sr-Cyrl-BA"/>
        </w:rPr>
        <w:t xml:space="preserve"> </w:t>
      </w:r>
      <w:r>
        <w:rPr>
          <w:rFonts w:ascii="Times New Roman" w:hAnsi="Times New Roman"/>
          <w:lang w:val="sr-Cyrl-BA"/>
        </w:rPr>
        <w:t>свих</w:t>
      </w:r>
      <w:r w:rsidR="003D0582" w:rsidRPr="00295637">
        <w:rPr>
          <w:rFonts w:ascii="Times New Roman" w:hAnsi="Times New Roman"/>
          <w:lang w:val="sr-Cyrl-BA"/>
        </w:rPr>
        <w:t xml:space="preserve"> </w:t>
      </w:r>
      <w:r>
        <w:rPr>
          <w:rFonts w:ascii="Times New Roman" w:hAnsi="Times New Roman"/>
          <w:lang w:val="sr-Cyrl-BA"/>
        </w:rPr>
        <w:t>министарстава</w:t>
      </w:r>
      <w:r w:rsidR="003D0582" w:rsidRPr="00295637">
        <w:rPr>
          <w:rFonts w:ascii="Times New Roman" w:hAnsi="Times New Roman"/>
          <w:lang w:val="sr-Cyrl-BA"/>
        </w:rPr>
        <w:t xml:space="preserve"> </w:t>
      </w:r>
      <w:r>
        <w:rPr>
          <w:rFonts w:ascii="Times New Roman" w:hAnsi="Times New Roman"/>
          <w:lang w:val="sr-Cyrl-BA"/>
        </w:rPr>
        <w:t>у</w:t>
      </w:r>
      <w:r w:rsidR="003D0582" w:rsidRPr="00295637">
        <w:rPr>
          <w:rFonts w:ascii="Times New Roman" w:hAnsi="Times New Roman"/>
          <w:lang w:val="sr-Cyrl-BA"/>
        </w:rPr>
        <w:t xml:space="preserve"> </w:t>
      </w:r>
      <w:r>
        <w:rPr>
          <w:rFonts w:ascii="Times New Roman" w:hAnsi="Times New Roman"/>
          <w:lang w:val="sr-Cyrl-BA"/>
        </w:rPr>
        <w:t>Влади</w:t>
      </w:r>
      <w:r w:rsidR="003D0582" w:rsidRPr="00295637">
        <w:rPr>
          <w:rFonts w:ascii="Times New Roman" w:hAnsi="Times New Roman"/>
          <w:lang w:val="sr-Cyrl-BA"/>
        </w:rPr>
        <w:t xml:space="preserve"> </w:t>
      </w:r>
      <w:r>
        <w:rPr>
          <w:rFonts w:ascii="Times New Roman" w:hAnsi="Times New Roman"/>
          <w:lang w:val="sr-Cyrl-BA"/>
        </w:rPr>
        <w:t>РС</w:t>
      </w:r>
      <w:r w:rsidR="003D0582" w:rsidRPr="00295637">
        <w:rPr>
          <w:rFonts w:ascii="Times New Roman" w:hAnsi="Times New Roman"/>
          <w:lang w:val="sr-Cyrl-BA"/>
        </w:rPr>
        <w:t xml:space="preserve"> (</w:t>
      </w:r>
      <w:r w:rsidR="00831EA5">
        <w:rPr>
          <w:rFonts w:ascii="Times New Roman" w:hAnsi="Times New Roman"/>
          <w:lang w:val="hr-HR"/>
        </w:rPr>
        <w:t>„</w:t>
      </w:r>
      <w:r>
        <w:rPr>
          <w:rFonts w:ascii="Times New Roman" w:hAnsi="Times New Roman"/>
          <w:lang w:val="sr-Cyrl-BA"/>
        </w:rPr>
        <w:t>Службени</w:t>
      </w:r>
      <w:r w:rsidR="003D0582" w:rsidRPr="00295637">
        <w:rPr>
          <w:rFonts w:ascii="Times New Roman" w:hAnsi="Times New Roman"/>
          <w:lang w:val="sr-Cyrl-BA"/>
        </w:rPr>
        <w:t xml:space="preserve"> </w:t>
      </w:r>
      <w:r>
        <w:rPr>
          <w:rFonts w:ascii="Times New Roman" w:hAnsi="Times New Roman"/>
          <w:lang w:val="sr-Cyrl-BA"/>
        </w:rPr>
        <w:t>гласник</w:t>
      </w:r>
      <w:r w:rsidR="003D0582" w:rsidRPr="00295637">
        <w:rPr>
          <w:rFonts w:ascii="Times New Roman" w:hAnsi="Times New Roman"/>
          <w:lang w:val="sr-Cyrl-BA"/>
        </w:rPr>
        <w:t xml:space="preserve"> </w:t>
      </w:r>
      <w:r>
        <w:rPr>
          <w:rFonts w:ascii="Times New Roman" w:hAnsi="Times New Roman"/>
          <w:lang w:val="sr-Cyrl-BA"/>
        </w:rPr>
        <w:t>РС</w:t>
      </w:r>
      <w:r w:rsidR="003D0582" w:rsidRPr="00295637">
        <w:rPr>
          <w:rFonts w:ascii="Times New Roman" w:hAnsi="Times New Roman"/>
          <w:lang w:val="sr-Cyrl-BA"/>
        </w:rPr>
        <w:t xml:space="preserve">”, </w:t>
      </w:r>
      <w:r>
        <w:rPr>
          <w:rFonts w:ascii="Times New Roman" w:hAnsi="Times New Roman"/>
          <w:lang w:val="sr-Cyrl-BA"/>
        </w:rPr>
        <w:t>бр</w:t>
      </w:r>
      <w:r w:rsidR="003D0582" w:rsidRPr="00295637">
        <w:rPr>
          <w:rFonts w:ascii="Times New Roman" w:hAnsi="Times New Roman"/>
          <w:lang w:val="sr-Cyrl-BA"/>
        </w:rPr>
        <w:t xml:space="preserve">. 12/24 </w:t>
      </w:r>
      <w:r>
        <w:rPr>
          <w:rFonts w:ascii="Times New Roman" w:hAnsi="Times New Roman"/>
          <w:lang w:val="sr-Cyrl-BA"/>
        </w:rPr>
        <w:t>и</w:t>
      </w:r>
      <w:r w:rsidR="003D0582" w:rsidRPr="00295637">
        <w:rPr>
          <w:rFonts w:ascii="Times New Roman" w:hAnsi="Times New Roman"/>
          <w:lang w:val="sr-Cyrl-BA"/>
        </w:rPr>
        <w:t xml:space="preserve"> 19/24)</w:t>
      </w:r>
      <w:r w:rsidR="003D0582" w:rsidRPr="00295637">
        <w:rPr>
          <w:rFonts w:ascii="Times New Roman" w:hAnsi="Times New Roman"/>
          <w:lang w:val="sr-Latn-BA"/>
        </w:rPr>
        <w:t xml:space="preserve">. </w:t>
      </w:r>
      <w:r>
        <w:rPr>
          <w:rFonts w:ascii="Times New Roman" w:hAnsi="Times New Roman"/>
          <w:lang w:val="sr-Latn-BA"/>
        </w:rPr>
        <w:t>У</w:t>
      </w:r>
      <w:r>
        <w:rPr>
          <w:rFonts w:ascii="Times New Roman" w:hAnsi="Times New Roman"/>
          <w:lang w:val="sr-Cyrl-BA"/>
        </w:rPr>
        <w:t>својен</w:t>
      </w:r>
      <w:r w:rsidR="003D0582" w:rsidRPr="00295637">
        <w:rPr>
          <w:rFonts w:ascii="Times New Roman" w:hAnsi="Times New Roman"/>
          <w:lang w:val="sr-Cyrl-BA"/>
        </w:rPr>
        <w:t xml:space="preserve"> </w:t>
      </w:r>
      <w:r>
        <w:rPr>
          <w:rFonts w:ascii="Times New Roman" w:hAnsi="Times New Roman"/>
          <w:lang w:val="sr-Latn-BA"/>
        </w:rPr>
        <w:t>је</w:t>
      </w:r>
      <w:r w:rsidR="003D0582" w:rsidRPr="00295637">
        <w:rPr>
          <w:rFonts w:ascii="Times New Roman" w:hAnsi="Times New Roman"/>
          <w:lang w:val="sr-Latn-BA"/>
        </w:rPr>
        <w:t xml:space="preserve"> </w:t>
      </w:r>
      <w:r>
        <w:rPr>
          <w:rFonts w:ascii="Times New Roman" w:hAnsi="Times New Roman"/>
          <w:lang w:val="sr-Cyrl-BA"/>
        </w:rPr>
        <w:t>Пословник</w:t>
      </w:r>
      <w:r w:rsidR="003D0582" w:rsidRPr="00295637">
        <w:rPr>
          <w:rFonts w:ascii="Times New Roman" w:hAnsi="Times New Roman"/>
          <w:lang w:val="sr-Cyrl-BA"/>
        </w:rPr>
        <w:t xml:space="preserve"> </w:t>
      </w:r>
      <w:r>
        <w:rPr>
          <w:rFonts w:ascii="Times New Roman" w:hAnsi="Times New Roman"/>
          <w:lang w:val="sr-Cyrl-BA"/>
        </w:rPr>
        <w:t>о</w:t>
      </w:r>
      <w:r w:rsidR="003D0582" w:rsidRPr="00295637">
        <w:rPr>
          <w:rFonts w:ascii="Times New Roman" w:hAnsi="Times New Roman"/>
          <w:lang w:val="sr-Cyrl-BA"/>
        </w:rPr>
        <w:t xml:space="preserve"> </w:t>
      </w:r>
      <w:r>
        <w:rPr>
          <w:rFonts w:ascii="Times New Roman" w:hAnsi="Times New Roman"/>
          <w:lang w:val="sr-Cyrl-BA"/>
        </w:rPr>
        <w:t>раду</w:t>
      </w:r>
      <w:r w:rsidR="003D0582" w:rsidRPr="00295637">
        <w:rPr>
          <w:rFonts w:ascii="Times New Roman" w:hAnsi="Times New Roman"/>
          <w:lang w:val="sr-Cyrl-BA"/>
        </w:rPr>
        <w:t xml:space="preserve"> </w:t>
      </w:r>
      <w:r>
        <w:rPr>
          <w:rFonts w:ascii="Times New Roman" w:hAnsi="Times New Roman"/>
          <w:lang w:val="sr-Cyrl-BA"/>
        </w:rPr>
        <w:t>К</w:t>
      </w:r>
      <w:r>
        <w:rPr>
          <w:rFonts w:ascii="Times New Roman" w:hAnsi="Times New Roman"/>
          <w:lang w:val="bs-Latn-BA"/>
        </w:rPr>
        <w:t>оординаци</w:t>
      </w:r>
      <w:r w:rsidR="006318F4">
        <w:rPr>
          <w:rFonts w:ascii="Times New Roman" w:hAnsi="Times New Roman"/>
          <w:lang w:val="sr-Cyrl-BA"/>
        </w:rPr>
        <w:t>оног</w:t>
      </w:r>
      <w:r w:rsidR="00831EA5">
        <w:rPr>
          <w:rFonts w:ascii="Times New Roman" w:hAnsi="Times New Roman"/>
          <w:lang w:val="bs-Latn-BA"/>
        </w:rPr>
        <w:t xml:space="preserve"> </w:t>
      </w:r>
      <w:r>
        <w:rPr>
          <w:rFonts w:ascii="Times New Roman" w:hAnsi="Times New Roman"/>
          <w:lang w:val="bs-Latn-BA"/>
        </w:rPr>
        <w:t>одбора</w:t>
      </w:r>
      <w:r w:rsidR="003D0582" w:rsidRPr="00295637">
        <w:rPr>
          <w:rFonts w:ascii="Times New Roman" w:hAnsi="Times New Roman"/>
          <w:lang w:val="sr-Cyrl-BA"/>
        </w:rPr>
        <w:t xml:space="preserve">. </w:t>
      </w:r>
    </w:p>
    <w:p w:rsidR="002760AC" w:rsidRPr="00295637" w:rsidRDefault="002760AC" w:rsidP="0086268D">
      <w:pPr>
        <w:rPr>
          <w:lang w:val="bs-Latn-BA"/>
        </w:rPr>
      </w:pPr>
    </w:p>
    <w:p w:rsidR="00356C2C" w:rsidRPr="00295637" w:rsidRDefault="006318F4" w:rsidP="002327D1">
      <w:pPr>
        <w:tabs>
          <w:tab w:val="left" w:pos="284"/>
          <w:tab w:val="left" w:pos="630"/>
          <w:tab w:val="left" w:pos="1080"/>
        </w:tabs>
        <w:ind w:left="567"/>
        <w:jc w:val="both"/>
        <w:rPr>
          <w:rFonts w:ascii="Times New Roman" w:hAnsi="Times New Roman"/>
          <w:szCs w:val="24"/>
          <w:lang w:val="bs-Latn-BA"/>
        </w:rPr>
      </w:pPr>
      <w:r w:rsidRPr="006318F4">
        <w:rPr>
          <w:rFonts w:ascii="Times New Roman" w:hAnsi="Times New Roman"/>
          <w:szCs w:val="24"/>
          <w:lang w:val="bs-Latn-BA"/>
        </w:rPr>
        <w:t>II</w:t>
      </w:r>
      <w:r w:rsidR="002327D1">
        <w:rPr>
          <w:rFonts w:ascii="Times New Roman" w:hAnsi="Times New Roman"/>
          <w:szCs w:val="24"/>
          <w:lang w:val="bs-Latn-BA"/>
        </w:rPr>
        <w:t xml:space="preserve"> 1.4. </w:t>
      </w:r>
      <w:r w:rsidR="00C6214E">
        <w:rPr>
          <w:rFonts w:ascii="Times New Roman" w:hAnsi="Times New Roman"/>
          <w:szCs w:val="24"/>
          <w:lang w:val="bs-Latn-BA"/>
        </w:rPr>
        <w:t>Успостављање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КО</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праћење</w:t>
      </w:r>
      <w:r w:rsidR="00356C2C" w:rsidRPr="00295637">
        <w:rPr>
          <w:rFonts w:ascii="Times New Roman" w:hAnsi="Times New Roman"/>
          <w:szCs w:val="24"/>
          <w:lang w:val="bs-Latn-BA"/>
        </w:rPr>
        <w:t xml:space="preserve"> </w:t>
      </w:r>
      <w:r>
        <w:rPr>
          <w:rFonts w:ascii="Times New Roman" w:hAnsi="Times New Roman"/>
          <w:szCs w:val="24"/>
          <w:lang w:val="sr-Cyrl-BA"/>
        </w:rPr>
        <w:t>спровођења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ГАП</w:t>
      </w:r>
      <w:r w:rsidR="00831EA5">
        <w:rPr>
          <w:rFonts w:ascii="Times New Roman" w:hAnsi="Times New Roman"/>
          <w:szCs w:val="24"/>
          <w:lang w:val="bs-Latn-BA"/>
        </w:rPr>
        <w:t xml:space="preserve"> </w:t>
      </w:r>
      <w:r w:rsidR="00C6214E">
        <w:rPr>
          <w:rFonts w:ascii="Times New Roman" w:hAnsi="Times New Roman"/>
          <w:szCs w:val="24"/>
          <w:lang w:val="bs-Latn-BA"/>
        </w:rPr>
        <w:t>БиХ</w:t>
      </w:r>
      <w:r w:rsidR="00050016">
        <w:rPr>
          <w:rFonts w:ascii="Times New Roman" w:hAnsi="Times New Roman"/>
          <w:szCs w:val="24"/>
          <w:lang w:val="bs-Latn-BA"/>
        </w:rPr>
        <w:t xml:space="preserve"> </w:t>
      </w:r>
      <w:r w:rsidR="00C6214E">
        <w:rPr>
          <w:rFonts w:ascii="Times New Roman" w:hAnsi="Times New Roman"/>
          <w:szCs w:val="24"/>
          <w:lang w:val="bs-Latn-BA"/>
        </w:rPr>
        <w:t>у</w:t>
      </w:r>
      <w:r w:rsidR="00050016">
        <w:rPr>
          <w:rFonts w:ascii="Times New Roman" w:hAnsi="Times New Roman"/>
          <w:szCs w:val="24"/>
          <w:lang w:val="bs-Latn-BA"/>
        </w:rPr>
        <w:t xml:space="preserve"> </w:t>
      </w:r>
      <w:r w:rsidR="00C6214E">
        <w:rPr>
          <w:rFonts w:ascii="Times New Roman" w:hAnsi="Times New Roman"/>
          <w:szCs w:val="24"/>
          <w:lang w:val="bs-Latn-BA"/>
        </w:rPr>
        <w:t>ФБиХ</w:t>
      </w:r>
      <w:r w:rsidR="00050016">
        <w:rPr>
          <w:rFonts w:ascii="Times New Roman" w:hAnsi="Times New Roman"/>
          <w:szCs w:val="24"/>
          <w:lang w:val="bs-Latn-BA"/>
        </w:rPr>
        <w:t xml:space="preserve"> (</w:t>
      </w:r>
      <w:r w:rsidR="00C6214E">
        <w:rPr>
          <w:rFonts w:ascii="Times New Roman" w:hAnsi="Times New Roman"/>
          <w:szCs w:val="24"/>
          <w:lang w:val="bs-Latn-BA"/>
        </w:rPr>
        <w:t>којег</w:t>
      </w:r>
      <w:r w:rsidR="00050016">
        <w:rPr>
          <w:rFonts w:ascii="Times New Roman" w:hAnsi="Times New Roman"/>
          <w:szCs w:val="24"/>
          <w:lang w:val="bs-Latn-BA"/>
        </w:rPr>
        <w:t xml:space="preserve"> </w:t>
      </w:r>
      <w:r w:rsidR="00C6214E">
        <w:rPr>
          <w:rFonts w:ascii="Times New Roman" w:hAnsi="Times New Roman"/>
          <w:szCs w:val="24"/>
          <w:lang w:val="bs-Latn-BA"/>
        </w:rPr>
        <w:t>чине</w:t>
      </w:r>
      <w:r w:rsidR="00050016">
        <w:rPr>
          <w:rFonts w:ascii="Times New Roman" w:hAnsi="Times New Roman"/>
          <w:szCs w:val="24"/>
          <w:lang w:val="bs-Latn-BA"/>
        </w:rPr>
        <w:t xml:space="preserve"> </w:t>
      </w:r>
      <w:r w:rsidR="00C6214E">
        <w:rPr>
          <w:rFonts w:ascii="Times New Roman" w:hAnsi="Times New Roman"/>
          <w:szCs w:val="24"/>
          <w:lang w:val="bs-Latn-BA"/>
        </w:rPr>
        <w:t>ГЦ</w:t>
      </w:r>
      <w:r w:rsidR="00050016">
        <w:rPr>
          <w:rFonts w:ascii="Times New Roman" w:hAnsi="Times New Roman"/>
          <w:szCs w:val="24"/>
          <w:lang w:val="bs-Latn-BA"/>
        </w:rPr>
        <w:t xml:space="preserve"> </w:t>
      </w:r>
      <w:r w:rsidR="00C6214E">
        <w:rPr>
          <w:rFonts w:ascii="Times New Roman" w:hAnsi="Times New Roman"/>
          <w:szCs w:val="24"/>
          <w:lang w:val="bs-Latn-BA"/>
        </w:rPr>
        <w:t>ФБиХ</w:t>
      </w:r>
      <w:r w:rsidR="00050016">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институције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ФБиХ</w:t>
      </w:r>
      <w:r w:rsidR="00356C2C" w:rsidRPr="00295637">
        <w:rPr>
          <w:rFonts w:ascii="Times New Roman" w:hAnsi="Times New Roman"/>
          <w:szCs w:val="24"/>
          <w:lang w:val="bs-Latn-BA"/>
        </w:rPr>
        <w:t>)</w:t>
      </w:r>
      <w:r w:rsidR="00831EA5">
        <w:rPr>
          <w:rFonts w:ascii="Times New Roman" w:hAnsi="Times New Roman"/>
          <w:szCs w:val="24"/>
          <w:lang w:val="bs-Latn-BA"/>
        </w:rPr>
        <w:t>.</w:t>
      </w:r>
    </w:p>
    <w:p w:rsidR="00A92736" w:rsidRPr="00295637" w:rsidRDefault="00A92736" w:rsidP="0086268D">
      <w:pPr>
        <w:pStyle w:val="Heading3"/>
        <w:numPr>
          <w:ilvl w:val="0"/>
          <w:numId w:val="0"/>
        </w:numPr>
        <w:spacing w:after="0" w:line="240" w:lineRule="auto"/>
        <w:ind w:left="720" w:hanging="720"/>
        <w:rPr>
          <w:rFonts w:ascii="Times New Roman" w:eastAsia="Times New Roman" w:hAnsi="Times New Roman" w:cs="Times New Roman"/>
          <w:b w:val="0"/>
          <w:lang w:val="bs-Latn-BA"/>
        </w:rPr>
      </w:pPr>
    </w:p>
    <w:p w:rsidR="0007125F" w:rsidRPr="00295637" w:rsidRDefault="00C6214E" w:rsidP="0086268D">
      <w:pPr>
        <w:tabs>
          <w:tab w:val="left" w:pos="284"/>
          <w:tab w:val="left" w:pos="630"/>
          <w:tab w:val="left" w:pos="1080"/>
        </w:tabs>
        <w:jc w:val="both"/>
        <w:rPr>
          <w:rFonts w:ascii="Times New Roman" w:hAnsi="Times New Roman"/>
          <w:szCs w:val="24"/>
        </w:rPr>
      </w:pPr>
      <w:r>
        <w:rPr>
          <w:rFonts w:ascii="Times New Roman" w:hAnsi="Times New Roman"/>
          <w:szCs w:val="24"/>
          <w:lang w:val="bs-Latn-BA"/>
        </w:rPr>
        <w:t>Након</w:t>
      </w:r>
      <w:r w:rsidR="0007125F" w:rsidRPr="00295637">
        <w:rPr>
          <w:rFonts w:ascii="Times New Roman" w:hAnsi="Times New Roman"/>
          <w:szCs w:val="24"/>
          <w:lang w:val="bs-Latn-BA"/>
        </w:rPr>
        <w:t xml:space="preserve"> </w:t>
      </w:r>
      <w:r>
        <w:rPr>
          <w:rFonts w:ascii="Times New Roman" w:hAnsi="Times New Roman"/>
          <w:szCs w:val="24"/>
          <w:lang w:val="bs-Latn-BA"/>
        </w:rPr>
        <w:t>што</w:t>
      </w:r>
      <w:r w:rsidR="0007125F" w:rsidRPr="00295637">
        <w:rPr>
          <w:rFonts w:ascii="Times New Roman" w:hAnsi="Times New Roman"/>
          <w:szCs w:val="24"/>
          <w:lang w:val="bs-Latn-BA"/>
        </w:rPr>
        <w:t xml:space="preserve"> </w:t>
      </w:r>
      <w:r>
        <w:rPr>
          <w:rFonts w:ascii="Times New Roman" w:hAnsi="Times New Roman"/>
          <w:szCs w:val="24"/>
          <w:lang w:val="bs-Latn-BA"/>
        </w:rPr>
        <w:t>је</w:t>
      </w:r>
      <w:r w:rsidR="0007125F" w:rsidRPr="00295637">
        <w:rPr>
          <w:rFonts w:ascii="Times New Roman" w:hAnsi="Times New Roman"/>
          <w:szCs w:val="24"/>
          <w:lang w:val="bs-Latn-BA"/>
        </w:rPr>
        <w:t xml:space="preserve"> </w:t>
      </w:r>
      <w:r w:rsidR="006318F4">
        <w:rPr>
          <w:rFonts w:ascii="Times New Roman" w:hAnsi="Times New Roman"/>
          <w:szCs w:val="24"/>
          <w:lang w:val="sr-Cyrl-BA"/>
        </w:rPr>
        <w:t>С</w:t>
      </w:r>
      <w:r>
        <w:rPr>
          <w:rFonts w:ascii="Times New Roman" w:hAnsi="Times New Roman"/>
          <w:szCs w:val="24"/>
          <w:lang w:val="bs-Latn-BA"/>
        </w:rPr>
        <w:t>М</w:t>
      </w:r>
      <w:r w:rsidR="00314B0D">
        <w:rPr>
          <w:rFonts w:ascii="Times New Roman" w:hAnsi="Times New Roman"/>
          <w:szCs w:val="24"/>
          <w:lang w:val="bs-Latn-BA"/>
        </w:rPr>
        <w:t xml:space="preserve"> </w:t>
      </w:r>
      <w:r>
        <w:rPr>
          <w:rFonts w:ascii="Times New Roman" w:hAnsi="Times New Roman"/>
          <w:szCs w:val="24"/>
          <w:lang w:val="bs-Latn-BA"/>
        </w:rPr>
        <w:t>БиХ</w:t>
      </w:r>
      <w:r w:rsidR="00CA42E2" w:rsidRPr="00295637">
        <w:rPr>
          <w:rFonts w:ascii="Times New Roman" w:hAnsi="Times New Roman"/>
          <w:szCs w:val="24"/>
          <w:lang w:val="bs-Latn-BA"/>
        </w:rPr>
        <w:t xml:space="preserve"> </w:t>
      </w:r>
      <w:r>
        <w:rPr>
          <w:rFonts w:ascii="Times New Roman" w:hAnsi="Times New Roman"/>
          <w:szCs w:val="24"/>
          <w:lang w:val="bs-Latn-BA"/>
        </w:rPr>
        <w:t>у</w:t>
      </w:r>
      <w:r w:rsidR="00CA42E2" w:rsidRPr="00295637">
        <w:rPr>
          <w:rFonts w:ascii="Times New Roman" w:hAnsi="Times New Roman"/>
          <w:szCs w:val="24"/>
          <w:lang w:val="bs-Latn-BA"/>
        </w:rPr>
        <w:t xml:space="preserve"> </w:t>
      </w:r>
      <w:r>
        <w:rPr>
          <w:rFonts w:ascii="Times New Roman" w:hAnsi="Times New Roman"/>
          <w:szCs w:val="24"/>
          <w:lang w:val="bs-Latn-BA"/>
        </w:rPr>
        <w:t>јуну</w:t>
      </w:r>
      <w:r w:rsidR="00CA42E2" w:rsidRPr="00295637">
        <w:rPr>
          <w:rFonts w:ascii="Times New Roman" w:hAnsi="Times New Roman"/>
          <w:szCs w:val="24"/>
          <w:lang w:val="bs-Latn-BA"/>
        </w:rPr>
        <w:t xml:space="preserve"> 2024. </w:t>
      </w:r>
      <w:r>
        <w:rPr>
          <w:rFonts w:ascii="Times New Roman" w:hAnsi="Times New Roman"/>
          <w:szCs w:val="24"/>
          <w:lang w:val="bs-Latn-BA"/>
        </w:rPr>
        <w:t>године</w:t>
      </w:r>
      <w:r w:rsidR="0007125F" w:rsidRPr="00295637">
        <w:rPr>
          <w:rFonts w:ascii="Times New Roman" w:hAnsi="Times New Roman"/>
          <w:szCs w:val="24"/>
          <w:lang w:val="bs-Latn-BA"/>
        </w:rPr>
        <w:t xml:space="preserve"> </w:t>
      </w:r>
      <w:r>
        <w:rPr>
          <w:rFonts w:ascii="Times New Roman" w:hAnsi="Times New Roman"/>
          <w:szCs w:val="24"/>
          <w:lang w:val="bs-Latn-BA"/>
        </w:rPr>
        <w:t>донио</w:t>
      </w:r>
      <w:r w:rsidR="0007125F" w:rsidRPr="00295637">
        <w:rPr>
          <w:rFonts w:ascii="Times New Roman" w:hAnsi="Times New Roman"/>
          <w:szCs w:val="24"/>
          <w:lang w:val="bs-Latn-BA"/>
        </w:rPr>
        <w:t xml:space="preserve"> </w:t>
      </w:r>
      <w:r>
        <w:rPr>
          <w:rFonts w:ascii="Times New Roman" w:hAnsi="Times New Roman"/>
          <w:szCs w:val="24"/>
          <w:lang w:val="bs-Latn-BA"/>
        </w:rPr>
        <w:t>Одлуку</w:t>
      </w:r>
      <w:r w:rsidR="0007125F" w:rsidRPr="00295637">
        <w:rPr>
          <w:rFonts w:ascii="Times New Roman" w:hAnsi="Times New Roman"/>
          <w:szCs w:val="24"/>
          <w:lang w:val="bs-Latn-BA"/>
        </w:rPr>
        <w:t xml:space="preserve"> </w:t>
      </w:r>
      <w:r>
        <w:rPr>
          <w:rFonts w:ascii="Times New Roman" w:hAnsi="Times New Roman"/>
          <w:szCs w:val="24"/>
          <w:lang w:val="bs-Latn-BA"/>
        </w:rPr>
        <w:t>о</w:t>
      </w:r>
      <w:r w:rsidR="0007125F" w:rsidRPr="00295637">
        <w:rPr>
          <w:rFonts w:ascii="Times New Roman" w:hAnsi="Times New Roman"/>
          <w:szCs w:val="24"/>
          <w:lang w:val="bs-Latn-BA"/>
        </w:rPr>
        <w:t xml:space="preserve"> </w:t>
      </w:r>
      <w:r>
        <w:rPr>
          <w:rFonts w:ascii="Times New Roman" w:hAnsi="Times New Roman"/>
          <w:szCs w:val="24"/>
          <w:lang w:val="bs-Latn-BA"/>
        </w:rPr>
        <w:t>успостављању</w:t>
      </w:r>
      <w:r w:rsidR="0007125F" w:rsidRPr="00295637">
        <w:rPr>
          <w:rFonts w:ascii="Times New Roman" w:hAnsi="Times New Roman"/>
          <w:szCs w:val="24"/>
          <w:lang w:val="bs-Latn-BA"/>
        </w:rPr>
        <w:t xml:space="preserve"> </w:t>
      </w:r>
      <w:r>
        <w:rPr>
          <w:rFonts w:ascii="Times New Roman" w:hAnsi="Times New Roman"/>
          <w:szCs w:val="24"/>
          <w:lang w:val="bs-Latn-BA"/>
        </w:rPr>
        <w:t>Управног</w:t>
      </w:r>
      <w:r w:rsidR="0007125F" w:rsidRPr="00295637">
        <w:rPr>
          <w:rFonts w:ascii="Times New Roman" w:hAnsi="Times New Roman"/>
          <w:szCs w:val="24"/>
          <w:lang w:val="bs-Latn-BA"/>
        </w:rPr>
        <w:t xml:space="preserve"> </w:t>
      </w:r>
      <w:r>
        <w:rPr>
          <w:rFonts w:ascii="Times New Roman" w:hAnsi="Times New Roman"/>
          <w:szCs w:val="24"/>
          <w:lang w:val="bs-Latn-BA"/>
        </w:rPr>
        <w:t>одбора</w:t>
      </w:r>
      <w:r w:rsidR="0007125F" w:rsidRPr="00295637">
        <w:rPr>
          <w:rFonts w:ascii="Times New Roman" w:hAnsi="Times New Roman"/>
          <w:szCs w:val="24"/>
          <w:lang w:val="bs-Latn-BA"/>
        </w:rPr>
        <w:t xml:space="preserve"> </w:t>
      </w:r>
      <w:r>
        <w:rPr>
          <w:rFonts w:ascii="Times New Roman" w:hAnsi="Times New Roman"/>
          <w:szCs w:val="24"/>
          <w:lang w:val="bs-Latn-BA"/>
        </w:rPr>
        <w:t>за</w:t>
      </w:r>
      <w:r w:rsidR="0007125F" w:rsidRPr="00295637">
        <w:rPr>
          <w:rFonts w:ascii="Times New Roman" w:hAnsi="Times New Roman"/>
          <w:szCs w:val="24"/>
          <w:lang w:val="bs-Latn-BA"/>
        </w:rPr>
        <w:t xml:space="preserve"> </w:t>
      </w:r>
      <w:r>
        <w:rPr>
          <w:rFonts w:ascii="Times New Roman" w:hAnsi="Times New Roman"/>
          <w:szCs w:val="24"/>
          <w:lang w:val="bs-Latn-BA"/>
        </w:rPr>
        <w:t>координацију</w:t>
      </w:r>
      <w:r w:rsidR="0007125F" w:rsidRPr="00295637">
        <w:rPr>
          <w:rFonts w:ascii="Times New Roman" w:hAnsi="Times New Roman"/>
          <w:szCs w:val="24"/>
          <w:lang w:val="bs-Latn-BA"/>
        </w:rPr>
        <w:t xml:space="preserve"> </w:t>
      </w:r>
      <w:r>
        <w:rPr>
          <w:rFonts w:ascii="Times New Roman" w:hAnsi="Times New Roman"/>
          <w:szCs w:val="24"/>
          <w:lang w:val="bs-Latn-BA"/>
        </w:rPr>
        <w:t>и</w:t>
      </w:r>
      <w:r w:rsidR="0007125F" w:rsidRPr="00295637">
        <w:rPr>
          <w:rFonts w:ascii="Times New Roman" w:hAnsi="Times New Roman"/>
          <w:szCs w:val="24"/>
          <w:lang w:val="bs-Latn-BA"/>
        </w:rPr>
        <w:t xml:space="preserve"> </w:t>
      </w:r>
      <w:r>
        <w:rPr>
          <w:rFonts w:ascii="Times New Roman" w:hAnsi="Times New Roman"/>
          <w:szCs w:val="24"/>
          <w:lang w:val="bs-Latn-BA"/>
        </w:rPr>
        <w:t>праћење</w:t>
      </w:r>
      <w:r w:rsidR="0007125F" w:rsidRPr="00295637">
        <w:rPr>
          <w:rFonts w:ascii="Times New Roman" w:hAnsi="Times New Roman"/>
          <w:szCs w:val="24"/>
          <w:lang w:val="bs-Latn-BA"/>
        </w:rPr>
        <w:t xml:space="preserve"> </w:t>
      </w:r>
      <w:r w:rsidR="006318F4">
        <w:rPr>
          <w:rFonts w:ascii="Times New Roman" w:hAnsi="Times New Roman"/>
          <w:szCs w:val="24"/>
          <w:lang w:val="sr-Cyrl-BA"/>
        </w:rPr>
        <w:t>спровођења</w:t>
      </w:r>
      <w:r w:rsidR="0007125F" w:rsidRPr="00295637">
        <w:rPr>
          <w:rFonts w:ascii="Times New Roman" w:hAnsi="Times New Roman"/>
          <w:szCs w:val="24"/>
          <w:lang w:val="bs-Latn-BA"/>
        </w:rPr>
        <w:t xml:space="preserve"> </w:t>
      </w:r>
      <w:r>
        <w:rPr>
          <w:rFonts w:ascii="Times New Roman" w:hAnsi="Times New Roman"/>
          <w:szCs w:val="24"/>
          <w:lang w:val="bs-Latn-BA"/>
        </w:rPr>
        <w:t>ГАП</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9E54A2" w:rsidRPr="00295637">
        <w:rPr>
          <w:rFonts w:ascii="Times New Roman" w:hAnsi="Times New Roman"/>
          <w:szCs w:val="24"/>
          <w:lang w:val="bs-Latn-BA"/>
        </w:rPr>
        <w:t xml:space="preserve"> </w:t>
      </w:r>
      <w:r>
        <w:rPr>
          <w:rFonts w:ascii="Times New Roman" w:hAnsi="Times New Roman"/>
          <w:szCs w:val="24"/>
          <w:lang w:val="bs-Latn-BA"/>
        </w:rPr>
        <w:t>за</w:t>
      </w:r>
      <w:r w:rsidR="00314B0D">
        <w:rPr>
          <w:rFonts w:ascii="Times New Roman" w:hAnsi="Times New Roman"/>
          <w:szCs w:val="24"/>
          <w:lang w:val="bs-Latn-BA"/>
        </w:rPr>
        <w:t xml:space="preserve"> </w:t>
      </w:r>
      <w:r>
        <w:rPr>
          <w:rFonts w:ascii="Times New Roman" w:hAnsi="Times New Roman"/>
          <w:szCs w:val="24"/>
          <w:lang w:val="bs-Latn-BA"/>
        </w:rPr>
        <w:t>период</w:t>
      </w:r>
      <w:r w:rsidR="00314B0D">
        <w:rPr>
          <w:rFonts w:ascii="Times New Roman" w:hAnsi="Times New Roman"/>
          <w:szCs w:val="24"/>
          <w:lang w:val="bs-Latn-BA"/>
        </w:rPr>
        <w:t xml:space="preserve"> 2023</w:t>
      </w:r>
      <w:r w:rsidR="00831EA5">
        <w:rPr>
          <w:rFonts w:ascii="Times New Roman" w:hAnsi="Times New Roman"/>
          <w:szCs w:val="24"/>
          <w:lang w:val="bs-Latn-BA"/>
        </w:rPr>
        <w:t>-</w:t>
      </w:r>
      <w:r w:rsidR="0007125F" w:rsidRPr="00295637">
        <w:rPr>
          <w:rFonts w:ascii="Times New Roman" w:hAnsi="Times New Roman"/>
          <w:szCs w:val="24"/>
          <w:lang w:val="bs-Latn-BA"/>
        </w:rPr>
        <w:t xml:space="preserve">2027. </w:t>
      </w:r>
      <w:r>
        <w:rPr>
          <w:rFonts w:ascii="Times New Roman" w:hAnsi="Times New Roman"/>
          <w:szCs w:val="24"/>
          <w:lang w:val="bs-Latn-BA"/>
        </w:rPr>
        <w:t>година</w:t>
      </w:r>
      <w:r w:rsidR="0007125F" w:rsidRPr="00295637">
        <w:rPr>
          <w:rFonts w:ascii="Times New Roman" w:hAnsi="Times New Roman"/>
          <w:szCs w:val="24"/>
        </w:rPr>
        <w:t xml:space="preserve">, </w:t>
      </w:r>
      <w:r>
        <w:rPr>
          <w:rFonts w:ascii="Times New Roman" w:hAnsi="Times New Roman"/>
          <w:szCs w:val="24"/>
        </w:rPr>
        <w:t>а</w:t>
      </w:r>
      <w:r w:rsidR="0007125F" w:rsidRPr="00295637">
        <w:rPr>
          <w:rFonts w:ascii="Times New Roman" w:hAnsi="Times New Roman"/>
          <w:szCs w:val="24"/>
        </w:rPr>
        <w:t xml:space="preserve"> </w:t>
      </w:r>
      <w:r>
        <w:rPr>
          <w:rFonts w:ascii="Times New Roman" w:hAnsi="Times New Roman"/>
          <w:szCs w:val="24"/>
        </w:rPr>
        <w:t>које</w:t>
      </w:r>
      <w:r w:rsidR="0007125F" w:rsidRPr="00295637">
        <w:rPr>
          <w:rFonts w:ascii="Times New Roman" w:hAnsi="Times New Roman"/>
          <w:szCs w:val="24"/>
        </w:rPr>
        <w:t xml:space="preserve"> </w:t>
      </w:r>
      <w:r>
        <w:rPr>
          <w:rFonts w:ascii="Times New Roman" w:hAnsi="Times New Roman"/>
          <w:szCs w:val="24"/>
        </w:rPr>
        <w:t>је</w:t>
      </w:r>
      <w:r w:rsidR="0007125F" w:rsidRPr="00295637">
        <w:rPr>
          <w:rFonts w:ascii="Times New Roman" w:hAnsi="Times New Roman"/>
          <w:szCs w:val="24"/>
        </w:rPr>
        <w:t xml:space="preserve"> </w:t>
      </w:r>
      <w:r>
        <w:rPr>
          <w:rFonts w:ascii="Times New Roman" w:hAnsi="Times New Roman"/>
          <w:szCs w:val="24"/>
        </w:rPr>
        <w:t>основ</w:t>
      </w:r>
      <w:r w:rsidR="0007125F" w:rsidRPr="00295637">
        <w:rPr>
          <w:rFonts w:ascii="Times New Roman" w:hAnsi="Times New Roman"/>
          <w:szCs w:val="24"/>
        </w:rPr>
        <w:t xml:space="preserve"> </w:t>
      </w:r>
      <w:r>
        <w:rPr>
          <w:rFonts w:ascii="Times New Roman" w:hAnsi="Times New Roman"/>
          <w:szCs w:val="24"/>
        </w:rPr>
        <w:t>за</w:t>
      </w:r>
      <w:r w:rsidR="0007125F" w:rsidRPr="00295637">
        <w:rPr>
          <w:rFonts w:ascii="Times New Roman" w:hAnsi="Times New Roman"/>
          <w:szCs w:val="24"/>
        </w:rPr>
        <w:t xml:space="preserve"> </w:t>
      </w:r>
      <w:r>
        <w:rPr>
          <w:rFonts w:ascii="Times New Roman" w:hAnsi="Times New Roman"/>
          <w:szCs w:val="24"/>
        </w:rPr>
        <w:t>именовање</w:t>
      </w:r>
      <w:r w:rsidR="0007125F" w:rsidRPr="00295637">
        <w:rPr>
          <w:rFonts w:ascii="Times New Roman" w:hAnsi="Times New Roman"/>
          <w:szCs w:val="24"/>
        </w:rPr>
        <w:t xml:space="preserve"> </w:t>
      </w:r>
      <w:r>
        <w:rPr>
          <w:rFonts w:ascii="Times New Roman" w:hAnsi="Times New Roman"/>
          <w:szCs w:val="24"/>
        </w:rPr>
        <w:t>КО</w:t>
      </w:r>
      <w:r w:rsidR="0007125F" w:rsidRPr="00295637">
        <w:rPr>
          <w:rFonts w:ascii="Times New Roman" w:hAnsi="Times New Roman"/>
          <w:szCs w:val="24"/>
        </w:rPr>
        <w:t xml:space="preserve">, </w:t>
      </w:r>
      <w:r>
        <w:rPr>
          <w:rFonts w:ascii="Times New Roman" w:hAnsi="Times New Roman"/>
          <w:szCs w:val="24"/>
        </w:rPr>
        <w:t>ГЦ</w:t>
      </w:r>
      <w:r w:rsidR="00831EA5">
        <w:rPr>
          <w:rFonts w:ascii="Times New Roman" w:hAnsi="Times New Roman"/>
          <w:szCs w:val="24"/>
        </w:rPr>
        <w:t xml:space="preserve"> </w:t>
      </w:r>
      <w:r>
        <w:rPr>
          <w:rFonts w:ascii="Times New Roman" w:hAnsi="Times New Roman"/>
          <w:szCs w:val="24"/>
        </w:rPr>
        <w:t>ФБиХ</w:t>
      </w:r>
      <w:r w:rsidR="00CA42E2" w:rsidRPr="00295637">
        <w:rPr>
          <w:rFonts w:ascii="Times New Roman" w:hAnsi="Times New Roman"/>
          <w:szCs w:val="24"/>
        </w:rPr>
        <w:t xml:space="preserve"> </w:t>
      </w:r>
      <w:r>
        <w:rPr>
          <w:rFonts w:ascii="Times New Roman" w:hAnsi="Times New Roman"/>
          <w:szCs w:val="24"/>
        </w:rPr>
        <w:t>се</w:t>
      </w:r>
      <w:r w:rsidR="00CA42E2" w:rsidRPr="00295637">
        <w:rPr>
          <w:rFonts w:ascii="Times New Roman" w:hAnsi="Times New Roman"/>
          <w:szCs w:val="24"/>
        </w:rPr>
        <w:t xml:space="preserve"> </w:t>
      </w:r>
      <w:r>
        <w:rPr>
          <w:rFonts w:ascii="Times New Roman" w:hAnsi="Times New Roman"/>
          <w:szCs w:val="24"/>
        </w:rPr>
        <w:t>захтјевом</w:t>
      </w:r>
      <w:r w:rsidR="0007125F" w:rsidRPr="00295637">
        <w:rPr>
          <w:rFonts w:ascii="Times New Roman" w:hAnsi="Times New Roman"/>
          <w:szCs w:val="24"/>
        </w:rPr>
        <w:t xml:space="preserve"> </w:t>
      </w:r>
      <w:r>
        <w:rPr>
          <w:rFonts w:ascii="Times New Roman" w:hAnsi="Times New Roman"/>
          <w:szCs w:val="24"/>
        </w:rPr>
        <w:t>обратио</w:t>
      </w:r>
      <w:r w:rsidR="0007125F" w:rsidRPr="00295637">
        <w:rPr>
          <w:rFonts w:ascii="Times New Roman" w:hAnsi="Times New Roman"/>
          <w:szCs w:val="24"/>
        </w:rPr>
        <w:t xml:space="preserve"> </w:t>
      </w:r>
      <w:r>
        <w:rPr>
          <w:rFonts w:ascii="Times New Roman" w:hAnsi="Times New Roman"/>
          <w:szCs w:val="24"/>
        </w:rPr>
        <w:t>надлежним</w:t>
      </w:r>
      <w:r w:rsidR="0007125F" w:rsidRPr="00295637">
        <w:rPr>
          <w:rFonts w:ascii="Times New Roman" w:hAnsi="Times New Roman"/>
          <w:szCs w:val="24"/>
        </w:rPr>
        <w:t xml:space="preserve"> </w:t>
      </w:r>
      <w:r>
        <w:rPr>
          <w:rFonts w:ascii="Times New Roman" w:hAnsi="Times New Roman"/>
          <w:szCs w:val="24"/>
        </w:rPr>
        <w:t>институцијама</w:t>
      </w:r>
      <w:r w:rsidR="0007125F" w:rsidRPr="00295637">
        <w:rPr>
          <w:rFonts w:ascii="Times New Roman" w:hAnsi="Times New Roman"/>
          <w:szCs w:val="24"/>
        </w:rPr>
        <w:t xml:space="preserve"> </w:t>
      </w:r>
      <w:r>
        <w:rPr>
          <w:rFonts w:ascii="Times New Roman" w:hAnsi="Times New Roman"/>
          <w:szCs w:val="24"/>
        </w:rPr>
        <w:t>за</w:t>
      </w:r>
      <w:r w:rsidR="0007125F" w:rsidRPr="00295637">
        <w:rPr>
          <w:rFonts w:ascii="Times New Roman" w:hAnsi="Times New Roman"/>
          <w:szCs w:val="24"/>
        </w:rPr>
        <w:t xml:space="preserve"> </w:t>
      </w:r>
      <w:r>
        <w:rPr>
          <w:rFonts w:ascii="Times New Roman" w:hAnsi="Times New Roman"/>
          <w:szCs w:val="24"/>
        </w:rPr>
        <w:t>именовање</w:t>
      </w:r>
      <w:r w:rsidR="0007125F" w:rsidRPr="00295637">
        <w:rPr>
          <w:rFonts w:ascii="Times New Roman" w:hAnsi="Times New Roman"/>
          <w:szCs w:val="24"/>
        </w:rPr>
        <w:t xml:space="preserve"> </w:t>
      </w:r>
      <w:r>
        <w:rPr>
          <w:rFonts w:ascii="Times New Roman" w:hAnsi="Times New Roman"/>
          <w:szCs w:val="24"/>
        </w:rPr>
        <w:t>КО</w:t>
      </w:r>
      <w:r w:rsidR="0007125F" w:rsidRPr="00295637">
        <w:rPr>
          <w:rFonts w:ascii="Times New Roman" w:hAnsi="Times New Roman"/>
          <w:szCs w:val="24"/>
        </w:rPr>
        <w:t xml:space="preserve"> </w:t>
      </w:r>
      <w:r>
        <w:rPr>
          <w:rFonts w:ascii="Times New Roman" w:hAnsi="Times New Roman"/>
          <w:szCs w:val="24"/>
        </w:rPr>
        <w:t>за</w:t>
      </w:r>
      <w:r w:rsidR="0007125F" w:rsidRPr="00295637">
        <w:rPr>
          <w:rFonts w:ascii="Times New Roman" w:hAnsi="Times New Roman"/>
          <w:szCs w:val="24"/>
        </w:rPr>
        <w:t xml:space="preserve"> </w:t>
      </w:r>
      <w:r>
        <w:rPr>
          <w:rFonts w:ascii="Times New Roman" w:hAnsi="Times New Roman"/>
          <w:szCs w:val="24"/>
        </w:rPr>
        <w:t>праћење</w:t>
      </w:r>
      <w:r w:rsidR="0007125F" w:rsidRPr="00295637">
        <w:rPr>
          <w:rFonts w:ascii="Times New Roman" w:hAnsi="Times New Roman"/>
          <w:szCs w:val="24"/>
        </w:rPr>
        <w:t xml:space="preserve"> </w:t>
      </w:r>
      <w:r>
        <w:rPr>
          <w:rFonts w:ascii="Times New Roman" w:hAnsi="Times New Roman"/>
          <w:szCs w:val="24"/>
        </w:rPr>
        <w:t>и</w:t>
      </w:r>
      <w:r w:rsidR="0007125F" w:rsidRPr="00295637">
        <w:rPr>
          <w:rFonts w:ascii="Times New Roman" w:hAnsi="Times New Roman"/>
          <w:szCs w:val="24"/>
        </w:rPr>
        <w:t xml:space="preserve"> </w:t>
      </w:r>
      <w:r w:rsidR="006318F4">
        <w:rPr>
          <w:rFonts w:ascii="Times New Roman" w:hAnsi="Times New Roman"/>
          <w:szCs w:val="24"/>
          <w:lang w:val="sr-Cyrl-BA"/>
        </w:rPr>
        <w:t>спровођење</w:t>
      </w:r>
      <w:r w:rsidR="0007125F" w:rsidRPr="00295637">
        <w:rPr>
          <w:rFonts w:ascii="Times New Roman" w:hAnsi="Times New Roman"/>
          <w:szCs w:val="24"/>
        </w:rPr>
        <w:t xml:space="preserve"> </w:t>
      </w:r>
      <w:r>
        <w:rPr>
          <w:rFonts w:ascii="Times New Roman" w:hAnsi="Times New Roman"/>
          <w:szCs w:val="24"/>
        </w:rPr>
        <w:t>ГАП</w:t>
      </w:r>
      <w:r w:rsidR="002327D1">
        <w:rPr>
          <w:rFonts w:ascii="Times New Roman" w:hAnsi="Times New Roman"/>
          <w:szCs w:val="24"/>
        </w:rPr>
        <w:t xml:space="preserve"> </w:t>
      </w:r>
      <w:r>
        <w:rPr>
          <w:rFonts w:ascii="Times New Roman" w:hAnsi="Times New Roman"/>
          <w:szCs w:val="24"/>
        </w:rPr>
        <w:t>БиХ</w:t>
      </w:r>
      <w:r w:rsidR="0007125F" w:rsidRPr="00295637">
        <w:rPr>
          <w:rFonts w:ascii="Times New Roman" w:hAnsi="Times New Roman"/>
          <w:szCs w:val="24"/>
        </w:rPr>
        <w:t xml:space="preserve"> </w:t>
      </w:r>
      <w:r>
        <w:rPr>
          <w:rFonts w:ascii="Times New Roman" w:hAnsi="Times New Roman"/>
          <w:szCs w:val="24"/>
        </w:rPr>
        <w:t>у</w:t>
      </w:r>
      <w:r w:rsidR="0007125F" w:rsidRPr="00295637">
        <w:rPr>
          <w:rFonts w:ascii="Times New Roman" w:hAnsi="Times New Roman"/>
          <w:szCs w:val="24"/>
        </w:rPr>
        <w:t xml:space="preserve"> </w:t>
      </w:r>
      <w:r>
        <w:rPr>
          <w:rFonts w:ascii="Times New Roman" w:hAnsi="Times New Roman"/>
          <w:szCs w:val="24"/>
        </w:rPr>
        <w:t>Федерацији</w:t>
      </w:r>
      <w:r w:rsidR="00B400A2" w:rsidRPr="00295637">
        <w:rPr>
          <w:rFonts w:ascii="Times New Roman" w:hAnsi="Times New Roman"/>
          <w:szCs w:val="24"/>
        </w:rPr>
        <w:t xml:space="preserve"> </w:t>
      </w:r>
      <w:r>
        <w:rPr>
          <w:rFonts w:ascii="Times New Roman" w:hAnsi="Times New Roman"/>
          <w:szCs w:val="24"/>
        </w:rPr>
        <w:t>БиХ</w:t>
      </w:r>
      <w:r w:rsidR="0007125F" w:rsidRPr="00295637">
        <w:rPr>
          <w:rFonts w:ascii="Times New Roman" w:hAnsi="Times New Roman"/>
          <w:szCs w:val="24"/>
        </w:rPr>
        <w:t>.</w:t>
      </w:r>
      <w:r w:rsidR="00CA42E2" w:rsidRPr="00295637">
        <w:rPr>
          <w:rFonts w:ascii="Times New Roman" w:hAnsi="Times New Roman"/>
          <w:szCs w:val="24"/>
        </w:rPr>
        <w:t xml:space="preserve"> </w:t>
      </w:r>
      <w:r>
        <w:rPr>
          <w:rFonts w:ascii="Times New Roman" w:hAnsi="Times New Roman"/>
          <w:szCs w:val="24"/>
        </w:rPr>
        <w:t>ГЦ</w:t>
      </w:r>
      <w:r w:rsidR="00CA42E2" w:rsidRPr="00295637">
        <w:rPr>
          <w:rFonts w:ascii="Times New Roman" w:hAnsi="Times New Roman"/>
          <w:szCs w:val="24"/>
        </w:rPr>
        <w:t xml:space="preserve"> </w:t>
      </w:r>
      <w:r>
        <w:rPr>
          <w:rFonts w:ascii="Times New Roman" w:hAnsi="Times New Roman"/>
          <w:szCs w:val="24"/>
        </w:rPr>
        <w:t>ФБиХ</w:t>
      </w:r>
      <w:r w:rsidR="00CA42E2" w:rsidRPr="00295637">
        <w:rPr>
          <w:rFonts w:ascii="Times New Roman" w:hAnsi="Times New Roman"/>
          <w:szCs w:val="24"/>
        </w:rPr>
        <w:t xml:space="preserve"> </w:t>
      </w:r>
      <w:r>
        <w:rPr>
          <w:rFonts w:ascii="Times New Roman" w:hAnsi="Times New Roman"/>
          <w:szCs w:val="24"/>
        </w:rPr>
        <w:t>је</w:t>
      </w:r>
      <w:r w:rsidR="0007125F" w:rsidRPr="00295637">
        <w:rPr>
          <w:rFonts w:ascii="Times New Roman" w:hAnsi="Times New Roman"/>
          <w:szCs w:val="24"/>
        </w:rPr>
        <w:t xml:space="preserve"> </w:t>
      </w:r>
      <w:r>
        <w:rPr>
          <w:rFonts w:ascii="Times New Roman" w:hAnsi="Times New Roman"/>
          <w:szCs w:val="24"/>
        </w:rPr>
        <w:t>припремио</w:t>
      </w:r>
      <w:r w:rsidR="0007125F" w:rsidRPr="00295637">
        <w:rPr>
          <w:rFonts w:ascii="Times New Roman" w:hAnsi="Times New Roman"/>
          <w:szCs w:val="24"/>
        </w:rPr>
        <w:t xml:space="preserve"> </w:t>
      </w:r>
      <w:r>
        <w:rPr>
          <w:rFonts w:ascii="Times New Roman" w:hAnsi="Times New Roman"/>
          <w:szCs w:val="24"/>
        </w:rPr>
        <w:t>приједлог</w:t>
      </w:r>
      <w:r w:rsidR="0007125F" w:rsidRPr="00295637">
        <w:rPr>
          <w:rFonts w:ascii="Times New Roman" w:hAnsi="Times New Roman"/>
          <w:szCs w:val="24"/>
        </w:rPr>
        <w:t xml:space="preserve"> </w:t>
      </w:r>
      <w:r>
        <w:rPr>
          <w:rFonts w:ascii="Times New Roman" w:hAnsi="Times New Roman"/>
          <w:szCs w:val="24"/>
        </w:rPr>
        <w:t>Рјешења</w:t>
      </w:r>
      <w:r w:rsidR="0007125F" w:rsidRPr="00295637">
        <w:rPr>
          <w:rFonts w:ascii="Times New Roman" w:hAnsi="Times New Roman"/>
          <w:szCs w:val="24"/>
        </w:rPr>
        <w:t xml:space="preserve"> </w:t>
      </w:r>
      <w:r>
        <w:rPr>
          <w:rFonts w:ascii="Times New Roman" w:hAnsi="Times New Roman"/>
          <w:szCs w:val="24"/>
        </w:rPr>
        <w:t>и</w:t>
      </w:r>
      <w:r w:rsidR="0007125F" w:rsidRPr="00295637">
        <w:rPr>
          <w:rFonts w:ascii="Times New Roman" w:hAnsi="Times New Roman"/>
          <w:szCs w:val="24"/>
        </w:rPr>
        <w:t xml:space="preserve"> </w:t>
      </w:r>
      <w:r>
        <w:rPr>
          <w:rFonts w:ascii="Times New Roman" w:hAnsi="Times New Roman"/>
          <w:szCs w:val="24"/>
        </w:rPr>
        <w:t>доставио</w:t>
      </w:r>
      <w:r w:rsidR="0007125F" w:rsidRPr="00295637">
        <w:rPr>
          <w:rFonts w:ascii="Times New Roman" w:hAnsi="Times New Roman"/>
          <w:szCs w:val="24"/>
        </w:rPr>
        <w:t xml:space="preserve"> </w:t>
      </w:r>
      <w:r>
        <w:rPr>
          <w:rFonts w:ascii="Times New Roman" w:hAnsi="Times New Roman"/>
          <w:szCs w:val="24"/>
        </w:rPr>
        <w:t>Влади</w:t>
      </w:r>
      <w:r w:rsidR="0007125F" w:rsidRPr="00295637">
        <w:rPr>
          <w:rFonts w:ascii="Times New Roman" w:hAnsi="Times New Roman"/>
          <w:szCs w:val="24"/>
        </w:rPr>
        <w:t xml:space="preserve"> </w:t>
      </w:r>
      <w:r>
        <w:rPr>
          <w:rFonts w:ascii="Times New Roman" w:hAnsi="Times New Roman"/>
          <w:szCs w:val="24"/>
        </w:rPr>
        <w:t>ФБиХ</w:t>
      </w:r>
      <w:r w:rsidR="0007125F" w:rsidRPr="00295637">
        <w:rPr>
          <w:rFonts w:ascii="Times New Roman" w:hAnsi="Times New Roman"/>
          <w:szCs w:val="24"/>
        </w:rPr>
        <w:t xml:space="preserve"> </w:t>
      </w:r>
      <w:r>
        <w:rPr>
          <w:rFonts w:ascii="Times New Roman" w:hAnsi="Times New Roman"/>
          <w:szCs w:val="24"/>
        </w:rPr>
        <w:t>на</w:t>
      </w:r>
      <w:r w:rsidR="0007125F" w:rsidRPr="00295637">
        <w:rPr>
          <w:rFonts w:ascii="Times New Roman" w:hAnsi="Times New Roman"/>
          <w:szCs w:val="24"/>
        </w:rPr>
        <w:t xml:space="preserve"> </w:t>
      </w:r>
      <w:r>
        <w:rPr>
          <w:rFonts w:ascii="Times New Roman" w:hAnsi="Times New Roman"/>
          <w:szCs w:val="24"/>
        </w:rPr>
        <w:t>усвајање</w:t>
      </w:r>
      <w:r w:rsidR="0007125F" w:rsidRPr="00295637">
        <w:rPr>
          <w:rFonts w:ascii="Times New Roman" w:hAnsi="Times New Roman"/>
          <w:szCs w:val="24"/>
        </w:rPr>
        <w:t xml:space="preserve">. </w:t>
      </w:r>
      <w:r>
        <w:rPr>
          <w:rFonts w:ascii="Times New Roman" w:hAnsi="Times New Roman"/>
          <w:szCs w:val="24"/>
        </w:rPr>
        <w:t>Како</w:t>
      </w:r>
      <w:r w:rsidR="0007125F" w:rsidRPr="00295637">
        <w:rPr>
          <w:rFonts w:ascii="Times New Roman" w:hAnsi="Times New Roman"/>
          <w:szCs w:val="24"/>
        </w:rPr>
        <w:t xml:space="preserve"> </w:t>
      </w:r>
      <w:r>
        <w:rPr>
          <w:rFonts w:ascii="Times New Roman" w:hAnsi="Times New Roman"/>
          <w:szCs w:val="24"/>
        </w:rPr>
        <w:t>је</w:t>
      </w:r>
      <w:r w:rsidR="0007125F" w:rsidRPr="00295637">
        <w:rPr>
          <w:rFonts w:ascii="Times New Roman" w:hAnsi="Times New Roman"/>
          <w:szCs w:val="24"/>
        </w:rPr>
        <w:t xml:space="preserve"> </w:t>
      </w:r>
      <w:r>
        <w:rPr>
          <w:rFonts w:ascii="Times New Roman" w:hAnsi="Times New Roman"/>
          <w:szCs w:val="24"/>
        </w:rPr>
        <w:t>у</w:t>
      </w:r>
      <w:r w:rsidR="0007125F" w:rsidRPr="00295637">
        <w:rPr>
          <w:rFonts w:ascii="Times New Roman" w:hAnsi="Times New Roman"/>
          <w:szCs w:val="24"/>
        </w:rPr>
        <w:t xml:space="preserve"> </w:t>
      </w:r>
      <w:r>
        <w:rPr>
          <w:rFonts w:ascii="Times New Roman" w:hAnsi="Times New Roman"/>
          <w:szCs w:val="24"/>
        </w:rPr>
        <w:t>овом</w:t>
      </w:r>
      <w:r w:rsidR="0007125F" w:rsidRPr="00295637">
        <w:rPr>
          <w:rFonts w:ascii="Times New Roman" w:hAnsi="Times New Roman"/>
          <w:szCs w:val="24"/>
        </w:rPr>
        <w:t xml:space="preserve"> </w:t>
      </w:r>
      <w:r>
        <w:rPr>
          <w:rFonts w:ascii="Times New Roman" w:hAnsi="Times New Roman"/>
          <w:szCs w:val="24"/>
        </w:rPr>
        <w:t>периоду</w:t>
      </w:r>
      <w:r w:rsidR="0007125F" w:rsidRPr="00295637">
        <w:rPr>
          <w:rFonts w:ascii="Times New Roman" w:hAnsi="Times New Roman"/>
          <w:szCs w:val="24"/>
        </w:rPr>
        <w:t xml:space="preserve"> </w:t>
      </w:r>
      <w:r>
        <w:rPr>
          <w:rFonts w:ascii="Times New Roman" w:hAnsi="Times New Roman"/>
          <w:szCs w:val="24"/>
        </w:rPr>
        <w:t>дошло</w:t>
      </w:r>
      <w:r w:rsidR="0007125F" w:rsidRPr="00295637">
        <w:rPr>
          <w:rFonts w:ascii="Times New Roman" w:hAnsi="Times New Roman"/>
          <w:szCs w:val="24"/>
        </w:rPr>
        <w:t xml:space="preserve"> </w:t>
      </w:r>
      <w:r>
        <w:rPr>
          <w:rFonts w:ascii="Times New Roman" w:hAnsi="Times New Roman"/>
          <w:szCs w:val="24"/>
        </w:rPr>
        <w:t>до</w:t>
      </w:r>
      <w:r w:rsidR="0007125F" w:rsidRPr="00295637">
        <w:rPr>
          <w:rFonts w:ascii="Times New Roman" w:hAnsi="Times New Roman"/>
          <w:szCs w:val="24"/>
        </w:rPr>
        <w:t xml:space="preserve"> </w:t>
      </w:r>
      <w:r>
        <w:rPr>
          <w:rFonts w:ascii="Times New Roman" w:hAnsi="Times New Roman"/>
          <w:szCs w:val="24"/>
        </w:rPr>
        <w:t>измјене</w:t>
      </w:r>
      <w:r w:rsidR="0007125F" w:rsidRPr="00295637">
        <w:rPr>
          <w:rFonts w:ascii="Times New Roman" w:hAnsi="Times New Roman"/>
          <w:szCs w:val="24"/>
        </w:rPr>
        <w:t xml:space="preserve"> </w:t>
      </w:r>
      <w:r>
        <w:rPr>
          <w:rFonts w:ascii="Times New Roman" w:hAnsi="Times New Roman"/>
          <w:szCs w:val="24"/>
        </w:rPr>
        <w:t>у</w:t>
      </w:r>
      <w:r w:rsidR="0007125F" w:rsidRPr="00295637">
        <w:rPr>
          <w:rFonts w:ascii="Times New Roman" w:hAnsi="Times New Roman"/>
          <w:szCs w:val="24"/>
        </w:rPr>
        <w:t xml:space="preserve"> </w:t>
      </w:r>
      <w:r>
        <w:rPr>
          <w:rFonts w:ascii="Times New Roman" w:hAnsi="Times New Roman"/>
          <w:szCs w:val="24"/>
        </w:rPr>
        <w:t>руководству</w:t>
      </w:r>
      <w:r w:rsidR="0007125F" w:rsidRPr="00295637">
        <w:rPr>
          <w:rFonts w:ascii="Times New Roman" w:hAnsi="Times New Roman"/>
          <w:szCs w:val="24"/>
        </w:rPr>
        <w:t xml:space="preserve"> </w:t>
      </w:r>
      <w:r>
        <w:rPr>
          <w:rFonts w:ascii="Times New Roman" w:hAnsi="Times New Roman"/>
          <w:szCs w:val="24"/>
        </w:rPr>
        <w:t>ГЦ</w:t>
      </w:r>
      <w:r w:rsidR="00831EA5">
        <w:rPr>
          <w:rFonts w:ascii="Times New Roman" w:hAnsi="Times New Roman"/>
          <w:szCs w:val="24"/>
        </w:rPr>
        <w:t xml:space="preserve"> </w:t>
      </w:r>
      <w:r>
        <w:rPr>
          <w:rFonts w:ascii="Times New Roman" w:hAnsi="Times New Roman"/>
          <w:szCs w:val="24"/>
        </w:rPr>
        <w:t>ФБиХ</w:t>
      </w:r>
      <w:r w:rsidR="0007125F" w:rsidRPr="00295637">
        <w:rPr>
          <w:rFonts w:ascii="Times New Roman" w:hAnsi="Times New Roman"/>
          <w:szCs w:val="24"/>
        </w:rPr>
        <w:t xml:space="preserve">, </w:t>
      </w:r>
      <w:r>
        <w:rPr>
          <w:rFonts w:ascii="Times New Roman" w:hAnsi="Times New Roman"/>
          <w:szCs w:val="24"/>
        </w:rPr>
        <w:t>још</w:t>
      </w:r>
      <w:r w:rsidR="0007125F" w:rsidRPr="00295637">
        <w:rPr>
          <w:rFonts w:ascii="Times New Roman" w:hAnsi="Times New Roman"/>
          <w:szCs w:val="24"/>
        </w:rPr>
        <w:t xml:space="preserve"> </w:t>
      </w:r>
      <w:r>
        <w:rPr>
          <w:rFonts w:ascii="Times New Roman" w:hAnsi="Times New Roman"/>
          <w:szCs w:val="24"/>
        </w:rPr>
        <w:t>увијек</w:t>
      </w:r>
      <w:r w:rsidR="00831EA5">
        <w:rPr>
          <w:rFonts w:ascii="Times New Roman" w:hAnsi="Times New Roman"/>
          <w:szCs w:val="24"/>
        </w:rPr>
        <w:t xml:space="preserve"> </w:t>
      </w:r>
      <w:r>
        <w:rPr>
          <w:rFonts w:ascii="Times New Roman" w:hAnsi="Times New Roman"/>
          <w:szCs w:val="24"/>
        </w:rPr>
        <w:t>није</w:t>
      </w:r>
      <w:r w:rsidR="00831EA5">
        <w:rPr>
          <w:rFonts w:ascii="Times New Roman" w:hAnsi="Times New Roman"/>
          <w:szCs w:val="24"/>
        </w:rPr>
        <w:t xml:space="preserve"> </w:t>
      </w:r>
      <w:r>
        <w:rPr>
          <w:rFonts w:ascii="Times New Roman" w:hAnsi="Times New Roman"/>
          <w:szCs w:val="24"/>
        </w:rPr>
        <w:t>разматрано</w:t>
      </w:r>
      <w:r w:rsidR="00831EA5">
        <w:rPr>
          <w:rFonts w:ascii="Times New Roman" w:hAnsi="Times New Roman"/>
          <w:szCs w:val="24"/>
        </w:rPr>
        <w:t xml:space="preserve"> </w:t>
      </w:r>
      <w:r>
        <w:rPr>
          <w:rFonts w:ascii="Times New Roman" w:hAnsi="Times New Roman"/>
          <w:szCs w:val="24"/>
        </w:rPr>
        <w:t>предметно</w:t>
      </w:r>
      <w:r w:rsidR="00831EA5">
        <w:rPr>
          <w:rFonts w:ascii="Times New Roman" w:hAnsi="Times New Roman"/>
          <w:szCs w:val="24"/>
        </w:rPr>
        <w:t xml:space="preserve"> </w:t>
      </w:r>
      <w:r>
        <w:rPr>
          <w:rFonts w:ascii="Times New Roman" w:hAnsi="Times New Roman"/>
          <w:szCs w:val="24"/>
        </w:rPr>
        <w:t>рјешење</w:t>
      </w:r>
      <w:r w:rsidR="0007125F" w:rsidRPr="00295637">
        <w:rPr>
          <w:rFonts w:ascii="Times New Roman" w:hAnsi="Times New Roman"/>
          <w:szCs w:val="24"/>
        </w:rPr>
        <w:t xml:space="preserve">, </w:t>
      </w:r>
      <w:r>
        <w:rPr>
          <w:rFonts w:ascii="Times New Roman" w:hAnsi="Times New Roman"/>
          <w:szCs w:val="24"/>
        </w:rPr>
        <w:t>а</w:t>
      </w:r>
      <w:r w:rsidR="0007125F" w:rsidRPr="00295637">
        <w:rPr>
          <w:rFonts w:ascii="Times New Roman" w:hAnsi="Times New Roman"/>
          <w:szCs w:val="24"/>
        </w:rPr>
        <w:t xml:space="preserve"> </w:t>
      </w:r>
      <w:r>
        <w:rPr>
          <w:rFonts w:ascii="Times New Roman" w:hAnsi="Times New Roman"/>
          <w:szCs w:val="24"/>
        </w:rPr>
        <w:t>које</w:t>
      </w:r>
      <w:r w:rsidR="0007125F" w:rsidRPr="00295637">
        <w:rPr>
          <w:rFonts w:ascii="Times New Roman" w:hAnsi="Times New Roman"/>
          <w:szCs w:val="24"/>
        </w:rPr>
        <w:t xml:space="preserve"> </w:t>
      </w:r>
      <w:r>
        <w:rPr>
          <w:rFonts w:ascii="Times New Roman" w:hAnsi="Times New Roman"/>
          <w:szCs w:val="24"/>
        </w:rPr>
        <w:t>ће</w:t>
      </w:r>
      <w:r w:rsidR="0007125F" w:rsidRPr="00295637">
        <w:rPr>
          <w:rFonts w:ascii="Times New Roman" w:hAnsi="Times New Roman"/>
          <w:szCs w:val="24"/>
        </w:rPr>
        <w:t xml:space="preserve"> </w:t>
      </w:r>
      <w:r>
        <w:rPr>
          <w:rFonts w:ascii="Times New Roman" w:hAnsi="Times New Roman"/>
          <w:szCs w:val="24"/>
        </w:rPr>
        <w:t>бити</w:t>
      </w:r>
      <w:r w:rsidR="0007125F" w:rsidRPr="00295637">
        <w:rPr>
          <w:rFonts w:ascii="Times New Roman" w:hAnsi="Times New Roman"/>
          <w:szCs w:val="24"/>
        </w:rPr>
        <w:t xml:space="preserve"> </w:t>
      </w:r>
      <w:r>
        <w:rPr>
          <w:rFonts w:ascii="Times New Roman" w:hAnsi="Times New Roman"/>
          <w:szCs w:val="24"/>
        </w:rPr>
        <w:t>потврђено</w:t>
      </w:r>
      <w:r w:rsidR="0007125F" w:rsidRPr="00295637">
        <w:rPr>
          <w:rFonts w:ascii="Times New Roman" w:hAnsi="Times New Roman"/>
          <w:szCs w:val="24"/>
        </w:rPr>
        <w:t xml:space="preserve"> </w:t>
      </w:r>
      <w:r>
        <w:rPr>
          <w:rFonts w:ascii="Times New Roman" w:hAnsi="Times New Roman"/>
          <w:szCs w:val="24"/>
        </w:rPr>
        <w:t>у</w:t>
      </w:r>
      <w:r w:rsidR="0007125F" w:rsidRPr="00295637">
        <w:rPr>
          <w:rFonts w:ascii="Times New Roman" w:hAnsi="Times New Roman"/>
          <w:szCs w:val="24"/>
        </w:rPr>
        <w:t xml:space="preserve"> </w:t>
      </w:r>
      <w:r>
        <w:rPr>
          <w:rFonts w:ascii="Times New Roman" w:hAnsi="Times New Roman"/>
          <w:szCs w:val="24"/>
        </w:rPr>
        <w:t>наредном</w:t>
      </w:r>
      <w:r w:rsidR="0007125F" w:rsidRPr="00295637">
        <w:rPr>
          <w:rFonts w:ascii="Times New Roman" w:hAnsi="Times New Roman"/>
          <w:szCs w:val="24"/>
        </w:rPr>
        <w:t xml:space="preserve"> </w:t>
      </w:r>
      <w:r>
        <w:rPr>
          <w:rFonts w:ascii="Times New Roman" w:hAnsi="Times New Roman"/>
          <w:szCs w:val="24"/>
        </w:rPr>
        <w:t>периоду</w:t>
      </w:r>
      <w:r w:rsidR="0007125F" w:rsidRPr="00295637">
        <w:rPr>
          <w:rFonts w:ascii="Times New Roman" w:hAnsi="Times New Roman"/>
          <w:szCs w:val="24"/>
        </w:rPr>
        <w:t xml:space="preserve">. </w:t>
      </w:r>
      <w:r>
        <w:rPr>
          <w:rFonts w:ascii="Times New Roman" w:hAnsi="Times New Roman"/>
          <w:szCs w:val="24"/>
        </w:rPr>
        <w:t>Међутим</w:t>
      </w:r>
      <w:r w:rsidR="0007125F" w:rsidRPr="00295637">
        <w:rPr>
          <w:rFonts w:ascii="Times New Roman" w:hAnsi="Times New Roman"/>
          <w:szCs w:val="24"/>
        </w:rPr>
        <w:t xml:space="preserve">, </w:t>
      </w:r>
      <w:r>
        <w:rPr>
          <w:rFonts w:ascii="Times New Roman" w:hAnsi="Times New Roman"/>
          <w:szCs w:val="24"/>
        </w:rPr>
        <w:t>институције</w:t>
      </w:r>
      <w:r w:rsidR="0007125F" w:rsidRPr="00295637">
        <w:rPr>
          <w:rFonts w:ascii="Times New Roman" w:hAnsi="Times New Roman"/>
          <w:szCs w:val="24"/>
        </w:rPr>
        <w:t xml:space="preserve"> </w:t>
      </w:r>
      <w:r>
        <w:rPr>
          <w:rFonts w:ascii="Times New Roman" w:hAnsi="Times New Roman"/>
          <w:szCs w:val="24"/>
        </w:rPr>
        <w:t>дјелују</w:t>
      </w:r>
      <w:r w:rsidR="0007125F" w:rsidRPr="00295637">
        <w:rPr>
          <w:rFonts w:ascii="Times New Roman" w:hAnsi="Times New Roman"/>
          <w:szCs w:val="24"/>
        </w:rPr>
        <w:t xml:space="preserve"> </w:t>
      </w:r>
      <w:r>
        <w:rPr>
          <w:rFonts w:ascii="Times New Roman" w:hAnsi="Times New Roman"/>
          <w:szCs w:val="24"/>
        </w:rPr>
        <w:t>на</w:t>
      </w:r>
      <w:r w:rsidR="0007125F" w:rsidRPr="00295637">
        <w:rPr>
          <w:rFonts w:ascii="Times New Roman" w:hAnsi="Times New Roman"/>
          <w:szCs w:val="24"/>
        </w:rPr>
        <w:t xml:space="preserve"> </w:t>
      </w:r>
      <w:r>
        <w:rPr>
          <w:rFonts w:ascii="Times New Roman" w:hAnsi="Times New Roman"/>
          <w:szCs w:val="24"/>
        </w:rPr>
        <w:t>начин</w:t>
      </w:r>
      <w:r w:rsidR="0007125F" w:rsidRPr="00295637">
        <w:rPr>
          <w:rFonts w:ascii="Times New Roman" w:hAnsi="Times New Roman"/>
          <w:szCs w:val="24"/>
        </w:rPr>
        <w:t xml:space="preserve"> </w:t>
      </w:r>
      <w:r>
        <w:rPr>
          <w:rFonts w:ascii="Times New Roman" w:hAnsi="Times New Roman"/>
          <w:szCs w:val="24"/>
        </w:rPr>
        <w:t>предвиђен</w:t>
      </w:r>
      <w:r w:rsidR="0007125F" w:rsidRPr="00295637">
        <w:rPr>
          <w:rFonts w:ascii="Times New Roman" w:hAnsi="Times New Roman"/>
          <w:szCs w:val="24"/>
        </w:rPr>
        <w:t xml:space="preserve"> </w:t>
      </w:r>
      <w:r>
        <w:rPr>
          <w:rFonts w:ascii="Times New Roman" w:hAnsi="Times New Roman"/>
          <w:szCs w:val="24"/>
        </w:rPr>
        <w:t>ранијим</w:t>
      </w:r>
      <w:r w:rsidR="00831EA5">
        <w:rPr>
          <w:rFonts w:ascii="Times New Roman" w:hAnsi="Times New Roman"/>
          <w:szCs w:val="24"/>
        </w:rPr>
        <w:t xml:space="preserve"> </w:t>
      </w:r>
      <w:r>
        <w:rPr>
          <w:rFonts w:ascii="Times New Roman" w:hAnsi="Times New Roman"/>
          <w:szCs w:val="24"/>
        </w:rPr>
        <w:t>рјешењем</w:t>
      </w:r>
      <w:r w:rsidR="003C4F4F" w:rsidRPr="00295637">
        <w:rPr>
          <w:rFonts w:ascii="Times New Roman" w:hAnsi="Times New Roman"/>
          <w:szCs w:val="24"/>
        </w:rPr>
        <w:t xml:space="preserve"> </w:t>
      </w:r>
      <w:r>
        <w:rPr>
          <w:rFonts w:ascii="Times New Roman" w:hAnsi="Times New Roman"/>
          <w:szCs w:val="24"/>
        </w:rPr>
        <w:t>за</w:t>
      </w:r>
      <w:r w:rsidR="003C4F4F" w:rsidRPr="00295637">
        <w:rPr>
          <w:rFonts w:ascii="Times New Roman" w:hAnsi="Times New Roman"/>
          <w:szCs w:val="24"/>
        </w:rPr>
        <w:t xml:space="preserve"> </w:t>
      </w:r>
      <w:r>
        <w:rPr>
          <w:rFonts w:ascii="Times New Roman" w:hAnsi="Times New Roman"/>
          <w:szCs w:val="24"/>
        </w:rPr>
        <w:t>КО</w:t>
      </w:r>
      <w:r w:rsidR="003C4F4F" w:rsidRPr="00295637">
        <w:rPr>
          <w:rFonts w:ascii="Times New Roman" w:hAnsi="Times New Roman"/>
          <w:szCs w:val="24"/>
        </w:rPr>
        <w:t>,</w:t>
      </w:r>
      <w:r w:rsidR="0007125F" w:rsidRPr="00295637">
        <w:rPr>
          <w:rFonts w:ascii="Times New Roman" w:hAnsi="Times New Roman"/>
          <w:szCs w:val="24"/>
        </w:rPr>
        <w:t xml:space="preserve"> </w:t>
      </w:r>
      <w:r>
        <w:rPr>
          <w:rFonts w:ascii="Times New Roman" w:hAnsi="Times New Roman"/>
          <w:szCs w:val="24"/>
        </w:rPr>
        <w:t>до</w:t>
      </w:r>
      <w:r w:rsidR="0007125F" w:rsidRPr="00295637">
        <w:rPr>
          <w:rFonts w:ascii="Times New Roman" w:hAnsi="Times New Roman"/>
          <w:szCs w:val="24"/>
        </w:rPr>
        <w:t xml:space="preserve"> </w:t>
      </w:r>
      <w:r>
        <w:rPr>
          <w:rFonts w:ascii="Times New Roman" w:hAnsi="Times New Roman"/>
          <w:szCs w:val="24"/>
        </w:rPr>
        <w:t>успостављања</w:t>
      </w:r>
      <w:r w:rsidR="0007125F" w:rsidRPr="00295637">
        <w:rPr>
          <w:rFonts w:ascii="Times New Roman" w:hAnsi="Times New Roman"/>
          <w:szCs w:val="24"/>
        </w:rPr>
        <w:t xml:space="preserve"> </w:t>
      </w:r>
      <w:r>
        <w:rPr>
          <w:rFonts w:ascii="Times New Roman" w:hAnsi="Times New Roman"/>
          <w:szCs w:val="24"/>
        </w:rPr>
        <w:t>новог</w:t>
      </w:r>
      <w:r w:rsidR="0007125F" w:rsidRPr="00295637">
        <w:rPr>
          <w:rFonts w:ascii="Times New Roman" w:hAnsi="Times New Roman"/>
          <w:szCs w:val="24"/>
        </w:rPr>
        <w:t xml:space="preserve"> </w:t>
      </w:r>
      <w:r>
        <w:rPr>
          <w:rFonts w:ascii="Times New Roman" w:hAnsi="Times New Roman"/>
          <w:szCs w:val="24"/>
        </w:rPr>
        <w:t>органа</w:t>
      </w:r>
      <w:r w:rsidR="0007125F" w:rsidRPr="00295637">
        <w:rPr>
          <w:rFonts w:ascii="Times New Roman" w:hAnsi="Times New Roman"/>
          <w:szCs w:val="24"/>
        </w:rPr>
        <w:t>.</w:t>
      </w:r>
    </w:p>
    <w:p w:rsidR="00470746" w:rsidRPr="00295637" w:rsidRDefault="00470746" w:rsidP="0086268D">
      <w:pPr>
        <w:rPr>
          <w:lang w:val="bs-Latn-BA"/>
        </w:rPr>
      </w:pPr>
    </w:p>
    <w:p w:rsidR="00356C2C" w:rsidRPr="00295637" w:rsidRDefault="006318F4" w:rsidP="002327D1">
      <w:pPr>
        <w:tabs>
          <w:tab w:val="left" w:pos="284"/>
          <w:tab w:val="left" w:pos="630"/>
          <w:tab w:val="left" w:pos="1080"/>
        </w:tabs>
        <w:ind w:left="567"/>
        <w:jc w:val="both"/>
        <w:rPr>
          <w:rFonts w:ascii="Times New Roman" w:hAnsi="Times New Roman"/>
          <w:szCs w:val="24"/>
          <w:lang w:val="bs-Latn-BA"/>
        </w:rPr>
      </w:pPr>
      <w:r w:rsidRPr="006318F4">
        <w:rPr>
          <w:rFonts w:ascii="Times New Roman" w:hAnsi="Times New Roman"/>
          <w:szCs w:val="24"/>
          <w:lang w:val="bs-Latn-BA"/>
        </w:rPr>
        <w:t>II</w:t>
      </w:r>
      <w:r w:rsidR="002327D1">
        <w:rPr>
          <w:rFonts w:ascii="Times New Roman" w:hAnsi="Times New Roman"/>
          <w:szCs w:val="24"/>
          <w:lang w:val="bs-Latn-BA"/>
        </w:rPr>
        <w:t xml:space="preserve"> 1.5. </w:t>
      </w:r>
      <w:r w:rsidR="00C6214E">
        <w:rPr>
          <w:rFonts w:ascii="Times New Roman" w:hAnsi="Times New Roman"/>
          <w:szCs w:val="24"/>
          <w:lang w:val="bs-Latn-BA"/>
        </w:rPr>
        <w:t>Израда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усвајање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оперативних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планова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ГАП</w:t>
      </w:r>
      <w:r w:rsidR="009E54A2" w:rsidRPr="00295637">
        <w:rPr>
          <w:rFonts w:ascii="Times New Roman" w:hAnsi="Times New Roman"/>
          <w:szCs w:val="24"/>
          <w:lang w:val="bs-Latn-BA"/>
        </w:rPr>
        <w:t xml:space="preserve"> </w:t>
      </w:r>
      <w:r w:rsidR="00C6214E">
        <w:rPr>
          <w:rFonts w:ascii="Times New Roman" w:hAnsi="Times New Roman"/>
          <w:szCs w:val="24"/>
          <w:lang w:val="bs-Latn-BA"/>
        </w:rPr>
        <w:t>БиХ</w:t>
      </w:r>
      <w:r w:rsidR="00831EA5">
        <w:rPr>
          <w:rFonts w:ascii="Times New Roman" w:hAnsi="Times New Roman"/>
          <w:szCs w:val="24"/>
          <w:lang w:val="bs-Latn-BA"/>
        </w:rPr>
        <w:t>.</w:t>
      </w:r>
      <w:r w:rsidR="009E54A2" w:rsidRPr="00295637">
        <w:rPr>
          <w:rFonts w:ascii="Times New Roman" w:hAnsi="Times New Roman"/>
          <w:szCs w:val="24"/>
          <w:lang w:val="bs-Latn-BA"/>
        </w:rPr>
        <w:t xml:space="preserve"> </w:t>
      </w:r>
    </w:p>
    <w:p w:rsidR="00E61368" w:rsidRPr="00295637" w:rsidRDefault="00E61368" w:rsidP="0086268D">
      <w:pPr>
        <w:ind w:left="576"/>
        <w:contextualSpacing/>
        <w:jc w:val="both"/>
        <w:rPr>
          <w:rFonts w:ascii="Times New Roman" w:hAnsi="Times New Roman"/>
          <w:szCs w:val="24"/>
        </w:rPr>
      </w:pPr>
    </w:p>
    <w:p w:rsidR="0067225C" w:rsidRPr="00295637" w:rsidRDefault="00C6214E" w:rsidP="0086268D">
      <w:pPr>
        <w:contextualSpacing/>
        <w:jc w:val="both"/>
        <w:rPr>
          <w:rFonts w:ascii="Times New Roman" w:hAnsi="Times New Roman"/>
          <w:szCs w:val="24"/>
          <w:lang w:val="bs-Latn-BA"/>
        </w:rPr>
      </w:pPr>
      <w:r>
        <w:rPr>
          <w:rFonts w:ascii="Times New Roman" w:hAnsi="Times New Roman"/>
          <w:szCs w:val="24"/>
        </w:rPr>
        <w:t>Оперативни</w:t>
      </w:r>
      <w:r w:rsidR="00E61368" w:rsidRPr="00295637">
        <w:rPr>
          <w:rFonts w:ascii="Times New Roman" w:hAnsi="Times New Roman"/>
          <w:szCs w:val="24"/>
        </w:rPr>
        <w:t xml:space="preserve"> </w:t>
      </w:r>
      <w:r>
        <w:rPr>
          <w:rFonts w:ascii="Times New Roman" w:hAnsi="Times New Roman"/>
          <w:szCs w:val="24"/>
        </w:rPr>
        <w:t>план</w:t>
      </w:r>
      <w:r w:rsidR="00145C8D" w:rsidRPr="00295637">
        <w:rPr>
          <w:rFonts w:ascii="Times New Roman" w:hAnsi="Times New Roman"/>
          <w:szCs w:val="24"/>
        </w:rPr>
        <w:t xml:space="preserve"> </w:t>
      </w:r>
      <w:r>
        <w:rPr>
          <w:rFonts w:ascii="Times New Roman" w:hAnsi="Times New Roman"/>
          <w:szCs w:val="24"/>
        </w:rPr>
        <w:t>за</w:t>
      </w:r>
      <w:r w:rsidR="00145C8D" w:rsidRPr="00295637">
        <w:rPr>
          <w:rFonts w:ascii="Times New Roman" w:hAnsi="Times New Roman"/>
          <w:szCs w:val="24"/>
        </w:rPr>
        <w:t xml:space="preserve"> </w:t>
      </w:r>
      <w:r w:rsidR="006318F4">
        <w:rPr>
          <w:rFonts w:ascii="Times New Roman" w:hAnsi="Times New Roman"/>
          <w:szCs w:val="24"/>
          <w:lang w:val="sr-Cyrl-BA"/>
        </w:rPr>
        <w:t>спровођење</w:t>
      </w:r>
      <w:r w:rsidR="00145C8D" w:rsidRPr="00295637">
        <w:rPr>
          <w:rFonts w:ascii="Times New Roman" w:hAnsi="Times New Roman"/>
          <w:szCs w:val="24"/>
        </w:rPr>
        <w:t xml:space="preserve"> </w:t>
      </w:r>
      <w:r>
        <w:rPr>
          <w:rFonts w:ascii="Times New Roman" w:hAnsi="Times New Roman"/>
          <w:szCs w:val="24"/>
        </w:rPr>
        <w:t>ГАП</w:t>
      </w:r>
      <w:r w:rsidR="00314B0D">
        <w:rPr>
          <w:rFonts w:ascii="Times New Roman" w:hAnsi="Times New Roman"/>
          <w:szCs w:val="24"/>
        </w:rPr>
        <w:t xml:space="preserve"> </w:t>
      </w:r>
      <w:r>
        <w:rPr>
          <w:rFonts w:ascii="Times New Roman" w:hAnsi="Times New Roman"/>
          <w:szCs w:val="24"/>
        </w:rPr>
        <w:t>БиХ</w:t>
      </w:r>
      <w:r w:rsidR="00314B0D">
        <w:rPr>
          <w:rFonts w:ascii="Times New Roman" w:hAnsi="Times New Roman"/>
          <w:szCs w:val="24"/>
        </w:rPr>
        <w:t xml:space="preserve"> </w:t>
      </w:r>
      <w:r>
        <w:rPr>
          <w:rFonts w:ascii="Times New Roman" w:hAnsi="Times New Roman"/>
          <w:szCs w:val="24"/>
        </w:rPr>
        <w:t>за</w:t>
      </w:r>
      <w:r w:rsidR="00314B0D">
        <w:rPr>
          <w:rFonts w:ascii="Times New Roman" w:hAnsi="Times New Roman"/>
          <w:szCs w:val="24"/>
        </w:rPr>
        <w:t xml:space="preserve"> </w:t>
      </w:r>
      <w:r>
        <w:rPr>
          <w:rFonts w:ascii="Times New Roman" w:hAnsi="Times New Roman"/>
          <w:szCs w:val="24"/>
        </w:rPr>
        <w:t>институције</w:t>
      </w:r>
      <w:r w:rsidR="00145C8D" w:rsidRPr="00295637">
        <w:rPr>
          <w:rFonts w:ascii="Times New Roman" w:hAnsi="Times New Roman"/>
          <w:szCs w:val="24"/>
        </w:rPr>
        <w:t xml:space="preserve"> </w:t>
      </w:r>
      <w:r>
        <w:rPr>
          <w:rFonts w:ascii="Times New Roman" w:hAnsi="Times New Roman"/>
          <w:szCs w:val="24"/>
        </w:rPr>
        <w:t>БиХ</w:t>
      </w:r>
      <w:r w:rsidR="00145C8D" w:rsidRPr="00295637">
        <w:rPr>
          <w:rFonts w:ascii="Times New Roman" w:hAnsi="Times New Roman"/>
          <w:szCs w:val="24"/>
        </w:rPr>
        <w:t xml:space="preserve"> </w:t>
      </w:r>
      <w:r>
        <w:rPr>
          <w:rFonts w:ascii="Times New Roman" w:hAnsi="Times New Roman"/>
          <w:szCs w:val="24"/>
        </w:rPr>
        <w:t>усвојен</w:t>
      </w:r>
      <w:r w:rsidR="00145C8D" w:rsidRPr="00295637">
        <w:rPr>
          <w:rFonts w:ascii="Times New Roman" w:hAnsi="Times New Roman"/>
          <w:szCs w:val="24"/>
        </w:rPr>
        <w:t xml:space="preserve"> </w:t>
      </w:r>
      <w:r>
        <w:rPr>
          <w:rFonts w:ascii="Times New Roman" w:hAnsi="Times New Roman"/>
          <w:szCs w:val="24"/>
        </w:rPr>
        <w:t>је</w:t>
      </w:r>
      <w:r w:rsidR="00145C8D" w:rsidRPr="00295637">
        <w:rPr>
          <w:rFonts w:ascii="Times New Roman" w:hAnsi="Times New Roman"/>
          <w:szCs w:val="24"/>
        </w:rPr>
        <w:t xml:space="preserve">, </w:t>
      </w:r>
      <w:r>
        <w:rPr>
          <w:rFonts w:ascii="Times New Roman" w:hAnsi="Times New Roman"/>
          <w:szCs w:val="24"/>
        </w:rPr>
        <w:t>као</w:t>
      </w:r>
      <w:r w:rsidR="00145C8D" w:rsidRPr="00295637">
        <w:rPr>
          <w:rFonts w:ascii="Times New Roman" w:hAnsi="Times New Roman"/>
          <w:szCs w:val="24"/>
        </w:rPr>
        <w:t xml:space="preserve"> </w:t>
      </w:r>
      <w:r>
        <w:rPr>
          <w:rFonts w:ascii="Times New Roman" w:hAnsi="Times New Roman"/>
          <w:szCs w:val="24"/>
        </w:rPr>
        <w:t>интегрални</w:t>
      </w:r>
      <w:r w:rsidR="00145C8D" w:rsidRPr="00295637">
        <w:rPr>
          <w:rFonts w:ascii="Times New Roman" w:hAnsi="Times New Roman"/>
          <w:szCs w:val="24"/>
        </w:rPr>
        <w:t xml:space="preserve"> </w:t>
      </w:r>
      <w:r>
        <w:rPr>
          <w:rFonts w:ascii="Times New Roman" w:hAnsi="Times New Roman"/>
          <w:szCs w:val="24"/>
        </w:rPr>
        <w:t>дио</w:t>
      </w:r>
      <w:r w:rsidR="00145C8D" w:rsidRPr="00295637">
        <w:rPr>
          <w:rFonts w:ascii="Times New Roman" w:hAnsi="Times New Roman"/>
          <w:szCs w:val="24"/>
        </w:rPr>
        <w:t xml:space="preserve"> </w:t>
      </w:r>
      <w:r>
        <w:rPr>
          <w:rFonts w:ascii="Times New Roman" w:hAnsi="Times New Roman"/>
          <w:szCs w:val="24"/>
        </w:rPr>
        <w:t>Гендер</w:t>
      </w:r>
      <w:r w:rsidR="00145C8D" w:rsidRPr="00295637">
        <w:rPr>
          <w:rFonts w:ascii="Times New Roman" w:hAnsi="Times New Roman"/>
          <w:szCs w:val="24"/>
        </w:rPr>
        <w:t xml:space="preserve"> </w:t>
      </w:r>
      <w:r>
        <w:rPr>
          <w:rFonts w:ascii="Times New Roman" w:hAnsi="Times New Roman"/>
          <w:szCs w:val="24"/>
        </w:rPr>
        <w:t>акционог</w:t>
      </w:r>
      <w:r w:rsidR="00145C8D" w:rsidRPr="00295637">
        <w:rPr>
          <w:rFonts w:ascii="Times New Roman" w:hAnsi="Times New Roman"/>
          <w:szCs w:val="24"/>
        </w:rPr>
        <w:t xml:space="preserve"> </w:t>
      </w:r>
      <w:r>
        <w:rPr>
          <w:rFonts w:ascii="Times New Roman" w:hAnsi="Times New Roman"/>
          <w:szCs w:val="24"/>
        </w:rPr>
        <w:t>плана</w:t>
      </w:r>
      <w:r w:rsidR="00050016">
        <w:rPr>
          <w:rFonts w:ascii="Times New Roman" w:hAnsi="Times New Roman"/>
          <w:szCs w:val="24"/>
        </w:rPr>
        <w:t xml:space="preserve"> </w:t>
      </w:r>
      <w:r>
        <w:rPr>
          <w:rFonts w:ascii="Times New Roman" w:hAnsi="Times New Roman"/>
          <w:szCs w:val="24"/>
        </w:rPr>
        <w:t>БиХ</w:t>
      </w:r>
      <w:r w:rsidR="00145C8D" w:rsidRPr="00295637">
        <w:rPr>
          <w:rFonts w:ascii="Times New Roman" w:hAnsi="Times New Roman"/>
          <w:szCs w:val="24"/>
        </w:rPr>
        <w:t xml:space="preserve"> 2023</w:t>
      </w:r>
      <w:r w:rsidR="00831EA5">
        <w:rPr>
          <w:rFonts w:ascii="Times New Roman" w:hAnsi="Times New Roman"/>
          <w:szCs w:val="24"/>
        </w:rPr>
        <w:t>-</w:t>
      </w:r>
      <w:r w:rsidR="00145C8D" w:rsidRPr="00295637">
        <w:rPr>
          <w:rFonts w:ascii="Times New Roman" w:hAnsi="Times New Roman"/>
          <w:szCs w:val="24"/>
        </w:rPr>
        <w:t>2027</w:t>
      </w:r>
      <w:r w:rsidR="00831EA5">
        <w:rPr>
          <w:rFonts w:ascii="Times New Roman" w:hAnsi="Times New Roman"/>
          <w:szCs w:val="24"/>
        </w:rPr>
        <w:t xml:space="preserve">. </w:t>
      </w:r>
      <w:r>
        <w:rPr>
          <w:rFonts w:ascii="Times New Roman" w:hAnsi="Times New Roman"/>
          <w:szCs w:val="24"/>
        </w:rPr>
        <w:t>година</w:t>
      </w:r>
      <w:r w:rsidR="00145C8D" w:rsidRPr="00295637">
        <w:rPr>
          <w:rFonts w:ascii="Times New Roman" w:hAnsi="Times New Roman"/>
          <w:szCs w:val="24"/>
        </w:rPr>
        <w:t xml:space="preserve">, </w:t>
      </w:r>
      <w:r>
        <w:rPr>
          <w:rFonts w:ascii="Times New Roman" w:hAnsi="Times New Roman"/>
          <w:szCs w:val="24"/>
        </w:rPr>
        <w:t>на</w:t>
      </w:r>
      <w:r w:rsidR="00145C8D" w:rsidRPr="00295637">
        <w:rPr>
          <w:rFonts w:ascii="Times New Roman" w:hAnsi="Times New Roman"/>
          <w:szCs w:val="24"/>
        </w:rPr>
        <w:t xml:space="preserve"> </w:t>
      </w:r>
      <w:r>
        <w:rPr>
          <w:rFonts w:ascii="Times New Roman" w:hAnsi="Times New Roman"/>
          <w:szCs w:val="24"/>
        </w:rPr>
        <w:t>сједници</w:t>
      </w:r>
      <w:r w:rsidR="00145C8D" w:rsidRPr="00295637">
        <w:rPr>
          <w:rFonts w:ascii="Times New Roman" w:hAnsi="Times New Roman"/>
          <w:szCs w:val="24"/>
        </w:rPr>
        <w:t xml:space="preserve"> </w:t>
      </w:r>
      <w:r w:rsidR="006318F4">
        <w:rPr>
          <w:rFonts w:ascii="Times New Roman" w:hAnsi="Times New Roman"/>
          <w:szCs w:val="24"/>
          <w:lang w:val="sr-Cyrl-BA"/>
        </w:rPr>
        <w:t>С</w:t>
      </w:r>
      <w:r>
        <w:rPr>
          <w:rFonts w:ascii="Times New Roman" w:hAnsi="Times New Roman"/>
          <w:szCs w:val="24"/>
        </w:rPr>
        <w:t>М</w:t>
      </w:r>
      <w:r w:rsidR="00B400A2" w:rsidRPr="00295637">
        <w:rPr>
          <w:rFonts w:ascii="Times New Roman" w:hAnsi="Times New Roman"/>
          <w:szCs w:val="24"/>
        </w:rPr>
        <w:t xml:space="preserve"> </w:t>
      </w:r>
      <w:r>
        <w:rPr>
          <w:rFonts w:ascii="Times New Roman" w:hAnsi="Times New Roman"/>
          <w:szCs w:val="24"/>
        </w:rPr>
        <w:t>БиХ</w:t>
      </w:r>
      <w:r w:rsidR="00491EA8">
        <w:rPr>
          <w:rFonts w:ascii="Times New Roman" w:hAnsi="Times New Roman"/>
          <w:szCs w:val="24"/>
        </w:rPr>
        <w:t xml:space="preserve"> </w:t>
      </w:r>
      <w:r>
        <w:rPr>
          <w:rFonts w:ascii="Times New Roman" w:hAnsi="Times New Roman"/>
          <w:szCs w:val="24"/>
        </w:rPr>
        <w:t>одржаној</w:t>
      </w:r>
      <w:r w:rsidR="00491EA8">
        <w:rPr>
          <w:rFonts w:ascii="Times New Roman" w:hAnsi="Times New Roman"/>
          <w:szCs w:val="24"/>
        </w:rPr>
        <w:t xml:space="preserve"> 18</w:t>
      </w:r>
      <w:r w:rsidR="00145C8D" w:rsidRPr="00295637">
        <w:rPr>
          <w:rFonts w:ascii="Times New Roman" w:hAnsi="Times New Roman"/>
          <w:szCs w:val="24"/>
        </w:rPr>
        <w:t xml:space="preserve">. </w:t>
      </w:r>
      <w:r>
        <w:rPr>
          <w:rFonts w:ascii="Times New Roman" w:hAnsi="Times New Roman"/>
          <w:szCs w:val="24"/>
        </w:rPr>
        <w:t>октобра</w:t>
      </w:r>
      <w:r w:rsidR="00145C8D" w:rsidRPr="00295637">
        <w:rPr>
          <w:rFonts w:ascii="Times New Roman" w:hAnsi="Times New Roman"/>
          <w:szCs w:val="24"/>
        </w:rPr>
        <w:t xml:space="preserve"> 2023. </w:t>
      </w:r>
      <w:r>
        <w:rPr>
          <w:rFonts w:ascii="Times New Roman" w:hAnsi="Times New Roman"/>
          <w:szCs w:val="24"/>
        </w:rPr>
        <w:t>године</w:t>
      </w:r>
      <w:r w:rsidR="00145C8D" w:rsidRPr="00295637">
        <w:rPr>
          <w:rFonts w:ascii="Times New Roman" w:hAnsi="Times New Roman"/>
          <w:szCs w:val="24"/>
        </w:rPr>
        <w:t xml:space="preserve">, </w:t>
      </w:r>
      <w:r>
        <w:rPr>
          <w:rFonts w:ascii="Times New Roman" w:hAnsi="Times New Roman"/>
          <w:szCs w:val="24"/>
        </w:rPr>
        <w:t>на</w:t>
      </w:r>
      <w:r w:rsidR="00145C8D" w:rsidRPr="00295637">
        <w:rPr>
          <w:rFonts w:ascii="Times New Roman" w:hAnsi="Times New Roman"/>
          <w:szCs w:val="24"/>
        </w:rPr>
        <w:t xml:space="preserve"> </w:t>
      </w:r>
      <w:r>
        <w:rPr>
          <w:rFonts w:ascii="Times New Roman" w:hAnsi="Times New Roman"/>
          <w:szCs w:val="24"/>
        </w:rPr>
        <w:t>приједлог</w:t>
      </w:r>
      <w:r w:rsidR="00145C8D" w:rsidRPr="00295637">
        <w:rPr>
          <w:rFonts w:ascii="Times New Roman" w:hAnsi="Times New Roman"/>
          <w:szCs w:val="24"/>
        </w:rPr>
        <w:t xml:space="preserve"> </w:t>
      </w:r>
      <w:r>
        <w:rPr>
          <w:rFonts w:ascii="Times New Roman" w:hAnsi="Times New Roman"/>
          <w:szCs w:val="24"/>
        </w:rPr>
        <w:t>МЉПИ</w:t>
      </w:r>
      <w:r w:rsidR="00831EA5">
        <w:rPr>
          <w:rFonts w:ascii="Times New Roman" w:hAnsi="Times New Roman"/>
          <w:szCs w:val="24"/>
        </w:rPr>
        <w:t xml:space="preserve"> </w:t>
      </w:r>
      <w:r>
        <w:rPr>
          <w:rFonts w:ascii="Times New Roman" w:hAnsi="Times New Roman"/>
          <w:szCs w:val="24"/>
        </w:rPr>
        <w:t>БиХ</w:t>
      </w:r>
      <w:r w:rsidR="00145C8D" w:rsidRPr="00295637">
        <w:rPr>
          <w:rFonts w:ascii="Times New Roman" w:hAnsi="Times New Roman"/>
          <w:szCs w:val="24"/>
        </w:rPr>
        <w:t xml:space="preserve">. </w:t>
      </w:r>
      <w:r>
        <w:rPr>
          <w:rFonts w:ascii="Times New Roman" w:hAnsi="Times New Roman"/>
          <w:szCs w:val="24"/>
          <w:lang w:val="bs-Latn-BA"/>
        </w:rPr>
        <w:t>Оперативни</w:t>
      </w:r>
      <w:r w:rsidR="0067225C" w:rsidRPr="00295637">
        <w:rPr>
          <w:rFonts w:ascii="Times New Roman" w:hAnsi="Times New Roman"/>
          <w:szCs w:val="24"/>
          <w:lang w:val="bs-Latn-BA"/>
        </w:rPr>
        <w:t xml:space="preserve"> </w:t>
      </w:r>
      <w:r>
        <w:rPr>
          <w:rFonts w:ascii="Times New Roman" w:hAnsi="Times New Roman"/>
          <w:szCs w:val="24"/>
          <w:lang w:val="bs-Latn-BA"/>
        </w:rPr>
        <w:t>план</w:t>
      </w:r>
      <w:r w:rsidR="0067225C" w:rsidRPr="00295637">
        <w:rPr>
          <w:rFonts w:ascii="Times New Roman" w:hAnsi="Times New Roman"/>
          <w:szCs w:val="24"/>
          <w:lang w:val="bs-Latn-BA"/>
        </w:rPr>
        <w:t xml:space="preserve"> </w:t>
      </w:r>
      <w:r>
        <w:rPr>
          <w:rFonts w:ascii="Times New Roman" w:hAnsi="Times New Roman"/>
          <w:szCs w:val="24"/>
          <w:lang w:val="bs-Latn-BA"/>
        </w:rPr>
        <w:t>садржи</w:t>
      </w:r>
      <w:r w:rsidR="00CA42E2" w:rsidRPr="00295637">
        <w:rPr>
          <w:rFonts w:ascii="Times New Roman" w:hAnsi="Times New Roman"/>
          <w:szCs w:val="24"/>
          <w:lang w:val="bs-Latn-BA"/>
        </w:rPr>
        <w:t xml:space="preserve"> </w:t>
      </w:r>
      <w:r>
        <w:rPr>
          <w:rFonts w:ascii="Times New Roman" w:hAnsi="Times New Roman"/>
          <w:szCs w:val="24"/>
          <w:lang w:val="bs-Latn-BA"/>
        </w:rPr>
        <w:t>детаљне</w:t>
      </w:r>
      <w:r w:rsidR="00CA42E2" w:rsidRPr="00295637">
        <w:rPr>
          <w:rFonts w:ascii="Times New Roman" w:hAnsi="Times New Roman"/>
          <w:szCs w:val="24"/>
          <w:lang w:val="bs-Latn-BA"/>
        </w:rPr>
        <w:t xml:space="preserve"> </w:t>
      </w:r>
      <w:r>
        <w:rPr>
          <w:rFonts w:ascii="Times New Roman" w:hAnsi="Times New Roman"/>
          <w:szCs w:val="24"/>
          <w:lang w:val="bs-Latn-BA"/>
        </w:rPr>
        <w:t>активности</w:t>
      </w:r>
      <w:r w:rsidR="00CA42E2" w:rsidRPr="00295637">
        <w:rPr>
          <w:rFonts w:ascii="Times New Roman" w:hAnsi="Times New Roman"/>
          <w:szCs w:val="24"/>
          <w:lang w:val="bs-Latn-BA"/>
        </w:rPr>
        <w:t xml:space="preserve">, </w:t>
      </w:r>
      <w:r>
        <w:rPr>
          <w:rFonts w:ascii="Times New Roman" w:hAnsi="Times New Roman"/>
          <w:szCs w:val="24"/>
          <w:lang w:val="bs-Latn-BA"/>
        </w:rPr>
        <w:t>циљеве</w:t>
      </w:r>
      <w:r w:rsidR="00CA42E2" w:rsidRPr="00295637">
        <w:rPr>
          <w:rFonts w:ascii="Times New Roman" w:hAnsi="Times New Roman"/>
          <w:szCs w:val="24"/>
          <w:lang w:val="bs-Latn-BA"/>
        </w:rPr>
        <w:t xml:space="preserve"> </w:t>
      </w:r>
      <w:r>
        <w:rPr>
          <w:rFonts w:ascii="Times New Roman" w:hAnsi="Times New Roman"/>
          <w:szCs w:val="24"/>
          <w:lang w:val="bs-Latn-BA"/>
        </w:rPr>
        <w:t>и</w:t>
      </w:r>
      <w:r w:rsidR="0067225C" w:rsidRPr="00295637">
        <w:rPr>
          <w:rFonts w:ascii="Times New Roman" w:hAnsi="Times New Roman"/>
          <w:szCs w:val="24"/>
          <w:lang w:val="bs-Latn-BA"/>
        </w:rPr>
        <w:t xml:space="preserve"> </w:t>
      </w:r>
      <w:r>
        <w:rPr>
          <w:rFonts w:ascii="Times New Roman" w:hAnsi="Times New Roman"/>
          <w:szCs w:val="24"/>
          <w:lang w:val="bs-Latn-BA"/>
        </w:rPr>
        <w:t>мјере</w:t>
      </w:r>
      <w:r w:rsidR="0067225C" w:rsidRPr="00295637">
        <w:rPr>
          <w:rFonts w:ascii="Times New Roman" w:hAnsi="Times New Roman"/>
          <w:szCs w:val="24"/>
          <w:lang w:val="bs-Latn-BA"/>
        </w:rPr>
        <w:t xml:space="preserve"> </w:t>
      </w:r>
      <w:r>
        <w:rPr>
          <w:rFonts w:ascii="Times New Roman" w:hAnsi="Times New Roman"/>
          <w:szCs w:val="24"/>
          <w:lang w:val="bs-Latn-BA"/>
        </w:rPr>
        <w:t>надлежних</w:t>
      </w:r>
      <w:r w:rsidR="0067225C" w:rsidRPr="00295637">
        <w:rPr>
          <w:rFonts w:ascii="Times New Roman" w:hAnsi="Times New Roman"/>
          <w:szCs w:val="24"/>
          <w:lang w:val="bs-Latn-BA"/>
        </w:rPr>
        <w:t xml:space="preserve"> </w:t>
      </w:r>
      <w:r>
        <w:rPr>
          <w:rFonts w:ascii="Times New Roman" w:hAnsi="Times New Roman"/>
          <w:szCs w:val="24"/>
          <w:lang w:val="bs-Latn-BA"/>
        </w:rPr>
        <w:t>институција</w:t>
      </w:r>
      <w:r w:rsidR="0067225C" w:rsidRPr="00295637">
        <w:rPr>
          <w:rFonts w:ascii="Times New Roman" w:hAnsi="Times New Roman"/>
          <w:szCs w:val="24"/>
          <w:lang w:val="bs-Latn-BA"/>
        </w:rPr>
        <w:t xml:space="preserve"> </w:t>
      </w:r>
      <w:r>
        <w:rPr>
          <w:rFonts w:ascii="Times New Roman" w:hAnsi="Times New Roman"/>
          <w:szCs w:val="24"/>
          <w:lang w:val="bs-Latn-BA"/>
        </w:rPr>
        <w:t>по</w:t>
      </w:r>
      <w:r w:rsidR="0067225C" w:rsidRPr="00295637">
        <w:rPr>
          <w:rFonts w:ascii="Times New Roman" w:hAnsi="Times New Roman"/>
          <w:szCs w:val="24"/>
          <w:lang w:val="bs-Latn-BA"/>
        </w:rPr>
        <w:t xml:space="preserve"> </w:t>
      </w:r>
      <w:r>
        <w:rPr>
          <w:rFonts w:ascii="Times New Roman" w:hAnsi="Times New Roman"/>
          <w:szCs w:val="24"/>
          <w:lang w:val="bs-Latn-BA"/>
        </w:rPr>
        <w:t>областима</w:t>
      </w:r>
      <w:r w:rsidR="00CA42E2" w:rsidRPr="00295637">
        <w:rPr>
          <w:rFonts w:ascii="Times New Roman" w:hAnsi="Times New Roman"/>
          <w:szCs w:val="24"/>
          <w:lang w:val="bs-Latn-BA"/>
        </w:rPr>
        <w:t xml:space="preserve"> </w:t>
      </w:r>
      <w:r>
        <w:rPr>
          <w:rFonts w:ascii="Times New Roman" w:hAnsi="Times New Roman"/>
          <w:szCs w:val="24"/>
          <w:lang w:val="bs-Latn-BA"/>
        </w:rPr>
        <w:t>ГАП</w:t>
      </w:r>
      <w:r w:rsidR="00CA42E2" w:rsidRPr="00295637">
        <w:rPr>
          <w:rFonts w:ascii="Times New Roman" w:hAnsi="Times New Roman"/>
          <w:szCs w:val="24"/>
          <w:lang w:val="bs-Latn-BA"/>
        </w:rPr>
        <w:t>-</w:t>
      </w:r>
      <w:r>
        <w:rPr>
          <w:rFonts w:ascii="Times New Roman" w:hAnsi="Times New Roman"/>
          <w:szCs w:val="24"/>
          <w:lang w:val="bs-Latn-BA"/>
        </w:rPr>
        <w:t>а</w:t>
      </w:r>
      <w:r w:rsidR="00B400A2" w:rsidRPr="00295637">
        <w:rPr>
          <w:rFonts w:ascii="Times New Roman" w:hAnsi="Times New Roman"/>
          <w:szCs w:val="24"/>
          <w:lang w:val="bs-Latn-BA"/>
        </w:rPr>
        <w:t xml:space="preserve"> </w:t>
      </w:r>
      <w:r>
        <w:rPr>
          <w:rFonts w:ascii="Times New Roman" w:hAnsi="Times New Roman"/>
          <w:szCs w:val="24"/>
          <w:lang w:val="bs-Latn-BA"/>
        </w:rPr>
        <w:t>БиХ</w:t>
      </w:r>
      <w:r w:rsidR="0067225C" w:rsidRPr="00295637">
        <w:rPr>
          <w:rFonts w:ascii="Times New Roman" w:hAnsi="Times New Roman"/>
          <w:szCs w:val="24"/>
          <w:lang w:val="bs-Latn-BA"/>
        </w:rPr>
        <w:t xml:space="preserve">. </w:t>
      </w:r>
      <w:r>
        <w:rPr>
          <w:rFonts w:ascii="Times New Roman" w:hAnsi="Times New Roman"/>
          <w:szCs w:val="24"/>
          <w:lang w:val="bs-Latn-BA"/>
        </w:rPr>
        <w:t>Процес</w:t>
      </w:r>
      <w:r w:rsidR="0067225C" w:rsidRPr="00295637">
        <w:rPr>
          <w:rFonts w:ascii="Times New Roman" w:hAnsi="Times New Roman"/>
          <w:szCs w:val="24"/>
          <w:lang w:val="bs-Latn-BA"/>
        </w:rPr>
        <w:t xml:space="preserve"> </w:t>
      </w:r>
      <w:r>
        <w:rPr>
          <w:rFonts w:ascii="Times New Roman" w:hAnsi="Times New Roman"/>
          <w:szCs w:val="24"/>
          <w:lang w:val="bs-Latn-BA"/>
        </w:rPr>
        <w:t>израде</w:t>
      </w:r>
      <w:r w:rsidR="0067225C" w:rsidRPr="00295637">
        <w:rPr>
          <w:rFonts w:ascii="Times New Roman" w:hAnsi="Times New Roman"/>
          <w:szCs w:val="24"/>
          <w:lang w:val="bs-Latn-BA"/>
        </w:rPr>
        <w:t xml:space="preserve"> </w:t>
      </w:r>
      <w:r>
        <w:rPr>
          <w:rFonts w:ascii="Times New Roman" w:hAnsi="Times New Roman"/>
          <w:szCs w:val="24"/>
          <w:lang w:val="bs-Latn-BA"/>
        </w:rPr>
        <w:t>приједлога</w:t>
      </w:r>
      <w:r w:rsidR="0067225C" w:rsidRPr="00295637">
        <w:rPr>
          <w:rFonts w:ascii="Times New Roman" w:hAnsi="Times New Roman"/>
          <w:szCs w:val="24"/>
          <w:lang w:val="bs-Latn-BA"/>
        </w:rPr>
        <w:t xml:space="preserve"> </w:t>
      </w:r>
      <w:r>
        <w:rPr>
          <w:rFonts w:ascii="Times New Roman" w:hAnsi="Times New Roman"/>
          <w:szCs w:val="24"/>
          <w:lang w:val="bs-Latn-BA"/>
        </w:rPr>
        <w:t>документа</w:t>
      </w:r>
      <w:r w:rsidR="0067225C" w:rsidRPr="00295637">
        <w:rPr>
          <w:rFonts w:ascii="Times New Roman" w:hAnsi="Times New Roman"/>
          <w:szCs w:val="24"/>
          <w:lang w:val="bs-Latn-BA"/>
        </w:rPr>
        <w:t xml:space="preserve"> </w:t>
      </w:r>
      <w:r>
        <w:rPr>
          <w:rFonts w:ascii="Times New Roman" w:hAnsi="Times New Roman"/>
          <w:szCs w:val="24"/>
          <w:lang w:val="bs-Latn-BA"/>
        </w:rPr>
        <w:t>укључивао</w:t>
      </w:r>
      <w:r w:rsidR="00C70A66" w:rsidRPr="00295637">
        <w:rPr>
          <w:rFonts w:ascii="Times New Roman" w:hAnsi="Times New Roman"/>
          <w:szCs w:val="24"/>
          <w:lang w:val="bs-Latn-BA"/>
        </w:rPr>
        <w:t xml:space="preserve"> </w:t>
      </w:r>
      <w:r>
        <w:rPr>
          <w:rFonts w:ascii="Times New Roman" w:hAnsi="Times New Roman"/>
          <w:szCs w:val="24"/>
          <w:lang w:val="bs-Latn-BA"/>
        </w:rPr>
        <w:t>је</w:t>
      </w:r>
      <w:r w:rsidR="00C70A66" w:rsidRPr="00295637">
        <w:rPr>
          <w:rFonts w:ascii="Times New Roman" w:hAnsi="Times New Roman"/>
          <w:szCs w:val="24"/>
          <w:lang w:val="bs-Latn-BA"/>
        </w:rPr>
        <w:t xml:space="preserve"> </w:t>
      </w:r>
      <w:r>
        <w:rPr>
          <w:rFonts w:ascii="Times New Roman" w:hAnsi="Times New Roman"/>
          <w:szCs w:val="24"/>
          <w:lang w:val="bs-Latn-BA"/>
        </w:rPr>
        <w:t>консултације</w:t>
      </w:r>
      <w:r w:rsidR="00831EA5">
        <w:rPr>
          <w:rFonts w:ascii="Times New Roman" w:hAnsi="Times New Roman"/>
          <w:szCs w:val="24"/>
          <w:lang w:val="bs-Latn-BA"/>
        </w:rPr>
        <w:t xml:space="preserve"> </w:t>
      </w:r>
      <w:r>
        <w:rPr>
          <w:rFonts w:ascii="Times New Roman" w:hAnsi="Times New Roman"/>
          <w:szCs w:val="24"/>
          <w:lang w:val="bs-Latn-BA"/>
        </w:rPr>
        <w:t>са</w:t>
      </w:r>
      <w:r w:rsidR="00C70A66" w:rsidRPr="00295637">
        <w:rPr>
          <w:rFonts w:ascii="Times New Roman" w:hAnsi="Times New Roman"/>
          <w:szCs w:val="24"/>
          <w:lang w:val="bs-Latn-BA"/>
        </w:rPr>
        <w:t xml:space="preserve"> </w:t>
      </w:r>
      <w:r>
        <w:rPr>
          <w:rFonts w:ascii="Times New Roman" w:hAnsi="Times New Roman"/>
          <w:szCs w:val="24"/>
          <w:lang w:val="bs-Latn-BA"/>
        </w:rPr>
        <w:t>близу</w:t>
      </w:r>
      <w:r w:rsidR="00C70A66" w:rsidRPr="00295637">
        <w:rPr>
          <w:rFonts w:ascii="Times New Roman" w:hAnsi="Times New Roman"/>
          <w:szCs w:val="24"/>
          <w:lang w:val="bs-Latn-BA"/>
        </w:rPr>
        <w:t xml:space="preserve"> 30 </w:t>
      </w:r>
      <w:r>
        <w:rPr>
          <w:rFonts w:ascii="Times New Roman" w:hAnsi="Times New Roman"/>
          <w:szCs w:val="24"/>
          <w:lang w:val="bs-Latn-BA"/>
        </w:rPr>
        <w:t>релевантних</w:t>
      </w:r>
      <w:r w:rsidR="00C70A66" w:rsidRPr="00295637">
        <w:rPr>
          <w:rFonts w:ascii="Times New Roman" w:hAnsi="Times New Roman"/>
          <w:szCs w:val="24"/>
          <w:lang w:val="bs-Latn-BA"/>
        </w:rPr>
        <w:t xml:space="preserve"> </w:t>
      </w:r>
      <w:r>
        <w:rPr>
          <w:rFonts w:ascii="Times New Roman" w:hAnsi="Times New Roman"/>
          <w:szCs w:val="24"/>
          <w:lang w:val="bs-Latn-BA"/>
        </w:rPr>
        <w:t>институција</w:t>
      </w:r>
      <w:r w:rsidR="00C70A66" w:rsidRPr="00295637">
        <w:rPr>
          <w:rFonts w:ascii="Times New Roman" w:hAnsi="Times New Roman"/>
          <w:szCs w:val="24"/>
          <w:lang w:val="bs-Latn-BA"/>
        </w:rPr>
        <w:t xml:space="preserve"> </w:t>
      </w:r>
      <w:r>
        <w:rPr>
          <w:rFonts w:ascii="Times New Roman" w:hAnsi="Times New Roman"/>
          <w:szCs w:val="24"/>
          <w:lang w:val="bs-Latn-BA"/>
        </w:rPr>
        <w:t>Босне</w:t>
      </w:r>
      <w:r w:rsidR="006B7252">
        <w:rPr>
          <w:rFonts w:ascii="Times New Roman" w:hAnsi="Times New Roman"/>
          <w:szCs w:val="24"/>
          <w:lang w:val="bs-Latn-BA"/>
        </w:rPr>
        <w:t xml:space="preserve"> </w:t>
      </w:r>
      <w:r>
        <w:rPr>
          <w:rFonts w:ascii="Times New Roman" w:hAnsi="Times New Roman"/>
          <w:szCs w:val="24"/>
          <w:lang w:val="bs-Latn-BA"/>
        </w:rPr>
        <w:t>и</w:t>
      </w:r>
      <w:r w:rsidR="006B7252">
        <w:rPr>
          <w:rFonts w:ascii="Times New Roman" w:hAnsi="Times New Roman"/>
          <w:szCs w:val="24"/>
          <w:lang w:val="bs-Latn-BA"/>
        </w:rPr>
        <w:t xml:space="preserve"> </w:t>
      </w:r>
      <w:r>
        <w:rPr>
          <w:rFonts w:ascii="Times New Roman" w:hAnsi="Times New Roman"/>
          <w:szCs w:val="24"/>
          <w:lang w:val="bs-Latn-BA"/>
        </w:rPr>
        <w:t>Херцеговине</w:t>
      </w:r>
      <w:r w:rsidR="00C70A66" w:rsidRPr="00295637">
        <w:rPr>
          <w:rFonts w:ascii="Times New Roman" w:hAnsi="Times New Roman"/>
          <w:szCs w:val="24"/>
          <w:lang w:val="bs-Latn-BA"/>
        </w:rPr>
        <w:t xml:space="preserve">, </w:t>
      </w:r>
      <w:r>
        <w:rPr>
          <w:rFonts w:ascii="Times New Roman" w:hAnsi="Times New Roman"/>
          <w:szCs w:val="24"/>
          <w:lang w:val="bs-Latn-BA"/>
        </w:rPr>
        <w:t>као</w:t>
      </w:r>
      <w:r w:rsidR="00C70A66" w:rsidRPr="00295637">
        <w:rPr>
          <w:rFonts w:ascii="Times New Roman" w:hAnsi="Times New Roman"/>
          <w:szCs w:val="24"/>
          <w:lang w:val="bs-Latn-BA"/>
        </w:rPr>
        <w:t xml:space="preserve"> </w:t>
      </w:r>
      <w:r>
        <w:rPr>
          <w:rFonts w:ascii="Times New Roman" w:hAnsi="Times New Roman"/>
          <w:szCs w:val="24"/>
          <w:lang w:val="bs-Latn-BA"/>
        </w:rPr>
        <w:t>и</w:t>
      </w:r>
      <w:r w:rsidR="00C70A66" w:rsidRPr="00295637">
        <w:rPr>
          <w:rFonts w:ascii="Times New Roman" w:hAnsi="Times New Roman"/>
          <w:szCs w:val="24"/>
          <w:lang w:val="bs-Latn-BA"/>
        </w:rPr>
        <w:t xml:space="preserve"> </w:t>
      </w:r>
      <w:r>
        <w:rPr>
          <w:rFonts w:ascii="Times New Roman" w:hAnsi="Times New Roman"/>
          <w:szCs w:val="24"/>
          <w:lang w:val="bs-Latn-BA"/>
        </w:rPr>
        <w:t>сарадњу</w:t>
      </w:r>
      <w:r w:rsidR="0067225C" w:rsidRPr="00295637">
        <w:rPr>
          <w:rFonts w:ascii="Times New Roman" w:hAnsi="Times New Roman"/>
          <w:szCs w:val="24"/>
          <w:lang w:val="bs-Latn-BA"/>
        </w:rPr>
        <w:t xml:space="preserve"> </w:t>
      </w:r>
      <w:r>
        <w:rPr>
          <w:rFonts w:ascii="Times New Roman" w:hAnsi="Times New Roman"/>
          <w:szCs w:val="24"/>
          <w:lang w:val="bs-Latn-BA"/>
        </w:rPr>
        <w:t>и</w:t>
      </w:r>
      <w:r w:rsidR="0067225C" w:rsidRPr="00295637">
        <w:rPr>
          <w:rFonts w:ascii="Times New Roman" w:hAnsi="Times New Roman"/>
          <w:szCs w:val="24"/>
          <w:lang w:val="bs-Latn-BA"/>
        </w:rPr>
        <w:t xml:space="preserve"> </w:t>
      </w:r>
      <w:r>
        <w:rPr>
          <w:rFonts w:ascii="Times New Roman" w:hAnsi="Times New Roman"/>
          <w:szCs w:val="24"/>
          <w:lang w:val="bs-Latn-BA"/>
        </w:rPr>
        <w:t>консултације</w:t>
      </w:r>
      <w:r w:rsidR="0067225C" w:rsidRPr="00295637">
        <w:rPr>
          <w:rFonts w:ascii="Times New Roman" w:hAnsi="Times New Roman"/>
          <w:szCs w:val="24"/>
          <w:lang w:val="bs-Latn-BA"/>
        </w:rPr>
        <w:t xml:space="preserve"> </w:t>
      </w:r>
      <w:r>
        <w:rPr>
          <w:rFonts w:ascii="Times New Roman" w:hAnsi="Times New Roman"/>
          <w:szCs w:val="24"/>
          <w:lang w:val="bs-Latn-BA"/>
        </w:rPr>
        <w:t>са</w:t>
      </w:r>
      <w:r w:rsidR="0067225C" w:rsidRPr="00295637">
        <w:rPr>
          <w:rFonts w:ascii="Times New Roman" w:hAnsi="Times New Roman"/>
          <w:szCs w:val="24"/>
          <w:lang w:val="bs-Latn-BA"/>
        </w:rPr>
        <w:t xml:space="preserve"> </w:t>
      </w:r>
      <w:r>
        <w:rPr>
          <w:rFonts w:ascii="Times New Roman" w:hAnsi="Times New Roman"/>
          <w:szCs w:val="24"/>
          <w:lang w:val="bs-Latn-BA"/>
        </w:rPr>
        <w:t>релевантним</w:t>
      </w:r>
      <w:r w:rsidR="0067225C" w:rsidRPr="00295637">
        <w:rPr>
          <w:rFonts w:ascii="Times New Roman" w:hAnsi="Times New Roman"/>
          <w:szCs w:val="24"/>
          <w:lang w:val="bs-Latn-BA"/>
        </w:rPr>
        <w:t xml:space="preserve"> </w:t>
      </w:r>
      <w:r>
        <w:rPr>
          <w:rFonts w:ascii="Times New Roman" w:hAnsi="Times New Roman"/>
          <w:szCs w:val="24"/>
          <w:lang w:val="bs-Latn-BA"/>
        </w:rPr>
        <w:t>актерима</w:t>
      </w:r>
      <w:r w:rsidR="0067225C" w:rsidRPr="00295637">
        <w:rPr>
          <w:rFonts w:ascii="Times New Roman" w:hAnsi="Times New Roman"/>
          <w:szCs w:val="24"/>
          <w:lang w:val="bs-Latn-BA"/>
        </w:rPr>
        <w:t xml:space="preserve"> </w:t>
      </w:r>
      <w:r>
        <w:rPr>
          <w:rFonts w:ascii="Times New Roman" w:hAnsi="Times New Roman"/>
          <w:szCs w:val="24"/>
          <w:lang w:val="bs-Latn-BA"/>
        </w:rPr>
        <w:t>и</w:t>
      </w:r>
      <w:r w:rsidR="0067225C" w:rsidRPr="00295637">
        <w:rPr>
          <w:rFonts w:ascii="Times New Roman" w:hAnsi="Times New Roman"/>
          <w:szCs w:val="24"/>
          <w:lang w:val="bs-Latn-BA"/>
        </w:rPr>
        <w:t xml:space="preserve"> </w:t>
      </w:r>
      <w:r>
        <w:rPr>
          <w:rFonts w:ascii="Times New Roman" w:hAnsi="Times New Roman"/>
          <w:szCs w:val="24"/>
          <w:lang w:val="bs-Latn-BA"/>
        </w:rPr>
        <w:t>стручњацима</w:t>
      </w:r>
      <w:r w:rsidR="0067225C" w:rsidRPr="00295637">
        <w:rPr>
          <w:rFonts w:ascii="Times New Roman" w:hAnsi="Times New Roman"/>
          <w:szCs w:val="24"/>
          <w:lang w:val="bs-Latn-BA"/>
        </w:rPr>
        <w:t xml:space="preserve"> </w:t>
      </w:r>
      <w:r>
        <w:rPr>
          <w:rFonts w:ascii="Times New Roman" w:hAnsi="Times New Roman"/>
          <w:szCs w:val="24"/>
          <w:lang w:val="bs-Latn-BA"/>
        </w:rPr>
        <w:t>како</w:t>
      </w:r>
      <w:r w:rsidR="0067225C" w:rsidRPr="00295637">
        <w:rPr>
          <w:rFonts w:ascii="Times New Roman" w:hAnsi="Times New Roman"/>
          <w:szCs w:val="24"/>
          <w:lang w:val="bs-Latn-BA"/>
        </w:rPr>
        <w:t xml:space="preserve"> </w:t>
      </w:r>
      <w:r>
        <w:rPr>
          <w:rFonts w:ascii="Times New Roman" w:hAnsi="Times New Roman"/>
          <w:szCs w:val="24"/>
          <w:lang w:val="bs-Latn-BA"/>
        </w:rPr>
        <w:t>би</w:t>
      </w:r>
      <w:r w:rsidR="0067225C" w:rsidRPr="00295637">
        <w:rPr>
          <w:rFonts w:ascii="Times New Roman" w:hAnsi="Times New Roman"/>
          <w:szCs w:val="24"/>
          <w:lang w:val="bs-Latn-BA"/>
        </w:rPr>
        <w:t xml:space="preserve"> </w:t>
      </w:r>
      <w:r>
        <w:rPr>
          <w:rFonts w:ascii="Times New Roman" w:hAnsi="Times New Roman"/>
          <w:szCs w:val="24"/>
          <w:lang w:val="bs-Latn-BA"/>
        </w:rPr>
        <w:t>се</w:t>
      </w:r>
      <w:r w:rsidR="0067225C" w:rsidRPr="00295637">
        <w:rPr>
          <w:rFonts w:ascii="Times New Roman" w:hAnsi="Times New Roman"/>
          <w:szCs w:val="24"/>
          <w:lang w:val="bs-Latn-BA"/>
        </w:rPr>
        <w:t xml:space="preserve"> </w:t>
      </w:r>
      <w:r>
        <w:rPr>
          <w:rFonts w:ascii="Times New Roman" w:hAnsi="Times New Roman"/>
          <w:szCs w:val="24"/>
          <w:lang w:val="bs-Latn-BA"/>
        </w:rPr>
        <w:t>о</w:t>
      </w:r>
      <w:r w:rsidR="006318F4">
        <w:rPr>
          <w:rFonts w:ascii="Times New Roman" w:hAnsi="Times New Roman"/>
          <w:szCs w:val="24"/>
          <w:lang w:val="sr-Cyrl-BA"/>
        </w:rPr>
        <w:t>безбиједила</w:t>
      </w:r>
      <w:r w:rsidR="00CA42E2" w:rsidRPr="00295637">
        <w:rPr>
          <w:rFonts w:ascii="Times New Roman" w:hAnsi="Times New Roman"/>
          <w:szCs w:val="24"/>
          <w:lang w:val="bs-Latn-BA"/>
        </w:rPr>
        <w:t xml:space="preserve"> </w:t>
      </w:r>
      <w:r>
        <w:rPr>
          <w:rFonts w:ascii="Times New Roman" w:hAnsi="Times New Roman"/>
          <w:szCs w:val="24"/>
          <w:lang w:val="bs-Latn-BA"/>
        </w:rPr>
        <w:t>цјеловитост</w:t>
      </w:r>
      <w:r w:rsidR="00CA42E2" w:rsidRPr="00295637">
        <w:rPr>
          <w:rFonts w:ascii="Times New Roman" w:hAnsi="Times New Roman"/>
          <w:szCs w:val="24"/>
          <w:lang w:val="bs-Latn-BA"/>
        </w:rPr>
        <w:t xml:space="preserve"> </w:t>
      </w:r>
      <w:r>
        <w:rPr>
          <w:rFonts w:ascii="Times New Roman" w:hAnsi="Times New Roman"/>
          <w:szCs w:val="24"/>
          <w:lang w:val="bs-Latn-BA"/>
        </w:rPr>
        <w:t>и</w:t>
      </w:r>
      <w:r w:rsidR="00CA42E2" w:rsidRPr="00295637">
        <w:rPr>
          <w:rFonts w:ascii="Times New Roman" w:hAnsi="Times New Roman"/>
          <w:szCs w:val="24"/>
          <w:lang w:val="bs-Latn-BA"/>
        </w:rPr>
        <w:t xml:space="preserve"> </w:t>
      </w:r>
      <w:r>
        <w:rPr>
          <w:rFonts w:ascii="Times New Roman" w:hAnsi="Times New Roman"/>
          <w:szCs w:val="24"/>
          <w:lang w:val="bs-Latn-BA"/>
        </w:rPr>
        <w:t>квалитет</w:t>
      </w:r>
      <w:r w:rsidR="0067225C" w:rsidRPr="00295637">
        <w:rPr>
          <w:rFonts w:ascii="Times New Roman" w:hAnsi="Times New Roman"/>
          <w:szCs w:val="24"/>
          <w:lang w:val="bs-Latn-BA"/>
        </w:rPr>
        <w:t xml:space="preserve"> </w:t>
      </w:r>
      <w:r>
        <w:rPr>
          <w:rFonts w:ascii="Times New Roman" w:hAnsi="Times New Roman"/>
          <w:szCs w:val="24"/>
          <w:lang w:val="bs-Latn-BA"/>
        </w:rPr>
        <w:t>плана</w:t>
      </w:r>
      <w:r w:rsidR="0067225C" w:rsidRPr="00295637">
        <w:rPr>
          <w:rFonts w:ascii="Times New Roman" w:hAnsi="Times New Roman"/>
          <w:szCs w:val="24"/>
          <w:lang w:val="bs-Latn-BA"/>
        </w:rPr>
        <w:t>.</w:t>
      </w:r>
      <w:r w:rsidR="00C70A66" w:rsidRPr="00295637">
        <w:rPr>
          <w:rFonts w:ascii="Times New Roman" w:hAnsi="Times New Roman"/>
          <w:szCs w:val="24"/>
          <w:lang w:val="bs-Latn-BA"/>
        </w:rPr>
        <w:t xml:space="preserve"> </w:t>
      </w:r>
    </w:p>
    <w:p w:rsidR="00E61368" w:rsidRPr="00295637" w:rsidRDefault="00E61368" w:rsidP="0086268D">
      <w:pPr>
        <w:jc w:val="both"/>
        <w:rPr>
          <w:rFonts w:ascii="Times New Roman" w:hAnsi="Times New Roman"/>
          <w:szCs w:val="24"/>
          <w:lang w:val="hr-HR"/>
        </w:rPr>
      </w:pPr>
    </w:p>
    <w:p w:rsidR="00145C8D" w:rsidRPr="00295637" w:rsidRDefault="00C6214E" w:rsidP="0086268D">
      <w:pPr>
        <w:jc w:val="both"/>
        <w:rPr>
          <w:rFonts w:ascii="Times New Roman" w:hAnsi="Times New Roman"/>
          <w:szCs w:val="24"/>
        </w:rPr>
      </w:pPr>
      <w:r>
        <w:rPr>
          <w:rFonts w:ascii="Times New Roman" w:hAnsi="Times New Roman"/>
          <w:szCs w:val="24"/>
          <w:lang w:val="hr-HR"/>
        </w:rPr>
        <w:t>У</w:t>
      </w:r>
      <w:r w:rsidR="00145C8D" w:rsidRPr="00295637">
        <w:rPr>
          <w:rFonts w:ascii="Times New Roman" w:hAnsi="Times New Roman"/>
          <w:szCs w:val="24"/>
          <w:lang w:val="hr-HR"/>
        </w:rPr>
        <w:t xml:space="preserve"> </w:t>
      </w:r>
      <w:r>
        <w:rPr>
          <w:rFonts w:ascii="Times New Roman" w:hAnsi="Times New Roman"/>
          <w:szCs w:val="24"/>
          <w:lang w:val="hr-HR"/>
        </w:rPr>
        <w:t>септембру</w:t>
      </w:r>
      <w:r w:rsidR="00145C8D" w:rsidRPr="00295637">
        <w:rPr>
          <w:rFonts w:ascii="Times New Roman" w:hAnsi="Times New Roman"/>
          <w:szCs w:val="24"/>
          <w:lang w:val="hr-HR"/>
        </w:rPr>
        <w:t xml:space="preserve"> 2024. </w:t>
      </w:r>
      <w:r>
        <w:rPr>
          <w:rFonts w:ascii="Times New Roman" w:hAnsi="Times New Roman"/>
          <w:szCs w:val="24"/>
          <w:lang w:val="hr-HR"/>
        </w:rPr>
        <w:t>године</w:t>
      </w:r>
      <w:r w:rsidR="00112293" w:rsidRPr="00295637">
        <w:rPr>
          <w:rFonts w:ascii="Times New Roman" w:hAnsi="Times New Roman"/>
          <w:szCs w:val="24"/>
          <w:lang w:val="hr-HR"/>
        </w:rPr>
        <w:t xml:space="preserve"> </w:t>
      </w:r>
      <w:r>
        <w:rPr>
          <w:rFonts w:ascii="Times New Roman" w:hAnsi="Times New Roman"/>
          <w:szCs w:val="24"/>
          <w:lang w:val="hr-HR"/>
        </w:rPr>
        <w:t>АР</w:t>
      </w:r>
      <w:r w:rsidR="006318F4">
        <w:rPr>
          <w:rFonts w:ascii="Times New Roman" w:hAnsi="Times New Roman"/>
          <w:szCs w:val="24"/>
          <w:lang w:val="sr-Cyrl-BA"/>
        </w:rPr>
        <w:t>П</w:t>
      </w:r>
      <w:r w:rsidR="00831EA5">
        <w:rPr>
          <w:rFonts w:ascii="Times New Roman" w:hAnsi="Times New Roman"/>
          <w:szCs w:val="24"/>
          <w:lang w:val="hr-HR"/>
        </w:rPr>
        <w:t xml:space="preserve"> </w:t>
      </w:r>
      <w:r>
        <w:rPr>
          <w:rFonts w:ascii="Times New Roman" w:hAnsi="Times New Roman"/>
          <w:szCs w:val="24"/>
          <w:lang w:val="hr-HR"/>
        </w:rPr>
        <w:t>БиХ</w:t>
      </w:r>
      <w:r w:rsidR="00831EA5">
        <w:rPr>
          <w:rFonts w:ascii="Times New Roman" w:hAnsi="Times New Roman"/>
          <w:szCs w:val="24"/>
          <w:lang w:val="hr-HR"/>
        </w:rPr>
        <w:t xml:space="preserve"> </w:t>
      </w:r>
      <w:r>
        <w:rPr>
          <w:rFonts w:ascii="Times New Roman" w:hAnsi="Times New Roman"/>
          <w:szCs w:val="24"/>
          <w:lang w:val="hr-HR"/>
        </w:rPr>
        <w:t>МЉПИ</w:t>
      </w:r>
      <w:r w:rsidR="00831EA5">
        <w:rPr>
          <w:rFonts w:ascii="Times New Roman" w:hAnsi="Times New Roman"/>
          <w:szCs w:val="24"/>
          <w:lang w:val="hr-HR"/>
        </w:rPr>
        <w:t xml:space="preserve"> </w:t>
      </w:r>
      <w:r>
        <w:rPr>
          <w:rFonts w:ascii="Times New Roman" w:hAnsi="Times New Roman"/>
          <w:szCs w:val="24"/>
          <w:lang w:val="hr-HR"/>
        </w:rPr>
        <w:t>БиХ</w:t>
      </w:r>
      <w:r w:rsidR="00112293" w:rsidRPr="00295637">
        <w:rPr>
          <w:rFonts w:ascii="Times New Roman" w:hAnsi="Times New Roman"/>
          <w:szCs w:val="24"/>
          <w:lang w:val="hr-HR"/>
        </w:rPr>
        <w:t xml:space="preserve"> </w:t>
      </w:r>
      <w:r>
        <w:rPr>
          <w:rFonts w:ascii="Times New Roman" w:hAnsi="Times New Roman"/>
          <w:szCs w:val="24"/>
          <w:lang w:val="hr-HR"/>
        </w:rPr>
        <w:t>је</w:t>
      </w:r>
      <w:r w:rsidR="00145C8D" w:rsidRPr="00295637">
        <w:rPr>
          <w:rFonts w:ascii="Times New Roman" w:hAnsi="Times New Roman"/>
          <w:szCs w:val="24"/>
          <w:lang w:val="hr-HR"/>
        </w:rPr>
        <w:t xml:space="preserve"> </w:t>
      </w:r>
      <w:r>
        <w:rPr>
          <w:rFonts w:ascii="Times New Roman" w:hAnsi="Times New Roman"/>
          <w:szCs w:val="24"/>
          <w:lang w:val="hr-HR"/>
        </w:rPr>
        <w:t>релевантним</w:t>
      </w:r>
      <w:r w:rsidR="00145C8D" w:rsidRPr="00295637">
        <w:rPr>
          <w:rFonts w:ascii="Times New Roman" w:hAnsi="Times New Roman"/>
          <w:szCs w:val="24"/>
          <w:lang w:val="hr-HR"/>
        </w:rPr>
        <w:t xml:space="preserve"> </w:t>
      </w:r>
      <w:r>
        <w:rPr>
          <w:rFonts w:ascii="Times New Roman" w:hAnsi="Times New Roman"/>
          <w:szCs w:val="24"/>
          <w:lang w:val="hr-HR"/>
        </w:rPr>
        <w:t>институцијама</w:t>
      </w:r>
      <w:r w:rsidR="00145C8D" w:rsidRPr="00295637">
        <w:rPr>
          <w:rFonts w:ascii="Times New Roman" w:hAnsi="Times New Roman"/>
          <w:szCs w:val="24"/>
          <w:lang w:val="hr-HR"/>
        </w:rPr>
        <w:t xml:space="preserve"> </w:t>
      </w:r>
      <w:r>
        <w:rPr>
          <w:rFonts w:ascii="Times New Roman" w:hAnsi="Times New Roman"/>
          <w:szCs w:val="24"/>
          <w:lang w:val="hr-HR"/>
        </w:rPr>
        <w:t>на</w:t>
      </w:r>
      <w:r w:rsidR="00B400A2" w:rsidRPr="00295637">
        <w:rPr>
          <w:rFonts w:ascii="Times New Roman" w:hAnsi="Times New Roman"/>
          <w:szCs w:val="24"/>
          <w:lang w:val="hr-HR"/>
        </w:rPr>
        <w:t xml:space="preserve"> </w:t>
      </w:r>
      <w:r>
        <w:rPr>
          <w:rFonts w:ascii="Times New Roman" w:hAnsi="Times New Roman"/>
          <w:szCs w:val="24"/>
          <w:lang w:val="hr-HR"/>
        </w:rPr>
        <w:t>нивоу</w:t>
      </w:r>
      <w:r w:rsidR="00B400A2" w:rsidRPr="00295637">
        <w:rPr>
          <w:rFonts w:ascii="Times New Roman" w:hAnsi="Times New Roman"/>
          <w:szCs w:val="24"/>
          <w:lang w:val="hr-HR"/>
        </w:rPr>
        <w:t xml:space="preserve"> </w:t>
      </w:r>
      <w:r>
        <w:rPr>
          <w:rFonts w:ascii="Times New Roman" w:hAnsi="Times New Roman"/>
          <w:szCs w:val="24"/>
          <w:lang w:val="hr-HR"/>
        </w:rPr>
        <w:t>БиХ</w:t>
      </w:r>
      <w:r w:rsidR="00145C8D" w:rsidRPr="00295637">
        <w:rPr>
          <w:rFonts w:ascii="Times New Roman" w:hAnsi="Times New Roman"/>
          <w:szCs w:val="24"/>
          <w:lang w:val="hr-HR"/>
        </w:rPr>
        <w:t xml:space="preserve"> </w:t>
      </w:r>
      <w:r>
        <w:rPr>
          <w:rFonts w:ascii="Times New Roman" w:hAnsi="Times New Roman"/>
          <w:szCs w:val="24"/>
          <w:lang w:val="hr-HR"/>
        </w:rPr>
        <w:t>издала</w:t>
      </w:r>
      <w:r w:rsidR="00145C8D" w:rsidRPr="00295637">
        <w:rPr>
          <w:rFonts w:ascii="Times New Roman" w:hAnsi="Times New Roman"/>
          <w:szCs w:val="24"/>
          <w:lang w:val="hr-HR"/>
        </w:rPr>
        <w:t xml:space="preserve"> </w:t>
      </w:r>
      <w:r>
        <w:rPr>
          <w:rFonts w:ascii="Times New Roman" w:hAnsi="Times New Roman"/>
          <w:szCs w:val="24"/>
          <w:lang w:val="hr-HR"/>
        </w:rPr>
        <w:t>препоруке</w:t>
      </w:r>
      <w:r w:rsidR="00145C8D" w:rsidRPr="00295637">
        <w:rPr>
          <w:rFonts w:ascii="Times New Roman" w:hAnsi="Times New Roman"/>
          <w:szCs w:val="24"/>
          <w:lang w:val="hr-HR"/>
        </w:rPr>
        <w:t xml:space="preserve"> </w:t>
      </w:r>
      <w:r>
        <w:rPr>
          <w:rFonts w:ascii="Times New Roman" w:hAnsi="Times New Roman"/>
          <w:szCs w:val="24"/>
          <w:lang w:val="hr-HR"/>
        </w:rPr>
        <w:t>и</w:t>
      </w:r>
      <w:r w:rsidR="00145C8D" w:rsidRPr="00295637">
        <w:rPr>
          <w:rFonts w:ascii="Times New Roman" w:hAnsi="Times New Roman"/>
          <w:szCs w:val="24"/>
          <w:lang w:val="hr-HR"/>
        </w:rPr>
        <w:t xml:space="preserve"> </w:t>
      </w:r>
      <w:r>
        <w:rPr>
          <w:rFonts w:ascii="Times New Roman" w:hAnsi="Times New Roman"/>
          <w:szCs w:val="24"/>
          <w:lang w:val="hr-HR"/>
        </w:rPr>
        <w:t>сугестије</w:t>
      </w:r>
      <w:r w:rsidR="00145C8D" w:rsidRPr="00295637">
        <w:rPr>
          <w:rFonts w:ascii="Times New Roman" w:hAnsi="Times New Roman"/>
          <w:szCs w:val="24"/>
          <w:lang w:val="hr-HR"/>
        </w:rPr>
        <w:t xml:space="preserve"> </w:t>
      </w:r>
      <w:r>
        <w:rPr>
          <w:rFonts w:ascii="Times New Roman" w:hAnsi="Times New Roman"/>
          <w:szCs w:val="24"/>
          <w:lang w:val="hr-HR"/>
        </w:rPr>
        <w:t>у</w:t>
      </w:r>
      <w:r w:rsidR="00944633">
        <w:rPr>
          <w:rFonts w:ascii="Times New Roman" w:hAnsi="Times New Roman"/>
          <w:szCs w:val="24"/>
          <w:lang w:val="hr-HR"/>
        </w:rPr>
        <w:t xml:space="preserve"> </w:t>
      </w:r>
      <w:r>
        <w:rPr>
          <w:rFonts w:ascii="Times New Roman" w:hAnsi="Times New Roman"/>
          <w:szCs w:val="24"/>
          <w:lang w:val="hr-HR"/>
        </w:rPr>
        <w:t>вези</w:t>
      </w:r>
      <w:r w:rsidR="00944633">
        <w:rPr>
          <w:rFonts w:ascii="Times New Roman" w:hAnsi="Times New Roman"/>
          <w:szCs w:val="24"/>
          <w:lang w:val="hr-HR"/>
        </w:rPr>
        <w:t xml:space="preserve"> </w:t>
      </w:r>
      <w:r>
        <w:rPr>
          <w:rFonts w:ascii="Times New Roman" w:hAnsi="Times New Roman"/>
          <w:szCs w:val="24"/>
          <w:lang w:val="hr-HR"/>
        </w:rPr>
        <w:t>са</w:t>
      </w:r>
      <w:r w:rsidR="00831EA5">
        <w:rPr>
          <w:rFonts w:ascii="Times New Roman" w:hAnsi="Times New Roman"/>
          <w:szCs w:val="24"/>
          <w:lang w:val="hr-HR"/>
        </w:rPr>
        <w:t xml:space="preserve"> </w:t>
      </w:r>
      <w:r>
        <w:rPr>
          <w:rFonts w:ascii="Times New Roman" w:hAnsi="Times New Roman"/>
          <w:szCs w:val="24"/>
          <w:lang w:val="hr-HR"/>
        </w:rPr>
        <w:t>њих</w:t>
      </w:r>
      <w:r w:rsidR="006F012F">
        <w:rPr>
          <w:rFonts w:ascii="Times New Roman" w:hAnsi="Times New Roman"/>
          <w:szCs w:val="24"/>
          <w:lang w:val="bs-Cyrl-BA"/>
        </w:rPr>
        <w:t xml:space="preserve">овим </w:t>
      </w:r>
      <w:r>
        <w:rPr>
          <w:rFonts w:ascii="Times New Roman" w:hAnsi="Times New Roman"/>
          <w:szCs w:val="24"/>
          <w:lang w:val="hr-HR"/>
        </w:rPr>
        <w:t>обавез</w:t>
      </w:r>
      <w:r w:rsidR="006F012F">
        <w:rPr>
          <w:rFonts w:ascii="Times New Roman" w:hAnsi="Times New Roman"/>
          <w:szCs w:val="24"/>
          <w:lang w:val="bs-Cyrl-BA"/>
        </w:rPr>
        <w:t>ама</w:t>
      </w:r>
      <w:r w:rsidR="00145C8D" w:rsidRPr="00295637">
        <w:rPr>
          <w:rFonts w:ascii="Times New Roman" w:hAnsi="Times New Roman"/>
          <w:szCs w:val="24"/>
          <w:lang w:val="hr-HR"/>
        </w:rPr>
        <w:t xml:space="preserve"> </w:t>
      </w:r>
      <w:r>
        <w:rPr>
          <w:rFonts w:ascii="Times New Roman" w:hAnsi="Times New Roman"/>
          <w:szCs w:val="24"/>
          <w:lang w:val="hr-HR"/>
        </w:rPr>
        <w:t>које</w:t>
      </w:r>
      <w:r w:rsidR="00145C8D" w:rsidRPr="00295637">
        <w:rPr>
          <w:rFonts w:ascii="Times New Roman" w:hAnsi="Times New Roman"/>
          <w:szCs w:val="24"/>
          <w:lang w:val="hr-HR"/>
        </w:rPr>
        <w:t xml:space="preserve"> </w:t>
      </w:r>
      <w:r>
        <w:rPr>
          <w:rFonts w:ascii="Times New Roman" w:hAnsi="Times New Roman"/>
          <w:szCs w:val="24"/>
          <w:lang w:val="hr-HR"/>
        </w:rPr>
        <w:t>проистичу</w:t>
      </w:r>
      <w:r w:rsidR="00145C8D" w:rsidRPr="00295637">
        <w:rPr>
          <w:rFonts w:ascii="Times New Roman" w:hAnsi="Times New Roman"/>
          <w:szCs w:val="24"/>
          <w:lang w:val="hr-HR"/>
        </w:rPr>
        <w:t xml:space="preserve"> </w:t>
      </w:r>
      <w:r>
        <w:rPr>
          <w:rFonts w:ascii="Times New Roman" w:hAnsi="Times New Roman"/>
          <w:szCs w:val="24"/>
          <w:lang w:val="hr-HR"/>
        </w:rPr>
        <w:t>из</w:t>
      </w:r>
      <w:r w:rsidR="00145C8D" w:rsidRPr="00295637">
        <w:rPr>
          <w:rFonts w:ascii="Times New Roman" w:hAnsi="Times New Roman"/>
          <w:szCs w:val="24"/>
          <w:lang w:val="hr-HR"/>
        </w:rPr>
        <w:t xml:space="preserve"> </w:t>
      </w:r>
      <w:r>
        <w:rPr>
          <w:rFonts w:ascii="Times New Roman" w:hAnsi="Times New Roman"/>
          <w:szCs w:val="24"/>
          <w:lang w:val="hr-HR"/>
        </w:rPr>
        <w:t>ОП</w:t>
      </w:r>
      <w:r w:rsidR="00B400A2" w:rsidRPr="00295637">
        <w:rPr>
          <w:rFonts w:ascii="Times New Roman" w:hAnsi="Times New Roman"/>
          <w:szCs w:val="24"/>
          <w:lang w:val="hr-HR"/>
        </w:rPr>
        <w:t xml:space="preserve"> </w:t>
      </w:r>
      <w:r>
        <w:rPr>
          <w:rFonts w:ascii="Times New Roman" w:hAnsi="Times New Roman"/>
          <w:szCs w:val="24"/>
          <w:lang w:val="hr-HR"/>
        </w:rPr>
        <w:t>ГАП</w:t>
      </w:r>
      <w:r w:rsidR="00B400A2" w:rsidRPr="00295637">
        <w:rPr>
          <w:rFonts w:ascii="Times New Roman" w:hAnsi="Times New Roman"/>
          <w:szCs w:val="24"/>
          <w:lang w:val="hr-HR"/>
        </w:rPr>
        <w:t xml:space="preserve"> </w:t>
      </w:r>
      <w:r>
        <w:rPr>
          <w:rFonts w:ascii="Times New Roman" w:hAnsi="Times New Roman"/>
          <w:szCs w:val="24"/>
          <w:lang w:val="hr-HR"/>
        </w:rPr>
        <w:t>БиХ</w:t>
      </w:r>
      <w:r w:rsidR="006927B4" w:rsidRPr="00295637">
        <w:rPr>
          <w:rFonts w:ascii="Times New Roman" w:hAnsi="Times New Roman"/>
          <w:szCs w:val="24"/>
          <w:lang w:val="hr-HR"/>
        </w:rPr>
        <w:t>.</w:t>
      </w:r>
      <w:r w:rsidR="00145C8D" w:rsidRPr="00295637">
        <w:rPr>
          <w:rFonts w:ascii="Times New Roman" w:hAnsi="Times New Roman"/>
          <w:szCs w:val="24"/>
          <w:lang w:val="hr-HR"/>
        </w:rPr>
        <w:t xml:space="preserve"> </w:t>
      </w:r>
      <w:r>
        <w:rPr>
          <w:rFonts w:ascii="Times New Roman" w:hAnsi="Times New Roman"/>
          <w:szCs w:val="24"/>
          <w:lang w:val="hr-HR"/>
        </w:rPr>
        <w:t>Координација</w:t>
      </w:r>
      <w:r w:rsidR="00145C8D" w:rsidRPr="00295637">
        <w:rPr>
          <w:rFonts w:ascii="Times New Roman" w:hAnsi="Times New Roman"/>
          <w:szCs w:val="24"/>
          <w:lang w:val="hr-HR"/>
        </w:rPr>
        <w:t xml:space="preserve"> </w:t>
      </w:r>
      <w:r>
        <w:rPr>
          <w:rFonts w:ascii="Times New Roman" w:hAnsi="Times New Roman"/>
          <w:szCs w:val="24"/>
          <w:lang w:val="hr-HR"/>
        </w:rPr>
        <w:t>и</w:t>
      </w:r>
      <w:r w:rsidR="00145C8D" w:rsidRPr="00295637">
        <w:rPr>
          <w:rFonts w:ascii="Times New Roman" w:hAnsi="Times New Roman"/>
          <w:szCs w:val="24"/>
          <w:lang w:val="hr-HR"/>
        </w:rPr>
        <w:t xml:space="preserve"> </w:t>
      </w:r>
      <w:r>
        <w:rPr>
          <w:rFonts w:ascii="Times New Roman" w:hAnsi="Times New Roman"/>
          <w:szCs w:val="24"/>
          <w:lang w:val="hr-HR"/>
        </w:rPr>
        <w:t>надзор</w:t>
      </w:r>
      <w:r w:rsidR="00145C8D" w:rsidRPr="00295637">
        <w:rPr>
          <w:rFonts w:ascii="Times New Roman" w:hAnsi="Times New Roman"/>
          <w:szCs w:val="24"/>
          <w:lang w:val="hr-HR"/>
        </w:rPr>
        <w:t xml:space="preserve"> </w:t>
      </w:r>
      <w:r>
        <w:rPr>
          <w:rFonts w:ascii="Times New Roman" w:hAnsi="Times New Roman"/>
          <w:szCs w:val="24"/>
          <w:lang w:val="hr-HR"/>
        </w:rPr>
        <w:t>над</w:t>
      </w:r>
      <w:r w:rsidR="00145C8D" w:rsidRPr="00295637">
        <w:rPr>
          <w:rFonts w:ascii="Times New Roman" w:hAnsi="Times New Roman"/>
          <w:szCs w:val="24"/>
          <w:lang w:val="hr-HR"/>
        </w:rPr>
        <w:t xml:space="preserve"> </w:t>
      </w:r>
      <w:r w:rsidR="006318F4">
        <w:rPr>
          <w:rFonts w:ascii="Times New Roman" w:hAnsi="Times New Roman"/>
          <w:szCs w:val="24"/>
          <w:lang w:val="sr-Cyrl-BA"/>
        </w:rPr>
        <w:t>спровођењем</w:t>
      </w:r>
      <w:r w:rsidR="00145C8D" w:rsidRPr="00295637">
        <w:rPr>
          <w:rFonts w:ascii="Times New Roman" w:hAnsi="Times New Roman"/>
          <w:szCs w:val="24"/>
          <w:lang w:val="hr-HR"/>
        </w:rPr>
        <w:t xml:space="preserve"> </w:t>
      </w:r>
      <w:r>
        <w:rPr>
          <w:rFonts w:ascii="Times New Roman" w:hAnsi="Times New Roman"/>
          <w:szCs w:val="24"/>
          <w:lang w:val="hr-HR"/>
        </w:rPr>
        <w:t>мјера</w:t>
      </w:r>
      <w:r w:rsidR="00145C8D" w:rsidRPr="00295637">
        <w:rPr>
          <w:rFonts w:ascii="Times New Roman" w:hAnsi="Times New Roman"/>
          <w:szCs w:val="24"/>
          <w:lang w:val="hr-HR"/>
        </w:rPr>
        <w:t xml:space="preserve"> </w:t>
      </w:r>
      <w:r>
        <w:rPr>
          <w:rFonts w:ascii="Times New Roman" w:hAnsi="Times New Roman"/>
          <w:szCs w:val="24"/>
          <w:lang w:val="hr-HR"/>
        </w:rPr>
        <w:t>ОП</w:t>
      </w:r>
      <w:r w:rsidR="00145C8D" w:rsidRPr="00295637">
        <w:rPr>
          <w:rFonts w:ascii="Times New Roman" w:hAnsi="Times New Roman"/>
          <w:szCs w:val="24"/>
          <w:lang w:val="hr-HR"/>
        </w:rPr>
        <w:t xml:space="preserve"> </w:t>
      </w:r>
      <w:r>
        <w:rPr>
          <w:rFonts w:ascii="Times New Roman" w:hAnsi="Times New Roman"/>
          <w:szCs w:val="24"/>
          <w:lang w:val="hr-HR"/>
        </w:rPr>
        <w:t>ГАП</w:t>
      </w:r>
      <w:r w:rsidR="009E54A2" w:rsidRPr="00295637">
        <w:rPr>
          <w:rFonts w:ascii="Times New Roman" w:hAnsi="Times New Roman"/>
          <w:szCs w:val="24"/>
          <w:lang w:val="hr-HR"/>
        </w:rPr>
        <w:t xml:space="preserve"> </w:t>
      </w:r>
      <w:r>
        <w:rPr>
          <w:rFonts w:ascii="Times New Roman" w:hAnsi="Times New Roman"/>
          <w:szCs w:val="24"/>
          <w:lang w:val="hr-HR"/>
        </w:rPr>
        <w:t>БиХ</w:t>
      </w:r>
      <w:r w:rsidR="009E54A2" w:rsidRPr="00295637">
        <w:rPr>
          <w:rFonts w:ascii="Times New Roman" w:hAnsi="Times New Roman"/>
          <w:szCs w:val="24"/>
          <w:lang w:val="hr-HR"/>
        </w:rPr>
        <w:t xml:space="preserve"> </w:t>
      </w:r>
      <w:r>
        <w:rPr>
          <w:rFonts w:ascii="Times New Roman" w:hAnsi="Times New Roman"/>
          <w:szCs w:val="24"/>
          <w:lang w:val="hr-HR"/>
        </w:rPr>
        <w:t>предмет</w:t>
      </w:r>
      <w:r w:rsidR="00145C8D" w:rsidRPr="00295637">
        <w:rPr>
          <w:rFonts w:ascii="Times New Roman" w:hAnsi="Times New Roman"/>
          <w:szCs w:val="24"/>
          <w:lang w:val="hr-HR"/>
        </w:rPr>
        <w:t xml:space="preserve"> </w:t>
      </w:r>
      <w:r>
        <w:rPr>
          <w:rFonts w:ascii="Times New Roman" w:hAnsi="Times New Roman"/>
          <w:szCs w:val="24"/>
          <w:lang w:val="hr-HR"/>
        </w:rPr>
        <w:t>је</w:t>
      </w:r>
      <w:r w:rsidR="00145C8D" w:rsidRPr="00295637">
        <w:rPr>
          <w:rFonts w:ascii="Times New Roman" w:hAnsi="Times New Roman"/>
          <w:szCs w:val="24"/>
          <w:lang w:val="hr-HR"/>
        </w:rPr>
        <w:t xml:space="preserve"> </w:t>
      </w:r>
      <w:r>
        <w:rPr>
          <w:rFonts w:ascii="Times New Roman" w:hAnsi="Times New Roman"/>
          <w:szCs w:val="24"/>
          <w:lang w:val="hr-HR"/>
        </w:rPr>
        <w:t>рада</w:t>
      </w:r>
      <w:r w:rsidR="00145C8D" w:rsidRPr="00295637">
        <w:rPr>
          <w:rFonts w:ascii="Times New Roman" w:hAnsi="Times New Roman"/>
          <w:szCs w:val="24"/>
          <w:lang w:val="hr-HR"/>
        </w:rPr>
        <w:t xml:space="preserve"> </w:t>
      </w:r>
      <w:r>
        <w:rPr>
          <w:rFonts w:ascii="Times New Roman" w:hAnsi="Times New Roman"/>
          <w:szCs w:val="24"/>
          <w:lang w:val="hr-HR"/>
        </w:rPr>
        <w:t>Координаци</w:t>
      </w:r>
      <w:r w:rsidR="006318F4">
        <w:rPr>
          <w:rFonts w:ascii="Times New Roman" w:hAnsi="Times New Roman"/>
          <w:szCs w:val="24"/>
          <w:lang w:val="sr-Cyrl-BA"/>
        </w:rPr>
        <w:t>оног</w:t>
      </w:r>
      <w:r w:rsidR="001E36E2" w:rsidRPr="00295637">
        <w:rPr>
          <w:rFonts w:ascii="Times New Roman" w:hAnsi="Times New Roman"/>
          <w:szCs w:val="24"/>
          <w:lang w:val="hr-HR"/>
        </w:rPr>
        <w:t xml:space="preserve"> </w:t>
      </w:r>
      <w:r>
        <w:rPr>
          <w:rFonts w:ascii="Times New Roman" w:hAnsi="Times New Roman"/>
          <w:szCs w:val="24"/>
          <w:lang w:val="hr-HR"/>
        </w:rPr>
        <w:t>одбора</w:t>
      </w:r>
      <w:r w:rsidR="001E36E2" w:rsidRPr="00295637">
        <w:rPr>
          <w:rFonts w:ascii="Times New Roman" w:hAnsi="Times New Roman"/>
          <w:szCs w:val="24"/>
          <w:lang w:val="hr-HR"/>
        </w:rPr>
        <w:t xml:space="preserve"> </w:t>
      </w:r>
      <w:r>
        <w:rPr>
          <w:rFonts w:ascii="Times New Roman" w:hAnsi="Times New Roman"/>
          <w:szCs w:val="24"/>
          <w:lang w:val="hr-HR"/>
        </w:rPr>
        <w:t>за</w:t>
      </w:r>
      <w:r w:rsidR="001E36E2" w:rsidRPr="00295637">
        <w:rPr>
          <w:rFonts w:ascii="Times New Roman" w:hAnsi="Times New Roman"/>
          <w:szCs w:val="24"/>
          <w:lang w:val="hr-HR"/>
        </w:rPr>
        <w:t xml:space="preserve"> </w:t>
      </w:r>
      <w:r>
        <w:rPr>
          <w:rFonts w:ascii="Times New Roman" w:hAnsi="Times New Roman"/>
          <w:szCs w:val="24"/>
          <w:lang w:val="hr-HR"/>
        </w:rPr>
        <w:t>праћење</w:t>
      </w:r>
      <w:r w:rsidR="001E36E2" w:rsidRPr="00295637">
        <w:rPr>
          <w:rFonts w:ascii="Times New Roman" w:hAnsi="Times New Roman"/>
          <w:szCs w:val="24"/>
          <w:lang w:val="hr-HR"/>
        </w:rPr>
        <w:t xml:space="preserve"> </w:t>
      </w:r>
      <w:r w:rsidR="006318F4">
        <w:rPr>
          <w:rFonts w:ascii="Times New Roman" w:hAnsi="Times New Roman"/>
          <w:szCs w:val="24"/>
          <w:lang w:val="sr-Cyrl-BA"/>
        </w:rPr>
        <w:t>спровођења</w:t>
      </w:r>
      <w:r w:rsidR="00145C8D" w:rsidRPr="00295637">
        <w:rPr>
          <w:rFonts w:ascii="Times New Roman" w:hAnsi="Times New Roman"/>
          <w:szCs w:val="24"/>
          <w:lang w:val="hr-HR"/>
        </w:rPr>
        <w:t xml:space="preserve"> </w:t>
      </w:r>
      <w:r>
        <w:rPr>
          <w:rFonts w:ascii="Times New Roman" w:hAnsi="Times New Roman"/>
          <w:szCs w:val="24"/>
          <w:lang w:val="hr-HR"/>
        </w:rPr>
        <w:t>ГАП</w:t>
      </w:r>
      <w:r w:rsidR="009E54A2" w:rsidRPr="00295637">
        <w:rPr>
          <w:rFonts w:ascii="Times New Roman" w:hAnsi="Times New Roman"/>
          <w:szCs w:val="24"/>
          <w:lang w:val="hr-HR"/>
        </w:rPr>
        <w:t xml:space="preserve"> </w:t>
      </w:r>
      <w:r>
        <w:rPr>
          <w:rFonts w:ascii="Times New Roman" w:hAnsi="Times New Roman"/>
          <w:szCs w:val="24"/>
          <w:lang w:val="hr-HR"/>
        </w:rPr>
        <w:t>БиХ</w:t>
      </w:r>
      <w:r w:rsidR="009E54A2" w:rsidRPr="00295637">
        <w:rPr>
          <w:rFonts w:ascii="Times New Roman" w:hAnsi="Times New Roman"/>
          <w:szCs w:val="24"/>
          <w:lang w:val="hr-HR"/>
        </w:rPr>
        <w:t xml:space="preserve"> </w:t>
      </w:r>
      <w:r>
        <w:rPr>
          <w:rFonts w:ascii="Times New Roman" w:hAnsi="Times New Roman"/>
          <w:szCs w:val="24"/>
          <w:lang w:val="hr-HR"/>
        </w:rPr>
        <w:t>кроз</w:t>
      </w:r>
      <w:r w:rsidR="00145C8D" w:rsidRPr="00295637">
        <w:rPr>
          <w:rFonts w:ascii="Times New Roman" w:hAnsi="Times New Roman"/>
          <w:szCs w:val="24"/>
          <w:lang w:val="hr-HR"/>
        </w:rPr>
        <w:t xml:space="preserve"> </w:t>
      </w:r>
      <w:r>
        <w:rPr>
          <w:rFonts w:ascii="Times New Roman" w:hAnsi="Times New Roman"/>
          <w:szCs w:val="24"/>
          <w:lang w:val="hr-HR"/>
        </w:rPr>
        <w:t>састанке</w:t>
      </w:r>
      <w:r w:rsidR="00831EA5">
        <w:rPr>
          <w:rFonts w:ascii="Times New Roman" w:hAnsi="Times New Roman"/>
          <w:szCs w:val="24"/>
          <w:lang w:val="hr-HR"/>
        </w:rPr>
        <w:t xml:space="preserve"> </w:t>
      </w:r>
      <w:r>
        <w:rPr>
          <w:rFonts w:ascii="Times New Roman" w:hAnsi="Times New Roman"/>
          <w:szCs w:val="24"/>
          <w:lang w:val="hr-HR"/>
        </w:rPr>
        <w:t>и</w:t>
      </w:r>
      <w:r w:rsidR="00831EA5">
        <w:rPr>
          <w:rFonts w:ascii="Times New Roman" w:hAnsi="Times New Roman"/>
          <w:szCs w:val="24"/>
          <w:lang w:val="hr-HR"/>
        </w:rPr>
        <w:t xml:space="preserve"> </w:t>
      </w:r>
      <w:r>
        <w:rPr>
          <w:rFonts w:ascii="Times New Roman" w:hAnsi="Times New Roman"/>
          <w:szCs w:val="24"/>
          <w:lang w:val="hr-HR"/>
        </w:rPr>
        <w:t>директну</w:t>
      </w:r>
      <w:r w:rsidR="00831EA5">
        <w:rPr>
          <w:rFonts w:ascii="Times New Roman" w:hAnsi="Times New Roman"/>
          <w:szCs w:val="24"/>
          <w:lang w:val="hr-HR"/>
        </w:rPr>
        <w:t xml:space="preserve"> </w:t>
      </w:r>
      <w:r>
        <w:rPr>
          <w:rFonts w:ascii="Times New Roman" w:hAnsi="Times New Roman"/>
          <w:szCs w:val="24"/>
          <w:lang w:val="hr-HR"/>
        </w:rPr>
        <w:t>комуникацију</w:t>
      </w:r>
      <w:r w:rsidR="00831EA5">
        <w:rPr>
          <w:rFonts w:ascii="Times New Roman" w:hAnsi="Times New Roman"/>
          <w:szCs w:val="24"/>
          <w:lang w:val="hr-HR"/>
        </w:rPr>
        <w:t xml:space="preserve"> </w:t>
      </w:r>
      <w:r>
        <w:rPr>
          <w:rFonts w:ascii="Times New Roman" w:hAnsi="Times New Roman"/>
          <w:szCs w:val="24"/>
          <w:lang w:val="hr-HR"/>
        </w:rPr>
        <w:t>са</w:t>
      </w:r>
      <w:r w:rsidR="00145C8D" w:rsidRPr="00295637">
        <w:rPr>
          <w:rFonts w:ascii="Times New Roman" w:hAnsi="Times New Roman"/>
          <w:szCs w:val="24"/>
          <w:lang w:val="hr-HR"/>
        </w:rPr>
        <w:t xml:space="preserve"> </w:t>
      </w:r>
      <w:r>
        <w:rPr>
          <w:rFonts w:ascii="Times New Roman" w:hAnsi="Times New Roman"/>
          <w:szCs w:val="24"/>
          <w:lang w:val="hr-HR"/>
        </w:rPr>
        <w:t>АР</w:t>
      </w:r>
      <w:r w:rsidR="006318F4">
        <w:rPr>
          <w:rFonts w:ascii="Times New Roman" w:hAnsi="Times New Roman"/>
          <w:szCs w:val="24"/>
          <w:lang w:val="sr-Cyrl-BA"/>
        </w:rPr>
        <w:t>П</w:t>
      </w:r>
      <w:r w:rsidR="00831EA5">
        <w:rPr>
          <w:rFonts w:ascii="Times New Roman" w:hAnsi="Times New Roman"/>
          <w:szCs w:val="24"/>
          <w:lang w:val="hr-HR"/>
        </w:rPr>
        <w:t xml:space="preserve"> </w:t>
      </w:r>
      <w:r>
        <w:rPr>
          <w:rFonts w:ascii="Times New Roman" w:hAnsi="Times New Roman"/>
          <w:szCs w:val="24"/>
          <w:lang w:val="hr-HR"/>
        </w:rPr>
        <w:t>БиХ</w:t>
      </w:r>
      <w:r w:rsidR="00145C8D" w:rsidRPr="00295637">
        <w:rPr>
          <w:rFonts w:ascii="Times New Roman" w:hAnsi="Times New Roman"/>
          <w:szCs w:val="24"/>
          <w:lang w:val="hr-HR"/>
        </w:rPr>
        <w:t xml:space="preserve"> </w:t>
      </w:r>
      <w:r>
        <w:rPr>
          <w:rFonts w:ascii="Times New Roman" w:hAnsi="Times New Roman"/>
          <w:szCs w:val="24"/>
          <w:lang w:val="hr-HR"/>
        </w:rPr>
        <w:t>МЉПИ</w:t>
      </w:r>
      <w:r w:rsidR="00831EA5">
        <w:rPr>
          <w:rFonts w:ascii="Times New Roman" w:hAnsi="Times New Roman"/>
          <w:szCs w:val="24"/>
          <w:lang w:val="hr-HR"/>
        </w:rPr>
        <w:t xml:space="preserve"> </w:t>
      </w:r>
      <w:r>
        <w:rPr>
          <w:rFonts w:ascii="Times New Roman" w:hAnsi="Times New Roman"/>
          <w:szCs w:val="24"/>
          <w:lang w:val="hr-HR"/>
        </w:rPr>
        <w:t>БиХ</w:t>
      </w:r>
      <w:r w:rsidR="00145C8D" w:rsidRPr="00295637">
        <w:rPr>
          <w:rFonts w:ascii="Times New Roman" w:hAnsi="Times New Roman"/>
          <w:szCs w:val="24"/>
          <w:lang w:val="hr-HR"/>
        </w:rPr>
        <w:t>.</w:t>
      </w:r>
    </w:p>
    <w:p w:rsidR="00145C8D" w:rsidRPr="00295637" w:rsidRDefault="00145C8D" w:rsidP="0086268D">
      <w:pPr>
        <w:jc w:val="both"/>
        <w:rPr>
          <w:rFonts w:ascii="Times New Roman" w:hAnsi="Times New Roman"/>
          <w:szCs w:val="24"/>
        </w:rPr>
      </w:pPr>
    </w:p>
    <w:p w:rsidR="00DC5195" w:rsidRPr="00295637" w:rsidRDefault="00C6214E" w:rsidP="0086268D">
      <w:pPr>
        <w:jc w:val="both"/>
        <w:rPr>
          <w:rFonts w:ascii="Times New Roman" w:hAnsi="Times New Roman"/>
          <w:szCs w:val="24"/>
          <w:lang w:val="bs-Latn-BA"/>
        </w:rPr>
      </w:pPr>
      <w:r>
        <w:rPr>
          <w:rFonts w:ascii="Times New Roman" w:hAnsi="Times New Roman"/>
          <w:szCs w:val="24"/>
          <w:lang w:val="bs-Latn-BA"/>
        </w:rPr>
        <w:t>ГЦ</w:t>
      </w:r>
      <w:r w:rsidR="00831EA5">
        <w:rPr>
          <w:rFonts w:ascii="Times New Roman" w:hAnsi="Times New Roman"/>
          <w:szCs w:val="24"/>
          <w:lang w:val="bs-Latn-BA"/>
        </w:rPr>
        <w:t xml:space="preserve"> </w:t>
      </w:r>
      <w:r>
        <w:rPr>
          <w:rFonts w:ascii="Times New Roman" w:hAnsi="Times New Roman"/>
          <w:szCs w:val="24"/>
          <w:lang w:val="bs-Latn-BA"/>
        </w:rPr>
        <w:t>ФБиХ</w:t>
      </w:r>
      <w:r w:rsidR="001E36E2" w:rsidRPr="00295637">
        <w:rPr>
          <w:rFonts w:ascii="Times New Roman" w:hAnsi="Times New Roman"/>
          <w:szCs w:val="24"/>
          <w:lang w:val="bs-Latn-BA"/>
        </w:rPr>
        <w:t xml:space="preserve"> </w:t>
      </w:r>
      <w:r w:rsidR="006318F4">
        <w:rPr>
          <w:rFonts w:ascii="Times New Roman" w:hAnsi="Times New Roman"/>
          <w:szCs w:val="24"/>
          <w:lang w:val="bs-Latn-BA"/>
        </w:rPr>
        <w:t xml:space="preserve">је </w:t>
      </w:r>
      <w:r>
        <w:rPr>
          <w:rFonts w:ascii="Times New Roman" w:hAnsi="Times New Roman"/>
          <w:szCs w:val="24"/>
          <w:lang w:val="bs-Latn-BA"/>
        </w:rPr>
        <w:t>координи</w:t>
      </w:r>
      <w:r w:rsidR="006318F4">
        <w:rPr>
          <w:rFonts w:ascii="Times New Roman" w:hAnsi="Times New Roman"/>
          <w:szCs w:val="24"/>
          <w:lang w:val="sr-Cyrl-BA"/>
        </w:rPr>
        <w:t>с</w:t>
      </w:r>
      <w:r>
        <w:rPr>
          <w:rFonts w:ascii="Times New Roman" w:hAnsi="Times New Roman"/>
          <w:szCs w:val="24"/>
          <w:lang w:val="bs-Latn-BA"/>
        </w:rPr>
        <w:t>ао</w:t>
      </w:r>
      <w:r w:rsidR="001E36E2" w:rsidRPr="00295637">
        <w:rPr>
          <w:rFonts w:ascii="Times New Roman" w:hAnsi="Times New Roman"/>
          <w:szCs w:val="24"/>
          <w:lang w:val="bs-Latn-BA"/>
        </w:rPr>
        <w:t xml:space="preserve"> </w:t>
      </w:r>
      <w:r>
        <w:rPr>
          <w:rFonts w:ascii="Times New Roman" w:hAnsi="Times New Roman"/>
          <w:szCs w:val="24"/>
          <w:lang w:val="bs-Latn-BA"/>
        </w:rPr>
        <w:t>процесе</w:t>
      </w:r>
      <w:r w:rsidR="001E36E2" w:rsidRPr="00295637">
        <w:rPr>
          <w:rFonts w:ascii="Times New Roman" w:hAnsi="Times New Roman"/>
          <w:szCs w:val="24"/>
          <w:lang w:val="bs-Latn-BA"/>
        </w:rPr>
        <w:t xml:space="preserve"> </w:t>
      </w:r>
      <w:r>
        <w:rPr>
          <w:rFonts w:ascii="Times New Roman" w:hAnsi="Times New Roman"/>
          <w:szCs w:val="24"/>
          <w:lang w:val="bs-Latn-BA"/>
        </w:rPr>
        <w:t>како</w:t>
      </w:r>
      <w:r w:rsidR="001E36E2" w:rsidRPr="00295637">
        <w:rPr>
          <w:rFonts w:ascii="Times New Roman" w:hAnsi="Times New Roman"/>
          <w:szCs w:val="24"/>
          <w:lang w:val="bs-Latn-BA"/>
        </w:rPr>
        <w:t xml:space="preserve"> </w:t>
      </w:r>
      <w:r>
        <w:rPr>
          <w:rFonts w:ascii="Times New Roman" w:hAnsi="Times New Roman"/>
          <w:szCs w:val="24"/>
          <w:lang w:val="bs-Latn-BA"/>
        </w:rPr>
        <w:t>би</w:t>
      </w:r>
      <w:r w:rsidR="001E36E2" w:rsidRPr="00295637">
        <w:rPr>
          <w:rFonts w:ascii="Times New Roman" w:hAnsi="Times New Roman"/>
          <w:szCs w:val="24"/>
          <w:lang w:val="bs-Latn-BA"/>
        </w:rPr>
        <w:t xml:space="preserve"> </w:t>
      </w:r>
      <w:r>
        <w:rPr>
          <w:rFonts w:ascii="Times New Roman" w:hAnsi="Times New Roman"/>
          <w:szCs w:val="24"/>
          <w:lang w:val="bs-Latn-BA"/>
        </w:rPr>
        <w:t>институције</w:t>
      </w:r>
      <w:r w:rsidR="001E36E2" w:rsidRPr="00295637">
        <w:rPr>
          <w:rFonts w:ascii="Times New Roman" w:hAnsi="Times New Roman"/>
          <w:szCs w:val="24"/>
          <w:lang w:val="bs-Latn-BA"/>
        </w:rPr>
        <w:t xml:space="preserve"> </w:t>
      </w:r>
      <w:r>
        <w:rPr>
          <w:rFonts w:ascii="Times New Roman" w:hAnsi="Times New Roman"/>
          <w:szCs w:val="24"/>
          <w:lang w:val="bs-Latn-BA"/>
        </w:rPr>
        <w:t>ФБиХ</w:t>
      </w:r>
      <w:r w:rsidR="001E36E2" w:rsidRPr="00295637">
        <w:rPr>
          <w:rFonts w:ascii="Times New Roman" w:hAnsi="Times New Roman"/>
          <w:szCs w:val="24"/>
          <w:lang w:val="bs-Latn-BA"/>
        </w:rPr>
        <w:t xml:space="preserve"> </w:t>
      </w:r>
      <w:r>
        <w:rPr>
          <w:rFonts w:ascii="Times New Roman" w:hAnsi="Times New Roman"/>
          <w:szCs w:val="24"/>
          <w:lang w:val="bs-Latn-BA"/>
        </w:rPr>
        <w:t>преузеле</w:t>
      </w:r>
      <w:r w:rsidR="00831EA5">
        <w:rPr>
          <w:rFonts w:ascii="Times New Roman" w:hAnsi="Times New Roman"/>
          <w:szCs w:val="24"/>
          <w:lang w:val="bs-Latn-BA"/>
        </w:rPr>
        <w:t xml:space="preserve"> </w:t>
      </w:r>
      <w:r>
        <w:rPr>
          <w:rFonts w:ascii="Times New Roman" w:hAnsi="Times New Roman"/>
          <w:szCs w:val="24"/>
          <w:lang w:val="bs-Latn-BA"/>
        </w:rPr>
        <w:t>обавезу</w:t>
      </w:r>
      <w:r w:rsidR="00CA42E2" w:rsidRPr="00295637">
        <w:rPr>
          <w:rFonts w:ascii="Times New Roman" w:hAnsi="Times New Roman"/>
          <w:szCs w:val="24"/>
          <w:lang w:val="bs-Latn-BA"/>
        </w:rPr>
        <w:t xml:space="preserve"> </w:t>
      </w:r>
      <w:r w:rsidR="006318F4">
        <w:rPr>
          <w:rFonts w:ascii="Times New Roman" w:hAnsi="Times New Roman"/>
          <w:szCs w:val="24"/>
          <w:lang w:val="sr-Cyrl-BA"/>
        </w:rPr>
        <w:t>спровођења</w:t>
      </w:r>
      <w:r w:rsidR="00CA42E2" w:rsidRPr="00295637">
        <w:rPr>
          <w:rFonts w:ascii="Times New Roman" w:hAnsi="Times New Roman"/>
          <w:szCs w:val="24"/>
          <w:lang w:val="bs-Latn-BA"/>
        </w:rPr>
        <w:t xml:space="preserve"> </w:t>
      </w:r>
      <w:r>
        <w:rPr>
          <w:rFonts w:ascii="Times New Roman" w:hAnsi="Times New Roman"/>
          <w:szCs w:val="24"/>
          <w:lang w:val="bs-Latn-BA"/>
        </w:rPr>
        <w:t>ГАП</w:t>
      </w:r>
      <w:r w:rsidR="00CA42E2" w:rsidRPr="00295637">
        <w:rPr>
          <w:rFonts w:ascii="Times New Roman" w:hAnsi="Times New Roman"/>
          <w:szCs w:val="24"/>
          <w:lang w:val="bs-Latn-BA"/>
        </w:rPr>
        <w:t>-</w:t>
      </w:r>
      <w:r>
        <w:rPr>
          <w:rFonts w:ascii="Times New Roman" w:hAnsi="Times New Roman"/>
          <w:szCs w:val="24"/>
          <w:lang w:val="bs-Latn-BA"/>
        </w:rPr>
        <w:t>а</w:t>
      </w:r>
      <w:r w:rsidR="00050016">
        <w:rPr>
          <w:rFonts w:ascii="Times New Roman" w:hAnsi="Times New Roman"/>
          <w:szCs w:val="24"/>
          <w:lang w:val="bs-Latn-BA"/>
        </w:rPr>
        <w:t xml:space="preserve"> </w:t>
      </w:r>
      <w:r>
        <w:rPr>
          <w:rFonts w:ascii="Times New Roman" w:hAnsi="Times New Roman"/>
          <w:szCs w:val="24"/>
          <w:lang w:val="bs-Latn-BA"/>
        </w:rPr>
        <w:t>БиХ</w:t>
      </w:r>
      <w:r w:rsidR="00CA42E2" w:rsidRPr="00295637">
        <w:rPr>
          <w:rFonts w:ascii="Times New Roman" w:hAnsi="Times New Roman"/>
          <w:szCs w:val="24"/>
          <w:lang w:val="bs-Latn-BA"/>
        </w:rPr>
        <w:t xml:space="preserve"> </w:t>
      </w:r>
      <w:r>
        <w:rPr>
          <w:rFonts w:ascii="Times New Roman" w:hAnsi="Times New Roman"/>
          <w:szCs w:val="24"/>
          <w:lang w:val="bs-Latn-BA"/>
        </w:rPr>
        <w:t>и</w:t>
      </w:r>
      <w:r w:rsidR="001E36E2" w:rsidRPr="00295637">
        <w:rPr>
          <w:rFonts w:ascii="Times New Roman" w:hAnsi="Times New Roman"/>
          <w:szCs w:val="24"/>
          <w:lang w:val="bs-Latn-BA"/>
        </w:rPr>
        <w:t xml:space="preserve"> </w:t>
      </w:r>
      <w:r>
        <w:rPr>
          <w:rFonts w:ascii="Times New Roman" w:hAnsi="Times New Roman"/>
          <w:szCs w:val="24"/>
          <w:lang w:val="bs-Latn-BA"/>
        </w:rPr>
        <w:t>може</w:t>
      </w:r>
      <w:r w:rsidR="001E36E2" w:rsidRPr="00295637">
        <w:rPr>
          <w:rFonts w:ascii="Times New Roman" w:hAnsi="Times New Roman"/>
          <w:szCs w:val="24"/>
          <w:lang w:val="bs-Latn-BA"/>
        </w:rPr>
        <w:t xml:space="preserve"> </w:t>
      </w:r>
      <w:r>
        <w:rPr>
          <w:rFonts w:ascii="Times New Roman" w:hAnsi="Times New Roman"/>
          <w:szCs w:val="24"/>
          <w:lang w:val="bs-Latn-BA"/>
        </w:rPr>
        <w:t>се</w:t>
      </w:r>
      <w:r w:rsidR="001E36E2" w:rsidRPr="00295637">
        <w:rPr>
          <w:rFonts w:ascii="Times New Roman" w:hAnsi="Times New Roman"/>
          <w:szCs w:val="24"/>
          <w:lang w:val="bs-Latn-BA"/>
        </w:rPr>
        <w:t xml:space="preserve"> </w:t>
      </w:r>
      <w:r>
        <w:rPr>
          <w:rFonts w:ascii="Times New Roman" w:hAnsi="Times New Roman"/>
          <w:szCs w:val="24"/>
          <w:lang w:val="bs-Latn-BA"/>
        </w:rPr>
        <w:t>констат</w:t>
      </w:r>
      <w:r w:rsidR="006318F4">
        <w:rPr>
          <w:rFonts w:ascii="Times New Roman" w:hAnsi="Times New Roman"/>
          <w:szCs w:val="24"/>
          <w:lang w:val="sr-Cyrl-BA"/>
        </w:rPr>
        <w:t>овати</w:t>
      </w:r>
      <w:r w:rsidR="001E36E2" w:rsidRPr="00295637">
        <w:rPr>
          <w:rFonts w:ascii="Times New Roman" w:hAnsi="Times New Roman"/>
          <w:szCs w:val="24"/>
          <w:lang w:val="bs-Latn-BA"/>
        </w:rPr>
        <w:t xml:space="preserve"> </w:t>
      </w:r>
      <w:r w:rsidR="006318F4">
        <w:rPr>
          <w:rFonts w:ascii="Times New Roman" w:hAnsi="Times New Roman"/>
          <w:szCs w:val="24"/>
          <w:lang w:val="sr-Cyrl-BA"/>
        </w:rPr>
        <w:t>напредак</w:t>
      </w:r>
      <w:r w:rsidR="001E36E2" w:rsidRPr="00295637">
        <w:rPr>
          <w:rFonts w:ascii="Times New Roman" w:hAnsi="Times New Roman"/>
          <w:szCs w:val="24"/>
          <w:lang w:val="bs-Latn-BA"/>
        </w:rPr>
        <w:t xml:space="preserve"> </w:t>
      </w:r>
      <w:r>
        <w:rPr>
          <w:rFonts w:ascii="Times New Roman" w:hAnsi="Times New Roman"/>
          <w:szCs w:val="24"/>
          <w:lang w:val="bs-Latn-BA"/>
        </w:rPr>
        <w:t>у</w:t>
      </w:r>
      <w:r w:rsidR="001E36E2" w:rsidRPr="00295637">
        <w:rPr>
          <w:rFonts w:ascii="Times New Roman" w:hAnsi="Times New Roman"/>
          <w:szCs w:val="24"/>
          <w:lang w:val="bs-Latn-BA"/>
        </w:rPr>
        <w:t xml:space="preserve"> </w:t>
      </w:r>
      <w:r w:rsidR="006318F4">
        <w:rPr>
          <w:rFonts w:ascii="Times New Roman" w:hAnsi="Times New Roman"/>
          <w:szCs w:val="24"/>
          <w:lang w:val="sr-Cyrl-BA"/>
        </w:rPr>
        <w:t>спровођењу</w:t>
      </w:r>
      <w:r w:rsidR="001E36E2" w:rsidRPr="00295637">
        <w:rPr>
          <w:rFonts w:ascii="Times New Roman" w:hAnsi="Times New Roman"/>
          <w:szCs w:val="24"/>
          <w:lang w:val="bs-Latn-BA"/>
        </w:rPr>
        <w:t xml:space="preserve"> </w:t>
      </w:r>
      <w:r>
        <w:rPr>
          <w:rFonts w:ascii="Times New Roman" w:hAnsi="Times New Roman"/>
          <w:szCs w:val="24"/>
          <w:lang w:val="bs-Latn-BA"/>
        </w:rPr>
        <w:t>ГАП</w:t>
      </w:r>
      <w:r w:rsidR="00CA42E2" w:rsidRPr="00295637">
        <w:rPr>
          <w:rFonts w:ascii="Times New Roman" w:hAnsi="Times New Roman"/>
          <w:szCs w:val="24"/>
          <w:lang w:val="bs-Latn-BA"/>
        </w:rPr>
        <w:t>-</w:t>
      </w:r>
      <w:r>
        <w:rPr>
          <w:rFonts w:ascii="Times New Roman" w:hAnsi="Times New Roman"/>
          <w:szCs w:val="24"/>
          <w:lang w:val="bs-Latn-BA"/>
        </w:rPr>
        <w:t>а</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9E54A2" w:rsidRPr="00295637">
        <w:rPr>
          <w:rFonts w:ascii="Times New Roman" w:hAnsi="Times New Roman"/>
          <w:szCs w:val="24"/>
          <w:lang w:val="bs-Latn-BA"/>
        </w:rPr>
        <w:t xml:space="preserve"> </w:t>
      </w:r>
      <w:r>
        <w:rPr>
          <w:rFonts w:ascii="Times New Roman" w:hAnsi="Times New Roman"/>
          <w:szCs w:val="24"/>
          <w:lang w:val="bs-Latn-BA"/>
        </w:rPr>
        <w:t>у</w:t>
      </w:r>
      <w:r w:rsidR="001E36E2" w:rsidRPr="00295637">
        <w:rPr>
          <w:rFonts w:ascii="Times New Roman" w:hAnsi="Times New Roman"/>
          <w:szCs w:val="24"/>
          <w:lang w:val="bs-Latn-BA"/>
        </w:rPr>
        <w:t xml:space="preserve"> </w:t>
      </w:r>
      <w:r>
        <w:rPr>
          <w:rFonts w:ascii="Times New Roman" w:hAnsi="Times New Roman"/>
          <w:szCs w:val="24"/>
          <w:lang w:val="bs-Latn-BA"/>
        </w:rPr>
        <w:t>ФБиХ</w:t>
      </w:r>
      <w:r w:rsidR="001E36E2" w:rsidRPr="00295637">
        <w:rPr>
          <w:rFonts w:ascii="Times New Roman" w:hAnsi="Times New Roman"/>
          <w:szCs w:val="24"/>
          <w:lang w:val="bs-Latn-BA"/>
        </w:rPr>
        <w:t xml:space="preserve">. </w:t>
      </w:r>
      <w:r>
        <w:rPr>
          <w:rFonts w:ascii="Times New Roman" w:hAnsi="Times New Roman"/>
          <w:szCs w:val="24"/>
          <w:lang w:val="bs-Latn-BA"/>
        </w:rPr>
        <w:t>Реализ</w:t>
      </w:r>
      <w:r w:rsidR="006318F4">
        <w:rPr>
          <w:rFonts w:ascii="Times New Roman" w:hAnsi="Times New Roman"/>
          <w:szCs w:val="24"/>
          <w:lang w:val="sr-Cyrl-BA"/>
        </w:rPr>
        <w:t>оване</w:t>
      </w:r>
      <w:r w:rsidR="001E36E2" w:rsidRPr="00295637">
        <w:rPr>
          <w:rFonts w:ascii="Times New Roman" w:hAnsi="Times New Roman"/>
          <w:szCs w:val="24"/>
          <w:lang w:val="bs-Latn-BA"/>
        </w:rPr>
        <w:t xml:space="preserve"> </w:t>
      </w:r>
      <w:r>
        <w:rPr>
          <w:rFonts w:ascii="Times New Roman" w:hAnsi="Times New Roman"/>
          <w:szCs w:val="24"/>
          <w:lang w:val="bs-Latn-BA"/>
        </w:rPr>
        <w:t>су</w:t>
      </w:r>
      <w:r w:rsidR="001E36E2" w:rsidRPr="00295637">
        <w:rPr>
          <w:rFonts w:ascii="Times New Roman" w:hAnsi="Times New Roman"/>
          <w:szCs w:val="24"/>
          <w:lang w:val="bs-Latn-BA"/>
        </w:rPr>
        <w:t xml:space="preserve"> </w:t>
      </w:r>
      <w:r>
        <w:rPr>
          <w:rFonts w:ascii="Times New Roman" w:hAnsi="Times New Roman"/>
          <w:szCs w:val="24"/>
          <w:lang w:val="bs-Latn-BA"/>
        </w:rPr>
        <w:t>бројне</w:t>
      </w:r>
      <w:r w:rsidR="00BE1085" w:rsidRPr="00295637">
        <w:rPr>
          <w:rFonts w:ascii="Times New Roman" w:hAnsi="Times New Roman"/>
          <w:szCs w:val="24"/>
          <w:lang w:val="bs-Latn-BA"/>
        </w:rPr>
        <w:t xml:space="preserve"> </w:t>
      </w:r>
      <w:r>
        <w:rPr>
          <w:rFonts w:ascii="Times New Roman" w:hAnsi="Times New Roman"/>
          <w:szCs w:val="24"/>
          <w:lang w:val="bs-Latn-BA"/>
        </w:rPr>
        <w:t>активности</w:t>
      </w:r>
      <w:r w:rsidR="001E36E2" w:rsidRPr="00295637">
        <w:rPr>
          <w:rFonts w:ascii="Times New Roman" w:hAnsi="Times New Roman"/>
          <w:szCs w:val="24"/>
          <w:lang w:val="bs-Latn-BA"/>
        </w:rPr>
        <w:t xml:space="preserve"> </w:t>
      </w:r>
      <w:r>
        <w:rPr>
          <w:rFonts w:ascii="Times New Roman" w:hAnsi="Times New Roman"/>
          <w:szCs w:val="24"/>
          <w:lang w:val="bs-Latn-BA"/>
        </w:rPr>
        <w:t>које</w:t>
      </w:r>
      <w:r w:rsidR="001E36E2" w:rsidRPr="00295637">
        <w:rPr>
          <w:rFonts w:ascii="Times New Roman" w:hAnsi="Times New Roman"/>
          <w:szCs w:val="24"/>
          <w:lang w:val="bs-Latn-BA"/>
        </w:rPr>
        <w:t xml:space="preserve"> </w:t>
      </w:r>
      <w:r>
        <w:rPr>
          <w:rFonts w:ascii="Times New Roman" w:hAnsi="Times New Roman"/>
          <w:szCs w:val="24"/>
          <w:lang w:val="bs-Latn-BA"/>
        </w:rPr>
        <w:t>доприносе</w:t>
      </w:r>
      <w:r w:rsidR="001E36E2" w:rsidRPr="00295637">
        <w:rPr>
          <w:rFonts w:ascii="Times New Roman" w:hAnsi="Times New Roman"/>
          <w:szCs w:val="24"/>
          <w:lang w:val="bs-Latn-BA"/>
        </w:rPr>
        <w:t xml:space="preserve"> </w:t>
      </w:r>
      <w:r>
        <w:rPr>
          <w:rFonts w:ascii="Times New Roman" w:hAnsi="Times New Roman"/>
          <w:szCs w:val="24"/>
          <w:lang w:val="bs-Latn-BA"/>
        </w:rPr>
        <w:t>постизању</w:t>
      </w:r>
      <w:r w:rsidR="001E36E2" w:rsidRPr="00295637">
        <w:rPr>
          <w:rFonts w:ascii="Times New Roman" w:hAnsi="Times New Roman"/>
          <w:szCs w:val="24"/>
          <w:lang w:val="bs-Latn-BA"/>
        </w:rPr>
        <w:t xml:space="preserve"> </w:t>
      </w:r>
      <w:r>
        <w:rPr>
          <w:rFonts w:ascii="Times New Roman" w:hAnsi="Times New Roman"/>
          <w:szCs w:val="24"/>
          <w:lang w:val="bs-Latn-BA"/>
        </w:rPr>
        <w:t>законских</w:t>
      </w:r>
      <w:r w:rsidR="001E36E2" w:rsidRPr="00295637">
        <w:rPr>
          <w:rFonts w:ascii="Times New Roman" w:hAnsi="Times New Roman"/>
          <w:szCs w:val="24"/>
          <w:lang w:val="bs-Latn-BA"/>
        </w:rPr>
        <w:t xml:space="preserve">, </w:t>
      </w:r>
      <w:r>
        <w:rPr>
          <w:rFonts w:ascii="Times New Roman" w:hAnsi="Times New Roman"/>
          <w:szCs w:val="24"/>
          <w:lang w:val="bs-Latn-BA"/>
        </w:rPr>
        <w:t>институционалних</w:t>
      </w:r>
      <w:r w:rsidR="001E36E2" w:rsidRPr="00295637">
        <w:rPr>
          <w:rFonts w:ascii="Times New Roman" w:hAnsi="Times New Roman"/>
          <w:szCs w:val="24"/>
          <w:lang w:val="bs-Latn-BA"/>
        </w:rPr>
        <w:t xml:space="preserve"> </w:t>
      </w:r>
      <w:r>
        <w:rPr>
          <w:rFonts w:ascii="Times New Roman" w:hAnsi="Times New Roman"/>
          <w:szCs w:val="24"/>
          <w:lang w:val="bs-Latn-BA"/>
        </w:rPr>
        <w:t>и</w:t>
      </w:r>
      <w:r w:rsidR="001E36E2" w:rsidRPr="00295637">
        <w:rPr>
          <w:rFonts w:ascii="Times New Roman" w:hAnsi="Times New Roman"/>
          <w:szCs w:val="24"/>
          <w:lang w:val="bs-Latn-BA"/>
        </w:rPr>
        <w:t xml:space="preserve"> </w:t>
      </w:r>
      <w:r>
        <w:rPr>
          <w:rFonts w:ascii="Times New Roman" w:hAnsi="Times New Roman"/>
          <w:szCs w:val="24"/>
          <w:lang w:val="bs-Latn-BA"/>
        </w:rPr>
        <w:t>друштвених</w:t>
      </w:r>
      <w:r w:rsidR="001E36E2" w:rsidRPr="00295637">
        <w:rPr>
          <w:rFonts w:ascii="Times New Roman" w:hAnsi="Times New Roman"/>
          <w:szCs w:val="24"/>
          <w:lang w:val="bs-Latn-BA"/>
        </w:rPr>
        <w:t xml:space="preserve"> </w:t>
      </w:r>
      <w:r>
        <w:rPr>
          <w:rFonts w:ascii="Times New Roman" w:hAnsi="Times New Roman"/>
          <w:szCs w:val="24"/>
          <w:lang w:val="bs-Latn-BA"/>
        </w:rPr>
        <w:t>предуслова</w:t>
      </w:r>
      <w:r w:rsidR="001E36E2" w:rsidRPr="00295637">
        <w:rPr>
          <w:rFonts w:ascii="Times New Roman" w:hAnsi="Times New Roman"/>
          <w:szCs w:val="24"/>
          <w:lang w:val="bs-Latn-BA"/>
        </w:rPr>
        <w:t xml:space="preserve"> </w:t>
      </w:r>
      <w:r>
        <w:rPr>
          <w:rFonts w:ascii="Times New Roman" w:hAnsi="Times New Roman"/>
          <w:szCs w:val="24"/>
          <w:lang w:val="bs-Latn-BA"/>
        </w:rPr>
        <w:t>за</w:t>
      </w:r>
      <w:r w:rsidR="001E36E2" w:rsidRPr="00295637">
        <w:rPr>
          <w:rFonts w:ascii="Times New Roman" w:hAnsi="Times New Roman"/>
          <w:szCs w:val="24"/>
          <w:lang w:val="bs-Latn-BA"/>
        </w:rPr>
        <w:t xml:space="preserve"> </w:t>
      </w:r>
      <w:r>
        <w:rPr>
          <w:rFonts w:ascii="Times New Roman" w:hAnsi="Times New Roman"/>
          <w:szCs w:val="24"/>
          <w:lang w:val="bs-Latn-BA"/>
        </w:rPr>
        <w:t>већу</w:t>
      </w:r>
      <w:r w:rsidR="00831EA5">
        <w:rPr>
          <w:rFonts w:ascii="Times New Roman" w:hAnsi="Times New Roman"/>
          <w:szCs w:val="24"/>
          <w:lang w:val="bs-Latn-BA"/>
        </w:rPr>
        <w:t xml:space="preserve"> </w:t>
      </w:r>
      <w:r>
        <w:rPr>
          <w:rFonts w:ascii="Times New Roman" w:hAnsi="Times New Roman"/>
          <w:szCs w:val="24"/>
          <w:lang w:val="bs-Latn-BA"/>
        </w:rPr>
        <w:t>равноправност</w:t>
      </w:r>
      <w:r w:rsidR="00831EA5">
        <w:rPr>
          <w:rFonts w:ascii="Times New Roman" w:hAnsi="Times New Roman"/>
          <w:szCs w:val="24"/>
          <w:lang w:val="bs-Latn-BA"/>
        </w:rPr>
        <w:t xml:space="preserve"> </w:t>
      </w:r>
      <w:r>
        <w:rPr>
          <w:rFonts w:ascii="Times New Roman" w:hAnsi="Times New Roman"/>
          <w:szCs w:val="24"/>
          <w:lang w:val="bs-Latn-BA"/>
        </w:rPr>
        <w:t>полова</w:t>
      </w:r>
      <w:r w:rsidR="00831EA5">
        <w:rPr>
          <w:rFonts w:ascii="Times New Roman" w:hAnsi="Times New Roman"/>
          <w:szCs w:val="24"/>
          <w:lang w:val="bs-Latn-BA"/>
        </w:rPr>
        <w:t xml:space="preserve"> </w:t>
      </w:r>
      <w:r>
        <w:rPr>
          <w:rFonts w:ascii="Times New Roman" w:hAnsi="Times New Roman"/>
          <w:szCs w:val="24"/>
          <w:lang w:val="bs-Latn-BA"/>
        </w:rPr>
        <w:t>у</w:t>
      </w:r>
      <w:r w:rsidR="00831EA5">
        <w:rPr>
          <w:rFonts w:ascii="Times New Roman" w:hAnsi="Times New Roman"/>
          <w:szCs w:val="24"/>
          <w:lang w:val="bs-Latn-BA"/>
        </w:rPr>
        <w:t xml:space="preserve"> </w:t>
      </w:r>
      <w:r>
        <w:rPr>
          <w:rFonts w:ascii="Times New Roman" w:hAnsi="Times New Roman"/>
          <w:szCs w:val="24"/>
          <w:lang w:val="bs-Latn-BA"/>
        </w:rPr>
        <w:t>ФБиХ</w:t>
      </w:r>
      <w:r w:rsidR="001E36E2" w:rsidRPr="00295637">
        <w:rPr>
          <w:rFonts w:ascii="Times New Roman" w:hAnsi="Times New Roman"/>
          <w:szCs w:val="24"/>
          <w:lang w:val="bs-Latn-BA"/>
        </w:rPr>
        <w:t>.</w:t>
      </w:r>
      <w:r w:rsidR="00DC5195" w:rsidRPr="00295637">
        <w:rPr>
          <w:rFonts w:ascii="Times New Roman" w:hAnsi="Times New Roman"/>
          <w:szCs w:val="24"/>
          <w:lang w:val="bs-Latn-BA"/>
        </w:rPr>
        <w:t xml:space="preserve"> </w:t>
      </w:r>
      <w:r>
        <w:rPr>
          <w:rFonts w:ascii="Times New Roman" w:hAnsi="Times New Roman"/>
          <w:lang w:val="en-GB"/>
        </w:rPr>
        <w:t>ГЦ</w:t>
      </w:r>
      <w:r w:rsidR="00831EA5">
        <w:rPr>
          <w:rFonts w:ascii="Times New Roman" w:hAnsi="Times New Roman"/>
          <w:lang w:val="en-GB"/>
        </w:rPr>
        <w:t xml:space="preserve"> </w:t>
      </w:r>
      <w:r>
        <w:rPr>
          <w:rFonts w:ascii="Times New Roman" w:hAnsi="Times New Roman"/>
          <w:lang w:val="en-GB"/>
        </w:rPr>
        <w:t>ФБиХ</w:t>
      </w:r>
      <w:r w:rsidR="00DC5195" w:rsidRPr="00295637">
        <w:rPr>
          <w:rFonts w:ascii="Times New Roman" w:hAnsi="Times New Roman"/>
          <w:lang w:val="en-GB"/>
        </w:rPr>
        <w:t xml:space="preserve"> </w:t>
      </w:r>
      <w:r w:rsidR="006318F4">
        <w:rPr>
          <w:rFonts w:ascii="Times New Roman" w:hAnsi="Times New Roman"/>
          <w:lang w:val="en-GB"/>
        </w:rPr>
        <w:t xml:space="preserve">је </w:t>
      </w:r>
      <w:r>
        <w:rPr>
          <w:rFonts w:ascii="Times New Roman" w:hAnsi="Times New Roman"/>
          <w:lang w:val="en-GB"/>
        </w:rPr>
        <w:t>координи</w:t>
      </w:r>
      <w:r w:rsidR="006318F4">
        <w:rPr>
          <w:rFonts w:ascii="Times New Roman" w:hAnsi="Times New Roman"/>
          <w:lang w:val="sr-Cyrl-BA"/>
        </w:rPr>
        <w:t>с</w:t>
      </w:r>
      <w:r>
        <w:rPr>
          <w:rFonts w:ascii="Times New Roman" w:hAnsi="Times New Roman"/>
          <w:lang w:val="en-GB"/>
        </w:rPr>
        <w:t>ао</w:t>
      </w:r>
      <w:r w:rsidR="00831EA5">
        <w:rPr>
          <w:rFonts w:ascii="Times New Roman" w:hAnsi="Times New Roman"/>
          <w:lang w:val="en-GB"/>
        </w:rPr>
        <w:t xml:space="preserve"> </w:t>
      </w:r>
      <w:r>
        <w:rPr>
          <w:rFonts w:ascii="Times New Roman" w:hAnsi="Times New Roman"/>
          <w:lang w:val="en-GB"/>
        </w:rPr>
        <w:t>и</w:t>
      </w:r>
      <w:r w:rsidR="00DC5195" w:rsidRPr="00295637">
        <w:rPr>
          <w:rFonts w:ascii="Times New Roman" w:hAnsi="Times New Roman"/>
          <w:lang w:val="en-GB"/>
        </w:rPr>
        <w:t xml:space="preserve"> </w:t>
      </w:r>
      <w:r>
        <w:rPr>
          <w:rFonts w:ascii="Times New Roman" w:hAnsi="Times New Roman"/>
          <w:lang w:val="en-GB"/>
        </w:rPr>
        <w:t>то</w:t>
      </w:r>
      <w:r w:rsidR="00DC5195" w:rsidRPr="00295637">
        <w:rPr>
          <w:rFonts w:ascii="Times New Roman" w:hAnsi="Times New Roman"/>
          <w:lang w:val="en-GB"/>
        </w:rPr>
        <w:t xml:space="preserve"> </w:t>
      </w:r>
      <w:r>
        <w:rPr>
          <w:rFonts w:ascii="Times New Roman" w:hAnsi="Times New Roman"/>
          <w:lang w:val="en-GB"/>
        </w:rPr>
        <w:t>више</w:t>
      </w:r>
      <w:r w:rsidR="00DC5195" w:rsidRPr="00295637">
        <w:rPr>
          <w:rFonts w:ascii="Times New Roman" w:hAnsi="Times New Roman"/>
          <w:lang w:val="en-GB"/>
        </w:rPr>
        <w:t xml:space="preserve"> </w:t>
      </w:r>
      <w:r>
        <w:rPr>
          <w:rFonts w:ascii="Times New Roman" w:hAnsi="Times New Roman"/>
          <w:lang w:val="en-GB"/>
        </w:rPr>
        <w:t>од</w:t>
      </w:r>
      <w:r w:rsidR="00DC5195" w:rsidRPr="00295637">
        <w:rPr>
          <w:rFonts w:ascii="Times New Roman" w:hAnsi="Times New Roman"/>
          <w:lang w:val="en-GB"/>
        </w:rPr>
        <w:t xml:space="preserve"> 7 </w:t>
      </w:r>
      <w:r>
        <w:rPr>
          <w:rFonts w:ascii="Times New Roman" w:hAnsi="Times New Roman"/>
          <w:lang w:val="en-GB"/>
        </w:rPr>
        <w:t>извјештаја</w:t>
      </w:r>
      <w:r w:rsidR="006927B4" w:rsidRPr="00295637">
        <w:rPr>
          <w:rFonts w:ascii="Times New Roman" w:hAnsi="Times New Roman"/>
          <w:lang w:val="en-GB"/>
        </w:rPr>
        <w:t xml:space="preserve"> </w:t>
      </w:r>
      <w:r>
        <w:rPr>
          <w:rFonts w:ascii="Times New Roman" w:hAnsi="Times New Roman"/>
          <w:lang w:val="en-GB"/>
        </w:rPr>
        <w:t>и</w:t>
      </w:r>
      <w:r w:rsidR="006927B4" w:rsidRPr="00295637">
        <w:rPr>
          <w:rFonts w:ascii="Times New Roman" w:hAnsi="Times New Roman"/>
          <w:lang w:val="en-GB"/>
        </w:rPr>
        <w:t xml:space="preserve"> </w:t>
      </w:r>
      <w:r>
        <w:rPr>
          <w:rFonts w:ascii="Times New Roman" w:hAnsi="Times New Roman"/>
          <w:lang w:val="en-GB"/>
        </w:rPr>
        <w:t>израду</w:t>
      </w:r>
      <w:r w:rsidR="006927B4" w:rsidRPr="00295637">
        <w:rPr>
          <w:rFonts w:ascii="Times New Roman" w:hAnsi="Times New Roman"/>
          <w:lang w:val="en-GB"/>
        </w:rPr>
        <w:t xml:space="preserve"> </w:t>
      </w:r>
      <w:r>
        <w:rPr>
          <w:rFonts w:ascii="Times New Roman" w:hAnsi="Times New Roman"/>
          <w:lang w:val="en-GB"/>
        </w:rPr>
        <w:t>или</w:t>
      </w:r>
      <w:r w:rsidR="006927B4" w:rsidRPr="00295637">
        <w:rPr>
          <w:rFonts w:ascii="Times New Roman" w:hAnsi="Times New Roman"/>
          <w:lang w:val="en-GB"/>
        </w:rPr>
        <w:t xml:space="preserve"> </w:t>
      </w:r>
      <w:r>
        <w:rPr>
          <w:rFonts w:ascii="Times New Roman" w:hAnsi="Times New Roman"/>
          <w:lang w:val="en-GB"/>
        </w:rPr>
        <w:t>усвајање</w:t>
      </w:r>
      <w:r w:rsidR="006927B4" w:rsidRPr="00295637">
        <w:rPr>
          <w:rFonts w:ascii="Times New Roman" w:hAnsi="Times New Roman"/>
          <w:lang w:val="en-GB"/>
        </w:rPr>
        <w:t> </w:t>
      </w:r>
      <w:r>
        <w:rPr>
          <w:rFonts w:ascii="Times New Roman" w:hAnsi="Times New Roman"/>
          <w:lang w:val="en-GB"/>
        </w:rPr>
        <w:t>стратешких</w:t>
      </w:r>
      <w:r w:rsidR="00DC5195" w:rsidRPr="00295637">
        <w:rPr>
          <w:rFonts w:ascii="Times New Roman" w:hAnsi="Times New Roman"/>
          <w:lang w:val="en-GB"/>
        </w:rPr>
        <w:t xml:space="preserve"> </w:t>
      </w:r>
      <w:r>
        <w:rPr>
          <w:rFonts w:ascii="Times New Roman" w:hAnsi="Times New Roman"/>
          <w:lang w:val="en-GB"/>
        </w:rPr>
        <w:t>докумената</w:t>
      </w:r>
      <w:r w:rsidR="00DC5195" w:rsidRPr="00295637">
        <w:rPr>
          <w:rFonts w:ascii="Times New Roman" w:hAnsi="Times New Roman"/>
          <w:lang w:val="en-GB"/>
        </w:rPr>
        <w:t>:</w:t>
      </w:r>
      <w:r w:rsidR="00B400A2" w:rsidRPr="00295637">
        <w:rPr>
          <w:rFonts w:ascii="Times New Roman" w:hAnsi="Times New Roman"/>
          <w:szCs w:val="24"/>
          <w:lang w:val="bs-Latn-BA"/>
        </w:rPr>
        <w:t xml:space="preserve"> </w:t>
      </w:r>
      <w:r>
        <w:rPr>
          <w:rFonts w:ascii="Times New Roman" w:hAnsi="Times New Roman"/>
          <w:lang w:val="en-GB"/>
        </w:rPr>
        <w:t>Стратегију</w:t>
      </w:r>
      <w:r w:rsidR="00DC5195" w:rsidRPr="00295637">
        <w:rPr>
          <w:rFonts w:ascii="Times New Roman" w:hAnsi="Times New Roman"/>
          <w:lang w:val="en-GB"/>
        </w:rPr>
        <w:t xml:space="preserve"> </w:t>
      </w:r>
      <w:r>
        <w:rPr>
          <w:rFonts w:ascii="Times New Roman" w:hAnsi="Times New Roman"/>
          <w:lang w:val="en-GB"/>
        </w:rPr>
        <w:t>за</w:t>
      </w:r>
      <w:r w:rsidR="00DC5195" w:rsidRPr="00295637">
        <w:rPr>
          <w:rFonts w:ascii="Times New Roman" w:hAnsi="Times New Roman"/>
          <w:lang w:val="en-GB"/>
        </w:rPr>
        <w:t xml:space="preserve"> </w:t>
      </w:r>
      <w:r>
        <w:rPr>
          <w:rFonts w:ascii="Times New Roman" w:hAnsi="Times New Roman"/>
          <w:lang w:val="en-GB"/>
        </w:rPr>
        <w:t>превенцију</w:t>
      </w:r>
      <w:r w:rsidR="00DC5195" w:rsidRPr="00295637">
        <w:rPr>
          <w:rFonts w:ascii="Times New Roman" w:hAnsi="Times New Roman"/>
          <w:lang w:val="en-GB"/>
        </w:rPr>
        <w:t xml:space="preserve"> </w:t>
      </w:r>
      <w:r>
        <w:rPr>
          <w:rFonts w:ascii="Times New Roman" w:hAnsi="Times New Roman"/>
          <w:lang w:val="en-GB"/>
        </w:rPr>
        <w:t>и</w:t>
      </w:r>
      <w:r w:rsidR="00DC5195" w:rsidRPr="00295637">
        <w:rPr>
          <w:rFonts w:ascii="Times New Roman" w:hAnsi="Times New Roman"/>
          <w:lang w:val="en-GB"/>
        </w:rPr>
        <w:t xml:space="preserve"> </w:t>
      </w:r>
      <w:r>
        <w:rPr>
          <w:rFonts w:ascii="Times New Roman" w:hAnsi="Times New Roman"/>
          <w:lang w:val="en-GB"/>
        </w:rPr>
        <w:t>борбу</w:t>
      </w:r>
      <w:r w:rsidR="00DC5195" w:rsidRPr="00295637">
        <w:rPr>
          <w:rFonts w:ascii="Times New Roman" w:hAnsi="Times New Roman"/>
          <w:lang w:val="en-GB"/>
        </w:rPr>
        <w:t xml:space="preserve"> </w:t>
      </w:r>
      <w:r>
        <w:rPr>
          <w:rFonts w:ascii="Times New Roman" w:hAnsi="Times New Roman"/>
          <w:lang w:val="en-GB"/>
        </w:rPr>
        <w:t>против</w:t>
      </w:r>
      <w:r w:rsidR="00DC5195" w:rsidRPr="00295637">
        <w:rPr>
          <w:rFonts w:ascii="Times New Roman" w:hAnsi="Times New Roman"/>
          <w:lang w:val="en-GB"/>
        </w:rPr>
        <w:t xml:space="preserve"> </w:t>
      </w:r>
      <w:r>
        <w:rPr>
          <w:rFonts w:ascii="Times New Roman" w:hAnsi="Times New Roman"/>
          <w:lang w:val="en-GB"/>
        </w:rPr>
        <w:t>насиља</w:t>
      </w:r>
      <w:r w:rsidR="00DC5195" w:rsidRPr="00295637">
        <w:rPr>
          <w:rFonts w:ascii="Times New Roman" w:hAnsi="Times New Roman"/>
          <w:lang w:val="en-GB"/>
        </w:rPr>
        <w:t xml:space="preserve"> </w:t>
      </w:r>
      <w:r>
        <w:rPr>
          <w:rFonts w:ascii="Times New Roman" w:hAnsi="Times New Roman"/>
          <w:lang w:val="en-GB"/>
        </w:rPr>
        <w:t>у</w:t>
      </w:r>
      <w:r w:rsidR="00DC5195" w:rsidRPr="00295637">
        <w:rPr>
          <w:rFonts w:ascii="Times New Roman" w:hAnsi="Times New Roman"/>
          <w:lang w:val="en-GB"/>
        </w:rPr>
        <w:t xml:space="preserve"> </w:t>
      </w:r>
      <w:r>
        <w:rPr>
          <w:rFonts w:ascii="Times New Roman" w:hAnsi="Times New Roman"/>
          <w:lang w:val="en-GB"/>
        </w:rPr>
        <w:t>породици</w:t>
      </w:r>
      <w:r w:rsidR="00DC5195" w:rsidRPr="00295637">
        <w:rPr>
          <w:rFonts w:ascii="Times New Roman" w:hAnsi="Times New Roman"/>
          <w:lang w:val="en-GB"/>
        </w:rPr>
        <w:t xml:space="preserve"> </w:t>
      </w:r>
      <w:r>
        <w:rPr>
          <w:rFonts w:ascii="Times New Roman" w:hAnsi="Times New Roman"/>
          <w:lang w:val="en-GB"/>
        </w:rPr>
        <w:t>у</w:t>
      </w:r>
      <w:r w:rsidR="00DC5195" w:rsidRPr="00295637">
        <w:rPr>
          <w:rFonts w:ascii="Times New Roman" w:hAnsi="Times New Roman"/>
          <w:lang w:val="en-GB"/>
        </w:rPr>
        <w:t xml:space="preserve"> </w:t>
      </w:r>
      <w:r>
        <w:rPr>
          <w:rFonts w:ascii="Times New Roman" w:hAnsi="Times New Roman"/>
          <w:lang w:val="en-GB"/>
        </w:rPr>
        <w:t>ФБиХ</w:t>
      </w:r>
      <w:r w:rsidR="00DC5195" w:rsidRPr="00295637">
        <w:rPr>
          <w:rFonts w:ascii="Times New Roman" w:hAnsi="Times New Roman"/>
          <w:lang w:val="en-GB"/>
        </w:rPr>
        <w:t xml:space="preserve"> 2024-2027</w:t>
      </w:r>
      <w:r w:rsidR="00831EA5">
        <w:rPr>
          <w:rFonts w:ascii="Times New Roman" w:hAnsi="Times New Roman"/>
          <w:lang w:val="en-GB"/>
        </w:rPr>
        <w:t xml:space="preserve">. </w:t>
      </w:r>
      <w:r>
        <w:rPr>
          <w:rFonts w:ascii="Times New Roman" w:hAnsi="Times New Roman"/>
          <w:lang w:val="en-GB"/>
        </w:rPr>
        <w:t>година</w:t>
      </w:r>
      <w:r w:rsidR="00DC5195" w:rsidRPr="00295637">
        <w:rPr>
          <w:rFonts w:ascii="Times New Roman" w:hAnsi="Times New Roman"/>
          <w:lang w:val="en-GB"/>
        </w:rPr>
        <w:t>;</w:t>
      </w:r>
      <w:r w:rsidR="00B400A2" w:rsidRPr="00295637">
        <w:rPr>
          <w:rFonts w:ascii="Times New Roman" w:hAnsi="Times New Roman"/>
          <w:szCs w:val="24"/>
          <w:lang w:val="bs-Latn-BA"/>
        </w:rPr>
        <w:t xml:space="preserve"> </w:t>
      </w:r>
      <w:r>
        <w:rPr>
          <w:rFonts w:ascii="Times New Roman" w:hAnsi="Times New Roman"/>
          <w:lang w:val="en-GB"/>
        </w:rPr>
        <w:t>седам</w:t>
      </w:r>
      <w:r w:rsidR="00DC5195" w:rsidRPr="00295637">
        <w:rPr>
          <w:rFonts w:ascii="Times New Roman" w:hAnsi="Times New Roman"/>
          <w:lang w:val="en-GB"/>
        </w:rPr>
        <w:t xml:space="preserve"> </w:t>
      </w:r>
      <w:r>
        <w:rPr>
          <w:rFonts w:ascii="Times New Roman" w:hAnsi="Times New Roman"/>
          <w:lang w:val="en-GB"/>
        </w:rPr>
        <w:t>кантоналних</w:t>
      </w:r>
      <w:r w:rsidR="00DC5195" w:rsidRPr="00295637">
        <w:rPr>
          <w:rFonts w:ascii="Times New Roman" w:hAnsi="Times New Roman"/>
          <w:lang w:val="en-GB"/>
        </w:rPr>
        <w:t xml:space="preserve"> </w:t>
      </w:r>
      <w:r>
        <w:rPr>
          <w:rFonts w:ascii="Times New Roman" w:hAnsi="Times New Roman"/>
          <w:lang w:val="en-GB"/>
        </w:rPr>
        <w:t>ГАП</w:t>
      </w:r>
      <w:r w:rsidR="00831EA5">
        <w:rPr>
          <w:rFonts w:ascii="Times New Roman" w:hAnsi="Times New Roman"/>
          <w:lang w:val="en-GB"/>
        </w:rPr>
        <w:t>-</w:t>
      </w:r>
      <w:r>
        <w:rPr>
          <w:rFonts w:ascii="Times New Roman" w:hAnsi="Times New Roman"/>
          <w:lang w:val="en-GB"/>
        </w:rPr>
        <w:t>ова</w:t>
      </w:r>
      <w:r w:rsidR="00DC5195" w:rsidRPr="00295637">
        <w:rPr>
          <w:rFonts w:ascii="Times New Roman" w:hAnsi="Times New Roman"/>
          <w:lang w:val="en-GB"/>
        </w:rPr>
        <w:t xml:space="preserve"> (</w:t>
      </w:r>
      <w:r>
        <w:rPr>
          <w:rFonts w:ascii="Times New Roman" w:hAnsi="Times New Roman"/>
          <w:lang w:val="en-GB"/>
        </w:rPr>
        <w:t>УСК</w:t>
      </w:r>
      <w:r w:rsidR="00DC5195" w:rsidRPr="00295637">
        <w:rPr>
          <w:rFonts w:ascii="Times New Roman" w:hAnsi="Times New Roman"/>
          <w:lang w:val="en-GB"/>
        </w:rPr>
        <w:t xml:space="preserve">, </w:t>
      </w:r>
      <w:r>
        <w:rPr>
          <w:rFonts w:ascii="Times New Roman" w:hAnsi="Times New Roman"/>
          <w:lang w:val="en-GB"/>
        </w:rPr>
        <w:t>ПК</w:t>
      </w:r>
      <w:r w:rsidR="00DC5195" w:rsidRPr="00295637">
        <w:rPr>
          <w:rFonts w:ascii="Times New Roman" w:hAnsi="Times New Roman"/>
          <w:lang w:val="en-GB"/>
        </w:rPr>
        <w:t xml:space="preserve">, </w:t>
      </w:r>
      <w:r>
        <w:rPr>
          <w:rFonts w:ascii="Times New Roman" w:hAnsi="Times New Roman"/>
          <w:lang w:val="en-GB"/>
        </w:rPr>
        <w:t>ТК</w:t>
      </w:r>
      <w:r w:rsidR="00DC5195" w:rsidRPr="00295637">
        <w:rPr>
          <w:rFonts w:ascii="Times New Roman" w:hAnsi="Times New Roman"/>
          <w:lang w:val="en-GB"/>
        </w:rPr>
        <w:t xml:space="preserve">, </w:t>
      </w:r>
      <w:r>
        <w:rPr>
          <w:rFonts w:ascii="Times New Roman" w:hAnsi="Times New Roman"/>
          <w:lang w:val="en-GB"/>
        </w:rPr>
        <w:t>ЗДК</w:t>
      </w:r>
      <w:r w:rsidR="00DC5195" w:rsidRPr="00295637">
        <w:rPr>
          <w:rFonts w:ascii="Times New Roman" w:hAnsi="Times New Roman"/>
          <w:lang w:val="en-GB"/>
        </w:rPr>
        <w:t xml:space="preserve">, </w:t>
      </w:r>
      <w:r>
        <w:rPr>
          <w:rFonts w:ascii="Times New Roman" w:hAnsi="Times New Roman"/>
          <w:lang w:val="en-GB"/>
        </w:rPr>
        <w:t>БПК</w:t>
      </w:r>
      <w:r w:rsidR="00DC5195" w:rsidRPr="00295637">
        <w:rPr>
          <w:rFonts w:ascii="Times New Roman" w:hAnsi="Times New Roman"/>
          <w:lang w:val="en-GB"/>
        </w:rPr>
        <w:t xml:space="preserve">, </w:t>
      </w:r>
      <w:r>
        <w:rPr>
          <w:rFonts w:ascii="Times New Roman" w:hAnsi="Times New Roman"/>
          <w:lang w:val="en-GB"/>
        </w:rPr>
        <w:t>СБК</w:t>
      </w:r>
      <w:r w:rsidR="00DC5195" w:rsidRPr="00295637">
        <w:rPr>
          <w:rFonts w:ascii="Times New Roman" w:hAnsi="Times New Roman"/>
          <w:lang w:val="en-GB"/>
        </w:rPr>
        <w:t xml:space="preserve">, </w:t>
      </w:r>
      <w:r>
        <w:rPr>
          <w:rFonts w:ascii="Times New Roman" w:hAnsi="Times New Roman"/>
          <w:lang w:val="en-GB"/>
        </w:rPr>
        <w:t>КС</w:t>
      </w:r>
      <w:r w:rsidR="00DC5195" w:rsidRPr="00295637">
        <w:rPr>
          <w:rFonts w:ascii="Times New Roman" w:hAnsi="Times New Roman"/>
          <w:lang w:val="en-GB"/>
        </w:rPr>
        <w:t>);</w:t>
      </w:r>
      <w:r w:rsidR="00B400A2" w:rsidRPr="00295637">
        <w:rPr>
          <w:rFonts w:ascii="Times New Roman" w:hAnsi="Times New Roman"/>
          <w:szCs w:val="24"/>
          <w:lang w:val="bs-Latn-BA"/>
        </w:rPr>
        <w:t xml:space="preserve"> </w:t>
      </w:r>
      <w:r>
        <w:rPr>
          <w:rFonts w:ascii="Times New Roman" w:hAnsi="Times New Roman"/>
          <w:lang w:val="en-GB"/>
        </w:rPr>
        <w:t>донесен</w:t>
      </w:r>
      <w:r w:rsidR="006927B4" w:rsidRPr="00295637">
        <w:rPr>
          <w:rFonts w:ascii="Times New Roman" w:hAnsi="Times New Roman"/>
          <w:lang w:val="en-GB"/>
        </w:rPr>
        <w:t xml:space="preserve"> </w:t>
      </w:r>
      <w:r>
        <w:rPr>
          <w:rFonts w:ascii="Times New Roman" w:hAnsi="Times New Roman"/>
          <w:lang w:val="en-GB"/>
        </w:rPr>
        <w:t>ЛГАП</w:t>
      </w:r>
      <w:r w:rsidR="006927B4" w:rsidRPr="00295637">
        <w:rPr>
          <w:rFonts w:ascii="Times New Roman" w:hAnsi="Times New Roman"/>
          <w:lang w:val="en-GB"/>
        </w:rPr>
        <w:t xml:space="preserve"> </w:t>
      </w:r>
      <w:r>
        <w:rPr>
          <w:rFonts w:ascii="Times New Roman" w:hAnsi="Times New Roman"/>
          <w:lang w:val="en-GB"/>
        </w:rPr>
        <w:t>у</w:t>
      </w:r>
      <w:r w:rsidR="006927B4" w:rsidRPr="00295637">
        <w:rPr>
          <w:rFonts w:ascii="Times New Roman" w:hAnsi="Times New Roman"/>
          <w:lang w:val="en-GB"/>
        </w:rPr>
        <w:t xml:space="preserve"> </w:t>
      </w:r>
      <w:r>
        <w:rPr>
          <w:rFonts w:ascii="Times New Roman" w:hAnsi="Times New Roman"/>
          <w:lang w:val="en-GB"/>
        </w:rPr>
        <w:t>осам</w:t>
      </w:r>
      <w:r w:rsidR="006927B4" w:rsidRPr="00295637">
        <w:rPr>
          <w:rFonts w:ascii="Times New Roman" w:hAnsi="Times New Roman"/>
          <w:lang w:val="en-GB"/>
        </w:rPr>
        <w:t xml:space="preserve"> </w:t>
      </w:r>
      <w:r>
        <w:rPr>
          <w:rFonts w:ascii="Times New Roman" w:hAnsi="Times New Roman"/>
          <w:lang w:val="en-GB"/>
        </w:rPr>
        <w:t>јединица</w:t>
      </w:r>
      <w:r w:rsidR="00B400A2" w:rsidRPr="00295637">
        <w:rPr>
          <w:rFonts w:ascii="Times New Roman" w:hAnsi="Times New Roman"/>
          <w:lang w:val="en-GB"/>
        </w:rPr>
        <w:t xml:space="preserve"> </w:t>
      </w:r>
      <w:r>
        <w:rPr>
          <w:rFonts w:ascii="Times New Roman" w:hAnsi="Times New Roman"/>
          <w:lang w:val="en-GB"/>
        </w:rPr>
        <w:t>локалне</w:t>
      </w:r>
      <w:r w:rsidR="00B400A2" w:rsidRPr="00295637">
        <w:rPr>
          <w:rFonts w:ascii="Times New Roman" w:hAnsi="Times New Roman"/>
          <w:lang w:val="en-GB"/>
        </w:rPr>
        <w:t xml:space="preserve"> </w:t>
      </w:r>
      <w:r>
        <w:rPr>
          <w:rFonts w:ascii="Times New Roman" w:hAnsi="Times New Roman"/>
          <w:lang w:val="en-GB"/>
        </w:rPr>
        <w:t>самоуправе</w:t>
      </w:r>
      <w:r w:rsidR="00B400A2" w:rsidRPr="00295637">
        <w:rPr>
          <w:rFonts w:ascii="Times New Roman" w:hAnsi="Times New Roman"/>
          <w:lang w:val="en-GB"/>
        </w:rPr>
        <w:t xml:space="preserve"> </w:t>
      </w:r>
      <w:r>
        <w:rPr>
          <w:rFonts w:ascii="Times New Roman" w:hAnsi="Times New Roman"/>
          <w:lang w:val="en-GB"/>
        </w:rPr>
        <w:t>у</w:t>
      </w:r>
      <w:r w:rsidR="00B400A2" w:rsidRPr="00295637">
        <w:rPr>
          <w:rFonts w:ascii="Times New Roman" w:hAnsi="Times New Roman"/>
          <w:lang w:val="en-GB"/>
        </w:rPr>
        <w:t xml:space="preserve"> </w:t>
      </w:r>
      <w:r>
        <w:rPr>
          <w:rFonts w:ascii="Times New Roman" w:hAnsi="Times New Roman"/>
          <w:lang w:val="en-GB"/>
        </w:rPr>
        <w:t>ФБИХ</w:t>
      </w:r>
      <w:r w:rsidR="00B400A2" w:rsidRPr="00295637">
        <w:rPr>
          <w:rFonts w:ascii="Times New Roman" w:hAnsi="Times New Roman"/>
          <w:lang w:val="en-GB"/>
        </w:rPr>
        <w:t xml:space="preserve">, </w:t>
      </w:r>
      <w:r>
        <w:rPr>
          <w:rFonts w:ascii="Times New Roman" w:hAnsi="Times New Roman"/>
          <w:lang w:val="en-GB"/>
        </w:rPr>
        <w:t>те</w:t>
      </w:r>
      <w:r w:rsidR="00B400A2" w:rsidRPr="00295637">
        <w:rPr>
          <w:rFonts w:ascii="Times New Roman" w:hAnsi="Times New Roman"/>
          <w:lang w:val="en-GB"/>
        </w:rPr>
        <w:t xml:space="preserve"> </w:t>
      </w:r>
      <w:r>
        <w:rPr>
          <w:rFonts w:ascii="Times New Roman" w:hAnsi="Times New Roman"/>
          <w:lang w:val="en-GB"/>
        </w:rPr>
        <w:t>Извјештај</w:t>
      </w:r>
      <w:r w:rsidR="00DC5195" w:rsidRPr="00295637">
        <w:rPr>
          <w:rFonts w:ascii="Times New Roman" w:hAnsi="Times New Roman"/>
          <w:lang w:val="en-GB"/>
        </w:rPr>
        <w:t xml:space="preserve"> </w:t>
      </w:r>
      <w:r>
        <w:rPr>
          <w:rFonts w:ascii="Times New Roman" w:hAnsi="Times New Roman"/>
          <w:lang w:val="en-GB"/>
        </w:rPr>
        <w:t>о</w:t>
      </w:r>
      <w:r w:rsidR="00DC5195" w:rsidRPr="00295637">
        <w:rPr>
          <w:rFonts w:ascii="Times New Roman" w:hAnsi="Times New Roman"/>
          <w:lang w:val="en-GB"/>
        </w:rPr>
        <w:t xml:space="preserve"> </w:t>
      </w:r>
      <w:r>
        <w:rPr>
          <w:rFonts w:ascii="Times New Roman" w:hAnsi="Times New Roman"/>
          <w:lang w:val="en-GB"/>
        </w:rPr>
        <w:t>процјени</w:t>
      </w:r>
      <w:r w:rsidR="00DC5195" w:rsidRPr="00295637">
        <w:rPr>
          <w:rFonts w:ascii="Times New Roman" w:hAnsi="Times New Roman"/>
          <w:lang w:val="en-GB"/>
        </w:rPr>
        <w:t xml:space="preserve"> </w:t>
      </w:r>
      <w:r>
        <w:rPr>
          <w:rFonts w:ascii="Times New Roman" w:hAnsi="Times New Roman"/>
          <w:lang w:val="en-GB"/>
        </w:rPr>
        <w:t>потреба</w:t>
      </w:r>
      <w:r w:rsidR="00DC5195" w:rsidRPr="00295637">
        <w:rPr>
          <w:rFonts w:ascii="Times New Roman" w:hAnsi="Times New Roman"/>
          <w:lang w:val="en-GB"/>
        </w:rPr>
        <w:t xml:space="preserve"> </w:t>
      </w:r>
      <w:r>
        <w:rPr>
          <w:rFonts w:ascii="Times New Roman" w:hAnsi="Times New Roman"/>
          <w:lang w:val="en-GB"/>
        </w:rPr>
        <w:t>за</w:t>
      </w:r>
      <w:r w:rsidR="00DC5195" w:rsidRPr="00295637">
        <w:rPr>
          <w:rFonts w:ascii="Times New Roman" w:hAnsi="Times New Roman"/>
          <w:lang w:val="en-GB"/>
        </w:rPr>
        <w:t xml:space="preserve"> </w:t>
      </w:r>
      <w:r>
        <w:rPr>
          <w:rFonts w:ascii="Times New Roman" w:hAnsi="Times New Roman"/>
          <w:lang w:val="en-GB"/>
        </w:rPr>
        <w:t>интегри</w:t>
      </w:r>
      <w:r w:rsidR="006318F4">
        <w:rPr>
          <w:rFonts w:ascii="Times New Roman" w:hAnsi="Times New Roman"/>
          <w:lang w:val="sr-Cyrl-BA"/>
        </w:rPr>
        <w:t>с</w:t>
      </w:r>
      <w:r>
        <w:rPr>
          <w:rFonts w:ascii="Times New Roman" w:hAnsi="Times New Roman"/>
          <w:lang w:val="en-GB"/>
        </w:rPr>
        <w:t>ање</w:t>
      </w:r>
      <w:r w:rsidR="00DC5195" w:rsidRPr="00295637">
        <w:rPr>
          <w:rFonts w:ascii="Times New Roman" w:hAnsi="Times New Roman"/>
          <w:lang w:val="en-GB"/>
        </w:rPr>
        <w:t xml:space="preserve"> </w:t>
      </w:r>
      <w:r>
        <w:rPr>
          <w:rFonts w:ascii="Times New Roman" w:hAnsi="Times New Roman"/>
          <w:lang w:val="en-GB"/>
        </w:rPr>
        <w:t>политика</w:t>
      </w:r>
      <w:r w:rsidR="00CA42E2" w:rsidRPr="00295637">
        <w:rPr>
          <w:rFonts w:ascii="Times New Roman" w:hAnsi="Times New Roman"/>
          <w:lang w:val="en-GB"/>
        </w:rPr>
        <w:t xml:space="preserve"> </w:t>
      </w:r>
      <w:r>
        <w:rPr>
          <w:rFonts w:ascii="Times New Roman" w:hAnsi="Times New Roman"/>
        </w:rPr>
        <w:t>равноправности</w:t>
      </w:r>
      <w:r w:rsidR="00CC105E" w:rsidRPr="00295637">
        <w:rPr>
          <w:rFonts w:ascii="Times New Roman" w:hAnsi="Times New Roman"/>
        </w:rPr>
        <w:t xml:space="preserve"> </w:t>
      </w:r>
      <w:r>
        <w:rPr>
          <w:rFonts w:ascii="Times New Roman" w:hAnsi="Times New Roman"/>
        </w:rPr>
        <w:t>полова</w:t>
      </w:r>
      <w:r w:rsidR="00CC105E" w:rsidRPr="00295637">
        <w:rPr>
          <w:rFonts w:ascii="Times New Roman" w:hAnsi="Times New Roman"/>
          <w:lang w:val="en-GB"/>
        </w:rPr>
        <w:t xml:space="preserve"> </w:t>
      </w:r>
      <w:r>
        <w:rPr>
          <w:rFonts w:ascii="Times New Roman" w:hAnsi="Times New Roman"/>
          <w:lang w:val="en-GB"/>
        </w:rPr>
        <w:t>у</w:t>
      </w:r>
      <w:r w:rsidR="00CA42E2" w:rsidRPr="00295637">
        <w:rPr>
          <w:rFonts w:ascii="Times New Roman" w:hAnsi="Times New Roman"/>
          <w:lang w:val="en-GB"/>
        </w:rPr>
        <w:t xml:space="preserve"> </w:t>
      </w:r>
      <w:r>
        <w:rPr>
          <w:rFonts w:ascii="Times New Roman" w:hAnsi="Times New Roman"/>
          <w:lang w:val="en-GB"/>
        </w:rPr>
        <w:t>осам</w:t>
      </w:r>
      <w:r w:rsidR="006927B4" w:rsidRPr="00295637">
        <w:rPr>
          <w:rFonts w:ascii="Times New Roman" w:hAnsi="Times New Roman"/>
          <w:lang w:val="en-GB"/>
        </w:rPr>
        <w:t xml:space="preserve"> </w:t>
      </w:r>
      <w:r>
        <w:rPr>
          <w:rFonts w:ascii="Times New Roman" w:hAnsi="Times New Roman"/>
          <w:lang w:val="en-GB"/>
        </w:rPr>
        <w:t>компанија</w:t>
      </w:r>
      <w:r w:rsidR="006927B4" w:rsidRPr="00295637">
        <w:rPr>
          <w:rFonts w:ascii="Times New Roman" w:hAnsi="Times New Roman"/>
          <w:lang w:val="en-GB"/>
        </w:rPr>
        <w:t>/</w:t>
      </w:r>
      <w:r>
        <w:rPr>
          <w:rFonts w:ascii="Times New Roman" w:hAnsi="Times New Roman"/>
          <w:lang w:val="en-GB"/>
        </w:rPr>
        <w:t>пословних</w:t>
      </w:r>
      <w:r w:rsidR="00DC5195" w:rsidRPr="00295637">
        <w:rPr>
          <w:rFonts w:ascii="Times New Roman" w:hAnsi="Times New Roman"/>
          <w:lang w:val="en-GB"/>
        </w:rPr>
        <w:t xml:space="preserve"> </w:t>
      </w:r>
      <w:r>
        <w:rPr>
          <w:rFonts w:ascii="Times New Roman" w:hAnsi="Times New Roman"/>
          <w:lang w:val="en-GB"/>
        </w:rPr>
        <w:t>субјеката</w:t>
      </w:r>
      <w:r w:rsidR="006927B4" w:rsidRPr="00295637">
        <w:rPr>
          <w:rFonts w:ascii="Times New Roman" w:hAnsi="Times New Roman"/>
          <w:lang w:val="en-GB"/>
        </w:rPr>
        <w:t xml:space="preserve"> </w:t>
      </w:r>
      <w:r>
        <w:rPr>
          <w:rFonts w:ascii="Times New Roman" w:hAnsi="Times New Roman"/>
          <w:lang w:val="en-GB"/>
        </w:rPr>
        <w:t>у</w:t>
      </w:r>
      <w:r w:rsidR="006927B4" w:rsidRPr="00295637">
        <w:rPr>
          <w:rFonts w:ascii="Times New Roman" w:hAnsi="Times New Roman"/>
          <w:lang w:val="en-GB"/>
        </w:rPr>
        <w:t xml:space="preserve"> </w:t>
      </w:r>
      <w:r>
        <w:rPr>
          <w:rFonts w:ascii="Times New Roman" w:hAnsi="Times New Roman"/>
          <w:lang w:val="en-GB"/>
        </w:rPr>
        <w:t>ФБиХ</w:t>
      </w:r>
      <w:r w:rsidR="006927B4" w:rsidRPr="00295637">
        <w:rPr>
          <w:rFonts w:ascii="Times New Roman" w:hAnsi="Times New Roman"/>
          <w:lang w:val="en-GB"/>
        </w:rPr>
        <w:t>.</w:t>
      </w:r>
      <w:r w:rsidR="00DC5195" w:rsidRPr="00295637">
        <w:rPr>
          <w:rFonts w:ascii="Times New Roman" w:hAnsi="Times New Roman"/>
          <w:lang w:val="en-GB"/>
        </w:rPr>
        <w:t xml:space="preserve"> </w:t>
      </w:r>
    </w:p>
    <w:p w:rsidR="00E61368" w:rsidRPr="00295637" w:rsidRDefault="00E61368" w:rsidP="0086268D">
      <w:pPr>
        <w:contextualSpacing/>
        <w:jc w:val="both"/>
        <w:rPr>
          <w:rFonts w:ascii="Times New Roman" w:hAnsi="Times New Roman"/>
          <w:szCs w:val="24"/>
          <w:lang w:val="bs-Latn-BA"/>
        </w:rPr>
      </w:pPr>
    </w:p>
    <w:p w:rsidR="003A2F08" w:rsidRPr="00295637" w:rsidRDefault="00C6214E" w:rsidP="0086268D">
      <w:pPr>
        <w:contextualSpacing/>
        <w:jc w:val="both"/>
        <w:rPr>
          <w:rFonts w:ascii="Times New Roman" w:hAnsi="Times New Roman"/>
          <w:szCs w:val="24"/>
          <w:lang w:val="bs-Latn-BA"/>
        </w:rPr>
      </w:pPr>
      <w:r>
        <w:rPr>
          <w:rFonts w:ascii="Times New Roman" w:hAnsi="Times New Roman"/>
          <w:szCs w:val="24"/>
          <w:lang w:val="bs-Latn-BA"/>
        </w:rPr>
        <w:t>ГЦ</w:t>
      </w:r>
      <w:r w:rsidR="0067225C" w:rsidRPr="00295637">
        <w:rPr>
          <w:rFonts w:ascii="Times New Roman" w:hAnsi="Times New Roman"/>
          <w:szCs w:val="24"/>
          <w:lang w:val="bs-Latn-BA"/>
        </w:rPr>
        <w:t xml:space="preserve"> </w:t>
      </w:r>
      <w:r>
        <w:rPr>
          <w:rFonts w:ascii="Times New Roman" w:hAnsi="Times New Roman"/>
          <w:szCs w:val="24"/>
          <w:lang w:val="bs-Latn-BA"/>
        </w:rPr>
        <w:t>ФБиХ</w:t>
      </w:r>
      <w:r w:rsidR="0067225C" w:rsidRPr="00295637">
        <w:rPr>
          <w:rFonts w:ascii="Times New Roman" w:hAnsi="Times New Roman"/>
          <w:szCs w:val="24"/>
          <w:lang w:val="bs-Latn-BA"/>
        </w:rPr>
        <w:t xml:space="preserve"> </w:t>
      </w:r>
      <w:r w:rsidR="006318F4">
        <w:rPr>
          <w:rFonts w:ascii="Times New Roman" w:hAnsi="Times New Roman"/>
          <w:szCs w:val="24"/>
          <w:lang w:val="bs-Latn-BA"/>
        </w:rPr>
        <w:t xml:space="preserve">је </w:t>
      </w:r>
      <w:r>
        <w:rPr>
          <w:rFonts w:ascii="Times New Roman" w:hAnsi="Times New Roman"/>
          <w:szCs w:val="24"/>
          <w:lang w:val="bs-Latn-BA"/>
        </w:rPr>
        <w:t>координи</w:t>
      </w:r>
      <w:r w:rsidR="006318F4">
        <w:rPr>
          <w:rFonts w:ascii="Times New Roman" w:hAnsi="Times New Roman"/>
          <w:szCs w:val="24"/>
          <w:lang w:val="sr-Cyrl-BA"/>
        </w:rPr>
        <w:t>с</w:t>
      </w:r>
      <w:r>
        <w:rPr>
          <w:rFonts w:ascii="Times New Roman" w:hAnsi="Times New Roman"/>
          <w:szCs w:val="24"/>
          <w:lang w:val="bs-Latn-BA"/>
        </w:rPr>
        <w:t>ао</w:t>
      </w:r>
      <w:r w:rsidR="0067225C" w:rsidRPr="00295637">
        <w:rPr>
          <w:rFonts w:ascii="Times New Roman" w:hAnsi="Times New Roman"/>
          <w:szCs w:val="24"/>
          <w:lang w:val="bs-Latn-BA"/>
        </w:rPr>
        <w:t xml:space="preserve"> </w:t>
      </w:r>
      <w:r>
        <w:rPr>
          <w:rFonts w:ascii="Times New Roman" w:hAnsi="Times New Roman"/>
          <w:szCs w:val="24"/>
          <w:lang w:val="bs-Latn-BA"/>
        </w:rPr>
        <w:t>израдом</w:t>
      </w:r>
      <w:r w:rsidR="003A2F08" w:rsidRPr="00295637">
        <w:rPr>
          <w:rFonts w:ascii="Times New Roman" w:hAnsi="Times New Roman"/>
          <w:szCs w:val="24"/>
          <w:lang w:val="bs-Latn-BA"/>
        </w:rPr>
        <w:t xml:space="preserve"> </w:t>
      </w:r>
      <w:r>
        <w:rPr>
          <w:rFonts w:ascii="Times New Roman" w:hAnsi="Times New Roman"/>
          <w:szCs w:val="24"/>
          <w:lang w:val="bs-Latn-BA"/>
        </w:rPr>
        <w:t>Оперативног</w:t>
      </w:r>
      <w:r w:rsidR="003A2F08" w:rsidRPr="00295637">
        <w:rPr>
          <w:rFonts w:ascii="Times New Roman" w:hAnsi="Times New Roman"/>
          <w:szCs w:val="24"/>
          <w:lang w:val="bs-Latn-BA"/>
        </w:rPr>
        <w:t xml:space="preserve"> </w:t>
      </w:r>
      <w:r>
        <w:rPr>
          <w:rFonts w:ascii="Times New Roman" w:hAnsi="Times New Roman"/>
          <w:szCs w:val="24"/>
          <w:lang w:val="bs-Latn-BA"/>
        </w:rPr>
        <w:t>плана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sidR="006318F4">
        <w:rPr>
          <w:rFonts w:ascii="Times New Roman" w:hAnsi="Times New Roman"/>
          <w:szCs w:val="24"/>
          <w:lang w:val="sr-Cyrl-BA"/>
        </w:rPr>
        <w:t>спровођење</w:t>
      </w:r>
      <w:r w:rsidR="003A2F08" w:rsidRPr="00295637">
        <w:rPr>
          <w:rFonts w:ascii="Times New Roman" w:hAnsi="Times New Roman"/>
          <w:szCs w:val="24"/>
          <w:lang w:val="bs-Latn-BA"/>
        </w:rPr>
        <w:t xml:space="preserve"> </w:t>
      </w:r>
      <w:r>
        <w:rPr>
          <w:rFonts w:ascii="Times New Roman" w:hAnsi="Times New Roman"/>
          <w:szCs w:val="24"/>
          <w:lang w:val="bs-Latn-BA"/>
        </w:rPr>
        <w:t>ГАП</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752231" w:rsidRPr="00295637">
        <w:rPr>
          <w:rFonts w:ascii="Times New Roman" w:hAnsi="Times New Roman"/>
          <w:szCs w:val="24"/>
          <w:lang w:val="bs-Latn-BA"/>
        </w:rPr>
        <w:t xml:space="preserve"> </w:t>
      </w:r>
      <w:r>
        <w:rPr>
          <w:rFonts w:ascii="Times New Roman" w:hAnsi="Times New Roman"/>
          <w:szCs w:val="24"/>
          <w:lang w:val="bs-Latn-BA"/>
        </w:rPr>
        <w:t>у</w:t>
      </w:r>
      <w:r w:rsidR="00752231" w:rsidRPr="00295637">
        <w:rPr>
          <w:rFonts w:ascii="Times New Roman" w:hAnsi="Times New Roman"/>
          <w:szCs w:val="24"/>
          <w:lang w:val="bs-Latn-BA"/>
        </w:rPr>
        <w:t xml:space="preserve"> </w:t>
      </w:r>
      <w:r>
        <w:rPr>
          <w:rFonts w:ascii="Times New Roman" w:hAnsi="Times New Roman"/>
          <w:szCs w:val="24"/>
          <w:lang w:val="bs-Latn-BA"/>
        </w:rPr>
        <w:t>ФБиХ</w:t>
      </w:r>
      <w:r w:rsidR="0067225C" w:rsidRPr="00295637">
        <w:rPr>
          <w:rFonts w:ascii="Times New Roman" w:hAnsi="Times New Roman"/>
          <w:szCs w:val="24"/>
          <w:lang w:val="bs-Latn-BA"/>
        </w:rPr>
        <w:t xml:space="preserve">. </w:t>
      </w:r>
      <w:r>
        <w:rPr>
          <w:rFonts w:ascii="Times New Roman" w:hAnsi="Times New Roman"/>
          <w:szCs w:val="24"/>
          <w:lang w:val="bs-Latn-BA"/>
        </w:rPr>
        <w:t>ОП</w:t>
      </w:r>
      <w:r w:rsidR="0067225C" w:rsidRPr="00295637">
        <w:rPr>
          <w:rFonts w:ascii="Times New Roman" w:hAnsi="Times New Roman"/>
          <w:szCs w:val="24"/>
          <w:lang w:val="bs-Latn-BA"/>
        </w:rPr>
        <w:t xml:space="preserve"> </w:t>
      </w:r>
      <w:r>
        <w:rPr>
          <w:rFonts w:ascii="Times New Roman" w:hAnsi="Times New Roman"/>
          <w:szCs w:val="24"/>
          <w:lang w:val="bs-Latn-BA"/>
        </w:rPr>
        <w:t>је</w:t>
      </w:r>
      <w:r w:rsidR="0067225C" w:rsidRPr="00295637">
        <w:rPr>
          <w:rFonts w:ascii="Times New Roman" w:hAnsi="Times New Roman"/>
          <w:szCs w:val="24"/>
          <w:lang w:val="bs-Latn-BA"/>
        </w:rPr>
        <w:t xml:space="preserve"> </w:t>
      </w:r>
      <w:r>
        <w:rPr>
          <w:rFonts w:ascii="Times New Roman" w:hAnsi="Times New Roman"/>
          <w:szCs w:val="24"/>
          <w:lang w:val="bs-Latn-BA"/>
        </w:rPr>
        <w:t>израђен</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синергији</w:t>
      </w:r>
      <w:r w:rsidR="003A2F08" w:rsidRPr="00295637">
        <w:rPr>
          <w:rFonts w:ascii="Times New Roman" w:hAnsi="Times New Roman"/>
          <w:szCs w:val="24"/>
          <w:lang w:val="bs-Latn-BA"/>
        </w:rPr>
        <w:t xml:space="preserve"> </w:t>
      </w:r>
      <w:r>
        <w:rPr>
          <w:rFonts w:ascii="Times New Roman" w:hAnsi="Times New Roman"/>
          <w:szCs w:val="24"/>
          <w:lang w:val="bs-Latn-BA"/>
        </w:rPr>
        <w:t>институционалних</w:t>
      </w:r>
      <w:r w:rsidR="003A2F08" w:rsidRPr="00295637">
        <w:rPr>
          <w:rFonts w:ascii="Times New Roman" w:hAnsi="Times New Roman"/>
          <w:szCs w:val="24"/>
          <w:lang w:val="bs-Latn-BA"/>
        </w:rPr>
        <w:t xml:space="preserve"> (</w:t>
      </w:r>
      <w:r>
        <w:rPr>
          <w:rFonts w:ascii="Times New Roman" w:hAnsi="Times New Roman"/>
          <w:szCs w:val="24"/>
          <w:lang w:val="bs-Latn-BA"/>
        </w:rPr>
        <w:t>укупно</w:t>
      </w:r>
      <w:r w:rsidR="003A2F08" w:rsidRPr="00295637">
        <w:rPr>
          <w:rFonts w:ascii="Times New Roman" w:hAnsi="Times New Roman"/>
          <w:szCs w:val="24"/>
          <w:lang w:val="bs-Latn-BA"/>
        </w:rPr>
        <w:t xml:space="preserve"> 24 </w:t>
      </w:r>
      <w:r>
        <w:rPr>
          <w:rFonts w:ascii="Times New Roman" w:hAnsi="Times New Roman"/>
          <w:szCs w:val="24"/>
          <w:lang w:val="bs-Latn-BA"/>
        </w:rPr>
        <w:t>представника</w:t>
      </w:r>
      <w:r w:rsidR="006927B4" w:rsidRPr="00295637">
        <w:rPr>
          <w:rFonts w:ascii="Times New Roman" w:hAnsi="Times New Roman"/>
          <w:szCs w:val="24"/>
          <w:lang w:val="bs-Latn-BA"/>
        </w:rPr>
        <w:t>/</w:t>
      </w:r>
      <w:r>
        <w:rPr>
          <w:rFonts w:ascii="Times New Roman" w:hAnsi="Times New Roman"/>
          <w:szCs w:val="24"/>
          <w:lang w:val="bs-Latn-BA"/>
        </w:rPr>
        <w:t>це</w:t>
      </w:r>
      <w:r w:rsidR="00D81552">
        <w:rPr>
          <w:rFonts w:ascii="Times New Roman" w:hAnsi="Times New Roman"/>
          <w:szCs w:val="24"/>
          <w:lang w:val="bs-Latn-BA"/>
        </w:rPr>
        <w:t xml:space="preserve"> </w:t>
      </w:r>
      <w:r>
        <w:rPr>
          <w:rFonts w:ascii="Times New Roman" w:hAnsi="Times New Roman"/>
          <w:szCs w:val="24"/>
          <w:lang w:val="bs-Latn-BA"/>
        </w:rPr>
        <w:t>из</w:t>
      </w:r>
      <w:r w:rsidR="00D81552">
        <w:rPr>
          <w:rFonts w:ascii="Times New Roman" w:hAnsi="Times New Roman"/>
          <w:szCs w:val="24"/>
          <w:lang w:val="bs-Latn-BA"/>
        </w:rPr>
        <w:t xml:space="preserve"> 16 </w:t>
      </w:r>
      <w:r>
        <w:rPr>
          <w:rFonts w:ascii="Times New Roman" w:hAnsi="Times New Roman"/>
          <w:szCs w:val="24"/>
          <w:lang w:val="bs-Latn-BA"/>
        </w:rPr>
        <w:t>институција</w:t>
      </w:r>
      <w:r w:rsidR="00D81552">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ванинституционалних</w:t>
      </w:r>
      <w:r w:rsidR="0067225C" w:rsidRPr="00295637">
        <w:rPr>
          <w:rFonts w:ascii="Times New Roman" w:hAnsi="Times New Roman"/>
          <w:szCs w:val="24"/>
          <w:lang w:val="bs-Latn-BA"/>
        </w:rPr>
        <w:t xml:space="preserve"> </w:t>
      </w:r>
      <w:r>
        <w:rPr>
          <w:rFonts w:ascii="Times New Roman" w:hAnsi="Times New Roman"/>
          <w:szCs w:val="24"/>
          <w:lang w:val="bs-Latn-BA"/>
        </w:rPr>
        <w:t>партнера</w:t>
      </w:r>
      <w:r w:rsidR="0067225C" w:rsidRPr="00295637">
        <w:rPr>
          <w:rFonts w:ascii="Times New Roman" w:hAnsi="Times New Roman"/>
          <w:szCs w:val="24"/>
          <w:lang w:val="bs-Latn-BA"/>
        </w:rPr>
        <w:t xml:space="preserve"> (</w:t>
      </w:r>
      <w:r w:rsidR="003A2F08" w:rsidRPr="00295637">
        <w:rPr>
          <w:rFonts w:ascii="Times New Roman" w:hAnsi="Times New Roman"/>
          <w:szCs w:val="24"/>
          <w:lang w:val="bs-Latn-BA"/>
        </w:rPr>
        <w:t xml:space="preserve">28 </w:t>
      </w:r>
      <w:r>
        <w:rPr>
          <w:rFonts w:ascii="Times New Roman" w:hAnsi="Times New Roman"/>
          <w:szCs w:val="24"/>
          <w:lang w:val="bs-Latn-BA"/>
        </w:rPr>
        <w:t>представника</w:t>
      </w:r>
      <w:r w:rsidR="006927B4" w:rsidRPr="00295637">
        <w:rPr>
          <w:rFonts w:ascii="Times New Roman" w:hAnsi="Times New Roman"/>
          <w:szCs w:val="24"/>
          <w:lang w:val="bs-Latn-BA"/>
        </w:rPr>
        <w:t>/</w:t>
      </w:r>
      <w:r>
        <w:rPr>
          <w:rFonts w:ascii="Times New Roman" w:hAnsi="Times New Roman"/>
          <w:szCs w:val="24"/>
          <w:lang w:val="bs-Latn-BA"/>
        </w:rPr>
        <w:t>це</w:t>
      </w:r>
      <w:r w:rsidR="003A2F08" w:rsidRPr="00295637">
        <w:rPr>
          <w:rFonts w:ascii="Times New Roman" w:hAnsi="Times New Roman"/>
          <w:szCs w:val="24"/>
          <w:lang w:val="bs-Latn-BA"/>
        </w:rPr>
        <w:t xml:space="preserve"> </w:t>
      </w:r>
      <w:r>
        <w:rPr>
          <w:rFonts w:ascii="Times New Roman" w:hAnsi="Times New Roman"/>
          <w:szCs w:val="24"/>
          <w:lang w:val="bs-Latn-BA"/>
        </w:rPr>
        <w:t>из</w:t>
      </w:r>
      <w:r w:rsidR="003A2F08" w:rsidRPr="00295637">
        <w:rPr>
          <w:rFonts w:ascii="Times New Roman" w:hAnsi="Times New Roman"/>
          <w:szCs w:val="24"/>
          <w:lang w:val="bs-Latn-BA"/>
        </w:rPr>
        <w:t xml:space="preserve"> 20 </w:t>
      </w:r>
      <w:r>
        <w:rPr>
          <w:rFonts w:ascii="Times New Roman" w:hAnsi="Times New Roman"/>
          <w:szCs w:val="24"/>
          <w:lang w:val="bs-Latn-BA"/>
        </w:rPr>
        <w:t>организација</w:t>
      </w:r>
      <w:r w:rsidR="003A2F08" w:rsidRPr="00295637">
        <w:rPr>
          <w:rFonts w:ascii="Times New Roman" w:hAnsi="Times New Roman"/>
          <w:szCs w:val="24"/>
          <w:lang w:val="bs-Latn-BA"/>
        </w:rPr>
        <w:t xml:space="preserve"> </w:t>
      </w:r>
      <w:r>
        <w:rPr>
          <w:rFonts w:ascii="Times New Roman" w:hAnsi="Times New Roman"/>
          <w:szCs w:val="24"/>
          <w:lang w:val="bs-Latn-BA"/>
        </w:rPr>
        <w:t>цивилног</w:t>
      </w:r>
      <w:r w:rsidR="003A2F08" w:rsidRPr="00295637">
        <w:rPr>
          <w:rFonts w:ascii="Times New Roman" w:hAnsi="Times New Roman"/>
          <w:szCs w:val="24"/>
          <w:lang w:val="bs-Latn-BA"/>
        </w:rPr>
        <w:t xml:space="preserve"> </w:t>
      </w:r>
      <w:r>
        <w:rPr>
          <w:rFonts w:ascii="Times New Roman" w:hAnsi="Times New Roman"/>
          <w:szCs w:val="24"/>
          <w:lang w:val="bs-Latn-BA"/>
        </w:rPr>
        <w:t>друштва</w:t>
      </w:r>
      <w:r w:rsidR="003A2F08" w:rsidRPr="00295637">
        <w:rPr>
          <w:rFonts w:ascii="Times New Roman" w:hAnsi="Times New Roman"/>
          <w:szCs w:val="24"/>
          <w:lang w:val="bs-Latn-BA"/>
        </w:rPr>
        <w:t xml:space="preserve">). </w:t>
      </w:r>
      <w:r>
        <w:rPr>
          <w:rFonts w:ascii="Times New Roman" w:hAnsi="Times New Roman"/>
          <w:szCs w:val="24"/>
          <w:lang w:val="bs-Latn-BA"/>
        </w:rPr>
        <w:t>Израда</w:t>
      </w:r>
      <w:r w:rsidR="003A2F08" w:rsidRPr="00295637">
        <w:rPr>
          <w:rFonts w:ascii="Times New Roman" w:hAnsi="Times New Roman"/>
          <w:szCs w:val="24"/>
          <w:lang w:val="bs-Latn-BA"/>
        </w:rPr>
        <w:t xml:space="preserve"> </w:t>
      </w:r>
      <w:r>
        <w:rPr>
          <w:rFonts w:ascii="Times New Roman" w:hAnsi="Times New Roman"/>
          <w:szCs w:val="24"/>
          <w:lang w:val="bs-Latn-BA"/>
        </w:rPr>
        <w:t>методологије</w:t>
      </w:r>
      <w:r w:rsidR="003A2F08" w:rsidRPr="00295637">
        <w:rPr>
          <w:rFonts w:ascii="Times New Roman" w:hAnsi="Times New Roman"/>
          <w:szCs w:val="24"/>
          <w:lang w:val="bs-Latn-BA"/>
        </w:rPr>
        <w:t xml:space="preserve"> </w:t>
      </w:r>
      <w:r>
        <w:rPr>
          <w:rFonts w:ascii="Times New Roman" w:hAnsi="Times New Roman"/>
          <w:szCs w:val="24"/>
          <w:lang w:val="bs-Latn-BA"/>
        </w:rPr>
        <w:t>Оперативног</w:t>
      </w:r>
      <w:r w:rsidR="003A2F08" w:rsidRPr="00295637">
        <w:rPr>
          <w:rFonts w:ascii="Times New Roman" w:hAnsi="Times New Roman"/>
          <w:szCs w:val="24"/>
          <w:lang w:val="bs-Latn-BA"/>
        </w:rPr>
        <w:t xml:space="preserve"> </w:t>
      </w:r>
      <w:r>
        <w:rPr>
          <w:rFonts w:ascii="Times New Roman" w:hAnsi="Times New Roman"/>
          <w:szCs w:val="24"/>
          <w:lang w:val="bs-Latn-BA"/>
        </w:rPr>
        <w:t>плана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sidR="006318F4">
        <w:rPr>
          <w:rFonts w:ascii="Times New Roman" w:hAnsi="Times New Roman"/>
          <w:szCs w:val="24"/>
          <w:lang w:val="sr-Cyrl-BA"/>
        </w:rPr>
        <w:t>спровођење</w:t>
      </w:r>
      <w:r w:rsidR="003A2F08" w:rsidRPr="00295637">
        <w:rPr>
          <w:rFonts w:ascii="Times New Roman" w:hAnsi="Times New Roman"/>
          <w:szCs w:val="24"/>
          <w:lang w:val="bs-Latn-BA"/>
        </w:rPr>
        <w:t xml:space="preserve"> </w:t>
      </w:r>
      <w:r>
        <w:rPr>
          <w:rFonts w:ascii="Times New Roman" w:hAnsi="Times New Roman"/>
          <w:szCs w:val="24"/>
          <w:lang w:val="bs-Latn-BA"/>
        </w:rPr>
        <w:t>ГАП</w:t>
      </w:r>
      <w:r w:rsidR="00752231" w:rsidRPr="00295637">
        <w:rPr>
          <w:rFonts w:ascii="Times New Roman" w:hAnsi="Times New Roman"/>
          <w:szCs w:val="24"/>
          <w:lang w:val="bs-Latn-BA"/>
        </w:rPr>
        <w:t xml:space="preserve"> </w:t>
      </w:r>
      <w:r>
        <w:rPr>
          <w:rFonts w:ascii="Times New Roman" w:hAnsi="Times New Roman"/>
          <w:szCs w:val="24"/>
          <w:lang w:val="bs-Latn-BA"/>
        </w:rPr>
        <w:t>БиХ</w:t>
      </w:r>
      <w:r w:rsidR="003A2F08" w:rsidRPr="00295637">
        <w:rPr>
          <w:rFonts w:ascii="Times New Roman" w:hAnsi="Times New Roman"/>
          <w:szCs w:val="24"/>
          <w:lang w:val="bs-Latn-BA"/>
        </w:rPr>
        <w:t xml:space="preserve"> </w:t>
      </w:r>
      <w:r>
        <w:rPr>
          <w:rFonts w:ascii="Times New Roman" w:hAnsi="Times New Roman"/>
          <w:szCs w:val="24"/>
          <w:lang w:val="bs-Latn-BA"/>
        </w:rPr>
        <w:t>важан</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D81552" w:rsidRPr="00295637">
        <w:rPr>
          <w:rFonts w:ascii="Times New Roman" w:hAnsi="Times New Roman"/>
          <w:szCs w:val="24"/>
          <w:lang w:val="bs-Latn-BA"/>
        </w:rPr>
        <w:t xml:space="preserve"> </w:t>
      </w:r>
      <w:r>
        <w:rPr>
          <w:rFonts w:ascii="Times New Roman" w:hAnsi="Times New Roman"/>
          <w:szCs w:val="24"/>
          <w:lang w:val="bs-Latn-BA"/>
        </w:rPr>
        <w:t>корак</w:t>
      </w:r>
      <w:r w:rsidR="003A2F08" w:rsidRPr="00295637">
        <w:rPr>
          <w:rFonts w:ascii="Times New Roman" w:hAnsi="Times New Roman"/>
          <w:szCs w:val="24"/>
          <w:lang w:val="bs-Latn-BA"/>
        </w:rPr>
        <w:t xml:space="preserve"> </w:t>
      </w:r>
      <w:r>
        <w:rPr>
          <w:rFonts w:ascii="Times New Roman" w:hAnsi="Times New Roman"/>
          <w:szCs w:val="24"/>
          <w:lang w:val="bs-Latn-BA"/>
        </w:rPr>
        <w:t>према</w:t>
      </w:r>
      <w:r w:rsidR="003A2F08" w:rsidRPr="00295637">
        <w:rPr>
          <w:rFonts w:ascii="Times New Roman" w:hAnsi="Times New Roman"/>
          <w:szCs w:val="24"/>
          <w:lang w:val="bs-Latn-BA"/>
        </w:rPr>
        <w:t xml:space="preserve"> </w:t>
      </w:r>
      <w:r>
        <w:rPr>
          <w:rFonts w:ascii="Times New Roman" w:hAnsi="Times New Roman"/>
          <w:szCs w:val="24"/>
          <w:lang w:val="bs-Latn-BA"/>
        </w:rPr>
        <w:t>остварењу</w:t>
      </w:r>
      <w:r w:rsidR="003A2F08"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3A2F08" w:rsidRPr="00295637">
        <w:rPr>
          <w:rFonts w:ascii="Times New Roman" w:hAnsi="Times New Roman"/>
          <w:szCs w:val="24"/>
          <w:lang w:val="bs-Latn-BA"/>
        </w:rPr>
        <w:t xml:space="preserve"> </w:t>
      </w:r>
      <w:r>
        <w:rPr>
          <w:rFonts w:ascii="Times New Roman" w:hAnsi="Times New Roman"/>
          <w:szCs w:val="24"/>
          <w:lang w:val="bs-Latn-BA"/>
        </w:rPr>
        <w:t>полова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друштву</w:t>
      </w:r>
      <w:r w:rsidR="003A2F08" w:rsidRPr="00295637">
        <w:rPr>
          <w:rFonts w:ascii="Times New Roman" w:hAnsi="Times New Roman"/>
          <w:szCs w:val="24"/>
          <w:lang w:val="bs-Latn-BA"/>
        </w:rPr>
        <w:t xml:space="preserve">. </w:t>
      </w:r>
      <w:r>
        <w:rPr>
          <w:rFonts w:ascii="Times New Roman" w:hAnsi="Times New Roman"/>
          <w:szCs w:val="24"/>
          <w:lang w:val="bs-Latn-BA"/>
        </w:rPr>
        <w:t>Активности</w:t>
      </w:r>
      <w:r w:rsidR="003A2F08" w:rsidRPr="00295637">
        <w:rPr>
          <w:rFonts w:ascii="Times New Roman" w:hAnsi="Times New Roman"/>
          <w:szCs w:val="24"/>
          <w:lang w:val="bs-Latn-BA"/>
        </w:rPr>
        <w:t xml:space="preserve"> </w:t>
      </w:r>
      <w:r>
        <w:rPr>
          <w:rFonts w:ascii="Times New Roman" w:hAnsi="Times New Roman"/>
          <w:szCs w:val="24"/>
          <w:lang w:val="bs-Latn-BA"/>
        </w:rPr>
        <w:t>ГЦ</w:t>
      </w:r>
      <w:r w:rsidR="00D81552">
        <w:rPr>
          <w:rFonts w:ascii="Times New Roman" w:hAnsi="Times New Roman"/>
          <w:szCs w:val="24"/>
          <w:lang w:val="bs-Latn-BA"/>
        </w:rPr>
        <w:t xml:space="preserve"> </w:t>
      </w:r>
      <w:r>
        <w:rPr>
          <w:rFonts w:ascii="Times New Roman" w:hAnsi="Times New Roman"/>
          <w:szCs w:val="24"/>
          <w:lang w:val="bs-Latn-BA"/>
        </w:rPr>
        <w:t>ФБиХ</w:t>
      </w:r>
      <w:r w:rsidR="005F0394" w:rsidRPr="00295637">
        <w:rPr>
          <w:rFonts w:ascii="Times New Roman" w:hAnsi="Times New Roman"/>
          <w:szCs w:val="24"/>
          <w:lang w:val="bs-Latn-BA"/>
        </w:rPr>
        <w:t>,</w:t>
      </w:r>
      <w:r w:rsidR="003A2F08" w:rsidRPr="00295637">
        <w:rPr>
          <w:rFonts w:ascii="Times New Roman" w:hAnsi="Times New Roman"/>
          <w:szCs w:val="24"/>
          <w:lang w:val="bs-Latn-BA"/>
        </w:rPr>
        <w:t xml:space="preserve"> </w:t>
      </w:r>
      <w:r>
        <w:rPr>
          <w:rFonts w:ascii="Times New Roman" w:hAnsi="Times New Roman"/>
          <w:szCs w:val="24"/>
          <w:lang w:val="bs-Latn-BA"/>
        </w:rPr>
        <w:t>које</w:t>
      </w:r>
      <w:r w:rsidR="003A2F08" w:rsidRPr="00295637">
        <w:rPr>
          <w:rFonts w:ascii="Times New Roman" w:hAnsi="Times New Roman"/>
          <w:szCs w:val="24"/>
          <w:lang w:val="bs-Latn-BA"/>
        </w:rPr>
        <w:t xml:space="preserve"> </w:t>
      </w:r>
      <w:r>
        <w:rPr>
          <w:rFonts w:ascii="Times New Roman" w:hAnsi="Times New Roman"/>
          <w:szCs w:val="24"/>
          <w:lang w:val="bs-Latn-BA"/>
        </w:rPr>
        <w:t>су</w:t>
      </w:r>
      <w:r w:rsidR="003A2F08" w:rsidRPr="00295637">
        <w:rPr>
          <w:rFonts w:ascii="Times New Roman" w:hAnsi="Times New Roman"/>
          <w:szCs w:val="24"/>
          <w:lang w:val="bs-Latn-BA"/>
        </w:rPr>
        <w:t xml:space="preserve"> </w:t>
      </w:r>
      <w:r>
        <w:rPr>
          <w:rFonts w:ascii="Times New Roman" w:hAnsi="Times New Roman"/>
          <w:szCs w:val="24"/>
          <w:lang w:val="bs-Latn-BA"/>
        </w:rPr>
        <w:t>предузете</w:t>
      </w:r>
      <w:r w:rsidR="003A2F08" w:rsidRPr="00295637">
        <w:rPr>
          <w:rFonts w:ascii="Times New Roman" w:hAnsi="Times New Roman"/>
          <w:szCs w:val="24"/>
          <w:lang w:val="bs-Latn-BA"/>
        </w:rPr>
        <w:t xml:space="preserve"> </w:t>
      </w:r>
      <w:r w:rsidR="006318F4">
        <w:rPr>
          <w:rFonts w:ascii="Times New Roman" w:hAnsi="Times New Roman"/>
          <w:szCs w:val="24"/>
          <w:lang w:val="sr-Cyrl-BA"/>
        </w:rPr>
        <w:t>с</w:t>
      </w:r>
      <w:r w:rsidR="003A2F08" w:rsidRPr="00295637">
        <w:rPr>
          <w:rFonts w:ascii="Times New Roman" w:hAnsi="Times New Roman"/>
          <w:szCs w:val="24"/>
          <w:lang w:val="bs-Latn-BA"/>
        </w:rPr>
        <w:t xml:space="preserve"> </w:t>
      </w:r>
      <w:r>
        <w:rPr>
          <w:rFonts w:ascii="Times New Roman" w:hAnsi="Times New Roman"/>
          <w:szCs w:val="24"/>
          <w:lang w:val="bs-Latn-BA"/>
        </w:rPr>
        <w:t>циљ</w:t>
      </w:r>
      <w:r w:rsidR="006318F4">
        <w:rPr>
          <w:rFonts w:ascii="Times New Roman" w:hAnsi="Times New Roman"/>
          <w:szCs w:val="24"/>
          <w:lang w:val="sr-Cyrl-BA"/>
        </w:rPr>
        <w:t>ем</w:t>
      </w:r>
      <w:r w:rsidR="003A2F08" w:rsidRPr="00295637">
        <w:rPr>
          <w:rFonts w:ascii="Times New Roman" w:hAnsi="Times New Roman"/>
          <w:szCs w:val="24"/>
          <w:lang w:val="bs-Latn-BA"/>
        </w:rPr>
        <w:t xml:space="preserve"> </w:t>
      </w:r>
      <w:r>
        <w:rPr>
          <w:rFonts w:ascii="Times New Roman" w:hAnsi="Times New Roman"/>
          <w:szCs w:val="24"/>
          <w:lang w:val="bs-Latn-BA"/>
        </w:rPr>
        <w:t>континуираног</w:t>
      </w:r>
      <w:r w:rsidR="003A2F08" w:rsidRPr="00295637">
        <w:rPr>
          <w:rFonts w:ascii="Times New Roman" w:hAnsi="Times New Roman"/>
          <w:szCs w:val="24"/>
          <w:lang w:val="bs-Latn-BA"/>
        </w:rPr>
        <w:t xml:space="preserve"> </w:t>
      </w:r>
      <w:r>
        <w:rPr>
          <w:rFonts w:ascii="Times New Roman" w:hAnsi="Times New Roman"/>
          <w:szCs w:val="24"/>
          <w:lang w:val="bs-Latn-BA"/>
        </w:rPr>
        <w:t>дјеловања</w:t>
      </w:r>
      <w:r w:rsidR="003A2F08" w:rsidRPr="00295637">
        <w:rPr>
          <w:rFonts w:ascii="Times New Roman" w:hAnsi="Times New Roman"/>
          <w:szCs w:val="24"/>
          <w:lang w:val="bs-Latn-BA"/>
        </w:rPr>
        <w:t xml:space="preserve"> </w:t>
      </w:r>
      <w:r>
        <w:rPr>
          <w:rFonts w:ascii="Times New Roman" w:hAnsi="Times New Roman"/>
          <w:szCs w:val="24"/>
          <w:lang w:val="bs-Latn-BA"/>
        </w:rPr>
        <w:t>кроз</w:t>
      </w:r>
      <w:r w:rsidR="003A2F08" w:rsidRPr="00295637">
        <w:rPr>
          <w:rFonts w:ascii="Times New Roman" w:hAnsi="Times New Roman"/>
          <w:szCs w:val="24"/>
          <w:lang w:val="bs-Latn-BA"/>
        </w:rPr>
        <w:t xml:space="preserve"> </w:t>
      </w:r>
      <w:r>
        <w:rPr>
          <w:rFonts w:ascii="Times New Roman" w:hAnsi="Times New Roman"/>
          <w:szCs w:val="24"/>
          <w:lang w:val="bs-Latn-BA"/>
        </w:rPr>
        <w:t>ОП</w:t>
      </w:r>
      <w:r w:rsidR="003A2F08" w:rsidRPr="00295637">
        <w:rPr>
          <w:rFonts w:ascii="Times New Roman" w:hAnsi="Times New Roman"/>
          <w:szCs w:val="24"/>
          <w:lang w:val="bs-Latn-BA"/>
        </w:rPr>
        <w:t xml:space="preserve"> </w:t>
      </w:r>
      <w:r>
        <w:rPr>
          <w:rFonts w:ascii="Times New Roman" w:hAnsi="Times New Roman"/>
          <w:szCs w:val="24"/>
          <w:lang w:val="bs-Latn-BA"/>
        </w:rPr>
        <w:t>институција</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кантона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E61368" w:rsidRPr="00295637">
        <w:rPr>
          <w:rFonts w:ascii="Times New Roman" w:hAnsi="Times New Roman"/>
          <w:szCs w:val="24"/>
          <w:lang w:val="bs-Latn-BA"/>
        </w:rPr>
        <w:t xml:space="preserve"> </w:t>
      </w:r>
      <w:r>
        <w:rPr>
          <w:rFonts w:ascii="Times New Roman" w:hAnsi="Times New Roman"/>
          <w:szCs w:val="24"/>
          <w:lang w:val="bs-Latn-BA"/>
        </w:rPr>
        <w:t>оп</w:t>
      </w:r>
      <w:r w:rsidR="006318F4">
        <w:rPr>
          <w:rFonts w:ascii="Times New Roman" w:hAnsi="Times New Roman"/>
          <w:szCs w:val="24"/>
          <w:lang w:val="sr-Cyrl-BA"/>
        </w:rPr>
        <w:t>шт</w:t>
      </w:r>
      <w:r>
        <w:rPr>
          <w:rFonts w:ascii="Times New Roman" w:hAnsi="Times New Roman"/>
          <w:szCs w:val="24"/>
          <w:lang w:val="bs-Latn-BA"/>
        </w:rPr>
        <w:t>ина</w:t>
      </w:r>
      <w:r w:rsidR="00E61368" w:rsidRPr="00295637">
        <w:rPr>
          <w:rFonts w:ascii="Times New Roman" w:hAnsi="Times New Roman"/>
          <w:szCs w:val="24"/>
          <w:lang w:val="bs-Latn-BA"/>
        </w:rPr>
        <w:t xml:space="preserve">, </w:t>
      </w:r>
      <w:r>
        <w:rPr>
          <w:rFonts w:ascii="Times New Roman" w:hAnsi="Times New Roman"/>
          <w:szCs w:val="24"/>
          <w:lang w:val="bs-Latn-BA"/>
        </w:rPr>
        <w:t>допринијеле</w:t>
      </w:r>
      <w:r w:rsidR="00E61368" w:rsidRPr="00295637">
        <w:rPr>
          <w:rFonts w:ascii="Times New Roman" w:hAnsi="Times New Roman"/>
          <w:szCs w:val="24"/>
          <w:lang w:val="bs-Latn-BA"/>
        </w:rPr>
        <w:t xml:space="preserve"> </w:t>
      </w:r>
      <w:r>
        <w:rPr>
          <w:rFonts w:ascii="Times New Roman" w:hAnsi="Times New Roman"/>
          <w:szCs w:val="24"/>
          <w:lang w:val="bs-Latn-BA"/>
        </w:rPr>
        <w:t>су</w:t>
      </w:r>
      <w:r w:rsidR="00E61368" w:rsidRPr="00295637">
        <w:rPr>
          <w:rFonts w:ascii="Times New Roman" w:hAnsi="Times New Roman"/>
          <w:szCs w:val="24"/>
          <w:lang w:val="bs-Latn-BA"/>
        </w:rPr>
        <w:t xml:space="preserve"> </w:t>
      </w:r>
      <w:r>
        <w:rPr>
          <w:rFonts w:ascii="Times New Roman" w:hAnsi="Times New Roman"/>
          <w:szCs w:val="24"/>
          <w:lang w:val="bs-Latn-BA"/>
        </w:rPr>
        <w:t>интегри</w:t>
      </w:r>
      <w:r w:rsidR="006318F4">
        <w:rPr>
          <w:rFonts w:ascii="Times New Roman" w:hAnsi="Times New Roman"/>
          <w:szCs w:val="24"/>
          <w:lang w:val="sr-Cyrl-BA"/>
        </w:rPr>
        <w:t>с</w:t>
      </w:r>
      <w:r>
        <w:rPr>
          <w:rFonts w:ascii="Times New Roman" w:hAnsi="Times New Roman"/>
          <w:szCs w:val="24"/>
          <w:lang w:val="bs-Latn-BA"/>
        </w:rPr>
        <w:t>ању</w:t>
      </w:r>
      <w:r w:rsidR="003A2F08" w:rsidRPr="00295637">
        <w:rPr>
          <w:rFonts w:ascii="Times New Roman" w:hAnsi="Times New Roman"/>
          <w:szCs w:val="24"/>
          <w:lang w:val="bs-Latn-BA"/>
        </w:rPr>
        <w:t xml:space="preserve"> </w:t>
      </w:r>
      <w:r>
        <w:rPr>
          <w:rFonts w:ascii="Times New Roman" w:hAnsi="Times New Roman"/>
          <w:szCs w:val="24"/>
          <w:lang w:val="bs-Latn-BA"/>
        </w:rPr>
        <w:t>гендер</w:t>
      </w:r>
      <w:r w:rsidR="003A2F08" w:rsidRPr="00295637">
        <w:rPr>
          <w:rFonts w:ascii="Times New Roman" w:hAnsi="Times New Roman"/>
          <w:szCs w:val="24"/>
          <w:lang w:val="bs-Latn-BA"/>
        </w:rPr>
        <w:t xml:space="preserve"> </w:t>
      </w:r>
      <w:r>
        <w:rPr>
          <w:rFonts w:ascii="Times New Roman" w:hAnsi="Times New Roman"/>
          <w:szCs w:val="24"/>
          <w:lang w:val="bs-Latn-BA"/>
        </w:rPr>
        <w:t>питања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програме</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буџете</w:t>
      </w:r>
      <w:r w:rsidR="003A2F08" w:rsidRPr="00295637">
        <w:rPr>
          <w:rFonts w:ascii="Times New Roman" w:hAnsi="Times New Roman"/>
          <w:szCs w:val="24"/>
          <w:lang w:val="bs-Latn-BA"/>
        </w:rPr>
        <w:t xml:space="preserve"> </w:t>
      </w:r>
      <w:r>
        <w:rPr>
          <w:rFonts w:ascii="Times New Roman" w:hAnsi="Times New Roman"/>
          <w:szCs w:val="24"/>
          <w:lang w:val="bs-Latn-BA"/>
        </w:rPr>
        <w:t>институција</w:t>
      </w:r>
      <w:r w:rsidR="003A2F08" w:rsidRPr="00295637">
        <w:rPr>
          <w:rFonts w:ascii="Times New Roman" w:hAnsi="Times New Roman"/>
          <w:szCs w:val="24"/>
          <w:lang w:val="bs-Latn-BA"/>
        </w:rPr>
        <w:t xml:space="preserve">, </w:t>
      </w:r>
      <w:r>
        <w:rPr>
          <w:rFonts w:ascii="Times New Roman" w:hAnsi="Times New Roman"/>
          <w:szCs w:val="24"/>
          <w:lang w:val="bs-Latn-BA"/>
        </w:rPr>
        <w:t>као</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правне</w:t>
      </w:r>
      <w:r w:rsidR="003A2F08" w:rsidRPr="00295637">
        <w:rPr>
          <w:rFonts w:ascii="Times New Roman" w:hAnsi="Times New Roman"/>
          <w:szCs w:val="24"/>
          <w:lang w:val="bs-Latn-BA"/>
        </w:rPr>
        <w:t xml:space="preserve"> </w:t>
      </w:r>
      <w:r>
        <w:rPr>
          <w:rFonts w:ascii="Times New Roman" w:hAnsi="Times New Roman"/>
          <w:szCs w:val="24"/>
          <w:lang w:val="bs-Latn-BA"/>
        </w:rPr>
        <w:t>документе</w:t>
      </w:r>
      <w:r w:rsidR="003A2F08" w:rsidRPr="00295637">
        <w:rPr>
          <w:rFonts w:ascii="Times New Roman" w:hAnsi="Times New Roman"/>
          <w:szCs w:val="24"/>
          <w:lang w:val="bs-Latn-BA"/>
        </w:rPr>
        <w:t xml:space="preserve">. </w:t>
      </w:r>
      <w:r>
        <w:rPr>
          <w:rFonts w:ascii="Times New Roman" w:hAnsi="Times New Roman"/>
          <w:szCs w:val="24"/>
          <w:lang w:val="bs-Latn-BA"/>
        </w:rPr>
        <w:t>О</w:t>
      </w:r>
      <w:r w:rsidR="006318F4">
        <w:rPr>
          <w:rFonts w:ascii="Times New Roman" w:hAnsi="Times New Roman"/>
          <w:szCs w:val="24"/>
          <w:lang w:val="sr-Cyrl-BA"/>
        </w:rPr>
        <w:t>безбијеђена</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3A2F08" w:rsidRPr="00295637">
        <w:rPr>
          <w:rFonts w:ascii="Times New Roman" w:hAnsi="Times New Roman"/>
          <w:szCs w:val="24"/>
          <w:lang w:val="bs-Latn-BA"/>
        </w:rPr>
        <w:t xml:space="preserve"> </w:t>
      </w:r>
      <w:r>
        <w:rPr>
          <w:rFonts w:ascii="Times New Roman" w:hAnsi="Times New Roman"/>
          <w:szCs w:val="24"/>
          <w:lang w:val="bs-Latn-BA"/>
        </w:rPr>
        <w:t>конзистентност</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sidR="006318F4">
        <w:rPr>
          <w:rFonts w:ascii="Times New Roman" w:hAnsi="Times New Roman"/>
          <w:szCs w:val="24"/>
          <w:lang w:val="sr-Cyrl-BA"/>
        </w:rPr>
        <w:t>спровођењу</w:t>
      </w:r>
      <w:r w:rsidR="003A2F08" w:rsidRPr="00295637">
        <w:rPr>
          <w:rFonts w:ascii="Times New Roman" w:hAnsi="Times New Roman"/>
          <w:szCs w:val="24"/>
          <w:lang w:val="bs-Latn-BA"/>
        </w:rPr>
        <w:t xml:space="preserve"> </w:t>
      </w:r>
      <w:r>
        <w:rPr>
          <w:rFonts w:ascii="Times New Roman" w:hAnsi="Times New Roman"/>
          <w:szCs w:val="24"/>
          <w:lang w:val="bs-Latn-BA"/>
        </w:rPr>
        <w:t>циљева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мјера</w:t>
      </w:r>
      <w:r w:rsidR="003A2F08" w:rsidRPr="00295637">
        <w:rPr>
          <w:rFonts w:ascii="Times New Roman" w:hAnsi="Times New Roman"/>
          <w:szCs w:val="24"/>
          <w:lang w:val="bs-Latn-BA"/>
        </w:rPr>
        <w:t xml:space="preserve"> </w:t>
      </w:r>
      <w:r>
        <w:rPr>
          <w:rFonts w:ascii="Times New Roman" w:hAnsi="Times New Roman"/>
          <w:szCs w:val="24"/>
          <w:lang w:val="bs-Latn-BA"/>
        </w:rPr>
        <w:t>из</w:t>
      </w:r>
      <w:r w:rsidR="003A2F08" w:rsidRPr="00295637">
        <w:rPr>
          <w:rFonts w:ascii="Times New Roman" w:hAnsi="Times New Roman"/>
          <w:szCs w:val="24"/>
          <w:lang w:val="bs-Latn-BA"/>
        </w:rPr>
        <w:t xml:space="preserve"> </w:t>
      </w:r>
      <w:r>
        <w:rPr>
          <w:rFonts w:ascii="Times New Roman" w:hAnsi="Times New Roman"/>
          <w:szCs w:val="24"/>
          <w:lang w:val="bs-Latn-BA"/>
        </w:rPr>
        <w:t>ГАП</w:t>
      </w:r>
      <w:r w:rsidR="00D81552">
        <w:rPr>
          <w:rFonts w:ascii="Times New Roman" w:hAnsi="Times New Roman"/>
          <w:szCs w:val="24"/>
          <w:lang w:val="bs-Latn-BA"/>
        </w:rPr>
        <w:t xml:space="preserve"> </w:t>
      </w:r>
      <w:r>
        <w:rPr>
          <w:rFonts w:ascii="Times New Roman" w:hAnsi="Times New Roman"/>
          <w:szCs w:val="24"/>
          <w:lang w:val="bs-Latn-BA"/>
        </w:rPr>
        <w:t>БиХ</w:t>
      </w:r>
      <w:r w:rsidR="00FA1ABE" w:rsidRPr="00295637">
        <w:rPr>
          <w:rFonts w:ascii="Times New Roman" w:hAnsi="Times New Roman"/>
          <w:szCs w:val="24"/>
          <w:lang w:val="bs-Latn-BA"/>
        </w:rPr>
        <w:t>,</w:t>
      </w:r>
      <w:r w:rsidR="003A2F08" w:rsidRPr="00295637">
        <w:rPr>
          <w:rFonts w:ascii="Times New Roman" w:hAnsi="Times New Roman"/>
          <w:szCs w:val="24"/>
          <w:lang w:val="bs-Latn-BA"/>
        </w:rPr>
        <w:t xml:space="preserve"> </w:t>
      </w:r>
      <w:r>
        <w:rPr>
          <w:rFonts w:ascii="Times New Roman" w:hAnsi="Times New Roman"/>
          <w:szCs w:val="24"/>
          <w:lang w:val="bs-Latn-BA"/>
        </w:rPr>
        <w:t>те</w:t>
      </w:r>
      <w:r w:rsidR="003A2F08" w:rsidRPr="00295637">
        <w:rPr>
          <w:rFonts w:ascii="Times New Roman" w:hAnsi="Times New Roman"/>
          <w:szCs w:val="24"/>
          <w:lang w:val="bs-Latn-BA"/>
        </w:rPr>
        <w:t xml:space="preserve"> </w:t>
      </w:r>
      <w:r>
        <w:rPr>
          <w:rFonts w:ascii="Times New Roman" w:hAnsi="Times New Roman"/>
          <w:szCs w:val="24"/>
          <w:lang w:val="bs-Latn-BA"/>
        </w:rPr>
        <w:t>приоритета</w:t>
      </w:r>
      <w:r w:rsidR="003A2F08" w:rsidRPr="00295637">
        <w:rPr>
          <w:rFonts w:ascii="Times New Roman" w:hAnsi="Times New Roman"/>
          <w:szCs w:val="24"/>
          <w:lang w:val="bs-Latn-BA"/>
        </w:rPr>
        <w:t xml:space="preserve"> </w:t>
      </w:r>
      <w:r>
        <w:rPr>
          <w:rFonts w:ascii="Times New Roman" w:hAnsi="Times New Roman"/>
          <w:szCs w:val="24"/>
          <w:lang w:val="bs-Latn-BA"/>
        </w:rPr>
        <w:t>које</w:t>
      </w:r>
      <w:r w:rsidR="003A2F08" w:rsidRPr="00295637">
        <w:rPr>
          <w:rFonts w:ascii="Times New Roman" w:hAnsi="Times New Roman"/>
          <w:szCs w:val="24"/>
          <w:lang w:val="bs-Latn-BA"/>
        </w:rPr>
        <w:t xml:space="preserve"> </w:t>
      </w:r>
      <w:r>
        <w:rPr>
          <w:rFonts w:ascii="Times New Roman" w:hAnsi="Times New Roman"/>
          <w:szCs w:val="24"/>
          <w:lang w:val="bs-Latn-BA"/>
        </w:rPr>
        <w:t>захтјева</w:t>
      </w:r>
      <w:r w:rsidR="003A2F08" w:rsidRPr="00295637">
        <w:rPr>
          <w:rFonts w:ascii="Times New Roman" w:hAnsi="Times New Roman"/>
          <w:szCs w:val="24"/>
          <w:lang w:val="bs-Latn-BA"/>
        </w:rPr>
        <w:t xml:space="preserve"> </w:t>
      </w:r>
      <w:r>
        <w:rPr>
          <w:rFonts w:ascii="Times New Roman" w:hAnsi="Times New Roman"/>
          <w:szCs w:val="24"/>
          <w:lang w:val="bs-Latn-BA"/>
        </w:rPr>
        <w:t>хармонизација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процесу</w:t>
      </w:r>
      <w:r w:rsidR="003A2F08" w:rsidRPr="00295637">
        <w:rPr>
          <w:rFonts w:ascii="Times New Roman" w:hAnsi="Times New Roman"/>
          <w:szCs w:val="24"/>
          <w:lang w:val="bs-Latn-BA"/>
        </w:rPr>
        <w:t xml:space="preserve"> </w:t>
      </w:r>
      <w:r>
        <w:rPr>
          <w:rFonts w:ascii="Times New Roman" w:hAnsi="Times New Roman"/>
          <w:szCs w:val="24"/>
          <w:lang w:val="bs-Latn-BA"/>
        </w:rPr>
        <w:t>ЕУ</w:t>
      </w:r>
      <w:r w:rsidR="003A2F08" w:rsidRPr="00295637">
        <w:rPr>
          <w:rFonts w:ascii="Times New Roman" w:hAnsi="Times New Roman"/>
          <w:szCs w:val="24"/>
          <w:lang w:val="bs-Latn-BA"/>
        </w:rPr>
        <w:t xml:space="preserve"> </w:t>
      </w:r>
      <w:r>
        <w:rPr>
          <w:rFonts w:ascii="Times New Roman" w:hAnsi="Times New Roman"/>
          <w:szCs w:val="24"/>
          <w:lang w:val="bs-Latn-BA"/>
        </w:rPr>
        <w:t>интеграција</w:t>
      </w:r>
      <w:r w:rsidR="003A2F08" w:rsidRPr="00295637">
        <w:rPr>
          <w:rFonts w:ascii="Times New Roman" w:hAnsi="Times New Roman"/>
          <w:szCs w:val="24"/>
          <w:lang w:val="bs-Latn-BA"/>
        </w:rPr>
        <w:t xml:space="preserve">.   </w:t>
      </w:r>
    </w:p>
    <w:p w:rsidR="003A2F08" w:rsidRPr="00295637" w:rsidRDefault="003A2F08" w:rsidP="0086268D">
      <w:pPr>
        <w:ind w:left="576"/>
        <w:contextualSpacing/>
        <w:jc w:val="both"/>
        <w:rPr>
          <w:rFonts w:ascii="Times New Roman" w:hAnsi="Times New Roman"/>
          <w:szCs w:val="24"/>
          <w:lang w:val="bs-Latn-BA"/>
        </w:rPr>
      </w:pPr>
    </w:p>
    <w:p w:rsidR="001845A7" w:rsidRPr="00295637" w:rsidRDefault="00C6214E" w:rsidP="0086268D">
      <w:pPr>
        <w:pStyle w:val="ListParagraph"/>
        <w:ind w:left="0"/>
        <w:jc w:val="both"/>
        <w:rPr>
          <w:rFonts w:ascii="Times New Roman" w:hAnsi="Times New Roman"/>
          <w:lang w:val="bs-Latn-BA"/>
        </w:rPr>
      </w:pPr>
      <w:r>
        <w:rPr>
          <w:rFonts w:ascii="Times New Roman" w:hAnsi="Times New Roman"/>
          <w:lang w:val="sr-Cyrl-BA"/>
        </w:rPr>
        <w:t>Одржана</w:t>
      </w:r>
      <w:r w:rsidR="003D0582" w:rsidRPr="00295637">
        <w:rPr>
          <w:rFonts w:ascii="Times New Roman" w:hAnsi="Times New Roman"/>
          <w:lang w:val="sr-Cyrl-BA"/>
        </w:rPr>
        <w:t xml:space="preserve"> </w:t>
      </w:r>
      <w:r>
        <w:rPr>
          <w:rFonts w:ascii="Times New Roman" w:hAnsi="Times New Roman"/>
          <w:lang w:val="sr-Latn-BA"/>
        </w:rPr>
        <w:t>је</w:t>
      </w:r>
      <w:r w:rsidR="003D0582" w:rsidRPr="00295637">
        <w:rPr>
          <w:rFonts w:ascii="Times New Roman" w:hAnsi="Times New Roman"/>
          <w:lang w:val="sr-Latn-BA"/>
        </w:rPr>
        <w:t xml:space="preserve"> </w:t>
      </w:r>
      <w:r>
        <w:rPr>
          <w:rFonts w:ascii="Times New Roman" w:hAnsi="Times New Roman"/>
          <w:lang w:val="sr-Cyrl-BA"/>
        </w:rPr>
        <w:t>дводневна</w:t>
      </w:r>
      <w:r w:rsidR="00944633">
        <w:rPr>
          <w:rFonts w:ascii="Times New Roman" w:hAnsi="Times New Roman"/>
          <w:lang w:val="sr-Cyrl-BA"/>
        </w:rPr>
        <w:t xml:space="preserve"> </w:t>
      </w:r>
      <w:r>
        <w:rPr>
          <w:rFonts w:ascii="Times New Roman" w:hAnsi="Times New Roman"/>
          <w:lang w:val="sr-Cyrl-BA"/>
        </w:rPr>
        <w:t>радионица</w:t>
      </w:r>
      <w:r w:rsidR="003D0582" w:rsidRPr="00295637">
        <w:rPr>
          <w:rFonts w:ascii="Times New Roman" w:hAnsi="Times New Roman"/>
          <w:lang w:val="sr-Cyrl-BA"/>
        </w:rPr>
        <w:t xml:space="preserve"> </w:t>
      </w:r>
      <w:r>
        <w:rPr>
          <w:rFonts w:ascii="Times New Roman" w:hAnsi="Times New Roman"/>
          <w:lang w:val="sr-Cyrl-BA"/>
        </w:rPr>
        <w:t>К</w:t>
      </w:r>
      <w:r>
        <w:rPr>
          <w:rFonts w:ascii="Times New Roman" w:hAnsi="Times New Roman"/>
          <w:lang w:val="bs-Latn-BA"/>
        </w:rPr>
        <w:t>оординаци</w:t>
      </w:r>
      <w:r w:rsidR="006318F4">
        <w:rPr>
          <w:rFonts w:ascii="Times New Roman" w:hAnsi="Times New Roman"/>
          <w:lang w:val="sr-Cyrl-BA"/>
        </w:rPr>
        <w:t>оног</w:t>
      </w:r>
      <w:r w:rsidR="000C7821" w:rsidRPr="00295637">
        <w:rPr>
          <w:rFonts w:ascii="Times New Roman" w:hAnsi="Times New Roman"/>
          <w:lang w:val="bs-Latn-BA"/>
        </w:rPr>
        <w:t xml:space="preserve"> </w:t>
      </w:r>
      <w:r>
        <w:rPr>
          <w:rFonts w:ascii="Times New Roman" w:hAnsi="Times New Roman"/>
          <w:lang w:val="bs-Latn-BA"/>
        </w:rPr>
        <w:t>одбора</w:t>
      </w:r>
      <w:r w:rsidR="000C7821" w:rsidRPr="00295637">
        <w:rPr>
          <w:rFonts w:ascii="Times New Roman" w:hAnsi="Times New Roman"/>
          <w:lang w:val="bs-Latn-BA"/>
        </w:rPr>
        <w:t xml:space="preserve"> </w:t>
      </w:r>
      <w:r>
        <w:rPr>
          <w:rFonts w:ascii="Times New Roman" w:hAnsi="Times New Roman"/>
          <w:lang w:val="bs-Latn-BA"/>
        </w:rPr>
        <w:t>РС</w:t>
      </w:r>
      <w:r w:rsidR="003D0582" w:rsidRPr="00295637">
        <w:rPr>
          <w:rFonts w:ascii="Times New Roman" w:hAnsi="Times New Roman"/>
          <w:lang w:val="sr-Cyrl-BA"/>
        </w:rPr>
        <w:t xml:space="preserve"> </w:t>
      </w:r>
      <w:r>
        <w:rPr>
          <w:rFonts w:ascii="Times New Roman" w:hAnsi="Times New Roman"/>
          <w:lang w:val="sr-Cyrl-BA"/>
        </w:rPr>
        <w:t>за</w:t>
      </w:r>
      <w:r w:rsidR="003D0582" w:rsidRPr="00295637">
        <w:rPr>
          <w:rFonts w:ascii="Times New Roman" w:hAnsi="Times New Roman"/>
          <w:lang w:val="sr-Cyrl-BA"/>
        </w:rPr>
        <w:t xml:space="preserve"> </w:t>
      </w:r>
      <w:r>
        <w:rPr>
          <w:rFonts w:ascii="Times New Roman" w:hAnsi="Times New Roman"/>
          <w:lang w:val="sr-Cyrl-BA"/>
        </w:rPr>
        <w:t>израду</w:t>
      </w:r>
      <w:r w:rsidR="003D0582" w:rsidRPr="00295637">
        <w:rPr>
          <w:rFonts w:ascii="Times New Roman" w:hAnsi="Times New Roman"/>
          <w:lang w:val="sr-Cyrl-BA"/>
        </w:rPr>
        <w:t xml:space="preserve"> </w:t>
      </w:r>
      <w:r>
        <w:rPr>
          <w:rFonts w:ascii="Times New Roman" w:hAnsi="Times New Roman"/>
          <w:lang w:val="sr-Cyrl-BA"/>
        </w:rPr>
        <w:t>годишњег</w:t>
      </w:r>
      <w:r w:rsidR="003D0582" w:rsidRPr="00295637">
        <w:rPr>
          <w:rFonts w:ascii="Times New Roman" w:hAnsi="Times New Roman"/>
          <w:lang w:val="sr-Cyrl-BA"/>
        </w:rPr>
        <w:t xml:space="preserve"> </w:t>
      </w:r>
      <w:r>
        <w:rPr>
          <w:rFonts w:ascii="Times New Roman" w:hAnsi="Times New Roman"/>
          <w:lang w:val="sr-Cyrl-BA"/>
        </w:rPr>
        <w:t>оперативног</w:t>
      </w:r>
      <w:r w:rsidR="003D0582" w:rsidRPr="00295637">
        <w:rPr>
          <w:rFonts w:ascii="Times New Roman" w:hAnsi="Times New Roman"/>
          <w:lang w:val="sr-Cyrl-BA"/>
        </w:rPr>
        <w:t xml:space="preserve"> </w:t>
      </w:r>
      <w:r>
        <w:rPr>
          <w:rFonts w:ascii="Times New Roman" w:hAnsi="Times New Roman"/>
          <w:lang w:val="sr-Cyrl-BA"/>
        </w:rPr>
        <w:t>плана</w:t>
      </w:r>
      <w:r w:rsidR="003D0582" w:rsidRPr="00295637">
        <w:rPr>
          <w:rFonts w:ascii="Times New Roman" w:hAnsi="Times New Roman"/>
          <w:lang w:val="sr-Cyrl-BA"/>
        </w:rPr>
        <w:t xml:space="preserve"> </w:t>
      </w:r>
      <w:r>
        <w:rPr>
          <w:rFonts w:ascii="Times New Roman" w:hAnsi="Times New Roman"/>
          <w:lang w:val="sr-Cyrl-BA"/>
        </w:rPr>
        <w:t>за</w:t>
      </w:r>
      <w:r w:rsidR="003D0582" w:rsidRPr="00295637">
        <w:rPr>
          <w:rFonts w:ascii="Times New Roman" w:hAnsi="Times New Roman"/>
          <w:lang w:val="sr-Cyrl-BA"/>
        </w:rPr>
        <w:t xml:space="preserve"> 2024</w:t>
      </w:r>
      <w:r w:rsidR="00D81552">
        <w:rPr>
          <w:rFonts w:ascii="Times New Roman" w:hAnsi="Times New Roman"/>
          <w:lang w:val="hr-HR"/>
        </w:rPr>
        <w:t>.</w:t>
      </w:r>
      <w:r w:rsidR="00A17C22">
        <w:rPr>
          <w:rFonts w:ascii="Times New Roman" w:hAnsi="Times New Roman"/>
          <w:lang w:val="bs-Latn-BA"/>
        </w:rPr>
        <w:t xml:space="preserve"> (</w:t>
      </w:r>
      <w:r>
        <w:rPr>
          <w:rFonts w:ascii="Times New Roman" w:hAnsi="Times New Roman"/>
          <w:lang w:val="bs-Latn-BA"/>
        </w:rPr>
        <w:t>КО</w:t>
      </w:r>
      <w:r w:rsidR="00A17C22">
        <w:rPr>
          <w:rFonts w:ascii="Times New Roman" w:hAnsi="Times New Roman"/>
          <w:lang w:val="bs-Latn-BA"/>
        </w:rPr>
        <w:t xml:space="preserve"> </w:t>
      </w:r>
      <w:r>
        <w:rPr>
          <w:rFonts w:ascii="Times New Roman" w:hAnsi="Times New Roman"/>
          <w:lang w:val="bs-Latn-BA"/>
        </w:rPr>
        <w:t>РС</w:t>
      </w:r>
      <w:r w:rsidR="00A17C22">
        <w:rPr>
          <w:rFonts w:ascii="Times New Roman" w:hAnsi="Times New Roman"/>
          <w:lang w:val="bs-Latn-BA"/>
        </w:rPr>
        <w:t>)</w:t>
      </w:r>
      <w:r w:rsidR="003D0582" w:rsidRPr="00295637">
        <w:rPr>
          <w:rFonts w:ascii="Times New Roman" w:hAnsi="Times New Roman"/>
          <w:lang w:val="sr-Latn-BA"/>
        </w:rPr>
        <w:t>.</w:t>
      </w:r>
      <w:r w:rsidR="000C7821" w:rsidRPr="00295637">
        <w:rPr>
          <w:rFonts w:ascii="Times New Roman" w:hAnsi="Times New Roman"/>
          <w:lang w:val="sr-Latn-BA"/>
        </w:rPr>
        <w:t xml:space="preserve"> </w:t>
      </w:r>
      <w:r>
        <w:rPr>
          <w:rFonts w:ascii="Times New Roman" w:hAnsi="Times New Roman"/>
          <w:lang w:val="sr-Latn-BA"/>
        </w:rPr>
        <w:t>КО</w:t>
      </w:r>
      <w:r w:rsidR="00A17C22">
        <w:rPr>
          <w:rFonts w:ascii="Times New Roman" w:hAnsi="Times New Roman"/>
          <w:lang w:val="sr-Latn-BA"/>
        </w:rPr>
        <w:t xml:space="preserve"> </w:t>
      </w:r>
      <w:r>
        <w:rPr>
          <w:rFonts w:ascii="Times New Roman" w:hAnsi="Times New Roman"/>
          <w:lang w:val="sr-Latn-BA"/>
        </w:rPr>
        <w:t>РС</w:t>
      </w:r>
      <w:r w:rsidR="003041EE" w:rsidRPr="00295637">
        <w:rPr>
          <w:rFonts w:ascii="Times New Roman" w:hAnsi="Times New Roman"/>
          <w:lang w:val="bs-Latn-BA"/>
        </w:rPr>
        <w:t xml:space="preserve"> </w:t>
      </w:r>
      <w:r w:rsidR="006318F4">
        <w:rPr>
          <w:rFonts w:ascii="Times New Roman" w:hAnsi="Times New Roman"/>
          <w:lang w:val="bs-Latn-BA"/>
        </w:rPr>
        <w:t>је</w:t>
      </w:r>
      <w:r w:rsidR="006318F4">
        <w:rPr>
          <w:rFonts w:ascii="Times New Roman" w:hAnsi="Times New Roman"/>
          <w:lang w:val="sr-Cyrl-BA"/>
        </w:rPr>
        <w:t xml:space="preserve"> </w:t>
      </w:r>
      <w:r>
        <w:rPr>
          <w:rFonts w:ascii="Times New Roman" w:hAnsi="Times New Roman"/>
          <w:lang w:val="sr-Cyrl-BA"/>
        </w:rPr>
        <w:t>утврди</w:t>
      </w:r>
      <w:r>
        <w:rPr>
          <w:rFonts w:ascii="Times New Roman" w:hAnsi="Times New Roman"/>
          <w:lang w:val="sr-Latn-BA"/>
        </w:rPr>
        <w:t>о</w:t>
      </w:r>
      <w:r w:rsidR="003D0582" w:rsidRPr="00295637">
        <w:rPr>
          <w:rFonts w:ascii="Times New Roman" w:hAnsi="Times New Roman"/>
          <w:lang w:val="sr-Cyrl-BA"/>
        </w:rPr>
        <w:t xml:space="preserve">, </w:t>
      </w:r>
      <w:r>
        <w:rPr>
          <w:rFonts w:ascii="Times New Roman" w:hAnsi="Times New Roman"/>
          <w:lang w:val="sr-Cyrl-BA"/>
        </w:rPr>
        <w:t>а</w:t>
      </w:r>
      <w:r w:rsidR="003D0582" w:rsidRPr="00295637">
        <w:rPr>
          <w:rFonts w:ascii="Times New Roman" w:hAnsi="Times New Roman"/>
          <w:lang w:val="sr-Cyrl-BA"/>
        </w:rPr>
        <w:t xml:space="preserve"> </w:t>
      </w:r>
      <w:r>
        <w:rPr>
          <w:rFonts w:ascii="Times New Roman" w:hAnsi="Times New Roman"/>
          <w:lang w:val="sr-Cyrl-BA"/>
        </w:rPr>
        <w:t>В</w:t>
      </w:r>
      <w:r>
        <w:rPr>
          <w:rFonts w:ascii="Times New Roman" w:hAnsi="Times New Roman"/>
          <w:lang w:val="bs-Latn-BA"/>
        </w:rPr>
        <w:t>лада</w:t>
      </w:r>
      <w:r w:rsidR="00057AB3" w:rsidRPr="00295637">
        <w:rPr>
          <w:rFonts w:ascii="Times New Roman" w:hAnsi="Times New Roman"/>
          <w:lang w:val="bs-Latn-BA"/>
        </w:rPr>
        <w:t xml:space="preserve"> </w:t>
      </w:r>
      <w:r>
        <w:rPr>
          <w:rFonts w:ascii="Times New Roman" w:hAnsi="Times New Roman"/>
          <w:lang w:val="bs-Latn-BA"/>
        </w:rPr>
        <w:t>РС</w:t>
      </w:r>
      <w:r w:rsidR="003D0582" w:rsidRPr="00295637">
        <w:rPr>
          <w:rFonts w:ascii="Times New Roman" w:hAnsi="Times New Roman"/>
          <w:lang w:val="sr-Cyrl-BA"/>
        </w:rPr>
        <w:t xml:space="preserve"> </w:t>
      </w:r>
      <w:r>
        <w:rPr>
          <w:rFonts w:ascii="Times New Roman" w:hAnsi="Times New Roman"/>
          <w:lang w:val="sr-Cyrl-BA"/>
        </w:rPr>
        <w:t>усвојила</w:t>
      </w:r>
      <w:r w:rsidR="003D0582" w:rsidRPr="00295637">
        <w:rPr>
          <w:rFonts w:ascii="Times New Roman" w:hAnsi="Times New Roman"/>
          <w:lang w:val="sr-Cyrl-BA"/>
        </w:rPr>
        <w:t xml:space="preserve"> </w:t>
      </w:r>
      <w:r>
        <w:rPr>
          <w:rFonts w:ascii="Times New Roman" w:hAnsi="Times New Roman"/>
          <w:lang w:val="sr-Cyrl-BA"/>
        </w:rPr>
        <w:t>Годишњи</w:t>
      </w:r>
      <w:r w:rsidR="003D0582" w:rsidRPr="00295637">
        <w:rPr>
          <w:rFonts w:ascii="Times New Roman" w:hAnsi="Times New Roman"/>
          <w:lang w:val="sr-Cyrl-BA"/>
        </w:rPr>
        <w:t xml:space="preserve"> </w:t>
      </w:r>
      <w:r>
        <w:rPr>
          <w:rFonts w:ascii="Times New Roman" w:hAnsi="Times New Roman"/>
          <w:lang w:val="sr-Cyrl-BA"/>
        </w:rPr>
        <w:t>оперативни</w:t>
      </w:r>
      <w:r w:rsidR="003D0582" w:rsidRPr="00295637">
        <w:rPr>
          <w:rFonts w:ascii="Times New Roman" w:hAnsi="Times New Roman"/>
          <w:lang w:val="sr-Cyrl-BA"/>
        </w:rPr>
        <w:t xml:space="preserve"> </w:t>
      </w:r>
      <w:r>
        <w:rPr>
          <w:rFonts w:ascii="Times New Roman" w:hAnsi="Times New Roman"/>
          <w:lang w:val="sr-Cyrl-BA"/>
        </w:rPr>
        <w:t>план</w:t>
      </w:r>
      <w:r w:rsidR="003D0582" w:rsidRPr="00295637">
        <w:rPr>
          <w:rFonts w:ascii="Times New Roman" w:hAnsi="Times New Roman"/>
          <w:lang w:val="sr-Cyrl-BA"/>
        </w:rPr>
        <w:t xml:space="preserve"> </w:t>
      </w:r>
      <w:r>
        <w:rPr>
          <w:rFonts w:ascii="Times New Roman" w:hAnsi="Times New Roman"/>
          <w:lang w:val="sr-Cyrl-BA"/>
        </w:rPr>
        <w:t>за</w:t>
      </w:r>
      <w:r w:rsidR="003D0582" w:rsidRPr="00295637">
        <w:rPr>
          <w:rFonts w:ascii="Times New Roman" w:hAnsi="Times New Roman"/>
          <w:lang w:val="sr-Cyrl-BA"/>
        </w:rPr>
        <w:t xml:space="preserve"> </w:t>
      </w:r>
      <w:r>
        <w:rPr>
          <w:rFonts w:ascii="Times New Roman" w:hAnsi="Times New Roman"/>
          <w:lang w:val="sr-Cyrl-BA"/>
        </w:rPr>
        <w:t>равноправност</w:t>
      </w:r>
      <w:r w:rsidR="003D0582" w:rsidRPr="00295637">
        <w:rPr>
          <w:rFonts w:ascii="Times New Roman" w:hAnsi="Times New Roman"/>
          <w:lang w:val="sr-Cyrl-BA"/>
        </w:rPr>
        <w:t xml:space="preserve"> </w:t>
      </w:r>
      <w:r>
        <w:rPr>
          <w:rFonts w:ascii="Times New Roman" w:hAnsi="Times New Roman"/>
          <w:lang w:val="sr-Cyrl-BA"/>
        </w:rPr>
        <w:t>полова</w:t>
      </w:r>
      <w:r w:rsidR="003D0582" w:rsidRPr="00295637">
        <w:rPr>
          <w:rFonts w:ascii="Times New Roman" w:hAnsi="Times New Roman"/>
          <w:lang w:val="sr-Cyrl-BA"/>
        </w:rPr>
        <w:t xml:space="preserve"> </w:t>
      </w:r>
      <w:r>
        <w:rPr>
          <w:rFonts w:ascii="Times New Roman" w:hAnsi="Times New Roman"/>
          <w:lang w:val="sr-Cyrl-BA"/>
        </w:rPr>
        <w:t>у</w:t>
      </w:r>
      <w:r w:rsidR="003D0582" w:rsidRPr="00295637">
        <w:rPr>
          <w:rFonts w:ascii="Times New Roman" w:hAnsi="Times New Roman"/>
          <w:lang w:val="sr-Cyrl-BA"/>
        </w:rPr>
        <w:t xml:space="preserve"> </w:t>
      </w:r>
      <w:r>
        <w:rPr>
          <w:rFonts w:ascii="Times New Roman" w:hAnsi="Times New Roman"/>
          <w:lang w:val="sr-Cyrl-BA"/>
        </w:rPr>
        <w:t>Републици</w:t>
      </w:r>
      <w:r w:rsidR="003D0582" w:rsidRPr="00295637">
        <w:rPr>
          <w:rFonts w:ascii="Times New Roman" w:hAnsi="Times New Roman"/>
          <w:lang w:val="sr-Cyrl-BA"/>
        </w:rPr>
        <w:t xml:space="preserve"> </w:t>
      </w:r>
      <w:r>
        <w:rPr>
          <w:rFonts w:ascii="Times New Roman" w:hAnsi="Times New Roman"/>
          <w:lang w:val="sr-Cyrl-BA"/>
        </w:rPr>
        <w:t>Српској</w:t>
      </w:r>
      <w:r w:rsidR="003D0582" w:rsidRPr="00295637">
        <w:rPr>
          <w:rFonts w:ascii="Times New Roman" w:hAnsi="Times New Roman"/>
          <w:lang w:val="sr-Cyrl-BA"/>
        </w:rPr>
        <w:t xml:space="preserve"> </w:t>
      </w:r>
      <w:r>
        <w:rPr>
          <w:rFonts w:ascii="Times New Roman" w:hAnsi="Times New Roman"/>
          <w:lang w:val="sr-Cyrl-BA"/>
        </w:rPr>
        <w:t>за</w:t>
      </w:r>
      <w:r w:rsidR="003D0582" w:rsidRPr="00295637">
        <w:rPr>
          <w:rFonts w:ascii="Times New Roman" w:hAnsi="Times New Roman"/>
          <w:lang w:val="sr-Cyrl-BA"/>
        </w:rPr>
        <w:t xml:space="preserve"> 2024. </w:t>
      </w:r>
      <w:r>
        <w:rPr>
          <w:rFonts w:ascii="Times New Roman" w:hAnsi="Times New Roman"/>
          <w:lang w:val="sr-Cyrl-BA"/>
        </w:rPr>
        <w:t>годину</w:t>
      </w:r>
      <w:r w:rsidR="003D0582" w:rsidRPr="00295637">
        <w:rPr>
          <w:rFonts w:ascii="Times New Roman" w:hAnsi="Times New Roman"/>
          <w:lang w:val="sr-Cyrl-BA"/>
        </w:rPr>
        <w:t xml:space="preserve"> </w:t>
      </w:r>
      <w:r>
        <w:rPr>
          <w:rFonts w:ascii="Times New Roman" w:hAnsi="Times New Roman"/>
          <w:lang w:val="sr-Cyrl-BA"/>
        </w:rPr>
        <w:t>у</w:t>
      </w:r>
      <w:r w:rsidR="003D0582" w:rsidRPr="00295637">
        <w:rPr>
          <w:rFonts w:ascii="Times New Roman" w:hAnsi="Times New Roman"/>
          <w:lang w:val="sr-Cyrl-BA"/>
        </w:rPr>
        <w:t xml:space="preserve"> </w:t>
      </w:r>
      <w:r>
        <w:rPr>
          <w:rFonts w:ascii="Times New Roman" w:hAnsi="Times New Roman"/>
          <w:lang w:val="sr-Cyrl-BA"/>
        </w:rPr>
        <w:t>оквиру</w:t>
      </w:r>
      <w:r w:rsidR="003D0582" w:rsidRPr="00295637">
        <w:rPr>
          <w:rFonts w:ascii="Times New Roman" w:hAnsi="Times New Roman"/>
          <w:lang w:val="sr-Cyrl-BA"/>
        </w:rPr>
        <w:t xml:space="preserve"> </w:t>
      </w:r>
      <w:r w:rsidR="006318F4">
        <w:rPr>
          <w:rFonts w:ascii="Times New Roman" w:hAnsi="Times New Roman"/>
          <w:lang w:val="sr-Cyrl-BA"/>
        </w:rPr>
        <w:t>спровођења</w:t>
      </w:r>
      <w:r w:rsidR="003D0582" w:rsidRPr="00295637">
        <w:rPr>
          <w:rFonts w:ascii="Times New Roman" w:hAnsi="Times New Roman"/>
          <w:lang w:val="sr-Cyrl-BA"/>
        </w:rPr>
        <w:t xml:space="preserve"> </w:t>
      </w:r>
      <w:r>
        <w:rPr>
          <w:rFonts w:ascii="Times New Roman" w:hAnsi="Times New Roman"/>
          <w:lang w:val="sr-Cyrl-BA"/>
        </w:rPr>
        <w:t>Г</w:t>
      </w:r>
      <w:r>
        <w:rPr>
          <w:rFonts w:ascii="Times New Roman" w:hAnsi="Times New Roman"/>
          <w:lang w:val="bs-Latn-BA"/>
        </w:rPr>
        <w:t>АП</w:t>
      </w:r>
      <w:r w:rsidR="00057AB3" w:rsidRPr="00295637">
        <w:rPr>
          <w:rFonts w:ascii="Times New Roman" w:hAnsi="Times New Roman"/>
          <w:lang w:val="bs-Latn-BA"/>
        </w:rPr>
        <w:t xml:space="preserve"> </w:t>
      </w:r>
      <w:r>
        <w:rPr>
          <w:rFonts w:ascii="Times New Roman" w:hAnsi="Times New Roman"/>
          <w:lang w:val="sr-Cyrl-BA"/>
        </w:rPr>
        <w:t>БиХ</w:t>
      </w:r>
      <w:r w:rsidR="003D0582" w:rsidRPr="00295637">
        <w:rPr>
          <w:rFonts w:ascii="Times New Roman" w:hAnsi="Times New Roman"/>
          <w:lang w:val="sr-Cyrl-BA"/>
        </w:rPr>
        <w:t xml:space="preserve"> </w:t>
      </w:r>
      <w:r>
        <w:rPr>
          <w:rFonts w:ascii="Times New Roman" w:hAnsi="Times New Roman"/>
          <w:lang w:val="sr-Cyrl-BA"/>
        </w:rPr>
        <w:t>за</w:t>
      </w:r>
      <w:r w:rsidR="003D0582" w:rsidRPr="00295637">
        <w:rPr>
          <w:rFonts w:ascii="Times New Roman" w:hAnsi="Times New Roman"/>
          <w:lang w:val="sr-Cyrl-BA"/>
        </w:rPr>
        <w:t xml:space="preserve"> </w:t>
      </w:r>
      <w:r>
        <w:rPr>
          <w:rFonts w:ascii="Times New Roman" w:hAnsi="Times New Roman"/>
          <w:lang w:val="hr-HR"/>
        </w:rPr>
        <w:t>период</w:t>
      </w:r>
      <w:r w:rsidR="003D0582" w:rsidRPr="00295637">
        <w:rPr>
          <w:rFonts w:ascii="Times New Roman" w:hAnsi="Times New Roman"/>
          <w:lang w:val="sr-Cyrl-BA"/>
        </w:rPr>
        <w:t xml:space="preserve"> 2023</w:t>
      </w:r>
      <w:r w:rsidR="00D81552">
        <w:rPr>
          <w:rFonts w:ascii="Times New Roman" w:hAnsi="Times New Roman"/>
          <w:lang w:val="bs-Latn-BA"/>
        </w:rPr>
        <w:t>-</w:t>
      </w:r>
      <w:r w:rsidR="003D0582" w:rsidRPr="00295637">
        <w:rPr>
          <w:rFonts w:ascii="Times New Roman" w:hAnsi="Times New Roman"/>
          <w:lang w:val="sr-Cyrl-BA"/>
        </w:rPr>
        <w:t>2027</w:t>
      </w:r>
      <w:r w:rsidR="00D81552">
        <w:rPr>
          <w:rFonts w:ascii="Times New Roman" w:hAnsi="Times New Roman"/>
          <w:lang w:val="hr-HR"/>
        </w:rPr>
        <w:t xml:space="preserve">. </w:t>
      </w:r>
      <w:r>
        <w:rPr>
          <w:rFonts w:ascii="Times New Roman" w:hAnsi="Times New Roman"/>
          <w:lang w:val="hr-HR"/>
        </w:rPr>
        <w:t>година</w:t>
      </w:r>
      <w:r w:rsidR="003D0582" w:rsidRPr="00295637">
        <w:rPr>
          <w:rFonts w:ascii="Times New Roman" w:hAnsi="Times New Roman"/>
          <w:lang w:val="sr-Latn-BA"/>
        </w:rPr>
        <w:t xml:space="preserve"> (</w:t>
      </w:r>
      <w:r>
        <w:rPr>
          <w:rFonts w:ascii="Times New Roman" w:hAnsi="Times New Roman"/>
          <w:lang w:val="sr-Latn-BA"/>
        </w:rPr>
        <w:t>ГОП</w:t>
      </w:r>
      <w:r w:rsidR="003D0582" w:rsidRPr="00295637">
        <w:rPr>
          <w:rFonts w:ascii="Times New Roman" w:hAnsi="Times New Roman"/>
          <w:lang w:val="sr-Latn-BA"/>
        </w:rPr>
        <w:t xml:space="preserve"> </w:t>
      </w:r>
      <w:r>
        <w:rPr>
          <w:rFonts w:ascii="Times New Roman" w:hAnsi="Times New Roman"/>
          <w:lang w:val="sr-Latn-BA"/>
        </w:rPr>
        <w:t>РС</w:t>
      </w:r>
      <w:r w:rsidR="003D0582" w:rsidRPr="00295637">
        <w:rPr>
          <w:rFonts w:ascii="Times New Roman" w:hAnsi="Times New Roman"/>
          <w:lang w:val="sr-Latn-BA"/>
        </w:rPr>
        <w:t xml:space="preserve"> 2024)</w:t>
      </w:r>
      <w:r w:rsidR="003D0582" w:rsidRPr="00295637">
        <w:rPr>
          <w:rFonts w:ascii="Times New Roman" w:hAnsi="Times New Roman"/>
          <w:lang w:val="sr-Cyrl-BA"/>
        </w:rPr>
        <w:t xml:space="preserve">. </w:t>
      </w:r>
      <w:r>
        <w:rPr>
          <w:rFonts w:ascii="Times New Roman" w:hAnsi="Times New Roman"/>
          <w:lang w:val="sr-Cyrl-BA"/>
        </w:rPr>
        <w:t>За</w:t>
      </w:r>
      <w:r w:rsidR="003D0582" w:rsidRPr="00295637">
        <w:rPr>
          <w:rFonts w:ascii="Times New Roman" w:hAnsi="Times New Roman"/>
          <w:lang w:val="sr-Cyrl-BA"/>
        </w:rPr>
        <w:t xml:space="preserve"> </w:t>
      </w:r>
      <w:r>
        <w:rPr>
          <w:rFonts w:ascii="Times New Roman" w:hAnsi="Times New Roman"/>
          <w:lang w:val="sr-Cyrl-BA"/>
        </w:rPr>
        <w:t>координацију</w:t>
      </w:r>
      <w:r w:rsidR="003D0582" w:rsidRPr="00295637">
        <w:rPr>
          <w:rFonts w:ascii="Times New Roman" w:hAnsi="Times New Roman"/>
          <w:lang w:val="sr-Cyrl-BA"/>
        </w:rPr>
        <w:t xml:space="preserve">, </w:t>
      </w:r>
      <w:r w:rsidR="006318F4">
        <w:rPr>
          <w:rFonts w:ascii="Times New Roman" w:hAnsi="Times New Roman"/>
          <w:lang w:val="sr-Cyrl-BA"/>
        </w:rPr>
        <w:t>спровођење</w:t>
      </w:r>
      <w:r w:rsidR="003D0582" w:rsidRPr="00295637">
        <w:rPr>
          <w:rFonts w:ascii="Times New Roman" w:hAnsi="Times New Roman"/>
          <w:lang w:val="sr-Cyrl-BA"/>
        </w:rPr>
        <w:t xml:space="preserve">, </w:t>
      </w:r>
      <w:r>
        <w:rPr>
          <w:rFonts w:ascii="Times New Roman" w:hAnsi="Times New Roman"/>
          <w:lang w:val="sr-Cyrl-BA"/>
        </w:rPr>
        <w:t>праћење</w:t>
      </w:r>
      <w:r w:rsidR="003D0582" w:rsidRPr="00295637">
        <w:rPr>
          <w:rFonts w:ascii="Times New Roman" w:hAnsi="Times New Roman"/>
          <w:lang w:val="sr-Cyrl-BA"/>
        </w:rPr>
        <w:t xml:space="preserve"> </w:t>
      </w:r>
      <w:r>
        <w:rPr>
          <w:rFonts w:ascii="Times New Roman" w:hAnsi="Times New Roman"/>
          <w:lang w:val="sr-Cyrl-BA"/>
        </w:rPr>
        <w:t>и</w:t>
      </w:r>
      <w:r w:rsidR="003D0582"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тавање</w:t>
      </w:r>
      <w:r w:rsidR="003D0582" w:rsidRPr="00295637">
        <w:rPr>
          <w:rFonts w:ascii="Times New Roman" w:hAnsi="Times New Roman"/>
          <w:lang w:val="sr-Cyrl-BA"/>
        </w:rPr>
        <w:t xml:space="preserve"> </w:t>
      </w:r>
      <w:r>
        <w:rPr>
          <w:rFonts w:ascii="Times New Roman" w:hAnsi="Times New Roman"/>
          <w:lang w:val="sr-Cyrl-BA"/>
        </w:rPr>
        <w:t>В</w:t>
      </w:r>
      <w:r>
        <w:rPr>
          <w:rFonts w:ascii="Times New Roman" w:hAnsi="Times New Roman"/>
          <w:lang w:val="bs-Latn-BA"/>
        </w:rPr>
        <w:t>ладе</w:t>
      </w:r>
      <w:r w:rsidR="00491EA8">
        <w:rPr>
          <w:rFonts w:ascii="Times New Roman" w:hAnsi="Times New Roman"/>
          <w:lang w:val="bs-Latn-BA"/>
        </w:rPr>
        <w:t xml:space="preserve"> </w:t>
      </w:r>
      <w:r>
        <w:rPr>
          <w:rFonts w:ascii="Times New Roman" w:hAnsi="Times New Roman"/>
          <w:lang w:val="bs-Latn-BA"/>
        </w:rPr>
        <w:t>РС</w:t>
      </w:r>
      <w:r w:rsidR="003D0582" w:rsidRPr="00295637">
        <w:rPr>
          <w:rFonts w:ascii="Times New Roman" w:hAnsi="Times New Roman"/>
          <w:lang w:val="sr-Cyrl-BA"/>
        </w:rPr>
        <w:t xml:space="preserve"> </w:t>
      </w:r>
      <w:r>
        <w:rPr>
          <w:rFonts w:ascii="Times New Roman" w:hAnsi="Times New Roman"/>
          <w:lang w:val="sr-Cyrl-BA"/>
        </w:rPr>
        <w:t>о</w:t>
      </w:r>
      <w:r w:rsidR="003D0582" w:rsidRPr="00295637">
        <w:rPr>
          <w:rFonts w:ascii="Times New Roman" w:hAnsi="Times New Roman"/>
          <w:lang w:val="sr-Cyrl-BA"/>
        </w:rPr>
        <w:t xml:space="preserve"> </w:t>
      </w:r>
      <w:r>
        <w:rPr>
          <w:rFonts w:ascii="Times New Roman" w:hAnsi="Times New Roman"/>
          <w:lang w:val="sr-Cyrl-BA"/>
        </w:rPr>
        <w:t>реализацији</w:t>
      </w:r>
      <w:r w:rsidR="003D0582" w:rsidRPr="00295637">
        <w:rPr>
          <w:rFonts w:ascii="Times New Roman" w:hAnsi="Times New Roman"/>
          <w:lang w:val="sr-Cyrl-BA"/>
        </w:rPr>
        <w:t xml:space="preserve"> </w:t>
      </w:r>
      <w:r>
        <w:rPr>
          <w:rFonts w:ascii="Times New Roman" w:hAnsi="Times New Roman"/>
          <w:lang w:val="sr-Cyrl-BA"/>
        </w:rPr>
        <w:t>плана</w:t>
      </w:r>
      <w:r w:rsidR="003D0582" w:rsidRPr="00295637">
        <w:rPr>
          <w:rFonts w:ascii="Times New Roman" w:hAnsi="Times New Roman"/>
          <w:lang w:val="sr-Cyrl-BA"/>
        </w:rPr>
        <w:t xml:space="preserve"> </w:t>
      </w:r>
      <w:r>
        <w:rPr>
          <w:rFonts w:ascii="Times New Roman" w:hAnsi="Times New Roman"/>
          <w:lang w:val="sr-Cyrl-BA"/>
        </w:rPr>
        <w:t>задужен</w:t>
      </w:r>
      <w:r w:rsidR="003D0582" w:rsidRPr="00295637">
        <w:rPr>
          <w:rFonts w:ascii="Times New Roman" w:hAnsi="Times New Roman"/>
          <w:lang w:val="sr-Cyrl-BA"/>
        </w:rPr>
        <w:t xml:space="preserve"> </w:t>
      </w:r>
      <w:r>
        <w:rPr>
          <w:rFonts w:ascii="Times New Roman" w:hAnsi="Times New Roman"/>
          <w:lang w:val="sr-Cyrl-BA"/>
        </w:rPr>
        <w:t>је</w:t>
      </w:r>
      <w:r w:rsidR="003D0582" w:rsidRPr="00295637">
        <w:rPr>
          <w:rFonts w:ascii="Times New Roman" w:hAnsi="Times New Roman"/>
          <w:lang w:val="sr-Cyrl-BA"/>
        </w:rPr>
        <w:t xml:space="preserve"> </w:t>
      </w:r>
      <w:r>
        <w:rPr>
          <w:rFonts w:ascii="Times New Roman" w:hAnsi="Times New Roman"/>
          <w:lang w:val="sr-Cyrl-BA"/>
        </w:rPr>
        <w:t>ЦЈРП</w:t>
      </w:r>
      <w:r w:rsidR="003D0582" w:rsidRPr="00295637">
        <w:rPr>
          <w:rFonts w:ascii="Times New Roman" w:hAnsi="Times New Roman"/>
          <w:lang w:val="sr-Latn-BA"/>
        </w:rPr>
        <w:t xml:space="preserve"> </w:t>
      </w:r>
      <w:r>
        <w:rPr>
          <w:rFonts w:ascii="Times New Roman" w:hAnsi="Times New Roman"/>
          <w:lang w:val="sr-Cyrl-BA"/>
        </w:rPr>
        <w:t>РС</w:t>
      </w:r>
      <w:r w:rsidR="003D0582" w:rsidRPr="00295637">
        <w:rPr>
          <w:rFonts w:ascii="Times New Roman" w:hAnsi="Times New Roman"/>
          <w:lang w:val="sr-Cyrl-BA"/>
        </w:rPr>
        <w:t xml:space="preserve">, </w:t>
      </w:r>
      <w:r>
        <w:rPr>
          <w:rFonts w:ascii="Times New Roman" w:hAnsi="Times New Roman"/>
          <w:lang w:val="sr-Cyrl-BA"/>
        </w:rPr>
        <w:t>а</w:t>
      </w:r>
      <w:r w:rsidR="003D0582" w:rsidRPr="00295637">
        <w:rPr>
          <w:rFonts w:ascii="Times New Roman" w:hAnsi="Times New Roman"/>
          <w:lang w:val="sr-Cyrl-BA"/>
        </w:rPr>
        <w:t xml:space="preserve"> </w:t>
      </w:r>
      <w:r>
        <w:rPr>
          <w:rFonts w:ascii="Times New Roman" w:hAnsi="Times New Roman"/>
          <w:lang w:val="sr-Cyrl-BA"/>
        </w:rPr>
        <w:t>за</w:t>
      </w:r>
      <w:r w:rsidR="003D0582" w:rsidRPr="00295637">
        <w:rPr>
          <w:rFonts w:ascii="Times New Roman" w:hAnsi="Times New Roman"/>
          <w:lang w:val="sr-Cyrl-BA"/>
        </w:rPr>
        <w:t xml:space="preserve"> </w:t>
      </w:r>
      <w:r>
        <w:rPr>
          <w:rFonts w:ascii="Times New Roman" w:hAnsi="Times New Roman"/>
          <w:lang w:val="hr-HR"/>
        </w:rPr>
        <w:t>учешће</w:t>
      </w:r>
      <w:r w:rsidR="003D0582" w:rsidRPr="00295637">
        <w:rPr>
          <w:rFonts w:ascii="Times New Roman" w:hAnsi="Times New Roman"/>
          <w:lang w:val="sr-Cyrl-BA"/>
        </w:rPr>
        <w:t xml:space="preserve"> </w:t>
      </w:r>
      <w:r>
        <w:rPr>
          <w:rFonts w:ascii="Times New Roman" w:hAnsi="Times New Roman"/>
          <w:lang w:val="sr-Cyrl-BA"/>
        </w:rPr>
        <w:t>у</w:t>
      </w:r>
      <w:r w:rsidR="003D0582" w:rsidRPr="00295637">
        <w:rPr>
          <w:rFonts w:ascii="Times New Roman" w:hAnsi="Times New Roman"/>
          <w:lang w:val="sr-Cyrl-BA"/>
        </w:rPr>
        <w:t xml:space="preserve"> </w:t>
      </w:r>
      <w:r w:rsidR="006318F4">
        <w:rPr>
          <w:rFonts w:ascii="Times New Roman" w:hAnsi="Times New Roman"/>
          <w:lang w:val="sr-Cyrl-BA"/>
        </w:rPr>
        <w:t>спровођењу</w:t>
      </w:r>
      <w:r w:rsidR="003D0582" w:rsidRPr="00295637">
        <w:rPr>
          <w:rFonts w:ascii="Times New Roman" w:hAnsi="Times New Roman"/>
          <w:lang w:val="sr-Cyrl-BA"/>
        </w:rPr>
        <w:t xml:space="preserve"> </w:t>
      </w:r>
      <w:r>
        <w:rPr>
          <w:rFonts w:ascii="Times New Roman" w:hAnsi="Times New Roman"/>
          <w:lang w:val="sr-Cyrl-BA"/>
        </w:rPr>
        <w:t>мјера</w:t>
      </w:r>
      <w:r w:rsidR="003D0582" w:rsidRPr="00295637">
        <w:rPr>
          <w:rFonts w:ascii="Times New Roman" w:hAnsi="Times New Roman"/>
          <w:lang w:val="sr-Cyrl-BA"/>
        </w:rPr>
        <w:t xml:space="preserve"> </w:t>
      </w:r>
      <w:r>
        <w:rPr>
          <w:rFonts w:ascii="Times New Roman" w:hAnsi="Times New Roman"/>
          <w:lang w:val="sr-Cyrl-BA"/>
        </w:rPr>
        <w:t>и</w:t>
      </w:r>
      <w:r w:rsidR="003D0582" w:rsidRPr="00295637">
        <w:rPr>
          <w:rFonts w:ascii="Times New Roman" w:hAnsi="Times New Roman"/>
          <w:lang w:val="sr-Cyrl-BA"/>
        </w:rPr>
        <w:t xml:space="preserve"> </w:t>
      </w:r>
      <w:r>
        <w:rPr>
          <w:rFonts w:ascii="Times New Roman" w:hAnsi="Times New Roman"/>
          <w:lang w:val="sr-Cyrl-BA"/>
        </w:rPr>
        <w:t>активности</w:t>
      </w:r>
      <w:r w:rsidR="003D0582" w:rsidRPr="00295637">
        <w:rPr>
          <w:rFonts w:ascii="Times New Roman" w:hAnsi="Times New Roman"/>
          <w:lang w:val="sr-Cyrl-BA"/>
        </w:rPr>
        <w:t xml:space="preserve"> </w:t>
      </w:r>
      <w:r>
        <w:rPr>
          <w:rFonts w:ascii="Times New Roman" w:hAnsi="Times New Roman"/>
          <w:lang w:val="sr-Cyrl-BA"/>
        </w:rPr>
        <w:t>из</w:t>
      </w:r>
      <w:r w:rsidR="003D0582" w:rsidRPr="00295637">
        <w:rPr>
          <w:rFonts w:ascii="Times New Roman" w:hAnsi="Times New Roman"/>
          <w:lang w:val="sr-Cyrl-BA"/>
        </w:rPr>
        <w:t xml:space="preserve"> </w:t>
      </w:r>
      <w:r>
        <w:rPr>
          <w:rFonts w:ascii="Times New Roman" w:hAnsi="Times New Roman"/>
          <w:lang w:val="sr-Cyrl-BA"/>
        </w:rPr>
        <w:t>плана</w:t>
      </w:r>
      <w:r w:rsidR="003D0582" w:rsidRPr="00295637">
        <w:rPr>
          <w:rFonts w:ascii="Times New Roman" w:hAnsi="Times New Roman"/>
          <w:lang w:val="sr-Cyrl-BA"/>
        </w:rPr>
        <w:t xml:space="preserve"> </w:t>
      </w:r>
      <w:r>
        <w:rPr>
          <w:rFonts w:ascii="Times New Roman" w:hAnsi="Times New Roman"/>
          <w:lang w:val="sr-Cyrl-BA"/>
        </w:rPr>
        <w:t>задужена</w:t>
      </w:r>
      <w:r w:rsidR="003D0582" w:rsidRPr="00295637">
        <w:rPr>
          <w:rFonts w:ascii="Times New Roman" w:hAnsi="Times New Roman"/>
          <w:lang w:val="sr-Cyrl-BA"/>
        </w:rPr>
        <w:t xml:space="preserve"> </w:t>
      </w:r>
      <w:r>
        <w:rPr>
          <w:rFonts w:ascii="Times New Roman" w:hAnsi="Times New Roman"/>
          <w:lang w:val="sr-Cyrl-BA"/>
        </w:rPr>
        <w:t>су</w:t>
      </w:r>
      <w:r w:rsidR="003D0582" w:rsidRPr="00295637">
        <w:rPr>
          <w:rFonts w:ascii="Times New Roman" w:hAnsi="Times New Roman"/>
          <w:lang w:val="sr-Cyrl-BA"/>
        </w:rPr>
        <w:t xml:space="preserve"> </w:t>
      </w:r>
      <w:r>
        <w:rPr>
          <w:rFonts w:ascii="Times New Roman" w:hAnsi="Times New Roman"/>
          <w:lang w:val="sr-Cyrl-BA"/>
        </w:rPr>
        <w:t>министарства</w:t>
      </w:r>
      <w:r w:rsidR="003D0582" w:rsidRPr="00295637">
        <w:rPr>
          <w:rFonts w:ascii="Times New Roman" w:hAnsi="Times New Roman"/>
          <w:lang w:val="sr-Cyrl-BA"/>
        </w:rPr>
        <w:t xml:space="preserve"> </w:t>
      </w:r>
      <w:r>
        <w:rPr>
          <w:rFonts w:ascii="Times New Roman" w:hAnsi="Times New Roman"/>
          <w:lang w:val="hr-HR"/>
        </w:rPr>
        <w:t>у</w:t>
      </w:r>
      <w:r w:rsidR="00944633">
        <w:rPr>
          <w:rFonts w:ascii="Times New Roman" w:hAnsi="Times New Roman"/>
          <w:lang w:val="hr-HR"/>
        </w:rPr>
        <w:t xml:space="preserve"> </w:t>
      </w:r>
      <w:r>
        <w:rPr>
          <w:rFonts w:ascii="Times New Roman" w:hAnsi="Times New Roman"/>
          <w:lang w:val="hr-HR"/>
        </w:rPr>
        <w:t>складу</w:t>
      </w:r>
      <w:r w:rsidR="00944633">
        <w:rPr>
          <w:rFonts w:ascii="Times New Roman" w:hAnsi="Times New Roman"/>
          <w:lang w:val="hr-HR"/>
        </w:rPr>
        <w:t xml:space="preserve"> </w:t>
      </w:r>
      <w:r>
        <w:rPr>
          <w:rFonts w:ascii="Times New Roman" w:hAnsi="Times New Roman"/>
          <w:lang w:val="hr-HR"/>
        </w:rPr>
        <w:t>са</w:t>
      </w:r>
      <w:r w:rsidR="003D0582" w:rsidRPr="00295637">
        <w:rPr>
          <w:rFonts w:ascii="Times New Roman" w:hAnsi="Times New Roman"/>
          <w:lang w:val="sr-Cyrl-BA"/>
        </w:rPr>
        <w:t xml:space="preserve"> </w:t>
      </w:r>
      <w:r>
        <w:rPr>
          <w:rFonts w:ascii="Times New Roman" w:hAnsi="Times New Roman"/>
          <w:lang w:val="sr-Cyrl-BA"/>
        </w:rPr>
        <w:t>својим</w:t>
      </w:r>
      <w:r w:rsidR="003D0582" w:rsidRPr="00295637">
        <w:rPr>
          <w:rFonts w:ascii="Times New Roman" w:hAnsi="Times New Roman"/>
          <w:lang w:val="sr-Cyrl-BA"/>
        </w:rPr>
        <w:t xml:space="preserve"> </w:t>
      </w:r>
      <w:r>
        <w:rPr>
          <w:rFonts w:ascii="Times New Roman" w:hAnsi="Times New Roman"/>
          <w:lang w:val="sr-Cyrl-BA"/>
        </w:rPr>
        <w:t>ресорним</w:t>
      </w:r>
      <w:r w:rsidR="003D0582" w:rsidRPr="00295637">
        <w:rPr>
          <w:rFonts w:ascii="Times New Roman" w:hAnsi="Times New Roman"/>
          <w:lang w:val="sr-Cyrl-BA"/>
        </w:rPr>
        <w:t xml:space="preserve"> </w:t>
      </w:r>
      <w:r>
        <w:rPr>
          <w:rFonts w:ascii="Times New Roman" w:hAnsi="Times New Roman"/>
          <w:lang w:val="sr-Cyrl-BA"/>
        </w:rPr>
        <w:t>надлежностима</w:t>
      </w:r>
      <w:r w:rsidR="008F3EB7" w:rsidRPr="00295637">
        <w:rPr>
          <w:rFonts w:ascii="Times New Roman" w:hAnsi="Times New Roman"/>
          <w:lang w:val="bs-Latn-BA"/>
        </w:rPr>
        <w:t>.</w:t>
      </w:r>
    </w:p>
    <w:p w:rsidR="00A34215" w:rsidRPr="00295637" w:rsidRDefault="00A34215" w:rsidP="0086268D">
      <w:pPr>
        <w:pStyle w:val="Normal1"/>
      </w:pPr>
    </w:p>
    <w:p w:rsidR="00356C2C" w:rsidRPr="00295637" w:rsidRDefault="006318F4" w:rsidP="00944633">
      <w:pPr>
        <w:tabs>
          <w:tab w:val="left" w:pos="284"/>
          <w:tab w:val="left" w:pos="630"/>
          <w:tab w:val="left" w:pos="1080"/>
        </w:tabs>
        <w:ind w:left="567"/>
        <w:jc w:val="both"/>
        <w:rPr>
          <w:rFonts w:ascii="Times New Roman" w:hAnsi="Times New Roman"/>
          <w:szCs w:val="24"/>
          <w:lang w:val="bs-Latn-BA"/>
        </w:rPr>
      </w:pPr>
      <w:r>
        <w:rPr>
          <w:rFonts w:ascii="Times New Roman" w:hAnsi="Times New Roman"/>
          <w:szCs w:val="24"/>
          <w:lang w:val="bs-Latn-BA"/>
        </w:rPr>
        <w:t>II</w:t>
      </w:r>
      <w:r w:rsidR="00944633">
        <w:rPr>
          <w:rFonts w:ascii="Times New Roman" w:hAnsi="Times New Roman"/>
          <w:szCs w:val="24"/>
          <w:lang w:val="bs-Latn-BA"/>
        </w:rPr>
        <w:t xml:space="preserve"> 1.6. </w:t>
      </w:r>
      <w:r w:rsidR="00C6214E">
        <w:rPr>
          <w:rFonts w:ascii="Times New Roman" w:hAnsi="Times New Roman"/>
          <w:szCs w:val="24"/>
          <w:lang w:val="bs-Latn-BA"/>
        </w:rPr>
        <w:t>Израда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годишњих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завршног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извјештаја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Pr>
          <w:rFonts w:ascii="Times New Roman" w:hAnsi="Times New Roman"/>
          <w:szCs w:val="24"/>
          <w:lang w:val="sr-Cyrl-BA"/>
        </w:rPr>
        <w:t>спровођењу</w:t>
      </w:r>
      <w:r w:rsidR="00356C2C" w:rsidRPr="00295637">
        <w:rPr>
          <w:rFonts w:ascii="Times New Roman" w:hAnsi="Times New Roman"/>
          <w:szCs w:val="24"/>
          <w:lang w:val="bs-Latn-BA"/>
        </w:rPr>
        <w:t xml:space="preserve"> </w:t>
      </w:r>
      <w:r w:rsidR="00C6214E">
        <w:rPr>
          <w:rFonts w:ascii="Times New Roman" w:hAnsi="Times New Roman"/>
          <w:szCs w:val="24"/>
          <w:lang w:val="bs-Latn-BA"/>
        </w:rPr>
        <w:t>ГАП</w:t>
      </w:r>
      <w:r w:rsidR="00050016">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достављање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владама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ентитета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разматрање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усвајање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након</w:t>
      </w:r>
      <w:r w:rsidR="00356C2C" w:rsidRPr="00295637">
        <w:rPr>
          <w:rFonts w:ascii="Times New Roman" w:hAnsi="Times New Roman"/>
          <w:szCs w:val="24"/>
          <w:lang w:val="bs-Latn-BA"/>
        </w:rPr>
        <w:t xml:space="preserve"> </w:t>
      </w:r>
      <w:r w:rsidR="00C6214E">
        <w:rPr>
          <w:rFonts w:ascii="Times New Roman" w:hAnsi="Times New Roman"/>
          <w:szCs w:val="24"/>
          <w:lang w:val="bs-Latn-BA"/>
        </w:rPr>
        <w:t>чега</w:t>
      </w:r>
      <w:r w:rsidR="00356C2C" w:rsidRPr="00295637">
        <w:rPr>
          <w:rFonts w:ascii="Times New Roman" w:hAnsi="Times New Roman"/>
          <w:szCs w:val="24"/>
          <w:lang w:val="bs-Latn-BA"/>
        </w:rPr>
        <w:t xml:space="preserve"> </w:t>
      </w:r>
      <w:r w:rsidR="00C6214E">
        <w:rPr>
          <w:rFonts w:ascii="Times New Roman" w:hAnsi="Times New Roman"/>
          <w:szCs w:val="24"/>
          <w:lang w:val="bs-Latn-BA"/>
        </w:rPr>
        <w:t>се</w:t>
      </w:r>
      <w:r w:rsidR="00356C2C" w:rsidRPr="00295637">
        <w:rPr>
          <w:rFonts w:ascii="Times New Roman" w:hAnsi="Times New Roman"/>
          <w:szCs w:val="24"/>
          <w:lang w:val="bs-Latn-BA"/>
        </w:rPr>
        <w:t xml:space="preserve"> </w:t>
      </w:r>
      <w:r w:rsidR="00C6214E">
        <w:rPr>
          <w:rFonts w:ascii="Times New Roman" w:hAnsi="Times New Roman"/>
          <w:szCs w:val="24"/>
          <w:lang w:val="bs-Latn-BA"/>
        </w:rPr>
        <w:t>компилирани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извјештај</w:t>
      </w:r>
      <w:r w:rsidR="00356C2C" w:rsidRPr="00295637">
        <w:rPr>
          <w:rFonts w:ascii="Times New Roman" w:hAnsi="Times New Roman"/>
          <w:szCs w:val="24"/>
          <w:lang w:val="bs-Latn-BA"/>
        </w:rPr>
        <w:t xml:space="preserve"> </w:t>
      </w:r>
      <w:r w:rsidR="00C6214E">
        <w:rPr>
          <w:rFonts w:ascii="Times New Roman" w:hAnsi="Times New Roman"/>
          <w:szCs w:val="24"/>
          <w:lang w:val="bs-Latn-BA"/>
        </w:rPr>
        <w:t>доставља</w:t>
      </w:r>
      <w:r w:rsidR="00356C2C" w:rsidRPr="00295637">
        <w:rPr>
          <w:rFonts w:ascii="Times New Roman" w:hAnsi="Times New Roman"/>
          <w:szCs w:val="24"/>
          <w:lang w:val="bs-Latn-BA"/>
        </w:rPr>
        <w:t xml:space="preserve"> </w:t>
      </w:r>
      <w:r>
        <w:rPr>
          <w:rFonts w:ascii="Times New Roman" w:hAnsi="Times New Roman"/>
          <w:szCs w:val="24"/>
          <w:lang w:val="sr-Cyrl-BA"/>
        </w:rPr>
        <w:t>С</w:t>
      </w:r>
      <w:r w:rsidR="00C6214E">
        <w:rPr>
          <w:rFonts w:ascii="Times New Roman" w:hAnsi="Times New Roman"/>
          <w:szCs w:val="24"/>
          <w:lang w:val="bs-Latn-BA"/>
        </w:rPr>
        <w:t>М</w:t>
      </w:r>
      <w:r w:rsidR="00944633">
        <w:rPr>
          <w:rFonts w:ascii="Times New Roman" w:hAnsi="Times New Roman"/>
          <w:szCs w:val="24"/>
          <w:lang w:val="bs-Latn-BA"/>
        </w:rPr>
        <w:t xml:space="preserve"> </w:t>
      </w:r>
      <w:r w:rsidR="00C6214E">
        <w:rPr>
          <w:rFonts w:ascii="Times New Roman" w:hAnsi="Times New Roman"/>
          <w:szCs w:val="24"/>
          <w:lang w:val="bs-Latn-BA"/>
        </w:rPr>
        <w:t>БиХ</w:t>
      </w:r>
      <w:r w:rsidR="00944633">
        <w:rPr>
          <w:rFonts w:ascii="Times New Roman" w:hAnsi="Times New Roman"/>
          <w:szCs w:val="24"/>
          <w:lang w:val="bs-Latn-BA"/>
        </w:rPr>
        <w:t xml:space="preserve"> </w:t>
      </w:r>
      <w:r w:rsidR="00C6214E">
        <w:rPr>
          <w:rFonts w:ascii="Times New Roman" w:hAnsi="Times New Roman"/>
          <w:szCs w:val="24"/>
          <w:lang w:val="bs-Latn-BA"/>
        </w:rPr>
        <w:t>на</w:t>
      </w:r>
      <w:r w:rsidR="00944633">
        <w:rPr>
          <w:rFonts w:ascii="Times New Roman" w:hAnsi="Times New Roman"/>
          <w:szCs w:val="24"/>
          <w:lang w:val="bs-Latn-BA"/>
        </w:rPr>
        <w:t xml:space="preserve"> </w:t>
      </w:r>
      <w:r w:rsidR="00C6214E">
        <w:rPr>
          <w:rFonts w:ascii="Times New Roman" w:hAnsi="Times New Roman"/>
          <w:szCs w:val="24"/>
          <w:lang w:val="bs-Latn-BA"/>
        </w:rPr>
        <w:t>разматрање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усвајање</w:t>
      </w:r>
      <w:r w:rsidR="00356C2C" w:rsidRPr="00295637">
        <w:rPr>
          <w:rFonts w:ascii="Times New Roman" w:hAnsi="Times New Roman"/>
          <w:szCs w:val="24"/>
          <w:lang w:val="bs-Latn-BA"/>
        </w:rPr>
        <w:t>.</w:t>
      </w:r>
    </w:p>
    <w:p w:rsidR="00356C2C" w:rsidRPr="00295637" w:rsidRDefault="00356C2C" w:rsidP="0086268D">
      <w:pPr>
        <w:jc w:val="both"/>
        <w:rPr>
          <w:rFonts w:ascii="Times New Roman" w:hAnsi="Times New Roman"/>
          <w:szCs w:val="24"/>
          <w:lang w:val="bs-Latn-BA"/>
        </w:rPr>
      </w:pPr>
    </w:p>
    <w:p w:rsidR="006F012F" w:rsidRDefault="006318F4" w:rsidP="00FB6F1A">
      <w:pPr>
        <w:contextualSpacing/>
        <w:jc w:val="both"/>
        <w:rPr>
          <w:rFonts w:ascii="Times New Roman" w:hAnsi="Times New Roman"/>
          <w:szCs w:val="24"/>
          <w:lang w:val="bs-Latn-BA"/>
        </w:rPr>
      </w:pPr>
      <w:r>
        <w:rPr>
          <w:rFonts w:ascii="Times New Roman" w:hAnsi="Times New Roman"/>
          <w:szCs w:val="24"/>
          <w:lang w:val="sr-Cyrl-BA"/>
        </w:rPr>
        <w:t>Савјет</w:t>
      </w:r>
      <w:r w:rsidR="006C69B1" w:rsidRPr="00295637">
        <w:rPr>
          <w:rFonts w:ascii="Times New Roman" w:hAnsi="Times New Roman"/>
          <w:szCs w:val="24"/>
        </w:rPr>
        <w:t xml:space="preserve"> </w:t>
      </w:r>
      <w:r w:rsidR="00C6214E">
        <w:rPr>
          <w:rFonts w:ascii="Times New Roman" w:hAnsi="Times New Roman"/>
          <w:szCs w:val="24"/>
        </w:rPr>
        <w:t>министара</w:t>
      </w:r>
      <w:r w:rsidR="00491AB2">
        <w:rPr>
          <w:rFonts w:ascii="Times New Roman" w:hAnsi="Times New Roman"/>
          <w:szCs w:val="24"/>
        </w:rPr>
        <w:t xml:space="preserve"> </w:t>
      </w:r>
      <w:r w:rsidR="00C6214E">
        <w:rPr>
          <w:rFonts w:ascii="Times New Roman" w:hAnsi="Times New Roman"/>
          <w:szCs w:val="24"/>
        </w:rPr>
        <w:t>БиХ</w:t>
      </w:r>
      <w:r w:rsidR="00491AB2">
        <w:rPr>
          <w:rFonts w:ascii="Times New Roman" w:hAnsi="Times New Roman"/>
          <w:szCs w:val="24"/>
        </w:rPr>
        <w:t xml:space="preserve"> </w:t>
      </w:r>
      <w:r w:rsidR="00C6214E">
        <w:rPr>
          <w:rFonts w:ascii="Times New Roman" w:hAnsi="Times New Roman"/>
          <w:szCs w:val="24"/>
        </w:rPr>
        <w:t>је</w:t>
      </w:r>
      <w:r w:rsidR="00491AB2">
        <w:rPr>
          <w:rFonts w:ascii="Times New Roman" w:hAnsi="Times New Roman"/>
          <w:szCs w:val="24"/>
        </w:rPr>
        <w:t xml:space="preserve"> 18</w:t>
      </w:r>
      <w:r w:rsidR="006C69B1" w:rsidRPr="00295637">
        <w:rPr>
          <w:rFonts w:ascii="Times New Roman" w:hAnsi="Times New Roman"/>
          <w:szCs w:val="24"/>
        </w:rPr>
        <w:t xml:space="preserve">. </w:t>
      </w:r>
      <w:r w:rsidR="00C6214E">
        <w:rPr>
          <w:rFonts w:ascii="Times New Roman" w:hAnsi="Times New Roman"/>
          <w:szCs w:val="24"/>
        </w:rPr>
        <w:t>октобра</w:t>
      </w:r>
      <w:r w:rsidR="006C69B1" w:rsidRPr="00295637">
        <w:rPr>
          <w:rFonts w:ascii="Times New Roman" w:hAnsi="Times New Roman"/>
          <w:szCs w:val="24"/>
        </w:rPr>
        <w:t xml:space="preserve"> 2023. </w:t>
      </w:r>
      <w:r w:rsidR="00C6214E">
        <w:rPr>
          <w:rFonts w:ascii="Times New Roman" w:hAnsi="Times New Roman"/>
          <w:szCs w:val="24"/>
        </w:rPr>
        <w:t>године</w:t>
      </w:r>
      <w:r w:rsidR="006C69B1" w:rsidRPr="00295637">
        <w:rPr>
          <w:rFonts w:ascii="Times New Roman" w:hAnsi="Times New Roman"/>
          <w:szCs w:val="24"/>
        </w:rPr>
        <w:t xml:space="preserve">, </w:t>
      </w:r>
      <w:r w:rsidR="00C6214E">
        <w:rPr>
          <w:rFonts w:ascii="Times New Roman" w:hAnsi="Times New Roman"/>
          <w:szCs w:val="24"/>
        </w:rPr>
        <w:t>на</w:t>
      </w:r>
      <w:r w:rsidR="006C69B1" w:rsidRPr="00295637">
        <w:rPr>
          <w:rFonts w:ascii="Times New Roman" w:hAnsi="Times New Roman"/>
          <w:szCs w:val="24"/>
        </w:rPr>
        <w:t xml:space="preserve"> </w:t>
      </w:r>
      <w:r w:rsidR="00C6214E">
        <w:rPr>
          <w:rFonts w:ascii="Times New Roman" w:hAnsi="Times New Roman"/>
          <w:szCs w:val="24"/>
        </w:rPr>
        <w:t>приједлог</w:t>
      </w:r>
      <w:r w:rsidR="006C69B1" w:rsidRPr="00295637">
        <w:rPr>
          <w:rFonts w:ascii="Times New Roman" w:hAnsi="Times New Roman"/>
          <w:szCs w:val="24"/>
        </w:rPr>
        <w:t xml:space="preserve"> </w:t>
      </w:r>
      <w:r w:rsidR="00C6214E">
        <w:rPr>
          <w:rFonts w:ascii="Times New Roman" w:hAnsi="Times New Roman"/>
          <w:szCs w:val="24"/>
        </w:rPr>
        <w:t>Министарства</w:t>
      </w:r>
      <w:r w:rsidR="006C69B1" w:rsidRPr="00295637">
        <w:rPr>
          <w:rFonts w:ascii="Times New Roman" w:hAnsi="Times New Roman"/>
          <w:szCs w:val="24"/>
        </w:rPr>
        <w:t xml:space="preserve"> </w:t>
      </w:r>
      <w:r w:rsidR="00C6214E">
        <w:rPr>
          <w:rFonts w:ascii="Times New Roman" w:hAnsi="Times New Roman"/>
          <w:szCs w:val="24"/>
        </w:rPr>
        <w:t>за</w:t>
      </w:r>
      <w:r w:rsidR="006C69B1" w:rsidRPr="00295637">
        <w:rPr>
          <w:rFonts w:ascii="Times New Roman" w:hAnsi="Times New Roman"/>
          <w:szCs w:val="24"/>
        </w:rPr>
        <w:t xml:space="preserve"> </w:t>
      </w:r>
      <w:r w:rsidR="00C6214E">
        <w:rPr>
          <w:rFonts w:ascii="Times New Roman" w:hAnsi="Times New Roman"/>
          <w:szCs w:val="24"/>
        </w:rPr>
        <w:t>људска</w:t>
      </w:r>
      <w:r w:rsidR="006C69B1" w:rsidRPr="00295637">
        <w:rPr>
          <w:rFonts w:ascii="Times New Roman" w:hAnsi="Times New Roman"/>
          <w:szCs w:val="24"/>
        </w:rPr>
        <w:t xml:space="preserve"> </w:t>
      </w:r>
      <w:r w:rsidR="00C6214E">
        <w:rPr>
          <w:rFonts w:ascii="Times New Roman" w:hAnsi="Times New Roman"/>
          <w:szCs w:val="24"/>
        </w:rPr>
        <w:t>права</w:t>
      </w:r>
      <w:r w:rsidR="006C69B1" w:rsidRPr="00295637">
        <w:rPr>
          <w:rFonts w:ascii="Times New Roman" w:hAnsi="Times New Roman"/>
          <w:szCs w:val="24"/>
        </w:rPr>
        <w:t xml:space="preserve"> </w:t>
      </w:r>
      <w:r w:rsidR="00C6214E">
        <w:rPr>
          <w:rFonts w:ascii="Times New Roman" w:hAnsi="Times New Roman"/>
          <w:szCs w:val="24"/>
        </w:rPr>
        <w:t>и</w:t>
      </w:r>
      <w:r w:rsidR="006C69B1" w:rsidRPr="00295637">
        <w:rPr>
          <w:rFonts w:ascii="Times New Roman" w:hAnsi="Times New Roman"/>
          <w:szCs w:val="24"/>
        </w:rPr>
        <w:t xml:space="preserve"> </w:t>
      </w:r>
      <w:r w:rsidR="00C6214E">
        <w:rPr>
          <w:rFonts w:ascii="Times New Roman" w:hAnsi="Times New Roman"/>
          <w:szCs w:val="24"/>
        </w:rPr>
        <w:t>избјеглице</w:t>
      </w:r>
      <w:r w:rsidR="006C69B1" w:rsidRPr="00295637">
        <w:rPr>
          <w:rFonts w:ascii="Times New Roman" w:hAnsi="Times New Roman"/>
          <w:szCs w:val="24"/>
        </w:rPr>
        <w:t xml:space="preserve"> </w:t>
      </w:r>
      <w:r w:rsidR="00C6214E">
        <w:rPr>
          <w:rFonts w:ascii="Times New Roman" w:hAnsi="Times New Roman"/>
          <w:szCs w:val="24"/>
        </w:rPr>
        <w:t>БиХ</w:t>
      </w:r>
      <w:r w:rsidR="006C69B1" w:rsidRPr="00295637">
        <w:rPr>
          <w:rFonts w:ascii="Times New Roman" w:hAnsi="Times New Roman"/>
          <w:szCs w:val="24"/>
        </w:rPr>
        <w:t xml:space="preserve">, </w:t>
      </w:r>
      <w:r w:rsidR="00C6214E">
        <w:rPr>
          <w:rFonts w:ascii="Times New Roman" w:hAnsi="Times New Roman"/>
          <w:szCs w:val="24"/>
        </w:rPr>
        <w:t>донио</w:t>
      </w:r>
      <w:r w:rsidR="006C69B1" w:rsidRPr="00295637">
        <w:rPr>
          <w:rFonts w:ascii="Times New Roman" w:hAnsi="Times New Roman"/>
          <w:szCs w:val="24"/>
        </w:rPr>
        <w:t xml:space="preserve"> </w:t>
      </w:r>
      <w:r w:rsidR="00C6214E">
        <w:rPr>
          <w:rFonts w:ascii="Times New Roman" w:hAnsi="Times New Roman"/>
          <w:szCs w:val="24"/>
        </w:rPr>
        <w:t>Одлуку</w:t>
      </w:r>
      <w:r w:rsidR="006C69B1" w:rsidRPr="00295637">
        <w:rPr>
          <w:rFonts w:ascii="Times New Roman" w:hAnsi="Times New Roman"/>
          <w:szCs w:val="24"/>
        </w:rPr>
        <w:t xml:space="preserve"> </w:t>
      </w:r>
      <w:r w:rsidR="00C6214E">
        <w:rPr>
          <w:rFonts w:ascii="Times New Roman" w:hAnsi="Times New Roman"/>
          <w:szCs w:val="24"/>
        </w:rPr>
        <w:t>о</w:t>
      </w:r>
      <w:r w:rsidR="006C69B1" w:rsidRPr="00295637">
        <w:rPr>
          <w:rFonts w:ascii="Times New Roman" w:hAnsi="Times New Roman"/>
          <w:szCs w:val="24"/>
        </w:rPr>
        <w:t xml:space="preserve"> </w:t>
      </w:r>
      <w:r w:rsidR="00C6214E">
        <w:rPr>
          <w:rFonts w:ascii="Times New Roman" w:hAnsi="Times New Roman"/>
          <w:szCs w:val="24"/>
        </w:rPr>
        <w:t>усвајању</w:t>
      </w:r>
      <w:r w:rsidR="006C69B1" w:rsidRPr="00295637">
        <w:rPr>
          <w:rFonts w:ascii="Times New Roman" w:hAnsi="Times New Roman"/>
          <w:szCs w:val="24"/>
        </w:rPr>
        <w:t xml:space="preserve"> </w:t>
      </w:r>
      <w:r w:rsidR="00C6214E">
        <w:rPr>
          <w:rFonts w:ascii="Times New Roman" w:hAnsi="Times New Roman"/>
          <w:szCs w:val="24"/>
        </w:rPr>
        <w:t>четвртог</w:t>
      </w:r>
      <w:r w:rsidR="006C69B1" w:rsidRPr="00295637">
        <w:rPr>
          <w:rFonts w:ascii="Times New Roman" w:hAnsi="Times New Roman"/>
          <w:szCs w:val="24"/>
        </w:rPr>
        <w:t xml:space="preserve"> </w:t>
      </w:r>
      <w:r w:rsidR="00C6214E">
        <w:rPr>
          <w:rFonts w:ascii="Times New Roman" w:hAnsi="Times New Roman"/>
          <w:szCs w:val="24"/>
        </w:rPr>
        <w:t>по</w:t>
      </w:r>
      <w:r w:rsidR="006C69B1" w:rsidRPr="00295637">
        <w:rPr>
          <w:rFonts w:ascii="Times New Roman" w:hAnsi="Times New Roman"/>
          <w:szCs w:val="24"/>
        </w:rPr>
        <w:t xml:space="preserve"> </w:t>
      </w:r>
      <w:r w:rsidR="00C6214E">
        <w:rPr>
          <w:rFonts w:ascii="Times New Roman" w:hAnsi="Times New Roman"/>
          <w:szCs w:val="24"/>
        </w:rPr>
        <w:t>реду</w:t>
      </w:r>
      <w:r w:rsidR="006C69B1" w:rsidRPr="00295637">
        <w:rPr>
          <w:rFonts w:ascii="Times New Roman" w:hAnsi="Times New Roman"/>
          <w:szCs w:val="24"/>
        </w:rPr>
        <w:t xml:space="preserve"> </w:t>
      </w:r>
      <w:r w:rsidR="00C6214E">
        <w:rPr>
          <w:rFonts w:ascii="Times New Roman" w:hAnsi="Times New Roman"/>
          <w:szCs w:val="24"/>
        </w:rPr>
        <w:t>Гендер</w:t>
      </w:r>
      <w:r w:rsidR="006C69B1" w:rsidRPr="00295637">
        <w:rPr>
          <w:rFonts w:ascii="Times New Roman" w:hAnsi="Times New Roman"/>
          <w:szCs w:val="24"/>
        </w:rPr>
        <w:t xml:space="preserve"> </w:t>
      </w:r>
      <w:r w:rsidR="00C6214E">
        <w:rPr>
          <w:rFonts w:ascii="Times New Roman" w:hAnsi="Times New Roman"/>
          <w:szCs w:val="24"/>
        </w:rPr>
        <w:t>акционог</w:t>
      </w:r>
      <w:r w:rsidR="006C69B1" w:rsidRPr="00295637">
        <w:rPr>
          <w:rFonts w:ascii="Times New Roman" w:hAnsi="Times New Roman"/>
          <w:szCs w:val="24"/>
        </w:rPr>
        <w:t xml:space="preserve"> </w:t>
      </w:r>
      <w:r w:rsidR="00C6214E">
        <w:rPr>
          <w:rFonts w:ascii="Times New Roman" w:hAnsi="Times New Roman"/>
          <w:szCs w:val="24"/>
        </w:rPr>
        <w:t>плана</w:t>
      </w:r>
      <w:r w:rsidR="006C69B1" w:rsidRPr="00295637">
        <w:rPr>
          <w:rFonts w:ascii="Times New Roman" w:hAnsi="Times New Roman"/>
          <w:szCs w:val="24"/>
        </w:rPr>
        <w:t xml:space="preserve"> </w:t>
      </w:r>
      <w:r w:rsidR="00C6214E">
        <w:rPr>
          <w:rFonts w:ascii="Times New Roman" w:hAnsi="Times New Roman"/>
          <w:szCs w:val="24"/>
        </w:rPr>
        <w:t>БиХ</w:t>
      </w:r>
      <w:r w:rsidR="00D81552">
        <w:rPr>
          <w:rFonts w:ascii="Times New Roman" w:hAnsi="Times New Roman"/>
          <w:szCs w:val="24"/>
        </w:rPr>
        <w:t xml:space="preserve"> (</w:t>
      </w:r>
      <w:r w:rsidR="00C6214E">
        <w:rPr>
          <w:rFonts w:ascii="Times New Roman" w:hAnsi="Times New Roman"/>
          <w:szCs w:val="24"/>
        </w:rPr>
        <w:t>ГАП</w:t>
      </w:r>
      <w:r w:rsidR="00D81552">
        <w:rPr>
          <w:rFonts w:ascii="Times New Roman" w:hAnsi="Times New Roman"/>
          <w:szCs w:val="24"/>
        </w:rPr>
        <w:t xml:space="preserve"> </w:t>
      </w:r>
      <w:r w:rsidR="00C6214E">
        <w:rPr>
          <w:rFonts w:ascii="Times New Roman" w:hAnsi="Times New Roman"/>
          <w:szCs w:val="24"/>
        </w:rPr>
        <w:t>БиХ</w:t>
      </w:r>
      <w:r w:rsidR="006C69B1" w:rsidRPr="00295637">
        <w:rPr>
          <w:rFonts w:ascii="Times New Roman" w:hAnsi="Times New Roman"/>
          <w:szCs w:val="24"/>
        </w:rPr>
        <w:t xml:space="preserve">), </w:t>
      </w:r>
      <w:r w:rsidR="00C6214E">
        <w:rPr>
          <w:rFonts w:ascii="Times New Roman" w:hAnsi="Times New Roman"/>
          <w:szCs w:val="24"/>
        </w:rPr>
        <w:t>за</w:t>
      </w:r>
      <w:r w:rsidR="006C69B1" w:rsidRPr="00295637">
        <w:rPr>
          <w:rFonts w:ascii="Times New Roman" w:hAnsi="Times New Roman"/>
          <w:szCs w:val="24"/>
        </w:rPr>
        <w:t xml:space="preserve"> </w:t>
      </w:r>
      <w:r w:rsidR="00C6214E">
        <w:rPr>
          <w:rFonts w:ascii="Times New Roman" w:hAnsi="Times New Roman"/>
          <w:szCs w:val="24"/>
        </w:rPr>
        <w:t>период</w:t>
      </w:r>
      <w:r w:rsidR="006C69B1" w:rsidRPr="00295637">
        <w:rPr>
          <w:rFonts w:ascii="Times New Roman" w:hAnsi="Times New Roman"/>
          <w:szCs w:val="24"/>
        </w:rPr>
        <w:t xml:space="preserve"> 2023</w:t>
      </w:r>
      <w:r w:rsidR="00D81552">
        <w:rPr>
          <w:rFonts w:ascii="Times New Roman" w:hAnsi="Times New Roman"/>
          <w:szCs w:val="24"/>
        </w:rPr>
        <w:t>-</w:t>
      </w:r>
      <w:r w:rsidR="006C69B1" w:rsidRPr="00295637">
        <w:rPr>
          <w:rFonts w:ascii="Times New Roman" w:hAnsi="Times New Roman"/>
          <w:szCs w:val="24"/>
        </w:rPr>
        <w:t>2027</w:t>
      </w:r>
      <w:r w:rsidR="00D81552">
        <w:rPr>
          <w:rFonts w:ascii="Times New Roman" w:hAnsi="Times New Roman"/>
          <w:szCs w:val="24"/>
        </w:rPr>
        <w:t xml:space="preserve">. </w:t>
      </w:r>
      <w:r w:rsidR="00C6214E">
        <w:rPr>
          <w:rFonts w:ascii="Times New Roman" w:hAnsi="Times New Roman"/>
          <w:szCs w:val="24"/>
        </w:rPr>
        <w:t>година</w:t>
      </w:r>
      <w:r w:rsidR="00D81552">
        <w:rPr>
          <w:rFonts w:ascii="Times New Roman" w:hAnsi="Times New Roman"/>
          <w:szCs w:val="24"/>
        </w:rPr>
        <w:t xml:space="preserve">, </w:t>
      </w:r>
      <w:r w:rsidR="00C6214E">
        <w:rPr>
          <w:rFonts w:ascii="Times New Roman" w:hAnsi="Times New Roman"/>
          <w:szCs w:val="24"/>
        </w:rPr>
        <w:t>са</w:t>
      </w:r>
      <w:r w:rsidR="006C69B1" w:rsidRPr="00295637">
        <w:rPr>
          <w:rFonts w:ascii="Times New Roman" w:hAnsi="Times New Roman"/>
          <w:szCs w:val="24"/>
        </w:rPr>
        <w:t xml:space="preserve"> </w:t>
      </w:r>
      <w:r w:rsidR="00C6214E">
        <w:rPr>
          <w:rFonts w:ascii="Times New Roman" w:hAnsi="Times New Roman"/>
          <w:szCs w:val="24"/>
        </w:rPr>
        <w:t>Оперативним</w:t>
      </w:r>
      <w:r w:rsidR="00314B0D">
        <w:rPr>
          <w:rFonts w:ascii="Times New Roman" w:hAnsi="Times New Roman"/>
          <w:szCs w:val="24"/>
        </w:rPr>
        <w:t xml:space="preserve"> </w:t>
      </w:r>
      <w:r w:rsidR="00C6214E">
        <w:rPr>
          <w:rFonts w:ascii="Times New Roman" w:hAnsi="Times New Roman"/>
          <w:szCs w:val="24"/>
        </w:rPr>
        <w:t>планом</w:t>
      </w:r>
      <w:r w:rsidR="00314B0D">
        <w:rPr>
          <w:rFonts w:ascii="Times New Roman" w:hAnsi="Times New Roman"/>
          <w:szCs w:val="24"/>
        </w:rPr>
        <w:t xml:space="preserve"> </w:t>
      </w:r>
      <w:r w:rsidR="00C6214E">
        <w:rPr>
          <w:rFonts w:ascii="Times New Roman" w:hAnsi="Times New Roman"/>
          <w:szCs w:val="24"/>
        </w:rPr>
        <w:t>за</w:t>
      </w:r>
      <w:r w:rsidR="00314B0D">
        <w:rPr>
          <w:rFonts w:ascii="Times New Roman" w:hAnsi="Times New Roman"/>
          <w:szCs w:val="24"/>
        </w:rPr>
        <w:t xml:space="preserve"> </w:t>
      </w:r>
      <w:r>
        <w:rPr>
          <w:rFonts w:ascii="Times New Roman" w:hAnsi="Times New Roman"/>
          <w:szCs w:val="24"/>
          <w:lang w:val="sr-Cyrl-BA"/>
        </w:rPr>
        <w:t>спровођење</w:t>
      </w:r>
      <w:r w:rsidR="00314B0D">
        <w:rPr>
          <w:rFonts w:ascii="Times New Roman" w:hAnsi="Times New Roman"/>
          <w:szCs w:val="24"/>
        </w:rPr>
        <w:t xml:space="preserve"> </w:t>
      </w:r>
      <w:r w:rsidR="00C6214E">
        <w:rPr>
          <w:rFonts w:ascii="Times New Roman" w:hAnsi="Times New Roman"/>
          <w:szCs w:val="24"/>
        </w:rPr>
        <w:t>ГАП</w:t>
      </w:r>
      <w:r w:rsidR="00314B0D">
        <w:rPr>
          <w:rFonts w:ascii="Times New Roman" w:hAnsi="Times New Roman"/>
          <w:szCs w:val="24"/>
        </w:rPr>
        <w:t xml:space="preserve"> </w:t>
      </w:r>
      <w:r w:rsidR="00C6214E">
        <w:rPr>
          <w:rFonts w:ascii="Times New Roman" w:hAnsi="Times New Roman"/>
          <w:szCs w:val="24"/>
        </w:rPr>
        <w:t>БиХ</w:t>
      </w:r>
      <w:r w:rsidR="00314B0D">
        <w:rPr>
          <w:rFonts w:ascii="Times New Roman" w:hAnsi="Times New Roman"/>
          <w:szCs w:val="24"/>
        </w:rPr>
        <w:t xml:space="preserve"> </w:t>
      </w:r>
      <w:r w:rsidR="00C6214E">
        <w:rPr>
          <w:rFonts w:ascii="Times New Roman" w:hAnsi="Times New Roman"/>
          <w:szCs w:val="24"/>
        </w:rPr>
        <w:t>за</w:t>
      </w:r>
      <w:r w:rsidR="006C69B1" w:rsidRPr="00295637">
        <w:rPr>
          <w:rFonts w:ascii="Times New Roman" w:hAnsi="Times New Roman"/>
          <w:szCs w:val="24"/>
        </w:rPr>
        <w:t xml:space="preserve"> </w:t>
      </w:r>
      <w:r w:rsidR="00C6214E">
        <w:rPr>
          <w:rFonts w:ascii="Times New Roman" w:hAnsi="Times New Roman"/>
          <w:szCs w:val="24"/>
        </w:rPr>
        <w:t>Институције</w:t>
      </w:r>
      <w:r w:rsidR="006C69B1" w:rsidRPr="00295637">
        <w:rPr>
          <w:rFonts w:ascii="Times New Roman" w:hAnsi="Times New Roman"/>
          <w:szCs w:val="24"/>
        </w:rPr>
        <w:t xml:space="preserve"> </w:t>
      </w:r>
      <w:r w:rsidR="00C6214E">
        <w:rPr>
          <w:rFonts w:ascii="Times New Roman" w:hAnsi="Times New Roman"/>
          <w:szCs w:val="24"/>
        </w:rPr>
        <w:t>БиХ</w:t>
      </w:r>
      <w:r w:rsidR="006C69B1" w:rsidRPr="00295637">
        <w:rPr>
          <w:rFonts w:ascii="Times New Roman" w:hAnsi="Times New Roman"/>
          <w:szCs w:val="24"/>
        </w:rPr>
        <w:t xml:space="preserve">. </w:t>
      </w:r>
      <w:r w:rsidR="00C6214E">
        <w:rPr>
          <w:rFonts w:ascii="Times New Roman" w:hAnsi="Times New Roman"/>
          <w:szCs w:val="24"/>
        </w:rPr>
        <w:t>Због</w:t>
      </w:r>
      <w:r w:rsidR="006C69B1" w:rsidRPr="00295637">
        <w:rPr>
          <w:rFonts w:ascii="Times New Roman" w:hAnsi="Times New Roman"/>
          <w:szCs w:val="24"/>
        </w:rPr>
        <w:t xml:space="preserve"> </w:t>
      </w:r>
      <w:r w:rsidR="00C6214E">
        <w:rPr>
          <w:rFonts w:ascii="Times New Roman" w:hAnsi="Times New Roman"/>
          <w:szCs w:val="24"/>
        </w:rPr>
        <w:t>кратког</w:t>
      </w:r>
      <w:r w:rsidR="00314B0D">
        <w:rPr>
          <w:rFonts w:ascii="Times New Roman" w:hAnsi="Times New Roman"/>
          <w:szCs w:val="24"/>
        </w:rPr>
        <w:t xml:space="preserve"> </w:t>
      </w:r>
      <w:r w:rsidR="00C6214E">
        <w:rPr>
          <w:rFonts w:ascii="Times New Roman" w:hAnsi="Times New Roman"/>
          <w:szCs w:val="24"/>
        </w:rPr>
        <w:t>периода</w:t>
      </w:r>
      <w:r w:rsidR="00314B0D">
        <w:rPr>
          <w:rFonts w:ascii="Times New Roman" w:hAnsi="Times New Roman"/>
          <w:szCs w:val="24"/>
        </w:rPr>
        <w:t xml:space="preserve"> </w:t>
      </w:r>
      <w:r w:rsidR="00C6214E">
        <w:rPr>
          <w:rFonts w:ascii="Times New Roman" w:hAnsi="Times New Roman"/>
          <w:szCs w:val="24"/>
        </w:rPr>
        <w:t>од</w:t>
      </w:r>
      <w:r w:rsidR="00314B0D">
        <w:rPr>
          <w:rFonts w:ascii="Times New Roman" w:hAnsi="Times New Roman"/>
          <w:szCs w:val="24"/>
        </w:rPr>
        <w:t xml:space="preserve"> </w:t>
      </w:r>
      <w:r w:rsidR="00C6214E">
        <w:rPr>
          <w:rFonts w:ascii="Times New Roman" w:hAnsi="Times New Roman"/>
          <w:szCs w:val="24"/>
        </w:rPr>
        <w:t>усвајања</w:t>
      </w:r>
      <w:r w:rsidR="00314B0D">
        <w:rPr>
          <w:rFonts w:ascii="Times New Roman" w:hAnsi="Times New Roman"/>
          <w:szCs w:val="24"/>
        </w:rPr>
        <w:t xml:space="preserve"> </w:t>
      </w:r>
      <w:r w:rsidR="00C6214E">
        <w:rPr>
          <w:rFonts w:ascii="Times New Roman" w:hAnsi="Times New Roman"/>
          <w:szCs w:val="24"/>
        </w:rPr>
        <w:t>ГАП</w:t>
      </w:r>
      <w:r w:rsidR="00314B0D">
        <w:rPr>
          <w:rFonts w:ascii="Times New Roman" w:hAnsi="Times New Roman"/>
          <w:szCs w:val="24"/>
        </w:rPr>
        <w:t xml:space="preserve"> </w:t>
      </w:r>
      <w:r w:rsidR="00C6214E">
        <w:rPr>
          <w:rFonts w:ascii="Times New Roman" w:hAnsi="Times New Roman"/>
          <w:szCs w:val="24"/>
        </w:rPr>
        <w:t>БиХ</w:t>
      </w:r>
      <w:r w:rsidR="00314B0D">
        <w:rPr>
          <w:rFonts w:ascii="Times New Roman" w:hAnsi="Times New Roman"/>
          <w:szCs w:val="24"/>
        </w:rPr>
        <w:t xml:space="preserve"> </w:t>
      </w:r>
      <w:r w:rsidR="00C6214E">
        <w:rPr>
          <w:rFonts w:ascii="Times New Roman" w:hAnsi="Times New Roman"/>
          <w:szCs w:val="24"/>
        </w:rPr>
        <w:t>до</w:t>
      </w:r>
      <w:r w:rsidR="006C69B1" w:rsidRPr="00295637">
        <w:rPr>
          <w:rFonts w:ascii="Times New Roman" w:hAnsi="Times New Roman"/>
          <w:szCs w:val="24"/>
        </w:rPr>
        <w:t xml:space="preserve"> </w:t>
      </w:r>
      <w:r w:rsidR="00C6214E">
        <w:rPr>
          <w:rFonts w:ascii="Times New Roman" w:hAnsi="Times New Roman"/>
          <w:szCs w:val="24"/>
        </w:rPr>
        <w:t>краја</w:t>
      </w:r>
      <w:r w:rsidR="006C69B1" w:rsidRPr="00295637">
        <w:rPr>
          <w:rFonts w:ascii="Times New Roman" w:hAnsi="Times New Roman"/>
          <w:szCs w:val="24"/>
        </w:rPr>
        <w:t xml:space="preserve"> 2023. </w:t>
      </w:r>
      <w:r w:rsidR="00C6214E">
        <w:rPr>
          <w:rFonts w:ascii="Times New Roman" w:hAnsi="Times New Roman"/>
          <w:szCs w:val="24"/>
        </w:rPr>
        <w:t>године</w:t>
      </w:r>
      <w:r w:rsidR="006C69B1" w:rsidRPr="00295637">
        <w:rPr>
          <w:rFonts w:ascii="Times New Roman" w:hAnsi="Times New Roman"/>
          <w:szCs w:val="24"/>
        </w:rPr>
        <w:t xml:space="preserve">, </w:t>
      </w:r>
      <w:r w:rsidR="00C6214E">
        <w:rPr>
          <w:rFonts w:ascii="Times New Roman" w:hAnsi="Times New Roman"/>
          <w:szCs w:val="24"/>
        </w:rPr>
        <w:t>годишњ</w:t>
      </w:r>
      <w:r w:rsidR="007E32E7">
        <w:rPr>
          <w:rFonts w:ascii="Times New Roman" w:hAnsi="Times New Roman"/>
          <w:szCs w:val="24"/>
          <w:lang w:val="sr-Cyrl-BA"/>
        </w:rPr>
        <w:t>и</w:t>
      </w:r>
      <w:r w:rsidR="006C69B1" w:rsidRPr="00295637">
        <w:rPr>
          <w:rFonts w:ascii="Times New Roman" w:hAnsi="Times New Roman"/>
          <w:szCs w:val="24"/>
        </w:rPr>
        <w:t xml:space="preserve"> </w:t>
      </w:r>
      <w:r w:rsidR="00C6214E">
        <w:rPr>
          <w:rFonts w:ascii="Times New Roman" w:hAnsi="Times New Roman"/>
          <w:szCs w:val="24"/>
        </w:rPr>
        <w:t>извјештај</w:t>
      </w:r>
      <w:r w:rsidR="006C69B1" w:rsidRPr="00295637">
        <w:rPr>
          <w:rFonts w:ascii="Times New Roman" w:hAnsi="Times New Roman"/>
          <w:szCs w:val="24"/>
        </w:rPr>
        <w:t xml:space="preserve"> </w:t>
      </w:r>
      <w:r w:rsidR="00C6214E">
        <w:rPr>
          <w:rFonts w:ascii="Times New Roman" w:hAnsi="Times New Roman"/>
          <w:szCs w:val="24"/>
        </w:rPr>
        <w:t>за</w:t>
      </w:r>
      <w:r w:rsidR="006C69B1" w:rsidRPr="00295637">
        <w:rPr>
          <w:rFonts w:ascii="Times New Roman" w:hAnsi="Times New Roman"/>
          <w:szCs w:val="24"/>
        </w:rPr>
        <w:t xml:space="preserve"> 2023. </w:t>
      </w:r>
      <w:r w:rsidR="00C6214E">
        <w:rPr>
          <w:rFonts w:ascii="Times New Roman" w:hAnsi="Times New Roman"/>
          <w:szCs w:val="24"/>
        </w:rPr>
        <w:t>годину</w:t>
      </w:r>
      <w:r w:rsidR="006C69B1" w:rsidRPr="00295637">
        <w:rPr>
          <w:rFonts w:ascii="Times New Roman" w:hAnsi="Times New Roman"/>
          <w:szCs w:val="24"/>
        </w:rPr>
        <w:t xml:space="preserve"> </w:t>
      </w:r>
      <w:r w:rsidR="00C6214E">
        <w:rPr>
          <w:rFonts w:ascii="Times New Roman" w:hAnsi="Times New Roman"/>
          <w:szCs w:val="24"/>
        </w:rPr>
        <w:t>није</w:t>
      </w:r>
      <w:r w:rsidR="006C69B1" w:rsidRPr="00295637">
        <w:rPr>
          <w:rFonts w:ascii="Times New Roman" w:hAnsi="Times New Roman"/>
          <w:szCs w:val="24"/>
        </w:rPr>
        <w:t xml:space="preserve"> </w:t>
      </w:r>
      <w:r w:rsidR="00C6214E">
        <w:rPr>
          <w:rFonts w:ascii="Times New Roman" w:hAnsi="Times New Roman"/>
          <w:szCs w:val="24"/>
        </w:rPr>
        <w:t>рађен</w:t>
      </w:r>
      <w:r w:rsidR="006C69B1" w:rsidRPr="00295637">
        <w:rPr>
          <w:rFonts w:ascii="Times New Roman" w:hAnsi="Times New Roman"/>
          <w:szCs w:val="24"/>
        </w:rPr>
        <w:t xml:space="preserve">. </w:t>
      </w:r>
    </w:p>
    <w:p w:rsidR="00951F48" w:rsidRPr="00295637" w:rsidRDefault="00951F48" w:rsidP="0086268D">
      <w:pPr>
        <w:rPr>
          <w:rFonts w:ascii="Times New Roman" w:hAnsi="Times New Roman"/>
          <w:szCs w:val="24"/>
          <w:lang w:val="bs-Latn-BA"/>
        </w:rPr>
      </w:pPr>
    </w:p>
    <w:p w:rsidR="00356C2C" w:rsidRPr="00295637" w:rsidRDefault="006821B8" w:rsidP="00944633">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54" w:name="_Toc332005654"/>
      <w:bookmarkStart w:id="55" w:name="_Toc332010885"/>
      <w:bookmarkStart w:id="56" w:name="_Toc195016601"/>
      <w:r>
        <w:rPr>
          <w:rFonts w:ascii="Times New Roman" w:hAnsi="Times New Roman" w:cs="Times New Roman"/>
          <w:color w:val="548DD4" w:themeColor="text2" w:themeTint="99"/>
          <w:lang w:val="bs-Latn-BA" w:eastAsia="bs-Latn-BA"/>
        </w:rPr>
        <w:t>II</w:t>
      </w:r>
      <w:r w:rsidR="00944633" w:rsidRPr="00944633">
        <w:rPr>
          <w:rFonts w:ascii="Times New Roman" w:hAnsi="Times New Roman" w:cs="Times New Roman"/>
          <w:color w:val="548DD4" w:themeColor="text2" w:themeTint="99"/>
          <w:lang w:val="bs-Latn-BA" w:eastAsia="bs-Latn-BA"/>
        </w:rPr>
        <w:t xml:space="preserve"> 2.  </w:t>
      </w:r>
      <w:r w:rsidR="00C6214E">
        <w:rPr>
          <w:rFonts w:ascii="Times New Roman" w:hAnsi="Times New Roman" w:cs="Times New Roman"/>
          <w:lang w:val="bs-Latn-BA" w:eastAsia="bs-Latn-BA"/>
        </w:rPr>
        <w:t>Праћење</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и</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унапређење</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примјене</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међународних</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и</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домаћих</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стандарда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за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равноправност</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полова</w:t>
      </w:r>
      <w:bookmarkEnd w:id="54"/>
      <w:bookmarkEnd w:id="55"/>
      <w:bookmarkEnd w:id="56"/>
    </w:p>
    <w:p w:rsidR="00356C2C" w:rsidRPr="00295637" w:rsidRDefault="00356C2C" w:rsidP="0086268D">
      <w:pPr>
        <w:jc w:val="both"/>
        <w:rPr>
          <w:rFonts w:ascii="Times New Roman" w:hAnsi="Times New Roman"/>
          <w:b/>
          <w:szCs w:val="24"/>
          <w:lang w:val="bs-Latn-BA"/>
        </w:rPr>
      </w:pPr>
    </w:p>
    <w:p w:rsidR="00356C2C" w:rsidRPr="00295637" w:rsidRDefault="006821B8" w:rsidP="00944633">
      <w:pPr>
        <w:tabs>
          <w:tab w:val="left" w:pos="284"/>
          <w:tab w:val="left" w:pos="630"/>
          <w:tab w:val="left" w:pos="1080"/>
        </w:tabs>
        <w:ind w:left="567"/>
        <w:jc w:val="both"/>
        <w:rPr>
          <w:rFonts w:ascii="Times New Roman" w:hAnsi="Times New Roman"/>
          <w:szCs w:val="24"/>
          <w:lang w:val="bs-Latn-BA"/>
        </w:rPr>
      </w:pPr>
      <w:r w:rsidRPr="006821B8">
        <w:rPr>
          <w:rFonts w:ascii="Times New Roman" w:hAnsi="Times New Roman"/>
          <w:szCs w:val="24"/>
          <w:lang w:val="bs-Latn-BA"/>
        </w:rPr>
        <w:t>II</w:t>
      </w:r>
      <w:r w:rsidR="00944633">
        <w:rPr>
          <w:rFonts w:ascii="Times New Roman" w:hAnsi="Times New Roman"/>
          <w:szCs w:val="24"/>
          <w:lang w:val="bs-Latn-BA"/>
        </w:rPr>
        <w:t xml:space="preserve"> 2.1.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координација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праћење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извјештавање</w:t>
      </w:r>
      <w:r w:rsidR="00D81552">
        <w:rPr>
          <w:rFonts w:ascii="Times New Roman" w:hAnsi="Times New Roman"/>
          <w:szCs w:val="24"/>
          <w:lang w:val="bs-Latn-BA"/>
        </w:rPr>
        <w:t xml:space="preserve"> </w:t>
      </w:r>
      <w:r w:rsidR="00C6214E">
        <w:rPr>
          <w:rFonts w:ascii="Times New Roman" w:hAnsi="Times New Roman"/>
          <w:szCs w:val="24"/>
          <w:lang w:val="bs-Latn-BA"/>
        </w:rPr>
        <w:t>о</w:t>
      </w:r>
      <w:r w:rsidR="00D81552">
        <w:rPr>
          <w:rFonts w:ascii="Times New Roman" w:hAnsi="Times New Roman"/>
          <w:szCs w:val="24"/>
          <w:lang w:val="bs-Latn-BA"/>
        </w:rPr>
        <w:t xml:space="preserve"> </w:t>
      </w:r>
      <w:r w:rsidR="00C6214E">
        <w:rPr>
          <w:rFonts w:ascii="Times New Roman" w:hAnsi="Times New Roman"/>
          <w:szCs w:val="24"/>
          <w:lang w:val="bs-Latn-BA"/>
        </w:rPr>
        <w:t>испуњавању</w:t>
      </w:r>
      <w:r w:rsidR="00D81552">
        <w:rPr>
          <w:rFonts w:ascii="Times New Roman" w:hAnsi="Times New Roman"/>
          <w:szCs w:val="24"/>
          <w:lang w:val="bs-Latn-BA"/>
        </w:rPr>
        <w:t xml:space="preserve"> </w:t>
      </w:r>
      <w:r w:rsidR="00C6214E">
        <w:rPr>
          <w:rFonts w:ascii="Times New Roman" w:hAnsi="Times New Roman"/>
          <w:szCs w:val="24"/>
          <w:lang w:val="bs-Latn-BA"/>
        </w:rPr>
        <w:t>обавеза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документима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УН</w:t>
      </w:r>
      <w:r w:rsidR="00356C2C" w:rsidRPr="00295637">
        <w:rPr>
          <w:rFonts w:ascii="Times New Roman" w:hAnsi="Times New Roman"/>
          <w:szCs w:val="24"/>
          <w:lang w:val="bs-Latn-BA"/>
        </w:rPr>
        <w:t xml:space="preserve">, </w:t>
      </w:r>
      <w:r>
        <w:rPr>
          <w:rFonts w:ascii="Times New Roman" w:hAnsi="Times New Roman"/>
          <w:szCs w:val="24"/>
          <w:lang w:val="sr-Cyrl-BA"/>
        </w:rPr>
        <w:t>Савјета</w:t>
      </w:r>
      <w:r w:rsidR="00356C2C" w:rsidRPr="00295637">
        <w:rPr>
          <w:rFonts w:ascii="Times New Roman" w:hAnsi="Times New Roman"/>
          <w:szCs w:val="24"/>
          <w:lang w:val="bs-Latn-BA"/>
        </w:rPr>
        <w:t xml:space="preserve"> </w:t>
      </w:r>
      <w:r w:rsidR="00C6214E">
        <w:rPr>
          <w:rFonts w:ascii="Times New Roman" w:hAnsi="Times New Roman"/>
          <w:szCs w:val="24"/>
          <w:lang w:val="bs-Latn-BA"/>
        </w:rPr>
        <w:t>Европе</w:t>
      </w:r>
      <w:r w:rsidR="00356C2C" w:rsidRPr="00295637">
        <w:rPr>
          <w:rFonts w:ascii="Times New Roman" w:hAnsi="Times New Roman"/>
          <w:szCs w:val="24"/>
          <w:lang w:val="bs-Latn-BA"/>
        </w:rPr>
        <w:t xml:space="preserve">, </w:t>
      </w:r>
      <w:r w:rsidR="00C6214E">
        <w:rPr>
          <w:rFonts w:ascii="Times New Roman" w:hAnsi="Times New Roman"/>
          <w:szCs w:val="24"/>
          <w:lang w:val="bs-Latn-BA"/>
        </w:rPr>
        <w:t>ЕУ</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других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органа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w:t>
      </w:r>
    </w:p>
    <w:p w:rsidR="00685C99" w:rsidRPr="00295637" w:rsidRDefault="00685C99" w:rsidP="0086268D">
      <w:pPr>
        <w:jc w:val="both"/>
        <w:rPr>
          <w:rFonts w:ascii="Times New Roman" w:hAnsi="Times New Roman"/>
          <w:bCs/>
          <w:szCs w:val="24"/>
        </w:rPr>
      </w:pPr>
    </w:p>
    <w:p w:rsidR="00195ECF" w:rsidRPr="00295637" w:rsidRDefault="00C6214E" w:rsidP="0086268D">
      <w:pPr>
        <w:jc w:val="both"/>
        <w:rPr>
          <w:rFonts w:ascii="Times New Roman" w:hAnsi="Times New Roman"/>
          <w:szCs w:val="24"/>
          <w:lang w:val="bs-Latn-BA"/>
        </w:rPr>
      </w:pPr>
      <w:r>
        <w:rPr>
          <w:rFonts w:ascii="Times New Roman" w:hAnsi="Times New Roman"/>
          <w:bCs/>
          <w:szCs w:val="24"/>
        </w:rPr>
        <w:t>АР</w:t>
      </w:r>
      <w:r w:rsidR="006821B8">
        <w:rPr>
          <w:rFonts w:ascii="Times New Roman" w:hAnsi="Times New Roman"/>
          <w:bCs/>
          <w:szCs w:val="24"/>
          <w:lang w:val="sr-Cyrl-BA"/>
        </w:rPr>
        <w:t>П</w:t>
      </w:r>
      <w:r w:rsidR="00D81552">
        <w:rPr>
          <w:rFonts w:ascii="Times New Roman" w:hAnsi="Times New Roman"/>
          <w:bCs/>
          <w:szCs w:val="24"/>
        </w:rPr>
        <w:t xml:space="preserve"> </w:t>
      </w:r>
      <w:r>
        <w:rPr>
          <w:rFonts w:ascii="Times New Roman" w:hAnsi="Times New Roman"/>
          <w:bCs/>
          <w:szCs w:val="24"/>
        </w:rPr>
        <w:t>БиХ</w:t>
      </w:r>
      <w:r w:rsidR="00D81552">
        <w:rPr>
          <w:rFonts w:ascii="Times New Roman" w:hAnsi="Times New Roman"/>
          <w:bCs/>
          <w:szCs w:val="24"/>
        </w:rPr>
        <w:t xml:space="preserve"> </w:t>
      </w:r>
      <w:r>
        <w:rPr>
          <w:rFonts w:ascii="Times New Roman" w:hAnsi="Times New Roman"/>
          <w:bCs/>
          <w:szCs w:val="24"/>
        </w:rPr>
        <w:t>МЉПИ</w:t>
      </w:r>
      <w:r w:rsidR="00D81552">
        <w:rPr>
          <w:rFonts w:ascii="Times New Roman" w:hAnsi="Times New Roman"/>
          <w:bCs/>
          <w:szCs w:val="24"/>
        </w:rPr>
        <w:t xml:space="preserve"> </w:t>
      </w:r>
      <w:r>
        <w:rPr>
          <w:rFonts w:ascii="Times New Roman" w:hAnsi="Times New Roman"/>
          <w:bCs/>
          <w:szCs w:val="24"/>
        </w:rPr>
        <w:t>БиХ</w:t>
      </w:r>
      <w:r w:rsidR="00B60DE6" w:rsidRPr="00295637">
        <w:rPr>
          <w:rFonts w:ascii="Times New Roman" w:hAnsi="Times New Roman"/>
          <w:bCs/>
          <w:szCs w:val="24"/>
        </w:rPr>
        <w:t xml:space="preserve"> </w:t>
      </w:r>
      <w:r>
        <w:rPr>
          <w:rFonts w:ascii="Times New Roman" w:hAnsi="Times New Roman"/>
          <w:bCs/>
          <w:szCs w:val="24"/>
        </w:rPr>
        <w:t>је</w:t>
      </w:r>
      <w:r w:rsidR="00D81552" w:rsidRPr="00295637">
        <w:rPr>
          <w:rFonts w:ascii="Times New Roman" w:hAnsi="Times New Roman"/>
          <w:bCs/>
          <w:szCs w:val="24"/>
        </w:rPr>
        <w:t xml:space="preserve"> </w:t>
      </w:r>
      <w:r w:rsidR="006F012F">
        <w:rPr>
          <w:rFonts w:ascii="Times New Roman" w:hAnsi="Times New Roman"/>
          <w:bCs/>
          <w:szCs w:val="24"/>
        </w:rPr>
        <w:t>координи</w:t>
      </w:r>
      <w:r w:rsidR="006F012F">
        <w:rPr>
          <w:rFonts w:ascii="Times New Roman" w:hAnsi="Times New Roman"/>
          <w:bCs/>
          <w:szCs w:val="24"/>
          <w:lang w:val="sr-Cyrl-BA"/>
        </w:rPr>
        <w:t>с</w:t>
      </w:r>
      <w:r w:rsidR="006F012F">
        <w:rPr>
          <w:rFonts w:ascii="Times New Roman" w:hAnsi="Times New Roman"/>
          <w:bCs/>
          <w:szCs w:val="24"/>
        </w:rPr>
        <w:t>ала</w:t>
      </w:r>
      <w:r w:rsidR="006F012F" w:rsidRPr="00295637">
        <w:rPr>
          <w:rFonts w:ascii="Times New Roman" w:hAnsi="Times New Roman"/>
          <w:bCs/>
          <w:szCs w:val="24"/>
        </w:rPr>
        <w:t xml:space="preserve"> </w:t>
      </w:r>
      <w:r>
        <w:rPr>
          <w:rFonts w:ascii="Times New Roman" w:hAnsi="Times New Roman"/>
          <w:bCs/>
          <w:szCs w:val="24"/>
        </w:rPr>
        <w:t>израду</w:t>
      </w:r>
      <w:r w:rsidR="00B60DE6" w:rsidRPr="00295637">
        <w:rPr>
          <w:rFonts w:ascii="Times New Roman" w:hAnsi="Times New Roman"/>
          <w:bCs/>
          <w:szCs w:val="24"/>
        </w:rPr>
        <w:t xml:space="preserve"> </w:t>
      </w:r>
      <w:r>
        <w:rPr>
          <w:rFonts w:ascii="Times New Roman" w:hAnsi="Times New Roman"/>
          <w:bCs/>
          <w:szCs w:val="24"/>
        </w:rPr>
        <w:t>периодичног</w:t>
      </w:r>
      <w:r w:rsidR="00B60DE6" w:rsidRPr="00295637">
        <w:rPr>
          <w:rFonts w:ascii="Times New Roman" w:hAnsi="Times New Roman"/>
          <w:bCs/>
          <w:szCs w:val="24"/>
        </w:rPr>
        <w:t xml:space="preserve"> </w:t>
      </w:r>
      <w:r>
        <w:rPr>
          <w:rFonts w:ascii="Times New Roman" w:hAnsi="Times New Roman"/>
          <w:bCs/>
          <w:szCs w:val="24"/>
        </w:rPr>
        <w:t>извјештаја</w:t>
      </w:r>
      <w:r w:rsidR="00B60DE6" w:rsidRPr="00295637">
        <w:rPr>
          <w:rFonts w:ascii="Times New Roman" w:hAnsi="Times New Roman"/>
          <w:bCs/>
          <w:szCs w:val="24"/>
        </w:rPr>
        <w:t xml:space="preserve"> </w:t>
      </w:r>
      <w:r>
        <w:rPr>
          <w:rFonts w:ascii="Times New Roman" w:hAnsi="Times New Roman"/>
          <w:bCs/>
          <w:szCs w:val="24"/>
        </w:rPr>
        <w:t>о</w:t>
      </w:r>
      <w:r w:rsidR="00B60DE6" w:rsidRPr="00295637">
        <w:rPr>
          <w:rFonts w:ascii="Times New Roman" w:hAnsi="Times New Roman"/>
          <w:bCs/>
          <w:szCs w:val="24"/>
        </w:rPr>
        <w:t xml:space="preserve"> </w:t>
      </w:r>
      <w:r>
        <w:rPr>
          <w:rFonts w:ascii="Times New Roman" w:hAnsi="Times New Roman"/>
          <w:bCs/>
          <w:szCs w:val="24"/>
        </w:rPr>
        <w:t>напретку</w:t>
      </w:r>
      <w:r w:rsidR="00B60DE6" w:rsidRPr="00295637">
        <w:rPr>
          <w:rFonts w:ascii="Times New Roman" w:hAnsi="Times New Roman"/>
          <w:bCs/>
          <w:szCs w:val="24"/>
        </w:rPr>
        <w:t xml:space="preserve"> </w:t>
      </w:r>
      <w:r>
        <w:rPr>
          <w:rFonts w:ascii="Times New Roman" w:hAnsi="Times New Roman"/>
          <w:bCs/>
          <w:szCs w:val="24"/>
        </w:rPr>
        <w:t>БиХ</w:t>
      </w:r>
      <w:r w:rsidR="00B60DE6" w:rsidRPr="00295637">
        <w:rPr>
          <w:rFonts w:ascii="Times New Roman" w:hAnsi="Times New Roman"/>
          <w:bCs/>
          <w:szCs w:val="24"/>
        </w:rPr>
        <w:t xml:space="preserve"> </w:t>
      </w:r>
      <w:r>
        <w:rPr>
          <w:rFonts w:ascii="Times New Roman" w:hAnsi="Times New Roman"/>
          <w:bCs/>
          <w:szCs w:val="24"/>
        </w:rPr>
        <w:t>у</w:t>
      </w:r>
      <w:r w:rsidR="00B60DE6" w:rsidRPr="00295637">
        <w:rPr>
          <w:rFonts w:ascii="Times New Roman" w:hAnsi="Times New Roman"/>
          <w:bCs/>
          <w:szCs w:val="24"/>
        </w:rPr>
        <w:t xml:space="preserve"> </w:t>
      </w:r>
      <w:r>
        <w:rPr>
          <w:rFonts w:ascii="Times New Roman" w:hAnsi="Times New Roman"/>
          <w:bCs/>
          <w:szCs w:val="24"/>
        </w:rPr>
        <w:t>примјени</w:t>
      </w:r>
      <w:r w:rsidR="00B60DE6" w:rsidRPr="00295637">
        <w:rPr>
          <w:rFonts w:ascii="Times New Roman" w:hAnsi="Times New Roman"/>
          <w:bCs/>
          <w:szCs w:val="24"/>
        </w:rPr>
        <w:t xml:space="preserve"> </w:t>
      </w:r>
      <w:r>
        <w:rPr>
          <w:rFonts w:ascii="Times New Roman" w:hAnsi="Times New Roman"/>
          <w:bCs/>
          <w:szCs w:val="24"/>
        </w:rPr>
        <w:t>Пекиншке</w:t>
      </w:r>
      <w:r w:rsidR="00B60DE6" w:rsidRPr="00295637">
        <w:rPr>
          <w:rFonts w:ascii="Times New Roman" w:hAnsi="Times New Roman"/>
          <w:bCs/>
          <w:szCs w:val="24"/>
        </w:rPr>
        <w:t xml:space="preserve"> </w:t>
      </w:r>
      <w:r>
        <w:rPr>
          <w:rFonts w:ascii="Times New Roman" w:hAnsi="Times New Roman"/>
          <w:bCs/>
          <w:szCs w:val="24"/>
        </w:rPr>
        <w:t>декларације</w:t>
      </w:r>
      <w:r w:rsidR="00B60DE6" w:rsidRPr="00295637">
        <w:rPr>
          <w:rFonts w:ascii="Times New Roman" w:hAnsi="Times New Roman"/>
          <w:bCs/>
          <w:szCs w:val="24"/>
        </w:rPr>
        <w:t xml:space="preserve"> </w:t>
      </w:r>
      <w:r>
        <w:rPr>
          <w:rFonts w:ascii="Times New Roman" w:hAnsi="Times New Roman"/>
          <w:bCs/>
          <w:szCs w:val="24"/>
        </w:rPr>
        <w:t>и</w:t>
      </w:r>
      <w:r w:rsidR="00B60DE6" w:rsidRPr="00295637">
        <w:rPr>
          <w:rFonts w:ascii="Times New Roman" w:hAnsi="Times New Roman"/>
          <w:bCs/>
          <w:szCs w:val="24"/>
        </w:rPr>
        <w:t xml:space="preserve"> </w:t>
      </w:r>
      <w:r>
        <w:rPr>
          <w:rFonts w:ascii="Times New Roman" w:hAnsi="Times New Roman"/>
          <w:bCs/>
          <w:szCs w:val="24"/>
        </w:rPr>
        <w:t>Платформе</w:t>
      </w:r>
      <w:r w:rsidR="00B60DE6" w:rsidRPr="00295637">
        <w:rPr>
          <w:rFonts w:ascii="Times New Roman" w:hAnsi="Times New Roman"/>
          <w:bCs/>
          <w:szCs w:val="24"/>
        </w:rPr>
        <w:t xml:space="preserve"> </w:t>
      </w:r>
      <w:r>
        <w:rPr>
          <w:rFonts w:ascii="Times New Roman" w:hAnsi="Times New Roman"/>
          <w:bCs/>
          <w:szCs w:val="24"/>
        </w:rPr>
        <w:t>за</w:t>
      </w:r>
      <w:r w:rsidR="00B60DE6" w:rsidRPr="00295637">
        <w:rPr>
          <w:rFonts w:ascii="Times New Roman" w:hAnsi="Times New Roman"/>
          <w:bCs/>
          <w:szCs w:val="24"/>
        </w:rPr>
        <w:t xml:space="preserve"> </w:t>
      </w:r>
      <w:r>
        <w:rPr>
          <w:rFonts w:ascii="Times New Roman" w:hAnsi="Times New Roman"/>
          <w:bCs/>
          <w:szCs w:val="24"/>
        </w:rPr>
        <w:t>дјеловање</w:t>
      </w:r>
      <w:r w:rsidR="00B60DE6" w:rsidRPr="00295637">
        <w:rPr>
          <w:rFonts w:ascii="Times New Roman" w:hAnsi="Times New Roman"/>
          <w:bCs/>
          <w:szCs w:val="24"/>
        </w:rPr>
        <w:t xml:space="preserve"> </w:t>
      </w:r>
      <w:r>
        <w:rPr>
          <w:rFonts w:ascii="Times New Roman" w:hAnsi="Times New Roman"/>
          <w:bCs/>
          <w:szCs w:val="24"/>
        </w:rPr>
        <w:t>у</w:t>
      </w:r>
      <w:r w:rsidR="00944633">
        <w:rPr>
          <w:rFonts w:ascii="Times New Roman" w:hAnsi="Times New Roman"/>
          <w:bCs/>
          <w:szCs w:val="24"/>
        </w:rPr>
        <w:t xml:space="preserve"> </w:t>
      </w:r>
      <w:r>
        <w:rPr>
          <w:rFonts w:ascii="Times New Roman" w:hAnsi="Times New Roman"/>
          <w:bCs/>
          <w:szCs w:val="24"/>
        </w:rPr>
        <w:t>БиХ</w:t>
      </w:r>
      <w:r w:rsidR="00B60DE6" w:rsidRPr="00295637">
        <w:rPr>
          <w:rFonts w:ascii="Times New Roman" w:hAnsi="Times New Roman"/>
          <w:bCs/>
          <w:szCs w:val="24"/>
        </w:rPr>
        <w:t xml:space="preserve"> </w:t>
      </w:r>
      <w:r>
        <w:rPr>
          <w:rFonts w:ascii="Times New Roman" w:hAnsi="Times New Roman"/>
          <w:bCs/>
          <w:szCs w:val="24"/>
        </w:rPr>
        <w:t>у</w:t>
      </w:r>
      <w:r w:rsidR="00B60DE6" w:rsidRPr="00295637">
        <w:rPr>
          <w:rFonts w:ascii="Times New Roman" w:hAnsi="Times New Roman"/>
          <w:bCs/>
          <w:szCs w:val="24"/>
        </w:rPr>
        <w:t xml:space="preserve"> </w:t>
      </w:r>
      <w:r>
        <w:rPr>
          <w:rFonts w:ascii="Times New Roman" w:hAnsi="Times New Roman"/>
          <w:bCs/>
          <w:szCs w:val="24"/>
        </w:rPr>
        <w:t>оквиру</w:t>
      </w:r>
      <w:r w:rsidR="00B60DE6" w:rsidRPr="00295637">
        <w:rPr>
          <w:rFonts w:ascii="Times New Roman" w:hAnsi="Times New Roman"/>
          <w:bCs/>
          <w:szCs w:val="24"/>
        </w:rPr>
        <w:t xml:space="preserve"> </w:t>
      </w:r>
      <w:r>
        <w:rPr>
          <w:rFonts w:ascii="Times New Roman" w:hAnsi="Times New Roman"/>
          <w:bCs/>
          <w:szCs w:val="24"/>
        </w:rPr>
        <w:t>процеса</w:t>
      </w:r>
      <w:r w:rsidR="00B60DE6" w:rsidRPr="00295637">
        <w:rPr>
          <w:rFonts w:ascii="Times New Roman" w:hAnsi="Times New Roman"/>
          <w:bCs/>
          <w:szCs w:val="24"/>
        </w:rPr>
        <w:t xml:space="preserve"> </w:t>
      </w:r>
      <w:r>
        <w:rPr>
          <w:rFonts w:ascii="Times New Roman" w:hAnsi="Times New Roman"/>
          <w:bCs/>
          <w:szCs w:val="24"/>
        </w:rPr>
        <w:t>Пекинг</w:t>
      </w:r>
      <w:r w:rsidR="00B60DE6" w:rsidRPr="00295637">
        <w:rPr>
          <w:rFonts w:ascii="Times New Roman" w:hAnsi="Times New Roman"/>
          <w:bCs/>
          <w:szCs w:val="24"/>
        </w:rPr>
        <w:t xml:space="preserve"> +30. </w:t>
      </w:r>
      <w:r>
        <w:rPr>
          <w:rFonts w:ascii="Times New Roman" w:hAnsi="Times New Roman"/>
          <w:bCs/>
          <w:szCs w:val="24"/>
        </w:rPr>
        <w:t>Извјештај</w:t>
      </w:r>
      <w:r w:rsidR="00B60DE6" w:rsidRPr="00295637">
        <w:rPr>
          <w:rFonts w:ascii="Times New Roman" w:hAnsi="Times New Roman"/>
          <w:bCs/>
          <w:szCs w:val="24"/>
        </w:rPr>
        <w:t xml:space="preserve">, </w:t>
      </w:r>
      <w:r>
        <w:rPr>
          <w:rFonts w:ascii="Times New Roman" w:hAnsi="Times New Roman"/>
          <w:bCs/>
          <w:szCs w:val="24"/>
        </w:rPr>
        <w:t>који</w:t>
      </w:r>
      <w:r w:rsidR="00B60DE6" w:rsidRPr="00295637">
        <w:rPr>
          <w:rFonts w:ascii="Times New Roman" w:hAnsi="Times New Roman"/>
          <w:bCs/>
          <w:szCs w:val="24"/>
        </w:rPr>
        <w:t xml:space="preserve"> </w:t>
      </w:r>
      <w:r>
        <w:rPr>
          <w:rFonts w:ascii="Times New Roman" w:hAnsi="Times New Roman"/>
          <w:bCs/>
          <w:szCs w:val="24"/>
        </w:rPr>
        <w:t>је</w:t>
      </w:r>
      <w:r w:rsidR="00B60DE6" w:rsidRPr="00295637">
        <w:rPr>
          <w:rFonts w:ascii="Times New Roman" w:hAnsi="Times New Roman"/>
          <w:bCs/>
          <w:szCs w:val="24"/>
        </w:rPr>
        <w:t xml:space="preserve"> </w:t>
      </w:r>
      <w:r>
        <w:rPr>
          <w:rFonts w:ascii="Times New Roman" w:hAnsi="Times New Roman"/>
          <w:bCs/>
          <w:szCs w:val="24"/>
        </w:rPr>
        <w:t>израђен</w:t>
      </w:r>
      <w:r w:rsidR="00C66F8F" w:rsidRPr="00295637">
        <w:rPr>
          <w:rFonts w:ascii="Times New Roman" w:hAnsi="Times New Roman"/>
          <w:bCs/>
          <w:szCs w:val="24"/>
        </w:rPr>
        <w:t xml:space="preserve"> </w:t>
      </w:r>
      <w:r>
        <w:rPr>
          <w:rFonts w:ascii="Times New Roman" w:hAnsi="Times New Roman"/>
          <w:bCs/>
          <w:szCs w:val="24"/>
        </w:rPr>
        <w:t>уз</w:t>
      </w:r>
      <w:r w:rsidR="00C66F8F" w:rsidRPr="00295637">
        <w:rPr>
          <w:rFonts w:ascii="Times New Roman" w:hAnsi="Times New Roman"/>
          <w:bCs/>
          <w:szCs w:val="24"/>
        </w:rPr>
        <w:t xml:space="preserve"> </w:t>
      </w:r>
      <w:r>
        <w:rPr>
          <w:rFonts w:ascii="Times New Roman" w:hAnsi="Times New Roman"/>
          <w:bCs/>
          <w:szCs w:val="24"/>
        </w:rPr>
        <w:t>техничку</w:t>
      </w:r>
      <w:r w:rsidR="00C66F8F" w:rsidRPr="00295637">
        <w:rPr>
          <w:rFonts w:ascii="Times New Roman" w:hAnsi="Times New Roman"/>
          <w:bCs/>
          <w:szCs w:val="24"/>
        </w:rPr>
        <w:t xml:space="preserve"> </w:t>
      </w:r>
      <w:r>
        <w:rPr>
          <w:rFonts w:ascii="Times New Roman" w:hAnsi="Times New Roman"/>
          <w:bCs/>
          <w:szCs w:val="24"/>
        </w:rPr>
        <w:t>подршку</w:t>
      </w:r>
      <w:r w:rsidR="00C66F8F" w:rsidRPr="00295637">
        <w:rPr>
          <w:rFonts w:ascii="Times New Roman" w:hAnsi="Times New Roman"/>
          <w:bCs/>
          <w:szCs w:val="24"/>
        </w:rPr>
        <w:t xml:space="preserve"> </w:t>
      </w:r>
      <w:r w:rsidR="006821B8">
        <w:rPr>
          <w:rFonts w:ascii="Times New Roman" w:hAnsi="Times New Roman"/>
          <w:bCs/>
          <w:szCs w:val="24"/>
          <w:lang w:val="sr-Cyrl-BA"/>
        </w:rPr>
        <w:t>канцеларије</w:t>
      </w:r>
      <w:r w:rsidR="00C66F8F" w:rsidRPr="00295637">
        <w:rPr>
          <w:rFonts w:ascii="Times New Roman" w:hAnsi="Times New Roman"/>
          <w:bCs/>
          <w:szCs w:val="24"/>
        </w:rPr>
        <w:t xml:space="preserve"> </w:t>
      </w:r>
      <w:r w:rsidR="006821B8" w:rsidRPr="006821B8">
        <w:rPr>
          <w:rFonts w:ascii="Times New Roman" w:hAnsi="Times New Roman"/>
          <w:bCs/>
          <w:i/>
          <w:szCs w:val="24"/>
        </w:rPr>
        <w:t xml:space="preserve">UN Women </w:t>
      </w:r>
      <w:r>
        <w:rPr>
          <w:rFonts w:ascii="Times New Roman" w:hAnsi="Times New Roman"/>
          <w:bCs/>
          <w:szCs w:val="24"/>
        </w:rPr>
        <w:t>у</w:t>
      </w:r>
      <w:r w:rsidR="00C66F8F" w:rsidRPr="00295637">
        <w:rPr>
          <w:rFonts w:ascii="Times New Roman" w:hAnsi="Times New Roman"/>
          <w:bCs/>
          <w:szCs w:val="24"/>
        </w:rPr>
        <w:t xml:space="preserve"> </w:t>
      </w:r>
      <w:r>
        <w:rPr>
          <w:rFonts w:ascii="Times New Roman" w:hAnsi="Times New Roman"/>
          <w:bCs/>
          <w:szCs w:val="24"/>
        </w:rPr>
        <w:t>Босни</w:t>
      </w:r>
      <w:r w:rsidR="00C66F8F" w:rsidRPr="00295637">
        <w:rPr>
          <w:rFonts w:ascii="Times New Roman" w:hAnsi="Times New Roman"/>
          <w:bCs/>
          <w:szCs w:val="24"/>
        </w:rPr>
        <w:t xml:space="preserve"> </w:t>
      </w:r>
      <w:r>
        <w:rPr>
          <w:rFonts w:ascii="Times New Roman" w:hAnsi="Times New Roman"/>
          <w:bCs/>
          <w:szCs w:val="24"/>
        </w:rPr>
        <w:t>и</w:t>
      </w:r>
      <w:r w:rsidR="00C66F8F" w:rsidRPr="00295637">
        <w:rPr>
          <w:rFonts w:ascii="Times New Roman" w:hAnsi="Times New Roman"/>
          <w:bCs/>
          <w:szCs w:val="24"/>
        </w:rPr>
        <w:t xml:space="preserve"> </w:t>
      </w:r>
      <w:r>
        <w:rPr>
          <w:rFonts w:ascii="Times New Roman" w:hAnsi="Times New Roman"/>
          <w:bCs/>
          <w:szCs w:val="24"/>
        </w:rPr>
        <w:t>Херцеговини</w:t>
      </w:r>
      <w:r w:rsidR="00483D68" w:rsidRPr="00295637">
        <w:rPr>
          <w:rFonts w:ascii="Times New Roman" w:hAnsi="Times New Roman"/>
          <w:bCs/>
          <w:szCs w:val="24"/>
        </w:rPr>
        <w:t>,</w:t>
      </w:r>
      <w:r w:rsidR="00B60DE6" w:rsidRPr="00295637">
        <w:rPr>
          <w:rFonts w:ascii="Times New Roman" w:hAnsi="Times New Roman"/>
          <w:bCs/>
          <w:szCs w:val="24"/>
        </w:rPr>
        <w:t xml:space="preserve"> </w:t>
      </w:r>
      <w:r>
        <w:rPr>
          <w:rFonts w:ascii="Times New Roman" w:hAnsi="Times New Roman"/>
          <w:bCs/>
          <w:szCs w:val="24"/>
        </w:rPr>
        <w:t>поднесен</w:t>
      </w:r>
      <w:r w:rsidR="00B60DE6" w:rsidRPr="00295637">
        <w:rPr>
          <w:rFonts w:ascii="Times New Roman" w:hAnsi="Times New Roman"/>
          <w:bCs/>
          <w:szCs w:val="24"/>
        </w:rPr>
        <w:t xml:space="preserve"> </w:t>
      </w:r>
      <w:r>
        <w:rPr>
          <w:rFonts w:ascii="Times New Roman" w:hAnsi="Times New Roman"/>
          <w:bCs/>
          <w:szCs w:val="24"/>
        </w:rPr>
        <w:t>је</w:t>
      </w:r>
      <w:r w:rsidR="00B60DE6" w:rsidRPr="00295637">
        <w:rPr>
          <w:rFonts w:ascii="Times New Roman" w:hAnsi="Times New Roman"/>
          <w:bCs/>
          <w:szCs w:val="24"/>
        </w:rPr>
        <w:t xml:space="preserve"> </w:t>
      </w:r>
      <w:r>
        <w:rPr>
          <w:rFonts w:ascii="Times New Roman" w:hAnsi="Times New Roman"/>
          <w:bCs/>
          <w:szCs w:val="24"/>
        </w:rPr>
        <w:t>надлежним</w:t>
      </w:r>
      <w:r w:rsidR="00B60DE6" w:rsidRPr="00295637">
        <w:rPr>
          <w:rFonts w:ascii="Times New Roman" w:hAnsi="Times New Roman"/>
          <w:bCs/>
          <w:szCs w:val="24"/>
        </w:rPr>
        <w:t xml:space="preserve"> </w:t>
      </w:r>
      <w:r>
        <w:rPr>
          <w:rFonts w:ascii="Times New Roman" w:hAnsi="Times New Roman"/>
          <w:bCs/>
          <w:szCs w:val="24"/>
        </w:rPr>
        <w:t>органима</w:t>
      </w:r>
      <w:r w:rsidR="00B60DE6" w:rsidRPr="00295637">
        <w:rPr>
          <w:rFonts w:ascii="Times New Roman" w:hAnsi="Times New Roman"/>
          <w:bCs/>
          <w:szCs w:val="24"/>
        </w:rPr>
        <w:t xml:space="preserve"> </w:t>
      </w:r>
      <w:r>
        <w:rPr>
          <w:rFonts w:ascii="Times New Roman" w:hAnsi="Times New Roman"/>
          <w:bCs/>
          <w:szCs w:val="24"/>
        </w:rPr>
        <w:t>УН</w:t>
      </w:r>
      <w:r w:rsidR="00FA1ABE" w:rsidRPr="00295637">
        <w:rPr>
          <w:rFonts w:ascii="Times New Roman" w:hAnsi="Times New Roman"/>
          <w:bCs/>
          <w:szCs w:val="24"/>
        </w:rPr>
        <w:t>-</w:t>
      </w:r>
      <w:r>
        <w:rPr>
          <w:rFonts w:ascii="Times New Roman" w:hAnsi="Times New Roman"/>
          <w:bCs/>
          <w:szCs w:val="24"/>
        </w:rPr>
        <w:t>а</w:t>
      </w:r>
      <w:r w:rsidR="00C66F8F" w:rsidRPr="00295637">
        <w:rPr>
          <w:rFonts w:ascii="Times New Roman" w:hAnsi="Times New Roman"/>
          <w:szCs w:val="24"/>
          <w:lang w:val="bs-Latn-BA"/>
        </w:rPr>
        <w:t xml:space="preserve">, </w:t>
      </w:r>
      <w:r>
        <w:rPr>
          <w:rFonts w:ascii="Times New Roman" w:hAnsi="Times New Roman"/>
          <w:szCs w:val="24"/>
          <w:lang w:val="bs-Latn-BA"/>
        </w:rPr>
        <w:t>те</w:t>
      </w:r>
      <w:r w:rsidR="00C66F8F" w:rsidRPr="00295637">
        <w:rPr>
          <w:rFonts w:ascii="Times New Roman" w:hAnsi="Times New Roman"/>
          <w:szCs w:val="24"/>
          <w:lang w:val="bs-Latn-BA"/>
        </w:rPr>
        <w:t xml:space="preserve"> </w:t>
      </w:r>
      <w:r>
        <w:rPr>
          <w:rFonts w:ascii="Times New Roman" w:hAnsi="Times New Roman"/>
          <w:szCs w:val="24"/>
          <w:lang w:val="bs-Latn-BA"/>
        </w:rPr>
        <w:t>је</w:t>
      </w:r>
      <w:r w:rsidR="00C66F8F" w:rsidRPr="00295637">
        <w:rPr>
          <w:rFonts w:ascii="Times New Roman" w:hAnsi="Times New Roman"/>
          <w:szCs w:val="24"/>
          <w:lang w:val="bs-Latn-BA"/>
        </w:rPr>
        <w:t xml:space="preserve"> </w:t>
      </w:r>
      <w:r>
        <w:rPr>
          <w:rFonts w:ascii="Times New Roman" w:hAnsi="Times New Roman"/>
          <w:szCs w:val="24"/>
          <w:lang w:val="bs-Latn-BA"/>
        </w:rPr>
        <w:t>презент</w:t>
      </w:r>
      <w:r w:rsidR="006821B8">
        <w:rPr>
          <w:rFonts w:ascii="Times New Roman" w:hAnsi="Times New Roman"/>
          <w:szCs w:val="24"/>
          <w:lang w:val="sr-Cyrl-BA"/>
        </w:rPr>
        <w:t>ован</w:t>
      </w:r>
      <w:r w:rsidR="00C66F8F" w:rsidRPr="00295637">
        <w:rPr>
          <w:rFonts w:ascii="Times New Roman" w:hAnsi="Times New Roman"/>
          <w:szCs w:val="24"/>
          <w:lang w:val="bs-Latn-BA"/>
        </w:rPr>
        <w:t xml:space="preserve"> </w:t>
      </w:r>
      <w:r>
        <w:rPr>
          <w:rFonts w:ascii="Times New Roman" w:hAnsi="Times New Roman"/>
          <w:szCs w:val="24"/>
          <w:lang w:val="bs-Latn-BA"/>
        </w:rPr>
        <w:t>на</w:t>
      </w:r>
      <w:r w:rsidR="00C66F8F" w:rsidRPr="00295637">
        <w:rPr>
          <w:rFonts w:ascii="Times New Roman" w:hAnsi="Times New Roman"/>
          <w:szCs w:val="24"/>
          <w:lang w:val="bs-Latn-BA"/>
        </w:rPr>
        <w:t xml:space="preserve"> </w:t>
      </w:r>
      <w:r>
        <w:rPr>
          <w:rFonts w:ascii="Times New Roman" w:hAnsi="Times New Roman"/>
          <w:szCs w:val="24"/>
          <w:lang w:val="bs-Latn-BA"/>
        </w:rPr>
        <w:t>консултативном</w:t>
      </w:r>
      <w:r w:rsidR="00062436" w:rsidRPr="00295637">
        <w:rPr>
          <w:rFonts w:ascii="Times New Roman" w:hAnsi="Times New Roman"/>
          <w:szCs w:val="24"/>
          <w:lang w:val="bs-Latn-BA"/>
        </w:rPr>
        <w:t xml:space="preserve"> </w:t>
      </w:r>
      <w:r>
        <w:rPr>
          <w:rFonts w:ascii="Times New Roman" w:hAnsi="Times New Roman"/>
          <w:szCs w:val="24"/>
          <w:lang w:val="bs-Latn-BA"/>
        </w:rPr>
        <w:t>састанку</w:t>
      </w:r>
      <w:r w:rsidR="00C66F8F" w:rsidRPr="00295637">
        <w:rPr>
          <w:rFonts w:ascii="Times New Roman" w:hAnsi="Times New Roman"/>
          <w:szCs w:val="24"/>
          <w:lang w:val="bs-Latn-BA"/>
        </w:rPr>
        <w:t xml:space="preserve"> </w:t>
      </w:r>
      <w:r>
        <w:rPr>
          <w:rFonts w:ascii="Times New Roman" w:hAnsi="Times New Roman"/>
          <w:szCs w:val="24"/>
          <w:lang w:val="bs-Latn-BA"/>
        </w:rPr>
        <w:t>земаља</w:t>
      </w:r>
      <w:r w:rsidR="00C66F8F" w:rsidRPr="00295637">
        <w:rPr>
          <w:rFonts w:ascii="Times New Roman" w:hAnsi="Times New Roman"/>
          <w:szCs w:val="24"/>
          <w:lang w:val="bs-Latn-BA"/>
        </w:rPr>
        <w:t xml:space="preserve"> </w:t>
      </w:r>
      <w:r>
        <w:rPr>
          <w:rFonts w:ascii="Times New Roman" w:hAnsi="Times New Roman"/>
          <w:szCs w:val="24"/>
          <w:lang w:val="bs-Latn-BA"/>
        </w:rPr>
        <w:t>Западног</w:t>
      </w:r>
      <w:r w:rsidR="00C66F8F" w:rsidRPr="00295637">
        <w:rPr>
          <w:rFonts w:ascii="Times New Roman" w:hAnsi="Times New Roman"/>
          <w:szCs w:val="24"/>
          <w:lang w:val="bs-Latn-BA"/>
        </w:rPr>
        <w:t xml:space="preserve"> </w:t>
      </w:r>
      <w:r>
        <w:rPr>
          <w:rFonts w:ascii="Times New Roman" w:hAnsi="Times New Roman"/>
          <w:szCs w:val="24"/>
          <w:lang w:val="bs-Latn-BA"/>
        </w:rPr>
        <w:t>Балкана</w:t>
      </w:r>
      <w:r w:rsidR="00C66F8F" w:rsidRPr="00295637">
        <w:rPr>
          <w:rFonts w:ascii="Times New Roman" w:hAnsi="Times New Roman"/>
          <w:szCs w:val="24"/>
          <w:lang w:val="bs-Latn-BA"/>
        </w:rPr>
        <w:t xml:space="preserve"> </w:t>
      </w:r>
      <w:r>
        <w:rPr>
          <w:rFonts w:ascii="Times New Roman" w:hAnsi="Times New Roman"/>
          <w:szCs w:val="24"/>
          <w:lang w:val="bs-Latn-BA"/>
        </w:rPr>
        <w:t>у</w:t>
      </w:r>
      <w:r w:rsidR="00C66F8F" w:rsidRPr="00295637">
        <w:rPr>
          <w:rFonts w:ascii="Times New Roman" w:hAnsi="Times New Roman"/>
          <w:szCs w:val="24"/>
          <w:lang w:val="bs-Latn-BA"/>
        </w:rPr>
        <w:t xml:space="preserve"> </w:t>
      </w:r>
      <w:r>
        <w:rPr>
          <w:rFonts w:ascii="Times New Roman" w:hAnsi="Times New Roman"/>
          <w:szCs w:val="24"/>
          <w:lang w:val="bs-Latn-BA"/>
        </w:rPr>
        <w:t>Тирани</w:t>
      </w:r>
      <w:r w:rsidR="00C66F8F" w:rsidRPr="00295637">
        <w:rPr>
          <w:rFonts w:ascii="Times New Roman" w:hAnsi="Times New Roman"/>
          <w:szCs w:val="24"/>
          <w:lang w:val="bs-Latn-BA"/>
        </w:rPr>
        <w:t xml:space="preserve"> </w:t>
      </w:r>
      <w:r>
        <w:rPr>
          <w:rFonts w:ascii="Times New Roman" w:hAnsi="Times New Roman"/>
          <w:szCs w:val="24"/>
          <w:lang w:val="bs-Latn-BA"/>
        </w:rPr>
        <w:t>и</w:t>
      </w:r>
      <w:r w:rsidR="00C66F8F" w:rsidRPr="00295637">
        <w:rPr>
          <w:rFonts w:ascii="Times New Roman" w:hAnsi="Times New Roman"/>
          <w:szCs w:val="24"/>
          <w:lang w:val="bs-Latn-BA"/>
        </w:rPr>
        <w:t xml:space="preserve"> </w:t>
      </w:r>
      <w:r>
        <w:rPr>
          <w:rFonts w:ascii="Times New Roman" w:hAnsi="Times New Roman"/>
          <w:szCs w:val="24"/>
          <w:lang w:val="bs-Latn-BA"/>
        </w:rPr>
        <w:t>на</w:t>
      </w:r>
      <w:r w:rsidR="00B72518" w:rsidRPr="00295637">
        <w:rPr>
          <w:rFonts w:ascii="Times New Roman" w:hAnsi="Times New Roman"/>
          <w:szCs w:val="24"/>
          <w:lang w:val="bs-Latn-BA"/>
        </w:rPr>
        <w:t xml:space="preserve"> </w:t>
      </w:r>
      <w:r>
        <w:rPr>
          <w:rFonts w:ascii="Times New Roman" w:hAnsi="Times New Roman"/>
          <w:szCs w:val="24"/>
          <w:lang w:val="bs-Latn-BA"/>
        </w:rPr>
        <w:t>регионалној</w:t>
      </w:r>
      <w:r w:rsidR="00B72518" w:rsidRPr="00295637">
        <w:rPr>
          <w:rFonts w:ascii="Times New Roman" w:hAnsi="Times New Roman"/>
          <w:szCs w:val="24"/>
          <w:lang w:val="bs-Latn-BA"/>
        </w:rPr>
        <w:t xml:space="preserve"> </w:t>
      </w:r>
      <w:r>
        <w:rPr>
          <w:rFonts w:ascii="Times New Roman" w:hAnsi="Times New Roman"/>
          <w:szCs w:val="24"/>
          <w:lang w:val="bs-Latn-BA"/>
        </w:rPr>
        <w:t>конференцији</w:t>
      </w:r>
      <w:r w:rsidR="00B72518" w:rsidRPr="00295637">
        <w:rPr>
          <w:rFonts w:ascii="Times New Roman" w:hAnsi="Times New Roman"/>
          <w:szCs w:val="24"/>
          <w:lang w:val="bs-Latn-BA"/>
        </w:rPr>
        <w:t xml:space="preserve"> </w:t>
      </w:r>
      <w:r>
        <w:rPr>
          <w:rFonts w:ascii="Times New Roman" w:hAnsi="Times New Roman"/>
          <w:szCs w:val="24"/>
          <w:lang w:val="bs-Latn-BA"/>
        </w:rPr>
        <w:t>на</w:t>
      </w:r>
      <w:r w:rsidR="00B72518" w:rsidRPr="00295637">
        <w:rPr>
          <w:rFonts w:ascii="Times New Roman" w:hAnsi="Times New Roman"/>
          <w:szCs w:val="24"/>
          <w:lang w:val="bs-Latn-BA"/>
        </w:rPr>
        <w:t xml:space="preserve"> </w:t>
      </w:r>
      <w:r>
        <w:rPr>
          <w:rFonts w:ascii="Times New Roman" w:hAnsi="Times New Roman"/>
          <w:szCs w:val="24"/>
          <w:lang w:val="bs-Latn-BA"/>
        </w:rPr>
        <w:t>високом</w:t>
      </w:r>
      <w:r w:rsidR="00B72518" w:rsidRPr="00295637">
        <w:rPr>
          <w:rFonts w:ascii="Times New Roman" w:hAnsi="Times New Roman"/>
          <w:szCs w:val="24"/>
          <w:lang w:val="bs-Latn-BA"/>
        </w:rPr>
        <w:t xml:space="preserve"> </w:t>
      </w:r>
      <w:r>
        <w:rPr>
          <w:rFonts w:ascii="Times New Roman" w:hAnsi="Times New Roman"/>
          <w:szCs w:val="24"/>
          <w:lang w:val="bs-Latn-BA"/>
        </w:rPr>
        <w:t>нивоу</w:t>
      </w:r>
      <w:r w:rsidR="00B72518" w:rsidRPr="00295637">
        <w:rPr>
          <w:rFonts w:ascii="Times New Roman" w:hAnsi="Times New Roman"/>
          <w:szCs w:val="24"/>
          <w:lang w:val="bs-Latn-BA"/>
        </w:rPr>
        <w:t xml:space="preserve"> </w:t>
      </w:r>
      <w:r w:rsidR="00B72518" w:rsidRPr="00295637">
        <w:rPr>
          <w:rFonts w:ascii="Times New Roman" w:hAnsi="Times New Roman"/>
        </w:rPr>
        <w:t>„</w:t>
      </w:r>
      <w:r>
        <w:rPr>
          <w:rFonts w:ascii="Times New Roman" w:hAnsi="Times New Roman"/>
        </w:rPr>
        <w:t>Пекинг</w:t>
      </w:r>
      <w:r w:rsidR="00B72518" w:rsidRPr="00295637">
        <w:rPr>
          <w:rFonts w:ascii="Times New Roman" w:hAnsi="Times New Roman"/>
        </w:rPr>
        <w:t xml:space="preserve"> + 30 – </w:t>
      </w:r>
      <w:r>
        <w:rPr>
          <w:rFonts w:ascii="Times New Roman" w:hAnsi="Times New Roman"/>
        </w:rPr>
        <w:t>Ревизија</w:t>
      </w:r>
      <w:r w:rsidR="00B72518" w:rsidRPr="00295637">
        <w:rPr>
          <w:rFonts w:ascii="Times New Roman" w:hAnsi="Times New Roman"/>
        </w:rPr>
        <w:t xml:space="preserve"> 30 </w:t>
      </w:r>
      <w:r>
        <w:rPr>
          <w:rFonts w:ascii="Times New Roman" w:hAnsi="Times New Roman"/>
        </w:rPr>
        <w:t>година</w:t>
      </w:r>
      <w:r w:rsidR="00B72518" w:rsidRPr="00295637">
        <w:rPr>
          <w:rFonts w:ascii="Times New Roman" w:hAnsi="Times New Roman"/>
        </w:rPr>
        <w:t xml:space="preserve"> </w:t>
      </w:r>
      <w:r>
        <w:rPr>
          <w:rFonts w:ascii="Times New Roman" w:hAnsi="Times New Roman"/>
        </w:rPr>
        <w:t>Пекинга</w:t>
      </w:r>
      <w:r w:rsidR="00B72518" w:rsidRPr="00295637">
        <w:rPr>
          <w:rFonts w:ascii="Times New Roman" w:hAnsi="Times New Roman"/>
        </w:rPr>
        <w:t xml:space="preserve"> </w:t>
      </w:r>
      <w:r>
        <w:rPr>
          <w:rFonts w:ascii="Times New Roman" w:hAnsi="Times New Roman"/>
        </w:rPr>
        <w:t>посвећености</w:t>
      </w:r>
      <w:r w:rsidR="000C3D5B" w:rsidRPr="00295637">
        <w:rPr>
          <w:rFonts w:ascii="Times New Roman" w:hAnsi="Times New Roman"/>
        </w:rPr>
        <w:t xml:space="preserve"> </w:t>
      </w:r>
      <w:r>
        <w:rPr>
          <w:rFonts w:ascii="Times New Roman" w:hAnsi="Times New Roman"/>
        </w:rPr>
        <w:t>убрзавању</w:t>
      </w:r>
      <w:r w:rsidR="000C3D5B" w:rsidRPr="00295637">
        <w:rPr>
          <w:rFonts w:ascii="Times New Roman" w:hAnsi="Times New Roman"/>
        </w:rPr>
        <w:t xml:space="preserve"> </w:t>
      </w:r>
      <w:r>
        <w:rPr>
          <w:rFonts w:ascii="Times New Roman" w:hAnsi="Times New Roman"/>
        </w:rPr>
        <w:t>равноправности</w:t>
      </w:r>
      <w:r w:rsidR="00CC105E" w:rsidRPr="00295637">
        <w:rPr>
          <w:rFonts w:ascii="Times New Roman" w:hAnsi="Times New Roman"/>
        </w:rPr>
        <w:t xml:space="preserve"> </w:t>
      </w:r>
      <w:r>
        <w:rPr>
          <w:rFonts w:ascii="Times New Roman" w:hAnsi="Times New Roman"/>
        </w:rPr>
        <w:t>полова</w:t>
      </w:r>
      <w:r w:rsidR="00B72518" w:rsidRPr="00295637">
        <w:rPr>
          <w:rFonts w:ascii="Times New Roman" w:hAnsi="Times New Roman"/>
        </w:rPr>
        <w:t xml:space="preserve"> </w:t>
      </w:r>
      <w:r>
        <w:rPr>
          <w:rFonts w:ascii="Times New Roman" w:hAnsi="Times New Roman"/>
          <w:szCs w:val="24"/>
          <w:lang w:val="bs-Latn-BA"/>
        </w:rPr>
        <w:t>засједању</w:t>
      </w:r>
      <w:r w:rsidR="00C66F8F" w:rsidRPr="00295637">
        <w:rPr>
          <w:rFonts w:ascii="Times New Roman" w:hAnsi="Times New Roman"/>
          <w:szCs w:val="24"/>
          <w:lang w:val="bs-Latn-BA"/>
        </w:rPr>
        <w:t xml:space="preserve"> </w:t>
      </w:r>
      <w:r>
        <w:rPr>
          <w:rFonts w:ascii="Times New Roman" w:hAnsi="Times New Roman"/>
          <w:szCs w:val="24"/>
          <w:lang w:val="bs-Latn-BA"/>
        </w:rPr>
        <w:t>УН</w:t>
      </w:r>
      <w:r w:rsidR="00C66F8F" w:rsidRPr="00295637">
        <w:rPr>
          <w:rFonts w:ascii="Times New Roman" w:hAnsi="Times New Roman"/>
          <w:szCs w:val="24"/>
          <w:lang w:val="bs-Latn-BA"/>
        </w:rPr>
        <w:t>-</w:t>
      </w:r>
      <w:r>
        <w:rPr>
          <w:rFonts w:ascii="Times New Roman" w:hAnsi="Times New Roman"/>
          <w:szCs w:val="24"/>
          <w:lang w:val="bs-Latn-BA"/>
        </w:rPr>
        <w:t>а</w:t>
      </w:r>
      <w:r w:rsidR="00C66F8F" w:rsidRPr="00295637">
        <w:rPr>
          <w:rFonts w:ascii="Times New Roman" w:hAnsi="Times New Roman"/>
          <w:szCs w:val="24"/>
          <w:lang w:val="bs-Latn-BA"/>
        </w:rPr>
        <w:t xml:space="preserve"> </w:t>
      </w:r>
      <w:r>
        <w:rPr>
          <w:rFonts w:ascii="Times New Roman" w:hAnsi="Times New Roman"/>
          <w:szCs w:val="24"/>
          <w:lang w:val="bs-Latn-BA"/>
        </w:rPr>
        <w:t>за</w:t>
      </w:r>
      <w:r w:rsidR="00C66F8F" w:rsidRPr="00295637">
        <w:rPr>
          <w:rFonts w:ascii="Times New Roman" w:hAnsi="Times New Roman"/>
          <w:szCs w:val="24"/>
          <w:lang w:val="bs-Latn-BA"/>
        </w:rPr>
        <w:t xml:space="preserve"> </w:t>
      </w:r>
      <w:r>
        <w:rPr>
          <w:rFonts w:ascii="Times New Roman" w:hAnsi="Times New Roman"/>
          <w:szCs w:val="24"/>
          <w:lang w:val="bs-Latn-BA"/>
        </w:rPr>
        <w:t>Европу</w:t>
      </w:r>
      <w:r w:rsidR="00B72518" w:rsidRPr="00295637">
        <w:rPr>
          <w:rFonts w:ascii="Times New Roman" w:hAnsi="Times New Roman"/>
          <w:szCs w:val="24"/>
          <w:lang w:val="bs-Latn-BA"/>
        </w:rPr>
        <w:t>“</w:t>
      </w:r>
      <w:r w:rsidR="00C66F8F" w:rsidRPr="00295637">
        <w:rPr>
          <w:rFonts w:ascii="Times New Roman" w:hAnsi="Times New Roman"/>
          <w:szCs w:val="24"/>
          <w:lang w:val="bs-Latn-BA"/>
        </w:rPr>
        <w:t xml:space="preserve"> </w:t>
      </w:r>
      <w:r>
        <w:rPr>
          <w:rFonts w:ascii="Times New Roman" w:hAnsi="Times New Roman"/>
          <w:szCs w:val="24"/>
          <w:lang w:val="bs-Latn-BA"/>
        </w:rPr>
        <w:t>у</w:t>
      </w:r>
      <w:r w:rsidR="00201B20" w:rsidRPr="00295637">
        <w:rPr>
          <w:rFonts w:ascii="Times New Roman" w:hAnsi="Times New Roman"/>
          <w:szCs w:val="24"/>
          <w:lang w:val="bs-Latn-BA"/>
        </w:rPr>
        <w:t xml:space="preserve"> </w:t>
      </w:r>
      <w:r>
        <w:rPr>
          <w:rFonts w:ascii="Times New Roman" w:hAnsi="Times New Roman"/>
          <w:szCs w:val="24"/>
          <w:lang w:val="bs-Latn-BA"/>
        </w:rPr>
        <w:t>октобру</w:t>
      </w:r>
      <w:r w:rsidR="00201B20" w:rsidRPr="00295637">
        <w:rPr>
          <w:rFonts w:ascii="Times New Roman" w:hAnsi="Times New Roman"/>
          <w:szCs w:val="24"/>
          <w:lang w:val="bs-Latn-BA"/>
        </w:rPr>
        <w:t xml:space="preserve"> </w:t>
      </w:r>
      <w:r>
        <w:rPr>
          <w:rFonts w:ascii="Times New Roman" w:hAnsi="Times New Roman"/>
          <w:szCs w:val="24"/>
          <w:lang w:val="bs-Latn-BA"/>
        </w:rPr>
        <w:t>у</w:t>
      </w:r>
      <w:r w:rsidR="00C66F8F" w:rsidRPr="00295637">
        <w:rPr>
          <w:rFonts w:ascii="Times New Roman" w:hAnsi="Times New Roman"/>
          <w:szCs w:val="24"/>
          <w:lang w:val="bs-Latn-BA"/>
        </w:rPr>
        <w:t xml:space="preserve"> </w:t>
      </w:r>
      <w:r>
        <w:rPr>
          <w:rFonts w:ascii="Times New Roman" w:hAnsi="Times New Roman"/>
          <w:szCs w:val="24"/>
          <w:lang w:val="bs-Latn-BA"/>
        </w:rPr>
        <w:t>Женеви</w:t>
      </w:r>
      <w:r w:rsidR="00C66F8F" w:rsidRPr="00295637">
        <w:rPr>
          <w:rFonts w:ascii="Times New Roman" w:hAnsi="Times New Roman"/>
          <w:szCs w:val="24"/>
          <w:lang w:val="bs-Latn-BA"/>
        </w:rPr>
        <w:t>.</w:t>
      </w:r>
      <w:r w:rsidR="00BC344E">
        <w:rPr>
          <w:rFonts w:ascii="Times New Roman" w:hAnsi="Times New Roman"/>
          <w:szCs w:val="24"/>
          <w:lang w:val="bs-Latn-BA"/>
        </w:rPr>
        <w:t xml:space="preserve"> </w:t>
      </w:r>
      <w:r>
        <w:rPr>
          <w:rFonts w:ascii="Times New Roman" w:hAnsi="Times New Roman"/>
          <w:szCs w:val="24"/>
          <w:lang w:val="bs-Latn-BA"/>
        </w:rPr>
        <w:t>Израду</w:t>
      </w:r>
      <w:r w:rsidR="002B4450">
        <w:rPr>
          <w:rFonts w:ascii="Times New Roman" w:hAnsi="Times New Roman"/>
          <w:szCs w:val="24"/>
          <w:lang w:val="bs-Latn-BA"/>
        </w:rPr>
        <w:t xml:space="preserve"> </w:t>
      </w:r>
      <w:r>
        <w:rPr>
          <w:rFonts w:ascii="Times New Roman" w:hAnsi="Times New Roman"/>
          <w:szCs w:val="24"/>
          <w:lang w:val="bs-Latn-BA"/>
        </w:rPr>
        <w:t>поменутог</w:t>
      </w:r>
      <w:r w:rsidR="002B4450">
        <w:rPr>
          <w:rFonts w:ascii="Times New Roman" w:hAnsi="Times New Roman"/>
          <w:szCs w:val="24"/>
          <w:lang w:val="bs-Latn-BA"/>
        </w:rPr>
        <w:t xml:space="preserve"> </w:t>
      </w:r>
      <w:r>
        <w:rPr>
          <w:rFonts w:ascii="Times New Roman" w:hAnsi="Times New Roman"/>
          <w:szCs w:val="24"/>
          <w:lang w:val="bs-Latn-BA"/>
        </w:rPr>
        <w:t>извјештаја</w:t>
      </w:r>
      <w:r w:rsidR="002B4450">
        <w:rPr>
          <w:rFonts w:ascii="Times New Roman" w:hAnsi="Times New Roman"/>
          <w:szCs w:val="24"/>
          <w:lang w:val="bs-Latn-BA"/>
        </w:rPr>
        <w:t xml:space="preserve"> </w:t>
      </w:r>
      <w:r>
        <w:rPr>
          <w:rFonts w:ascii="Times New Roman" w:hAnsi="Times New Roman"/>
          <w:szCs w:val="24"/>
          <w:lang w:val="bs-Latn-BA"/>
        </w:rPr>
        <w:t>координи</w:t>
      </w:r>
      <w:r w:rsidR="006821B8">
        <w:rPr>
          <w:rFonts w:ascii="Times New Roman" w:hAnsi="Times New Roman"/>
          <w:szCs w:val="24"/>
          <w:lang w:val="sr-Cyrl-BA"/>
        </w:rPr>
        <w:t>с</w:t>
      </w:r>
      <w:r>
        <w:rPr>
          <w:rFonts w:ascii="Times New Roman" w:hAnsi="Times New Roman"/>
          <w:szCs w:val="24"/>
          <w:lang w:val="bs-Latn-BA"/>
        </w:rPr>
        <w:t>ала</w:t>
      </w:r>
      <w:r w:rsidR="002B4450">
        <w:rPr>
          <w:rFonts w:ascii="Times New Roman" w:hAnsi="Times New Roman"/>
          <w:szCs w:val="24"/>
          <w:lang w:val="bs-Latn-BA"/>
        </w:rPr>
        <w:t xml:space="preserve"> </w:t>
      </w:r>
      <w:r>
        <w:rPr>
          <w:rFonts w:ascii="Times New Roman" w:hAnsi="Times New Roman"/>
          <w:szCs w:val="24"/>
          <w:lang w:val="bs-Latn-BA"/>
        </w:rPr>
        <w:t>је</w:t>
      </w:r>
      <w:r w:rsidR="002B4450">
        <w:rPr>
          <w:rFonts w:ascii="Times New Roman" w:hAnsi="Times New Roman"/>
          <w:szCs w:val="24"/>
          <w:lang w:val="bs-Latn-BA"/>
        </w:rPr>
        <w:t xml:space="preserve"> </w:t>
      </w:r>
      <w:r>
        <w:rPr>
          <w:rFonts w:ascii="Times New Roman" w:hAnsi="Times New Roman"/>
          <w:szCs w:val="24"/>
          <w:lang w:val="bs-Latn-BA"/>
        </w:rPr>
        <w:t>АР</w:t>
      </w:r>
      <w:r w:rsidR="006821B8">
        <w:rPr>
          <w:rFonts w:ascii="Times New Roman" w:hAnsi="Times New Roman"/>
          <w:szCs w:val="24"/>
          <w:lang w:val="sr-Cyrl-BA"/>
        </w:rPr>
        <w:t>П</w:t>
      </w:r>
      <w:r w:rsidR="00D81552">
        <w:rPr>
          <w:rFonts w:ascii="Times New Roman" w:hAnsi="Times New Roman"/>
          <w:szCs w:val="24"/>
          <w:lang w:val="bs-Latn-BA"/>
        </w:rPr>
        <w:t xml:space="preserve"> </w:t>
      </w:r>
      <w:r>
        <w:rPr>
          <w:rFonts w:ascii="Times New Roman" w:hAnsi="Times New Roman"/>
          <w:szCs w:val="24"/>
          <w:lang w:val="bs-Latn-BA"/>
        </w:rPr>
        <w:t>БиХ</w:t>
      </w:r>
      <w:r w:rsidR="00D81552">
        <w:rPr>
          <w:rFonts w:ascii="Times New Roman" w:hAnsi="Times New Roman"/>
          <w:szCs w:val="24"/>
          <w:lang w:val="bs-Latn-BA"/>
        </w:rPr>
        <w:t xml:space="preserve"> </w:t>
      </w:r>
      <w:r>
        <w:rPr>
          <w:rFonts w:ascii="Times New Roman" w:hAnsi="Times New Roman"/>
          <w:szCs w:val="24"/>
          <w:lang w:val="bs-Latn-BA"/>
        </w:rPr>
        <w:t>МЉПИ</w:t>
      </w:r>
      <w:r w:rsidR="00D81552">
        <w:rPr>
          <w:rFonts w:ascii="Times New Roman" w:hAnsi="Times New Roman"/>
          <w:szCs w:val="24"/>
          <w:lang w:val="bs-Latn-BA"/>
        </w:rPr>
        <w:t xml:space="preserve"> </w:t>
      </w:r>
      <w:r>
        <w:rPr>
          <w:rFonts w:ascii="Times New Roman" w:hAnsi="Times New Roman"/>
          <w:szCs w:val="24"/>
          <w:lang w:val="bs-Latn-BA"/>
        </w:rPr>
        <w:t>БиХ</w:t>
      </w:r>
      <w:r w:rsidR="002A0E08">
        <w:rPr>
          <w:rFonts w:ascii="Times New Roman" w:hAnsi="Times New Roman"/>
          <w:szCs w:val="24"/>
          <w:lang w:val="bs-Latn-BA"/>
        </w:rPr>
        <w:t>,</w:t>
      </w:r>
      <w:r w:rsidR="00BC344E">
        <w:rPr>
          <w:rFonts w:ascii="Times New Roman" w:hAnsi="Times New Roman"/>
          <w:szCs w:val="24"/>
          <w:lang w:val="bs-Latn-BA"/>
        </w:rPr>
        <w:t xml:space="preserve"> </w:t>
      </w:r>
      <w:r>
        <w:rPr>
          <w:rFonts w:ascii="Times New Roman" w:hAnsi="Times New Roman"/>
          <w:szCs w:val="24"/>
          <w:lang w:val="bs-Latn-BA"/>
        </w:rPr>
        <w:t>што</w:t>
      </w:r>
      <w:r w:rsidR="002B4450">
        <w:rPr>
          <w:rFonts w:ascii="Times New Roman" w:hAnsi="Times New Roman"/>
          <w:szCs w:val="24"/>
          <w:lang w:val="bs-Latn-BA"/>
        </w:rPr>
        <w:t xml:space="preserve"> </w:t>
      </w:r>
      <w:r>
        <w:rPr>
          <w:rFonts w:ascii="Times New Roman" w:hAnsi="Times New Roman"/>
          <w:szCs w:val="24"/>
          <w:lang w:val="bs-Latn-BA"/>
        </w:rPr>
        <w:t>укључивало</w:t>
      </w:r>
      <w:r w:rsidR="002B4450">
        <w:rPr>
          <w:rFonts w:ascii="Times New Roman" w:hAnsi="Times New Roman"/>
          <w:szCs w:val="24"/>
          <w:lang w:val="bs-Latn-BA"/>
        </w:rPr>
        <w:t xml:space="preserve"> </w:t>
      </w:r>
      <w:r>
        <w:rPr>
          <w:rFonts w:ascii="Times New Roman" w:hAnsi="Times New Roman"/>
          <w:szCs w:val="24"/>
          <w:lang w:val="bs-Latn-BA"/>
        </w:rPr>
        <w:t>прикупљање</w:t>
      </w:r>
      <w:r w:rsidR="002B4450">
        <w:rPr>
          <w:rFonts w:ascii="Times New Roman" w:hAnsi="Times New Roman"/>
          <w:szCs w:val="24"/>
          <w:lang w:val="bs-Latn-BA"/>
        </w:rPr>
        <w:t xml:space="preserve"> </w:t>
      </w:r>
      <w:r>
        <w:rPr>
          <w:rFonts w:ascii="Times New Roman" w:hAnsi="Times New Roman"/>
          <w:szCs w:val="24"/>
          <w:lang w:val="bs-Latn-BA"/>
        </w:rPr>
        <w:t>информација</w:t>
      </w:r>
      <w:r w:rsidR="002B4450">
        <w:rPr>
          <w:rFonts w:ascii="Times New Roman" w:hAnsi="Times New Roman"/>
          <w:szCs w:val="24"/>
          <w:lang w:val="bs-Latn-BA"/>
        </w:rPr>
        <w:t xml:space="preserve"> </w:t>
      </w:r>
      <w:r>
        <w:rPr>
          <w:rFonts w:ascii="Times New Roman" w:hAnsi="Times New Roman"/>
          <w:szCs w:val="24"/>
          <w:lang w:val="bs-Latn-BA"/>
        </w:rPr>
        <w:t>од</w:t>
      </w:r>
      <w:r w:rsidR="00BC344E">
        <w:rPr>
          <w:rFonts w:ascii="Times New Roman" w:hAnsi="Times New Roman"/>
          <w:szCs w:val="24"/>
          <w:lang w:val="bs-Latn-BA"/>
        </w:rPr>
        <w:t xml:space="preserve"> </w:t>
      </w:r>
      <w:r>
        <w:rPr>
          <w:rFonts w:ascii="Times New Roman" w:hAnsi="Times New Roman"/>
          <w:szCs w:val="24"/>
          <w:lang w:val="bs-Latn-BA"/>
        </w:rPr>
        <w:t>институција</w:t>
      </w:r>
      <w:r w:rsidR="00BC344E">
        <w:rPr>
          <w:rFonts w:ascii="Times New Roman" w:hAnsi="Times New Roman"/>
          <w:szCs w:val="24"/>
          <w:lang w:val="bs-Latn-BA"/>
        </w:rPr>
        <w:t xml:space="preserve"> </w:t>
      </w:r>
      <w:r>
        <w:rPr>
          <w:rFonts w:ascii="Times New Roman" w:hAnsi="Times New Roman"/>
          <w:szCs w:val="24"/>
          <w:lang w:val="bs-Latn-BA"/>
        </w:rPr>
        <w:t>Босне</w:t>
      </w:r>
      <w:r w:rsidR="00BC344E">
        <w:rPr>
          <w:rFonts w:ascii="Times New Roman" w:hAnsi="Times New Roman"/>
          <w:szCs w:val="24"/>
          <w:lang w:val="bs-Latn-BA"/>
        </w:rPr>
        <w:t xml:space="preserve"> </w:t>
      </w:r>
      <w:r>
        <w:rPr>
          <w:rFonts w:ascii="Times New Roman" w:hAnsi="Times New Roman"/>
          <w:szCs w:val="24"/>
          <w:lang w:val="bs-Latn-BA"/>
        </w:rPr>
        <w:t>и</w:t>
      </w:r>
      <w:r w:rsidR="00BC344E">
        <w:rPr>
          <w:rFonts w:ascii="Times New Roman" w:hAnsi="Times New Roman"/>
          <w:szCs w:val="24"/>
          <w:lang w:val="bs-Latn-BA"/>
        </w:rPr>
        <w:t xml:space="preserve"> </w:t>
      </w:r>
      <w:r>
        <w:rPr>
          <w:rFonts w:ascii="Times New Roman" w:hAnsi="Times New Roman"/>
          <w:szCs w:val="24"/>
          <w:lang w:val="bs-Latn-BA"/>
        </w:rPr>
        <w:t>Херцеговине</w:t>
      </w:r>
      <w:r w:rsidR="00BC344E">
        <w:rPr>
          <w:rFonts w:ascii="Times New Roman" w:hAnsi="Times New Roman"/>
          <w:szCs w:val="24"/>
          <w:lang w:val="bs-Latn-BA"/>
        </w:rPr>
        <w:t xml:space="preserve"> </w:t>
      </w:r>
      <w:r>
        <w:rPr>
          <w:rFonts w:ascii="Times New Roman" w:hAnsi="Times New Roman"/>
          <w:szCs w:val="24"/>
          <w:lang w:val="bs-Latn-BA"/>
        </w:rPr>
        <w:t>и</w:t>
      </w:r>
      <w:r w:rsidR="00BC344E">
        <w:rPr>
          <w:rFonts w:ascii="Times New Roman" w:hAnsi="Times New Roman"/>
          <w:szCs w:val="24"/>
          <w:lang w:val="bs-Latn-BA"/>
        </w:rPr>
        <w:t xml:space="preserve"> </w:t>
      </w:r>
      <w:r>
        <w:rPr>
          <w:rFonts w:ascii="Times New Roman" w:hAnsi="Times New Roman"/>
          <w:szCs w:val="24"/>
          <w:lang w:val="bs-Latn-BA"/>
        </w:rPr>
        <w:t>од</w:t>
      </w:r>
      <w:r w:rsidR="00BC344E">
        <w:rPr>
          <w:rFonts w:ascii="Times New Roman" w:hAnsi="Times New Roman"/>
          <w:szCs w:val="24"/>
          <w:lang w:val="bs-Latn-BA"/>
        </w:rPr>
        <w:t xml:space="preserve"> </w:t>
      </w:r>
      <w:r>
        <w:rPr>
          <w:rFonts w:ascii="Times New Roman" w:hAnsi="Times New Roman"/>
          <w:szCs w:val="24"/>
          <w:lang w:val="bs-Latn-BA"/>
        </w:rPr>
        <w:t>информација</w:t>
      </w:r>
      <w:r w:rsidR="00BC344E">
        <w:rPr>
          <w:rFonts w:ascii="Times New Roman" w:hAnsi="Times New Roman"/>
          <w:szCs w:val="24"/>
          <w:lang w:val="bs-Latn-BA"/>
        </w:rPr>
        <w:t xml:space="preserve"> </w:t>
      </w:r>
      <w:r>
        <w:rPr>
          <w:rFonts w:ascii="Times New Roman" w:hAnsi="Times New Roman"/>
          <w:szCs w:val="24"/>
          <w:lang w:val="bs-Latn-BA"/>
        </w:rPr>
        <w:t>које</w:t>
      </w:r>
      <w:r w:rsidR="00BC344E">
        <w:rPr>
          <w:rFonts w:ascii="Times New Roman" w:hAnsi="Times New Roman"/>
          <w:szCs w:val="24"/>
          <w:lang w:val="bs-Latn-BA"/>
        </w:rPr>
        <w:t xml:space="preserve"> </w:t>
      </w:r>
      <w:r>
        <w:rPr>
          <w:rFonts w:ascii="Times New Roman" w:hAnsi="Times New Roman"/>
          <w:szCs w:val="24"/>
          <w:lang w:val="bs-Latn-BA"/>
        </w:rPr>
        <w:t>су</w:t>
      </w:r>
      <w:r w:rsidR="00BC344E">
        <w:rPr>
          <w:rFonts w:ascii="Times New Roman" w:hAnsi="Times New Roman"/>
          <w:szCs w:val="24"/>
          <w:lang w:val="bs-Latn-BA"/>
        </w:rPr>
        <w:t xml:space="preserve"> </w:t>
      </w:r>
      <w:r>
        <w:rPr>
          <w:rFonts w:ascii="Times New Roman" w:hAnsi="Times New Roman"/>
          <w:szCs w:val="24"/>
          <w:lang w:val="bs-Latn-BA"/>
        </w:rPr>
        <w:t>доставили</w:t>
      </w:r>
      <w:r w:rsidR="00BC344E">
        <w:rPr>
          <w:rFonts w:ascii="Times New Roman" w:hAnsi="Times New Roman"/>
          <w:szCs w:val="24"/>
          <w:lang w:val="bs-Latn-BA"/>
        </w:rPr>
        <w:t xml:space="preserve"> </w:t>
      </w:r>
      <w:r>
        <w:rPr>
          <w:rFonts w:ascii="Times New Roman" w:hAnsi="Times New Roman"/>
          <w:szCs w:val="24"/>
          <w:lang w:val="bs-Latn-BA"/>
        </w:rPr>
        <w:t>ГЦ</w:t>
      </w:r>
      <w:r w:rsidR="00D81552">
        <w:rPr>
          <w:rFonts w:ascii="Times New Roman" w:hAnsi="Times New Roman"/>
          <w:szCs w:val="24"/>
          <w:lang w:val="bs-Latn-BA"/>
        </w:rPr>
        <w:t xml:space="preserve"> </w:t>
      </w:r>
      <w:r>
        <w:rPr>
          <w:rFonts w:ascii="Times New Roman" w:hAnsi="Times New Roman"/>
          <w:szCs w:val="24"/>
          <w:lang w:val="bs-Latn-BA"/>
        </w:rPr>
        <w:t>ФБиХ</w:t>
      </w:r>
      <w:r w:rsidR="00BC344E">
        <w:rPr>
          <w:rFonts w:ascii="Times New Roman" w:hAnsi="Times New Roman"/>
          <w:szCs w:val="24"/>
          <w:lang w:val="bs-Latn-BA"/>
        </w:rPr>
        <w:t xml:space="preserve"> </w:t>
      </w:r>
      <w:r>
        <w:rPr>
          <w:rFonts w:ascii="Times New Roman" w:hAnsi="Times New Roman"/>
          <w:szCs w:val="24"/>
          <w:lang w:val="bs-Latn-BA"/>
        </w:rPr>
        <w:t>и</w:t>
      </w:r>
      <w:r w:rsidR="00BC344E">
        <w:rPr>
          <w:rFonts w:ascii="Times New Roman" w:hAnsi="Times New Roman"/>
          <w:szCs w:val="24"/>
          <w:lang w:val="bs-Latn-BA"/>
        </w:rPr>
        <w:t xml:space="preserve"> </w:t>
      </w:r>
      <w:r>
        <w:rPr>
          <w:rFonts w:ascii="Times New Roman" w:hAnsi="Times New Roman"/>
          <w:szCs w:val="24"/>
          <w:lang w:val="bs-Latn-BA"/>
        </w:rPr>
        <w:t>ЦЈРП</w:t>
      </w:r>
      <w:r w:rsidR="00BC344E">
        <w:rPr>
          <w:rFonts w:ascii="Times New Roman" w:hAnsi="Times New Roman"/>
          <w:szCs w:val="24"/>
          <w:lang w:val="bs-Latn-BA"/>
        </w:rPr>
        <w:t xml:space="preserve"> </w:t>
      </w:r>
      <w:r>
        <w:rPr>
          <w:rFonts w:ascii="Times New Roman" w:hAnsi="Times New Roman"/>
          <w:szCs w:val="24"/>
          <w:lang w:val="bs-Latn-BA"/>
        </w:rPr>
        <w:t>РС</w:t>
      </w:r>
      <w:r w:rsidR="00BC344E">
        <w:rPr>
          <w:rFonts w:ascii="Times New Roman" w:hAnsi="Times New Roman"/>
          <w:szCs w:val="24"/>
          <w:lang w:val="bs-Latn-BA"/>
        </w:rPr>
        <w:t xml:space="preserve">, </w:t>
      </w:r>
      <w:r>
        <w:rPr>
          <w:rFonts w:ascii="Times New Roman" w:hAnsi="Times New Roman"/>
          <w:szCs w:val="24"/>
          <w:lang w:val="bs-Latn-BA"/>
        </w:rPr>
        <w:t>који</w:t>
      </w:r>
      <w:r w:rsidR="00BC344E">
        <w:rPr>
          <w:rFonts w:ascii="Times New Roman" w:hAnsi="Times New Roman"/>
          <w:szCs w:val="24"/>
          <w:lang w:val="bs-Latn-BA"/>
        </w:rPr>
        <w:t xml:space="preserve"> </w:t>
      </w:r>
      <w:r>
        <w:rPr>
          <w:rFonts w:ascii="Times New Roman" w:hAnsi="Times New Roman"/>
          <w:szCs w:val="24"/>
          <w:lang w:val="bs-Latn-BA"/>
        </w:rPr>
        <w:t>су</w:t>
      </w:r>
      <w:r w:rsidR="00BC344E">
        <w:rPr>
          <w:rFonts w:ascii="Times New Roman" w:hAnsi="Times New Roman"/>
          <w:szCs w:val="24"/>
          <w:lang w:val="bs-Latn-BA"/>
        </w:rPr>
        <w:t xml:space="preserve"> </w:t>
      </w:r>
      <w:r>
        <w:rPr>
          <w:rFonts w:ascii="Times New Roman" w:hAnsi="Times New Roman"/>
          <w:szCs w:val="24"/>
          <w:lang w:val="bs-Latn-BA"/>
        </w:rPr>
        <w:t>координи</w:t>
      </w:r>
      <w:r w:rsidR="006821B8">
        <w:rPr>
          <w:rFonts w:ascii="Times New Roman" w:hAnsi="Times New Roman"/>
          <w:szCs w:val="24"/>
          <w:lang w:val="sr-Cyrl-BA"/>
        </w:rPr>
        <w:t>с</w:t>
      </w:r>
      <w:r>
        <w:rPr>
          <w:rFonts w:ascii="Times New Roman" w:hAnsi="Times New Roman"/>
          <w:szCs w:val="24"/>
          <w:lang w:val="bs-Latn-BA"/>
        </w:rPr>
        <w:t>али</w:t>
      </w:r>
      <w:r w:rsidR="00BC344E">
        <w:rPr>
          <w:rFonts w:ascii="Times New Roman" w:hAnsi="Times New Roman"/>
          <w:szCs w:val="24"/>
          <w:lang w:val="bs-Latn-BA"/>
        </w:rPr>
        <w:t xml:space="preserve"> </w:t>
      </w:r>
      <w:r>
        <w:rPr>
          <w:rFonts w:ascii="Times New Roman" w:hAnsi="Times New Roman"/>
          <w:szCs w:val="24"/>
          <w:lang w:val="bs-Latn-BA"/>
        </w:rPr>
        <w:t>процес</w:t>
      </w:r>
      <w:r w:rsidR="00BC344E">
        <w:rPr>
          <w:rFonts w:ascii="Times New Roman" w:hAnsi="Times New Roman"/>
          <w:szCs w:val="24"/>
          <w:lang w:val="bs-Latn-BA"/>
        </w:rPr>
        <w:t xml:space="preserve"> </w:t>
      </w:r>
      <w:r>
        <w:rPr>
          <w:rFonts w:ascii="Times New Roman" w:hAnsi="Times New Roman"/>
          <w:szCs w:val="24"/>
          <w:lang w:val="bs-Latn-BA"/>
        </w:rPr>
        <w:t>на</w:t>
      </w:r>
      <w:r w:rsidR="00BC344E">
        <w:rPr>
          <w:rFonts w:ascii="Times New Roman" w:hAnsi="Times New Roman"/>
          <w:szCs w:val="24"/>
          <w:lang w:val="bs-Latn-BA"/>
        </w:rPr>
        <w:t xml:space="preserve"> </w:t>
      </w:r>
      <w:r>
        <w:rPr>
          <w:rFonts w:ascii="Times New Roman" w:hAnsi="Times New Roman"/>
          <w:szCs w:val="24"/>
          <w:lang w:val="bs-Latn-BA"/>
        </w:rPr>
        <w:t>нивоу</w:t>
      </w:r>
      <w:r w:rsidR="00BC344E">
        <w:rPr>
          <w:rFonts w:ascii="Times New Roman" w:hAnsi="Times New Roman"/>
          <w:szCs w:val="24"/>
          <w:lang w:val="bs-Latn-BA"/>
        </w:rPr>
        <w:t xml:space="preserve"> </w:t>
      </w:r>
      <w:r>
        <w:rPr>
          <w:rFonts w:ascii="Times New Roman" w:hAnsi="Times New Roman"/>
          <w:szCs w:val="24"/>
          <w:lang w:val="bs-Latn-BA"/>
        </w:rPr>
        <w:t>Федерације</w:t>
      </w:r>
      <w:r w:rsidR="00BC344E">
        <w:rPr>
          <w:rFonts w:ascii="Times New Roman" w:hAnsi="Times New Roman"/>
          <w:szCs w:val="24"/>
          <w:lang w:val="bs-Latn-BA"/>
        </w:rPr>
        <w:t xml:space="preserve"> </w:t>
      </w:r>
      <w:r>
        <w:rPr>
          <w:rFonts w:ascii="Times New Roman" w:hAnsi="Times New Roman"/>
          <w:szCs w:val="24"/>
          <w:lang w:val="bs-Latn-BA"/>
        </w:rPr>
        <w:t>Босне</w:t>
      </w:r>
      <w:r w:rsidR="00BC344E">
        <w:rPr>
          <w:rFonts w:ascii="Times New Roman" w:hAnsi="Times New Roman"/>
          <w:szCs w:val="24"/>
          <w:lang w:val="bs-Latn-BA"/>
        </w:rPr>
        <w:t xml:space="preserve"> </w:t>
      </w:r>
      <w:r>
        <w:rPr>
          <w:rFonts w:ascii="Times New Roman" w:hAnsi="Times New Roman"/>
          <w:szCs w:val="24"/>
          <w:lang w:val="bs-Latn-BA"/>
        </w:rPr>
        <w:t>и</w:t>
      </w:r>
      <w:r w:rsidR="00BC344E">
        <w:rPr>
          <w:rFonts w:ascii="Times New Roman" w:hAnsi="Times New Roman"/>
          <w:szCs w:val="24"/>
          <w:lang w:val="bs-Latn-BA"/>
        </w:rPr>
        <w:t xml:space="preserve"> </w:t>
      </w:r>
      <w:r>
        <w:rPr>
          <w:rFonts w:ascii="Times New Roman" w:hAnsi="Times New Roman"/>
          <w:szCs w:val="24"/>
          <w:lang w:val="bs-Latn-BA"/>
        </w:rPr>
        <w:t>Херцеговине</w:t>
      </w:r>
      <w:r w:rsidR="00BC344E">
        <w:rPr>
          <w:rFonts w:ascii="Times New Roman" w:hAnsi="Times New Roman"/>
          <w:szCs w:val="24"/>
          <w:lang w:val="bs-Latn-BA"/>
        </w:rPr>
        <w:t xml:space="preserve"> </w:t>
      </w:r>
      <w:r>
        <w:rPr>
          <w:rFonts w:ascii="Times New Roman" w:hAnsi="Times New Roman"/>
          <w:szCs w:val="24"/>
          <w:lang w:val="bs-Latn-BA"/>
        </w:rPr>
        <w:t>и</w:t>
      </w:r>
      <w:r w:rsidR="00BC344E">
        <w:rPr>
          <w:rFonts w:ascii="Times New Roman" w:hAnsi="Times New Roman"/>
          <w:szCs w:val="24"/>
          <w:lang w:val="bs-Latn-BA"/>
        </w:rPr>
        <w:t xml:space="preserve"> </w:t>
      </w:r>
      <w:r>
        <w:rPr>
          <w:rFonts w:ascii="Times New Roman" w:hAnsi="Times New Roman"/>
          <w:szCs w:val="24"/>
          <w:lang w:val="bs-Latn-BA"/>
        </w:rPr>
        <w:t>Републике</w:t>
      </w:r>
      <w:r w:rsidR="00BC344E">
        <w:rPr>
          <w:rFonts w:ascii="Times New Roman" w:hAnsi="Times New Roman"/>
          <w:szCs w:val="24"/>
          <w:lang w:val="bs-Latn-BA"/>
        </w:rPr>
        <w:t xml:space="preserve"> </w:t>
      </w:r>
      <w:r>
        <w:rPr>
          <w:rFonts w:ascii="Times New Roman" w:hAnsi="Times New Roman"/>
          <w:szCs w:val="24"/>
          <w:lang w:val="bs-Latn-BA"/>
        </w:rPr>
        <w:t>Српске</w:t>
      </w:r>
      <w:r w:rsidR="00BC344E">
        <w:rPr>
          <w:rFonts w:ascii="Times New Roman" w:hAnsi="Times New Roman"/>
          <w:szCs w:val="24"/>
          <w:lang w:val="bs-Latn-BA"/>
        </w:rPr>
        <w:t xml:space="preserve">, </w:t>
      </w:r>
      <w:r>
        <w:rPr>
          <w:rFonts w:ascii="Times New Roman" w:hAnsi="Times New Roman"/>
          <w:szCs w:val="24"/>
          <w:lang w:val="bs-Latn-BA"/>
        </w:rPr>
        <w:t>укључујући</w:t>
      </w:r>
      <w:r w:rsidR="00BC344E">
        <w:rPr>
          <w:rFonts w:ascii="Times New Roman" w:hAnsi="Times New Roman"/>
          <w:szCs w:val="24"/>
          <w:lang w:val="bs-Latn-BA"/>
        </w:rPr>
        <w:t xml:space="preserve"> </w:t>
      </w:r>
      <w:r>
        <w:rPr>
          <w:rFonts w:ascii="Times New Roman" w:hAnsi="Times New Roman"/>
          <w:szCs w:val="24"/>
          <w:lang w:val="bs-Latn-BA"/>
        </w:rPr>
        <w:t>консултативне</w:t>
      </w:r>
      <w:r w:rsidR="00BC344E">
        <w:rPr>
          <w:rFonts w:ascii="Times New Roman" w:hAnsi="Times New Roman"/>
          <w:szCs w:val="24"/>
          <w:lang w:val="bs-Latn-BA"/>
        </w:rPr>
        <w:t xml:space="preserve"> </w:t>
      </w:r>
      <w:r>
        <w:rPr>
          <w:rFonts w:ascii="Times New Roman" w:hAnsi="Times New Roman"/>
          <w:szCs w:val="24"/>
          <w:lang w:val="bs-Latn-BA"/>
        </w:rPr>
        <w:t>и</w:t>
      </w:r>
      <w:r w:rsidR="00BC344E">
        <w:rPr>
          <w:rFonts w:ascii="Times New Roman" w:hAnsi="Times New Roman"/>
          <w:szCs w:val="24"/>
          <w:lang w:val="bs-Latn-BA"/>
        </w:rPr>
        <w:t xml:space="preserve"> </w:t>
      </w:r>
      <w:r>
        <w:rPr>
          <w:rFonts w:ascii="Times New Roman" w:hAnsi="Times New Roman"/>
          <w:szCs w:val="24"/>
          <w:lang w:val="bs-Latn-BA"/>
        </w:rPr>
        <w:t>валидационе</w:t>
      </w:r>
      <w:r w:rsidR="00BC344E">
        <w:rPr>
          <w:rFonts w:ascii="Times New Roman" w:hAnsi="Times New Roman"/>
          <w:szCs w:val="24"/>
          <w:lang w:val="bs-Latn-BA"/>
        </w:rPr>
        <w:t xml:space="preserve"> </w:t>
      </w:r>
      <w:r>
        <w:rPr>
          <w:rFonts w:ascii="Times New Roman" w:hAnsi="Times New Roman"/>
          <w:szCs w:val="24"/>
          <w:lang w:val="bs-Latn-BA"/>
        </w:rPr>
        <w:t>састанке</w:t>
      </w:r>
      <w:r w:rsidR="00BC344E">
        <w:rPr>
          <w:rFonts w:ascii="Times New Roman" w:hAnsi="Times New Roman"/>
          <w:szCs w:val="24"/>
          <w:lang w:val="bs-Latn-BA"/>
        </w:rPr>
        <w:t xml:space="preserve">. </w:t>
      </w:r>
    </w:p>
    <w:p w:rsidR="00195ECF" w:rsidRPr="00295637" w:rsidRDefault="00195ECF" w:rsidP="0086268D">
      <w:pPr>
        <w:jc w:val="both"/>
        <w:rPr>
          <w:rFonts w:ascii="Times New Roman" w:hAnsi="Times New Roman"/>
          <w:szCs w:val="24"/>
          <w:lang w:val="bs-Latn-BA"/>
        </w:rPr>
      </w:pPr>
    </w:p>
    <w:p w:rsidR="00195ECF" w:rsidRPr="00295637" w:rsidRDefault="00C6214E" w:rsidP="0086268D">
      <w:pPr>
        <w:jc w:val="both"/>
        <w:rPr>
          <w:rFonts w:ascii="Times New Roman" w:hAnsi="Times New Roman"/>
          <w:szCs w:val="24"/>
          <w:lang w:val="hr-HR"/>
        </w:rPr>
      </w:pPr>
      <w:r w:rsidRPr="006128C3">
        <w:rPr>
          <w:rFonts w:ascii="Times New Roman" w:hAnsi="Times New Roman"/>
          <w:szCs w:val="24"/>
          <w:lang w:val="hr-HR"/>
        </w:rPr>
        <w:t>Поред</w:t>
      </w:r>
      <w:r w:rsidR="00C66F8F" w:rsidRPr="006128C3">
        <w:rPr>
          <w:rFonts w:ascii="Times New Roman" w:hAnsi="Times New Roman"/>
          <w:szCs w:val="24"/>
          <w:lang w:val="hr-HR"/>
        </w:rPr>
        <w:t xml:space="preserve"> </w:t>
      </w:r>
      <w:r w:rsidRPr="006128C3">
        <w:rPr>
          <w:rFonts w:ascii="Times New Roman" w:hAnsi="Times New Roman"/>
          <w:szCs w:val="24"/>
          <w:lang w:val="hr-HR"/>
        </w:rPr>
        <w:t>тога</w:t>
      </w:r>
      <w:r w:rsidR="00C66F8F" w:rsidRPr="006128C3">
        <w:rPr>
          <w:rFonts w:ascii="Times New Roman" w:hAnsi="Times New Roman"/>
          <w:szCs w:val="24"/>
          <w:lang w:val="hr-HR"/>
        </w:rPr>
        <w:t xml:space="preserve">, </w:t>
      </w:r>
      <w:r w:rsidRPr="006128C3">
        <w:rPr>
          <w:rFonts w:ascii="Times New Roman" w:hAnsi="Times New Roman"/>
          <w:szCs w:val="24"/>
          <w:lang w:val="hr-HR"/>
        </w:rPr>
        <w:t>израђена</w:t>
      </w:r>
      <w:r w:rsidR="004C49F5" w:rsidRPr="006128C3">
        <w:rPr>
          <w:rFonts w:ascii="Times New Roman" w:hAnsi="Times New Roman"/>
          <w:szCs w:val="24"/>
          <w:lang w:val="hr-HR"/>
        </w:rPr>
        <w:t xml:space="preserve"> </w:t>
      </w:r>
      <w:r w:rsidRPr="006128C3">
        <w:rPr>
          <w:rFonts w:ascii="Times New Roman" w:hAnsi="Times New Roman"/>
          <w:szCs w:val="24"/>
          <w:lang w:val="hr-HR"/>
        </w:rPr>
        <w:t>је</w:t>
      </w:r>
      <w:r w:rsidR="004C49F5" w:rsidRPr="006128C3">
        <w:rPr>
          <w:rFonts w:ascii="Times New Roman" w:hAnsi="Times New Roman"/>
          <w:szCs w:val="24"/>
          <w:lang w:val="hr-HR"/>
        </w:rPr>
        <w:t xml:space="preserve"> </w:t>
      </w:r>
      <w:r w:rsidRPr="006128C3">
        <w:rPr>
          <w:rFonts w:ascii="Times New Roman" w:hAnsi="Times New Roman"/>
          <w:szCs w:val="24"/>
          <w:lang w:val="hr-HR"/>
        </w:rPr>
        <w:t>Информација</w:t>
      </w:r>
      <w:r w:rsidR="00195ECF" w:rsidRPr="006128C3">
        <w:rPr>
          <w:rFonts w:ascii="Times New Roman" w:hAnsi="Times New Roman"/>
          <w:szCs w:val="24"/>
          <w:lang w:val="hr-HR"/>
        </w:rPr>
        <w:t xml:space="preserve"> </w:t>
      </w:r>
      <w:r w:rsidRPr="006128C3">
        <w:rPr>
          <w:rFonts w:ascii="Times New Roman" w:hAnsi="Times New Roman"/>
          <w:szCs w:val="24"/>
          <w:lang w:val="hr-HR"/>
        </w:rPr>
        <w:t>о</w:t>
      </w:r>
      <w:r w:rsidR="00195ECF" w:rsidRPr="006128C3">
        <w:rPr>
          <w:rFonts w:ascii="Times New Roman" w:hAnsi="Times New Roman"/>
          <w:szCs w:val="24"/>
          <w:lang w:val="hr-HR"/>
        </w:rPr>
        <w:t xml:space="preserve"> </w:t>
      </w:r>
      <w:r w:rsidR="006821B8" w:rsidRPr="006128C3">
        <w:rPr>
          <w:rFonts w:ascii="Times New Roman" w:hAnsi="Times New Roman"/>
          <w:szCs w:val="24"/>
          <w:lang w:val="sr-Cyrl-BA"/>
        </w:rPr>
        <w:t>спровођењу</w:t>
      </w:r>
      <w:r w:rsidR="00195ECF" w:rsidRPr="006128C3">
        <w:rPr>
          <w:rFonts w:ascii="Times New Roman" w:hAnsi="Times New Roman"/>
          <w:szCs w:val="24"/>
          <w:lang w:val="hr-HR"/>
        </w:rPr>
        <w:t xml:space="preserve"> </w:t>
      </w:r>
      <w:r w:rsidRPr="006128C3">
        <w:rPr>
          <w:rFonts w:ascii="Times New Roman" w:hAnsi="Times New Roman"/>
          <w:szCs w:val="24"/>
          <w:lang w:val="hr-HR"/>
        </w:rPr>
        <w:t>резолуције</w:t>
      </w:r>
      <w:r w:rsidR="00195ECF" w:rsidRPr="006128C3">
        <w:rPr>
          <w:rFonts w:ascii="Times New Roman" w:hAnsi="Times New Roman"/>
          <w:szCs w:val="24"/>
          <w:lang w:val="hr-HR"/>
        </w:rPr>
        <w:t xml:space="preserve"> </w:t>
      </w:r>
      <w:r w:rsidRPr="006128C3">
        <w:rPr>
          <w:rFonts w:ascii="Times New Roman" w:hAnsi="Times New Roman"/>
          <w:szCs w:val="24"/>
          <w:lang w:val="hr-HR"/>
        </w:rPr>
        <w:t>Генералне</w:t>
      </w:r>
      <w:r w:rsidR="00C66F8F" w:rsidRPr="006128C3">
        <w:rPr>
          <w:rFonts w:ascii="Times New Roman" w:hAnsi="Times New Roman"/>
          <w:szCs w:val="24"/>
          <w:lang w:val="hr-HR"/>
        </w:rPr>
        <w:t xml:space="preserve"> </w:t>
      </w:r>
      <w:r w:rsidRPr="006128C3">
        <w:rPr>
          <w:rFonts w:ascii="Times New Roman" w:hAnsi="Times New Roman"/>
          <w:szCs w:val="24"/>
          <w:lang w:val="hr-HR"/>
        </w:rPr>
        <w:t>скупштине</w:t>
      </w:r>
      <w:r w:rsidR="00C66F8F" w:rsidRPr="006128C3">
        <w:rPr>
          <w:rFonts w:ascii="Times New Roman" w:hAnsi="Times New Roman"/>
          <w:szCs w:val="24"/>
          <w:lang w:val="hr-HR"/>
        </w:rPr>
        <w:t xml:space="preserve"> </w:t>
      </w:r>
      <w:r w:rsidR="006128C3" w:rsidRPr="006128C3">
        <w:rPr>
          <w:rFonts w:ascii="Times New Roman" w:hAnsi="Times New Roman"/>
          <w:i/>
          <w:szCs w:val="24"/>
          <w:lang w:val="hr-HR"/>
        </w:rPr>
        <w:t>A</w:t>
      </w:r>
      <w:r w:rsidR="006128C3" w:rsidRPr="006128C3">
        <w:rPr>
          <w:rFonts w:ascii="Times New Roman" w:hAnsi="Times New Roman"/>
          <w:i/>
          <w:szCs w:val="24"/>
          <w:lang w:val="sr-Cyrl-BA"/>
        </w:rPr>
        <w:t>/</w:t>
      </w:r>
      <w:r w:rsidR="006128C3" w:rsidRPr="006128C3">
        <w:rPr>
          <w:rFonts w:ascii="Times New Roman" w:hAnsi="Times New Roman"/>
          <w:i/>
          <w:szCs w:val="24"/>
          <w:lang w:val="hr-HR"/>
        </w:rPr>
        <w:t xml:space="preserve">RES/75/161 </w:t>
      </w:r>
      <w:r w:rsidRPr="006128C3">
        <w:rPr>
          <w:rFonts w:ascii="Times New Roman" w:hAnsi="Times New Roman"/>
          <w:szCs w:val="24"/>
          <w:lang w:val="hr-HR"/>
        </w:rPr>
        <w:t>и</w:t>
      </w:r>
      <w:r w:rsidR="00C66F8F" w:rsidRPr="006128C3">
        <w:rPr>
          <w:rFonts w:ascii="Times New Roman" w:hAnsi="Times New Roman"/>
          <w:szCs w:val="24"/>
          <w:lang w:val="hr-HR"/>
        </w:rPr>
        <w:t xml:space="preserve"> </w:t>
      </w:r>
      <w:r w:rsidR="006128C3" w:rsidRPr="006128C3">
        <w:rPr>
          <w:rFonts w:ascii="Times New Roman" w:hAnsi="Times New Roman"/>
          <w:i/>
          <w:szCs w:val="24"/>
          <w:lang w:val="hr-HR"/>
        </w:rPr>
        <w:t>A/RES/77/193</w:t>
      </w:r>
      <w:r w:rsidR="006128C3" w:rsidRPr="006128C3">
        <w:rPr>
          <w:rFonts w:ascii="Times New Roman" w:hAnsi="Times New Roman"/>
          <w:szCs w:val="24"/>
          <w:lang w:val="hr-HR"/>
        </w:rPr>
        <w:t xml:space="preserve"> </w:t>
      </w:r>
      <w:r w:rsidRPr="006128C3">
        <w:rPr>
          <w:rFonts w:ascii="Times New Roman" w:hAnsi="Times New Roman"/>
          <w:szCs w:val="24"/>
          <w:lang w:val="hr-HR"/>
        </w:rPr>
        <w:t>о</w:t>
      </w:r>
      <w:r w:rsidR="00944633" w:rsidRPr="006128C3">
        <w:rPr>
          <w:rFonts w:ascii="Times New Roman" w:hAnsi="Times New Roman"/>
          <w:szCs w:val="24"/>
          <w:lang w:val="hr-HR"/>
        </w:rPr>
        <w:t xml:space="preserve"> „</w:t>
      </w:r>
      <w:r w:rsidRPr="006128C3">
        <w:rPr>
          <w:rFonts w:ascii="Times New Roman" w:hAnsi="Times New Roman"/>
          <w:szCs w:val="24"/>
          <w:lang w:val="hr-HR"/>
        </w:rPr>
        <w:t>Интензивирању</w:t>
      </w:r>
      <w:r w:rsidR="00944633" w:rsidRPr="006128C3">
        <w:rPr>
          <w:rFonts w:ascii="Times New Roman" w:hAnsi="Times New Roman"/>
          <w:szCs w:val="24"/>
          <w:lang w:val="hr-HR"/>
        </w:rPr>
        <w:t xml:space="preserve"> </w:t>
      </w:r>
      <w:r w:rsidRPr="006128C3">
        <w:rPr>
          <w:rFonts w:ascii="Times New Roman" w:hAnsi="Times New Roman"/>
          <w:szCs w:val="24"/>
          <w:lang w:val="hr-HR"/>
        </w:rPr>
        <w:t>напора</w:t>
      </w:r>
      <w:r w:rsidR="00944633" w:rsidRPr="006128C3">
        <w:rPr>
          <w:rFonts w:ascii="Times New Roman" w:hAnsi="Times New Roman"/>
          <w:szCs w:val="24"/>
          <w:lang w:val="hr-HR"/>
        </w:rPr>
        <w:t xml:space="preserve"> </w:t>
      </w:r>
      <w:r w:rsidRPr="006128C3">
        <w:rPr>
          <w:rFonts w:ascii="Times New Roman" w:hAnsi="Times New Roman"/>
          <w:szCs w:val="24"/>
          <w:lang w:val="hr-HR"/>
        </w:rPr>
        <w:t>за</w:t>
      </w:r>
      <w:r w:rsidR="00944633" w:rsidRPr="006128C3">
        <w:rPr>
          <w:rFonts w:ascii="Times New Roman" w:hAnsi="Times New Roman"/>
          <w:szCs w:val="24"/>
          <w:lang w:val="hr-HR"/>
        </w:rPr>
        <w:t xml:space="preserve"> </w:t>
      </w:r>
      <w:r w:rsidRPr="006128C3">
        <w:rPr>
          <w:rFonts w:ascii="Times New Roman" w:hAnsi="Times New Roman"/>
          <w:szCs w:val="24"/>
          <w:lang w:val="hr-HR"/>
        </w:rPr>
        <w:t>спречавање</w:t>
      </w:r>
      <w:r w:rsidR="00C66F8F" w:rsidRPr="006128C3">
        <w:rPr>
          <w:rFonts w:ascii="Times New Roman" w:hAnsi="Times New Roman"/>
          <w:szCs w:val="24"/>
          <w:lang w:val="hr-HR"/>
        </w:rPr>
        <w:t xml:space="preserve"> </w:t>
      </w:r>
      <w:r w:rsidRPr="006128C3">
        <w:rPr>
          <w:rFonts w:ascii="Times New Roman" w:hAnsi="Times New Roman"/>
          <w:szCs w:val="24"/>
          <w:lang w:val="hr-HR"/>
        </w:rPr>
        <w:t>и</w:t>
      </w:r>
      <w:r w:rsidR="00C66F8F" w:rsidRPr="006128C3">
        <w:rPr>
          <w:rFonts w:ascii="Times New Roman" w:hAnsi="Times New Roman"/>
          <w:szCs w:val="24"/>
          <w:lang w:val="hr-HR"/>
        </w:rPr>
        <w:t xml:space="preserve"> </w:t>
      </w:r>
      <w:r w:rsidRPr="006128C3">
        <w:rPr>
          <w:rFonts w:ascii="Times New Roman" w:hAnsi="Times New Roman"/>
          <w:szCs w:val="24"/>
          <w:lang w:val="hr-HR"/>
        </w:rPr>
        <w:t>уклањање</w:t>
      </w:r>
      <w:r w:rsidR="00C66F8F" w:rsidRPr="006128C3">
        <w:rPr>
          <w:rFonts w:ascii="Times New Roman" w:hAnsi="Times New Roman"/>
          <w:szCs w:val="24"/>
          <w:lang w:val="hr-HR"/>
        </w:rPr>
        <w:t xml:space="preserve"> </w:t>
      </w:r>
      <w:r w:rsidRPr="006128C3">
        <w:rPr>
          <w:rFonts w:ascii="Times New Roman" w:hAnsi="Times New Roman"/>
          <w:szCs w:val="24"/>
          <w:lang w:val="hr-HR"/>
        </w:rPr>
        <w:t>свих</w:t>
      </w:r>
      <w:r w:rsidR="00C66F8F" w:rsidRPr="006128C3">
        <w:rPr>
          <w:rFonts w:ascii="Times New Roman" w:hAnsi="Times New Roman"/>
          <w:szCs w:val="24"/>
          <w:lang w:val="hr-HR"/>
        </w:rPr>
        <w:t xml:space="preserve"> </w:t>
      </w:r>
      <w:r w:rsidRPr="006128C3">
        <w:rPr>
          <w:rFonts w:ascii="Times New Roman" w:hAnsi="Times New Roman"/>
          <w:szCs w:val="24"/>
          <w:lang w:val="hr-HR"/>
        </w:rPr>
        <w:t>облика</w:t>
      </w:r>
      <w:r w:rsidR="00C66F8F" w:rsidRPr="006128C3">
        <w:rPr>
          <w:rFonts w:ascii="Times New Roman" w:hAnsi="Times New Roman"/>
          <w:szCs w:val="24"/>
          <w:lang w:val="hr-HR"/>
        </w:rPr>
        <w:t xml:space="preserve"> </w:t>
      </w:r>
      <w:r w:rsidRPr="006128C3">
        <w:rPr>
          <w:rFonts w:ascii="Times New Roman" w:hAnsi="Times New Roman"/>
          <w:szCs w:val="24"/>
          <w:lang w:val="hr-HR"/>
        </w:rPr>
        <w:t>насиља</w:t>
      </w:r>
      <w:r w:rsidR="00C66F8F" w:rsidRPr="006128C3">
        <w:rPr>
          <w:rFonts w:ascii="Times New Roman" w:hAnsi="Times New Roman"/>
          <w:szCs w:val="24"/>
          <w:lang w:val="hr-HR"/>
        </w:rPr>
        <w:t xml:space="preserve"> </w:t>
      </w:r>
      <w:r w:rsidRPr="006128C3">
        <w:rPr>
          <w:rFonts w:ascii="Times New Roman" w:hAnsi="Times New Roman"/>
          <w:szCs w:val="24"/>
          <w:lang w:val="hr-HR"/>
        </w:rPr>
        <w:t>над</w:t>
      </w:r>
      <w:r w:rsidR="00C66F8F" w:rsidRPr="006128C3">
        <w:rPr>
          <w:rFonts w:ascii="Times New Roman" w:hAnsi="Times New Roman"/>
          <w:szCs w:val="24"/>
          <w:lang w:val="hr-HR"/>
        </w:rPr>
        <w:t xml:space="preserve"> </w:t>
      </w:r>
      <w:r w:rsidRPr="006128C3">
        <w:rPr>
          <w:rFonts w:ascii="Times New Roman" w:hAnsi="Times New Roman"/>
          <w:szCs w:val="24"/>
          <w:lang w:val="hr-HR"/>
        </w:rPr>
        <w:t>женама</w:t>
      </w:r>
      <w:r w:rsidR="00C66F8F" w:rsidRPr="006128C3">
        <w:rPr>
          <w:rFonts w:ascii="Times New Roman" w:hAnsi="Times New Roman"/>
          <w:szCs w:val="24"/>
          <w:lang w:val="hr-HR"/>
        </w:rPr>
        <w:t xml:space="preserve"> </w:t>
      </w:r>
      <w:r w:rsidRPr="006128C3">
        <w:rPr>
          <w:rFonts w:ascii="Times New Roman" w:hAnsi="Times New Roman"/>
          <w:szCs w:val="24"/>
          <w:lang w:val="hr-HR"/>
        </w:rPr>
        <w:t>и</w:t>
      </w:r>
      <w:r w:rsidR="00C66F8F" w:rsidRPr="006128C3">
        <w:rPr>
          <w:rFonts w:ascii="Times New Roman" w:hAnsi="Times New Roman"/>
          <w:szCs w:val="24"/>
          <w:lang w:val="hr-HR"/>
        </w:rPr>
        <w:t xml:space="preserve"> </w:t>
      </w:r>
      <w:r w:rsidRPr="006128C3">
        <w:rPr>
          <w:rFonts w:ascii="Times New Roman" w:hAnsi="Times New Roman"/>
          <w:szCs w:val="24"/>
          <w:lang w:val="hr-HR"/>
        </w:rPr>
        <w:t>дјевојчицама</w:t>
      </w:r>
      <w:r w:rsidR="00C66F8F" w:rsidRPr="006128C3">
        <w:rPr>
          <w:rFonts w:ascii="Times New Roman" w:hAnsi="Times New Roman"/>
          <w:szCs w:val="24"/>
          <w:lang w:val="hr-HR"/>
        </w:rPr>
        <w:t xml:space="preserve">: </w:t>
      </w:r>
      <w:r w:rsidRPr="006128C3">
        <w:rPr>
          <w:rFonts w:ascii="Times New Roman" w:hAnsi="Times New Roman"/>
          <w:szCs w:val="24"/>
          <w:lang w:val="hr-HR"/>
        </w:rPr>
        <w:t>родни</w:t>
      </w:r>
      <w:r w:rsidR="00C66F8F" w:rsidRPr="006128C3">
        <w:rPr>
          <w:rFonts w:ascii="Times New Roman" w:hAnsi="Times New Roman"/>
          <w:szCs w:val="24"/>
          <w:lang w:val="hr-HR"/>
        </w:rPr>
        <w:t xml:space="preserve"> </w:t>
      </w:r>
      <w:r w:rsidRPr="006128C3">
        <w:rPr>
          <w:rFonts w:ascii="Times New Roman" w:hAnsi="Times New Roman"/>
          <w:szCs w:val="24"/>
          <w:lang w:val="hr-HR"/>
        </w:rPr>
        <w:t>стереотипи</w:t>
      </w:r>
      <w:r w:rsidR="00C66F8F" w:rsidRPr="006128C3">
        <w:rPr>
          <w:rFonts w:ascii="Times New Roman" w:hAnsi="Times New Roman"/>
          <w:szCs w:val="24"/>
          <w:lang w:val="hr-HR"/>
        </w:rPr>
        <w:t xml:space="preserve"> </w:t>
      </w:r>
      <w:r w:rsidRPr="006128C3">
        <w:rPr>
          <w:rFonts w:ascii="Times New Roman" w:hAnsi="Times New Roman"/>
          <w:szCs w:val="24"/>
          <w:lang w:val="hr-HR"/>
        </w:rPr>
        <w:t>и</w:t>
      </w:r>
      <w:r w:rsidR="00C66F8F" w:rsidRPr="006128C3">
        <w:rPr>
          <w:rFonts w:ascii="Times New Roman" w:hAnsi="Times New Roman"/>
          <w:szCs w:val="24"/>
          <w:lang w:val="hr-HR"/>
        </w:rPr>
        <w:t xml:space="preserve"> </w:t>
      </w:r>
      <w:r w:rsidRPr="006128C3">
        <w:rPr>
          <w:rFonts w:ascii="Times New Roman" w:hAnsi="Times New Roman"/>
          <w:szCs w:val="24"/>
          <w:lang w:val="hr-HR"/>
        </w:rPr>
        <w:t>негативне</w:t>
      </w:r>
      <w:r w:rsidR="00C66F8F" w:rsidRPr="006128C3">
        <w:rPr>
          <w:rFonts w:ascii="Times New Roman" w:hAnsi="Times New Roman"/>
          <w:szCs w:val="24"/>
          <w:lang w:val="hr-HR"/>
        </w:rPr>
        <w:t xml:space="preserve"> </w:t>
      </w:r>
      <w:r w:rsidRPr="006128C3">
        <w:rPr>
          <w:rFonts w:ascii="Times New Roman" w:hAnsi="Times New Roman"/>
          <w:szCs w:val="24"/>
          <w:lang w:val="hr-HR"/>
        </w:rPr>
        <w:t>друштвене</w:t>
      </w:r>
      <w:r w:rsidR="00C66F8F" w:rsidRPr="006128C3">
        <w:rPr>
          <w:rFonts w:ascii="Times New Roman" w:hAnsi="Times New Roman"/>
          <w:szCs w:val="24"/>
          <w:lang w:val="hr-HR"/>
        </w:rPr>
        <w:t xml:space="preserve"> </w:t>
      </w:r>
      <w:r w:rsidRPr="006128C3">
        <w:rPr>
          <w:rFonts w:ascii="Times New Roman" w:hAnsi="Times New Roman"/>
          <w:szCs w:val="24"/>
          <w:lang w:val="hr-HR"/>
        </w:rPr>
        <w:t>норме</w:t>
      </w:r>
      <w:r w:rsidR="00050016" w:rsidRPr="006128C3">
        <w:rPr>
          <w:rFonts w:ascii="Times New Roman" w:hAnsi="Times New Roman"/>
          <w:szCs w:val="24"/>
          <w:lang w:val="hr-HR"/>
        </w:rPr>
        <w:t xml:space="preserve">“ </w:t>
      </w:r>
      <w:r w:rsidRPr="006128C3">
        <w:rPr>
          <w:rFonts w:ascii="Times New Roman" w:hAnsi="Times New Roman"/>
          <w:szCs w:val="24"/>
          <w:lang w:val="hr-HR"/>
        </w:rPr>
        <w:t>у</w:t>
      </w:r>
      <w:r w:rsidR="00050016" w:rsidRPr="006128C3">
        <w:rPr>
          <w:rFonts w:ascii="Times New Roman" w:hAnsi="Times New Roman"/>
          <w:szCs w:val="24"/>
          <w:lang w:val="hr-HR"/>
        </w:rPr>
        <w:t xml:space="preserve"> </w:t>
      </w:r>
      <w:r w:rsidRPr="006128C3">
        <w:rPr>
          <w:rFonts w:ascii="Times New Roman" w:hAnsi="Times New Roman"/>
          <w:szCs w:val="24"/>
          <w:lang w:val="hr-HR"/>
        </w:rPr>
        <w:t>Босни</w:t>
      </w:r>
      <w:r w:rsidR="00050016" w:rsidRPr="006128C3">
        <w:rPr>
          <w:rFonts w:ascii="Times New Roman" w:hAnsi="Times New Roman"/>
          <w:szCs w:val="24"/>
          <w:lang w:val="hr-HR"/>
        </w:rPr>
        <w:t xml:space="preserve"> </w:t>
      </w:r>
      <w:r w:rsidRPr="006128C3">
        <w:rPr>
          <w:rFonts w:ascii="Times New Roman" w:hAnsi="Times New Roman"/>
          <w:szCs w:val="24"/>
          <w:lang w:val="hr-HR"/>
        </w:rPr>
        <w:t>и</w:t>
      </w:r>
      <w:r w:rsidR="00050016" w:rsidRPr="006128C3">
        <w:rPr>
          <w:rFonts w:ascii="Times New Roman" w:hAnsi="Times New Roman"/>
          <w:szCs w:val="24"/>
          <w:lang w:val="hr-HR"/>
        </w:rPr>
        <w:t xml:space="preserve"> </w:t>
      </w:r>
      <w:r w:rsidRPr="006128C3">
        <w:rPr>
          <w:rFonts w:ascii="Times New Roman" w:hAnsi="Times New Roman"/>
          <w:szCs w:val="24"/>
          <w:lang w:val="hr-HR"/>
        </w:rPr>
        <w:t>Херцеговини</w:t>
      </w:r>
      <w:r w:rsidR="00050016" w:rsidRPr="006128C3">
        <w:rPr>
          <w:rFonts w:ascii="Times New Roman" w:hAnsi="Times New Roman"/>
          <w:szCs w:val="24"/>
          <w:lang w:val="hr-HR"/>
        </w:rPr>
        <w:t>,</w:t>
      </w:r>
      <w:r w:rsidR="00C66F8F" w:rsidRPr="006128C3">
        <w:rPr>
          <w:rFonts w:ascii="Times New Roman" w:hAnsi="Times New Roman"/>
          <w:szCs w:val="24"/>
          <w:lang w:val="hr-HR"/>
        </w:rPr>
        <w:t xml:space="preserve"> </w:t>
      </w:r>
      <w:r w:rsidRPr="006128C3">
        <w:rPr>
          <w:rFonts w:ascii="Times New Roman" w:hAnsi="Times New Roman"/>
          <w:szCs w:val="24"/>
          <w:lang w:val="hr-HR"/>
        </w:rPr>
        <w:t>Информација</w:t>
      </w:r>
      <w:r w:rsidR="00C66F8F" w:rsidRPr="006128C3">
        <w:rPr>
          <w:rFonts w:ascii="Times New Roman" w:hAnsi="Times New Roman"/>
          <w:szCs w:val="24"/>
          <w:lang w:val="hr-HR"/>
        </w:rPr>
        <w:t xml:space="preserve"> </w:t>
      </w:r>
      <w:r w:rsidRPr="006128C3">
        <w:rPr>
          <w:rFonts w:ascii="Times New Roman" w:hAnsi="Times New Roman"/>
          <w:szCs w:val="24"/>
          <w:lang w:val="hr-HR"/>
        </w:rPr>
        <w:t>о</w:t>
      </w:r>
      <w:r w:rsidR="00C66F8F" w:rsidRPr="006128C3">
        <w:rPr>
          <w:rFonts w:ascii="Times New Roman" w:hAnsi="Times New Roman"/>
          <w:szCs w:val="24"/>
          <w:lang w:val="hr-HR"/>
        </w:rPr>
        <w:t xml:space="preserve"> </w:t>
      </w:r>
      <w:r w:rsidR="006128C3">
        <w:rPr>
          <w:rFonts w:ascii="Times New Roman" w:hAnsi="Times New Roman"/>
          <w:szCs w:val="24"/>
          <w:lang w:val="sr-Cyrl-BA"/>
        </w:rPr>
        <w:t>спровођењу</w:t>
      </w:r>
      <w:r w:rsidR="00C66F8F" w:rsidRPr="006128C3">
        <w:rPr>
          <w:rFonts w:ascii="Times New Roman" w:hAnsi="Times New Roman"/>
          <w:szCs w:val="24"/>
          <w:lang w:val="hr-HR"/>
        </w:rPr>
        <w:t xml:space="preserve"> </w:t>
      </w:r>
      <w:r w:rsidRPr="006128C3">
        <w:rPr>
          <w:rFonts w:ascii="Times New Roman" w:hAnsi="Times New Roman"/>
          <w:szCs w:val="24"/>
          <w:lang w:val="hr-HR"/>
        </w:rPr>
        <w:t>Резолуције</w:t>
      </w:r>
      <w:r w:rsidR="00C66F8F" w:rsidRPr="006128C3">
        <w:rPr>
          <w:rFonts w:ascii="Times New Roman" w:hAnsi="Times New Roman"/>
          <w:szCs w:val="24"/>
          <w:lang w:val="hr-HR"/>
        </w:rPr>
        <w:t xml:space="preserve"> </w:t>
      </w:r>
      <w:r w:rsidRPr="006128C3">
        <w:rPr>
          <w:rFonts w:ascii="Times New Roman" w:hAnsi="Times New Roman"/>
          <w:szCs w:val="24"/>
          <w:lang w:val="hr-HR"/>
        </w:rPr>
        <w:t>Генералне</w:t>
      </w:r>
      <w:r w:rsidR="00C66F8F" w:rsidRPr="006128C3">
        <w:rPr>
          <w:rFonts w:ascii="Times New Roman" w:hAnsi="Times New Roman"/>
          <w:szCs w:val="24"/>
          <w:lang w:val="hr-HR"/>
        </w:rPr>
        <w:t xml:space="preserve"> </w:t>
      </w:r>
      <w:r w:rsidRPr="006128C3">
        <w:rPr>
          <w:rFonts w:ascii="Times New Roman" w:hAnsi="Times New Roman"/>
          <w:szCs w:val="24"/>
          <w:lang w:val="hr-HR"/>
        </w:rPr>
        <w:t>скупштине</w:t>
      </w:r>
      <w:r w:rsidR="00C66F8F" w:rsidRPr="006128C3">
        <w:rPr>
          <w:rFonts w:ascii="Times New Roman" w:hAnsi="Times New Roman"/>
          <w:szCs w:val="24"/>
          <w:lang w:val="hr-HR"/>
        </w:rPr>
        <w:t xml:space="preserve"> </w:t>
      </w:r>
      <w:r w:rsidRPr="006128C3">
        <w:rPr>
          <w:rFonts w:ascii="Times New Roman" w:hAnsi="Times New Roman"/>
          <w:szCs w:val="24"/>
          <w:lang w:val="hr-HR"/>
        </w:rPr>
        <w:t>УН</w:t>
      </w:r>
      <w:r w:rsidR="00C66F8F" w:rsidRPr="006128C3">
        <w:rPr>
          <w:rFonts w:ascii="Times New Roman" w:hAnsi="Times New Roman"/>
          <w:szCs w:val="24"/>
          <w:lang w:val="hr-HR"/>
        </w:rPr>
        <w:t>-</w:t>
      </w:r>
      <w:r w:rsidRPr="006128C3">
        <w:rPr>
          <w:rFonts w:ascii="Times New Roman" w:hAnsi="Times New Roman"/>
          <w:szCs w:val="24"/>
          <w:lang w:val="hr-HR"/>
        </w:rPr>
        <w:t>а</w:t>
      </w:r>
      <w:r w:rsidR="00C66F8F" w:rsidRPr="006128C3">
        <w:rPr>
          <w:rFonts w:ascii="Times New Roman" w:hAnsi="Times New Roman"/>
          <w:szCs w:val="24"/>
          <w:lang w:val="hr-HR"/>
        </w:rPr>
        <w:t xml:space="preserve"> (</w:t>
      </w:r>
      <w:r w:rsidR="006128C3" w:rsidRPr="006128C3">
        <w:rPr>
          <w:rFonts w:ascii="Times New Roman" w:hAnsi="Times New Roman"/>
          <w:i/>
          <w:szCs w:val="24"/>
          <w:lang w:val="hr-HR"/>
        </w:rPr>
        <w:t>A/RES/77/181</w:t>
      </w:r>
      <w:r w:rsidR="00C66F8F" w:rsidRPr="006128C3">
        <w:rPr>
          <w:rFonts w:ascii="Times New Roman" w:hAnsi="Times New Roman"/>
          <w:szCs w:val="24"/>
          <w:lang w:val="hr-HR"/>
        </w:rPr>
        <w:t xml:space="preserve">) </w:t>
      </w:r>
      <w:r w:rsidRPr="006128C3">
        <w:rPr>
          <w:rFonts w:ascii="Times New Roman" w:hAnsi="Times New Roman"/>
          <w:szCs w:val="24"/>
          <w:lang w:val="hr-HR"/>
        </w:rPr>
        <w:t>о</w:t>
      </w:r>
      <w:r w:rsidR="00C66F8F" w:rsidRPr="006128C3">
        <w:rPr>
          <w:rFonts w:ascii="Times New Roman" w:hAnsi="Times New Roman"/>
          <w:szCs w:val="24"/>
          <w:lang w:val="hr-HR"/>
        </w:rPr>
        <w:t xml:space="preserve"> „</w:t>
      </w:r>
      <w:r w:rsidRPr="006128C3">
        <w:rPr>
          <w:rFonts w:ascii="Times New Roman" w:hAnsi="Times New Roman"/>
          <w:szCs w:val="24"/>
          <w:lang w:val="hr-HR"/>
        </w:rPr>
        <w:t>Женама</w:t>
      </w:r>
      <w:r w:rsidR="00C66F8F" w:rsidRPr="006128C3">
        <w:rPr>
          <w:rFonts w:ascii="Times New Roman" w:hAnsi="Times New Roman"/>
          <w:szCs w:val="24"/>
          <w:lang w:val="hr-HR"/>
        </w:rPr>
        <w:t xml:space="preserve"> </w:t>
      </w:r>
      <w:r w:rsidRPr="006128C3">
        <w:rPr>
          <w:rFonts w:ascii="Times New Roman" w:hAnsi="Times New Roman"/>
          <w:szCs w:val="24"/>
          <w:lang w:val="hr-HR"/>
        </w:rPr>
        <w:t>у</w:t>
      </w:r>
      <w:r w:rsidR="00C66F8F" w:rsidRPr="006128C3">
        <w:rPr>
          <w:rFonts w:ascii="Times New Roman" w:hAnsi="Times New Roman"/>
          <w:szCs w:val="24"/>
          <w:lang w:val="hr-HR"/>
        </w:rPr>
        <w:t xml:space="preserve"> </w:t>
      </w:r>
      <w:r w:rsidRPr="006128C3">
        <w:rPr>
          <w:rFonts w:ascii="Times New Roman" w:hAnsi="Times New Roman"/>
          <w:szCs w:val="24"/>
          <w:lang w:val="hr-HR"/>
        </w:rPr>
        <w:t>развоју</w:t>
      </w:r>
      <w:r w:rsidR="00C66F8F" w:rsidRPr="006128C3">
        <w:rPr>
          <w:rFonts w:ascii="Times New Roman" w:hAnsi="Times New Roman"/>
          <w:szCs w:val="24"/>
          <w:lang w:val="hr-HR"/>
        </w:rPr>
        <w:t xml:space="preserve">“ </w:t>
      </w:r>
      <w:r w:rsidRPr="006128C3">
        <w:rPr>
          <w:rFonts w:ascii="Times New Roman" w:hAnsi="Times New Roman"/>
          <w:szCs w:val="24"/>
          <w:lang w:val="hr-HR"/>
        </w:rPr>
        <w:t>за</w:t>
      </w:r>
      <w:r w:rsidR="00C66F8F" w:rsidRPr="006128C3">
        <w:rPr>
          <w:rFonts w:ascii="Times New Roman" w:hAnsi="Times New Roman"/>
          <w:szCs w:val="24"/>
          <w:lang w:val="hr-HR"/>
        </w:rPr>
        <w:t xml:space="preserve"> </w:t>
      </w:r>
      <w:r w:rsidRPr="006128C3">
        <w:rPr>
          <w:rFonts w:ascii="Times New Roman" w:hAnsi="Times New Roman"/>
          <w:szCs w:val="24"/>
          <w:lang w:val="hr-HR"/>
        </w:rPr>
        <w:t>Босну</w:t>
      </w:r>
      <w:r w:rsidR="00483D68" w:rsidRPr="006128C3">
        <w:rPr>
          <w:rFonts w:ascii="Times New Roman" w:hAnsi="Times New Roman"/>
          <w:szCs w:val="24"/>
          <w:lang w:val="hr-HR"/>
        </w:rPr>
        <w:t xml:space="preserve"> </w:t>
      </w:r>
      <w:r w:rsidRPr="006128C3">
        <w:rPr>
          <w:rFonts w:ascii="Times New Roman" w:hAnsi="Times New Roman"/>
          <w:szCs w:val="24"/>
          <w:lang w:val="hr-HR"/>
        </w:rPr>
        <w:t>и</w:t>
      </w:r>
      <w:r w:rsidR="00483D68" w:rsidRPr="006128C3">
        <w:rPr>
          <w:rFonts w:ascii="Times New Roman" w:hAnsi="Times New Roman"/>
          <w:szCs w:val="24"/>
          <w:lang w:val="hr-HR"/>
        </w:rPr>
        <w:t xml:space="preserve"> </w:t>
      </w:r>
      <w:r w:rsidRPr="006128C3">
        <w:rPr>
          <w:rFonts w:ascii="Times New Roman" w:hAnsi="Times New Roman"/>
          <w:szCs w:val="24"/>
          <w:lang w:val="hr-HR"/>
        </w:rPr>
        <w:t>Херцеговину</w:t>
      </w:r>
      <w:r w:rsidR="00483D68" w:rsidRPr="006128C3">
        <w:rPr>
          <w:rFonts w:ascii="Times New Roman" w:hAnsi="Times New Roman"/>
          <w:szCs w:val="24"/>
          <w:lang w:val="hr-HR"/>
        </w:rPr>
        <w:t xml:space="preserve">, </w:t>
      </w:r>
      <w:r w:rsidRPr="006128C3">
        <w:rPr>
          <w:rFonts w:ascii="Times New Roman" w:hAnsi="Times New Roman"/>
          <w:szCs w:val="24"/>
          <w:lang w:val="hr-HR"/>
        </w:rPr>
        <w:t>Одговор</w:t>
      </w:r>
      <w:r w:rsidR="00483D68" w:rsidRPr="006128C3">
        <w:rPr>
          <w:rFonts w:ascii="Times New Roman" w:hAnsi="Times New Roman"/>
          <w:szCs w:val="24"/>
          <w:lang w:val="hr-HR"/>
        </w:rPr>
        <w:t xml:space="preserve"> </w:t>
      </w:r>
      <w:r w:rsidRPr="006128C3">
        <w:rPr>
          <w:rFonts w:ascii="Times New Roman" w:hAnsi="Times New Roman"/>
          <w:szCs w:val="24"/>
          <w:lang w:val="hr-HR"/>
        </w:rPr>
        <w:t>на</w:t>
      </w:r>
      <w:r w:rsidR="00483D68" w:rsidRPr="006128C3">
        <w:rPr>
          <w:rFonts w:ascii="Times New Roman" w:hAnsi="Times New Roman"/>
          <w:szCs w:val="24"/>
          <w:lang w:val="hr-HR"/>
        </w:rPr>
        <w:t xml:space="preserve"> </w:t>
      </w:r>
      <w:r w:rsidRPr="006128C3">
        <w:rPr>
          <w:rFonts w:ascii="Times New Roman" w:hAnsi="Times New Roman"/>
          <w:szCs w:val="24"/>
          <w:lang w:val="hr-HR"/>
        </w:rPr>
        <w:t>упитник</w:t>
      </w:r>
      <w:r w:rsidR="00C66F8F" w:rsidRPr="006128C3">
        <w:rPr>
          <w:rFonts w:ascii="Times New Roman" w:hAnsi="Times New Roman"/>
          <w:szCs w:val="24"/>
          <w:lang w:val="hr-HR"/>
        </w:rPr>
        <w:t xml:space="preserve"> </w:t>
      </w:r>
      <w:r w:rsidRPr="006128C3">
        <w:rPr>
          <w:rFonts w:ascii="Times New Roman" w:hAnsi="Times New Roman"/>
          <w:szCs w:val="24"/>
          <w:lang w:val="hr-HR"/>
        </w:rPr>
        <w:t>за</w:t>
      </w:r>
      <w:r w:rsidR="00C66F8F" w:rsidRPr="006128C3">
        <w:rPr>
          <w:rFonts w:ascii="Times New Roman" w:hAnsi="Times New Roman"/>
          <w:szCs w:val="24"/>
          <w:lang w:val="hr-HR"/>
        </w:rPr>
        <w:t xml:space="preserve"> </w:t>
      </w:r>
      <w:r w:rsidRPr="006128C3">
        <w:rPr>
          <w:rFonts w:ascii="Times New Roman" w:hAnsi="Times New Roman"/>
          <w:szCs w:val="24"/>
          <w:lang w:val="hr-HR"/>
        </w:rPr>
        <w:t>Извјештај</w:t>
      </w:r>
      <w:r w:rsidR="00D81552" w:rsidRPr="006128C3">
        <w:rPr>
          <w:rFonts w:ascii="Times New Roman" w:hAnsi="Times New Roman"/>
          <w:szCs w:val="24"/>
          <w:lang w:val="hr-HR"/>
        </w:rPr>
        <w:t xml:space="preserve"> </w:t>
      </w:r>
      <w:r w:rsidRPr="006128C3">
        <w:rPr>
          <w:rFonts w:ascii="Times New Roman" w:hAnsi="Times New Roman"/>
          <w:szCs w:val="24"/>
          <w:lang w:val="hr-HR"/>
        </w:rPr>
        <w:t>Генералног</w:t>
      </w:r>
      <w:r w:rsidR="00944633" w:rsidRPr="006128C3">
        <w:rPr>
          <w:rFonts w:ascii="Times New Roman" w:hAnsi="Times New Roman"/>
          <w:szCs w:val="24"/>
          <w:lang w:val="hr-HR"/>
        </w:rPr>
        <w:t xml:space="preserve"> </w:t>
      </w:r>
      <w:r w:rsidRPr="006128C3">
        <w:rPr>
          <w:rFonts w:ascii="Times New Roman" w:hAnsi="Times New Roman"/>
          <w:szCs w:val="24"/>
          <w:lang w:val="hr-HR"/>
        </w:rPr>
        <w:t>секретара</w:t>
      </w:r>
      <w:r w:rsidR="00C66F8F" w:rsidRPr="006128C3">
        <w:rPr>
          <w:rFonts w:ascii="Times New Roman" w:hAnsi="Times New Roman"/>
          <w:szCs w:val="24"/>
          <w:lang w:val="hr-HR"/>
        </w:rPr>
        <w:t xml:space="preserve"> </w:t>
      </w:r>
      <w:r w:rsidRPr="006128C3">
        <w:rPr>
          <w:rFonts w:ascii="Times New Roman" w:hAnsi="Times New Roman"/>
          <w:szCs w:val="24"/>
          <w:lang w:val="hr-HR"/>
        </w:rPr>
        <w:t>УН</w:t>
      </w:r>
      <w:r w:rsidR="00C66F8F" w:rsidRPr="006128C3">
        <w:rPr>
          <w:rFonts w:ascii="Times New Roman" w:hAnsi="Times New Roman"/>
          <w:szCs w:val="24"/>
          <w:lang w:val="hr-HR"/>
        </w:rPr>
        <w:t>-</w:t>
      </w:r>
      <w:r w:rsidRPr="006128C3">
        <w:rPr>
          <w:rFonts w:ascii="Times New Roman" w:hAnsi="Times New Roman"/>
          <w:szCs w:val="24"/>
          <w:lang w:val="hr-HR"/>
        </w:rPr>
        <w:t>а</w:t>
      </w:r>
      <w:r w:rsidR="00C66F8F" w:rsidRPr="006128C3">
        <w:rPr>
          <w:rFonts w:ascii="Times New Roman" w:hAnsi="Times New Roman"/>
          <w:szCs w:val="24"/>
          <w:lang w:val="hr-HR"/>
        </w:rPr>
        <w:t xml:space="preserve"> </w:t>
      </w:r>
      <w:r w:rsidRPr="006128C3">
        <w:rPr>
          <w:rFonts w:ascii="Times New Roman" w:hAnsi="Times New Roman"/>
          <w:szCs w:val="24"/>
          <w:lang w:val="hr-HR"/>
        </w:rPr>
        <w:t>о</w:t>
      </w:r>
      <w:r w:rsidR="00C66F8F" w:rsidRPr="006128C3">
        <w:rPr>
          <w:rFonts w:ascii="Times New Roman" w:hAnsi="Times New Roman"/>
          <w:szCs w:val="24"/>
          <w:lang w:val="hr-HR"/>
        </w:rPr>
        <w:t xml:space="preserve"> „</w:t>
      </w:r>
      <w:r w:rsidRPr="006128C3">
        <w:rPr>
          <w:rFonts w:ascii="Times New Roman" w:hAnsi="Times New Roman"/>
          <w:szCs w:val="24"/>
          <w:lang w:val="hr-HR"/>
        </w:rPr>
        <w:t>Интензивирању</w:t>
      </w:r>
      <w:r w:rsidR="00C66F8F" w:rsidRPr="006128C3">
        <w:rPr>
          <w:rFonts w:ascii="Times New Roman" w:hAnsi="Times New Roman"/>
          <w:szCs w:val="24"/>
          <w:lang w:val="hr-HR"/>
        </w:rPr>
        <w:t xml:space="preserve"> </w:t>
      </w:r>
      <w:r w:rsidRPr="006128C3">
        <w:rPr>
          <w:rFonts w:ascii="Times New Roman" w:hAnsi="Times New Roman"/>
          <w:szCs w:val="24"/>
          <w:lang w:val="hr-HR"/>
        </w:rPr>
        <w:t>напора</w:t>
      </w:r>
      <w:r w:rsidR="00C66F8F" w:rsidRPr="006128C3">
        <w:rPr>
          <w:rFonts w:ascii="Times New Roman" w:hAnsi="Times New Roman"/>
          <w:szCs w:val="24"/>
          <w:lang w:val="hr-HR"/>
        </w:rPr>
        <w:t xml:space="preserve"> </w:t>
      </w:r>
      <w:r w:rsidRPr="006128C3">
        <w:rPr>
          <w:rFonts w:ascii="Times New Roman" w:hAnsi="Times New Roman"/>
          <w:szCs w:val="24"/>
          <w:lang w:val="hr-HR"/>
        </w:rPr>
        <w:t>на</w:t>
      </w:r>
      <w:r w:rsidR="00C66F8F" w:rsidRPr="006128C3">
        <w:rPr>
          <w:rFonts w:ascii="Times New Roman" w:hAnsi="Times New Roman"/>
          <w:szCs w:val="24"/>
          <w:lang w:val="hr-HR"/>
        </w:rPr>
        <w:t xml:space="preserve"> </w:t>
      </w:r>
      <w:r w:rsidRPr="006128C3">
        <w:rPr>
          <w:rFonts w:ascii="Times New Roman" w:hAnsi="Times New Roman"/>
          <w:szCs w:val="24"/>
          <w:lang w:val="hr-HR"/>
        </w:rPr>
        <w:t>превенцији</w:t>
      </w:r>
      <w:r w:rsidR="00C66F8F" w:rsidRPr="006128C3">
        <w:rPr>
          <w:rFonts w:ascii="Times New Roman" w:hAnsi="Times New Roman"/>
          <w:szCs w:val="24"/>
          <w:lang w:val="hr-HR"/>
        </w:rPr>
        <w:t xml:space="preserve"> </w:t>
      </w:r>
      <w:r w:rsidRPr="006128C3">
        <w:rPr>
          <w:rFonts w:ascii="Times New Roman" w:hAnsi="Times New Roman"/>
          <w:szCs w:val="24"/>
          <w:lang w:val="hr-HR"/>
        </w:rPr>
        <w:t>и</w:t>
      </w:r>
      <w:r w:rsidR="00C66F8F" w:rsidRPr="006128C3">
        <w:rPr>
          <w:rFonts w:ascii="Times New Roman" w:hAnsi="Times New Roman"/>
          <w:szCs w:val="24"/>
          <w:lang w:val="hr-HR"/>
        </w:rPr>
        <w:t xml:space="preserve"> </w:t>
      </w:r>
      <w:r w:rsidRPr="006128C3">
        <w:rPr>
          <w:rFonts w:ascii="Times New Roman" w:hAnsi="Times New Roman"/>
          <w:szCs w:val="24"/>
          <w:lang w:val="hr-HR"/>
        </w:rPr>
        <w:t>отклањању</w:t>
      </w:r>
      <w:r w:rsidR="00C66F8F" w:rsidRPr="006128C3">
        <w:rPr>
          <w:rFonts w:ascii="Times New Roman" w:hAnsi="Times New Roman"/>
          <w:szCs w:val="24"/>
          <w:lang w:val="hr-HR"/>
        </w:rPr>
        <w:t xml:space="preserve"> </w:t>
      </w:r>
      <w:r w:rsidRPr="006128C3">
        <w:rPr>
          <w:rFonts w:ascii="Times New Roman" w:hAnsi="Times New Roman"/>
          <w:szCs w:val="24"/>
          <w:lang w:val="hr-HR"/>
        </w:rPr>
        <w:t>свих</w:t>
      </w:r>
      <w:r w:rsidR="00C66F8F" w:rsidRPr="006128C3">
        <w:rPr>
          <w:rFonts w:ascii="Times New Roman" w:hAnsi="Times New Roman"/>
          <w:szCs w:val="24"/>
          <w:lang w:val="hr-HR"/>
        </w:rPr>
        <w:t xml:space="preserve"> </w:t>
      </w:r>
      <w:r w:rsidRPr="006128C3">
        <w:rPr>
          <w:rFonts w:ascii="Times New Roman" w:hAnsi="Times New Roman"/>
          <w:szCs w:val="24"/>
          <w:lang w:val="hr-HR"/>
        </w:rPr>
        <w:t>облика</w:t>
      </w:r>
      <w:r w:rsidR="00C66F8F" w:rsidRPr="006128C3">
        <w:rPr>
          <w:rFonts w:ascii="Times New Roman" w:hAnsi="Times New Roman"/>
          <w:szCs w:val="24"/>
          <w:lang w:val="hr-HR"/>
        </w:rPr>
        <w:t xml:space="preserve"> </w:t>
      </w:r>
      <w:r w:rsidRPr="006128C3">
        <w:rPr>
          <w:rFonts w:ascii="Times New Roman" w:hAnsi="Times New Roman"/>
          <w:szCs w:val="24"/>
          <w:lang w:val="hr-HR"/>
        </w:rPr>
        <w:t>насиља</w:t>
      </w:r>
      <w:r w:rsidR="00C66F8F" w:rsidRPr="006128C3">
        <w:rPr>
          <w:rFonts w:ascii="Times New Roman" w:hAnsi="Times New Roman"/>
          <w:szCs w:val="24"/>
          <w:lang w:val="hr-HR"/>
        </w:rPr>
        <w:t xml:space="preserve"> </w:t>
      </w:r>
      <w:r w:rsidRPr="006128C3">
        <w:rPr>
          <w:rFonts w:ascii="Times New Roman" w:hAnsi="Times New Roman"/>
          <w:szCs w:val="24"/>
          <w:lang w:val="hr-HR"/>
        </w:rPr>
        <w:t>против</w:t>
      </w:r>
      <w:r w:rsidR="00C66F8F" w:rsidRPr="006128C3">
        <w:rPr>
          <w:rFonts w:ascii="Times New Roman" w:hAnsi="Times New Roman"/>
          <w:szCs w:val="24"/>
          <w:lang w:val="hr-HR"/>
        </w:rPr>
        <w:t xml:space="preserve"> </w:t>
      </w:r>
      <w:r w:rsidRPr="006128C3">
        <w:rPr>
          <w:rFonts w:ascii="Times New Roman" w:hAnsi="Times New Roman"/>
          <w:szCs w:val="24"/>
          <w:lang w:val="hr-HR"/>
        </w:rPr>
        <w:t>жена</w:t>
      </w:r>
      <w:r w:rsidR="00C66F8F" w:rsidRPr="006128C3">
        <w:rPr>
          <w:rFonts w:ascii="Times New Roman" w:hAnsi="Times New Roman"/>
          <w:szCs w:val="24"/>
          <w:lang w:val="hr-HR"/>
        </w:rPr>
        <w:t xml:space="preserve"> </w:t>
      </w:r>
      <w:r w:rsidRPr="006128C3">
        <w:rPr>
          <w:rFonts w:ascii="Times New Roman" w:hAnsi="Times New Roman"/>
          <w:szCs w:val="24"/>
          <w:lang w:val="hr-HR"/>
        </w:rPr>
        <w:t>и</w:t>
      </w:r>
      <w:r w:rsidR="00C66F8F" w:rsidRPr="006128C3">
        <w:rPr>
          <w:rFonts w:ascii="Times New Roman" w:hAnsi="Times New Roman"/>
          <w:szCs w:val="24"/>
          <w:lang w:val="hr-HR"/>
        </w:rPr>
        <w:t xml:space="preserve"> </w:t>
      </w:r>
      <w:r w:rsidRPr="006128C3">
        <w:rPr>
          <w:rFonts w:ascii="Times New Roman" w:hAnsi="Times New Roman"/>
          <w:szCs w:val="24"/>
          <w:lang w:val="hr-HR"/>
        </w:rPr>
        <w:t>дјевојчица</w:t>
      </w:r>
      <w:r w:rsidR="00C66F8F" w:rsidRPr="006128C3">
        <w:rPr>
          <w:rFonts w:ascii="Times New Roman" w:hAnsi="Times New Roman"/>
          <w:szCs w:val="24"/>
          <w:lang w:val="hr-HR"/>
        </w:rPr>
        <w:t xml:space="preserve">: </w:t>
      </w:r>
      <w:r w:rsidRPr="006128C3">
        <w:rPr>
          <w:rFonts w:ascii="Times New Roman" w:hAnsi="Times New Roman"/>
          <w:szCs w:val="24"/>
          <w:lang w:val="hr-HR"/>
        </w:rPr>
        <w:t>родни</w:t>
      </w:r>
      <w:r w:rsidR="00C66F8F" w:rsidRPr="006128C3">
        <w:rPr>
          <w:rFonts w:ascii="Times New Roman" w:hAnsi="Times New Roman"/>
          <w:szCs w:val="24"/>
          <w:lang w:val="hr-HR"/>
        </w:rPr>
        <w:t xml:space="preserve"> </w:t>
      </w:r>
      <w:r w:rsidRPr="006128C3">
        <w:rPr>
          <w:rFonts w:ascii="Times New Roman" w:hAnsi="Times New Roman"/>
          <w:szCs w:val="24"/>
          <w:lang w:val="hr-HR"/>
        </w:rPr>
        <w:t>стереотипи</w:t>
      </w:r>
      <w:r w:rsidR="00C66F8F" w:rsidRPr="006128C3">
        <w:rPr>
          <w:rFonts w:ascii="Times New Roman" w:hAnsi="Times New Roman"/>
          <w:szCs w:val="24"/>
          <w:lang w:val="hr-HR"/>
        </w:rPr>
        <w:t xml:space="preserve"> </w:t>
      </w:r>
      <w:r w:rsidRPr="006128C3">
        <w:rPr>
          <w:rFonts w:ascii="Times New Roman" w:hAnsi="Times New Roman"/>
          <w:szCs w:val="24"/>
          <w:lang w:val="hr-HR"/>
        </w:rPr>
        <w:t>и</w:t>
      </w:r>
      <w:r w:rsidR="00C66F8F" w:rsidRPr="006128C3">
        <w:rPr>
          <w:rFonts w:ascii="Times New Roman" w:hAnsi="Times New Roman"/>
          <w:szCs w:val="24"/>
          <w:lang w:val="hr-HR"/>
        </w:rPr>
        <w:t xml:space="preserve"> </w:t>
      </w:r>
      <w:r w:rsidRPr="006128C3">
        <w:rPr>
          <w:rFonts w:ascii="Times New Roman" w:hAnsi="Times New Roman"/>
          <w:szCs w:val="24"/>
          <w:lang w:val="hr-HR"/>
        </w:rPr>
        <w:t>негативне</w:t>
      </w:r>
      <w:r w:rsidR="00C66F8F" w:rsidRPr="006128C3">
        <w:rPr>
          <w:rFonts w:ascii="Times New Roman" w:hAnsi="Times New Roman"/>
          <w:szCs w:val="24"/>
          <w:lang w:val="hr-HR"/>
        </w:rPr>
        <w:t xml:space="preserve"> </w:t>
      </w:r>
      <w:r w:rsidRPr="006128C3">
        <w:rPr>
          <w:rFonts w:ascii="Times New Roman" w:hAnsi="Times New Roman"/>
          <w:szCs w:val="24"/>
          <w:lang w:val="hr-HR"/>
        </w:rPr>
        <w:t>друштвене</w:t>
      </w:r>
      <w:r w:rsidR="00C66F8F" w:rsidRPr="006128C3">
        <w:rPr>
          <w:rFonts w:ascii="Times New Roman" w:hAnsi="Times New Roman"/>
          <w:szCs w:val="24"/>
          <w:lang w:val="hr-HR"/>
        </w:rPr>
        <w:t xml:space="preserve"> </w:t>
      </w:r>
      <w:r w:rsidRPr="006128C3">
        <w:rPr>
          <w:rFonts w:ascii="Times New Roman" w:hAnsi="Times New Roman"/>
          <w:szCs w:val="24"/>
          <w:lang w:val="hr-HR"/>
        </w:rPr>
        <w:t>норме</w:t>
      </w:r>
      <w:r w:rsidR="00C66F8F" w:rsidRPr="006128C3">
        <w:rPr>
          <w:rFonts w:ascii="Times New Roman" w:hAnsi="Times New Roman"/>
          <w:szCs w:val="24"/>
          <w:lang w:val="hr-HR"/>
        </w:rPr>
        <w:t xml:space="preserve"> (</w:t>
      </w:r>
      <w:r w:rsidR="006128C3" w:rsidRPr="006128C3">
        <w:rPr>
          <w:rFonts w:ascii="Times New Roman" w:hAnsi="Times New Roman"/>
          <w:i/>
          <w:szCs w:val="24"/>
          <w:lang w:val="hr-HR"/>
        </w:rPr>
        <w:t>A/RES/75/161</w:t>
      </w:r>
      <w:r w:rsidR="006128C3" w:rsidRPr="006128C3">
        <w:rPr>
          <w:rFonts w:ascii="Times New Roman" w:hAnsi="Times New Roman"/>
          <w:szCs w:val="24"/>
          <w:lang w:val="hr-HR"/>
        </w:rPr>
        <w:t xml:space="preserve"> </w:t>
      </w:r>
      <w:r w:rsidRPr="006128C3">
        <w:rPr>
          <w:rFonts w:ascii="Times New Roman" w:hAnsi="Times New Roman"/>
          <w:szCs w:val="24"/>
          <w:lang w:val="hr-HR"/>
        </w:rPr>
        <w:t>и</w:t>
      </w:r>
      <w:r w:rsidR="00C66F8F" w:rsidRPr="006128C3">
        <w:rPr>
          <w:rFonts w:ascii="Times New Roman" w:hAnsi="Times New Roman"/>
          <w:szCs w:val="24"/>
          <w:lang w:val="hr-HR"/>
        </w:rPr>
        <w:t xml:space="preserve"> </w:t>
      </w:r>
      <w:r w:rsidR="006128C3" w:rsidRPr="006128C3">
        <w:rPr>
          <w:rFonts w:ascii="Times New Roman" w:hAnsi="Times New Roman"/>
          <w:i/>
          <w:szCs w:val="24"/>
          <w:lang w:val="hr-HR"/>
        </w:rPr>
        <w:t>A/RES/77/193</w:t>
      </w:r>
      <w:r w:rsidR="00C66F8F" w:rsidRPr="006128C3">
        <w:rPr>
          <w:rFonts w:ascii="Times New Roman" w:hAnsi="Times New Roman"/>
          <w:szCs w:val="24"/>
          <w:lang w:val="hr-HR"/>
        </w:rPr>
        <w:t xml:space="preserve">) </w:t>
      </w:r>
      <w:r w:rsidRPr="006128C3">
        <w:rPr>
          <w:rFonts w:ascii="Times New Roman" w:hAnsi="Times New Roman"/>
          <w:szCs w:val="24"/>
          <w:lang w:val="hr-HR"/>
        </w:rPr>
        <w:t>за</w:t>
      </w:r>
      <w:r w:rsidR="00C66F8F" w:rsidRPr="006128C3">
        <w:rPr>
          <w:rFonts w:ascii="Times New Roman" w:hAnsi="Times New Roman"/>
          <w:szCs w:val="24"/>
          <w:lang w:val="hr-HR"/>
        </w:rPr>
        <w:t xml:space="preserve"> </w:t>
      </w:r>
      <w:r w:rsidRPr="006128C3">
        <w:rPr>
          <w:rFonts w:ascii="Times New Roman" w:hAnsi="Times New Roman"/>
          <w:szCs w:val="24"/>
          <w:lang w:val="hr-HR"/>
        </w:rPr>
        <w:t>период</w:t>
      </w:r>
      <w:r w:rsidR="00C66F8F" w:rsidRPr="006128C3">
        <w:rPr>
          <w:rFonts w:ascii="Times New Roman" w:hAnsi="Times New Roman"/>
          <w:szCs w:val="24"/>
          <w:lang w:val="hr-HR"/>
        </w:rPr>
        <w:t xml:space="preserve"> </w:t>
      </w:r>
      <w:r w:rsidRPr="006128C3">
        <w:rPr>
          <w:rFonts w:ascii="Times New Roman" w:hAnsi="Times New Roman"/>
          <w:szCs w:val="24"/>
          <w:lang w:val="hr-HR"/>
        </w:rPr>
        <w:t>од</w:t>
      </w:r>
      <w:r w:rsidR="00C66F8F" w:rsidRPr="006128C3">
        <w:rPr>
          <w:rFonts w:ascii="Times New Roman" w:hAnsi="Times New Roman"/>
          <w:szCs w:val="24"/>
          <w:lang w:val="hr-HR"/>
        </w:rPr>
        <w:t xml:space="preserve"> </w:t>
      </w:r>
      <w:r w:rsidRPr="006128C3">
        <w:rPr>
          <w:rFonts w:ascii="Times New Roman" w:hAnsi="Times New Roman"/>
          <w:szCs w:val="24"/>
          <w:lang w:val="hr-HR"/>
        </w:rPr>
        <w:t>а</w:t>
      </w:r>
      <w:r w:rsidR="006128C3">
        <w:rPr>
          <w:rFonts w:ascii="Times New Roman" w:hAnsi="Times New Roman"/>
          <w:szCs w:val="24"/>
          <w:lang w:val="sr-Cyrl-BA"/>
        </w:rPr>
        <w:t>в</w:t>
      </w:r>
      <w:r w:rsidRPr="006128C3">
        <w:rPr>
          <w:rFonts w:ascii="Times New Roman" w:hAnsi="Times New Roman"/>
          <w:szCs w:val="24"/>
          <w:lang w:val="hr-HR"/>
        </w:rPr>
        <w:t>густа</w:t>
      </w:r>
      <w:r w:rsidR="00C66F8F" w:rsidRPr="006128C3">
        <w:rPr>
          <w:rFonts w:ascii="Times New Roman" w:hAnsi="Times New Roman"/>
          <w:szCs w:val="24"/>
          <w:lang w:val="hr-HR"/>
        </w:rPr>
        <w:t xml:space="preserve"> 2022. </w:t>
      </w:r>
      <w:r w:rsidRPr="006128C3">
        <w:rPr>
          <w:rFonts w:ascii="Times New Roman" w:hAnsi="Times New Roman"/>
          <w:szCs w:val="24"/>
          <w:lang w:val="hr-HR"/>
        </w:rPr>
        <w:t>године</w:t>
      </w:r>
      <w:r w:rsidR="00C66F8F" w:rsidRPr="006128C3">
        <w:rPr>
          <w:rFonts w:ascii="Times New Roman" w:hAnsi="Times New Roman"/>
          <w:szCs w:val="24"/>
          <w:lang w:val="hr-HR"/>
        </w:rPr>
        <w:t xml:space="preserve"> </w:t>
      </w:r>
      <w:r w:rsidRPr="006128C3">
        <w:rPr>
          <w:rFonts w:ascii="Times New Roman" w:hAnsi="Times New Roman"/>
          <w:szCs w:val="24"/>
          <w:lang w:val="hr-HR"/>
        </w:rPr>
        <w:t>до</w:t>
      </w:r>
      <w:r w:rsidR="00C66F8F" w:rsidRPr="006128C3">
        <w:rPr>
          <w:rFonts w:ascii="Times New Roman" w:hAnsi="Times New Roman"/>
          <w:szCs w:val="24"/>
          <w:lang w:val="hr-HR"/>
        </w:rPr>
        <w:t xml:space="preserve"> </w:t>
      </w:r>
      <w:r w:rsidRPr="006128C3">
        <w:rPr>
          <w:rFonts w:ascii="Times New Roman" w:hAnsi="Times New Roman"/>
          <w:szCs w:val="24"/>
          <w:lang w:val="hr-HR"/>
        </w:rPr>
        <w:t>априла</w:t>
      </w:r>
      <w:r w:rsidR="00C66F8F" w:rsidRPr="006128C3">
        <w:rPr>
          <w:rFonts w:ascii="Times New Roman" w:hAnsi="Times New Roman"/>
          <w:szCs w:val="24"/>
          <w:lang w:val="hr-HR"/>
        </w:rPr>
        <w:t xml:space="preserve"> 2024.</w:t>
      </w:r>
      <w:r w:rsidR="00D81552" w:rsidRPr="006128C3">
        <w:rPr>
          <w:rFonts w:ascii="Times New Roman" w:hAnsi="Times New Roman"/>
          <w:szCs w:val="24"/>
          <w:lang w:val="hr-HR"/>
        </w:rPr>
        <w:t xml:space="preserve"> </w:t>
      </w:r>
      <w:r w:rsidRPr="006128C3">
        <w:rPr>
          <w:rFonts w:ascii="Times New Roman" w:hAnsi="Times New Roman"/>
          <w:szCs w:val="24"/>
          <w:lang w:val="hr-HR"/>
        </w:rPr>
        <w:t>године</w:t>
      </w:r>
      <w:r w:rsidR="00C66F8F" w:rsidRPr="006128C3">
        <w:rPr>
          <w:rFonts w:ascii="Times New Roman" w:hAnsi="Times New Roman"/>
          <w:szCs w:val="24"/>
          <w:lang w:val="hr-HR"/>
        </w:rPr>
        <w:t>.</w:t>
      </w:r>
      <w:r w:rsidR="00C66F8F" w:rsidRPr="00295637">
        <w:rPr>
          <w:rFonts w:ascii="Times New Roman" w:hAnsi="Times New Roman"/>
          <w:szCs w:val="24"/>
          <w:lang w:val="hr-HR"/>
        </w:rPr>
        <w:t xml:space="preserve"> </w:t>
      </w:r>
    </w:p>
    <w:p w:rsidR="00195ECF" w:rsidRPr="00295637" w:rsidRDefault="00195ECF" w:rsidP="0086268D">
      <w:pPr>
        <w:jc w:val="both"/>
        <w:rPr>
          <w:rFonts w:ascii="Times New Roman" w:hAnsi="Times New Roman"/>
          <w:szCs w:val="24"/>
          <w:lang w:val="hr-HR"/>
        </w:rPr>
      </w:pPr>
    </w:p>
    <w:p w:rsidR="00195ECF" w:rsidRPr="00295637" w:rsidRDefault="00C6214E" w:rsidP="0086268D">
      <w:pPr>
        <w:jc w:val="both"/>
        <w:rPr>
          <w:rFonts w:ascii="Times New Roman" w:hAnsi="Times New Roman"/>
          <w:szCs w:val="24"/>
          <w:lang w:val="bs-Latn-BA"/>
        </w:rPr>
      </w:pPr>
      <w:r>
        <w:rPr>
          <w:rFonts w:ascii="Times New Roman" w:hAnsi="Times New Roman"/>
          <w:szCs w:val="24"/>
        </w:rPr>
        <w:t>АР</w:t>
      </w:r>
      <w:r w:rsidR="006128C3">
        <w:rPr>
          <w:rFonts w:ascii="Times New Roman" w:hAnsi="Times New Roman"/>
          <w:szCs w:val="24"/>
          <w:lang w:val="sr-Cyrl-BA"/>
        </w:rPr>
        <w:t>П</w:t>
      </w:r>
      <w:r w:rsidR="00D81552">
        <w:rPr>
          <w:rFonts w:ascii="Times New Roman" w:hAnsi="Times New Roman"/>
          <w:szCs w:val="24"/>
        </w:rPr>
        <w:t xml:space="preserve"> </w:t>
      </w:r>
      <w:r>
        <w:rPr>
          <w:rFonts w:ascii="Times New Roman" w:hAnsi="Times New Roman"/>
          <w:szCs w:val="24"/>
        </w:rPr>
        <w:t>БиХ</w:t>
      </w:r>
      <w:r w:rsidR="00D81552">
        <w:rPr>
          <w:rFonts w:ascii="Times New Roman" w:hAnsi="Times New Roman"/>
          <w:szCs w:val="24"/>
        </w:rPr>
        <w:t xml:space="preserve"> </w:t>
      </w:r>
      <w:r>
        <w:rPr>
          <w:rFonts w:ascii="Times New Roman" w:hAnsi="Times New Roman"/>
          <w:szCs w:val="24"/>
        </w:rPr>
        <w:t>МЉПИ</w:t>
      </w:r>
      <w:r w:rsidR="00D81552">
        <w:rPr>
          <w:rFonts w:ascii="Times New Roman" w:hAnsi="Times New Roman"/>
          <w:szCs w:val="24"/>
        </w:rPr>
        <w:t xml:space="preserve"> </w:t>
      </w:r>
      <w:r>
        <w:rPr>
          <w:rFonts w:ascii="Times New Roman" w:hAnsi="Times New Roman"/>
          <w:szCs w:val="24"/>
        </w:rPr>
        <w:t>БиХ</w:t>
      </w:r>
      <w:r w:rsidR="005360F0" w:rsidRPr="00295637">
        <w:rPr>
          <w:rFonts w:ascii="Times New Roman" w:hAnsi="Times New Roman"/>
          <w:szCs w:val="24"/>
        </w:rPr>
        <w:t xml:space="preserve"> </w:t>
      </w:r>
      <w:r>
        <w:rPr>
          <w:rFonts w:ascii="Times New Roman" w:hAnsi="Times New Roman"/>
          <w:szCs w:val="24"/>
        </w:rPr>
        <w:t>је</w:t>
      </w:r>
      <w:r w:rsidR="00D81552" w:rsidRPr="00295637">
        <w:rPr>
          <w:rFonts w:ascii="Times New Roman" w:hAnsi="Times New Roman"/>
          <w:szCs w:val="24"/>
        </w:rPr>
        <w:t xml:space="preserve"> </w:t>
      </w:r>
      <w:r w:rsidR="006F012F">
        <w:rPr>
          <w:rFonts w:ascii="Times New Roman" w:hAnsi="Times New Roman"/>
          <w:szCs w:val="24"/>
        </w:rPr>
        <w:t>координи</w:t>
      </w:r>
      <w:r w:rsidR="006F012F">
        <w:rPr>
          <w:rFonts w:ascii="Times New Roman" w:hAnsi="Times New Roman"/>
          <w:szCs w:val="24"/>
          <w:lang w:val="sr-Cyrl-BA"/>
        </w:rPr>
        <w:t>с</w:t>
      </w:r>
      <w:r w:rsidR="006F012F">
        <w:rPr>
          <w:rFonts w:ascii="Times New Roman" w:hAnsi="Times New Roman"/>
          <w:szCs w:val="24"/>
        </w:rPr>
        <w:t>ала</w:t>
      </w:r>
      <w:r w:rsidR="006F012F" w:rsidRPr="00295637">
        <w:rPr>
          <w:rFonts w:ascii="Times New Roman" w:hAnsi="Times New Roman"/>
          <w:szCs w:val="24"/>
        </w:rPr>
        <w:t xml:space="preserve"> </w:t>
      </w:r>
      <w:r>
        <w:rPr>
          <w:rFonts w:ascii="Times New Roman" w:hAnsi="Times New Roman"/>
          <w:szCs w:val="24"/>
        </w:rPr>
        <w:t>процес</w:t>
      </w:r>
      <w:r w:rsidR="00C66F8F" w:rsidRPr="00295637">
        <w:rPr>
          <w:rFonts w:ascii="Times New Roman" w:hAnsi="Times New Roman"/>
          <w:szCs w:val="24"/>
        </w:rPr>
        <w:t xml:space="preserve"> </w:t>
      </w:r>
      <w:r>
        <w:rPr>
          <w:rFonts w:ascii="Times New Roman" w:hAnsi="Times New Roman"/>
          <w:szCs w:val="24"/>
        </w:rPr>
        <w:t>прикупљања</w:t>
      </w:r>
      <w:r w:rsidR="00C66F8F" w:rsidRPr="00295637">
        <w:rPr>
          <w:rFonts w:ascii="Times New Roman" w:hAnsi="Times New Roman"/>
          <w:szCs w:val="24"/>
        </w:rPr>
        <w:t xml:space="preserve"> </w:t>
      </w:r>
      <w:r>
        <w:rPr>
          <w:rFonts w:ascii="Times New Roman" w:hAnsi="Times New Roman"/>
          <w:szCs w:val="24"/>
        </w:rPr>
        <w:t>информација</w:t>
      </w:r>
      <w:r w:rsidR="00C66F8F" w:rsidRPr="00295637">
        <w:rPr>
          <w:rFonts w:ascii="Times New Roman" w:hAnsi="Times New Roman"/>
          <w:szCs w:val="24"/>
        </w:rPr>
        <w:t xml:space="preserve"> </w:t>
      </w:r>
      <w:r>
        <w:rPr>
          <w:rFonts w:ascii="Times New Roman" w:hAnsi="Times New Roman"/>
          <w:szCs w:val="24"/>
        </w:rPr>
        <w:t>и</w:t>
      </w:r>
      <w:r w:rsidR="00C66F8F" w:rsidRPr="00295637">
        <w:rPr>
          <w:rFonts w:ascii="Times New Roman" w:hAnsi="Times New Roman"/>
          <w:szCs w:val="24"/>
        </w:rPr>
        <w:t xml:space="preserve"> </w:t>
      </w:r>
      <w:r>
        <w:rPr>
          <w:rFonts w:ascii="Times New Roman" w:hAnsi="Times New Roman"/>
          <w:szCs w:val="24"/>
        </w:rPr>
        <w:t>финализ</w:t>
      </w:r>
      <w:r w:rsidR="006128C3">
        <w:rPr>
          <w:rFonts w:ascii="Times New Roman" w:hAnsi="Times New Roman"/>
          <w:szCs w:val="24"/>
          <w:lang w:val="sr-Cyrl-BA"/>
        </w:rPr>
        <w:t>овање</w:t>
      </w:r>
      <w:r w:rsidR="00C66F8F" w:rsidRPr="00295637">
        <w:rPr>
          <w:rFonts w:ascii="Times New Roman" w:hAnsi="Times New Roman"/>
          <w:szCs w:val="24"/>
        </w:rPr>
        <w:t xml:space="preserve"> </w:t>
      </w:r>
      <w:r>
        <w:rPr>
          <w:rFonts w:ascii="Times New Roman" w:hAnsi="Times New Roman"/>
          <w:szCs w:val="24"/>
        </w:rPr>
        <w:t>извјештаја</w:t>
      </w:r>
      <w:r w:rsidR="00C66F8F" w:rsidRPr="00295637">
        <w:rPr>
          <w:rFonts w:ascii="Times New Roman" w:hAnsi="Times New Roman"/>
          <w:szCs w:val="24"/>
        </w:rPr>
        <w:t xml:space="preserve"> </w:t>
      </w:r>
      <w:r>
        <w:rPr>
          <w:rFonts w:ascii="Times New Roman" w:hAnsi="Times New Roman"/>
          <w:szCs w:val="24"/>
        </w:rPr>
        <w:t>о</w:t>
      </w:r>
      <w:r w:rsidR="00C66F8F" w:rsidRPr="00295637">
        <w:rPr>
          <w:rFonts w:ascii="Times New Roman" w:hAnsi="Times New Roman"/>
          <w:szCs w:val="24"/>
        </w:rPr>
        <w:t xml:space="preserve"> </w:t>
      </w:r>
      <w:r w:rsidR="006128C3">
        <w:rPr>
          <w:rFonts w:ascii="Times New Roman" w:hAnsi="Times New Roman"/>
          <w:szCs w:val="24"/>
          <w:lang w:val="sr-Cyrl-BA"/>
        </w:rPr>
        <w:t>спровођењу</w:t>
      </w:r>
      <w:r w:rsidR="00C66F8F" w:rsidRPr="00295637">
        <w:rPr>
          <w:rFonts w:ascii="Times New Roman" w:hAnsi="Times New Roman"/>
          <w:szCs w:val="24"/>
        </w:rPr>
        <w:t xml:space="preserve"> </w:t>
      </w:r>
      <w:r>
        <w:rPr>
          <w:rFonts w:ascii="Times New Roman" w:hAnsi="Times New Roman"/>
          <w:szCs w:val="24"/>
          <w:lang w:val="bs-Latn-BA"/>
        </w:rPr>
        <w:t>Препорука</w:t>
      </w:r>
      <w:r w:rsidR="00D34684" w:rsidRPr="00295637">
        <w:rPr>
          <w:rFonts w:ascii="Times New Roman" w:hAnsi="Times New Roman"/>
          <w:szCs w:val="24"/>
          <w:lang w:val="bs-Latn-BA"/>
        </w:rPr>
        <w:t xml:space="preserve"> </w:t>
      </w:r>
      <w:r>
        <w:rPr>
          <w:rFonts w:ascii="Times New Roman" w:hAnsi="Times New Roman"/>
          <w:szCs w:val="24"/>
          <w:lang w:val="bs-Latn-BA"/>
        </w:rPr>
        <w:t>Комитета</w:t>
      </w:r>
      <w:r w:rsidR="00D34684" w:rsidRPr="00295637">
        <w:rPr>
          <w:rFonts w:ascii="Times New Roman" w:hAnsi="Times New Roman"/>
          <w:szCs w:val="24"/>
          <w:lang w:val="bs-Latn-BA"/>
        </w:rPr>
        <w:t xml:space="preserve"> </w:t>
      </w:r>
      <w:r>
        <w:rPr>
          <w:rFonts w:ascii="Times New Roman" w:hAnsi="Times New Roman"/>
          <w:szCs w:val="24"/>
          <w:lang w:val="bs-Latn-BA"/>
        </w:rPr>
        <w:t>министара</w:t>
      </w:r>
      <w:r w:rsidR="00D34684" w:rsidRPr="00295637">
        <w:rPr>
          <w:rFonts w:ascii="Times New Roman" w:hAnsi="Times New Roman"/>
          <w:szCs w:val="24"/>
          <w:lang w:val="bs-Latn-BA"/>
        </w:rPr>
        <w:t xml:space="preserve"> </w:t>
      </w:r>
      <w:r w:rsidR="006128C3">
        <w:rPr>
          <w:rFonts w:ascii="Times New Roman" w:hAnsi="Times New Roman"/>
          <w:szCs w:val="24"/>
          <w:lang w:val="sr-Cyrl-BA"/>
        </w:rPr>
        <w:t>С</w:t>
      </w:r>
      <w:r>
        <w:rPr>
          <w:rFonts w:ascii="Times New Roman" w:hAnsi="Times New Roman"/>
          <w:szCs w:val="24"/>
          <w:lang w:val="bs-Latn-BA"/>
        </w:rPr>
        <w:t>Е</w:t>
      </w:r>
      <w:r w:rsidR="00D34684" w:rsidRPr="00295637">
        <w:rPr>
          <w:rFonts w:ascii="Times New Roman" w:hAnsi="Times New Roman"/>
          <w:szCs w:val="24"/>
          <w:lang w:val="bs-Latn-BA"/>
        </w:rPr>
        <w:t xml:space="preserve"> </w:t>
      </w:r>
      <w:r w:rsidR="006128C3" w:rsidRPr="006128C3">
        <w:rPr>
          <w:rFonts w:ascii="Times New Roman" w:hAnsi="Times New Roman"/>
          <w:i/>
          <w:szCs w:val="24"/>
          <w:lang w:val="bs-Latn-BA"/>
        </w:rPr>
        <w:t>CM/Rec (2010)5</w:t>
      </w:r>
      <w:r w:rsidR="006128C3">
        <w:rPr>
          <w:rFonts w:ascii="Times New Roman" w:hAnsi="Times New Roman"/>
          <w:szCs w:val="24"/>
          <w:lang w:val="sr-Cyrl-BA"/>
        </w:rPr>
        <w:t xml:space="preserve"> </w:t>
      </w:r>
      <w:r>
        <w:rPr>
          <w:rFonts w:ascii="Times New Roman" w:hAnsi="Times New Roman"/>
          <w:szCs w:val="24"/>
          <w:lang w:val="bs-Latn-BA"/>
        </w:rPr>
        <w:t>о</w:t>
      </w:r>
      <w:r w:rsidR="00D34684" w:rsidRPr="00295637">
        <w:rPr>
          <w:rFonts w:ascii="Times New Roman" w:hAnsi="Times New Roman"/>
          <w:szCs w:val="24"/>
          <w:lang w:val="bs-Latn-BA"/>
        </w:rPr>
        <w:t xml:space="preserve"> </w:t>
      </w:r>
      <w:r>
        <w:rPr>
          <w:rFonts w:ascii="Times New Roman" w:hAnsi="Times New Roman"/>
          <w:szCs w:val="24"/>
          <w:lang w:val="bs-Latn-BA"/>
        </w:rPr>
        <w:t>мјерама</w:t>
      </w:r>
      <w:r w:rsidR="00D34684" w:rsidRPr="00295637">
        <w:rPr>
          <w:rFonts w:ascii="Times New Roman" w:hAnsi="Times New Roman"/>
          <w:szCs w:val="24"/>
          <w:lang w:val="bs-Latn-BA"/>
        </w:rPr>
        <w:t xml:space="preserve"> </w:t>
      </w:r>
      <w:r>
        <w:rPr>
          <w:rFonts w:ascii="Times New Roman" w:hAnsi="Times New Roman"/>
          <w:szCs w:val="24"/>
          <w:lang w:val="bs-Latn-BA"/>
        </w:rPr>
        <w:t>за</w:t>
      </w:r>
      <w:r w:rsidR="00D34684" w:rsidRPr="00295637">
        <w:rPr>
          <w:rFonts w:ascii="Times New Roman" w:hAnsi="Times New Roman"/>
          <w:szCs w:val="24"/>
          <w:lang w:val="bs-Latn-BA"/>
        </w:rPr>
        <w:t xml:space="preserve"> </w:t>
      </w:r>
      <w:r>
        <w:rPr>
          <w:rFonts w:ascii="Times New Roman" w:hAnsi="Times New Roman"/>
          <w:szCs w:val="24"/>
          <w:lang w:val="bs-Latn-BA"/>
        </w:rPr>
        <w:t>борбу</w:t>
      </w:r>
      <w:r w:rsidR="00D34684" w:rsidRPr="00295637">
        <w:rPr>
          <w:rFonts w:ascii="Times New Roman" w:hAnsi="Times New Roman"/>
          <w:szCs w:val="24"/>
          <w:lang w:val="bs-Latn-BA"/>
        </w:rPr>
        <w:t xml:space="preserve"> </w:t>
      </w:r>
      <w:r>
        <w:rPr>
          <w:rFonts w:ascii="Times New Roman" w:hAnsi="Times New Roman"/>
          <w:szCs w:val="24"/>
          <w:lang w:val="bs-Latn-BA"/>
        </w:rPr>
        <w:t>против</w:t>
      </w:r>
      <w:r w:rsidR="00D34684"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D34684" w:rsidRPr="00295637">
        <w:rPr>
          <w:rFonts w:ascii="Times New Roman" w:hAnsi="Times New Roman"/>
          <w:szCs w:val="24"/>
          <w:lang w:val="bs-Latn-BA"/>
        </w:rPr>
        <w:t xml:space="preserve"> </w:t>
      </w:r>
      <w:r>
        <w:rPr>
          <w:rFonts w:ascii="Times New Roman" w:hAnsi="Times New Roman"/>
          <w:szCs w:val="24"/>
          <w:lang w:val="bs-Latn-BA"/>
        </w:rPr>
        <w:t>по</w:t>
      </w:r>
      <w:r w:rsidR="00D34684" w:rsidRPr="00295637">
        <w:rPr>
          <w:rFonts w:ascii="Times New Roman" w:hAnsi="Times New Roman"/>
          <w:szCs w:val="24"/>
          <w:lang w:val="bs-Latn-BA"/>
        </w:rPr>
        <w:t xml:space="preserve"> </w:t>
      </w:r>
      <w:r>
        <w:rPr>
          <w:rFonts w:ascii="Times New Roman" w:hAnsi="Times New Roman"/>
          <w:szCs w:val="24"/>
          <w:lang w:val="bs-Latn-BA"/>
        </w:rPr>
        <w:t>основу</w:t>
      </w:r>
      <w:r w:rsidR="00D34684" w:rsidRPr="00295637">
        <w:rPr>
          <w:rFonts w:ascii="Times New Roman" w:hAnsi="Times New Roman"/>
          <w:szCs w:val="24"/>
          <w:lang w:val="bs-Latn-BA"/>
        </w:rPr>
        <w:t xml:space="preserve"> </w:t>
      </w:r>
      <w:r>
        <w:rPr>
          <w:rFonts w:ascii="Times New Roman" w:hAnsi="Times New Roman"/>
          <w:szCs w:val="24"/>
          <w:lang w:val="bs-Latn-BA"/>
        </w:rPr>
        <w:t>сексуалне</w:t>
      </w:r>
      <w:r w:rsidR="00D34684" w:rsidRPr="00295637">
        <w:rPr>
          <w:rFonts w:ascii="Times New Roman" w:hAnsi="Times New Roman"/>
          <w:szCs w:val="24"/>
          <w:lang w:val="bs-Latn-BA"/>
        </w:rPr>
        <w:t xml:space="preserve"> </w:t>
      </w:r>
      <w:r>
        <w:rPr>
          <w:rFonts w:ascii="Times New Roman" w:hAnsi="Times New Roman"/>
          <w:szCs w:val="24"/>
          <w:lang w:val="bs-Latn-BA"/>
        </w:rPr>
        <w:t>оријентације</w:t>
      </w:r>
      <w:r w:rsidR="00D34684" w:rsidRPr="00295637">
        <w:rPr>
          <w:rFonts w:ascii="Times New Roman" w:hAnsi="Times New Roman"/>
          <w:szCs w:val="24"/>
          <w:lang w:val="bs-Latn-BA"/>
        </w:rPr>
        <w:t xml:space="preserve"> </w:t>
      </w:r>
      <w:r>
        <w:rPr>
          <w:rFonts w:ascii="Times New Roman" w:hAnsi="Times New Roman"/>
          <w:szCs w:val="24"/>
          <w:lang w:val="bs-Latn-BA"/>
        </w:rPr>
        <w:t>или</w:t>
      </w:r>
      <w:r w:rsidR="00D34684" w:rsidRPr="00295637">
        <w:rPr>
          <w:rFonts w:ascii="Times New Roman" w:hAnsi="Times New Roman"/>
          <w:szCs w:val="24"/>
          <w:lang w:val="bs-Latn-BA"/>
        </w:rPr>
        <w:t xml:space="preserve"> </w:t>
      </w:r>
      <w:r>
        <w:rPr>
          <w:rFonts w:ascii="Times New Roman" w:hAnsi="Times New Roman"/>
          <w:szCs w:val="24"/>
          <w:lang w:val="bs-Latn-BA"/>
        </w:rPr>
        <w:t>родног</w:t>
      </w:r>
      <w:r w:rsidR="00D34684" w:rsidRPr="00295637">
        <w:rPr>
          <w:rFonts w:ascii="Times New Roman" w:hAnsi="Times New Roman"/>
          <w:szCs w:val="24"/>
          <w:lang w:val="bs-Latn-BA"/>
        </w:rPr>
        <w:t xml:space="preserve"> </w:t>
      </w:r>
      <w:r>
        <w:rPr>
          <w:rFonts w:ascii="Times New Roman" w:hAnsi="Times New Roman"/>
          <w:szCs w:val="24"/>
          <w:lang w:val="bs-Latn-BA"/>
        </w:rPr>
        <w:t>идентитета</w:t>
      </w:r>
      <w:r w:rsidR="00C66F8F" w:rsidRPr="00295637">
        <w:rPr>
          <w:rFonts w:ascii="Times New Roman" w:hAnsi="Times New Roman"/>
          <w:szCs w:val="24"/>
        </w:rPr>
        <w:t xml:space="preserve">, </w:t>
      </w:r>
      <w:r>
        <w:rPr>
          <w:rFonts w:ascii="Times New Roman" w:hAnsi="Times New Roman"/>
          <w:szCs w:val="24"/>
        </w:rPr>
        <w:t>и</w:t>
      </w:r>
      <w:r w:rsidR="00C66F8F" w:rsidRPr="00295637">
        <w:rPr>
          <w:rFonts w:ascii="Times New Roman" w:hAnsi="Times New Roman"/>
          <w:szCs w:val="24"/>
        </w:rPr>
        <w:t xml:space="preserve"> </w:t>
      </w:r>
      <w:r>
        <w:rPr>
          <w:rFonts w:ascii="Times New Roman" w:hAnsi="Times New Roman"/>
          <w:szCs w:val="24"/>
        </w:rPr>
        <w:t>достављала</w:t>
      </w:r>
      <w:r w:rsidR="00C66F8F" w:rsidRPr="00295637">
        <w:rPr>
          <w:rFonts w:ascii="Times New Roman" w:hAnsi="Times New Roman"/>
          <w:szCs w:val="24"/>
        </w:rPr>
        <w:t xml:space="preserve"> </w:t>
      </w:r>
      <w:r>
        <w:rPr>
          <w:rFonts w:ascii="Times New Roman" w:hAnsi="Times New Roman"/>
          <w:szCs w:val="24"/>
        </w:rPr>
        <w:t>информације</w:t>
      </w:r>
      <w:r w:rsidR="00C66F8F" w:rsidRPr="00295637">
        <w:rPr>
          <w:rFonts w:ascii="Times New Roman" w:hAnsi="Times New Roman"/>
          <w:szCs w:val="24"/>
        </w:rPr>
        <w:t xml:space="preserve"> </w:t>
      </w:r>
      <w:r>
        <w:rPr>
          <w:rFonts w:ascii="Times New Roman" w:hAnsi="Times New Roman"/>
          <w:szCs w:val="24"/>
        </w:rPr>
        <w:t>у</w:t>
      </w:r>
      <w:r w:rsidR="00944633">
        <w:rPr>
          <w:rFonts w:ascii="Times New Roman" w:hAnsi="Times New Roman"/>
          <w:szCs w:val="24"/>
        </w:rPr>
        <w:t xml:space="preserve"> </w:t>
      </w:r>
      <w:r>
        <w:rPr>
          <w:rFonts w:ascii="Times New Roman" w:hAnsi="Times New Roman"/>
          <w:szCs w:val="24"/>
        </w:rPr>
        <w:t>вези</w:t>
      </w:r>
      <w:r w:rsidR="00944633">
        <w:rPr>
          <w:rFonts w:ascii="Times New Roman" w:hAnsi="Times New Roman"/>
          <w:szCs w:val="24"/>
        </w:rPr>
        <w:t xml:space="preserve"> </w:t>
      </w:r>
      <w:r>
        <w:rPr>
          <w:rFonts w:ascii="Times New Roman" w:hAnsi="Times New Roman"/>
          <w:szCs w:val="24"/>
        </w:rPr>
        <w:t>са</w:t>
      </w:r>
      <w:r w:rsidR="00C66F8F" w:rsidRPr="00295637">
        <w:rPr>
          <w:rFonts w:ascii="Times New Roman" w:hAnsi="Times New Roman"/>
          <w:szCs w:val="24"/>
        </w:rPr>
        <w:t xml:space="preserve"> </w:t>
      </w:r>
      <w:r>
        <w:rPr>
          <w:rFonts w:ascii="Times New Roman" w:hAnsi="Times New Roman"/>
          <w:szCs w:val="24"/>
        </w:rPr>
        <w:t>стањем</w:t>
      </w:r>
      <w:r w:rsidR="00C66F8F" w:rsidRPr="00295637">
        <w:rPr>
          <w:rFonts w:ascii="Times New Roman" w:hAnsi="Times New Roman"/>
          <w:szCs w:val="24"/>
        </w:rPr>
        <w:t xml:space="preserve"> </w:t>
      </w:r>
      <w:r>
        <w:rPr>
          <w:rFonts w:ascii="Times New Roman" w:hAnsi="Times New Roman"/>
          <w:szCs w:val="24"/>
        </w:rPr>
        <w:t>равноправности</w:t>
      </w:r>
      <w:r w:rsidR="00C66F8F" w:rsidRPr="00295637">
        <w:rPr>
          <w:rFonts w:ascii="Times New Roman" w:hAnsi="Times New Roman"/>
          <w:szCs w:val="24"/>
        </w:rPr>
        <w:t xml:space="preserve"> </w:t>
      </w:r>
      <w:r>
        <w:rPr>
          <w:rFonts w:ascii="Times New Roman" w:hAnsi="Times New Roman"/>
          <w:szCs w:val="24"/>
        </w:rPr>
        <w:t>полова</w:t>
      </w:r>
      <w:r w:rsidR="00C66F8F" w:rsidRPr="00295637">
        <w:rPr>
          <w:rFonts w:ascii="Times New Roman" w:hAnsi="Times New Roman"/>
          <w:szCs w:val="24"/>
        </w:rPr>
        <w:t xml:space="preserve"> </w:t>
      </w:r>
      <w:r>
        <w:rPr>
          <w:rFonts w:ascii="Times New Roman" w:hAnsi="Times New Roman"/>
          <w:szCs w:val="24"/>
        </w:rPr>
        <w:t>и</w:t>
      </w:r>
      <w:r w:rsidR="00C66F8F" w:rsidRPr="00295637">
        <w:rPr>
          <w:rFonts w:ascii="Times New Roman" w:hAnsi="Times New Roman"/>
          <w:szCs w:val="24"/>
        </w:rPr>
        <w:t xml:space="preserve"> </w:t>
      </w:r>
      <w:r w:rsidR="006128C3">
        <w:rPr>
          <w:rFonts w:ascii="Times New Roman" w:hAnsi="Times New Roman"/>
          <w:szCs w:val="24"/>
          <w:lang w:val="sr-Cyrl-BA"/>
        </w:rPr>
        <w:t>спровођење</w:t>
      </w:r>
      <w:r w:rsidR="00C66F8F" w:rsidRPr="00295637">
        <w:rPr>
          <w:rFonts w:ascii="Times New Roman" w:hAnsi="Times New Roman"/>
          <w:szCs w:val="24"/>
        </w:rPr>
        <w:t xml:space="preserve"> </w:t>
      </w:r>
      <w:r>
        <w:rPr>
          <w:rFonts w:ascii="Times New Roman" w:hAnsi="Times New Roman"/>
          <w:szCs w:val="24"/>
        </w:rPr>
        <w:t>међународних</w:t>
      </w:r>
      <w:r w:rsidR="00C66F8F" w:rsidRPr="00295637">
        <w:rPr>
          <w:rFonts w:ascii="Times New Roman" w:hAnsi="Times New Roman"/>
          <w:szCs w:val="24"/>
        </w:rPr>
        <w:t xml:space="preserve"> </w:t>
      </w:r>
      <w:r>
        <w:rPr>
          <w:rFonts w:ascii="Times New Roman" w:hAnsi="Times New Roman"/>
          <w:szCs w:val="24"/>
        </w:rPr>
        <w:t>обавеза</w:t>
      </w:r>
      <w:r w:rsidR="00C66F8F" w:rsidRPr="00295637">
        <w:rPr>
          <w:rFonts w:ascii="Times New Roman" w:hAnsi="Times New Roman"/>
          <w:szCs w:val="24"/>
        </w:rPr>
        <w:t xml:space="preserve"> </w:t>
      </w:r>
      <w:r>
        <w:rPr>
          <w:rFonts w:ascii="Times New Roman" w:hAnsi="Times New Roman"/>
          <w:szCs w:val="24"/>
        </w:rPr>
        <w:t>и</w:t>
      </w:r>
      <w:r w:rsidR="00C66F8F" w:rsidRPr="00295637">
        <w:rPr>
          <w:rFonts w:ascii="Times New Roman" w:hAnsi="Times New Roman"/>
          <w:szCs w:val="24"/>
        </w:rPr>
        <w:t xml:space="preserve"> </w:t>
      </w:r>
      <w:r>
        <w:rPr>
          <w:rFonts w:ascii="Times New Roman" w:hAnsi="Times New Roman"/>
          <w:szCs w:val="24"/>
        </w:rPr>
        <w:t>препорука</w:t>
      </w:r>
      <w:r w:rsidR="00C66F8F" w:rsidRPr="00295637">
        <w:rPr>
          <w:rFonts w:ascii="Times New Roman" w:hAnsi="Times New Roman"/>
          <w:szCs w:val="24"/>
        </w:rPr>
        <w:t xml:space="preserve"> </w:t>
      </w:r>
      <w:r>
        <w:rPr>
          <w:rFonts w:ascii="Times New Roman" w:hAnsi="Times New Roman"/>
          <w:szCs w:val="24"/>
        </w:rPr>
        <w:t>за</w:t>
      </w:r>
      <w:r w:rsidR="00C66F8F" w:rsidRPr="00295637">
        <w:rPr>
          <w:rFonts w:ascii="Times New Roman" w:hAnsi="Times New Roman"/>
          <w:szCs w:val="24"/>
        </w:rPr>
        <w:t xml:space="preserve"> </w:t>
      </w:r>
      <w:r>
        <w:rPr>
          <w:rFonts w:ascii="Times New Roman" w:hAnsi="Times New Roman"/>
          <w:szCs w:val="24"/>
        </w:rPr>
        <w:t>извјештаје</w:t>
      </w:r>
      <w:r w:rsidR="00C66F8F" w:rsidRPr="00295637">
        <w:rPr>
          <w:rFonts w:ascii="Times New Roman" w:hAnsi="Times New Roman"/>
          <w:szCs w:val="24"/>
        </w:rPr>
        <w:t xml:space="preserve"> </w:t>
      </w:r>
      <w:r>
        <w:rPr>
          <w:rFonts w:ascii="Times New Roman" w:hAnsi="Times New Roman"/>
          <w:szCs w:val="24"/>
        </w:rPr>
        <w:t>УПР</w:t>
      </w:r>
      <w:r w:rsidR="00C905C4" w:rsidRPr="00295637">
        <w:rPr>
          <w:rFonts w:ascii="Times New Roman" w:hAnsi="Times New Roman"/>
          <w:szCs w:val="24"/>
        </w:rPr>
        <w:t>,</w:t>
      </w:r>
      <w:r w:rsidR="00C66F8F" w:rsidRPr="00295637">
        <w:rPr>
          <w:rFonts w:ascii="Times New Roman" w:hAnsi="Times New Roman"/>
          <w:szCs w:val="24"/>
        </w:rPr>
        <w:t xml:space="preserve"> </w:t>
      </w:r>
      <w:r>
        <w:rPr>
          <w:rFonts w:ascii="Times New Roman" w:hAnsi="Times New Roman"/>
          <w:szCs w:val="24"/>
        </w:rPr>
        <w:t>као</w:t>
      </w:r>
      <w:r w:rsidR="00C66F8F" w:rsidRPr="00295637">
        <w:rPr>
          <w:rFonts w:ascii="Times New Roman" w:hAnsi="Times New Roman"/>
          <w:szCs w:val="24"/>
        </w:rPr>
        <w:t xml:space="preserve"> </w:t>
      </w:r>
      <w:r>
        <w:rPr>
          <w:rFonts w:ascii="Times New Roman" w:hAnsi="Times New Roman"/>
          <w:szCs w:val="24"/>
        </w:rPr>
        <w:t>и</w:t>
      </w:r>
      <w:r w:rsidR="00C66F8F" w:rsidRPr="00295637">
        <w:rPr>
          <w:rFonts w:ascii="Times New Roman" w:hAnsi="Times New Roman"/>
          <w:szCs w:val="24"/>
        </w:rPr>
        <w:t xml:space="preserve"> </w:t>
      </w:r>
      <w:r>
        <w:rPr>
          <w:rFonts w:ascii="Times New Roman" w:hAnsi="Times New Roman"/>
          <w:szCs w:val="24"/>
        </w:rPr>
        <w:t>прилоге</w:t>
      </w:r>
      <w:r w:rsidR="00C66F8F" w:rsidRPr="00295637">
        <w:rPr>
          <w:rFonts w:ascii="Times New Roman" w:hAnsi="Times New Roman"/>
          <w:szCs w:val="24"/>
        </w:rPr>
        <w:t xml:space="preserve"> </w:t>
      </w:r>
      <w:r>
        <w:rPr>
          <w:rFonts w:ascii="Times New Roman" w:hAnsi="Times New Roman"/>
          <w:szCs w:val="24"/>
        </w:rPr>
        <w:t>за</w:t>
      </w:r>
      <w:r w:rsidR="00C66F8F" w:rsidRPr="00295637">
        <w:rPr>
          <w:rFonts w:ascii="Times New Roman" w:hAnsi="Times New Roman"/>
          <w:szCs w:val="24"/>
        </w:rPr>
        <w:t xml:space="preserve"> </w:t>
      </w:r>
      <w:r>
        <w:rPr>
          <w:rFonts w:ascii="Times New Roman" w:hAnsi="Times New Roman"/>
          <w:szCs w:val="24"/>
        </w:rPr>
        <w:t>Извјештај</w:t>
      </w:r>
      <w:r w:rsidR="00C66F8F" w:rsidRPr="00295637">
        <w:rPr>
          <w:rFonts w:ascii="Times New Roman" w:hAnsi="Times New Roman"/>
          <w:szCs w:val="24"/>
        </w:rPr>
        <w:t xml:space="preserve"> </w:t>
      </w:r>
      <w:r>
        <w:rPr>
          <w:rFonts w:ascii="Times New Roman" w:hAnsi="Times New Roman"/>
          <w:szCs w:val="24"/>
        </w:rPr>
        <w:t>за</w:t>
      </w:r>
      <w:r w:rsidR="00C66F8F" w:rsidRPr="00295637">
        <w:rPr>
          <w:rFonts w:ascii="Times New Roman" w:hAnsi="Times New Roman"/>
          <w:szCs w:val="24"/>
        </w:rPr>
        <w:t xml:space="preserve"> </w:t>
      </w:r>
      <w:r>
        <w:rPr>
          <w:rFonts w:ascii="Times New Roman" w:hAnsi="Times New Roman"/>
          <w:szCs w:val="24"/>
        </w:rPr>
        <w:t>праћење</w:t>
      </w:r>
      <w:r w:rsidR="00C66F8F" w:rsidRPr="00295637">
        <w:rPr>
          <w:rFonts w:ascii="Times New Roman" w:hAnsi="Times New Roman"/>
          <w:szCs w:val="24"/>
        </w:rPr>
        <w:t xml:space="preserve"> </w:t>
      </w:r>
      <w:r>
        <w:rPr>
          <w:rFonts w:ascii="Times New Roman" w:hAnsi="Times New Roman"/>
          <w:szCs w:val="24"/>
        </w:rPr>
        <w:t>конвенције</w:t>
      </w:r>
      <w:r w:rsidR="00C66F8F" w:rsidRPr="00295637">
        <w:rPr>
          <w:rFonts w:ascii="Times New Roman" w:hAnsi="Times New Roman"/>
          <w:szCs w:val="24"/>
        </w:rPr>
        <w:t xml:space="preserve"> </w:t>
      </w:r>
      <w:r w:rsidR="006128C3">
        <w:rPr>
          <w:rFonts w:ascii="Times New Roman" w:hAnsi="Times New Roman"/>
          <w:szCs w:val="24"/>
          <w:lang w:val="sr-Cyrl-BA"/>
        </w:rPr>
        <w:t>Савјета</w:t>
      </w:r>
      <w:r w:rsidR="00C66F8F" w:rsidRPr="00295637">
        <w:rPr>
          <w:rFonts w:ascii="Times New Roman" w:hAnsi="Times New Roman"/>
          <w:szCs w:val="24"/>
        </w:rPr>
        <w:t xml:space="preserve"> </w:t>
      </w:r>
      <w:r>
        <w:rPr>
          <w:rFonts w:ascii="Times New Roman" w:hAnsi="Times New Roman"/>
          <w:szCs w:val="24"/>
        </w:rPr>
        <w:t>Европе</w:t>
      </w:r>
      <w:r w:rsidR="00C66F8F" w:rsidRPr="00295637">
        <w:rPr>
          <w:rFonts w:ascii="Times New Roman" w:hAnsi="Times New Roman"/>
          <w:szCs w:val="24"/>
        </w:rPr>
        <w:t xml:space="preserve"> </w:t>
      </w:r>
      <w:r>
        <w:rPr>
          <w:rFonts w:ascii="Times New Roman" w:hAnsi="Times New Roman"/>
          <w:szCs w:val="24"/>
        </w:rPr>
        <w:t>о</w:t>
      </w:r>
      <w:r w:rsidR="00C66F8F" w:rsidRPr="00295637">
        <w:rPr>
          <w:rFonts w:ascii="Times New Roman" w:hAnsi="Times New Roman"/>
          <w:szCs w:val="24"/>
        </w:rPr>
        <w:t xml:space="preserve"> </w:t>
      </w:r>
      <w:r>
        <w:rPr>
          <w:rFonts w:ascii="Times New Roman" w:hAnsi="Times New Roman"/>
          <w:szCs w:val="24"/>
        </w:rPr>
        <w:t>сузбијању</w:t>
      </w:r>
      <w:r w:rsidR="00C66F8F" w:rsidRPr="00295637">
        <w:rPr>
          <w:rFonts w:ascii="Times New Roman" w:hAnsi="Times New Roman"/>
          <w:szCs w:val="24"/>
        </w:rPr>
        <w:t xml:space="preserve"> </w:t>
      </w:r>
      <w:r>
        <w:rPr>
          <w:rFonts w:ascii="Times New Roman" w:hAnsi="Times New Roman"/>
          <w:szCs w:val="24"/>
        </w:rPr>
        <w:t>трговине</w:t>
      </w:r>
      <w:r w:rsidR="00C66F8F" w:rsidRPr="00295637">
        <w:rPr>
          <w:rFonts w:ascii="Times New Roman" w:hAnsi="Times New Roman"/>
          <w:szCs w:val="24"/>
        </w:rPr>
        <w:t xml:space="preserve"> </w:t>
      </w:r>
      <w:r>
        <w:rPr>
          <w:rFonts w:ascii="Times New Roman" w:hAnsi="Times New Roman"/>
          <w:szCs w:val="24"/>
        </w:rPr>
        <w:t>људима</w:t>
      </w:r>
      <w:r w:rsidR="00C66F8F" w:rsidRPr="00295637">
        <w:rPr>
          <w:rFonts w:ascii="Times New Roman" w:hAnsi="Times New Roman"/>
          <w:szCs w:val="24"/>
        </w:rPr>
        <w:t xml:space="preserve"> (</w:t>
      </w:r>
      <w:r w:rsidR="006128C3" w:rsidRPr="006128C3">
        <w:rPr>
          <w:rFonts w:ascii="Times New Roman" w:hAnsi="Times New Roman"/>
          <w:i/>
          <w:szCs w:val="24"/>
        </w:rPr>
        <w:t>GRETA</w:t>
      </w:r>
      <w:r w:rsidR="00C66F8F" w:rsidRPr="00295637">
        <w:rPr>
          <w:rFonts w:ascii="Times New Roman" w:hAnsi="Times New Roman"/>
          <w:szCs w:val="24"/>
        </w:rPr>
        <w:t>).</w:t>
      </w:r>
      <w:r w:rsidR="00CE2C70" w:rsidRPr="00295637">
        <w:rPr>
          <w:rFonts w:ascii="Times New Roman" w:hAnsi="Times New Roman"/>
          <w:szCs w:val="24"/>
          <w:lang w:val="bs-Latn-BA"/>
        </w:rPr>
        <w:t xml:space="preserve"> </w:t>
      </w:r>
    </w:p>
    <w:p w:rsidR="00195ECF" w:rsidRPr="00295637" w:rsidRDefault="00195ECF" w:rsidP="0086268D">
      <w:pPr>
        <w:jc w:val="both"/>
        <w:rPr>
          <w:rFonts w:ascii="Times New Roman" w:hAnsi="Times New Roman"/>
          <w:szCs w:val="24"/>
          <w:lang w:val="bs-Latn-BA"/>
        </w:rPr>
      </w:pPr>
    </w:p>
    <w:p w:rsidR="008A17CE" w:rsidRDefault="00C6214E" w:rsidP="0086268D">
      <w:pPr>
        <w:pStyle w:val="Normal1"/>
        <w:jc w:val="both"/>
        <w:rPr>
          <w:rFonts w:ascii="Times New Roman" w:hAnsi="Times New Roman"/>
        </w:rPr>
      </w:pPr>
      <w:r>
        <w:rPr>
          <w:rFonts w:ascii="Times New Roman" w:hAnsi="Times New Roman"/>
        </w:rPr>
        <w:t>У</w:t>
      </w:r>
      <w:r w:rsidR="00AE099A" w:rsidRPr="00295637">
        <w:rPr>
          <w:rFonts w:ascii="Times New Roman" w:hAnsi="Times New Roman"/>
        </w:rPr>
        <w:t xml:space="preserve"> </w:t>
      </w:r>
      <w:r>
        <w:rPr>
          <w:rFonts w:ascii="Times New Roman" w:hAnsi="Times New Roman"/>
        </w:rPr>
        <w:t>контексту</w:t>
      </w:r>
      <w:r w:rsidR="00AE099A" w:rsidRPr="00295637">
        <w:rPr>
          <w:rFonts w:ascii="Times New Roman" w:hAnsi="Times New Roman"/>
        </w:rPr>
        <w:t xml:space="preserve"> </w:t>
      </w:r>
      <w:r>
        <w:rPr>
          <w:rFonts w:ascii="Times New Roman" w:hAnsi="Times New Roman"/>
        </w:rPr>
        <w:t>процеса</w:t>
      </w:r>
      <w:r w:rsidR="00AE099A" w:rsidRPr="00295637">
        <w:rPr>
          <w:rFonts w:ascii="Times New Roman" w:hAnsi="Times New Roman"/>
        </w:rPr>
        <w:t xml:space="preserve"> </w:t>
      </w:r>
      <w:r>
        <w:rPr>
          <w:rFonts w:ascii="Times New Roman" w:hAnsi="Times New Roman"/>
        </w:rPr>
        <w:t>европских</w:t>
      </w:r>
      <w:r w:rsidR="00AE099A" w:rsidRPr="00295637">
        <w:rPr>
          <w:rFonts w:ascii="Times New Roman" w:hAnsi="Times New Roman"/>
        </w:rPr>
        <w:t xml:space="preserve"> </w:t>
      </w:r>
      <w:r>
        <w:rPr>
          <w:rFonts w:ascii="Times New Roman" w:hAnsi="Times New Roman"/>
        </w:rPr>
        <w:t>интеграција</w:t>
      </w:r>
      <w:r w:rsidR="00AE099A" w:rsidRPr="00295637">
        <w:rPr>
          <w:rFonts w:ascii="Times New Roman" w:hAnsi="Times New Roman"/>
        </w:rPr>
        <w:t xml:space="preserve">, </w:t>
      </w:r>
      <w:r>
        <w:rPr>
          <w:rFonts w:ascii="Times New Roman" w:hAnsi="Times New Roman"/>
        </w:rPr>
        <w:t>АР</w:t>
      </w:r>
      <w:r w:rsidR="006128C3">
        <w:rPr>
          <w:rFonts w:ascii="Times New Roman" w:hAnsi="Times New Roman"/>
          <w:lang w:val="sr-Cyrl-BA"/>
        </w:rPr>
        <w:t>П</w:t>
      </w:r>
      <w:r w:rsidR="00D81552">
        <w:rPr>
          <w:rFonts w:ascii="Times New Roman" w:hAnsi="Times New Roman"/>
        </w:rPr>
        <w:t xml:space="preserve"> </w:t>
      </w:r>
      <w:r>
        <w:rPr>
          <w:rFonts w:ascii="Times New Roman" w:hAnsi="Times New Roman"/>
        </w:rPr>
        <w:t>БиХ</w:t>
      </w:r>
      <w:r w:rsidR="00D81552">
        <w:rPr>
          <w:rFonts w:ascii="Times New Roman" w:hAnsi="Times New Roman"/>
        </w:rPr>
        <w:t xml:space="preserve"> </w:t>
      </w:r>
      <w:r>
        <w:rPr>
          <w:rFonts w:ascii="Times New Roman" w:hAnsi="Times New Roman"/>
        </w:rPr>
        <w:t>МЉПИ</w:t>
      </w:r>
      <w:r w:rsidR="00D81552">
        <w:rPr>
          <w:rFonts w:ascii="Times New Roman" w:hAnsi="Times New Roman"/>
        </w:rPr>
        <w:t xml:space="preserve"> </w:t>
      </w:r>
      <w:r>
        <w:rPr>
          <w:rFonts w:ascii="Times New Roman" w:hAnsi="Times New Roman"/>
        </w:rPr>
        <w:t>БиХ</w:t>
      </w:r>
      <w:r w:rsidR="008A17CE">
        <w:rPr>
          <w:rFonts w:ascii="Times New Roman" w:hAnsi="Times New Roman"/>
        </w:rPr>
        <w:t xml:space="preserve">, </w:t>
      </w:r>
      <w:r>
        <w:rPr>
          <w:rFonts w:ascii="Times New Roman" w:hAnsi="Times New Roman"/>
        </w:rPr>
        <w:t>ГЦ</w:t>
      </w:r>
      <w:r w:rsidR="00D81552">
        <w:rPr>
          <w:rFonts w:ascii="Times New Roman" w:hAnsi="Times New Roman"/>
        </w:rPr>
        <w:t xml:space="preserve"> </w:t>
      </w:r>
      <w:r>
        <w:rPr>
          <w:rFonts w:ascii="Times New Roman" w:hAnsi="Times New Roman"/>
        </w:rPr>
        <w:t>ФБиХ</w:t>
      </w:r>
      <w:r w:rsidR="008A17CE">
        <w:rPr>
          <w:rFonts w:ascii="Times New Roman" w:hAnsi="Times New Roman"/>
        </w:rPr>
        <w:t xml:space="preserve"> </w:t>
      </w:r>
      <w:r>
        <w:rPr>
          <w:rFonts w:ascii="Times New Roman" w:hAnsi="Times New Roman"/>
        </w:rPr>
        <w:t>и</w:t>
      </w:r>
      <w:r w:rsidR="008A17CE">
        <w:rPr>
          <w:rFonts w:ascii="Times New Roman" w:hAnsi="Times New Roman"/>
        </w:rPr>
        <w:t xml:space="preserve"> </w:t>
      </w:r>
      <w:r>
        <w:rPr>
          <w:rFonts w:ascii="Times New Roman" w:hAnsi="Times New Roman"/>
        </w:rPr>
        <w:t>ЦЈРП</w:t>
      </w:r>
      <w:r w:rsidR="008A17CE">
        <w:rPr>
          <w:rFonts w:ascii="Times New Roman" w:hAnsi="Times New Roman"/>
        </w:rPr>
        <w:t xml:space="preserve"> </w:t>
      </w:r>
      <w:r>
        <w:rPr>
          <w:rFonts w:ascii="Times New Roman" w:hAnsi="Times New Roman"/>
        </w:rPr>
        <w:t>РС</w:t>
      </w:r>
      <w:r w:rsidR="008A17CE">
        <w:rPr>
          <w:rFonts w:ascii="Times New Roman" w:hAnsi="Times New Roman"/>
        </w:rPr>
        <w:t xml:space="preserve"> </w:t>
      </w:r>
      <w:r>
        <w:rPr>
          <w:rFonts w:ascii="Times New Roman" w:hAnsi="Times New Roman"/>
        </w:rPr>
        <w:t>су</w:t>
      </w:r>
      <w:r w:rsidR="008A17CE">
        <w:rPr>
          <w:rFonts w:ascii="Times New Roman" w:hAnsi="Times New Roman"/>
        </w:rPr>
        <w:t xml:space="preserve"> </w:t>
      </w:r>
      <w:r>
        <w:rPr>
          <w:rFonts w:ascii="Times New Roman" w:hAnsi="Times New Roman"/>
        </w:rPr>
        <w:t>у</w:t>
      </w:r>
      <w:r w:rsidR="008A17CE">
        <w:rPr>
          <w:rFonts w:ascii="Times New Roman" w:hAnsi="Times New Roman"/>
        </w:rPr>
        <w:t xml:space="preserve"> </w:t>
      </w:r>
      <w:r>
        <w:rPr>
          <w:rFonts w:ascii="Times New Roman" w:hAnsi="Times New Roman"/>
        </w:rPr>
        <w:t>извјештајном</w:t>
      </w:r>
      <w:r w:rsidR="008A17CE">
        <w:rPr>
          <w:rFonts w:ascii="Times New Roman" w:hAnsi="Times New Roman"/>
        </w:rPr>
        <w:t xml:space="preserve"> </w:t>
      </w:r>
      <w:r>
        <w:rPr>
          <w:rFonts w:ascii="Times New Roman" w:hAnsi="Times New Roman"/>
        </w:rPr>
        <w:t>периоду</w:t>
      </w:r>
      <w:r w:rsidR="008A17CE">
        <w:rPr>
          <w:rFonts w:ascii="Times New Roman" w:hAnsi="Times New Roman"/>
        </w:rPr>
        <w:t xml:space="preserve"> </w:t>
      </w:r>
      <w:r>
        <w:rPr>
          <w:rFonts w:ascii="Times New Roman" w:hAnsi="Times New Roman"/>
        </w:rPr>
        <w:t>били</w:t>
      </w:r>
      <w:r w:rsidR="008A17CE">
        <w:rPr>
          <w:rFonts w:ascii="Times New Roman" w:hAnsi="Times New Roman"/>
        </w:rPr>
        <w:t xml:space="preserve"> </w:t>
      </w:r>
      <w:r>
        <w:rPr>
          <w:rFonts w:ascii="Times New Roman" w:hAnsi="Times New Roman"/>
        </w:rPr>
        <w:t>укључени</w:t>
      </w:r>
      <w:r w:rsidR="008A17CE">
        <w:rPr>
          <w:rFonts w:ascii="Times New Roman" w:hAnsi="Times New Roman"/>
        </w:rPr>
        <w:t xml:space="preserve"> </w:t>
      </w:r>
      <w:r>
        <w:rPr>
          <w:rFonts w:ascii="Times New Roman" w:hAnsi="Times New Roman"/>
        </w:rPr>
        <w:t>у</w:t>
      </w:r>
      <w:r w:rsidR="008A17CE">
        <w:rPr>
          <w:rFonts w:ascii="Times New Roman" w:hAnsi="Times New Roman"/>
        </w:rPr>
        <w:t xml:space="preserve"> </w:t>
      </w:r>
      <w:r>
        <w:rPr>
          <w:rFonts w:ascii="Times New Roman" w:hAnsi="Times New Roman"/>
        </w:rPr>
        <w:t>прикупљање</w:t>
      </w:r>
      <w:r w:rsidR="008A17CE">
        <w:rPr>
          <w:rFonts w:ascii="Times New Roman" w:hAnsi="Times New Roman"/>
        </w:rPr>
        <w:t xml:space="preserve"> </w:t>
      </w:r>
      <w:r>
        <w:rPr>
          <w:rFonts w:ascii="Times New Roman" w:hAnsi="Times New Roman"/>
        </w:rPr>
        <w:t>и</w:t>
      </w:r>
      <w:r w:rsidR="008A17CE">
        <w:rPr>
          <w:rFonts w:ascii="Times New Roman" w:hAnsi="Times New Roman"/>
        </w:rPr>
        <w:t xml:space="preserve"> </w:t>
      </w:r>
      <w:r>
        <w:rPr>
          <w:rFonts w:ascii="Times New Roman" w:hAnsi="Times New Roman"/>
        </w:rPr>
        <w:t>достављање</w:t>
      </w:r>
      <w:r w:rsidR="008A17CE">
        <w:rPr>
          <w:rFonts w:ascii="Times New Roman" w:hAnsi="Times New Roman"/>
        </w:rPr>
        <w:t xml:space="preserve"> </w:t>
      </w:r>
      <w:r>
        <w:rPr>
          <w:rFonts w:ascii="Times New Roman" w:hAnsi="Times New Roman"/>
        </w:rPr>
        <w:t>информација</w:t>
      </w:r>
      <w:r w:rsidR="008A17CE">
        <w:rPr>
          <w:rFonts w:ascii="Times New Roman" w:hAnsi="Times New Roman"/>
        </w:rPr>
        <w:t xml:space="preserve"> </w:t>
      </w:r>
      <w:r>
        <w:rPr>
          <w:rFonts w:ascii="Times New Roman" w:hAnsi="Times New Roman"/>
        </w:rPr>
        <w:t>за</w:t>
      </w:r>
      <w:r w:rsidR="008A17CE">
        <w:rPr>
          <w:rFonts w:ascii="Times New Roman" w:hAnsi="Times New Roman"/>
        </w:rPr>
        <w:t xml:space="preserve"> </w:t>
      </w:r>
      <w:r>
        <w:rPr>
          <w:rFonts w:ascii="Times New Roman" w:hAnsi="Times New Roman"/>
        </w:rPr>
        <w:t>реализацију</w:t>
      </w:r>
      <w:r w:rsidR="008A17CE">
        <w:rPr>
          <w:rFonts w:ascii="Times New Roman" w:hAnsi="Times New Roman"/>
        </w:rPr>
        <w:t xml:space="preserve"> </w:t>
      </w:r>
      <w:r>
        <w:rPr>
          <w:rFonts w:ascii="Times New Roman" w:hAnsi="Times New Roman"/>
        </w:rPr>
        <w:t>састанака</w:t>
      </w:r>
      <w:r w:rsidR="008A17CE">
        <w:rPr>
          <w:rFonts w:ascii="Times New Roman" w:hAnsi="Times New Roman"/>
        </w:rPr>
        <w:t xml:space="preserve"> </w:t>
      </w:r>
      <w:r>
        <w:rPr>
          <w:rFonts w:ascii="Times New Roman" w:hAnsi="Times New Roman"/>
        </w:rPr>
        <w:t>подобора</w:t>
      </w:r>
      <w:r w:rsidR="008A17CE">
        <w:rPr>
          <w:rFonts w:ascii="Times New Roman" w:hAnsi="Times New Roman"/>
        </w:rPr>
        <w:t xml:space="preserve"> </w:t>
      </w:r>
      <w:r>
        <w:rPr>
          <w:rFonts w:ascii="Times New Roman" w:hAnsi="Times New Roman"/>
        </w:rPr>
        <w:t>за</w:t>
      </w:r>
      <w:r w:rsidR="008A17CE">
        <w:rPr>
          <w:rFonts w:ascii="Times New Roman" w:hAnsi="Times New Roman"/>
        </w:rPr>
        <w:t xml:space="preserve"> </w:t>
      </w:r>
      <w:r>
        <w:rPr>
          <w:rFonts w:ascii="Times New Roman" w:hAnsi="Times New Roman"/>
        </w:rPr>
        <w:t>стабилизацију</w:t>
      </w:r>
      <w:r w:rsidR="008A17CE">
        <w:rPr>
          <w:rFonts w:ascii="Times New Roman" w:hAnsi="Times New Roman"/>
        </w:rPr>
        <w:t xml:space="preserve"> </w:t>
      </w:r>
      <w:r>
        <w:rPr>
          <w:rFonts w:ascii="Times New Roman" w:hAnsi="Times New Roman"/>
        </w:rPr>
        <w:t>и</w:t>
      </w:r>
      <w:r w:rsidR="008A17CE">
        <w:rPr>
          <w:rFonts w:ascii="Times New Roman" w:hAnsi="Times New Roman"/>
        </w:rPr>
        <w:t xml:space="preserve"> </w:t>
      </w:r>
      <w:r>
        <w:rPr>
          <w:rFonts w:ascii="Times New Roman" w:hAnsi="Times New Roman"/>
        </w:rPr>
        <w:t>придруживање</w:t>
      </w:r>
      <w:r w:rsidR="008A17CE">
        <w:rPr>
          <w:rFonts w:ascii="Times New Roman" w:hAnsi="Times New Roman"/>
        </w:rPr>
        <w:t xml:space="preserve">. </w:t>
      </w:r>
    </w:p>
    <w:p w:rsidR="008A17CE" w:rsidRDefault="008A17CE" w:rsidP="0086268D">
      <w:pPr>
        <w:pStyle w:val="Normal1"/>
        <w:jc w:val="both"/>
        <w:rPr>
          <w:rFonts w:ascii="Times New Roman" w:hAnsi="Times New Roman"/>
        </w:rPr>
      </w:pPr>
    </w:p>
    <w:p w:rsidR="00C905C4" w:rsidRPr="00295637" w:rsidRDefault="00C6214E" w:rsidP="0086268D">
      <w:pPr>
        <w:pStyle w:val="Normal1"/>
        <w:jc w:val="both"/>
        <w:rPr>
          <w:rFonts w:ascii="Times New Roman" w:hAnsi="Times New Roman"/>
        </w:rPr>
      </w:pPr>
      <w:r>
        <w:rPr>
          <w:rFonts w:ascii="Times New Roman" w:hAnsi="Times New Roman"/>
        </w:rPr>
        <w:t>АР</w:t>
      </w:r>
      <w:r w:rsidR="006128C3">
        <w:rPr>
          <w:rFonts w:ascii="Times New Roman" w:hAnsi="Times New Roman"/>
          <w:lang w:val="sr-Cyrl-BA"/>
        </w:rPr>
        <w:t>П</w:t>
      </w:r>
      <w:r w:rsidR="00D81552">
        <w:rPr>
          <w:rFonts w:ascii="Times New Roman" w:hAnsi="Times New Roman"/>
        </w:rPr>
        <w:t xml:space="preserve"> </w:t>
      </w:r>
      <w:r>
        <w:rPr>
          <w:rFonts w:ascii="Times New Roman" w:hAnsi="Times New Roman"/>
        </w:rPr>
        <w:t>БиХ</w:t>
      </w:r>
      <w:r w:rsidR="00D81552">
        <w:rPr>
          <w:rFonts w:ascii="Times New Roman" w:hAnsi="Times New Roman"/>
        </w:rPr>
        <w:t xml:space="preserve"> </w:t>
      </w:r>
      <w:r>
        <w:rPr>
          <w:rFonts w:ascii="Times New Roman" w:hAnsi="Times New Roman"/>
        </w:rPr>
        <w:t>М</w:t>
      </w:r>
      <w:r w:rsidR="006128C3">
        <w:rPr>
          <w:rFonts w:ascii="Times New Roman" w:hAnsi="Times New Roman"/>
          <w:lang w:val="sr-Cyrl-BA"/>
        </w:rPr>
        <w:t>ЉП</w:t>
      </w:r>
      <w:r>
        <w:rPr>
          <w:rFonts w:ascii="Times New Roman" w:hAnsi="Times New Roman"/>
        </w:rPr>
        <w:t>И</w:t>
      </w:r>
      <w:r w:rsidR="00D81552">
        <w:rPr>
          <w:rFonts w:ascii="Times New Roman" w:hAnsi="Times New Roman"/>
        </w:rPr>
        <w:t xml:space="preserve"> </w:t>
      </w:r>
      <w:r>
        <w:rPr>
          <w:rFonts w:ascii="Times New Roman" w:hAnsi="Times New Roman"/>
        </w:rPr>
        <w:t>БиХ</w:t>
      </w:r>
      <w:r w:rsidR="00AE099A" w:rsidRPr="00295637">
        <w:rPr>
          <w:rFonts w:ascii="Times New Roman" w:hAnsi="Times New Roman"/>
        </w:rPr>
        <w:t xml:space="preserve"> </w:t>
      </w:r>
      <w:r>
        <w:rPr>
          <w:rFonts w:ascii="Times New Roman" w:hAnsi="Times New Roman"/>
        </w:rPr>
        <w:t>је</w:t>
      </w:r>
      <w:r w:rsidR="00D81552" w:rsidRPr="00295637">
        <w:rPr>
          <w:rFonts w:ascii="Times New Roman" w:hAnsi="Times New Roman"/>
        </w:rPr>
        <w:t xml:space="preserve"> </w:t>
      </w:r>
      <w:r w:rsidR="006F012F">
        <w:rPr>
          <w:rFonts w:ascii="Times New Roman" w:hAnsi="Times New Roman"/>
        </w:rPr>
        <w:t>припремала</w:t>
      </w:r>
      <w:r w:rsidR="006F012F" w:rsidRPr="00295637">
        <w:rPr>
          <w:rFonts w:ascii="Times New Roman" w:hAnsi="Times New Roman"/>
        </w:rPr>
        <w:t xml:space="preserve"> </w:t>
      </w:r>
      <w:r>
        <w:rPr>
          <w:rFonts w:ascii="Times New Roman" w:hAnsi="Times New Roman"/>
        </w:rPr>
        <w:t>и</w:t>
      </w:r>
      <w:r w:rsidR="00AE099A" w:rsidRPr="00295637">
        <w:rPr>
          <w:rFonts w:ascii="Times New Roman" w:hAnsi="Times New Roman"/>
        </w:rPr>
        <w:t xml:space="preserve"> </w:t>
      </w:r>
      <w:r>
        <w:rPr>
          <w:rFonts w:ascii="Times New Roman" w:hAnsi="Times New Roman"/>
        </w:rPr>
        <w:t>презент</w:t>
      </w:r>
      <w:r w:rsidR="006128C3">
        <w:rPr>
          <w:rFonts w:ascii="Times New Roman" w:hAnsi="Times New Roman"/>
          <w:lang w:val="sr-Cyrl-BA"/>
        </w:rPr>
        <w:t>овала</w:t>
      </w:r>
      <w:r w:rsidR="00AE099A" w:rsidRPr="00295637">
        <w:rPr>
          <w:rFonts w:ascii="Times New Roman" w:hAnsi="Times New Roman"/>
        </w:rPr>
        <w:t xml:space="preserve"> </w:t>
      </w:r>
      <w:r>
        <w:rPr>
          <w:rFonts w:ascii="Times New Roman" w:hAnsi="Times New Roman"/>
        </w:rPr>
        <w:t>информације</w:t>
      </w:r>
      <w:r w:rsidR="00AE099A" w:rsidRPr="00295637">
        <w:rPr>
          <w:rFonts w:ascii="Times New Roman" w:hAnsi="Times New Roman"/>
        </w:rPr>
        <w:t xml:space="preserve"> </w:t>
      </w:r>
      <w:r>
        <w:rPr>
          <w:rFonts w:ascii="Times New Roman" w:hAnsi="Times New Roman"/>
        </w:rPr>
        <w:t>у</w:t>
      </w:r>
      <w:r w:rsidR="00AE099A" w:rsidRPr="00295637">
        <w:rPr>
          <w:rFonts w:ascii="Times New Roman" w:hAnsi="Times New Roman"/>
        </w:rPr>
        <w:t xml:space="preserve"> </w:t>
      </w:r>
      <w:r>
        <w:rPr>
          <w:rFonts w:ascii="Times New Roman" w:hAnsi="Times New Roman"/>
        </w:rPr>
        <w:t>оквиру</w:t>
      </w:r>
      <w:r w:rsidR="00AE099A" w:rsidRPr="00295637">
        <w:rPr>
          <w:rFonts w:ascii="Times New Roman" w:hAnsi="Times New Roman"/>
        </w:rPr>
        <w:t xml:space="preserve"> </w:t>
      </w:r>
      <w:r>
        <w:rPr>
          <w:rFonts w:ascii="Times New Roman" w:hAnsi="Times New Roman"/>
        </w:rPr>
        <w:t>извјештавања</w:t>
      </w:r>
      <w:r w:rsidR="00AE099A" w:rsidRPr="00295637">
        <w:rPr>
          <w:rFonts w:ascii="Times New Roman" w:hAnsi="Times New Roman"/>
        </w:rPr>
        <w:t xml:space="preserve"> </w:t>
      </w:r>
      <w:r>
        <w:rPr>
          <w:rFonts w:ascii="Times New Roman" w:hAnsi="Times New Roman"/>
        </w:rPr>
        <w:t>о</w:t>
      </w:r>
      <w:r w:rsidR="00AE099A" w:rsidRPr="00295637">
        <w:rPr>
          <w:rFonts w:ascii="Times New Roman" w:hAnsi="Times New Roman"/>
        </w:rPr>
        <w:t xml:space="preserve"> </w:t>
      </w:r>
      <w:r>
        <w:rPr>
          <w:rFonts w:ascii="Times New Roman" w:hAnsi="Times New Roman"/>
        </w:rPr>
        <w:t>процесу</w:t>
      </w:r>
      <w:r w:rsidR="00AE099A" w:rsidRPr="00295637">
        <w:rPr>
          <w:rFonts w:ascii="Times New Roman" w:hAnsi="Times New Roman"/>
        </w:rPr>
        <w:t xml:space="preserve"> </w:t>
      </w:r>
      <w:r>
        <w:rPr>
          <w:rFonts w:ascii="Times New Roman" w:hAnsi="Times New Roman"/>
        </w:rPr>
        <w:t>интегри</w:t>
      </w:r>
      <w:r w:rsidR="006128C3">
        <w:rPr>
          <w:rFonts w:ascii="Times New Roman" w:hAnsi="Times New Roman"/>
          <w:lang w:val="sr-Cyrl-BA"/>
        </w:rPr>
        <w:t>с</w:t>
      </w:r>
      <w:r>
        <w:rPr>
          <w:rFonts w:ascii="Times New Roman" w:hAnsi="Times New Roman"/>
        </w:rPr>
        <w:t>ања</w:t>
      </w:r>
      <w:r w:rsidR="00AE099A" w:rsidRPr="00295637">
        <w:rPr>
          <w:rFonts w:ascii="Times New Roman" w:hAnsi="Times New Roman"/>
        </w:rPr>
        <w:t xml:space="preserve"> </w:t>
      </w:r>
      <w:r>
        <w:rPr>
          <w:rFonts w:ascii="Times New Roman" w:hAnsi="Times New Roman"/>
        </w:rPr>
        <w:t>и</w:t>
      </w:r>
      <w:r w:rsidR="00AE099A" w:rsidRPr="00295637">
        <w:rPr>
          <w:rFonts w:ascii="Times New Roman" w:hAnsi="Times New Roman"/>
        </w:rPr>
        <w:t xml:space="preserve"> </w:t>
      </w:r>
      <w:r>
        <w:rPr>
          <w:rFonts w:ascii="Times New Roman" w:hAnsi="Times New Roman"/>
        </w:rPr>
        <w:t>то</w:t>
      </w:r>
      <w:r w:rsidR="00AE099A" w:rsidRPr="00295637">
        <w:rPr>
          <w:rFonts w:ascii="Times New Roman" w:hAnsi="Times New Roman"/>
        </w:rPr>
        <w:t xml:space="preserve"> </w:t>
      </w:r>
      <w:r>
        <w:rPr>
          <w:rFonts w:ascii="Times New Roman" w:hAnsi="Times New Roman"/>
        </w:rPr>
        <w:t>у</w:t>
      </w:r>
      <w:r w:rsidR="00AE099A" w:rsidRPr="00295637">
        <w:rPr>
          <w:rFonts w:ascii="Times New Roman" w:hAnsi="Times New Roman"/>
        </w:rPr>
        <w:t xml:space="preserve"> </w:t>
      </w:r>
      <w:r>
        <w:rPr>
          <w:rFonts w:ascii="Times New Roman" w:hAnsi="Times New Roman"/>
        </w:rPr>
        <w:t>оквиру</w:t>
      </w:r>
      <w:r w:rsidR="00AE099A" w:rsidRPr="00295637">
        <w:rPr>
          <w:rFonts w:ascii="Times New Roman" w:hAnsi="Times New Roman"/>
        </w:rPr>
        <w:t xml:space="preserve"> </w:t>
      </w:r>
      <w:r>
        <w:rPr>
          <w:rFonts w:ascii="Times New Roman" w:hAnsi="Times New Roman"/>
        </w:rPr>
        <w:t>рада</w:t>
      </w:r>
      <w:r w:rsidR="00AE099A" w:rsidRPr="00295637">
        <w:rPr>
          <w:rFonts w:ascii="Times New Roman" w:hAnsi="Times New Roman"/>
        </w:rPr>
        <w:t xml:space="preserve"> </w:t>
      </w:r>
      <w:r>
        <w:rPr>
          <w:rFonts w:ascii="Times New Roman" w:hAnsi="Times New Roman"/>
        </w:rPr>
        <w:t>радних</w:t>
      </w:r>
      <w:r w:rsidR="00AE099A" w:rsidRPr="00295637">
        <w:rPr>
          <w:rFonts w:ascii="Times New Roman" w:hAnsi="Times New Roman"/>
        </w:rPr>
        <w:t xml:space="preserve"> </w:t>
      </w:r>
      <w:r>
        <w:rPr>
          <w:rFonts w:ascii="Times New Roman" w:hAnsi="Times New Roman"/>
        </w:rPr>
        <w:t>група</w:t>
      </w:r>
      <w:r w:rsidR="00AE099A" w:rsidRPr="00295637">
        <w:rPr>
          <w:rFonts w:ascii="Times New Roman" w:hAnsi="Times New Roman"/>
        </w:rPr>
        <w:t xml:space="preserve"> </w:t>
      </w:r>
      <w:r>
        <w:rPr>
          <w:rFonts w:ascii="Times New Roman" w:hAnsi="Times New Roman"/>
        </w:rPr>
        <w:t>за</w:t>
      </w:r>
      <w:r w:rsidR="00AE099A" w:rsidRPr="00295637">
        <w:rPr>
          <w:rFonts w:ascii="Times New Roman" w:hAnsi="Times New Roman"/>
        </w:rPr>
        <w:t xml:space="preserve"> </w:t>
      </w:r>
      <w:r>
        <w:rPr>
          <w:rFonts w:ascii="Times New Roman" w:hAnsi="Times New Roman"/>
        </w:rPr>
        <w:t>поглавље</w:t>
      </w:r>
      <w:r w:rsidR="00AE099A" w:rsidRPr="00295637">
        <w:rPr>
          <w:rFonts w:ascii="Times New Roman" w:hAnsi="Times New Roman"/>
        </w:rPr>
        <w:t xml:space="preserve"> 19 (</w:t>
      </w:r>
      <w:r>
        <w:rPr>
          <w:rFonts w:ascii="Times New Roman" w:hAnsi="Times New Roman"/>
        </w:rPr>
        <w:t>Социјална</w:t>
      </w:r>
      <w:r w:rsidR="00AE099A" w:rsidRPr="00295637">
        <w:rPr>
          <w:rFonts w:ascii="Times New Roman" w:hAnsi="Times New Roman"/>
        </w:rPr>
        <w:t xml:space="preserve"> </w:t>
      </w:r>
      <w:r>
        <w:rPr>
          <w:rFonts w:ascii="Times New Roman" w:hAnsi="Times New Roman"/>
        </w:rPr>
        <w:t>политика</w:t>
      </w:r>
      <w:r w:rsidR="00AE099A" w:rsidRPr="00295637">
        <w:rPr>
          <w:rFonts w:ascii="Times New Roman" w:hAnsi="Times New Roman"/>
        </w:rPr>
        <w:t xml:space="preserve">), </w:t>
      </w:r>
      <w:r>
        <w:rPr>
          <w:rFonts w:ascii="Times New Roman" w:hAnsi="Times New Roman"/>
        </w:rPr>
        <w:t>поглавље</w:t>
      </w:r>
      <w:r w:rsidR="00AE099A" w:rsidRPr="00295637">
        <w:rPr>
          <w:rFonts w:ascii="Times New Roman" w:hAnsi="Times New Roman"/>
        </w:rPr>
        <w:t xml:space="preserve"> 22 (</w:t>
      </w:r>
      <w:r w:rsidR="006128C3">
        <w:rPr>
          <w:rFonts w:ascii="Times New Roman" w:hAnsi="Times New Roman"/>
          <w:lang w:val="sr-Cyrl-BA"/>
        </w:rPr>
        <w:t>Р</w:t>
      </w:r>
      <w:r>
        <w:rPr>
          <w:rFonts w:ascii="Times New Roman" w:hAnsi="Times New Roman"/>
        </w:rPr>
        <w:t>егионална</w:t>
      </w:r>
      <w:r w:rsidR="00AE099A" w:rsidRPr="00295637">
        <w:rPr>
          <w:rFonts w:ascii="Times New Roman" w:hAnsi="Times New Roman"/>
        </w:rPr>
        <w:t xml:space="preserve"> </w:t>
      </w:r>
      <w:r>
        <w:rPr>
          <w:rFonts w:ascii="Times New Roman" w:hAnsi="Times New Roman"/>
        </w:rPr>
        <w:t>политика</w:t>
      </w:r>
      <w:r w:rsidR="00AE099A" w:rsidRPr="00295637">
        <w:rPr>
          <w:rFonts w:ascii="Times New Roman" w:hAnsi="Times New Roman"/>
        </w:rPr>
        <w:t xml:space="preserve"> </w:t>
      </w:r>
      <w:r>
        <w:rPr>
          <w:rFonts w:ascii="Times New Roman" w:hAnsi="Times New Roman"/>
        </w:rPr>
        <w:t>и</w:t>
      </w:r>
      <w:r w:rsidR="00AE099A" w:rsidRPr="00295637">
        <w:rPr>
          <w:rFonts w:ascii="Times New Roman" w:hAnsi="Times New Roman"/>
        </w:rPr>
        <w:t xml:space="preserve"> </w:t>
      </w:r>
      <w:r>
        <w:rPr>
          <w:rFonts w:ascii="Times New Roman" w:hAnsi="Times New Roman"/>
        </w:rPr>
        <w:t>координација</w:t>
      </w:r>
      <w:r w:rsidR="00AE099A" w:rsidRPr="00295637">
        <w:rPr>
          <w:rFonts w:ascii="Times New Roman" w:hAnsi="Times New Roman"/>
        </w:rPr>
        <w:t xml:space="preserve"> </w:t>
      </w:r>
      <w:r>
        <w:rPr>
          <w:rFonts w:ascii="Times New Roman" w:hAnsi="Times New Roman"/>
        </w:rPr>
        <w:t>структуралних</w:t>
      </w:r>
      <w:r w:rsidR="00AE099A" w:rsidRPr="00295637">
        <w:rPr>
          <w:rFonts w:ascii="Times New Roman" w:hAnsi="Times New Roman"/>
        </w:rPr>
        <w:t xml:space="preserve"> </w:t>
      </w:r>
      <w:r>
        <w:rPr>
          <w:rFonts w:ascii="Times New Roman" w:hAnsi="Times New Roman"/>
        </w:rPr>
        <w:t>инструмената</w:t>
      </w:r>
      <w:r w:rsidR="00AE099A" w:rsidRPr="00295637">
        <w:rPr>
          <w:rFonts w:ascii="Times New Roman" w:hAnsi="Times New Roman"/>
        </w:rPr>
        <w:t xml:space="preserve">), </w:t>
      </w:r>
      <w:r>
        <w:rPr>
          <w:rFonts w:ascii="Times New Roman" w:hAnsi="Times New Roman"/>
        </w:rPr>
        <w:t>поглавље</w:t>
      </w:r>
      <w:r w:rsidR="00AE099A" w:rsidRPr="00295637">
        <w:rPr>
          <w:rFonts w:ascii="Times New Roman" w:hAnsi="Times New Roman"/>
        </w:rPr>
        <w:t xml:space="preserve"> 23 (</w:t>
      </w:r>
      <w:r w:rsidR="006128C3">
        <w:rPr>
          <w:rFonts w:ascii="Times New Roman" w:hAnsi="Times New Roman"/>
          <w:lang w:val="sr-Cyrl-BA"/>
        </w:rPr>
        <w:t>П</w:t>
      </w:r>
      <w:r>
        <w:rPr>
          <w:rFonts w:ascii="Times New Roman" w:hAnsi="Times New Roman"/>
        </w:rPr>
        <w:t>равосуђе</w:t>
      </w:r>
      <w:r w:rsidR="00AE099A" w:rsidRPr="00295637">
        <w:rPr>
          <w:rFonts w:ascii="Times New Roman" w:hAnsi="Times New Roman"/>
        </w:rPr>
        <w:t xml:space="preserve"> </w:t>
      </w:r>
      <w:r>
        <w:rPr>
          <w:rFonts w:ascii="Times New Roman" w:hAnsi="Times New Roman"/>
        </w:rPr>
        <w:t>и</w:t>
      </w:r>
      <w:r w:rsidR="00AE099A" w:rsidRPr="00295637">
        <w:rPr>
          <w:rFonts w:ascii="Times New Roman" w:hAnsi="Times New Roman"/>
        </w:rPr>
        <w:t xml:space="preserve"> </w:t>
      </w:r>
      <w:r>
        <w:rPr>
          <w:rFonts w:ascii="Times New Roman" w:hAnsi="Times New Roman"/>
        </w:rPr>
        <w:t>основна</w:t>
      </w:r>
      <w:r w:rsidR="00AE099A" w:rsidRPr="00295637">
        <w:rPr>
          <w:rFonts w:ascii="Times New Roman" w:hAnsi="Times New Roman"/>
        </w:rPr>
        <w:t xml:space="preserve"> </w:t>
      </w:r>
      <w:r>
        <w:rPr>
          <w:rFonts w:ascii="Times New Roman" w:hAnsi="Times New Roman"/>
        </w:rPr>
        <w:t>права</w:t>
      </w:r>
      <w:r w:rsidR="00AE099A" w:rsidRPr="00295637">
        <w:rPr>
          <w:rFonts w:ascii="Times New Roman" w:hAnsi="Times New Roman"/>
        </w:rPr>
        <w:t xml:space="preserve">) </w:t>
      </w:r>
      <w:r>
        <w:rPr>
          <w:rFonts w:ascii="Times New Roman" w:hAnsi="Times New Roman"/>
        </w:rPr>
        <w:t>те</w:t>
      </w:r>
      <w:r w:rsidR="00AE099A" w:rsidRPr="00295637">
        <w:rPr>
          <w:rFonts w:ascii="Times New Roman" w:hAnsi="Times New Roman"/>
        </w:rPr>
        <w:t xml:space="preserve"> </w:t>
      </w:r>
      <w:r>
        <w:rPr>
          <w:rFonts w:ascii="Times New Roman" w:hAnsi="Times New Roman"/>
        </w:rPr>
        <w:t>поглавље</w:t>
      </w:r>
      <w:r w:rsidR="00AE099A" w:rsidRPr="00295637">
        <w:rPr>
          <w:rFonts w:ascii="Times New Roman" w:hAnsi="Times New Roman"/>
        </w:rPr>
        <w:t xml:space="preserve"> </w:t>
      </w:r>
      <w:r>
        <w:rPr>
          <w:rFonts w:ascii="Times New Roman" w:hAnsi="Times New Roman"/>
        </w:rPr>
        <w:t>за</w:t>
      </w:r>
      <w:r w:rsidR="00AE099A" w:rsidRPr="00295637">
        <w:rPr>
          <w:rFonts w:ascii="Times New Roman" w:hAnsi="Times New Roman"/>
        </w:rPr>
        <w:t xml:space="preserve"> </w:t>
      </w:r>
      <w:r w:rsidR="006128C3">
        <w:rPr>
          <w:rFonts w:ascii="Times New Roman" w:hAnsi="Times New Roman"/>
          <w:lang w:val="sr-Cyrl-BA"/>
        </w:rPr>
        <w:t>П</w:t>
      </w:r>
      <w:r>
        <w:rPr>
          <w:rFonts w:ascii="Times New Roman" w:hAnsi="Times New Roman"/>
        </w:rPr>
        <w:t>олитичке</w:t>
      </w:r>
      <w:r w:rsidR="00AE099A" w:rsidRPr="00295637">
        <w:rPr>
          <w:rFonts w:ascii="Times New Roman" w:hAnsi="Times New Roman"/>
        </w:rPr>
        <w:t xml:space="preserve"> </w:t>
      </w:r>
      <w:r>
        <w:rPr>
          <w:rFonts w:ascii="Times New Roman" w:hAnsi="Times New Roman"/>
        </w:rPr>
        <w:t>критериј</w:t>
      </w:r>
      <w:r w:rsidR="006128C3">
        <w:rPr>
          <w:rFonts w:ascii="Times New Roman" w:hAnsi="Times New Roman"/>
          <w:lang w:val="sr-Cyrl-BA"/>
        </w:rPr>
        <w:t>уме</w:t>
      </w:r>
      <w:r w:rsidR="00AE099A" w:rsidRPr="00295637">
        <w:rPr>
          <w:rFonts w:ascii="Times New Roman" w:hAnsi="Times New Roman"/>
        </w:rPr>
        <w:t xml:space="preserve">. </w:t>
      </w:r>
      <w:r>
        <w:rPr>
          <w:rFonts w:ascii="Times New Roman" w:hAnsi="Times New Roman"/>
        </w:rPr>
        <w:t>Поред</w:t>
      </w:r>
      <w:r w:rsidR="00AE099A" w:rsidRPr="00295637">
        <w:rPr>
          <w:rFonts w:ascii="Times New Roman" w:hAnsi="Times New Roman"/>
        </w:rPr>
        <w:t xml:space="preserve"> </w:t>
      </w:r>
      <w:r>
        <w:rPr>
          <w:rFonts w:ascii="Times New Roman" w:hAnsi="Times New Roman"/>
        </w:rPr>
        <w:t>тога</w:t>
      </w:r>
      <w:r w:rsidR="00AE099A" w:rsidRPr="00295637">
        <w:rPr>
          <w:rFonts w:ascii="Times New Roman" w:hAnsi="Times New Roman"/>
        </w:rPr>
        <w:t xml:space="preserve">, </w:t>
      </w:r>
      <w:r>
        <w:rPr>
          <w:rFonts w:ascii="Times New Roman" w:hAnsi="Times New Roman"/>
        </w:rPr>
        <w:t>у</w:t>
      </w:r>
      <w:r w:rsidR="00944633">
        <w:rPr>
          <w:rFonts w:ascii="Times New Roman" w:hAnsi="Times New Roman"/>
        </w:rPr>
        <w:t xml:space="preserve"> </w:t>
      </w:r>
      <w:r>
        <w:rPr>
          <w:rFonts w:ascii="Times New Roman" w:hAnsi="Times New Roman"/>
        </w:rPr>
        <w:t>вези</w:t>
      </w:r>
      <w:r w:rsidR="00944633">
        <w:rPr>
          <w:rFonts w:ascii="Times New Roman" w:hAnsi="Times New Roman"/>
        </w:rPr>
        <w:t xml:space="preserve"> </w:t>
      </w:r>
      <w:r>
        <w:rPr>
          <w:rFonts w:ascii="Times New Roman" w:hAnsi="Times New Roman"/>
        </w:rPr>
        <w:t>са</w:t>
      </w:r>
      <w:r w:rsidR="00C905C4" w:rsidRPr="00295637">
        <w:rPr>
          <w:rFonts w:ascii="Times New Roman" w:hAnsi="Times New Roman"/>
        </w:rPr>
        <w:t xml:space="preserve"> </w:t>
      </w:r>
      <w:r>
        <w:rPr>
          <w:rFonts w:ascii="Times New Roman" w:hAnsi="Times New Roman"/>
        </w:rPr>
        <w:t>одржавањем</w:t>
      </w:r>
      <w:r w:rsidR="00C905C4" w:rsidRPr="00295637">
        <w:rPr>
          <w:rFonts w:ascii="Times New Roman" w:hAnsi="Times New Roman"/>
        </w:rPr>
        <w:t xml:space="preserve"> </w:t>
      </w:r>
      <w:r>
        <w:rPr>
          <w:rFonts w:ascii="Times New Roman" w:hAnsi="Times New Roman"/>
        </w:rPr>
        <w:t>редовних</w:t>
      </w:r>
      <w:r w:rsidR="00AE099A" w:rsidRPr="00295637">
        <w:rPr>
          <w:rFonts w:ascii="Times New Roman" w:hAnsi="Times New Roman"/>
        </w:rPr>
        <w:t xml:space="preserve"> </w:t>
      </w:r>
      <w:r>
        <w:rPr>
          <w:rFonts w:ascii="Times New Roman" w:hAnsi="Times New Roman"/>
        </w:rPr>
        <w:t>састанака</w:t>
      </w:r>
      <w:r w:rsidR="00AE099A" w:rsidRPr="00295637">
        <w:rPr>
          <w:rFonts w:ascii="Times New Roman" w:hAnsi="Times New Roman"/>
        </w:rPr>
        <w:t xml:space="preserve"> </w:t>
      </w:r>
      <w:r>
        <w:rPr>
          <w:rFonts w:ascii="Times New Roman" w:hAnsi="Times New Roman"/>
        </w:rPr>
        <w:t>Пододбора</w:t>
      </w:r>
      <w:r w:rsidR="00C905C4" w:rsidRPr="00295637">
        <w:rPr>
          <w:rFonts w:ascii="Times New Roman" w:hAnsi="Times New Roman"/>
        </w:rPr>
        <w:t xml:space="preserve"> </w:t>
      </w:r>
      <w:r>
        <w:rPr>
          <w:rFonts w:ascii="Times New Roman" w:hAnsi="Times New Roman"/>
        </w:rPr>
        <w:t>за</w:t>
      </w:r>
      <w:r w:rsidR="00C905C4" w:rsidRPr="00295637">
        <w:rPr>
          <w:rFonts w:ascii="Times New Roman" w:hAnsi="Times New Roman"/>
        </w:rPr>
        <w:t xml:space="preserve"> </w:t>
      </w:r>
      <w:r>
        <w:rPr>
          <w:rFonts w:ascii="Times New Roman" w:hAnsi="Times New Roman"/>
        </w:rPr>
        <w:t>правду</w:t>
      </w:r>
      <w:r w:rsidR="00AE099A" w:rsidRPr="00295637">
        <w:rPr>
          <w:rFonts w:ascii="Times New Roman" w:hAnsi="Times New Roman"/>
        </w:rPr>
        <w:t xml:space="preserve">, </w:t>
      </w:r>
      <w:r>
        <w:rPr>
          <w:rFonts w:ascii="Times New Roman" w:hAnsi="Times New Roman"/>
        </w:rPr>
        <w:t>слободу</w:t>
      </w:r>
      <w:r w:rsidR="00AE099A" w:rsidRPr="00295637">
        <w:rPr>
          <w:rFonts w:ascii="Times New Roman" w:hAnsi="Times New Roman"/>
        </w:rPr>
        <w:t xml:space="preserve"> </w:t>
      </w:r>
      <w:r>
        <w:rPr>
          <w:rFonts w:ascii="Times New Roman" w:hAnsi="Times New Roman"/>
        </w:rPr>
        <w:t>и</w:t>
      </w:r>
      <w:r w:rsidR="00AE099A" w:rsidRPr="00295637">
        <w:rPr>
          <w:rFonts w:ascii="Times New Roman" w:hAnsi="Times New Roman"/>
        </w:rPr>
        <w:t xml:space="preserve"> </w:t>
      </w:r>
      <w:r w:rsidR="00773505">
        <w:rPr>
          <w:rFonts w:ascii="Times New Roman" w:hAnsi="Times New Roman"/>
          <w:lang w:val="sr-Cyrl-BA"/>
        </w:rPr>
        <w:t>безбједност</w:t>
      </w:r>
      <w:r w:rsidR="00AE099A" w:rsidRPr="00295637">
        <w:rPr>
          <w:rFonts w:ascii="Times New Roman" w:hAnsi="Times New Roman"/>
        </w:rPr>
        <w:t xml:space="preserve"> </w:t>
      </w:r>
      <w:r>
        <w:rPr>
          <w:rFonts w:ascii="Times New Roman" w:hAnsi="Times New Roman"/>
        </w:rPr>
        <w:t>и</w:t>
      </w:r>
      <w:r w:rsidR="00AE099A" w:rsidRPr="00295637">
        <w:rPr>
          <w:rFonts w:ascii="Times New Roman" w:hAnsi="Times New Roman"/>
        </w:rPr>
        <w:t xml:space="preserve"> </w:t>
      </w:r>
      <w:r>
        <w:rPr>
          <w:rFonts w:ascii="Times New Roman" w:hAnsi="Times New Roman"/>
        </w:rPr>
        <w:t>Пододбора</w:t>
      </w:r>
      <w:r w:rsidR="00C905C4" w:rsidRPr="00295637">
        <w:rPr>
          <w:rFonts w:ascii="Times New Roman" w:hAnsi="Times New Roman"/>
        </w:rPr>
        <w:t xml:space="preserve"> </w:t>
      </w:r>
      <w:r>
        <w:rPr>
          <w:rFonts w:ascii="Times New Roman" w:hAnsi="Times New Roman"/>
        </w:rPr>
        <w:t>за</w:t>
      </w:r>
      <w:r w:rsidR="00C905C4" w:rsidRPr="00295637">
        <w:rPr>
          <w:rFonts w:ascii="Times New Roman" w:hAnsi="Times New Roman"/>
        </w:rPr>
        <w:t xml:space="preserve"> </w:t>
      </w:r>
      <w:r>
        <w:rPr>
          <w:rFonts w:ascii="Times New Roman" w:hAnsi="Times New Roman"/>
        </w:rPr>
        <w:t>иновације</w:t>
      </w:r>
      <w:r w:rsidR="00C905C4" w:rsidRPr="00295637">
        <w:rPr>
          <w:rFonts w:ascii="Times New Roman" w:hAnsi="Times New Roman"/>
        </w:rPr>
        <w:t xml:space="preserve">, </w:t>
      </w:r>
      <w:r>
        <w:rPr>
          <w:rFonts w:ascii="Times New Roman" w:hAnsi="Times New Roman"/>
        </w:rPr>
        <w:t>информа</w:t>
      </w:r>
      <w:r w:rsidR="00D06673">
        <w:rPr>
          <w:rFonts w:ascii="Times New Roman" w:hAnsi="Times New Roman"/>
          <w:lang w:val="sr-Cyrl-BA"/>
        </w:rPr>
        <w:t>тивно</w:t>
      </w:r>
      <w:r w:rsidR="00C905C4" w:rsidRPr="00295637">
        <w:rPr>
          <w:rFonts w:ascii="Times New Roman" w:hAnsi="Times New Roman"/>
        </w:rPr>
        <w:t xml:space="preserve"> </w:t>
      </w:r>
      <w:r>
        <w:rPr>
          <w:rFonts w:ascii="Times New Roman" w:hAnsi="Times New Roman"/>
        </w:rPr>
        <w:t>друштво</w:t>
      </w:r>
      <w:r w:rsidR="00C905C4" w:rsidRPr="00295637">
        <w:rPr>
          <w:rFonts w:ascii="Times New Roman" w:hAnsi="Times New Roman"/>
        </w:rPr>
        <w:t xml:space="preserve"> </w:t>
      </w:r>
      <w:r>
        <w:rPr>
          <w:rFonts w:ascii="Times New Roman" w:hAnsi="Times New Roman"/>
        </w:rPr>
        <w:t>и</w:t>
      </w:r>
      <w:r w:rsidR="00C905C4" w:rsidRPr="00295637">
        <w:rPr>
          <w:rFonts w:ascii="Times New Roman" w:hAnsi="Times New Roman"/>
        </w:rPr>
        <w:t xml:space="preserve"> </w:t>
      </w:r>
      <w:r>
        <w:rPr>
          <w:rFonts w:ascii="Times New Roman" w:hAnsi="Times New Roman"/>
        </w:rPr>
        <w:t>социјалну</w:t>
      </w:r>
      <w:r w:rsidR="00C905C4" w:rsidRPr="00295637">
        <w:rPr>
          <w:rFonts w:ascii="Times New Roman" w:hAnsi="Times New Roman"/>
        </w:rPr>
        <w:t xml:space="preserve"> </w:t>
      </w:r>
      <w:r>
        <w:rPr>
          <w:rFonts w:ascii="Times New Roman" w:hAnsi="Times New Roman"/>
        </w:rPr>
        <w:t>политику</w:t>
      </w:r>
      <w:r w:rsidR="00AE099A" w:rsidRPr="00295637">
        <w:rPr>
          <w:rFonts w:ascii="Times New Roman" w:hAnsi="Times New Roman"/>
        </w:rPr>
        <w:t>,</w:t>
      </w:r>
      <w:r w:rsidR="00C905C4" w:rsidRPr="00295637">
        <w:rPr>
          <w:rFonts w:ascii="Times New Roman" w:hAnsi="Times New Roman"/>
        </w:rPr>
        <w:t xml:space="preserve"> </w:t>
      </w:r>
      <w:r>
        <w:rPr>
          <w:rFonts w:ascii="Times New Roman" w:hAnsi="Times New Roman"/>
        </w:rPr>
        <w:t>у</w:t>
      </w:r>
      <w:r w:rsidR="00C905C4" w:rsidRPr="00295637">
        <w:rPr>
          <w:rFonts w:ascii="Times New Roman" w:hAnsi="Times New Roman"/>
        </w:rPr>
        <w:t xml:space="preserve"> </w:t>
      </w:r>
      <w:r>
        <w:rPr>
          <w:rFonts w:ascii="Times New Roman" w:hAnsi="Times New Roman"/>
        </w:rPr>
        <w:t>оквиру</w:t>
      </w:r>
      <w:r w:rsidR="00C905C4" w:rsidRPr="00295637">
        <w:rPr>
          <w:rFonts w:ascii="Times New Roman" w:hAnsi="Times New Roman"/>
        </w:rPr>
        <w:t xml:space="preserve"> </w:t>
      </w:r>
      <w:r>
        <w:rPr>
          <w:rFonts w:ascii="Times New Roman" w:hAnsi="Times New Roman"/>
        </w:rPr>
        <w:t>процеса</w:t>
      </w:r>
      <w:r w:rsidR="00C905C4" w:rsidRPr="00295637">
        <w:rPr>
          <w:rFonts w:ascii="Times New Roman" w:hAnsi="Times New Roman"/>
        </w:rPr>
        <w:t xml:space="preserve"> </w:t>
      </w:r>
      <w:r>
        <w:rPr>
          <w:rFonts w:ascii="Times New Roman" w:hAnsi="Times New Roman"/>
        </w:rPr>
        <w:t>стабилизације</w:t>
      </w:r>
      <w:r w:rsidR="00C905C4" w:rsidRPr="00295637">
        <w:rPr>
          <w:rFonts w:ascii="Times New Roman" w:hAnsi="Times New Roman"/>
        </w:rPr>
        <w:t xml:space="preserve"> </w:t>
      </w:r>
      <w:r>
        <w:rPr>
          <w:rFonts w:ascii="Times New Roman" w:hAnsi="Times New Roman"/>
        </w:rPr>
        <w:t>и</w:t>
      </w:r>
      <w:r w:rsidR="00C905C4" w:rsidRPr="00295637">
        <w:rPr>
          <w:rFonts w:ascii="Times New Roman" w:hAnsi="Times New Roman"/>
        </w:rPr>
        <w:t xml:space="preserve"> </w:t>
      </w:r>
      <w:r>
        <w:rPr>
          <w:rFonts w:ascii="Times New Roman" w:hAnsi="Times New Roman"/>
        </w:rPr>
        <w:t>придруживања</w:t>
      </w:r>
      <w:r w:rsidR="00C905C4" w:rsidRPr="00295637">
        <w:rPr>
          <w:rFonts w:ascii="Times New Roman" w:hAnsi="Times New Roman"/>
        </w:rPr>
        <w:t xml:space="preserve"> </w:t>
      </w:r>
      <w:r>
        <w:rPr>
          <w:rFonts w:ascii="Times New Roman" w:hAnsi="Times New Roman"/>
        </w:rPr>
        <w:t>БиХ</w:t>
      </w:r>
      <w:r w:rsidR="00C905C4" w:rsidRPr="00295637">
        <w:rPr>
          <w:rFonts w:ascii="Times New Roman" w:hAnsi="Times New Roman"/>
        </w:rPr>
        <w:t xml:space="preserve"> </w:t>
      </w:r>
      <w:r>
        <w:rPr>
          <w:rFonts w:ascii="Times New Roman" w:hAnsi="Times New Roman"/>
        </w:rPr>
        <w:t>у</w:t>
      </w:r>
      <w:r w:rsidR="00C905C4" w:rsidRPr="00295637">
        <w:rPr>
          <w:rFonts w:ascii="Times New Roman" w:hAnsi="Times New Roman"/>
        </w:rPr>
        <w:t xml:space="preserve"> </w:t>
      </w:r>
      <w:r>
        <w:rPr>
          <w:rFonts w:ascii="Times New Roman" w:hAnsi="Times New Roman"/>
        </w:rPr>
        <w:t>Европску</w:t>
      </w:r>
      <w:r w:rsidR="00C905C4" w:rsidRPr="00295637">
        <w:rPr>
          <w:rFonts w:ascii="Times New Roman" w:hAnsi="Times New Roman"/>
        </w:rPr>
        <w:t xml:space="preserve"> </w:t>
      </w:r>
      <w:r>
        <w:rPr>
          <w:rFonts w:ascii="Times New Roman" w:hAnsi="Times New Roman"/>
        </w:rPr>
        <w:t>унију</w:t>
      </w:r>
      <w:r w:rsidR="00C905C4" w:rsidRPr="00295637">
        <w:rPr>
          <w:rFonts w:ascii="Times New Roman" w:hAnsi="Times New Roman"/>
        </w:rPr>
        <w:t xml:space="preserve">, </w:t>
      </w:r>
      <w:r>
        <w:rPr>
          <w:rFonts w:ascii="Times New Roman" w:hAnsi="Times New Roman"/>
        </w:rPr>
        <w:t>АР</w:t>
      </w:r>
      <w:r w:rsidR="00D06673">
        <w:rPr>
          <w:rFonts w:ascii="Times New Roman" w:hAnsi="Times New Roman"/>
          <w:lang w:val="sr-Cyrl-BA"/>
        </w:rPr>
        <w:t>П</w:t>
      </w:r>
      <w:r w:rsidR="00D81552">
        <w:rPr>
          <w:rFonts w:ascii="Times New Roman" w:hAnsi="Times New Roman"/>
        </w:rPr>
        <w:t xml:space="preserve"> </w:t>
      </w:r>
      <w:r>
        <w:rPr>
          <w:rFonts w:ascii="Times New Roman" w:hAnsi="Times New Roman"/>
        </w:rPr>
        <w:t>БиХ</w:t>
      </w:r>
      <w:r w:rsidR="00D81552">
        <w:rPr>
          <w:rFonts w:ascii="Times New Roman" w:hAnsi="Times New Roman"/>
        </w:rPr>
        <w:t xml:space="preserve"> </w:t>
      </w:r>
      <w:r>
        <w:rPr>
          <w:rFonts w:ascii="Times New Roman" w:hAnsi="Times New Roman"/>
        </w:rPr>
        <w:t>МЉПИ</w:t>
      </w:r>
      <w:r w:rsidR="00D81552">
        <w:rPr>
          <w:rFonts w:ascii="Times New Roman" w:hAnsi="Times New Roman"/>
        </w:rPr>
        <w:t xml:space="preserve"> </w:t>
      </w:r>
      <w:r>
        <w:rPr>
          <w:rFonts w:ascii="Times New Roman" w:hAnsi="Times New Roman"/>
        </w:rPr>
        <w:t>БиХ</w:t>
      </w:r>
      <w:r w:rsidR="00C905C4" w:rsidRPr="00295637">
        <w:rPr>
          <w:rFonts w:ascii="Times New Roman" w:hAnsi="Times New Roman"/>
        </w:rPr>
        <w:t xml:space="preserve"> </w:t>
      </w:r>
      <w:r w:rsidR="00D06673">
        <w:rPr>
          <w:rFonts w:ascii="Times New Roman" w:hAnsi="Times New Roman"/>
        </w:rPr>
        <w:t xml:space="preserve">је </w:t>
      </w:r>
      <w:r>
        <w:rPr>
          <w:rFonts w:ascii="Times New Roman" w:hAnsi="Times New Roman"/>
        </w:rPr>
        <w:t>припремала</w:t>
      </w:r>
      <w:r w:rsidR="00C905C4" w:rsidRPr="00295637">
        <w:rPr>
          <w:rFonts w:ascii="Times New Roman" w:hAnsi="Times New Roman"/>
        </w:rPr>
        <w:t xml:space="preserve"> </w:t>
      </w:r>
      <w:r>
        <w:rPr>
          <w:rFonts w:ascii="Times New Roman" w:hAnsi="Times New Roman"/>
        </w:rPr>
        <w:t>информације</w:t>
      </w:r>
      <w:r w:rsidR="00C905C4" w:rsidRPr="00295637">
        <w:rPr>
          <w:rFonts w:ascii="Times New Roman" w:hAnsi="Times New Roman"/>
        </w:rPr>
        <w:t xml:space="preserve"> </w:t>
      </w:r>
      <w:r>
        <w:rPr>
          <w:rFonts w:ascii="Times New Roman" w:hAnsi="Times New Roman"/>
        </w:rPr>
        <w:t>о</w:t>
      </w:r>
      <w:r w:rsidR="00C905C4" w:rsidRPr="00295637">
        <w:rPr>
          <w:rFonts w:ascii="Times New Roman" w:hAnsi="Times New Roman"/>
        </w:rPr>
        <w:t xml:space="preserve"> </w:t>
      </w:r>
      <w:r>
        <w:rPr>
          <w:rFonts w:ascii="Times New Roman" w:hAnsi="Times New Roman"/>
        </w:rPr>
        <w:t>статусу</w:t>
      </w:r>
      <w:r w:rsidR="00C905C4" w:rsidRPr="00295637">
        <w:rPr>
          <w:rFonts w:ascii="Times New Roman" w:hAnsi="Times New Roman"/>
        </w:rPr>
        <w:t xml:space="preserve"> </w:t>
      </w:r>
      <w:r w:rsidR="00D06673">
        <w:rPr>
          <w:rFonts w:ascii="Times New Roman" w:hAnsi="Times New Roman"/>
          <w:lang w:val="sr-Cyrl-BA"/>
        </w:rPr>
        <w:t>спровођења</w:t>
      </w:r>
      <w:r w:rsidR="00C905C4" w:rsidRPr="00295637">
        <w:rPr>
          <w:rFonts w:ascii="Times New Roman" w:hAnsi="Times New Roman"/>
        </w:rPr>
        <w:t xml:space="preserve"> </w:t>
      </w:r>
      <w:r>
        <w:rPr>
          <w:rFonts w:ascii="Times New Roman" w:hAnsi="Times New Roman"/>
        </w:rPr>
        <w:t>препорука</w:t>
      </w:r>
      <w:r w:rsidR="00C905C4" w:rsidRPr="00295637">
        <w:rPr>
          <w:rFonts w:ascii="Times New Roman" w:hAnsi="Times New Roman"/>
        </w:rPr>
        <w:t xml:space="preserve"> </w:t>
      </w:r>
      <w:r>
        <w:rPr>
          <w:rFonts w:ascii="Times New Roman" w:hAnsi="Times New Roman"/>
        </w:rPr>
        <w:t>у</w:t>
      </w:r>
      <w:r w:rsidR="00C905C4" w:rsidRPr="00295637">
        <w:rPr>
          <w:rFonts w:ascii="Times New Roman" w:hAnsi="Times New Roman"/>
        </w:rPr>
        <w:t xml:space="preserve"> </w:t>
      </w:r>
      <w:r>
        <w:rPr>
          <w:rFonts w:ascii="Times New Roman" w:hAnsi="Times New Roman"/>
        </w:rPr>
        <w:t>домену</w:t>
      </w:r>
      <w:r w:rsidR="00C905C4" w:rsidRPr="00295637">
        <w:rPr>
          <w:rFonts w:ascii="Times New Roman" w:hAnsi="Times New Roman"/>
        </w:rPr>
        <w:t xml:space="preserve"> </w:t>
      </w:r>
      <w:r>
        <w:rPr>
          <w:rFonts w:ascii="Times New Roman" w:hAnsi="Times New Roman"/>
        </w:rPr>
        <w:t>равноправности</w:t>
      </w:r>
      <w:r w:rsidR="00C905C4" w:rsidRPr="00295637">
        <w:rPr>
          <w:rFonts w:ascii="Times New Roman" w:hAnsi="Times New Roman"/>
        </w:rPr>
        <w:t xml:space="preserve"> </w:t>
      </w:r>
      <w:r>
        <w:rPr>
          <w:rFonts w:ascii="Times New Roman" w:hAnsi="Times New Roman"/>
        </w:rPr>
        <w:t>полова</w:t>
      </w:r>
      <w:r w:rsidR="00C905C4" w:rsidRPr="00295637">
        <w:rPr>
          <w:rFonts w:ascii="Times New Roman" w:hAnsi="Times New Roman"/>
        </w:rPr>
        <w:t xml:space="preserve"> </w:t>
      </w:r>
      <w:r>
        <w:rPr>
          <w:rFonts w:ascii="Times New Roman" w:hAnsi="Times New Roman"/>
        </w:rPr>
        <w:t>за</w:t>
      </w:r>
      <w:r w:rsidR="00C905C4" w:rsidRPr="00295637">
        <w:rPr>
          <w:rFonts w:ascii="Times New Roman" w:hAnsi="Times New Roman"/>
        </w:rPr>
        <w:t xml:space="preserve"> </w:t>
      </w:r>
      <w:r>
        <w:rPr>
          <w:rFonts w:ascii="Times New Roman" w:hAnsi="Times New Roman"/>
        </w:rPr>
        <w:t>припрему</w:t>
      </w:r>
      <w:r w:rsidR="00C905C4" w:rsidRPr="00295637">
        <w:rPr>
          <w:rFonts w:ascii="Times New Roman" w:hAnsi="Times New Roman"/>
        </w:rPr>
        <w:t xml:space="preserve"> </w:t>
      </w:r>
      <w:r>
        <w:rPr>
          <w:rFonts w:ascii="Times New Roman" w:hAnsi="Times New Roman"/>
        </w:rPr>
        <w:t>Докумената</w:t>
      </w:r>
      <w:r w:rsidR="00C905C4" w:rsidRPr="00295637">
        <w:rPr>
          <w:rFonts w:ascii="Times New Roman" w:hAnsi="Times New Roman"/>
        </w:rPr>
        <w:t xml:space="preserve"> </w:t>
      </w:r>
      <w:r>
        <w:rPr>
          <w:rFonts w:ascii="Times New Roman" w:hAnsi="Times New Roman"/>
        </w:rPr>
        <w:t>за</w:t>
      </w:r>
      <w:r w:rsidR="00AE099A" w:rsidRPr="00295637">
        <w:rPr>
          <w:rFonts w:ascii="Times New Roman" w:hAnsi="Times New Roman"/>
        </w:rPr>
        <w:t xml:space="preserve"> </w:t>
      </w:r>
      <w:r>
        <w:rPr>
          <w:rFonts w:ascii="Times New Roman" w:hAnsi="Times New Roman"/>
        </w:rPr>
        <w:t>дискусију</w:t>
      </w:r>
      <w:r w:rsidR="00AE099A" w:rsidRPr="00295637">
        <w:rPr>
          <w:rFonts w:ascii="Times New Roman" w:hAnsi="Times New Roman"/>
        </w:rPr>
        <w:t xml:space="preserve">, </w:t>
      </w:r>
      <w:r>
        <w:rPr>
          <w:rFonts w:ascii="Times New Roman" w:hAnsi="Times New Roman"/>
        </w:rPr>
        <w:t>одговора</w:t>
      </w:r>
      <w:r w:rsidR="00AE099A" w:rsidRPr="00295637">
        <w:rPr>
          <w:rFonts w:ascii="Times New Roman" w:hAnsi="Times New Roman"/>
        </w:rPr>
        <w:t xml:space="preserve"> </w:t>
      </w:r>
      <w:r>
        <w:rPr>
          <w:rFonts w:ascii="Times New Roman" w:hAnsi="Times New Roman"/>
        </w:rPr>
        <w:t>на</w:t>
      </w:r>
      <w:r w:rsidR="00AE099A" w:rsidRPr="00295637">
        <w:rPr>
          <w:rFonts w:ascii="Times New Roman" w:hAnsi="Times New Roman"/>
        </w:rPr>
        <w:t xml:space="preserve"> </w:t>
      </w:r>
      <w:r>
        <w:rPr>
          <w:rFonts w:ascii="Times New Roman" w:hAnsi="Times New Roman"/>
        </w:rPr>
        <w:t>додатана</w:t>
      </w:r>
      <w:r w:rsidR="00AE099A" w:rsidRPr="00295637">
        <w:rPr>
          <w:rFonts w:ascii="Times New Roman" w:hAnsi="Times New Roman"/>
        </w:rPr>
        <w:t xml:space="preserve"> </w:t>
      </w:r>
      <w:r>
        <w:rPr>
          <w:rFonts w:ascii="Times New Roman" w:hAnsi="Times New Roman"/>
        </w:rPr>
        <w:t>питања</w:t>
      </w:r>
      <w:r w:rsidR="00AE099A" w:rsidRPr="00295637">
        <w:rPr>
          <w:rFonts w:ascii="Times New Roman" w:hAnsi="Times New Roman"/>
        </w:rPr>
        <w:t xml:space="preserve">, </w:t>
      </w:r>
      <w:r>
        <w:rPr>
          <w:rFonts w:ascii="Times New Roman" w:hAnsi="Times New Roman"/>
        </w:rPr>
        <w:t>те</w:t>
      </w:r>
      <w:r w:rsidR="00AE099A" w:rsidRPr="00295637">
        <w:rPr>
          <w:rFonts w:ascii="Times New Roman" w:hAnsi="Times New Roman"/>
        </w:rPr>
        <w:t xml:space="preserve"> </w:t>
      </w:r>
      <w:r>
        <w:rPr>
          <w:rFonts w:ascii="Times New Roman" w:hAnsi="Times New Roman"/>
        </w:rPr>
        <w:t>извјештавала</w:t>
      </w:r>
      <w:r w:rsidR="00C905C4" w:rsidRPr="00295637">
        <w:rPr>
          <w:rFonts w:ascii="Times New Roman" w:hAnsi="Times New Roman"/>
        </w:rPr>
        <w:t xml:space="preserve"> </w:t>
      </w:r>
      <w:r>
        <w:rPr>
          <w:rFonts w:ascii="Times New Roman" w:hAnsi="Times New Roman"/>
        </w:rPr>
        <w:t>на</w:t>
      </w:r>
      <w:r w:rsidR="00C905C4" w:rsidRPr="00295637">
        <w:rPr>
          <w:rFonts w:ascii="Times New Roman" w:hAnsi="Times New Roman"/>
        </w:rPr>
        <w:t xml:space="preserve"> </w:t>
      </w:r>
      <w:r>
        <w:rPr>
          <w:rFonts w:ascii="Times New Roman" w:hAnsi="Times New Roman"/>
        </w:rPr>
        <w:t>састанцима</w:t>
      </w:r>
      <w:r w:rsidR="00062436">
        <w:rPr>
          <w:rFonts w:ascii="Times New Roman" w:hAnsi="Times New Roman"/>
        </w:rPr>
        <w:t xml:space="preserve"> </w:t>
      </w:r>
      <w:r>
        <w:rPr>
          <w:rFonts w:ascii="Times New Roman" w:hAnsi="Times New Roman"/>
        </w:rPr>
        <w:t>поменутих</w:t>
      </w:r>
      <w:r w:rsidR="00062436">
        <w:rPr>
          <w:rFonts w:ascii="Times New Roman" w:hAnsi="Times New Roman"/>
        </w:rPr>
        <w:t xml:space="preserve"> </w:t>
      </w:r>
      <w:r>
        <w:rPr>
          <w:rFonts w:ascii="Times New Roman" w:hAnsi="Times New Roman"/>
        </w:rPr>
        <w:t>пододбора</w:t>
      </w:r>
      <w:r w:rsidR="00C905C4" w:rsidRPr="00295637">
        <w:rPr>
          <w:rFonts w:ascii="Times New Roman" w:hAnsi="Times New Roman"/>
        </w:rPr>
        <w:t>.</w:t>
      </w:r>
      <w:r w:rsidR="00AE099A" w:rsidRPr="00295637">
        <w:rPr>
          <w:rFonts w:ascii="Times New Roman" w:hAnsi="Times New Roman"/>
        </w:rPr>
        <w:t xml:space="preserve"> </w:t>
      </w:r>
      <w:r>
        <w:rPr>
          <w:rFonts w:ascii="Times New Roman" w:hAnsi="Times New Roman"/>
        </w:rPr>
        <w:t>АР</w:t>
      </w:r>
      <w:r w:rsidR="00D06673">
        <w:rPr>
          <w:rFonts w:ascii="Times New Roman" w:hAnsi="Times New Roman"/>
          <w:lang w:val="sr-Cyrl-BA"/>
        </w:rPr>
        <w:t>П</w:t>
      </w:r>
      <w:r w:rsidR="00D81552">
        <w:rPr>
          <w:rFonts w:ascii="Times New Roman" w:hAnsi="Times New Roman"/>
        </w:rPr>
        <w:t xml:space="preserve"> </w:t>
      </w:r>
      <w:r>
        <w:rPr>
          <w:rFonts w:ascii="Times New Roman" w:hAnsi="Times New Roman"/>
        </w:rPr>
        <w:t>БиХ</w:t>
      </w:r>
      <w:r w:rsidR="00D81552">
        <w:rPr>
          <w:rFonts w:ascii="Times New Roman" w:hAnsi="Times New Roman"/>
        </w:rPr>
        <w:t xml:space="preserve"> </w:t>
      </w:r>
      <w:r>
        <w:rPr>
          <w:rFonts w:ascii="Times New Roman" w:hAnsi="Times New Roman"/>
        </w:rPr>
        <w:t>МЉПИ</w:t>
      </w:r>
      <w:r w:rsidR="00D81552">
        <w:rPr>
          <w:rFonts w:ascii="Times New Roman" w:hAnsi="Times New Roman"/>
        </w:rPr>
        <w:t xml:space="preserve"> </w:t>
      </w:r>
      <w:r>
        <w:rPr>
          <w:rFonts w:ascii="Times New Roman" w:hAnsi="Times New Roman"/>
        </w:rPr>
        <w:t>БиХ</w:t>
      </w:r>
      <w:r w:rsidR="009820D6">
        <w:rPr>
          <w:rFonts w:ascii="Times New Roman" w:hAnsi="Times New Roman"/>
        </w:rPr>
        <w:t xml:space="preserve"> </w:t>
      </w:r>
      <w:r>
        <w:rPr>
          <w:rFonts w:ascii="Times New Roman" w:hAnsi="Times New Roman"/>
        </w:rPr>
        <w:t>је</w:t>
      </w:r>
      <w:r w:rsidR="009820D6">
        <w:rPr>
          <w:rFonts w:ascii="Times New Roman" w:hAnsi="Times New Roman"/>
        </w:rPr>
        <w:t xml:space="preserve"> </w:t>
      </w:r>
      <w:r>
        <w:rPr>
          <w:rFonts w:ascii="Times New Roman" w:hAnsi="Times New Roman"/>
        </w:rPr>
        <w:t>припремала</w:t>
      </w:r>
      <w:r w:rsidR="009820D6">
        <w:rPr>
          <w:rFonts w:ascii="Times New Roman" w:hAnsi="Times New Roman"/>
        </w:rPr>
        <w:t xml:space="preserve"> </w:t>
      </w:r>
      <w:r>
        <w:rPr>
          <w:rFonts w:ascii="Times New Roman" w:hAnsi="Times New Roman"/>
        </w:rPr>
        <w:t>информације</w:t>
      </w:r>
      <w:r w:rsidR="009820D6">
        <w:rPr>
          <w:rFonts w:ascii="Times New Roman" w:hAnsi="Times New Roman"/>
        </w:rPr>
        <w:t xml:space="preserve"> </w:t>
      </w:r>
      <w:r>
        <w:rPr>
          <w:rFonts w:ascii="Times New Roman" w:hAnsi="Times New Roman"/>
        </w:rPr>
        <w:t>из</w:t>
      </w:r>
      <w:r w:rsidR="009820D6">
        <w:rPr>
          <w:rFonts w:ascii="Times New Roman" w:hAnsi="Times New Roman"/>
        </w:rPr>
        <w:t xml:space="preserve"> </w:t>
      </w:r>
      <w:r>
        <w:rPr>
          <w:rFonts w:ascii="Times New Roman" w:hAnsi="Times New Roman"/>
        </w:rPr>
        <w:t>своје</w:t>
      </w:r>
      <w:r w:rsidR="009820D6">
        <w:rPr>
          <w:rFonts w:ascii="Times New Roman" w:hAnsi="Times New Roman"/>
        </w:rPr>
        <w:t xml:space="preserve"> </w:t>
      </w:r>
      <w:r>
        <w:rPr>
          <w:rFonts w:ascii="Times New Roman" w:hAnsi="Times New Roman"/>
        </w:rPr>
        <w:t>надлежности</w:t>
      </w:r>
      <w:r w:rsidR="009820D6">
        <w:rPr>
          <w:rFonts w:ascii="Times New Roman" w:hAnsi="Times New Roman"/>
        </w:rPr>
        <w:t xml:space="preserve"> </w:t>
      </w:r>
      <w:r>
        <w:rPr>
          <w:rFonts w:ascii="Times New Roman" w:hAnsi="Times New Roman"/>
        </w:rPr>
        <w:t>за</w:t>
      </w:r>
      <w:r w:rsidR="009820D6">
        <w:rPr>
          <w:rFonts w:ascii="Times New Roman" w:hAnsi="Times New Roman"/>
        </w:rPr>
        <w:t xml:space="preserve"> </w:t>
      </w:r>
      <w:r>
        <w:rPr>
          <w:rFonts w:ascii="Times New Roman" w:hAnsi="Times New Roman"/>
        </w:rPr>
        <w:t>извјештаје</w:t>
      </w:r>
      <w:r w:rsidR="009820D6">
        <w:rPr>
          <w:rFonts w:ascii="Times New Roman" w:hAnsi="Times New Roman"/>
        </w:rPr>
        <w:t xml:space="preserve"> </w:t>
      </w:r>
      <w:r>
        <w:rPr>
          <w:rFonts w:ascii="Times New Roman" w:hAnsi="Times New Roman"/>
        </w:rPr>
        <w:t>о</w:t>
      </w:r>
      <w:r w:rsidR="009820D6">
        <w:rPr>
          <w:rFonts w:ascii="Times New Roman" w:hAnsi="Times New Roman"/>
        </w:rPr>
        <w:t xml:space="preserve"> </w:t>
      </w:r>
      <w:r w:rsidR="00D06673">
        <w:rPr>
          <w:rFonts w:ascii="Times New Roman" w:hAnsi="Times New Roman"/>
          <w:lang w:val="sr-Cyrl-BA"/>
        </w:rPr>
        <w:t>спровођењу</w:t>
      </w:r>
      <w:r w:rsidR="009820D6">
        <w:rPr>
          <w:rFonts w:ascii="Times New Roman" w:hAnsi="Times New Roman"/>
        </w:rPr>
        <w:t xml:space="preserve"> </w:t>
      </w:r>
      <w:r w:rsidR="00D06673" w:rsidRPr="00D06673">
        <w:rPr>
          <w:rFonts w:ascii="Times New Roman" w:hAnsi="Times New Roman"/>
          <w:i/>
          <w:lang w:val="hr-BA"/>
        </w:rPr>
        <w:t>IPA</w:t>
      </w:r>
      <w:r w:rsidR="009820D6">
        <w:rPr>
          <w:rFonts w:ascii="Times New Roman" w:hAnsi="Times New Roman"/>
        </w:rPr>
        <w:t xml:space="preserve">, </w:t>
      </w:r>
      <w:r>
        <w:rPr>
          <w:rFonts w:ascii="Times New Roman" w:hAnsi="Times New Roman"/>
        </w:rPr>
        <w:t>као</w:t>
      </w:r>
      <w:r w:rsidR="009820D6">
        <w:rPr>
          <w:rFonts w:ascii="Times New Roman" w:hAnsi="Times New Roman"/>
        </w:rPr>
        <w:t xml:space="preserve"> </w:t>
      </w:r>
      <w:r>
        <w:rPr>
          <w:rFonts w:ascii="Times New Roman" w:hAnsi="Times New Roman"/>
        </w:rPr>
        <w:t>и</w:t>
      </w:r>
      <w:r w:rsidR="009820D6">
        <w:rPr>
          <w:rFonts w:ascii="Times New Roman" w:hAnsi="Times New Roman"/>
        </w:rPr>
        <w:t xml:space="preserve"> </w:t>
      </w:r>
      <w:r>
        <w:rPr>
          <w:rFonts w:ascii="Times New Roman" w:hAnsi="Times New Roman"/>
        </w:rPr>
        <w:t>за</w:t>
      </w:r>
      <w:r w:rsidR="009820D6">
        <w:rPr>
          <w:rFonts w:ascii="Times New Roman" w:hAnsi="Times New Roman"/>
        </w:rPr>
        <w:t xml:space="preserve"> </w:t>
      </w:r>
      <w:r>
        <w:rPr>
          <w:rFonts w:ascii="Times New Roman" w:hAnsi="Times New Roman"/>
        </w:rPr>
        <w:t>извјештаје</w:t>
      </w:r>
      <w:r w:rsidR="0035180F">
        <w:rPr>
          <w:rFonts w:ascii="Times New Roman" w:hAnsi="Times New Roman"/>
        </w:rPr>
        <w:t xml:space="preserve"> </w:t>
      </w:r>
      <w:r>
        <w:rPr>
          <w:rFonts w:ascii="Times New Roman" w:hAnsi="Times New Roman"/>
        </w:rPr>
        <w:t>ЕК</w:t>
      </w:r>
      <w:r w:rsidR="0035180F">
        <w:rPr>
          <w:rFonts w:ascii="Times New Roman" w:hAnsi="Times New Roman"/>
        </w:rPr>
        <w:t xml:space="preserve"> </w:t>
      </w:r>
      <w:r>
        <w:rPr>
          <w:rFonts w:ascii="Times New Roman" w:hAnsi="Times New Roman"/>
        </w:rPr>
        <w:t>о</w:t>
      </w:r>
      <w:r w:rsidR="0035180F">
        <w:rPr>
          <w:rFonts w:ascii="Times New Roman" w:hAnsi="Times New Roman"/>
        </w:rPr>
        <w:t xml:space="preserve"> </w:t>
      </w:r>
      <w:r w:rsidR="00D06673">
        <w:rPr>
          <w:rFonts w:ascii="Times New Roman" w:hAnsi="Times New Roman"/>
          <w:lang w:val="sr-Cyrl-BA"/>
        </w:rPr>
        <w:t>напретку</w:t>
      </w:r>
      <w:r w:rsidR="0035180F">
        <w:rPr>
          <w:rFonts w:ascii="Times New Roman" w:hAnsi="Times New Roman"/>
        </w:rPr>
        <w:t xml:space="preserve"> </w:t>
      </w:r>
      <w:r>
        <w:rPr>
          <w:rFonts w:ascii="Times New Roman" w:hAnsi="Times New Roman"/>
        </w:rPr>
        <w:t>БиХ</w:t>
      </w:r>
      <w:r w:rsidR="009820D6">
        <w:rPr>
          <w:rFonts w:ascii="Times New Roman" w:hAnsi="Times New Roman"/>
        </w:rPr>
        <w:t xml:space="preserve">. </w:t>
      </w:r>
    </w:p>
    <w:p w:rsidR="00C905C4" w:rsidRPr="00295637" w:rsidRDefault="00C905C4" w:rsidP="0086268D">
      <w:pPr>
        <w:jc w:val="both"/>
        <w:rPr>
          <w:rFonts w:ascii="Times New Roman" w:hAnsi="Times New Roman"/>
          <w:szCs w:val="24"/>
          <w:lang w:val="bs-Latn-BA"/>
        </w:rPr>
      </w:pPr>
    </w:p>
    <w:p w:rsidR="00A666E6" w:rsidRDefault="00C6214E" w:rsidP="0086268D">
      <w:pPr>
        <w:jc w:val="both"/>
        <w:rPr>
          <w:rFonts w:ascii="Times New Roman" w:hAnsi="Times New Roman"/>
          <w:lang w:val="bs-Latn-BA"/>
        </w:rPr>
      </w:pPr>
      <w:r>
        <w:rPr>
          <w:rFonts w:ascii="Times New Roman" w:hAnsi="Times New Roman"/>
          <w:szCs w:val="24"/>
          <w:lang w:val="bs-Latn-BA"/>
        </w:rPr>
        <w:t>АР</w:t>
      </w:r>
      <w:r w:rsidR="00D06673">
        <w:rPr>
          <w:rFonts w:ascii="Times New Roman" w:hAnsi="Times New Roman"/>
          <w:szCs w:val="24"/>
          <w:lang w:val="sr-Cyrl-BA"/>
        </w:rPr>
        <w:t>П</w:t>
      </w:r>
      <w:r w:rsidR="009E54A2" w:rsidRPr="009D3F4F">
        <w:rPr>
          <w:rFonts w:ascii="Times New Roman" w:hAnsi="Times New Roman"/>
          <w:szCs w:val="24"/>
          <w:lang w:val="bs-Latn-BA"/>
        </w:rPr>
        <w:t xml:space="preserve"> </w:t>
      </w:r>
      <w:r>
        <w:rPr>
          <w:rFonts w:ascii="Times New Roman" w:hAnsi="Times New Roman"/>
          <w:szCs w:val="24"/>
          <w:lang w:val="bs-Latn-BA"/>
        </w:rPr>
        <w:t>БиХ</w:t>
      </w:r>
      <w:r w:rsidR="009E54A2" w:rsidRPr="009D3F4F">
        <w:rPr>
          <w:rFonts w:ascii="Times New Roman" w:hAnsi="Times New Roman"/>
          <w:szCs w:val="24"/>
          <w:lang w:val="bs-Latn-BA"/>
        </w:rPr>
        <w:t xml:space="preserve"> </w:t>
      </w:r>
      <w:r>
        <w:rPr>
          <w:rFonts w:ascii="Times New Roman" w:hAnsi="Times New Roman"/>
          <w:szCs w:val="24"/>
          <w:lang w:val="bs-Latn-BA"/>
        </w:rPr>
        <w:t>МЉПИ</w:t>
      </w:r>
      <w:r w:rsidR="00CE2C70" w:rsidRPr="009D3F4F">
        <w:rPr>
          <w:rFonts w:ascii="Times New Roman" w:hAnsi="Times New Roman"/>
          <w:szCs w:val="24"/>
          <w:lang w:val="bs-Latn-BA"/>
        </w:rPr>
        <w:t xml:space="preserve"> </w:t>
      </w:r>
      <w:r>
        <w:rPr>
          <w:rFonts w:ascii="Times New Roman" w:hAnsi="Times New Roman"/>
          <w:szCs w:val="24"/>
          <w:lang w:val="bs-Latn-BA"/>
        </w:rPr>
        <w:t>БиХ</w:t>
      </w:r>
      <w:r w:rsidR="00314B0D">
        <w:rPr>
          <w:rFonts w:ascii="Times New Roman" w:hAnsi="Times New Roman"/>
          <w:szCs w:val="24"/>
          <w:lang w:val="bs-Latn-BA"/>
        </w:rPr>
        <w:t xml:space="preserve"> </w:t>
      </w:r>
      <w:r w:rsidR="006F012F">
        <w:rPr>
          <w:rFonts w:ascii="Times New Roman" w:hAnsi="Times New Roman"/>
          <w:szCs w:val="24"/>
          <w:lang w:val="bs-Latn-BA"/>
        </w:rPr>
        <w:t xml:space="preserve">је </w:t>
      </w:r>
      <w:r>
        <w:rPr>
          <w:rFonts w:ascii="Times New Roman" w:hAnsi="Times New Roman"/>
          <w:szCs w:val="24"/>
          <w:lang w:val="bs-Latn-BA"/>
        </w:rPr>
        <w:t>доставила</w:t>
      </w:r>
      <w:r w:rsidR="00314B0D">
        <w:rPr>
          <w:rFonts w:ascii="Times New Roman" w:hAnsi="Times New Roman"/>
          <w:szCs w:val="24"/>
          <w:lang w:val="bs-Latn-BA"/>
        </w:rPr>
        <w:t xml:space="preserve"> </w:t>
      </w:r>
      <w:r>
        <w:rPr>
          <w:rFonts w:ascii="Times New Roman" w:hAnsi="Times New Roman"/>
          <w:szCs w:val="24"/>
          <w:lang w:val="bs-Latn-BA"/>
        </w:rPr>
        <w:t>одговоре</w:t>
      </w:r>
      <w:r w:rsidR="00CE2C70" w:rsidRPr="009D3F4F">
        <w:rPr>
          <w:rFonts w:ascii="Times New Roman" w:hAnsi="Times New Roman"/>
          <w:szCs w:val="24"/>
          <w:lang w:val="bs-Latn-BA"/>
        </w:rPr>
        <w:t xml:space="preserve"> </w:t>
      </w:r>
      <w:r>
        <w:rPr>
          <w:rFonts w:ascii="Times New Roman" w:hAnsi="Times New Roman"/>
          <w:szCs w:val="24"/>
          <w:lang w:val="bs-Latn-BA"/>
        </w:rPr>
        <w:t>на</w:t>
      </w:r>
      <w:r w:rsidR="00CE2C70" w:rsidRPr="009D3F4F">
        <w:rPr>
          <w:rFonts w:ascii="Times New Roman" w:hAnsi="Times New Roman"/>
          <w:szCs w:val="24"/>
          <w:lang w:val="bs-Latn-BA"/>
        </w:rPr>
        <w:t xml:space="preserve"> </w:t>
      </w:r>
      <w:r>
        <w:rPr>
          <w:rFonts w:ascii="Times New Roman" w:hAnsi="Times New Roman"/>
          <w:szCs w:val="24"/>
          <w:lang w:val="bs-Latn-BA"/>
        </w:rPr>
        <w:t>прелиминарни</w:t>
      </w:r>
      <w:r w:rsidR="00CE2C70" w:rsidRPr="009D3F4F">
        <w:rPr>
          <w:rFonts w:ascii="Times New Roman" w:hAnsi="Times New Roman"/>
          <w:szCs w:val="24"/>
          <w:lang w:val="bs-Latn-BA"/>
        </w:rPr>
        <w:t xml:space="preserve"> </w:t>
      </w:r>
      <w:r>
        <w:rPr>
          <w:rFonts w:ascii="Times New Roman" w:hAnsi="Times New Roman"/>
          <w:szCs w:val="24"/>
          <w:lang w:val="bs-Latn-BA"/>
        </w:rPr>
        <w:t>извјештај</w:t>
      </w:r>
      <w:r w:rsidR="0035180F">
        <w:rPr>
          <w:rFonts w:ascii="Times New Roman" w:hAnsi="Times New Roman"/>
          <w:szCs w:val="24"/>
          <w:lang w:val="bs-Latn-BA"/>
        </w:rPr>
        <w:t xml:space="preserve"> </w:t>
      </w:r>
      <w:r>
        <w:rPr>
          <w:rFonts w:ascii="Times New Roman" w:hAnsi="Times New Roman"/>
          <w:szCs w:val="24"/>
          <w:lang w:val="bs-Latn-BA"/>
        </w:rPr>
        <w:t>Комитета</w:t>
      </w:r>
      <w:r w:rsidR="0035180F">
        <w:rPr>
          <w:rFonts w:ascii="Times New Roman" w:hAnsi="Times New Roman"/>
          <w:szCs w:val="24"/>
          <w:lang w:val="bs-Latn-BA"/>
        </w:rPr>
        <w:t xml:space="preserve"> </w:t>
      </w:r>
      <w:r>
        <w:rPr>
          <w:rFonts w:ascii="Times New Roman" w:hAnsi="Times New Roman"/>
          <w:szCs w:val="24"/>
          <w:lang w:val="bs-Latn-BA"/>
        </w:rPr>
        <w:t>за</w:t>
      </w:r>
      <w:r w:rsidR="0035180F">
        <w:rPr>
          <w:rFonts w:ascii="Times New Roman" w:hAnsi="Times New Roman"/>
          <w:szCs w:val="24"/>
          <w:lang w:val="bs-Latn-BA"/>
        </w:rPr>
        <w:t xml:space="preserve"> </w:t>
      </w:r>
      <w:r>
        <w:rPr>
          <w:rFonts w:ascii="Times New Roman" w:hAnsi="Times New Roman"/>
          <w:szCs w:val="24"/>
          <w:lang w:val="bs-Latn-BA"/>
        </w:rPr>
        <w:t>поштовање</w:t>
      </w:r>
      <w:r w:rsidR="0035180F">
        <w:rPr>
          <w:rFonts w:ascii="Times New Roman" w:hAnsi="Times New Roman"/>
          <w:szCs w:val="24"/>
          <w:lang w:val="bs-Latn-BA"/>
        </w:rPr>
        <w:t xml:space="preserve"> </w:t>
      </w:r>
      <w:r>
        <w:rPr>
          <w:rFonts w:ascii="Times New Roman" w:hAnsi="Times New Roman"/>
          <w:szCs w:val="24"/>
          <w:lang w:val="bs-Latn-BA"/>
        </w:rPr>
        <w:t>обавеза</w:t>
      </w:r>
      <w:r w:rsidR="00CE2C70" w:rsidRPr="009D3F4F">
        <w:rPr>
          <w:rFonts w:ascii="Times New Roman" w:hAnsi="Times New Roman"/>
          <w:szCs w:val="24"/>
          <w:lang w:val="bs-Latn-BA"/>
        </w:rPr>
        <w:t xml:space="preserve"> </w:t>
      </w:r>
      <w:r>
        <w:rPr>
          <w:rFonts w:ascii="Times New Roman" w:hAnsi="Times New Roman"/>
          <w:szCs w:val="24"/>
          <w:lang w:val="bs-Latn-BA"/>
        </w:rPr>
        <w:t>и</w:t>
      </w:r>
      <w:r w:rsidR="00CE2C70" w:rsidRPr="009D3F4F">
        <w:rPr>
          <w:rFonts w:ascii="Times New Roman" w:hAnsi="Times New Roman"/>
          <w:szCs w:val="24"/>
          <w:lang w:val="bs-Latn-BA"/>
        </w:rPr>
        <w:t xml:space="preserve"> </w:t>
      </w:r>
      <w:r>
        <w:rPr>
          <w:rFonts w:ascii="Times New Roman" w:hAnsi="Times New Roman"/>
          <w:szCs w:val="24"/>
          <w:lang w:val="bs-Latn-BA"/>
        </w:rPr>
        <w:t>ангажмана</w:t>
      </w:r>
      <w:r w:rsidR="00CE2C70" w:rsidRPr="009D3F4F">
        <w:rPr>
          <w:rFonts w:ascii="Times New Roman" w:hAnsi="Times New Roman"/>
          <w:szCs w:val="24"/>
          <w:lang w:val="bs-Latn-BA"/>
        </w:rPr>
        <w:t xml:space="preserve"> </w:t>
      </w:r>
      <w:r>
        <w:rPr>
          <w:rFonts w:ascii="Times New Roman" w:hAnsi="Times New Roman"/>
          <w:szCs w:val="24"/>
          <w:lang w:val="bs-Latn-BA"/>
        </w:rPr>
        <w:t>земаља</w:t>
      </w:r>
      <w:r w:rsidR="00CE2C70" w:rsidRPr="009D3F4F">
        <w:rPr>
          <w:rFonts w:ascii="Times New Roman" w:hAnsi="Times New Roman"/>
          <w:szCs w:val="24"/>
          <w:lang w:val="bs-Latn-BA"/>
        </w:rPr>
        <w:t xml:space="preserve"> </w:t>
      </w:r>
      <w:r>
        <w:rPr>
          <w:rFonts w:ascii="Times New Roman" w:hAnsi="Times New Roman"/>
          <w:szCs w:val="24"/>
          <w:lang w:val="bs-Latn-BA"/>
        </w:rPr>
        <w:t>чланица</w:t>
      </w:r>
      <w:r w:rsidR="00CE2C70" w:rsidRPr="009D3F4F">
        <w:rPr>
          <w:rFonts w:ascii="Times New Roman" w:hAnsi="Times New Roman"/>
          <w:szCs w:val="24"/>
          <w:lang w:val="bs-Latn-BA"/>
        </w:rPr>
        <w:t xml:space="preserve"> </w:t>
      </w:r>
      <w:r w:rsidR="00D06673">
        <w:rPr>
          <w:rFonts w:ascii="Times New Roman" w:hAnsi="Times New Roman"/>
          <w:szCs w:val="24"/>
          <w:lang w:val="sr-Cyrl-BA"/>
        </w:rPr>
        <w:t>С</w:t>
      </w:r>
      <w:r>
        <w:rPr>
          <w:rFonts w:ascii="Times New Roman" w:hAnsi="Times New Roman"/>
          <w:szCs w:val="24"/>
          <w:lang w:val="bs-Latn-BA"/>
        </w:rPr>
        <w:t>Е</w:t>
      </w:r>
      <w:r w:rsidR="00CE2C70" w:rsidRPr="009D3F4F">
        <w:rPr>
          <w:rFonts w:ascii="Times New Roman" w:hAnsi="Times New Roman"/>
          <w:szCs w:val="24"/>
          <w:lang w:val="bs-Latn-BA"/>
        </w:rPr>
        <w:t xml:space="preserve"> (</w:t>
      </w:r>
      <w:r>
        <w:rPr>
          <w:rFonts w:ascii="Times New Roman" w:hAnsi="Times New Roman"/>
          <w:szCs w:val="24"/>
          <w:lang w:val="bs-Latn-BA"/>
        </w:rPr>
        <w:t>Мониторинг</w:t>
      </w:r>
      <w:r w:rsidR="00CE2C70" w:rsidRPr="009D3F4F">
        <w:rPr>
          <w:rFonts w:ascii="Times New Roman" w:hAnsi="Times New Roman"/>
          <w:szCs w:val="24"/>
          <w:lang w:val="bs-Latn-BA"/>
        </w:rPr>
        <w:t xml:space="preserve"> </w:t>
      </w:r>
      <w:r>
        <w:rPr>
          <w:rFonts w:ascii="Times New Roman" w:hAnsi="Times New Roman"/>
          <w:szCs w:val="24"/>
          <w:lang w:val="bs-Latn-BA"/>
        </w:rPr>
        <w:t>комитет</w:t>
      </w:r>
      <w:r w:rsidR="00CE2C70" w:rsidRPr="009D3F4F">
        <w:rPr>
          <w:rFonts w:ascii="Times New Roman" w:hAnsi="Times New Roman"/>
          <w:szCs w:val="24"/>
          <w:lang w:val="bs-Latn-BA"/>
        </w:rPr>
        <w:t xml:space="preserve">) </w:t>
      </w:r>
      <w:r>
        <w:rPr>
          <w:rFonts w:ascii="Times New Roman" w:hAnsi="Times New Roman"/>
          <w:szCs w:val="24"/>
          <w:lang w:val="bs-Latn-BA"/>
        </w:rPr>
        <w:t>за</w:t>
      </w:r>
      <w:r w:rsidR="00CE2C70" w:rsidRPr="009D3F4F">
        <w:rPr>
          <w:rFonts w:ascii="Times New Roman" w:hAnsi="Times New Roman"/>
          <w:szCs w:val="24"/>
          <w:lang w:val="bs-Latn-BA"/>
        </w:rPr>
        <w:t xml:space="preserve"> </w:t>
      </w:r>
      <w:r>
        <w:rPr>
          <w:rFonts w:ascii="Times New Roman" w:hAnsi="Times New Roman"/>
          <w:szCs w:val="24"/>
          <w:lang w:val="bs-Latn-BA"/>
        </w:rPr>
        <w:t>БиХ</w:t>
      </w:r>
      <w:r w:rsidR="00062436" w:rsidRPr="009D3F4F">
        <w:rPr>
          <w:rFonts w:ascii="Times New Roman" w:hAnsi="Times New Roman"/>
          <w:szCs w:val="24"/>
          <w:lang w:val="bs-Latn-BA"/>
        </w:rPr>
        <w:t xml:space="preserve">, </w:t>
      </w:r>
      <w:r>
        <w:rPr>
          <w:rFonts w:ascii="Times New Roman" w:hAnsi="Times New Roman"/>
          <w:szCs w:val="24"/>
          <w:lang w:val="bs-Latn-BA"/>
        </w:rPr>
        <w:t>информације</w:t>
      </w:r>
      <w:r w:rsidR="00062436" w:rsidRPr="009D3F4F">
        <w:rPr>
          <w:rFonts w:ascii="Times New Roman" w:hAnsi="Times New Roman"/>
          <w:szCs w:val="24"/>
          <w:lang w:val="bs-Latn-BA"/>
        </w:rPr>
        <w:t xml:space="preserve"> </w:t>
      </w:r>
      <w:r>
        <w:rPr>
          <w:rFonts w:ascii="Times New Roman" w:hAnsi="Times New Roman"/>
          <w:szCs w:val="24"/>
          <w:lang w:val="bs-Latn-BA"/>
        </w:rPr>
        <w:t>за</w:t>
      </w:r>
      <w:r w:rsidR="00062436" w:rsidRPr="009D3F4F">
        <w:rPr>
          <w:rFonts w:ascii="Times New Roman" w:hAnsi="Times New Roman"/>
          <w:szCs w:val="24"/>
          <w:lang w:val="bs-Latn-BA"/>
        </w:rPr>
        <w:t xml:space="preserve"> </w:t>
      </w:r>
      <w:r>
        <w:rPr>
          <w:rFonts w:ascii="Times New Roman" w:hAnsi="Times New Roman"/>
          <w:szCs w:val="24"/>
          <w:lang w:val="bs-Latn-BA"/>
        </w:rPr>
        <w:t>извјештај</w:t>
      </w:r>
      <w:r w:rsidR="00062436" w:rsidRPr="009D3F4F">
        <w:rPr>
          <w:rFonts w:ascii="Times New Roman" w:hAnsi="Times New Roman"/>
          <w:szCs w:val="24"/>
          <w:lang w:val="bs-Latn-BA"/>
        </w:rPr>
        <w:t xml:space="preserve"> </w:t>
      </w:r>
      <w:r>
        <w:rPr>
          <w:rFonts w:ascii="Times New Roman" w:hAnsi="Times New Roman"/>
          <w:szCs w:val="24"/>
          <w:lang w:val="bs-Latn-BA"/>
        </w:rPr>
        <w:t>о</w:t>
      </w:r>
      <w:r w:rsidR="00062436" w:rsidRPr="009D3F4F">
        <w:rPr>
          <w:rFonts w:ascii="Times New Roman" w:hAnsi="Times New Roman"/>
          <w:szCs w:val="24"/>
          <w:lang w:val="bs-Latn-BA"/>
        </w:rPr>
        <w:t xml:space="preserve"> </w:t>
      </w:r>
      <w:r w:rsidR="00D06673">
        <w:rPr>
          <w:rFonts w:ascii="Times New Roman" w:hAnsi="Times New Roman"/>
          <w:szCs w:val="24"/>
          <w:lang w:val="sr-Cyrl-BA"/>
        </w:rPr>
        <w:t>спровођењу</w:t>
      </w:r>
      <w:r w:rsidR="00062436" w:rsidRPr="009D3F4F">
        <w:rPr>
          <w:rFonts w:ascii="Times New Roman" w:hAnsi="Times New Roman"/>
          <w:szCs w:val="24"/>
          <w:lang w:val="bs-Latn-BA"/>
        </w:rPr>
        <w:t xml:space="preserve"> </w:t>
      </w:r>
      <w:r>
        <w:rPr>
          <w:rFonts w:ascii="Times New Roman" w:hAnsi="Times New Roman"/>
          <w:lang w:val="sr-Cyrl-BA"/>
        </w:rPr>
        <w:t>Стратегиј</w:t>
      </w:r>
      <w:r>
        <w:rPr>
          <w:rFonts w:ascii="Times New Roman" w:hAnsi="Times New Roman"/>
          <w:lang w:val="bs-Latn-BA"/>
        </w:rPr>
        <w:t>е</w:t>
      </w:r>
      <w:r w:rsidR="00062436" w:rsidRPr="009D3F4F">
        <w:rPr>
          <w:rFonts w:ascii="Times New Roman" w:hAnsi="Times New Roman"/>
          <w:lang w:val="sr-Cyrl-BA"/>
        </w:rPr>
        <w:t xml:space="preserve"> </w:t>
      </w:r>
      <w:r>
        <w:rPr>
          <w:rFonts w:ascii="Times New Roman" w:hAnsi="Times New Roman"/>
          <w:lang w:val="sr-Cyrl-BA"/>
        </w:rPr>
        <w:t>за</w:t>
      </w:r>
      <w:r w:rsidR="00062436" w:rsidRPr="009D3F4F">
        <w:rPr>
          <w:rFonts w:ascii="Times New Roman" w:hAnsi="Times New Roman"/>
          <w:lang w:val="sr-Cyrl-BA"/>
        </w:rPr>
        <w:t xml:space="preserve"> </w:t>
      </w:r>
      <w:r>
        <w:rPr>
          <w:rFonts w:ascii="Times New Roman" w:hAnsi="Times New Roman"/>
          <w:lang w:val="sr-Cyrl-BA"/>
        </w:rPr>
        <w:t>равноправност</w:t>
      </w:r>
      <w:r w:rsidR="00062436" w:rsidRPr="009D3F4F">
        <w:rPr>
          <w:rFonts w:ascii="Times New Roman" w:hAnsi="Times New Roman"/>
          <w:lang w:val="sr-Cyrl-BA"/>
        </w:rPr>
        <w:t xml:space="preserve"> </w:t>
      </w:r>
      <w:r>
        <w:rPr>
          <w:rFonts w:ascii="Times New Roman" w:hAnsi="Times New Roman"/>
          <w:lang w:val="sr-Cyrl-BA"/>
        </w:rPr>
        <w:t>полова</w:t>
      </w:r>
      <w:r w:rsidR="00062436" w:rsidRPr="009D3F4F">
        <w:rPr>
          <w:rFonts w:ascii="Times New Roman" w:hAnsi="Times New Roman"/>
          <w:lang w:val="sr-Cyrl-BA"/>
        </w:rPr>
        <w:t xml:space="preserve"> </w:t>
      </w:r>
      <w:r w:rsidR="00D06673">
        <w:rPr>
          <w:rFonts w:ascii="Times New Roman" w:hAnsi="Times New Roman"/>
          <w:lang w:val="sr-Cyrl-BA"/>
        </w:rPr>
        <w:t>С</w:t>
      </w:r>
      <w:r>
        <w:rPr>
          <w:rFonts w:ascii="Times New Roman" w:hAnsi="Times New Roman"/>
          <w:lang w:val="bs-Latn-BA"/>
        </w:rPr>
        <w:t>Е</w:t>
      </w:r>
      <w:r w:rsidR="00062436" w:rsidRPr="009D3F4F">
        <w:rPr>
          <w:rFonts w:ascii="Times New Roman" w:hAnsi="Times New Roman"/>
          <w:lang w:val="sr-Cyrl-BA"/>
        </w:rPr>
        <w:t xml:space="preserve"> 2018</w:t>
      </w:r>
      <w:r w:rsidR="0035180F">
        <w:rPr>
          <w:rFonts w:ascii="Times New Roman" w:hAnsi="Times New Roman"/>
          <w:lang w:val="hr-HR"/>
        </w:rPr>
        <w:t>-</w:t>
      </w:r>
      <w:r w:rsidR="00062436" w:rsidRPr="009D3F4F">
        <w:rPr>
          <w:rFonts w:ascii="Times New Roman" w:hAnsi="Times New Roman"/>
          <w:lang w:val="sr-Cyrl-BA"/>
        </w:rPr>
        <w:t>2023.</w:t>
      </w:r>
      <w:r w:rsidR="0035180F">
        <w:rPr>
          <w:rFonts w:ascii="Times New Roman" w:hAnsi="Times New Roman"/>
          <w:lang w:val="hr-HR"/>
        </w:rPr>
        <w:t xml:space="preserve"> </w:t>
      </w:r>
      <w:r>
        <w:rPr>
          <w:rFonts w:ascii="Times New Roman" w:hAnsi="Times New Roman"/>
          <w:lang w:val="hr-HR"/>
        </w:rPr>
        <w:t>година</w:t>
      </w:r>
      <w:r w:rsidR="0035180F">
        <w:rPr>
          <w:rFonts w:ascii="Times New Roman" w:hAnsi="Times New Roman"/>
          <w:lang w:val="hr-HR"/>
        </w:rPr>
        <w:t>,</w:t>
      </w:r>
      <w:r w:rsidR="00CE2C70" w:rsidRPr="009D3F4F">
        <w:rPr>
          <w:rFonts w:ascii="Times New Roman" w:hAnsi="Times New Roman"/>
          <w:szCs w:val="24"/>
          <w:lang w:val="bs-Latn-BA"/>
        </w:rPr>
        <w:t xml:space="preserve"> </w:t>
      </w:r>
      <w:r>
        <w:rPr>
          <w:rFonts w:ascii="Times New Roman" w:hAnsi="Times New Roman"/>
          <w:szCs w:val="24"/>
          <w:lang w:val="bs-Latn-BA"/>
        </w:rPr>
        <w:t>одговор</w:t>
      </w:r>
      <w:r w:rsidR="00CE2C70" w:rsidRPr="009D3F4F">
        <w:rPr>
          <w:rFonts w:ascii="Times New Roman" w:hAnsi="Times New Roman"/>
          <w:szCs w:val="24"/>
          <w:lang w:val="bs-Latn-BA"/>
        </w:rPr>
        <w:t xml:space="preserve"> </w:t>
      </w:r>
      <w:r>
        <w:rPr>
          <w:rFonts w:ascii="Times New Roman" w:hAnsi="Times New Roman"/>
          <w:szCs w:val="24"/>
          <w:lang w:val="bs-Latn-BA"/>
        </w:rPr>
        <w:t>на</w:t>
      </w:r>
      <w:r w:rsidR="00CE2C70" w:rsidRPr="009D3F4F">
        <w:rPr>
          <w:rFonts w:ascii="Times New Roman" w:hAnsi="Times New Roman"/>
          <w:szCs w:val="24"/>
          <w:lang w:val="bs-Latn-BA"/>
        </w:rPr>
        <w:t xml:space="preserve"> </w:t>
      </w:r>
      <w:r>
        <w:rPr>
          <w:rFonts w:ascii="Times New Roman" w:hAnsi="Times New Roman"/>
          <w:szCs w:val="24"/>
          <w:lang w:val="bs-Latn-BA"/>
        </w:rPr>
        <w:t>упитник</w:t>
      </w:r>
      <w:r w:rsidR="00D34684" w:rsidRPr="009D3F4F">
        <w:rPr>
          <w:rFonts w:ascii="Times New Roman" w:hAnsi="Times New Roman"/>
          <w:szCs w:val="24"/>
          <w:lang w:val="bs-Latn-BA"/>
        </w:rPr>
        <w:t xml:space="preserve"> </w:t>
      </w:r>
      <w:r>
        <w:rPr>
          <w:rFonts w:ascii="Times New Roman" w:hAnsi="Times New Roman"/>
          <w:szCs w:val="24"/>
          <w:lang w:val="bs-Latn-BA"/>
        </w:rPr>
        <w:t>за</w:t>
      </w:r>
      <w:r w:rsidR="00D34684" w:rsidRPr="009D3F4F">
        <w:rPr>
          <w:rFonts w:ascii="Times New Roman" w:hAnsi="Times New Roman"/>
          <w:szCs w:val="24"/>
          <w:lang w:val="bs-Latn-BA"/>
        </w:rPr>
        <w:t xml:space="preserve"> </w:t>
      </w:r>
      <w:r>
        <w:rPr>
          <w:rFonts w:ascii="Times New Roman" w:hAnsi="Times New Roman"/>
          <w:szCs w:val="24"/>
          <w:lang w:val="bs-Latn-BA"/>
        </w:rPr>
        <w:t>праћење</w:t>
      </w:r>
      <w:r w:rsidR="00D34684" w:rsidRPr="009D3F4F">
        <w:rPr>
          <w:rFonts w:ascii="Times New Roman" w:hAnsi="Times New Roman"/>
          <w:szCs w:val="24"/>
          <w:lang w:val="bs-Latn-BA"/>
        </w:rPr>
        <w:t xml:space="preserve"> </w:t>
      </w:r>
      <w:r>
        <w:rPr>
          <w:rFonts w:ascii="Times New Roman" w:hAnsi="Times New Roman"/>
          <w:szCs w:val="24"/>
          <w:lang w:val="bs-Latn-BA"/>
        </w:rPr>
        <w:t>реализације</w:t>
      </w:r>
      <w:r w:rsidR="00D34684" w:rsidRPr="009D3F4F">
        <w:rPr>
          <w:rFonts w:ascii="Times New Roman" w:hAnsi="Times New Roman"/>
          <w:szCs w:val="24"/>
          <w:lang w:val="bs-Latn-BA"/>
        </w:rPr>
        <w:t xml:space="preserve"> </w:t>
      </w:r>
      <w:r>
        <w:rPr>
          <w:rFonts w:ascii="Times New Roman" w:hAnsi="Times New Roman"/>
          <w:szCs w:val="24"/>
          <w:lang w:val="bs-Latn-BA"/>
        </w:rPr>
        <w:t>Акционог</w:t>
      </w:r>
      <w:r w:rsidR="00010FAA" w:rsidRPr="009D3F4F">
        <w:rPr>
          <w:rFonts w:ascii="Times New Roman" w:hAnsi="Times New Roman"/>
          <w:szCs w:val="24"/>
          <w:lang w:val="bs-Latn-BA"/>
        </w:rPr>
        <w:t xml:space="preserve"> </w:t>
      </w:r>
      <w:r>
        <w:rPr>
          <w:rFonts w:ascii="Times New Roman" w:hAnsi="Times New Roman"/>
          <w:szCs w:val="24"/>
          <w:lang w:val="bs-Latn-BA"/>
        </w:rPr>
        <w:t>плана</w:t>
      </w:r>
      <w:r w:rsidR="0035180F">
        <w:rPr>
          <w:rFonts w:ascii="Times New Roman" w:hAnsi="Times New Roman"/>
          <w:szCs w:val="24"/>
          <w:lang w:val="bs-Latn-BA"/>
        </w:rPr>
        <w:t xml:space="preserve"> </w:t>
      </w:r>
      <w:r>
        <w:rPr>
          <w:rFonts w:ascii="Times New Roman" w:hAnsi="Times New Roman"/>
          <w:szCs w:val="24"/>
          <w:lang w:val="bs-Latn-BA"/>
        </w:rPr>
        <w:t>БиХ</w:t>
      </w:r>
      <w:r w:rsidR="00CE2C70" w:rsidRPr="009D3F4F">
        <w:rPr>
          <w:rFonts w:ascii="Times New Roman" w:hAnsi="Times New Roman"/>
          <w:szCs w:val="24"/>
          <w:lang w:val="bs-Latn-BA"/>
        </w:rPr>
        <w:t xml:space="preserve"> </w:t>
      </w:r>
      <w:r>
        <w:rPr>
          <w:rFonts w:ascii="Times New Roman" w:hAnsi="Times New Roman"/>
          <w:szCs w:val="24"/>
          <w:lang w:val="bs-Latn-BA"/>
        </w:rPr>
        <w:t>за</w:t>
      </w:r>
      <w:r w:rsidR="00CE2C70" w:rsidRPr="009D3F4F">
        <w:rPr>
          <w:rFonts w:ascii="Times New Roman" w:hAnsi="Times New Roman"/>
          <w:szCs w:val="24"/>
          <w:lang w:val="bs-Latn-BA"/>
        </w:rPr>
        <w:t xml:space="preserve"> </w:t>
      </w:r>
      <w:r>
        <w:rPr>
          <w:rFonts w:ascii="Times New Roman" w:hAnsi="Times New Roman"/>
          <w:szCs w:val="24"/>
          <w:lang w:val="bs-Latn-BA"/>
        </w:rPr>
        <w:t>друштвену</w:t>
      </w:r>
      <w:r w:rsidR="00CE2C70" w:rsidRPr="009D3F4F">
        <w:rPr>
          <w:rFonts w:ascii="Times New Roman" w:hAnsi="Times New Roman"/>
          <w:szCs w:val="24"/>
          <w:lang w:val="bs-Latn-BA"/>
        </w:rPr>
        <w:t xml:space="preserve"> </w:t>
      </w:r>
      <w:r>
        <w:rPr>
          <w:rFonts w:ascii="Times New Roman" w:hAnsi="Times New Roman"/>
          <w:szCs w:val="24"/>
          <w:lang w:val="bs-Latn-BA"/>
        </w:rPr>
        <w:t>укљученост</w:t>
      </w:r>
      <w:r w:rsidR="00CE2C70" w:rsidRPr="009D3F4F">
        <w:rPr>
          <w:rFonts w:ascii="Times New Roman" w:hAnsi="Times New Roman"/>
          <w:szCs w:val="24"/>
          <w:lang w:val="bs-Latn-BA"/>
        </w:rPr>
        <w:t xml:space="preserve"> </w:t>
      </w:r>
      <w:r>
        <w:rPr>
          <w:rFonts w:ascii="Times New Roman" w:hAnsi="Times New Roman"/>
          <w:szCs w:val="24"/>
          <w:lang w:val="bs-Latn-BA"/>
        </w:rPr>
        <w:t>Рома</w:t>
      </w:r>
      <w:r w:rsidR="00CE2C70" w:rsidRPr="009D3F4F">
        <w:rPr>
          <w:rFonts w:ascii="Times New Roman" w:hAnsi="Times New Roman"/>
          <w:szCs w:val="24"/>
          <w:lang w:val="bs-Latn-BA"/>
        </w:rPr>
        <w:t xml:space="preserve"> </w:t>
      </w:r>
      <w:r>
        <w:rPr>
          <w:rFonts w:ascii="Times New Roman" w:hAnsi="Times New Roman"/>
          <w:szCs w:val="24"/>
          <w:lang w:val="bs-Latn-BA"/>
        </w:rPr>
        <w:t>и</w:t>
      </w:r>
      <w:r w:rsidR="00CE2C70" w:rsidRPr="009D3F4F">
        <w:rPr>
          <w:rFonts w:ascii="Times New Roman" w:hAnsi="Times New Roman"/>
          <w:szCs w:val="24"/>
          <w:lang w:val="bs-Latn-BA"/>
        </w:rPr>
        <w:t xml:space="preserve"> </w:t>
      </w:r>
      <w:r>
        <w:rPr>
          <w:rFonts w:ascii="Times New Roman" w:hAnsi="Times New Roman"/>
          <w:szCs w:val="24"/>
          <w:lang w:val="bs-Latn-BA"/>
        </w:rPr>
        <w:t>Ромкиња</w:t>
      </w:r>
      <w:r w:rsidR="00CE2C70" w:rsidRPr="009D3F4F">
        <w:rPr>
          <w:rFonts w:ascii="Times New Roman" w:hAnsi="Times New Roman"/>
          <w:szCs w:val="24"/>
          <w:lang w:val="bs-Latn-BA"/>
        </w:rPr>
        <w:t xml:space="preserve"> </w:t>
      </w:r>
      <w:r>
        <w:rPr>
          <w:rFonts w:ascii="Times New Roman" w:hAnsi="Times New Roman"/>
          <w:szCs w:val="24"/>
          <w:lang w:val="bs-Latn-BA"/>
        </w:rPr>
        <w:t>за</w:t>
      </w:r>
      <w:r w:rsidR="00CE2C70" w:rsidRPr="009D3F4F">
        <w:rPr>
          <w:rFonts w:ascii="Times New Roman" w:hAnsi="Times New Roman"/>
          <w:szCs w:val="24"/>
          <w:lang w:val="bs-Latn-BA"/>
        </w:rPr>
        <w:t xml:space="preserve"> </w:t>
      </w:r>
      <w:r>
        <w:rPr>
          <w:rFonts w:ascii="Times New Roman" w:hAnsi="Times New Roman"/>
          <w:szCs w:val="24"/>
          <w:lang w:val="bs-Latn-BA"/>
        </w:rPr>
        <w:t>период</w:t>
      </w:r>
      <w:r w:rsidR="00CE2C70" w:rsidRPr="009D3F4F">
        <w:rPr>
          <w:rFonts w:ascii="Times New Roman" w:hAnsi="Times New Roman"/>
          <w:szCs w:val="24"/>
          <w:lang w:val="bs-Latn-BA"/>
        </w:rPr>
        <w:t xml:space="preserve"> 2023. </w:t>
      </w:r>
      <w:r>
        <w:rPr>
          <w:rFonts w:ascii="Times New Roman" w:hAnsi="Times New Roman"/>
          <w:szCs w:val="24"/>
          <w:lang w:val="bs-Latn-BA"/>
        </w:rPr>
        <w:t>године</w:t>
      </w:r>
      <w:r w:rsidR="00FB1545">
        <w:rPr>
          <w:rFonts w:ascii="Times New Roman" w:hAnsi="Times New Roman"/>
          <w:szCs w:val="24"/>
          <w:lang w:val="bs-Latn-BA"/>
        </w:rPr>
        <w:t xml:space="preserve">, </w:t>
      </w:r>
      <w:r>
        <w:rPr>
          <w:rFonts w:ascii="Times New Roman" w:hAnsi="Times New Roman"/>
          <w:szCs w:val="24"/>
          <w:lang w:val="bs-Latn-BA"/>
        </w:rPr>
        <w:t>као</w:t>
      </w:r>
      <w:r w:rsidR="00FB1545">
        <w:rPr>
          <w:rFonts w:ascii="Times New Roman" w:hAnsi="Times New Roman"/>
          <w:szCs w:val="24"/>
          <w:lang w:val="bs-Latn-BA"/>
        </w:rPr>
        <w:t xml:space="preserve"> </w:t>
      </w:r>
      <w:r>
        <w:rPr>
          <w:rFonts w:ascii="Times New Roman" w:hAnsi="Times New Roman"/>
          <w:szCs w:val="24"/>
          <w:lang w:val="bs-Latn-BA"/>
        </w:rPr>
        <w:t>и</w:t>
      </w:r>
      <w:r w:rsidR="00FB1545">
        <w:rPr>
          <w:rFonts w:ascii="Times New Roman" w:hAnsi="Times New Roman"/>
          <w:szCs w:val="24"/>
          <w:lang w:val="bs-Latn-BA"/>
        </w:rPr>
        <w:t xml:space="preserve"> </w:t>
      </w:r>
      <w:r>
        <w:rPr>
          <w:rFonts w:ascii="Times New Roman" w:hAnsi="Times New Roman"/>
          <w:szCs w:val="24"/>
          <w:lang w:val="bs-Latn-BA"/>
        </w:rPr>
        <w:t>информације</w:t>
      </w:r>
      <w:r w:rsidR="00FB1545">
        <w:rPr>
          <w:rFonts w:ascii="Times New Roman" w:hAnsi="Times New Roman"/>
          <w:szCs w:val="24"/>
          <w:lang w:val="bs-Latn-BA"/>
        </w:rPr>
        <w:t xml:space="preserve"> </w:t>
      </w:r>
      <w:r>
        <w:rPr>
          <w:rFonts w:ascii="Times New Roman" w:hAnsi="Times New Roman"/>
          <w:szCs w:val="24"/>
          <w:lang w:val="bs-Latn-BA"/>
        </w:rPr>
        <w:t>за</w:t>
      </w:r>
      <w:r w:rsidR="00FB1545">
        <w:rPr>
          <w:rFonts w:ascii="Times New Roman" w:hAnsi="Times New Roman"/>
          <w:szCs w:val="24"/>
          <w:lang w:val="bs-Latn-BA"/>
        </w:rPr>
        <w:t xml:space="preserve"> </w:t>
      </w:r>
      <w:r>
        <w:rPr>
          <w:rFonts w:ascii="Times New Roman" w:hAnsi="Times New Roman"/>
          <w:szCs w:val="24"/>
          <w:lang w:val="bs-Latn-BA"/>
        </w:rPr>
        <w:t>израду</w:t>
      </w:r>
      <w:r w:rsidR="00FB1545">
        <w:rPr>
          <w:rFonts w:ascii="Times New Roman" w:hAnsi="Times New Roman"/>
          <w:szCs w:val="24"/>
          <w:lang w:val="bs-Latn-BA"/>
        </w:rPr>
        <w:t xml:space="preserve"> </w:t>
      </w:r>
      <w:r>
        <w:rPr>
          <w:rFonts w:ascii="Times New Roman" w:hAnsi="Times New Roman"/>
          <w:szCs w:val="24"/>
          <w:lang w:val="bs-Latn-BA"/>
        </w:rPr>
        <w:t>Четвртог</w:t>
      </w:r>
      <w:r w:rsidR="00062436" w:rsidRPr="009D3F4F">
        <w:rPr>
          <w:rFonts w:ascii="Times New Roman" w:hAnsi="Times New Roman"/>
          <w:szCs w:val="24"/>
          <w:lang w:val="bs-Latn-BA"/>
        </w:rPr>
        <w:t xml:space="preserve"> </w:t>
      </w:r>
      <w:r>
        <w:rPr>
          <w:rFonts w:ascii="Times New Roman" w:hAnsi="Times New Roman"/>
          <w:szCs w:val="24"/>
          <w:lang w:val="bs-Latn-BA"/>
        </w:rPr>
        <w:t>периодичног</w:t>
      </w:r>
      <w:r w:rsidR="00062436" w:rsidRPr="009D3F4F">
        <w:rPr>
          <w:rFonts w:ascii="Times New Roman" w:hAnsi="Times New Roman"/>
          <w:szCs w:val="24"/>
          <w:lang w:val="bs-Latn-BA"/>
        </w:rPr>
        <w:t xml:space="preserve"> </w:t>
      </w:r>
      <w:r>
        <w:rPr>
          <w:rFonts w:ascii="Times New Roman" w:hAnsi="Times New Roman"/>
          <w:szCs w:val="24"/>
          <w:lang w:val="bs-Latn-BA"/>
        </w:rPr>
        <w:t>извјештаја</w:t>
      </w:r>
      <w:r w:rsidR="00062436" w:rsidRPr="009D3F4F">
        <w:rPr>
          <w:rFonts w:ascii="Times New Roman" w:hAnsi="Times New Roman"/>
          <w:szCs w:val="24"/>
          <w:lang w:val="bs-Latn-BA"/>
        </w:rPr>
        <w:t xml:space="preserve"> </w:t>
      </w:r>
      <w:r>
        <w:rPr>
          <w:rFonts w:ascii="Times New Roman" w:hAnsi="Times New Roman"/>
          <w:szCs w:val="24"/>
          <w:lang w:val="bs-Latn-BA"/>
        </w:rPr>
        <w:t>о</w:t>
      </w:r>
      <w:r w:rsidR="00062436" w:rsidRPr="009D3F4F">
        <w:rPr>
          <w:rFonts w:ascii="Times New Roman" w:hAnsi="Times New Roman"/>
          <w:szCs w:val="24"/>
          <w:lang w:val="bs-Latn-BA"/>
        </w:rPr>
        <w:t xml:space="preserve"> </w:t>
      </w:r>
      <w:r>
        <w:rPr>
          <w:rFonts w:ascii="Times New Roman" w:hAnsi="Times New Roman"/>
          <w:szCs w:val="24"/>
          <w:lang w:val="bs-Latn-BA"/>
        </w:rPr>
        <w:t>стању</w:t>
      </w:r>
      <w:r w:rsidR="00062436" w:rsidRPr="009D3F4F">
        <w:rPr>
          <w:rFonts w:ascii="Times New Roman" w:hAnsi="Times New Roman"/>
          <w:szCs w:val="24"/>
          <w:lang w:val="bs-Latn-BA"/>
        </w:rPr>
        <w:t xml:space="preserve"> </w:t>
      </w:r>
      <w:r>
        <w:rPr>
          <w:rFonts w:ascii="Times New Roman" w:hAnsi="Times New Roman"/>
          <w:szCs w:val="24"/>
          <w:lang w:val="bs-Latn-BA"/>
        </w:rPr>
        <w:t>људских</w:t>
      </w:r>
      <w:r w:rsidR="00062436" w:rsidRPr="009D3F4F">
        <w:rPr>
          <w:rFonts w:ascii="Times New Roman" w:hAnsi="Times New Roman"/>
          <w:szCs w:val="24"/>
          <w:lang w:val="bs-Latn-BA"/>
        </w:rPr>
        <w:t xml:space="preserve"> </w:t>
      </w:r>
      <w:r>
        <w:rPr>
          <w:rFonts w:ascii="Times New Roman" w:hAnsi="Times New Roman"/>
          <w:szCs w:val="24"/>
          <w:lang w:val="bs-Latn-BA"/>
        </w:rPr>
        <w:t>права</w:t>
      </w:r>
      <w:r w:rsidR="00062436" w:rsidRPr="009D3F4F">
        <w:rPr>
          <w:rFonts w:ascii="Times New Roman" w:hAnsi="Times New Roman"/>
          <w:szCs w:val="24"/>
          <w:lang w:val="bs-Latn-BA"/>
        </w:rPr>
        <w:t xml:space="preserve"> (</w:t>
      </w:r>
      <w:r>
        <w:rPr>
          <w:rFonts w:ascii="Times New Roman" w:hAnsi="Times New Roman"/>
          <w:szCs w:val="24"/>
          <w:lang w:val="bs-Latn-BA"/>
        </w:rPr>
        <w:t>УПР</w:t>
      </w:r>
      <w:r w:rsidR="00062436" w:rsidRPr="009D3F4F">
        <w:rPr>
          <w:rFonts w:ascii="Times New Roman" w:hAnsi="Times New Roman"/>
          <w:szCs w:val="24"/>
          <w:lang w:val="bs-Latn-BA"/>
        </w:rPr>
        <w:t xml:space="preserve">) </w:t>
      </w:r>
      <w:r>
        <w:rPr>
          <w:rFonts w:ascii="Times New Roman" w:hAnsi="Times New Roman"/>
          <w:szCs w:val="24"/>
          <w:lang w:val="bs-Latn-BA"/>
        </w:rPr>
        <w:t>за</w:t>
      </w:r>
      <w:r w:rsidR="00062436" w:rsidRPr="009D3F4F">
        <w:rPr>
          <w:rFonts w:ascii="Times New Roman" w:hAnsi="Times New Roman"/>
          <w:szCs w:val="24"/>
          <w:lang w:val="bs-Latn-BA"/>
        </w:rPr>
        <w:t xml:space="preserve"> </w:t>
      </w:r>
      <w:r>
        <w:rPr>
          <w:rFonts w:ascii="Times New Roman" w:hAnsi="Times New Roman"/>
          <w:szCs w:val="24"/>
          <w:lang w:val="bs-Latn-BA"/>
        </w:rPr>
        <w:t>период</w:t>
      </w:r>
      <w:r w:rsidR="00062436" w:rsidRPr="009D3F4F">
        <w:rPr>
          <w:rFonts w:ascii="Times New Roman" w:hAnsi="Times New Roman"/>
          <w:szCs w:val="24"/>
          <w:lang w:val="bs-Latn-BA"/>
        </w:rPr>
        <w:t xml:space="preserve"> 2019-2023. </w:t>
      </w:r>
      <w:r>
        <w:rPr>
          <w:rFonts w:ascii="Times New Roman" w:hAnsi="Times New Roman"/>
          <w:szCs w:val="24"/>
          <w:lang w:val="bs-Latn-BA"/>
        </w:rPr>
        <w:t>године</w:t>
      </w:r>
      <w:r w:rsidR="00F045C3" w:rsidRPr="009D3F4F">
        <w:rPr>
          <w:rFonts w:ascii="Times New Roman" w:hAnsi="Times New Roman"/>
          <w:szCs w:val="24"/>
          <w:lang w:val="bs-Latn-BA"/>
        </w:rPr>
        <w:t xml:space="preserve">, </w:t>
      </w:r>
      <w:r>
        <w:rPr>
          <w:rFonts w:ascii="Times New Roman" w:hAnsi="Times New Roman"/>
          <w:lang w:val="sr-Cyrl-BA"/>
        </w:rPr>
        <w:t>одговоре</w:t>
      </w:r>
      <w:r w:rsidR="00F045C3" w:rsidRPr="009D3F4F">
        <w:rPr>
          <w:rFonts w:ascii="Times New Roman" w:hAnsi="Times New Roman"/>
          <w:lang w:val="sr-Cyrl-BA"/>
        </w:rPr>
        <w:t xml:space="preserve"> </w:t>
      </w:r>
      <w:r>
        <w:rPr>
          <w:rFonts w:ascii="Times New Roman" w:hAnsi="Times New Roman"/>
          <w:lang w:val="sr-Cyrl-BA"/>
        </w:rPr>
        <w:t>на</w:t>
      </w:r>
      <w:r w:rsidR="00F045C3" w:rsidRPr="009D3F4F">
        <w:rPr>
          <w:rFonts w:ascii="Times New Roman" w:hAnsi="Times New Roman"/>
          <w:lang w:val="sr-Cyrl-BA"/>
        </w:rPr>
        <w:t xml:space="preserve"> </w:t>
      </w:r>
      <w:r>
        <w:rPr>
          <w:rFonts w:ascii="Times New Roman" w:hAnsi="Times New Roman"/>
          <w:lang w:val="sr-Cyrl-BA"/>
        </w:rPr>
        <w:t>Листу</w:t>
      </w:r>
      <w:r w:rsidR="00F045C3" w:rsidRPr="009D3F4F">
        <w:rPr>
          <w:rFonts w:ascii="Times New Roman" w:hAnsi="Times New Roman"/>
          <w:lang w:val="sr-Cyrl-BA"/>
        </w:rPr>
        <w:t xml:space="preserve"> </w:t>
      </w:r>
      <w:r>
        <w:rPr>
          <w:rFonts w:ascii="Times New Roman" w:hAnsi="Times New Roman"/>
          <w:lang w:val="sr-Cyrl-BA"/>
        </w:rPr>
        <w:t>питања</w:t>
      </w:r>
      <w:r w:rsidR="00F045C3" w:rsidRPr="009D3F4F">
        <w:rPr>
          <w:rFonts w:ascii="Times New Roman" w:hAnsi="Times New Roman"/>
          <w:lang w:val="sr-Cyrl-BA"/>
        </w:rPr>
        <w:t xml:space="preserve"> </w:t>
      </w:r>
      <w:r>
        <w:rPr>
          <w:rFonts w:ascii="Times New Roman" w:hAnsi="Times New Roman"/>
          <w:lang w:val="sr-Cyrl-BA"/>
        </w:rPr>
        <w:t>за</w:t>
      </w:r>
      <w:r w:rsidR="00F045C3" w:rsidRPr="009D3F4F">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w:t>
      </w:r>
      <w:r w:rsidR="00F045C3" w:rsidRPr="009D3F4F">
        <w:rPr>
          <w:rFonts w:ascii="Times New Roman" w:hAnsi="Times New Roman"/>
          <w:lang w:val="sr-Cyrl-BA"/>
        </w:rPr>
        <w:t xml:space="preserve"> </w:t>
      </w:r>
      <w:r>
        <w:rPr>
          <w:rFonts w:ascii="Times New Roman" w:hAnsi="Times New Roman"/>
          <w:lang w:val="sr-Cyrl-BA"/>
        </w:rPr>
        <w:t>по</w:t>
      </w:r>
      <w:r w:rsidR="00F045C3" w:rsidRPr="009D3F4F">
        <w:rPr>
          <w:rFonts w:ascii="Times New Roman" w:hAnsi="Times New Roman"/>
          <w:lang w:val="sr-Cyrl-BA"/>
        </w:rPr>
        <w:t xml:space="preserve"> </w:t>
      </w:r>
      <w:r>
        <w:rPr>
          <w:rFonts w:ascii="Times New Roman" w:hAnsi="Times New Roman"/>
          <w:lang w:val="sr-Cyrl-BA"/>
        </w:rPr>
        <w:t>Ревиди</w:t>
      </w:r>
      <w:r w:rsidR="00D06673">
        <w:rPr>
          <w:rFonts w:ascii="Times New Roman" w:hAnsi="Times New Roman"/>
          <w:lang w:val="sr-Cyrl-BA"/>
        </w:rPr>
        <w:t>с</w:t>
      </w:r>
      <w:r>
        <w:rPr>
          <w:rFonts w:ascii="Times New Roman" w:hAnsi="Times New Roman"/>
          <w:lang w:val="sr-Cyrl-BA"/>
        </w:rPr>
        <w:t>аној</w:t>
      </w:r>
      <w:r w:rsidR="00F045C3" w:rsidRPr="009D3F4F">
        <w:rPr>
          <w:rFonts w:ascii="Times New Roman" w:hAnsi="Times New Roman"/>
          <w:lang w:val="sr-Cyrl-BA"/>
        </w:rPr>
        <w:t xml:space="preserve"> </w:t>
      </w:r>
      <w:r>
        <w:rPr>
          <w:rFonts w:ascii="Times New Roman" w:hAnsi="Times New Roman"/>
          <w:lang w:val="sr-Cyrl-BA"/>
        </w:rPr>
        <w:t>е</w:t>
      </w:r>
      <w:r>
        <w:rPr>
          <w:rFonts w:ascii="Times New Roman" w:hAnsi="Times New Roman"/>
          <w:lang w:val="hr-HR"/>
        </w:rPr>
        <w:t>в</w:t>
      </w:r>
      <w:r>
        <w:rPr>
          <w:rFonts w:ascii="Times New Roman" w:hAnsi="Times New Roman"/>
          <w:lang w:val="sr-Cyrl-BA"/>
        </w:rPr>
        <w:t>ропској</w:t>
      </w:r>
      <w:r w:rsidR="00F045C3" w:rsidRPr="009D3F4F">
        <w:rPr>
          <w:rFonts w:ascii="Times New Roman" w:hAnsi="Times New Roman"/>
          <w:lang w:val="sr-Cyrl-BA"/>
        </w:rPr>
        <w:t xml:space="preserve"> </w:t>
      </w:r>
      <w:r>
        <w:rPr>
          <w:rFonts w:ascii="Times New Roman" w:hAnsi="Times New Roman"/>
          <w:lang w:val="sr-Cyrl-BA"/>
        </w:rPr>
        <w:t>социјалној</w:t>
      </w:r>
      <w:r w:rsidR="00F045C3" w:rsidRPr="009D3F4F">
        <w:rPr>
          <w:rFonts w:ascii="Times New Roman" w:hAnsi="Times New Roman"/>
          <w:lang w:val="sr-Cyrl-BA"/>
        </w:rPr>
        <w:t xml:space="preserve"> </w:t>
      </w:r>
      <w:r>
        <w:rPr>
          <w:rFonts w:ascii="Times New Roman" w:hAnsi="Times New Roman"/>
          <w:lang w:val="sr-Cyrl-BA"/>
        </w:rPr>
        <w:t>повељи</w:t>
      </w:r>
      <w:r w:rsidR="00F045C3" w:rsidRPr="009D3F4F">
        <w:rPr>
          <w:rFonts w:ascii="Times New Roman" w:hAnsi="Times New Roman"/>
          <w:lang w:val="bs-Latn-BA"/>
        </w:rPr>
        <w:t xml:space="preserve">, </w:t>
      </w:r>
      <w:r>
        <w:rPr>
          <w:rFonts w:ascii="Times New Roman" w:hAnsi="Times New Roman"/>
          <w:lang w:val="bs-Latn-BA"/>
        </w:rPr>
        <w:t>одговоре</w:t>
      </w:r>
      <w:r w:rsidR="00F045C3" w:rsidRPr="009D3F4F">
        <w:rPr>
          <w:rFonts w:ascii="Times New Roman" w:hAnsi="Times New Roman"/>
          <w:lang w:val="bs-Latn-BA"/>
        </w:rPr>
        <w:t xml:space="preserve"> </w:t>
      </w:r>
      <w:r>
        <w:rPr>
          <w:rFonts w:ascii="Times New Roman" w:hAnsi="Times New Roman"/>
          <w:lang w:val="bs-Latn-BA"/>
        </w:rPr>
        <w:t>на</w:t>
      </w:r>
      <w:r w:rsidR="00F045C3" w:rsidRPr="009D3F4F">
        <w:rPr>
          <w:rFonts w:ascii="Times New Roman" w:hAnsi="Times New Roman"/>
          <w:lang w:val="bs-Latn-BA"/>
        </w:rPr>
        <w:t xml:space="preserve"> </w:t>
      </w:r>
      <w:r>
        <w:rPr>
          <w:rFonts w:ascii="Times New Roman" w:hAnsi="Times New Roman"/>
          <w:lang w:val="bs-Latn-BA"/>
        </w:rPr>
        <w:t>питања</w:t>
      </w:r>
      <w:r w:rsidR="00F045C3" w:rsidRPr="009D3F4F">
        <w:rPr>
          <w:rFonts w:ascii="Times New Roman" w:hAnsi="Times New Roman"/>
          <w:lang w:val="bs-Latn-BA"/>
        </w:rPr>
        <w:t xml:space="preserve"> </w:t>
      </w:r>
      <w:r>
        <w:rPr>
          <w:rFonts w:ascii="Times New Roman" w:hAnsi="Times New Roman"/>
          <w:lang w:val="bs-Latn-BA"/>
        </w:rPr>
        <w:t>Европског</w:t>
      </w:r>
      <w:r w:rsidR="00F045C3" w:rsidRPr="009D3F4F">
        <w:rPr>
          <w:rFonts w:ascii="Times New Roman" w:hAnsi="Times New Roman"/>
          <w:lang w:val="bs-Latn-BA"/>
        </w:rPr>
        <w:t xml:space="preserve"> </w:t>
      </w:r>
      <w:r>
        <w:rPr>
          <w:rFonts w:ascii="Times New Roman" w:hAnsi="Times New Roman"/>
          <w:lang w:val="bs-Latn-BA"/>
        </w:rPr>
        <w:t>комитета</w:t>
      </w:r>
      <w:r w:rsidR="00F045C3" w:rsidRPr="009D3F4F">
        <w:rPr>
          <w:rFonts w:ascii="Times New Roman" w:hAnsi="Times New Roman"/>
          <w:lang w:val="bs-Latn-BA"/>
        </w:rPr>
        <w:t xml:space="preserve"> </w:t>
      </w:r>
      <w:r>
        <w:rPr>
          <w:rFonts w:ascii="Times New Roman" w:hAnsi="Times New Roman"/>
          <w:lang w:val="bs-Latn-BA"/>
        </w:rPr>
        <w:t>за</w:t>
      </w:r>
      <w:r w:rsidR="00F045C3" w:rsidRPr="009D3F4F">
        <w:rPr>
          <w:rFonts w:ascii="Times New Roman" w:hAnsi="Times New Roman"/>
          <w:lang w:val="bs-Latn-BA"/>
        </w:rPr>
        <w:t xml:space="preserve"> </w:t>
      </w:r>
      <w:r>
        <w:rPr>
          <w:rFonts w:ascii="Times New Roman" w:hAnsi="Times New Roman"/>
          <w:lang w:val="bs-Latn-BA"/>
        </w:rPr>
        <w:t>социјална</w:t>
      </w:r>
      <w:r w:rsidR="00F045C3" w:rsidRPr="009D3F4F">
        <w:rPr>
          <w:rFonts w:ascii="Times New Roman" w:hAnsi="Times New Roman"/>
          <w:lang w:val="bs-Latn-BA"/>
        </w:rPr>
        <w:t xml:space="preserve"> </w:t>
      </w:r>
      <w:r>
        <w:rPr>
          <w:rFonts w:ascii="Times New Roman" w:hAnsi="Times New Roman"/>
          <w:lang w:val="bs-Latn-BA"/>
        </w:rPr>
        <w:t>права</w:t>
      </w:r>
      <w:r w:rsidR="00F045C3" w:rsidRPr="009D3F4F">
        <w:rPr>
          <w:rFonts w:ascii="Times New Roman" w:hAnsi="Times New Roman"/>
          <w:lang w:val="bs-Latn-BA"/>
        </w:rPr>
        <w:t xml:space="preserve"> </w:t>
      </w:r>
      <w:r>
        <w:rPr>
          <w:rFonts w:ascii="Times New Roman" w:hAnsi="Times New Roman"/>
          <w:lang w:val="bs-Latn-BA"/>
        </w:rPr>
        <w:t>за</w:t>
      </w:r>
      <w:r w:rsidR="00F045C3" w:rsidRPr="009D3F4F">
        <w:rPr>
          <w:rFonts w:ascii="Times New Roman" w:hAnsi="Times New Roman"/>
          <w:lang w:val="bs-Latn-BA"/>
        </w:rPr>
        <w:t xml:space="preserve"> </w:t>
      </w:r>
      <w:r>
        <w:rPr>
          <w:rFonts w:ascii="Times New Roman" w:hAnsi="Times New Roman"/>
          <w:lang w:val="bs-Latn-BA"/>
        </w:rPr>
        <w:t>статусни</w:t>
      </w:r>
      <w:r w:rsidR="00F045C3" w:rsidRPr="009D3F4F">
        <w:rPr>
          <w:rFonts w:ascii="Times New Roman" w:hAnsi="Times New Roman"/>
          <w:lang w:val="bs-Latn-BA"/>
        </w:rPr>
        <w:t xml:space="preserve"> </w:t>
      </w:r>
      <w:r>
        <w:rPr>
          <w:rFonts w:ascii="Times New Roman" w:hAnsi="Times New Roman"/>
          <w:lang w:val="bs-Latn-BA"/>
        </w:rPr>
        <w:t>извјештај</w:t>
      </w:r>
      <w:r w:rsidR="00F045C3" w:rsidRPr="009D3F4F">
        <w:rPr>
          <w:rFonts w:ascii="Times New Roman" w:hAnsi="Times New Roman"/>
          <w:lang w:val="bs-Latn-BA"/>
        </w:rPr>
        <w:t xml:space="preserve"> </w:t>
      </w:r>
      <w:r>
        <w:rPr>
          <w:rFonts w:ascii="Times New Roman" w:hAnsi="Times New Roman"/>
          <w:lang w:val="bs-Latn-BA"/>
        </w:rPr>
        <w:t>држава</w:t>
      </w:r>
      <w:r w:rsidR="00F045C3" w:rsidRPr="009D3F4F">
        <w:rPr>
          <w:rFonts w:ascii="Times New Roman" w:hAnsi="Times New Roman"/>
          <w:lang w:val="bs-Latn-BA"/>
        </w:rPr>
        <w:t xml:space="preserve"> </w:t>
      </w:r>
      <w:r>
        <w:rPr>
          <w:rFonts w:ascii="Times New Roman" w:hAnsi="Times New Roman"/>
          <w:lang w:val="bs-Latn-BA"/>
        </w:rPr>
        <w:t>потписница</w:t>
      </w:r>
      <w:r w:rsidR="00F045C3" w:rsidRPr="009D3F4F">
        <w:rPr>
          <w:rFonts w:ascii="Times New Roman" w:hAnsi="Times New Roman"/>
          <w:lang w:val="bs-Latn-BA"/>
        </w:rPr>
        <w:t xml:space="preserve"> </w:t>
      </w:r>
      <w:r>
        <w:rPr>
          <w:rFonts w:ascii="Times New Roman" w:hAnsi="Times New Roman"/>
          <w:lang w:val="bs-Latn-BA"/>
        </w:rPr>
        <w:t>које</w:t>
      </w:r>
      <w:r w:rsidR="00F045C3" w:rsidRPr="009D3F4F">
        <w:rPr>
          <w:rFonts w:ascii="Times New Roman" w:hAnsi="Times New Roman"/>
          <w:lang w:val="bs-Latn-BA"/>
        </w:rPr>
        <w:t xml:space="preserve"> </w:t>
      </w:r>
      <w:r>
        <w:rPr>
          <w:rFonts w:ascii="Times New Roman" w:hAnsi="Times New Roman"/>
          <w:lang w:val="bs-Latn-BA"/>
        </w:rPr>
        <w:t>нису</w:t>
      </w:r>
      <w:r w:rsidR="00F045C3" w:rsidRPr="009D3F4F">
        <w:rPr>
          <w:rFonts w:ascii="Times New Roman" w:hAnsi="Times New Roman"/>
          <w:lang w:val="bs-Latn-BA"/>
        </w:rPr>
        <w:t xml:space="preserve"> </w:t>
      </w:r>
      <w:r>
        <w:rPr>
          <w:rFonts w:ascii="Times New Roman" w:hAnsi="Times New Roman"/>
          <w:lang w:val="bs-Latn-BA"/>
        </w:rPr>
        <w:t>прихватиле</w:t>
      </w:r>
      <w:r w:rsidR="00F045C3" w:rsidRPr="009D3F4F">
        <w:rPr>
          <w:rFonts w:ascii="Times New Roman" w:hAnsi="Times New Roman"/>
          <w:lang w:val="bs-Latn-BA"/>
        </w:rPr>
        <w:t xml:space="preserve"> </w:t>
      </w:r>
      <w:r>
        <w:rPr>
          <w:rFonts w:ascii="Times New Roman" w:hAnsi="Times New Roman"/>
          <w:lang w:val="bs-Latn-BA"/>
        </w:rPr>
        <w:t>поступак</w:t>
      </w:r>
      <w:r w:rsidR="0035180F">
        <w:rPr>
          <w:rFonts w:ascii="Times New Roman" w:hAnsi="Times New Roman"/>
          <w:lang w:val="bs-Latn-BA"/>
        </w:rPr>
        <w:t xml:space="preserve"> </w:t>
      </w:r>
      <w:r>
        <w:rPr>
          <w:rFonts w:ascii="Times New Roman" w:hAnsi="Times New Roman"/>
          <w:lang w:val="bs-Latn-BA"/>
        </w:rPr>
        <w:t>колективних</w:t>
      </w:r>
      <w:r w:rsidR="0035180F">
        <w:rPr>
          <w:rFonts w:ascii="Times New Roman" w:hAnsi="Times New Roman"/>
          <w:lang w:val="bs-Latn-BA"/>
        </w:rPr>
        <w:t xml:space="preserve"> </w:t>
      </w:r>
      <w:r>
        <w:rPr>
          <w:rFonts w:ascii="Times New Roman" w:hAnsi="Times New Roman"/>
          <w:lang w:val="bs-Latn-BA"/>
        </w:rPr>
        <w:t>жалби</w:t>
      </w:r>
      <w:r w:rsidR="0035180F">
        <w:rPr>
          <w:rFonts w:ascii="Times New Roman" w:hAnsi="Times New Roman"/>
          <w:lang w:val="bs-Latn-BA"/>
        </w:rPr>
        <w:t xml:space="preserve"> </w:t>
      </w:r>
      <w:r>
        <w:rPr>
          <w:rFonts w:ascii="Times New Roman" w:hAnsi="Times New Roman"/>
          <w:lang w:val="bs-Latn-BA"/>
        </w:rPr>
        <w:t>до</w:t>
      </w:r>
      <w:r w:rsidR="0035180F">
        <w:rPr>
          <w:rFonts w:ascii="Times New Roman" w:hAnsi="Times New Roman"/>
          <w:lang w:val="bs-Latn-BA"/>
        </w:rPr>
        <w:t xml:space="preserve"> 31.12.</w:t>
      </w:r>
      <w:r w:rsidR="00F045C3" w:rsidRPr="009D3F4F">
        <w:rPr>
          <w:rFonts w:ascii="Times New Roman" w:hAnsi="Times New Roman"/>
          <w:lang w:val="bs-Latn-BA"/>
        </w:rPr>
        <w:t xml:space="preserve">2024. </w:t>
      </w:r>
      <w:r>
        <w:rPr>
          <w:rFonts w:ascii="Times New Roman" w:hAnsi="Times New Roman"/>
          <w:lang w:val="bs-Latn-BA"/>
        </w:rPr>
        <w:t>године</w:t>
      </w:r>
      <w:r w:rsidR="00967286" w:rsidRPr="009D3F4F">
        <w:rPr>
          <w:rFonts w:ascii="Times New Roman" w:hAnsi="Times New Roman"/>
          <w:lang w:val="bs-Latn-BA"/>
        </w:rPr>
        <w:t xml:space="preserve">, </w:t>
      </w:r>
      <w:r>
        <w:rPr>
          <w:rFonts w:ascii="Times New Roman" w:hAnsi="Times New Roman"/>
          <w:szCs w:val="24"/>
          <w:lang w:val="bs-Latn-BA"/>
        </w:rPr>
        <w:t>одговори</w:t>
      </w:r>
      <w:r w:rsidR="00967286" w:rsidRPr="009D3F4F">
        <w:rPr>
          <w:rFonts w:ascii="Times New Roman" w:hAnsi="Times New Roman"/>
          <w:szCs w:val="24"/>
          <w:lang w:val="bs-Latn-BA"/>
        </w:rPr>
        <w:t xml:space="preserve"> </w:t>
      </w:r>
      <w:r>
        <w:rPr>
          <w:rFonts w:ascii="Times New Roman" w:hAnsi="Times New Roman"/>
          <w:szCs w:val="24"/>
          <w:lang w:val="bs-Latn-BA"/>
        </w:rPr>
        <w:t>на</w:t>
      </w:r>
      <w:r w:rsidR="00967286" w:rsidRPr="009D3F4F">
        <w:rPr>
          <w:rFonts w:ascii="Times New Roman" w:hAnsi="Times New Roman"/>
          <w:szCs w:val="24"/>
          <w:lang w:val="bs-Latn-BA"/>
        </w:rPr>
        <w:t xml:space="preserve"> </w:t>
      </w:r>
      <w:r>
        <w:rPr>
          <w:rFonts w:ascii="Times New Roman" w:hAnsi="Times New Roman"/>
          <w:szCs w:val="24"/>
          <w:lang w:val="bs-Latn-BA"/>
        </w:rPr>
        <w:t>питања</w:t>
      </w:r>
      <w:r w:rsidR="00967286" w:rsidRPr="009D3F4F">
        <w:rPr>
          <w:rFonts w:ascii="Times New Roman" w:hAnsi="Times New Roman"/>
          <w:szCs w:val="24"/>
          <w:lang w:val="bs-Latn-BA"/>
        </w:rPr>
        <w:t xml:space="preserve"> </w:t>
      </w:r>
      <w:r>
        <w:rPr>
          <w:rFonts w:ascii="Times New Roman" w:hAnsi="Times New Roman"/>
          <w:szCs w:val="24"/>
          <w:lang w:val="bs-Latn-BA"/>
        </w:rPr>
        <w:t>на</w:t>
      </w:r>
      <w:r w:rsidR="00967286" w:rsidRPr="009D3F4F">
        <w:rPr>
          <w:rFonts w:ascii="Times New Roman" w:hAnsi="Times New Roman"/>
          <w:szCs w:val="24"/>
          <w:lang w:val="bs-Latn-BA"/>
        </w:rPr>
        <w:t xml:space="preserve"> </w:t>
      </w:r>
      <w:r>
        <w:rPr>
          <w:rFonts w:ascii="Times New Roman" w:hAnsi="Times New Roman"/>
          <w:szCs w:val="24"/>
          <w:lang w:val="bs-Latn-BA"/>
        </w:rPr>
        <w:t>упитник</w:t>
      </w:r>
      <w:r w:rsidR="00967286" w:rsidRPr="009D3F4F">
        <w:rPr>
          <w:rFonts w:ascii="Times New Roman" w:hAnsi="Times New Roman"/>
          <w:szCs w:val="24"/>
          <w:lang w:val="bs-Latn-BA"/>
        </w:rPr>
        <w:t xml:space="preserve"> </w:t>
      </w:r>
      <w:r w:rsidR="00D06673">
        <w:rPr>
          <w:rFonts w:ascii="Times New Roman" w:hAnsi="Times New Roman"/>
          <w:szCs w:val="24"/>
          <w:lang w:val="sr-Cyrl-BA"/>
        </w:rPr>
        <w:t>Савјета</w:t>
      </w:r>
      <w:r w:rsidR="00967286" w:rsidRPr="009D3F4F">
        <w:rPr>
          <w:rFonts w:ascii="Times New Roman" w:hAnsi="Times New Roman"/>
          <w:szCs w:val="24"/>
          <w:lang w:val="bs-Latn-BA"/>
        </w:rPr>
        <w:t xml:space="preserve"> </w:t>
      </w:r>
      <w:r>
        <w:rPr>
          <w:rFonts w:ascii="Times New Roman" w:hAnsi="Times New Roman"/>
          <w:szCs w:val="24"/>
          <w:lang w:val="bs-Latn-BA"/>
        </w:rPr>
        <w:t>Европе</w:t>
      </w:r>
      <w:r w:rsidR="00967286" w:rsidRPr="009D3F4F">
        <w:rPr>
          <w:rFonts w:ascii="Times New Roman" w:hAnsi="Times New Roman"/>
          <w:szCs w:val="24"/>
          <w:lang w:val="bs-Latn-BA"/>
        </w:rPr>
        <w:t xml:space="preserve"> </w:t>
      </w:r>
      <w:r>
        <w:rPr>
          <w:rFonts w:ascii="Times New Roman" w:hAnsi="Times New Roman"/>
          <w:szCs w:val="24"/>
          <w:lang w:val="bs-Latn-BA"/>
        </w:rPr>
        <w:t>ХР</w:t>
      </w:r>
      <w:r w:rsidR="00967286" w:rsidRPr="009D3F4F">
        <w:rPr>
          <w:rFonts w:ascii="Times New Roman" w:hAnsi="Times New Roman"/>
          <w:szCs w:val="24"/>
          <w:lang w:val="bs-Latn-BA"/>
        </w:rPr>
        <w:t xml:space="preserve"> </w:t>
      </w:r>
      <w:r>
        <w:rPr>
          <w:rFonts w:ascii="Times New Roman" w:hAnsi="Times New Roman"/>
          <w:szCs w:val="24"/>
          <w:lang w:val="bs-Latn-BA"/>
        </w:rPr>
        <w:t>Репорт</w:t>
      </w:r>
      <w:r w:rsidR="00967286" w:rsidRPr="009D3F4F">
        <w:rPr>
          <w:rFonts w:ascii="Times New Roman" w:hAnsi="Times New Roman"/>
          <w:szCs w:val="24"/>
          <w:lang w:val="bs-Latn-BA"/>
        </w:rPr>
        <w:t xml:space="preserve"> „</w:t>
      </w:r>
      <w:r>
        <w:rPr>
          <w:rFonts w:ascii="Times New Roman" w:hAnsi="Times New Roman"/>
          <w:szCs w:val="24"/>
          <w:lang w:val="bs-Latn-BA"/>
        </w:rPr>
        <w:t>Дискриминација</w:t>
      </w:r>
      <w:r w:rsidR="00967286" w:rsidRPr="009D3F4F">
        <w:rPr>
          <w:rFonts w:ascii="Times New Roman" w:hAnsi="Times New Roman"/>
          <w:szCs w:val="24"/>
          <w:lang w:val="bs-Latn-BA"/>
        </w:rPr>
        <w:t xml:space="preserve"> </w:t>
      </w:r>
      <w:r>
        <w:rPr>
          <w:rFonts w:ascii="Times New Roman" w:hAnsi="Times New Roman"/>
          <w:szCs w:val="24"/>
          <w:lang w:val="bs-Latn-BA"/>
        </w:rPr>
        <w:t>и</w:t>
      </w:r>
      <w:r w:rsidR="00967286" w:rsidRPr="009D3F4F">
        <w:rPr>
          <w:rFonts w:ascii="Times New Roman" w:hAnsi="Times New Roman"/>
          <w:szCs w:val="24"/>
          <w:lang w:val="bs-Latn-BA"/>
        </w:rPr>
        <w:t xml:space="preserve"> </w:t>
      </w:r>
      <w:r>
        <w:rPr>
          <w:rFonts w:ascii="Times New Roman" w:hAnsi="Times New Roman"/>
          <w:szCs w:val="24"/>
          <w:lang w:val="bs-Latn-BA"/>
        </w:rPr>
        <w:t>друштвена</w:t>
      </w:r>
      <w:r w:rsidR="00967286" w:rsidRPr="009D3F4F">
        <w:rPr>
          <w:rFonts w:ascii="Times New Roman" w:hAnsi="Times New Roman"/>
          <w:szCs w:val="24"/>
          <w:lang w:val="bs-Latn-BA"/>
        </w:rPr>
        <w:t xml:space="preserve"> </w:t>
      </w:r>
      <w:r>
        <w:rPr>
          <w:rFonts w:ascii="Times New Roman" w:hAnsi="Times New Roman"/>
          <w:szCs w:val="24"/>
          <w:lang w:val="bs-Latn-BA"/>
        </w:rPr>
        <w:t>злоупотреба</w:t>
      </w:r>
      <w:r w:rsidR="00967286" w:rsidRPr="009D3F4F">
        <w:rPr>
          <w:rFonts w:ascii="Times New Roman" w:hAnsi="Times New Roman"/>
          <w:szCs w:val="24"/>
          <w:lang w:val="bs-Latn-BA"/>
        </w:rPr>
        <w:t>“</w:t>
      </w:r>
      <w:r w:rsidR="009820D6" w:rsidRPr="009D3F4F">
        <w:rPr>
          <w:rFonts w:ascii="Times New Roman" w:hAnsi="Times New Roman"/>
          <w:szCs w:val="24"/>
          <w:lang w:val="bs-Latn-BA"/>
        </w:rPr>
        <w:t xml:space="preserve"> </w:t>
      </w:r>
      <w:r>
        <w:rPr>
          <w:rFonts w:ascii="Times New Roman" w:hAnsi="Times New Roman"/>
          <w:szCs w:val="24"/>
          <w:lang w:val="bs-Latn-BA"/>
        </w:rPr>
        <w:t>као</w:t>
      </w:r>
      <w:r w:rsidR="009820D6" w:rsidRPr="009D3F4F">
        <w:rPr>
          <w:rFonts w:ascii="Times New Roman" w:hAnsi="Times New Roman"/>
          <w:szCs w:val="24"/>
          <w:lang w:val="bs-Latn-BA"/>
        </w:rPr>
        <w:t xml:space="preserve"> </w:t>
      </w:r>
      <w:r>
        <w:rPr>
          <w:rFonts w:ascii="Times New Roman" w:hAnsi="Times New Roman"/>
          <w:szCs w:val="24"/>
          <w:lang w:val="bs-Latn-BA"/>
        </w:rPr>
        <w:t>и</w:t>
      </w:r>
      <w:r w:rsidR="009820D6" w:rsidRPr="009D3F4F">
        <w:rPr>
          <w:rFonts w:ascii="Times New Roman" w:hAnsi="Times New Roman"/>
          <w:szCs w:val="24"/>
          <w:lang w:val="bs-Latn-BA"/>
        </w:rPr>
        <w:t xml:space="preserve"> </w:t>
      </w:r>
      <w:r>
        <w:rPr>
          <w:rFonts w:ascii="Times New Roman" w:hAnsi="Times New Roman"/>
          <w:lang w:val="bs-Latn-BA"/>
        </w:rPr>
        <w:t>извјештај</w:t>
      </w:r>
      <w:r w:rsidR="009820D6" w:rsidRPr="009D3F4F">
        <w:rPr>
          <w:rFonts w:ascii="Times New Roman" w:hAnsi="Times New Roman"/>
          <w:lang w:val="bs-Latn-BA"/>
        </w:rPr>
        <w:t xml:space="preserve"> </w:t>
      </w:r>
      <w:r>
        <w:rPr>
          <w:rFonts w:ascii="Times New Roman" w:hAnsi="Times New Roman"/>
          <w:lang w:val="bs-Latn-BA"/>
        </w:rPr>
        <w:t>Европске</w:t>
      </w:r>
      <w:r w:rsidR="009820D6" w:rsidRPr="009D3F4F">
        <w:rPr>
          <w:rFonts w:ascii="Times New Roman" w:hAnsi="Times New Roman"/>
          <w:lang w:val="bs-Latn-BA"/>
        </w:rPr>
        <w:t xml:space="preserve"> </w:t>
      </w:r>
      <w:r>
        <w:rPr>
          <w:rFonts w:ascii="Times New Roman" w:hAnsi="Times New Roman"/>
          <w:lang w:val="bs-Latn-BA"/>
        </w:rPr>
        <w:t>комисије</w:t>
      </w:r>
      <w:r w:rsidR="009820D6" w:rsidRPr="009D3F4F">
        <w:rPr>
          <w:rFonts w:ascii="Times New Roman" w:hAnsi="Times New Roman"/>
          <w:lang w:val="bs-Latn-BA"/>
        </w:rPr>
        <w:t xml:space="preserve"> </w:t>
      </w:r>
      <w:r>
        <w:rPr>
          <w:rFonts w:ascii="Times New Roman" w:hAnsi="Times New Roman"/>
          <w:lang w:val="bs-Latn-BA"/>
        </w:rPr>
        <w:t>за</w:t>
      </w:r>
      <w:r w:rsidR="009820D6" w:rsidRPr="009D3F4F">
        <w:rPr>
          <w:rFonts w:ascii="Times New Roman" w:hAnsi="Times New Roman"/>
          <w:lang w:val="bs-Latn-BA"/>
        </w:rPr>
        <w:t xml:space="preserve"> </w:t>
      </w:r>
      <w:r>
        <w:rPr>
          <w:rFonts w:ascii="Times New Roman" w:hAnsi="Times New Roman"/>
          <w:lang w:val="bs-Latn-BA"/>
        </w:rPr>
        <w:t>борбу</w:t>
      </w:r>
      <w:r w:rsidR="009820D6" w:rsidRPr="009D3F4F">
        <w:rPr>
          <w:rFonts w:ascii="Times New Roman" w:hAnsi="Times New Roman"/>
          <w:lang w:val="bs-Latn-BA"/>
        </w:rPr>
        <w:t xml:space="preserve"> </w:t>
      </w:r>
      <w:r>
        <w:rPr>
          <w:rFonts w:ascii="Times New Roman" w:hAnsi="Times New Roman"/>
          <w:lang w:val="bs-Latn-BA"/>
        </w:rPr>
        <w:t>против</w:t>
      </w:r>
      <w:r w:rsidR="009820D6" w:rsidRPr="009D3F4F">
        <w:rPr>
          <w:rFonts w:ascii="Times New Roman" w:hAnsi="Times New Roman"/>
          <w:lang w:val="bs-Latn-BA"/>
        </w:rPr>
        <w:t xml:space="preserve"> </w:t>
      </w:r>
      <w:r>
        <w:rPr>
          <w:rFonts w:ascii="Times New Roman" w:hAnsi="Times New Roman"/>
          <w:lang w:val="bs-Latn-BA"/>
        </w:rPr>
        <w:t>расизма</w:t>
      </w:r>
      <w:r w:rsidR="009820D6" w:rsidRPr="009D3F4F">
        <w:rPr>
          <w:rFonts w:ascii="Times New Roman" w:hAnsi="Times New Roman"/>
          <w:lang w:val="bs-Latn-BA"/>
        </w:rPr>
        <w:t xml:space="preserve"> </w:t>
      </w:r>
      <w:r>
        <w:rPr>
          <w:rFonts w:ascii="Times New Roman" w:hAnsi="Times New Roman"/>
          <w:lang w:val="bs-Latn-BA"/>
        </w:rPr>
        <w:t>и</w:t>
      </w:r>
      <w:r w:rsidR="009820D6" w:rsidRPr="009D3F4F">
        <w:rPr>
          <w:rFonts w:ascii="Times New Roman" w:hAnsi="Times New Roman"/>
          <w:lang w:val="bs-Latn-BA"/>
        </w:rPr>
        <w:t xml:space="preserve"> </w:t>
      </w:r>
      <w:r>
        <w:rPr>
          <w:rFonts w:ascii="Times New Roman" w:hAnsi="Times New Roman"/>
          <w:lang w:val="bs-Latn-BA"/>
        </w:rPr>
        <w:t>нетолеранције</w:t>
      </w:r>
      <w:r w:rsidR="009820D6" w:rsidRPr="009D3F4F">
        <w:rPr>
          <w:rFonts w:ascii="Times New Roman" w:hAnsi="Times New Roman"/>
          <w:lang w:val="bs-Latn-BA"/>
        </w:rPr>
        <w:t xml:space="preserve"> (</w:t>
      </w:r>
      <w:r w:rsidR="00D06673" w:rsidRPr="00D06673">
        <w:rPr>
          <w:rFonts w:ascii="Times New Roman" w:hAnsi="Times New Roman"/>
          <w:i/>
          <w:lang w:val="bs-Latn-BA"/>
        </w:rPr>
        <w:t>ECRI</w:t>
      </w:r>
      <w:r w:rsidR="009820D6" w:rsidRPr="009D3F4F">
        <w:rPr>
          <w:rFonts w:ascii="Times New Roman" w:hAnsi="Times New Roman"/>
          <w:lang w:val="bs-Latn-BA"/>
        </w:rPr>
        <w:t>).</w:t>
      </w:r>
    </w:p>
    <w:p w:rsidR="004D7654" w:rsidRPr="00295637" w:rsidRDefault="004D7654" w:rsidP="0086268D">
      <w:pPr>
        <w:jc w:val="both"/>
        <w:rPr>
          <w:rFonts w:ascii="Times New Roman" w:hAnsi="Times New Roman"/>
          <w:szCs w:val="24"/>
          <w:lang w:val="hr-HR"/>
        </w:rPr>
      </w:pPr>
    </w:p>
    <w:p w:rsidR="00A04780" w:rsidRPr="00674E7F" w:rsidRDefault="00C6214E" w:rsidP="00674E7F">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hr-HR"/>
        </w:rPr>
        <w:t>Пројекат</w:t>
      </w:r>
      <w:r w:rsidR="00A87F6C" w:rsidRPr="00295637">
        <w:rPr>
          <w:rFonts w:ascii="Times New Roman" w:hAnsi="Times New Roman"/>
          <w:szCs w:val="24"/>
          <w:lang w:val="hr-HR"/>
        </w:rPr>
        <w:t xml:space="preserve"> </w:t>
      </w:r>
      <w:r>
        <w:rPr>
          <w:rFonts w:ascii="Times New Roman" w:hAnsi="Times New Roman"/>
          <w:szCs w:val="24"/>
          <w:lang w:val="hr-HR"/>
        </w:rPr>
        <w:t>ЕУ</w:t>
      </w:r>
      <w:r w:rsidR="00A87F6C" w:rsidRPr="00295637">
        <w:rPr>
          <w:rFonts w:ascii="Times New Roman" w:hAnsi="Times New Roman"/>
          <w:szCs w:val="24"/>
          <w:lang w:val="hr-HR"/>
        </w:rPr>
        <w:t xml:space="preserve"> </w:t>
      </w:r>
      <w:r>
        <w:rPr>
          <w:rFonts w:ascii="Times New Roman" w:hAnsi="Times New Roman"/>
          <w:szCs w:val="24"/>
          <w:lang w:val="hr-HR"/>
        </w:rPr>
        <w:t>за</w:t>
      </w:r>
      <w:r w:rsidR="00A87F6C" w:rsidRPr="00295637">
        <w:rPr>
          <w:rFonts w:ascii="Times New Roman" w:hAnsi="Times New Roman"/>
          <w:szCs w:val="24"/>
          <w:lang w:val="hr-HR"/>
        </w:rPr>
        <w:t xml:space="preserve"> </w:t>
      </w:r>
      <w:r>
        <w:rPr>
          <w:rFonts w:ascii="Times New Roman" w:hAnsi="Times New Roman"/>
          <w:szCs w:val="24"/>
          <w:lang w:val="hr-HR"/>
        </w:rPr>
        <w:t>људска</w:t>
      </w:r>
      <w:r w:rsidR="00A87F6C" w:rsidRPr="00295637">
        <w:rPr>
          <w:rFonts w:ascii="Times New Roman" w:hAnsi="Times New Roman"/>
          <w:szCs w:val="24"/>
          <w:lang w:val="hr-HR"/>
        </w:rPr>
        <w:t xml:space="preserve"> </w:t>
      </w:r>
      <w:r>
        <w:rPr>
          <w:rFonts w:ascii="Times New Roman" w:hAnsi="Times New Roman"/>
          <w:szCs w:val="24"/>
          <w:lang w:val="hr-HR"/>
        </w:rPr>
        <w:t>права</w:t>
      </w:r>
      <w:r w:rsidR="00A87F6C" w:rsidRPr="00295637">
        <w:rPr>
          <w:rFonts w:ascii="Times New Roman" w:hAnsi="Times New Roman"/>
          <w:szCs w:val="24"/>
          <w:lang w:val="hr-HR"/>
        </w:rPr>
        <w:t xml:space="preserve"> </w:t>
      </w:r>
      <w:r>
        <w:rPr>
          <w:rFonts w:ascii="Times New Roman" w:hAnsi="Times New Roman"/>
          <w:szCs w:val="24"/>
          <w:lang w:val="hr-HR"/>
        </w:rPr>
        <w:t>и</w:t>
      </w:r>
      <w:r w:rsidR="00A87F6C" w:rsidRPr="00295637">
        <w:rPr>
          <w:rFonts w:ascii="Times New Roman" w:hAnsi="Times New Roman"/>
          <w:szCs w:val="24"/>
          <w:lang w:val="hr-HR"/>
        </w:rPr>
        <w:t xml:space="preserve"> </w:t>
      </w:r>
      <w:r>
        <w:rPr>
          <w:rFonts w:ascii="Times New Roman" w:hAnsi="Times New Roman"/>
          <w:szCs w:val="24"/>
          <w:lang w:val="hr-HR"/>
        </w:rPr>
        <w:t>антидискриминацију</w:t>
      </w:r>
      <w:r w:rsidR="00A87F6C" w:rsidRPr="00295637">
        <w:rPr>
          <w:rFonts w:ascii="Times New Roman" w:hAnsi="Times New Roman"/>
          <w:szCs w:val="24"/>
          <w:lang w:val="hr-HR"/>
        </w:rPr>
        <w:t xml:space="preserve"> </w:t>
      </w:r>
      <w:r>
        <w:rPr>
          <w:rFonts w:ascii="Times New Roman" w:hAnsi="Times New Roman"/>
          <w:szCs w:val="24"/>
          <w:lang w:val="hr-HR"/>
        </w:rPr>
        <w:t>продужен</w:t>
      </w:r>
      <w:r w:rsidR="00A87F6C" w:rsidRPr="00295637">
        <w:rPr>
          <w:rFonts w:ascii="Times New Roman" w:hAnsi="Times New Roman"/>
          <w:szCs w:val="24"/>
          <w:lang w:val="hr-HR"/>
        </w:rPr>
        <w:t xml:space="preserve"> </w:t>
      </w:r>
      <w:r>
        <w:rPr>
          <w:rFonts w:ascii="Times New Roman" w:hAnsi="Times New Roman"/>
          <w:szCs w:val="24"/>
          <w:lang w:val="hr-HR"/>
        </w:rPr>
        <w:t>је</w:t>
      </w:r>
      <w:r w:rsidR="0035180F" w:rsidRPr="00295637">
        <w:rPr>
          <w:rFonts w:ascii="Times New Roman" w:hAnsi="Times New Roman"/>
          <w:szCs w:val="24"/>
          <w:lang w:val="hr-HR"/>
        </w:rPr>
        <w:t xml:space="preserve"> </w:t>
      </w:r>
      <w:r>
        <w:rPr>
          <w:rFonts w:ascii="Times New Roman" w:hAnsi="Times New Roman"/>
          <w:szCs w:val="24"/>
          <w:lang w:val="hr-HR"/>
        </w:rPr>
        <w:t>до</w:t>
      </w:r>
      <w:r w:rsidR="00A87F6C" w:rsidRPr="00295637">
        <w:rPr>
          <w:rFonts w:ascii="Times New Roman" w:hAnsi="Times New Roman"/>
          <w:szCs w:val="24"/>
          <w:lang w:val="hr-HR"/>
        </w:rPr>
        <w:t xml:space="preserve"> </w:t>
      </w:r>
      <w:r>
        <w:rPr>
          <w:rFonts w:ascii="Times New Roman" w:hAnsi="Times New Roman"/>
          <w:szCs w:val="24"/>
          <w:lang w:val="hr-HR"/>
        </w:rPr>
        <w:t>априла</w:t>
      </w:r>
      <w:r w:rsidR="00A87F6C" w:rsidRPr="00295637">
        <w:rPr>
          <w:rFonts w:ascii="Times New Roman" w:hAnsi="Times New Roman"/>
          <w:szCs w:val="24"/>
          <w:lang w:val="hr-HR"/>
        </w:rPr>
        <w:t xml:space="preserve"> 2024. </w:t>
      </w:r>
      <w:r w:rsidR="00D06673">
        <w:rPr>
          <w:rFonts w:ascii="Times New Roman" w:hAnsi="Times New Roman"/>
          <w:szCs w:val="24"/>
          <w:lang w:val="sr-Cyrl-BA"/>
        </w:rPr>
        <w:t>С</w:t>
      </w:r>
      <w:r w:rsidR="00A87F6C" w:rsidRPr="00295637">
        <w:rPr>
          <w:rFonts w:ascii="Times New Roman" w:hAnsi="Times New Roman"/>
          <w:szCs w:val="24"/>
          <w:lang w:val="hr-HR"/>
        </w:rPr>
        <w:t xml:space="preserve"> </w:t>
      </w:r>
      <w:r>
        <w:rPr>
          <w:rFonts w:ascii="Times New Roman" w:hAnsi="Times New Roman"/>
          <w:szCs w:val="24"/>
          <w:lang w:val="hr-HR"/>
        </w:rPr>
        <w:t>циљ</w:t>
      </w:r>
      <w:r w:rsidR="00D06673">
        <w:rPr>
          <w:rFonts w:ascii="Times New Roman" w:hAnsi="Times New Roman"/>
          <w:szCs w:val="24"/>
          <w:lang w:val="sr-Cyrl-BA"/>
        </w:rPr>
        <w:t>ем</w:t>
      </w:r>
      <w:r w:rsidR="00A87F6C" w:rsidRPr="00295637">
        <w:rPr>
          <w:rFonts w:ascii="Times New Roman" w:hAnsi="Times New Roman"/>
          <w:szCs w:val="24"/>
          <w:lang w:val="hr-HR"/>
        </w:rPr>
        <w:t xml:space="preserve"> </w:t>
      </w:r>
      <w:r>
        <w:rPr>
          <w:rFonts w:ascii="Times New Roman" w:hAnsi="Times New Roman"/>
          <w:szCs w:val="24"/>
          <w:lang w:val="hr-HR"/>
        </w:rPr>
        <w:t>наставка</w:t>
      </w:r>
      <w:r w:rsidR="00A87F6C" w:rsidRPr="00295637">
        <w:rPr>
          <w:rFonts w:ascii="Times New Roman" w:hAnsi="Times New Roman"/>
          <w:szCs w:val="24"/>
          <w:lang w:val="hr-HR"/>
        </w:rPr>
        <w:t xml:space="preserve"> </w:t>
      </w:r>
      <w:r>
        <w:rPr>
          <w:rFonts w:ascii="Times New Roman" w:hAnsi="Times New Roman"/>
          <w:szCs w:val="24"/>
          <w:lang w:val="hr-HR"/>
        </w:rPr>
        <w:t>активности</w:t>
      </w:r>
      <w:r w:rsidR="00A87F6C" w:rsidRPr="00295637">
        <w:rPr>
          <w:rFonts w:ascii="Times New Roman" w:hAnsi="Times New Roman"/>
          <w:szCs w:val="24"/>
          <w:lang w:val="hr-HR"/>
        </w:rPr>
        <w:t xml:space="preserve"> </w:t>
      </w:r>
      <w:r>
        <w:rPr>
          <w:rFonts w:ascii="Times New Roman" w:hAnsi="Times New Roman"/>
          <w:szCs w:val="24"/>
          <w:lang w:val="hr-HR"/>
        </w:rPr>
        <w:t>које</w:t>
      </w:r>
      <w:r w:rsidR="00A87F6C" w:rsidRPr="00295637">
        <w:rPr>
          <w:rFonts w:ascii="Times New Roman" w:hAnsi="Times New Roman"/>
          <w:szCs w:val="24"/>
          <w:lang w:val="hr-HR"/>
        </w:rPr>
        <w:t xml:space="preserve"> </w:t>
      </w:r>
      <w:r>
        <w:rPr>
          <w:rFonts w:ascii="Times New Roman" w:hAnsi="Times New Roman"/>
          <w:szCs w:val="24"/>
          <w:lang w:val="hr-HR"/>
        </w:rPr>
        <w:t>су</w:t>
      </w:r>
      <w:r w:rsidR="00A87F6C" w:rsidRPr="00295637">
        <w:rPr>
          <w:rFonts w:ascii="Times New Roman" w:hAnsi="Times New Roman"/>
          <w:szCs w:val="24"/>
          <w:lang w:val="hr-HR"/>
        </w:rPr>
        <w:t xml:space="preserve"> </w:t>
      </w:r>
      <w:r>
        <w:rPr>
          <w:rFonts w:ascii="Times New Roman" w:hAnsi="Times New Roman"/>
          <w:szCs w:val="24"/>
          <w:lang w:val="hr-HR"/>
        </w:rPr>
        <w:t>започете</w:t>
      </w:r>
      <w:r w:rsidR="00A87F6C" w:rsidRPr="00295637">
        <w:rPr>
          <w:rFonts w:ascii="Times New Roman" w:hAnsi="Times New Roman"/>
          <w:szCs w:val="24"/>
          <w:lang w:val="hr-HR"/>
        </w:rPr>
        <w:t xml:space="preserve"> </w:t>
      </w:r>
      <w:r>
        <w:rPr>
          <w:rFonts w:ascii="Times New Roman" w:hAnsi="Times New Roman"/>
          <w:szCs w:val="24"/>
          <w:lang w:val="hr-HR"/>
        </w:rPr>
        <w:t>у</w:t>
      </w:r>
      <w:r w:rsidR="00A87F6C" w:rsidRPr="00295637">
        <w:rPr>
          <w:rFonts w:ascii="Times New Roman" w:hAnsi="Times New Roman"/>
          <w:szCs w:val="24"/>
          <w:lang w:val="hr-HR"/>
        </w:rPr>
        <w:t xml:space="preserve"> </w:t>
      </w:r>
      <w:r>
        <w:rPr>
          <w:rFonts w:ascii="Times New Roman" w:hAnsi="Times New Roman"/>
          <w:szCs w:val="24"/>
          <w:lang w:val="hr-HR"/>
        </w:rPr>
        <w:t>оквиру</w:t>
      </w:r>
      <w:r w:rsidR="00A87F6C" w:rsidRPr="00295637">
        <w:rPr>
          <w:rFonts w:ascii="Times New Roman" w:hAnsi="Times New Roman"/>
          <w:szCs w:val="24"/>
          <w:lang w:val="hr-HR"/>
        </w:rPr>
        <w:t xml:space="preserve"> </w:t>
      </w:r>
      <w:r>
        <w:rPr>
          <w:rFonts w:ascii="Times New Roman" w:hAnsi="Times New Roman"/>
          <w:szCs w:val="24"/>
          <w:lang w:val="hr-HR"/>
        </w:rPr>
        <w:t>овог</w:t>
      </w:r>
      <w:r w:rsidR="00A87F6C" w:rsidRPr="00295637">
        <w:rPr>
          <w:rFonts w:ascii="Times New Roman" w:hAnsi="Times New Roman"/>
          <w:szCs w:val="24"/>
          <w:lang w:val="hr-HR"/>
        </w:rPr>
        <w:t xml:space="preserve"> </w:t>
      </w:r>
      <w:r>
        <w:rPr>
          <w:rFonts w:ascii="Times New Roman" w:hAnsi="Times New Roman"/>
          <w:szCs w:val="24"/>
          <w:lang w:val="hr-HR"/>
        </w:rPr>
        <w:t>пројекта</w:t>
      </w:r>
      <w:r w:rsidR="00A87F6C" w:rsidRPr="00295637">
        <w:rPr>
          <w:rFonts w:ascii="Times New Roman" w:hAnsi="Times New Roman"/>
          <w:szCs w:val="24"/>
          <w:lang w:val="hr-HR"/>
        </w:rPr>
        <w:t xml:space="preserve">, </w:t>
      </w:r>
      <w:r>
        <w:rPr>
          <w:rFonts w:ascii="Times New Roman" w:hAnsi="Times New Roman"/>
          <w:szCs w:val="24"/>
          <w:lang w:val="hr-HR"/>
        </w:rPr>
        <w:t>почетком</w:t>
      </w:r>
      <w:r w:rsidR="00A87F6C" w:rsidRPr="00295637">
        <w:rPr>
          <w:rFonts w:ascii="Times New Roman" w:hAnsi="Times New Roman"/>
          <w:szCs w:val="24"/>
          <w:lang w:val="hr-HR"/>
        </w:rPr>
        <w:t xml:space="preserve"> </w:t>
      </w:r>
      <w:r>
        <w:rPr>
          <w:rFonts w:ascii="Times New Roman" w:hAnsi="Times New Roman"/>
          <w:szCs w:val="24"/>
          <w:lang w:val="hr-HR"/>
        </w:rPr>
        <w:t>априла</w:t>
      </w:r>
      <w:r w:rsidR="00A87F6C" w:rsidRPr="00295637">
        <w:rPr>
          <w:rFonts w:ascii="Times New Roman" w:hAnsi="Times New Roman"/>
          <w:szCs w:val="24"/>
          <w:lang w:val="hr-HR"/>
        </w:rPr>
        <w:t xml:space="preserve"> </w:t>
      </w:r>
      <w:r>
        <w:rPr>
          <w:rFonts w:ascii="Times New Roman" w:hAnsi="Times New Roman"/>
          <w:szCs w:val="24"/>
          <w:lang w:val="hr-HR"/>
        </w:rPr>
        <w:t>започел</w:t>
      </w:r>
      <w:r w:rsidR="00D06673">
        <w:rPr>
          <w:rFonts w:ascii="Times New Roman" w:hAnsi="Times New Roman"/>
          <w:szCs w:val="24"/>
          <w:lang w:val="sr-Cyrl-BA"/>
        </w:rPr>
        <w:t>о</w:t>
      </w:r>
      <w:r w:rsidR="00A87F6C" w:rsidRPr="00295637">
        <w:rPr>
          <w:rFonts w:ascii="Times New Roman" w:hAnsi="Times New Roman"/>
          <w:szCs w:val="24"/>
          <w:lang w:val="hr-HR"/>
        </w:rPr>
        <w:t xml:space="preserve"> </w:t>
      </w:r>
      <w:r>
        <w:rPr>
          <w:rFonts w:ascii="Times New Roman" w:hAnsi="Times New Roman"/>
          <w:szCs w:val="24"/>
          <w:lang w:val="hr-HR"/>
        </w:rPr>
        <w:t>је</w:t>
      </w:r>
      <w:r w:rsidR="00A87F6C" w:rsidRPr="00295637">
        <w:rPr>
          <w:rFonts w:ascii="Times New Roman" w:hAnsi="Times New Roman"/>
          <w:szCs w:val="24"/>
          <w:lang w:val="hr-HR"/>
        </w:rPr>
        <w:t xml:space="preserve"> </w:t>
      </w:r>
      <w:r w:rsidR="00D06673">
        <w:rPr>
          <w:rFonts w:ascii="Times New Roman" w:hAnsi="Times New Roman"/>
          <w:szCs w:val="24"/>
          <w:lang w:val="sr-Cyrl-BA"/>
        </w:rPr>
        <w:t>спровођење</w:t>
      </w:r>
      <w:r w:rsidR="00A87F6C" w:rsidRPr="00295637">
        <w:rPr>
          <w:rFonts w:ascii="Times New Roman" w:hAnsi="Times New Roman"/>
          <w:szCs w:val="24"/>
          <w:lang w:val="hr-HR"/>
        </w:rPr>
        <w:t xml:space="preserve"> </w:t>
      </w:r>
      <w:r w:rsidR="00D06673" w:rsidRPr="00D06673">
        <w:rPr>
          <w:rFonts w:ascii="Times New Roman" w:hAnsi="Times New Roman"/>
          <w:i/>
          <w:szCs w:val="24"/>
          <w:lang w:val="hr-HR"/>
        </w:rPr>
        <w:t>EU4Inclusion</w:t>
      </w:r>
      <w:r w:rsidR="00A87F6C" w:rsidRPr="00295637">
        <w:rPr>
          <w:rFonts w:ascii="Times New Roman" w:hAnsi="Times New Roman"/>
          <w:szCs w:val="24"/>
          <w:lang w:val="hr-HR"/>
        </w:rPr>
        <w:t xml:space="preserve"> </w:t>
      </w:r>
      <w:r>
        <w:rPr>
          <w:rFonts w:ascii="Times New Roman" w:hAnsi="Times New Roman"/>
          <w:szCs w:val="24"/>
          <w:lang w:val="hr-HR"/>
        </w:rPr>
        <w:t>пројекта</w:t>
      </w:r>
      <w:r w:rsidR="00A87F6C" w:rsidRPr="00295637">
        <w:rPr>
          <w:rFonts w:ascii="Times New Roman" w:hAnsi="Times New Roman"/>
          <w:szCs w:val="24"/>
          <w:lang w:val="hr-HR"/>
        </w:rPr>
        <w:t>: „</w:t>
      </w:r>
      <w:r w:rsidRPr="007611A2">
        <w:rPr>
          <w:rFonts w:ascii="Times New Roman" w:hAnsi="Times New Roman"/>
          <w:szCs w:val="24"/>
          <w:lang w:val="hr-HR"/>
        </w:rPr>
        <w:t>Унапређење</w:t>
      </w:r>
      <w:r w:rsidR="00A87F6C" w:rsidRPr="007611A2">
        <w:rPr>
          <w:rFonts w:ascii="Times New Roman" w:hAnsi="Times New Roman"/>
          <w:szCs w:val="24"/>
          <w:lang w:val="hr-HR"/>
        </w:rPr>
        <w:t xml:space="preserve"> </w:t>
      </w:r>
      <w:r w:rsidRPr="007611A2">
        <w:rPr>
          <w:rFonts w:ascii="Times New Roman" w:hAnsi="Times New Roman"/>
          <w:szCs w:val="24"/>
          <w:lang w:val="hr-HR"/>
        </w:rPr>
        <w:t>капацитета</w:t>
      </w:r>
      <w:r w:rsidR="00A87F6C" w:rsidRPr="007611A2">
        <w:rPr>
          <w:rFonts w:ascii="Times New Roman" w:hAnsi="Times New Roman"/>
          <w:szCs w:val="24"/>
          <w:lang w:val="hr-HR"/>
        </w:rPr>
        <w:t xml:space="preserve"> </w:t>
      </w:r>
      <w:r w:rsidRPr="007611A2">
        <w:rPr>
          <w:rFonts w:ascii="Times New Roman" w:hAnsi="Times New Roman"/>
          <w:szCs w:val="24"/>
          <w:lang w:val="hr-HR"/>
        </w:rPr>
        <w:t>за</w:t>
      </w:r>
      <w:r w:rsidR="00A87F6C" w:rsidRPr="007611A2">
        <w:rPr>
          <w:rFonts w:ascii="Times New Roman" w:hAnsi="Times New Roman"/>
          <w:szCs w:val="24"/>
          <w:lang w:val="hr-HR"/>
        </w:rPr>
        <w:t xml:space="preserve"> </w:t>
      </w:r>
      <w:r w:rsidRPr="007611A2">
        <w:rPr>
          <w:rFonts w:ascii="Times New Roman" w:hAnsi="Times New Roman"/>
          <w:szCs w:val="24"/>
          <w:lang w:val="hr-HR"/>
        </w:rPr>
        <w:t>праћење</w:t>
      </w:r>
      <w:r w:rsidR="00A87F6C" w:rsidRPr="007611A2">
        <w:rPr>
          <w:rFonts w:ascii="Times New Roman" w:hAnsi="Times New Roman"/>
          <w:szCs w:val="24"/>
          <w:lang w:val="hr-HR"/>
        </w:rPr>
        <w:t xml:space="preserve"> </w:t>
      </w:r>
      <w:r w:rsidRPr="007611A2">
        <w:rPr>
          <w:rFonts w:ascii="Times New Roman" w:hAnsi="Times New Roman"/>
          <w:szCs w:val="24"/>
          <w:lang w:val="hr-HR"/>
        </w:rPr>
        <w:t>и</w:t>
      </w:r>
      <w:r w:rsidR="00A87F6C" w:rsidRPr="007611A2">
        <w:rPr>
          <w:rFonts w:ascii="Times New Roman" w:hAnsi="Times New Roman"/>
          <w:szCs w:val="24"/>
          <w:lang w:val="hr-HR"/>
        </w:rPr>
        <w:t xml:space="preserve"> </w:t>
      </w:r>
      <w:r w:rsidRPr="007611A2">
        <w:rPr>
          <w:rFonts w:ascii="Times New Roman" w:hAnsi="Times New Roman"/>
          <w:szCs w:val="24"/>
          <w:lang w:val="hr-HR"/>
        </w:rPr>
        <w:t>извјештавање</w:t>
      </w:r>
      <w:r w:rsidR="00A87F6C" w:rsidRPr="00295637">
        <w:rPr>
          <w:rFonts w:ascii="Times New Roman" w:hAnsi="Times New Roman"/>
          <w:szCs w:val="24"/>
          <w:lang w:val="hr-HR"/>
        </w:rPr>
        <w:t xml:space="preserve"> </w:t>
      </w:r>
      <w:r>
        <w:rPr>
          <w:rFonts w:ascii="Times New Roman" w:hAnsi="Times New Roman"/>
          <w:szCs w:val="24"/>
          <w:lang w:val="hr-HR"/>
        </w:rPr>
        <w:t>о</w:t>
      </w:r>
      <w:r w:rsidR="00A87F6C" w:rsidRPr="00295637">
        <w:rPr>
          <w:rFonts w:ascii="Times New Roman" w:hAnsi="Times New Roman"/>
          <w:szCs w:val="24"/>
          <w:lang w:val="hr-HR"/>
        </w:rPr>
        <w:t xml:space="preserve"> </w:t>
      </w:r>
      <w:r>
        <w:rPr>
          <w:rFonts w:ascii="Times New Roman" w:hAnsi="Times New Roman"/>
          <w:szCs w:val="24"/>
          <w:lang w:val="hr-HR"/>
        </w:rPr>
        <w:t>потребама</w:t>
      </w:r>
      <w:r w:rsidR="00A87F6C" w:rsidRPr="00295637">
        <w:rPr>
          <w:rFonts w:ascii="Times New Roman" w:hAnsi="Times New Roman"/>
          <w:szCs w:val="24"/>
          <w:lang w:val="hr-HR"/>
        </w:rPr>
        <w:t xml:space="preserve"> </w:t>
      </w:r>
      <w:r>
        <w:rPr>
          <w:rFonts w:ascii="Times New Roman" w:hAnsi="Times New Roman"/>
          <w:szCs w:val="24"/>
          <w:lang w:val="hr-HR"/>
        </w:rPr>
        <w:t>рањивих</w:t>
      </w:r>
      <w:r w:rsidR="00A87F6C" w:rsidRPr="00295637">
        <w:rPr>
          <w:rFonts w:ascii="Times New Roman" w:hAnsi="Times New Roman"/>
          <w:szCs w:val="24"/>
          <w:lang w:val="hr-HR"/>
        </w:rPr>
        <w:t xml:space="preserve"> </w:t>
      </w:r>
      <w:r>
        <w:rPr>
          <w:rFonts w:ascii="Times New Roman" w:hAnsi="Times New Roman"/>
          <w:szCs w:val="24"/>
          <w:lang w:val="hr-HR"/>
        </w:rPr>
        <w:t>група</w:t>
      </w:r>
      <w:r w:rsidR="00A87F6C" w:rsidRPr="00295637">
        <w:rPr>
          <w:rFonts w:ascii="Times New Roman" w:hAnsi="Times New Roman"/>
          <w:szCs w:val="24"/>
          <w:lang w:val="hr-HR"/>
        </w:rPr>
        <w:t xml:space="preserve"> </w:t>
      </w:r>
      <w:r>
        <w:rPr>
          <w:rFonts w:ascii="Times New Roman" w:hAnsi="Times New Roman"/>
          <w:szCs w:val="24"/>
          <w:lang w:val="hr-HR"/>
        </w:rPr>
        <w:t>у</w:t>
      </w:r>
      <w:r w:rsidR="00A87F6C" w:rsidRPr="00295637">
        <w:rPr>
          <w:rFonts w:ascii="Times New Roman" w:hAnsi="Times New Roman"/>
          <w:szCs w:val="24"/>
          <w:lang w:val="hr-HR"/>
        </w:rPr>
        <w:t xml:space="preserve"> </w:t>
      </w:r>
      <w:r>
        <w:rPr>
          <w:rFonts w:ascii="Times New Roman" w:hAnsi="Times New Roman"/>
          <w:szCs w:val="24"/>
          <w:lang w:val="hr-HR"/>
        </w:rPr>
        <w:t>Босни</w:t>
      </w:r>
      <w:r w:rsidR="00A87F6C" w:rsidRPr="00295637">
        <w:rPr>
          <w:rFonts w:ascii="Times New Roman" w:hAnsi="Times New Roman"/>
          <w:szCs w:val="24"/>
          <w:lang w:val="hr-HR"/>
        </w:rPr>
        <w:t xml:space="preserve"> </w:t>
      </w:r>
      <w:r>
        <w:rPr>
          <w:rFonts w:ascii="Times New Roman" w:hAnsi="Times New Roman"/>
          <w:szCs w:val="24"/>
          <w:lang w:val="hr-HR"/>
        </w:rPr>
        <w:t>и</w:t>
      </w:r>
      <w:r w:rsidR="00A87F6C" w:rsidRPr="00295637">
        <w:rPr>
          <w:rFonts w:ascii="Times New Roman" w:hAnsi="Times New Roman"/>
          <w:szCs w:val="24"/>
          <w:lang w:val="hr-HR"/>
        </w:rPr>
        <w:t xml:space="preserve"> </w:t>
      </w:r>
      <w:r>
        <w:rPr>
          <w:rFonts w:ascii="Times New Roman" w:hAnsi="Times New Roman"/>
          <w:szCs w:val="24"/>
          <w:lang w:val="hr-HR"/>
        </w:rPr>
        <w:t>Херцеговини</w:t>
      </w:r>
      <w:r w:rsidR="00A87F6C" w:rsidRPr="00295637">
        <w:rPr>
          <w:rFonts w:ascii="Times New Roman" w:hAnsi="Times New Roman"/>
          <w:szCs w:val="24"/>
          <w:lang w:val="hr-HR"/>
        </w:rPr>
        <w:t xml:space="preserve">“. </w:t>
      </w:r>
      <w:r>
        <w:rPr>
          <w:rFonts w:ascii="Times New Roman" w:hAnsi="Times New Roman"/>
          <w:szCs w:val="24"/>
          <w:lang w:val="hr-HR"/>
        </w:rPr>
        <w:t>Покренуто</w:t>
      </w:r>
      <w:r w:rsidR="00A87F6C" w:rsidRPr="00295637">
        <w:rPr>
          <w:rFonts w:ascii="Times New Roman" w:hAnsi="Times New Roman"/>
          <w:szCs w:val="24"/>
          <w:lang w:val="hr-HR"/>
        </w:rPr>
        <w:t xml:space="preserve"> </w:t>
      </w:r>
      <w:r>
        <w:rPr>
          <w:rFonts w:ascii="Times New Roman" w:hAnsi="Times New Roman"/>
          <w:szCs w:val="24"/>
          <w:lang w:val="hr-HR"/>
        </w:rPr>
        <w:t>је</w:t>
      </w:r>
      <w:r w:rsidR="00195ECF" w:rsidRPr="00295637">
        <w:rPr>
          <w:rFonts w:ascii="Times New Roman" w:hAnsi="Times New Roman"/>
          <w:szCs w:val="24"/>
          <w:lang w:val="hr-HR"/>
        </w:rPr>
        <w:t xml:space="preserve"> </w:t>
      </w:r>
      <w:r>
        <w:rPr>
          <w:rFonts w:ascii="Times New Roman" w:hAnsi="Times New Roman"/>
          <w:szCs w:val="24"/>
          <w:lang w:val="hr-HR"/>
        </w:rPr>
        <w:t>неколико</w:t>
      </w:r>
      <w:r w:rsidR="00195ECF" w:rsidRPr="00295637">
        <w:rPr>
          <w:rFonts w:ascii="Times New Roman" w:hAnsi="Times New Roman"/>
          <w:szCs w:val="24"/>
          <w:lang w:val="hr-HR"/>
        </w:rPr>
        <w:t xml:space="preserve"> </w:t>
      </w:r>
      <w:r>
        <w:rPr>
          <w:rFonts w:ascii="Times New Roman" w:hAnsi="Times New Roman"/>
          <w:szCs w:val="24"/>
          <w:lang w:val="hr-HR"/>
        </w:rPr>
        <w:t>кључних</w:t>
      </w:r>
      <w:r w:rsidR="00195ECF" w:rsidRPr="00295637">
        <w:rPr>
          <w:rFonts w:ascii="Times New Roman" w:hAnsi="Times New Roman"/>
          <w:szCs w:val="24"/>
          <w:lang w:val="hr-HR"/>
        </w:rPr>
        <w:t xml:space="preserve"> </w:t>
      </w:r>
      <w:r>
        <w:rPr>
          <w:rFonts w:ascii="Times New Roman" w:hAnsi="Times New Roman"/>
          <w:szCs w:val="24"/>
          <w:lang w:val="hr-HR"/>
        </w:rPr>
        <w:t>активности</w:t>
      </w:r>
      <w:r w:rsidR="00195ECF" w:rsidRPr="00295637">
        <w:rPr>
          <w:rFonts w:ascii="Times New Roman" w:hAnsi="Times New Roman"/>
          <w:szCs w:val="24"/>
          <w:lang w:val="hr-HR"/>
        </w:rPr>
        <w:t>,</w:t>
      </w:r>
      <w:r w:rsidR="00A87F6C" w:rsidRPr="00295637">
        <w:rPr>
          <w:rFonts w:ascii="Times New Roman" w:hAnsi="Times New Roman"/>
          <w:szCs w:val="24"/>
          <w:lang w:val="hr-HR"/>
        </w:rPr>
        <w:t xml:space="preserve"> </w:t>
      </w:r>
      <w:r>
        <w:rPr>
          <w:rFonts w:ascii="Times New Roman" w:hAnsi="Times New Roman"/>
          <w:szCs w:val="24"/>
          <w:lang w:val="hr-HR"/>
        </w:rPr>
        <w:t>у</w:t>
      </w:r>
      <w:r w:rsidR="00A87F6C" w:rsidRPr="00295637">
        <w:rPr>
          <w:rFonts w:ascii="Times New Roman" w:hAnsi="Times New Roman"/>
          <w:szCs w:val="24"/>
          <w:lang w:val="hr-HR"/>
        </w:rPr>
        <w:t xml:space="preserve"> </w:t>
      </w:r>
      <w:r>
        <w:rPr>
          <w:rFonts w:ascii="Times New Roman" w:hAnsi="Times New Roman"/>
          <w:szCs w:val="24"/>
          <w:lang w:val="hr-HR"/>
        </w:rPr>
        <w:t>оквиру</w:t>
      </w:r>
      <w:r w:rsidR="00A87F6C" w:rsidRPr="00295637">
        <w:rPr>
          <w:rFonts w:ascii="Times New Roman" w:hAnsi="Times New Roman"/>
          <w:szCs w:val="24"/>
          <w:lang w:val="hr-HR"/>
        </w:rPr>
        <w:t xml:space="preserve"> </w:t>
      </w:r>
      <w:r>
        <w:rPr>
          <w:rFonts w:ascii="Times New Roman" w:hAnsi="Times New Roman"/>
          <w:szCs w:val="24"/>
          <w:lang w:val="hr-HR"/>
        </w:rPr>
        <w:t>компоненте</w:t>
      </w:r>
      <w:r w:rsidR="00A87F6C" w:rsidRPr="00295637">
        <w:rPr>
          <w:rFonts w:ascii="Times New Roman" w:hAnsi="Times New Roman"/>
          <w:szCs w:val="24"/>
          <w:lang w:val="hr-HR"/>
        </w:rPr>
        <w:t xml:space="preserve"> </w:t>
      </w:r>
      <w:r>
        <w:rPr>
          <w:rFonts w:ascii="Times New Roman" w:hAnsi="Times New Roman"/>
          <w:szCs w:val="24"/>
          <w:lang w:val="hr-HR"/>
        </w:rPr>
        <w:t>која</w:t>
      </w:r>
      <w:r w:rsidR="00A87F6C" w:rsidRPr="00295637">
        <w:rPr>
          <w:rFonts w:ascii="Times New Roman" w:hAnsi="Times New Roman"/>
          <w:szCs w:val="24"/>
          <w:lang w:val="hr-HR"/>
        </w:rPr>
        <w:t xml:space="preserve"> </w:t>
      </w:r>
      <w:r>
        <w:rPr>
          <w:rFonts w:ascii="Times New Roman" w:hAnsi="Times New Roman"/>
          <w:szCs w:val="24"/>
          <w:lang w:val="hr-HR"/>
        </w:rPr>
        <w:t>се</w:t>
      </w:r>
      <w:r w:rsidR="00A87F6C" w:rsidRPr="00295637">
        <w:rPr>
          <w:rFonts w:ascii="Times New Roman" w:hAnsi="Times New Roman"/>
          <w:szCs w:val="24"/>
          <w:lang w:val="hr-HR"/>
        </w:rPr>
        <w:t xml:space="preserve"> </w:t>
      </w:r>
      <w:r>
        <w:rPr>
          <w:rFonts w:ascii="Times New Roman" w:hAnsi="Times New Roman"/>
          <w:szCs w:val="24"/>
          <w:lang w:val="hr-HR"/>
        </w:rPr>
        <w:t>односи</w:t>
      </w:r>
      <w:r w:rsidR="00A87F6C" w:rsidRPr="00295637">
        <w:rPr>
          <w:rFonts w:ascii="Times New Roman" w:hAnsi="Times New Roman"/>
          <w:szCs w:val="24"/>
          <w:lang w:val="hr-HR"/>
        </w:rPr>
        <w:t xml:space="preserve"> </w:t>
      </w:r>
      <w:r>
        <w:rPr>
          <w:rFonts w:ascii="Times New Roman" w:hAnsi="Times New Roman"/>
          <w:szCs w:val="24"/>
          <w:lang w:val="hr-HR"/>
        </w:rPr>
        <w:t>на</w:t>
      </w:r>
      <w:r w:rsidR="00A87F6C" w:rsidRPr="00295637">
        <w:rPr>
          <w:rFonts w:ascii="Times New Roman" w:hAnsi="Times New Roman"/>
          <w:szCs w:val="24"/>
          <w:lang w:val="hr-HR"/>
        </w:rPr>
        <w:t xml:space="preserve"> </w:t>
      </w:r>
      <w:r>
        <w:rPr>
          <w:rFonts w:ascii="Times New Roman" w:hAnsi="Times New Roman"/>
          <w:szCs w:val="24"/>
          <w:lang w:val="hr-HR"/>
        </w:rPr>
        <w:t>јачање</w:t>
      </w:r>
      <w:r w:rsidR="00A87F6C" w:rsidRPr="00295637">
        <w:rPr>
          <w:rFonts w:ascii="Times New Roman" w:hAnsi="Times New Roman"/>
          <w:szCs w:val="24"/>
          <w:lang w:val="hr-HR"/>
        </w:rPr>
        <w:t xml:space="preserve"> </w:t>
      </w:r>
      <w:r>
        <w:rPr>
          <w:rFonts w:ascii="Times New Roman" w:hAnsi="Times New Roman"/>
          <w:szCs w:val="24"/>
          <w:lang w:val="hr-HR"/>
        </w:rPr>
        <w:t>капацитета</w:t>
      </w:r>
      <w:r w:rsidR="00A87F6C" w:rsidRPr="00295637">
        <w:rPr>
          <w:rFonts w:ascii="Times New Roman" w:hAnsi="Times New Roman"/>
          <w:szCs w:val="24"/>
          <w:lang w:val="hr-HR"/>
        </w:rPr>
        <w:t xml:space="preserve"> </w:t>
      </w:r>
      <w:r>
        <w:rPr>
          <w:rFonts w:ascii="Times New Roman" w:hAnsi="Times New Roman"/>
          <w:szCs w:val="24"/>
          <w:lang w:val="hr-HR"/>
        </w:rPr>
        <w:t>релевантних</w:t>
      </w:r>
      <w:r w:rsidR="00A87F6C" w:rsidRPr="00295637">
        <w:rPr>
          <w:rFonts w:ascii="Times New Roman" w:hAnsi="Times New Roman"/>
          <w:szCs w:val="24"/>
          <w:lang w:val="hr-HR"/>
        </w:rPr>
        <w:t xml:space="preserve"> </w:t>
      </w:r>
      <w:r>
        <w:rPr>
          <w:rFonts w:ascii="Times New Roman" w:hAnsi="Times New Roman"/>
          <w:szCs w:val="24"/>
          <w:lang w:val="hr-HR"/>
        </w:rPr>
        <w:t>институција</w:t>
      </w:r>
      <w:r w:rsidR="00A87F6C" w:rsidRPr="00295637">
        <w:rPr>
          <w:rFonts w:ascii="Times New Roman" w:hAnsi="Times New Roman"/>
          <w:szCs w:val="24"/>
          <w:lang w:val="hr-HR"/>
        </w:rPr>
        <w:t xml:space="preserve"> </w:t>
      </w:r>
      <w:r>
        <w:rPr>
          <w:rFonts w:ascii="Times New Roman" w:hAnsi="Times New Roman"/>
          <w:szCs w:val="24"/>
          <w:lang w:val="hr-HR"/>
        </w:rPr>
        <w:t>у</w:t>
      </w:r>
      <w:r w:rsidR="00A87F6C" w:rsidRPr="00295637">
        <w:rPr>
          <w:rFonts w:ascii="Times New Roman" w:hAnsi="Times New Roman"/>
          <w:szCs w:val="24"/>
          <w:lang w:val="hr-HR"/>
        </w:rPr>
        <w:t xml:space="preserve"> </w:t>
      </w:r>
      <w:r>
        <w:rPr>
          <w:rFonts w:ascii="Times New Roman" w:hAnsi="Times New Roman"/>
          <w:szCs w:val="24"/>
          <w:lang w:val="hr-HR"/>
        </w:rPr>
        <w:t>унапређењу</w:t>
      </w:r>
      <w:r w:rsidR="00A87F6C" w:rsidRPr="00295637">
        <w:rPr>
          <w:rFonts w:ascii="Times New Roman" w:hAnsi="Times New Roman"/>
          <w:szCs w:val="24"/>
          <w:lang w:val="hr-HR"/>
        </w:rPr>
        <w:t xml:space="preserve"> </w:t>
      </w:r>
      <w:r>
        <w:rPr>
          <w:rFonts w:ascii="Times New Roman" w:hAnsi="Times New Roman"/>
          <w:szCs w:val="24"/>
          <w:lang w:val="hr-HR"/>
        </w:rPr>
        <w:t>заштите</w:t>
      </w:r>
      <w:r w:rsidR="00A87F6C" w:rsidRPr="00295637">
        <w:rPr>
          <w:rFonts w:ascii="Times New Roman" w:hAnsi="Times New Roman"/>
          <w:szCs w:val="24"/>
          <w:lang w:val="hr-HR"/>
        </w:rPr>
        <w:t xml:space="preserve"> </w:t>
      </w:r>
      <w:r>
        <w:rPr>
          <w:rFonts w:ascii="Times New Roman" w:hAnsi="Times New Roman"/>
          <w:szCs w:val="24"/>
          <w:lang w:val="hr-HR"/>
        </w:rPr>
        <w:t>рањивих</w:t>
      </w:r>
      <w:r w:rsidR="00A87F6C" w:rsidRPr="00295637">
        <w:rPr>
          <w:rFonts w:ascii="Times New Roman" w:hAnsi="Times New Roman"/>
          <w:szCs w:val="24"/>
          <w:lang w:val="hr-HR"/>
        </w:rPr>
        <w:t xml:space="preserve"> </w:t>
      </w:r>
      <w:r>
        <w:rPr>
          <w:rFonts w:ascii="Times New Roman" w:hAnsi="Times New Roman"/>
          <w:szCs w:val="24"/>
          <w:lang w:val="hr-HR"/>
        </w:rPr>
        <w:t>категорија</w:t>
      </w:r>
      <w:r w:rsidR="00A87F6C" w:rsidRPr="00295637">
        <w:rPr>
          <w:rFonts w:ascii="Times New Roman" w:hAnsi="Times New Roman"/>
          <w:szCs w:val="24"/>
          <w:lang w:val="hr-HR"/>
        </w:rPr>
        <w:t xml:space="preserve"> </w:t>
      </w:r>
      <w:r>
        <w:rPr>
          <w:rFonts w:ascii="Times New Roman" w:hAnsi="Times New Roman"/>
          <w:szCs w:val="24"/>
          <w:lang w:val="hr-HR"/>
        </w:rPr>
        <w:t>и</w:t>
      </w:r>
      <w:r w:rsidR="00A87F6C" w:rsidRPr="00295637">
        <w:rPr>
          <w:rFonts w:ascii="Times New Roman" w:hAnsi="Times New Roman"/>
          <w:szCs w:val="24"/>
          <w:lang w:val="hr-HR"/>
        </w:rPr>
        <w:t xml:space="preserve"> </w:t>
      </w:r>
      <w:r>
        <w:rPr>
          <w:rFonts w:ascii="Times New Roman" w:hAnsi="Times New Roman"/>
          <w:szCs w:val="24"/>
          <w:lang w:val="hr-HR"/>
        </w:rPr>
        <w:t>промови</w:t>
      </w:r>
      <w:r w:rsidR="007611A2">
        <w:rPr>
          <w:rFonts w:ascii="Times New Roman" w:hAnsi="Times New Roman"/>
          <w:szCs w:val="24"/>
          <w:lang w:val="sr-Cyrl-BA"/>
        </w:rPr>
        <w:t>с</w:t>
      </w:r>
      <w:r>
        <w:rPr>
          <w:rFonts w:ascii="Times New Roman" w:hAnsi="Times New Roman"/>
          <w:szCs w:val="24"/>
          <w:lang w:val="hr-HR"/>
        </w:rPr>
        <w:t>ању</w:t>
      </w:r>
      <w:r w:rsidR="00A87F6C" w:rsidRPr="00295637">
        <w:rPr>
          <w:rFonts w:ascii="Times New Roman" w:hAnsi="Times New Roman"/>
          <w:szCs w:val="24"/>
          <w:lang w:val="hr-HR"/>
        </w:rPr>
        <w:t xml:space="preserve"> </w:t>
      </w:r>
      <w:r>
        <w:rPr>
          <w:rFonts w:ascii="Times New Roman" w:hAnsi="Times New Roman"/>
          <w:szCs w:val="24"/>
          <w:lang w:val="hr-HR"/>
        </w:rPr>
        <w:t>људских</w:t>
      </w:r>
      <w:r w:rsidR="00A87F6C" w:rsidRPr="00295637">
        <w:rPr>
          <w:rFonts w:ascii="Times New Roman" w:hAnsi="Times New Roman"/>
          <w:szCs w:val="24"/>
          <w:lang w:val="hr-HR"/>
        </w:rPr>
        <w:t xml:space="preserve"> </w:t>
      </w:r>
      <w:r>
        <w:rPr>
          <w:rFonts w:ascii="Times New Roman" w:hAnsi="Times New Roman"/>
          <w:szCs w:val="24"/>
          <w:lang w:val="hr-HR"/>
        </w:rPr>
        <w:t>права</w:t>
      </w:r>
      <w:r w:rsidR="00A87F6C" w:rsidRPr="00295637">
        <w:rPr>
          <w:rFonts w:ascii="Times New Roman" w:hAnsi="Times New Roman"/>
          <w:szCs w:val="24"/>
          <w:lang w:val="hr-HR"/>
        </w:rPr>
        <w:t xml:space="preserve">. </w:t>
      </w:r>
      <w:r>
        <w:rPr>
          <w:rFonts w:ascii="Times New Roman" w:hAnsi="Times New Roman"/>
          <w:szCs w:val="24"/>
          <w:lang w:val="hr-HR"/>
        </w:rPr>
        <w:t>Дијелом</w:t>
      </w:r>
      <w:r w:rsidR="00A87F6C" w:rsidRPr="00295637">
        <w:rPr>
          <w:rFonts w:ascii="Times New Roman" w:hAnsi="Times New Roman"/>
          <w:szCs w:val="24"/>
          <w:lang w:val="hr-HR"/>
        </w:rPr>
        <w:t xml:space="preserve"> </w:t>
      </w:r>
      <w:r>
        <w:rPr>
          <w:rFonts w:ascii="Times New Roman" w:hAnsi="Times New Roman"/>
          <w:szCs w:val="24"/>
          <w:lang w:val="hr-HR"/>
        </w:rPr>
        <w:t>је</w:t>
      </w:r>
      <w:r w:rsidR="00A87F6C" w:rsidRPr="00295637">
        <w:rPr>
          <w:rFonts w:ascii="Times New Roman" w:hAnsi="Times New Roman"/>
          <w:szCs w:val="24"/>
          <w:lang w:val="hr-HR"/>
        </w:rPr>
        <w:t xml:space="preserve"> </w:t>
      </w:r>
      <w:r>
        <w:rPr>
          <w:rFonts w:ascii="Times New Roman" w:hAnsi="Times New Roman"/>
          <w:szCs w:val="24"/>
          <w:lang w:val="hr-HR"/>
        </w:rPr>
        <w:t>подржана</w:t>
      </w:r>
      <w:r w:rsidR="00A87F6C" w:rsidRPr="00295637">
        <w:rPr>
          <w:rFonts w:ascii="Times New Roman" w:hAnsi="Times New Roman"/>
          <w:szCs w:val="24"/>
          <w:lang w:val="hr-HR"/>
        </w:rPr>
        <w:t xml:space="preserve"> </w:t>
      </w:r>
      <w:r>
        <w:rPr>
          <w:rFonts w:ascii="Times New Roman" w:hAnsi="Times New Roman"/>
          <w:szCs w:val="24"/>
          <w:lang w:val="hr-HR"/>
        </w:rPr>
        <w:t>израда</w:t>
      </w:r>
      <w:r w:rsidR="00A87F6C" w:rsidRPr="00295637">
        <w:rPr>
          <w:rFonts w:ascii="Times New Roman" w:hAnsi="Times New Roman"/>
          <w:szCs w:val="24"/>
          <w:lang w:val="hr-HR"/>
        </w:rPr>
        <w:t xml:space="preserve"> </w:t>
      </w:r>
      <w:r>
        <w:rPr>
          <w:rFonts w:ascii="Times New Roman" w:hAnsi="Times New Roman"/>
          <w:szCs w:val="24"/>
          <w:lang w:val="hr-HR"/>
        </w:rPr>
        <w:t>три</w:t>
      </w:r>
      <w:r w:rsidR="00A87F6C" w:rsidRPr="00295637">
        <w:rPr>
          <w:rFonts w:ascii="Times New Roman" w:hAnsi="Times New Roman"/>
          <w:szCs w:val="24"/>
          <w:lang w:val="hr-HR"/>
        </w:rPr>
        <w:t xml:space="preserve"> </w:t>
      </w:r>
      <w:r>
        <w:rPr>
          <w:rFonts w:ascii="Times New Roman" w:hAnsi="Times New Roman"/>
          <w:szCs w:val="24"/>
          <w:lang w:val="hr-HR"/>
        </w:rPr>
        <w:t>вебинара</w:t>
      </w:r>
      <w:r w:rsidR="0035180F">
        <w:rPr>
          <w:rFonts w:ascii="Times New Roman" w:hAnsi="Times New Roman"/>
          <w:szCs w:val="24"/>
          <w:lang w:val="hr-HR"/>
        </w:rPr>
        <w:t xml:space="preserve"> </w:t>
      </w:r>
      <w:r>
        <w:rPr>
          <w:rFonts w:ascii="Times New Roman" w:hAnsi="Times New Roman"/>
          <w:szCs w:val="24"/>
          <w:lang w:val="hr-HR"/>
        </w:rPr>
        <w:t>за</w:t>
      </w:r>
      <w:r w:rsidR="0035180F">
        <w:rPr>
          <w:rFonts w:ascii="Times New Roman" w:hAnsi="Times New Roman"/>
          <w:szCs w:val="24"/>
          <w:lang w:val="hr-HR"/>
        </w:rPr>
        <w:t xml:space="preserve"> </w:t>
      </w:r>
      <w:r>
        <w:rPr>
          <w:rFonts w:ascii="Times New Roman" w:hAnsi="Times New Roman"/>
          <w:szCs w:val="24"/>
          <w:lang w:val="hr-HR"/>
        </w:rPr>
        <w:t>унапређење</w:t>
      </w:r>
      <w:r w:rsidR="00A87F6C" w:rsidRPr="00295637">
        <w:rPr>
          <w:rFonts w:ascii="Times New Roman" w:hAnsi="Times New Roman"/>
          <w:szCs w:val="24"/>
          <w:lang w:val="hr-HR"/>
        </w:rPr>
        <w:t xml:space="preserve"> </w:t>
      </w:r>
      <w:r>
        <w:rPr>
          <w:rFonts w:ascii="Times New Roman" w:hAnsi="Times New Roman"/>
          <w:szCs w:val="24"/>
          <w:lang w:val="hr-HR"/>
        </w:rPr>
        <w:t>знања</w:t>
      </w:r>
      <w:r w:rsidR="00A87F6C" w:rsidRPr="00295637">
        <w:rPr>
          <w:rFonts w:ascii="Times New Roman" w:hAnsi="Times New Roman"/>
          <w:szCs w:val="24"/>
          <w:lang w:val="hr-HR"/>
        </w:rPr>
        <w:t xml:space="preserve"> </w:t>
      </w:r>
      <w:r>
        <w:rPr>
          <w:rFonts w:ascii="Times New Roman" w:hAnsi="Times New Roman"/>
          <w:szCs w:val="24"/>
          <w:lang w:val="hr-HR"/>
        </w:rPr>
        <w:t>о</w:t>
      </w:r>
      <w:r w:rsidR="00A87F6C" w:rsidRPr="00295637">
        <w:rPr>
          <w:rFonts w:ascii="Times New Roman" w:hAnsi="Times New Roman"/>
          <w:szCs w:val="24"/>
          <w:lang w:val="hr-HR"/>
        </w:rPr>
        <w:t xml:space="preserve"> </w:t>
      </w:r>
      <w:r>
        <w:rPr>
          <w:rFonts w:ascii="Times New Roman" w:hAnsi="Times New Roman"/>
          <w:szCs w:val="24"/>
          <w:lang w:val="hr-HR"/>
        </w:rPr>
        <w:t>сексуалном</w:t>
      </w:r>
      <w:r w:rsidR="00A87F6C" w:rsidRPr="00295637">
        <w:rPr>
          <w:rFonts w:ascii="Times New Roman" w:hAnsi="Times New Roman"/>
          <w:szCs w:val="24"/>
          <w:lang w:val="hr-HR"/>
        </w:rPr>
        <w:t xml:space="preserve"> </w:t>
      </w:r>
      <w:r>
        <w:rPr>
          <w:rFonts w:ascii="Times New Roman" w:hAnsi="Times New Roman"/>
          <w:szCs w:val="24"/>
          <w:lang w:val="hr-HR"/>
        </w:rPr>
        <w:t>узнемиравају</w:t>
      </w:r>
      <w:r w:rsidR="00A87F6C" w:rsidRPr="00295637">
        <w:rPr>
          <w:rFonts w:ascii="Times New Roman" w:hAnsi="Times New Roman"/>
          <w:szCs w:val="24"/>
          <w:lang w:val="hr-HR"/>
        </w:rPr>
        <w:t xml:space="preserve"> </w:t>
      </w:r>
      <w:r>
        <w:rPr>
          <w:rFonts w:ascii="Times New Roman" w:hAnsi="Times New Roman"/>
          <w:szCs w:val="24"/>
          <w:lang w:val="hr-HR"/>
        </w:rPr>
        <w:t>и</w:t>
      </w:r>
      <w:r w:rsidR="00A87F6C" w:rsidRPr="00295637">
        <w:rPr>
          <w:rFonts w:ascii="Times New Roman" w:hAnsi="Times New Roman"/>
          <w:szCs w:val="24"/>
          <w:lang w:val="hr-HR"/>
        </w:rPr>
        <w:t xml:space="preserve"> </w:t>
      </w:r>
      <w:r>
        <w:rPr>
          <w:rFonts w:ascii="Times New Roman" w:hAnsi="Times New Roman"/>
          <w:szCs w:val="24"/>
          <w:lang w:val="hr-HR"/>
        </w:rPr>
        <w:t>узнемиравању</w:t>
      </w:r>
      <w:r w:rsidR="00A87F6C" w:rsidRPr="00295637">
        <w:rPr>
          <w:rFonts w:ascii="Times New Roman" w:hAnsi="Times New Roman"/>
          <w:szCs w:val="24"/>
          <w:lang w:val="hr-HR"/>
        </w:rPr>
        <w:t xml:space="preserve"> </w:t>
      </w:r>
      <w:r>
        <w:rPr>
          <w:rFonts w:ascii="Times New Roman" w:hAnsi="Times New Roman"/>
          <w:szCs w:val="24"/>
          <w:lang w:val="hr-HR"/>
        </w:rPr>
        <w:t>на</w:t>
      </w:r>
      <w:r w:rsidR="00A87F6C" w:rsidRPr="00295637">
        <w:rPr>
          <w:rFonts w:ascii="Times New Roman" w:hAnsi="Times New Roman"/>
          <w:szCs w:val="24"/>
          <w:lang w:val="hr-HR"/>
        </w:rPr>
        <w:t xml:space="preserve"> </w:t>
      </w:r>
      <w:r>
        <w:rPr>
          <w:rFonts w:ascii="Times New Roman" w:hAnsi="Times New Roman"/>
          <w:szCs w:val="24"/>
          <w:lang w:val="hr-HR"/>
        </w:rPr>
        <w:t>основу</w:t>
      </w:r>
      <w:r w:rsidR="00A87F6C" w:rsidRPr="00295637">
        <w:rPr>
          <w:rFonts w:ascii="Times New Roman" w:hAnsi="Times New Roman"/>
          <w:szCs w:val="24"/>
          <w:lang w:val="hr-HR"/>
        </w:rPr>
        <w:t xml:space="preserve"> </w:t>
      </w:r>
      <w:r>
        <w:rPr>
          <w:rFonts w:ascii="Times New Roman" w:hAnsi="Times New Roman"/>
          <w:szCs w:val="24"/>
          <w:lang w:val="hr-HR"/>
        </w:rPr>
        <w:t>пола</w:t>
      </w:r>
      <w:r w:rsidR="00A87F6C" w:rsidRPr="00295637">
        <w:rPr>
          <w:rFonts w:ascii="Times New Roman" w:hAnsi="Times New Roman"/>
          <w:szCs w:val="24"/>
          <w:lang w:val="hr-HR"/>
        </w:rPr>
        <w:t xml:space="preserve"> </w:t>
      </w:r>
      <w:r>
        <w:rPr>
          <w:rFonts w:ascii="Times New Roman" w:hAnsi="Times New Roman"/>
          <w:szCs w:val="24"/>
          <w:lang w:val="hr-HR"/>
        </w:rPr>
        <w:t>на</w:t>
      </w:r>
      <w:r w:rsidR="00A87F6C" w:rsidRPr="00295637">
        <w:rPr>
          <w:rFonts w:ascii="Times New Roman" w:hAnsi="Times New Roman"/>
          <w:szCs w:val="24"/>
          <w:lang w:val="hr-HR"/>
        </w:rPr>
        <w:t xml:space="preserve"> </w:t>
      </w:r>
      <w:r>
        <w:rPr>
          <w:rFonts w:ascii="Times New Roman" w:hAnsi="Times New Roman"/>
          <w:szCs w:val="24"/>
          <w:lang w:val="hr-HR"/>
        </w:rPr>
        <w:t>радном</w:t>
      </w:r>
      <w:r w:rsidR="00A87F6C" w:rsidRPr="00295637">
        <w:rPr>
          <w:rFonts w:ascii="Times New Roman" w:hAnsi="Times New Roman"/>
          <w:szCs w:val="24"/>
          <w:lang w:val="hr-HR"/>
        </w:rPr>
        <w:t xml:space="preserve"> </w:t>
      </w:r>
      <w:r>
        <w:rPr>
          <w:rFonts w:ascii="Times New Roman" w:hAnsi="Times New Roman"/>
          <w:szCs w:val="24"/>
          <w:lang w:val="hr-HR"/>
        </w:rPr>
        <w:t>мјесту</w:t>
      </w:r>
      <w:r w:rsidR="00A87F6C" w:rsidRPr="00295637">
        <w:rPr>
          <w:rFonts w:ascii="Times New Roman" w:hAnsi="Times New Roman"/>
          <w:szCs w:val="24"/>
          <w:lang w:val="hr-HR"/>
        </w:rPr>
        <w:t xml:space="preserve">, </w:t>
      </w:r>
      <w:r>
        <w:rPr>
          <w:rFonts w:ascii="Times New Roman" w:hAnsi="Times New Roman"/>
          <w:szCs w:val="24"/>
          <w:lang w:val="hr-HR"/>
        </w:rPr>
        <w:t>насиљу</w:t>
      </w:r>
      <w:r w:rsidR="00A87F6C" w:rsidRPr="00295637">
        <w:rPr>
          <w:rFonts w:ascii="Times New Roman" w:hAnsi="Times New Roman"/>
          <w:szCs w:val="24"/>
          <w:lang w:val="hr-HR"/>
        </w:rPr>
        <w:t xml:space="preserve"> </w:t>
      </w:r>
      <w:r>
        <w:rPr>
          <w:rFonts w:ascii="Times New Roman" w:hAnsi="Times New Roman"/>
          <w:szCs w:val="24"/>
          <w:lang w:val="hr-HR"/>
        </w:rPr>
        <w:t>према</w:t>
      </w:r>
      <w:r w:rsidR="00A87F6C" w:rsidRPr="00295637">
        <w:rPr>
          <w:rFonts w:ascii="Times New Roman" w:hAnsi="Times New Roman"/>
          <w:szCs w:val="24"/>
          <w:lang w:val="hr-HR"/>
        </w:rPr>
        <w:t xml:space="preserve"> </w:t>
      </w:r>
      <w:r>
        <w:rPr>
          <w:rFonts w:ascii="Times New Roman" w:hAnsi="Times New Roman"/>
          <w:szCs w:val="24"/>
          <w:lang w:val="hr-HR"/>
        </w:rPr>
        <w:t>женама</w:t>
      </w:r>
      <w:r w:rsidR="00A87F6C" w:rsidRPr="00295637">
        <w:rPr>
          <w:rFonts w:ascii="Times New Roman" w:hAnsi="Times New Roman"/>
          <w:szCs w:val="24"/>
          <w:lang w:val="hr-HR"/>
        </w:rPr>
        <w:t xml:space="preserve"> </w:t>
      </w:r>
      <w:r>
        <w:rPr>
          <w:rFonts w:ascii="Times New Roman" w:hAnsi="Times New Roman"/>
          <w:szCs w:val="24"/>
          <w:lang w:val="hr-HR"/>
        </w:rPr>
        <w:t>и</w:t>
      </w:r>
      <w:r w:rsidR="00A87F6C" w:rsidRPr="00295637">
        <w:rPr>
          <w:rFonts w:ascii="Times New Roman" w:hAnsi="Times New Roman"/>
          <w:szCs w:val="24"/>
          <w:lang w:val="hr-HR"/>
        </w:rPr>
        <w:t xml:space="preserve"> </w:t>
      </w:r>
      <w:r>
        <w:rPr>
          <w:rFonts w:ascii="Times New Roman" w:hAnsi="Times New Roman"/>
          <w:szCs w:val="24"/>
          <w:lang w:val="hr-HR"/>
        </w:rPr>
        <w:t>утицају</w:t>
      </w:r>
      <w:r w:rsidR="00A87F6C" w:rsidRPr="00295637">
        <w:rPr>
          <w:rFonts w:ascii="Times New Roman" w:hAnsi="Times New Roman"/>
          <w:szCs w:val="24"/>
          <w:lang w:val="hr-HR"/>
        </w:rPr>
        <w:t xml:space="preserve"> </w:t>
      </w:r>
      <w:r>
        <w:rPr>
          <w:rFonts w:ascii="Times New Roman" w:hAnsi="Times New Roman"/>
          <w:szCs w:val="24"/>
          <w:lang w:val="hr-HR"/>
        </w:rPr>
        <w:t>правних</w:t>
      </w:r>
      <w:r w:rsidR="00A87F6C" w:rsidRPr="00295637">
        <w:rPr>
          <w:rFonts w:ascii="Times New Roman" w:hAnsi="Times New Roman"/>
          <w:szCs w:val="24"/>
          <w:lang w:val="hr-HR"/>
        </w:rPr>
        <w:t xml:space="preserve"> </w:t>
      </w:r>
      <w:r>
        <w:rPr>
          <w:rFonts w:ascii="Times New Roman" w:hAnsi="Times New Roman"/>
          <w:szCs w:val="24"/>
          <w:lang w:val="hr-HR"/>
        </w:rPr>
        <w:t>прописа</w:t>
      </w:r>
      <w:r w:rsidR="00A87F6C" w:rsidRPr="00295637">
        <w:rPr>
          <w:rFonts w:ascii="Times New Roman" w:hAnsi="Times New Roman"/>
          <w:szCs w:val="24"/>
          <w:lang w:val="hr-HR"/>
        </w:rPr>
        <w:t xml:space="preserve"> </w:t>
      </w:r>
      <w:r>
        <w:rPr>
          <w:rFonts w:ascii="Times New Roman" w:hAnsi="Times New Roman"/>
          <w:szCs w:val="24"/>
          <w:lang w:val="hr-HR"/>
        </w:rPr>
        <w:t>из</w:t>
      </w:r>
      <w:r w:rsidR="00A87F6C" w:rsidRPr="00295637">
        <w:rPr>
          <w:rFonts w:ascii="Times New Roman" w:hAnsi="Times New Roman"/>
          <w:szCs w:val="24"/>
          <w:lang w:val="hr-HR"/>
        </w:rPr>
        <w:t xml:space="preserve"> </w:t>
      </w:r>
      <w:r>
        <w:rPr>
          <w:rFonts w:ascii="Times New Roman" w:hAnsi="Times New Roman"/>
          <w:szCs w:val="24"/>
          <w:lang w:val="hr-HR"/>
        </w:rPr>
        <w:t>перспективе</w:t>
      </w:r>
      <w:r w:rsidR="00A87F6C" w:rsidRPr="00295637">
        <w:rPr>
          <w:rFonts w:ascii="Times New Roman" w:hAnsi="Times New Roman"/>
          <w:szCs w:val="24"/>
          <w:lang w:val="hr-HR"/>
        </w:rPr>
        <w:t xml:space="preserve"> </w:t>
      </w:r>
      <w:r>
        <w:rPr>
          <w:rFonts w:ascii="Times New Roman" w:hAnsi="Times New Roman"/>
          <w:szCs w:val="24"/>
          <w:lang w:val="hr-HR"/>
        </w:rPr>
        <w:t>равноправности</w:t>
      </w:r>
      <w:r w:rsidR="00A87F6C" w:rsidRPr="00295637">
        <w:rPr>
          <w:rFonts w:ascii="Times New Roman" w:hAnsi="Times New Roman"/>
          <w:szCs w:val="24"/>
          <w:lang w:val="hr-HR"/>
        </w:rPr>
        <w:t xml:space="preserve"> </w:t>
      </w:r>
      <w:r>
        <w:rPr>
          <w:rFonts w:ascii="Times New Roman" w:hAnsi="Times New Roman"/>
          <w:szCs w:val="24"/>
          <w:lang w:val="hr-HR"/>
        </w:rPr>
        <w:t>полова</w:t>
      </w:r>
      <w:r w:rsidR="00A87F6C" w:rsidRPr="00295637">
        <w:rPr>
          <w:rFonts w:ascii="Times New Roman" w:hAnsi="Times New Roman"/>
          <w:szCs w:val="24"/>
          <w:lang w:val="hr-HR"/>
        </w:rPr>
        <w:t>.</w:t>
      </w:r>
      <w:r w:rsidR="006B357A">
        <w:rPr>
          <w:rFonts w:ascii="Times New Roman" w:hAnsi="Times New Roman"/>
          <w:szCs w:val="24"/>
          <w:lang w:val="hr-HR"/>
        </w:rPr>
        <w:t xml:space="preserve"> </w:t>
      </w:r>
      <w:r>
        <w:rPr>
          <w:rFonts w:ascii="Times New Roman" w:hAnsi="Times New Roman"/>
          <w:szCs w:val="24"/>
          <w:lang w:val="hr-HR"/>
        </w:rPr>
        <w:t>У</w:t>
      </w:r>
      <w:r w:rsidR="006B357A">
        <w:rPr>
          <w:rFonts w:ascii="Times New Roman" w:hAnsi="Times New Roman"/>
          <w:szCs w:val="24"/>
          <w:lang w:val="hr-HR"/>
        </w:rPr>
        <w:t xml:space="preserve"> </w:t>
      </w:r>
      <w:r>
        <w:rPr>
          <w:rFonts w:ascii="Times New Roman" w:hAnsi="Times New Roman"/>
          <w:szCs w:val="24"/>
          <w:lang w:val="hr-HR"/>
        </w:rPr>
        <w:t>оквиру</w:t>
      </w:r>
      <w:r w:rsidR="006B357A">
        <w:rPr>
          <w:rFonts w:ascii="Times New Roman" w:hAnsi="Times New Roman"/>
          <w:szCs w:val="24"/>
          <w:lang w:val="hr-HR"/>
        </w:rPr>
        <w:t xml:space="preserve"> </w:t>
      </w:r>
      <w:r>
        <w:rPr>
          <w:rFonts w:ascii="Times New Roman" w:hAnsi="Times New Roman"/>
          <w:szCs w:val="24"/>
          <w:lang w:val="hr-HR"/>
        </w:rPr>
        <w:t>пројекта</w:t>
      </w:r>
      <w:r w:rsidR="006B357A" w:rsidRPr="00295637">
        <w:rPr>
          <w:rFonts w:ascii="Times New Roman" w:hAnsi="Times New Roman"/>
          <w:szCs w:val="24"/>
          <w:lang w:val="bs-Latn-BA"/>
        </w:rPr>
        <w:t xml:space="preserve"> </w:t>
      </w:r>
      <w:r>
        <w:rPr>
          <w:rFonts w:ascii="Times New Roman" w:hAnsi="Times New Roman"/>
          <w:szCs w:val="24"/>
          <w:lang w:val="bs-Latn-BA"/>
        </w:rPr>
        <w:t>извршена</w:t>
      </w:r>
      <w:r w:rsidR="006B357A" w:rsidRPr="00295637">
        <w:rPr>
          <w:rFonts w:ascii="Times New Roman" w:hAnsi="Times New Roman"/>
          <w:szCs w:val="24"/>
          <w:lang w:val="bs-Latn-BA"/>
        </w:rPr>
        <w:t xml:space="preserve"> </w:t>
      </w:r>
      <w:r>
        <w:rPr>
          <w:rFonts w:ascii="Times New Roman" w:hAnsi="Times New Roman"/>
          <w:szCs w:val="24"/>
          <w:lang w:val="bs-Latn-BA"/>
        </w:rPr>
        <w:t>је</w:t>
      </w:r>
      <w:r w:rsidR="006B357A" w:rsidRPr="00295637">
        <w:rPr>
          <w:rFonts w:ascii="Times New Roman" w:hAnsi="Times New Roman"/>
          <w:szCs w:val="24"/>
          <w:lang w:val="bs-Latn-BA"/>
        </w:rPr>
        <w:t xml:space="preserve"> </w:t>
      </w:r>
      <w:r>
        <w:rPr>
          <w:rFonts w:ascii="Times New Roman" w:hAnsi="Times New Roman"/>
          <w:szCs w:val="24"/>
          <w:lang w:val="bs-Latn-BA"/>
        </w:rPr>
        <w:t>анализа</w:t>
      </w:r>
      <w:r w:rsidR="006B357A" w:rsidRPr="00295637">
        <w:rPr>
          <w:rFonts w:ascii="Times New Roman" w:hAnsi="Times New Roman"/>
          <w:szCs w:val="24"/>
          <w:lang w:val="bs-Latn-BA"/>
        </w:rPr>
        <w:t xml:space="preserve"> </w:t>
      </w:r>
      <w:r w:rsidR="006B357A" w:rsidRPr="00295637">
        <w:rPr>
          <w:rFonts w:ascii="Times New Roman" w:hAnsi="Times New Roman"/>
          <w:bCs/>
          <w:szCs w:val="24"/>
          <w:lang w:val="bs-Latn-BA"/>
        </w:rPr>
        <w:t xml:space="preserve">183 </w:t>
      </w:r>
      <w:r>
        <w:rPr>
          <w:rFonts w:ascii="Times New Roman" w:hAnsi="Times New Roman"/>
          <w:bCs/>
          <w:szCs w:val="24"/>
          <w:lang w:val="bs-Latn-BA"/>
        </w:rPr>
        <w:t>прописа</w:t>
      </w:r>
      <w:r w:rsidR="006B357A" w:rsidRPr="00295637">
        <w:rPr>
          <w:rFonts w:ascii="Times New Roman" w:hAnsi="Times New Roman"/>
          <w:bCs/>
          <w:szCs w:val="24"/>
          <w:lang w:val="bs-Latn-BA"/>
        </w:rPr>
        <w:t xml:space="preserve"> </w:t>
      </w:r>
      <w:r>
        <w:rPr>
          <w:rFonts w:ascii="Times New Roman" w:hAnsi="Times New Roman"/>
          <w:bCs/>
          <w:szCs w:val="24"/>
          <w:lang w:val="bs-Latn-BA"/>
        </w:rPr>
        <w:t>и</w:t>
      </w:r>
      <w:r w:rsidR="006B357A" w:rsidRPr="00295637">
        <w:rPr>
          <w:rFonts w:ascii="Times New Roman" w:hAnsi="Times New Roman"/>
          <w:bCs/>
          <w:szCs w:val="24"/>
          <w:lang w:val="bs-Latn-BA"/>
        </w:rPr>
        <w:t xml:space="preserve"> </w:t>
      </w:r>
      <w:r>
        <w:rPr>
          <w:rFonts w:ascii="Times New Roman" w:hAnsi="Times New Roman"/>
          <w:bCs/>
          <w:szCs w:val="24"/>
          <w:lang w:val="bs-Latn-BA"/>
        </w:rPr>
        <w:t>стратешких</w:t>
      </w:r>
      <w:r w:rsidR="006B357A" w:rsidRPr="00295637">
        <w:rPr>
          <w:rFonts w:ascii="Times New Roman" w:hAnsi="Times New Roman"/>
          <w:bCs/>
          <w:szCs w:val="24"/>
          <w:lang w:val="bs-Latn-BA"/>
        </w:rPr>
        <w:t xml:space="preserve"> </w:t>
      </w:r>
      <w:r>
        <w:rPr>
          <w:rFonts w:ascii="Times New Roman" w:hAnsi="Times New Roman"/>
          <w:bCs/>
          <w:szCs w:val="24"/>
          <w:lang w:val="bs-Latn-BA"/>
        </w:rPr>
        <w:t>докумената</w:t>
      </w:r>
      <w:r w:rsidR="006B357A" w:rsidRPr="00295637">
        <w:rPr>
          <w:rFonts w:ascii="Times New Roman" w:hAnsi="Times New Roman"/>
          <w:szCs w:val="24"/>
          <w:lang w:val="bs-Latn-BA"/>
        </w:rPr>
        <w:t xml:space="preserve">. </w:t>
      </w:r>
      <w:r w:rsidR="007611A2">
        <w:rPr>
          <w:rFonts w:ascii="Times New Roman" w:hAnsi="Times New Roman"/>
          <w:szCs w:val="24"/>
          <w:lang w:val="bs-Latn-BA"/>
        </w:rPr>
        <w:t>Такође</w:t>
      </w:r>
      <w:r w:rsidR="006B357A" w:rsidRPr="00295637">
        <w:rPr>
          <w:rFonts w:ascii="Times New Roman" w:hAnsi="Times New Roman"/>
          <w:szCs w:val="24"/>
          <w:lang w:val="bs-Latn-BA"/>
        </w:rPr>
        <w:t xml:space="preserve">, </w:t>
      </w:r>
      <w:r>
        <w:rPr>
          <w:rFonts w:ascii="Times New Roman" w:hAnsi="Times New Roman"/>
          <w:szCs w:val="24"/>
          <w:lang w:val="bs-Latn-BA"/>
        </w:rPr>
        <w:t>сачињена</w:t>
      </w:r>
      <w:r w:rsidR="006B357A" w:rsidRPr="00295637">
        <w:rPr>
          <w:rFonts w:ascii="Times New Roman" w:hAnsi="Times New Roman"/>
          <w:szCs w:val="24"/>
          <w:lang w:val="bs-Latn-BA"/>
        </w:rPr>
        <w:t xml:space="preserve"> </w:t>
      </w:r>
      <w:r>
        <w:rPr>
          <w:rFonts w:ascii="Times New Roman" w:hAnsi="Times New Roman"/>
          <w:szCs w:val="24"/>
          <w:lang w:val="bs-Latn-BA"/>
        </w:rPr>
        <w:t>је</w:t>
      </w:r>
      <w:r w:rsidR="006B357A" w:rsidRPr="00295637">
        <w:rPr>
          <w:rFonts w:ascii="Times New Roman" w:hAnsi="Times New Roman"/>
          <w:szCs w:val="24"/>
          <w:lang w:val="bs-Latn-BA"/>
        </w:rPr>
        <w:t xml:space="preserve"> </w:t>
      </w:r>
      <w:r>
        <w:rPr>
          <w:rFonts w:ascii="Times New Roman" w:hAnsi="Times New Roman"/>
          <w:bCs/>
          <w:szCs w:val="24"/>
          <w:lang w:val="bs-Latn-BA"/>
        </w:rPr>
        <w:t>Листа</w:t>
      </w:r>
      <w:r w:rsidR="006B357A" w:rsidRPr="00295637">
        <w:rPr>
          <w:rFonts w:ascii="Times New Roman" w:hAnsi="Times New Roman"/>
          <w:bCs/>
          <w:szCs w:val="24"/>
          <w:lang w:val="bs-Latn-BA"/>
        </w:rPr>
        <w:t xml:space="preserve"> </w:t>
      </w:r>
      <w:r>
        <w:rPr>
          <w:rFonts w:ascii="Times New Roman" w:hAnsi="Times New Roman"/>
          <w:bCs/>
          <w:szCs w:val="24"/>
          <w:lang w:val="bs-Latn-BA"/>
        </w:rPr>
        <w:t>прописа</w:t>
      </w:r>
      <w:r w:rsidR="006B357A" w:rsidRPr="00295637">
        <w:rPr>
          <w:rFonts w:ascii="Times New Roman" w:hAnsi="Times New Roman"/>
          <w:bCs/>
          <w:szCs w:val="24"/>
          <w:lang w:val="bs-Latn-BA"/>
        </w:rPr>
        <w:t xml:space="preserve"> </w:t>
      </w:r>
      <w:r>
        <w:rPr>
          <w:rFonts w:ascii="Times New Roman" w:hAnsi="Times New Roman"/>
          <w:bCs/>
          <w:szCs w:val="24"/>
          <w:lang w:val="bs-Latn-BA"/>
        </w:rPr>
        <w:t>за</w:t>
      </w:r>
      <w:r w:rsidR="006B357A" w:rsidRPr="00295637">
        <w:rPr>
          <w:rFonts w:ascii="Times New Roman" w:hAnsi="Times New Roman"/>
          <w:bCs/>
          <w:szCs w:val="24"/>
          <w:lang w:val="bs-Latn-BA"/>
        </w:rPr>
        <w:t xml:space="preserve"> </w:t>
      </w:r>
      <w:r>
        <w:rPr>
          <w:rFonts w:ascii="Times New Roman" w:hAnsi="Times New Roman"/>
          <w:bCs/>
          <w:szCs w:val="24"/>
          <w:lang w:val="bs-Latn-BA"/>
        </w:rPr>
        <w:t>праћење</w:t>
      </w:r>
      <w:r w:rsidR="006B357A" w:rsidRPr="00295637">
        <w:rPr>
          <w:rFonts w:ascii="Times New Roman" w:hAnsi="Times New Roman"/>
          <w:szCs w:val="24"/>
          <w:lang w:val="bs-Latn-BA"/>
        </w:rPr>
        <w:t xml:space="preserve">, </w:t>
      </w:r>
      <w:r>
        <w:rPr>
          <w:rFonts w:ascii="Times New Roman" w:hAnsi="Times New Roman"/>
          <w:bCs/>
          <w:szCs w:val="24"/>
          <w:lang w:val="bs-Latn-BA"/>
        </w:rPr>
        <w:t>Листа</w:t>
      </w:r>
      <w:r w:rsidR="006B357A" w:rsidRPr="00295637">
        <w:rPr>
          <w:rFonts w:ascii="Times New Roman" w:hAnsi="Times New Roman"/>
          <w:bCs/>
          <w:szCs w:val="24"/>
          <w:lang w:val="bs-Latn-BA"/>
        </w:rPr>
        <w:t xml:space="preserve"> </w:t>
      </w:r>
      <w:r>
        <w:rPr>
          <w:rFonts w:ascii="Times New Roman" w:hAnsi="Times New Roman"/>
          <w:bCs/>
          <w:szCs w:val="24"/>
          <w:lang w:val="bs-Latn-BA"/>
        </w:rPr>
        <w:t>критериј</w:t>
      </w:r>
      <w:r w:rsidR="007611A2">
        <w:rPr>
          <w:rFonts w:ascii="Times New Roman" w:hAnsi="Times New Roman"/>
          <w:bCs/>
          <w:szCs w:val="24"/>
          <w:lang w:val="sr-Cyrl-BA"/>
        </w:rPr>
        <w:t>ума</w:t>
      </w:r>
      <w:r w:rsidR="006B357A" w:rsidRPr="00295637">
        <w:rPr>
          <w:rFonts w:ascii="Times New Roman" w:hAnsi="Times New Roman"/>
          <w:bCs/>
          <w:szCs w:val="24"/>
          <w:lang w:val="bs-Latn-BA"/>
        </w:rPr>
        <w:t xml:space="preserve"> </w:t>
      </w:r>
      <w:r>
        <w:rPr>
          <w:rFonts w:ascii="Times New Roman" w:hAnsi="Times New Roman"/>
          <w:bCs/>
          <w:szCs w:val="24"/>
          <w:lang w:val="bs-Latn-BA"/>
        </w:rPr>
        <w:t>за</w:t>
      </w:r>
      <w:r w:rsidR="006B357A" w:rsidRPr="00295637">
        <w:rPr>
          <w:rFonts w:ascii="Times New Roman" w:hAnsi="Times New Roman"/>
          <w:bCs/>
          <w:szCs w:val="24"/>
          <w:lang w:val="bs-Latn-BA"/>
        </w:rPr>
        <w:t xml:space="preserve"> </w:t>
      </w:r>
      <w:r>
        <w:rPr>
          <w:rFonts w:ascii="Times New Roman" w:hAnsi="Times New Roman"/>
          <w:bCs/>
          <w:szCs w:val="24"/>
          <w:lang w:val="bs-Latn-BA"/>
        </w:rPr>
        <w:t>оцјену</w:t>
      </w:r>
      <w:r w:rsidR="0035180F">
        <w:rPr>
          <w:rFonts w:ascii="Times New Roman" w:hAnsi="Times New Roman"/>
          <w:bCs/>
          <w:szCs w:val="24"/>
          <w:lang w:val="bs-Latn-BA"/>
        </w:rPr>
        <w:t xml:space="preserve"> </w:t>
      </w:r>
      <w:r>
        <w:rPr>
          <w:rFonts w:ascii="Times New Roman" w:hAnsi="Times New Roman"/>
          <w:bCs/>
          <w:szCs w:val="24"/>
          <w:lang w:val="bs-Latn-BA"/>
        </w:rPr>
        <w:t>усклађености</w:t>
      </w:r>
      <w:r w:rsidR="0035180F">
        <w:rPr>
          <w:rFonts w:ascii="Times New Roman" w:hAnsi="Times New Roman"/>
          <w:bCs/>
          <w:szCs w:val="24"/>
          <w:lang w:val="bs-Latn-BA"/>
        </w:rPr>
        <w:t xml:space="preserve"> </w:t>
      </w:r>
      <w:r>
        <w:rPr>
          <w:rFonts w:ascii="Times New Roman" w:hAnsi="Times New Roman"/>
          <w:bCs/>
          <w:szCs w:val="24"/>
          <w:lang w:val="bs-Latn-BA"/>
        </w:rPr>
        <w:t>са</w:t>
      </w:r>
      <w:r w:rsidR="0035180F">
        <w:rPr>
          <w:rFonts w:ascii="Times New Roman" w:hAnsi="Times New Roman"/>
          <w:bCs/>
          <w:szCs w:val="24"/>
          <w:lang w:val="bs-Latn-BA"/>
        </w:rPr>
        <w:t xml:space="preserve"> </w:t>
      </w:r>
      <w:r>
        <w:rPr>
          <w:rFonts w:ascii="Times New Roman" w:hAnsi="Times New Roman"/>
          <w:bCs/>
          <w:szCs w:val="24"/>
          <w:lang w:val="bs-Latn-BA"/>
        </w:rPr>
        <w:t>ЗоР</w:t>
      </w:r>
      <w:r w:rsidR="007611A2">
        <w:rPr>
          <w:rFonts w:ascii="Times New Roman" w:hAnsi="Times New Roman"/>
          <w:bCs/>
          <w:szCs w:val="24"/>
          <w:lang w:val="sr-Cyrl-BA"/>
        </w:rPr>
        <w:t>П</w:t>
      </w:r>
      <w:r w:rsidR="006B357A" w:rsidRPr="00295637">
        <w:rPr>
          <w:rFonts w:ascii="Times New Roman" w:hAnsi="Times New Roman"/>
          <w:bCs/>
          <w:szCs w:val="24"/>
          <w:lang w:val="bs-Latn-BA"/>
        </w:rPr>
        <w:t>-</w:t>
      </w:r>
      <w:r>
        <w:rPr>
          <w:rFonts w:ascii="Times New Roman" w:hAnsi="Times New Roman"/>
          <w:bCs/>
          <w:szCs w:val="24"/>
          <w:lang w:val="bs-Latn-BA"/>
        </w:rPr>
        <w:t>ом</w:t>
      </w:r>
      <w:r w:rsidR="006B357A" w:rsidRPr="00295637">
        <w:rPr>
          <w:rFonts w:ascii="Times New Roman" w:hAnsi="Times New Roman"/>
          <w:bCs/>
          <w:szCs w:val="24"/>
          <w:lang w:val="bs-Latn-BA"/>
        </w:rPr>
        <w:t xml:space="preserve"> </w:t>
      </w:r>
      <w:r>
        <w:rPr>
          <w:rFonts w:ascii="Times New Roman" w:hAnsi="Times New Roman"/>
          <w:szCs w:val="24"/>
          <w:lang w:val="bs-Latn-BA"/>
        </w:rPr>
        <w:t>те</w:t>
      </w:r>
      <w:r w:rsidR="006B357A" w:rsidRPr="00295637">
        <w:rPr>
          <w:rFonts w:ascii="Times New Roman" w:hAnsi="Times New Roman"/>
          <w:szCs w:val="24"/>
          <w:lang w:val="bs-Latn-BA"/>
        </w:rPr>
        <w:t xml:space="preserve"> </w:t>
      </w:r>
      <w:r>
        <w:rPr>
          <w:rFonts w:ascii="Times New Roman" w:hAnsi="Times New Roman"/>
          <w:bCs/>
          <w:szCs w:val="24"/>
          <w:lang w:val="bs-Latn-BA"/>
        </w:rPr>
        <w:t>Листа</w:t>
      </w:r>
      <w:r w:rsidR="006B357A" w:rsidRPr="00295637">
        <w:rPr>
          <w:rFonts w:ascii="Times New Roman" w:hAnsi="Times New Roman"/>
          <w:bCs/>
          <w:szCs w:val="24"/>
          <w:lang w:val="bs-Latn-BA"/>
        </w:rPr>
        <w:t xml:space="preserve"> </w:t>
      </w:r>
      <w:r>
        <w:rPr>
          <w:rFonts w:ascii="Times New Roman" w:hAnsi="Times New Roman"/>
          <w:bCs/>
          <w:szCs w:val="24"/>
          <w:lang w:val="bs-Latn-BA"/>
        </w:rPr>
        <w:t>закона</w:t>
      </w:r>
      <w:r w:rsidR="006B357A" w:rsidRPr="00295637">
        <w:rPr>
          <w:rFonts w:ascii="Times New Roman" w:hAnsi="Times New Roman"/>
          <w:bCs/>
          <w:szCs w:val="24"/>
          <w:lang w:val="bs-Latn-BA"/>
        </w:rPr>
        <w:t xml:space="preserve"> </w:t>
      </w:r>
      <w:r>
        <w:rPr>
          <w:rFonts w:ascii="Times New Roman" w:hAnsi="Times New Roman"/>
          <w:bCs/>
          <w:szCs w:val="24"/>
          <w:lang w:val="bs-Latn-BA"/>
        </w:rPr>
        <w:t>који</w:t>
      </w:r>
      <w:r w:rsidR="006B357A" w:rsidRPr="00295637">
        <w:rPr>
          <w:rFonts w:ascii="Times New Roman" w:hAnsi="Times New Roman"/>
          <w:bCs/>
          <w:szCs w:val="24"/>
          <w:lang w:val="bs-Latn-BA"/>
        </w:rPr>
        <w:t xml:space="preserve"> </w:t>
      </w:r>
      <w:r>
        <w:rPr>
          <w:rFonts w:ascii="Times New Roman" w:hAnsi="Times New Roman"/>
          <w:bCs/>
          <w:szCs w:val="24"/>
          <w:lang w:val="bs-Latn-BA"/>
        </w:rPr>
        <w:t>нису</w:t>
      </w:r>
      <w:r w:rsidR="006B357A" w:rsidRPr="00295637">
        <w:rPr>
          <w:rFonts w:ascii="Times New Roman" w:hAnsi="Times New Roman"/>
          <w:bCs/>
          <w:szCs w:val="24"/>
          <w:lang w:val="bs-Latn-BA"/>
        </w:rPr>
        <w:t xml:space="preserve"> </w:t>
      </w:r>
      <w:r>
        <w:rPr>
          <w:rFonts w:ascii="Times New Roman" w:hAnsi="Times New Roman"/>
          <w:bCs/>
          <w:szCs w:val="24"/>
          <w:lang w:val="bs-Latn-BA"/>
        </w:rPr>
        <w:t>или</w:t>
      </w:r>
      <w:r w:rsidR="006B357A" w:rsidRPr="00295637">
        <w:rPr>
          <w:rFonts w:ascii="Times New Roman" w:hAnsi="Times New Roman"/>
          <w:bCs/>
          <w:szCs w:val="24"/>
          <w:lang w:val="bs-Latn-BA"/>
        </w:rPr>
        <w:t xml:space="preserve"> </w:t>
      </w:r>
      <w:r>
        <w:rPr>
          <w:rFonts w:ascii="Times New Roman" w:hAnsi="Times New Roman"/>
          <w:bCs/>
          <w:szCs w:val="24"/>
          <w:lang w:val="bs-Latn-BA"/>
        </w:rPr>
        <w:t>су</w:t>
      </w:r>
      <w:r w:rsidR="006B357A" w:rsidRPr="00295637">
        <w:rPr>
          <w:rFonts w:ascii="Times New Roman" w:hAnsi="Times New Roman"/>
          <w:bCs/>
          <w:szCs w:val="24"/>
          <w:lang w:val="bs-Latn-BA"/>
        </w:rPr>
        <w:t xml:space="preserve"> </w:t>
      </w:r>
      <w:r>
        <w:rPr>
          <w:rFonts w:ascii="Times New Roman" w:hAnsi="Times New Roman"/>
          <w:bCs/>
          <w:szCs w:val="24"/>
          <w:lang w:val="bs-Latn-BA"/>
        </w:rPr>
        <w:t>дјелимично</w:t>
      </w:r>
      <w:r w:rsidR="006B357A" w:rsidRPr="00295637">
        <w:rPr>
          <w:rFonts w:ascii="Times New Roman" w:hAnsi="Times New Roman"/>
          <w:bCs/>
          <w:szCs w:val="24"/>
          <w:lang w:val="bs-Latn-BA"/>
        </w:rPr>
        <w:t xml:space="preserve"> </w:t>
      </w:r>
      <w:r>
        <w:rPr>
          <w:rFonts w:ascii="Times New Roman" w:hAnsi="Times New Roman"/>
          <w:bCs/>
          <w:szCs w:val="24"/>
          <w:lang w:val="bs-Latn-BA"/>
        </w:rPr>
        <w:t>усклађени</w:t>
      </w:r>
      <w:r w:rsidR="006B357A" w:rsidRPr="00295637">
        <w:rPr>
          <w:rFonts w:ascii="Times New Roman" w:hAnsi="Times New Roman"/>
          <w:bCs/>
          <w:szCs w:val="24"/>
          <w:lang w:val="bs-Latn-BA"/>
        </w:rPr>
        <w:t xml:space="preserve"> </w:t>
      </w:r>
      <w:r>
        <w:rPr>
          <w:rFonts w:ascii="Times New Roman" w:hAnsi="Times New Roman"/>
          <w:bCs/>
          <w:szCs w:val="24"/>
          <w:lang w:val="bs-Latn-BA"/>
        </w:rPr>
        <w:t>са</w:t>
      </w:r>
      <w:r w:rsidR="006B357A" w:rsidRPr="00295637">
        <w:rPr>
          <w:rFonts w:ascii="Times New Roman" w:hAnsi="Times New Roman"/>
          <w:bCs/>
          <w:szCs w:val="24"/>
          <w:lang w:val="bs-Latn-BA"/>
        </w:rPr>
        <w:t xml:space="preserve"> </w:t>
      </w:r>
      <w:r>
        <w:rPr>
          <w:rFonts w:ascii="Times New Roman" w:hAnsi="Times New Roman"/>
          <w:bCs/>
          <w:szCs w:val="24"/>
          <w:lang w:val="bs-Latn-BA"/>
        </w:rPr>
        <w:t>ЗоР</w:t>
      </w:r>
      <w:r w:rsidR="007611A2">
        <w:rPr>
          <w:rFonts w:ascii="Times New Roman" w:hAnsi="Times New Roman"/>
          <w:bCs/>
          <w:szCs w:val="24"/>
          <w:lang w:val="sr-Cyrl-BA"/>
        </w:rPr>
        <w:t>П</w:t>
      </w:r>
      <w:r w:rsidR="006B357A" w:rsidRPr="00295637">
        <w:rPr>
          <w:rFonts w:ascii="Times New Roman" w:hAnsi="Times New Roman"/>
          <w:bCs/>
          <w:szCs w:val="24"/>
          <w:lang w:val="bs-Latn-BA"/>
        </w:rPr>
        <w:t xml:space="preserve"> </w:t>
      </w:r>
      <w:r>
        <w:rPr>
          <w:rFonts w:ascii="Times New Roman" w:hAnsi="Times New Roman"/>
          <w:bCs/>
          <w:szCs w:val="24"/>
          <w:lang w:val="bs-Latn-BA"/>
        </w:rPr>
        <w:t>БиХ</w:t>
      </w:r>
      <w:r w:rsidR="006B357A" w:rsidRPr="00295637">
        <w:rPr>
          <w:rFonts w:ascii="Times New Roman" w:hAnsi="Times New Roman"/>
          <w:szCs w:val="24"/>
          <w:lang w:val="bs-Latn-BA"/>
        </w:rPr>
        <w:t xml:space="preserve">. </w:t>
      </w:r>
      <w:r>
        <w:rPr>
          <w:rFonts w:ascii="Times New Roman" w:hAnsi="Times New Roman"/>
          <w:szCs w:val="24"/>
          <w:lang w:val="bs-Latn-BA"/>
        </w:rPr>
        <w:t>Информација</w:t>
      </w:r>
      <w:r w:rsidR="006B357A" w:rsidRPr="00295637">
        <w:rPr>
          <w:rFonts w:ascii="Times New Roman" w:hAnsi="Times New Roman"/>
          <w:szCs w:val="24"/>
          <w:lang w:val="bs-Latn-BA"/>
        </w:rPr>
        <w:t xml:space="preserve"> </w:t>
      </w:r>
      <w:r>
        <w:rPr>
          <w:rFonts w:ascii="Times New Roman" w:hAnsi="Times New Roman"/>
          <w:szCs w:val="24"/>
          <w:lang w:val="bs-Latn-BA"/>
        </w:rPr>
        <w:t>о</w:t>
      </w:r>
      <w:r w:rsidR="006B357A" w:rsidRPr="00295637">
        <w:rPr>
          <w:rFonts w:ascii="Times New Roman" w:hAnsi="Times New Roman"/>
          <w:szCs w:val="24"/>
          <w:lang w:val="bs-Latn-BA"/>
        </w:rPr>
        <w:t xml:space="preserve"> </w:t>
      </w:r>
      <w:r>
        <w:rPr>
          <w:rFonts w:ascii="Times New Roman" w:hAnsi="Times New Roman"/>
          <w:szCs w:val="24"/>
          <w:lang w:val="bs-Latn-BA"/>
        </w:rPr>
        <w:t>обавези</w:t>
      </w:r>
      <w:r w:rsidR="006B357A" w:rsidRPr="00295637">
        <w:rPr>
          <w:rFonts w:ascii="Times New Roman" w:hAnsi="Times New Roman"/>
          <w:szCs w:val="24"/>
          <w:lang w:val="bs-Latn-BA"/>
        </w:rPr>
        <w:t xml:space="preserve"> </w:t>
      </w:r>
      <w:r>
        <w:rPr>
          <w:rFonts w:ascii="Times New Roman" w:hAnsi="Times New Roman"/>
          <w:szCs w:val="24"/>
          <w:lang w:val="bs-Latn-BA"/>
        </w:rPr>
        <w:t>усклађивања</w:t>
      </w:r>
      <w:r w:rsidR="006B357A" w:rsidRPr="00295637">
        <w:rPr>
          <w:rFonts w:ascii="Times New Roman" w:hAnsi="Times New Roman"/>
          <w:szCs w:val="24"/>
          <w:lang w:val="bs-Latn-BA"/>
        </w:rPr>
        <w:t xml:space="preserve"> </w:t>
      </w:r>
      <w:r>
        <w:rPr>
          <w:rFonts w:ascii="Times New Roman" w:hAnsi="Times New Roman"/>
          <w:szCs w:val="24"/>
          <w:lang w:val="bs-Latn-BA"/>
        </w:rPr>
        <w:t>прописа</w:t>
      </w:r>
      <w:r w:rsidR="006B357A" w:rsidRPr="00295637">
        <w:rPr>
          <w:rFonts w:ascii="Times New Roman" w:hAnsi="Times New Roman"/>
          <w:szCs w:val="24"/>
          <w:lang w:val="bs-Latn-BA"/>
        </w:rPr>
        <w:t xml:space="preserve"> </w:t>
      </w:r>
      <w:r>
        <w:rPr>
          <w:rFonts w:ascii="Times New Roman" w:hAnsi="Times New Roman"/>
          <w:szCs w:val="24"/>
          <w:lang w:val="bs-Latn-BA"/>
        </w:rPr>
        <w:t>достављена</w:t>
      </w:r>
      <w:r w:rsidR="006B357A" w:rsidRPr="00295637">
        <w:rPr>
          <w:rFonts w:ascii="Times New Roman" w:hAnsi="Times New Roman"/>
          <w:szCs w:val="24"/>
          <w:lang w:val="bs-Latn-BA"/>
        </w:rPr>
        <w:t xml:space="preserve"> </w:t>
      </w:r>
      <w:r>
        <w:rPr>
          <w:rFonts w:ascii="Times New Roman" w:hAnsi="Times New Roman"/>
          <w:szCs w:val="24"/>
          <w:lang w:val="bs-Latn-BA"/>
        </w:rPr>
        <w:t>је</w:t>
      </w:r>
      <w:r w:rsidR="006B357A" w:rsidRPr="00295637">
        <w:rPr>
          <w:rFonts w:ascii="Times New Roman" w:hAnsi="Times New Roman"/>
          <w:szCs w:val="24"/>
          <w:lang w:val="bs-Latn-BA"/>
        </w:rPr>
        <w:t xml:space="preserve"> </w:t>
      </w:r>
      <w:r>
        <w:rPr>
          <w:rFonts w:ascii="Times New Roman" w:hAnsi="Times New Roman"/>
          <w:szCs w:val="24"/>
          <w:lang w:val="bs-Latn-BA"/>
        </w:rPr>
        <w:t>Влади</w:t>
      </w:r>
      <w:r w:rsidR="006B357A" w:rsidRPr="00295637">
        <w:rPr>
          <w:rFonts w:ascii="Times New Roman" w:hAnsi="Times New Roman"/>
          <w:szCs w:val="24"/>
          <w:lang w:val="bs-Latn-BA"/>
        </w:rPr>
        <w:t xml:space="preserve"> </w:t>
      </w:r>
      <w:r>
        <w:rPr>
          <w:rFonts w:ascii="Times New Roman" w:hAnsi="Times New Roman"/>
          <w:szCs w:val="24"/>
          <w:lang w:val="bs-Latn-BA"/>
        </w:rPr>
        <w:t>ФБиХ</w:t>
      </w:r>
      <w:r w:rsidR="006B357A" w:rsidRPr="00295637">
        <w:rPr>
          <w:rFonts w:ascii="Times New Roman" w:hAnsi="Times New Roman"/>
          <w:szCs w:val="24"/>
          <w:lang w:val="bs-Latn-BA"/>
        </w:rPr>
        <w:t xml:space="preserve">, </w:t>
      </w:r>
      <w:r>
        <w:rPr>
          <w:rFonts w:ascii="Times New Roman" w:hAnsi="Times New Roman"/>
          <w:szCs w:val="24"/>
          <w:lang w:val="bs-Latn-BA"/>
        </w:rPr>
        <w:t>уз</w:t>
      </w:r>
      <w:r w:rsidR="006B357A" w:rsidRPr="00295637">
        <w:rPr>
          <w:rFonts w:ascii="Times New Roman" w:hAnsi="Times New Roman"/>
          <w:szCs w:val="24"/>
          <w:lang w:val="bs-Latn-BA"/>
        </w:rPr>
        <w:t xml:space="preserve"> </w:t>
      </w:r>
      <w:r>
        <w:rPr>
          <w:rFonts w:ascii="Times New Roman" w:hAnsi="Times New Roman"/>
          <w:szCs w:val="24"/>
          <w:lang w:val="bs-Latn-BA"/>
        </w:rPr>
        <w:t>приједлог</w:t>
      </w:r>
      <w:r w:rsidR="006B357A" w:rsidRPr="00295637">
        <w:rPr>
          <w:rFonts w:ascii="Times New Roman" w:hAnsi="Times New Roman"/>
          <w:szCs w:val="24"/>
          <w:lang w:val="bs-Latn-BA"/>
        </w:rPr>
        <w:t xml:space="preserve"> </w:t>
      </w:r>
      <w:r>
        <w:rPr>
          <w:rFonts w:ascii="Times New Roman" w:hAnsi="Times New Roman"/>
          <w:szCs w:val="24"/>
          <w:lang w:val="bs-Latn-BA"/>
        </w:rPr>
        <w:t>закључка</w:t>
      </w:r>
      <w:r w:rsidR="006B357A" w:rsidRPr="00295637">
        <w:rPr>
          <w:rFonts w:ascii="Times New Roman" w:hAnsi="Times New Roman"/>
          <w:szCs w:val="24"/>
          <w:lang w:val="bs-Latn-BA"/>
        </w:rPr>
        <w:t>.</w:t>
      </w:r>
    </w:p>
    <w:p w:rsidR="006F012F" w:rsidRDefault="006F012F" w:rsidP="0086268D">
      <w:pPr>
        <w:jc w:val="both"/>
        <w:rPr>
          <w:rFonts w:ascii="Times New Roman" w:hAnsi="Times New Roman"/>
          <w:szCs w:val="24"/>
          <w:lang w:val="bs-Latn-BA"/>
        </w:rPr>
      </w:pPr>
    </w:p>
    <w:p w:rsidR="00082810" w:rsidRPr="00295637" w:rsidRDefault="00C6214E" w:rsidP="0086268D">
      <w:pPr>
        <w:jc w:val="both"/>
        <w:rPr>
          <w:rFonts w:ascii="Times New Roman" w:hAnsi="Times New Roman"/>
          <w:szCs w:val="24"/>
          <w:lang w:val="bs-Latn-BA"/>
        </w:rPr>
      </w:pPr>
      <w:r>
        <w:rPr>
          <w:rFonts w:ascii="Times New Roman" w:hAnsi="Times New Roman"/>
          <w:szCs w:val="24"/>
          <w:lang w:val="bs-Latn-BA"/>
        </w:rPr>
        <w:t>На</w:t>
      </w:r>
      <w:r w:rsidR="00082810" w:rsidRPr="00295637">
        <w:rPr>
          <w:rFonts w:ascii="Times New Roman" w:hAnsi="Times New Roman"/>
          <w:szCs w:val="24"/>
          <w:lang w:val="bs-Latn-BA"/>
        </w:rPr>
        <w:t xml:space="preserve"> </w:t>
      </w:r>
      <w:r>
        <w:rPr>
          <w:rFonts w:ascii="Times New Roman" w:hAnsi="Times New Roman"/>
          <w:szCs w:val="24"/>
          <w:lang w:val="bs-Latn-BA"/>
        </w:rPr>
        <w:t>позив</w:t>
      </w:r>
      <w:r w:rsidR="00082810" w:rsidRPr="00295637">
        <w:rPr>
          <w:rFonts w:ascii="Times New Roman" w:hAnsi="Times New Roman"/>
          <w:szCs w:val="24"/>
          <w:lang w:val="bs-Latn-BA"/>
        </w:rPr>
        <w:t xml:space="preserve"> </w:t>
      </w:r>
      <w:r>
        <w:rPr>
          <w:rFonts w:ascii="Times New Roman" w:hAnsi="Times New Roman"/>
          <w:szCs w:val="24"/>
          <w:lang w:val="bs-Latn-BA"/>
        </w:rPr>
        <w:t>МЉПИ</w:t>
      </w:r>
      <w:r w:rsidR="0035180F">
        <w:rPr>
          <w:rFonts w:ascii="Times New Roman" w:hAnsi="Times New Roman"/>
          <w:szCs w:val="24"/>
          <w:lang w:val="bs-Latn-BA"/>
        </w:rPr>
        <w:t xml:space="preserve"> </w:t>
      </w:r>
      <w:r>
        <w:rPr>
          <w:rFonts w:ascii="Times New Roman" w:hAnsi="Times New Roman"/>
          <w:szCs w:val="24"/>
          <w:lang w:val="bs-Latn-BA"/>
        </w:rPr>
        <w:t>БиХ</w:t>
      </w:r>
      <w:r w:rsidR="00082810" w:rsidRPr="00295637">
        <w:rPr>
          <w:rFonts w:ascii="Times New Roman" w:hAnsi="Times New Roman"/>
          <w:szCs w:val="24"/>
          <w:lang w:val="bs-Latn-BA"/>
        </w:rPr>
        <w:t xml:space="preserve"> </w:t>
      </w:r>
      <w:r>
        <w:rPr>
          <w:rFonts w:ascii="Times New Roman" w:hAnsi="Times New Roman"/>
          <w:szCs w:val="24"/>
          <w:lang w:val="bs-Latn-BA"/>
        </w:rPr>
        <w:t>реализ</w:t>
      </w:r>
      <w:r w:rsidR="007611A2">
        <w:rPr>
          <w:rFonts w:ascii="Times New Roman" w:hAnsi="Times New Roman"/>
          <w:szCs w:val="24"/>
          <w:lang w:val="sr-Cyrl-BA"/>
        </w:rPr>
        <w:t>оване</w:t>
      </w:r>
      <w:r w:rsidR="00082810" w:rsidRPr="00295637">
        <w:rPr>
          <w:rFonts w:ascii="Times New Roman" w:hAnsi="Times New Roman"/>
          <w:szCs w:val="24"/>
          <w:lang w:val="bs-Latn-BA"/>
        </w:rPr>
        <w:t xml:space="preserve"> </w:t>
      </w:r>
      <w:r>
        <w:rPr>
          <w:rFonts w:ascii="Times New Roman" w:hAnsi="Times New Roman"/>
          <w:szCs w:val="24"/>
          <w:lang w:val="bs-Latn-BA"/>
        </w:rPr>
        <w:t>су</w:t>
      </w:r>
      <w:r w:rsidR="00082810" w:rsidRPr="00295637">
        <w:rPr>
          <w:rFonts w:ascii="Times New Roman" w:hAnsi="Times New Roman"/>
          <w:szCs w:val="24"/>
          <w:lang w:val="bs-Latn-BA"/>
        </w:rPr>
        <w:t xml:space="preserve"> </w:t>
      </w:r>
      <w:r>
        <w:rPr>
          <w:rFonts w:ascii="Times New Roman" w:hAnsi="Times New Roman"/>
          <w:szCs w:val="24"/>
          <w:lang w:val="bs-Latn-BA"/>
        </w:rPr>
        <w:t>четири</w:t>
      </w:r>
      <w:r w:rsidR="00082810" w:rsidRPr="00295637">
        <w:rPr>
          <w:rFonts w:ascii="Times New Roman" w:hAnsi="Times New Roman"/>
          <w:szCs w:val="24"/>
          <w:lang w:val="bs-Latn-BA"/>
        </w:rPr>
        <w:t xml:space="preserve"> </w:t>
      </w:r>
      <w:r>
        <w:rPr>
          <w:rFonts w:ascii="Times New Roman" w:hAnsi="Times New Roman"/>
          <w:szCs w:val="24"/>
          <w:lang w:val="bs-Latn-BA"/>
        </w:rPr>
        <w:t>радионице</w:t>
      </w:r>
      <w:r w:rsidR="00082810" w:rsidRPr="00295637">
        <w:rPr>
          <w:rFonts w:ascii="Times New Roman" w:hAnsi="Times New Roman"/>
          <w:szCs w:val="24"/>
          <w:lang w:val="bs-Latn-BA"/>
        </w:rPr>
        <w:t xml:space="preserve"> </w:t>
      </w:r>
      <w:r>
        <w:rPr>
          <w:rFonts w:ascii="Times New Roman" w:hAnsi="Times New Roman"/>
          <w:szCs w:val="24"/>
          <w:lang w:val="bs-Latn-BA"/>
        </w:rPr>
        <w:t>за</w:t>
      </w:r>
      <w:r w:rsidR="00082810" w:rsidRPr="00295637">
        <w:rPr>
          <w:rFonts w:ascii="Times New Roman" w:hAnsi="Times New Roman"/>
          <w:szCs w:val="24"/>
          <w:lang w:val="bs-Latn-BA"/>
        </w:rPr>
        <w:t xml:space="preserve"> </w:t>
      </w:r>
      <w:r>
        <w:rPr>
          <w:rFonts w:ascii="Times New Roman" w:hAnsi="Times New Roman"/>
          <w:szCs w:val="24"/>
          <w:lang w:val="bs-Latn-BA"/>
        </w:rPr>
        <w:t>израду</w:t>
      </w:r>
      <w:r w:rsidR="00082810" w:rsidRPr="00295637">
        <w:rPr>
          <w:rFonts w:ascii="Times New Roman" w:hAnsi="Times New Roman"/>
          <w:szCs w:val="24"/>
          <w:lang w:val="bs-Latn-BA"/>
        </w:rPr>
        <w:t xml:space="preserve"> </w:t>
      </w:r>
      <w:r>
        <w:rPr>
          <w:rFonts w:ascii="Times New Roman" w:hAnsi="Times New Roman"/>
          <w:szCs w:val="24"/>
          <w:lang w:val="bs-Latn-BA"/>
        </w:rPr>
        <w:t>Правилника</w:t>
      </w:r>
      <w:r w:rsidR="00082810" w:rsidRPr="00295637">
        <w:rPr>
          <w:rFonts w:ascii="Times New Roman" w:hAnsi="Times New Roman"/>
          <w:szCs w:val="24"/>
          <w:lang w:val="bs-Latn-BA"/>
        </w:rPr>
        <w:t xml:space="preserve"> </w:t>
      </w:r>
      <w:r>
        <w:rPr>
          <w:rFonts w:ascii="Times New Roman" w:hAnsi="Times New Roman"/>
          <w:szCs w:val="24"/>
          <w:lang w:val="bs-Latn-BA"/>
        </w:rPr>
        <w:t>који</w:t>
      </w:r>
      <w:r w:rsidR="00082810" w:rsidRPr="00295637">
        <w:rPr>
          <w:rFonts w:ascii="Times New Roman" w:hAnsi="Times New Roman"/>
          <w:szCs w:val="24"/>
          <w:lang w:val="bs-Latn-BA"/>
        </w:rPr>
        <w:t xml:space="preserve"> </w:t>
      </w:r>
      <w:r>
        <w:rPr>
          <w:rFonts w:ascii="Times New Roman" w:hAnsi="Times New Roman"/>
          <w:szCs w:val="24"/>
          <w:lang w:val="bs-Latn-BA"/>
        </w:rPr>
        <w:t>прописује</w:t>
      </w:r>
      <w:r w:rsidR="00082810" w:rsidRPr="00295637">
        <w:rPr>
          <w:rFonts w:ascii="Times New Roman" w:hAnsi="Times New Roman"/>
          <w:szCs w:val="24"/>
          <w:lang w:val="bs-Latn-BA"/>
        </w:rPr>
        <w:t xml:space="preserve"> </w:t>
      </w:r>
      <w:r>
        <w:rPr>
          <w:rFonts w:ascii="Times New Roman" w:hAnsi="Times New Roman"/>
          <w:szCs w:val="24"/>
          <w:lang w:val="bs-Latn-BA"/>
        </w:rPr>
        <w:t>форму</w:t>
      </w:r>
      <w:r w:rsidR="00082810" w:rsidRPr="00295637">
        <w:rPr>
          <w:rFonts w:ascii="Times New Roman" w:hAnsi="Times New Roman"/>
          <w:szCs w:val="24"/>
          <w:lang w:val="bs-Latn-BA"/>
        </w:rPr>
        <w:t xml:space="preserve"> </w:t>
      </w:r>
      <w:r>
        <w:rPr>
          <w:rFonts w:ascii="Times New Roman" w:hAnsi="Times New Roman"/>
          <w:szCs w:val="24"/>
          <w:lang w:val="bs-Latn-BA"/>
        </w:rPr>
        <w:t>и</w:t>
      </w:r>
      <w:r w:rsidR="00082810" w:rsidRPr="00295637">
        <w:rPr>
          <w:rFonts w:ascii="Times New Roman" w:hAnsi="Times New Roman"/>
          <w:szCs w:val="24"/>
          <w:lang w:val="bs-Latn-BA"/>
        </w:rPr>
        <w:t xml:space="preserve"> </w:t>
      </w:r>
      <w:r>
        <w:rPr>
          <w:rFonts w:ascii="Times New Roman" w:hAnsi="Times New Roman"/>
          <w:szCs w:val="24"/>
          <w:lang w:val="bs-Latn-BA"/>
        </w:rPr>
        <w:t>садржај</w:t>
      </w:r>
      <w:r w:rsidR="00082810" w:rsidRPr="00295637">
        <w:rPr>
          <w:rFonts w:ascii="Times New Roman" w:hAnsi="Times New Roman"/>
          <w:szCs w:val="24"/>
          <w:lang w:val="bs-Latn-BA"/>
        </w:rPr>
        <w:t xml:space="preserve"> </w:t>
      </w:r>
      <w:r>
        <w:rPr>
          <w:rFonts w:ascii="Times New Roman" w:hAnsi="Times New Roman"/>
          <w:szCs w:val="24"/>
          <w:lang w:val="bs-Latn-BA"/>
        </w:rPr>
        <w:t>упитника</w:t>
      </w:r>
      <w:r w:rsidR="00082810" w:rsidRPr="00295637">
        <w:rPr>
          <w:rFonts w:ascii="Times New Roman" w:hAnsi="Times New Roman"/>
          <w:szCs w:val="24"/>
          <w:lang w:val="bs-Latn-BA"/>
        </w:rPr>
        <w:t xml:space="preserve"> </w:t>
      </w:r>
      <w:r>
        <w:rPr>
          <w:rFonts w:ascii="Times New Roman" w:hAnsi="Times New Roman"/>
          <w:szCs w:val="24"/>
          <w:lang w:val="bs-Latn-BA"/>
        </w:rPr>
        <w:t>за</w:t>
      </w:r>
      <w:r w:rsidR="00082810" w:rsidRPr="00295637">
        <w:rPr>
          <w:rFonts w:ascii="Times New Roman" w:hAnsi="Times New Roman"/>
          <w:szCs w:val="24"/>
          <w:lang w:val="bs-Latn-BA"/>
        </w:rPr>
        <w:t xml:space="preserve"> </w:t>
      </w:r>
      <w:r>
        <w:rPr>
          <w:rFonts w:ascii="Times New Roman" w:hAnsi="Times New Roman"/>
          <w:szCs w:val="24"/>
          <w:lang w:val="bs-Latn-BA"/>
        </w:rPr>
        <w:t>прикупљање</w:t>
      </w:r>
      <w:r w:rsidR="00082810" w:rsidRPr="00295637">
        <w:rPr>
          <w:rFonts w:ascii="Times New Roman" w:hAnsi="Times New Roman"/>
          <w:szCs w:val="24"/>
          <w:lang w:val="bs-Latn-BA"/>
        </w:rPr>
        <w:t xml:space="preserve"> </w:t>
      </w:r>
      <w:r>
        <w:rPr>
          <w:rFonts w:ascii="Times New Roman" w:hAnsi="Times New Roman"/>
          <w:szCs w:val="24"/>
          <w:lang w:val="bs-Latn-BA"/>
        </w:rPr>
        <w:t>података</w:t>
      </w:r>
      <w:r w:rsidR="00082810" w:rsidRPr="00295637">
        <w:rPr>
          <w:rFonts w:ascii="Times New Roman" w:hAnsi="Times New Roman"/>
          <w:szCs w:val="24"/>
          <w:lang w:val="bs-Latn-BA"/>
        </w:rPr>
        <w:t xml:space="preserve"> </w:t>
      </w:r>
      <w:r>
        <w:rPr>
          <w:rFonts w:ascii="Times New Roman" w:hAnsi="Times New Roman"/>
          <w:szCs w:val="24"/>
          <w:lang w:val="bs-Latn-BA"/>
        </w:rPr>
        <w:t>о</w:t>
      </w:r>
      <w:r w:rsidR="00082810" w:rsidRPr="00295637">
        <w:rPr>
          <w:rFonts w:ascii="Times New Roman" w:hAnsi="Times New Roman"/>
          <w:szCs w:val="24"/>
          <w:lang w:val="bs-Latn-BA"/>
        </w:rPr>
        <w:t xml:space="preserve"> </w:t>
      </w:r>
      <w:r>
        <w:rPr>
          <w:rFonts w:ascii="Times New Roman" w:hAnsi="Times New Roman"/>
          <w:szCs w:val="24"/>
          <w:lang w:val="bs-Latn-BA"/>
        </w:rPr>
        <w:t>случајевима</w:t>
      </w:r>
      <w:r w:rsidR="00082810"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082810" w:rsidRPr="00295637">
        <w:rPr>
          <w:rFonts w:ascii="Times New Roman" w:hAnsi="Times New Roman"/>
          <w:szCs w:val="24"/>
          <w:lang w:val="bs-Latn-BA"/>
        </w:rPr>
        <w:t xml:space="preserve">, </w:t>
      </w:r>
      <w:r>
        <w:rPr>
          <w:rFonts w:ascii="Times New Roman" w:hAnsi="Times New Roman"/>
          <w:szCs w:val="24"/>
          <w:lang w:val="bs-Latn-BA"/>
        </w:rPr>
        <w:t>поступак</w:t>
      </w:r>
      <w:r w:rsidR="00082810" w:rsidRPr="00295637">
        <w:rPr>
          <w:rFonts w:ascii="Times New Roman" w:hAnsi="Times New Roman"/>
          <w:szCs w:val="24"/>
          <w:lang w:val="bs-Latn-BA"/>
        </w:rPr>
        <w:t xml:space="preserve"> </w:t>
      </w:r>
      <w:r>
        <w:rPr>
          <w:rFonts w:ascii="Times New Roman" w:hAnsi="Times New Roman"/>
          <w:szCs w:val="24"/>
          <w:lang w:val="bs-Latn-BA"/>
        </w:rPr>
        <w:t>прикупљања</w:t>
      </w:r>
      <w:r w:rsidR="00082810" w:rsidRPr="00295637">
        <w:rPr>
          <w:rFonts w:ascii="Times New Roman" w:hAnsi="Times New Roman"/>
          <w:szCs w:val="24"/>
          <w:lang w:val="bs-Latn-BA"/>
        </w:rPr>
        <w:t xml:space="preserve"> </w:t>
      </w:r>
      <w:r>
        <w:rPr>
          <w:rFonts w:ascii="Times New Roman" w:hAnsi="Times New Roman"/>
          <w:szCs w:val="24"/>
          <w:lang w:val="bs-Latn-BA"/>
        </w:rPr>
        <w:t>података</w:t>
      </w:r>
      <w:r w:rsidR="00082810" w:rsidRPr="00295637">
        <w:rPr>
          <w:rFonts w:ascii="Times New Roman" w:hAnsi="Times New Roman"/>
          <w:szCs w:val="24"/>
          <w:lang w:val="bs-Latn-BA"/>
        </w:rPr>
        <w:t xml:space="preserve"> </w:t>
      </w:r>
      <w:r>
        <w:rPr>
          <w:rFonts w:ascii="Times New Roman" w:hAnsi="Times New Roman"/>
          <w:szCs w:val="24"/>
          <w:lang w:val="bs-Latn-BA"/>
        </w:rPr>
        <w:t>о</w:t>
      </w:r>
      <w:r w:rsidR="00082810" w:rsidRPr="00295637">
        <w:rPr>
          <w:rFonts w:ascii="Times New Roman" w:hAnsi="Times New Roman"/>
          <w:szCs w:val="24"/>
          <w:lang w:val="bs-Latn-BA"/>
        </w:rPr>
        <w:t xml:space="preserve"> </w:t>
      </w:r>
      <w:r>
        <w:rPr>
          <w:rFonts w:ascii="Times New Roman" w:hAnsi="Times New Roman"/>
          <w:szCs w:val="24"/>
          <w:lang w:val="bs-Latn-BA"/>
        </w:rPr>
        <w:t>случајевима</w:t>
      </w:r>
      <w:r w:rsidR="00082810"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082810" w:rsidRPr="00295637">
        <w:rPr>
          <w:rFonts w:ascii="Times New Roman" w:hAnsi="Times New Roman"/>
          <w:szCs w:val="24"/>
          <w:lang w:val="bs-Latn-BA"/>
        </w:rPr>
        <w:t xml:space="preserve"> </w:t>
      </w:r>
      <w:r>
        <w:rPr>
          <w:rFonts w:ascii="Times New Roman" w:hAnsi="Times New Roman"/>
          <w:szCs w:val="24"/>
          <w:lang w:val="bs-Latn-BA"/>
        </w:rPr>
        <w:t>о</w:t>
      </w:r>
      <w:r w:rsidR="00082810" w:rsidRPr="00295637">
        <w:rPr>
          <w:rFonts w:ascii="Times New Roman" w:hAnsi="Times New Roman"/>
          <w:szCs w:val="24"/>
          <w:lang w:val="bs-Latn-BA"/>
        </w:rPr>
        <w:t xml:space="preserve"> </w:t>
      </w:r>
      <w:r>
        <w:rPr>
          <w:rFonts w:ascii="Times New Roman" w:hAnsi="Times New Roman"/>
          <w:szCs w:val="24"/>
          <w:lang w:val="bs-Latn-BA"/>
        </w:rPr>
        <w:t>којима</w:t>
      </w:r>
      <w:r w:rsidR="00082810" w:rsidRPr="00295637">
        <w:rPr>
          <w:rFonts w:ascii="Times New Roman" w:hAnsi="Times New Roman"/>
          <w:szCs w:val="24"/>
          <w:lang w:val="bs-Latn-BA"/>
        </w:rPr>
        <w:t xml:space="preserve"> </w:t>
      </w:r>
      <w:r>
        <w:rPr>
          <w:rFonts w:ascii="Times New Roman" w:hAnsi="Times New Roman"/>
          <w:szCs w:val="24"/>
          <w:lang w:val="bs-Latn-BA"/>
        </w:rPr>
        <w:t>се</w:t>
      </w:r>
      <w:r w:rsidR="00082810" w:rsidRPr="00295637">
        <w:rPr>
          <w:rFonts w:ascii="Times New Roman" w:hAnsi="Times New Roman"/>
          <w:szCs w:val="24"/>
          <w:lang w:val="bs-Latn-BA"/>
        </w:rPr>
        <w:t xml:space="preserve"> </w:t>
      </w:r>
      <w:r>
        <w:rPr>
          <w:rFonts w:ascii="Times New Roman" w:hAnsi="Times New Roman"/>
          <w:szCs w:val="24"/>
          <w:lang w:val="bs-Latn-BA"/>
        </w:rPr>
        <w:t>води</w:t>
      </w:r>
      <w:r w:rsidR="00082810" w:rsidRPr="00295637">
        <w:rPr>
          <w:rFonts w:ascii="Times New Roman" w:hAnsi="Times New Roman"/>
          <w:szCs w:val="24"/>
          <w:lang w:val="bs-Latn-BA"/>
        </w:rPr>
        <w:t xml:space="preserve"> </w:t>
      </w:r>
      <w:r>
        <w:rPr>
          <w:rFonts w:ascii="Times New Roman" w:hAnsi="Times New Roman"/>
          <w:szCs w:val="24"/>
          <w:lang w:val="bs-Latn-BA"/>
        </w:rPr>
        <w:t>евиденција</w:t>
      </w:r>
      <w:r w:rsidR="00082810" w:rsidRPr="00295637">
        <w:rPr>
          <w:rFonts w:ascii="Times New Roman" w:hAnsi="Times New Roman"/>
          <w:szCs w:val="24"/>
          <w:lang w:val="bs-Latn-BA"/>
        </w:rPr>
        <w:t xml:space="preserve"> </w:t>
      </w:r>
      <w:r>
        <w:rPr>
          <w:rFonts w:ascii="Times New Roman" w:hAnsi="Times New Roman"/>
          <w:szCs w:val="24"/>
          <w:lang w:val="bs-Latn-BA"/>
        </w:rPr>
        <w:t>код</w:t>
      </w:r>
      <w:r w:rsidR="00082810" w:rsidRPr="00295637">
        <w:rPr>
          <w:rFonts w:ascii="Times New Roman" w:hAnsi="Times New Roman"/>
          <w:szCs w:val="24"/>
          <w:lang w:val="bs-Latn-BA"/>
        </w:rPr>
        <w:t xml:space="preserve"> </w:t>
      </w:r>
      <w:r>
        <w:rPr>
          <w:rFonts w:ascii="Times New Roman" w:hAnsi="Times New Roman"/>
          <w:szCs w:val="24"/>
          <w:lang w:val="bs-Latn-BA"/>
        </w:rPr>
        <w:t>надлежних</w:t>
      </w:r>
      <w:r w:rsidR="00082810" w:rsidRPr="00295637">
        <w:rPr>
          <w:rFonts w:ascii="Times New Roman" w:hAnsi="Times New Roman"/>
          <w:szCs w:val="24"/>
          <w:lang w:val="bs-Latn-BA"/>
        </w:rPr>
        <w:t xml:space="preserve"> </w:t>
      </w:r>
      <w:r>
        <w:rPr>
          <w:rFonts w:ascii="Times New Roman" w:hAnsi="Times New Roman"/>
          <w:szCs w:val="24"/>
          <w:lang w:val="bs-Latn-BA"/>
        </w:rPr>
        <w:t>институција</w:t>
      </w:r>
      <w:r w:rsidR="00082810" w:rsidRPr="00295637">
        <w:rPr>
          <w:rFonts w:ascii="Times New Roman" w:hAnsi="Times New Roman"/>
          <w:szCs w:val="24"/>
          <w:lang w:val="bs-Latn-BA"/>
        </w:rPr>
        <w:t xml:space="preserve"> </w:t>
      </w:r>
      <w:r>
        <w:rPr>
          <w:rFonts w:ascii="Times New Roman" w:hAnsi="Times New Roman"/>
          <w:szCs w:val="24"/>
          <w:lang w:val="bs-Latn-BA"/>
        </w:rPr>
        <w:t>у</w:t>
      </w:r>
      <w:r w:rsidR="00082810" w:rsidRPr="00295637">
        <w:rPr>
          <w:rFonts w:ascii="Times New Roman" w:hAnsi="Times New Roman"/>
          <w:szCs w:val="24"/>
          <w:lang w:val="bs-Latn-BA"/>
        </w:rPr>
        <w:t xml:space="preserve"> </w:t>
      </w:r>
      <w:r>
        <w:rPr>
          <w:rFonts w:ascii="Times New Roman" w:hAnsi="Times New Roman"/>
          <w:szCs w:val="24"/>
          <w:lang w:val="bs-Latn-BA"/>
        </w:rPr>
        <w:t>БиХ</w:t>
      </w:r>
      <w:r w:rsidR="0035180F">
        <w:rPr>
          <w:rFonts w:ascii="Times New Roman" w:hAnsi="Times New Roman"/>
          <w:szCs w:val="24"/>
          <w:lang w:val="bs-Latn-BA"/>
        </w:rPr>
        <w:t xml:space="preserve">, </w:t>
      </w:r>
      <w:r>
        <w:rPr>
          <w:rFonts w:ascii="Times New Roman" w:hAnsi="Times New Roman"/>
          <w:szCs w:val="24"/>
          <w:lang w:val="bs-Latn-BA"/>
        </w:rPr>
        <w:t>те</w:t>
      </w:r>
      <w:r w:rsidR="0035180F">
        <w:rPr>
          <w:rFonts w:ascii="Times New Roman" w:hAnsi="Times New Roman"/>
          <w:szCs w:val="24"/>
          <w:lang w:val="bs-Latn-BA"/>
        </w:rPr>
        <w:t xml:space="preserve"> </w:t>
      </w:r>
      <w:r>
        <w:rPr>
          <w:rFonts w:ascii="Times New Roman" w:hAnsi="Times New Roman"/>
          <w:szCs w:val="24"/>
          <w:lang w:val="bs-Latn-BA"/>
        </w:rPr>
        <w:t>друга</w:t>
      </w:r>
      <w:r w:rsidR="0035180F">
        <w:rPr>
          <w:rFonts w:ascii="Times New Roman" w:hAnsi="Times New Roman"/>
          <w:szCs w:val="24"/>
          <w:lang w:val="bs-Latn-BA"/>
        </w:rPr>
        <w:t xml:space="preserve"> </w:t>
      </w:r>
      <w:r>
        <w:rPr>
          <w:rFonts w:ascii="Times New Roman" w:hAnsi="Times New Roman"/>
          <w:szCs w:val="24"/>
          <w:lang w:val="bs-Latn-BA"/>
        </w:rPr>
        <w:t>питања</w:t>
      </w:r>
      <w:r w:rsidR="0035180F">
        <w:rPr>
          <w:rFonts w:ascii="Times New Roman" w:hAnsi="Times New Roman"/>
          <w:szCs w:val="24"/>
          <w:lang w:val="bs-Latn-BA"/>
        </w:rPr>
        <w:t xml:space="preserve"> </w:t>
      </w:r>
      <w:r>
        <w:rPr>
          <w:rFonts w:ascii="Times New Roman" w:hAnsi="Times New Roman"/>
          <w:szCs w:val="24"/>
          <w:lang w:val="bs-Latn-BA"/>
        </w:rPr>
        <w:t>у</w:t>
      </w:r>
      <w:r w:rsidR="0035180F">
        <w:rPr>
          <w:rFonts w:ascii="Times New Roman" w:hAnsi="Times New Roman"/>
          <w:szCs w:val="24"/>
          <w:lang w:val="bs-Latn-BA"/>
        </w:rPr>
        <w:t xml:space="preserve"> </w:t>
      </w:r>
      <w:r>
        <w:rPr>
          <w:rFonts w:ascii="Times New Roman" w:hAnsi="Times New Roman"/>
          <w:szCs w:val="24"/>
          <w:lang w:val="bs-Latn-BA"/>
        </w:rPr>
        <w:t>вези</w:t>
      </w:r>
      <w:r w:rsidR="0035180F">
        <w:rPr>
          <w:rFonts w:ascii="Times New Roman" w:hAnsi="Times New Roman"/>
          <w:szCs w:val="24"/>
          <w:lang w:val="bs-Latn-BA"/>
        </w:rPr>
        <w:t xml:space="preserve"> </w:t>
      </w:r>
      <w:r>
        <w:rPr>
          <w:rFonts w:ascii="Times New Roman" w:hAnsi="Times New Roman"/>
          <w:szCs w:val="24"/>
          <w:lang w:val="bs-Latn-BA"/>
        </w:rPr>
        <w:t>са</w:t>
      </w:r>
      <w:r w:rsidR="00082810" w:rsidRPr="00295637">
        <w:rPr>
          <w:rFonts w:ascii="Times New Roman" w:hAnsi="Times New Roman"/>
          <w:szCs w:val="24"/>
          <w:lang w:val="bs-Latn-BA"/>
        </w:rPr>
        <w:t xml:space="preserve"> </w:t>
      </w:r>
      <w:r>
        <w:rPr>
          <w:rFonts w:ascii="Times New Roman" w:hAnsi="Times New Roman"/>
          <w:szCs w:val="24"/>
          <w:lang w:val="bs-Latn-BA"/>
        </w:rPr>
        <w:t>поступком</w:t>
      </w:r>
      <w:r w:rsidR="00082810" w:rsidRPr="00295637">
        <w:rPr>
          <w:rFonts w:ascii="Times New Roman" w:hAnsi="Times New Roman"/>
          <w:szCs w:val="24"/>
          <w:lang w:val="bs-Latn-BA"/>
        </w:rPr>
        <w:t xml:space="preserve"> </w:t>
      </w:r>
      <w:r>
        <w:rPr>
          <w:rFonts w:ascii="Times New Roman" w:hAnsi="Times New Roman"/>
          <w:szCs w:val="24"/>
          <w:lang w:val="bs-Latn-BA"/>
        </w:rPr>
        <w:t>прикупљања</w:t>
      </w:r>
      <w:r w:rsidR="00082810" w:rsidRPr="00295637">
        <w:rPr>
          <w:rFonts w:ascii="Times New Roman" w:hAnsi="Times New Roman"/>
          <w:szCs w:val="24"/>
          <w:lang w:val="bs-Latn-BA"/>
        </w:rPr>
        <w:t xml:space="preserve"> </w:t>
      </w:r>
      <w:r>
        <w:rPr>
          <w:rFonts w:ascii="Times New Roman" w:hAnsi="Times New Roman"/>
          <w:szCs w:val="24"/>
          <w:lang w:val="bs-Latn-BA"/>
        </w:rPr>
        <w:t>података</w:t>
      </w:r>
      <w:r w:rsidR="00082810" w:rsidRPr="00295637">
        <w:rPr>
          <w:rFonts w:ascii="Times New Roman" w:hAnsi="Times New Roman"/>
          <w:szCs w:val="24"/>
          <w:lang w:val="bs-Latn-BA"/>
        </w:rPr>
        <w:t xml:space="preserve"> </w:t>
      </w:r>
      <w:r>
        <w:rPr>
          <w:rFonts w:ascii="Times New Roman" w:hAnsi="Times New Roman"/>
          <w:szCs w:val="24"/>
          <w:lang w:val="bs-Latn-BA"/>
        </w:rPr>
        <w:t>о</w:t>
      </w:r>
      <w:r w:rsidR="00082810" w:rsidRPr="00295637">
        <w:rPr>
          <w:rFonts w:ascii="Times New Roman" w:hAnsi="Times New Roman"/>
          <w:szCs w:val="24"/>
          <w:lang w:val="bs-Latn-BA"/>
        </w:rPr>
        <w:t xml:space="preserve"> </w:t>
      </w:r>
      <w:r>
        <w:rPr>
          <w:rFonts w:ascii="Times New Roman" w:hAnsi="Times New Roman"/>
          <w:szCs w:val="24"/>
          <w:lang w:val="bs-Latn-BA"/>
        </w:rPr>
        <w:t>случајевима</w:t>
      </w:r>
      <w:r w:rsidR="00082810"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082810" w:rsidRPr="00295637">
        <w:rPr>
          <w:rFonts w:ascii="Times New Roman" w:hAnsi="Times New Roman"/>
          <w:szCs w:val="24"/>
          <w:lang w:val="bs-Latn-BA"/>
        </w:rPr>
        <w:t xml:space="preserve"> </w:t>
      </w:r>
      <w:r>
        <w:rPr>
          <w:rFonts w:ascii="Times New Roman" w:hAnsi="Times New Roman"/>
          <w:szCs w:val="24"/>
          <w:lang w:val="bs-Latn-BA"/>
        </w:rPr>
        <w:t>у</w:t>
      </w:r>
      <w:r w:rsidR="00082810" w:rsidRPr="00295637">
        <w:rPr>
          <w:rFonts w:ascii="Times New Roman" w:hAnsi="Times New Roman"/>
          <w:szCs w:val="24"/>
          <w:lang w:val="bs-Latn-BA"/>
        </w:rPr>
        <w:t xml:space="preserve"> </w:t>
      </w:r>
      <w:r>
        <w:rPr>
          <w:rFonts w:ascii="Times New Roman" w:hAnsi="Times New Roman"/>
          <w:szCs w:val="24"/>
          <w:lang w:val="bs-Latn-BA"/>
        </w:rPr>
        <w:t>БиХ</w:t>
      </w:r>
      <w:r w:rsidR="00E84CF4" w:rsidRPr="00295637">
        <w:rPr>
          <w:rFonts w:ascii="Times New Roman" w:hAnsi="Times New Roman"/>
          <w:szCs w:val="24"/>
          <w:lang w:val="bs-Latn-BA"/>
        </w:rPr>
        <w:t xml:space="preserve">. </w:t>
      </w:r>
      <w:r>
        <w:rPr>
          <w:rFonts w:ascii="Times New Roman" w:hAnsi="Times New Roman"/>
          <w:szCs w:val="24"/>
          <w:lang w:val="bs-Latn-BA"/>
        </w:rPr>
        <w:t>Финализ</w:t>
      </w:r>
      <w:r w:rsidR="007611A2">
        <w:rPr>
          <w:rFonts w:ascii="Times New Roman" w:hAnsi="Times New Roman"/>
          <w:szCs w:val="24"/>
          <w:lang w:val="sr-Cyrl-BA"/>
        </w:rPr>
        <w:t>овани</w:t>
      </w:r>
      <w:r w:rsidR="00E84CF4" w:rsidRPr="00295637">
        <w:rPr>
          <w:rFonts w:ascii="Times New Roman" w:hAnsi="Times New Roman"/>
          <w:szCs w:val="24"/>
          <w:lang w:val="bs-Latn-BA"/>
        </w:rPr>
        <w:t xml:space="preserve"> </w:t>
      </w:r>
      <w:r>
        <w:rPr>
          <w:rFonts w:ascii="Times New Roman" w:hAnsi="Times New Roman"/>
          <w:szCs w:val="24"/>
          <w:lang w:val="bs-Latn-BA"/>
        </w:rPr>
        <w:t>Правилник</w:t>
      </w:r>
      <w:r w:rsidR="00082810" w:rsidRPr="00295637">
        <w:rPr>
          <w:rFonts w:ascii="Times New Roman" w:hAnsi="Times New Roman"/>
          <w:szCs w:val="24"/>
          <w:lang w:val="bs-Latn-BA"/>
        </w:rPr>
        <w:t xml:space="preserve"> </w:t>
      </w:r>
      <w:r w:rsidR="007611A2">
        <w:rPr>
          <w:rFonts w:ascii="Times New Roman" w:hAnsi="Times New Roman"/>
          <w:szCs w:val="24"/>
          <w:lang w:val="bs-Latn-BA"/>
        </w:rPr>
        <w:t xml:space="preserve">је </w:t>
      </w:r>
      <w:r>
        <w:rPr>
          <w:rFonts w:ascii="Times New Roman" w:hAnsi="Times New Roman"/>
          <w:szCs w:val="24"/>
          <w:lang w:val="bs-Latn-BA"/>
        </w:rPr>
        <w:t>објављен</w:t>
      </w:r>
      <w:r w:rsidR="0035180F" w:rsidRPr="00295637">
        <w:rPr>
          <w:rFonts w:ascii="Times New Roman" w:hAnsi="Times New Roman"/>
          <w:szCs w:val="24"/>
          <w:lang w:val="bs-Latn-BA"/>
        </w:rPr>
        <w:t xml:space="preserve"> </w:t>
      </w:r>
      <w:r>
        <w:rPr>
          <w:rFonts w:ascii="Times New Roman" w:hAnsi="Times New Roman"/>
          <w:szCs w:val="24"/>
          <w:lang w:val="bs-Latn-BA"/>
        </w:rPr>
        <w:t>у</w:t>
      </w:r>
      <w:r w:rsidR="00082810" w:rsidRPr="00295637">
        <w:rPr>
          <w:rFonts w:ascii="Times New Roman" w:hAnsi="Times New Roman"/>
          <w:szCs w:val="24"/>
          <w:lang w:val="bs-Latn-BA"/>
        </w:rPr>
        <w:t xml:space="preserve"> </w:t>
      </w:r>
      <w:r w:rsidR="0035180F">
        <w:rPr>
          <w:rFonts w:ascii="Times New Roman" w:hAnsi="Times New Roman"/>
          <w:szCs w:val="24"/>
          <w:lang w:val="bs-Latn-BA"/>
        </w:rPr>
        <w:t>„</w:t>
      </w:r>
      <w:r>
        <w:rPr>
          <w:rFonts w:ascii="Times New Roman" w:hAnsi="Times New Roman"/>
          <w:szCs w:val="24"/>
          <w:lang w:val="bs-Latn-BA"/>
        </w:rPr>
        <w:t>Службеном</w:t>
      </w:r>
      <w:r w:rsidR="004F1280" w:rsidRPr="00295637">
        <w:rPr>
          <w:rFonts w:ascii="Times New Roman" w:hAnsi="Times New Roman"/>
          <w:szCs w:val="24"/>
          <w:lang w:val="bs-Latn-BA"/>
        </w:rPr>
        <w:t xml:space="preserve"> </w:t>
      </w:r>
      <w:r>
        <w:rPr>
          <w:rFonts w:ascii="Times New Roman" w:hAnsi="Times New Roman"/>
          <w:szCs w:val="24"/>
          <w:lang w:val="bs-Latn-BA"/>
        </w:rPr>
        <w:t>гласнику</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35180F">
        <w:rPr>
          <w:rFonts w:ascii="Times New Roman" w:hAnsi="Times New Roman"/>
          <w:szCs w:val="24"/>
          <w:lang w:val="bs-Latn-BA"/>
        </w:rPr>
        <w:t>“</w:t>
      </w:r>
      <w:r w:rsidR="009E54A2" w:rsidRPr="00295637">
        <w:rPr>
          <w:rFonts w:ascii="Times New Roman" w:hAnsi="Times New Roman"/>
          <w:szCs w:val="24"/>
          <w:lang w:val="bs-Latn-BA"/>
        </w:rPr>
        <w:t xml:space="preserve"> </w:t>
      </w:r>
      <w:r w:rsidR="004F1280" w:rsidRPr="00295637">
        <w:rPr>
          <w:rFonts w:ascii="Times New Roman" w:hAnsi="Times New Roman"/>
          <w:szCs w:val="24"/>
          <w:lang w:val="bs-Latn-BA"/>
        </w:rPr>
        <w:t>.</w:t>
      </w:r>
    </w:p>
    <w:p w:rsidR="00082810" w:rsidRPr="00295637" w:rsidRDefault="00082810" w:rsidP="0086268D">
      <w:pPr>
        <w:jc w:val="both"/>
        <w:rPr>
          <w:rFonts w:ascii="Times New Roman" w:hAnsi="Times New Roman"/>
          <w:szCs w:val="24"/>
          <w:lang w:val="bs-Latn-BA"/>
        </w:rPr>
      </w:pPr>
    </w:p>
    <w:p w:rsidR="003A2F08" w:rsidRPr="00295637" w:rsidRDefault="00C6214E" w:rsidP="0086268D">
      <w:pPr>
        <w:jc w:val="both"/>
        <w:rPr>
          <w:rFonts w:ascii="Times New Roman" w:hAnsi="Times New Roman"/>
          <w:szCs w:val="24"/>
        </w:rPr>
      </w:pPr>
      <w:r>
        <w:rPr>
          <w:rFonts w:ascii="Times New Roman" w:hAnsi="Times New Roman"/>
          <w:szCs w:val="24"/>
          <w:lang w:val="bs-Latn-BA"/>
        </w:rPr>
        <w:t>ГЦ</w:t>
      </w:r>
      <w:r w:rsidR="0035180F">
        <w:rPr>
          <w:rFonts w:ascii="Times New Roman" w:hAnsi="Times New Roman"/>
          <w:szCs w:val="24"/>
          <w:lang w:val="bs-Latn-BA"/>
        </w:rPr>
        <w:t xml:space="preserve"> </w:t>
      </w:r>
      <w:r>
        <w:rPr>
          <w:rFonts w:ascii="Times New Roman" w:hAnsi="Times New Roman"/>
          <w:szCs w:val="24"/>
          <w:lang w:val="bs-Latn-BA"/>
        </w:rPr>
        <w:t>ФБиХ</w:t>
      </w:r>
      <w:r w:rsidR="0076028B" w:rsidRPr="004D7654">
        <w:rPr>
          <w:rFonts w:ascii="Times New Roman" w:hAnsi="Times New Roman"/>
          <w:szCs w:val="24"/>
          <w:lang w:val="bs-Latn-BA"/>
        </w:rPr>
        <w:t xml:space="preserve"> </w:t>
      </w:r>
      <w:r w:rsidR="007611A2">
        <w:rPr>
          <w:rFonts w:ascii="Times New Roman" w:hAnsi="Times New Roman"/>
          <w:szCs w:val="24"/>
          <w:lang w:val="bs-Latn-BA"/>
        </w:rPr>
        <w:t xml:space="preserve">је </w:t>
      </w:r>
      <w:r>
        <w:rPr>
          <w:rFonts w:ascii="Times New Roman" w:hAnsi="Times New Roman"/>
          <w:szCs w:val="24"/>
          <w:lang w:val="bs-Latn-BA"/>
        </w:rPr>
        <w:t>достављен</w:t>
      </w:r>
      <w:r w:rsidR="0076028B" w:rsidRPr="004D7654">
        <w:rPr>
          <w:rFonts w:ascii="Times New Roman" w:hAnsi="Times New Roman"/>
          <w:szCs w:val="24"/>
          <w:lang w:val="bs-Latn-BA"/>
        </w:rPr>
        <w:t xml:space="preserve"> </w:t>
      </w:r>
      <w:r>
        <w:rPr>
          <w:rFonts w:ascii="Times New Roman" w:hAnsi="Times New Roman"/>
          <w:szCs w:val="24"/>
          <w:lang w:val="bs-Latn-BA"/>
        </w:rPr>
        <w:t>Четврти</w:t>
      </w:r>
      <w:r w:rsidR="003A2F08" w:rsidRPr="004D7654">
        <w:rPr>
          <w:rFonts w:ascii="Times New Roman" w:hAnsi="Times New Roman"/>
          <w:szCs w:val="24"/>
          <w:lang w:val="bs-Latn-BA"/>
        </w:rPr>
        <w:t xml:space="preserve"> </w:t>
      </w:r>
      <w:r>
        <w:rPr>
          <w:rFonts w:ascii="Times New Roman" w:hAnsi="Times New Roman"/>
          <w:szCs w:val="24"/>
          <w:lang w:val="bs-Latn-BA"/>
        </w:rPr>
        <w:t>периодични</w:t>
      </w:r>
      <w:r w:rsidR="003A2F08" w:rsidRPr="004D7654">
        <w:rPr>
          <w:rFonts w:ascii="Times New Roman" w:hAnsi="Times New Roman"/>
          <w:szCs w:val="24"/>
          <w:lang w:val="bs-Latn-BA"/>
        </w:rPr>
        <w:t xml:space="preserve"> </w:t>
      </w:r>
      <w:r>
        <w:rPr>
          <w:rFonts w:ascii="Times New Roman" w:hAnsi="Times New Roman"/>
          <w:szCs w:val="24"/>
          <w:lang w:val="bs-Latn-BA"/>
        </w:rPr>
        <w:t>извјештај</w:t>
      </w:r>
      <w:r w:rsidR="00E424AD">
        <w:rPr>
          <w:rFonts w:ascii="Times New Roman" w:hAnsi="Times New Roman"/>
          <w:szCs w:val="24"/>
          <w:lang w:val="bs-Latn-BA"/>
        </w:rPr>
        <w:t xml:space="preserve"> </w:t>
      </w:r>
      <w:r>
        <w:rPr>
          <w:rFonts w:ascii="Times New Roman" w:hAnsi="Times New Roman"/>
          <w:szCs w:val="24"/>
          <w:lang w:val="bs-Latn-BA"/>
        </w:rPr>
        <w:t>о</w:t>
      </w:r>
      <w:r w:rsidR="003A2F08" w:rsidRPr="004D7654">
        <w:rPr>
          <w:rFonts w:ascii="Times New Roman" w:hAnsi="Times New Roman"/>
          <w:szCs w:val="24"/>
          <w:lang w:val="bs-Latn-BA"/>
        </w:rPr>
        <w:t xml:space="preserve"> </w:t>
      </w:r>
      <w:r>
        <w:rPr>
          <w:rFonts w:ascii="Times New Roman" w:hAnsi="Times New Roman"/>
          <w:szCs w:val="24"/>
          <w:lang w:val="bs-Latn-BA"/>
        </w:rPr>
        <w:t>стању</w:t>
      </w:r>
      <w:r w:rsidR="003A2F08" w:rsidRPr="004D7654">
        <w:rPr>
          <w:rFonts w:ascii="Times New Roman" w:hAnsi="Times New Roman"/>
          <w:szCs w:val="24"/>
          <w:lang w:val="bs-Latn-BA"/>
        </w:rPr>
        <w:t xml:space="preserve"> </w:t>
      </w:r>
      <w:r>
        <w:rPr>
          <w:rFonts w:ascii="Times New Roman" w:hAnsi="Times New Roman"/>
          <w:szCs w:val="24"/>
          <w:lang w:val="bs-Latn-BA"/>
        </w:rPr>
        <w:t>људских</w:t>
      </w:r>
      <w:r w:rsidR="003A2F08" w:rsidRPr="004D7654">
        <w:rPr>
          <w:rFonts w:ascii="Times New Roman" w:hAnsi="Times New Roman"/>
          <w:szCs w:val="24"/>
          <w:lang w:val="bs-Latn-BA"/>
        </w:rPr>
        <w:t xml:space="preserve"> </w:t>
      </w:r>
      <w:r>
        <w:rPr>
          <w:rFonts w:ascii="Times New Roman" w:hAnsi="Times New Roman"/>
          <w:szCs w:val="24"/>
          <w:lang w:val="bs-Latn-BA"/>
        </w:rPr>
        <w:t>права</w:t>
      </w:r>
      <w:r w:rsidR="003A2F08" w:rsidRPr="004D7654">
        <w:rPr>
          <w:rFonts w:ascii="Times New Roman" w:hAnsi="Times New Roman"/>
          <w:szCs w:val="24"/>
          <w:lang w:val="bs-Latn-BA"/>
        </w:rPr>
        <w:t xml:space="preserve"> (</w:t>
      </w:r>
      <w:r>
        <w:rPr>
          <w:rFonts w:ascii="Times New Roman" w:hAnsi="Times New Roman"/>
          <w:szCs w:val="24"/>
          <w:lang w:val="bs-Latn-BA"/>
        </w:rPr>
        <w:t>УПР</w:t>
      </w:r>
      <w:r w:rsidR="003A2F08" w:rsidRPr="004D7654">
        <w:rPr>
          <w:rFonts w:ascii="Times New Roman" w:hAnsi="Times New Roman"/>
          <w:szCs w:val="24"/>
          <w:lang w:val="bs-Latn-BA"/>
        </w:rPr>
        <w:t xml:space="preserve">) </w:t>
      </w:r>
      <w:r>
        <w:rPr>
          <w:rFonts w:ascii="Times New Roman" w:hAnsi="Times New Roman"/>
          <w:szCs w:val="24"/>
          <w:lang w:val="bs-Latn-BA"/>
        </w:rPr>
        <w:t>за</w:t>
      </w:r>
      <w:r w:rsidR="003A2F08" w:rsidRPr="004D7654">
        <w:rPr>
          <w:rFonts w:ascii="Times New Roman" w:hAnsi="Times New Roman"/>
          <w:szCs w:val="24"/>
          <w:lang w:val="bs-Latn-BA"/>
        </w:rPr>
        <w:t xml:space="preserve"> </w:t>
      </w:r>
      <w:r>
        <w:rPr>
          <w:rFonts w:ascii="Times New Roman" w:hAnsi="Times New Roman"/>
          <w:szCs w:val="24"/>
          <w:lang w:val="bs-Latn-BA"/>
        </w:rPr>
        <w:t>период</w:t>
      </w:r>
      <w:r w:rsidR="003A2F08" w:rsidRPr="004D7654">
        <w:rPr>
          <w:rFonts w:ascii="Times New Roman" w:hAnsi="Times New Roman"/>
          <w:szCs w:val="24"/>
          <w:lang w:val="bs-Latn-BA"/>
        </w:rPr>
        <w:t xml:space="preserve"> 2019-2023.</w:t>
      </w:r>
      <w:r w:rsidR="003C7072" w:rsidRPr="004D7654">
        <w:rPr>
          <w:rFonts w:ascii="Times New Roman" w:hAnsi="Times New Roman"/>
          <w:szCs w:val="24"/>
          <w:lang w:val="bs-Latn-BA"/>
        </w:rPr>
        <w:t xml:space="preserve"> </w:t>
      </w:r>
      <w:r>
        <w:rPr>
          <w:rFonts w:ascii="Times New Roman" w:hAnsi="Times New Roman"/>
          <w:szCs w:val="24"/>
          <w:lang w:val="bs-Latn-BA"/>
        </w:rPr>
        <w:t>године</w:t>
      </w:r>
      <w:r w:rsidR="003A2F08" w:rsidRPr="004D7654">
        <w:rPr>
          <w:rFonts w:ascii="Times New Roman" w:hAnsi="Times New Roman"/>
          <w:szCs w:val="24"/>
          <w:lang w:val="bs-Latn-BA"/>
        </w:rPr>
        <w:t xml:space="preserve">. </w:t>
      </w:r>
      <w:r>
        <w:rPr>
          <w:rFonts w:ascii="Times New Roman" w:hAnsi="Times New Roman"/>
          <w:szCs w:val="24"/>
          <w:lang w:val="bs-Latn-BA"/>
        </w:rPr>
        <w:t>Достављен</w:t>
      </w:r>
      <w:r w:rsidR="003A2F08" w:rsidRPr="004D7654">
        <w:rPr>
          <w:rFonts w:ascii="Times New Roman" w:hAnsi="Times New Roman"/>
          <w:szCs w:val="24"/>
          <w:lang w:val="bs-Latn-BA"/>
        </w:rPr>
        <w:t xml:space="preserve"> </w:t>
      </w:r>
      <w:r>
        <w:rPr>
          <w:rFonts w:ascii="Times New Roman" w:hAnsi="Times New Roman"/>
          <w:szCs w:val="24"/>
          <w:lang w:val="bs-Latn-BA"/>
        </w:rPr>
        <w:t>је</w:t>
      </w:r>
      <w:r w:rsidR="00FB1545">
        <w:rPr>
          <w:rFonts w:ascii="Times New Roman" w:hAnsi="Times New Roman"/>
          <w:szCs w:val="24"/>
          <w:lang w:val="bs-Latn-BA"/>
        </w:rPr>
        <w:t xml:space="preserve"> </w:t>
      </w:r>
      <w:r>
        <w:rPr>
          <w:rFonts w:ascii="Times New Roman" w:hAnsi="Times New Roman"/>
          <w:szCs w:val="24"/>
          <w:lang w:val="bs-Latn-BA"/>
        </w:rPr>
        <w:t>одговор</w:t>
      </w:r>
      <w:r w:rsidR="003A2F08" w:rsidRPr="004D7654">
        <w:rPr>
          <w:rFonts w:ascii="Times New Roman" w:hAnsi="Times New Roman"/>
          <w:szCs w:val="24"/>
          <w:lang w:val="bs-Latn-BA"/>
        </w:rPr>
        <w:t xml:space="preserve"> </w:t>
      </w:r>
      <w:r>
        <w:rPr>
          <w:rFonts w:ascii="Times New Roman" w:hAnsi="Times New Roman"/>
          <w:szCs w:val="24"/>
          <w:lang w:val="bs-Latn-BA"/>
        </w:rPr>
        <w:t>на</w:t>
      </w:r>
      <w:r w:rsidR="003A2F08" w:rsidRPr="004D7654">
        <w:rPr>
          <w:rFonts w:ascii="Times New Roman" w:hAnsi="Times New Roman"/>
          <w:szCs w:val="24"/>
          <w:lang w:val="bs-Latn-BA"/>
        </w:rPr>
        <w:t xml:space="preserve"> </w:t>
      </w:r>
      <w:r>
        <w:rPr>
          <w:rFonts w:ascii="Times New Roman" w:hAnsi="Times New Roman"/>
          <w:szCs w:val="24"/>
          <w:lang w:val="bs-Latn-BA"/>
        </w:rPr>
        <w:t>Упитник</w:t>
      </w:r>
      <w:r w:rsidR="003A2F08" w:rsidRPr="00295637">
        <w:rPr>
          <w:rFonts w:ascii="Times New Roman" w:hAnsi="Times New Roman"/>
          <w:szCs w:val="24"/>
          <w:lang w:val="bs-Latn-BA"/>
        </w:rPr>
        <w:t xml:space="preserve"> </w:t>
      </w:r>
      <w:r>
        <w:rPr>
          <w:rFonts w:ascii="Times New Roman" w:hAnsi="Times New Roman"/>
          <w:szCs w:val="24"/>
          <w:lang w:val="bs-Latn-BA"/>
        </w:rPr>
        <w:t>о</w:t>
      </w:r>
      <w:r w:rsidR="003A2F08" w:rsidRPr="00295637">
        <w:rPr>
          <w:rFonts w:ascii="Times New Roman" w:hAnsi="Times New Roman"/>
          <w:szCs w:val="24"/>
          <w:lang w:val="bs-Latn-BA"/>
        </w:rPr>
        <w:t xml:space="preserve"> </w:t>
      </w:r>
      <w:r w:rsidR="007611A2">
        <w:rPr>
          <w:rFonts w:ascii="Times New Roman" w:hAnsi="Times New Roman"/>
          <w:szCs w:val="24"/>
          <w:lang w:val="sr-Cyrl-BA"/>
        </w:rPr>
        <w:t>спровођењу</w:t>
      </w:r>
      <w:r w:rsidR="003A2F08" w:rsidRPr="00295637">
        <w:rPr>
          <w:rFonts w:ascii="Times New Roman" w:hAnsi="Times New Roman"/>
          <w:szCs w:val="24"/>
          <w:lang w:val="bs-Latn-BA"/>
        </w:rPr>
        <w:t xml:space="preserve"> </w:t>
      </w:r>
      <w:r>
        <w:rPr>
          <w:rFonts w:ascii="Times New Roman" w:hAnsi="Times New Roman"/>
          <w:szCs w:val="24"/>
          <w:lang w:val="bs-Latn-BA"/>
        </w:rPr>
        <w:t>поменуте</w:t>
      </w:r>
      <w:r w:rsidR="00D34684" w:rsidRPr="00295637">
        <w:rPr>
          <w:rFonts w:ascii="Times New Roman" w:hAnsi="Times New Roman"/>
          <w:szCs w:val="24"/>
          <w:lang w:val="bs-Latn-BA"/>
        </w:rPr>
        <w:t xml:space="preserve"> </w:t>
      </w:r>
      <w:r>
        <w:rPr>
          <w:rFonts w:ascii="Times New Roman" w:hAnsi="Times New Roman"/>
          <w:szCs w:val="24"/>
          <w:lang w:val="bs-Latn-BA"/>
        </w:rPr>
        <w:t>Препоруке</w:t>
      </w:r>
      <w:r w:rsidR="00D11125" w:rsidRPr="00295637">
        <w:rPr>
          <w:rFonts w:ascii="Times New Roman" w:hAnsi="Times New Roman"/>
          <w:szCs w:val="24"/>
          <w:lang w:val="bs-Latn-BA"/>
        </w:rPr>
        <w:t xml:space="preserve"> </w:t>
      </w:r>
      <w:r>
        <w:rPr>
          <w:rFonts w:ascii="Times New Roman" w:hAnsi="Times New Roman"/>
          <w:szCs w:val="24"/>
          <w:lang w:val="bs-Latn-BA"/>
        </w:rPr>
        <w:t>Комитета</w:t>
      </w:r>
      <w:r w:rsidR="00D11125" w:rsidRPr="00295637">
        <w:rPr>
          <w:rFonts w:ascii="Times New Roman" w:hAnsi="Times New Roman"/>
          <w:szCs w:val="24"/>
          <w:lang w:val="bs-Latn-BA"/>
        </w:rPr>
        <w:t xml:space="preserve"> </w:t>
      </w:r>
      <w:r>
        <w:rPr>
          <w:rFonts w:ascii="Times New Roman" w:hAnsi="Times New Roman"/>
          <w:szCs w:val="24"/>
          <w:lang w:val="bs-Latn-BA"/>
        </w:rPr>
        <w:t>министара</w:t>
      </w:r>
      <w:r w:rsidR="00D11125" w:rsidRPr="00295637">
        <w:rPr>
          <w:rFonts w:ascii="Times New Roman" w:hAnsi="Times New Roman"/>
          <w:szCs w:val="24"/>
          <w:lang w:val="bs-Latn-BA"/>
        </w:rPr>
        <w:t xml:space="preserve"> </w:t>
      </w:r>
      <w:r w:rsidR="007611A2" w:rsidRPr="007611A2">
        <w:rPr>
          <w:rFonts w:ascii="Times New Roman" w:hAnsi="Times New Roman"/>
          <w:i/>
          <w:szCs w:val="24"/>
          <w:lang w:val="bs-Latn-BA"/>
        </w:rPr>
        <w:t>CM/Rec(2010)5</w:t>
      </w:r>
      <w:r w:rsidR="00281480" w:rsidRPr="00295637">
        <w:rPr>
          <w:rFonts w:ascii="Times New Roman" w:hAnsi="Times New Roman"/>
          <w:szCs w:val="24"/>
          <w:lang w:val="bs-Latn-BA"/>
        </w:rPr>
        <w:t xml:space="preserve">, </w:t>
      </w:r>
      <w:r>
        <w:rPr>
          <w:rFonts w:ascii="Times New Roman" w:hAnsi="Times New Roman"/>
          <w:szCs w:val="24"/>
          <w:lang w:val="bs-Latn-BA"/>
        </w:rPr>
        <w:t>прелиминарни</w:t>
      </w:r>
      <w:r w:rsidR="00281480" w:rsidRPr="00295637">
        <w:rPr>
          <w:rFonts w:ascii="Times New Roman" w:hAnsi="Times New Roman"/>
          <w:szCs w:val="24"/>
          <w:lang w:val="bs-Latn-BA"/>
        </w:rPr>
        <w:t xml:space="preserve"> </w:t>
      </w:r>
      <w:r>
        <w:rPr>
          <w:rFonts w:ascii="Times New Roman" w:hAnsi="Times New Roman"/>
          <w:szCs w:val="24"/>
          <w:lang w:val="bs-Latn-BA"/>
        </w:rPr>
        <w:t>извјештај</w:t>
      </w:r>
      <w:r w:rsidR="00E424AD">
        <w:rPr>
          <w:rFonts w:ascii="Times New Roman" w:hAnsi="Times New Roman"/>
          <w:szCs w:val="24"/>
          <w:lang w:val="bs-Latn-BA"/>
        </w:rPr>
        <w:t xml:space="preserve"> </w:t>
      </w:r>
      <w:r>
        <w:rPr>
          <w:rFonts w:ascii="Times New Roman" w:hAnsi="Times New Roman"/>
          <w:szCs w:val="24"/>
          <w:lang w:val="bs-Latn-BA"/>
        </w:rPr>
        <w:t>Комитета</w:t>
      </w:r>
      <w:r w:rsidR="00E424AD">
        <w:rPr>
          <w:rFonts w:ascii="Times New Roman" w:hAnsi="Times New Roman"/>
          <w:szCs w:val="24"/>
          <w:lang w:val="bs-Latn-BA"/>
        </w:rPr>
        <w:t xml:space="preserve"> </w:t>
      </w:r>
      <w:r>
        <w:rPr>
          <w:rFonts w:ascii="Times New Roman" w:hAnsi="Times New Roman"/>
          <w:szCs w:val="24"/>
          <w:lang w:val="bs-Latn-BA"/>
        </w:rPr>
        <w:t>за</w:t>
      </w:r>
      <w:r w:rsidR="00E424AD">
        <w:rPr>
          <w:rFonts w:ascii="Times New Roman" w:hAnsi="Times New Roman"/>
          <w:szCs w:val="24"/>
          <w:lang w:val="bs-Latn-BA"/>
        </w:rPr>
        <w:t xml:space="preserve"> </w:t>
      </w:r>
      <w:r>
        <w:rPr>
          <w:rFonts w:ascii="Times New Roman" w:hAnsi="Times New Roman"/>
          <w:szCs w:val="24"/>
          <w:lang w:val="bs-Latn-BA"/>
        </w:rPr>
        <w:t>поштивање</w:t>
      </w:r>
      <w:r w:rsidR="00E424AD">
        <w:rPr>
          <w:rFonts w:ascii="Times New Roman" w:hAnsi="Times New Roman"/>
          <w:szCs w:val="24"/>
          <w:lang w:val="bs-Latn-BA"/>
        </w:rPr>
        <w:t xml:space="preserve"> </w:t>
      </w:r>
      <w:r>
        <w:rPr>
          <w:rFonts w:ascii="Times New Roman" w:hAnsi="Times New Roman"/>
          <w:szCs w:val="24"/>
          <w:lang w:val="bs-Latn-BA"/>
        </w:rPr>
        <w:t>обавеза</w:t>
      </w:r>
      <w:r w:rsidR="00281480" w:rsidRPr="00295637">
        <w:rPr>
          <w:rFonts w:ascii="Times New Roman" w:hAnsi="Times New Roman"/>
          <w:szCs w:val="24"/>
          <w:lang w:val="bs-Latn-BA"/>
        </w:rPr>
        <w:t xml:space="preserve"> </w:t>
      </w:r>
      <w:r>
        <w:rPr>
          <w:rFonts w:ascii="Times New Roman" w:hAnsi="Times New Roman"/>
          <w:szCs w:val="24"/>
          <w:lang w:val="bs-Latn-BA"/>
        </w:rPr>
        <w:t>и</w:t>
      </w:r>
      <w:r w:rsidR="00281480" w:rsidRPr="00295637">
        <w:rPr>
          <w:rFonts w:ascii="Times New Roman" w:hAnsi="Times New Roman"/>
          <w:szCs w:val="24"/>
          <w:lang w:val="bs-Latn-BA"/>
        </w:rPr>
        <w:t xml:space="preserve"> </w:t>
      </w:r>
      <w:r>
        <w:rPr>
          <w:rFonts w:ascii="Times New Roman" w:hAnsi="Times New Roman"/>
          <w:szCs w:val="24"/>
          <w:lang w:val="bs-Latn-BA"/>
        </w:rPr>
        <w:t>ангажмана</w:t>
      </w:r>
      <w:r w:rsidR="00281480" w:rsidRPr="00295637">
        <w:rPr>
          <w:rFonts w:ascii="Times New Roman" w:hAnsi="Times New Roman"/>
          <w:szCs w:val="24"/>
          <w:lang w:val="bs-Latn-BA"/>
        </w:rPr>
        <w:t xml:space="preserve"> </w:t>
      </w:r>
      <w:r>
        <w:rPr>
          <w:rFonts w:ascii="Times New Roman" w:hAnsi="Times New Roman"/>
          <w:szCs w:val="24"/>
          <w:lang w:val="bs-Latn-BA"/>
        </w:rPr>
        <w:t>земаља</w:t>
      </w:r>
      <w:r w:rsidR="00281480" w:rsidRPr="00295637">
        <w:rPr>
          <w:rFonts w:ascii="Times New Roman" w:hAnsi="Times New Roman"/>
          <w:szCs w:val="24"/>
          <w:lang w:val="bs-Latn-BA"/>
        </w:rPr>
        <w:t xml:space="preserve"> </w:t>
      </w:r>
      <w:r>
        <w:rPr>
          <w:rFonts w:ascii="Times New Roman" w:hAnsi="Times New Roman"/>
          <w:szCs w:val="24"/>
          <w:lang w:val="bs-Latn-BA"/>
        </w:rPr>
        <w:t>чланица</w:t>
      </w:r>
      <w:r w:rsidR="00281480" w:rsidRPr="00295637">
        <w:rPr>
          <w:rFonts w:ascii="Times New Roman" w:hAnsi="Times New Roman"/>
          <w:szCs w:val="24"/>
          <w:lang w:val="bs-Latn-BA"/>
        </w:rPr>
        <w:t xml:space="preserve"> </w:t>
      </w:r>
      <w:r w:rsidR="007611A2">
        <w:rPr>
          <w:rFonts w:ascii="Times New Roman" w:hAnsi="Times New Roman"/>
          <w:szCs w:val="24"/>
          <w:lang w:val="sr-Cyrl-BA"/>
        </w:rPr>
        <w:t>С</w:t>
      </w:r>
      <w:r>
        <w:rPr>
          <w:rFonts w:ascii="Times New Roman" w:hAnsi="Times New Roman"/>
          <w:szCs w:val="24"/>
          <w:lang w:val="bs-Latn-BA"/>
        </w:rPr>
        <w:t>Е</w:t>
      </w:r>
      <w:r w:rsidR="00281480" w:rsidRPr="00295637">
        <w:rPr>
          <w:rFonts w:ascii="Times New Roman" w:hAnsi="Times New Roman"/>
          <w:szCs w:val="24"/>
          <w:lang w:val="bs-Latn-BA"/>
        </w:rPr>
        <w:t xml:space="preserve"> (</w:t>
      </w:r>
      <w:r>
        <w:rPr>
          <w:rFonts w:ascii="Times New Roman" w:hAnsi="Times New Roman"/>
          <w:szCs w:val="24"/>
          <w:lang w:val="bs-Latn-BA"/>
        </w:rPr>
        <w:t>Мониторинг</w:t>
      </w:r>
      <w:r w:rsidR="00281480" w:rsidRPr="00295637">
        <w:rPr>
          <w:rFonts w:ascii="Times New Roman" w:hAnsi="Times New Roman"/>
          <w:szCs w:val="24"/>
          <w:lang w:val="bs-Latn-BA"/>
        </w:rPr>
        <w:t xml:space="preserve"> </w:t>
      </w:r>
      <w:r>
        <w:rPr>
          <w:rFonts w:ascii="Times New Roman" w:hAnsi="Times New Roman"/>
          <w:szCs w:val="24"/>
          <w:lang w:val="bs-Latn-BA"/>
        </w:rPr>
        <w:t>комитет</w:t>
      </w:r>
      <w:r w:rsidR="00281480" w:rsidRPr="00295637">
        <w:rPr>
          <w:rFonts w:ascii="Times New Roman" w:hAnsi="Times New Roman"/>
          <w:szCs w:val="24"/>
          <w:lang w:val="bs-Latn-BA"/>
        </w:rPr>
        <w:t xml:space="preserve">) </w:t>
      </w:r>
      <w:r>
        <w:rPr>
          <w:rFonts w:ascii="Times New Roman" w:hAnsi="Times New Roman"/>
          <w:szCs w:val="24"/>
          <w:lang w:val="bs-Latn-BA"/>
        </w:rPr>
        <w:t>за</w:t>
      </w:r>
      <w:r w:rsidR="00281480" w:rsidRPr="00295637">
        <w:rPr>
          <w:rFonts w:ascii="Times New Roman" w:hAnsi="Times New Roman"/>
          <w:szCs w:val="24"/>
          <w:lang w:val="bs-Latn-BA"/>
        </w:rPr>
        <w:t xml:space="preserve"> </w:t>
      </w:r>
      <w:r>
        <w:rPr>
          <w:rFonts w:ascii="Times New Roman" w:hAnsi="Times New Roman"/>
          <w:szCs w:val="24"/>
          <w:lang w:val="bs-Latn-BA"/>
        </w:rPr>
        <w:t>БиХ</w:t>
      </w:r>
      <w:r w:rsidR="00281480" w:rsidRPr="00295637">
        <w:rPr>
          <w:rFonts w:ascii="Times New Roman" w:hAnsi="Times New Roman"/>
          <w:szCs w:val="24"/>
          <w:lang w:val="bs-Latn-BA"/>
        </w:rPr>
        <w:t xml:space="preserve"> </w:t>
      </w:r>
      <w:r>
        <w:rPr>
          <w:rFonts w:ascii="Times New Roman" w:hAnsi="Times New Roman"/>
          <w:szCs w:val="24"/>
          <w:lang w:val="bs-Latn-BA"/>
        </w:rPr>
        <w:t>као</w:t>
      </w:r>
      <w:r w:rsidR="00281480" w:rsidRPr="00295637">
        <w:rPr>
          <w:rFonts w:ascii="Times New Roman" w:hAnsi="Times New Roman"/>
          <w:szCs w:val="24"/>
          <w:lang w:val="bs-Latn-BA"/>
        </w:rPr>
        <w:t xml:space="preserve"> </w:t>
      </w:r>
      <w:r>
        <w:rPr>
          <w:rFonts w:ascii="Times New Roman" w:hAnsi="Times New Roman"/>
          <w:szCs w:val="24"/>
          <w:lang w:val="bs-Latn-BA"/>
        </w:rPr>
        <w:t>и</w:t>
      </w:r>
      <w:r w:rsidR="00281480" w:rsidRPr="00295637">
        <w:rPr>
          <w:rFonts w:ascii="Times New Roman" w:hAnsi="Times New Roman"/>
          <w:szCs w:val="24"/>
          <w:lang w:val="bs-Latn-BA"/>
        </w:rPr>
        <w:t xml:space="preserve"> </w:t>
      </w:r>
      <w:r>
        <w:rPr>
          <w:rFonts w:ascii="Times New Roman" w:hAnsi="Times New Roman"/>
          <w:szCs w:val="24"/>
          <w:lang w:val="bs-Latn-BA"/>
        </w:rPr>
        <w:t>одговор</w:t>
      </w:r>
      <w:r w:rsidR="00281480" w:rsidRPr="00295637">
        <w:rPr>
          <w:rFonts w:ascii="Times New Roman" w:hAnsi="Times New Roman"/>
          <w:szCs w:val="24"/>
          <w:lang w:val="bs-Latn-BA"/>
        </w:rPr>
        <w:t xml:space="preserve"> </w:t>
      </w:r>
      <w:r>
        <w:rPr>
          <w:rFonts w:ascii="Times New Roman" w:hAnsi="Times New Roman"/>
          <w:szCs w:val="24"/>
          <w:lang w:val="bs-Latn-BA"/>
        </w:rPr>
        <w:t>на</w:t>
      </w:r>
      <w:r w:rsidR="00281480" w:rsidRPr="00295637">
        <w:rPr>
          <w:rFonts w:ascii="Times New Roman" w:hAnsi="Times New Roman"/>
          <w:szCs w:val="24"/>
          <w:lang w:val="bs-Latn-BA"/>
        </w:rPr>
        <w:t xml:space="preserve"> </w:t>
      </w:r>
      <w:r>
        <w:rPr>
          <w:rFonts w:ascii="Times New Roman" w:hAnsi="Times New Roman"/>
          <w:szCs w:val="24"/>
          <w:lang w:val="bs-Latn-BA"/>
        </w:rPr>
        <w:t>упитник</w:t>
      </w:r>
      <w:r w:rsidR="00281480" w:rsidRPr="00295637">
        <w:rPr>
          <w:rFonts w:ascii="Times New Roman" w:hAnsi="Times New Roman"/>
          <w:szCs w:val="24"/>
          <w:lang w:val="bs-Latn-BA"/>
        </w:rPr>
        <w:t xml:space="preserve"> </w:t>
      </w:r>
      <w:r>
        <w:rPr>
          <w:rFonts w:ascii="Times New Roman" w:hAnsi="Times New Roman"/>
          <w:szCs w:val="24"/>
          <w:lang w:val="bs-Latn-BA"/>
        </w:rPr>
        <w:t>за</w:t>
      </w:r>
      <w:r w:rsidR="00281480" w:rsidRPr="00295637">
        <w:rPr>
          <w:rFonts w:ascii="Times New Roman" w:hAnsi="Times New Roman"/>
          <w:szCs w:val="24"/>
          <w:lang w:val="bs-Latn-BA"/>
        </w:rPr>
        <w:t xml:space="preserve"> </w:t>
      </w:r>
      <w:r>
        <w:rPr>
          <w:rFonts w:ascii="Times New Roman" w:hAnsi="Times New Roman"/>
          <w:szCs w:val="24"/>
          <w:lang w:val="bs-Latn-BA"/>
        </w:rPr>
        <w:t>праћење</w:t>
      </w:r>
      <w:r w:rsidR="00281480" w:rsidRPr="00295637">
        <w:rPr>
          <w:rFonts w:ascii="Times New Roman" w:hAnsi="Times New Roman"/>
          <w:szCs w:val="24"/>
          <w:lang w:val="bs-Latn-BA"/>
        </w:rPr>
        <w:t xml:space="preserve"> </w:t>
      </w:r>
      <w:r>
        <w:rPr>
          <w:rFonts w:ascii="Times New Roman" w:hAnsi="Times New Roman"/>
          <w:szCs w:val="24"/>
          <w:lang w:val="bs-Latn-BA"/>
        </w:rPr>
        <w:t>реализације</w:t>
      </w:r>
      <w:r w:rsidR="00281480" w:rsidRPr="00295637">
        <w:rPr>
          <w:rFonts w:ascii="Times New Roman" w:hAnsi="Times New Roman"/>
          <w:szCs w:val="24"/>
          <w:lang w:val="bs-Latn-BA"/>
        </w:rPr>
        <w:t xml:space="preserve"> </w:t>
      </w:r>
      <w:r>
        <w:rPr>
          <w:rFonts w:ascii="Times New Roman" w:hAnsi="Times New Roman"/>
          <w:szCs w:val="24"/>
          <w:lang w:val="bs-Latn-BA"/>
        </w:rPr>
        <w:t>Акционог</w:t>
      </w:r>
      <w:r w:rsidR="00281480" w:rsidRPr="00295637">
        <w:rPr>
          <w:rFonts w:ascii="Times New Roman" w:hAnsi="Times New Roman"/>
          <w:szCs w:val="24"/>
          <w:lang w:val="bs-Latn-BA"/>
        </w:rPr>
        <w:t xml:space="preserve"> </w:t>
      </w:r>
      <w:r>
        <w:rPr>
          <w:rFonts w:ascii="Times New Roman" w:hAnsi="Times New Roman"/>
          <w:szCs w:val="24"/>
          <w:lang w:val="bs-Latn-BA"/>
        </w:rPr>
        <w:t>плана</w:t>
      </w:r>
      <w:r w:rsidR="00050016">
        <w:rPr>
          <w:rFonts w:ascii="Times New Roman" w:hAnsi="Times New Roman"/>
          <w:szCs w:val="24"/>
          <w:lang w:val="bs-Latn-BA"/>
        </w:rPr>
        <w:t xml:space="preserve"> </w:t>
      </w:r>
      <w:r>
        <w:rPr>
          <w:rFonts w:ascii="Times New Roman" w:hAnsi="Times New Roman"/>
          <w:szCs w:val="24"/>
          <w:lang w:val="bs-Latn-BA"/>
        </w:rPr>
        <w:t>БиХ</w:t>
      </w:r>
      <w:r w:rsidR="00281480" w:rsidRPr="00295637">
        <w:rPr>
          <w:rFonts w:ascii="Times New Roman" w:hAnsi="Times New Roman"/>
          <w:szCs w:val="24"/>
          <w:lang w:val="bs-Latn-BA"/>
        </w:rPr>
        <w:t xml:space="preserve"> </w:t>
      </w:r>
      <w:r>
        <w:rPr>
          <w:rFonts w:ascii="Times New Roman" w:hAnsi="Times New Roman"/>
          <w:szCs w:val="24"/>
          <w:lang w:val="bs-Latn-BA"/>
        </w:rPr>
        <w:t>за</w:t>
      </w:r>
      <w:r w:rsidR="00281480" w:rsidRPr="00295637">
        <w:rPr>
          <w:rFonts w:ascii="Times New Roman" w:hAnsi="Times New Roman"/>
          <w:szCs w:val="24"/>
          <w:lang w:val="bs-Latn-BA"/>
        </w:rPr>
        <w:t xml:space="preserve"> </w:t>
      </w:r>
      <w:r>
        <w:rPr>
          <w:rFonts w:ascii="Times New Roman" w:hAnsi="Times New Roman"/>
          <w:szCs w:val="24"/>
          <w:lang w:val="bs-Latn-BA"/>
        </w:rPr>
        <w:t>друштвену</w:t>
      </w:r>
      <w:r w:rsidR="00281480" w:rsidRPr="00295637">
        <w:rPr>
          <w:rFonts w:ascii="Times New Roman" w:hAnsi="Times New Roman"/>
          <w:szCs w:val="24"/>
          <w:lang w:val="bs-Latn-BA"/>
        </w:rPr>
        <w:t xml:space="preserve"> </w:t>
      </w:r>
      <w:r>
        <w:rPr>
          <w:rFonts w:ascii="Times New Roman" w:hAnsi="Times New Roman"/>
          <w:szCs w:val="24"/>
          <w:lang w:val="bs-Latn-BA"/>
        </w:rPr>
        <w:t>укљученост</w:t>
      </w:r>
      <w:r w:rsidR="00281480" w:rsidRPr="00295637">
        <w:rPr>
          <w:rFonts w:ascii="Times New Roman" w:hAnsi="Times New Roman"/>
          <w:szCs w:val="24"/>
          <w:lang w:val="bs-Latn-BA"/>
        </w:rPr>
        <w:t xml:space="preserve"> </w:t>
      </w:r>
      <w:r>
        <w:rPr>
          <w:rFonts w:ascii="Times New Roman" w:hAnsi="Times New Roman"/>
          <w:szCs w:val="24"/>
          <w:lang w:val="bs-Latn-BA"/>
        </w:rPr>
        <w:t>Рома</w:t>
      </w:r>
      <w:r w:rsidR="00281480" w:rsidRPr="00295637">
        <w:rPr>
          <w:rFonts w:ascii="Times New Roman" w:hAnsi="Times New Roman"/>
          <w:szCs w:val="24"/>
          <w:lang w:val="bs-Latn-BA"/>
        </w:rPr>
        <w:t xml:space="preserve"> </w:t>
      </w:r>
      <w:r>
        <w:rPr>
          <w:rFonts w:ascii="Times New Roman" w:hAnsi="Times New Roman"/>
          <w:szCs w:val="24"/>
          <w:lang w:val="bs-Latn-BA"/>
        </w:rPr>
        <w:t>и</w:t>
      </w:r>
      <w:r w:rsidR="00281480" w:rsidRPr="00295637">
        <w:rPr>
          <w:rFonts w:ascii="Times New Roman" w:hAnsi="Times New Roman"/>
          <w:szCs w:val="24"/>
          <w:lang w:val="bs-Latn-BA"/>
        </w:rPr>
        <w:t xml:space="preserve"> </w:t>
      </w:r>
      <w:r>
        <w:rPr>
          <w:rFonts w:ascii="Times New Roman" w:hAnsi="Times New Roman"/>
          <w:szCs w:val="24"/>
          <w:lang w:val="bs-Latn-BA"/>
        </w:rPr>
        <w:t>Ромкиња</w:t>
      </w:r>
      <w:r w:rsidR="00281480" w:rsidRPr="00295637">
        <w:rPr>
          <w:rFonts w:ascii="Times New Roman" w:hAnsi="Times New Roman"/>
          <w:szCs w:val="24"/>
          <w:lang w:val="bs-Latn-BA"/>
        </w:rPr>
        <w:t xml:space="preserve"> </w:t>
      </w:r>
      <w:r>
        <w:rPr>
          <w:rFonts w:ascii="Times New Roman" w:hAnsi="Times New Roman"/>
          <w:szCs w:val="24"/>
          <w:lang w:val="bs-Latn-BA"/>
        </w:rPr>
        <w:t>за</w:t>
      </w:r>
      <w:r w:rsidR="00281480" w:rsidRPr="00295637">
        <w:rPr>
          <w:rFonts w:ascii="Times New Roman" w:hAnsi="Times New Roman"/>
          <w:szCs w:val="24"/>
          <w:lang w:val="bs-Latn-BA"/>
        </w:rPr>
        <w:t xml:space="preserve"> </w:t>
      </w:r>
      <w:r>
        <w:rPr>
          <w:rFonts w:ascii="Times New Roman" w:hAnsi="Times New Roman"/>
          <w:szCs w:val="24"/>
          <w:lang w:val="bs-Latn-BA"/>
        </w:rPr>
        <w:t>период</w:t>
      </w:r>
      <w:r w:rsidR="00281480" w:rsidRPr="00295637">
        <w:rPr>
          <w:rFonts w:ascii="Times New Roman" w:hAnsi="Times New Roman"/>
          <w:szCs w:val="24"/>
          <w:lang w:val="bs-Latn-BA"/>
        </w:rPr>
        <w:t xml:space="preserve"> 2023. </w:t>
      </w:r>
      <w:r>
        <w:rPr>
          <w:rFonts w:ascii="Times New Roman" w:hAnsi="Times New Roman"/>
          <w:szCs w:val="24"/>
          <w:lang w:val="bs-Latn-BA"/>
        </w:rPr>
        <w:t>године</w:t>
      </w:r>
      <w:r w:rsidR="003A2F08" w:rsidRPr="00295637">
        <w:rPr>
          <w:rFonts w:ascii="Times New Roman" w:hAnsi="Times New Roman"/>
          <w:szCs w:val="24"/>
          <w:lang w:val="bs-Latn-BA"/>
        </w:rPr>
        <w:t>.</w:t>
      </w:r>
      <w:r w:rsidR="00D11125" w:rsidRPr="00295637">
        <w:rPr>
          <w:rFonts w:ascii="Times New Roman" w:hAnsi="Times New Roman"/>
          <w:szCs w:val="24"/>
          <w:lang w:val="bs-Latn-BA"/>
        </w:rPr>
        <w:t xml:space="preserve"> </w:t>
      </w:r>
      <w:r>
        <w:rPr>
          <w:rFonts w:ascii="Times New Roman" w:hAnsi="Times New Roman"/>
          <w:szCs w:val="24"/>
          <w:lang w:val="bs-Latn-BA"/>
        </w:rPr>
        <w:t>Поред</w:t>
      </w:r>
      <w:r w:rsidR="00D11125" w:rsidRPr="00295637">
        <w:rPr>
          <w:rFonts w:ascii="Times New Roman" w:hAnsi="Times New Roman"/>
          <w:szCs w:val="24"/>
          <w:lang w:val="bs-Latn-BA"/>
        </w:rPr>
        <w:t xml:space="preserve"> </w:t>
      </w:r>
      <w:r>
        <w:rPr>
          <w:rFonts w:ascii="Times New Roman" w:hAnsi="Times New Roman"/>
          <w:szCs w:val="24"/>
          <w:lang w:val="bs-Latn-BA"/>
        </w:rPr>
        <w:t>тога</w:t>
      </w:r>
      <w:r w:rsidR="00D11125" w:rsidRPr="00295637">
        <w:rPr>
          <w:rFonts w:ascii="Times New Roman" w:hAnsi="Times New Roman"/>
          <w:szCs w:val="24"/>
          <w:lang w:val="bs-Latn-BA"/>
        </w:rPr>
        <w:t xml:space="preserve">, </w:t>
      </w:r>
      <w:r>
        <w:rPr>
          <w:rFonts w:ascii="Times New Roman" w:hAnsi="Times New Roman"/>
          <w:szCs w:val="24"/>
          <w:lang w:val="bs-Latn-BA"/>
        </w:rPr>
        <w:t>израђен</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достављен</w:t>
      </w:r>
      <w:r w:rsidR="003A2F08" w:rsidRPr="00295637">
        <w:rPr>
          <w:rFonts w:ascii="Times New Roman" w:hAnsi="Times New Roman"/>
          <w:szCs w:val="24"/>
          <w:lang w:val="bs-Latn-BA"/>
        </w:rPr>
        <w:t xml:space="preserve"> </w:t>
      </w:r>
      <w:r>
        <w:rPr>
          <w:rFonts w:ascii="Times New Roman" w:hAnsi="Times New Roman"/>
          <w:szCs w:val="24"/>
          <w:lang w:val="bs-Latn-BA"/>
        </w:rPr>
        <w:t>редовни</w:t>
      </w:r>
      <w:r w:rsidR="003A2F08" w:rsidRPr="00295637">
        <w:rPr>
          <w:rFonts w:ascii="Times New Roman" w:hAnsi="Times New Roman"/>
          <w:szCs w:val="24"/>
          <w:lang w:val="bs-Latn-BA"/>
        </w:rPr>
        <w:t xml:space="preserve"> </w:t>
      </w:r>
      <w:r>
        <w:rPr>
          <w:rFonts w:ascii="Times New Roman" w:hAnsi="Times New Roman"/>
          <w:szCs w:val="24"/>
          <w:lang w:val="bs-Latn-BA"/>
        </w:rPr>
        <w:t>извјештај</w:t>
      </w:r>
      <w:r w:rsidR="003A2F08" w:rsidRPr="00295637">
        <w:rPr>
          <w:rFonts w:ascii="Times New Roman" w:hAnsi="Times New Roman"/>
          <w:szCs w:val="24"/>
          <w:lang w:val="bs-Latn-BA"/>
        </w:rPr>
        <w:t xml:space="preserve"> </w:t>
      </w:r>
      <w:r>
        <w:rPr>
          <w:rFonts w:ascii="Times New Roman" w:hAnsi="Times New Roman"/>
          <w:szCs w:val="24"/>
          <w:lang w:val="bs-Latn-BA"/>
        </w:rPr>
        <w:t>о</w:t>
      </w:r>
      <w:r w:rsidR="003A2F08" w:rsidRPr="00295637">
        <w:rPr>
          <w:rFonts w:ascii="Times New Roman" w:hAnsi="Times New Roman"/>
          <w:szCs w:val="24"/>
          <w:lang w:val="bs-Latn-BA"/>
        </w:rPr>
        <w:t xml:space="preserve"> </w:t>
      </w:r>
      <w:r w:rsidR="007611A2">
        <w:rPr>
          <w:rFonts w:ascii="Times New Roman" w:hAnsi="Times New Roman"/>
          <w:szCs w:val="24"/>
          <w:lang w:val="sr-Cyrl-BA"/>
        </w:rPr>
        <w:t>спровођењу</w:t>
      </w:r>
      <w:r w:rsidR="003A2F08" w:rsidRPr="00295637">
        <w:rPr>
          <w:rFonts w:ascii="Times New Roman" w:hAnsi="Times New Roman"/>
          <w:szCs w:val="24"/>
          <w:lang w:val="bs-Latn-BA"/>
        </w:rPr>
        <w:t xml:space="preserve"> </w:t>
      </w:r>
      <w:r>
        <w:rPr>
          <w:rFonts w:ascii="Times New Roman" w:hAnsi="Times New Roman"/>
          <w:szCs w:val="24"/>
          <w:lang w:val="bs-Latn-BA"/>
        </w:rPr>
        <w:t>АП</w:t>
      </w:r>
      <w:r w:rsidR="003A2F08" w:rsidRPr="00295637">
        <w:rPr>
          <w:rFonts w:ascii="Times New Roman" w:hAnsi="Times New Roman"/>
          <w:szCs w:val="24"/>
          <w:lang w:val="bs-Latn-BA"/>
        </w:rPr>
        <w:t xml:space="preserve"> </w:t>
      </w:r>
      <w:r w:rsidR="007611A2" w:rsidRPr="007611A2">
        <w:rPr>
          <w:rFonts w:ascii="Times New Roman" w:hAnsi="Times New Roman"/>
          <w:i/>
          <w:szCs w:val="24"/>
          <w:lang w:val="bs-Latn-BA"/>
        </w:rPr>
        <w:t>UNSCR</w:t>
      </w:r>
      <w:r w:rsidR="003A2F08" w:rsidRPr="00295637">
        <w:rPr>
          <w:rFonts w:ascii="Times New Roman" w:hAnsi="Times New Roman"/>
          <w:szCs w:val="24"/>
          <w:lang w:val="bs-Latn-BA"/>
        </w:rPr>
        <w:t xml:space="preserve"> 1325 </w:t>
      </w:r>
      <w:r>
        <w:rPr>
          <w:rFonts w:ascii="Times New Roman" w:hAnsi="Times New Roman"/>
          <w:szCs w:val="24"/>
          <w:lang w:val="bs-Latn-BA"/>
        </w:rPr>
        <w:t>у</w:t>
      </w:r>
      <w:r w:rsidR="005C0D2C" w:rsidRPr="00295637">
        <w:rPr>
          <w:rFonts w:ascii="Times New Roman" w:hAnsi="Times New Roman"/>
          <w:szCs w:val="24"/>
          <w:lang w:val="bs-Latn-BA"/>
        </w:rPr>
        <w:t xml:space="preserve"> </w:t>
      </w:r>
      <w:r>
        <w:rPr>
          <w:rFonts w:ascii="Times New Roman" w:hAnsi="Times New Roman"/>
          <w:szCs w:val="24"/>
          <w:lang w:val="bs-Latn-BA"/>
        </w:rPr>
        <w:t>БиХ</w:t>
      </w:r>
      <w:r w:rsidR="00050016">
        <w:rPr>
          <w:rFonts w:ascii="Times New Roman" w:hAnsi="Times New Roman"/>
          <w:szCs w:val="24"/>
          <w:lang w:val="bs-Latn-BA"/>
        </w:rPr>
        <w:t>,</w:t>
      </w:r>
      <w:r w:rsidR="00FB1545">
        <w:rPr>
          <w:rFonts w:ascii="Times New Roman" w:hAnsi="Times New Roman"/>
          <w:szCs w:val="24"/>
          <w:lang w:val="bs-Latn-BA"/>
        </w:rPr>
        <w:t xml:space="preserve"> </w:t>
      </w:r>
      <w:r>
        <w:rPr>
          <w:rFonts w:ascii="Times New Roman" w:hAnsi="Times New Roman"/>
          <w:szCs w:val="24"/>
          <w:lang w:val="bs-Latn-BA"/>
        </w:rPr>
        <w:t>као</w:t>
      </w:r>
      <w:r w:rsidR="00FB1545">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Завршни</w:t>
      </w:r>
      <w:r w:rsidR="003A2F08" w:rsidRPr="00295637">
        <w:rPr>
          <w:rFonts w:ascii="Times New Roman" w:hAnsi="Times New Roman"/>
          <w:szCs w:val="24"/>
          <w:lang w:val="bs-Latn-BA"/>
        </w:rPr>
        <w:t xml:space="preserve"> </w:t>
      </w:r>
      <w:r>
        <w:rPr>
          <w:rFonts w:ascii="Times New Roman" w:hAnsi="Times New Roman"/>
          <w:szCs w:val="24"/>
          <w:lang w:val="bs-Latn-BA"/>
        </w:rPr>
        <w:t>извјештај</w:t>
      </w:r>
      <w:r w:rsidR="003A2F08" w:rsidRPr="00295637">
        <w:rPr>
          <w:rFonts w:ascii="Times New Roman" w:hAnsi="Times New Roman"/>
          <w:szCs w:val="24"/>
          <w:lang w:val="bs-Latn-BA"/>
        </w:rPr>
        <w:t xml:space="preserve"> </w:t>
      </w:r>
      <w:r>
        <w:rPr>
          <w:rFonts w:ascii="Times New Roman" w:hAnsi="Times New Roman"/>
          <w:szCs w:val="24"/>
          <w:lang w:val="bs-Latn-BA"/>
        </w:rPr>
        <w:t>о</w:t>
      </w:r>
      <w:r w:rsidR="003A2F08" w:rsidRPr="00295637">
        <w:rPr>
          <w:rFonts w:ascii="Times New Roman" w:hAnsi="Times New Roman"/>
          <w:szCs w:val="24"/>
          <w:lang w:val="bs-Latn-BA"/>
        </w:rPr>
        <w:t xml:space="preserve"> </w:t>
      </w:r>
      <w:r w:rsidR="007611A2">
        <w:rPr>
          <w:rFonts w:ascii="Times New Roman" w:hAnsi="Times New Roman"/>
          <w:szCs w:val="24"/>
          <w:lang w:val="sr-Cyrl-BA"/>
        </w:rPr>
        <w:t>спровођењу</w:t>
      </w:r>
      <w:r w:rsidR="003A2F08" w:rsidRPr="00295637">
        <w:rPr>
          <w:rFonts w:ascii="Times New Roman" w:hAnsi="Times New Roman"/>
          <w:szCs w:val="24"/>
          <w:lang w:val="bs-Latn-BA"/>
        </w:rPr>
        <w:t xml:space="preserve"> </w:t>
      </w:r>
      <w:r>
        <w:rPr>
          <w:rFonts w:ascii="Times New Roman" w:hAnsi="Times New Roman"/>
          <w:szCs w:val="24"/>
          <w:lang w:val="bs-Latn-BA"/>
        </w:rPr>
        <w:t>АП</w:t>
      </w:r>
      <w:r w:rsidR="003A2F08" w:rsidRPr="00295637">
        <w:rPr>
          <w:rFonts w:ascii="Times New Roman" w:hAnsi="Times New Roman"/>
          <w:szCs w:val="24"/>
          <w:lang w:val="bs-Latn-BA"/>
        </w:rPr>
        <w:t xml:space="preserve"> </w:t>
      </w:r>
      <w:r w:rsidR="007611A2" w:rsidRPr="007611A2">
        <w:rPr>
          <w:rFonts w:ascii="Times New Roman" w:hAnsi="Times New Roman"/>
          <w:i/>
          <w:szCs w:val="24"/>
          <w:lang w:val="bs-Latn-BA"/>
        </w:rPr>
        <w:t>UNSCR</w:t>
      </w:r>
      <w:r w:rsidR="003A2F08" w:rsidRPr="00295637">
        <w:rPr>
          <w:rFonts w:ascii="Times New Roman" w:hAnsi="Times New Roman"/>
          <w:szCs w:val="24"/>
          <w:lang w:val="bs-Latn-BA"/>
        </w:rPr>
        <w:t xml:space="preserve"> 1325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периоду</w:t>
      </w:r>
      <w:r w:rsidR="00FB1545">
        <w:rPr>
          <w:rFonts w:ascii="Times New Roman" w:hAnsi="Times New Roman"/>
          <w:szCs w:val="24"/>
          <w:lang w:val="bs-Latn-BA"/>
        </w:rPr>
        <w:t xml:space="preserve"> 2018</w:t>
      </w:r>
      <w:r w:rsidR="003A2F08" w:rsidRPr="00295637">
        <w:rPr>
          <w:rFonts w:ascii="Times New Roman" w:hAnsi="Times New Roman"/>
          <w:szCs w:val="24"/>
          <w:lang w:val="bs-Latn-BA"/>
        </w:rPr>
        <w:t xml:space="preserve">-2023. </w:t>
      </w:r>
      <w:r>
        <w:rPr>
          <w:rFonts w:ascii="Times New Roman" w:hAnsi="Times New Roman"/>
          <w:szCs w:val="24"/>
          <w:lang w:val="bs-Latn-BA"/>
        </w:rPr>
        <w:t>године</w:t>
      </w:r>
      <w:r w:rsidR="003A2F08" w:rsidRPr="00295637">
        <w:rPr>
          <w:rFonts w:ascii="Times New Roman" w:hAnsi="Times New Roman"/>
          <w:szCs w:val="24"/>
          <w:lang w:val="bs-Latn-BA"/>
        </w:rPr>
        <w:t xml:space="preserve">. </w:t>
      </w:r>
      <w:r>
        <w:rPr>
          <w:rFonts w:ascii="Times New Roman" w:hAnsi="Times New Roman"/>
          <w:szCs w:val="24"/>
          <w:lang w:val="bs-Latn-BA"/>
        </w:rPr>
        <w:t>Током</w:t>
      </w:r>
      <w:r w:rsidR="003A2F08" w:rsidRPr="00295637">
        <w:rPr>
          <w:rFonts w:ascii="Times New Roman" w:hAnsi="Times New Roman"/>
          <w:szCs w:val="24"/>
          <w:lang w:val="bs-Latn-BA"/>
        </w:rPr>
        <w:t xml:space="preserve"> 2024. </w:t>
      </w:r>
      <w:r>
        <w:rPr>
          <w:rFonts w:ascii="Times New Roman" w:hAnsi="Times New Roman"/>
          <w:szCs w:val="24"/>
          <w:lang w:val="bs-Latn-BA"/>
        </w:rPr>
        <w:t>године</w:t>
      </w:r>
      <w:r w:rsidR="003A2F08" w:rsidRPr="00295637">
        <w:rPr>
          <w:rFonts w:ascii="Times New Roman" w:hAnsi="Times New Roman"/>
          <w:szCs w:val="24"/>
          <w:lang w:val="bs-Latn-BA"/>
        </w:rPr>
        <w:t xml:space="preserve"> </w:t>
      </w:r>
      <w:r>
        <w:rPr>
          <w:rFonts w:ascii="Times New Roman" w:hAnsi="Times New Roman"/>
          <w:szCs w:val="24"/>
          <w:lang w:val="bs-Latn-BA"/>
        </w:rPr>
        <w:t>проведена</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3A2F08" w:rsidRPr="00295637">
        <w:rPr>
          <w:rFonts w:ascii="Times New Roman" w:hAnsi="Times New Roman"/>
          <w:szCs w:val="24"/>
          <w:lang w:val="bs-Latn-BA"/>
        </w:rPr>
        <w:t xml:space="preserve"> </w:t>
      </w:r>
      <w:r w:rsidR="007611A2">
        <w:rPr>
          <w:rFonts w:ascii="Times New Roman" w:hAnsi="Times New Roman"/>
          <w:szCs w:val="24"/>
          <w:lang w:val="sr-Cyrl-BA"/>
        </w:rPr>
        <w:t>спољна</w:t>
      </w:r>
      <w:r w:rsidR="003A2F08" w:rsidRPr="00295637">
        <w:rPr>
          <w:rFonts w:ascii="Times New Roman" w:hAnsi="Times New Roman"/>
          <w:szCs w:val="24"/>
          <w:lang w:val="bs-Latn-BA"/>
        </w:rPr>
        <w:t xml:space="preserve"> </w:t>
      </w:r>
      <w:r>
        <w:rPr>
          <w:rFonts w:ascii="Times New Roman" w:hAnsi="Times New Roman"/>
          <w:szCs w:val="24"/>
          <w:lang w:val="bs-Latn-BA"/>
        </w:rPr>
        <w:t>евалуација</w:t>
      </w:r>
      <w:r w:rsidR="003A2F08" w:rsidRPr="00295637">
        <w:rPr>
          <w:rFonts w:ascii="Times New Roman" w:hAnsi="Times New Roman"/>
          <w:szCs w:val="24"/>
          <w:lang w:val="bs-Latn-BA"/>
        </w:rPr>
        <w:t xml:space="preserve"> </w:t>
      </w:r>
      <w:r>
        <w:rPr>
          <w:rFonts w:ascii="Times New Roman" w:hAnsi="Times New Roman"/>
          <w:szCs w:val="24"/>
          <w:lang w:val="bs-Latn-BA"/>
        </w:rPr>
        <w:t>трећег</w:t>
      </w:r>
      <w:r w:rsidR="003A2F08" w:rsidRPr="00295637">
        <w:rPr>
          <w:rFonts w:ascii="Times New Roman" w:hAnsi="Times New Roman"/>
          <w:szCs w:val="24"/>
          <w:lang w:val="bs-Latn-BA"/>
        </w:rPr>
        <w:t xml:space="preserve"> </w:t>
      </w:r>
      <w:r>
        <w:rPr>
          <w:rFonts w:ascii="Times New Roman" w:hAnsi="Times New Roman"/>
          <w:szCs w:val="24"/>
          <w:lang w:val="bs-Latn-BA"/>
        </w:rPr>
        <w:t>АП</w:t>
      </w:r>
      <w:r w:rsidR="006A676D" w:rsidRPr="00295637">
        <w:rPr>
          <w:rFonts w:ascii="Times New Roman" w:hAnsi="Times New Roman"/>
          <w:szCs w:val="24"/>
          <w:lang w:val="bs-Latn-BA"/>
        </w:rPr>
        <w:t xml:space="preserve"> </w:t>
      </w:r>
      <w:r w:rsidR="007611A2" w:rsidRPr="007611A2">
        <w:rPr>
          <w:rFonts w:ascii="Times New Roman" w:hAnsi="Times New Roman"/>
          <w:i/>
          <w:szCs w:val="24"/>
          <w:lang w:val="bs-Latn-BA"/>
        </w:rPr>
        <w:t>UNSCR</w:t>
      </w:r>
      <w:r w:rsidR="006A676D" w:rsidRPr="00295637">
        <w:rPr>
          <w:rFonts w:ascii="Times New Roman" w:hAnsi="Times New Roman"/>
          <w:szCs w:val="24"/>
          <w:lang w:val="bs-Latn-BA"/>
        </w:rPr>
        <w:t xml:space="preserve"> 1325 </w:t>
      </w:r>
      <w:r>
        <w:rPr>
          <w:rFonts w:ascii="Times New Roman" w:hAnsi="Times New Roman"/>
          <w:szCs w:val="24"/>
          <w:lang w:val="bs-Latn-BA"/>
        </w:rPr>
        <w:t>у</w:t>
      </w:r>
      <w:r w:rsidR="00050016">
        <w:rPr>
          <w:rFonts w:ascii="Times New Roman" w:hAnsi="Times New Roman"/>
          <w:szCs w:val="24"/>
          <w:lang w:val="bs-Latn-BA"/>
        </w:rPr>
        <w:t xml:space="preserve"> </w:t>
      </w:r>
      <w:r>
        <w:rPr>
          <w:rFonts w:ascii="Times New Roman" w:hAnsi="Times New Roman"/>
          <w:szCs w:val="24"/>
          <w:lang w:val="bs-Latn-BA"/>
        </w:rPr>
        <w:t>БиХ</w:t>
      </w:r>
      <w:r w:rsidR="006A676D" w:rsidRPr="00295637">
        <w:rPr>
          <w:rFonts w:ascii="Times New Roman" w:hAnsi="Times New Roman"/>
          <w:szCs w:val="24"/>
          <w:lang w:val="bs-Latn-BA"/>
        </w:rPr>
        <w:t xml:space="preserve"> (2018</w:t>
      </w:r>
      <w:r w:rsidR="00E424AD">
        <w:rPr>
          <w:rFonts w:ascii="Times New Roman" w:hAnsi="Times New Roman"/>
          <w:szCs w:val="24"/>
          <w:lang w:val="bs-Latn-BA"/>
        </w:rPr>
        <w:t>-</w:t>
      </w:r>
      <w:r w:rsidR="00281480" w:rsidRPr="00295637">
        <w:rPr>
          <w:rFonts w:ascii="Times New Roman" w:hAnsi="Times New Roman"/>
          <w:szCs w:val="24"/>
          <w:lang w:val="bs-Latn-BA"/>
        </w:rPr>
        <w:t xml:space="preserve">2023. </w:t>
      </w:r>
      <w:r>
        <w:rPr>
          <w:rFonts w:ascii="Times New Roman" w:hAnsi="Times New Roman"/>
          <w:szCs w:val="24"/>
          <w:lang w:val="bs-Latn-BA"/>
        </w:rPr>
        <w:t>године</w:t>
      </w:r>
      <w:r w:rsidR="00281480" w:rsidRPr="00295637">
        <w:rPr>
          <w:rFonts w:ascii="Times New Roman" w:hAnsi="Times New Roman"/>
          <w:szCs w:val="24"/>
          <w:lang w:val="bs-Latn-BA"/>
        </w:rPr>
        <w:t>)</w:t>
      </w:r>
      <w:r w:rsidR="00E424AD">
        <w:rPr>
          <w:rFonts w:ascii="Times New Roman" w:hAnsi="Times New Roman"/>
          <w:szCs w:val="24"/>
          <w:lang w:val="bs-Latn-BA"/>
        </w:rPr>
        <w:t>,</w:t>
      </w:r>
      <w:r w:rsidR="00281480" w:rsidRPr="00295637">
        <w:rPr>
          <w:rFonts w:ascii="Times New Roman" w:hAnsi="Times New Roman"/>
          <w:szCs w:val="24"/>
          <w:lang w:val="bs-Latn-BA"/>
        </w:rPr>
        <w:t xml:space="preserve"> </w:t>
      </w:r>
      <w:r>
        <w:rPr>
          <w:rFonts w:ascii="Times New Roman" w:hAnsi="Times New Roman"/>
          <w:szCs w:val="24"/>
          <w:lang w:val="bs-Latn-BA"/>
        </w:rPr>
        <w:t>а</w:t>
      </w:r>
      <w:r w:rsidR="003A2F08" w:rsidRPr="00295637">
        <w:rPr>
          <w:rFonts w:ascii="Times New Roman" w:hAnsi="Times New Roman"/>
          <w:szCs w:val="24"/>
          <w:lang w:val="bs-Latn-BA"/>
        </w:rPr>
        <w:t xml:space="preserve"> </w:t>
      </w:r>
      <w:r>
        <w:rPr>
          <w:rFonts w:ascii="Times New Roman" w:hAnsi="Times New Roman"/>
          <w:szCs w:val="24"/>
          <w:lang w:val="bs-Latn-BA"/>
        </w:rPr>
        <w:t>ГЦ</w:t>
      </w:r>
      <w:r w:rsidR="00E424AD">
        <w:rPr>
          <w:rFonts w:ascii="Times New Roman" w:hAnsi="Times New Roman"/>
          <w:szCs w:val="24"/>
          <w:lang w:val="bs-Latn-BA"/>
        </w:rPr>
        <w:t xml:space="preserve"> </w:t>
      </w:r>
      <w:r>
        <w:rPr>
          <w:rFonts w:ascii="Times New Roman" w:hAnsi="Times New Roman"/>
          <w:szCs w:val="24"/>
          <w:lang w:val="bs-Latn-BA"/>
        </w:rPr>
        <w:t>ФБиХ</w:t>
      </w:r>
      <w:r w:rsidR="00D11125" w:rsidRPr="00295637">
        <w:rPr>
          <w:rFonts w:ascii="Times New Roman" w:hAnsi="Times New Roman"/>
          <w:szCs w:val="24"/>
          <w:lang w:val="bs-Latn-BA"/>
        </w:rPr>
        <w:t xml:space="preserve"> </w:t>
      </w:r>
      <w:r>
        <w:rPr>
          <w:rFonts w:ascii="Times New Roman" w:hAnsi="Times New Roman"/>
          <w:szCs w:val="24"/>
          <w:lang w:val="bs-Latn-BA"/>
        </w:rPr>
        <w:t>је</w:t>
      </w:r>
      <w:r w:rsidR="00D11125" w:rsidRPr="00295637">
        <w:rPr>
          <w:rFonts w:ascii="Times New Roman" w:hAnsi="Times New Roman"/>
          <w:szCs w:val="24"/>
          <w:lang w:val="bs-Latn-BA"/>
        </w:rPr>
        <w:t xml:space="preserve"> </w:t>
      </w:r>
      <w:r>
        <w:rPr>
          <w:rFonts w:ascii="Times New Roman" w:hAnsi="Times New Roman"/>
          <w:szCs w:val="24"/>
          <w:lang w:val="bs-Latn-BA"/>
        </w:rPr>
        <w:t>учествовао</w:t>
      </w:r>
      <w:r w:rsidR="003A2F08" w:rsidRPr="00295637">
        <w:rPr>
          <w:rFonts w:ascii="Times New Roman" w:hAnsi="Times New Roman"/>
          <w:szCs w:val="24"/>
          <w:lang w:val="bs-Latn-BA"/>
        </w:rPr>
        <w:t xml:space="preserve"> </w:t>
      </w:r>
      <w:r>
        <w:rPr>
          <w:rFonts w:ascii="Times New Roman" w:hAnsi="Times New Roman"/>
          <w:szCs w:val="24"/>
          <w:lang w:val="bs-Latn-BA"/>
        </w:rPr>
        <w:t>на</w:t>
      </w:r>
      <w:r w:rsidR="00D11125" w:rsidRPr="00295637">
        <w:rPr>
          <w:rFonts w:ascii="Times New Roman" w:hAnsi="Times New Roman"/>
          <w:szCs w:val="24"/>
          <w:lang w:val="bs-Latn-BA"/>
        </w:rPr>
        <w:t xml:space="preserve"> </w:t>
      </w:r>
      <w:r>
        <w:rPr>
          <w:rFonts w:ascii="Times New Roman" w:hAnsi="Times New Roman"/>
          <w:szCs w:val="24"/>
          <w:lang w:val="bs-Latn-BA"/>
        </w:rPr>
        <w:t>четири</w:t>
      </w:r>
      <w:r w:rsidR="003A2F08" w:rsidRPr="00295637">
        <w:rPr>
          <w:rFonts w:ascii="Times New Roman" w:hAnsi="Times New Roman"/>
          <w:szCs w:val="24"/>
          <w:lang w:val="bs-Latn-BA"/>
        </w:rPr>
        <w:t xml:space="preserve"> </w:t>
      </w:r>
      <w:r>
        <w:rPr>
          <w:rFonts w:ascii="Times New Roman" w:hAnsi="Times New Roman"/>
          <w:szCs w:val="24"/>
          <w:lang w:val="bs-Latn-BA"/>
        </w:rPr>
        <w:t>састанка</w:t>
      </w:r>
      <w:r w:rsidR="003A2F08" w:rsidRPr="00295637">
        <w:rPr>
          <w:rFonts w:ascii="Times New Roman" w:hAnsi="Times New Roman"/>
          <w:szCs w:val="24"/>
          <w:lang w:val="bs-Latn-BA"/>
        </w:rPr>
        <w:t xml:space="preserve"> </w:t>
      </w:r>
      <w:r w:rsidR="007611A2">
        <w:rPr>
          <w:rFonts w:ascii="Times New Roman" w:hAnsi="Times New Roman"/>
          <w:szCs w:val="24"/>
          <w:lang w:val="sr-Cyrl-BA"/>
        </w:rPr>
        <w:t>с</w:t>
      </w:r>
      <w:r w:rsidR="003A2F08" w:rsidRPr="00295637">
        <w:rPr>
          <w:rFonts w:ascii="Times New Roman" w:hAnsi="Times New Roman"/>
          <w:szCs w:val="24"/>
          <w:lang w:val="bs-Latn-BA"/>
        </w:rPr>
        <w:t xml:space="preserve"> </w:t>
      </w:r>
      <w:r>
        <w:rPr>
          <w:rFonts w:ascii="Times New Roman" w:hAnsi="Times New Roman"/>
          <w:szCs w:val="24"/>
          <w:lang w:val="bs-Latn-BA"/>
        </w:rPr>
        <w:t>циљ</w:t>
      </w:r>
      <w:r w:rsidR="007611A2">
        <w:rPr>
          <w:rFonts w:ascii="Times New Roman" w:hAnsi="Times New Roman"/>
          <w:szCs w:val="24"/>
          <w:lang w:val="sr-Cyrl-BA"/>
        </w:rPr>
        <w:t>ем</w:t>
      </w:r>
      <w:r w:rsidR="003A2F08" w:rsidRPr="00295637">
        <w:rPr>
          <w:rFonts w:ascii="Times New Roman" w:hAnsi="Times New Roman"/>
          <w:szCs w:val="24"/>
          <w:lang w:val="bs-Latn-BA"/>
        </w:rPr>
        <w:t xml:space="preserve"> </w:t>
      </w:r>
      <w:r>
        <w:rPr>
          <w:rFonts w:ascii="Times New Roman" w:hAnsi="Times New Roman"/>
          <w:szCs w:val="24"/>
          <w:lang w:val="bs-Latn-BA"/>
        </w:rPr>
        <w:t>израде</w:t>
      </w:r>
      <w:r w:rsidR="003A2F08" w:rsidRPr="00295637">
        <w:rPr>
          <w:rFonts w:ascii="Times New Roman" w:hAnsi="Times New Roman"/>
          <w:szCs w:val="24"/>
          <w:lang w:val="bs-Latn-BA"/>
        </w:rPr>
        <w:t xml:space="preserve"> </w:t>
      </w:r>
      <w:r>
        <w:rPr>
          <w:rFonts w:ascii="Times New Roman" w:hAnsi="Times New Roman"/>
          <w:szCs w:val="24"/>
          <w:lang w:val="bs-Latn-BA"/>
        </w:rPr>
        <w:t>четвртог</w:t>
      </w:r>
      <w:r w:rsidR="006A676D" w:rsidRPr="00295637">
        <w:rPr>
          <w:rFonts w:ascii="Times New Roman" w:hAnsi="Times New Roman"/>
          <w:szCs w:val="24"/>
          <w:lang w:val="bs-Latn-BA"/>
        </w:rPr>
        <w:t xml:space="preserve"> </w:t>
      </w:r>
      <w:r>
        <w:rPr>
          <w:rFonts w:ascii="Times New Roman" w:hAnsi="Times New Roman"/>
          <w:szCs w:val="24"/>
          <w:lang w:val="bs-Latn-BA"/>
        </w:rPr>
        <w:t>АП</w:t>
      </w:r>
      <w:r w:rsidR="00DD791D" w:rsidRPr="00295637">
        <w:rPr>
          <w:rFonts w:ascii="Times New Roman" w:hAnsi="Times New Roman"/>
          <w:szCs w:val="24"/>
          <w:lang w:val="bs-Latn-BA"/>
        </w:rPr>
        <w:t xml:space="preserve"> </w:t>
      </w:r>
      <w:r w:rsidR="007611A2" w:rsidRPr="007611A2">
        <w:rPr>
          <w:rFonts w:ascii="Times New Roman" w:hAnsi="Times New Roman"/>
          <w:i/>
          <w:szCs w:val="24"/>
          <w:lang w:val="bs-Latn-BA"/>
        </w:rPr>
        <w:t>UNSCR</w:t>
      </w:r>
      <w:r w:rsidR="00E424AD">
        <w:rPr>
          <w:rFonts w:ascii="Times New Roman" w:hAnsi="Times New Roman"/>
          <w:szCs w:val="24"/>
          <w:lang w:val="bs-Latn-BA"/>
        </w:rPr>
        <w:t xml:space="preserve"> 1325 </w:t>
      </w:r>
      <w:r>
        <w:rPr>
          <w:rFonts w:ascii="Times New Roman" w:hAnsi="Times New Roman"/>
          <w:szCs w:val="24"/>
          <w:lang w:val="bs-Latn-BA"/>
        </w:rPr>
        <w:t>у</w:t>
      </w:r>
      <w:r w:rsidR="00E424AD">
        <w:rPr>
          <w:rFonts w:ascii="Times New Roman" w:hAnsi="Times New Roman"/>
          <w:szCs w:val="24"/>
          <w:lang w:val="bs-Latn-BA"/>
        </w:rPr>
        <w:t xml:space="preserve"> </w:t>
      </w:r>
      <w:r>
        <w:rPr>
          <w:rFonts w:ascii="Times New Roman" w:hAnsi="Times New Roman"/>
          <w:szCs w:val="24"/>
          <w:lang w:val="bs-Latn-BA"/>
        </w:rPr>
        <w:t>БиХ</w:t>
      </w:r>
      <w:r w:rsidR="00923DBC">
        <w:rPr>
          <w:rFonts w:ascii="Times New Roman" w:hAnsi="Times New Roman"/>
          <w:szCs w:val="24"/>
          <w:lang w:val="bs-Latn-BA"/>
        </w:rPr>
        <w:t xml:space="preserve"> </w:t>
      </w:r>
      <w:r>
        <w:rPr>
          <w:rFonts w:ascii="Times New Roman" w:hAnsi="Times New Roman"/>
          <w:szCs w:val="24"/>
          <w:lang w:val="bs-Latn-BA"/>
        </w:rPr>
        <w:t>за</w:t>
      </w:r>
      <w:r w:rsidR="006A676D" w:rsidRPr="00295637">
        <w:rPr>
          <w:rFonts w:ascii="Times New Roman" w:hAnsi="Times New Roman"/>
          <w:szCs w:val="24"/>
          <w:lang w:val="bs-Latn-BA"/>
        </w:rPr>
        <w:t xml:space="preserve"> </w:t>
      </w:r>
      <w:r>
        <w:rPr>
          <w:rFonts w:ascii="Times New Roman" w:hAnsi="Times New Roman"/>
          <w:szCs w:val="24"/>
          <w:lang w:val="bs-Latn-BA"/>
        </w:rPr>
        <w:t>период</w:t>
      </w:r>
      <w:r w:rsidR="00E424AD">
        <w:rPr>
          <w:rFonts w:ascii="Times New Roman" w:hAnsi="Times New Roman"/>
          <w:szCs w:val="24"/>
          <w:lang w:val="bs-Latn-BA"/>
        </w:rPr>
        <w:t xml:space="preserve"> </w:t>
      </w:r>
      <w:r w:rsidR="006A676D" w:rsidRPr="00295637">
        <w:rPr>
          <w:rFonts w:ascii="Times New Roman" w:hAnsi="Times New Roman"/>
          <w:szCs w:val="24"/>
          <w:lang w:val="bs-Latn-BA"/>
        </w:rPr>
        <w:t>2025</w:t>
      </w:r>
      <w:r w:rsidR="00E424AD">
        <w:rPr>
          <w:rFonts w:ascii="Times New Roman" w:hAnsi="Times New Roman"/>
          <w:szCs w:val="24"/>
          <w:lang w:val="bs-Latn-BA"/>
        </w:rPr>
        <w:t>-</w:t>
      </w:r>
      <w:r w:rsidR="006A676D" w:rsidRPr="00295637">
        <w:rPr>
          <w:rFonts w:ascii="Times New Roman" w:hAnsi="Times New Roman"/>
          <w:szCs w:val="24"/>
          <w:lang w:val="bs-Latn-BA"/>
        </w:rPr>
        <w:t>2030.</w:t>
      </w:r>
      <w:r w:rsidR="003A2F08" w:rsidRPr="00295637">
        <w:rPr>
          <w:rFonts w:ascii="Times New Roman" w:hAnsi="Times New Roman"/>
          <w:szCs w:val="24"/>
          <w:lang w:val="bs-Latn-BA"/>
        </w:rPr>
        <w:t xml:space="preserve"> </w:t>
      </w:r>
      <w:r>
        <w:rPr>
          <w:rFonts w:ascii="Times New Roman" w:hAnsi="Times New Roman"/>
          <w:szCs w:val="24"/>
          <w:lang w:val="bs-Latn-BA"/>
        </w:rPr>
        <w:t>године</w:t>
      </w:r>
      <w:r w:rsidR="003A2F08" w:rsidRPr="00295637">
        <w:rPr>
          <w:rFonts w:ascii="Times New Roman" w:hAnsi="Times New Roman"/>
          <w:szCs w:val="24"/>
          <w:lang w:val="bs-Latn-BA"/>
        </w:rPr>
        <w:t xml:space="preserve"> </w:t>
      </w:r>
      <w:r>
        <w:rPr>
          <w:rFonts w:ascii="Times New Roman" w:hAnsi="Times New Roman"/>
          <w:szCs w:val="24"/>
          <w:lang w:val="bs-Latn-BA"/>
        </w:rPr>
        <w:t>чиме</w:t>
      </w:r>
      <w:r w:rsidR="008A17CE" w:rsidRPr="00295637">
        <w:rPr>
          <w:rFonts w:ascii="Times New Roman" w:hAnsi="Times New Roman"/>
          <w:szCs w:val="24"/>
          <w:lang w:val="bs-Latn-BA"/>
        </w:rPr>
        <w:t xml:space="preserve"> </w:t>
      </w:r>
      <w:r>
        <w:rPr>
          <w:rFonts w:ascii="Times New Roman" w:hAnsi="Times New Roman"/>
          <w:szCs w:val="24"/>
          <w:lang w:val="bs-Latn-BA"/>
        </w:rPr>
        <w:t>координи</w:t>
      </w:r>
      <w:r w:rsidR="007611A2">
        <w:rPr>
          <w:rFonts w:ascii="Times New Roman" w:hAnsi="Times New Roman"/>
          <w:szCs w:val="24"/>
          <w:lang w:val="sr-Cyrl-BA"/>
        </w:rPr>
        <w:t>ше</w:t>
      </w:r>
      <w:r w:rsidR="003A2F08" w:rsidRPr="00295637">
        <w:rPr>
          <w:rFonts w:ascii="Times New Roman" w:hAnsi="Times New Roman"/>
          <w:szCs w:val="24"/>
          <w:lang w:val="bs-Latn-BA"/>
        </w:rPr>
        <w:t xml:space="preserve"> </w:t>
      </w:r>
      <w:r>
        <w:rPr>
          <w:rFonts w:ascii="Times New Roman" w:hAnsi="Times New Roman"/>
          <w:szCs w:val="24"/>
          <w:lang w:val="bs-Latn-BA"/>
        </w:rPr>
        <w:t>АР</w:t>
      </w:r>
      <w:r w:rsidR="007611A2">
        <w:rPr>
          <w:rFonts w:ascii="Times New Roman" w:hAnsi="Times New Roman"/>
          <w:szCs w:val="24"/>
          <w:lang w:val="sr-Cyrl-BA"/>
        </w:rPr>
        <w:t>П</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9E54A2" w:rsidRPr="00295637">
        <w:rPr>
          <w:rFonts w:ascii="Times New Roman" w:hAnsi="Times New Roman"/>
          <w:szCs w:val="24"/>
          <w:lang w:val="bs-Latn-BA"/>
        </w:rPr>
        <w:t xml:space="preserve"> </w:t>
      </w:r>
      <w:r>
        <w:rPr>
          <w:rFonts w:ascii="Times New Roman" w:hAnsi="Times New Roman"/>
          <w:szCs w:val="24"/>
          <w:lang w:val="bs-Latn-BA"/>
        </w:rPr>
        <w:t>МЉПИ</w:t>
      </w:r>
      <w:r w:rsidR="00E424AD">
        <w:rPr>
          <w:rFonts w:ascii="Times New Roman" w:hAnsi="Times New Roman"/>
          <w:szCs w:val="24"/>
          <w:lang w:val="bs-Latn-BA"/>
        </w:rPr>
        <w:t xml:space="preserve"> </w:t>
      </w:r>
      <w:r>
        <w:rPr>
          <w:rFonts w:ascii="Times New Roman" w:hAnsi="Times New Roman"/>
          <w:szCs w:val="24"/>
          <w:lang w:val="bs-Latn-BA"/>
        </w:rPr>
        <w:t>БиХ</w:t>
      </w:r>
      <w:r w:rsidR="008A17CE">
        <w:rPr>
          <w:rFonts w:ascii="Times New Roman" w:hAnsi="Times New Roman"/>
          <w:szCs w:val="24"/>
          <w:lang w:val="bs-Latn-BA"/>
        </w:rPr>
        <w:t xml:space="preserve">. </w:t>
      </w:r>
      <w:r w:rsidR="003A2F08" w:rsidRPr="00295637">
        <w:rPr>
          <w:rFonts w:ascii="Times New Roman" w:hAnsi="Times New Roman"/>
          <w:szCs w:val="24"/>
          <w:lang w:val="bs-Latn-BA"/>
        </w:rPr>
        <w:t xml:space="preserve"> </w:t>
      </w:r>
    </w:p>
    <w:p w:rsidR="007E1AFC" w:rsidRPr="00295637" w:rsidRDefault="007E1AFC" w:rsidP="0086268D">
      <w:pPr>
        <w:jc w:val="both"/>
        <w:rPr>
          <w:rFonts w:ascii="Times New Roman" w:hAnsi="Times New Roman"/>
          <w:szCs w:val="24"/>
          <w:lang w:val="bs-Latn-BA"/>
        </w:rPr>
      </w:pPr>
    </w:p>
    <w:p w:rsidR="007E1AFC" w:rsidRPr="00295637" w:rsidRDefault="00C6214E" w:rsidP="0086268D">
      <w:pPr>
        <w:pStyle w:val="ListParagraph"/>
        <w:ind w:left="0"/>
        <w:jc w:val="both"/>
        <w:rPr>
          <w:rFonts w:ascii="Times New Roman" w:hAnsi="Times New Roman"/>
          <w:lang w:val="sr-Cyrl-BA"/>
        </w:rPr>
      </w:pPr>
      <w:r>
        <w:rPr>
          <w:rFonts w:ascii="Times New Roman" w:hAnsi="Times New Roman"/>
          <w:lang w:val="sr-Latn-BA"/>
        </w:rPr>
        <w:t>ЦЈРП</w:t>
      </w:r>
      <w:r w:rsidR="007E1AFC" w:rsidRPr="00295637">
        <w:rPr>
          <w:rFonts w:ascii="Times New Roman" w:hAnsi="Times New Roman"/>
          <w:lang w:val="sr-Latn-BA"/>
        </w:rPr>
        <w:t xml:space="preserve"> </w:t>
      </w:r>
      <w:r>
        <w:rPr>
          <w:rFonts w:ascii="Times New Roman" w:hAnsi="Times New Roman"/>
          <w:lang w:val="sr-Latn-BA"/>
        </w:rPr>
        <w:t>РС</w:t>
      </w:r>
      <w:r w:rsidR="007E1AFC" w:rsidRPr="00295637">
        <w:rPr>
          <w:rFonts w:ascii="Times New Roman" w:hAnsi="Times New Roman"/>
          <w:lang w:val="sr-Latn-BA"/>
        </w:rPr>
        <w:t xml:space="preserve"> </w:t>
      </w:r>
      <w:r>
        <w:rPr>
          <w:rFonts w:ascii="Times New Roman" w:hAnsi="Times New Roman"/>
          <w:lang w:val="sr-Latn-BA"/>
        </w:rPr>
        <w:t>је</w:t>
      </w:r>
      <w:r w:rsidR="007E1AFC" w:rsidRPr="00295637">
        <w:rPr>
          <w:rFonts w:ascii="Times New Roman" w:hAnsi="Times New Roman"/>
          <w:lang w:val="sr-Latn-BA"/>
        </w:rPr>
        <w:t xml:space="preserve"> </w:t>
      </w:r>
      <w:r>
        <w:rPr>
          <w:rFonts w:ascii="Times New Roman" w:hAnsi="Times New Roman"/>
          <w:lang w:val="sr-Latn-BA"/>
        </w:rPr>
        <w:t>у</w:t>
      </w:r>
      <w:r w:rsidR="007E1AFC" w:rsidRPr="00295637">
        <w:rPr>
          <w:rFonts w:ascii="Times New Roman" w:hAnsi="Times New Roman"/>
          <w:lang w:val="sr-Latn-BA"/>
        </w:rPr>
        <w:t xml:space="preserve"> </w:t>
      </w:r>
      <w:r>
        <w:rPr>
          <w:rFonts w:ascii="Times New Roman" w:hAnsi="Times New Roman"/>
          <w:lang w:val="sr-Latn-BA"/>
        </w:rPr>
        <w:t>извјештајном</w:t>
      </w:r>
      <w:r w:rsidR="007E1AFC" w:rsidRPr="00295637">
        <w:rPr>
          <w:rFonts w:ascii="Times New Roman" w:hAnsi="Times New Roman"/>
          <w:lang w:val="sr-Latn-BA"/>
        </w:rPr>
        <w:t xml:space="preserve"> </w:t>
      </w:r>
      <w:r>
        <w:rPr>
          <w:rFonts w:ascii="Times New Roman" w:hAnsi="Times New Roman"/>
          <w:lang w:val="sr-Latn-BA"/>
        </w:rPr>
        <w:t>периоду</w:t>
      </w:r>
      <w:r w:rsidR="007E1AFC" w:rsidRPr="00295637">
        <w:rPr>
          <w:rFonts w:ascii="Times New Roman" w:hAnsi="Times New Roman"/>
          <w:lang w:val="sr-Latn-BA"/>
        </w:rPr>
        <w:t xml:space="preserve"> </w:t>
      </w:r>
      <w:r>
        <w:rPr>
          <w:rFonts w:ascii="Times New Roman" w:hAnsi="Times New Roman"/>
          <w:lang w:val="sr-Latn-BA"/>
        </w:rPr>
        <w:t>извијестио</w:t>
      </w:r>
      <w:r w:rsidR="007E1AFC" w:rsidRPr="00295637">
        <w:rPr>
          <w:rFonts w:ascii="Times New Roman" w:hAnsi="Times New Roman"/>
          <w:lang w:val="sr-Latn-BA"/>
        </w:rPr>
        <w:t xml:space="preserve"> </w:t>
      </w:r>
      <w:r>
        <w:rPr>
          <w:rFonts w:ascii="Times New Roman" w:hAnsi="Times New Roman"/>
          <w:lang w:val="sr-Latn-BA"/>
        </w:rPr>
        <w:t>о</w:t>
      </w:r>
      <w:r w:rsidR="007E1AFC" w:rsidRPr="00295637">
        <w:rPr>
          <w:rFonts w:ascii="Times New Roman" w:hAnsi="Times New Roman"/>
          <w:lang w:val="sr-Latn-BA"/>
        </w:rPr>
        <w:t xml:space="preserve"> </w:t>
      </w:r>
      <w:r>
        <w:rPr>
          <w:rFonts w:ascii="Times New Roman" w:hAnsi="Times New Roman"/>
          <w:lang w:val="sr-Cyrl-BA"/>
        </w:rPr>
        <w:t>примјени</w:t>
      </w:r>
      <w:r w:rsidR="007E1AFC" w:rsidRPr="00295637">
        <w:rPr>
          <w:rFonts w:ascii="Times New Roman" w:hAnsi="Times New Roman"/>
          <w:lang w:val="sr-Cyrl-BA"/>
        </w:rPr>
        <w:t xml:space="preserve"> </w:t>
      </w:r>
      <w:r>
        <w:rPr>
          <w:rFonts w:ascii="Times New Roman" w:hAnsi="Times New Roman"/>
          <w:lang w:val="bs-Latn-BA"/>
        </w:rPr>
        <w:t>сљедећих</w:t>
      </w:r>
      <w:r w:rsidR="00281480" w:rsidRPr="00295637">
        <w:rPr>
          <w:rFonts w:ascii="Times New Roman" w:hAnsi="Times New Roman"/>
          <w:lang w:val="bs-Latn-BA"/>
        </w:rPr>
        <w:t xml:space="preserve"> </w:t>
      </w:r>
      <w:r>
        <w:rPr>
          <w:rFonts w:ascii="Times New Roman" w:hAnsi="Times New Roman"/>
          <w:lang w:val="bs-Latn-BA"/>
        </w:rPr>
        <w:t>седам</w:t>
      </w:r>
      <w:r w:rsidR="00281480" w:rsidRPr="00295637">
        <w:rPr>
          <w:rFonts w:ascii="Times New Roman" w:hAnsi="Times New Roman"/>
          <w:lang w:val="bs-Latn-BA"/>
        </w:rPr>
        <w:t xml:space="preserve"> </w:t>
      </w:r>
      <w:r>
        <w:rPr>
          <w:rFonts w:ascii="Times New Roman" w:hAnsi="Times New Roman"/>
          <w:lang w:val="sr-Cyrl-BA"/>
        </w:rPr>
        <w:t>међународних</w:t>
      </w:r>
      <w:r w:rsidR="00E424AD">
        <w:rPr>
          <w:rFonts w:ascii="Times New Roman" w:hAnsi="Times New Roman"/>
          <w:lang w:val="sr-Cyrl-BA"/>
        </w:rPr>
        <w:t xml:space="preserve"> </w:t>
      </w:r>
      <w:r>
        <w:rPr>
          <w:rFonts w:ascii="Times New Roman" w:hAnsi="Times New Roman"/>
          <w:lang w:val="sr-Cyrl-BA"/>
        </w:rPr>
        <w:t>об</w:t>
      </w:r>
      <w:r>
        <w:rPr>
          <w:rFonts w:ascii="Times New Roman" w:hAnsi="Times New Roman"/>
          <w:lang w:val="hr-HR"/>
        </w:rPr>
        <w:t>а</w:t>
      </w:r>
      <w:r>
        <w:rPr>
          <w:rFonts w:ascii="Times New Roman" w:hAnsi="Times New Roman"/>
          <w:lang w:val="sr-Cyrl-BA"/>
        </w:rPr>
        <w:t>веза</w:t>
      </w:r>
      <w:r w:rsidR="007E1AFC" w:rsidRPr="00295637">
        <w:rPr>
          <w:rFonts w:ascii="Times New Roman" w:hAnsi="Times New Roman"/>
          <w:lang w:val="sr-Cyrl-BA"/>
        </w:rPr>
        <w:t>:</w:t>
      </w:r>
      <w:r w:rsidR="00281480" w:rsidRPr="00295637">
        <w:rPr>
          <w:rFonts w:ascii="Times New Roman" w:hAnsi="Times New Roman"/>
          <w:lang w:val="bs-Latn-BA"/>
        </w:rPr>
        <w:t xml:space="preserve"> </w:t>
      </w:r>
      <w:r>
        <w:rPr>
          <w:rFonts w:ascii="Times New Roman" w:hAnsi="Times New Roman"/>
          <w:lang w:val="sr-Cyrl-BA"/>
        </w:rPr>
        <w:t>Израђен</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усвојен</w:t>
      </w:r>
      <w:r w:rsidR="007E1AFC" w:rsidRPr="00295637">
        <w:rPr>
          <w:rFonts w:ascii="Times New Roman" w:hAnsi="Times New Roman"/>
          <w:lang w:val="sr-Cyrl-BA"/>
        </w:rPr>
        <w:t xml:space="preserve"> </w:t>
      </w:r>
      <w:r>
        <w:rPr>
          <w:rFonts w:ascii="Times New Roman" w:hAnsi="Times New Roman"/>
          <w:lang w:val="sr-Cyrl-BA"/>
        </w:rPr>
        <w:t>А</w:t>
      </w:r>
      <w:r>
        <w:rPr>
          <w:rFonts w:ascii="Times New Roman" w:hAnsi="Times New Roman"/>
          <w:lang w:val="bs-Latn-BA"/>
        </w:rPr>
        <w:t>П</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sidR="007611A2">
        <w:rPr>
          <w:rFonts w:ascii="Times New Roman" w:hAnsi="Times New Roman"/>
          <w:lang w:val="sr-Cyrl-BA"/>
        </w:rPr>
        <w:t>спровођење</w:t>
      </w:r>
      <w:r w:rsidR="007E1AFC" w:rsidRPr="00295637">
        <w:rPr>
          <w:rFonts w:ascii="Times New Roman" w:hAnsi="Times New Roman"/>
          <w:lang w:val="sr-Cyrl-BA"/>
        </w:rPr>
        <w:t xml:space="preserve"> </w:t>
      </w:r>
      <w:r w:rsidR="007611A2">
        <w:rPr>
          <w:rFonts w:ascii="Times New Roman" w:hAnsi="Times New Roman"/>
          <w:lang w:val="sr-Cyrl-BA"/>
        </w:rPr>
        <w:t>П</w:t>
      </w:r>
      <w:r>
        <w:rPr>
          <w:rFonts w:ascii="Times New Roman" w:hAnsi="Times New Roman"/>
          <w:lang w:val="sr-Cyrl-BA"/>
        </w:rPr>
        <w:t>репорука</w:t>
      </w:r>
      <w:r w:rsidR="007E1AFC" w:rsidRPr="00295637">
        <w:rPr>
          <w:rFonts w:ascii="Times New Roman" w:hAnsi="Times New Roman"/>
          <w:lang w:val="sr-Cyrl-BA"/>
        </w:rPr>
        <w:t xml:space="preserve"> </w:t>
      </w:r>
      <w:r>
        <w:rPr>
          <w:rFonts w:ascii="Times New Roman" w:hAnsi="Times New Roman"/>
          <w:lang w:val="sr-Cyrl-BA"/>
        </w:rPr>
        <w:t>из</w:t>
      </w:r>
      <w:r w:rsidR="007E1AFC"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таја</w:t>
      </w:r>
      <w:r w:rsidR="00FB1545">
        <w:rPr>
          <w:rFonts w:ascii="Times New Roman" w:hAnsi="Times New Roman"/>
          <w:lang w:val="sr-Cyrl-BA"/>
        </w:rPr>
        <w:t xml:space="preserve"> </w:t>
      </w:r>
      <w:r w:rsidR="003601A7">
        <w:rPr>
          <w:rFonts w:ascii="Times New Roman" w:hAnsi="Times New Roman"/>
          <w:lang w:val="hr-HR"/>
        </w:rPr>
        <w:t>К</w:t>
      </w:r>
      <w:r w:rsidR="003601A7">
        <w:rPr>
          <w:rFonts w:ascii="Times New Roman" w:hAnsi="Times New Roman"/>
          <w:lang w:val="sr-Cyrl-BA"/>
        </w:rPr>
        <w:t xml:space="preserve">омитета </w:t>
      </w:r>
      <w:r>
        <w:rPr>
          <w:rFonts w:ascii="Times New Roman" w:hAnsi="Times New Roman"/>
          <w:lang w:val="sr-Cyrl-BA"/>
        </w:rPr>
        <w:t>ГРЕВИО</w:t>
      </w:r>
      <w:r w:rsidR="00FB1545">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БиХ</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hr-HR"/>
        </w:rPr>
        <w:t>период</w:t>
      </w:r>
      <w:r w:rsidR="007E1AFC" w:rsidRPr="00295637">
        <w:rPr>
          <w:rFonts w:ascii="Times New Roman" w:hAnsi="Times New Roman"/>
          <w:lang w:val="sr-Cyrl-BA"/>
        </w:rPr>
        <w:t xml:space="preserve"> 2024-2025.</w:t>
      </w:r>
      <w:r w:rsidR="00E424AD">
        <w:rPr>
          <w:rFonts w:ascii="Times New Roman" w:hAnsi="Times New Roman"/>
          <w:lang w:val="hr-HR"/>
        </w:rPr>
        <w:t xml:space="preserve"> </w:t>
      </w:r>
      <w:r>
        <w:rPr>
          <w:rFonts w:ascii="Times New Roman" w:hAnsi="Times New Roman"/>
          <w:lang w:val="hr-HR"/>
        </w:rPr>
        <w:t>година</w:t>
      </w:r>
      <w:r w:rsidR="007E1AFC" w:rsidRPr="00295637">
        <w:rPr>
          <w:rFonts w:ascii="Times New Roman" w:hAnsi="Times New Roman"/>
          <w:lang w:val="sr-Cyrl-BA"/>
        </w:rPr>
        <w:t xml:space="preserve"> (1 </w:t>
      </w:r>
      <w:r>
        <w:rPr>
          <w:rFonts w:ascii="Times New Roman" w:hAnsi="Times New Roman"/>
          <w:lang w:val="sr-Cyrl-BA"/>
        </w:rPr>
        <w:t>АП</w:t>
      </w:r>
      <w:r w:rsidR="007E1AFC" w:rsidRPr="00295637">
        <w:rPr>
          <w:rFonts w:ascii="Times New Roman" w:hAnsi="Times New Roman"/>
          <w:lang w:val="sr-Cyrl-BA"/>
        </w:rPr>
        <w:t>)</w:t>
      </w:r>
      <w:r w:rsidR="00281480" w:rsidRPr="00295637">
        <w:rPr>
          <w:rFonts w:ascii="Times New Roman" w:hAnsi="Times New Roman"/>
          <w:lang w:val="bs-Latn-BA"/>
        </w:rPr>
        <w:t>;</w:t>
      </w:r>
      <w:r w:rsidR="00281480" w:rsidRPr="00295637">
        <w:rPr>
          <w:rFonts w:ascii="Times New Roman" w:hAnsi="Times New Roman"/>
          <w:lang w:val="sr-Cyrl-BA"/>
        </w:rPr>
        <w:t xml:space="preserve"> </w:t>
      </w:r>
      <w:r>
        <w:rPr>
          <w:rFonts w:ascii="Times New Roman" w:hAnsi="Times New Roman"/>
          <w:lang w:val="hr-HR"/>
        </w:rPr>
        <w:t>Учешће</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тавању</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Универзални</w:t>
      </w:r>
      <w:r w:rsidR="007E1AFC" w:rsidRPr="00295637">
        <w:rPr>
          <w:rFonts w:ascii="Times New Roman" w:hAnsi="Times New Roman"/>
          <w:lang w:val="sr-Cyrl-BA"/>
        </w:rPr>
        <w:t xml:space="preserve"> </w:t>
      </w:r>
      <w:r>
        <w:rPr>
          <w:rFonts w:ascii="Times New Roman" w:hAnsi="Times New Roman"/>
          <w:lang w:val="sr-Cyrl-BA"/>
        </w:rPr>
        <w:t>периодични</w:t>
      </w:r>
      <w:r w:rsidR="007E1AFC" w:rsidRPr="00295637">
        <w:rPr>
          <w:rFonts w:ascii="Times New Roman" w:hAnsi="Times New Roman"/>
          <w:lang w:val="sr-Cyrl-BA"/>
        </w:rPr>
        <w:t xml:space="preserve"> </w:t>
      </w:r>
      <w:r>
        <w:rPr>
          <w:rFonts w:ascii="Times New Roman" w:hAnsi="Times New Roman"/>
          <w:lang w:val="sr-Cyrl-BA"/>
        </w:rPr>
        <w:t>преглед</w:t>
      </w:r>
      <w:r w:rsidR="007E1AFC" w:rsidRPr="00295637">
        <w:rPr>
          <w:rFonts w:ascii="Times New Roman" w:hAnsi="Times New Roman"/>
          <w:lang w:val="sr-Cyrl-BA"/>
        </w:rPr>
        <w:t xml:space="preserve"> (</w:t>
      </w:r>
      <w:r>
        <w:rPr>
          <w:rFonts w:ascii="Times New Roman" w:hAnsi="Times New Roman"/>
          <w:lang w:val="sr-Cyrl-BA"/>
        </w:rPr>
        <w:t>УПР</w:t>
      </w:r>
      <w:r w:rsidR="007E1AFC" w:rsidRPr="00295637">
        <w:rPr>
          <w:rFonts w:ascii="Times New Roman" w:hAnsi="Times New Roman"/>
          <w:lang w:val="sr-Cyrl-BA"/>
        </w:rPr>
        <w:t xml:space="preserve">), </w:t>
      </w:r>
      <w:r>
        <w:rPr>
          <w:rFonts w:ascii="Times New Roman" w:hAnsi="Times New Roman"/>
          <w:lang w:val="sr-Cyrl-BA"/>
        </w:rPr>
        <w:t>четврти</w:t>
      </w:r>
      <w:r w:rsidR="007E1AFC" w:rsidRPr="00295637">
        <w:rPr>
          <w:rFonts w:ascii="Times New Roman" w:hAnsi="Times New Roman"/>
          <w:lang w:val="sr-Cyrl-BA"/>
        </w:rPr>
        <w:t xml:space="preserve"> </w:t>
      </w:r>
      <w:r>
        <w:rPr>
          <w:rFonts w:ascii="Times New Roman" w:hAnsi="Times New Roman"/>
          <w:lang w:val="sr-Cyrl-BA"/>
        </w:rPr>
        <w:t>циклус</w:t>
      </w:r>
      <w:r w:rsidR="007E1AFC" w:rsidRPr="00295637">
        <w:rPr>
          <w:rFonts w:ascii="Times New Roman" w:hAnsi="Times New Roman"/>
          <w:lang w:val="sr-Cyrl-BA"/>
        </w:rPr>
        <w:t xml:space="preserve"> (1 </w:t>
      </w:r>
      <w:r>
        <w:rPr>
          <w:rFonts w:ascii="Times New Roman" w:hAnsi="Times New Roman"/>
          <w:lang w:val="sr-Cyrl-BA"/>
        </w:rPr>
        <w:t>извјеш</w:t>
      </w:r>
      <w:r>
        <w:rPr>
          <w:rFonts w:ascii="Times New Roman" w:hAnsi="Times New Roman"/>
          <w:lang w:val="hr-HR"/>
        </w:rPr>
        <w:t>тај</w:t>
      </w:r>
      <w:r w:rsidR="007E1AFC" w:rsidRPr="00295637">
        <w:rPr>
          <w:rFonts w:ascii="Times New Roman" w:hAnsi="Times New Roman"/>
          <w:lang w:val="sr-Cyrl-BA"/>
        </w:rPr>
        <w:t>)</w:t>
      </w:r>
      <w:r w:rsidR="00281480" w:rsidRPr="00295637">
        <w:rPr>
          <w:rFonts w:ascii="Times New Roman" w:hAnsi="Times New Roman"/>
          <w:lang w:val="bs-Latn-BA"/>
        </w:rPr>
        <w:t xml:space="preserve">; </w:t>
      </w:r>
      <w:r>
        <w:rPr>
          <w:rFonts w:ascii="Times New Roman" w:hAnsi="Times New Roman"/>
          <w:lang w:val="sr-Cyrl-BA"/>
        </w:rPr>
        <w:t>Преглед</w:t>
      </w:r>
      <w:r w:rsidR="007E1AFC" w:rsidRPr="00295637">
        <w:rPr>
          <w:rFonts w:ascii="Times New Roman" w:hAnsi="Times New Roman"/>
          <w:lang w:val="sr-Cyrl-BA"/>
        </w:rPr>
        <w:t xml:space="preserve"> </w:t>
      </w:r>
      <w:r>
        <w:rPr>
          <w:rFonts w:ascii="Times New Roman" w:hAnsi="Times New Roman"/>
          <w:lang w:val="sr-Cyrl-BA"/>
        </w:rPr>
        <w:t>заједничког</w:t>
      </w:r>
      <w:r w:rsidR="007E1AFC"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таја</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Стратегију</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равноправност</w:t>
      </w:r>
      <w:r w:rsidR="007E1AFC" w:rsidRPr="00295637">
        <w:rPr>
          <w:rFonts w:ascii="Times New Roman" w:hAnsi="Times New Roman"/>
          <w:lang w:val="sr-Cyrl-BA"/>
        </w:rPr>
        <w:t xml:space="preserve"> </w:t>
      </w:r>
      <w:r>
        <w:rPr>
          <w:rFonts w:ascii="Times New Roman" w:hAnsi="Times New Roman"/>
          <w:lang w:val="sr-Cyrl-BA"/>
        </w:rPr>
        <w:t>полова</w:t>
      </w:r>
      <w:r w:rsidR="007E1AFC" w:rsidRPr="00295637">
        <w:rPr>
          <w:rFonts w:ascii="Times New Roman" w:hAnsi="Times New Roman"/>
          <w:lang w:val="sr-Cyrl-BA"/>
        </w:rPr>
        <w:t xml:space="preserve"> </w:t>
      </w:r>
      <w:r w:rsidR="007611A2">
        <w:rPr>
          <w:rFonts w:ascii="Times New Roman" w:hAnsi="Times New Roman"/>
          <w:lang w:val="sr-Cyrl-BA"/>
        </w:rPr>
        <w:t>С</w:t>
      </w:r>
      <w:r>
        <w:rPr>
          <w:rFonts w:ascii="Times New Roman" w:hAnsi="Times New Roman"/>
          <w:lang w:val="bs-Latn-BA"/>
        </w:rPr>
        <w:t>Е</w:t>
      </w:r>
      <w:r w:rsidR="007E1AFC" w:rsidRPr="00295637">
        <w:rPr>
          <w:rFonts w:ascii="Times New Roman" w:hAnsi="Times New Roman"/>
          <w:lang w:val="sr-Cyrl-BA"/>
        </w:rPr>
        <w:t xml:space="preserve"> 2018</w:t>
      </w:r>
      <w:r w:rsidR="00E424AD">
        <w:rPr>
          <w:rFonts w:ascii="Times New Roman" w:hAnsi="Times New Roman"/>
          <w:lang w:val="hr-HR"/>
        </w:rPr>
        <w:t>-</w:t>
      </w:r>
      <w:r w:rsidR="007E1AFC" w:rsidRPr="00295637">
        <w:rPr>
          <w:rFonts w:ascii="Times New Roman" w:hAnsi="Times New Roman"/>
          <w:lang w:val="sr-Cyrl-BA"/>
        </w:rPr>
        <w:t>2023</w:t>
      </w:r>
      <w:r w:rsidR="00E424AD">
        <w:rPr>
          <w:rFonts w:ascii="Times New Roman" w:hAnsi="Times New Roman"/>
          <w:lang w:val="hr-HR"/>
        </w:rPr>
        <w:t xml:space="preserve">. </w:t>
      </w:r>
      <w:r>
        <w:rPr>
          <w:rFonts w:ascii="Times New Roman" w:hAnsi="Times New Roman"/>
          <w:lang w:val="hr-HR"/>
        </w:rPr>
        <w:t>година</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hr-HR"/>
        </w:rPr>
        <w:t>период</w:t>
      </w:r>
      <w:r w:rsidR="007E1AFC" w:rsidRPr="00295637">
        <w:rPr>
          <w:rFonts w:ascii="Times New Roman" w:hAnsi="Times New Roman"/>
          <w:lang w:val="sr-Cyrl-BA"/>
        </w:rPr>
        <w:t xml:space="preserve"> </w:t>
      </w:r>
      <w:r>
        <w:rPr>
          <w:rFonts w:ascii="Times New Roman" w:hAnsi="Times New Roman"/>
          <w:lang w:val="hr-HR"/>
        </w:rPr>
        <w:t>новембар</w:t>
      </w:r>
      <w:r w:rsidR="007E1AFC" w:rsidRPr="00295637">
        <w:rPr>
          <w:rFonts w:ascii="Times New Roman" w:hAnsi="Times New Roman"/>
          <w:lang w:val="sr-Cyrl-BA"/>
        </w:rPr>
        <w:t xml:space="preserve"> 2022</w:t>
      </w:r>
      <w:r w:rsidR="00E424AD">
        <w:rPr>
          <w:rFonts w:ascii="Times New Roman" w:hAnsi="Times New Roman"/>
          <w:lang w:val="hr-HR"/>
        </w:rPr>
        <w:t>.</w:t>
      </w:r>
      <w:r w:rsidR="007E1AFC" w:rsidRPr="00295637">
        <w:rPr>
          <w:rFonts w:ascii="Times New Roman" w:hAnsi="Times New Roman"/>
          <w:lang w:val="sr-Cyrl-BA"/>
        </w:rPr>
        <w:t xml:space="preserve"> – </w:t>
      </w:r>
      <w:r>
        <w:rPr>
          <w:rFonts w:ascii="Times New Roman" w:hAnsi="Times New Roman"/>
          <w:lang w:val="hr-HR"/>
        </w:rPr>
        <w:t>децембар</w:t>
      </w:r>
      <w:r w:rsidR="007E1AFC" w:rsidRPr="00295637">
        <w:rPr>
          <w:rFonts w:ascii="Times New Roman" w:hAnsi="Times New Roman"/>
          <w:lang w:val="sr-Cyrl-BA"/>
        </w:rPr>
        <w:t xml:space="preserve"> 2023.</w:t>
      </w:r>
      <w:r w:rsidR="00AE754B">
        <w:rPr>
          <w:rFonts w:ascii="Times New Roman" w:hAnsi="Times New Roman"/>
          <w:lang w:val="hr-HR"/>
        </w:rPr>
        <w:t xml:space="preserve"> </w:t>
      </w:r>
      <w:r>
        <w:rPr>
          <w:rFonts w:ascii="Times New Roman" w:hAnsi="Times New Roman"/>
          <w:lang w:val="hr-HR"/>
        </w:rPr>
        <w:t>године</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укупно</w:t>
      </w:r>
      <w:r w:rsidR="007E1AFC" w:rsidRPr="00295637">
        <w:rPr>
          <w:rFonts w:ascii="Times New Roman" w:hAnsi="Times New Roman"/>
          <w:lang w:val="sr-Cyrl-BA"/>
        </w:rPr>
        <w:t xml:space="preserve"> </w:t>
      </w:r>
      <w:r>
        <w:rPr>
          <w:rFonts w:ascii="Times New Roman" w:hAnsi="Times New Roman"/>
          <w:lang w:val="sr-Cyrl-BA"/>
        </w:rPr>
        <w:t>трајање</w:t>
      </w:r>
      <w:r w:rsidR="007E1AFC" w:rsidRPr="00295637">
        <w:rPr>
          <w:rFonts w:ascii="Times New Roman" w:hAnsi="Times New Roman"/>
          <w:lang w:val="sr-Cyrl-BA"/>
        </w:rPr>
        <w:t xml:space="preserve"> </w:t>
      </w:r>
      <w:r>
        <w:rPr>
          <w:rFonts w:ascii="Times New Roman" w:hAnsi="Times New Roman"/>
          <w:lang w:val="sr-Cyrl-BA"/>
        </w:rPr>
        <w:t>стратегије</w:t>
      </w:r>
      <w:r w:rsidR="00281480" w:rsidRPr="00295637">
        <w:rPr>
          <w:rFonts w:ascii="Times New Roman" w:hAnsi="Times New Roman"/>
          <w:lang w:val="bs-Latn-BA"/>
        </w:rPr>
        <w:t xml:space="preserve">; </w:t>
      </w:r>
      <w:r>
        <w:rPr>
          <w:rFonts w:ascii="Times New Roman" w:hAnsi="Times New Roman"/>
          <w:lang w:val="hr-HR"/>
        </w:rPr>
        <w:t>Учешће</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тавању</w:t>
      </w:r>
      <w:r w:rsidR="007E1AFC" w:rsidRPr="00295637">
        <w:rPr>
          <w:rFonts w:ascii="Times New Roman" w:hAnsi="Times New Roman"/>
          <w:lang w:val="sr-Cyrl-BA"/>
        </w:rPr>
        <w:t xml:space="preserve"> </w:t>
      </w:r>
      <w:r>
        <w:rPr>
          <w:rFonts w:ascii="Times New Roman" w:hAnsi="Times New Roman"/>
          <w:lang w:val="sr-Cyrl-BA"/>
        </w:rPr>
        <w:t>ка</w:t>
      </w:r>
      <w:r w:rsidR="007E1AFC" w:rsidRPr="00295637">
        <w:rPr>
          <w:rFonts w:ascii="Times New Roman" w:hAnsi="Times New Roman"/>
          <w:lang w:val="sr-Cyrl-BA"/>
        </w:rPr>
        <w:t xml:space="preserve"> </w:t>
      </w:r>
      <w:r w:rsidR="007611A2">
        <w:rPr>
          <w:rFonts w:ascii="Times New Roman" w:hAnsi="Times New Roman"/>
          <w:lang w:val="sr-Cyrl-BA"/>
        </w:rPr>
        <w:t>С</w:t>
      </w:r>
      <w:r>
        <w:rPr>
          <w:rFonts w:ascii="Times New Roman" w:hAnsi="Times New Roman"/>
          <w:lang w:val="bs-Latn-BA"/>
        </w:rPr>
        <w:t>Е</w:t>
      </w:r>
      <w:r w:rsidR="007E1AFC" w:rsidRPr="00295637">
        <w:rPr>
          <w:rFonts w:ascii="Times New Roman" w:hAnsi="Times New Roman"/>
          <w:lang w:val="sr-Cyrl-BA"/>
        </w:rPr>
        <w:t xml:space="preserve"> </w:t>
      </w:r>
      <w:r>
        <w:rPr>
          <w:rFonts w:ascii="Times New Roman" w:hAnsi="Times New Roman"/>
          <w:lang w:val="sr-Cyrl-BA"/>
        </w:rPr>
        <w:t>о</w:t>
      </w:r>
      <w:r w:rsidR="007E1AFC" w:rsidRPr="00295637">
        <w:rPr>
          <w:rFonts w:ascii="Times New Roman" w:hAnsi="Times New Roman"/>
          <w:lang w:val="sr-Cyrl-BA"/>
        </w:rPr>
        <w:t xml:space="preserve"> </w:t>
      </w:r>
      <w:r>
        <w:rPr>
          <w:rFonts w:ascii="Times New Roman" w:hAnsi="Times New Roman"/>
          <w:lang w:val="sr-Cyrl-BA"/>
        </w:rPr>
        <w:t>слободи</w:t>
      </w:r>
      <w:r w:rsidR="007E1AFC" w:rsidRPr="00295637">
        <w:rPr>
          <w:rFonts w:ascii="Times New Roman" w:hAnsi="Times New Roman"/>
          <w:lang w:val="sr-Cyrl-BA"/>
        </w:rPr>
        <w:t xml:space="preserve"> </w:t>
      </w:r>
      <w:r>
        <w:rPr>
          <w:rFonts w:ascii="Times New Roman" w:hAnsi="Times New Roman"/>
          <w:lang w:val="sr-Cyrl-BA"/>
        </w:rPr>
        <w:t>медија</w:t>
      </w:r>
      <w:r w:rsidR="00281480" w:rsidRPr="00295637">
        <w:rPr>
          <w:rFonts w:ascii="Times New Roman" w:hAnsi="Times New Roman"/>
          <w:lang w:val="bs-Latn-BA"/>
        </w:rPr>
        <w:t xml:space="preserve">; </w:t>
      </w:r>
      <w:r>
        <w:rPr>
          <w:rFonts w:ascii="Times New Roman" w:hAnsi="Times New Roman"/>
          <w:lang w:val="sr-Cyrl-BA"/>
        </w:rPr>
        <w:t>Израда</w:t>
      </w:r>
      <w:r w:rsidR="007E1AFC" w:rsidRPr="00295637">
        <w:rPr>
          <w:rFonts w:ascii="Times New Roman" w:hAnsi="Times New Roman"/>
          <w:lang w:val="sr-Cyrl-BA"/>
        </w:rPr>
        <w:t xml:space="preserve"> </w:t>
      </w:r>
      <w:r>
        <w:rPr>
          <w:rFonts w:ascii="Times New Roman" w:hAnsi="Times New Roman"/>
          <w:lang w:val="sr-Cyrl-BA"/>
        </w:rPr>
        <w:t>допуне</w:t>
      </w:r>
      <w:r w:rsidR="007E1AFC" w:rsidRPr="00295637">
        <w:rPr>
          <w:rFonts w:ascii="Times New Roman" w:hAnsi="Times New Roman"/>
          <w:lang w:val="sr-Cyrl-BA"/>
        </w:rPr>
        <w:t xml:space="preserve"> </w:t>
      </w:r>
      <w:r>
        <w:rPr>
          <w:rFonts w:ascii="Times New Roman" w:hAnsi="Times New Roman"/>
          <w:lang w:val="sr-Cyrl-BA"/>
        </w:rPr>
        <w:t>одговора</w:t>
      </w:r>
      <w:r w:rsidR="00AE754B">
        <w:rPr>
          <w:rFonts w:ascii="Times New Roman" w:hAnsi="Times New Roman"/>
          <w:lang w:val="sr-Cyrl-BA"/>
        </w:rPr>
        <w:t xml:space="preserve"> </w:t>
      </w:r>
      <w:r>
        <w:rPr>
          <w:rFonts w:ascii="Times New Roman" w:hAnsi="Times New Roman"/>
          <w:lang w:val="sr-Cyrl-BA"/>
        </w:rPr>
        <w:t>за</w:t>
      </w:r>
      <w:r w:rsidR="00AE754B">
        <w:rPr>
          <w:rFonts w:ascii="Times New Roman" w:hAnsi="Times New Roman"/>
          <w:lang w:val="sr-Cyrl-BA"/>
        </w:rPr>
        <w:t xml:space="preserve"> </w:t>
      </w:r>
      <w:r>
        <w:rPr>
          <w:rFonts w:ascii="Times New Roman" w:hAnsi="Times New Roman"/>
          <w:lang w:val="sr-Cyrl-BA"/>
        </w:rPr>
        <w:t>Информацију</w:t>
      </w:r>
      <w:r w:rsidR="00AE754B">
        <w:rPr>
          <w:rFonts w:ascii="Times New Roman" w:hAnsi="Times New Roman"/>
          <w:lang w:val="sr-Cyrl-BA"/>
        </w:rPr>
        <w:t xml:space="preserve"> </w:t>
      </w:r>
      <w:r>
        <w:rPr>
          <w:rFonts w:ascii="Times New Roman" w:hAnsi="Times New Roman"/>
          <w:lang w:val="sr-Cyrl-BA"/>
        </w:rPr>
        <w:t>у</w:t>
      </w:r>
      <w:r w:rsidR="00AE754B">
        <w:rPr>
          <w:rFonts w:ascii="Times New Roman" w:hAnsi="Times New Roman"/>
          <w:lang w:val="sr-Cyrl-BA"/>
        </w:rPr>
        <w:t xml:space="preserve"> </w:t>
      </w:r>
      <w:r>
        <w:rPr>
          <w:rFonts w:ascii="Times New Roman" w:hAnsi="Times New Roman"/>
          <w:lang w:val="sr-Cyrl-BA"/>
        </w:rPr>
        <w:t>вези</w:t>
      </w:r>
      <w:r w:rsidR="00AE754B">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7E1AFC" w:rsidRPr="00295637">
        <w:rPr>
          <w:rFonts w:ascii="Times New Roman" w:hAnsi="Times New Roman"/>
          <w:lang w:val="sr-Cyrl-BA"/>
        </w:rPr>
        <w:t xml:space="preserve"> </w:t>
      </w:r>
      <w:r>
        <w:rPr>
          <w:rFonts w:ascii="Times New Roman" w:hAnsi="Times New Roman"/>
          <w:lang w:val="sr-Cyrl-BA"/>
        </w:rPr>
        <w:t>неусаглашеним</w:t>
      </w:r>
      <w:r w:rsidR="007E1AFC" w:rsidRPr="00295637">
        <w:rPr>
          <w:rFonts w:ascii="Times New Roman" w:hAnsi="Times New Roman"/>
          <w:lang w:val="sr-Cyrl-BA"/>
        </w:rPr>
        <w:t xml:space="preserve"> </w:t>
      </w:r>
      <w:r>
        <w:rPr>
          <w:rFonts w:ascii="Times New Roman" w:hAnsi="Times New Roman"/>
          <w:lang w:val="sr-Cyrl-BA"/>
        </w:rPr>
        <w:t>члановима</w:t>
      </w:r>
      <w:r w:rsidR="007E1AFC" w:rsidRPr="00295637">
        <w:rPr>
          <w:rFonts w:ascii="Times New Roman" w:hAnsi="Times New Roman"/>
          <w:lang w:val="sr-Cyrl-BA"/>
        </w:rPr>
        <w:t xml:space="preserve"> </w:t>
      </w:r>
      <w:r>
        <w:rPr>
          <w:rFonts w:ascii="Times New Roman" w:hAnsi="Times New Roman"/>
          <w:lang w:val="sr-Cyrl-BA"/>
        </w:rPr>
        <w:t>Е</w:t>
      </w:r>
      <w:r>
        <w:rPr>
          <w:rFonts w:ascii="Times New Roman" w:hAnsi="Times New Roman"/>
          <w:lang w:val="hr-HR"/>
        </w:rPr>
        <w:t>в</w:t>
      </w:r>
      <w:r>
        <w:rPr>
          <w:rFonts w:ascii="Times New Roman" w:hAnsi="Times New Roman"/>
          <w:lang w:val="sr-Cyrl-BA"/>
        </w:rPr>
        <w:t>ропске</w:t>
      </w:r>
      <w:r w:rsidR="007E1AFC" w:rsidRPr="00295637">
        <w:rPr>
          <w:rFonts w:ascii="Times New Roman" w:hAnsi="Times New Roman"/>
          <w:lang w:val="sr-Cyrl-BA"/>
        </w:rPr>
        <w:t xml:space="preserve"> </w:t>
      </w:r>
      <w:r>
        <w:rPr>
          <w:rFonts w:ascii="Times New Roman" w:hAnsi="Times New Roman"/>
          <w:lang w:val="sr-Cyrl-BA"/>
        </w:rPr>
        <w:t>социјалне</w:t>
      </w:r>
      <w:r w:rsidR="007E1AFC" w:rsidRPr="00295637">
        <w:rPr>
          <w:rFonts w:ascii="Times New Roman" w:hAnsi="Times New Roman"/>
          <w:lang w:val="sr-Cyrl-BA"/>
        </w:rPr>
        <w:t xml:space="preserve"> </w:t>
      </w:r>
      <w:r>
        <w:rPr>
          <w:rFonts w:ascii="Times New Roman" w:hAnsi="Times New Roman"/>
          <w:lang w:val="sr-Cyrl-BA"/>
        </w:rPr>
        <w:t>повеље</w:t>
      </w:r>
      <w:r w:rsidR="007E1AFC" w:rsidRPr="00295637">
        <w:rPr>
          <w:rFonts w:ascii="Times New Roman" w:hAnsi="Times New Roman"/>
          <w:lang w:val="sr-Cyrl-BA"/>
        </w:rPr>
        <w:t xml:space="preserve"> (</w:t>
      </w:r>
      <w:r>
        <w:rPr>
          <w:rFonts w:ascii="Times New Roman" w:hAnsi="Times New Roman"/>
          <w:lang w:val="sr-Cyrl-BA"/>
        </w:rPr>
        <w:t>ревиди</w:t>
      </w:r>
      <w:r w:rsidR="007611A2">
        <w:rPr>
          <w:rFonts w:ascii="Times New Roman" w:hAnsi="Times New Roman"/>
          <w:lang w:val="sr-Cyrl-BA"/>
        </w:rPr>
        <w:t>с</w:t>
      </w:r>
      <w:r>
        <w:rPr>
          <w:rFonts w:ascii="Times New Roman" w:hAnsi="Times New Roman"/>
          <w:lang w:val="sr-Cyrl-BA"/>
        </w:rPr>
        <w:t>ане</w:t>
      </w:r>
      <w:r w:rsidR="007E1AFC" w:rsidRPr="00295637">
        <w:rPr>
          <w:rFonts w:ascii="Times New Roman" w:hAnsi="Times New Roman"/>
          <w:lang w:val="sr-Cyrl-BA"/>
        </w:rPr>
        <w:t xml:space="preserve">) – </w:t>
      </w:r>
      <w:r>
        <w:rPr>
          <w:rFonts w:ascii="Times New Roman" w:hAnsi="Times New Roman"/>
          <w:lang w:val="hr-HR"/>
        </w:rPr>
        <w:t>Група</w:t>
      </w:r>
      <w:r w:rsidR="007E1AFC" w:rsidRPr="00295637">
        <w:rPr>
          <w:rFonts w:ascii="Times New Roman" w:hAnsi="Times New Roman"/>
          <w:lang w:val="sr-Cyrl-BA"/>
        </w:rPr>
        <w:t xml:space="preserve"> </w:t>
      </w:r>
      <w:r w:rsidR="007611A2">
        <w:rPr>
          <w:rFonts w:ascii="Times New Roman" w:hAnsi="Times New Roman"/>
          <w:lang w:val="hr-HR"/>
        </w:rPr>
        <w:t>IV</w:t>
      </w:r>
      <w:r w:rsidR="007E1AFC" w:rsidRPr="00295637">
        <w:rPr>
          <w:rFonts w:ascii="Times New Roman" w:hAnsi="Times New Roman"/>
          <w:lang w:val="sr-Cyrl-BA"/>
        </w:rPr>
        <w:t xml:space="preserve"> „</w:t>
      </w:r>
      <w:r>
        <w:rPr>
          <w:rFonts w:ascii="Times New Roman" w:hAnsi="Times New Roman"/>
          <w:lang w:val="sr-Cyrl-BA"/>
        </w:rPr>
        <w:t>дјеца</w:t>
      </w:r>
      <w:r w:rsidR="007E1AFC" w:rsidRPr="00295637">
        <w:rPr>
          <w:rFonts w:ascii="Times New Roman" w:hAnsi="Times New Roman"/>
          <w:lang w:val="sr-Cyrl-BA"/>
        </w:rPr>
        <w:t xml:space="preserve">, </w:t>
      </w:r>
      <w:r>
        <w:rPr>
          <w:rFonts w:ascii="Times New Roman" w:hAnsi="Times New Roman"/>
          <w:lang w:val="hr-HR"/>
        </w:rPr>
        <w:t>породица</w:t>
      </w:r>
      <w:r w:rsidR="007E1AFC" w:rsidRPr="00295637">
        <w:rPr>
          <w:rFonts w:ascii="Times New Roman" w:hAnsi="Times New Roman"/>
          <w:lang w:val="sr-Cyrl-BA"/>
        </w:rPr>
        <w:t xml:space="preserve">, </w:t>
      </w:r>
      <w:r>
        <w:rPr>
          <w:rFonts w:ascii="Times New Roman" w:hAnsi="Times New Roman"/>
          <w:lang w:val="sr-Cyrl-BA"/>
        </w:rPr>
        <w:t>мигранти</w:t>
      </w:r>
      <w:r w:rsidR="007E1AFC" w:rsidRPr="00295637">
        <w:rPr>
          <w:rFonts w:ascii="Times New Roman" w:hAnsi="Times New Roman"/>
          <w:lang w:val="sr-Cyrl-BA"/>
        </w:rPr>
        <w:t>“</w:t>
      </w:r>
      <w:r w:rsidR="00281480" w:rsidRPr="00295637">
        <w:rPr>
          <w:rFonts w:ascii="Times New Roman" w:hAnsi="Times New Roman"/>
          <w:lang w:val="bs-Latn-BA"/>
        </w:rPr>
        <w:t xml:space="preserve">; </w:t>
      </w:r>
      <w:r>
        <w:rPr>
          <w:rFonts w:ascii="Times New Roman" w:hAnsi="Times New Roman"/>
          <w:lang w:val="sr-Cyrl-BA"/>
        </w:rPr>
        <w:t>Израда</w:t>
      </w:r>
      <w:r w:rsidR="007E1AFC" w:rsidRPr="00295637">
        <w:rPr>
          <w:rFonts w:ascii="Times New Roman" w:hAnsi="Times New Roman"/>
          <w:lang w:val="sr-Cyrl-BA"/>
        </w:rPr>
        <w:t xml:space="preserve"> </w:t>
      </w:r>
      <w:r>
        <w:rPr>
          <w:rFonts w:ascii="Times New Roman" w:hAnsi="Times New Roman"/>
          <w:lang w:val="sr-Cyrl-BA"/>
        </w:rPr>
        <w:t>одговора</w:t>
      </w:r>
      <w:r w:rsidR="007E1AFC" w:rsidRPr="00295637">
        <w:rPr>
          <w:rFonts w:ascii="Times New Roman" w:hAnsi="Times New Roman"/>
          <w:lang w:val="sr-Cyrl-BA"/>
        </w:rPr>
        <w:t xml:space="preserve"> </w:t>
      </w:r>
      <w:r>
        <w:rPr>
          <w:rFonts w:ascii="Times New Roman" w:hAnsi="Times New Roman"/>
          <w:lang w:val="sr-Cyrl-BA"/>
        </w:rPr>
        <w:t>на</w:t>
      </w:r>
      <w:r w:rsidR="007E1AFC" w:rsidRPr="00295637">
        <w:rPr>
          <w:rFonts w:ascii="Times New Roman" w:hAnsi="Times New Roman"/>
          <w:lang w:val="sr-Cyrl-BA"/>
        </w:rPr>
        <w:t xml:space="preserve"> </w:t>
      </w:r>
      <w:r>
        <w:rPr>
          <w:rFonts w:ascii="Times New Roman" w:hAnsi="Times New Roman"/>
          <w:lang w:val="sr-Cyrl-BA"/>
        </w:rPr>
        <w:t>Листу</w:t>
      </w:r>
      <w:r w:rsidR="007E1AFC" w:rsidRPr="00295637">
        <w:rPr>
          <w:rFonts w:ascii="Times New Roman" w:hAnsi="Times New Roman"/>
          <w:lang w:val="sr-Cyrl-BA"/>
        </w:rPr>
        <w:t xml:space="preserve"> </w:t>
      </w:r>
      <w:r>
        <w:rPr>
          <w:rFonts w:ascii="Times New Roman" w:hAnsi="Times New Roman"/>
          <w:lang w:val="sr-Cyrl-BA"/>
        </w:rPr>
        <w:t>питања</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w:t>
      </w:r>
      <w:r w:rsidR="007E1AFC" w:rsidRPr="00295637">
        <w:rPr>
          <w:rFonts w:ascii="Times New Roman" w:hAnsi="Times New Roman"/>
          <w:lang w:val="sr-Cyrl-BA"/>
        </w:rPr>
        <w:t xml:space="preserve"> </w:t>
      </w:r>
      <w:r>
        <w:rPr>
          <w:rFonts w:ascii="Times New Roman" w:hAnsi="Times New Roman"/>
          <w:lang w:val="sr-Cyrl-BA"/>
        </w:rPr>
        <w:t>по</w:t>
      </w:r>
      <w:r w:rsidR="007E1AFC" w:rsidRPr="00295637">
        <w:rPr>
          <w:rFonts w:ascii="Times New Roman" w:hAnsi="Times New Roman"/>
          <w:lang w:val="sr-Cyrl-BA"/>
        </w:rPr>
        <w:t xml:space="preserve"> </w:t>
      </w:r>
      <w:r>
        <w:rPr>
          <w:rFonts w:ascii="Times New Roman" w:hAnsi="Times New Roman"/>
          <w:lang w:val="sr-Cyrl-BA"/>
        </w:rPr>
        <w:t>Ревиди</w:t>
      </w:r>
      <w:r w:rsidR="007611A2">
        <w:rPr>
          <w:rFonts w:ascii="Times New Roman" w:hAnsi="Times New Roman"/>
          <w:lang w:val="sr-Cyrl-BA"/>
        </w:rPr>
        <w:t>с</w:t>
      </w:r>
      <w:r>
        <w:rPr>
          <w:rFonts w:ascii="Times New Roman" w:hAnsi="Times New Roman"/>
          <w:lang w:val="sr-Cyrl-BA"/>
        </w:rPr>
        <w:t>аној</w:t>
      </w:r>
      <w:r w:rsidR="007E1AFC" w:rsidRPr="00295637">
        <w:rPr>
          <w:rFonts w:ascii="Times New Roman" w:hAnsi="Times New Roman"/>
          <w:lang w:val="sr-Cyrl-BA"/>
        </w:rPr>
        <w:t xml:space="preserve"> </w:t>
      </w:r>
      <w:r>
        <w:rPr>
          <w:rFonts w:ascii="Times New Roman" w:hAnsi="Times New Roman"/>
          <w:lang w:val="sr-Cyrl-BA"/>
        </w:rPr>
        <w:t>е</w:t>
      </w:r>
      <w:r>
        <w:rPr>
          <w:rFonts w:ascii="Times New Roman" w:hAnsi="Times New Roman"/>
          <w:lang w:val="hr-HR"/>
        </w:rPr>
        <w:t>в</w:t>
      </w:r>
      <w:r>
        <w:rPr>
          <w:rFonts w:ascii="Times New Roman" w:hAnsi="Times New Roman"/>
          <w:lang w:val="sr-Cyrl-BA"/>
        </w:rPr>
        <w:t>ропској</w:t>
      </w:r>
      <w:r w:rsidR="007E1AFC" w:rsidRPr="00295637">
        <w:rPr>
          <w:rFonts w:ascii="Times New Roman" w:hAnsi="Times New Roman"/>
          <w:lang w:val="sr-Cyrl-BA"/>
        </w:rPr>
        <w:t xml:space="preserve"> </w:t>
      </w:r>
      <w:r>
        <w:rPr>
          <w:rFonts w:ascii="Times New Roman" w:hAnsi="Times New Roman"/>
          <w:lang w:val="sr-Cyrl-BA"/>
        </w:rPr>
        <w:t>социјалној</w:t>
      </w:r>
      <w:r w:rsidR="007E1AFC" w:rsidRPr="00295637">
        <w:rPr>
          <w:rFonts w:ascii="Times New Roman" w:hAnsi="Times New Roman"/>
          <w:lang w:val="sr-Cyrl-BA"/>
        </w:rPr>
        <w:t xml:space="preserve"> </w:t>
      </w:r>
      <w:r>
        <w:rPr>
          <w:rFonts w:ascii="Times New Roman" w:hAnsi="Times New Roman"/>
          <w:lang w:val="sr-Cyrl-BA"/>
        </w:rPr>
        <w:t>повељи</w:t>
      </w:r>
      <w:r w:rsidR="007E1AFC" w:rsidRPr="00295637">
        <w:rPr>
          <w:rFonts w:ascii="Times New Roman" w:hAnsi="Times New Roman"/>
          <w:lang w:val="sr-Cyrl-BA"/>
        </w:rPr>
        <w:t>.</w:t>
      </w:r>
    </w:p>
    <w:p w:rsidR="007E1AFC" w:rsidRPr="00295637" w:rsidRDefault="007E1AFC" w:rsidP="0086268D">
      <w:pPr>
        <w:pStyle w:val="ListParagraph"/>
        <w:ind w:left="0"/>
        <w:jc w:val="both"/>
        <w:rPr>
          <w:rFonts w:ascii="Times New Roman" w:hAnsi="Times New Roman"/>
          <w:lang w:val="sr-Cyrl-BA"/>
        </w:rPr>
      </w:pPr>
    </w:p>
    <w:p w:rsidR="003A2F08" w:rsidRDefault="00C6214E" w:rsidP="0086268D">
      <w:pPr>
        <w:pStyle w:val="ListParagraph"/>
        <w:ind w:left="0"/>
        <w:jc w:val="both"/>
        <w:rPr>
          <w:rFonts w:ascii="Times New Roman" w:hAnsi="Times New Roman"/>
          <w:lang w:val="sr-Cyrl-BA"/>
        </w:rPr>
      </w:pPr>
      <w:r>
        <w:rPr>
          <w:rFonts w:ascii="Times New Roman" w:hAnsi="Times New Roman"/>
          <w:lang w:val="sr-Latn-BA"/>
        </w:rPr>
        <w:t>Поред</w:t>
      </w:r>
      <w:r w:rsidR="00FA303E" w:rsidRPr="00295637">
        <w:rPr>
          <w:rFonts w:ascii="Times New Roman" w:hAnsi="Times New Roman"/>
          <w:lang w:val="sr-Latn-BA"/>
        </w:rPr>
        <w:t xml:space="preserve"> </w:t>
      </w:r>
      <w:r>
        <w:rPr>
          <w:rFonts w:ascii="Times New Roman" w:hAnsi="Times New Roman"/>
          <w:lang w:val="sr-Latn-BA"/>
        </w:rPr>
        <w:t>тога</w:t>
      </w:r>
      <w:r w:rsidR="00FA303E" w:rsidRPr="00295637">
        <w:rPr>
          <w:rFonts w:ascii="Times New Roman" w:hAnsi="Times New Roman"/>
          <w:lang w:val="sr-Latn-BA"/>
        </w:rPr>
        <w:t xml:space="preserve">, </w:t>
      </w:r>
      <w:r>
        <w:rPr>
          <w:rFonts w:ascii="Times New Roman" w:hAnsi="Times New Roman"/>
          <w:lang w:val="sr-Latn-BA"/>
        </w:rPr>
        <w:t>ЦЈРП</w:t>
      </w:r>
      <w:r w:rsidR="007E1AFC" w:rsidRPr="00295637">
        <w:rPr>
          <w:rFonts w:ascii="Times New Roman" w:hAnsi="Times New Roman"/>
          <w:lang w:val="sr-Latn-BA"/>
        </w:rPr>
        <w:t xml:space="preserve"> </w:t>
      </w:r>
      <w:r>
        <w:rPr>
          <w:rFonts w:ascii="Times New Roman" w:hAnsi="Times New Roman"/>
          <w:lang w:val="sr-Latn-BA"/>
        </w:rPr>
        <w:t>РС</w:t>
      </w:r>
      <w:r w:rsidR="007E1AFC" w:rsidRPr="00295637">
        <w:rPr>
          <w:rFonts w:ascii="Times New Roman" w:hAnsi="Times New Roman"/>
          <w:lang w:val="sr-Latn-BA"/>
        </w:rPr>
        <w:t xml:space="preserve"> </w:t>
      </w:r>
      <w:r>
        <w:rPr>
          <w:rFonts w:ascii="Times New Roman" w:hAnsi="Times New Roman"/>
          <w:lang w:val="sr-Latn-BA"/>
        </w:rPr>
        <w:t>је</w:t>
      </w:r>
      <w:r w:rsidR="007E1AFC" w:rsidRPr="00295637">
        <w:rPr>
          <w:rFonts w:ascii="Times New Roman" w:hAnsi="Times New Roman"/>
          <w:lang w:val="sr-Latn-BA"/>
        </w:rPr>
        <w:t xml:space="preserve"> </w:t>
      </w:r>
      <w:r>
        <w:rPr>
          <w:rFonts w:ascii="Times New Roman" w:hAnsi="Times New Roman"/>
          <w:lang w:val="sr-Latn-BA"/>
        </w:rPr>
        <w:t>учествовао</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процесу</w:t>
      </w:r>
      <w:r w:rsidR="007E1AFC" w:rsidRPr="00295637">
        <w:rPr>
          <w:rFonts w:ascii="Times New Roman" w:hAnsi="Times New Roman"/>
          <w:lang w:val="sr-Cyrl-BA"/>
        </w:rPr>
        <w:t xml:space="preserve"> </w:t>
      </w:r>
      <w:r>
        <w:rPr>
          <w:rFonts w:ascii="Times New Roman" w:hAnsi="Times New Roman"/>
          <w:lang w:val="sr-Cyrl-BA"/>
        </w:rPr>
        <w:t>ЕУ</w:t>
      </w:r>
      <w:r w:rsidR="007E1AFC" w:rsidRPr="00295637">
        <w:rPr>
          <w:rFonts w:ascii="Times New Roman" w:hAnsi="Times New Roman"/>
          <w:lang w:val="sr-Cyrl-BA"/>
        </w:rPr>
        <w:t xml:space="preserve"> </w:t>
      </w:r>
      <w:r>
        <w:rPr>
          <w:rFonts w:ascii="Times New Roman" w:hAnsi="Times New Roman"/>
          <w:lang w:val="sr-Cyrl-BA"/>
        </w:rPr>
        <w:t>интеграција</w:t>
      </w:r>
      <w:r w:rsidR="00FA303E" w:rsidRPr="00295637">
        <w:rPr>
          <w:rFonts w:ascii="Times New Roman" w:hAnsi="Times New Roman"/>
          <w:lang w:val="sr-Cyrl-BA"/>
        </w:rPr>
        <w:t xml:space="preserve"> </w:t>
      </w:r>
      <w:r>
        <w:rPr>
          <w:rFonts w:ascii="Times New Roman" w:hAnsi="Times New Roman"/>
          <w:lang w:val="sr-Cyrl-BA"/>
        </w:rPr>
        <w:t>кроз</w:t>
      </w:r>
      <w:r w:rsidR="00FA303E" w:rsidRPr="00295637">
        <w:rPr>
          <w:rFonts w:ascii="Times New Roman" w:hAnsi="Times New Roman"/>
          <w:lang w:val="sr-Cyrl-BA"/>
        </w:rPr>
        <w:t xml:space="preserve"> </w:t>
      </w:r>
      <w:r>
        <w:rPr>
          <w:rFonts w:ascii="Times New Roman" w:hAnsi="Times New Roman"/>
          <w:lang w:val="bs-Latn-BA"/>
        </w:rPr>
        <w:t>учешће</w:t>
      </w:r>
      <w:r w:rsidR="007E1AFC" w:rsidRPr="00295637">
        <w:rPr>
          <w:rFonts w:ascii="Times New Roman" w:hAnsi="Times New Roman"/>
          <w:lang w:val="sr-Cyrl-BA"/>
        </w:rPr>
        <w:t xml:space="preserve"> </w:t>
      </w:r>
      <w:r>
        <w:rPr>
          <w:rFonts w:ascii="Times New Roman" w:hAnsi="Times New Roman"/>
          <w:lang w:val="sr-Cyrl-BA"/>
        </w:rPr>
        <w:t>припрем</w:t>
      </w:r>
      <w:r>
        <w:rPr>
          <w:rFonts w:ascii="Times New Roman" w:hAnsi="Times New Roman"/>
          <w:lang w:val="hr-HR"/>
        </w:rPr>
        <w:t>а</w:t>
      </w:r>
      <w:r w:rsidR="00FB1545">
        <w:rPr>
          <w:rFonts w:ascii="Times New Roman" w:hAnsi="Times New Roman"/>
          <w:lang w:val="sr-Cyrl-BA"/>
        </w:rPr>
        <w:t xml:space="preserve"> </w:t>
      </w:r>
      <w:r>
        <w:rPr>
          <w:rFonts w:ascii="Times New Roman" w:hAnsi="Times New Roman"/>
          <w:lang w:val="sr-Cyrl-BA"/>
        </w:rPr>
        <w:t>Прилога</w:t>
      </w:r>
      <w:r w:rsidR="00FB1545">
        <w:rPr>
          <w:rFonts w:ascii="Times New Roman" w:hAnsi="Times New Roman"/>
          <w:lang w:val="sr-Cyrl-BA"/>
        </w:rPr>
        <w:t xml:space="preserve"> </w:t>
      </w:r>
      <w:r>
        <w:rPr>
          <w:rFonts w:ascii="Times New Roman" w:hAnsi="Times New Roman"/>
          <w:lang w:val="sr-Cyrl-BA"/>
        </w:rPr>
        <w:t>институција</w:t>
      </w:r>
      <w:r w:rsidR="00FB1545">
        <w:rPr>
          <w:rFonts w:ascii="Times New Roman" w:hAnsi="Times New Roman"/>
          <w:lang w:val="sr-Cyrl-BA"/>
        </w:rPr>
        <w:t xml:space="preserve"> </w:t>
      </w:r>
      <w:r>
        <w:rPr>
          <w:rFonts w:ascii="Times New Roman" w:hAnsi="Times New Roman"/>
          <w:lang w:val="sr-Cyrl-BA"/>
        </w:rPr>
        <w:t>у</w:t>
      </w:r>
      <w:r w:rsidR="00FB1545">
        <w:rPr>
          <w:rFonts w:ascii="Times New Roman" w:hAnsi="Times New Roman"/>
          <w:lang w:val="sr-Cyrl-BA"/>
        </w:rPr>
        <w:t xml:space="preserve"> </w:t>
      </w:r>
      <w:r>
        <w:rPr>
          <w:rFonts w:ascii="Times New Roman" w:hAnsi="Times New Roman"/>
          <w:lang w:val="sr-Cyrl-BA"/>
        </w:rPr>
        <w:t>БиХ</w:t>
      </w:r>
      <w:r w:rsidR="007E1AFC" w:rsidRPr="00295637">
        <w:rPr>
          <w:rFonts w:ascii="Times New Roman" w:hAnsi="Times New Roman"/>
          <w:lang w:val="sr-Cyrl-BA"/>
        </w:rPr>
        <w:t xml:space="preserve"> (</w:t>
      </w:r>
      <w:r>
        <w:rPr>
          <w:rFonts w:ascii="Times New Roman" w:hAnsi="Times New Roman"/>
          <w:lang w:val="sr-Cyrl-BA"/>
        </w:rPr>
        <w:t>два</w:t>
      </w:r>
      <w:r w:rsidR="007E1AFC" w:rsidRPr="00295637">
        <w:rPr>
          <w:rFonts w:ascii="Times New Roman" w:hAnsi="Times New Roman"/>
          <w:lang w:val="sr-Cyrl-BA"/>
        </w:rPr>
        <w:t xml:space="preserve"> </w:t>
      </w:r>
      <w:r>
        <w:rPr>
          <w:rFonts w:ascii="Times New Roman" w:hAnsi="Times New Roman"/>
          <w:lang w:val="sr-Cyrl-BA"/>
        </w:rPr>
        <w:t>полугодишња</w:t>
      </w:r>
      <w:r w:rsidR="007E1AFC"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таја</w:t>
      </w:r>
      <w:r w:rsidR="007E1AFC" w:rsidRPr="00295637">
        <w:rPr>
          <w:rFonts w:ascii="Times New Roman" w:hAnsi="Times New Roman"/>
          <w:lang w:val="sr-Cyrl-BA"/>
        </w:rPr>
        <w:t>)</w:t>
      </w:r>
      <w:r w:rsidR="00FA303E" w:rsidRPr="00295637">
        <w:rPr>
          <w:rFonts w:ascii="Times New Roman" w:hAnsi="Times New Roman"/>
          <w:lang w:val="sr-Cyrl-BA"/>
        </w:rPr>
        <w:t xml:space="preserve">, </w:t>
      </w:r>
      <w:r>
        <w:rPr>
          <w:rFonts w:ascii="Times New Roman" w:hAnsi="Times New Roman"/>
          <w:lang w:val="bs-Latn-BA"/>
        </w:rPr>
        <w:t>учешће</w:t>
      </w:r>
      <w:r w:rsidR="007E1AFC" w:rsidRPr="00295637">
        <w:rPr>
          <w:rFonts w:ascii="Times New Roman" w:hAnsi="Times New Roman"/>
          <w:lang w:val="sr-Cyrl-BA"/>
        </w:rPr>
        <w:t xml:space="preserve"> </w:t>
      </w:r>
      <w:r>
        <w:rPr>
          <w:rFonts w:ascii="Times New Roman" w:hAnsi="Times New Roman"/>
          <w:lang w:val="sr-Cyrl-BA"/>
        </w:rPr>
        <w:t>на</w:t>
      </w:r>
      <w:r w:rsidR="007E1AFC" w:rsidRPr="00295637">
        <w:rPr>
          <w:rFonts w:ascii="Times New Roman" w:hAnsi="Times New Roman"/>
          <w:lang w:val="sr-Cyrl-BA"/>
        </w:rPr>
        <w:t xml:space="preserve"> </w:t>
      </w:r>
      <w:r>
        <w:rPr>
          <w:rFonts w:ascii="Times New Roman" w:hAnsi="Times New Roman"/>
          <w:lang w:val="sr-Cyrl-BA"/>
        </w:rPr>
        <w:t>састанцима</w:t>
      </w:r>
      <w:r w:rsidR="007E1AFC" w:rsidRPr="00295637">
        <w:rPr>
          <w:rFonts w:ascii="Times New Roman" w:hAnsi="Times New Roman"/>
          <w:lang w:val="sr-Cyrl-BA"/>
        </w:rPr>
        <w:t xml:space="preserve"> </w:t>
      </w:r>
      <w:r>
        <w:rPr>
          <w:rFonts w:ascii="Times New Roman" w:hAnsi="Times New Roman"/>
          <w:lang w:val="sr-Cyrl-BA"/>
        </w:rPr>
        <w:t>одбора</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пододбора</w:t>
      </w:r>
      <w:r w:rsidR="007E1AFC" w:rsidRPr="00295637">
        <w:rPr>
          <w:rFonts w:ascii="Times New Roman" w:hAnsi="Times New Roman"/>
          <w:lang w:val="sr-Cyrl-BA"/>
        </w:rPr>
        <w:t xml:space="preserve">, </w:t>
      </w:r>
      <w:r>
        <w:rPr>
          <w:rFonts w:ascii="Times New Roman" w:hAnsi="Times New Roman"/>
          <w:lang w:val="sr-Cyrl-BA"/>
        </w:rPr>
        <w:t>укључујући</w:t>
      </w:r>
      <w:r w:rsidR="007E1AFC" w:rsidRPr="00295637">
        <w:rPr>
          <w:rFonts w:ascii="Times New Roman" w:hAnsi="Times New Roman"/>
          <w:lang w:val="sr-Cyrl-BA"/>
        </w:rPr>
        <w:t xml:space="preserve"> </w:t>
      </w:r>
      <w:r>
        <w:rPr>
          <w:rFonts w:ascii="Times New Roman" w:hAnsi="Times New Roman"/>
          <w:lang w:val="sr-Cyrl-BA"/>
        </w:rPr>
        <w:t>припрему</w:t>
      </w:r>
      <w:r w:rsidR="007E1AFC" w:rsidRPr="00295637">
        <w:rPr>
          <w:rFonts w:ascii="Times New Roman" w:hAnsi="Times New Roman"/>
          <w:lang w:val="sr-Cyrl-BA"/>
        </w:rPr>
        <w:t xml:space="preserve"> </w:t>
      </w:r>
      <w:r>
        <w:rPr>
          <w:rFonts w:ascii="Times New Roman" w:hAnsi="Times New Roman"/>
          <w:lang w:val="sr-Cyrl-BA"/>
        </w:rPr>
        <w:t>докумената</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дискусију</w:t>
      </w:r>
      <w:r w:rsidR="007E1AFC" w:rsidRPr="00295637">
        <w:rPr>
          <w:rFonts w:ascii="Times New Roman" w:hAnsi="Times New Roman"/>
          <w:lang w:val="sr-Cyrl-BA"/>
        </w:rPr>
        <w:t xml:space="preserve"> (3): </w:t>
      </w:r>
      <w:r>
        <w:rPr>
          <w:rFonts w:ascii="Times New Roman" w:hAnsi="Times New Roman"/>
          <w:lang w:val="sr-Cyrl-BA"/>
        </w:rPr>
        <w:t>Одбор</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стабилизацију</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придруживање</w:t>
      </w:r>
      <w:r w:rsidR="007E1AFC" w:rsidRPr="00295637">
        <w:rPr>
          <w:rFonts w:ascii="Times New Roman" w:hAnsi="Times New Roman"/>
          <w:lang w:val="sr-Cyrl-BA"/>
        </w:rPr>
        <w:t xml:space="preserve">; </w:t>
      </w:r>
      <w:r>
        <w:rPr>
          <w:rFonts w:ascii="Times New Roman" w:hAnsi="Times New Roman"/>
          <w:lang w:val="sr-Cyrl-BA"/>
        </w:rPr>
        <w:t>Пододбор</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правду</w:t>
      </w:r>
      <w:r w:rsidR="007E1AFC" w:rsidRPr="00295637">
        <w:rPr>
          <w:rFonts w:ascii="Times New Roman" w:hAnsi="Times New Roman"/>
          <w:lang w:val="sr-Cyrl-BA"/>
        </w:rPr>
        <w:t xml:space="preserve">, </w:t>
      </w:r>
      <w:r>
        <w:rPr>
          <w:rFonts w:ascii="Times New Roman" w:hAnsi="Times New Roman"/>
          <w:lang w:val="sr-Cyrl-BA"/>
        </w:rPr>
        <w:t>слободу</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sidR="007611A2">
        <w:rPr>
          <w:rFonts w:ascii="Times New Roman" w:hAnsi="Times New Roman"/>
          <w:lang w:val="sr-Cyrl-BA"/>
        </w:rPr>
        <w:t>безбједност</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Пододбор</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иновације</w:t>
      </w:r>
      <w:r w:rsidR="007E1AFC" w:rsidRPr="00295637">
        <w:rPr>
          <w:rFonts w:ascii="Times New Roman" w:hAnsi="Times New Roman"/>
          <w:lang w:val="sr-Cyrl-BA"/>
        </w:rPr>
        <w:t xml:space="preserve">, </w:t>
      </w:r>
      <w:r>
        <w:rPr>
          <w:rFonts w:ascii="Times New Roman" w:hAnsi="Times New Roman"/>
          <w:lang w:val="sr-Cyrl-BA"/>
        </w:rPr>
        <w:t>информаци</w:t>
      </w:r>
      <w:r w:rsidR="007611A2">
        <w:rPr>
          <w:rFonts w:ascii="Times New Roman" w:hAnsi="Times New Roman"/>
          <w:lang w:val="sr-Cyrl-BA"/>
        </w:rPr>
        <w:t>оно</w:t>
      </w:r>
      <w:r w:rsidR="007E1AFC" w:rsidRPr="00295637">
        <w:rPr>
          <w:rFonts w:ascii="Times New Roman" w:hAnsi="Times New Roman"/>
          <w:lang w:val="sr-Cyrl-BA"/>
        </w:rPr>
        <w:t xml:space="preserve"> </w:t>
      </w:r>
      <w:r>
        <w:rPr>
          <w:rFonts w:ascii="Times New Roman" w:hAnsi="Times New Roman"/>
          <w:lang w:val="sr-Cyrl-BA"/>
        </w:rPr>
        <w:t>друштво</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социјалну</w:t>
      </w:r>
      <w:r w:rsidR="007E1AFC" w:rsidRPr="00295637">
        <w:rPr>
          <w:rFonts w:ascii="Times New Roman" w:hAnsi="Times New Roman"/>
          <w:lang w:val="sr-Cyrl-BA"/>
        </w:rPr>
        <w:t xml:space="preserve"> </w:t>
      </w:r>
      <w:r>
        <w:rPr>
          <w:rFonts w:ascii="Times New Roman" w:hAnsi="Times New Roman"/>
          <w:lang w:val="sr-Cyrl-BA"/>
        </w:rPr>
        <w:t>политику</w:t>
      </w:r>
      <w:r w:rsidR="007E1AFC" w:rsidRPr="00295637">
        <w:rPr>
          <w:rFonts w:ascii="Times New Roman" w:hAnsi="Times New Roman"/>
          <w:lang w:val="sr-Cyrl-BA"/>
        </w:rPr>
        <w:t>;</w:t>
      </w:r>
      <w:r w:rsidR="00FA303E" w:rsidRPr="00295637">
        <w:rPr>
          <w:rFonts w:ascii="Times New Roman" w:hAnsi="Times New Roman"/>
          <w:lang w:val="bs-Latn-BA"/>
        </w:rPr>
        <w:t xml:space="preserve"> </w:t>
      </w:r>
      <w:r>
        <w:rPr>
          <w:rFonts w:ascii="Times New Roman" w:hAnsi="Times New Roman"/>
          <w:lang w:val="bs-Latn-BA"/>
        </w:rPr>
        <w:t>у</w:t>
      </w:r>
      <w:r>
        <w:rPr>
          <w:rFonts w:ascii="Times New Roman" w:hAnsi="Times New Roman"/>
          <w:lang w:val="hr-HR"/>
        </w:rPr>
        <w:t>чествовање</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процесу</w:t>
      </w:r>
      <w:r w:rsidR="007E1AFC" w:rsidRPr="00295637">
        <w:rPr>
          <w:rFonts w:ascii="Times New Roman" w:hAnsi="Times New Roman"/>
          <w:lang w:val="sr-Cyrl-BA"/>
        </w:rPr>
        <w:t xml:space="preserve"> </w:t>
      </w:r>
      <w:r>
        <w:rPr>
          <w:rFonts w:ascii="Times New Roman" w:hAnsi="Times New Roman"/>
          <w:lang w:val="sr-Cyrl-BA"/>
        </w:rPr>
        <w:t>реализације</w:t>
      </w:r>
      <w:r w:rsidR="007E1AFC" w:rsidRPr="00295637">
        <w:rPr>
          <w:rFonts w:ascii="Times New Roman" w:hAnsi="Times New Roman"/>
          <w:lang w:val="sr-Cyrl-BA"/>
        </w:rPr>
        <w:t xml:space="preserve"> </w:t>
      </w:r>
      <w:r>
        <w:rPr>
          <w:rFonts w:ascii="Times New Roman" w:hAnsi="Times New Roman"/>
          <w:lang w:val="sr-Cyrl-BA"/>
        </w:rPr>
        <w:t>финан</w:t>
      </w:r>
      <w:r>
        <w:rPr>
          <w:rFonts w:ascii="Times New Roman" w:hAnsi="Times New Roman"/>
          <w:lang w:val="hr-HR"/>
        </w:rPr>
        <w:t>с</w:t>
      </w:r>
      <w:r>
        <w:rPr>
          <w:rFonts w:ascii="Times New Roman" w:hAnsi="Times New Roman"/>
          <w:lang w:val="sr-Cyrl-BA"/>
        </w:rPr>
        <w:t>ијских</w:t>
      </w:r>
      <w:r w:rsidR="007E1AFC" w:rsidRPr="00295637">
        <w:rPr>
          <w:rFonts w:ascii="Times New Roman" w:hAnsi="Times New Roman"/>
          <w:lang w:val="sr-Cyrl-BA"/>
        </w:rPr>
        <w:t xml:space="preserve"> </w:t>
      </w:r>
      <w:r>
        <w:rPr>
          <w:rFonts w:ascii="Times New Roman" w:hAnsi="Times New Roman"/>
          <w:lang w:val="sr-Cyrl-BA"/>
        </w:rPr>
        <w:t>инструмената</w:t>
      </w:r>
      <w:r w:rsidR="007E1AFC" w:rsidRPr="00295637">
        <w:rPr>
          <w:rFonts w:ascii="Times New Roman" w:hAnsi="Times New Roman"/>
          <w:lang w:val="sr-Cyrl-BA"/>
        </w:rPr>
        <w:t xml:space="preserve"> </w:t>
      </w:r>
      <w:r>
        <w:rPr>
          <w:rFonts w:ascii="Times New Roman" w:hAnsi="Times New Roman"/>
          <w:lang w:val="sr-Cyrl-BA"/>
        </w:rPr>
        <w:t>ЕУ</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hr-HR"/>
        </w:rPr>
        <w:t>период</w:t>
      </w:r>
      <w:r w:rsidR="007E1AFC" w:rsidRPr="00295637">
        <w:rPr>
          <w:rFonts w:ascii="Times New Roman" w:hAnsi="Times New Roman"/>
          <w:lang w:val="sr-Cyrl-BA"/>
        </w:rPr>
        <w:t xml:space="preserve"> 2021-2027</w:t>
      </w:r>
      <w:r w:rsidR="00AE754B">
        <w:rPr>
          <w:rFonts w:ascii="Times New Roman" w:hAnsi="Times New Roman"/>
          <w:lang w:val="hr-HR"/>
        </w:rPr>
        <w:t xml:space="preserve">. </w:t>
      </w:r>
      <w:r>
        <w:rPr>
          <w:rFonts w:ascii="Times New Roman" w:hAnsi="Times New Roman"/>
          <w:lang w:val="hr-HR"/>
        </w:rPr>
        <w:t>година</w:t>
      </w:r>
      <w:r w:rsidR="00FA303E" w:rsidRPr="00295637">
        <w:rPr>
          <w:rFonts w:ascii="Times New Roman" w:hAnsi="Times New Roman"/>
          <w:lang w:val="bs-Latn-BA"/>
        </w:rPr>
        <w:t xml:space="preserve"> </w:t>
      </w:r>
      <w:r>
        <w:rPr>
          <w:rFonts w:ascii="Times New Roman" w:hAnsi="Times New Roman"/>
          <w:lang w:val="bs-Latn-BA"/>
        </w:rPr>
        <w:t>као</w:t>
      </w:r>
      <w:r w:rsidR="00FA303E" w:rsidRPr="00295637">
        <w:rPr>
          <w:rFonts w:ascii="Times New Roman" w:hAnsi="Times New Roman"/>
          <w:lang w:val="bs-Latn-BA"/>
        </w:rPr>
        <w:t xml:space="preserve"> </w:t>
      </w:r>
      <w:r>
        <w:rPr>
          <w:rFonts w:ascii="Times New Roman" w:hAnsi="Times New Roman"/>
          <w:lang w:val="bs-Latn-BA"/>
        </w:rPr>
        <w:t>и</w:t>
      </w:r>
      <w:r w:rsidR="00FA303E" w:rsidRPr="00295637">
        <w:rPr>
          <w:rFonts w:ascii="Times New Roman" w:hAnsi="Times New Roman"/>
          <w:lang w:val="bs-Latn-BA"/>
        </w:rPr>
        <w:t xml:space="preserve"> </w:t>
      </w:r>
      <w:r>
        <w:rPr>
          <w:rFonts w:ascii="Times New Roman" w:hAnsi="Times New Roman"/>
          <w:lang w:val="bs-Latn-BA"/>
        </w:rPr>
        <w:t>учешће</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процесима</w:t>
      </w:r>
      <w:r w:rsidR="007E1AFC" w:rsidRPr="00295637">
        <w:rPr>
          <w:rFonts w:ascii="Times New Roman" w:hAnsi="Times New Roman"/>
          <w:lang w:val="sr-Cyrl-BA"/>
        </w:rPr>
        <w:t xml:space="preserve"> </w:t>
      </w:r>
      <w:r>
        <w:rPr>
          <w:rFonts w:ascii="Times New Roman" w:hAnsi="Times New Roman"/>
          <w:lang w:val="sr-Cyrl-BA"/>
        </w:rPr>
        <w:t>ИПА</w:t>
      </w:r>
      <w:r w:rsidR="007E1AFC" w:rsidRPr="00295637">
        <w:rPr>
          <w:rFonts w:ascii="Times New Roman" w:hAnsi="Times New Roman"/>
          <w:lang w:val="sr-Cyrl-BA"/>
        </w:rPr>
        <w:t xml:space="preserve"> </w:t>
      </w:r>
      <w:r>
        <w:rPr>
          <w:rFonts w:ascii="Times New Roman" w:hAnsi="Times New Roman"/>
          <w:lang w:val="sr-Cyrl-BA"/>
        </w:rPr>
        <w:t>програмирања</w:t>
      </w:r>
      <w:r w:rsidR="007E1AFC" w:rsidRPr="00295637">
        <w:rPr>
          <w:rFonts w:ascii="Times New Roman" w:hAnsi="Times New Roman"/>
          <w:lang w:val="sr-Cyrl-BA"/>
        </w:rPr>
        <w:t xml:space="preserve"> 2025-2027</w:t>
      </w:r>
      <w:r w:rsidR="00AE754B">
        <w:rPr>
          <w:rFonts w:ascii="Times New Roman" w:hAnsi="Times New Roman"/>
          <w:lang w:val="hr-HR"/>
        </w:rPr>
        <w:t>.</w:t>
      </w:r>
      <w:r w:rsidR="00050016">
        <w:rPr>
          <w:rFonts w:ascii="Times New Roman" w:hAnsi="Times New Roman"/>
          <w:lang w:val="sr-Cyrl-BA"/>
        </w:rPr>
        <w:t xml:space="preserve"> –</w:t>
      </w:r>
      <w:r w:rsidR="007E1AFC" w:rsidRPr="00295637">
        <w:rPr>
          <w:rFonts w:ascii="Times New Roman" w:hAnsi="Times New Roman"/>
          <w:lang w:val="sr-Cyrl-BA"/>
        </w:rPr>
        <w:t xml:space="preserve"> </w:t>
      </w:r>
      <w:r>
        <w:rPr>
          <w:rFonts w:ascii="Times New Roman" w:hAnsi="Times New Roman"/>
          <w:lang w:val="sr-Cyrl-BA"/>
        </w:rPr>
        <w:t>изјашњења</w:t>
      </w:r>
      <w:r w:rsidR="007E1AFC" w:rsidRPr="00295637">
        <w:rPr>
          <w:rFonts w:ascii="Times New Roman" w:hAnsi="Times New Roman"/>
          <w:lang w:val="sr-Cyrl-BA"/>
        </w:rPr>
        <w:t xml:space="preserve"> </w:t>
      </w:r>
      <w:r>
        <w:rPr>
          <w:rFonts w:ascii="Times New Roman" w:hAnsi="Times New Roman"/>
          <w:lang w:val="sr-Cyrl-BA"/>
        </w:rPr>
        <w:t>на</w:t>
      </w:r>
      <w:r w:rsidR="007E1AFC"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оне</w:t>
      </w:r>
      <w:r w:rsidR="007E1AFC" w:rsidRPr="00295637">
        <w:rPr>
          <w:rFonts w:ascii="Times New Roman" w:hAnsi="Times New Roman"/>
          <w:lang w:val="sr-Cyrl-BA"/>
        </w:rPr>
        <w:t xml:space="preserve"> </w:t>
      </w:r>
      <w:r>
        <w:rPr>
          <w:rFonts w:ascii="Times New Roman" w:hAnsi="Times New Roman"/>
          <w:lang w:val="sr-Cyrl-BA"/>
        </w:rPr>
        <w:t>документе</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оне</w:t>
      </w:r>
      <w:r w:rsidR="007E1AFC" w:rsidRPr="00295637">
        <w:rPr>
          <w:rFonts w:ascii="Times New Roman" w:hAnsi="Times New Roman"/>
          <w:lang w:val="sr-Cyrl-BA"/>
        </w:rPr>
        <w:t xml:space="preserve"> </w:t>
      </w:r>
      <w:r>
        <w:rPr>
          <w:rFonts w:ascii="Times New Roman" w:hAnsi="Times New Roman"/>
          <w:lang w:val="sr-Cyrl-BA"/>
        </w:rPr>
        <w:t>планове</w:t>
      </w:r>
      <w:r w:rsidR="007E1AFC" w:rsidRPr="00295637">
        <w:rPr>
          <w:rFonts w:ascii="Times New Roman" w:hAnsi="Times New Roman"/>
          <w:lang w:val="sr-Cyrl-BA"/>
        </w:rPr>
        <w:t xml:space="preserve">, </w:t>
      </w:r>
      <w:r>
        <w:rPr>
          <w:rFonts w:ascii="Times New Roman" w:hAnsi="Times New Roman"/>
          <w:lang w:val="hr-HR"/>
        </w:rPr>
        <w:t>учешће</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покретању</w:t>
      </w:r>
      <w:r w:rsidR="007E1AFC" w:rsidRPr="00295637">
        <w:rPr>
          <w:rFonts w:ascii="Times New Roman" w:hAnsi="Times New Roman"/>
          <w:lang w:val="sr-Cyrl-BA"/>
        </w:rPr>
        <w:t xml:space="preserve"> 2. </w:t>
      </w:r>
      <w:r>
        <w:rPr>
          <w:rFonts w:ascii="Times New Roman" w:hAnsi="Times New Roman"/>
          <w:lang w:val="sr-Cyrl-BA"/>
        </w:rPr>
        <w:t>фазе</w:t>
      </w:r>
      <w:r w:rsidR="004B2503">
        <w:rPr>
          <w:rFonts w:ascii="Times New Roman" w:hAnsi="Times New Roman"/>
          <w:lang w:val="sr-Cyrl-BA"/>
        </w:rPr>
        <w:t xml:space="preserve"> </w:t>
      </w:r>
      <w:r>
        <w:rPr>
          <w:rFonts w:ascii="Times New Roman" w:hAnsi="Times New Roman"/>
          <w:lang w:val="sr-Cyrl-BA"/>
        </w:rPr>
        <w:t>едукације</w:t>
      </w:r>
      <w:r w:rsidR="004B2503">
        <w:rPr>
          <w:rFonts w:ascii="Times New Roman" w:hAnsi="Times New Roman"/>
          <w:lang w:val="sr-Cyrl-BA"/>
        </w:rPr>
        <w:t xml:space="preserve"> </w:t>
      </w:r>
      <w:r>
        <w:rPr>
          <w:rFonts w:ascii="Times New Roman" w:hAnsi="Times New Roman"/>
          <w:lang w:val="sr-Cyrl-BA"/>
        </w:rPr>
        <w:t>и</w:t>
      </w:r>
      <w:r w:rsidR="004B2503">
        <w:rPr>
          <w:rFonts w:ascii="Times New Roman" w:hAnsi="Times New Roman"/>
          <w:lang w:val="sr-Cyrl-BA"/>
        </w:rPr>
        <w:t xml:space="preserve"> </w:t>
      </w:r>
      <w:r>
        <w:rPr>
          <w:rFonts w:ascii="Times New Roman" w:hAnsi="Times New Roman"/>
          <w:lang w:val="sr-Cyrl-BA"/>
        </w:rPr>
        <w:t>радионице</w:t>
      </w:r>
      <w:r w:rsidR="004B2503">
        <w:rPr>
          <w:rFonts w:ascii="Times New Roman" w:hAnsi="Times New Roman"/>
          <w:lang w:val="sr-Cyrl-BA"/>
        </w:rPr>
        <w:t xml:space="preserve"> </w:t>
      </w:r>
      <w:r>
        <w:rPr>
          <w:rFonts w:ascii="Times New Roman" w:hAnsi="Times New Roman"/>
          <w:lang w:val="sr-Cyrl-BA"/>
        </w:rPr>
        <w:t>за</w:t>
      </w:r>
      <w:r w:rsidR="004B2503">
        <w:rPr>
          <w:rFonts w:ascii="Times New Roman" w:hAnsi="Times New Roman"/>
          <w:lang w:val="sr-Cyrl-BA"/>
        </w:rPr>
        <w:t xml:space="preserve"> </w:t>
      </w:r>
      <w:r>
        <w:rPr>
          <w:rFonts w:ascii="Times New Roman" w:hAnsi="Times New Roman"/>
          <w:lang w:val="sr-Cyrl-BA"/>
        </w:rPr>
        <w:t>ИПА</w:t>
      </w:r>
      <w:r w:rsidR="007E1AFC" w:rsidRPr="00295637">
        <w:rPr>
          <w:rFonts w:ascii="Times New Roman" w:hAnsi="Times New Roman"/>
          <w:lang w:val="sr-Cyrl-BA"/>
        </w:rPr>
        <w:t xml:space="preserve"> </w:t>
      </w:r>
      <w:r>
        <w:rPr>
          <w:rFonts w:ascii="Times New Roman" w:hAnsi="Times New Roman"/>
          <w:lang w:val="sr-Cyrl-BA"/>
        </w:rPr>
        <w:t>програмирање</w:t>
      </w:r>
      <w:r w:rsidR="007E1AFC" w:rsidRPr="00295637">
        <w:rPr>
          <w:rFonts w:ascii="Times New Roman" w:hAnsi="Times New Roman"/>
          <w:lang w:val="sr-Cyrl-BA"/>
        </w:rPr>
        <w:t xml:space="preserve"> (3); </w:t>
      </w:r>
      <w:r>
        <w:rPr>
          <w:rFonts w:ascii="Times New Roman" w:hAnsi="Times New Roman"/>
          <w:lang w:val="hr-HR"/>
        </w:rPr>
        <w:t>учешће</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тавању</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ИПА</w:t>
      </w:r>
      <w:r w:rsidR="007E1AFC" w:rsidRPr="00295637">
        <w:rPr>
          <w:rFonts w:ascii="Times New Roman" w:hAnsi="Times New Roman"/>
          <w:lang w:val="sr-Cyrl-BA"/>
        </w:rPr>
        <w:t xml:space="preserve"> 3 (1 </w:t>
      </w:r>
      <w:r>
        <w:rPr>
          <w:rFonts w:ascii="Times New Roman" w:hAnsi="Times New Roman"/>
          <w:lang w:val="sr-Cyrl-BA"/>
        </w:rPr>
        <w:t>извјеш</w:t>
      </w:r>
      <w:r>
        <w:rPr>
          <w:rFonts w:ascii="Times New Roman" w:hAnsi="Times New Roman"/>
          <w:lang w:val="hr-HR"/>
        </w:rPr>
        <w:t>тај</w:t>
      </w:r>
      <w:r w:rsidR="007E1AFC" w:rsidRPr="00295637">
        <w:rPr>
          <w:rFonts w:ascii="Times New Roman" w:hAnsi="Times New Roman"/>
          <w:lang w:val="sr-Cyrl-BA"/>
        </w:rPr>
        <w:t>)</w:t>
      </w:r>
      <w:r w:rsidR="00FA303E" w:rsidRPr="00295637">
        <w:rPr>
          <w:rFonts w:ascii="Times New Roman" w:hAnsi="Times New Roman"/>
          <w:lang w:val="sr-Cyrl-BA"/>
        </w:rPr>
        <w:t xml:space="preserve">. </w:t>
      </w:r>
      <w:r>
        <w:rPr>
          <w:rFonts w:ascii="Times New Roman" w:hAnsi="Times New Roman"/>
          <w:lang w:val="bs-Latn-BA"/>
        </w:rPr>
        <w:t>Поред</w:t>
      </w:r>
      <w:r w:rsidR="00FA303E" w:rsidRPr="00295637">
        <w:rPr>
          <w:rFonts w:ascii="Times New Roman" w:hAnsi="Times New Roman"/>
          <w:lang w:val="bs-Latn-BA"/>
        </w:rPr>
        <w:t xml:space="preserve"> </w:t>
      </w:r>
      <w:r>
        <w:rPr>
          <w:rFonts w:ascii="Times New Roman" w:hAnsi="Times New Roman"/>
          <w:lang w:val="bs-Latn-BA"/>
        </w:rPr>
        <w:t>тога</w:t>
      </w:r>
      <w:r w:rsidR="00FA303E" w:rsidRPr="00295637">
        <w:rPr>
          <w:rFonts w:ascii="Times New Roman" w:hAnsi="Times New Roman"/>
          <w:lang w:val="bs-Latn-BA"/>
        </w:rPr>
        <w:t xml:space="preserve"> </w:t>
      </w:r>
      <w:r>
        <w:rPr>
          <w:rFonts w:ascii="Times New Roman" w:hAnsi="Times New Roman"/>
          <w:lang w:val="bs-Latn-BA"/>
        </w:rPr>
        <w:t>ЦЈРП</w:t>
      </w:r>
      <w:r w:rsidR="00FA303E" w:rsidRPr="00295637">
        <w:rPr>
          <w:rFonts w:ascii="Times New Roman" w:hAnsi="Times New Roman"/>
          <w:lang w:val="bs-Latn-BA"/>
        </w:rPr>
        <w:t xml:space="preserve"> </w:t>
      </w:r>
      <w:r>
        <w:rPr>
          <w:rFonts w:ascii="Times New Roman" w:hAnsi="Times New Roman"/>
          <w:lang w:val="bs-Latn-BA"/>
        </w:rPr>
        <w:t>РС</w:t>
      </w:r>
      <w:r w:rsidR="00FA303E" w:rsidRPr="00295637">
        <w:rPr>
          <w:rFonts w:ascii="Times New Roman" w:hAnsi="Times New Roman"/>
          <w:lang w:val="bs-Latn-BA"/>
        </w:rPr>
        <w:t xml:space="preserve"> </w:t>
      </w:r>
      <w:r>
        <w:rPr>
          <w:rFonts w:ascii="Times New Roman" w:hAnsi="Times New Roman"/>
          <w:lang w:val="bs-Latn-BA"/>
        </w:rPr>
        <w:t>је</w:t>
      </w:r>
      <w:r w:rsidR="00FA303E" w:rsidRPr="00295637">
        <w:rPr>
          <w:rFonts w:ascii="Times New Roman" w:hAnsi="Times New Roman"/>
          <w:lang w:val="bs-Latn-BA"/>
        </w:rPr>
        <w:t xml:space="preserve"> </w:t>
      </w:r>
      <w:r>
        <w:rPr>
          <w:rFonts w:ascii="Times New Roman" w:hAnsi="Times New Roman"/>
          <w:lang w:val="bs-Latn-BA"/>
        </w:rPr>
        <w:t>учествовао</w:t>
      </w:r>
      <w:r w:rsidR="00FA303E" w:rsidRPr="00295637">
        <w:rPr>
          <w:rFonts w:ascii="Times New Roman" w:hAnsi="Times New Roman"/>
          <w:lang w:val="bs-Latn-BA"/>
        </w:rPr>
        <w:t xml:space="preserve"> </w:t>
      </w:r>
      <w:r>
        <w:rPr>
          <w:rFonts w:ascii="Times New Roman" w:hAnsi="Times New Roman"/>
          <w:lang w:val="bs-Latn-BA"/>
        </w:rPr>
        <w:t>и</w:t>
      </w:r>
      <w:r w:rsidR="00FA303E" w:rsidRPr="00295637">
        <w:rPr>
          <w:rFonts w:ascii="Times New Roman" w:hAnsi="Times New Roman"/>
          <w:lang w:val="bs-Latn-BA"/>
        </w:rPr>
        <w:t xml:space="preserve"> </w:t>
      </w:r>
      <w:r>
        <w:rPr>
          <w:rFonts w:ascii="Times New Roman" w:hAnsi="Times New Roman"/>
          <w:lang w:val="bs-Latn-BA"/>
        </w:rPr>
        <w:t>у</w:t>
      </w:r>
      <w:r w:rsidR="00FA303E" w:rsidRPr="00295637">
        <w:rPr>
          <w:rFonts w:ascii="Times New Roman" w:hAnsi="Times New Roman"/>
          <w:lang w:val="bs-Latn-BA"/>
        </w:rPr>
        <w:t xml:space="preserve"> </w:t>
      </w:r>
      <w:r>
        <w:rPr>
          <w:rFonts w:ascii="Times New Roman" w:hAnsi="Times New Roman"/>
          <w:lang w:val="bs-Latn-BA"/>
        </w:rPr>
        <w:t>а</w:t>
      </w:r>
      <w:r>
        <w:rPr>
          <w:rFonts w:ascii="Times New Roman" w:hAnsi="Times New Roman"/>
          <w:lang w:val="sr-Cyrl-BA"/>
        </w:rPr>
        <w:t>журирањ</w:t>
      </w:r>
      <w:r>
        <w:rPr>
          <w:rFonts w:ascii="Times New Roman" w:hAnsi="Times New Roman"/>
          <w:lang w:val="bs-Latn-BA"/>
        </w:rPr>
        <w:t>у</w:t>
      </w:r>
      <w:r w:rsidR="007E1AFC" w:rsidRPr="00295637">
        <w:rPr>
          <w:rFonts w:ascii="Times New Roman" w:hAnsi="Times New Roman"/>
          <w:lang w:val="sr-Cyrl-BA"/>
        </w:rPr>
        <w:t xml:space="preserve"> </w:t>
      </w:r>
      <w:r>
        <w:rPr>
          <w:rFonts w:ascii="Times New Roman" w:hAnsi="Times New Roman"/>
          <w:lang w:val="sr-Cyrl-BA"/>
        </w:rPr>
        <w:t>ставова</w:t>
      </w:r>
      <w:r w:rsidR="007E1AFC" w:rsidRPr="00295637">
        <w:rPr>
          <w:rFonts w:ascii="Times New Roman" w:hAnsi="Times New Roman"/>
          <w:lang w:val="sr-Cyrl-BA"/>
        </w:rPr>
        <w:t xml:space="preserve"> </w:t>
      </w:r>
      <w:r>
        <w:rPr>
          <w:rFonts w:ascii="Times New Roman" w:hAnsi="Times New Roman"/>
          <w:lang w:val="sr-Cyrl-BA"/>
        </w:rPr>
        <w:t>о</w:t>
      </w:r>
      <w:r w:rsidR="007E1AFC" w:rsidRPr="00295637">
        <w:rPr>
          <w:rFonts w:ascii="Times New Roman" w:hAnsi="Times New Roman"/>
          <w:lang w:val="sr-Cyrl-BA"/>
        </w:rPr>
        <w:t xml:space="preserve"> </w:t>
      </w:r>
      <w:r>
        <w:rPr>
          <w:rFonts w:ascii="Times New Roman" w:hAnsi="Times New Roman"/>
          <w:lang w:val="sr-Cyrl-BA"/>
        </w:rPr>
        <w:t>испуњености</w:t>
      </w:r>
      <w:r w:rsidR="007E1AFC" w:rsidRPr="00295637">
        <w:rPr>
          <w:rFonts w:ascii="Times New Roman" w:hAnsi="Times New Roman"/>
          <w:lang w:val="sr-Cyrl-BA"/>
        </w:rPr>
        <w:t xml:space="preserve"> 14 </w:t>
      </w:r>
      <w:r>
        <w:rPr>
          <w:rFonts w:ascii="Times New Roman" w:hAnsi="Times New Roman"/>
          <w:lang w:val="sr-Cyrl-BA"/>
        </w:rPr>
        <w:t>приоритета</w:t>
      </w:r>
      <w:r w:rsidR="007E1AFC" w:rsidRPr="00295637">
        <w:rPr>
          <w:rFonts w:ascii="Times New Roman" w:hAnsi="Times New Roman"/>
          <w:lang w:val="sr-Cyrl-BA"/>
        </w:rPr>
        <w:t xml:space="preserve"> </w:t>
      </w:r>
      <w:r>
        <w:rPr>
          <w:rFonts w:ascii="Times New Roman" w:hAnsi="Times New Roman"/>
          <w:lang w:val="sr-Cyrl-BA"/>
        </w:rPr>
        <w:t>из</w:t>
      </w:r>
      <w:r w:rsidR="007E1AFC" w:rsidRPr="00295637">
        <w:rPr>
          <w:rFonts w:ascii="Times New Roman" w:hAnsi="Times New Roman"/>
          <w:lang w:val="sr-Cyrl-BA"/>
        </w:rPr>
        <w:t xml:space="preserve"> </w:t>
      </w:r>
      <w:r>
        <w:rPr>
          <w:rFonts w:ascii="Times New Roman" w:hAnsi="Times New Roman"/>
          <w:lang w:val="sr-Cyrl-BA"/>
        </w:rPr>
        <w:t>Мишљења</w:t>
      </w:r>
      <w:r w:rsidR="007E1AFC" w:rsidRPr="00295637">
        <w:rPr>
          <w:rFonts w:ascii="Times New Roman" w:hAnsi="Times New Roman"/>
          <w:lang w:val="sr-Cyrl-BA"/>
        </w:rPr>
        <w:t xml:space="preserve"> </w:t>
      </w:r>
      <w:r>
        <w:rPr>
          <w:rFonts w:ascii="Times New Roman" w:hAnsi="Times New Roman"/>
          <w:lang w:val="sr-Cyrl-BA"/>
        </w:rPr>
        <w:t>Е</w:t>
      </w:r>
      <w:r>
        <w:rPr>
          <w:rFonts w:ascii="Times New Roman" w:hAnsi="Times New Roman"/>
          <w:lang w:val="hr-HR"/>
        </w:rPr>
        <w:t>в</w:t>
      </w:r>
      <w:r>
        <w:rPr>
          <w:rFonts w:ascii="Times New Roman" w:hAnsi="Times New Roman"/>
          <w:lang w:val="sr-Cyrl-BA"/>
        </w:rPr>
        <w:t>ропске</w:t>
      </w:r>
      <w:r w:rsidR="007E1AFC" w:rsidRPr="00295637">
        <w:rPr>
          <w:rFonts w:ascii="Times New Roman" w:hAnsi="Times New Roman"/>
          <w:lang w:val="sr-Cyrl-BA"/>
        </w:rPr>
        <w:t xml:space="preserve"> </w:t>
      </w:r>
      <w:r w:rsidR="007611A2">
        <w:rPr>
          <w:rFonts w:ascii="Times New Roman" w:hAnsi="Times New Roman"/>
          <w:lang w:val="sr-Cyrl-BA"/>
        </w:rPr>
        <w:t>Комисије</w:t>
      </w:r>
      <w:r w:rsidR="007E1AFC" w:rsidRPr="00295637">
        <w:rPr>
          <w:rFonts w:ascii="Times New Roman" w:hAnsi="Times New Roman"/>
          <w:lang w:val="sr-Cyrl-BA"/>
        </w:rPr>
        <w:t xml:space="preserve"> </w:t>
      </w:r>
      <w:r>
        <w:rPr>
          <w:rFonts w:ascii="Times New Roman" w:hAnsi="Times New Roman"/>
          <w:lang w:val="sr-Cyrl-BA"/>
        </w:rPr>
        <w:t>о</w:t>
      </w:r>
      <w:r w:rsidR="007E1AFC" w:rsidRPr="00295637">
        <w:rPr>
          <w:rFonts w:ascii="Times New Roman" w:hAnsi="Times New Roman"/>
          <w:lang w:val="sr-Cyrl-BA"/>
        </w:rPr>
        <w:t xml:space="preserve"> </w:t>
      </w:r>
      <w:r>
        <w:rPr>
          <w:rFonts w:ascii="Times New Roman" w:hAnsi="Times New Roman"/>
          <w:lang w:val="sr-Cyrl-BA"/>
        </w:rPr>
        <w:t>захтјеву</w:t>
      </w:r>
      <w:r w:rsidR="007E1AFC" w:rsidRPr="00295637">
        <w:rPr>
          <w:rFonts w:ascii="Times New Roman" w:hAnsi="Times New Roman"/>
          <w:lang w:val="sr-Cyrl-BA"/>
        </w:rPr>
        <w:t xml:space="preserve"> </w:t>
      </w:r>
      <w:r>
        <w:rPr>
          <w:rFonts w:ascii="Times New Roman" w:hAnsi="Times New Roman"/>
          <w:lang w:val="sr-Cyrl-BA"/>
        </w:rPr>
        <w:t>БиХ</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чланство</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ЕУ</w:t>
      </w:r>
      <w:r w:rsidR="007E1AFC" w:rsidRPr="00295637">
        <w:rPr>
          <w:rFonts w:ascii="Times New Roman" w:hAnsi="Times New Roman"/>
          <w:lang w:val="sr-Cyrl-BA"/>
        </w:rPr>
        <w:t xml:space="preserve"> (</w:t>
      </w:r>
      <w:r>
        <w:rPr>
          <w:rFonts w:ascii="Times New Roman" w:hAnsi="Times New Roman"/>
          <w:lang w:val="sr-Cyrl-BA"/>
        </w:rPr>
        <w:t>став</w:t>
      </w:r>
      <w:r w:rsidR="007E1AFC" w:rsidRPr="00295637">
        <w:rPr>
          <w:rFonts w:ascii="Times New Roman" w:hAnsi="Times New Roman"/>
          <w:lang w:val="sr-Cyrl-BA"/>
        </w:rPr>
        <w:t xml:space="preserve"> </w:t>
      </w:r>
      <w:r>
        <w:rPr>
          <w:rFonts w:ascii="Times New Roman" w:hAnsi="Times New Roman"/>
          <w:lang w:val="sr-Cyrl-BA"/>
        </w:rPr>
        <w:t>на</w:t>
      </w:r>
      <w:r w:rsidR="007E1AFC" w:rsidRPr="00295637">
        <w:rPr>
          <w:rFonts w:ascii="Times New Roman" w:hAnsi="Times New Roman"/>
          <w:lang w:val="sr-Cyrl-BA"/>
        </w:rPr>
        <w:t xml:space="preserve"> </w:t>
      </w:r>
      <w:r>
        <w:rPr>
          <w:rFonts w:ascii="Times New Roman" w:hAnsi="Times New Roman"/>
          <w:lang w:val="sr-Cyrl-BA"/>
        </w:rPr>
        <w:t>приоритет</w:t>
      </w:r>
      <w:r w:rsidR="007E1AFC" w:rsidRPr="00295637">
        <w:rPr>
          <w:rFonts w:ascii="Times New Roman" w:hAnsi="Times New Roman"/>
          <w:lang w:val="sr-Cyrl-BA"/>
        </w:rPr>
        <w:t xml:space="preserve"> </w:t>
      </w:r>
      <w:r>
        <w:rPr>
          <w:rFonts w:ascii="Times New Roman" w:hAnsi="Times New Roman"/>
          <w:lang w:val="sr-Cyrl-BA"/>
        </w:rPr>
        <w:t>бр</w:t>
      </w:r>
      <w:r w:rsidR="007E1AFC" w:rsidRPr="00295637">
        <w:rPr>
          <w:rFonts w:ascii="Times New Roman" w:hAnsi="Times New Roman"/>
          <w:lang w:val="sr-Cyrl-BA"/>
        </w:rPr>
        <w:t>. 9)</w:t>
      </w:r>
      <w:r w:rsidR="0081369B" w:rsidRPr="00295637">
        <w:rPr>
          <w:rFonts w:ascii="Times New Roman" w:hAnsi="Times New Roman"/>
          <w:lang w:val="bs-Latn-BA"/>
        </w:rPr>
        <w:t xml:space="preserve">, </w:t>
      </w:r>
      <w:r>
        <w:rPr>
          <w:rFonts w:ascii="Times New Roman" w:hAnsi="Times New Roman"/>
          <w:lang w:val="bs-Latn-BA"/>
        </w:rPr>
        <w:t>п</w:t>
      </w:r>
      <w:r>
        <w:rPr>
          <w:rFonts w:ascii="Times New Roman" w:hAnsi="Times New Roman"/>
          <w:lang w:val="sr-Cyrl-BA"/>
        </w:rPr>
        <w:t>рипрем</w:t>
      </w:r>
      <w:r>
        <w:rPr>
          <w:rFonts w:ascii="Times New Roman" w:hAnsi="Times New Roman"/>
          <w:lang w:val="bs-Latn-BA"/>
        </w:rPr>
        <w:t>и</w:t>
      </w:r>
      <w:r w:rsidR="00AE754B">
        <w:rPr>
          <w:rFonts w:ascii="Times New Roman" w:hAnsi="Times New Roman"/>
          <w:lang w:val="sr-Cyrl-BA"/>
        </w:rPr>
        <w:t xml:space="preserve"> </w:t>
      </w:r>
      <w:r>
        <w:rPr>
          <w:rFonts w:ascii="Times New Roman" w:hAnsi="Times New Roman"/>
          <w:lang w:val="sr-Cyrl-BA"/>
        </w:rPr>
        <w:t>изјашњења</w:t>
      </w:r>
      <w:r w:rsidR="00AE754B">
        <w:rPr>
          <w:rFonts w:ascii="Times New Roman" w:hAnsi="Times New Roman"/>
          <w:lang w:val="sr-Cyrl-BA"/>
        </w:rPr>
        <w:t xml:space="preserve"> </w:t>
      </w:r>
      <w:r>
        <w:rPr>
          <w:rFonts w:ascii="Times New Roman" w:hAnsi="Times New Roman"/>
          <w:lang w:val="sr-Cyrl-BA"/>
        </w:rPr>
        <w:t>и</w:t>
      </w:r>
      <w:r w:rsidR="00AE754B">
        <w:rPr>
          <w:rFonts w:ascii="Times New Roman" w:hAnsi="Times New Roman"/>
          <w:lang w:val="sr-Cyrl-BA"/>
        </w:rPr>
        <w:t xml:space="preserve"> </w:t>
      </w:r>
      <w:r>
        <w:rPr>
          <w:rFonts w:ascii="Times New Roman" w:hAnsi="Times New Roman"/>
          <w:lang w:val="sr-Cyrl-BA"/>
        </w:rPr>
        <w:t>питања</w:t>
      </w:r>
      <w:r w:rsidR="00AE754B">
        <w:rPr>
          <w:rFonts w:ascii="Times New Roman" w:hAnsi="Times New Roman"/>
          <w:lang w:val="sr-Cyrl-BA"/>
        </w:rPr>
        <w:t xml:space="preserve"> </w:t>
      </w:r>
      <w:r>
        <w:rPr>
          <w:rFonts w:ascii="Times New Roman" w:hAnsi="Times New Roman"/>
          <w:lang w:val="sr-Cyrl-BA"/>
        </w:rPr>
        <w:t>у</w:t>
      </w:r>
      <w:r w:rsidR="00AE754B">
        <w:rPr>
          <w:rFonts w:ascii="Times New Roman" w:hAnsi="Times New Roman"/>
          <w:lang w:val="sr-Cyrl-BA"/>
        </w:rPr>
        <w:t xml:space="preserve"> </w:t>
      </w:r>
      <w:r>
        <w:rPr>
          <w:rFonts w:ascii="Times New Roman" w:hAnsi="Times New Roman"/>
          <w:lang w:val="sr-Cyrl-BA"/>
        </w:rPr>
        <w:t>вези</w:t>
      </w:r>
      <w:r w:rsidR="00AE754B">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7E1AFC" w:rsidRPr="00295637">
        <w:rPr>
          <w:rFonts w:ascii="Times New Roman" w:hAnsi="Times New Roman"/>
          <w:lang w:val="sr-Cyrl-BA"/>
        </w:rPr>
        <w:t xml:space="preserve"> </w:t>
      </w:r>
      <w:r>
        <w:rPr>
          <w:rFonts w:ascii="Times New Roman" w:hAnsi="Times New Roman"/>
          <w:lang w:val="sr-Cyrl-BA"/>
        </w:rPr>
        <w:t>правном</w:t>
      </w:r>
      <w:r w:rsidR="007E1AFC" w:rsidRPr="00295637">
        <w:rPr>
          <w:rFonts w:ascii="Times New Roman" w:hAnsi="Times New Roman"/>
          <w:lang w:val="sr-Cyrl-BA"/>
        </w:rPr>
        <w:t xml:space="preserve"> </w:t>
      </w:r>
      <w:r>
        <w:rPr>
          <w:rFonts w:ascii="Times New Roman" w:hAnsi="Times New Roman"/>
          <w:lang w:val="hr-HR"/>
        </w:rPr>
        <w:t>тековином</w:t>
      </w:r>
      <w:r w:rsidR="007E1AFC" w:rsidRPr="00295637">
        <w:rPr>
          <w:rFonts w:ascii="Times New Roman" w:hAnsi="Times New Roman"/>
          <w:lang w:val="sr-Cyrl-BA"/>
        </w:rPr>
        <w:t xml:space="preserve"> </w:t>
      </w:r>
      <w:r>
        <w:rPr>
          <w:rFonts w:ascii="Times New Roman" w:hAnsi="Times New Roman"/>
          <w:lang w:val="sr-Cyrl-BA"/>
        </w:rPr>
        <w:t>ЕУ</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експланаторни</w:t>
      </w:r>
      <w:r w:rsidR="007E1AFC" w:rsidRPr="00295637">
        <w:rPr>
          <w:rFonts w:ascii="Times New Roman" w:hAnsi="Times New Roman"/>
          <w:lang w:val="sr-Cyrl-BA"/>
        </w:rPr>
        <w:t xml:space="preserve"> </w:t>
      </w:r>
      <w:r>
        <w:rPr>
          <w:rFonts w:ascii="Times New Roman" w:hAnsi="Times New Roman"/>
          <w:lang w:val="sr-Cyrl-BA"/>
        </w:rPr>
        <w:t>скрининг</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оквиру</w:t>
      </w:r>
      <w:r w:rsidR="007E1AFC" w:rsidRPr="00295637">
        <w:rPr>
          <w:rFonts w:ascii="Times New Roman" w:hAnsi="Times New Roman"/>
          <w:lang w:val="sr-Cyrl-BA"/>
        </w:rPr>
        <w:t xml:space="preserve"> </w:t>
      </w:r>
      <w:r>
        <w:rPr>
          <w:rFonts w:ascii="Times New Roman" w:hAnsi="Times New Roman"/>
          <w:lang w:val="sr-Cyrl-BA"/>
        </w:rPr>
        <w:t>радне</w:t>
      </w:r>
      <w:r w:rsidR="007E1AFC" w:rsidRPr="00295637">
        <w:rPr>
          <w:rFonts w:ascii="Times New Roman" w:hAnsi="Times New Roman"/>
          <w:lang w:val="sr-Cyrl-BA"/>
        </w:rPr>
        <w:t xml:space="preserve"> </w:t>
      </w:r>
      <w:r>
        <w:rPr>
          <w:rFonts w:ascii="Times New Roman" w:hAnsi="Times New Roman"/>
          <w:lang w:val="hr-HR"/>
        </w:rPr>
        <w:t>групе</w:t>
      </w:r>
      <w:r w:rsidR="00A30F6F">
        <w:rPr>
          <w:rFonts w:ascii="Times New Roman" w:hAnsi="Times New Roman"/>
          <w:lang w:val="sr-Cyrl-BA"/>
        </w:rPr>
        <w:t xml:space="preserve"> </w:t>
      </w:r>
      <w:r>
        <w:rPr>
          <w:rFonts w:ascii="Times New Roman" w:hAnsi="Times New Roman"/>
          <w:lang w:val="sr-Cyrl-BA"/>
        </w:rPr>
        <w:t>за</w:t>
      </w:r>
      <w:r w:rsidR="00A30F6F">
        <w:rPr>
          <w:rFonts w:ascii="Times New Roman" w:hAnsi="Times New Roman"/>
          <w:lang w:val="sr-Cyrl-BA"/>
        </w:rPr>
        <w:t xml:space="preserve"> </w:t>
      </w:r>
      <w:r>
        <w:rPr>
          <w:rFonts w:ascii="Times New Roman" w:hAnsi="Times New Roman"/>
          <w:lang w:val="hr-HR"/>
        </w:rPr>
        <w:t>п</w:t>
      </w:r>
      <w:r>
        <w:rPr>
          <w:rFonts w:ascii="Times New Roman" w:hAnsi="Times New Roman"/>
          <w:lang w:val="sr-Cyrl-BA"/>
        </w:rPr>
        <w:t>олитичке</w:t>
      </w:r>
      <w:r w:rsidR="007E1AFC" w:rsidRPr="00295637">
        <w:rPr>
          <w:rFonts w:ascii="Times New Roman" w:hAnsi="Times New Roman"/>
          <w:lang w:val="sr-Cyrl-BA"/>
        </w:rPr>
        <w:t xml:space="preserve"> </w:t>
      </w:r>
      <w:r>
        <w:rPr>
          <w:rFonts w:ascii="Times New Roman" w:hAnsi="Times New Roman"/>
          <w:lang w:val="sr-Cyrl-BA"/>
        </w:rPr>
        <w:t>критериј</w:t>
      </w:r>
      <w:r w:rsidR="007611A2">
        <w:rPr>
          <w:rFonts w:ascii="Times New Roman" w:hAnsi="Times New Roman"/>
          <w:lang w:val="sr-Cyrl-BA"/>
        </w:rPr>
        <w:t>уме</w:t>
      </w:r>
      <w:r w:rsidR="007E1AFC" w:rsidRPr="00295637">
        <w:rPr>
          <w:rFonts w:ascii="Times New Roman" w:hAnsi="Times New Roman"/>
          <w:lang w:val="sr-Cyrl-BA"/>
        </w:rPr>
        <w:t>;</w:t>
      </w:r>
      <w:r w:rsidR="0081369B" w:rsidRPr="00295637">
        <w:rPr>
          <w:rFonts w:ascii="Times New Roman" w:hAnsi="Times New Roman"/>
          <w:lang w:val="bs-Latn-BA"/>
        </w:rPr>
        <w:t xml:space="preserve"> </w:t>
      </w:r>
      <w:r w:rsidR="007611A2">
        <w:rPr>
          <w:rFonts w:ascii="Times New Roman" w:hAnsi="Times New Roman"/>
          <w:lang w:val="sr-Cyrl-BA"/>
        </w:rPr>
        <w:t>У</w:t>
      </w:r>
      <w:r>
        <w:rPr>
          <w:rFonts w:ascii="Times New Roman" w:hAnsi="Times New Roman"/>
          <w:lang w:val="hr-HR"/>
        </w:rPr>
        <w:t>чешће</w:t>
      </w:r>
      <w:r w:rsidR="007E1AFC" w:rsidRPr="00295637">
        <w:rPr>
          <w:rFonts w:ascii="Times New Roman" w:hAnsi="Times New Roman"/>
          <w:lang w:val="sr-Cyrl-BA"/>
        </w:rPr>
        <w:t xml:space="preserve"> </w:t>
      </w:r>
      <w:r>
        <w:rPr>
          <w:rFonts w:ascii="Times New Roman" w:hAnsi="Times New Roman"/>
          <w:lang w:val="sr-Cyrl-BA"/>
        </w:rPr>
        <w:t>на</w:t>
      </w:r>
      <w:r w:rsidR="007E1AFC" w:rsidRPr="00295637">
        <w:rPr>
          <w:rFonts w:ascii="Times New Roman" w:hAnsi="Times New Roman"/>
          <w:lang w:val="sr-Cyrl-BA"/>
        </w:rPr>
        <w:t xml:space="preserve"> </w:t>
      </w:r>
      <w:r>
        <w:rPr>
          <w:rFonts w:ascii="Times New Roman" w:hAnsi="Times New Roman"/>
          <w:lang w:val="sr-Cyrl-BA"/>
        </w:rPr>
        <w:t>радионици</w:t>
      </w:r>
      <w:r w:rsidR="007E1AFC" w:rsidRPr="00295637">
        <w:rPr>
          <w:rFonts w:ascii="Times New Roman" w:hAnsi="Times New Roman"/>
          <w:lang w:val="sr-Cyrl-BA"/>
        </w:rPr>
        <w:t xml:space="preserve"> </w:t>
      </w:r>
      <w:r>
        <w:rPr>
          <w:rFonts w:ascii="Times New Roman" w:hAnsi="Times New Roman"/>
          <w:lang w:val="sr-Cyrl-BA"/>
        </w:rPr>
        <w:t>о</w:t>
      </w:r>
      <w:r w:rsidR="007E1AFC" w:rsidRPr="00295637">
        <w:rPr>
          <w:rFonts w:ascii="Times New Roman" w:hAnsi="Times New Roman"/>
          <w:lang w:val="sr-Cyrl-BA"/>
        </w:rPr>
        <w:t xml:space="preserve"> </w:t>
      </w:r>
      <w:r>
        <w:rPr>
          <w:rFonts w:ascii="Times New Roman" w:hAnsi="Times New Roman"/>
          <w:lang w:val="sr-Cyrl-BA"/>
        </w:rPr>
        <w:t>припреми</w:t>
      </w:r>
      <w:r w:rsidR="00AE754B">
        <w:rPr>
          <w:rFonts w:ascii="Times New Roman" w:hAnsi="Times New Roman"/>
          <w:lang w:val="sr-Cyrl-BA"/>
        </w:rPr>
        <w:t xml:space="preserve"> </w:t>
      </w:r>
      <w:r>
        <w:rPr>
          <w:rFonts w:ascii="Times New Roman" w:hAnsi="Times New Roman"/>
          <w:lang w:val="sr-Cyrl-BA"/>
        </w:rPr>
        <w:t>за</w:t>
      </w:r>
      <w:r w:rsidR="00AE754B">
        <w:rPr>
          <w:rFonts w:ascii="Times New Roman" w:hAnsi="Times New Roman"/>
          <w:lang w:val="sr-Cyrl-BA"/>
        </w:rPr>
        <w:t xml:space="preserve"> </w:t>
      </w:r>
      <w:r>
        <w:rPr>
          <w:rFonts w:ascii="Times New Roman" w:hAnsi="Times New Roman"/>
          <w:lang w:val="sr-Cyrl-BA"/>
        </w:rPr>
        <w:t>приступне</w:t>
      </w:r>
      <w:r w:rsidR="00AE754B">
        <w:rPr>
          <w:rFonts w:ascii="Times New Roman" w:hAnsi="Times New Roman"/>
          <w:lang w:val="sr-Cyrl-BA"/>
        </w:rPr>
        <w:t xml:space="preserve"> </w:t>
      </w:r>
      <w:r>
        <w:rPr>
          <w:rFonts w:ascii="Times New Roman" w:hAnsi="Times New Roman"/>
          <w:lang w:val="sr-Cyrl-BA"/>
        </w:rPr>
        <w:t>преговоре</w:t>
      </w:r>
      <w:r w:rsidR="00AE754B">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7E1AFC" w:rsidRPr="00295637">
        <w:rPr>
          <w:rFonts w:ascii="Times New Roman" w:hAnsi="Times New Roman"/>
          <w:lang w:val="sr-Cyrl-BA"/>
        </w:rPr>
        <w:t xml:space="preserve"> </w:t>
      </w:r>
      <w:r>
        <w:rPr>
          <w:rFonts w:ascii="Times New Roman" w:hAnsi="Times New Roman"/>
          <w:lang w:val="sr-Cyrl-BA"/>
        </w:rPr>
        <w:t>ЕУ</w:t>
      </w:r>
      <w:r w:rsidR="007E1AFC" w:rsidRPr="00295637">
        <w:rPr>
          <w:rFonts w:ascii="Times New Roman" w:hAnsi="Times New Roman"/>
          <w:lang w:val="sr-Cyrl-BA"/>
        </w:rPr>
        <w:t xml:space="preserve">, </w:t>
      </w:r>
      <w:r>
        <w:rPr>
          <w:rFonts w:ascii="Times New Roman" w:hAnsi="Times New Roman"/>
          <w:lang w:val="hr-HR"/>
        </w:rPr>
        <w:t>поглавље</w:t>
      </w:r>
      <w:r w:rsidR="007E1AFC" w:rsidRPr="00295637">
        <w:rPr>
          <w:rFonts w:ascii="Times New Roman" w:hAnsi="Times New Roman"/>
          <w:lang w:val="sr-Cyrl-BA"/>
        </w:rPr>
        <w:t xml:space="preserve"> 23 – </w:t>
      </w:r>
      <w:r>
        <w:rPr>
          <w:rFonts w:ascii="Times New Roman" w:hAnsi="Times New Roman"/>
          <w:lang w:val="sr-Cyrl-BA"/>
        </w:rPr>
        <w:t>Правосуђе</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hr-HR"/>
        </w:rPr>
        <w:t>основна</w:t>
      </w:r>
      <w:r w:rsidR="007611A2">
        <w:rPr>
          <w:rFonts w:ascii="Times New Roman" w:hAnsi="Times New Roman"/>
          <w:lang w:val="sr-Cyrl-BA"/>
        </w:rPr>
        <w:t xml:space="preserve"> </w:t>
      </w:r>
      <w:r>
        <w:rPr>
          <w:rFonts w:ascii="Times New Roman" w:hAnsi="Times New Roman"/>
          <w:lang w:val="sr-Cyrl-BA"/>
        </w:rPr>
        <w:t>права</w:t>
      </w:r>
      <w:r w:rsidR="007E1AFC" w:rsidRPr="00295637">
        <w:rPr>
          <w:rFonts w:ascii="Times New Roman" w:hAnsi="Times New Roman"/>
          <w:lang w:val="sr-Cyrl-BA"/>
        </w:rPr>
        <w:t xml:space="preserve"> (</w:t>
      </w:r>
      <w:r w:rsidR="002C2924" w:rsidRPr="002C2924">
        <w:rPr>
          <w:rFonts w:ascii="Times New Roman" w:hAnsi="Times New Roman"/>
          <w:i/>
          <w:lang w:val="sr-Cyrl-BA"/>
        </w:rPr>
        <w:t>UNOPS</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оквиру</w:t>
      </w:r>
      <w:r w:rsidR="007E1AFC" w:rsidRPr="00295637">
        <w:rPr>
          <w:rFonts w:ascii="Times New Roman" w:hAnsi="Times New Roman"/>
          <w:lang w:val="sr-Cyrl-BA"/>
        </w:rPr>
        <w:t xml:space="preserve"> </w:t>
      </w:r>
      <w:r>
        <w:rPr>
          <w:rFonts w:ascii="Times New Roman" w:hAnsi="Times New Roman"/>
          <w:lang w:val="sr-Cyrl-BA"/>
        </w:rPr>
        <w:t>Програма</w:t>
      </w:r>
      <w:r w:rsidR="007E1AFC" w:rsidRPr="00295637">
        <w:rPr>
          <w:rFonts w:ascii="Times New Roman" w:hAnsi="Times New Roman"/>
          <w:lang w:val="sr-Cyrl-BA"/>
        </w:rPr>
        <w:t xml:space="preserve"> „</w:t>
      </w:r>
      <w:r>
        <w:rPr>
          <w:rFonts w:ascii="Times New Roman" w:hAnsi="Times New Roman"/>
          <w:lang w:val="sr-Cyrl-BA"/>
        </w:rPr>
        <w:t>Знање</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реформско</w:t>
      </w:r>
      <w:r w:rsidR="007E1AFC" w:rsidRPr="00295637">
        <w:rPr>
          <w:rFonts w:ascii="Times New Roman" w:hAnsi="Times New Roman"/>
          <w:lang w:val="sr-Cyrl-BA"/>
        </w:rPr>
        <w:t xml:space="preserve"> </w:t>
      </w:r>
      <w:r>
        <w:rPr>
          <w:rFonts w:ascii="Times New Roman" w:hAnsi="Times New Roman"/>
          <w:lang w:val="sr-Cyrl-BA"/>
        </w:rPr>
        <w:t>дјеловање</w:t>
      </w:r>
      <w:r w:rsidR="00A30F6F">
        <w:rPr>
          <w:rFonts w:ascii="Times New Roman" w:hAnsi="Times New Roman"/>
          <w:lang w:val="sr-Cyrl-BA"/>
        </w:rPr>
        <w:t xml:space="preserve"> </w:t>
      </w:r>
      <w:r>
        <w:rPr>
          <w:rFonts w:ascii="Times New Roman" w:hAnsi="Times New Roman"/>
          <w:lang w:val="sr-Cyrl-BA"/>
        </w:rPr>
        <w:t>на</w:t>
      </w:r>
      <w:r w:rsidR="00A30F6F">
        <w:rPr>
          <w:rFonts w:ascii="Times New Roman" w:hAnsi="Times New Roman"/>
          <w:lang w:val="sr-Cyrl-BA"/>
        </w:rPr>
        <w:t xml:space="preserve"> </w:t>
      </w:r>
      <w:r>
        <w:rPr>
          <w:rFonts w:ascii="Times New Roman" w:hAnsi="Times New Roman"/>
          <w:lang w:val="sr-Cyrl-BA"/>
        </w:rPr>
        <w:t>Западном</w:t>
      </w:r>
      <w:r w:rsidR="00A30F6F">
        <w:rPr>
          <w:rFonts w:ascii="Times New Roman" w:hAnsi="Times New Roman"/>
          <w:lang w:val="sr-Cyrl-BA"/>
        </w:rPr>
        <w:t xml:space="preserve"> </w:t>
      </w:r>
      <w:r>
        <w:rPr>
          <w:rFonts w:ascii="Times New Roman" w:hAnsi="Times New Roman"/>
          <w:lang w:val="sr-Cyrl-BA"/>
        </w:rPr>
        <w:t>Балкану</w:t>
      </w:r>
      <w:r w:rsidR="00A30F6F">
        <w:rPr>
          <w:rFonts w:ascii="Times New Roman" w:hAnsi="Times New Roman"/>
          <w:lang w:val="sr-Cyrl-BA"/>
        </w:rPr>
        <w:t>“</w:t>
      </w:r>
      <w:r w:rsidR="0081369B" w:rsidRPr="00295637">
        <w:rPr>
          <w:rFonts w:ascii="Times New Roman" w:hAnsi="Times New Roman"/>
          <w:lang w:val="sr-Cyrl-BA"/>
        </w:rPr>
        <w:t xml:space="preserve"> </w:t>
      </w:r>
      <w:r>
        <w:rPr>
          <w:rFonts w:ascii="Times New Roman" w:hAnsi="Times New Roman"/>
          <w:lang w:val="sr-Cyrl-BA"/>
        </w:rPr>
        <w:t>и</w:t>
      </w:r>
      <w:r w:rsidR="0081369B" w:rsidRPr="00295637">
        <w:rPr>
          <w:rFonts w:ascii="Times New Roman" w:hAnsi="Times New Roman"/>
          <w:lang w:val="sr-Cyrl-BA"/>
        </w:rPr>
        <w:t xml:space="preserve"> </w:t>
      </w:r>
      <w:r w:rsidR="00A30F6F">
        <w:rPr>
          <w:rFonts w:ascii="Times New Roman" w:hAnsi="Times New Roman"/>
          <w:lang w:val="hr-HR"/>
        </w:rPr>
        <w:t>„</w:t>
      </w:r>
      <w:r>
        <w:rPr>
          <w:rFonts w:ascii="Times New Roman" w:hAnsi="Times New Roman"/>
          <w:lang w:val="sr-Cyrl-BA"/>
        </w:rPr>
        <w:t>Припрема</w:t>
      </w:r>
      <w:r w:rsidR="007E1AFC" w:rsidRPr="00295637">
        <w:rPr>
          <w:rFonts w:ascii="Times New Roman" w:hAnsi="Times New Roman"/>
          <w:lang w:val="sr-Cyrl-BA"/>
        </w:rPr>
        <w:t xml:space="preserve"> </w:t>
      </w:r>
      <w:r>
        <w:rPr>
          <w:rFonts w:ascii="Times New Roman" w:hAnsi="Times New Roman"/>
          <w:lang w:val="sr-Cyrl-BA"/>
        </w:rPr>
        <w:t>одговора</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изјашњења</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оквиру</w:t>
      </w:r>
      <w:r w:rsidR="007E1AFC" w:rsidRPr="00295637">
        <w:rPr>
          <w:rFonts w:ascii="Times New Roman" w:hAnsi="Times New Roman"/>
          <w:lang w:val="sr-Cyrl-BA"/>
        </w:rPr>
        <w:t xml:space="preserve"> </w:t>
      </w:r>
      <w:r>
        <w:rPr>
          <w:rFonts w:ascii="Times New Roman" w:hAnsi="Times New Roman"/>
          <w:lang w:val="sr-Cyrl-BA"/>
        </w:rPr>
        <w:t>израде</w:t>
      </w:r>
      <w:r w:rsidR="007E1AFC" w:rsidRPr="00295637">
        <w:rPr>
          <w:rFonts w:ascii="Times New Roman" w:hAnsi="Times New Roman"/>
          <w:lang w:val="sr-Cyrl-BA"/>
        </w:rPr>
        <w:t xml:space="preserve"> </w:t>
      </w:r>
      <w:r>
        <w:rPr>
          <w:rFonts w:ascii="Times New Roman" w:hAnsi="Times New Roman"/>
          <w:lang w:val="sr-Cyrl-BA"/>
        </w:rPr>
        <w:t>Плана</w:t>
      </w:r>
      <w:r w:rsidR="007E1AFC" w:rsidRPr="00295637">
        <w:rPr>
          <w:rFonts w:ascii="Times New Roman" w:hAnsi="Times New Roman"/>
          <w:lang w:val="sr-Cyrl-BA"/>
        </w:rPr>
        <w:t xml:space="preserve"> </w:t>
      </w:r>
      <w:r>
        <w:rPr>
          <w:rFonts w:ascii="Times New Roman" w:hAnsi="Times New Roman"/>
          <w:lang w:val="sr-Cyrl-BA"/>
        </w:rPr>
        <w:t>усклађивања</w:t>
      </w:r>
      <w:r w:rsidR="007E1AFC" w:rsidRPr="00295637">
        <w:rPr>
          <w:rFonts w:ascii="Times New Roman" w:hAnsi="Times New Roman"/>
          <w:lang w:val="sr-Cyrl-BA"/>
        </w:rPr>
        <w:t xml:space="preserve"> </w:t>
      </w:r>
      <w:r>
        <w:rPr>
          <w:rFonts w:ascii="Times New Roman" w:hAnsi="Times New Roman"/>
          <w:lang w:val="sr-Cyrl-BA"/>
        </w:rPr>
        <w:t>законодавства</w:t>
      </w:r>
      <w:r w:rsidR="007E1AFC" w:rsidRPr="00295637">
        <w:rPr>
          <w:rFonts w:ascii="Times New Roman" w:hAnsi="Times New Roman"/>
          <w:lang w:val="sr-Cyrl-BA"/>
        </w:rPr>
        <w:t xml:space="preserve"> </w:t>
      </w:r>
      <w:r>
        <w:rPr>
          <w:rFonts w:ascii="Times New Roman" w:hAnsi="Times New Roman"/>
          <w:lang w:val="sr-Cyrl-BA"/>
        </w:rPr>
        <w:t>РС</w:t>
      </w:r>
      <w:r w:rsidR="00AE754B">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7E1AFC" w:rsidRPr="00295637">
        <w:rPr>
          <w:rFonts w:ascii="Times New Roman" w:hAnsi="Times New Roman"/>
          <w:lang w:val="sr-Cyrl-BA"/>
        </w:rPr>
        <w:t xml:space="preserve"> </w:t>
      </w:r>
      <w:r>
        <w:rPr>
          <w:rFonts w:ascii="Times New Roman" w:hAnsi="Times New Roman"/>
          <w:lang w:val="sr-Cyrl-BA"/>
        </w:rPr>
        <w:t>правном</w:t>
      </w:r>
      <w:r w:rsidR="007E1AFC" w:rsidRPr="00295637">
        <w:rPr>
          <w:rFonts w:ascii="Times New Roman" w:hAnsi="Times New Roman"/>
          <w:lang w:val="sr-Cyrl-BA"/>
        </w:rPr>
        <w:t xml:space="preserve"> </w:t>
      </w:r>
      <w:r>
        <w:rPr>
          <w:rFonts w:ascii="Times New Roman" w:hAnsi="Times New Roman"/>
          <w:lang w:val="hr-HR"/>
        </w:rPr>
        <w:t>тековином</w:t>
      </w:r>
      <w:r w:rsidR="007E1AFC" w:rsidRPr="00295637">
        <w:rPr>
          <w:rFonts w:ascii="Times New Roman" w:hAnsi="Times New Roman"/>
          <w:lang w:val="sr-Cyrl-BA"/>
        </w:rPr>
        <w:t xml:space="preserve"> </w:t>
      </w:r>
      <w:r>
        <w:rPr>
          <w:rFonts w:ascii="Times New Roman" w:hAnsi="Times New Roman"/>
          <w:lang w:val="sr-Cyrl-BA"/>
        </w:rPr>
        <w:t>Е</w:t>
      </w:r>
      <w:r>
        <w:rPr>
          <w:rFonts w:ascii="Times New Roman" w:hAnsi="Times New Roman"/>
          <w:lang w:val="hr-HR"/>
        </w:rPr>
        <w:t>в</w:t>
      </w:r>
      <w:r>
        <w:rPr>
          <w:rFonts w:ascii="Times New Roman" w:hAnsi="Times New Roman"/>
          <w:lang w:val="sr-Cyrl-BA"/>
        </w:rPr>
        <w:t>ропске</w:t>
      </w:r>
      <w:r w:rsidR="007E1AFC" w:rsidRPr="00295637">
        <w:rPr>
          <w:rFonts w:ascii="Times New Roman" w:hAnsi="Times New Roman"/>
          <w:lang w:val="sr-Cyrl-BA"/>
        </w:rPr>
        <w:t xml:space="preserve"> </w:t>
      </w:r>
      <w:r>
        <w:rPr>
          <w:rFonts w:ascii="Times New Roman" w:hAnsi="Times New Roman"/>
          <w:lang w:val="sr-Cyrl-BA"/>
        </w:rPr>
        <w:t>уније</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hr-HR"/>
        </w:rPr>
        <w:t>период</w:t>
      </w:r>
      <w:r w:rsidR="007E1AFC" w:rsidRPr="00295637">
        <w:rPr>
          <w:rFonts w:ascii="Times New Roman" w:hAnsi="Times New Roman"/>
          <w:lang w:val="sr-Cyrl-BA"/>
        </w:rPr>
        <w:t xml:space="preserve"> 2025</w:t>
      </w:r>
      <w:r w:rsidR="00AE754B">
        <w:rPr>
          <w:rFonts w:ascii="Times New Roman" w:hAnsi="Times New Roman"/>
          <w:lang w:val="hr-HR"/>
        </w:rPr>
        <w:t>-</w:t>
      </w:r>
      <w:r w:rsidR="007E1AFC" w:rsidRPr="00295637">
        <w:rPr>
          <w:rFonts w:ascii="Times New Roman" w:hAnsi="Times New Roman"/>
          <w:lang w:val="sr-Cyrl-BA"/>
        </w:rPr>
        <w:t xml:space="preserve">2027. </w:t>
      </w:r>
      <w:r>
        <w:rPr>
          <w:rFonts w:ascii="Times New Roman" w:hAnsi="Times New Roman"/>
          <w:lang w:val="sr-Cyrl-BA"/>
        </w:rPr>
        <w:t>године</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правосуђе</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hr-HR"/>
        </w:rPr>
        <w:t>основна</w:t>
      </w:r>
      <w:r w:rsidR="007E1AFC" w:rsidRPr="00295637">
        <w:rPr>
          <w:rFonts w:ascii="Times New Roman" w:hAnsi="Times New Roman"/>
          <w:lang w:val="sr-Cyrl-BA"/>
        </w:rPr>
        <w:t xml:space="preserve"> </w:t>
      </w:r>
      <w:r>
        <w:rPr>
          <w:rFonts w:ascii="Times New Roman" w:hAnsi="Times New Roman"/>
          <w:lang w:val="sr-Cyrl-BA"/>
        </w:rPr>
        <w:t>права</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hr-HR"/>
        </w:rPr>
        <w:t>област</w:t>
      </w:r>
      <w:r w:rsidR="007E1AFC" w:rsidRPr="00295637">
        <w:rPr>
          <w:rFonts w:ascii="Times New Roman" w:hAnsi="Times New Roman"/>
          <w:lang w:val="sr-Cyrl-BA"/>
        </w:rPr>
        <w:t xml:space="preserve"> </w:t>
      </w:r>
      <w:r>
        <w:rPr>
          <w:rFonts w:ascii="Times New Roman" w:hAnsi="Times New Roman"/>
          <w:lang w:val="sr-Cyrl-BA"/>
        </w:rPr>
        <w:t>социјалне</w:t>
      </w:r>
      <w:r w:rsidR="007E1AFC" w:rsidRPr="00295637">
        <w:rPr>
          <w:rFonts w:ascii="Times New Roman" w:hAnsi="Times New Roman"/>
          <w:lang w:val="sr-Cyrl-BA"/>
        </w:rPr>
        <w:t xml:space="preserve"> </w:t>
      </w:r>
      <w:r>
        <w:rPr>
          <w:rFonts w:ascii="Times New Roman" w:hAnsi="Times New Roman"/>
          <w:lang w:val="sr-Cyrl-BA"/>
        </w:rPr>
        <w:t>политике</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запошљавања</w:t>
      </w:r>
      <w:r w:rsidR="00A30F6F">
        <w:rPr>
          <w:rFonts w:ascii="Times New Roman" w:hAnsi="Times New Roman"/>
          <w:lang w:val="hr-HR"/>
        </w:rPr>
        <w:t>“</w:t>
      </w:r>
      <w:r w:rsidR="0081369B" w:rsidRPr="00295637">
        <w:rPr>
          <w:rFonts w:ascii="Times New Roman" w:hAnsi="Times New Roman"/>
          <w:lang w:val="sr-Cyrl-BA"/>
        </w:rPr>
        <w:t xml:space="preserve">. </w:t>
      </w:r>
      <w:r>
        <w:rPr>
          <w:rFonts w:ascii="Times New Roman" w:hAnsi="Times New Roman"/>
          <w:lang w:val="bs-Latn-BA"/>
        </w:rPr>
        <w:t>ЦЈРП</w:t>
      </w:r>
      <w:r w:rsidR="0081369B" w:rsidRPr="00295637">
        <w:rPr>
          <w:rFonts w:ascii="Times New Roman" w:hAnsi="Times New Roman"/>
          <w:lang w:val="bs-Latn-BA"/>
        </w:rPr>
        <w:t xml:space="preserve"> </w:t>
      </w:r>
      <w:r>
        <w:rPr>
          <w:rFonts w:ascii="Times New Roman" w:hAnsi="Times New Roman"/>
          <w:lang w:val="bs-Latn-BA"/>
        </w:rPr>
        <w:t>РС</w:t>
      </w:r>
      <w:r w:rsidR="0081369B" w:rsidRPr="00295637">
        <w:rPr>
          <w:rFonts w:ascii="Times New Roman" w:hAnsi="Times New Roman"/>
          <w:lang w:val="bs-Latn-BA"/>
        </w:rPr>
        <w:t xml:space="preserve"> </w:t>
      </w:r>
      <w:r>
        <w:rPr>
          <w:rFonts w:ascii="Times New Roman" w:hAnsi="Times New Roman"/>
          <w:lang w:val="bs-Latn-BA"/>
        </w:rPr>
        <w:t>је</w:t>
      </w:r>
      <w:r w:rsidR="0081369B" w:rsidRPr="00295637">
        <w:rPr>
          <w:rFonts w:ascii="Times New Roman" w:hAnsi="Times New Roman"/>
          <w:lang w:val="bs-Latn-BA"/>
        </w:rPr>
        <w:t xml:space="preserve"> </w:t>
      </w:r>
      <w:r>
        <w:rPr>
          <w:rFonts w:ascii="Times New Roman" w:hAnsi="Times New Roman"/>
          <w:lang w:val="bs-Latn-BA"/>
        </w:rPr>
        <w:t>учествовао</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прегледу</w:t>
      </w:r>
      <w:r w:rsidR="007E1AFC" w:rsidRPr="00295637">
        <w:rPr>
          <w:rFonts w:ascii="Times New Roman" w:hAnsi="Times New Roman"/>
          <w:lang w:val="sr-Cyrl-BA"/>
        </w:rPr>
        <w:t xml:space="preserve"> </w:t>
      </w:r>
      <w:r>
        <w:rPr>
          <w:rFonts w:ascii="Times New Roman" w:hAnsi="Times New Roman"/>
          <w:lang w:val="sr-Cyrl-BA"/>
        </w:rPr>
        <w:t>нових</w:t>
      </w:r>
      <w:r w:rsidR="007E1AFC" w:rsidRPr="00295637">
        <w:rPr>
          <w:rFonts w:ascii="Times New Roman" w:hAnsi="Times New Roman"/>
          <w:lang w:val="sr-Cyrl-BA"/>
        </w:rPr>
        <w:t xml:space="preserve"> </w:t>
      </w:r>
      <w:r>
        <w:rPr>
          <w:rFonts w:ascii="Times New Roman" w:hAnsi="Times New Roman"/>
          <w:lang w:val="sr-Cyrl-BA"/>
        </w:rPr>
        <w:t>директива</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оквиру</w:t>
      </w:r>
      <w:r w:rsidR="007E1AFC" w:rsidRPr="00295637">
        <w:rPr>
          <w:rFonts w:ascii="Times New Roman" w:hAnsi="Times New Roman"/>
          <w:lang w:val="sr-Cyrl-BA"/>
        </w:rPr>
        <w:t xml:space="preserve"> </w:t>
      </w:r>
      <w:r>
        <w:rPr>
          <w:rFonts w:ascii="Times New Roman" w:hAnsi="Times New Roman"/>
          <w:lang w:val="sr-Cyrl-BA"/>
        </w:rPr>
        <w:t>ЕУ</w:t>
      </w:r>
      <w:r w:rsidR="007E1AFC" w:rsidRPr="00295637">
        <w:rPr>
          <w:rFonts w:ascii="Times New Roman" w:hAnsi="Times New Roman"/>
          <w:lang w:val="sr-Cyrl-BA"/>
        </w:rPr>
        <w:t xml:space="preserve"> </w:t>
      </w:r>
      <w:r>
        <w:rPr>
          <w:rFonts w:ascii="Times New Roman" w:hAnsi="Times New Roman"/>
          <w:lang w:val="sr-Cyrl-BA"/>
        </w:rPr>
        <w:t>интеграција</w:t>
      </w:r>
      <w:r w:rsidR="007E1AFC" w:rsidRPr="00295637">
        <w:rPr>
          <w:rFonts w:ascii="Times New Roman" w:hAnsi="Times New Roman"/>
          <w:lang w:val="sr-Cyrl-BA"/>
        </w:rPr>
        <w:t xml:space="preserve">: </w:t>
      </w:r>
      <w:r>
        <w:rPr>
          <w:rFonts w:ascii="Times New Roman" w:hAnsi="Times New Roman"/>
          <w:lang w:val="sr-Cyrl-BA"/>
        </w:rPr>
        <w:t>Приједлог</w:t>
      </w:r>
      <w:r w:rsidR="007E1AFC" w:rsidRPr="00295637">
        <w:rPr>
          <w:rFonts w:ascii="Times New Roman" w:hAnsi="Times New Roman"/>
          <w:lang w:val="sr-Cyrl-BA"/>
        </w:rPr>
        <w:t xml:space="preserve"> </w:t>
      </w:r>
      <w:r>
        <w:rPr>
          <w:rFonts w:ascii="Times New Roman" w:hAnsi="Times New Roman"/>
          <w:lang w:val="sr-Cyrl-BA"/>
        </w:rPr>
        <w:t>директиве</w:t>
      </w:r>
      <w:r w:rsidR="007E1AFC" w:rsidRPr="00295637">
        <w:rPr>
          <w:rFonts w:ascii="Times New Roman" w:hAnsi="Times New Roman"/>
          <w:lang w:val="sr-Cyrl-BA"/>
        </w:rPr>
        <w:t xml:space="preserve"> </w:t>
      </w:r>
      <w:r>
        <w:rPr>
          <w:rFonts w:ascii="Times New Roman" w:hAnsi="Times New Roman"/>
          <w:lang w:val="sr-Cyrl-BA"/>
        </w:rPr>
        <w:t>Е</w:t>
      </w:r>
      <w:r>
        <w:rPr>
          <w:rFonts w:ascii="Times New Roman" w:hAnsi="Times New Roman"/>
          <w:lang w:val="hr-HR"/>
        </w:rPr>
        <w:t>в</w:t>
      </w:r>
      <w:r>
        <w:rPr>
          <w:rFonts w:ascii="Times New Roman" w:hAnsi="Times New Roman"/>
          <w:lang w:val="sr-Cyrl-BA"/>
        </w:rPr>
        <w:t>ропског</w:t>
      </w:r>
      <w:r w:rsidR="007E1AFC" w:rsidRPr="00295637">
        <w:rPr>
          <w:rFonts w:ascii="Times New Roman" w:hAnsi="Times New Roman"/>
          <w:lang w:val="sr-Cyrl-BA"/>
        </w:rPr>
        <w:t xml:space="preserve"> </w:t>
      </w:r>
      <w:r>
        <w:rPr>
          <w:rFonts w:ascii="Times New Roman" w:hAnsi="Times New Roman"/>
          <w:lang w:val="sr-Cyrl-BA"/>
        </w:rPr>
        <w:t>парламента</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sidR="002C2924">
        <w:rPr>
          <w:rFonts w:ascii="Times New Roman" w:hAnsi="Times New Roman"/>
          <w:lang w:val="sr-Cyrl-BA"/>
        </w:rPr>
        <w:t>Савјета</w:t>
      </w:r>
      <w:r w:rsidR="007E1AFC" w:rsidRPr="00295637">
        <w:rPr>
          <w:rFonts w:ascii="Times New Roman" w:hAnsi="Times New Roman"/>
          <w:lang w:val="sr-Cyrl-BA"/>
        </w:rPr>
        <w:t xml:space="preserve"> </w:t>
      </w:r>
      <w:r>
        <w:rPr>
          <w:rFonts w:ascii="Times New Roman" w:hAnsi="Times New Roman"/>
          <w:lang w:val="sr-Cyrl-BA"/>
        </w:rPr>
        <w:t>о</w:t>
      </w:r>
      <w:r w:rsidR="007E1AFC" w:rsidRPr="00295637">
        <w:rPr>
          <w:rFonts w:ascii="Times New Roman" w:hAnsi="Times New Roman"/>
          <w:lang w:val="sr-Cyrl-BA"/>
        </w:rPr>
        <w:t xml:space="preserve"> </w:t>
      </w:r>
      <w:r>
        <w:rPr>
          <w:rFonts w:ascii="Times New Roman" w:hAnsi="Times New Roman"/>
          <w:lang w:val="sr-Cyrl-BA"/>
        </w:rPr>
        <w:t>стандардима</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hr-HR"/>
        </w:rPr>
        <w:t>органе</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једнакост</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hr-HR"/>
        </w:rPr>
        <w:t>области</w:t>
      </w:r>
      <w:r w:rsidR="007E1AFC" w:rsidRPr="00295637">
        <w:rPr>
          <w:rFonts w:ascii="Times New Roman" w:hAnsi="Times New Roman"/>
          <w:lang w:val="sr-Cyrl-BA"/>
        </w:rPr>
        <w:t xml:space="preserve"> </w:t>
      </w:r>
      <w:r>
        <w:rPr>
          <w:rFonts w:ascii="Times New Roman" w:hAnsi="Times New Roman"/>
          <w:lang w:val="sr-Cyrl-BA"/>
        </w:rPr>
        <w:t>једнаког</w:t>
      </w:r>
      <w:r w:rsidR="007E1AFC" w:rsidRPr="00295637">
        <w:rPr>
          <w:rFonts w:ascii="Times New Roman" w:hAnsi="Times New Roman"/>
          <w:lang w:val="sr-Cyrl-BA"/>
        </w:rPr>
        <w:t xml:space="preserve"> </w:t>
      </w:r>
      <w:r>
        <w:rPr>
          <w:rFonts w:ascii="Times New Roman" w:hAnsi="Times New Roman"/>
          <w:lang w:val="sr-Cyrl-BA"/>
        </w:rPr>
        <w:t>поступања</w:t>
      </w:r>
      <w:r w:rsidR="007E1AFC" w:rsidRPr="00295637">
        <w:rPr>
          <w:rFonts w:ascii="Times New Roman" w:hAnsi="Times New Roman"/>
          <w:lang w:val="sr-Cyrl-BA"/>
        </w:rPr>
        <w:t xml:space="preserve"> </w:t>
      </w:r>
      <w:r>
        <w:rPr>
          <w:rFonts w:ascii="Times New Roman" w:hAnsi="Times New Roman"/>
          <w:lang w:val="sr-Cyrl-BA"/>
        </w:rPr>
        <w:t>према</w:t>
      </w:r>
      <w:r w:rsidR="007E1AFC" w:rsidRPr="00295637">
        <w:rPr>
          <w:rFonts w:ascii="Times New Roman" w:hAnsi="Times New Roman"/>
          <w:lang w:val="sr-Cyrl-BA"/>
        </w:rPr>
        <w:t xml:space="preserve"> </w:t>
      </w:r>
      <w:r>
        <w:rPr>
          <w:rFonts w:ascii="Times New Roman" w:hAnsi="Times New Roman"/>
          <w:lang w:val="sr-Cyrl-BA"/>
        </w:rPr>
        <w:t>женама</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мушкарцима</w:t>
      </w:r>
      <w:r w:rsidR="007E1AFC" w:rsidRPr="00295637">
        <w:rPr>
          <w:rFonts w:ascii="Times New Roman" w:hAnsi="Times New Roman"/>
          <w:lang w:val="sr-Cyrl-BA"/>
        </w:rPr>
        <w:t xml:space="preserve"> </w:t>
      </w:r>
      <w:r>
        <w:rPr>
          <w:rFonts w:ascii="Times New Roman" w:hAnsi="Times New Roman"/>
          <w:lang w:val="sr-Cyrl-BA"/>
        </w:rPr>
        <w:t>те</w:t>
      </w:r>
      <w:r w:rsidR="007E1AFC" w:rsidRPr="00295637">
        <w:rPr>
          <w:rFonts w:ascii="Times New Roman" w:hAnsi="Times New Roman"/>
          <w:lang w:val="sr-Cyrl-BA"/>
        </w:rPr>
        <w:t xml:space="preserve"> </w:t>
      </w:r>
      <w:r>
        <w:rPr>
          <w:rFonts w:ascii="Times New Roman" w:hAnsi="Times New Roman"/>
          <w:lang w:val="sr-Cyrl-BA"/>
        </w:rPr>
        <w:t>њихових</w:t>
      </w:r>
      <w:r w:rsidR="007E1AFC" w:rsidRPr="00295637">
        <w:rPr>
          <w:rFonts w:ascii="Times New Roman" w:hAnsi="Times New Roman"/>
          <w:lang w:val="sr-Cyrl-BA"/>
        </w:rPr>
        <w:t xml:space="preserve"> </w:t>
      </w:r>
      <w:r>
        <w:rPr>
          <w:rFonts w:ascii="Times New Roman" w:hAnsi="Times New Roman"/>
          <w:lang w:val="sr-Cyrl-BA"/>
        </w:rPr>
        <w:t>једнаких</w:t>
      </w:r>
      <w:r w:rsidR="007E1AFC" w:rsidRPr="00295637">
        <w:rPr>
          <w:rFonts w:ascii="Times New Roman" w:hAnsi="Times New Roman"/>
          <w:lang w:val="sr-Cyrl-BA"/>
        </w:rPr>
        <w:t xml:space="preserve"> </w:t>
      </w:r>
      <w:r>
        <w:rPr>
          <w:rFonts w:ascii="Times New Roman" w:hAnsi="Times New Roman"/>
          <w:lang w:val="sr-Cyrl-BA"/>
        </w:rPr>
        <w:t>могућности</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питањима</w:t>
      </w:r>
      <w:r w:rsidR="007E1AFC" w:rsidRPr="00295637">
        <w:rPr>
          <w:rFonts w:ascii="Times New Roman" w:hAnsi="Times New Roman"/>
          <w:lang w:val="sr-Cyrl-BA"/>
        </w:rPr>
        <w:t xml:space="preserve"> </w:t>
      </w:r>
      <w:r>
        <w:rPr>
          <w:rFonts w:ascii="Times New Roman" w:hAnsi="Times New Roman"/>
          <w:lang w:val="sr-Cyrl-BA"/>
        </w:rPr>
        <w:t>запошљавања</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рада</w:t>
      </w:r>
      <w:r w:rsidR="007E1AFC"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7E1AFC" w:rsidRPr="00295637">
        <w:rPr>
          <w:rFonts w:ascii="Times New Roman" w:hAnsi="Times New Roman"/>
          <w:lang w:val="sr-Cyrl-BA"/>
        </w:rPr>
        <w:t xml:space="preserve"> </w:t>
      </w:r>
      <w:r>
        <w:rPr>
          <w:rFonts w:ascii="Times New Roman" w:hAnsi="Times New Roman"/>
          <w:lang w:val="sr-Cyrl-BA"/>
        </w:rPr>
        <w:t>чланом</w:t>
      </w:r>
      <w:r w:rsidR="007E1AFC" w:rsidRPr="00295637">
        <w:rPr>
          <w:rFonts w:ascii="Times New Roman" w:hAnsi="Times New Roman"/>
          <w:lang w:val="sr-Cyrl-BA"/>
        </w:rPr>
        <w:t xml:space="preserve"> 157. (3) </w:t>
      </w:r>
      <w:r w:rsidR="002C2924" w:rsidRPr="002C2924">
        <w:rPr>
          <w:rFonts w:ascii="Times New Roman" w:hAnsi="Times New Roman"/>
          <w:i/>
          <w:lang w:val="sr-Cyrl-BA"/>
        </w:rPr>
        <w:t>UFEU</w:t>
      </w:r>
      <w:r w:rsidR="007E1AFC" w:rsidRPr="00295637">
        <w:rPr>
          <w:rFonts w:ascii="Times New Roman" w:hAnsi="Times New Roman"/>
          <w:lang w:val="sr-Cyrl-BA"/>
        </w:rPr>
        <w:t>-</w:t>
      </w:r>
      <w:r>
        <w:rPr>
          <w:rFonts w:ascii="Times New Roman" w:hAnsi="Times New Roman"/>
          <w:lang w:val="sr-Cyrl-BA"/>
        </w:rPr>
        <w:t>а</w:t>
      </w:r>
      <w:r w:rsidR="007E1AFC" w:rsidRPr="00295637">
        <w:rPr>
          <w:rFonts w:ascii="Times New Roman" w:hAnsi="Times New Roman"/>
          <w:lang w:val="sr-Cyrl-BA"/>
        </w:rPr>
        <w:t xml:space="preserve"> </w:t>
      </w:r>
      <w:r>
        <w:rPr>
          <w:rFonts w:ascii="Times New Roman" w:hAnsi="Times New Roman"/>
          <w:lang w:val="sr-Cyrl-BA"/>
        </w:rPr>
        <w:t>као</w:t>
      </w:r>
      <w:r w:rsidR="007E1AFC" w:rsidRPr="00295637">
        <w:rPr>
          <w:rFonts w:ascii="Times New Roman" w:hAnsi="Times New Roman"/>
          <w:lang w:val="sr-Cyrl-BA"/>
        </w:rPr>
        <w:t xml:space="preserve"> </w:t>
      </w:r>
      <w:r>
        <w:rPr>
          <w:rFonts w:ascii="Times New Roman" w:hAnsi="Times New Roman"/>
          <w:lang w:val="sr-Cyrl-BA"/>
        </w:rPr>
        <w:t>правним</w:t>
      </w:r>
      <w:r w:rsidR="007E1AFC" w:rsidRPr="00295637">
        <w:rPr>
          <w:rFonts w:ascii="Times New Roman" w:hAnsi="Times New Roman"/>
          <w:lang w:val="sr-Cyrl-BA"/>
        </w:rPr>
        <w:t xml:space="preserve"> </w:t>
      </w:r>
      <w:r>
        <w:rPr>
          <w:rFonts w:ascii="Times New Roman" w:hAnsi="Times New Roman"/>
          <w:lang w:val="hr-HR"/>
        </w:rPr>
        <w:t>основом</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Приједлог</w:t>
      </w:r>
      <w:r w:rsidR="007E1AFC" w:rsidRPr="00295637">
        <w:rPr>
          <w:rFonts w:ascii="Times New Roman" w:hAnsi="Times New Roman"/>
          <w:lang w:val="sr-Cyrl-BA"/>
        </w:rPr>
        <w:t xml:space="preserve"> </w:t>
      </w:r>
      <w:r>
        <w:rPr>
          <w:rFonts w:ascii="Times New Roman" w:hAnsi="Times New Roman"/>
          <w:lang w:val="sr-Cyrl-BA"/>
        </w:rPr>
        <w:t>директиве</w:t>
      </w:r>
      <w:r w:rsidR="007E1AFC" w:rsidRPr="00295637">
        <w:rPr>
          <w:rFonts w:ascii="Times New Roman" w:hAnsi="Times New Roman"/>
          <w:lang w:val="sr-Cyrl-BA"/>
        </w:rPr>
        <w:t xml:space="preserve"> </w:t>
      </w:r>
      <w:r w:rsidR="002C2924">
        <w:rPr>
          <w:rFonts w:ascii="Times New Roman" w:hAnsi="Times New Roman"/>
          <w:lang w:val="sr-Cyrl-BA"/>
        </w:rPr>
        <w:t>Савјета</w:t>
      </w:r>
      <w:r w:rsidR="007E1AFC" w:rsidRPr="00295637">
        <w:rPr>
          <w:rFonts w:ascii="Times New Roman" w:hAnsi="Times New Roman"/>
          <w:lang w:val="sr-Cyrl-BA"/>
        </w:rPr>
        <w:t xml:space="preserve"> </w:t>
      </w:r>
      <w:r>
        <w:rPr>
          <w:rFonts w:ascii="Times New Roman" w:hAnsi="Times New Roman"/>
          <w:lang w:val="sr-Cyrl-BA"/>
        </w:rPr>
        <w:t>о</w:t>
      </w:r>
      <w:r w:rsidR="007E1AFC" w:rsidRPr="00295637">
        <w:rPr>
          <w:rFonts w:ascii="Times New Roman" w:hAnsi="Times New Roman"/>
          <w:lang w:val="sr-Cyrl-BA"/>
        </w:rPr>
        <w:t xml:space="preserve"> </w:t>
      </w:r>
      <w:r>
        <w:rPr>
          <w:rFonts w:ascii="Times New Roman" w:hAnsi="Times New Roman"/>
          <w:lang w:val="sr-Cyrl-BA"/>
        </w:rPr>
        <w:t>стандардима</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hr-HR"/>
        </w:rPr>
        <w:t>органе</w:t>
      </w:r>
      <w:r w:rsidR="007E1AFC" w:rsidRPr="00295637">
        <w:rPr>
          <w:rFonts w:ascii="Times New Roman" w:hAnsi="Times New Roman"/>
          <w:lang w:val="sr-Cyrl-BA"/>
        </w:rPr>
        <w:t xml:space="preserve"> </w:t>
      </w:r>
      <w:r>
        <w:rPr>
          <w:rFonts w:ascii="Times New Roman" w:hAnsi="Times New Roman"/>
          <w:lang w:val="sr-Cyrl-BA"/>
        </w:rPr>
        <w:t>за</w:t>
      </w:r>
      <w:r w:rsidR="007E1AFC" w:rsidRPr="00295637">
        <w:rPr>
          <w:rFonts w:ascii="Times New Roman" w:hAnsi="Times New Roman"/>
          <w:lang w:val="sr-Cyrl-BA"/>
        </w:rPr>
        <w:t xml:space="preserve"> </w:t>
      </w:r>
      <w:r>
        <w:rPr>
          <w:rFonts w:ascii="Times New Roman" w:hAnsi="Times New Roman"/>
          <w:lang w:val="sr-Cyrl-BA"/>
        </w:rPr>
        <w:t>једнакост</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hr-HR"/>
        </w:rPr>
        <w:t>области</w:t>
      </w:r>
      <w:r w:rsidR="007E1AFC" w:rsidRPr="00295637">
        <w:rPr>
          <w:rFonts w:ascii="Times New Roman" w:hAnsi="Times New Roman"/>
          <w:lang w:val="sr-Cyrl-BA"/>
        </w:rPr>
        <w:t xml:space="preserve"> </w:t>
      </w:r>
      <w:r>
        <w:rPr>
          <w:rFonts w:ascii="Times New Roman" w:hAnsi="Times New Roman"/>
          <w:lang w:val="sr-Cyrl-BA"/>
        </w:rPr>
        <w:t>једнаког</w:t>
      </w:r>
      <w:r w:rsidR="007E1AFC" w:rsidRPr="00295637">
        <w:rPr>
          <w:rFonts w:ascii="Times New Roman" w:hAnsi="Times New Roman"/>
          <w:lang w:val="sr-Cyrl-BA"/>
        </w:rPr>
        <w:t xml:space="preserve"> </w:t>
      </w:r>
      <w:r>
        <w:rPr>
          <w:rFonts w:ascii="Times New Roman" w:hAnsi="Times New Roman"/>
          <w:lang w:val="sr-Cyrl-BA"/>
        </w:rPr>
        <w:t>поступања</w:t>
      </w:r>
      <w:r w:rsidR="007E1AFC" w:rsidRPr="00295637">
        <w:rPr>
          <w:rFonts w:ascii="Times New Roman" w:hAnsi="Times New Roman"/>
          <w:lang w:val="sr-Cyrl-BA"/>
        </w:rPr>
        <w:t xml:space="preserve"> </w:t>
      </w:r>
      <w:r>
        <w:rPr>
          <w:rFonts w:ascii="Times New Roman" w:hAnsi="Times New Roman"/>
          <w:lang w:val="sr-Cyrl-BA"/>
        </w:rPr>
        <w:t>према</w:t>
      </w:r>
      <w:r w:rsidR="007E1AFC" w:rsidRPr="00295637">
        <w:rPr>
          <w:rFonts w:ascii="Times New Roman" w:hAnsi="Times New Roman"/>
          <w:lang w:val="sr-Cyrl-BA"/>
        </w:rPr>
        <w:t xml:space="preserve"> </w:t>
      </w:r>
      <w:r>
        <w:rPr>
          <w:rFonts w:ascii="Times New Roman" w:hAnsi="Times New Roman"/>
          <w:lang w:val="hr-HR"/>
        </w:rPr>
        <w:t>лицима</w:t>
      </w:r>
      <w:r w:rsidR="007E1AFC" w:rsidRPr="00295637">
        <w:rPr>
          <w:rFonts w:ascii="Times New Roman" w:hAnsi="Times New Roman"/>
          <w:lang w:val="sr-Cyrl-BA"/>
        </w:rPr>
        <w:t xml:space="preserve"> </w:t>
      </w:r>
      <w:r>
        <w:rPr>
          <w:rFonts w:ascii="Times New Roman" w:hAnsi="Times New Roman"/>
          <w:lang w:val="sr-Cyrl-BA"/>
        </w:rPr>
        <w:t>без</w:t>
      </w:r>
      <w:r w:rsidR="007E1AFC" w:rsidRPr="00295637">
        <w:rPr>
          <w:rFonts w:ascii="Times New Roman" w:hAnsi="Times New Roman"/>
          <w:lang w:val="sr-Cyrl-BA"/>
        </w:rPr>
        <w:t xml:space="preserve"> </w:t>
      </w:r>
      <w:r>
        <w:rPr>
          <w:rFonts w:ascii="Times New Roman" w:hAnsi="Times New Roman"/>
          <w:lang w:val="sr-Cyrl-BA"/>
        </w:rPr>
        <w:t>обзира</w:t>
      </w:r>
      <w:r w:rsidR="007E1AFC" w:rsidRPr="00295637">
        <w:rPr>
          <w:rFonts w:ascii="Times New Roman" w:hAnsi="Times New Roman"/>
          <w:lang w:val="sr-Cyrl-BA"/>
        </w:rPr>
        <w:t xml:space="preserve"> </w:t>
      </w:r>
      <w:r>
        <w:rPr>
          <w:rFonts w:ascii="Times New Roman" w:hAnsi="Times New Roman"/>
          <w:lang w:val="sr-Cyrl-BA"/>
        </w:rPr>
        <w:t>на</w:t>
      </w:r>
      <w:r w:rsidR="007E1AFC" w:rsidRPr="00295637">
        <w:rPr>
          <w:rFonts w:ascii="Times New Roman" w:hAnsi="Times New Roman"/>
          <w:lang w:val="sr-Cyrl-BA"/>
        </w:rPr>
        <w:t xml:space="preserve"> </w:t>
      </w:r>
      <w:r>
        <w:rPr>
          <w:rFonts w:ascii="Times New Roman" w:hAnsi="Times New Roman"/>
          <w:lang w:val="sr-Cyrl-BA"/>
        </w:rPr>
        <w:t>њихово</w:t>
      </w:r>
      <w:r w:rsidR="007E1AFC" w:rsidRPr="00295637">
        <w:rPr>
          <w:rFonts w:ascii="Times New Roman" w:hAnsi="Times New Roman"/>
          <w:lang w:val="sr-Cyrl-BA"/>
        </w:rPr>
        <w:t xml:space="preserve"> </w:t>
      </w:r>
      <w:r>
        <w:rPr>
          <w:rFonts w:ascii="Times New Roman" w:hAnsi="Times New Roman"/>
          <w:lang w:val="sr-Cyrl-BA"/>
        </w:rPr>
        <w:t>расно</w:t>
      </w:r>
      <w:r w:rsidR="007E1AFC" w:rsidRPr="00295637">
        <w:rPr>
          <w:rFonts w:ascii="Times New Roman" w:hAnsi="Times New Roman"/>
          <w:lang w:val="sr-Cyrl-BA"/>
        </w:rPr>
        <w:t xml:space="preserve"> </w:t>
      </w:r>
      <w:r>
        <w:rPr>
          <w:rFonts w:ascii="Times New Roman" w:hAnsi="Times New Roman"/>
          <w:lang w:val="sr-Cyrl-BA"/>
        </w:rPr>
        <w:t>или</w:t>
      </w:r>
      <w:r w:rsidR="007E1AFC" w:rsidRPr="00295637">
        <w:rPr>
          <w:rFonts w:ascii="Times New Roman" w:hAnsi="Times New Roman"/>
          <w:lang w:val="sr-Cyrl-BA"/>
        </w:rPr>
        <w:t xml:space="preserve"> </w:t>
      </w:r>
      <w:r>
        <w:rPr>
          <w:rFonts w:ascii="Times New Roman" w:hAnsi="Times New Roman"/>
          <w:lang w:val="sr-Cyrl-BA"/>
        </w:rPr>
        <w:t>етничко</w:t>
      </w:r>
      <w:r w:rsidR="007E1AFC"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ријекло</w:t>
      </w:r>
      <w:r w:rsidR="007E1AFC" w:rsidRPr="00295637">
        <w:rPr>
          <w:rFonts w:ascii="Times New Roman" w:hAnsi="Times New Roman"/>
          <w:lang w:val="sr-Cyrl-BA"/>
        </w:rPr>
        <w:t xml:space="preserve">, </w:t>
      </w:r>
      <w:r>
        <w:rPr>
          <w:rFonts w:ascii="Times New Roman" w:hAnsi="Times New Roman"/>
          <w:lang w:val="sr-Cyrl-BA"/>
        </w:rPr>
        <w:t>једнаког</w:t>
      </w:r>
      <w:r w:rsidR="007E1AFC" w:rsidRPr="00295637">
        <w:rPr>
          <w:rFonts w:ascii="Times New Roman" w:hAnsi="Times New Roman"/>
          <w:lang w:val="sr-Cyrl-BA"/>
        </w:rPr>
        <w:t xml:space="preserve"> </w:t>
      </w:r>
      <w:r>
        <w:rPr>
          <w:rFonts w:ascii="Times New Roman" w:hAnsi="Times New Roman"/>
          <w:lang w:val="sr-Cyrl-BA"/>
        </w:rPr>
        <w:t>поступања</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hr-HR"/>
        </w:rPr>
        <w:t>области</w:t>
      </w:r>
      <w:r w:rsidR="007E1AFC" w:rsidRPr="00295637">
        <w:rPr>
          <w:rFonts w:ascii="Times New Roman" w:hAnsi="Times New Roman"/>
          <w:lang w:val="sr-Cyrl-BA"/>
        </w:rPr>
        <w:t xml:space="preserve"> </w:t>
      </w:r>
      <w:r>
        <w:rPr>
          <w:rFonts w:ascii="Times New Roman" w:hAnsi="Times New Roman"/>
          <w:lang w:val="sr-Cyrl-BA"/>
        </w:rPr>
        <w:t>запошљавања</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рада</w:t>
      </w:r>
      <w:r w:rsidR="007E1AFC" w:rsidRPr="00295637">
        <w:rPr>
          <w:rFonts w:ascii="Times New Roman" w:hAnsi="Times New Roman"/>
          <w:lang w:val="sr-Cyrl-BA"/>
        </w:rPr>
        <w:t xml:space="preserve"> </w:t>
      </w:r>
      <w:r>
        <w:rPr>
          <w:rFonts w:ascii="Times New Roman" w:hAnsi="Times New Roman"/>
          <w:lang w:val="sr-Cyrl-BA"/>
        </w:rPr>
        <w:t>према</w:t>
      </w:r>
      <w:r w:rsidR="007E1AFC" w:rsidRPr="00295637">
        <w:rPr>
          <w:rFonts w:ascii="Times New Roman" w:hAnsi="Times New Roman"/>
          <w:lang w:val="sr-Cyrl-BA"/>
        </w:rPr>
        <w:t xml:space="preserve"> </w:t>
      </w:r>
      <w:r>
        <w:rPr>
          <w:rFonts w:ascii="Times New Roman" w:hAnsi="Times New Roman"/>
          <w:lang w:val="hr-HR"/>
        </w:rPr>
        <w:t>лицима</w:t>
      </w:r>
      <w:r w:rsidR="007E1AFC" w:rsidRPr="00295637">
        <w:rPr>
          <w:rFonts w:ascii="Times New Roman" w:hAnsi="Times New Roman"/>
          <w:lang w:val="sr-Cyrl-BA"/>
        </w:rPr>
        <w:t xml:space="preserve"> </w:t>
      </w:r>
      <w:r>
        <w:rPr>
          <w:rFonts w:ascii="Times New Roman" w:hAnsi="Times New Roman"/>
          <w:lang w:val="sr-Cyrl-BA"/>
        </w:rPr>
        <w:t>без</w:t>
      </w:r>
      <w:r w:rsidR="007E1AFC" w:rsidRPr="00295637">
        <w:rPr>
          <w:rFonts w:ascii="Times New Roman" w:hAnsi="Times New Roman"/>
          <w:lang w:val="sr-Cyrl-BA"/>
        </w:rPr>
        <w:t xml:space="preserve"> </w:t>
      </w:r>
      <w:r>
        <w:rPr>
          <w:rFonts w:ascii="Times New Roman" w:hAnsi="Times New Roman"/>
          <w:lang w:val="sr-Cyrl-BA"/>
        </w:rPr>
        <w:t>обзира</w:t>
      </w:r>
      <w:r w:rsidR="007E1AFC" w:rsidRPr="00295637">
        <w:rPr>
          <w:rFonts w:ascii="Times New Roman" w:hAnsi="Times New Roman"/>
          <w:lang w:val="sr-Cyrl-BA"/>
        </w:rPr>
        <w:t xml:space="preserve"> </w:t>
      </w:r>
      <w:r>
        <w:rPr>
          <w:rFonts w:ascii="Times New Roman" w:hAnsi="Times New Roman"/>
          <w:lang w:val="sr-Cyrl-BA"/>
        </w:rPr>
        <w:t>на</w:t>
      </w:r>
      <w:r w:rsidR="007E1AFC" w:rsidRPr="00295637">
        <w:rPr>
          <w:rFonts w:ascii="Times New Roman" w:hAnsi="Times New Roman"/>
          <w:lang w:val="sr-Cyrl-BA"/>
        </w:rPr>
        <w:t xml:space="preserve"> </w:t>
      </w:r>
      <w:r>
        <w:rPr>
          <w:rFonts w:ascii="Times New Roman" w:hAnsi="Times New Roman"/>
          <w:lang w:val="sr-Cyrl-BA"/>
        </w:rPr>
        <w:t>њихову</w:t>
      </w:r>
      <w:r w:rsidR="007E1AFC" w:rsidRPr="00295637">
        <w:rPr>
          <w:rFonts w:ascii="Times New Roman" w:hAnsi="Times New Roman"/>
          <w:lang w:val="sr-Cyrl-BA"/>
        </w:rPr>
        <w:t xml:space="preserve"> </w:t>
      </w:r>
      <w:r>
        <w:rPr>
          <w:rFonts w:ascii="Times New Roman" w:hAnsi="Times New Roman"/>
          <w:lang w:val="sr-Cyrl-BA"/>
        </w:rPr>
        <w:t>вјеру</w:t>
      </w:r>
      <w:r w:rsidR="007E1AFC" w:rsidRPr="00295637">
        <w:rPr>
          <w:rFonts w:ascii="Times New Roman" w:hAnsi="Times New Roman"/>
          <w:lang w:val="sr-Cyrl-BA"/>
        </w:rPr>
        <w:t xml:space="preserve"> </w:t>
      </w:r>
      <w:r>
        <w:rPr>
          <w:rFonts w:ascii="Times New Roman" w:hAnsi="Times New Roman"/>
          <w:lang w:val="sr-Cyrl-BA"/>
        </w:rPr>
        <w:t>или</w:t>
      </w:r>
      <w:r w:rsidR="007E1AFC" w:rsidRPr="00295637">
        <w:rPr>
          <w:rFonts w:ascii="Times New Roman" w:hAnsi="Times New Roman"/>
          <w:lang w:val="sr-Cyrl-BA"/>
        </w:rPr>
        <w:t xml:space="preserve"> </w:t>
      </w:r>
      <w:r>
        <w:rPr>
          <w:rFonts w:ascii="Times New Roman" w:hAnsi="Times New Roman"/>
          <w:lang w:val="sr-Cyrl-BA"/>
        </w:rPr>
        <w:t>увјерење</w:t>
      </w:r>
      <w:r w:rsidR="007E1AFC" w:rsidRPr="00295637">
        <w:rPr>
          <w:rFonts w:ascii="Times New Roman" w:hAnsi="Times New Roman"/>
          <w:lang w:val="sr-Cyrl-BA"/>
        </w:rPr>
        <w:t xml:space="preserve">, </w:t>
      </w:r>
      <w:r>
        <w:rPr>
          <w:rFonts w:ascii="Times New Roman" w:hAnsi="Times New Roman"/>
          <w:lang w:val="sr-Cyrl-BA"/>
        </w:rPr>
        <w:t>инвалидитет</w:t>
      </w:r>
      <w:r w:rsidR="007E1AFC" w:rsidRPr="00295637">
        <w:rPr>
          <w:rFonts w:ascii="Times New Roman" w:hAnsi="Times New Roman"/>
          <w:lang w:val="sr-Cyrl-BA"/>
        </w:rPr>
        <w:t xml:space="preserve">, </w:t>
      </w:r>
      <w:r>
        <w:rPr>
          <w:rFonts w:ascii="Times New Roman" w:hAnsi="Times New Roman"/>
          <w:lang w:val="sr-Cyrl-BA"/>
        </w:rPr>
        <w:t>старост</w:t>
      </w:r>
      <w:r w:rsidR="007E1AFC" w:rsidRPr="00295637">
        <w:rPr>
          <w:rFonts w:ascii="Times New Roman" w:hAnsi="Times New Roman"/>
          <w:lang w:val="sr-Cyrl-BA"/>
        </w:rPr>
        <w:t xml:space="preserve"> </w:t>
      </w:r>
      <w:r>
        <w:rPr>
          <w:rFonts w:ascii="Times New Roman" w:hAnsi="Times New Roman"/>
          <w:lang w:val="sr-Cyrl-BA"/>
        </w:rPr>
        <w:t>или</w:t>
      </w:r>
      <w:r w:rsidR="007E1AFC" w:rsidRPr="00295637">
        <w:rPr>
          <w:rFonts w:ascii="Times New Roman" w:hAnsi="Times New Roman"/>
          <w:lang w:val="sr-Cyrl-BA"/>
        </w:rPr>
        <w:t xml:space="preserve"> </w:t>
      </w:r>
      <w:r>
        <w:rPr>
          <w:rFonts w:ascii="Times New Roman" w:hAnsi="Times New Roman"/>
          <w:lang w:val="sr-Cyrl-BA"/>
        </w:rPr>
        <w:t>сексуалну</w:t>
      </w:r>
      <w:r w:rsidR="007E1AFC" w:rsidRPr="00295637">
        <w:rPr>
          <w:rFonts w:ascii="Times New Roman" w:hAnsi="Times New Roman"/>
          <w:lang w:val="sr-Cyrl-BA"/>
        </w:rPr>
        <w:t xml:space="preserve"> </w:t>
      </w:r>
      <w:r>
        <w:rPr>
          <w:rFonts w:ascii="Times New Roman" w:hAnsi="Times New Roman"/>
          <w:lang w:val="sr-Cyrl-BA"/>
        </w:rPr>
        <w:t>оријентацију</w:t>
      </w:r>
      <w:r w:rsidR="007E1AFC" w:rsidRPr="00295637">
        <w:rPr>
          <w:rFonts w:ascii="Times New Roman" w:hAnsi="Times New Roman"/>
          <w:lang w:val="sr-Cyrl-BA"/>
        </w:rPr>
        <w:t xml:space="preserve">, </w:t>
      </w:r>
      <w:r>
        <w:rPr>
          <w:rFonts w:ascii="Times New Roman" w:hAnsi="Times New Roman"/>
          <w:lang w:val="sr-Cyrl-BA"/>
        </w:rPr>
        <w:t>једнаког</w:t>
      </w:r>
      <w:r w:rsidR="007E1AFC" w:rsidRPr="00295637">
        <w:rPr>
          <w:rFonts w:ascii="Times New Roman" w:hAnsi="Times New Roman"/>
          <w:lang w:val="sr-Cyrl-BA"/>
        </w:rPr>
        <w:t xml:space="preserve"> </w:t>
      </w:r>
      <w:r>
        <w:rPr>
          <w:rFonts w:ascii="Times New Roman" w:hAnsi="Times New Roman"/>
          <w:lang w:val="sr-Cyrl-BA"/>
        </w:rPr>
        <w:t>поступања</w:t>
      </w:r>
      <w:r w:rsidR="007E1AFC" w:rsidRPr="00295637">
        <w:rPr>
          <w:rFonts w:ascii="Times New Roman" w:hAnsi="Times New Roman"/>
          <w:lang w:val="sr-Cyrl-BA"/>
        </w:rPr>
        <w:t xml:space="preserve"> </w:t>
      </w:r>
      <w:r>
        <w:rPr>
          <w:rFonts w:ascii="Times New Roman" w:hAnsi="Times New Roman"/>
          <w:lang w:val="sr-Cyrl-BA"/>
        </w:rPr>
        <w:t>према</w:t>
      </w:r>
      <w:r w:rsidR="007E1AFC" w:rsidRPr="00295637">
        <w:rPr>
          <w:rFonts w:ascii="Times New Roman" w:hAnsi="Times New Roman"/>
          <w:lang w:val="sr-Cyrl-BA"/>
        </w:rPr>
        <w:t xml:space="preserve"> </w:t>
      </w:r>
      <w:r>
        <w:rPr>
          <w:rFonts w:ascii="Times New Roman" w:hAnsi="Times New Roman"/>
          <w:lang w:val="sr-Cyrl-BA"/>
        </w:rPr>
        <w:t>женама</w:t>
      </w:r>
      <w:r w:rsidR="007E1AFC" w:rsidRPr="00295637">
        <w:rPr>
          <w:rFonts w:ascii="Times New Roman" w:hAnsi="Times New Roman"/>
          <w:lang w:val="sr-Cyrl-BA"/>
        </w:rPr>
        <w:t xml:space="preserve"> </w:t>
      </w:r>
      <w:r>
        <w:rPr>
          <w:rFonts w:ascii="Times New Roman" w:hAnsi="Times New Roman"/>
          <w:lang w:val="sr-Cyrl-BA"/>
        </w:rPr>
        <w:t>и</w:t>
      </w:r>
      <w:r w:rsidR="007E1AFC" w:rsidRPr="00295637">
        <w:rPr>
          <w:rFonts w:ascii="Times New Roman" w:hAnsi="Times New Roman"/>
          <w:lang w:val="sr-Cyrl-BA"/>
        </w:rPr>
        <w:t xml:space="preserve"> </w:t>
      </w:r>
      <w:r>
        <w:rPr>
          <w:rFonts w:ascii="Times New Roman" w:hAnsi="Times New Roman"/>
          <w:lang w:val="sr-Cyrl-BA"/>
        </w:rPr>
        <w:t>мушкарцима</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питањима</w:t>
      </w:r>
      <w:r w:rsidR="007E1AFC" w:rsidRPr="00295637">
        <w:rPr>
          <w:rFonts w:ascii="Times New Roman" w:hAnsi="Times New Roman"/>
          <w:lang w:val="sr-Cyrl-BA"/>
        </w:rPr>
        <w:t xml:space="preserve"> </w:t>
      </w:r>
      <w:r>
        <w:rPr>
          <w:rFonts w:ascii="Times New Roman" w:hAnsi="Times New Roman"/>
          <w:lang w:val="sr-Cyrl-BA"/>
        </w:rPr>
        <w:t>социјалне</w:t>
      </w:r>
      <w:r w:rsidR="007E1AFC" w:rsidRPr="00295637">
        <w:rPr>
          <w:rFonts w:ascii="Times New Roman" w:hAnsi="Times New Roman"/>
          <w:lang w:val="sr-Cyrl-BA"/>
        </w:rPr>
        <w:t xml:space="preserve"> </w:t>
      </w:r>
      <w:r w:rsidR="002C2924">
        <w:rPr>
          <w:rFonts w:ascii="Times New Roman" w:hAnsi="Times New Roman"/>
          <w:lang w:val="sr-Cyrl-BA"/>
        </w:rPr>
        <w:t>безбједности</w:t>
      </w:r>
      <w:r w:rsidR="007E1AFC" w:rsidRPr="00295637">
        <w:rPr>
          <w:rFonts w:ascii="Times New Roman" w:hAnsi="Times New Roman"/>
          <w:lang w:val="sr-Cyrl-BA"/>
        </w:rPr>
        <w:t xml:space="preserve"> </w:t>
      </w:r>
      <w:r>
        <w:rPr>
          <w:rFonts w:ascii="Times New Roman" w:hAnsi="Times New Roman"/>
          <w:lang w:val="sr-Cyrl-BA"/>
        </w:rPr>
        <w:t>те</w:t>
      </w:r>
      <w:r w:rsidR="007E1AFC" w:rsidRPr="00295637">
        <w:rPr>
          <w:rFonts w:ascii="Times New Roman" w:hAnsi="Times New Roman"/>
          <w:lang w:val="sr-Cyrl-BA"/>
        </w:rPr>
        <w:t xml:space="preserve"> </w:t>
      </w:r>
      <w:r>
        <w:rPr>
          <w:rFonts w:ascii="Times New Roman" w:hAnsi="Times New Roman"/>
          <w:lang w:val="sr-Cyrl-BA"/>
        </w:rPr>
        <w:t>у</w:t>
      </w:r>
      <w:r w:rsidR="007E1AFC" w:rsidRPr="00295637">
        <w:rPr>
          <w:rFonts w:ascii="Times New Roman" w:hAnsi="Times New Roman"/>
          <w:lang w:val="sr-Cyrl-BA"/>
        </w:rPr>
        <w:t xml:space="preserve"> </w:t>
      </w:r>
      <w:r>
        <w:rPr>
          <w:rFonts w:ascii="Times New Roman" w:hAnsi="Times New Roman"/>
          <w:lang w:val="sr-Cyrl-BA"/>
        </w:rPr>
        <w:t>приступу</w:t>
      </w:r>
      <w:r w:rsidR="007E1AFC" w:rsidRPr="00295637">
        <w:rPr>
          <w:rFonts w:ascii="Times New Roman" w:hAnsi="Times New Roman"/>
          <w:lang w:val="sr-Cyrl-BA"/>
        </w:rPr>
        <w:t xml:space="preserve"> </w:t>
      </w:r>
      <w:r>
        <w:rPr>
          <w:rFonts w:ascii="Times New Roman" w:hAnsi="Times New Roman"/>
          <w:lang w:val="sr-Cyrl-BA"/>
        </w:rPr>
        <w:t>јавним</w:t>
      </w:r>
      <w:r w:rsidR="007E1AFC" w:rsidRPr="00295637">
        <w:rPr>
          <w:rFonts w:ascii="Times New Roman" w:hAnsi="Times New Roman"/>
          <w:lang w:val="sr-Cyrl-BA"/>
        </w:rPr>
        <w:t xml:space="preserve"> </w:t>
      </w:r>
      <w:r>
        <w:rPr>
          <w:rFonts w:ascii="Times New Roman" w:hAnsi="Times New Roman"/>
          <w:lang w:val="sr-Cyrl-BA"/>
        </w:rPr>
        <w:t>набавкама</w:t>
      </w:r>
      <w:r w:rsidR="007E1AFC" w:rsidRPr="00295637">
        <w:rPr>
          <w:rFonts w:ascii="Times New Roman" w:hAnsi="Times New Roman"/>
          <w:lang w:val="sr-Cyrl-BA"/>
        </w:rPr>
        <w:t xml:space="preserve">, </w:t>
      </w:r>
      <w:r>
        <w:rPr>
          <w:rFonts w:ascii="Times New Roman" w:hAnsi="Times New Roman"/>
          <w:lang w:val="sr-Cyrl-BA"/>
        </w:rPr>
        <w:t>односно</w:t>
      </w:r>
      <w:r w:rsidR="007E1AFC" w:rsidRPr="00295637">
        <w:rPr>
          <w:rFonts w:ascii="Times New Roman" w:hAnsi="Times New Roman"/>
          <w:lang w:val="sr-Cyrl-BA"/>
        </w:rPr>
        <w:t xml:space="preserve"> </w:t>
      </w:r>
      <w:r>
        <w:rPr>
          <w:rFonts w:ascii="Times New Roman" w:hAnsi="Times New Roman"/>
          <w:lang w:val="sr-Cyrl-BA"/>
        </w:rPr>
        <w:t>пружању</w:t>
      </w:r>
      <w:r w:rsidR="007E1AFC" w:rsidRPr="00295637">
        <w:rPr>
          <w:rFonts w:ascii="Times New Roman" w:hAnsi="Times New Roman"/>
          <w:lang w:val="sr-Cyrl-BA"/>
        </w:rPr>
        <w:t xml:space="preserve"> </w:t>
      </w:r>
      <w:r>
        <w:rPr>
          <w:rFonts w:ascii="Times New Roman" w:hAnsi="Times New Roman"/>
          <w:lang w:val="sr-Cyrl-BA"/>
        </w:rPr>
        <w:t>услуга</w:t>
      </w:r>
      <w:r w:rsidR="007E1AFC"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7E1AFC" w:rsidRPr="00295637">
        <w:rPr>
          <w:rFonts w:ascii="Times New Roman" w:hAnsi="Times New Roman"/>
          <w:lang w:val="sr-Cyrl-BA"/>
        </w:rPr>
        <w:t xml:space="preserve"> </w:t>
      </w:r>
      <w:r>
        <w:rPr>
          <w:rFonts w:ascii="Times New Roman" w:hAnsi="Times New Roman"/>
          <w:lang w:val="sr-Cyrl-BA"/>
        </w:rPr>
        <w:t>чланом</w:t>
      </w:r>
      <w:r w:rsidR="007E1AFC" w:rsidRPr="00295637">
        <w:rPr>
          <w:rFonts w:ascii="Times New Roman" w:hAnsi="Times New Roman"/>
          <w:lang w:val="sr-Cyrl-BA"/>
        </w:rPr>
        <w:t xml:space="preserve"> 19. </w:t>
      </w:r>
      <w:r>
        <w:rPr>
          <w:rFonts w:ascii="Times New Roman" w:hAnsi="Times New Roman"/>
          <w:lang w:val="sr-Cyrl-BA"/>
        </w:rPr>
        <w:t>став</w:t>
      </w:r>
      <w:r w:rsidR="00AE754B">
        <w:rPr>
          <w:rFonts w:ascii="Times New Roman" w:hAnsi="Times New Roman"/>
          <w:lang w:val="sr-Cyrl-BA"/>
        </w:rPr>
        <w:t xml:space="preserve"> 1</w:t>
      </w:r>
      <w:r w:rsidR="00AE754B">
        <w:rPr>
          <w:rFonts w:ascii="Times New Roman" w:hAnsi="Times New Roman"/>
          <w:lang w:val="hr-HR"/>
        </w:rPr>
        <w:t>)</w:t>
      </w:r>
      <w:r w:rsidR="007E1AFC" w:rsidRPr="00295637">
        <w:rPr>
          <w:rFonts w:ascii="Times New Roman" w:hAnsi="Times New Roman"/>
          <w:lang w:val="sr-Cyrl-BA"/>
        </w:rPr>
        <w:t xml:space="preserve"> </w:t>
      </w:r>
      <w:r w:rsidR="002C2924" w:rsidRPr="002C2924">
        <w:rPr>
          <w:rFonts w:ascii="Times New Roman" w:hAnsi="Times New Roman"/>
          <w:i/>
          <w:lang w:val="sr-Cyrl-BA"/>
        </w:rPr>
        <w:t>UFEU</w:t>
      </w:r>
      <w:r w:rsidR="007E1AFC" w:rsidRPr="00295637">
        <w:rPr>
          <w:rFonts w:ascii="Times New Roman" w:hAnsi="Times New Roman"/>
          <w:lang w:val="sr-Cyrl-BA"/>
        </w:rPr>
        <w:t>-</w:t>
      </w:r>
      <w:r>
        <w:rPr>
          <w:rFonts w:ascii="Times New Roman" w:hAnsi="Times New Roman"/>
          <w:lang w:val="sr-Cyrl-BA"/>
        </w:rPr>
        <w:t>а</w:t>
      </w:r>
      <w:r w:rsidR="007E1AFC" w:rsidRPr="00295637">
        <w:rPr>
          <w:rFonts w:ascii="Times New Roman" w:hAnsi="Times New Roman"/>
          <w:lang w:val="sr-Cyrl-BA"/>
        </w:rPr>
        <w:t xml:space="preserve"> </w:t>
      </w:r>
      <w:r>
        <w:rPr>
          <w:rFonts w:ascii="Times New Roman" w:hAnsi="Times New Roman"/>
          <w:lang w:val="sr-Cyrl-BA"/>
        </w:rPr>
        <w:t>као</w:t>
      </w:r>
      <w:r w:rsidR="007E1AFC" w:rsidRPr="00295637">
        <w:rPr>
          <w:rFonts w:ascii="Times New Roman" w:hAnsi="Times New Roman"/>
          <w:lang w:val="sr-Cyrl-BA"/>
        </w:rPr>
        <w:t xml:space="preserve"> </w:t>
      </w:r>
      <w:r>
        <w:rPr>
          <w:rFonts w:ascii="Times New Roman" w:hAnsi="Times New Roman"/>
          <w:lang w:val="sr-Cyrl-BA"/>
        </w:rPr>
        <w:t>правним</w:t>
      </w:r>
      <w:r w:rsidR="007E1AFC" w:rsidRPr="00295637">
        <w:rPr>
          <w:rFonts w:ascii="Times New Roman" w:hAnsi="Times New Roman"/>
          <w:lang w:val="sr-Cyrl-BA"/>
        </w:rPr>
        <w:t xml:space="preserve"> </w:t>
      </w:r>
      <w:r>
        <w:rPr>
          <w:rFonts w:ascii="Times New Roman" w:hAnsi="Times New Roman"/>
          <w:lang w:val="hr-HR"/>
        </w:rPr>
        <w:t>основом</w:t>
      </w:r>
      <w:r w:rsidR="007E1AFC" w:rsidRPr="00295637">
        <w:rPr>
          <w:rFonts w:ascii="Times New Roman" w:hAnsi="Times New Roman"/>
          <w:lang w:val="sr-Cyrl-BA"/>
        </w:rPr>
        <w:t>.</w:t>
      </w:r>
    </w:p>
    <w:p w:rsidR="00674E7F" w:rsidRPr="00674E7F" w:rsidRDefault="00674E7F" w:rsidP="00674E7F">
      <w:pPr>
        <w:rPr>
          <w:lang w:val="bs-Latn-BA"/>
        </w:rPr>
      </w:pPr>
    </w:p>
    <w:p w:rsidR="00356C2C" w:rsidRPr="00295637" w:rsidRDefault="00B745C8" w:rsidP="00A30F6F">
      <w:pPr>
        <w:tabs>
          <w:tab w:val="left" w:pos="284"/>
          <w:tab w:val="left" w:pos="630"/>
          <w:tab w:val="left" w:pos="1080"/>
        </w:tabs>
        <w:ind w:left="567"/>
        <w:jc w:val="both"/>
        <w:rPr>
          <w:rFonts w:ascii="Times New Roman" w:hAnsi="Times New Roman"/>
          <w:szCs w:val="24"/>
          <w:lang w:val="bs-Latn-BA"/>
        </w:rPr>
      </w:pPr>
      <w:r w:rsidRPr="00B745C8">
        <w:rPr>
          <w:rFonts w:ascii="Times New Roman" w:hAnsi="Times New Roman"/>
          <w:szCs w:val="24"/>
          <w:lang w:val="bs-Latn-BA"/>
        </w:rPr>
        <w:t>II</w:t>
      </w:r>
      <w:r w:rsidR="00A30F6F">
        <w:rPr>
          <w:rFonts w:ascii="Times New Roman" w:hAnsi="Times New Roman"/>
          <w:szCs w:val="24"/>
          <w:lang w:val="bs-Latn-BA"/>
        </w:rPr>
        <w:t xml:space="preserve"> 2.2. </w:t>
      </w:r>
      <w:r w:rsidR="00C6214E">
        <w:rPr>
          <w:rFonts w:ascii="Times New Roman" w:hAnsi="Times New Roman"/>
          <w:szCs w:val="24"/>
          <w:lang w:val="bs-Latn-BA"/>
        </w:rPr>
        <w:t>Представљање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нивоу</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учешће</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активностима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органа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људских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жена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група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механизама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УН</w:t>
      </w:r>
      <w:r w:rsidR="00356C2C" w:rsidRPr="00295637">
        <w:rPr>
          <w:rFonts w:ascii="Times New Roman" w:hAnsi="Times New Roman"/>
          <w:szCs w:val="24"/>
          <w:lang w:val="bs-Latn-BA"/>
        </w:rPr>
        <w:t>-</w:t>
      </w:r>
      <w:r w:rsidR="00C6214E">
        <w:rPr>
          <w:rFonts w:ascii="Times New Roman" w:hAnsi="Times New Roman"/>
          <w:szCs w:val="24"/>
          <w:lang w:val="bs-Latn-BA"/>
        </w:rPr>
        <w:t>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Pr>
          <w:rFonts w:ascii="Times New Roman" w:hAnsi="Times New Roman"/>
          <w:szCs w:val="24"/>
          <w:lang w:val="sr-Cyrl-BA"/>
        </w:rPr>
        <w:t>Савјета</w:t>
      </w:r>
      <w:r w:rsidR="00356C2C" w:rsidRPr="00295637">
        <w:rPr>
          <w:rFonts w:ascii="Times New Roman" w:hAnsi="Times New Roman"/>
          <w:szCs w:val="24"/>
          <w:lang w:val="bs-Latn-BA"/>
        </w:rPr>
        <w:t xml:space="preserve"> </w:t>
      </w:r>
      <w:r w:rsidR="00C6214E">
        <w:rPr>
          <w:rFonts w:ascii="Times New Roman" w:hAnsi="Times New Roman"/>
          <w:szCs w:val="24"/>
          <w:lang w:val="bs-Latn-BA"/>
        </w:rPr>
        <w:t>Европе</w:t>
      </w:r>
      <w:r w:rsidR="00356C2C" w:rsidRPr="00295637">
        <w:rPr>
          <w:rFonts w:ascii="Times New Roman" w:hAnsi="Times New Roman"/>
          <w:szCs w:val="24"/>
          <w:lang w:val="bs-Latn-BA"/>
        </w:rPr>
        <w:t>.</w:t>
      </w:r>
    </w:p>
    <w:p w:rsidR="00E84CF4" w:rsidRPr="00295637" w:rsidRDefault="00E84CF4" w:rsidP="0086268D">
      <w:pPr>
        <w:jc w:val="both"/>
        <w:rPr>
          <w:rFonts w:ascii="Times New Roman" w:hAnsi="Times New Roman"/>
          <w:szCs w:val="24"/>
          <w:lang w:val="en-US"/>
        </w:rPr>
      </w:pPr>
    </w:p>
    <w:p w:rsidR="009730D1" w:rsidRPr="00295637" w:rsidRDefault="00C6214E" w:rsidP="0086268D">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Представници</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АР</w:t>
      </w:r>
      <w:r w:rsidR="00B745C8">
        <w:rPr>
          <w:rFonts w:ascii="Times New Roman" w:hAnsi="Times New Roman" w:cs="Times New Roman"/>
          <w:sz w:val="24"/>
          <w:szCs w:val="24"/>
          <w:lang w:val="sr-Cyrl-BA"/>
        </w:rPr>
        <w:t>П</w:t>
      </w:r>
      <w:r w:rsidR="009E54A2"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БиХ</w:t>
      </w:r>
      <w:r w:rsidR="009E54A2"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МЉПИ</w:t>
      </w:r>
      <w:r w:rsidR="00314B0D">
        <w:rPr>
          <w:rFonts w:ascii="Times New Roman" w:hAnsi="Times New Roman" w:cs="Times New Roman"/>
          <w:sz w:val="24"/>
          <w:szCs w:val="24"/>
          <w:lang w:val="en-US"/>
        </w:rPr>
        <w:t xml:space="preserve"> </w:t>
      </w:r>
      <w:r>
        <w:rPr>
          <w:rFonts w:ascii="Times New Roman" w:hAnsi="Times New Roman" w:cs="Times New Roman"/>
          <w:sz w:val="24"/>
          <w:szCs w:val="24"/>
          <w:lang w:val="en-US"/>
        </w:rPr>
        <w:t>БиХ</w:t>
      </w:r>
      <w:r w:rsidR="00D319BF">
        <w:rPr>
          <w:rFonts w:ascii="Times New Roman" w:hAnsi="Times New Roman" w:cs="Times New Roman"/>
          <w:sz w:val="24"/>
          <w:szCs w:val="24"/>
          <w:lang w:val="en-US"/>
        </w:rPr>
        <w:t xml:space="preserve">, </w:t>
      </w:r>
      <w:r>
        <w:rPr>
          <w:rFonts w:ascii="Times New Roman" w:hAnsi="Times New Roman" w:cs="Times New Roman"/>
          <w:sz w:val="24"/>
          <w:szCs w:val="24"/>
          <w:lang w:val="en-US"/>
        </w:rPr>
        <w:t>као</w:t>
      </w:r>
      <w:r w:rsidR="00D319BF">
        <w:rPr>
          <w:rFonts w:ascii="Times New Roman" w:hAnsi="Times New Roman" w:cs="Times New Roman"/>
          <w:sz w:val="24"/>
          <w:szCs w:val="24"/>
          <w:lang w:val="en-US"/>
        </w:rPr>
        <w:t xml:space="preserve"> </w:t>
      </w:r>
      <w:r>
        <w:rPr>
          <w:rFonts w:ascii="Times New Roman" w:hAnsi="Times New Roman" w:cs="Times New Roman"/>
          <w:sz w:val="24"/>
          <w:szCs w:val="24"/>
          <w:lang w:val="en-US"/>
        </w:rPr>
        <w:t>чланови</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међународних</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стручних</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органа</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као</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што</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су</w:t>
      </w:r>
      <w:r w:rsidR="00253C55" w:rsidRPr="00295637">
        <w:rPr>
          <w:rFonts w:ascii="Times New Roman" w:hAnsi="Times New Roman" w:cs="Times New Roman"/>
          <w:sz w:val="24"/>
          <w:szCs w:val="24"/>
          <w:lang w:val="en-US"/>
        </w:rPr>
        <w:t xml:space="preserve"> </w:t>
      </w:r>
      <w:r w:rsidR="00B745C8" w:rsidRPr="00B745C8">
        <w:rPr>
          <w:rFonts w:ascii="Times New Roman" w:hAnsi="Times New Roman" w:cs="Times New Roman"/>
          <w:i/>
          <w:sz w:val="24"/>
          <w:szCs w:val="24"/>
          <w:lang w:val="hr-HR"/>
        </w:rPr>
        <w:t>GEC</w:t>
      </w:r>
      <w:r w:rsidR="00253C55" w:rsidRPr="00295637">
        <w:rPr>
          <w:rFonts w:ascii="Times New Roman" w:hAnsi="Times New Roman" w:cs="Times New Roman"/>
          <w:sz w:val="24"/>
          <w:szCs w:val="24"/>
          <w:lang w:val="hr-HR"/>
        </w:rPr>
        <w:t xml:space="preserve"> </w:t>
      </w:r>
      <w:r w:rsidR="00B745C8">
        <w:rPr>
          <w:rFonts w:ascii="Times New Roman" w:hAnsi="Times New Roman" w:cs="Times New Roman"/>
          <w:sz w:val="24"/>
          <w:szCs w:val="24"/>
          <w:lang w:val="sr-Cyrl-BA"/>
        </w:rPr>
        <w:t>Савјета</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Европе</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Одбор</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земаља</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уговорних</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страна</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Истанбулске</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конвенције</w:t>
      </w:r>
      <w:r w:rsidR="00253C55" w:rsidRPr="00295637">
        <w:rPr>
          <w:rFonts w:ascii="Times New Roman" w:hAnsi="Times New Roman" w:cs="Times New Roman"/>
          <w:sz w:val="24"/>
          <w:szCs w:val="24"/>
          <w:lang w:val="hr-HR"/>
        </w:rPr>
        <w:t xml:space="preserve"> </w:t>
      </w:r>
      <w:r w:rsidR="00B745C8">
        <w:rPr>
          <w:rFonts w:ascii="Times New Roman" w:hAnsi="Times New Roman" w:cs="Times New Roman"/>
          <w:sz w:val="24"/>
          <w:szCs w:val="24"/>
          <w:lang w:val="sr-Cyrl-BA"/>
        </w:rPr>
        <w:t>С</w:t>
      </w:r>
      <w:r>
        <w:rPr>
          <w:rFonts w:ascii="Times New Roman" w:hAnsi="Times New Roman" w:cs="Times New Roman"/>
          <w:sz w:val="24"/>
          <w:szCs w:val="24"/>
          <w:lang w:val="hr-HR"/>
        </w:rPr>
        <w:t>Е</w:t>
      </w:r>
      <w:r w:rsidR="00253C55" w:rsidRPr="00295637">
        <w:rPr>
          <w:rFonts w:ascii="Times New Roman" w:hAnsi="Times New Roman" w:cs="Times New Roman"/>
          <w:sz w:val="24"/>
          <w:szCs w:val="24"/>
          <w:lang w:val="hr-HR"/>
        </w:rPr>
        <w:t xml:space="preserve">, </w:t>
      </w:r>
      <w:r w:rsidR="00B745C8" w:rsidRPr="00B745C8">
        <w:rPr>
          <w:rFonts w:ascii="Times New Roman" w:hAnsi="Times New Roman" w:cs="Times New Roman"/>
          <w:i/>
          <w:sz w:val="24"/>
          <w:szCs w:val="24"/>
          <w:lang w:val="hr-HR"/>
        </w:rPr>
        <w:t>GEC MIG</w:t>
      </w:r>
      <w:r w:rsidR="00253C55" w:rsidRPr="00295637">
        <w:rPr>
          <w:rFonts w:ascii="Times New Roman" w:hAnsi="Times New Roman" w:cs="Times New Roman"/>
          <w:sz w:val="24"/>
          <w:szCs w:val="24"/>
          <w:lang w:val="hr-HR"/>
        </w:rPr>
        <w:t xml:space="preserve">, </w:t>
      </w:r>
      <w:r w:rsidR="00B745C8" w:rsidRPr="00B745C8">
        <w:rPr>
          <w:rFonts w:ascii="Times New Roman" w:hAnsi="Times New Roman" w:cs="Times New Roman"/>
          <w:i/>
          <w:sz w:val="24"/>
          <w:szCs w:val="24"/>
          <w:lang w:val="hr-HR"/>
        </w:rPr>
        <w:t>CDADI</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Мрежа</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службеника</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задужених</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за</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ЛГБТИ</w:t>
      </w:r>
      <w:r w:rsidR="00253C5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питања</w:t>
      </w:r>
      <w:r w:rsidR="00314B0D">
        <w:rPr>
          <w:rFonts w:ascii="Times New Roman" w:hAnsi="Times New Roman" w:cs="Times New Roman"/>
          <w:sz w:val="24"/>
          <w:szCs w:val="24"/>
          <w:lang w:val="hr-HR"/>
        </w:rPr>
        <w:t xml:space="preserve"> </w:t>
      </w:r>
      <w:r w:rsidR="00B745C8">
        <w:rPr>
          <w:rFonts w:ascii="Times New Roman" w:hAnsi="Times New Roman" w:cs="Times New Roman"/>
          <w:sz w:val="24"/>
          <w:szCs w:val="24"/>
          <w:lang w:val="sr-Cyrl-BA"/>
        </w:rPr>
        <w:t>С</w:t>
      </w:r>
      <w:r>
        <w:rPr>
          <w:rFonts w:ascii="Times New Roman" w:hAnsi="Times New Roman" w:cs="Times New Roman"/>
          <w:sz w:val="24"/>
          <w:szCs w:val="24"/>
          <w:lang w:val="hr-HR"/>
        </w:rPr>
        <w:t>Е</w:t>
      </w:r>
      <w:r w:rsidR="004C49F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Глобална</w:t>
      </w:r>
      <w:r w:rsidR="004C49F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мрежа</w:t>
      </w:r>
      <w:r w:rsidR="00865718">
        <w:rPr>
          <w:rFonts w:ascii="Times New Roman" w:hAnsi="Times New Roman" w:cs="Times New Roman"/>
          <w:sz w:val="24"/>
          <w:szCs w:val="24"/>
          <w:lang w:val="hr-HR"/>
        </w:rPr>
        <w:t xml:space="preserve"> </w:t>
      </w:r>
      <w:r>
        <w:rPr>
          <w:rFonts w:ascii="Times New Roman" w:hAnsi="Times New Roman" w:cs="Times New Roman"/>
          <w:sz w:val="24"/>
          <w:szCs w:val="24"/>
          <w:lang w:val="hr-HR"/>
        </w:rPr>
        <w:t>Уједињених</w:t>
      </w:r>
      <w:r w:rsidR="00865718">
        <w:rPr>
          <w:rFonts w:ascii="Times New Roman" w:hAnsi="Times New Roman" w:cs="Times New Roman"/>
          <w:sz w:val="24"/>
          <w:szCs w:val="24"/>
          <w:lang w:val="hr-HR"/>
        </w:rPr>
        <w:t xml:space="preserve"> </w:t>
      </w:r>
      <w:r>
        <w:rPr>
          <w:rFonts w:ascii="Times New Roman" w:hAnsi="Times New Roman" w:cs="Times New Roman"/>
          <w:sz w:val="24"/>
          <w:szCs w:val="24"/>
          <w:lang w:val="hr-HR"/>
        </w:rPr>
        <w:t>нација</w:t>
      </w:r>
      <w:r w:rsidR="004C49F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Жене</w:t>
      </w:r>
      <w:r w:rsidR="004C49F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мир</w:t>
      </w:r>
      <w:r w:rsidR="004C49F5" w:rsidRPr="00295637">
        <w:rPr>
          <w:rFonts w:ascii="Times New Roman" w:hAnsi="Times New Roman" w:cs="Times New Roman"/>
          <w:sz w:val="24"/>
          <w:szCs w:val="24"/>
          <w:lang w:val="hr-HR"/>
        </w:rPr>
        <w:t xml:space="preserve"> </w:t>
      </w:r>
      <w:r>
        <w:rPr>
          <w:rFonts w:ascii="Times New Roman" w:hAnsi="Times New Roman" w:cs="Times New Roman"/>
          <w:sz w:val="24"/>
          <w:szCs w:val="24"/>
          <w:lang w:val="hr-HR"/>
        </w:rPr>
        <w:t>и</w:t>
      </w:r>
      <w:r w:rsidR="004C49F5" w:rsidRPr="00295637">
        <w:rPr>
          <w:rFonts w:ascii="Times New Roman" w:hAnsi="Times New Roman" w:cs="Times New Roman"/>
          <w:sz w:val="24"/>
          <w:szCs w:val="24"/>
          <w:lang w:val="hr-HR"/>
        </w:rPr>
        <w:t xml:space="preserve"> </w:t>
      </w:r>
      <w:r w:rsidR="00B745C8">
        <w:rPr>
          <w:rFonts w:ascii="Times New Roman" w:hAnsi="Times New Roman" w:cs="Times New Roman"/>
          <w:sz w:val="24"/>
          <w:szCs w:val="24"/>
          <w:lang w:val="sr-Cyrl-BA"/>
        </w:rPr>
        <w:t>безбједност</w:t>
      </w:r>
      <w:r w:rsidR="004C49F5" w:rsidRPr="00295637">
        <w:rPr>
          <w:rFonts w:ascii="Times New Roman" w:hAnsi="Times New Roman" w:cs="Times New Roman"/>
          <w:sz w:val="24"/>
          <w:szCs w:val="24"/>
          <w:lang w:val="hr-HR"/>
        </w:rPr>
        <w:t>“</w:t>
      </w:r>
      <w:r w:rsidR="00253C55" w:rsidRPr="00295637">
        <w:rPr>
          <w:rFonts w:ascii="Times New Roman" w:hAnsi="Times New Roman" w:cs="Times New Roman"/>
          <w:sz w:val="24"/>
          <w:szCs w:val="24"/>
          <w:lang w:val="hr-HR"/>
        </w:rPr>
        <w:t>,</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присуствовали</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су</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и</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допринијели</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раду</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поменутих</w:t>
      </w:r>
      <w:r w:rsidR="00253C55"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органа</w:t>
      </w:r>
      <w:r w:rsidR="00253C55" w:rsidRPr="00295637">
        <w:rPr>
          <w:rFonts w:ascii="Times New Roman" w:hAnsi="Times New Roman" w:cs="Times New Roman"/>
          <w:sz w:val="24"/>
          <w:szCs w:val="24"/>
          <w:lang w:val="en-US"/>
        </w:rPr>
        <w:t xml:space="preserve">. </w:t>
      </w:r>
    </w:p>
    <w:p w:rsidR="009730D1" w:rsidRPr="00295637" w:rsidRDefault="009730D1" w:rsidP="0086268D">
      <w:pPr>
        <w:pStyle w:val="HTMLPreformatted"/>
        <w:jc w:val="both"/>
        <w:rPr>
          <w:rFonts w:ascii="Times New Roman" w:hAnsi="Times New Roman" w:cs="Times New Roman"/>
          <w:sz w:val="24"/>
          <w:szCs w:val="24"/>
          <w:lang w:val="en-US"/>
        </w:rPr>
      </w:pPr>
    </w:p>
    <w:p w:rsidR="00253C55" w:rsidRPr="00AE754B" w:rsidRDefault="00C6214E" w:rsidP="0086268D">
      <w:pPr>
        <w:pStyle w:val="HTMLPreformatted"/>
        <w:jc w:val="both"/>
        <w:rPr>
          <w:rFonts w:ascii="Times New Roman" w:hAnsi="Times New Roman"/>
          <w:sz w:val="24"/>
          <w:szCs w:val="24"/>
          <w:lang w:val="en-US"/>
        </w:rPr>
      </w:pPr>
      <w:r>
        <w:rPr>
          <w:rFonts w:ascii="Times New Roman" w:hAnsi="Times New Roman" w:cs="Times New Roman"/>
          <w:sz w:val="24"/>
          <w:szCs w:val="24"/>
          <w:lang w:val="en-US"/>
        </w:rPr>
        <w:t>Уводним</w:t>
      </w:r>
      <w:r w:rsidR="009730D1"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излагањима</w:t>
      </w:r>
      <w:r w:rsidR="009730D1"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излагањима</w:t>
      </w:r>
      <w:r w:rsidR="009730D1"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у</w:t>
      </w:r>
      <w:r w:rsidR="009730D1"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панелима</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и</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учешћем</w:t>
      </w:r>
      <w:r w:rsidR="00FA6C3F"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у</w:t>
      </w:r>
      <w:r w:rsidR="00FA6C3F"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дискусији</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АР</w:t>
      </w:r>
      <w:r w:rsidR="00B745C8">
        <w:rPr>
          <w:rFonts w:ascii="Times New Roman" w:hAnsi="Times New Roman" w:cs="Times New Roman"/>
          <w:sz w:val="24"/>
          <w:szCs w:val="24"/>
          <w:lang w:val="sr-Cyrl-BA"/>
        </w:rPr>
        <w:t>П</w:t>
      </w:r>
      <w:r w:rsidR="00050016">
        <w:rPr>
          <w:rFonts w:ascii="Times New Roman" w:hAnsi="Times New Roman" w:cs="Times New Roman"/>
          <w:sz w:val="24"/>
          <w:szCs w:val="24"/>
          <w:lang w:val="en-US"/>
        </w:rPr>
        <w:t xml:space="preserve"> </w:t>
      </w:r>
      <w:r>
        <w:rPr>
          <w:rFonts w:ascii="Times New Roman" w:hAnsi="Times New Roman" w:cs="Times New Roman"/>
          <w:sz w:val="24"/>
          <w:szCs w:val="24"/>
          <w:lang w:val="en-US"/>
        </w:rPr>
        <w:t>БиХ</w:t>
      </w:r>
      <w:r w:rsidR="00050016">
        <w:rPr>
          <w:rFonts w:ascii="Times New Roman" w:hAnsi="Times New Roman" w:cs="Times New Roman"/>
          <w:sz w:val="24"/>
          <w:szCs w:val="24"/>
          <w:lang w:val="en-US"/>
        </w:rPr>
        <w:t xml:space="preserve"> </w:t>
      </w:r>
      <w:r>
        <w:rPr>
          <w:rFonts w:ascii="Times New Roman" w:hAnsi="Times New Roman" w:cs="Times New Roman"/>
          <w:sz w:val="24"/>
          <w:szCs w:val="24"/>
          <w:lang w:val="en-US"/>
        </w:rPr>
        <w:t>М</w:t>
      </w:r>
      <w:r w:rsidR="00B745C8">
        <w:rPr>
          <w:rFonts w:ascii="Times New Roman" w:hAnsi="Times New Roman" w:cs="Times New Roman"/>
          <w:sz w:val="24"/>
          <w:szCs w:val="24"/>
          <w:lang w:val="sr-Cyrl-BA"/>
        </w:rPr>
        <w:t>Љ</w:t>
      </w:r>
      <w:r>
        <w:rPr>
          <w:rFonts w:ascii="Times New Roman" w:hAnsi="Times New Roman" w:cs="Times New Roman"/>
          <w:sz w:val="24"/>
          <w:szCs w:val="24"/>
          <w:lang w:val="en-US"/>
        </w:rPr>
        <w:t>ПИ</w:t>
      </w:r>
      <w:r w:rsidR="00050016">
        <w:rPr>
          <w:rFonts w:ascii="Times New Roman" w:hAnsi="Times New Roman" w:cs="Times New Roman"/>
          <w:sz w:val="24"/>
          <w:szCs w:val="24"/>
          <w:lang w:val="en-US"/>
        </w:rPr>
        <w:t xml:space="preserve"> </w:t>
      </w:r>
      <w:r>
        <w:rPr>
          <w:rFonts w:ascii="Times New Roman" w:hAnsi="Times New Roman" w:cs="Times New Roman"/>
          <w:sz w:val="24"/>
          <w:szCs w:val="24"/>
          <w:lang w:val="en-US"/>
        </w:rPr>
        <w:t>БиХ</w:t>
      </w:r>
      <w:r w:rsidR="00FE526B"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је</w:t>
      </w:r>
      <w:r w:rsidR="00FE526B"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дала</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допринос</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реализацији</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више</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међународних</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конференција</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као</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што</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су</w:t>
      </w:r>
      <w:r w:rsidR="0000023E" w:rsidRPr="00295637">
        <w:rPr>
          <w:rFonts w:ascii="Times New Roman" w:hAnsi="Times New Roman" w:cs="Times New Roman"/>
          <w:sz w:val="24"/>
          <w:szCs w:val="24"/>
          <w:lang w:val="en-US"/>
        </w:rPr>
        <w:t xml:space="preserve"> </w:t>
      </w:r>
      <w:r w:rsidR="00FA6C3F" w:rsidRPr="00295637">
        <w:rPr>
          <w:rFonts w:ascii="Times New Roman" w:hAnsi="Times New Roman"/>
          <w:sz w:val="24"/>
          <w:szCs w:val="24"/>
        </w:rPr>
        <w:t xml:space="preserve">68. </w:t>
      </w:r>
      <w:r>
        <w:rPr>
          <w:rFonts w:ascii="Times New Roman" w:hAnsi="Times New Roman"/>
          <w:sz w:val="24"/>
          <w:szCs w:val="24"/>
        </w:rPr>
        <w:t>засједање</w:t>
      </w:r>
      <w:r w:rsidR="00FA6C3F" w:rsidRPr="00295637">
        <w:rPr>
          <w:rFonts w:ascii="Times New Roman" w:hAnsi="Times New Roman"/>
          <w:sz w:val="24"/>
          <w:szCs w:val="24"/>
        </w:rPr>
        <w:t xml:space="preserve"> </w:t>
      </w:r>
      <w:r>
        <w:rPr>
          <w:rFonts w:ascii="Times New Roman" w:hAnsi="Times New Roman"/>
          <w:sz w:val="24"/>
          <w:szCs w:val="24"/>
        </w:rPr>
        <w:t>Комисије</w:t>
      </w:r>
      <w:r w:rsidR="00FA6C3F" w:rsidRPr="00295637">
        <w:rPr>
          <w:rFonts w:ascii="Times New Roman" w:hAnsi="Times New Roman"/>
          <w:sz w:val="24"/>
          <w:szCs w:val="24"/>
        </w:rPr>
        <w:t xml:space="preserve"> </w:t>
      </w:r>
      <w:r>
        <w:rPr>
          <w:rFonts w:ascii="Times New Roman" w:hAnsi="Times New Roman"/>
          <w:sz w:val="24"/>
          <w:szCs w:val="24"/>
        </w:rPr>
        <w:t>УН</w:t>
      </w:r>
      <w:r w:rsidR="00FA6C3F" w:rsidRPr="00295637">
        <w:rPr>
          <w:rFonts w:ascii="Times New Roman" w:hAnsi="Times New Roman"/>
          <w:sz w:val="24"/>
          <w:szCs w:val="24"/>
        </w:rPr>
        <w:t xml:space="preserve"> </w:t>
      </w:r>
      <w:r>
        <w:rPr>
          <w:rFonts w:ascii="Times New Roman" w:hAnsi="Times New Roman"/>
          <w:sz w:val="24"/>
          <w:szCs w:val="24"/>
        </w:rPr>
        <w:t>за</w:t>
      </w:r>
      <w:r w:rsidR="00FA6C3F" w:rsidRPr="00295637">
        <w:rPr>
          <w:rFonts w:ascii="Times New Roman" w:hAnsi="Times New Roman"/>
          <w:sz w:val="24"/>
          <w:szCs w:val="24"/>
        </w:rPr>
        <w:t xml:space="preserve"> </w:t>
      </w:r>
      <w:r>
        <w:rPr>
          <w:rFonts w:ascii="Times New Roman" w:hAnsi="Times New Roman"/>
          <w:sz w:val="24"/>
          <w:szCs w:val="24"/>
        </w:rPr>
        <w:t>статус</w:t>
      </w:r>
      <w:r w:rsidR="00FA6C3F" w:rsidRPr="00295637">
        <w:rPr>
          <w:rFonts w:ascii="Times New Roman" w:hAnsi="Times New Roman"/>
          <w:sz w:val="24"/>
          <w:szCs w:val="24"/>
        </w:rPr>
        <w:t xml:space="preserve"> </w:t>
      </w:r>
      <w:r>
        <w:rPr>
          <w:rFonts w:ascii="Times New Roman" w:hAnsi="Times New Roman"/>
          <w:sz w:val="24"/>
          <w:szCs w:val="24"/>
        </w:rPr>
        <w:t>жена</w:t>
      </w:r>
      <w:r w:rsidR="00FA6C3F" w:rsidRPr="00295637">
        <w:rPr>
          <w:rFonts w:ascii="Times New Roman" w:hAnsi="Times New Roman"/>
          <w:sz w:val="24"/>
          <w:szCs w:val="24"/>
        </w:rPr>
        <w:t xml:space="preserve"> (</w:t>
      </w:r>
      <w:r>
        <w:rPr>
          <w:rFonts w:ascii="Times New Roman" w:hAnsi="Times New Roman"/>
          <w:sz w:val="24"/>
          <w:szCs w:val="24"/>
        </w:rPr>
        <w:t>Њујорк</w:t>
      </w:r>
      <w:r w:rsidR="00FA6C3F" w:rsidRPr="00295637">
        <w:rPr>
          <w:rFonts w:ascii="Times New Roman" w:hAnsi="Times New Roman"/>
          <w:sz w:val="24"/>
          <w:szCs w:val="24"/>
        </w:rPr>
        <w:t xml:space="preserve">, </w:t>
      </w:r>
      <w:r>
        <w:rPr>
          <w:rFonts w:ascii="Times New Roman" w:hAnsi="Times New Roman"/>
          <w:sz w:val="24"/>
          <w:szCs w:val="24"/>
        </w:rPr>
        <w:t>март</w:t>
      </w:r>
      <w:r w:rsidR="004D3847" w:rsidRPr="00295637">
        <w:rPr>
          <w:rFonts w:ascii="Times New Roman" w:hAnsi="Times New Roman"/>
          <w:sz w:val="24"/>
          <w:szCs w:val="24"/>
        </w:rPr>
        <w:t xml:space="preserve"> 2024</w:t>
      </w:r>
      <w:r w:rsidR="00AE754B">
        <w:rPr>
          <w:rFonts w:ascii="Times New Roman" w:hAnsi="Times New Roman"/>
          <w:sz w:val="24"/>
          <w:szCs w:val="24"/>
        </w:rPr>
        <w:t xml:space="preserve">. </w:t>
      </w:r>
      <w:r>
        <w:rPr>
          <w:rFonts w:ascii="Times New Roman" w:hAnsi="Times New Roman"/>
          <w:sz w:val="24"/>
          <w:szCs w:val="24"/>
        </w:rPr>
        <w:t>године</w:t>
      </w:r>
      <w:r w:rsidR="00FA6C3F" w:rsidRPr="00295637">
        <w:rPr>
          <w:rFonts w:ascii="Times New Roman" w:hAnsi="Times New Roman"/>
          <w:sz w:val="24"/>
          <w:szCs w:val="24"/>
        </w:rPr>
        <w:t xml:space="preserve">), </w:t>
      </w:r>
      <w:r>
        <w:rPr>
          <w:rFonts w:ascii="Times New Roman" w:hAnsi="Times New Roman"/>
          <w:sz w:val="24"/>
          <w:szCs w:val="24"/>
        </w:rPr>
        <w:t>регионални</w:t>
      </w:r>
      <w:r w:rsidR="00FA6C3F" w:rsidRPr="00295637">
        <w:rPr>
          <w:rFonts w:ascii="Times New Roman" w:hAnsi="Times New Roman"/>
          <w:sz w:val="24"/>
          <w:szCs w:val="24"/>
        </w:rPr>
        <w:t xml:space="preserve"> </w:t>
      </w:r>
      <w:r>
        <w:rPr>
          <w:rFonts w:ascii="Times New Roman" w:hAnsi="Times New Roman"/>
          <w:sz w:val="24"/>
          <w:szCs w:val="24"/>
        </w:rPr>
        <w:t>прегледни</w:t>
      </w:r>
      <w:r w:rsidR="00FA6C3F" w:rsidRPr="00295637">
        <w:rPr>
          <w:rFonts w:ascii="Times New Roman" w:hAnsi="Times New Roman"/>
          <w:sz w:val="24"/>
          <w:szCs w:val="24"/>
        </w:rPr>
        <w:t xml:space="preserve"> </w:t>
      </w:r>
      <w:r>
        <w:rPr>
          <w:rFonts w:ascii="Times New Roman" w:hAnsi="Times New Roman"/>
          <w:sz w:val="24"/>
          <w:szCs w:val="24"/>
        </w:rPr>
        <w:t>састанак</w:t>
      </w:r>
      <w:r w:rsidR="00FA6C3F" w:rsidRPr="00295637">
        <w:rPr>
          <w:rFonts w:ascii="Times New Roman" w:hAnsi="Times New Roman"/>
          <w:sz w:val="24"/>
          <w:szCs w:val="24"/>
        </w:rPr>
        <w:t xml:space="preserve"> „</w:t>
      </w:r>
      <w:r>
        <w:rPr>
          <w:rFonts w:ascii="Times New Roman" w:hAnsi="Times New Roman"/>
          <w:sz w:val="24"/>
          <w:szCs w:val="24"/>
        </w:rPr>
        <w:t>Пекинг</w:t>
      </w:r>
      <w:r w:rsidR="00FA6C3F" w:rsidRPr="00295637">
        <w:rPr>
          <w:rFonts w:ascii="Times New Roman" w:hAnsi="Times New Roman"/>
          <w:sz w:val="24"/>
          <w:szCs w:val="24"/>
        </w:rPr>
        <w:t xml:space="preserve"> + 30 – </w:t>
      </w:r>
      <w:r>
        <w:rPr>
          <w:rFonts w:ascii="Times New Roman" w:hAnsi="Times New Roman"/>
          <w:sz w:val="24"/>
          <w:szCs w:val="24"/>
        </w:rPr>
        <w:t>Ревизија</w:t>
      </w:r>
      <w:r w:rsidR="00FA6C3F" w:rsidRPr="00295637">
        <w:rPr>
          <w:rFonts w:ascii="Times New Roman" w:hAnsi="Times New Roman"/>
          <w:sz w:val="24"/>
          <w:szCs w:val="24"/>
        </w:rPr>
        <w:t xml:space="preserve"> 30 </w:t>
      </w:r>
      <w:r>
        <w:rPr>
          <w:rFonts w:ascii="Times New Roman" w:hAnsi="Times New Roman"/>
          <w:sz w:val="24"/>
          <w:szCs w:val="24"/>
        </w:rPr>
        <w:t>година</w:t>
      </w:r>
      <w:r w:rsidR="00FA6C3F" w:rsidRPr="00295637">
        <w:rPr>
          <w:rFonts w:ascii="Times New Roman" w:hAnsi="Times New Roman"/>
          <w:sz w:val="24"/>
          <w:szCs w:val="24"/>
        </w:rPr>
        <w:t xml:space="preserve"> </w:t>
      </w:r>
      <w:r>
        <w:rPr>
          <w:rFonts w:ascii="Times New Roman" w:hAnsi="Times New Roman"/>
          <w:sz w:val="24"/>
          <w:szCs w:val="24"/>
        </w:rPr>
        <w:t>Пекинга</w:t>
      </w:r>
      <w:r w:rsidR="00FA6C3F" w:rsidRPr="00295637">
        <w:rPr>
          <w:rFonts w:ascii="Times New Roman" w:hAnsi="Times New Roman"/>
          <w:sz w:val="24"/>
          <w:szCs w:val="24"/>
        </w:rPr>
        <w:t xml:space="preserve"> </w:t>
      </w:r>
      <w:r w:rsidR="00FB6F1A">
        <w:rPr>
          <w:rFonts w:ascii="Times New Roman" w:hAnsi="Times New Roman"/>
          <w:sz w:val="24"/>
          <w:szCs w:val="24"/>
          <w:lang w:val="bs-Cyrl-BA"/>
        </w:rPr>
        <w:t xml:space="preserve">и </w:t>
      </w:r>
      <w:r>
        <w:rPr>
          <w:rFonts w:ascii="Times New Roman" w:hAnsi="Times New Roman"/>
          <w:sz w:val="24"/>
          <w:szCs w:val="24"/>
        </w:rPr>
        <w:t>посвећености</w:t>
      </w:r>
      <w:r w:rsidR="00FA6C3F" w:rsidRPr="00295637">
        <w:rPr>
          <w:rFonts w:ascii="Times New Roman" w:hAnsi="Times New Roman"/>
          <w:sz w:val="24"/>
          <w:szCs w:val="24"/>
        </w:rPr>
        <w:t xml:space="preserve"> </w:t>
      </w:r>
      <w:r>
        <w:rPr>
          <w:rFonts w:ascii="Times New Roman" w:hAnsi="Times New Roman"/>
          <w:sz w:val="24"/>
          <w:szCs w:val="24"/>
        </w:rPr>
        <w:t>убрзавању</w:t>
      </w:r>
      <w:r w:rsidR="00FA6C3F" w:rsidRPr="00295637">
        <w:rPr>
          <w:rFonts w:ascii="Times New Roman" w:hAnsi="Times New Roman"/>
          <w:sz w:val="24"/>
          <w:szCs w:val="24"/>
        </w:rPr>
        <w:t xml:space="preserve"> </w:t>
      </w:r>
      <w:r>
        <w:rPr>
          <w:rFonts w:ascii="Times New Roman" w:hAnsi="Times New Roman"/>
          <w:sz w:val="24"/>
          <w:szCs w:val="24"/>
        </w:rPr>
        <w:t>равноправности</w:t>
      </w:r>
      <w:r w:rsidR="00CC105E" w:rsidRPr="00295637">
        <w:rPr>
          <w:rFonts w:ascii="Times New Roman" w:hAnsi="Times New Roman"/>
          <w:sz w:val="24"/>
          <w:szCs w:val="24"/>
        </w:rPr>
        <w:t xml:space="preserve"> </w:t>
      </w:r>
      <w:r>
        <w:rPr>
          <w:rFonts w:ascii="Times New Roman" w:hAnsi="Times New Roman"/>
          <w:sz w:val="24"/>
          <w:szCs w:val="24"/>
        </w:rPr>
        <w:t>полова</w:t>
      </w:r>
      <w:r w:rsidR="00FA6C3F" w:rsidRPr="00295637">
        <w:rPr>
          <w:rFonts w:ascii="Times New Roman" w:hAnsi="Times New Roman"/>
          <w:sz w:val="24"/>
          <w:szCs w:val="24"/>
        </w:rPr>
        <w:t xml:space="preserve"> (</w:t>
      </w:r>
      <w:r>
        <w:rPr>
          <w:rFonts w:ascii="Times New Roman" w:hAnsi="Times New Roman"/>
          <w:sz w:val="24"/>
          <w:szCs w:val="24"/>
        </w:rPr>
        <w:t>Женева</w:t>
      </w:r>
      <w:r w:rsidR="00FA6C3F" w:rsidRPr="00295637">
        <w:rPr>
          <w:rFonts w:ascii="Times New Roman" w:hAnsi="Times New Roman"/>
          <w:sz w:val="24"/>
          <w:szCs w:val="24"/>
        </w:rPr>
        <w:t xml:space="preserve">, </w:t>
      </w:r>
      <w:r>
        <w:rPr>
          <w:rFonts w:ascii="Times New Roman" w:hAnsi="Times New Roman"/>
          <w:sz w:val="24"/>
          <w:szCs w:val="24"/>
        </w:rPr>
        <w:t>октобар</w:t>
      </w:r>
      <w:r w:rsidR="004D3847" w:rsidRPr="00295637">
        <w:rPr>
          <w:rFonts w:ascii="Times New Roman" w:hAnsi="Times New Roman"/>
          <w:sz w:val="24"/>
          <w:szCs w:val="24"/>
        </w:rPr>
        <w:t xml:space="preserve"> 2024</w:t>
      </w:r>
      <w:r w:rsidR="00AE754B">
        <w:rPr>
          <w:rFonts w:ascii="Times New Roman" w:hAnsi="Times New Roman"/>
          <w:sz w:val="24"/>
          <w:szCs w:val="24"/>
        </w:rPr>
        <w:t xml:space="preserve">. </w:t>
      </w:r>
      <w:r>
        <w:rPr>
          <w:rFonts w:ascii="Times New Roman" w:hAnsi="Times New Roman"/>
          <w:sz w:val="24"/>
          <w:szCs w:val="24"/>
        </w:rPr>
        <w:t>године</w:t>
      </w:r>
      <w:r w:rsidR="00FA6C3F" w:rsidRPr="00295637">
        <w:rPr>
          <w:rFonts w:ascii="Times New Roman" w:hAnsi="Times New Roman"/>
          <w:sz w:val="24"/>
          <w:szCs w:val="24"/>
        </w:rPr>
        <w:t xml:space="preserve">), </w:t>
      </w:r>
      <w:r>
        <w:rPr>
          <w:rFonts w:ascii="Times New Roman" w:hAnsi="Times New Roman" w:cs="Times New Roman"/>
          <w:sz w:val="24"/>
          <w:szCs w:val="24"/>
          <w:lang w:val="en-US"/>
        </w:rPr>
        <w:t>субрегионалне</w:t>
      </w:r>
      <w:r w:rsidR="0000023E"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консултације</w:t>
      </w:r>
      <w:r w:rsidR="0000023E"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Комисије</w:t>
      </w:r>
      <w:r w:rsidR="00AE754B">
        <w:rPr>
          <w:rFonts w:ascii="Times New Roman" w:hAnsi="Times New Roman" w:cs="Times New Roman"/>
          <w:sz w:val="24"/>
          <w:szCs w:val="24"/>
          <w:lang w:val="en-US"/>
        </w:rPr>
        <w:t xml:space="preserve"> </w:t>
      </w:r>
      <w:r>
        <w:rPr>
          <w:rFonts w:ascii="Times New Roman" w:hAnsi="Times New Roman" w:cs="Times New Roman"/>
          <w:sz w:val="24"/>
          <w:szCs w:val="24"/>
          <w:lang w:val="en-US"/>
        </w:rPr>
        <w:t>о</w:t>
      </w:r>
      <w:r w:rsidR="00AE754B">
        <w:rPr>
          <w:rFonts w:ascii="Times New Roman" w:hAnsi="Times New Roman" w:cs="Times New Roman"/>
          <w:sz w:val="24"/>
          <w:szCs w:val="24"/>
          <w:lang w:val="en-US"/>
        </w:rPr>
        <w:t xml:space="preserve"> </w:t>
      </w:r>
      <w:r>
        <w:rPr>
          <w:rFonts w:ascii="Times New Roman" w:hAnsi="Times New Roman" w:cs="Times New Roman"/>
          <w:sz w:val="24"/>
          <w:szCs w:val="24"/>
          <w:lang w:val="en-US"/>
        </w:rPr>
        <w:t>статусу</w:t>
      </w:r>
      <w:r w:rsidR="00AE754B">
        <w:rPr>
          <w:rFonts w:ascii="Times New Roman" w:hAnsi="Times New Roman" w:cs="Times New Roman"/>
          <w:sz w:val="24"/>
          <w:szCs w:val="24"/>
          <w:lang w:val="en-US"/>
        </w:rPr>
        <w:t xml:space="preserve"> </w:t>
      </w:r>
      <w:r>
        <w:rPr>
          <w:rFonts w:ascii="Times New Roman" w:hAnsi="Times New Roman" w:cs="Times New Roman"/>
          <w:sz w:val="24"/>
          <w:szCs w:val="24"/>
          <w:lang w:val="en-US"/>
        </w:rPr>
        <w:t>жена</w:t>
      </w:r>
      <w:r w:rsidR="00AE754B">
        <w:rPr>
          <w:rFonts w:ascii="Times New Roman" w:hAnsi="Times New Roman" w:cs="Times New Roman"/>
          <w:sz w:val="24"/>
          <w:szCs w:val="24"/>
          <w:lang w:val="en-US"/>
        </w:rPr>
        <w:t xml:space="preserve"> </w:t>
      </w:r>
      <w:r>
        <w:rPr>
          <w:rFonts w:ascii="Times New Roman" w:hAnsi="Times New Roman" w:cs="Times New Roman"/>
          <w:sz w:val="24"/>
          <w:szCs w:val="24"/>
          <w:lang w:val="en-US"/>
        </w:rPr>
        <w:t>УН</w:t>
      </w:r>
      <w:r w:rsidR="00AE754B">
        <w:rPr>
          <w:rFonts w:ascii="Times New Roman" w:hAnsi="Times New Roman" w:cs="Times New Roman"/>
          <w:sz w:val="24"/>
          <w:szCs w:val="24"/>
          <w:lang w:val="en-US"/>
        </w:rPr>
        <w:t xml:space="preserve"> (</w:t>
      </w:r>
      <w:r>
        <w:rPr>
          <w:rFonts w:ascii="Times New Roman" w:hAnsi="Times New Roman" w:cs="Times New Roman"/>
          <w:sz w:val="24"/>
          <w:szCs w:val="24"/>
          <w:lang w:val="en-US"/>
        </w:rPr>
        <w:t>Истанбул</w:t>
      </w:r>
      <w:r w:rsidR="00AE754B">
        <w:rPr>
          <w:rFonts w:ascii="Times New Roman" w:hAnsi="Times New Roman" w:cs="Times New Roman"/>
          <w:sz w:val="24"/>
          <w:szCs w:val="24"/>
          <w:lang w:val="en-US"/>
        </w:rPr>
        <w:t xml:space="preserve">, </w:t>
      </w:r>
      <w:r>
        <w:rPr>
          <w:rFonts w:ascii="Times New Roman" w:hAnsi="Times New Roman" w:cs="Times New Roman"/>
          <w:sz w:val="24"/>
          <w:szCs w:val="24"/>
          <w:lang w:val="en-US"/>
        </w:rPr>
        <w:t>фебруар</w:t>
      </w:r>
      <w:r w:rsidR="004D3847" w:rsidRPr="00295637">
        <w:rPr>
          <w:rFonts w:ascii="Times New Roman" w:hAnsi="Times New Roman" w:cs="Times New Roman"/>
          <w:sz w:val="24"/>
          <w:szCs w:val="24"/>
          <w:lang w:val="en-US"/>
        </w:rPr>
        <w:t xml:space="preserve"> </w:t>
      </w:r>
      <w:r w:rsidR="004D3847" w:rsidRPr="00295637">
        <w:rPr>
          <w:rFonts w:ascii="Times New Roman" w:hAnsi="Times New Roman"/>
          <w:sz w:val="24"/>
          <w:szCs w:val="24"/>
        </w:rPr>
        <w:t>2024</w:t>
      </w:r>
      <w:r w:rsidR="00AE754B">
        <w:rPr>
          <w:rFonts w:ascii="Times New Roman" w:hAnsi="Times New Roman"/>
          <w:sz w:val="24"/>
          <w:szCs w:val="24"/>
        </w:rPr>
        <w:t xml:space="preserve">. </w:t>
      </w:r>
      <w:r>
        <w:rPr>
          <w:rFonts w:ascii="Times New Roman" w:hAnsi="Times New Roman"/>
          <w:sz w:val="24"/>
          <w:szCs w:val="24"/>
        </w:rPr>
        <w:t>године</w:t>
      </w:r>
      <w:r w:rsidR="00FA6C3F"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Међународна</w:t>
      </w:r>
      <w:r w:rsidR="00BF51F9" w:rsidRPr="00295637">
        <w:rPr>
          <w:rFonts w:ascii="Times New Roman" w:hAnsi="Times New Roman" w:cs="Times New Roman"/>
          <w:sz w:val="24"/>
          <w:szCs w:val="24"/>
          <w:lang w:val="en-US"/>
        </w:rPr>
        <w:t xml:space="preserve"> </w:t>
      </w:r>
      <w:r>
        <w:rPr>
          <w:rFonts w:ascii="Times New Roman" w:hAnsi="Times New Roman" w:cs="Times New Roman"/>
          <w:sz w:val="24"/>
          <w:szCs w:val="24"/>
          <w:lang w:val="en-US"/>
        </w:rPr>
        <w:t>конференција</w:t>
      </w:r>
      <w:r w:rsidR="00BF51F9" w:rsidRPr="00295637">
        <w:rPr>
          <w:rFonts w:ascii="Times New Roman" w:hAnsi="Times New Roman" w:cs="Times New Roman"/>
          <w:sz w:val="24"/>
          <w:szCs w:val="24"/>
          <w:lang w:val="en-US"/>
        </w:rPr>
        <w:t xml:space="preserve"> </w:t>
      </w:r>
      <w:r w:rsidR="00BF51F9" w:rsidRPr="00AE754B">
        <w:rPr>
          <w:rFonts w:ascii="Times New Roman" w:hAnsi="Times New Roman" w:cs="Times New Roman"/>
          <w:sz w:val="24"/>
          <w:szCs w:val="24"/>
          <w:lang w:val="en-US"/>
        </w:rPr>
        <w:t>“</w:t>
      </w:r>
      <w:r>
        <w:rPr>
          <w:rStyle w:val="y2iqfc"/>
          <w:rFonts w:ascii="Times New Roman" w:hAnsi="Times New Roman" w:cs="Times New Roman"/>
          <w:sz w:val="24"/>
          <w:szCs w:val="24"/>
        </w:rPr>
        <w:t>Планирање</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будућности</w:t>
      </w:r>
      <w:r w:rsidR="00BF51F9" w:rsidRPr="00AE754B">
        <w:rPr>
          <w:rStyle w:val="y2iqfc"/>
          <w:rFonts w:ascii="Times New Roman" w:hAnsi="Times New Roman" w:cs="Times New Roman"/>
          <w:sz w:val="24"/>
          <w:szCs w:val="24"/>
        </w:rPr>
        <w:t xml:space="preserve"> 30 </w:t>
      </w:r>
      <w:r>
        <w:rPr>
          <w:rStyle w:val="y2iqfc"/>
          <w:rFonts w:ascii="Times New Roman" w:hAnsi="Times New Roman" w:cs="Times New Roman"/>
          <w:sz w:val="24"/>
          <w:szCs w:val="24"/>
        </w:rPr>
        <w:t>година</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након</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Пекинга</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учинковити</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институционални</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механизми</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унапређење</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родне</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равноправности</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полова</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оснаживање</w:t>
      </w:r>
      <w:r w:rsidR="00BF51F9"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жена</w:t>
      </w:r>
      <w:r w:rsidR="00BF51F9" w:rsidRPr="00AE754B">
        <w:rPr>
          <w:rStyle w:val="y2iqfc"/>
          <w:rFonts w:ascii="Times New Roman" w:hAnsi="Times New Roman" w:cs="Times New Roman"/>
          <w:sz w:val="24"/>
          <w:szCs w:val="24"/>
        </w:rPr>
        <w:t>“</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Тирана</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септембар</w:t>
      </w:r>
      <w:r w:rsidR="004D3847" w:rsidRPr="00AE754B">
        <w:rPr>
          <w:rStyle w:val="y2iqfc"/>
          <w:rFonts w:ascii="Times New Roman" w:hAnsi="Times New Roman" w:cs="Times New Roman"/>
          <w:sz w:val="24"/>
          <w:szCs w:val="24"/>
        </w:rPr>
        <w:t xml:space="preserve"> </w:t>
      </w:r>
      <w:r w:rsidR="004D3847" w:rsidRPr="00AE754B">
        <w:rPr>
          <w:rFonts w:ascii="Times New Roman" w:hAnsi="Times New Roman"/>
          <w:sz w:val="24"/>
          <w:szCs w:val="24"/>
        </w:rPr>
        <w:t>2024</w:t>
      </w:r>
      <w:r w:rsidR="00AE754B">
        <w:rPr>
          <w:rFonts w:ascii="Times New Roman" w:hAnsi="Times New Roman"/>
          <w:sz w:val="24"/>
          <w:szCs w:val="24"/>
        </w:rPr>
        <w:t xml:space="preserve">. </w:t>
      </w:r>
      <w:r>
        <w:rPr>
          <w:rFonts w:ascii="Times New Roman" w:hAnsi="Times New Roman"/>
          <w:sz w:val="24"/>
          <w:szCs w:val="24"/>
        </w:rPr>
        <w:t>године</w:t>
      </w:r>
      <w:r w:rsidR="00FA6C3F" w:rsidRPr="00AE754B">
        <w:rPr>
          <w:rStyle w:val="y2iqfc"/>
          <w:rFonts w:ascii="Times New Roman" w:hAnsi="Times New Roman" w:cs="Times New Roman"/>
          <w:sz w:val="24"/>
          <w:szCs w:val="24"/>
        </w:rPr>
        <w:t>), „</w:t>
      </w:r>
      <w:r>
        <w:rPr>
          <w:rStyle w:val="y2iqfc"/>
          <w:rFonts w:ascii="Times New Roman" w:hAnsi="Times New Roman" w:cs="Times New Roman"/>
          <w:sz w:val="24"/>
          <w:szCs w:val="24"/>
        </w:rPr>
        <w:t>Повећано</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лидерство</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жена</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за</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отпорније</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мирније</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друштво</w:t>
      </w:r>
      <w:r w:rsidR="00FB6F1A">
        <w:rPr>
          <w:rStyle w:val="y2iqfc"/>
          <w:rFonts w:ascii="Times New Roman" w:hAnsi="Times New Roman" w:cs="Times New Roman"/>
          <w:sz w:val="24"/>
          <w:szCs w:val="24"/>
          <w:lang w:val="bs-Cyrl-BA"/>
        </w:rPr>
        <w:t>“</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Кишњев</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Молдавија</w:t>
      </w:r>
      <w:r w:rsidR="00FB6F1A">
        <w:rPr>
          <w:rStyle w:val="y2iqfc"/>
          <w:rFonts w:ascii="Times New Roman" w:hAnsi="Times New Roman" w:cs="Times New Roman"/>
          <w:sz w:val="24"/>
          <w:szCs w:val="24"/>
          <w:lang w:val="bs-Cyrl-BA"/>
        </w:rPr>
        <w:t>,</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октобар</w:t>
      </w:r>
      <w:r w:rsidR="004D3847" w:rsidRPr="00AE754B">
        <w:rPr>
          <w:rStyle w:val="y2iqfc"/>
          <w:rFonts w:ascii="Times New Roman" w:hAnsi="Times New Roman" w:cs="Times New Roman"/>
          <w:sz w:val="24"/>
          <w:szCs w:val="24"/>
        </w:rPr>
        <w:t xml:space="preserve"> </w:t>
      </w:r>
      <w:r w:rsidR="004D3847" w:rsidRPr="00AE754B">
        <w:rPr>
          <w:rFonts w:ascii="Times New Roman" w:hAnsi="Times New Roman"/>
          <w:sz w:val="24"/>
          <w:szCs w:val="24"/>
        </w:rPr>
        <w:t>2024</w:t>
      </w:r>
      <w:r w:rsidR="00AE754B">
        <w:rPr>
          <w:rFonts w:ascii="Times New Roman" w:hAnsi="Times New Roman"/>
          <w:sz w:val="24"/>
          <w:szCs w:val="24"/>
        </w:rPr>
        <w:t xml:space="preserve">. </w:t>
      </w:r>
      <w:r>
        <w:rPr>
          <w:rFonts w:ascii="Times New Roman" w:hAnsi="Times New Roman"/>
          <w:sz w:val="24"/>
          <w:szCs w:val="24"/>
        </w:rPr>
        <w:t>године</w:t>
      </w:r>
      <w:r w:rsidR="00FA6C3F" w:rsidRPr="00AE754B">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и</w:t>
      </w:r>
      <w:r w:rsidR="00FA6C3F" w:rsidRPr="00AE754B">
        <w:rPr>
          <w:rStyle w:val="y2iqfc"/>
          <w:rFonts w:ascii="Times New Roman" w:hAnsi="Times New Roman" w:cs="Times New Roman"/>
          <w:sz w:val="24"/>
          <w:szCs w:val="24"/>
        </w:rPr>
        <w:t xml:space="preserve"> </w:t>
      </w:r>
      <w:r w:rsidR="00FA6C3F" w:rsidRPr="00AE754B">
        <w:rPr>
          <w:rFonts w:ascii="Times New Roman" w:hAnsi="Times New Roman"/>
          <w:sz w:val="24"/>
          <w:szCs w:val="24"/>
        </w:rPr>
        <w:t>„</w:t>
      </w:r>
      <w:r>
        <w:rPr>
          <w:rFonts w:ascii="Times New Roman" w:hAnsi="Times New Roman"/>
          <w:sz w:val="24"/>
          <w:szCs w:val="24"/>
        </w:rPr>
        <w:t>Регионални</w:t>
      </w:r>
      <w:r w:rsidR="00FA6C3F" w:rsidRPr="00AE754B">
        <w:rPr>
          <w:rFonts w:ascii="Times New Roman" w:hAnsi="Times New Roman"/>
          <w:sz w:val="24"/>
          <w:szCs w:val="24"/>
        </w:rPr>
        <w:t xml:space="preserve"> </w:t>
      </w:r>
      <w:r>
        <w:rPr>
          <w:rFonts w:ascii="Times New Roman" w:hAnsi="Times New Roman"/>
          <w:sz w:val="24"/>
          <w:szCs w:val="24"/>
        </w:rPr>
        <w:t>дијалог</w:t>
      </w:r>
      <w:r w:rsidR="00FA6C3F" w:rsidRPr="00AE754B">
        <w:rPr>
          <w:rFonts w:ascii="Times New Roman" w:hAnsi="Times New Roman"/>
          <w:sz w:val="24"/>
          <w:szCs w:val="24"/>
        </w:rPr>
        <w:t xml:space="preserve"> </w:t>
      </w:r>
      <w:r>
        <w:rPr>
          <w:rFonts w:ascii="Times New Roman" w:hAnsi="Times New Roman"/>
          <w:sz w:val="24"/>
          <w:szCs w:val="24"/>
        </w:rPr>
        <w:t>на</w:t>
      </w:r>
      <w:r w:rsidR="00FA6C3F" w:rsidRPr="00AE754B">
        <w:rPr>
          <w:rFonts w:ascii="Times New Roman" w:hAnsi="Times New Roman"/>
          <w:sz w:val="24"/>
          <w:szCs w:val="24"/>
        </w:rPr>
        <w:t xml:space="preserve"> </w:t>
      </w:r>
      <w:r>
        <w:rPr>
          <w:rFonts w:ascii="Times New Roman" w:hAnsi="Times New Roman"/>
          <w:sz w:val="24"/>
          <w:szCs w:val="24"/>
        </w:rPr>
        <w:t>тему</w:t>
      </w:r>
      <w:r w:rsidR="00FA6C3F" w:rsidRPr="00AE754B">
        <w:rPr>
          <w:rFonts w:ascii="Times New Roman" w:hAnsi="Times New Roman"/>
          <w:sz w:val="24"/>
          <w:szCs w:val="24"/>
        </w:rPr>
        <w:t xml:space="preserve"> </w:t>
      </w:r>
      <w:r>
        <w:rPr>
          <w:rFonts w:ascii="Times New Roman" w:hAnsi="Times New Roman"/>
          <w:sz w:val="24"/>
          <w:szCs w:val="24"/>
        </w:rPr>
        <w:t>инвестирања</w:t>
      </w:r>
      <w:r w:rsidR="00FA6C3F" w:rsidRPr="00AE754B">
        <w:rPr>
          <w:rFonts w:ascii="Times New Roman" w:hAnsi="Times New Roman"/>
          <w:sz w:val="24"/>
          <w:szCs w:val="24"/>
        </w:rPr>
        <w:t xml:space="preserve"> </w:t>
      </w:r>
      <w:r>
        <w:rPr>
          <w:rFonts w:ascii="Times New Roman" w:hAnsi="Times New Roman"/>
          <w:sz w:val="24"/>
          <w:szCs w:val="24"/>
        </w:rPr>
        <w:t>у</w:t>
      </w:r>
      <w:r w:rsidR="00FA6C3F" w:rsidRPr="00AE754B">
        <w:rPr>
          <w:rFonts w:ascii="Times New Roman" w:hAnsi="Times New Roman"/>
          <w:sz w:val="24"/>
          <w:szCs w:val="24"/>
        </w:rPr>
        <w:t xml:space="preserve"> </w:t>
      </w:r>
      <w:r>
        <w:rPr>
          <w:rFonts w:ascii="Times New Roman" w:hAnsi="Times New Roman"/>
          <w:sz w:val="24"/>
          <w:szCs w:val="24"/>
        </w:rPr>
        <w:t>равноправност</w:t>
      </w:r>
      <w:r w:rsidR="00FA6C3F" w:rsidRPr="00AE754B">
        <w:rPr>
          <w:rFonts w:ascii="Times New Roman" w:hAnsi="Times New Roman"/>
          <w:sz w:val="24"/>
          <w:szCs w:val="24"/>
        </w:rPr>
        <w:t xml:space="preserve"> </w:t>
      </w:r>
      <w:r>
        <w:rPr>
          <w:rFonts w:ascii="Times New Roman" w:hAnsi="Times New Roman"/>
          <w:sz w:val="24"/>
          <w:szCs w:val="24"/>
        </w:rPr>
        <w:t>полова</w:t>
      </w:r>
      <w:r w:rsidR="00FA6C3F" w:rsidRPr="00AE754B">
        <w:rPr>
          <w:rFonts w:ascii="Times New Roman" w:hAnsi="Times New Roman"/>
          <w:sz w:val="24"/>
          <w:szCs w:val="24"/>
        </w:rPr>
        <w:t xml:space="preserve"> </w:t>
      </w:r>
      <w:r>
        <w:rPr>
          <w:rFonts w:ascii="Times New Roman" w:hAnsi="Times New Roman"/>
          <w:sz w:val="24"/>
          <w:szCs w:val="24"/>
        </w:rPr>
        <w:t>и</w:t>
      </w:r>
      <w:r w:rsidR="00FA6C3F" w:rsidRPr="00AE754B">
        <w:rPr>
          <w:rFonts w:ascii="Times New Roman" w:hAnsi="Times New Roman"/>
          <w:sz w:val="24"/>
          <w:szCs w:val="24"/>
        </w:rPr>
        <w:t xml:space="preserve"> </w:t>
      </w:r>
      <w:r>
        <w:rPr>
          <w:rFonts w:ascii="Times New Roman" w:hAnsi="Times New Roman"/>
          <w:sz w:val="24"/>
          <w:szCs w:val="24"/>
        </w:rPr>
        <w:t>инклузивну</w:t>
      </w:r>
      <w:r w:rsidR="00FA6C3F" w:rsidRPr="00AE754B">
        <w:rPr>
          <w:rFonts w:ascii="Times New Roman" w:hAnsi="Times New Roman"/>
          <w:sz w:val="24"/>
          <w:szCs w:val="24"/>
        </w:rPr>
        <w:t xml:space="preserve"> </w:t>
      </w:r>
      <w:r>
        <w:rPr>
          <w:rFonts w:ascii="Times New Roman" w:hAnsi="Times New Roman"/>
          <w:sz w:val="24"/>
          <w:szCs w:val="24"/>
        </w:rPr>
        <w:t>климатску</w:t>
      </w:r>
      <w:r w:rsidR="00FA6C3F" w:rsidRPr="00AE754B">
        <w:rPr>
          <w:rFonts w:ascii="Times New Roman" w:hAnsi="Times New Roman"/>
          <w:sz w:val="24"/>
          <w:szCs w:val="24"/>
        </w:rPr>
        <w:t xml:space="preserve"> </w:t>
      </w:r>
      <w:r>
        <w:rPr>
          <w:rFonts w:ascii="Times New Roman" w:hAnsi="Times New Roman"/>
          <w:sz w:val="24"/>
          <w:szCs w:val="24"/>
        </w:rPr>
        <w:t>акцију</w:t>
      </w:r>
      <w:r w:rsidR="00FA6C3F" w:rsidRPr="00AE754B">
        <w:rPr>
          <w:rFonts w:ascii="Times New Roman" w:hAnsi="Times New Roman"/>
          <w:sz w:val="24"/>
          <w:szCs w:val="24"/>
        </w:rPr>
        <w:t>“ (</w:t>
      </w:r>
      <w:r>
        <w:rPr>
          <w:rFonts w:ascii="Times New Roman" w:hAnsi="Times New Roman"/>
          <w:sz w:val="24"/>
          <w:szCs w:val="24"/>
        </w:rPr>
        <w:t>Истанбул</w:t>
      </w:r>
      <w:r w:rsidR="00FA6C3F" w:rsidRPr="00AE754B">
        <w:rPr>
          <w:rFonts w:ascii="Times New Roman" w:hAnsi="Times New Roman"/>
          <w:sz w:val="24"/>
          <w:szCs w:val="24"/>
        </w:rPr>
        <w:t xml:space="preserve">, </w:t>
      </w:r>
      <w:r>
        <w:rPr>
          <w:rFonts w:ascii="Times New Roman" w:hAnsi="Times New Roman"/>
          <w:sz w:val="24"/>
          <w:szCs w:val="24"/>
        </w:rPr>
        <w:t>октобар</w:t>
      </w:r>
      <w:r w:rsidR="004D3847" w:rsidRPr="00AE754B">
        <w:rPr>
          <w:rFonts w:ascii="Times New Roman" w:hAnsi="Times New Roman"/>
          <w:sz w:val="24"/>
          <w:szCs w:val="24"/>
        </w:rPr>
        <w:t xml:space="preserve"> 2024</w:t>
      </w:r>
      <w:r w:rsidR="00AE754B">
        <w:rPr>
          <w:rFonts w:ascii="Times New Roman" w:hAnsi="Times New Roman"/>
          <w:sz w:val="24"/>
          <w:szCs w:val="24"/>
        </w:rPr>
        <w:t xml:space="preserve">. </w:t>
      </w:r>
      <w:r>
        <w:rPr>
          <w:rFonts w:ascii="Times New Roman" w:hAnsi="Times New Roman"/>
          <w:sz w:val="24"/>
          <w:szCs w:val="24"/>
        </w:rPr>
        <w:t>године</w:t>
      </w:r>
      <w:r w:rsidR="00FA6C3F" w:rsidRPr="00AE754B">
        <w:rPr>
          <w:rFonts w:ascii="Times New Roman" w:hAnsi="Times New Roman"/>
          <w:sz w:val="24"/>
          <w:szCs w:val="24"/>
        </w:rPr>
        <w:t>)</w:t>
      </w:r>
      <w:r w:rsidR="00BF51F9" w:rsidRPr="00AE754B">
        <w:rPr>
          <w:rStyle w:val="y2iqfc"/>
          <w:rFonts w:ascii="Times New Roman" w:hAnsi="Times New Roman" w:cs="Times New Roman"/>
          <w:sz w:val="24"/>
          <w:szCs w:val="24"/>
        </w:rPr>
        <w:t xml:space="preserve">. </w:t>
      </w:r>
      <w:r>
        <w:rPr>
          <w:rFonts w:ascii="Times New Roman" w:hAnsi="Times New Roman"/>
          <w:sz w:val="24"/>
          <w:szCs w:val="24"/>
          <w:lang w:val="en-US"/>
        </w:rPr>
        <w:t>Учешће</w:t>
      </w:r>
      <w:r w:rsidR="00253C55" w:rsidRPr="00AE754B">
        <w:rPr>
          <w:rFonts w:ascii="Times New Roman" w:hAnsi="Times New Roman"/>
          <w:sz w:val="24"/>
          <w:szCs w:val="24"/>
          <w:lang w:val="en-US"/>
        </w:rPr>
        <w:t xml:space="preserve"> </w:t>
      </w:r>
      <w:r>
        <w:rPr>
          <w:rFonts w:ascii="Times New Roman" w:hAnsi="Times New Roman"/>
          <w:sz w:val="24"/>
          <w:szCs w:val="24"/>
          <w:lang w:val="en-US"/>
        </w:rPr>
        <w:t>у</w:t>
      </w:r>
      <w:r w:rsidR="00253C55" w:rsidRPr="00AE754B">
        <w:rPr>
          <w:rFonts w:ascii="Times New Roman" w:hAnsi="Times New Roman"/>
          <w:sz w:val="24"/>
          <w:szCs w:val="24"/>
          <w:lang w:val="en-US"/>
        </w:rPr>
        <w:t xml:space="preserve"> </w:t>
      </w:r>
      <w:r>
        <w:rPr>
          <w:rFonts w:ascii="Times New Roman" w:hAnsi="Times New Roman"/>
          <w:sz w:val="24"/>
          <w:szCs w:val="24"/>
          <w:lang w:val="en-US"/>
        </w:rPr>
        <w:t>раду</w:t>
      </w:r>
      <w:r w:rsidR="00253C55" w:rsidRPr="00AE754B">
        <w:rPr>
          <w:rFonts w:ascii="Times New Roman" w:hAnsi="Times New Roman"/>
          <w:sz w:val="24"/>
          <w:szCs w:val="24"/>
          <w:lang w:val="en-US"/>
        </w:rPr>
        <w:t xml:space="preserve"> </w:t>
      </w:r>
      <w:r>
        <w:rPr>
          <w:rFonts w:ascii="Times New Roman" w:hAnsi="Times New Roman"/>
          <w:sz w:val="24"/>
          <w:szCs w:val="24"/>
          <w:lang w:val="en-US"/>
        </w:rPr>
        <w:t>органа</w:t>
      </w:r>
      <w:r w:rsidR="00253C55" w:rsidRPr="00AE754B">
        <w:rPr>
          <w:rFonts w:ascii="Times New Roman" w:hAnsi="Times New Roman"/>
          <w:sz w:val="24"/>
          <w:szCs w:val="24"/>
          <w:lang w:val="en-US"/>
        </w:rPr>
        <w:t xml:space="preserve"> </w:t>
      </w:r>
      <w:r>
        <w:rPr>
          <w:rFonts w:ascii="Times New Roman" w:hAnsi="Times New Roman"/>
          <w:sz w:val="24"/>
          <w:szCs w:val="24"/>
          <w:lang w:val="en-US"/>
        </w:rPr>
        <w:t>и</w:t>
      </w:r>
      <w:r w:rsidR="00253C55" w:rsidRPr="00AE754B">
        <w:rPr>
          <w:rFonts w:ascii="Times New Roman" w:hAnsi="Times New Roman"/>
          <w:sz w:val="24"/>
          <w:szCs w:val="24"/>
          <w:lang w:val="en-US"/>
        </w:rPr>
        <w:t xml:space="preserve"> </w:t>
      </w:r>
      <w:r>
        <w:rPr>
          <w:rFonts w:ascii="Times New Roman" w:hAnsi="Times New Roman"/>
          <w:sz w:val="24"/>
          <w:szCs w:val="24"/>
          <w:lang w:val="en-US"/>
        </w:rPr>
        <w:t>учешће</w:t>
      </w:r>
      <w:r w:rsidR="00253C55" w:rsidRPr="00AE754B">
        <w:rPr>
          <w:rFonts w:ascii="Times New Roman" w:hAnsi="Times New Roman"/>
          <w:sz w:val="24"/>
          <w:szCs w:val="24"/>
          <w:lang w:val="en-US"/>
        </w:rPr>
        <w:t xml:space="preserve"> </w:t>
      </w:r>
      <w:r>
        <w:rPr>
          <w:rFonts w:ascii="Times New Roman" w:hAnsi="Times New Roman"/>
          <w:sz w:val="24"/>
          <w:szCs w:val="24"/>
          <w:lang w:val="en-US"/>
        </w:rPr>
        <w:t>на</w:t>
      </w:r>
      <w:r w:rsidR="00253C55" w:rsidRPr="00AE754B">
        <w:rPr>
          <w:rFonts w:ascii="Times New Roman" w:hAnsi="Times New Roman"/>
          <w:sz w:val="24"/>
          <w:szCs w:val="24"/>
          <w:lang w:val="en-US"/>
        </w:rPr>
        <w:t xml:space="preserve"> </w:t>
      </w:r>
      <w:r>
        <w:rPr>
          <w:rFonts w:ascii="Times New Roman" w:hAnsi="Times New Roman"/>
          <w:sz w:val="24"/>
          <w:szCs w:val="24"/>
          <w:lang w:val="en-US"/>
        </w:rPr>
        <w:t>догађајима</w:t>
      </w:r>
      <w:r w:rsidR="00253C55" w:rsidRPr="00AE754B">
        <w:rPr>
          <w:rFonts w:ascii="Times New Roman" w:hAnsi="Times New Roman"/>
          <w:sz w:val="24"/>
          <w:szCs w:val="24"/>
          <w:lang w:val="en-US"/>
        </w:rPr>
        <w:t xml:space="preserve"> </w:t>
      </w:r>
      <w:r>
        <w:rPr>
          <w:rFonts w:ascii="Times New Roman" w:hAnsi="Times New Roman"/>
          <w:sz w:val="24"/>
          <w:szCs w:val="24"/>
          <w:lang w:val="en-US"/>
        </w:rPr>
        <w:t>и</w:t>
      </w:r>
      <w:r w:rsidR="00253C55" w:rsidRPr="00AE754B">
        <w:rPr>
          <w:rFonts w:ascii="Times New Roman" w:hAnsi="Times New Roman"/>
          <w:sz w:val="24"/>
          <w:szCs w:val="24"/>
          <w:lang w:val="en-US"/>
        </w:rPr>
        <w:t xml:space="preserve"> </w:t>
      </w:r>
      <w:r>
        <w:rPr>
          <w:rFonts w:ascii="Times New Roman" w:hAnsi="Times New Roman"/>
          <w:sz w:val="24"/>
          <w:szCs w:val="24"/>
          <w:lang w:val="en-US"/>
        </w:rPr>
        <w:t>скуповима</w:t>
      </w:r>
      <w:r w:rsidR="004926D1" w:rsidRPr="00AE754B">
        <w:rPr>
          <w:rFonts w:ascii="Times New Roman" w:hAnsi="Times New Roman"/>
          <w:sz w:val="24"/>
          <w:szCs w:val="24"/>
          <w:lang w:val="en-US"/>
        </w:rPr>
        <w:t xml:space="preserve"> </w:t>
      </w:r>
      <w:r>
        <w:rPr>
          <w:rFonts w:ascii="Times New Roman" w:hAnsi="Times New Roman"/>
          <w:sz w:val="24"/>
          <w:szCs w:val="24"/>
          <w:lang w:val="en-US"/>
        </w:rPr>
        <w:t>било</w:t>
      </w:r>
      <w:r w:rsidR="00253C55" w:rsidRPr="00AE754B">
        <w:rPr>
          <w:rFonts w:ascii="Times New Roman" w:hAnsi="Times New Roman"/>
          <w:sz w:val="24"/>
          <w:szCs w:val="24"/>
          <w:lang w:val="en-US"/>
        </w:rPr>
        <w:t xml:space="preserve"> </w:t>
      </w:r>
      <w:r>
        <w:rPr>
          <w:rFonts w:ascii="Times New Roman" w:hAnsi="Times New Roman"/>
          <w:sz w:val="24"/>
          <w:szCs w:val="24"/>
          <w:lang w:val="en-US"/>
        </w:rPr>
        <w:t>је</w:t>
      </w:r>
      <w:r w:rsidR="00AE754B" w:rsidRPr="00AE754B">
        <w:rPr>
          <w:rFonts w:ascii="Times New Roman" w:hAnsi="Times New Roman"/>
          <w:sz w:val="24"/>
          <w:szCs w:val="24"/>
          <w:lang w:val="en-US"/>
        </w:rPr>
        <w:t xml:space="preserve"> </w:t>
      </w:r>
      <w:r>
        <w:rPr>
          <w:rFonts w:ascii="Times New Roman" w:hAnsi="Times New Roman"/>
          <w:sz w:val="24"/>
          <w:szCs w:val="24"/>
          <w:lang w:val="en-US"/>
        </w:rPr>
        <w:t>прилика</w:t>
      </w:r>
      <w:r w:rsidR="00253C55" w:rsidRPr="00AE754B">
        <w:rPr>
          <w:rFonts w:ascii="Times New Roman" w:hAnsi="Times New Roman"/>
          <w:sz w:val="24"/>
          <w:szCs w:val="24"/>
          <w:lang w:val="en-US"/>
        </w:rPr>
        <w:t xml:space="preserve"> </w:t>
      </w:r>
      <w:r>
        <w:rPr>
          <w:rFonts w:ascii="Times New Roman" w:hAnsi="Times New Roman"/>
          <w:sz w:val="24"/>
          <w:szCs w:val="24"/>
          <w:lang w:val="en-US"/>
        </w:rPr>
        <w:t>да</w:t>
      </w:r>
      <w:r w:rsidR="00253C55" w:rsidRPr="00AE754B">
        <w:rPr>
          <w:rFonts w:ascii="Times New Roman" w:hAnsi="Times New Roman"/>
          <w:sz w:val="24"/>
          <w:szCs w:val="24"/>
          <w:lang w:val="en-US"/>
        </w:rPr>
        <w:t xml:space="preserve"> </w:t>
      </w:r>
      <w:r>
        <w:rPr>
          <w:rFonts w:ascii="Times New Roman" w:hAnsi="Times New Roman"/>
          <w:sz w:val="24"/>
          <w:szCs w:val="24"/>
          <w:lang w:val="en-US"/>
        </w:rPr>
        <w:t>се</w:t>
      </w:r>
      <w:r w:rsidR="00253C55" w:rsidRPr="00AE754B">
        <w:rPr>
          <w:rFonts w:ascii="Times New Roman" w:hAnsi="Times New Roman"/>
          <w:sz w:val="24"/>
          <w:szCs w:val="24"/>
          <w:lang w:val="en-US"/>
        </w:rPr>
        <w:t xml:space="preserve"> </w:t>
      </w:r>
      <w:r>
        <w:rPr>
          <w:rFonts w:ascii="Times New Roman" w:hAnsi="Times New Roman"/>
          <w:sz w:val="24"/>
          <w:szCs w:val="24"/>
          <w:lang w:val="en-US"/>
        </w:rPr>
        <w:t>представи</w:t>
      </w:r>
      <w:r w:rsidR="00253C55" w:rsidRPr="00AE754B">
        <w:rPr>
          <w:rFonts w:ascii="Times New Roman" w:hAnsi="Times New Roman"/>
          <w:sz w:val="24"/>
          <w:szCs w:val="24"/>
          <w:lang w:val="en-US"/>
        </w:rPr>
        <w:t xml:space="preserve"> </w:t>
      </w:r>
      <w:r>
        <w:rPr>
          <w:rFonts w:ascii="Times New Roman" w:hAnsi="Times New Roman"/>
          <w:sz w:val="24"/>
          <w:szCs w:val="24"/>
          <w:lang w:val="en-US"/>
        </w:rPr>
        <w:t>и</w:t>
      </w:r>
      <w:r w:rsidR="00253C55" w:rsidRPr="00AE754B">
        <w:rPr>
          <w:rFonts w:ascii="Times New Roman" w:hAnsi="Times New Roman"/>
          <w:sz w:val="24"/>
          <w:szCs w:val="24"/>
          <w:lang w:val="en-US"/>
        </w:rPr>
        <w:t xml:space="preserve"> </w:t>
      </w:r>
      <w:r>
        <w:rPr>
          <w:rFonts w:ascii="Times New Roman" w:hAnsi="Times New Roman"/>
          <w:sz w:val="24"/>
          <w:szCs w:val="24"/>
          <w:lang w:val="en-US"/>
        </w:rPr>
        <w:t>промови</w:t>
      </w:r>
      <w:r w:rsidR="00B745C8">
        <w:rPr>
          <w:rFonts w:ascii="Times New Roman" w:hAnsi="Times New Roman"/>
          <w:sz w:val="24"/>
          <w:szCs w:val="24"/>
          <w:lang w:val="sr-Cyrl-BA"/>
        </w:rPr>
        <w:t>ше</w:t>
      </w:r>
      <w:r w:rsidR="00253C55" w:rsidRPr="00AE754B">
        <w:rPr>
          <w:rFonts w:ascii="Times New Roman" w:hAnsi="Times New Roman"/>
          <w:sz w:val="24"/>
          <w:szCs w:val="24"/>
          <w:lang w:val="en-US"/>
        </w:rPr>
        <w:t xml:space="preserve"> </w:t>
      </w:r>
      <w:r>
        <w:rPr>
          <w:rFonts w:ascii="Times New Roman" w:hAnsi="Times New Roman"/>
          <w:sz w:val="24"/>
          <w:szCs w:val="24"/>
          <w:lang w:val="en-US"/>
        </w:rPr>
        <w:t>напредак</w:t>
      </w:r>
      <w:r w:rsidR="00253C55" w:rsidRPr="00AE754B">
        <w:rPr>
          <w:rFonts w:ascii="Times New Roman" w:hAnsi="Times New Roman"/>
          <w:sz w:val="24"/>
          <w:szCs w:val="24"/>
          <w:lang w:val="en-US"/>
        </w:rPr>
        <w:t xml:space="preserve"> </w:t>
      </w:r>
      <w:r>
        <w:rPr>
          <w:rFonts w:ascii="Times New Roman" w:hAnsi="Times New Roman"/>
          <w:sz w:val="24"/>
          <w:szCs w:val="24"/>
          <w:lang w:val="en-US"/>
        </w:rPr>
        <w:t>и</w:t>
      </w:r>
      <w:r w:rsidR="00253C55" w:rsidRPr="00AE754B">
        <w:rPr>
          <w:rFonts w:ascii="Times New Roman" w:hAnsi="Times New Roman"/>
          <w:sz w:val="24"/>
          <w:szCs w:val="24"/>
          <w:lang w:val="en-US"/>
        </w:rPr>
        <w:t xml:space="preserve"> </w:t>
      </w:r>
      <w:r>
        <w:rPr>
          <w:rFonts w:ascii="Times New Roman" w:hAnsi="Times New Roman"/>
          <w:sz w:val="24"/>
          <w:szCs w:val="24"/>
          <w:lang w:val="en-US"/>
        </w:rPr>
        <w:t>изазови</w:t>
      </w:r>
      <w:r w:rsidR="009E54A2" w:rsidRPr="00AE754B">
        <w:rPr>
          <w:rFonts w:ascii="Times New Roman" w:hAnsi="Times New Roman"/>
          <w:sz w:val="24"/>
          <w:szCs w:val="24"/>
          <w:lang w:val="en-US"/>
        </w:rPr>
        <w:t xml:space="preserve"> </w:t>
      </w:r>
      <w:r>
        <w:rPr>
          <w:rFonts w:ascii="Times New Roman" w:hAnsi="Times New Roman"/>
          <w:sz w:val="24"/>
          <w:szCs w:val="24"/>
          <w:lang w:val="en-US"/>
        </w:rPr>
        <w:t>БиХ</w:t>
      </w:r>
      <w:r w:rsidR="009E54A2" w:rsidRPr="00AE754B">
        <w:rPr>
          <w:rFonts w:ascii="Times New Roman" w:hAnsi="Times New Roman"/>
          <w:sz w:val="24"/>
          <w:szCs w:val="24"/>
          <w:lang w:val="en-US"/>
        </w:rPr>
        <w:t xml:space="preserve"> </w:t>
      </w:r>
      <w:r>
        <w:rPr>
          <w:rFonts w:ascii="Times New Roman" w:hAnsi="Times New Roman"/>
          <w:sz w:val="24"/>
          <w:szCs w:val="24"/>
          <w:lang w:val="en-US"/>
        </w:rPr>
        <w:t>у</w:t>
      </w:r>
      <w:r w:rsidR="00253C55" w:rsidRPr="00AE754B">
        <w:rPr>
          <w:rFonts w:ascii="Times New Roman" w:hAnsi="Times New Roman"/>
          <w:sz w:val="24"/>
          <w:szCs w:val="24"/>
          <w:lang w:val="en-US"/>
        </w:rPr>
        <w:t xml:space="preserve"> </w:t>
      </w:r>
      <w:r>
        <w:rPr>
          <w:rFonts w:ascii="Times New Roman" w:hAnsi="Times New Roman"/>
          <w:sz w:val="24"/>
          <w:szCs w:val="24"/>
          <w:lang w:val="en-US"/>
        </w:rPr>
        <w:t>развоју</w:t>
      </w:r>
      <w:r w:rsidR="00253C55" w:rsidRPr="00AE754B">
        <w:rPr>
          <w:rFonts w:ascii="Times New Roman" w:hAnsi="Times New Roman"/>
          <w:sz w:val="24"/>
          <w:szCs w:val="24"/>
          <w:lang w:val="en-US"/>
        </w:rPr>
        <w:t xml:space="preserve"> </w:t>
      </w:r>
      <w:r>
        <w:rPr>
          <w:rFonts w:ascii="Times New Roman" w:hAnsi="Times New Roman"/>
          <w:sz w:val="24"/>
          <w:szCs w:val="24"/>
          <w:lang w:val="en-US"/>
        </w:rPr>
        <w:t>равноправности</w:t>
      </w:r>
      <w:r w:rsidR="00253C55" w:rsidRPr="00AE754B">
        <w:rPr>
          <w:rFonts w:ascii="Times New Roman" w:hAnsi="Times New Roman"/>
          <w:sz w:val="24"/>
          <w:szCs w:val="24"/>
          <w:lang w:val="en-US"/>
        </w:rPr>
        <w:t xml:space="preserve"> </w:t>
      </w:r>
      <w:r>
        <w:rPr>
          <w:rFonts w:ascii="Times New Roman" w:hAnsi="Times New Roman"/>
          <w:sz w:val="24"/>
          <w:szCs w:val="24"/>
          <w:lang w:val="en-US"/>
        </w:rPr>
        <w:t>полова</w:t>
      </w:r>
      <w:r w:rsidR="00253C55" w:rsidRPr="00AE754B">
        <w:rPr>
          <w:rFonts w:ascii="Times New Roman" w:hAnsi="Times New Roman"/>
          <w:sz w:val="24"/>
          <w:szCs w:val="24"/>
          <w:lang w:val="en-US"/>
        </w:rPr>
        <w:t xml:space="preserve"> </w:t>
      </w:r>
      <w:r>
        <w:rPr>
          <w:rFonts w:ascii="Times New Roman" w:hAnsi="Times New Roman"/>
          <w:sz w:val="24"/>
          <w:szCs w:val="24"/>
          <w:lang w:val="en-US"/>
        </w:rPr>
        <w:t>и</w:t>
      </w:r>
      <w:r w:rsidR="00253C55" w:rsidRPr="00AE754B">
        <w:rPr>
          <w:rFonts w:ascii="Times New Roman" w:hAnsi="Times New Roman"/>
          <w:sz w:val="24"/>
          <w:szCs w:val="24"/>
          <w:lang w:val="en-US"/>
        </w:rPr>
        <w:t xml:space="preserve"> </w:t>
      </w:r>
      <w:r>
        <w:rPr>
          <w:rFonts w:ascii="Times New Roman" w:hAnsi="Times New Roman"/>
          <w:sz w:val="24"/>
          <w:szCs w:val="24"/>
          <w:lang w:val="en-US"/>
        </w:rPr>
        <w:t>људских</w:t>
      </w:r>
      <w:r w:rsidR="00253C55" w:rsidRPr="00AE754B">
        <w:rPr>
          <w:rFonts w:ascii="Times New Roman" w:hAnsi="Times New Roman"/>
          <w:sz w:val="24"/>
          <w:szCs w:val="24"/>
          <w:lang w:val="en-US"/>
        </w:rPr>
        <w:t xml:space="preserve"> </w:t>
      </w:r>
      <w:r>
        <w:rPr>
          <w:rFonts w:ascii="Times New Roman" w:hAnsi="Times New Roman"/>
          <w:sz w:val="24"/>
          <w:szCs w:val="24"/>
          <w:lang w:val="en-US"/>
        </w:rPr>
        <w:t>права</w:t>
      </w:r>
      <w:r w:rsidR="00253C55" w:rsidRPr="00AE754B">
        <w:rPr>
          <w:rFonts w:ascii="Times New Roman" w:hAnsi="Times New Roman"/>
          <w:sz w:val="24"/>
          <w:szCs w:val="24"/>
          <w:lang w:val="en-US"/>
        </w:rPr>
        <w:t xml:space="preserve">, </w:t>
      </w:r>
      <w:r>
        <w:rPr>
          <w:rFonts w:ascii="Times New Roman" w:hAnsi="Times New Roman"/>
          <w:sz w:val="24"/>
          <w:szCs w:val="24"/>
          <w:lang w:val="en-US"/>
        </w:rPr>
        <w:t>као</w:t>
      </w:r>
      <w:r w:rsidR="00253C55" w:rsidRPr="00AE754B">
        <w:rPr>
          <w:rFonts w:ascii="Times New Roman" w:hAnsi="Times New Roman"/>
          <w:sz w:val="24"/>
          <w:szCs w:val="24"/>
          <w:lang w:val="en-US"/>
        </w:rPr>
        <w:t xml:space="preserve"> </w:t>
      </w:r>
      <w:r>
        <w:rPr>
          <w:rFonts w:ascii="Times New Roman" w:hAnsi="Times New Roman"/>
          <w:sz w:val="24"/>
          <w:szCs w:val="24"/>
          <w:lang w:val="en-US"/>
        </w:rPr>
        <w:t>и</w:t>
      </w:r>
      <w:r w:rsidR="00253C55" w:rsidRPr="00AE754B">
        <w:rPr>
          <w:rFonts w:ascii="Times New Roman" w:hAnsi="Times New Roman"/>
          <w:sz w:val="24"/>
          <w:szCs w:val="24"/>
          <w:lang w:val="en-US"/>
        </w:rPr>
        <w:t xml:space="preserve"> </w:t>
      </w:r>
      <w:r>
        <w:rPr>
          <w:rFonts w:ascii="Times New Roman" w:hAnsi="Times New Roman"/>
          <w:sz w:val="24"/>
          <w:szCs w:val="24"/>
          <w:lang w:val="en-US"/>
        </w:rPr>
        <w:t>за</w:t>
      </w:r>
      <w:r w:rsidR="00253C55" w:rsidRPr="00AE754B">
        <w:rPr>
          <w:rFonts w:ascii="Times New Roman" w:hAnsi="Times New Roman"/>
          <w:sz w:val="24"/>
          <w:szCs w:val="24"/>
          <w:lang w:val="en-US"/>
        </w:rPr>
        <w:t xml:space="preserve"> </w:t>
      </w:r>
      <w:r>
        <w:rPr>
          <w:rFonts w:ascii="Times New Roman" w:hAnsi="Times New Roman"/>
          <w:sz w:val="24"/>
          <w:szCs w:val="24"/>
          <w:lang w:val="en-US"/>
        </w:rPr>
        <w:t>успостављање</w:t>
      </w:r>
      <w:r w:rsidR="00253C55" w:rsidRPr="00AE754B">
        <w:rPr>
          <w:rFonts w:ascii="Times New Roman" w:hAnsi="Times New Roman"/>
          <w:sz w:val="24"/>
          <w:szCs w:val="24"/>
          <w:lang w:val="en-US"/>
        </w:rPr>
        <w:t xml:space="preserve"> </w:t>
      </w:r>
      <w:r>
        <w:rPr>
          <w:rFonts w:ascii="Times New Roman" w:hAnsi="Times New Roman"/>
          <w:sz w:val="24"/>
          <w:szCs w:val="24"/>
          <w:lang w:val="en-US"/>
        </w:rPr>
        <w:t>важних</w:t>
      </w:r>
      <w:r w:rsidR="00253C55" w:rsidRPr="00AE754B">
        <w:rPr>
          <w:rFonts w:ascii="Times New Roman" w:hAnsi="Times New Roman"/>
          <w:sz w:val="24"/>
          <w:szCs w:val="24"/>
          <w:lang w:val="en-US"/>
        </w:rPr>
        <w:t xml:space="preserve"> </w:t>
      </w:r>
      <w:r>
        <w:rPr>
          <w:rFonts w:ascii="Times New Roman" w:hAnsi="Times New Roman"/>
          <w:sz w:val="24"/>
          <w:szCs w:val="24"/>
          <w:lang w:val="en-US"/>
        </w:rPr>
        <w:t>професионалних</w:t>
      </w:r>
      <w:r w:rsidR="00AE754B">
        <w:rPr>
          <w:rFonts w:ascii="Times New Roman" w:hAnsi="Times New Roman"/>
          <w:sz w:val="24"/>
          <w:szCs w:val="24"/>
          <w:lang w:val="en-US"/>
        </w:rPr>
        <w:t xml:space="preserve"> </w:t>
      </w:r>
      <w:r>
        <w:rPr>
          <w:rFonts w:ascii="Times New Roman" w:hAnsi="Times New Roman"/>
          <w:sz w:val="24"/>
          <w:szCs w:val="24"/>
          <w:lang w:val="en-US"/>
        </w:rPr>
        <w:t>контаката</w:t>
      </w:r>
      <w:r w:rsidR="00AE754B">
        <w:rPr>
          <w:rFonts w:ascii="Times New Roman" w:hAnsi="Times New Roman"/>
          <w:sz w:val="24"/>
          <w:szCs w:val="24"/>
          <w:lang w:val="en-US"/>
        </w:rPr>
        <w:t xml:space="preserve"> </w:t>
      </w:r>
      <w:r>
        <w:rPr>
          <w:rFonts w:ascii="Times New Roman" w:hAnsi="Times New Roman"/>
          <w:sz w:val="24"/>
          <w:szCs w:val="24"/>
          <w:lang w:val="en-US"/>
        </w:rPr>
        <w:t>са</w:t>
      </w:r>
      <w:r w:rsidR="00D319BF" w:rsidRPr="00AE754B">
        <w:rPr>
          <w:rFonts w:ascii="Times New Roman" w:hAnsi="Times New Roman"/>
          <w:sz w:val="24"/>
          <w:szCs w:val="24"/>
          <w:lang w:val="en-US"/>
        </w:rPr>
        <w:t xml:space="preserve"> </w:t>
      </w:r>
      <w:r>
        <w:rPr>
          <w:rFonts w:ascii="Times New Roman" w:hAnsi="Times New Roman"/>
          <w:sz w:val="24"/>
          <w:szCs w:val="24"/>
          <w:lang w:val="en-US"/>
        </w:rPr>
        <w:t>представницима</w:t>
      </w:r>
      <w:r w:rsidR="00253C55" w:rsidRPr="00AE754B">
        <w:rPr>
          <w:rFonts w:ascii="Times New Roman" w:hAnsi="Times New Roman"/>
          <w:sz w:val="24"/>
          <w:szCs w:val="24"/>
          <w:lang w:val="en-US"/>
        </w:rPr>
        <w:t xml:space="preserve"> </w:t>
      </w:r>
      <w:r>
        <w:rPr>
          <w:rFonts w:ascii="Times New Roman" w:hAnsi="Times New Roman"/>
          <w:sz w:val="24"/>
          <w:szCs w:val="24"/>
          <w:lang w:val="en-US"/>
        </w:rPr>
        <w:t>релевантних</w:t>
      </w:r>
      <w:r w:rsidR="00253C55" w:rsidRPr="00AE754B">
        <w:rPr>
          <w:rFonts w:ascii="Times New Roman" w:hAnsi="Times New Roman"/>
          <w:sz w:val="24"/>
          <w:szCs w:val="24"/>
          <w:lang w:val="en-US"/>
        </w:rPr>
        <w:t xml:space="preserve"> </w:t>
      </w:r>
      <w:r>
        <w:rPr>
          <w:rFonts w:ascii="Times New Roman" w:hAnsi="Times New Roman"/>
          <w:sz w:val="24"/>
          <w:szCs w:val="24"/>
          <w:lang w:val="en-US"/>
        </w:rPr>
        <w:t>владиних</w:t>
      </w:r>
      <w:r w:rsidR="00253C55" w:rsidRPr="00AE754B">
        <w:rPr>
          <w:rFonts w:ascii="Times New Roman" w:hAnsi="Times New Roman"/>
          <w:sz w:val="24"/>
          <w:szCs w:val="24"/>
          <w:lang w:val="en-US"/>
        </w:rPr>
        <w:t xml:space="preserve"> </w:t>
      </w:r>
      <w:r>
        <w:rPr>
          <w:rFonts w:ascii="Times New Roman" w:hAnsi="Times New Roman"/>
          <w:sz w:val="24"/>
          <w:szCs w:val="24"/>
          <w:lang w:val="en-US"/>
        </w:rPr>
        <w:t>институција</w:t>
      </w:r>
      <w:r w:rsidR="00253C55" w:rsidRPr="00AE754B">
        <w:rPr>
          <w:rFonts w:ascii="Times New Roman" w:hAnsi="Times New Roman"/>
          <w:sz w:val="24"/>
          <w:szCs w:val="24"/>
          <w:lang w:val="en-US"/>
        </w:rPr>
        <w:t xml:space="preserve"> </w:t>
      </w:r>
      <w:r>
        <w:rPr>
          <w:rFonts w:ascii="Times New Roman" w:hAnsi="Times New Roman"/>
          <w:sz w:val="24"/>
          <w:szCs w:val="24"/>
          <w:lang w:val="en-US"/>
        </w:rPr>
        <w:t>других</w:t>
      </w:r>
      <w:r w:rsidR="00253C55" w:rsidRPr="00AE754B">
        <w:rPr>
          <w:rFonts w:ascii="Times New Roman" w:hAnsi="Times New Roman"/>
          <w:sz w:val="24"/>
          <w:szCs w:val="24"/>
          <w:lang w:val="en-US"/>
        </w:rPr>
        <w:t xml:space="preserve"> </w:t>
      </w:r>
      <w:r>
        <w:rPr>
          <w:rFonts w:ascii="Times New Roman" w:hAnsi="Times New Roman"/>
          <w:sz w:val="24"/>
          <w:szCs w:val="24"/>
          <w:lang w:val="en-US"/>
        </w:rPr>
        <w:t>земаља</w:t>
      </w:r>
      <w:r w:rsidR="00253C55" w:rsidRPr="00AE754B">
        <w:rPr>
          <w:rFonts w:ascii="Times New Roman" w:hAnsi="Times New Roman"/>
          <w:sz w:val="24"/>
          <w:szCs w:val="24"/>
          <w:lang w:val="en-US"/>
        </w:rPr>
        <w:t>.</w:t>
      </w:r>
      <w:r w:rsidR="0000023E" w:rsidRPr="00AE754B">
        <w:rPr>
          <w:rFonts w:ascii="Times New Roman" w:hAnsi="Times New Roman"/>
          <w:sz w:val="24"/>
          <w:szCs w:val="24"/>
          <w:lang w:val="en-US"/>
        </w:rPr>
        <w:t xml:space="preserve"> </w:t>
      </w:r>
    </w:p>
    <w:p w:rsidR="00253C55" w:rsidRPr="00295637" w:rsidRDefault="00253C55" w:rsidP="0086268D">
      <w:pPr>
        <w:jc w:val="both"/>
        <w:rPr>
          <w:rFonts w:ascii="Times New Roman" w:hAnsi="Times New Roman"/>
          <w:szCs w:val="24"/>
          <w:lang w:val="en-US"/>
        </w:rPr>
      </w:pPr>
    </w:p>
    <w:p w:rsidR="00A87F6C" w:rsidRPr="00295637" w:rsidRDefault="00C6214E" w:rsidP="0086268D">
      <w:pPr>
        <w:jc w:val="both"/>
        <w:rPr>
          <w:rFonts w:ascii="Times New Roman" w:hAnsi="Times New Roman"/>
          <w:szCs w:val="24"/>
          <w:lang w:val="hr-HR"/>
        </w:rPr>
      </w:pPr>
      <w:r>
        <w:rPr>
          <w:rFonts w:ascii="Times New Roman" w:hAnsi="Times New Roman"/>
          <w:szCs w:val="24"/>
          <w:lang w:val="hr-HR"/>
        </w:rPr>
        <w:t>У</w:t>
      </w:r>
      <w:r w:rsidR="00A87F6C" w:rsidRPr="00295637">
        <w:rPr>
          <w:rFonts w:ascii="Times New Roman" w:hAnsi="Times New Roman"/>
          <w:szCs w:val="24"/>
          <w:lang w:val="hr-HR"/>
        </w:rPr>
        <w:t xml:space="preserve"> </w:t>
      </w:r>
      <w:r>
        <w:rPr>
          <w:rFonts w:ascii="Times New Roman" w:hAnsi="Times New Roman"/>
          <w:szCs w:val="24"/>
          <w:lang w:val="hr-HR"/>
        </w:rPr>
        <w:t>оквиру</w:t>
      </w:r>
      <w:r w:rsidR="00A87F6C" w:rsidRPr="00295637">
        <w:rPr>
          <w:rFonts w:ascii="Times New Roman" w:hAnsi="Times New Roman"/>
          <w:szCs w:val="24"/>
          <w:lang w:val="hr-HR"/>
        </w:rPr>
        <w:t xml:space="preserve"> </w:t>
      </w:r>
      <w:r>
        <w:rPr>
          <w:rFonts w:ascii="Times New Roman" w:hAnsi="Times New Roman"/>
          <w:szCs w:val="24"/>
          <w:lang w:val="hr-HR"/>
        </w:rPr>
        <w:t>заједничког</w:t>
      </w:r>
      <w:r w:rsidR="004C49F5" w:rsidRPr="00295637">
        <w:rPr>
          <w:rFonts w:ascii="Times New Roman" w:hAnsi="Times New Roman"/>
          <w:szCs w:val="24"/>
          <w:lang w:val="hr-HR"/>
        </w:rPr>
        <w:t xml:space="preserve"> </w:t>
      </w:r>
      <w:r>
        <w:rPr>
          <w:rFonts w:ascii="Times New Roman" w:hAnsi="Times New Roman"/>
          <w:szCs w:val="24"/>
          <w:lang w:val="hr-HR"/>
        </w:rPr>
        <w:t>програма</w:t>
      </w:r>
      <w:r w:rsidR="004C49F5" w:rsidRPr="00295637">
        <w:rPr>
          <w:rFonts w:ascii="Times New Roman" w:hAnsi="Times New Roman"/>
          <w:szCs w:val="24"/>
          <w:lang w:val="hr-HR"/>
        </w:rPr>
        <w:t xml:space="preserve"> </w:t>
      </w:r>
      <w:r w:rsidR="00B745C8">
        <w:rPr>
          <w:rFonts w:ascii="Times New Roman" w:hAnsi="Times New Roman"/>
          <w:szCs w:val="24"/>
          <w:lang w:val="sr-Cyrl-BA"/>
        </w:rPr>
        <w:t>С</w:t>
      </w:r>
      <w:r>
        <w:rPr>
          <w:rFonts w:ascii="Times New Roman" w:hAnsi="Times New Roman"/>
          <w:szCs w:val="24"/>
          <w:lang w:val="hr-HR"/>
        </w:rPr>
        <w:t>Е</w:t>
      </w:r>
      <w:r w:rsidR="004C49F5" w:rsidRPr="00295637">
        <w:rPr>
          <w:rFonts w:ascii="Times New Roman" w:hAnsi="Times New Roman"/>
          <w:szCs w:val="24"/>
          <w:lang w:val="hr-HR"/>
        </w:rPr>
        <w:t xml:space="preserve"> </w:t>
      </w:r>
      <w:r>
        <w:rPr>
          <w:rFonts w:ascii="Times New Roman" w:hAnsi="Times New Roman"/>
          <w:szCs w:val="24"/>
          <w:lang w:val="hr-HR"/>
        </w:rPr>
        <w:t>и</w:t>
      </w:r>
      <w:r w:rsidR="004C49F5" w:rsidRPr="00295637">
        <w:rPr>
          <w:rFonts w:ascii="Times New Roman" w:hAnsi="Times New Roman"/>
          <w:szCs w:val="24"/>
          <w:lang w:val="hr-HR"/>
        </w:rPr>
        <w:t xml:space="preserve"> </w:t>
      </w:r>
      <w:r>
        <w:rPr>
          <w:rFonts w:ascii="Times New Roman" w:hAnsi="Times New Roman"/>
          <w:szCs w:val="24"/>
          <w:lang w:val="hr-HR"/>
        </w:rPr>
        <w:t>ЕУ</w:t>
      </w:r>
      <w:r w:rsidR="004C49F5" w:rsidRPr="00295637">
        <w:rPr>
          <w:rFonts w:ascii="Times New Roman" w:hAnsi="Times New Roman"/>
          <w:szCs w:val="24"/>
          <w:lang w:val="hr-HR"/>
        </w:rPr>
        <w:t xml:space="preserve"> „</w:t>
      </w:r>
      <w:r w:rsidR="00B745C8" w:rsidRPr="00B745C8">
        <w:rPr>
          <w:rFonts w:ascii="Times New Roman" w:hAnsi="Times New Roman"/>
          <w:i/>
          <w:szCs w:val="24"/>
          <w:lang w:val="hr-HR"/>
        </w:rPr>
        <w:t xml:space="preserve">Horizontal facility </w:t>
      </w:r>
      <w:r w:rsidR="00A87F6C" w:rsidRPr="00295637">
        <w:rPr>
          <w:rFonts w:ascii="Times New Roman" w:hAnsi="Times New Roman"/>
          <w:szCs w:val="24"/>
          <w:lang w:val="hr-HR"/>
        </w:rPr>
        <w:t xml:space="preserve">– </w:t>
      </w:r>
      <w:r>
        <w:rPr>
          <w:rFonts w:ascii="Times New Roman" w:hAnsi="Times New Roman"/>
          <w:szCs w:val="24"/>
          <w:lang w:val="hr-HR"/>
        </w:rPr>
        <w:t>фаза</w:t>
      </w:r>
      <w:r w:rsidR="00A87F6C" w:rsidRPr="00295637">
        <w:rPr>
          <w:rFonts w:ascii="Times New Roman" w:hAnsi="Times New Roman"/>
          <w:szCs w:val="24"/>
          <w:lang w:val="hr-HR"/>
        </w:rPr>
        <w:t xml:space="preserve"> </w:t>
      </w:r>
      <w:r w:rsidR="00B745C8" w:rsidRPr="00B745C8">
        <w:rPr>
          <w:rFonts w:ascii="Times New Roman" w:hAnsi="Times New Roman"/>
          <w:szCs w:val="24"/>
          <w:lang w:val="hr-HR"/>
        </w:rPr>
        <w:t>III</w:t>
      </w:r>
      <w:r w:rsidR="00AE754B">
        <w:rPr>
          <w:rFonts w:ascii="Times New Roman" w:hAnsi="Times New Roman"/>
          <w:szCs w:val="24"/>
          <w:lang w:val="hr-HR"/>
        </w:rPr>
        <w:t xml:space="preserve">“ </w:t>
      </w:r>
      <w:r>
        <w:rPr>
          <w:rFonts w:ascii="Times New Roman" w:hAnsi="Times New Roman"/>
          <w:szCs w:val="24"/>
          <w:lang w:val="hr-HR"/>
        </w:rPr>
        <w:t>проводи</w:t>
      </w:r>
      <w:r w:rsidR="00AE754B">
        <w:rPr>
          <w:rFonts w:ascii="Times New Roman" w:hAnsi="Times New Roman"/>
          <w:szCs w:val="24"/>
          <w:lang w:val="hr-HR"/>
        </w:rPr>
        <w:t xml:space="preserve"> </w:t>
      </w:r>
      <w:r>
        <w:rPr>
          <w:rFonts w:ascii="Times New Roman" w:hAnsi="Times New Roman"/>
          <w:szCs w:val="24"/>
          <w:lang w:val="hr-HR"/>
        </w:rPr>
        <w:t>се</w:t>
      </w:r>
      <w:r w:rsidR="00AE754B">
        <w:rPr>
          <w:rFonts w:ascii="Times New Roman" w:hAnsi="Times New Roman"/>
          <w:szCs w:val="24"/>
          <w:lang w:val="hr-HR"/>
        </w:rPr>
        <w:t xml:space="preserve"> </w:t>
      </w:r>
      <w:r>
        <w:rPr>
          <w:rFonts w:ascii="Times New Roman" w:hAnsi="Times New Roman"/>
          <w:szCs w:val="24"/>
          <w:lang w:val="hr-HR"/>
        </w:rPr>
        <w:t>пројекат</w:t>
      </w:r>
      <w:r w:rsidR="00A87F6C" w:rsidRPr="00295637">
        <w:rPr>
          <w:rFonts w:ascii="Times New Roman" w:hAnsi="Times New Roman"/>
          <w:szCs w:val="24"/>
          <w:lang w:val="hr-HR"/>
        </w:rPr>
        <w:t xml:space="preserve"> „</w:t>
      </w:r>
      <w:r>
        <w:rPr>
          <w:rFonts w:ascii="Times New Roman" w:hAnsi="Times New Roman"/>
          <w:szCs w:val="24"/>
          <w:lang w:val="hr-HR"/>
        </w:rPr>
        <w:t>Ка</w:t>
      </w:r>
      <w:r w:rsidR="00A87F6C" w:rsidRPr="00295637">
        <w:rPr>
          <w:rFonts w:ascii="Times New Roman" w:hAnsi="Times New Roman"/>
          <w:szCs w:val="24"/>
          <w:lang w:val="hr-HR"/>
        </w:rPr>
        <w:t xml:space="preserve"> </w:t>
      </w:r>
      <w:r>
        <w:rPr>
          <w:rFonts w:ascii="Times New Roman" w:hAnsi="Times New Roman"/>
          <w:szCs w:val="24"/>
          <w:lang w:val="hr-HR"/>
        </w:rPr>
        <w:t>једнакој</w:t>
      </w:r>
      <w:r w:rsidR="00A87F6C" w:rsidRPr="00295637">
        <w:rPr>
          <w:rFonts w:ascii="Times New Roman" w:hAnsi="Times New Roman"/>
          <w:szCs w:val="24"/>
          <w:lang w:val="hr-HR"/>
        </w:rPr>
        <w:t xml:space="preserve">, </w:t>
      </w:r>
      <w:r>
        <w:rPr>
          <w:rFonts w:ascii="Times New Roman" w:hAnsi="Times New Roman"/>
          <w:szCs w:val="24"/>
          <w:lang w:val="hr-HR"/>
        </w:rPr>
        <w:t>инклузивној</w:t>
      </w:r>
      <w:r w:rsidR="00A87F6C" w:rsidRPr="00295637">
        <w:rPr>
          <w:rFonts w:ascii="Times New Roman" w:hAnsi="Times New Roman"/>
          <w:szCs w:val="24"/>
          <w:lang w:val="hr-HR"/>
        </w:rPr>
        <w:t xml:space="preserve"> </w:t>
      </w:r>
      <w:r>
        <w:rPr>
          <w:rFonts w:ascii="Times New Roman" w:hAnsi="Times New Roman"/>
          <w:szCs w:val="24"/>
          <w:lang w:val="hr-HR"/>
        </w:rPr>
        <w:t>и</w:t>
      </w:r>
      <w:r w:rsidR="00A87F6C" w:rsidRPr="00295637">
        <w:rPr>
          <w:rFonts w:ascii="Times New Roman" w:hAnsi="Times New Roman"/>
          <w:szCs w:val="24"/>
          <w:lang w:val="hr-HR"/>
        </w:rPr>
        <w:t xml:space="preserve"> </w:t>
      </w:r>
      <w:r>
        <w:rPr>
          <w:rFonts w:ascii="Times New Roman" w:hAnsi="Times New Roman"/>
          <w:szCs w:val="24"/>
          <w:lang w:val="hr-HR"/>
        </w:rPr>
        <w:t>толерантној</w:t>
      </w:r>
      <w:r w:rsidR="00AE754B">
        <w:rPr>
          <w:rFonts w:ascii="Times New Roman" w:hAnsi="Times New Roman"/>
          <w:szCs w:val="24"/>
          <w:lang w:val="hr-HR"/>
        </w:rPr>
        <w:t xml:space="preserve"> </w:t>
      </w:r>
      <w:r>
        <w:rPr>
          <w:rFonts w:ascii="Times New Roman" w:hAnsi="Times New Roman"/>
          <w:szCs w:val="24"/>
          <w:lang w:val="hr-HR"/>
        </w:rPr>
        <w:t>БиХ</w:t>
      </w:r>
      <w:r w:rsidR="00A87F6C" w:rsidRPr="00295637">
        <w:rPr>
          <w:rFonts w:ascii="Times New Roman" w:hAnsi="Times New Roman"/>
          <w:szCs w:val="24"/>
          <w:lang w:val="hr-HR"/>
        </w:rPr>
        <w:t>“.</w:t>
      </w:r>
      <w:r w:rsidR="00E84CF4" w:rsidRPr="00295637">
        <w:rPr>
          <w:rFonts w:ascii="Times New Roman" w:hAnsi="Times New Roman"/>
          <w:szCs w:val="24"/>
          <w:lang w:val="hr-HR"/>
        </w:rPr>
        <w:t xml:space="preserve"> </w:t>
      </w:r>
      <w:r>
        <w:rPr>
          <w:rFonts w:ascii="Times New Roman" w:hAnsi="Times New Roman"/>
          <w:szCs w:val="24"/>
          <w:lang w:val="hr-HR"/>
        </w:rPr>
        <w:t>У</w:t>
      </w:r>
      <w:r w:rsidR="00E84CF4" w:rsidRPr="00295637">
        <w:rPr>
          <w:rFonts w:ascii="Times New Roman" w:hAnsi="Times New Roman"/>
          <w:szCs w:val="24"/>
          <w:lang w:val="hr-HR"/>
        </w:rPr>
        <w:t xml:space="preserve"> </w:t>
      </w:r>
      <w:r>
        <w:rPr>
          <w:rFonts w:ascii="Times New Roman" w:hAnsi="Times New Roman"/>
          <w:szCs w:val="24"/>
          <w:lang w:val="hr-HR"/>
        </w:rPr>
        <w:t>извјештајном</w:t>
      </w:r>
      <w:r w:rsidR="00E84CF4" w:rsidRPr="00295637">
        <w:rPr>
          <w:rFonts w:ascii="Times New Roman" w:hAnsi="Times New Roman"/>
          <w:szCs w:val="24"/>
          <w:lang w:val="hr-HR"/>
        </w:rPr>
        <w:t xml:space="preserve"> </w:t>
      </w:r>
      <w:r>
        <w:rPr>
          <w:rFonts w:ascii="Times New Roman" w:hAnsi="Times New Roman"/>
          <w:szCs w:val="24"/>
          <w:lang w:val="hr-HR"/>
        </w:rPr>
        <w:t>периоду</w:t>
      </w:r>
      <w:r w:rsidR="00BB0F22">
        <w:rPr>
          <w:rFonts w:ascii="Times New Roman" w:hAnsi="Times New Roman"/>
          <w:szCs w:val="24"/>
          <w:lang w:val="hr-HR"/>
        </w:rPr>
        <w:t xml:space="preserve"> </w:t>
      </w:r>
      <w:r>
        <w:rPr>
          <w:rFonts w:ascii="Times New Roman" w:hAnsi="Times New Roman"/>
          <w:szCs w:val="24"/>
          <w:lang w:val="hr-HR"/>
        </w:rPr>
        <w:t>одржана</w:t>
      </w:r>
      <w:r w:rsidR="00A87F6C" w:rsidRPr="00295637">
        <w:rPr>
          <w:rFonts w:ascii="Times New Roman" w:hAnsi="Times New Roman"/>
          <w:szCs w:val="24"/>
          <w:lang w:val="hr-HR"/>
        </w:rPr>
        <w:t xml:space="preserve"> </w:t>
      </w:r>
      <w:r>
        <w:rPr>
          <w:rFonts w:ascii="Times New Roman" w:hAnsi="Times New Roman"/>
          <w:szCs w:val="24"/>
          <w:lang w:val="hr-HR"/>
        </w:rPr>
        <w:t>су</w:t>
      </w:r>
      <w:r w:rsidR="00A87F6C" w:rsidRPr="00295637">
        <w:rPr>
          <w:rFonts w:ascii="Times New Roman" w:hAnsi="Times New Roman"/>
          <w:szCs w:val="24"/>
          <w:lang w:val="hr-HR"/>
        </w:rPr>
        <w:t xml:space="preserve"> </w:t>
      </w:r>
      <w:r>
        <w:rPr>
          <w:rFonts w:ascii="Times New Roman" w:hAnsi="Times New Roman"/>
          <w:szCs w:val="24"/>
          <w:lang w:val="hr-HR"/>
        </w:rPr>
        <w:t>два</w:t>
      </w:r>
      <w:r w:rsidR="00A87F6C" w:rsidRPr="00295637">
        <w:rPr>
          <w:rFonts w:ascii="Times New Roman" w:hAnsi="Times New Roman"/>
          <w:szCs w:val="24"/>
          <w:lang w:val="hr-HR"/>
        </w:rPr>
        <w:t xml:space="preserve"> </w:t>
      </w:r>
      <w:r>
        <w:rPr>
          <w:rFonts w:ascii="Times New Roman" w:hAnsi="Times New Roman"/>
          <w:szCs w:val="24"/>
          <w:lang w:val="hr-HR"/>
        </w:rPr>
        <w:t>састанка</w:t>
      </w:r>
      <w:r w:rsidR="00A87F6C" w:rsidRPr="00295637">
        <w:rPr>
          <w:rFonts w:ascii="Times New Roman" w:hAnsi="Times New Roman"/>
          <w:szCs w:val="24"/>
          <w:lang w:val="hr-HR"/>
        </w:rPr>
        <w:t xml:space="preserve"> </w:t>
      </w:r>
      <w:r>
        <w:rPr>
          <w:rFonts w:ascii="Times New Roman" w:hAnsi="Times New Roman"/>
          <w:szCs w:val="24"/>
          <w:lang w:val="hr-HR"/>
        </w:rPr>
        <w:t>Управног</w:t>
      </w:r>
      <w:r w:rsidR="00A87F6C" w:rsidRPr="00295637">
        <w:rPr>
          <w:rFonts w:ascii="Times New Roman" w:hAnsi="Times New Roman"/>
          <w:szCs w:val="24"/>
          <w:lang w:val="hr-HR"/>
        </w:rPr>
        <w:t xml:space="preserve"> </w:t>
      </w:r>
      <w:r>
        <w:rPr>
          <w:rFonts w:ascii="Times New Roman" w:hAnsi="Times New Roman"/>
          <w:szCs w:val="24"/>
          <w:lang w:val="hr-HR"/>
        </w:rPr>
        <w:t>одбора</w:t>
      </w:r>
      <w:r w:rsidR="00A87F6C" w:rsidRPr="00295637">
        <w:rPr>
          <w:rFonts w:ascii="Times New Roman" w:hAnsi="Times New Roman"/>
          <w:szCs w:val="24"/>
          <w:lang w:val="hr-HR"/>
        </w:rPr>
        <w:t xml:space="preserve"> </w:t>
      </w:r>
      <w:r>
        <w:rPr>
          <w:rFonts w:ascii="Times New Roman" w:hAnsi="Times New Roman"/>
          <w:szCs w:val="24"/>
          <w:lang w:val="hr-HR"/>
        </w:rPr>
        <w:t>пројекта</w:t>
      </w:r>
      <w:r w:rsidR="00BB0F22">
        <w:rPr>
          <w:rFonts w:ascii="Times New Roman" w:hAnsi="Times New Roman"/>
          <w:szCs w:val="24"/>
          <w:lang w:val="hr-HR"/>
        </w:rPr>
        <w:t xml:space="preserve">, </w:t>
      </w:r>
      <w:r>
        <w:rPr>
          <w:rFonts w:ascii="Times New Roman" w:hAnsi="Times New Roman"/>
          <w:szCs w:val="24"/>
          <w:lang w:val="hr-HR"/>
        </w:rPr>
        <w:t>којим</w:t>
      </w:r>
      <w:r w:rsidR="00BB0F22">
        <w:rPr>
          <w:rFonts w:ascii="Times New Roman" w:hAnsi="Times New Roman"/>
          <w:szCs w:val="24"/>
          <w:lang w:val="hr-HR"/>
        </w:rPr>
        <w:t xml:space="preserve"> </w:t>
      </w:r>
      <w:r>
        <w:rPr>
          <w:rFonts w:ascii="Times New Roman" w:hAnsi="Times New Roman"/>
          <w:szCs w:val="24"/>
          <w:lang w:val="hr-HR"/>
        </w:rPr>
        <w:t>супредсједава</w:t>
      </w:r>
      <w:r w:rsidR="00663BF5" w:rsidRPr="00295637">
        <w:rPr>
          <w:rFonts w:ascii="Times New Roman" w:hAnsi="Times New Roman"/>
          <w:szCs w:val="24"/>
          <w:lang w:val="hr-HR"/>
        </w:rPr>
        <w:t xml:space="preserve"> </w:t>
      </w:r>
      <w:r>
        <w:rPr>
          <w:rFonts w:ascii="Times New Roman" w:hAnsi="Times New Roman"/>
          <w:szCs w:val="24"/>
          <w:lang w:val="hr-HR"/>
        </w:rPr>
        <w:t>АР</w:t>
      </w:r>
      <w:r w:rsidR="00B745C8">
        <w:rPr>
          <w:rFonts w:ascii="Times New Roman" w:hAnsi="Times New Roman"/>
          <w:szCs w:val="24"/>
          <w:lang w:val="sr-Cyrl-BA"/>
        </w:rPr>
        <w:t>П</w:t>
      </w:r>
      <w:r w:rsidR="00BB0F22">
        <w:rPr>
          <w:rFonts w:ascii="Times New Roman" w:hAnsi="Times New Roman"/>
          <w:szCs w:val="24"/>
          <w:lang w:val="hr-HR"/>
        </w:rPr>
        <w:t xml:space="preserve"> </w:t>
      </w:r>
      <w:r>
        <w:rPr>
          <w:rFonts w:ascii="Times New Roman" w:hAnsi="Times New Roman"/>
          <w:szCs w:val="24"/>
          <w:lang w:val="hr-HR"/>
        </w:rPr>
        <w:t>БиХ</w:t>
      </w:r>
      <w:r w:rsidR="00BB0F22">
        <w:rPr>
          <w:rFonts w:ascii="Times New Roman" w:hAnsi="Times New Roman"/>
          <w:szCs w:val="24"/>
          <w:lang w:val="hr-HR"/>
        </w:rPr>
        <w:t xml:space="preserve"> </w:t>
      </w:r>
      <w:r>
        <w:rPr>
          <w:rFonts w:ascii="Times New Roman" w:hAnsi="Times New Roman"/>
          <w:szCs w:val="24"/>
          <w:lang w:val="hr-HR"/>
        </w:rPr>
        <w:t>МЉПИ</w:t>
      </w:r>
      <w:r w:rsidR="00BB0F22">
        <w:rPr>
          <w:rFonts w:ascii="Times New Roman" w:hAnsi="Times New Roman"/>
          <w:szCs w:val="24"/>
          <w:lang w:val="hr-HR"/>
        </w:rPr>
        <w:t xml:space="preserve"> </w:t>
      </w:r>
      <w:r>
        <w:rPr>
          <w:rFonts w:ascii="Times New Roman" w:hAnsi="Times New Roman"/>
          <w:szCs w:val="24"/>
          <w:lang w:val="hr-HR"/>
        </w:rPr>
        <w:t>БиХ</w:t>
      </w:r>
      <w:r w:rsidR="00663BF5" w:rsidRPr="00295637">
        <w:rPr>
          <w:rFonts w:ascii="Times New Roman" w:hAnsi="Times New Roman"/>
          <w:szCs w:val="24"/>
          <w:lang w:val="hr-HR"/>
        </w:rPr>
        <w:t>,</w:t>
      </w:r>
      <w:r w:rsidR="00A87F6C" w:rsidRPr="00295637">
        <w:rPr>
          <w:rFonts w:ascii="Times New Roman" w:hAnsi="Times New Roman"/>
          <w:szCs w:val="24"/>
          <w:lang w:val="hr-HR"/>
        </w:rPr>
        <w:t xml:space="preserve"> </w:t>
      </w:r>
      <w:r>
        <w:rPr>
          <w:rFonts w:ascii="Times New Roman" w:hAnsi="Times New Roman"/>
          <w:szCs w:val="24"/>
          <w:lang w:val="hr-HR"/>
        </w:rPr>
        <w:t>и</w:t>
      </w:r>
      <w:r w:rsidR="00A87F6C" w:rsidRPr="00295637">
        <w:rPr>
          <w:rFonts w:ascii="Times New Roman" w:hAnsi="Times New Roman"/>
          <w:szCs w:val="24"/>
          <w:lang w:val="hr-HR"/>
        </w:rPr>
        <w:t xml:space="preserve"> </w:t>
      </w:r>
      <w:r>
        <w:rPr>
          <w:rFonts w:ascii="Times New Roman" w:hAnsi="Times New Roman"/>
          <w:szCs w:val="24"/>
          <w:lang w:val="hr-HR"/>
        </w:rPr>
        <w:t>проведена</w:t>
      </w:r>
      <w:r w:rsidR="00A87F6C" w:rsidRPr="00295637">
        <w:rPr>
          <w:rFonts w:ascii="Times New Roman" w:hAnsi="Times New Roman"/>
          <w:szCs w:val="24"/>
          <w:lang w:val="hr-HR"/>
        </w:rPr>
        <w:t xml:space="preserve"> </w:t>
      </w:r>
      <w:r>
        <w:rPr>
          <w:rFonts w:ascii="Times New Roman" w:hAnsi="Times New Roman"/>
          <w:szCs w:val="24"/>
          <w:lang w:val="hr-HR"/>
        </w:rPr>
        <w:t>је</w:t>
      </w:r>
      <w:r w:rsidR="00A87F6C" w:rsidRPr="00295637">
        <w:rPr>
          <w:rFonts w:ascii="Times New Roman" w:hAnsi="Times New Roman"/>
          <w:szCs w:val="24"/>
          <w:lang w:val="hr-HR"/>
        </w:rPr>
        <w:t xml:space="preserve"> </w:t>
      </w:r>
      <w:r>
        <w:rPr>
          <w:rFonts w:ascii="Times New Roman" w:hAnsi="Times New Roman"/>
          <w:szCs w:val="24"/>
          <w:lang w:val="hr-HR"/>
        </w:rPr>
        <w:t>екстерна</w:t>
      </w:r>
      <w:r w:rsidR="00A87F6C" w:rsidRPr="00295637">
        <w:rPr>
          <w:rFonts w:ascii="Times New Roman" w:hAnsi="Times New Roman"/>
          <w:szCs w:val="24"/>
          <w:lang w:val="hr-HR"/>
        </w:rPr>
        <w:t xml:space="preserve"> </w:t>
      </w:r>
      <w:r>
        <w:rPr>
          <w:rFonts w:ascii="Times New Roman" w:hAnsi="Times New Roman"/>
          <w:szCs w:val="24"/>
          <w:lang w:val="hr-HR"/>
        </w:rPr>
        <w:t>евалуација</w:t>
      </w:r>
      <w:r w:rsidR="00A87F6C" w:rsidRPr="00295637">
        <w:rPr>
          <w:rFonts w:ascii="Times New Roman" w:hAnsi="Times New Roman"/>
          <w:szCs w:val="24"/>
          <w:lang w:val="hr-HR"/>
        </w:rPr>
        <w:t xml:space="preserve">. </w:t>
      </w:r>
      <w:r>
        <w:rPr>
          <w:rFonts w:ascii="Times New Roman" w:hAnsi="Times New Roman"/>
          <w:szCs w:val="24"/>
          <w:lang w:val="hr-HR"/>
        </w:rPr>
        <w:t>Током</w:t>
      </w:r>
      <w:r w:rsidR="00A87F6C" w:rsidRPr="00295637">
        <w:rPr>
          <w:rFonts w:ascii="Times New Roman" w:hAnsi="Times New Roman"/>
          <w:szCs w:val="24"/>
          <w:lang w:val="hr-HR"/>
        </w:rPr>
        <w:t xml:space="preserve"> 2024. </w:t>
      </w:r>
      <w:r>
        <w:rPr>
          <w:rFonts w:ascii="Times New Roman" w:hAnsi="Times New Roman"/>
          <w:szCs w:val="24"/>
          <w:lang w:val="hr-HR"/>
        </w:rPr>
        <w:t>године</w:t>
      </w:r>
      <w:r w:rsidR="00A87F6C" w:rsidRPr="00295637">
        <w:rPr>
          <w:rFonts w:ascii="Times New Roman" w:hAnsi="Times New Roman"/>
          <w:szCs w:val="24"/>
          <w:lang w:val="hr-HR"/>
        </w:rPr>
        <w:t xml:space="preserve"> </w:t>
      </w:r>
      <w:r>
        <w:rPr>
          <w:rFonts w:ascii="Times New Roman" w:hAnsi="Times New Roman"/>
          <w:szCs w:val="24"/>
          <w:lang w:val="hr-HR"/>
        </w:rPr>
        <w:t>настављена</w:t>
      </w:r>
      <w:r w:rsidR="00A87F6C" w:rsidRPr="00295637">
        <w:rPr>
          <w:rFonts w:ascii="Times New Roman" w:hAnsi="Times New Roman"/>
          <w:szCs w:val="24"/>
          <w:lang w:val="hr-HR"/>
        </w:rPr>
        <w:t xml:space="preserve"> </w:t>
      </w:r>
      <w:r>
        <w:rPr>
          <w:rFonts w:ascii="Times New Roman" w:hAnsi="Times New Roman"/>
          <w:szCs w:val="24"/>
          <w:lang w:val="hr-HR"/>
        </w:rPr>
        <w:t>је</w:t>
      </w:r>
      <w:r w:rsidR="00A87F6C" w:rsidRPr="00295637">
        <w:rPr>
          <w:rFonts w:ascii="Times New Roman" w:hAnsi="Times New Roman"/>
          <w:szCs w:val="24"/>
          <w:lang w:val="hr-HR"/>
        </w:rPr>
        <w:t xml:space="preserve"> </w:t>
      </w:r>
      <w:r>
        <w:rPr>
          <w:rFonts w:ascii="Times New Roman" w:hAnsi="Times New Roman"/>
          <w:szCs w:val="24"/>
          <w:lang w:val="hr-HR"/>
        </w:rPr>
        <w:t>подршка</w:t>
      </w:r>
      <w:r w:rsidR="00A87F6C" w:rsidRPr="00295637">
        <w:rPr>
          <w:rFonts w:ascii="Times New Roman" w:hAnsi="Times New Roman"/>
          <w:szCs w:val="24"/>
          <w:lang w:val="hr-HR"/>
        </w:rPr>
        <w:t xml:space="preserve"> </w:t>
      </w:r>
      <w:r w:rsidR="00B745C8">
        <w:rPr>
          <w:rFonts w:ascii="Times New Roman" w:hAnsi="Times New Roman"/>
          <w:szCs w:val="24"/>
          <w:lang w:val="sr-Cyrl-BA"/>
        </w:rPr>
        <w:t>спровођењу</w:t>
      </w:r>
      <w:r w:rsidR="00A87F6C" w:rsidRPr="00295637">
        <w:rPr>
          <w:rFonts w:ascii="Times New Roman" w:hAnsi="Times New Roman"/>
          <w:szCs w:val="24"/>
          <w:lang w:val="hr-HR"/>
        </w:rPr>
        <w:t xml:space="preserve"> </w:t>
      </w:r>
      <w:r>
        <w:rPr>
          <w:rFonts w:ascii="Times New Roman" w:hAnsi="Times New Roman"/>
          <w:szCs w:val="24"/>
          <w:lang w:val="hr-HR"/>
        </w:rPr>
        <w:t>и</w:t>
      </w:r>
      <w:r w:rsidR="00A87F6C" w:rsidRPr="00295637">
        <w:rPr>
          <w:rFonts w:ascii="Times New Roman" w:hAnsi="Times New Roman"/>
          <w:szCs w:val="24"/>
          <w:lang w:val="hr-HR"/>
        </w:rPr>
        <w:t xml:space="preserve"> </w:t>
      </w:r>
      <w:r>
        <w:rPr>
          <w:rFonts w:ascii="Times New Roman" w:hAnsi="Times New Roman"/>
          <w:szCs w:val="24"/>
          <w:lang w:val="hr-HR"/>
        </w:rPr>
        <w:t>припреми</w:t>
      </w:r>
      <w:r w:rsidR="00A87F6C" w:rsidRPr="00295637">
        <w:rPr>
          <w:rFonts w:ascii="Times New Roman" w:hAnsi="Times New Roman"/>
          <w:szCs w:val="24"/>
          <w:lang w:val="hr-HR"/>
        </w:rPr>
        <w:t xml:space="preserve"> </w:t>
      </w:r>
      <w:r>
        <w:rPr>
          <w:rFonts w:ascii="Times New Roman" w:hAnsi="Times New Roman"/>
          <w:szCs w:val="24"/>
          <w:lang w:val="hr-HR"/>
        </w:rPr>
        <w:t>првог</w:t>
      </w:r>
      <w:r w:rsidR="00A87F6C" w:rsidRPr="00295637">
        <w:rPr>
          <w:rFonts w:ascii="Times New Roman" w:hAnsi="Times New Roman"/>
          <w:szCs w:val="24"/>
          <w:lang w:val="hr-HR"/>
        </w:rPr>
        <w:t xml:space="preserve"> </w:t>
      </w:r>
      <w:r>
        <w:rPr>
          <w:rFonts w:ascii="Times New Roman" w:hAnsi="Times New Roman"/>
          <w:szCs w:val="24"/>
          <w:lang w:val="hr-HR"/>
        </w:rPr>
        <w:t>извјештаја</w:t>
      </w:r>
      <w:r w:rsidR="00A87F6C" w:rsidRPr="00295637">
        <w:rPr>
          <w:rFonts w:ascii="Times New Roman" w:hAnsi="Times New Roman"/>
          <w:szCs w:val="24"/>
          <w:lang w:val="hr-HR"/>
        </w:rPr>
        <w:t xml:space="preserve"> </w:t>
      </w:r>
      <w:r>
        <w:rPr>
          <w:rFonts w:ascii="Times New Roman" w:hAnsi="Times New Roman"/>
          <w:szCs w:val="24"/>
          <w:lang w:val="hr-HR"/>
        </w:rPr>
        <w:t>о</w:t>
      </w:r>
      <w:r w:rsidR="00A87F6C" w:rsidRPr="00295637">
        <w:rPr>
          <w:rFonts w:ascii="Times New Roman" w:hAnsi="Times New Roman"/>
          <w:szCs w:val="24"/>
          <w:lang w:val="hr-HR"/>
        </w:rPr>
        <w:t xml:space="preserve"> </w:t>
      </w:r>
      <w:r w:rsidR="00B745C8">
        <w:rPr>
          <w:rFonts w:ascii="Times New Roman" w:hAnsi="Times New Roman"/>
          <w:szCs w:val="24"/>
          <w:lang w:val="sr-Cyrl-BA"/>
        </w:rPr>
        <w:t>спровођењу</w:t>
      </w:r>
      <w:r w:rsidR="00A87F6C" w:rsidRPr="00295637">
        <w:rPr>
          <w:rFonts w:ascii="Times New Roman" w:hAnsi="Times New Roman"/>
          <w:szCs w:val="24"/>
          <w:lang w:val="hr-HR"/>
        </w:rPr>
        <w:t xml:space="preserve"> </w:t>
      </w:r>
      <w:r>
        <w:rPr>
          <w:rFonts w:ascii="Times New Roman" w:hAnsi="Times New Roman"/>
          <w:szCs w:val="24"/>
          <w:lang w:val="hr-HR"/>
        </w:rPr>
        <w:t>Акционог</w:t>
      </w:r>
      <w:r w:rsidR="00BB0F22">
        <w:rPr>
          <w:rFonts w:ascii="Times New Roman" w:hAnsi="Times New Roman"/>
          <w:szCs w:val="24"/>
          <w:lang w:val="hr-HR"/>
        </w:rPr>
        <w:t xml:space="preserve"> </w:t>
      </w:r>
      <w:r>
        <w:rPr>
          <w:rFonts w:ascii="Times New Roman" w:hAnsi="Times New Roman"/>
          <w:szCs w:val="24"/>
          <w:lang w:val="hr-HR"/>
        </w:rPr>
        <w:t>плана</w:t>
      </w:r>
      <w:r w:rsidR="00BB0F22">
        <w:rPr>
          <w:rFonts w:ascii="Times New Roman" w:hAnsi="Times New Roman"/>
          <w:szCs w:val="24"/>
          <w:lang w:val="hr-HR"/>
        </w:rPr>
        <w:t xml:space="preserve"> </w:t>
      </w:r>
      <w:r>
        <w:rPr>
          <w:rFonts w:ascii="Times New Roman" w:hAnsi="Times New Roman"/>
          <w:szCs w:val="24"/>
          <w:lang w:val="hr-HR"/>
        </w:rPr>
        <w:t>за</w:t>
      </w:r>
      <w:r w:rsidR="00BB0F22">
        <w:rPr>
          <w:rFonts w:ascii="Times New Roman" w:hAnsi="Times New Roman"/>
          <w:szCs w:val="24"/>
          <w:lang w:val="hr-HR"/>
        </w:rPr>
        <w:t xml:space="preserve"> </w:t>
      </w:r>
      <w:r>
        <w:rPr>
          <w:rFonts w:ascii="Times New Roman" w:hAnsi="Times New Roman"/>
          <w:szCs w:val="24"/>
          <w:lang w:val="hr-HR"/>
        </w:rPr>
        <w:t>унапређење</w:t>
      </w:r>
      <w:r w:rsidR="00A87F6C" w:rsidRPr="00295637">
        <w:rPr>
          <w:rFonts w:ascii="Times New Roman" w:hAnsi="Times New Roman"/>
          <w:szCs w:val="24"/>
          <w:lang w:val="hr-HR"/>
        </w:rPr>
        <w:t xml:space="preserve"> </w:t>
      </w:r>
      <w:r>
        <w:rPr>
          <w:rFonts w:ascii="Times New Roman" w:hAnsi="Times New Roman"/>
          <w:szCs w:val="24"/>
          <w:lang w:val="hr-HR"/>
        </w:rPr>
        <w:t>људских</w:t>
      </w:r>
      <w:r w:rsidR="00A87F6C" w:rsidRPr="00295637">
        <w:rPr>
          <w:rFonts w:ascii="Times New Roman" w:hAnsi="Times New Roman"/>
          <w:szCs w:val="24"/>
          <w:lang w:val="hr-HR"/>
        </w:rPr>
        <w:t xml:space="preserve"> </w:t>
      </w:r>
      <w:r>
        <w:rPr>
          <w:rFonts w:ascii="Times New Roman" w:hAnsi="Times New Roman"/>
          <w:szCs w:val="24"/>
          <w:lang w:val="hr-HR"/>
        </w:rPr>
        <w:t>права</w:t>
      </w:r>
      <w:r w:rsidR="00A87F6C" w:rsidRPr="00295637">
        <w:rPr>
          <w:rFonts w:ascii="Times New Roman" w:hAnsi="Times New Roman"/>
          <w:szCs w:val="24"/>
          <w:lang w:val="hr-HR"/>
        </w:rPr>
        <w:t xml:space="preserve"> </w:t>
      </w:r>
      <w:r>
        <w:rPr>
          <w:rFonts w:ascii="Times New Roman" w:hAnsi="Times New Roman"/>
          <w:szCs w:val="24"/>
          <w:lang w:val="hr-HR"/>
        </w:rPr>
        <w:t>и</w:t>
      </w:r>
      <w:r w:rsidR="00A87F6C" w:rsidRPr="00295637">
        <w:rPr>
          <w:rFonts w:ascii="Times New Roman" w:hAnsi="Times New Roman"/>
          <w:szCs w:val="24"/>
          <w:lang w:val="hr-HR"/>
        </w:rPr>
        <w:t xml:space="preserve"> </w:t>
      </w:r>
      <w:r>
        <w:rPr>
          <w:rFonts w:ascii="Times New Roman" w:hAnsi="Times New Roman"/>
          <w:szCs w:val="24"/>
          <w:lang w:val="hr-HR"/>
        </w:rPr>
        <w:t>основних</w:t>
      </w:r>
      <w:r w:rsidR="00A87F6C" w:rsidRPr="00295637">
        <w:rPr>
          <w:rFonts w:ascii="Times New Roman" w:hAnsi="Times New Roman"/>
          <w:szCs w:val="24"/>
          <w:lang w:val="hr-HR"/>
        </w:rPr>
        <w:t xml:space="preserve"> </w:t>
      </w:r>
      <w:r>
        <w:rPr>
          <w:rFonts w:ascii="Times New Roman" w:hAnsi="Times New Roman"/>
          <w:szCs w:val="24"/>
          <w:lang w:val="hr-HR"/>
        </w:rPr>
        <w:t>слобода</w:t>
      </w:r>
      <w:r w:rsidR="00A87F6C" w:rsidRPr="00295637">
        <w:rPr>
          <w:rFonts w:ascii="Times New Roman" w:hAnsi="Times New Roman"/>
          <w:szCs w:val="24"/>
          <w:lang w:val="hr-HR"/>
        </w:rPr>
        <w:t xml:space="preserve"> </w:t>
      </w:r>
      <w:r>
        <w:rPr>
          <w:rFonts w:ascii="Times New Roman" w:hAnsi="Times New Roman"/>
          <w:szCs w:val="24"/>
          <w:lang w:val="hr-HR"/>
        </w:rPr>
        <w:t>ЛГБТИ</w:t>
      </w:r>
      <w:r w:rsidR="00A87F6C" w:rsidRPr="00295637">
        <w:rPr>
          <w:rFonts w:ascii="Times New Roman" w:hAnsi="Times New Roman"/>
          <w:szCs w:val="24"/>
          <w:lang w:val="hr-HR"/>
        </w:rPr>
        <w:t xml:space="preserve"> </w:t>
      </w:r>
      <w:r>
        <w:rPr>
          <w:rFonts w:ascii="Times New Roman" w:hAnsi="Times New Roman"/>
          <w:szCs w:val="24"/>
          <w:lang w:val="hr-HR"/>
        </w:rPr>
        <w:t>лица</w:t>
      </w:r>
      <w:r w:rsidR="00A87F6C" w:rsidRPr="00295637">
        <w:rPr>
          <w:rFonts w:ascii="Times New Roman" w:hAnsi="Times New Roman"/>
          <w:szCs w:val="24"/>
          <w:lang w:val="hr-HR"/>
        </w:rPr>
        <w:t xml:space="preserve"> </w:t>
      </w:r>
      <w:r>
        <w:rPr>
          <w:rFonts w:ascii="Times New Roman" w:hAnsi="Times New Roman"/>
          <w:szCs w:val="24"/>
          <w:lang w:val="hr-HR"/>
        </w:rPr>
        <w:t>у</w:t>
      </w:r>
      <w:r w:rsidR="00663BF5" w:rsidRPr="00295637">
        <w:rPr>
          <w:rFonts w:ascii="Times New Roman" w:hAnsi="Times New Roman"/>
          <w:szCs w:val="24"/>
          <w:lang w:val="hr-HR"/>
        </w:rPr>
        <w:t xml:space="preserve"> </w:t>
      </w:r>
      <w:r>
        <w:rPr>
          <w:rFonts w:ascii="Times New Roman" w:hAnsi="Times New Roman"/>
          <w:szCs w:val="24"/>
          <w:lang w:val="hr-HR"/>
        </w:rPr>
        <w:t>БиХ</w:t>
      </w:r>
      <w:r w:rsidR="00A87F6C" w:rsidRPr="00295637">
        <w:rPr>
          <w:rFonts w:ascii="Times New Roman" w:hAnsi="Times New Roman"/>
          <w:szCs w:val="24"/>
          <w:lang w:val="hr-HR"/>
        </w:rPr>
        <w:t xml:space="preserve"> </w:t>
      </w:r>
      <w:r>
        <w:rPr>
          <w:rFonts w:ascii="Times New Roman" w:hAnsi="Times New Roman"/>
          <w:szCs w:val="24"/>
          <w:lang w:val="hr-HR"/>
        </w:rPr>
        <w:t>и</w:t>
      </w:r>
      <w:r w:rsidR="00A87F6C" w:rsidRPr="00295637">
        <w:rPr>
          <w:rFonts w:ascii="Times New Roman" w:hAnsi="Times New Roman"/>
          <w:szCs w:val="24"/>
          <w:lang w:val="hr-HR"/>
        </w:rPr>
        <w:t xml:space="preserve"> </w:t>
      </w:r>
      <w:r>
        <w:rPr>
          <w:rFonts w:ascii="Times New Roman" w:hAnsi="Times New Roman"/>
          <w:szCs w:val="24"/>
          <w:lang w:val="hr-HR"/>
        </w:rPr>
        <w:t>пружена</w:t>
      </w:r>
      <w:r w:rsidR="00A87F6C" w:rsidRPr="00295637">
        <w:rPr>
          <w:rFonts w:ascii="Times New Roman" w:hAnsi="Times New Roman"/>
          <w:szCs w:val="24"/>
          <w:lang w:val="hr-HR"/>
        </w:rPr>
        <w:t xml:space="preserve"> </w:t>
      </w:r>
      <w:r>
        <w:rPr>
          <w:rFonts w:ascii="Times New Roman" w:hAnsi="Times New Roman"/>
          <w:szCs w:val="24"/>
          <w:lang w:val="hr-HR"/>
        </w:rPr>
        <w:t>подршка</w:t>
      </w:r>
      <w:r w:rsidR="00A87F6C" w:rsidRPr="00295637">
        <w:rPr>
          <w:rFonts w:ascii="Times New Roman" w:hAnsi="Times New Roman"/>
          <w:szCs w:val="24"/>
          <w:lang w:val="hr-HR"/>
        </w:rPr>
        <w:t xml:space="preserve"> </w:t>
      </w:r>
      <w:r w:rsidR="00B745C8">
        <w:rPr>
          <w:rFonts w:ascii="Times New Roman" w:hAnsi="Times New Roman"/>
          <w:szCs w:val="24"/>
          <w:lang w:val="sr-Cyrl-BA"/>
        </w:rPr>
        <w:t>спровођењу</w:t>
      </w:r>
      <w:r w:rsidR="00A87F6C" w:rsidRPr="00295637">
        <w:rPr>
          <w:rFonts w:ascii="Times New Roman" w:hAnsi="Times New Roman"/>
          <w:szCs w:val="24"/>
          <w:lang w:val="hr-HR"/>
        </w:rPr>
        <w:t xml:space="preserve"> </w:t>
      </w:r>
      <w:r>
        <w:rPr>
          <w:rFonts w:ascii="Times New Roman" w:hAnsi="Times New Roman"/>
          <w:szCs w:val="24"/>
          <w:lang w:val="hr-HR"/>
        </w:rPr>
        <w:t>активности</w:t>
      </w:r>
      <w:r w:rsidR="00A87F6C" w:rsidRPr="00295637">
        <w:rPr>
          <w:rFonts w:ascii="Times New Roman" w:hAnsi="Times New Roman"/>
          <w:szCs w:val="24"/>
          <w:lang w:val="hr-HR"/>
        </w:rPr>
        <w:t xml:space="preserve"> </w:t>
      </w:r>
      <w:r>
        <w:rPr>
          <w:rFonts w:ascii="Times New Roman" w:hAnsi="Times New Roman"/>
          <w:szCs w:val="24"/>
          <w:lang w:val="hr-HR"/>
        </w:rPr>
        <w:t>предвиђених</w:t>
      </w:r>
      <w:r w:rsidR="00A87F6C" w:rsidRPr="00295637">
        <w:rPr>
          <w:rFonts w:ascii="Times New Roman" w:hAnsi="Times New Roman"/>
          <w:szCs w:val="24"/>
          <w:lang w:val="hr-HR"/>
        </w:rPr>
        <w:t xml:space="preserve"> </w:t>
      </w:r>
      <w:r>
        <w:rPr>
          <w:rFonts w:ascii="Times New Roman" w:hAnsi="Times New Roman"/>
          <w:szCs w:val="24"/>
          <w:lang w:val="hr-HR"/>
        </w:rPr>
        <w:t>АП</w:t>
      </w:r>
      <w:r w:rsidR="00A87F6C" w:rsidRPr="00295637">
        <w:rPr>
          <w:rFonts w:ascii="Times New Roman" w:hAnsi="Times New Roman"/>
          <w:szCs w:val="24"/>
          <w:lang w:val="hr-HR"/>
        </w:rPr>
        <w:t xml:space="preserve">. </w:t>
      </w:r>
    </w:p>
    <w:p w:rsidR="00A87F6C" w:rsidRPr="00295637" w:rsidRDefault="00A87F6C" w:rsidP="0086268D">
      <w:pPr>
        <w:jc w:val="both"/>
        <w:rPr>
          <w:rFonts w:ascii="Times New Roman" w:hAnsi="Times New Roman"/>
          <w:szCs w:val="24"/>
          <w:lang w:val="hr-HR"/>
        </w:rPr>
      </w:pPr>
    </w:p>
    <w:p w:rsidR="003A2F08" w:rsidRPr="00295637" w:rsidRDefault="00C6214E" w:rsidP="0086268D">
      <w:pPr>
        <w:jc w:val="both"/>
        <w:rPr>
          <w:rFonts w:ascii="Times New Roman" w:hAnsi="Times New Roman"/>
          <w:szCs w:val="24"/>
          <w:lang w:val="en-US"/>
        </w:rPr>
      </w:pPr>
      <w:r>
        <w:rPr>
          <w:rFonts w:ascii="Times New Roman" w:hAnsi="Times New Roman"/>
          <w:szCs w:val="24"/>
          <w:lang w:val="bs-Latn-BA"/>
        </w:rPr>
        <w:t>АР</w:t>
      </w:r>
      <w:r w:rsidR="00B745C8">
        <w:rPr>
          <w:rFonts w:ascii="Times New Roman" w:hAnsi="Times New Roman"/>
          <w:szCs w:val="24"/>
          <w:lang w:val="sr-Cyrl-BA"/>
        </w:rPr>
        <w:t>П</w:t>
      </w:r>
      <w:r w:rsidR="00BB0F22">
        <w:rPr>
          <w:rFonts w:ascii="Times New Roman" w:hAnsi="Times New Roman"/>
          <w:szCs w:val="24"/>
          <w:lang w:val="bs-Latn-BA"/>
        </w:rPr>
        <w:t xml:space="preserve"> </w:t>
      </w:r>
      <w:r>
        <w:rPr>
          <w:rFonts w:ascii="Times New Roman" w:hAnsi="Times New Roman"/>
          <w:szCs w:val="24"/>
          <w:lang w:val="bs-Latn-BA"/>
        </w:rPr>
        <w:t>БиХ</w:t>
      </w:r>
      <w:r w:rsidR="0000023E" w:rsidRPr="00295637">
        <w:rPr>
          <w:rFonts w:ascii="Times New Roman" w:hAnsi="Times New Roman"/>
          <w:szCs w:val="24"/>
          <w:lang w:val="bs-Latn-BA"/>
        </w:rPr>
        <w:t xml:space="preserve"> </w:t>
      </w:r>
      <w:r>
        <w:rPr>
          <w:rFonts w:ascii="Times New Roman" w:hAnsi="Times New Roman"/>
          <w:szCs w:val="24"/>
          <w:lang w:val="bs-Latn-BA"/>
        </w:rPr>
        <w:t>МЉПИ</w:t>
      </w:r>
      <w:r w:rsidR="00BB0F22">
        <w:rPr>
          <w:rFonts w:ascii="Times New Roman" w:hAnsi="Times New Roman"/>
          <w:szCs w:val="24"/>
          <w:lang w:val="bs-Latn-BA"/>
        </w:rPr>
        <w:t xml:space="preserve"> </w:t>
      </w:r>
      <w:r>
        <w:rPr>
          <w:rFonts w:ascii="Times New Roman" w:hAnsi="Times New Roman"/>
          <w:szCs w:val="24"/>
          <w:lang w:val="bs-Latn-BA"/>
        </w:rPr>
        <w:t>БиХ</w:t>
      </w:r>
      <w:r w:rsidR="006B7252">
        <w:rPr>
          <w:rFonts w:ascii="Times New Roman" w:hAnsi="Times New Roman"/>
          <w:szCs w:val="24"/>
          <w:lang w:val="bs-Latn-BA"/>
        </w:rPr>
        <w:t xml:space="preserve">, </w:t>
      </w:r>
      <w:r>
        <w:rPr>
          <w:rFonts w:ascii="Times New Roman" w:hAnsi="Times New Roman"/>
          <w:szCs w:val="24"/>
          <w:lang w:val="bs-Latn-BA"/>
        </w:rPr>
        <w:t>ГЦ</w:t>
      </w:r>
      <w:r w:rsidR="00BB0F22">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и</w:t>
      </w:r>
      <w:r w:rsidR="006B7252">
        <w:rPr>
          <w:rFonts w:ascii="Times New Roman" w:hAnsi="Times New Roman"/>
          <w:szCs w:val="24"/>
          <w:lang w:val="bs-Latn-BA"/>
        </w:rPr>
        <w:t xml:space="preserve"> </w:t>
      </w:r>
      <w:r>
        <w:rPr>
          <w:rFonts w:ascii="Times New Roman" w:hAnsi="Times New Roman"/>
          <w:szCs w:val="24"/>
          <w:lang w:val="bs-Latn-BA"/>
        </w:rPr>
        <w:t>ЦЈРП</w:t>
      </w:r>
      <w:r w:rsidR="006B7252">
        <w:rPr>
          <w:rFonts w:ascii="Times New Roman" w:hAnsi="Times New Roman"/>
          <w:szCs w:val="24"/>
          <w:lang w:val="bs-Latn-BA"/>
        </w:rPr>
        <w:t xml:space="preserve"> </w:t>
      </w:r>
      <w:r>
        <w:rPr>
          <w:rFonts w:ascii="Times New Roman" w:hAnsi="Times New Roman"/>
          <w:szCs w:val="24"/>
          <w:lang w:val="bs-Latn-BA"/>
        </w:rPr>
        <w:t>РС</w:t>
      </w:r>
      <w:r w:rsidR="006B7252">
        <w:rPr>
          <w:rFonts w:ascii="Times New Roman" w:hAnsi="Times New Roman"/>
          <w:szCs w:val="24"/>
          <w:lang w:val="bs-Latn-BA"/>
        </w:rPr>
        <w:t xml:space="preserve"> </w:t>
      </w:r>
      <w:r>
        <w:rPr>
          <w:rFonts w:ascii="Times New Roman" w:hAnsi="Times New Roman"/>
          <w:szCs w:val="24"/>
          <w:lang w:val="bs-Latn-BA"/>
        </w:rPr>
        <w:t>остварили</w:t>
      </w:r>
      <w:r w:rsidR="003A2F08" w:rsidRPr="00295637">
        <w:rPr>
          <w:rFonts w:ascii="Times New Roman" w:hAnsi="Times New Roman"/>
          <w:szCs w:val="24"/>
          <w:lang w:val="bs-Latn-BA"/>
        </w:rPr>
        <w:t xml:space="preserve"> </w:t>
      </w:r>
      <w:r>
        <w:rPr>
          <w:rFonts w:ascii="Times New Roman" w:hAnsi="Times New Roman"/>
          <w:szCs w:val="24"/>
          <w:lang w:val="bs-Latn-BA"/>
        </w:rPr>
        <w:t>су</w:t>
      </w:r>
      <w:r w:rsidR="00BB0F22" w:rsidRPr="00295637">
        <w:rPr>
          <w:rFonts w:ascii="Times New Roman" w:hAnsi="Times New Roman"/>
          <w:szCs w:val="24"/>
          <w:lang w:val="bs-Latn-BA"/>
        </w:rPr>
        <w:t xml:space="preserve"> </w:t>
      </w:r>
      <w:r>
        <w:rPr>
          <w:rFonts w:ascii="Times New Roman" w:hAnsi="Times New Roman"/>
          <w:szCs w:val="24"/>
          <w:lang w:val="bs-Latn-BA"/>
        </w:rPr>
        <w:t>сарадњу</w:t>
      </w:r>
      <w:r w:rsidR="00BB0F22">
        <w:rPr>
          <w:rFonts w:ascii="Times New Roman" w:hAnsi="Times New Roman"/>
          <w:szCs w:val="24"/>
          <w:lang w:val="bs-Latn-BA"/>
        </w:rPr>
        <w:t xml:space="preserve"> </w:t>
      </w:r>
      <w:r>
        <w:rPr>
          <w:rFonts w:ascii="Times New Roman" w:hAnsi="Times New Roman"/>
          <w:szCs w:val="24"/>
          <w:lang w:val="bs-Latn-BA"/>
        </w:rPr>
        <w:t>са</w:t>
      </w:r>
      <w:r w:rsidR="00BB0F22">
        <w:rPr>
          <w:rFonts w:ascii="Times New Roman" w:hAnsi="Times New Roman"/>
          <w:szCs w:val="24"/>
          <w:lang w:val="bs-Latn-BA"/>
        </w:rPr>
        <w:t xml:space="preserve"> </w:t>
      </w:r>
      <w:r w:rsidR="00B745C8">
        <w:rPr>
          <w:rFonts w:ascii="Times New Roman" w:hAnsi="Times New Roman"/>
          <w:szCs w:val="24"/>
          <w:lang w:val="sr-Cyrl-BA"/>
        </w:rPr>
        <w:t>С</w:t>
      </w:r>
      <w:r>
        <w:rPr>
          <w:rFonts w:ascii="Times New Roman" w:hAnsi="Times New Roman"/>
          <w:szCs w:val="24"/>
          <w:lang w:val="bs-Latn-BA"/>
        </w:rPr>
        <w:t>Е</w:t>
      </w:r>
      <w:r w:rsidR="00BB0F22">
        <w:rPr>
          <w:rFonts w:ascii="Times New Roman" w:hAnsi="Times New Roman"/>
          <w:szCs w:val="24"/>
          <w:lang w:val="bs-Latn-BA"/>
        </w:rPr>
        <w:t xml:space="preserve"> </w:t>
      </w:r>
      <w:r>
        <w:rPr>
          <w:rFonts w:ascii="Times New Roman" w:hAnsi="Times New Roman"/>
          <w:szCs w:val="24"/>
          <w:lang w:val="bs-Latn-BA"/>
        </w:rPr>
        <w:t>кроз</w:t>
      </w:r>
      <w:r w:rsidR="00BB0F22">
        <w:rPr>
          <w:rFonts w:ascii="Times New Roman" w:hAnsi="Times New Roman"/>
          <w:szCs w:val="24"/>
          <w:lang w:val="bs-Latn-BA"/>
        </w:rPr>
        <w:t xml:space="preserve"> </w:t>
      </w:r>
      <w:r>
        <w:rPr>
          <w:rFonts w:ascii="Times New Roman" w:hAnsi="Times New Roman"/>
          <w:szCs w:val="24"/>
          <w:lang w:val="bs-Latn-BA"/>
        </w:rPr>
        <w:t>пројекат</w:t>
      </w:r>
      <w:r w:rsidR="00BB0F22">
        <w:rPr>
          <w:rFonts w:ascii="Times New Roman" w:hAnsi="Times New Roman"/>
          <w:szCs w:val="24"/>
          <w:lang w:val="bs-Latn-BA"/>
        </w:rPr>
        <w:t xml:space="preserve"> „</w:t>
      </w:r>
      <w:r>
        <w:rPr>
          <w:rFonts w:ascii="Times New Roman" w:hAnsi="Times New Roman"/>
          <w:szCs w:val="24"/>
          <w:lang w:val="bs-Latn-BA"/>
        </w:rPr>
        <w:t>Борба</w:t>
      </w:r>
      <w:r w:rsidR="003A2F08" w:rsidRPr="00295637">
        <w:rPr>
          <w:rFonts w:ascii="Times New Roman" w:hAnsi="Times New Roman"/>
          <w:szCs w:val="24"/>
          <w:lang w:val="bs-Latn-BA"/>
        </w:rPr>
        <w:t xml:space="preserve"> </w:t>
      </w:r>
      <w:r>
        <w:rPr>
          <w:rFonts w:ascii="Times New Roman" w:hAnsi="Times New Roman"/>
          <w:szCs w:val="24"/>
          <w:lang w:val="bs-Latn-BA"/>
        </w:rPr>
        <w:t>против</w:t>
      </w:r>
      <w:r w:rsidR="003A2F08" w:rsidRPr="00295637">
        <w:rPr>
          <w:rFonts w:ascii="Times New Roman" w:hAnsi="Times New Roman"/>
          <w:szCs w:val="24"/>
          <w:lang w:val="bs-Latn-BA"/>
        </w:rPr>
        <w:t xml:space="preserve"> </w:t>
      </w:r>
      <w:r>
        <w:rPr>
          <w:rFonts w:ascii="Times New Roman" w:hAnsi="Times New Roman"/>
          <w:szCs w:val="24"/>
          <w:lang w:val="bs-Latn-BA"/>
        </w:rPr>
        <w:t>дигиталног</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сексуалног</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BB0F22">
        <w:rPr>
          <w:rFonts w:ascii="Times New Roman" w:hAnsi="Times New Roman"/>
          <w:szCs w:val="24"/>
          <w:lang w:val="bs-Latn-BA"/>
        </w:rPr>
        <w:t xml:space="preserve"> </w:t>
      </w:r>
      <w:r>
        <w:rPr>
          <w:rFonts w:ascii="Times New Roman" w:hAnsi="Times New Roman"/>
          <w:szCs w:val="24"/>
          <w:lang w:val="bs-Latn-BA"/>
        </w:rPr>
        <w:t>БиХ</w:t>
      </w:r>
      <w:r w:rsidR="00BB0F22">
        <w:rPr>
          <w:rFonts w:ascii="Times New Roman" w:hAnsi="Times New Roman"/>
          <w:szCs w:val="24"/>
          <w:lang w:val="bs-Latn-BA"/>
        </w:rPr>
        <w:t>“</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оквиру</w:t>
      </w:r>
      <w:r w:rsidR="003A2F08" w:rsidRPr="00295637">
        <w:rPr>
          <w:rFonts w:ascii="Times New Roman" w:hAnsi="Times New Roman"/>
          <w:szCs w:val="24"/>
          <w:lang w:val="bs-Latn-BA"/>
        </w:rPr>
        <w:t xml:space="preserve"> </w:t>
      </w:r>
      <w:r>
        <w:rPr>
          <w:rFonts w:ascii="Times New Roman" w:hAnsi="Times New Roman"/>
          <w:szCs w:val="24"/>
          <w:lang w:val="bs-Latn-BA"/>
        </w:rPr>
        <w:t>којег</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3A2F08" w:rsidRPr="00295637">
        <w:rPr>
          <w:rFonts w:ascii="Times New Roman" w:hAnsi="Times New Roman"/>
          <w:szCs w:val="24"/>
          <w:lang w:val="bs-Latn-BA"/>
        </w:rPr>
        <w:t xml:space="preserve"> </w:t>
      </w:r>
      <w:r>
        <w:rPr>
          <w:rFonts w:ascii="Times New Roman" w:hAnsi="Times New Roman"/>
          <w:szCs w:val="24"/>
          <w:lang w:val="bs-Latn-BA"/>
        </w:rPr>
        <w:t>одржан</w:t>
      </w:r>
      <w:r w:rsidR="003A2F08" w:rsidRPr="00295637">
        <w:rPr>
          <w:rFonts w:ascii="Times New Roman" w:hAnsi="Times New Roman"/>
          <w:szCs w:val="24"/>
          <w:lang w:val="bs-Latn-BA"/>
        </w:rPr>
        <w:t xml:space="preserve"> </w:t>
      </w:r>
      <w:r>
        <w:rPr>
          <w:rFonts w:ascii="Times New Roman" w:hAnsi="Times New Roman"/>
          <w:szCs w:val="24"/>
          <w:lang w:val="bs-Latn-BA"/>
        </w:rPr>
        <w:t>низ</w:t>
      </w:r>
      <w:r w:rsidR="003A2F08" w:rsidRPr="00295637">
        <w:rPr>
          <w:rFonts w:ascii="Times New Roman" w:hAnsi="Times New Roman"/>
          <w:szCs w:val="24"/>
          <w:lang w:val="bs-Latn-BA"/>
        </w:rPr>
        <w:t xml:space="preserve"> </w:t>
      </w:r>
      <w:r>
        <w:rPr>
          <w:rFonts w:ascii="Times New Roman" w:hAnsi="Times New Roman"/>
          <w:szCs w:val="24"/>
          <w:lang w:val="bs-Latn-BA"/>
        </w:rPr>
        <w:t>едукација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професионалце</w:t>
      </w:r>
      <w:r w:rsidR="0000023E" w:rsidRPr="00295637">
        <w:rPr>
          <w:rFonts w:ascii="Times New Roman" w:hAnsi="Times New Roman"/>
          <w:szCs w:val="24"/>
          <w:lang w:val="bs-Latn-BA"/>
        </w:rPr>
        <w:t xml:space="preserve">, </w:t>
      </w:r>
      <w:r>
        <w:rPr>
          <w:rFonts w:ascii="Times New Roman" w:hAnsi="Times New Roman"/>
          <w:szCs w:val="24"/>
          <w:lang w:val="bs-Latn-BA"/>
        </w:rPr>
        <w:t>као</w:t>
      </w:r>
      <w:r w:rsidR="0000023E"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сарадња</w:t>
      </w:r>
      <w:r w:rsidR="00BB0F22">
        <w:rPr>
          <w:rFonts w:ascii="Times New Roman" w:hAnsi="Times New Roman"/>
          <w:szCs w:val="24"/>
          <w:lang w:val="bs-Latn-BA"/>
        </w:rPr>
        <w:t xml:space="preserve"> </w:t>
      </w:r>
      <w:r>
        <w:rPr>
          <w:rFonts w:ascii="Times New Roman" w:hAnsi="Times New Roman"/>
          <w:szCs w:val="24"/>
          <w:lang w:val="bs-Latn-BA"/>
        </w:rPr>
        <w:t>са</w:t>
      </w:r>
      <w:r w:rsidR="003A2F08" w:rsidRPr="00295637">
        <w:rPr>
          <w:rFonts w:ascii="Times New Roman" w:hAnsi="Times New Roman"/>
          <w:szCs w:val="24"/>
          <w:lang w:val="bs-Latn-BA"/>
        </w:rPr>
        <w:t xml:space="preserve"> </w:t>
      </w:r>
      <w:r>
        <w:rPr>
          <w:rFonts w:ascii="Times New Roman" w:hAnsi="Times New Roman"/>
          <w:szCs w:val="24"/>
          <w:lang w:val="bs-Latn-BA"/>
        </w:rPr>
        <w:t>Међународном</w:t>
      </w:r>
      <w:r w:rsidR="003A2F08" w:rsidRPr="00295637">
        <w:rPr>
          <w:rFonts w:ascii="Times New Roman" w:hAnsi="Times New Roman"/>
          <w:szCs w:val="24"/>
          <w:lang w:val="bs-Latn-BA"/>
        </w:rPr>
        <w:t xml:space="preserve"> </w:t>
      </w:r>
      <w:r>
        <w:rPr>
          <w:rFonts w:ascii="Times New Roman" w:hAnsi="Times New Roman"/>
          <w:szCs w:val="24"/>
          <w:lang w:val="bs-Latn-BA"/>
        </w:rPr>
        <w:t>радном</w:t>
      </w:r>
      <w:r w:rsidR="003A2F08" w:rsidRPr="00295637">
        <w:rPr>
          <w:rFonts w:ascii="Times New Roman" w:hAnsi="Times New Roman"/>
          <w:szCs w:val="24"/>
          <w:lang w:val="bs-Latn-BA"/>
        </w:rPr>
        <w:t xml:space="preserve"> </w:t>
      </w:r>
      <w:r>
        <w:rPr>
          <w:rFonts w:ascii="Times New Roman" w:hAnsi="Times New Roman"/>
          <w:szCs w:val="24"/>
          <w:lang w:val="bs-Latn-BA"/>
        </w:rPr>
        <w:t>групом</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3A2F08" w:rsidRPr="00295637">
        <w:rPr>
          <w:rFonts w:ascii="Times New Roman" w:hAnsi="Times New Roman"/>
          <w:szCs w:val="24"/>
          <w:lang w:val="bs-Latn-BA"/>
        </w:rPr>
        <w:t xml:space="preserve"> </w:t>
      </w:r>
      <w:r>
        <w:rPr>
          <w:rFonts w:ascii="Times New Roman" w:hAnsi="Times New Roman"/>
          <w:szCs w:val="24"/>
          <w:lang w:val="bs-Latn-BA"/>
        </w:rPr>
        <w:t>полова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организацији</w:t>
      </w:r>
      <w:r w:rsidR="003A2F08" w:rsidRPr="00295637">
        <w:rPr>
          <w:rFonts w:ascii="Times New Roman" w:hAnsi="Times New Roman"/>
          <w:szCs w:val="24"/>
          <w:lang w:val="bs-Latn-BA"/>
        </w:rPr>
        <w:t xml:space="preserve"> </w:t>
      </w:r>
      <w:r w:rsidR="00B745C8" w:rsidRPr="00B745C8">
        <w:rPr>
          <w:rFonts w:ascii="Times New Roman" w:hAnsi="Times New Roman"/>
          <w:i/>
          <w:iCs/>
          <w:szCs w:val="24"/>
          <w:lang w:val="bs-Latn-BA"/>
        </w:rPr>
        <w:t>UN Women</w:t>
      </w:r>
      <w:r w:rsidR="00B745C8" w:rsidRPr="00B745C8">
        <w:rPr>
          <w:rFonts w:ascii="Times New Roman" w:hAnsi="Times New Roman"/>
          <w:i/>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области</w:t>
      </w:r>
      <w:r w:rsidR="003A2F08" w:rsidRPr="00295637">
        <w:rPr>
          <w:rFonts w:ascii="Times New Roman" w:hAnsi="Times New Roman"/>
          <w:szCs w:val="24"/>
          <w:lang w:val="bs-Latn-BA"/>
        </w:rPr>
        <w:t xml:space="preserve"> </w:t>
      </w:r>
      <w:r>
        <w:rPr>
          <w:rFonts w:ascii="Times New Roman" w:hAnsi="Times New Roman"/>
          <w:szCs w:val="24"/>
          <w:lang w:val="bs-Latn-BA"/>
        </w:rPr>
        <w:t>борбе</w:t>
      </w:r>
      <w:r w:rsidR="003A2F08" w:rsidRPr="00295637">
        <w:rPr>
          <w:rFonts w:ascii="Times New Roman" w:hAnsi="Times New Roman"/>
          <w:szCs w:val="24"/>
          <w:lang w:val="bs-Latn-BA"/>
        </w:rPr>
        <w:t xml:space="preserve"> </w:t>
      </w:r>
      <w:r>
        <w:rPr>
          <w:rFonts w:ascii="Times New Roman" w:hAnsi="Times New Roman"/>
          <w:szCs w:val="24"/>
          <w:lang w:val="bs-Latn-BA"/>
        </w:rPr>
        <w:t>против</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над</w:t>
      </w:r>
      <w:r w:rsidR="003A2F08" w:rsidRPr="00295637">
        <w:rPr>
          <w:rFonts w:ascii="Times New Roman" w:hAnsi="Times New Roman"/>
          <w:szCs w:val="24"/>
          <w:lang w:val="bs-Latn-BA"/>
        </w:rPr>
        <w:t xml:space="preserve"> </w:t>
      </w:r>
      <w:r>
        <w:rPr>
          <w:rFonts w:ascii="Times New Roman" w:hAnsi="Times New Roman"/>
          <w:szCs w:val="24"/>
          <w:lang w:val="bs-Latn-BA"/>
        </w:rPr>
        <w:t>женама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породици</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легислативе</w:t>
      </w:r>
      <w:r w:rsidR="003A2F08" w:rsidRPr="00295637">
        <w:rPr>
          <w:rFonts w:ascii="Times New Roman" w:hAnsi="Times New Roman"/>
          <w:szCs w:val="24"/>
          <w:lang w:val="bs-Latn-BA"/>
        </w:rPr>
        <w:t xml:space="preserve"> </w:t>
      </w:r>
      <w:r>
        <w:rPr>
          <w:rFonts w:ascii="Times New Roman" w:hAnsi="Times New Roman"/>
          <w:szCs w:val="24"/>
          <w:lang w:val="bs-Latn-BA"/>
        </w:rPr>
        <w:t>која</w:t>
      </w:r>
      <w:r w:rsidR="003A2F08" w:rsidRPr="00295637">
        <w:rPr>
          <w:rFonts w:ascii="Times New Roman" w:hAnsi="Times New Roman"/>
          <w:szCs w:val="24"/>
          <w:lang w:val="bs-Latn-BA"/>
        </w:rPr>
        <w:t xml:space="preserve"> </w:t>
      </w:r>
      <w:r>
        <w:rPr>
          <w:rFonts w:ascii="Times New Roman" w:hAnsi="Times New Roman"/>
          <w:szCs w:val="24"/>
          <w:lang w:val="bs-Latn-BA"/>
        </w:rPr>
        <w:t>се</w:t>
      </w:r>
      <w:r w:rsidR="003A2F08" w:rsidRPr="00295637">
        <w:rPr>
          <w:rFonts w:ascii="Times New Roman" w:hAnsi="Times New Roman"/>
          <w:szCs w:val="24"/>
          <w:lang w:val="bs-Latn-BA"/>
        </w:rPr>
        <w:t xml:space="preserve"> </w:t>
      </w:r>
      <w:r>
        <w:rPr>
          <w:rFonts w:ascii="Times New Roman" w:hAnsi="Times New Roman"/>
          <w:szCs w:val="24"/>
          <w:lang w:val="bs-Latn-BA"/>
        </w:rPr>
        <w:t>тиче</w:t>
      </w:r>
      <w:r w:rsidR="003A2F08" w:rsidRPr="00295637">
        <w:rPr>
          <w:rFonts w:ascii="Times New Roman" w:hAnsi="Times New Roman"/>
          <w:szCs w:val="24"/>
          <w:lang w:val="bs-Latn-BA"/>
        </w:rPr>
        <w:t xml:space="preserve"> </w:t>
      </w:r>
      <w:r>
        <w:rPr>
          <w:rFonts w:ascii="Times New Roman" w:hAnsi="Times New Roman"/>
          <w:szCs w:val="24"/>
          <w:lang w:val="bs-Latn-BA"/>
        </w:rPr>
        <w:t>ове</w:t>
      </w:r>
      <w:r w:rsidR="003A2F08" w:rsidRPr="00295637">
        <w:rPr>
          <w:rFonts w:ascii="Times New Roman" w:hAnsi="Times New Roman"/>
          <w:szCs w:val="24"/>
          <w:lang w:val="bs-Latn-BA"/>
        </w:rPr>
        <w:t xml:space="preserve"> </w:t>
      </w:r>
      <w:r>
        <w:rPr>
          <w:rFonts w:ascii="Times New Roman" w:hAnsi="Times New Roman"/>
          <w:szCs w:val="24"/>
          <w:lang w:val="bs-Latn-BA"/>
        </w:rPr>
        <w:t>области</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кроз</w:t>
      </w:r>
      <w:r w:rsidR="003A2F08" w:rsidRPr="00295637">
        <w:rPr>
          <w:rFonts w:ascii="Times New Roman" w:hAnsi="Times New Roman"/>
          <w:szCs w:val="24"/>
          <w:lang w:val="bs-Latn-BA"/>
        </w:rPr>
        <w:t xml:space="preserve"> </w:t>
      </w:r>
      <w:r>
        <w:rPr>
          <w:rFonts w:ascii="Times New Roman" w:hAnsi="Times New Roman"/>
          <w:szCs w:val="24"/>
          <w:lang w:val="bs-Latn-BA"/>
        </w:rPr>
        <w:t>радионице</w:t>
      </w:r>
      <w:r w:rsidR="0000023E" w:rsidRPr="00295637">
        <w:rPr>
          <w:rFonts w:ascii="Times New Roman" w:hAnsi="Times New Roman"/>
          <w:szCs w:val="24"/>
          <w:lang w:val="bs-Latn-BA"/>
        </w:rPr>
        <w:t xml:space="preserve"> </w:t>
      </w:r>
      <w:r>
        <w:rPr>
          <w:rFonts w:ascii="Times New Roman" w:hAnsi="Times New Roman"/>
          <w:szCs w:val="24"/>
          <w:lang w:val="bs-Latn-BA"/>
        </w:rPr>
        <w:t>на</w:t>
      </w:r>
      <w:r w:rsidR="0000023E" w:rsidRPr="00295637">
        <w:rPr>
          <w:rFonts w:ascii="Times New Roman" w:hAnsi="Times New Roman"/>
          <w:szCs w:val="24"/>
          <w:lang w:val="bs-Latn-BA"/>
        </w:rPr>
        <w:t xml:space="preserve"> </w:t>
      </w:r>
      <w:r>
        <w:rPr>
          <w:rFonts w:ascii="Times New Roman" w:hAnsi="Times New Roman"/>
          <w:szCs w:val="24"/>
          <w:lang w:val="bs-Latn-BA"/>
        </w:rPr>
        <w:t>тему</w:t>
      </w:r>
      <w:r w:rsidR="0000023E"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организацији</w:t>
      </w:r>
      <w:r w:rsidR="003A2F08" w:rsidRPr="00295637">
        <w:rPr>
          <w:rFonts w:ascii="Times New Roman" w:hAnsi="Times New Roman"/>
          <w:szCs w:val="24"/>
          <w:lang w:val="bs-Latn-BA"/>
        </w:rPr>
        <w:t xml:space="preserve"> </w:t>
      </w:r>
      <w:r w:rsidR="00B745C8" w:rsidRPr="00B745C8">
        <w:rPr>
          <w:rFonts w:ascii="Times New Roman" w:hAnsi="Times New Roman"/>
          <w:i/>
          <w:iCs/>
          <w:szCs w:val="24"/>
          <w:lang w:val="bs-Latn-BA"/>
        </w:rPr>
        <w:t>UN Women</w:t>
      </w:r>
      <w:r w:rsidR="003A2F08" w:rsidRPr="00295637">
        <w:rPr>
          <w:rFonts w:ascii="Times New Roman" w:hAnsi="Times New Roman"/>
          <w:szCs w:val="24"/>
          <w:lang w:val="bs-Latn-BA"/>
        </w:rPr>
        <w:t xml:space="preserve">, </w:t>
      </w:r>
      <w:r>
        <w:rPr>
          <w:rFonts w:ascii="Times New Roman" w:hAnsi="Times New Roman"/>
          <w:szCs w:val="24"/>
          <w:lang w:val="bs-Latn-BA"/>
        </w:rPr>
        <w:t>Шведске</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ЕУ</w:t>
      </w:r>
      <w:r w:rsidR="003A2F08" w:rsidRPr="00295637">
        <w:rPr>
          <w:rFonts w:ascii="Times New Roman" w:hAnsi="Times New Roman"/>
          <w:szCs w:val="24"/>
          <w:lang w:val="bs-Latn-BA"/>
        </w:rPr>
        <w:t xml:space="preserve"> </w:t>
      </w:r>
      <w:r>
        <w:rPr>
          <w:rFonts w:ascii="Times New Roman" w:hAnsi="Times New Roman"/>
          <w:szCs w:val="24"/>
          <w:lang w:val="bs-Latn-BA"/>
        </w:rPr>
        <w:t>о</w:t>
      </w:r>
      <w:r w:rsidR="003A2F08" w:rsidRPr="00295637">
        <w:rPr>
          <w:rFonts w:ascii="Times New Roman" w:hAnsi="Times New Roman"/>
          <w:szCs w:val="24"/>
          <w:lang w:val="bs-Latn-BA"/>
        </w:rPr>
        <w:t xml:space="preserve"> </w:t>
      </w:r>
      <w:r>
        <w:rPr>
          <w:rFonts w:ascii="Times New Roman" w:hAnsi="Times New Roman"/>
          <w:szCs w:val="24"/>
          <w:lang w:val="bs-Latn-BA"/>
        </w:rPr>
        <w:t>наредним</w:t>
      </w:r>
      <w:r w:rsidR="003A2F08" w:rsidRPr="00295637">
        <w:rPr>
          <w:rFonts w:ascii="Times New Roman" w:hAnsi="Times New Roman"/>
          <w:szCs w:val="24"/>
          <w:lang w:val="bs-Latn-BA"/>
        </w:rPr>
        <w:t xml:space="preserve"> </w:t>
      </w:r>
      <w:r>
        <w:rPr>
          <w:rFonts w:ascii="Times New Roman" w:hAnsi="Times New Roman"/>
          <w:szCs w:val="24"/>
          <w:lang w:val="bs-Latn-BA"/>
        </w:rPr>
        <w:t>корацима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планирању</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области</w:t>
      </w:r>
      <w:r w:rsidR="003A2F08" w:rsidRPr="00295637">
        <w:rPr>
          <w:rFonts w:ascii="Times New Roman" w:hAnsi="Times New Roman"/>
          <w:szCs w:val="24"/>
          <w:lang w:val="bs-Latn-BA"/>
        </w:rPr>
        <w:t xml:space="preserve"> </w:t>
      </w:r>
      <w:r>
        <w:rPr>
          <w:rFonts w:ascii="Times New Roman" w:hAnsi="Times New Roman"/>
          <w:szCs w:val="24"/>
          <w:lang w:val="bs-Latn-BA"/>
        </w:rPr>
        <w:t>борбе</w:t>
      </w:r>
      <w:r w:rsidR="003A2F08" w:rsidRPr="00295637">
        <w:rPr>
          <w:rFonts w:ascii="Times New Roman" w:hAnsi="Times New Roman"/>
          <w:szCs w:val="24"/>
          <w:lang w:val="bs-Latn-BA"/>
        </w:rPr>
        <w:t xml:space="preserve"> </w:t>
      </w:r>
      <w:r>
        <w:rPr>
          <w:rFonts w:ascii="Times New Roman" w:hAnsi="Times New Roman"/>
          <w:szCs w:val="24"/>
          <w:lang w:val="bs-Latn-BA"/>
        </w:rPr>
        <w:t>против</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над</w:t>
      </w:r>
      <w:r w:rsidR="003A2F08" w:rsidRPr="00295637">
        <w:rPr>
          <w:rFonts w:ascii="Times New Roman" w:hAnsi="Times New Roman"/>
          <w:szCs w:val="24"/>
          <w:lang w:val="bs-Latn-BA"/>
        </w:rPr>
        <w:t xml:space="preserve"> </w:t>
      </w:r>
      <w:r>
        <w:rPr>
          <w:rFonts w:ascii="Times New Roman" w:hAnsi="Times New Roman"/>
          <w:szCs w:val="24"/>
          <w:lang w:val="bs-Latn-BA"/>
        </w:rPr>
        <w:t>женама</w:t>
      </w:r>
      <w:r w:rsidR="003A2F08" w:rsidRPr="00295637">
        <w:rPr>
          <w:rFonts w:ascii="Times New Roman" w:hAnsi="Times New Roman"/>
          <w:szCs w:val="24"/>
          <w:lang w:val="bs-Latn-BA"/>
        </w:rPr>
        <w:t>.</w:t>
      </w:r>
    </w:p>
    <w:p w:rsidR="00CD2E6C" w:rsidRPr="00295637" w:rsidRDefault="00CD2E6C" w:rsidP="0086268D">
      <w:pPr>
        <w:rPr>
          <w:lang w:val="bs-Latn-BA"/>
        </w:rPr>
      </w:pPr>
    </w:p>
    <w:p w:rsidR="00356C2C" w:rsidRPr="00295637" w:rsidRDefault="00B745C8" w:rsidP="00926EB3">
      <w:pPr>
        <w:tabs>
          <w:tab w:val="left" w:pos="284"/>
          <w:tab w:val="left" w:pos="630"/>
          <w:tab w:val="left" w:pos="1080"/>
        </w:tabs>
        <w:ind w:left="567"/>
        <w:jc w:val="both"/>
        <w:rPr>
          <w:rFonts w:ascii="Times New Roman" w:hAnsi="Times New Roman"/>
          <w:szCs w:val="24"/>
          <w:lang w:val="bs-Latn-BA"/>
        </w:rPr>
      </w:pPr>
      <w:r w:rsidRPr="00B745C8">
        <w:rPr>
          <w:rFonts w:ascii="Times New Roman" w:hAnsi="Times New Roman"/>
          <w:szCs w:val="24"/>
          <w:lang w:val="bs-Latn-BA"/>
        </w:rPr>
        <w:t>II</w:t>
      </w:r>
      <w:r w:rsidR="00926EB3">
        <w:rPr>
          <w:rFonts w:ascii="Times New Roman" w:hAnsi="Times New Roman"/>
          <w:szCs w:val="24"/>
          <w:lang w:val="bs-Latn-BA"/>
        </w:rPr>
        <w:t xml:space="preserve"> 2.3. </w:t>
      </w:r>
      <w:r w:rsidR="00C6214E">
        <w:rPr>
          <w:rFonts w:ascii="Times New Roman" w:hAnsi="Times New Roman"/>
          <w:szCs w:val="24"/>
          <w:lang w:val="bs-Latn-BA"/>
        </w:rPr>
        <w:t>Покретање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иницијативе</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преговора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закључивања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ратификације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међународних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докумената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w:t>
      </w:r>
    </w:p>
    <w:p w:rsidR="004926D1" w:rsidRPr="00295637" w:rsidRDefault="004926D1" w:rsidP="0086268D">
      <w:pPr>
        <w:pStyle w:val="Normal1"/>
      </w:pPr>
    </w:p>
    <w:p w:rsidR="004926D1" w:rsidRPr="00985C5F" w:rsidRDefault="00C6214E" w:rsidP="0086268D">
      <w:pPr>
        <w:pStyle w:val="Normal1"/>
        <w:jc w:val="both"/>
        <w:rPr>
          <w:rFonts w:ascii="Times New Roman" w:hAnsi="Times New Roman"/>
        </w:rPr>
      </w:pPr>
      <w:r>
        <w:rPr>
          <w:rFonts w:ascii="Times New Roman" w:hAnsi="Times New Roman"/>
        </w:rPr>
        <w:t>У</w:t>
      </w:r>
      <w:r w:rsidR="004926D1" w:rsidRPr="00295637">
        <w:rPr>
          <w:rFonts w:ascii="Times New Roman" w:hAnsi="Times New Roman"/>
        </w:rPr>
        <w:t xml:space="preserve"> </w:t>
      </w:r>
      <w:r>
        <w:rPr>
          <w:rFonts w:ascii="Times New Roman" w:hAnsi="Times New Roman"/>
        </w:rPr>
        <w:t>мају</w:t>
      </w:r>
      <w:r w:rsidR="004926D1" w:rsidRPr="00295637">
        <w:rPr>
          <w:rFonts w:ascii="Times New Roman" w:hAnsi="Times New Roman"/>
        </w:rPr>
        <w:t xml:space="preserve"> 2024. </w:t>
      </w:r>
      <w:r>
        <w:rPr>
          <w:rFonts w:ascii="Times New Roman" w:hAnsi="Times New Roman"/>
        </w:rPr>
        <w:t>године</w:t>
      </w:r>
      <w:r w:rsidR="004926D1" w:rsidRPr="00295637">
        <w:rPr>
          <w:rFonts w:ascii="Times New Roman" w:hAnsi="Times New Roman"/>
        </w:rPr>
        <w:t xml:space="preserve">, </w:t>
      </w:r>
      <w:r>
        <w:rPr>
          <w:rFonts w:ascii="Times New Roman" w:hAnsi="Times New Roman"/>
        </w:rPr>
        <w:t>министар</w:t>
      </w:r>
      <w:r w:rsidR="004926D1" w:rsidRPr="00295637">
        <w:rPr>
          <w:rFonts w:ascii="Times New Roman" w:hAnsi="Times New Roman"/>
        </w:rPr>
        <w:t xml:space="preserve"> </w:t>
      </w:r>
      <w:r>
        <w:rPr>
          <w:rFonts w:ascii="Times New Roman" w:hAnsi="Times New Roman"/>
        </w:rPr>
        <w:t>за</w:t>
      </w:r>
      <w:r w:rsidR="004926D1" w:rsidRPr="00295637">
        <w:rPr>
          <w:rFonts w:ascii="Times New Roman" w:hAnsi="Times New Roman"/>
        </w:rPr>
        <w:t xml:space="preserve"> </w:t>
      </w:r>
      <w:r>
        <w:rPr>
          <w:rFonts w:ascii="Times New Roman" w:hAnsi="Times New Roman"/>
        </w:rPr>
        <w:t>људска</w:t>
      </w:r>
      <w:r w:rsidR="004926D1" w:rsidRPr="00295637">
        <w:rPr>
          <w:rFonts w:ascii="Times New Roman" w:hAnsi="Times New Roman"/>
        </w:rPr>
        <w:t xml:space="preserve"> </w:t>
      </w:r>
      <w:r>
        <w:rPr>
          <w:rFonts w:ascii="Times New Roman" w:hAnsi="Times New Roman"/>
        </w:rPr>
        <w:t>права</w:t>
      </w:r>
      <w:r w:rsidR="004926D1" w:rsidRPr="00295637">
        <w:rPr>
          <w:rFonts w:ascii="Times New Roman" w:hAnsi="Times New Roman"/>
        </w:rPr>
        <w:t xml:space="preserve"> </w:t>
      </w:r>
      <w:r>
        <w:rPr>
          <w:rFonts w:ascii="Times New Roman" w:hAnsi="Times New Roman"/>
        </w:rPr>
        <w:t>и</w:t>
      </w:r>
      <w:r w:rsidR="004926D1" w:rsidRPr="00295637">
        <w:rPr>
          <w:rFonts w:ascii="Times New Roman" w:hAnsi="Times New Roman"/>
        </w:rPr>
        <w:t xml:space="preserve"> </w:t>
      </w:r>
      <w:r>
        <w:rPr>
          <w:rFonts w:ascii="Times New Roman" w:hAnsi="Times New Roman"/>
        </w:rPr>
        <w:t>избјеглице</w:t>
      </w:r>
      <w:r w:rsidR="004926D1" w:rsidRPr="00295637">
        <w:rPr>
          <w:rFonts w:ascii="Times New Roman" w:hAnsi="Times New Roman"/>
        </w:rPr>
        <w:t xml:space="preserve"> </w:t>
      </w:r>
      <w:r>
        <w:rPr>
          <w:rFonts w:ascii="Times New Roman" w:hAnsi="Times New Roman"/>
        </w:rPr>
        <w:t>БиХ</w:t>
      </w:r>
      <w:r w:rsidR="004926D1" w:rsidRPr="00295637">
        <w:rPr>
          <w:rFonts w:ascii="Times New Roman" w:hAnsi="Times New Roman"/>
        </w:rPr>
        <w:t xml:space="preserve"> </w:t>
      </w:r>
      <w:r>
        <w:rPr>
          <w:rFonts w:ascii="Times New Roman" w:hAnsi="Times New Roman"/>
        </w:rPr>
        <w:t>је</w:t>
      </w:r>
      <w:r w:rsidR="004926D1" w:rsidRPr="00295637">
        <w:rPr>
          <w:rFonts w:ascii="Times New Roman" w:hAnsi="Times New Roman"/>
        </w:rPr>
        <w:t xml:space="preserve"> </w:t>
      </w:r>
      <w:r>
        <w:rPr>
          <w:rFonts w:ascii="Times New Roman" w:hAnsi="Times New Roman"/>
        </w:rPr>
        <w:t>био</w:t>
      </w:r>
      <w:r w:rsidR="004926D1" w:rsidRPr="00295637">
        <w:rPr>
          <w:rFonts w:ascii="Times New Roman" w:hAnsi="Times New Roman"/>
        </w:rPr>
        <w:t xml:space="preserve"> </w:t>
      </w:r>
      <w:r>
        <w:rPr>
          <w:rFonts w:ascii="Times New Roman" w:hAnsi="Times New Roman"/>
        </w:rPr>
        <w:t>међу</w:t>
      </w:r>
      <w:r w:rsidR="004926D1" w:rsidRPr="00295637">
        <w:rPr>
          <w:rFonts w:ascii="Times New Roman" w:hAnsi="Times New Roman"/>
        </w:rPr>
        <w:t xml:space="preserve"> 32 </w:t>
      </w:r>
      <w:r>
        <w:rPr>
          <w:rFonts w:ascii="Times New Roman" w:hAnsi="Times New Roman"/>
        </w:rPr>
        <w:t>потписника</w:t>
      </w:r>
      <w:r w:rsidR="004926D1" w:rsidRPr="00295637">
        <w:rPr>
          <w:rFonts w:ascii="Times New Roman" w:hAnsi="Times New Roman"/>
        </w:rPr>
        <w:t xml:space="preserve"> </w:t>
      </w:r>
      <w:r>
        <w:rPr>
          <w:rFonts w:ascii="Times New Roman" w:hAnsi="Times New Roman"/>
        </w:rPr>
        <w:t>Заједничке</w:t>
      </w:r>
      <w:r w:rsidR="004926D1" w:rsidRPr="00295637">
        <w:rPr>
          <w:rFonts w:ascii="Times New Roman" w:hAnsi="Times New Roman"/>
        </w:rPr>
        <w:t xml:space="preserve"> </w:t>
      </w:r>
      <w:r>
        <w:rPr>
          <w:rFonts w:ascii="Times New Roman" w:hAnsi="Times New Roman"/>
        </w:rPr>
        <w:t>министарске</w:t>
      </w:r>
      <w:r w:rsidR="004926D1" w:rsidRPr="00295637">
        <w:rPr>
          <w:rFonts w:ascii="Times New Roman" w:hAnsi="Times New Roman"/>
        </w:rPr>
        <w:t xml:space="preserve"> </w:t>
      </w:r>
      <w:r>
        <w:rPr>
          <w:rFonts w:ascii="Times New Roman" w:hAnsi="Times New Roman"/>
        </w:rPr>
        <w:t>декларације</w:t>
      </w:r>
      <w:r w:rsidR="004926D1" w:rsidRPr="00295637">
        <w:rPr>
          <w:rFonts w:ascii="Times New Roman" w:hAnsi="Times New Roman"/>
        </w:rPr>
        <w:t xml:space="preserve"> </w:t>
      </w:r>
      <w:r>
        <w:rPr>
          <w:rFonts w:ascii="Times New Roman" w:hAnsi="Times New Roman"/>
        </w:rPr>
        <w:t>европских</w:t>
      </w:r>
      <w:r w:rsidR="004926D1" w:rsidRPr="00295637">
        <w:rPr>
          <w:rFonts w:ascii="Times New Roman" w:hAnsi="Times New Roman"/>
        </w:rPr>
        <w:t xml:space="preserve"> </w:t>
      </w:r>
      <w:r>
        <w:rPr>
          <w:rFonts w:ascii="Times New Roman" w:hAnsi="Times New Roman"/>
        </w:rPr>
        <w:t>држава</w:t>
      </w:r>
      <w:r w:rsidR="004926D1" w:rsidRPr="00295637">
        <w:rPr>
          <w:rFonts w:ascii="Times New Roman" w:hAnsi="Times New Roman"/>
        </w:rPr>
        <w:t xml:space="preserve"> </w:t>
      </w:r>
      <w:r>
        <w:rPr>
          <w:rFonts w:ascii="Times New Roman" w:eastAsia="Times New Roman" w:hAnsi="Times New Roman"/>
          <w:lang w:val="en-US"/>
        </w:rPr>
        <w:t>под</w:t>
      </w:r>
      <w:r w:rsidR="004926D1" w:rsidRPr="00295637">
        <w:rPr>
          <w:rFonts w:ascii="Times New Roman" w:eastAsia="Times New Roman" w:hAnsi="Times New Roman"/>
          <w:lang w:val="en-US"/>
        </w:rPr>
        <w:t xml:space="preserve"> </w:t>
      </w:r>
      <w:r>
        <w:rPr>
          <w:rFonts w:ascii="Times New Roman" w:eastAsia="Times New Roman" w:hAnsi="Times New Roman"/>
          <w:lang w:val="en-US"/>
        </w:rPr>
        <w:t>називом</w:t>
      </w:r>
      <w:r w:rsidR="004926D1" w:rsidRPr="00295637">
        <w:rPr>
          <w:rFonts w:ascii="Times New Roman" w:eastAsia="Times New Roman" w:hAnsi="Times New Roman"/>
          <w:lang w:val="en-US"/>
        </w:rPr>
        <w:t xml:space="preserve"> “</w:t>
      </w:r>
      <w:r>
        <w:rPr>
          <w:rFonts w:ascii="Times New Roman" w:eastAsia="Times New Roman" w:hAnsi="Times New Roman"/>
          <w:lang w:val="en-US"/>
        </w:rPr>
        <w:t>Будућност</w:t>
      </w:r>
      <w:r w:rsidR="004926D1" w:rsidRPr="00295637">
        <w:rPr>
          <w:rFonts w:ascii="Times New Roman" w:eastAsia="Times New Roman" w:hAnsi="Times New Roman"/>
          <w:lang w:val="en-US"/>
        </w:rPr>
        <w:t xml:space="preserve"> </w:t>
      </w:r>
      <w:r>
        <w:rPr>
          <w:rFonts w:ascii="Times New Roman" w:eastAsia="Times New Roman" w:hAnsi="Times New Roman"/>
          <w:lang w:val="en-US"/>
        </w:rPr>
        <w:t>слободе</w:t>
      </w:r>
      <w:r w:rsidR="004926D1" w:rsidRPr="00295637">
        <w:rPr>
          <w:rFonts w:ascii="Times New Roman" w:eastAsia="Times New Roman" w:hAnsi="Times New Roman"/>
          <w:lang w:val="en-US"/>
        </w:rPr>
        <w:t xml:space="preserve"> </w:t>
      </w:r>
      <w:r>
        <w:rPr>
          <w:rFonts w:ascii="Times New Roman" w:eastAsia="Times New Roman" w:hAnsi="Times New Roman"/>
          <w:lang w:val="en-US"/>
        </w:rPr>
        <w:t>и</w:t>
      </w:r>
      <w:r w:rsidR="004926D1" w:rsidRPr="00295637">
        <w:rPr>
          <w:rFonts w:ascii="Times New Roman" w:eastAsia="Times New Roman" w:hAnsi="Times New Roman"/>
          <w:lang w:val="en-US"/>
        </w:rPr>
        <w:t xml:space="preserve"> </w:t>
      </w:r>
      <w:r>
        <w:rPr>
          <w:rFonts w:ascii="Times New Roman" w:eastAsia="Times New Roman" w:hAnsi="Times New Roman"/>
          <w:lang w:val="en-US"/>
        </w:rPr>
        <w:t>једнакости</w:t>
      </w:r>
      <w:r w:rsidR="004926D1" w:rsidRPr="00295637">
        <w:rPr>
          <w:rFonts w:ascii="Times New Roman" w:eastAsia="Times New Roman" w:hAnsi="Times New Roman"/>
          <w:lang w:val="en-US"/>
        </w:rPr>
        <w:t xml:space="preserve"> </w:t>
      </w:r>
      <w:r>
        <w:rPr>
          <w:rFonts w:ascii="Times New Roman" w:eastAsia="Times New Roman" w:hAnsi="Times New Roman"/>
          <w:lang w:val="en-US"/>
        </w:rPr>
        <w:t>у</w:t>
      </w:r>
      <w:r w:rsidR="004926D1" w:rsidRPr="00295637">
        <w:rPr>
          <w:rFonts w:ascii="Times New Roman" w:eastAsia="Times New Roman" w:hAnsi="Times New Roman"/>
          <w:lang w:val="en-US"/>
        </w:rPr>
        <w:t xml:space="preserve"> </w:t>
      </w:r>
      <w:r>
        <w:rPr>
          <w:rFonts w:ascii="Times New Roman" w:eastAsia="Times New Roman" w:hAnsi="Times New Roman"/>
          <w:lang w:val="en-US"/>
        </w:rPr>
        <w:t>Европи</w:t>
      </w:r>
      <w:r w:rsidR="004926D1" w:rsidRPr="00295637">
        <w:rPr>
          <w:rFonts w:ascii="Times New Roman" w:eastAsia="Times New Roman" w:hAnsi="Times New Roman"/>
          <w:lang w:val="en-US"/>
        </w:rPr>
        <w:t xml:space="preserve">” </w:t>
      </w:r>
      <w:r>
        <w:rPr>
          <w:rFonts w:ascii="Times New Roman" w:eastAsia="Times New Roman" w:hAnsi="Times New Roman"/>
          <w:lang w:val="en-US"/>
        </w:rPr>
        <w:t>која</w:t>
      </w:r>
      <w:r w:rsidR="004926D1" w:rsidRPr="00295637">
        <w:rPr>
          <w:rFonts w:ascii="Times New Roman" w:eastAsia="Times New Roman" w:hAnsi="Times New Roman"/>
          <w:lang w:val="en-US"/>
        </w:rPr>
        <w:t xml:space="preserve"> </w:t>
      </w:r>
      <w:r>
        <w:rPr>
          <w:rFonts w:ascii="Times New Roman" w:eastAsia="Times New Roman" w:hAnsi="Times New Roman"/>
          <w:lang w:val="en-US"/>
        </w:rPr>
        <w:t>је</w:t>
      </w:r>
      <w:r w:rsidR="004926D1" w:rsidRPr="00295637">
        <w:rPr>
          <w:rFonts w:ascii="Times New Roman" w:eastAsia="Times New Roman" w:hAnsi="Times New Roman"/>
          <w:lang w:val="en-US"/>
        </w:rPr>
        <w:t xml:space="preserve"> </w:t>
      </w:r>
      <w:r>
        <w:rPr>
          <w:rFonts w:ascii="Times New Roman" w:eastAsia="Times New Roman" w:hAnsi="Times New Roman"/>
          <w:lang w:val="en-US"/>
        </w:rPr>
        <w:t>потписана</w:t>
      </w:r>
      <w:r w:rsidR="004926D1" w:rsidRPr="00295637">
        <w:rPr>
          <w:rFonts w:ascii="Times New Roman" w:eastAsia="Times New Roman" w:hAnsi="Times New Roman"/>
          <w:lang w:val="en-US"/>
        </w:rPr>
        <w:t xml:space="preserve"> </w:t>
      </w:r>
      <w:r>
        <w:rPr>
          <w:rFonts w:ascii="Times New Roman" w:eastAsia="Times New Roman" w:hAnsi="Times New Roman"/>
          <w:lang w:val="en-US"/>
        </w:rPr>
        <w:t>у</w:t>
      </w:r>
      <w:r w:rsidR="004926D1" w:rsidRPr="00295637">
        <w:rPr>
          <w:rFonts w:ascii="Times New Roman" w:eastAsia="Times New Roman" w:hAnsi="Times New Roman"/>
          <w:lang w:val="en-US"/>
        </w:rPr>
        <w:t xml:space="preserve"> </w:t>
      </w:r>
      <w:r>
        <w:rPr>
          <w:rFonts w:ascii="Times New Roman" w:eastAsia="Times New Roman" w:hAnsi="Times New Roman"/>
          <w:lang w:val="en-US"/>
        </w:rPr>
        <w:t>Хагу</w:t>
      </w:r>
      <w:r w:rsidR="004926D1" w:rsidRPr="00295637">
        <w:rPr>
          <w:rFonts w:ascii="Times New Roman" w:eastAsia="Times New Roman" w:hAnsi="Times New Roman"/>
          <w:lang w:val="en-US"/>
        </w:rPr>
        <w:t xml:space="preserve">, </w:t>
      </w:r>
      <w:r>
        <w:rPr>
          <w:rFonts w:ascii="Times New Roman" w:eastAsia="Times New Roman" w:hAnsi="Times New Roman"/>
          <w:lang w:val="en-US"/>
        </w:rPr>
        <w:t>на</w:t>
      </w:r>
      <w:r w:rsidR="004926D1" w:rsidRPr="00295637">
        <w:rPr>
          <w:rFonts w:ascii="Times New Roman" w:eastAsia="Times New Roman" w:hAnsi="Times New Roman"/>
          <w:lang w:val="en-US"/>
        </w:rPr>
        <w:t xml:space="preserve"> </w:t>
      </w:r>
      <w:r>
        <w:rPr>
          <w:rFonts w:ascii="Times New Roman" w:eastAsia="Times New Roman" w:hAnsi="Times New Roman"/>
          <w:lang w:val="en-US"/>
        </w:rPr>
        <w:t>централној</w:t>
      </w:r>
      <w:r w:rsidR="004926D1" w:rsidRPr="00295637">
        <w:rPr>
          <w:rFonts w:ascii="Times New Roman" w:eastAsia="Times New Roman" w:hAnsi="Times New Roman"/>
          <w:lang w:val="en-US"/>
        </w:rPr>
        <w:t xml:space="preserve"> </w:t>
      </w:r>
      <w:r>
        <w:rPr>
          <w:rFonts w:ascii="Times New Roman" w:eastAsia="Times New Roman" w:hAnsi="Times New Roman"/>
          <w:lang w:val="en-US"/>
        </w:rPr>
        <w:t>свечаности</w:t>
      </w:r>
      <w:r w:rsidR="004926D1" w:rsidRPr="00295637">
        <w:rPr>
          <w:rFonts w:ascii="Times New Roman" w:eastAsia="Times New Roman" w:hAnsi="Times New Roman"/>
          <w:lang w:val="en-US"/>
        </w:rPr>
        <w:t xml:space="preserve"> </w:t>
      </w:r>
      <w:r>
        <w:rPr>
          <w:rFonts w:ascii="Times New Roman" w:eastAsia="Times New Roman" w:hAnsi="Times New Roman"/>
          <w:lang w:val="en-US"/>
        </w:rPr>
        <w:t>поводом</w:t>
      </w:r>
      <w:r w:rsidR="004926D1" w:rsidRPr="00295637">
        <w:rPr>
          <w:rFonts w:ascii="Times New Roman" w:eastAsia="Times New Roman" w:hAnsi="Times New Roman"/>
          <w:lang w:val="en-US"/>
        </w:rPr>
        <w:t xml:space="preserve"> </w:t>
      </w:r>
      <w:r>
        <w:rPr>
          <w:rFonts w:ascii="Times New Roman" w:eastAsia="Times New Roman" w:hAnsi="Times New Roman"/>
          <w:lang w:val="en-US"/>
        </w:rPr>
        <w:t>обиљежавања</w:t>
      </w:r>
      <w:r w:rsidR="004926D1" w:rsidRPr="00295637">
        <w:rPr>
          <w:rFonts w:ascii="Times New Roman" w:eastAsia="Times New Roman" w:hAnsi="Times New Roman"/>
          <w:lang w:val="en-US"/>
        </w:rPr>
        <w:t xml:space="preserve"> </w:t>
      </w:r>
      <w:r>
        <w:rPr>
          <w:rFonts w:ascii="Times New Roman" w:eastAsia="Times New Roman" w:hAnsi="Times New Roman"/>
          <w:lang w:val="en-US"/>
        </w:rPr>
        <w:t>Међународног</w:t>
      </w:r>
      <w:r w:rsidR="004926D1" w:rsidRPr="00295637">
        <w:rPr>
          <w:rFonts w:ascii="Times New Roman" w:eastAsia="Times New Roman" w:hAnsi="Times New Roman"/>
          <w:lang w:val="en-US"/>
        </w:rPr>
        <w:t xml:space="preserve"> </w:t>
      </w:r>
      <w:r>
        <w:rPr>
          <w:rFonts w:ascii="Times New Roman" w:eastAsia="Times New Roman" w:hAnsi="Times New Roman"/>
          <w:lang w:val="en-US"/>
        </w:rPr>
        <w:t>дана</w:t>
      </w:r>
      <w:r w:rsidR="004926D1" w:rsidRPr="00295637">
        <w:rPr>
          <w:rFonts w:ascii="Times New Roman" w:eastAsia="Times New Roman" w:hAnsi="Times New Roman"/>
          <w:lang w:val="en-US"/>
        </w:rPr>
        <w:t xml:space="preserve"> </w:t>
      </w:r>
      <w:r>
        <w:rPr>
          <w:rFonts w:ascii="Times New Roman" w:eastAsia="Times New Roman" w:hAnsi="Times New Roman"/>
          <w:lang w:val="en-US"/>
        </w:rPr>
        <w:t>борбе</w:t>
      </w:r>
      <w:r w:rsidR="004926D1" w:rsidRPr="00295637">
        <w:rPr>
          <w:rFonts w:ascii="Times New Roman" w:eastAsia="Times New Roman" w:hAnsi="Times New Roman"/>
          <w:lang w:val="en-US"/>
        </w:rPr>
        <w:t xml:space="preserve"> </w:t>
      </w:r>
      <w:r>
        <w:rPr>
          <w:rFonts w:ascii="Times New Roman" w:eastAsia="Times New Roman" w:hAnsi="Times New Roman"/>
          <w:lang w:val="en-US"/>
        </w:rPr>
        <w:t>против</w:t>
      </w:r>
      <w:r w:rsidR="004926D1" w:rsidRPr="00295637">
        <w:rPr>
          <w:rFonts w:ascii="Times New Roman" w:eastAsia="Times New Roman" w:hAnsi="Times New Roman"/>
          <w:lang w:val="en-US"/>
        </w:rPr>
        <w:t xml:space="preserve"> </w:t>
      </w:r>
      <w:r>
        <w:rPr>
          <w:rFonts w:ascii="Times New Roman" w:eastAsia="Times New Roman" w:hAnsi="Times New Roman"/>
          <w:lang w:val="en-US"/>
        </w:rPr>
        <w:t>хомофобије</w:t>
      </w:r>
      <w:r w:rsidR="004926D1" w:rsidRPr="00295637">
        <w:rPr>
          <w:rFonts w:ascii="Times New Roman" w:eastAsia="Times New Roman" w:hAnsi="Times New Roman"/>
          <w:lang w:val="en-US"/>
        </w:rPr>
        <w:t xml:space="preserve"> </w:t>
      </w:r>
      <w:r w:rsidR="00B745C8" w:rsidRPr="00B745C8">
        <w:rPr>
          <w:rFonts w:ascii="Times New Roman" w:eastAsia="Times New Roman" w:hAnsi="Times New Roman"/>
          <w:i/>
          <w:lang w:val="en-US"/>
        </w:rPr>
        <w:t>IDAHOT</w:t>
      </w:r>
      <w:r w:rsidR="004926D1" w:rsidRPr="00295637">
        <w:rPr>
          <w:rFonts w:ascii="Times New Roman" w:eastAsia="Times New Roman" w:hAnsi="Times New Roman"/>
          <w:lang w:val="en-US"/>
        </w:rPr>
        <w:t xml:space="preserve">. </w:t>
      </w:r>
    </w:p>
    <w:p w:rsidR="007D6E3D" w:rsidRPr="00295637" w:rsidRDefault="007D6E3D" w:rsidP="0086268D">
      <w:pPr>
        <w:pStyle w:val="Normal1"/>
        <w:rPr>
          <w:lang w:val="bs-Latn-BA"/>
        </w:rPr>
      </w:pPr>
    </w:p>
    <w:p w:rsidR="00272DFB" w:rsidRPr="00295637" w:rsidRDefault="00B745C8" w:rsidP="00926EB3">
      <w:pPr>
        <w:tabs>
          <w:tab w:val="left" w:pos="284"/>
          <w:tab w:val="left" w:pos="630"/>
          <w:tab w:val="left" w:pos="1080"/>
        </w:tabs>
        <w:ind w:left="567"/>
        <w:jc w:val="both"/>
        <w:rPr>
          <w:rFonts w:ascii="Times New Roman" w:hAnsi="Times New Roman"/>
          <w:szCs w:val="24"/>
          <w:lang w:val="bs-Latn-BA"/>
        </w:rPr>
      </w:pPr>
      <w:r w:rsidRPr="00B745C8">
        <w:rPr>
          <w:rFonts w:ascii="Times New Roman" w:hAnsi="Times New Roman"/>
          <w:szCs w:val="24"/>
          <w:lang w:val="bs-Latn-BA"/>
        </w:rPr>
        <w:t>II</w:t>
      </w:r>
      <w:r w:rsidR="00926EB3">
        <w:rPr>
          <w:rFonts w:ascii="Times New Roman" w:hAnsi="Times New Roman"/>
          <w:szCs w:val="24"/>
          <w:lang w:val="bs-Latn-BA"/>
        </w:rPr>
        <w:t xml:space="preserve"> 2.4. </w:t>
      </w:r>
      <w:r w:rsidR="00C6214E">
        <w:rPr>
          <w:rFonts w:ascii="Times New Roman" w:hAnsi="Times New Roman"/>
          <w:szCs w:val="24"/>
          <w:lang w:val="bs-Latn-BA"/>
        </w:rPr>
        <w:t>Давање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мишљења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усаглашености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приједлога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подзаконских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других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нормативних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аката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стратегија</w:t>
      </w:r>
      <w:r w:rsidR="00BB0F22">
        <w:rPr>
          <w:rFonts w:ascii="Times New Roman" w:hAnsi="Times New Roman"/>
          <w:szCs w:val="24"/>
          <w:lang w:val="bs-Latn-BA"/>
        </w:rPr>
        <w:t xml:space="preserve">, </w:t>
      </w:r>
      <w:r w:rsidR="00C6214E">
        <w:rPr>
          <w:rFonts w:ascii="Times New Roman" w:hAnsi="Times New Roman"/>
          <w:szCs w:val="24"/>
          <w:lang w:val="bs-Latn-BA"/>
        </w:rPr>
        <w:t>планова</w:t>
      </w:r>
      <w:r w:rsidR="00BB0F22">
        <w:rPr>
          <w:rFonts w:ascii="Times New Roman" w:hAnsi="Times New Roman"/>
          <w:szCs w:val="24"/>
          <w:lang w:val="bs-Latn-BA"/>
        </w:rPr>
        <w:t xml:space="preserve"> </w:t>
      </w:r>
      <w:r w:rsidR="00C6214E">
        <w:rPr>
          <w:rFonts w:ascii="Times New Roman" w:hAnsi="Times New Roman"/>
          <w:szCs w:val="24"/>
          <w:lang w:val="bs-Latn-BA"/>
        </w:rPr>
        <w:t>и</w:t>
      </w:r>
      <w:r w:rsidR="00BB0F22">
        <w:rPr>
          <w:rFonts w:ascii="Times New Roman" w:hAnsi="Times New Roman"/>
          <w:szCs w:val="24"/>
          <w:lang w:val="bs-Latn-BA"/>
        </w:rPr>
        <w:t xml:space="preserve"> </w:t>
      </w:r>
      <w:r w:rsidR="00C6214E">
        <w:rPr>
          <w:rFonts w:ascii="Times New Roman" w:hAnsi="Times New Roman"/>
          <w:szCs w:val="24"/>
          <w:lang w:val="bs-Latn-BA"/>
        </w:rPr>
        <w:t>програма</w:t>
      </w:r>
      <w:r w:rsidR="00BB0F22">
        <w:rPr>
          <w:rFonts w:ascii="Times New Roman" w:hAnsi="Times New Roman"/>
          <w:szCs w:val="24"/>
          <w:lang w:val="bs-Latn-BA"/>
        </w:rPr>
        <w:t xml:space="preserve"> </w:t>
      </w:r>
      <w:r w:rsidR="00C6214E">
        <w:rPr>
          <w:rFonts w:ascii="Times New Roman" w:hAnsi="Times New Roman"/>
          <w:szCs w:val="24"/>
          <w:lang w:val="bs-Latn-BA"/>
        </w:rPr>
        <w:t>са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Законом</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BB0F22">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поступање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w:t>
      </w:r>
      <w:r w:rsidR="00356C2C" w:rsidRPr="00295637">
        <w:rPr>
          <w:rFonts w:ascii="Times New Roman" w:hAnsi="Times New Roman"/>
          <w:szCs w:val="24"/>
          <w:lang w:val="bs-Latn-BA"/>
        </w:rPr>
        <w:t xml:space="preserve"> </w:t>
      </w:r>
      <w:r w:rsidR="00C6214E">
        <w:rPr>
          <w:rFonts w:ascii="Times New Roman" w:hAnsi="Times New Roman"/>
          <w:szCs w:val="24"/>
          <w:lang w:val="bs-Latn-BA"/>
        </w:rPr>
        <w:t>Јединственим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правилима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примање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обрађивање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захтјева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испитивање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повреда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w:t>
      </w:r>
      <w:r w:rsidR="00C6214E">
        <w:rPr>
          <w:rFonts w:ascii="Times New Roman" w:hAnsi="Times New Roman"/>
          <w:szCs w:val="24"/>
          <w:lang w:val="bs-Latn-BA"/>
        </w:rPr>
        <w:t>равноправности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w:t>
      </w:r>
      <w:r w:rsidR="00356C2C" w:rsidRPr="00295637">
        <w:rPr>
          <w:rFonts w:ascii="Times New Roman" w:hAnsi="Times New Roman"/>
          <w:b/>
          <w:bCs/>
          <w:szCs w:val="24"/>
        </w:rPr>
        <w:t> </w:t>
      </w:r>
    </w:p>
    <w:p w:rsidR="00E84CF4" w:rsidRPr="00295637" w:rsidRDefault="00E84CF4" w:rsidP="0086268D">
      <w:pPr>
        <w:tabs>
          <w:tab w:val="left" w:pos="284"/>
          <w:tab w:val="left" w:pos="630"/>
          <w:tab w:val="left" w:pos="1080"/>
        </w:tabs>
        <w:jc w:val="both"/>
        <w:rPr>
          <w:rFonts w:ascii="Times New Roman" w:hAnsi="Times New Roman"/>
          <w:bCs/>
          <w:szCs w:val="24"/>
          <w:lang w:val="en-US"/>
        </w:rPr>
      </w:pPr>
    </w:p>
    <w:p w:rsidR="00A87F6C" w:rsidRPr="00971B5B" w:rsidRDefault="00C6214E" w:rsidP="0086268D">
      <w:pPr>
        <w:tabs>
          <w:tab w:val="left" w:pos="284"/>
          <w:tab w:val="left" w:pos="630"/>
          <w:tab w:val="left" w:pos="1080"/>
        </w:tabs>
        <w:jc w:val="both"/>
        <w:rPr>
          <w:rFonts w:ascii="Times New Roman" w:hAnsi="Times New Roman"/>
          <w:bCs/>
          <w:szCs w:val="24"/>
          <w:lang w:val="en-US"/>
        </w:rPr>
      </w:pPr>
      <w:r>
        <w:rPr>
          <w:rFonts w:ascii="Times New Roman" w:hAnsi="Times New Roman"/>
          <w:bCs/>
          <w:szCs w:val="24"/>
          <w:lang w:val="en-US"/>
        </w:rPr>
        <w:t>Током</w:t>
      </w:r>
      <w:r w:rsidR="00272DFB" w:rsidRPr="00295637">
        <w:rPr>
          <w:rFonts w:ascii="Times New Roman" w:hAnsi="Times New Roman"/>
          <w:bCs/>
          <w:szCs w:val="24"/>
          <w:lang w:val="en-US"/>
        </w:rPr>
        <w:t xml:space="preserve"> 2024. </w:t>
      </w:r>
      <w:r>
        <w:rPr>
          <w:rFonts w:ascii="Times New Roman" w:hAnsi="Times New Roman"/>
          <w:bCs/>
          <w:szCs w:val="24"/>
          <w:lang w:val="en-US"/>
        </w:rPr>
        <w:t>године</w:t>
      </w:r>
      <w:r w:rsidR="00272DFB" w:rsidRPr="00295637">
        <w:rPr>
          <w:rFonts w:ascii="Times New Roman" w:hAnsi="Times New Roman"/>
          <w:bCs/>
          <w:szCs w:val="24"/>
          <w:lang w:val="en-US"/>
        </w:rPr>
        <w:t xml:space="preserve">, </w:t>
      </w:r>
      <w:r>
        <w:rPr>
          <w:rFonts w:ascii="Times New Roman" w:hAnsi="Times New Roman"/>
          <w:bCs/>
          <w:szCs w:val="24"/>
          <w:lang w:val="en-US"/>
        </w:rPr>
        <w:t>АР</w:t>
      </w:r>
      <w:r w:rsidR="00B745C8">
        <w:rPr>
          <w:rFonts w:ascii="Times New Roman" w:hAnsi="Times New Roman"/>
          <w:bCs/>
          <w:szCs w:val="24"/>
          <w:lang w:val="sr-Cyrl-BA"/>
        </w:rPr>
        <w:t>П</w:t>
      </w:r>
      <w:r w:rsidR="00BB0F22">
        <w:rPr>
          <w:rFonts w:ascii="Times New Roman" w:hAnsi="Times New Roman"/>
          <w:bCs/>
          <w:szCs w:val="24"/>
          <w:lang w:val="en-US"/>
        </w:rPr>
        <w:t xml:space="preserve"> </w:t>
      </w:r>
      <w:r>
        <w:rPr>
          <w:rFonts w:ascii="Times New Roman" w:hAnsi="Times New Roman"/>
          <w:bCs/>
          <w:szCs w:val="24"/>
          <w:lang w:val="en-US"/>
        </w:rPr>
        <w:t>БиХ</w:t>
      </w:r>
      <w:r w:rsidR="00BB0F22">
        <w:rPr>
          <w:rFonts w:ascii="Times New Roman" w:hAnsi="Times New Roman"/>
          <w:bCs/>
          <w:szCs w:val="24"/>
          <w:lang w:val="en-US"/>
        </w:rPr>
        <w:t xml:space="preserve"> </w:t>
      </w:r>
      <w:r>
        <w:rPr>
          <w:rFonts w:ascii="Times New Roman" w:hAnsi="Times New Roman"/>
          <w:bCs/>
          <w:szCs w:val="24"/>
          <w:lang w:val="en-US"/>
        </w:rPr>
        <w:t>МЉПИ</w:t>
      </w:r>
      <w:r w:rsidR="00BB0F22">
        <w:rPr>
          <w:rFonts w:ascii="Times New Roman" w:hAnsi="Times New Roman"/>
          <w:bCs/>
          <w:szCs w:val="24"/>
          <w:lang w:val="en-US"/>
        </w:rPr>
        <w:t xml:space="preserve"> </w:t>
      </w:r>
      <w:r>
        <w:rPr>
          <w:rFonts w:ascii="Times New Roman" w:hAnsi="Times New Roman"/>
          <w:bCs/>
          <w:szCs w:val="24"/>
          <w:lang w:val="en-US"/>
        </w:rPr>
        <w:t>БиХ</w:t>
      </w:r>
      <w:r w:rsidR="009E54A2" w:rsidRPr="00295637">
        <w:rPr>
          <w:rFonts w:ascii="Times New Roman" w:hAnsi="Times New Roman"/>
          <w:bCs/>
          <w:szCs w:val="24"/>
          <w:lang w:val="en-US"/>
        </w:rPr>
        <w:t xml:space="preserve"> </w:t>
      </w:r>
      <w:r w:rsidR="00FB6F1A">
        <w:rPr>
          <w:rFonts w:ascii="Times New Roman" w:hAnsi="Times New Roman"/>
          <w:bCs/>
          <w:szCs w:val="24"/>
          <w:lang w:val="bs-Cyrl-BA"/>
        </w:rPr>
        <w:t xml:space="preserve">је </w:t>
      </w:r>
      <w:r>
        <w:rPr>
          <w:rFonts w:ascii="Times New Roman" w:hAnsi="Times New Roman"/>
          <w:bCs/>
          <w:szCs w:val="24"/>
          <w:lang w:val="en-US"/>
        </w:rPr>
        <w:t>припрем</w:t>
      </w:r>
      <w:r w:rsidR="00FB6F1A">
        <w:rPr>
          <w:rFonts w:ascii="Times New Roman" w:hAnsi="Times New Roman"/>
          <w:bCs/>
          <w:szCs w:val="24"/>
          <w:lang w:val="bs-Cyrl-BA"/>
        </w:rPr>
        <w:t>ила</w:t>
      </w:r>
      <w:r w:rsidR="00971B5B">
        <w:rPr>
          <w:rFonts w:ascii="Times New Roman" w:hAnsi="Times New Roman"/>
          <w:bCs/>
          <w:szCs w:val="24"/>
          <w:lang w:val="en-US"/>
        </w:rPr>
        <w:t xml:space="preserve"> </w:t>
      </w:r>
      <w:r>
        <w:rPr>
          <w:rFonts w:ascii="Times New Roman" w:hAnsi="Times New Roman"/>
          <w:bCs/>
          <w:szCs w:val="24"/>
          <w:lang w:val="en-US"/>
        </w:rPr>
        <w:t>одговор</w:t>
      </w:r>
      <w:r w:rsidR="00971B5B">
        <w:rPr>
          <w:rFonts w:ascii="Times New Roman" w:hAnsi="Times New Roman"/>
          <w:bCs/>
          <w:szCs w:val="24"/>
          <w:lang w:val="en-US"/>
        </w:rPr>
        <w:t xml:space="preserve"> </w:t>
      </w:r>
      <w:r>
        <w:rPr>
          <w:rFonts w:ascii="Times New Roman" w:hAnsi="Times New Roman"/>
          <w:bCs/>
          <w:szCs w:val="24"/>
          <w:lang w:val="en-US"/>
        </w:rPr>
        <w:t>на</w:t>
      </w:r>
      <w:r w:rsidR="00971B5B">
        <w:rPr>
          <w:rFonts w:ascii="Times New Roman" w:hAnsi="Times New Roman"/>
          <w:bCs/>
          <w:szCs w:val="24"/>
          <w:lang w:val="en-US"/>
        </w:rPr>
        <w:t xml:space="preserve"> </w:t>
      </w:r>
      <w:r>
        <w:rPr>
          <w:rFonts w:ascii="Times New Roman" w:hAnsi="Times New Roman"/>
          <w:bCs/>
          <w:szCs w:val="24"/>
          <w:lang w:val="en-US"/>
        </w:rPr>
        <w:t>једно</w:t>
      </w:r>
      <w:r w:rsidR="00971B5B">
        <w:rPr>
          <w:rFonts w:ascii="Times New Roman" w:hAnsi="Times New Roman"/>
          <w:bCs/>
          <w:szCs w:val="24"/>
          <w:lang w:val="en-US"/>
        </w:rPr>
        <w:t xml:space="preserve"> </w:t>
      </w:r>
      <w:r>
        <w:rPr>
          <w:rFonts w:ascii="Times New Roman" w:hAnsi="Times New Roman"/>
          <w:bCs/>
          <w:szCs w:val="24"/>
          <w:lang w:val="en-US"/>
        </w:rPr>
        <w:t>заступничко</w:t>
      </w:r>
      <w:r w:rsidR="00971B5B">
        <w:rPr>
          <w:rFonts w:ascii="Times New Roman" w:hAnsi="Times New Roman"/>
          <w:bCs/>
          <w:szCs w:val="24"/>
          <w:lang w:val="en-US"/>
        </w:rPr>
        <w:t xml:space="preserve"> </w:t>
      </w:r>
      <w:r>
        <w:rPr>
          <w:rFonts w:ascii="Times New Roman" w:hAnsi="Times New Roman"/>
          <w:bCs/>
          <w:szCs w:val="24"/>
          <w:lang w:val="en-US"/>
        </w:rPr>
        <w:t>питање</w:t>
      </w:r>
      <w:r w:rsidR="00971B5B">
        <w:rPr>
          <w:rFonts w:ascii="Times New Roman" w:hAnsi="Times New Roman"/>
          <w:bCs/>
          <w:szCs w:val="24"/>
          <w:lang w:val="en-US"/>
        </w:rPr>
        <w:t xml:space="preserve"> </w:t>
      </w:r>
      <w:r>
        <w:rPr>
          <w:rFonts w:ascii="Times New Roman" w:hAnsi="Times New Roman"/>
          <w:bCs/>
          <w:szCs w:val="24"/>
          <w:lang w:val="en-US"/>
        </w:rPr>
        <w:t>и</w:t>
      </w:r>
      <w:r w:rsidR="00971B5B">
        <w:rPr>
          <w:rFonts w:ascii="Times New Roman" w:hAnsi="Times New Roman"/>
          <w:bCs/>
          <w:szCs w:val="24"/>
          <w:lang w:val="en-US"/>
        </w:rPr>
        <w:t xml:space="preserve"> </w:t>
      </w:r>
      <w:r>
        <w:rPr>
          <w:rFonts w:ascii="Times New Roman" w:hAnsi="Times New Roman"/>
          <w:bCs/>
          <w:szCs w:val="24"/>
          <w:lang w:val="en-US"/>
        </w:rPr>
        <w:t>издала</w:t>
      </w:r>
      <w:r w:rsidR="00272DFB" w:rsidRPr="00295637">
        <w:rPr>
          <w:rFonts w:ascii="Times New Roman" w:hAnsi="Times New Roman"/>
          <w:bCs/>
          <w:szCs w:val="24"/>
          <w:lang w:val="en-US"/>
        </w:rPr>
        <w:t xml:space="preserve"> 27 </w:t>
      </w:r>
      <w:r>
        <w:rPr>
          <w:rFonts w:ascii="Times New Roman" w:hAnsi="Times New Roman"/>
          <w:bCs/>
          <w:szCs w:val="24"/>
          <w:lang w:val="en-US"/>
        </w:rPr>
        <w:t>мишљења</w:t>
      </w:r>
      <w:r w:rsidR="00272DFB" w:rsidRPr="00295637">
        <w:rPr>
          <w:rFonts w:ascii="Times New Roman" w:hAnsi="Times New Roman"/>
          <w:bCs/>
          <w:szCs w:val="24"/>
          <w:lang w:val="en-US"/>
        </w:rPr>
        <w:t xml:space="preserve"> </w:t>
      </w:r>
      <w:r>
        <w:rPr>
          <w:rFonts w:ascii="Times New Roman" w:hAnsi="Times New Roman"/>
          <w:bCs/>
          <w:szCs w:val="24"/>
          <w:lang w:val="en-US"/>
        </w:rPr>
        <w:t>на</w:t>
      </w:r>
      <w:r w:rsidR="00272DFB" w:rsidRPr="00295637">
        <w:rPr>
          <w:rFonts w:ascii="Times New Roman" w:hAnsi="Times New Roman"/>
          <w:bCs/>
          <w:szCs w:val="24"/>
          <w:lang w:val="en-US"/>
        </w:rPr>
        <w:t xml:space="preserve"> </w:t>
      </w:r>
      <w:r>
        <w:rPr>
          <w:rFonts w:ascii="Times New Roman" w:hAnsi="Times New Roman"/>
          <w:bCs/>
          <w:szCs w:val="24"/>
          <w:lang w:val="en-US"/>
        </w:rPr>
        <w:t>правне</w:t>
      </w:r>
      <w:r w:rsidR="00272DFB" w:rsidRPr="00295637">
        <w:rPr>
          <w:rFonts w:ascii="Times New Roman" w:hAnsi="Times New Roman"/>
          <w:bCs/>
          <w:szCs w:val="24"/>
          <w:lang w:val="en-US"/>
        </w:rPr>
        <w:t xml:space="preserve"> </w:t>
      </w:r>
      <w:r>
        <w:rPr>
          <w:rFonts w:ascii="Times New Roman" w:hAnsi="Times New Roman"/>
          <w:bCs/>
          <w:szCs w:val="24"/>
          <w:lang w:val="en-US"/>
        </w:rPr>
        <w:t>акте</w:t>
      </w:r>
      <w:r w:rsidR="00272DFB" w:rsidRPr="00295637">
        <w:rPr>
          <w:rFonts w:ascii="Times New Roman" w:hAnsi="Times New Roman"/>
          <w:bCs/>
          <w:szCs w:val="24"/>
          <w:lang w:val="en-US"/>
        </w:rPr>
        <w:t xml:space="preserve">. </w:t>
      </w:r>
      <w:r>
        <w:rPr>
          <w:rFonts w:ascii="Times New Roman" w:hAnsi="Times New Roman"/>
          <w:bCs/>
          <w:szCs w:val="24"/>
          <w:lang w:val="en-US"/>
        </w:rPr>
        <w:t>У</w:t>
      </w:r>
      <w:r w:rsidR="00272DFB" w:rsidRPr="00295637">
        <w:rPr>
          <w:rFonts w:ascii="Times New Roman" w:hAnsi="Times New Roman"/>
          <w:bCs/>
          <w:szCs w:val="24"/>
          <w:lang w:val="en-US"/>
        </w:rPr>
        <w:t xml:space="preserve"> </w:t>
      </w:r>
      <w:r>
        <w:rPr>
          <w:rFonts w:ascii="Times New Roman" w:hAnsi="Times New Roman"/>
          <w:bCs/>
          <w:szCs w:val="24"/>
          <w:lang w:val="en-US"/>
        </w:rPr>
        <w:t>израђеним</w:t>
      </w:r>
      <w:r w:rsidR="00272DFB" w:rsidRPr="00295637">
        <w:rPr>
          <w:rFonts w:ascii="Times New Roman" w:hAnsi="Times New Roman"/>
          <w:bCs/>
          <w:szCs w:val="24"/>
          <w:lang w:val="en-US"/>
        </w:rPr>
        <w:t xml:space="preserve"> </w:t>
      </w:r>
      <w:r>
        <w:rPr>
          <w:rFonts w:ascii="Times New Roman" w:hAnsi="Times New Roman"/>
          <w:bCs/>
          <w:szCs w:val="24"/>
          <w:lang w:val="en-US"/>
        </w:rPr>
        <w:t>мишљењима</w:t>
      </w:r>
      <w:r w:rsidR="00272DFB" w:rsidRPr="00295637">
        <w:rPr>
          <w:rFonts w:ascii="Times New Roman" w:hAnsi="Times New Roman"/>
          <w:bCs/>
          <w:szCs w:val="24"/>
          <w:lang w:val="en-US"/>
        </w:rPr>
        <w:t xml:space="preserve">, </w:t>
      </w:r>
      <w:r>
        <w:rPr>
          <w:rFonts w:ascii="Times New Roman" w:hAnsi="Times New Roman"/>
          <w:bCs/>
          <w:szCs w:val="24"/>
          <w:lang w:val="en-US"/>
        </w:rPr>
        <w:t>Агенција</w:t>
      </w:r>
      <w:r w:rsidR="00272DFB" w:rsidRPr="00295637">
        <w:rPr>
          <w:rFonts w:ascii="Times New Roman" w:hAnsi="Times New Roman"/>
          <w:bCs/>
          <w:szCs w:val="24"/>
          <w:lang w:val="en-US"/>
        </w:rPr>
        <w:t xml:space="preserve"> </w:t>
      </w:r>
      <w:r>
        <w:rPr>
          <w:rFonts w:ascii="Times New Roman" w:hAnsi="Times New Roman"/>
          <w:bCs/>
          <w:szCs w:val="24"/>
          <w:lang w:val="en-US"/>
        </w:rPr>
        <w:t>је</w:t>
      </w:r>
      <w:r w:rsidR="00272DFB" w:rsidRPr="00295637">
        <w:rPr>
          <w:rFonts w:ascii="Times New Roman" w:hAnsi="Times New Roman"/>
          <w:bCs/>
          <w:szCs w:val="24"/>
          <w:lang w:val="en-US"/>
        </w:rPr>
        <w:t xml:space="preserve"> </w:t>
      </w:r>
      <w:r>
        <w:rPr>
          <w:rFonts w:ascii="Times New Roman" w:hAnsi="Times New Roman"/>
          <w:bCs/>
          <w:szCs w:val="24"/>
          <w:lang w:val="en-US"/>
        </w:rPr>
        <w:t>указала</w:t>
      </w:r>
      <w:r w:rsidR="00272DFB" w:rsidRPr="00295637">
        <w:rPr>
          <w:rFonts w:ascii="Times New Roman" w:hAnsi="Times New Roman"/>
          <w:bCs/>
          <w:szCs w:val="24"/>
          <w:lang w:val="en-US"/>
        </w:rPr>
        <w:t xml:space="preserve"> </w:t>
      </w:r>
      <w:r>
        <w:rPr>
          <w:rFonts w:ascii="Times New Roman" w:hAnsi="Times New Roman"/>
          <w:bCs/>
          <w:szCs w:val="24"/>
          <w:lang w:val="en-US"/>
        </w:rPr>
        <w:t>на</w:t>
      </w:r>
      <w:r w:rsidR="00272DFB" w:rsidRPr="00295637">
        <w:rPr>
          <w:rFonts w:ascii="Times New Roman" w:hAnsi="Times New Roman"/>
          <w:bCs/>
          <w:szCs w:val="24"/>
          <w:lang w:val="en-US"/>
        </w:rPr>
        <w:t xml:space="preserve"> </w:t>
      </w:r>
      <w:r>
        <w:rPr>
          <w:rFonts w:ascii="Times New Roman" w:hAnsi="Times New Roman"/>
          <w:bCs/>
          <w:szCs w:val="24"/>
          <w:lang w:val="en-US"/>
        </w:rPr>
        <w:t>потребе</w:t>
      </w:r>
      <w:r w:rsidR="00272DFB" w:rsidRPr="00295637">
        <w:rPr>
          <w:rFonts w:ascii="Times New Roman" w:hAnsi="Times New Roman"/>
          <w:bCs/>
          <w:szCs w:val="24"/>
          <w:lang w:val="en-US"/>
        </w:rPr>
        <w:t xml:space="preserve"> </w:t>
      </w:r>
      <w:r>
        <w:rPr>
          <w:rFonts w:ascii="Times New Roman" w:hAnsi="Times New Roman"/>
          <w:bCs/>
          <w:szCs w:val="24"/>
          <w:lang w:val="en-US"/>
        </w:rPr>
        <w:t>усклађивања</w:t>
      </w:r>
      <w:r w:rsidR="00BB0F22">
        <w:rPr>
          <w:rFonts w:ascii="Times New Roman" w:hAnsi="Times New Roman"/>
          <w:bCs/>
          <w:szCs w:val="24"/>
          <w:lang w:val="en-US"/>
        </w:rPr>
        <w:t xml:space="preserve"> </w:t>
      </w:r>
      <w:r>
        <w:rPr>
          <w:rFonts w:ascii="Times New Roman" w:hAnsi="Times New Roman"/>
          <w:bCs/>
          <w:szCs w:val="24"/>
          <w:lang w:val="en-US"/>
        </w:rPr>
        <w:t>са</w:t>
      </w:r>
      <w:r w:rsidR="00272DFB" w:rsidRPr="00295637">
        <w:rPr>
          <w:rFonts w:ascii="Times New Roman" w:hAnsi="Times New Roman"/>
          <w:bCs/>
          <w:szCs w:val="24"/>
          <w:lang w:val="en-US"/>
        </w:rPr>
        <w:t xml:space="preserve"> </w:t>
      </w:r>
      <w:r>
        <w:rPr>
          <w:rFonts w:ascii="Times New Roman" w:hAnsi="Times New Roman"/>
          <w:bCs/>
          <w:szCs w:val="24"/>
          <w:lang w:val="en-US"/>
        </w:rPr>
        <w:t>ЗоР</w:t>
      </w:r>
      <w:r w:rsidR="00B745C8">
        <w:rPr>
          <w:rFonts w:ascii="Times New Roman" w:hAnsi="Times New Roman"/>
          <w:bCs/>
          <w:szCs w:val="24"/>
          <w:lang w:val="sr-Cyrl-BA"/>
        </w:rPr>
        <w:t>П</w:t>
      </w:r>
      <w:r w:rsidR="00BB0F22">
        <w:rPr>
          <w:rFonts w:ascii="Times New Roman" w:hAnsi="Times New Roman"/>
          <w:bCs/>
          <w:szCs w:val="24"/>
          <w:lang w:val="en-US"/>
        </w:rPr>
        <w:t xml:space="preserve"> </w:t>
      </w:r>
      <w:r>
        <w:rPr>
          <w:rFonts w:ascii="Times New Roman" w:hAnsi="Times New Roman"/>
          <w:bCs/>
          <w:szCs w:val="24"/>
          <w:lang w:val="en-US"/>
        </w:rPr>
        <w:t>БиХ</w:t>
      </w:r>
      <w:r w:rsidR="00272DFB" w:rsidRPr="00295637">
        <w:rPr>
          <w:rFonts w:ascii="Times New Roman" w:hAnsi="Times New Roman"/>
          <w:bCs/>
          <w:szCs w:val="24"/>
          <w:lang w:val="en-US"/>
        </w:rPr>
        <w:t xml:space="preserve">, </w:t>
      </w:r>
      <w:r>
        <w:rPr>
          <w:rFonts w:ascii="Times New Roman" w:hAnsi="Times New Roman"/>
          <w:bCs/>
          <w:szCs w:val="24"/>
          <w:lang w:val="en-US"/>
        </w:rPr>
        <w:t>као</w:t>
      </w:r>
      <w:r w:rsidR="00272DFB" w:rsidRPr="00295637">
        <w:rPr>
          <w:rFonts w:ascii="Times New Roman" w:hAnsi="Times New Roman"/>
          <w:bCs/>
          <w:szCs w:val="24"/>
          <w:lang w:val="en-US"/>
        </w:rPr>
        <w:t xml:space="preserve"> </w:t>
      </w:r>
      <w:r>
        <w:rPr>
          <w:rFonts w:ascii="Times New Roman" w:hAnsi="Times New Roman"/>
          <w:bCs/>
          <w:szCs w:val="24"/>
          <w:lang w:val="en-US"/>
        </w:rPr>
        <w:t>и</w:t>
      </w:r>
      <w:r w:rsidR="00272DFB" w:rsidRPr="00295637">
        <w:rPr>
          <w:rFonts w:ascii="Times New Roman" w:hAnsi="Times New Roman"/>
          <w:bCs/>
          <w:szCs w:val="24"/>
          <w:lang w:val="en-US"/>
        </w:rPr>
        <w:t xml:space="preserve"> </w:t>
      </w:r>
      <w:r>
        <w:rPr>
          <w:rFonts w:ascii="Times New Roman" w:hAnsi="Times New Roman"/>
          <w:bCs/>
          <w:szCs w:val="24"/>
          <w:lang w:val="en-US"/>
        </w:rPr>
        <w:t>дала</w:t>
      </w:r>
      <w:r w:rsidR="00272DFB" w:rsidRPr="00295637">
        <w:rPr>
          <w:rFonts w:ascii="Times New Roman" w:hAnsi="Times New Roman"/>
          <w:bCs/>
          <w:szCs w:val="24"/>
          <w:lang w:val="en-US"/>
        </w:rPr>
        <w:t xml:space="preserve"> </w:t>
      </w:r>
      <w:r>
        <w:rPr>
          <w:rFonts w:ascii="Times New Roman" w:hAnsi="Times New Roman"/>
          <w:bCs/>
          <w:szCs w:val="24"/>
          <w:lang w:val="en-US"/>
        </w:rPr>
        <w:t>оп</w:t>
      </w:r>
      <w:r w:rsidR="00B745C8">
        <w:rPr>
          <w:rFonts w:ascii="Times New Roman" w:hAnsi="Times New Roman"/>
          <w:bCs/>
          <w:szCs w:val="24"/>
          <w:lang w:val="sr-Cyrl-BA"/>
        </w:rPr>
        <w:t>шт</w:t>
      </w:r>
      <w:r>
        <w:rPr>
          <w:rFonts w:ascii="Times New Roman" w:hAnsi="Times New Roman"/>
          <w:bCs/>
          <w:szCs w:val="24"/>
          <w:lang w:val="en-US"/>
        </w:rPr>
        <w:t>е</w:t>
      </w:r>
      <w:r w:rsidR="00272DFB" w:rsidRPr="00295637">
        <w:rPr>
          <w:rFonts w:ascii="Times New Roman" w:hAnsi="Times New Roman"/>
          <w:bCs/>
          <w:szCs w:val="24"/>
          <w:lang w:val="en-US"/>
        </w:rPr>
        <w:t xml:space="preserve"> </w:t>
      </w:r>
      <w:r>
        <w:rPr>
          <w:rFonts w:ascii="Times New Roman" w:hAnsi="Times New Roman"/>
          <w:bCs/>
          <w:szCs w:val="24"/>
          <w:lang w:val="en-US"/>
        </w:rPr>
        <w:t>препоруке</w:t>
      </w:r>
      <w:r w:rsidR="00272DFB" w:rsidRPr="00295637">
        <w:rPr>
          <w:rFonts w:ascii="Times New Roman" w:hAnsi="Times New Roman"/>
          <w:bCs/>
          <w:szCs w:val="24"/>
          <w:lang w:val="en-US"/>
        </w:rPr>
        <w:t xml:space="preserve"> </w:t>
      </w:r>
      <w:r>
        <w:rPr>
          <w:rFonts w:ascii="Times New Roman" w:hAnsi="Times New Roman"/>
          <w:bCs/>
          <w:szCs w:val="24"/>
          <w:lang w:val="en-US"/>
        </w:rPr>
        <w:t>за</w:t>
      </w:r>
      <w:r w:rsidR="00272DFB" w:rsidRPr="00295637">
        <w:rPr>
          <w:rFonts w:ascii="Times New Roman" w:hAnsi="Times New Roman"/>
          <w:bCs/>
          <w:szCs w:val="24"/>
          <w:lang w:val="en-US"/>
        </w:rPr>
        <w:t xml:space="preserve"> </w:t>
      </w:r>
      <w:r>
        <w:rPr>
          <w:rFonts w:ascii="Times New Roman" w:hAnsi="Times New Roman"/>
          <w:bCs/>
          <w:szCs w:val="24"/>
          <w:lang w:val="en-US"/>
        </w:rPr>
        <w:t>израду</w:t>
      </w:r>
      <w:r w:rsidR="00272DFB" w:rsidRPr="00295637">
        <w:rPr>
          <w:rFonts w:ascii="Times New Roman" w:hAnsi="Times New Roman"/>
          <w:bCs/>
          <w:szCs w:val="24"/>
          <w:lang w:val="en-US"/>
        </w:rPr>
        <w:t xml:space="preserve"> </w:t>
      </w:r>
      <w:r>
        <w:rPr>
          <w:rFonts w:ascii="Times New Roman" w:hAnsi="Times New Roman"/>
          <w:bCs/>
          <w:szCs w:val="24"/>
          <w:lang w:val="en-US"/>
        </w:rPr>
        <w:t>правних</w:t>
      </w:r>
      <w:r w:rsidR="00272DFB" w:rsidRPr="00295637">
        <w:rPr>
          <w:rFonts w:ascii="Times New Roman" w:hAnsi="Times New Roman"/>
          <w:bCs/>
          <w:szCs w:val="24"/>
          <w:lang w:val="en-US"/>
        </w:rPr>
        <w:t xml:space="preserve"> </w:t>
      </w:r>
      <w:r>
        <w:rPr>
          <w:rFonts w:ascii="Times New Roman" w:hAnsi="Times New Roman"/>
          <w:bCs/>
          <w:szCs w:val="24"/>
          <w:lang w:val="en-US"/>
        </w:rPr>
        <w:t>аката</w:t>
      </w:r>
      <w:r w:rsidR="00272DFB" w:rsidRPr="00295637">
        <w:rPr>
          <w:rFonts w:ascii="Times New Roman" w:hAnsi="Times New Roman"/>
          <w:bCs/>
          <w:szCs w:val="24"/>
          <w:lang w:val="en-US"/>
        </w:rPr>
        <w:t xml:space="preserve"> </w:t>
      </w:r>
      <w:r>
        <w:rPr>
          <w:rFonts w:ascii="Times New Roman" w:hAnsi="Times New Roman"/>
          <w:bCs/>
          <w:szCs w:val="24"/>
          <w:lang w:val="en-US"/>
        </w:rPr>
        <w:t>у</w:t>
      </w:r>
      <w:r w:rsidR="00926EB3">
        <w:rPr>
          <w:rFonts w:ascii="Times New Roman" w:hAnsi="Times New Roman"/>
          <w:bCs/>
          <w:szCs w:val="24"/>
          <w:lang w:val="en-US"/>
        </w:rPr>
        <w:t xml:space="preserve"> </w:t>
      </w:r>
      <w:r>
        <w:rPr>
          <w:rFonts w:ascii="Times New Roman" w:hAnsi="Times New Roman"/>
          <w:bCs/>
          <w:szCs w:val="24"/>
          <w:lang w:val="en-US"/>
        </w:rPr>
        <w:t>складу</w:t>
      </w:r>
      <w:r w:rsidR="00926EB3">
        <w:rPr>
          <w:rFonts w:ascii="Times New Roman" w:hAnsi="Times New Roman"/>
          <w:bCs/>
          <w:szCs w:val="24"/>
          <w:lang w:val="en-US"/>
        </w:rPr>
        <w:t xml:space="preserve"> </w:t>
      </w:r>
      <w:r>
        <w:rPr>
          <w:rFonts w:ascii="Times New Roman" w:hAnsi="Times New Roman"/>
          <w:bCs/>
          <w:szCs w:val="24"/>
          <w:lang w:val="en-US"/>
        </w:rPr>
        <w:t>са</w:t>
      </w:r>
      <w:r w:rsidR="00272DFB" w:rsidRPr="00295637">
        <w:rPr>
          <w:rFonts w:ascii="Times New Roman" w:hAnsi="Times New Roman"/>
          <w:bCs/>
          <w:szCs w:val="24"/>
          <w:lang w:val="en-US"/>
        </w:rPr>
        <w:t xml:space="preserve"> </w:t>
      </w:r>
      <w:r>
        <w:rPr>
          <w:rFonts w:ascii="Times New Roman" w:hAnsi="Times New Roman"/>
          <w:bCs/>
          <w:szCs w:val="24"/>
          <w:lang w:val="en-US"/>
        </w:rPr>
        <w:t>ЗоР</w:t>
      </w:r>
      <w:r w:rsidR="00B745C8">
        <w:rPr>
          <w:rFonts w:ascii="Times New Roman" w:hAnsi="Times New Roman"/>
          <w:bCs/>
          <w:szCs w:val="24"/>
          <w:lang w:val="sr-Cyrl-BA"/>
        </w:rPr>
        <w:t>П</w:t>
      </w:r>
      <w:r w:rsidR="00272DFB" w:rsidRPr="00295637">
        <w:rPr>
          <w:rFonts w:ascii="Times New Roman" w:hAnsi="Times New Roman"/>
          <w:bCs/>
          <w:szCs w:val="24"/>
          <w:lang w:val="en-US"/>
        </w:rPr>
        <w:t>-</w:t>
      </w:r>
      <w:r>
        <w:rPr>
          <w:rFonts w:ascii="Times New Roman" w:hAnsi="Times New Roman"/>
          <w:bCs/>
          <w:szCs w:val="24"/>
          <w:lang w:val="en-US"/>
        </w:rPr>
        <w:t>ом</w:t>
      </w:r>
      <w:r w:rsidR="00272DFB" w:rsidRPr="00295637">
        <w:rPr>
          <w:rFonts w:ascii="Times New Roman" w:hAnsi="Times New Roman"/>
          <w:bCs/>
          <w:szCs w:val="24"/>
          <w:lang w:val="en-US"/>
        </w:rPr>
        <w:t xml:space="preserve"> </w:t>
      </w:r>
      <w:r>
        <w:rPr>
          <w:rFonts w:ascii="Times New Roman" w:hAnsi="Times New Roman"/>
          <w:bCs/>
          <w:szCs w:val="24"/>
          <w:lang w:val="en-US"/>
        </w:rPr>
        <w:t>у</w:t>
      </w:r>
      <w:r w:rsidR="00272DFB" w:rsidRPr="00295637">
        <w:rPr>
          <w:rFonts w:ascii="Times New Roman" w:hAnsi="Times New Roman"/>
          <w:bCs/>
          <w:szCs w:val="24"/>
          <w:lang w:val="en-US"/>
        </w:rPr>
        <w:t xml:space="preserve"> </w:t>
      </w:r>
      <w:r>
        <w:rPr>
          <w:rFonts w:ascii="Times New Roman" w:hAnsi="Times New Roman"/>
          <w:bCs/>
          <w:szCs w:val="24"/>
          <w:lang w:val="en-US"/>
        </w:rPr>
        <w:t>будућем</w:t>
      </w:r>
      <w:r w:rsidR="00272DFB" w:rsidRPr="00295637">
        <w:rPr>
          <w:rFonts w:ascii="Times New Roman" w:hAnsi="Times New Roman"/>
          <w:bCs/>
          <w:szCs w:val="24"/>
          <w:lang w:val="en-US"/>
        </w:rPr>
        <w:t xml:space="preserve"> </w:t>
      </w:r>
      <w:r>
        <w:rPr>
          <w:rFonts w:ascii="Times New Roman" w:hAnsi="Times New Roman"/>
          <w:bCs/>
          <w:szCs w:val="24"/>
          <w:lang w:val="en-US"/>
        </w:rPr>
        <w:t>раду</w:t>
      </w:r>
      <w:r w:rsidR="00272DFB" w:rsidRPr="00295637">
        <w:rPr>
          <w:rFonts w:ascii="Times New Roman" w:hAnsi="Times New Roman"/>
          <w:bCs/>
          <w:szCs w:val="24"/>
          <w:lang w:val="en-US"/>
        </w:rPr>
        <w:t xml:space="preserve"> </w:t>
      </w:r>
      <w:r>
        <w:rPr>
          <w:rFonts w:ascii="Times New Roman" w:hAnsi="Times New Roman"/>
          <w:bCs/>
          <w:szCs w:val="24"/>
          <w:lang w:val="en-US"/>
        </w:rPr>
        <w:t>институција</w:t>
      </w:r>
      <w:r w:rsidR="00272DFB" w:rsidRPr="00295637">
        <w:rPr>
          <w:rFonts w:ascii="Times New Roman" w:hAnsi="Times New Roman"/>
          <w:bCs/>
          <w:szCs w:val="24"/>
          <w:lang w:val="en-US"/>
        </w:rPr>
        <w:t xml:space="preserve"> </w:t>
      </w:r>
      <w:r>
        <w:rPr>
          <w:rFonts w:ascii="Times New Roman" w:hAnsi="Times New Roman"/>
          <w:bCs/>
          <w:szCs w:val="24"/>
          <w:lang w:val="en-US"/>
        </w:rPr>
        <w:t>БиХ</w:t>
      </w:r>
      <w:r w:rsidR="00272DFB" w:rsidRPr="00295637">
        <w:rPr>
          <w:rFonts w:ascii="Times New Roman" w:hAnsi="Times New Roman"/>
          <w:bCs/>
          <w:szCs w:val="24"/>
          <w:lang w:val="en-US"/>
        </w:rPr>
        <w:t>.</w:t>
      </w:r>
      <w:r w:rsidR="00971B5B">
        <w:rPr>
          <w:rFonts w:ascii="Times New Roman" w:hAnsi="Times New Roman"/>
          <w:bCs/>
          <w:szCs w:val="24"/>
          <w:lang w:val="en-US"/>
        </w:rPr>
        <w:t xml:space="preserve"> </w:t>
      </w:r>
      <w:r>
        <w:rPr>
          <w:rFonts w:ascii="Times New Roman" w:hAnsi="Times New Roman"/>
          <w:bCs/>
          <w:szCs w:val="24"/>
          <w:lang w:val="en-US"/>
        </w:rPr>
        <w:t>Поред</w:t>
      </w:r>
      <w:r w:rsidR="00971B5B">
        <w:rPr>
          <w:rFonts w:ascii="Times New Roman" w:hAnsi="Times New Roman"/>
          <w:bCs/>
          <w:szCs w:val="24"/>
          <w:lang w:val="en-US"/>
        </w:rPr>
        <w:t xml:space="preserve"> </w:t>
      </w:r>
      <w:r>
        <w:rPr>
          <w:rFonts w:ascii="Times New Roman" w:hAnsi="Times New Roman"/>
          <w:bCs/>
          <w:szCs w:val="24"/>
          <w:lang w:val="en-US"/>
        </w:rPr>
        <w:t>тога</w:t>
      </w:r>
      <w:r w:rsidR="00971B5B">
        <w:rPr>
          <w:rFonts w:ascii="Times New Roman" w:hAnsi="Times New Roman"/>
          <w:bCs/>
          <w:szCs w:val="24"/>
          <w:lang w:val="en-US"/>
        </w:rPr>
        <w:t xml:space="preserve">, </w:t>
      </w:r>
      <w:r>
        <w:rPr>
          <w:rFonts w:ascii="Times New Roman" w:hAnsi="Times New Roman"/>
          <w:szCs w:val="24"/>
          <w:lang w:val="en-US"/>
        </w:rPr>
        <w:t>од</w:t>
      </w:r>
      <w:r w:rsidR="00A87F6C" w:rsidRPr="00295637">
        <w:rPr>
          <w:rFonts w:ascii="Times New Roman" w:hAnsi="Times New Roman"/>
          <w:szCs w:val="24"/>
          <w:lang w:val="en-US"/>
        </w:rPr>
        <w:t xml:space="preserve"> </w:t>
      </w:r>
      <w:r>
        <w:rPr>
          <w:rFonts w:ascii="Times New Roman" w:hAnsi="Times New Roman"/>
          <w:szCs w:val="24"/>
          <w:lang w:val="en-US"/>
        </w:rPr>
        <w:t>шест</w:t>
      </w:r>
      <w:r w:rsidR="00A87F6C" w:rsidRPr="00295637">
        <w:rPr>
          <w:rFonts w:ascii="Times New Roman" w:hAnsi="Times New Roman"/>
          <w:szCs w:val="24"/>
          <w:lang w:val="en-US"/>
        </w:rPr>
        <w:t xml:space="preserve"> </w:t>
      </w:r>
      <w:r>
        <w:rPr>
          <w:rFonts w:ascii="Times New Roman" w:hAnsi="Times New Roman"/>
          <w:szCs w:val="24"/>
          <w:lang w:val="en-US"/>
        </w:rPr>
        <w:t>разматраних</w:t>
      </w:r>
      <w:r w:rsidR="00A87F6C" w:rsidRPr="00295637">
        <w:rPr>
          <w:rFonts w:ascii="Times New Roman" w:hAnsi="Times New Roman"/>
          <w:szCs w:val="24"/>
          <w:lang w:val="en-US"/>
        </w:rPr>
        <w:t xml:space="preserve"> </w:t>
      </w:r>
      <w:r>
        <w:rPr>
          <w:rFonts w:ascii="Times New Roman" w:hAnsi="Times New Roman"/>
          <w:szCs w:val="24"/>
          <w:lang w:val="en-US"/>
        </w:rPr>
        <w:t>захтјева</w:t>
      </w:r>
      <w:r w:rsidR="00BB0F22">
        <w:rPr>
          <w:rFonts w:ascii="Times New Roman" w:hAnsi="Times New Roman"/>
          <w:szCs w:val="24"/>
          <w:lang w:val="en-US"/>
        </w:rPr>
        <w:t xml:space="preserve"> </w:t>
      </w:r>
      <w:r>
        <w:rPr>
          <w:rFonts w:ascii="Times New Roman" w:hAnsi="Times New Roman"/>
          <w:szCs w:val="24"/>
          <w:lang w:val="en-US"/>
        </w:rPr>
        <w:t>за</w:t>
      </w:r>
      <w:r w:rsidR="00BB0F22">
        <w:rPr>
          <w:rFonts w:ascii="Times New Roman" w:hAnsi="Times New Roman"/>
          <w:szCs w:val="24"/>
          <w:lang w:val="en-US"/>
        </w:rPr>
        <w:t xml:space="preserve"> </w:t>
      </w:r>
      <w:r>
        <w:rPr>
          <w:rFonts w:ascii="Times New Roman" w:hAnsi="Times New Roman"/>
          <w:szCs w:val="24"/>
          <w:lang w:val="en-US"/>
        </w:rPr>
        <w:t>испитивање</w:t>
      </w:r>
      <w:r w:rsidR="00BB0F22">
        <w:rPr>
          <w:rFonts w:ascii="Times New Roman" w:hAnsi="Times New Roman"/>
          <w:szCs w:val="24"/>
          <w:lang w:val="en-US"/>
        </w:rPr>
        <w:t xml:space="preserve"> </w:t>
      </w:r>
      <w:r>
        <w:rPr>
          <w:rFonts w:ascii="Times New Roman" w:hAnsi="Times New Roman"/>
          <w:szCs w:val="24"/>
          <w:lang w:val="en-US"/>
        </w:rPr>
        <w:t>повреде</w:t>
      </w:r>
      <w:r w:rsidR="00BB0F22">
        <w:rPr>
          <w:rFonts w:ascii="Times New Roman" w:hAnsi="Times New Roman"/>
          <w:szCs w:val="24"/>
          <w:lang w:val="en-US"/>
        </w:rPr>
        <w:t xml:space="preserve"> </w:t>
      </w:r>
      <w:r>
        <w:rPr>
          <w:rFonts w:ascii="Times New Roman" w:hAnsi="Times New Roman"/>
          <w:szCs w:val="24"/>
          <w:lang w:val="en-US"/>
        </w:rPr>
        <w:t>ЗоР</w:t>
      </w:r>
      <w:r w:rsidR="00B745C8">
        <w:rPr>
          <w:rFonts w:ascii="Times New Roman" w:hAnsi="Times New Roman"/>
          <w:szCs w:val="24"/>
          <w:lang w:val="sr-Cyrl-BA"/>
        </w:rPr>
        <w:t>П</w:t>
      </w:r>
      <w:r w:rsidR="00BB0F22">
        <w:rPr>
          <w:rFonts w:ascii="Times New Roman" w:hAnsi="Times New Roman"/>
          <w:szCs w:val="24"/>
          <w:lang w:val="en-US"/>
        </w:rPr>
        <w:t>-</w:t>
      </w:r>
      <w:r>
        <w:rPr>
          <w:rFonts w:ascii="Times New Roman" w:hAnsi="Times New Roman"/>
          <w:szCs w:val="24"/>
          <w:lang w:val="en-US"/>
        </w:rPr>
        <w:t>а</w:t>
      </w:r>
      <w:r w:rsidR="006A071B" w:rsidRPr="00295637">
        <w:rPr>
          <w:rFonts w:ascii="Times New Roman" w:hAnsi="Times New Roman"/>
          <w:szCs w:val="24"/>
          <w:lang w:val="en-US"/>
        </w:rPr>
        <w:t xml:space="preserve"> </w:t>
      </w:r>
      <w:r>
        <w:rPr>
          <w:rFonts w:ascii="Times New Roman" w:hAnsi="Times New Roman"/>
          <w:szCs w:val="24"/>
          <w:lang w:val="en-US"/>
        </w:rPr>
        <w:t>БиХ</w:t>
      </w:r>
      <w:r w:rsidR="00A87F6C" w:rsidRPr="00295637">
        <w:rPr>
          <w:rFonts w:ascii="Times New Roman" w:hAnsi="Times New Roman"/>
          <w:szCs w:val="24"/>
          <w:lang w:val="en-US"/>
        </w:rPr>
        <w:t xml:space="preserve">, </w:t>
      </w:r>
      <w:r>
        <w:rPr>
          <w:rFonts w:ascii="Times New Roman" w:hAnsi="Times New Roman"/>
          <w:szCs w:val="24"/>
          <w:lang w:val="en-US"/>
        </w:rPr>
        <w:t>највише</w:t>
      </w:r>
      <w:r w:rsidR="00A87F6C" w:rsidRPr="00295637">
        <w:rPr>
          <w:rFonts w:ascii="Times New Roman" w:hAnsi="Times New Roman"/>
          <w:szCs w:val="24"/>
          <w:lang w:val="en-US"/>
        </w:rPr>
        <w:t xml:space="preserve"> </w:t>
      </w:r>
      <w:r>
        <w:rPr>
          <w:rFonts w:ascii="Times New Roman" w:hAnsi="Times New Roman"/>
          <w:szCs w:val="24"/>
          <w:lang w:val="en-US"/>
        </w:rPr>
        <w:t>је</w:t>
      </w:r>
      <w:r w:rsidR="00A87F6C" w:rsidRPr="00295637">
        <w:rPr>
          <w:rFonts w:ascii="Times New Roman" w:hAnsi="Times New Roman"/>
          <w:szCs w:val="24"/>
          <w:lang w:val="en-US"/>
        </w:rPr>
        <w:t xml:space="preserve"> </w:t>
      </w:r>
      <w:r>
        <w:rPr>
          <w:rFonts w:ascii="Times New Roman" w:hAnsi="Times New Roman"/>
          <w:szCs w:val="24"/>
          <w:lang w:val="en-US"/>
        </w:rPr>
        <w:t>било</w:t>
      </w:r>
      <w:r w:rsidR="00A87F6C" w:rsidRPr="00295637">
        <w:rPr>
          <w:rFonts w:ascii="Times New Roman" w:hAnsi="Times New Roman"/>
          <w:szCs w:val="24"/>
          <w:lang w:val="en-US"/>
        </w:rPr>
        <w:t xml:space="preserve"> </w:t>
      </w:r>
      <w:r>
        <w:rPr>
          <w:rFonts w:ascii="Times New Roman" w:hAnsi="Times New Roman"/>
          <w:szCs w:val="24"/>
          <w:lang w:val="en-US"/>
        </w:rPr>
        <w:t>у</w:t>
      </w:r>
      <w:r w:rsidR="00926EB3">
        <w:rPr>
          <w:rFonts w:ascii="Times New Roman" w:hAnsi="Times New Roman"/>
          <w:szCs w:val="24"/>
          <w:lang w:val="en-US"/>
        </w:rPr>
        <w:t xml:space="preserve"> </w:t>
      </w:r>
      <w:r>
        <w:rPr>
          <w:rFonts w:ascii="Times New Roman" w:hAnsi="Times New Roman"/>
          <w:szCs w:val="24"/>
          <w:lang w:val="en-US"/>
        </w:rPr>
        <w:t>вези</w:t>
      </w:r>
      <w:r w:rsidR="00926EB3">
        <w:rPr>
          <w:rFonts w:ascii="Times New Roman" w:hAnsi="Times New Roman"/>
          <w:szCs w:val="24"/>
          <w:lang w:val="en-US"/>
        </w:rPr>
        <w:t xml:space="preserve"> </w:t>
      </w:r>
      <w:r>
        <w:rPr>
          <w:rFonts w:ascii="Times New Roman" w:hAnsi="Times New Roman"/>
          <w:szCs w:val="24"/>
          <w:lang w:val="en-US"/>
        </w:rPr>
        <w:t>са</w:t>
      </w:r>
      <w:r w:rsidR="00A87F6C" w:rsidRPr="00295637">
        <w:rPr>
          <w:rFonts w:ascii="Times New Roman" w:hAnsi="Times New Roman"/>
          <w:szCs w:val="24"/>
          <w:lang w:val="en-US"/>
        </w:rPr>
        <w:t xml:space="preserve"> </w:t>
      </w:r>
      <w:r>
        <w:rPr>
          <w:rFonts w:ascii="Times New Roman" w:hAnsi="Times New Roman"/>
          <w:szCs w:val="24"/>
          <w:lang w:val="en-US"/>
        </w:rPr>
        <w:t>равноправном</w:t>
      </w:r>
      <w:r w:rsidR="00A87F6C" w:rsidRPr="00295637">
        <w:rPr>
          <w:rFonts w:ascii="Times New Roman" w:hAnsi="Times New Roman"/>
          <w:szCs w:val="24"/>
          <w:lang w:val="en-US"/>
        </w:rPr>
        <w:t xml:space="preserve"> </w:t>
      </w:r>
      <w:r>
        <w:rPr>
          <w:rFonts w:ascii="Times New Roman" w:hAnsi="Times New Roman"/>
          <w:szCs w:val="24"/>
          <w:lang w:val="en-US"/>
        </w:rPr>
        <w:t>заступљености</w:t>
      </w:r>
      <w:r w:rsidR="00A87F6C" w:rsidRPr="00295637">
        <w:rPr>
          <w:rFonts w:ascii="Times New Roman" w:hAnsi="Times New Roman"/>
          <w:szCs w:val="24"/>
          <w:lang w:val="en-US"/>
        </w:rPr>
        <w:t xml:space="preserve">. </w:t>
      </w:r>
      <w:r>
        <w:rPr>
          <w:rFonts w:ascii="Times New Roman" w:hAnsi="Times New Roman"/>
          <w:szCs w:val="24"/>
          <w:lang w:val="en-US"/>
        </w:rPr>
        <w:t>Поједини</w:t>
      </w:r>
      <w:r w:rsidR="00B22DA0">
        <w:rPr>
          <w:rFonts w:ascii="Times New Roman" w:hAnsi="Times New Roman"/>
          <w:szCs w:val="24"/>
          <w:lang w:val="en-US"/>
        </w:rPr>
        <w:t xml:space="preserve"> </w:t>
      </w:r>
      <w:r>
        <w:rPr>
          <w:rFonts w:ascii="Times New Roman" w:hAnsi="Times New Roman"/>
          <w:szCs w:val="24"/>
          <w:lang w:val="en-US"/>
        </w:rPr>
        <w:t>предмети</w:t>
      </w:r>
      <w:r w:rsidR="00B22DA0">
        <w:rPr>
          <w:rFonts w:ascii="Times New Roman" w:hAnsi="Times New Roman"/>
          <w:szCs w:val="24"/>
          <w:lang w:val="en-US"/>
        </w:rPr>
        <w:t xml:space="preserve"> </w:t>
      </w:r>
      <w:r>
        <w:rPr>
          <w:rFonts w:ascii="Times New Roman" w:hAnsi="Times New Roman"/>
          <w:szCs w:val="24"/>
          <w:lang w:val="en-US"/>
        </w:rPr>
        <w:t>су</w:t>
      </w:r>
      <w:r w:rsidR="00B22DA0">
        <w:rPr>
          <w:rFonts w:ascii="Times New Roman" w:hAnsi="Times New Roman"/>
          <w:szCs w:val="24"/>
          <w:lang w:val="en-US"/>
        </w:rPr>
        <w:t xml:space="preserve"> </w:t>
      </w:r>
      <w:r>
        <w:rPr>
          <w:rFonts w:ascii="Times New Roman" w:hAnsi="Times New Roman"/>
          <w:szCs w:val="24"/>
          <w:lang w:val="en-US"/>
        </w:rPr>
        <w:t>били</w:t>
      </w:r>
      <w:r w:rsidR="00B22DA0">
        <w:rPr>
          <w:rFonts w:ascii="Times New Roman" w:hAnsi="Times New Roman"/>
          <w:szCs w:val="24"/>
          <w:lang w:val="en-US"/>
        </w:rPr>
        <w:t xml:space="preserve"> </w:t>
      </w:r>
      <w:r>
        <w:rPr>
          <w:rFonts w:ascii="Times New Roman" w:hAnsi="Times New Roman"/>
          <w:szCs w:val="24"/>
          <w:lang w:val="en-US"/>
        </w:rPr>
        <w:t>ван</w:t>
      </w:r>
      <w:r w:rsidR="00B22DA0">
        <w:rPr>
          <w:rFonts w:ascii="Times New Roman" w:hAnsi="Times New Roman"/>
          <w:szCs w:val="24"/>
          <w:lang w:val="en-US"/>
        </w:rPr>
        <w:t xml:space="preserve"> </w:t>
      </w:r>
      <w:r>
        <w:rPr>
          <w:rFonts w:ascii="Times New Roman" w:hAnsi="Times New Roman"/>
          <w:szCs w:val="24"/>
          <w:lang w:val="en-US"/>
        </w:rPr>
        <w:t>надлежности</w:t>
      </w:r>
      <w:r w:rsidR="00B22DA0">
        <w:rPr>
          <w:rFonts w:ascii="Times New Roman" w:hAnsi="Times New Roman"/>
          <w:szCs w:val="24"/>
          <w:lang w:val="en-US"/>
        </w:rPr>
        <w:t xml:space="preserve"> </w:t>
      </w:r>
      <w:r>
        <w:rPr>
          <w:rFonts w:ascii="Times New Roman" w:hAnsi="Times New Roman"/>
          <w:szCs w:val="24"/>
          <w:lang w:val="en-US"/>
        </w:rPr>
        <w:t>за</w:t>
      </w:r>
      <w:r w:rsidR="00B22DA0">
        <w:rPr>
          <w:rFonts w:ascii="Times New Roman" w:hAnsi="Times New Roman"/>
          <w:szCs w:val="24"/>
          <w:lang w:val="en-US"/>
        </w:rPr>
        <w:t xml:space="preserve"> </w:t>
      </w:r>
      <w:r>
        <w:rPr>
          <w:rFonts w:ascii="Times New Roman" w:hAnsi="Times New Roman"/>
          <w:szCs w:val="24"/>
          <w:lang w:val="en-US"/>
        </w:rPr>
        <w:t>поступање</w:t>
      </w:r>
      <w:r w:rsidR="00A87F6C" w:rsidRPr="00295637">
        <w:rPr>
          <w:rFonts w:ascii="Times New Roman" w:hAnsi="Times New Roman"/>
          <w:szCs w:val="24"/>
        </w:rPr>
        <w:t xml:space="preserve">, </w:t>
      </w:r>
      <w:r>
        <w:rPr>
          <w:rFonts w:ascii="Times New Roman" w:hAnsi="Times New Roman"/>
          <w:szCs w:val="24"/>
        </w:rPr>
        <w:t>јер</w:t>
      </w:r>
      <w:r w:rsidR="00A87F6C" w:rsidRPr="00295637">
        <w:rPr>
          <w:rFonts w:ascii="Times New Roman" w:hAnsi="Times New Roman"/>
          <w:szCs w:val="24"/>
        </w:rPr>
        <w:t xml:space="preserve"> </w:t>
      </w:r>
      <w:r>
        <w:rPr>
          <w:rFonts w:ascii="Times New Roman" w:hAnsi="Times New Roman"/>
          <w:szCs w:val="24"/>
        </w:rPr>
        <w:t>је</w:t>
      </w:r>
      <w:r w:rsidR="00A87F6C" w:rsidRPr="00295637">
        <w:rPr>
          <w:rFonts w:ascii="Times New Roman" w:hAnsi="Times New Roman"/>
          <w:szCs w:val="24"/>
        </w:rPr>
        <w:t xml:space="preserve"> </w:t>
      </w:r>
      <w:r>
        <w:rPr>
          <w:rFonts w:ascii="Times New Roman" w:hAnsi="Times New Roman"/>
          <w:szCs w:val="24"/>
        </w:rPr>
        <w:t>предмет</w:t>
      </w:r>
      <w:r w:rsidR="00A87F6C" w:rsidRPr="00295637">
        <w:rPr>
          <w:rFonts w:ascii="Times New Roman" w:hAnsi="Times New Roman"/>
          <w:szCs w:val="24"/>
        </w:rPr>
        <w:t xml:space="preserve"> </w:t>
      </w:r>
      <w:r>
        <w:rPr>
          <w:rFonts w:ascii="Times New Roman" w:hAnsi="Times New Roman"/>
          <w:szCs w:val="24"/>
        </w:rPr>
        <w:t>у</w:t>
      </w:r>
      <w:r w:rsidR="00A87F6C" w:rsidRPr="00295637">
        <w:rPr>
          <w:rFonts w:ascii="Times New Roman" w:hAnsi="Times New Roman"/>
          <w:szCs w:val="24"/>
        </w:rPr>
        <w:t xml:space="preserve"> </w:t>
      </w:r>
      <w:r>
        <w:rPr>
          <w:rFonts w:ascii="Times New Roman" w:hAnsi="Times New Roman"/>
          <w:szCs w:val="24"/>
        </w:rPr>
        <w:t>надлежности</w:t>
      </w:r>
      <w:r w:rsidR="00A87F6C" w:rsidRPr="00295637">
        <w:rPr>
          <w:rFonts w:ascii="Times New Roman" w:hAnsi="Times New Roman"/>
          <w:szCs w:val="24"/>
        </w:rPr>
        <w:t xml:space="preserve"> </w:t>
      </w:r>
      <w:r>
        <w:rPr>
          <w:rFonts w:ascii="Times New Roman" w:hAnsi="Times New Roman"/>
          <w:szCs w:val="24"/>
        </w:rPr>
        <w:t>ентитета</w:t>
      </w:r>
      <w:r w:rsidR="00A87F6C" w:rsidRPr="00295637">
        <w:rPr>
          <w:rFonts w:ascii="Times New Roman" w:hAnsi="Times New Roman"/>
          <w:szCs w:val="24"/>
        </w:rPr>
        <w:t xml:space="preserve"> </w:t>
      </w:r>
      <w:r>
        <w:rPr>
          <w:rFonts w:ascii="Times New Roman" w:hAnsi="Times New Roman"/>
          <w:szCs w:val="24"/>
        </w:rPr>
        <w:t>или</w:t>
      </w:r>
      <w:r w:rsidR="00A87F6C" w:rsidRPr="00295637">
        <w:rPr>
          <w:rFonts w:ascii="Times New Roman" w:hAnsi="Times New Roman"/>
          <w:szCs w:val="24"/>
        </w:rPr>
        <w:t xml:space="preserve"> </w:t>
      </w:r>
      <w:r>
        <w:rPr>
          <w:rFonts w:ascii="Times New Roman" w:hAnsi="Times New Roman"/>
          <w:szCs w:val="24"/>
        </w:rPr>
        <w:t>је</w:t>
      </w:r>
      <w:r w:rsidR="00A87F6C" w:rsidRPr="00295637">
        <w:rPr>
          <w:rFonts w:ascii="Times New Roman" w:hAnsi="Times New Roman"/>
          <w:szCs w:val="24"/>
        </w:rPr>
        <w:t xml:space="preserve"> </w:t>
      </w:r>
      <w:r>
        <w:rPr>
          <w:rFonts w:ascii="Times New Roman" w:hAnsi="Times New Roman"/>
          <w:szCs w:val="24"/>
        </w:rPr>
        <w:t>поступак</w:t>
      </w:r>
      <w:r w:rsidR="00A87F6C" w:rsidRPr="00295637">
        <w:rPr>
          <w:rFonts w:ascii="Times New Roman" w:hAnsi="Times New Roman"/>
          <w:szCs w:val="24"/>
        </w:rPr>
        <w:t xml:space="preserve"> </w:t>
      </w:r>
      <w:r>
        <w:rPr>
          <w:rFonts w:ascii="Times New Roman" w:hAnsi="Times New Roman"/>
          <w:szCs w:val="24"/>
        </w:rPr>
        <w:t>покренут</w:t>
      </w:r>
      <w:r w:rsidR="00A87F6C" w:rsidRPr="00295637">
        <w:rPr>
          <w:rFonts w:ascii="Times New Roman" w:hAnsi="Times New Roman"/>
          <w:szCs w:val="24"/>
        </w:rPr>
        <w:t xml:space="preserve"> </w:t>
      </w:r>
      <w:r>
        <w:rPr>
          <w:rFonts w:ascii="Times New Roman" w:hAnsi="Times New Roman"/>
          <w:szCs w:val="24"/>
        </w:rPr>
        <w:t>пред</w:t>
      </w:r>
      <w:r w:rsidR="00A87F6C" w:rsidRPr="00295637">
        <w:rPr>
          <w:rFonts w:ascii="Times New Roman" w:hAnsi="Times New Roman"/>
          <w:szCs w:val="24"/>
        </w:rPr>
        <w:t xml:space="preserve"> </w:t>
      </w:r>
      <w:r>
        <w:rPr>
          <w:rFonts w:ascii="Times New Roman" w:hAnsi="Times New Roman"/>
          <w:szCs w:val="24"/>
        </w:rPr>
        <w:t>неким</w:t>
      </w:r>
      <w:r w:rsidR="00A87F6C" w:rsidRPr="00295637">
        <w:rPr>
          <w:rFonts w:ascii="Times New Roman" w:hAnsi="Times New Roman"/>
          <w:szCs w:val="24"/>
        </w:rPr>
        <w:t xml:space="preserve"> </w:t>
      </w:r>
      <w:r>
        <w:rPr>
          <w:rFonts w:ascii="Times New Roman" w:hAnsi="Times New Roman"/>
          <w:szCs w:val="24"/>
        </w:rPr>
        <w:t>од</w:t>
      </w:r>
      <w:r w:rsidR="00A87F6C" w:rsidRPr="00295637">
        <w:rPr>
          <w:rFonts w:ascii="Times New Roman" w:hAnsi="Times New Roman"/>
          <w:szCs w:val="24"/>
        </w:rPr>
        <w:t xml:space="preserve"> </w:t>
      </w:r>
      <w:r>
        <w:rPr>
          <w:rFonts w:ascii="Times New Roman" w:hAnsi="Times New Roman"/>
          <w:szCs w:val="24"/>
        </w:rPr>
        <w:t>правосудних</w:t>
      </w:r>
      <w:r w:rsidR="00A87F6C" w:rsidRPr="00295637">
        <w:rPr>
          <w:rFonts w:ascii="Times New Roman" w:hAnsi="Times New Roman"/>
          <w:szCs w:val="24"/>
        </w:rPr>
        <w:t xml:space="preserve"> </w:t>
      </w:r>
      <w:r>
        <w:rPr>
          <w:rFonts w:ascii="Times New Roman" w:hAnsi="Times New Roman"/>
          <w:szCs w:val="24"/>
        </w:rPr>
        <w:t>органа</w:t>
      </w:r>
      <w:r w:rsidR="00A87F6C" w:rsidRPr="00295637">
        <w:rPr>
          <w:rFonts w:ascii="Times New Roman" w:hAnsi="Times New Roman"/>
          <w:szCs w:val="24"/>
        </w:rPr>
        <w:t xml:space="preserve"> </w:t>
      </w:r>
      <w:r>
        <w:rPr>
          <w:rFonts w:ascii="Times New Roman" w:hAnsi="Times New Roman"/>
          <w:szCs w:val="24"/>
        </w:rPr>
        <w:t>или</w:t>
      </w:r>
      <w:r w:rsidR="00A87F6C" w:rsidRPr="00295637">
        <w:rPr>
          <w:rFonts w:ascii="Times New Roman" w:hAnsi="Times New Roman"/>
          <w:szCs w:val="24"/>
        </w:rPr>
        <w:t xml:space="preserve"> </w:t>
      </w:r>
      <w:r>
        <w:rPr>
          <w:rFonts w:ascii="Times New Roman" w:hAnsi="Times New Roman"/>
          <w:szCs w:val="24"/>
        </w:rPr>
        <w:t>пред</w:t>
      </w:r>
      <w:r w:rsidR="00A87F6C" w:rsidRPr="00295637">
        <w:rPr>
          <w:rFonts w:ascii="Times New Roman" w:hAnsi="Times New Roman"/>
          <w:szCs w:val="24"/>
        </w:rPr>
        <w:t xml:space="preserve"> </w:t>
      </w:r>
      <w:r>
        <w:rPr>
          <w:rFonts w:ascii="Times New Roman" w:hAnsi="Times New Roman"/>
          <w:szCs w:val="24"/>
        </w:rPr>
        <w:t>Институцијом</w:t>
      </w:r>
      <w:r w:rsidR="00A87F6C" w:rsidRPr="00295637">
        <w:rPr>
          <w:rFonts w:ascii="Times New Roman" w:hAnsi="Times New Roman"/>
          <w:szCs w:val="24"/>
        </w:rPr>
        <w:t xml:space="preserve"> </w:t>
      </w:r>
      <w:r>
        <w:rPr>
          <w:rFonts w:ascii="Times New Roman" w:hAnsi="Times New Roman"/>
          <w:szCs w:val="24"/>
        </w:rPr>
        <w:t>омбудсмана</w:t>
      </w:r>
      <w:r w:rsidR="00A87F6C" w:rsidRPr="00295637">
        <w:rPr>
          <w:rFonts w:ascii="Times New Roman" w:hAnsi="Times New Roman"/>
          <w:szCs w:val="24"/>
        </w:rPr>
        <w:t xml:space="preserve"> </w:t>
      </w:r>
      <w:r>
        <w:rPr>
          <w:rFonts w:ascii="Times New Roman" w:hAnsi="Times New Roman"/>
          <w:szCs w:val="24"/>
        </w:rPr>
        <w:t>за</w:t>
      </w:r>
      <w:r w:rsidR="00A87F6C" w:rsidRPr="00295637">
        <w:rPr>
          <w:rFonts w:ascii="Times New Roman" w:hAnsi="Times New Roman"/>
          <w:szCs w:val="24"/>
        </w:rPr>
        <w:t xml:space="preserve"> </w:t>
      </w:r>
      <w:r>
        <w:rPr>
          <w:rFonts w:ascii="Times New Roman" w:hAnsi="Times New Roman"/>
          <w:szCs w:val="24"/>
        </w:rPr>
        <w:t>људска</w:t>
      </w:r>
      <w:r w:rsidR="00A87F6C" w:rsidRPr="00295637">
        <w:rPr>
          <w:rFonts w:ascii="Times New Roman" w:hAnsi="Times New Roman"/>
          <w:szCs w:val="24"/>
        </w:rPr>
        <w:t xml:space="preserve"> </w:t>
      </w:r>
      <w:r>
        <w:rPr>
          <w:rFonts w:ascii="Times New Roman" w:hAnsi="Times New Roman"/>
          <w:szCs w:val="24"/>
        </w:rPr>
        <w:t>права</w:t>
      </w:r>
      <w:r w:rsidR="00A87F6C" w:rsidRPr="00295637">
        <w:rPr>
          <w:rFonts w:ascii="Times New Roman" w:hAnsi="Times New Roman"/>
          <w:szCs w:val="24"/>
        </w:rPr>
        <w:t>.</w:t>
      </w:r>
      <w:r w:rsidR="00971B5B">
        <w:rPr>
          <w:rFonts w:ascii="Times New Roman" w:hAnsi="Times New Roman"/>
          <w:szCs w:val="24"/>
        </w:rPr>
        <w:t xml:space="preserve"> </w:t>
      </w:r>
    </w:p>
    <w:p w:rsidR="00E84CF4" w:rsidRPr="00295637" w:rsidRDefault="00E84CF4" w:rsidP="0086268D">
      <w:pPr>
        <w:tabs>
          <w:tab w:val="left" w:pos="284"/>
          <w:tab w:val="left" w:pos="630"/>
          <w:tab w:val="left" w:pos="1080"/>
        </w:tabs>
        <w:jc w:val="both"/>
        <w:rPr>
          <w:rFonts w:ascii="Gill Sans MT" w:hAnsi="Gill Sans MT"/>
          <w:szCs w:val="24"/>
          <w:lang w:val="bs-Latn-BA"/>
        </w:rPr>
      </w:pPr>
    </w:p>
    <w:p w:rsidR="003A2F08"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ГЦ</w:t>
      </w:r>
      <w:r w:rsidR="00BB0F22" w:rsidRPr="00DE3EB1">
        <w:rPr>
          <w:rFonts w:ascii="Times New Roman" w:hAnsi="Times New Roman"/>
          <w:szCs w:val="24"/>
          <w:lang w:val="bs-Latn-BA"/>
        </w:rPr>
        <w:t xml:space="preserve"> </w:t>
      </w:r>
      <w:r>
        <w:rPr>
          <w:rFonts w:ascii="Times New Roman" w:hAnsi="Times New Roman"/>
          <w:szCs w:val="24"/>
          <w:lang w:val="bs-Latn-BA"/>
        </w:rPr>
        <w:t>ФБиХ</w:t>
      </w:r>
      <w:r w:rsidR="003A2F08" w:rsidRPr="00DE3EB1">
        <w:rPr>
          <w:rFonts w:ascii="Times New Roman" w:hAnsi="Times New Roman"/>
          <w:szCs w:val="24"/>
          <w:lang w:val="bs-Latn-BA"/>
        </w:rPr>
        <w:t xml:space="preserve"> </w:t>
      </w:r>
      <w:r>
        <w:rPr>
          <w:rFonts w:ascii="Times New Roman" w:hAnsi="Times New Roman"/>
          <w:szCs w:val="24"/>
          <w:lang w:val="bs-Latn-BA"/>
        </w:rPr>
        <w:t>је</w:t>
      </w:r>
      <w:r w:rsidR="00DE3EB1" w:rsidRPr="00DE3EB1">
        <w:rPr>
          <w:rFonts w:ascii="Times New Roman" w:hAnsi="Times New Roman"/>
          <w:szCs w:val="24"/>
          <w:lang w:val="bs-Latn-BA"/>
        </w:rPr>
        <w:t xml:space="preserve"> </w:t>
      </w:r>
      <w:r w:rsidR="00FB6F1A">
        <w:rPr>
          <w:rFonts w:ascii="Times New Roman" w:hAnsi="Times New Roman"/>
          <w:szCs w:val="24"/>
          <w:lang w:val="bs-Latn-BA"/>
        </w:rPr>
        <w:t>активно</w:t>
      </w:r>
      <w:r w:rsidR="00FB6F1A" w:rsidRPr="00DE3EB1">
        <w:rPr>
          <w:rFonts w:ascii="Times New Roman" w:hAnsi="Times New Roman"/>
          <w:szCs w:val="24"/>
          <w:lang w:val="bs-Latn-BA"/>
        </w:rPr>
        <w:t xml:space="preserve"> </w:t>
      </w:r>
      <w:r>
        <w:rPr>
          <w:rFonts w:ascii="Times New Roman" w:hAnsi="Times New Roman"/>
          <w:szCs w:val="24"/>
          <w:lang w:val="bs-Latn-BA"/>
        </w:rPr>
        <w:t>учествовао</w:t>
      </w:r>
      <w:r w:rsidR="003A2F08" w:rsidRPr="00DE3EB1">
        <w:rPr>
          <w:rFonts w:ascii="Times New Roman" w:hAnsi="Times New Roman"/>
          <w:szCs w:val="24"/>
          <w:lang w:val="bs-Latn-BA"/>
        </w:rPr>
        <w:t xml:space="preserve"> </w:t>
      </w:r>
      <w:r>
        <w:rPr>
          <w:rFonts w:ascii="Times New Roman" w:hAnsi="Times New Roman"/>
          <w:szCs w:val="24"/>
          <w:lang w:val="bs-Latn-BA"/>
        </w:rPr>
        <w:t>у</w:t>
      </w:r>
      <w:r w:rsidR="003A2F08" w:rsidRPr="00DE3EB1">
        <w:rPr>
          <w:rFonts w:ascii="Times New Roman" w:hAnsi="Times New Roman"/>
          <w:szCs w:val="24"/>
          <w:lang w:val="bs-Latn-BA"/>
        </w:rPr>
        <w:t xml:space="preserve"> </w:t>
      </w:r>
      <w:r>
        <w:rPr>
          <w:rFonts w:ascii="Times New Roman" w:hAnsi="Times New Roman"/>
          <w:szCs w:val="24"/>
          <w:lang w:val="bs-Latn-BA"/>
        </w:rPr>
        <w:t>давању</w:t>
      </w:r>
      <w:r w:rsidR="003A2F08" w:rsidRPr="00DE3EB1">
        <w:rPr>
          <w:rFonts w:ascii="Times New Roman" w:hAnsi="Times New Roman"/>
          <w:szCs w:val="24"/>
          <w:lang w:val="bs-Latn-BA"/>
        </w:rPr>
        <w:t xml:space="preserve"> </w:t>
      </w:r>
      <w:r>
        <w:rPr>
          <w:rFonts w:ascii="Times New Roman" w:hAnsi="Times New Roman"/>
          <w:bCs/>
          <w:szCs w:val="24"/>
          <w:lang w:val="bs-Latn-BA"/>
        </w:rPr>
        <w:t>стручних</w:t>
      </w:r>
      <w:r w:rsidR="003A2F08" w:rsidRPr="00DE3EB1">
        <w:rPr>
          <w:rFonts w:ascii="Times New Roman" w:hAnsi="Times New Roman"/>
          <w:bCs/>
          <w:szCs w:val="24"/>
          <w:lang w:val="bs-Latn-BA"/>
        </w:rPr>
        <w:t xml:space="preserve"> </w:t>
      </w:r>
      <w:r>
        <w:rPr>
          <w:rFonts w:ascii="Times New Roman" w:hAnsi="Times New Roman"/>
          <w:bCs/>
          <w:szCs w:val="24"/>
          <w:lang w:val="bs-Latn-BA"/>
        </w:rPr>
        <w:t>мишљења</w:t>
      </w:r>
      <w:r w:rsidR="00EF3876" w:rsidRPr="00DE3EB1">
        <w:rPr>
          <w:rFonts w:ascii="Times New Roman" w:hAnsi="Times New Roman"/>
          <w:bCs/>
          <w:szCs w:val="24"/>
          <w:lang w:val="bs-Latn-BA"/>
        </w:rPr>
        <w:t xml:space="preserve"> (</w:t>
      </w:r>
      <w:r>
        <w:rPr>
          <w:rFonts w:ascii="Times New Roman" w:hAnsi="Times New Roman"/>
          <w:bCs/>
          <w:szCs w:val="24"/>
          <w:lang w:val="bs-Latn-BA"/>
        </w:rPr>
        <w:t>седам</w:t>
      </w:r>
      <w:r w:rsidR="00EF3876" w:rsidRPr="00DE3EB1">
        <w:rPr>
          <w:rFonts w:ascii="Times New Roman" w:hAnsi="Times New Roman"/>
          <w:bCs/>
          <w:szCs w:val="24"/>
          <w:lang w:val="bs-Latn-BA"/>
        </w:rPr>
        <w:t>)</w:t>
      </w:r>
      <w:r w:rsidR="003A2F08" w:rsidRPr="00DE3EB1">
        <w:rPr>
          <w:rFonts w:ascii="Times New Roman" w:hAnsi="Times New Roman"/>
          <w:bCs/>
          <w:szCs w:val="24"/>
          <w:lang w:val="bs-Latn-BA"/>
        </w:rPr>
        <w:t xml:space="preserve"> </w:t>
      </w:r>
      <w:r>
        <w:rPr>
          <w:rFonts w:ascii="Times New Roman" w:hAnsi="Times New Roman"/>
          <w:szCs w:val="24"/>
          <w:lang w:val="bs-Latn-BA"/>
        </w:rPr>
        <w:t>на</w:t>
      </w:r>
      <w:r w:rsidR="004F3C2A" w:rsidRPr="00DE3EB1">
        <w:rPr>
          <w:rFonts w:ascii="Times New Roman" w:hAnsi="Times New Roman"/>
          <w:szCs w:val="24"/>
          <w:lang w:val="bs-Latn-BA"/>
        </w:rPr>
        <w:t xml:space="preserve"> </w:t>
      </w:r>
      <w:r>
        <w:rPr>
          <w:rFonts w:ascii="Times New Roman" w:hAnsi="Times New Roman"/>
          <w:szCs w:val="24"/>
          <w:lang w:val="bs-Latn-BA"/>
        </w:rPr>
        <w:t>прописе</w:t>
      </w:r>
      <w:r w:rsidR="004F3C2A" w:rsidRPr="00DE3EB1">
        <w:rPr>
          <w:rFonts w:ascii="Times New Roman" w:hAnsi="Times New Roman"/>
          <w:szCs w:val="24"/>
          <w:lang w:val="bs-Latn-BA"/>
        </w:rPr>
        <w:t xml:space="preserve">, </w:t>
      </w:r>
      <w:r>
        <w:rPr>
          <w:rFonts w:ascii="Times New Roman" w:hAnsi="Times New Roman"/>
          <w:szCs w:val="24"/>
          <w:lang w:val="bs-Latn-BA"/>
        </w:rPr>
        <w:t>стратегије</w:t>
      </w:r>
      <w:r w:rsidR="004F3C2A" w:rsidRPr="00DE3EB1">
        <w:rPr>
          <w:rFonts w:ascii="Times New Roman" w:hAnsi="Times New Roman"/>
          <w:szCs w:val="24"/>
          <w:lang w:val="bs-Latn-BA"/>
        </w:rPr>
        <w:t xml:space="preserve"> </w:t>
      </w:r>
      <w:r>
        <w:rPr>
          <w:rFonts w:ascii="Times New Roman" w:hAnsi="Times New Roman"/>
          <w:szCs w:val="24"/>
          <w:lang w:val="bs-Latn-BA"/>
        </w:rPr>
        <w:t>и</w:t>
      </w:r>
      <w:r w:rsidR="004F3C2A" w:rsidRPr="00DE3EB1">
        <w:rPr>
          <w:rFonts w:ascii="Times New Roman" w:hAnsi="Times New Roman"/>
          <w:szCs w:val="24"/>
          <w:lang w:val="bs-Latn-BA"/>
        </w:rPr>
        <w:t xml:space="preserve"> </w:t>
      </w:r>
      <w:r>
        <w:rPr>
          <w:rFonts w:ascii="Times New Roman" w:hAnsi="Times New Roman"/>
          <w:szCs w:val="24"/>
          <w:lang w:val="bs-Latn-BA"/>
        </w:rPr>
        <w:t>политике</w:t>
      </w:r>
      <w:r w:rsidR="004F3C2A" w:rsidRPr="00DE3EB1">
        <w:rPr>
          <w:rFonts w:ascii="Times New Roman" w:hAnsi="Times New Roman"/>
          <w:bCs/>
          <w:szCs w:val="24"/>
          <w:lang w:val="bs-Latn-BA"/>
        </w:rPr>
        <w:t xml:space="preserve">, </w:t>
      </w:r>
      <w:r>
        <w:rPr>
          <w:rFonts w:ascii="Times New Roman" w:hAnsi="Times New Roman"/>
          <w:bCs/>
          <w:szCs w:val="24"/>
          <w:lang w:val="bs-Latn-BA"/>
        </w:rPr>
        <w:t>као</w:t>
      </w:r>
      <w:r w:rsidR="004F3C2A" w:rsidRPr="00DE3EB1">
        <w:rPr>
          <w:rFonts w:ascii="Times New Roman" w:hAnsi="Times New Roman"/>
          <w:bCs/>
          <w:szCs w:val="24"/>
          <w:lang w:val="bs-Latn-BA"/>
        </w:rPr>
        <w:t xml:space="preserve"> </w:t>
      </w:r>
      <w:r>
        <w:rPr>
          <w:rFonts w:ascii="Times New Roman" w:hAnsi="Times New Roman"/>
          <w:bCs/>
          <w:szCs w:val="24"/>
          <w:lang w:val="bs-Latn-BA"/>
        </w:rPr>
        <w:t>и</w:t>
      </w:r>
      <w:r w:rsidR="004F3C2A" w:rsidRPr="00DE3EB1">
        <w:rPr>
          <w:rFonts w:ascii="Times New Roman" w:hAnsi="Times New Roman"/>
          <w:bCs/>
          <w:szCs w:val="24"/>
          <w:lang w:val="bs-Latn-BA"/>
        </w:rPr>
        <w:t xml:space="preserve"> </w:t>
      </w:r>
      <w:r>
        <w:rPr>
          <w:rFonts w:ascii="Times New Roman" w:hAnsi="Times New Roman"/>
          <w:bCs/>
          <w:szCs w:val="24"/>
          <w:lang w:val="bs-Latn-BA"/>
        </w:rPr>
        <w:t>коментара</w:t>
      </w:r>
      <w:r w:rsidR="003A2F08" w:rsidRPr="00DE3EB1">
        <w:rPr>
          <w:rFonts w:ascii="Times New Roman" w:hAnsi="Times New Roman"/>
          <w:bCs/>
          <w:szCs w:val="24"/>
          <w:lang w:val="bs-Latn-BA"/>
        </w:rPr>
        <w:t xml:space="preserve"> </w:t>
      </w:r>
      <w:r w:rsidR="004F3C2A" w:rsidRPr="00DE3EB1">
        <w:rPr>
          <w:rFonts w:ascii="Times New Roman" w:hAnsi="Times New Roman"/>
          <w:bCs/>
          <w:szCs w:val="24"/>
          <w:lang w:val="bs-Latn-BA"/>
        </w:rPr>
        <w:t>(</w:t>
      </w:r>
      <w:r>
        <w:rPr>
          <w:rFonts w:ascii="Times New Roman" w:hAnsi="Times New Roman"/>
          <w:bCs/>
          <w:szCs w:val="24"/>
          <w:lang w:val="bs-Latn-BA"/>
        </w:rPr>
        <w:t>три</w:t>
      </w:r>
      <w:r w:rsidR="004F3C2A" w:rsidRPr="00DE3EB1">
        <w:rPr>
          <w:rFonts w:ascii="Times New Roman" w:hAnsi="Times New Roman"/>
          <w:bCs/>
          <w:szCs w:val="24"/>
          <w:lang w:val="bs-Latn-BA"/>
        </w:rPr>
        <w:t xml:space="preserve">) </w:t>
      </w:r>
      <w:r>
        <w:rPr>
          <w:rFonts w:ascii="Times New Roman" w:hAnsi="Times New Roman"/>
          <w:bCs/>
          <w:szCs w:val="24"/>
          <w:lang w:val="bs-Latn-BA"/>
        </w:rPr>
        <w:t>и</w:t>
      </w:r>
      <w:r w:rsidR="003A2F08" w:rsidRPr="00DE3EB1">
        <w:rPr>
          <w:rFonts w:ascii="Times New Roman" w:hAnsi="Times New Roman"/>
          <w:bCs/>
          <w:szCs w:val="24"/>
          <w:lang w:val="bs-Latn-BA"/>
        </w:rPr>
        <w:t xml:space="preserve"> </w:t>
      </w:r>
      <w:r>
        <w:rPr>
          <w:rFonts w:ascii="Times New Roman" w:hAnsi="Times New Roman"/>
          <w:bCs/>
          <w:szCs w:val="24"/>
          <w:lang w:val="bs-Latn-BA"/>
        </w:rPr>
        <w:t>препорука</w:t>
      </w:r>
      <w:r w:rsidR="003A2F08" w:rsidRPr="00DE3EB1">
        <w:rPr>
          <w:rFonts w:ascii="Times New Roman" w:hAnsi="Times New Roman"/>
          <w:szCs w:val="24"/>
          <w:lang w:val="bs-Latn-BA"/>
        </w:rPr>
        <w:t xml:space="preserve"> </w:t>
      </w:r>
      <w:r w:rsidR="004F3C2A" w:rsidRPr="00DE3EB1">
        <w:rPr>
          <w:rFonts w:ascii="Times New Roman" w:hAnsi="Times New Roman"/>
          <w:szCs w:val="24"/>
          <w:lang w:val="bs-Latn-BA"/>
        </w:rPr>
        <w:t xml:space="preserve">(19) </w:t>
      </w:r>
      <w:r>
        <w:rPr>
          <w:rFonts w:ascii="Times New Roman" w:hAnsi="Times New Roman"/>
          <w:szCs w:val="24"/>
          <w:lang w:val="bs-Latn-BA"/>
        </w:rPr>
        <w:t>и</w:t>
      </w:r>
      <w:r w:rsidR="004F3C2A" w:rsidRPr="00DE3EB1">
        <w:rPr>
          <w:rFonts w:ascii="Times New Roman" w:hAnsi="Times New Roman"/>
          <w:szCs w:val="24"/>
          <w:lang w:val="bs-Latn-BA"/>
        </w:rPr>
        <w:t xml:space="preserve"> </w:t>
      </w:r>
      <w:r>
        <w:rPr>
          <w:rFonts w:ascii="Times New Roman" w:hAnsi="Times New Roman"/>
          <w:szCs w:val="24"/>
          <w:lang w:val="bs-Latn-BA"/>
        </w:rPr>
        <w:t>два</w:t>
      </w:r>
      <w:r w:rsidR="004F3C2A" w:rsidRPr="00DE3EB1">
        <w:rPr>
          <w:rFonts w:ascii="Times New Roman" w:hAnsi="Times New Roman"/>
          <w:szCs w:val="24"/>
          <w:lang w:val="bs-Latn-BA"/>
        </w:rPr>
        <w:t xml:space="preserve"> </w:t>
      </w:r>
      <w:r>
        <w:rPr>
          <w:rFonts w:ascii="Times New Roman" w:hAnsi="Times New Roman"/>
          <w:szCs w:val="24"/>
          <w:lang w:val="bs-Latn-BA"/>
        </w:rPr>
        <w:t>одговора</w:t>
      </w:r>
      <w:r w:rsidR="00D319BF" w:rsidRPr="00DE3EB1">
        <w:rPr>
          <w:rFonts w:ascii="Times New Roman" w:hAnsi="Times New Roman"/>
          <w:szCs w:val="24"/>
          <w:lang w:val="bs-Latn-BA"/>
        </w:rPr>
        <w:t xml:space="preserve"> </w:t>
      </w:r>
      <w:r>
        <w:rPr>
          <w:rFonts w:ascii="Times New Roman" w:hAnsi="Times New Roman"/>
          <w:szCs w:val="24"/>
          <w:lang w:val="bs-Latn-BA"/>
        </w:rPr>
        <w:t>на</w:t>
      </w:r>
      <w:r w:rsidR="00D319BF" w:rsidRPr="00DE3EB1">
        <w:rPr>
          <w:rFonts w:ascii="Times New Roman" w:hAnsi="Times New Roman"/>
          <w:szCs w:val="24"/>
          <w:lang w:val="bs-Latn-BA"/>
        </w:rPr>
        <w:t xml:space="preserve"> </w:t>
      </w:r>
      <w:r>
        <w:rPr>
          <w:rFonts w:ascii="Times New Roman" w:hAnsi="Times New Roman"/>
          <w:szCs w:val="24"/>
          <w:lang w:val="bs-Latn-BA"/>
        </w:rPr>
        <w:t>заступничка</w:t>
      </w:r>
      <w:r w:rsidR="00D319BF" w:rsidRPr="00DE3EB1">
        <w:rPr>
          <w:rFonts w:ascii="Times New Roman" w:hAnsi="Times New Roman"/>
          <w:szCs w:val="24"/>
          <w:lang w:val="bs-Latn-BA"/>
        </w:rPr>
        <w:t xml:space="preserve"> </w:t>
      </w:r>
      <w:r>
        <w:rPr>
          <w:rFonts w:ascii="Times New Roman" w:hAnsi="Times New Roman"/>
          <w:szCs w:val="24"/>
          <w:lang w:val="bs-Latn-BA"/>
        </w:rPr>
        <w:t>питања</w:t>
      </w:r>
      <w:r w:rsidR="00D319BF" w:rsidRPr="00DE3EB1">
        <w:rPr>
          <w:rFonts w:ascii="Times New Roman" w:hAnsi="Times New Roman"/>
          <w:szCs w:val="24"/>
          <w:lang w:val="bs-Latn-BA"/>
        </w:rPr>
        <w:t>.</w:t>
      </w:r>
      <w:r w:rsidR="006B357A" w:rsidRPr="00DE3EB1">
        <w:rPr>
          <w:rFonts w:ascii="Times New Roman" w:hAnsi="Times New Roman"/>
          <w:szCs w:val="24"/>
          <w:lang w:val="bs-Latn-BA"/>
        </w:rPr>
        <w:t xml:space="preserve"> </w:t>
      </w:r>
      <w:r>
        <w:rPr>
          <w:rFonts w:ascii="Times New Roman" w:hAnsi="Times New Roman"/>
          <w:szCs w:val="24"/>
          <w:lang w:val="bs-Latn-BA"/>
        </w:rPr>
        <w:t>Као</w:t>
      </w:r>
      <w:r w:rsidR="004F3C2A" w:rsidRPr="00DE3EB1">
        <w:rPr>
          <w:rFonts w:ascii="Times New Roman" w:hAnsi="Times New Roman"/>
          <w:szCs w:val="24"/>
          <w:lang w:val="bs-Latn-BA"/>
        </w:rPr>
        <w:t xml:space="preserve"> </w:t>
      </w:r>
      <w:r>
        <w:rPr>
          <w:rFonts w:ascii="Times New Roman" w:hAnsi="Times New Roman"/>
          <w:szCs w:val="24"/>
          <w:lang w:val="bs-Latn-BA"/>
        </w:rPr>
        <w:t>што</w:t>
      </w:r>
      <w:r w:rsidR="004F3C2A" w:rsidRPr="00DE3EB1">
        <w:rPr>
          <w:rFonts w:ascii="Times New Roman" w:hAnsi="Times New Roman"/>
          <w:szCs w:val="24"/>
          <w:lang w:val="bs-Latn-BA"/>
        </w:rPr>
        <w:t xml:space="preserve"> </w:t>
      </w:r>
      <w:r>
        <w:rPr>
          <w:rFonts w:ascii="Times New Roman" w:hAnsi="Times New Roman"/>
          <w:szCs w:val="24"/>
          <w:lang w:val="bs-Latn-BA"/>
        </w:rPr>
        <w:t>је</w:t>
      </w:r>
      <w:r w:rsidR="004F3C2A" w:rsidRPr="00DE3EB1">
        <w:rPr>
          <w:rFonts w:ascii="Times New Roman" w:hAnsi="Times New Roman"/>
          <w:szCs w:val="24"/>
          <w:lang w:val="bs-Latn-BA"/>
        </w:rPr>
        <w:t xml:space="preserve"> </w:t>
      </w:r>
      <w:r>
        <w:rPr>
          <w:rFonts w:ascii="Times New Roman" w:hAnsi="Times New Roman"/>
          <w:szCs w:val="24"/>
          <w:lang w:val="bs-Latn-BA"/>
        </w:rPr>
        <w:t>поменуто</w:t>
      </w:r>
      <w:r w:rsidR="004F3C2A" w:rsidRPr="00DE3EB1">
        <w:rPr>
          <w:rFonts w:ascii="Times New Roman" w:hAnsi="Times New Roman"/>
          <w:szCs w:val="24"/>
          <w:lang w:val="bs-Latn-BA"/>
        </w:rPr>
        <w:t xml:space="preserve">, </w:t>
      </w:r>
      <w:r>
        <w:rPr>
          <w:rFonts w:ascii="Times New Roman" w:hAnsi="Times New Roman"/>
          <w:szCs w:val="24"/>
          <w:lang w:val="hr-HR"/>
        </w:rPr>
        <w:t>у</w:t>
      </w:r>
      <w:r w:rsidR="006B357A" w:rsidRPr="00DE3EB1">
        <w:rPr>
          <w:rFonts w:ascii="Times New Roman" w:hAnsi="Times New Roman"/>
          <w:szCs w:val="24"/>
          <w:lang w:val="hr-HR"/>
        </w:rPr>
        <w:t xml:space="preserve"> </w:t>
      </w:r>
      <w:r>
        <w:rPr>
          <w:rFonts w:ascii="Times New Roman" w:hAnsi="Times New Roman"/>
          <w:szCs w:val="24"/>
          <w:lang w:val="hr-HR"/>
        </w:rPr>
        <w:t>оквиру</w:t>
      </w:r>
      <w:r w:rsidR="006B357A" w:rsidRPr="00DE3EB1">
        <w:rPr>
          <w:rFonts w:ascii="Times New Roman" w:hAnsi="Times New Roman"/>
          <w:szCs w:val="24"/>
          <w:lang w:val="hr-HR"/>
        </w:rPr>
        <w:t xml:space="preserve"> </w:t>
      </w:r>
      <w:r w:rsidR="00B745C8" w:rsidRPr="00B745C8">
        <w:rPr>
          <w:rFonts w:ascii="Times New Roman" w:hAnsi="Times New Roman"/>
          <w:i/>
          <w:szCs w:val="24"/>
          <w:lang w:val="hr-HR"/>
        </w:rPr>
        <w:t>EU4Inclusion</w:t>
      </w:r>
      <w:r w:rsidR="006B357A" w:rsidRPr="00DE3EB1">
        <w:rPr>
          <w:rFonts w:ascii="Times New Roman" w:hAnsi="Times New Roman"/>
          <w:szCs w:val="24"/>
          <w:lang w:val="hr-HR"/>
        </w:rPr>
        <w:t xml:space="preserve"> </w:t>
      </w:r>
      <w:r>
        <w:rPr>
          <w:rFonts w:ascii="Times New Roman" w:hAnsi="Times New Roman"/>
          <w:szCs w:val="24"/>
          <w:lang w:val="hr-HR"/>
        </w:rPr>
        <w:t>пројекта</w:t>
      </w:r>
      <w:r w:rsidR="006B357A" w:rsidRPr="00DE3EB1">
        <w:rPr>
          <w:rFonts w:ascii="Times New Roman" w:hAnsi="Times New Roman"/>
          <w:szCs w:val="24"/>
          <w:lang w:val="bs-Latn-BA"/>
        </w:rPr>
        <w:t xml:space="preserve"> </w:t>
      </w:r>
      <w:r>
        <w:rPr>
          <w:rFonts w:ascii="Times New Roman" w:hAnsi="Times New Roman"/>
          <w:szCs w:val="24"/>
          <w:lang w:val="bs-Latn-BA"/>
        </w:rPr>
        <w:t>извршена</w:t>
      </w:r>
      <w:r w:rsidR="006B357A" w:rsidRPr="00DE3EB1">
        <w:rPr>
          <w:rFonts w:ascii="Times New Roman" w:hAnsi="Times New Roman"/>
          <w:szCs w:val="24"/>
          <w:lang w:val="bs-Latn-BA"/>
        </w:rPr>
        <w:t xml:space="preserve"> </w:t>
      </w:r>
      <w:r>
        <w:rPr>
          <w:rFonts w:ascii="Times New Roman" w:hAnsi="Times New Roman"/>
          <w:szCs w:val="24"/>
          <w:lang w:val="bs-Latn-BA"/>
        </w:rPr>
        <w:t>је</w:t>
      </w:r>
      <w:r w:rsidR="006B357A" w:rsidRPr="00DE3EB1">
        <w:rPr>
          <w:rFonts w:ascii="Times New Roman" w:hAnsi="Times New Roman"/>
          <w:szCs w:val="24"/>
          <w:lang w:val="bs-Latn-BA"/>
        </w:rPr>
        <w:t xml:space="preserve"> </w:t>
      </w:r>
      <w:r>
        <w:rPr>
          <w:rFonts w:ascii="Times New Roman" w:hAnsi="Times New Roman"/>
          <w:szCs w:val="24"/>
          <w:lang w:val="bs-Latn-BA"/>
        </w:rPr>
        <w:t>анализа</w:t>
      </w:r>
      <w:r w:rsidR="006B357A" w:rsidRPr="00DE3EB1">
        <w:rPr>
          <w:rFonts w:ascii="Times New Roman" w:hAnsi="Times New Roman"/>
          <w:bCs/>
          <w:szCs w:val="24"/>
          <w:lang w:val="bs-Latn-BA"/>
        </w:rPr>
        <w:t xml:space="preserve"> </w:t>
      </w:r>
      <w:r>
        <w:rPr>
          <w:rFonts w:ascii="Times New Roman" w:hAnsi="Times New Roman"/>
          <w:bCs/>
          <w:szCs w:val="24"/>
          <w:lang w:val="bs-Latn-BA"/>
        </w:rPr>
        <w:t>закона</w:t>
      </w:r>
      <w:r w:rsidR="006B357A" w:rsidRPr="00DE3EB1">
        <w:rPr>
          <w:rFonts w:ascii="Times New Roman" w:hAnsi="Times New Roman"/>
          <w:bCs/>
          <w:szCs w:val="24"/>
          <w:lang w:val="bs-Latn-BA"/>
        </w:rPr>
        <w:t xml:space="preserve"> </w:t>
      </w:r>
      <w:r>
        <w:rPr>
          <w:rFonts w:ascii="Times New Roman" w:hAnsi="Times New Roman"/>
          <w:bCs/>
          <w:szCs w:val="24"/>
          <w:lang w:val="bs-Latn-BA"/>
        </w:rPr>
        <w:t>који</w:t>
      </w:r>
      <w:r w:rsidR="006B357A" w:rsidRPr="00DE3EB1">
        <w:rPr>
          <w:rFonts w:ascii="Times New Roman" w:hAnsi="Times New Roman"/>
          <w:bCs/>
          <w:szCs w:val="24"/>
          <w:lang w:val="bs-Latn-BA"/>
        </w:rPr>
        <w:t xml:space="preserve"> </w:t>
      </w:r>
      <w:r>
        <w:rPr>
          <w:rFonts w:ascii="Times New Roman" w:hAnsi="Times New Roman"/>
          <w:bCs/>
          <w:szCs w:val="24"/>
          <w:lang w:val="bs-Latn-BA"/>
        </w:rPr>
        <w:t>нису</w:t>
      </w:r>
      <w:r w:rsidR="006B357A" w:rsidRPr="00DE3EB1">
        <w:rPr>
          <w:rFonts w:ascii="Times New Roman" w:hAnsi="Times New Roman"/>
          <w:bCs/>
          <w:szCs w:val="24"/>
          <w:lang w:val="bs-Latn-BA"/>
        </w:rPr>
        <w:t xml:space="preserve"> </w:t>
      </w:r>
      <w:r>
        <w:rPr>
          <w:rFonts w:ascii="Times New Roman" w:hAnsi="Times New Roman"/>
          <w:bCs/>
          <w:szCs w:val="24"/>
          <w:lang w:val="bs-Latn-BA"/>
        </w:rPr>
        <w:t>или</w:t>
      </w:r>
      <w:r w:rsidR="006B357A" w:rsidRPr="00DE3EB1">
        <w:rPr>
          <w:rFonts w:ascii="Times New Roman" w:hAnsi="Times New Roman"/>
          <w:bCs/>
          <w:szCs w:val="24"/>
          <w:lang w:val="bs-Latn-BA"/>
        </w:rPr>
        <w:t xml:space="preserve"> </w:t>
      </w:r>
      <w:r>
        <w:rPr>
          <w:rFonts w:ascii="Times New Roman" w:hAnsi="Times New Roman"/>
          <w:bCs/>
          <w:szCs w:val="24"/>
          <w:lang w:val="bs-Latn-BA"/>
        </w:rPr>
        <w:t>су</w:t>
      </w:r>
      <w:r w:rsidR="006B357A" w:rsidRPr="00DE3EB1">
        <w:rPr>
          <w:rFonts w:ascii="Times New Roman" w:hAnsi="Times New Roman"/>
          <w:bCs/>
          <w:szCs w:val="24"/>
          <w:lang w:val="bs-Latn-BA"/>
        </w:rPr>
        <w:t xml:space="preserve"> </w:t>
      </w:r>
      <w:r>
        <w:rPr>
          <w:rFonts w:ascii="Times New Roman" w:hAnsi="Times New Roman"/>
          <w:bCs/>
          <w:szCs w:val="24"/>
          <w:lang w:val="bs-Latn-BA"/>
        </w:rPr>
        <w:t>дјелимично</w:t>
      </w:r>
      <w:r w:rsidR="00DE3EB1">
        <w:rPr>
          <w:rFonts w:ascii="Times New Roman" w:hAnsi="Times New Roman"/>
          <w:bCs/>
          <w:szCs w:val="24"/>
          <w:lang w:val="bs-Latn-BA"/>
        </w:rPr>
        <w:t xml:space="preserve"> </w:t>
      </w:r>
      <w:r>
        <w:rPr>
          <w:rFonts w:ascii="Times New Roman" w:hAnsi="Times New Roman"/>
          <w:bCs/>
          <w:szCs w:val="24"/>
          <w:lang w:val="bs-Latn-BA"/>
        </w:rPr>
        <w:t>усклађени</w:t>
      </w:r>
      <w:r w:rsidR="00DE3EB1">
        <w:rPr>
          <w:rFonts w:ascii="Times New Roman" w:hAnsi="Times New Roman"/>
          <w:bCs/>
          <w:szCs w:val="24"/>
          <w:lang w:val="bs-Latn-BA"/>
        </w:rPr>
        <w:t xml:space="preserve"> </w:t>
      </w:r>
      <w:r>
        <w:rPr>
          <w:rFonts w:ascii="Times New Roman" w:hAnsi="Times New Roman"/>
          <w:bCs/>
          <w:szCs w:val="24"/>
          <w:lang w:val="bs-Latn-BA"/>
        </w:rPr>
        <w:t>са</w:t>
      </w:r>
      <w:r w:rsidR="006B357A" w:rsidRPr="00DE3EB1">
        <w:rPr>
          <w:rFonts w:ascii="Times New Roman" w:hAnsi="Times New Roman"/>
          <w:bCs/>
          <w:szCs w:val="24"/>
          <w:lang w:val="bs-Latn-BA"/>
        </w:rPr>
        <w:t xml:space="preserve"> </w:t>
      </w:r>
      <w:r>
        <w:rPr>
          <w:rFonts w:ascii="Times New Roman" w:hAnsi="Times New Roman"/>
          <w:bCs/>
          <w:szCs w:val="24"/>
          <w:lang w:val="bs-Latn-BA"/>
        </w:rPr>
        <w:t>ЗоР</w:t>
      </w:r>
      <w:r w:rsidR="00B745C8">
        <w:rPr>
          <w:rFonts w:ascii="Times New Roman" w:hAnsi="Times New Roman"/>
          <w:bCs/>
          <w:szCs w:val="24"/>
          <w:lang w:val="sr-Cyrl-BA"/>
        </w:rPr>
        <w:t>П</w:t>
      </w:r>
      <w:r w:rsidR="006B357A" w:rsidRPr="00DE3EB1">
        <w:rPr>
          <w:rFonts w:ascii="Times New Roman" w:hAnsi="Times New Roman"/>
          <w:bCs/>
          <w:szCs w:val="24"/>
          <w:lang w:val="bs-Latn-BA"/>
        </w:rPr>
        <w:t xml:space="preserve"> </w:t>
      </w:r>
      <w:r>
        <w:rPr>
          <w:rFonts w:ascii="Times New Roman" w:hAnsi="Times New Roman"/>
          <w:bCs/>
          <w:szCs w:val="24"/>
          <w:lang w:val="bs-Latn-BA"/>
        </w:rPr>
        <w:t>БиХ</w:t>
      </w:r>
      <w:r w:rsidR="006B357A" w:rsidRPr="00DE3EB1">
        <w:rPr>
          <w:rFonts w:ascii="Times New Roman" w:hAnsi="Times New Roman"/>
          <w:szCs w:val="24"/>
          <w:lang w:val="bs-Latn-BA"/>
        </w:rPr>
        <w:t xml:space="preserve">. </w:t>
      </w:r>
      <w:r>
        <w:rPr>
          <w:rFonts w:ascii="Times New Roman" w:hAnsi="Times New Roman"/>
          <w:szCs w:val="24"/>
          <w:lang w:val="bs-Latn-BA"/>
        </w:rPr>
        <w:t>ГЦ</w:t>
      </w:r>
      <w:r w:rsidR="00DE3EB1">
        <w:rPr>
          <w:rFonts w:ascii="Times New Roman" w:hAnsi="Times New Roman"/>
          <w:szCs w:val="24"/>
          <w:lang w:val="bs-Latn-BA"/>
        </w:rPr>
        <w:t xml:space="preserve"> </w:t>
      </w:r>
      <w:r>
        <w:rPr>
          <w:rFonts w:ascii="Times New Roman" w:hAnsi="Times New Roman"/>
          <w:szCs w:val="24"/>
          <w:lang w:val="bs-Latn-BA"/>
        </w:rPr>
        <w:t>ФБиХ</w:t>
      </w:r>
      <w:r w:rsidR="00DE3EB1">
        <w:rPr>
          <w:rFonts w:ascii="Times New Roman" w:hAnsi="Times New Roman"/>
          <w:szCs w:val="24"/>
          <w:lang w:val="bs-Latn-BA"/>
        </w:rPr>
        <w:t xml:space="preserve"> </w:t>
      </w:r>
      <w:r>
        <w:rPr>
          <w:rFonts w:ascii="Times New Roman" w:hAnsi="Times New Roman"/>
          <w:szCs w:val="24"/>
          <w:lang w:val="bs-Latn-BA"/>
        </w:rPr>
        <w:t>је</w:t>
      </w:r>
      <w:r w:rsidR="00DE3EB1">
        <w:rPr>
          <w:rFonts w:ascii="Times New Roman" w:hAnsi="Times New Roman"/>
          <w:szCs w:val="24"/>
          <w:lang w:val="bs-Latn-BA"/>
        </w:rPr>
        <w:t xml:space="preserve"> </w:t>
      </w:r>
      <w:r>
        <w:rPr>
          <w:rFonts w:ascii="Times New Roman" w:hAnsi="Times New Roman"/>
          <w:szCs w:val="24"/>
          <w:lang w:val="bs-Latn-BA"/>
        </w:rPr>
        <w:t>Влади</w:t>
      </w:r>
      <w:r w:rsidR="00DE3EB1">
        <w:rPr>
          <w:rFonts w:ascii="Times New Roman" w:hAnsi="Times New Roman"/>
          <w:szCs w:val="24"/>
          <w:lang w:val="bs-Latn-BA"/>
        </w:rPr>
        <w:t xml:space="preserve"> </w:t>
      </w:r>
      <w:r>
        <w:rPr>
          <w:rFonts w:ascii="Times New Roman" w:hAnsi="Times New Roman"/>
          <w:szCs w:val="24"/>
          <w:lang w:val="bs-Latn-BA"/>
        </w:rPr>
        <w:t>ФБиХ</w:t>
      </w:r>
      <w:r w:rsidR="00DE3EB1">
        <w:rPr>
          <w:rFonts w:ascii="Times New Roman" w:hAnsi="Times New Roman"/>
          <w:szCs w:val="24"/>
          <w:lang w:val="bs-Latn-BA"/>
        </w:rPr>
        <w:t xml:space="preserve"> </w:t>
      </w:r>
      <w:r>
        <w:rPr>
          <w:rFonts w:ascii="Times New Roman" w:hAnsi="Times New Roman"/>
          <w:szCs w:val="24"/>
          <w:lang w:val="bs-Latn-BA"/>
        </w:rPr>
        <w:t>доставио</w:t>
      </w:r>
      <w:r w:rsidR="00DE3EB1">
        <w:rPr>
          <w:rFonts w:ascii="Times New Roman" w:hAnsi="Times New Roman"/>
          <w:szCs w:val="24"/>
          <w:lang w:val="bs-Latn-BA"/>
        </w:rPr>
        <w:t xml:space="preserve"> </w:t>
      </w:r>
      <w:r>
        <w:rPr>
          <w:rFonts w:ascii="Times New Roman" w:hAnsi="Times New Roman"/>
          <w:szCs w:val="24"/>
          <w:lang w:val="bs-Latn-BA"/>
        </w:rPr>
        <w:t>информацију</w:t>
      </w:r>
      <w:r w:rsidR="00DE3EB1">
        <w:rPr>
          <w:rFonts w:ascii="Times New Roman" w:hAnsi="Times New Roman"/>
          <w:szCs w:val="24"/>
          <w:lang w:val="bs-Latn-BA"/>
        </w:rPr>
        <w:t xml:space="preserve"> </w:t>
      </w:r>
      <w:r>
        <w:rPr>
          <w:rFonts w:ascii="Times New Roman" w:hAnsi="Times New Roman"/>
          <w:szCs w:val="24"/>
          <w:lang w:val="bs-Latn-BA"/>
        </w:rPr>
        <w:t>о</w:t>
      </w:r>
      <w:r w:rsidR="00DE3EB1">
        <w:rPr>
          <w:rFonts w:ascii="Times New Roman" w:hAnsi="Times New Roman"/>
          <w:szCs w:val="24"/>
          <w:lang w:val="bs-Latn-BA"/>
        </w:rPr>
        <w:t xml:space="preserve"> </w:t>
      </w:r>
      <w:r>
        <w:rPr>
          <w:rFonts w:ascii="Times New Roman" w:hAnsi="Times New Roman"/>
          <w:szCs w:val="24"/>
          <w:lang w:val="bs-Latn-BA"/>
        </w:rPr>
        <w:t>обавези</w:t>
      </w:r>
      <w:r w:rsidR="006B357A" w:rsidRPr="00DE3EB1">
        <w:rPr>
          <w:rFonts w:ascii="Times New Roman" w:hAnsi="Times New Roman"/>
          <w:szCs w:val="24"/>
          <w:lang w:val="bs-Latn-BA"/>
        </w:rPr>
        <w:t xml:space="preserve"> </w:t>
      </w:r>
      <w:r>
        <w:rPr>
          <w:rFonts w:ascii="Times New Roman" w:hAnsi="Times New Roman"/>
          <w:szCs w:val="24"/>
          <w:lang w:val="bs-Latn-BA"/>
        </w:rPr>
        <w:t>усклађивања</w:t>
      </w:r>
      <w:r w:rsidR="006B357A" w:rsidRPr="00DE3EB1">
        <w:rPr>
          <w:rFonts w:ascii="Times New Roman" w:hAnsi="Times New Roman"/>
          <w:szCs w:val="24"/>
          <w:lang w:val="bs-Latn-BA"/>
        </w:rPr>
        <w:t xml:space="preserve"> </w:t>
      </w:r>
      <w:r>
        <w:rPr>
          <w:rFonts w:ascii="Times New Roman" w:hAnsi="Times New Roman"/>
          <w:szCs w:val="24"/>
          <w:lang w:val="bs-Latn-BA"/>
        </w:rPr>
        <w:t>прописа</w:t>
      </w:r>
      <w:r w:rsidR="006B357A" w:rsidRPr="00DE3EB1">
        <w:rPr>
          <w:rFonts w:ascii="Times New Roman" w:hAnsi="Times New Roman"/>
          <w:szCs w:val="24"/>
          <w:lang w:val="bs-Latn-BA"/>
        </w:rPr>
        <w:t xml:space="preserve">, </w:t>
      </w:r>
      <w:r>
        <w:rPr>
          <w:rFonts w:ascii="Times New Roman" w:hAnsi="Times New Roman"/>
          <w:szCs w:val="24"/>
          <w:lang w:val="bs-Latn-BA"/>
        </w:rPr>
        <w:t>уз</w:t>
      </w:r>
      <w:r w:rsidR="006B357A" w:rsidRPr="00DE3EB1">
        <w:rPr>
          <w:rFonts w:ascii="Times New Roman" w:hAnsi="Times New Roman"/>
          <w:szCs w:val="24"/>
          <w:lang w:val="bs-Latn-BA"/>
        </w:rPr>
        <w:t xml:space="preserve"> </w:t>
      </w:r>
      <w:r>
        <w:rPr>
          <w:rFonts w:ascii="Times New Roman" w:hAnsi="Times New Roman"/>
          <w:szCs w:val="24"/>
          <w:lang w:val="bs-Latn-BA"/>
        </w:rPr>
        <w:t>приједлог</w:t>
      </w:r>
      <w:r w:rsidR="006B357A" w:rsidRPr="00DE3EB1">
        <w:rPr>
          <w:rFonts w:ascii="Times New Roman" w:hAnsi="Times New Roman"/>
          <w:szCs w:val="24"/>
          <w:lang w:val="bs-Latn-BA"/>
        </w:rPr>
        <w:t xml:space="preserve"> </w:t>
      </w:r>
      <w:r>
        <w:rPr>
          <w:rFonts w:ascii="Times New Roman" w:hAnsi="Times New Roman"/>
          <w:szCs w:val="24"/>
          <w:lang w:val="bs-Latn-BA"/>
        </w:rPr>
        <w:t>закључка</w:t>
      </w:r>
      <w:r w:rsidR="006B357A" w:rsidRPr="00DE3EB1">
        <w:rPr>
          <w:rFonts w:ascii="Times New Roman" w:hAnsi="Times New Roman"/>
          <w:szCs w:val="24"/>
          <w:lang w:val="bs-Latn-BA"/>
        </w:rPr>
        <w:t>.</w:t>
      </w:r>
      <w:r w:rsidR="003A2F08" w:rsidRPr="00295637">
        <w:rPr>
          <w:rFonts w:ascii="Times New Roman" w:hAnsi="Times New Roman"/>
          <w:szCs w:val="24"/>
          <w:lang w:val="bs-Latn-BA"/>
        </w:rPr>
        <w:t xml:space="preserve"> </w:t>
      </w:r>
    </w:p>
    <w:p w:rsidR="003A2F08" w:rsidRPr="00295637" w:rsidRDefault="003A2F08" w:rsidP="0086268D">
      <w:pPr>
        <w:jc w:val="both"/>
        <w:rPr>
          <w:rFonts w:ascii="Times New Roman" w:hAnsi="Times New Roman"/>
          <w:szCs w:val="24"/>
          <w:lang w:val="bs-Latn-BA"/>
        </w:rPr>
      </w:pPr>
    </w:p>
    <w:p w:rsidR="003A2F08" w:rsidRPr="00295637" w:rsidRDefault="00B745C8" w:rsidP="0086268D">
      <w:pPr>
        <w:jc w:val="both"/>
        <w:rPr>
          <w:rFonts w:ascii="Times New Roman" w:hAnsi="Times New Roman"/>
          <w:szCs w:val="24"/>
          <w:lang w:val="bs-Latn-BA"/>
        </w:rPr>
      </w:pPr>
      <w:r>
        <w:rPr>
          <w:rFonts w:ascii="Times New Roman" w:hAnsi="Times New Roman"/>
          <w:szCs w:val="24"/>
          <w:lang w:val="bs-Latn-BA"/>
        </w:rPr>
        <w:t>Такође</w:t>
      </w:r>
      <w:r w:rsidR="003A2F08" w:rsidRPr="00295637">
        <w:rPr>
          <w:rFonts w:ascii="Times New Roman" w:hAnsi="Times New Roman"/>
          <w:szCs w:val="24"/>
          <w:lang w:val="bs-Latn-BA"/>
        </w:rPr>
        <w:t xml:space="preserve">, </w:t>
      </w:r>
      <w:r w:rsidR="00C6214E">
        <w:rPr>
          <w:rFonts w:ascii="Times New Roman" w:hAnsi="Times New Roman"/>
          <w:szCs w:val="24"/>
          <w:lang w:val="bs-Latn-BA"/>
        </w:rPr>
        <w:t>ГЦ</w:t>
      </w:r>
      <w:r w:rsidR="00DE3EB1">
        <w:rPr>
          <w:rFonts w:ascii="Times New Roman" w:hAnsi="Times New Roman"/>
          <w:szCs w:val="24"/>
          <w:lang w:val="bs-Latn-BA"/>
        </w:rPr>
        <w:t xml:space="preserve"> </w:t>
      </w:r>
      <w:r w:rsidR="00C6214E">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 xml:space="preserve">је </w:t>
      </w:r>
      <w:r w:rsidR="00C6214E">
        <w:rPr>
          <w:rFonts w:ascii="Times New Roman" w:hAnsi="Times New Roman"/>
          <w:szCs w:val="24"/>
          <w:lang w:val="bs-Latn-BA"/>
        </w:rPr>
        <w:t>израдио</w:t>
      </w:r>
      <w:r w:rsidR="003A2F08" w:rsidRPr="00295637">
        <w:rPr>
          <w:rFonts w:ascii="Times New Roman" w:hAnsi="Times New Roman"/>
          <w:szCs w:val="24"/>
          <w:lang w:val="bs-Latn-BA"/>
        </w:rPr>
        <w:t xml:space="preserve"> </w:t>
      </w:r>
      <w:r w:rsidR="00C6214E">
        <w:rPr>
          <w:rFonts w:ascii="Times New Roman" w:hAnsi="Times New Roman"/>
          <w:szCs w:val="24"/>
          <w:lang w:val="bs-Latn-BA"/>
        </w:rPr>
        <w:t>препоруке</w:t>
      </w:r>
      <w:r w:rsidR="003A2F08" w:rsidRPr="00295637">
        <w:rPr>
          <w:rFonts w:ascii="Times New Roman" w:hAnsi="Times New Roman"/>
          <w:szCs w:val="24"/>
          <w:lang w:val="bs-Latn-BA"/>
        </w:rPr>
        <w:t xml:space="preserve"> </w:t>
      </w:r>
      <w:r w:rsidR="00C6214E">
        <w:rPr>
          <w:rFonts w:ascii="Times New Roman" w:hAnsi="Times New Roman"/>
          <w:szCs w:val="24"/>
          <w:lang w:val="bs-Latn-BA"/>
        </w:rPr>
        <w:t>и</w:t>
      </w:r>
      <w:r w:rsidR="003A2F08" w:rsidRPr="00295637">
        <w:rPr>
          <w:rFonts w:ascii="Times New Roman" w:hAnsi="Times New Roman"/>
          <w:szCs w:val="24"/>
          <w:lang w:val="bs-Latn-BA"/>
        </w:rPr>
        <w:t xml:space="preserve"> </w:t>
      </w:r>
      <w:r w:rsidR="00C6214E">
        <w:rPr>
          <w:rFonts w:ascii="Times New Roman" w:hAnsi="Times New Roman"/>
          <w:szCs w:val="24"/>
          <w:lang w:val="bs-Latn-BA"/>
        </w:rPr>
        <w:t>коментаре</w:t>
      </w:r>
      <w:r w:rsidR="003A2F08" w:rsidRPr="00295637">
        <w:rPr>
          <w:rFonts w:ascii="Times New Roman" w:hAnsi="Times New Roman"/>
          <w:szCs w:val="24"/>
          <w:lang w:val="bs-Latn-BA"/>
        </w:rPr>
        <w:t xml:space="preserve"> </w:t>
      </w:r>
      <w:r w:rsidR="00C6214E">
        <w:rPr>
          <w:rFonts w:ascii="Times New Roman" w:hAnsi="Times New Roman"/>
          <w:szCs w:val="24"/>
          <w:lang w:val="bs-Latn-BA"/>
        </w:rPr>
        <w:t>за</w:t>
      </w:r>
      <w:r w:rsidR="003A2F08" w:rsidRPr="00295637">
        <w:rPr>
          <w:rFonts w:ascii="Times New Roman" w:hAnsi="Times New Roman"/>
          <w:szCs w:val="24"/>
          <w:lang w:val="bs-Latn-BA"/>
        </w:rPr>
        <w:t xml:space="preserve"> </w:t>
      </w:r>
      <w:r w:rsidR="00C6214E">
        <w:rPr>
          <w:rFonts w:ascii="Times New Roman" w:hAnsi="Times New Roman"/>
          <w:szCs w:val="24"/>
          <w:lang w:val="bs-Latn-BA"/>
        </w:rPr>
        <w:t>усклађивање</w:t>
      </w:r>
      <w:r w:rsidR="003A2F08"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A2F08" w:rsidRPr="00295637">
        <w:rPr>
          <w:rFonts w:ascii="Times New Roman" w:hAnsi="Times New Roman"/>
          <w:szCs w:val="24"/>
          <w:lang w:val="bs-Latn-BA"/>
        </w:rPr>
        <w:t xml:space="preserve"> </w:t>
      </w:r>
      <w:r w:rsidR="00C6214E">
        <w:rPr>
          <w:rFonts w:ascii="Times New Roman" w:hAnsi="Times New Roman"/>
          <w:szCs w:val="24"/>
          <w:lang w:val="bs-Latn-BA"/>
        </w:rPr>
        <w:t>о</w:t>
      </w:r>
      <w:r w:rsidR="003A2F08" w:rsidRPr="00295637">
        <w:rPr>
          <w:rFonts w:ascii="Times New Roman" w:hAnsi="Times New Roman"/>
          <w:szCs w:val="24"/>
          <w:lang w:val="bs-Latn-BA"/>
        </w:rPr>
        <w:t xml:space="preserve"> </w:t>
      </w:r>
      <w:r w:rsidR="00C6214E">
        <w:rPr>
          <w:rFonts w:ascii="Times New Roman" w:hAnsi="Times New Roman"/>
          <w:szCs w:val="24"/>
          <w:lang w:val="bs-Latn-BA"/>
        </w:rPr>
        <w:t>заштити</w:t>
      </w:r>
      <w:r w:rsidR="003A2F08" w:rsidRPr="00295637">
        <w:rPr>
          <w:rFonts w:ascii="Times New Roman" w:hAnsi="Times New Roman"/>
          <w:szCs w:val="24"/>
          <w:lang w:val="bs-Latn-BA"/>
        </w:rPr>
        <w:t xml:space="preserve"> </w:t>
      </w:r>
      <w:r w:rsidR="00C6214E">
        <w:rPr>
          <w:rFonts w:ascii="Times New Roman" w:hAnsi="Times New Roman"/>
          <w:szCs w:val="24"/>
          <w:lang w:val="bs-Latn-BA"/>
        </w:rPr>
        <w:t>од</w:t>
      </w:r>
      <w:r w:rsidR="003A2F08" w:rsidRPr="00295637">
        <w:rPr>
          <w:rFonts w:ascii="Times New Roman" w:hAnsi="Times New Roman"/>
          <w:szCs w:val="24"/>
          <w:lang w:val="bs-Latn-BA"/>
        </w:rPr>
        <w:t xml:space="preserve"> </w:t>
      </w:r>
      <w:r w:rsidR="00C6214E">
        <w:rPr>
          <w:rFonts w:ascii="Times New Roman" w:hAnsi="Times New Roman"/>
          <w:szCs w:val="24"/>
          <w:lang w:val="bs-Latn-BA"/>
        </w:rPr>
        <w:t>насиља</w:t>
      </w:r>
      <w:r w:rsidR="003A2F08" w:rsidRPr="00295637">
        <w:rPr>
          <w:rFonts w:ascii="Times New Roman" w:hAnsi="Times New Roman"/>
          <w:szCs w:val="24"/>
          <w:lang w:val="bs-Latn-BA"/>
        </w:rPr>
        <w:t xml:space="preserve"> </w:t>
      </w:r>
      <w:r w:rsidR="00C6214E">
        <w:rPr>
          <w:rFonts w:ascii="Times New Roman" w:hAnsi="Times New Roman"/>
          <w:szCs w:val="24"/>
          <w:lang w:val="bs-Latn-BA"/>
        </w:rPr>
        <w:t>у</w:t>
      </w:r>
      <w:r w:rsidR="003A2F08" w:rsidRPr="00295637">
        <w:rPr>
          <w:rFonts w:ascii="Times New Roman" w:hAnsi="Times New Roman"/>
          <w:szCs w:val="24"/>
          <w:lang w:val="bs-Latn-BA"/>
        </w:rPr>
        <w:t xml:space="preserve"> </w:t>
      </w:r>
      <w:r w:rsidR="00C6214E">
        <w:rPr>
          <w:rFonts w:ascii="Times New Roman" w:hAnsi="Times New Roman"/>
          <w:szCs w:val="24"/>
          <w:lang w:val="bs-Latn-BA"/>
        </w:rPr>
        <w:t>породици</w:t>
      </w:r>
      <w:r w:rsidR="003A2F08" w:rsidRPr="00295637">
        <w:rPr>
          <w:rFonts w:ascii="Times New Roman" w:hAnsi="Times New Roman"/>
          <w:szCs w:val="24"/>
          <w:lang w:val="bs-Latn-BA"/>
        </w:rPr>
        <w:t xml:space="preserve"> </w:t>
      </w:r>
      <w:r w:rsidR="00C6214E">
        <w:rPr>
          <w:rFonts w:ascii="Times New Roman" w:hAnsi="Times New Roman"/>
          <w:szCs w:val="24"/>
          <w:lang w:val="bs-Latn-BA"/>
        </w:rPr>
        <w:t>у</w:t>
      </w:r>
      <w:r w:rsidR="003A2F08" w:rsidRPr="00295637">
        <w:rPr>
          <w:rFonts w:ascii="Times New Roman" w:hAnsi="Times New Roman"/>
          <w:szCs w:val="24"/>
          <w:lang w:val="bs-Latn-BA"/>
        </w:rPr>
        <w:t xml:space="preserve"> </w:t>
      </w:r>
      <w:r w:rsidR="00C6214E">
        <w:rPr>
          <w:rFonts w:ascii="Times New Roman" w:hAnsi="Times New Roman"/>
          <w:szCs w:val="24"/>
          <w:lang w:val="bs-Latn-BA"/>
        </w:rPr>
        <w:t>ФБиХ</w:t>
      </w:r>
      <w:r w:rsidR="003A2F08" w:rsidRPr="00295637">
        <w:rPr>
          <w:rFonts w:ascii="Times New Roman" w:hAnsi="Times New Roman"/>
          <w:szCs w:val="24"/>
          <w:lang w:val="bs-Latn-BA"/>
        </w:rPr>
        <w:t xml:space="preserve"> </w:t>
      </w:r>
      <w:r w:rsidR="00C6214E">
        <w:rPr>
          <w:rFonts w:ascii="Times New Roman" w:hAnsi="Times New Roman"/>
          <w:szCs w:val="24"/>
          <w:lang w:val="bs-Latn-BA"/>
        </w:rPr>
        <w:t>и</w:t>
      </w:r>
      <w:r w:rsidR="003A2F08" w:rsidRPr="00295637">
        <w:rPr>
          <w:rFonts w:ascii="Times New Roman" w:hAnsi="Times New Roman"/>
          <w:szCs w:val="24"/>
          <w:lang w:val="bs-Latn-BA"/>
        </w:rPr>
        <w:t xml:space="preserve"> </w:t>
      </w:r>
      <w:r w:rsidR="00C6214E">
        <w:rPr>
          <w:rFonts w:ascii="Times New Roman" w:hAnsi="Times New Roman"/>
          <w:szCs w:val="24"/>
          <w:lang w:val="bs-Latn-BA"/>
        </w:rPr>
        <w:t>Кривичног</w:t>
      </w:r>
      <w:r w:rsidR="003A2F08"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A2F08" w:rsidRPr="00295637">
        <w:rPr>
          <w:rFonts w:ascii="Times New Roman" w:hAnsi="Times New Roman"/>
          <w:szCs w:val="24"/>
          <w:lang w:val="bs-Latn-BA"/>
        </w:rPr>
        <w:t xml:space="preserve"> </w:t>
      </w:r>
      <w:r w:rsidR="00C6214E">
        <w:rPr>
          <w:rFonts w:ascii="Times New Roman" w:hAnsi="Times New Roman"/>
          <w:szCs w:val="24"/>
          <w:lang w:val="bs-Latn-BA"/>
        </w:rPr>
        <w:t>ФБиХ</w:t>
      </w:r>
      <w:r w:rsidR="00DE3EB1">
        <w:rPr>
          <w:rFonts w:ascii="Times New Roman" w:hAnsi="Times New Roman"/>
          <w:szCs w:val="24"/>
          <w:lang w:val="bs-Latn-BA"/>
        </w:rPr>
        <w:t xml:space="preserve"> </w:t>
      </w:r>
      <w:r w:rsidR="00C6214E">
        <w:rPr>
          <w:rFonts w:ascii="Times New Roman" w:hAnsi="Times New Roman"/>
          <w:szCs w:val="24"/>
          <w:lang w:val="bs-Latn-BA"/>
        </w:rPr>
        <w:t>са</w:t>
      </w:r>
      <w:r w:rsidR="003A2F08" w:rsidRPr="00295637">
        <w:rPr>
          <w:rFonts w:ascii="Times New Roman" w:hAnsi="Times New Roman"/>
          <w:szCs w:val="24"/>
          <w:lang w:val="bs-Latn-BA"/>
        </w:rPr>
        <w:t xml:space="preserve"> </w:t>
      </w:r>
      <w:r w:rsidR="00C6214E">
        <w:rPr>
          <w:rFonts w:ascii="Times New Roman" w:hAnsi="Times New Roman"/>
          <w:szCs w:val="24"/>
          <w:lang w:val="bs-Latn-BA"/>
        </w:rPr>
        <w:t>Истанбулском</w:t>
      </w:r>
      <w:r w:rsidR="003A2F08" w:rsidRPr="00295637">
        <w:rPr>
          <w:rFonts w:ascii="Times New Roman" w:hAnsi="Times New Roman"/>
          <w:szCs w:val="24"/>
          <w:lang w:val="bs-Latn-BA"/>
        </w:rPr>
        <w:t xml:space="preserve"> </w:t>
      </w:r>
      <w:r w:rsidR="00C6214E">
        <w:rPr>
          <w:rFonts w:ascii="Times New Roman" w:hAnsi="Times New Roman"/>
          <w:szCs w:val="24"/>
          <w:lang w:val="bs-Latn-BA"/>
        </w:rPr>
        <w:t>конвенцијом</w:t>
      </w:r>
      <w:r w:rsidR="003A2F08" w:rsidRPr="00295637">
        <w:rPr>
          <w:rFonts w:ascii="Times New Roman" w:hAnsi="Times New Roman"/>
          <w:szCs w:val="24"/>
          <w:lang w:val="bs-Latn-BA"/>
        </w:rPr>
        <w:t xml:space="preserve">, </w:t>
      </w:r>
      <w:r w:rsidR="00C6214E">
        <w:rPr>
          <w:rFonts w:ascii="Times New Roman" w:hAnsi="Times New Roman"/>
          <w:szCs w:val="24"/>
          <w:lang w:val="bs-Latn-BA"/>
        </w:rPr>
        <w:t>Нацрт</w:t>
      </w:r>
      <w:r w:rsidR="003A2F08"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A2F08" w:rsidRPr="00295637">
        <w:rPr>
          <w:rFonts w:ascii="Times New Roman" w:hAnsi="Times New Roman"/>
          <w:szCs w:val="24"/>
          <w:lang w:val="bs-Latn-BA"/>
        </w:rPr>
        <w:t xml:space="preserve"> </w:t>
      </w:r>
      <w:r w:rsidR="00C6214E">
        <w:rPr>
          <w:rFonts w:ascii="Times New Roman" w:hAnsi="Times New Roman"/>
          <w:szCs w:val="24"/>
          <w:lang w:val="bs-Latn-BA"/>
        </w:rPr>
        <w:t>о</w:t>
      </w:r>
      <w:r w:rsidR="003A2F08" w:rsidRPr="00295637">
        <w:rPr>
          <w:rFonts w:ascii="Times New Roman" w:hAnsi="Times New Roman"/>
          <w:szCs w:val="24"/>
          <w:lang w:val="bs-Latn-BA"/>
        </w:rPr>
        <w:t xml:space="preserve"> </w:t>
      </w:r>
      <w:r w:rsidR="00C6214E">
        <w:rPr>
          <w:rFonts w:ascii="Times New Roman" w:hAnsi="Times New Roman"/>
          <w:szCs w:val="24"/>
          <w:lang w:val="bs-Latn-BA"/>
        </w:rPr>
        <w:t>финансирању</w:t>
      </w:r>
      <w:r w:rsidR="003A2F08" w:rsidRPr="00295637">
        <w:rPr>
          <w:rFonts w:ascii="Times New Roman" w:hAnsi="Times New Roman"/>
          <w:szCs w:val="24"/>
          <w:lang w:val="bs-Latn-BA"/>
        </w:rPr>
        <w:t xml:space="preserve"> </w:t>
      </w:r>
      <w:r w:rsidR="00C6214E">
        <w:rPr>
          <w:rFonts w:ascii="Times New Roman" w:hAnsi="Times New Roman"/>
          <w:szCs w:val="24"/>
          <w:lang w:val="bs-Latn-BA"/>
        </w:rPr>
        <w:t>организација</w:t>
      </w:r>
      <w:r w:rsidR="003A2F08" w:rsidRPr="00295637">
        <w:rPr>
          <w:rFonts w:ascii="Times New Roman" w:hAnsi="Times New Roman"/>
          <w:szCs w:val="24"/>
          <w:lang w:val="bs-Latn-BA"/>
        </w:rPr>
        <w:t xml:space="preserve"> </w:t>
      </w:r>
      <w:r w:rsidR="00C6214E">
        <w:rPr>
          <w:rFonts w:ascii="Times New Roman" w:hAnsi="Times New Roman"/>
          <w:szCs w:val="24"/>
          <w:lang w:val="bs-Latn-BA"/>
        </w:rPr>
        <w:t>цивилног</w:t>
      </w:r>
      <w:r w:rsidR="003A2F08" w:rsidRPr="00295637">
        <w:rPr>
          <w:rFonts w:ascii="Times New Roman" w:hAnsi="Times New Roman"/>
          <w:szCs w:val="24"/>
          <w:lang w:val="bs-Latn-BA"/>
        </w:rPr>
        <w:t xml:space="preserve"> </w:t>
      </w:r>
      <w:r w:rsidR="00C6214E">
        <w:rPr>
          <w:rFonts w:ascii="Times New Roman" w:hAnsi="Times New Roman"/>
          <w:szCs w:val="24"/>
          <w:lang w:val="bs-Latn-BA"/>
        </w:rPr>
        <w:t>друштва</w:t>
      </w:r>
      <w:r w:rsidR="003A2F08" w:rsidRPr="00295637">
        <w:rPr>
          <w:rFonts w:ascii="Times New Roman" w:hAnsi="Times New Roman"/>
          <w:szCs w:val="24"/>
          <w:lang w:val="bs-Latn-BA"/>
        </w:rPr>
        <w:t xml:space="preserve"> </w:t>
      </w:r>
      <w:r w:rsidR="00C6214E">
        <w:rPr>
          <w:rFonts w:ascii="Times New Roman" w:hAnsi="Times New Roman"/>
          <w:szCs w:val="24"/>
          <w:lang w:val="bs-Latn-BA"/>
        </w:rPr>
        <w:t>у</w:t>
      </w:r>
      <w:r w:rsidR="003A2F08" w:rsidRPr="00295637">
        <w:rPr>
          <w:rFonts w:ascii="Times New Roman" w:hAnsi="Times New Roman"/>
          <w:szCs w:val="24"/>
          <w:lang w:val="bs-Latn-BA"/>
        </w:rPr>
        <w:t xml:space="preserve"> </w:t>
      </w:r>
      <w:r w:rsidR="00C6214E">
        <w:rPr>
          <w:rFonts w:ascii="Times New Roman" w:hAnsi="Times New Roman"/>
          <w:szCs w:val="24"/>
          <w:lang w:val="bs-Latn-BA"/>
        </w:rPr>
        <w:t>ФБиХ</w:t>
      </w:r>
      <w:r w:rsidR="003A2F08" w:rsidRPr="00295637">
        <w:rPr>
          <w:rFonts w:ascii="Times New Roman" w:hAnsi="Times New Roman"/>
          <w:szCs w:val="24"/>
          <w:lang w:val="bs-Latn-BA"/>
        </w:rPr>
        <w:t xml:space="preserve">, </w:t>
      </w:r>
      <w:r w:rsidR="00C6214E">
        <w:rPr>
          <w:rFonts w:ascii="Times New Roman" w:hAnsi="Times New Roman"/>
          <w:szCs w:val="24"/>
          <w:lang w:val="bs-Latn-BA"/>
        </w:rPr>
        <w:t>Нацрт</w:t>
      </w:r>
      <w:r w:rsidR="003A2F08"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A2F08" w:rsidRPr="00295637">
        <w:rPr>
          <w:rFonts w:ascii="Times New Roman" w:hAnsi="Times New Roman"/>
          <w:szCs w:val="24"/>
          <w:lang w:val="bs-Latn-BA"/>
        </w:rPr>
        <w:t xml:space="preserve"> </w:t>
      </w:r>
      <w:r w:rsidR="00C6214E">
        <w:rPr>
          <w:rFonts w:ascii="Times New Roman" w:hAnsi="Times New Roman"/>
          <w:szCs w:val="24"/>
          <w:lang w:val="bs-Latn-BA"/>
        </w:rPr>
        <w:t>о</w:t>
      </w:r>
      <w:r w:rsidR="003A2F08" w:rsidRPr="00295637">
        <w:rPr>
          <w:rFonts w:ascii="Times New Roman" w:hAnsi="Times New Roman"/>
          <w:szCs w:val="24"/>
          <w:lang w:val="bs-Latn-BA"/>
        </w:rPr>
        <w:t xml:space="preserve"> </w:t>
      </w:r>
      <w:r w:rsidR="00C6214E">
        <w:rPr>
          <w:rFonts w:ascii="Times New Roman" w:hAnsi="Times New Roman"/>
          <w:szCs w:val="24"/>
          <w:lang w:val="bs-Latn-BA"/>
        </w:rPr>
        <w:t>заштити</w:t>
      </w:r>
      <w:r w:rsidR="003A2F08" w:rsidRPr="00295637">
        <w:rPr>
          <w:rFonts w:ascii="Times New Roman" w:hAnsi="Times New Roman"/>
          <w:szCs w:val="24"/>
          <w:lang w:val="bs-Latn-BA"/>
        </w:rPr>
        <w:t xml:space="preserve"> </w:t>
      </w:r>
      <w:r w:rsidR="00C6214E">
        <w:rPr>
          <w:rFonts w:ascii="Times New Roman" w:hAnsi="Times New Roman"/>
          <w:szCs w:val="24"/>
          <w:lang w:val="bs-Latn-BA"/>
        </w:rPr>
        <w:t>права</w:t>
      </w:r>
      <w:r w:rsidR="003A2F08" w:rsidRPr="00295637">
        <w:rPr>
          <w:rFonts w:ascii="Times New Roman" w:hAnsi="Times New Roman"/>
          <w:szCs w:val="24"/>
          <w:lang w:val="bs-Latn-BA"/>
        </w:rPr>
        <w:t xml:space="preserve"> </w:t>
      </w:r>
      <w:r w:rsidR="00C6214E">
        <w:rPr>
          <w:rFonts w:ascii="Times New Roman" w:hAnsi="Times New Roman"/>
          <w:szCs w:val="24"/>
          <w:lang w:val="bs-Latn-BA"/>
        </w:rPr>
        <w:t>на</w:t>
      </w:r>
      <w:r w:rsidR="003A2F08" w:rsidRPr="00295637">
        <w:rPr>
          <w:rFonts w:ascii="Times New Roman" w:hAnsi="Times New Roman"/>
          <w:szCs w:val="24"/>
          <w:lang w:val="bs-Latn-BA"/>
        </w:rPr>
        <w:t xml:space="preserve"> </w:t>
      </w:r>
      <w:r w:rsidR="00C6214E">
        <w:rPr>
          <w:rFonts w:ascii="Times New Roman" w:hAnsi="Times New Roman"/>
          <w:szCs w:val="24"/>
          <w:lang w:val="bs-Latn-BA"/>
        </w:rPr>
        <w:t>правично</w:t>
      </w:r>
      <w:r w:rsidR="003A2F08" w:rsidRPr="00295637">
        <w:rPr>
          <w:rFonts w:ascii="Times New Roman" w:hAnsi="Times New Roman"/>
          <w:szCs w:val="24"/>
          <w:lang w:val="bs-Latn-BA"/>
        </w:rPr>
        <w:t xml:space="preserve"> </w:t>
      </w:r>
      <w:r w:rsidR="00C6214E">
        <w:rPr>
          <w:rFonts w:ascii="Times New Roman" w:hAnsi="Times New Roman"/>
          <w:szCs w:val="24"/>
          <w:lang w:val="bs-Latn-BA"/>
        </w:rPr>
        <w:t>суђење</w:t>
      </w:r>
      <w:r w:rsidR="003A2F08" w:rsidRPr="00295637">
        <w:rPr>
          <w:rFonts w:ascii="Times New Roman" w:hAnsi="Times New Roman"/>
          <w:szCs w:val="24"/>
          <w:lang w:val="bs-Latn-BA"/>
        </w:rPr>
        <w:t xml:space="preserve"> </w:t>
      </w:r>
      <w:r w:rsidR="00C6214E">
        <w:rPr>
          <w:rFonts w:ascii="Times New Roman" w:hAnsi="Times New Roman"/>
          <w:szCs w:val="24"/>
          <w:lang w:val="bs-Latn-BA"/>
        </w:rPr>
        <w:t>у</w:t>
      </w:r>
      <w:r w:rsidR="003A2F08" w:rsidRPr="00295637">
        <w:rPr>
          <w:rFonts w:ascii="Times New Roman" w:hAnsi="Times New Roman"/>
          <w:szCs w:val="24"/>
          <w:lang w:val="bs-Latn-BA"/>
        </w:rPr>
        <w:t xml:space="preserve"> </w:t>
      </w:r>
      <w:r w:rsidR="00C6214E">
        <w:rPr>
          <w:rFonts w:ascii="Times New Roman" w:hAnsi="Times New Roman"/>
          <w:szCs w:val="24"/>
          <w:lang w:val="bs-Latn-BA"/>
        </w:rPr>
        <w:t>разумном</w:t>
      </w:r>
      <w:r w:rsidR="003A2F08" w:rsidRPr="00295637">
        <w:rPr>
          <w:rFonts w:ascii="Times New Roman" w:hAnsi="Times New Roman"/>
          <w:szCs w:val="24"/>
          <w:lang w:val="bs-Latn-BA"/>
        </w:rPr>
        <w:t xml:space="preserve"> </w:t>
      </w:r>
      <w:r w:rsidR="00C6214E">
        <w:rPr>
          <w:rFonts w:ascii="Times New Roman" w:hAnsi="Times New Roman"/>
          <w:szCs w:val="24"/>
          <w:lang w:val="bs-Latn-BA"/>
        </w:rPr>
        <w:t>року</w:t>
      </w:r>
      <w:r w:rsidR="003A2F08" w:rsidRPr="00295637">
        <w:rPr>
          <w:rFonts w:ascii="Times New Roman" w:hAnsi="Times New Roman"/>
          <w:szCs w:val="24"/>
          <w:lang w:val="bs-Latn-BA"/>
        </w:rPr>
        <w:t xml:space="preserve"> </w:t>
      </w:r>
      <w:r w:rsidR="00C6214E">
        <w:rPr>
          <w:rFonts w:ascii="Times New Roman" w:hAnsi="Times New Roman"/>
          <w:szCs w:val="24"/>
          <w:lang w:val="bs-Latn-BA"/>
        </w:rPr>
        <w:t>те</w:t>
      </w:r>
      <w:r w:rsidR="003A2F08" w:rsidRPr="00295637">
        <w:rPr>
          <w:rFonts w:ascii="Times New Roman" w:hAnsi="Times New Roman"/>
          <w:szCs w:val="24"/>
          <w:lang w:val="bs-Latn-BA"/>
        </w:rPr>
        <w:t xml:space="preserve"> </w:t>
      </w:r>
      <w:r w:rsidR="00C6214E">
        <w:rPr>
          <w:rFonts w:ascii="Times New Roman" w:hAnsi="Times New Roman"/>
          <w:szCs w:val="24"/>
          <w:lang w:val="bs-Latn-BA"/>
        </w:rPr>
        <w:t>Нацрт</w:t>
      </w:r>
      <w:r w:rsidR="003A2F08"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A2F08" w:rsidRPr="00295637">
        <w:rPr>
          <w:rFonts w:ascii="Times New Roman" w:hAnsi="Times New Roman"/>
          <w:szCs w:val="24"/>
          <w:lang w:val="bs-Latn-BA"/>
        </w:rPr>
        <w:t xml:space="preserve"> </w:t>
      </w:r>
      <w:r w:rsidR="00C6214E">
        <w:rPr>
          <w:rFonts w:ascii="Times New Roman" w:hAnsi="Times New Roman"/>
          <w:szCs w:val="24"/>
          <w:lang w:val="bs-Latn-BA"/>
        </w:rPr>
        <w:t>о</w:t>
      </w:r>
      <w:r w:rsidR="003A2F08" w:rsidRPr="00295637">
        <w:rPr>
          <w:rFonts w:ascii="Times New Roman" w:hAnsi="Times New Roman"/>
          <w:szCs w:val="24"/>
          <w:lang w:val="bs-Latn-BA"/>
        </w:rPr>
        <w:t xml:space="preserve"> </w:t>
      </w:r>
      <w:r w:rsidR="00C6214E">
        <w:rPr>
          <w:rFonts w:ascii="Times New Roman" w:hAnsi="Times New Roman"/>
          <w:szCs w:val="24"/>
          <w:lang w:val="bs-Latn-BA"/>
        </w:rPr>
        <w:t>социјалним</w:t>
      </w:r>
      <w:r w:rsidR="003A2F08" w:rsidRPr="00295637">
        <w:rPr>
          <w:rFonts w:ascii="Times New Roman" w:hAnsi="Times New Roman"/>
          <w:szCs w:val="24"/>
          <w:lang w:val="bs-Latn-BA"/>
        </w:rPr>
        <w:t xml:space="preserve"> </w:t>
      </w:r>
      <w:r w:rsidR="00C6214E">
        <w:rPr>
          <w:rFonts w:ascii="Times New Roman" w:hAnsi="Times New Roman"/>
          <w:szCs w:val="24"/>
          <w:lang w:val="bs-Latn-BA"/>
        </w:rPr>
        <w:t>услугама</w:t>
      </w:r>
      <w:r w:rsidR="007C41AE" w:rsidRPr="00295637">
        <w:rPr>
          <w:rFonts w:ascii="Times New Roman" w:hAnsi="Times New Roman"/>
          <w:szCs w:val="24"/>
          <w:lang w:val="bs-Latn-BA"/>
        </w:rPr>
        <w:t>.</w:t>
      </w:r>
    </w:p>
    <w:p w:rsidR="003A2F08" w:rsidRPr="00295637" w:rsidRDefault="003A2F08" w:rsidP="0086268D">
      <w:pPr>
        <w:jc w:val="both"/>
        <w:rPr>
          <w:rFonts w:ascii="Times New Roman" w:hAnsi="Times New Roman"/>
          <w:szCs w:val="24"/>
          <w:lang w:val="bs-Latn-BA"/>
        </w:rPr>
      </w:pPr>
    </w:p>
    <w:p w:rsidR="003A2F08" w:rsidRPr="00295637" w:rsidRDefault="00C6214E" w:rsidP="0086268D">
      <w:pPr>
        <w:jc w:val="both"/>
        <w:rPr>
          <w:rFonts w:ascii="Times New Roman" w:hAnsi="Times New Roman"/>
          <w:szCs w:val="24"/>
          <w:lang w:val="bs-Latn-BA"/>
        </w:rPr>
      </w:pPr>
      <w:r>
        <w:rPr>
          <w:rFonts w:ascii="Times New Roman" w:hAnsi="Times New Roman"/>
          <w:szCs w:val="24"/>
          <w:lang w:val="bs-Latn-BA"/>
        </w:rPr>
        <w:t>ГЦ</w:t>
      </w:r>
      <w:r w:rsidR="00DE3EB1">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BE03C5" w:rsidRPr="00295637">
        <w:rPr>
          <w:rFonts w:ascii="Times New Roman" w:hAnsi="Times New Roman"/>
          <w:szCs w:val="24"/>
          <w:lang w:val="bs-Latn-BA"/>
        </w:rPr>
        <w:t xml:space="preserve"> </w:t>
      </w:r>
      <w:r>
        <w:rPr>
          <w:rFonts w:ascii="Times New Roman" w:hAnsi="Times New Roman"/>
          <w:szCs w:val="24"/>
          <w:lang w:val="bs-Latn-BA"/>
        </w:rPr>
        <w:t>учествовао</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радној</w:t>
      </w:r>
      <w:r w:rsidR="003A2F08" w:rsidRPr="00295637">
        <w:rPr>
          <w:rFonts w:ascii="Times New Roman" w:hAnsi="Times New Roman"/>
          <w:szCs w:val="24"/>
          <w:lang w:val="bs-Latn-BA"/>
        </w:rPr>
        <w:t xml:space="preserve"> </w:t>
      </w:r>
      <w:r>
        <w:rPr>
          <w:rFonts w:ascii="Times New Roman" w:hAnsi="Times New Roman"/>
          <w:szCs w:val="24"/>
          <w:lang w:val="bs-Latn-BA"/>
        </w:rPr>
        <w:t>групи</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израду</w:t>
      </w:r>
      <w:r w:rsidR="003A2F08" w:rsidRPr="00295637">
        <w:rPr>
          <w:rFonts w:ascii="Times New Roman" w:hAnsi="Times New Roman"/>
          <w:szCs w:val="24"/>
          <w:lang w:val="bs-Latn-BA"/>
        </w:rPr>
        <w:t xml:space="preserve"> </w:t>
      </w:r>
      <w:r>
        <w:rPr>
          <w:rFonts w:ascii="Times New Roman" w:hAnsi="Times New Roman"/>
          <w:szCs w:val="24"/>
          <w:lang w:val="bs-Latn-BA"/>
        </w:rPr>
        <w:t>Стратегије</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унапређење</w:t>
      </w:r>
      <w:r w:rsidR="00DE3EB1">
        <w:rPr>
          <w:rFonts w:ascii="Times New Roman" w:hAnsi="Times New Roman"/>
          <w:szCs w:val="24"/>
          <w:lang w:val="bs-Latn-BA"/>
        </w:rPr>
        <w:t xml:space="preserve"> </w:t>
      </w:r>
      <w:r>
        <w:rPr>
          <w:rFonts w:ascii="Times New Roman" w:hAnsi="Times New Roman"/>
          <w:szCs w:val="24"/>
          <w:lang w:val="bs-Latn-BA"/>
        </w:rPr>
        <w:t>права</w:t>
      </w:r>
      <w:r w:rsidR="00DE3EB1">
        <w:rPr>
          <w:rFonts w:ascii="Times New Roman" w:hAnsi="Times New Roman"/>
          <w:szCs w:val="24"/>
          <w:lang w:val="bs-Latn-BA"/>
        </w:rPr>
        <w:t xml:space="preserve"> </w:t>
      </w:r>
      <w:r>
        <w:rPr>
          <w:rFonts w:ascii="Times New Roman" w:hAnsi="Times New Roman"/>
          <w:szCs w:val="24"/>
          <w:lang w:val="bs-Latn-BA"/>
        </w:rPr>
        <w:t>и</w:t>
      </w:r>
      <w:r w:rsidR="00DE3EB1">
        <w:rPr>
          <w:rFonts w:ascii="Times New Roman" w:hAnsi="Times New Roman"/>
          <w:szCs w:val="24"/>
          <w:lang w:val="bs-Latn-BA"/>
        </w:rPr>
        <w:t xml:space="preserve"> </w:t>
      </w:r>
      <w:r>
        <w:rPr>
          <w:rFonts w:ascii="Times New Roman" w:hAnsi="Times New Roman"/>
          <w:szCs w:val="24"/>
          <w:lang w:val="bs-Latn-BA"/>
        </w:rPr>
        <w:t>положаја</w:t>
      </w:r>
      <w:r w:rsidR="00DE3EB1">
        <w:rPr>
          <w:rFonts w:ascii="Times New Roman" w:hAnsi="Times New Roman"/>
          <w:szCs w:val="24"/>
          <w:lang w:val="bs-Latn-BA"/>
        </w:rPr>
        <w:t xml:space="preserve"> </w:t>
      </w:r>
      <w:r>
        <w:rPr>
          <w:rFonts w:ascii="Times New Roman" w:hAnsi="Times New Roman"/>
          <w:szCs w:val="24"/>
          <w:lang w:val="bs-Latn-BA"/>
        </w:rPr>
        <w:t>лица</w:t>
      </w:r>
      <w:r w:rsidR="00DE3EB1">
        <w:rPr>
          <w:rFonts w:ascii="Times New Roman" w:hAnsi="Times New Roman"/>
          <w:szCs w:val="24"/>
          <w:lang w:val="bs-Latn-BA"/>
        </w:rPr>
        <w:t xml:space="preserve"> </w:t>
      </w:r>
      <w:r>
        <w:rPr>
          <w:rFonts w:ascii="Times New Roman" w:hAnsi="Times New Roman"/>
          <w:szCs w:val="24"/>
          <w:lang w:val="bs-Latn-BA"/>
        </w:rPr>
        <w:t>са</w:t>
      </w:r>
      <w:r w:rsidR="003A2F08" w:rsidRPr="00295637">
        <w:rPr>
          <w:rFonts w:ascii="Times New Roman" w:hAnsi="Times New Roman"/>
          <w:szCs w:val="24"/>
          <w:lang w:val="bs-Latn-BA"/>
        </w:rPr>
        <w:t xml:space="preserve"> </w:t>
      </w:r>
      <w:r>
        <w:rPr>
          <w:rFonts w:ascii="Times New Roman" w:hAnsi="Times New Roman"/>
          <w:szCs w:val="24"/>
          <w:lang w:val="bs-Latn-BA"/>
        </w:rPr>
        <w:t>инвалидитетом</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2022</w:t>
      </w:r>
      <w:r w:rsidR="00DE3EB1">
        <w:rPr>
          <w:rFonts w:ascii="Times New Roman" w:hAnsi="Times New Roman"/>
          <w:szCs w:val="24"/>
          <w:lang w:val="bs-Latn-BA"/>
        </w:rPr>
        <w:t>-</w:t>
      </w:r>
      <w:r w:rsidR="00BE03C5" w:rsidRPr="00295637">
        <w:rPr>
          <w:rFonts w:ascii="Times New Roman" w:hAnsi="Times New Roman"/>
          <w:szCs w:val="24"/>
          <w:lang w:val="bs-Latn-BA"/>
        </w:rPr>
        <w:t>2027.</w:t>
      </w:r>
      <w:r w:rsidR="00DE3EB1">
        <w:rPr>
          <w:rFonts w:ascii="Times New Roman" w:hAnsi="Times New Roman"/>
          <w:szCs w:val="24"/>
          <w:lang w:val="bs-Latn-BA"/>
        </w:rPr>
        <w:t xml:space="preserve"> </w:t>
      </w:r>
      <w:r>
        <w:rPr>
          <w:rFonts w:ascii="Times New Roman" w:hAnsi="Times New Roman"/>
          <w:szCs w:val="24"/>
          <w:lang w:val="bs-Latn-BA"/>
        </w:rPr>
        <w:t>година</w:t>
      </w:r>
      <w:r w:rsidR="00DE3EB1">
        <w:rPr>
          <w:rFonts w:ascii="Times New Roman" w:hAnsi="Times New Roman"/>
          <w:szCs w:val="24"/>
          <w:lang w:val="bs-Latn-BA"/>
        </w:rPr>
        <w:t>.</w:t>
      </w:r>
      <w:r w:rsidR="003A2F08" w:rsidRPr="00295637">
        <w:rPr>
          <w:rFonts w:ascii="Times New Roman" w:hAnsi="Times New Roman"/>
          <w:szCs w:val="24"/>
          <w:lang w:val="bs-Latn-BA"/>
        </w:rPr>
        <w:t xml:space="preserve"> </w:t>
      </w:r>
      <w:r>
        <w:rPr>
          <w:rFonts w:ascii="Times New Roman" w:hAnsi="Times New Roman"/>
          <w:szCs w:val="24"/>
          <w:lang w:val="bs-Latn-BA"/>
        </w:rPr>
        <w:t>Током</w:t>
      </w:r>
      <w:r w:rsidR="003A2F08" w:rsidRPr="00295637">
        <w:rPr>
          <w:rFonts w:ascii="Times New Roman" w:hAnsi="Times New Roman"/>
          <w:szCs w:val="24"/>
          <w:lang w:val="bs-Latn-BA"/>
        </w:rPr>
        <w:t xml:space="preserve"> </w:t>
      </w:r>
      <w:r>
        <w:rPr>
          <w:rFonts w:ascii="Times New Roman" w:hAnsi="Times New Roman"/>
          <w:szCs w:val="24"/>
          <w:lang w:val="bs-Latn-BA"/>
        </w:rPr>
        <w:t>израде</w:t>
      </w:r>
      <w:r w:rsidR="003A2F08" w:rsidRPr="00295637">
        <w:rPr>
          <w:rFonts w:ascii="Times New Roman" w:hAnsi="Times New Roman"/>
          <w:szCs w:val="24"/>
          <w:lang w:val="bs-Latn-BA"/>
        </w:rPr>
        <w:t xml:space="preserve"> </w:t>
      </w:r>
      <w:r>
        <w:rPr>
          <w:rFonts w:ascii="Times New Roman" w:hAnsi="Times New Roman"/>
          <w:szCs w:val="24"/>
          <w:lang w:val="bs-Latn-BA"/>
        </w:rPr>
        <w:t>стратегије</w:t>
      </w:r>
      <w:r w:rsidR="00BE03C5" w:rsidRPr="00295637">
        <w:rPr>
          <w:rFonts w:ascii="Times New Roman" w:hAnsi="Times New Roman"/>
          <w:szCs w:val="24"/>
          <w:lang w:val="bs-Latn-BA"/>
        </w:rPr>
        <w:t xml:space="preserve"> </w:t>
      </w:r>
      <w:r>
        <w:rPr>
          <w:rFonts w:ascii="Times New Roman" w:hAnsi="Times New Roman"/>
          <w:szCs w:val="24"/>
          <w:lang w:val="bs-Latn-BA"/>
        </w:rPr>
        <w:t>достављени</w:t>
      </w:r>
      <w:r w:rsidR="003A2F08" w:rsidRPr="00295637">
        <w:rPr>
          <w:rFonts w:ascii="Times New Roman" w:hAnsi="Times New Roman"/>
          <w:szCs w:val="24"/>
          <w:lang w:val="bs-Latn-BA"/>
        </w:rPr>
        <w:t xml:space="preserve"> </w:t>
      </w:r>
      <w:r>
        <w:rPr>
          <w:rFonts w:ascii="Times New Roman" w:hAnsi="Times New Roman"/>
          <w:szCs w:val="24"/>
          <w:lang w:val="bs-Latn-BA"/>
        </w:rPr>
        <w:t>су</w:t>
      </w:r>
      <w:r w:rsidR="003A2F08" w:rsidRPr="00295637">
        <w:rPr>
          <w:rFonts w:ascii="Times New Roman" w:hAnsi="Times New Roman"/>
          <w:szCs w:val="24"/>
          <w:lang w:val="bs-Latn-BA"/>
        </w:rPr>
        <w:t xml:space="preserve"> </w:t>
      </w:r>
      <w:r>
        <w:rPr>
          <w:rFonts w:ascii="Times New Roman" w:hAnsi="Times New Roman"/>
          <w:szCs w:val="24"/>
          <w:lang w:val="bs-Latn-BA"/>
        </w:rPr>
        <w:t>анализа</w:t>
      </w:r>
      <w:r w:rsidR="003A2F08" w:rsidRPr="00295637">
        <w:rPr>
          <w:rFonts w:ascii="Times New Roman" w:hAnsi="Times New Roman"/>
          <w:szCs w:val="24"/>
          <w:lang w:val="bs-Latn-BA"/>
        </w:rPr>
        <w:t xml:space="preserve">, </w:t>
      </w:r>
      <w:r>
        <w:rPr>
          <w:rFonts w:ascii="Times New Roman" w:hAnsi="Times New Roman"/>
          <w:szCs w:val="24"/>
          <w:lang w:val="bs-Latn-BA"/>
        </w:rPr>
        <w:t>коментари</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мишљење</w:t>
      </w:r>
      <w:r w:rsidR="003A2F08" w:rsidRPr="00295637">
        <w:rPr>
          <w:rFonts w:ascii="Times New Roman" w:hAnsi="Times New Roman"/>
          <w:szCs w:val="24"/>
          <w:lang w:val="bs-Latn-BA"/>
        </w:rPr>
        <w:t xml:space="preserve">, </w:t>
      </w:r>
      <w:r>
        <w:rPr>
          <w:rFonts w:ascii="Times New Roman" w:hAnsi="Times New Roman"/>
          <w:szCs w:val="24"/>
          <w:lang w:val="bs-Latn-BA"/>
        </w:rPr>
        <w:t>као</w:t>
      </w:r>
      <w:r w:rsidR="00BE03C5"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коментари</w:t>
      </w:r>
      <w:r w:rsidR="003A2F08" w:rsidRPr="00295637">
        <w:rPr>
          <w:rFonts w:ascii="Times New Roman" w:hAnsi="Times New Roman"/>
          <w:szCs w:val="24"/>
          <w:lang w:val="bs-Latn-BA"/>
        </w:rPr>
        <w:t xml:space="preserve"> </w:t>
      </w:r>
      <w:r>
        <w:rPr>
          <w:rFonts w:ascii="Times New Roman" w:hAnsi="Times New Roman"/>
          <w:szCs w:val="24"/>
          <w:lang w:val="bs-Latn-BA"/>
        </w:rPr>
        <w:t>на</w:t>
      </w:r>
      <w:r w:rsidR="003A2F08" w:rsidRPr="00295637">
        <w:rPr>
          <w:rFonts w:ascii="Times New Roman" w:hAnsi="Times New Roman"/>
          <w:szCs w:val="24"/>
          <w:lang w:val="bs-Latn-BA"/>
        </w:rPr>
        <w:t xml:space="preserve"> </w:t>
      </w:r>
      <w:r>
        <w:rPr>
          <w:rFonts w:ascii="Times New Roman" w:hAnsi="Times New Roman"/>
          <w:szCs w:val="24"/>
          <w:lang w:val="bs-Latn-BA"/>
        </w:rPr>
        <w:t>Стратегију</w:t>
      </w:r>
      <w:r w:rsidR="003A2F08" w:rsidRPr="00295637">
        <w:rPr>
          <w:rFonts w:ascii="Times New Roman" w:hAnsi="Times New Roman"/>
          <w:szCs w:val="24"/>
          <w:lang w:val="bs-Latn-BA"/>
        </w:rPr>
        <w:t xml:space="preserve"> </w:t>
      </w:r>
      <w:r>
        <w:rPr>
          <w:rFonts w:ascii="Times New Roman" w:hAnsi="Times New Roman"/>
          <w:szCs w:val="24"/>
          <w:lang w:val="bs-Latn-BA"/>
        </w:rPr>
        <w:t>демографског</w:t>
      </w:r>
      <w:r w:rsidR="003A2F08" w:rsidRPr="00295637">
        <w:rPr>
          <w:rFonts w:ascii="Times New Roman" w:hAnsi="Times New Roman"/>
          <w:szCs w:val="24"/>
          <w:lang w:val="bs-Latn-BA"/>
        </w:rPr>
        <w:t xml:space="preserve"> </w:t>
      </w:r>
      <w:r>
        <w:rPr>
          <w:rFonts w:ascii="Times New Roman" w:hAnsi="Times New Roman"/>
          <w:szCs w:val="24"/>
          <w:lang w:val="bs-Latn-BA"/>
        </w:rPr>
        <w:t>развоја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обнове</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2024</w:t>
      </w:r>
      <w:r w:rsidR="00DE3EB1">
        <w:rPr>
          <w:rFonts w:ascii="Times New Roman" w:hAnsi="Times New Roman"/>
          <w:szCs w:val="24"/>
          <w:lang w:val="bs-Latn-BA"/>
        </w:rPr>
        <w:t>-</w:t>
      </w:r>
      <w:r w:rsidR="003A2F08" w:rsidRPr="00295637">
        <w:rPr>
          <w:rFonts w:ascii="Times New Roman" w:hAnsi="Times New Roman"/>
          <w:szCs w:val="24"/>
          <w:lang w:val="bs-Latn-BA"/>
        </w:rPr>
        <w:t>2031</w:t>
      </w:r>
      <w:r w:rsidR="00DE3EB1">
        <w:rPr>
          <w:rFonts w:ascii="Times New Roman" w:hAnsi="Times New Roman"/>
          <w:szCs w:val="24"/>
          <w:lang w:val="bs-Latn-BA"/>
        </w:rPr>
        <w:t xml:space="preserve">. </w:t>
      </w:r>
      <w:r>
        <w:rPr>
          <w:rFonts w:ascii="Times New Roman" w:hAnsi="Times New Roman"/>
          <w:szCs w:val="24"/>
          <w:lang w:val="bs-Latn-BA"/>
        </w:rPr>
        <w:t>година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Стратегију</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младе</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до</w:t>
      </w:r>
      <w:r w:rsidR="003A2F08" w:rsidRPr="00295637">
        <w:rPr>
          <w:rFonts w:ascii="Times New Roman" w:hAnsi="Times New Roman"/>
          <w:szCs w:val="24"/>
          <w:lang w:val="bs-Latn-BA"/>
        </w:rPr>
        <w:t xml:space="preserve"> 2027. </w:t>
      </w:r>
      <w:r>
        <w:rPr>
          <w:rFonts w:ascii="Times New Roman" w:hAnsi="Times New Roman"/>
          <w:szCs w:val="24"/>
          <w:lang w:val="bs-Latn-BA"/>
        </w:rPr>
        <w:t>године</w:t>
      </w:r>
      <w:r w:rsidR="003A2F08" w:rsidRPr="00295637">
        <w:rPr>
          <w:rFonts w:ascii="Times New Roman" w:hAnsi="Times New Roman"/>
          <w:szCs w:val="24"/>
          <w:lang w:val="bs-Latn-BA"/>
        </w:rPr>
        <w:t>.</w:t>
      </w:r>
      <w:r w:rsidR="00801207" w:rsidRPr="00295637">
        <w:rPr>
          <w:rFonts w:ascii="Times New Roman" w:hAnsi="Times New Roman"/>
          <w:szCs w:val="24"/>
          <w:lang w:val="bs-Latn-BA"/>
        </w:rPr>
        <w:t xml:space="preserve"> </w:t>
      </w:r>
      <w:r>
        <w:rPr>
          <w:rFonts w:ascii="Times New Roman" w:hAnsi="Times New Roman"/>
          <w:szCs w:val="24"/>
          <w:lang w:val="bs-Latn-BA"/>
        </w:rPr>
        <w:t>ГЦ</w:t>
      </w:r>
      <w:r w:rsidR="00DE3EB1">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BE03C5" w:rsidRPr="00295637">
        <w:rPr>
          <w:rFonts w:ascii="Times New Roman" w:hAnsi="Times New Roman"/>
          <w:szCs w:val="24"/>
          <w:lang w:val="bs-Latn-BA"/>
        </w:rPr>
        <w:t xml:space="preserve"> </w:t>
      </w:r>
      <w:r>
        <w:rPr>
          <w:rFonts w:ascii="Times New Roman" w:hAnsi="Times New Roman"/>
          <w:szCs w:val="24"/>
          <w:lang w:val="bs-Latn-BA"/>
        </w:rPr>
        <w:t>учествовао</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радној</w:t>
      </w:r>
      <w:r w:rsidR="003A2F08" w:rsidRPr="00295637">
        <w:rPr>
          <w:rFonts w:ascii="Times New Roman" w:hAnsi="Times New Roman"/>
          <w:szCs w:val="24"/>
          <w:lang w:val="bs-Latn-BA"/>
        </w:rPr>
        <w:t xml:space="preserve"> </w:t>
      </w:r>
      <w:r>
        <w:rPr>
          <w:rFonts w:ascii="Times New Roman" w:hAnsi="Times New Roman"/>
          <w:szCs w:val="24"/>
          <w:lang w:val="bs-Latn-BA"/>
        </w:rPr>
        <w:t>групи</w:t>
      </w:r>
      <w:r w:rsidR="003A2F08" w:rsidRPr="00295637">
        <w:rPr>
          <w:rFonts w:ascii="Times New Roman" w:hAnsi="Times New Roman"/>
          <w:szCs w:val="24"/>
          <w:lang w:val="bs-Latn-BA"/>
        </w:rPr>
        <w:t xml:space="preserve">, </w:t>
      </w:r>
      <w:r>
        <w:rPr>
          <w:rFonts w:ascii="Times New Roman" w:hAnsi="Times New Roman"/>
          <w:szCs w:val="24"/>
          <w:lang w:val="bs-Latn-BA"/>
        </w:rPr>
        <w:t>те</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3A2F08" w:rsidRPr="00295637">
        <w:rPr>
          <w:rFonts w:ascii="Times New Roman" w:hAnsi="Times New Roman"/>
          <w:szCs w:val="24"/>
          <w:lang w:val="bs-Latn-BA"/>
        </w:rPr>
        <w:t xml:space="preserve"> </w:t>
      </w:r>
      <w:r>
        <w:rPr>
          <w:rFonts w:ascii="Times New Roman" w:hAnsi="Times New Roman"/>
          <w:szCs w:val="24"/>
          <w:lang w:val="bs-Latn-BA"/>
        </w:rPr>
        <w:t>извршена</w:t>
      </w:r>
      <w:r w:rsidR="003A2F08" w:rsidRPr="00295637">
        <w:rPr>
          <w:rFonts w:ascii="Times New Roman" w:hAnsi="Times New Roman"/>
          <w:szCs w:val="24"/>
          <w:lang w:val="bs-Latn-BA"/>
        </w:rPr>
        <w:t xml:space="preserve"> </w:t>
      </w:r>
      <w:r>
        <w:rPr>
          <w:rFonts w:ascii="Times New Roman" w:hAnsi="Times New Roman"/>
          <w:szCs w:val="24"/>
        </w:rPr>
        <w:t>анализа</w:t>
      </w:r>
      <w:r w:rsidR="003A2F08" w:rsidRPr="00295637">
        <w:rPr>
          <w:rFonts w:ascii="Times New Roman" w:hAnsi="Times New Roman"/>
          <w:szCs w:val="24"/>
        </w:rPr>
        <w:t xml:space="preserve"> </w:t>
      </w:r>
      <w:r>
        <w:rPr>
          <w:rFonts w:ascii="Times New Roman" w:hAnsi="Times New Roman"/>
          <w:szCs w:val="24"/>
        </w:rPr>
        <w:t>и</w:t>
      </w:r>
      <w:r w:rsidR="003A2F08" w:rsidRPr="00295637">
        <w:rPr>
          <w:rFonts w:ascii="Times New Roman" w:hAnsi="Times New Roman"/>
          <w:szCs w:val="24"/>
        </w:rPr>
        <w:t xml:space="preserve"> </w:t>
      </w:r>
      <w:r>
        <w:rPr>
          <w:rFonts w:ascii="Times New Roman" w:hAnsi="Times New Roman"/>
          <w:szCs w:val="24"/>
        </w:rPr>
        <w:t>дати</w:t>
      </w:r>
      <w:r w:rsidR="003A2F08" w:rsidRPr="00295637">
        <w:rPr>
          <w:rFonts w:ascii="Times New Roman" w:hAnsi="Times New Roman"/>
          <w:szCs w:val="24"/>
        </w:rPr>
        <w:t xml:space="preserve"> </w:t>
      </w:r>
      <w:r w:rsidR="00B745C8">
        <w:rPr>
          <w:rFonts w:ascii="Times New Roman" w:hAnsi="Times New Roman"/>
          <w:szCs w:val="24"/>
          <w:lang w:val="sr-Cyrl-BA"/>
        </w:rPr>
        <w:t>к</w:t>
      </w:r>
      <w:r>
        <w:rPr>
          <w:rFonts w:ascii="Times New Roman" w:hAnsi="Times New Roman"/>
          <w:szCs w:val="24"/>
          <w:lang w:val="en-GB"/>
        </w:rPr>
        <w:t>оментари</w:t>
      </w:r>
      <w:r w:rsidR="003A2F08" w:rsidRPr="00295637">
        <w:rPr>
          <w:rFonts w:ascii="Times New Roman" w:hAnsi="Times New Roman"/>
          <w:szCs w:val="24"/>
          <w:lang w:val="en-GB"/>
        </w:rPr>
        <w:t xml:space="preserve">, </w:t>
      </w:r>
      <w:r>
        <w:rPr>
          <w:rFonts w:ascii="Times New Roman" w:hAnsi="Times New Roman"/>
          <w:szCs w:val="24"/>
          <w:lang w:val="en-GB"/>
        </w:rPr>
        <w:t>примједбе</w:t>
      </w:r>
      <w:r w:rsidR="003A2F08" w:rsidRPr="00295637">
        <w:rPr>
          <w:rFonts w:ascii="Times New Roman" w:hAnsi="Times New Roman"/>
          <w:szCs w:val="24"/>
          <w:lang w:val="en-GB"/>
        </w:rPr>
        <w:t xml:space="preserve"> </w:t>
      </w:r>
      <w:r>
        <w:rPr>
          <w:rFonts w:ascii="Times New Roman" w:hAnsi="Times New Roman"/>
          <w:szCs w:val="24"/>
          <w:lang w:val="en-GB"/>
        </w:rPr>
        <w:t>и</w:t>
      </w:r>
      <w:r w:rsidR="003A2F08" w:rsidRPr="00295637">
        <w:rPr>
          <w:rFonts w:ascii="Times New Roman" w:hAnsi="Times New Roman"/>
          <w:szCs w:val="24"/>
          <w:lang w:val="en-GB"/>
        </w:rPr>
        <w:t xml:space="preserve"> </w:t>
      </w:r>
      <w:r>
        <w:rPr>
          <w:rFonts w:ascii="Times New Roman" w:hAnsi="Times New Roman"/>
          <w:szCs w:val="24"/>
          <w:lang w:val="en-GB"/>
        </w:rPr>
        <w:t>сугестије</w:t>
      </w:r>
      <w:r w:rsidR="003A2F08" w:rsidRPr="00295637">
        <w:rPr>
          <w:rFonts w:ascii="Times New Roman" w:hAnsi="Times New Roman"/>
          <w:szCs w:val="24"/>
          <w:lang w:val="en-GB"/>
        </w:rPr>
        <w:t xml:space="preserve"> </w:t>
      </w:r>
      <w:r>
        <w:rPr>
          <w:rFonts w:ascii="Times New Roman" w:hAnsi="Times New Roman"/>
          <w:szCs w:val="24"/>
          <w:lang w:val="en-GB"/>
        </w:rPr>
        <w:t>ГЦ</w:t>
      </w:r>
      <w:r w:rsidR="00DE3EB1">
        <w:rPr>
          <w:rFonts w:ascii="Times New Roman" w:hAnsi="Times New Roman"/>
          <w:szCs w:val="24"/>
          <w:lang w:val="en-GB"/>
        </w:rPr>
        <w:t xml:space="preserve"> </w:t>
      </w:r>
      <w:r>
        <w:rPr>
          <w:rFonts w:ascii="Times New Roman" w:hAnsi="Times New Roman"/>
          <w:szCs w:val="24"/>
          <w:lang w:val="en-GB"/>
        </w:rPr>
        <w:t>ФБиХ</w:t>
      </w:r>
      <w:r w:rsidR="00E84CF4" w:rsidRPr="00295637">
        <w:rPr>
          <w:rFonts w:ascii="Times New Roman" w:hAnsi="Times New Roman"/>
          <w:szCs w:val="24"/>
          <w:lang w:val="bs-Latn-BA"/>
        </w:rPr>
        <w:t xml:space="preserve"> </w:t>
      </w:r>
      <w:r>
        <w:rPr>
          <w:rFonts w:ascii="Times New Roman" w:hAnsi="Times New Roman"/>
          <w:szCs w:val="24"/>
          <w:lang w:val="en-GB"/>
        </w:rPr>
        <w:t>на</w:t>
      </w:r>
      <w:r w:rsidR="003A2F08" w:rsidRPr="00295637">
        <w:rPr>
          <w:rFonts w:ascii="Times New Roman" w:hAnsi="Times New Roman"/>
          <w:szCs w:val="24"/>
          <w:lang w:val="en-GB"/>
        </w:rPr>
        <w:t xml:space="preserve"> </w:t>
      </w:r>
      <w:r>
        <w:rPr>
          <w:rFonts w:ascii="Times New Roman" w:hAnsi="Times New Roman"/>
          <w:szCs w:val="24"/>
          <w:lang w:val="bs-Latn-BA"/>
        </w:rPr>
        <w:t>текст</w:t>
      </w:r>
      <w:r w:rsidR="003A2F08" w:rsidRPr="00295637">
        <w:rPr>
          <w:rFonts w:ascii="Times New Roman" w:hAnsi="Times New Roman"/>
          <w:szCs w:val="24"/>
          <w:lang w:val="bs-Latn-BA"/>
        </w:rPr>
        <w:t xml:space="preserve"> </w:t>
      </w:r>
      <w:r>
        <w:rPr>
          <w:rFonts w:ascii="Times New Roman" w:hAnsi="Times New Roman"/>
          <w:szCs w:val="24"/>
          <w:lang w:val="bs-Latn-BA"/>
        </w:rPr>
        <w:t>нацрта</w:t>
      </w:r>
      <w:r w:rsidR="003A2F08" w:rsidRPr="00295637">
        <w:rPr>
          <w:rFonts w:ascii="Times New Roman" w:hAnsi="Times New Roman"/>
          <w:szCs w:val="24"/>
          <w:lang w:val="bs-Latn-BA"/>
        </w:rPr>
        <w:t> </w:t>
      </w:r>
      <w:r>
        <w:rPr>
          <w:rFonts w:ascii="Times New Roman" w:hAnsi="Times New Roman"/>
          <w:szCs w:val="24"/>
          <w:lang w:val="bs-Latn-BA"/>
        </w:rPr>
        <w:t>Стратегије</w:t>
      </w:r>
      <w:r w:rsidR="003A2F08" w:rsidRPr="00295637">
        <w:rPr>
          <w:rFonts w:ascii="Times New Roman" w:hAnsi="Times New Roman"/>
          <w:szCs w:val="24"/>
          <w:lang w:val="bs-Latn-BA"/>
        </w:rPr>
        <w:t xml:space="preserve"> </w:t>
      </w:r>
      <w:r>
        <w:rPr>
          <w:rFonts w:ascii="Times New Roman" w:hAnsi="Times New Roman"/>
          <w:szCs w:val="24"/>
          <w:lang w:val="bs-Latn-BA"/>
        </w:rPr>
        <w:t>развоја</w:t>
      </w:r>
      <w:r w:rsidR="003A2F08" w:rsidRPr="00295637">
        <w:rPr>
          <w:rFonts w:ascii="Times New Roman" w:hAnsi="Times New Roman"/>
          <w:szCs w:val="24"/>
          <w:lang w:val="bs-Latn-BA"/>
        </w:rPr>
        <w:t xml:space="preserve"> </w:t>
      </w:r>
      <w:r>
        <w:rPr>
          <w:rFonts w:ascii="Times New Roman" w:hAnsi="Times New Roman"/>
          <w:szCs w:val="24"/>
          <w:lang w:val="bs-Latn-BA"/>
        </w:rPr>
        <w:t>индустрије</w:t>
      </w:r>
      <w:r w:rsidR="003A2F08" w:rsidRPr="00295637">
        <w:rPr>
          <w:rFonts w:ascii="Times New Roman" w:hAnsi="Times New Roman"/>
          <w:szCs w:val="24"/>
          <w:lang w:val="bs-Latn-BA"/>
        </w:rPr>
        <w:t xml:space="preserve"> </w:t>
      </w:r>
      <w:r>
        <w:rPr>
          <w:rFonts w:ascii="Times New Roman" w:hAnsi="Times New Roman"/>
          <w:szCs w:val="24"/>
          <w:lang w:val="bs-Latn-BA"/>
        </w:rPr>
        <w:t>текстила</w:t>
      </w:r>
      <w:r w:rsidR="003A2F08" w:rsidRPr="00295637">
        <w:rPr>
          <w:rFonts w:ascii="Times New Roman" w:hAnsi="Times New Roman"/>
          <w:szCs w:val="24"/>
          <w:lang w:val="bs-Latn-BA"/>
        </w:rPr>
        <w:t xml:space="preserve">, </w:t>
      </w:r>
      <w:r>
        <w:rPr>
          <w:rFonts w:ascii="Times New Roman" w:hAnsi="Times New Roman"/>
          <w:szCs w:val="24"/>
          <w:lang w:val="bs-Latn-BA"/>
        </w:rPr>
        <w:t>одјеће</w:t>
      </w:r>
      <w:r w:rsidR="003A2F08" w:rsidRPr="00295637">
        <w:rPr>
          <w:rFonts w:ascii="Times New Roman" w:hAnsi="Times New Roman"/>
          <w:szCs w:val="24"/>
          <w:lang w:val="bs-Latn-BA"/>
        </w:rPr>
        <w:t xml:space="preserve">, </w:t>
      </w:r>
      <w:r>
        <w:rPr>
          <w:rFonts w:ascii="Times New Roman" w:hAnsi="Times New Roman"/>
          <w:szCs w:val="24"/>
          <w:lang w:val="bs-Latn-BA"/>
        </w:rPr>
        <w:t>коже</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обуће</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801207" w:rsidRPr="00295637">
        <w:rPr>
          <w:rFonts w:ascii="Times New Roman" w:hAnsi="Times New Roman"/>
          <w:szCs w:val="24"/>
          <w:lang w:val="bs-Latn-BA"/>
        </w:rPr>
        <w:t xml:space="preserve"> 2024</w:t>
      </w:r>
      <w:r w:rsidR="00DE3EB1">
        <w:rPr>
          <w:rFonts w:ascii="Times New Roman" w:hAnsi="Times New Roman"/>
          <w:szCs w:val="24"/>
          <w:lang w:val="bs-Latn-BA"/>
        </w:rPr>
        <w:t>-</w:t>
      </w:r>
      <w:r w:rsidR="003A2F08" w:rsidRPr="00295637">
        <w:rPr>
          <w:rFonts w:ascii="Times New Roman" w:hAnsi="Times New Roman"/>
          <w:szCs w:val="24"/>
          <w:lang w:val="bs-Latn-BA"/>
        </w:rPr>
        <w:t>2033.</w:t>
      </w:r>
      <w:r w:rsidR="00DE3EB1">
        <w:rPr>
          <w:rFonts w:ascii="Times New Roman" w:hAnsi="Times New Roman"/>
          <w:szCs w:val="24"/>
          <w:lang w:val="bs-Latn-BA"/>
        </w:rPr>
        <w:t xml:space="preserve"> </w:t>
      </w:r>
      <w:r>
        <w:rPr>
          <w:rFonts w:ascii="Times New Roman" w:hAnsi="Times New Roman"/>
          <w:szCs w:val="24"/>
          <w:lang w:val="bs-Latn-BA"/>
        </w:rPr>
        <w:t>године</w:t>
      </w:r>
      <w:r w:rsidR="00DE3EB1">
        <w:rPr>
          <w:rFonts w:ascii="Times New Roman" w:hAnsi="Times New Roman"/>
          <w:szCs w:val="24"/>
          <w:lang w:val="bs-Latn-BA"/>
        </w:rPr>
        <w:t>.</w:t>
      </w:r>
      <w:r w:rsidR="00801207" w:rsidRPr="00295637">
        <w:rPr>
          <w:rFonts w:ascii="Times New Roman" w:hAnsi="Times New Roman"/>
          <w:szCs w:val="24"/>
          <w:lang w:val="bs-Latn-BA"/>
        </w:rPr>
        <w:t xml:space="preserve"> </w:t>
      </w:r>
      <w:r>
        <w:rPr>
          <w:rFonts w:ascii="Times New Roman" w:hAnsi="Times New Roman"/>
          <w:szCs w:val="24"/>
          <w:lang w:val="bs-Latn-BA"/>
        </w:rPr>
        <w:t>ФЗЗС</w:t>
      </w:r>
      <w:r w:rsidR="00801207" w:rsidRPr="00295637">
        <w:rPr>
          <w:rFonts w:ascii="Times New Roman" w:hAnsi="Times New Roman"/>
          <w:szCs w:val="24"/>
          <w:lang w:val="bs-Latn-BA"/>
        </w:rPr>
        <w:t>-</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достављени</w:t>
      </w:r>
      <w:r w:rsidR="003A2F08" w:rsidRPr="00295637">
        <w:rPr>
          <w:rFonts w:ascii="Times New Roman" w:hAnsi="Times New Roman"/>
          <w:szCs w:val="24"/>
          <w:lang w:val="bs-Latn-BA"/>
        </w:rPr>
        <w:t xml:space="preserve"> </w:t>
      </w:r>
      <w:r>
        <w:rPr>
          <w:rFonts w:ascii="Times New Roman" w:hAnsi="Times New Roman"/>
          <w:szCs w:val="24"/>
          <w:lang w:val="bs-Latn-BA"/>
        </w:rPr>
        <w:t>су</w:t>
      </w:r>
      <w:r w:rsidR="00DE3EB1" w:rsidRPr="00295637">
        <w:rPr>
          <w:rFonts w:ascii="Times New Roman" w:hAnsi="Times New Roman"/>
          <w:szCs w:val="24"/>
          <w:lang w:val="bs-Latn-BA"/>
        </w:rPr>
        <w:t xml:space="preserve"> </w:t>
      </w:r>
      <w:r>
        <w:rPr>
          <w:rFonts w:ascii="Times New Roman" w:hAnsi="Times New Roman"/>
          <w:szCs w:val="24"/>
          <w:lang w:val="bs-Latn-BA"/>
        </w:rPr>
        <w:t>коментари</w:t>
      </w:r>
      <w:r w:rsidR="00DE3EB1">
        <w:rPr>
          <w:rFonts w:ascii="Times New Roman" w:hAnsi="Times New Roman"/>
          <w:szCs w:val="24"/>
          <w:lang w:val="bs-Latn-BA"/>
        </w:rPr>
        <w:t xml:space="preserve"> </w:t>
      </w:r>
      <w:r>
        <w:rPr>
          <w:rFonts w:ascii="Times New Roman" w:hAnsi="Times New Roman"/>
          <w:szCs w:val="24"/>
          <w:lang w:val="bs-Latn-BA"/>
        </w:rPr>
        <w:t>и</w:t>
      </w:r>
      <w:r w:rsidR="00DE3EB1">
        <w:rPr>
          <w:rFonts w:ascii="Times New Roman" w:hAnsi="Times New Roman"/>
          <w:szCs w:val="24"/>
          <w:lang w:val="bs-Latn-BA"/>
        </w:rPr>
        <w:t xml:space="preserve"> </w:t>
      </w:r>
      <w:r>
        <w:rPr>
          <w:rFonts w:ascii="Times New Roman" w:hAnsi="Times New Roman"/>
          <w:szCs w:val="24"/>
          <w:lang w:val="bs-Latn-BA"/>
        </w:rPr>
        <w:t>мишљење</w:t>
      </w:r>
      <w:r w:rsidR="00DE3EB1">
        <w:rPr>
          <w:rFonts w:ascii="Times New Roman" w:hAnsi="Times New Roman"/>
          <w:szCs w:val="24"/>
          <w:lang w:val="bs-Latn-BA"/>
        </w:rPr>
        <w:t xml:space="preserve"> </w:t>
      </w:r>
      <w:r>
        <w:rPr>
          <w:rFonts w:ascii="Times New Roman" w:hAnsi="Times New Roman"/>
          <w:szCs w:val="24"/>
          <w:lang w:val="bs-Latn-BA"/>
        </w:rPr>
        <w:t>на</w:t>
      </w:r>
      <w:r w:rsidR="00DE3EB1">
        <w:rPr>
          <w:rFonts w:ascii="Times New Roman" w:hAnsi="Times New Roman"/>
          <w:szCs w:val="24"/>
          <w:lang w:val="bs-Latn-BA"/>
        </w:rPr>
        <w:t xml:space="preserve"> </w:t>
      </w:r>
      <w:r>
        <w:rPr>
          <w:rFonts w:ascii="Times New Roman" w:hAnsi="Times New Roman"/>
          <w:szCs w:val="24"/>
          <w:lang w:val="bs-Latn-BA"/>
        </w:rPr>
        <w:t>Нацрт</w:t>
      </w:r>
      <w:r w:rsidR="00DE3EB1">
        <w:rPr>
          <w:rFonts w:ascii="Times New Roman" w:hAnsi="Times New Roman"/>
          <w:szCs w:val="24"/>
          <w:lang w:val="bs-Latn-BA"/>
        </w:rPr>
        <w:t xml:space="preserve"> </w:t>
      </w:r>
      <w:r>
        <w:rPr>
          <w:rFonts w:ascii="Times New Roman" w:hAnsi="Times New Roman"/>
          <w:szCs w:val="24"/>
          <w:lang w:val="bs-Latn-BA"/>
        </w:rPr>
        <w:t>плана</w:t>
      </w:r>
      <w:r w:rsidR="003A2F08" w:rsidRPr="00295637">
        <w:rPr>
          <w:rFonts w:ascii="Times New Roman" w:hAnsi="Times New Roman"/>
          <w:szCs w:val="24"/>
          <w:lang w:val="bs-Latn-BA"/>
        </w:rPr>
        <w:t xml:space="preserve"> </w:t>
      </w:r>
      <w:r w:rsidR="00B745C8">
        <w:rPr>
          <w:rFonts w:ascii="Times New Roman" w:hAnsi="Times New Roman"/>
          <w:szCs w:val="24"/>
          <w:lang w:val="sr-Cyrl-BA"/>
        </w:rPr>
        <w:t>спровођења</w:t>
      </w:r>
      <w:r w:rsidR="003A2F08" w:rsidRPr="00295637">
        <w:rPr>
          <w:rFonts w:ascii="Times New Roman" w:hAnsi="Times New Roman"/>
          <w:szCs w:val="24"/>
          <w:lang w:val="bs-Latn-BA"/>
        </w:rPr>
        <w:t xml:space="preserve"> </w:t>
      </w:r>
      <w:r>
        <w:rPr>
          <w:rFonts w:ascii="Times New Roman" w:hAnsi="Times New Roman"/>
          <w:szCs w:val="24"/>
          <w:lang w:val="bs-Latn-BA"/>
        </w:rPr>
        <w:t>статистичких</w:t>
      </w:r>
      <w:r w:rsidR="003A2F08" w:rsidRPr="00295637">
        <w:rPr>
          <w:rFonts w:ascii="Times New Roman" w:hAnsi="Times New Roman"/>
          <w:szCs w:val="24"/>
          <w:lang w:val="bs-Latn-BA"/>
        </w:rPr>
        <w:t xml:space="preserve"> </w:t>
      </w:r>
      <w:r>
        <w:rPr>
          <w:rFonts w:ascii="Times New Roman" w:hAnsi="Times New Roman"/>
          <w:szCs w:val="24"/>
          <w:lang w:val="bs-Latn-BA"/>
        </w:rPr>
        <w:t>истраживања</w:t>
      </w:r>
      <w:r w:rsidR="003A2F08" w:rsidRPr="00295637">
        <w:rPr>
          <w:rFonts w:ascii="Times New Roman" w:hAnsi="Times New Roman"/>
          <w:szCs w:val="24"/>
          <w:lang w:val="bs-Latn-BA"/>
        </w:rPr>
        <w:t xml:space="preserve"> </w:t>
      </w:r>
      <w:r>
        <w:rPr>
          <w:rFonts w:ascii="Times New Roman" w:hAnsi="Times New Roman"/>
          <w:szCs w:val="24"/>
          <w:lang w:val="bs-Latn-BA"/>
        </w:rPr>
        <w:t>од</w:t>
      </w:r>
      <w:r w:rsidR="003A2F08" w:rsidRPr="00295637">
        <w:rPr>
          <w:rFonts w:ascii="Times New Roman" w:hAnsi="Times New Roman"/>
          <w:szCs w:val="24"/>
          <w:lang w:val="bs-Latn-BA"/>
        </w:rPr>
        <w:t xml:space="preserve"> </w:t>
      </w:r>
      <w:r>
        <w:rPr>
          <w:rFonts w:ascii="Times New Roman" w:hAnsi="Times New Roman"/>
          <w:szCs w:val="24"/>
          <w:lang w:val="bs-Latn-BA"/>
        </w:rPr>
        <w:t>интереса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2024. </w:t>
      </w:r>
      <w:r>
        <w:rPr>
          <w:rFonts w:ascii="Times New Roman" w:hAnsi="Times New Roman"/>
          <w:szCs w:val="24"/>
          <w:lang w:val="bs-Latn-BA"/>
        </w:rPr>
        <w:t>годину</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Нацрт</w:t>
      </w:r>
      <w:r w:rsidR="003A2F08" w:rsidRPr="00295637">
        <w:rPr>
          <w:rFonts w:ascii="Times New Roman" w:hAnsi="Times New Roman"/>
          <w:szCs w:val="24"/>
          <w:lang w:val="bs-Latn-BA"/>
        </w:rPr>
        <w:t xml:space="preserve"> </w:t>
      </w:r>
      <w:r>
        <w:rPr>
          <w:rFonts w:ascii="Times New Roman" w:hAnsi="Times New Roman"/>
          <w:szCs w:val="24"/>
          <w:lang w:val="bs-Latn-BA"/>
        </w:rPr>
        <w:t>програма</w:t>
      </w:r>
      <w:r w:rsidR="003A2F08" w:rsidRPr="00295637">
        <w:rPr>
          <w:rFonts w:ascii="Times New Roman" w:hAnsi="Times New Roman"/>
          <w:szCs w:val="24"/>
          <w:lang w:val="bs-Latn-BA"/>
        </w:rPr>
        <w:t xml:space="preserve"> </w:t>
      </w:r>
      <w:r w:rsidR="00B745C8">
        <w:rPr>
          <w:rFonts w:ascii="Times New Roman" w:hAnsi="Times New Roman"/>
          <w:szCs w:val="24"/>
          <w:lang w:val="sr-Cyrl-BA"/>
        </w:rPr>
        <w:t>спровођења</w:t>
      </w:r>
      <w:r w:rsidR="003A2F08" w:rsidRPr="00295637">
        <w:rPr>
          <w:rFonts w:ascii="Times New Roman" w:hAnsi="Times New Roman"/>
          <w:szCs w:val="24"/>
          <w:lang w:val="bs-Latn-BA"/>
        </w:rPr>
        <w:t xml:space="preserve"> </w:t>
      </w:r>
      <w:r>
        <w:rPr>
          <w:rFonts w:ascii="Times New Roman" w:hAnsi="Times New Roman"/>
          <w:szCs w:val="24"/>
          <w:lang w:val="bs-Latn-BA"/>
        </w:rPr>
        <w:t>статистичких</w:t>
      </w:r>
      <w:r w:rsidR="003A2F08" w:rsidRPr="00295637">
        <w:rPr>
          <w:rFonts w:ascii="Times New Roman" w:hAnsi="Times New Roman"/>
          <w:szCs w:val="24"/>
          <w:lang w:val="bs-Latn-BA"/>
        </w:rPr>
        <w:t xml:space="preserve"> </w:t>
      </w:r>
      <w:r>
        <w:rPr>
          <w:rFonts w:ascii="Times New Roman" w:hAnsi="Times New Roman"/>
          <w:szCs w:val="24"/>
          <w:lang w:val="bs-Latn-BA"/>
        </w:rPr>
        <w:t>истраживања</w:t>
      </w:r>
      <w:r w:rsidR="003A2F08" w:rsidRPr="00295637">
        <w:rPr>
          <w:rFonts w:ascii="Times New Roman" w:hAnsi="Times New Roman"/>
          <w:szCs w:val="24"/>
          <w:lang w:val="bs-Latn-BA"/>
        </w:rPr>
        <w:t xml:space="preserve"> </w:t>
      </w:r>
      <w:r>
        <w:rPr>
          <w:rFonts w:ascii="Times New Roman" w:hAnsi="Times New Roman"/>
          <w:szCs w:val="24"/>
          <w:lang w:val="bs-Latn-BA"/>
        </w:rPr>
        <w:t>од</w:t>
      </w:r>
      <w:r w:rsidR="003A2F08" w:rsidRPr="00295637">
        <w:rPr>
          <w:rFonts w:ascii="Times New Roman" w:hAnsi="Times New Roman"/>
          <w:szCs w:val="24"/>
          <w:lang w:val="bs-Latn-BA"/>
        </w:rPr>
        <w:t xml:space="preserve"> </w:t>
      </w:r>
      <w:r>
        <w:rPr>
          <w:rFonts w:ascii="Times New Roman" w:hAnsi="Times New Roman"/>
          <w:szCs w:val="24"/>
          <w:lang w:val="bs-Latn-BA"/>
        </w:rPr>
        <w:t>интереса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период</w:t>
      </w:r>
      <w:r w:rsidR="003A2F08" w:rsidRPr="00295637">
        <w:rPr>
          <w:rFonts w:ascii="Times New Roman" w:hAnsi="Times New Roman"/>
          <w:szCs w:val="24"/>
          <w:lang w:val="bs-Latn-BA"/>
        </w:rPr>
        <w:t xml:space="preserve"> 2025</w:t>
      </w:r>
      <w:r w:rsidR="00DE3EB1">
        <w:rPr>
          <w:rFonts w:ascii="Times New Roman" w:hAnsi="Times New Roman"/>
          <w:szCs w:val="24"/>
          <w:lang w:val="bs-Latn-BA"/>
        </w:rPr>
        <w:t>-</w:t>
      </w:r>
      <w:r w:rsidR="003A2F08" w:rsidRPr="00295637">
        <w:rPr>
          <w:rFonts w:ascii="Times New Roman" w:hAnsi="Times New Roman"/>
          <w:szCs w:val="24"/>
          <w:lang w:val="bs-Latn-BA"/>
        </w:rPr>
        <w:t>2028.</w:t>
      </w:r>
      <w:r w:rsidR="00DE3EB1">
        <w:rPr>
          <w:rFonts w:ascii="Times New Roman" w:hAnsi="Times New Roman"/>
          <w:szCs w:val="24"/>
          <w:lang w:val="bs-Latn-BA"/>
        </w:rPr>
        <w:t xml:space="preserve"> </w:t>
      </w:r>
      <w:r>
        <w:rPr>
          <w:rFonts w:ascii="Times New Roman" w:hAnsi="Times New Roman"/>
          <w:szCs w:val="24"/>
          <w:lang w:val="bs-Latn-BA"/>
        </w:rPr>
        <w:t>година</w:t>
      </w:r>
      <w:r w:rsidR="00DE3EB1">
        <w:rPr>
          <w:rFonts w:ascii="Times New Roman" w:hAnsi="Times New Roman"/>
          <w:szCs w:val="24"/>
          <w:lang w:val="bs-Latn-BA"/>
        </w:rPr>
        <w:t>.</w:t>
      </w:r>
      <w:r w:rsidR="003A2F08" w:rsidRPr="00295637">
        <w:rPr>
          <w:rFonts w:ascii="Times New Roman" w:hAnsi="Times New Roman"/>
          <w:szCs w:val="24"/>
          <w:lang w:val="bs-Latn-BA"/>
        </w:rPr>
        <w:t xml:space="preserve">  </w:t>
      </w:r>
    </w:p>
    <w:p w:rsidR="003A2F08" w:rsidRPr="00295637" w:rsidRDefault="003A2F08" w:rsidP="0086268D">
      <w:pPr>
        <w:ind w:left="576"/>
        <w:jc w:val="both"/>
        <w:rPr>
          <w:rFonts w:ascii="Gill Sans MT" w:hAnsi="Gill Sans MT"/>
          <w:szCs w:val="24"/>
          <w:lang w:val="bs-Latn-BA"/>
        </w:rPr>
      </w:pPr>
    </w:p>
    <w:p w:rsidR="00A92736" w:rsidRPr="00295637" w:rsidRDefault="00C6214E" w:rsidP="0086268D">
      <w:pPr>
        <w:pStyle w:val="Normal1"/>
        <w:jc w:val="both"/>
        <w:rPr>
          <w:rFonts w:ascii="Times New Roman" w:hAnsi="Times New Roman"/>
        </w:rPr>
      </w:pPr>
      <w:bookmarkStart w:id="57" w:name="_Toc193788545"/>
      <w:r>
        <w:rPr>
          <w:rFonts w:ascii="Times New Roman" w:hAnsi="Times New Roman"/>
        </w:rPr>
        <w:t>У</w:t>
      </w:r>
      <w:r w:rsidR="003A2F08" w:rsidRPr="00295637">
        <w:rPr>
          <w:rFonts w:ascii="Times New Roman" w:hAnsi="Times New Roman"/>
        </w:rPr>
        <w:t xml:space="preserve"> </w:t>
      </w:r>
      <w:r>
        <w:rPr>
          <w:rFonts w:ascii="Times New Roman" w:hAnsi="Times New Roman"/>
        </w:rPr>
        <w:t>извјештајном</w:t>
      </w:r>
      <w:r w:rsidR="003A2F08" w:rsidRPr="00295637">
        <w:rPr>
          <w:rFonts w:ascii="Times New Roman" w:hAnsi="Times New Roman"/>
        </w:rPr>
        <w:t xml:space="preserve"> </w:t>
      </w:r>
      <w:r>
        <w:rPr>
          <w:rFonts w:ascii="Times New Roman" w:hAnsi="Times New Roman"/>
        </w:rPr>
        <w:t>периоду</w:t>
      </w:r>
      <w:r w:rsidR="003A2F08" w:rsidRPr="00295637">
        <w:rPr>
          <w:rFonts w:ascii="Times New Roman" w:hAnsi="Times New Roman"/>
        </w:rPr>
        <w:t xml:space="preserve"> </w:t>
      </w:r>
      <w:r>
        <w:rPr>
          <w:rFonts w:ascii="Times New Roman" w:hAnsi="Times New Roman"/>
        </w:rPr>
        <w:t>ГЦ</w:t>
      </w:r>
      <w:r w:rsidR="005921EC">
        <w:rPr>
          <w:rFonts w:ascii="Times New Roman" w:hAnsi="Times New Roman"/>
        </w:rPr>
        <w:t xml:space="preserve"> </w:t>
      </w:r>
      <w:r>
        <w:rPr>
          <w:rFonts w:ascii="Times New Roman" w:hAnsi="Times New Roman"/>
        </w:rPr>
        <w:t>ФБиХ</w:t>
      </w:r>
      <w:r w:rsidR="003A2F08" w:rsidRPr="00295637">
        <w:rPr>
          <w:rFonts w:ascii="Times New Roman" w:hAnsi="Times New Roman"/>
        </w:rPr>
        <w:t xml:space="preserve"> </w:t>
      </w:r>
      <w:r w:rsidR="00B745C8">
        <w:rPr>
          <w:rFonts w:ascii="Times New Roman" w:hAnsi="Times New Roman"/>
        </w:rPr>
        <w:t xml:space="preserve">је </w:t>
      </w:r>
      <w:r>
        <w:rPr>
          <w:rFonts w:ascii="Times New Roman" w:hAnsi="Times New Roman"/>
        </w:rPr>
        <w:t>поступао</w:t>
      </w:r>
      <w:r w:rsidR="003A2F08" w:rsidRPr="00295637">
        <w:rPr>
          <w:rFonts w:ascii="Times New Roman" w:hAnsi="Times New Roman"/>
        </w:rPr>
        <w:t xml:space="preserve"> </w:t>
      </w:r>
      <w:r>
        <w:rPr>
          <w:rFonts w:ascii="Times New Roman" w:hAnsi="Times New Roman"/>
        </w:rPr>
        <w:t>по</w:t>
      </w:r>
      <w:r w:rsidR="003A2F08" w:rsidRPr="00295637">
        <w:rPr>
          <w:rFonts w:ascii="Times New Roman" w:hAnsi="Times New Roman"/>
        </w:rPr>
        <w:t xml:space="preserve"> </w:t>
      </w:r>
      <w:r>
        <w:rPr>
          <w:rFonts w:ascii="Times New Roman" w:hAnsi="Times New Roman"/>
        </w:rPr>
        <w:t>Јединственим</w:t>
      </w:r>
      <w:r w:rsidR="003A2F08" w:rsidRPr="00295637">
        <w:rPr>
          <w:rFonts w:ascii="Times New Roman" w:hAnsi="Times New Roman"/>
        </w:rPr>
        <w:t xml:space="preserve"> </w:t>
      </w:r>
      <w:r>
        <w:rPr>
          <w:rFonts w:ascii="Times New Roman" w:hAnsi="Times New Roman"/>
        </w:rPr>
        <w:t>правилима</w:t>
      </w:r>
      <w:r w:rsidR="003A2F08" w:rsidRPr="00295637">
        <w:rPr>
          <w:rFonts w:ascii="Times New Roman" w:hAnsi="Times New Roman"/>
        </w:rPr>
        <w:t xml:space="preserve"> </w:t>
      </w:r>
      <w:r>
        <w:rPr>
          <w:rFonts w:ascii="Times New Roman" w:hAnsi="Times New Roman"/>
        </w:rPr>
        <w:t>у</w:t>
      </w:r>
      <w:r w:rsidR="003A2F08" w:rsidRPr="00295637">
        <w:rPr>
          <w:rFonts w:ascii="Times New Roman" w:hAnsi="Times New Roman"/>
        </w:rPr>
        <w:t xml:space="preserve"> </w:t>
      </w:r>
      <w:r>
        <w:rPr>
          <w:rFonts w:ascii="Times New Roman" w:hAnsi="Times New Roman"/>
        </w:rPr>
        <w:t>два</w:t>
      </w:r>
      <w:r w:rsidR="003A2F08" w:rsidRPr="00295637">
        <w:rPr>
          <w:rFonts w:ascii="Times New Roman" w:hAnsi="Times New Roman"/>
        </w:rPr>
        <w:t xml:space="preserve"> </w:t>
      </w:r>
      <w:r>
        <w:rPr>
          <w:rFonts w:ascii="Times New Roman" w:hAnsi="Times New Roman"/>
        </w:rPr>
        <w:t>предмета</w:t>
      </w:r>
      <w:r w:rsidR="007C41AE" w:rsidRPr="00295637">
        <w:rPr>
          <w:rFonts w:ascii="Times New Roman" w:hAnsi="Times New Roman"/>
        </w:rPr>
        <w:t>,</w:t>
      </w:r>
      <w:r w:rsidR="003A2F08" w:rsidRPr="00295637">
        <w:rPr>
          <w:rFonts w:ascii="Times New Roman" w:hAnsi="Times New Roman"/>
        </w:rPr>
        <w:t xml:space="preserve"> </w:t>
      </w:r>
      <w:r>
        <w:rPr>
          <w:rFonts w:ascii="Times New Roman" w:hAnsi="Times New Roman"/>
        </w:rPr>
        <w:t>а</w:t>
      </w:r>
      <w:r w:rsidR="003A2F08" w:rsidRPr="00295637">
        <w:rPr>
          <w:rFonts w:ascii="Times New Roman" w:hAnsi="Times New Roman"/>
        </w:rPr>
        <w:t xml:space="preserve"> </w:t>
      </w:r>
      <w:r>
        <w:rPr>
          <w:rFonts w:ascii="Times New Roman" w:hAnsi="Times New Roman"/>
        </w:rPr>
        <w:t>која</w:t>
      </w:r>
      <w:r w:rsidR="003A2F08" w:rsidRPr="00295637">
        <w:rPr>
          <w:rFonts w:ascii="Times New Roman" w:hAnsi="Times New Roman"/>
        </w:rPr>
        <w:t xml:space="preserve"> </w:t>
      </w:r>
      <w:r>
        <w:rPr>
          <w:rFonts w:ascii="Times New Roman" w:hAnsi="Times New Roman"/>
        </w:rPr>
        <w:t>су</w:t>
      </w:r>
      <w:r w:rsidR="003A2F08" w:rsidRPr="00295637">
        <w:rPr>
          <w:rFonts w:ascii="Times New Roman" w:hAnsi="Times New Roman"/>
        </w:rPr>
        <w:t xml:space="preserve"> </w:t>
      </w:r>
      <w:r>
        <w:rPr>
          <w:rFonts w:ascii="Times New Roman" w:hAnsi="Times New Roman"/>
        </w:rPr>
        <w:t>се</w:t>
      </w:r>
      <w:r w:rsidR="003A2F08" w:rsidRPr="00295637">
        <w:rPr>
          <w:rFonts w:ascii="Times New Roman" w:hAnsi="Times New Roman"/>
        </w:rPr>
        <w:t xml:space="preserve"> </w:t>
      </w:r>
      <w:r>
        <w:rPr>
          <w:rFonts w:ascii="Times New Roman" w:hAnsi="Times New Roman"/>
        </w:rPr>
        <w:t>тицала</w:t>
      </w:r>
      <w:r w:rsidR="003A2F08" w:rsidRPr="00295637">
        <w:rPr>
          <w:rFonts w:ascii="Times New Roman" w:hAnsi="Times New Roman"/>
        </w:rPr>
        <w:t xml:space="preserve"> </w:t>
      </w:r>
      <w:r>
        <w:rPr>
          <w:rFonts w:ascii="Times New Roman" w:hAnsi="Times New Roman"/>
        </w:rPr>
        <w:t>жалби</w:t>
      </w:r>
      <w:r w:rsidR="003A2F08" w:rsidRPr="00295637">
        <w:rPr>
          <w:rFonts w:ascii="Times New Roman" w:hAnsi="Times New Roman"/>
        </w:rPr>
        <w:t xml:space="preserve"> </w:t>
      </w:r>
      <w:r>
        <w:rPr>
          <w:rFonts w:ascii="Times New Roman" w:hAnsi="Times New Roman"/>
        </w:rPr>
        <w:t>лица</w:t>
      </w:r>
      <w:r w:rsidR="003A2F08" w:rsidRPr="00295637">
        <w:rPr>
          <w:rFonts w:ascii="Times New Roman" w:hAnsi="Times New Roman"/>
        </w:rPr>
        <w:t xml:space="preserve"> </w:t>
      </w:r>
      <w:r>
        <w:rPr>
          <w:rFonts w:ascii="Times New Roman" w:hAnsi="Times New Roman"/>
        </w:rPr>
        <w:t>мушког</w:t>
      </w:r>
      <w:r w:rsidR="003A2F08" w:rsidRPr="00295637">
        <w:rPr>
          <w:rFonts w:ascii="Times New Roman" w:hAnsi="Times New Roman"/>
        </w:rPr>
        <w:t xml:space="preserve"> </w:t>
      </w:r>
      <w:r>
        <w:rPr>
          <w:rFonts w:ascii="Times New Roman" w:hAnsi="Times New Roman"/>
        </w:rPr>
        <w:t>пола</w:t>
      </w:r>
      <w:r w:rsidR="003A2F08" w:rsidRPr="00295637">
        <w:rPr>
          <w:rFonts w:ascii="Times New Roman" w:hAnsi="Times New Roman"/>
        </w:rPr>
        <w:t xml:space="preserve"> </w:t>
      </w:r>
      <w:r>
        <w:rPr>
          <w:rFonts w:ascii="Times New Roman" w:hAnsi="Times New Roman"/>
        </w:rPr>
        <w:t>на</w:t>
      </w:r>
      <w:r w:rsidR="003A2F08" w:rsidRPr="00295637">
        <w:rPr>
          <w:rFonts w:ascii="Times New Roman" w:hAnsi="Times New Roman"/>
        </w:rPr>
        <w:t xml:space="preserve"> </w:t>
      </w:r>
      <w:r>
        <w:rPr>
          <w:rFonts w:ascii="Times New Roman" w:hAnsi="Times New Roman"/>
        </w:rPr>
        <w:t>поступање</w:t>
      </w:r>
      <w:r w:rsidR="003A2F08" w:rsidRPr="00295637">
        <w:rPr>
          <w:rFonts w:ascii="Times New Roman" w:hAnsi="Times New Roman"/>
        </w:rPr>
        <w:t xml:space="preserve"> </w:t>
      </w:r>
      <w:r>
        <w:rPr>
          <w:rFonts w:ascii="Times New Roman" w:hAnsi="Times New Roman"/>
        </w:rPr>
        <w:t>органа</w:t>
      </w:r>
      <w:r w:rsidR="005921EC">
        <w:rPr>
          <w:rFonts w:ascii="Times New Roman" w:hAnsi="Times New Roman"/>
        </w:rPr>
        <w:t xml:space="preserve"> </w:t>
      </w:r>
      <w:r>
        <w:rPr>
          <w:rFonts w:ascii="Times New Roman" w:hAnsi="Times New Roman"/>
        </w:rPr>
        <w:t>старатељства</w:t>
      </w:r>
      <w:r w:rsidR="003A2F08" w:rsidRPr="00295637">
        <w:rPr>
          <w:rFonts w:ascii="Times New Roman" w:hAnsi="Times New Roman"/>
        </w:rPr>
        <w:t xml:space="preserve"> </w:t>
      </w:r>
      <w:r>
        <w:rPr>
          <w:rFonts w:ascii="Times New Roman" w:hAnsi="Times New Roman"/>
        </w:rPr>
        <w:t>у</w:t>
      </w:r>
      <w:r w:rsidR="007924AF">
        <w:rPr>
          <w:rFonts w:ascii="Times New Roman" w:hAnsi="Times New Roman"/>
        </w:rPr>
        <w:t xml:space="preserve"> </w:t>
      </w:r>
      <w:r>
        <w:rPr>
          <w:rFonts w:ascii="Times New Roman" w:hAnsi="Times New Roman"/>
        </w:rPr>
        <w:t>вези</w:t>
      </w:r>
      <w:r w:rsidR="007924AF">
        <w:rPr>
          <w:rFonts w:ascii="Times New Roman" w:hAnsi="Times New Roman"/>
        </w:rPr>
        <w:t xml:space="preserve"> </w:t>
      </w:r>
      <w:r>
        <w:rPr>
          <w:rFonts w:ascii="Times New Roman" w:hAnsi="Times New Roman"/>
        </w:rPr>
        <w:t>са</w:t>
      </w:r>
      <w:r w:rsidR="003A2F08" w:rsidRPr="00295637">
        <w:rPr>
          <w:rFonts w:ascii="Times New Roman" w:hAnsi="Times New Roman"/>
        </w:rPr>
        <w:t xml:space="preserve"> </w:t>
      </w:r>
      <w:r>
        <w:rPr>
          <w:rFonts w:ascii="Times New Roman" w:hAnsi="Times New Roman"/>
        </w:rPr>
        <w:t>виђањем</w:t>
      </w:r>
      <w:r w:rsidR="003A2F08" w:rsidRPr="00295637">
        <w:rPr>
          <w:rFonts w:ascii="Times New Roman" w:hAnsi="Times New Roman"/>
        </w:rPr>
        <w:t xml:space="preserve"> </w:t>
      </w:r>
      <w:r>
        <w:rPr>
          <w:rFonts w:ascii="Times New Roman" w:hAnsi="Times New Roman"/>
        </w:rPr>
        <w:t>дјетета</w:t>
      </w:r>
      <w:r w:rsidR="003A2F08" w:rsidRPr="00295637">
        <w:rPr>
          <w:rFonts w:ascii="Times New Roman" w:hAnsi="Times New Roman"/>
        </w:rPr>
        <w:t xml:space="preserve"> </w:t>
      </w:r>
      <w:r>
        <w:rPr>
          <w:rFonts w:ascii="Times New Roman" w:hAnsi="Times New Roman"/>
        </w:rPr>
        <w:t>и</w:t>
      </w:r>
      <w:r w:rsidR="003A2F08" w:rsidRPr="00295637">
        <w:rPr>
          <w:rFonts w:ascii="Times New Roman" w:hAnsi="Times New Roman"/>
        </w:rPr>
        <w:t xml:space="preserve"> </w:t>
      </w:r>
      <w:r>
        <w:rPr>
          <w:rFonts w:ascii="Times New Roman" w:hAnsi="Times New Roman"/>
        </w:rPr>
        <w:t>остваривањем</w:t>
      </w:r>
      <w:r w:rsidR="00E84CF4" w:rsidRPr="00295637">
        <w:rPr>
          <w:rFonts w:ascii="Times New Roman" w:hAnsi="Times New Roman"/>
        </w:rPr>
        <w:t xml:space="preserve"> </w:t>
      </w:r>
      <w:r>
        <w:rPr>
          <w:rFonts w:ascii="Times New Roman" w:hAnsi="Times New Roman"/>
        </w:rPr>
        <w:t>родитељских</w:t>
      </w:r>
      <w:r w:rsidR="00E84CF4" w:rsidRPr="00295637">
        <w:rPr>
          <w:rFonts w:ascii="Times New Roman" w:hAnsi="Times New Roman"/>
        </w:rPr>
        <w:t xml:space="preserve"> </w:t>
      </w:r>
      <w:r>
        <w:rPr>
          <w:rFonts w:ascii="Times New Roman" w:hAnsi="Times New Roman"/>
        </w:rPr>
        <w:t>права</w:t>
      </w:r>
      <w:r w:rsidR="00E84CF4" w:rsidRPr="00295637">
        <w:rPr>
          <w:rFonts w:ascii="Times New Roman" w:hAnsi="Times New Roman"/>
        </w:rPr>
        <w:t xml:space="preserve">, </w:t>
      </w:r>
      <w:r>
        <w:rPr>
          <w:rFonts w:ascii="Times New Roman" w:hAnsi="Times New Roman"/>
        </w:rPr>
        <w:t>те</w:t>
      </w:r>
      <w:r w:rsidR="00E84CF4" w:rsidRPr="00295637">
        <w:rPr>
          <w:rFonts w:ascii="Times New Roman" w:hAnsi="Times New Roman"/>
        </w:rPr>
        <w:t xml:space="preserve"> </w:t>
      </w:r>
      <w:r>
        <w:rPr>
          <w:rFonts w:ascii="Times New Roman" w:hAnsi="Times New Roman"/>
        </w:rPr>
        <w:t>четири</w:t>
      </w:r>
      <w:r w:rsidR="003A2F08" w:rsidRPr="00295637">
        <w:rPr>
          <w:rFonts w:ascii="Times New Roman" w:hAnsi="Times New Roman"/>
        </w:rPr>
        <w:t xml:space="preserve"> </w:t>
      </w:r>
      <w:r>
        <w:rPr>
          <w:rFonts w:ascii="Times New Roman" w:hAnsi="Times New Roman"/>
        </w:rPr>
        <w:t>захтјева</w:t>
      </w:r>
      <w:r w:rsidR="003A2F08" w:rsidRPr="00295637">
        <w:rPr>
          <w:rFonts w:ascii="Times New Roman" w:hAnsi="Times New Roman"/>
        </w:rPr>
        <w:t xml:space="preserve"> </w:t>
      </w:r>
      <w:r>
        <w:rPr>
          <w:rFonts w:ascii="Times New Roman" w:hAnsi="Times New Roman"/>
        </w:rPr>
        <w:t>у</w:t>
      </w:r>
      <w:r w:rsidR="003A2F08" w:rsidRPr="00295637">
        <w:rPr>
          <w:rFonts w:ascii="Times New Roman" w:hAnsi="Times New Roman"/>
        </w:rPr>
        <w:t xml:space="preserve"> </w:t>
      </w:r>
      <w:r>
        <w:rPr>
          <w:rFonts w:ascii="Times New Roman" w:hAnsi="Times New Roman"/>
        </w:rPr>
        <w:t>којима</w:t>
      </w:r>
      <w:r w:rsidR="003A2F08" w:rsidRPr="00295637">
        <w:rPr>
          <w:rFonts w:ascii="Times New Roman" w:hAnsi="Times New Roman"/>
        </w:rPr>
        <w:t xml:space="preserve"> </w:t>
      </w:r>
      <w:r>
        <w:rPr>
          <w:rFonts w:ascii="Times New Roman" w:hAnsi="Times New Roman"/>
        </w:rPr>
        <w:t>су</w:t>
      </w:r>
      <w:r w:rsidR="003A2F08" w:rsidRPr="00295637">
        <w:rPr>
          <w:rFonts w:ascii="Times New Roman" w:hAnsi="Times New Roman"/>
        </w:rPr>
        <w:t xml:space="preserve"> </w:t>
      </w:r>
      <w:r>
        <w:rPr>
          <w:rFonts w:ascii="Times New Roman" w:hAnsi="Times New Roman"/>
        </w:rPr>
        <w:t>се</w:t>
      </w:r>
      <w:r w:rsidR="003A2F08" w:rsidRPr="00295637">
        <w:rPr>
          <w:rFonts w:ascii="Times New Roman" w:hAnsi="Times New Roman"/>
        </w:rPr>
        <w:t xml:space="preserve"> </w:t>
      </w:r>
      <w:r>
        <w:rPr>
          <w:rFonts w:ascii="Times New Roman" w:hAnsi="Times New Roman"/>
        </w:rPr>
        <w:t>странке</w:t>
      </w:r>
      <w:r w:rsidR="003A2F08" w:rsidRPr="00295637">
        <w:rPr>
          <w:rFonts w:ascii="Times New Roman" w:hAnsi="Times New Roman"/>
        </w:rPr>
        <w:t xml:space="preserve"> </w:t>
      </w:r>
      <w:r>
        <w:rPr>
          <w:rFonts w:ascii="Times New Roman" w:hAnsi="Times New Roman"/>
        </w:rPr>
        <w:t>позивале</w:t>
      </w:r>
      <w:r w:rsidR="003A2F08" w:rsidRPr="00295637">
        <w:rPr>
          <w:rFonts w:ascii="Times New Roman" w:hAnsi="Times New Roman"/>
        </w:rPr>
        <w:t xml:space="preserve"> </w:t>
      </w:r>
      <w:r>
        <w:rPr>
          <w:rFonts w:ascii="Times New Roman" w:hAnsi="Times New Roman"/>
        </w:rPr>
        <w:t>на</w:t>
      </w:r>
      <w:r w:rsidR="003A2F08" w:rsidRPr="00295637">
        <w:rPr>
          <w:rFonts w:ascii="Times New Roman" w:hAnsi="Times New Roman"/>
        </w:rPr>
        <w:t xml:space="preserve"> </w:t>
      </w:r>
      <w:r>
        <w:rPr>
          <w:rFonts w:ascii="Times New Roman" w:hAnsi="Times New Roman"/>
        </w:rPr>
        <w:t>наводну</w:t>
      </w:r>
      <w:r w:rsidR="003A2F08" w:rsidRPr="00295637">
        <w:rPr>
          <w:rFonts w:ascii="Times New Roman" w:hAnsi="Times New Roman"/>
        </w:rPr>
        <w:t xml:space="preserve"> </w:t>
      </w:r>
      <w:r>
        <w:rPr>
          <w:rFonts w:ascii="Times New Roman" w:hAnsi="Times New Roman"/>
        </w:rPr>
        <w:t>дискриминацију</w:t>
      </w:r>
      <w:r w:rsidR="003A2F08" w:rsidRPr="00295637">
        <w:rPr>
          <w:rFonts w:ascii="Times New Roman" w:hAnsi="Times New Roman"/>
        </w:rPr>
        <w:t xml:space="preserve"> </w:t>
      </w:r>
      <w:r>
        <w:rPr>
          <w:rFonts w:ascii="Times New Roman" w:hAnsi="Times New Roman"/>
        </w:rPr>
        <w:t>и</w:t>
      </w:r>
      <w:r w:rsidR="003A2F08" w:rsidRPr="00295637">
        <w:rPr>
          <w:rFonts w:ascii="Times New Roman" w:hAnsi="Times New Roman"/>
        </w:rPr>
        <w:t xml:space="preserve"> </w:t>
      </w:r>
      <w:r>
        <w:rPr>
          <w:rFonts w:ascii="Times New Roman" w:hAnsi="Times New Roman"/>
        </w:rPr>
        <w:t>узнемиравања</w:t>
      </w:r>
      <w:r w:rsidR="003A2F08" w:rsidRPr="00295637">
        <w:rPr>
          <w:rFonts w:ascii="Times New Roman" w:hAnsi="Times New Roman"/>
        </w:rPr>
        <w:t xml:space="preserve"> </w:t>
      </w:r>
      <w:r>
        <w:rPr>
          <w:rFonts w:ascii="Times New Roman" w:hAnsi="Times New Roman"/>
        </w:rPr>
        <w:t>на</w:t>
      </w:r>
      <w:r w:rsidR="003A2F08" w:rsidRPr="00295637">
        <w:rPr>
          <w:rFonts w:ascii="Times New Roman" w:hAnsi="Times New Roman"/>
        </w:rPr>
        <w:t xml:space="preserve"> </w:t>
      </w:r>
      <w:r>
        <w:rPr>
          <w:rFonts w:ascii="Times New Roman" w:hAnsi="Times New Roman"/>
        </w:rPr>
        <w:t>основу</w:t>
      </w:r>
      <w:r w:rsidR="003A2F08" w:rsidRPr="00295637">
        <w:rPr>
          <w:rFonts w:ascii="Times New Roman" w:hAnsi="Times New Roman"/>
        </w:rPr>
        <w:t xml:space="preserve"> </w:t>
      </w:r>
      <w:r>
        <w:rPr>
          <w:rFonts w:ascii="Times New Roman" w:hAnsi="Times New Roman"/>
        </w:rPr>
        <w:t>пола</w:t>
      </w:r>
      <w:r w:rsidR="003A2F08" w:rsidRPr="00295637">
        <w:rPr>
          <w:rFonts w:ascii="Times New Roman" w:hAnsi="Times New Roman"/>
        </w:rPr>
        <w:t xml:space="preserve"> </w:t>
      </w:r>
      <w:r>
        <w:rPr>
          <w:rFonts w:ascii="Times New Roman" w:hAnsi="Times New Roman"/>
        </w:rPr>
        <w:t>на</w:t>
      </w:r>
      <w:r w:rsidR="003A2F08" w:rsidRPr="00295637">
        <w:rPr>
          <w:rFonts w:ascii="Times New Roman" w:hAnsi="Times New Roman"/>
        </w:rPr>
        <w:t xml:space="preserve"> </w:t>
      </w:r>
      <w:r>
        <w:rPr>
          <w:rFonts w:ascii="Times New Roman" w:hAnsi="Times New Roman"/>
        </w:rPr>
        <w:t>радном</w:t>
      </w:r>
      <w:r w:rsidR="003A2F08" w:rsidRPr="00295637">
        <w:rPr>
          <w:rFonts w:ascii="Times New Roman" w:hAnsi="Times New Roman"/>
        </w:rPr>
        <w:t xml:space="preserve"> </w:t>
      </w:r>
      <w:r>
        <w:rPr>
          <w:rFonts w:ascii="Times New Roman" w:hAnsi="Times New Roman"/>
        </w:rPr>
        <w:t>мјесту</w:t>
      </w:r>
      <w:r w:rsidR="003A2F08" w:rsidRPr="00295637">
        <w:rPr>
          <w:rFonts w:ascii="Times New Roman" w:hAnsi="Times New Roman"/>
        </w:rPr>
        <w:t>.</w:t>
      </w:r>
      <w:bookmarkEnd w:id="57"/>
    </w:p>
    <w:p w:rsidR="00A04780" w:rsidRPr="00295637" w:rsidRDefault="00A04780" w:rsidP="0086268D">
      <w:pPr>
        <w:pStyle w:val="Normal1"/>
      </w:pPr>
    </w:p>
    <w:p w:rsidR="00F147A8" w:rsidRPr="00295637" w:rsidRDefault="00C6214E" w:rsidP="0086268D">
      <w:pPr>
        <w:pStyle w:val="ListParagraph"/>
        <w:ind w:left="0"/>
        <w:jc w:val="both"/>
        <w:rPr>
          <w:rFonts w:ascii="Times New Roman" w:hAnsi="Times New Roman"/>
          <w:lang w:val="sr-Latn-BA"/>
        </w:rPr>
      </w:pPr>
      <w:r>
        <w:rPr>
          <w:rFonts w:ascii="Times New Roman" w:hAnsi="Times New Roman"/>
          <w:lang w:val="sr-Cyrl-BA"/>
        </w:rPr>
        <w:t>У</w:t>
      </w:r>
      <w:r w:rsidR="005921EC">
        <w:rPr>
          <w:rFonts w:ascii="Times New Roman" w:hAnsi="Times New Roman"/>
          <w:lang w:val="sr-Cyrl-BA"/>
        </w:rPr>
        <w:t xml:space="preserve"> </w:t>
      </w:r>
      <w:r>
        <w:rPr>
          <w:rFonts w:ascii="Times New Roman" w:hAnsi="Times New Roman"/>
          <w:lang w:val="sr-Cyrl-BA"/>
        </w:rPr>
        <w:t>Републици</w:t>
      </w:r>
      <w:r w:rsidR="005921EC">
        <w:rPr>
          <w:rFonts w:ascii="Times New Roman" w:hAnsi="Times New Roman"/>
          <w:lang w:val="sr-Cyrl-BA"/>
        </w:rPr>
        <w:t xml:space="preserve"> </w:t>
      </w:r>
      <w:r>
        <w:rPr>
          <w:rFonts w:ascii="Times New Roman" w:hAnsi="Times New Roman"/>
          <w:lang w:val="sr-Cyrl-BA"/>
        </w:rPr>
        <w:t>Српској</w:t>
      </w:r>
      <w:r w:rsidR="005921EC">
        <w:rPr>
          <w:rFonts w:ascii="Times New Roman" w:hAnsi="Times New Roman"/>
          <w:lang w:val="sr-Cyrl-BA"/>
        </w:rPr>
        <w:t xml:space="preserve"> </w:t>
      </w:r>
      <w:r>
        <w:rPr>
          <w:rFonts w:ascii="Times New Roman" w:hAnsi="Times New Roman"/>
          <w:lang w:val="sr-Cyrl-BA"/>
        </w:rPr>
        <w:t>се</w:t>
      </w:r>
      <w:r w:rsidR="005921EC">
        <w:rPr>
          <w:rFonts w:ascii="Times New Roman" w:hAnsi="Times New Roman"/>
          <w:lang w:val="sr-Cyrl-BA"/>
        </w:rPr>
        <w:t xml:space="preserve"> </w:t>
      </w:r>
      <w:r>
        <w:rPr>
          <w:rFonts w:ascii="Times New Roman" w:hAnsi="Times New Roman"/>
          <w:lang w:val="sr-Cyrl-BA"/>
        </w:rPr>
        <w:t>об</w:t>
      </w:r>
      <w:r>
        <w:rPr>
          <w:rFonts w:ascii="Times New Roman" w:hAnsi="Times New Roman"/>
          <w:lang w:val="hr-HR"/>
        </w:rPr>
        <w:t>а</w:t>
      </w:r>
      <w:r>
        <w:rPr>
          <w:rFonts w:ascii="Times New Roman" w:hAnsi="Times New Roman"/>
          <w:lang w:val="sr-Cyrl-BA"/>
        </w:rPr>
        <w:t>веза</w:t>
      </w:r>
      <w:r w:rsidR="00F147A8" w:rsidRPr="00295637">
        <w:rPr>
          <w:rFonts w:ascii="Times New Roman" w:hAnsi="Times New Roman"/>
          <w:lang w:val="sr-Cyrl-BA"/>
        </w:rPr>
        <w:t xml:space="preserve"> </w:t>
      </w:r>
      <w:r>
        <w:rPr>
          <w:rFonts w:ascii="Times New Roman" w:hAnsi="Times New Roman"/>
          <w:lang w:val="sr-Cyrl-BA"/>
        </w:rPr>
        <w:t>усклађивања</w:t>
      </w:r>
      <w:r w:rsidR="005921EC">
        <w:rPr>
          <w:rFonts w:ascii="Times New Roman" w:hAnsi="Times New Roman"/>
          <w:lang w:val="sr-Cyrl-BA"/>
        </w:rPr>
        <w:t xml:space="preserve"> </w:t>
      </w:r>
      <w:r>
        <w:rPr>
          <w:rFonts w:ascii="Times New Roman" w:hAnsi="Times New Roman"/>
          <w:lang w:val="sr-Cyrl-BA"/>
        </w:rPr>
        <w:t>закона</w:t>
      </w:r>
      <w:r w:rsidR="005921EC">
        <w:rPr>
          <w:rFonts w:ascii="Times New Roman" w:hAnsi="Times New Roman"/>
          <w:lang w:val="sr-Cyrl-BA"/>
        </w:rPr>
        <w:t xml:space="preserve"> </w:t>
      </w:r>
      <w:r>
        <w:rPr>
          <w:rFonts w:ascii="Times New Roman" w:hAnsi="Times New Roman"/>
          <w:lang w:val="sr-Cyrl-BA"/>
        </w:rPr>
        <w:t>и</w:t>
      </w:r>
      <w:r w:rsidR="005921EC">
        <w:rPr>
          <w:rFonts w:ascii="Times New Roman" w:hAnsi="Times New Roman"/>
          <w:lang w:val="sr-Cyrl-BA"/>
        </w:rPr>
        <w:t xml:space="preserve"> </w:t>
      </w:r>
      <w:r>
        <w:rPr>
          <w:rFonts w:ascii="Times New Roman" w:hAnsi="Times New Roman"/>
          <w:lang w:val="sr-Cyrl-BA"/>
        </w:rPr>
        <w:t>других</w:t>
      </w:r>
      <w:r w:rsidR="005921EC">
        <w:rPr>
          <w:rFonts w:ascii="Times New Roman" w:hAnsi="Times New Roman"/>
          <w:lang w:val="sr-Cyrl-BA"/>
        </w:rPr>
        <w:t xml:space="preserve"> </w:t>
      </w:r>
      <w:r>
        <w:rPr>
          <w:rFonts w:ascii="Times New Roman" w:hAnsi="Times New Roman"/>
          <w:lang w:val="sr-Cyrl-BA"/>
        </w:rPr>
        <w:t>аката</w:t>
      </w:r>
      <w:r w:rsidR="005921EC">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F147A8" w:rsidRPr="00295637">
        <w:rPr>
          <w:rFonts w:ascii="Times New Roman" w:hAnsi="Times New Roman"/>
          <w:lang w:val="sr-Cyrl-BA"/>
        </w:rPr>
        <w:t xml:space="preserve"> </w:t>
      </w:r>
      <w:r>
        <w:rPr>
          <w:rFonts w:ascii="Times New Roman" w:hAnsi="Times New Roman"/>
          <w:lang w:val="sr-Cyrl-BA"/>
        </w:rPr>
        <w:t>З</w:t>
      </w:r>
      <w:r>
        <w:rPr>
          <w:rFonts w:ascii="Times New Roman" w:hAnsi="Times New Roman"/>
          <w:lang w:val="bs-Latn-BA"/>
        </w:rPr>
        <w:t>оР</w:t>
      </w:r>
      <w:r w:rsidR="00B745C8">
        <w:rPr>
          <w:rFonts w:ascii="Times New Roman" w:hAnsi="Times New Roman"/>
          <w:lang w:val="sr-Cyrl-BA"/>
        </w:rPr>
        <w:t>П</w:t>
      </w:r>
      <w:r w:rsidR="000B2FD1" w:rsidRPr="00295637">
        <w:rPr>
          <w:rFonts w:ascii="Times New Roman" w:hAnsi="Times New Roman"/>
          <w:lang w:val="bs-Latn-BA"/>
        </w:rPr>
        <w:t>-</w:t>
      </w:r>
      <w:r>
        <w:rPr>
          <w:rFonts w:ascii="Times New Roman" w:hAnsi="Times New Roman"/>
          <w:lang w:val="bs-Latn-BA"/>
        </w:rPr>
        <w:t>ом</w:t>
      </w:r>
      <w:r w:rsidR="005921EC">
        <w:rPr>
          <w:rFonts w:ascii="Times New Roman" w:hAnsi="Times New Roman"/>
          <w:lang w:val="sr-Cyrl-BA"/>
        </w:rPr>
        <w:t xml:space="preserve"> </w:t>
      </w:r>
      <w:r>
        <w:rPr>
          <w:rFonts w:ascii="Times New Roman" w:hAnsi="Times New Roman"/>
          <w:lang w:val="sr-Cyrl-BA"/>
        </w:rPr>
        <w:t>проводи</w:t>
      </w:r>
      <w:r w:rsidR="00F147A8" w:rsidRPr="00295637">
        <w:rPr>
          <w:rFonts w:ascii="Times New Roman" w:hAnsi="Times New Roman"/>
          <w:lang w:val="sr-Cyrl-BA"/>
        </w:rPr>
        <w:t xml:space="preserve"> </w:t>
      </w:r>
      <w:r>
        <w:rPr>
          <w:rFonts w:ascii="Times New Roman" w:hAnsi="Times New Roman"/>
          <w:lang w:val="sr-Cyrl-BA"/>
        </w:rPr>
        <w:t>у</w:t>
      </w:r>
      <w:r w:rsidR="00F147A8" w:rsidRPr="00295637">
        <w:rPr>
          <w:rFonts w:ascii="Times New Roman" w:hAnsi="Times New Roman"/>
          <w:lang w:val="sr-Cyrl-BA"/>
        </w:rPr>
        <w:t xml:space="preserve"> </w:t>
      </w:r>
      <w:r>
        <w:rPr>
          <w:rFonts w:ascii="Times New Roman" w:hAnsi="Times New Roman"/>
          <w:lang w:val="sr-Cyrl-BA"/>
        </w:rPr>
        <w:t>континуитету</w:t>
      </w:r>
      <w:r w:rsidR="00F147A8"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истемски</w:t>
      </w:r>
      <w:r w:rsidR="00F147A8" w:rsidRPr="00295637">
        <w:rPr>
          <w:rFonts w:ascii="Times New Roman" w:hAnsi="Times New Roman"/>
          <w:lang w:val="sr-Cyrl-BA"/>
        </w:rPr>
        <w:t xml:space="preserve"> </w:t>
      </w:r>
      <w:r>
        <w:rPr>
          <w:rFonts w:ascii="Times New Roman" w:hAnsi="Times New Roman"/>
          <w:lang w:val="sr-Cyrl-BA"/>
        </w:rPr>
        <w:t>закони</w:t>
      </w:r>
      <w:r w:rsidR="00F147A8" w:rsidRPr="00295637">
        <w:rPr>
          <w:rFonts w:ascii="Times New Roman" w:hAnsi="Times New Roman"/>
          <w:lang w:val="sr-Cyrl-BA"/>
        </w:rPr>
        <w:t xml:space="preserve">, </w:t>
      </w:r>
      <w:r>
        <w:rPr>
          <w:rFonts w:ascii="Times New Roman" w:hAnsi="Times New Roman"/>
          <w:lang w:val="sr-Cyrl-BA"/>
        </w:rPr>
        <w:t>у</w:t>
      </w:r>
      <w:r w:rsidR="00F147A8" w:rsidRPr="00295637">
        <w:rPr>
          <w:rFonts w:ascii="Times New Roman" w:hAnsi="Times New Roman"/>
          <w:lang w:val="sr-Cyrl-BA"/>
        </w:rPr>
        <w:t xml:space="preserve"> </w:t>
      </w:r>
      <w:r>
        <w:rPr>
          <w:rFonts w:ascii="Times New Roman" w:hAnsi="Times New Roman"/>
          <w:lang w:val="sr-Cyrl-BA"/>
        </w:rPr>
        <w:t>свим</w:t>
      </w:r>
      <w:r w:rsidR="00F147A8" w:rsidRPr="00295637">
        <w:rPr>
          <w:rFonts w:ascii="Times New Roman" w:hAnsi="Times New Roman"/>
          <w:lang w:val="sr-Cyrl-BA"/>
        </w:rPr>
        <w:t xml:space="preserve"> </w:t>
      </w:r>
      <w:r>
        <w:rPr>
          <w:rFonts w:ascii="Times New Roman" w:hAnsi="Times New Roman"/>
          <w:lang w:val="hr-HR"/>
        </w:rPr>
        <w:t>областима</w:t>
      </w:r>
      <w:r w:rsidR="00F147A8" w:rsidRPr="00295637">
        <w:rPr>
          <w:rFonts w:ascii="Times New Roman" w:hAnsi="Times New Roman"/>
          <w:lang w:val="sr-Cyrl-BA"/>
        </w:rPr>
        <w:t xml:space="preserve"> </w:t>
      </w:r>
      <w:r>
        <w:rPr>
          <w:rFonts w:ascii="Times New Roman" w:hAnsi="Times New Roman"/>
          <w:lang w:val="sr-Cyrl-BA"/>
        </w:rPr>
        <w:t>усаглашени</w:t>
      </w:r>
      <w:r w:rsidR="00F147A8" w:rsidRPr="00295637">
        <w:rPr>
          <w:rFonts w:ascii="Times New Roman" w:hAnsi="Times New Roman"/>
          <w:lang w:val="sr-Cyrl-BA"/>
        </w:rPr>
        <w:t xml:space="preserve"> </w:t>
      </w:r>
      <w:r>
        <w:rPr>
          <w:rFonts w:ascii="Times New Roman" w:hAnsi="Times New Roman"/>
          <w:lang w:val="sr-Cyrl-BA"/>
        </w:rPr>
        <w:t>су</w:t>
      </w:r>
      <w:r w:rsidR="00F147A8" w:rsidRPr="00295637">
        <w:rPr>
          <w:rFonts w:ascii="Times New Roman" w:hAnsi="Times New Roman"/>
          <w:lang w:val="sr-Cyrl-BA"/>
        </w:rPr>
        <w:t xml:space="preserve"> </w:t>
      </w:r>
      <w:r>
        <w:rPr>
          <w:rFonts w:ascii="Times New Roman" w:hAnsi="Times New Roman"/>
          <w:lang w:val="sr-Cyrl-BA"/>
        </w:rPr>
        <w:t>са</w:t>
      </w:r>
      <w:r w:rsidR="00F147A8" w:rsidRPr="00295637">
        <w:rPr>
          <w:rFonts w:ascii="Times New Roman" w:hAnsi="Times New Roman"/>
          <w:lang w:val="sr-Cyrl-BA"/>
        </w:rPr>
        <w:t xml:space="preserve"> </w:t>
      </w:r>
      <w:r>
        <w:rPr>
          <w:rFonts w:ascii="Times New Roman" w:hAnsi="Times New Roman"/>
          <w:lang w:val="sr-Cyrl-BA"/>
        </w:rPr>
        <w:t>стандардима</w:t>
      </w:r>
      <w:r w:rsidR="00F147A8" w:rsidRPr="00295637">
        <w:rPr>
          <w:rFonts w:ascii="Times New Roman" w:hAnsi="Times New Roman"/>
          <w:lang w:val="sr-Cyrl-BA"/>
        </w:rPr>
        <w:t xml:space="preserve"> </w:t>
      </w:r>
      <w:r>
        <w:rPr>
          <w:rFonts w:ascii="Times New Roman" w:hAnsi="Times New Roman"/>
          <w:lang w:val="sr-Cyrl-BA"/>
        </w:rPr>
        <w:t>за</w:t>
      </w:r>
      <w:r w:rsidR="00F147A8" w:rsidRPr="00295637">
        <w:rPr>
          <w:rFonts w:ascii="Times New Roman" w:hAnsi="Times New Roman"/>
          <w:lang w:val="sr-Cyrl-BA"/>
        </w:rPr>
        <w:t xml:space="preserve"> </w:t>
      </w:r>
      <w:r>
        <w:rPr>
          <w:rFonts w:ascii="Times New Roman" w:hAnsi="Times New Roman"/>
          <w:lang w:val="sr-Cyrl-BA"/>
        </w:rPr>
        <w:t>равноправност</w:t>
      </w:r>
      <w:r w:rsidR="00F147A8" w:rsidRPr="00295637">
        <w:rPr>
          <w:rFonts w:ascii="Times New Roman" w:hAnsi="Times New Roman"/>
          <w:lang w:val="sr-Cyrl-BA"/>
        </w:rPr>
        <w:t xml:space="preserve"> </w:t>
      </w:r>
      <w:r>
        <w:rPr>
          <w:rFonts w:ascii="Times New Roman" w:hAnsi="Times New Roman"/>
          <w:lang w:val="sr-Cyrl-BA"/>
        </w:rPr>
        <w:t>полова</w:t>
      </w:r>
      <w:r w:rsidR="00F147A8" w:rsidRPr="00295637">
        <w:rPr>
          <w:rFonts w:ascii="Times New Roman" w:hAnsi="Times New Roman"/>
          <w:lang w:val="sr-Cyrl-BA"/>
        </w:rPr>
        <w:t xml:space="preserve">. </w:t>
      </w:r>
      <w:r>
        <w:rPr>
          <w:rFonts w:ascii="Times New Roman" w:hAnsi="Times New Roman"/>
          <w:lang w:val="sr-Cyrl-BA"/>
        </w:rPr>
        <w:t>Већина</w:t>
      </w:r>
      <w:r w:rsidR="00F147A8" w:rsidRPr="00295637">
        <w:rPr>
          <w:rFonts w:ascii="Times New Roman" w:hAnsi="Times New Roman"/>
          <w:lang w:val="sr-Cyrl-BA"/>
        </w:rPr>
        <w:t xml:space="preserve"> </w:t>
      </w:r>
      <w:r>
        <w:rPr>
          <w:rFonts w:ascii="Times New Roman" w:hAnsi="Times New Roman"/>
          <w:lang w:val="sr-Cyrl-BA"/>
        </w:rPr>
        <w:t>овлаш</w:t>
      </w:r>
      <w:r w:rsidR="00B745C8">
        <w:rPr>
          <w:rFonts w:ascii="Times New Roman" w:hAnsi="Times New Roman"/>
          <w:lang w:val="sr-Cyrl-BA"/>
        </w:rPr>
        <w:t>ћ</w:t>
      </w:r>
      <w:r>
        <w:rPr>
          <w:rFonts w:ascii="Times New Roman" w:hAnsi="Times New Roman"/>
          <w:lang w:val="sr-Cyrl-BA"/>
        </w:rPr>
        <w:t>ених</w:t>
      </w:r>
      <w:r w:rsidR="00F147A8" w:rsidRPr="00295637">
        <w:rPr>
          <w:rFonts w:ascii="Times New Roman" w:hAnsi="Times New Roman"/>
          <w:lang w:val="sr-Cyrl-BA"/>
        </w:rPr>
        <w:t xml:space="preserve"> </w:t>
      </w:r>
      <w:r>
        <w:rPr>
          <w:rFonts w:ascii="Times New Roman" w:hAnsi="Times New Roman"/>
          <w:lang w:val="sr-Cyrl-BA"/>
        </w:rPr>
        <w:t>обрађивача</w:t>
      </w:r>
      <w:r w:rsidR="00F147A8" w:rsidRPr="00295637">
        <w:rPr>
          <w:rFonts w:ascii="Times New Roman" w:hAnsi="Times New Roman"/>
          <w:lang w:val="sr-Cyrl-BA"/>
        </w:rPr>
        <w:t xml:space="preserve"> </w:t>
      </w:r>
      <w:r>
        <w:rPr>
          <w:rFonts w:ascii="Times New Roman" w:hAnsi="Times New Roman"/>
          <w:lang w:val="sr-Cyrl-BA"/>
        </w:rPr>
        <w:t>закона</w:t>
      </w:r>
      <w:r w:rsidR="00F147A8" w:rsidRPr="00295637">
        <w:rPr>
          <w:rFonts w:ascii="Times New Roman" w:hAnsi="Times New Roman"/>
          <w:lang w:val="sr-Cyrl-BA"/>
        </w:rPr>
        <w:t xml:space="preserve"> </w:t>
      </w:r>
      <w:r>
        <w:rPr>
          <w:rFonts w:ascii="Times New Roman" w:hAnsi="Times New Roman"/>
          <w:lang w:val="sr-Cyrl-BA"/>
        </w:rPr>
        <w:t>већ</w:t>
      </w:r>
      <w:r w:rsidR="00F147A8" w:rsidRPr="00295637">
        <w:rPr>
          <w:rFonts w:ascii="Times New Roman" w:hAnsi="Times New Roman"/>
          <w:lang w:val="sr-Cyrl-BA"/>
        </w:rPr>
        <w:t xml:space="preserve"> </w:t>
      </w:r>
      <w:r>
        <w:rPr>
          <w:rFonts w:ascii="Times New Roman" w:hAnsi="Times New Roman"/>
          <w:lang w:val="sr-Cyrl-BA"/>
        </w:rPr>
        <w:t>примјењује</w:t>
      </w:r>
      <w:r w:rsidR="00F147A8" w:rsidRPr="00295637">
        <w:rPr>
          <w:rFonts w:ascii="Times New Roman" w:hAnsi="Times New Roman"/>
          <w:lang w:val="sr-Cyrl-BA"/>
        </w:rPr>
        <w:t xml:space="preserve"> </w:t>
      </w:r>
      <w:r>
        <w:rPr>
          <w:rFonts w:ascii="Times New Roman" w:hAnsi="Times New Roman"/>
          <w:lang w:val="sr-Cyrl-BA"/>
        </w:rPr>
        <w:t>ове</w:t>
      </w:r>
      <w:r w:rsidR="00F147A8" w:rsidRPr="00295637">
        <w:rPr>
          <w:rFonts w:ascii="Times New Roman" w:hAnsi="Times New Roman"/>
          <w:lang w:val="sr-Cyrl-BA"/>
        </w:rPr>
        <w:t xml:space="preserve"> </w:t>
      </w:r>
      <w:r>
        <w:rPr>
          <w:rFonts w:ascii="Times New Roman" w:hAnsi="Times New Roman"/>
          <w:lang w:val="sr-Cyrl-BA"/>
        </w:rPr>
        <w:t>стандарде</w:t>
      </w:r>
      <w:r w:rsidR="00F147A8" w:rsidRPr="00295637">
        <w:rPr>
          <w:rFonts w:ascii="Times New Roman" w:hAnsi="Times New Roman"/>
          <w:lang w:val="sr-Cyrl-BA"/>
        </w:rPr>
        <w:t xml:space="preserve"> </w:t>
      </w:r>
      <w:r>
        <w:rPr>
          <w:rFonts w:ascii="Times New Roman" w:hAnsi="Times New Roman"/>
          <w:lang w:val="sr-Cyrl-BA"/>
        </w:rPr>
        <w:t>при</w:t>
      </w:r>
      <w:r w:rsidR="00F147A8" w:rsidRPr="00295637">
        <w:rPr>
          <w:rFonts w:ascii="Times New Roman" w:hAnsi="Times New Roman"/>
          <w:lang w:val="sr-Cyrl-BA"/>
        </w:rPr>
        <w:t xml:space="preserve"> </w:t>
      </w:r>
      <w:r>
        <w:rPr>
          <w:rFonts w:ascii="Times New Roman" w:hAnsi="Times New Roman"/>
          <w:lang w:val="sr-Cyrl-BA"/>
        </w:rPr>
        <w:t>њиховој</w:t>
      </w:r>
      <w:r w:rsidR="00F147A8" w:rsidRPr="00295637">
        <w:rPr>
          <w:rFonts w:ascii="Times New Roman" w:hAnsi="Times New Roman"/>
          <w:lang w:val="sr-Cyrl-BA"/>
        </w:rPr>
        <w:t xml:space="preserve"> </w:t>
      </w:r>
      <w:r>
        <w:rPr>
          <w:rFonts w:ascii="Times New Roman" w:hAnsi="Times New Roman"/>
          <w:lang w:val="sr-Cyrl-BA"/>
        </w:rPr>
        <w:t>изради</w:t>
      </w:r>
      <w:r w:rsidR="00F147A8" w:rsidRPr="00295637">
        <w:rPr>
          <w:rFonts w:ascii="Times New Roman" w:hAnsi="Times New Roman"/>
          <w:lang w:val="sr-Cyrl-BA"/>
        </w:rPr>
        <w:t xml:space="preserve">, </w:t>
      </w:r>
      <w:r>
        <w:rPr>
          <w:rFonts w:ascii="Times New Roman" w:hAnsi="Times New Roman"/>
          <w:lang w:val="sr-Cyrl-BA"/>
        </w:rPr>
        <w:t>или</w:t>
      </w:r>
      <w:r w:rsidR="00F147A8" w:rsidRPr="00295637">
        <w:rPr>
          <w:rFonts w:ascii="Times New Roman" w:hAnsi="Times New Roman"/>
          <w:lang w:val="sr-Cyrl-BA"/>
        </w:rPr>
        <w:t xml:space="preserve"> </w:t>
      </w:r>
      <w:r>
        <w:rPr>
          <w:rFonts w:ascii="Times New Roman" w:hAnsi="Times New Roman"/>
          <w:lang w:val="sr-Cyrl-BA"/>
        </w:rPr>
        <w:t>се</w:t>
      </w:r>
      <w:r w:rsidR="00F147A8" w:rsidRPr="00295637">
        <w:rPr>
          <w:rFonts w:ascii="Times New Roman" w:hAnsi="Times New Roman"/>
          <w:lang w:val="sr-Cyrl-BA"/>
        </w:rPr>
        <w:t xml:space="preserve"> </w:t>
      </w:r>
      <w:r>
        <w:rPr>
          <w:rFonts w:ascii="Times New Roman" w:hAnsi="Times New Roman"/>
          <w:lang w:val="sr-Cyrl-BA"/>
        </w:rPr>
        <w:t>на</w:t>
      </w:r>
      <w:r w:rsidR="00F147A8" w:rsidRPr="00295637">
        <w:rPr>
          <w:rFonts w:ascii="Times New Roman" w:hAnsi="Times New Roman"/>
          <w:lang w:val="sr-Cyrl-BA"/>
        </w:rPr>
        <w:t xml:space="preserve"> </w:t>
      </w:r>
      <w:r>
        <w:rPr>
          <w:rFonts w:ascii="Times New Roman" w:hAnsi="Times New Roman"/>
          <w:lang w:val="sr-Cyrl-BA"/>
        </w:rPr>
        <w:t>интервенцију</w:t>
      </w:r>
      <w:r w:rsidR="00F147A8" w:rsidRPr="00295637">
        <w:rPr>
          <w:rFonts w:ascii="Times New Roman" w:hAnsi="Times New Roman"/>
          <w:lang w:val="sr-Cyrl-BA"/>
        </w:rPr>
        <w:t xml:space="preserve"> </w:t>
      </w:r>
      <w:r>
        <w:rPr>
          <w:rFonts w:ascii="Times New Roman" w:hAnsi="Times New Roman"/>
          <w:lang w:val="sr-Cyrl-BA"/>
        </w:rPr>
        <w:t>или</w:t>
      </w:r>
      <w:r w:rsidR="00F147A8" w:rsidRPr="00295637">
        <w:rPr>
          <w:rFonts w:ascii="Times New Roman" w:hAnsi="Times New Roman"/>
          <w:lang w:val="sr-Cyrl-BA"/>
        </w:rPr>
        <w:t xml:space="preserve"> </w:t>
      </w:r>
      <w:r>
        <w:rPr>
          <w:rFonts w:ascii="Times New Roman" w:hAnsi="Times New Roman"/>
          <w:lang w:val="sr-Cyrl-BA"/>
        </w:rPr>
        <w:t>препоруке</w:t>
      </w:r>
      <w:r w:rsidR="00F147A8" w:rsidRPr="00295637">
        <w:rPr>
          <w:rFonts w:ascii="Times New Roman" w:hAnsi="Times New Roman"/>
          <w:lang w:val="sr-Cyrl-BA"/>
        </w:rPr>
        <w:t xml:space="preserve"> </w:t>
      </w:r>
      <w:r>
        <w:rPr>
          <w:rFonts w:ascii="Times New Roman" w:hAnsi="Times New Roman"/>
          <w:lang w:val="sr-Cyrl-BA"/>
        </w:rPr>
        <w:t>Ц</w:t>
      </w:r>
      <w:r>
        <w:rPr>
          <w:rFonts w:ascii="Times New Roman" w:hAnsi="Times New Roman"/>
          <w:lang w:val="bs-Latn-BA"/>
        </w:rPr>
        <w:t>ЈРП</w:t>
      </w:r>
      <w:r w:rsidR="000B2FD1" w:rsidRPr="00295637">
        <w:rPr>
          <w:rFonts w:ascii="Times New Roman" w:hAnsi="Times New Roman"/>
          <w:lang w:val="bs-Latn-BA"/>
        </w:rPr>
        <w:t xml:space="preserve"> </w:t>
      </w:r>
      <w:r>
        <w:rPr>
          <w:rFonts w:ascii="Times New Roman" w:hAnsi="Times New Roman"/>
          <w:lang w:val="bs-Latn-BA"/>
        </w:rPr>
        <w:t>РС</w:t>
      </w:r>
      <w:r w:rsidR="00F147A8" w:rsidRPr="00295637">
        <w:rPr>
          <w:rFonts w:ascii="Times New Roman" w:hAnsi="Times New Roman"/>
          <w:lang w:val="sr-Cyrl-BA"/>
        </w:rPr>
        <w:t xml:space="preserve"> </w:t>
      </w:r>
      <w:r>
        <w:rPr>
          <w:rFonts w:ascii="Times New Roman" w:hAnsi="Times New Roman"/>
          <w:lang w:val="sr-Cyrl-BA"/>
        </w:rPr>
        <w:t>ти</w:t>
      </w:r>
      <w:r w:rsidR="00F147A8" w:rsidRPr="00295637">
        <w:rPr>
          <w:rFonts w:ascii="Times New Roman" w:hAnsi="Times New Roman"/>
          <w:lang w:val="sr-Cyrl-BA"/>
        </w:rPr>
        <w:t xml:space="preserve"> </w:t>
      </w:r>
      <w:r>
        <w:rPr>
          <w:rFonts w:ascii="Times New Roman" w:hAnsi="Times New Roman"/>
          <w:lang w:val="sr-Cyrl-BA"/>
        </w:rPr>
        <w:t>стандарди</w:t>
      </w:r>
      <w:r w:rsidR="00F147A8" w:rsidRPr="00295637">
        <w:rPr>
          <w:rFonts w:ascii="Times New Roman" w:hAnsi="Times New Roman"/>
          <w:lang w:val="sr-Cyrl-BA"/>
        </w:rPr>
        <w:t xml:space="preserve"> </w:t>
      </w:r>
      <w:r>
        <w:rPr>
          <w:rFonts w:ascii="Times New Roman" w:hAnsi="Times New Roman"/>
          <w:lang w:val="sr-Cyrl-BA"/>
        </w:rPr>
        <w:t>накнадно</w:t>
      </w:r>
      <w:r w:rsidR="00F147A8" w:rsidRPr="00295637">
        <w:rPr>
          <w:rFonts w:ascii="Times New Roman" w:hAnsi="Times New Roman"/>
          <w:lang w:val="sr-Cyrl-BA"/>
        </w:rPr>
        <w:t xml:space="preserve"> </w:t>
      </w:r>
      <w:r>
        <w:rPr>
          <w:rFonts w:ascii="Times New Roman" w:hAnsi="Times New Roman"/>
          <w:lang w:val="sr-Cyrl-BA"/>
        </w:rPr>
        <w:t>уграђују</w:t>
      </w:r>
      <w:r w:rsidR="00F147A8" w:rsidRPr="00295637">
        <w:rPr>
          <w:rFonts w:ascii="Times New Roman" w:hAnsi="Times New Roman"/>
          <w:lang w:val="sr-Cyrl-BA"/>
        </w:rPr>
        <w:t xml:space="preserve"> </w:t>
      </w:r>
      <w:r>
        <w:rPr>
          <w:rFonts w:ascii="Times New Roman" w:hAnsi="Times New Roman"/>
          <w:lang w:val="sr-Cyrl-BA"/>
        </w:rPr>
        <w:t>у</w:t>
      </w:r>
      <w:r w:rsidR="00F147A8" w:rsidRPr="00295637">
        <w:rPr>
          <w:rFonts w:ascii="Times New Roman" w:hAnsi="Times New Roman"/>
          <w:lang w:val="sr-Cyrl-BA"/>
        </w:rPr>
        <w:t xml:space="preserve"> </w:t>
      </w:r>
      <w:r>
        <w:rPr>
          <w:rFonts w:ascii="Times New Roman" w:hAnsi="Times New Roman"/>
          <w:lang w:val="sr-Cyrl-BA"/>
        </w:rPr>
        <w:t>текст</w:t>
      </w:r>
      <w:r w:rsidR="00F147A8" w:rsidRPr="00295637">
        <w:rPr>
          <w:rFonts w:ascii="Times New Roman" w:hAnsi="Times New Roman"/>
          <w:lang w:val="sr-Cyrl-BA"/>
        </w:rPr>
        <w:t xml:space="preserve"> </w:t>
      </w:r>
      <w:r>
        <w:rPr>
          <w:rFonts w:ascii="Times New Roman" w:hAnsi="Times New Roman"/>
          <w:lang w:val="sr-Cyrl-BA"/>
        </w:rPr>
        <w:t>закона</w:t>
      </w:r>
      <w:r w:rsidR="00F147A8" w:rsidRPr="00295637">
        <w:rPr>
          <w:rFonts w:ascii="Times New Roman" w:hAnsi="Times New Roman"/>
          <w:lang w:val="sr-Cyrl-BA"/>
        </w:rPr>
        <w:t xml:space="preserve"> </w:t>
      </w:r>
      <w:r>
        <w:rPr>
          <w:rFonts w:ascii="Times New Roman" w:hAnsi="Times New Roman"/>
          <w:lang w:val="sr-Cyrl-BA"/>
        </w:rPr>
        <w:t>или</w:t>
      </w:r>
      <w:r w:rsidR="00F147A8" w:rsidRPr="00295637">
        <w:rPr>
          <w:rFonts w:ascii="Times New Roman" w:hAnsi="Times New Roman"/>
          <w:lang w:val="sr-Cyrl-BA"/>
        </w:rPr>
        <w:t xml:space="preserve"> </w:t>
      </w:r>
      <w:r>
        <w:rPr>
          <w:rFonts w:ascii="Times New Roman" w:hAnsi="Times New Roman"/>
          <w:lang w:val="sr-Cyrl-BA"/>
        </w:rPr>
        <w:t>другог</w:t>
      </w:r>
      <w:r w:rsidR="00F147A8" w:rsidRPr="00295637">
        <w:rPr>
          <w:rFonts w:ascii="Times New Roman" w:hAnsi="Times New Roman"/>
          <w:lang w:val="sr-Cyrl-BA"/>
        </w:rPr>
        <w:t xml:space="preserve"> </w:t>
      </w:r>
      <w:r>
        <w:rPr>
          <w:rFonts w:ascii="Times New Roman" w:hAnsi="Times New Roman"/>
          <w:lang w:val="sr-Cyrl-BA"/>
        </w:rPr>
        <w:t>акта</w:t>
      </w:r>
      <w:r w:rsidR="00F147A8" w:rsidRPr="00295637">
        <w:rPr>
          <w:rFonts w:ascii="Times New Roman" w:hAnsi="Times New Roman"/>
          <w:lang w:val="sr-Cyrl-BA"/>
        </w:rPr>
        <w:t>.</w:t>
      </w:r>
      <w:r w:rsidR="00F147A8" w:rsidRPr="00295637">
        <w:rPr>
          <w:rFonts w:ascii="Times New Roman" w:hAnsi="Times New Roman"/>
          <w:lang w:val="sr-Latn-BA"/>
        </w:rPr>
        <w:t xml:space="preserve"> </w:t>
      </w:r>
      <w:r>
        <w:rPr>
          <w:rFonts w:ascii="Times New Roman" w:hAnsi="Times New Roman"/>
          <w:lang w:val="sr-Latn-BA"/>
        </w:rPr>
        <w:t>Так</w:t>
      </w:r>
      <w:r w:rsidR="00B745C8">
        <w:rPr>
          <w:rFonts w:ascii="Times New Roman" w:hAnsi="Times New Roman"/>
          <w:lang w:val="sr-Latn-BA"/>
        </w:rPr>
        <w:t>ође</w:t>
      </w:r>
      <w:r w:rsidR="00F147A8" w:rsidRPr="00295637">
        <w:rPr>
          <w:rFonts w:ascii="Times New Roman" w:hAnsi="Times New Roman"/>
          <w:lang w:val="sr-Latn-BA"/>
        </w:rPr>
        <w:t xml:space="preserve"> </w:t>
      </w:r>
      <w:r>
        <w:rPr>
          <w:rFonts w:ascii="Times New Roman" w:hAnsi="Times New Roman"/>
          <w:lang w:val="sr-Latn-BA"/>
        </w:rPr>
        <w:t>се</w:t>
      </w:r>
      <w:r w:rsidR="00F147A8" w:rsidRPr="00295637">
        <w:rPr>
          <w:rFonts w:ascii="Times New Roman" w:hAnsi="Times New Roman"/>
          <w:lang w:val="sr-Latn-BA"/>
        </w:rPr>
        <w:t xml:space="preserve"> </w:t>
      </w:r>
      <w:r>
        <w:rPr>
          <w:rFonts w:ascii="Times New Roman" w:hAnsi="Times New Roman"/>
          <w:lang w:val="sr-Latn-BA"/>
        </w:rPr>
        <w:t>може</w:t>
      </w:r>
      <w:r w:rsidR="00F147A8" w:rsidRPr="00295637">
        <w:rPr>
          <w:rFonts w:ascii="Times New Roman" w:hAnsi="Times New Roman"/>
          <w:lang w:val="sr-Latn-BA"/>
        </w:rPr>
        <w:t xml:space="preserve"> </w:t>
      </w:r>
      <w:r>
        <w:rPr>
          <w:rFonts w:ascii="Times New Roman" w:hAnsi="Times New Roman"/>
          <w:lang w:val="sr-Latn-BA"/>
        </w:rPr>
        <w:t>констат</w:t>
      </w:r>
      <w:r w:rsidR="00B745C8">
        <w:rPr>
          <w:rFonts w:ascii="Times New Roman" w:hAnsi="Times New Roman"/>
          <w:lang w:val="sr-Cyrl-BA"/>
        </w:rPr>
        <w:t>овати</w:t>
      </w:r>
      <w:r w:rsidR="00F147A8" w:rsidRPr="00295637">
        <w:rPr>
          <w:rFonts w:ascii="Times New Roman" w:hAnsi="Times New Roman"/>
          <w:lang w:val="sr-Latn-BA"/>
        </w:rPr>
        <w:t xml:space="preserve"> </w:t>
      </w:r>
      <w:r>
        <w:rPr>
          <w:rFonts w:ascii="Times New Roman" w:hAnsi="Times New Roman"/>
          <w:lang w:val="sr-Latn-BA"/>
        </w:rPr>
        <w:t>да</w:t>
      </w:r>
      <w:r w:rsidR="00F147A8" w:rsidRPr="00295637">
        <w:rPr>
          <w:rFonts w:ascii="Times New Roman" w:hAnsi="Times New Roman"/>
          <w:lang w:val="sr-Latn-BA"/>
        </w:rPr>
        <w:t xml:space="preserve"> </w:t>
      </w:r>
      <w:r>
        <w:rPr>
          <w:rFonts w:ascii="Times New Roman" w:hAnsi="Times New Roman"/>
          <w:lang w:val="sr-Latn-BA"/>
        </w:rPr>
        <w:t>су</w:t>
      </w:r>
      <w:r w:rsidR="00F147A8" w:rsidRPr="00295637">
        <w:rPr>
          <w:rFonts w:ascii="Times New Roman" w:hAnsi="Times New Roman"/>
          <w:lang w:val="sr-Latn-BA"/>
        </w:rPr>
        <w:t xml:space="preserve"> </w:t>
      </w:r>
      <w:r>
        <w:rPr>
          <w:rFonts w:ascii="Times New Roman" w:hAnsi="Times New Roman"/>
          <w:lang w:val="sr-Latn-BA"/>
        </w:rPr>
        <w:t>стандарди</w:t>
      </w:r>
      <w:r w:rsidR="00F147A8" w:rsidRPr="00295637">
        <w:rPr>
          <w:rFonts w:ascii="Times New Roman" w:hAnsi="Times New Roman"/>
          <w:lang w:val="sr-Latn-BA"/>
        </w:rPr>
        <w:t xml:space="preserve"> </w:t>
      </w:r>
      <w:r>
        <w:rPr>
          <w:rFonts w:ascii="Times New Roman" w:hAnsi="Times New Roman"/>
          <w:lang w:val="sr-Latn-BA"/>
        </w:rPr>
        <w:t>за</w:t>
      </w:r>
      <w:r w:rsidR="00F147A8" w:rsidRPr="00295637">
        <w:rPr>
          <w:rFonts w:ascii="Times New Roman" w:hAnsi="Times New Roman"/>
          <w:lang w:val="sr-Latn-BA"/>
        </w:rPr>
        <w:t xml:space="preserve"> </w:t>
      </w:r>
      <w:r>
        <w:rPr>
          <w:rFonts w:ascii="Times New Roman" w:hAnsi="Times New Roman"/>
          <w:lang w:val="sr-Latn-BA"/>
        </w:rPr>
        <w:t>равноправност</w:t>
      </w:r>
      <w:r w:rsidR="00F147A8" w:rsidRPr="00295637">
        <w:rPr>
          <w:rFonts w:ascii="Times New Roman" w:hAnsi="Times New Roman"/>
          <w:lang w:val="sr-Latn-BA"/>
        </w:rPr>
        <w:t xml:space="preserve"> </w:t>
      </w:r>
      <w:r>
        <w:rPr>
          <w:rFonts w:ascii="Times New Roman" w:hAnsi="Times New Roman"/>
          <w:lang w:val="sr-Latn-BA"/>
        </w:rPr>
        <w:t>полова</w:t>
      </w:r>
      <w:r w:rsidR="00F147A8" w:rsidRPr="00295637">
        <w:rPr>
          <w:rFonts w:ascii="Times New Roman" w:hAnsi="Times New Roman"/>
          <w:lang w:val="sr-Latn-BA"/>
        </w:rPr>
        <w:t xml:space="preserve"> </w:t>
      </w:r>
      <w:r>
        <w:rPr>
          <w:rFonts w:ascii="Times New Roman" w:hAnsi="Times New Roman"/>
          <w:lang w:val="sr-Latn-BA"/>
        </w:rPr>
        <w:t>у</w:t>
      </w:r>
      <w:r w:rsidR="00F147A8" w:rsidRPr="00295637">
        <w:rPr>
          <w:rFonts w:ascii="Times New Roman" w:hAnsi="Times New Roman"/>
          <w:lang w:val="sr-Latn-BA"/>
        </w:rPr>
        <w:t xml:space="preserve"> </w:t>
      </w:r>
      <w:r>
        <w:rPr>
          <w:rFonts w:ascii="Times New Roman" w:hAnsi="Times New Roman"/>
          <w:lang w:val="sr-Latn-BA"/>
        </w:rPr>
        <w:t>највећој</w:t>
      </w:r>
      <w:r w:rsidR="00F147A8" w:rsidRPr="00295637">
        <w:rPr>
          <w:rFonts w:ascii="Times New Roman" w:hAnsi="Times New Roman"/>
          <w:lang w:val="sr-Latn-BA"/>
        </w:rPr>
        <w:t xml:space="preserve"> </w:t>
      </w:r>
      <w:r>
        <w:rPr>
          <w:rFonts w:ascii="Times New Roman" w:hAnsi="Times New Roman"/>
          <w:lang w:val="sr-Latn-BA"/>
        </w:rPr>
        <w:t>мјери</w:t>
      </w:r>
      <w:r w:rsidR="00F147A8" w:rsidRPr="00295637">
        <w:rPr>
          <w:rFonts w:ascii="Times New Roman" w:hAnsi="Times New Roman"/>
          <w:lang w:val="sr-Latn-BA"/>
        </w:rPr>
        <w:t xml:space="preserve"> </w:t>
      </w:r>
      <w:r>
        <w:rPr>
          <w:rFonts w:ascii="Times New Roman" w:hAnsi="Times New Roman"/>
          <w:lang w:val="sr-Latn-BA"/>
        </w:rPr>
        <w:t>иницијално</w:t>
      </w:r>
      <w:r w:rsidR="00F147A8" w:rsidRPr="00295637">
        <w:rPr>
          <w:rFonts w:ascii="Times New Roman" w:hAnsi="Times New Roman"/>
          <w:lang w:val="sr-Latn-BA"/>
        </w:rPr>
        <w:t xml:space="preserve"> </w:t>
      </w:r>
      <w:r>
        <w:rPr>
          <w:rFonts w:ascii="Times New Roman" w:hAnsi="Times New Roman"/>
          <w:lang w:val="sr-Latn-BA"/>
        </w:rPr>
        <w:t>уграђени</w:t>
      </w:r>
      <w:r w:rsidR="00F147A8" w:rsidRPr="00295637">
        <w:rPr>
          <w:rFonts w:ascii="Times New Roman" w:hAnsi="Times New Roman"/>
          <w:lang w:val="sr-Latn-BA"/>
        </w:rPr>
        <w:t xml:space="preserve"> </w:t>
      </w:r>
      <w:r>
        <w:rPr>
          <w:rFonts w:ascii="Times New Roman" w:hAnsi="Times New Roman"/>
          <w:lang w:val="sr-Latn-BA"/>
        </w:rPr>
        <w:t>у</w:t>
      </w:r>
      <w:r w:rsidR="00F147A8" w:rsidRPr="00295637">
        <w:rPr>
          <w:rFonts w:ascii="Times New Roman" w:hAnsi="Times New Roman"/>
          <w:lang w:val="sr-Latn-BA"/>
        </w:rPr>
        <w:t xml:space="preserve"> </w:t>
      </w:r>
      <w:r>
        <w:rPr>
          <w:rFonts w:ascii="Times New Roman" w:hAnsi="Times New Roman"/>
          <w:lang w:val="sr-Latn-BA"/>
        </w:rPr>
        <w:t>акте</w:t>
      </w:r>
      <w:r w:rsidR="00F147A8" w:rsidRPr="00295637">
        <w:rPr>
          <w:rFonts w:ascii="Times New Roman" w:hAnsi="Times New Roman"/>
          <w:lang w:val="sr-Latn-BA"/>
        </w:rPr>
        <w:t xml:space="preserve"> </w:t>
      </w:r>
      <w:r>
        <w:rPr>
          <w:rFonts w:ascii="Times New Roman" w:hAnsi="Times New Roman"/>
          <w:lang w:val="sr-Latn-BA"/>
        </w:rPr>
        <w:t>који</w:t>
      </w:r>
      <w:r w:rsidR="00F147A8" w:rsidRPr="00295637">
        <w:rPr>
          <w:rFonts w:ascii="Times New Roman" w:hAnsi="Times New Roman"/>
          <w:lang w:val="sr-Latn-BA"/>
        </w:rPr>
        <w:t xml:space="preserve"> </w:t>
      </w:r>
      <w:r>
        <w:rPr>
          <w:rFonts w:ascii="Times New Roman" w:hAnsi="Times New Roman"/>
          <w:lang w:val="sr-Latn-BA"/>
        </w:rPr>
        <w:t>долазе</w:t>
      </w:r>
      <w:r w:rsidR="00F147A8" w:rsidRPr="00295637">
        <w:rPr>
          <w:rFonts w:ascii="Times New Roman" w:hAnsi="Times New Roman"/>
          <w:lang w:val="sr-Latn-BA"/>
        </w:rPr>
        <w:t xml:space="preserve"> </w:t>
      </w:r>
      <w:r>
        <w:rPr>
          <w:rFonts w:ascii="Times New Roman" w:hAnsi="Times New Roman"/>
          <w:lang w:val="sr-Latn-BA"/>
        </w:rPr>
        <w:t>на</w:t>
      </w:r>
      <w:r w:rsidR="00F147A8" w:rsidRPr="00295637">
        <w:rPr>
          <w:rFonts w:ascii="Times New Roman" w:hAnsi="Times New Roman"/>
          <w:lang w:val="sr-Latn-BA"/>
        </w:rPr>
        <w:t xml:space="preserve"> </w:t>
      </w:r>
      <w:r>
        <w:rPr>
          <w:rFonts w:ascii="Times New Roman" w:hAnsi="Times New Roman"/>
          <w:lang w:val="sr-Latn-BA"/>
        </w:rPr>
        <w:t>мишљење</w:t>
      </w:r>
      <w:r w:rsidR="00F147A8" w:rsidRPr="00295637">
        <w:rPr>
          <w:rFonts w:ascii="Times New Roman" w:hAnsi="Times New Roman"/>
          <w:lang w:val="sr-Latn-BA"/>
        </w:rPr>
        <w:t xml:space="preserve"> </w:t>
      </w:r>
      <w:r>
        <w:rPr>
          <w:rFonts w:ascii="Times New Roman" w:hAnsi="Times New Roman"/>
          <w:lang w:val="sr-Latn-BA"/>
        </w:rPr>
        <w:t>ЦЈРП</w:t>
      </w:r>
      <w:r w:rsidR="00F147A8" w:rsidRPr="00295637">
        <w:rPr>
          <w:rFonts w:ascii="Times New Roman" w:hAnsi="Times New Roman"/>
          <w:lang w:val="sr-Latn-BA"/>
        </w:rPr>
        <w:t xml:space="preserve"> </w:t>
      </w:r>
      <w:r>
        <w:rPr>
          <w:rFonts w:ascii="Times New Roman" w:hAnsi="Times New Roman"/>
          <w:lang w:val="sr-Latn-BA"/>
        </w:rPr>
        <w:t>РС</w:t>
      </w:r>
      <w:r w:rsidR="00F147A8" w:rsidRPr="00295637">
        <w:rPr>
          <w:rFonts w:ascii="Times New Roman" w:hAnsi="Times New Roman"/>
          <w:lang w:val="sr-Latn-BA"/>
        </w:rPr>
        <w:t xml:space="preserve">, </w:t>
      </w:r>
      <w:r>
        <w:rPr>
          <w:rFonts w:ascii="Times New Roman" w:hAnsi="Times New Roman"/>
          <w:lang w:val="sr-Latn-BA"/>
        </w:rPr>
        <w:t>те</w:t>
      </w:r>
      <w:r w:rsidR="00F147A8" w:rsidRPr="00295637">
        <w:rPr>
          <w:rFonts w:ascii="Times New Roman" w:hAnsi="Times New Roman"/>
          <w:lang w:val="sr-Latn-BA"/>
        </w:rPr>
        <w:t xml:space="preserve"> </w:t>
      </w:r>
      <w:r>
        <w:rPr>
          <w:rFonts w:ascii="Times New Roman" w:hAnsi="Times New Roman"/>
          <w:lang w:val="sr-Latn-BA"/>
        </w:rPr>
        <w:t>да</w:t>
      </w:r>
      <w:r w:rsidR="00F147A8" w:rsidRPr="00295637">
        <w:rPr>
          <w:rFonts w:ascii="Times New Roman" w:hAnsi="Times New Roman"/>
          <w:lang w:val="sr-Latn-BA"/>
        </w:rPr>
        <w:t xml:space="preserve"> </w:t>
      </w:r>
      <w:r>
        <w:rPr>
          <w:rFonts w:ascii="Times New Roman" w:hAnsi="Times New Roman"/>
          <w:lang w:val="sr-Latn-BA"/>
        </w:rPr>
        <w:t>се</w:t>
      </w:r>
      <w:r w:rsidR="00F147A8" w:rsidRPr="00295637">
        <w:rPr>
          <w:rFonts w:ascii="Times New Roman" w:hAnsi="Times New Roman"/>
          <w:lang w:val="sr-Latn-BA"/>
        </w:rPr>
        <w:t xml:space="preserve"> </w:t>
      </w:r>
      <w:r>
        <w:rPr>
          <w:rFonts w:ascii="Times New Roman" w:hAnsi="Times New Roman"/>
          <w:lang w:val="sr-Latn-BA"/>
        </w:rPr>
        <w:t>у</w:t>
      </w:r>
      <w:r w:rsidR="00F147A8" w:rsidRPr="00295637">
        <w:rPr>
          <w:rFonts w:ascii="Times New Roman" w:hAnsi="Times New Roman"/>
          <w:lang w:val="sr-Latn-BA"/>
        </w:rPr>
        <w:t xml:space="preserve"> </w:t>
      </w:r>
      <w:r>
        <w:rPr>
          <w:rFonts w:ascii="Times New Roman" w:hAnsi="Times New Roman"/>
          <w:lang w:val="sr-Latn-BA"/>
        </w:rPr>
        <w:t>мањем</w:t>
      </w:r>
      <w:r w:rsidR="00F147A8" w:rsidRPr="00295637">
        <w:rPr>
          <w:rFonts w:ascii="Times New Roman" w:hAnsi="Times New Roman"/>
          <w:lang w:val="sr-Latn-BA"/>
        </w:rPr>
        <w:t xml:space="preserve"> </w:t>
      </w:r>
      <w:r>
        <w:rPr>
          <w:rFonts w:ascii="Times New Roman" w:hAnsi="Times New Roman"/>
          <w:lang w:val="sr-Latn-BA"/>
        </w:rPr>
        <w:t>броју</w:t>
      </w:r>
      <w:r w:rsidR="00F147A8" w:rsidRPr="00295637">
        <w:rPr>
          <w:rFonts w:ascii="Times New Roman" w:hAnsi="Times New Roman"/>
          <w:lang w:val="sr-Latn-BA"/>
        </w:rPr>
        <w:t xml:space="preserve"> </w:t>
      </w:r>
      <w:r>
        <w:rPr>
          <w:rFonts w:ascii="Times New Roman" w:hAnsi="Times New Roman"/>
          <w:lang w:val="sr-Latn-BA"/>
        </w:rPr>
        <w:t>случајева</w:t>
      </w:r>
      <w:r w:rsidR="00F147A8" w:rsidRPr="00295637">
        <w:rPr>
          <w:rFonts w:ascii="Times New Roman" w:hAnsi="Times New Roman"/>
          <w:lang w:val="sr-Latn-BA"/>
        </w:rPr>
        <w:t xml:space="preserve"> </w:t>
      </w:r>
      <w:r>
        <w:rPr>
          <w:rFonts w:ascii="Times New Roman" w:hAnsi="Times New Roman"/>
          <w:lang w:val="sr-Latn-BA"/>
        </w:rPr>
        <w:t>даје</w:t>
      </w:r>
      <w:r w:rsidR="00F147A8" w:rsidRPr="00295637">
        <w:rPr>
          <w:rFonts w:ascii="Times New Roman" w:hAnsi="Times New Roman"/>
          <w:lang w:val="sr-Latn-BA"/>
        </w:rPr>
        <w:t xml:space="preserve"> </w:t>
      </w:r>
      <w:r>
        <w:rPr>
          <w:rFonts w:ascii="Times New Roman" w:hAnsi="Times New Roman"/>
          <w:lang w:val="sr-Latn-BA"/>
        </w:rPr>
        <w:t>препорука</w:t>
      </w:r>
      <w:r w:rsidR="00F147A8" w:rsidRPr="00295637">
        <w:rPr>
          <w:rFonts w:ascii="Times New Roman" w:hAnsi="Times New Roman"/>
          <w:lang w:val="sr-Latn-BA"/>
        </w:rPr>
        <w:t xml:space="preserve"> </w:t>
      </w:r>
      <w:r>
        <w:rPr>
          <w:rFonts w:ascii="Times New Roman" w:hAnsi="Times New Roman"/>
          <w:lang w:val="sr-Latn-BA"/>
        </w:rPr>
        <w:t>за</w:t>
      </w:r>
      <w:r w:rsidR="00F147A8" w:rsidRPr="00295637">
        <w:rPr>
          <w:rFonts w:ascii="Times New Roman" w:hAnsi="Times New Roman"/>
          <w:lang w:val="sr-Latn-BA"/>
        </w:rPr>
        <w:t xml:space="preserve"> </w:t>
      </w:r>
      <w:r>
        <w:rPr>
          <w:rFonts w:ascii="Times New Roman" w:hAnsi="Times New Roman"/>
          <w:lang w:val="sr-Latn-BA"/>
        </w:rPr>
        <w:t>усклађивање</w:t>
      </w:r>
      <w:r w:rsidR="00F147A8" w:rsidRPr="00295637">
        <w:rPr>
          <w:rFonts w:ascii="Times New Roman" w:hAnsi="Times New Roman"/>
          <w:lang w:val="sr-Latn-BA"/>
        </w:rPr>
        <w:t>.</w:t>
      </w:r>
    </w:p>
    <w:p w:rsidR="00F147A8" w:rsidRPr="00295637" w:rsidRDefault="00F147A8" w:rsidP="0086268D">
      <w:pPr>
        <w:pStyle w:val="ListParagraph"/>
        <w:ind w:left="0"/>
        <w:jc w:val="both"/>
        <w:rPr>
          <w:rFonts w:ascii="Times New Roman" w:hAnsi="Times New Roman"/>
          <w:lang w:val="sr-Cyrl-BA"/>
        </w:rPr>
      </w:pPr>
    </w:p>
    <w:p w:rsidR="00F147A8" w:rsidRPr="00295637" w:rsidRDefault="00C6214E" w:rsidP="0086268D">
      <w:pPr>
        <w:pStyle w:val="ListParagraph"/>
        <w:ind w:left="0"/>
        <w:jc w:val="both"/>
        <w:rPr>
          <w:rFonts w:ascii="Times New Roman" w:hAnsi="Times New Roman"/>
          <w:lang w:val="sr-Cyrl-BA"/>
        </w:rPr>
      </w:pPr>
      <w:r>
        <w:rPr>
          <w:rFonts w:ascii="Times New Roman" w:hAnsi="Times New Roman"/>
          <w:lang w:val="sr-Cyrl-BA"/>
        </w:rPr>
        <w:t>У</w:t>
      </w:r>
      <w:r w:rsidR="00F147A8" w:rsidRPr="00295637">
        <w:rPr>
          <w:rFonts w:ascii="Times New Roman" w:hAnsi="Times New Roman"/>
          <w:lang w:val="sr-Cyrl-BA"/>
        </w:rPr>
        <w:t xml:space="preserve"> 2024. </w:t>
      </w:r>
      <w:r>
        <w:rPr>
          <w:rFonts w:ascii="Times New Roman" w:hAnsi="Times New Roman"/>
          <w:lang w:val="sr-Cyrl-BA"/>
        </w:rPr>
        <w:t>години</w:t>
      </w:r>
      <w:r w:rsidR="00F147A8" w:rsidRPr="00295637">
        <w:rPr>
          <w:rFonts w:ascii="Times New Roman" w:hAnsi="Times New Roman"/>
          <w:lang w:val="sr-Cyrl-BA"/>
        </w:rPr>
        <w:t xml:space="preserve">, </w:t>
      </w:r>
      <w:r>
        <w:rPr>
          <w:rFonts w:ascii="Times New Roman" w:hAnsi="Times New Roman"/>
          <w:lang w:val="sr-Cyrl-BA"/>
        </w:rPr>
        <w:t>ЦЈРП</w:t>
      </w:r>
      <w:r w:rsidR="00D319BF">
        <w:rPr>
          <w:rFonts w:ascii="Times New Roman" w:hAnsi="Times New Roman"/>
          <w:lang w:val="bs-Latn-BA"/>
        </w:rPr>
        <w:t xml:space="preserve"> </w:t>
      </w:r>
      <w:r>
        <w:rPr>
          <w:rFonts w:ascii="Times New Roman" w:hAnsi="Times New Roman"/>
          <w:lang w:val="sr-Cyrl-BA"/>
        </w:rPr>
        <w:t>РС</w:t>
      </w:r>
      <w:r w:rsidR="00F147A8" w:rsidRPr="00295637">
        <w:rPr>
          <w:rFonts w:ascii="Times New Roman" w:hAnsi="Times New Roman"/>
          <w:lang w:val="sr-Cyrl-BA"/>
        </w:rPr>
        <w:t xml:space="preserve"> </w:t>
      </w:r>
      <w:r>
        <w:rPr>
          <w:rFonts w:ascii="Times New Roman" w:hAnsi="Times New Roman"/>
          <w:lang w:val="sr-Cyrl-BA"/>
        </w:rPr>
        <w:t>је</w:t>
      </w:r>
      <w:r w:rsidR="00F147A8" w:rsidRPr="00295637">
        <w:rPr>
          <w:rFonts w:ascii="Times New Roman" w:hAnsi="Times New Roman"/>
          <w:lang w:val="sr-Cyrl-BA"/>
        </w:rPr>
        <w:t xml:space="preserve"> </w:t>
      </w:r>
      <w:r>
        <w:rPr>
          <w:rFonts w:ascii="Times New Roman" w:hAnsi="Times New Roman"/>
          <w:lang w:val="sr-Cyrl-BA"/>
        </w:rPr>
        <w:t>дао</w:t>
      </w:r>
      <w:r w:rsidR="00F147A8" w:rsidRPr="00295637">
        <w:rPr>
          <w:rFonts w:ascii="Times New Roman" w:hAnsi="Times New Roman"/>
          <w:lang w:val="sr-Cyrl-BA"/>
        </w:rPr>
        <w:t xml:space="preserve"> </w:t>
      </w:r>
      <w:r>
        <w:rPr>
          <w:rFonts w:ascii="Times New Roman" w:hAnsi="Times New Roman"/>
          <w:lang w:val="sr-Cyrl-BA"/>
        </w:rPr>
        <w:t>мишљења</w:t>
      </w:r>
      <w:r w:rsidR="00F147A8" w:rsidRPr="00295637">
        <w:rPr>
          <w:rFonts w:ascii="Times New Roman" w:hAnsi="Times New Roman"/>
          <w:lang w:val="sr-Cyrl-BA"/>
        </w:rPr>
        <w:t xml:space="preserve"> </w:t>
      </w:r>
      <w:r>
        <w:rPr>
          <w:rFonts w:ascii="Times New Roman" w:hAnsi="Times New Roman"/>
          <w:lang w:val="sr-Cyrl-BA"/>
        </w:rPr>
        <w:t>у</w:t>
      </w:r>
      <w:r w:rsidR="00F147A8" w:rsidRPr="00295637">
        <w:rPr>
          <w:rFonts w:ascii="Times New Roman" w:hAnsi="Times New Roman"/>
          <w:lang w:val="sr-Cyrl-BA"/>
        </w:rPr>
        <w:t xml:space="preserve"> </w:t>
      </w:r>
      <w:r>
        <w:rPr>
          <w:rFonts w:ascii="Times New Roman" w:hAnsi="Times New Roman"/>
          <w:lang w:val="sr-Cyrl-BA"/>
        </w:rPr>
        <w:t>прописаном</w:t>
      </w:r>
      <w:r w:rsidR="00F147A8" w:rsidRPr="00295637">
        <w:rPr>
          <w:rFonts w:ascii="Times New Roman" w:hAnsi="Times New Roman"/>
          <w:lang w:val="sr-Cyrl-BA"/>
        </w:rPr>
        <w:t xml:space="preserve"> </w:t>
      </w:r>
      <w:r>
        <w:rPr>
          <w:rFonts w:ascii="Times New Roman" w:hAnsi="Times New Roman"/>
          <w:lang w:val="sr-Cyrl-BA"/>
        </w:rPr>
        <w:t>року</w:t>
      </w:r>
      <w:r w:rsidR="00F147A8" w:rsidRPr="00295637">
        <w:rPr>
          <w:rFonts w:ascii="Times New Roman" w:hAnsi="Times New Roman"/>
          <w:lang w:val="sr-Cyrl-BA"/>
        </w:rPr>
        <w:t xml:space="preserve"> </w:t>
      </w:r>
      <w:r>
        <w:rPr>
          <w:rFonts w:ascii="Times New Roman" w:hAnsi="Times New Roman"/>
          <w:lang w:val="sr-Cyrl-BA"/>
        </w:rPr>
        <w:t>на</w:t>
      </w:r>
      <w:r w:rsidR="00F147A8" w:rsidRPr="00295637">
        <w:rPr>
          <w:rFonts w:ascii="Times New Roman" w:hAnsi="Times New Roman"/>
          <w:lang w:val="sr-Cyrl-BA"/>
        </w:rPr>
        <w:t xml:space="preserve"> </w:t>
      </w:r>
      <w:r>
        <w:rPr>
          <w:rFonts w:ascii="Times New Roman" w:hAnsi="Times New Roman"/>
          <w:lang w:val="sr-Cyrl-BA"/>
        </w:rPr>
        <w:t>све</w:t>
      </w:r>
      <w:r w:rsidR="00F147A8" w:rsidRPr="00295637">
        <w:rPr>
          <w:rFonts w:ascii="Times New Roman" w:hAnsi="Times New Roman"/>
          <w:lang w:val="sr-Cyrl-BA"/>
        </w:rPr>
        <w:t xml:space="preserve"> </w:t>
      </w:r>
      <w:r>
        <w:rPr>
          <w:rFonts w:ascii="Times New Roman" w:hAnsi="Times New Roman"/>
          <w:lang w:val="sr-Cyrl-BA"/>
        </w:rPr>
        <w:t>акте</w:t>
      </w:r>
      <w:r w:rsidR="00F147A8" w:rsidRPr="00295637">
        <w:rPr>
          <w:rFonts w:ascii="Times New Roman" w:hAnsi="Times New Roman"/>
          <w:lang w:val="sr-Cyrl-BA"/>
        </w:rPr>
        <w:t xml:space="preserve"> </w:t>
      </w:r>
      <w:r>
        <w:rPr>
          <w:rFonts w:ascii="Times New Roman" w:hAnsi="Times New Roman"/>
          <w:lang w:val="sr-Cyrl-BA"/>
        </w:rPr>
        <w:t>који</w:t>
      </w:r>
      <w:r w:rsidR="00F147A8" w:rsidRPr="00295637">
        <w:rPr>
          <w:rFonts w:ascii="Times New Roman" w:hAnsi="Times New Roman"/>
          <w:lang w:val="sr-Cyrl-BA"/>
        </w:rPr>
        <w:t xml:space="preserve"> </w:t>
      </w:r>
      <w:r>
        <w:rPr>
          <w:rFonts w:ascii="Times New Roman" w:hAnsi="Times New Roman"/>
          <w:lang w:val="sr-Cyrl-BA"/>
        </w:rPr>
        <w:t>су</w:t>
      </w:r>
      <w:r w:rsidR="00F147A8" w:rsidRPr="00295637">
        <w:rPr>
          <w:rFonts w:ascii="Times New Roman" w:hAnsi="Times New Roman"/>
          <w:lang w:val="sr-Cyrl-BA"/>
        </w:rPr>
        <w:t xml:space="preserve"> </w:t>
      </w:r>
      <w:r>
        <w:rPr>
          <w:rFonts w:ascii="Times New Roman" w:hAnsi="Times New Roman"/>
          <w:lang w:val="sr-Cyrl-BA"/>
        </w:rPr>
        <w:t>достављени</w:t>
      </w:r>
      <w:r w:rsidR="00F147A8" w:rsidRPr="00295637">
        <w:rPr>
          <w:rFonts w:ascii="Times New Roman" w:hAnsi="Times New Roman"/>
          <w:lang w:val="sr-Cyrl-BA"/>
        </w:rPr>
        <w:t xml:space="preserve"> </w:t>
      </w:r>
      <w:r>
        <w:rPr>
          <w:rFonts w:ascii="Times New Roman" w:hAnsi="Times New Roman"/>
          <w:lang w:val="sr-Cyrl-BA"/>
        </w:rPr>
        <w:t>од</w:t>
      </w:r>
      <w:r w:rsidR="00F147A8" w:rsidRPr="00295637">
        <w:rPr>
          <w:rFonts w:ascii="Times New Roman" w:hAnsi="Times New Roman"/>
          <w:lang w:val="sr-Cyrl-BA"/>
        </w:rPr>
        <w:t xml:space="preserve"> </w:t>
      </w:r>
      <w:r>
        <w:rPr>
          <w:rFonts w:ascii="Times New Roman" w:hAnsi="Times New Roman"/>
          <w:lang w:val="sr-Cyrl-BA"/>
        </w:rPr>
        <w:t>стране</w:t>
      </w:r>
      <w:r w:rsidR="00F147A8" w:rsidRPr="00295637">
        <w:rPr>
          <w:rFonts w:ascii="Times New Roman" w:hAnsi="Times New Roman"/>
          <w:lang w:val="sr-Cyrl-BA"/>
        </w:rPr>
        <w:t xml:space="preserve"> </w:t>
      </w:r>
      <w:r>
        <w:rPr>
          <w:rFonts w:ascii="Times New Roman" w:hAnsi="Times New Roman"/>
          <w:lang w:val="sr-Cyrl-BA"/>
        </w:rPr>
        <w:t>предлагача</w:t>
      </w:r>
      <w:r w:rsidR="00F147A8" w:rsidRPr="00295637">
        <w:rPr>
          <w:rFonts w:ascii="Times New Roman" w:hAnsi="Times New Roman"/>
          <w:lang w:val="sr-Cyrl-BA"/>
        </w:rPr>
        <w:t xml:space="preserve"> (100% </w:t>
      </w:r>
      <w:r>
        <w:rPr>
          <w:rFonts w:ascii="Times New Roman" w:hAnsi="Times New Roman"/>
          <w:lang w:val="sr-Cyrl-BA"/>
        </w:rPr>
        <w:t>извршење</w:t>
      </w:r>
      <w:r w:rsidR="00F147A8" w:rsidRPr="00295637">
        <w:rPr>
          <w:rFonts w:ascii="Times New Roman" w:hAnsi="Times New Roman"/>
          <w:lang w:val="sr-Cyrl-BA"/>
        </w:rPr>
        <w:t xml:space="preserve"> </w:t>
      </w:r>
      <w:r>
        <w:rPr>
          <w:rFonts w:ascii="Times New Roman" w:hAnsi="Times New Roman"/>
          <w:lang w:val="sr-Cyrl-BA"/>
        </w:rPr>
        <w:t>у</w:t>
      </w:r>
      <w:r w:rsidR="00F147A8" w:rsidRPr="00295637">
        <w:rPr>
          <w:rFonts w:ascii="Times New Roman" w:hAnsi="Times New Roman"/>
          <w:lang w:val="sr-Cyrl-BA"/>
        </w:rPr>
        <w:t xml:space="preserve"> </w:t>
      </w:r>
      <w:r>
        <w:rPr>
          <w:rFonts w:ascii="Times New Roman" w:hAnsi="Times New Roman"/>
          <w:lang w:val="sr-Cyrl-BA"/>
        </w:rPr>
        <w:t>односу</w:t>
      </w:r>
      <w:r w:rsidR="00F147A8" w:rsidRPr="00295637">
        <w:rPr>
          <w:rFonts w:ascii="Times New Roman" w:hAnsi="Times New Roman"/>
          <w:lang w:val="sr-Cyrl-BA"/>
        </w:rPr>
        <w:t xml:space="preserve"> </w:t>
      </w:r>
      <w:r>
        <w:rPr>
          <w:rFonts w:ascii="Times New Roman" w:hAnsi="Times New Roman"/>
          <w:lang w:val="sr-Cyrl-BA"/>
        </w:rPr>
        <w:t>на</w:t>
      </w:r>
      <w:r w:rsidR="00F147A8" w:rsidRPr="00295637">
        <w:rPr>
          <w:rFonts w:ascii="Times New Roman" w:hAnsi="Times New Roman"/>
          <w:lang w:val="sr-Cyrl-BA"/>
        </w:rPr>
        <w:t xml:space="preserve"> </w:t>
      </w:r>
      <w:r>
        <w:rPr>
          <w:rFonts w:ascii="Times New Roman" w:hAnsi="Times New Roman"/>
          <w:lang w:val="sr-Cyrl-BA"/>
        </w:rPr>
        <w:t>достављене</w:t>
      </w:r>
      <w:r w:rsidR="00F147A8" w:rsidRPr="00295637">
        <w:rPr>
          <w:rFonts w:ascii="Times New Roman" w:hAnsi="Times New Roman"/>
          <w:lang w:val="sr-Cyrl-BA"/>
        </w:rPr>
        <w:t xml:space="preserve"> </w:t>
      </w:r>
      <w:r>
        <w:rPr>
          <w:rFonts w:ascii="Times New Roman" w:hAnsi="Times New Roman"/>
          <w:lang w:val="sr-Cyrl-BA"/>
        </w:rPr>
        <w:t>акте</w:t>
      </w:r>
      <w:r w:rsidR="00F147A8" w:rsidRPr="00295637">
        <w:rPr>
          <w:rFonts w:ascii="Times New Roman" w:hAnsi="Times New Roman"/>
          <w:lang w:val="sr-Cyrl-BA"/>
        </w:rPr>
        <w:t xml:space="preserve">): 21 </w:t>
      </w:r>
      <w:r>
        <w:rPr>
          <w:rFonts w:ascii="Times New Roman" w:hAnsi="Times New Roman"/>
          <w:lang w:val="sr-Cyrl-BA"/>
        </w:rPr>
        <w:t>достављен</w:t>
      </w:r>
      <w:r w:rsidR="00F147A8" w:rsidRPr="00295637">
        <w:rPr>
          <w:rFonts w:ascii="Times New Roman" w:hAnsi="Times New Roman"/>
          <w:lang w:val="sr-Cyrl-BA"/>
        </w:rPr>
        <w:t xml:space="preserve"> </w:t>
      </w:r>
      <w:r>
        <w:rPr>
          <w:rFonts w:ascii="Times New Roman" w:hAnsi="Times New Roman"/>
          <w:lang w:val="sr-Cyrl-BA"/>
        </w:rPr>
        <w:t>акт</w:t>
      </w:r>
      <w:r w:rsidR="00F147A8" w:rsidRPr="00295637">
        <w:rPr>
          <w:rFonts w:ascii="Times New Roman" w:hAnsi="Times New Roman"/>
          <w:lang w:val="sr-Cyrl-BA"/>
        </w:rPr>
        <w:t xml:space="preserve">: 14 </w:t>
      </w:r>
      <w:r>
        <w:rPr>
          <w:rFonts w:ascii="Times New Roman" w:hAnsi="Times New Roman"/>
          <w:lang w:val="sr-Cyrl-BA"/>
        </w:rPr>
        <w:t>закона</w:t>
      </w:r>
      <w:r w:rsidR="00F147A8" w:rsidRPr="00295637">
        <w:rPr>
          <w:rFonts w:ascii="Times New Roman" w:hAnsi="Times New Roman"/>
          <w:lang w:val="sr-Cyrl-BA"/>
        </w:rPr>
        <w:t xml:space="preserve">, 1 </w:t>
      </w:r>
      <w:r>
        <w:rPr>
          <w:rFonts w:ascii="Times New Roman" w:hAnsi="Times New Roman"/>
          <w:lang w:val="sr-Cyrl-BA"/>
        </w:rPr>
        <w:t>стратегија</w:t>
      </w:r>
      <w:r w:rsidR="00F147A8" w:rsidRPr="00295637">
        <w:rPr>
          <w:rFonts w:ascii="Times New Roman" w:hAnsi="Times New Roman"/>
          <w:lang w:val="sr-Cyrl-BA"/>
        </w:rPr>
        <w:t xml:space="preserve">, 1 </w:t>
      </w:r>
      <w:r>
        <w:rPr>
          <w:rFonts w:ascii="Times New Roman" w:hAnsi="Times New Roman"/>
          <w:lang w:val="sr-Cyrl-BA"/>
        </w:rPr>
        <w:t>правилник</w:t>
      </w:r>
      <w:r w:rsidR="00F147A8" w:rsidRPr="00295637">
        <w:rPr>
          <w:rFonts w:ascii="Times New Roman" w:hAnsi="Times New Roman"/>
          <w:lang w:val="sr-Cyrl-BA"/>
        </w:rPr>
        <w:t xml:space="preserve">, 1 </w:t>
      </w:r>
      <w:r>
        <w:rPr>
          <w:rFonts w:ascii="Times New Roman" w:hAnsi="Times New Roman"/>
          <w:lang w:val="sr-Cyrl-BA"/>
        </w:rPr>
        <w:t>уредба</w:t>
      </w:r>
      <w:r w:rsidR="00F147A8" w:rsidRPr="00295637">
        <w:rPr>
          <w:rFonts w:ascii="Times New Roman" w:hAnsi="Times New Roman"/>
          <w:lang w:val="sr-Cyrl-BA"/>
        </w:rPr>
        <w:t xml:space="preserve">, 3 </w:t>
      </w:r>
      <w:r>
        <w:rPr>
          <w:rFonts w:ascii="Times New Roman" w:hAnsi="Times New Roman"/>
          <w:lang w:val="sr-Cyrl-BA"/>
        </w:rPr>
        <w:t>плана</w:t>
      </w:r>
      <w:r w:rsidR="00F147A8" w:rsidRPr="00295637">
        <w:rPr>
          <w:rFonts w:ascii="Times New Roman" w:hAnsi="Times New Roman"/>
          <w:lang w:val="sr-Cyrl-BA"/>
        </w:rPr>
        <w:t xml:space="preserve"> </w:t>
      </w:r>
      <w:r>
        <w:rPr>
          <w:rFonts w:ascii="Times New Roman" w:hAnsi="Times New Roman"/>
          <w:lang w:val="sr-Cyrl-BA"/>
        </w:rPr>
        <w:t>и</w:t>
      </w:r>
      <w:r w:rsidR="00F147A8" w:rsidRPr="00295637">
        <w:rPr>
          <w:rFonts w:ascii="Times New Roman" w:hAnsi="Times New Roman"/>
          <w:lang w:val="sr-Cyrl-BA"/>
        </w:rPr>
        <w:t xml:space="preserve"> 1 </w:t>
      </w:r>
      <w:r>
        <w:rPr>
          <w:rFonts w:ascii="Times New Roman" w:hAnsi="Times New Roman"/>
          <w:lang w:val="sr-Cyrl-BA"/>
        </w:rPr>
        <w:t>извјеш</w:t>
      </w:r>
      <w:r>
        <w:rPr>
          <w:rFonts w:ascii="Times New Roman" w:hAnsi="Times New Roman"/>
          <w:lang w:val="hr-HR"/>
        </w:rPr>
        <w:t>тај</w:t>
      </w:r>
      <w:r w:rsidR="00F147A8" w:rsidRPr="00295637">
        <w:rPr>
          <w:rFonts w:ascii="Times New Roman" w:hAnsi="Times New Roman"/>
          <w:lang w:val="sr-Cyrl-BA"/>
        </w:rPr>
        <w:t xml:space="preserve">. </w:t>
      </w:r>
      <w:r>
        <w:rPr>
          <w:rFonts w:ascii="Times New Roman" w:hAnsi="Times New Roman"/>
          <w:lang w:val="sr-Cyrl-BA"/>
        </w:rPr>
        <w:t>Укупно</w:t>
      </w:r>
      <w:r w:rsidR="00F147A8" w:rsidRPr="00295637">
        <w:rPr>
          <w:rFonts w:ascii="Times New Roman" w:hAnsi="Times New Roman"/>
          <w:lang w:val="sr-Cyrl-BA"/>
        </w:rPr>
        <w:t xml:space="preserve"> </w:t>
      </w:r>
      <w:r>
        <w:rPr>
          <w:rFonts w:ascii="Times New Roman" w:hAnsi="Times New Roman"/>
          <w:lang w:val="sr-Cyrl-BA"/>
        </w:rPr>
        <w:t>је</w:t>
      </w:r>
      <w:r w:rsidR="00F147A8" w:rsidRPr="00295637">
        <w:rPr>
          <w:rFonts w:ascii="Times New Roman" w:hAnsi="Times New Roman"/>
          <w:lang w:val="sr-Cyrl-BA"/>
        </w:rPr>
        <w:t xml:space="preserve"> </w:t>
      </w:r>
      <w:r>
        <w:rPr>
          <w:rFonts w:ascii="Times New Roman" w:hAnsi="Times New Roman"/>
          <w:lang w:val="sr-Cyrl-BA"/>
        </w:rPr>
        <w:t>дато</w:t>
      </w:r>
      <w:r w:rsidR="00F147A8" w:rsidRPr="00295637">
        <w:rPr>
          <w:rFonts w:ascii="Times New Roman" w:hAnsi="Times New Roman"/>
          <w:lang w:val="sr-Cyrl-BA"/>
        </w:rPr>
        <w:t xml:space="preserve"> 19 </w:t>
      </w:r>
      <w:r>
        <w:rPr>
          <w:rFonts w:ascii="Times New Roman" w:hAnsi="Times New Roman"/>
          <w:lang w:val="sr-Cyrl-BA"/>
        </w:rPr>
        <w:t>позитивних</w:t>
      </w:r>
      <w:r w:rsidR="005921EC">
        <w:rPr>
          <w:rFonts w:ascii="Times New Roman" w:hAnsi="Times New Roman"/>
          <w:lang w:val="sr-Cyrl-BA"/>
        </w:rPr>
        <w:t xml:space="preserve"> </w:t>
      </w:r>
      <w:r>
        <w:rPr>
          <w:rFonts w:ascii="Times New Roman" w:hAnsi="Times New Roman"/>
          <w:lang w:val="sr-Cyrl-BA"/>
        </w:rPr>
        <w:t>мишљења</w:t>
      </w:r>
      <w:r w:rsidR="005921EC">
        <w:rPr>
          <w:rFonts w:ascii="Times New Roman" w:hAnsi="Times New Roman"/>
          <w:lang w:val="sr-Cyrl-BA"/>
        </w:rPr>
        <w:t xml:space="preserve"> </w:t>
      </w:r>
      <w:r>
        <w:rPr>
          <w:rFonts w:ascii="Times New Roman" w:hAnsi="Times New Roman"/>
          <w:lang w:val="sr-Cyrl-BA"/>
        </w:rPr>
        <w:t>и</w:t>
      </w:r>
      <w:r w:rsidR="005921EC">
        <w:rPr>
          <w:rFonts w:ascii="Times New Roman" w:hAnsi="Times New Roman"/>
          <w:lang w:val="sr-Cyrl-BA"/>
        </w:rPr>
        <w:t xml:space="preserve"> 2 </w:t>
      </w:r>
      <w:r>
        <w:rPr>
          <w:rFonts w:ascii="Times New Roman" w:hAnsi="Times New Roman"/>
          <w:lang w:val="sr-Cyrl-BA"/>
        </w:rPr>
        <w:t>мишљења</w:t>
      </w:r>
      <w:r w:rsidR="005921EC">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5921EC">
        <w:rPr>
          <w:rFonts w:ascii="Times New Roman" w:hAnsi="Times New Roman"/>
          <w:lang w:val="sr-Cyrl-BA"/>
        </w:rPr>
        <w:t xml:space="preserve"> </w:t>
      </w:r>
      <w:r>
        <w:rPr>
          <w:rFonts w:ascii="Times New Roman" w:hAnsi="Times New Roman"/>
          <w:lang w:val="sr-Cyrl-BA"/>
        </w:rPr>
        <w:t>препоруком</w:t>
      </w:r>
      <w:r w:rsidR="005921EC">
        <w:rPr>
          <w:rFonts w:ascii="Times New Roman" w:hAnsi="Times New Roman"/>
          <w:lang w:val="sr-Cyrl-BA"/>
        </w:rPr>
        <w:t xml:space="preserve"> </w:t>
      </w:r>
      <w:r>
        <w:rPr>
          <w:rFonts w:ascii="Times New Roman" w:hAnsi="Times New Roman"/>
          <w:lang w:val="sr-Cyrl-BA"/>
        </w:rPr>
        <w:t>за</w:t>
      </w:r>
      <w:r w:rsidR="005921EC">
        <w:rPr>
          <w:rFonts w:ascii="Times New Roman" w:hAnsi="Times New Roman"/>
          <w:lang w:val="sr-Cyrl-BA"/>
        </w:rPr>
        <w:t xml:space="preserve"> </w:t>
      </w:r>
      <w:r>
        <w:rPr>
          <w:rFonts w:ascii="Times New Roman" w:hAnsi="Times New Roman"/>
          <w:lang w:val="sr-Cyrl-BA"/>
        </w:rPr>
        <w:t>усаглашавање</w:t>
      </w:r>
      <w:r w:rsidR="005921EC">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F147A8" w:rsidRPr="00295637">
        <w:rPr>
          <w:rFonts w:ascii="Times New Roman" w:hAnsi="Times New Roman"/>
          <w:lang w:val="sr-Cyrl-BA"/>
        </w:rPr>
        <w:t xml:space="preserve"> </w:t>
      </w:r>
      <w:r>
        <w:rPr>
          <w:rFonts w:ascii="Times New Roman" w:hAnsi="Times New Roman"/>
          <w:lang w:val="sr-Cyrl-BA"/>
        </w:rPr>
        <w:t>З</w:t>
      </w:r>
      <w:r>
        <w:rPr>
          <w:rFonts w:ascii="Times New Roman" w:hAnsi="Times New Roman"/>
          <w:lang w:val="bs-Latn-BA"/>
        </w:rPr>
        <w:t>оР</w:t>
      </w:r>
      <w:r w:rsidR="005D1812">
        <w:rPr>
          <w:rFonts w:ascii="Times New Roman" w:hAnsi="Times New Roman"/>
          <w:lang w:val="sr-Cyrl-BA"/>
        </w:rPr>
        <w:t>П</w:t>
      </w:r>
      <w:r w:rsidR="003A21C1" w:rsidRPr="00295637">
        <w:rPr>
          <w:rFonts w:ascii="Times New Roman" w:hAnsi="Times New Roman"/>
          <w:lang w:val="bs-Latn-BA"/>
        </w:rPr>
        <w:t>-</w:t>
      </w:r>
      <w:r>
        <w:rPr>
          <w:rFonts w:ascii="Times New Roman" w:hAnsi="Times New Roman"/>
          <w:lang w:val="bs-Latn-BA"/>
        </w:rPr>
        <w:t>ом</w:t>
      </w:r>
      <w:r w:rsidR="00F147A8" w:rsidRPr="00295637">
        <w:rPr>
          <w:rFonts w:ascii="Times New Roman" w:hAnsi="Times New Roman"/>
          <w:lang w:val="sr-Cyrl-BA"/>
        </w:rPr>
        <w:t xml:space="preserve"> (90% </w:t>
      </w:r>
      <w:r>
        <w:rPr>
          <w:rFonts w:ascii="Times New Roman" w:hAnsi="Times New Roman"/>
          <w:lang w:val="sr-Cyrl-BA"/>
        </w:rPr>
        <w:t>усаглашено</w:t>
      </w:r>
      <w:r w:rsidR="00F147A8" w:rsidRPr="00295637">
        <w:rPr>
          <w:rFonts w:ascii="Times New Roman" w:hAnsi="Times New Roman"/>
          <w:lang w:val="sr-Cyrl-BA"/>
        </w:rPr>
        <w:t>).</w:t>
      </w:r>
    </w:p>
    <w:p w:rsidR="00F147A8" w:rsidRPr="00295637" w:rsidRDefault="00F147A8" w:rsidP="0086268D">
      <w:pPr>
        <w:pStyle w:val="ListParagraph"/>
        <w:ind w:left="0"/>
        <w:jc w:val="both"/>
        <w:rPr>
          <w:rFonts w:ascii="Times New Roman" w:hAnsi="Times New Roman"/>
          <w:lang w:val="sr-Cyrl-BA"/>
        </w:rPr>
      </w:pPr>
    </w:p>
    <w:p w:rsidR="00F147A8" w:rsidRPr="00295637" w:rsidRDefault="00C6214E" w:rsidP="0086268D">
      <w:pPr>
        <w:pStyle w:val="ListParagraph"/>
        <w:ind w:left="0"/>
        <w:jc w:val="both"/>
        <w:rPr>
          <w:rFonts w:ascii="Times New Roman" w:hAnsi="Times New Roman"/>
          <w:lang w:val="sr-Cyrl-BA"/>
        </w:rPr>
      </w:pPr>
      <w:r>
        <w:rPr>
          <w:rFonts w:ascii="Times New Roman" w:hAnsi="Times New Roman"/>
          <w:lang w:val="sr-Cyrl-BA"/>
        </w:rPr>
        <w:t>ЦЈРП</w:t>
      </w:r>
      <w:r w:rsidR="005921EC">
        <w:rPr>
          <w:rFonts w:ascii="Times New Roman" w:hAnsi="Times New Roman"/>
          <w:lang w:val="hr-HR"/>
        </w:rPr>
        <w:t xml:space="preserve"> </w:t>
      </w:r>
      <w:r>
        <w:rPr>
          <w:rFonts w:ascii="Times New Roman" w:hAnsi="Times New Roman"/>
          <w:lang w:val="sr-Cyrl-BA"/>
        </w:rPr>
        <w:t>РС</w:t>
      </w:r>
      <w:r w:rsidR="00F147A8" w:rsidRPr="00295637">
        <w:rPr>
          <w:rFonts w:ascii="Times New Roman" w:hAnsi="Times New Roman"/>
          <w:lang w:val="sr-Cyrl-BA"/>
        </w:rPr>
        <w:t xml:space="preserve"> </w:t>
      </w:r>
      <w:r>
        <w:rPr>
          <w:rFonts w:ascii="Times New Roman" w:hAnsi="Times New Roman"/>
          <w:lang w:val="sr-Cyrl-BA"/>
        </w:rPr>
        <w:t>пружио</w:t>
      </w:r>
      <w:r w:rsidR="00F147A8" w:rsidRPr="00295637">
        <w:rPr>
          <w:rFonts w:ascii="Times New Roman" w:hAnsi="Times New Roman"/>
          <w:lang w:val="sr-Cyrl-BA"/>
        </w:rPr>
        <w:t xml:space="preserve"> </w:t>
      </w:r>
      <w:r>
        <w:rPr>
          <w:rFonts w:ascii="Times New Roman" w:hAnsi="Times New Roman"/>
          <w:lang w:val="sr-Cyrl-BA"/>
        </w:rPr>
        <w:t>је</w:t>
      </w:r>
      <w:r w:rsidR="005921EC" w:rsidRPr="00295637">
        <w:rPr>
          <w:rFonts w:ascii="Times New Roman" w:hAnsi="Times New Roman"/>
          <w:lang w:val="sr-Cyrl-BA"/>
        </w:rPr>
        <w:t xml:space="preserve"> </w:t>
      </w:r>
      <w:r>
        <w:rPr>
          <w:rFonts w:ascii="Times New Roman" w:hAnsi="Times New Roman"/>
          <w:lang w:val="sr-Cyrl-BA"/>
        </w:rPr>
        <w:t>правну</w:t>
      </w:r>
      <w:r w:rsidR="00F147A8" w:rsidRPr="00295637">
        <w:rPr>
          <w:rFonts w:ascii="Times New Roman" w:hAnsi="Times New Roman"/>
          <w:lang w:val="sr-Cyrl-BA"/>
        </w:rPr>
        <w:t xml:space="preserve"> </w:t>
      </w:r>
      <w:r>
        <w:rPr>
          <w:rFonts w:ascii="Times New Roman" w:hAnsi="Times New Roman"/>
          <w:lang w:val="sr-Cyrl-BA"/>
        </w:rPr>
        <w:t>помоћ</w:t>
      </w:r>
      <w:r w:rsidR="00F147A8" w:rsidRPr="00295637">
        <w:rPr>
          <w:rFonts w:ascii="Times New Roman" w:hAnsi="Times New Roman"/>
          <w:lang w:val="sr-Cyrl-BA"/>
        </w:rPr>
        <w:t xml:space="preserve"> </w:t>
      </w:r>
      <w:r>
        <w:rPr>
          <w:rFonts w:ascii="Times New Roman" w:hAnsi="Times New Roman"/>
          <w:lang w:val="sr-Cyrl-BA"/>
        </w:rPr>
        <w:t>у</w:t>
      </w:r>
      <w:r w:rsidR="00F147A8" w:rsidRPr="00295637">
        <w:rPr>
          <w:rFonts w:ascii="Times New Roman" w:hAnsi="Times New Roman"/>
          <w:lang w:val="sr-Cyrl-BA"/>
        </w:rPr>
        <w:t xml:space="preserve"> </w:t>
      </w:r>
      <w:r>
        <w:rPr>
          <w:rFonts w:ascii="Times New Roman" w:hAnsi="Times New Roman"/>
          <w:lang w:val="sr-Cyrl-BA"/>
        </w:rPr>
        <w:t>два</w:t>
      </w:r>
      <w:r w:rsidR="00F147A8" w:rsidRPr="00295637">
        <w:rPr>
          <w:rFonts w:ascii="Times New Roman" w:hAnsi="Times New Roman"/>
          <w:lang w:val="sr-Cyrl-BA"/>
        </w:rPr>
        <w:t xml:space="preserve"> </w:t>
      </w:r>
      <w:r>
        <w:rPr>
          <w:rFonts w:ascii="Times New Roman" w:hAnsi="Times New Roman"/>
          <w:lang w:val="sr-Cyrl-BA"/>
        </w:rPr>
        <w:t>предмета</w:t>
      </w:r>
      <w:r w:rsidR="00F147A8" w:rsidRPr="00295637">
        <w:rPr>
          <w:rFonts w:ascii="Times New Roman" w:hAnsi="Times New Roman"/>
          <w:lang w:val="sr-Cyrl-BA"/>
        </w:rPr>
        <w:t xml:space="preserve"> (</w:t>
      </w:r>
      <w:r>
        <w:rPr>
          <w:rFonts w:ascii="Times New Roman" w:hAnsi="Times New Roman"/>
          <w:lang w:val="sr-Cyrl-BA"/>
        </w:rPr>
        <w:t>насиље</w:t>
      </w:r>
      <w:r w:rsidR="00F147A8" w:rsidRPr="00295637">
        <w:rPr>
          <w:rFonts w:ascii="Times New Roman" w:hAnsi="Times New Roman"/>
          <w:lang w:val="sr-Cyrl-BA"/>
        </w:rPr>
        <w:t xml:space="preserve"> </w:t>
      </w:r>
      <w:r>
        <w:rPr>
          <w:rFonts w:ascii="Times New Roman" w:hAnsi="Times New Roman"/>
          <w:lang w:val="sr-Cyrl-BA"/>
        </w:rPr>
        <w:t>у</w:t>
      </w:r>
      <w:r w:rsidR="00F147A8" w:rsidRPr="00295637">
        <w:rPr>
          <w:rFonts w:ascii="Times New Roman" w:hAnsi="Times New Roman"/>
          <w:lang w:val="sr-Cyrl-BA"/>
        </w:rPr>
        <w:t xml:space="preserve"> </w:t>
      </w:r>
      <w:r>
        <w:rPr>
          <w:rFonts w:ascii="Times New Roman" w:hAnsi="Times New Roman"/>
          <w:lang w:val="hr-HR"/>
        </w:rPr>
        <w:t>породици</w:t>
      </w:r>
      <w:r w:rsidR="00F147A8" w:rsidRPr="00295637">
        <w:rPr>
          <w:rFonts w:ascii="Times New Roman" w:hAnsi="Times New Roman"/>
          <w:lang w:val="sr-Cyrl-BA"/>
        </w:rPr>
        <w:t xml:space="preserve">), </w:t>
      </w:r>
      <w:r>
        <w:rPr>
          <w:rFonts w:ascii="Times New Roman" w:hAnsi="Times New Roman"/>
          <w:lang w:val="sr-Cyrl-BA"/>
        </w:rPr>
        <w:t>а</w:t>
      </w:r>
      <w:r w:rsidR="00F147A8" w:rsidRPr="00295637">
        <w:rPr>
          <w:rFonts w:ascii="Times New Roman" w:hAnsi="Times New Roman"/>
          <w:lang w:val="sr-Cyrl-BA"/>
        </w:rPr>
        <w:t xml:space="preserve"> </w:t>
      </w:r>
      <w:r>
        <w:rPr>
          <w:rFonts w:ascii="Times New Roman" w:hAnsi="Times New Roman"/>
          <w:lang w:val="sr-Cyrl-BA"/>
        </w:rPr>
        <w:t>вођен</w:t>
      </w:r>
      <w:r w:rsidR="00F147A8" w:rsidRPr="00295637">
        <w:rPr>
          <w:rFonts w:ascii="Times New Roman" w:hAnsi="Times New Roman"/>
          <w:lang w:val="sr-Cyrl-BA"/>
        </w:rPr>
        <w:t xml:space="preserve"> </w:t>
      </w:r>
      <w:r>
        <w:rPr>
          <w:rFonts w:ascii="Times New Roman" w:hAnsi="Times New Roman"/>
          <w:lang w:val="sr-Cyrl-BA"/>
        </w:rPr>
        <w:t>је</w:t>
      </w:r>
      <w:r w:rsidR="00F147A8" w:rsidRPr="00295637">
        <w:rPr>
          <w:rFonts w:ascii="Times New Roman" w:hAnsi="Times New Roman"/>
          <w:lang w:val="sr-Cyrl-BA"/>
        </w:rPr>
        <w:t xml:space="preserve"> </w:t>
      </w:r>
      <w:r>
        <w:rPr>
          <w:rFonts w:ascii="Times New Roman" w:hAnsi="Times New Roman"/>
          <w:lang w:val="sr-Cyrl-BA"/>
        </w:rPr>
        <w:t>један</w:t>
      </w:r>
      <w:r w:rsidR="00F147A8" w:rsidRPr="00295637">
        <w:rPr>
          <w:rFonts w:ascii="Times New Roman" w:hAnsi="Times New Roman"/>
          <w:lang w:val="sr-Cyrl-BA"/>
        </w:rPr>
        <w:t xml:space="preserve"> </w:t>
      </w:r>
      <w:r>
        <w:rPr>
          <w:rFonts w:ascii="Times New Roman" w:hAnsi="Times New Roman"/>
          <w:lang w:val="sr-Cyrl-BA"/>
        </w:rPr>
        <w:t>поступак</w:t>
      </w:r>
      <w:r w:rsidR="00F147A8" w:rsidRPr="00295637">
        <w:rPr>
          <w:rFonts w:ascii="Times New Roman" w:hAnsi="Times New Roman"/>
          <w:lang w:val="sr-Cyrl-BA"/>
        </w:rPr>
        <w:t xml:space="preserve"> </w:t>
      </w:r>
      <w:r>
        <w:rPr>
          <w:rFonts w:ascii="Times New Roman" w:hAnsi="Times New Roman"/>
          <w:lang w:val="sr-Cyrl-BA"/>
        </w:rPr>
        <w:t>из</w:t>
      </w:r>
      <w:r w:rsidR="00F147A8" w:rsidRPr="00295637">
        <w:rPr>
          <w:rFonts w:ascii="Times New Roman" w:hAnsi="Times New Roman"/>
          <w:lang w:val="sr-Cyrl-BA"/>
        </w:rPr>
        <w:t xml:space="preserve"> </w:t>
      </w:r>
      <w:r>
        <w:rPr>
          <w:rFonts w:ascii="Times New Roman" w:hAnsi="Times New Roman"/>
          <w:lang w:val="hr-HR"/>
        </w:rPr>
        <w:t>области</w:t>
      </w:r>
      <w:r w:rsidR="00F147A8" w:rsidRPr="00295637">
        <w:rPr>
          <w:rFonts w:ascii="Times New Roman" w:hAnsi="Times New Roman"/>
          <w:lang w:val="sr-Cyrl-BA"/>
        </w:rPr>
        <w:t xml:space="preserve"> </w:t>
      </w:r>
      <w:r>
        <w:rPr>
          <w:rFonts w:ascii="Times New Roman" w:hAnsi="Times New Roman"/>
          <w:lang w:val="sr-Cyrl-BA"/>
        </w:rPr>
        <w:t>насиља</w:t>
      </w:r>
      <w:r w:rsidR="00F147A8" w:rsidRPr="00295637">
        <w:rPr>
          <w:rFonts w:ascii="Times New Roman" w:hAnsi="Times New Roman"/>
          <w:lang w:val="sr-Cyrl-BA"/>
        </w:rPr>
        <w:t xml:space="preserve"> </w:t>
      </w:r>
      <w:r>
        <w:rPr>
          <w:rFonts w:ascii="Times New Roman" w:hAnsi="Times New Roman"/>
          <w:lang w:val="sr-Cyrl-BA"/>
        </w:rPr>
        <w:t>у</w:t>
      </w:r>
      <w:r w:rsidR="00F147A8" w:rsidRPr="00295637">
        <w:rPr>
          <w:rFonts w:ascii="Times New Roman" w:hAnsi="Times New Roman"/>
          <w:lang w:val="sr-Cyrl-BA"/>
        </w:rPr>
        <w:t xml:space="preserve"> </w:t>
      </w:r>
      <w:r>
        <w:rPr>
          <w:rFonts w:ascii="Times New Roman" w:hAnsi="Times New Roman"/>
          <w:lang w:val="hr-HR"/>
        </w:rPr>
        <w:t>породици</w:t>
      </w:r>
      <w:r w:rsidR="00F147A8" w:rsidRPr="00295637">
        <w:rPr>
          <w:rFonts w:ascii="Times New Roman" w:hAnsi="Times New Roman"/>
          <w:lang w:val="sr-Cyrl-BA"/>
        </w:rPr>
        <w:t xml:space="preserve"> (</w:t>
      </w:r>
      <w:r>
        <w:rPr>
          <w:rFonts w:ascii="Times New Roman" w:hAnsi="Times New Roman"/>
          <w:lang w:val="sr-Cyrl-BA"/>
        </w:rPr>
        <w:t>окончан</w:t>
      </w:r>
      <w:r w:rsidR="00F147A8" w:rsidRPr="00295637">
        <w:rPr>
          <w:rFonts w:ascii="Times New Roman" w:hAnsi="Times New Roman"/>
          <w:lang w:val="sr-Cyrl-BA"/>
        </w:rPr>
        <w:t xml:space="preserve"> </w:t>
      </w:r>
      <w:r>
        <w:rPr>
          <w:rFonts w:ascii="Times New Roman" w:hAnsi="Times New Roman"/>
          <w:lang w:val="sr-Cyrl-BA"/>
        </w:rPr>
        <w:t>обуставом</w:t>
      </w:r>
      <w:r w:rsidR="00F147A8" w:rsidRPr="00295637">
        <w:rPr>
          <w:rFonts w:ascii="Times New Roman" w:hAnsi="Times New Roman"/>
          <w:lang w:val="sr-Cyrl-BA"/>
        </w:rPr>
        <w:t xml:space="preserve"> </w:t>
      </w:r>
      <w:r>
        <w:rPr>
          <w:rFonts w:ascii="Times New Roman" w:hAnsi="Times New Roman"/>
          <w:lang w:val="sr-Cyrl-BA"/>
        </w:rPr>
        <w:t>поступка</w:t>
      </w:r>
      <w:r w:rsidR="00F147A8" w:rsidRPr="00295637">
        <w:rPr>
          <w:rFonts w:ascii="Times New Roman" w:hAnsi="Times New Roman"/>
          <w:lang w:val="sr-Cyrl-BA"/>
        </w:rPr>
        <w:t>).</w:t>
      </w:r>
    </w:p>
    <w:p w:rsidR="007D6E3D" w:rsidRPr="00295637" w:rsidRDefault="007D6E3D" w:rsidP="0086268D">
      <w:pPr>
        <w:pStyle w:val="Normal1"/>
      </w:pPr>
    </w:p>
    <w:p w:rsidR="00356C2C" w:rsidRPr="00295637" w:rsidRDefault="005D1812" w:rsidP="007924AF">
      <w:pPr>
        <w:tabs>
          <w:tab w:val="left" w:pos="284"/>
          <w:tab w:val="left" w:pos="630"/>
          <w:tab w:val="left" w:pos="1080"/>
        </w:tabs>
        <w:ind w:left="567"/>
        <w:jc w:val="both"/>
        <w:rPr>
          <w:rFonts w:ascii="Times New Roman" w:hAnsi="Times New Roman"/>
          <w:szCs w:val="24"/>
          <w:lang w:val="bs-Latn-BA"/>
        </w:rPr>
      </w:pPr>
      <w:r w:rsidRPr="005D1812">
        <w:rPr>
          <w:rFonts w:ascii="Times New Roman" w:hAnsi="Times New Roman"/>
          <w:szCs w:val="24"/>
          <w:lang w:val="bs-Latn-BA"/>
        </w:rPr>
        <w:t>II</w:t>
      </w:r>
      <w:r w:rsidR="007924AF">
        <w:rPr>
          <w:rFonts w:ascii="Times New Roman" w:hAnsi="Times New Roman"/>
          <w:szCs w:val="24"/>
          <w:lang w:val="bs-Latn-BA"/>
        </w:rPr>
        <w:t xml:space="preserve"> 2.5. </w:t>
      </w:r>
      <w:r w:rsidR="00C6214E">
        <w:rPr>
          <w:rFonts w:ascii="Times New Roman" w:hAnsi="Times New Roman"/>
          <w:szCs w:val="24"/>
          <w:lang w:val="bs-Latn-BA"/>
        </w:rPr>
        <w:t>Упућивање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иницијатива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учешће</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припреми</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закона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подзаконских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других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аката</w:t>
      </w:r>
      <w:r w:rsidR="00356C2C" w:rsidRPr="00295637">
        <w:rPr>
          <w:rFonts w:ascii="Times New Roman" w:hAnsi="Times New Roman"/>
          <w:szCs w:val="24"/>
          <w:lang w:val="bs-Latn-BA"/>
        </w:rPr>
        <w:t xml:space="preserve">, </w:t>
      </w:r>
      <w:r w:rsidR="00C6214E">
        <w:rPr>
          <w:rFonts w:ascii="Times New Roman" w:hAnsi="Times New Roman"/>
          <w:szCs w:val="24"/>
          <w:lang w:val="bs-Latn-BA"/>
        </w:rPr>
        <w:t>стратегија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политика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програма</w:t>
      </w:r>
      <w:r w:rsidR="00356C2C" w:rsidRPr="00295637">
        <w:rPr>
          <w:rFonts w:ascii="Times New Roman" w:hAnsi="Times New Roman"/>
          <w:szCs w:val="24"/>
          <w:lang w:val="bs-Latn-BA"/>
        </w:rPr>
        <w:t xml:space="preserve"> </w:t>
      </w:r>
      <w:r>
        <w:rPr>
          <w:rFonts w:ascii="Times New Roman" w:hAnsi="Times New Roman"/>
          <w:szCs w:val="24"/>
          <w:lang w:val="sr-Cyrl-BA"/>
        </w:rPr>
        <w:t>с</w:t>
      </w:r>
      <w:r w:rsidR="00356C2C" w:rsidRPr="00295637">
        <w:rPr>
          <w:rFonts w:ascii="Times New Roman" w:hAnsi="Times New Roman"/>
          <w:szCs w:val="24"/>
          <w:lang w:val="bs-Latn-BA"/>
        </w:rPr>
        <w:t xml:space="preserve"> </w:t>
      </w:r>
      <w:r w:rsidR="00C6214E">
        <w:rPr>
          <w:rFonts w:ascii="Times New Roman" w:hAnsi="Times New Roman"/>
          <w:szCs w:val="24"/>
          <w:lang w:val="bs-Latn-BA"/>
        </w:rPr>
        <w:t>циљ</w:t>
      </w:r>
      <w:r>
        <w:rPr>
          <w:rFonts w:ascii="Times New Roman" w:hAnsi="Times New Roman"/>
          <w:szCs w:val="24"/>
          <w:lang w:val="sr-Cyrl-BA"/>
        </w:rPr>
        <w:t>ем</w:t>
      </w:r>
      <w:r w:rsidR="00356C2C" w:rsidRPr="00295637">
        <w:rPr>
          <w:rFonts w:ascii="Times New Roman" w:hAnsi="Times New Roman"/>
          <w:szCs w:val="24"/>
          <w:lang w:val="bs-Latn-BA"/>
        </w:rPr>
        <w:t xml:space="preserve"> </w:t>
      </w:r>
      <w:r w:rsidR="00C6214E">
        <w:rPr>
          <w:rFonts w:ascii="Times New Roman" w:hAnsi="Times New Roman"/>
          <w:szCs w:val="24"/>
          <w:lang w:val="bs-Latn-BA"/>
        </w:rPr>
        <w:t>утврђивања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мјера</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постизање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свим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друштвеног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живота</w:t>
      </w:r>
      <w:r w:rsidR="00356C2C" w:rsidRPr="00295637">
        <w:rPr>
          <w:rFonts w:ascii="Times New Roman" w:hAnsi="Times New Roman"/>
          <w:szCs w:val="24"/>
          <w:lang w:val="bs-Latn-BA"/>
        </w:rPr>
        <w:t>.</w:t>
      </w:r>
    </w:p>
    <w:p w:rsidR="00E84CF4" w:rsidRPr="00295637" w:rsidRDefault="00E84CF4" w:rsidP="0086268D">
      <w:pPr>
        <w:tabs>
          <w:tab w:val="left" w:pos="284"/>
          <w:tab w:val="left" w:pos="630"/>
          <w:tab w:val="left" w:pos="1080"/>
        </w:tabs>
        <w:jc w:val="both"/>
        <w:rPr>
          <w:rFonts w:ascii="Times New Roman" w:hAnsi="Times New Roman"/>
          <w:bCs/>
          <w:szCs w:val="24"/>
          <w:lang w:val="en-US"/>
        </w:rPr>
      </w:pPr>
    </w:p>
    <w:p w:rsidR="00785828" w:rsidRPr="00295637" w:rsidRDefault="00C6214E" w:rsidP="0086268D">
      <w:pPr>
        <w:tabs>
          <w:tab w:val="left" w:pos="284"/>
          <w:tab w:val="left" w:pos="630"/>
          <w:tab w:val="left" w:pos="1080"/>
        </w:tabs>
        <w:jc w:val="both"/>
        <w:rPr>
          <w:rFonts w:ascii="Times New Roman" w:hAnsi="Times New Roman"/>
          <w:bCs/>
          <w:szCs w:val="24"/>
          <w:lang w:val="en-US"/>
        </w:rPr>
      </w:pPr>
      <w:r>
        <w:rPr>
          <w:rFonts w:ascii="Times New Roman" w:hAnsi="Times New Roman"/>
          <w:bCs/>
          <w:szCs w:val="24"/>
          <w:lang w:val="hr-HR"/>
        </w:rPr>
        <w:t>АР</w:t>
      </w:r>
      <w:r w:rsidR="005D1812">
        <w:rPr>
          <w:rFonts w:ascii="Times New Roman" w:hAnsi="Times New Roman"/>
          <w:bCs/>
          <w:szCs w:val="24"/>
          <w:lang w:val="sr-Cyrl-BA"/>
        </w:rPr>
        <w:t>П</w:t>
      </w:r>
      <w:r w:rsidR="005921EC">
        <w:rPr>
          <w:rFonts w:ascii="Times New Roman" w:hAnsi="Times New Roman"/>
          <w:bCs/>
          <w:szCs w:val="24"/>
          <w:lang w:val="hr-HR"/>
        </w:rPr>
        <w:t xml:space="preserve"> </w:t>
      </w:r>
      <w:r>
        <w:rPr>
          <w:rFonts w:ascii="Times New Roman" w:hAnsi="Times New Roman"/>
          <w:bCs/>
          <w:szCs w:val="24"/>
          <w:lang w:val="hr-HR"/>
        </w:rPr>
        <w:t>БиХ</w:t>
      </w:r>
      <w:r w:rsidR="005921EC">
        <w:rPr>
          <w:rFonts w:ascii="Times New Roman" w:hAnsi="Times New Roman"/>
          <w:bCs/>
          <w:szCs w:val="24"/>
          <w:lang w:val="hr-HR"/>
        </w:rPr>
        <w:t xml:space="preserve"> </w:t>
      </w:r>
      <w:r>
        <w:rPr>
          <w:rFonts w:ascii="Times New Roman" w:hAnsi="Times New Roman"/>
          <w:bCs/>
          <w:szCs w:val="24"/>
          <w:lang w:val="hr-HR"/>
        </w:rPr>
        <w:t>МЉПИ</w:t>
      </w:r>
      <w:r w:rsidR="005921EC">
        <w:rPr>
          <w:rFonts w:ascii="Times New Roman" w:hAnsi="Times New Roman"/>
          <w:bCs/>
          <w:szCs w:val="24"/>
          <w:lang w:val="hr-HR"/>
        </w:rPr>
        <w:t xml:space="preserve"> </w:t>
      </w:r>
      <w:r>
        <w:rPr>
          <w:rFonts w:ascii="Times New Roman" w:hAnsi="Times New Roman"/>
          <w:bCs/>
          <w:szCs w:val="24"/>
          <w:lang w:val="hr-HR"/>
        </w:rPr>
        <w:t>БиХ</w:t>
      </w:r>
      <w:r w:rsidR="00A04780" w:rsidRPr="006820FB">
        <w:rPr>
          <w:rFonts w:ascii="Times New Roman" w:hAnsi="Times New Roman"/>
          <w:bCs/>
          <w:szCs w:val="24"/>
          <w:lang w:val="hr-HR"/>
        </w:rPr>
        <w:t xml:space="preserve"> </w:t>
      </w:r>
      <w:r>
        <w:rPr>
          <w:rFonts w:ascii="Times New Roman" w:hAnsi="Times New Roman"/>
          <w:bCs/>
          <w:szCs w:val="24"/>
          <w:lang w:val="hr-HR"/>
        </w:rPr>
        <w:t>је</w:t>
      </w:r>
      <w:r w:rsidR="00A04780" w:rsidRPr="006820FB">
        <w:rPr>
          <w:rFonts w:ascii="Times New Roman" w:hAnsi="Times New Roman"/>
          <w:bCs/>
          <w:szCs w:val="24"/>
          <w:lang w:val="hr-HR"/>
        </w:rPr>
        <w:t xml:space="preserve"> </w:t>
      </w:r>
      <w:r>
        <w:rPr>
          <w:rFonts w:ascii="Times New Roman" w:hAnsi="Times New Roman"/>
          <w:bCs/>
          <w:szCs w:val="24"/>
          <w:lang w:val="hr-HR"/>
        </w:rPr>
        <w:t>у</w:t>
      </w:r>
      <w:r w:rsidR="00A04780" w:rsidRPr="006820FB">
        <w:rPr>
          <w:rFonts w:ascii="Times New Roman" w:hAnsi="Times New Roman"/>
          <w:bCs/>
          <w:szCs w:val="24"/>
          <w:lang w:val="hr-HR"/>
        </w:rPr>
        <w:t xml:space="preserve"> </w:t>
      </w:r>
      <w:r>
        <w:rPr>
          <w:rFonts w:ascii="Times New Roman" w:hAnsi="Times New Roman"/>
          <w:bCs/>
          <w:szCs w:val="24"/>
          <w:lang w:val="hr-HR"/>
        </w:rPr>
        <w:t>септембру</w:t>
      </w:r>
      <w:r w:rsidR="00A04780" w:rsidRPr="006820FB">
        <w:rPr>
          <w:rFonts w:ascii="Times New Roman" w:hAnsi="Times New Roman"/>
          <w:bCs/>
          <w:szCs w:val="24"/>
          <w:lang w:val="hr-HR"/>
        </w:rPr>
        <w:t xml:space="preserve"> 2024. </w:t>
      </w:r>
      <w:r>
        <w:rPr>
          <w:rFonts w:ascii="Times New Roman" w:hAnsi="Times New Roman"/>
          <w:bCs/>
          <w:szCs w:val="24"/>
          <w:lang w:val="hr-HR"/>
        </w:rPr>
        <w:t>године</w:t>
      </w:r>
      <w:r w:rsidR="00A04780" w:rsidRPr="006820FB">
        <w:rPr>
          <w:rFonts w:ascii="Times New Roman" w:hAnsi="Times New Roman"/>
          <w:bCs/>
          <w:szCs w:val="24"/>
          <w:lang w:val="hr-HR"/>
        </w:rPr>
        <w:t xml:space="preserve"> </w:t>
      </w:r>
      <w:r>
        <w:rPr>
          <w:rFonts w:ascii="Times New Roman" w:hAnsi="Times New Roman"/>
          <w:bCs/>
          <w:szCs w:val="24"/>
          <w:lang w:val="en-US"/>
        </w:rPr>
        <w:t>упутила</w:t>
      </w:r>
      <w:r w:rsidR="00A04780" w:rsidRPr="00295637">
        <w:rPr>
          <w:rFonts w:ascii="Times New Roman" w:hAnsi="Times New Roman"/>
          <w:bCs/>
          <w:szCs w:val="24"/>
          <w:lang w:val="en-US"/>
        </w:rPr>
        <w:t xml:space="preserve"> </w:t>
      </w:r>
      <w:r>
        <w:rPr>
          <w:rFonts w:ascii="Times New Roman" w:hAnsi="Times New Roman"/>
          <w:bCs/>
          <w:szCs w:val="24"/>
          <w:lang w:val="en-US"/>
        </w:rPr>
        <w:t>ФМП</w:t>
      </w:r>
      <w:r w:rsidR="00D319BF">
        <w:rPr>
          <w:rFonts w:ascii="Times New Roman" w:hAnsi="Times New Roman"/>
          <w:bCs/>
          <w:szCs w:val="24"/>
          <w:lang w:val="en-US"/>
        </w:rPr>
        <w:t>-</w:t>
      </w:r>
      <w:r>
        <w:rPr>
          <w:rFonts w:ascii="Times New Roman" w:hAnsi="Times New Roman"/>
          <w:bCs/>
          <w:szCs w:val="24"/>
          <w:lang w:val="en-US"/>
        </w:rPr>
        <w:t>у</w:t>
      </w:r>
      <w:r w:rsidR="00D319BF" w:rsidRPr="00295637">
        <w:rPr>
          <w:rFonts w:ascii="Times New Roman" w:hAnsi="Times New Roman"/>
          <w:bCs/>
          <w:szCs w:val="24"/>
          <w:lang w:val="en-US"/>
        </w:rPr>
        <w:t xml:space="preserve"> </w:t>
      </w:r>
      <w:r>
        <w:rPr>
          <w:rFonts w:ascii="Times New Roman" w:hAnsi="Times New Roman"/>
          <w:bCs/>
          <w:szCs w:val="24"/>
          <w:lang w:val="en-US"/>
        </w:rPr>
        <w:t>приједлоге</w:t>
      </w:r>
      <w:r w:rsidR="00A04780" w:rsidRPr="00295637">
        <w:rPr>
          <w:rFonts w:ascii="Times New Roman" w:hAnsi="Times New Roman"/>
          <w:bCs/>
          <w:szCs w:val="24"/>
          <w:lang w:val="en-US"/>
        </w:rPr>
        <w:t xml:space="preserve"> </w:t>
      </w:r>
      <w:r>
        <w:rPr>
          <w:rFonts w:ascii="Times New Roman" w:hAnsi="Times New Roman"/>
          <w:bCs/>
          <w:szCs w:val="24"/>
          <w:lang w:val="en-US"/>
        </w:rPr>
        <w:t>допуна</w:t>
      </w:r>
      <w:r w:rsidR="00A04780" w:rsidRPr="00295637">
        <w:rPr>
          <w:rFonts w:ascii="Times New Roman" w:hAnsi="Times New Roman"/>
          <w:bCs/>
          <w:szCs w:val="24"/>
          <w:lang w:val="en-US"/>
        </w:rPr>
        <w:t xml:space="preserve"> </w:t>
      </w:r>
      <w:r>
        <w:rPr>
          <w:rFonts w:ascii="Times New Roman" w:hAnsi="Times New Roman"/>
          <w:bCs/>
          <w:szCs w:val="24"/>
          <w:lang w:val="en-US"/>
        </w:rPr>
        <w:t>нацрта</w:t>
      </w:r>
      <w:r w:rsidR="00A04780" w:rsidRPr="00295637">
        <w:rPr>
          <w:rFonts w:ascii="Times New Roman" w:hAnsi="Times New Roman"/>
          <w:bCs/>
          <w:szCs w:val="24"/>
          <w:lang w:val="en-US"/>
        </w:rPr>
        <w:t xml:space="preserve"> </w:t>
      </w:r>
      <w:r>
        <w:rPr>
          <w:rFonts w:ascii="Times New Roman" w:hAnsi="Times New Roman"/>
          <w:bCs/>
          <w:szCs w:val="24"/>
          <w:lang w:val="en-US"/>
        </w:rPr>
        <w:t>новог</w:t>
      </w:r>
      <w:r w:rsidR="00A04780" w:rsidRPr="00295637">
        <w:rPr>
          <w:rFonts w:ascii="Times New Roman" w:hAnsi="Times New Roman"/>
          <w:bCs/>
          <w:szCs w:val="24"/>
          <w:lang w:val="en-US"/>
        </w:rPr>
        <w:t xml:space="preserve"> </w:t>
      </w:r>
      <w:r>
        <w:rPr>
          <w:rFonts w:ascii="Times New Roman" w:hAnsi="Times New Roman"/>
          <w:bCs/>
          <w:szCs w:val="24"/>
          <w:lang w:val="en-US"/>
        </w:rPr>
        <w:t>Закона</w:t>
      </w:r>
      <w:r w:rsidR="00A04780" w:rsidRPr="00295637">
        <w:rPr>
          <w:rFonts w:ascii="Times New Roman" w:hAnsi="Times New Roman"/>
          <w:bCs/>
          <w:szCs w:val="24"/>
          <w:lang w:val="en-US"/>
        </w:rPr>
        <w:t xml:space="preserve"> </w:t>
      </w:r>
      <w:r>
        <w:rPr>
          <w:rFonts w:ascii="Times New Roman" w:hAnsi="Times New Roman"/>
          <w:bCs/>
          <w:szCs w:val="24"/>
          <w:lang w:val="en-US"/>
        </w:rPr>
        <w:t>о</w:t>
      </w:r>
      <w:r w:rsidR="00A04780" w:rsidRPr="00295637">
        <w:rPr>
          <w:rFonts w:ascii="Times New Roman" w:hAnsi="Times New Roman"/>
          <w:bCs/>
          <w:szCs w:val="24"/>
          <w:lang w:val="en-US"/>
        </w:rPr>
        <w:t xml:space="preserve"> </w:t>
      </w:r>
      <w:r>
        <w:rPr>
          <w:rFonts w:ascii="Times New Roman" w:hAnsi="Times New Roman"/>
          <w:bCs/>
          <w:szCs w:val="24"/>
          <w:lang w:val="en-US"/>
        </w:rPr>
        <w:t>заштити</w:t>
      </w:r>
      <w:r w:rsidR="00A04780" w:rsidRPr="00295637">
        <w:rPr>
          <w:rFonts w:ascii="Times New Roman" w:hAnsi="Times New Roman"/>
          <w:bCs/>
          <w:szCs w:val="24"/>
          <w:lang w:val="en-US"/>
        </w:rPr>
        <w:t xml:space="preserve"> </w:t>
      </w:r>
      <w:r>
        <w:rPr>
          <w:rFonts w:ascii="Times New Roman" w:hAnsi="Times New Roman"/>
          <w:bCs/>
          <w:szCs w:val="24"/>
          <w:lang w:val="en-US"/>
        </w:rPr>
        <w:t>од</w:t>
      </w:r>
      <w:r w:rsidR="00A04780" w:rsidRPr="00295637">
        <w:rPr>
          <w:rFonts w:ascii="Times New Roman" w:hAnsi="Times New Roman"/>
          <w:bCs/>
          <w:szCs w:val="24"/>
          <w:lang w:val="en-US"/>
        </w:rPr>
        <w:t xml:space="preserve"> </w:t>
      </w:r>
      <w:r>
        <w:rPr>
          <w:rFonts w:ascii="Times New Roman" w:hAnsi="Times New Roman"/>
          <w:bCs/>
          <w:szCs w:val="24"/>
          <w:lang w:val="en-US"/>
        </w:rPr>
        <w:t>насиља</w:t>
      </w:r>
      <w:r w:rsidR="00A04780" w:rsidRPr="00295637">
        <w:rPr>
          <w:rFonts w:ascii="Times New Roman" w:hAnsi="Times New Roman"/>
          <w:bCs/>
          <w:szCs w:val="24"/>
          <w:lang w:val="en-US"/>
        </w:rPr>
        <w:t xml:space="preserve"> </w:t>
      </w:r>
      <w:r>
        <w:rPr>
          <w:rFonts w:ascii="Times New Roman" w:hAnsi="Times New Roman"/>
          <w:bCs/>
          <w:szCs w:val="24"/>
          <w:lang w:val="en-US"/>
        </w:rPr>
        <w:t>у</w:t>
      </w:r>
      <w:r w:rsidR="00A04780" w:rsidRPr="00295637">
        <w:rPr>
          <w:rFonts w:ascii="Times New Roman" w:hAnsi="Times New Roman"/>
          <w:bCs/>
          <w:szCs w:val="24"/>
          <w:lang w:val="en-US"/>
        </w:rPr>
        <w:t xml:space="preserve"> </w:t>
      </w:r>
      <w:r>
        <w:rPr>
          <w:rFonts w:ascii="Times New Roman" w:hAnsi="Times New Roman"/>
          <w:bCs/>
          <w:szCs w:val="24"/>
          <w:lang w:val="en-US"/>
        </w:rPr>
        <w:t>породици</w:t>
      </w:r>
      <w:r w:rsidR="00A04780" w:rsidRPr="00295637">
        <w:rPr>
          <w:rFonts w:ascii="Times New Roman" w:hAnsi="Times New Roman"/>
          <w:bCs/>
          <w:szCs w:val="24"/>
          <w:lang w:val="en-US"/>
        </w:rPr>
        <w:t xml:space="preserve"> </w:t>
      </w:r>
      <w:r>
        <w:rPr>
          <w:rFonts w:ascii="Times New Roman" w:hAnsi="Times New Roman"/>
          <w:bCs/>
          <w:szCs w:val="24"/>
          <w:lang w:val="en-US"/>
        </w:rPr>
        <w:t>и</w:t>
      </w:r>
      <w:r w:rsidR="00A04780" w:rsidRPr="00295637">
        <w:rPr>
          <w:rFonts w:ascii="Times New Roman" w:hAnsi="Times New Roman"/>
          <w:bCs/>
          <w:szCs w:val="24"/>
          <w:lang w:val="en-US"/>
        </w:rPr>
        <w:t xml:space="preserve"> </w:t>
      </w:r>
      <w:r>
        <w:rPr>
          <w:rFonts w:ascii="Times New Roman" w:hAnsi="Times New Roman"/>
          <w:bCs/>
          <w:szCs w:val="24"/>
          <w:lang w:val="en-US"/>
        </w:rPr>
        <w:t>насиља</w:t>
      </w:r>
      <w:r w:rsidR="00A04780" w:rsidRPr="00295637">
        <w:rPr>
          <w:rFonts w:ascii="Times New Roman" w:hAnsi="Times New Roman"/>
          <w:bCs/>
          <w:szCs w:val="24"/>
          <w:lang w:val="en-US"/>
        </w:rPr>
        <w:t xml:space="preserve"> </w:t>
      </w:r>
      <w:r>
        <w:rPr>
          <w:rFonts w:ascii="Times New Roman" w:hAnsi="Times New Roman"/>
          <w:bCs/>
          <w:szCs w:val="24"/>
          <w:lang w:val="en-US"/>
        </w:rPr>
        <w:t>против</w:t>
      </w:r>
      <w:r w:rsidR="005921EC">
        <w:rPr>
          <w:rFonts w:ascii="Times New Roman" w:hAnsi="Times New Roman"/>
          <w:bCs/>
          <w:szCs w:val="24"/>
          <w:lang w:val="en-US"/>
        </w:rPr>
        <w:t xml:space="preserve"> </w:t>
      </w:r>
      <w:r>
        <w:rPr>
          <w:rFonts w:ascii="Times New Roman" w:hAnsi="Times New Roman"/>
          <w:bCs/>
          <w:szCs w:val="24"/>
          <w:lang w:val="en-US"/>
        </w:rPr>
        <w:t>жена</w:t>
      </w:r>
      <w:r w:rsidR="005921EC">
        <w:rPr>
          <w:rFonts w:ascii="Times New Roman" w:hAnsi="Times New Roman"/>
          <w:bCs/>
          <w:szCs w:val="24"/>
          <w:lang w:val="en-US"/>
        </w:rPr>
        <w:t xml:space="preserve"> </w:t>
      </w:r>
      <w:r w:rsidR="005D1812">
        <w:rPr>
          <w:rFonts w:ascii="Times New Roman" w:hAnsi="Times New Roman"/>
          <w:bCs/>
          <w:szCs w:val="24"/>
          <w:lang w:val="sr-Cyrl-BA"/>
        </w:rPr>
        <w:t>с</w:t>
      </w:r>
      <w:r w:rsidR="005921EC">
        <w:rPr>
          <w:rFonts w:ascii="Times New Roman" w:hAnsi="Times New Roman"/>
          <w:bCs/>
          <w:szCs w:val="24"/>
          <w:lang w:val="en-US"/>
        </w:rPr>
        <w:t xml:space="preserve"> </w:t>
      </w:r>
      <w:r>
        <w:rPr>
          <w:rFonts w:ascii="Times New Roman" w:hAnsi="Times New Roman"/>
          <w:bCs/>
          <w:szCs w:val="24"/>
          <w:lang w:val="en-US"/>
        </w:rPr>
        <w:t>циљ</w:t>
      </w:r>
      <w:r w:rsidR="005D1812">
        <w:rPr>
          <w:rFonts w:ascii="Times New Roman" w:hAnsi="Times New Roman"/>
          <w:bCs/>
          <w:szCs w:val="24"/>
          <w:lang w:val="sr-Cyrl-BA"/>
        </w:rPr>
        <w:t>ем</w:t>
      </w:r>
      <w:r w:rsidR="005921EC">
        <w:rPr>
          <w:rFonts w:ascii="Times New Roman" w:hAnsi="Times New Roman"/>
          <w:bCs/>
          <w:szCs w:val="24"/>
          <w:lang w:val="en-US"/>
        </w:rPr>
        <w:t xml:space="preserve"> </w:t>
      </w:r>
      <w:r>
        <w:rPr>
          <w:rFonts w:ascii="Times New Roman" w:hAnsi="Times New Roman"/>
          <w:bCs/>
          <w:szCs w:val="24"/>
          <w:lang w:val="en-US"/>
        </w:rPr>
        <w:t>усаглашавања</w:t>
      </w:r>
      <w:r w:rsidR="005921EC">
        <w:rPr>
          <w:rFonts w:ascii="Times New Roman" w:hAnsi="Times New Roman"/>
          <w:bCs/>
          <w:szCs w:val="24"/>
          <w:lang w:val="en-US"/>
        </w:rPr>
        <w:t xml:space="preserve"> </w:t>
      </w:r>
      <w:r>
        <w:rPr>
          <w:rFonts w:ascii="Times New Roman" w:hAnsi="Times New Roman"/>
          <w:bCs/>
          <w:szCs w:val="24"/>
          <w:lang w:val="en-US"/>
        </w:rPr>
        <w:t>са</w:t>
      </w:r>
      <w:r w:rsidR="00A04780" w:rsidRPr="00295637">
        <w:rPr>
          <w:rFonts w:ascii="Times New Roman" w:hAnsi="Times New Roman"/>
          <w:bCs/>
          <w:szCs w:val="24"/>
          <w:lang w:val="en-US"/>
        </w:rPr>
        <w:t xml:space="preserve"> </w:t>
      </w:r>
      <w:r>
        <w:rPr>
          <w:rFonts w:ascii="Times New Roman" w:hAnsi="Times New Roman"/>
          <w:bCs/>
          <w:szCs w:val="24"/>
          <w:lang w:val="en-US"/>
        </w:rPr>
        <w:t>ЗоР</w:t>
      </w:r>
      <w:r w:rsidR="005D1812">
        <w:rPr>
          <w:rFonts w:ascii="Times New Roman" w:hAnsi="Times New Roman"/>
          <w:bCs/>
          <w:szCs w:val="24"/>
          <w:lang w:val="sr-Cyrl-BA"/>
        </w:rPr>
        <w:t>П</w:t>
      </w:r>
      <w:r w:rsidR="00A04780" w:rsidRPr="00295637">
        <w:rPr>
          <w:rFonts w:ascii="Times New Roman" w:hAnsi="Times New Roman"/>
          <w:bCs/>
          <w:szCs w:val="24"/>
          <w:lang w:val="en-US"/>
        </w:rPr>
        <w:t>-</w:t>
      </w:r>
      <w:r>
        <w:rPr>
          <w:rFonts w:ascii="Times New Roman" w:hAnsi="Times New Roman"/>
          <w:bCs/>
          <w:szCs w:val="24"/>
          <w:lang w:val="en-US"/>
        </w:rPr>
        <w:t>ом</w:t>
      </w:r>
      <w:r w:rsidR="00A04780" w:rsidRPr="00295637">
        <w:rPr>
          <w:rFonts w:ascii="Times New Roman" w:hAnsi="Times New Roman"/>
          <w:bCs/>
          <w:szCs w:val="24"/>
          <w:lang w:val="en-US"/>
        </w:rPr>
        <w:t xml:space="preserve">, </w:t>
      </w:r>
      <w:r>
        <w:rPr>
          <w:rFonts w:ascii="Times New Roman" w:hAnsi="Times New Roman"/>
          <w:bCs/>
          <w:szCs w:val="24"/>
          <w:lang w:val="en-US"/>
        </w:rPr>
        <w:t>Истанбулском</w:t>
      </w:r>
      <w:r w:rsidR="00A04780" w:rsidRPr="00295637">
        <w:rPr>
          <w:rFonts w:ascii="Times New Roman" w:hAnsi="Times New Roman"/>
          <w:bCs/>
          <w:szCs w:val="24"/>
          <w:lang w:val="en-US"/>
        </w:rPr>
        <w:t xml:space="preserve"> </w:t>
      </w:r>
      <w:r>
        <w:rPr>
          <w:rFonts w:ascii="Times New Roman" w:hAnsi="Times New Roman"/>
          <w:bCs/>
          <w:szCs w:val="24"/>
          <w:lang w:val="en-US"/>
        </w:rPr>
        <w:t>конвенцијом</w:t>
      </w:r>
      <w:r w:rsidR="007924AF">
        <w:rPr>
          <w:rFonts w:ascii="Times New Roman" w:hAnsi="Times New Roman"/>
          <w:bCs/>
          <w:szCs w:val="24"/>
          <w:lang w:val="en-US"/>
        </w:rPr>
        <w:t xml:space="preserve"> </w:t>
      </w:r>
      <w:r>
        <w:rPr>
          <w:rFonts w:ascii="Times New Roman" w:hAnsi="Times New Roman"/>
          <w:bCs/>
          <w:szCs w:val="24"/>
          <w:lang w:val="en-US"/>
        </w:rPr>
        <w:t>и</w:t>
      </w:r>
      <w:r w:rsidR="007924AF">
        <w:rPr>
          <w:rFonts w:ascii="Times New Roman" w:hAnsi="Times New Roman"/>
          <w:bCs/>
          <w:szCs w:val="24"/>
          <w:lang w:val="en-US"/>
        </w:rPr>
        <w:t xml:space="preserve"> </w:t>
      </w:r>
      <w:r>
        <w:rPr>
          <w:rFonts w:ascii="Times New Roman" w:hAnsi="Times New Roman"/>
          <w:bCs/>
          <w:szCs w:val="24"/>
          <w:lang w:val="en-US"/>
        </w:rPr>
        <w:t>препорукама</w:t>
      </w:r>
      <w:r w:rsidR="007924AF">
        <w:rPr>
          <w:rFonts w:ascii="Times New Roman" w:hAnsi="Times New Roman"/>
          <w:bCs/>
          <w:szCs w:val="24"/>
          <w:lang w:val="en-US"/>
        </w:rPr>
        <w:t xml:space="preserve"> </w:t>
      </w:r>
      <w:r w:rsidR="003601A7">
        <w:rPr>
          <w:rFonts w:ascii="Times New Roman" w:hAnsi="Times New Roman"/>
          <w:bCs/>
          <w:szCs w:val="24"/>
          <w:lang w:val="en-US"/>
        </w:rPr>
        <w:t xml:space="preserve">Комитета </w:t>
      </w:r>
      <w:r>
        <w:rPr>
          <w:rFonts w:ascii="Times New Roman" w:hAnsi="Times New Roman"/>
          <w:bCs/>
          <w:szCs w:val="24"/>
          <w:lang w:val="en-US"/>
        </w:rPr>
        <w:t>ГРЕВИО</w:t>
      </w:r>
      <w:r w:rsidR="00A04780" w:rsidRPr="00295637">
        <w:rPr>
          <w:rFonts w:ascii="Times New Roman" w:hAnsi="Times New Roman"/>
          <w:bCs/>
          <w:szCs w:val="24"/>
          <w:lang w:val="en-US"/>
        </w:rPr>
        <w:t xml:space="preserve">. </w:t>
      </w:r>
    </w:p>
    <w:p w:rsidR="00E84CF4" w:rsidRPr="00295637" w:rsidRDefault="00E84CF4" w:rsidP="0086268D">
      <w:pPr>
        <w:tabs>
          <w:tab w:val="left" w:pos="284"/>
          <w:tab w:val="left" w:pos="630"/>
          <w:tab w:val="left" w:pos="1080"/>
        </w:tabs>
        <w:jc w:val="both"/>
        <w:rPr>
          <w:rFonts w:ascii="Times New Roman" w:hAnsi="Times New Roman"/>
          <w:szCs w:val="24"/>
        </w:rPr>
      </w:pPr>
    </w:p>
    <w:p w:rsidR="00A04780" w:rsidRPr="00295637" w:rsidRDefault="00C6214E" w:rsidP="0086268D">
      <w:pPr>
        <w:tabs>
          <w:tab w:val="left" w:pos="284"/>
          <w:tab w:val="left" w:pos="630"/>
          <w:tab w:val="left" w:pos="1080"/>
        </w:tabs>
        <w:jc w:val="both"/>
        <w:rPr>
          <w:rFonts w:ascii="Times New Roman" w:hAnsi="Times New Roman"/>
          <w:bCs/>
          <w:szCs w:val="24"/>
          <w:lang w:val="en-US"/>
        </w:rPr>
      </w:pPr>
      <w:r>
        <w:rPr>
          <w:rFonts w:ascii="Times New Roman" w:hAnsi="Times New Roman"/>
          <w:szCs w:val="24"/>
        </w:rPr>
        <w:t>У</w:t>
      </w:r>
      <w:r w:rsidR="00A04780" w:rsidRPr="00295637">
        <w:rPr>
          <w:rFonts w:ascii="Times New Roman" w:hAnsi="Times New Roman"/>
          <w:szCs w:val="24"/>
        </w:rPr>
        <w:t xml:space="preserve"> </w:t>
      </w:r>
      <w:r>
        <w:rPr>
          <w:rFonts w:ascii="Times New Roman" w:hAnsi="Times New Roman"/>
          <w:szCs w:val="24"/>
        </w:rPr>
        <w:t>октобру</w:t>
      </w:r>
      <w:r w:rsidR="00A04780" w:rsidRPr="00295637">
        <w:rPr>
          <w:rFonts w:ascii="Times New Roman" w:hAnsi="Times New Roman"/>
          <w:szCs w:val="24"/>
        </w:rPr>
        <w:t xml:space="preserve"> 2024. </w:t>
      </w:r>
      <w:r>
        <w:rPr>
          <w:rFonts w:ascii="Times New Roman" w:hAnsi="Times New Roman"/>
          <w:szCs w:val="24"/>
        </w:rPr>
        <w:t>године</w:t>
      </w:r>
      <w:r w:rsidR="00AF1A5C" w:rsidRPr="00295637">
        <w:rPr>
          <w:rFonts w:ascii="Times New Roman" w:hAnsi="Times New Roman"/>
          <w:szCs w:val="24"/>
        </w:rPr>
        <w:t xml:space="preserve">, </w:t>
      </w:r>
      <w:r>
        <w:rPr>
          <w:rFonts w:ascii="Times New Roman" w:hAnsi="Times New Roman"/>
          <w:szCs w:val="24"/>
        </w:rPr>
        <w:t>АР</w:t>
      </w:r>
      <w:r w:rsidR="005D1812">
        <w:rPr>
          <w:rFonts w:ascii="Times New Roman" w:hAnsi="Times New Roman"/>
          <w:szCs w:val="24"/>
          <w:lang w:val="sr-Cyrl-BA"/>
        </w:rPr>
        <w:t>П</w:t>
      </w:r>
      <w:r w:rsidR="005921EC">
        <w:rPr>
          <w:rFonts w:ascii="Times New Roman" w:hAnsi="Times New Roman"/>
          <w:szCs w:val="24"/>
        </w:rPr>
        <w:t xml:space="preserve"> </w:t>
      </w:r>
      <w:r>
        <w:rPr>
          <w:rFonts w:ascii="Times New Roman" w:hAnsi="Times New Roman"/>
          <w:szCs w:val="24"/>
        </w:rPr>
        <w:t>БиХ</w:t>
      </w:r>
      <w:r w:rsidR="005921EC">
        <w:rPr>
          <w:rFonts w:ascii="Times New Roman" w:hAnsi="Times New Roman"/>
          <w:szCs w:val="24"/>
        </w:rPr>
        <w:t xml:space="preserve"> </w:t>
      </w:r>
      <w:r>
        <w:rPr>
          <w:rFonts w:ascii="Times New Roman" w:hAnsi="Times New Roman"/>
          <w:szCs w:val="24"/>
        </w:rPr>
        <w:t>МЉПИ</w:t>
      </w:r>
      <w:r w:rsidR="005921EC">
        <w:rPr>
          <w:rFonts w:ascii="Times New Roman" w:hAnsi="Times New Roman"/>
          <w:szCs w:val="24"/>
        </w:rPr>
        <w:t xml:space="preserve"> </w:t>
      </w:r>
      <w:r>
        <w:rPr>
          <w:rFonts w:ascii="Times New Roman" w:hAnsi="Times New Roman"/>
          <w:szCs w:val="24"/>
        </w:rPr>
        <w:t>БиХ</w:t>
      </w:r>
      <w:r w:rsidR="00785828" w:rsidRPr="00295637">
        <w:rPr>
          <w:rFonts w:ascii="Times New Roman" w:hAnsi="Times New Roman"/>
          <w:szCs w:val="24"/>
        </w:rPr>
        <w:t xml:space="preserve"> </w:t>
      </w:r>
      <w:r w:rsidR="005D1812">
        <w:rPr>
          <w:rFonts w:ascii="Times New Roman" w:hAnsi="Times New Roman"/>
          <w:szCs w:val="24"/>
        </w:rPr>
        <w:t xml:space="preserve">је </w:t>
      </w:r>
      <w:r>
        <w:rPr>
          <w:rFonts w:ascii="Times New Roman" w:hAnsi="Times New Roman"/>
          <w:szCs w:val="24"/>
        </w:rPr>
        <w:t>израдила</w:t>
      </w:r>
      <w:r w:rsidR="00A04780" w:rsidRPr="00295637">
        <w:rPr>
          <w:rFonts w:ascii="Times New Roman" w:hAnsi="Times New Roman"/>
          <w:szCs w:val="24"/>
        </w:rPr>
        <w:t xml:space="preserve"> </w:t>
      </w:r>
      <w:r>
        <w:rPr>
          <w:rFonts w:ascii="Times New Roman" w:hAnsi="Times New Roman"/>
          <w:szCs w:val="24"/>
        </w:rPr>
        <w:t>правну</w:t>
      </w:r>
      <w:r w:rsidR="00A04780" w:rsidRPr="00295637">
        <w:rPr>
          <w:rFonts w:ascii="Times New Roman" w:hAnsi="Times New Roman"/>
          <w:szCs w:val="24"/>
        </w:rPr>
        <w:t xml:space="preserve"> </w:t>
      </w:r>
      <w:r>
        <w:rPr>
          <w:rFonts w:ascii="Times New Roman" w:hAnsi="Times New Roman"/>
          <w:szCs w:val="24"/>
        </w:rPr>
        <w:t>анализу</w:t>
      </w:r>
      <w:r w:rsidR="00A04780" w:rsidRPr="00295637">
        <w:rPr>
          <w:rFonts w:ascii="Times New Roman" w:hAnsi="Times New Roman"/>
          <w:szCs w:val="24"/>
        </w:rPr>
        <w:t xml:space="preserve"> </w:t>
      </w:r>
      <w:r>
        <w:rPr>
          <w:rFonts w:ascii="Times New Roman" w:hAnsi="Times New Roman"/>
          <w:szCs w:val="24"/>
        </w:rPr>
        <w:t>и</w:t>
      </w:r>
      <w:r w:rsidR="00A04780" w:rsidRPr="00295637">
        <w:rPr>
          <w:rFonts w:ascii="Times New Roman" w:hAnsi="Times New Roman"/>
          <w:szCs w:val="24"/>
        </w:rPr>
        <w:t xml:space="preserve"> </w:t>
      </w:r>
      <w:r>
        <w:rPr>
          <w:rFonts w:ascii="Times New Roman" w:hAnsi="Times New Roman"/>
          <w:szCs w:val="24"/>
        </w:rPr>
        <w:t>нацрт</w:t>
      </w:r>
      <w:r w:rsidR="00A04780" w:rsidRPr="00295637">
        <w:rPr>
          <w:rFonts w:ascii="Times New Roman" w:hAnsi="Times New Roman"/>
          <w:szCs w:val="24"/>
        </w:rPr>
        <w:t xml:space="preserve"> </w:t>
      </w:r>
      <w:r>
        <w:rPr>
          <w:rFonts w:ascii="Times New Roman" w:hAnsi="Times New Roman"/>
          <w:szCs w:val="24"/>
        </w:rPr>
        <w:t>текста</w:t>
      </w:r>
      <w:r w:rsidR="00A04780" w:rsidRPr="00295637">
        <w:rPr>
          <w:rFonts w:ascii="Times New Roman" w:hAnsi="Times New Roman"/>
          <w:szCs w:val="24"/>
        </w:rPr>
        <w:t xml:space="preserve"> </w:t>
      </w:r>
      <w:r>
        <w:rPr>
          <w:rFonts w:ascii="Times New Roman" w:hAnsi="Times New Roman"/>
          <w:szCs w:val="24"/>
        </w:rPr>
        <w:t>за</w:t>
      </w:r>
      <w:r w:rsidR="00A04780" w:rsidRPr="00295637">
        <w:rPr>
          <w:rFonts w:ascii="Times New Roman" w:hAnsi="Times New Roman"/>
          <w:szCs w:val="24"/>
        </w:rPr>
        <w:t xml:space="preserve"> </w:t>
      </w:r>
      <w:r>
        <w:rPr>
          <w:rFonts w:ascii="Times New Roman" w:hAnsi="Times New Roman"/>
          <w:szCs w:val="24"/>
        </w:rPr>
        <w:t>јавно</w:t>
      </w:r>
      <w:r w:rsidR="00A04780" w:rsidRPr="00295637">
        <w:rPr>
          <w:rFonts w:ascii="Times New Roman" w:hAnsi="Times New Roman"/>
          <w:szCs w:val="24"/>
        </w:rPr>
        <w:t xml:space="preserve"> </w:t>
      </w:r>
      <w:r>
        <w:rPr>
          <w:rFonts w:ascii="Times New Roman" w:hAnsi="Times New Roman"/>
          <w:szCs w:val="24"/>
        </w:rPr>
        <w:t>саоп</w:t>
      </w:r>
      <w:r w:rsidR="005D1812">
        <w:rPr>
          <w:rFonts w:ascii="Times New Roman" w:hAnsi="Times New Roman"/>
          <w:szCs w:val="24"/>
          <w:lang w:val="sr-Cyrl-BA"/>
        </w:rPr>
        <w:t>шт</w:t>
      </w:r>
      <w:r>
        <w:rPr>
          <w:rFonts w:ascii="Times New Roman" w:hAnsi="Times New Roman"/>
          <w:szCs w:val="24"/>
        </w:rPr>
        <w:t>ење</w:t>
      </w:r>
      <w:r w:rsidR="00A04780" w:rsidRPr="00295637">
        <w:rPr>
          <w:rFonts w:ascii="Times New Roman" w:hAnsi="Times New Roman"/>
          <w:szCs w:val="24"/>
        </w:rPr>
        <w:t xml:space="preserve"> </w:t>
      </w:r>
      <w:r>
        <w:rPr>
          <w:rFonts w:ascii="Times New Roman" w:hAnsi="Times New Roman"/>
          <w:iCs/>
          <w:szCs w:val="24"/>
        </w:rPr>
        <w:t>Савјетодавног</w:t>
      </w:r>
      <w:r w:rsidR="00A04780" w:rsidRPr="00295637">
        <w:rPr>
          <w:rFonts w:ascii="Times New Roman" w:hAnsi="Times New Roman"/>
          <w:iCs/>
          <w:szCs w:val="24"/>
        </w:rPr>
        <w:t xml:space="preserve"> </w:t>
      </w:r>
      <w:r>
        <w:rPr>
          <w:rFonts w:ascii="Times New Roman" w:hAnsi="Times New Roman"/>
          <w:iCs/>
          <w:szCs w:val="24"/>
        </w:rPr>
        <w:t>одбора</w:t>
      </w:r>
      <w:r w:rsidR="00A04780" w:rsidRPr="00295637">
        <w:rPr>
          <w:rFonts w:ascii="Times New Roman" w:hAnsi="Times New Roman"/>
          <w:iCs/>
          <w:szCs w:val="24"/>
        </w:rPr>
        <w:t xml:space="preserve"> </w:t>
      </w:r>
      <w:r>
        <w:rPr>
          <w:rFonts w:ascii="Times New Roman" w:hAnsi="Times New Roman"/>
          <w:iCs/>
          <w:szCs w:val="24"/>
        </w:rPr>
        <w:t>за</w:t>
      </w:r>
      <w:r w:rsidR="00A04780" w:rsidRPr="00295637">
        <w:rPr>
          <w:rFonts w:ascii="Times New Roman" w:hAnsi="Times New Roman"/>
          <w:iCs/>
          <w:szCs w:val="24"/>
        </w:rPr>
        <w:t xml:space="preserve"> </w:t>
      </w:r>
      <w:r>
        <w:rPr>
          <w:rFonts w:ascii="Times New Roman" w:hAnsi="Times New Roman"/>
          <w:iCs/>
          <w:szCs w:val="24"/>
        </w:rPr>
        <w:t>заштиту</w:t>
      </w:r>
      <w:r w:rsidR="00A04780" w:rsidRPr="00295637">
        <w:rPr>
          <w:rFonts w:ascii="Times New Roman" w:hAnsi="Times New Roman"/>
          <w:iCs/>
          <w:szCs w:val="24"/>
        </w:rPr>
        <w:t xml:space="preserve"> </w:t>
      </w:r>
      <w:r>
        <w:rPr>
          <w:rFonts w:ascii="Times New Roman" w:hAnsi="Times New Roman"/>
          <w:iCs/>
          <w:szCs w:val="24"/>
        </w:rPr>
        <w:t>бранитељ</w:t>
      </w:r>
      <w:r w:rsidR="005D1812">
        <w:rPr>
          <w:rFonts w:ascii="Times New Roman" w:hAnsi="Times New Roman"/>
          <w:iCs/>
          <w:szCs w:val="24"/>
          <w:lang w:val="sr-Cyrl-BA"/>
        </w:rPr>
        <w:t>ки</w:t>
      </w:r>
      <w:r w:rsidR="00A04780" w:rsidRPr="00295637">
        <w:rPr>
          <w:rFonts w:ascii="Times New Roman" w:hAnsi="Times New Roman"/>
          <w:iCs/>
          <w:szCs w:val="24"/>
        </w:rPr>
        <w:t xml:space="preserve"> </w:t>
      </w:r>
      <w:r>
        <w:rPr>
          <w:rFonts w:ascii="Times New Roman" w:hAnsi="Times New Roman"/>
          <w:iCs/>
          <w:szCs w:val="24"/>
        </w:rPr>
        <w:t>људских</w:t>
      </w:r>
      <w:r w:rsidR="00A04780" w:rsidRPr="00295637">
        <w:rPr>
          <w:rFonts w:ascii="Times New Roman" w:hAnsi="Times New Roman"/>
          <w:iCs/>
          <w:szCs w:val="24"/>
        </w:rPr>
        <w:t xml:space="preserve"> </w:t>
      </w:r>
      <w:r>
        <w:rPr>
          <w:rFonts w:ascii="Times New Roman" w:hAnsi="Times New Roman"/>
          <w:iCs/>
          <w:szCs w:val="24"/>
        </w:rPr>
        <w:t>права</w:t>
      </w:r>
      <w:r w:rsidR="00A04780" w:rsidRPr="00295637">
        <w:rPr>
          <w:rFonts w:ascii="Times New Roman" w:hAnsi="Times New Roman"/>
          <w:iCs/>
          <w:szCs w:val="24"/>
        </w:rPr>
        <w:t xml:space="preserve"> </w:t>
      </w:r>
      <w:r>
        <w:rPr>
          <w:rFonts w:ascii="Times New Roman" w:hAnsi="Times New Roman"/>
          <w:iCs/>
          <w:szCs w:val="24"/>
        </w:rPr>
        <w:t>у</w:t>
      </w:r>
      <w:r w:rsidR="00A04780" w:rsidRPr="00295637">
        <w:rPr>
          <w:rFonts w:ascii="Times New Roman" w:hAnsi="Times New Roman"/>
          <w:iCs/>
          <w:szCs w:val="24"/>
        </w:rPr>
        <w:t xml:space="preserve"> </w:t>
      </w:r>
      <w:r>
        <w:rPr>
          <w:rFonts w:ascii="Times New Roman" w:hAnsi="Times New Roman"/>
          <w:iCs/>
          <w:szCs w:val="24"/>
        </w:rPr>
        <w:t>Босни</w:t>
      </w:r>
      <w:r w:rsidR="00A04780" w:rsidRPr="00295637">
        <w:rPr>
          <w:rFonts w:ascii="Times New Roman" w:hAnsi="Times New Roman"/>
          <w:iCs/>
          <w:szCs w:val="24"/>
        </w:rPr>
        <w:t xml:space="preserve"> </w:t>
      </w:r>
      <w:r>
        <w:rPr>
          <w:rFonts w:ascii="Times New Roman" w:hAnsi="Times New Roman"/>
          <w:iCs/>
          <w:szCs w:val="24"/>
        </w:rPr>
        <w:t>и</w:t>
      </w:r>
      <w:r w:rsidR="00A04780" w:rsidRPr="00295637">
        <w:rPr>
          <w:rFonts w:ascii="Times New Roman" w:hAnsi="Times New Roman"/>
          <w:iCs/>
          <w:szCs w:val="24"/>
        </w:rPr>
        <w:t xml:space="preserve"> </w:t>
      </w:r>
      <w:r>
        <w:rPr>
          <w:rFonts w:ascii="Times New Roman" w:hAnsi="Times New Roman"/>
          <w:iCs/>
          <w:szCs w:val="24"/>
        </w:rPr>
        <w:t>Херцеговини</w:t>
      </w:r>
      <w:r w:rsidR="00A04780" w:rsidRPr="00295637">
        <w:rPr>
          <w:rFonts w:ascii="Times New Roman" w:hAnsi="Times New Roman"/>
          <w:szCs w:val="24"/>
        </w:rPr>
        <w:t xml:space="preserve"> </w:t>
      </w:r>
      <w:r>
        <w:rPr>
          <w:rFonts w:ascii="Times New Roman" w:hAnsi="Times New Roman"/>
          <w:szCs w:val="24"/>
        </w:rPr>
        <w:t>у</w:t>
      </w:r>
      <w:r w:rsidR="00A04780" w:rsidRPr="00295637">
        <w:rPr>
          <w:rFonts w:ascii="Times New Roman" w:hAnsi="Times New Roman"/>
          <w:szCs w:val="24"/>
        </w:rPr>
        <w:t xml:space="preserve"> </w:t>
      </w:r>
      <w:r>
        <w:rPr>
          <w:rFonts w:ascii="Times New Roman" w:hAnsi="Times New Roman"/>
          <w:szCs w:val="24"/>
        </w:rPr>
        <w:t>оквиру</w:t>
      </w:r>
      <w:r w:rsidR="00A04780" w:rsidRPr="00295637">
        <w:rPr>
          <w:rFonts w:ascii="Times New Roman" w:hAnsi="Times New Roman"/>
          <w:szCs w:val="24"/>
        </w:rPr>
        <w:t xml:space="preserve"> </w:t>
      </w:r>
      <w:r>
        <w:rPr>
          <w:rFonts w:ascii="Times New Roman" w:hAnsi="Times New Roman"/>
          <w:szCs w:val="24"/>
        </w:rPr>
        <w:t>МЉПИ</w:t>
      </w:r>
      <w:r w:rsidR="00050016">
        <w:rPr>
          <w:rFonts w:ascii="Times New Roman" w:hAnsi="Times New Roman"/>
          <w:szCs w:val="24"/>
        </w:rPr>
        <w:t xml:space="preserve"> </w:t>
      </w:r>
      <w:r>
        <w:rPr>
          <w:rFonts w:ascii="Times New Roman" w:hAnsi="Times New Roman"/>
          <w:szCs w:val="24"/>
        </w:rPr>
        <w:t>БиХ</w:t>
      </w:r>
      <w:r w:rsidR="005921EC">
        <w:rPr>
          <w:rFonts w:ascii="Times New Roman" w:hAnsi="Times New Roman"/>
          <w:szCs w:val="24"/>
        </w:rPr>
        <w:t> </w:t>
      </w:r>
      <w:r>
        <w:rPr>
          <w:rFonts w:ascii="Times New Roman" w:hAnsi="Times New Roman"/>
          <w:szCs w:val="24"/>
        </w:rPr>
        <w:t>поводом</w:t>
      </w:r>
      <w:r w:rsidR="005921EC">
        <w:rPr>
          <w:rFonts w:ascii="Times New Roman" w:hAnsi="Times New Roman"/>
          <w:szCs w:val="24"/>
        </w:rPr>
        <w:t xml:space="preserve"> </w:t>
      </w:r>
      <w:r>
        <w:rPr>
          <w:rFonts w:ascii="Times New Roman" w:hAnsi="Times New Roman"/>
          <w:szCs w:val="24"/>
        </w:rPr>
        <w:t>усвајања</w:t>
      </w:r>
      <w:r w:rsidR="005921EC">
        <w:rPr>
          <w:rFonts w:ascii="Times New Roman" w:hAnsi="Times New Roman"/>
          <w:szCs w:val="24"/>
        </w:rPr>
        <w:t xml:space="preserve"> </w:t>
      </w:r>
      <w:r>
        <w:rPr>
          <w:rFonts w:ascii="Times New Roman" w:hAnsi="Times New Roman"/>
          <w:szCs w:val="24"/>
        </w:rPr>
        <w:t>Нацрта</w:t>
      </w:r>
      <w:r w:rsidR="005921EC">
        <w:rPr>
          <w:rFonts w:ascii="Times New Roman" w:hAnsi="Times New Roman"/>
          <w:szCs w:val="24"/>
        </w:rPr>
        <w:t xml:space="preserve"> </w:t>
      </w:r>
      <w:r>
        <w:rPr>
          <w:rFonts w:ascii="Times New Roman" w:hAnsi="Times New Roman"/>
          <w:szCs w:val="24"/>
        </w:rPr>
        <w:t>закона</w:t>
      </w:r>
      <w:r w:rsidR="00A04780" w:rsidRPr="00295637">
        <w:rPr>
          <w:rFonts w:ascii="Times New Roman" w:hAnsi="Times New Roman"/>
          <w:szCs w:val="24"/>
        </w:rPr>
        <w:t xml:space="preserve"> </w:t>
      </w:r>
      <w:r>
        <w:rPr>
          <w:rFonts w:ascii="Times New Roman" w:hAnsi="Times New Roman"/>
          <w:szCs w:val="24"/>
        </w:rPr>
        <w:t>о</w:t>
      </w:r>
      <w:r w:rsidR="00A04780" w:rsidRPr="00295637">
        <w:rPr>
          <w:rFonts w:ascii="Times New Roman" w:hAnsi="Times New Roman"/>
          <w:szCs w:val="24"/>
        </w:rPr>
        <w:t xml:space="preserve"> </w:t>
      </w:r>
      <w:r>
        <w:rPr>
          <w:rFonts w:ascii="Times New Roman" w:hAnsi="Times New Roman"/>
          <w:szCs w:val="24"/>
        </w:rPr>
        <w:t>измјенама</w:t>
      </w:r>
      <w:r w:rsidR="00A04780" w:rsidRPr="00295637">
        <w:rPr>
          <w:rFonts w:ascii="Times New Roman" w:hAnsi="Times New Roman"/>
          <w:szCs w:val="24"/>
        </w:rPr>
        <w:t xml:space="preserve"> </w:t>
      </w:r>
      <w:r>
        <w:rPr>
          <w:rFonts w:ascii="Times New Roman" w:hAnsi="Times New Roman"/>
          <w:szCs w:val="24"/>
        </w:rPr>
        <w:t>Кривичног</w:t>
      </w:r>
      <w:r w:rsidR="00A04780" w:rsidRPr="00295637">
        <w:rPr>
          <w:rFonts w:ascii="Times New Roman" w:hAnsi="Times New Roman"/>
          <w:szCs w:val="24"/>
        </w:rPr>
        <w:t xml:space="preserve"> </w:t>
      </w:r>
      <w:r>
        <w:rPr>
          <w:rFonts w:ascii="Times New Roman" w:hAnsi="Times New Roman"/>
          <w:szCs w:val="24"/>
        </w:rPr>
        <w:t>законика</w:t>
      </w:r>
      <w:r w:rsidR="00A04780" w:rsidRPr="00295637">
        <w:rPr>
          <w:rFonts w:ascii="Times New Roman" w:hAnsi="Times New Roman"/>
          <w:szCs w:val="24"/>
        </w:rPr>
        <w:t xml:space="preserve"> </w:t>
      </w:r>
      <w:r>
        <w:rPr>
          <w:rFonts w:ascii="Times New Roman" w:hAnsi="Times New Roman"/>
          <w:szCs w:val="24"/>
        </w:rPr>
        <w:t>РС</w:t>
      </w:r>
      <w:r w:rsidR="00A04780" w:rsidRPr="00295637">
        <w:rPr>
          <w:rFonts w:ascii="Times New Roman" w:hAnsi="Times New Roman"/>
          <w:szCs w:val="24"/>
        </w:rPr>
        <w:t xml:space="preserve"> </w:t>
      </w:r>
      <w:r>
        <w:rPr>
          <w:rFonts w:ascii="Times New Roman" w:hAnsi="Times New Roman"/>
          <w:szCs w:val="24"/>
        </w:rPr>
        <w:t>у</w:t>
      </w:r>
      <w:r w:rsidR="00FB5868" w:rsidRPr="00295637">
        <w:rPr>
          <w:rFonts w:ascii="Times New Roman" w:hAnsi="Times New Roman"/>
          <w:szCs w:val="24"/>
        </w:rPr>
        <w:t xml:space="preserve"> </w:t>
      </w:r>
      <w:r>
        <w:rPr>
          <w:rFonts w:ascii="Times New Roman" w:hAnsi="Times New Roman"/>
          <w:szCs w:val="24"/>
        </w:rPr>
        <w:t>вези</w:t>
      </w:r>
      <w:r w:rsidR="005921EC">
        <w:rPr>
          <w:rFonts w:ascii="Times New Roman" w:hAnsi="Times New Roman"/>
          <w:szCs w:val="24"/>
        </w:rPr>
        <w:t xml:space="preserve"> </w:t>
      </w:r>
      <w:r>
        <w:rPr>
          <w:rFonts w:ascii="Times New Roman" w:hAnsi="Times New Roman"/>
          <w:szCs w:val="24"/>
        </w:rPr>
        <w:t>са</w:t>
      </w:r>
      <w:r w:rsidR="00FB5868" w:rsidRPr="00295637">
        <w:rPr>
          <w:rFonts w:ascii="Times New Roman" w:hAnsi="Times New Roman"/>
          <w:szCs w:val="24"/>
        </w:rPr>
        <w:t xml:space="preserve"> </w:t>
      </w:r>
      <w:r>
        <w:rPr>
          <w:rFonts w:ascii="Times New Roman" w:hAnsi="Times New Roman"/>
          <w:szCs w:val="24"/>
        </w:rPr>
        <w:t>брисањем</w:t>
      </w:r>
      <w:r w:rsidR="00A04780" w:rsidRPr="00295637">
        <w:rPr>
          <w:rFonts w:ascii="Times New Roman" w:hAnsi="Times New Roman"/>
          <w:szCs w:val="24"/>
        </w:rPr>
        <w:t xml:space="preserve"> </w:t>
      </w:r>
      <w:r>
        <w:rPr>
          <w:rFonts w:ascii="Times New Roman" w:hAnsi="Times New Roman"/>
          <w:szCs w:val="24"/>
        </w:rPr>
        <w:t>израза</w:t>
      </w:r>
      <w:r w:rsidR="00A04780" w:rsidRPr="00295637">
        <w:rPr>
          <w:rFonts w:ascii="Times New Roman" w:hAnsi="Times New Roman"/>
          <w:szCs w:val="24"/>
        </w:rPr>
        <w:t xml:space="preserve"> „</w:t>
      </w:r>
      <w:r>
        <w:rPr>
          <w:rFonts w:ascii="Times New Roman" w:hAnsi="Times New Roman"/>
          <w:szCs w:val="24"/>
        </w:rPr>
        <w:t>родни</w:t>
      </w:r>
      <w:r w:rsidR="00A04780" w:rsidRPr="00295637">
        <w:rPr>
          <w:rFonts w:ascii="Times New Roman" w:hAnsi="Times New Roman"/>
          <w:szCs w:val="24"/>
        </w:rPr>
        <w:t xml:space="preserve"> </w:t>
      </w:r>
      <w:r>
        <w:rPr>
          <w:rFonts w:ascii="Times New Roman" w:hAnsi="Times New Roman"/>
          <w:szCs w:val="24"/>
        </w:rPr>
        <w:t>идентитет</w:t>
      </w:r>
      <w:r w:rsidR="00A04780" w:rsidRPr="00295637">
        <w:rPr>
          <w:rFonts w:ascii="Times New Roman" w:hAnsi="Times New Roman"/>
          <w:szCs w:val="24"/>
        </w:rPr>
        <w:t>“</w:t>
      </w:r>
      <w:r w:rsidR="00FB5868" w:rsidRPr="00295637">
        <w:rPr>
          <w:rFonts w:ascii="Times New Roman" w:hAnsi="Times New Roman"/>
          <w:szCs w:val="24"/>
        </w:rPr>
        <w:t>.</w:t>
      </w:r>
      <w:r w:rsidR="00A04780" w:rsidRPr="00295637">
        <w:rPr>
          <w:rFonts w:ascii="Times New Roman" w:hAnsi="Times New Roman"/>
          <w:bCs/>
          <w:szCs w:val="24"/>
          <w:lang w:val="en-US"/>
        </w:rPr>
        <w:t xml:space="preserve"> </w:t>
      </w:r>
    </w:p>
    <w:p w:rsidR="00E84CF4" w:rsidRPr="00295637" w:rsidRDefault="00E84CF4" w:rsidP="0086268D">
      <w:pPr>
        <w:tabs>
          <w:tab w:val="left" w:pos="284"/>
          <w:tab w:val="left" w:pos="630"/>
          <w:tab w:val="left" w:pos="1080"/>
        </w:tabs>
        <w:jc w:val="both"/>
        <w:rPr>
          <w:rFonts w:ascii="Times New Roman" w:hAnsi="Times New Roman"/>
          <w:bCs/>
          <w:szCs w:val="24"/>
          <w:lang w:val="en-US"/>
        </w:rPr>
      </w:pPr>
    </w:p>
    <w:p w:rsidR="00286171" w:rsidRPr="00295637" w:rsidRDefault="00C6214E" w:rsidP="0086268D">
      <w:pPr>
        <w:tabs>
          <w:tab w:val="left" w:pos="284"/>
          <w:tab w:val="left" w:pos="630"/>
          <w:tab w:val="left" w:pos="1080"/>
        </w:tabs>
        <w:jc w:val="both"/>
        <w:rPr>
          <w:rFonts w:ascii="Times New Roman" w:hAnsi="Times New Roman"/>
          <w:szCs w:val="24"/>
          <w:lang w:val="hr-HR"/>
        </w:rPr>
      </w:pPr>
      <w:r>
        <w:rPr>
          <w:rFonts w:ascii="Times New Roman" w:hAnsi="Times New Roman"/>
          <w:szCs w:val="24"/>
          <w:lang w:val="hr-HR"/>
        </w:rPr>
        <w:t>АР</w:t>
      </w:r>
      <w:r w:rsidR="005D1812">
        <w:rPr>
          <w:rFonts w:ascii="Times New Roman" w:hAnsi="Times New Roman"/>
          <w:szCs w:val="24"/>
          <w:lang w:val="sr-Cyrl-BA"/>
        </w:rPr>
        <w:t>П</w:t>
      </w:r>
      <w:r w:rsidR="005921EC">
        <w:rPr>
          <w:rFonts w:ascii="Times New Roman" w:hAnsi="Times New Roman"/>
          <w:szCs w:val="24"/>
          <w:lang w:val="hr-HR"/>
        </w:rPr>
        <w:t xml:space="preserve"> </w:t>
      </w:r>
      <w:r>
        <w:rPr>
          <w:rFonts w:ascii="Times New Roman" w:hAnsi="Times New Roman"/>
          <w:szCs w:val="24"/>
          <w:lang w:val="hr-HR"/>
        </w:rPr>
        <w:t>БиХ</w:t>
      </w:r>
      <w:r w:rsidR="005921EC">
        <w:rPr>
          <w:rFonts w:ascii="Times New Roman" w:hAnsi="Times New Roman"/>
          <w:szCs w:val="24"/>
          <w:lang w:val="hr-HR"/>
        </w:rPr>
        <w:t xml:space="preserve"> </w:t>
      </w:r>
      <w:r>
        <w:rPr>
          <w:rFonts w:ascii="Times New Roman" w:hAnsi="Times New Roman"/>
          <w:szCs w:val="24"/>
          <w:lang w:val="hr-HR"/>
        </w:rPr>
        <w:t>МЉПИ</w:t>
      </w:r>
      <w:r w:rsidR="005921EC">
        <w:rPr>
          <w:rFonts w:ascii="Times New Roman" w:hAnsi="Times New Roman"/>
          <w:szCs w:val="24"/>
          <w:lang w:val="hr-HR"/>
        </w:rPr>
        <w:t xml:space="preserve"> </w:t>
      </w:r>
      <w:r>
        <w:rPr>
          <w:rFonts w:ascii="Times New Roman" w:hAnsi="Times New Roman"/>
          <w:szCs w:val="24"/>
          <w:lang w:val="hr-HR"/>
        </w:rPr>
        <w:t>БиХ</w:t>
      </w:r>
      <w:r w:rsidR="00286171" w:rsidRPr="00295637">
        <w:rPr>
          <w:rFonts w:ascii="Times New Roman" w:hAnsi="Times New Roman"/>
          <w:szCs w:val="24"/>
          <w:lang w:val="hr-HR"/>
        </w:rPr>
        <w:t xml:space="preserve"> </w:t>
      </w:r>
      <w:r>
        <w:rPr>
          <w:rFonts w:ascii="Times New Roman" w:hAnsi="Times New Roman"/>
          <w:szCs w:val="24"/>
          <w:lang w:val="hr-HR"/>
        </w:rPr>
        <w:t>финализ</w:t>
      </w:r>
      <w:r w:rsidR="005D1812">
        <w:rPr>
          <w:rFonts w:ascii="Times New Roman" w:hAnsi="Times New Roman"/>
          <w:szCs w:val="24"/>
          <w:lang w:val="sr-Cyrl-BA"/>
        </w:rPr>
        <w:t>овала</w:t>
      </w:r>
      <w:r w:rsidR="00286171" w:rsidRPr="00295637">
        <w:rPr>
          <w:rFonts w:ascii="Times New Roman" w:hAnsi="Times New Roman"/>
          <w:szCs w:val="24"/>
          <w:lang w:val="hr-HR"/>
        </w:rPr>
        <w:t xml:space="preserve"> </w:t>
      </w:r>
      <w:r>
        <w:rPr>
          <w:rFonts w:ascii="Times New Roman" w:hAnsi="Times New Roman"/>
          <w:szCs w:val="24"/>
          <w:lang w:val="hr-HR"/>
        </w:rPr>
        <w:t>је</w:t>
      </w:r>
      <w:r w:rsidR="005921EC" w:rsidRPr="00295637">
        <w:rPr>
          <w:rFonts w:ascii="Times New Roman" w:hAnsi="Times New Roman"/>
          <w:szCs w:val="24"/>
          <w:lang w:val="hr-HR"/>
        </w:rPr>
        <w:t xml:space="preserve"> </w:t>
      </w:r>
      <w:r>
        <w:rPr>
          <w:rFonts w:ascii="Times New Roman" w:hAnsi="Times New Roman"/>
          <w:szCs w:val="24"/>
          <w:lang w:val="hr-HR"/>
        </w:rPr>
        <w:t>и</w:t>
      </w:r>
      <w:r w:rsidR="00286171" w:rsidRPr="00295637">
        <w:rPr>
          <w:rFonts w:ascii="Times New Roman" w:hAnsi="Times New Roman"/>
          <w:szCs w:val="24"/>
          <w:lang w:val="hr-HR"/>
        </w:rPr>
        <w:t xml:space="preserve"> </w:t>
      </w:r>
      <w:r>
        <w:rPr>
          <w:rFonts w:ascii="Times New Roman" w:hAnsi="Times New Roman"/>
          <w:szCs w:val="24"/>
          <w:lang w:val="hr-HR"/>
        </w:rPr>
        <w:t>релевантним</w:t>
      </w:r>
      <w:r w:rsidR="00286171" w:rsidRPr="00295637">
        <w:rPr>
          <w:rFonts w:ascii="Times New Roman" w:hAnsi="Times New Roman"/>
          <w:szCs w:val="24"/>
          <w:lang w:val="hr-HR"/>
        </w:rPr>
        <w:t xml:space="preserve"> </w:t>
      </w:r>
      <w:r>
        <w:rPr>
          <w:rFonts w:ascii="Times New Roman" w:hAnsi="Times New Roman"/>
          <w:szCs w:val="24"/>
          <w:lang w:val="hr-HR"/>
        </w:rPr>
        <w:t>министарствима</w:t>
      </w:r>
      <w:r w:rsidR="00286171" w:rsidRPr="00295637">
        <w:rPr>
          <w:rFonts w:ascii="Times New Roman" w:hAnsi="Times New Roman"/>
          <w:szCs w:val="24"/>
          <w:lang w:val="hr-HR"/>
        </w:rPr>
        <w:t xml:space="preserve"> </w:t>
      </w:r>
      <w:r>
        <w:rPr>
          <w:rFonts w:ascii="Times New Roman" w:hAnsi="Times New Roman"/>
          <w:szCs w:val="24"/>
          <w:lang w:val="hr-HR"/>
        </w:rPr>
        <w:t>доставила</w:t>
      </w:r>
      <w:r w:rsidR="0069661D" w:rsidRPr="00295637">
        <w:rPr>
          <w:rFonts w:ascii="Times New Roman" w:hAnsi="Times New Roman"/>
          <w:szCs w:val="24"/>
          <w:lang w:val="hr-HR"/>
        </w:rPr>
        <w:t xml:space="preserve"> </w:t>
      </w:r>
      <w:r>
        <w:rPr>
          <w:rFonts w:ascii="Times New Roman" w:hAnsi="Times New Roman"/>
          <w:szCs w:val="24"/>
          <w:lang w:val="hr-HR"/>
        </w:rPr>
        <w:t>документе</w:t>
      </w:r>
      <w:r w:rsidR="0069661D" w:rsidRPr="00295637">
        <w:rPr>
          <w:rFonts w:ascii="Times New Roman" w:hAnsi="Times New Roman"/>
          <w:szCs w:val="24"/>
          <w:lang w:val="hr-HR"/>
        </w:rPr>
        <w:t xml:space="preserve"> </w:t>
      </w:r>
      <w:r>
        <w:rPr>
          <w:rFonts w:ascii="Times New Roman" w:hAnsi="Times New Roman"/>
          <w:szCs w:val="24"/>
          <w:lang w:val="hr-HR"/>
        </w:rPr>
        <w:t>за</w:t>
      </w:r>
      <w:r w:rsidR="0069661D" w:rsidRPr="00295637">
        <w:rPr>
          <w:rFonts w:ascii="Times New Roman" w:hAnsi="Times New Roman"/>
          <w:szCs w:val="24"/>
          <w:lang w:val="hr-HR"/>
        </w:rPr>
        <w:t xml:space="preserve"> </w:t>
      </w:r>
      <w:r>
        <w:rPr>
          <w:rFonts w:ascii="Times New Roman" w:hAnsi="Times New Roman"/>
          <w:szCs w:val="24"/>
          <w:lang w:val="hr-HR"/>
        </w:rPr>
        <w:t>интегри</w:t>
      </w:r>
      <w:r w:rsidR="005D1812">
        <w:rPr>
          <w:rFonts w:ascii="Times New Roman" w:hAnsi="Times New Roman"/>
          <w:szCs w:val="24"/>
          <w:lang w:val="sr-Cyrl-BA"/>
        </w:rPr>
        <w:t>с</w:t>
      </w:r>
      <w:r>
        <w:rPr>
          <w:rFonts w:ascii="Times New Roman" w:hAnsi="Times New Roman"/>
          <w:szCs w:val="24"/>
          <w:lang w:val="hr-HR"/>
        </w:rPr>
        <w:t>ање</w:t>
      </w:r>
      <w:r w:rsidR="00286171" w:rsidRPr="00295637">
        <w:rPr>
          <w:rFonts w:ascii="Times New Roman" w:hAnsi="Times New Roman"/>
          <w:szCs w:val="24"/>
          <w:lang w:val="hr-HR"/>
        </w:rPr>
        <w:t xml:space="preserve"> </w:t>
      </w:r>
      <w:r>
        <w:rPr>
          <w:rFonts w:ascii="Times New Roman" w:hAnsi="Times New Roman"/>
          <w:szCs w:val="24"/>
          <w:lang w:val="hr-HR"/>
        </w:rPr>
        <w:t>перспективе</w:t>
      </w:r>
      <w:r w:rsidR="00286171" w:rsidRPr="00295637">
        <w:rPr>
          <w:rFonts w:ascii="Times New Roman" w:hAnsi="Times New Roman"/>
          <w:szCs w:val="24"/>
          <w:lang w:val="hr-HR"/>
        </w:rPr>
        <w:t xml:space="preserve"> </w:t>
      </w:r>
      <w:r>
        <w:rPr>
          <w:rFonts w:ascii="Times New Roman" w:hAnsi="Times New Roman"/>
          <w:szCs w:val="24"/>
          <w:lang w:val="hr-HR"/>
        </w:rPr>
        <w:t>равноправности</w:t>
      </w:r>
      <w:r w:rsidR="00286171" w:rsidRPr="00295637">
        <w:rPr>
          <w:rFonts w:ascii="Times New Roman" w:hAnsi="Times New Roman"/>
          <w:szCs w:val="24"/>
          <w:lang w:val="hr-HR"/>
        </w:rPr>
        <w:t xml:space="preserve"> </w:t>
      </w:r>
      <w:r>
        <w:rPr>
          <w:rFonts w:ascii="Times New Roman" w:hAnsi="Times New Roman"/>
          <w:szCs w:val="24"/>
          <w:lang w:val="hr-HR"/>
        </w:rPr>
        <w:t>полова</w:t>
      </w:r>
      <w:r w:rsidR="00286171" w:rsidRPr="00295637">
        <w:rPr>
          <w:rFonts w:ascii="Times New Roman" w:hAnsi="Times New Roman"/>
          <w:szCs w:val="24"/>
          <w:lang w:val="hr-HR"/>
        </w:rPr>
        <w:t xml:space="preserve"> </w:t>
      </w:r>
      <w:r>
        <w:rPr>
          <w:rFonts w:ascii="Times New Roman" w:hAnsi="Times New Roman"/>
          <w:szCs w:val="24"/>
          <w:lang w:val="hr-HR"/>
        </w:rPr>
        <w:t>у</w:t>
      </w:r>
      <w:r w:rsidR="00286171" w:rsidRPr="00295637">
        <w:rPr>
          <w:rFonts w:ascii="Times New Roman" w:hAnsi="Times New Roman"/>
          <w:szCs w:val="24"/>
          <w:lang w:val="hr-HR"/>
        </w:rPr>
        <w:t xml:space="preserve"> </w:t>
      </w:r>
      <w:r>
        <w:rPr>
          <w:rFonts w:ascii="Times New Roman" w:hAnsi="Times New Roman"/>
          <w:szCs w:val="24"/>
          <w:lang w:val="hr-HR"/>
        </w:rPr>
        <w:t>Стратегију</w:t>
      </w:r>
      <w:r w:rsidR="00286171" w:rsidRPr="00295637">
        <w:rPr>
          <w:rFonts w:ascii="Times New Roman" w:hAnsi="Times New Roman"/>
          <w:szCs w:val="24"/>
          <w:lang w:val="hr-HR"/>
        </w:rPr>
        <w:t xml:space="preserve"> </w:t>
      </w:r>
      <w:r>
        <w:rPr>
          <w:rFonts w:ascii="Times New Roman" w:hAnsi="Times New Roman"/>
          <w:szCs w:val="24"/>
          <w:lang w:val="hr-HR"/>
        </w:rPr>
        <w:t>правосуђа</w:t>
      </w:r>
      <w:r w:rsidR="00286171" w:rsidRPr="00295637">
        <w:rPr>
          <w:rFonts w:ascii="Times New Roman" w:hAnsi="Times New Roman"/>
          <w:szCs w:val="24"/>
          <w:lang w:val="hr-HR"/>
        </w:rPr>
        <w:t xml:space="preserve"> </w:t>
      </w:r>
      <w:r>
        <w:rPr>
          <w:rFonts w:ascii="Times New Roman" w:hAnsi="Times New Roman"/>
          <w:szCs w:val="24"/>
          <w:lang w:val="hr-HR"/>
        </w:rPr>
        <w:t>БиХ</w:t>
      </w:r>
      <w:r w:rsidR="00286171" w:rsidRPr="00295637">
        <w:rPr>
          <w:rFonts w:ascii="Times New Roman" w:hAnsi="Times New Roman"/>
          <w:szCs w:val="24"/>
          <w:lang w:val="hr-HR"/>
        </w:rPr>
        <w:t xml:space="preserve">, </w:t>
      </w:r>
      <w:r>
        <w:rPr>
          <w:rFonts w:ascii="Times New Roman" w:hAnsi="Times New Roman"/>
          <w:szCs w:val="24"/>
          <w:lang w:val="hr-HR"/>
        </w:rPr>
        <w:t>Стратегију</w:t>
      </w:r>
      <w:r w:rsidR="00286171" w:rsidRPr="00295637">
        <w:rPr>
          <w:rFonts w:ascii="Times New Roman" w:hAnsi="Times New Roman"/>
          <w:szCs w:val="24"/>
          <w:lang w:val="hr-HR"/>
        </w:rPr>
        <w:t xml:space="preserve"> </w:t>
      </w:r>
      <w:r>
        <w:rPr>
          <w:rFonts w:ascii="Times New Roman" w:hAnsi="Times New Roman"/>
          <w:szCs w:val="24"/>
          <w:lang w:val="hr-HR"/>
        </w:rPr>
        <w:t>о</w:t>
      </w:r>
      <w:r w:rsidR="00286171" w:rsidRPr="00295637">
        <w:rPr>
          <w:rFonts w:ascii="Times New Roman" w:hAnsi="Times New Roman"/>
          <w:szCs w:val="24"/>
          <w:lang w:val="hr-HR"/>
        </w:rPr>
        <w:t xml:space="preserve"> </w:t>
      </w:r>
      <w:r>
        <w:rPr>
          <w:rFonts w:ascii="Times New Roman" w:hAnsi="Times New Roman"/>
          <w:szCs w:val="24"/>
          <w:lang w:val="hr-HR"/>
        </w:rPr>
        <w:t>развоју</w:t>
      </w:r>
      <w:r w:rsidR="00286171" w:rsidRPr="00295637">
        <w:rPr>
          <w:rFonts w:ascii="Times New Roman" w:hAnsi="Times New Roman"/>
          <w:szCs w:val="24"/>
          <w:lang w:val="hr-HR"/>
        </w:rPr>
        <w:t xml:space="preserve"> </w:t>
      </w:r>
      <w:r>
        <w:rPr>
          <w:rFonts w:ascii="Times New Roman" w:hAnsi="Times New Roman"/>
          <w:szCs w:val="24"/>
          <w:lang w:val="hr-HR"/>
        </w:rPr>
        <w:t>науке</w:t>
      </w:r>
      <w:r w:rsidR="00286171" w:rsidRPr="00295637">
        <w:rPr>
          <w:rFonts w:ascii="Times New Roman" w:hAnsi="Times New Roman"/>
          <w:szCs w:val="24"/>
          <w:lang w:val="hr-HR"/>
        </w:rPr>
        <w:t xml:space="preserve"> </w:t>
      </w:r>
      <w:r>
        <w:rPr>
          <w:rFonts w:ascii="Times New Roman" w:hAnsi="Times New Roman"/>
          <w:szCs w:val="24"/>
          <w:lang w:val="hr-HR"/>
        </w:rPr>
        <w:t>у</w:t>
      </w:r>
      <w:r w:rsidR="00286171" w:rsidRPr="00295637">
        <w:rPr>
          <w:rFonts w:ascii="Times New Roman" w:hAnsi="Times New Roman"/>
          <w:szCs w:val="24"/>
          <w:lang w:val="hr-HR"/>
        </w:rPr>
        <w:t xml:space="preserve"> </w:t>
      </w:r>
      <w:r>
        <w:rPr>
          <w:rFonts w:ascii="Times New Roman" w:hAnsi="Times New Roman"/>
          <w:szCs w:val="24"/>
          <w:lang w:val="hr-HR"/>
        </w:rPr>
        <w:t>Босни</w:t>
      </w:r>
      <w:r w:rsidR="00286171" w:rsidRPr="00295637">
        <w:rPr>
          <w:rFonts w:ascii="Times New Roman" w:hAnsi="Times New Roman"/>
          <w:szCs w:val="24"/>
          <w:lang w:val="hr-HR"/>
        </w:rPr>
        <w:t xml:space="preserve"> </w:t>
      </w:r>
      <w:r>
        <w:rPr>
          <w:rFonts w:ascii="Times New Roman" w:hAnsi="Times New Roman"/>
          <w:szCs w:val="24"/>
          <w:lang w:val="hr-HR"/>
        </w:rPr>
        <w:t>и</w:t>
      </w:r>
      <w:r w:rsidR="00286171" w:rsidRPr="00295637">
        <w:rPr>
          <w:rFonts w:ascii="Times New Roman" w:hAnsi="Times New Roman"/>
          <w:szCs w:val="24"/>
          <w:lang w:val="hr-HR"/>
        </w:rPr>
        <w:t xml:space="preserve"> </w:t>
      </w:r>
      <w:r>
        <w:rPr>
          <w:rFonts w:ascii="Times New Roman" w:hAnsi="Times New Roman"/>
          <w:szCs w:val="24"/>
          <w:lang w:val="hr-HR"/>
        </w:rPr>
        <w:t>Херцеговини</w:t>
      </w:r>
      <w:r w:rsidR="00286171" w:rsidRPr="00295637">
        <w:rPr>
          <w:rFonts w:ascii="Times New Roman" w:hAnsi="Times New Roman"/>
          <w:szCs w:val="24"/>
          <w:lang w:val="hr-HR"/>
        </w:rPr>
        <w:t xml:space="preserve">, </w:t>
      </w:r>
      <w:r>
        <w:rPr>
          <w:rFonts w:ascii="Times New Roman" w:hAnsi="Times New Roman"/>
          <w:szCs w:val="24"/>
          <w:lang w:val="hr-HR"/>
        </w:rPr>
        <w:t>те</w:t>
      </w:r>
      <w:r w:rsidR="00286171" w:rsidRPr="00295637">
        <w:rPr>
          <w:rFonts w:ascii="Times New Roman" w:hAnsi="Times New Roman"/>
          <w:szCs w:val="24"/>
          <w:lang w:val="hr-HR"/>
        </w:rPr>
        <w:t xml:space="preserve"> </w:t>
      </w:r>
      <w:r>
        <w:rPr>
          <w:rFonts w:ascii="Times New Roman" w:hAnsi="Times New Roman"/>
          <w:szCs w:val="24"/>
          <w:lang w:val="hr-HR"/>
        </w:rPr>
        <w:t>Закона</w:t>
      </w:r>
      <w:r w:rsidR="00286171" w:rsidRPr="00295637">
        <w:rPr>
          <w:rFonts w:ascii="Times New Roman" w:hAnsi="Times New Roman"/>
          <w:szCs w:val="24"/>
          <w:lang w:val="hr-HR"/>
        </w:rPr>
        <w:t xml:space="preserve"> </w:t>
      </w:r>
      <w:r>
        <w:rPr>
          <w:rFonts w:ascii="Times New Roman" w:hAnsi="Times New Roman"/>
          <w:szCs w:val="24"/>
          <w:lang w:val="hr-HR"/>
        </w:rPr>
        <w:t>о</w:t>
      </w:r>
      <w:r w:rsidR="00286171" w:rsidRPr="00295637">
        <w:rPr>
          <w:rFonts w:ascii="Times New Roman" w:hAnsi="Times New Roman"/>
          <w:szCs w:val="24"/>
          <w:lang w:val="hr-HR"/>
        </w:rPr>
        <w:t xml:space="preserve"> </w:t>
      </w:r>
      <w:r>
        <w:rPr>
          <w:rFonts w:ascii="Times New Roman" w:hAnsi="Times New Roman"/>
          <w:szCs w:val="24"/>
          <w:lang w:val="hr-HR"/>
        </w:rPr>
        <w:t>храни</w:t>
      </w:r>
      <w:r w:rsidR="00286171" w:rsidRPr="00295637">
        <w:rPr>
          <w:rFonts w:ascii="Times New Roman" w:hAnsi="Times New Roman"/>
          <w:szCs w:val="24"/>
          <w:lang w:val="hr-HR"/>
        </w:rPr>
        <w:t xml:space="preserve"> </w:t>
      </w:r>
      <w:r>
        <w:rPr>
          <w:rFonts w:ascii="Times New Roman" w:hAnsi="Times New Roman"/>
          <w:szCs w:val="24"/>
          <w:lang w:val="hr-HR"/>
        </w:rPr>
        <w:t>БиХ</w:t>
      </w:r>
      <w:r w:rsidR="00286171" w:rsidRPr="00295637">
        <w:rPr>
          <w:rFonts w:ascii="Times New Roman" w:hAnsi="Times New Roman"/>
          <w:szCs w:val="24"/>
          <w:lang w:val="hr-HR"/>
        </w:rPr>
        <w:t>.</w:t>
      </w:r>
    </w:p>
    <w:p w:rsidR="00286171" w:rsidRPr="00295637" w:rsidRDefault="00286171" w:rsidP="0086268D">
      <w:pPr>
        <w:tabs>
          <w:tab w:val="left" w:pos="284"/>
          <w:tab w:val="left" w:pos="630"/>
          <w:tab w:val="left" w:pos="1080"/>
        </w:tabs>
        <w:jc w:val="both"/>
        <w:rPr>
          <w:rFonts w:ascii="Times New Roman" w:hAnsi="Times New Roman"/>
          <w:szCs w:val="24"/>
          <w:lang w:val="hr-HR"/>
        </w:rPr>
      </w:pPr>
    </w:p>
    <w:p w:rsidR="003A2F08"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eastAsia="Calibri" w:hAnsi="Times New Roman"/>
          <w:szCs w:val="24"/>
          <w:lang w:val="bs-Latn-BA"/>
        </w:rPr>
        <w:t>ГЦ</w:t>
      </w:r>
      <w:r w:rsidR="005921EC">
        <w:rPr>
          <w:rFonts w:ascii="Times New Roman" w:eastAsia="Calibri" w:hAnsi="Times New Roman"/>
          <w:szCs w:val="24"/>
          <w:lang w:val="bs-Latn-BA"/>
        </w:rPr>
        <w:t xml:space="preserve"> </w:t>
      </w:r>
      <w:r>
        <w:rPr>
          <w:rFonts w:ascii="Times New Roman" w:eastAsia="Calibri" w:hAnsi="Times New Roman"/>
          <w:szCs w:val="24"/>
          <w:lang w:val="bs-Latn-BA"/>
        </w:rPr>
        <w:t>ФБиХ</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израдио</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је</w:t>
      </w:r>
      <w:r w:rsidR="005921EC" w:rsidRPr="00295637">
        <w:rPr>
          <w:rFonts w:ascii="Times New Roman" w:eastAsia="Calibri" w:hAnsi="Times New Roman"/>
          <w:szCs w:val="24"/>
          <w:lang w:val="bs-Latn-BA"/>
        </w:rPr>
        <w:t xml:space="preserve"> </w:t>
      </w:r>
      <w:r>
        <w:rPr>
          <w:rFonts w:ascii="Times New Roman" w:eastAsia="Calibri" w:hAnsi="Times New Roman"/>
          <w:szCs w:val="24"/>
          <w:lang w:val="bs-Latn-BA"/>
        </w:rPr>
        <w:t>План</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праћења</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реализације</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препорука</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из</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Извјештаја</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ревизије</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учинка</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Родна</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равноправност</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спречавање</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насиља</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над</w:t>
      </w:r>
      <w:r w:rsidR="003A2F08" w:rsidRPr="00295637">
        <w:rPr>
          <w:rFonts w:ascii="Times New Roman" w:eastAsia="Calibri" w:hAnsi="Times New Roman"/>
          <w:szCs w:val="24"/>
          <w:lang w:val="bs-Latn-BA"/>
        </w:rPr>
        <w:t xml:space="preserve"> </w:t>
      </w:r>
      <w:r>
        <w:rPr>
          <w:rFonts w:ascii="Times New Roman" w:eastAsia="Calibri" w:hAnsi="Times New Roman"/>
          <w:szCs w:val="24"/>
          <w:lang w:val="bs-Latn-BA"/>
        </w:rPr>
        <w:t>женама</w:t>
      </w:r>
      <w:r w:rsidR="003A2F08" w:rsidRPr="00295637">
        <w:rPr>
          <w:rFonts w:ascii="Times New Roman" w:eastAsia="Calibri" w:hAnsi="Times New Roman"/>
          <w:szCs w:val="24"/>
          <w:lang w:val="bs-Latn-BA"/>
        </w:rPr>
        <w:t xml:space="preserve">“. </w:t>
      </w:r>
      <w:r>
        <w:rPr>
          <w:rFonts w:ascii="Times New Roman" w:hAnsi="Times New Roman"/>
          <w:szCs w:val="24"/>
          <w:lang w:val="bs-Latn-BA"/>
        </w:rPr>
        <w:t>С</w:t>
      </w:r>
      <w:r w:rsidR="003A2F08" w:rsidRPr="00295637">
        <w:rPr>
          <w:rFonts w:ascii="Times New Roman" w:hAnsi="Times New Roman"/>
          <w:szCs w:val="24"/>
          <w:lang w:val="bs-Latn-BA"/>
        </w:rPr>
        <w:t xml:space="preserve"> </w:t>
      </w:r>
      <w:r>
        <w:rPr>
          <w:rFonts w:ascii="Times New Roman" w:hAnsi="Times New Roman"/>
          <w:szCs w:val="24"/>
          <w:lang w:val="bs-Latn-BA"/>
        </w:rPr>
        <w:t>тим</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вези</w:t>
      </w:r>
      <w:r w:rsidR="003A2F08" w:rsidRPr="00295637">
        <w:rPr>
          <w:rFonts w:ascii="Times New Roman" w:hAnsi="Times New Roman"/>
          <w:szCs w:val="24"/>
          <w:lang w:val="bs-Latn-BA"/>
        </w:rPr>
        <w:t xml:space="preserve"> </w:t>
      </w:r>
      <w:r>
        <w:rPr>
          <w:rFonts w:ascii="Times New Roman" w:hAnsi="Times New Roman"/>
          <w:szCs w:val="24"/>
          <w:lang w:val="bs-Latn-BA"/>
        </w:rPr>
        <w:t>израђена</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3A2F08" w:rsidRPr="00295637">
        <w:rPr>
          <w:rFonts w:ascii="Times New Roman" w:hAnsi="Times New Roman"/>
          <w:szCs w:val="24"/>
          <w:lang w:val="bs-Latn-BA"/>
        </w:rPr>
        <w:t xml:space="preserve"> </w:t>
      </w:r>
      <w:r>
        <w:rPr>
          <w:rFonts w:ascii="Times New Roman" w:hAnsi="Times New Roman"/>
          <w:szCs w:val="24"/>
          <w:lang w:val="bs-Latn-BA"/>
        </w:rPr>
        <w:t>Информација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Владу</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9E54A2" w:rsidRPr="00295637">
        <w:rPr>
          <w:rFonts w:ascii="Times New Roman" w:hAnsi="Times New Roman"/>
          <w:szCs w:val="24"/>
          <w:lang w:val="bs-Latn-BA"/>
        </w:rPr>
        <w:t xml:space="preserve"> </w:t>
      </w:r>
      <w:r w:rsidR="005921EC">
        <w:rPr>
          <w:rFonts w:ascii="Times New Roman" w:hAnsi="Times New Roman"/>
          <w:szCs w:val="24"/>
          <w:lang w:val="bs-Latn-BA"/>
        </w:rPr>
        <w:t xml:space="preserve"> </w:t>
      </w:r>
      <w:r>
        <w:rPr>
          <w:rFonts w:ascii="Times New Roman" w:hAnsi="Times New Roman"/>
          <w:szCs w:val="24"/>
          <w:lang w:val="bs-Latn-BA"/>
        </w:rPr>
        <w:t>о</w:t>
      </w:r>
      <w:r w:rsidR="005921EC">
        <w:rPr>
          <w:rFonts w:ascii="Times New Roman" w:hAnsi="Times New Roman"/>
          <w:szCs w:val="24"/>
          <w:lang w:val="bs-Latn-BA"/>
        </w:rPr>
        <w:t xml:space="preserve"> </w:t>
      </w:r>
      <w:r>
        <w:rPr>
          <w:rFonts w:ascii="Times New Roman" w:hAnsi="Times New Roman"/>
          <w:szCs w:val="24"/>
          <w:lang w:val="bs-Latn-BA"/>
        </w:rPr>
        <w:t>обавези</w:t>
      </w:r>
      <w:r w:rsidR="003A2F08" w:rsidRPr="00295637">
        <w:rPr>
          <w:rFonts w:ascii="Times New Roman" w:hAnsi="Times New Roman"/>
          <w:szCs w:val="24"/>
          <w:lang w:val="bs-Latn-BA"/>
        </w:rPr>
        <w:t xml:space="preserve"> </w:t>
      </w:r>
      <w:r>
        <w:rPr>
          <w:rFonts w:ascii="Times New Roman" w:hAnsi="Times New Roman"/>
          <w:szCs w:val="24"/>
          <w:lang w:val="bs-Latn-BA"/>
        </w:rPr>
        <w:t>усклађивања</w:t>
      </w:r>
      <w:r w:rsidR="003A2F08" w:rsidRPr="00295637">
        <w:rPr>
          <w:rFonts w:ascii="Times New Roman" w:hAnsi="Times New Roman"/>
          <w:szCs w:val="24"/>
          <w:lang w:val="bs-Latn-BA"/>
        </w:rPr>
        <w:t xml:space="preserve"> </w:t>
      </w:r>
      <w:r>
        <w:rPr>
          <w:rFonts w:ascii="Times New Roman" w:hAnsi="Times New Roman"/>
          <w:szCs w:val="24"/>
          <w:lang w:val="bs-Latn-BA"/>
        </w:rPr>
        <w:t>прописа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других</w:t>
      </w:r>
      <w:r w:rsidR="003A2F08" w:rsidRPr="00295637">
        <w:rPr>
          <w:rFonts w:ascii="Times New Roman" w:hAnsi="Times New Roman"/>
          <w:szCs w:val="24"/>
          <w:lang w:val="bs-Latn-BA"/>
        </w:rPr>
        <w:t xml:space="preserve"> </w:t>
      </w:r>
      <w:r>
        <w:rPr>
          <w:rFonts w:ascii="Times New Roman" w:hAnsi="Times New Roman"/>
          <w:szCs w:val="24"/>
          <w:lang w:val="bs-Latn-BA"/>
        </w:rPr>
        <w:t>аката</w:t>
      </w:r>
      <w:r w:rsidR="003A2F08" w:rsidRPr="00295637">
        <w:rPr>
          <w:rFonts w:ascii="Times New Roman" w:hAnsi="Times New Roman"/>
          <w:szCs w:val="24"/>
          <w:lang w:val="bs-Latn-BA"/>
        </w:rPr>
        <w:t xml:space="preserve"> </w:t>
      </w:r>
      <w:r>
        <w:rPr>
          <w:rFonts w:ascii="Times New Roman" w:hAnsi="Times New Roman"/>
          <w:szCs w:val="24"/>
          <w:lang w:val="bs-Latn-BA"/>
        </w:rPr>
        <w:t>које</w:t>
      </w:r>
      <w:r w:rsidR="003A2F08" w:rsidRPr="00295637">
        <w:rPr>
          <w:rFonts w:ascii="Times New Roman" w:hAnsi="Times New Roman"/>
          <w:szCs w:val="24"/>
          <w:lang w:val="bs-Latn-BA"/>
        </w:rPr>
        <w:t xml:space="preserve"> </w:t>
      </w:r>
      <w:r>
        <w:rPr>
          <w:rFonts w:ascii="Times New Roman" w:hAnsi="Times New Roman"/>
          <w:szCs w:val="24"/>
          <w:lang w:val="bs-Latn-BA"/>
        </w:rPr>
        <w:t>предлаже</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доноси</w:t>
      </w:r>
      <w:r w:rsidR="003A2F08" w:rsidRPr="00295637">
        <w:rPr>
          <w:rFonts w:ascii="Times New Roman" w:hAnsi="Times New Roman"/>
          <w:szCs w:val="24"/>
          <w:lang w:val="bs-Latn-BA"/>
        </w:rPr>
        <w:t xml:space="preserve"> </w:t>
      </w:r>
      <w:r>
        <w:rPr>
          <w:rFonts w:ascii="Times New Roman" w:hAnsi="Times New Roman"/>
          <w:szCs w:val="24"/>
          <w:lang w:val="bs-Latn-BA"/>
        </w:rPr>
        <w:t>Влада</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5921EC">
        <w:rPr>
          <w:rFonts w:ascii="Times New Roman" w:hAnsi="Times New Roman"/>
          <w:szCs w:val="24"/>
          <w:lang w:val="bs-Latn-BA"/>
        </w:rPr>
        <w:t xml:space="preserve"> </w:t>
      </w:r>
      <w:r>
        <w:rPr>
          <w:rFonts w:ascii="Times New Roman" w:hAnsi="Times New Roman"/>
          <w:szCs w:val="24"/>
          <w:lang w:val="bs-Latn-BA"/>
        </w:rPr>
        <w:t>са</w:t>
      </w:r>
      <w:r w:rsidR="003A2F08" w:rsidRPr="00295637">
        <w:rPr>
          <w:rFonts w:ascii="Times New Roman" w:hAnsi="Times New Roman"/>
          <w:szCs w:val="24"/>
          <w:lang w:val="bs-Latn-BA"/>
        </w:rPr>
        <w:t xml:space="preserve"> </w:t>
      </w:r>
      <w:r>
        <w:rPr>
          <w:rFonts w:ascii="Times New Roman" w:hAnsi="Times New Roman"/>
          <w:szCs w:val="24"/>
          <w:lang w:val="bs-Latn-BA"/>
        </w:rPr>
        <w:t>ЗоР</w:t>
      </w:r>
      <w:r w:rsidR="005D1812">
        <w:rPr>
          <w:rFonts w:ascii="Times New Roman" w:hAnsi="Times New Roman"/>
          <w:szCs w:val="24"/>
          <w:lang w:val="sr-Cyrl-BA"/>
        </w:rPr>
        <w:t>П</w:t>
      </w:r>
      <w:r w:rsidR="005921EC">
        <w:rPr>
          <w:rFonts w:ascii="Times New Roman" w:hAnsi="Times New Roman"/>
          <w:szCs w:val="24"/>
          <w:lang w:val="bs-Latn-BA"/>
        </w:rPr>
        <w:t xml:space="preserve"> </w:t>
      </w:r>
      <w:r>
        <w:rPr>
          <w:rFonts w:ascii="Times New Roman" w:hAnsi="Times New Roman"/>
          <w:szCs w:val="24"/>
          <w:lang w:val="bs-Latn-BA"/>
        </w:rPr>
        <w:t>БиХ</w:t>
      </w:r>
      <w:r w:rsidR="005921EC">
        <w:rPr>
          <w:rFonts w:ascii="Times New Roman" w:hAnsi="Times New Roman"/>
          <w:szCs w:val="24"/>
          <w:lang w:val="bs-Latn-BA"/>
        </w:rPr>
        <w:t xml:space="preserve">, </w:t>
      </w:r>
      <w:r>
        <w:rPr>
          <w:rFonts w:ascii="Times New Roman" w:hAnsi="Times New Roman"/>
          <w:szCs w:val="24"/>
          <w:lang w:val="bs-Latn-BA"/>
        </w:rPr>
        <w:t>заједно</w:t>
      </w:r>
      <w:r w:rsidR="005921EC">
        <w:rPr>
          <w:rFonts w:ascii="Times New Roman" w:hAnsi="Times New Roman"/>
          <w:szCs w:val="24"/>
          <w:lang w:val="bs-Latn-BA"/>
        </w:rPr>
        <w:t xml:space="preserve"> </w:t>
      </w:r>
      <w:r>
        <w:rPr>
          <w:rFonts w:ascii="Times New Roman" w:hAnsi="Times New Roman"/>
          <w:szCs w:val="24"/>
          <w:lang w:val="bs-Latn-BA"/>
        </w:rPr>
        <w:t>са</w:t>
      </w:r>
      <w:r w:rsidR="003A2F08" w:rsidRPr="00295637">
        <w:rPr>
          <w:rFonts w:ascii="Times New Roman" w:hAnsi="Times New Roman"/>
          <w:szCs w:val="24"/>
          <w:lang w:val="bs-Latn-BA"/>
        </w:rPr>
        <w:t xml:space="preserve"> </w:t>
      </w:r>
      <w:r>
        <w:rPr>
          <w:rFonts w:ascii="Times New Roman" w:hAnsi="Times New Roman"/>
          <w:szCs w:val="24"/>
          <w:lang w:val="bs-Latn-BA"/>
        </w:rPr>
        <w:t>приједлогом</w:t>
      </w:r>
      <w:r w:rsidR="003A2F08" w:rsidRPr="00295637">
        <w:rPr>
          <w:rFonts w:ascii="Times New Roman" w:hAnsi="Times New Roman"/>
          <w:szCs w:val="24"/>
          <w:lang w:val="bs-Latn-BA"/>
        </w:rPr>
        <w:t xml:space="preserve"> </w:t>
      </w:r>
      <w:r>
        <w:rPr>
          <w:rFonts w:ascii="Times New Roman" w:hAnsi="Times New Roman"/>
          <w:szCs w:val="24"/>
          <w:lang w:val="bs-Latn-BA"/>
        </w:rPr>
        <w:t>закључка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Листом</w:t>
      </w:r>
      <w:r w:rsidR="003A2F08" w:rsidRPr="00295637">
        <w:rPr>
          <w:rFonts w:ascii="Times New Roman" w:hAnsi="Times New Roman"/>
          <w:szCs w:val="24"/>
          <w:lang w:val="bs-Latn-BA"/>
        </w:rPr>
        <w:t xml:space="preserve"> </w:t>
      </w:r>
      <w:r>
        <w:rPr>
          <w:rFonts w:ascii="Times New Roman" w:hAnsi="Times New Roman"/>
          <w:szCs w:val="24"/>
          <w:lang w:val="bs-Latn-BA"/>
        </w:rPr>
        <w:t>критериј</w:t>
      </w:r>
      <w:r w:rsidR="005D1812">
        <w:rPr>
          <w:rFonts w:ascii="Times New Roman" w:hAnsi="Times New Roman"/>
          <w:szCs w:val="24"/>
          <w:lang w:val="sr-Cyrl-BA"/>
        </w:rPr>
        <w:t>ума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оцјену</w:t>
      </w:r>
      <w:r w:rsidR="003A2F08" w:rsidRPr="00295637">
        <w:rPr>
          <w:rFonts w:ascii="Times New Roman" w:hAnsi="Times New Roman"/>
          <w:szCs w:val="24"/>
          <w:lang w:val="bs-Latn-BA"/>
        </w:rPr>
        <w:t xml:space="preserve"> </w:t>
      </w:r>
      <w:r>
        <w:rPr>
          <w:rFonts w:ascii="Times New Roman" w:hAnsi="Times New Roman"/>
          <w:szCs w:val="24"/>
          <w:lang w:val="bs-Latn-BA"/>
        </w:rPr>
        <w:t>усклађености</w:t>
      </w:r>
      <w:r w:rsidR="00222A8E">
        <w:rPr>
          <w:rFonts w:ascii="Times New Roman" w:hAnsi="Times New Roman"/>
          <w:szCs w:val="24"/>
          <w:lang w:val="bs-Latn-BA"/>
        </w:rPr>
        <w:t xml:space="preserve"> </w:t>
      </w:r>
      <w:r>
        <w:rPr>
          <w:rFonts w:ascii="Times New Roman" w:hAnsi="Times New Roman"/>
          <w:szCs w:val="24"/>
          <w:lang w:val="bs-Latn-BA"/>
        </w:rPr>
        <w:t>прописа</w:t>
      </w:r>
      <w:r w:rsidR="00222A8E">
        <w:rPr>
          <w:rFonts w:ascii="Times New Roman" w:hAnsi="Times New Roman"/>
          <w:szCs w:val="24"/>
          <w:lang w:val="bs-Latn-BA"/>
        </w:rPr>
        <w:t xml:space="preserve"> </w:t>
      </w:r>
      <w:r>
        <w:rPr>
          <w:rFonts w:ascii="Times New Roman" w:hAnsi="Times New Roman"/>
          <w:szCs w:val="24"/>
          <w:lang w:val="bs-Latn-BA"/>
        </w:rPr>
        <w:t>и</w:t>
      </w:r>
      <w:r w:rsidR="00222A8E">
        <w:rPr>
          <w:rFonts w:ascii="Times New Roman" w:hAnsi="Times New Roman"/>
          <w:szCs w:val="24"/>
          <w:lang w:val="bs-Latn-BA"/>
        </w:rPr>
        <w:t xml:space="preserve"> </w:t>
      </w:r>
      <w:r>
        <w:rPr>
          <w:rFonts w:ascii="Times New Roman" w:hAnsi="Times New Roman"/>
          <w:szCs w:val="24"/>
          <w:lang w:val="bs-Latn-BA"/>
        </w:rPr>
        <w:t>других</w:t>
      </w:r>
      <w:r w:rsidR="00222A8E">
        <w:rPr>
          <w:rFonts w:ascii="Times New Roman" w:hAnsi="Times New Roman"/>
          <w:szCs w:val="24"/>
          <w:lang w:val="bs-Latn-BA"/>
        </w:rPr>
        <w:t xml:space="preserve"> </w:t>
      </w:r>
      <w:r>
        <w:rPr>
          <w:rFonts w:ascii="Times New Roman" w:hAnsi="Times New Roman"/>
          <w:szCs w:val="24"/>
          <w:lang w:val="bs-Latn-BA"/>
        </w:rPr>
        <w:t>аката</w:t>
      </w:r>
      <w:r w:rsidR="00222A8E">
        <w:rPr>
          <w:rFonts w:ascii="Times New Roman" w:hAnsi="Times New Roman"/>
          <w:szCs w:val="24"/>
          <w:lang w:val="bs-Latn-BA"/>
        </w:rPr>
        <w:t xml:space="preserve"> </w:t>
      </w:r>
      <w:r>
        <w:rPr>
          <w:rFonts w:ascii="Times New Roman" w:hAnsi="Times New Roman"/>
          <w:szCs w:val="24"/>
          <w:lang w:val="bs-Latn-BA"/>
        </w:rPr>
        <w:t>са</w:t>
      </w:r>
      <w:r w:rsidR="003A2F08" w:rsidRPr="00295637">
        <w:rPr>
          <w:rFonts w:ascii="Times New Roman" w:hAnsi="Times New Roman"/>
          <w:szCs w:val="24"/>
          <w:lang w:val="bs-Latn-BA"/>
        </w:rPr>
        <w:t xml:space="preserve"> </w:t>
      </w:r>
      <w:r>
        <w:rPr>
          <w:rFonts w:ascii="Times New Roman" w:hAnsi="Times New Roman"/>
          <w:szCs w:val="24"/>
          <w:lang w:val="bs-Latn-BA"/>
        </w:rPr>
        <w:t>ЗоР</w:t>
      </w:r>
      <w:r w:rsidR="005D1812">
        <w:rPr>
          <w:rFonts w:ascii="Times New Roman" w:hAnsi="Times New Roman"/>
          <w:szCs w:val="24"/>
          <w:lang w:val="sr-Cyrl-BA"/>
        </w:rPr>
        <w:t>П</w:t>
      </w:r>
      <w:r w:rsidR="007924AF">
        <w:rPr>
          <w:rFonts w:ascii="Times New Roman" w:hAnsi="Times New Roman"/>
          <w:szCs w:val="24"/>
          <w:lang w:val="bs-Latn-BA"/>
        </w:rPr>
        <w:t xml:space="preserve"> </w:t>
      </w:r>
      <w:r>
        <w:rPr>
          <w:rFonts w:ascii="Times New Roman" w:hAnsi="Times New Roman"/>
          <w:szCs w:val="24"/>
          <w:lang w:val="bs-Latn-BA"/>
        </w:rPr>
        <w:t>БиХ</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Листом</w:t>
      </w:r>
      <w:r w:rsidR="003A2F08" w:rsidRPr="00295637">
        <w:rPr>
          <w:rFonts w:ascii="Times New Roman" w:hAnsi="Times New Roman"/>
          <w:szCs w:val="24"/>
          <w:lang w:val="bs-Latn-BA"/>
        </w:rPr>
        <w:t xml:space="preserve"> </w:t>
      </w:r>
      <w:r>
        <w:rPr>
          <w:rFonts w:ascii="Times New Roman" w:hAnsi="Times New Roman"/>
          <w:szCs w:val="24"/>
          <w:lang w:val="bs-Latn-BA"/>
        </w:rPr>
        <w:t>закона</w:t>
      </w:r>
      <w:r w:rsidR="003A2F08" w:rsidRPr="00295637">
        <w:rPr>
          <w:rFonts w:ascii="Times New Roman" w:hAnsi="Times New Roman"/>
          <w:szCs w:val="24"/>
          <w:lang w:val="bs-Latn-BA"/>
        </w:rPr>
        <w:t xml:space="preserve"> </w:t>
      </w:r>
      <w:r>
        <w:rPr>
          <w:rFonts w:ascii="Times New Roman" w:hAnsi="Times New Roman"/>
          <w:szCs w:val="24"/>
          <w:lang w:val="bs-Latn-BA"/>
        </w:rPr>
        <w:t>који</w:t>
      </w:r>
      <w:r w:rsidR="003A2F08" w:rsidRPr="00295637">
        <w:rPr>
          <w:rFonts w:ascii="Times New Roman" w:hAnsi="Times New Roman"/>
          <w:szCs w:val="24"/>
          <w:lang w:val="bs-Latn-BA"/>
        </w:rPr>
        <w:t xml:space="preserve"> </w:t>
      </w:r>
      <w:r>
        <w:rPr>
          <w:rFonts w:ascii="Times New Roman" w:hAnsi="Times New Roman"/>
          <w:szCs w:val="24"/>
          <w:lang w:val="bs-Latn-BA"/>
        </w:rPr>
        <w:t>нису</w:t>
      </w:r>
      <w:r w:rsidR="003A2F08" w:rsidRPr="00295637">
        <w:rPr>
          <w:rFonts w:ascii="Times New Roman" w:hAnsi="Times New Roman"/>
          <w:szCs w:val="24"/>
          <w:lang w:val="bs-Latn-BA"/>
        </w:rPr>
        <w:t xml:space="preserve"> </w:t>
      </w:r>
      <w:r>
        <w:rPr>
          <w:rFonts w:ascii="Times New Roman" w:hAnsi="Times New Roman"/>
          <w:szCs w:val="24"/>
          <w:lang w:val="bs-Latn-BA"/>
        </w:rPr>
        <w:t>или</w:t>
      </w:r>
      <w:r w:rsidR="003A2F08" w:rsidRPr="00295637">
        <w:rPr>
          <w:rFonts w:ascii="Times New Roman" w:hAnsi="Times New Roman"/>
          <w:szCs w:val="24"/>
          <w:lang w:val="bs-Latn-BA"/>
        </w:rPr>
        <w:t xml:space="preserve"> </w:t>
      </w:r>
      <w:r>
        <w:rPr>
          <w:rFonts w:ascii="Times New Roman" w:hAnsi="Times New Roman"/>
          <w:szCs w:val="24"/>
          <w:lang w:val="bs-Latn-BA"/>
        </w:rPr>
        <w:t>су</w:t>
      </w:r>
      <w:r w:rsidR="003A2F08" w:rsidRPr="00295637">
        <w:rPr>
          <w:rFonts w:ascii="Times New Roman" w:hAnsi="Times New Roman"/>
          <w:szCs w:val="24"/>
          <w:lang w:val="bs-Latn-BA"/>
        </w:rPr>
        <w:t xml:space="preserve"> </w:t>
      </w:r>
      <w:r>
        <w:rPr>
          <w:rFonts w:ascii="Times New Roman" w:hAnsi="Times New Roman"/>
          <w:szCs w:val="24"/>
          <w:lang w:val="bs-Latn-BA"/>
        </w:rPr>
        <w:t>дјелимично</w:t>
      </w:r>
      <w:r w:rsidR="00222A8E">
        <w:rPr>
          <w:rFonts w:ascii="Times New Roman" w:hAnsi="Times New Roman"/>
          <w:szCs w:val="24"/>
          <w:lang w:val="bs-Latn-BA"/>
        </w:rPr>
        <w:t xml:space="preserve"> </w:t>
      </w:r>
      <w:r>
        <w:rPr>
          <w:rFonts w:ascii="Times New Roman" w:hAnsi="Times New Roman"/>
          <w:szCs w:val="24"/>
          <w:lang w:val="bs-Latn-BA"/>
        </w:rPr>
        <w:t>усклађени</w:t>
      </w:r>
      <w:r w:rsidR="00222A8E">
        <w:rPr>
          <w:rFonts w:ascii="Times New Roman" w:hAnsi="Times New Roman"/>
          <w:szCs w:val="24"/>
          <w:lang w:val="bs-Latn-BA"/>
        </w:rPr>
        <w:t xml:space="preserve"> </w:t>
      </w:r>
      <w:r>
        <w:rPr>
          <w:rFonts w:ascii="Times New Roman" w:hAnsi="Times New Roman"/>
          <w:szCs w:val="24"/>
          <w:lang w:val="bs-Latn-BA"/>
        </w:rPr>
        <w:t>са</w:t>
      </w:r>
      <w:r w:rsidR="003A2F08" w:rsidRPr="00295637">
        <w:rPr>
          <w:rFonts w:ascii="Times New Roman" w:hAnsi="Times New Roman"/>
          <w:szCs w:val="24"/>
          <w:lang w:val="bs-Latn-BA"/>
        </w:rPr>
        <w:t xml:space="preserve"> </w:t>
      </w:r>
      <w:r>
        <w:rPr>
          <w:rFonts w:ascii="Times New Roman" w:hAnsi="Times New Roman"/>
          <w:szCs w:val="24"/>
          <w:lang w:val="bs-Latn-BA"/>
        </w:rPr>
        <w:t>ЗоР</w:t>
      </w:r>
      <w:r w:rsidR="005D1812">
        <w:rPr>
          <w:rFonts w:ascii="Times New Roman" w:hAnsi="Times New Roman"/>
          <w:szCs w:val="24"/>
          <w:lang w:val="sr-Cyrl-BA"/>
        </w:rPr>
        <w:t>П</w:t>
      </w:r>
      <w:r w:rsidR="00222A8E">
        <w:rPr>
          <w:rFonts w:ascii="Times New Roman" w:hAnsi="Times New Roman"/>
          <w:szCs w:val="24"/>
          <w:lang w:val="bs-Latn-BA"/>
        </w:rPr>
        <w:t xml:space="preserve"> </w:t>
      </w:r>
      <w:r>
        <w:rPr>
          <w:rFonts w:ascii="Times New Roman" w:hAnsi="Times New Roman"/>
          <w:szCs w:val="24"/>
          <w:lang w:val="bs-Latn-BA"/>
        </w:rPr>
        <w:t>БиХ</w:t>
      </w:r>
      <w:r w:rsidR="00222A8E">
        <w:rPr>
          <w:rFonts w:ascii="Times New Roman" w:hAnsi="Times New Roman"/>
          <w:szCs w:val="24"/>
          <w:lang w:val="bs-Latn-BA"/>
        </w:rPr>
        <w:t xml:space="preserve">. </w:t>
      </w:r>
      <w:r>
        <w:rPr>
          <w:rFonts w:ascii="Times New Roman" w:hAnsi="Times New Roman"/>
          <w:szCs w:val="24"/>
          <w:lang w:val="bs-Latn-BA"/>
        </w:rPr>
        <w:t>Израђен</w:t>
      </w:r>
      <w:r w:rsidR="00222A8E">
        <w:rPr>
          <w:rFonts w:ascii="Times New Roman" w:hAnsi="Times New Roman"/>
          <w:szCs w:val="24"/>
          <w:lang w:val="bs-Latn-BA"/>
        </w:rPr>
        <w:t xml:space="preserve"> </w:t>
      </w:r>
      <w:r>
        <w:rPr>
          <w:rFonts w:ascii="Times New Roman" w:hAnsi="Times New Roman"/>
          <w:szCs w:val="24"/>
          <w:lang w:val="bs-Latn-BA"/>
        </w:rPr>
        <w:t>је</w:t>
      </w:r>
      <w:r w:rsidR="00222A8E">
        <w:rPr>
          <w:rFonts w:ascii="Times New Roman" w:hAnsi="Times New Roman"/>
          <w:szCs w:val="24"/>
          <w:lang w:val="bs-Latn-BA"/>
        </w:rPr>
        <w:t xml:space="preserve"> </w:t>
      </w:r>
      <w:r>
        <w:rPr>
          <w:rFonts w:ascii="Times New Roman" w:hAnsi="Times New Roman"/>
          <w:szCs w:val="24"/>
          <w:lang w:val="bs-Latn-BA"/>
        </w:rPr>
        <w:t>и</w:t>
      </w:r>
      <w:r w:rsidR="00222A8E">
        <w:rPr>
          <w:rFonts w:ascii="Times New Roman" w:hAnsi="Times New Roman"/>
          <w:szCs w:val="24"/>
          <w:lang w:val="bs-Latn-BA"/>
        </w:rPr>
        <w:t xml:space="preserve"> </w:t>
      </w:r>
      <w:r>
        <w:rPr>
          <w:rFonts w:ascii="Times New Roman" w:hAnsi="Times New Roman"/>
          <w:szCs w:val="24"/>
          <w:lang w:val="bs-Latn-BA"/>
        </w:rPr>
        <w:t>усвојен</w:t>
      </w:r>
      <w:r w:rsidR="00222A8E">
        <w:rPr>
          <w:rFonts w:ascii="Times New Roman" w:hAnsi="Times New Roman"/>
          <w:szCs w:val="24"/>
          <w:lang w:val="bs-Latn-BA"/>
        </w:rPr>
        <w:t xml:space="preserve"> </w:t>
      </w:r>
      <w:r>
        <w:rPr>
          <w:rFonts w:ascii="Times New Roman" w:hAnsi="Times New Roman"/>
          <w:szCs w:val="24"/>
          <w:lang w:val="bs-Latn-BA"/>
        </w:rPr>
        <w:t>Протокол</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процјену</w:t>
      </w:r>
      <w:r w:rsidR="003A2F08" w:rsidRPr="00295637">
        <w:rPr>
          <w:rFonts w:ascii="Times New Roman" w:hAnsi="Times New Roman"/>
          <w:szCs w:val="24"/>
          <w:lang w:val="bs-Latn-BA"/>
        </w:rPr>
        <w:t xml:space="preserve"> </w:t>
      </w:r>
      <w:r>
        <w:rPr>
          <w:rFonts w:ascii="Times New Roman" w:hAnsi="Times New Roman"/>
          <w:szCs w:val="24"/>
          <w:lang w:val="bs-Latn-BA"/>
        </w:rPr>
        <w:t>ризика</w:t>
      </w:r>
      <w:r w:rsidR="003A2F08" w:rsidRPr="00295637">
        <w:rPr>
          <w:rFonts w:ascii="Times New Roman" w:hAnsi="Times New Roman"/>
          <w:szCs w:val="24"/>
          <w:lang w:val="bs-Latn-BA"/>
        </w:rPr>
        <w:t xml:space="preserve"> </w:t>
      </w:r>
      <w:r>
        <w:rPr>
          <w:rFonts w:ascii="Times New Roman" w:hAnsi="Times New Roman"/>
          <w:szCs w:val="24"/>
          <w:lang w:val="bs-Latn-BA"/>
        </w:rPr>
        <w:t>како</w:t>
      </w:r>
      <w:r w:rsidR="003A2F08" w:rsidRPr="00295637">
        <w:rPr>
          <w:rFonts w:ascii="Times New Roman" w:hAnsi="Times New Roman"/>
          <w:szCs w:val="24"/>
          <w:lang w:val="bs-Latn-BA"/>
        </w:rPr>
        <w:t xml:space="preserve"> </w:t>
      </w:r>
      <w:r>
        <w:rPr>
          <w:rFonts w:ascii="Times New Roman" w:hAnsi="Times New Roman"/>
          <w:szCs w:val="24"/>
          <w:lang w:val="bs-Latn-BA"/>
        </w:rPr>
        <w:t>би</w:t>
      </w:r>
      <w:r w:rsidR="003A2F08" w:rsidRPr="00295637">
        <w:rPr>
          <w:rFonts w:ascii="Times New Roman" w:hAnsi="Times New Roman"/>
          <w:szCs w:val="24"/>
          <w:lang w:val="bs-Latn-BA"/>
        </w:rPr>
        <w:t xml:space="preserve"> </w:t>
      </w:r>
      <w:r>
        <w:rPr>
          <w:rFonts w:ascii="Times New Roman" w:hAnsi="Times New Roman"/>
          <w:szCs w:val="24"/>
          <w:lang w:val="bs-Latn-BA"/>
        </w:rPr>
        <w:t>се</w:t>
      </w:r>
      <w:r w:rsidR="003A2F08" w:rsidRPr="00295637">
        <w:rPr>
          <w:rFonts w:ascii="Times New Roman" w:hAnsi="Times New Roman"/>
          <w:szCs w:val="24"/>
          <w:lang w:val="bs-Latn-BA"/>
        </w:rPr>
        <w:t xml:space="preserve"> </w:t>
      </w:r>
      <w:r>
        <w:rPr>
          <w:rFonts w:ascii="Times New Roman" w:hAnsi="Times New Roman"/>
          <w:szCs w:val="24"/>
          <w:lang w:val="bs-Latn-BA"/>
        </w:rPr>
        <w:t>побољшала</w:t>
      </w:r>
      <w:r w:rsidR="003A2F08" w:rsidRPr="00295637">
        <w:rPr>
          <w:rFonts w:ascii="Times New Roman" w:hAnsi="Times New Roman"/>
          <w:szCs w:val="24"/>
          <w:lang w:val="bs-Latn-BA"/>
        </w:rPr>
        <w:t xml:space="preserve"> </w:t>
      </w:r>
      <w:r w:rsidR="005D1812">
        <w:rPr>
          <w:rFonts w:ascii="Times New Roman" w:hAnsi="Times New Roman"/>
          <w:szCs w:val="24"/>
          <w:lang w:val="sr-Cyrl-BA"/>
        </w:rPr>
        <w:t>безбједност</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ефикасност</w:t>
      </w:r>
      <w:r w:rsidR="003A2F08" w:rsidRPr="00295637">
        <w:rPr>
          <w:rFonts w:ascii="Times New Roman" w:hAnsi="Times New Roman"/>
          <w:szCs w:val="24"/>
          <w:lang w:val="bs-Latn-BA"/>
        </w:rPr>
        <w:t xml:space="preserve"> </w:t>
      </w:r>
      <w:r>
        <w:rPr>
          <w:rFonts w:ascii="Times New Roman" w:hAnsi="Times New Roman"/>
          <w:szCs w:val="24"/>
          <w:lang w:val="bs-Latn-BA"/>
        </w:rPr>
        <w:t>операција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sidR="005D1812">
        <w:rPr>
          <w:rFonts w:ascii="Times New Roman" w:hAnsi="Times New Roman"/>
          <w:szCs w:val="24"/>
          <w:lang w:val="sr-Cyrl-BA"/>
        </w:rPr>
        <w:t>спровођење</w:t>
      </w:r>
      <w:r w:rsidR="003A2F08" w:rsidRPr="00295637">
        <w:rPr>
          <w:rFonts w:ascii="Times New Roman" w:hAnsi="Times New Roman"/>
          <w:szCs w:val="24"/>
          <w:lang w:val="bs-Latn-BA"/>
        </w:rPr>
        <w:t xml:space="preserve"> </w:t>
      </w:r>
      <w:r>
        <w:rPr>
          <w:rFonts w:ascii="Times New Roman" w:hAnsi="Times New Roman"/>
          <w:szCs w:val="24"/>
          <w:lang w:val="bs-Latn-BA"/>
        </w:rPr>
        <w:t>закона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одражавајући</w:t>
      </w:r>
      <w:r w:rsidR="003A2F08" w:rsidRPr="00295637">
        <w:rPr>
          <w:rFonts w:ascii="Times New Roman" w:hAnsi="Times New Roman"/>
          <w:szCs w:val="24"/>
          <w:lang w:val="bs-Latn-BA"/>
        </w:rPr>
        <w:t xml:space="preserve"> </w:t>
      </w:r>
      <w:r>
        <w:rPr>
          <w:rFonts w:ascii="Times New Roman" w:hAnsi="Times New Roman"/>
          <w:szCs w:val="24"/>
          <w:lang w:val="bs-Latn-BA"/>
        </w:rPr>
        <w:t>проактиван</w:t>
      </w:r>
      <w:r w:rsidR="003A2F08" w:rsidRPr="00295637">
        <w:rPr>
          <w:rFonts w:ascii="Times New Roman" w:hAnsi="Times New Roman"/>
          <w:szCs w:val="24"/>
          <w:lang w:val="bs-Latn-BA"/>
        </w:rPr>
        <w:t xml:space="preserve"> </w:t>
      </w:r>
      <w:r>
        <w:rPr>
          <w:rFonts w:ascii="Times New Roman" w:hAnsi="Times New Roman"/>
          <w:szCs w:val="24"/>
          <w:lang w:val="bs-Latn-BA"/>
        </w:rPr>
        <w:t>приступ</w:t>
      </w:r>
      <w:r w:rsidR="003A2F08" w:rsidRPr="00295637">
        <w:rPr>
          <w:rFonts w:ascii="Times New Roman" w:hAnsi="Times New Roman"/>
          <w:szCs w:val="24"/>
          <w:lang w:val="bs-Latn-BA"/>
        </w:rPr>
        <w:t xml:space="preserve"> </w:t>
      </w:r>
      <w:r w:rsidR="005D1812">
        <w:rPr>
          <w:rFonts w:ascii="Times New Roman" w:hAnsi="Times New Roman"/>
          <w:szCs w:val="24"/>
          <w:lang w:val="sr-Cyrl-BA"/>
        </w:rPr>
        <w:t>обезбјеђивању</w:t>
      </w:r>
      <w:r w:rsidR="003A2F08" w:rsidRPr="00295637">
        <w:rPr>
          <w:rFonts w:ascii="Times New Roman" w:hAnsi="Times New Roman"/>
          <w:szCs w:val="24"/>
          <w:lang w:val="bs-Latn-BA"/>
        </w:rPr>
        <w:t xml:space="preserve"> </w:t>
      </w:r>
      <w:r>
        <w:rPr>
          <w:rFonts w:ascii="Times New Roman" w:hAnsi="Times New Roman"/>
          <w:szCs w:val="24"/>
          <w:lang w:val="bs-Latn-BA"/>
        </w:rPr>
        <w:t>добробити</w:t>
      </w:r>
      <w:r w:rsidR="003A2F08" w:rsidRPr="00295637">
        <w:rPr>
          <w:rFonts w:ascii="Times New Roman" w:hAnsi="Times New Roman"/>
          <w:szCs w:val="24"/>
          <w:lang w:val="bs-Latn-BA"/>
        </w:rPr>
        <w:t xml:space="preserve"> </w:t>
      </w:r>
      <w:r>
        <w:rPr>
          <w:rFonts w:ascii="Times New Roman" w:hAnsi="Times New Roman"/>
          <w:szCs w:val="24"/>
          <w:lang w:val="bs-Latn-BA"/>
        </w:rPr>
        <w:t>полицијских</w:t>
      </w:r>
      <w:r w:rsidR="003A2F08" w:rsidRPr="00295637">
        <w:rPr>
          <w:rFonts w:ascii="Times New Roman" w:hAnsi="Times New Roman"/>
          <w:szCs w:val="24"/>
          <w:lang w:val="bs-Latn-BA"/>
        </w:rPr>
        <w:t xml:space="preserve"> </w:t>
      </w:r>
      <w:r>
        <w:rPr>
          <w:rFonts w:ascii="Times New Roman" w:hAnsi="Times New Roman"/>
          <w:szCs w:val="24"/>
          <w:lang w:val="bs-Latn-BA"/>
        </w:rPr>
        <w:t>службеника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заједница</w:t>
      </w:r>
      <w:r w:rsidR="00222A8E">
        <w:rPr>
          <w:rFonts w:ascii="Times New Roman" w:hAnsi="Times New Roman"/>
          <w:szCs w:val="24"/>
          <w:lang w:val="bs-Latn-BA"/>
        </w:rPr>
        <w:t xml:space="preserve"> </w:t>
      </w:r>
      <w:r>
        <w:rPr>
          <w:rFonts w:ascii="Times New Roman" w:hAnsi="Times New Roman"/>
          <w:szCs w:val="24"/>
          <w:lang w:val="bs-Latn-BA"/>
        </w:rPr>
        <w:t>којима</w:t>
      </w:r>
      <w:r w:rsidR="00222A8E">
        <w:rPr>
          <w:rFonts w:ascii="Times New Roman" w:hAnsi="Times New Roman"/>
          <w:szCs w:val="24"/>
          <w:lang w:val="bs-Latn-BA"/>
        </w:rPr>
        <w:t xml:space="preserve"> </w:t>
      </w:r>
      <w:r>
        <w:rPr>
          <w:rFonts w:ascii="Times New Roman" w:hAnsi="Times New Roman"/>
          <w:szCs w:val="24"/>
          <w:lang w:val="bs-Latn-BA"/>
        </w:rPr>
        <w:t>служе</w:t>
      </w:r>
      <w:r w:rsidR="00222A8E">
        <w:rPr>
          <w:rFonts w:ascii="Times New Roman" w:hAnsi="Times New Roman"/>
          <w:szCs w:val="24"/>
          <w:lang w:val="bs-Latn-BA"/>
        </w:rPr>
        <w:t xml:space="preserve">. </w:t>
      </w:r>
      <w:r>
        <w:rPr>
          <w:rFonts w:ascii="Times New Roman" w:hAnsi="Times New Roman"/>
          <w:szCs w:val="24"/>
          <w:lang w:val="bs-Latn-BA"/>
        </w:rPr>
        <w:t>Одржано</w:t>
      </w:r>
      <w:r w:rsidR="00222A8E">
        <w:rPr>
          <w:rFonts w:ascii="Times New Roman" w:hAnsi="Times New Roman"/>
          <w:szCs w:val="24"/>
          <w:lang w:val="bs-Latn-BA"/>
        </w:rPr>
        <w:t xml:space="preserve"> </w:t>
      </w:r>
      <w:r>
        <w:rPr>
          <w:rFonts w:ascii="Times New Roman" w:hAnsi="Times New Roman"/>
          <w:szCs w:val="24"/>
          <w:lang w:val="bs-Latn-BA"/>
        </w:rPr>
        <w:t>је</w:t>
      </w:r>
      <w:r w:rsidR="00AF1A5C" w:rsidRPr="00295637">
        <w:rPr>
          <w:rFonts w:ascii="Times New Roman" w:hAnsi="Times New Roman"/>
          <w:szCs w:val="24"/>
          <w:lang w:val="bs-Latn-BA"/>
        </w:rPr>
        <w:t xml:space="preserve"> </w:t>
      </w:r>
      <w:r>
        <w:rPr>
          <w:rFonts w:ascii="Times New Roman" w:hAnsi="Times New Roman"/>
          <w:szCs w:val="24"/>
          <w:lang w:val="bs-Latn-BA"/>
        </w:rPr>
        <w:t>шест</w:t>
      </w:r>
      <w:r w:rsidR="003A2F08" w:rsidRPr="00295637">
        <w:rPr>
          <w:rFonts w:ascii="Times New Roman" w:hAnsi="Times New Roman"/>
          <w:szCs w:val="24"/>
          <w:lang w:val="bs-Latn-BA"/>
        </w:rPr>
        <w:t xml:space="preserve"> </w:t>
      </w:r>
      <w:r>
        <w:rPr>
          <w:rFonts w:ascii="Times New Roman" w:hAnsi="Times New Roman"/>
          <w:szCs w:val="24"/>
          <w:lang w:val="bs-Latn-BA"/>
        </w:rPr>
        <w:t>радионица</w:t>
      </w:r>
      <w:r w:rsidR="003A2F08" w:rsidRPr="00295637">
        <w:rPr>
          <w:rFonts w:ascii="Times New Roman" w:hAnsi="Times New Roman"/>
          <w:szCs w:val="24"/>
          <w:lang w:val="bs-Latn-BA"/>
        </w:rPr>
        <w:t xml:space="preserve"> </w:t>
      </w:r>
      <w:r>
        <w:rPr>
          <w:rFonts w:ascii="Times New Roman" w:hAnsi="Times New Roman"/>
          <w:szCs w:val="24"/>
          <w:lang w:val="bs-Latn-BA"/>
        </w:rPr>
        <w:t>на</w:t>
      </w:r>
      <w:r w:rsidR="003A2F08" w:rsidRPr="00295637">
        <w:rPr>
          <w:rFonts w:ascii="Times New Roman" w:hAnsi="Times New Roman"/>
          <w:szCs w:val="24"/>
          <w:lang w:val="bs-Latn-BA"/>
        </w:rPr>
        <w:t xml:space="preserve"> </w:t>
      </w:r>
      <w:r>
        <w:rPr>
          <w:rFonts w:ascii="Times New Roman" w:hAnsi="Times New Roman"/>
          <w:szCs w:val="24"/>
          <w:lang w:val="bs-Latn-BA"/>
        </w:rPr>
        <w:t>тему</w:t>
      </w:r>
      <w:r w:rsidR="003A2F08"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породици</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укупно</w:t>
      </w:r>
      <w:r w:rsidR="003A2F08" w:rsidRPr="00295637">
        <w:rPr>
          <w:rFonts w:ascii="Times New Roman" w:hAnsi="Times New Roman"/>
          <w:szCs w:val="24"/>
          <w:lang w:val="bs-Latn-BA"/>
        </w:rPr>
        <w:t xml:space="preserve"> 216 </w:t>
      </w:r>
      <w:r>
        <w:rPr>
          <w:rFonts w:ascii="Times New Roman" w:hAnsi="Times New Roman"/>
          <w:szCs w:val="24"/>
          <w:lang w:val="bs-Latn-BA"/>
        </w:rPr>
        <w:t>судија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тужилаца</w:t>
      </w:r>
      <w:r w:rsidR="00AF1A5C" w:rsidRPr="00295637">
        <w:rPr>
          <w:rFonts w:ascii="Times New Roman" w:hAnsi="Times New Roman"/>
          <w:szCs w:val="24"/>
          <w:lang w:val="bs-Latn-BA"/>
        </w:rPr>
        <w:t xml:space="preserve">, </w:t>
      </w:r>
      <w:r>
        <w:rPr>
          <w:rFonts w:ascii="Times New Roman" w:hAnsi="Times New Roman"/>
          <w:szCs w:val="24"/>
          <w:lang w:val="bs-Latn-BA"/>
        </w:rPr>
        <w:t>у</w:t>
      </w:r>
      <w:r w:rsidR="00AF1A5C" w:rsidRPr="00295637">
        <w:rPr>
          <w:rFonts w:ascii="Times New Roman" w:hAnsi="Times New Roman"/>
          <w:szCs w:val="24"/>
          <w:lang w:val="bs-Latn-BA"/>
        </w:rPr>
        <w:t xml:space="preserve"> </w:t>
      </w:r>
      <w:r>
        <w:rPr>
          <w:rFonts w:ascii="Times New Roman" w:hAnsi="Times New Roman"/>
          <w:szCs w:val="24"/>
          <w:lang w:val="bs-Latn-BA"/>
        </w:rPr>
        <w:t>сарадњи</w:t>
      </w:r>
      <w:r w:rsidR="00222A8E">
        <w:rPr>
          <w:rFonts w:ascii="Times New Roman" w:hAnsi="Times New Roman"/>
          <w:szCs w:val="24"/>
          <w:lang w:val="bs-Latn-BA"/>
        </w:rPr>
        <w:t xml:space="preserve"> </w:t>
      </w:r>
      <w:r>
        <w:rPr>
          <w:rFonts w:ascii="Times New Roman" w:hAnsi="Times New Roman"/>
          <w:szCs w:val="24"/>
          <w:lang w:val="bs-Latn-BA"/>
        </w:rPr>
        <w:t>са</w:t>
      </w:r>
      <w:r w:rsidR="00222A8E">
        <w:rPr>
          <w:rFonts w:ascii="Times New Roman" w:hAnsi="Times New Roman"/>
          <w:szCs w:val="24"/>
          <w:lang w:val="bs-Latn-BA"/>
        </w:rPr>
        <w:t xml:space="preserve"> </w:t>
      </w:r>
      <w:r>
        <w:rPr>
          <w:rFonts w:ascii="Times New Roman" w:hAnsi="Times New Roman"/>
          <w:szCs w:val="24"/>
          <w:lang w:val="bs-Latn-BA"/>
        </w:rPr>
        <w:t>ЦЕСТ</w:t>
      </w:r>
      <w:r w:rsidR="00222A8E">
        <w:rPr>
          <w:rFonts w:ascii="Times New Roman" w:hAnsi="Times New Roman"/>
          <w:szCs w:val="24"/>
          <w:lang w:val="bs-Latn-BA"/>
        </w:rPr>
        <w:t xml:space="preserve"> </w:t>
      </w:r>
      <w:r>
        <w:rPr>
          <w:rFonts w:ascii="Times New Roman" w:hAnsi="Times New Roman"/>
          <w:szCs w:val="24"/>
          <w:lang w:val="bs-Latn-BA"/>
        </w:rPr>
        <w:t>ФБиХ</w:t>
      </w:r>
      <w:r w:rsidR="00AF1A5C" w:rsidRPr="00295637">
        <w:rPr>
          <w:rFonts w:ascii="Times New Roman" w:hAnsi="Times New Roman"/>
          <w:szCs w:val="24"/>
          <w:lang w:val="bs-Latn-BA"/>
        </w:rPr>
        <w:t>.</w:t>
      </w:r>
    </w:p>
    <w:p w:rsidR="00FB6F1A" w:rsidRPr="00295637" w:rsidRDefault="00FB6F1A" w:rsidP="0086268D">
      <w:pPr>
        <w:rPr>
          <w:lang w:val="bs-Latn-BA"/>
        </w:rPr>
      </w:pPr>
    </w:p>
    <w:p w:rsidR="00356C2C" w:rsidRPr="00295637" w:rsidRDefault="005D1812" w:rsidP="007924AF">
      <w:pPr>
        <w:tabs>
          <w:tab w:val="left" w:pos="284"/>
          <w:tab w:val="left" w:pos="630"/>
          <w:tab w:val="left" w:pos="1080"/>
        </w:tabs>
        <w:ind w:left="567"/>
        <w:jc w:val="both"/>
        <w:rPr>
          <w:rFonts w:ascii="Times New Roman" w:hAnsi="Times New Roman"/>
          <w:szCs w:val="24"/>
          <w:lang w:val="bs-Latn-BA"/>
        </w:rPr>
      </w:pPr>
      <w:r w:rsidRPr="005D1812">
        <w:rPr>
          <w:rFonts w:ascii="Times New Roman" w:hAnsi="Times New Roman"/>
          <w:szCs w:val="24"/>
          <w:lang w:val="bs-Latn-BA"/>
        </w:rPr>
        <w:t>II</w:t>
      </w:r>
      <w:r w:rsidR="007924AF">
        <w:rPr>
          <w:rFonts w:ascii="Times New Roman" w:hAnsi="Times New Roman"/>
          <w:szCs w:val="24"/>
          <w:lang w:val="bs-Latn-BA"/>
        </w:rPr>
        <w:t xml:space="preserve"> 2.6. </w:t>
      </w:r>
      <w:r>
        <w:rPr>
          <w:rFonts w:ascii="Times New Roman" w:hAnsi="Times New Roman"/>
          <w:szCs w:val="24"/>
          <w:lang w:val="sr-Cyrl-BA"/>
        </w:rPr>
        <w:t>Спровођење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или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пружање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подршке</w:t>
      </w:r>
      <w:r w:rsidR="00356C2C" w:rsidRPr="00295637">
        <w:rPr>
          <w:rFonts w:ascii="Times New Roman" w:hAnsi="Times New Roman"/>
          <w:szCs w:val="24"/>
          <w:lang w:val="bs-Latn-BA"/>
        </w:rPr>
        <w:t xml:space="preserve"> </w:t>
      </w:r>
      <w:r w:rsidR="00C6214E">
        <w:rPr>
          <w:rFonts w:ascii="Times New Roman" w:hAnsi="Times New Roman"/>
          <w:szCs w:val="24"/>
          <w:lang w:val="bs-Latn-BA"/>
        </w:rPr>
        <w:t>изради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квантитативних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квалитативних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анализа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истраживања</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статусу</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Босни</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Херцеговини</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различитим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јавног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приватног</w:t>
      </w:r>
      <w:r w:rsidR="00356C2C" w:rsidRPr="00295637">
        <w:rPr>
          <w:rFonts w:ascii="Times New Roman" w:hAnsi="Times New Roman"/>
          <w:szCs w:val="24"/>
          <w:lang w:val="bs-Latn-BA"/>
        </w:rPr>
        <w:t xml:space="preserve"> </w:t>
      </w:r>
      <w:r w:rsidR="00C6214E">
        <w:rPr>
          <w:rFonts w:ascii="Times New Roman" w:hAnsi="Times New Roman"/>
          <w:szCs w:val="24"/>
          <w:lang w:val="bs-Latn-BA"/>
        </w:rPr>
        <w:t>живота</w:t>
      </w:r>
      <w:r w:rsidR="00356C2C" w:rsidRPr="00295637">
        <w:rPr>
          <w:rFonts w:ascii="Times New Roman" w:hAnsi="Times New Roman"/>
          <w:szCs w:val="24"/>
          <w:lang w:val="bs-Latn-BA"/>
        </w:rPr>
        <w:t xml:space="preserve"> </w:t>
      </w:r>
      <w:r w:rsidR="00C6214E">
        <w:rPr>
          <w:rFonts w:ascii="Times New Roman" w:hAnsi="Times New Roman"/>
          <w:szCs w:val="24"/>
          <w:lang w:val="bs-Latn-BA"/>
        </w:rPr>
        <w:t>као</w:t>
      </w:r>
      <w:r w:rsidR="00356C2C" w:rsidRPr="00295637">
        <w:rPr>
          <w:rFonts w:ascii="Times New Roman" w:hAnsi="Times New Roman"/>
          <w:szCs w:val="24"/>
          <w:lang w:val="bs-Latn-BA"/>
        </w:rPr>
        <w:t xml:space="preserve"> </w:t>
      </w:r>
      <w:r w:rsidR="00C6214E">
        <w:rPr>
          <w:rFonts w:ascii="Times New Roman" w:hAnsi="Times New Roman"/>
          <w:szCs w:val="24"/>
          <w:lang w:val="bs-Latn-BA"/>
        </w:rPr>
        <w:t>основ</w:t>
      </w:r>
      <w:r w:rsidR="00356C2C" w:rsidRPr="00295637">
        <w:rPr>
          <w:rFonts w:ascii="Times New Roman" w:hAnsi="Times New Roman"/>
          <w:szCs w:val="24"/>
          <w:lang w:val="bs-Latn-BA"/>
        </w:rPr>
        <w:t xml:space="preserve"> </w:t>
      </w:r>
      <w:r w:rsidR="00C6214E">
        <w:rPr>
          <w:rFonts w:ascii="Times New Roman" w:hAnsi="Times New Roman"/>
          <w:szCs w:val="24"/>
          <w:lang w:val="bs-Latn-BA"/>
        </w:rPr>
        <w:t>за</w:t>
      </w:r>
      <w:r w:rsidR="00356C2C" w:rsidRPr="00295637">
        <w:rPr>
          <w:rFonts w:ascii="Times New Roman" w:hAnsi="Times New Roman"/>
          <w:szCs w:val="24"/>
          <w:lang w:val="bs-Latn-BA"/>
        </w:rPr>
        <w:t xml:space="preserve"> </w:t>
      </w:r>
      <w:r w:rsidR="00C6214E">
        <w:rPr>
          <w:rFonts w:ascii="Times New Roman" w:hAnsi="Times New Roman"/>
          <w:szCs w:val="24"/>
          <w:lang w:val="bs-Latn-BA"/>
        </w:rPr>
        <w:t>ефикасно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планирање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засновано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стварним</w:t>
      </w:r>
      <w:r w:rsidR="00356C2C" w:rsidRPr="00295637">
        <w:rPr>
          <w:rFonts w:ascii="Times New Roman" w:hAnsi="Times New Roman"/>
          <w:szCs w:val="24"/>
          <w:lang w:val="bs-Latn-BA"/>
        </w:rPr>
        <w:t xml:space="preserve"> </w:t>
      </w:r>
      <w:r w:rsidR="00C6214E">
        <w:rPr>
          <w:rFonts w:ascii="Times New Roman" w:hAnsi="Times New Roman"/>
          <w:szCs w:val="24"/>
          <w:lang w:val="bs-Latn-BA"/>
        </w:rPr>
        <w:t>потребама</w:t>
      </w:r>
      <w:r w:rsidR="00356C2C" w:rsidRPr="00295637">
        <w:rPr>
          <w:rFonts w:ascii="Times New Roman" w:hAnsi="Times New Roman"/>
          <w:szCs w:val="24"/>
          <w:lang w:val="bs-Latn-BA"/>
        </w:rPr>
        <w:t xml:space="preserve">, </w:t>
      </w:r>
      <w:r w:rsidR="00C6214E">
        <w:rPr>
          <w:rFonts w:ascii="Times New Roman" w:hAnsi="Times New Roman"/>
          <w:szCs w:val="24"/>
          <w:lang w:val="bs-Latn-BA"/>
        </w:rPr>
        <w:t>те</w:t>
      </w:r>
      <w:r w:rsidR="00356C2C" w:rsidRPr="00295637">
        <w:rPr>
          <w:rFonts w:ascii="Times New Roman" w:hAnsi="Times New Roman"/>
          <w:szCs w:val="24"/>
          <w:lang w:val="bs-Latn-BA"/>
        </w:rPr>
        <w:t xml:space="preserve"> </w:t>
      </w:r>
      <w:r w:rsidR="00C6214E">
        <w:rPr>
          <w:rFonts w:ascii="Times New Roman" w:hAnsi="Times New Roman"/>
          <w:szCs w:val="24"/>
          <w:lang w:val="bs-Latn-BA"/>
        </w:rPr>
        <w:t>оцјена</w:t>
      </w:r>
      <w:r w:rsidR="00356C2C" w:rsidRPr="00295637">
        <w:rPr>
          <w:rFonts w:ascii="Times New Roman" w:hAnsi="Times New Roman"/>
          <w:szCs w:val="24"/>
          <w:lang w:val="bs-Latn-BA"/>
        </w:rPr>
        <w:t xml:space="preserve"> </w:t>
      </w:r>
      <w:r w:rsidR="00C6214E">
        <w:rPr>
          <w:rFonts w:ascii="Times New Roman" w:hAnsi="Times New Roman"/>
          <w:szCs w:val="24"/>
          <w:lang w:val="bs-Latn-BA"/>
        </w:rPr>
        <w:t>увођења</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стандарда</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356C2C" w:rsidRPr="00295637">
        <w:rPr>
          <w:rFonts w:ascii="Times New Roman" w:hAnsi="Times New Roman"/>
          <w:szCs w:val="24"/>
          <w:lang w:val="bs-Latn-BA"/>
        </w:rPr>
        <w:t xml:space="preserve"> </w:t>
      </w:r>
      <w:r w:rsidR="00C6214E">
        <w:rPr>
          <w:rFonts w:ascii="Times New Roman" w:hAnsi="Times New Roman"/>
          <w:szCs w:val="24"/>
          <w:lang w:val="bs-Latn-BA"/>
        </w:rPr>
        <w:t>законе</w:t>
      </w:r>
      <w:r w:rsidR="00356C2C" w:rsidRPr="00295637">
        <w:rPr>
          <w:rFonts w:ascii="Times New Roman" w:hAnsi="Times New Roman"/>
          <w:szCs w:val="24"/>
          <w:lang w:val="bs-Latn-BA"/>
        </w:rPr>
        <w:t xml:space="preserve">, </w:t>
      </w:r>
      <w:r w:rsidR="00C6214E">
        <w:rPr>
          <w:rFonts w:ascii="Times New Roman" w:hAnsi="Times New Roman"/>
          <w:szCs w:val="24"/>
          <w:lang w:val="bs-Latn-BA"/>
        </w:rPr>
        <w:t>стратегије</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политике</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програме</w:t>
      </w:r>
      <w:r w:rsidR="00356C2C" w:rsidRPr="00295637">
        <w:rPr>
          <w:rFonts w:ascii="Times New Roman" w:hAnsi="Times New Roman"/>
          <w:szCs w:val="24"/>
          <w:lang w:val="bs-Latn-BA"/>
        </w:rPr>
        <w:t>.</w:t>
      </w:r>
    </w:p>
    <w:p w:rsidR="00AF1A5C" w:rsidRPr="00295637" w:rsidRDefault="00AF1A5C" w:rsidP="0086268D">
      <w:pPr>
        <w:tabs>
          <w:tab w:val="left" w:pos="284"/>
          <w:tab w:val="left" w:pos="630"/>
          <w:tab w:val="left" w:pos="1080"/>
        </w:tabs>
        <w:jc w:val="both"/>
        <w:rPr>
          <w:rFonts w:ascii="Times New Roman" w:hAnsi="Times New Roman"/>
          <w:szCs w:val="24"/>
          <w:lang w:val="bs-Latn-BA"/>
        </w:rPr>
      </w:pPr>
    </w:p>
    <w:p w:rsidR="007369EF"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АР</w:t>
      </w:r>
      <w:r w:rsidR="005D1812">
        <w:rPr>
          <w:rFonts w:ascii="Times New Roman" w:hAnsi="Times New Roman"/>
          <w:szCs w:val="24"/>
          <w:lang w:val="sr-Cyrl-BA"/>
        </w:rPr>
        <w:t>П</w:t>
      </w:r>
      <w:r w:rsidR="00222A8E">
        <w:rPr>
          <w:rFonts w:ascii="Times New Roman" w:hAnsi="Times New Roman"/>
          <w:szCs w:val="24"/>
          <w:lang w:val="bs-Latn-BA"/>
        </w:rPr>
        <w:t xml:space="preserve"> </w:t>
      </w:r>
      <w:r>
        <w:rPr>
          <w:rFonts w:ascii="Times New Roman" w:hAnsi="Times New Roman"/>
          <w:szCs w:val="24"/>
          <w:lang w:val="bs-Latn-BA"/>
        </w:rPr>
        <w:t>БиХ</w:t>
      </w:r>
      <w:r w:rsidR="00222A8E">
        <w:rPr>
          <w:rFonts w:ascii="Times New Roman" w:hAnsi="Times New Roman"/>
          <w:szCs w:val="24"/>
          <w:lang w:val="bs-Latn-BA"/>
        </w:rPr>
        <w:t xml:space="preserve"> </w:t>
      </w:r>
      <w:r>
        <w:rPr>
          <w:rFonts w:ascii="Times New Roman" w:hAnsi="Times New Roman"/>
          <w:szCs w:val="24"/>
          <w:lang w:val="bs-Latn-BA"/>
        </w:rPr>
        <w:t>МЉПИ</w:t>
      </w:r>
      <w:r w:rsidR="00222A8E">
        <w:rPr>
          <w:rFonts w:ascii="Times New Roman" w:hAnsi="Times New Roman"/>
          <w:szCs w:val="24"/>
          <w:lang w:val="bs-Latn-BA"/>
        </w:rPr>
        <w:t xml:space="preserve"> </w:t>
      </w:r>
      <w:r>
        <w:rPr>
          <w:rFonts w:ascii="Times New Roman" w:hAnsi="Times New Roman"/>
          <w:szCs w:val="24"/>
          <w:lang w:val="bs-Latn-BA"/>
        </w:rPr>
        <w:t>БиХ</w:t>
      </w:r>
      <w:r w:rsidR="007369EF" w:rsidRPr="00295637">
        <w:rPr>
          <w:rFonts w:ascii="Times New Roman" w:hAnsi="Times New Roman"/>
          <w:szCs w:val="24"/>
          <w:lang w:val="bs-Latn-BA"/>
        </w:rPr>
        <w:t xml:space="preserve"> </w:t>
      </w:r>
      <w:r>
        <w:rPr>
          <w:rFonts w:ascii="Times New Roman" w:hAnsi="Times New Roman"/>
          <w:szCs w:val="24"/>
          <w:lang w:val="bs-Latn-BA"/>
        </w:rPr>
        <w:t>је</w:t>
      </w:r>
      <w:r w:rsidR="007369EF" w:rsidRPr="00295637">
        <w:rPr>
          <w:rFonts w:ascii="Times New Roman" w:hAnsi="Times New Roman"/>
          <w:szCs w:val="24"/>
          <w:lang w:val="bs-Latn-BA"/>
        </w:rPr>
        <w:t xml:space="preserve"> </w:t>
      </w:r>
      <w:r>
        <w:rPr>
          <w:rFonts w:ascii="Times New Roman" w:hAnsi="Times New Roman"/>
          <w:szCs w:val="24"/>
          <w:lang w:val="bs-Latn-BA"/>
        </w:rPr>
        <w:t>у</w:t>
      </w:r>
      <w:r w:rsidR="007369EF" w:rsidRPr="00295637">
        <w:rPr>
          <w:rFonts w:ascii="Times New Roman" w:hAnsi="Times New Roman"/>
          <w:szCs w:val="24"/>
          <w:lang w:val="bs-Latn-BA"/>
        </w:rPr>
        <w:t xml:space="preserve"> </w:t>
      </w:r>
      <w:r>
        <w:rPr>
          <w:rFonts w:ascii="Times New Roman" w:hAnsi="Times New Roman"/>
          <w:szCs w:val="24"/>
          <w:lang w:val="bs-Latn-BA"/>
        </w:rPr>
        <w:t>сарадњи</w:t>
      </w:r>
      <w:r w:rsidR="00222A8E">
        <w:rPr>
          <w:rFonts w:ascii="Times New Roman" w:hAnsi="Times New Roman"/>
          <w:szCs w:val="24"/>
          <w:lang w:val="bs-Latn-BA"/>
        </w:rPr>
        <w:t xml:space="preserve"> </w:t>
      </w:r>
      <w:r>
        <w:rPr>
          <w:rFonts w:ascii="Times New Roman" w:hAnsi="Times New Roman"/>
          <w:szCs w:val="24"/>
          <w:lang w:val="bs-Latn-BA"/>
        </w:rPr>
        <w:t>са</w:t>
      </w:r>
      <w:r w:rsidR="007369EF" w:rsidRPr="00295637">
        <w:rPr>
          <w:rFonts w:ascii="Times New Roman" w:hAnsi="Times New Roman"/>
          <w:szCs w:val="24"/>
          <w:lang w:val="bs-Latn-BA"/>
        </w:rPr>
        <w:t xml:space="preserve"> </w:t>
      </w:r>
      <w:r w:rsidR="005D1812" w:rsidRPr="005D1812">
        <w:rPr>
          <w:rFonts w:ascii="Times New Roman" w:hAnsi="Times New Roman"/>
          <w:i/>
          <w:szCs w:val="24"/>
          <w:lang w:val="bs-Latn-BA"/>
        </w:rPr>
        <w:t>UNDP</w:t>
      </w:r>
      <w:r w:rsidR="00222A8E">
        <w:rPr>
          <w:rFonts w:ascii="Times New Roman" w:hAnsi="Times New Roman"/>
          <w:szCs w:val="24"/>
          <w:lang w:val="bs-Latn-BA"/>
        </w:rPr>
        <w:t>-</w:t>
      </w:r>
      <w:r>
        <w:rPr>
          <w:rFonts w:ascii="Times New Roman" w:hAnsi="Times New Roman"/>
          <w:szCs w:val="24"/>
          <w:lang w:val="bs-Latn-BA"/>
        </w:rPr>
        <w:t>ом</w:t>
      </w:r>
      <w:r w:rsidR="007369EF" w:rsidRPr="00295637">
        <w:rPr>
          <w:rFonts w:ascii="Times New Roman" w:hAnsi="Times New Roman"/>
          <w:szCs w:val="24"/>
          <w:lang w:val="bs-Latn-BA"/>
        </w:rPr>
        <w:t xml:space="preserve"> </w:t>
      </w:r>
      <w:r>
        <w:rPr>
          <w:rFonts w:ascii="Times New Roman" w:hAnsi="Times New Roman"/>
          <w:szCs w:val="24"/>
          <w:lang w:val="bs-Latn-BA"/>
        </w:rPr>
        <w:t>у</w:t>
      </w:r>
      <w:r w:rsidR="007369EF" w:rsidRPr="00295637">
        <w:rPr>
          <w:rFonts w:ascii="Times New Roman" w:hAnsi="Times New Roman"/>
          <w:szCs w:val="24"/>
          <w:lang w:val="bs-Latn-BA"/>
        </w:rPr>
        <w:t xml:space="preserve"> </w:t>
      </w:r>
      <w:r>
        <w:rPr>
          <w:rFonts w:ascii="Times New Roman" w:hAnsi="Times New Roman"/>
          <w:szCs w:val="24"/>
          <w:lang w:val="bs-Latn-BA"/>
        </w:rPr>
        <w:t>априлу</w:t>
      </w:r>
      <w:r w:rsidR="007369EF" w:rsidRPr="00295637">
        <w:rPr>
          <w:rFonts w:ascii="Times New Roman" w:hAnsi="Times New Roman"/>
          <w:szCs w:val="24"/>
          <w:lang w:val="bs-Latn-BA"/>
        </w:rPr>
        <w:t xml:space="preserve"> 2024. </w:t>
      </w:r>
      <w:r>
        <w:rPr>
          <w:rFonts w:ascii="Times New Roman" w:hAnsi="Times New Roman"/>
          <w:szCs w:val="24"/>
          <w:lang w:val="bs-Latn-BA"/>
        </w:rPr>
        <w:t>године</w:t>
      </w:r>
      <w:r w:rsidR="007369EF" w:rsidRPr="00295637">
        <w:rPr>
          <w:rFonts w:ascii="Times New Roman" w:hAnsi="Times New Roman"/>
          <w:szCs w:val="24"/>
          <w:lang w:val="bs-Latn-BA"/>
        </w:rPr>
        <w:t xml:space="preserve"> </w:t>
      </w:r>
      <w:r>
        <w:rPr>
          <w:rFonts w:ascii="Times New Roman" w:hAnsi="Times New Roman"/>
          <w:szCs w:val="24"/>
          <w:lang w:val="bs-Latn-BA"/>
        </w:rPr>
        <w:t>објавила</w:t>
      </w:r>
      <w:r w:rsidR="007369EF" w:rsidRPr="00295637">
        <w:rPr>
          <w:rFonts w:ascii="Times New Roman" w:hAnsi="Times New Roman"/>
          <w:szCs w:val="24"/>
          <w:lang w:val="bs-Latn-BA"/>
        </w:rPr>
        <w:t xml:space="preserve"> „</w:t>
      </w:r>
      <w:r>
        <w:rPr>
          <w:rFonts w:ascii="Times New Roman" w:hAnsi="Times New Roman"/>
          <w:szCs w:val="24"/>
          <w:lang w:val="bs-Latn-BA"/>
        </w:rPr>
        <w:t>Барометар</w:t>
      </w:r>
      <w:r w:rsidR="007369EF" w:rsidRPr="00295637">
        <w:rPr>
          <w:rFonts w:ascii="Times New Roman" w:hAnsi="Times New Roman"/>
          <w:szCs w:val="24"/>
          <w:lang w:val="bs-Latn-BA"/>
        </w:rPr>
        <w:t xml:space="preserve"> </w:t>
      </w:r>
      <w:r>
        <w:rPr>
          <w:rFonts w:ascii="Times New Roman" w:hAnsi="Times New Roman"/>
          <w:szCs w:val="24"/>
          <w:lang w:val="bs-Latn-BA"/>
        </w:rPr>
        <w:t>родне</w:t>
      </w:r>
      <w:r w:rsidR="007369EF"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AA3C5F" w:rsidRPr="00295637">
        <w:rPr>
          <w:rFonts w:ascii="Times New Roman" w:hAnsi="Times New Roman"/>
          <w:szCs w:val="24"/>
          <w:lang w:val="bs-Latn-BA"/>
        </w:rPr>
        <w:t xml:space="preserve"> </w:t>
      </w:r>
      <w:r>
        <w:rPr>
          <w:rFonts w:ascii="Times New Roman" w:hAnsi="Times New Roman"/>
          <w:szCs w:val="24"/>
          <w:lang w:val="bs-Latn-BA"/>
        </w:rPr>
        <w:t>у</w:t>
      </w:r>
      <w:r w:rsidR="00AA3C5F" w:rsidRPr="00295637">
        <w:rPr>
          <w:rFonts w:ascii="Times New Roman" w:hAnsi="Times New Roman"/>
          <w:szCs w:val="24"/>
          <w:lang w:val="bs-Latn-BA"/>
        </w:rPr>
        <w:t xml:space="preserve"> </w:t>
      </w:r>
      <w:r>
        <w:rPr>
          <w:rFonts w:ascii="Times New Roman" w:hAnsi="Times New Roman"/>
          <w:szCs w:val="24"/>
          <w:lang w:val="bs-Latn-BA"/>
        </w:rPr>
        <w:t>Босни</w:t>
      </w:r>
      <w:r w:rsidR="00AA3C5F" w:rsidRPr="00295637">
        <w:rPr>
          <w:rFonts w:ascii="Times New Roman" w:hAnsi="Times New Roman"/>
          <w:szCs w:val="24"/>
          <w:lang w:val="bs-Latn-BA"/>
        </w:rPr>
        <w:t xml:space="preserve"> </w:t>
      </w:r>
      <w:r>
        <w:rPr>
          <w:rFonts w:ascii="Times New Roman" w:hAnsi="Times New Roman"/>
          <w:szCs w:val="24"/>
          <w:lang w:val="bs-Latn-BA"/>
        </w:rPr>
        <w:t>и</w:t>
      </w:r>
      <w:r w:rsidR="00AA3C5F" w:rsidRPr="00295637">
        <w:rPr>
          <w:rFonts w:ascii="Times New Roman" w:hAnsi="Times New Roman"/>
          <w:szCs w:val="24"/>
          <w:lang w:val="bs-Latn-BA"/>
        </w:rPr>
        <w:t xml:space="preserve"> </w:t>
      </w:r>
      <w:r>
        <w:rPr>
          <w:rFonts w:ascii="Times New Roman" w:hAnsi="Times New Roman"/>
          <w:szCs w:val="24"/>
          <w:lang w:val="bs-Latn-BA"/>
        </w:rPr>
        <w:t>Херцеговини</w:t>
      </w:r>
      <w:r w:rsidR="00AA3C5F" w:rsidRPr="00295637">
        <w:rPr>
          <w:rFonts w:ascii="Times New Roman" w:hAnsi="Times New Roman"/>
          <w:szCs w:val="24"/>
          <w:lang w:val="bs-Latn-BA"/>
        </w:rPr>
        <w:t xml:space="preserve">“, </w:t>
      </w:r>
      <w:r>
        <w:rPr>
          <w:rFonts w:ascii="Times New Roman" w:hAnsi="Times New Roman"/>
        </w:rPr>
        <w:t>свеобухватни</w:t>
      </w:r>
      <w:r w:rsidR="00222A8E">
        <w:rPr>
          <w:rFonts w:ascii="Times New Roman" w:hAnsi="Times New Roman"/>
        </w:rPr>
        <w:t xml:space="preserve"> </w:t>
      </w:r>
      <w:r>
        <w:rPr>
          <w:rFonts w:ascii="Times New Roman" w:hAnsi="Times New Roman"/>
        </w:rPr>
        <w:t>истраживачки</w:t>
      </w:r>
      <w:r w:rsidR="00222A8E">
        <w:rPr>
          <w:rFonts w:ascii="Times New Roman" w:hAnsi="Times New Roman"/>
        </w:rPr>
        <w:t xml:space="preserve"> </w:t>
      </w:r>
      <w:r>
        <w:rPr>
          <w:rFonts w:ascii="Times New Roman" w:hAnsi="Times New Roman"/>
        </w:rPr>
        <w:t>пројекат</w:t>
      </w:r>
      <w:r w:rsidR="00AA3C5F" w:rsidRPr="00295637">
        <w:rPr>
          <w:rFonts w:ascii="Times New Roman" w:hAnsi="Times New Roman"/>
        </w:rPr>
        <w:t xml:space="preserve"> </w:t>
      </w:r>
      <w:r>
        <w:rPr>
          <w:rFonts w:ascii="Times New Roman" w:hAnsi="Times New Roman"/>
        </w:rPr>
        <w:t>који</w:t>
      </w:r>
      <w:r w:rsidR="00AA3C5F" w:rsidRPr="00295637">
        <w:rPr>
          <w:rFonts w:ascii="Times New Roman" w:hAnsi="Times New Roman"/>
        </w:rPr>
        <w:t xml:space="preserve"> </w:t>
      </w:r>
      <w:r>
        <w:rPr>
          <w:rFonts w:ascii="Times New Roman" w:hAnsi="Times New Roman"/>
        </w:rPr>
        <w:t>истражује</w:t>
      </w:r>
      <w:r w:rsidR="00AA3C5F" w:rsidRPr="00295637">
        <w:rPr>
          <w:rFonts w:ascii="Times New Roman" w:hAnsi="Times New Roman"/>
        </w:rPr>
        <w:t xml:space="preserve"> </w:t>
      </w:r>
      <w:r>
        <w:rPr>
          <w:rFonts w:ascii="Times New Roman" w:hAnsi="Times New Roman"/>
        </w:rPr>
        <w:t>свакодневну</w:t>
      </w:r>
      <w:r w:rsidR="00AA3C5F" w:rsidRPr="00295637">
        <w:rPr>
          <w:rFonts w:ascii="Times New Roman" w:hAnsi="Times New Roman"/>
        </w:rPr>
        <w:t xml:space="preserve"> </w:t>
      </w:r>
      <w:r>
        <w:rPr>
          <w:rFonts w:ascii="Times New Roman" w:hAnsi="Times New Roman"/>
        </w:rPr>
        <w:t>праксу</w:t>
      </w:r>
      <w:r w:rsidR="00AA3C5F" w:rsidRPr="00295637">
        <w:rPr>
          <w:rFonts w:ascii="Times New Roman" w:hAnsi="Times New Roman"/>
        </w:rPr>
        <w:t xml:space="preserve"> </w:t>
      </w:r>
      <w:r>
        <w:rPr>
          <w:rFonts w:ascii="Times New Roman" w:hAnsi="Times New Roman"/>
        </w:rPr>
        <w:t>у</w:t>
      </w:r>
      <w:r w:rsidR="00AA3C5F" w:rsidRPr="00295637">
        <w:rPr>
          <w:rFonts w:ascii="Times New Roman" w:hAnsi="Times New Roman"/>
        </w:rPr>
        <w:t xml:space="preserve"> </w:t>
      </w:r>
      <w:r>
        <w:rPr>
          <w:rFonts w:ascii="Times New Roman" w:hAnsi="Times New Roman"/>
        </w:rPr>
        <w:t>домаћинству</w:t>
      </w:r>
      <w:r w:rsidR="00AA3C5F" w:rsidRPr="00295637">
        <w:rPr>
          <w:rFonts w:ascii="Times New Roman" w:hAnsi="Times New Roman"/>
        </w:rPr>
        <w:t xml:space="preserve"> </w:t>
      </w:r>
      <w:r>
        <w:rPr>
          <w:rFonts w:ascii="Times New Roman" w:hAnsi="Times New Roman"/>
        </w:rPr>
        <w:t>и</w:t>
      </w:r>
      <w:r w:rsidR="00AA3C5F" w:rsidRPr="00295637">
        <w:rPr>
          <w:rFonts w:ascii="Times New Roman" w:hAnsi="Times New Roman"/>
        </w:rPr>
        <w:t xml:space="preserve"> </w:t>
      </w:r>
      <w:r>
        <w:rPr>
          <w:rFonts w:ascii="Times New Roman" w:hAnsi="Times New Roman"/>
        </w:rPr>
        <w:t>подјелу</w:t>
      </w:r>
      <w:r w:rsidR="00AA3C5F" w:rsidRPr="00295637">
        <w:rPr>
          <w:rFonts w:ascii="Times New Roman" w:hAnsi="Times New Roman"/>
        </w:rPr>
        <w:t xml:space="preserve"> </w:t>
      </w:r>
      <w:r>
        <w:rPr>
          <w:rFonts w:ascii="Times New Roman" w:hAnsi="Times New Roman"/>
        </w:rPr>
        <w:t>рада</w:t>
      </w:r>
      <w:r w:rsidR="00AA3C5F" w:rsidRPr="00295637">
        <w:rPr>
          <w:rFonts w:ascii="Times New Roman" w:hAnsi="Times New Roman"/>
        </w:rPr>
        <w:t xml:space="preserve">, </w:t>
      </w:r>
      <w:r>
        <w:rPr>
          <w:rFonts w:ascii="Times New Roman" w:hAnsi="Times New Roman"/>
        </w:rPr>
        <w:t>динамику</w:t>
      </w:r>
      <w:r w:rsidR="00AA3C5F" w:rsidRPr="00295637">
        <w:rPr>
          <w:rFonts w:ascii="Times New Roman" w:hAnsi="Times New Roman"/>
        </w:rPr>
        <w:t xml:space="preserve"> </w:t>
      </w:r>
      <w:r>
        <w:rPr>
          <w:rFonts w:ascii="Times New Roman" w:hAnsi="Times New Roman"/>
        </w:rPr>
        <w:t>моћи</w:t>
      </w:r>
      <w:r w:rsidR="00AA3C5F" w:rsidRPr="00295637">
        <w:rPr>
          <w:rFonts w:ascii="Times New Roman" w:hAnsi="Times New Roman"/>
        </w:rPr>
        <w:t xml:space="preserve">, </w:t>
      </w:r>
      <w:r>
        <w:rPr>
          <w:rFonts w:ascii="Times New Roman" w:hAnsi="Times New Roman"/>
        </w:rPr>
        <w:t>те</w:t>
      </w:r>
      <w:r w:rsidR="00AA3C5F" w:rsidRPr="00295637">
        <w:rPr>
          <w:rFonts w:ascii="Times New Roman" w:hAnsi="Times New Roman"/>
        </w:rPr>
        <w:t xml:space="preserve"> </w:t>
      </w:r>
      <w:r>
        <w:rPr>
          <w:rFonts w:ascii="Times New Roman" w:hAnsi="Times New Roman"/>
        </w:rPr>
        <w:t>сложену</w:t>
      </w:r>
      <w:r w:rsidR="00AA3C5F" w:rsidRPr="00295637">
        <w:rPr>
          <w:rFonts w:ascii="Times New Roman" w:hAnsi="Times New Roman"/>
        </w:rPr>
        <w:t xml:space="preserve"> </w:t>
      </w:r>
      <w:r>
        <w:rPr>
          <w:rFonts w:ascii="Times New Roman" w:hAnsi="Times New Roman"/>
        </w:rPr>
        <w:t>структуру</w:t>
      </w:r>
      <w:r w:rsidR="00AA3C5F" w:rsidRPr="00295637">
        <w:rPr>
          <w:rFonts w:ascii="Times New Roman" w:hAnsi="Times New Roman"/>
        </w:rPr>
        <w:t xml:space="preserve"> </w:t>
      </w:r>
      <w:r>
        <w:rPr>
          <w:rFonts w:ascii="Times New Roman" w:hAnsi="Times New Roman"/>
        </w:rPr>
        <w:t>друштвених</w:t>
      </w:r>
      <w:r w:rsidR="00AA3C5F" w:rsidRPr="00295637">
        <w:rPr>
          <w:rFonts w:ascii="Times New Roman" w:hAnsi="Times New Roman"/>
        </w:rPr>
        <w:t xml:space="preserve"> </w:t>
      </w:r>
      <w:r>
        <w:rPr>
          <w:rFonts w:ascii="Times New Roman" w:hAnsi="Times New Roman"/>
        </w:rPr>
        <w:t>перцепција</w:t>
      </w:r>
      <w:r w:rsidR="00AA3C5F" w:rsidRPr="00295637">
        <w:rPr>
          <w:rFonts w:ascii="Times New Roman" w:hAnsi="Times New Roman"/>
        </w:rPr>
        <w:t xml:space="preserve">, </w:t>
      </w:r>
      <w:r>
        <w:rPr>
          <w:rFonts w:ascii="Times New Roman" w:hAnsi="Times New Roman"/>
        </w:rPr>
        <w:t>а</w:t>
      </w:r>
      <w:r w:rsidR="00AA3C5F" w:rsidRPr="00295637">
        <w:rPr>
          <w:rFonts w:ascii="Times New Roman" w:hAnsi="Times New Roman"/>
        </w:rPr>
        <w:t xml:space="preserve"> </w:t>
      </w:r>
      <w:r>
        <w:rPr>
          <w:rFonts w:ascii="Times New Roman" w:hAnsi="Times New Roman"/>
        </w:rPr>
        <w:t>освјетљава</w:t>
      </w:r>
      <w:r w:rsidR="00AA3C5F" w:rsidRPr="00295637">
        <w:rPr>
          <w:rFonts w:ascii="Times New Roman" w:hAnsi="Times New Roman"/>
        </w:rPr>
        <w:t xml:space="preserve"> </w:t>
      </w:r>
      <w:r>
        <w:rPr>
          <w:rFonts w:ascii="Times New Roman" w:hAnsi="Times New Roman"/>
        </w:rPr>
        <w:t>и</w:t>
      </w:r>
      <w:r w:rsidR="00AA3C5F" w:rsidRPr="00295637">
        <w:rPr>
          <w:rFonts w:ascii="Times New Roman" w:hAnsi="Times New Roman"/>
        </w:rPr>
        <w:t xml:space="preserve"> </w:t>
      </w:r>
      <w:r>
        <w:rPr>
          <w:rFonts w:ascii="Times New Roman" w:hAnsi="Times New Roman"/>
        </w:rPr>
        <w:t>присутне</w:t>
      </w:r>
      <w:r w:rsidR="00AA3C5F" w:rsidRPr="00295637">
        <w:rPr>
          <w:rFonts w:ascii="Times New Roman" w:hAnsi="Times New Roman"/>
        </w:rPr>
        <w:t xml:space="preserve"> </w:t>
      </w:r>
      <w:r>
        <w:rPr>
          <w:rFonts w:ascii="Times New Roman" w:hAnsi="Times New Roman"/>
        </w:rPr>
        <w:t>стереотипе</w:t>
      </w:r>
      <w:r w:rsidR="00AA3C5F" w:rsidRPr="00295637">
        <w:rPr>
          <w:rFonts w:ascii="Times New Roman" w:hAnsi="Times New Roman"/>
        </w:rPr>
        <w:t xml:space="preserve"> </w:t>
      </w:r>
      <w:r>
        <w:rPr>
          <w:rFonts w:ascii="Times New Roman" w:hAnsi="Times New Roman"/>
        </w:rPr>
        <w:t>и</w:t>
      </w:r>
      <w:r w:rsidR="00AA3C5F" w:rsidRPr="00295637">
        <w:rPr>
          <w:rFonts w:ascii="Times New Roman" w:hAnsi="Times New Roman"/>
        </w:rPr>
        <w:t xml:space="preserve"> </w:t>
      </w:r>
      <w:r>
        <w:rPr>
          <w:rFonts w:ascii="Times New Roman" w:hAnsi="Times New Roman"/>
        </w:rPr>
        <w:t>норме</w:t>
      </w:r>
      <w:r w:rsidR="00AA3C5F" w:rsidRPr="00295637">
        <w:rPr>
          <w:rFonts w:ascii="Times New Roman" w:hAnsi="Times New Roman"/>
        </w:rPr>
        <w:t xml:space="preserve"> </w:t>
      </w:r>
      <w:r>
        <w:rPr>
          <w:rFonts w:ascii="Times New Roman" w:hAnsi="Times New Roman"/>
        </w:rPr>
        <w:t>које</w:t>
      </w:r>
      <w:r w:rsidR="00AA3C5F" w:rsidRPr="00295637">
        <w:rPr>
          <w:rFonts w:ascii="Times New Roman" w:hAnsi="Times New Roman"/>
        </w:rPr>
        <w:t xml:space="preserve"> </w:t>
      </w:r>
      <w:r>
        <w:rPr>
          <w:rFonts w:ascii="Times New Roman" w:hAnsi="Times New Roman"/>
        </w:rPr>
        <w:t>обликују</w:t>
      </w:r>
      <w:r w:rsidR="00AA3C5F" w:rsidRPr="00295637">
        <w:rPr>
          <w:rFonts w:ascii="Times New Roman" w:hAnsi="Times New Roman"/>
        </w:rPr>
        <w:t xml:space="preserve"> </w:t>
      </w:r>
      <w:r>
        <w:rPr>
          <w:rFonts w:ascii="Times New Roman" w:hAnsi="Times New Roman"/>
        </w:rPr>
        <w:t>и</w:t>
      </w:r>
      <w:r w:rsidR="00AA3C5F" w:rsidRPr="00295637">
        <w:rPr>
          <w:rFonts w:ascii="Times New Roman" w:hAnsi="Times New Roman"/>
        </w:rPr>
        <w:t xml:space="preserve"> </w:t>
      </w:r>
      <w:r>
        <w:rPr>
          <w:rFonts w:ascii="Times New Roman" w:hAnsi="Times New Roman"/>
        </w:rPr>
        <w:t>утичу</w:t>
      </w:r>
      <w:r w:rsidR="00AA3C5F" w:rsidRPr="00295637">
        <w:rPr>
          <w:rFonts w:ascii="Times New Roman" w:hAnsi="Times New Roman"/>
        </w:rPr>
        <w:t xml:space="preserve"> </w:t>
      </w:r>
      <w:r>
        <w:rPr>
          <w:rFonts w:ascii="Times New Roman" w:hAnsi="Times New Roman"/>
        </w:rPr>
        <w:t>на</w:t>
      </w:r>
      <w:r w:rsidR="00AA3C5F" w:rsidRPr="00295637">
        <w:rPr>
          <w:rFonts w:ascii="Times New Roman" w:hAnsi="Times New Roman"/>
        </w:rPr>
        <w:t xml:space="preserve"> </w:t>
      </w:r>
      <w:r>
        <w:rPr>
          <w:rFonts w:ascii="Times New Roman" w:hAnsi="Times New Roman"/>
        </w:rPr>
        <w:t>животе</w:t>
      </w:r>
      <w:r w:rsidR="00AA3C5F" w:rsidRPr="00295637">
        <w:rPr>
          <w:rFonts w:ascii="Times New Roman" w:hAnsi="Times New Roman"/>
        </w:rPr>
        <w:t xml:space="preserve"> </w:t>
      </w:r>
      <w:r>
        <w:rPr>
          <w:rFonts w:ascii="Times New Roman" w:hAnsi="Times New Roman"/>
        </w:rPr>
        <w:t>жена</w:t>
      </w:r>
      <w:r w:rsidR="00AA3C5F" w:rsidRPr="00295637">
        <w:rPr>
          <w:rFonts w:ascii="Times New Roman" w:hAnsi="Times New Roman"/>
        </w:rPr>
        <w:t xml:space="preserve"> </w:t>
      </w:r>
      <w:r>
        <w:rPr>
          <w:rFonts w:ascii="Times New Roman" w:hAnsi="Times New Roman"/>
        </w:rPr>
        <w:t>и</w:t>
      </w:r>
      <w:r w:rsidR="00AA3C5F" w:rsidRPr="00295637">
        <w:rPr>
          <w:rFonts w:ascii="Times New Roman" w:hAnsi="Times New Roman"/>
        </w:rPr>
        <w:t xml:space="preserve"> </w:t>
      </w:r>
      <w:r>
        <w:rPr>
          <w:rFonts w:ascii="Times New Roman" w:hAnsi="Times New Roman"/>
        </w:rPr>
        <w:t>мушкараца</w:t>
      </w:r>
      <w:r w:rsidR="00AA3C5F" w:rsidRPr="00295637">
        <w:rPr>
          <w:rFonts w:ascii="Times New Roman" w:hAnsi="Times New Roman"/>
        </w:rPr>
        <w:t xml:space="preserve"> </w:t>
      </w:r>
      <w:r>
        <w:rPr>
          <w:rFonts w:ascii="Times New Roman" w:hAnsi="Times New Roman"/>
        </w:rPr>
        <w:t>у</w:t>
      </w:r>
      <w:r w:rsidR="00AA3C5F" w:rsidRPr="00295637">
        <w:rPr>
          <w:rFonts w:ascii="Times New Roman" w:hAnsi="Times New Roman"/>
        </w:rPr>
        <w:t xml:space="preserve"> </w:t>
      </w:r>
      <w:r>
        <w:rPr>
          <w:rFonts w:ascii="Times New Roman" w:hAnsi="Times New Roman"/>
        </w:rPr>
        <w:t>Босни</w:t>
      </w:r>
      <w:r w:rsidR="00AA3C5F" w:rsidRPr="00295637">
        <w:rPr>
          <w:rFonts w:ascii="Times New Roman" w:hAnsi="Times New Roman"/>
        </w:rPr>
        <w:t xml:space="preserve"> </w:t>
      </w:r>
      <w:r>
        <w:rPr>
          <w:rFonts w:ascii="Times New Roman" w:hAnsi="Times New Roman"/>
        </w:rPr>
        <w:t>и</w:t>
      </w:r>
      <w:r w:rsidR="00AA3C5F" w:rsidRPr="00295637">
        <w:rPr>
          <w:rFonts w:ascii="Times New Roman" w:hAnsi="Times New Roman"/>
        </w:rPr>
        <w:t xml:space="preserve"> </w:t>
      </w:r>
      <w:r>
        <w:rPr>
          <w:rFonts w:ascii="Times New Roman" w:hAnsi="Times New Roman"/>
        </w:rPr>
        <w:t>Херцеговини</w:t>
      </w:r>
      <w:r w:rsidR="00AA3C5F" w:rsidRPr="00295637">
        <w:rPr>
          <w:rFonts w:ascii="Times New Roman" w:hAnsi="Times New Roman"/>
        </w:rPr>
        <w:t>.</w:t>
      </w:r>
      <w:r w:rsidR="00AA3C5F" w:rsidRPr="00295637">
        <w:rPr>
          <w:rFonts w:ascii="Times New Roman" w:hAnsi="Times New Roman"/>
          <w:szCs w:val="24"/>
          <w:lang w:val="bs-Latn-BA"/>
        </w:rPr>
        <w:t xml:space="preserve"> </w:t>
      </w:r>
    </w:p>
    <w:p w:rsidR="007369EF" w:rsidRPr="00295637" w:rsidRDefault="007369EF" w:rsidP="0086268D">
      <w:pPr>
        <w:tabs>
          <w:tab w:val="left" w:pos="284"/>
          <w:tab w:val="left" w:pos="630"/>
          <w:tab w:val="left" w:pos="1080"/>
        </w:tabs>
        <w:jc w:val="both"/>
        <w:rPr>
          <w:rFonts w:ascii="Times New Roman" w:hAnsi="Times New Roman"/>
          <w:szCs w:val="24"/>
          <w:lang w:val="bs-Latn-BA"/>
        </w:rPr>
      </w:pPr>
    </w:p>
    <w:p w:rsidR="003A2F08" w:rsidRPr="00295637" w:rsidRDefault="00C6214E" w:rsidP="0086268D">
      <w:pPr>
        <w:tabs>
          <w:tab w:val="left" w:pos="284"/>
          <w:tab w:val="left" w:pos="630"/>
          <w:tab w:val="left" w:pos="1080"/>
        </w:tabs>
        <w:jc w:val="both"/>
        <w:rPr>
          <w:rFonts w:ascii="Times New Roman" w:hAnsi="Times New Roman"/>
          <w:szCs w:val="24"/>
          <w:lang w:val="bs-Latn-BA"/>
        </w:rPr>
      </w:pPr>
      <w:r>
        <w:rPr>
          <w:rFonts w:ascii="Times New Roman" w:hAnsi="Times New Roman"/>
          <w:szCs w:val="24"/>
          <w:lang w:val="bs-Latn-BA"/>
        </w:rPr>
        <w:t>ГЦ</w:t>
      </w:r>
      <w:r w:rsidR="00222A8E">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редовно</w:t>
      </w:r>
      <w:r w:rsidR="003A2F08" w:rsidRPr="00295637">
        <w:rPr>
          <w:rFonts w:ascii="Times New Roman" w:hAnsi="Times New Roman"/>
          <w:szCs w:val="24"/>
          <w:lang w:val="bs-Latn-BA"/>
        </w:rPr>
        <w:t xml:space="preserve"> </w:t>
      </w:r>
      <w:r>
        <w:rPr>
          <w:rFonts w:ascii="Times New Roman" w:hAnsi="Times New Roman"/>
          <w:szCs w:val="24"/>
          <w:lang w:val="bs-Latn-BA"/>
        </w:rPr>
        <w:t>прикупља</w:t>
      </w:r>
      <w:r w:rsidR="003A2F08" w:rsidRPr="00295637">
        <w:rPr>
          <w:rFonts w:ascii="Times New Roman" w:hAnsi="Times New Roman"/>
          <w:szCs w:val="24"/>
          <w:lang w:val="bs-Latn-BA"/>
        </w:rPr>
        <w:t xml:space="preserve">, </w:t>
      </w:r>
      <w:r>
        <w:rPr>
          <w:rFonts w:ascii="Times New Roman" w:hAnsi="Times New Roman"/>
          <w:szCs w:val="24"/>
          <w:lang w:val="bs-Latn-BA"/>
        </w:rPr>
        <w:t>анализира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објављује</w:t>
      </w:r>
      <w:r w:rsidR="003A2F08" w:rsidRPr="00295637">
        <w:rPr>
          <w:rFonts w:ascii="Times New Roman" w:hAnsi="Times New Roman"/>
          <w:szCs w:val="24"/>
          <w:lang w:val="bs-Latn-BA"/>
        </w:rPr>
        <w:t xml:space="preserve"> </w:t>
      </w:r>
      <w:r>
        <w:rPr>
          <w:rFonts w:ascii="Times New Roman" w:hAnsi="Times New Roman"/>
          <w:szCs w:val="24"/>
          <w:lang w:val="bs-Latn-BA"/>
        </w:rPr>
        <w:t>правосудне</w:t>
      </w:r>
      <w:r w:rsidR="003A2F08" w:rsidRPr="00295637">
        <w:rPr>
          <w:rFonts w:ascii="Times New Roman" w:hAnsi="Times New Roman"/>
          <w:szCs w:val="24"/>
          <w:lang w:val="bs-Latn-BA"/>
        </w:rPr>
        <w:t xml:space="preserve"> </w:t>
      </w:r>
      <w:r>
        <w:rPr>
          <w:rFonts w:ascii="Times New Roman" w:hAnsi="Times New Roman"/>
          <w:szCs w:val="24"/>
          <w:lang w:val="bs-Latn-BA"/>
        </w:rPr>
        <w:t>статистичке</w:t>
      </w:r>
      <w:r w:rsidR="003A2F08" w:rsidRPr="00295637">
        <w:rPr>
          <w:rFonts w:ascii="Times New Roman" w:hAnsi="Times New Roman"/>
          <w:szCs w:val="24"/>
          <w:lang w:val="bs-Latn-BA"/>
        </w:rPr>
        <w:t xml:space="preserve"> </w:t>
      </w:r>
      <w:r>
        <w:rPr>
          <w:rFonts w:ascii="Times New Roman" w:hAnsi="Times New Roman"/>
          <w:szCs w:val="24"/>
          <w:lang w:val="bs-Latn-BA"/>
        </w:rPr>
        <w:t>податке</w:t>
      </w:r>
      <w:r w:rsidR="003A2F08" w:rsidRPr="00295637">
        <w:rPr>
          <w:rFonts w:ascii="Times New Roman" w:hAnsi="Times New Roman"/>
          <w:szCs w:val="24"/>
          <w:lang w:val="bs-Latn-BA"/>
        </w:rPr>
        <w:t xml:space="preserve"> </w:t>
      </w:r>
      <w:r>
        <w:rPr>
          <w:rFonts w:ascii="Times New Roman" w:hAnsi="Times New Roman"/>
          <w:szCs w:val="24"/>
          <w:lang w:val="bs-Latn-BA"/>
        </w:rPr>
        <w:t>о</w:t>
      </w:r>
      <w:r w:rsidR="003A2F08" w:rsidRPr="00295637">
        <w:rPr>
          <w:rFonts w:ascii="Times New Roman" w:hAnsi="Times New Roman"/>
          <w:szCs w:val="24"/>
          <w:lang w:val="bs-Latn-BA"/>
        </w:rPr>
        <w:t xml:space="preserve"> </w:t>
      </w:r>
      <w:r>
        <w:rPr>
          <w:rFonts w:ascii="Times New Roman" w:hAnsi="Times New Roman"/>
          <w:szCs w:val="24"/>
          <w:lang w:val="bs-Latn-BA"/>
        </w:rPr>
        <w:t>броју</w:t>
      </w:r>
      <w:r w:rsidR="00222A8E">
        <w:rPr>
          <w:rFonts w:ascii="Times New Roman" w:hAnsi="Times New Roman"/>
          <w:szCs w:val="24"/>
          <w:lang w:val="bs-Latn-BA"/>
        </w:rPr>
        <w:t xml:space="preserve"> </w:t>
      </w:r>
      <w:r>
        <w:rPr>
          <w:rFonts w:ascii="Times New Roman" w:hAnsi="Times New Roman"/>
          <w:szCs w:val="24"/>
          <w:lang w:val="bs-Latn-BA"/>
        </w:rPr>
        <w:t>и</w:t>
      </w:r>
      <w:r w:rsidR="00222A8E">
        <w:rPr>
          <w:rFonts w:ascii="Times New Roman" w:hAnsi="Times New Roman"/>
          <w:szCs w:val="24"/>
          <w:lang w:val="bs-Latn-BA"/>
        </w:rPr>
        <w:t xml:space="preserve"> </w:t>
      </w:r>
      <w:r>
        <w:rPr>
          <w:rFonts w:ascii="Times New Roman" w:hAnsi="Times New Roman"/>
          <w:szCs w:val="24"/>
          <w:lang w:val="bs-Latn-BA"/>
        </w:rPr>
        <w:t>врсти</w:t>
      </w:r>
      <w:r w:rsidR="00222A8E">
        <w:rPr>
          <w:rFonts w:ascii="Times New Roman" w:hAnsi="Times New Roman"/>
          <w:szCs w:val="24"/>
          <w:lang w:val="bs-Latn-BA"/>
        </w:rPr>
        <w:t xml:space="preserve"> </w:t>
      </w:r>
      <w:r>
        <w:rPr>
          <w:rFonts w:ascii="Times New Roman" w:hAnsi="Times New Roman"/>
          <w:szCs w:val="24"/>
          <w:lang w:val="bs-Latn-BA"/>
        </w:rPr>
        <w:t>кривичних</w:t>
      </w:r>
      <w:r w:rsidR="00222A8E">
        <w:rPr>
          <w:rFonts w:ascii="Times New Roman" w:hAnsi="Times New Roman"/>
          <w:szCs w:val="24"/>
          <w:lang w:val="bs-Latn-BA"/>
        </w:rPr>
        <w:t xml:space="preserve"> </w:t>
      </w:r>
      <w:r>
        <w:rPr>
          <w:rFonts w:ascii="Times New Roman" w:hAnsi="Times New Roman"/>
          <w:szCs w:val="24"/>
          <w:lang w:val="bs-Latn-BA"/>
        </w:rPr>
        <w:t>дјела</w:t>
      </w:r>
      <w:r w:rsidR="00222A8E">
        <w:rPr>
          <w:rFonts w:ascii="Times New Roman" w:hAnsi="Times New Roman"/>
          <w:szCs w:val="24"/>
          <w:lang w:val="bs-Latn-BA"/>
        </w:rPr>
        <w:t xml:space="preserve"> </w:t>
      </w:r>
      <w:r>
        <w:rPr>
          <w:rFonts w:ascii="Times New Roman" w:hAnsi="Times New Roman"/>
          <w:szCs w:val="24"/>
          <w:lang w:val="bs-Latn-BA"/>
        </w:rPr>
        <w:t>са</w:t>
      </w:r>
      <w:r w:rsidR="003A2F08" w:rsidRPr="00295637">
        <w:rPr>
          <w:rFonts w:ascii="Times New Roman" w:hAnsi="Times New Roman"/>
          <w:szCs w:val="24"/>
          <w:lang w:val="bs-Latn-BA"/>
        </w:rPr>
        <w:t xml:space="preserve"> </w:t>
      </w:r>
      <w:r>
        <w:rPr>
          <w:rFonts w:ascii="Times New Roman" w:hAnsi="Times New Roman"/>
          <w:szCs w:val="24"/>
          <w:lang w:val="bs-Latn-BA"/>
        </w:rPr>
        <w:t>елементима</w:t>
      </w:r>
      <w:r w:rsidR="003A2F08" w:rsidRPr="00295637">
        <w:rPr>
          <w:rFonts w:ascii="Times New Roman" w:hAnsi="Times New Roman"/>
          <w:szCs w:val="24"/>
          <w:lang w:val="bs-Latn-BA"/>
        </w:rPr>
        <w:t xml:space="preserve"> </w:t>
      </w:r>
      <w:r>
        <w:rPr>
          <w:rFonts w:ascii="Times New Roman" w:hAnsi="Times New Roman"/>
          <w:szCs w:val="24"/>
          <w:lang w:val="bs-Latn-BA"/>
        </w:rPr>
        <w:t>родно</w:t>
      </w:r>
      <w:r w:rsidR="003A2F08" w:rsidRPr="00295637">
        <w:rPr>
          <w:rFonts w:ascii="Times New Roman" w:hAnsi="Times New Roman"/>
          <w:szCs w:val="24"/>
          <w:lang w:val="bs-Latn-BA"/>
        </w:rPr>
        <w:t xml:space="preserve"> </w:t>
      </w:r>
      <w:r>
        <w:rPr>
          <w:rFonts w:ascii="Times New Roman" w:hAnsi="Times New Roman"/>
          <w:szCs w:val="24"/>
          <w:lang w:val="bs-Latn-BA"/>
        </w:rPr>
        <w:t>заснованог</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кривичног</w:t>
      </w:r>
      <w:r w:rsidR="003A2F08" w:rsidRPr="00295637">
        <w:rPr>
          <w:rFonts w:ascii="Times New Roman" w:hAnsi="Times New Roman"/>
          <w:szCs w:val="24"/>
          <w:lang w:val="bs-Latn-BA"/>
        </w:rPr>
        <w:t xml:space="preserve"> </w:t>
      </w:r>
      <w:r>
        <w:rPr>
          <w:rFonts w:ascii="Times New Roman" w:hAnsi="Times New Roman"/>
          <w:szCs w:val="24"/>
          <w:lang w:val="bs-Latn-BA"/>
        </w:rPr>
        <w:t>дјела</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породици</w:t>
      </w:r>
      <w:r w:rsidR="003A2F08" w:rsidRPr="00295637">
        <w:rPr>
          <w:rFonts w:ascii="Times New Roman" w:hAnsi="Times New Roman"/>
          <w:szCs w:val="24"/>
          <w:lang w:val="bs-Latn-BA"/>
        </w:rPr>
        <w:t xml:space="preserve">, </w:t>
      </w:r>
      <w:r>
        <w:rPr>
          <w:rFonts w:ascii="Times New Roman" w:hAnsi="Times New Roman"/>
          <w:szCs w:val="24"/>
          <w:lang w:val="bs-Latn-BA"/>
        </w:rPr>
        <w:t>броју</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полу</w:t>
      </w:r>
      <w:r w:rsidR="003A2F08" w:rsidRPr="00295637">
        <w:rPr>
          <w:rFonts w:ascii="Times New Roman" w:hAnsi="Times New Roman"/>
          <w:szCs w:val="24"/>
          <w:lang w:val="bs-Latn-BA"/>
        </w:rPr>
        <w:t xml:space="preserve"> </w:t>
      </w:r>
      <w:r>
        <w:rPr>
          <w:rFonts w:ascii="Times New Roman" w:hAnsi="Times New Roman"/>
          <w:szCs w:val="24"/>
          <w:lang w:val="bs-Latn-BA"/>
        </w:rPr>
        <w:t>починилаца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жртава</w:t>
      </w:r>
      <w:r w:rsidR="003A2F08" w:rsidRPr="00295637">
        <w:rPr>
          <w:rFonts w:ascii="Times New Roman" w:hAnsi="Times New Roman"/>
          <w:szCs w:val="24"/>
          <w:lang w:val="bs-Latn-BA"/>
        </w:rPr>
        <w:t xml:space="preserve">, </w:t>
      </w:r>
      <w:r>
        <w:rPr>
          <w:rFonts w:ascii="Times New Roman" w:hAnsi="Times New Roman"/>
          <w:szCs w:val="24"/>
          <w:lang w:val="bs-Latn-BA"/>
        </w:rPr>
        <w:t>броју</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врсти</w:t>
      </w:r>
      <w:r w:rsidR="003A2F08" w:rsidRPr="00295637">
        <w:rPr>
          <w:rFonts w:ascii="Times New Roman" w:hAnsi="Times New Roman"/>
          <w:szCs w:val="24"/>
          <w:lang w:val="bs-Latn-BA"/>
        </w:rPr>
        <w:t xml:space="preserve"> </w:t>
      </w:r>
      <w:r>
        <w:rPr>
          <w:rFonts w:ascii="Times New Roman" w:hAnsi="Times New Roman"/>
          <w:szCs w:val="24"/>
          <w:lang w:val="bs-Latn-BA"/>
        </w:rPr>
        <w:t>изречених</w:t>
      </w:r>
      <w:r w:rsidR="003A2F08" w:rsidRPr="00295637">
        <w:rPr>
          <w:rFonts w:ascii="Times New Roman" w:hAnsi="Times New Roman"/>
          <w:szCs w:val="24"/>
          <w:lang w:val="bs-Latn-BA"/>
        </w:rPr>
        <w:t xml:space="preserve"> </w:t>
      </w:r>
      <w:r>
        <w:rPr>
          <w:rFonts w:ascii="Times New Roman" w:hAnsi="Times New Roman"/>
          <w:szCs w:val="24"/>
          <w:lang w:val="bs-Latn-BA"/>
        </w:rPr>
        <w:t>санкција</w:t>
      </w:r>
      <w:r w:rsidR="003A2F08" w:rsidRPr="00295637">
        <w:rPr>
          <w:rFonts w:ascii="Times New Roman" w:hAnsi="Times New Roman"/>
          <w:szCs w:val="24"/>
          <w:lang w:val="bs-Latn-BA"/>
        </w:rPr>
        <w:t xml:space="preserve"> </w:t>
      </w:r>
      <w:r>
        <w:rPr>
          <w:rFonts w:ascii="Times New Roman" w:hAnsi="Times New Roman"/>
          <w:szCs w:val="24"/>
          <w:lang w:val="bs-Latn-BA"/>
        </w:rPr>
        <w:t>према</w:t>
      </w:r>
      <w:r w:rsidR="003A2F08" w:rsidRPr="00295637">
        <w:rPr>
          <w:rFonts w:ascii="Times New Roman" w:hAnsi="Times New Roman"/>
          <w:szCs w:val="24"/>
          <w:lang w:val="bs-Latn-BA"/>
        </w:rPr>
        <w:t xml:space="preserve"> </w:t>
      </w:r>
      <w:r>
        <w:rPr>
          <w:rFonts w:ascii="Times New Roman" w:hAnsi="Times New Roman"/>
          <w:szCs w:val="24"/>
          <w:lang w:val="bs-Latn-BA"/>
        </w:rPr>
        <w:t>Кривичном</w:t>
      </w:r>
      <w:r w:rsidR="003A2F08" w:rsidRPr="00295637">
        <w:rPr>
          <w:rFonts w:ascii="Times New Roman" w:hAnsi="Times New Roman"/>
          <w:szCs w:val="24"/>
          <w:lang w:val="bs-Latn-BA"/>
        </w:rPr>
        <w:t xml:space="preserve"> </w:t>
      </w:r>
      <w:r>
        <w:rPr>
          <w:rFonts w:ascii="Times New Roman" w:hAnsi="Times New Roman"/>
          <w:szCs w:val="24"/>
          <w:lang w:val="bs-Latn-BA"/>
        </w:rPr>
        <w:t>закону</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заштитних</w:t>
      </w:r>
      <w:r w:rsidR="003A2F08" w:rsidRPr="00295637">
        <w:rPr>
          <w:rFonts w:ascii="Times New Roman" w:hAnsi="Times New Roman"/>
          <w:szCs w:val="24"/>
          <w:lang w:val="bs-Latn-BA"/>
        </w:rPr>
        <w:t xml:space="preserve"> </w:t>
      </w:r>
      <w:r>
        <w:rPr>
          <w:rFonts w:ascii="Times New Roman" w:hAnsi="Times New Roman"/>
          <w:szCs w:val="24"/>
          <w:lang w:val="bs-Latn-BA"/>
        </w:rPr>
        <w:t>мјера</w:t>
      </w:r>
      <w:r w:rsidR="003A2F08" w:rsidRPr="00295637">
        <w:rPr>
          <w:rFonts w:ascii="Times New Roman" w:hAnsi="Times New Roman"/>
          <w:szCs w:val="24"/>
          <w:lang w:val="bs-Latn-BA"/>
        </w:rPr>
        <w:t xml:space="preserve"> </w:t>
      </w:r>
      <w:r>
        <w:rPr>
          <w:rFonts w:ascii="Times New Roman" w:hAnsi="Times New Roman"/>
          <w:szCs w:val="24"/>
          <w:lang w:val="bs-Latn-BA"/>
        </w:rPr>
        <w:t>према</w:t>
      </w:r>
      <w:r w:rsidR="003A2F08" w:rsidRPr="00295637">
        <w:rPr>
          <w:rFonts w:ascii="Times New Roman" w:hAnsi="Times New Roman"/>
          <w:szCs w:val="24"/>
          <w:lang w:val="bs-Latn-BA"/>
        </w:rPr>
        <w:t xml:space="preserve"> </w:t>
      </w:r>
      <w:r>
        <w:rPr>
          <w:rFonts w:ascii="Times New Roman" w:hAnsi="Times New Roman"/>
          <w:szCs w:val="24"/>
          <w:lang w:val="bs-Latn-BA"/>
        </w:rPr>
        <w:t>Закону</w:t>
      </w:r>
      <w:r w:rsidR="003A2F08" w:rsidRPr="00295637">
        <w:rPr>
          <w:rFonts w:ascii="Times New Roman" w:hAnsi="Times New Roman"/>
          <w:szCs w:val="24"/>
          <w:lang w:val="bs-Latn-BA"/>
        </w:rPr>
        <w:t xml:space="preserve"> </w:t>
      </w:r>
      <w:r>
        <w:rPr>
          <w:rFonts w:ascii="Times New Roman" w:hAnsi="Times New Roman"/>
          <w:szCs w:val="24"/>
          <w:lang w:val="bs-Latn-BA"/>
        </w:rPr>
        <w:t>о</w:t>
      </w:r>
      <w:r w:rsidR="003A2F08" w:rsidRPr="00295637">
        <w:rPr>
          <w:rFonts w:ascii="Times New Roman" w:hAnsi="Times New Roman"/>
          <w:szCs w:val="24"/>
          <w:lang w:val="bs-Latn-BA"/>
        </w:rPr>
        <w:t xml:space="preserve"> </w:t>
      </w:r>
      <w:r>
        <w:rPr>
          <w:rFonts w:ascii="Times New Roman" w:hAnsi="Times New Roman"/>
          <w:szCs w:val="24"/>
          <w:lang w:val="bs-Latn-BA"/>
        </w:rPr>
        <w:t>заштити</w:t>
      </w:r>
      <w:r w:rsidR="003A2F08" w:rsidRPr="00295637">
        <w:rPr>
          <w:rFonts w:ascii="Times New Roman" w:hAnsi="Times New Roman"/>
          <w:szCs w:val="24"/>
          <w:lang w:val="bs-Latn-BA"/>
        </w:rPr>
        <w:t xml:space="preserve"> </w:t>
      </w:r>
      <w:r>
        <w:rPr>
          <w:rFonts w:ascii="Times New Roman" w:hAnsi="Times New Roman"/>
          <w:szCs w:val="24"/>
          <w:lang w:val="bs-Latn-BA"/>
        </w:rPr>
        <w:t>од</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породици</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које</w:t>
      </w:r>
      <w:r w:rsidR="003A2F08" w:rsidRPr="00295637">
        <w:rPr>
          <w:rFonts w:ascii="Times New Roman" w:hAnsi="Times New Roman"/>
          <w:szCs w:val="24"/>
          <w:lang w:val="bs-Latn-BA"/>
        </w:rPr>
        <w:t xml:space="preserve"> </w:t>
      </w:r>
      <w:r>
        <w:rPr>
          <w:rFonts w:ascii="Times New Roman" w:hAnsi="Times New Roman"/>
          <w:szCs w:val="24"/>
          <w:lang w:val="bs-Latn-BA"/>
        </w:rPr>
        <w:t>једном</w:t>
      </w:r>
      <w:r w:rsidR="003A2F08" w:rsidRPr="00295637">
        <w:rPr>
          <w:rFonts w:ascii="Times New Roman" w:hAnsi="Times New Roman"/>
          <w:szCs w:val="24"/>
          <w:lang w:val="bs-Latn-BA"/>
        </w:rPr>
        <w:t xml:space="preserve"> </w:t>
      </w:r>
      <w:r>
        <w:rPr>
          <w:rFonts w:ascii="Times New Roman" w:hAnsi="Times New Roman"/>
          <w:szCs w:val="24"/>
          <w:lang w:val="bs-Latn-BA"/>
        </w:rPr>
        <w:t>годишње</w:t>
      </w:r>
      <w:r w:rsidR="003A2F08" w:rsidRPr="00295637">
        <w:rPr>
          <w:rFonts w:ascii="Times New Roman" w:hAnsi="Times New Roman"/>
          <w:szCs w:val="24"/>
          <w:lang w:val="bs-Latn-BA"/>
        </w:rPr>
        <w:t xml:space="preserve"> </w:t>
      </w:r>
      <w:r>
        <w:rPr>
          <w:rFonts w:ascii="Times New Roman" w:hAnsi="Times New Roman"/>
          <w:szCs w:val="24"/>
          <w:lang w:val="bs-Latn-BA"/>
        </w:rPr>
        <w:t>на</w:t>
      </w:r>
      <w:r w:rsidR="003A2F08" w:rsidRPr="00295637">
        <w:rPr>
          <w:rFonts w:ascii="Times New Roman" w:hAnsi="Times New Roman"/>
          <w:szCs w:val="24"/>
          <w:lang w:val="bs-Latn-BA"/>
        </w:rPr>
        <w:t xml:space="preserve"> </w:t>
      </w:r>
      <w:r>
        <w:rPr>
          <w:rFonts w:ascii="Times New Roman" w:hAnsi="Times New Roman"/>
          <w:szCs w:val="24"/>
          <w:lang w:val="bs-Latn-BA"/>
        </w:rPr>
        <w:t>упит</w:t>
      </w:r>
      <w:r w:rsidR="003A2F08" w:rsidRPr="00295637">
        <w:rPr>
          <w:rFonts w:ascii="Times New Roman" w:hAnsi="Times New Roman"/>
          <w:szCs w:val="24"/>
          <w:lang w:val="bs-Latn-BA"/>
        </w:rPr>
        <w:t xml:space="preserve"> </w:t>
      </w:r>
      <w:r>
        <w:rPr>
          <w:rFonts w:ascii="Times New Roman" w:hAnsi="Times New Roman"/>
          <w:szCs w:val="24"/>
          <w:lang w:val="bs-Latn-BA"/>
        </w:rPr>
        <w:t>добија</w:t>
      </w:r>
      <w:r w:rsidR="003A2F08" w:rsidRPr="00295637">
        <w:rPr>
          <w:rFonts w:ascii="Times New Roman" w:hAnsi="Times New Roman"/>
          <w:szCs w:val="24"/>
          <w:lang w:val="bs-Latn-BA"/>
        </w:rPr>
        <w:t xml:space="preserve"> </w:t>
      </w:r>
      <w:r>
        <w:rPr>
          <w:rFonts w:ascii="Times New Roman" w:hAnsi="Times New Roman"/>
          <w:szCs w:val="24"/>
          <w:lang w:val="bs-Latn-BA"/>
        </w:rPr>
        <w:t>од</w:t>
      </w:r>
      <w:r w:rsidR="003A2F08" w:rsidRPr="00295637">
        <w:rPr>
          <w:rFonts w:ascii="Times New Roman" w:hAnsi="Times New Roman"/>
          <w:szCs w:val="24"/>
          <w:lang w:val="bs-Latn-BA"/>
        </w:rPr>
        <w:t xml:space="preserve"> </w:t>
      </w:r>
      <w:r>
        <w:rPr>
          <w:rFonts w:ascii="Times New Roman" w:hAnsi="Times New Roman"/>
          <w:szCs w:val="24"/>
          <w:lang w:val="bs-Latn-BA"/>
        </w:rPr>
        <w:t>ВСТ</w:t>
      </w:r>
      <w:r w:rsidR="005D1812">
        <w:rPr>
          <w:rFonts w:ascii="Times New Roman" w:hAnsi="Times New Roman"/>
          <w:szCs w:val="24"/>
          <w:lang w:val="sr-Cyrl-BA"/>
        </w:rPr>
        <w:t>С</w:t>
      </w:r>
      <w:r w:rsidR="00C518DE" w:rsidRPr="00295637">
        <w:rPr>
          <w:rFonts w:ascii="Times New Roman" w:hAnsi="Times New Roman"/>
          <w:szCs w:val="24"/>
          <w:lang w:val="bs-Latn-BA"/>
        </w:rPr>
        <w:t xml:space="preserve"> </w:t>
      </w:r>
      <w:r>
        <w:rPr>
          <w:rFonts w:ascii="Times New Roman" w:hAnsi="Times New Roman"/>
          <w:szCs w:val="24"/>
          <w:lang w:val="bs-Latn-BA"/>
        </w:rPr>
        <w:t>БиХ</w:t>
      </w:r>
      <w:r w:rsidR="003A2F08" w:rsidRPr="00295637">
        <w:rPr>
          <w:rFonts w:ascii="Times New Roman" w:hAnsi="Times New Roman"/>
          <w:szCs w:val="24"/>
          <w:lang w:val="bs-Latn-BA"/>
        </w:rPr>
        <w:t xml:space="preserve">, </w:t>
      </w:r>
      <w:r>
        <w:rPr>
          <w:rFonts w:ascii="Times New Roman" w:hAnsi="Times New Roman"/>
          <w:szCs w:val="24"/>
          <w:lang w:val="bs-Latn-BA"/>
        </w:rPr>
        <w:t>а</w:t>
      </w:r>
      <w:r w:rsidR="003A2F08" w:rsidRPr="00295637">
        <w:rPr>
          <w:rFonts w:ascii="Times New Roman" w:hAnsi="Times New Roman"/>
          <w:szCs w:val="24"/>
          <w:lang w:val="bs-Latn-BA"/>
        </w:rPr>
        <w:t xml:space="preserve"> </w:t>
      </w:r>
      <w:r>
        <w:rPr>
          <w:rFonts w:ascii="Times New Roman" w:hAnsi="Times New Roman"/>
          <w:szCs w:val="24"/>
          <w:lang w:val="bs-Latn-BA"/>
        </w:rPr>
        <w:t>користи</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потребе</w:t>
      </w:r>
      <w:r w:rsidR="003A2F08" w:rsidRPr="00295637">
        <w:rPr>
          <w:rFonts w:ascii="Times New Roman" w:hAnsi="Times New Roman"/>
          <w:szCs w:val="24"/>
          <w:lang w:val="bs-Latn-BA"/>
        </w:rPr>
        <w:t xml:space="preserve"> </w:t>
      </w:r>
      <w:r>
        <w:rPr>
          <w:rFonts w:ascii="Times New Roman" w:hAnsi="Times New Roman"/>
          <w:szCs w:val="24"/>
          <w:lang w:val="bs-Latn-BA"/>
        </w:rPr>
        <w:t>праћења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извјештавања</w:t>
      </w:r>
      <w:r w:rsidR="003A2F08" w:rsidRPr="00295637">
        <w:rPr>
          <w:rFonts w:ascii="Times New Roman" w:hAnsi="Times New Roman"/>
          <w:szCs w:val="24"/>
          <w:lang w:val="bs-Latn-BA"/>
        </w:rPr>
        <w:t xml:space="preserve"> </w:t>
      </w:r>
      <w:r>
        <w:rPr>
          <w:rFonts w:ascii="Times New Roman" w:hAnsi="Times New Roman"/>
          <w:szCs w:val="24"/>
          <w:lang w:val="bs-Latn-BA"/>
        </w:rPr>
        <w:t>према</w:t>
      </w:r>
      <w:r w:rsidR="003A2F08" w:rsidRPr="00295637">
        <w:rPr>
          <w:rFonts w:ascii="Times New Roman" w:hAnsi="Times New Roman"/>
          <w:szCs w:val="24"/>
          <w:lang w:val="bs-Latn-BA"/>
        </w:rPr>
        <w:t xml:space="preserve"> </w:t>
      </w:r>
      <w:r>
        <w:rPr>
          <w:rFonts w:ascii="Times New Roman" w:hAnsi="Times New Roman"/>
          <w:szCs w:val="24"/>
          <w:lang w:val="bs-Latn-BA"/>
        </w:rPr>
        <w:t>Стратегији</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превенцију</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борбу</w:t>
      </w:r>
      <w:r w:rsidR="003A2F08" w:rsidRPr="00295637">
        <w:rPr>
          <w:rFonts w:ascii="Times New Roman" w:hAnsi="Times New Roman"/>
          <w:szCs w:val="24"/>
          <w:lang w:val="bs-Latn-BA"/>
        </w:rPr>
        <w:t xml:space="preserve"> </w:t>
      </w:r>
      <w:r>
        <w:rPr>
          <w:rFonts w:ascii="Times New Roman" w:hAnsi="Times New Roman"/>
          <w:szCs w:val="24"/>
          <w:lang w:val="bs-Latn-BA"/>
        </w:rPr>
        <w:t>против</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породици</w:t>
      </w:r>
      <w:r w:rsidR="003A2F08" w:rsidRPr="00295637">
        <w:rPr>
          <w:rFonts w:ascii="Times New Roman" w:hAnsi="Times New Roman"/>
          <w:szCs w:val="24"/>
          <w:lang w:val="bs-Latn-BA"/>
        </w:rPr>
        <w:t xml:space="preserve">, </w:t>
      </w:r>
      <w:r>
        <w:rPr>
          <w:rFonts w:ascii="Times New Roman" w:hAnsi="Times New Roman"/>
          <w:szCs w:val="24"/>
          <w:lang w:val="bs-Latn-BA"/>
        </w:rPr>
        <w:t>Истанбулске</w:t>
      </w:r>
      <w:r w:rsidR="003A2F08" w:rsidRPr="00295637">
        <w:rPr>
          <w:rFonts w:ascii="Times New Roman" w:hAnsi="Times New Roman"/>
          <w:szCs w:val="24"/>
          <w:lang w:val="bs-Latn-BA"/>
        </w:rPr>
        <w:t xml:space="preserve"> </w:t>
      </w:r>
      <w:r>
        <w:rPr>
          <w:rFonts w:ascii="Times New Roman" w:hAnsi="Times New Roman"/>
          <w:szCs w:val="24"/>
          <w:lang w:val="bs-Latn-BA"/>
        </w:rPr>
        <w:t>конвенције</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sidR="00891BBE" w:rsidRPr="00891BBE">
        <w:rPr>
          <w:rFonts w:ascii="Times New Roman" w:hAnsi="Times New Roman"/>
          <w:i/>
          <w:szCs w:val="24"/>
        </w:rPr>
        <w:t>CEDAW</w:t>
      </w:r>
      <w:r w:rsidR="004C065F" w:rsidRPr="00295637">
        <w:rPr>
          <w:rFonts w:ascii="Times New Roman" w:hAnsi="Times New Roman"/>
          <w:szCs w:val="24"/>
          <w:lang w:val="bs-Latn-BA"/>
        </w:rPr>
        <w:t>-</w:t>
      </w:r>
      <w:r>
        <w:rPr>
          <w:rFonts w:ascii="Times New Roman" w:hAnsi="Times New Roman"/>
          <w:szCs w:val="24"/>
          <w:lang w:val="bs-Latn-BA"/>
        </w:rPr>
        <w:t>а</w:t>
      </w:r>
      <w:r w:rsidR="003A2F08" w:rsidRPr="00295637">
        <w:rPr>
          <w:rFonts w:ascii="Times New Roman" w:hAnsi="Times New Roman"/>
          <w:szCs w:val="24"/>
          <w:lang w:val="bs-Latn-BA"/>
        </w:rPr>
        <w:t>.</w:t>
      </w:r>
    </w:p>
    <w:p w:rsidR="00D6496B" w:rsidRPr="00295637" w:rsidRDefault="00D6496B" w:rsidP="0086268D">
      <w:pPr>
        <w:pStyle w:val="ListParagraph"/>
        <w:ind w:left="0"/>
        <w:jc w:val="both"/>
        <w:rPr>
          <w:rFonts w:ascii="Times New Roman" w:hAnsi="Times New Roman"/>
          <w:lang w:val="sr-Cyrl-BA"/>
        </w:rPr>
      </w:pPr>
    </w:p>
    <w:p w:rsidR="00A92736" w:rsidRDefault="00C6214E" w:rsidP="0086268D">
      <w:pPr>
        <w:pStyle w:val="ListParagraph"/>
        <w:ind w:left="0"/>
        <w:jc w:val="both"/>
        <w:rPr>
          <w:rFonts w:ascii="Times New Roman" w:hAnsi="Times New Roman"/>
          <w:lang w:val="sr-Cyrl-BA"/>
        </w:rPr>
      </w:pPr>
      <w:r>
        <w:rPr>
          <w:rFonts w:ascii="Times New Roman" w:hAnsi="Times New Roman"/>
          <w:lang w:val="sr-Cyrl-BA"/>
        </w:rPr>
        <w:t>ЦЈРП</w:t>
      </w:r>
      <w:r w:rsidR="00D6496B" w:rsidRPr="00295637">
        <w:rPr>
          <w:rFonts w:ascii="Times New Roman" w:hAnsi="Times New Roman"/>
          <w:lang w:val="sr-Latn-BA"/>
        </w:rPr>
        <w:t xml:space="preserve"> </w:t>
      </w:r>
      <w:r>
        <w:rPr>
          <w:rFonts w:ascii="Times New Roman" w:hAnsi="Times New Roman"/>
          <w:lang w:val="sr-Cyrl-BA"/>
        </w:rPr>
        <w:t>РС</w:t>
      </w:r>
      <w:r w:rsidR="00D6496B" w:rsidRPr="00295637">
        <w:rPr>
          <w:rFonts w:ascii="Times New Roman" w:hAnsi="Times New Roman"/>
          <w:lang w:val="sr-Cyrl-BA"/>
        </w:rPr>
        <w:t xml:space="preserve"> </w:t>
      </w:r>
      <w:r w:rsidR="005D1812">
        <w:rPr>
          <w:rFonts w:ascii="Times New Roman" w:hAnsi="Times New Roman"/>
          <w:lang w:val="sr-Cyrl-BA"/>
        </w:rPr>
        <w:t>је</w:t>
      </w:r>
      <w:r w:rsidR="005D1812">
        <w:rPr>
          <w:rFonts w:ascii="Times New Roman" w:hAnsi="Times New Roman"/>
          <w:lang w:val="hr-HR"/>
        </w:rPr>
        <w:t xml:space="preserve"> </w:t>
      </w:r>
      <w:r>
        <w:rPr>
          <w:rFonts w:ascii="Times New Roman" w:hAnsi="Times New Roman"/>
          <w:lang w:val="hr-HR"/>
        </w:rPr>
        <w:t>учествовао</w:t>
      </w:r>
      <w:r w:rsidR="00D6496B" w:rsidRPr="00295637">
        <w:rPr>
          <w:rFonts w:ascii="Times New Roman" w:hAnsi="Times New Roman"/>
          <w:lang w:val="sr-Cyrl-BA"/>
        </w:rPr>
        <w:t xml:space="preserve"> </w:t>
      </w:r>
      <w:r>
        <w:rPr>
          <w:rFonts w:ascii="Times New Roman" w:hAnsi="Times New Roman"/>
          <w:lang w:val="sr-Cyrl-BA"/>
        </w:rPr>
        <w:t>у</w:t>
      </w:r>
      <w:r w:rsidR="00D6496B" w:rsidRPr="00295637">
        <w:rPr>
          <w:rFonts w:ascii="Times New Roman" w:hAnsi="Times New Roman"/>
          <w:lang w:val="sr-Cyrl-BA"/>
        </w:rPr>
        <w:t xml:space="preserve"> </w:t>
      </w:r>
      <w:r>
        <w:rPr>
          <w:rFonts w:ascii="Times New Roman" w:hAnsi="Times New Roman"/>
          <w:lang w:val="sr-Cyrl-BA"/>
        </w:rPr>
        <w:t>припреми</w:t>
      </w:r>
      <w:r w:rsidR="00D6496B" w:rsidRPr="00295637">
        <w:rPr>
          <w:rFonts w:ascii="Times New Roman" w:hAnsi="Times New Roman"/>
          <w:lang w:val="sr-Cyrl-BA"/>
        </w:rPr>
        <w:t xml:space="preserve"> </w:t>
      </w:r>
      <w:r>
        <w:rPr>
          <w:rFonts w:ascii="Times New Roman" w:hAnsi="Times New Roman"/>
          <w:lang w:val="sr-Cyrl-BA"/>
        </w:rPr>
        <w:t>података</w:t>
      </w:r>
      <w:r w:rsidR="00D6496B" w:rsidRPr="00295637">
        <w:rPr>
          <w:rFonts w:ascii="Times New Roman" w:hAnsi="Times New Roman"/>
          <w:lang w:val="sr-Cyrl-BA"/>
        </w:rPr>
        <w:t xml:space="preserve"> </w:t>
      </w:r>
      <w:r>
        <w:rPr>
          <w:rFonts w:ascii="Times New Roman" w:hAnsi="Times New Roman"/>
          <w:lang w:val="sr-Cyrl-BA"/>
        </w:rPr>
        <w:t>за</w:t>
      </w:r>
      <w:r w:rsidR="00D6496B" w:rsidRPr="00295637">
        <w:rPr>
          <w:rFonts w:ascii="Times New Roman" w:hAnsi="Times New Roman"/>
          <w:lang w:val="sr-Cyrl-BA"/>
        </w:rPr>
        <w:t xml:space="preserve"> </w:t>
      </w:r>
      <w:r>
        <w:rPr>
          <w:rFonts w:ascii="Times New Roman" w:hAnsi="Times New Roman"/>
          <w:lang w:val="sr-Cyrl-BA"/>
        </w:rPr>
        <w:t>Циљ</w:t>
      </w:r>
      <w:r w:rsidR="00D6496B" w:rsidRPr="00295637">
        <w:rPr>
          <w:rFonts w:ascii="Times New Roman" w:hAnsi="Times New Roman"/>
          <w:lang w:val="sr-Cyrl-BA"/>
        </w:rPr>
        <w:t xml:space="preserve"> 5 </w:t>
      </w:r>
      <w:r>
        <w:rPr>
          <w:rFonts w:ascii="Times New Roman" w:hAnsi="Times New Roman"/>
          <w:lang w:val="sr-Cyrl-BA"/>
        </w:rPr>
        <w:t>за</w:t>
      </w:r>
      <w:r w:rsidR="00D6496B" w:rsidRPr="00295637">
        <w:rPr>
          <w:rFonts w:ascii="Times New Roman" w:hAnsi="Times New Roman"/>
          <w:lang w:val="sr-Cyrl-BA"/>
        </w:rPr>
        <w:t xml:space="preserve"> </w:t>
      </w:r>
      <w:r>
        <w:rPr>
          <w:rFonts w:ascii="Times New Roman" w:hAnsi="Times New Roman"/>
          <w:lang w:val="sr-Cyrl-BA"/>
        </w:rPr>
        <w:t>четврто</w:t>
      </w:r>
      <w:r w:rsidR="00D6496B" w:rsidRPr="00295637">
        <w:rPr>
          <w:rFonts w:ascii="Times New Roman" w:hAnsi="Times New Roman"/>
          <w:lang w:val="sr-Cyrl-BA"/>
        </w:rPr>
        <w:t xml:space="preserve"> </w:t>
      </w:r>
      <w:r>
        <w:rPr>
          <w:rFonts w:ascii="Times New Roman" w:hAnsi="Times New Roman"/>
          <w:lang w:val="sr-Cyrl-BA"/>
        </w:rPr>
        <w:t>издање</w:t>
      </w:r>
      <w:r w:rsidR="00D6496B" w:rsidRPr="00295637">
        <w:rPr>
          <w:rFonts w:ascii="Times New Roman" w:hAnsi="Times New Roman"/>
          <w:lang w:val="sr-Cyrl-BA"/>
        </w:rPr>
        <w:t xml:space="preserve"> </w:t>
      </w:r>
      <w:r>
        <w:rPr>
          <w:rFonts w:ascii="Times New Roman" w:hAnsi="Times New Roman"/>
          <w:lang w:val="sr-Cyrl-BA"/>
        </w:rPr>
        <w:t>публикације</w:t>
      </w:r>
      <w:r w:rsidR="00D6496B" w:rsidRPr="00295637">
        <w:rPr>
          <w:rFonts w:ascii="Times New Roman" w:hAnsi="Times New Roman"/>
          <w:lang w:val="sr-Cyrl-BA"/>
        </w:rPr>
        <w:t xml:space="preserve"> „</w:t>
      </w:r>
      <w:hyperlink r:id="rId16" w:history="1">
        <w:r>
          <w:rPr>
            <w:rFonts w:ascii="Times New Roman" w:hAnsi="Times New Roman"/>
            <w:lang w:val="sr-Cyrl-BA"/>
          </w:rPr>
          <w:t>Индикатори</w:t>
        </w:r>
        <w:r w:rsidR="00D6496B" w:rsidRPr="00295637">
          <w:rPr>
            <w:rFonts w:ascii="Times New Roman" w:hAnsi="Times New Roman"/>
            <w:lang w:val="sr-Cyrl-BA"/>
          </w:rPr>
          <w:t xml:space="preserve"> </w:t>
        </w:r>
        <w:r>
          <w:rPr>
            <w:rFonts w:ascii="Times New Roman" w:hAnsi="Times New Roman"/>
            <w:lang w:val="sr-Cyrl-BA"/>
          </w:rPr>
          <w:t>одрживог</w:t>
        </w:r>
        <w:r w:rsidR="00D6496B" w:rsidRPr="00295637">
          <w:rPr>
            <w:rFonts w:ascii="Times New Roman" w:hAnsi="Times New Roman"/>
            <w:lang w:val="sr-Cyrl-BA"/>
          </w:rPr>
          <w:t xml:space="preserve"> </w:t>
        </w:r>
        <w:r>
          <w:rPr>
            <w:rFonts w:ascii="Times New Roman" w:hAnsi="Times New Roman"/>
            <w:lang w:val="sr-Cyrl-BA"/>
          </w:rPr>
          <w:t>развоја</w:t>
        </w:r>
        <w:r w:rsidR="00D6496B" w:rsidRPr="00295637">
          <w:rPr>
            <w:rFonts w:ascii="Times New Roman" w:hAnsi="Times New Roman"/>
            <w:lang w:val="sr-Cyrl-BA"/>
          </w:rPr>
          <w:t xml:space="preserve"> </w:t>
        </w:r>
        <w:r>
          <w:rPr>
            <w:rFonts w:ascii="Times New Roman" w:hAnsi="Times New Roman"/>
            <w:lang w:val="sr-Cyrl-BA"/>
          </w:rPr>
          <w:t>РС</w:t>
        </w:r>
      </w:hyperlink>
      <w:r w:rsidR="00222A8E">
        <w:rPr>
          <w:rFonts w:ascii="Times New Roman" w:hAnsi="Times New Roman"/>
          <w:lang w:val="hr-HR"/>
        </w:rPr>
        <w:t>“</w:t>
      </w:r>
      <w:r w:rsidR="00D6496B" w:rsidRPr="00295637">
        <w:rPr>
          <w:rFonts w:ascii="Times New Roman" w:hAnsi="Times New Roman"/>
          <w:lang w:val="sr-Latn-BA"/>
        </w:rPr>
        <w:t>,</w:t>
      </w:r>
      <w:r w:rsidR="00D6496B" w:rsidRPr="00295637">
        <w:rPr>
          <w:rFonts w:ascii="Times New Roman" w:hAnsi="Times New Roman"/>
          <w:lang w:val="sr-Cyrl-BA"/>
        </w:rPr>
        <w:t xml:space="preserve"> </w:t>
      </w:r>
      <w:r>
        <w:rPr>
          <w:rFonts w:ascii="Times New Roman" w:hAnsi="Times New Roman"/>
          <w:lang w:val="sr-Cyrl-BA"/>
        </w:rPr>
        <w:t>која</w:t>
      </w:r>
      <w:r w:rsidR="00D6496B" w:rsidRPr="00295637">
        <w:rPr>
          <w:rFonts w:ascii="Times New Roman" w:hAnsi="Times New Roman"/>
          <w:lang w:val="sr-Cyrl-BA"/>
        </w:rPr>
        <w:t xml:space="preserve"> </w:t>
      </w:r>
      <w:r>
        <w:rPr>
          <w:rFonts w:ascii="Times New Roman" w:hAnsi="Times New Roman"/>
          <w:lang w:val="sr-Cyrl-BA"/>
        </w:rPr>
        <w:t>корисницима</w:t>
      </w:r>
      <w:r w:rsidR="00D6496B" w:rsidRPr="00295637">
        <w:rPr>
          <w:rFonts w:ascii="Times New Roman" w:hAnsi="Times New Roman"/>
          <w:lang w:val="sr-Cyrl-BA"/>
        </w:rPr>
        <w:t xml:space="preserve"> </w:t>
      </w:r>
      <w:r>
        <w:rPr>
          <w:rFonts w:ascii="Times New Roman" w:hAnsi="Times New Roman"/>
          <w:lang w:val="sr-Cyrl-BA"/>
        </w:rPr>
        <w:t>пружа</w:t>
      </w:r>
      <w:r w:rsidR="00D6496B" w:rsidRPr="00295637">
        <w:rPr>
          <w:rFonts w:ascii="Times New Roman" w:hAnsi="Times New Roman"/>
          <w:lang w:val="sr-Cyrl-BA"/>
        </w:rPr>
        <w:t xml:space="preserve"> </w:t>
      </w:r>
      <w:r>
        <w:rPr>
          <w:rFonts w:ascii="Times New Roman" w:hAnsi="Times New Roman"/>
          <w:lang w:val="sr-Cyrl-BA"/>
        </w:rPr>
        <w:t>увид</w:t>
      </w:r>
      <w:r w:rsidR="00D6496B" w:rsidRPr="00295637">
        <w:rPr>
          <w:rFonts w:ascii="Times New Roman" w:hAnsi="Times New Roman"/>
          <w:lang w:val="sr-Cyrl-BA"/>
        </w:rPr>
        <w:t xml:space="preserve"> </w:t>
      </w:r>
      <w:r>
        <w:rPr>
          <w:rFonts w:ascii="Times New Roman" w:hAnsi="Times New Roman"/>
          <w:lang w:val="sr-Cyrl-BA"/>
        </w:rPr>
        <w:t>у</w:t>
      </w:r>
      <w:r w:rsidR="00D6496B" w:rsidRPr="00295637">
        <w:rPr>
          <w:rFonts w:ascii="Times New Roman" w:hAnsi="Times New Roman"/>
          <w:lang w:val="sr-Cyrl-BA"/>
        </w:rPr>
        <w:t xml:space="preserve"> </w:t>
      </w:r>
      <w:r>
        <w:rPr>
          <w:rFonts w:ascii="Times New Roman" w:hAnsi="Times New Roman"/>
          <w:lang w:val="sr-Cyrl-BA"/>
        </w:rPr>
        <w:t>Програм</w:t>
      </w:r>
      <w:r w:rsidR="00D6496B" w:rsidRPr="00295637">
        <w:rPr>
          <w:rFonts w:ascii="Times New Roman" w:hAnsi="Times New Roman"/>
          <w:lang w:val="sr-Cyrl-BA"/>
        </w:rPr>
        <w:t xml:space="preserve"> </w:t>
      </w:r>
      <w:r>
        <w:rPr>
          <w:rFonts w:ascii="Times New Roman" w:hAnsi="Times New Roman"/>
          <w:lang w:val="sr-Cyrl-BA"/>
        </w:rPr>
        <w:t>У</w:t>
      </w:r>
      <w:r>
        <w:rPr>
          <w:rFonts w:ascii="Times New Roman" w:hAnsi="Times New Roman"/>
          <w:lang w:val="bs-Latn-BA"/>
        </w:rPr>
        <w:t>Н</w:t>
      </w:r>
      <w:r w:rsidR="00D319BF">
        <w:rPr>
          <w:rFonts w:ascii="Times New Roman" w:hAnsi="Times New Roman"/>
          <w:lang w:val="bs-Latn-BA"/>
        </w:rPr>
        <w:t xml:space="preserve"> </w:t>
      </w:r>
      <w:r>
        <w:rPr>
          <w:rFonts w:ascii="Times New Roman" w:hAnsi="Times New Roman"/>
          <w:lang w:val="sr-Cyrl-BA"/>
        </w:rPr>
        <w:t>за</w:t>
      </w:r>
      <w:r w:rsidR="00D6496B" w:rsidRPr="00295637">
        <w:rPr>
          <w:rFonts w:ascii="Times New Roman" w:hAnsi="Times New Roman"/>
          <w:lang w:val="sr-Cyrl-BA"/>
        </w:rPr>
        <w:t xml:space="preserve"> </w:t>
      </w:r>
      <w:r>
        <w:rPr>
          <w:rFonts w:ascii="Times New Roman" w:hAnsi="Times New Roman"/>
          <w:lang w:val="sr-Cyrl-BA"/>
        </w:rPr>
        <w:t>одрживи</w:t>
      </w:r>
      <w:r w:rsidR="00D6496B" w:rsidRPr="00295637">
        <w:rPr>
          <w:rFonts w:ascii="Times New Roman" w:hAnsi="Times New Roman"/>
          <w:lang w:val="sr-Cyrl-BA"/>
        </w:rPr>
        <w:t xml:space="preserve"> </w:t>
      </w:r>
      <w:r>
        <w:rPr>
          <w:rFonts w:ascii="Times New Roman" w:hAnsi="Times New Roman"/>
          <w:lang w:val="sr-Cyrl-BA"/>
        </w:rPr>
        <w:t>развој</w:t>
      </w:r>
      <w:r w:rsidR="00D6496B" w:rsidRPr="00295637">
        <w:rPr>
          <w:rFonts w:ascii="Times New Roman" w:hAnsi="Times New Roman"/>
          <w:lang w:val="sr-Cyrl-BA"/>
        </w:rPr>
        <w:t xml:space="preserve"> </w:t>
      </w:r>
      <w:r>
        <w:rPr>
          <w:rFonts w:ascii="Times New Roman" w:hAnsi="Times New Roman"/>
          <w:lang w:val="sr-Cyrl-BA"/>
        </w:rPr>
        <w:t>до</w:t>
      </w:r>
      <w:r w:rsidR="00D6496B" w:rsidRPr="00295637">
        <w:rPr>
          <w:rFonts w:ascii="Times New Roman" w:hAnsi="Times New Roman"/>
          <w:lang w:val="sr-Cyrl-BA"/>
        </w:rPr>
        <w:t xml:space="preserve"> 2030. </w:t>
      </w:r>
      <w:r>
        <w:rPr>
          <w:rFonts w:ascii="Times New Roman" w:hAnsi="Times New Roman"/>
          <w:lang w:val="sr-Cyrl-BA"/>
        </w:rPr>
        <w:t>године</w:t>
      </w:r>
      <w:r w:rsidR="00D6496B" w:rsidRPr="00295637">
        <w:rPr>
          <w:rFonts w:ascii="Times New Roman" w:hAnsi="Times New Roman"/>
          <w:lang w:val="sr-Latn-BA"/>
        </w:rPr>
        <w:t>,</w:t>
      </w:r>
      <w:r w:rsidR="00D6496B" w:rsidRPr="00295637">
        <w:rPr>
          <w:rFonts w:ascii="Times New Roman" w:hAnsi="Times New Roman"/>
          <w:lang w:val="sr-Cyrl-BA"/>
        </w:rPr>
        <w:t xml:space="preserve"> </w:t>
      </w:r>
      <w:r>
        <w:rPr>
          <w:rFonts w:ascii="Times New Roman" w:hAnsi="Times New Roman"/>
          <w:lang w:val="sr-Cyrl-BA"/>
        </w:rPr>
        <w:t>циљев</w:t>
      </w:r>
      <w:r>
        <w:rPr>
          <w:rFonts w:ascii="Times New Roman" w:hAnsi="Times New Roman"/>
          <w:lang w:val="sr-Latn-BA"/>
        </w:rPr>
        <w:t>е</w:t>
      </w:r>
      <w:r w:rsidR="00D6496B" w:rsidRPr="00295637">
        <w:rPr>
          <w:rFonts w:ascii="Times New Roman" w:hAnsi="Times New Roman"/>
          <w:lang w:val="sr-Cyrl-BA"/>
        </w:rPr>
        <w:t xml:space="preserve"> </w:t>
      </w:r>
      <w:r>
        <w:rPr>
          <w:rFonts w:ascii="Times New Roman" w:hAnsi="Times New Roman"/>
          <w:lang w:val="sr-Cyrl-BA"/>
        </w:rPr>
        <w:t>и</w:t>
      </w:r>
      <w:r w:rsidR="00D6496B" w:rsidRPr="00295637">
        <w:rPr>
          <w:rFonts w:ascii="Times New Roman" w:hAnsi="Times New Roman"/>
          <w:lang w:val="sr-Cyrl-BA"/>
        </w:rPr>
        <w:t xml:space="preserve"> </w:t>
      </w:r>
      <w:r>
        <w:rPr>
          <w:rFonts w:ascii="Times New Roman" w:hAnsi="Times New Roman"/>
          <w:lang w:val="sr-Cyrl-BA"/>
        </w:rPr>
        <w:t>индикатор</w:t>
      </w:r>
      <w:r>
        <w:rPr>
          <w:rFonts w:ascii="Times New Roman" w:hAnsi="Times New Roman"/>
          <w:lang w:val="sr-Latn-BA"/>
        </w:rPr>
        <w:t>е</w:t>
      </w:r>
      <w:r w:rsidR="00D6496B" w:rsidRPr="00295637">
        <w:rPr>
          <w:rFonts w:ascii="Times New Roman" w:hAnsi="Times New Roman"/>
          <w:lang w:val="sr-Cyrl-BA"/>
        </w:rPr>
        <w:t xml:space="preserve"> </w:t>
      </w:r>
      <w:r>
        <w:rPr>
          <w:rFonts w:ascii="Times New Roman" w:hAnsi="Times New Roman"/>
          <w:lang w:val="sr-Latn-BA"/>
        </w:rPr>
        <w:t>реализације</w:t>
      </w:r>
      <w:r w:rsidR="00D6496B" w:rsidRPr="00295637">
        <w:rPr>
          <w:rFonts w:ascii="Times New Roman" w:hAnsi="Times New Roman"/>
          <w:lang w:val="sr-Latn-BA"/>
        </w:rPr>
        <w:t xml:space="preserve"> </w:t>
      </w:r>
      <w:r>
        <w:rPr>
          <w:rFonts w:ascii="Times New Roman" w:hAnsi="Times New Roman"/>
          <w:lang w:val="sr-Cyrl-BA"/>
        </w:rPr>
        <w:t>као</w:t>
      </w:r>
      <w:r w:rsidR="00D6496B" w:rsidRPr="00295637">
        <w:rPr>
          <w:rFonts w:ascii="Times New Roman" w:hAnsi="Times New Roman"/>
          <w:lang w:val="sr-Cyrl-BA"/>
        </w:rPr>
        <w:t xml:space="preserve"> </w:t>
      </w:r>
      <w:r>
        <w:rPr>
          <w:rFonts w:ascii="Times New Roman" w:hAnsi="Times New Roman"/>
          <w:lang w:val="hr-HR"/>
        </w:rPr>
        <w:t>основа</w:t>
      </w:r>
      <w:r w:rsidR="00D6496B" w:rsidRPr="00295637">
        <w:rPr>
          <w:rFonts w:ascii="Times New Roman" w:hAnsi="Times New Roman"/>
          <w:lang w:val="sr-Cyrl-BA"/>
        </w:rPr>
        <w:t xml:space="preserve"> </w:t>
      </w:r>
      <w:r>
        <w:rPr>
          <w:rFonts w:ascii="Times New Roman" w:hAnsi="Times New Roman"/>
          <w:lang w:val="sr-Cyrl-BA"/>
        </w:rPr>
        <w:t>за</w:t>
      </w:r>
      <w:r w:rsidR="00D6496B" w:rsidRPr="00295637">
        <w:rPr>
          <w:rFonts w:ascii="Times New Roman" w:hAnsi="Times New Roman"/>
          <w:lang w:val="sr-Cyrl-BA"/>
        </w:rPr>
        <w:t xml:space="preserve"> </w:t>
      </w:r>
      <w:r>
        <w:rPr>
          <w:rFonts w:ascii="Times New Roman" w:hAnsi="Times New Roman"/>
          <w:lang w:val="sr-Cyrl-BA"/>
        </w:rPr>
        <w:t>анализу</w:t>
      </w:r>
      <w:r w:rsidR="00D6496B" w:rsidRPr="00295637">
        <w:rPr>
          <w:rFonts w:ascii="Times New Roman" w:hAnsi="Times New Roman"/>
          <w:lang w:val="sr-Cyrl-BA"/>
        </w:rPr>
        <w:t xml:space="preserve">, </w:t>
      </w:r>
      <w:r>
        <w:rPr>
          <w:rFonts w:ascii="Times New Roman" w:hAnsi="Times New Roman"/>
          <w:lang w:val="sr-Cyrl-BA"/>
        </w:rPr>
        <w:t>креирање</w:t>
      </w:r>
      <w:r w:rsidR="00D6496B" w:rsidRPr="00295637">
        <w:rPr>
          <w:rFonts w:ascii="Times New Roman" w:hAnsi="Times New Roman"/>
          <w:lang w:val="sr-Latn-BA"/>
        </w:rPr>
        <w:t xml:space="preserve"> </w:t>
      </w:r>
      <w:r>
        <w:rPr>
          <w:rFonts w:ascii="Times New Roman" w:hAnsi="Times New Roman"/>
          <w:lang w:val="sr-Latn-BA"/>
        </w:rPr>
        <w:t>и</w:t>
      </w:r>
      <w:r w:rsidR="00D6496B" w:rsidRPr="00295637">
        <w:rPr>
          <w:rFonts w:ascii="Times New Roman" w:hAnsi="Times New Roman"/>
          <w:lang w:val="sr-Cyrl-BA"/>
        </w:rPr>
        <w:t xml:space="preserve"> </w:t>
      </w:r>
      <w:r w:rsidR="005D1812">
        <w:rPr>
          <w:rFonts w:ascii="Times New Roman" w:hAnsi="Times New Roman"/>
          <w:lang w:val="sr-Cyrl-BA"/>
        </w:rPr>
        <w:t>спровођење</w:t>
      </w:r>
      <w:r w:rsidR="00D6496B" w:rsidRPr="00295637">
        <w:rPr>
          <w:rFonts w:ascii="Times New Roman" w:hAnsi="Times New Roman"/>
          <w:lang w:val="sr-Cyrl-BA"/>
        </w:rPr>
        <w:t xml:space="preserve"> </w:t>
      </w:r>
      <w:r>
        <w:rPr>
          <w:rFonts w:ascii="Times New Roman" w:hAnsi="Times New Roman"/>
          <w:lang w:val="sr-Cyrl-BA"/>
        </w:rPr>
        <w:t>политика</w:t>
      </w:r>
      <w:r w:rsidR="00D6496B" w:rsidRPr="00295637">
        <w:rPr>
          <w:rFonts w:ascii="Times New Roman" w:hAnsi="Times New Roman"/>
          <w:lang w:val="sr-Cyrl-BA"/>
        </w:rPr>
        <w:t xml:space="preserve"> </w:t>
      </w:r>
      <w:r>
        <w:rPr>
          <w:rFonts w:ascii="Times New Roman" w:hAnsi="Times New Roman"/>
          <w:lang w:val="sr-Latn-BA"/>
        </w:rPr>
        <w:t>усмјерених</w:t>
      </w:r>
      <w:r w:rsidR="00D6496B" w:rsidRPr="00295637">
        <w:rPr>
          <w:rFonts w:ascii="Times New Roman" w:hAnsi="Times New Roman"/>
          <w:lang w:val="sr-Latn-BA"/>
        </w:rPr>
        <w:t xml:space="preserve"> </w:t>
      </w:r>
      <w:r>
        <w:rPr>
          <w:rFonts w:ascii="Times New Roman" w:hAnsi="Times New Roman"/>
          <w:lang w:val="sr-Latn-BA"/>
        </w:rPr>
        <w:t>на</w:t>
      </w:r>
      <w:r w:rsidR="00D6496B" w:rsidRPr="00295637">
        <w:rPr>
          <w:rFonts w:ascii="Times New Roman" w:hAnsi="Times New Roman"/>
          <w:lang w:val="sr-Cyrl-BA"/>
        </w:rPr>
        <w:t xml:space="preserve"> </w:t>
      </w:r>
      <w:r>
        <w:rPr>
          <w:rFonts w:ascii="Times New Roman" w:hAnsi="Times New Roman"/>
          <w:lang w:val="sr-Cyrl-BA"/>
        </w:rPr>
        <w:t>квалитет</w:t>
      </w:r>
      <w:r w:rsidR="00D6496B" w:rsidRPr="00295637">
        <w:rPr>
          <w:rFonts w:ascii="Times New Roman" w:hAnsi="Times New Roman"/>
          <w:lang w:val="sr-Cyrl-BA"/>
        </w:rPr>
        <w:t xml:space="preserve"> </w:t>
      </w:r>
      <w:r>
        <w:rPr>
          <w:rFonts w:ascii="Times New Roman" w:hAnsi="Times New Roman"/>
          <w:lang w:val="sr-Cyrl-BA"/>
        </w:rPr>
        <w:t>живота</w:t>
      </w:r>
      <w:r w:rsidR="00D6496B" w:rsidRPr="00295637">
        <w:rPr>
          <w:rFonts w:ascii="Times New Roman" w:hAnsi="Times New Roman"/>
          <w:lang w:val="sr-Cyrl-BA"/>
        </w:rPr>
        <w:t xml:space="preserve"> </w:t>
      </w:r>
      <w:r>
        <w:rPr>
          <w:rFonts w:ascii="Times New Roman" w:hAnsi="Times New Roman"/>
          <w:lang w:val="sr-Cyrl-BA"/>
        </w:rPr>
        <w:t>и</w:t>
      </w:r>
      <w:r w:rsidR="00D6496B" w:rsidRPr="00295637">
        <w:rPr>
          <w:rFonts w:ascii="Times New Roman" w:hAnsi="Times New Roman"/>
          <w:lang w:val="sr-Cyrl-BA"/>
        </w:rPr>
        <w:t xml:space="preserve"> </w:t>
      </w:r>
      <w:r>
        <w:rPr>
          <w:rFonts w:ascii="Times New Roman" w:hAnsi="Times New Roman"/>
          <w:lang w:val="sr-Cyrl-BA"/>
        </w:rPr>
        <w:t>благостање</w:t>
      </w:r>
      <w:r w:rsidR="00D6496B" w:rsidRPr="00295637">
        <w:rPr>
          <w:rFonts w:ascii="Times New Roman" w:hAnsi="Times New Roman"/>
          <w:lang w:val="sr-Cyrl-BA"/>
        </w:rPr>
        <w:t xml:space="preserve">, </w:t>
      </w:r>
      <w:r>
        <w:rPr>
          <w:rFonts w:ascii="Times New Roman" w:hAnsi="Times New Roman"/>
          <w:lang w:val="sr-Cyrl-BA"/>
        </w:rPr>
        <w:t>здравље</w:t>
      </w:r>
      <w:r w:rsidR="00D6496B" w:rsidRPr="00295637">
        <w:rPr>
          <w:rFonts w:ascii="Times New Roman" w:hAnsi="Times New Roman"/>
          <w:lang w:val="sr-Cyrl-BA"/>
        </w:rPr>
        <w:t xml:space="preserve">, </w:t>
      </w:r>
      <w:r>
        <w:rPr>
          <w:rFonts w:ascii="Times New Roman" w:hAnsi="Times New Roman"/>
          <w:lang w:val="sr-Cyrl-BA"/>
        </w:rPr>
        <w:t>образовање</w:t>
      </w:r>
      <w:r w:rsidR="00D6496B" w:rsidRPr="00295637">
        <w:rPr>
          <w:rFonts w:ascii="Times New Roman" w:hAnsi="Times New Roman"/>
          <w:lang w:val="sr-Cyrl-BA"/>
        </w:rPr>
        <w:t xml:space="preserve">, </w:t>
      </w:r>
      <w:r>
        <w:rPr>
          <w:rFonts w:ascii="Times New Roman" w:hAnsi="Times New Roman"/>
          <w:lang w:val="sr-Cyrl-BA"/>
        </w:rPr>
        <w:t>климатске</w:t>
      </w:r>
      <w:r w:rsidR="00D6496B" w:rsidRPr="00295637">
        <w:rPr>
          <w:rFonts w:ascii="Times New Roman" w:hAnsi="Times New Roman"/>
          <w:lang w:val="sr-Cyrl-BA"/>
        </w:rPr>
        <w:t xml:space="preserve"> </w:t>
      </w:r>
      <w:r>
        <w:rPr>
          <w:rFonts w:ascii="Times New Roman" w:hAnsi="Times New Roman"/>
          <w:lang w:val="sr-Cyrl-BA"/>
        </w:rPr>
        <w:t>промјене</w:t>
      </w:r>
      <w:r w:rsidR="00D6496B" w:rsidRPr="00295637">
        <w:rPr>
          <w:rFonts w:ascii="Times New Roman" w:hAnsi="Times New Roman"/>
          <w:lang w:val="sr-Cyrl-BA"/>
        </w:rPr>
        <w:t xml:space="preserve">, </w:t>
      </w:r>
      <w:r>
        <w:rPr>
          <w:rFonts w:ascii="Times New Roman" w:hAnsi="Times New Roman"/>
          <w:lang w:val="sr-Cyrl-BA"/>
        </w:rPr>
        <w:t>родн</w:t>
      </w:r>
      <w:r>
        <w:rPr>
          <w:rFonts w:ascii="Times New Roman" w:hAnsi="Times New Roman"/>
          <w:lang w:val="sr-Latn-BA"/>
        </w:rPr>
        <w:t>у</w:t>
      </w:r>
      <w:r w:rsidR="00050016">
        <w:rPr>
          <w:rFonts w:ascii="Times New Roman" w:hAnsi="Times New Roman"/>
          <w:lang w:val="sr-Cyrl-BA"/>
        </w:rPr>
        <w:t xml:space="preserve"> </w:t>
      </w:r>
      <w:r>
        <w:rPr>
          <w:rFonts w:ascii="Times New Roman" w:hAnsi="Times New Roman"/>
          <w:lang w:val="sr-Cyrl-BA"/>
        </w:rPr>
        <w:t>равноправност</w:t>
      </w:r>
      <w:r w:rsidR="00050016">
        <w:rPr>
          <w:rFonts w:ascii="Times New Roman" w:hAnsi="Times New Roman"/>
          <w:lang w:val="sr-Cyrl-BA"/>
        </w:rPr>
        <w:t xml:space="preserve">, </w:t>
      </w:r>
      <w:r>
        <w:rPr>
          <w:rFonts w:ascii="Times New Roman" w:hAnsi="Times New Roman"/>
          <w:lang w:val="sr-Cyrl-BA"/>
        </w:rPr>
        <w:t>ефикасне</w:t>
      </w:r>
      <w:r w:rsidR="00050016">
        <w:rPr>
          <w:rFonts w:ascii="Times New Roman" w:hAnsi="Times New Roman"/>
          <w:lang w:val="sr-Cyrl-BA"/>
        </w:rPr>
        <w:t xml:space="preserve"> </w:t>
      </w:r>
      <w:r>
        <w:rPr>
          <w:rFonts w:ascii="Times New Roman" w:hAnsi="Times New Roman"/>
          <w:lang w:val="sr-Cyrl-BA"/>
        </w:rPr>
        <w:t>и</w:t>
      </w:r>
      <w:r w:rsidR="00D6496B" w:rsidRPr="00295637">
        <w:rPr>
          <w:rFonts w:ascii="Times New Roman" w:hAnsi="Times New Roman"/>
          <w:lang w:val="sr-Cyrl-BA"/>
        </w:rPr>
        <w:t xml:space="preserve"> </w:t>
      </w:r>
      <w:r>
        <w:rPr>
          <w:rFonts w:ascii="Times New Roman" w:hAnsi="Times New Roman"/>
          <w:lang w:val="sr-Cyrl-BA"/>
        </w:rPr>
        <w:t>одговорне</w:t>
      </w:r>
      <w:r w:rsidR="00D6496B" w:rsidRPr="00295637">
        <w:rPr>
          <w:rFonts w:ascii="Times New Roman" w:hAnsi="Times New Roman"/>
          <w:lang w:val="sr-Cyrl-BA"/>
        </w:rPr>
        <w:t xml:space="preserve"> </w:t>
      </w:r>
      <w:r>
        <w:rPr>
          <w:rFonts w:ascii="Times New Roman" w:hAnsi="Times New Roman"/>
          <w:lang w:val="sr-Cyrl-BA"/>
        </w:rPr>
        <w:t>институције</w:t>
      </w:r>
      <w:r w:rsidR="00D6496B" w:rsidRPr="00295637">
        <w:rPr>
          <w:rFonts w:ascii="Times New Roman" w:hAnsi="Times New Roman"/>
          <w:lang w:val="sr-Cyrl-BA"/>
        </w:rPr>
        <w:t xml:space="preserve"> </w:t>
      </w:r>
      <w:r>
        <w:rPr>
          <w:rFonts w:ascii="Times New Roman" w:hAnsi="Times New Roman"/>
          <w:lang w:val="sr-Cyrl-BA"/>
        </w:rPr>
        <w:t>и</w:t>
      </w:r>
      <w:r w:rsidR="00D6496B" w:rsidRPr="00295637">
        <w:rPr>
          <w:rFonts w:ascii="Times New Roman" w:hAnsi="Times New Roman"/>
          <w:lang w:val="sr-Cyrl-BA"/>
        </w:rPr>
        <w:t xml:space="preserve"> </w:t>
      </w:r>
      <w:r>
        <w:rPr>
          <w:rFonts w:ascii="Times New Roman" w:hAnsi="Times New Roman"/>
          <w:lang w:val="sr-Cyrl-BA"/>
        </w:rPr>
        <w:t>друго</w:t>
      </w:r>
      <w:r w:rsidR="00D6496B" w:rsidRPr="00295637">
        <w:rPr>
          <w:rFonts w:ascii="Times New Roman" w:hAnsi="Times New Roman"/>
          <w:lang w:val="sr-Cyrl-BA"/>
        </w:rPr>
        <w:t>.</w:t>
      </w:r>
    </w:p>
    <w:p w:rsidR="007D6E3D" w:rsidRPr="00295637" w:rsidRDefault="007D6E3D" w:rsidP="0086268D">
      <w:pPr>
        <w:rPr>
          <w:lang w:val="bs-Latn-BA"/>
        </w:rPr>
      </w:pPr>
    </w:p>
    <w:p w:rsidR="00356C2C" w:rsidRPr="00295637" w:rsidRDefault="005D1812" w:rsidP="007924AF">
      <w:pPr>
        <w:tabs>
          <w:tab w:val="left" w:pos="284"/>
          <w:tab w:val="left" w:pos="630"/>
          <w:tab w:val="left" w:pos="1080"/>
        </w:tabs>
        <w:ind w:left="567"/>
        <w:jc w:val="both"/>
        <w:rPr>
          <w:rFonts w:ascii="Times New Roman" w:hAnsi="Times New Roman"/>
          <w:szCs w:val="24"/>
          <w:lang w:val="bs-Latn-BA"/>
        </w:rPr>
      </w:pPr>
      <w:r w:rsidRPr="005D1812">
        <w:rPr>
          <w:rFonts w:ascii="Times New Roman" w:hAnsi="Times New Roman"/>
          <w:szCs w:val="24"/>
          <w:lang w:val="bs-Latn-BA"/>
        </w:rPr>
        <w:t>II</w:t>
      </w:r>
      <w:r w:rsidR="007924AF">
        <w:rPr>
          <w:rFonts w:ascii="Times New Roman" w:hAnsi="Times New Roman"/>
          <w:szCs w:val="24"/>
          <w:lang w:val="bs-Latn-BA"/>
        </w:rPr>
        <w:t xml:space="preserve"> 2.7. </w:t>
      </w:r>
      <w:r w:rsidR="00C6214E">
        <w:rPr>
          <w:rFonts w:ascii="Times New Roman" w:hAnsi="Times New Roman"/>
          <w:szCs w:val="24"/>
          <w:lang w:val="bs-Latn-BA"/>
        </w:rPr>
        <w:t>Редовно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извјештавање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стању</w:t>
      </w:r>
      <w:r w:rsidR="00356C2C" w:rsidRPr="00295637">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356C2C" w:rsidRPr="00295637">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у</w:t>
      </w:r>
      <w:r w:rsidR="00222A8E">
        <w:rPr>
          <w:rFonts w:ascii="Times New Roman" w:hAnsi="Times New Roman"/>
          <w:szCs w:val="24"/>
          <w:lang w:val="bs-Latn-BA"/>
        </w:rPr>
        <w:t xml:space="preserve"> </w:t>
      </w:r>
      <w:r w:rsidR="00C6214E">
        <w:rPr>
          <w:rFonts w:ascii="Times New Roman" w:hAnsi="Times New Roman"/>
          <w:szCs w:val="24"/>
          <w:lang w:val="bs-Latn-BA"/>
        </w:rPr>
        <w:t>БиХ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основу</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извјештаја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надлежних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институција</w:t>
      </w:r>
      <w:r w:rsidR="00356C2C" w:rsidRPr="00295637">
        <w:rPr>
          <w:rFonts w:ascii="Times New Roman" w:hAnsi="Times New Roman"/>
          <w:szCs w:val="24"/>
          <w:lang w:val="bs-Latn-BA"/>
        </w:rPr>
        <w:t xml:space="preserve">. </w:t>
      </w:r>
    </w:p>
    <w:p w:rsidR="00AC56C0" w:rsidRPr="00295637" w:rsidRDefault="00AC56C0" w:rsidP="0086268D">
      <w:pPr>
        <w:pStyle w:val="NormalWeb"/>
        <w:spacing w:before="0" w:beforeAutospacing="0" w:after="0" w:afterAutospacing="0"/>
        <w:textAlignment w:val="baseline"/>
        <w:rPr>
          <w:rFonts w:ascii="Helvetica" w:hAnsi="Helvetica"/>
        </w:rPr>
      </w:pPr>
    </w:p>
    <w:p w:rsidR="00BF01AB" w:rsidRPr="00295637" w:rsidRDefault="00C6214E" w:rsidP="0086268D">
      <w:pPr>
        <w:pStyle w:val="NormalWeb"/>
        <w:spacing w:before="0" w:beforeAutospacing="0" w:after="0" w:afterAutospacing="0"/>
        <w:jc w:val="both"/>
        <w:textAlignment w:val="baseline"/>
      </w:pPr>
      <w:r>
        <w:rPr>
          <w:lang w:val="hr-HR"/>
        </w:rPr>
        <w:t>АР</w:t>
      </w:r>
      <w:r w:rsidR="005D1812">
        <w:rPr>
          <w:lang w:val="sr-Cyrl-BA"/>
        </w:rPr>
        <w:t>П</w:t>
      </w:r>
      <w:r w:rsidR="00222A8E">
        <w:rPr>
          <w:lang w:val="hr-HR"/>
        </w:rPr>
        <w:t xml:space="preserve"> </w:t>
      </w:r>
      <w:r>
        <w:rPr>
          <w:lang w:val="hr-HR"/>
        </w:rPr>
        <w:t>БиХ</w:t>
      </w:r>
      <w:r w:rsidR="00222A8E">
        <w:rPr>
          <w:lang w:val="hr-HR"/>
        </w:rPr>
        <w:t xml:space="preserve"> </w:t>
      </w:r>
      <w:r>
        <w:rPr>
          <w:lang w:val="hr-HR"/>
        </w:rPr>
        <w:t>МЉПИ</w:t>
      </w:r>
      <w:r w:rsidR="00222A8E">
        <w:rPr>
          <w:lang w:val="hr-HR"/>
        </w:rPr>
        <w:t xml:space="preserve"> </w:t>
      </w:r>
      <w:r>
        <w:rPr>
          <w:lang w:val="hr-HR"/>
        </w:rPr>
        <w:t>БиХ</w:t>
      </w:r>
      <w:r w:rsidR="00286171" w:rsidRPr="00295637">
        <w:rPr>
          <w:lang w:val="hr-HR"/>
        </w:rPr>
        <w:t xml:space="preserve"> </w:t>
      </w:r>
      <w:r>
        <w:rPr>
          <w:lang w:val="hr-HR"/>
        </w:rPr>
        <w:t>је</w:t>
      </w:r>
      <w:r w:rsidR="00286171" w:rsidRPr="00295637">
        <w:rPr>
          <w:lang w:val="hr-HR"/>
        </w:rPr>
        <w:t xml:space="preserve"> </w:t>
      </w:r>
      <w:r>
        <w:rPr>
          <w:lang w:val="hr-HR"/>
        </w:rPr>
        <w:t>у</w:t>
      </w:r>
      <w:r w:rsidR="00286171" w:rsidRPr="00295637">
        <w:rPr>
          <w:lang w:val="hr-HR"/>
        </w:rPr>
        <w:t xml:space="preserve"> </w:t>
      </w:r>
      <w:r>
        <w:rPr>
          <w:lang w:val="hr-HR"/>
        </w:rPr>
        <w:t>марту</w:t>
      </w:r>
      <w:r w:rsidR="00286171" w:rsidRPr="00295637">
        <w:rPr>
          <w:lang w:val="hr-HR"/>
        </w:rPr>
        <w:t xml:space="preserve"> 2024. </w:t>
      </w:r>
      <w:r>
        <w:rPr>
          <w:lang w:val="hr-HR"/>
        </w:rPr>
        <w:t>годионе</w:t>
      </w:r>
      <w:r w:rsidR="00286171" w:rsidRPr="00295637">
        <w:rPr>
          <w:lang w:val="hr-HR"/>
        </w:rPr>
        <w:t xml:space="preserve">, </w:t>
      </w:r>
      <w:r>
        <w:rPr>
          <w:lang w:val="hr-HR"/>
        </w:rPr>
        <w:t>у</w:t>
      </w:r>
      <w:r w:rsidR="00286171" w:rsidRPr="00295637">
        <w:rPr>
          <w:lang w:val="hr-HR"/>
        </w:rPr>
        <w:t xml:space="preserve"> </w:t>
      </w:r>
      <w:r>
        <w:rPr>
          <w:lang w:val="hr-HR"/>
        </w:rPr>
        <w:t>сарадњи</w:t>
      </w:r>
      <w:r w:rsidR="00222A8E">
        <w:rPr>
          <w:lang w:val="hr-HR"/>
        </w:rPr>
        <w:t xml:space="preserve"> </w:t>
      </w:r>
      <w:r>
        <w:rPr>
          <w:lang w:val="hr-HR"/>
        </w:rPr>
        <w:t>са</w:t>
      </w:r>
      <w:r w:rsidR="00286171" w:rsidRPr="00295637">
        <w:rPr>
          <w:lang w:val="hr-HR"/>
        </w:rPr>
        <w:t xml:space="preserve"> </w:t>
      </w:r>
      <w:r>
        <w:rPr>
          <w:lang w:val="hr-HR"/>
        </w:rPr>
        <w:t>БХАС</w:t>
      </w:r>
      <w:r w:rsidR="00286171" w:rsidRPr="00295637">
        <w:rPr>
          <w:lang w:val="hr-HR"/>
        </w:rPr>
        <w:t xml:space="preserve"> </w:t>
      </w:r>
      <w:r>
        <w:rPr>
          <w:lang w:val="hr-HR"/>
        </w:rPr>
        <w:t>и</w:t>
      </w:r>
      <w:r w:rsidR="00286171" w:rsidRPr="00295637">
        <w:rPr>
          <w:lang w:val="hr-HR"/>
        </w:rPr>
        <w:t xml:space="preserve"> </w:t>
      </w:r>
      <w:r w:rsidR="005D1812" w:rsidRPr="005D1812">
        <w:rPr>
          <w:i/>
          <w:lang w:val="bs-Latn-BA"/>
        </w:rPr>
        <w:t>UN Women</w:t>
      </w:r>
      <w:r w:rsidR="00286171" w:rsidRPr="00295637">
        <w:rPr>
          <w:lang w:val="hr-HR"/>
        </w:rPr>
        <w:t xml:space="preserve">, </w:t>
      </w:r>
      <w:r>
        <w:rPr>
          <w:lang w:val="hr-HR"/>
        </w:rPr>
        <w:t>реализ</w:t>
      </w:r>
      <w:r w:rsidR="005D1812">
        <w:rPr>
          <w:lang w:val="sr-Cyrl-BA"/>
        </w:rPr>
        <w:t>овала</w:t>
      </w:r>
      <w:r w:rsidR="00286171" w:rsidRPr="00295637">
        <w:rPr>
          <w:lang w:val="hr-HR"/>
        </w:rPr>
        <w:t xml:space="preserve"> </w:t>
      </w:r>
      <w:r>
        <w:rPr>
          <w:lang w:val="hr-HR"/>
        </w:rPr>
        <w:t>публикацију</w:t>
      </w:r>
      <w:r w:rsidR="00286171" w:rsidRPr="00295637">
        <w:rPr>
          <w:lang w:val="hr-HR"/>
        </w:rPr>
        <w:t xml:space="preserve"> </w:t>
      </w:r>
      <w:r>
        <w:rPr>
          <w:lang w:val="hr-HR"/>
        </w:rPr>
        <w:t>и</w:t>
      </w:r>
      <w:r w:rsidR="00286171" w:rsidRPr="00295637">
        <w:rPr>
          <w:lang w:val="hr-HR"/>
        </w:rPr>
        <w:t xml:space="preserve"> </w:t>
      </w:r>
      <w:r>
        <w:rPr>
          <w:lang w:val="hr-HR"/>
        </w:rPr>
        <w:t>јавну</w:t>
      </w:r>
      <w:r w:rsidR="00286171" w:rsidRPr="00295637">
        <w:rPr>
          <w:lang w:val="hr-HR"/>
        </w:rPr>
        <w:t xml:space="preserve"> </w:t>
      </w:r>
      <w:r>
        <w:rPr>
          <w:lang w:val="hr-HR"/>
        </w:rPr>
        <w:t>презентацију</w:t>
      </w:r>
      <w:r w:rsidR="00286171" w:rsidRPr="00295637">
        <w:rPr>
          <w:lang w:val="hr-HR"/>
        </w:rPr>
        <w:t xml:space="preserve"> </w:t>
      </w:r>
      <w:r>
        <w:rPr>
          <w:lang w:val="hr-HR"/>
        </w:rPr>
        <w:t>Индекса</w:t>
      </w:r>
      <w:r w:rsidR="00286171" w:rsidRPr="00295637">
        <w:rPr>
          <w:lang w:val="hr-HR"/>
        </w:rPr>
        <w:t xml:space="preserve"> </w:t>
      </w:r>
      <w:r>
        <w:t>равноправности</w:t>
      </w:r>
      <w:r w:rsidR="00CC105E" w:rsidRPr="00295637">
        <w:t xml:space="preserve"> </w:t>
      </w:r>
      <w:r>
        <w:t>полова</w:t>
      </w:r>
      <w:r w:rsidR="00CC105E" w:rsidRPr="00295637">
        <w:rPr>
          <w:lang w:val="hr-HR"/>
        </w:rPr>
        <w:t xml:space="preserve"> </w:t>
      </w:r>
      <w:r w:rsidR="00286171" w:rsidRPr="00295637">
        <w:rPr>
          <w:lang w:val="hr-HR"/>
        </w:rPr>
        <w:t>2023.</w:t>
      </w:r>
      <w:r w:rsidR="00222A8E">
        <w:rPr>
          <w:lang w:val="hr-HR"/>
        </w:rPr>
        <w:t xml:space="preserve"> </w:t>
      </w:r>
      <w:r>
        <w:rPr>
          <w:lang w:val="hr-HR"/>
        </w:rPr>
        <w:t>године</w:t>
      </w:r>
      <w:r w:rsidR="00222A8E">
        <w:rPr>
          <w:lang w:val="hr-HR"/>
        </w:rPr>
        <w:t>.</w:t>
      </w:r>
      <w:r w:rsidR="00286171" w:rsidRPr="00295637">
        <w:rPr>
          <w:lang w:val="hr-HR"/>
        </w:rPr>
        <w:t xml:space="preserve"> </w:t>
      </w:r>
      <w:r>
        <w:rPr>
          <w:lang w:val="hr-HR"/>
        </w:rPr>
        <w:t>БХАС</w:t>
      </w:r>
      <w:r w:rsidR="009E54A2" w:rsidRPr="00295637">
        <w:rPr>
          <w:lang w:val="hr-HR"/>
        </w:rPr>
        <w:t xml:space="preserve"> </w:t>
      </w:r>
      <w:r>
        <w:rPr>
          <w:lang w:val="hr-HR"/>
        </w:rPr>
        <w:t>израчунава</w:t>
      </w:r>
      <w:r w:rsidR="00286171" w:rsidRPr="00295637">
        <w:rPr>
          <w:lang w:val="hr-HR"/>
        </w:rPr>
        <w:t xml:space="preserve"> </w:t>
      </w:r>
      <w:r>
        <w:rPr>
          <w:rStyle w:val="Strong"/>
          <w:b w:val="0"/>
          <w:bdr w:val="none" w:sz="0" w:space="0" w:color="auto" w:frame="1"/>
        </w:rPr>
        <w:t>Индекс</w:t>
      </w:r>
      <w:r w:rsidR="00BF01AB" w:rsidRPr="00295637">
        <w:rPr>
          <w:rStyle w:val="Strong"/>
          <w:b w:val="0"/>
          <w:bdr w:val="none" w:sz="0" w:space="0" w:color="auto" w:frame="1"/>
        </w:rPr>
        <w:t xml:space="preserve"> </w:t>
      </w:r>
      <w:r>
        <w:rPr>
          <w:rStyle w:val="Strong"/>
          <w:b w:val="0"/>
          <w:bdr w:val="none" w:sz="0" w:space="0" w:color="auto" w:frame="1"/>
        </w:rPr>
        <w:t>равноправности</w:t>
      </w:r>
      <w:r w:rsidR="00BF01AB" w:rsidRPr="00295637">
        <w:rPr>
          <w:rStyle w:val="Strong"/>
          <w:b w:val="0"/>
          <w:bdr w:val="none" w:sz="0" w:space="0" w:color="auto" w:frame="1"/>
        </w:rPr>
        <w:t xml:space="preserve"> </w:t>
      </w:r>
      <w:r>
        <w:rPr>
          <w:rStyle w:val="Strong"/>
          <w:b w:val="0"/>
          <w:bdr w:val="none" w:sz="0" w:space="0" w:color="auto" w:frame="1"/>
        </w:rPr>
        <w:t>полова</w:t>
      </w:r>
      <w:r w:rsidR="00BF01AB" w:rsidRPr="00295637">
        <w:rPr>
          <w:rStyle w:val="Strong"/>
          <w:b w:val="0"/>
          <w:bdr w:val="none" w:sz="0" w:space="0" w:color="auto" w:frame="1"/>
        </w:rPr>
        <w:t xml:space="preserve"> </w:t>
      </w:r>
      <w:r>
        <w:rPr>
          <w:rStyle w:val="Strong"/>
          <w:b w:val="0"/>
          <w:bdr w:val="none" w:sz="0" w:space="0" w:color="auto" w:frame="1"/>
        </w:rPr>
        <w:t>за</w:t>
      </w:r>
      <w:r w:rsidR="00BF01AB" w:rsidRPr="00295637">
        <w:rPr>
          <w:rStyle w:val="Strong"/>
          <w:b w:val="0"/>
          <w:bdr w:val="none" w:sz="0" w:space="0" w:color="auto" w:frame="1"/>
        </w:rPr>
        <w:t xml:space="preserve"> </w:t>
      </w:r>
      <w:r>
        <w:rPr>
          <w:rStyle w:val="Strong"/>
          <w:b w:val="0"/>
          <w:bdr w:val="none" w:sz="0" w:space="0" w:color="auto" w:frame="1"/>
        </w:rPr>
        <w:t>БиХ</w:t>
      </w:r>
      <w:r w:rsidR="00BF01AB" w:rsidRPr="00295637">
        <w:rPr>
          <w:rStyle w:val="Strong"/>
          <w:b w:val="0"/>
          <w:bdr w:val="none" w:sz="0" w:space="0" w:color="auto" w:frame="1"/>
        </w:rPr>
        <w:t xml:space="preserve"> (</w:t>
      </w:r>
      <w:r>
        <w:rPr>
          <w:rStyle w:val="Strong"/>
          <w:b w:val="0"/>
          <w:bdr w:val="none" w:sz="0" w:space="0" w:color="auto" w:frame="1"/>
        </w:rPr>
        <w:t>Гендер</w:t>
      </w:r>
      <w:r w:rsidR="00BF01AB" w:rsidRPr="00295637">
        <w:rPr>
          <w:rStyle w:val="Strong"/>
          <w:b w:val="0"/>
          <w:bdr w:val="none" w:sz="0" w:space="0" w:color="auto" w:frame="1"/>
        </w:rPr>
        <w:t xml:space="preserve"> </w:t>
      </w:r>
      <w:r>
        <w:rPr>
          <w:rStyle w:val="Strong"/>
          <w:b w:val="0"/>
          <w:bdr w:val="none" w:sz="0" w:space="0" w:color="auto" w:frame="1"/>
        </w:rPr>
        <w:t>индекс</w:t>
      </w:r>
      <w:r w:rsidR="00BF01AB" w:rsidRPr="00295637">
        <w:rPr>
          <w:rStyle w:val="Strong"/>
          <w:b w:val="0"/>
          <w:bdr w:val="none" w:sz="0" w:space="0" w:color="auto" w:frame="1"/>
        </w:rPr>
        <w:t>)</w:t>
      </w:r>
      <w:r w:rsidR="00BF01AB" w:rsidRPr="00295637">
        <w:t> </w:t>
      </w:r>
      <w:r>
        <w:t>према</w:t>
      </w:r>
      <w:r w:rsidR="00BF01AB" w:rsidRPr="00295637">
        <w:t xml:space="preserve"> </w:t>
      </w:r>
      <w:r>
        <w:t>методологији</w:t>
      </w:r>
      <w:r w:rsidR="00BF01AB" w:rsidRPr="00295637">
        <w:t xml:space="preserve"> </w:t>
      </w:r>
      <w:r>
        <w:t>Европског</w:t>
      </w:r>
      <w:r w:rsidR="00BF01AB" w:rsidRPr="00295637">
        <w:t xml:space="preserve"> </w:t>
      </w:r>
      <w:r>
        <w:t>института</w:t>
      </w:r>
      <w:r w:rsidR="00BF01AB" w:rsidRPr="00295637">
        <w:t xml:space="preserve"> </w:t>
      </w:r>
      <w:r>
        <w:t>за</w:t>
      </w:r>
      <w:r w:rsidR="00BF01AB" w:rsidRPr="00295637">
        <w:t xml:space="preserve"> </w:t>
      </w:r>
      <w:r>
        <w:t>родну</w:t>
      </w:r>
      <w:r w:rsidR="00BF01AB" w:rsidRPr="00295637">
        <w:t xml:space="preserve"> </w:t>
      </w:r>
      <w:r>
        <w:t>равноправност</w:t>
      </w:r>
      <w:r w:rsidR="00BF01AB" w:rsidRPr="00295637">
        <w:t xml:space="preserve"> </w:t>
      </w:r>
      <w:r w:rsidR="00BF01AB" w:rsidRPr="00295637">
        <w:rPr>
          <w:b/>
        </w:rPr>
        <w:t>(</w:t>
      </w:r>
      <w:r w:rsidR="005D1812" w:rsidRPr="005D1812">
        <w:rPr>
          <w:bCs/>
          <w:i/>
          <w:bdr w:val="none" w:sz="0" w:space="0" w:color="auto" w:frame="1"/>
          <w:lang w:val="hr-BA"/>
        </w:rPr>
        <w:t>EIGE</w:t>
      </w:r>
      <w:r w:rsidR="00BF01AB" w:rsidRPr="00295637">
        <w:rPr>
          <w:b/>
        </w:rPr>
        <w:t>)</w:t>
      </w:r>
      <w:r w:rsidR="00BF01AB" w:rsidRPr="00222A8E">
        <w:t>.</w:t>
      </w:r>
      <w:r w:rsidR="00BF01AB" w:rsidRPr="00295637">
        <w:t xml:space="preserve"> </w:t>
      </w:r>
      <w:r>
        <w:t>Гендер</w:t>
      </w:r>
      <w:r w:rsidR="00BF01AB" w:rsidRPr="00295637">
        <w:t xml:space="preserve"> </w:t>
      </w:r>
      <w:r>
        <w:t>индекс</w:t>
      </w:r>
      <w:r w:rsidR="00BF01AB" w:rsidRPr="00295637">
        <w:t xml:space="preserve"> </w:t>
      </w:r>
      <w:r>
        <w:t>је</w:t>
      </w:r>
      <w:r w:rsidR="00BF01AB" w:rsidRPr="00295637">
        <w:t xml:space="preserve"> </w:t>
      </w:r>
      <w:r>
        <w:t>инструмент</w:t>
      </w:r>
      <w:r w:rsidR="00BF01AB" w:rsidRPr="00295637">
        <w:t xml:space="preserve"> </w:t>
      </w:r>
      <w:r>
        <w:t>који</w:t>
      </w:r>
      <w:r w:rsidR="00BF01AB" w:rsidRPr="00295637">
        <w:t xml:space="preserve"> </w:t>
      </w:r>
      <w:r>
        <w:t>омогућава</w:t>
      </w:r>
      <w:r w:rsidR="00BF01AB" w:rsidRPr="00295637">
        <w:t xml:space="preserve"> </w:t>
      </w:r>
      <w:r>
        <w:t>да</w:t>
      </w:r>
      <w:r w:rsidR="00BF01AB" w:rsidRPr="00295637">
        <w:t xml:space="preserve"> </w:t>
      </w:r>
      <w:r>
        <w:t>на</w:t>
      </w:r>
      <w:r w:rsidR="00BF01AB" w:rsidRPr="00295637">
        <w:t xml:space="preserve"> </w:t>
      </w:r>
      <w:r>
        <w:t>статистички</w:t>
      </w:r>
      <w:r w:rsidR="00BF01AB" w:rsidRPr="00295637">
        <w:t xml:space="preserve"> </w:t>
      </w:r>
      <w:r>
        <w:t>легитиман</w:t>
      </w:r>
      <w:r w:rsidR="00BF01AB" w:rsidRPr="00295637">
        <w:t xml:space="preserve">, </w:t>
      </w:r>
      <w:r>
        <w:t>објективан</w:t>
      </w:r>
      <w:r w:rsidR="00BF01AB" w:rsidRPr="00295637">
        <w:t xml:space="preserve"> </w:t>
      </w:r>
      <w:r>
        <w:t>и</w:t>
      </w:r>
      <w:r w:rsidR="00BF01AB" w:rsidRPr="00295637">
        <w:t xml:space="preserve"> </w:t>
      </w:r>
      <w:r>
        <w:t>ажуран</w:t>
      </w:r>
      <w:r w:rsidR="00BF01AB" w:rsidRPr="00295637">
        <w:t xml:space="preserve"> </w:t>
      </w:r>
      <w:r>
        <w:t>начин</w:t>
      </w:r>
      <w:r w:rsidR="00BF01AB" w:rsidRPr="00295637">
        <w:t xml:space="preserve">, </w:t>
      </w:r>
      <w:r>
        <w:t>упоредимо</w:t>
      </w:r>
      <w:r w:rsidR="00BF01AB" w:rsidRPr="00295637">
        <w:t xml:space="preserve"> </w:t>
      </w:r>
      <w:r>
        <w:t>стање</w:t>
      </w:r>
      <w:r w:rsidR="00BF01AB" w:rsidRPr="00295637">
        <w:t xml:space="preserve"> </w:t>
      </w:r>
      <w:r>
        <w:t>равноправности</w:t>
      </w:r>
      <w:r w:rsidR="00BF01AB" w:rsidRPr="00295637">
        <w:t xml:space="preserve"> </w:t>
      </w:r>
      <w:r>
        <w:t>полова</w:t>
      </w:r>
      <w:r w:rsidR="00BF01AB" w:rsidRPr="00295637">
        <w:t xml:space="preserve"> </w:t>
      </w:r>
      <w:r>
        <w:t>у</w:t>
      </w:r>
      <w:r w:rsidR="00BF01AB" w:rsidRPr="00295637">
        <w:t xml:space="preserve"> </w:t>
      </w:r>
      <w:r>
        <w:t>БиХ</w:t>
      </w:r>
      <w:r w:rsidR="00222A8E">
        <w:t xml:space="preserve"> </w:t>
      </w:r>
      <w:r>
        <w:t>са</w:t>
      </w:r>
      <w:r w:rsidR="00BF01AB" w:rsidRPr="00295637">
        <w:t xml:space="preserve"> </w:t>
      </w:r>
      <w:r>
        <w:t>стањем</w:t>
      </w:r>
      <w:r w:rsidR="00BF01AB" w:rsidRPr="00295637">
        <w:t xml:space="preserve"> </w:t>
      </w:r>
      <w:r>
        <w:t>у</w:t>
      </w:r>
      <w:r w:rsidR="00BF01AB" w:rsidRPr="00295637">
        <w:t xml:space="preserve"> </w:t>
      </w:r>
      <w:r>
        <w:t>ЕУ</w:t>
      </w:r>
      <w:r w:rsidR="00BF01AB" w:rsidRPr="00295637">
        <w:t xml:space="preserve"> </w:t>
      </w:r>
      <w:r>
        <w:t>и</w:t>
      </w:r>
      <w:r w:rsidR="00BF01AB" w:rsidRPr="00295637">
        <w:t xml:space="preserve"> </w:t>
      </w:r>
      <w:r>
        <w:t>земљама</w:t>
      </w:r>
      <w:r w:rsidR="00BF01AB" w:rsidRPr="00295637">
        <w:t xml:space="preserve"> </w:t>
      </w:r>
      <w:r>
        <w:t>у</w:t>
      </w:r>
      <w:r w:rsidR="00BF01AB" w:rsidRPr="00295637">
        <w:t xml:space="preserve"> </w:t>
      </w:r>
      <w:r>
        <w:t>региону</w:t>
      </w:r>
      <w:r w:rsidR="00BF01AB" w:rsidRPr="00295637">
        <w:t xml:space="preserve">, </w:t>
      </w:r>
      <w:r>
        <w:t>по</w:t>
      </w:r>
      <w:r w:rsidR="00BF01AB" w:rsidRPr="00295637">
        <w:t xml:space="preserve"> </w:t>
      </w:r>
      <w:r>
        <w:t>званичној</w:t>
      </w:r>
      <w:r w:rsidR="00BF01AB" w:rsidRPr="00295637">
        <w:t xml:space="preserve">, </w:t>
      </w:r>
      <w:r>
        <w:t>Еуростат</w:t>
      </w:r>
      <w:r w:rsidR="00BF01AB" w:rsidRPr="00295637">
        <w:t xml:space="preserve"> </w:t>
      </w:r>
      <w:r>
        <w:t>методологији</w:t>
      </w:r>
      <w:r w:rsidR="00BF01AB" w:rsidRPr="00295637">
        <w:rPr>
          <w:rStyle w:val="Strong"/>
          <w:bdr w:val="none" w:sz="0" w:space="0" w:color="auto" w:frame="1"/>
        </w:rPr>
        <w:t>.  </w:t>
      </w:r>
    </w:p>
    <w:p w:rsidR="00BD749E" w:rsidRPr="00295637" w:rsidRDefault="00BD749E" w:rsidP="0086268D">
      <w:pPr>
        <w:tabs>
          <w:tab w:val="left" w:pos="284"/>
          <w:tab w:val="left" w:pos="630"/>
          <w:tab w:val="left" w:pos="1080"/>
        </w:tabs>
        <w:jc w:val="both"/>
        <w:rPr>
          <w:rFonts w:ascii="Times New Roman" w:hAnsi="Times New Roman"/>
          <w:szCs w:val="24"/>
          <w:lang w:val="bs-Latn-BA"/>
        </w:rPr>
      </w:pPr>
    </w:p>
    <w:p w:rsidR="00356C2C" w:rsidRPr="00295637" w:rsidRDefault="005D1812" w:rsidP="00C1395D">
      <w:pPr>
        <w:tabs>
          <w:tab w:val="left" w:pos="284"/>
          <w:tab w:val="left" w:pos="630"/>
          <w:tab w:val="left" w:pos="1080"/>
        </w:tabs>
        <w:ind w:left="567"/>
        <w:jc w:val="both"/>
        <w:rPr>
          <w:rFonts w:ascii="Times New Roman" w:hAnsi="Times New Roman"/>
          <w:szCs w:val="24"/>
          <w:lang w:val="bs-Latn-BA"/>
        </w:rPr>
      </w:pPr>
      <w:r w:rsidRPr="005D1812">
        <w:rPr>
          <w:rFonts w:ascii="Times New Roman" w:hAnsi="Times New Roman"/>
          <w:szCs w:val="24"/>
          <w:lang w:val="bs-Latn-BA"/>
        </w:rPr>
        <w:t>II</w:t>
      </w:r>
      <w:r w:rsidR="00C1395D">
        <w:rPr>
          <w:rFonts w:ascii="Times New Roman" w:hAnsi="Times New Roman"/>
          <w:szCs w:val="24"/>
          <w:lang w:val="bs-Latn-BA"/>
        </w:rPr>
        <w:t xml:space="preserve"> 2.8. </w:t>
      </w:r>
      <w:r w:rsidR="00C6214E">
        <w:rPr>
          <w:rFonts w:ascii="Times New Roman" w:hAnsi="Times New Roman"/>
          <w:szCs w:val="24"/>
          <w:lang w:val="bs-Latn-BA"/>
        </w:rPr>
        <w:t>Редовно</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извјештавање</w:t>
      </w:r>
      <w:r w:rsidR="00356C2C" w:rsidRPr="00295637">
        <w:rPr>
          <w:rFonts w:ascii="Times New Roman" w:hAnsi="Times New Roman"/>
          <w:szCs w:val="24"/>
          <w:lang w:val="bs-Latn-BA"/>
        </w:rPr>
        <w:t xml:space="preserve"> </w:t>
      </w:r>
      <w:r w:rsidR="00C6214E">
        <w:rPr>
          <w:rFonts w:ascii="Times New Roman" w:hAnsi="Times New Roman"/>
          <w:szCs w:val="24"/>
          <w:lang w:val="bs-Latn-BA"/>
        </w:rPr>
        <w:t>о</w:t>
      </w:r>
      <w:r w:rsidR="00356C2C" w:rsidRPr="00295637">
        <w:rPr>
          <w:rFonts w:ascii="Times New Roman" w:hAnsi="Times New Roman"/>
          <w:szCs w:val="24"/>
          <w:lang w:val="bs-Latn-BA"/>
        </w:rPr>
        <w:t xml:space="preserve"> </w:t>
      </w:r>
      <w:r w:rsidR="00C6214E">
        <w:rPr>
          <w:rFonts w:ascii="Times New Roman" w:hAnsi="Times New Roman"/>
          <w:szCs w:val="24"/>
          <w:lang w:val="bs-Latn-BA"/>
        </w:rPr>
        <w:t>реализацији</w:t>
      </w:r>
      <w:r w:rsidR="00356C2C" w:rsidRPr="00295637">
        <w:rPr>
          <w:rFonts w:ascii="Times New Roman" w:hAnsi="Times New Roman"/>
          <w:szCs w:val="24"/>
          <w:lang w:val="bs-Latn-BA"/>
        </w:rPr>
        <w:t xml:space="preserve"> </w:t>
      </w:r>
      <w:r w:rsidR="00C6214E">
        <w:rPr>
          <w:rFonts w:ascii="Times New Roman" w:hAnsi="Times New Roman"/>
          <w:szCs w:val="24"/>
          <w:lang w:val="bs-Latn-BA"/>
        </w:rPr>
        <w:t>секторских</w:t>
      </w:r>
      <w:r w:rsidR="00356C2C" w:rsidRPr="00295637">
        <w:rPr>
          <w:rFonts w:ascii="Times New Roman" w:hAnsi="Times New Roman"/>
          <w:szCs w:val="24"/>
          <w:lang w:val="bs-Latn-BA"/>
        </w:rPr>
        <w:t xml:space="preserve"> </w:t>
      </w:r>
      <w:r w:rsidR="00C6214E">
        <w:rPr>
          <w:rFonts w:ascii="Times New Roman" w:hAnsi="Times New Roman"/>
          <w:szCs w:val="24"/>
          <w:lang w:val="bs-Latn-BA"/>
        </w:rPr>
        <w:t>стратегија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и</w:t>
      </w:r>
      <w:r w:rsidR="00356C2C" w:rsidRPr="00295637">
        <w:rPr>
          <w:rFonts w:ascii="Times New Roman" w:hAnsi="Times New Roman"/>
          <w:szCs w:val="24"/>
          <w:lang w:val="bs-Latn-BA"/>
        </w:rPr>
        <w:t xml:space="preserve"> </w:t>
      </w:r>
      <w:r w:rsidR="00C6214E">
        <w:rPr>
          <w:rFonts w:ascii="Times New Roman" w:hAnsi="Times New Roman"/>
          <w:szCs w:val="24"/>
          <w:lang w:val="bs-Latn-BA"/>
        </w:rPr>
        <w:t>акционих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планова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из</w:t>
      </w:r>
      <w:r w:rsidR="00356C2C" w:rsidRPr="00295637">
        <w:rPr>
          <w:rFonts w:ascii="Times New Roman" w:hAnsi="Times New Roman"/>
          <w:szCs w:val="24"/>
          <w:lang w:val="bs-Latn-BA"/>
        </w:rPr>
        <w:t xml:space="preserve"> </w:t>
      </w:r>
      <w:r w:rsidR="00C6214E">
        <w:rPr>
          <w:rFonts w:ascii="Times New Roman" w:hAnsi="Times New Roman"/>
          <w:szCs w:val="24"/>
          <w:lang w:val="bs-Latn-BA"/>
        </w:rPr>
        <w:t>области</w:t>
      </w:r>
      <w:r w:rsidR="00C1395D">
        <w:rPr>
          <w:rFonts w:ascii="Times New Roman" w:hAnsi="Times New Roman"/>
          <w:szCs w:val="24"/>
          <w:lang w:val="bs-Latn-BA"/>
        </w:rPr>
        <w:t xml:space="preserve"> </w:t>
      </w:r>
      <w:r w:rsidR="00C6214E">
        <w:rPr>
          <w:rFonts w:ascii="Times New Roman" w:hAnsi="Times New Roman"/>
          <w:szCs w:val="24"/>
          <w:lang w:val="bs-Latn-BA"/>
        </w:rPr>
        <w:t>равноправности</w:t>
      </w:r>
      <w:r w:rsidR="00C1395D">
        <w:rPr>
          <w:rFonts w:ascii="Times New Roman" w:hAnsi="Times New Roman"/>
          <w:szCs w:val="24"/>
          <w:lang w:val="bs-Latn-BA"/>
        </w:rPr>
        <w:t xml:space="preserve"> </w:t>
      </w:r>
      <w:r w:rsidR="00C6214E">
        <w:rPr>
          <w:rFonts w:ascii="Times New Roman" w:hAnsi="Times New Roman"/>
          <w:szCs w:val="24"/>
          <w:lang w:val="bs-Latn-BA"/>
        </w:rPr>
        <w:t>полова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w:t>
      </w:r>
      <w:r w:rsidR="00356C2C" w:rsidRPr="00295637">
        <w:rPr>
          <w:rFonts w:ascii="Times New Roman" w:hAnsi="Times New Roman"/>
          <w:szCs w:val="24"/>
          <w:lang w:val="bs-Latn-BA"/>
        </w:rPr>
        <w:t xml:space="preserve"> </w:t>
      </w:r>
      <w:r w:rsidR="00C6214E">
        <w:rPr>
          <w:rFonts w:ascii="Times New Roman" w:hAnsi="Times New Roman"/>
          <w:szCs w:val="24"/>
          <w:lang w:val="bs-Latn-BA"/>
        </w:rPr>
        <w:t>основу</w:t>
      </w:r>
      <w:r w:rsidR="00356C2C" w:rsidRPr="00295637">
        <w:rPr>
          <w:rFonts w:ascii="Times New Roman" w:hAnsi="Times New Roman"/>
          <w:szCs w:val="24"/>
          <w:lang w:val="bs-Latn-BA"/>
        </w:rPr>
        <w:t xml:space="preserve"> </w:t>
      </w:r>
      <w:r w:rsidR="00C6214E">
        <w:rPr>
          <w:rFonts w:ascii="Times New Roman" w:hAnsi="Times New Roman"/>
          <w:szCs w:val="24"/>
          <w:lang w:val="bs-Latn-BA"/>
        </w:rPr>
        <w:t>извјештаја</w:t>
      </w:r>
      <w:r w:rsidR="00356C2C" w:rsidRPr="00295637">
        <w:rPr>
          <w:rFonts w:ascii="Times New Roman" w:hAnsi="Times New Roman"/>
          <w:szCs w:val="24"/>
          <w:lang w:val="bs-Latn-BA"/>
        </w:rPr>
        <w:t xml:space="preserve"> </w:t>
      </w:r>
      <w:r w:rsidR="00C6214E">
        <w:rPr>
          <w:rFonts w:ascii="Times New Roman" w:hAnsi="Times New Roman"/>
          <w:szCs w:val="24"/>
          <w:lang w:val="bs-Latn-BA"/>
        </w:rPr>
        <w:t>надлежних</w:t>
      </w:r>
      <w:r w:rsidR="00356C2C" w:rsidRPr="00295637">
        <w:rPr>
          <w:rFonts w:ascii="Times New Roman" w:hAnsi="Times New Roman"/>
          <w:szCs w:val="24"/>
          <w:lang w:val="bs-Latn-BA"/>
        </w:rPr>
        <w:t xml:space="preserve"> </w:t>
      </w:r>
      <w:r w:rsidR="00C6214E">
        <w:rPr>
          <w:rFonts w:ascii="Times New Roman" w:hAnsi="Times New Roman"/>
          <w:szCs w:val="24"/>
          <w:lang w:val="bs-Latn-BA"/>
        </w:rPr>
        <w:t>институција</w:t>
      </w:r>
      <w:r w:rsidR="00356C2C" w:rsidRPr="00295637">
        <w:rPr>
          <w:rFonts w:ascii="Times New Roman" w:hAnsi="Times New Roman"/>
          <w:szCs w:val="24"/>
          <w:lang w:val="bs-Latn-BA"/>
        </w:rPr>
        <w:t>.</w:t>
      </w:r>
    </w:p>
    <w:p w:rsidR="00BD749E" w:rsidRPr="00295637" w:rsidRDefault="00BD749E" w:rsidP="0086268D">
      <w:pPr>
        <w:rPr>
          <w:rFonts w:ascii="Times New Roman" w:hAnsi="Times New Roman"/>
          <w:szCs w:val="24"/>
        </w:rPr>
      </w:pPr>
    </w:p>
    <w:p w:rsidR="0075036F" w:rsidRDefault="00C6214E" w:rsidP="0086268D">
      <w:pPr>
        <w:jc w:val="both"/>
        <w:rPr>
          <w:rFonts w:ascii="Times New Roman" w:hAnsi="Times New Roman"/>
          <w:szCs w:val="24"/>
          <w:lang w:val="bs-Latn-BA"/>
        </w:rPr>
      </w:pPr>
      <w:r>
        <w:rPr>
          <w:rFonts w:ascii="Times New Roman" w:hAnsi="Times New Roman"/>
          <w:szCs w:val="24"/>
        </w:rPr>
        <w:t>АР</w:t>
      </w:r>
      <w:r w:rsidR="005D1812">
        <w:rPr>
          <w:rFonts w:ascii="Times New Roman" w:hAnsi="Times New Roman"/>
          <w:szCs w:val="24"/>
          <w:lang w:val="sr-Cyrl-BA"/>
        </w:rPr>
        <w:t>П</w:t>
      </w:r>
      <w:r w:rsidR="00222A8E">
        <w:rPr>
          <w:rFonts w:ascii="Times New Roman" w:hAnsi="Times New Roman"/>
          <w:szCs w:val="24"/>
        </w:rPr>
        <w:t xml:space="preserve"> </w:t>
      </w:r>
      <w:r>
        <w:rPr>
          <w:rFonts w:ascii="Times New Roman" w:hAnsi="Times New Roman"/>
          <w:szCs w:val="24"/>
        </w:rPr>
        <w:t>БиХ</w:t>
      </w:r>
      <w:r w:rsidR="00222A8E">
        <w:rPr>
          <w:rFonts w:ascii="Times New Roman" w:hAnsi="Times New Roman"/>
          <w:szCs w:val="24"/>
        </w:rPr>
        <w:t xml:space="preserve"> </w:t>
      </w:r>
      <w:r>
        <w:rPr>
          <w:rFonts w:ascii="Times New Roman" w:hAnsi="Times New Roman"/>
          <w:szCs w:val="24"/>
        </w:rPr>
        <w:t>МЉПИ</w:t>
      </w:r>
      <w:r w:rsidR="00222A8E">
        <w:rPr>
          <w:rFonts w:ascii="Times New Roman" w:hAnsi="Times New Roman"/>
          <w:szCs w:val="24"/>
        </w:rPr>
        <w:t xml:space="preserve"> </w:t>
      </w:r>
      <w:r>
        <w:rPr>
          <w:rFonts w:ascii="Times New Roman" w:hAnsi="Times New Roman"/>
          <w:szCs w:val="24"/>
        </w:rPr>
        <w:t>БиХ</w:t>
      </w:r>
      <w:r w:rsidR="00C4743E" w:rsidRPr="00295637">
        <w:rPr>
          <w:rFonts w:ascii="Times New Roman" w:hAnsi="Times New Roman"/>
          <w:szCs w:val="24"/>
        </w:rPr>
        <w:t xml:space="preserve"> </w:t>
      </w:r>
      <w:r w:rsidR="005D1812">
        <w:rPr>
          <w:rFonts w:ascii="Times New Roman" w:hAnsi="Times New Roman"/>
          <w:szCs w:val="24"/>
        </w:rPr>
        <w:t xml:space="preserve">је </w:t>
      </w:r>
      <w:r>
        <w:rPr>
          <w:rFonts w:ascii="Times New Roman" w:hAnsi="Times New Roman"/>
          <w:szCs w:val="24"/>
        </w:rPr>
        <w:t>сачинила</w:t>
      </w:r>
      <w:r w:rsidR="00C4743E" w:rsidRPr="00295637">
        <w:rPr>
          <w:rFonts w:ascii="Times New Roman" w:hAnsi="Times New Roman"/>
          <w:szCs w:val="24"/>
        </w:rPr>
        <w:t xml:space="preserve"> </w:t>
      </w:r>
      <w:r w:rsidR="005D1812">
        <w:rPr>
          <w:rFonts w:ascii="Times New Roman" w:hAnsi="Times New Roman"/>
          <w:szCs w:val="24"/>
          <w:lang w:val="sr-Cyrl-BA"/>
        </w:rPr>
        <w:t>П</w:t>
      </w:r>
      <w:r>
        <w:rPr>
          <w:rFonts w:ascii="Times New Roman" w:hAnsi="Times New Roman"/>
          <w:szCs w:val="24"/>
        </w:rPr>
        <w:t>рви</w:t>
      </w:r>
      <w:r w:rsidR="00C4743E" w:rsidRPr="00295637">
        <w:rPr>
          <w:rFonts w:ascii="Times New Roman" w:hAnsi="Times New Roman"/>
          <w:szCs w:val="24"/>
        </w:rPr>
        <w:t xml:space="preserve"> </w:t>
      </w:r>
      <w:r>
        <w:rPr>
          <w:rFonts w:ascii="Times New Roman" w:hAnsi="Times New Roman"/>
          <w:szCs w:val="24"/>
        </w:rPr>
        <w:t>годишњи</w:t>
      </w:r>
      <w:r w:rsidR="00C4743E" w:rsidRPr="00295637">
        <w:rPr>
          <w:rFonts w:ascii="Times New Roman" w:hAnsi="Times New Roman"/>
          <w:szCs w:val="24"/>
        </w:rPr>
        <w:t xml:space="preserve"> </w:t>
      </w:r>
      <w:r>
        <w:rPr>
          <w:rFonts w:ascii="Times New Roman" w:hAnsi="Times New Roman"/>
          <w:szCs w:val="24"/>
        </w:rPr>
        <w:t>извјештај</w:t>
      </w:r>
      <w:r w:rsidR="00C4743E" w:rsidRPr="00295637">
        <w:rPr>
          <w:rFonts w:ascii="Times New Roman" w:hAnsi="Times New Roman"/>
          <w:szCs w:val="24"/>
        </w:rPr>
        <w:t xml:space="preserve"> </w:t>
      </w:r>
      <w:r>
        <w:rPr>
          <w:rFonts w:ascii="Times New Roman" w:hAnsi="Times New Roman"/>
          <w:szCs w:val="24"/>
        </w:rPr>
        <w:t>о</w:t>
      </w:r>
      <w:r w:rsidR="00C4743E" w:rsidRPr="00295637">
        <w:rPr>
          <w:rFonts w:ascii="Times New Roman" w:hAnsi="Times New Roman"/>
          <w:szCs w:val="24"/>
        </w:rPr>
        <w:t xml:space="preserve"> </w:t>
      </w:r>
      <w:r w:rsidR="005D1812">
        <w:rPr>
          <w:rFonts w:ascii="Times New Roman" w:hAnsi="Times New Roman"/>
          <w:szCs w:val="24"/>
          <w:lang w:val="sr-Cyrl-BA"/>
        </w:rPr>
        <w:t>спровођењу</w:t>
      </w:r>
      <w:r w:rsidR="00C4743E" w:rsidRPr="00295637">
        <w:rPr>
          <w:rFonts w:ascii="Times New Roman" w:hAnsi="Times New Roman"/>
          <w:szCs w:val="24"/>
        </w:rPr>
        <w:t xml:space="preserve"> </w:t>
      </w:r>
      <w:r>
        <w:rPr>
          <w:rFonts w:ascii="Times New Roman" w:hAnsi="Times New Roman"/>
          <w:szCs w:val="24"/>
        </w:rPr>
        <w:t>АП</w:t>
      </w:r>
      <w:r w:rsidR="00C4743E" w:rsidRPr="00295637">
        <w:rPr>
          <w:rFonts w:ascii="Times New Roman" w:hAnsi="Times New Roman"/>
          <w:szCs w:val="24"/>
        </w:rPr>
        <w:t xml:space="preserve"> </w:t>
      </w:r>
      <w:r>
        <w:rPr>
          <w:rFonts w:ascii="Times New Roman" w:hAnsi="Times New Roman"/>
          <w:szCs w:val="24"/>
        </w:rPr>
        <w:t>ЛГБТИ</w:t>
      </w:r>
      <w:r w:rsidR="00C4743E" w:rsidRPr="00295637">
        <w:rPr>
          <w:rFonts w:ascii="Times New Roman" w:hAnsi="Times New Roman"/>
          <w:szCs w:val="24"/>
        </w:rPr>
        <w:t xml:space="preserve"> </w:t>
      </w:r>
      <w:r>
        <w:rPr>
          <w:rFonts w:ascii="Times New Roman" w:hAnsi="Times New Roman"/>
          <w:szCs w:val="24"/>
        </w:rPr>
        <w:t>за</w:t>
      </w:r>
      <w:r w:rsidR="00C4743E" w:rsidRPr="00295637">
        <w:rPr>
          <w:rFonts w:ascii="Times New Roman" w:hAnsi="Times New Roman"/>
          <w:szCs w:val="24"/>
        </w:rPr>
        <w:t xml:space="preserve"> </w:t>
      </w:r>
      <w:r>
        <w:rPr>
          <w:rFonts w:ascii="Times New Roman" w:hAnsi="Times New Roman"/>
          <w:szCs w:val="24"/>
        </w:rPr>
        <w:t>извјештајни</w:t>
      </w:r>
      <w:r w:rsidR="00C4743E" w:rsidRPr="00295637">
        <w:rPr>
          <w:rFonts w:ascii="Times New Roman" w:hAnsi="Times New Roman"/>
          <w:szCs w:val="24"/>
        </w:rPr>
        <w:t xml:space="preserve"> </w:t>
      </w:r>
      <w:r>
        <w:rPr>
          <w:rFonts w:ascii="Times New Roman" w:hAnsi="Times New Roman"/>
          <w:szCs w:val="24"/>
        </w:rPr>
        <w:t>период</w:t>
      </w:r>
      <w:r w:rsidR="00C4743E" w:rsidRPr="00295637">
        <w:rPr>
          <w:rFonts w:ascii="Times New Roman" w:hAnsi="Times New Roman"/>
          <w:szCs w:val="24"/>
        </w:rPr>
        <w:t xml:space="preserve"> </w:t>
      </w:r>
      <w:r>
        <w:rPr>
          <w:rFonts w:ascii="Times New Roman" w:hAnsi="Times New Roman"/>
          <w:szCs w:val="24"/>
        </w:rPr>
        <w:t>јули</w:t>
      </w:r>
      <w:r w:rsidR="00C4743E" w:rsidRPr="00295637">
        <w:rPr>
          <w:rFonts w:ascii="Times New Roman" w:hAnsi="Times New Roman"/>
          <w:szCs w:val="24"/>
        </w:rPr>
        <w:t xml:space="preserve"> 2022</w:t>
      </w:r>
      <w:r w:rsidR="00222A8E">
        <w:rPr>
          <w:rFonts w:ascii="Times New Roman" w:hAnsi="Times New Roman"/>
          <w:szCs w:val="24"/>
        </w:rPr>
        <w:t>.</w:t>
      </w:r>
      <w:r w:rsidR="00C4743E" w:rsidRPr="00295637">
        <w:rPr>
          <w:rFonts w:ascii="Times New Roman" w:hAnsi="Times New Roman"/>
          <w:szCs w:val="24"/>
        </w:rPr>
        <w:t xml:space="preserve"> – </w:t>
      </w:r>
      <w:r>
        <w:rPr>
          <w:rFonts w:ascii="Times New Roman" w:hAnsi="Times New Roman"/>
          <w:szCs w:val="24"/>
        </w:rPr>
        <w:t>децембар</w:t>
      </w:r>
      <w:r w:rsidR="00C4743E" w:rsidRPr="00295637">
        <w:rPr>
          <w:rFonts w:ascii="Times New Roman" w:hAnsi="Times New Roman"/>
          <w:szCs w:val="24"/>
        </w:rPr>
        <w:t xml:space="preserve"> 2023. </w:t>
      </w:r>
      <w:r>
        <w:rPr>
          <w:rFonts w:ascii="Times New Roman" w:hAnsi="Times New Roman"/>
          <w:szCs w:val="24"/>
        </w:rPr>
        <w:t>године</w:t>
      </w:r>
      <w:r w:rsidR="00C4743E" w:rsidRPr="00295637">
        <w:rPr>
          <w:rFonts w:ascii="Times New Roman" w:hAnsi="Times New Roman"/>
          <w:szCs w:val="24"/>
        </w:rPr>
        <w:t xml:space="preserve">. </w:t>
      </w:r>
      <w:r w:rsidR="005D1812">
        <w:rPr>
          <w:rFonts w:ascii="Times New Roman" w:hAnsi="Times New Roman"/>
          <w:szCs w:val="24"/>
          <w:lang w:val="sr-Cyrl-BA"/>
        </w:rPr>
        <w:t>Савјет</w:t>
      </w:r>
      <w:r w:rsidR="00C4743E" w:rsidRPr="00295637">
        <w:rPr>
          <w:rFonts w:ascii="Times New Roman" w:hAnsi="Times New Roman"/>
          <w:szCs w:val="24"/>
        </w:rPr>
        <w:t xml:space="preserve"> </w:t>
      </w:r>
      <w:r>
        <w:rPr>
          <w:rFonts w:ascii="Times New Roman" w:hAnsi="Times New Roman"/>
          <w:szCs w:val="24"/>
        </w:rPr>
        <w:t>министара</w:t>
      </w:r>
      <w:r w:rsidR="000708B2">
        <w:rPr>
          <w:rFonts w:ascii="Times New Roman" w:hAnsi="Times New Roman"/>
          <w:szCs w:val="24"/>
        </w:rPr>
        <w:t xml:space="preserve"> </w:t>
      </w:r>
      <w:r>
        <w:rPr>
          <w:rFonts w:ascii="Times New Roman" w:hAnsi="Times New Roman"/>
          <w:szCs w:val="24"/>
        </w:rPr>
        <w:t>БиХ</w:t>
      </w:r>
      <w:r w:rsidR="00C4743E" w:rsidRPr="00295637">
        <w:rPr>
          <w:rFonts w:ascii="Times New Roman" w:hAnsi="Times New Roman"/>
          <w:szCs w:val="24"/>
        </w:rPr>
        <w:t xml:space="preserve"> </w:t>
      </w:r>
      <w:r>
        <w:rPr>
          <w:rFonts w:ascii="Times New Roman" w:hAnsi="Times New Roman"/>
          <w:szCs w:val="24"/>
        </w:rPr>
        <w:t>је</w:t>
      </w:r>
      <w:r w:rsidR="00C4743E" w:rsidRPr="00295637">
        <w:rPr>
          <w:rFonts w:ascii="Times New Roman" w:hAnsi="Times New Roman"/>
          <w:szCs w:val="24"/>
        </w:rPr>
        <w:t xml:space="preserve"> </w:t>
      </w:r>
      <w:r>
        <w:rPr>
          <w:rFonts w:ascii="Times New Roman" w:hAnsi="Times New Roman"/>
          <w:szCs w:val="24"/>
        </w:rPr>
        <w:t>на</w:t>
      </w:r>
      <w:r w:rsidR="00C4743E" w:rsidRPr="00295637">
        <w:rPr>
          <w:rFonts w:ascii="Times New Roman" w:hAnsi="Times New Roman"/>
          <w:szCs w:val="24"/>
        </w:rPr>
        <w:t xml:space="preserve"> 61. </w:t>
      </w:r>
      <w:r>
        <w:rPr>
          <w:rFonts w:ascii="Times New Roman" w:hAnsi="Times New Roman"/>
          <w:szCs w:val="24"/>
        </w:rPr>
        <w:t>сједници</w:t>
      </w:r>
      <w:r w:rsidR="00222A8E">
        <w:rPr>
          <w:rFonts w:ascii="Times New Roman" w:hAnsi="Times New Roman"/>
          <w:szCs w:val="24"/>
        </w:rPr>
        <w:t xml:space="preserve">, </w:t>
      </w:r>
      <w:r>
        <w:rPr>
          <w:rFonts w:ascii="Times New Roman" w:hAnsi="Times New Roman"/>
          <w:szCs w:val="24"/>
        </w:rPr>
        <w:t>одржаној</w:t>
      </w:r>
      <w:r w:rsidR="00222A8E">
        <w:rPr>
          <w:rFonts w:ascii="Times New Roman" w:hAnsi="Times New Roman"/>
          <w:szCs w:val="24"/>
        </w:rPr>
        <w:t xml:space="preserve"> 17.10.</w:t>
      </w:r>
      <w:r w:rsidR="00C4743E" w:rsidRPr="00295637">
        <w:rPr>
          <w:rFonts w:ascii="Times New Roman" w:hAnsi="Times New Roman"/>
          <w:szCs w:val="24"/>
        </w:rPr>
        <w:t xml:space="preserve">2025. </w:t>
      </w:r>
      <w:r>
        <w:rPr>
          <w:rFonts w:ascii="Times New Roman" w:hAnsi="Times New Roman"/>
          <w:szCs w:val="24"/>
        </w:rPr>
        <w:t>године</w:t>
      </w:r>
      <w:r w:rsidR="00C4743E" w:rsidRPr="00295637">
        <w:rPr>
          <w:rFonts w:ascii="Times New Roman" w:hAnsi="Times New Roman"/>
          <w:szCs w:val="24"/>
        </w:rPr>
        <w:t xml:space="preserve">, </w:t>
      </w:r>
      <w:r>
        <w:rPr>
          <w:rFonts w:ascii="Times New Roman" w:hAnsi="Times New Roman"/>
          <w:szCs w:val="24"/>
        </w:rPr>
        <w:t>размотрио</w:t>
      </w:r>
      <w:r w:rsidR="00C4743E" w:rsidRPr="00295637">
        <w:rPr>
          <w:rFonts w:ascii="Times New Roman" w:hAnsi="Times New Roman"/>
          <w:szCs w:val="24"/>
        </w:rPr>
        <w:t xml:space="preserve"> </w:t>
      </w:r>
      <w:r>
        <w:rPr>
          <w:rFonts w:ascii="Times New Roman" w:hAnsi="Times New Roman"/>
          <w:szCs w:val="24"/>
        </w:rPr>
        <w:t>и</w:t>
      </w:r>
      <w:r w:rsidR="00C4743E" w:rsidRPr="00295637">
        <w:rPr>
          <w:rFonts w:ascii="Times New Roman" w:hAnsi="Times New Roman"/>
          <w:szCs w:val="24"/>
        </w:rPr>
        <w:t xml:space="preserve"> </w:t>
      </w:r>
      <w:r>
        <w:rPr>
          <w:rFonts w:ascii="Times New Roman" w:hAnsi="Times New Roman"/>
          <w:szCs w:val="24"/>
        </w:rPr>
        <w:t>усвојио</w:t>
      </w:r>
      <w:r w:rsidR="00C4743E" w:rsidRPr="00295637">
        <w:rPr>
          <w:rFonts w:ascii="Times New Roman" w:hAnsi="Times New Roman"/>
          <w:szCs w:val="24"/>
        </w:rPr>
        <w:t xml:space="preserve"> </w:t>
      </w:r>
      <w:r>
        <w:rPr>
          <w:rFonts w:ascii="Times New Roman" w:hAnsi="Times New Roman"/>
          <w:szCs w:val="24"/>
        </w:rPr>
        <w:t>овај</w:t>
      </w:r>
      <w:r w:rsidR="009D0CF2" w:rsidRPr="00295637">
        <w:rPr>
          <w:rFonts w:ascii="Times New Roman" w:hAnsi="Times New Roman"/>
          <w:szCs w:val="24"/>
        </w:rPr>
        <w:t xml:space="preserve"> </w:t>
      </w:r>
      <w:r w:rsidR="005D1812">
        <w:rPr>
          <w:rFonts w:ascii="Times New Roman" w:hAnsi="Times New Roman"/>
          <w:szCs w:val="24"/>
          <w:lang w:val="sr-Cyrl-BA"/>
        </w:rPr>
        <w:t>И</w:t>
      </w:r>
      <w:r>
        <w:rPr>
          <w:rFonts w:ascii="Times New Roman" w:hAnsi="Times New Roman"/>
          <w:szCs w:val="24"/>
        </w:rPr>
        <w:t>звјештај</w:t>
      </w:r>
      <w:r w:rsidR="009D0CF2" w:rsidRPr="00295637">
        <w:rPr>
          <w:rFonts w:ascii="Times New Roman" w:hAnsi="Times New Roman"/>
          <w:szCs w:val="24"/>
        </w:rPr>
        <w:t xml:space="preserve"> </w:t>
      </w:r>
      <w:r>
        <w:rPr>
          <w:rFonts w:ascii="Times New Roman" w:hAnsi="Times New Roman"/>
          <w:szCs w:val="24"/>
        </w:rPr>
        <w:t>који</w:t>
      </w:r>
      <w:r w:rsidR="00C4743E" w:rsidRPr="00295637">
        <w:rPr>
          <w:rFonts w:ascii="Times New Roman" w:hAnsi="Times New Roman"/>
          <w:szCs w:val="24"/>
        </w:rPr>
        <w:t xml:space="preserve"> </w:t>
      </w:r>
      <w:r>
        <w:rPr>
          <w:rFonts w:ascii="Times New Roman" w:hAnsi="Times New Roman"/>
          <w:szCs w:val="24"/>
        </w:rPr>
        <w:t>презент</w:t>
      </w:r>
      <w:r w:rsidR="005D1812">
        <w:rPr>
          <w:rFonts w:ascii="Times New Roman" w:hAnsi="Times New Roman"/>
          <w:szCs w:val="24"/>
          <w:lang w:val="sr-Cyrl-BA"/>
        </w:rPr>
        <w:t>ује</w:t>
      </w:r>
      <w:r w:rsidR="00C4743E" w:rsidRPr="00295637">
        <w:rPr>
          <w:rFonts w:ascii="Times New Roman" w:hAnsi="Times New Roman"/>
          <w:szCs w:val="24"/>
        </w:rPr>
        <w:t xml:space="preserve"> </w:t>
      </w:r>
      <w:r>
        <w:rPr>
          <w:rFonts w:ascii="Times New Roman" w:hAnsi="Times New Roman"/>
          <w:szCs w:val="24"/>
        </w:rPr>
        <w:t>најважније</w:t>
      </w:r>
      <w:r w:rsidR="00C4743E" w:rsidRPr="00295637">
        <w:rPr>
          <w:rFonts w:ascii="Times New Roman" w:hAnsi="Times New Roman"/>
          <w:szCs w:val="24"/>
        </w:rPr>
        <w:t xml:space="preserve"> </w:t>
      </w:r>
      <w:r>
        <w:rPr>
          <w:rFonts w:ascii="Times New Roman" w:hAnsi="Times New Roman"/>
          <w:szCs w:val="24"/>
        </w:rPr>
        <w:t>информације</w:t>
      </w:r>
      <w:r w:rsidR="00C4743E" w:rsidRPr="00295637">
        <w:rPr>
          <w:rFonts w:ascii="Times New Roman" w:hAnsi="Times New Roman"/>
          <w:szCs w:val="24"/>
        </w:rPr>
        <w:t xml:space="preserve"> </w:t>
      </w:r>
      <w:r>
        <w:rPr>
          <w:rFonts w:ascii="Times New Roman" w:hAnsi="Times New Roman"/>
          <w:szCs w:val="24"/>
        </w:rPr>
        <w:t>о</w:t>
      </w:r>
      <w:r w:rsidR="00C4743E" w:rsidRPr="00295637">
        <w:rPr>
          <w:rFonts w:ascii="Times New Roman" w:hAnsi="Times New Roman"/>
          <w:szCs w:val="24"/>
        </w:rPr>
        <w:t xml:space="preserve"> </w:t>
      </w:r>
      <w:r>
        <w:rPr>
          <w:rFonts w:ascii="Times New Roman" w:hAnsi="Times New Roman"/>
          <w:szCs w:val="24"/>
        </w:rPr>
        <w:t>активностима</w:t>
      </w:r>
      <w:r w:rsidR="00C4743E" w:rsidRPr="00295637">
        <w:rPr>
          <w:rFonts w:ascii="Times New Roman" w:hAnsi="Times New Roman"/>
          <w:szCs w:val="24"/>
        </w:rPr>
        <w:t xml:space="preserve"> </w:t>
      </w:r>
      <w:r>
        <w:rPr>
          <w:rFonts w:ascii="Times New Roman" w:hAnsi="Times New Roman"/>
          <w:szCs w:val="24"/>
        </w:rPr>
        <w:t>релевантним</w:t>
      </w:r>
      <w:r w:rsidR="00C4743E" w:rsidRPr="00295637">
        <w:rPr>
          <w:rFonts w:ascii="Times New Roman" w:hAnsi="Times New Roman"/>
          <w:szCs w:val="24"/>
        </w:rPr>
        <w:t xml:space="preserve"> </w:t>
      </w:r>
      <w:r>
        <w:rPr>
          <w:rFonts w:ascii="Times New Roman" w:hAnsi="Times New Roman"/>
          <w:szCs w:val="24"/>
        </w:rPr>
        <w:t>за</w:t>
      </w:r>
      <w:r w:rsidR="00C4743E" w:rsidRPr="00295637">
        <w:rPr>
          <w:rFonts w:ascii="Times New Roman" w:hAnsi="Times New Roman"/>
          <w:szCs w:val="24"/>
        </w:rPr>
        <w:t xml:space="preserve"> </w:t>
      </w:r>
      <w:r>
        <w:rPr>
          <w:rFonts w:ascii="Times New Roman" w:hAnsi="Times New Roman"/>
          <w:szCs w:val="24"/>
        </w:rPr>
        <w:t>постизање</w:t>
      </w:r>
      <w:r w:rsidR="00C4743E" w:rsidRPr="00295637">
        <w:rPr>
          <w:rFonts w:ascii="Times New Roman" w:hAnsi="Times New Roman"/>
          <w:szCs w:val="24"/>
        </w:rPr>
        <w:t xml:space="preserve"> </w:t>
      </w:r>
      <w:r>
        <w:rPr>
          <w:rFonts w:ascii="Times New Roman" w:hAnsi="Times New Roman"/>
          <w:szCs w:val="24"/>
        </w:rPr>
        <w:t>оп</w:t>
      </w:r>
      <w:r w:rsidR="005D1812">
        <w:rPr>
          <w:rFonts w:ascii="Times New Roman" w:hAnsi="Times New Roman"/>
          <w:szCs w:val="24"/>
          <w:lang w:val="sr-Cyrl-BA"/>
        </w:rPr>
        <w:t>шт</w:t>
      </w:r>
      <w:r>
        <w:rPr>
          <w:rFonts w:ascii="Times New Roman" w:hAnsi="Times New Roman"/>
          <w:szCs w:val="24"/>
        </w:rPr>
        <w:t>их</w:t>
      </w:r>
      <w:r w:rsidR="00C4743E" w:rsidRPr="00295637">
        <w:rPr>
          <w:rFonts w:ascii="Times New Roman" w:hAnsi="Times New Roman"/>
          <w:szCs w:val="24"/>
        </w:rPr>
        <w:t xml:space="preserve"> </w:t>
      </w:r>
      <w:r>
        <w:rPr>
          <w:rFonts w:ascii="Times New Roman" w:hAnsi="Times New Roman"/>
          <w:szCs w:val="24"/>
        </w:rPr>
        <w:t>и</w:t>
      </w:r>
      <w:r w:rsidR="00C4743E" w:rsidRPr="00295637">
        <w:rPr>
          <w:rFonts w:ascii="Times New Roman" w:hAnsi="Times New Roman"/>
          <w:szCs w:val="24"/>
        </w:rPr>
        <w:t xml:space="preserve"> </w:t>
      </w:r>
      <w:r>
        <w:rPr>
          <w:rFonts w:ascii="Times New Roman" w:hAnsi="Times New Roman"/>
          <w:szCs w:val="24"/>
        </w:rPr>
        <w:t>стратешких</w:t>
      </w:r>
      <w:r w:rsidR="00C4743E" w:rsidRPr="00295637">
        <w:rPr>
          <w:rFonts w:ascii="Times New Roman" w:hAnsi="Times New Roman"/>
          <w:szCs w:val="24"/>
        </w:rPr>
        <w:t xml:space="preserve"> </w:t>
      </w:r>
      <w:r>
        <w:rPr>
          <w:rFonts w:ascii="Times New Roman" w:hAnsi="Times New Roman"/>
          <w:szCs w:val="24"/>
        </w:rPr>
        <w:t>циљева</w:t>
      </w:r>
      <w:r w:rsidR="00C4743E" w:rsidRPr="00295637">
        <w:rPr>
          <w:rFonts w:ascii="Times New Roman" w:hAnsi="Times New Roman"/>
          <w:szCs w:val="24"/>
        </w:rPr>
        <w:t xml:space="preserve"> </w:t>
      </w:r>
      <w:r>
        <w:rPr>
          <w:rFonts w:ascii="Times New Roman" w:hAnsi="Times New Roman"/>
          <w:szCs w:val="24"/>
        </w:rPr>
        <w:t>Акционог</w:t>
      </w:r>
      <w:r w:rsidR="00C4743E" w:rsidRPr="00295637">
        <w:rPr>
          <w:rFonts w:ascii="Times New Roman" w:hAnsi="Times New Roman"/>
          <w:szCs w:val="24"/>
        </w:rPr>
        <w:t xml:space="preserve"> </w:t>
      </w:r>
      <w:r>
        <w:rPr>
          <w:rFonts w:ascii="Times New Roman" w:hAnsi="Times New Roman"/>
          <w:szCs w:val="24"/>
        </w:rPr>
        <w:t>плана</w:t>
      </w:r>
      <w:r w:rsidR="00C4743E" w:rsidRPr="00295637">
        <w:rPr>
          <w:rFonts w:ascii="Times New Roman" w:hAnsi="Times New Roman"/>
          <w:szCs w:val="24"/>
        </w:rPr>
        <w:t>.</w:t>
      </w:r>
    </w:p>
    <w:p w:rsidR="0075036F" w:rsidRDefault="0075036F" w:rsidP="0086268D">
      <w:pPr>
        <w:jc w:val="both"/>
        <w:rPr>
          <w:rFonts w:ascii="Times New Roman" w:hAnsi="Times New Roman"/>
          <w:b/>
          <w:szCs w:val="24"/>
          <w:lang w:val="bs-Latn-BA"/>
        </w:rPr>
      </w:pPr>
    </w:p>
    <w:p w:rsidR="005E0A29" w:rsidRPr="00295637" w:rsidRDefault="005E0A29" w:rsidP="0086268D">
      <w:pPr>
        <w:jc w:val="both"/>
        <w:rPr>
          <w:rFonts w:ascii="Times New Roman" w:hAnsi="Times New Roman"/>
          <w:b/>
          <w:szCs w:val="24"/>
          <w:lang w:val="bs-Latn-BA"/>
        </w:rPr>
      </w:pPr>
    </w:p>
    <w:p w:rsidR="00356C2C" w:rsidRPr="00295637" w:rsidRDefault="005D1812" w:rsidP="00042F2A">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58" w:name="_Toc332005655"/>
      <w:bookmarkStart w:id="59" w:name="_Toc332010886"/>
      <w:bookmarkStart w:id="60" w:name="_Toc195016602"/>
      <w:r w:rsidRPr="005D1812">
        <w:rPr>
          <w:rFonts w:ascii="Times New Roman" w:hAnsi="Times New Roman" w:cs="Times New Roman"/>
          <w:color w:val="548DD4" w:themeColor="text2" w:themeTint="99"/>
          <w:lang w:val="bs-Latn-BA" w:eastAsia="bs-Latn-BA"/>
        </w:rPr>
        <w:t>II</w:t>
      </w:r>
      <w:r w:rsidR="00042F2A" w:rsidRPr="00042F2A">
        <w:rPr>
          <w:rFonts w:ascii="Times New Roman" w:hAnsi="Times New Roman" w:cs="Times New Roman"/>
          <w:color w:val="548DD4" w:themeColor="text2" w:themeTint="99"/>
          <w:lang w:val="bs-Latn-BA" w:eastAsia="bs-Latn-BA"/>
        </w:rPr>
        <w:t xml:space="preserve"> 3.  </w:t>
      </w:r>
      <w:r w:rsidR="00C6214E">
        <w:rPr>
          <w:rFonts w:ascii="Times New Roman" w:hAnsi="Times New Roman" w:cs="Times New Roman"/>
          <w:lang w:val="bs-Latn-BA" w:eastAsia="bs-Latn-BA"/>
        </w:rPr>
        <w:t>Јачање</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и</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сарадња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институционалних</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механизама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за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равноправност</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полова</w:t>
      </w:r>
      <w:bookmarkEnd w:id="58"/>
      <w:bookmarkEnd w:id="59"/>
      <w:bookmarkEnd w:id="60"/>
    </w:p>
    <w:p w:rsidR="00356C2C" w:rsidRPr="00295637" w:rsidRDefault="00356C2C" w:rsidP="0086268D">
      <w:pPr>
        <w:pStyle w:val="Heading5"/>
        <w:keepNext w:val="0"/>
        <w:rPr>
          <w:rFonts w:ascii="Times New Roman" w:hAnsi="Times New Roman"/>
          <w:i w:val="0"/>
          <w:szCs w:val="24"/>
          <w:lang w:val="bs-Latn-BA"/>
        </w:rPr>
      </w:pPr>
    </w:p>
    <w:p w:rsidR="00356C2C" w:rsidRPr="00295637" w:rsidRDefault="005D1812" w:rsidP="005D1812">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 xml:space="preserve">II 3.1. </w:t>
      </w:r>
      <w:r w:rsidR="00C6214E">
        <w:rPr>
          <w:rFonts w:ascii="Times New Roman" w:hAnsi="Times New Roman" w:cs="Times New Roman"/>
          <w:b w:val="0"/>
          <w:lang w:val="bs-Latn-BA"/>
        </w:rPr>
        <w:t>Организаци</w:t>
      </w:r>
      <w:r>
        <w:rPr>
          <w:rFonts w:ascii="Times New Roman" w:hAnsi="Times New Roman" w:cs="Times New Roman"/>
          <w:b w:val="0"/>
          <w:lang w:val="sr-Cyrl-BA"/>
        </w:rPr>
        <w:t>оно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стручно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јачање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институционалних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механизама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повећање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људских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капацитета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стручно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усавршавање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публи</w:t>
      </w:r>
      <w:r>
        <w:rPr>
          <w:rFonts w:ascii="Times New Roman" w:hAnsi="Times New Roman" w:cs="Times New Roman"/>
          <w:b w:val="0"/>
          <w:lang w:val="sr-Cyrl-BA"/>
        </w:rPr>
        <w:t>ковање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дистрибуција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едука</w:t>
      </w:r>
      <w:r>
        <w:rPr>
          <w:rFonts w:ascii="Times New Roman" w:hAnsi="Times New Roman" w:cs="Times New Roman"/>
          <w:b w:val="0"/>
          <w:lang w:val="sr-Cyrl-BA"/>
        </w:rPr>
        <w:t>тивних</w:t>
      </w:r>
      <w:r w:rsidR="00042F2A">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042F2A">
        <w:rPr>
          <w:rFonts w:ascii="Times New Roman" w:hAnsi="Times New Roman" w:cs="Times New Roman"/>
          <w:b w:val="0"/>
          <w:lang w:val="bs-Latn-BA"/>
        </w:rPr>
        <w:t xml:space="preserve"> </w:t>
      </w:r>
      <w:r w:rsidR="00C6214E">
        <w:rPr>
          <w:rFonts w:ascii="Times New Roman" w:hAnsi="Times New Roman" w:cs="Times New Roman"/>
          <w:b w:val="0"/>
          <w:lang w:val="bs-Latn-BA"/>
        </w:rPr>
        <w:t>стручних</w:t>
      </w:r>
      <w:r w:rsidR="00042F2A">
        <w:rPr>
          <w:rFonts w:ascii="Times New Roman" w:hAnsi="Times New Roman" w:cs="Times New Roman"/>
          <w:b w:val="0"/>
          <w:lang w:val="bs-Latn-BA"/>
        </w:rPr>
        <w:t xml:space="preserve"> </w:t>
      </w:r>
      <w:r w:rsidR="00C6214E">
        <w:rPr>
          <w:rFonts w:ascii="Times New Roman" w:hAnsi="Times New Roman" w:cs="Times New Roman"/>
          <w:b w:val="0"/>
          <w:lang w:val="bs-Latn-BA"/>
        </w:rPr>
        <w:t>материјала</w:t>
      </w:r>
      <w:r w:rsidR="00042F2A">
        <w:rPr>
          <w:rFonts w:ascii="Times New Roman" w:hAnsi="Times New Roman" w:cs="Times New Roman"/>
          <w:b w:val="0"/>
          <w:lang w:val="bs-Latn-BA"/>
        </w:rPr>
        <w:t xml:space="preserve">, </w:t>
      </w:r>
      <w:r w:rsidR="00C6214E">
        <w:rPr>
          <w:rFonts w:ascii="Times New Roman" w:hAnsi="Times New Roman" w:cs="Times New Roman"/>
          <w:b w:val="0"/>
          <w:lang w:val="bs-Latn-BA"/>
        </w:rPr>
        <w:t>унапређење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ресурсно</w:t>
      </w:r>
      <w:r w:rsidR="00356C2C" w:rsidRPr="00295637">
        <w:rPr>
          <w:rFonts w:ascii="Times New Roman" w:hAnsi="Times New Roman" w:cs="Times New Roman"/>
          <w:b w:val="0"/>
          <w:lang w:val="bs-Latn-BA"/>
        </w:rPr>
        <w:t>-</w:t>
      </w:r>
      <w:r w:rsidR="00C6214E">
        <w:rPr>
          <w:rFonts w:ascii="Times New Roman" w:hAnsi="Times New Roman" w:cs="Times New Roman"/>
          <w:b w:val="0"/>
          <w:lang w:val="bs-Latn-BA"/>
        </w:rPr>
        <w:t>едука</w:t>
      </w:r>
      <w:r>
        <w:rPr>
          <w:rFonts w:ascii="Times New Roman" w:hAnsi="Times New Roman" w:cs="Times New Roman"/>
          <w:b w:val="0"/>
          <w:lang w:val="sr-Cyrl-BA"/>
        </w:rPr>
        <w:t>тивног</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документаци</w:t>
      </w:r>
      <w:r>
        <w:rPr>
          <w:rFonts w:ascii="Times New Roman" w:hAnsi="Times New Roman" w:cs="Times New Roman"/>
          <w:b w:val="0"/>
          <w:lang w:val="sr-Cyrl-BA"/>
        </w:rPr>
        <w:t>оног</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центра</w:t>
      </w:r>
      <w:r w:rsidR="00356C2C" w:rsidRPr="00295637">
        <w:rPr>
          <w:rFonts w:ascii="Times New Roman" w:hAnsi="Times New Roman" w:cs="Times New Roman"/>
          <w:b w:val="0"/>
          <w:lang w:val="bs-Latn-BA"/>
        </w:rPr>
        <w:t xml:space="preserve">). </w:t>
      </w:r>
    </w:p>
    <w:p w:rsidR="00A70C1B" w:rsidRPr="00295637" w:rsidRDefault="00A70C1B" w:rsidP="0086268D">
      <w:pPr>
        <w:jc w:val="both"/>
        <w:rPr>
          <w:rFonts w:ascii="Times New Roman" w:hAnsi="Times New Roman"/>
          <w:szCs w:val="24"/>
          <w:lang w:val="hr-HR"/>
        </w:rPr>
      </w:pPr>
    </w:p>
    <w:p w:rsidR="00EC1E8B" w:rsidRPr="00295637" w:rsidRDefault="00C6214E" w:rsidP="0086268D">
      <w:pPr>
        <w:jc w:val="both"/>
        <w:rPr>
          <w:rFonts w:ascii="Times New Roman" w:hAnsi="Times New Roman"/>
          <w:szCs w:val="24"/>
          <w:lang w:val="hr-HR"/>
        </w:rPr>
      </w:pPr>
      <w:r>
        <w:rPr>
          <w:rFonts w:ascii="Times New Roman" w:hAnsi="Times New Roman"/>
          <w:szCs w:val="24"/>
        </w:rPr>
        <w:t>АР</w:t>
      </w:r>
      <w:r w:rsidR="005D1812">
        <w:rPr>
          <w:rFonts w:ascii="Times New Roman" w:hAnsi="Times New Roman"/>
          <w:szCs w:val="24"/>
          <w:lang w:val="sr-Cyrl-BA"/>
        </w:rPr>
        <w:t>П</w:t>
      </w:r>
      <w:r w:rsidR="00222A8E">
        <w:rPr>
          <w:rFonts w:ascii="Times New Roman" w:hAnsi="Times New Roman"/>
          <w:szCs w:val="24"/>
        </w:rPr>
        <w:t xml:space="preserve"> </w:t>
      </w:r>
      <w:r>
        <w:rPr>
          <w:rFonts w:ascii="Times New Roman" w:hAnsi="Times New Roman"/>
          <w:szCs w:val="24"/>
        </w:rPr>
        <w:t>БиХ</w:t>
      </w:r>
      <w:r w:rsidR="00222A8E">
        <w:rPr>
          <w:rFonts w:ascii="Times New Roman" w:hAnsi="Times New Roman"/>
          <w:szCs w:val="24"/>
        </w:rPr>
        <w:t xml:space="preserve"> </w:t>
      </w:r>
      <w:r>
        <w:rPr>
          <w:rFonts w:ascii="Times New Roman" w:hAnsi="Times New Roman"/>
          <w:szCs w:val="24"/>
        </w:rPr>
        <w:t>МЉПИ</w:t>
      </w:r>
      <w:r w:rsidR="00222A8E">
        <w:rPr>
          <w:rFonts w:ascii="Times New Roman" w:hAnsi="Times New Roman"/>
          <w:szCs w:val="24"/>
        </w:rPr>
        <w:t xml:space="preserve"> </w:t>
      </w:r>
      <w:r>
        <w:rPr>
          <w:rFonts w:ascii="Times New Roman" w:hAnsi="Times New Roman"/>
          <w:szCs w:val="24"/>
        </w:rPr>
        <w:t>БиХ</w:t>
      </w:r>
      <w:r w:rsidR="00A70C1B" w:rsidRPr="00295637">
        <w:rPr>
          <w:rFonts w:ascii="Times New Roman" w:hAnsi="Times New Roman"/>
          <w:szCs w:val="24"/>
        </w:rPr>
        <w:t xml:space="preserve"> </w:t>
      </w:r>
      <w:r>
        <w:rPr>
          <w:rFonts w:ascii="Times New Roman" w:hAnsi="Times New Roman"/>
          <w:szCs w:val="24"/>
        </w:rPr>
        <w:t>је</w:t>
      </w:r>
      <w:r w:rsidR="007D6E3D" w:rsidRPr="00295637">
        <w:rPr>
          <w:rFonts w:ascii="Times New Roman" w:hAnsi="Times New Roman"/>
          <w:szCs w:val="24"/>
        </w:rPr>
        <w:t xml:space="preserve">, </w:t>
      </w:r>
      <w:r>
        <w:rPr>
          <w:rFonts w:ascii="Times New Roman" w:hAnsi="Times New Roman"/>
          <w:szCs w:val="24"/>
        </w:rPr>
        <w:t>уз</w:t>
      </w:r>
      <w:r w:rsidR="007D6E3D" w:rsidRPr="00295637">
        <w:rPr>
          <w:rFonts w:ascii="Times New Roman" w:hAnsi="Times New Roman"/>
          <w:szCs w:val="24"/>
        </w:rPr>
        <w:t xml:space="preserve"> </w:t>
      </w:r>
      <w:r>
        <w:rPr>
          <w:rFonts w:ascii="Times New Roman" w:hAnsi="Times New Roman"/>
          <w:szCs w:val="24"/>
        </w:rPr>
        <w:t>подршку</w:t>
      </w:r>
      <w:r w:rsidR="007D6E3D" w:rsidRPr="00295637">
        <w:rPr>
          <w:rFonts w:ascii="Times New Roman" w:hAnsi="Times New Roman"/>
          <w:szCs w:val="24"/>
        </w:rPr>
        <w:t xml:space="preserve"> </w:t>
      </w:r>
      <w:r>
        <w:rPr>
          <w:rFonts w:ascii="Times New Roman" w:hAnsi="Times New Roman"/>
          <w:szCs w:val="24"/>
        </w:rPr>
        <w:t>пројекта</w:t>
      </w:r>
      <w:r w:rsidR="007D6E3D" w:rsidRPr="00295637">
        <w:rPr>
          <w:rFonts w:ascii="Times New Roman" w:hAnsi="Times New Roman"/>
          <w:szCs w:val="24"/>
        </w:rPr>
        <w:t xml:space="preserve"> </w:t>
      </w:r>
      <w:r w:rsidR="005D1812" w:rsidRPr="005D1812">
        <w:rPr>
          <w:rFonts w:ascii="Times New Roman" w:hAnsi="Times New Roman"/>
          <w:i/>
          <w:iCs/>
          <w:szCs w:val="24"/>
        </w:rPr>
        <w:t>EU4Inclusion</w:t>
      </w:r>
      <w:r w:rsidR="00A70C1B" w:rsidRPr="00295637">
        <w:rPr>
          <w:rFonts w:ascii="Times New Roman" w:hAnsi="Times New Roman"/>
          <w:szCs w:val="24"/>
        </w:rPr>
        <w:t xml:space="preserve"> </w:t>
      </w:r>
      <w:r>
        <w:rPr>
          <w:rFonts w:ascii="Times New Roman" w:hAnsi="Times New Roman"/>
          <w:szCs w:val="24"/>
        </w:rPr>
        <w:t>реализ</w:t>
      </w:r>
      <w:r w:rsidR="005D1812">
        <w:rPr>
          <w:rFonts w:ascii="Times New Roman" w:hAnsi="Times New Roman"/>
          <w:szCs w:val="24"/>
          <w:lang w:val="sr-Cyrl-BA"/>
        </w:rPr>
        <w:t>овала</w:t>
      </w:r>
      <w:r w:rsidR="00A70C1B" w:rsidRPr="00295637">
        <w:rPr>
          <w:rFonts w:ascii="Times New Roman" w:hAnsi="Times New Roman"/>
          <w:szCs w:val="24"/>
        </w:rPr>
        <w:t xml:space="preserve"> </w:t>
      </w:r>
      <w:r>
        <w:rPr>
          <w:rFonts w:ascii="Times New Roman" w:hAnsi="Times New Roman"/>
          <w:szCs w:val="24"/>
        </w:rPr>
        <w:t>три</w:t>
      </w:r>
      <w:r w:rsidR="00A70C1B" w:rsidRPr="00295637">
        <w:rPr>
          <w:rFonts w:ascii="Times New Roman" w:hAnsi="Times New Roman"/>
          <w:szCs w:val="24"/>
        </w:rPr>
        <w:t xml:space="preserve"> </w:t>
      </w:r>
      <w:r>
        <w:rPr>
          <w:rFonts w:ascii="Times New Roman" w:hAnsi="Times New Roman"/>
          <w:szCs w:val="24"/>
        </w:rPr>
        <w:t>курикулума</w:t>
      </w:r>
      <w:r w:rsidR="00A70C1B" w:rsidRPr="00295637">
        <w:rPr>
          <w:rFonts w:ascii="Times New Roman" w:hAnsi="Times New Roman"/>
          <w:szCs w:val="24"/>
        </w:rPr>
        <w:t xml:space="preserve"> </w:t>
      </w:r>
      <w:r>
        <w:rPr>
          <w:rFonts w:ascii="Times New Roman" w:hAnsi="Times New Roman"/>
          <w:szCs w:val="24"/>
        </w:rPr>
        <w:t>и</w:t>
      </w:r>
      <w:r w:rsidR="00A70C1B" w:rsidRPr="00295637">
        <w:rPr>
          <w:rFonts w:ascii="Times New Roman" w:hAnsi="Times New Roman"/>
          <w:szCs w:val="24"/>
        </w:rPr>
        <w:t xml:space="preserve"> </w:t>
      </w:r>
      <w:r>
        <w:rPr>
          <w:rFonts w:ascii="Times New Roman" w:hAnsi="Times New Roman"/>
          <w:szCs w:val="24"/>
        </w:rPr>
        <w:t>обуке</w:t>
      </w:r>
      <w:r w:rsidR="00A70C1B" w:rsidRPr="00295637">
        <w:rPr>
          <w:rFonts w:ascii="Times New Roman" w:hAnsi="Times New Roman"/>
          <w:szCs w:val="24"/>
        </w:rPr>
        <w:t xml:space="preserve"> </w:t>
      </w:r>
      <w:r>
        <w:rPr>
          <w:rFonts w:ascii="Times New Roman" w:hAnsi="Times New Roman"/>
          <w:szCs w:val="24"/>
        </w:rPr>
        <w:t>у</w:t>
      </w:r>
      <w:r w:rsidR="00A70C1B" w:rsidRPr="00295637">
        <w:rPr>
          <w:rFonts w:ascii="Times New Roman" w:hAnsi="Times New Roman"/>
          <w:szCs w:val="24"/>
        </w:rPr>
        <w:t xml:space="preserve"> </w:t>
      </w:r>
      <w:r>
        <w:rPr>
          <w:rFonts w:ascii="Times New Roman" w:hAnsi="Times New Roman"/>
          <w:szCs w:val="24"/>
        </w:rPr>
        <w:t>форми</w:t>
      </w:r>
      <w:r w:rsidR="00A70C1B" w:rsidRPr="00295637">
        <w:rPr>
          <w:rFonts w:ascii="Times New Roman" w:hAnsi="Times New Roman"/>
          <w:szCs w:val="24"/>
        </w:rPr>
        <w:t xml:space="preserve"> </w:t>
      </w:r>
      <w:r>
        <w:rPr>
          <w:rFonts w:ascii="Times New Roman" w:hAnsi="Times New Roman"/>
          <w:szCs w:val="24"/>
        </w:rPr>
        <w:t>вебинара</w:t>
      </w:r>
      <w:r w:rsidR="00A70C1B" w:rsidRPr="00295637">
        <w:rPr>
          <w:rFonts w:ascii="Times New Roman" w:hAnsi="Times New Roman"/>
          <w:szCs w:val="24"/>
        </w:rPr>
        <w:t xml:space="preserve"> </w:t>
      </w:r>
      <w:r>
        <w:rPr>
          <w:rFonts w:ascii="Times New Roman" w:hAnsi="Times New Roman"/>
          <w:szCs w:val="24"/>
        </w:rPr>
        <w:t>на</w:t>
      </w:r>
      <w:r w:rsidR="00A70C1B" w:rsidRPr="00295637">
        <w:rPr>
          <w:rFonts w:ascii="Times New Roman" w:hAnsi="Times New Roman"/>
          <w:szCs w:val="24"/>
        </w:rPr>
        <w:t xml:space="preserve"> </w:t>
      </w:r>
      <w:r>
        <w:rPr>
          <w:rFonts w:ascii="Times New Roman" w:hAnsi="Times New Roman"/>
          <w:szCs w:val="24"/>
        </w:rPr>
        <w:t>теме</w:t>
      </w:r>
      <w:r w:rsidR="00A70C1B" w:rsidRPr="00295637">
        <w:rPr>
          <w:rFonts w:ascii="Times New Roman" w:hAnsi="Times New Roman"/>
          <w:szCs w:val="24"/>
        </w:rPr>
        <w:t xml:space="preserve">: </w:t>
      </w:r>
      <w:r w:rsidR="00DB3C3A">
        <w:rPr>
          <w:rFonts w:ascii="Times New Roman" w:hAnsi="Times New Roman"/>
          <w:szCs w:val="24"/>
          <w:lang w:val="sr-Cyrl-BA"/>
        </w:rPr>
        <w:t>У</w:t>
      </w:r>
      <w:r>
        <w:rPr>
          <w:rFonts w:ascii="Times New Roman" w:hAnsi="Times New Roman"/>
          <w:szCs w:val="24"/>
        </w:rPr>
        <w:t>тицај</w:t>
      </w:r>
      <w:r w:rsidR="00A70C1B" w:rsidRPr="00295637">
        <w:rPr>
          <w:rFonts w:ascii="Times New Roman" w:hAnsi="Times New Roman"/>
          <w:szCs w:val="24"/>
        </w:rPr>
        <w:t xml:space="preserve"> </w:t>
      </w:r>
      <w:r>
        <w:rPr>
          <w:rFonts w:ascii="Times New Roman" w:hAnsi="Times New Roman"/>
          <w:szCs w:val="24"/>
        </w:rPr>
        <w:t>политика</w:t>
      </w:r>
      <w:r w:rsidR="00A70C1B" w:rsidRPr="00295637">
        <w:rPr>
          <w:rFonts w:ascii="Times New Roman" w:hAnsi="Times New Roman"/>
          <w:szCs w:val="24"/>
        </w:rPr>
        <w:t xml:space="preserve"> </w:t>
      </w:r>
      <w:r>
        <w:rPr>
          <w:rFonts w:ascii="Times New Roman" w:hAnsi="Times New Roman"/>
          <w:szCs w:val="24"/>
        </w:rPr>
        <w:t>и</w:t>
      </w:r>
      <w:r w:rsidR="00A70C1B" w:rsidRPr="00295637">
        <w:rPr>
          <w:rFonts w:ascii="Times New Roman" w:hAnsi="Times New Roman"/>
          <w:szCs w:val="24"/>
        </w:rPr>
        <w:t xml:space="preserve"> </w:t>
      </w:r>
      <w:r>
        <w:rPr>
          <w:rFonts w:ascii="Times New Roman" w:hAnsi="Times New Roman"/>
          <w:szCs w:val="24"/>
        </w:rPr>
        <w:t>правних</w:t>
      </w:r>
      <w:r w:rsidR="00A70C1B" w:rsidRPr="00295637">
        <w:rPr>
          <w:rFonts w:ascii="Times New Roman" w:hAnsi="Times New Roman"/>
          <w:szCs w:val="24"/>
        </w:rPr>
        <w:t xml:space="preserve"> </w:t>
      </w:r>
      <w:r>
        <w:rPr>
          <w:rFonts w:ascii="Times New Roman" w:hAnsi="Times New Roman"/>
          <w:szCs w:val="24"/>
        </w:rPr>
        <w:t>прописа</w:t>
      </w:r>
      <w:r w:rsidR="00A70C1B" w:rsidRPr="00295637">
        <w:rPr>
          <w:rFonts w:ascii="Times New Roman" w:hAnsi="Times New Roman"/>
          <w:szCs w:val="24"/>
        </w:rPr>
        <w:t xml:space="preserve"> </w:t>
      </w:r>
      <w:r>
        <w:rPr>
          <w:rFonts w:ascii="Times New Roman" w:hAnsi="Times New Roman"/>
          <w:szCs w:val="24"/>
        </w:rPr>
        <w:t>на</w:t>
      </w:r>
      <w:r w:rsidR="00A70C1B" w:rsidRPr="00295637">
        <w:rPr>
          <w:rFonts w:ascii="Times New Roman" w:hAnsi="Times New Roman"/>
          <w:szCs w:val="24"/>
        </w:rPr>
        <w:t xml:space="preserve"> </w:t>
      </w:r>
      <w:r>
        <w:rPr>
          <w:rFonts w:ascii="Times New Roman" w:hAnsi="Times New Roman"/>
          <w:szCs w:val="24"/>
        </w:rPr>
        <w:t>равноправност</w:t>
      </w:r>
      <w:r w:rsidR="00A70C1B" w:rsidRPr="00295637">
        <w:rPr>
          <w:rFonts w:ascii="Times New Roman" w:hAnsi="Times New Roman"/>
          <w:szCs w:val="24"/>
        </w:rPr>
        <w:t xml:space="preserve"> </w:t>
      </w:r>
      <w:r>
        <w:rPr>
          <w:rFonts w:ascii="Times New Roman" w:hAnsi="Times New Roman"/>
          <w:szCs w:val="24"/>
        </w:rPr>
        <w:t>полова</w:t>
      </w:r>
      <w:r w:rsidR="00A70C1B" w:rsidRPr="00295637">
        <w:rPr>
          <w:rFonts w:ascii="Times New Roman" w:hAnsi="Times New Roman"/>
          <w:szCs w:val="24"/>
        </w:rPr>
        <w:t xml:space="preserve"> (</w:t>
      </w:r>
      <w:r w:rsidR="00DB3C3A" w:rsidRPr="00DB3C3A">
        <w:rPr>
          <w:rFonts w:ascii="Times New Roman" w:hAnsi="Times New Roman"/>
          <w:i/>
          <w:szCs w:val="24"/>
        </w:rPr>
        <w:t>gender-impact assesment</w:t>
      </w:r>
      <w:r w:rsidR="00A70C1B" w:rsidRPr="00295637">
        <w:rPr>
          <w:rFonts w:ascii="Times New Roman" w:hAnsi="Times New Roman"/>
          <w:szCs w:val="24"/>
        </w:rPr>
        <w:t xml:space="preserve">), </w:t>
      </w:r>
      <w:r w:rsidR="00DB3C3A">
        <w:rPr>
          <w:rFonts w:ascii="Times New Roman" w:hAnsi="Times New Roman"/>
          <w:szCs w:val="24"/>
          <w:lang w:val="sr-Cyrl-BA"/>
        </w:rPr>
        <w:t>П</w:t>
      </w:r>
      <w:r>
        <w:rPr>
          <w:rFonts w:ascii="Times New Roman" w:hAnsi="Times New Roman"/>
          <w:szCs w:val="24"/>
        </w:rPr>
        <w:t>репознавање</w:t>
      </w:r>
      <w:r w:rsidR="00A70C1B" w:rsidRPr="00295637">
        <w:rPr>
          <w:rFonts w:ascii="Times New Roman" w:hAnsi="Times New Roman"/>
          <w:szCs w:val="24"/>
        </w:rPr>
        <w:t xml:space="preserve"> </w:t>
      </w:r>
      <w:r>
        <w:rPr>
          <w:rFonts w:ascii="Times New Roman" w:hAnsi="Times New Roman"/>
          <w:szCs w:val="24"/>
        </w:rPr>
        <w:t>и</w:t>
      </w:r>
      <w:r w:rsidR="00A70C1B" w:rsidRPr="00295637">
        <w:rPr>
          <w:rFonts w:ascii="Times New Roman" w:hAnsi="Times New Roman"/>
          <w:szCs w:val="24"/>
        </w:rPr>
        <w:t xml:space="preserve"> </w:t>
      </w:r>
      <w:r>
        <w:rPr>
          <w:rFonts w:ascii="Times New Roman" w:hAnsi="Times New Roman"/>
          <w:szCs w:val="24"/>
        </w:rPr>
        <w:t>превенција</w:t>
      </w:r>
      <w:r w:rsidR="00A70C1B" w:rsidRPr="00295637">
        <w:rPr>
          <w:rFonts w:ascii="Times New Roman" w:hAnsi="Times New Roman"/>
          <w:szCs w:val="24"/>
        </w:rPr>
        <w:t xml:space="preserve"> </w:t>
      </w:r>
      <w:r>
        <w:rPr>
          <w:rFonts w:ascii="Times New Roman" w:hAnsi="Times New Roman"/>
          <w:szCs w:val="24"/>
        </w:rPr>
        <w:t>узнемиравања</w:t>
      </w:r>
      <w:r w:rsidR="00A70C1B" w:rsidRPr="00295637">
        <w:rPr>
          <w:rFonts w:ascii="Times New Roman" w:hAnsi="Times New Roman"/>
          <w:szCs w:val="24"/>
        </w:rPr>
        <w:t xml:space="preserve"> </w:t>
      </w:r>
      <w:r>
        <w:rPr>
          <w:rFonts w:ascii="Times New Roman" w:hAnsi="Times New Roman"/>
          <w:szCs w:val="24"/>
        </w:rPr>
        <w:t>на</w:t>
      </w:r>
      <w:r w:rsidR="00A70C1B" w:rsidRPr="00295637">
        <w:rPr>
          <w:rFonts w:ascii="Times New Roman" w:hAnsi="Times New Roman"/>
          <w:szCs w:val="24"/>
        </w:rPr>
        <w:t xml:space="preserve"> </w:t>
      </w:r>
      <w:r>
        <w:rPr>
          <w:rFonts w:ascii="Times New Roman" w:hAnsi="Times New Roman"/>
          <w:szCs w:val="24"/>
        </w:rPr>
        <w:t>основу</w:t>
      </w:r>
      <w:r w:rsidR="00A70C1B" w:rsidRPr="00295637">
        <w:rPr>
          <w:rFonts w:ascii="Times New Roman" w:hAnsi="Times New Roman"/>
          <w:szCs w:val="24"/>
        </w:rPr>
        <w:t xml:space="preserve"> </w:t>
      </w:r>
      <w:r>
        <w:rPr>
          <w:rFonts w:ascii="Times New Roman" w:hAnsi="Times New Roman"/>
          <w:szCs w:val="24"/>
        </w:rPr>
        <w:t>пола</w:t>
      </w:r>
      <w:r w:rsidR="00A70C1B" w:rsidRPr="00295637">
        <w:rPr>
          <w:rFonts w:ascii="Times New Roman" w:hAnsi="Times New Roman"/>
          <w:szCs w:val="24"/>
        </w:rPr>
        <w:t xml:space="preserve"> </w:t>
      </w:r>
      <w:r>
        <w:rPr>
          <w:rFonts w:ascii="Times New Roman" w:hAnsi="Times New Roman"/>
          <w:szCs w:val="24"/>
        </w:rPr>
        <w:t>и</w:t>
      </w:r>
      <w:r w:rsidR="00A70C1B" w:rsidRPr="00295637">
        <w:rPr>
          <w:rFonts w:ascii="Times New Roman" w:hAnsi="Times New Roman"/>
          <w:szCs w:val="24"/>
        </w:rPr>
        <w:t xml:space="preserve"> </w:t>
      </w:r>
      <w:r>
        <w:rPr>
          <w:rFonts w:ascii="Times New Roman" w:hAnsi="Times New Roman"/>
          <w:szCs w:val="24"/>
        </w:rPr>
        <w:t>сексуалног</w:t>
      </w:r>
      <w:r w:rsidR="00A70C1B" w:rsidRPr="00295637">
        <w:rPr>
          <w:rFonts w:ascii="Times New Roman" w:hAnsi="Times New Roman"/>
          <w:szCs w:val="24"/>
        </w:rPr>
        <w:t xml:space="preserve"> </w:t>
      </w:r>
      <w:r>
        <w:rPr>
          <w:rFonts w:ascii="Times New Roman" w:hAnsi="Times New Roman"/>
          <w:szCs w:val="24"/>
        </w:rPr>
        <w:t>узнемиравања</w:t>
      </w:r>
      <w:r w:rsidR="00A70C1B" w:rsidRPr="00295637">
        <w:rPr>
          <w:rFonts w:ascii="Times New Roman" w:hAnsi="Times New Roman"/>
          <w:szCs w:val="24"/>
        </w:rPr>
        <w:t xml:space="preserve"> </w:t>
      </w:r>
      <w:r>
        <w:rPr>
          <w:rFonts w:ascii="Times New Roman" w:hAnsi="Times New Roman"/>
          <w:szCs w:val="24"/>
        </w:rPr>
        <w:t>и</w:t>
      </w:r>
      <w:r w:rsidR="00A70C1B" w:rsidRPr="00295637">
        <w:rPr>
          <w:rFonts w:ascii="Times New Roman" w:hAnsi="Times New Roman"/>
          <w:szCs w:val="24"/>
        </w:rPr>
        <w:t xml:space="preserve"> </w:t>
      </w:r>
      <w:r w:rsidR="00DB3C3A">
        <w:rPr>
          <w:rFonts w:ascii="Times New Roman" w:hAnsi="Times New Roman"/>
          <w:szCs w:val="24"/>
          <w:lang w:val="sr-Cyrl-BA"/>
        </w:rPr>
        <w:t>П</w:t>
      </w:r>
      <w:r>
        <w:rPr>
          <w:rFonts w:ascii="Times New Roman" w:hAnsi="Times New Roman"/>
          <w:szCs w:val="24"/>
        </w:rPr>
        <w:t>оступање</w:t>
      </w:r>
      <w:r w:rsidR="00A70C1B" w:rsidRPr="00295637">
        <w:rPr>
          <w:rFonts w:ascii="Times New Roman" w:hAnsi="Times New Roman"/>
          <w:szCs w:val="24"/>
        </w:rPr>
        <w:t xml:space="preserve"> </w:t>
      </w:r>
      <w:r>
        <w:rPr>
          <w:rFonts w:ascii="Times New Roman" w:hAnsi="Times New Roman"/>
          <w:szCs w:val="24"/>
        </w:rPr>
        <w:t>полицијских</w:t>
      </w:r>
      <w:r w:rsidR="00A70C1B" w:rsidRPr="00295637">
        <w:rPr>
          <w:rFonts w:ascii="Times New Roman" w:hAnsi="Times New Roman"/>
          <w:szCs w:val="24"/>
        </w:rPr>
        <w:t xml:space="preserve"> </w:t>
      </w:r>
      <w:r>
        <w:rPr>
          <w:rFonts w:ascii="Times New Roman" w:hAnsi="Times New Roman"/>
          <w:szCs w:val="24"/>
        </w:rPr>
        <w:t>службеника</w:t>
      </w:r>
      <w:r w:rsidR="00A70C1B" w:rsidRPr="00295637">
        <w:rPr>
          <w:rFonts w:ascii="Times New Roman" w:hAnsi="Times New Roman"/>
          <w:szCs w:val="24"/>
        </w:rPr>
        <w:t xml:space="preserve"> </w:t>
      </w:r>
      <w:r>
        <w:rPr>
          <w:rFonts w:ascii="Times New Roman" w:hAnsi="Times New Roman"/>
          <w:szCs w:val="24"/>
        </w:rPr>
        <w:t>у</w:t>
      </w:r>
      <w:r w:rsidR="00A70C1B" w:rsidRPr="00295637">
        <w:rPr>
          <w:rFonts w:ascii="Times New Roman" w:hAnsi="Times New Roman"/>
          <w:szCs w:val="24"/>
        </w:rPr>
        <w:t xml:space="preserve"> </w:t>
      </w:r>
      <w:r>
        <w:rPr>
          <w:rFonts w:ascii="Times New Roman" w:hAnsi="Times New Roman"/>
          <w:szCs w:val="24"/>
        </w:rPr>
        <w:t>случајевима</w:t>
      </w:r>
      <w:r w:rsidR="00A70C1B" w:rsidRPr="00295637">
        <w:rPr>
          <w:rFonts w:ascii="Times New Roman" w:hAnsi="Times New Roman"/>
          <w:szCs w:val="24"/>
        </w:rPr>
        <w:t xml:space="preserve"> </w:t>
      </w:r>
      <w:r>
        <w:rPr>
          <w:rFonts w:ascii="Times New Roman" w:hAnsi="Times New Roman"/>
          <w:szCs w:val="24"/>
        </w:rPr>
        <w:t>насиља</w:t>
      </w:r>
      <w:r w:rsidR="00A70C1B" w:rsidRPr="00295637">
        <w:rPr>
          <w:rFonts w:ascii="Times New Roman" w:hAnsi="Times New Roman"/>
          <w:szCs w:val="24"/>
        </w:rPr>
        <w:t xml:space="preserve"> </w:t>
      </w:r>
      <w:r>
        <w:rPr>
          <w:rFonts w:ascii="Times New Roman" w:hAnsi="Times New Roman"/>
          <w:szCs w:val="24"/>
        </w:rPr>
        <w:t>над</w:t>
      </w:r>
      <w:r w:rsidR="00A70C1B" w:rsidRPr="00295637">
        <w:rPr>
          <w:rFonts w:ascii="Times New Roman" w:hAnsi="Times New Roman"/>
          <w:szCs w:val="24"/>
        </w:rPr>
        <w:t xml:space="preserve"> </w:t>
      </w:r>
      <w:r>
        <w:rPr>
          <w:rFonts w:ascii="Times New Roman" w:hAnsi="Times New Roman"/>
          <w:szCs w:val="24"/>
        </w:rPr>
        <w:t>женама</w:t>
      </w:r>
      <w:r w:rsidR="00A70C1B" w:rsidRPr="00295637">
        <w:rPr>
          <w:rFonts w:ascii="Times New Roman" w:hAnsi="Times New Roman"/>
          <w:szCs w:val="24"/>
        </w:rPr>
        <w:t xml:space="preserve"> </w:t>
      </w:r>
      <w:r>
        <w:rPr>
          <w:rFonts w:ascii="Times New Roman" w:hAnsi="Times New Roman"/>
          <w:szCs w:val="24"/>
        </w:rPr>
        <w:t>и</w:t>
      </w:r>
      <w:r w:rsidR="00A70C1B" w:rsidRPr="00295637">
        <w:rPr>
          <w:rFonts w:ascii="Times New Roman" w:hAnsi="Times New Roman"/>
          <w:szCs w:val="24"/>
        </w:rPr>
        <w:t xml:space="preserve"> </w:t>
      </w:r>
      <w:r>
        <w:rPr>
          <w:rFonts w:ascii="Times New Roman" w:hAnsi="Times New Roman"/>
          <w:szCs w:val="24"/>
        </w:rPr>
        <w:t>насиља</w:t>
      </w:r>
      <w:r w:rsidR="00A70C1B" w:rsidRPr="00295637">
        <w:rPr>
          <w:rFonts w:ascii="Times New Roman" w:hAnsi="Times New Roman"/>
          <w:szCs w:val="24"/>
        </w:rPr>
        <w:t xml:space="preserve"> </w:t>
      </w:r>
      <w:r>
        <w:rPr>
          <w:rFonts w:ascii="Times New Roman" w:hAnsi="Times New Roman"/>
          <w:szCs w:val="24"/>
        </w:rPr>
        <w:t>у</w:t>
      </w:r>
      <w:r w:rsidR="00A70C1B" w:rsidRPr="00295637">
        <w:rPr>
          <w:rFonts w:ascii="Times New Roman" w:hAnsi="Times New Roman"/>
          <w:szCs w:val="24"/>
        </w:rPr>
        <w:t xml:space="preserve"> </w:t>
      </w:r>
      <w:r>
        <w:rPr>
          <w:rFonts w:ascii="Times New Roman" w:hAnsi="Times New Roman"/>
          <w:szCs w:val="24"/>
        </w:rPr>
        <w:t>породици</w:t>
      </w:r>
      <w:r w:rsidR="00A70C1B" w:rsidRPr="00295637">
        <w:rPr>
          <w:rFonts w:ascii="Times New Roman" w:hAnsi="Times New Roman"/>
          <w:szCs w:val="24"/>
        </w:rPr>
        <w:t xml:space="preserve">. </w:t>
      </w:r>
      <w:r>
        <w:rPr>
          <w:rFonts w:ascii="Times New Roman" w:hAnsi="Times New Roman"/>
          <w:szCs w:val="24"/>
        </w:rPr>
        <w:t>Почетком</w:t>
      </w:r>
      <w:r w:rsidR="00A70C1B" w:rsidRPr="00295637">
        <w:rPr>
          <w:rFonts w:ascii="Times New Roman" w:hAnsi="Times New Roman"/>
          <w:szCs w:val="24"/>
        </w:rPr>
        <w:t xml:space="preserve"> </w:t>
      </w:r>
      <w:r>
        <w:rPr>
          <w:rFonts w:ascii="Times New Roman" w:hAnsi="Times New Roman"/>
          <w:szCs w:val="24"/>
        </w:rPr>
        <w:t>наредног</w:t>
      </w:r>
      <w:r w:rsidR="00A70C1B" w:rsidRPr="00295637">
        <w:rPr>
          <w:rFonts w:ascii="Times New Roman" w:hAnsi="Times New Roman"/>
          <w:szCs w:val="24"/>
        </w:rPr>
        <w:t xml:space="preserve"> </w:t>
      </w:r>
      <w:r>
        <w:rPr>
          <w:rFonts w:ascii="Times New Roman" w:hAnsi="Times New Roman"/>
          <w:szCs w:val="24"/>
        </w:rPr>
        <w:t>извјештајног</w:t>
      </w:r>
      <w:r w:rsidR="00A70C1B" w:rsidRPr="00295637">
        <w:rPr>
          <w:rFonts w:ascii="Times New Roman" w:hAnsi="Times New Roman"/>
          <w:szCs w:val="24"/>
        </w:rPr>
        <w:t xml:space="preserve"> </w:t>
      </w:r>
      <w:r>
        <w:rPr>
          <w:rFonts w:ascii="Times New Roman" w:hAnsi="Times New Roman"/>
          <w:szCs w:val="24"/>
        </w:rPr>
        <w:t>периода</w:t>
      </w:r>
      <w:r w:rsidR="00A70C1B" w:rsidRPr="00295637">
        <w:rPr>
          <w:rFonts w:ascii="Times New Roman" w:hAnsi="Times New Roman"/>
          <w:szCs w:val="24"/>
        </w:rPr>
        <w:t xml:space="preserve"> </w:t>
      </w:r>
      <w:r w:rsidR="00E061CF">
        <w:rPr>
          <w:rFonts w:ascii="Times New Roman" w:hAnsi="Times New Roman"/>
          <w:szCs w:val="24"/>
        </w:rPr>
        <w:t>би</w:t>
      </w:r>
      <w:r>
        <w:rPr>
          <w:rFonts w:ascii="Times New Roman" w:hAnsi="Times New Roman"/>
          <w:szCs w:val="24"/>
        </w:rPr>
        <w:t>ће</w:t>
      </w:r>
      <w:r w:rsidR="00222A8E" w:rsidRPr="00295637">
        <w:rPr>
          <w:rFonts w:ascii="Times New Roman" w:hAnsi="Times New Roman"/>
          <w:szCs w:val="24"/>
        </w:rPr>
        <w:t xml:space="preserve"> </w:t>
      </w:r>
      <w:r>
        <w:rPr>
          <w:rFonts w:ascii="Times New Roman" w:hAnsi="Times New Roman"/>
          <w:szCs w:val="24"/>
        </w:rPr>
        <w:t>реализ</w:t>
      </w:r>
      <w:r w:rsidR="00E061CF">
        <w:rPr>
          <w:rFonts w:ascii="Times New Roman" w:hAnsi="Times New Roman"/>
          <w:szCs w:val="24"/>
          <w:lang w:val="sr-Cyrl-BA"/>
        </w:rPr>
        <w:t>оване</w:t>
      </w:r>
      <w:r w:rsidR="00A70C1B" w:rsidRPr="00295637">
        <w:rPr>
          <w:rFonts w:ascii="Times New Roman" w:hAnsi="Times New Roman"/>
          <w:szCs w:val="24"/>
        </w:rPr>
        <w:t xml:space="preserve"> </w:t>
      </w:r>
      <w:r>
        <w:rPr>
          <w:rFonts w:ascii="Times New Roman" w:hAnsi="Times New Roman"/>
          <w:szCs w:val="24"/>
        </w:rPr>
        <w:t>техничке</w:t>
      </w:r>
      <w:r w:rsidR="00A70C1B" w:rsidRPr="00295637">
        <w:rPr>
          <w:rFonts w:ascii="Times New Roman" w:hAnsi="Times New Roman"/>
          <w:szCs w:val="24"/>
        </w:rPr>
        <w:t xml:space="preserve"> </w:t>
      </w:r>
      <w:r>
        <w:rPr>
          <w:rFonts w:ascii="Times New Roman" w:hAnsi="Times New Roman"/>
          <w:szCs w:val="24"/>
        </w:rPr>
        <w:t>претпоставке</w:t>
      </w:r>
      <w:r w:rsidR="00A70C1B" w:rsidRPr="00295637">
        <w:rPr>
          <w:rFonts w:ascii="Times New Roman" w:hAnsi="Times New Roman"/>
          <w:szCs w:val="24"/>
        </w:rPr>
        <w:t xml:space="preserve"> </w:t>
      </w:r>
      <w:r>
        <w:rPr>
          <w:rFonts w:ascii="Times New Roman" w:hAnsi="Times New Roman"/>
          <w:szCs w:val="24"/>
        </w:rPr>
        <w:t>за</w:t>
      </w:r>
      <w:r w:rsidR="00A70C1B" w:rsidRPr="00295637">
        <w:rPr>
          <w:rFonts w:ascii="Times New Roman" w:hAnsi="Times New Roman"/>
          <w:szCs w:val="24"/>
        </w:rPr>
        <w:t xml:space="preserve"> </w:t>
      </w:r>
      <w:r>
        <w:rPr>
          <w:rFonts w:ascii="Times New Roman" w:hAnsi="Times New Roman"/>
          <w:szCs w:val="24"/>
        </w:rPr>
        <w:t>постављање</w:t>
      </w:r>
      <w:r w:rsidR="00A70C1B" w:rsidRPr="00295637">
        <w:rPr>
          <w:rFonts w:ascii="Times New Roman" w:hAnsi="Times New Roman"/>
          <w:szCs w:val="24"/>
        </w:rPr>
        <w:t xml:space="preserve"> </w:t>
      </w:r>
      <w:r>
        <w:rPr>
          <w:rFonts w:ascii="Times New Roman" w:hAnsi="Times New Roman"/>
          <w:szCs w:val="24"/>
        </w:rPr>
        <w:t>курса</w:t>
      </w:r>
      <w:r w:rsidR="00A70C1B" w:rsidRPr="00295637">
        <w:rPr>
          <w:rFonts w:ascii="Times New Roman" w:hAnsi="Times New Roman"/>
          <w:szCs w:val="24"/>
        </w:rPr>
        <w:t xml:space="preserve"> </w:t>
      </w:r>
      <w:r>
        <w:rPr>
          <w:rFonts w:ascii="Times New Roman" w:hAnsi="Times New Roman"/>
          <w:szCs w:val="24"/>
        </w:rPr>
        <w:t>на</w:t>
      </w:r>
      <w:r w:rsidR="00A70C1B" w:rsidRPr="00295637">
        <w:rPr>
          <w:rFonts w:ascii="Times New Roman" w:hAnsi="Times New Roman"/>
          <w:szCs w:val="24"/>
        </w:rPr>
        <w:t xml:space="preserve"> </w:t>
      </w:r>
      <w:r>
        <w:rPr>
          <w:rFonts w:ascii="Times New Roman" w:hAnsi="Times New Roman"/>
          <w:szCs w:val="24"/>
        </w:rPr>
        <w:t>АР</w:t>
      </w:r>
      <w:r w:rsidR="00E061CF">
        <w:rPr>
          <w:rFonts w:ascii="Times New Roman" w:hAnsi="Times New Roman"/>
          <w:szCs w:val="24"/>
          <w:lang w:val="sr-Cyrl-BA"/>
        </w:rPr>
        <w:t>П</w:t>
      </w:r>
      <w:r w:rsidR="00AA2171">
        <w:rPr>
          <w:rFonts w:ascii="Times New Roman" w:hAnsi="Times New Roman"/>
          <w:szCs w:val="24"/>
        </w:rPr>
        <w:t xml:space="preserve"> </w:t>
      </w:r>
      <w:r>
        <w:rPr>
          <w:rFonts w:ascii="Times New Roman" w:hAnsi="Times New Roman"/>
          <w:szCs w:val="24"/>
        </w:rPr>
        <w:t>БиХ</w:t>
      </w:r>
      <w:r w:rsidR="00222A8E">
        <w:rPr>
          <w:rFonts w:ascii="Times New Roman" w:hAnsi="Times New Roman"/>
          <w:szCs w:val="24"/>
        </w:rPr>
        <w:t xml:space="preserve"> </w:t>
      </w:r>
      <w:r>
        <w:rPr>
          <w:rFonts w:ascii="Times New Roman" w:hAnsi="Times New Roman"/>
          <w:szCs w:val="24"/>
        </w:rPr>
        <w:t>МЉПИ</w:t>
      </w:r>
      <w:r w:rsidR="00222A8E">
        <w:rPr>
          <w:rFonts w:ascii="Times New Roman" w:hAnsi="Times New Roman"/>
          <w:szCs w:val="24"/>
        </w:rPr>
        <w:t xml:space="preserve"> </w:t>
      </w:r>
      <w:r>
        <w:rPr>
          <w:rFonts w:ascii="Times New Roman" w:hAnsi="Times New Roman"/>
          <w:szCs w:val="24"/>
        </w:rPr>
        <w:t>БиХ</w:t>
      </w:r>
      <w:r w:rsidR="00F9721C" w:rsidRPr="00295637">
        <w:rPr>
          <w:rFonts w:ascii="Times New Roman" w:hAnsi="Times New Roman"/>
          <w:szCs w:val="24"/>
        </w:rPr>
        <w:t xml:space="preserve"> </w:t>
      </w:r>
      <w:r w:rsidR="00E061CF" w:rsidRPr="00E061CF">
        <w:rPr>
          <w:rFonts w:ascii="Times New Roman" w:hAnsi="Times New Roman"/>
          <w:i/>
          <w:szCs w:val="24"/>
        </w:rPr>
        <w:t>e-learning medijum</w:t>
      </w:r>
      <w:r w:rsidR="00F9721C" w:rsidRPr="00295637">
        <w:rPr>
          <w:rFonts w:ascii="Times New Roman" w:hAnsi="Times New Roman"/>
          <w:szCs w:val="24"/>
        </w:rPr>
        <w:t xml:space="preserve">. </w:t>
      </w:r>
      <w:r>
        <w:rPr>
          <w:rFonts w:ascii="Times New Roman" w:hAnsi="Times New Roman"/>
          <w:szCs w:val="24"/>
          <w:lang w:val="hr-HR"/>
        </w:rPr>
        <w:t>АР</w:t>
      </w:r>
      <w:r w:rsidR="00E061CF">
        <w:rPr>
          <w:rFonts w:ascii="Times New Roman" w:hAnsi="Times New Roman"/>
          <w:szCs w:val="24"/>
          <w:lang w:val="sr-Cyrl-BA"/>
        </w:rPr>
        <w:t>П</w:t>
      </w:r>
      <w:r w:rsidR="00222A8E">
        <w:rPr>
          <w:rFonts w:ascii="Times New Roman" w:hAnsi="Times New Roman"/>
          <w:szCs w:val="24"/>
          <w:lang w:val="hr-HR"/>
        </w:rPr>
        <w:t xml:space="preserve"> </w:t>
      </w:r>
      <w:r>
        <w:rPr>
          <w:rFonts w:ascii="Times New Roman" w:hAnsi="Times New Roman"/>
          <w:szCs w:val="24"/>
          <w:lang w:val="hr-HR"/>
        </w:rPr>
        <w:t>БиХ</w:t>
      </w:r>
      <w:r w:rsidR="007970A9">
        <w:rPr>
          <w:rFonts w:ascii="Times New Roman" w:hAnsi="Times New Roman"/>
          <w:szCs w:val="24"/>
          <w:lang w:val="hr-HR"/>
        </w:rPr>
        <w:t xml:space="preserve"> </w:t>
      </w:r>
      <w:r>
        <w:rPr>
          <w:rFonts w:ascii="Times New Roman" w:hAnsi="Times New Roman"/>
          <w:szCs w:val="24"/>
          <w:lang w:val="hr-HR"/>
        </w:rPr>
        <w:t>МЉПИ</w:t>
      </w:r>
      <w:r w:rsidR="007970A9">
        <w:rPr>
          <w:rFonts w:ascii="Times New Roman" w:hAnsi="Times New Roman"/>
          <w:szCs w:val="24"/>
          <w:lang w:val="hr-HR"/>
        </w:rPr>
        <w:t xml:space="preserve"> </w:t>
      </w:r>
      <w:r>
        <w:rPr>
          <w:rFonts w:ascii="Times New Roman" w:hAnsi="Times New Roman"/>
          <w:szCs w:val="24"/>
          <w:lang w:val="hr-HR"/>
        </w:rPr>
        <w:t>БиХ</w:t>
      </w:r>
      <w:r w:rsidR="00EC1E8B" w:rsidRPr="00295637">
        <w:rPr>
          <w:rFonts w:ascii="Times New Roman" w:hAnsi="Times New Roman"/>
          <w:szCs w:val="24"/>
          <w:lang w:val="hr-HR"/>
        </w:rPr>
        <w:t xml:space="preserve"> </w:t>
      </w:r>
      <w:r w:rsidR="00E061CF">
        <w:rPr>
          <w:rFonts w:ascii="Times New Roman" w:hAnsi="Times New Roman"/>
          <w:szCs w:val="24"/>
          <w:lang w:val="hr-HR"/>
        </w:rPr>
        <w:t xml:space="preserve">је </w:t>
      </w:r>
      <w:r>
        <w:rPr>
          <w:rFonts w:ascii="Times New Roman" w:hAnsi="Times New Roman"/>
          <w:szCs w:val="24"/>
          <w:lang w:val="hr-HR"/>
        </w:rPr>
        <w:t>одржавао</w:t>
      </w:r>
      <w:r w:rsidR="00EC1E8B" w:rsidRPr="00295637">
        <w:rPr>
          <w:rFonts w:ascii="Times New Roman" w:hAnsi="Times New Roman"/>
          <w:szCs w:val="24"/>
          <w:lang w:val="hr-HR"/>
        </w:rPr>
        <w:t xml:space="preserve"> </w:t>
      </w:r>
      <w:r>
        <w:rPr>
          <w:rFonts w:ascii="Times New Roman" w:hAnsi="Times New Roman"/>
          <w:szCs w:val="24"/>
          <w:lang w:val="hr-HR"/>
        </w:rPr>
        <w:t>састанке</w:t>
      </w:r>
      <w:r w:rsidR="007970A9">
        <w:rPr>
          <w:rFonts w:ascii="Times New Roman" w:hAnsi="Times New Roman"/>
          <w:szCs w:val="24"/>
          <w:lang w:val="hr-HR"/>
        </w:rPr>
        <w:t xml:space="preserve"> </w:t>
      </w:r>
      <w:r>
        <w:rPr>
          <w:rFonts w:ascii="Times New Roman" w:hAnsi="Times New Roman"/>
          <w:szCs w:val="24"/>
          <w:lang w:val="hr-HR"/>
        </w:rPr>
        <w:t>са</w:t>
      </w:r>
      <w:r w:rsidR="00EC1E8B" w:rsidRPr="00295637">
        <w:rPr>
          <w:rFonts w:ascii="Times New Roman" w:hAnsi="Times New Roman"/>
          <w:szCs w:val="24"/>
          <w:lang w:val="hr-HR"/>
        </w:rPr>
        <w:t xml:space="preserve"> </w:t>
      </w:r>
      <w:r>
        <w:rPr>
          <w:rFonts w:ascii="Times New Roman" w:hAnsi="Times New Roman"/>
          <w:szCs w:val="24"/>
          <w:lang w:val="hr-HR"/>
        </w:rPr>
        <w:t>релевантним</w:t>
      </w:r>
      <w:r w:rsidR="00EC1E8B" w:rsidRPr="00295637">
        <w:rPr>
          <w:rFonts w:ascii="Times New Roman" w:hAnsi="Times New Roman"/>
          <w:szCs w:val="24"/>
          <w:lang w:val="hr-HR"/>
        </w:rPr>
        <w:t xml:space="preserve"> </w:t>
      </w:r>
      <w:r>
        <w:rPr>
          <w:rFonts w:ascii="Times New Roman" w:hAnsi="Times New Roman"/>
          <w:szCs w:val="24"/>
          <w:lang w:val="hr-HR"/>
        </w:rPr>
        <w:t>институцијама</w:t>
      </w:r>
      <w:r w:rsidR="00EC1E8B" w:rsidRPr="00295637">
        <w:rPr>
          <w:rFonts w:ascii="Times New Roman" w:hAnsi="Times New Roman"/>
          <w:szCs w:val="24"/>
          <w:lang w:val="hr-HR"/>
        </w:rPr>
        <w:t xml:space="preserve"> </w:t>
      </w:r>
      <w:r>
        <w:rPr>
          <w:rFonts w:ascii="Times New Roman" w:hAnsi="Times New Roman"/>
          <w:szCs w:val="24"/>
          <w:lang w:val="hr-HR"/>
        </w:rPr>
        <w:t>на</w:t>
      </w:r>
      <w:r w:rsidR="00EC1E8B" w:rsidRPr="00295637">
        <w:rPr>
          <w:rFonts w:ascii="Times New Roman" w:hAnsi="Times New Roman"/>
          <w:szCs w:val="24"/>
          <w:lang w:val="hr-HR"/>
        </w:rPr>
        <w:t xml:space="preserve"> </w:t>
      </w:r>
      <w:r>
        <w:rPr>
          <w:rFonts w:ascii="Times New Roman" w:hAnsi="Times New Roman"/>
          <w:szCs w:val="24"/>
          <w:lang w:val="hr-HR"/>
        </w:rPr>
        <w:t>бх</w:t>
      </w:r>
      <w:r w:rsidR="00EC1E8B" w:rsidRPr="00295637">
        <w:rPr>
          <w:rFonts w:ascii="Times New Roman" w:hAnsi="Times New Roman"/>
          <w:szCs w:val="24"/>
          <w:lang w:val="hr-HR"/>
        </w:rPr>
        <w:t xml:space="preserve">. </w:t>
      </w:r>
      <w:r>
        <w:rPr>
          <w:rFonts w:ascii="Times New Roman" w:hAnsi="Times New Roman"/>
          <w:szCs w:val="24"/>
          <w:lang w:val="hr-HR"/>
        </w:rPr>
        <w:t>нивоу</w:t>
      </w:r>
      <w:r w:rsidR="00EC1E8B" w:rsidRPr="00295637">
        <w:rPr>
          <w:rFonts w:ascii="Times New Roman" w:hAnsi="Times New Roman"/>
          <w:szCs w:val="24"/>
          <w:lang w:val="hr-HR"/>
        </w:rPr>
        <w:t xml:space="preserve"> </w:t>
      </w:r>
      <w:r>
        <w:rPr>
          <w:rFonts w:ascii="Times New Roman" w:hAnsi="Times New Roman"/>
          <w:szCs w:val="24"/>
          <w:lang w:val="hr-HR"/>
        </w:rPr>
        <w:t>на</w:t>
      </w:r>
      <w:r w:rsidR="00EC1E8B" w:rsidRPr="00295637">
        <w:rPr>
          <w:rFonts w:ascii="Times New Roman" w:hAnsi="Times New Roman"/>
          <w:szCs w:val="24"/>
          <w:lang w:val="hr-HR"/>
        </w:rPr>
        <w:t xml:space="preserve"> </w:t>
      </w:r>
      <w:r>
        <w:rPr>
          <w:rFonts w:ascii="Times New Roman" w:hAnsi="Times New Roman"/>
          <w:szCs w:val="24"/>
          <w:lang w:val="hr-HR"/>
        </w:rPr>
        <w:t>теме</w:t>
      </w:r>
      <w:r w:rsidR="00EC1E8B" w:rsidRPr="00295637">
        <w:rPr>
          <w:rFonts w:ascii="Times New Roman" w:hAnsi="Times New Roman"/>
          <w:szCs w:val="24"/>
          <w:lang w:val="hr-HR"/>
        </w:rPr>
        <w:t xml:space="preserve">: </w:t>
      </w:r>
      <w:r w:rsidR="00E061CF">
        <w:rPr>
          <w:rFonts w:ascii="Times New Roman" w:hAnsi="Times New Roman"/>
          <w:szCs w:val="24"/>
          <w:lang w:val="sr-Cyrl-BA"/>
        </w:rPr>
        <w:t>Р</w:t>
      </w:r>
      <w:r>
        <w:rPr>
          <w:rFonts w:ascii="Times New Roman" w:hAnsi="Times New Roman"/>
          <w:szCs w:val="24"/>
          <w:lang w:val="hr-HR"/>
        </w:rPr>
        <w:t>азматрање</w:t>
      </w:r>
      <w:r w:rsidR="00EC1E8B" w:rsidRPr="00295637">
        <w:rPr>
          <w:rFonts w:ascii="Times New Roman" w:hAnsi="Times New Roman"/>
          <w:szCs w:val="24"/>
          <w:lang w:val="hr-HR"/>
        </w:rPr>
        <w:t xml:space="preserve"> </w:t>
      </w:r>
      <w:r>
        <w:rPr>
          <w:rFonts w:ascii="Times New Roman" w:hAnsi="Times New Roman"/>
          <w:szCs w:val="24"/>
          <w:lang w:val="hr-HR"/>
        </w:rPr>
        <w:t>практичних</w:t>
      </w:r>
      <w:r w:rsidR="00EC1E8B" w:rsidRPr="00295637">
        <w:rPr>
          <w:rFonts w:ascii="Times New Roman" w:hAnsi="Times New Roman"/>
          <w:szCs w:val="24"/>
          <w:lang w:val="hr-HR"/>
        </w:rPr>
        <w:t xml:space="preserve"> </w:t>
      </w:r>
      <w:r>
        <w:rPr>
          <w:rFonts w:ascii="Times New Roman" w:hAnsi="Times New Roman"/>
          <w:szCs w:val="24"/>
          <w:lang w:val="hr-HR"/>
        </w:rPr>
        <w:t>аспеката</w:t>
      </w:r>
      <w:r w:rsidR="00EC1E8B" w:rsidRPr="00295637">
        <w:rPr>
          <w:rFonts w:ascii="Times New Roman" w:hAnsi="Times New Roman"/>
          <w:szCs w:val="24"/>
          <w:lang w:val="hr-HR"/>
        </w:rPr>
        <w:t xml:space="preserve"> </w:t>
      </w:r>
      <w:r w:rsidR="00E061CF">
        <w:rPr>
          <w:rFonts w:ascii="Times New Roman" w:hAnsi="Times New Roman"/>
          <w:szCs w:val="24"/>
          <w:lang w:val="sr-Cyrl-BA"/>
        </w:rPr>
        <w:t>спровођења</w:t>
      </w:r>
      <w:r w:rsidR="00EC1E8B" w:rsidRPr="00295637">
        <w:rPr>
          <w:rFonts w:ascii="Times New Roman" w:hAnsi="Times New Roman"/>
          <w:szCs w:val="24"/>
          <w:lang w:val="hr-HR"/>
        </w:rPr>
        <w:t xml:space="preserve"> </w:t>
      </w:r>
      <w:r>
        <w:rPr>
          <w:rFonts w:ascii="Times New Roman" w:hAnsi="Times New Roman"/>
          <w:szCs w:val="24"/>
          <w:lang w:val="hr-HR"/>
        </w:rPr>
        <w:t>мјера</w:t>
      </w:r>
      <w:r w:rsidR="00EC1E8B" w:rsidRPr="00295637">
        <w:rPr>
          <w:rFonts w:ascii="Times New Roman" w:hAnsi="Times New Roman"/>
          <w:szCs w:val="24"/>
          <w:lang w:val="hr-HR"/>
        </w:rPr>
        <w:t xml:space="preserve"> </w:t>
      </w:r>
      <w:r>
        <w:rPr>
          <w:rFonts w:ascii="Times New Roman" w:hAnsi="Times New Roman"/>
          <w:szCs w:val="24"/>
          <w:lang w:val="hr-HR"/>
        </w:rPr>
        <w:t>предвиђених</w:t>
      </w:r>
      <w:r w:rsidR="00EC1E8B" w:rsidRPr="00295637">
        <w:rPr>
          <w:rFonts w:ascii="Times New Roman" w:hAnsi="Times New Roman"/>
          <w:szCs w:val="24"/>
          <w:lang w:val="hr-HR"/>
        </w:rPr>
        <w:t xml:space="preserve"> </w:t>
      </w:r>
      <w:r>
        <w:rPr>
          <w:rFonts w:ascii="Times New Roman" w:hAnsi="Times New Roman"/>
          <w:szCs w:val="24"/>
          <w:lang w:val="hr-HR"/>
        </w:rPr>
        <w:t>Оперативним</w:t>
      </w:r>
      <w:r w:rsidR="00EC1E8B" w:rsidRPr="00295637">
        <w:rPr>
          <w:rFonts w:ascii="Times New Roman" w:hAnsi="Times New Roman"/>
          <w:szCs w:val="24"/>
          <w:lang w:val="hr-HR"/>
        </w:rPr>
        <w:t xml:space="preserve"> </w:t>
      </w:r>
      <w:r>
        <w:rPr>
          <w:rFonts w:ascii="Times New Roman" w:hAnsi="Times New Roman"/>
          <w:szCs w:val="24"/>
          <w:lang w:val="hr-HR"/>
        </w:rPr>
        <w:t>планом</w:t>
      </w:r>
      <w:r w:rsidR="00EC1E8B" w:rsidRPr="00295637">
        <w:rPr>
          <w:rFonts w:ascii="Times New Roman" w:hAnsi="Times New Roman"/>
          <w:szCs w:val="24"/>
          <w:lang w:val="hr-HR"/>
        </w:rPr>
        <w:t xml:space="preserve">, </w:t>
      </w:r>
      <w:r w:rsidR="00E061CF">
        <w:rPr>
          <w:rFonts w:ascii="Times New Roman" w:hAnsi="Times New Roman"/>
          <w:szCs w:val="24"/>
          <w:lang w:val="sr-Cyrl-BA"/>
        </w:rPr>
        <w:t>У</w:t>
      </w:r>
      <w:r>
        <w:rPr>
          <w:rFonts w:ascii="Times New Roman" w:hAnsi="Times New Roman"/>
          <w:szCs w:val="24"/>
          <w:lang w:val="hr-HR"/>
        </w:rPr>
        <w:t>лога</w:t>
      </w:r>
      <w:r w:rsidR="00EC1E8B" w:rsidRPr="00295637">
        <w:rPr>
          <w:rFonts w:ascii="Times New Roman" w:hAnsi="Times New Roman"/>
          <w:szCs w:val="24"/>
          <w:lang w:val="hr-HR"/>
        </w:rPr>
        <w:t xml:space="preserve"> </w:t>
      </w:r>
      <w:r>
        <w:rPr>
          <w:rFonts w:ascii="Times New Roman" w:hAnsi="Times New Roman"/>
          <w:szCs w:val="24"/>
          <w:lang w:val="hr-HR"/>
        </w:rPr>
        <w:t>и</w:t>
      </w:r>
      <w:r w:rsidR="00EC1E8B" w:rsidRPr="00295637">
        <w:rPr>
          <w:rFonts w:ascii="Times New Roman" w:hAnsi="Times New Roman"/>
          <w:szCs w:val="24"/>
          <w:lang w:val="hr-HR"/>
        </w:rPr>
        <w:t xml:space="preserve"> </w:t>
      </w:r>
      <w:r>
        <w:rPr>
          <w:rFonts w:ascii="Times New Roman" w:hAnsi="Times New Roman"/>
          <w:szCs w:val="24"/>
          <w:lang w:val="hr-HR"/>
        </w:rPr>
        <w:t>функциони</w:t>
      </w:r>
      <w:r w:rsidR="00E061CF">
        <w:rPr>
          <w:rFonts w:ascii="Times New Roman" w:hAnsi="Times New Roman"/>
          <w:szCs w:val="24"/>
          <w:lang w:val="sr-Cyrl-BA"/>
        </w:rPr>
        <w:t>с</w:t>
      </w:r>
      <w:r>
        <w:rPr>
          <w:rFonts w:ascii="Times New Roman" w:hAnsi="Times New Roman"/>
          <w:szCs w:val="24"/>
          <w:lang w:val="hr-HR"/>
        </w:rPr>
        <w:t>ање</w:t>
      </w:r>
      <w:r w:rsidR="00EC1E8B" w:rsidRPr="00295637">
        <w:rPr>
          <w:rFonts w:ascii="Times New Roman" w:hAnsi="Times New Roman"/>
          <w:szCs w:val="24"/>
          <w:lang w:val="hr-HR"/>
        </w:rPr>
        <w:t xml:space="preserve"> </w:t>
      </w:r>
      <w:r>
        <w:rPr>
          <w:rFonts w:ascii="Times New Roman" w:hAnsi="Times New Roman"/>
          <w:szCs w:val="24"/>
          <w:lang w:val="hr-HR"/>
        </w:rPr>
        <w:t>савјетница</w:t>
      </w:r>
      <w:r w:rsidR="00EC1E8B" w:rsidRPr="00295637">
        <w:rPr>
          <w:rFonts w:ascii="Times New Roman" w:hAnsi="Times New Roman"/>
          <w:szCs w:val="24"/>
          <w:lang w:val="hr-HR"/>
        </w:rPr>
        <w:t xml:space="preserve"> </w:t>
      </w:r>
      <w:r>
        <w:rPr>
          <w:rFonts w:ascii="Times New Roman" w:hAnsi="Times New Roman"/>
          <w:szCs w:val="24"/>
          <w:lang w:val="hr-HR"/>
        </w:rPr>
        <w:t>за</w:t>
      </w:r>
      <w:r w:rsidR="00EC1E8B" w:rsidRPr="00295637">
        <w:rPr>
          <w:rFonts w:ascii="Times New Roman" w:hAnsi="Times New Roman"/>
          <w:szCs w:val="24"/>
          <w:lang w:val="hr-HR"/>
        </w:rPr>
        <w:t xml:space="preserve"> </w:t>
      </w:r>
      <w:r>
        <w:rPr>
          <w:rFonts w:ascii="Times New Roman" w:hAnsi="Times New Roman"/>
          <w:szCs w:val="24"/>
          <w:lang w:val="hr-HR"/>
        </w:rPr>
        <w:t>превенцију</w:t>
      </w:r>
      <w:r w:rsidR="00EC1E8B" w:rsidRPr="00295637">
        <w:rPr>
          <w:rFonts w:ascii="Times New Roman" w:hAnsi="Times New Roman"/>
          <w:szCs w:val="24"/>
          <w:lang w:val="hr-HR"/>
        </w:rPr>
        <w:t xml:space="preserve"> </w:t>
      </w:r>
      <w:r>
        <w:rPr>
          <w:rFonts w:ascii="Times New Roman" w:hAnsi="Times New Roman"/>
          <w:szCs w:val="24"/>
          <w:lang w:val="hr-HR"/>
        </w:rPr>
        <w:t>узнемиравања</w:t>
      </w:r>
      <w:r w:rsidR="00EC1E8B" w:rsidRPr="00295637">
        <w:rPr>
          <w:rFonts w:ascii="Times New Roman" w:hAnsi="Times New Roman"/>
          <w:szCs w:val="24"/>
          <w:lang w:val="hr-HR"/>
        </w:rPr>
        <w:t xml:space="preserve"> </w:t>
      </w:r>
      <w:r>
        <w:rPr>
          <w:rFonts w:ascii="Times New Roman" w:hAnsi="Times New Roman"/>
          <w:szCs w:val="24"/>
          <w:lang w:val="hr-HR"/>
        </w:rPr>
        <w:t>на</w:t>
      </w:r>
      <w:r w:rsidR="00EC1E8B" w:rsidRPr="00295637">
        <w:rPr>
          <w:rFonts w:ascii="Times New Roman" w:hAnsi="Times New Roman"/>
          <w:szCs w:val="24"/>
          <w:lang w:val="hr-HR"/>
        </w:rPr>
        <w:t xml:space="preserve"> </w:t>
      </w:r>
      <w:r>
        <w:rPr>
          <w:rFonts w:ascii="Times New Roman" w:hAnsi="Times New Roman"/>
          <w:szCs w:val="24"/>
          <w:lang w:val="hr-HR"/>
        </w:rPr>
        <w:t>основу</w:t>
      </w:r>
      <w:r w:rsidR="000F7324">
        <w:rPr>
          <w:rFonts w:ascii="Times New Roman" w:hAnsi="Times New Roman"/>
          <w:szCs w:val="24"/>
          <w:lang w:val="hr-HR"/>
        </w:rPr>
        <w:t xml:space="preserve"> </w:t>
      </w:r>
      <w:r>
        <w:rPr>
          <w:rFonts w:ascii="Times New Roman" w:hAnsi="Times New Roman"/>
          <w:szCs w:val="24"/>
          <w:lang w:val="hr-HR"/>
        </w:rPr>
        <w:t>пола</w:t>
      </w:r>
      <w:r w:rsidR="000F7324">
        <w:rPr>
          <w:rFonts w:ascii="Times New Roman" w:hAnsi="Times New Roman"/>
          <w:szCs w:val="24"/>
          <w:lang w:val="hr-HR"/>
        </w:rPr>
        <w:t xml:space="preserve"> </w:t>
      </w:r>
      <w:r>
        <w:rPr>
          <w:rFonts w:ascii="Times New Roman" w:hAnsi="Times New Roman"/>
          <w:szCs w:val="24"/>
          <w:lang w:val="hr-HR"/>
        </w:rPr>
        <w:t>и</w:t>
      </w:r>
      <w:r w:rsidR="00EC1E8B" w:rsidRPr="00295637">
        <w:rPr>
          <w:rFonts w:ascii="Times New Roman" w:hAnsi="Times New Roman"/>
          <w:szCs w:val="24"/>
          <w:lang w:val="hr-HR"/>
        </w:rPr>
        <w:t xml:space="preserve"> </w:t>
      </w:r>
      <w:r>
        <w:rPr>
          <w:rFonts w:ascii="Times New Roman" w:hAnsi="Times New Roman"/>
          <w:szCs w:val="24"/>
          <w:lang w:val="hr-HR"/>
        </w:rPr>
        <w:t>сексуалног</w:t>
      </w:r>
      <w:r w:rsidR="00EC1E8B" w:rsidRPr="00295637">
        <w:rPr>
          <w:rFonts w:ascii="Times New Roman" w:hAnsi="Times New Roman"/>
          <w:szCs w:val="24"/>
          <w:lang w:val="hr-HR"/>
        </w:rPr>
        <w:t xml:space="preserve"> </w:t>
      </w:r>
      <w:r>
        <w:rPr>
          <w:rFonts w:ascii="Times New Roman" w:hAnsi="Times New Roman"/>
          <w:szCs w:val="24"/>
          <w:lang w:val="hr-HR"/>
        </w:rPr>
        <w:t>узнемиравања</w:t>
      </w:r>
      <w:r w:rsidR="00D319BF">
        <w:rPr>
          <w:rFonts w:ascii="Times New Roman" w:hAnsi="Times New Roman"/>
          <w:szCs w:val="24"/>
          <w:lang w:val="hr-HR"/>
        </w:rPr>
        <w:t xml:space="preserve"> </w:t>
      </w:r>
      <w:r>
        <w:rPr>
          <w:rFonts w:ascii="Times New Roman" w:hAnsi="Times New Roman"/>
          <w:szCs w:val="24"/>
          <w:lang w:val="hr-HR"/>
        </w:rPr>
        <w:t>и</w:t>
      </w:r>
      <w:r w:rsidR="00EC1E8B" w:rsidRPr="00295637">
        <w:rPr>
          <w:rFonts w:ascii="Times New Roman" w:hAnsi="Times New Roman"/>
          <w:szCs w:val="24"/>
          <w:lang w:val="hr-HR"/>
        </w:rPr>
        <w:t xml:space="preserve"> </w:t>
      </w:r>
      <w:r w:rsidR="00E061CF">
        <w:rPr>
          <w:rFonts w:ascii="Times New Roman" w:hAnsi="Times New Roman"/>
          <w:szCs w:val="24"/>
          <w:lang w:val="sr-Cyrl-BA"/>
        </w:rPr>
        <w:t>И</w:t>
      </w:r>
      <w:r>
        <w:rPr>
          <w:rFonts w:ascii="Times New Roman" w:hAnsi="Times New Roman"/>
          <w:szCs w:val="24"/>
          <w:lang w:val="hr-HR"/>
        </w:rPr>
        <w:t>нтегри</w:t>
      </w:r>
      <w:r w:rsidR="00E061CF">
        <w:rPr>
          <w:rFonts w:ascii="Times New Roman" w:hAnsi="Times New Roman"/>
          <w:szCs w:val="24"/>
          <w:lang w:val="sr-Cyrl-BA"/>
        </w:rPr>
        <w:t>с</w:t>
      </w:r>
      <w:r>
        <w:rPr>
          <w:rFonts w:ascii="Times New Roman" w:hAnsi="Times New Roman"/>
          <w:szCs w:val="24"/>
          <w:lang w:val="hr-HR"/>
        </w:rPr>
        <w:t>ање</w:t>
      </w:r>
      <w:r w:rsidR="00EC1E8B" w:rsidRPr="00295637">
        <w:rPr>
          <w:rFonts w:ascii="Times New Roman" w:hAnsi="Times New Roman"/>
          <w:szCs w:val="24"/>
          <w:lang w:val="hr-HR"/>
        </w:rPr>
        <w:t xml:space="preserve"> </w:t>
      </w:r>
      <w:r>
        <w:rPr>
          <w:rFonts w:ascii="Times New Roman" w:hAnsi="Times New Roman"/>
          <w:szCs w:val="24"/>
          <w:lang w:val="hr-HR"/>
        </w:rPr>
        <w:t>равноправности</w:t>
      </w:r>
      <w:r w:rsidR="00EC1E8B" w:rsidRPr="00295637">
        <w:rPr>
          <w:rFonts w:ascii="Times New Roman" w:hAnsi="Times New Roman"/>
          <w:szCs w:val="24"/>
          <w:lang w:val="hr-HR"/>
        </w:rPr>
        <w:t xml:space="preserve"> </w:t>
      </w:r>
      <w:r>
        <w:rPr>
          <w:rFonts w:ascii="Times New Roman" w:hAnsi="Times New Roman"/>
          <w:szCs w:val="24"/>
          <w:lang w:val="hr-HR"/>
        </w:rPr>
        <w:t>полова</w:t>
      </w:r>
      <w:r w:rsidR="00EC1E8B" w:rsidRPr="00295637">
        <w:rPr>
          <w:rFonts w:ascii="Times New Roman" w:hAnsi="Times New Roman"/>
          <w:szCs w:val="24"/>
          <w:lang w:val="hr-HR"/>
        </w:rPr>
        <w:t xml:space="preserve"> </w:t>
      </w:r>
      <w:r>
        <w:rPr>
          <w:rFonts w:ascii="Times New Roman" w:hAnsi="Times New Roman"/>
          <w:szCs w:val="24"/>
          <w:lang w:val="hr-HR"/>
        </w:rPr>
        <w:t>у</w:t>
      </w:r>
      <w:r w:rsidR="00EC1E8B" w:rsidRPr="00295637">
        <w:rPr>
          <w:rFonts w:ascii="Times New Roman" w:hAnsi="Times New Roman"/>
          <w:szCs w:val="24"/>
          <w:lang w:val="hr-HR"/>
        </w:rPr>
        <w:t xml:space="preserve"> </w:t>
      </w:r>
      <w:r>
        <w:rPr>
          <w:rFonts w:ascii="Times New Roman" w:hAnsi="Times New Roman"/>
          <w:szCs w:val="24"/>
          <w:lang w:val="hr-HR"/>
        </w:rPr>
        <w:t>стратешке</w:t>
      </w:r>
      <w:r w:rsidR="00EC1E8B" w:rsidRPr="00295637">
        <w:rPr>
          <w:rFonts w:ascii="Times New Roman" w:hAnsi="Times New Roman"/>
          <w:szCs w:val="24"/>
          <w:lang w:val="hr-HR"/>
        </w:rPr>
        <w:t xml:space="preserve"> </w:t>
      </w:r>
      <w:r>
        <w:rPr>
          <w:rFonts w:ascii="Times New Roman" w:hAnsi="Times New Roman"/>
          <w:szCs w:val="24"/>
          <w:lang w:val="hr-HR"/>
        </w:rPr>
        <w:t>документе</w:t>
      </w:r>
      <w:r w:rsidR="00EC1E8B" w:rsidRPr="00295637">
        <w:rPr>
          <w:rFonts w:ascii="Times New Roman" w:hAnsi="Times New Roman"/>
          <w:szCs w:val="24"/>
          <w:lang w:val="hr-HR"/>
        </w:rPr>
        <w:t>.</w:t>
      </w:r>
    </w:p>
    <w:p w:rsidR="00EC1E8B" w:rsidRPr="00295637" w:rsidRDefault="00EC1E8B" w:rsidP="0086268D">
      <w:pPr>
        <w:jc w:val="both"/>
        <w:rPr>
          <w:rFonts w:ascii="Times New Roman" w:hAnsi="Times New Roman"/>
          <w:szCs w:val="24"/>
          <w:lang w:val="hr-HR"/>
        </w:rPr>
      </w:pPr>
    </w:p>
    <w:p w:rsidR="00A92736" w:rsidRPr="00295637" w:rsidRDefault="00C6214E" w:rsidP="0086268D">
      <w:pPr>
        <w:jc w:val="both"/>
        <w:rPr>
          <w:rFonts w:ascii="Times New Roman" w:hAnsi="Times New Roman"/>
          <w:szCs w:val="24"/>
          <w:lang w:val="bs-Latn-BA"/>
        </w:rPr>
      </w:pP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оквиру</w:t>
      </w:r>
      <w:r w:rsidR="003A2F08" w:rsidRPr="00295637">
        <w:rPr>
          <w:rFonts w:ascii="Times New Roman" w:hAnsi="Times New Roman"/>
          <w:szCs w:val="24"/>
          <w:lang w:val="bs-Latn-BA"/>
        </w:rPr>
        <w:t xml:space="preserve"> </w:t>
      </w:r>
      <w:r>
        <w:rPr>
          <w:rFonts w:ascii="Times New Roman" w:hAnsi="Times New Roman"/>
          <w:szCs w:val="24"/>
          <w:lang w:val="bs-Latn-BA"/>
        </w:rPr>
        <w:t>пројекта</w:t>
      </w:r>
      <w:r w:rsidR="003A2F08" w:rsidRPr="00295637">
        <w:rPr>
          <w:rFonts w:ascii="Times New Roman" w:hAnsi="Times New Roman"/>
          <w:szCs w:val="24"/>
          <w:lang w:val="bs-Latn-BA"/>
        </w:rPr>
        <w:t xml:space="preserve"> </w:t>
      </w:r>
      <w:r w:rsidR="00195565" w:rsidRPr="00195565">
        <w:rPr>
          <w:rFonts w:ascii="Times New Roman" w:hAnsi="Times New Roman"/>
          <w:i/>
          <w:iCs/>
          <w:szCs w:val="24"/>
          <w:lang w:val="bs-Latn-BA"/>
        </w:rPr>
        <w:t xml:space="preserve">EU4HumanRights </w:t>
      </w:r>
      <w:r>
        <w:rPr>
          <w:rFonts w:ascii="Times New Roman" w:hAnsi="Times New Roman"/>
          <w:szCs w:val="24"/>
          <w:lang w:val="bs-Latn-BA"/>
        </w:rPr>
        <w:t>израђен</w:t>
      </w:r>
      <w:r w:rsidR="007970A9">
        <w:rPr>
          <w:rFonts w:ascii="Times New Roman" w:hAnsi="Times New Roman"/>
          <w:szCs w:val="24"/>
          <w:lang w:val="bs-Latn-BA"/>
        </w:rPr>
        <w:t xml:space="preserve"> </w:t>
      </w:r>
      <w:r>
        <w:rPr>
          <w:rFonts w:ascii="Times New Roman" w:hAnsi="Times New Roman"/>
          <w:szCs w:val="24"/>
          <w:lang w:val="bs-Latn-BA"/>
        </w:rPr>
        <w:t>је</w:t>
      </w:r>
      <w:r w:rsidR="007970A9">
        <w:rPr>
          <w:rFonts w:ascii="Times New Roman" w:hAnsi="Times New Roman"/>
          <w:szCs w:val="24"/>
          <w:lang w:val="bs-Latn-BA"/>
        </w:rPr>
        <w:t xml:space="preserve"> </w:t>
      </w:r>
      <w:r>
        <w:rPr>
          <w:rFonts w:ascii="Times New Roman" w:hAnsi="Times New Roman"/>
          <w:szCs w:val="24"/>
          <w:lang w:val="bs-Latn-BA"/>
        </w:rPr>
        <w:t>низ</w:t>
      </w:r>
      <w:r w:rsidR="007970A9">
        <w:rPr>
          <w:rFonts w:ascii="Times New Roman" w:hAnsi="Times New Roman"/>
          <w:szCs w:val="24"/>
          <w:lang w:val="bs-Latn-BA"/>
        </w:rPr>
        <w:t xml:space="preserve"> </w:t>
      </w:r>
      <w:r>
        <w:rPr>
          <w:rFonts w:ascii="Times New Roman" w:hAnsi="Times New Roman"/>
          <w:szCs w:val="24"/>
          <w:lang w:val="bs-Latn-BA"/>
        </w:rPr>
        <w:t>приручника</w:t>
      </w:r>
      <w:r w:rsidR="007970A9">
        <w:rPr>
          <w:rFonts w:ascii="Times New Roman" w:hAnsi="Times New Roman"/>
          <w:szCs w:val="24"/>
          <w:lang w:val="bs-Latn-BA"/>
        </w:rPr>
        <w:t xml:space="preserve"> </w:t>
      </w:r>
      <w:r>
        <w:rPr>
          <w:rFonts w:ascii="Times New Roman" w:hAnsi="Times New Roman"/>
          <w:szCs w:val="24"/>
          <w:lang w:val="bs-Latn-BA"/>
        </w:rPr>
        <w:t>за</w:t>
      </w:r>
      <w:r w:rsidR="007970A9">
        <w:rPr>
          <w:rFonts w:ascii="Times New Roman" w:hAnsi="Times New Roman"/>
          <w:szCs w:val="24"/>
          <w:lang w:val="bs-Latn-BA"/>
        </w:rPr>
        <w:t xml:space="preserve"> </w:t>
      </w:r>
      <w:r>
        <w:rPr>
          <w:rFonts w:ascii="Times New Roman" w:hAnsi="Times New Roman"/>
          <w:szCs w:val="24"/>
          <w:lang w:val="bs-Latn-BA"/>
        </w:rPr>
        <w:t>обуке</w:t>
      </w:r>
      <w:r w:rsidR="007970A9">
        <w:rPr>
          <w:rFonts w:ascii="Times New Roman" w:hAnsi="Times New Roman"/>
          <w:szCs w:val="24"/>
          <w:lang w:val="bs-Latn-BA"/>
        </w:rPr>
        <w:t xml:space="preserve"> </w:t>
      </w:r>
      <w:r>
        <w:rPr>
          <w:rFonts w:ascii="Times New Roman" w:hAnsi="Times New Roman"/>
          <w:szCs w:val="24"/>
          <w:lang w:val="bs-Latn-BA"/>
        </w:rPr>
        <w:t>са</w:t>
      </w:r>
      <w:r w:rsidR="003A2F08" w:rsidRPr="00295637">
        <w:rPr>
          <w:rFonts w:ascii="Times New Roman" w:hAnsi="Times New Roman"/>
          <w:szCs w:val="24"/>
          <w:lang w:val="bs-Latn-BA"/>
        </w:rPr>
        <w:t xml:space="preserve"> </w:t>
      </w:r>
      <w:r>
        <w:rPr>
          <w:rFonts w:ascii="Times New Roman" w:hAnsi="Times New Roman"/>
          <w:szCs w:val="24"/>
          <w:lang w:val="bs-Latn-BA"/>
        </w:rPr>
        <w:t>модулима</w:t>
      </w:r>
      <w:r w:rsidR="003A2F08" w:rsidRPr="00295637">
        <w:rPr>
          <w:rFonts w:ascii="Times New Roman" w:hAnsi="Times New Roman"/>
          <w:szCs w:val="24"/>
          <w:lang w:val="bs-Latn-BA"/>
        </w:rPr>
        <w:t xml:space="preserve"> </w:t>
      </w:r>
      <w:r>
        <w:rPr>
          <w:rFonts w:ascii="Times New Roman" w:hAnsi="Times New Roman"/>
          <w:szCs w:val="24"/>
          <w:lang w:val="bs-Latn-BA"/>
        </w:rPr>
        <w:t>који</w:t>
      </w:r>
      <w:r w:rsidR="003A2F08" w:rsidRPr="00295637">
        <w:rPr>
          <w:rFonts w:ascii="Times New Roman" w:hAnsi="Times New Roman"/>
          <w:szCs w:val="24"/>
          <w:lang w:val="bs-Latn-BA"/>
        </w:rPr>
        <w:t xml:space="preserve"> </w:t>
      </w:r>
      <w:r>
        <w:rPr>
          <w:rFonts w:ascii="Times New Roman" w:hAnsi="Times New Roman"/>
          <w:szCs w:val="24"/>
          <w:lang w:val="bs-Latn-BA"/>
        </w:rPr>
        <w:t>су</w:t>
      </w:r>
      <w:r w:rsidR="003A2F08" w:rsidRPr="00295637">
        <w:rPr>
          <w:rFonts w:ascii="Times New Roman" w:hAnsi="Times New Roman"/>
          <w:szCs w:val="24"/>
          <w:lang w:val="bs-Latn-BA"/>
        </w:rPr>
        <w:t xml:space="preserve"> </w:t>
      </w:r>
      <w:r>
        <w:rPr>
          <w:rFonts w:ascii="Times New Roman" w:hAnsi="Times New Roman"/>
          <w:szCs w:val="24"/>
          <w:lang w:val="bs-Latn-BA"/>
        </w:rPr>
        <w:t>постали</w:t>
      </w:r>
      <w:r w:rsidR="003A2F08" w:rsidRPr="00295637">
        <w:rPr>
          <w:rFonts w:ascii="Times New Roman" w:hAnsi="Times New Roman"/>
          <w:szCs w:val="24"/>
          <w:lang w:val="bs-Latn-BA"/>
        </w:rPr>
        <w:t xml:space="preserve"> </w:t>
      </w:r>
      <w:r>
        <w:rPr>
          <w:rFonts w:ascii="Times New Roman" w:hAnsi="Times New Roman"/>
          <w:szCs w:val="24"/>
          <w:lang w:val="bs-Latn-BA"/>
        </w:rPr>
        <w:t>дио</w:t>
      </w:r>
      <w:r w:rsidR="003A2F08" w:rsidRPr="00295637">
        <w:rPr>
          <w:rFonts w:ascii="Times New Roman" w:hAnsi="Times New Roman"/>
          <w:szCs w:val="24"/>
          <w:lang w:val="bs-Latn-BA"/>
        </w:rPr>
        <w:t xml:space="preserve"> </w:t>
      </w:r>
      <w:r>
        <w:rPr>
          <w:rFonts w:ascii="Times New Roman" w:hAnsi="Times New Roman"/>
          <w:szCs w:val="24"/>
          <w:lang w:val="bs-Latn-BA"/>
        </w:rPr>
        <w:t>ресурса</w:t>
      </w:r>
      <w:r w:rsidR="007970A9">
        <w:rPr>
          <w:rFonts w:ascii="Times New Roman" w:hAnsi="Times New Roman"/>
          <w:szCs w:val="24"/>
          <w:lang w:val="bs-Latn-BA"/>
        </w:rPr>
        <w:t xml:space="preserve"> </w:t>
      </w:r>
      <w:r>
        <w:rPr>
          <w:rFonts w:ascii="Times New Roman" w:hAnsi="Times New Roman"/>
          <w:szCs w:val="24"/>
          <w:lang w:val="bs-Latn-BA"/>
        </w:rPr>
        <w:t>са</w:t>
      </w:r>
      <w:r w:rsidR="00FD3A3B" w:rsidRPr="00295637">
        <w:rPr>
          <w:rFonts w:ascii="Times New Roman" w:hAnsi="Times New Roman"/>
          <w:szCs w:val="24"/>
          <w:lang w:val="bs-Latn-BA"/>
        </w:rPr>
        <w:t xml:space="preserve"> </w:t>
      </w:r>
      <w:r>
        <w:rPr>
          <w:rFonts w:ascii="Times New Roman" w:hAnsi="Times New Roman"/>
          <w:szCs w:val="24"/>
          <w:lang w:val="bs-Latn-BA"/>
        </w:rPr>
        <w:t>којима</w:t>
      </w:r>
      <w:r w:rsidR="00FD3A3B" w:rsidRPr="00295637">
        <w:rPr>
          <w:rFonts w:ascii="Times New Roman" w:hAnsi="Times New Roman"/>
          <w:szCs w:val="24"/>
          <w:lang w:val="bs-Latn-BA"/>
        </w:rPr>
        <w:t xml:space="preserve"> </w:t>
      </w:r>
      <w:r>
        <w:rPr>
          <w:rFonts w:ascii="Times New Roman" w:hAnsi="Times New Roman"/>
          <w:szCs w:val="24"/>
          <w:lang w:val="bs-Latn-BA"/>
        </w:rPr>
        <w:t>располаже</w:t>
      </w:r>
      <w:r w:rsidR="00FD3A3B" w:rsidRPr="00295637">
        <w:rPr>
          <w:rFonts w:ascii="Times New Roman" w:hAnsi="Times New Roman"/>
          <w:szCs w:val="24"/>
          <w:lang w:val="bs-Latn-BA"/>
        </w:rPr>
        <w:t xml:space="preserve"> </w:t>
      </w:r>
      <w:r>
        <w:rPr>
          <w:rFonts w:ascii="Times New Roman" w:hAnsi="Times New Roman"/>
          <w:szCs w:val="24"/>
          <w:lang w:val="bs-Latn-BA"/>
        </w:rPr>
        <w:t>ГЦ</w:t>
      </w:r>
      <w:r w:rsidR="007970A9">
        <w:rPr>
          <w:rFonts w:ascii="Times New Roman" w:hAnsi="Times New Roman"/>
          <w:szCs w:val="24"/>
          <w:lang w:val="bs-Latn-BA"/>
        </w:rPr>
        <w:t xml:space="preserve"> </w:t>
      </w:r>
      <w:r>
        <w:rPr>
          <w:rFonts w:ascii="Times New Roman" w:hAnsi="Times New Roman"/>
          <w:szCs w:val="24"/>
          <w:lang w:val="bs-Latn-BA"/>
        </w:rPr>
        <w:t>ФБиХ</w:t>
      </w:r>
      <w:r w:rsidR="00FD3A3B" w:rsidRPr="00295637">
        <w:rPr>
          <w:rFonts w:ascii="Times New Roman" w:hAnsi="Times New Roman"/>
          <w:szCs w:val="24"/>
          <w:lang w:val="bs-Latn-BA"/>
        </w:rPr>
        <w:t xml:space="preserve">, </w:t>
      </w:r>
      <w:r>
        <w:rPr>
          <w:rFonts w:ascii="Times New Roman" w:hAnsi="Times New Roman"/>
          <w:szCs w:val="24"/>
          <w:lang w:val="bs-Latn-BA"/>
        </w:rPr>
        <w:t>и</w:t>
      </w:r>
      <w:r w:rsidR="00FD3A3B" w:rsidRPr="00295637">
        <w:rPr>
          <w:rFonts w:ascii="Times New Roman" w:hAnsi="Times New Roman"/>
          <w:szCs w:val="24"/>
          <w:lang w:val="bs-Latn-BA"/>
        </w:rPr>
        <w:t xml:space="preserve"> </w:t>
      </w:r>
      <w:r>
        <w:rPr>
          <w:rFonts w:ascii="Times New Roman" w:hAnsi="Times New Roman"/>
          <w:szCs w:val="24"/>
          <w:lang w:val="bs-Latn-BA"/>
        </w:rPr>
        <w:t>то</w:t>
      </w:r>
      <w:r w:rsidR="00FD3A3B" w:rsidRPr="00295637">
        <w:rPr>
          <w:rFonts w:ascii="Times New Roman" w:hAnsi="Times New Roman"/>
          <w:szCs w:val="24"/>
          <w:lang w:val="bs-Latn-BA"/>
        </w:rPr>
        <w:t>:</w:t>
      </w:r>
      <w:r w:rsidR="004C065F" w:rsidRPr="00295637">
        <w:rPr>
          <w:rFonts w:ascii="Times New Roman" w:hAnsi="Times New Roman"/>
          <w:szCs w:val="24"/>
          <w:lang w:val="bs-Latn-BA"/>
        </w:rPr>
        <w:t xml:space="preserve"> </w:t>
      </w:r>
      <w:r>
        <w:rPr>
          <w:rFonts w:ascii="Times New Roman" w:hAnsi="Times New Roman"/>
          <w:bCs/>
          <w:szCs w:val="24"/>
          <w:lang w:val="bs-Latn-BA"/>
        </w:rPr>
        <w:t>модул</w:t>
      </w:r>
      <w:r w:rsidR="003A2F08" w:rsidRPr="00295637">
        <w:rPr>
          <w:rFonts w:ascii="Times New Roman" w:hAnsi="Times New Roman"/>
          <w:bCs/>
          <w:szCs w:val="24"/>
          <w:lang w:val="bs-Latn-BA"/>
        </w:rPr>
        <w:t xml:space="preserve"> </w:t>
      </w:r>
      <w:r>
        <w:rPr>
          <w:rFonts w:ascii="Times New Roman" w:hAnsi="Times New Roman"/>
          <w:bCs/>
          <w:szCs w:val="24"/>
          <w:lang w:val="bs-Latn-BA"/>
        </w:rPr>
        <w:t>о</w:t>
      </w:r>
      <w:r w:rsidR="003A2F08" w:rsidRPr="00295637">
        <w:rPr>
          <w:rFonts w:ascii="Times New Roman" w:hAnsi="Times New Roman"/>
          <w:bCs/>
          <w:szCs w:val="24"/>
          <w:lang w:val="bs-Latn-BA"/>
        </w:rPr>
        <w:t xml:space="preserve"> </w:t>
      </w:r>
      <w:r>
        <w:rPr>
          <w:rFonts w:ascii="Times New Roman" w:hAnsi="Times New Roman"/>
          <w:bCs/>
          <w:szCs w:val="24"/>
          <w:lang w:val="bs-Latn-BA"/>
        </w:rPr>
        <w:t>родно</w:t>
      </w:r>
      <w:r w:rsidR="003A2F08" w:rsidRPr="00295637">
        <w:rPr>
          <w:rFonts w:ascii="Times New Roman" w:hAnsi="Times New Roman"/>
          <w:bCs/>
          <w:szCs w:val="24"/>
          <w:lang w:val="bs-Latn-BA"/>
        </w:rPr>
        <w:t xml:space="preserve"> </w:t>
      </w:r>
      <w:r>
        <w:rPr>
          <w:rFonts w:ascii="Times New Roman" w:hAnsi="Times New Roman"/>
          <w:bCs/>
          <w:szCs w:val="24"/>
          <w:lang w:val="bs-Latn-BA"/>
        </w:rPr>
        <w:t>заснованој</w:t>
      </w:r>
      <w:r w:rsidR="003A2F08" w:rsidRPr="00295637">
        <w:rPr>
          <w:rFonts w:ascii="Times New Roman" w:hAnsi="Times New Roman"/>
          <w:bCs/>
          <w:szCs w:val="24"/>
          <w:lang w:val="bs-Latn-BA"/>
        </w:rPr>
        <w:t xml:space="preserve"> </w:t>
      </w:r>
      <w:r>
        <w:rPr>
          <w:rFonts w:ascii="Times New Roman" w:hAnsi="Times New Roman"/>
          <w:bCs/>
          <w:szCs w:val="24"/>
          <w:lang w:val="bs-Latn-BA"/>
        </w:rPr>
        <w:t>дискриминацији</w:t>
      </w:r>
      <w:r w:rsidR="003A2F08" w:rsidRPr="00295637">
        <w:rPr>
          <w:rFonts w:ascii="Times New Roman" w:hAnsi="Times New Roman"/>
          <w:bCs/>
          <w:szCs w:val="24"/>
          <w:lang w:val="bs-Latn-BA"/>
        </w:rPr>
        <w:t xml:space="preserve"> </w:t>
      </w:r>
      <w:r>
        <w:rPr>
          <w:rFonts w:ascii="Times New Roman" w:hAnsi="Times New Roman"/>
          <w:bCs/>
          <w:szCs w:val="24"/>
          <w:lang w:val="bs-Latn-BA"/>
        </w:rPr>
        <w:t>за</w:t>
      </w:r>
      <w:r w:rsidR="003A2F08" w:rsidRPr="00295637">
        <w:rPr>
          <w:rFonts w:ascii="Times New Roman" w:hAnsi="Times New Roman"/>
          <w:bCs/>
          <w:szCs w:val="24"/>
          <w:lang w:val="bs-Latn-BA"/>
        </w:rPr>
        <w:t xml:space="preserve"> </w:t>
      </w:r>
      <w:r>
        <w:rPr>
          <w:rFonts w:ascii="Times New Roman" w:hAnsi="Times New Roman"/>
          <w:bCs/>
          <w:szCs w:val="24"/>
          <w:lang w:val="bs-Latn-BA"/>
        </w:rPr>
        <w:t>локалне</w:t>
      </w:r>
      <w:r w:rsidR="003A2F08" w:rsidRPr="00295637">
        <w:rPr>
          <w:rFonts w:ascii="Times New Roman" w:hAnsi="Times New Roman"/>
          <w:bCs/>
          <w:szCs w:val="24"/>
          <w:lang w:val="bs-Latn-BA"/>
        </w:rPr>
        <w:t xml:space="preserve"> </w:t>
      </w:r>
      <w:r>
        <w:rPr>
          <w:rFonts w:ascii="Times New Roman" w:hAnsi="Times New Roman"/>
          <w:bCs/>
          <w:szCs w:val="24"/>
          <w:lang w:val="bs-Latn-BA"/>
        </w:rPr>
        <w:t>власти</w:t>
      </w:r>
      <w:r w:rsidR="003A2F08" w:rsidRPr="00295637">
        <w:rPr>
          <w:rFonts w:ascii="Times New Roman" w:hAnsi="Times New Roman"/>
          <w:bCs/>
          <w:szCs w:val="24"/>
          <w:lang w:val="bs-Latn-BA"/>
        </w:rPr>
        <w:t xml:space="preserve"> </w:t>
      </w:r>
      <w:r>
        <w:rPr>
          <w:rFonts w:ascii="Times New Roman" w:hAnsi="Times New Roman"/>
          <w:bCs/>
          <w:szCs w:val="24"/>
          <w:lang w:val="bs-Latn-BA"/>
        </w:rPr>
        <w:t>и</w:t>
      </w:r>
      <w:r w:rsidR="003A2F08" w:rsidRPr="00295637">
        <w:rPr>
          <w:rFonts w:ascii="Times New Roman" w:hAnsi="Times New Roman"/>
          <w:bCs/>
          <w:szCs w:val="24"/>
          <w:lang w:val="bs-Latn-BA"/>
        </w:rPr>
        <w:t xml:space="preserve"> </w:t>
      </w:r>
      <w:r>
        <w:rPr>
          <w:rFonts w:ascii="Times New Roman" w:hAnsi="Times New Roman"/>
          <w:bCs/>
          <w:szCs w:val="24"/>
          <w:lang w:val="bs-Latn-BA"/>
        </w:rPr>
        <w:t>организације</w:t>
      </w:r>
      <w:r w:rsidR="003A2F08" w:rsidRPr="00295637">
        <w:rPr>
          <w:rFonts w:ascii="Times New Roman" w:hAnsi="Times New Roman"/>
          <w:bCs/>
          <w:szCs w:val="24"/>
          <w:lang w:val="bs-Latn-BA"/>
        </w:rPr>
        <w:t xml:space="preserve"> </w:t>
      </w:r>
      <w:r>
        <w:rPr>
          <w:rFonts w:ascii="Times New Roman" w:hAnsi="Times New Roman"/>
          <w:bCs/>
          <w:szCs w:val="24"/>
          <w:lang w:val="bs-Latn-BA"/>
        </w:rPr>
        <w:t>цивилног</w:t>
      </w:r>
      <w:r w:rsidR="003A2F08" w:rsidRPr="00295637">
        <w:rPr>
          <w:rFonts w:ascii="Times New Roman" w:hAnsi="Times New Roman"/>
          <w:bCs/>
          <w:szCs w:val="24"/>
          <w:lang w:val="bs-Latn-BA"/>
        </w:rPr>
        <w:t xml:space="preserve"> </w:t>
      </w:r>
      <w:r>
        <w:rPr>
          <w:rFonts w:ascii="Times New Roman" w:hAnsi="Times New Roman"/>
          <w:bCs/>
          <w:szCs w:val="24"/>
          <w:lang w:val="bs-Latn-BA"/>
        </w:rPr>
        <w:t>друштва</w:t>
      </w:r>
      <w:r w:rsidR="004C065F" w:rsidRPr="00295637">
        <w:rPr>
          <w:rFonts w:ascii="Times New Roman" w:hAnsi="Times New Roman"/>
          <w:szCs w:val="24"/>
          <w:lang w:val="bs-Latn-BA"/>
        </w:rPr>
        <w:t xml:space="preserve">, </w:t>
      </w:r>
      <w:r>
        <w:rPr>
          <w:rFonts w:ascii="Times New Roman" w:hAnsi="Times New Roman"/>
          <w:bCs/>
          <w:szCs w:val="24"/>
          <w:lang w:val="bs-Latn-BA"/>
        </w:rPr>
        <w:t>модул</w:t>
      </w:r>
      <w:r w:rsidR="003A2F08" w:rsidRPr="00295637">
        <w:rPr>
          <w:rFonts w:ascii="Times New Roman" w:hAnsi="Times New Roman"/>
          <w:bCs/>
          <w:szCs w:val="24"/>
          <w:lang w:val="bs-Latn-BA"/>
        </w:rPr>
        <w:t xml:space="preserve"> </w:t>
      </w:r>
      <w:r>
        <w:rPr>
          <w:rFonts w:ascii="Times New Roman" w:hAnsi="Times New Roman"/>
          <w:bCs/>
          <w:szCs w:val="24"/>
          <w:lang w:val="bs-Latn-BA"/>
        </w:rPr>
        <w:t>за</w:t>
      </w:r>
      <w:r w:rsidR="003A2F08" w:rsidRPr="00295637">
        <w:rPr>
          <w:rFonts w:ascii="Times New Roman" w:hAnsi="Times New Roman"/>
          <w:bCs/>
          <w:szCs w:val="24"/>
          <w:lang w:val="bs-Latn-BA"/>
        </w:rPr>
        <w:t xml:space="preserve"> </w:t>
      </w:r>
      <w:r>
        <w:rPr>
          <w:rFonts w:ascii="Times New Roman" w:hAnsi="Times New Roman"/>
          <w:bCs/>
          <w:szCs w:val="24"/>
          <w:lang w:val="bs-Latn-BA"/>
        </w:rPr>
        <w:t>пружаоце</w:t>
      </w:r>
      <w:r w:rsidR="003A2F08" w:rsidRPr="00295637">
        <w:rPr>
          <w:rFonts w:ascii="Times New Roman" w:hAnsi="Times New Roman"/>
          <w:bCs/>
          <w:szCs w:val="24"/>
          <w:lang w:val="bs-Latn-BA"/>
        </w:rPr>
        <w:t xml:space="preserve"> </w:t>
      </w:r>
      <w:r>
        <w:rPr>
          <w:rFonts w:ascii="Times New Roman" w:hAnsi="Times New Roman"/>
          <w:bCs/>
          <w:szCs w:val="24"/>
          <w:lang w:val="bs-Latn-BA"/>
        </w:rPr>
        <w:t>услуга</w:t>
      </w:r>
      <w:r w:rsidR="003A2F08" w:rsidRPr="00295637">
        <w:rPr>
          <w:rFonts w:ascii="Times New Roman" w:hAnsi="Times New Roman"/>
          <w:bCs/>
          <w:szCs w:val="24"/>
          <w:lang w:val="bs-Latn-BA"/>
        </w:rPr>
        <w:t xml:space="preserve"> </w:t>
      </w:r>
      <w:r>
        <w:rPr>
          <w:rFonts w:ascii="Times New Roman" w:hAnsi="Times New Roman"/>
          <w:bCs/>
          <w:szCs w:val="24"/>
          <w:lang w:val="bs-Latn-BA"/>
        </w:rPr>
        <w:t>који</w:t>
      </w:r>
      <w:r w:rsidR="003A2F08" w:rsidRPr="00295637">
        <w:rPr>
          <w:rFonts w:ascii="Times New Roman" w:hAnsi="Times New Roman"/>
          <w:bCs/>
          <w:szCs w:val="24"/>
          <w:lang w:val="bs-Latn-BA"/>
        </w:rPr>
        <w:t xml:space="preserve"> </w:t>
      </w:r>
      <w:r>
        <w:rPr>
          <w:rFonts w:ascii="Times New Roman" w:hAnsi="Times New Roman"/>
          <w:bCs/>
          <w:szCs w:val="24"/>
          <w:lang w:val="bs-Latn-BA"/>
        </w:rPr>
        <w:t>раде</w:t>
      </w:r>
      <w:r w:rsidR="003A2F08" w:rsidRPr="00295637">
        <w:rPr>
          <w:rFonts w:ascii="Times New Roman" w:hAnsi="Times New Roman"/>
          <w:bCs/>
          <w:szCs w:val="24"/>
          <w:lang w:val="bs-Latn-BA"/>
        </w:rPr>
        <w:t xml:space="preserve"> </w:t>
      </w:r>
      <w:r>
        <w:rPr>
          <w:rFonts w:ascii="Times New Roman" w:hAnsi="Times New Roman"/>
          <w:bCs/>
          <w:szCs w:val="24"/>
          <w:lang w:val="bs-Latn-BA"/>
        </w:rPr>
        <w:t>са</w:t>
      </w:r>
      <w:r w:rsidR="003A2F08" w:rsidRPr="00295637">
        <w:rPr>
          <w:rFonts w:ascii="Times New Roman" w:hAnsi="Times New Roman"/>
          <w:bCs/>
          <w:szCs w:val="24"/>
          <w:lang w:val="bs-Latn-BA"/>
        </w:rPr>
        <w:t xml:space="preserve"> </w:t>
      </w:r>
      <w:r>
        <w:rPr>
          <w:rFonts w:ascii="Times New Roman" w:hAnsi="Times New Roman"/>
          <w:bCs/>
          <w:szCs w:val="24"/>
          <w:lang w:val="bs-Latn-BA"/>
        </w:rPr>
        <w:t>жртвама</w:t>
      </w:r>
      <w:r w:rsidR="003A2F08" w:rsidRPr="00295637">
        <w:rPr>
          <w:rFonts w:ascii="Times New Roman" w:hAnsi="Times New Roman"/>
          <w:bCs/>
          <w:szCs w:val="24"/>
          <w:lang w:val="bs-Latn-BA"/>
        </w:rPr>
        <w:t xml:space="preserve"> </w:t>
      </w:r>
      <w:r>
        <w:rPr>
          <w:rFonts w:ascii="Times New Roman" w:hAnsi="Times New Roman"/>
          <w:bCs/>
          <w:szCs w:val="24"/>
          <w:lang w:val="bs-Latn-BA"/>
        </w:rPr>
        <w:t>дискриминације</w:t>
      </w:r>
      <w:r w:rsidR="004C065F" w:rsidRPr="00295637">
        <w:rPr>
          <w:rFonts w:ascii="Times New Roman" w:hAnsi="Times New Roman"/>
          <w:szCs w:val="24"/>
          <w:lang w:val="bs-Latn-BA"/>
        </w:rPr>
        <w:t xml:space="preserve">, </w:t>
      </w:r>
      <w:r>
        <w:rPr>
          <w:rFonts w:ascii="Times New Roman" w:hAnsi="Times New Roman"/>
          <w:bCs/>
          <w:szCs w:val="24"/>
          <w:lang w:val="bs-Latn-BA"/>
        </w:rPr>
        <w:t>израђен</w:t>
      </w:r>
      <w:r w:rsidR="003A2F08" w:rsidRPr="00295637">
        <w:rPr>
          <w:rFonts w:ascii="Times New Roman" w:hAnsi="Times New Roman"/>
          <w:bCs/>
          <w:szCs w:val="24"/>
          <w:lang w:val="bs-Latn-BA"/>
        </w:rPr>
        <w:t xml:space="preserve"> </w:t>
      </w:r>
      <w:r>
        <w:rPr>
          <w:rFonts w:ascii="Times New Roman" w:hAnsi="Times New Roman"/>
          <w:bCs/>
          <w:szCs w:val="24"/>
          <w:lang w:val="bs-Latn-BA"/>
        </w:rPr>
        <w:t>курикулум</w:t>
      </w:r>
      <w:r w:rsidR="003A2F08" w:rsidRPr="00295637">
        <w:rPr>
          <w:rFonts w:ascii="Times New Roman" w:hAnsi="Times New Roman"/>
          <w:bCs/>
          <w:szCs w:val="24"/>
          <w:lang w:val="bs-Latn-BA"/>
        </w:rPr>
        <w:t xml:space="preserve">, </w:t>
      </w:r>
      <w:r>
        <w:rPr>
          <w:rFonts w:ascii="Times New Roman" w:hAnsi="Times New Roman"/>
          <w:bCs/>
          <w:szCs w:val="24"/>
          <w:lang w:val="bs-Latn-BA"/>
        </w:rPr>
        <w:t>смјернице</w:t>
      </w:r>
      <w:r w:rsidR="003A2F08" w:rsidRPr="00295637">
        <w:rPr>
          <w:rFonts w:ascii="Times New Roman" w:hAnsi="Times New Roman"/>
          <w:bCs/>
          <w:szCs w:val="24"/>
          <w:lang w:val="bs-Latn-BA"/>
        </w:rPr>
        <w:t xml:space="preserve"> </w:t>
      </w:r>
      <w:r>
        <w:rPr>
          <w:rFonts w:ascii="Times New Roman" w:hAnsi="Times New Roman"/>
          <w:bCs/>
          <w:szCs w:val="24"/>
          <w:lang w:val="bs-Latn-BA"/>
        </w:rPr>
        <w:t>за</w:t>
      </w:r>
      <w:r w:rsidR="003A2F08" w:rsidRPr="00295637">
        <w:rPr>
          <w:rFonts w:ascii="Times New Roman" w:hAnsi="Times New Roman"/>
          <w:bCs/>
          <w:szCs w:val="24"/>
          <w:lang w:val="bs-Latn-BA"/>
        </w:rPr>
        <w:t xml:space="preserve"> </w:t>
      </w:r>
      <w:r>
        <w:rPr>
          <w:rFonts w:ascii="Times New Roman" w:hAnsi="Times New Roman"/>
          <w:bCs/>
          <w:szCs w:val="24"/>
          <w:lang w:val="bs-Latn-BA"/>
        </w:rPr>
        <w:t>кориш</w:t>
      </w:r>
      <w:r w:rsidR="00195565">
        <w:rPr>
          <w:rFonts w:ascii="Times New Roman" w:hAnsi="Times New Roman"/>
          <w:bCs/>
          <w:szCs w:val="24"/>
          <w:lang w:val="sr-Cyrl-BA"/>
        </w:rPr>
        <w:t>ћ</w:t>
      </w:r>
      <w:r>
        <w:rPr>
          <w:rFonts w:ascii="Times New Roman" w:hAnsi="Times New Roman"/>
          <w:bCs/>
          <w:szCs w:val="24"/>
          <w:lang w:val="bs-Latn-BA"/>
        </w:rPr>
        <w:t>ење</w:t>
      </w:r>
      <w:r w:rsidR="003A2F08" w:rsidRPr="00295637">
        <w:rPr>
          <w:rFonts w:ascii="Times New Roman" w:hAnsi="Times New Roman"/>
          <w:bCs/>
          <w:szCs w:val="24"/>
          <w:lang w:val="bs-Latn-BA"/>
        </w:rPr>
        <w:t xml:space="preserve"> </w:t>
      </w:r>
      <w:r>
        <w:rPr>
          <w:rFonts w:ascii="Times New Roman" w:hAnsi="Times New Roman"/>
          <w:bCs/>
          <w:szCs w:val="24"/>
          <w:lang w:val="bs-Latn-BA"/>
        </w:rPr>
        <w:t>и</w:t>
      </w:r>
      <w:r w:rsidR="003A2F08" w:rsidRPr="00295637">
        <w:rPr>
          <w:rFonts w:ascii="Times New Roman" w:hAnsi="Times New Roman"/>
          <w:bCs/>
          <w:szCs w:val="24"/>
          <w:lang w:val="bs-Latn-BA"/>
        </w:rPr>
        <w:t xml:space="preserve"> </w:t>
      </w:r>
      <w:r>
        <w:rPr>
          <w:rFonts w:ascii="Times New Roman" w:hAnsi="Times New Roman"/>
          <w:bCs/>
          <w:szCs w:val="24"/>
          <w:lang w:val="bs-Latn-BA"/>
        </w:rPr>
        <w:t>материјали</w:t>
      </w:r>
      <w:r w:rsidR="003A2F08" w:rsidRPr="00295637">
        <w:rPr>
          <w:rFonts w:ascii="Times New Roman" w:hAnsi="Times New Roman"/>
          <w:bCs/>
          <w:szCs w:val="24"/>
          <w:lang w:val="bs-Latn-BA"/>
        </w:rPr>
        <w:t xml:space="preserve"> </w:t>
      </w:r>
      <w:r>
        <w:rPr>
          <w:rFonts w:ascii="Times New Roman" w:hAnsi="Times New Roman"/>
          <w:bCs/>
          <w:szCs w:val="24"/>
          <w:lang w:val="bs-Latn-BA"/>
        </w:rPr>
        <w:t>за</w:t>
      </w:r>
      <w:r w:rsidR="003A2F08" w:rsidRPr="00295637">
        <w:rPr>
          <w:rFonts w:ascii="Times New Roman" w:hAnsi="Times New Roman"/>
          <w:bCs/>
          <w:szCs w:val="24"/>
          <w:lang w:val="bs-Latn-BA"/>
        </w:rPr>
        <w:t xml:space="preserve"> </w:t>
      </w:r>
      <w:r>
        <w:rPr>
          <w:rFonts w:ascii="Times New Roman" w:hAnsi="Times New Roman"/>
          <w:bCs/>
          <w:szCs w:val="24"/>
          <w:lang w:val="bs-Latn-BA"/>
        </w:rPr>
        <w:t>обуку</w:t>
      </w:r>
      <w:r w:rsidR="003A2F08" w:rsidRPr="00295637">
        <w:rPr>
          <w:rFonts w:ascii="Times New Roman" w:hAnsi="Times New Roman"/>
          <w:bCs/>
          <w:szCs w:val="24"/>
          <w:lang w:val="bs-Latn-BA"/>
        </w:rPr>
        <w:t xml:space="preserve"> </w:t>
      </w:r>
      <w:r>
        <w:rPr>
          <w:rFonts w:ascii="Times New Roman" w:hAnsi="Times New Roman"/>
          <w:bCs/>
          <w:szCs w:val="24"/>
          <w:lang w:val="bs-Latn-BA"/>
        </w:rPr>
        <w:t>за</w:t>
      </w:r>
      <w:r w:rsidR="003A2F08" w:rsidRPr="00295637">
        <w:rPr>
          <w:rFonts w:ascii="Times New Roman" w:hAnsi="Times New Roman"/>
          <w:bCs/>
          <w:szCs w:val="24"/>
          <w:lang w:val="bs-Latn-BA"/>
        </w:rPr>
        <w:t xml:space="preserve"> </w:t>
      </w:r>
      <w:r>
        <w:rPr>
          <w:rFonts w:ascii="Times New Roman" w:hAnsi="Times New Roman"/>
          <w:bCs/>
          <w:szCs w:val="24"/>
          <w:lang w:val="bs-Latn-BA"/>
        </w:rPr>
        <w:t>различите</w:t>
      </w:r>
      <w:r w:rsidR="003A2F08" w:rsidRPr="00295637">
        <w:rPr>
          <w:rFonts w:ascii="Times New Roman" w:hAnsi="Times New Roman"/>
          <w:bCs/>
          <w:szCs w:val="24"/>
          <w:lang w:val="bs-Latn-BA"/>
        </w:rPr>
        <w:t xml:space="preserve"> </w:t>
      </w:r>
      <w:r>
        <w:rPr>
          <w:rFonts w:ascii="Times New Roman" w:hAnsi="Times New Roman"/>
          <w:bCs/>
          <w:szCs w:val="24"/>
          <w:lang w:val="bs-Latn-BA"/>
        </w:rPr>
        <w:t>циљне</w:t>
      </w:r>
      <w:r w:rsidR="003A2F08" w:rsidRPr="00295637">
        <w:rPr>
          <w:rFonts w:ascii="Times New Roman" w:hAnsi="Times New Roman"/>
          <w:bCs/>
          <w:szCs w:val="24"/>
          <w:lang w:val="bs-Latn-BA"/>
        </w:rPr>
        <w:t xml:space="preserve"> </w:t>
      </w:r>
      <w:r>
        <w:rPr>
          <w:rFonts w:ascii="Times New Roman" w:hAnsi="Times New Roman"/>
          <w:bCs/>
          <w:szCs w:val="24"/>
          <w:lang w:val="bs-Latn-BA"/>
        </w:rPr>
        <w:t>групе</w:t>
      </w:r>
      <w:r w:rsidR="003A2F08" w:rsidRPr="00295637">
        <w:rPr>
          <w:rFonts w:ascii="Times New Roman" w:hAnsi="Times New Roman"/>
          <w:bCs/>
          <w:szCs w:val="24"/>
          <w:lang w:val="bs-Latn-BA"/>
        </w:rPr>
        <w:t xml:space="preserve"> (</w:t>
      </w:r>
      <w:r>
        <w:rPr>
          <w:rFonts w:ascii="Times New Roman" w:hAnsi="Times New Roman"/>
          <w:bCs/>
          <w:szCs w:val="24"/>
          <w:lang w:val="bs-Latn-BA"/>
        </w:rPr>
        <w:t>полиција</w:t>
      </w:r>
      <w:r w:rsidR="003A2F08" w:rsidRPr="00295637">
        <w:rPr>
          <w:rFonts w:ascii="Times New Roman" w:hAnsi="Times New Roman"/>
          <w:bCs/>
          <w:szCs w:val="24"/>
          <w:lang w:val="bs-Latn-BA"/>
        </w:rPr>
        <w:t xml:space="preserve">, </w:t>
      </w:r>
      <w:r>
        <w:rPr>
          <w:rFonts w:ascii="Times New Roman" w:hAnsi="Times New Roman"/>
          <w:bCs/>
          <w:szCs w:val="24"/>
          <w:lang w:val="bs-Latn-BA"/>
        </w:rPr>
        <w:t>социјални</w:t>
      </w:r>
      <w:r w:rsidR="003A2F08" w:rsidRPr="00295637">
        <w:rPr>
          <w:rFonts w:ascii="Times New Roman" w:hAnsi="Times New Roman"/>
          <w:bCs/>
          <w:szCs w:val="24"/>
          <w:lang w:val="bs-Latn-BA"/>
        </w:rPr>
        <w:t xml:space="preserve"> </w:t>
      </w:r>
      <w:r>
        <w:rPr>
          <w:rFonts w:ascii="Times New Roman" w:hAnsi="Times New Roman"/>
          <w:bCs/>
          <w:szCs w:val="24"/>
          <w:lang w:val="bs-Latn-BA"/>
        </w:rPr>
        <w:t>радници</w:t>
      </w:r>
      <w:r w:rsidR="003A2F08" w:rsidRPr="00295637">
        <w:rPr>
          <w:rFonts w:ascii="Times New Roman" w:hAnsi="Times New Roman"/>
          <w:bCs/>
          <w:szCs w:val="24"/>
          <w:lang w:val="bs-Latn-BA"/>
        </w:rPr>
        <w:t xml:space="preserve">, </w:t>
      </w:r>
      <w:r>
        <w:rPr>
          <w:rFonts w:ascii="Times New Roman" w:hAnsi="Times New Roman"/>
          <w:bCs/>
          <w:szCs w:val="24"/>
          <w:lang w:val="bs-Latn-BA"/>
        </w:rPr>
        <w:t>цивилно</w:t>
      </w:r>
      <w:r w:rsidR="003A2F08" w:rsidRPr="00295637">
        <w:rPr>
          <w:rFonts w:ascii="Times New Roman" w:hAnsi="Times New Roman"/>
          <w:bCs/>
          <w:szCs w:val="24"/>
          <w:lang w:val="bs-Latn-BA"/>
        </w:rPr>
        <w:t xml:space="preserve"> </w:t>
      </w:r>
      <w:r>
        <w:rPr>
          <w:rFonts w:ascii="Times New Roman" w:hAnsi="Times New Roman"/>
          <w:bCs/>
          <w:szCs w:val="24"/>
          <w:lang w:val="bs-Latn-BA"/>
        </w:rPr>
        <w:t>друштво</w:t>
      </w:r>
      <w:r w:rsidR="003A2F08" w:rsidRPr="00295637">
        <w:rPr>
          <w:rFonts w:ascii="Times New Roman" w:hAnsi="Times New Roman"/>
          <w:bCs/>
          <w:szCs w:val="24"/>
          <w:lang w:val="bs-Latn-BA"/>
        </w:rPr>
        <w:t>)</w:t>
      </w:r>
      <w:r w:rsidR="007D6E3D" w:rsidRPr="00295637">
        <w:rPr>
          <w:rFonts w:ascii="Times New Roman" w:hAnsi="Times New Roman"/>
          <w:szCs w:val="24"/>
          <w:lang w:val="bs-Latn-BA"/>
        </w:rPr>
        <w:t xml:space="preserve"> </w:t>
      </w:r>
      <w:r>
        <w:rPr>
          <w:rFonts w:ascii="Times New Roman" w:hAnsi="Times New Roman"/>
          <w:szCs w:val="24"/>
          <w:lang w:val="bs-Latn-BA"/>
        </w:rPr>
        <w:t>као</w:t>
      </w:r>
      <w:r w:rsidR="007D6E3D" w:rsidRPr="00295637">
        <w:rPr>
          <w:rFonts w:ascii="Times New Roman" w:hAnsi="Times New Roman"/>
          <w:szCs w:val="24"/>
          <w:lang w:val="bs-Latn-BA"/>
        </w:rPr>
        <w:t xml:space="preserve"> </w:t>
      </w:r>
      <w:r>
        <w:rPr>
          <w:rFonts w:ascii="Times New Roman" w:hAnsi="Times New Roman"/>
          <w:szCs w:val="24"/>
          <w:lang w:val="bs-Latn-BA"/>
        </w:rPr>
        <w:t>и</w:t>
      </w:r>
      <w:r w:rsidR="007D6E3D" w:rsidRPr="00295637">
        <w:rPr>
          <w:rFonts w:ascii="Times New Roman" w:hAnsi="Times New Roman"/>
          <w:szCs w:val="24"/>
          <w:lang w:val="bs-Latn-BA"/>
        </w:rPr>
        <w:t xml:space="preserve"> </w:t>
      </w:r>
      <w:r>
        <w:rPr>
          <w:rFonts w:ascii="Times New Roman" w:hAnsi="Times New Roman"/>
          <w:bCs/>
          <w:szCs w:val="24"/>
          <w:lang w:val="bs-Latn-BA"/>
        </w:rPr>
        <w:t>Смјернице</w:t>
      </w:r>
      <w:r w:rsidR="003A2F08" w:rsidRPr="00295637">
        <w:rPr>
          <w:rFonts w:ascii="Times New Roman" w:hAnsi="Times New Roman"/>
          <w:bCs/>
          <w:szCs w:val="24"/>
          <w:lang w:val="bs-Latn-BA"/>
        </w:rPr>
        <w:t xml:space="preserve"> </w:t>
      </w:r>
      <w:r>
        <w:rPr>
          <w:rFonts w:ascii="Times New Roman" w:hAnsi="Times New Roman"/>
          <w:bCs/>
          <w:szCs w:val="24"/>
          <w:lang w:val="bs-Latn-BA"/>
        </w:rPr>
        <w:t>за</w:t>
      </w:r>
      <w:r w:rsidR="003A2F08" w:rsidRPr="00295637">
        <w:rPr>
          <w:rFonts w:ascii="Times New Roman" w:hAnsi="Times New Roman"/>
          <w:bCs/>
          <w:szCs w:val="24"/>
          <w:lang w:val="bs-Latn-BA"/>
        </w:rPr>
        <w:t xml:space="preserve"> </w:t>
      </w:r>
      <w:r>
        <w:rPr>
          <w:rFonts w:ascii="Times New Roman" w:hAnsi="Times New Roman"/>
          <w:bCs/>
          <w:szCs w:val="24"/>
          <w:lang w:val="bs-Latn-BA"/>
        </w:rPr>
        <w:t>идентификацију</w:t>
      </w:r>
      <w:r w:rsidR="003A2F08" w:rsidRPr="00295637">
        <w:rPr>
          <w:rFonts w:ascii="Times New Roman" w:hAnsi="Times New Roman"/>
          <w:bCs/>
          <w:szCs w:val="24"/>
          <w:lang w:val="bs-Latn-BA"/>
        </w:rPr>
        <w:t xml:space="preserve">, </w:t>
      </w:r>
      <w:r>
        <w:rPr>
          <w:rFonts w:ascii="Times New Roman" w:hAnsi="Times New Roman"/>
          <w:bCs/>
          <w:szCs w:val="24"/>
          <w:lang w:val="bs-Latn-BA"/>
        </w:rPr>
        <w:t>пријављивање</w:t>
      </w:r>
      <w:r w:rsidR="007D6E3D" w:rsidRPr="00295637">
        <w:rPr>
          <w:rFonts w:ascii="Times New Roman" w:hAnsi="Times New Roman"/>
          <w:bCs/>
          <w:szCs w:val="24"/>
          <w:lang w:val="bs-Latn-BA"/>
        </w:rPr>
        <w:t xml:space="preserve"> </w:t>
      </w:r>
      <w:r>
        <w:rPr>
          <w:rFonts w:ascii="Times New Roman" w:hAnsi="Times New Roman"/>
          <w:bCs/>
          <w:szCs w:val="24"/>
          <w:lang w:val="bs-Latn-BA"/>
        </w:rPr>
        <w:t>и</w:t>
      </w:r>
      <w:r w:rsidR="007D6E3D" w:rsidRPr="00295637">
        <w:rPr>
          <w:rFonts w:ascii="Times New Roman" w:hAnsi="Times New Roman"/>
          <w:bCs/>
          <w:szCs w:val="24"/>
          <w:lang w:val="bs-Latn-BA"/>
        </w:rPr>
        <w:t xml:space="preserve"> </w:t>
      </w:r>
      <w:r>
        <w:rPr>
          <w:rFonts w:ascii="Times New Roman" w:hAnsi="Times New Roman"/>
          <w:bCs/>
          <w:szCs w:val="24"/>
          <w:lang w:val="bs-Latn-BA"/>
        </w:rPr>
        <w:t>заштиту</w:t>
      </w:r>
      <w:r w:rsidR="007D6E3D" w:rsidRPr="00295637">
        <w:rPr>
          <w:rFonts w:ascii="Times New Roman" w:hAnsi="Times New Roman"/>
          <w:bCs/>
          <w:szCs w:val="24"/>
          <w:lang w:val="bs-Latn-BA"/>
        </w:rPr>
        <w:t xml:space="preserve"> </w:t>
      </w:r>
      <w:r>
        <w:rPr>
          <w:rFonts w:ascii="Times New Roman" w:hAnsi="Times New Roman"/>
          <w:bCs/>
          <w:szCs w:val="24"/>
          <w:lang w:val="bs-Latn-BA"/>
        </w:rPr>
        <w:t>од</w:t>
      </w:r>
      <w:r w:rsidR="007D6E3D" w:rsidRPr="00295637">
        <w:rPr>
          <w:rFonts w:ascii="Times New Roman" w:hAnsi="Times New Roman"/>
          <w:bCs/>
          <w:szCs w:val="24"/>
          <w:lang w:val="bs-Latn-BA"/>
        </w:rPr>
        <w:t xml:space="preserve"> </w:t>
      </w:r>
      <w:r>
        <w:rPr>
          <w:rFonts w:ascii="Times New Roman" w:hAnsi="Times New Roman"/>
          <w:bCs/>
          <w:szCs w:val="24"/>
          <w:lang w:val="bs-Latn-BA"/>
        </w:rPr>
        <w:t>дискриминације</w:t>
      </w:r>
      <w:r w:rsidR="007D6E3D" w:rsidRPr="00295637">
        <w:rPr>
          <w:rFonts w:ascii="Times New Roman" w:hAnsi="Times New Roman"/>
          <w:bCs/>
          <w:szCs w:val="24"/>
          <w:lang w:val="bs-Latn-BA"/>
        </w:rPr>
        <w:t>.</w:t>
      </w:r>
    </w:p>
    <w:p w:rsidR="00FD3A3B" w:rsidRPr="00295637" w:rsidRDefault="00FD3A3B" w:rsidP="0086268D">
      <w:pPr>
        <w:rPr>
          <w:szCs w:val="24"/>
          <w:lang w:val="bs-Latn-BA"/>
        </w:rPr>
      </w:pPr>
    </w:p>
    <w:p w:rsidR="00356C2C" w:rsidRPr="00295637" w:rsidRDefault="00195565" w:rsidP="00042F2A">
      <w:pPr>
        <w:pStyle w:val="Heading4"/>
        <w:numPr>
          <w:ilvl w:val="0"/>
          <w:numId w:val="0"/>
        </w:numPr>
        <w:spacing w:after="0" w:line="240" w:lineRule="auto"/>
        <w:ind w:left="567"/>
        <w:rPr>
          <w:rFonts w:ascii="Times New Roman" w:hAnsi="Times New Roman" w:cs="Times New Roman"/>
          <w:b w:val="0"/>
          <w:lang w:val="bs-Latn-BA"/>
        </w:rPr>
      </w:pPr>
      <w:r w:rsidRPr="00195565">
        <w:rPr>
          <w:rFonts w:ascii="Times New Roman" w:hAnsi="Times New Roman" w:cs="Times New Roman"/>
          <w:b w:val="0"/>
          <w:lang w:val="bs-Latn-BA"/>
        </w:rPr>
        <w:t>II</w:t>
      </w:r>
      <w:r w:rsidR="00042F2A">
        <w:rPr>
          <w:rFonts w:ascii="Times New Roman" w:hAnsi="Times New Roman" w:cs="Times New Roman"/>
          <w:b w:val="0"/>
          <w:lang w:val="bs-Latn-BA"/>
        </w:rPr>
        <w:t xml:space="preserve"> 3.2. </w:t>
      </w:r>
      <w:r w:rsidR="00C6214E">
        <w:rPr>
          <w:rFonts w:ascii="Times New Roman" w:hAnsi="Times New Roman" w:cs="Times New Roman"/>
          <w:b w:val="0"/>
          <w:lang w:val="bs-Latn-BA"/>
        </w:rPr>
        <w:t>Континуирана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координација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између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АР</w:t>
      </w:r>
      <w:r>
        <w:rPr>
          <w:rFonts w:ascii="Times New Roman" w:hAnsi="Times New Roman" w:cs="Times New Roman"/>
          <w:b w:val="0"/>
          <w:lang w:val="sr-Cyrl-BA"/>
        </w:rPr>
        <w:t>П</w:t>
      </w:r>
      <w:r w:rsidR="007970A9">
        <w:rPr>
          <w:rFonts w:ascii="Times New Roman" w:hAnsi="Times New Roman" w:cs="Times New Roman"/>
          <w:b w:val="0"/>
          <w:lang w:val="bs-Latn-BA"/>
        </w:rPr>
        <w:t xml:space="preserve"> </w:t>
      </w:r>
      <w:r w:rsidR="00C6214E">
        <w:rPr>
          <w:rFonts w:ascii="Times New Roman" w:hAnsi="Times New Roman" w:cs="Times New Roman"/>
          <w:b w:val="0"/>
          <w:lang w:val="bs-Latn-BA"/>
        </w:rPr>
        <w:t>БиХ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МЉПИ</w:t>
      </w:r>
      <w:r w:rsidR="007970A9">
        <w:rPr>
          <w:rFonts w:ascii="Times New Roman" w:hAnsi="Times New Roman" w:cs="Times New Roman"/>
          <w:b w:val="0"/>
          <w:lang w:val="bs-Latn-BA"/>
        </w:rPr>
        <w:t xml:space="preserve"> </w:t>
      </w:r>
      <w:r w:rsidR="00C6214E">
        <w:rPr>
          <w:rFonts w:ascii="Times New Roman" w:hAnsi="Times New Roman" w:cs="Times New Roman"/>
          <w:b w:val="0"/>
          <w:lang w:val="bs-Latn-BA"/>
        </w:rPr>
        <w:t>БиХ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ГЦ</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ФБиХ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ГЦ</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РС</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кроз</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дјеловање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Управног</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одбора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координацију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праћење</w:t>
      </w:r>
      <w:r w:rsidR="00356C2C" w:rsidRPr="00295637">
        <w:rPr>
          <w:rFonts w:ascii="Times New Roman" w:hAnsi="Times New Roman" w:cs="Times New Roman"/>
          <w:b w:val="0"/>
          <w:lang w:val="bs-Latn-BA"/>
        </w:rPr>
        <w:t xml:space="preserve"> </w:t>
      </w:r>
      <w:r>
        <w:rPr>
          <w:rFonts w:ascii="Times New Roman" w:hAnsi="Times New Roman" w:cs="Times New Roman"/>
          <w:b w:val="0"/>
          <w:lang w:val="sr-Cyrl-BA"/>
        </w:rPr>
        <w:t>спровођења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ГАП</w:t>
      </w:r>
      <w:r w:rsidR="007970A9">
        <w:rPr>
          <w:rFonts w:ascii="Times New Roman" w:hAnsi="Times New Roman" w:cs="Times New Roman"/>
          <w:b w:val="0"/>
          <w:lang w:val="bs-Latn-BA"/>
        </w:rPr>
        <w:t xml:space="preserve"> </w:t>
      </w:r>
      <w:r w:rsidR="00C6214E">
        <w:rPr>
          <w:rFonts w:ascii="Times New Roman" w:hAnsi="Times New Roman" w:cs="Times New Roman"/>
          <w:b w:val="0"/>
          <w:lang w:val="bs-Latn-BA"/>
        </w:rPr>
        <w:t>БиХ</w:t>
      </w:r>
      <w:r w:rsidR="00356C2C" w:rsidRPr="00295637">
        <w:rPr>
          <w:rFonts w:ascii="Times New Roman" w:hAnsi="Times New Roman" w:cs="Times New Roman"/>
          <w:b w:val="0"/>
          <w:lang w:val="bs-Latn-BA"/>
        </w:rPr>
        <w:t>)</w:t>
      </w:r>
      <w:r w:rsidR="007970A9">
        <w:rPr>
          <w:rFonts w:ascii="Times New Roman" w:hAnsi="Times New Roman" w:cs="Times New Roman"/>
          <w:b w:val="0"/>
          <w:lang w:val="bs-Latn-BA"/>
        </w:rPr>
        <w:t>.</w:t>
      </w:r>
    </w:p>
    <w:p w:rsidR="00FD3A3B" w:rsidRPr="00295637" w:rsidRDefault="00FD3A3B" w:rsidP="0086268D">
      <w:pPr>
        <w:rPr>
          <w:szCs w:val="24"/>
          <w:lang w:val="bs-Latn-BA"/>
        </w:rPr>
      </w:pPr>
    </w:p>
    <w:p w:rsidR="00A92736" w:rsidRDefault="00C6214E" w:rsidP="0086268D">
      <w:pPr>
        <w:jc w:val="both"/>
        <w:rPr>
          <w:rFonts w:ascii="Times New Roman" w:hAnsi="Times New Roman"/>
          <w:szCs w:val="24"/>
          <w:lang w:val="bs-Latn-BA"/>
        </w:rPr>
      </w:pPr>
      <w:r>
        <w:rPr>
          <w:rFonts w:ascii="Times New Roman" w:hAnsi="Times New Roman"/>
          <w:szCs w:val="24"/>
          <w:lang w:val="bs-Latn-BA"/>
        </w:rPr>
        <w:t>У</w:t>
      </w:r>
      <w:r w:rsidR="00EC1E8B" w:rsidRPr="00295637">
        <w:rPr>
          <w:rFonts w:ascii="Times New Roman" w:hAnsi="Times New Roman"/>
          <w:szCs w:val="24"/>
          <w:lang w:val="bs-Latn-BA"/>
        </w:rPr>
        <w:t xml:space="preserve"> </w:t>
      </w:r>
      <w:r>
        <w:rPr>
          <w:rFonts w:ascii="Times New Roman" w:hAnsi="Times New Roman"/>
          <w:szCs w:val="24"/>
          <w:lang w:val="bs-Latn-BA"/>
        </w:rPr>
        <w:t>извјештајном</w:t>
      </w:r>
      <w:r w:rsidR="00EC1E8B" w:rsidRPr="00295637">
        <w:rPr>
          <w:rFonts w:ascii="Times New Roman" w:hAnsi="Times New Roman"/>
          <w:szCs w:val="24"/>
          <w:lang w:val="bs-Latn-BA"/>
        </w:rPr>
        <w:t xml:space="preserve"> </w:t>
      </w:r>
      <w:r>
        <w:rPr>
          <w:rFonts w:ascii="Times New Roman" w:hAnsi="Times New Roman"/>
          <w:szCs w:val="24"/>
          <w:lang w:val="bs-Latn-BA"/>
        </w:rPr>
        <w:t>периоду</w:t>
      </w:r>
      <w:r w:rsidR="00EC1E8B" w:rsidRPr="00295637">
        <w:rPr>
          <w:rFonts w:ascii="Times New Roman" w:hAnsi="Times New Roman"/>
          <w:szCs w:val="24"/>
          <w:lang w:val="bs-Latn-BA"/>
        </w:rPr>
        <w:t xml:space="preserve">, </w:t>
      </w:r>
      <w:r>
        <w:rPr>
          <w:rFonts w:ascii="Times New Roman" w:hAnsi="Times New Roman"/>
          <w:szCs w:val="24"/>
          <w:lang w:val="bs-Latn-BA"/>
        </w:rPr>
        <w:t>УО</w:t>
      </w:r>
      <w:r w:rsidR="00EC1E8B" w:rsidRPr="00295637">
        <w:rPr>
          <w:rFonts w:ascii="Times New Roman" w:hAnsi="Times New Roman"/>
          <w:szCs w:val="24"/>
          <w:lang w:val="bs-Latn-BA"/>
        </w:rPr>
        <w:t xml:space="preserve"> </w:t>
      </w:r>
      <w:r>
        <w:rPr>
          <w:rFonts w:ascii="Times New Roman" w:hAnsi="Times New Roman"/>
          <w:szCs w:val="24"/>
          <w:lang w:val="bs-Latn-BA"/>
        </w:rPr>
        <w:t>ГАП</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9E54A2" w:rsidRPr="00295637">
        <w:rPr>
          <w:rFonts w:ascii="Times New Roman" w:hAnsi="Times New Roman"/>
          <w:szCs w:val="24"/>
          <w:lang w:val="bs-Latn-BA"/>
        </w:rPr>
        <w:t xml:space="preserve"> </w:t>
      </w:r>
      <w:r>
        <w:rPr>
          <w:rFonts w:ascii="Times New Roman" w:hAnsi="Times New Roman"/>
          <w:szCs w:val="24"/>
          <w:lang w:val="bs-Latn-BA"/>
        </w:rPr>
        <w:t>одржавао</w:t>
      </w:r>
      <w:r w:rsidR="00EC1E8B" w:rsidRPr="00295637">
        <w:rPr>
          <w:rFonts w:ascii="Times New Roman" w:hAnsi="Times New Roman"/>
          <w:szCs w:val="24"/>
          <w:lang w:val="bs-Latn-BA"/>
        </w:rPr>
        <w:t xml:space="preserve"> </w:t>
      </w:r>
      <w:r>
        <w:rPr>
          <w:rFonts w:ascii="Times New Roman" w:hAnsi="Times New Roman"/>
          <w:szCs w:val="24"/>
          <w:lang w:val="bs-Latn-BA"/>
        </w:rPr>
        <w:t>је</w:t>
      </w:r>
      <w:r w:rsidR="007970A9" w:rsidRPr="00295637">
        <w:rPr>
          <w:rFonts w:ascii="Times New Roman" w:hAnsi="Times New Roman"/>
          <w:szCs w:val="24"/>
          <w:lang w:val="bs-Latn-BA"/>
        </w:rPr>
        <w:t xml:space="preserve"> </w:t>
      </w:r>
      <w:r>
        <w:rPr>
          <w:rFonts w:ascii="Times New Roman" w:hAnsi="Times New Roman"/>
          <w:szCs w:val="24"/>
          <w:lang w:val="bs-Latn-BA"/>
        </w:rPr>
        <w:t>састанке</w:t>
      </w:r>
      <w:r w:rsidR="00EC1E8B" w:rsidRPr="00295637">
        <w:rPr>
          <w:rFonts w:ascii="Times New Roman" w:hAnsi="Times New Roman"/>
          <w:szCs w:val="24"/>
          <w:lang w:val="bs-Latn-BA"/>
        </w:rPr>
        <w:t xml:space="preserve"> </w:t>
      </w:r>
      <w:r>
        <w:rPr>
          <w:rFonts w:ascii="Times New Roman" w:hAnsi="Times New Roman"/>
          <w:szCs w:val="24"/>
          <w:lang w:val="bs-Latn-BA"/>
        </w:rPr>
        <w:t>и</w:t>
      </w:r>
      <w:r w:rsidR="00EC1E8B" w:rsidRPr="00295637">
        <w:rPr>
          <w:rFonts w:ascii="Times New Roman" w:hAnsi="Times New Roman"/>
          <w:szCs w:val="24"/>
          <w:lang w:val="bs-Latn-BA"/>
        </w:rPr>
        <w:t xml:space="preserve"> </w:t>
      </w:r>
      <w:r>
        <w:rPr>
          <w:rFonts w:ascii="Times New Roman" w:hAnsi="Times New Roman"/>
          <w:szCs w:val="24"/>
          <w:lang w:val="bs-Latn-BA"/>
        </w:rPr>
        <w:t>редовну</w:t>
      </w:r>
      <w:r w:rsidR="00EC1E8B" w:rsidRPr="00295637">
        <w:rPr>
          <w:rFonts w:ascii="Times New Roman" w:hAnsi="Times New Roman"/>
          <w:szCs w:val="24"/>
          <w:lang w:val="bs-Latn-BA"/>
        </w:rPr>
        <w:t xml:space="preserve"> </w:t>
      </w:r>
      <w:r>
        <w:rPr>
          <w:rFonts w:ascii="Times New Roman" w:hAnsi="Times New Roman"/>
          <w:szCs w:val="24"/>
          <w:lang w:val="bs-Latn-BA"/>
        </w:rPr>
        <w:t>комуникацију</w:t>
      </w:r>
      <w:r w:rsidR="00EC1E8B" w:rsidRPr="00295637">
        <w:rPr>
          <w:rFonts w:ascii="Times New Roman" w:hAnsi="Times New Roman"/>
          <w:szCs w:val="24"/>
          <w:lang w:val="bs-Latn-BA"/>
        </w:rPr>
        <w:t xml:space="preserve"> </w:t>
      </w:r>
      <w:r w:rsidR="00195565">
        <w:rPr>
          <w:rFonts w:ascii="Times New Roman" w:hAnsi="Times New Roman"/>
          <w:szCs w:val="24"/>
          <w:lang w:val="sr-Cyrl-BA"/>
        </w:rPr>
        <w:t>с</w:t>
      </w:r>
      <w:r w:rsidR="00EC1E8B" w:rsidRPr="00295637">
        <w:rPr>
          <w:rFonts w:ascii="Times New Roman" w:hAnsi="Times New Roman"/>
          <w:szCs w:val="24"/>
          <w:lang w:val="bs-Latn-BA"/>
        </w:rPr>
        <w:t xml:space="preserve"> </w:t>
      </w:r>
      <w:r>
        <w:rPr>
          <w:rFonts w:ascii="Times New Roman" w:hAnsi="Times New Roman"/>
          <w:szCs w:val="24"/>
          <w:lang w:val="bs-Latn-BA"/>
        </w:rPr>
        <w:t>циљ</w:t>
      </w:r>
      <w:r w:rsidR="00195565">
        <w:rPr>
          <w:rFonts w:ascii="Times New Roman" w:hAnsi="Times New Roman"/>
          <w:szCs w:val="24"/>
          <w:lang w:val="sr-Cyrl-BA"/>
        </w:rPr>
        <w:t>ем</w:t>
      </w:r>
      <w:r w:rsidR="00EC1E8B" w:rsidRPr="00295637">
        <w:rPr>
          <w:rFonts w:ascii="Times New Roman" w:hAnsi="Times New Roman"/>
          <w:szCs w:val="24"/>
          <w:lang w:val="bs-Latn-BA"/>
        </w:rPr>
        <w:t xml:space="preserve"> </w:t>
      </w:r>
      <w:r>
        <w:rPr>
          <w:rFonts w:ascii="Times New Roman" w:hAnsi="Times New Roman"/>
          <w:szCs w:val="24"/>
          <w:lang w:val="bs-Latn-BA"/>
        </w:rPr>
        <w:t>координације</w:t>
      </w:r>
      <w:r w:rsidR="00EC1E8B" w:rsidRPr="00295637">
        <w:rPr>
          <w:rFonts w:ascii="Times New Roman" w:hAnsi="Times New Roman"/>
          <w:szCs w:val="24"/>
          <w:lang w:val="bs-Latn-BA"/>
        </w:rPr>
        <w:t xml:space="preserve"> </w:t>
      </w:r>
      <w:r w:rsidR="00195565">
        <w:rPr>
          <w:rFonts w:ascii="Times New Roman" w:hAnsi="Times New Roman"/>
          <w:szCs w:val="24"/>
          <w:lang w:val="sr-Cyrl-BA"/>
        </w:rPr>
        <w:t>спровођења</w:t>
      </w:r>
      <w:r w:rsidR="00EC1E8B" w:rsidRPr="00295637">
        <w:rPr>
          <w:rFonts w:ascii="Times New Roman" w:hAnsi="Times New Roman"/>
          <w:szCs w:val="24"/>
          <w:lang w:val="bs-Latn-BA"/>
        </w:rPr>
        <w:t xml:space="preserve"> </w:t>
      </w:r>
      <w:r>
        <w:rPr>
          <w:rFonts w:ascii="Times New Roman" w:hAnsi="Times New Roman"/>
          <w:szCs w:val="24"/>
          <w:lang w:val="bs-Latn-BA"/>
        </w:rPr>
        <w:t>ГАП</w:t>
      </w:r>
      <w:r w:rsidR="00050016">
        <w:rPr>
          <w:rFonts w:ascii="Times New Roman" w:hAnsi="Times New Roman"/>
          <w:szCs w:val="24"/>
          <w:lang w:val="bs-Latn-BA"/>
        </w:rPr>
        <w:t xml:space="preserve"> </w:t>
      </w:r>
      <w:r>
        <w:rPr>
          <w:rFonts w:ascii="Times New Roman" w:hAnsi="Times New Roman"/>
          <w:szCs w:val="24"/>
          <w:lang w:val="bs-Latn-BA"/>
        </w:rPr>
        <w:t>БиХ</w:t>
      </w:r>
      <w:r w:rsidR="00EC1E8B" w:rsidRPr="00295637">
        <w:rPr>
          <w:rFonts w:ascii="Times New Roman" w:hAnsi="Times New Roman"/>
          <w:szCs w:val="24"/>
          <w:lang w:val="bs-Latn-BA"/>
        </w:rPr>
        <w:t xml:space="preserve"> </w:t>
      </w:r>
      <w:r>
        <w:rPr>
          <w:rFonts w:ascii="Times New Roman" w:hAnsi="Times New Roman"/>
          <w:szCs w:val="24"/>
          <w:lang w:val="bs-Latn-BA"/>
        </w:rPr>
        <w:t>и</w:t>
      </w:r>
      <w:r w:rsidR="00EC1E8B" w:rsidRPr="00295637">
        <w:rPr>
          <w:rFonts w:ascii="Times New Roman" w:hAnsi="Times New Roman"/>
          <w:szCs w:val="24"/>
          <w:lang w:val="bs-Latn-BA"/>
        </w:rPr>
        <w:t xml:space="preserve"> </w:t>
      </w:r>
      <w:r>
        <w:rPr>
          <w:rFonts w:ascii="Times New Roman" w:hAnsi="Times New Roman"/>
          <w:szCs w:val="24"/>
          <w:lang w:val="bs-Latn-BA"/>
        </w:rPr>
        <w:t>пројеката</w:t>
      </w:r>
      <w:r w:rsidR="00EC1E8B" w:rsidRPr="00295637">
        <w:rPr>
          <w:rFonts w:ascii="Times New Roman" w:hAnsi="Times New Roman"/>
          <w:szCs w:val="24"/>
          <w:lang w:val="bs-Latn-BA"/>
        </w:rPr>
        <w:t xml:space="preserve"> </w:t>
      </w:r>
      <w:r>
        <w:rPr>
          <w:rFonts w:ascii="Times New Roman" w:hAnsi="Times New Roman"/>
          <w:szCs w:val="24"/>
          <w:lang w:val="bs-Latn-BA"/>
        </w:rPr>
        <w:t>подржаних</w:t>
      </w:r>
      <w:r w:rsidR="00EC1E8B" w:rsidRPr="00295637">
        <w:rPr>
          <w:rFonts w:ascii="Times New Roman" w:hAnsi="Times New Roman"/>
          <w:szCs w:val="24"/>
          <w:lang w:val="bs-Latn-BA"/>
        </w:rPr>
        <w:t xml:space="preserve"> </w:t>
      </w:r>
      <w:r>
        <w:rPr>
          <w:rFonts w:ascii="Times New Roman" w:hAnsi="Times New Roman"/>
          <w:szCs w:val="24"/>
          <w:lang w:val="bs-Latn-BA"/>
        </w:rPr>
        <w:t>од</w:t>
      </w:r>
      <w:r w:rsidR="00EC1E8B" w:rsidRPr="00295637">
        <w:rPr>
          <w:rFonts w:ascii="Times New Roman" w:hAnsi="Times New Roman"/>
          <w:szCs w:val="24"/>
          <w:lang w:val="bs-Latn-BA"/>
        </w:rPr>
        <w:t xml:space="preserve"> </w:t>
      </w:r>
      <w:r>
        <w:rPr>
          <w:rFonts w:ascii="Times New Roman" w:hAnsi="Times New Roman"/>
          <w:szCs w:val="24"/>
          <w:lang w:val="bs-Latn-BA"/>
        </w:rPr>
        <w:t>стране</w:t>
      </w:r>
      <w:r w:rsidR="00EC1E8B" w:rsidRPr="00295637">
        <w:rPr>
          <w:rFonts w:ascii="Times New Roman" w:hAnsi="Times New Roman"/>
          <w:szCs w:val="24"/>
          <w:lang w:val="bs-Latn-BA"/>
        </w:rPr>
        <w:t xml:space="preserve"> </w:t>
      </w:r>
      <w:r>
        <w:rPr>
          <w:rFonts w:ascii="Times New Roman" w:hAnsi="Times New Roman"/>
          <w:szCs w:val="24"/>
          <w:lang w:val="bs-Latn-BA"/>
        </w:rPr>
        <w:t>међународних</w:t>
      </w:r>
      <w:r w:rsidR="00EC1E8B" w:rsidRPr="00295637">
        <w:rPr>
          <w:rFonts w:ascii="Times New Roman" w:hAnsi="Times New Roman"/>
          <w:szCs w:val="24"/>
          <w:lang w:val="bs-Latn-BA"/>
        </w:rPr>
        <w:t xml:space="preserve"> </w:t>
      </w:r>
      <w:r>
        <w:rPr>
          <w:rFonts w:ascii="Times New Roman" w:hAnsi="Times New Roman"/>
          <w:szCs w:val="24"/>
          <w:lang w:val="bs-Latn-BA"/>
        </w:rPr>
        <w:t>донатора</w:t>
      </w:r>
      <w:r w:rsidR="00EC1E8B" w:rsidRPr="00295637">
        <w:rPr>
          <w:rFonts w:ascii="Times New Roman" w:hAnsi="Times New Roman"/>
          <w:szCs w:val="24"/>
          <w:lang w:val="bs-Latn-BA"/>
        </w:rPr>
        <w:t xml:space="preserve">. </w:t>
      </w:r>
    </w:p>
    <w:p w:rsidR="00FD3A3B" w:rsidRPr="00295637" w:rsidRDefault="00FD3A3B" w:rsidP="0086268D">
      <w:pPr>
        <w:rPr>
          <w:szCs w:val="24"/>
          <w:lang w:val="bs-Latn-BA"/>
        </w:rPr>
      </w:pPr>
    </w:p>
    <w:p w:rsidR="00356C2C" w:rsidRPr="00295637" w:rsidRDefault="00195565" w:rsidP="00042F2A">
      <w:pPr>
        <w:pStyle w:val="Heading4"/>
        <w:numPr>
          <w:ilvl w:val="0"/>
          <w:numId w:val="0"/>
        </w:numPr>
        <w:spacing w:after="0" w:line="240" w:lineRule="auto"/>
        <w:ind w:left="567"/>
        <w:rPr>
          <w:rFonts w:ascii="Times New Roman" w:hAnsi="Times New Roman" w:cs="Times New Roman"/>
          <w:b w:val="0"/>
          <w:lang w:val="bs-Latn-BA"/>
        </w:rPr>
      </w:pPr>
      <w:r w:rsidRPr="00195565">
        <w:rPr>
          <w:rFonts w:ascii="Times New Roman" w:hAnsi="Times New Roman" w:cs="Times New Roman"/>
          <w:b w:val="0"/>
          <w:lang w:val="bs-Latn-BA"/>
        </w:rPr>
        <w:t>II</w:t>
      </w:r>
      <w:r w:rsidR="00042F2A">
        <w:rPr>
          <w:rFonts w:ascii="Times New Roman" w:hAnsi="Times New Roman" w:cs="Times New Roman"/>
          <w:b w:val="0"/>
          <w:lang w:val="bs-Latn-BA"/>
        </w:rPr>
        <w:t xml:space="preserve"> 3.3. </w:t>
      </w:r>
      <w:r w:rsidR="00C6214E">
        <w:rPr>
          <w:rFonts w:ascii="Times New Roman" w:hAnsi="Times New Roman" w:cs="Times New Roman"/>
          <w:b w:val="0"/>
          <w:lang w:val="bs-Latn-BA"/>
        </w:rPr>
        <w:t>Подршка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rPr>
        <w:t>Комисији</w:t>
      </w:r>
      <w:r w:rsidR="00356C2C" w:rsidRPr="00295637">
        <w:rPr>
          <w:rFonts w:ascii="Times New Roman" w:hAnsi="Times New Roman" w:cs="Times New Roman"/>
          <w:b w:val="0"/>
        </w:rPr>
        <w:t xml:space="preserve"> </w:t>
      </w:r>
      <w:r w:rsidR="00C6214E">
        <w:rPr>
          <w:rFonts w:ascii="Times New Roman" w:hAnsi="Times New Roman" w:cs="Times New Roman"/>
          <w:b w:val="0"/>
        </w:rPr>
        <w:t>за</w:t>
      </w:r>
      <w:r w:rsidR="00356C2C" w:rsidRPr="00295637">
        <w:rPr>
          <w:rFonts w:ascii="Times New Roman" w:hAnsi="Times New Roman" w:cs="Times New Roman"/>
          <w:b w:val="0"/>
        </w:rPr>
        <w:t xml:space="preserve"> </w:t>
      </w:r>
      <w:r w:rsidR="00C6214E">
        <w:rPr>
          <w:rFonts w:ascii="Times New Roman" w:hAnsi="Times New Roman" w:cs="Times New Roman"/>
          <w:b w:val="0"/>
        </w:rPr>
        <w:t>остваривање</w:t>
      </w:r>
      <w:r w:rsidR="00356C2C" w:rsidRPr="00295637">
        <w:rPr>
          <w:rFonts w:ascii="Times New Roman" w:hAnsi="Times New Roman" w:cs="Times New Roman"/>
          <w:b w:val="0"/>
        </w:rPr>
        <w:t xml:space="preserve"> </w:t>
      </w:r>
      <w:r w:rsidR="00C6214E">
        <w:rPr>
          <w:rFonts w:ascii="Times New Roman" w:hAnsi="Times New Roman" w:cs="Times New Roman"/>
          <w:b w:val="0"/>
        </w:rPr>
        <w:t>равноправности</w:t>
      </w:r>
      <w:r w:rsidR="00356C2C" w:rsidRPr="00295637">
        <w:rPr>
          <w:rFonts w:ascii="Times New Roman" w:hAnsi="Times New Roman" w:cs="Times New Roman"/>
          <w:b w:val="0"/>
        </w:rPr>
        <w:t xml:space="preserve"> </w:t>
      </w:r>
      <w:r w:rsidR="00C6214E">
        <w:rPr>
          <w:rFonts w:ascii="Times New Roman" w:hAnsi="Times New Roman" w:cs="Times New Roman"/>
          <w:b w:val="0"/>
        </w:rPr>
        <w:t>полова</w:t>
      </w:r>
      <w:r w:rsidR="00356C2C" w:rsidRPr="00295637">
        <w:rPr>
          <w:rFonts w:ascii="Times New Roman" w:hAnsi="Times New Roman" w:cs="Times New Roman"/>
          <w:b w:val="0"/>
        </w:rPr>
        <w:t xml:space="preserve"> </w:t>
      </w:r>
      <w:r w:rsidR="00C6214E">
        <w:rPr>
          <w:rFonts w:ascii="Times New Roman" w:hAnsi="Times New Roman" w:cs="Times New Roman"/>
          <w:b w:val="0"/>
        </w:rPr>
        <w:t>Представничког</w:t>
      </w:r>
      <w:r w:rsidR="00356C2C" w:rsidRPr="00295637">
        <w:rPr>
          <w:rFonts w:ascii="Times New Roman" w:hAnsi="Times New Roman" w:cs="Times New Roman"/>
          <w:b w:val="0"/>
        </w:rPr>
        <w:t xml:space="preserve"> </w:t>
      </w:r>
      <w:r w:rsidR="00C6214E">
        <w:rPr>
          <w:rFonts w:ascii="Times New Roman" w:hAnsi="Times New Roman" w:cs="Times New Roman"/>
          <w:b w:val="0"/>
        </w:rPr>
        <w:t>дома</w:t>
      </w:r>
      <w:r w:rsidR="00356C2C" w:rsidRPr="00295637">
        <w:rPr>
          <w:rFonts w:ascii="Times New Roman" w:hAnsi="Times New Roman" w:cs="Times New Roman"/>
          <w:b w:val="0"/>
        </w:rPr>
        <w:t xml:space="preserve"> </w:t>
      </w:r>
      <w:r w:rsidR="00C6214E">
        <w:rPr>
          <w:rFonts w:ascii="Times New Roman" w:hAnsi="Times New Roman" w:cs="Times New Roman"/>
          <w:b w:val="0"/>
        </w:rPr>
        <w:t>Парламентарне</w:t>
      </w:r>
      <w:r w:rsidR="00356C2C" w:rsidRPr="00295637">
        <w:rPr>
          <w:rFonts w:ascii="Times New Roman" w:hAnsi="Times New Roman" w:cs="Times New Roman"/>
          <w:b w:val="0"/>
        </w:rPr>
        <w:t xml:space="preserve"> </w:t>
      </w:r>
      <w:r w:rsidR="00C6214E">
        <w:rPr>
          <w:rFonts w:ascii="Times New Roman" w:hAnsi="Times New Roman" w:cs="Times New Roman"/>
          <w:b w:val="0"/>
        </w:rPr>
        <w:t>скупштине</w:t>
      </w:r>
      <w:r w:rsidR="00356C2C" w:rsidRPr="00295637">
        <w:rPr>
          <w:rFonts w:ascii="Times New Roman" w:hAnsi="Times New Roman" w:cs="Times New Roman"/>
          <w:b w:val="0"/>
        </w:rPr>
        <w:t xml:space="preserve"> </w:t>
      </w:r>
      <w:r w:rsidR="00C6214E">
        <w:rPr>
          <w:rFonts w:ascii="Times New Roman" w:hAnsi="Times New Roman" w:cs="Times New Roman"/>
          <w:b w:val="0"/>
        </w:rPr>
        <w:t>БиХ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КОРС</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ПД</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ПС</w:t>
      </w:r>
      <w:r w:rsidR="009E54A2"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БиХ</w:t>
      </w:r>
      <w:r w:rsidR="009E54A2" w:rsidRPr="00295637">
        <w:rPr>
          <w:rFonts w:ascii="Times New Roman" w:hAnsi="Times New Roman" w:cs="Times New Roman"/>
          <w:b w:val="0"/>
          <w:lang w:val="bs-Latn-BA"/>
        </w:rPr>
        <w:t xml:space="preserve"> </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комисијама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Парламента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ФБиХ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Одбору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једнаких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могућности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Народне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скупштине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РС</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другим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органима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законодавне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власти</w:t>
      </w:r>
      <w:r w:rsidR="00356C2C" w:rsidRPr="00295637">
        <w:rPr>
          <w:rFonts w:ascii="Times New Roman" w:hAnsi="Times New Roman" w:cs="Times New Roman"/>
          <w:b w:val="0"/>
          <w:lang w:val="bs-Latn-BA"/>
        </w:rPr>
        <w:t>.</w:t>
      </w:r>
    </w:p>
    <w:p w:rsidR="00FD3A3B" w:rsidRPr="00295637" w:rsidRDefault="00FD3A3B" w:rsidP="0086268D">
      <w:pPr>
        <w:jc w:val="both"/>
        <w:rPr>
          <w:rFonts w:ascii="Gill Sans MT" w:hAnsi="Gill Sans MT"/>
          <w:szCs w:val="24"/>
          <w:lang w:val="bs-Latn-BA"/>
        </w:rPr>
      </w:pPr>
    </w:p>
    <w:p w:rsidR="00EC1E8B" w:rsidRPr="00295637" w:rsidRDefault="00C6214E" w:rsidP="0086268D">
      <w:pPr>
        <w:jc w:val="both"/>
        <w:rPr>
          <w:rFonts w:ascii="Times New Roman" w:hAnsi="Times New Roman"/>
          <w:szCs w:val="24"/>
          <w:lang w:val="bs-Latn-BA"/>
        </w:rPr>
      </w:pPr>
      <w:r>
        <w:rPr>
          <w:rFonts w:ascii="Times New Roman" w:hAnsi="Times New Roman"/>
          <w:szCs w:val="24"/>
          <w:lang w:val="bs-Latn-BA"/>
        </w:rPr>
        <w:t>АР</w:t>
      </w:r>
      <w:r w:rsidR="00195565">
        <w:rPr>
          <w:rFonts w:ascii="Times New Roman" w:hAnsi="Times New Roman"/>
          <w:szCs w:val="24"/>
          <w:lang w:val="sr-Cyrl-BA"/>
        </w:rPr>
        <w:t>П</w:t>
      </w:r>
      <w:r w:rsidR="007970A9">
        <w:rPr>
          <w:rFonts w:ascii="Times New Roman" w:hAnsi="Times New Roman"/>
          <w:szCs w:val="24"/>
          <w:lang w:val="bs-Latn-BA"/>
        </w:rPr>
        <w:t xml:space="preserve"> </w:t>
      </w:r>
      <w:r>
        <w:rPr>
          <w:rFonts w:ascii="Times New Roman" w:hAnsi="Times New Roman"/>
          <w:szCs w:val="24"/>
          <w:lang w:val="bs-Latn-BA"/>
        </w:rPr>
        <w:t>БиХ</w:t>
      </w:r>
      <w:r w:rsidR="007970A9">
        <w:rPr>
          <w:rFonts w:ascii="Times New Roman" w:hAnsi="Times New Roman"/>
          <w:szCs w:val="24"/>
          <w:lang w:val="bs-Latn-BA"/>
        </w:rPr>
        <w:t xml:space="preserve"> </w:t>
      </w:r>
      <w:r>
        <w:rPr>
          <w:rFonts w:ascii="Times New Roman" w:hAnsi="Times New Roman"/>
          <w:szCs w:val="24"/>
          <w:lang w:val="bs-Latn-BA"/>
        </w:rPr>
        <w:t>МЉПИ</w:t>
      </w:r>
      <w:r w:rsidR="007970A9">
        <w:rPr>
          <w:rFonts w:ascii="Times New Roman" w:hAnsi="Times New Roman"/>
          <w:szCs w:val="24"/>
          <w:lang w:val="bs-Latn-BA"/>
        </w:rPr>
        <w:t xml:space="preserve"> </w:t>
      </w:r>
      <w:r>
        <w:rPr>
          <w:rFonts w:ascii="Times New Roman" w:hAnsi="Times New Roman"/>
          <w:szCs w:val="24"/>
          <w:lang w:val="bs-Latn-BA"/>
        </w:rPr>
        <w:t>БиХ</w:t>
      </w:r>
      <w:r w:rsidR="00EC1E8B" w:rsidRPr="00295637">
        <w:rPr>
          <w:rFonts w:ascii="Times New Roman" w:hAnsi="Times New Roman"/>
          <w:szCs w:val="24"/>
          <w:lang w:val="bs-Latn-BA"/>
        </w:rPr>
        <w:t xml:space="preserve"> </w:t>
      </w:r>
      <w:r>
        <w:rPr>
          <w:rFonts w:ascii="Times New Roman" w:hAnsi="Times New Roman"/>
          <w:szCs w:val="24"/>
          <w:lang w:val="bs-Latn-BA"/>
        </w:rPr>
        <w:t>је</w:t>
      </w:r>
      <w:r w:rsidR="007970A9" w:rsidRPr="00295637">
        <w:rPr>
          <w:rFonts w:ascii="Times New Roman" w:hAnsi="Times New Roman"/>
          <w:szCs w:val="24"/>
          <w:lang w:val="bs-Latn-BA"/>
        </w:rPr>
        <w:t xml:space="preserve"> </w:t>
      </w:r>
      <w:r w:rsidR="00485AB7">
        <w:rPr>
          <w:rFonts w:ascii="Times New Roman" w:hAnsi="Times New Roman"/>
          <w:szCs w:val="24"/>
          <w:lang w:val="bs-Latn-BA"/>
        </w:rPr>
        <w:t>учествовала</w:t>
      </w:r>
      <w:r w:rsidR="00485AB7" w:rsidRPr="00295637">
        <w:rPr>
          <w:rFonts w:ascii="Times New Roman" w:hAnsi="Times New Roman"/>
          <w:szCs w:val="24"/>
          <w:lang w:val="bs-Latn-BA"/>
        </w:rPr>
        <w:t xml:space="preserve"> </w:t>
      </w:r>
      <w:r>
        <w:rPr>
          <w:rFonts w:ascii="Times New Roman" w:hAnsi="Times New Roman"/>
          <w:szCs w:val="24"/>
          <w:lang w:val="bs-Latn-BA"/>
        </w:rPr>
        <w:t>у</w:t>
      </w:r>
      <w:r w:rsidR="00EC1E8B" w:rsidRPr="00295637">
        <w:rPr>
          <w:rFonts w:ascii="Times New Roman" w:hAnsi="Times New Roman"/>
          <w:szCs w:val="24"/>
          <w:lang w:val="bs-Latn-BA"/>
        </w:rPr>
        <w:t xml:space="preserve"> </w:t>
      </w:r>
      <w:r>
        <w:rPr>
          <w:rFonts w:ascii="Times New Roman" w:hAnsi="Times New Roman"/>
          <w:szCs w:val="24"/>
          <w:lang w:val="bs-Latn-BA"/>
        </w:rPr>
        <w:t>раду</w:t>
      </w:r>
      <w:r w:rsidR="00EC1E8B" w:rsidRPr="00295637">
        <w:rPr>
          <w:rFonts w:ascii="Times New Roman" w:hAnsi="Times New Roman"/>
          <w:szCs w:val="24"/>
          <w:lang w:val="bs-Latn-BA"/>
        </w:rPr>
        <w:t xml:space="preserve"> </w:t>
      </w:r>
      <w:r>
        <w:rPr>
          <w:rFonts w:ascii="Times New Roman" w:hAnsi="Times New Roman"/>
          <w:szCs w:val="24"/>
          <w:lang w:val="bs-Latn-BA"/>
        </w:rPr>
        <w:t>КОРС</w:t>
      </w:r>
      <w:r w:rsidR="00EC1E8B" w:rsidRPr="00295637">
        <w:rPr>
          <w:rFonts w:ascii="Times New Roman" w:hAnsi="Times New Roman"/>
          <w:szCs w:val="24"/>
          <w:lang w:val="bs-Latn-BA"/>
        </w:rPr>
        <w:t xml:space="preserve"> </w:t>
      </w:r>
      <w:r>
        <w:rPr>
          <w:rFonts w:ascii="Times New Roman" w:hAnsi="Times New Roman"/>
          <w:szCs w:val="24"/>
          <w:lang w:val="bs-Latn-BA"/>
        </w:rPr>
        <w:t>ПД</w:t>
      </w:r>
      <w:r w:rsidR="00EC1E8B" w:rsidRPr="00295637">
        <w:rPr>
          <w:rFonts w:ascii="Times New Roman" w:hAnsi="Times New Roman"/>
          <w:szCs w:val="24"/>
          <w:lang w:val="bs-Latn-BA"/>
        </w:rPr>
        <w:t xml:space="preserve"> </w:t>
      </w:r>
      <w:r>
        <w:rPr>
          <w:rFonts w:ascii="Times New Roman" w:hAnsi="Times New Roman"/>
          <w:szCs w:val="24"/>
          <w:lang w:val="bs-Latn-BA"/>
        </w:rPr>
        <w:t>ПС</w:t>
      </w:r>
      <w:r w:rsidR="00D319BF">
        <w:rPr>
          <w:rFonts w:ascii="Times New Roman" w:hAnsi="Times New Roman"/>
          <w:szCs w:val="24"/>
          <w:lang w:val="bs-Latn-BA"/>
        </w:rPr>
        <w:t xml:space="preserve"> </w:t>
      </w:r>
      <w:r>
        <w:rPr>
          <w:rFonts w:ascii="Times New Roman" w:hAnsi="Times New Roman"/>
          <w:szCs w:val="24"/>
          <w:lang w:val="bs-Latn-BA"/>
        </w:rPr>
        <w:t>БиХ</w:t>
      </w:r>
      <w:r w:rsidR="00EC1E8B" w:rsidRPr="00295637">
        <w:rPr>
          <w:rFonts w:ascii="Times New Roman" w:hAnsi="Times New Roman"/>
          <w:szCs w:val="24"/>
          <w:lang w:val="bs-Latn-BA"/>
        </w:rPr>
        <w:t xml:space="preserve"> </w:t>
      </w:r>
      <w:r>
        <w:rPr>
          <w:rFonts w:ascii="Times New Roman" w:hAnsi="Times New Roman"/>
          <w:szCs w:val="24"/>
          <w:lang w:val="bs-Latn-BA"/>
        </w:rPr>
        <w:t>учешћем</w:t>
      </w:r>
      <w:r w:rsidR="0069661D" w:rsidRPr="00295637">
        <w:rPr>
          <w:rFonts w:ascii="Times New Roman" w:hAnsi="Times New Roman"/>
          <w:szCs w:val="24"/>
          <w:lang w:val="bs-Latn-BA"/>
        </w:rPr>
        <w:t xml:space="preserve"> </w:t>
      </w:r>
      <w:r>
        <w:rPr>
          <w:rFonts w:ascii="Times New Roman" w:hAnsi="Times New Roman"/>
          <w:szCs w:val="24"/>
          <w:lang w:val="bs-Latn-BA"/>
        </w:rPr>
        <w:t>у</w:t>
      </w:r>
      <w:r w:rsidR="0069661D" w:rsidRPr="00295637">
        <w:rPr>
          <w:rFonts w:ascii="Times New Roman" w:hAnsi="Times New Roman"/>
          <w:szCs w:val="24"/>
          <w:lang w:val="bs-Latn-BA"/>
        </w:rPr>
        <w:t xml:space="preserve"> </w:t>
      </w:r>
      <w:r>
        <w:rPr>
          <w:rFonts w:ascii="Times New Roman" w:hAnsi="Times New Roman"/>
          <w:szCs w:val="24"/>
          <w:lang w:val="bs-Latn-BA"/>
        </w:rPr>
        <w:t>раду</w:t>
      </w:r>
      <w:r w:rsidR="0069661D" w:rsidRPr="00295637">
        <w:rPr>
          <w:rFonts w:ascii="Times New Roman" w:hAnsi="Times New Roman"/>
          <w:szCs w:val="24"/>
          <w:lang w:val="bs-Latn-BA"/>
        </w:rPr>
        <w:t xml:space="preserve"> </w:t>
      </w:r>
      <w:r>
        <w:rPr>
          <w:rFonts w:ascii="Times New Roman" w:hAnsi="Times New Roman"/>
          <w:szCs w:val="24"/>
          <w:lang w:val="bs-Latn-BA"/>
        </w:rPr>
        <w:t>редовних</w:t>
      </w:r>
      <w:r w:rsidR="0069661D" w:rsidRPr="00295637">
        <w:rPr>
          <w:rFonts w:ascii="Times New Roman" w:hAnsi="Times New Roman"/>
          <w:szCs w:val="24"/>
          <w:lang w:val="bs-Latn-BA"/>
        </w:rPr>
        <w:t xml:space="preserve"> </w:t>
      </w:r>
      <w:r>
        <w:rPr>
          <w:rFonts w:ascii="Times New Roman" w:hAnsi="Times New Roman"/>
          <w:szCs w:val="24"/>
          <w:lang w:val="bs-Latn-BA"/>
        </w:rPr>
        <w:t>сједница</w:t>
      </w:r>
      <w:r w:rsidR="0069661D" w:rsidRPr="00295637">
        <w:rPr>
          <w:rFonts w:ascii="Times New Roman" w:hAnsi="Times New Roman"/>
          <w:szCs w:val="24"/>
          <w:lang w:val="bs-Latn-BA"/>
        </w:rPr>
        <w:t xml:space="preserve"> </w:t>
      </w:r>
      <w:r>
        <w:rPr>
          <w:rFonts w:ascii="Times New Roman" w:hAnsi="Times New Roman"/>
          <w:szCs w:val="24"/>
          <w:lang w:val="bs-Latn-BA"/>
        </w:rPr>
        <w:t>и</w:t>
      </w:r>
      <w:r w:rsidR="00EC1E8B" w:rsidRPr="00295637">
        <w:rPr>
          <w:rFonts w:ascii="Times New Roman" w:hAnsi="Times New Roman"/>
          <w:szCs w:val="24"/>
          <w:lang w:val="bs-Latn-BA"/>
        </w:rPr>
        <w:t xml:space="preserve"> </w:t>
      </w:r>
      <w:r>
        <w:rPr>
          <w:rFonts w:ascii="Times New Roman" w:hAnsi="Times New Roman"/>
          <w:szCs w:val="24"/>
          <w:lang w:val="bs-Latn-BA"/>
        </w:rPr>
        <w:t>пружањем</w:t>
      </w:r>
      <w:r w:rsidR="00EC1E8B" w:rsidRPr="00295637">
        <w:rPr>
          <w:rFonts w:ascii="Times New Roman" w:hAnsi="Times New Roman"/>
          <w:szCs w:val="24"/>
          <w:lang w:val="bs-Latn-BA"/>
        </w:rPr>
        <w:t xml:space="preserve"> </w:t>
      </w:r>
      <w:r>
        <w:rPr>
          <w:rFonts w:ascii="Times New Roman" w:hAnsi="Times New Roman"/>
          <w:szCs w:val="24"/>
          <w:lang w:val="bs-Latn-BA"/>
        </w:rPr>
        <w:t>информација</w:t>
      </w:r>
      <w:r w:rsidR="00EC1E8B" w:rsidRPr="00295637">
        <w:rPr>
          <w:rFonts w:ascii="Times New Roman" w:hAnsi="Times New Roman"/>
          <w:szCs w:val="24"/>
          <w:lang w:val="bs-Latn-BA"/>
        </w:rPr>
        <w:t xml:space="preserve"> </w:t>
      </w:r>
      <w:r>
        <w:rPr>
          <w:rFonts w:ascii="Times New Roman" w:hAnsi="Times New Roman"/>
          <w:szCs w:val="24"/>
          <w:lang w:val="bs-Latn-BA"/>
        </w:rPr>
        <w:t>и</w:t>
      </w:r>
      <w:r w:rsidR="00EC1E8B" w:rsidRPr="00295637">
        <w:rPr>
          <w:rFonts w:ascii="Times New Roman" w:hAnsi="Times New Roman"/>
          <w:szCs w:val="24"/>
          <w:lang w:val="bs-Latn-BA"/>
        </w:rPr>
        <w:t xml:space="preserve"> </w:t>
      </w:r>
      <w:r>
        <w:rPr>
          <w:rFonts w:ascii="Times New Roman" w:hAnsi="Times New Roman"/>
          <w:szCs w:val="24"/>
          <w:lang w:val="bs-Latn-BA"/>
        </w:rPr>
        <w:t>материјала</w:t>
      </w:r>
      <w:r w:rsidR="00EC1E8B" w:rsidRPr="00295637">
        <w:rPr>
          <w:rFonts w:ascii="Times New Roman" w:hAnsi="Times New Roman"/>
          <w:szCs w:val="24"/>
          <w:lang w:val="bs-Latn-BA"/>
        </w:rPr>
        <w:t xml:space="preserve"> </w:t>
      </w:r>
      <w:r>
        <w:rPr>
          <w:rFonts w:ascii="Times New Roman" w:hAnsi="Times New Roman"/>
          <w:szCs w:val="24"/>
          <w:lang w:val="bs-Latn-BA"/>
        </w:rPr>
        <w:t>о</w:t>
      </w:r>
      <w:r w:rsidR="00EC1E8B" w:rsidRPr="00295637">
        <w:rPr>
          <w:rFonts w:ascii="Times New Roman" w:hAnsi="Times New Roman"/>
          <w:szCs w:val="24"/>
          <w:lang w:val="bs-Latn-BA"/>
        </w:rPr>
        <w:t xml:space="preserve"> </w:t>
      </w:r>
      <w:r>
        <w:rPr>
          <w:rFonts w:ascii="Times New Roman" w:hAnsi="Times New Roman"/>
          <w:szCs w:val="24"/>
          <w:lang w:val="bs-Latn-BA"/>
        </w:rPr>
        <w:t>различитим</w:t>
      </w:r>
      <w:r w:rsidR="00EC1E8B" w:rsidRPr="00295637">
        <w:rPr>
          <w:rFonts w:ascii="Times New Roman" w:hAnsi="Times New Roman"/>
          <w:szCs w:val="24"/>
          <w:lang w:val="bs-Latn-BA"/>
        </w:rPr>
        <w:t xml:space="preserve"> </w:t>
      </w:r>
      <w:r>
        <w:rPr>
          <w:rFonts w:ascii="Times New Roman" w:hAnsi="Times New Roman"/>
          <w:szCs w:val="24"/>
          <w:lang w:val="bs-Latn-BA"/>
        </w:rPr>
        <w:t>аспектима</w:t>
      </w:r>
      <w:r w:rsidR="00EC1E8B" w:rsidRPr="00295637">
        <w:rPr>
          <w:rFonts w:ascii="Times New Roman" w:hAnsi="Times New Roman"/>
          <w:szCs w:val="24"/>
          <w:lang w:val="bs-Latn-BA"/>
        </w:rPr>
        <w:t xml:space="preserve"> </w:t>
      </w:r>
      <w:r>
        <w:rPr>
          <w:rFonts w:ascii="Times New Roman" w:hAnsi="Times New Roman"/>
          <w:szCs w:val="24"/>
          <w:lang w:val="bs-Latn-BA"/>
        </w:rPr>
        <w:t>стања</w:t>
      </w:r>
      <w:r w:rsidR="00EC1E8B"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EC1E8B" w:rsidRPr="00295637">
        <w:rPr>
          <w:rFonts w:ascii="Times New Roman" w:hAnsi="Times New Roman"/>
          <w:szCs w:val="24"/>
          <w:lang w:val="bs-Latn-BA"/>
        </w:rPr>
        <w:t xml:space="preserve"> </w:t>
      </w:r>
      <w:r>
        <w:rPr>
          <w:rFonts w:ascii="Times New Roman" w:hAnsi="Times New Roman"/>
          <w:szCs w:val="24"/>
          <w:lang w:val="bs-Latn-BA"/>
        </w:rPr>
        <w:t>полова</w:t>
      </w:r>
      <w:r w:rsidR="00EC1E8B" w:rsidRPr="00295637">
        <w:rPr>
          <w:rFonts w:ascii="Times New Roman" w:hAnsi="Times New Roman"/>
          <w:szCs w:val="24"/>
          <w:lang w:val="bs-Latn-BA"/>
        </w:rPr>
        <w:t xml:space="preserve"> </w:t>
      </w:r>
      <w:r>
        <w:rPr>
          <w:rFonts w:ascii="Times New Roman" w:hAnsi="Times New Roman"/>
          <w:szCs w:val="24"/>
          <w:lang w:val="bs-Latn-BA"/>
        </w:rPr>
        <w:t>у</w:t>
      </w:r>
      <w:r w:rsidR="00EC1E8B" w:rsidRPr="00295637">
        <w:rPr>
          <w:rFonts w:ascii="Times New Roman" w:hAnsi="Times New Roman"/>
          <w:szCs w:val="24"/>
          <w:lang w:val="bs-Latn-BA"/>
        </w:rPr>
        <w:t xml:space="preserve"> </w:t>
      </w:r>
      <w:r>
        <w:rPr>
          <w:rFonts w:ascii="Times New Roman" w:hAnsi="Times New Roman"/>
          <w:szCs w:val="24"/>
          <w:lang w:val="bs-Latn-BA"/>
        </w:rPr>
        <w:t>БиХ</w:t>
      </w:r>
      <w:r w:rsidR="00EC1E8B" w:rsidRPr="00295637">
        <w:rPr>
          <w:rFonts w:ascii="Times New Roman" w:hAnsi="Times New Roman"/>
          <w:szCs w:val="24"/>
          <w:lang w:val="bs-Latn-BA"/>
        </w:rPr>
        <w:t xml:space="preserve">. </w:t>
      </w:r>
      <w:r>
        <w:rPr>
          <w:rFonts w:ascii="Times New Roman" w:hAnsi="Times New Roman"/>
          <w:szCs w:val="24"/>
          <w:lang w:val="bs-Latn-BA"/>
        </w:rPr>
        <w:t>Поред</w:t>
      </w:r>
      <w:r w:rsidR="00EC1E8B" w:rsidRPr="00295637">
        <w:rPr>
          <w:rFonts w:ascii="Times New Roman" w:hAnsi="Times New Roman"/>
          <w:szCs w:val="24"/>
          <w:lang w:val="bs-Latn-BA"/>
        </w:rPr>
        <w:t xml:space="preserve"> </w:t>
      </w:r>
      <w:r>
        <w:rPr>
          <w:rFonts w:ascii="Times New Roman" w:hAnsi="Times New Roman"/>
          <w:szCs w:val="24"/>
          <w:lang w:val="bs-Latn-BA"/>
        </w:rPr>
        <w:t>тога</w:t>
      </w:r>
      <w:r w:rsidR="00EC1E8B" w:rsidRPr="00295637">
        <w:rPr>
          <w:rFonts w:ascii="Times New Roman" w:hAnsi="Times New Roman"/>
          <w:szCs w:val="24"/>
          <w:lang w:val="bs-Latn-BA"/>
        </w:rPr>
        <w:t xml:space="preserve">, </w:t>
      </w:r>
      <w:r>
        <w:rPr>
          <w:rFonts w:ascii="Times New Roman" w:hAnsi="Times New Roman"/>
          <w:szCs w:val="24"/>
          <w:lang w:val="bs-Latn-BA"/>
        </w:rPr>
        <w:t>у</w:t>
      </w:r>
      <w:r w:rsidR="00EC1E8B" w:rsidRPr="00295637">
        <w:rPr>
          <w:rFonts w:ascii="Times New Roman" w:hAnsi="Times New Roman"/>
          <w:szCs w:val="24"/>
          <w:lang w:val="bs-Latn-BA"/>
        </w:rPr>
        <w:t xml:space="preserve"> </w:t>
      </w:r>
      <w:r>
        <w:rPr>
          <w:rFonts w:ascii="Times New Roman" w:hAnsi="Times New Roman"/>
          <w:szCs w:val="24"/>
          <w:lang w:val="bs-Latn-BA"/>
        </w:rPr>
        <w:t>сарадњи</w:t>
      </w:r>
      <w:r w:rsidR="007970A9">
        <w:rPr>
          <w:rFonts w:ascii="Times New Roman" w:hAnsi="Times New Roman"/>
          <w:szCs w:val="24"/>
          <w:lang w:val="bs-Latn-BA"/>
        </w:rPr>
        <w:t xml:space="preserve"> </w:t>
      </w:r>
      <w:r>
        <w:rPr>
          <w:rFonts w:ascii="Times New Roman" w:hAnsi="Times New Roman"/>
          <w:szCs w:val="24"/>
          <w:lang w:val="bs-Latn-BA"/>
        </w:rPr>
        <w:t>са</w:t>
      </w:r>
      <w:r w:rsidR="00EC1E8B" w:rsidRPr="00295637">
        <w:rPr>
          <w:rFonts w:ascii="Times New Roman" w:hAnsi="Times New Roman"/>
          <w:szCs w:val="24"/>
          <w:lang w:val="bs-Latn-BA"/>
        </w:rPr>
        <w:t xml:space="preserve"> </w:t>
      </w:r>
      <w:r>
        <w:rPr>
          <w:rFonts w:ascii="Times New Roman" w:hAnsi="Times New Roman"/>
          <w:szCs w:val="24"/>
          <w:lang w:val="bs-Latn-BA"/>
        </w:rPr>
        <w:t>КОРС</w:t>
      </w:r>
      <w:r w:rsidR="004C065F" w:rsidRPr="00295637">
        <w:rPr>
          <w:rFonts w:ascii="Times New Roman" w:hAnsi="Times New Roman"/>
          <w:szCs w:val="24"/>
          <w:lang w:val="bs-Latn-BA"/>
        </w:rPr>
        <w:t>-</w:t>
      </w:r>
      <w:r>
        <w:rPr>
          <w:rFonts w:ascii="Times New Roman" w:hAnsi="Times New Roman"/>
          <w:szCs w:val="24"/>
          <w:lang w:val="bs-Latn-BA"/>
        </w:rPr>
        <w:t>ом</w:t>
      </w:r>
      <w:r w:rsidR="004C065F" w:rsidRPr="00295637">
        <w:rPr>
          <w:rFonts w:ascii="Times New Roman" w:hAnsi="Times New Roman"/>
          <w:szCs w:val="24"/>
          <w:lang w:val="bs-Latn-BA"/>
        </w:rPr>
        <w:t>,</w:t>
      </w:r>
      <w:r w:rsidR="00EC1E8B" w:rsidRPr="00295637">
        <w:rPr>
          <w:rFonts w:ascii="Times New Roman" w:hAnsi="Times New Roman"/>
          <w:szCs w:val="24"/>
          <w:lang w:val="bs-Latn-BA"/>
        </w:rPr>
        <w:t xml:space="preserve"> </w:t>
      </w:r>
      <w:r>
        <w:rPr>
          <w:rFonts w:ascii="Times New Roman" w:hAnsi="Times New Roman"/>
          <w:szCs w:val="24"/>
          <w:lang w:val="hr-HR"/>
        </w:rPr>
        <w:t>АР</w:t>
      </w:r>
      <w:r w:rsidR="00195565">
        <w:rPr>
          <w:rFonts w:ascii="Times New Roman" w:hAnsi="Times New Roman"/>
          <w:szCs w:val="24"/>
          <w:lang w:val="sr-Cyrl-BA"/>
        </w:rPr>
        <w:t>П</w:t>
      </w:r>
      <w:r w:rsidR="007970A9">
        <w:rPr>
          <w:rFonts w:ascii="Times New Roman" w:hAnsi="Times New Roman"/>
          <w:szCs w:val="24"/>
          <w:lang w:val="hr-HR"/>
        </w:rPr>
        <w:t xml:space="preserve"> </w:t>
      </w:r>
      <w:r>
        <w:rPr>
          <w:rFonts w:ascii="Times New Roman" w:hAnsi="Times New Roman"/>
          <w:szCs w:val="24"/>
          <w:lang w:val="hr-HR"/>
        </w:rPr>
        <w:t>БиХ</w:t>
      </w:r>
      <w:r w:rsidR="007970A9">
        <w:rPr>
          <w:rFonts w:ascii="Times New Roman" w:hAnsi="Times New Roman"/>
          <w:szCs w:val="24"/>
          <w:lang w:val="hr-HR"/>
        </w:rPr>
        <w:t xml:space="preserve"> </w:t>
      </w:r>
      <w:r>
        <w:rPr>
          <w:rFonts w:ascii="Times New Roman" w:hAnsi="Times New Roman"/>
          <w:szCs w:val="24"/>
          <w:lang w:val="hr-HR"/>
        </w:rPr>
        <w:t>МЉПИ</w:t>
      </w:r>
      <w:r w:rsidR="007970A9">
        <w:rPr>
          <w:rFonts w:ascii="Times New Roman" w:hAnsi="Times New Roman"/>
          <w:szCs w:val="24"/>
          <w:lang w:val="hr-HR"/>
        </w:rPr>
        <w:t xml:space="preserve"> </w:t>
      </w:r>
      <w:r>
        <w:rPr>
          <w:rFonts w:ascii="Times New Roman" w:hAnsi="Times New Roman"/>
          <w:szCs w:val="24"/>
          <w:lang w:val="hr-HR"/>
        </w:rPr>
        <w:t>БиХ</w:t>
      </w:r>
      <w:r w:rsidR="00EC1E8B" w:rsidRPr="00295637">
        <w:rPr>
          <w:rFonts w:ascii="Times New Roman" w:hAnsi="Times New Roman"/>
          <w:szCs w:val="24"/>
          <w:lang w:val="hr-HR"/>
        </w:rPr>
        <w:t xml:space="preserve"> </w:t>
      </w:r>
      <w:r w:rsidR="00195565">
        <w:rPr>
          <w:rFonts w:ascii="Times New Roman" w:hAnsi="Times New Roman"/>
          <w:szCs w:val="24"/>
          <w:lang w:val="hr-HR"/>
        </w:rPr>
        <w:t>је</w:t>
      </w:r>
      <w:r w:rsidR="00195565" w:rsidRPr="00295637">
        <w:rPr>
          <w:rFonts w:ascii="Times New Roman" w:hAnsi="Times New Roman"/>
          <w:szCs w:val="24"/>
          <w:lang w:val="hr-HR"/>
        </w:rPr>
        <w:t xml:space="preserve"> </w:t>
      </w:r>
      <w:r>
        <w:rPr>
          <w:rFonts w:ascii="Times New Roman" w:hAnsi="Times New Roman"/>
          <w:szCs w:val="24"/>
          <w:lang w:val="hr-HR"/>
        </w:rPr>
        <w:t>организ</w:t>
      </w:r>
      <w:r w:rsidR="00195565">
        <w:rPr>
          <w:rFonts w:ascii="Times New Roman" w:hAnsi="Times New Roman"/>
          <w:szCs w:val="24"/>
          <w:lang w:val="sr-Cyrl-BA"/>
        </w:rPr>
        <w:t>овала</w:t>
      </w:r>
      <w:r w:rsidR="007970A9" w:rsidRPr="00295637">
        <w:rPr>
          <w:rFonts w:ascii="Times New Roman" w:hAnsi="Times New Roman"/>
          <w:szCs w:val="24"/>
          <w:lang w:val="hr-HR"/>
        </w:rPr>
        <w:t xml:space="preserve"> </w:t>
      </w:r>
      <w:r>
        <w:rPr>
          <w:rFonts w:ascii="Times New Roman" w:hAnsi="Times New Roman"/>
          <w:szCs w:val="24"/>
          <w:lang w:val="hr-HR"/>
        </w:rPr>
        <w:t>припремне</w:t>
      </w:r>
      <w:r w:rsidR="00EC1E8B" w:rsidRPr="00295637">
        <w:rPr>
          <w:rFonts w:ascii="Times New Roman" w:hAnsi="Times New Roman"/>
          <w:szCs w:val="24"/>
          <w:lang w:val="hr-HR"/>
        </w:rPr>
        <w:t xml:space="preserve"> </w:t>
      </w:r>
      <w:r>
        <w:rPr>
          <w:rFonts w:ascii="Times New Roman" w:hAnsi="Times New Roman"/>
          <w:szCs w:val="24"/>
          <w:lang w:val="hr-HR"/>
        </w:rPr>
        <w:t>активности</w:t>
      </w:r>
      <w:r w:rsidR="00EC1E8B" w:rsidRPr="00295637">
        <w:rPr>
          <w:rFonts w:ascii="Times New Roman" w:hAnsi="Times New Roman"/>
          <w:szCs w:val="24"/>
          <w:lang w:val="hr-HR"/>
        </w:rPr>
        <w:t xml:space="preserve"> </w:t>
      </w:r>
      <w:r>
        <w:rPr>
          <w:rFonts w:ascii="Times New Roman" w:hAnsi="Times New Roman"/>
          <w:szCs w:val="24"/>
          <w:lang w:val="hr-HR"/>
        </w:rPr>
        <w:t>и</w:t>
      </w:r>
      <w:r w:rsidR="00EC1E8B" w:rsidRPr="00295637">
        <w:rPr>
          <w:rFonts w:ascii="Times New Roman" w:hAnsi="Times New Roman"/>
          <w:szCs w:val="24"/>
          <w:lang w:val="hr-HR"/>
        </w:rPr>
        <w:t xml:space="preserve"> </w:t>
      </w:r>
      <w:r>
        <w:rPr>
          <w:rFonts w:ascii="Times New Roman" w:hAnsi="Times New Roman"/>
          <w:szCs w:val="24"/>
          <w:lang w:val="hr-HR"/>
        </w:rPr>
        <w:t>реализацију</w:t>
      </w:r>
      <w:r w:rsidR="00EC1E8B" w:rsidRPr="00295637">
        <w:rPr>
          <w:rFonts w:ascii="Times New Roman" w:hAnsi="Times New Roman"/>
          <w:szCs w:val="24"/>
          <w:lang w:val="hr-HR"/>
        </w:rPr>
        <w:t xml:space="preserve"> </w:t>
      </w:r>
      <w:r>
        <w:rPr>
          <w:rFonts w:ascii="Times New Roman" w:hAnsi="Times New Roman"/>
          <w:szCs w:val="24"/>
          <w:lang w:val="hr-HR"/>
        </w:rPr>
        <w:t>тематске</w:t>
      </w:r>
      <w:r w:rsidR="00EC1E8B" w:rsidRPr="00295637">
        <w:rPr>
          <w:rFonts w:ascii="Times New Roman" w:hAnsi="Times New Roman"/>
          <w:szCs w:val="24"/>
          <w:lang w:val="hr-HR"/>
        </w:rPr>
        <w:t xml:space="preserve"> </w:t>
      </w:r>
      <w:r>
        <w:rPr>
          <w:rFonts w:ascii="Times New Roman" w:hAnsi="Times New Roman"/>
          <w:szCs w:val="24"/>
          <w:lang w:val="hr-HR"/>
        </w:rPr>
        <w:t>сједнице</w:t>
      </w:r>
      <w:r w:rsidR="00EC1E8B" w:rsidRPr="00295637">
        <w:rPr>
          <w:rFonts w:ascii="Times New Roman" w:hAnsi="Times New Roman"/>
          <w:szCs w:val="24"/>
          <w:lang w:val="hr-HR"/>
        </w:rPr>
        <w:t xml:space="preserve"> </w:t>
      </w:r>
      <w:r>
        <w:rPr>
          <w:rFonts w:ascii="Times New Roman" w:hAnsi="Times New Roman"/>
          <w:szCs w:val="24"/>
          <w:lang w:val="hr-HR"/>
        </w:rPr>
        <w:t>КОРС</w:t>
      </w:r>
      <w:r w:rsidR="00EC1E8B" w:rsidRPr="00295637">
        <w:rPr>
          <w:rFonts w:ascii="Times New Roman" w:hAnsi="Times New Roman"/>
          <w:szCs w:val="24"/>
          <w:lang w:val="hr-HR"/>
        </w:rPr>
        <w:t>-</w:t>
      </w:r>
      <w:r>
        <w:rPr>
          <w:rFonts w:ascii="Times New Roman" w:hAnsi="Times New Roman"/>
          <w:szCs w:val="24"/>
          <w:lang w:val="hr-HR"/>
        </w:rPr>
        <w:t>а</w:t>
      </w:r>
      <w:r w:rsidR="00EC1E8B" w:rsidRPr="00295637">
        <w:rPr>
          <w:rFonts w:ascii="Times New Roman" w:hAnsi="Times New Roman"/>
          <w:szCs w:val="24"/>
          <w:lang w:val="hr-HR"/>
        </w:rPr>
        <w:t xml:space="preserve"> </w:t>
      </w:r>
      <w:r>
        <w:rPr>
          <w:rFonts w:ascii="Times New Roman" w:hAnsi="Times New Roman"/>
          <w:szCs w:val="24"/>
          <w:lang w:val="hr-HR"/>
        </w:rPr>
        <w:t>на</w:t>
      </w:r>
      <w:r w:rsidR="00EC1E8B" w:rsidRPr="00295637">
        <w:rPr>
          <w:rFonts w:ascii="Times New Roman" w:hAnsi="Times New Roman"/>
          <w:szCs w:val="24"/>
          <w:lang w:val="hr-HR"/>
        </w:rPr>
        <w:t xml:space="preserve"> </w:t>
      </w:r>
      <w:r>
        <w:rPr>
          <w:rFonts w:ascii="Times New Roman" w:hAnsi="Times New Roman"/>
          <w:szCs w:val="24"/>
          <w:lang w:val="hr-HR"/>
        </w:rPr>
        <w:t>тему</w:t>
      </w:r>
      <w:r w:rsidR="00EC1E8B" w:rsidRPr="00295637">
        <w:rPr>
          <w:rFonts w:ascii="Times New Roman" w:hAnsi="Times New Roman"/>
          <w:szCs w:val="24"/>
          <w:lang w:val="hr-HR"/>
        </w:rPr>
        <w:t xml:space="preserve"> „</w:t>
      </w:r>
      <w:r>
        <w:rPr>
          <w:rFonts w:ascii="Times New Roman" w:hAnsi="Times New Roman"/>
          <w:szCs w:val="24"/>
          <w:lang w:val="hr-HR"/>
        </w:rPr>
        <w:t>Друштвено</w:t>
      </w:r>
      <w:r w:rsidR="00EC1E8B" w:rsidRPr="00295637">
        <w:rPr>
          <w:rFonts w:ascii="Times New Roman" w:hAnsi="Times New Roman"/>
          <w:szCs w:val="24"/>
          <w:lang w:val="hr-HR"/>
        </w:rPr>
        <w:t xml:space="preserve"> </w:t>
      </w:r>
      <w:r>
        <w:rPr>
          <w:rFonts w:ascii="Times New Roman" w:hAnsi="Times New Roman"/>
          <w:szCs w:val="24"/>
          <w:lang w:val="hr-HR"/>
        </w:rPr>
        <w:t>економска</w:t>
      </w:r>
      <w:r w:rsidR="00EC1E8B" w:rsidRPr="00295637">
        <w:rPr>
          <w:rFonts w:ascii="Times New Roman" w:hAnsi="Times New Roman"/>
          <w:szCs w:val="24"/>
          <w:lang w:val="hr-HR"/>
        </w:rPr>
        <w:t xml:space="preserve"> </w:t>
      </w:r>
      <w:r>
        <w:rPr>
          <w:rFonts w:ascii="Times New Roman" w:hAnsi="Times New Roman"/>
          <w:szCs w:val="24"/>
          <w:lang w:val="hr-HR"/>
        </w:rPr>
        <w:t>питања</w:t>
      </w:r>
      <w:r w:rsidR="00EC1E8B" w:rsidRPr="00295637">
        <w:rPr>
          <w:rFonts w:ascii="Times New Roman" w:hAnsi="Times New Roman"/>
          <w:szCs w:val="24"/>
          <w:lang w:val="hr-HR"/>
        </w:rPr>
        <w:t xml:space="preserve"> </w:t>
      </w:r>
      <w:r>
        <w:rPr>
          <w:rFonts w:ascii="Times New Roman" w:hAnsi="Times New Roman"/>
          <w:szCs w:val="24"/>
          <w:lang w:val="hr-HR"/>
        </w:rPr>
        <w:t>оснаживања</w:t>
      </w:r>
      <w:r w:rsidR="00EC1E8B" w:rsidRPr="00295637">
        <w:rPr>
          <w:rFonts w:ascii="Times New Roman" w:hAnsi="Times New Roman"/>
          <w:szCs w:val="24"/>
          <w:lang w:val="hr-HR"/>
        </w:rPr>
        <w:t xml:space="preserve"> </w:t>
      </w:r>
      <w:r>
        <w:rPr>
          <w:rFonts w:ascii="Times New Roman" w:hAnsi="Times New Roman"/>
          <w:szCs w:val="24"/>
          <w:lang w:val="hr-HR"/>
        </w:rPr>
        <w:t>жена</w:t>
      </w:r>
      <w:r w:rsidR="00EC1E8B" w:rsidRPr="00295637">
        <w:rPr>
          <w:rFonts w:ascii="Times New Roman" w:hAnsi="Times New Roman"/>
          <w:szCs w:val="24"/>
          <w:lang w:val="hr-HR"/>
        </w:rPr>
        <w:t xml:space="preserve"> </w:t>
      </w:r>
      <w:r>
        <w:rPr>
          <w:rFonts w:ascii="Times New Roman" w:hAnsi="Times New Roman"/>
          <w:szCs w:val="24"/>
          <w:lang w:val="hr-HR"/>
        </w:rPr>
        <w:t>за</w:t>
      </w:r>
      <w:r w:rsidR="00EC1E8B" w:rsidRPr="00295637">
        <w:rPr>
          <w:rFonts w:ascii="Times New Roman" w:hAnsi="Times New Roman"/>
          <w:szCs w:val="24"/>
          <w:lang w:val="hr-HR"/>
        </w:rPr>
        <w:t xml:space="preserve"> </w:t>
      </w:r>
      <w:r>
        <w:rPr>
          <w:rFonts w:ascii="Times New Roman" w:hAnsi="Times New Roman"/>
          <w:szCs w:val="24"/>
          <w:lang w:val="hr-HR"/>
        </w:rPr>
        <w:t>учешће</w:t>
      </w:r>
      <w:r w:rsidR="00EC1E8B" w:rsidRPr="00295637">
        <w:rPr>
          <w:rFonts w:ascii="Times New Roman" w:hAnsi="Times New Roman"/>
          <w:szCs w:val="24"/>
          <w:lang w:val="hr-HR"/>
        </w:rPr>
        <w:t xml:space="preserve"> </w:t>
      </w:r>
      <w:r>
        <w:rPr>
          <w:rFonts w:ascii="Times New Roman" w:hAnsi="Times New Roman"/>
          <w:szCs w:val="24"/>
          <w:lang w:val="hr-HR"/>
        </w:rPr>
        <w:t>у</w:t>
      </w:r>
      <w:r w:rsidR="00EC1E8B" w:rsidRPr="00295637">
        <w:rPr>
          <w:rFonts w:ascii="Times New Roman" w:hAnsi="Times New Roman"/>
          <w:szCs w:val="24"/>
          <w:lang w:val="hr-HR"/>
        </w:rPr>
        <w:t xml:space="preserve"> </w:t>
      </w:r>
      <w:r>
        <w:rPr>
          <w:rFonts w:ascii="Times New Roman" w:hAnsi="Times New Roman"/>
          <w:szCs w:val="24"/>
          <w:lang w:val="hr-HR"/>
        </w:rPr>
        <w:t>доношењу</w:t>
      </w:r>
      <w:r w:rsidR="00EC1E8B" w:rsidRPr="00295637">
        <w:rPr>
          <w:rFonts w:ascii="Times New Roman" w:hAnsi="Times New Roman"/>
          <w:szCs w:val="24"/>
          <w:lang w:val="hr-HR"/>
        </w:rPr>
        <w:t xml:space="preserve"> </w:t>
      </w:r>
      <w:r>
        <w:rPr>
          <w:rFonts w:ascii="Times New Roman" w:hAnsi="Times New Roman"/>
          <w:szCs w:val="24"/>
          <w:lang w:val="hr-HR"/>
        </w:rPr>
        <w:t>одлука</w:t>
      </w:r>
      <w:r w:rsidR="00EC1E8B" w:rsidRPr="00295637">
        <w:rPr>
          <w:rFonts w:ascii="Times New Roman" w:hAnsi="Times New Roman"/>
          <w:szCs w:val="24"/>
          <w:lang w:val="hr-HR"/>
        </w:rPr>
        <w:t xml:space="preserve"> </w:t>
      </w:r>
      <w:r>
        <w:rPr>
          <w:rFonts w:ascii="Times New Roman" w:hAnsi="Times New Roman"/>
          <w:szCs w:val="24"/>
          <w:lang w:val="hr-HR"/>
        </w:rPr>
        <w:t>у</w:t>
      </w:r>
      <w:r w:rsidR="00EC1E8B" w:rsidRPr="00295637">
        <w:rPr>
          <w:rFonts w:ascii="Times New Roman" w:hAnsi="Times New Roman"/>
          <w:szCs w:val="24"/>
          <w:lang w:val="hr-HR"/>
        </w:rPr>
        <w:t xml:space="preserve"> </w:t>
      </w:r>
      <w:r>
        <w:rPr>
          <w:rFonts w:ascii="Times New Roman" w:hAnsi="Times New Roman"/>
          <w:szCs w:val="24"/>
          <w:lang w:val="hr-HR"/>
        </w:rPr>
        <w:t>Босни</w:t>
      </w:r>
      <w:r w:rsidR="00EC1E8B" w:rsidRPr="00295637">
        <w:rPr>
          <w:rFonts w:ascii="Times New Roman" w:hAnsi="Times New Roman"/>
          <w:szCs w:val="24"/>
          <w:lang w:val="hr-HR"/>
        </w:rPr>
        <w:t xml:space="preserve"> </w:t>
      </w:r>
      <w:r>
        <w:rPr>
          <w:rFonts w:ascii="Times New Roman" w:hAnsi="Times New Roman"/>
          <w:szCs w:val="24"/>
          <w:lang w:val="hr-HR"/>
        </w:rPr>
        <w:t>и</w:t>
      </w:r>
      <w:r w:rsidR="00EC1E8B" w:rsidRPr="00295637">
        <w:rPr>
          <w:rFonts w:ascii="Times New Roman" w:hAnsi="Times New Roman"/>
          <w:szCs w:val="24"/>
          <w:lang w:val="hr-HR"/>
        </w:rPr>
        <w:t xml:space="preserve"> </w:t>
      </w:r>
      <w:r>
        <w:rPr>
          <w:rFonts w:ascii="Times New Roman" w:hAnsi="Times New Roman"/>
          <w:szCs w:val="24"/>
          <w:lang w:val="hr-HR"/>
        </w:rPr>
        <w:t>Херцеговини</w:t>
      </w:r>
      <w:r w:rsidR="00EC1E8B" w:rsidRPr="00295637">
        <w:rPr>
          <w:rFonts w:ascii="Times New Roman" w:hAnsi="Times New Roman"/>
          <w:szCs w:val="24"/>
          <w:lang w:val="hr-HR"/>
        </w:rPr>
        <w:t xml:space="preserve">“ </w:t>
      </w:r>
      <w:r>
        <w:rPr>
          <w:rFonts w:ascii="Times New Roman" w:hAnsi="Times New Roman"/>
          <w:szCs w:val="24"/>
          <w:lang w:val="hr-HR"/>
        </w:rPr>
        <w:t>поводом</w:t>
      </w:r>
      <w:r w:rsidR="00EC1E8B" w:rsidRPr="00295637">
        <w:rPr>
          <w:rFonts w:ascii="Times New Roman" w:hAnsi="Times New Roman"/>
          <w:szCs w:val="24"/>
          <w:lang w:val="hr-HR"/>
        </w:rPr>
        <w:t xml:space="preserve"> </w:t>
      </w:r>
      <w:r>
        <w:rPr>
          <w:rFonts w:ascii="Times New Roman" w:hAnsi="Times New Roman"/>
          <w:szCs w:val="24"/>
          <w:lang w:val="hr-HR"/>
        </w:rPr>
        <w:t>Међународног</w:t>
      </w:r>
      <w:r w:rsidR="00EC1E8B" w:rsidRPr="00295637">
        <w:rPr>
          <w:rFonts w:ascii="Times New Roman" w:hAnsi="Times New Roman"/>
          <w:szCs w:val="24"/>
          <w:lang w:val="hr-HR"/>
        </w:rPr>
        <w:t xml:space="preserve"> </w:t>
      </w:r>
      <w:r>
        <w:rPr>
          <w:rFonts w:ascii="Times New Roman" w:hAnsi="Times New Roman"/>
          <w:szCs w:val="24"/>
          <w:lang w:val="hr-HR"/>
        </w:rPr>
        <w:t>дана</w:t>
      </w:r>
      <w:r w:rsidR="00EC1E8B" w:rsidRPr="00295637">
        <w:rPr>
          <w:rFonts w:ascii="Times New Roman" w:hAnsi="Times New Roman"/>
          <w:szCs w:val="24"/>
          <w:lang w:val="hr-HR"/>
        </w:rPr>
        <w:t xml:space="preserve"> </w:t>
      </w:r>
      <w:r>
        <w:rPr>
          <w:rFonts w:ascii="Times New Roman" w:hAnsi="Times New Roman"/>
          <w:szCs w:val="24"/>
          <w:lang w:val="hr-HR"/>
        </w:rPr>
        <w:t>жена</w:t>
      </w:r>
      <w:r w:rsidR="00620126" w:rsidRPr="00295637">
        <w:rPr>
          <w:rFonts w:ascii="Times New Roman" w:hAnsi="Times New Roman"/>
          <w:szCs w:val="24"/>
          <w:lang w:val="hr-HR"/>
        </w:rPr>
        <w:t xml:space="preserve">. </w:t>
      </w:r>
      <w:r>
        <w:rPr>
          <w:rFonts w:ascii="Times New Roman" w:hAnsi="Times New Roman"/>
          <w:shd w:val="clear" w:color="auto" w:fill="FFFFFF"/>
        </w:rPr>
        <w:t>У</w:t>
      </w:r>
      <w:r w:rsidR="00620126" w:rsidRPr="00295637">
        <w:rPr>
          <w:rFonts w:ascii="Times New Roman" w:hAnsi="Times New Roman"/>
          <w:shd w:val="clear" w:color="auto" w:fill="FFFFFF"/>
        </w:rPr>
        <w:t xml:space="preserve"> </w:t>
      </w:r>
      <w:r>
        <w:rPr>
          <w:rFonts w:ascii="Times New Roman" w:hAnsi="Times New Roman"/>
          <w:shd w:val="clear" w:color="auto" w:fill="FFFFFF"/>
        </w:rPr>
        <w:t>оквиру</w:t>
      </w:r>
      <w:r w:rsidR="00620126" w:rsidRPr="00295637">
        <w:rPr>
          <w:rFonts w:ascii="Times New Roman" w:hAnsi="Times New Roman"/>
          <w:shd w:val="clear" w:color="auto" w:fill="FFFFFF"/>
        </w:rPr>
        <w:t xml:space="preserve"> </w:t>
      </w:r>
      <w:r>
        <w:rPr>
          <w:rFonts w:ascii="Times New Roman" w:hAnsi="Times New Roman"/>
          <w:shd w:val="clear" w:color="auto" w:fill="FFFFFF"/>
        </w:rPr>
        <w:t>два</w:t>
      </w:r>
      <w:r w:rsidR="00620126" w:rsidRPr="00295637">
        <w:rPr>
          <w:rFonts w:ascii="Times New Roman" w:hAnsi="Times New Roman"/>
          <w:shd w:val="clear" w:color="auto" w:fill="FFFFFF"/>
        </w:rPr>
        <w:t xml:space="preserve"> </w:t>
      </w:r>
      <w:r>
        <w:rPr>
          <w:rFonts w:ascii="Times New Roman" w:hAnsi="Times New Roman"/>
          <w:shd w:val="clear" w:color="auto" w:fill="FFFFFF"/>
        </w:rPr>
        <w:t>тематска</w:t>
      </w:r>
      <w:r w:rsidR="00620126" w:rsidRPr="00295637">
        <w:rPr>
          <w:rFonts w:ascii="Times New Roman" w:hAnsi="Times New Roman"/>
          <w:shd w:val="clear" w:color="auto" w:fill="FFFFFF"/>
        </w:rPr>
        <w:t xml:space="preserve"> </w:t>
      </w:r>
      <w:r>
        <w:rPr>
          <w:rFonts w:ascii="Times New Roman" w:hAnsi="Times New Roman"/>
          <w:shd w:val="clear" w:color="auto" w:fill="FFFFFF"/>
        </w:rPr>
        <w:t>панела</w:t>
      </w:r>
      <w:r w:rsidR="00620126" w:rsidRPr="00295637">
        <w:rPr>
          <w:rFonts w:ascii="Times New Roman" w:hAnsi="Times New Roman"/>
          <w:shd w:val="clear" w:color="auto" w:fill="FFFFFF"/>
        </w:rPr>
        <w:t xml:space="preserve"> “</w:t>
      </w:r>
      <w:r>
        <w:rPr>
          <w:rFonts w:ascii="Times New Roman" w:hAnsi="Times New Roman"/>
          <w:shd w:val="clear" w:color="auto" w:fill="FFFFFF"/>
        </w:rPr>
        <w:t>Економија</w:t>
      </w:r>
      <w:r w:rsidR="00620126" w:rsidRPr="00295637">
        <w:rPr>
          <w:rFonts w:ascii="Times New Roman" w:hAnsi="Times New Roman"/>
          <w:shd w:val="clear" w:color="auto" w:fill="FFFFFF"/>
        </w:rPr>
        <w:t xml:space="preserve"> </w:t>
      </w:r>
      <w:r>
        <w:rPr>
          <w:rFonts w:ascii="Times New Roman" w:hAnsi="Times New Roman"/>
          <w:shd w:val="clear" w:color="auto" w:fill="FFFFFF"/>
        </w:rPr>
        <w:t>бриге</w:t>
      </w:r>
      <w:r w:rsidR="00620126" w:rsidRPr="00295637">
        <w:rPr>
          <w:rFonts w:ascii="Times New Roman" w:hAnsi="Times New Roman"/>
          <w:shd w:val="clear" w:color="auto" w:fill="FFFFFF"/>
        </w:rPr>
        <w:t xml:space="preserve"> </w:t>
      </w:r>
      <w:r>
        <w:rPr>
          <w:rFonts w:ascii="Times New Roman" w:hAnsi="Times New Roman"/>
          <w:shd w:val="clear" w:color="auto" w:fill="FFFFFF"/>
        </w:rPr>
        <w:t>и</w:t>
      </w:r>
      <w:r w:rsidR="00620126" w:rsidRPr="00295637">
        <w:rPr>
          <w:rFonts w:ascii="Times New Roman" w:hAnsi="Times New Roman"/>
          <w:shd w:val="clear" w:color="auto" w:fill="FFFFFF"/>
        </w:rPr>
        <w:t xml:space="preserve"> </w:t>
      </w:r>
      <w:r>
        <w:rPr>
          <w:rFonts w:ascii="Times New Roman" w:hAnsi="Times New Roman"/>
          <w:shd w:val="clear" w:color="auto" w:fill="FFFFFF"/>
        </w:rPr>
        <w:t>економско</w:t>
      </w:r>
      <w:r w:rsidR="00620126" w:rsidRPr="00295637">
        <w:rPr>
          <w:rFonts w:ascii="Times New Roman" w:hAnsi="Times New Roman"/>
          <w:shd w:val="clear" w:color="auto" w:fill="FFFFFF"/>
        </w:rPr>
        <w:t xml:space="preserve"> </w:t>
      </w:r>
      <w:r>
        <w:rPr>
          <w:rFonts w:ascii="Times New Roman" w:hAnsi="Times New Roman"/>
          <w:shd w:val="clear" w:color="auto" w:fill="FFFFFF"/>
        </w:rPr>
        <w:t>оснаживање</w:t>
      </w:r>
      <w:r w:rsidR="00620126" w:rsidRPr="00295637">
        <w:rPr>
          <w:rFonts w:ascii="Times New Roman" w:hAnsi="Times New Roman"/>
          <w:shd w:val="clear" w:color="auto" w:fill="FFFFFF"/>
        </w:rPr>
        <w:t xml:space="preserve"> </w:t>
      </w:r>
      <w:r>
        <w:rPr>
          <w:rFonts w:ascii="Times New Roman" w:hAnsi="Times New Roman"/>
          <w:shd w:val="clear" w:color="auto" w:fill="FFFFFF"/>
        </w:rPr>
        <w:t>жена</w:t>
      </w:r>
      <w:r w:rsidR="00620126" w:rsidRPr="00295637">
        <w:rPr>
          <w:rFonts w:ascii="Times New Roman" w:hAnsi="Times New Roman"/>
          <w:shd w:val="clear" w:color="auto" w:fill="FFFFFF"/>
        </w:rPr>
        <w:t xml:space="preserve"> </w:t>
      </w:r>
      <w:r>
        <w:rPr>
          <w:rFonts w:ascii="Times New Roman" w:hAnsi="Times New Roman"/>
          <w:shd w:val="clear" w:color="auto" w:fill="FFFFFF"/>
        </w:rPr>
        <w:t>као</w:t>
      </w:r>
      <w:r w:rsidR="00620126" w:rsidRPr="00295637">
        <w:rPr>
          <w:rFonts w:ascii="Times New Roman" w:hAnsi="Times New Roman"/>
          <w:shd w:val="clear" w:color="auto" w:fill="FFFFFF"/>
        </w:rPr>
        <w:t xml:space="preserve"> </w:t>
      </w:r>
      <w:r>
        <w:rPr>
          <w:rFonts w:ascii="Times New Roman" w:hAnsi="Times New Roman"/>
          <w:shd w:val="clear" w:color="auto" w:fill="FFFFFF"/>
        </w:rPr>
        <w:t>претпоставка</w:t>
      </w:r>
      <w:r w:rsidR="00620126" w:rsidRPr="00295637">
        <w:rPr>
          <w:rFonts w:ascii="Times New Roman" w:hAnsi="Times New Roman"/>
          <w:shd w:val="clear" w:color="auto" w:fill="FFFFFF"/>
        </w:rPr>
        <w:t xml:space="preserve"> </w:t>
      </w:r>
      <w:r>
        <w:rPr>
          <w:rFonts w:ascii="Times New Roman" w:hAnsi="Times New Roman"/>
          <w:shd w:val="clear" w:color="auto" w:fill="FFFFFF"/>
        </w:rPr>
        <w:t>развоја</w:t>
      </w:r>
      <w:r w:rsidR="00620126" w:rsidRPr="00295637">
        <w:rPr>
          <w:rFonts w:ascii="Times New Roman" w:hAnsi="Times New Roman"/>
          <w:shd w:val="clear" w:color="auto" w:fill="FFFFFF"/>
        </w:rPr>
        <w:t xml:space="preserve">“ </w:t>
      </w:r>
      <w:r>
        <w:rPr>
          <w:rFonts w:ascii="Times New Roman" w:hAnsi="Times New Roman"/>
          <w:shd w:val="clear" w:color="auto" w:fill="FFFFFF"/>
        </w:rPr>
        <w:t>и</w:t>
      </w:r>
      <w:r w:rsidR="00620126" w:rsidRPr="00295637">
        <w:rPr>
          <w:rFonts w:ascii="Times New Roman" w:hAnsi="Times New Roman"/>
          <w:shd w:val="clear" w:color="auto" w:fill="FFFFFF"/>
        </w:rPr>
        <w:t xml:space="preserve"> “</w:t>
      </w:r>
      <w:r>
        <w:rPr>
          <w:rFonts w:ascii="Times New Roman" w:hAnsi="Times New Roman"/>
          <w:shd w:val="clear" w:color="auto" w:fill="FFFFFF"/>
        </w:rPr>
        <w:t>У</w:t>
      </w:r>
      <w:r w:rsidR="00620126" w:rsidRPr="00295637">
        <w:rPr>
          <w:rFonts w:ascii="Times New Roman" w:hAnsi="Times New Roman"/>
          <w:shd w:val="clear" w:color="auto" w:fill="FFFFFF"/>
        </w:rPr>
        <w:t xml:space="preserve"> </w:t>
      </w:r>
      <w:r>
        <w:rPr>
          <w:rFonts w:ascii="Times New Roman" w:hAnsi="Times New Roman"/>
          <w:shd w:val="clear" w:color="auto" w:fill="FFFFFF"/>
        </w:rPr>
        <w:t>сусрет</w:t>
      </w:r>
      <w:r w:rsidR="00620126" w:rsidRPr="00295637">
        <w:rPr>
          <w:rFonts w:ascii="Times New Roman" w:hAnsi="Times New Roman"/>
          <w:shd w:val="clear" w:color="auto" w:fill="FFFFFF"/>
        </w:rPr>
        <w:t xml:space="preserve"> </w:t>
      </w:r>
      <w:r>
        <w:rPr>
          <w:rFonts w:ascii="Times New Roman" w:hAnsi="Times New Roman"/>
          <w:shd w:val="clear" w:color="auto" w:fill="FFFFFF"/>
        </w:rPr>
        <w:t>локалним</w:t>
      </w:r>
      <w:r w:rsidR="00620126" w:rsidRPr="00295637">
        <w:rPr>
          <w:rFonts w:ascii="Times New Roman" w:hAnsi="Times New Roman"/>
          <w:shd w:val="clear" w:color="auto" w:fill="FFFFFF"/>
        </w:rPr>
        <w:t xml:space="preserve"> </w:t>
      </w:r>
      <w:r>
        <w:rPr>
          <w:rFonts w:ascii="Times New Roman" w:hAnsi="Times New Roman"/>
          <w:shd w:val="clear" w:color="auto" w:fill="FFFFFF"/>
        </w:rPr>
        <w:t>изборима</w:t>
      </w:r>
      <w:r w:rsidR="00620126" w:rsidRPr="00295637">
        <w:rPr>
          <w:rFonts w:ascii="Times New Roman" w:hAnsi="Times New Roman"/>
          <w:shd w:val="clear" w:color="auto" w:fill="FFFFFF"/>
        </w:rPr>
        <w:t xml:space="preserve"> 2024. – </w:t>
      </w:r>
      <w:r>
        <w:rPr>
          <w:rFonts w:ascii="Times New Roman" w:hAnsi="Times New Roman"/>
          <w:shd w:val="clear" w:color="auto" w:fill="FFFFFF"/>
        </w:rPr>
        <w:t>Како</w:t>
      </w:r>
      <w:r w:rsidR="00620126" w:rsidRPr="00295637">
        <w:rPr>
          <w:rFonts w:ascii="Times New Roman" w:hAnsi="Times New Roman"/>
          <w:shd w:val="clear" w:color="auto" w:fill="FFFFFF"/>
        </w:rPr>
        <w:t xml:space="preserve"> </w:t>
      </w:r>
      <w:r>
        <w:rPr>
          <w:rFonts w:ascii="Times New Roman" w:hAnsi="Times New Roman"/>
          <w:shd w:val="clear" w:color="auto" w:fill="FFFFFF"/>
        </w:rPr>
        <w:t>о</w:t>
      </w:r>
      <w:r w:rsidR="00195565">
        <w:rPr>
          <w:rFonts w:ascii="Times New Roman" w:hAnsi="Times New Roman"/>
          <w:shd w:val="clear" w:color="auto" w:fill="FFFFFF"/>
          <w:lang w:val="sr-Cyrl-BA"/>
        </w:rPr>
        <w:t>безбиједити</w:t>
      </w:r>
      <w:r w:rsidR="00620126" w:rsidRPr="00295637">
        <w:rPr>
          <w:rFonts w:ascii="Times New Roman" w:hAnsi="Times New Roman"/>
          <w:shd w:val="clear" w:color="auto" w:fill="FFFFFF"/>
        </w:rPr>
        <w:t xml:space="preserve"> </w:t>
      </w:r>
      <w:r>
        <w:rPr>
          <w:rFonts w:ascii="Times New Roman" w:hAnsi="Times New Roman"/>
          <w:shd w:val="clear" w:color="auto" w:fill="FFFFFF"/>
        </w:rPr>
        <w:t>више</w:t>
      </w:r>
      <w:r w:rsidR="00620126" w:rsidRPr="00295637">
        <w:rPr>
          <w:rFonts w:ascii="Times New Roman" w:hAnsi="Times New Roman"/>
          <w:shd w:val="clear" w:color="auto" w:fill="FFFFFF"/>
        </w:rPr>
        <w:t xml:space="preserve"> </w:t>
      </w:r>
      <w:r>
        <w:rPr>
          <w:rFonts w:ascii="Times New Roman" w:hAnsi="Times New Roman"/>
          <w:shd w:val="clear" w:color="auto" w:fill="FFFFFF"/>
        </w:rPr>
        <w:t>жена</w:t>
      </w:r>
      <w:r w:rsidR="00620126" w:rsidRPr="00295637">
        <w:rPr>
          <w:rFonts w:ascii="Times New Roman" w:hAnsi="Times New Roman"/>
          <w:shd w:val="clear" w:color="auto" w:fill="FFFFFF"/>
        </w:rPr>
        <w:t xml:space="preserve"> </w:t>
      </w:r>
      <w:r>
        <w:rPr>
          <w:rFonts w:ascii="Times New Roman" w:hAnsi="Times New Roman"/>
          <w:shd w:val="clear" w:color="auto" w:fill="FFFFFF"/>
        </w:rPr>
        <w:t>у</w:t>
      </w:r>
      <w:r w:rsidR="00620126" w:rsidRPr="00295637">
        <w:rPr>
          <w:rFonts w:ascii="Times New Roman" w:hAnsi="Times New Roman"/>
          <w:shd w:val="clear" w:color="auto" w:fill="FFFFFF"/>
        </w:rPr>
        <w:t xml:space="preserve"> </w:t>
      </w:r>
      <w:r>
        <w:rPr>
          <w:rFonts w:ascii="Times New Roman" w:hAnsi="Times New Roman"/>
          <w:shd w:val="clear" w:color="auto" w:fill="FFFFFF"/>
        </w:rPr>
        <w:t>доношењу</w:t>
      </w:r>
      <w:r w:rsidR="00620126" w:rsidRPr="00295637">
        <w:rPr>
          <w:rFonts w:ascii="Times New Roman" w:hAnsi="Times New Roman"/>
          <w:shd w:val="clear" w:color="auto" w:fill="FFFFFF"/>
        </w:rPr>
        <w:t xml:space="preserve"> </w:t>
      </w:r>
      <w:r>
        <w:rPr>
          <w:rFonts w:ascii="Times New Roman" w:hAnsi="Times New Roman"/>
          <w:shd w:val="clear" w:color="auto" w:fill="FFFFFF"/>
        </w:rPr>
        <w:t>одлука</w:t>
      </w:r>
      <w:r w:rsidR="00620126" w:rsidRPr="00295637">
        <w:rPr>
          <w:rFonts w:ascii="Times New Roman" w:hAnsi="Times New Roman"/>
          <w:shd w:val="clear" w:color="auto" w:fill="FFFFFF"/>
        </w:rPr>
        <w:t xml:space="preserve">?“ </w:t>
      </w:r>
      <w:r>
        <w:rPr>
          <w:rFonts w:ascii="Times New Roman" w:hAnsi="Times New Roman"/>
          <w:shd w:val="clear" w:color="auto" w:fill="FFFFFF"/>
        </w:rPr>
        <w:t>говориле</w:t>
      </w:r>
      <w:r w:rsidR="00620126" w:rsidRPr="00295637">
        <w:rPr>
          <w:rFonts w:ascii="Times New Roman" w:hAnsi="Times New Roman"/>
          <w:shd w:val="clear" w:color="auto" w:fill="FFFFFF"/>
        </w:rPr>
        <w:t xml:space="preserve"> </w:t>
      </w:r>
      <w:r w:rsidR="00195565">
        <w:rPr>
          <w:rFonts w:ascii="Times New Roman" w:hAnsi="Times New Roman"/>
          <w:shd w:val="clear" w:color="auto" w:fill="FFFFFF"/>
        </w:rPr>
        <w:t xml:space="preserve">су </w:t>
      </w:r>
      <w:r>
        <w:rPr>
          <w:rFonts w:ascii="Times New Roman" w:hAnsi="Times New Roman"/>
          <w:shd w:val="clear" w:color="auto" w:fill="FFFFFF"/>
        </w:rPr>
        <w:t>начелнице</w:t>
      </w:r>
      <w:r w:rsidR="00620126" w:rsidRPr="00295637">
        <w:rPr>
          <w:rFonts w:ascii="Times New Roman" w:hAnsi="Times New Roman"/>
          <w:shd w:val="clear" w:color="auto" w:fill="FFFFFF"/>
        </w:rPr>
        <w:t xml:space="preserve"> </w:t>
      </w:r>
      <w:r>
        <w:rPr>
          <w:rFonts w:ascii="Times New Roman" w:hAnsi="Times New Roman"/>
          <w:shd w:val="clear" w:color="auto" w:fill="FFFFFF"/>
        </w:rPr>
        <w:t>оп</w:t>
      </w:r>
      <w:r w:rsidR="00195565">
        <w:rPr>
          <w:rFonts w:ascii="Times New Roman" w:hAnsi="Times New Roman"/>
          <w:shd w:val="clear" w:color="auto" w:fill="FFFFFF"/>
          <w:lang w:val="sr-Cyrl-BA"/>
        </w:rPr>
        <w:t>шт</w:t>
      </w:r>
      <w:r>
        <w:rPr>
          <w:rFonts w:ascii="Times New Roman" w:hAnsi="Times New Roman"/>
          <w:shd w:val="clear" w:color="auto" w:fill="FFFFFF"/>
        </w:rPr>
        <w:t>ина</w:t>
      </w:r>
      <w:r w:rsidR="00620126" w:rsidRPr="00295637">
        <w:rPr>
          <w:rFonts w:ascii="Times New Roman" w:hAnsi="Times New Roman"/>
          <w:shd w:val="clear" w:color="auto" w:fill="FFFFFF"/>
        </w:rPr>
        <w:t xml:space="preserve">, </w:t>
      </w:r>
      <w:r>
        <w:rPr>
          <w:rFonts w:ascii="Times New Roman" w:hAnsi="Times New Roman"/>
          <w:shd w:val="clear" w:color="auto" w:fill="FFFFFF"/>
        </w:rPr>
        <w:t>предсједавајуће</w:t>
      </w:r>
      <w:r w:rsidR="00620126" w:rsidRPr="00295637">
        <w:rPr>
          <w:rFonts w:ascii="Times New Roman" w:hAnsi="Times New Roman"/>
          <w:shd w:val="clear" w:color="auto" w:fill="FFFFFF"/>
        </w:rPr>
        <w:t xml:space="preserve"> </w:t>
      </w:r>
      <w:r>
        <w:rPr>
          <w:rFonts w:ascii="Times New Roman" w:hAnsi="Times New Roman"/>
          <w:shd w:val="clear" w:color="auto" w:fill="FFFFFF"/>
        </w:rPr>
        <w:t>оп</w:t>
      </w:r>
      <w:r w:rsidR="00195565">
        <w:rPr>
          <w:rFonts w:ascii="Times New Roman" w:hAnsi="Times New Roman"/>
          <w:shd w:val="clear" w:color="auto" w:fill="FFFFFF"/>
          <w:lang w:val="sr-Cyrl-BA"/>
        </w:rPr>
        <w:t>шт</w:t>
      </w:r>
      <w:r>
        <w:rPr>
          <w:rFonts w:ascii="Times New Roman" w:hAnsi="Times New Roman"/>
          <w:shd w:val="clear" w:color="auto" w:fill="FFFFFF"/>
        </w:rPr>
        <w:t>инских</w:t>
      </w:r>
      <w:r w:rsidR="00620126" w:rsidRPr="00295637">
        <w:rPr>
          <w:rFonts w:ascii="Times New Roman" w:hAnsi="Times New Roman"/>
          <w:shd w:val="clear" w:color="auto" w:fill="FFFFFF"/>
        </w:rPr>
        <w:t xml:space="preserve"> </w:t>
      </w:r>
      <w:r>
        <w:rPr>
          <w:rFonts w:ascii="Times New Roman" w:hAnsi="Times New Roman"/>
          <w:shd w:val="clear" w:color="auto" w:fill="FFFFFF"/>
        </w:rPr>
        <w:t>вијећа</w:t>
      </w:r>
      <w:r w:rsidR="00620126" w:rsidRPr="00295637">
        <w:rPr>
          <w:rFonts w:ascii="Times New Roman" w:hAnsi="Times New Roman"/>
          <w:shd w:val="clear" w:color="auto" w:fill="FFFFFF"/>
        </w:rPr>
        <w:t xml:space="preserve">, </w:t>
      </w:r>
      <w:r>
        <w:rPr>
          <w:rFonts w:ascii="Times New Roman" w:hAnsi="Times New Roman"/>
          <w:shd w:val="clear" w:color="auto" w:fill="FFFFFF"/>
        </w:rPr>
        <w:t>представнице</w:t>
      </w:r>
      <w:r w:rsidR="00620126" w:rsidRPr="00295637">
        <w:rPr>
          <w:rFonts w:ascii="Times New Roman" w:hAnsi="Times New Roman"/>
          <w:shd w:val="clear" w:color="auto" w:fill="FFFFFF"/>
        </w:rPr>
        <w:t xml:space="preserve"> </w:t>
      </w:r>
      <w:r>
        <w:rPr>
          <w:rFonts w:ascii="Times New Roman" w:hAnsi="Times New Roman"/>
          <w:shd w:val="clear" w:color="auto" w:fill="FFFFFF"/>
        </w:rPr>
        <w:t>комисија</w:t>
      </w:r>
      <w:r w:rsidR="00620126" w:rsidRPr="00295637">
        <w:rPr>
          <w:rFonts w:ascii="Times New Roman" w:hAnsi="Times New Roman"/>
          <w:shd w:val="clear" w:color="auto" w:fill="FFFFFF"/>
        </w:rPr>
        <w:t xml:space="preserve"> </w:t>
      </w:r>
      <w:r>
        <w:rPr>
          <w:rFonts w:ascii="Times New Roman" w:hAnsi="Times New Roman"/>
          <w:shd w:val="clear" w:color="auto" w:fill="FFFFFF"/>
        </w:rPr>
        <w:t>за</w:t>
      </w:r>
      <w:r w:rsidR="00620126" w:rsidRPr="00295637">
        <w:rPr>
          <w:rFonts w:ascii="Times New Roman" w:hAnsi="Times New Roman"/>
          <w:shd w:val="clear" w:color="auto" w:fill="FFFFFF"/>
        </w:rPr>
        <w:t xml:space="preserve"> </w:t>
      </w:r>
      <w:r>
        <w:rPr>
          <w:rFonts w:ascii="Times New Roman" w:hAnsi="Times New Roman"/>
          <w:shd w:val="clear" w:color="auto" w:fill="FFFFFF"/>
        </w:rPr>
        <w:t>равноправност</w:t>
      </w:r>
      <w:r w:rsidR="00620126" w:rsidRPr="00295637">
        <w:rPr>
          <w:rFonts w:ascii="Times New Roman" w:hAnsi="Times New Roman"/>
          <w:shd w:val="clear" w:color="auto" w:fill="FFFFFF"/>
        </w:rPr>
        <w:t xml:space="preserve"> </w:t>
      </w:r>
      <w:r>
        <w:rPr>
          <w:rFonts w:ascii="Times New Roman" w:hAnsi="Times New Roman"/>
          <w:shd w:val="clear" w:color="auto" w:fill="FFFFFF"/>
        </w:rPr>
        <w:t>полова</w:t>
      </w:r>
      <w:r w:rsidR="00620126" w:rsidRPr="00295637">
        <w:rPr>
          <w:rFonts w:ascii="Times New Roman" w:hAnsi="Times New Roman"/>
          <w:shd w:val="clear" w:color="auto" w:fill="FFFFFF"/>
        </w:rPr>
        <w:t xml:space="preserve"> </w:t>
      </w:r>
      <w:r>
        <w:rPr>
          <w:rFonts w:ascii="Times New Roman" w:hAnsi="Times New Roman"/>
          <w:shd w:val="clear" w:color="auto" w:fill="FFFFFF"/>
        </w:rPr>
        <w:t>у</w:t>
      </w:r>
      <w:r w:rsidR="00620126" w:rsidRPr="00295637">
        <w:rPr>
          <w:rFonts w:ascii="Times New Roman" w:hAnsi="Times New Roman"/>
          <w:shd w:val="clear" w:color="auto" w:fill="FFFFFF"/>
        </w:rPr>
        <w:t xml:space="preserve"> </w:t>
      </w:r>
      <w:r>
        <w:rPr>
          <w:rFonts w:ascii="Times New Roman" w:hAnsi="Times New Roman"/>
          <w:shd w:val="clear" w:color="auto" w:fill="FFFFFF"/>
        </w:rPr>
        <w:t>локалним</w:t>
      </w:r>
      <w:r w:rsidR="00620126" w:rsidRPr="00295637">
        <w:rPr>
          <w:rFonts w:ascii="Times New Roman" w:hAnsi="Times New Roman"/>
          <w:shd w:val="clear" w:color="auto" w:fill="FFFFFF"/>
        </w:rPr>
        <w:t xml:space="preserve"> </w:t>
      </w:r>
      <w:r>
        <w:rPr>
          <w:rFonts w:ascii="Times New Roman" w:hAnsi="Times New Roman"/>
          <w:shd w:val="clear" w:color="auto" w:fill="FFFFFF"/>
        </w:rPr>
        <w:t>заједницама</w:t>
      </w:r>
      <w:r w:rsidR="00620126" w:rsidRPr="00295637">
        <w:rPr>
          <w:rFonts w:ascii="Times New Roman" w:hAnsi="Times New Roman"/>
          <w:shd w:val="clear" w:color="auto" w:fill="FFFFFF"/>
        </w:rPr>
        <w:t xml:space="preserve">, </w:t>
      </w:r>
      <w:r>
        <w:rPr>
          <w:rFonts w:ascii="Times New Roman" w:hAnsi="Times New Roman"/>
          <w:shd w:val="clear" w:color="auto" w:fill="FFFFFF"/>
        </w:rPr>
        <w:t>представнице</w:t>
      </w:r>
      <w:r w:rsidR="00620126" w:rsidRPr="00295637">
        <w:rPr>
          <w:rFonts w:ascii="Times New Roman" w:hAnsi="Times New Roman"/>
          <w:shd w:val="clear" w:color="auto" w:fill="FFFFFF"/>
        </w:rPr>
        <w:t xml:space="preserve"> </w:t>
      </w:r>
      <w:r>
        <w:rPr>
          <w:rFonts w:ascii="Times New Roman" w:hAnsi="Times New Roman"/>
          <w:shd w:val="clear" w:color="auto" w:fill="FFFFFF"/>
        </w:rPr>
        <w:t>политичких</w:t>
      </w:r>
      <w:r w:rsidR="00620126" w:rsidRPr="00295637">
        <w:rPr>
          <w:rFonts w:ascii="Times New Roman" w:hAnsi="Times New Roman"/>
          <w:shd w:val="clear" w:color="auto" w:fill="FFFFFF"/>
        </w:rPr>
        <w:t xml:space="preserve"> </w:t>
      </w:r>
      <w:r w:rsidR="00195565">
        <w:rPr>
          <w:rFonts w:ascii="Times New Roman" w:hAnsi="Times New Roman"/>
          <w:shd w:val="clear" w:color="auto" w:fill="FFFFFF"/>
          <w:lang w:val="sr-Cyrl-BA"/>
        </w:rPr>
        <w:t>партија</w:t>
      </w:r>
      <w:r w:rsidR="00620126" w:rsidRPr="00295637">
        <w:rPr>
          <w:rFonts w:ascii="Times New Roman" w:hAnsi="Times New Roman"/>
          <w:shd w:val="clear" w:color="auto" w:fill="FFFFFF"/>
        </w:rPr>
        <w:t xml:space="preserve">, </w:t>
      </w:r>
      <w:r>
        <w:rPr>
          <w:rFonts w:ascii="Times New Roman" w:hAnsi="Times New Roman"/>
          <w:shd w:val="clear" w:color="auto" w:fill="FFFFFF"/>
        </w:rPr>
        <w:t>жене</w:t>
      </w:r>
      <w:r w:rsidR="00620126" w:rsidRPr="00295637">
        <w:rPr>
          <w:rFonts w:ascii="Times New Roman" w:hAnsi="Times New Roman"/>
          <w:shd w:val="clear" w:color="auto" w:fill="FFFFFF"/>
        </w:rPr>
        <w:t xml:space="preserve"> </w:t>
      </w:r>
      <w:r>
        <w:rPr>
          <w:rFonts w:ascii="Times New Roman" w:hAnsi="Times New Roman"/>
          <w:shd w:val="clear" w:color="auto" w:fill="FFFFFF"/>
        </w:rPr>
        <w:t>са</w:t>
      </w:r>
      <w:r w:rsidR="00620126" w:rsidRPr="00295637">
        <w:rPr>
          <w:rFonts w:ascii="Times New Roman" w:hAnsi="Times New Roman"/>
          <w:shd w:val="clear" w:color="auto" w:fill="FFFFFF"/>
        </w:rPr>
        <w:t xml:space="preserve"> </w:t>
      </w:r>
      <w:r>
        <w:rPr>
          <w:rFonts w:ascii="Times New Roman" w:hAnsi="Times New Roman"/>
          <w:shd w:val="clear" w:color="auto" w:fill="FFFFFF"/>
        </w:rPr>
        <w:t>искуством</w:t>
      </w:r>
      <w:r w:rsidR="00620126" w:rsidRPr="00295637">
        <w:rPr>
          <w:rFonts w:ascii="Times New Roman" w:hAnsi="Times New Roman"/>
          <w:shd w:val="clear" w:color="auto" w:fill="FFFFFF"/>
        </w:rPr>
        <w:t xml:space="preserve"> </w:t>
      </w:r>
      <w:r>
        <w:rPr>
          <w:rFonts w:ascii="Times New Roman" w:hAnsi="Times New Roman"/>
          <w:shd w:val="clear" w:color="auto" w:fill="FFFFFF"/>
        </w:rPr>
        <w:t>на</w:t>
      </w:r>
      <w:r w:rsidR="00620126" w:rsidRPr="00295637">
        <w:rPr>
          <w:rFonts w:ascii="Times New Roman" w:hAnsi="Times New Roman"/>
          <w:shd w:val="clear" w:color="auto" w:fill="FFFFFF"/>
        </w:rPr>
        <w:t xml:space="preserve"> </w:t>
      </w:r>
      <w:r>
        <w:rPr>
          <w:rFonts w:ascii="Times New Roman" w:hAnsi="Times New Roman"/>
          <w:shd w:val="clear" w:color="auto" w:fill="FFFFFF"/>
        </w:rPr>
        <w:t>извршним</w:t>
      </w:r>
      <w:r w:rsidR="00620126" w:rsidRPr="00295637">
        <w:rPr>
          <w:rFonts w:ascii="Times New Roman" w:hAnsi="Times New Roman"/>
          <w:shd w:val="clear" w:color="auto" w:fill="FFFFFF"/>
        </w:rPr>
        <w:t xml:space="preserve"> </w:t>
      </w:r>
      <w:r>
        <w:rPr>
          <w:rFonts w:ascii="Times New Roman" w:hAnsi="Times New Roman"/>
          <w:shd w:val="clear" w:color="auto" w:fill="FFFFFF"/>
        </w:rPr>
        <w:t>функцијама</w:t>
      </w:r>
      <w:r w:rsidR="00620126" w:rsidRPr="00295637">
        <w:rPr>
          <w:rFonts w:ascii="Times New Roman" w:hAnsi="Times New Roman"/>
          <w:shd w:val="clear" w:color="auto" w:fill="FFFFFF"/>
        </w:rPr>
        <w:t xml:space="preserve"> </w:t>
      </w:r>
      <w:r>
        <w:rPr>
          <w:rFonts w:ascii="Times New Roman" w:hAnsi="Times New Roman"/>
          <w:shd w:val="clear" w:color="auto" w:fill="FFFFFF"/>
        </w:rPr>
        <w:t>и</w:t>
      </w:r>
      <w:r w:rsidR="00620126" w:rsidRPr="00295637">
        <w:rPr>
          <w:rFonts w:ascii="Times New Roman" w:hAnsi="Times New Roman"/>
          <w:shd w:val="clear" w:color="auto" w:fill="FFFFFF"/>
        </w:rPr>
        <w:t xml:space="preserve"> </w:t>
      </w:r>
      <w:r>
        <w:rPr>
          <w:rFonts w:ascii="Times New Roman" w:hAnsi="Times New Roman"/>
          <w:shd w:val="clear" w:color="auto" w:fill="FFFFFF"/>
        </w:rPr>
        <w:t>политици</w:t>
      </w:r>
      <w:r w:rsidR="00620126" w:rsidRPr="00295637">
        <w:rPr>
          <w:rFonts w:ascii="Times New Roman" w:hAnsi="Times New Roman"/>
          <w:shd w:val="clear" w:color="auto" w:fill="FFFFFF"/>
        </w:rPr>
        <w:t xml:space="preserve">, </w:t>
      </w:r>
      <w:r>
        <w:rPr>
          <w:rFonts w:ascii="Times New Roman" w:hAnsi="Times New Roman"/>
          <w:shd w:val="clear" w:color="auto" w:fill="FFFFFF"/>
        </w:rPr>
        <w:t>представнице</w:t>
      </w:r>
      <w:r w:rsidR="00620126" w:rsidRPr="00295637">
        <w:rPr>
          <w:rFonts w:ascii="Times New Roman" w:hAnsi="Times New Roman"/>
          <w:shd w:val="clear" w:color="auto" w:fill="FFFFFF"/>
        </w:rPr>
        <w:t xml:space="preserve"> </w:t>
      </w:r>
      <w:r>
        <w:rPr>
          <w:rFonts w:ascii="Times New Roman" w:hAnsi="Times New Roman"/>
          <w:shd w:val="clear" w:color="auto" w:fill="FFFFFF"/>
        </w:rPr>
        <w:t>АР</w:t>
      </w:r>
      <w:r w:rsidR="00195565">
        <w:rPr>
          <w:rFonts w:ascii="Times New Roman" w:hAnsi="Times New Roman"/>
          <w:shd w:val="clear" w:color="auto" w:fill="FFFFFF"/>
          <w:lang w:val="sr-Cyrl-BA"/>
        </w:rPr>
        <w:t>П</w:t>
      </w:r>
      <w:r w:rsidR="007970A9">
        <w:rPr>
          <w:rFonts w:ascii="Times New Roman" w:hAnsi="Times New Roman"/>
          <w:shd w:val="clear" w:color="auto" w:fill="FFFFFF"/>
        </w:rPr>
        <w:t xml:space="preserve"> </w:t>
      </w:r>
      <w:r>
        <w:rPr>
          <w:rFonts w:ascii="Times New Roman" w:hAnsi="Times New Roman"/>
          <w:shd w:val="clear" w:color="auto" w:fill="FFFFFF"/>
        </w:rPr>
        <w:t>БиХ</w:t>
      </w:r>
      <w:r w:rsidR="007970A9">
        <w:rPr>
          <w:rFonts w:ascii="Times New Roman" w:hAnsi="Times New Roman"/>
          <w:shd w:val="clear" w:color="auto" w:fill="FFFFFF"/>
        </w:rPr>
        <w:t xml:space="preserve"> </w:t>
      </w:r>
      <w:r>
        <w:rPr>
          <w:rFonts w:ascii="Times New Roman" w:hAnsi="Times New Roman"/>
          <w:shd w:val="clear" w:color="auto" w:fill="FFFFFF"/>
        </w:rPr>
        <w:t>МЉПИ</w:t>
      </w:r>
      <w:r w:rsidR="007970A9">
        <w:rPr>
          <w:rFonts w:ascii="Times New Roman" w:hAnsi="Times New Roman"/>
          <w:shd w:val="clear" w:color="auto" w:fill="FFFFFF"/>
        </w:rPr>
        <w:t xml:space="preserve"> </w:t>
      </w:r>
      <w:r>
        <w:rPr>
          <w:rFonts w:ascii="Times New Roman" w:hAnsi="Times New Roman"/>
          <w:shd w:val="clear" w:color="auto" w:fill="FFFFFF"/>
        </w:rPr>
        <w:t>БиХ</w:t>
      </w:r>
      <w:r w:rsidR="00592926" w:rsidRPr="00295637">
        <w:rPr>
          <w:rFonts w:ascii="Times New Roman" w:hAnsi="Times New Roman"/>
          <w:shd w:val="clear" w:color="auto" w:fill="FFFFFF"/>
        </w:rPr>
        <w:t>,</w:t>
      </w:r>
      <w:r w:rsidR="00620126" w:rsidRPr="00295637">
        <w:rPr>
          <w:rFonts w:ascii="Times New Roman" w:hAnsi="Times New Roman"/>
          <w:shd w:val="clear" w:color="auto" w:fill="FFFFFF"/>
        </w:rPr>
        <w:t xml:space="preserve"> </w:t>
      </w:r>
      <w:r>
        <w:rPr>
          <w:rFonts w:ascii="Times New Roman" w:hAnsi="Times New Roman"/>
          <w:shd w:val="clear" w:color="auto" w:fill="FFFFFF"/>
        </w:rPr>
        <w:t>невладиног</w:t>
      </w:r>
      <w:r w:rsidR="00620126" w:rsidRPr="00295637">
        <w:rPr>
          <w:rFonts w:ascii="Times New Roman" w:hAnsi="Times New Roman"/>
          <w:shd w:val="clear" w:color="auto" w:fill="FFFFFF"/>
        </w:rPr>
        <w:t xml:space="preserve"> </w:t>
      </w:r>
      <w:r>
        <w:rPr>
          <w:rFonts w:ascii="Times New Roman" w:hAnsi="Times New Roman"/>
          <w:shd w:val="clear" w:color="auto" w:fill="FFFFFF"/>
        </w:rPr>
        <w:t>сектора</w:t>
      </w:r>
      <w:r w:rsidR="00620126" w:rsidRPr="00295637">
        <w:rPr>
          <w:rFonts w:ascii="Times New Roman" w:hAnsi="Times New Roman"/>
          <w:shd w:val="clear" w:color="auto" w:fill="FFFFFF"/>
        </w:rPr>
        <w:t xml:space="preserve">, </w:t>
      </w:r>
      <w:r>
        <w:rPr>
          <w:rFonts w:ascii="Times New Roman" w:hAnsi="Times New Roman"/>
          <w:shd w:val="clear" w:color="auto" w:fill="FFFFFF"/>
        </w:rPr>
        <w:t>академске</w:t>
      </w:r>
      <w:r w:rsidR="00620126" w:rsidRPr="00295637">
        <w:rPr>
          <w:rFonts w:ascii="Times New Roman" w:hAnsi="Times New Roman"/>
          <w:shd w:val="clear" w:color="auto" w:fill="FFFFFF"/>
        </w:rPr>
        <w:t xml:space="preserve"> </w:t>
      </w:r>
      <w:r>
        <w:rPr>
          <w:rFonts w:ascii="Times New Roman" w:hAnsi="Times New Roman"/>
          <w:shd w:val="clear" w:color="auto" w:fill="FFFFFF"/>
        </w:rPr>
        <w:t>заједнице</w:t>
      </w:r>
      <w:r w:rsidR="00620126" w:rsidRPr="00295637">
        <w:rPr>
          <w:rFonts w:ascii="Times New Roman" w:hAnsi="Times New Roman"/>
          <w:shd w:val="clear" w:color="auto" w:fill="FFFFFF"/>
        </w:rPr>
        <w:t xml:space="preserve"> </w:t>
      </w:r>
      <w:r>
        <w:rPr>
          <w:rFonts w:ascii="Times New Roman" w:hAnsi="Times New Roman"/>
          <w:shd w:val="clear" w:color="auto" w:fill="FFFFFF"/>
        </w:rPr>
        <w:t>и</w:t>
      </w:r>
      <w:r w:rsidR="00620126" w:rsidRPr="00295637">
        <w:rPr>
          <w:rFonts w:ascii="Times New Roman" w:hAnsi="Times New Roman"/>
          <w:shd w:val="clear" w:color="auto" w:fill="FFFFFF"/>
        </w:rPr>
        <w:t xml:space="preserve"> </w:t>
      </w:r>
      <w:r>
        <w:rPr>
          <w:rFonts w:ascii="Times New Roman" w:hAnsi="Times New Roman"/>
          <w:shd w:val="clear" w:color="auto" w:fill="FFFFFF"/>
        </w:rPr>
        <w:t>међународних</w:t>
      </w:r>
      <w:r w:rsidR="00620126" w:rsidRPr="00295637">
        <w:rPr>
          <w:rFonts w:ascii="Times New Roman" w:hAnsi="Times New Roman"/>
          <w:shd w:val="clear" w:color="auto" w:fill="FFFFFF"/>
        </w:rPr>
        <w:t xml:space="preserve"> </w:t>
      </w:r>
      <w:r>
        <w:rPr>
          <w:rFonts w:ascii="Times New Roman" w:hAnsi="Times New Roman"/>
          <w:shd w:val="clear" w:color="auto" w:fill="FFFFFF"/>
        </w:rPr>
        <w:t>организација</w:t>
      </w:r>
      <w:r w:rsidR="00620126" w:rsidRPr="00295637">
        <w:rPr>
          <w:rFonts w:ascii="Times New Roman" w:hAnsi="Times New Roman"/>
          <w:shd w:val="clear" w:color="auto" w:fill="FFFFFF"/>
        </w:rPr>
        <w:t>.</w:t>
      </w:r>
      <w:r w:rsidR="00EC1E8B" w:rsidRPr="00295637">
        <w:rPr>
          <w:rFonts w:ascii="Times New Roman" w:hAnsi="Times New Roman"/>
          <w:szCs w:val="24"/>
          <w:lang w:val="hr-HR"/>
        </w:rPr>
        <w:t xml:space="preserve"> </w:t>
      </w:r>
    </w:p>
    <w:p w:rsidR="00EC1E8B" w:rsidRPr="00295637" w:rsidRDefault="00EC1E8B" w:rsidP="0086268D">
      <w:pPr>
        <w:jc w:val="both"/>
        <w:rPr>
          <w:rFonts w:ascii="Gill Sans MT" w:hAnsi="Gill Sans MT"/>
          <w:szCs w:val="24"/>
          <w:lang w:val="bs-Latn-BA"/>
        </w:rPr>
      </w:pPr>
    </w:p>
    <w:p w:rsidR="00896B63" w:rsidRPr="00295637" w:rsidRDefault="00C6214E" w:rsidP="0086268D">
      <w:pPr>
        <w:jc w:val="both"/>
        <w:rPr>
          <w:rFonts w:ascii="Times New Roman" w:hAnsi="Times New Roman"/>
          <w:szCs w:val="24"/>
          <w:lang w:val="bs-Latn-BA"/>
        </w:rPr>
      </w:pPr>
      <w:r>
        <w:rPr>
          <w:rFonts w:ascii="Times New Roman" w:hAnsi="Times New Roman"/>
          <w:szCs w:val="24"/>
          <w:lang w:val="bs-Latn-BA"/>
        </w:rPr>
        <w:t>ГЦ</w:t>
      </w:r>
      <w:r w:rsidR="007970A9">
        <w:rPr>
          <w:rFonts w:ascii="Times New Roman" w:hAnsi="Times New Roman"/>
          <w:szCs w:val="24"/>
          <w:lang w:val="bs-Latn-BA"/>
        </w:rPr>
        <w:t xml:space="preserve"> </w:t>
      </w:r>
      <w:r>
        <w:rPr>
          <w:rFonts w:ascii="Times New Roman" w:hAnsi="Times New Roman"/>
          <w:szCs w:val="24"/>
          <w:lang w:val="bs-Latn-BA"/>
        </w:rPr>
        <w:t>ФБиХ</w:t>
      </w:r>
      <w:r w:rsidR="001D24A5" w:rsidRPr="00295637">
        <w:rPr>
          <w:rFonts w:ascii="Times New Roman" w:hAnsi="Times New Roman"/>
          <w:szCs w:val="24"/>
          <w:lang w:val="bs-Latn-BA"/>
        </w:rPr>
        <w:t xml:space="preserve"> </w:t>
      </w:r>
      <w:r>
        <w:rPr>
          <w:rFonts w:ascii="Times New Roman" w:hAnsi="Times New Roman"/>
          <w:szCs w:val="24"/>
          <w:lang w:val="bs-Latn-BA"/>
        </w:rPr>
        <w:t>унапређивао</w:t>
      </w:r>
      <w:r w:rsidR="0067225C" w:rsidRPr="00295637">
        <w:rPr>
          <w:rFonts w:ascii="Times New Roman" w:hAnsi="Times New Roman"/>
          <w:szCs w:val="24"/>
          <w:lang w:val="bs-Latn-BA"/>
        </w:rPr>
        <w:t xml:space="preserve"> </w:t>
      </w:r>
      <w:r>
        <w:rPr>
          <w:rFonts w:ascii="Times New Roman" w:hAnsi="Times New Roman"/>
          <w:szCs w:val="24"/>
          <w:lang w:val="bs-Latn-BA"/>
        </w:rPr>
        <w:t>је</w:t>
      </w:r>
      <w:r w:rsidR="007970A9" w:rsidRPr="00295637">
        <w:rPr>
          <w:rFonts w:ascii="Times New Roman" w:hAnsi="Times New Roman"/>
          <w:szCs w:val="24"/>
          <w:lang w:val="bs-Latn-BA"/>
        </w:rPr>
        <w:t xml:space="preserve"> </w:t>
      </w:r>
      <w:r>
        <w:rPr>
          <w:rFonts w:ascii="Times New Roman" w:hAnsi="Times New Roman"/>
          <w:szCs w:val="24"/>
          <w:lang w:val="bs-Latn-BA"/>
        </w:rPr>
        <w:t>сарадњу</w:t>
      </w:r>
      <w:r w:rsidR="007970A9">
        <w:rPr>
          <w:rFonts w:ascii="Times New Roman" w:hAnsi="Times New Roman"/>
          <w:szCs w:val="24"/>
          <w:lang w:val="bs-Latn-BA"/>
        </w:rPr>
        <w:t xml:space="preserve"> </w:t>
      </w:r>
      <w:r>
        <w:rPr>
          <w:rFonts w:ascii="Times New Roman" w:hAnsi="Times New Roman"/>
          <w:szCs w:val="24"/>
          <w:lang w:val="bs-Latn-BA"/>
        </w:rPr>
        <w:t>са</w:t>
      </w:r>
      <w:r w:rsidR="0067225C" w:rsidRPr="00295637">
        <w:rPr>
          <w:rFonts w:ascii="Times New Roman" w:hAnsi="Times New Roman"/>
          <w:szCs w:val="24"/>
          <w:lang w:val="bs-Latn-BA"/>
        </w:rPr>
        <w:t xml:space="preserve"> </w:t>
      </w:r>
      <w:r>
        <w:rPr>
          <w:rFonts w:ascii="Times New Roman" w:hAnsi="Times New Roman"/>
          <w:szCs w:val="24"/>
          <w:lang w:val="bs-Latn-BA"/>
        </w:rPr>
        <w:t>Комисијом</w:t>
      </w:r>
      <w:r w:rsidR="00D319BF" w:rsidRPr="00295637">
        <w:rPr>
          <w:rFonts w:ascii="Times New Roman" w:hAnsi="Times New Roman"/>
          <w:szCs w:val="24"/>
          <w:lang w:val="bs-Latn-BA"/>
        </w:rPr>
        <w:t xml:space="preserve"> </w:t>
      </w:r>
      <w:r>
        <w:rPr>
          <w:rFonts w:ascii="Times New Roman" w:hAnsi="Times New Roman"/>
          <w:szCs w:val="24"/>
          <w:lang w:val="bs-Latn-BA"/>
        </w:rPr>
        <w:t>за</w:t>
      </w:r>
      <w:r w:rsidR="00D319BF"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D319BF" w:rsidRPr="00295637">
        <w:rPr>
          <w:rFonts w:ascii="Times New Roman" w:hAnsi="Times New Roman"/>
          <w:szCs w:val="24"/>
          <w:lang w:val="bs-Latn-BA"/>
        </w:rPr>
        <w:t xml:space="preserve"> </w:t>
      </w:r>
      <w:r>
        <w:rPr>
          <w:rFonts w:ascii="Times New Roman" w:hAnsi="Times New Roman"/>
          <w:szCs w:val="24"/>
          <w:lang w:val="bs-Latn-BA"/>
        </w:rPr>
        <w:t>полова</w:t>
      </w:r>
      <w:r w:rsidR="00D319BF" w:rsidRPr="00295637">
        <w:rPr>
          <w:rFonts w:ascii="Times New Roman" w:hAnsi="Times New Roman"/>
          <w:szCs w:val="24"/>
          <w:lang w:val="bs-Latn-BA"/>
        </w:rPr>
        <w:t xml:space="preserve"> </w:t>
      </w:r>
      <w:r>
        <w:rPr>
          <w:rFonts w:ascii="Times New Roman" w:hAnsi="Times New Roman"/>
          <w:szCs w:val="24"/>
          <w:lang w:val="bs-Latn-BA"/>
        </w:rPr>
        <w:t>и</w:t>
      </w:r>
      <w:r w:rsidR="00D319BF" w:rsidRPr="00295637">
        <w:rPr>
          <w:rFonts w:ascii="Times New Roman" w:hAnsi="Times New Roman"/>
          <w:szCs w:val="24"/>
          <w:lang w:val="bs-Latn-BA"/>
        </w:rPr>
        <w:t xml:space="preserve"> </w:t>
      </w:r>
      <w:r>
        <w:rPr>
          <w:rFonts w:ascii="Times New Roman" w:hAnsi="Times New Roman"/>
          <w:szCs w:val="24"/>
          <w:lang w:val="bs-Latn-BA"/>
        </w:rPr>
        <w:t>Комисијом</w:t>
      </w:r>
      <w:r w:rsidR="00D319BF" w:rsidRPr="00295637">
        <w:rPr>
          <w:rFonts w:ascii="Times New Roman" w:hAnsi="Times New Roman"/>
          <w:szCs w:val="24"/>
          <w:lang w:val="bs-Latn-BA"/>
        </w:rPr>
        <w:t xml:space="preserve"> </w:t>
      </w:r>
      <w:r>
        <w:rPr>
          <w:rFonts w:ascii="Times New Roman" w:hAnsi="Times New Roman"/>
          <w:szCs w:val="24"/>
          <w:lang w:val="bs-Latn-BA"/>
        </w:rPr>
        <w:t>за</w:t>
      </w:r>
      <w:r w:rsidR="00D319BF" w:rsidRPr="00295637">
        <w:rPr>
          <w:rFonts w:ascii="Times New Roman" w:hAnsi="Times New Roman"/>
          <w:szCs w:val="24"/>
          <w:lang w:val="bs-Latn-BA"/>
        </w:rPr>
        <w:t xml:space="preserve"> </w:t>
      </w:r>
      <w:r>
        <w:rPr>
          <w:rFonts w:ascii="Times New Roman" w:hAnsi="Times New Roman"/>
          <w:szCs w:val="24"/>
          <w:lang w:val="bs-Latn-BA"/>
        </w:rPr>
        <w:t>људска</w:t>
      </w:r>
      <w:r w:rsidR="00D319BF" w:rsidRPr="00295637">
        <w:rPr>
          <w:rFonts w:ascii="Times New Roman" w:hAnsi="Times New Roman"/>
          <w:szCs w:val="24"/>
          <w:lang w:val="bs-Latn-BA"/>
        </w:rPr>
        <w:t xml:space="preserve"> </w:t>
      </w:r>
      <w:r>
        <w:rPr>
          <w:rFonts w:ascii="Times New Roman" w:hAnsi="Times New Roman"/>
          <w:szCs w:val="24"/>
          <w:lang w:val="bs-Latn-BA"/>
        </w:rPr>
        <w:t>права</w:t>
      </w:r>
      <w:r w:rsidR="00D319BF" w:rsidRPr="00295637">
        <w:rPr>
          <w:rFonts w:ascii="Times New Roman" w:hAnsi="Times New Roman"/>
          <w:szCs w:val="24"/>
          <w:lang w:val="bs-Latn-BA"/>
        </w:rPr>
        <w:t xml:space="preserve"> </w:t>
      </w:r>
      <w:r>
        <w:rPr>
          <w:rFonts w:ascii="Times New Roman" w:hAnsi="Times New Roman"/>
          <w:szCs w:val="24"/>
          <w:lang w:val="bs-Latn-BA"/>
        </w:rPr>
        <w:t>оба</w:t>
      </w:r>
      <w:r w:rsidR="00D319BF" w:rsidRPr="00295637">
        <w:rPr>
          <w:rFonts w:ascii="Times New Roman" w:hAnsi="Times New Roman"/>
          <w:szCs w:val="24"/>
          <w:lang w:val="bs-Latn-BA"/>
        </w:rPr>
        <w:t xml:space="preserve"> </w:t>
      </w:r>
      <w:r>
        <w:rPr>
          <w:rFonts w:ascii="Times New Roman" w:hAnsi="Times New Roman"/>
          <w:szCs w:val="24"/>
          <w:lang w:val="bs-Latn-BA"/>
        </w:rPr>
        <w:t>дома</w:t>
      </w:r>
      <w:r w:rsidR="00D319BF" w:rsidRPr="00295637">
        <w:rPr>
          <w:rFonts w:ascii="Times New Roman" w:hAnsi="Times New Roman"/>
          <w:szCs w:val="24"/>
          <w:lang w:val="bs-Latn-BA"/>
        </w:rPr>
        <w:t xml:space="preserve"> </w:t>
      </w:r>
      <w:r>
        <w:rPr>
          <w:rFonts w:ascii="Times New Roman" w:hAnsi="Times New Roman"/>
          <w:szCs w:val="24"/>
          <w:lang w:val="bs-Latn-BA"/>
        </w:rPr>
        <w:t>Парламента</w:t>
      </w:r>
      <w:r w:rsidR="00D319BF" w:rsidRPr="00295637">
        <w:rPr>
          <w:rFonts w:ascii="Times New Roman" w:hAnsi="Times New Roman"/>
          <w:szCs w:val="24"/>
          <w:lang w:val="bs-Latn-BA"/>
        </w:rPr>
        <w:t xml:space="preserve"> </w:t>
      </w:r>
      <w:r>
        <w:rPr>
          <w:rFonts w:ascii="Times New Roman" w:hAnsi="Times New Roman"/>
          <w:szCs w:val="24"/>
          <w:lang w:val="bs-Latn-BA"/>
        </w:rPr>
        <w:t>ФБиХ</w:t>
      </w:r>
      <w:r w:rsidR="00D319BF">
        <w:rPr>
          <w:rFonts w:ascii="Times New Roman" w:hAnsi="Times New Roman"/>
          <w:szCs w:val="24"/>
          <w:lang w:val="bs-Latn-BA"/>
        </w:rPr>
        <w:t xml:space="preserve"> </w:t>
      </w:r>
      <w:r>
        <w:rPr>
          <w:rFonts w:ascii="Times New Roman" w:hAnsi="Times New Roman"/>
          <w:szCs w:val="24"/>
          <w:lang w:val="bs-Latn-BA"/>
        </w:rPr>
        <w:t>при</w:t>
      </w:r>
      <w:r w:rsidR="00D319BF">
        <w:rPr>
          <w:rFonts w:ascii="Times New Roman" w:hAnsi="Times New Roman"/>
          <w:szCs w:val="24"/>
          <w:lang w:val="bs-Latn-BA"/>
        </w:rPr>
        <w:t xml:space="preserve"> </w:t>
      </w:r>
      <w:r>
        <w:rPr>
          <w:rFonts w:ascii="Times New Roman" w:hAnsi="Times New Roman"/>
          <w:szCs w:val="24"/>
          <w:lang w:val="bs-Latn-BA"/>
        </w:rPr>
        <w:t>чему</w:t>
      </w:r>
      <w:r w:rsidR="00D319BF">
        <w:rPr>
          <w:rFonts w:ascii="Times New Roman" w:hAnsi="Times New Roman"/>
          <w:szCs w:val="24"/>
          <w:lang w:val="bs-Latn-BA"/>
        </w:rPr>
        <w:t xml:space="preserve"> </w:t>
      </w:r>
      <w:r>
        <w:rPr>
          <w:rFonts w:ascii="Times New Roman" w:hAnsi="Times New Roman"/>
          <w:szCs w:val="24"/>
          <w:lang w:val="bs-Latn-BA"/>
        </w:rPr>
        <w:t>су</w:t>
      </w:r>
      <w:r w:rsidR="00D319BF">
        <w:rPr>
          <w:rFonts w:ascii="Times New Roman" w:hAnsi="Times New Roman"/>
          <w:szCs w:val="24"/>
          <w:lang w:val="bs-Latn-BA"/>
        </w:rPr>
        <w:t xml:space="preserve"> </w:t>
      </w:r>
      <w:r>
        <w:rPr>
          <w:rFonts w:ascii="Times New Roman" w:hAnsi="Times New Roman"/>
          <w:szCs w:val="24"/>
          <w:lang w:val="bs-Latn-BA"/>
        </w:rPr>
        <w:t>заједно</w:t>
      </w:r>
      <w:r w:rsidR="00D319BF">
        <w:rPr>
          <w:rFonts w:ascii="Times New Roman" w:hAnsi="Times New Roman"/>
          <w:szCs w:val="24"/>
          <w:lang w:val="bs-Latn-BA"/>
        </w:rPr>
        <w:t xml:space="preserve"> </w:t>
      </w:r>
      <w:r>
        <w:rPr>
          <w:rFonts w:ascii="Times New Roman" w:hAnsi="Times New Roman"/>
          <w:szCs w:val="24"/>
          <w:lang w:val="bs-Latn-BA"/>
        </w:rPr>
        <w:t>планиране</w:t>
      </w:r>
      <w:r w:rsidR="00D319BF">
        <w:rPr>
          <w:rFonts w:ascii="Times New Roman" w:hAnsi="Times New Roman"/>
          <w:szCs w:val="24"/>
          <w:lang w:val="bs-Latn-BA"/>
        </w:rPr>
        <w:t xml:space="preserve"> </w:t>
      </w:r>
      <w:r>
        <w:rPr>
          <w:rFonts w:ascii="Times New Roman" w:hAnsi="Times New Roman"/>
          <w:szCs w:val="24"/>
          <w:lang w:val="bs-Latn-BA"/>
        </w:rPr>
        <w:t>и</w:t>
      </w:r>
      <w:r w:rsidR="00D319BF">
        <w:rPr>
          <w:rFonts w:ascii="Times New Roman" w:hAnsi="Times New Roman"/>
          <w:szCs w:val="24"/>
          <w:lang w:val="bs-Latn-BA"/>
        </w:rPr>
        <w:t xml:space="preserve"> </w:t>
      </w:r>
      <w:r>
        <w:rPr>
          <w:rFonts w:ascii="Times New Roman" w:hAnsi="Times New Roman"/>
          <w:szCs w:val="24"/>
          <w:lang w:val="bs-Latn-BA"/>
        </w:rPr>
        <w:t>одржане</w:t>
      </w:r>
      <w:r w:rsidR="0067225C" w:rsidRPr="00295637">
        <w:rPr>
          <w:rFonts w:ascii="Times New Roman" w:hAnsi="Times New Roman"/>
          <w:szCs w:val="24"/>
          <w:lang w:val="bs-Latn-BA"/>
        </w:rPr>
        <w:t xml:space="preserve"> </w:t>
      </w:r>
      <w:r>
        <w:rPr>
          <w:rFonts w:ascii="Times New Roman" w:hAnsi="Times New Roman"/>
          <w:szCs w:val="24"/>
          <w:lang w:val="bs-Latn-BA"/>
        </w:rPr>
        <w:t>тематске</w:t>
      </w:r>
      <w:r w:rsidR="0067225C" w:rsidRPr="00295637">
        <w:rPr>
          <w:rFonts w:ascii="Times New Roman" w:hAnsi="Times New Roman"/>
          <w:szCs w:val="24"/>
          <w:lang w:val="bs-Latn-BA"/>
        </w:rPr>
        <w:t xml:space="preserve"> </w:t>
      </w:r>
      <w:r>
        <w:rPr>
          <w:rFonts w:ascii="Times New Roman" w:hAnsi="Times New Roman"/>
          <w:szCs w:val="24"/>
          <w:lang w:val="bs-Latn-BA"/>
        </w:rPr>
        <w:t>сједнице</w:t>
      </w:r>
      <w:r w:rsidR="0067225C" w:rsidRPr="00295637">
        <w:rPr>
          <w:rFonts w:ascii="Times New Roman" w:hAnsi="Times New Roman"/>
          <w:szCs w:val="24"/>
          <w:lang w:val="bs-Latn-BA"/>
        </w:rPr>
        <w:t xml:space="preserve"> (6) </w:t>
      </w:r>
      <w:r>
        <w:rPr>
          <w:rFonts w:ascii="Times New Roman" w:hAnsi="Times New Roman"/>
          <w:szCs w:val="24"/>
          <w:lang w:val="bs-Latn-BA"/>
        </w:rPr>
        <w:t>у</w:t>
      </w:r>
      <w:r w:rsidR="0067225C" w:rsidRPr="00295637">
        <w:rPr>
          <w:rFonts w:ascii="Times New Roman" w:hAnsi="Times New Roman"/>
          <w:szCs w:val="24"/>
          <w:lang w:val="bs-Latn-BA"/>
        </w:rPr>
        <w:t xml:space="preserve"> </w:t>
      </w:r>
      <w:r>
        <w:rPr>
          <w:rFonts w:ascii="Times New Roman" w:hAnsi="Times New Roman"/>
          <w:szCs w:val="24"/>
          <w:lang w:val="bs-Latn-BA"/>
        </w:rPr>
        <w:t>сарадњи</w:t>
      </w:r>
      <w:r w:rsidR="007970A9">
        <w:rPr>
          <w:rFonts w:ascii="Times New Roman" w:hAnsi="Times New Roman"/>
          <w:szCs w:val="24"/>
          <w:lang w:val="bs-Latn-BA"/>
        </w:rPr>
        <w:t xml:space="preserve"> </w:t>
      </w:r>
      <w:r>
        <w:rPr>
          <w:rFonts w:ascii="Times New Roman" w:hAnsi="Times New Roman"/>
          <w:szCs w:val="24"/>
          <w:lang w:val="bs-Latn-BA"/>
        </w:rPr>
        <w:t>са</w:t>
      </w:r>
      <w:r w:rsidR="0067225C" w:rsidRPr="00295637">
        <w:rPr>
          <w:rFonts w:ascii="Times New Roman" w:hAnsi="Times New Roman"/>
          <w:szCs w:val="24"/>
          <w:lang w:val="bs-Latn-BA"/>
        </w:rPr>
        <w:t xml:space="preserve"> </w:t>
      </w:r>
      <w:r>
        <w:rPr>
          <w:rFonts w:ascii="Times New Roman" w:hAnsi="Times New Roman"/>
          <w:szCs w:val="24"/>
          <w:lang w:val="bs-Latn-BA"/>
        </w:rPr>
        <w:t>федералним</w:t>
      </w:r>
      <w:r w:rsidR="0067225C" w:rsidRPr="00295637">
        <w:rPr>
          <w:rFonts w:ascii="Times New Roman" w:hAnsi="Times New Roman"/>
          <w:szCs w:val="24"/>
          <w:lang w:val="bs-Latn-BA"/>
        </w:rPr>
        <w:t xml:space="preserve"> </w:t>
      </w:r>
      <w:r>
        <w:rPr>
          <w:rFonts w:ascii="Times New Roman" w:hAnsi="Times New Roman"/>
          <w:szCs w:val="24"/>
          <w:lang w:val="bs-Latn-BA"/>
        </w:rPr>
        <w:t>институцијама</w:t>
      </w:r>
      <w:r w:rsidR="0067225C" w:rsidRPr="00295637">
        <w:rPr>
          <w:rFonts w:ascii="Times New Roman" w:hAnsi="Times New Roman"/>
          <w:szCs w:val="24"/>
          <w:lang w:val="bs-Latn-BA"/>
        </w:rPr>
        <w:t xml:space="preserve">, </w:t>
      </w:r>
      <w:r>
        <w:rPr>
          <w:rFonts w:ascii="Times New Roman" w:hAnsi="Times New Roman"/>
          <w:szCs w:val="24"/>
          <w:lang w:val="bs-Latn-BA"/>
        </w:rPr>
        <w:t>међународним</w:t>
      </w:r>
      <w:r w:rsidR="0067225C" w:rsidRPr="00295637">
        <w:rPr>
          <w:rFonts w:ascii="Times New Roman" w:hAnsi="Times New Roman"/>
          <w:szCs w:val="24"/>
          <w:lang w:val="bs-Latn-BA"/>
        </w:rPr>
        <w:t xml:space="preserve"> </w:t>
      </w:r>
      <w:r>
        <w:rPr>
          <w:rFonts w:ascii="Times New Roman" w:hAnsi="Times New Roman"/>
          <w:szCs w:val="24"/>
          <w:lang w:val="bs-Latn-BA"/>
        </w:rPr>
        <w:t>институцијама</w:t>
      </w:r>
      <w:r w:rsidR="0067225C" w:rsidRPr="00295637">
        <w:rPr>
          <w:rFonts w:ascii="Times New Roman" w:hAnsi="Times New Roman"/>
          <w:szCs w:val="24"/>
          <w:lang w:val="bs-Latn-BA"/>
        </w:rPr>
        <w:t xml:space="preserve"> </w:t>
      </w:r>
      <w:r>
        <w:rPr>
          <w:rFonts w:ascii="Times New Roman" w:hAnsi="Times New Roman"/>
          <w:szCs w:val="24"/>
          <w:lang w:val="bs-Latn-BA"/>
        </w:rPr>
        <w:t>и</w:t>
      </w:r>
      <w:r w:rsidR="0067225C" w:rsidRPr="00295637">
        <w:rPr>
          <w:rFonts w:ascii="Times New Roman" w:hAnsi="Times New Roman"/>
          <w:szCs w:val="24"/>
          <w:lang w:val="bs-Latn-BA"/>
        </w:rPr>
        <w:t xml:space="preserve"> </w:t>
      </w:r>
      <w:r>
        <w:rPr>
          <w:rFonts w:ascii="Times New Roman" w:hAnsi="Times New Roman"/>
          <w:szCs w:val="24"/>
          <w:lang w:val="bs-Latn-BA"/>
        </w:rPr>
        <w:t>организацијама</w:t>
      </w:r>
      <w:r w:rsidR="0067225C" w:rsidRPr="00295637">
        <w:rPr>
          <w:rFonts w:ascii="Times New Roman" w:hAnsi="Times New Roman"/>
          <w:szCs w:val="24"/>
          <w:lang w:val="bs-Latn-BA"/>
        </w:rPr>
        <w:t xml:space="preserve"> </w:t>
      </w:r>
      <w:r>
        <w:rPr>
          <w:rFonts w:ascii="Times New Roman" w:hAnsi="Times New Roman"/>
          <w:szCs w:val="24"/>
          <w:lang w:val="bs-Latn-BA"/>
        </w:rPr>
        <w:t>цивилног</w:t>
      </w:r>
      <w:r w:rsidR="0067225C" w:rsidRPr="00295637">
        <w:rPr>
          <w:rFonts w:ascii="Times New Roman" w:hAnsi="Times New Roman"/>
          <w:szCs w:val="24"/>
          <w:lang w:val="bs-Latn-BA"/>
        </w:rPr>
        <w:t xml:space="preserve"> </w:t>
      </w:r>
      <w:r>
        <w:rPr>
          <w:rFonts w:ascii="Times New Roman" w:hAnsi="Times New Roman"/>
          <w:szCs w:val="24"/>
          <w:lang w:val="bs-Latn-BA"/>
        </w:rPr>
        <w:t>друштва</w:t>
      </w:r>
      <w:r w:rsidR="0067225C" w:rsidRPr="00295637">
        <w:rPr>
          <w:rFonts w:ascii="Times New Roman" w:hAnsi="Times New Roman"/>
          <w:szCs w:val="24"/>
          <w:lang w:val="bs-Latn-BA"/>
        </w:rPr>
        <w:t xml:space="preserve"> </w:t>
      </w:r>
      <w:r w:rsidR="00195565">
        <w:rPr>
          <w:rFonts w:ascii="Times New Roman" w:hAnsi="Times New Roman"/>
          <w:szCs w:val="24"/>
          <w:lang w:val="sr-Cyrl-BA"/>
        </w:rPr>
        <w:t>с</w:t>
      </w:r>
      <w:r w:rsidR="0067225C" w:rsidRPr="00295637">
        <w:rPr>
          <w:rFonts w:ascii="Times New Roman" w:hAnsi="Times New Roman"/>
          <w:szCs w:val="24"/>
          <w:lang w:val="bs-Latn-BA"/>
        </w:rPr>
        <w:t xml:space="preserve"> </w:t>
      </w:r>
      <w:r>
        <w:rPr>
          <w:rFonts w:ascii="Times New Roman" w:hAnsi="Times New Roman"/>
          <w:szCs w:val="24"/>
          <w:lang w:val="bs-Latn-BA"/>
        </w:rPr>
        <w:t>циљ</w:t>
      </w:r>
      <w:r w:rsidR="00195565">
        <w:rPr>
          <w:rFonts w:ascii="Times New Roman" w:hAnsi="Times New Roman"/>
          <w:szCs w:val="24"/>
          <w:lang w:val="sr-Cyrl-BA"/>
        </w:rPr>
        <w:t>ем</w:t>
      </w:r>
      <w:r w:rsidR="007970A9">
        <w:rPr>
          <w:rFonts w:ascii="Times New Roman" w:hAnsi="Times New Roman"/>
          <w:szCs w:val="24"/>
          <w:lang w:val="bs-Latn-BA"/>
        </w:rPr>
        <w:t xml:space="preserve"> </w:t>
      </w:r>
      <w:r>
        <w:rPr>
          <w:rFonts w:ascii="Times New Roman" w:hAnsi="Times New Roman"/>
          <w:szCs w:val="24"/>
          <w:lang w:val="bs-Latn-BA"/>
        </w:rPr>
        <w:t>услађивања</w:t>
      </w:r>
      <w:r w:rsidR="007970A9">
        <w:rPr>
          <w:rFonts w:ascii="Times New Roman" w:hAnsi="Times New Roman"/>
          <w:szCs w:val="24"/>
          <w:lang w:val="bs-Latn-BA"/>
        </w:rPr>
        <w:t xml:space="preserve"> </w:t>
      </w:r>
      <w:r>
        <w:rPr>
          <w:rFonts w:ascii="Times New Roman" w:hAnsi="Times New Roman"/>
          <w:szCs w:val="24"/>
          <w:lang w:val="bs-Latn-BA"/>
        </w:rPr>
        <w:t>законодавства</w:t>
      </w:r>
      <w:r w:rsidR="007970A9">
        <w:rPr>
          <w:rFonts w:ascii="Times New Roman" w:hAnsi="Times New Roman"/>
          <w:szCs w:val="24"/>
          <w:lang w:val="bs-Latn-BA"/>
        </w:rPr>
        <w:t xml:space="preserve"> </w:t>
      </w:r>
      <w:r>
        <w:rPr>
          <w:rFonts w:ascii="Times New Roman" w:hAnsi="Times New Roman"/>
          <w:szCs w:val="24"/>
          <w:lang w:val="bs-Latn-BA"/>
        </w:rPr>
        <w:t>са</w:t>
      </w:r>
      <w:r w:rsidR="0067225C" w:rsidRPr="00295637">
        <w:rPr>
          <w:rFonts w:ascii="Times New Roman" w:hAnsi="Times New Roman"/>
          <w:szCs w:val="24"/>
          <w:lang w:val="bs-Latn-BA"/>
        </w:rPr>
        <w:t xml:space="preserve"> </w:t>
      </w:r>
      <w:r>
        <w:rPr>
          <w:rFonts w:ascii="Times New Roman" w:hAnsi="Times New Roman"/>
          <w:szCs w:val="24"/>
          <w:lang w:val="bs-Latn-BA"/>
        </w:rPr>
        <w:t>међународним</w:t>
      </w:r>
      <w:r w:rsidR="0067225C" w:rsidRPr="00295637">
        <w:rPr>
          <w:rFonts w:ascii="Times New Roman" w:hAnsi="Times New Roman"/>
          <w:szCs w:val="24"/>
          <w:lang w:val="bs-Latn-BA"/>
        </w:rPr>
        <w:t xml:space="preserve"> </w:t>
      </w:r>
      <w:r>
        <w:rPr>
          <w:rFonts w:ascii="Times New Roman" w:hAnsi="Times New Roman"/>
          <w:szCs w:val="24"/>
          <w:lang w:val="bs-Latn-BA"/>
        </w:rPr>
        <w:t>стандардима</w:t>
      </w:r>
      <w:r w:rsidR="0067225C" w:rsidRPr="00295637">
        <w:rPr>
          <w:rFonts w:ascii="Times New Roman" w:hAnsi="Times New Roman"/>
          <w:szCs w:val="24"/>
          <w:lang w:val="bs-Latn-BA"/>
        </w:rPr>
        <w:t xml:space="preserve">, </w:t>
      </w:r>
      <w:r>
        <w:rPr>
          <w:rFonts w:ascii="Times New Roman" w:hAnsi="Times New Roman"/>
          <w:szCs w:val="24"/>
          <w:lang w:val="bs-Latn-BA"/>
        </w:rPr>
        <w:t>као</w:t>
      </w:r>
      <w:r w:rsidR="0067225C" w:rsidRPr="00295637">
        <w:rPr>
          <w:rFonts w:ascii="Times New Roman" w:hAnsi="Times New Roman"/>
          <w:szCs w:val="24"/>
          <w:lang w:val="bs-Latn-BA"/>
        </w:rPr>
        <w:t xml:space="preserve"> </w:t>
      </w:r>
      <w:r>
        <w:rPr>
          <w:rFonts w:ascii="Times New Roman" w:hAnsi="Times New Roman"/>
          <w:szCs w:val="24"/>
          <w:lang w:val="bs-Latn-BA"/>
        </w:rPr>
        <w:t>и</w:t>
      </w:r>
      <w:r w:rsidR="0067225C" w:rsidRPr="00295637">
        <w:rPr>
          <w:rFonts w:ascii="Times New Roman" w:hAnsi="Times New Roman"/>
          <w:szCs w:val="24"/>
          <w:lang w:val="bs-Latn-BA"/>
        </w:rPr>
        <w:t xml:space="preserve"> </w:t>
      </w:r>
      <w:r>
        <w:rPr>
          <w:rFonts w:ascii="Times New Roman" w:hAnsi="Times New Roman"/>
          <w:szCs w:val="24"/>
          <w:lang w:val="bs-Latn-BA"/>
        </w:rPr>
        <w:t>доношењу</w:t>
      </w:r>
      <w:r w:rsidR="0067225C" w:rsidRPr="00295637">
        <w:rPr>
          <w:rFonts w:ascii="Times New Roman" w:hAnsi="Times New Roman"/>
          <w:szCs w:val="24"/>
          <w:lang w:val="bs-Latn-BA"/>
        </w:rPr>
        <w:t xml:space="preserve"> </w:t>
      </w:r>
      <w:r>
        <w:rPr>
          <w:rFonts w:ascii="Times New Roman" w:hAnsi="Times New Roman"/>
          <w:szCs w:val="24"/>
          <w:lang w:val="bs-Latn-BA"/>
        </w:rPr>
        <w:t>конкретних</w:t>
      </w:r>
      <w:r w:rsidR="0067225C" w:rsidRPr="00295637">
        <w:rPr>
          <w:rFonts w:ascii="Times New Roman" w:hAnsi="Times New Roman"/>
          <w:szCs w:val="24"/>
          <w:lang w:val="bs-Latn-BA"/>
        </w:rPr>
        <w:t xml:space="preserve"> </w:t>
      </w:r>
      <w:r>
        <w:rPr>
          <w:rFonts w:ascii="Times New Roman" w:hAnsi="Times New Roman"/>
          <w:szCs w:val="24"/>
          <w:lang w:val="bs-Latn-BA"/>
        </w:rPr>
        <w:t>мјера</w:t>
      </w:r>
      <w:r w:rsidR="0067225C" w:rsidRPr="00295637">
        <w:rPr>
          <w:rFonts w:ascii="Times New Roman" w:hAnsi="Times New Roman"/>
          <w:szCs w:val="24"/>
          <w:lang w:val="bs-Latn-BA"/>
        </w:rPr>
        <w:t xml:space="preserve"> </w:t>
      </w:r>
      <w:r>
        <w:rPr>
          <w:rFonts w:ascii="Times New Roman" w:hAnsi="Times New Roman"/>
          <w:szCs w:val="24"/>
          <w:lang w:val="bs-Latn-BA"/>
        </w:rPr>
        <w:t>у</w:t>
      </w:r>
      <w:r w:rsidR="0067225C" w:rsidRPr="00295637">
        <w:rPr>
          <w:rFonts w:ascii="Times New Roman" w:hAnsi="Times New Roman"/>
          <w:szCs w:val="24"/>
          <w:lang w:val="bs-Latn-BA"/>
        </w:rPr>
        <w:t xml:space="preserve"> </w:t>
      </w:r>
      <w:r>
        <w:rPr>
          <w:rFonts w:ascii="Times New Roman" w:hAnsi="Times New Roman"/>
          <w:szCs w:val="24"/>
          <w:lang w:val="bs-Latn-BA"/>
        </w:rPr>
        <w:t>економији</w:t>
      </w:r>
      <w:r w:rsidR="0067225C" w:rsidRPr="00295637">
        <w:rPr>
          <w:rFonts w:ascii="Times New Roman" w:hAnsi="Times New Roman"/>
          <w:szCs w:val="24"/>
          <w:lang w:val="bs-Latn-BA"/>
        </w:rPr>
        <w:t xml:space="preserve"> </w:t>
      </w:r>
      <w:r>
        <w:rPr>
          <w:rFonts w:ascii="Times New Roman" w:hAnsi="Times New Roman"/>
          <w:szCs w:val="24"/>
          <w:lang w:val="bs-Latn-BA"/>
        </w:rPr>
        <w:t>бриге</w:t>
      </w:r>
      <w:r w:rsidR="0067225C" w:rsidRPr="00295637">
        <w:rPr>
          <w:rFonts w:ascii="Times New Roman" w:hAnsi="Times New Roman"/>
          <w:szCs w:val="24"/>
          <w:lang w:val="bs-Latn-BA"/>
        </w:rPr>
        <w:t xml:space="preserve">, </w:t>
      </w:r>
      <w:r>
        <w:rPr>
          <w:rFonts w:ascii="Times New Roman" w:hAnsi="Times New Roman"/>
          <w:szCs w:val="24"/>
          <w:lang w:val="bs-Latn-BA"/>
        </w:rPr>
        <w:t>здравству</w:t>
      </w:r>
      <w:r w:rsidR="0067225C" w:rsidRPr="00295637">
        <w:rPr>
          <w:rFonts w:ascii="Times New Roman" w:hAnsi="Times New Roman"/>
          <w:szCs w:val="24"/>
          <w:lang w:val="bs-Latn-BA"/>
        </w:rPr>
        <w:t xml:space="preserve">, </w:t>
      </w:r>
      <w:r>
        <w:rPr>
          <w:rFonts w:ascii="Times New Roman" w:hAnsi="Times New Roman"/>
          <w:szCs w:val="24"/>
          <w:lang w:val="bs-Latn-BA"/>
        </w:rPr>
        <w:t>правосуђу</w:t>
      </w:r>
      <w:r w:rsidR="0067225C" w:rsidRPr="00295637">
        <w:rPr>
          <w:rFonts w:ascii="Times New Roman" w:hAnsi="Times New Roman"/>
          <w:szCs w:val="24"/>
          <w:lang w:val="bs-Latn-BA"/>
        </w:rPr>
        <w:t xml:space="preserve"> </w:t>
      </w:r>
      <w:r>
        <w:rPr>
          <w:rFonts w:ascii="Times New Roman" w:hAnsi="Times New Roman"/>
          <w:szCs w:val="24"/>
          <w:lang w:val="bs-Latn-BA"/>
        </w:rPr>
        <w:t>у</w:t>
      </w:r>
      <w:r w:rsidR="00042F2A">
        <w:rPr>
          <w:rFonts w:ascii="Times New Roman" w:hAnsi="Times New Roman"/>
          <w:szCs w:val="24"/>
          <w:lang w:val="bs-Latn-BA"/>
        </w:rPr>
        <w:t xml:space="preserve"> </w:t>
      </w:r>
      <w:r>
        <w:rPr>
          <w:rFonts w:ascii="Times New Roman" w:hAnsi="Times New Roman"/>
          <w:szCs w:val="24"/>
          <w:lang w:val="bs-Latn-BA"/>
        </w:rPr>
        <w:t>складу</w:t>
      </w:r>
      <w:r w:rsidR="00042F2A">
        <w:rPr>
          <w:rFonts w:ascii="Times New Roman" w:hAnsi="Times New Roman"/>
          <w:szCs w:val="24"/>
          <w:lang w:val="bs-Latn-BA"/>
        </w:rPr>
        <w:t xml:space="preserve"> </w:t>
      </w:r>
      <w:r>
        <w:rPr>
          <w:rFonts w:ascii="Times New Roman" w:hAnsi="Times New Roman"/>
          <w:szCs w:val="24"/>
          <w:lang w:val="bs-Latn-BA"/>
        </w:rPr>
        <w:t>са</w:t>
      </w:r>
      <w:r w:rsidR="0067225C" w:rsidRPr="00295637">
        <w:rPr>
          <w:rFonts w:ascii="Times New Roman" w:hAnsi="Times New Roman"/>
          <w:szCs w:val="24"/>
          <w:lang w:val="bs-Latn-BA"/>
        </w:rPr>
        <w:t xml:space="preserve"> </w:t>
      </w:r>
      <w:r>
        <w:rPr>
          <w:rFonts w:ascii="Times New Roman" w:hAnsi="Times New Roman"/>
          <w:szCs w:val="24"/>
          <w:lang w:val="bs-Latn-BA"/>
        </w:rPr>
        <w:t>ЕУ</w:t>
      </w:r>
      <w:r w:rsidR="0067225C" w:rsidRPr="00295637">
        <w:rPr>
          <w:rFonts w:ascii="Times New Roman" w:hAnsi="Times New Roman"/>
          <w:szCs w:val="24"/>
          <w:lang w:val="bs-Latn-BA"/>
        </w:rPr>
        <w:t xml:space="preserve"> </w:t>
      </w:r>
      <w:r>
        <w:rPr>
          <w:rFonts w:ascii="Times New Roman" w:hAnsi="Times New Roman"/>
          <w:szCs w:val="24"/>
          <w:lang w:val="bs-Latn-BA"/>
        </w:rPr>
        <w:t>директивама</w:t>
      </w:r>
      <w:r w:rsidR="0067225C" w:rsidRPr="00295637">
        <w:rPr>
          <w:rFonts w:ascii="Times New Roman" w:hAnsi="Times New Roman"/>
          <w:szCs w:val="24"/>
          <w:lang w:val="bs-Latn-BA"/>
        </w:rPr>
        <w:t xml:space="preserve">. </w:t>
      </w:r>
    </w:p>
    <w:p w:rsidR="00896B63" w:rsidRPr="00295637" w:rsidRDefault="00896B63" w:rsidP="0086268D">
      <w:pPr>
        <w:jc w:val="both"/>
        <w:rPr>
          <w:rFonts w:ascii="Times New Roman" w:hAnsi="Times New Roman"/>
          <w:szCs w:val="24"/>
          <w:lang w:val="bs-Latn-BA"/>
        </w:rPr>
      </w:pPr>
    </w:p>
    <w:p w:rsidR="00485AB7" w:rsidRPr="00951F48" w:rsidRDefault="00C6214E" w:rsidP="00951F48">
      <w:pPr>
        <w:jc w:val="both"/>
        <w:rPr>
          <w:rFonts w:ascii="Times New Roman" w:hAnsi="Times New Roman"/>
          <w:szCs w:val="24"/>
          <w:lang w:val="bs-Latn-BA"/>
        </w:rPr>
      </w:pPr>
      <w:r>
        <w:rPr>
          <w:rFonts w:ascii="Times New Roman" w:hAnsi="Times New Roman"/>
          <w:szCs w:val="24"/>
          <w:lang w:val="bs-Latn-BA"/>
        </w:rPr>
        <w:t>Резултати</w:t>
      </w:r>
      <w:r w:rsidR="00DC4A3F">
        <w:rPr>
          <w:rFonts w:ascii="Times New Roman" w:hAnsi="Times New Roman"/>
          <w:szCs w:val="24"/>
          <w:lang w:val="bs-Latn-BA"/>
        </w:rPr>
        <w:t xml:space="preserve"> </w:t>
      </w:r>
      <w:r>
        <w:rPr>
          <w:rFonts w:ascii="Times New Roman" w:hAnsi="Times New Roman"/>
          <w:szCs w:val="24"/>
          <w:lang w:val="bs-Latn-BA"/>
        </w:rPr>
        <w:t>сарадње</w:t>
      </w:r>
      <w:r w:rsidR="00DC4A3F">
        <w:rPr>
          <w:rFonts w:ascii="Times New Roman" w:hAnsi="Times New Roman"/>
          <w:szCs w:val="24"/>
          <w:lang w:val="bs-Latn-BA"/>
        </w:rPr>
        <w:t xml:space="preserve"> </w:t>
      </w:r>
      <w:r>
        <w:rPr>
          <w:rFonts w:ascii="Times New Roman" w:hAnsi="Times New Roman"/>
          <w:szCs w:val="24"/>
          <w:lang w:val="bs-Latn-BA"/>
        </w:rPr>
        <w:t>ГЦ</w:t>
      </w:r>
      <w:r w:rsidR="007970A9">
        <w:rPr>
          <w:rFonts w:ascii="Times New Roman" w:hAnsi="Times New Roman"/>
          <w:szCs w:val="24"/>
          <w:lang w:val="bs-Latn-BA"/>
        </w:rPr>
        <w:t xml:space="preserve"> </w:t>
      </w:r>
      <w:r>
        <w:rPr>
          <w:rFonts w:ascii="Times New Roman" w:hAnsi="Times New Roman"/>
          <w:szCs w:val="24"/>
          <w:lang w:val="bs-Latn-BA"/>
        </w:rPr>
        <w:t>ФБиХ</w:t>
      </w:r>
      <w:r w:rsidR="007970A9">
        <w:rPr>
          <w:rFonts w:ascii="Times New Roman" w:hAnsi="Times New Roman"/>
          <w:szCs w:val="24"/>
          <w:lang w:val="bs-Latn-BA"/>
        </w:rPr>
        <w:t xml:space="preserve"> </w:t>
      </w:r>
      <w:r>
        <w:rPr>
          <w:rFonts w:ascii="Times New Roman" w:hAnsi="Times New Roman"/>
          <w:szCs w:val="24"/>
          <w:lang w:val="bs-Latn-BA"/>
        </w:rPr>
        <w:t>са</w:t>
      </w:r>
      <w:r w:rsidR="00042F2A">
        <w:rPr>
          <w:rFonts w:ascii="Times New Roman" w:hAnsi="Times New Roman"/>
          <w:szCs w:val="24"/>
          <w:lang w:val="bs-Latn-BA"/>
        </w:rPr>
        <w:t xml:space="preserve"> </w:t>
      </w:r>
      <w:r>
        <w:rPr>
          <w:rFonts w:ascii="Times New Roman" w:hAnsi="Times New Roman"/>
          <w:szCs w:val="24"/>
          <w:lang w:val="bs-Latn-BA"/>
        </w:rPr>
        <w:t>комисијама</w:t>
      </w:r>
      <w:r w:rsidR="00042F2A">
        <w:rPr>
          <w:rFonts w:ascii="Times New Roman" w:hAnsi="Times New Roman"/>
          <w:szCs w:val="24"/>
          <w:lang w:val="bs-Latn-BA"/>
        </w:rPr>
        <w:t xml:space="preserve"> </w:t>
      </w:r>
      <w:r>
        <w:rPr>
          <w:rFonts w:ascii="Times New Roman" w:hAnsi="Times New Roman"/>
          <w:szCs w:val="24"/>
          <w:lang w:val="bs-Latn-BA"/>
        </w:rPr>
        <w:t>Парламента</w:t>
      </w:r>
      <w:r w:rsidR="007970A9">
        <w:rPr>
          <w:rFonts w:ascii="Times New Roman" w:hAnsi="Times New Roman"/>
          <w:szCs w:val="24"/>
          <w:lang w:val="bs-Latn-BA"/>
        </w:rPr>
        <w:t xml:space="preserve"> </w:t>
      </w:r>
      <w:r>
        <w:rPr>
          <w:rFonts w:ascii="Times New Roman" w:hAnsi="Times New Roman"/>
          <w:szCs w:val="24"/>
          <w:lang w:val="bs-Latn-BA"/>
        </w:rPr>
        <w:t>ФБиХ</w:t>
      </w:r>
      <w:r w:rsidR="00D319BF">
        <w:rPr>
          <w:rFonts w:ascii="Times New Roman" w:hAnsi="Times New Roman"/>
          <w:szCs w:val="24"/>
          <w:lang w:val="bs-Latn-BA"/>
        </w:rPr>
        <w:t xml:space="preserve"> </w:t>
      </w:r>
      <w:r>
        <w:rPr>
          <w:rFonts w:ascii="Times New Roman" w:hAnsi="Times New Roman"/>
          <w:szCs w:val="24"/>
          <w:lang w:val="bs-Latn-BA"/>
        </w:rPr>
        <w:t>су</w:t>
      </w:r>
      <w:r w:rsidR="003A2F08" w:rsidRPr="00295637">
        <w:rPr>
          <w:rFonts w:ascii="Times New Roman" w:hAnsi="Times New Roman"/>
          <w:szCs w:val="24"/>
          <w:lang w:val="bs-Latn-BA"/>
        </w:rPr>
        <w:t xml:space="preserve"> </w:t>
      </w:r>
      <w:r>
        <w:rPr>
          <w:rFonts w:ascii="Times New Roman" w:hAnsi="Times New Roman"/>
          <w:szCs w:val="24"/>
          <w:lang w:val="bs-Latn-BA"/>
        </w:rPr>
        <w:t>доношење</w:t>
      </w:r>
      <w:r w:rsidR="00DC4A3F" w:rsidRPr="00295637">
        <w:rPr>
          <w:rFonts w:ascii="Times New Roman" w:hAnsi="Times New Roman"/>
          <w:szCs w:val="24"/>
          <w:lang w:val="bs-Latn-BA"/>
        </w:rPr>
        <w:t xml:space="preserve"> </w:t>
      </w:r>
      <w:r>
        <w:rPr>
          <w:rFonts w:ascii="Times New Roman" w:hAnsi="Times New Roman"/>
          <w:szCs w:val="24"/>
          <w:lang w:val="bs-Latn-BA"/>
        </w:rPr>
        <w:t>Стратегије</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превенцију</w:t>
      </w:r>
      <w:r w:rsidR="003A2F08" w:rsidRPr="00295637">
        <w:rPr>
          <w:rFonts w:ascii="Times New Roman" w:hAnsi="Times New Roman"/>
          <w:szCs w:val="24"/>
          <w:lang w:val="bs-Latn-BA"/>
        </w:rPr>
        <w:t xml:space="preserve"> </w:t>
      </w:r>
      <w:r>
        <w:rPr>
          <w:rFonts w:ascii="Times New Roman" w:hAnsi="Times New Roman"/>
          <w:szCs w:val="24"/>
          <w:lang w:val="bs-Latn-BA"/>
        </w:rPr>
        <w:t>о</w:t>
      </w:r>
      <w:r w:rsidR="003A2F08" w:rsidRPr="00295637">
        <w:rPr>
          <w:rFonts w:ascii="Times New Roman" w:hAnsi="Times New Roman"/>
          <w:szCs w:val="24"/>
          <w:lang w:val="bs-Latn-BA"/>
        </w:rPr>
        <w:t xml:space="preserve"> </w:t>
      </w:r>
      <w:r>
        <w:rPr>
          <w:rFonts w:ascii="Times New Roman" w:hAnsi="Times New Roman"/>
          <w:szCs w:val="24"/>
          <w:lang w:val="bs-Latn-BA"/>
        </w:rPr>
        <w:t>борбу</w:t>
      </w:r>
      <w:r w:rsidR="003A2F08" w:rsidRPr="00295637">
        <w:rPr>
          <w:rFonts w:ascii="Times New Roman" w:hAnsi="Times New Roman"/>
          <w:szCs w:val="24"/>
          <w:lang w:val="bs-Latn-BA"/>
        </w:rPr>
        <w:t xml:space="preserve"> </w:t>
      </w:r>
      <w:r>
        <w:rPr>
          <w:rFonts w:ascii="Times New Roman" w:hAnsi="Times New Roman"/>
          <w:szCs w:val="24"/>
          <w:lang w:val="bs-Latn-BA"/>
        </w:rPr>
        <w:t>против</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породици</w:t>
      </w:r>
      <w:r w:rsidR="003A2F08" w:rsidRPr="00295637">
        <w:rPr>
          <w:rFonts w:ascii="Times New Roman" w:hAnsi="Times New Roman"/>
          <w:szCs w:val="24"/>
          <w:lang w:val="bs-Latn-BA"/>
        </w:rPr>
        <w:t xml:space="preserve"> 2024</w:t>
      </w:r>
      <w:r w:rsidR="007970A9">
        <w:rPr>
          <w:rFonts w:ascii="Times New Roman" w:hAnsi="Times New Roman"/>
          <w:szCs w:val="24"/>
          <w:lang w:val="bs-Latn-BA"/>
        </w:rPr>
        <w:t>-</w:t>
      </w:r>
      <w:r w:rsidR="00066054" w:rsidRPr="00295637">
        <w:rPr>
          <w:rFonts w:ascii="Times New Roman" w:hAnsi="Times New Roman"/>
          <w:szCs w:val="24"/>
          <w:lang w:val="bs-Latn-BA"/>
        </w:rPr>
        <w:t>2027</w:t>
      </w:r>
      <w:r w:rsidR="007970A9">
        <w:rPr>
          <w:rFonts w:ascii="Times New Roman" w:hAnsi="Times New Roman"/>
          <w:szCs w:val="24"/>
          <w:lang w:val="bs-Latn-BA"/>
        </w:rPr>
        <w:t xml:space="preserve">. </w:t>
      </w:r>
      <w:r>
        <w:rPr>
          <w:rFonts w:ascii="Times New Roman" w:hAnsi="Times New Roman"/>
          <w:szCs w:val="24"/>
          <w:lang w:val="bs-Latn-BA"/>
        </w:rPr>
        <w:t>године</w:t>
      </w:r>
      <w:r w:rsidR="003A2F08" w:rsidRPr="00295637">
        <w:rPr>
          <w:rFonts w:ascii="Times New Roman" w:hAnsi="Times New Roman"/>
          <w:szCs w:val="24"/>
          <w:lang w:val="bs-Latn-BA"/>
        </w:rPr>
        <w:t xml:space="preserve">, </w:t>
      </w:r>
      <w:r>
        <w:rPr>
          <w:rFonts w:ascii="Times New Roman" w:hAnsi="Times New Roman"/>
          <w:szCs w:val="24"/>
          <w:lang w:val="bs-Latn-BA"/>
        </w:rPr>
        <w:t>праћење</w:t>
      </w:r>
      <w:r w:rsidR="003A2F08" w:rsidRPr="00295637">
        <w:rPr>
          <w:rFonts w:ascii="Times New Roman" w:hAnsi="Times New Roman"/>
          <w:szCs w:val="24"/>
          <w:lang w:val="bs-Latn-BA"/>
        </w:rPr>
        <w:t xml:space="preserve"> </w:t>
      </w:r>
      <w:r>
        <w:rPr>
          <w:rFonts w:ascii="Times New Roman" w:hAnsi="Times New Roman"/>
          <w:szCs w:val="24"/>
          <w:lang w:val="bs-Latn-BA"/>
        </w:rPr>
        <w:t>усклађивања</w:t>
      </w:r>
      <w:r w:rsidR="003A2F08" w:rsidRPr="00295637">
        <w:rPr>
          <w:rFonts w:ascii="Times New Roman" w:hAnsi="Times New Roman"/>
          <w:szCs w:val="24"/>
          <w:lang w:val="bs-Latn-BA"/>
        </w:rPr>
        <w:t xml:space="preserve"> </w:t>
      </w:r>
      <w:r>
        <w:rPr>
          <w:rFonts w:ascii="Times New Roman" w:hAnsi="Times New Roman"/>
          <w:szCs w:val="24"/>
          <w:lang w:val="bs-Latn-BA"/>
        </w:rPr>
        <w:t>Закона</w:t>
      </w:r>
      <w:r w:rsidR="003A2F08" w:rsidRPr="00295637">
        <w:rPr>
          <w:rFonts w:ascii="Times New Roman" w:hAnsi="Times New Roman"/>
          <w:szCs w:val="24"/>
          <w:lang w:val="bs-Latn-BA"/>
        </w:rPr>
        <w:t xml:space="preserve"> </w:t>
      </w:r>
      <w:r>
        <w:rPr>
          <w:rFonts w:ascii="Times New Roman" w:hAnsi="Times New Roman"/>
          <w:szCs w:val="24"/>
          <w:lang w:val="bs-Latn-BA"/>
        </w:rPr>
        <w:t>о</w:t>
      </w:r>
      <w:r w:rsidR="003A2F08" w:rsidRPr="00295637">
        <w:rPr>
          <w:rFonts w:ascii="Times New Roman" w:hAnsi="Times New Roman"/>
          <w:szCs w:val="24"/>
          <w:lang w:val="bs-Latn-BA"/>
        </w:rPr>
        <w:t xml:space="preserve"> </w:t>
      </w:r>
      <w:r>
        <w:rPr>
          <w:rFonts w:ascii="Times New Roman" w:hAnsi="Times New Roman"/>
          <w:szCs w:val="24"/>
          <w:lang w:val="bs-Latn-BA"/>
        </w:rPr>
        <w:t>заштити</w:t>
      </w:r>
      <w:r w:rsidR="003A2F08" w:rsidRPr="00295637">
        <w:rPr>
          <w:rFonts w:ascii="Times New Roman" w:hAnsi="Times New Roman"/>
          <w:szCs w:val="24"/>
          <w:lang w:val="bs-Latn-BA"/>
        </w:rPr>
        <w:t xml:space="preserve"> </w:t>
      </w:r>
      <w:r>
        <w:rPr>
          <w:rFonts w:ascii="Times New Roman" w:hAnsi="Times New Roman"/>
          <w:szCs w:val="24"/>
          <w:lang w:val="bs-Latn-BA"/>
        </w:rPr>
        <w:t>од</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породици</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7970A9">
        <w:rPr>
          <w:rFonts w:ascii="Times New Roman" w:hAnsi="Times New Roman"/>
          <w:szCs w:val="24"/>
          <w:lang w:val="bs-Latn-BA"/>
        </w:rPr>
        <w:t xml:space="preserve"> </w:t>
      </w:r>
      <w:r>
        <w:rPr>
          <w:rFonts w:ascii="Times New Roman" w:hAnsi="Times New Roman"/>
          <w:szCs w:val="24"/>
          <w:lang w:val="bs-Latn-BA"/>
        </w:rPr>
        <w:t>и</w:t>
      </w:r>
      <w:r w:rsidR="007970A9">
        <w:rPr>
          <w:rFonts w:ascii="Times New Roman" w:hAnsi="Times New Roman"/>
          <w:szCs w:val="24"/>
          <w:lang w:val="bs-Latn-BA"/>
        </w:rPr>
        <w:t xml:space="preserve"> </w:t>
      </w:r>
      <w:r>
        <w:rPr>
          <w:rFonts w:ascii="Times New Roman" w:hAnsi="Times New Roman"/>
          <w:szCs w:val="24"/>
          <w:lang w:val="bs-Latn-BA"/>
        </w:rPr>
        <w:t>Кривичног</w:t>
      </w:r>
      <w:r w:rsidR="007970A9">
        <w:rPr>
          <w:rFonts w:ascii="Times New Roman" w:hAnsi="Times New Roman"/>
          <w:szCs w:val="24"/>
          <w:lang w:val="bs-Latn-BA"/>
        </w:rPr>
        <w:t xml:space="preserve"> </w:t>
      </w:r>
      <w:r>
        <w:rPr>
          <w:rFonts w:ascii="Times New Roman" w:hAnsi="Times New Roman"/>
          <w:szCs w:val="24"/>
          <w:lang w:val="bs-Latn-BA"/>
        </w:rPr>
        <w:t>закона</w:t>
      </w:r>
      <w:r w:rsidR="007970A9">
        <w:rPr>
          <w:rFonts w:ascii="Times New Roman" w:hAnsi="Times New Roman"/>
          <w:szCs w:val="24"/>
          <w:lang w:val="bs-Latn-BA"/>
        </w:rPr>
        <w:t xml:space="preserve"> </w:t>
      </w:r>
      <w:r>
        <w:rPr>
          <w:rFonts w:ascii="Times New Roman" w:hAnsi="Times New Roman"/>
          <w:szCs w:val="24"/>
          <w:lang w:val="bs-Latn-BA"/>
        </w:rPr>
        <w:t>са</w:t>
      </w:r>
      <w:r w:rsidR="003A2F08" w:rsidRPr="00295637">
        <w:rPr>
          <w:rFonts w:ascii="Times New Roman" w:hAnsi="Times New Roman"/>
          <w:szCs w:val="24"/>
          <w:lang w:val="bs-Latn-BA"/>
        </w:rPr>
        <w:t xml:space="preserve"> </w:t>
      </w:r>
      <w:r>
        <w:rPr>
          <w:rFonts w:ascii="Times New Roman" w:hAnsi="Times New Roman"/>
          <w:szCs w:val="24"/>
          <w:lang w:val="bs-Latn-BA"/>
        </w:rPr>
        <w:t>Истанбулском</w:t>
      </w:r>
      <w:r w:rsidR="003A2F08" w:rsidRPr="00295637">
        <w:rPr>
          <w:rFonts w:ascii="Times New Roman" w:hAnsi="Times New Roman"/>
          <w:szCs w:val="24"/>
          <w:lang w:val="bs-Latn-BA"/>
        </w:rPr>
        <w:t xml:space="preserve"> </w:t>
      </w:r>
      <w:r>
        <w:rPr>
          <w:rFonts w:ascii="Times New Roman" w:hAnsi="Times New Roman"/>
          <w:szCs w:val="24"/>
          <w:lang w:val="bs-Latn-BA"/>
        </w:rPr>
        <w:t>конвенцијом</w:t>
      </w:r>
      <w:r w:rsidR="003A2F08" w:rsidRPr="00295637">
        <w:rPr>
          <w:rFonts w:ascii="Times New Roman" w:hAnsi="Times New Roman"/>
          <w:szCs w:val="24"/>
          <w:lang w:val="bs-Latn-BA"/>
        </w:rPr>
        <w:t xml:space="preserve">, </w:t>
      </w:r>
      <w:r>
        <w:rPr>
          <w:rFonts w:ascii="Times New Roman" w:hAnsi="Times New Roman"/>
          <w:szCs w:val="24"/>
          <w:lang w:val="bs-Latn-BA"/>
        </w:rPr>
        <w:t>те</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учешће</w:t>
      </w:r>
      <w:r w:rsidR="003A2F08" w:rsidRPr="00295637">
        <w:rPr>
          <w:rFonts w:ascii="Times New Roman" w:hAnsi="Times New Roman"/>
          <w:szCs w:val="24"/>
          <w:lang w:val="bs-Latn-BA"/>
        </w:rPr>
        <w:t xml:space="preserve"> </w:t>
      </w:r>
      <w:r>
        <w:rPr>
          <w:rFonts w:ascii="Times New Roman" w:hAnsi="Times New Roman"/>
          <w:szCs w:val="24"/>
          <w:lang w:val="bs-Latn-BA"/>
        </w:rPr>
        <w:t>на</w:t>
      </w:r>
      <w:r w:rsidR="003A2F08" w:rsidRPr="00295637">
        <w:rPr>
          <w:rFonts w:ascii="Times New Roman" w:hAnsi="Times New Roman"/>
          <w:szCs w:val="24"/>
          <w:lang w:val="bs-Latn-BA"/>
        </w:rPr>
        <w:t xml:space="preserve"> </w:t>
      </w:r>
      <w:r>
        <w:rPr>
          <w:rFonts w:ascii="Times New Roman" w:hAnsi="Times New Roman"/>
          <w:szCs w:val="24"/>
          <w:lang w:val="bs-Latn-BA"/>
        </w:rPr>
        <w:t>тематским</w:t>
      </w:r>
      <w:r w:rsidR="003A2F08" w:rsidRPr="00295637">
        <w:rPr>
          <w:rFonts w:ascii="Times New Roman" w:hAnsi="Times New Roman"/>
          <w:szCs w:val="24"/>
          <w:lang w:val="bs-Latn-BA"/>
        </w:rPr>
        <w:t xml:space="preserve"> </w:t>
      </w:r>
      <w:r>
        <w:rPr>
          <w:rFonts w:ascii="Times New Roman" w:hAnsi="Times New Roman"/>
          <w:szCs w:val="24"/>
          <w:lang w:val="bs-Latn-BA"/>
        </w:rPr>
        <w:t>сједницама</w:t>
      </w:r>
      <w:r w:rsidR="003A2F08" w:rsidRPr="00295637">
        <w:rPr>
          <w:rFonts w:ascii="Times New Roman" w:hAnsi="Times New Roman"/>
          <w:szCs w:val="24"/>
          <w:lang w:val="bs-Latn-BA"/>
        </w:rPr>
        <w:t xml:space="preserve"> </w:t>
      </w:r>
      <w:r>
        <w:rPr>
          <w:rFonts w:ascii="Times New Roman" w:hAnsi="Times New Roman"/>
          <w:szCs w:val="24"/>
          <w:lang w:val="bs-Latn-BA"/>
        </w:rPr>
        <w:t>о</w:t>
      </w:r>
      <w:r w:rsidR="003A2F08" w:rsidRPr="00295637">
        <w:rPr>
          <w:rFonts w:ascii="Times New Roman" w:hAnsi="Times New Roman"/>
          <w:szCs w:val="24"/>
          <w:lang w:val="bs-Latn-BA"/>
        </w:rPr>
        <w:t xml:space="preserve"> </w:t>
      </w:r>
      <w:r>
        <w:rPr>
          <w:rFonts w:ascii="Times New Roman" w:hAnsi="Times New Roman"/>
          <w:szCs w:val="24"/>
          <w:lang w:val="bs-Latn-BA"/>
        </w:rPr>
        <w:t>заштити</w:t>
      </w:r>
      <w:r w:rsidR="003A2F08" w:rsidRPr="00295637">
        <w:rPr>
          <w:rFonts w:ascii="Times New Roman" w:hAnsi="Times New Roman"/>
          <w:szCs w:val="24"/>
          <w:lang w:val="bs-Latn-BA"/>
        </w:rPr>
        <w:t xml:space="preserve"> </w:t>
      </w:r>
      <w:r>
        <w:rPr>
          <w:rFonts w:ascii="Times New Roman" w:hAnsi="Times New Roman"/>
          <w:szCs w:val="24"/>
          <w:lang w:val="bs-Latn-BA"/>
        </w:rPr>
        <w:t>од</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породици</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родно</w:t>
      </w:r>
      <w:r w:rsidR="003A2F08" w:rsidRPr="00295637">
        <w:rPr>
          <w:rFonts w:ascii="Times New Roman" w:hAnsi="Times New Roman"/>
          <w:szCs w:val="24"/>
          <w:lang w:val="bs-Latn-BA"/>
        </w:rPr>
        <w:t xml:space="preserve"> </w:t>
      </w:r>
      <w:r>
        <w:rPr>
          <w:rFonts w:ascii="Times New Roman" w:hAnsi="Times New Roman"/>
          <w:szCs w:val="24"/>
          <w:lang w:val="bs-Latn-BA"/>
        </w:rPr>
        <w:t>заснованог</w:t>
      </w:r>
      <w:r w:rsidR="003A2F08" w:rsidRPr="00295637">
        <w:rPr>
          <w:rFonts w:ascii="Times New Roman" w:hAnsi="Times New Roman"/>
          <w:szCs w:val="24"/>
          <w:lang w:val="bs-Latn-BA"/>
        </w:rPr>
        <w:t xml:space="preserve"> </w:t>
      </w:r>
      <w:r>
        <w:rPr>
          <w:rFonts w:ascii="Times New Roman" w:hAnsi="Times New Roman"/>
          <w:szCs w:val="24"/>
          <w:lang w:val="bs-Latn-BA"/>
        </w:rPr>
        <w:t>насиља</w:t>
      </w:r>
      <w:r w:rsidR="003A2F08" w:rsidRPr="00295637">
        <w:rPr>
          <w:rFonts w:ascii="Times New Roman" w:hAnsi="Times New Roman"/>
          <w:szCs w:val="24"/>
          <w:lang w:val="bs-Latn-BA"/>
        </w:rPr>
        <w:t xml:space="preserve"> </w:t>
      </w:r>
      <w:r>
        <w:rPr>
          <w:rFonts w:ascii="Times New Roman" w:hAnsi="Times New Roman"/>
          <w:szCs w:val="24"/>
          <w:lang w:val="bs-Latn-BA"/>
        </w:rPr>
        <w:t>Комисије</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3A2F08" w:rsidRPr="00295637">
        <w:rPr>
          <w:rFonts w:ascii="Times New Roman" w:hAnsi="Times New Roman"/>
          <w:szCs w:val="24"/>
          <w:lang w:val="bs-Latn-BA"/>
        </w:rPr>
        <w:t xml:space="preserve"> </w:t>
      </w:r>
      <w:r>
        <w:rPr>
          <w:rFonts w:ascii="Times New Roman" w:hAnsi="Times New Roman"/>
          <w:szCs w:val="24"/>
          <w:lang w:val="bs-Latn-BA"/>
        </w:rPr>
        <w:t>полова</w:t>
      </w:r>
      <w:r w:rsidR="003A2F08" w:rsidRPr="00295637">
        <w:rPr>
          <w:rFonts w:ascii="Times New Roman" w:hAnsi="Times New Roman"/>
          <w:szCs w:val="24"/>
          <w:lang w:val="bs-Latn-BA"/>
        </w:rPr>
        <w:t xml:space="preserve"> </w:t>
      </w:r>
      <w:r>
        <w:rPr>
          <w:rFonts w:ascii="Times New Roman" w:hAnsi="Times New Roman"/>
          <w:szCs w:val="24"/>
          <w:lang w:val="bs-Latn-BA"/>
        </w:rPr>
        <w:t>оба</w:t>
      </w:r>
      <w:r w:rsidR="003A2F08" w:rsidRPr="00295637">
        <w:rPr>
          <w:rFonts w:ascii="Times New Roman" w:hAnsi="Times New Roman"/>
          <w:szCs w:val="24"/>
          <w:lang w:val="bs-Latn-BA"/>
        </w:rPr>
        <w:t xml:space="preserve"> </w:t>
      </w:r>
      <w:r>
        <w:rPr>
          <w:rFonts w:ascii="Times New Roman" w:hAnsi="Times New Roman"/>
          <w:szCs w:val="24"/>
          <w:lang w:val="bs-Latn-BA"/>
        </w:rPr>
        <w:t>дома</w:t>
      </w:r>
      <w:r w:rsidR="003A2F08" w:rsidRPr="00295637">
        <w:rPr>
          <w:rFonts w:ascii="Times New Roman" w:hAnsi="Times New Roman"/>
          <w:szCs w:val="24"/>
          <w:lang w:val="bs-Latn-BA"/>
        </w:rPr>
        <w:t xml:space="preserve"> </w:t>
      </w:r>
      <w:r>
        <w:rPr>
          <w:rFonts w:ascii="Times New Roman" w:hAnsi="Times New Roman"/>
          <w:szCs w:val="24"/>
          <w:lang w:val="bs-Latn-BA"/>
        </w:rPr>
        <w:t>Парламента</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Комисије</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sidR="00195565">
        <w:rPr>
          <w:rFonts w:ascii="Times New Roman" w:hAnsi="Times New Roman"/>
          <w:szCs w:val="24"/>
          <w:lang w:val="sr-Cyrl-BA"/>
        </w:rPr>
        <w:t>безбједност</w:t>
      </w:r>
      <w:r w:rsidR="003A2F08" w:rsidRPr="00295637">
        <w:rPr>
          <w:rFonts w:ascii="Times New Roman" w:hAnsi="Times New Roman"/>
          <w:szCs w:val="24"/>
          <w:lang w:val="bs-Latn-BA"/>
        </w:rPr>
        <w:t xml:space="preserve"> </w:t>
      </w:r>
      <w:r>
        <w:rPr>
          <w:rFonts w:ascii="Times New Roman" w:hAnsi="Times New Roman"/>
          <w:szCs w:val="24"/>
          <w:lang w:val="bs-Latn-BA"/>
        </w:rPr>
        <w:t>Представничког</w:t>
      </w:r>
      <w:r w:rsidR="00066054" w:rsidRPr="00295637">
        <w:rPr>
          <w:rFonts w:ascii="Times New Roman" w:hAnsi="Times New Roman"/>
          <w:szCs w:val="24"/>
          <w:lang w:val="bs-Latn-BA"/>
        </w:rPr>
        <w:t xml:space="preserve"> </w:t>
      </w:r>
      <w:r>
        <w:rPr>
          <w:rFonts w:ascii="Times New Roman" w:hAnsi="Times New Roman"/>
          <w:szCs w:val="24"/>
          <w:lang w:val="bs-Latn-BA"/>
        </w:rPr>
        <w:t>дома</w:t>
      </w:r>
      <w:r w:rsidR="00066054" w:rsidRPr="00295637">
        <w:rPr>
          <w:rFonts w:ascii="Times New Roman" w:hAnsi="Times New Roman"/>
          <w:szCs w:val="24"/>
          <w:lang w:val="bs-Latn-BA"/>
        </w:rPr>
        <w:t xml:space="preserve"> </w:t>
      </w:r>
      <w:r>
        <w:rPr>
          <w:rFonts w:ascii="Times New Roman" w:hAnsi="Times New Roman"/>
          <w:szCs w:val="24"/>
          <w:lang w:val="bs-Latn-BA"/>
        </w:rPr>
        <w:t>и</w:t>
      </w:r>
      <w:r w:rsidR="00066054" w:rsidRPr="00295637">
        <w:rPr>
          <w:rFonts w:ascii="Times New Roman" w:hAnsi="Times New Roman"/>
          <w:szCs w:val="24"/>
          <w:lang w:val="bs-Latn-BA"/>
        </w:rPr>
        <w:t xml:space="preserve"> </w:t>
      </w:r>
      <w:r>
        <w:rPr>
          <w:rFonts w:ascii="Times New Roman" w:hAnsi="Times New Roman"/>
          <w:szCs w:val="24"/>
          <w:lang w:val="bs-Latn-BA"/>
        </w:rPr>
        <w:t>Комисије</w:t>
      </w:r>
      <w:r w:rsidR="00066054" w:rsidRPr="00295637">
        <w:rPr>
          <w:rFonts w:ascii="Times New Roman" w:hAnsi="Times New Roman"/>
          <w:szCs w:val="24"/>
          <w:lang w:val="bs-Latn-BA"/>
        </w:rPr>
        <w:t xml:space="preserve"> </w:t>
      </w:r>
      <w:r>
        <w:rPr>
          <w:rFonts w:ascii="Times New Roman" w:hAnsi="Times New Roman"/>
          <w:szCs w:val="24"/>
          <w:lang w:val="bs-Latn-BA"/>
        </w:rPr>
        <w:t>за</w:t>
      </w:r>
      <w:r w:rsidR="00066054" w:rsidRPr="00295637">
        <w:rPr>
          <w:rFonts w:ascii="Times New Roman" w:hAnsi="Times New Roman"/>
          <w:szCs w:val="24"/>
          <w:lang w:val="bs-Latn-BA"/>
        </w:rPr>
        <w:t xml:space="preserve"> </w:t>
      </w:r>
      <w:r>
        <w:rPr>
          <w:rFonts w:ascii="Times New Roman" w:hAnsi="Times New Roman"/>
          <w:szCs w:val="24"/>
          <w:lang w:val="bs-Latn-BA"/>
        </w:rPr>
        <w:t>људска</w:t>
      </w:r>
      <w:r w:rsidR="003A2F08" w:rsidRPr="00295637">
        <w:rPr>
          <w:rFonts w:ascii="Times New Roman" w:hAnsi="Times New Roman"/>
          <w:szCs w:val="24"/>
          <w:lang w:val="bs-Latn-BA"/>
        </w:rPr>
        <w:t xml:space="preserve"> </w:t>
      </w:r>
      <w:r>
        <w:rPr>
          <w:rFonts w:ascii="Times New Roman" w:hAnsi="Times New Roman"/>
          <w:szCs w:val="24"/>
          <w:lang w:val="bs-Latn-BA"/>
        </w:rPr>
        <w:t>права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слободе</w:t>
      </w:r>
      <w:r w:rsidR="003A2F08" w:rsidRPr="00295637">
        <w:rPr>
          <w:rFonts w:ascii="Times New Roman" w:hAnsi="Times New Roman"/>
          <w:szCs w:val="24"/>
          <w:lang w:val="bs-Latn-BA"/>
        </w:rPr>
        <w:t xml:space="preserve"> </w:t>
      </w:r>
      <w:r>
        <w:rPr>
          <w:rFonts w:ascii="Times New Roman" w:hAnsi="Times New Roman"/>
          <w:szCs w:val="24"/>
          <w:lang w:val="bs-Latn-BA"/>
        </w:rPr>
        <w:t>Дома</w:t>
      </w:r>
      <w:r w:rsidR="003A2F08" w:rsidRPr="00295637">
        <w:rPr>
          <w:rFonts w:ascii="Times New Roman" w:hAnsi="Times New Roman"/>
          <w:szCs w:val="24"/>
          <w:lang w:val="bs-Latn-BA"/>
        </w:rPr>
        <w:t xml:space="preserve"> </w:t>
      </w:r>
      <w:r>
        <w:rPr>
          <w:rFonts w:ascii="Times New Roman" w:hAnsi="Times New Roman"/>
          <w:szCs w:val="24"/>
          <w:lang w:val="bs-Latn-BA"/>
        </w:rPr>
        <w:t>народа</w:t>
      </w:r>
      <w:r w:rsidR="003A2F08" w:rsidRPr="00295637">
        <w:rPr>
          <w:rFonts w:ascii="Times New Roman" w:hAnsi="Times New Roman"/>
          <w:szCs w:val="24"/>
          <w:lang w:val="bs-Latn-BA"/>
        </w:rPr>
        <w:t xml:space="preserve">, </w:t>
      </w:r>
      <w:r>
        <w:rPr>
          <w:rFonts w:ascii="Times New Roman" w:hAnsi="Times New Roman"/>
          <w:szCs w:val="24"/>
          <w:lang w:val="bs-Latn-BA"/>
        </w:rPr>
        <w:t>које</w:t>
      </w:r>
      <w:r w:rsidR="003A2F08" w:rsidRPr="00295637">
        <w:rPr>
          <w:rFonts w:ascii="Times New Roman" w:hAnsi="Times New Roman"/>
          <w:szCs w:val="24"/>
          <w:lang w:val="bs-Latn-BA"/>
        </w:rPr>
        <w:t xml:space="preserve"> </w:t>
      </w:r>
      <w:r>
        <w:rPr>
          <w:rFonts w:ascii="Times New Roman" w:hAnsi="Times New Roman"/>
          <w:szCs w:val="24"/>
          <w:lang w:val="bs-Latn-BA"/>
        </w:rPr>
        <w:t>су</w:t>
      </w:r>
      <w:r w:rsidR="003A2F08" w:rsidRPr="00295637">
        <w:rPr>
          <w:rFonts w:ascii="Times New Roman" w:hAnsi="Times New Roman"/>
          <w:szCs w:val="24"/>
          <w:lang w:val="bs-Latn-BA"/>
        </w:rPr>
        <w:t xml:space="preserve"> </w:t>
      </w:r>
      <w:r>
        <w:rPr>
          <w:rFonts w:ascii="Times New Roman" w:hAnsi="Times New Roman"/>
          <w:szCs w:val="24"/>
          <w:lang w:val="bs-Latn-BA"/>
        </w:rPr>
        <w:t>реализ</w:t>
      </w:r>
      <w:r w:rsidR="00195565">
        <w:rPr>
          <w:rFonts w:ascii="Times New Roman" w:hAnsi="Times New Roman"/>
          <w:szCs w:val="24"/>
          <w:lang w:val="sr-Cyrl-BA"/>
        </w:rPr>
        <w:t>оване</w:t>
      </w:r>
      <w:r w:rsidR="003A2F08" w:rsidRPr="00295637">
        <w:rPr>
          <w:rFonts w:ascii="Times New Roman" w:hAnsi="Times New Roman"/>
          <w:szCs w:val="24"/>
          <w:lang w:val="bs-Latn-BA"/>
        </w:rPr>
        <w:t xml:space="preserve"> </w:t>
      </w:r>
      <w:r>
        <w:rPr>
          <w:rFonts w:ascii="Times New Roman" w:hAnsi="Times New Roman"/>
          <w:szCs w:val="24"/>
          <w:lang w:val="bs-Latn-BA"/>
        </w:rPr>
        <w:t>уз</w:t>
      </w:r>
      <w:r w:rsidR="003A2F08" w:rsidRPr="00295637">
        <w:rPr>
          <w:rFonts w:ascii="Times New Roman" w:hAnsi="Times New Roman"/>
          <w:szCs w:val="24"/>
          <w:lang w:val="bs-Latn-BA"/>
        </w:rPr>
        <w:t xml:space="preserve"> </w:t>
      </w:r>
      <w:r>
        <w:rPr>
          <w:rFonts w:ascii="Times New Roman" w:hAnsi="Times New Roman"/>
          <w:szCs w:val="24"/>
          <w:lang w:val="bs-Latn-BA"/>
        </w:rPr>
        <w:t>подршку</w:t>
      </w:r>
      <w:r w:rsidR="003A2F08" w:rsidRPr="00295637">
        <w:rPr>
          <w:rFonts w:ascii="Times New Roman" w:hAnsi="Times New Roman"/>
          <w:szCs w:val="24"/>
          <w:lang w:val="bs-Latn-BA"/>
        </w:rPr>
        <w:t xml:space="preserve"> </w:t>
      </w:r>
      <w:r>
        <w:rPr>
          <w:rFonts w:ascii="Times New Roman" w:hAnsi="Times New Roman"/>
          <w:szCs w:val="24"/>
          <w:lang w:val="bs-Latn-BA"/>
        </w:rPr>
        <w:t>Мисије</w:t>
      </w:r>
      <w:r w:rsidR="003A2F08" w:rsidRPr="00295637">
        <w:rPr>
          <w:rFonts w:ascii="Times New Roman" w:hAnsi="Times New Roman"/>
          <w:szCs w:val="24"/>
          <w:lang w:val="bs-Latn-BA"/>
        </w:rPr>
        <w:t xml:space="preserve"> </w:t>
      </w:r>
      <w:r>
        <w:rPr>
          <w:rFonts w:ascii="Times New Roman" w:hAnsi="Times New Roman"/>
          <w:szCs w:val="24"/>
          <w:lang w:val="bs-Latn-BA"/>
        </w:rPr>
        <w:t>О</w:t>
      </w:r>
      <w:r w:rsidR="00195565">
        <w:rPr>
          <w:rFonts w:ascii="Times New Roman" w:hAnsi="Times New Roman"/>
          <w:szCs w:val="24"/>
          <w:lang w:val="sr-Cyrl-BA"/>
        </w:rPr>
        <w:t>ЕБС</w:t>
      </w:r>
      <w:r w:rsidR="003A2F08" w:rsidRPr="00295637">
        <w:rPr>
          <w:rFonts w:ascii="Times New Roman" w:hAnsi="Times New Roman"/>
          <w:szCs w:val="24"/>
          <w:lang w:val="bs-Latn-BA"/>
        </w:rPr>
        <w:t>-</w:t>
      </w:r>
      <w:r>
        <w:rPr>
          <w:rFonts w:ascii="Times New Roman" w:hAnsi="Times New Roman"/>
          <w:szCs w:val="24"/>
          <w:lang w:val="bs-Latn-BA"/>
        </w:rPr>
        <w:t>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4C065F" w:rsidRPr="00295637">
        <w:rPr>
          <w:rFonts w:ascii="Times New Roman" w:hAnsi="Times New Roman"/>
          <w:szCs w:val="24"/>
          <w:lang w:val="bs-Latn-BA"/>
        </w:rPr>
        <w:t xml:space="preserve"> </w:t>
      </w:r>
      <w:r>
        <w:rPr>
          <w:rFonts w:ascii="Times New Roman" w:hAnsi="Times New Roman"/>
          <w:szCs w:val="24"/>
          <w:lang w:val="bs-Latn-BA"/>
        </w:rPr>
        <w:t>БиХ</w:t>
      </w:r>
      <w:r w:rsidR="004C065F" w:rsidRPr="00295637">
        <w:rPr>
          <w:rFonts w:ascii="Times New Roman" w:hAnsi="Times New Roman"/>
          <w:szCs w:val="24"/>
          <w:lang w:val="bs-Latn-BA"/>
        </w:rPr>
        <w:t xml:space="preserve">. </w:t>
      </w:r>
      <w:r>
        <w:rPr>
          <w:rFonts w:ascii="Times New Roman" w:hAnsi="Times New Roman"/>
          <w:szCs w:val="24"/>
          <w:lang w:val="bs-Latn-BA"/>
        </w:rPr>
        <w:t>ГЦ</w:t>
      </w:r>
      <w:r w:rsidR="007970A9">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sidR="00195565">
        <w:rPr>
          <w:rFonts w:ascii="Times New Roman" w:hAnsi="Times New Roman"/>
          <w:szCs w:val="24"/>
          <w:lang w:val="bs-Latn-BA"/>
        </w:rPr>
        <w:t xml:space="preserve">је </w:t>
      </w:r>
      <w:r>
        <w:rPr>
          <w:rFonts w:ascii="Times New Roman" w:hAnsi="Times New Roman"/>
          <w:szCs w:val="24"/>
          <w:lang w:val="bs-Latn-BA"/>
        </w:rPr>
        <w:t>припремао</w:t>
      </w:r>
      <w:r w:rsidR="003A2F08" w:rsidRPr="00295637">
        <w:rPr>
          <w:rFonts w:ascii="Times New Roman" w:hAnsi="Times New Roman"/>
          <w:szCs w:val="24"/>
          <w:lang w:val="bs-Latn-BA"/>
        </w:rPr>
        <w:t xml:space="preserve"> </w:t>
      </w:r>
      <w:r>
        <w:rPr>
          <w:rFonts w:ascii="Times New Roman" w:hAnsi="Times New Roman"/>
          <w:szCs w:val="24"/>
          <w:lang w:val="bs-Latn-BA"/>
        </w:rPr>
        <w:t>одговоре</w:t>
      </w:r>
      <w:r w:rsidR="003A2F08" w:rsidRPr="00295637">
        <w:rPr>
          <w:rFonts w:ascii="Times New Roman" w:hAnsi="Times New Roman"/>
          <w:szCs w:val="24"/>
          <w:lang w:val="bs-Latn-BA"/>
        </w:rPr>
        <w:t xml:space="preserve"> </w:t>
      </w:r>
      <w:r>
        <w:rPr>
          <w:rFonts w:ascii="Times New Roman" w:hAnsi="Times New Roman"/>
          <w:szCs w:val="24"/>
          <w:lang w:val="bs-Latn-BA"/>
        </w:rPr>
        <w:t>заступницима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7970A9">
        <w:rPr>
          <w:rFonts w:ascii="Times New Roman" w:hAnsi="Times New Roman"/>
          <w:szCs w:val="24"/>
          <w:lang w:val="bs-Latn-BA"/>
        </w:rPr>
        <w:t xml:space="preserve"> </w:t>
      </w:r>
      <w:r>
        <w:rPr>
          <w:rFonts w:ascii="Times New Roman" w:hAnsi="Times New Roman"/>
          <w:szCs w:val="24"/>
          <w:lang w:val="bs-Latn-BA"/>
        </w:rPr>
        <w:t>делегатима</w:t>
      </w:r>
      <w:r w:rsidR="007970A9">
        <w:rPr>
          <w:rFonts w:ascii="Times New Roman" w:hAnsi="Times New Roman"/>
          <w:szCs w:val="24"/>
          <w:lang w:val="bs-Latn-BA"/>
        </w:rPr>
        <w:t xml:space="preserve"> </w:t>
      </w:r>
      <w:r>
        <w:rPr>
          <w:rFonts w:ascii="Times New Roman" w:hAnsi="Times New Roman"/>
          <w:szCs w:val="24"/>
          <w:lang w:val="bs-Latn-BA"/>
        </w:rPr>
        <w:t>према</w:t>
      </w:r>
      <w:r w:rsidR="007970A9">
        <w:rPr>
          <w:rFonts w:ascii="Times New Roman" w:hAnsi="Times New Roman"/>
          <w:szCs w:val="24"/>
          <w:lang w:val="bs-Latn-BA"/>
        </w:rPr>
        <w:t xml:space="preserve"> </w:t>
      </w:r>
      <w:r>
        <w:rPr>
          <w:rFonts w:ascii="Times New Roman" w:hAnsi="Times New Roman"/>
          <w:szCs w:val="24"/>
          <w:lang w:val="bs-Latn-BA"/>
        </w:rPr>
        <w:t>закључцима</w:t>
      </w:r>
      <w:r w:rsidR="007970A9">
        <w:rPr>
          <w:rFonts w:ascii="Times New Roman" w:hAnsi="Times New Roman"/>
          <w:szCs w:val="24"/>
          <w:lang w:val="bs-Latn-BA"/>
        </w:rPr>
        <w:t xml:space="preserve"> </w:t>
      </w:r>
      <w:r>
        <w:rPr>
          <w:rFonts w:ascii="Times New Roman" w:hAnsi="Times New Roman"/>
          <w:szCs w:val="24"/>
          <w:lang w:val="bs-Latn-BA"/>
        </w:rPr>
        <w:t>са</w:t>
      </w:r>
      <w:r w:rsidR="003A2F08" w:rsidRPr="00295637">
        <w:rPr>
          <w:rFonts w:ascii="Times New Roman" w:hAnsi="Times New Roman"/>
          <w:szCs w:val="24"/>
          <w:lang w:val="bs-Latn-BA"/>
        </w:rPr>
        <w:t xml:space="preserve"> </w:t>
      </w:r>
      <w:r>
        <w:rPr>
          <w:rFonts w:ascii="Times New Roman" w:hAnsi="Times New Roman"/>
          <w:szCs w:val="24"/>
          <w:lang w:val="bs-Latn-BA"/>
        </w:rPr>
        <w:t>Заједничке</w:t>
      </w:r>
      <w:r w:rsidR="003A2F08" w:rsidRPr="00295637">
        <w:rPr>
          <w:rFonts w:ascii="Times New Roman" w:hAnsi="Times New Roman"/>
          <w:szCs w:val="24"/>
          <w:lang w:val="bs-Latn-BA"/>
        </w:rPr>
        <w:t xml:space="preserve"> </w:t>
      </w:r>
      <w:r>
        <w:rPr>
          <w:rFonts w:ascii="Times New Roman" w:hAnsi="Times New Roman"/>
          <w:szCs w:val="24"/>
          <w:lang w:val="bs-Latn-BA"/>
        </w:rPr>
        <w:t>тематске</w:t>
      </w:r>
      <w:r w:rsidR="003A2F08" w:rsidRPr="00295637">
        <w:rPr>
          <w:rFonts w:ascii="Times New Roman" w:hAnsi="Times New Roman"/>
          <w:szCs w:val="24"/>
          <w:lang w:val="bs-Latn-BA"/>
        </w:rPr>
        <w:t xml:space="preserve"> </w:t>
      </w:r>
      <w:r>
        <w:rPr>
          <w:rFonts w:ascii="Times New Roman" w:hAnsi="Times New Roman"/>
          <w:szCs w:val="24"/>
          <w:lang w:val="bs-Latn-BA"/>
        </w:rPr>
        <w:t>сједнице</w:t>
      </w:r>
      <w:r w:rsidR="003A2F08" w:rsidRPr="00295637">
        <w:rPr>
          <w:rFonts w:ascii="Times New Roman" w:hAnsi="Times New Roman"/>
          <w:szCs w:val="24"/>
          <w:lang w:val="bs-Latn-BA"/>
        </w:rPr>
        <w:t xml:space="preserve"> </w:t>
      </w:r>
      <w:r>
        <w:rPr>
          <w:rFonts w:ascii="Times New Roman" w:hAnsi="Times New Roman"/>
          <w:szCs w:val="24"/>
          <w:lang w:val="bs-Latn-BA"/>
        </w:rPr>
        <w:t>о</w:t>
      </w:r>
      <w:r w:rsidR="003A2F08" w:rsidRPr="00295637">
        <w:rPr>
          <w:rFonts w:ascii="Times New Roman" w:hAnsi="Times New Roman"/>
          <w:szCs w:val="24"/>
          <w:lang w:val="bs-Latn-BA"/>
        </w:rPr>
        <w:t xml:space="preserve"> „</w:t>
      </w:r>
      <w:r>
        <w:rPr>
          <w:rFonts w:ascii="Times New Roman" w:hAnsi="Times New Roman"/>
          <w:szCs w:val="24"/>
          <w:lang w:val="bs-Latn-BA"/>
        </w:rPr>
        <w:t>Институционалном</w:t>
      </w:r>
      <w:r w:rsidR="003A2F08" w:rsidRPr="00295637">
        <w:rPr>
          <w:rFonts w:ascii="Times New Roman" w:hAnsi="Times New Roman"/>
          <w:szCs w:val="24"/>
          <w:lang w:val="bs-Latn-BA"/>
        </w:rPr>
        <w:t xml:space="preserve"> </w:t>
      </w:r>
      <w:r>
        <w:rPr>
          <w:rFonts w:ascii="Times New Roman" w:hAnsi="Times New Roman"/>
          <w:szCs w:val="24"/>
          <w:lang w:val="bs-Latn-BA"/>
        </w:rPr>
        <w:t>одговору</w:t>
      </w:r>
      <w:r w:rsidR="003A2F08" w:rsidRPr="00295637">
        <w:rPr>
          <w:rFonts w:ascii="Times New Roman" w:hAnsi="Times New Roman"/>
          <w:szCs w:val="24"/>
          <w:lang w:val="bs-Latn-BA"/>
        </w:rPr>
        <w:t xml:space="preserve"> </w:t>
      </w:r>
      <w:r>
        <w:rPr>
          <w:rFonts w:ascii="Times New Roman" w:hAnsi="Times New Roman"/>
          <w:szCs w:val="24"/>
          <w:lang w:val="bs-Latn-BA"/>
        </w:rPr>
        <w:t>на</w:t>
      </w:r>
      <w:r w:rsidR="003A2F08" w:rsidRPr="00295637">
        <w:rPr>
          <w:rFonts w:ascii="Times New Roman" w:hAnsi="Times New Roman"/>
          <w:szCs w:val="24"/>
          <w:lang w:val="bs-Latn-BA"/>
        </w:rPr>
        <w:t xml:space="preserve"> </w:t>
      </w:r>
      <w:r>
        <w:rPr>
          <w:rFonts w:ascii="Times New Roman" w:hAnsi="Times New Roman"/>
          <w:szCs w:val="24"/>
          <w:lang w:val="bs-Latn-BA"/>
        </w:rPr>
        <w:t>насиље</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породици</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насиље</w:t>
      </w:r>
      <w:r w:rsidR="003A2F08" w:rsidRPr="00295637">
        <w:rPr>
          <w:rFonts w:ascii="Times New Roman" w:hAnsi="Times New Roman"/>
          <w:szCs w:val="24"/>
          <w:lang w:val="bs-Latn-BA"/>
        </w:rPr>
        <w:t xml:space="preserve"> </w:t>
      </w:r>
      <w:r>
        <w:rPr>
          <w:rFonts w:ascii="Times New Roman" w:hAnsi="Times New Roman"/>
          <w:szCs w:val="24"/>
          <w:lang w:val="bs-Latn-BA"/>
        </w:rPr>
        <w:t>над</w:t>
      </w:r>
      <w:r w:rsidR="003A2F08" w:rsidRPr="00295637">
        <w:rPr>
          <w:rFonts w:ascii="Times New Roman" w:hAnsi="Times New Roman"/>
          <w:szCs w:val="24"/>
          <w:lang w:val="bs-Latn-BA"/>
        </w:rPr>
        <w:t xml:space="preserve"> </w:t>
      </w:r>
      <w:r>
        <w:rPr>
          <w:rFonts w:ascii="Times New Roman" w:hAnsi="Times New Roman"/>
          <w:szCs w:val="24"/>
          <w:lang w:val="bs-Latn-BA"/>
        </w:rPr>
        <w:t>женама</w:t>
      </w:r>
      <w:r w:rsidR="003A2F08" w:rsidRPr="00295637">
        <w:rPr>
          <w:rFonts w:ascii="Times New Roman" w:hAnsi="Times New Roman"/>
          <w:szCs w:val="24"/>
          <w:lang w:val="bs-Latn-BA"/>
        </w:rPr>
        <w:t xml:space="preserve">“, </w:t>
      </w:r>
      <w:r>
        <w:rPr>
          <w:rFonts w:ascii="Times New Roman" w:hAnsi="Times New Roman"/>
          <w:szCs w:val="24"/>
          <w:lang w:val="bs-Latn-BA"/>
        </w:rPr>
        <w:t>као</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на</w:t>
      </w:r>
      <w:r w:rsidR="003A2F08" w:rsidRPr="00295637">
        <w:rPr>
          <w:rFonts w:ascii="Times New Roman" w:hAnsi="Times New Roman"/>
          <w:szCs w:val="24"/>
          <w:lang w:val="bs-Latn-BA"/>
        </w:rPr>
        <w:t xml:space="preserve"> </w:t>
      </w:r>
      <w:r>
        <w:rPr>
          <w:rFonts w:ascii="Times New Roman" w:hAnsi="Times New Roman"/>
          <w:szCs w:val="24"/>
          <w:lang w:val="bs-Latn-BA"/>
        </w:rPr>
        <w:t>заступничко</w:t>
      </w:r>
      <w:r w:rsidR="003A2F08" w:rsidRPr="00295637">
        <w:rPr>
          <w:rFonts w:ascii="Times New Roman" w:hAnsi="Times New Roman"/>
          <w:szCs w:val="24"/>
          <w:lang w:val="bs-Latn-BA"/>
        </w:rPr>
        <w:t xml:space="preserve"> </w:t>
      </w:r>
      <w:r>
        <w:rPr>
          <w:rFonts w:ascii="Times New Roman" w:hAnsi="Times New Roman"/>
          <w:szCs w:val="24"/>
          <w:lang w:val="bs-Latn-BA"/>
        </w:rPr>
        <w:t>питање</w:t>
      </w:r>
      <w:r w:rsidR="003A2F08" w:rsidRPr="00295637">
        <w:rPr>
          <w:rFonts w:ascii="Times New Roman" w:hAnsi="Times New Roman"/>
          <w:szCs w:val="24"/>
          <w:lang w:val="bs-Latn-BA"/>
        </w:rPr>
        <w:t xml:space="preserve"> </w:t>
      </w:r>
      <w:r>
        <w:rPr>
          <w:rFonts w:ascii="Times New Roman" w:hAnsi="Times New Roman"/>
          <w:szCs w:val="24"/>
          <w:lang w:val="bs-Latn-BA"/>
        </w:rPr>
        <w:t>заступника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Парламенту</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вези</w:t>
      </w:r>
      <w:r w:rsidR="003A2F08" w:rsidRPr="00295637">
        <w:rPr>
          <w:rFonts w:ascii="Times New Roman" w:hAnsi="Times New Roman"/>
          <w:szCs w:val="24"/>
          <w:lang w:val="bs-Latn-BA"/>
        </w:rPr>
        <w:t xml:space="preserve"> </w:t>
      </w:r>
      <w:r>
        <w:rPr>
          <w:rFonts w:ascii="Times New Roman" w:hAnsi="Times New Roman"/>
          <w:szCs w:val="24"/>
          <w:lang w:val="bs-Latn-BA"/>
        </w:rPr>
        <w:t>са</w:t>
      </w:r>
      <w:r w:rsidR="007970A9">
        <w:rPr>
          <w:rFonts w:ascii="Times New Roman" w:hAnsi="Times New Roman"/>
          <w:szCs w:val="24"/>
          <w:lang w:val="bs-Latn-BA"/>
        </w:rPr>
        <w:t xml:space="preserve"> </w:t>
      </w:r>
      <w:r>
        <w:rPr>
          <w:rFonts w:ascii="Times New Roman" w:hAnsi="Times New Roman"/>
          <w:szCs w:val="24"/>
          <w:lang w:val="bs-Latn-BA"/>
        </w:rPr>
        <w:t>насиљем</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породици</w:t>
      </w:r>
      <w:r w:rsidR="003A2F08" w:rsidRPr="00295637">
        <w:rPr>
          <w:rFonts w:ascii="Times New Roman" w:hAnsi="Times New Roman"/>
          <w:szCs w:val="24"/>
          <w:lang w:val="bs-Latn-BA"/>
        </w:rPr>
        <w:t xml:space="preserve">, </w:t>
      </w:r>
      <w:r>
        <w:rPr>
          <w:rFonts w:ascii="Times New Roman" w:hAnsi="Times New Roman"/>
          <w:szCs w:val="24"/>
          <w:lang w:val="bs-Latn-BA"/>
        </w:rPr>
        <w:t>базом</w:t>
      </w:r>
      <w:r w:rsidR="003A2F08" w:rsidRPr="00295637">
        <w:rPr>
          <w:rFonts w:ascii="Times New Roman" w:hAnsi="Times New Roman"/>
          <w:szCs w:val="24"/>
          <w:lang w:val="bs-Latn-BA"/>
        </w:rPr>
        <w:t xml:space="preserve"> </w:t>
      </w:r>
      <w:r>
        <w:rPr>
          <w:rFonts w:ascii="Times New Roman" w:hAnsi="Times New Roman"/>
          <w:szCs w:val="24"/>
          <w:lang w:val="bs-Latn-BA"/>
        </w:rPr>
        <w:t>података</w:t>
      </w:r>
      <w:r w:rsidR="003A2F08" w:rsidRPr="00295637">
        <w:rPr>
          <w:rFonts w:ascii="Times New Roman" w:hAnsi="Times New Roman"/>
          <w:szCs w:val="24"/>
          <w:lang w:val="bs-Latn-BA"/>
        </w:rPr>
        <w:t xml:space="preserve">, </w:t>
      </w:r>
      <w:r>
        <w:rPr>
          <w:rFonts w:ascii="Times New Roman" w:hAnsi="Times New Roman"/>
          <w:szCs w:val="24"/>
          <w:lang w:val="bs-Latn-BA"/>
        </w:rPr>
        <w:t>координационих</w:t>
      </w:r>
      <w:r w:rsidR="003A2F08" w:rsidRPr="00295637">
        <w:rPr>
          <w:rFonts w:ascii="Times New Roman" w:hAnsi="Times New Roman"/>
          <w:szCs w:val="24"/>
          <w:lang w:val="bs-Latn-BA"/>
        </w:rPr>
        <w:t xml:space="preserve"> </w:t>
      </w:r>
      <w:r>
        <w:rPr>
          <w:rFonts w:ascii="Times New Roman" w:hAnsi="Times New Roman"/>
          <w:szCs w:val="24"/>
          <w:lang w:val="bs-Latn-BA"/>
        </w:rPr>
        <w:t>органа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програма</w:t>
      </w:r>
      <w:r w:rsidR="003A2F08" w:rsidRPr="00295637">
        <w:rPr>
          <w:rFonts w:ascii="Times New Roman" w:hAnsi="Times New Roman"/>
          <w:szCs w:val="24"/>
          <w:lang w:val="bs-Latn-BA"/>
        </w:rPr>
        <w:t xml:space="preserve"> </w:t>
      </w:r>
      <w:r>
        <w:rPr>
          <w:rFonts w:ascii="Times New Roman" w:hAnsi="Times New Roman"/>
          <w:szCs w:val="24"/>
          <w:lang w:val="bs-Latn-BA"/>
        </w:rPr>
        <w:t>мјера</w:t>
      </w:r>
      <w:r w:rsidR="003A2F08" w:rsidRPr="00295637">
        <w:rPr>
          <w:rFonts w:ascii="Times New Roman" w:hAnsi="Times New Roman"/>
          <w:szCs w:val="24"/>
          <w:lang w:val="bs-Latn-BA"/>
        </w:rPr>
        <w:t>.</w:t>
      </w:r>
    </w:p>
    <w:p w:rsidR="00485AB7" w:rsidRPr="00295637" w:rsidRDefault="00485AB7" w:rsidP="0086268D">
      <w:pPr>
        <w:rPr>
          <w:szCs w:val="24"/>
          <w:lang w:val="bs-Latn-BA"/>
        </w:rPr>
      </w:pPr>
    </w:p>
    <w:p w:rsidR="00356C2C" w:rsidRPr="00295637" w:rsidRDefault="00195565" w:rsidP="00042F2A">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II</w:t>
      </w:r>
      <w:r w:rsidR="00042F2A">
        <w:rPr>
          <w:rFonts w:ascii="Times New Roman" w:hAnsi="Times New Roman" w:cs="Times New Roman"/>
          <w:b w:val="0"/>
          <w:lang w:val="bs-Latn-BA"/>
        </w:rPr>
        <w:t xml:space="preserve"> 3.4. </w:t>
      </w:r>
      <w:r w:rsidR="00C6214E">
        <w:rPr>
          <w:rFonts w:ascii="Times New Roman" w:hAnsi="Times New Roman" w:cs="Times New Roman"/>
          <w:b w:val="0"/>
          <w:lang w:val="bs-Latn-BA"/>
        </w:rPr>
        <w:t>Израда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планова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w:t>
      </w:r>
      <w:r>
        <w:rPr>
          <w:rFonts w:ascii="Times New Roman" w:hAnsi="Times New Roman" w:cs="Times New Roman"/>
          <w:b w:val="0"/>
          <w:lang w:val="sr-Cyrl-BA"/>
        </w:rPr>
        <w:t>безбјеђење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донаторских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средстава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Pr>
          <w:rFonts w:ascii="Times New Roman" w:hAnsi="Times New Roman" w:cs="Times New Roman"/>
          <w:b w:val="0"/>
          <w:lang w:val="sr-Cyrl-BA"/>
        </w:rPr>
        <w:t>спровођење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заједничких</w:t>
      </w:r>
      <w:r w:rsidR="00042F2A">
        <w:rPr>
          <w:rFonts w:ascii="Times New Roman" w:hAnsi="Times New Roman" w:cs="Times New Roman"/>
          <w:b w:val="0"/>
          <w:lang w:val="bs-Latn-BA"/>
        </w:rPr>
        <w:t xml:space="preserve"> </w:t>
      </w:r>
      <w:r w:rsidR="00C6214E">
        <w:rPr>
          <w:rFonts w:ascii="Times New Roman" w:hAnsi="Times New Roman" w:cs="Times New Roman"/>
          <w:b w:val="0"/>
          <w:lang w:val="bs-Latn-BA"/>
        </w:rPr>
        <w:t>програма</w:t>
      </w:r>
      <w:r w:rsidR="00042F2A">
        <w:rPr>
          <w:rFonts w:ascii="Times New Roman" w:hAnsi="Times New Roman" w:cs="Times New Roman"/>
          <w:b w:val="0"/>
          <w:lang w:val="bs-Latn-BA"/>
        </w:rPr>
        <w:t xml:space="preserve">, </w:t>
      </w:r>
      <w:r w:rsidR="00C6214E">
        <w:rPr>
          <w:rFonts w:ascii="Times New Roman" w:hAnsi="Times New Roman" w:cs="Times New Roman"/>
          <w:b w:val="0"/>
          <w:lang w:val="bs-Latn-BA"/>
        </w:rPr>
        <w:t>пројеката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активности</w:t>
      </w:r>
      <w:r w:rsidR="00356C2C" w:rsidRPr="00295637">
        <w:rPr>
          <w:rFonts w:ascii="Times New Roman" w:hAnsi="Times New Roman" w:cs="Times New Roman"/>
          <w:b w:val="0"/>
          <w:lang w:val="bs-Latn-BA"/>
        </w:rPr>
        <w:t xml:space="preserve">. </w:t>
      </w:r>
    </w:p>
    <w:p w:rsidR="00896B63" w:rsidRPr="00295637" w:rsidRDefault="00896B63" w:rsidP="0086268D">
      <w:pPr>
        <w:pStyle w:val="Normal1"/>
        <w:rPr>
          <w:rFonts w:ascii="Times New Roman" w:hAnsi="Times New Roman"/>
        </w:rPr>
      </w:pPr>
      <w:bookmarkStart w:id="61" w:name="_Toc193788543"/>
    </w:p>
    <w:p w:rsidR="005829ED" w:rsidRPr="00295637" w:rsidRDefault="00C6214E" w:rsidP="0086268D">
      <w:pPr>
        <w:pStyle w:val="Normal1"/>
        <w:jc w:val="both"/>
        <w:rPr>
          <w:rFonts w:ascii="Times New Roman" w:hAnsi="Times New Roman"/>
        </w:rPr>
      </w:pPr>
      <w:r>
        <w:rPr>
          <w:rFonts w:ascii="Times New Roman" w:hAnsi="Times New Roman"/>
        </w:rPr>
        <w:t>С</w:t>
      </w:r>
      <w:r w:rsidR="007970A9">
        <w:rPr>
          <w:rFonts w:ascii="Times New Roman" w:hAnsi="Times New Roman"/>
        </w:rPr>
        <w:t xml:space="preserve"> </w:t>
      </w:r>
      <w:r>
        <w:rPr>
          <w:rFonts w:ascii="Times New Roman" w:hAnsi="Times New Roman"/>
        </w:rPr>
        <w:t>обзиром</w:t>
      </w:r>
      <w:r w:rsidR="001D24A5" w:rsidRPr="00295637">
        <w:rPr>
          <w:rFonts w:ascii="Times New Roman" w:hAnsi="Times New Roman"/>
        </w:rPr>
        <w:t xml:space="preserve"> </w:t>
      </w:r>
      <w:r>
        <w:rPr>
          <w:rFonts w:ascii="Times New Roman" w:hAnsi="Times New Roman"/>
        </w:rPr>
        <w:t>да</w:t>
      </w:r>
      <w:r w:rsidR="001D24A5" w:rsidRPr="00295637">
        <w:rPr>
          <w:rFonts w:ascii="Times New Roman" w:hAnsi="Times New Roman"/>
        </w:rPr>
        <w:t xml:space="preserve"> </w:t>
      </w:r>
      <w:r>
        <w:rPr>
          <w:rFonts w:ascii="Times New Roman" w:hAnsi="Times New Roman"/>
        </w:rPr>
        <w:t>редовна</w:t>
      </w:r>
      <w:r w:rsidR="001D24A5" w:rsidRPr="00295637">
        <w:rPr>
          <w:rFonts w:ascii="Times New Roman" w:hAnsi="Times New Roman"/>
        </w:rPr>
        <w:t xml:space="preserve"> </w:t>
      </w:r>
      <w:r>
        <w:rPr>
          <w:rFonts w:ascii="Times New Roman" w:hAnsi="Times New Roman"/>
        </w:rPr>
        <w:t>буџетска</w:t>
      </w:r>
      <w:r w:rsidR="001D24A5" w:rsidRPr="00295637">
        <w:rPr>
          <w:rFonts w:ascii="Times New Roman" w:hAnsi="Times New Roman"/>
        </w:rPr>
        <w:t xml:space="preserve"> </w:t>
      </w:r>
      <w:r>
        <w:rPr>
          <w:rFonts w:ascii="Times New Roman" w:hAnsi="Times New Roman"/>
        </w:rPr>
        <w:t>средства</w:t>
      </w:r>
      <w:r w:rsidR="001D24A5" w:rsidRPr="00295637">
        <w:rPr>
          <w:rFonts w:ascii="Times New Roman" w:hAnsi="Times New Roman"/>
        </w:rPr>
        <w:t xml:space="preserve"> </w:t>
      </w:r>
      <w:r>
        <w:rPr>
          <w:rFonts w:ascii="Times New Roman" w:hAnsi="Times New Roman"/>
        </w:rPr>
        <w:t>нису</w:t>
      </w:r>
      <w:r w:rsidR="001D24A5" w:rsidRPr="00295637">
        <w:rPr>
          <w:rFonts w:ascii="Times New Roman" w:hAnsi="Times New Roman"/>
        </w:rPr>
        <w:t xml:space="preserve"> </w:t>
      </w:r>
      <w:r>
        <w:rPr>
          <w:rFonts w:ascii="Times New Roman" w:hAnsi="Times New Roman"/>
        </w:rPr>
        <w:t>довољна</w:t>
      </w:r>
      <w:r w:rsidR="001D24A5" w:rsidRPr="00295637">
        <w:rPr>
          <w:rFonts w:ascii="Times New Roman" w:hAnsi="Times New Roman"/>
        </w:rPr>
        <w:t xml:space="preserve"> </w:t>
      </w:r>
      <w:r>
        <w:rPr>
          <w:rFonts w:ascii="Times New Roman" w:hAnsi="Times New Roman"/>
        </w:rPr>
        <w:t>за</w:t>
      </w:r>
      <w:r w:rsidR="001D24A5" w:rsidRPr="00295637">
        <w:rPr>
          <w:rFonts w:ascii="Times New Roman" w:hAnsi="Times New Roman"/>
        </w:rPr>
        <w:t xml:space="preserve"> </w:t>
      </w:r>
      <w:r w:rsidR="00195565">
        <w:rPr>
          <w:rFonts w:ascii="Times New Roman" w:hAnsi="Times New Roman"/>
          <w:lang w:val="sr-Cyrl-BA"/>
        </w:rPr>
        <w:t>спровођење</w:t>
      </w:r>
      <w:r w:rsidR="001D24A5" w:rsidRPr="00295637">
        <w:rPr>
          <w:rFonts w:ascii="Times New Roman" w:hAnsi="Times New Roman"/>
        </w:rPr>
        <w:t xml:space="preserve"> </w:t>
      </w:r>
      <w:r>
        <w:rPr>
          <w:rFonts w:ascii="Times New Roman" w:hAnsi="Times New Roman"/>
        </w:rPr>
        <w:t>н</w:t>
      </w:r>
      <w:r w:rsidR="00195565">
        <w:rPr>
          <w:rFonts w:ascii="Times New Roman" w:hAnsi="Times New Roman"/>
          <w:lang w:val="sr-Cyrl-BA"/>
        </w:rPr>
        <w:t>еопходних</w:t>
      </w:r>
      <w:r w:rsidR="001D24A5" w:rsidRPr="00295637">
        <w:rPr>
          <w:rFonts w:ascii="Times New Roman" w:hAnsi="Times New Roman"/>
        </w:rPr>
        <w:t xml:space="preserve"> </w:t>
      </w:r>
      <w:r>
        <w:rPr>
          <w:rFonts w:ascii="Times New Roman" w:hAnsi="Times New Roman"/>
        </w:rPr>
        <w:t>мјера</w:t>
      </w:r>
      <w:r w:rsidR="00066054" w:rsidRPr="00295637">
        <w:rPr>
          <w:rFonts w:ascii="Times New Roman" w:hAnsi="Times New Roman"/>
        </w:rPr>
        <w:t xml:space="preserve"> </w:t>
      </w:r>
      <w:r>
        <w:rPr>
          <w:rFonts w:ascii="Times New Roman" w:hAnsi="Times New Roman"/>
        </w:rPr>
        <w:t>за</w:t>
      </w:r>
      <w:r w:rsidR="00066054" w:rsidRPr="00295637">
        <w:rPr>
          <w:rFonts w:ascii="Times New Roman" w:hAnsi="Times New Roman"/>
        </w:rPr>
        <w:t xml:space="preserve"> </w:t>
      </w:r>
      <w:r w:rsidR="00195565">
        <w:rPr>
          <w:rFonts w:ascii="Times New Roman" w:hAnsi="Times New Roman"/>
          <w:lang w:val="sr-Cyrl-BA"/>
        </w:rPr>
        <w:t>спровођење</w:t>
      </w:r>
      <w:r w:rsidR="00066054" w:rsidRPr="00295637">
        <w:rPr>
          <w:rFonts w:ascii="Times New Roman" w:hAnsi="Times New Roman"/>
        </w:rPr>
        <w:t xml:space="preserve"> </w:t>
      </w:r>
      <w:r>
        <w:rPr>
          <w:rFonts w:ascii="Times New Roman" w:hAnsi="Times New Roman"/>
        </w:rPr>
        <w:t>ГАП</w:t>
      </w:r>
      <w:r w:rsidR="00066054" w:rsidRPr="00295637">
        <w:rPr>
          <w:rFonts w:ascii="Times New Roman" w:hAnsi="Times New Roman"/>
        </w:rPr>
        <w:t>-</w:t>
      </w:r>
      <w:r>
        <w:rPr>
          <w:rFonts w:ascii="Times New Roman" w:hAnsi="Times New Roman"/>
        </w:rPr>
        <w:t>а</w:t>
      </w:r>
      <w:r w:rsidR="003431DE" w:rsidRPr="00295637">
        <w:rPr>
          <w:rFonts w:ascii="Times New Roman" w:hAnsi="Times New Roman"/>
        </w:rPr>
        <w:t xml:space="preserve"> </w:t>
      </w:r>
      <w:r>
        <w:rPr>
          <w:rFonts w:ascii="Times New Roman" w:hAnsi="Times New Roman"/>
        </w:rPr>
        <w:t>БиХ</w:t>
      </w:r>
      <w:r w:rsidR="001D24A5" w:rsidRPr="00295637">
        <w:rPr>
          <w:rFonts w:ascii="Times New Roman" w:hAnsi="Times New Roman"/>
        </w:rPr>
        <w:t xml:space="preserve">, </w:t>
      </w:r>
      <w:r>
        <w:rPr>
          <w:rFonts w:ascii="Times New Roman" w:hAnsi="Times New Roman"/>
        </w:rPr>
        <w:t>АР</w:t>
      </w:r>
      <w:r w:rsidR="00195565">
        <w:rPr>
          <w:rFonts w:ascii="Times New Roman" w:hAnsi="Times New Roman"/>
          <w:lang w:val="sr-Cyrl-BA"/>
        </w:rPr>
        <w:t>П</w:t>
      </w:r>
      <w:r w:rsidR="007970A9">
        <w:rPr>
          <w:rFonts w:ascii="Times New Roman" w:hAnsi="Times New Roman"/>
        </w:rPr>
        <w:t xml:space="preserve"> </w:t>
      </w:r>
      <w:r>
        <w:rPr>
          <w:rFonts w:ascii="Times New Roman" w:hAnsi="Times New Roman"/>
        </w:rPr>
        <w:t>БиХ</w:t>
      </w:r>
      <w:r w:rsidR="007970A9">
        <w:rPr>
          <w:rFonts w:ascii="Times New Roman" w:hAnsi="Times New Roman"/>
        </w:rPr>
        <w:t xml:space="preserve"> </w:t>
      </w:r>
      <w:r>
        <w:rPr>
          <w:rFonts w:ascii="Times New Roman" w:hAnsi="Times New Roman"/>
        </w:rPr>
        <w:t>МЉПИ</w:t>
      </w:r>
      <w:r w:rsidR="007970A9">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Pr>
          <w:rFonts w:ascii="Times New Roman" w:hAnsi="Times New Roman"/>
        </w:rPr>
        <w:t>дужи</w:t>
      </w:r>
      <w:r w:rsidR="001D24A5" w:rsidRPr="00295637">
        <w:rPr>
          <w:rFonts w:ascii="Times New Roman" w:hAnsi="Times New Roman"/>
        </w:rPr>
        <w:t xml:space="preserve"> </w:t>
      </w:r>
      <w:r>
        <w:rPr>
          <w:rFonts w:ascii="Times New Roman" w:hAnsi="Times New Roman"/>
        </w:rPr>
        <w:t>низ</w:t>
      </w:r>
      <w:r w:rsidR="001D24A5" w:rsidRPr="00295637">
        <w:rPr>
          <w:rFonts w:ascii="Times New Roman" w:hAnsi="Times New Roman"/>
        </w:rPr>
        <w:t xml:space="preserve"> </w:t>
      </w:r>
      <w:r>
        <w:rPr>
          <w:rFonts w:ascii="Times New Roman" w:hAnsi="Times New Roman"/>
        </w:rPr>
        <w:t>година</w:t>
      </w:r>
      <w:r w:rsidR="001D24A5" w:rsidRPr="00295637">
        <w:rPr>
          <w:rFonts w:ascii="Times New Roman" w:hAnsi="Times New Roman"/>
        </w:rPr>
        <w:t xml:space="preserve"> </w:t>
      </w:r>
      <w:r>
        <w:rPr>
          <w:rFonts w:ascii="Times New Roman" w:hAnsi="Times New Roman"/>
        </w:rPr>
        <w:t>има</w:t>
      </w:r>
      <w:r w:rsidR="001D24A5" w:rsidRPr="00295637">
        <w:rPr>
          <w:rFonts w:ascii="Times New Roman" w:hAnsi="Times New Roman"/>
        </w:rPr>
        <w:t xml:space="preserve"> </w:t>
      </w:r>
      <w:r>
        <w:rPr>
          <w:rFonts w:ascii="Times New Roman" w:hAnsi="Times New Roman"/>
        </w:rPr>
        <w:t>проактиван</w:t>
      </w:r>
      <w:r w:rsidR="001D24A5" w:rsidRPr="00295637">
        <w:rPr>
          <w:rFonts w:ascii="Times New Roman" w:hAnsi="Times New Roman"/>
        </w:rPr>
        <w:t xml:space="preserve"> </w:t>
      </w:r>
      <w:r>
        <w:rPr>
          <w:rFonts w:ascii="Times New Roman" w:hAnsi="Times New Roman"/>
        </w:rPr>
        <w:t>однос</w:t>
      </w:r>
      <w:r w:rsidR="001D24A5" w:rsidRPr="00295637">
        <w:rPr>
          <w:rFonts w:ascii="Times New Roman" w:hAnsi="Times New Roman"/>
        </w:rPr>
        <w:t xml:space="preserve"> </w:t>
      </w:r>
      <w:r>
        <w:rPr>
          <w:rFonts w:ascii="Times New Roman" w:hAnsi="Times New Roman"/>
        </w:rPr>
        <w:t>у</w:t>
      </w:r>
      <w:r w:rsidR="001D24A5" w:rsidRPr="00295637">
        <w:rPr>
          <w:rFonts w:ascii="Times New Roman" w:hAnsi="Times New Roman"/>
        </w:rPr>
        <w:t xml:space="preserve"> </w:t>
      </w:r>
      <w:r>
        <w:rPr>
          <w:rFonts w:ascii="Times New Roman" w:hAnsi="Times New Roman"/>
        </w:rPr>
        <w:t>смјеру</w:t>
      </w:r>
      <w:r w:rsidR="001D24A5" w:rsidRPr="00295637">
        <w:rPr>
          <w:rFonts w:ascii="Times New Roman" w:hAnsi="Times New Roman"/>
        </w:rPr>
        <w:t xml:space="preserve"> </w:t>
      </w:r>
      <w:r>
        <w:rPr>
          <w:rFonts w:ascii="Times New Roman" w:hAnsi="Times New Roman"/>
        </w:rPr>
        <w:t>изналажења</w:t>
      </w:r>
      <w:r w:rsidR="001D24A5" w:rsidRPr="00295637">
        <w:rPr>
          <w:rFonts w:ascii="Times New Roman" w:hAnsi="Times New Roman"/>
        </w:rPr>
        <w:t xml:space="preserve"> </w:t>
      </w:r>
      <w:r>
        <w:rPr>
          <w:rFonts w:ascii="Times New Roman" w:hAnsi="Times New Roman"/>
        </w:rPr>
        <w:t>донаторских</w:t>
      </w:r>
      <w:r w:rsidR="001D24A5" w:rsidRPr="00295637">
        <w:rPr>
          <w:rFonts w:ascii="Times New Roman" w:hAnsi="Times New Roman"/>
        </w:rPr>
        <w:t xml:space="preserve"> </w:t>
      </w:r>
      <w:r>
        <w:rPr>
          <w:rFonts w:ascii="Times New Roman" w:hAnsi="Times New Roman"/>
        </w:rPr>
        <w:t>средстава</w:t>
      </w:r>
      <w:r w:rsidR="001D24A5" w:rsidRPr="00295637">
        <w:rPr>
          <w:rFonts w:ascii="Times New Roman" w:hAnsi="Times New Roman"/>
        </w:rPr>
        <w:t>.</w:t>
      </w:r>
      <w:r w:rsidR="001D24A5" w:rsidRPr="00295637">
        <w:rPr>
          <w:rFonts w:ascii="Times New Roman" w:hAnsi="Times New Roman"/>
          <w:lang w:val="bs-Latn-BA"/>
        </w:rPr>
        <w:t xml:space="preserve"> </w:t>
      </w:r>
      <w:r>
        <w:rPr>
          <w:rFonts w:ascii="Times New Roman" w:hAnsi="Times New Roman"/>
        </w:rPr>
        <w:t>У</w:t>
      </w:r>
      <w:r w:rsidR="005829ED" w:rsidRPr="00295637">
        <w:rPr>
          <w:rFonts w:ascii="Times New Roman" w:hAnsi="Times New Roman"/>
        </w:rPr>
        <w:t xml:space="preserve"> </w:t>
      </w:r>
      <w:r>
        <w:rPr>
          <w:rFonts w:ascii="Times New Roman" w:hAnsi="Times New Roman"/>
        </w:rPr>
        <w:t>извјештајном</w:t>
      </w:r>
      <w:r w:rsidR="005829ED" w:rsidRPr="00295637">
        <w:rPr>
          <w:rFonts w:ascii="Times New Roman" w:hAnsi="Times New Roman"/>
        </w:rPr>
        <w:t xml:space="preserve"> </w:t>
      </w:r>
      <w:r>
        <w:rPr>
          <w:rFonts w:ascii="Times New Roman" w:hAnsi="Times New Roman"/>
        </w:rPr>
        <w:t>периоду</w:t>
      </w:r>
      <w:r w:rsidR="005829ED" w:rsidRPr="00295637">
        <w:rPr>
          <w:rFonts w:ascii="Times New Roman" w:hAnsi="Times New Roman"/>
        </w:rPr>
        <w:t xml:space="preserve">, </w:t>
      </w:r>
      <w:r>
        <w:rPr>
          <w:rFonts w:ascii="Times New Roman" w:hAnsi="Times New Roman"/>
        </w:rPr>
        <w:t>уложени</w:t>
      </w:r>
      <w:r w:rsidR="005829ED" w:rsidRPr="00295637">
        <w:rPr>
          <w:rFonts w:ascii="Times New Roman" w:hAnsi="Times New Roman"/>
        </w:rPr>
        <w:t xml:space="preserve"> </w:t>
      </w:r>
      <w:r>
        <w:rPr>
          <w:rFonts w:ascii="Times New Roman" w:hAnsi="Times New Roman"/>
        </w:rPr>
        <w:t>су</w:t>
      </w:r>
      <w:r w:rsidR="005829ED" w:rsidRPr="00295637">
        <w:rPr>
          <w:rFonts w:ascii="Times New Roman" w:hAnsi="Times New Roman"/>
        </w:rPr>
        <w:t xml:space="preserve"> </w:t>
      </w:r>
      <w:r>
        <w:rPr>
          <w:rFonts w:ascii="Times New Roman" w:hAnsi="Times New Roman"/>
        </w:rPr>
        <w:t>значајни</w:t>
      </w:r>
      <w:r w:rsidR="005829ED" w:rsidRPr="00295637">
        <w:rPr>
          <w:rFonts w:ascii="Times New Roman" w:hAnsi="Times New Roman"/>
        </w:rPr>
        <w:t xml:space="preserve"> </w:t>
      </w:r>
      <w:r>
        <w:rPr>
          <w:rFonts w:ascii="Times New Roman" w:hAnsi="Times New Roman"/>
        </w:rPr>
        <w:t>ресурси</w:t>
      </w:r>
      <w:r w:rsidR="005829ED" w:rsidRPr="00295637">
        <w:rPr>
          <w:rFonts w:ascii="Times New Roman" w:hAnsi="Times New Roman"/>
        </w:rPr>
        <w:t xml:space="preserve"> </w:t>
      </w:r>
      <w:r w:rsidR="00D962C7">
        <w:rPr>
          <w:rFonts w:ascii="Times New Roman" w:hAnsi="Times New Roman"/>
          <w:lang w:val="sr-Cyrl-BA"/>
        </w:rPr>
        <w:t>с</w:t>
      </w:r>
      <w:r w:rsidR="005829ED" w:rsidRPr="00295637">
        <w:rPr>
          <w:rFonts w:ascii="Times New Roman" w:hAnsi="Times New Roman"/>
        </w:rPr>
        <w:t xml:space="preserve"> </w:t>
      </w:r>
      <w:r>
        <w:rPr>
          <w:rFonts w:ascii="Times New Roman" w:hAnsi="Times New Roman"/>
        </w:rPr>
        <w:t>циљ</w:t>
      </w:r>
      <w:r w:rsidR="00D962C7">
        <w:rPr>
          <w:rFonts w:ascii="Times New Roman" w:hAnsi="Times New Roman"/>
          <w:lang w:val="sr-Cyrl-BA"/>
        </w:rPr>
        <w:t>ем</w:t>
      </w:r>
      <w:r w:rsidR="005829ED" w:rsidRPr="00295637">
        <w:rPr>
          <w:rFonts w:ascii="Times New Roman" w:hAnsi="Times New Roman"/>
        </w:rPr>
        <w:t xml:space="preserve"> </w:t>
      </w:r>
      <w:r>
        <w:rPr>
          <w:rFonts w:ascii="Times New Roman" w:hAnsi="Times New Roman"/>
        </w:rPr>
        <w:t>усмјеравања</w:t>
      </w:r>
      <w:r w:rsidR="005829ED" w:rsidRPr="00295637">
        <w:rPr>
          <w:rFonts w:ascii="Times New Roman" w:hAnsi="Times New Roman"/>
        </w:rPr>
        <w:t xml:space="preserve">, </w:t>
      </w:r>
      <w:r>
        <w:rPr>
          <w:rFonts w:ascii="Times New Roman" w:hAnsi="Times New Roman"/>
        </w:rPr>
        <w:t>координације</w:t>
      </w:r>
      <w:r w:rsidR="005829ED" w:rsidRPr="00295637">
        <w:rPr>
          <w:rFonts w:ascii="Times New Roman" w:hAnsi="Times New Roman"/>
        </w:rPr>
        <w:t xml:space="preserve"> </w:t>
      </w:r>
      <w:r>
        <w:rPr>
          <w:rFonts w:ascii="Times New Roman" w:hAnsi="Times New Roman"/>
        </w:rPr>
        <w:t>и</w:t>
      </w:r>
      <w:r w:rsidR="005829ED" w:rsidRPr="00295637">
        <w:rPr>
          <w:rFonts w:ascii="Times New Roman" w:hAnsi="Times New Roman"/>
        </w:rPr>
        <w:t xml:space="preserve"> </w:t>
      </w:r>
      <w:r>
        <w:rPr>
          <w:rFonts w:ascii="Times New Roman" w:hAnsi="Times New Roman"/>
        </w:rPr>
        <w:t>компатибилности</w:t>
      </w:r>
      <w:r w:rsidR="005829ED" w:rsidRPr="00295637">
        <w:rPr>
          <w:rFonts w:ascii="Times New Roman" w:hAnsi="Times New Roman"/>
        </w:rPr>
        <w:t xml:space="preserve"> </w:t>
      </w:r>
      <w:r>
        <w:rPr>
          <w:rFonts w:ascii="Times New Roman" w:hAnsi="Times New Roman"/>
        </w:rPr>
        <w:t>свих</w:t>
      </w:r>
      <w:r w:rsidR="005829ED" w:rsidRPr="00295637">
        <w:rPr>
          <w:rFonts w:ascii="Times New Roman" w:hAnsi="Times New Roman"/>
        </w:rPr>
        <w:t xml:space="preserve"> </w:t>
      </w:r>
      <w:r>
        <w:rPr>
          <w:rFonts w:ascii="Times New Roman" w:hAnsi="Times New Roman"/>
        </w:rPr>
        <w:t>пројеката</w:t>
      </w:r>
      <w:r w:rsidR="005829ED" w:rsidRPr="00295637">
        <w:rPr>
          <w:rFonts w:ascii="Times New Roman" w:hAnsi="Times New Roman"/>
        </w:rPr>
        <w:t xml:space="preserve"> </w:t>
      </w:r>
      <w:r>
        <w:rPr>
          <w:rFonts w:ascii="Times New Roman" w:hAnsi="Times New Roman"/>
        </w:rPr>
        <w:t>у</w:t>
      </w:r>
      <w:r w:rsidR="00AA77D1">
        <w:rPr>
          <w:rFonts w:ascii="Times New Roman" w:hAnsi="Times New Roman"/>
        </w:rPr>
        <w:t xml:space="preserve"> </w:t>
      </w:r>
      <w:r>
        <w:rPr>
          <w:rFonts w:ascii="Times New Roman" w:hAnsi="Times New Roman"/>
        </w:rPr>
        <w:t>вези</w:t>
      </w:r>
      <w:r w:rsidR="00AA77D1">
        <w:rPr>
          <w:rFonts w:ascii="Times New Roman" w:hAnsi="Times New Roman"/>
        </w:rPr>
        <w:t xml:space="preserve"> </w:t>
      </w:r>
      <w:r>
        <w:rPr>
          <w:rFonts w:ascii="Times New Roman" w:hAnsi="Times New Roman"/>
        </w:rPr>
        <w:t>са</w:t>
      </w:r>
      <w:r w:rsidR="005829ED" w:rsidRPr="00295637">
        <w:rPr>
          <w:rFonts w:ascii="Times New Roman" w:hAnsi="Times New Roman"/>
        </w:rPr>
        <w:t xml:space="preserve"> </w:t>
      </w:r>
      <w:r>
        <w:rPr>
          <w:rFonts w:ascii="Times New Roman" w:hAnsi="Times New Roman"/>
        </w:rPr>
        <w:t>равноправношћу</w:t>
      </w:r>
      <w:r w:rsidR="005829ED" w:rsidRPr="00295637">
        <w:rPr>
          <w:rFonts w:ascii="Times New Roman" w:hAnsi="Times New Roman"/>
        </w:rPr>
        <w:t xml:space="preserve"> </w:t>
      </w:r>
      <w:r>
        <w:rPr>
          <w:rFonts w:ascii="Times New Roman" w:hAnsi="Times New Roman"/>
        </w:rPr>
        <w:t>полова</w:t>
      </w:r>
      <w:r w:rsidR="005829ED" w:rsidRPr="00295637">
        <w:rPr>
          <w:rFonts w:ascii="Times New Roman" w:hAnsi="Times New Roman"/>
        </w:rPr>
        <w:t xml:space="preserve"> (</w:t>
      </w:r>
      <w:r>
        <w:rPr>
          <w:rFonts w:ascii="Times New Roman" w:hAnsi="Times New Roman"/>
        </w:rPr>
        <w:t>подржаних</w:t>
      </w:r>
      <w:r w:rsidR="005829ED" w:rsidRPr="00295637">
        <w:rPr>
          <w:rFonts w:ascii="Times New Roman" w:hAnsi="Times New Roman"/>
        </w:rPr>
        <w:t xml:space="preserve"> </w:t>
      </w:r>
      <w:r>
        <w:rPr>
          <w:rFonts w:ascii="Times New Roman" w:hAnsi="Times New Roman"/>
        </w:rPr>
        <w:t>од</w:t>
      </w:r>
      <w:r w:rsidR="005829ED" w:rsidRPr="00295637">
        <w:rPr>
          <w:rFonts w:ascii="Times New Roman" w:hAnsi="Times New Roman"/>
        </w:rPr>
        <w:t xml:space="preserve"> </w:t>
      </w:r>
      <w:r>
        <w:rPr>
          <w:rFonts w:ascii="Times New Roman" w:hAnsi="Times New Roman"/>
        </w:rPr>
        <w:t>стране</w:t>
      </w:r>
      <w:r w:rsidR="005829ED" w:rsidRPr="00295637">
        <w:rPr>
          <w:rFonts w:ascii="Times New Roman" w:hAnsi="Times New Roman"/>
        </w:rPr>
        <w:t xml:space="preserve"> </w:t>
      </w:r>
      <w:r>
        <w:rPr>
          <w:rFonts w:ascii="Times New Roman" w:hAnsi="Times New Roman"/>
        </w:rPr>
        <w:t>различитих</w:t>
      </w:r>
      <w:r w:rsidR="005829ED" w:rsidRPr="00295637">
        <w:rPr>
          <w:rFonts w:ascii="Times New Roman" w:hAnsi="Times New Roman"/>
        </w:rPr>
        <w:t xml:space="preserve"> </w:t>
      </w:r>
      <w:r>
        <w:rPr>
          <w:rFonts w:ascii="Times New Roman" w:hAnsi="Times New Roman"/>
        </w:rPr>
        <w:t>донатора</w:t>
      </w:r>
      <w:r w:rsidR="005829ED" w:rsidRPr="00295637">
        <w:rPr>
          <w:rFonts w:ascii="Times New Roman" w:hAnsi="Times New Roman"/>
        </w:rPr>
        <w:t xml:space="preserve">) </w:t>
      </w:r>
      <w:r>
        <w:rPr>
          <w:rFonts w:ascii="Times New Roman" w:hAnsi="Times New Roman"/>
        </w:rPr>
        <w:t>путем</w:t>
      </w:r>
      <w:r w:rsidR="005829ED" w:rsidRPr="00295637">
        <w:rPr>
          <w:rFonts w:ascii="Times New Roman" w:hAnsi="Times New Roman"/>
        </w:rPr>
        <w:t xml:space="preserve"> </w:t>
      </w:r>
      <w:r>
        <w:rPr>
          <w:rFonts w:ascii="Times New Roman" w:hAnsi="Times New Roman"/>
        </w:rPr>
        <w:t>чланства</w:t>
      </w:r>
      <w:r w:rsidR="005829ED" w:rsidRPr="00295637">
        <w:rPr>
          <w:rFonts w:ascii="Times New Roman" w:hAnsi="Times New Roman"/>
        </w:rPr>
        <w:t xml:space="preserve"> </w:t>
      </w:r>
      <w:r>
        <w:rPr>
          <w:rFonts w:ascii="Times New Roman" w:hAnsi="Times New Roman"/>
        </w:rPr>
        <w:t>у</w:t>
      </w:r>
      <w:r w:rsidR="005829ED" w:rsidRPr="00295637">
        <w:rPr>
          <w:rFonts w:ascii="Times New Roman" w:hAnsi="Times New Roman"/>
        </w:rPr>
        <w:t xml:space="preserve"> </w:t>
      </w:r>
      <w:r>
        <w:rPr>
          <w:rFonts w:ascii="Times New Roman" w:hAnsi="Times New Roman"/>
        </w:rPr>
        <w:t>управним</w:t>
      </w:r>
      <w:r w:rsidR="005829ED" w:rsidRPr="00295637">
        <w:rPr>
          <w:rFonts w:ascii="Times New Roman" w:hAnsi="Times New Roman"/>
        </w:rPr>
        <w:t xml:space="preserve">, </w:t>
      </w:r>
      <w:r>
        <w:rPr>
          <w:rFonts w:ascii="Times New Roman" w:hAnsi="Times New Roman"/>
        </w:rPr>
        <w:t>савјетодавним</w:t>
      </w:r>
      <w:r w:rsidR="005829ED" w:rsidRPr="00295637">
        <w:rPr>
          <w:rFonts w:ascii="Times New Roman" w:hAnsi="Times New Roman"/>
        </w:rPr>
        <w:t xml:space="preserve"> </w:t>
      </w:r>
      <w:r>
        <w:rPr>
          <w:rFonts w:ascii="Times New Roman" w:hAnsi="Times New Roman"/>
        </w:rPr>
        <w:t>и</w:t>
      </w:r>
      <w:r w:rsidR="005829ED" w:rsidRPr="00295637">
        <w:rPr>
          <w:rFonts w:ascii="Times New Roman" w:hAnsi="Times New Roman"/>
        </w:rPr>
        <w:t xml:space="preserve"> </w:t>
      </w:r>
      <w:r>
        <w:rPr>
          <w:rFonts w:ascii="Times New Roman" w:hAnsi="Times New Roman"/>
        </w:rPr>
        <w:t>пројектним</w:t>
      </w:r>
      <w:r w:rsidR="005829ED" w:rsidRPr="00295637">
        <w:rPr>
          <w:rFonts w:ascii="Times New Roman" w:hAnsi="Times New Roman"/>
        </w:rPr>
        <w:t xml:space="preserve"> </w:t>
      </w:r>
      <w:r>
        <w:rPr>
          <w:rFonts w:ascii="Times New Roman" w:hAnsi="Times New Roman"/>
        </w:rPr>
        <w:t>одборима</w:t>
      </w:r>
      <w:r w:rsidR="005829ED" w:rsidRPr="00295637">
        <w:rPr>
          <w:rFonts w:ascii="Times New Roman" w:hAnsi="Times New Roman"/>
        </w:rPr>
        <w:t xml:space="preserve"> </w:t>
      </w:r>
      <w:r>
        <w:rPr>
          <w:rFonts w:ascii="Times New Roman" w:hAnsi="Times New Roman"/>
        </w:rPr>
        <w:t>пројеката</w:t>
      </w:r>
      <w:r w:rsidR="005829ED" w:rsidRPr="00295637">
        <w:rPr>
          <w:rFonts w:ascii="Times New Roman" w:hAnsi="Times New Roman"/>
        </w:rPr>
        <w:t xml:space="preserve"> </w:t>
      </w:r>
      <w:r>
        <w:rPr>
          <w:rFonts w:ascii="Times New Roman" w:hAnsi="Times New Roman"/>
        </w:rPr>
        <w:t>и</w:t>
      </w:r>
      <w:r w:rsidR="005829ED" w:rsidRPr="00295637">
        <w:rPr>
          <w:rFonts w:ascii="Times New Roman" w:hAnsi="Times New Roman"/>
        </w:rPr>
        <w:t>/</w:t>
      </w:r>
      <w:r>
        <w:rPr>
          <w:rFonts w:ascii="Times New Roman" w:hAnsi="Times New Roman"/>
        </w:rPr>
        <w:t>или</w:t>
      </w:r>
      <w:r w:rsidR="005829ED" w:rsidRPr="00295637">
        <w:rPr>
          <w:rFonts w:ascii="Times New Roman" w:hAnsi="Times New Roman"/>
        </w:rPr>
        <w:t xml:space="preserve"> </w:t>
      </w:r>
      <w:r>
        <w:rPr>
          <w:rFonts w:ascii="Times New Roman" w:hAnsi="Times New Roman"/>
        </w:rPr>
        <w:t>директог</w:t>
      </w:r>
      <w:r w:rsidR="005829ED" w:rsidRPr="00295637">
        <w:rPr>
          <w:rFonts w:ascii="Times New Roman" w:hAnsi="Times New Roman"/>
        </w:rPr>
        <w:t xml:space="preserve"> </w:t>
      </w:r>
      <w:r>
        <w:rPr>
          <w:rFonts w:ascii="Times New Roman" w:hAnsi="Times New Roman"/>
        </w:rPr>
        <w:t>учешћа</w:t>
      </w:r>
      <w:r w:rsidR="007970A9">
        <w:rPr>
          <w:rFonts w:ascii="Times New Roman" w:hAnsi="Times New Roman"/>
        </w:rPr>
        <w:t xml:space="preserve"> </w:t>
      </w:r>
      <w:r>
        <w:rPr>
          <w:rFonts w:ascii="Times New Roman" w:hAnsi="Times New Roman"/>
        </w:rPr>
        <w:t>у</w:t>
      </w:r>
      <w:r w:rsidR="005829ED" w:rsidRPr="00295637">
        <w:rPr>
          <w:rFonts w:ascii="Times New Roman" w:hAnsi="Times New Roman"/>
        </w:rPr>
        <w:t xml:space="preserve"> </w:t>
      </w:r>
      <w:r>
        <w:rPr>
          <w:rFonts w:ascii="Times New Roman" w:hAnsi="Times New Roman"/>
        </w:rPr>
        <w:t>пројектима</w:t>
      </w:r>
      <w:r w:rsidR="005829ED" w:rsidRPr="00295637">
        <w:rPr>
          <w:rFonts w:ascii="Times New Roman" w:hAnsi="Times New Roman"/>
        </w:rPr>
        <w:t xml:space="preserve">. </w:t>
      </w:r>
      <w:r>
        <w:rPr>
          <w:rFonts w:ascii="Times New Roman" w:hAnsi="Times New Roman"/>
        </w:rPr>
        <w:t>То</w:t>
      </w:r>
      <w:r w:rsidR="005829ED" w:rsidRPr="00295637">
        <w:rPr>
          <w:rFonts w:ascii="Times New Roman" w:hAnsi="Times New Roman"/>
        </w:rPr>
        <w:t xml:space="preserve"> </w:t>
      </w:r>
      <w:r>
        <w:rPr>
          <w:rFonts w:ascii="Times New Roman" w:hAnsi="Times New Roman"/>
        </w:rPr>
        <w:t>се</w:t>
      </w:r>
      <w:r w:rsidR="005829ED" w:rsidRPr="00295637">
        <w:rPr>
          <w:rFonts w:ascii="Times New Roman" w:hAnsi="Times New Roman"/>
        </w:rPr>
        <w:t xml:space="preserve"> </w:t>
      </w:r>
      <w:r>
        <w:rPr>
          <w:rFonts w:ascii="Times New Roman" w:hAnsi="Times New Roman"/>
        </w:rPr>
        <w:t>односи</w:t>
      </w:r>
      <w:r w:rsidR="005829ED" w:rsidRPr="00295637">
        <w:rPr>
          <w:rFonts w:ascii="Times New Roman" w:hAnsi="Times New Roman"/>
        </w:rPr>
        <w:t xml:space="preserve"> </w:t>
      </w:r>
      <w:r>
        <w:rPr>
          <w:rFonts w:ascii="Times New Roman" w:hAnsi="Times New Roman"/>
        </w:rPr>
        <w:t>и</w:t>
      </w:r>
      <w:r w:rsidR="005829ED" w:rsidRPr="00295637">
        <w:rPr>
          <w:rFonts w:ascii="Times New Roman" w:hAnsi="Times New Roman"/>
        </w:rPr>
        <w:t xml:space="preserve"> </w:t>
      </w:r>
      <w:r>
        <w:rPr>
          <w:rFonts w:ascii="Times New Roman" w:hAnsi="Times New Roman"/>
        </w:rPr>
        <w:t>на</w:t>
      </w:r>
      <w:r w:rsidR="005829ED" w:rsidRPr="00295637">
        <w:rPr>
          <w:rFonts w:ascii="Times New Roman" w:hAnsi="Times New Roman"/>
        </w:rPr>
        <w:t xml:space="preserve"> </w:t>
      </w:r>
      <w:r w:rsidR="00D962C7">
        <w:rPr>
          <w:rFonts w:ascii="Times New Roman" w:hAnsi="Times New Roman"/>
          <w:lang w:val="sr-Cyrl-BA"/>
        </w:rPr>
        <w:t>спровођење</w:t>
      </w:r>
      <w:r w:rsidR="005829ED" w:rsidRPr="00295637">
        <w:rPr>
          <w:rFonts w:ascii="Times New Roman" w:hAnsi="Times New Roman"/>
        </w:rPr>
        <w:t xml:space="preserve"> </w:t>
      </w:r>
      <w:r w:rsidR="00D962C7" w:rsidRPr="00D962C7">
        <w:rPr>
          <w:rFonts w:ascii="Times New Roman" w:hAnsi="Times New Roman"/>
          <w:i/>
          <w:lang w:val="hr-BA"/>
        </w:rPr>
        <w:t>IPA</w:t>
      </w:r>
      <w:r w:rsidR="005829ED" w:rsidRPr="00295637">
        <w:rPr>
          <w:rFonts w:ascii="Times New Roman" w:hAnsi="Times New Roman"/>
        </w:rPr>
        <w:t xml:space="preserve"> </w:t>
      </w:r>
      <w:r>
        <w:rPr>
          <w:rFonts w:ascii="Times New Roman" w:hAnsi="Times New Roman"/>
        </w:rPr>
        <w:t>пројеката</w:t>
      </w:r>
      <w:r w:rsidR="005829ED" w:rsidRPr="00295637">
        <w:rPr>
          <w:rFonts w:ascii="Times New Roman" w:hAnsi="Times New Roman"/>
        </w:rPr>
        <w:t xml:space="preserve"> </w:t>
      </w:r>
      <w:r>
        <w:rPr>
          <w:rFonts w:ascii="Times New Roman" w:hAnsi="Times New Roman"/>
        </w:rPr>
        <w:t>јер</w:t>
      </w:r>
      <w:r w:rsidR="005829ED" w:rsidRPr="00295637">
        <w:rPr>
          <w:rFonts w:ascii="Times New Roman" w:hAnsi="Times New Roman"/>
        </w:rPr>
        <w:t xml:space="preserve"> </w:t>
      </w:r>
      <w:r>
        <w:rPr>
          <w:rFonts w:ascii="Times New Roman" w:hAnsi="Times New Roman"/>
        </w:rPr>
        <w:t>АР</w:t>
      </w:r>
      <w:r w:rsidR="00D962C7">
        <w:rPr>
          <w:rFonts w:ascii="Times New Roman" w:hAnsi="Times New Roman"/>
          <w:lang w:val="sr-Cyrl-BA"/>
        </w:rPr>
        <w:t>П</w:t>
      </w:r>
      <w:r w:rsidR="007970A9">
        <w:rPr>
          <w:rFonts w:ascii="Times New Roman" w:hAnsi="Times New Roman"/>
        </w:rPr>
        <w:t xml:space="preserve"> </w:t>
      </w:r>
      <w:r>
        <w:rPr>
          <w:rFonts w:ascii="Times New Roman" w:hAnsi="Times New Roman"/>
        </w:rPr>
        <w:t>БиХ</w:t>
      </w:r>
      <w:r w:rsidR="007970A9">
        <w:rPr>
          <w:rFonts w:ascii="Times New Roman" w:hAnsi="Times New Roman"/>
        </w:rPr>
        <w:t xml:space="preserve"> </w:t>
      </w:r>
      <w:r>
        <w:rPr>
          <w:rFonts w:ascii="Times New Roman" w:hAnsi="Times New Roman"/>
        </w:rPr>
        <w:t>МЉПИ</w:t>
      </w:r>
      <w:r w:rsidR="007970A9">
        <w:rPr>
          <w:rFonts w:ascii="Times New Roman" w:hAnsi="Times New Roman"/>
        </w:rPr>
        <w:t xml:space="preserve"> </w:t>
      </w:r>
      <w:r>
        <w:rPr>
          <w:rFonts w:ascii="Times New Roman" w:hAnsi="Times New Roman"/>
        </w:rPr>
        <w:t>БиХ</w:t>
      </w:r>
      <w:r w:rsidR="003209E3" w:rsidRPr="00295637">
        <w:rPr>
          <w:rFonts w:ascii="Times New Roman" w:hAnsi="Times New Roman"/>
        </w:rPr>
        <w:t>,</w:t>
      </w:r>
      <w:r w:rsidR="005829ED" w:rsidRPr="00295637">
        <w:rPr>
          <w:rFonts w:ascii="Times New Roman" w:hAnsi="Times New Roman"/>
        </w:rPr>
        <w:t xml:space="preserve"> </w:t>
      </w:r>
      <w:r>
        <w:rPr>
          <w:rFonts w:ascii="Times New Roman" w:hAnsi="Times New Roman"/>
        </w:rPr>
        <w:t>ГЦ</w:t>
      </w:r>
      <w:r w:rsidR="003209E3" w:rsidRPr="00295637">
        <w:rPr>
          <w:rFonts w:ascii="Times New Roman" w:hAnsi="Times New Roman"/>
        </w:rPr>
        <w:t xml:space="preserve"> </w:t>
      </w:r>
      <w:r>
        <w:rPr>
          <w:rFonts w:ascii="Times New Roman" w:hAnsi="Times New Roman"/>
        </w:rPr>
        <w:t>ФБиХ</w:t>
      </w:r>
      <w:r w:rsidR="005829ED" w:rsidRPr="00295637">
        <w:rPr>
          <w:rFonts w:ascii="Times New Roman" w:hAnsi="Times New Roman"/>
        </w:rPr>
        <w:t xml:space="preserve"> </w:t>
      </w:r>
      <w:r>
        <w:rPr>
          <w:rFonts w:ascii="Times New Roman" w:hAnsi="Times New Roman"/>
        </w:rPr>
        <w:t>и</w:t>
      </w:r>
      <w:r w:rsidR="003209E3" w:rsidRPr="00295637">
        <w:rPr>
          <w:rFonts w:ascii="Times New Roman" w:hAnsi="Times New Roman"/>
        </w:rPr>
        <w:t xml:space="preserve"> </w:t>
      </w:r>
      <w:r>
        <w:rPr>
          <w:rFonts w:ascii="Times New Roman" w:hAnsi="Times New Roman"/>
        </w:rPr>
        <w:t>ЦЈРП</w:t>
      </w:r>
      <w:r w:rsidR="003209E3" w:rsidRPr="00295637">
        <w:rPr>
          <w:rFonts w:ascii="Times New Roman" w:hAnsi="Times New Roman"/>
        </w:rPr>
        <w:t xml:space="preserve"> </w:t>
      </w:r>
      <w:r>
        <w:rPr>
          <w:rFonts w:ascii="Times New Roman" w:hAnsi="Times New Roman"/>
        </w:rPr>
        <w:t>РС</w:t>
      </w:r>
      <w:r w:rsidR="003209E3" w:rsidRPr="00295637">
        <w:rPr>
          <w:rFonts w:ascii="Times New Roman" w:hAnsi="Times New Roman"/>
        </w:rPr>
        <w:t xml:space="preserve"> </w:t>
      </w:r>
      <w:r>
        <w:rPr>
          <w:rFonts w:ascii="Times New Roman" w:hAnsi="Times New Roman"/>
        </w:rPr>
        <w:t>активно</w:t>
      </w:r>
      <w:r w:rsidR="005829ED" w:rsidRPr="00295637">
        <w:rPr>
          <w:rFonts w:ascii="Times New Roman" w:hAnsi="Times New Roman"/>
        </w:rPr>
        <w:t xml:space="preserve"> </w:t>
      </w:r>
      <w:r>
        <w:rPr>
          <w:rFonts w:ascii="Times New Roman" w:hAnsi="Times New Roman"/>
        </w:rPr>
        <w:t>раде</w:t>
      </w:r>
      <w:r w:rsidR="005829ED" w:rsidRPr="00295637">
        <w:rPr>
          <w:rFonts w:ascii="Times New Roman" w:hAnsi="Times New Roman"/>
        </w:rPr>
        <w:t xml:space="preserve"> </w:t>
      </w:r>
      <w:r>
        <w:rPr>
          <w:rFonts w:ascii="Times New Roman" w:hAnsi="Times New Roman"/>
        </w:rPr>
        <w:t>на</w:t>
      </w:r>
      <w:r w:rsidR="005829ED" w:rsidRPr="00295637">
        <w:rPr>
          <w:rFonts w:ascii="Times New Roman" w:hAnsi="Times New Roman"/>
        </w:rPr>
        <w:t xml:space="preserve"> </w:t>
      </w:r>
      <w:r>
        <w:rPr>
          <w:rFonts w:ascii="Times New Roman" w:hAnsi="Times New Roman"/>
        </w:rPr>
        <w:t>увођењу</w:t>
      </w:r>
      <w:r w:rsidR="005829ED" w:rsidRPr="00295637">
        <w:rPr>
          <w:rFonts w:ascii="Times New Roman" w:hAnsi="Times New Roman"/>
        </w:rPr>
        <w:t xml:space="preserve"> </w:t>
      </w:r>
      <w:r>
        <w:rPr>
          <w:rFonts w:ascii="Times New Roman" w:hAnsi="Times New Roman"/>
        </w:rPr>
        <w:t>принципа</w:t>
      </w:r>
      <w:r w:rsidR="005829ED" w:rsidRPr="00295637">
        <w:rPr>
          <w:rFonts w:ascii="Times New Roman" w:hAnsi="Times New Roman"/>
        </w:rPr>
        <w:t xml:space="preserve"> </w:t>
      </w:r>
      <w:r>
        <w:rPr>
          <w:rFonts w:ascii="Times New Roman" w:hAnsi="Times New Roman"/>
        </w:rPr>
        <w:t>равноправности</w:t>
      </w:r>
      <w:r w:rsidR="005829ED" w:rsidRPr="00295637">
        <w:rPr>
          <w:rFonts w:ascii="Times New Roman" w:hAnsi="Times New Roman"/>
        </w:rPr>
        <w:t xml:space="preserve"> </w:t>
      </w:r>
      <w:r>
        <w:rPr>
          <w:rFonts w:ascii="Times New Roman" w:hAnsi="Times New Roman"/>
        </w:rPr>
        <w:t>полова</w:t>
      </w:r>
      <w:r w:rsidR="005829ED" w:rsidRPr="00295637">
        <w:rPr>
          <w:rFonts w:ascii="Times New Roman" w:hAnsi="Times New Roman"/>
        </w:rPr>
        <w:t xml:space="preserve"> </w:t>
      </w:r>
      <w:r>
        <w:rPr>
          <w:rFonts w:ascii="Times New Roman" w:hAnsi="Times New Roman"/>
        </w:rPr>
        <w:t>у</w:t>
      </w:r>
      <w:r w:rsidR="005829ED" w:rsidRPr="00295637">
        <w:rPr>
          <w:rFonts w:ascii="Times New Roman" w:hAnsi="Times New Roman"/>
        </w:rPr>
        <w:t xml:space="preserve"> </w:t>
      </w:r>
      <w:r>
        <w:rPr>
          <w:rFonts w:ascii="Times New Roman" w:hAnsi="Times New Roman"/>
        </w:rPr>
        <w:t>ИПА</w:t>
      </w:r>
      <w:r w:rsidR="005829ED" w:rsidRPr="00295637">
        <w:rPr>
          <w:rFonts w:ascii="Times New Roman" w:hAnsi="Times New Roman"/>
        </w:rPr>
        <w:t xml:space="preserve"> </w:t>
      </w:r>
      <w:r>
        <w:rPr>
          <w:rFonts w:ascii="Times New Roman" w:hAnsi="Times New Roman"/>
        </w:rPr>
        <w:t>програмирање</w:t>
      </w:r>
      <w:r w:rsidR="005829ED" w:rsidRPr="00295637">
        <w:rPr>
          <w:rFonts w:ascii="Times New Roman" w:hAnsi="Times New Roman"/>
        </w:rPr>
        <w:t xml:space="preserve"> </w:t>
      </w:r>
      <w:r>
        <w:rPr>
          <w:rFonts w:ascii="Times New Roman" w:hAnsi="Times New Roman"/>
        </w:rPr>
        <w:t>према</w:t>
      </w:r>
      <w:r w:rsidR="005829ED" w:rsidRPr="00295637">
        <w:rPr>
          <w:rFonts w:ascii="Times New Roman" w:hAnsi="Times New Roman"/>
        </w:rPr>
        <w:t xml:space="preserve"> </w:t>
      </w:r>
      <w:r>
        <w:rPr>
          <w:rFonts w:ascii="Times New Roman" w:hAnsi="Times New Roman"/>
        </w:rPr>
        <w:t>програмима</w:t>
      </w:r>
      <w:r w:rsidR="005829ED" w:rsidRPr="00295637">
        <w:rPr>
          <w:rFonts w:ascii="Times New Roman" w:hAnsi="Times New Roman"/>
        </w:rPr>
        <w:t xml:space="preserve"> </w:t>
      </w:r>
      <w:r>
        <w:rPr>
          <w:rFonts w:ascii="Times New Roman" w:hAnsi="Times New Roman"/>
        </w:rPr>
        <w:t>намјењеним</w:t>
      </w:r>
      <w:r w:rsidR="005829ED" w:rsidRPr="00295637">
        <w:rPr>
          <w:rFonts w:ascii="Times New Roman" w:hAnsi="Times New Roman"/>
        </w:rPr>
        <w:t xml:space="preserve"> </w:t>
      </w:r>
      <w:r>
        <w:rPr>
          <w:rFonts w:ascii="Times New Roman" w:hAnsi="Times New Roman"/>
        </w:rPr>
        <w:t>за</w:t>
      </w:r>
      <w:r w:rsidR="005829ED" w:rsidRPr="00295637">
        <w:rPr>
          <w:rFonts w:ascii="Times New Roman" w:hAnsi="Times New Roman"/>
        </w:rPr>
        <w:t xml:space="preserve"> </w:t>
      </w:r>
      <w:r w:rsidR="00D962C7">
        <w:rPr>
          <w:rFonts w:ascii="Times New Roman" w:hAnsi="Times New Roman"/>
          <w:lang w:val="sr-Cyrl-BA"/>
        </w:rPr>
        <w:t>спровођење</w:t>
      </w:r>
      <w:r w:rsidR="005829ED" w:rsidRPr="00295637">
        <w:rPr>
          <w:rFonts w:ascii="Times New Roman" w:hAnsi="Times New Roman"/>
        </w:rPr>
        <w:t xml:space="preserve"> </w:t>
      </w:r>
      <w:r>
        <w:rPr>
          <w:rFonts w:ascii="Times New Roman" w:hAnsi="Times New Roman"/>
        </w:rPr>
        <w:t>ЗоР</w:t>
      </w:r>
      <w:r w:rsidR="00D962C7">
        <w:rPr>
          <w:rFonts w:ascii="Times New Roman" w:hAnsi="Times New Roman"/>
          <w:lang w:val="sr-Cyrl-BA"/>
        </w:rPr>
        <w:t>П</w:t>
      </w:r>
      <w:r w:rsidR="00C7190F">
        <w:rPr>
          <w:rFonts w:ascii="Times New Roman" w:hAnsi="Times New Roman"/>
        </w:rPr>
        <w:t xml:space="preserve"> </w:t>
      </w:r>
      <w:r>
        <w:rPr>
          <w:rFonts w:ascii="Times New Roman" w:hAnsi="Times New Roman"/>
        </w:rPr>
        <w:t>БиХ</w:t>
      </w:r>
      <w:r w:rsidR="005829ED" w:rsidRPr="00295637">
        <w:rPr>
          <w:rFonts w:ascii="Times New Roman" w:hAnsi="Times New Roman"/>
        </w:rPr>
        <w:t xml:space="preserve">. </w:t>
      </w:r>
      <w:r>
        <w:rPr>
          <w:rFonts w:ascii="Times New Roman" w:hAnsi="Times New Roman"/>
        </w:rPr>
        <w:t>У</w:t>
      </w:r>
      <w:r w:rsidR="005829ED" w:rsidRPr="00295637">
        <w:rPr>
          <w:rFonts w:ascii="Times New Roman" w:hAnsi="Times New Roman"/>
        </w:rPr>
        <w:t xml:space="preserve"> </w:t>
      </w:r>
      <w:r>
        <w:rPr>
          <w:rFonts w:ascii="Times New Roman" w:hAnsi="Times New Roman"/>
        </w:rPr>
        <w:t>том</w:t>
      </w:r>
      <w:r w:rsidR="007970A9">
        <w:rPr>
          <w:rFonts w:ascii="Times New Roman" w:hAnsi="Times New Roman"/>
        </w:rPr>
        <w:t xml:space="preserve"> </w:t>
      </w:r>
      <w:r>
        <w:rPr>
          <w:rFonts w:ascii="Times New Roman" w:hAnsi="Times New Roman"/>
        </w:rPr>
        <w:t>смислу</w:t>
      </w:r>
      <w:r w:rsidR="007970A9">
        <w:rPr>
          <w:rFonts w:ascii="Times New Roman" w:hAnsi="Times New Roman"/>
        </w:rPr>
        <w:t xml:space="preserve">, </w:t>
      </w:r>
      <w:r>
        <w:rPr>
          <w:rFonts w:ascii="Times New Roman" w:hAnsi="Times New Roman"/>
        </w:rPr>
        <w:t>синхрониз</w:t>
      </w:r>
      <w:r w:rsidR="00D962C7">
        <w:rPr>
          <w:rFonts w:ascii="Times New Roman" w:hAnsi="Times New Roman"/>
          <w:lang w:val="sr-Cyrl-BA"/>
        </w:rPr>
        <w:t>ован</w:t>
      </w:r>
      <w:r w:rsidR="007970A9">
        <w:rPr>
          <w:rFonts w:ascii="Times New Roman" w:hAnsi="Times New Roman"/>
        </w:rPr>
        <w:t xml:space="preserve"> </w:t>
      </w:r>
      <w:r>
        <w:rPr>
          <w:rFonts w:ascii="Times New Roman" w:hAnsi="Times New Roman"/>
        </w:rPr>
        <w:t>је</w:t>
      </w:r>
      <w:r w:rsidR="005829ED" w:rsidRPr="00295637">
        <w:rPr>
          <w:rFonts w:ascii="Times New Roman" w:hAnsi="Times New Roman"/>
        </w:rPr>
        <w:t xml:space="preserve"> </w:t>
      </w:r>
      <w:r>
        <w:rPr>
          <w:rFonts w:ascii="Times New Roman" w:hAnsi="Times New Roman"/>
        </w:rPr>
        <w:t>приступ</w:t>
      </w:r>
      <w:r w:rsidR="005829ED" w:rsidRPr="00295637">
        <w:rPr>
          <w:rFonts w:ascii="Times New Roman" w:hAnsi="Times New Roman"/>
        </w:rPr>
        <w:t xml:space="preserve"> </w:t>
      </w:r>
      <w:r>
        <w:rPr>
          <w:rFonts w:ascii="Times New Roman" w:hAnsi="Times New Roman"/>
        </w:rPr>
        <w:t>у</w:t>
      </w:r>
      <w:r w:rsidR="005829ED" w:rsidRPr="00295637">
        <w:rPr>
          <w:rFonts w:ascii="Times New Roman" w:hAnsi="Times New Roman"/>
        </w:rPr>
        <w:t xml:space="preserve"> </w:t>
      </w:r>
      <w:r w:rsidR="00D962C7">
        <w:rPr>
          <w:rFonts w:ascii="Times New Roman" w:hAnsi="Times New Roman"/>
          <w:lang w:val="sr-Cyrl-BA"/>
        </w:rPr>
        <w:t>спровођењу</w:t>
      </w:r>
      <w:r w:rsidR="005829ED" w:rsidRPr="00295637">
        <w:rPr>
          <w:rFonts w:ascii="Times New Roman" w:hAnsi="Times New Roman"/>
        </w:rPr>
        <w:t xml:space="preserve"> </w:t>
      </w:r>
      <w:r w:rsidR="00D962C7" w:rsidRPr="00D962C7">
        <w:rPr>
          <w:rFonts w:ascii="Times New Roman" w:hAnsi="Times New Roman"/>
          <w:i/>
          <w:lang w:val="hr-BA"/>
        </w:rPr>
        <w:t>IPA</w:t>
      </w:r>
      <w:r w:rsidR="005829ED" w:rsidRPr="00295637">
        <w:rPr>
          <w:rFonts w:ascii="Times New Roman" w:hAnsi="Times New Roman"/>
        </w:rPr>
        <w:t xml:space="preserve"> </w:t>
      </w:r>
      <w:r>
        <w:rPr>
          <w:rFonts w:ascii="Times New Roman" w:hAnsi="Times New Roman"/>
        </w:rPr>
        <w:t>пројеката</w:t>
      </w:r>
      <w:r w:rsidR="005829ED" w:rsidRPr="00295637">
        <w:rPr>
          <w:rFonts w:ascii="Times New Roman" w:hAnsi="Times New Roman"/>
        </w:rPr>
        <w:t xml:space="preserve">, </w:t>
      </w:r>
      <w:r w:rsidR="003523B0" w:rsidRPr="003523B0">
        <w:rPr>
          <w:rFonts w:ascii="Times New Roman" w:hAnsi="Times New Roman"/>
          <w:lang w:val="sr-Cyrl-BA"/>
        </w:rPr>
        <w:t xml:space="preserve">ФИГАП </w:t>
      </w:r>
      <w:r w:rsidR="003523B0" w:rsidRPr="003523B0">
        <w:rPr>
          <w:rFonts w:ascii="Times New Roman" w:hAnsi="Times New Roman"/>
          <w:lang w:val="hr-HR"/>
        </w:rPr>
        <w:t>II</w:t>
      </w:r>
      <w:r w:rsidR="005829ED" w:rsidRPr="00295637">
        <w:rPr>
          <w:rFonts w:ascii="Times New Roman" w:hAnsi="Times New Roman"/>
        </w:rPr>
        <w:t xml:space="preserve"> </w:t>
      </w:r>
      <w:r>
        <w:rPr>
          <w:rFonts w:ascii="Times New Roman" w:hAnsi="Times New Roman"/>
        </w:rPr>
        <w:t>Програма</w:t>
      </w:r>
      <w:r w:rsidR="005829ED" w:rsidRPr="00295637">
        <w:rPr>
          <w:rFonts w:ascii="Times New Roman" w:hAnsi="Times New Roman"/>
        </w:rPr>
        <w:t xml:space="preserve"> </w:t>
      </w:r>
      <w:r>
        <w:rPr>
          <w:rFonts w:ascii="Times New Roman" w:hAnsi="Times New Roman"/>
        </w:rPr>
        <w:t>и</w:t>
      </w:r>
      <w:r w:rsidR="005829ED" w:rsidRPr="00295637">
        <w:rPr>
          <w:rFonts w:ascii="Times New Roman" w:hAnsi="Times New Roman"/>
        </w:rPr>
        <w:t xml:space="preserve"> </w:t>
      </w:r>
      <w:r>
        <w:rPr>
          <w:rFonts w:ascii="Times New Roman" w:hAnsi="Times New Roman"/>
        </w:rPr>
        <w:t>подршке</w:t>
      </w:r>
      <w:r w:rsidR="005829ED" w:rsidRPr="00295637">
        <w:rPr>
          <w:rFonts w:ascii="Times New Roman" w:hAnsi="Times New Roman"/>
        </w:rPr>
        <w:t xml:space="preserve"> </w:t>
      </w:r>
      <w:r>
        <w:rPr>
          <w:rFonts w:ascii="Times New Roman" w:hAnsi="Times New Roman"/>
        </w:rPr>
        <w:t>кроз</w:t>
      </w:r>
      <w:r w:rsidR="005829ED" w:rsidRPr="00295637">
        <w:rPr>
          <w:rFonts w:ascii="Times New Roman" w:hAnsi="Times New Roman"/>
        </w:rPr>
        <w:t xml:space="preserve"> </w:t>
      </w:r>
      <w:r w:rsidR="00D962C7" w:rsidRPr="00D962C7">
        <w:rPr>
          <w:rFonts w:ascii="Times New Roman" w:hAnsi="Times New Roman"/>
          <w:i/>
          <w:iCs/>
          <w:lang w:val="bs-Latn-BA"/>
        </w:rPr>
        <w:t>UN Women</w:t>
      </w:r>
      <w:r w:rsidR="005829ED" w:rsidRPr="00295637">
        <w:rPr>
          <w:rFonts w:ascii="Times New Roman" w:hAnsi="Times New Roman"/>
        </w:rPr>
        <w:t xml:space="preserve">, </w:t>
      </w:r>
      <w:r>
        <w:rPr>
          <w:rFonts w:ascii="Times New Roman" w:hAnsi="Times New Roman"/>
        </w:rPr>
        <w:t>што</w:t>
      </w:r>
      <w:r w:rsidR="005829ED" w:rsidRPr="00295637">
        <w:rPr>
          <w:rFonts w:ascii="Times New Roman" w:hAnsi="Times New Roman"/>
        </w:rPr>
        <w:t xml:space="preserve"> </w:t>
      </w:r>
      <w:r>
        <w:rPr>
          <w:rFonts w:ascii="Times New Roman" w:hAnsi="Times New Roman"/>
        </w:rPr>
        <w:t>је</w:t>
      </w:r>
      <w:r w:rsidR="005829ED" w:rsidRPr="00295637">
        <w:rPr>
          <w:rFonts w:ascii="Times New Roman" w:hAnsi="Times New Roman"/>
        </w:rPr>
        <w:t xml:space="preserve"> </w:t>
      </w:r>
      <w:r>
        <w:rPr>
          <w:rFonts w:ascii="Times New Roman" w:hAnsi="Times New Roman"/>
        </w:rPr>
        <w:t>резултирало</w:t>
      </w:r>
      <w:r w:rsidR="005829ED" w:rsidRPr="00295637">
        <w:rPr>
          <w:rFonts w:ascii="Times New Roman" w:hAnsi="Times New Roman"/>
        </w:rPr>
        <w:t xml:space="preserve"> </w:t>
      </w:r>
      <w:r>
        <w:rPr>
          <w:rFonts w:ascii="Times New Roman" w:hAnsi="Times New Roman"/>
        </w:rPr>
        <w:t>успостављањем</w:t>
      </w:r>
      <w:r w:rsidR="005829ED" w:rsidRPr="00295637">
        <w:rPr>
          <w:rFonts w:ascii="Times New Roman" w:hAnsi="Times New Roman"/>
        </w:rPr>
        <w:t xml:space="preserve"> </w:t>
      </w:r>
      <w:r>
        <w:rPr>
          <w:rFonts w:ascii="Times New Roman" w:hAnsi="Times New Roman"/>
        </w:rPr>
        <w:t>Индекса</w:t>
      </w:r>
      <w:r w:rsidR="005829ED" w:rsidRPr="00295637">
        <w:rPr>
          <w:rFonts w:ascii="Times New Roman" w:hAnsi="Times New Roman"/>
        </w:rPr>
        <w:t xml:space="preserve"> </w:t>
      </w:r>
      <w:r>
        <w:rPr>
          <w:rFonts w:ascii="Times New Roman" w:hAnsi="Times New Roman"/>
        </w:rPr>
        <w:t>равноправности</w:t>
      </w:r>
      <w:r w:rsidR="00CC105E" w:rsidRPr="00295637">
        <w:rPr>
          <w:rFonts w:ascii="Times New Roman" w:hAnsi="Times New Roman"/>
        </w:rPr>
        <w:t xml:space="preserve"> </w:t>
      </w:r>
      <w:r>
        <w:rPr>
          <w:rFonts w:ascii="Times New Roman" w:hAnsi="Times New Roman"/>
        </w:rPr>
        <w:t>полова</w:t>
      </w:r>
      <w:r w:rsidR="005829ED" w:rsidRPr="00295637">
        <w:rPr>
          <w:rFonts w:ascii="Times New Roman" w:hAnsi="Times New Roman"/>
        </w:rPr>
        <w:t xml:space="preserve"> </w:t>
      </w:r>
      <w:r>
        <w:rPr>
          <w:rFonts w:ascii="Times New Roman" w:hAnsi="Times New Roman"/>
        </w:rPr>
        <w:t>уз</w:t>
      </w:r>
      <w:r w:rsidR="005829ED" w:rsidRPr="00295637">
        <w:rPr>
          <w:rFonts w:ascii="Times New Roman" w:hAnsi="Times New Roman"/>
        </w:rPr>
        <w:t xml:space="preserve"> </w:t>
      </w:r>
      <w:r>
        <w:rPr>
          <w:rFonts w:ascii="Times New Roman" w:hAnsi="Times New Roman"/>
        </w:rPr>
        <w:t>техничку</w:t>
      </w:r>
      <w:r w:rsidR="005829ED" w:rsidRPr="00295637">
        <w:rPr>
          <w:rFonts w:ascii="Times New Roman" w:hAnsi="Times New Roman"/>
        </w:rPr>
        <w:t xml:space="preserve"> </w:t>
      </w:r>
      <w:r>
        <w:rPr>
          <w:rFonts w:ascii="Times New Roman" w:hAnsi="Times New Roman"/>
        </w:rPr>
        <w:t>подршку</w:t>
      </w:r>
      <w:r w:rsidR="007970A9">
        <w:rPr>
          <w:rFonts w:ascii="Times New Roman" w:hAnsi="Times New Roman"/>
        </w:rPr>
        <w:t xml:space="preserve"> </w:t>
      </w:r>
      <w:r w:rsidR="00D962C7" w:rsidRPr="00D962C7">
        <w:rPr>
          <w:rFonts w:ascii="Times New Roman" w:hAnsi="Times New Roman"/>
          <w:i/>
          <w:lang w:val="hr-BA"/>
        </w:rPr>
        <w:t>EIGE</w:t>
      </w:r>
      <w:r w:rsidR="007970A9">
        <w:rPr>
          <w:rFonts w:ascii="Times New Roman" w:hAnsi="Times New Roman"/>
        </w:rPr>
        <w:t xml:space="preserve"> </w:t>
      </w:r>
      <w:r>
        <w:rPr>
          <w:rFonts w:ascii="Times New Roman" w:hAnsi="Times New Roman"/>
        </w:rPr>
        <w:t>као</w:t>
      </w:r>
      <w:r w:rsidR="007970A9">
        <w:rPr>
          <w:rFonts w:ascii="Times New Roman" w:hAnsi="Times New Roman"/>
        </w:rPr>
        <w:t xml:space="preserve"> </w:t>
      </w:r>
      <w:r>
        <w:rPr>
          <w:rFonts w:ascii="Times New Roman" w:hAnsi="Times New Roman"/>
        </w:rPr>
        <w:t>инструмента</w:t>
      </w:r>
      <w:r w:rsidR="007970A9">
        <w:rPr>
          <w:rFonts w:ascii="Times New Roman" w:hAnsi="Times New Roman"/>
        </w:rPr>
        <w:t xml:space="preserve"> </w:t>
      </w:r>
      <w:r>
        <w:rPr>
          <w:rFonts w:ascii="Times New Roman" w:hAnsi="Times New Roman"/>
        </w:rPr>
        <w:t>за</w:t>
      </w:r>
      <w:r w:rsidR="007970A9">
        <w:rPr>
          <w:rFonts w:ascii="Times New Roman" w:hAnsi="Times New Roman"/>
        </w:rPr>
        <w:t xml:space="preserve"> </w:t>
      </w:r>
      <w:r>
        <w:rPr>
          <w:rFonts w:ascii="Times New Roman" w:hAnsi="Times New Roman"/>
        </w:rPr>
        <w:t>унапређење</w:t>
      </w:r>
      <w:r w:rsidR="005829ED" w:rsidRPr="00295637">
        <w:rPr>
          <w:rFonts w:ascii="Times New Roman" w:hAnsi="Times New Roman"/>
        </w:rPr>
        <w:t xml:space="preserve"> </w:t>
      </w:r>
      <w:r>
        <w:rPr>
          <w:rFonts w:ascii="Times New Roman" w:hAnsi="Times New Roman"/>
        </w:rPr>
        <w:t>родно</w:t>
      </w:r>
      <w:r w:rsidR="005829ED" w:rsidRPr="00295637">
        <w:rPr>
          <w:rFonts w:ascii="Times New Roman" w:hAnsi="Times New Roman"/>
        </w:rPr>
        <w:t xml:space="preserve"> </w:t>
      </w:r>
      <w:r>
        <w:rPr>
          <w:rFonts w:ascii="Times New Roman" w:hAnsi="Times New Roman"/>
        </w:rPr>
        <w:t>одговорних</w:t>
      </w:r>
      <w:r w:rsidR="005829ED" w:rsidRPr="00295637">
        <w:rPr>
          <w:rFonts w:ascii="Times New Roman" w:hAnsi="Times New Roman"/>
        </w:rPr>
        <w:t xml:space="preserve"> </w:t>
      </w:r>
      <w:r>
        <w:rPr>
          <w:rFonts w:ascii="Times New Roman" w:hAnsi="Times New Roman"/>
        </w:rPr>
        <w:t>статистичких</w:t>
      </w:r>
      <w:r w:rsidR="005829ED" w:rsidRPr="00295637">
        <w:rPr>
          <w:rFonts w:ascii="Times New Roman" w:hAnsi="Times New Roman"/>
        </w:rPr>
        <w:t xml:space="preserve"> </w:t>
      </w:r>
      <w:r>
        <w:rPr>
          <w:rFonts w:ascii="Times New Roman" w:hAnsi="Times New Roman"/>
        </w:rPr>
        <w:t>евиденција</w:t>
      </w:r>
      <w:r w:rsidR="005829ED" w:rsidRPr="00295637">
        <w:rPr>
          <w:rFonts w:ascii="Times New Roman" w:hAnsi="Times New Roman"/>
        </w:rPr>
        <w:t xml:space="preserve"> </w:t>
      </w:r>
      <w:r>
        <w:rPr>
          <w:rFonts w:ascii="Times New Roman" w:hAnsi="Times New Roman"/>
        </w:rPr>
        <w:t>и</w:t>
      </w:r>
      <w:r w:rsidR="005829ED" w:rsidRPr="00295637">
        <w:rPr>
          <w:rFonts w:ascii="Times New Roman" w:hAnsi="Times New Roman"/>
        </w:rPr>
        <w:t xml:space="preserve"> </w:t>
      </w:r>
      <w:r>
        <w:rPr>
          <w:rFonts w:ascii="Times New Roman" w:hAnsi="Times New Roman"/>
        </w:rPr>
        <w:t>извјештавања</w:t>
      </w:r>
      <w:r w:rsidR="005829ED" w:rsidRPr="00295637">
        <w:rPr>
          <w:rFonts w:ascii="Times New Roman" w:hAnsi="Times New Roman"/>
        </w:rPr>
        <w:t xml:space="preserve">, </w:t>
      </w:r>
      <w:r>
        <w:rPr>
          <w:rFonts w:ascii="Times New Roman" w:hAnsi="Times New Roman"/>
        </w:rPr>
        <w:t>не</w:t>
      </w:r>
      <w:r w:rsidR="005829ED" w:rsidRPr="00295637">
        <w:rPr>
          <w:rFonts w:ascii="Times New Roman" w:hAnsi="Times New Roman"/>
        </w:rPr>
        <w:t xml:space="preserve"> </w:t>
      </w:r>
      <w:r>
        <w:rPr>
          <w:rFonts w:ascii="Times New Roman" w:hAnsi="Times New Roman"/>
        </w:rPr>
        <w:t>само</w:t>
      </w:r>
      <w:r w:rsidR="005829ED" w:rsidRPr="00295637">
        <w:rPr>
          <w:rFonts w:ascii="Times New Roman" w:hAnsi="Times New Roman"/>
        </w:rPr>
        <w:t xml:space="preserve"> </w:t>
      </w:r>
      <w:r>
        <w:rPr>
          <w:rFonts w:ascii="Times New Roman" w:hAnsi="Times New Roman"/>
        </w:rPr>
        <w:t>према</w:t>
      </w:r>
      <w:r w:rsidR="005829ED" w:rsidRPr="00295637">
        <w:rPr>
          <w:rFonts w:ascii="Times New Roman" w:hAnsi="Times New Roman"/>
        </w:rPr>
        <w:t xml:space="preserve"> </w:t>
      </w:r>
      <w:r>
        <w:rPr>
          <w:rFonts w:ascii="Times New Roman" w:hAnsi="Times New Roman"/>
        </w:rPr>
        <w:t>документима</w:t>
      </w:r>
      <w:r w:rsidR="005829ED" w:rsidRPr="00295637">
        <w:rPr>
          <w:rFonts w:ascii="Times New Roman" w:hAnsi="Times New Roman"/>
        </w:rPr>
        <w:t xml:space="preserve"> </w:t>
      </w:r>
      <w:r>
        <w:rPr>
          <w:rFonts w:ascii="Times New Roman" w:hAnsi="Times New Roman"/>
        </w:rPr>
        <w:t>ЕУ</w:t>
      </w:r>
      <w:r w:rsidR="005829ED" w:rsidRPr="00295637">
        <w:rPr>
          <w:rFonts w:ascii="Times New Roman" w:hAnsi="Times New Roman"/>
        </w:rPr>
        <w:t xml:space="preserve"> </w:t>
      </w:r>
      <w:r>
        <w:rPr>
          <w:rFonts w:ascii="Times New Roman" w:hAnsi="Times New Roman"/>
        </w:rPr>
        <w:t>већ</w:t>
      </w:r>
      <w:r w:rsidR="005829ED" w:rsidRPr="00295637">
        <w:rPr>
          <w:rFonts w:ascii="Times New Roman" w:hAnsi="Times New Roman"/>
        </w:rPr>
        <w:t xml:space="preserve"> </w:t>
      </w:r>
      <w:r>
        <w:rPr>
          <w:rFonts w:ascii="Times New Roman" w:hAnsi="Times New Roman"/>
        </w:rPr>
        <w:t>и</w:t>
      </w:r>
      <w:r w:rsidR="005829ED" w:rsidRPr="00295637">
        <w:rPr>
          <w:rFonts w:ascii="Times New Roman" w:hAnsi="Times New Roman"/>
        </w:rPr>
        <w:t xml:space="preserve"> </w:t>
      </w:r>
      <w:r>
        <w:rPr>
          <w:rFonts w:ascii="Times New Roman" w:hAnsi="Times New Roman"/>
        </w:rPr>
        <w:t>специфично</w:t>
      </w:r>
      <w:r w:rsidR="005829ED" w:rsidRPr="00295637">
        <w:rPr>
          <w:rFonts w:ascii="Times New Roman" w:hAnsi="Times New Roman"/>
        </w:rPr>
        <w:t xml:space="preserve"> </w:t>
      </w:r>
      <w:r>
        <w:rPr>
          <w:rFonts w:ascii="Times New Roman" w:hAnsi="Times New Roman"/>
        </w:rPr>
        <w:t>према</w:t>
      </w:r>
      <w:r w:rsidR="005829ED" w:rsidRPr="00295637">
        <w:rPr>
          <w:rFonts w:ascii="Times New Roman" w:hAnsi="Times New Roman"/>
        </w:rPr>
        <w:t xml:space="preserve"> </w:t>
      </w:r>
      <w:r>
        <w:rPr>
          <w:rFonts w:ascii="Times New Roman" w:hAnsi="Times New Roman"/>
        </w:rPr>
        <w:t>циљевима</w:t>
      </w:r>
      <w:r w:rsidR="005829ED" w:rsidRPr="00295637">
        <w:rPr>
          <w:rFonts w:ascii="Times New Roman" w:hAnsi="Times New Roman"/>
        </w:rPr>
        <w:t xml:space="preserve"> </w:t>
      </w:r>
      <w:r>
        <w:rPr>
          <w:rFonts w:ascii="Times New Roman" w:hAnsi="Times New Roman"/>
        </w:rPr>
        <w:t>ГАП</w:t>
      </w:r>
      <w:r w:rsidR="008D3E45" w:rsidRPr="00295637">
        <w:rPr>
          <w:rFonts w:ascii="Times New Roman" w:hAnsi="Times New Roman"/>
        </w:rPr>
        <w:t xml:space="preserve"> </w:t>
      </w:r>
      <w:r>
        <w:rPr>
          <w:rFonts w:ascii="Times New Roman" w:hAnsi="Times New Roman"/>
        </w:rPr>
        <w:t>БиХ</w:t>
      </w:r>
      <w:r w:rsidR="005829ED" w:rsidRPr="00295637">
        <w:rPr>
          <w:rFonts w:ascii="Times New Roman" w:hAnsi="Times New Roman"/>
        </w:rPr>
        <w:t>.</w:t>
      </w:r>
      <w:r w:rsidR="00031BE0" w:rsidRPr="00295637">
        <w:rPr>
          <w:rFonts w:ascii="Times New Roman" w:hAnsi="Times New Roman"/>
        </w:rPr>
        <w:t xml:space="preserve"> </w:t>
      </w:r>
      <w:r w:rsidR="00D962C7">
        <w:rPr>
          <w:rFonts w:ascii="Times New Roman" w:hAnsi="Times New Roman"/>
        </w:rPr>
        <w:t>Такође</w:t>
      </w:r>
      <w:r w:rsidR="00031BE0" w:rsidRPr="00295637">
        <w:rPr>
          <w:rFonts w:ascii="Times New Roman" w:hAnsi="Times New Roman"/>
        </w:rPr>
        <w:t xml:space="preserve">, </w:t>
      </w:r>
      <w:r>
        <w:rPr>
          <w:rFonts w:ascii="Times New Roman" w:hAnsi="Times New Roman"/>
        </w:rPr>
        <w:t>АР</w:t>
      </w:r>
      <w:r w:rsidR="00D962C7">
        <w:rPr>
          <w:rFonts w:ascii="Times New Roman" w:hAnsi="Times New Roman"/>
          <w:lang w:val="sr-Cyrl-BA"/>
        </w:rPr>
        <w:t>П</w:t>
      </w:r>
      <w:r w:rsidR="00AA2171">
        <w:rPr>
          <w:rFonts w:ascii="Times New Roman" w:hAnsi="Times New Roman"/>
        </w:rPr>
        <w:t xml:space="preserve"> </w:t>
      </w:r>
      <w:r>
        <w:rPr>
          <w:rFonts w:ascii="Times New Roman" w:hAnsi="Times New Roman"/>
        </w:rPr>
        <w:t>БиХ</w:t>
      </w:r>
      <w:r w:rsidR="00AA2171">
        <w:rPr>
          <w:rFonts w:ascii="Times New Roman" w:hAnsi="Times New Roman"/>
        </w:rPr>
        <w:t xml:space="preserve"> </w:t>
      </w:r>
      <w:r>
        <w:rPr>
          <w:rFonts w:ascii="Times New Roman" w:hAnsi="Times New Roman"/>
        </w:rPr>
        <w:t>МЉПИ</w:t>
      </w:r>
      <w:r w:rsidR="00AA2171">
        <w:rPr>
          <w:rFonts w:ascii="Times New Roman" w:hAnsi="Times New Roman"/>
        </w:rPr>
        <w:t xml:space="preserve"> </w:t>
      </w:r>
      <w:r>
        <w:rPr>
          <w:rFonts w:ascii="Times New Roman" w:hAnsi="Times New Roman"/>
        </w:rPr>
        <w:t>БиХ</w:t>
      </w:r>
      <w:r w:rsidR="00031BE0" w:rsidRPr="00295637">
        <w:rPr>
          <w:rFonts w:ascii="Times New Roman" w:hAnsi="Times New Roman"/>
        </w:rPr>
        <w:t xml:space="preserve"> </w:t>
      </w:r>
      <w:r>
        <w:rPr>
          <w:rFonts w:ascii="Times New Roman" w:hAnsi="Times New Roman"/>
        </w:rPr>
        <w:t>је</w:t>
      </w:r>
      <w:r w:rsidR="00031BE0" w:rsidRPr="00295637">
        <w:rPr>
          <w:rFonts w:ascii="Times New Roman" w:hAnsi="Times New Roman"/>
        </w:rPr>
        <w:t xml:space="preserve"> </w:t>
      </w:r>
      <w:r>
        <w:rPr>
          <w:rFonts w:ascii="Times New Roman" w:hAnsi="Times New Roman"/>
        </w:rPr>
        <w:t>учествовала</w:t>
      </w:r>
      <w:r w:rsidR="00031BE0" w:rsidRPr="00295637">
        <w:rPr>
          <w:rFonts w:ascii="Times New Roman" w:hAnsi="Times New Roman"/>
        </w:rPr>
        <w:t xml:space="preserve"> </w:t>
      </w:r>
      <w:r>
        <w:rPr>
          <w:rFonts w:ascii="Times New Roman" w:hAnsi="Times New Roman"/>
        </w:rPr>
        <w:t>у</w:t>
      </w:r>
      <w:r w:rsidR="00031BE0" w:rsidRPr="00295637">
        <w:rPr>
          <w:rFonts w:ascii="Times New Roman" w:hAnsi="Times New Roman"/>
        </w:rPr>
        <w:t xml:space="preserve"> </w:t>
      </w:r>
      <w:r>
        <w:rPr>
          <w:rFonts w:ascii="Times New Roman" w:hAnsi="Times New Roman"/>
        </w:rPr>
        <w:t>раду</w:t>
      </w:r>
      <w:r w:rsidR="00031BE0" w:rsidRPr="00295637">
        <w:rPr>
          <w:rFonts w:ascii="Times New Roman" w:hAnsi="Times New Roman"/>
        </w:rPr>
        <w:t xml:space="preserve"> </w:t>
      </w:r>
      <w:r>
        <w:rPr>
          <w:rFonts w:ascii="Times New Roman" w:hAnsi="Times New Roman"/>
        </w:rPr>
        <w:t>Управног</w:t>
      </w:r>
      <w:r w:rsidR="00031BE0" w:rsidRPr="00295637">
        <w:rPr>
          <w:rFonts w:ascii="Times New Roman" w:hAnsi="Times New Roman"/>
        </w:rPr>
        <w:t xml:space="preserve"> </w:t>
      </w:r>
      <w:r>
        <w:rPr>
          <w:rFonts w:ascii="Times New Roman" w:hAnsi="Times New Roman"/>
        </w:rPr>
        <w:t>одбора</w:t>
      </w:r>
      <w:r w:rsidR="00031BE0" w:rsidRPr="00295637">
        <w:rPr>
          <w:rFonts w:ascii="Times New Roman" w:hAnsi="Times New Roman"/>
        </w:rPr>
        <w:t xml:space="preserve"> </w:t>
      </w:r>
      <w:r>
        <w:rPr>
          <w:rFonts w:ascii="Times New Roman" w:hAnsi="Times New Roman"/>
        </w:rPr>
        <w:t>пројекта</w:t>
      </w:r>
      <w:r w:rsidR="00031BE0" w:rsidRPr="00295637">
        <w:rPr>
          <w:rFonts w:ascii="Times New Roman" w:hAnsi="Times New Roman"/>
        </w:rPr>
        <w:t xml:space="preserve"> „</w:t>
      </w:r>
      <w:r>
        <w:rPr>
          <w:rFonts w:ascii="Times New Roman" w:hAnsi="Times New Roman"/>
          <w:shd w:val="clear" w:color="auto" w:fill="FFFFFF"/>
        </w:rPr>
        <w:t>Пружање</w:t>
      </w:r>
      <w:r w:rsidR="00031BE0" w:rsidRPr="00295637">
        <w:rPr>
          <w:rFonts w:ascii="Times New Roman" w:hAnsi="Times New Roman"/>
          <w:shd w:val="clear" w:color="auto" w:fill="FFFFFF"/>
        </w:rPr>
        <w:t xml:space="preserve"> </w:t>
      </w:r>
      <w:r>
        <w:rPr>
          <w:rFonts w:ascii="Times New Roman" w:hAnsi="Times New Roman"/>
          <w:shd w:val="clear" w:color="auto" w:fill="FFFFFF"/>
        </w:rPr>
        <w:t>помоћи</w:t>
      </w:r>
      <w:r w:rsidR="00031BE0" w:rsidRPr="00295637">
        <w:rPr>
          <w:rFonts w:ascii="Times New Roman" w:hAnsi="Times New Roman"/>
          <w:shd w:val="clear" w:color="auto" w:fill="FFFFFF"/>
        </w:rPr>
        <w:t xml:space="preserve"> </w:t>
      </w:r>
      <w:r>
        <w:rPr>
          <w:rFonts w:ascii="Times New Roman" w:hAnsi="Times New Roman"/>
          <w:shd w:val="clear" w:color="auto" w:fill="FFFFFF"/>
        </w:rPr>
        <w:t>угроженим</w:t>
      </w:r>
      <w:r w:rsidR="00031BE0" w:rsidRPr="00295637">
        <w:rPr>
          <w:rFonts w:ascii="Times New Roman" w:hAnsi="Times New Roman"/>
          <w:shd w:val="clear" w:color="auto" w:fill="FFFFFF"/>
        </w:rPr>
        <w:t xml:space="preserve"> </w:t>
      </w:r>
      <w:r>
        <w:rPr>
          <w:rFonts w:ascii="Times New Roman" w:hAnsi="Times New Roman"/>
          <w:shd w:val="clear" w:color="auto" w:fill="FFFFFF"/>
        </w:rPr>
        <w:t>женама</w:t>
      </w:r>
      <w:r w:rsidR="00031BE0" w:rsidRPr="00295637">
        <w:rPr>
          <w:rFonts w:ascii="Times New Roman" w:hAnsi="Times New Roman"/>
          <w:shd w:val="clear" w:color="auto" w:fill="FFFFFF"/>
        </w:rPr>
        <w:t xml:space="preserve"> </w:t>
      </w:r>
      <w:r>
        <w:rPr>
          <w:rFonts w:ascii="Times New Roman" w:hAnsi="Times New Roman"/>
          <w:shd w:val="clear" w:color="auto" w:fill="FFFFFF"/>
        </w:rPr>
        <w:t>и</w:t>
      </w:r>
      <w:r w:rsidR="00031BE0" w:rsidRPr="00295637">
        <w:rPr>
          <w:rFonts w:ascii="Times New Roman" w:hAnsi="Times New Roman"/>
          <w:shd w:val="clear" w:color="auto" w:fill="FFFFFF"/>
        </w:rPr>
        <w:t xml:space="preserve"> </w:t>
      </w:r>
      <w:r>
        <w:rPr>
          <w:rFonts w:ascii="Times New Roman" w:hAnsi="Times New Roman"/>
          <w:shd w:val="clear" w:color="auto" w:fill="FFFFFF"/>
        </w:rPr>
        <w:t>развој</w:t>
      </w:r>
      <w:r w:rsidR="00031BE0" w:rsidRPr="00295637">
        <w:rPr>
          <w:rFonts w:ascii="Times New Roman" w:hAnsi="Times New Roman"/>
          <w:shd w:val="clear" w:color="auto" w:fill="FFFFFF"/>
        </w:rPr>
        <w:t xml:space="preserve"> </w:t>
      </w:r>
      <w:r>
        <w:rPr>
          <w:rFonts w:ascii="Times New Roman" w:hAnsi="Times New Roman"/>
          <w:shd w:val="clear" w:color="auto" w:fill="FFFFFF"/>
        </w:rPr>
        <w:t>интегри</w:t>
      </w:r>
      <w:r w:rsidR="00D962C7">
        <w:rPr>
          <w:rFonts w:ascii="Times New Roman" w:hAnsi="Times New Roman"/>
          <w:shd w:val="clear" w:color="auto" w:fill="FFFFFF"/>
          <w:lang w:val="sr-Cyrl-BA"/>
        </w:rPr>
        <w:t>с</w:t>
      </w:r>
      <w:r>
        <w:rPr>
          <w:rFonts w:ascii="Times New Roman" w:hAnsi="Times New Roman"/>
          <w:shd w:val="clear" w:color="auto" w:fill="FFFFFF"/>
        </w:rPr>
        <w:t>аног</w:t>
      </w:r>
      <w:r w:rsidR="00031BE0" w:rsidRPr="00295637">
        <w:rPr>
          <w:rFonts w:ascii="Times New Roman" w:hAnsi="Times New Roman"/>
          <w:shd w:val="clear" w:color="auto" w:fill="FFFFFF"/>
        </w:rPr>
        <w:t xml:space="preserve"> </w:t>
      </w:r>
      <w:r>
        <w:rPr>
          <w:rFonts w:ascii="Times New Roman" w:hAnsi="Times New Roman"/>
          <w:shd w:val="clear" w:color="auto" w:fill="FFFFFF"/>
        </w:rPr>
        <w:t>програма</w:t>
      </w:r>
      <w:r w:rsidR="00031BE0" w:rsidRPr="00295637">
        <w:rPr>
          <w:rFonts w:ascii="Times New Roman" w:hAnsi="Times New Roman"/>
          <w:shd w:val="clear" w:color="auto" w:fill="FFFFFF"/>
        </w:rPr>
        <w:t xml:space="preserve"> </w:t>
      </w:r>
      <w:r>
        <w:rPr>
          <w:rFonts w:ascii="Times New Roman" w:hAnsi="Times New Roman"/>
          <w:shd w:val="clear" w:color="auto" w:fill="FFFFFF"/>
        </w:rPr>
        <w:t>социјалне</w:t>
      </w:r>
      <w:r w:rsidR="00031BE0" w:rsidRPr="00295637">
        <w:rPr>
          <w:rFonts w:ascii="Times New Roman" w:hAnsi="Times New Roman"/>
          <w:shd w:val="clear" w:color="auto" w:fill="FFFFFF"/>
        </w:rPr>
        <w:t xml:space="preserve"> </w:t>
      </w:r>
      <w:r>
        <w:rPr>
          <w:rFonts w:ascii="Times New Roman" w:hAnsi="Times New Roman"/>
          <w:shd w:val="clear" w:color="auto" w:fill="FFFFFF"/>
        </w:rPr>
        <w:t>заштите</w:t>
      </w:r>
      <w:r w:rsidR="00031BE0" w:rsidRPr="00295637">
        <w:rPr>
          <w:rFonts w:ascii="Times New Roman" w:hAnsi="Times New Roman"/>
          <w:shd w:val="clear" w:color="auto" w:fill="FFFFFF"/>
        </w:rPr>
        <w:t xml:space="preserve">“ </w:t>
      </w:r>
      <w:r>
        <w:rPr>
          <w:rFonts w:ascii="Times New Roman" w:hAnsi="Times New Roman"/>
          <w:shd w:val="clear" w:color="auto" w:fill="FFFFFF"/>
        </w:rPr>
        <w:t>којег</w:t>
      </w:r>
      <w:r w:rsidR="00031BE0" w:rsidRPr="00295637">
        <w:rPr>
          <w:rFonts w:ascii="Times New Roman" w:hAnsi="Times New Roman"/>
          <w:shd w:val="clear" w:color="auto" w:fill="FFFFFF"/>
        </w:rPr>
        <w:t xml:space="preserve"> </w:t>
      </w:r>
      <w:r>
        <w:rPr>
          <w:rFonts w:ascii="Times New Roman" w:hAnsi="Times New Roman"/>
          <w:shd w:val="clear" w:color="auto" w:fill="FFFFFF"/>
        </w:rPr>
        <w:t>финансира</w:t>
      </w:r>
      <w:r w:rsidR="00031BE0" w:rsidRPr="00295637">
        <w:rPr>
          <w:rFonts w:ascii="Times New Roman" w:hAnsi="Times New Roman"/>
          <w:shd w:val="clear" w:color="auto" w:fill="FFFFFF"/>
        </w:rPr>
        <w:t xml:space="preserve"> </w:t>
      </w:r>
      <w:r>
        <w:rPr>
          <w:rFonts w:ascii="Times New Roman" w:hAnsi="Times New Roman"/>
          <w:shd w:val="clear" w:color="auto" w:fill="FFFFFF"/>
        </w:rPr>
        <w:t>Европска</w:t>
      </w:r>
      <w:r w:rsidR="00031BE0" w:rsidRPr="00295637">
        <w:rPr>
          <w:rFonts w:ascii="Times New Roman" w:hAnsi="Times New Roman"/>
          <w:shd w:val="clear" w:color="auto" w:fill="FFFFFF"/>
        </w:rPr>
        <w:t xml:space="preserve"> </w:t>
      </w:r>
      <w:r>
        <w:rPr>
          <w:rFonts w:ascii="Times New Roman" w:hAnsi="Times New Roman"/>
          <w:shd w:val="clear" w:color="auto" w:fill="FFFFFF"/>
        </w:rPr>
        <w:t>унија</w:t>
      </w:r>
      <w:r w:rsidR="00031BE0" w:rsidRPr="00295637">
        <w:rPr>
          <w:rFonts w:ascii="Arial" w:hAnsi="Arial" w:cs="Arial"/>
          <w:color w:val="616161"/>
          <w:shd w:val="clear" w:color="auto" w:fill="FFFFFF"/>
        </w:rPr>
        <w:t>.</w:t>
      </w:r>
      <w:r w:rsidR="00031BE0" w:rsidRPr="00295637">
        <w:rPr>
          <w:rFonts w:ascii="Times New Roman" w:hAnsi="Times New Roman"/>
        </w:rPr>
        <w:t xml:space="preserve"> </w:t>
      </w:r>
    </w:p>
    <w:p w:rsidR="00896B63" w:rsidRPr="00295637" w:rsidRDefault="00896B63" w:rsidP="0086268D">
      <w:pPr>
        <w:pStyle w:val="Normal1"/>
      </w:pPr>
    </w:p>
    <w:p w:rsidR="00774DE1" w:rsidRPr="00295637" w:rsidRDefault="00C6214E" w:rsidP="0086268D">
      <w:pPr>
        <w:jc w:val="both"/>
        <w:rPr>
          <w:rFonts w:ascii="Times New Roman" w:hAnsi="Times New Roman"/>
          <w:szCs w:val="24"/>
          <w:lang w:val="hr-HR"/>
        </w:rPr>
      </w:pPr>
      <w:r>
        <w:rPr>
          <w:rFonts w:ascii="Times New Roman" w:hAnsi="Times New Roman"/>
          <w:szCs w:val="24"/>
          <w:lang w:val="bs-Latn-BA"/>
        </w:rPr>
        <w:t>АР</w:t>
      </w:r>
      <w:r w:rsidR="00D962C7">
        <w:rPr>
          <w:rFonts w:ascii="Times New Roman" w:hAnsi="Times New Roman"/>
          <w:szCs w:val="24"/>
          <w:lang w:val="sr-Cyrl-BA"/>
        </w:rPr>
        <w:t>П</w:t>
      </w:r>
      <w:r w:rsidR="00B7236D">
        <w:rPr>
          <w:rFonts w:ascii="Times New Roman" w:hAnsi="Times New Roman"/>
          <w:szCs w:val="24"/>
          <w:lang w:val="bs-Latn-BA"/>
        </w:rPr>
        <w:t xml:space="preserve"> </w:t>
      </w:r>
      <w:r>
        <w:rPr>
          <w:rFonts w:ascii="Times New Roman" w:hAnsi="Times New Roman"/>
          <w:szCs w:val="24"/>
          <w:lang w:val="bs-Latn-BA"/>
        </w:rPr>
        <w:t>БиХ</w:t>
      </w:r>
      <w:r w:rsidR="00AA2171">
        <w:rPr>
          <w:rFonts w:ascii="Times New Roman" w:hAnsi="Times New Roman"/>
          <w:szCs w:val="24"/>
          <w:lang w:val="bs-Latn-BA"/>
        </w:rPr>
        <w:t xml:space="preserve"> </w:t>
      </w:r>
      <w:r>
        <w:rPr>
          <w:rFonts w:ascii="Times New Roman" w:hAnsi="Times New Roman"/>
          <w:szCs w:val="24"/>
          <w:lang w:val="bs-Latn-BA"/>
        </w:rPr>
        <w:t>МЉПИ</w:t>
      </w:r>
      <w:r w:rsidR="00AA2171">
        <w:rPr>
          <w:rFonts w:ascii="Times New Roman" w:hAnsi="Times New Roman"/>
          <w:szCs w:val="24"/>
          <w:lang w:val="bs-Latn-BA"/>
        </w:rPr>
        <w:t xml:space="preserve"> </w:t>
      </w:r>
      <w:r>
        <w:rPr>
          <w:rFonts w:ascii="Times New Roman" w:hAnsi="Times New Roman"/>
          <w:szCs w:val="24"/>
          <w:lang w:val="bs-Latn-BA"/>
        </w:rPr>
        <w:t>БиХ</w:t>
      </w:r>
      <w:r w:rsidR="00774DE1" w:rsidRPr="00295637">
        <w:rPr>
          <w:rFonts w:ascii="Times New Roman" w:hAnsi="Times New Roman"/>
          <w:szCs w:val="24"/>
          <w:lang w:val="bs-Latn-BA"/>
        </w:rPr>
        <w:t xml:space="preserve"> </w:t>
      </w:r>
      <w:r>
        <w:rPr>
          <w:rFonts w:ascii="Times New Roman" w:hAnsi="Times New Roman"/>
          <w:szCs w:val="24"/>
          <w:lang w:val="bs-Latn-BA"/>
        </w:rPr>
        <w:t>тренутно</w:t>
      </w:r>
      <w:r w:rsidR="00B7236D">
        <w:rPr>
          <w:rFonts w:ascii="Times New Roman" w:hAnsi="Times New Roman"/>
          <w:szCs w:val="24"/>
          <w:lang w:val="bs-Latn-BA"/>
        </w:rPr>
        <w:t xml:space="preserve"> </w:t>
      </w:r>
      <w:r>
        <w:rPr>
          <w:rFonts w:ascii="Times New Roman" w:hAnsi="Times New Roman"/>
          <w:szCs w:val="24"/>
          <w:lang w:val="bs-Latn-BA"/>
        </w:rPr>
        <w:t>проводи</w:t>
      </w:r>
      <w:r w:rsidR="00B7236D">
        <w:rPr>
          <w:rFonts w:ascii="Times New Roman" w:hAnsi="Times New Roman"/>
          <w:szCs w:val="24"/>
          <w:lang w:val="bs-Latn-BA"/>
        </w:rPr>
        <w:t xml:space="preserve"> </w:t>
      </w:r>
      <w:r>
        <w:rPr>
          <w:rFonts w:ascii="Times New Roman" w:hAnsi="Times New Roman"/>
          <w:szCs w:val="24"/>
          <w:lang w:val="bs-Latn-BA"/>
        </w:rPr>
        <w:t>пројекат</w:t>
      </w:r>
      <w:r w:rsidR="00774DE1" w:rsidRPr="00295637">
        <w:rPr>
          <w:rFonts w:ascii="Times New Roman" w:hAnsi="Times New Roman"/>
          <w:szCs w:val="24"/>
          <w:lang w:val="bs-Latn-BA"/>
        </w:rPr>
        <w:t xml:space="preserve"> „</w:t>
      </w:r>
      <w:r>
        <w:rPr>
          <w:rFonts w:ascii="Times New Roman" w:hAnsi="Times New Roman"/>
          <w:szCs w:val="24"/>
          <w:lang w:val="bs-Latn-BA"/>
        </w:rPr>
        <w:t>Жене</w:t>
      </w:r>
      <w:r w:rsidR="001D24A5" w:rsidRPr="00295637">
        <w:rPr>
          <w:rFonts w:ascii="Times New Roman" w:hAnsi="Times New Roman"/>
          <w:szCs w:val="24"/>
          <w:lang w:val="bs-Latn-BA"/>
        </w:rPr>
        <w:t xml:space="preserve"> </w:t>
      </w:r>
      <w:r>
        <w:rPr>
          <w:rFonts w:ascii="Times New Roman" w:hAnsi="Times New Roman"/>
          <w:szCs w:val="24"/>
          <w:lang w:val="bs-Latn-BA"/>
        </w:rPr>
        <w:t>воде</w:t>
      </w:r>
      <w:r w:rsidR="001D24A5" w:rsidRPr="00295637">
        <w:rPr>
          <w:rFonts w:ascii="Times New Roman" w:hAnsi="Times New Roman"/>
          <w:szCs w:val="24"/>
          <w:lang w:val="bs-Latn-BA"/>
        </w:rPr>
        <w:t xml:space="preserve"> </w:t>
      </w:r>
      <w:r>
        <w:rPr>
          <w:rFonts w:ascii="Times New Roman" w:hAnsi="Times New Roman"/>
          <w:szCs w:val="24"/>
          <w:lang w:val="bs-Latn-BA"/>
        </w:rPr>
        <w:t>на</w:t>
      </w:r>
      <w:r w:rsidR="001D24A5" w:rsidRPr="00295637">
        <w:rPr>
          <w:rFonts w:ascii="Times New Roman" w:hAnsi="Times New Roman"/>
          <w:szCs w:val="24"/>
          <w:lang w:val="bs-Latn-BA"/>
        </w:rPr>
        <w:t xml:space="preserve"> </w:t>
      </w:r>
      <w:r>
        <w:rPr>
          <w:rFonts w:ascii="Times New Roman" w:hAnsi="Times New Roman"/>
          <w:szCs w:val="24"/>
          <w:lang w:val="bs-Latn-BA"/>
        </w:rPr>
        <w:t>путу</w:t>
      </w:r>
      <w:r w:rsidR="001D24A5" w:rsidRPr="00295637">
        <w:rPr>
          <w:rFonts w:ascii="Times New Roman" w:hAnsi="Times New Roman"/>
          <w:szCs w:val="24"/>
          <w:lang w:val="bs-Latn-BA"/>
        </w:rPr>
        <w:t xml:space="preserve"> </w:t>
      </w:r>
      <w:r>
        <w:rPr>
          <w:rFonts w:ascii="Times New Roman" w:hAnsi="Times New Roman"/>
          <w:szCs w:val="24"/>
          <w:lang w:val="bs-Latn-BA"/>
        </w:rPr>
        <w:t>мира</w:t>
      </w:r>
      <w:r w:rsidR="001D24A5" w:rsidRPr="00295637">
        <w:rPr>
          <w:rFonts w:ascii="Times New Roman" w:hAnsi="Times New Roman"/>
          <w:szCs w:val="24"/>
          <w:lang w:val="bs-Latn-BA"/>
        </w:rPr>
        <w:t xml:space="preserve"> </w:t>
      </w:r>
      <w:r>
        <w:rPr>
          <w:rFonts w:ascii="Times New Roman" w:hAnsi="Times New Roman"/>
          <w:szCs w:val="24"/>
          <w:lang w:val="bs-Latn-BA"/>
        </w:rPr>
        <w:t>и</w:t>
      </w:r>
      <w:r w:rsidR="001D24A5" w:rsidRPr="00295637">
        <w:rPr>
          <w:rFonts w:ascii="Times New Roman" w:hAnsi="Times New Roman"/>
          <w:szCs w:val="24"/>
          <w:lang w:val="bs-Latn-BA"/>
        </w:rPr>
        <w:t xml:space="preserve"> </w:t>
      </w:r>
      <w:r w:rsidR="00D962C7">
        <w:rPr>
          <w:rFonts w:ascii="Times New Roman" w:hAnsi="Times New Roman"/>
          <w:szCs w:val="24"/>
          <w:lang w:val="sr-Cyrl-BA"/>
        </w:rPr>
        <w:t>безбједности</w:t>
      </w:r>
      <w:r w:rsidR="001D24A5" w:rsidRPr="00295637">
        <w:rPr>
          <w:rFonts w:ascii="Times New Roman" w:hAnsi="Times New Roman"/>
          <w:szCs w:val="24"/>
          <w:lang w:val="bs-Latn-BA"/>
        </w:rPr>
        <w:t xml:space="preserve">“ </w:t>
      </w:r>
      <w:r>
        <w:rPr>
          <w:rFonts w:ascii="Times New Roman" w:hAnsi="Times New Roman"/>
          <w:szCs w:val="24"/>
          <w:lang w:val="bs-Latn-BA"/>
        </w:rPr>
        <w:t>са</w:t>
      </w:r>
      <w:r w:rsidR="001A064D" w:rsidRPr="00295637">
        <w:rPr>
          <w:rFonts w:ascii="Times New Roman" w:hAnsi="Times New Roman"/>
          <w:szCs w:val="24"/>
          <w:lang w:val="bs-Latn-BA"/>
        </w:rPr>
        <w:t xml:space="preserve"> </w:t>
      </w:r>
      <w:r>
        <w:rPr>
          <w:rFonts w:ascii="Times New Roman" w:hAnsi="Times New Roman"/>
          <w:szCs w:val="24"/>
          <w:lang w:val="bs-Latn-BA"/>
        </w:rPr>
        <w:t>партнерима</w:t>
      </w:r>
      <w:r w:rsidR="001A064D" w:rsidRPr="00295637">
        <w:rPr>
          <w:rFonts w:ascii="Times New Roman" w:hAnsi="Times New Roman"/>
          <w:szCs w:val="24"/>
          <w:lang w:val="bs-Latn-BA"/>
        </w:rPr>
        <w:t xml:space="preserve"> </w:t>
      </w:r>
      <w:r>
        <w:rPr>
          <w:rFonts w:ascii="Times New Roman" w:hAnsi="Times New Roman"/>
          <w:i/>
          <w:iCs/>
          <w:szCs w:val="24"/>
          <w:lang w:val="bs-Latn-BA"/>
        </w:rPr>
        <w:t>УН</w:t>
      </w:r>
      <w:r w:rsidR="00AA77D1" w:rsidRPr="00AA77D1">
        <w:rPr>
          <w:rFonts w:ascii="Times New Roman" w:hAnsi="Times New Roman"/>
          <w:i/>
          <w:iCs/>
          <w:szCs w:val="24"/>
          <w:lang w:val="bs-Latn-BA"/>
        </w:rPr>
        <w:t xml:space="preserve"> W</w:t>
      </w:r>
      <w:r>
        <w:rPr>
          <w:rFonts w:ascii="Times New Roman" w:hAnsi="Times New Roman"/>
          <w:i/>
          <w:iCs/>
          <w:szCs w:val="24"/>
          <w:lang w:val="bs-Latn-BA"/>
        </w:rPr>
        <w:t>омен</w:t>
      </w:r>
      <w:r w:rsidR="001A064D" w:rsidRPr="00295637">
        <w:rPr>
          <w:rFonts w:ascii="Times New Roman" w:hAnsi="Times New Roman"/>
          <w:szCs w:val="24"/>
          <w:lang w:val="bs-Latn-BA"/>
        </w:rPr>
        <w:t xml:space="preserve">, </w:t>
      </w:r>
      <w:r w:rsidR="00D962C7" w:rsidRPr="00D962C7">
        <w:rPr>
          <w:rFonts w:ascii="Times New Roman" w:hAnsi="Times New Roman"/>
          <w:i/>
          <w:szCs w:val="24"/>
          <w:lang w:val="bs-Latn-BA"/>
        </w:rPr>
        <w:t>IOM</w:t>
      </w:r>
      <w:r w:rsidR="001A064D" w:rsidRPr="00295637">
        <w:rPr>
          <w:rFonts w:ascii="Times New Roman" w:hAnsi="Times New Roman"/>
          <w:szCs w:val="24"/>
          <w:lang w:val="bs-Latn-BA"/>
        </w:rPr>
        <w:t xml:space="preserve"> </w:t>
      </w:r>
      <w:r>
        <w:rPr>
          <w:rFonts w:ascii="Times New Roman" w:hAnsi="Times New Roman"/>
          <w:szCs w:val="24"/>
          <w:lang w:val="bs-Latn-BA"/>
        </w:rPr>
        <w:t>и</w:t>
      </w:r>
      <w:r w:rsidR="001A064D" w:rsidRPr="00295637">
        <w:rPr>
          <w:rFonts w:ascii="Times New Roman" w:hAnsi="Times New Roman"/>
          <w:szCs w:val="24"/>
          <w:lang w:val="bs-Latn-BA"/>
        </w:rPr>
        <w:t xml:space="preserve"> </w:t>
      </w:r>
      <w:r w:rsidR="00D962C7" w:rsidRPr="00D962C7">
        <w:rPr>
          <w:rFonts w:ascii="Times New Roman" w:hAnsi="Times New Roman"/>
          <w:i/>
          <w:szCs w:val="24"/>
          <w:lang w:val="bs-Latn-BA"/>
        </w:rPr>
        <w:t>UNFPA</w:t>
      </w:r>
      <w:r w:rsidR="00B7236D">
        <w:rPr>
          <w:rFonts w:ascii="Times New Roman" w:hAnsi="Times New Roman"/>
          <w:szCs w:val="24"/>
          <w:lang w:val="bs-Latn-BA"/>
        </w:rPr>
        <w:t>,</w:t>
      </w:r>
      <w:r w:rsidR="001A064D" w:rsidRPr="00295637">
        <w:rPr>
          <w:rFonts w:ascii="Times New Roman" w:hAnsi="Times New Roman"/>
          <w:szCs w:val="24"/>
          <w:lang w:val="bs-Latn-BA"/>
        </w:rPr>
        <w:t xml:space="preserve"> </w:t>
      </w:r>
      <w:r>
        <w:rPr>
          <w:rFonts w:ascii="Times New Roman" w:hAnsi="Times New Roman"/>
          <w:szCs w:val="24"/>
          <w:lang w:val="bs-Latn-BA"/>
        </w:rPr>
        <w:t>а</w:t>
      </w:r>
      <w:r w:rsidR="001A064D" w:rsidRPr="00295637">
        <w:rPr>
          <w:rFonts w:ascii="Times New Roman" w:hAnsi="Times New Roman"/>
          <w:szCs w:val="24"/>
          <w:lang w:val="bs-Latn-BA"/>
        </w:rPr>
        <w:t xml:space="preserve"> </w:t>
      </w:r>
      <w:r>
        <w:rPr>
          <w:rFonts w:ascii="Times New Roman" w:hAnsi="Times New Roman"/>
          <w:szCs w:val="24"/>
          <w:lang w:val="bs-Latn-BA"/>
        </w:rPr>
        <w:t>који</w:t>
      </w:r>
      <w:r w:rsidR="001A064D" w:rsidRPr="00295637">
        <w:rPr>
          <w:rFonts w:ascii="Times New Roman" w:hAnsi="Times New Roman"/>
          <w:szCs w:val="24"/>
          <w:lang w:val="bs-Latn-BA"/>
        </w:rPr>
        <w:t xml:space="preserve"> </w:t>
      </w:r>
      <w:r>
        <w:rPr>
          <w:rFonts w:ascii="Times New Roman" w:hAnsi="Times New Roman"/>
          <w:szCs w:val="24"/>
          <w:lang w:val="bs-Latn-BA"/>
        </w:rPr>
        <w:t>се</w:t>
      </w:r>
      <w:r w:rsidR="001A064D" w:rsidRPr="00295637">
        <w:rPr>
          <w:rFonts w:ascii="Times New Roman" w:hAnsi="Times New Roman"/>
          <w:szCs w:val="24"/>
          <w:lang w:val="bs-Latn-BA"/>
        </w:rPr>
        <w:t xml:space="preserve"> </w:t>
      </w:r>
      <w:r>
        <w:rPr>
          <w:rFonts w:ascii="Times New Roman" w:hAnsi="Times New Roman"/>
          <w:szCs w:val="24"/>
          <w:lang w:val="bs-Latn-BA"/>
        </w:rPr>
        <w:t>финансира</w:t>
      </w:r>
      <w:r w:rsidR="001A064D" w:rsidRPr="00295637">
        <w:rPr>
          <w:rFonts w:ascii="Times New Roman" w:hAnsi="Times New Roman"/>
          <w:szCs w:val="24"/>
          <w:lang w:val="bs-Latn-BA"/>
        </w:rPr>
        <w:t xml:space="preserve"> </w:t>
      </w:r>
      <w:r>
        <w:rPr>
          <w:rFonts w:ascii="Times New Roman" w:hAnsi="Times New Roman"/>
          <w:szCs w:val="24"/>
          <w:lang w:val="bs-Latn-BA"/>
        </w:rPr>
        <w:t>из</w:t>
      </w:r>
      <w:r w:rsidR="001A064D" w:rsidRPr="00295637">
        <w:rPr>
          <w:rFonts w:ascii="Times New Roman" w:hAnsi="Times New Roman"/>
          <w:szCs w:val="24"/>
          <w:lang w:val="bs-Latn-BA"/>
        </w:rPr>
        <w:t xml:space="preserve"> </w:t>
      </w:r>
      <w:r>
        <w:rPr>
          <w:rFonts w:ascii="Times New Roman" w:hAnsi="Times New Roman"/>
          <w:szCs w:val="24"/>
          <w:lang w:val="bs-Latn-BA"/>
        </w:rPr>
        <w:t>средстава</w:t>
      </w:r>
      <w:r w:rsidR="001D24A5" w:rsidRPr="00295637">
        <w:rPr>
          <w:rFonts w:ascii="Times New Roman" w:hAnsi="Times New Roman"/>
          <w:szCs w:val="24"/>
          <w:lang w:val="bs-Latn-BA"/>
        </w:rPr>
        <w:t xml:space="preserve"> </w:t>
      </w:r>
      <w:r>
        <w:rPr>
          <w:rFonts w:ascii="Times New Roman" w:hAnsi="Times New Roman"/>
          <w:szCs w:val="24"/>
          <w:lang w:val="bs-Latn-BA"/>
        </w:rPr>
        <w:t>Фонда</w:t>
      </w:r>
      <w:r w:rsidR="001D24A5" w:rsidRPr="00295637">
        <w:rPr>
          <w:rFonts w:ascii="Times New Roman" w:hAnsi="Times New Roman"/>
          <w:szCs w:val="24"/>
          <w:lang w:val="bs-Latn-BA"/>
        </w:rPr>
        <w:t xml:space="preserve"> </w:t>
      </w:r>
      <w:r>
        <w:rPr>
          <w:rFonts w:ascii="Times New Roman" w:hAnsi="Times New Roman"/>
          <w:szCs w:val="24"/>
          <w:lang w:val="bs-Latn-BA"/>
        </w:rPr>
        <w:t>за</w:t>
      </w:r>
      <w:r w:rsidR="001D24A5" w:rsidRPr="00295637">
        <w:rPr>
          <w:rFonts w:ascii="Times New Roman" w:hAnsi="Times New Roman"/>
          <w:szCs w:val="24"/>
          <w:lang w:val="bs-Latn-BA"/>
        </w:rPr>
        <w:t xml:space="preserve"> </w:t>
      </w:r>
      <w:r>
        <w:rPr>
          <w:rFonts w:ascii="Times New Roman" w:hAnsi="Times New Roman"/>
          <w:szCs w:val="24"/>
          <w:lang w:val="bs-Latn-BA"/>
        </w:rPr>
        <w:t>изградњу</w:t>
      </w:r>
      <w:r w:rsidR="001D24A5" w:rsidRPr="00295637">
        <w:rPr>
          <w:rFonts w:ascii="Times New Roman" w:hAnsi="Times New Roman"/>
          <w:szCs w:val="24"/>
          <w:lang w:val="bs-Latn-BA"/>
        </w:rPr>
        <w:t xml:space="preserve"> </w:t>
      </w:r>
      <w:r>
        <w:rPr>
          <w:rFonts w:ascii="Times New Roman" w:hAnsi="Times New Roman"/>
          <w:szCs w:val="24"/>
          <w:lang w:val="bs-Latn-BA"/>
        </w:rPr>
        <w:t>мира</w:t>
      </w:r>
      <w:r w:rsidR="001D24A5" w:rsidRPr="00295637">
        <w:rPr>
          <w:rFonts w:ascii="Times New Roman" w:hAnsi="Times New Roman"/>
          <w:szCs w:val="24"/>
          <w:lang w:val="bs-Latn-BA"/>
        </w:rPr>
        <w:t xml:space="preserve"> </w:t>
      </w:r>
      <w:r>
        <w:rPr>
          <w:rFonts w:ascii="Times New Roman" w:hAnsi="Times New Roman"/>
          <w:szCs w:val="24"/>
          <w:lang w:val="bs-Latn-BA"/>
        </w:rPr>
        <w:t>Генералног</w:t>
      </w:r>
      <w:r w:rsidR="00AA77D1">
        <w:rPr>
          <w:rFonts w:ascii="Times New Roman" w:hAnsi="Times New Roman"/>
          <w:szCs w:val="24"/>
          <w:lang w:val="bs-Latn-BA"/>
        </w:rPr>
        <w:t xml:space="preserve"> </w:t>
      </w:r>
      <w:r>
        <w:rPr>
          <w:rFonts w:ascii="Times New Roman" w:hAnsi="Times New Roman"/>
          <w:szCs w:val="24"/>
          <w:lang w:val="bs-Latn-BA"/>
        </w:rPr>
        <w:t>секретара</w:t>
      </w:r>
      <w:r w:rsidR="001D24A5" w:rsidRPr="00295637">
        <w:rPr>
          <w:rFonts w:ascii="Times New Roman" w:hAnsi="Times New Roman"/>
          <w:szCs w:val="24"/>
          <w:lang w:val="bs-Latn-BA"/>
        </w:rPr>
        <w:t xml:space="preserve"> </w:t>
      </w:r>
      <w:r>
        <w:rPr>
          <w:rFonts w:ascii="Times New Roman" w:hAnsi="Times New Roman"/>
          <w:szCs w:val="24"/>
          <w:lang w:val="bs-Latn-BA"/>
        </w:rPr>
        <w:t>УН</w:t>
      </w:r>
      <w:r w:rsidR="001A064D" w:rsidRPr="00295637">
        <w:rPr>
          <w:rFonts w:ascii="Times New Roman" w:hAnsi="Times New Roman"/>
          <w:szCs w:val="24"/>
          <w:lang w:val="bs-Latn-BA"/>
        </w:rPr>
        <w:t>-</w:t>
      </w:r>
      <w:r>
        <w:rPr>
          <w:rFonts w:ascii="Times New Roman" w:hAnsi="Times New Roman"/>
          <w:szCs w:val="24"/>
          <w:lang w:val="bs-Latn-BA"/>
        </w:rPr>
        <w:t>а</w:t>
      </w:r>
      <w:r w:rsidR="001D24A5" w:rsidRPr="00295637">
        <w:rPr>
          <w:rFonts w:ascii="Times New Roman" w:hAnsi="Times New Roman"/>
          <w:szCs w:val="24"/>
          <w:lang w:val="bs-Latn-BA"/>
        </w:rPr>
        <w:t xml:space="preserve"> </w:t>
      </w:r>
      <w:r>
        <w:rPr>
          <w:rFonts w:ascii="Times New Roman" w:hAnsi="Times New Roman"/>
          <w:szCs w:val="24"/>
          <w:lang w:val="bs-Latn-BA"/>
        </w:rPr>
        <w:t>за</w:t>
      </w:r>
      <w:r w:rsidR="001A064D" w:rsidRPr="00295637">
        <w:rPr>
          <w:rFonts w:ascii="Times New Roman" w:hAnsi="Times New Roman"/>
          <w:szCs w:val="24"/>
          <w:lang w:val="bs-Latn-BA"/>
        </w:rPr>
        <w:t xml:space="preserve"> </w:t>
      </w:r>
      <w:r>
        <w:rPr>
          <w:rFonts w:ascii="Times New Roman" w:hAnsi="Times New Roman"/>
          <w:szCs w:val="24"/>
          <w:lang w:val="bs-Latn-BA"/>
        </w:rPr>
        <w:t>БиХ</w:t>
      </w:r>
      <w:r w:rsidR="001D24A5" w:rsidRPr="00295637">
        <w:rPr>
          <w:rFonts w:ascii="Times New Roman" w:hAnsi="Times New Roman"/>
          <w:szCs w:val="24"/>
          <w:lang w:val="bs-Latn-BA"/>
        </w:rPr>
        <w:t xml:space="preserve">. </w:t>
      </w:r>
      <w:r>
        <w:rPr>
          <w:rFonts w:ascii="Times New Roman" w:hAnsi="Times New Roman"/>
          <w:szCs w:val="24"/>
          <w:lang w:val="bs-Latn-BA"/>
        </w:rPr>
        <w:t>Од</w:t>
      </w:r>
      <w:r w:rsidR="001D24A5" w:rsidRPr="00295637">
        <w:rPr>
          <w:rFonts w:ascii="Times New Roman" w:hAnsi="Times New Roman"/>
          <w:szCs w:val="24"/>
          <w:lang w:val="bs-Latn-BA"/>
        </w:rPr>
        <w:t xml:space="preserve"> </w:t>
      </w:r>
      <w:r>
        <w:rPr>
          <w:rFonts w:ascii="Times New Roman" w:hAnsi="Times New Roman"/>
          <w:szCs w:val="24"/>
          <w:lang w:val="bs-Latn-BA"/>
        </w:rPr>
        <w:t>изузетног</w:t>
      </w:r>
      <w:r w:rsidR="001D24A5" w:rsidRPr="00295637">
        <w:rPr>
          <w:rFonts w:ascii="Times New Roman" w:hAnsi="Times New Roman"/>
          <w:szCs w:val="24"/>
          <w:lang w:val="bs-Latn-BA"/>
        </w:rPr>
        <w:t xml:space="preserve"> </w:t>
      </w:r>
      <w:r>
        <w:rPr>
          <w:rFonts w:ascii="Times New Roman" w:hAnsi="Times New Roman"/>
          <w:szCs w:val="24"/>
          <w:lang w:val="bs-Latn-BA"/>
        </w:rPr>
        <w:t>значаја</w:t>
      </w:r>
      <w:r w:rsidR="001D24A5" w:rsidRPr="00295637">
        <w:rPr>
          <w:rFonts w:ascii="Times New Roman" w:hAnsi="Times New Roman"/>
          <w:szCs w:val="24"/>
          <w:lang w:val="bs-Latn-BA"/>
        </w:rPr>
        <w:t xml:space="preserve"> </w:t>
      </w:r>
      <w:r>
        <w:rPr>
          <w:rFonts w:ascii="Times New Roman" w:hAnsi="Times New Roman"/>
          <w:szCs w:val="24"/>
          <w:lang w:val="bs-Latn-BA"/>
        </w:rPr>
        <w:t>је</w:t>
      </w:r>
      <w:r w:rsidR="001D24A5" w:rsidRPr="00295637">
        <w:rPr>
          <w:rFonts w:ascii="Times New Roman" w:hAnsi="Times New Roman"/>
          <w:szCs w:val="24"/>
          <w:lang w:val="bs-Latn-BA"/>
        </w:rPr>
        <w:t xml:space="preserve"> </w:t>
      </w:r>
      <w:r>
        <w:rPr>
          <w:rFonts w:ascii="Times New Roman" w:hAnsi="Times New Roman"/>
          <w:szCs w:val="24"/>
          <w:lang w:val="bs-Latn-BA"/>
        </w:rPr>
        <w:t>и</w:t>
      </w:r>
      <w:r w:rsidR="001D24A5" w:rsidRPr="00295637">
        <w:rPr>
          <w:rFonts w:ascii="Times New Roman" w:hAnsi="Times New Roman"/>
          <w:szCs w:val="24"/>
          <w:lang w:val="bs-Latn-BA"/>
        </w:rPr>
        <w:t xml:space="preserve"> </w:t>
      </w:r>
      <w:r>
        <w:rPr>
          <w:rFonts w:ascii="Times New Roman" w:hAnsi="Times New Roman"/>
          <w:szCs w:val="24"/>
          <w:lang w:val="bs-Latn-BA"/>
        </w:rPr>
        <w:t>сарадња</w:t>
      </w:r>
      <w:r w:rsidR="001D24A5" w:rsidRPr="00295637">
        <w:rPr>
          <w:rFonts w:ascii="Times New Roman" w:hAnsi="Times New Roman"/>
          <w:szCs w:val="24"/>
          <w:lang w:val="bs-Latn-BA"/>
        </w:rPr>
        <w:t xml:space="preserve"> </w:t>
      </w:r>
      <w:r>
        <w:rPr>
          <w:rFonts w:ascii="Times New Roman" w:hAnsi="Times New Roman"/>
          <w:szCs w:val="24"/>
          <w:lang w:val="bs-Latn-BA"/>
        </w:rPr>
        <w:t>на</w:t>
      </w:r>
      <w:r w:rsidR="001D24A5" w:rsidRPr="00295637">
        <w:rPr>
          <w:rFonts w:ascii="Times New Roman" w:hAnsi="Times New Roman"/>
          <w:szCs w:val="24"/>
          <w:lang w:val="bs-Latn-BA"/>
        </w:rPr>
        <w:t xml:space="preserve"> </w:t>
      </w:r>
      <w:r>
        <w:rPr>
          <w:rFonts w:ascii="Times New Roman" w:hAnsi="Times New Roman"/>
          <w:szCs w:val="24"/>
          <w:lang w:val="bs-Latn-BA"/>
        </w:rPr>
        <w:t>различитим</w:t>
      </w:r>
      <w:r w:rsidR="001D24A5" w:rsidRPr="00295637">
        <w:rPr>
          <w:rFonts w:ascii="Times New Roman" w:hAnsi="Times New Roman"/>
          <w:szCs w:val="24"/>
          <w:lang w:val="bs-Latn-BA"/>
        </w:rPr>
        <w:t xml:space="preserve"> </w:t>
      </w:r>
      <w:r>
        <w:rPr>
          <w:rFonts w:ascii="Times New Roman" w:hAnsi="Times New Roman"/>
          <w:szCs w:val="24"/>
          <w:lang w:val="bs-Latn-BA"/>
        </w:rPr>
        <w:t>пројектима</w:t>
      </w:r>
      <w:r w:rsidR="001D24A5" w:rsidRPr="00295637">
        <w:rPr>
          <w:rFonts w:ascii="Times New Roman" w:hAnsi="Times New Roman"/>
          <w:szCs w:val="24"/>
          <w:lang w:val="bs-Latn-BA"/>
        </w:rPr>
        <w:t>,</w:t>
      </w:r>
      <w:r w:rsidR="00B7236D">
        <w:rPr>
          <w:rFonts w:ascii="Times New Roman" w:hAnsi="Times New Roman"/>
          <w:szCs w:val="24"/>
          <w:lang w:val="bs-Latn-BA"/>
        </w:rPr>
        <w:t xml:space="preserve"> </w:t>
      </w:r>
      <w:r>
        <w:rPr>
          <w:rFonts w:ascii="Times New Roman" w:hAnsi="Times New Roman"/>
          <w:szCs w:val="24"/>
          <w:lang w:val="bs-Latn-BA"/>
        </w:rPr>
        <w:t>иницијативама</w:t>
      </w:r>
      <w:r w:rsidR="00B7236D">
        <w:rPr>
          <w:rFonts w:ascii="Times New Roman" w:hAnsi="Times New Roman"/>
          <w:szCs w:val="24"/>
          <w:lang w:val="bs-Latn-BA"/>
        </w:rPr>
        <w:t xml:space="preserve"> </w:t>
      </w:r>
      <w:r>
        <w:rPr>
          <w:rFonts w:ascii="Times New Roman" w:hAnsi="Times New Roman"/>
          <w:szCs w:val="24"/>
          <w:lang w:val="bs-Latn-BA"/>
        </w:rPr>
        <w:t>и</w:t>
      </w:r>
      <w:r w:rsidR="00B7236D">
        <w:rPr>
          <w:rFonts w:ascii="Times New Roman" w:hAnsi="Times New Roman"/>
          <w:szCs w:val="24"/>
          <w:lang w:val="bs-Latn-BA"/>
        </w:rPr>
        <w:t xml:space="preserve"> </w:t>
      </w:r>
      <w:r>
        <w:rPr>
          <w:rFonts w:ascii="Times New Roman" w:hAnsi="Times New Roman"/>
          <w:szCs w:val="24"/>
          <w:lang w:val="bs-Latn-BA"/>
        </w:rPr>
        <w:t>активностима</w:t>
      </w:r>
      <w:r w:rsidR="00B7236D">
        <w:rPr>
          <w:rFonts w:ascii="Times New Roman" w:hAnsi="Times New Roman"/>
          <w:szCs w:val="24"/>
          <w:lang w:val="bs-Latn-BA"/>
        </w:rPr>
        <w:t xml:space="preserve"> </w:t>
      </w:r>
      <w:r>
        <w:rPr>
          <w:rFonts w:ascii="Times New Roman" w:hAnsi="Times New Roman"/>
          <w:szCs w:val="24"/>
          <w:lang w:val="bs-Latn-BA"/>
        </w:rPr>
        <w:t>са</w:t>
      </w:r>
      <w:r w:rsidR="001D24A5" w:rsidRPr="00295637">
        <w:rPr>
          <w:rFonts w:ascii="Times New Roman" w:hAnsi="Times New Roman"/>
          <w:szCs w:val="24"/>
          <w:lang w:val="bs-Latn-BA"/>
        </w:rPr>
        <w:t xml:space="preserve"> </w:t>
      </w:r>
      <w:r w:rsidR="00D962C7" w:rsidRPr="00D962C7">
        <w:rPr>
          <w:rFonts w:ascii="Times New Roman" w:hAnsi="Times New Roman"/>
          <w:i/>
          <w:iCs/>
          <w:szCs w:val="24"/>
          <w:lang w:val="bs-Latn-BA"/>
        </w:rPr>
        <w:t>УН Wомен</w:t>
      </w:r>
      <w:r w:rsidR="001D24A5" w:rsidRPr="00295637">
        <w:rPr>
          <w:rFonts w:ascii="Times New Roman" w:hAnsi="Times New Roman"/>
          <w:szCs w:val="24"/>
          <w:lang w:val="bs-Latn-BA"/>
        </w:rPr>
        <w:t xml:space="preserve">, </w:t>
      </w:r>
      <w:r>
        <w:rPr>
          <w:rFonts w:ascii="Times New Roman" w:hAnsi="Times New Roman"/>
          <w:szCs w:val="24"/>
          <w:lang w:val="bs-Latn-BA"/>
        </w:rPr>
        <w:t>Мисијом</w:t>
      </w:r>
      <w:r w:rsidR="001D24A5" w:rsidRPr="00295637">
        <w:rPr>
          <w:rFonts w:ascii="Times New Roman" w:hAnsi="Times New Roman"/>
          <w:szCs w:val="24"/>
          <w:lang w:val="bs-Latn-BA"/>
        </w:rPr>
        <w:t xml:space="preserve"> </w:t>
      </w:r>
      <w:r>
        <w:rPr>
          <w:rFonts w:ascii="Times New Roman" w:hAnsi="Times New Roman"/>
          <w:szCs w:val="24"/>
          <w:lang w:val="bs-Latn-BA"/>
        </w:rPr>
        <w:t>О</w:t>
      </w:r>
      <w:r w:rsidR="00D962C7">
        <w:rPr>
          <w:rFonts w:ascii="Times New Roman" w:hAnsi="Times New Roman"/>
          <w:szCs w:val="24"/>
          <w:lang w:val="sr-Cyrl-BA"/>
        </w:rPr>
        <w:t>ЕБС-а</w:t>
      </w:r>
      <w:r w:rsidR="001D24A5" w:rsidRPr="00295637">
        <w:rPr>
          <w:rFonts w:ascii="Times New Roman" w:hAnsi="Times New Roman"/>
          <w:szCs w:val="24"/>
          <w:lang w:val="bs-Latn-BA"/>
        </w:rPr>
        <w:t xml:space="preserve"> </w:t>
      </w:r>
      <w:r>
        <w:rPr>
          <w:rFonts w:ascii="Times New Roman" w:hAnsi="Times New Roman"/>
          <w:szCs w:val="24"/>
          <w:lang w:val="bs-Latn-BA"/>
        </w:rPr>
        <w:t>у</w:t>
      </w:r>
      <w:r w:rsidR="003209E3" w:rsidRPr="00295637">
        <w:rPr>
          <w:rFonts w:ascii="Times New Roman" w:hAnsi="Times New Roman"/>
          <w:szCs w:val="24"/>
          <w:lang w:val="bs-Latn-BA"/>
        </w:rPr>
        <w:t xml:space="preserve"> </w:t>
      </w:r>
      <w:r>
        <w:rPr>
          <w:rFonts w:ascii="Times New Roman" w:hAnsi="Times New Roman"/>
          <w:szCs w:val="24"/>
          <w:lang w:val="bs-Latn-BA"/>
        </w:rPr>
        <w:t>БиХ</w:t>
      </w:r>
      <w:r w:rsidR="001D24A5" w:rsidRPr="00295637">
        <w:rPr>
          <w:rFonts w:ascii="Times New Roman" w:hAnsi="Times New Roman"/>
          <w:szCs w:val="24"/>
          <w:lang w:val="bs-Latn-BA"/>
        </w:rPr>
        <w:t xml:space="preserve">, </w:t>
      </w:r>
      <w:r w:rsidR="00D962C7">
        <w:rPr>
          <w:rFonts w:ascii="Times New Roman" w:hAnsi="Times New Roman"/>
          <w:szCs w:val="24"/>
          <w:lang w:val="sr-Cyrl-BA"/>
        </w:rPr>
        <w:t>С</w:t>
      </w:r>
      <w:r>
        <w:rPr>
          <w:rFonts w:ascii="Times New Roman" w:hAnsi="Times New Roman"/>
          <w:szCs w:val="24"/>
          <w:lang w:val="bs-Latn-BA"/>
        </w:rPr>
        <w:t>Е</w:t>
      </w:r>
      <w:r w:rsidR="001D24A5" w:rsidRPr="00295637">
        <w:rPr>
          <w:rFonts w:ascii="Times New Roman" w:hAnsi="Times New Roman"/>
          <w:szCs w:val="24"/>
          <w:lang w:val="bs-Latn-BA"/>
        </w:rPr>
        <w:t xml:space="preserve"> </w:t>
      </w:r>
      <w:r>
        <w:rPr>
          <w:rFonts w:ascii="Times New Roman" w:hAnsi="Times New Roman"/>
          <w:szCs w:val="24"/>
          <w:lang w:val="bs-Latn-BA"/>
        </w:rPr>
        <w:t>и</w:t>
      </w:r>
      <w:r w:rsidR="001D24A5" w:rsidRPr="00295637">
        <w:rPr>
          <w:rFonts w:ascii="Times New Roman" w:hAnsi="Times New Roman"/>
          <w:szCs w:val="24"/>
          <w:lang w:val="bs-Latn-BA"/>
        </w:rPr>
        <w:t xml:space="preserve"> </w:t>
      </w:r>
      <w:r>
        <w:rPr>
          <w:rFonts w:ascii="Times New Roman" w:hAnsi="Times New Roman"/>
          <w:szCs w:val="24"/>
          <w:lang w:val="bs-Latn-BA"/>
        </w:rPr>
        <w:t>билатералним</w:t>
      </w:r>
      <w:r w:rsidR="001D24A5" w:rsidRPr="00295637">
        <w:rPr>
          <w:rFonts w:ascii="Times New Roman" w:hAnsi="Times New Roman"/>
          <w:szCs w:val="24"/>
          <w:lang w:val="bs-Latn-BA"/>
        </w:rPr>
        <w:t xml:space="preserve"> </w:t>
      </w:r>
      <w:r>
        <w:rPr>
          <w:rFonts w:ascii="Times New Roman" w:hAnsi="Times New Roman"/>
          <w:szCs w:val="24"/>
          <w:lang w:val="bs-Latn-BA"/>
        </w:rPr>
        <w:t>донаторима</w:t>
      </w:r>
      <w:r w:rsidR="001D24A5" w:rsidRPr="00295637">
        <w:rPr>
          <w:rFonts w:ascii="Times New Roman" w:hAnsi="Times New Roman"/>
          <w:szCs w:val="24"/>
          <w:lang w:val="bs-Latn-BA"/>
        </w:rPr>
        <w:t xml:space="preserve">, </w:t>
      </w:r>
      <w:r>
        <w:rPr>
          <w:rFonts w:ascii="Times New Roman" w:hAnsi="Times New Roman"/>
          <w:szCs w:val="24"/>
          <w:lang w:val="bs-Latn-BA"/>
        </w:rPr>
        <w:t>а</w:t>
      </w:r>
      <w:r w:rsidR="001D24A5" w:rsidRPr="00295637">
        <w:rPr>
          <w:rFonts w:ascii="Times New Roman" w:hAnsi="Times New Roman"/>
          <w:szCs w:val="24"/>
          <w:lang w:val="bs-Latn-BA"/>
        </w:rPr>
        <w:t xml:space="preserve"> </w:t>
      </w:r>
      <w:r w:rsidR="00D962C7">
        <w:rPr>
          <w:rFonts w:ascii="Times New Roman" w:hAnsi="Times New Roman"/>
          <w:szCs w:val="24"/>
          <w:lang w:val="sr-Cyrl-BA"/>
        </w:rPr>
        <w:t>спроведени</w:t>
      </w:r>
      <w:r w:rsidR="001D24A5" w:rsidRPr="00295637">
        <w:rPr>
          <w:rFonts w:ascii="Times New Roman" w:hAnsi="Times New Roman"/>
          <w:szCs w:val="24"/>
          <w:lang w:val="bs-Latn-BA"/>
        </w:rPr>
        <w:t xml:space="preserve"> </w:t>
      </w:r>
      <w:r>
        <w:rPr>
          <w:rFonts w:ascii="Times New Roman" w:hAnsi="Times New Roman"/>
          <w:szCs w:val="24"/>
          <w:lang w:val="bs-Latn-BA"/>
        </w:rPr>
        <w:t>су</w:t>
      </w:r>
      <w:r w:rsidR="001D24A5" w:rsidRPr="00295637">
        <w:rPr>
          <w:rFonts w:ascii="Times New Roman" w:hAnsi="Times New Roman"/>
          <w:szCs w:val="24"/>
          <w:lang w:val="bs-Latn-BA"/>
        </w:rPr>
        <w:t xml:space="preserve"> </w:t>
      </w:r>
      <w:r>
        <w:rPr>
          <w:rFonts w:ascii="Times New Roman" w:hAnsi="Times New Roman"/>
          <w:szCs w:val="24"/>
          <w:lang w:val="bs-Latn-BA"/>
        </w:rPr>
        <w:t>или</w:t>
      </w:r>
      <w:r w:rsidR="001D24A5" w:rsidRPr="00295637">
        <w:rPr>
          <w:rFonts w:ascii="Times New Roman" w:hAnsi="Times New Roman"/>
          <w:szCs w:val="24"/>
          <w:lang w:val="bs-Latn-BA"/>
        </w:rPr>
        <w:t xml:space="preserve"> </w:t>
      </w:r>
      <w:r>
        <w:rPr>
          <w:rFonts w:ascii="Times New Roman" w:hAnsi="Times New Roman"/>
          <w:szCs w:val="24"/>
          <w:lang w:val="bs-Latn-BA"/>
        </w:rPr>
        <w:t>су</w:t>
      </w:r>
      <w:r w:rsidR="001D24A5" w:rsidRPr="00295637">
        <w:rPr>
          <w:rFonts w:ascii="Times New Roman" w:hAnsi="Times New Roman"/>
          <w:szCs w:val="24"/>
          <w:lang w:val="bs-Latn-BA"/>
        </w:rPr>
        <w:t xml:space="preserve"> </w:t>
      </w:r>
      <w:r>
        <w:rPr>
          <w:rFonts w:ascii="Times New Roman" w:hAnsi="Times New Roman"/>
          <w:szCs w:val="24"/>
          <w:lang w:val="bs-Latn-BA"/>
        </w:rPr>
        <w:t>у</w:t>
      </w:r>
      <w:r w:rsidR="001D24A5" w:rsidRPr="00295637">
        <w:rPr>
          <w:rFonts w:ascii="Times New Roman" w:hAnsi="Times New Roman"/>
          <w:szCs w:val="24"/>
          <w:lang w:val="bs-Latn-BA"/>
        </w:rPr>
        <w:t xml:space="preserve"> </w:t>
      </w:r>
      <w:r>
        <w:rPr>
          <w:rFonts w:ascii="Times New Roman" w:hAnsi="Times New Roman"/>
          <w:szCs w:val="24"/>
          <w:lang w:val="bs-Latn-BA"/>
        </w:rPr>
        <w:t>току</w:t>
      </w:r>
      <w:r w:rsidR="001D24A5" w:rsidRPr="00295637">
        <w:rPr>
          <w:rFonts w:ascii="Times New Roman" w:hAnsi="Times New Roman"/>
          <w:szCs w:val="24"/>
          <w:lang w:val="bs-Latn-BA"/>
        </w:rPr>
        <w:t xml:space="preserve"> </w:t>
      </w:r>
      <w:r>
        <w:rPr>
          <w:rFonts w:ascii="Times New Roman" w:hAnsi="Times New Roman"/>
          <w:szCs w:val="24"/>
          <w:lang w:val="bs-Latn-BA"/>
        </w:rPr>
        <w:t>пројекти</w:t>
      </w:r>
      <w:r w:rsidR="001D24A5" w:rsidRPr="00295637">
        <w:rPr>
          <w:rFonts w:ascii="Times New Roman" w:hAnsi="Times New Roman"/>
          <w:szCs w:val="24"/>
          <w:lang w:val="bs-Latn-BA"/>
        </w:rPr>
        <w:t xml:space="preserve"> </w:t>
      </w:r>
      <w:r>
        <w:rPr>
          <w:rFonts w:ascii="Times New Roman" w:hAnsi="Times New Roman"/>
          <w:szCs w:val="24"/>
          <w:lang w:val="bs-Latn-BA"/>
        </w:rPr>
        <w:t>који</w:t>
      </w:r>
      <w:r w:rsidR="001D24A5" w:rsidRPr="00295637">
        <w:rPr>
          <w:rFonts w:ascii="Times New Roman" w:hAnsi="Times New Roman"/>
          <w:szCs w:val="24"/>
          <w:lang w:val="bs-Latn-BA"/>
        </w:rPr>
        <w:t xml:space="preserve"> </w:t>
      </w:r>
      <w:r>
        <w:rPr>
          <w:rFonts w:ascii="Times New Roman" w:hAnsi="Times New Roman"/>
          <w:szCs w:val="24"/>
          <w:lang w:val="bs-Latn-BA"/>
        </w:rPr>
        <w:t>се</w:t>
      </w:r>
      <w:r w:rsidR="001D24A5" w:rsidRPr="00295637">
        <w:rPr>
          <w:rFonts w:ascii="Times New Roman" w:hAnsi="Times New Roman"/>
          <w:szCs w:val="24"/>
          <w:lang w:val="bs-Latn-BA"/>
        </w:rPr>
        <w:t xml:space="preserve"> </w:t>
      </w:r>
      <w:r>
        <w:rPr>
          <w:rFonts w:ascii="Times New Roman" w:hAnsi="Times New Roman"/>
          <w:szCs w:val="24"/>
          <w:lang w:val="bs-Latn-BA"/>
        </w:rPr>
        <w:t>финансирају</w:t>
      </w:r>
      <w:r w:rsidR="001D24A5" w:rsidRPr="00295637">
        <w:rPr>
          <w:rFonts w:ascii="Times New Roman" w:hAnsi="Times New Roman"/>
          <w:szCs w:val="24"/>
          <w:lang w:val="bs-Latn-BA"/>
        </w:rPr>
        <w:t xml:space="preserve"> </w:t>
      </w:r>
      <w:r>
        <w:rPr>
          <w:rFonts w:ascii="Times New Roman" w:hAnsi="Times New Roman"/>
          <w:szCs w:val="24"/>
          <w:lang w:val="bs-Latn-BA"/>
        </w:rPr>
        <w:t>из</w:t>
      </w:r>
      <w:r w:rsidR="001D24A5" w:rsidRPr="00295637">
        <w:rPr>
          <w:rFonts w:ascii="Times New Roman" w:hAnsi="Times New Roman"/>
          <w:szCs w:val="24"/>
          <w:lang w:val="bs-Latn-BA"/>
        </w:rPr>
        <w:t xml:space="preserve"> </w:t>
      </w:r>
      <w:r>
        <w:rPr>
          <w:rFonts w:ascii="Times New Roman" w:hAnsi="Times New Roman"/>
          <w:szCs w:val="24"/>
          <w:lang w:val="bs-Latn-BA"/>
        </w:rPr>
        <w:t>средстава</w:t>
      </w:r>
      <w:r w:rsidR="001D24A5" w:rsidRPr="00295637">
        <w:rPr>
          <w:rFonts w:ascii="Times New Roman" w:hAnsi="Times New Roman"/>
          <w:szCs w:val="24"/>
          <w:lang w:val="bs-Latn-BA"/>
        </w:rPr>
        <w:t xml:space="preserve"> </w:t>
      </w:r>
      <w:r>
        <w:rPr>
          <w:rFonts w:ascii="Times New Roman" w:hAnsi="Times New Roman"/>
          <w:szCs w:val="24"/>
          <w:lang w:val="bs-Latn-BA"/>
        </w:rPr>
        <w:t>Инструмента</w:t>
      </w:r>
      <w:r w:rsidR="001D24A5" w:rsidRPr="00295637">
        <w:rPr>
          <w:rFonts w:ascii="Times New Roman" w:hAnsi="Times New Roman"/>
          <w:szCs w:val="24"/>
          <w:lang w:val="bs-Latn-BA"/>
        </w:rPr>
        <w:t xml:space="preserve"> </w:t>
      </w:r>
      <w:r>
        <w:rPr>
          <w:rFonts w:ascii="Times New Roman" w:hAnsi="Times New Roman"/>
          <w:szCs w:val="24"/>
          <w:lang w:val="bs-Latn-BA"/>
        </w:rPr>
        <w:t>Европске</w:t>
      </w:r>
      <w:r w:rsidR="001D24A5" w:rsidRPr="00295637">
        <w:rPr>
          <w:rFonts w:ascii="Times New Roman" w:hAnsi="Times New Roman"/>
          <w:szCs w:val="24"/>
          <w:lang w:val="bs-Latn-BA"/>
        </w:rPr>
        <w:t xml:space="preserve"> </w:t>
      </w:r>
      <w:r>
        <w:rPr>
          <w:rFonts w:ascii="Times New Roman" w:hAnsi="Times New Roman"/>
          <w:szCs w:val="24"/>
          <w:lang w:val="bs-Latn-BA"/>
        </w:rPr>
        <w:t>уније</w:t>
      </w:r>
      <w:r w:rsidR="001D24A5" w:rsidRPr="00295637">
        <w:rPr>
          <w:rFonts w:ascii="Times New Roman" w:hAnsi="Times New Roman"/>
          <w:szCs w:val="24"/>
          <w:lang w:val="bs-Latn-BA"/>
        </w:rPr>
        <w:t xml:space="preserve"> </w:t>
      </w:r>
      <w:r>
        <w:rPr>
          <w:rFonts w:ascii="Times New Roman" w:hAnsi="Times New Roman"/>
          <w:szCs w:val="24"/>
          <w:lang w:val="bs-Latn-BA"/>
        </w:rPr>
        <w:t>за</w:t>
      </w:r>
      <w:r w:rsidR="001D24A5" w:rsidRPr="00295637">
        <w:rPr>
          <w:rFonts w:ascii="Times New Roman" w:hAnsi="Times New Roman"/>
          <w:szCs w:val="24"/>
          <w:lang w:val="bs-Latn-BA"/>
        </w:rPr>
        <w:t xml:space="preserve"> </w:t>
      </w:r>
      <w:r>
        <w:rPr>
          <w:rFonts w:ascii="Times New Roman" w:hAnsi="Times New Roman"/>
          <w:szCs w:val="24"/>
          <w:lang w:val="bs-Latn-BA"/>
        </w:rPr>
        <w:t>предприступну</w:t>
      </w:r>
      <w:r w:rsidR="001D24A5" w:rsidRPr="00295637">
        <w:rPr>
          <w:rFonts w:ascii="Times New Roman" w:hAnsi="Times New Roman"/>
          <w:szCs w:val="24"/>
          <w:lang w:val="bs-Latn-BA"/>
        </w:rPr>
        <w:t xml:space="preserve"> </w:t>
      </w:r>
      <w:r>
        <w:rPr>
          <w:rFonts w:ascii="Times New Roman" w:hAnsi="Times New Roman"/>
          <w:szCs w:val="24"/>
          <w:lang w:val="bs-Latn-BA"/>
        </w:rPr>
        <w:t>помоћ</w:t>
      </w:r>
      <w:r w:rsidR="001D24A5" w:rsidRPr="00295637">
        <w:rPr>
          <w:rFonts w:ascii="Times New Roman" w:hAnsi="Times New Roman"/>
          <w:szCs w:val="24"/>
          <w:lang w:val="bs-Latn-BA"/>
        </w:rPr>
        <w:t xml:space="preserve"> </w:t>
      </w:r>
      <w:r w:rsidR="005829ED" w:rsidRPr="00295637">
        <w:rPr>
          <w:rFonts w:ascii="Times New Roman" w:hAnsi="Times New Roman"/>
          <w:szCs w:val="24"/>
          <w:lang w:val="bs-Latn-BA"/>
        </w:rPr>
        <w:t>–</w:t>
      </w:r>
      <w:r w:rsidR="001D24A5" w:rsidRPr="00295637">
        <w:rPr>
          <w:rFonts w:ascii="Times New Roman" w:hAnsi="Times New Roman"/>
          <w:szCs w:val="24"/>
          <w:lang w:val="bs-Latn-BA"/>
        </w:rPr>
        <w:t xml:space="preserve"> </w:t>
      </w:r>
      <w:r w:rsidR="00D962C7" w:rsidRPr="00D962C7">
        <w:rPr>
          <w:rFonts w:ascii="Times New Roman" w:hAnsi="Times New Roman"/>
          <w:i/>
          <w:szCs w:val="24"/>
        </w:rPr>
        <w:t>IPA</w:t>
      </w:r>
      <w:r w:rsidR="005829ED" w:rsidRPr="00295637">
        <w:rPr>
          <w:rFonts w:ascii="Times New Roman" w:hAnsi="Times New Roman"/>
          <w:szCs w:val="24"/>
          <w:lang w:val="bs-Latn-BA"/>
        </w:rPr>
        <w:t>.</w:t>
      </w:r>
      <w:r w:rsidR="001D24A5" w:rsidRPr="00295637">
        <w:rPr>
          <w:rFonts w:ascii="Times New Roman" w:hAnsi="Times New Roman"/>
          <w:szCs w:val="24"/>
          <w:lang w:val="bs-Latn-BA"/>
        </w:rPr>
        <w:t xml:space="preserve"> </w:t>
      </w:r>
      <w:r>
        <w:rPr>
          <w:rFonts w:ascii="Times New Roman" w:hAnsi="Times New Roman"/>
          <w:szCs w:val="24"/>
          <w:lang w:val="hr-HR"/>
        </w:rPr>
        <w:t>У</w:t>
      </w:r>
      <w:r w:rsidR="005829ED" w:rsidRPr="00295637">
        <w:rPr>
          <w:rFonts w:ascii="Times New Roman" w:hAnsi="Times New Roman"/>
          <w:szCs w:val="24"/>
          <w:lang w:val="hr-HR"/>
        </w:rPr>
        <w:t xml:space="preserve"> </w:t>
      </w:r>
      <w:r>
        <w:rPr>
          <w:rFonts w:ascii="Times New Roman" w:hAnsi="Times New Roman"/>
          <w:szCs w:val="24"/>
          <w:lang w:val="hr-HR"/>
        </w:rPr>
        <w:t>оквиру</w:t>
      </w:r>
      <w:r w:rsidR="005829ED" w:rsidRPr="00295637">
        <w:rPr>
          <w:rFonts w:ascii="Times New Roman" w:hAnsi="Times New Roman"/>
          <w:szCs w:val="24"/>
          <w:lang w:val="hr-HR"/>
        </w:rPr>
        <w:t xml:space="preserve"> </w:t>
      </w:r>
      <w:r>
        <w:rPr>
          <w:rFonts w:ascii="Times New Roman" w:hAnsi="Times New Roman"/>
          <w:szCs w:val="24"/>
          <w:lang w:val="hr-HR"/>
        </w:rPr>
        <w:t>заједничког</w:t>
      </w:r>
      <w:r w:rsidR="001F3DE4" w:rsidRPr="00295637">
        <w:rPr>
          <w:rFonts w:ascii="Times New Roman" w:hAnsi="Times New Roman"/>
          <w:szCs w:val="24"/>
          <w:lang w:val="hr-HR"/>
        </w:rPr>
        <w:t xml:space="preserve"> </w:t>
      </w:r>
      <w:r>
        <w:rPr>
          <w:rFonts w:ascii="Times New Roman" w:hAnsi="Times New Roman"/>
          <w:szCs w:val="24"/>
          <w:lang w:val="hr-HR"/>
        </w:rPr>
        <w:t>програма</w:t>
      </w:r>
      <w:r w:rsidR="001F3DE4" w:rsidRPr="00295637">
        <w:rPr>
          <w:rFonts w:ascii="Times New Roman" w:hAnsi="Times New Roman"/>
          <w:szCs w:val="24"/>
          <w:lang w:val="hr-HR"/>
        </w:rPr>
        <w:t xml:space="preserve"> </w:t>
      </w:r>
      <w:r w:rsidR="00D962C7">
        <w:rPr>
          <w:rFonts w:ascii="Times New Roman" w:hAnsi="Times New Roman"/>
          <w:szCs w:val="24"/>
          <w:lang w:val="sr-Cyrl-BA"/>
        </w:rPr>
        <w:t>С</w:t>
      </w:r>
      <w:r>
        <w:rPr>
          <w:rFonts w:ascii="Times New Roman" w:hAnsi="Times New Roman"/>
          <w:szCs w:val="24"/>
          <w:lang w:val="hr-HR"/>
        </w:rPr>
        <w:t>Е</w:t>
      </w:r>
      <w:r w:rsidR="001F3DE4" w:rsidRPr="00295637">
        <w:rPr>
          <w:rFonts w:ascii="Times New Roman" w:hAnsi="Times New Roman"/>
          <w:szCs w:val="24"/>
          <w:lang w:val="hr-HR"/>
        </w:rPr>
        <w:t xml:space="preserve"> </w:t>
      </w:r>
      <w:r>
        <w:rPr>
          <w:rFonts w:ascii="Times New Roman" w:hAnsi="Times New Roman"/>
          <w:szCs w:val="24"/>
          <w:lang w:val="hr-HR"/>
        </w:rPr>
        <w:t>и</w:t>
      </w:r>
      <w:r w:rsidR="001F3DE4" w:rsidRPr="00295637">
        <w:rPr>
          <w:rFonts w:ascii="Times New Roman" w:hAnsi="Times New Roman"/>
          <w:szCs w:val="24"/>
          <w:lang w:val="hr-HR"/>
        </w:rPr>
        <w:t xml:space="preserve"> </w:t>
      </w:r>
      <w:r>
        <w:rPr>
          <w:rFonts w:ascii="Times New Roman" w:hAnsi="Times New Roman"/>
          <w:szCs w:val="24"/>
          <w:lang w:val="hr-HR"/>
        </w:rPr>
        <w:t>ЕУ</w:t>
      </w:r>
      <w:r w:rsidR="001F3DE4" w:rsidRPr="00295637">
        <w:rPr>
          <w:rFonts w:ascii="Times New Roman" w:hAnsi="Times New Roman"/>
          <w:szCs w:val="24"/>
          <w:lang w:val="hr-HR"/>
        </w:rPr>
        <w:t xml:space="preserve"> „</w:t>
      </w:r>
      <w:r w:rsidR="00D962C7" w:rsidRPr="00D962C7">
        <w:rPr>
          <w:rFonts w:ascii="Times New Roman" w:hAnsi="Times New Roman"/>
          <w:i/>
          <w:iCs/>
          <w:szCs w:val="24"/>
          <w:lang w:val="hr-HR"/>
        </w:rPr>
        <w:t xml:space="preserve">Horizontal facility </w:t>
      </w:r>
      <w:r w:rsidR="005829ED" w:rsidRPr="00295637">
        <w:rPr>
          <w:rFonts w:ascii="Times New Roman" w:hAnsi="Times New Roman"/>
          <w:szCs w:val="24"/>
          <w:lang w:val="hr-HR"/>
        </w:rPr>
        <w:t xml:space="preserve">– </w:t>
      </w:r>
      <w:r>
        <w:rPr>
          <w:rFonts w:ascii="Times New Roman" w:hAnsi="Times New Roman"/>
          <w:szCs w:val="24"/>
          <w:lang w:val="hr-HR"/>
        </w:rPr>
        <w:t>фаза</w:t>
      </w:r>
      <w:r w:rsidR="005829ED" w:rsidRPr="00295637">
        <w:rPr>
          <w:rFonts w:ascii="Times New Roman" w:hAnsi="Times New Roman"/>
          <w:szCs w:val="24"/>
          <w:lang w:val="hr-HR"/>
        </w:rPr>
        <w:t xml:space="preserve"> </w:t>
      </w:r>
      <w:r w:rsidR="00D962C7" w:rsidRPr="00D962C7">
        <w:rPr>
          <w:rFonts w:ascii="Times New Roman" w:hAnsi="Times New Roman"/>
          <w:szCs w:val="24"/>
          <w:lang w:val="hr-HR"/>
        </w:rPr>
        <w:t>III</w:t>
      </w:r>
      <w:r w:rsidR="00B7236D">
        <w:rPr>
          <w:rFonts w:ascii="Times New Roman" w:hAnsi="Times New Roman"/>
          <w:szCs w:val="24"/>
          <w:lang w:val="hr-HR"/>
        </w:rPr>
        <w:t xml:space="preserve"> </w:t>
      </w:r>
      <w:r>
        <w:rPr>
          <w:rFonts w:ascii="Times New Roman" w:hAnsi="Times New Roman"/>
          <w:szCs w:val="24"/>
          <w:lang w:val="hr-HR"/>
        </w:rPr>
        <w:t>проводи</w:t>
      </w:r>
      <w:r w:rsidR="00B7236D">
        <w:rPr>
          <w:rFonts w:ascii="Times New Roman" w:hAnsi="Times New Roman"/>
          <w:szCs w:val="24"/>
          <w:lang w:val="hr-HR"/>
        </w:rPr>
        <w:t xml:space="preserve"> </w:t>
      </w:r>
      <w:r>
        <w:rPr>
          <w:rFonts w:ascii="Times New Roman" w:hAnsi="Times New Roman"/>
          <w:szCs w:val="24"/>
          <w:lang w:val="hr-HR"/>
        </w:rPr>
        <w:t>се</w:t>
      </w:r>
      <w:r w:rsidR="00B7236D">
        <w:rPr>
          <w:rFonts w:ascii="Times New Roman" w:hAnsi="Times New Roman"/>
          <w:szCs w:val="24"/>
          <w:lang w:val="hr-HR"/>
        </w:rPr>
        <w:t xml:space="preserve"> </w:t>
      </w:r>
      <w:r>
        <w:rPr>
          <w:rFonts w:ascii="Times New Roman" w:hAnsi="Times New Roman"/>
          <w:szCs w:val="24"/>
          <w:lang w:val="hr-HR"/>
        </w:rPr>
        <w:t>пројек</w:t>
      </w:r>
      <w:r w:rsidR="00D962C7">
        <w:rPr>
          <w:rFonts w:ascii="Times New Roman" w:hAnsi="Times New Roman"/>
          <w:szCs w:val="24"/>
          <w:lang w:val="sr-Cyrl-BA"/>
        </w:rPr>
        <w:t>а</w:t>
      </w:r>
      <w:r>
        <w:rPr>
          <w:rFonts w:ascii="Times New Roman" w:hAnsi="Times New Roman"/>
          <w:szCs w:val="24"/>
          <w:lang w:val="hr-HR"/>
        </w:rPr>
        <w:t>т</w:t>
      </w:r>
      <w:r w:rsidR="005829ED" w:rsidRPr="00295637">
        <w:rPr>
          <w:rFonts w:ascii="Times New Roman" w:hAnsi="Times New Roman"/>
          <w:szCs w:val="24"/>
          <w:lang w:val="hr-HR"/>
        </w:rPr>
        <w:t xml:space="preserve"> „</w:t>
      </w:r>
      <w:r>
        <w:rPr>
          <w:rFonts w:ascii="Times New Roman" w:hAnsi="Times New Roman"/>
          <w:szCs w:val="24"/>
          <w:lang w:val="hr-HR"/>
        </w:rPr>
        <w:t>Ка</w:t>
      </w:r>
      <w:r w:rsidR="005829ED" w:rsidRPr="00295637">
        <w:rPr>
          <w:rFonts w:ascii="Times New Roman" w:hAnsi="Times New Roman"/>
          <w:szCs w:val="24"/>
          <w:lang w:val="hr-HR"/>
        </w:rPr>
        <w:t xml:space="preserve"> </w:t>
      </w:r>
      <w:r>
        <w:rPr>
          <w:rFonts w:ascii="Times New Roman" w:hAnsi="Times New Roman"/>
          <w:szCs w:val="24"/>
          <w:lang w:val="hr-HR"/>
        </w:rPr>
        <w:t>једнакој</w:t>
      </w:r>
      <w:r w:rsidR="005829ED" w:rsidRPr="00295637">
        <w:rPr>
          <w:rFonts w:ascii="Times New Roman" w:hAnsi="Times New Roman"/>
          <w:szCs w:val="24"/>
          <w:lang w:val="hr-HR"/>
        </w:rPr>
        <w:t>,</w:t>
      </w:r>
      <w:r w:rsidR="00031BE0" w:rsidRPr="00295637">
        <w:rPr>
          <w:rFonts w:ascii="Times New Roman" w:hAnsi="Times New Roman"/>
          <w:szCs w:val="24"/>
          <w:lang w:val="hr-HR"/>
        </w:rPr>
        <w:t xml:space="preserve"> </w:t>
      </w:r>
      <w:r>
        <w:rPr>
          <w:rFonts w:ascii="Times New Roman" w:hAnsi="Times New Roman"/>
          <w:szCs w:val="24"/>
          <w:lang w:val="hr-HR"/>
        </w:rPr>
        <w:t>инклузивној</w:t>
      </w:r>
      <w:r w:rsidR="00031BE0" w:rsidRPr="00295637">
        <w:rPr>
          <w:rFonts w:ascii="Times New Roman" w:hAnsi="Times New Roman"/>
          <w:szCs w:val="24"/>
          <w:lang w:val="hr-HR"/>
        </w:rPr>
        <w:t xml:space="preserve"> </w:t>
      </w:r>
      <w:r>
        <w:rPr>
          <w:rFonts w:ascii="Times New Roman" w:hAnsi="Times New Roman"/>
          <w:szCs w:val="24"/>
          <w:lang w:val="hr-HR"/>
        </w:rPr>
        <w:t>и</w:t>
      </w:r>
      <w:r w:rsidR="00031BE0" w:rsidRPr="00295637">
        <w:rPr>
          <w:rFonts w:ascii="Times New Roman" w:hAnsi="Times New Roman"/>
          <w:szCs w:val="24"/>
          <w:lang w:val="hr-HR"/>
        </w:rPr>
        <w:t xml:space="preserve"> </w:t>
      </w:r>
      <w:r>
        <w:rPr>
          <w:rFonts w:ascii="Times New Roman" w:hAnsi="Times New Roman"/>
          <w:szCs w:val="24"/>
          <w:lang w:val="hr-HR"/>
        </w:rPr>
        <w:t>толерантној</w:t>
      </w:r>
      <w:r w:rsidR="00B7236D">
        <w:rPr>
          <w:rFonts w:ascii="Times New Roman" w:hAnsi="Times New Roman"/>
          <w:szCs w:val="24"/>
          <w:lang w:val="hr-HR"/>
        </w:rPr>
        <w:t xml:space="preserve"> </w:t>
      </w:r>
      <w:r>
        <w:rPr>
          <w:rFonts w:ascii="Times New Roman" w:hAnsi="Times New Roman"/>
          <w:szCs w:val="24"/>
          <w:lang w:val="hr-HR"/>
        </w:rPr>
        <w:t>БиХ</w:t>
      </w:r>
      <w:r w:rsidR="00031BE0" w:rsidRPr="00295637">
        <w:rPr>
          <w:rFonts w:ascii="Times New Roman" w:hAnsi="Times New Roman"/>
          <w:szCs w:val="24"/>
          <w:lang w:val="hr-HR"/>
        </w:rPr>
        <w:t xml:space="preserve">“ </w:t>
      </w:r>
      <w:r>
        <w:rPr>
          <w:rFonts w:ascii="Times New Roman" w:hAnsi="Times New Roman"/>
          <w:szCs w:val="24"/>
          <w:lang w:val="hr-HR"/>
        </w:rPr>
        <w:t>у</w:t>
      </w:r>
      <w:r w:rsidR="00031BE0" w:rsidRPr="00295637">
        <w:rPr>
          <w:rFonts w:ascii="Times New Roman" w:hAnsi="Times New Roman"/>
          <w:szCs w:val="24"/>
          <w:lang w:val="hr-HR"/>
        </w:rPr>
        <w:t xml:space="preserve"> </w:t>
      </w:r>
      <w:r>
        <w:rPr>
          <w:rFonts w:ascii="Times New Roman" w:hAnsi="Times New Roman"/>
          <w:szCs w:val="24"/>
          <w:lang w:val="hr-HR"/>
        </w:rPr>
        <w:t>чијем</w:t>
      </w:r>
      <w:r w:rsidR="00031BE0" w:rsidRPr="00295637">
        <w:rPr>
          <w:rFonts w:ascii="Times New Roman" w:hAnsi="Times New Roman"/>
          <w:szCs w:val="24"/>
          <w:lang w:val="hr-HR"/>
        </w:rPr>
        <w:t xml:space="preserve"> </w:t>
      </w:r>
      <w:r>
        <w:rPr>
          <w:rFonts w:ascii="Times New Roman" w:hAnsi="Times New Roman"/>
          <w:szCs w:val="24"/>
          <w:lang w:val="hr-HR"/>
        </w:rPr>
        <w:t>управљачком</w:t>
      </w:r>
      <w:r w:rsidR="00031BE0" w:rsidRPr="00295637">
        <w:rPr>
          <w:rFonts w:ascii="Times New Roman" w:hAnsi="Times New Roman"/>
          <w:szCs w:val="24"/>
          <w:lang w:val="hr-HR"/>
        </w:rPr>
        <w:t xml:space="preserve"> </w:t>
      </w:r>
      <w:r>
        <w:rPr>
          <w:rFonts w:ascii="Times New Roman" w:hAnsi="Times New Roman"/>
          <w:szCs w:val="24"/>
          <w:lang w:val="hr-HR"/>
        </w:rPr>
        <w:t>одбору</w:t>
      </w:r>
      <w:r w:rsidR="00031BE0" w:rsidRPr="00295637">
        <w:rPr>
          <w:rFonts w:ascii="Times New Roman" w:hAnsi="Times New Roman"/>
          <w:szCs w:val="24"/>
          <w:lang w:val="hr-HR"/>
        </w:rPr>
        <w:t xml:space="preserve"> </w:t>
      </w:r>
      <w:r>
        <w:rPr>
          <w:rFonts w:ascii="Times New Roman" w:hAnsi="Times New Roman"/>
          <w:szCs w:val="24"/>
          <w:lang w:val="hr-HR"/>
        </w:rPr>
        <w:t>је</w:t>
      </w:r>
      <w:r w:rsidR="00031BE0" w:rsidRPr="00295637">
        <w:rPr>
          <w:rFonts w:ascii="Times New Roman" w:hAnsi="Times New Roman"/>
          <w:szCs w:val="24"/>
          <w:lang w:val="hr-HR"/>
        </w:rPr>
        <w:t xml:space="preserve"> </w:t>
      </w:r>
      <w:r>
        <w:rPr>
          <w:rFonts w:ascii="Times New Roman" w:hAnsi="Times New Roman"/>
          <w:szCs w:val="24"/>
          <w:lang w:val="hr-HR"/>
        </w:rPr>
        <w:t>АР</w:t>
      </w:r>
      <w:r w:rsidR="00D962C7">
        <w:rPr>
          <w:rFonts w:ascii="Times New Roman" w:hAnsi="Times New Roman"/>
          <w:szCs w:val="24"/>
          <w:lang w:val="sr-Cyrl-BA"/>
        </w:rPr>
        <w:t>П</w:t>
      </w:r>
      <w:r w:rsidR="00B7236D">
        <w:rPr>
          <w:rFonts w:ascii="Times New Roman" w:hAnsi="Times New Roman"/>
          <w:szCs w:val="24"/>
          <w:lang w:val="hr-HR"/>
        </w:rPr>
        <w:t xml:space="preserve"> </w:t>
      </w:r>
      <w:r>
        <w:rPr>
          <w:rFonts w:ascii="Times New Roman" w:hAnsi="Times New Roman"/>
          <w:szCs w:val="24"/>
          <w:lang w:val="hr-HR"/>
        </w:rPr>
        <w:t>БиХ</w:t>
      </w:r>
      <w:r w:rsidR="00AA2171">
        <w:rPr>
          <w:rFonts w:ascii="Times New Roman" w:hAnsi="Times New Roman"/>
          <w:szCs w:val="24"/>
          <w:lang w:val="hr-HR"/>
        </w:rPr>
        <w:t xml:space="preserve"> </w:t>
      </w:r>
      <w:r>
        <w:rPr>
          <w:rFonts w:ascii="Times New Roman" w:hAnsi="Times New Roman"/>
          <w:szCs w:val="24"/>
          <w:lang w:val="hr-HR"/>
        </w:rPr>
        <w:t>МЉПИ</w:t>
      </w:r>
      <w:r w:rsidR="00B7236D">
        <w:rPr>
          <w:rFonts w:ascii="Times New Roman" w:hAnsi="Times New Roman"/>
          <w:szCs w:val="24"/>
          <w:lang w:val="hr-HR"/>
        </w:rPr>
        <w:t xml:space="preserve"> </w:t>
      </w:r>
      <w:r>
        <w:rPr>
          <w:rFonts w:ascii="Times New Roman" w:hAnsi="Times New Roman"/>
          <w:szCs w:val="24"/>
          <w:lang w:val="hr-HR"/>
        </w:rPr>
        <w:t>БиХ</w:t>
      </w:r>
      <w:r w:rsidR="00031BE0" w:rsidRPr="00295637">
        <w:rPr>
          <w:rFonts w:ascii="Times New Roman" w:hAnsi="Times New Roman"/>
          <w:szCs w:val="24"/>
          <w:lang w:val="hr-HR"/>
        </w:rPr>
        <w:t xml:space="preserve"> </w:t>
      </w:r>
      <w:r>
        <w:rPr>
          <w:rFonts w:ascii="Times New Roman" w:hAnsi="Times New Roman"/>
          <w:szCs w:val="24"/>
          <w:lang w:val="hr-HR"/>
        </w:rPr>
        <w:t>једна</w:t>
      </w:r>
      <w:r w:rsidR="00031BE0" w:rsidRPr="00295637">
        <w:rPr>
          <w:rFonts w:ascii="Times New Roman" w:hAnsi="Times New Roman"/>
          <w:szCs w:val="24"/>
          <w:lang w:val="hr-HR"/>
        </w:rPr>
        <w:t xml:space="preserve"> </w:t>
      </w:r>
      <w:r>
        <w:rPr>
          <w:rFonts w:ascii="Times New Roman" w:hAnsi="Times New Roman"/>
          <w:szCs w:val="24"/>
          <w:lang w:val="hr-HR"/>
        </w:rPr>
        <w:t>од</w:t>
      </w:r>
      <w:r w:rsidR="00031BE0" w:rsidRPr="00295637">
        <w:rPr>
          <w:rFonts w:ascii="Times New Roman" w:hAnsi="Times New Roman"/>
          <w:szCs w:val="24"/>
          <w:lang w:val="hr-HR"/>
        </w:rPr>
        <w:t xml:space="preserve"> </w:t>
      </w:r>
      <w:r>
        <w:rPr>
          <w:rFonts w:ascii="Times New Roman" w:hAnsi="Times New Roman"/>
          <w:szCs w:val="24"/>
          <w:lang w:val="hr-HR"/>
        </w:rPr>
        <w:t>чланица</w:t>
      </w:r>
      <w:r w:rsidR="007A7A99" w:rsidRPr="00295637">
        <w:rPr>
          <w:rFonts w:ascii="Times New Roman" w:hAnsi="Times New Roman"/>
          <w:szCs w:val="24"/>
          <w:lang w:val="hr-HR"/>
        </w:rPr>
        <w:t>.</w:t>
      </w:r>
    </w:p>
    <w:p w:rsidR="008119A2" w:rsidRPr="00295637" w:rsidRDefault="008119A2" w:rsidP="0086268D">
      <w:pPr>
        <w:jc w:val="both"/>
        <w:rPr>
          <w:rFonts w:ascii="Times New Roman" w:hAnsi="Times New Roman"/>
          <w:szCs w:val="24"/>
          <w:lang w:val="hr-HR"/>
        </w:rPr>
      </w:pPr>
    </w:p>
    <w:p w:rsidR="002B4977" w:rsidRPr="00295637" w:rsidRDefault="00C6214E" w:rsidP="0086268D">
      <w:pPr>
        <w:jc w:val="both"/>
        <w:rPr>
          <w:rFonts w:ascii="Times New Roman" w:hAnsi="Times New Roman"/>
          <w:szCs w:val="24"/>
          <w:lang w:val="hr-HR"/>
        </w:rPr>
      </w:pPr>
      <w:r>
        <w:rPr>
          <w:rFonts w:ascii="Times New Roman" w:hAnsi="Times New Roman"/>
          <w:szCs w:val="24"/>
          <w:lang w:val="hr-HR"/>
        </w:rPr>
        <w:t>АР</w:t>
      </w:r>
      <w:r w:rsidR="00D962C7">
        <w:rPr>
          <w:rFonts w:ascii="Times New Roman" w:hAnsi="Times New Roman"/>
          <w:szCs w:val="24"/>
          <w:lang w:val="sr-Cyrl-BA"/>
        </w:rPr>
        <w:t>П</w:t>
      </w:r>
      <w:r w:rsidR="00B7236D">
        <w:rPr>
          <w:rFonts w:ascii="Times New Roman" w:hAnsi="Times New Roman"/>
          <w:szCs w:val="24"/>
          <w:lang w:val="hr-HR"/>
        </w:rPr>
        <w:t xml:space="preserve"> </w:t>
      </w:r>
      <w:r>
        <w:rPr>
          <w:rFonts w:ascii="Times New Roman" w:hAnsi="Times New Roman"/>
          <w:szCs w:val="24"/>
          <w:lang w:val="hr-HR"/>
        </w:rPr>
        <w:t>БиХ</w:t>
      </w:r>
      <w:r w:rsidR="00B7236D">
        <w:rPr>
          <w:rFonts w:ascii="Times New Roman" w:hAnsi="Times New Roman"/>
          <w:szCs w:val="24"/>
          <w:lang w:val="hr-HR"/>
        </w:rPr>
        <w:t xml:space="preserve"> </w:t>
      </w:r>
      <w:r>
        <w:rPr>
          <w:rFonts w:ascii="Times New Roman" w:hAnsi="Times New Roman"/>
          <w:szCs w:val="24"/>
          <w:lang w:val="hr-HR"/>
        </w:rPr>
        <w:t>МЉПИ</w:t>
      </w:r>
      <w:r w:rsidR="00B7236D">
        <w:rPr>
          <w:rFonts w:ascii="Times New Roman" w:hAnsi="Times New Roman"/>
          <w:szCs w:val="24"/>
          <w:lang w:val="hr-HR"/>
        </w:rPr>
        <w:t xml:space="preserve"> </w:t>
      </w:r>
      <w:r>
        <w:rPr>
          <w:rFonts w:ascii="Times New Roman" w:hAnsi="Times New Roman"/>
          <w:szCs w:val="24"/>
          <w:lang w:val="hr-HR"/>
        </w:rPr>
        <w:t>БиХ</w:t>
      </w:r>
      <w:r w:rsidR="000776AC" w:rsidRPr="00295637">
        <w:rPr>
          <w:rFonts w:ascii="Times New Roman" w:hAnsi="Times New Roman"/>
          <w:szCs w:val="24"/>
          <w:lang w:val="hr-HR"/>
        </w:rPr>
        <w:t xml:space="preserve"> </w:t>
      </w:r>
      <w:r>
        <w:rPr>
          <w:rFonts w:ascii="Times New Roman" w:hAnsi="Times New Roman"/>
          <w:szCs w:val="24"/>
          <w:lang w:val="hr-HR"/>
        </w:rPr>
        <w:t>проводи</w:t>
      </w:r>
      <w:r w:rsidR="000776AC" w:rsidRPr="00295637">
        <w:rPr>
          <w:rFonts w:ascii="Times New Roman" w:hAnsi="Times New Roman"/>
          <w:szCs w:val="24"/>
          <w:lang w:val="hr-HR"/>
        </w:rPr>
        <w:t xml:space="preserve"> </w:t>
      </w:r>
      <w:r>
        <w:rPr>
          <w:rFonts w:ascii="Times New Roman" w:hAnsi="Times New Roman"/>
          <w:szCs w:val="24"/>
          <w:lang w:val="hr-HR"/>
        </w:rPr>
        <w:t>пројекте</w:t>
      </w:r>
      <w:r w:rsidR="000776AC" w:rsidRPr="00295637">
        <w:rPr>
          <w:rFonts w:ascii="Times New Roman" w:hAnsi="Times New Roman"/>
          <w:szCs w:val="24"/>
          <w:lang w:val="hr-HR"/>
        </w:rPr>
        <w:t xml:space="preserve"> „</w:t>
      </w:r>
      <w:r>
        <w:rPr>
          <w:rFonts w:ascii="Times New Roman" w:hAnsi="Times New Roman"/>
          <w:szCs w:val="24"/>
          <w:lang w:val="hr-HR"/>
        </w:rPr>
        <w:t>Печат</w:t>
      </w:r>
      <w:r w:rsidR="00644C7A">
        <w:rPr>
          <w:rFonts w:ascii="Times New Roman" w:hAnsi="Times New Roman"/>
          <w:szCs w:val="24"/>
          <w:lang w:val="hr-HR"/>
        </w:rPr>
        <w:t xml:space="preserve"> </w:t>
      </w:r>
      <w:r>
        <w:rPr>
          <w:rFonts w:ascii="Times New Roman" w:hAnsi="Times New Roman"/>
          <w:szCs w:val="24"/>
          <w:lang w:val="hr-HR"/>
        </w:rPr>
        <w:t>равноправности</w:t>
      </w:r>
      <w:r w:rsidR="00644C7A">
        <w:rPr>
          <w:rFonts w:ascii="Times New Roman" w:hAnsi="Times New Roman"/>
          <w:szCs w:val="24"/>
          <w:lang w:val="hr-HR"/>
        </w:rPr>
        <w:t xml:space="preserve"> </w:t>
      </w:r>
      <w:r>
        <w:rPr>
          <w:rFonts w:ascii="Times New Roman" w:hAnsi="Times New Roman"/>
          <w:szCs w:val="24"/>
          <w:lang w:val="hr-HR"/>
        </w:rPr>
        <w:t>полова</w:t>
      </w:r>
      <w:r w:rsidR="000776AC" w:rsidRPr="00295637">
        <w:rPr>
          <w:rFonts w:ascii="Times New Roman" w:hAnsi="Times New Roman"/>
          <w:szCs w:val="24"/>
          <w:lang w:val="hr-HR"/>
        </w:rPr>
        <w:t xml:space="preserve"> </w:t>
      </w:r>
      <w:r w:rsidR="00D962C7" w:rsidRPr="00D962C7">
        <w:rPr>
          <w:rFonts w:ascii="Times New Roman" w:hAnsi="Times New Roman"/>
          <w:i/>
          <w:szCs w:val="24"/>
          <w:lang w:val="hr-HR"/>
        </w:rPr>
        <w:t>SEAL</w:t>
      </w:r>
      <w:r w:rsidR="000776AC" w:rsidRPr="00295637">
        <w:rPr>
          <w:rFonts w:ascii="Times New Roman" w:hAnsi="Times New Roman"/>
          <w:szCs w:val="24"/>
          <w:lang w:val="hr-HR"/>
        </w:rPr>
        <w:t>“</w:t>
      </w:r>
      <w:r w:rsidR="003431DE" w:rsidRPr="00295637">
        <w:rPr>
          <w:rFonts w:ascii="Times New Roman" w:hAnsi="Times New Roman"/>
          <w:szCs w:val="24"/>
          <w:lang w:val="hr-HR"/>
        </w:rPr>
        <w:t xml:space="preserve"> </w:t>
      </w:r>
      <w:r>
        <w:rPr>
          <w:rFonts w:ascii="Times New Roman" w:hAnsi="Times New Roman"/>
          <w:szCs w:val="24"/>
          <w:lang w:val="hr-HR"/>
        </w:rPr>
        <w:t>у</w:t>
      </w:r>
      <w:r w:rsidR="003431DE" w:rsidRPr="00295637">
        <w:rPr>
          <w:rFonts w:ascii="Times New Roman" w:hAnsi="Times New Roman"/>
          <w:szCs w:val="24"/>
          <w:lang w:val="hr-HR"/>
        </w:rPr>
        <w:t xml:space="preserve"> </w:t>
      </w:r>
      <w:r>
        <w:rPr>
          <w:rFonts w:ascii="Times New Roman" w:hAnsi="Times New Roman"/>
          <w:szCs w:val="24"/>
          <w:lang w:val="hr-HR"/>
        </w:rPr>
        <w:t>приватном</w:t>
      </w:r>
      <w:r w:rsidR="003431DE" w:rsidRPr="00295637">
        <w:rPr>
          <w:rFonts w:ascii="Times New Roman" w:hAnsi="Times New Roman"/>
          <w:szCs w:val="24"/>
          <w:lang w:val="hr-HR"/>
        </w:rPr>
        <w:t xml:space="preserve"> </w:t>
      </w:r>
      <w:r>
        <w:rPr>
          <w:rFonts w:ascii="Times New Roman" w:hAnsi="Times New Roman"/>
          <w:szCs w:val="24"/>
          <w:lang w:val="hr-HR"/>
        </w:rPr>
        <w:t>и</w:t>
      </w:r>
      <w:r w:rsidR="003431DE" w:rsidRPr="00295637">
        <w:rPr>
          <w:rFonts w:ascii="Times New Roman" w:hAnsi="Times New Roman"/>
          <w:szCs w:val="24"/>
          <w:lang w:val="hr-HR"/>
        </w:rPr>
        <w:t xml:space="preserve"> </w:t>
      </w:r>
      <w:r>
        <w:rPr>
          <w:rFonts w:ascii="Times New Roman" w:hAnsi="Times New Roman"/>
          <w:szCs w:val="24"/>
          <w:lang w:val="hr-HR"/>
        </w:rPr>
        <w:t>јавном</w:t>
      </w:r>
      <w:r w:rsidR="003431DE" w:rsidRPr="00295637">
        <w:rPr>
          <w:rFonts w:ascii="Times New Roman" w:hAnsi="Times New Roman"/>
          <w:szCs w:val="24"/>
          <w:lang w:val="hr-HR"/>
        </w:rPr>
        <w:t xml:space="preserve"> </w:t>
      </w:r>
      <w:r>
        <w:rPr>
          <w:rFonts w:ascii="Times New Roman" w:hAnsi="Times New Roman"/>
          <w:szCs w:val="24"/>
          <w:lang w:val="hr-HR"/>
        </w:rPr>
        <w:t>сектору</w:t>
      </w:r>
      <w:r w:rsidR="003431DE" w:rsidRPr="00295637">
        <w:rPr>
          <w:rFonts w:ascii="Times New Roman" w:hAnsi="Times New Roman"/>
          <w:szCs w:val="24"/>
          <w:lang w:val="hr-HR"/>
        </w:rPr>
        <w:t>,</w:t>
      </w:r>
      <w:r w:rsidR="00E57E4F" w:rsidRPr="00295637">
        <w:rPr>
          <w:rFonts w:ascii="Times New Roman" w:hAnsi="Times New Roman"/>
          <w:szCs w:val="24"/>
          <w:lang w:val="hr-HR"/>
        </w:rPr>
        <w:t xml:space="preserve"> (</w:t>
      </w:r>
      <w:r>
        <w:rPr>
          <w:rFonts w:ascii="Times New Roman" w:hAnsi="Times New Roman"/>
          <w:szCs w:val="24"/>
          <w:lang w:val="hr-HR"/>
        </w:rPr>
        <w:t>у</w:t>
      </w:r>
      <w:r w:rsidR="00E57E4F" w:rsidRPr="00295637">
        <w:rPr>
          <w:rFonts w:ascii="Times New Roman" w:hAnsi="Times New Roman"/>
          <w:szCs w:val="24"/>
          <w:lang w:val="hr-HR"/>
        </w:rPr>
        <w:t xml:space="preserve"> </w:t>
      </w:r>
      <w:r>
        <w:rPr>
          <w:rFonts w:ascii="Times New Roman" w:hAnsi="Times New Roman"/>
          <w:szCs w:val="24"/>
          <w:lang w:val="hr-HR"/>
        </w:rPr>
        <w:t>сарадњи</w:t>
      </w:r>
      <w:r w:rsidR="00B7236D">
        <w:rPr>
          <w:rFonts w:ascii="Times New Roman" w:hAnsi="Times New Roman"/>
          <w:szCs w:val="24"/>
          <w:lang w:val="hr-HR"/>
        </w:rPr>
        <w:t xml:space="preserve"> </w:t>
      </w:r>
      <w:r>
        <w:rPr>
          <w:rFonts w:ascii="Times New Roman" w:hAnsi="Times New Roman"/>
          <w:szCs w:val="24"/>
          <w:lang w:val="hr-HR"/>
        </w:rPr>
        <w:t>са</w:t>
      </w:r>
      <w:r w:rsidR="00050016">
        <w:rPr>
          <w:rFonts w:ascii="Times New Roman" w:hAnsi="Times New Roman"/>
          <w:szCs w:val="24"/>
          <w:lang w:val="hr-HR"/>
        </w:rPr>
        <w:t xml:space="preserve"> </w:t>
      </w:r>
      <w:r w:rsidR="00D962C7" w:rsidRPr="00D962C7">
        <w:rPr>
          <w:rFonts w:ascii="Times New Roman" w:hAnsi="Times New Roman"/>
          <w:i/>
          <w:szCs w:val="24"/>
          <w:lang w:val="hr-HR"/>
        </w:rPr>
        <w:t>UNDP</w:t>
      </w:r>
      <w:r w:rsidR="00050016">
        <w:rPr>
          <w:rFonts w:ascii="Times New Roman" w:hAnsi="Times New Roman"/>
          <w:szCs w:val="24"/>
          <w:lang w:val="hr-HR"/>
        </w:rPr>
        <w:t>-</w:t>
      </w:r>
      <w:r>
        <w:rPr>
          <w:rFonts w:ascii="Times New Roman" w:hAnsi="Times New Roman"/>
          <w:szCs w:val="24"/>
          <w:lang w:val="hr-HR"/>
        </w:rPr>
        <w:t>ом</w:t>
      </w:r>
      <w:r w:rsidR="00050016">
        <w:rPr>
          <w:rFonts w:ascii="Times New Roman" w:hAnsi="Times New Roman"/>
          <w:szCs w:val="24"/>
          <w:lang w:val="hr-HR"/>
        </w:rPr>
        <w:t>),</w:t>
      </w:r>
      <w:r w:rsidR="003431DE" w:rsidRPr="00295637">
        <w:rPr>
          <w:rFonts w:ascii="Times New Roman" w:hAnsi="Times New Roman"/>
          <w:szCs w:val="24"/>
          <w:lang w:val="hr-HR"/>
        </w:rPr>
        <w:t xml:space="preserve"> </w:t>
      </w:r>
      <w:r>
        <w:rPr>
          <w:rFonts w:ascii="Times New Roman" w:hAnsi="Times New Roman"/>
          <w:szCs w:val="24"/>
          <w:lang w:val="hr-HR"/>
        </w:rPr>
        <w:t>као</w:t>
      </w:r>
      <w:r w:rsidR="003431DE" w:rsidRPr="00295637">
        <w:rPr>
          <w:rFonts w:ascii="Times New Roman" w:hAnsi="Times New Roman"/>
          <w:szCs w:val="24"/>
          <w:lang w:val="hr-HR"/>
        </w:rPr>
        <w:t xml:space="preserve"> </w:t>
      </w:r>
      <w:r>
        <w:rPr>
          <w:rFonts w:ascii="Times New Roman" w:hAnsi="Times New Roman"/>
          <w:szCs w:val="24"/>
          <w:lang w:val="hr-HR"/>
        </w:rPr>
        <w:t>и</w:t>
      </w:r>
      <w:r w:rsidR="003431DE" w:rsidRPr="00295637">
        <w:rPr>
          <w:rFonts w:ascii="Times New Roman" w:hAnsi="Times New Roman"/>
          <w:szCs w:val="24"/>
          <w:lang w:val="hr-HR"/>
        </w:rPr>
        <w:t xml:space="preserve"> </w:t>
      </w:r>
      <w:r w:rsidR="00D962C7" w:rsidRPr="00D962C7">
        <w:rPr>
          <w:rFonts w:ascii="Times New Roman" w:hAnsi="Times New Roman"/>
          <w:i/>
          <w:szCs w:val="24"/>
          <w:lang w:val="hr-HR"/>
        </w:rPr>
        <w:t>EU4Inclusion</w:t>
      </w:r>
      <w:r w:rsidR="003431DE" w:rsidRPr="00295637">
        <w:rPr>
          <w:rFonts w:ascii="Times New Roman" w:hAnsi="Times New Roman"/>
          <w:szCs w:val="24"/>
          <w:lang w:val="hr-HR"/>
        </w:rPr>
        <w:t xml:space="preserve"> </w:t>
      </w:r>
      <w:r>
        <w:rPr>
          <w:rFonts w:ascii="Times New Roman" w:hAnsi="Times New Roman"/>
          <w:szCs w:val="24"/>
          <w:lang w:val="hr-HR"/>
        </w:rPr>
        <w:t>пројекат</w:t>
      </w:r>
      <w:r w:rsidR="003431DE" w:rsidRPr="00295637">
        <w:rPr>
          <w:rFonts w:ascii="Times New Roman" w:hAnsi="Times New Roman"/>
          <w:szCs w:val="24"/>
          <w:lang w:val="hr-HR"/>
        </w:rPr>
        <w:t>: „</w:t>
      </w:r>
      <w:r>
        <w:rPr>
          <w:rFonts w:ascii="Times New Roman" w:hAnsi="Times New Roman"/>
          <w:szCs w:val="24"/>
          <w:lang w:val="hr-HR"/>
        </w:rPr>
        <w:t>Унапређење</w:t>
      </w:r>
      <w:r w:rsidR="003431DE" w:rsidRPr="00295637">
        <w:rPr>
          <w:rFonts w:ascii="Times New Roman" w:hAnsi="Times New Roman"/>
          <w:szCs w:val="24"/>
          <w:lang w:val="hr-HR"/>
        </w:rPr>
        <w:t xml:space="preserve"> </w:t>
      </w:r>
      <w:r>
        <w:rPr>
          <w:rFonts w:ascii="Times New Roman" w:hAnsi="Times New Roman"/>
          <w:szCs w:val="24"/>
          <w:lang w:val="hr-HR"/>
        </w:rPr>
        <w:t>капацитета</w:t>
      </w:r>
      <w:r w:rsidR="003431DE" w:rsidRPr="00295637">
        <w:rPr>
          <w:rFonts w:ascii="Times New Roman" w:hAnsi="Times New Roman"/>
          <w:szCs w:val="24"/>
          <w:lang w:val="hr-HR"/>
        </w:rPr>
        <w:t xml:space="preserve"> </w:t>
      </w:r>
      <w:r>
        <w:rPr>
          <w:rFonts w:ascii="Times New Roman" w:hAnsi="Times New Roman"/>
          <w:szCs w:val="24"/>
          <w:lang w:val="hr-HR"/>
        </w:rPr>
        <w:t>за</w:t>
      </w:r>
      <w:r w:rsidR="003431DE" w:rsidRPr="00295637">
        <w:rPr>
          <w:rFonts w:ascii="Times New Roman" w:hAnsi="Times New Roman"/>
          <w:szCs w:val="24"/>
          <w:lang w:val="hr-HR"/>
        </w:rPr>
        <w:t xml:space="preserve"> </w:t>
      </w:r>
      <w:r>
        <w:rPr>
          <w:rFonts w:ascii="Times New Roman" w:hAnsi="Times New Roman"/>
          <w:szCs w:val="24"/>
          <w:lang w:val="hr-HR"/>
        </w:rPr>
        <w:t>праћење</w:t>
      </w:r>
      <w:r w:rsidR="003431DE" w:rsidRPr="00295637">
        <w:rPr>
          <w:rFonts w:ascii="Times New Roman" w:hAnsi="Times New Roman"/>
          <w:szCs w:val="24"/>
          <w:lang w:val="hr-HR"/>
        </w:rPr>
        <w:t xml:space="preserve"> </w:t>
      </w:r>
      <w:r>
        <w:rPr>
          <w:rFonts w:ascii="Times New Roman" w:hAnsi="Times New Roman"/>
          <w:szCs w:val="24"/>
          <w:lang w:val="hr-HR"/>
        </w:rPr>
        <w:t>и</w:t>
      </w:r>
      <w:r w:rsidR="003431DE" w:rsidRPr="00295637">
        <w:rPr>
          <w:rFonts w:ascii="Times New Roman" w:hAnsi="Times New Roman"/>
          <w:szCs w:val="24"/>
          <w:lang w:val="hr-HR"/>
        </w:rPr>
        <w:t xml:space="preserve"> </w:t>
      </w:r>
      <w:r>
        <w:rPr>
          <w:rFonts w:ascii="Times New Roman" w:hAnsi="Times New Roman"/>
          <w:szCs w:val="24"/>
          <w:lang w:val="hr-HR"/>
        </w:rPr>
        <w:t>извјештавање</w:t>
      </w:r>
      <w:r w:rsidR="003431DE" w:rsidRPr="00295637">
        <w:rPr>
          <w:rFonts w:ascii="Times New Roman" w:hAnsi="Times New Roman"/>
          <w:szCs w:val="24"/>
          <w:lang w:val="hr-HR"/>
        </w:rPr>
        <w:t xml:space="preserve"> </w:t>
      </w:r>
      <w:r>
        <w:rPr>
          <w:rFonts w:ascii="Times New Roman" w:hAnsi="Times New Roman"/>
          <w:szCs w:val="24"/>
          <w:lang w:val="hr-HR"/>
        </w:rPr>
        <w:t>о</w:t>
      </w:r>
      <w:r w:rsidR="003431DE" w:rsidRPr="00295637">
        <w:rPr>
          <w:rFonts w:ascii="Times New Roman" w:hAnsi="Times New Roman"/>
          <w:szCs w:val="24"/>
          <w:lang w:val="hr-HR"/>
        </w:rPr>
        <w:t xml:space="preserve"> </w:t>
      </w:r>
      <w:r>
        <w:rPr>
          <w:rFonts w:ascii="Times New Roman" w:hAnsi="Times New Roman"/>
          <w:szCs w:val="24"/>
          <w:lang w:val="hr-HR"/>
        </w:rPr>
        <w:t>потребама</w:t>
      </w:r>
      <w:r w:rsidR="003431DE" w:rsidRPr="00295637">
        <w:rPr>
          <w:rFonts w:ascii="Times New Roman" w:hAnsi="Times New Roman"/>
          <w:szCs w:val="24"/>
          <w:lang w:val="hr-HR"/>
        </w:rPr>
        <w:t xml:space="preserve"> </w:t>
      </w:r>
      <w:r>
        <w:rPr>
          <w:rFonts w:ascii="Times New Roman" w:hAnsi="Times New Roman"/>
          <w:szCs w:val="24"/>
          <w:lang w:val="hr-HR"/>
        </w:rPr>
        <w:t>рањивих</w:t>
      </w:r>
      <w:r w:rsidR="003431DE" w:rsidRPr="00295637">
        <w:rPr>
          <w:rFonts w:ascii="Times New Roman" w:hAnsi="Times New Roman"/>
          <w:szCs w:val="24"/>
          <w:lang w:val="hr-HR"/>
        </w:rPr>
        <w:t xml:space="preserve"> </w:t>
      </w:r>
      <w:r>
        <w:rPr>
          <w:rFonts w:ascii="Times New Roman" w:hAnsi="Times New Roman"/>
          <w:szCs w:val="24"/>
          <w:lang w:val="hr-HR"/>
        </w:rPr>
        <w:t>група</w:t>
      </w:r>
      <w:r w:rsidR="003431DE" w:rsidRPr="00295637">
        <w:rPr>
          <w:rFonts w:ascii="Times New Roman" w:hAnsi="Times New Roman"/>
          <w:szCs w:val="24"/>
          <w:lang w:val="hr-HR"/>
        </w:rPr>
        <w:t xml:space="preserve"> </w:t>
      </w:r>
      <w:r>
        <w:rPr>
          <w:rFonts w:ascii="Times New Roman" w:hAnsi="Times New Roman"/>
          <w:szCs w:val="24"/>
          <w:lang w:val="hr-HR"/>
        </w:rPr>
        <w:t>у</w:t>
      </w:r>
      <w:r w:rsidR="003431DE" w:rsidRPr="00295637">
        <w:rPr>
          <w:rFonts w:ascii="Times New Roman" w:hAnsi="Times New Roman"/>
          <w:szCs w:val="24"/>
          <w:lang w:val="hr-HR"/>
        </w:rPr>
        <w:t xml:space="preserve"> </w:t>
      </w:r>
      <w:r>
        <w:rPr>
          <w:rFonts w:ascii="Times New Roman" w:hAnsi="Times New Roman"/>
          <w:szCs w:val="24"/>
          <w:lang w:val="hr-HR"/>
        </w:rPr>
        <w:t>БиХ</w:t>
      </w:r>
      <w:r w:rsidR="003431DE" w:rsidRPr="00295637">
        <w:rPr>
          <w:rFonts w:ascii="Times New Roman" w:hAnsi="Times New Roman"/>
          <w:szCs w:val="24"/>
          <w:lang w:val="hr-HR"/>
        </w:rPr>
        <w:t>“.</w:t>
      </w:r>
    </w:p>
    <w:p w:rsidR="002B4977" w:rsidRPr="00295637" w:rsidRDefault="002B4977" w:rsidP="0086268D">
      <w:pPr>
        <w:jc w:val="both"/>
        <w:rPr>
          <w:rFonts w:ascii="Times New Roman" w:hAnsi="Times New Roman"/>
          <w:szCs w:val="24"/>
          <w:lang w:val="hr-HR"/>
        </w:rPr>
      </w:pPr>
    </w:p>
    <w:p w:rsidR="002B4977" w:rsidRPr="00295637" w:rsidRDefault="00C6214E" w:rsidP="0086268D">
      <w:pPr>
        <w:jc w:val="both"/>
        <w:rPr>
          <w:rFonts w:ascii="Times New Roman" w:hAnsi="Times New Roman"/>
          <w:szCs w:val="24"/>
        </w:rPr>
      </w:pPr>
      <w:r>
        <w:rPr>
          <w:rFonts w:ascii="Times New Roman" w:hAnsi="Times New Roman"/>
          <w:szCs w:val="24"/>
        </w:rPr>
        <w:t>У</w:t>
      </w:r>
      <w:r w:rsidR="002B4977" w:rsidRPr="00295637">
        <w:rPr>
          <w:rFonts w:ascii="Times New Roman" w:hAnsi="Times New Roman"/>
          <w:szCs w:val="24"/>
        </w:rPr>
        <w:t xml:space="preserve"> </w:t>
      </w:r>
      <w:r>
        <w:rPr>
          <w:rFonts w:ascii="Times New Roman" w:hAnsi="Times New Roman"/>
          <w:szCs w:val="24"/>
        </w:rPr>
        <w:t>оквиру</w:t>
      </w:r>
      <w:r w:rsidR="002B4977" w:rsidRPr="00295637">
        <w:rPr>
          <w:rFonts w:ascii="Times New Roman" w:hAnsi="Times New Roman"/>
          <w:szCs w:val="24"/>
        </w:rPr>
        <w:t xml:space="preserve"> </w:t>
      </w:r>
      <w:r>
        <w:rPr>
          <w:rFonts w:ascii="Times New Roman" w:hAnsi="Times New Roman"/>
          <w:szCs w:val="24"/>
        </w:rPr>
        <w:t>Међународног</w:t>
      </w:r>
      <w:r w:rsidR="002B4977" w:rsidRPr="00295637">
        <w:rPr>
          <w:rFonts w:ascii="Times New Roman" w:hAnsi="Times New Roman"/>
          <w:szCs w:val="24"/>
        </w:rPr>
        <w:t xml:space="preserve"> </w:t>
      </w:r>
      <w:r>
        <w:rPr>
          <w:rFonts w:ascii="Times New Roman" w:hAnsi="Times New Roman"/>
          <w:szCs w:val="24"/>
        </w:rPr>
        <w:t>покрета</w:t>
      </w:r>
      <w:r w:rsidR="002B4977" w:rsidRPr="00295637">
        <w:rPr>
          <w:rFonts w:ascii="Times New Roman" w:hAnsi="Times New Roman"/>
          <w:szCs w:val="24"/>
        </w:rPr>
        <w:t xml:space="preserve"> </w:t>
      </w:r>
      <w:r>
        <w:rPr>
          <w:rFonts w:ascii="Times New Roman" w:hAnsi="Times New Roman"/>
          <w:szCs w:val="24"/>
        </w:rPr>
        <w:t>Генерација</w:t>
      </w:r>
      <w:r w:rsidR="002B4977" w:rsidRPr="00295637">
        <w:rPr>
          <w:rFonts w:ascii="Times New Roman" w:hAnsi="Times New Roman"/>
          <w:szCs w:val="24"/>
        </w:rPr>
        <w:t xml:space="preserve"> </w:t>
      </w:r>
      <w:r>
        <w:rPr>
          <w:rFonts w:ascii="Times New Roman" w:hAnsi="Times New Roman"/>
          <w:szCs w:val="24"/>
        </w:rPr>
        <w:t>за</w:t>
      </w:r>
      <w:r w:rsidR="002B4977" w:rsidRPr="00295637">
        <w:rPr>
          <w:rFonts w:ascii="Times New Roman" w:hAnsi="Times New Roman"/>
          <w:szCs w:val="24"/>
        </w:rPr>
        <w:t xml:space="preserve"> </w:t>
      </w:r>
      <w:r>
        <w:rPr>
          <w:rFonts w:ascii="Times New Roman" w:hAnsi="Times New Roman"/>
          <w:szCs w:val="24"/>
        </w:rPr>
        <w:t>равноправност</w:t>
      </w:r>
      <w:r w:rsidR="002B4977" w:rsidRPr="00295637">
        <w:rPr>
          <w:rFonts w:ascii="Times New Roman" w:hAnsi="Times New Roman"/>
          <w:szCs w:val="24"/>
        </w:rPr>
        <w:t xml:space="preserve"> „</w:t>
      </w:r>
      <w:r w:rsidR="00D962C7" w:rsidRPr="00D962C7">
        <w:rPr>
          <w:rFonts w:ascii="Times New Roman" w:hAnsi="Times New Roman"/>
          <w:i/>
          <w:iCs/>
          <w:szCs w:val="24"/>
        </w:rPr>
        <w:t>Generation Equality</w:t>
      </w:r>
      <w:r w:rsidR="002B4977" w:rsidRPr="00295637">
        <w:rPr>
          <w:rFonts w:ascii="Times New Roman" w:hAnsi="Times New Roman"/>
          <w:szCs w:val="24"/>
        </w:rPr>
        <w:t xml:space="preserve">“, </w:t>
      </w:r>
      <w:r>
        <w:rPr>
          <w:rFonts w:ascii="Times New Roman" w:hAnsi="Times New Roman"/>
          <w:szCs w:val="24"/>
        </w:rPr>
        <w:t>чиј</w:t>
      </w:r>
      <w:r w:rsidR="00D962C7">
        <w:rPr>
          <w:rFonts w:ascii="Times New Roman" w:hAnsi="Times New Roman"/>
          <w:szCs w:val="24"/>
          <w:lang w:val="sr-Cyrl-BA"/>
        </w:rPr>
        <w:t>им</w:t>
      </w:r>
      <w:r w:rsidR="002B4977" w:rsidRPr="00295637">
        <w:rPr>
          <w:rFonts w:ascii="Times New Roman" w:hAnsi="Times New Roman"/>
          <w:szCs w:val="24"/>
        </w:rPr>
        <w:t xml:space="preserve"> </w:t>
      </w:r>
      <w:r w:rsidR="00D962C7">
        <w:rPr>
          <w:rFonts w:ascii="Times New Roman" w:hAnsi="Times New Roman"/>
          <w:szCs w:val="24"/>
          <w:lang w:val="sr-Cyrl-BA"/>
        </w:rPr>
        <w:t>спровођењем</w:t>
      </w:r>
      <w:r w:rsidR="002B4977" w:rsidRPr="00295637">
        <w:rPr>
          <w:rFonts w:ascii="Times New Roman" w:hAnsi="Times New Roman"/>
          <w:szCs w:val="24"/>
        </w:rPr>
        <w:t xml:space="preserve"> </w:t>
      </w:r>
      <w:r>
        <w:rPr>
          <w:rFonts w:ascii="Times New Roman" w:hAnsi="Times New Roman"/>
          <w:szCs w:val="24"/>
        </w:rPr>
        <w:t>у</w:t>
      </w:r>
      <w:r w:rsidR="002B4977" w:rsidRPr="00295637">
        <w:rPr>
          <w:rFonts w:ascii="Times New Roman" w:hAnsi="Times New Roman"/>
          <w:szCs w:val="24"/>
        </w:rPr>
        <w:t xml:space="preserve"> </w:t>
      </w:r>
      <w:r>
        <w:rPr>
          <w:rFonts w:ascii="Times New Roman" w:hAnsi="Times New Roman"/>
          <w:szCs w:val="24"/>
        </w:rPr>
        <w:t>БиХ</w:t>
      </w:r>
      <w:r w:rsidR="00E57E4F" w:rsidRPr="00295637">
        <w:rPr>
          <w:rFonts w:ascii="Times New Roman" w:hAnsi="Times New Roman"/>
          <w:szCs w:val="24"/>
        </w:rPr>
        <w:t xml:space="preserve">, </w:t>
      </w:r>
      <w:r>
        <w:rPr>
          <w:rFonts w:ascii="Times New Roman" w:hAnsi="Times New Roman"/>
          <w:szCs w:val="24"/>
        </w:rPr>
        <w:t>заједно</w:t>
      </w:r>
      <w:r w:rsidR="00B7236D">
        <w:rPr>
          <w:rFonts w:ascii="Times New Roman" w:hAnsi="Times New Roman"/>
          <w:szCs w:val="24"/>
        </w:rPr>
        <w:t xml:space="preserve"> </w:t>
      </w:r>
      <w:r>
        <w:rPr>
          <w:rFonts w:ascii="Times New Roman" w:hAnsi="Times New Roman"/>
          <w:szCs w:val="24"/>
        </w:rPr>
        <w:t>са</w:t>
      </w:r>
      <w:r w:rsidR="002B4977" w:rsidRPr="00295637">
        <w:rPr>
          <w:rFonts w:ascii="Times New Roman" w:hAnsi="Times New Roman"/>
          <w:szCs w:val="24"/>
        </w:rPr>
        <w:t xml:space="preserve"> </w:t>
      </w:r>
      <w:r>
        <w:rPr>
          <w:rFonts w:ascii="Times New Roman" w:hAnsi="Times New Roman"/>
          <w:szCs w:val="24"/>
        </w:rPr>
        <w:t>УН</w:t>
      </w:r>
      <w:r w:rsidR="00B7236D">
        <w:rPr>
          <w:rFonts w:ascii="Times New Roman" w:hAnsi="Times New Roman"/>
          <w:szCs w:val="24"/>
        </w:rPr>
        <w:t xml:space="preserve"> </w:t>
      </w:r>
      <w:r>
        <w:rPr>
          <w:rFonts w:ascii="Times New Roman" w:hAnsi="Times New Roman"/>
          <w:szCs w:val="24"/>
        </w:rPr>
        <w:t>агенцијама</w:t>
      </w:r>
      <w:r w:rsidR="00E57E4F" w:rsidRPr="00295637">
        <w:rPr>
          <w:rFonts w:ascii="Times New Roman" w:hAnsi="Times New Roman"/>
          <w:szCs w:val="24"/>
        </w:rPr>
        <w:t>,</w:t>
      </w:r>
      <w:r w:rsidR="002B4977" w:rsidRPr="00295637">
        <w:rPr>
          <w:rFonts w:ascii="Times New Roman" w:hAnsi="Times New Roman"/>
          <w:szCs w:val="24"/>
        </w:rPr>
        <w:t xml:space="preserve"> </w:t>
      </w:r>
      <w:r>
        <w:rPr>
          <w:rFonts w:ascii="Times New Roman" w:hAnsi="Times New Roman"/>
          <w:szCs w:val="24"/>
        </w:rPr>
        <w:t>координи</w:t>
      </w:r>
      <w:r w:rsidR="00D962C7">
        <w:rPr>
          <w:rFonts w:ascii="Times New Roman" w:hAnsi="Times New Roman"/>
          <w:szCs w:val="24"/>
          <w:lang w:val="sr-Cyrl-BA"/>
        </w:rPr>
        <w:t>ше</w:t>
      </w:r>
      <w:r w:rsidR="002B4977" w:rsidRPr="00295637">
        <w:rPr>
          <w:rFonts w:ascii="Times New Roman" w:hAnsi="Times New Roman"/>
          <w:szCs w:val="24"/>
        </w:rPr>
        <w:t xml:space="preserve"> </w:t>
      </w:r>
      <w:r>
        <w:rPr>
          <w:rFonts w:ascii="Times New Roman" w:hAnsi="Times New Roman"/>
          <w:szCs w:val="24"/>
        </w:rPr>
        <w:t>АР</w:t>
      </w:r>
      <w:r w:rsidR="00D962C7">
        <w:rPr>
          <w:rFonts w:ascii="Times New Roman" w:hAnsi="Times New Roman"/>
          <w:szCs w:val="24"/>
          <w:lang w:val="sr-Cyrl-BA"/>
        </w:rPr>
        <w:t>П</w:t>
      </w:r>
      <w:r w:rsidR="00AA2171">
        <w:rPr>
          <w:rFonts w:ascii="Times New Roman" w:hAnsi="Times New Roman"/>
          <w:szCs w:val="24"/>
        </w:rPr>
        <w:t xml:space="preserve"> </w:t>
      </w:r>
      <w:r>
        <w:rPr>
          <w:rFonts w:ascii="Times New Roman" w:hAnsi="Times New Roman"/>
          <w:szCs w:val="24"/>
        </w:rPr>
        <w:t>БиХ</w:t>
      </w:r>
      <w:r w:rsidR="00AA2171">
        <w:rPr>
          <w:rFonts w:ascii="Times New Roman" w:hAnsi="Times New Roman"/>
          <w:szCs w:val="24"/>
        </w:rPr>
        <w:t xml:space="preserve"> </w:t>
      </w:r>
      <w:r>
        <w:rPr>
          <w:rFonts w:ascii="Times New Roman" w:hAnsi="Times New Roman"/>
          <w:szCs w:val="24"/>
        </w:rPr>
        <w:t>МЉПИ</w:t>
      </w:r>
      <w:r w:rsidR="00AA2171">
        <w:rPr>
          <w:rFonts w:ascii="Times New Roman" w:hAnsi="Times New Roman"/>
          <w:szCs w:val="24"/>
        </w:rPr>
        <w:t xml:space="preserve"> </w:t>
      </w:r>
      <w:r>
        <w:rPr>
          <w:rFonts w:ascii="Times New Roman" w:hAnsi="Times New Roman"/>
          <w:szCs w:val="24"/>
        </w:rPr>
        <w:t>БиХ</w:t>
      </w:r>
      <w:r w:rsidR="002B4977" w:rsidRPr="00295637">
        <w:rPr>
          <w:rFonts w:ascii="Times New Roman" w:hAnsi="Times New Roman"/>
          <w:szCs w:val="24"/>
        </w:rPr>
        <w:t xml:space="preserve">, </w:t>
      </w:r>
      <w:r>
        <w:rPr>
          <w:rFonts w:ascii="Times New Roman" w:hAnsi="Times New Roman"/>
          <w:szCs w:val="24"/>
        </w:rPr>
        <w:t>настављене</w:t>
      </w:r>
      <w:r w:rsidR="002B4977" w:rsidRPr="00295637">
        <w:rPr>
          <w:rFonts w:ascii="Times New Roman" w:hAnsi="Times New Roman"/>
          <w:szCs w:val="24"/>
        </w:rPr>
        <w:t xml:space="preserve"> </w:t>
      </w:r>
      <w:r>
        <w:rPr>
          <w:rFonts w:ascii="Times New Roman" w:hAnsi="Times New Roman"/>
          <w:szCs w:val="24"/>
        </w:rPr>
        <w:t>су</w:t>
      </w:r>
      <w:r w:rsidR="002B4977" w:rsidRPr="00295637">
        <w:rPr>
          <w:rFonts w:ascii="Times New Roman" w:hAnsi="Times New Roman"/>
          <w:szCs w:val="24"/>
        </w:rPr>
        <w:t xml:space="preserve"> </w:t>
      </w:r>
      <w:r>
        <w:rPr>
          <w:rFonts w:ascii="Times New Roman" w:hAnsi="Times New Roman"/>
          <w:szCs w:val="24"/>
        </w:rPr>
        <w:t>активности</w:t>
      </w:r>
      <w:r w:rsidR="002B4977" w:rsidRPr="00295637">
        <w:rPr>
          <w:rFonts w:ascii="Times New Roman" w:hAnsi="Times New Roman"/>
          <w:szCs w:val="24"/>
        </w:rPr>
        <w:t xml:space="preserve"> </w:t>
      </w:r>
      <w:r>
        <w:rPr>
          <w:rFonts w:ascii="Times New Roman" w:hAnsi="Times New Roman"/>
          <w:szCs w:val="24"/>
        </w:rPr>
        <w:t>у</w:t>
      </w:r>
      <w:r w:rsidR="002B4977" w:rsidRPr="00295637">
        <w:rPr>
          <w:rFonts w:ascii="Times New Roman" w:hAnsi="Times New Roman"/>
          <w:szCs w:val="24"/>
        </w:rPr>
        <w:t xml:space="preserve"> </w:t>
      </w:r>
      <w:r>
        <w:rPr>
          <w:rFonts w:ascii="Times New Roman" w:hAnsi="Times New Roman"/>
          <w:szCs w:val="24"/>
        </w:rPr>
        <w:t>оквиру</w:t>
      </w:r>
      <w:r w:rsidR="002B4977" w:rsidRPr="00295637">
        <w:rPr>
          <w:rFonts w:ascii="Times New Roman" w:hAnsi="Times New Roman"/>
          <w:szCs w:val="24"/>
        </w:rPr>
        <w:t xml:space="preserve"> </w:t>
      </w:r>
      <w:r>
        <w:rPr>
          <w:rFonts w:ascii="Times New Roman" w:hAnsi="Times New Roman"/>
          <w:szCs w:val="24"/>
        </w:rPr>
        <w:t>четири</w:t>
      </w:r>
      <w:r w:rsidR="002B4977" w:rsidRPr="00295637">
        <w:rPr>
          <w:rFonts w:ascii="Times New Roman" w:hAnsi="Times New Roman"/>
          <w:szCs w:val="24"/>
        </w:rPr>
        <w:t xml:space="preserve"> </w:t>
      </w:r>
      <w:r>
        <w:rPr>
          <w:rFonts w:ascii="Times New Roman" w:hAnsi="Times New Roman"/>
          <w:szCs w:val="24"/>
        </w:rPr>
        <w:t>акционе</w:t>
      </w:r>
      <w:r w:rsidR="002B4977" w:rsidRPr="00295637">
        <w:rPr>
          <w:rFonts w:ascii="Times New Roman" w:hAnsi="Times New Roman"/>
          <w:szCs w:val="24"/>
        </w:rPr>
        <w:t xml:space="preserve"> </w:t>
      </w:r>
      <w:r>
        <w:rPr>
          <w:rFonts w:ascii="Times New Roman" w:hAnsi="Times New Roman"/>
          <w:szCs w:val="24"/>
        </w:rPr>
        <w:t>коалиције</w:t>
      </w:r>
      <w:r w:rsidR="002B4977" w:rsidRPr="00295637">
        <w:rPr>
          <w:rFonts w:ascii="Times New Roman" w:hAnsi="Times New Roman"/>
          <w:szCs w:val="24"/>
        </w:rPr>
        <w:t xml:space="preserve"> </w:t>
      </w:r>
      <w:r>
        <w:rPr>
          <w:rFonts w:ascii="Times New Roman" w:hAnsi="Times New Roman"/>
          <w:szCs w:val="24"/>
        </w:rPr>
        <w:t>и</w:t>
      </w:r>
      <w:r w:rsidR="002B4977" w:rsidRPr="00295637">
        <w:rPr>
          <w:rFonts w:ascii="Times New Roman" w:hAnsi="Times New Roman"/>
          <w:szCs w:val="24"/>
        </w:rPr>
        <w:t xml:space="preserve"> </w:t>
      </w:r>
      <w:r>
        <w:rPr>
          <w:rFonts w:ascii="Times New Roman" w:hAnsi="Times New Roman"/>
          <w:szCs w:val="24"/>
        </w:rPr>
        <w:t>то</w:t>
      </w:r>
      <w:r w:rsidR="002B4977" w:rsidRPr="00295637">
        <w:rPr>
          <w:rFonts w:ascii="Times New Roman" w:hAnsi="Times New Roman"/>
          <w:szCs w:val="24"/>
        </w:rPr>
        <w:t xml:space="preserve"> „</w:t>
      </w:r>
      <w:r>
        <w:rPr>
          <w:rFonts w:ascii="Times New Roman" w:hAnsi="Times New Roman"/>
          <w:szCs w:val="24"/>
        </w:rPr>
        <w:t>Сексуално</w:t>
      </w:r>
      <w:r w:rsidR="002B4977" w:rsidRPr="00295637">
        <w:rPr>
          <w:rFonts w:ascii="Times New Roman" w:hAnsi="Times New Roman"/>
          <w:szCs w:val="24"/>
        </w:rPr>
        <w:t xml:space="preserve"> </w:t>
      </w:r>
      <w:r>
        <w:rPr>
          <w:rFonts w:ascii="Times New Roman" w:hAnsi="Times New Roman"/>
          <w:szCs w:val="24"/>
        </w:rPr>
        <w:t>и</w:t>
      </w:r>
      <w:r w:rsidR="002B4977" w:rsidRPr="00295637">
        <w:rPr>
          <w:rFonts w:ascii="Times New Roman" w:hAnsi="Times New Roman"/>
          <w:szCs w:val="24"/>
        </w:rPr>
        <w:t xml:space="preserve"> </w:t>
      </w:r>
      <w:r>
        <w:rPr>
          <w:rFonts w:ascii="Times New Roman" w:hAnsi="Times New Roman"/>
          <w:szCs w:val="24"/>
        </w:rPr>
        <w:t>репродуктивно</w:t>
      </w:r>
      <w:r w:rsidR="002B4977" w:rsidRPr="00295637">
        <w:rPr>
          <w:rFonts w:ascii="Times New Roman" w:hAnsi="Times New Roman"/>
          <w:szCs w:val="24"/>
        </w:rPr>
        <w:t xml:space="preserve"> </w:t>
      </w:r>
      <w:r>
        <w:rPr>
          <w:rFonts w:ascii="Times New Roman" w:hAnsi="Times New Roman"/>
          <w:szCs w:val="24"/>
        </w:rPr>
        <w:t>здравље</w:t>
      </w:r>
      <w:r w:rsidR="002B4977" w:rsidRPr="00295637">
        <w:rPr>
          <w:rFonts w:ascii="Times New Roman" w:hAnsi="Times New Roman"/>
          <w:szCs w:val="24"/>
        </w:rPr>
        <w:t>“, „</w:t>
      </w:r>
      <w:r>
        <w:rPr>
          <w:rFonts w:ascii="Times New Roman" w:hAnsi="Times New Roman"/>
          <w:szCs w:val="24"/>
        </w:rPr>
        <w:t>Економска</w:t>
      </w:r>
      <w:r w:rsidR="002B4977" w:rsidRPr="00295637">
        <w:rPr>
          <w:rFonts w:ascii="Times New Roman" w:hAnsi="Times New Roman"/>
          <w:szCs w:val="24"/>
        </w:rPr>
        <w:t xml:space="preserve"> </w:t>
      </w:r>
      <w:r>
        <w:rPr>
          <w:rFonts w:ascii="Times New Roman" w:hAnsi="Times New Roman"/>
          <w:szCs w:val="24"/>
        </w:rPr>
        <w:t>права</w:t>
      </w:r>
      <w:r w:rsidR="002B4977" w:rsidRPr="00295637">
        <w:rPr>
          <w:rFonts w:ascii="Times New Roman" w:hAnsi="Times New Roman"/>
          <w:szCs w:val="24"/>
        </w:rPr>
        <w:t xml:space="preserve"> </w:t>
      </w:r>
      <w:r>
        <w:rPr>
          <w:rFonts w:ascii="Times New Roman" w:hAnsi="Times New Roman"/>
          <w:szCs w:val="24"/>
        </w:rPr>
        <w:t>и</w:t>
      </w:r>
      <w:r w:rsidR="002B4977" w:rsidRPr="00295637">
        <w:rPr>
          <w:rFonts w:ascii="Times New Roman" w:hAnsi="Times New Roman"/>
          <w:szCs w:val="24"/>
        </w:rPr>
        <w:t xml:space="preserve"> </w:t>
      </w:r>
      <w:r>
        <w:rPr>
          <w:rFonts w:ascii="Times New Roman" w:hAnsi="Times New Roman"/>
          <w:szCs w:val="24"/>
        </w:rPr>
        <w:t>правда</w:t>
      </w:r>
      <w:r w:rsidR="002B4977" w:rsidRPr="00295637">
        <w:rPr>
          <w:rFonts w:ascii="Times New Roman" w:hAnsi="Times New Roman"/>
          <w:szCs w:val="24"/>
        </w:rPr>
        <w:t>“, „</w:t>
      </w:r>
      <w:r>
        <w:rPr>
          <w:rFonts w:ascii="Times New Roman" w:hAnsi="Times New Roman"/>
          <w:szCs w:val="24"/>
        </w:rPr>
        <w:t>Родно</w:t>
      </w:r>
      <w:r w:rsidR="002B4977" w:rsidRPr="00295637">
        <w:rPr>
          <w:rFonts w:ascii="Times New Roman" w:hAnsi="Times New Roman"/>
          <w:szCs w:val="24"/>
        </w:rPr>
        <w:t xml:space="preserve"> </w:t>
      </w:r>
      <w:r>
        <w:rPr>
          <w:rFonts w:ascii="Times New Roman" w:hAnsi="Times New Roman"/>
          <w:szCs w:val="24"/>
        </w:rPr>
        <w:t>засновано</w:t>
      </w:r>
      <w:r w:rsidR="002B4977" w:rsidRPr="00295637">
        <w:rPr>
          <w:rFonts w:ascii="Times New Roman" w:hAnsi="Times New Roman"/>
          <w:szCs w:val="24"/>
        </w:rPr>
        <w:t xml:space="preserve"> </w:t>
      </w:r>
      <w:r>
        <w:rPr>
          <w:rFonts w:ascii="Times New Roman" w:hAnsi="Times New Roman"/>
          <w:szCs w:val="24"/>
        </w:rPr>
        <w:t>и</w:t>
      </w:r>
      <w:r w:rsidR="002B4977" w:rsidRPr="00295637">
        <w:rPr>
          <w:rFonts w:ascii="Times New Roman" w:hAnsi="Times New Roman"/>
          <w:szCs w:val="24"/>
        </w:rPr>
        <w:t xml:space="preserve"> </w:t>
      </w:r>
      <w:r>
        <w:rPr>
          <w:rFonts w:ascii="Times New Roman" w:hAnsi="Times New Roman"/>
          <w:szCs w:val="24"/>
        </w:rPr>
        <w:t>сексуално</w:t>
      </w:r>
      <w:r w:rsidR="002B4977" w:rsidRPr="00295637">
        <w:rPr>
          <w:rFonts w:ascii="Times New Roman" w:hAnsi="Times New Roman"/>
          <w:szCs w:val="24"/>
        </w:rPr>
        <w:t xml:space="preserve"> </w:t>
      </w:r>
      <w:r>
        <w:rPr>
          <w:rFonts w:ascii="Times New Roman" w:hAnsi="Times New Roman"/>
          <w:szCs w:val="24"/>
        </w:rPr>
        <w:t>насиље</w:t>
      </w:r>
      <w:r w:rsidR="002B4977" w:rsidRPr="00295637">
        <w:rPr>
          <w:rFonts w:ascii="Times New Roman" w:hAnsi="Times New Roman"/>
          <w:szCs w:val="24"/>
        </w:rPr>
        <w:t xml:space="preserve">“ </w:t>
      </w:r>
      <w:r>
        <w:rPr>
          <w:rFonts w:ascii="Times New Roman" w:hAnsi="Times New Roman"/>
          <w:szCs w:val="24"/>
        </w:rPr>
        <w:t>и</w:t>
      </w:r>
      <w:r w:rsidR="002B4977" w:rsidRPr="00295637">
        <w:rPr>
          <w:rFonts w:ascii="Times New Roman" w:hAnsi="Times New Roman"/>
          <w:szCs w:val="24"/>
        </w:rPr>
        <w:t xml:space="preserve"> „</w:t>
      </w:r>
      <w:r>
        <w:rPr>
          <w:rFonts w:ascii="Times New Roman" w:hAnsi="Times New Roman"/>
          <w:szCs w:val="24"/>
        </w:rPr>
        <w:t>Клима</w:t>
      </w:r>
      <w:r w:rsidR="002B4977" w:rsidRPr="00295637">
        <w:rPr>
          <w:rFonts w:ascii="Times New Roman" w:hAnsi="Times New Roman"/>
          <w:szCs w:val="24"/>
        </w:rPr>
        <w:t xml:space="preserve"> </w:t>
      </w:r>
      <w:r>
        <w:rPr>
          <w:rFonts w:ascii="Times New Roman" w:hAnsi="Times New Roman"/>
          <w:szCs w:val="24"/>
        </w:rPr>
        <w:t>и</w:t>
      </w:r>
      <w:r w:rsidR="002B4977" w:rsidRPr="00295637">
        <w:rPr>
          <w:rFonts w:ascii="Times New Roman" w:hAnsi="Times New Roman"/>
          <w:szCs w:val="24"/>
        </w:rPr>
        <w:t xml:space="preserve"> </w:t>
      </w:r>
      <w:r>
        <w:rPr>
          <w:rFonts w:ascii="Times New Roman" w:hAnsi="Times New Roman"/>
          <w:szCs w:val="24"/>
        </w:rPr>
        <w:t>род</w:t>
      </w:r>
      <w:r w:rsidR="002B4977" w:rsidRPr="00295637">
        <w:rPr>
          <w:rFonts w:ascii="Times New Roman" w:hAnsi="Times New Roman"/>
          <w:szCs w:val="24"/>
        </w:rPr>
        <w:t xml:space="preserve">“. </w:t>
      </w:r>
    </w:p>
    <w:p w:rsidR="001D24A5" w:rsidRPr="00295637" w:rsidRDefault="001D24A5" w:rsidP="0086268D">
      <w:pPr>
        <w:pStyle w:val="Normal1"/>
      </w:pPr>
    </w:p>
    <w:bookmarkEnd w:id="61"/>
    <w:p w:rsidR="007451A8" w:rsidRDefault="00C6214E" w:rsidP="0086268D">
      <w:pPr>
        <w:jc w:val="both"/>
        <w:rPr>
          <w:rStyle w:val="y2iqfc"/>
          <w:rFonts w:ascii="Times New Roman" w:hAnsi="Times New Roman"/>
          <w:color w:val="1F1F1F"/>
          <w:szCs w:val="24"/>
        </w:rPr>
      </w:pPr>
      <w:r>
        <w:rPr>
          <w:rFonts w:ascii="Times New Roman" w:hAnsi="Times New Roman"/>
          <w:szCs w:val="24"/>
        </w:rPr>
        <w:t>АР</w:t>
      </w:r>
      <w:r w:rsidR="00D962C7">
        <w:rPr>
          <w:rFonts w:ascii="Times New Roman" w:hAnsi="Times New Roman"/>
          <w:szCs w:val="24"/>
          <w:lang w:val="sr-Cyrl-BA"/>
        </w:rPr>
        <w:t>П</w:t>
      </w:r>
      <w:r w:rsidR="00B7236D">
        <w:rPr>
          <w:rFonts w:ascii="Times New Roman" w:hAnsi="Times New Roman"/>
          <w:szCs w:val="24"/>
        </w:rPr>
        <w:t xml:space="preserve"> </w:t>
      </w:r>
      <w:r>
        <w:rPr>
          <w:rFonts w:ascii="Times New Roman" w:hAnsi="Times New Roman"/>
          <w:szCs w:val="24"/>
        </w:rPr>
        <w:t>БиХ</w:t>
      </w:r>
      <w:r w:rsidR="007451A8" w:rsidRPr="00420A7B">
        <w:rPr>
          <w:rFonts w:ascii="Times New Roman" w:hAnsi="Times New Roman"/>
          <w:szCs w:val="24"/>
        </w:rPr>
        <w:t xml:space="preserve"> </w:t>
      </w:r>
      <w:r>
        <w:rPr>
          <w:rFonts w:ascii="Times New Roman" w:hAnsi="Times New Roman"/>
          <w:szCs w:val="24"/>
        </w:rPr>
        <w:t>МЉПИ</w:t>
      </w:r>
      <w:r w:rsidR="007451A8" w:rsidRPr="00420A7B">
        <w:rPr>
          <w:rFonts w:ascii="Times New Roman" w:hAnsi="Times New Roman"/>
          <w:szCs w:val="24"/>
        </w:rPr>
        <w:t xml:space="preserve"> </w:t>
      </w:r>
      <w:r>
        <w:rPr>
          <w:rFonts w:ascii="Times New Roman" w:hAnsi="Times New Roman"/>
          <w:szCs w:val="24"/>
        </w:rPr>
        <w:t>БиХ</w:t>
      </w:r>
      <w:r w:rsidR="007451A8" w:rsidRPr="00420A7B">
        <w:rPr>
          <w:rFonts w:ascii="Times New Roman" w:hAnsi="Times New Roman"/>
          <w:szCs w:val="24"/>
        </w:rPr>
        <w:t xml:space="preserve"> </w:t>
      </w:r>
      <w:r>
        <w:rPr>
          <w:rFonts w:ascii="Times New Roman" w:hAnsi="Times New Roman"/>
          <w:szCs w:val="24"/>
        </w:rPr>
        <w:t>је</w:t>
      </w:r>
      <w:r w:rsidR="007451A8" w:rsidRPr="00420A7B">
        <w:rPr>
          <w:rFonts w:ascii="Times New Roman" w:hAnsi="Times New Roman"/>
          <w:szCs w:val="24"/>
        </w:rPr>
        <w:t xml:space="preserve"> </w:t>
      </w:r>
      <w:r>
        <w:rPr>
          <w:rFonts w:ascii="Times New Roman" w:hAnsi="Times New Roman"/>
          <w:szCs w:val="24"/>
        </w:rPr>
        <w:t>током</w:t>
      </w:r>
      <w:r w:rsidR="007451A8" w:rsidRPr="00420A7B">
        <w:rPr>
          <w:rFonts w:ascii="Times New Roman" w:hAnsi="Times New Roman"/>
          <w:szCs w:val="24"/>
        </w:rPr>
        <w:t xml:space="preserve"> 2024. </w:t>
      </w:r>
      <w:r>
        <w:rPr>
          <w:rFonts w:ascii="Times New Roman" w:hAnsi="Times New Roman"/>
          <w:szCs w:val="24"/>
        </w:rPr>
        <w:t>године</w:t>
      </w:r>
      <w:r w:rsidR="007451A8" w:rsidRPr="00420A7B">
        <w:rPr>
          <w:rFonts w:ascii="Times New Roman" w:hAnsi="Times New Roman"/>
          <w:szCs w:val="24"/>
        </w:rPr>
        <w:t xml:space="preserve"> </w:t>
      </w:r>
      <w:r>
        <w:rPr>
          <w:rFonts w:ascii="Times New Roman" w:hAnsi="Times New Roman"/>
          <w:szCs w:val="24"/>
        </w:rPr>
        <w:t>сарађивала</w:t>
      </w:r>
      <w:r w:rsidR="00B7236D">
        <w:rPr>
          <w:rFonts w:ascii="Times New Roman" w:hAnsi="Times New Roman"/>
          <w:szCs w:val="24"/>
        </w:rPr>
        <w:t xml:space="preserve"> </w:t>
      </w:r>
      <w:r>
        <w:rPr>
          <w:rFonts w:ascii="Times New Roman" w:hAnsi="Times New Roman"/>
          <w:szCs w:val="24"/>
        </w:rPr>
        <w:t>са</w:t>
      </w:r>
      <w:r w:rsidR="007451A8" w:rsidRPr="00420A7B">
        <w:rPr>
          <w:rFonts w:ascii="Times New Roman" w:hAnsi="Times New Roman"/>
          <w:szCs w:val="24"/>
        </w:rPr>
        <w:t xml:space="preserve"> </w:t>
      </w:r>
      <w:r>
        <w:rPr>
          <w:rFonts w:ascii="Times New Roman" w:hAnsi="Times New Roman"/>
          <w:szCs w:val="24"/>
        </w:rPr>
        <w:t>УН</w:t>
      </w:r>
      <w:r w:rsidR="007451A8" w:rsidRPr="00420A7B">
        <w:rPr>
          <w:rFonts w:ascii="Times New Roman" w:hAnsi="Times New Roman"/>
          <w:szCs w:val="24"/>
        </w:rPr>
        <w:t xml:space="preserve"> </w:t>
      </w:r>
      <w:r>
        <w:rPr>
          <w:rFonts w:ascii="Times New Roman" w:hAnsi="Times New Roman"/>
          <w:szCs w:val="24"/>
        </w:rPr>
        <w:t>агенцијама</w:t>
      </w:r>
      <w:r w:rsidR="007451A8" w:rsidRPr="00420A7B">
        <w:rPr>
          <w:rFonts w:ascii="Times New Roman" w:hAnsi="Times New Roman"/>
          <w:szCs w:val="24"/>
        </w:rPr>
        <w:t xml:space="preserve"> </w:t>
      </w:r>
      <w:r>
        <w:rPr>
          <w:rFonts w:ascii="Times New Roman" w:hAnsi="Times New Roman"/>
          <w:szCs w:val="24"/>
        </w:rPr>
        <w:t>у</w:t>
      </w:r>
      <w:r w:rsidR="007451A8" w:rsidRPr="00420A7B">
        <w:rPr>
          <w:rFonts w:ascii="Times New Roman" w:hAnsi="Times New Roman"/>
          <w:szCs w:val="24"/>
        </w:rPr>
        <w:t xml:space="preserve"> </w:t>
      </w:r>
      <w:r>
        <w:rPr>
          <w:rFonts w:ascii="Times New Roman" w:hAnsi="Times New Roman"/>
          <w:szCs w:val="24"/>
        </w:rPr>
        <w:t>БиХ</w:t>
      </w:r>
      <w:r w:rsidR="007451A8" w:rsidRPr="00420A7B">
        <w:rPr>
          <w:rFonts w:ascii="Times New Roman" w:hAnsi="Times New Roman"/>
          <w:szCs w:val="24"/>
        </w:rPr>
        <w:t xml:space="preserve"> </w:t>
      </w:r>
      <w:r>
        <w:rPr>
          <w:rFonts w:ascii="Times New Roman" w:hAnsi="Times New Roman"/>
          <w:szCs w:val="24"/>
        </w:rPr>
        <w:t>на</w:t>
      </w:r>
      <w:r w:rsidR="007451A8" w:rsidRPr="00420A7B">
        <w:rPr>
          <w:rFonts w:ascii="Times New Roman" w:hAnsi="Times New Roman"/>
          <w:szCs w:val="24"/>
        </w:rPr>
        <w:t xml:space="preserve"> </w:t>
      </w:r>
      <w:r>
        <w:rPr>
          <w:rFonts w:ascii="Times New Roman" w:hAnsi="Times New Roman"/>
          <w:szCs w:val="24"/>
        </w:rPr>
        <w:t>припреми</w:t>
      </w:r>
      <w:r w:rsidR="007451A8" w:rsidRPr="00420A7B">
        <w:rPr>
          <w:rFonts w:ascii="Times New Roman" w:hAnsi="Times New Roman"/>
          <w:szCs w:val="24"/>
        </w:rPr>
        <w:t xml:space="preserve"> </w:t>
      </w:r>
      <w:r>
        <w:rPr>
          <w:rFonts w:ascii="Times New Roman" w:hAnsi="Times New Roman"/>
          <w:szCs w:val="24"/>
        </w:rPr>
        <w:t>програмских</w:t>
      </w:r>
      <w:r w:rsidR="007451A8" w:rsidRPr="00420A7B">
        <w:rPr>
          <w:rFonts w:ascii="Times New Roman" w:hAnsi="Times New Roman"/>
          <w:szCs w:val="24"/>
        </w:rPr>
        <w:t xml:space="preserve"> </w:t>
      </w:r>
      <w:r>
        <w:rPr>
          <w:rFonts w:ascii="Times New Roman" w:hAnsi="Times New Roman"/>
          <w:szCs w:val="24"/>
        </w:rPr>
        <w:t>и</w:t>
      </w:r>
      <w:r w:rsidR="007451A8" w:rsidRPr="00420A7B">
        <w:rPr>
          <w:rFonts w:ascii="Times New Roman" w:hAnsi="Times New Roman"/>
          <w:szCs w:val="24"/>
        </w:rPr>
        <w:t xml:space="preserve"> </w:t>
      </w:r>
      <w:r>
        <w:rPr>
          <w:rFonts w:ascii="Times New Roman" w:hAnsi="Times New Roman"/>
          <w:szCs w:val="24"/>
        </w:rPr>
        <w:t>материјалних</w:t>
      </w:r>
      <w:r w:rsidR="007451A8" w:rsidRPr="00420A7B">
        <w:rPr>
          <w:rFonts w:ascii="Times New Roman" w:hAnsi="Times New Roman"/>
          <w:szCs w:val="24"/>
        </w:rPr>
        <w:t xml:space="preserve"> </w:t>
      </w:r>
      <w:r>
        <w:rPr>
          <w:rFonts w:ascii="Times New Roman" w:hAnsi="Times New Roman"/>
          <w:szCs w:val="24"/>
        </w:rPr>
        <w:t>претпоставки</w:t>
      </w:r>
      <w:r w:rsidR="007451A8" w:rsidRPr="00420A7B">
        <w:rPr>
          <w:rFonts w:ascii="Times New Roman" w:hAnsi="Times New Roman"/>
          <w:szCs w:val="24"/>
        </w:rPr>
        <w:t xml:space="preserve"> </w:t>
      </w:r>
      <w:r>
        <w:rPr>
          <w:rFonts w:ascii="Times New Roman" w:hAnsi="Times New Roman"/>
          <w:szCs w:val="24"/>
        </w:rPr>
        <w:t>за</w:t>
      </w:r>
      <w:r w:rsidR="007451A8" w:rsidRPr="00420A7B">
        <w:rPr>
          <w:rFonts w:ascii="Times New Roman" w:hAnsi="Times New Roman"/>
          <w:szCs w:val="24"/>
        </w:rPr>
        <w:t xml:space="preserve"> </w:t>
      </w:r>
      <w:r>
        <w:rPr>
          <w:rFonts w:ascii="Times New Roman" w:hAnsi="Times New Roman"/>
          <w:szCs w:val="24"/>
        </w:rPr>
        <w:t>покретање</w:t>
      </w:r>
      <w:r w:rsidR="007451A8" w:rsidRPr="00420A7B">
        <w:rPr>
          <w:rFonts w:ascii="Times New Roman" w:hAnsi="Times New Roman"/>
          <w:szCs w:val="24"/>
        </w:rPr>
        <w:t xml:space="preserve"> </w:t>
      </w:r>
      <w:r w:rsidR="00C7190F">
        <w:rPr>
          <w:rFonts w:ascii="Times New Roman" w:hAnsi="Times New Roman"/>
          <w:szCs w:val="24"/>
        </w:rPr>
        <w:t>„</w:t>
      </w:r>
      <w:r>
        <w:rPr>
          <w:rStyle w:val="y2iqfc"/>
          <w:rFonts w:ascii="Times New Roman" w:hAnsi="Times New Roman"/>
          <w:color w:val="1F1F1F"/>
          <w:szCs w:val="24"/>
        </w:rPr>
        <w:t>Акцелератора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равноправности</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полова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у</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БиХ</w:t>
      </w:r>
      <w:r w:rsidR="00C7190F">
        <w:rPr>
          <w:rStyle w:val="y2iqfc"/>
          <w:rFonts w:ascii="Times New Roman" w:hAnsi="Times New Roman"/>
          <w:color w:val="1F1F1F"/>
          <w:szCs w:val="24"/>
        </w:rPr>
        <w:t>“</w:t>
      </w:r>
      <w:r w:rsidR="007451A8" w:rsidRPr="00420A7B">
        <w:rPr>
          <w:rStyle w:val="y2iqfc"/>
          <w:rFonts w:ascii="Times New Roman" w:hAnsi="Times New Roman"/>
          <w:color w:val="1F1F1F"/>
          <w:szCs w:val="24"/>
        </w:rPr>
        <w:t xml:space="preserve">  (</w:t>
      </w:r>
      <w:r w:rsidR="00D962C7" w:rsidRPr="00D962C7">
        <w:rPr>
          <w:rFonts w:ascii="Times New Roman" w:hAnsi="Times New Roman"/>
          <w:i/>
          <w:color w:val="1F1F1F"/>
          <w:szCs w:val="24"/>
        </w:rPr>
        <w:t xml:space="preserve">Gender Equality Accelerator </w:t>
      </w:r>
      <w:r w:rsidR="007451A8" w:rsidRPr="00420A7B">
        <w:rPr>
          <w:rStyle w:val="y2iqfc"/>
          <w:rFonts w:ascii="Times New Roman" w:hAnsi="Times New Roman"/>
          <w:i/>
          <w:color w:val="1F1F1F"/>
          <w:szCs w:val="24"/>
        </w:rPr>
        <w:t>2025</w:t>
      </w:r>
      <w:r w:rsidR="00B7236D">
        <w:rPr>
          <w:rStyle w:val="y2iqfc"/>
          <w:rFonts w:ascii="Times New Roman" w:hAnsi="Times New Roman"/>
          <w:i/>
          <w:color w:val="1F1F1F"/>
          <w:szCs w:val="24"/>
        </w:rPr>
        <w:t>-</w:t>
      </w:r>
      <w:r w:rsidR="007451A8" w:rsidRPr="00420A7B">
        <w:rPr>
          <w:rStyle w:val="y2iqfc"/>
          <w:rFonts w:ascii="Times New Roman" w:hAnsi="Times New Roman"/>
          <w:i/>
          <w:color w:val="1F1F1F"/>
          <w:szCs w:val="24"/>
        </w:rPr>
        <w:t>2028</w:t>
      </w:r>
      <w:r w:rsidR="00B7236D">
        <w:rPr>
          <w:rStyle w:val="y2iqfc"/>
          <w:rFonts w:ascii="Times New Roman" w:hAnsi="Times New Roman"/>
          <w:i/>
          <w:color w:val="1F1F1F"/>
          <w:szCs w:val="24"/>
        </w:rPr>
        <w:t xml:space="preserve">. </w:t>
      </w:r>
      <w:r>
        <w:rPr>
          <w:rStyle w:val="y2iqfc"/>
          <w:rFonts w:ascii="Times New Roman" w:hAnsi="Times New Roman"/>
          <w:i/>
          <w:color w:val="1F1F1F"/>
          <w:szCs w:val="24"/>
        </w:rPr>
        <w:t>година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Ова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кључна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заједничка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иницијатива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УН</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агенција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која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обухвата</w:t>
      </w:r>
      <w:r w:rsidR="007451A8" w:rsidRPr="00420A7B">
        <w:rPr>
          <w:rStyle w:val="y2iqfc"/>
          <w:rFonts w:ascii="Times New Roman" w:hAnsi="Times New Roman"/>
          <w:color w:val="1F1F1F"/>
          <w:szCs w:val="24"/>
        </w:rPr>
        <w:t xml:space="preserve"> </w:t>
      </w:r>
      <w:r w:rsidR="00D962C7" w:rsidRPr="00D962C7">
        <w:rPr>
          <w:rFonts w:ascii="Times New Roman" w:hAnsi="Times New Roman"/>
          <w:i/>
          <w:iCs/>
          <w:color w:val="1F1F1F"/>
          <w:szCs w:val="24"/>
        </w:rPr>
        <w:t>UN Women</w:t>
      </w:r>
      <w:r w:rsidR="007451A8" w:rsidRPr="00420A7B">
        <w:rPr>
          <w:rStyle w:val="y2iqfc"/>
          <w:rFonts w:ascii="Times New Roman" w:hAnsi="Times New Roman"/>
          <w:color w:val="1F1F1F"/>
          <w:szCs w:val="24"/>
        </w:rPr>
        <w:t xml:space="preserve">, </w:t>
      </w:r>
      <w:r w:rsidR="00D962C7" w:rsidRPr="00D962C7">
        <w:rPr>
          <w:rFonts w:ascii="Times New Roman" w:hAnsi="Times New Roman"/>
          <w:i/>
          <w:color w:val="1F1F1F"/>
          <w:szCs w:val="24"/>
        </w:rPr>
        <w:t>UNFPA</w:t>
      </w:r>
      <w:r w:rsidR="007451A8" w:rsidRPr="00420A7B">
        <w:rPr>
          <w:rStyle w:val="y2iqfc"/>
          <w:rFonts w:ascii="Times New Roman" w:hAnsi="Times New Roman"/>
          <w:color w:val="1F1F1F"/>
          <w:szCs w:val="24"/>
        </w:rPr>
        <w:t>,</w:t>
      </w:r>
      <w:r w:rsidR="000C77D5">
        <w:rPr>
          <w:rStyle w:val="y2iqfc"/>
          <w:rFonts w:ascii="Times New Roman" w:hAnsi="Times New Roman"/>
          <w:color w:val="1F1F1F"/>
          <w:szCs w:val="24"/>
        </w:rPr>
        <w:t xml:space="preserve"> </w:t>
      </w:r>
      <w:r w:rsidR="00D962C7" w:rsidRPr="00D962C7">
        <w:rPr>
          <w:rFonts w:ascii="Times New Roman" w:hAnsi="Times New Roman"/>
          <w:i/>
          <w:color w:val="1F1F1F"/>
          <w:szCs w:val="24"/>
        </w:rPr>
        <w:t>UNICEF</w:t>
      </w:r>
      <w:r w:rsidR="000C77D5">
        <w:rPr>
          <w:rStyle w:val="y2iqfc"/>
          <w:rFonts w:ascii="Times New Roman" w:hAnsi="Times New Roman"/>
          <w:color w:val="1F1F1F"/>
          <w:szCs w:val="24"/>
        </w:rPr>
        <w:t xml:space="preserve"> </w:t>
      </w:r>
      <w:r>
        <w:rPr>
          <w:rStyle w:val="y2iqfc"/>
          <w:rFonts w:ascii="Times New Roman" w:hAnsi="Times New Roman"/>
          <w:color w:val="1F1F1F"/>
          <w:szCs w:val="24"/>
        </w:rPr>
        <w:t>и</w:t>
      </w:r>
      <w:r w:rsidR="000C77D5">
        <w:rPr>
          <w:rStyle w:val="y2iqfc"/>
          <w:rFonts w:ascii="Times New Roman" w:hAnsi="Times New Roman"/>
          <w:color w:val="1F1F1F"/>
          <w:szCs w:val="24"/>
        </w:rPr>
        <w:t xml:space="preserve"> </w:t>
      </w:r>
      <w:r w:rsidR="00D962C7" w:rsidRPr="00D962C7">
        <w:rPr>
          <w:rFonts w:ascii="Times New Roman" w:hAnsi="Times New Roman"/>
          <w:i/>
          <w:color w:val="1F1F1F"/>
          <w:szCs w:val="24"/>
        </w:rPr>
        <w:t>UNDP</w:t>
      </w:r>
      <w:r w:rsidR="000C77D5">
        <w:rPr>
          <w:rStyle w:val="y2iqfc"/>
          <w:rFonts w:ascii="Times New Roman" w:hAnsi="Times New Roman"/>
          <w:color w:val="1F1F1F"/>
          <w:szCs w:val="24"/>
        </w:rPr>
        <w:t xml:space="preserve">, </w:t>
      </w:r>
      <w:r>
        <w:rPr>
          <w:rStyle w:val="y2iqfc"/>
          <w:rFonts w:ascii="Times New Roman" w:hAnsi="Times New Roman"/>
          <w:color w:val="1F1F1F"/>
          <w:szCs w:val="24"/>
        </w:rPr>
        <w:t>у</w:t>
      </w:r>
      <w:r w:rsidR="000C77D5">
        <w:rPr>
          <w:rStyle w:val="y2iqfc"/>
          <w:rFonts w:ascii="Times New Roman" w:hAnsi="Times New Roman"/>
          <w:color w:val="1F1F1F"/>
          <w:szCs w:val="24"/>
        </w:rPr>
        <w:t xml:space="preserve"> </w:t>
      </w:r>
      <w:r>
        <w:rPr>
          <w:rStyle w:val="y2iqfc"/>
          <w:rFonts w:ascii="Times New Roman" w:hAnsi="Times New Roman"/>
          <w:color w:val="1F1F1F"/>
          <w:szCs w:val="24"/>
        </w:rPr>
        <w:t>партнерству</w:t>
      </w:r>
      <w:r w:rsidR="000C77D5">
        <w:rPr>
          <w:rStyle w:val="y2iqfc"/>
          <w:rFonts w:ascii="Times New Roman" w:hAnsi="Times New Roman"/>
          <w:color w:val="1F1F1F"/>
          <w:szCs w:val="24"/>
        </w:rPr>
        <w:t xml:space="preserve"> </w:t>
      </w:r>
      <w:r>
        <w:rPr>
          <w:rStyle w:val="y2iqfc"/>
          <w:rFonts w:ascii="Times New Roman" w:hAnsi="Times New Roman"/>
          <w:color w:val="1F1F1F"/>
          <w:szCs w:val="24"/>
        </w:rPr>
        <w:t>са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институционалним</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механизмима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за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равноправност</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полова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и</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другим</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релевантним</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институцијама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у</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БиХ</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пружа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додатни</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замах</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у</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погледу</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равноправности</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полова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као</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једног</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од</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основа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постизања</w:t>
      </w:r>
      <w:r w:rsidR="007451A8" w:rsidRPr="00420A7B">
        <w:rPr>
          <w:rStyle w:val="y2iqfc"/>
          <w:rFonts w:ascii="Times New Roman" w:hAnsi="Times New Roman"/>
          <w:color w:val="1F1F1F"/>
          <w:szCs w:val="24"/>
        </w:rPr>
        <w:t xml:space="preserve"> </w:t>
      </w:r>
      <w:r w:rsidR="00D962C7" w:rsidRPr="00D962C7">
        <w:rPr>
          <w:rFonts w:ascii="Times New Roman" w:hAnsi="Times New Roman"/>
          <w:i/>
          <w:color w:val="1F1F1F"/>
          <w:szCs w:val="24"/>
        </w:rPr>
        <w:t>SDG</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УН</w:t>
      </w:r>
      <w:r w:rsidR="007451A8" w:rsidRPr="00420A7B">
        <w:rPr>
          <w:rStyle w:val="y2iqfc"/>
          <w:rFonts w:ascii="Times New Roman" w:hAnsi="Times New Roman"/>
          <w:color w:val="1F1F1F"/>
          <w:szCs w:val="24"/>
        </w:rPr>
        <w:t>-</w:t>
      </w:r>
      <w:r>
        <w:rPr>
          <w:rStyle w:val="y2iqfc"/>
          <w:rFonts w:ascii="Times New Roman" w:hAnsi="Times New Roman"/>
          <w:color w:val="1F1F1F"/>
          <w:szCs w:val="24"/>
        </w:rPr>
        <w:t>а</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и</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изградњу</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инклузивније</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будућности</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у</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нашој</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земљи</w:t>
      </w:r>
      <w:r w:rsidR="007451A8" w:rsidRPr="00420A7B">
        <w:rPr>
          <w:rStyle w:val="y2iqfc"/>
          <w:rFonts w:ascii="Times New Roman" w:hAnsi="Times New Roman"/>
          <w:color w:val="1F1F1F"/>
          <w:szCs w:val="24"/>
        </w:rPr>
        <w:t xml:space="preserve">. </w:t>
      </w:r>
      <w:r>
        <w:rPr>
          <w:rStyle w:val="y2iqfc"/>
          <w:rFonts w:ascii="Times New Roman" w:hAnsi="Times New Roman"/>
          <w:color w:val="1F1F1F"/>
          <w:szCs w:val="24"/>
        </w:rPr>
        <w:t>Акцелератор</w:t>
      </w:r>
      <w:r w:rsidR="007451A8" w:rsidRPr="00D136F9">
        <w:rPr>
          <w:rStyle w:val="y2iqfc"/>
          <w:rFonts w:ascii="Times New Roman" w:hAnsi="Times New Roman"/>
          <w:color w:val="1F1F1F"/>
          <w:szCs w:val="24"/>
        </w:rPr>
        <w:t xml:space="preserve"> </w:t>
      </w:r>
      <w:r>
        <w:rPr>
          <w:rStyle w:val="y2iqfc"/>
          <w:rFonts w:ascii="Times New Roman" w:hAnsi="Times New Roman"/>
          <w:color w:val="1F1F1F"/>
          <w:szCs w:val="24"/>
        </w:rPr>
        <w:t>равноправности</w:t>
      </w:r>
      <w:r w:rsidR="007451A8" w:rsidRPr="00D136F9">
        <w:rPr>
          <w:rStyle w:val="y2iqfc"/>
          <w:rFonts w:ascii="Times New Roman" w:hAnsi="Times New Roman"/>
          <w:color w:val="1F1F1F"/>
          <w:szCs w:val="24"/>
        </w:rPr>
        <w:t xml:space="preserve"> </w:t>
      </w:r>
      <w:r>
        <w:rPr>
          <w:rStyle w:val="y2iqfc"/>
          <w:rFonts w:ascii="Times New Roman" w:hAnsi="Times New Roman"/>
          <w:color w:val="1F1F1F"/>
          <w:szCs w:val="24"/>
        </w:rPr>
        <w:t>полова</w:t>
      </w:r>
      <w:r w:rsidR="007451A8" w:rsidRPr="00D136F9">
        <w:rPr>
          <w:rStyle w:val="y2iqfc"/>
          <w:rFonts w:ascii="Times New Roman" w:hAnsi="Times New Roman"/>
          <w:color w:val="1F1F1F"/>
          <w:szCs w:val="24"/>
        </w:rPr>
        <w:t xml:space="preserve"> </w:t>
      </w:r>
      <w:r>
        <w:rPr>
          <w:rStyle w:val="y2iqfc"/>
          <w:rFonts w:ascii="Times New Roman" w:hAnsi="Times New Roman"/>
          <w:color w:val="1F1F1F"/>
          <w:szCs w:val="24"/>
        </w:rPr>
        <w:t>доприноси</w:t>
      </w:r>
      <w:r w:rsidR="007451A8" w:rsidRPr="00D136F9">
        <w:rPr>
          <w:rStyle w:val="y2iqfc"/>
          <w:rFonts w:ascii="Times New Roman" w:hAnsi="Times New Roman"/>
          <w:color w:val="1F1F1F"/>
          <w:szCs w:val="24"/>
        </w:rPr>
        <w:t xml:space="preserve"> </w:t>
      </w:r>
      <w:r w:rsidR="00D962C7">
        <w:rPr>
          <w:rStyle w:val="y2iqfc"/>
          <w:rFonts w:ascii="Times New Roman" w:hAnsi="Times New Roman"/>
          <w:color w:val="1F1F1F"/>
          <w:szCs w:val="24"/>
          <w:lang w:val="sr-Cyrl-BA"/>
        </w:rPr>
        <w:t>спровођењу</w:t>
      </w:r>
      <w:r w:rsidR="007451A8" w:rsidRPr="00D136F9">
        <w:rPr>
          <w:rStyle w:val="y2iqfc"/>
          <w:rFonts w:ascii="Times New Roman" w:hAnsi="Times New Roman"/>
          <w:color w:val="1F1F1F"/>
          <w:szCs w:val="24"/>
        </w:rPr>
        <w:t xml:space="preserve"> </w:t>
      </w:r>
      <w:r>
        <w:rPr>
          <w:rStyle w:val="y2iqfc"/>
          <w:rFonts w:ascii="Times New Roman" w:hAnsi="Times New Roman"/>
          <w:color w:val="1F1F1F"/>
          <w:szCs w:val="24"/>
        </w:rPr>
        <w:t>ГАП</w:t>
      </w:r>
      <w:r w:rsidR="00C7190F">
        <w:rPr>
          <w:rStyle w:val="y2iqfc"/>
          <w:rFonts w:ascii="Times New Roman" w:hAnsi="Times New Roman"/>
          <w:color w:val="1F1F1F"/>
          <w:szCs w:val="24"/>
        </w:rPr>
        <w:t xml:space="preserve"> </w:t>
      </w:r>
      <w:r>
        <w:rPr>
          <w:rStyle w:val="y2iqfc"/>
          <w:rFonts w:ascii="Times New Roman" w:hAnsi="Times New Roman"/>
          <w:color w:val="1F1F1F"/>
          <w:szCs w:val="24"/>
        </w:rPr>
        <w:t>БиХ</w:t>
      </w:r>
      <w:r w:rsidR="00C7190F">
        <w:rPr>
          <w:rStyle w:val="y2iqfc"/>
          <w:rFonts w:ascii="Times New Roman" w:hAnsi="Times New Roman"/>
          <w:color w:val="1F1F1F"/>
          <w:szCs w:val="24"/>
        </w:rPr>
        <w:t xml:space="preserve">. </w:t>
      </w:r>
    </w:p>
    <w:p w:rsidR="003A2F08" w:rsidRPr="00295637" w:rsidRDefault="003A2F08" w:rsidP="0086268D">
      <w:pPr>
        <w:jc w:val="both"/>
        <w:rPr>
          <w:rFonts w:ascii="Times New Roman" w:hAnsi="Times New Roman"/>
          <w:szCs w:val="24"/>
          <w:lang w:val="bs-Latn-BA"/>
        </w:rPr>
      </w:pPr>
    </w:p>
    <w:p w:rsidR="005E5AA7" w:rsidRPr="00295637" w:rsidRDefault="00C6214E" w:rsidP="0086268D">
      <w:pPr>
        <w:jc w:val="both"/>
        <w:rPr>
          <w:rFonts w:ascii="Times New Roman" w:hAnsi="Times New Roman"/>
          <w:szCs w:val="24"/>
          <w:lang w:val="bs-Latn-BA"/>
        </w:rPr>
      </w:pPr>
      <w:r>
        <w:rPr>
          <w:rFonts w:ascii="Times New Roman" w:hAnsi="Times New Roman"/>
          <w:szCs w:val="24"/>
          <w:lang w:val="bs-Latn-BA"/>
        </w:rPr>
        <w:t>На</w:t>
      </w:r>
      <w:r w:rsidR="00663BF5" w:rsidRPr="00295637">
        <w:rPr>
          <w:rFonts w:ascii="Times New Roman" w:hAnsi="Times New Roman"/>
          <w:szCs w:val="24"/>
          <w:lang w:val="bs-Latn-BA"/>
        </w:rPr>
        <w:t xml:space="preserve"> </w:t>
      </w:r>
      <w:r>
        <w:rPr>
          <w:rFonts w:ascii="Times New Roman" w:hAnsi="Times New Roman"/>
          <w:szCs w:val="24"/>
          <w:lang w:val="bs-Latn-BA"/>
        </w:rPr>
        <w:t>састанку</w:t>
      </w:r>
      <w:r w:rsidR="00663BF5" w:rsidRPr="00295637">
        <w:rPr>
          <w:rFonts w:ascii="Times New Roman" w:hAnsi="Times New Roman"/>
          <w:szCs w:val="24"/>
          <w:lang w:val="bs-Latn-BA"/>
        </w:rPr>
        <w:t xml:space="preserve"> </w:t>
      </w:r>
      <w:r>
        <w:rPr>
          <w:rFonts w:ascii="Times New Roman" w:hAnsi="Times New Roman"/>
          <w:szCs w:val="24"/>
          <w:lang w:val="bs-Latn-BA"/>
        </w:rPr>
        <w:t>у</w:t>
      </w:r>
      <w:r w:rsidR="00663BF5" w:rsidRPr="00295637">
        <w:rPr>
          <w:rFonts w:ascii="Times New Roman" w:hAnsi="Times New Roman"/>
          <w:szCs w:val="24"/>
          <w:lang w:val="bs-Latn-BA"/>
        </w:rPr>
        <w:t xml:space="preserve"> </w:t>
      </w:r>
      <w:r>
        <w:rPr>
          <w:rFonts w:ascii="Times New Roman" w:hAnsi="Times New Roman"/>
          <w:szCs w:val="24"/>
          <w:lang w:val="bs-Latn-BA"/>
        </w:rPr>
        <w:t>Амбасади</w:t>
      </w:r>
      <w:r w:rsidR="00663BF5" w:rsidRPr="00295637">
        <w:rPr>
          <w:rFonts w:ascii="Times New Roman" w:hAnsi="Times New Roman"/>
          <w:szCs w:val="24"/>
          <w:lang w:val="bs-Latn-BA"/>
        </w:rPr>
        <w:t xml:space="preserve"> </w:t>
      </w:r>
      <w:r>
        <w:rPr>
          <w:rFonts w:ascii="Times New Roman" w:hAnsi="Times New Roman"/>
          <w:szCs w:val="24"/>
          <w:lang w:val="bs-Latn-BA"/>
        </w:rPr>
        <w:t>Сједињених</w:t>
      </w:r>
      <w:r w:rsidR="00663BF5" w:rsidRPr="00295637">
        <w:rPr>
          <w:rFonts w:ascii="Times New Roman" w:hAnsi="Times New Roman"/>
          <w:szCs w:val="24"/>
          <w:lang w:val="bs-Latn-BA"/>
        </w:rPr>
        <w:t xml:space="preserve"> </w:t>
      </w:r>
      <w:r>
        <w:rPr>
          <w:rFonts w:ascii="Times New Roman" w:hAnsi="Times New Roman"/>
          <w:szCs w:val="24"/>
          <w:lang w:val="bs-Latn-BA"/>
        </w:rPr>
        <w:t>Америчких</w:t>
      </w:r>
      <w:r w:rsidR="00663BF5" w:rsidRPr="00295637">
        <w:rPr>
          <w:rFonts w:ascii="Times New Roman" w:hAnsi="Times New Roman"/>
          <w:szCs w:val="24"/>
          <w:lang w:val="bs-Latn-BA"/>
        </w:rPr>
        <w:t xml:space="preserve"> </w:t>
      </w:r>
      <w:r>
        <w:rPr>
          <w:rFonts w:ascii="Times New Roman" w:hAnsi="Times New Roman"/>
          <w:szCs w:val="24"/>
          <w:lang w:val="bs-Latn-BA"/>
        </w:rPr>
        <w:t>Држава</w:t>
      </w:r>
      <w:r w:rsidR="00663BF5" w:rsidRPr="00295637">
        <w:rPr>
          <w:rFonts w:ascii="Times New Roman" w:hAnsi="Times New Roman"/>
          <w:szCs w:val="24"/>
          <w:lang w:val="bs-Latn-BA"/>
        </w:rPr>
        <w:t xml:space="preserve"> </w:t>
      </w:r>
      <w:r>
        <w:rPr>
          <w:rFonts w:ascii="Times New Roman" w:hAnsi="Times New Roman"/>
          <w:szCs w:val="24"/>
          <w:lang w:val="bs-Latn-BA"/>
        </w:rPr>
        <w:t>у</w:t>
      </w:r>
      <w:r w:rsidR="00663BF5" w:rsidRPr="00295637">
        <w:rPr>
          <w:rFonts w:ascii="Times New Roman" w:hAnsi="Times New Roman"/>
          <w:szCs w:val="24"/>
          <w:lang w:val="bs-Latn-BA"/>
        </w:rPr>
        <w:t xml:space="preserve"> </w:t>
      </w:r>
      <w:r>
        <w:rPr>
          <w:rFonts w:ascii="Times New Roman" w:hAnsi="Times New Roman"/>
          <w:szCs w:val="24"/>
          <w:lang w:val="bs-Latn-BA"/>
        </w:rPr>
        <w:t>Босни</w:t>
      </w:r>
      <w:r w:rsidR="00663BF5" w:rsidRPr="00295637">
        <w:rPr>
          <w:rFonts w:ascii="Times New Roman" w:hAnsi="Times New Roman"/>
          <w:szCs w:val="24"/>
          <w:lang w:val="bs-Latn-BA"/>
        </w:rPr>
        <w:t xml:space="preserve"> </w:t>
      </w:r>
      <w:r>
        <w:rPr>
          <w:rFonts w:ascii="Times New Roman" w:hAnsi="Times New Roman"/>
          <w:szCs w:val="24"/>
          <w:lang w:val="bs-Latn-BA"/>
        </w:rPr>
        <w:t>и</w:t>
      </w:r>
      <w:r w:rsidR="00663BF5" w:rsidRPr="00295637">
        <w:rPr>
          <w:rFonts w:ascii="Times New Roman" w:hAnsi="Times New Roman"/>
          <w:szCs w:val="24"/>
          <w:lang w:val="bs-Latn-BA"/>
        </w:rPr>
        <w:t xml:space="preserve"> </w:t>
      </w:r>
      <w:r>
        <w:rPr>
          <w:rFonts w:ascii="Times New Roman" w:hAnsi="Times New Roman"/>
          <w:szCs w:val="24"/>
          <w:lang w:val="bs-Latn-BA"/>
        </w:rPr>
        <w:t>Херцеговини</w:t>
      </w:r>
      <w:r w:rsidR="00663BF5" w:rsidRPr="00295637">
        <w:rPr>
          <w:rFonts w:ascii="Times New Roman" w:hAnsi="Times New Roman"/>
          <w:szCs w:val="24"/>
          <w:lang w:val="bs-Latn-BA"/>
        </w:rPr>
        <w:t xml:space="preserve">, </w:t>
      </w:r>
      <w:r>
        <w:rPr>
          <w:rFonts w:ascii="Times New Roman" w:hAnsi="Times New Roman"/>
          <w:szCs w:val="24"/>
          <w:lang w:val="bs-Latn-BA"/>
        </w:rPr>
        <w:t>одржаном</w:t>
      </w:r>
      <w:r w:rsidR="00663BF5" w:rsidRPr="00295637">
        <w:rPr>
          <w:rFonts w:ascii="Times New Roman" w:hAnsi="Times New Roman"/>
          <w:szCs w:val="24"/>
          <w:lang w:val="bs-Latn-BA"/>
        </w:rPr>
        <w:t xml:space="preserve"> </w:t>
      </w:r>
      <w:r>
        <w:rPr>
          <w:rFonts w:ascii="Times New Roman" w:hAnsi="Times New Roman"/>
          <w:szCs w:val="24"/>
          <w:lang w:val="bs-Latn-BA"/>
        </w:rPr>
        <w:t>у</w:t>
      </w:r>
      <w:r w:rsidR="00663BF5" w:rsidRPr="00295637">
        <w:rPr>
          <w:rFonts w:ascii="Times New Roman" w:hAnsi="Times New Roman"/>
          <w:szCs w:val="24"/>
          <w:lang w:val="bs-Latn-BA"/>
        </w:rPr>
        <w:t xml:space="preserve"> </w:t>
      </w:r>
      <w:r>
        <w:rPr>
          <w:rFonts w:ascii="Times New Roman" w:hAnsi="Times New Roman"/>
          <w:szCs w:val="24"/>
          <w:lang w:val="bs-Latn-BA"/>
        </w:rPr>
        <w:t>мају</w:t>
      </w:r>
      <w:r w:rsidR="005E5AA7" w:rsidRPr="00295637">
        <w:rPr>
          <w:rFonts w:ascii="Times New Roman" w:hAnsi="Times New Roman"/>
          <w:szCs w:val="24"/>
          <w:lang w:val="bs-Latn-BA"/>
        </w:rPr>
        <w:t xml:space="preserve"> 2024</w:t>
      </w:r>
      <w:r w:rsidR="00663BF5" w:rsidRPr="00295637">
        <w:rPr>
          <w:rFonts w:ascii="Times New Roman" w:hAnsi="Times New Roman"/>
          <w:szCs w:val="24"/>
          <w:lang w:val="bs-Latn-BA"/>
        </w:rPr>
        <w:t xml:space="preserve">. </w:t>
      </w:r>
      <w:r>
        <w:rPr>
          <w:rFonts w:ascii="Times New Roman" w:hAnsi="Times New Roman"/>
          <w:szCs w:val="24"/>
          <w:lang w:val="bs-Latn-BA"/>
        </w:rPr>
        <w:t>године</w:t>
      </w:r>
      <w:r w:rsidR="00663BF5" w:rsidRPr="00295637">
        <w:rPr>
          <w:rFonts w:ascii="Times New Roman" w:hAnsi="Times New Roman"/>
          <w:szCs w:val="24"/>
          <w:lang w:val="bs-Latn-BA"/>
        </w:rPr>
        <w:t>,</w:t>
      </w:r>
      <w:r w:rsidR="005E5AA7" w:rsidRPr="00295637">
        <w:rPr>
          <w:rFonts w:ascii="Times New Roman" w:hAnsi="Times New Roman"/>
          <w:szCs w:val="24"/>
          <w:lang w:val="bs-Latn-BA"/>
        </w:rPr>
        <w:t xml:space="preserve"> </w:t>
      </w:r>
      <w:r>
        <w:rPr>
          <w:rFonts w:ascii="Times New Roman" w:hAnsi="Times New Roman"/>
          <w:szCs w:val="24"/>
          <w:lang w:val="bs-Latn-BA"/>
        </w:rPr>
        <w:t>АР</w:t>
      </w:r>
      <w:r w:rsidR="009153B7">
        <w:rPr>
          <w:rFonts w:ascii="Times New Roman" w:hAnsi="Times New Roman"/>
          <w:szCs w:val="24"/>
          <w:lang w:val="sr-Cyrl-BA"/>
        </w:rPr>
        <w:t>П</w:t>
      </w:r>
      <w:r w:rsidR="000C77D5">
        <w:rPr>
          <w:rFonts w:ascii="Times New Roman" w:hAnsi="Times New Roman"/>
          <w:szCs w:val="24"/>
          <w:lang w:val="bs-Latn-BA"/>
        </w:rPr>
        <w:t xml:space="preserve"> </w:t>
      </w:r>
      <w:r>
        <w:rPr>
          <w:rFonts w:ascii="Times New Roman" w:hAnsi="Times New Roman"/>
          <w:szCs w:val="24"/>
          <w:lang w:val="bs-Latn-BA"/>
        </w:rPr>
        <w:t>БиХ</w:t>
      </w:r>
      <w:r w:rsidR="000C77D5">
        <w:rPr>
          <w:rFonts w:ascii="Times New Roman" w:hAnsi="Times New Roman"/>
          <w:szCs w:val="24"/>
          <w:lang w:val="bs-Latn-BA"/>
        </w:rPr>
        <w:t xml:space="preserve"> </w:t>
      </w:r>
      <w:r>
        <w:rPr>
          <w:rFonts w:ascii="Times New Roman" w:hAnsi="Times New Roman"/>
          <w:szCs w:val="24"/>
          <w:lang w:val="bs-Latn-BA"/>
        </w:rPr>
        <w:t>МЉПИ</w:t>
      </w:r>
      <w:r w:rsidR="000C77D5">
        <w:rPr>
          <w:rFonts w:ascii="Times New Roman" w:hAnsi="Times New Roman"/>
          <w:szCs w:val="24"/>
          <w:lang w:val="bs-Latn-BA"/>
        </w:rPr>
        <w:t xml:space="preserve"> </w:t>
      </w:r>
      <w:r>
        <w:rPr>
          <w:rFonts w:ascii="Times New Roman" w:hAnsi="Times New Roman"/>
          <w:szCs w:val="24"/>
          <w:lang w:val="bs-Latn-BA"/>
        </w:rPr>
        <w:t>БиХ</w:t>
      </w:r>
      <w:r w:rsidR="009E54A2" w:rsidRPr="00295637">
        <w:rPr>
          <w:rFonts w:ascii="Times New Roman" w:hAnsi="Times New Roman"/>
          <w:szCs w:val="24"/>
          <w:lang w:val="bs-Latn-BA"/>
        </w:rPr>
        <w:t xml:space="preserve"> </w:t>
      </w:r>
      <w:r>
        <w:rPr>
          <w:rFonts w:ascii="Times New Roman" w:hAnsi="Times New Roman"/>
          <w:szCs w:val="24"/>
          <w:lang w:val="bs-Latn-BA"/>
        </w:rPr>
        <w:t>презент</w:t>
      </w:r>
      <w:r w:rsidR="009153B7">
        <w:rPr>
          <w:rFonts w:ascii="Times New Roman" w:hAnsi="Times New Roman"/>
          <w:szCs w:val="24"/>
          <w:lang w:val="sr-Cyrl-BA"/>
        </w:rPr>
        <w:t>овала</w:t>
      </w:r>
      <w:r w:rsidR="00663BF5" w:rsidRPr="00295637">
        <w:rPr>
          <w:rFonts w:ascii="Times New Roman" w:hAnsi="Times New Roman"/>
          <w:szCs w:val="24"/>
          <w:lang w:val="bs-Latn-BA"/>
        </w:rPr>
        <w:t xml:space="preserve"> </w:t>
      </w:r>
      <w:r>
        <w:rPr>
          <w:rFonts w:ascii="Times New Roman" w:hAnsi="Times New Roman"/>
          <w:szCs w:val="24"/>
          <w:lang w:val="bs-Latn-BA"/>
        </w:rPr>
        <w:t>је</w:t>
      </w:r>
      <w:r w:rsidR="000C77D5" w:rsidRPr="00295637">
        <w:rPr>
          <w:rFonts w:ascii="Times New Roman" w:hAnsi="Times New Roman"/>
          <w:szCs w:val="24"/>
          <w:lang w:val="bs-Latn-BA"/>
        </w:rPr>
        <w:t xml:space="preserve"> </w:t>
      </w:r>
      <w:r>
        <w:rPr>
          <w:rFonts w:ascii="Times New Roman" w:hAnsi="Times New Roman"/>
          <w:szCs w:val="24"/>
          <w:lang w:val="bs-Latn-BA"/>
        </w:rPr>
        <w:t>рад</w:t>
      </w:r>
      <w:r w:rsidR="00663BF5" w:rsidRPr="00295637">
        <w:rPr>
          <w:rFonts w:ascii="Times New Roman" w:hAnsi="Times New Roman"/>
          <w:szCs w:val="24"/>
          <w:lang w:val="bs-Latn-BA"/>
        </w:rPr>
        <w:t xml:space="preserve">, </w:t>
      </w:r>
      <w:r>
        <w:rPr>
          <w:rFonts w:ascii="Times New Roman" w:hAnsi="Times New Roman"/>
          <w:szCs w:val="24"/>
          <w:lang w:val="bs-Latn-BA"/>
        </w:rPr>
        <w:t>надлежности</w:t>
      </w:r>
      <w:r w:rsidR="00663BF5" w:rsidRPr="00295637">
        <w:rPr>
          <w:rFonts w:ascii="Times New Roman" w:hAnsi="Times New Roman"/>
          <w:szCs w:val="24"/>
          <w:lang w:val="bs-Latn-BA"/>
        </w:rPr>
        <w:t xml:space="preserve"> </w:t>
      </w:r>
      <w:r>
        <w:rPr>
          <w:rFonts w:ascii="Times New Roman" w:hAnsi="Times New Roman"/>
          <w:szCs w:val="24"/>
          <w:lang w:val="bs-Latn-BA"/>
        </w:rPr>
        <w:t>и</w:t>
      </w:r>
      <w:r w:rsidR="00663BF5" w:rsidRPr="00295637">
        <w:rPr>
          <w:rFonts w:ascii="Times New Roman" w:hAnsi="Times New Roman"/>
          <w:szCs w:val="24"/>
          <w:lang w:val="bs-Latn-BA"/>
        </w:rPr>
        <w:t xml:space="preserve"> </w:t>
      </w:r>
      <w:r>
        <w:rPr>
          <w:rFonts w:ascii="Times New Roman" w:hAnsi="Times New Roman"/>
          <w:szCs w:val="24"/>
          <w:lang w:val="bs-Latn-BA"/>
        </w:rPr>
        <w:t>изазове</w:t>
      </w:r>
      <w:r w:rsidR="00663BF5" w:rsidRPr="00295637">
        <w:rPr>
          <w:rFonts w:ascii="Times New Roman" w:hAnsi="Times New Roman"/>
          <w:szCs w:val="24"/>
          <w:lang w:val="bs-Latn-BA"/>
        </w:rPr>
        <w:t xml:space="preserve"> </w:t>
      </w:r>
      <w:r>
        <w:rPr>
          <w:rFonts w:ascii="Times New Roman" w:hAnsi="Times New Roman"/>
          <w:szCs w:val="24"/>
          <w:lang w:val="bs-Latn-BA"/>
        </w:rPr>
        <w:t>у</w:t>
      </w:r>
      <w:r w:rsidR="00663BF5" w:rsidRPr="00295637">
        <w:rPr>
          <w:rFonts w:ascii="Times New Roman" w:hAnsi="Times New Roman"/>
          <w:szCs w:val="24"/>
          <w:lang w:val="bs-Latn-BA"/>
        </w:rPr>
        <w:t xml:space="preserve"> </w:t>
      </w:r>
      <w:r>
        <w:rPr>
          <w:rFonts w:ascii="Times New Roman" w:hAnsi="Times New Roman"/>
          <w:szCs w:val="24"/>
          <w:lang w:val="bs-Latn-BA"/>
        </w:rPr>
        <w:t>раду</w:t>
      </w:r>
      <w:r w:rsidR="005E5AA7" w:rsidRPr="00295637">
        <w:rPr>
          <w:rFonts w:ascii="Times New Roman" w:hAnsi="Times New Roman"/>
          <w:szCs w:val="24"/>
          <w:lang w:val="bs-Latn-BA"/>
        </w:rPr>
        <w:t xml:space="preserve"> </w:t>
      </w:r>
      <w:r>
        <w:rPr>
          <w:rFonts w:ascii="Times New Roman" w:hAnsi="Times New Roman"/>
          <w:szCs w:val="24"/>
          <w:lang w:val="bs-Latn-BA"/>
        </w:rPr>
        <w:t>АР</w:t>
      </w:r>
      <w:r w:rsidR="009153B7">
        <w:rPr>
          <w:rFonts w:ascii="Times New Roman" w:hAnsi="Times New Roman"/>
          <w:szCs w:val="24"/>
          <w:lang w:val="sr-Cyrl-BA"/>
        </w:rPr>
        <w:t>П</w:t>
      </w:r>
      <w:r w:rsidR="00050016">
        <w:rPr>
          <w:rFonts w:ascii="Times New Roman" w:hAnsi="Times New Roman"/>
          <w:szCs w:val="24"/>
          <w:lang w:val="bs-Latn-BA"/>
        </w:rPr>
        <w:t xml:space="preserve"> </w:t>
      </w:r>
      <w:r>
        <w:rPr>
          <w:rFonts w:ascii="Times New Roman" w:hAnsi="Times New Roman"/>
          <w:szCs w:val="24"/>
          <w:lang w:val="bs-Latn-BA"/>
        </w:rPr>
        <w:t>БиХ</w:t>
      </w:r>
      <w:r w:rsidR="005E5AA7" w:rsidRPr="00295637">
        <w:rPr>
          <w:rFonts w:ascii="Times New Roman" w:hAnsi="Times New Roman"/>
          <w:szCs w:val="24"/>
          <w:lang w:val="bs-Latn-BA"/>
        </w:rPr>
        <w:t xml:space="preserve"> </w:t>
      </w:r>
      <w:r>
        <w:rPr>
          <w:rFonts w:ascii="Times New Roman" w:hAnsi="Times New Roman"/>
          <w:szCs w:val="24"/>
          <w:lang w:val="bs-Latn-BA"/>
        </w:rPr>
        <w:t>М</w:t>
      </w:r>
      <w:r w:rsidR="009153B7">
        <w:rPr>
          <w:rFonts w:ascii="Times New Roman" w:hAnsi="Times New Roman"/>
          <w:szCs w:val="24"/>
          <w:lang w:val="sr-Cyrl-BA"/>
        </w:rPr>
        <w:t>Љ</w:t>
      </w:r>
      <w:r>
        <w:rPr>
          <w:rFonts w:ascii="Times New Roman" w:hAnsi="Times New Roman"/>
          <w:szCs w:val="24"/>
          <w:lang w:val="bs-Latn-BA"/>
        </w:rPr>
        <w:t>ПИ</w:t>
      </w:r>
      <w:r w:rsidR="009E54A2" w:rsidRPr="00295637">
        <w:rPr>
          <w:rFonts w:ascii="Times New Roman" w:hAnsi="Times New Roman"/>
          <w:szCs w:val="24"/>
          <w:lang w:val="bs-Latn-BA"/>
        </w:rPr>
        <w:t xml:space="preserve"> </w:t>
      </w:r>
      <w:r>
        <w:rPr>
          <w:rFonts w:ascii="Times New Roman" w:hAnsi="Times New Roman"/>
          <w:szCs w:val="24"/>
          <w:lang w:val="bs-Latn-BA"/>
        </w:rPr>
        <w:t>БиХ</w:t>
      </w:r>
      <w:r w:rsidR="004A6FC0" w:rsidRPr="00295637">
        <w:rPr>
          <w:rFonts w:ascii="Times New Roman" w:hAnsi="Times New Roman"/>
          <w:szCs w:val="24"/>
          <w:lang w:val="bs-Latn-BA"/>
        </w:rPr>
        <w:t>,</w:t>
      </w:r>
      <w:r w:rsidR="009E54A2" w:rsidRPr="00295637">
        <w:rPr>
          <w:rFonts w:ascii="Times New Roman" w:hAnsi="Times New Roman"/>
          <w:szCs w:val="24"/>
          <w:lang w:val="bs-Latn-BA"/>
        </w:rPr>
        <w:t xml:space="preserve"> </w:t>
      </w:r>
      <w:r>
        <w:rPr>
          <w:rFonts w:ascii="Times New Roman" w:hAnsi="Times New Roman"/>
          <w:szCs w:val="24"/>
          <w:lang w:val="bs-Latn-BA"/>
        </w:rPr>
        <w:t>а</w:t>
      </w:r>
      <w:r w:rsidR="00663BF5" w:rsidRPr="00295637">
        <w:rPr>
          <w:rFonts w:ascii="Times New Roman" w:hAnsi="Times New Roman"/>
          <w:szCs w:val="24"/>
          <w:lang w:val="bs-Latn-BA"/>
        </w:rPr>
        <w:t xml:space="preserve"> </w:t>
      </w:r>
      <w:r>
        <w:rPr>
          <w:rFonts w:ascii="Times New Roman" w:hAnsi="Times New Roman"/>
          <w:szCs w:val="24"/>
          <w:lang w:val="bs-Latn-BA"/>
        </w:rPr>
        <w:t>на</w:t>
      </w:r>
      <w:r w:rsidR="00663BF5" w:rsidRPr="00295637">
        <w:rPr>
          <w:rFonts w:ascii="Times New Roman" w:hAnsi="Times New Roman"/>
          <w:szCs w:val="24"/>
          <w:lang w:val="bs-Latn-BA"/>
        </w:rPr>
        <w:t xml:space="preserve"> </w:t>
      </w:r>
      <w:r>
        <w:rPr>
          <w:rFonts w:ascii="Times New Roman" w:hAnsi="Times New Roman"/>
          <w:szCs w:val="24"/>
          <w:lang w:val="bs-Latn-BA"/>
        </w:rPr>
        <w:t>састанку</w:t>
      </w:r>
      <w:r w:rsidR="00663BF5" w:rsidRPr="00295637">
        <w:rPr>
          <w:rFonts w:ascii="Times New Roman" w:hAnsi="Times New Roman"/>
          <w:szCs w:val="24"/>
          <w:lang w:val="bs-Latn-BA"/>
        </w:rPr>
        <w:t xml:space="preserve"> </w:t>
      </w:r>
      <w:r>
        <w:rPr>
          <w:rFonts w:ascii="Times New Roman" w:hAnsi="Times New Roman"/>
          <w:szCs w:val="24"/>
          <w:lang w:val="bs-Latn-BA"/>
        </w:rPr>
        <w:t>је</w:t>
      </w:r>
      <w:r w:rsidR="00663BF5" w:rsidRPr="00295637">
        <w:rPr>
          <w:rFonts w:ascii="Times New Roman" w:hAnsi="Times New Roman"/>
          <w:szCs w:val="24"/>
          <w:lang w:val="bs-Latn-BA"/>
        </w:rPr>
        <w:t xml:space="preserve"> </w:t>
      </w:r>
      <w:r>
        <w:rPr>
          <w:rFonts w:ascii="Times New Roman" w:hAnsi="Times New Roman"/>
          <w:szCs w:val="24"/>
          <w:lang w:val="bs-Latn-BA"/>
        </w:rPr>
        <w:t>разговарано</w:t>
      </w:r>
      <w:r w:rsidR="00663BF5" w:rsidRPr="00295637">
        <w:rPr>
          <w:rFonts w:ascii="Times New Roman" w:hAnsi="Times New Roman"/>
          <w:szCs w:val="24"/>
          <w:lang w:val="bs-Latn-BA"/>
        </w:rPr>
        <w:t xml:space="preserve"> </w:t>
      </w:r>
      <w:r>
        <w:rPr>
          <w:rFonts w:ascii="Times New Roman" w:hAnsi="Times New Roman"/>
          <w:szCs w:val="24"/>
          <w:lang w:val="bs-Latn-BA"/>
        </w:rPr>
        <w:t>о</w:t>
      </w:r>
      <w:r w:rsidR="00663BF5" w:rsidRPr="00295637">
        <w:rPr>
          <w:rFonts w:ascii="Times New Roman" w:hAnsi="Times New Roman"/>
          <w:szCs w:val="24"/>
          <w:lang w:val="bs-Latn-BA"/>
        </w:rPr>
        <w:t xml:space="preserve"> </w:t>
      </w:r>
      <w:r>
        <w:rPr>
          <w:rFonts w:ascii="Times New Roman" w:hAnsi="Times New Roman"/>
          <w:szCs w:val="24"/>
          <w:lang w:val="bs-Latn-BA"/>
        </w:rPr>
        <w:t>видовима</w:t>
      </w:r>
      <w:r w:rsidR="005E5AA7" w:rsidRPr="00295637">
        <w:rPr>
          <w:rFonts w:ascii="Times New Roman" w:hAnsi="Times New Roman"/>
          <w:szCs w:val="24"/>
          <w:lang w:val="bs-Latn-BA"/>
        </w:rPr>
        <w:t xml:space="preserve"> </w:t>
      </w:r>
      <w:r>
        <w:rPr>
          <w:rFonts w:ascii="Times New Roman" w:hAnsi="Times New Roman"/>
          <w:szCs w:val="24"/>
          <w:lang w:val="bs-Latn-BA"/>
        </w:rPr>
        <w:t>могуће</w:t>
      </w:r>
      <w:r w:rsidR="005E5AA7" w:rsidRPr="00295637">
        <w:rPr>
          <w:rFonts w:ascii="Times New Roman" w:hAnsi="Times New Roman"/>
          <w:szCs w:val="24"/>
          <w:lang w:val="bs-Latn-BA"/>
        </w:rPr>
        <w:t xml:space="preserve"> </w:t>
      </w:r>
      <w:r>
        <w:rPr>
          <w:rFonts w:ascii="Times New Roman" w:hAnsi="Times New Roman"/>
          <w:szCs w:val="24"/>
          <w:lang w:val="bs-Latn-BA"/>
        </w:rPr>
        <w:t>сарадње</w:t>
      </w:r>
      <w:r w:rsidR="005E5AA7" w:rsidRPr="00295637">
        <w:rPr>
          <w:rFonts w:ascii="Times New Roman" w:hAnsi="Times New Roman"/>
          <w:szCs w:val="24"/>
          <w:lang w:val="bs-Latn-BA"/>
        </w:rPr>
        <w:t xml:space="preserve"> </w:t>
      </w:r>
      <w:r>
        <w:rPr>
          <w:rFonts w:ascii="Times New Roman" w:hAnsi="Times New Roman"/>
          <w:szCs w:val="24"/>
          <w:lang w:val="bs-Latn-BA"/>
        </w:rPr>
        <w:t>у</w:t>
      </w:r>
      <w:r w:rsidR="005E5AA7" w:rsidRPr="00295637">
        <w:rPr>
          <w:rFonts w:ascii="Times New Roman" w:hAnsi="Times New Roman"/>
          <w:szCs w:val="24"/>
          <w:lang w:val="bs-Latn-BA"/>
        </w:rPr>
        <w:t xml:space="preserve"> </w:t>
      </w:r>
      <w:r>
        <w:rPr>
          <w:rFonts w:ascii="Times New Roman" w:hAnsi="Times New Roman"/>
          <w:szCs w:val="24"/>
          <w:lang w:val="bs-Latn-BA"/>
        </w:rPr>
        <w:t>будућности</w:t>
      </w:r>
      <w:r w:rsidR="005E5AA7" w:rsidRPr="00295637">
        <w:rPr>
          <w:rFonts w:ascii="Times New Roman" w:hAnsi="Times New Roman"/>
          <w:szCs w:val="24"/>
          <w:lang w:val="bs-Latn-BA"/>
        </w:rPr>
        <w:t xml:space="preserve">. </w:t>
      </w:r>
    </w:p>
    <w:p w:rsidR="005E5AA7" w:rsidRPr="00295637" w:rsidRDefault="005E5AA7" w:rsidP="0086268D">
      <w:pPr>
        <w:jc w:val="both"/>
        <w:rPr>
          <w:rFonts w:ascii="Times New Roman" w:hAnsi="Times New Roman"/>
          <w:szCs w:val="24"/>
          <w:lang w:val="bs-Latn-BA"/>
        </w:rPr>
      </w:pPr>
    </w:p>
    <w:p w:rsidR="003A2F08" w:rsidRPr="00295637" w:rsidRDefault="00C6214E" w:rsidP="0086268D">
      <w:pPr>
        <w:jc w:val="both"/>
        <w:rPr>
          <w:rFonts w:ascii="Times New Roman" w:hAnsi="Times New Roman"/>
          <w:szCs w:val="24"/>
          <w:lang w:val="bs-Latn-BA"/>
        </w:rPr>
      </w:pPr>
      <w:r>
        <w:rPr>
          <w:rFonts w:ascii="Times New Roman" w:hAnsi="Times New Roman"/>
          <w:szCs w:val="24"/>
          <w:lang w:val="bs-Latn-BA"/>
        </w:rPr>
        <w:t>Одржана</w:t>
      </w:r>
      <w:r w:rsidR="003A2F08" w:rsidRPr="00295637">
        <w:rPr>
          <w:rFonts w:ascii="Times New Roman" w:hAnsi="Times New Roman"/>
          <w:szCs w:val="24"/>
          <w:lang w:val="bs-Latn-BA"/>
        </w:rPr>
        <w:t xml:space="preserve"> </w:t>
      </w:r>
      <w:r>
        <w:rPr>
          <w:rFonts w:ascii="Times New Roman" w:hAnsi="Times New Roman"/>
          <w:szCs w:val="24"/>
          <w:lang w:val="bs-Latn-BA"/>
        </w:rPr>
        <w:t>су</w:t>
      </w:r>
      <w:r w:rsidR="007E7CD1" w:rsidRPr="00295637">
        <w:rPr>
          <w:rFonts w:ascii="Times New Roman" w:hAnsi="Times New Roman"/>
          <w:szCs w:val="24"/>
          <w:lang w:val="bs-Latn-BA"/>
        </w:rPr>
        <w:t xml:space="preserve"> </w:t>
      </w:r>
      <w:r>
        <w:rPr>
          <w:rFonts w:ascii="Times New Roman" w:hAnsi="Times New Roman"/>
          <w:szCs w:val="24"/>
          <w:lang w:val="bs-Latn-BA"/>
        </w:rPr>
        <w:t>два</w:t>
      </w:r>
      <w:r w:rsidR="000C77D5">
        <w:rPr>
          <w:rFonts w:ascii="Times New Roman" w:hAnsi="Times New Roman"/>
          <w:szCs w:val="24"/>
          <w:lang w:val="bs-Latn-BA"/>
        </w:rPr>
        <w:t xml:space="preserve"> </w:t>
      </w:r>
      <w:r>
        <w:rPr>
          <w:rFonts w:ascii="Times New Roman" w:hAnsi="Times New Roman"/>
          <w:szCs w:val="24"/>
          <w:lang w:val="bs-Latn-BA"/>
        </w:rPr>
        <w:t>састанака</w:t>
      </w:r>
      <w:r w:rsidR="000C77D5">
        <w:rPr>
          <w:rFonts w:ascii="Times New Roman" w:hAnsi="Times New Roman"/>
          <w:szCs w:val="24"/>
          <w:lang w:val="bs-Latn-BA"/>
        </w:rPr>
        <w:t xml:space="preserve"> </w:t>
      </w:r>
      <w:r>
        <w:rPr>
          <w:rFonts w:ascii="Times New Roman" w:hAnsi="Times New Roman"/>
          <w:szCs w:val="24"/>
          <w:lang w:val="bs-Latn-BA"/>
        </w:rPr>
        <w:t>са</w:t>
      </w:r>
      <w:r w:rsidR="003A2F08" w:rsidRPr="00295637">
        <w:rPr>
          <w:rFonts w:ascii="Times New Roman" w:hAnsi="Times New Roman"/>
          <w:szCs w:val="24"/>
          <w:lang w:val="bs-Latn-BA"/>
        </w:rPr>
        <w:t xml:space="preserve"> </w:t>
      </w:r>
      <w:r>
        <w:rPr>
          <w:rFonts w:ascii="Times New Roman" w:hAnsi="Times New Roman"/>
          <w:szCs w:val="24"/>
          <w:lang w:val="bs-Latn-BA"/>
        </w:rPr>
        <w:t>представницима</w:t>
      </w:r>
      <w:r w:rsidR="003A2F08" w:rsidRPr="00295637">
        <w:rPr>
          <w:rFonts w:ascii="Times New Roman" w:hAnsi="Times New Roman"/>
          <w:szCs w:val="24"/>
          <w:lang w:val="bs-Latn-BA"/>
        </w:rPr>
        <w:t xml:space="preserve"> </w:t>
      </w:r>
      <w:r>
        <w:rPr>
          <w:rFonts w:ascii="Times New Roman" w:hAnsi="Times New Roman"/>
          <w:szCs w:val="24"/>
          <w:lang w:val="bs-Latn-BA"/>
        </w:rPr>
        <w:t>Агенције</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4C49F5" w:rsidRPr="00295637">
        <w:rPr>
          <w:rFonts w:ascii="Times New Roman" w:hAnsi="Times New Roman"/>
          <w:szCs w:val="24"/>
          <w:lang w:val="bs-Latn-BA"/>
        </w:rPr>
        <w:t xml:space="preserve"> </w:t>
      </w:r>
      <w:r>
        <w:rPr>
          <w:rFonts w:ascii="Times New Roman" w:hAnsi="Times New Roman"/>
          <w:szCs w:val="24"/>
          <w:lang w:val="bs-Latn-BA"/>
        </w:rPr>
        <w:t>полова</w:t>
      </w:r>
      <w:r w:rsidR="004C49F5" w:rsidRPr="00295637">
        <w:rPr>
          <w:rFonts w:ascii="Times New Roman" w:hAnsi="Times New Roman"/>
          <w:szCs w:val="24"/>
          <w:lang w:val="bs-Latn-BA"/>
        </w:rPr>
        <w:t xml:space="preserve"> </w:t>
      </w:r>
      <w:r>
        <w:rPr>
          <w:rFonts w:ascii="Times New Roman" w:hAnsi="Times New Roman"/>
          <w:szCs w:val="24"/>
          <w:lang w:val="bs-Latn-BA"/>
        </w:rPr>
        <w:t>Краљевине</w:t>
      </w:r>
      <w:r w:rsidR="003A2F08" w:rsidRPr="00295637">
        <w:rPr>
          <w:rFonts w:ascii="Times New Roman" w:hAnsi="Times New Roman"/>
          <w:szCs w:val="24"/>
          <w:lang w:val="bs-Latn-BA"/>
        </w:rPr>
        <w:t xml:space="preserve"> </w:t>
      </w:r>
      <w:r>
        <w:rPr>
          <w:rFonts w:ascii="Times New Roman" w:hAnsi="Times New Roman"/>
          <w:szCs w:val="24"/>
          <w:lang w:val="bs-Latn-BA"/>
        </w:rPr>
        <w:t>Шведске</w:t>
      </w:r>
      <w:r w:rsidR="003A2F08" w:rsidRPr="00295637">
        <w:rPr>
          <w:rFonts w:ascii="Times New Roman" w:hAnsi="Times New Roman"/>
          <w:szCs w:val="24"/>
          <w:lang w:val="bs-Latn-BA"/>
        </w:rPr>
        <w:t xml:space="preserve"> </w:t>
      </w:r>
      <w:r>
        <w:rPr>
          <w:rFonts w:ascii="Times New Roman" w:hAnsi="Times New Roman"/>
          <w:szCs w:val="24"/>
          <w:lang w:val="bs-Latn-BA"/>
        </w:rPr>
        <w:t>путем</w:t>
      </w:r>
      <w:r w:rsidR="003A2F08" w:rsidRPr="00295637">
        <w:rPr>
          <w:rFonts w:ascii="Times New Roman" w:hAnsi="Times New Roman"/>
          <w:szCs w:val="24"/>
          <w:lang w:val="bs-Latn-BA"/>
        </w:rPr>
        <w:t xml:space="preserve"> </w:t>
      </w:r>
      <w:r>
        <w:rPr>
          <w:rFonts w:ascii="Times New Roman" w:hAnsi="Times New Roman"/>
          <w:szCs w:val="24"/>
          <w:lang w:val="bs-Latn-BA"/>
        </w:rPr>
        <w:t>онл</w:t>
      </w:r>
      <w:r w:rsidR="009153B7">
        <w:rPr>
          <w:rFonts w:ascii="Times New Roman" w:hAnsi="Times New Roman"/>
          <w:szCs w:val="24"/>
          <w:lang w:val="sr-Cyrl-BA"/>
        </w:rPr>
        <w:t>ајн</w:t>
      </w:r>
      <w:r w:rsidR="003A2F08" w:rsidRPr="00295637">
        <w:rPr>
          <w:rFonts w:ascii="Times New Roman" w:hAnsi="Times New Roman"/>
          <w:szCs w:val="24"/>
          <w:lang w:val="bs-Latn-BA"/>
        </w:rPr>
        <w:t xml:space="preserve"> </w:t>
      </w:r>
      <w:r>
        <w:rPr>
          <w:rFonts w:ascii="Times New Roman" w:hAnsi="Times New Roman"/>
          <w:szCs w:val="24"/>
          <w:lang w:val="bs-Latn-BA"/>
        </w:rPr>
        <w:t>платформе</w:t>
      </w:r>
      <w:r w:rsidR="003A2F08" w:rsidRPr="00295637">
        <w:rPr>
          <w:rFonts w:ascii="Times New Roman" w:hAnsi="Times New Roman"/>
          <w:szCs w:val="24"/>
          <w:lang w:val="bs-Latn-BA"/>
        </w:rPr>
        <w:t xml:space="preserve">, </w:t>
      </w:r>
      <w:r>
        <w:rPr>
          <w:rFonts w:ascii="Times New Roman" w:hAnsi="Times New Roman"/>
          <w:szCs w:val="24"/>
          <w:lang w:val="bs-Latn-BA"/>
        </w:rPr>
        <w:t>те</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3A2F08" w:rsidRPr="00295637">
        <w:rPr>
          <w:rFonts w:ascii="Times New Roman" w:hAnsi="Times New Roman"/>
          <w:szCs w:val="24"/>
          <w:lang w:val="bs-Latn-BA"/>
        </w:rPr>
        <w:t xml:space="preserve"> </w:t>
      </w:r>
      <w:r>
        <w:rPr>
          <w:rFonts w:ascii="Times New Roman" w:hAnsi="Times New Roman"/>
          <w:szCs w:val="24"/>
          <w:lang w:val="bs-Latn-BA"/>
        </w:rPr>
        <w:t>реализ</w:t>
      </w:r>
      <w:r w:rsidR="009153B7">
        <w:rPr>
          <w:rFonts w:ascii="Times New Roman" w:hAnsi="Times New Roman"/>
          <w:szCs w:val="24"/>
          <w:lang w:val="sr-Cyrl-BA"/>
        </w:rPr>
        <w:t>ован</w:t>
      </w:r>
      <w:r w:rsidR="003A2F08" w:rsidRPr="00295637">
        <w:rPr>
          <w:rFonts w:ascii="Times New Roman" w:hAnsi="Times New Roman"/>
          <w:szCs w:val="24"/>
          <w:lang w:val="bs-Latn-BA"/>
        </w:rPr>
        <w:t xml:space="preserve"> </w:t>
      </w:r>
      <w:r>
        <w:rPr>
          <w:rFonts w:ascii="Times New Roman" w:hAnsi="Times New Roman"/>
          <w:szCs w:val="24"/>
          <w:lang w:val="bs-Latn-BA"/>
        </w:rPr>
        <w:t>један</w:t>
      </w:r>
      <w:r w:rsidR="000C77D5">
        <w:rPr>
          <w:rFonts w:ascii="Times New Roman" w:hAnsi="Times New Roman"/>
          <w:szCs w:val="24"/>
          <w:lang w:val="bs-Latn-BA"/>
        </w:rPr>
        <w:t xml:space="preserve"> </w:t>
      </w:r>
      <w:r>
        <w:rPr>
          <w:rFonts w:ascii="Times New Roman" w:hAnsi="Times New Roman"/>
          <w:szCs w:val="24"/>
          <w:lang w:val="bs-Latn-BA"/>
        </w:rPr>
        <w:t>састанак</w:t>
      </w:r>
      <w:r w:rsidR="000C77D5">
        <w:rPr>
          <w:rFonts w:ascii="Times New Roman" w:hAnsi="Times New Roman"/>
          <w:szCs w:val="24"/>
          <w:lang w:val="bs-Latn-BA"/>
        </w:rPr>
        <w:t xml:space="preserve"> </w:t>
      </w:r>
      <w:r>
        <w:rPr>
          <w:rFonts w:ascii="Times New Roman" w:hAnsi="Times New Roman"/>
          <w:szCs w:val="24"/>
          <w:lang w:val="bs-Latn-BA"/>
        </w:rPr>
        <w:t>у</w:t>
      </w:r>
      <w:r w:rsidR="000C77D5">
        <w:rPr>
          <w:rFonts w:ascii="Times New Roman" w:hAnsi="Times New Roman"/>
          <w:szCs w:val="24"/>
          <w:lang w:val="bs-Latn-BA"/>
        </w:rPr>
        <w:t xml:space="preserve"> </w:t>
      </w:r>
      <w:r>
        <w:rPr>
          <w:rFonts w:ascii="Times New Roman" w:hAnsi="Times New Roman"/>
          <w:szCs w:val="24"/>
          <w:lang w:val="bs-Latn-BA"/>
        </w:rPr>
        <w:t>згради</w:t>
      </w:r>
      <w:r w:rsidR="000C77D5">
        <w:rPr>
          <w:rFonts w:ascii="Times New Roman" w:hAnsi="Times New Roman"/>
          <w:szCs w:val="24"/>
          <w:lang w:val="bs-Latn-BA"/>
        </w:rPr>
        <w:t xml:space="preserve"> </w:t>
      </w:r>
      <w:r>
        <w:rPr>
          <w:rFonts w:ascii="Times New Roman" w:hAnsi="Times New Roman"/>
          <w:szCs w:val="24"/>
          <w:lang w:val="bs-Latn-BA"/>
        </w:rPr>
        <w:t>Владе</w:t>
      </w:r>
      <w:r w:rsidR="000C77D5">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на</w:t>
      </w:r>
      <w:r w:rsidR="003A2F08" w:rsidRPr="00295637">
        <w:rPr>
          <w:rFonts w:ascii="Times New Roman" w:hAnsi="Times New Roman"/>
          <w:szCs w:val="24"/>
          <w:lang w:val="bs-Latn-BA"/>
        </w:rPr>
        <w:t xml:space="preserve"> </w:t>
      </w:r>
      <w:r>
        <w:rPr>
          <w:rFonts w:ascii="Times New Roman" w:hAnsi="Times New Roman"/>
          <w:szCs w:val="24"/>
          <w:lang w:val="bs-Latn-BA"/>
        </w:rPr>
        <w:t>којем</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3A2F08" w:rsidRPr="00295637">
        <w:rPr>
          <w:rFonts w:ascii="Times New Roman" w:hAnsi="Times New Roman"/>
          <w:szCs w:val="24"/>
          <w:lang w:val="bs-Latn-BA"/>
        </w:rPr>
        <w:t xml:space="preserve"> </w:t>
      </w:r>
      <w:r>
        <w:rPr>
          <w:rFonts w:ascii="Times New Roman" w:hAnsi="Times New Roman"/>
          <w:szCs w:val="24"/>
          <w:lang w:val="bs-Latn-BA"/>
        </w:rPr>
        <w:t>представљено</w:t>
      </w:r>
      <w:r w:rsidR="003A2F08" w:rsidRPr="00295637">
        <w:rPr>
          <w:rFonts w:ascii="Times New Roman" w:hAnsi="Times New Roman"/>
          <w:szCs w:val="24"/>
          <w:lang w:val="bs-Latn-BA"/>
        </w:rPr>
        <w:t xml:space="preserve"> </w:t>
      </w:r>
      <w:r>
        <w:rPr>
          <w:rFonts w:ascii="Times New Roman" w:hAnsi="Times New Roman"/>
          <w:szCs w:val="24"/>
          <w:lang w:val="bs-Latn-BA"/>
        </w:rPr>
        <w:t>искуство</w:t>
      </w:r>
      <w:r w:rsidR="003A2F08" w:rsidRPr="00295637">
        <w:rPr>
          <w:rFonts w:ascii="Times New Roman" w:hAnsi="Times New Roman"/>
          <w:szCs w:val="24"/>
          <w:lang w:val="bs-Latn-BA"/>
        </w:rPr>
        <w:t xml:space="preserve"> </w:t>
      </w:r>
      <w:r>
        <w:rPr>
          <w:rFonts w:ascii="Times New Roman" w:hAnsi="Times New Roman"/>
          <w:szCs w:val="24"/>
          <w:lang w:val="bs-Latn-BA"/>
        </w:rPr>
        <w:t>институција</w:t>
      </w:r>
      <w:r w:rsidR="003A2F08" w:rsidRPr="00295637">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кантона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оп</w:t>
      </w:r>
      <w:r w:rsidR="009153B7">
        <w:rPr>
          <w:rFonts w:ascii="Times New Roman" w:hAnsi="Times New Roman"/>
          <w:szCs w:val="24"/>
          <w:lang w:val="sr-Cyrl-BA"/>
        </w:rPr>
        <w:t>шт</w:t>
      </w:r>
      <w:r>
        <w:rPr>
          <w:rFonts w:ascii="Times New Roman" w:hAnsi="Times New Roman"/>
          <w:szCs w:val="24"/>
          <w:lang w:val="bs-Latn-BA"/>
        </w:rPr>
        <w:t>ина</w:t>
      </w:r>
      <w:r w:rsidR="003A2F08" w:rsidRPr="00295637">
        <w:rPr>
          <w:rFonts w:ascii="Times New Roman" w:hAnsi="Times New Roman"/>
          <w:szCs w:val="24"/>
          <w:lang w:val="bs-Latn-BA"/>
        </w:rPr>
        <w:t xml:space="preserve">, </w:t>
      </w:r>
      <w:r>
        <w:rPr>
          <w:rFonts w:ascii="Times New Roman" w:hAnsi="Times New Roman"/>
          <w:szCs w:val="24"/>
          <w:lang w:val="bs-Latn-BA"/>
        </w:rPr>
        <w:t>НВО</w:t>
      </w:r>
      <w:r w:rsidR="003A2F08" w:rsidRPr="00295637">
        <w:rPr>
          <w:rFonts w:ascii="Times New Roman" w:hAnsi="Times New Roman"/>
          <w:szCs w:val="24"/>
          <w:lang w:val="bs-Latn-BA"/>
        </w:rPr>
        <w:t xml:space="preserve"> </w:t>
      </w:r>
      <w:r>
        <w:rPr>
          <w:rFonts w:ascii="Times New Roman" w:hAnsi="Times New Roman"/>
          <w:szCs w:val="24"/>
          <w:lang w:val="bs-Latn-BA"/>
        </w:rPr>
        <w:t>сектора</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sidR="009153B7">
        <w:rPr>
          <w:rFonts w:ascii="Times New Roman" w:hAnsi="Times New Roman"/>
          <w:szCs w:val="24"/>
          <w:lang w:val="sr-Cyrl-BA"/>
        </w:rPr>
        <w:t>спровођењу</w:t>
      </w:r>
      <w:r w:rsidR="003A2F08" w:rsidRPr="00295637">
        <w:rPr>
          <w:rFonts w:ascii="Times New Roman" w:hAnsi="Times New Roman"/>
          <w:szCs w:val="24"/>
          <w:lang w:val="bs-Latn-BA"/>
        </w:rPr>
        <w:t xml:space="preserve"> </w:t>
      </w:r>
      <w:r>
        <w:rPr>
          <w:rFonts w:ascii="Times New Roman" w:hAnsi="Times New Roman"/>
          <w:szCs w:val="24"/>
          <w:lang w:val="bs-Latn-BA"/>
        </w:rPr>
        <w:t>ГАП</w:t>
      </w:r>
      <w:r w:rsidR="00595743" w:rsidRPr="00295637">
        <w:rPr>
          <w:rFonts w:ascii="Times New Roman" w:hAnsi="Times New Roman"/>
          <w:szCs w:val="24"/>
          <w:lang w:val="bs-Latn-BA"/>
        </w:rPr>
        <w:t xml:space="preserve"> </w:t>
      </w:r>
      <w:r>
        <w:rPr>
          <w:rFonts w:ascii="Times New Roman" w:hAnsi="Times New Roman"/>
          <w:szCs w:val="24"/>
          <w:lang w:val="bs-Latn-BA"/>
        </w:rPr>
        <w:t>БиХ</w:t>
      </w:r>
      <w:r w:rsidR="003A2F08" w:rsidRPr="00295637">
        <w:rPr>
          <w:rFonts w:ascii="Times New Roman" w:hAnsi="Times New Roman"/>
          <w:szCs w:val="24"/>
          <w:lang w:val="bs-Latn-BA"/>
        </w:rPr>
        <w:t xml:space="preserve">. </w:t>
      </w:r>
      <w:r>
        <w:rPr>
          <w:rFonts w:ascii="Times New Roman" w:hAnsi="Times New Roman"/>
          <w:szCs w:val="24"/>
          <w:lang w:val="bs-Latn-BA"/>
        </w:rPr>
        <w:t>На</w:t>
      </w:r>
      <w:r w:rsidR="003A2F08" w:rsidRPr="00295637">
        <w:rPr>
          <w:rFonts w:ascii="Times New Roman" w:hAnsi="Times New Roman"/>
          <w:szCs w:val="24"/>
          <w:lang w:val="bs-Latn-BA"/>
        </w:rPr>
        <w:t xml:space="preserve"> </w:t>
      </w:r>
      <w:r>
        <w:rPr>
          <w:rFonts w:ascii="Times New Roman" w:hAnsi="Times New Roman"/>
          <w:szCs w:val="24"/>
          <w:lang w:val="bs-Latn-BA"/>
        </w:rPr>
        <w:t>овом</w:t>
      </w:r>
      <w:r w:rsidR="003A2F08" w:rsidRPr="00295637">
        <w:rPr>
          <w:rFonts w:ascii="Times New Roman" w:hAnsi="Times New Roman"/>
          <w:szCs w:val="24"/>
          <w:lang w:val="bs-Latn-BA"/>
        </w:rPr>
        <w:t xml:space="preserve"> </w:t>
      </w:r>
      <w:r>
        <w:rPr>
          <w:rFonts w:ascii="Times New Roman" w:hAnsi="Times New Roman"/>
          <w:szCs w:val="24"/>
          <w:lang w:val="bs-Latn-BA"/>
        </w:rPr>
        <w:t>састанку</w:t>
      </w:r>
      <w:r w:rsidR="003A2F08" w:rsidRPr="00295637">
        <w:rPr>
          <w:rFonts w:ascii="Times New Roman" w:hAnsi="Times New Roman"/>
          <w:szCs w:val="24"/>
          <w:lang w:val="bs-Latn-BA"/>
        </w:rPr>
        <w:t xml:space="preserve"> </w:t>
      </w:r>
      <w:r>
        <w:rPr>
          <w:rFonts w:ascii="Times New Roman" w:hAnsi="Times New Roman"/>
          <w:szCs w:val="24"/>
          <w:lang w:val="bs-Latn-BA"/>
        </w:rPr>
        <w:t>у</w:t>
      </w:r>
      <w:r w:rsidR="003A2F08" w:rsidRPr="00295637">
        <w:rPr>
          <w:rFonts w:ascii="Times New Roman" w:hAnsi="Times New Roman"/>
          <w:szCs w:val="24"/>
          <w:lang w:val="bs-Latn-BA"/>
        </w:rPr>
        <w:t xml:space="preserve"> </w:t>
      </w:r>
      <w:r>
        <w:rPr>
          <w:rFonts w:ascii="Times New Roman" w:hAnsi="Times New Roman"/>
          <w:szCs w:val="24"/>
          <w:lang w:val="bs-Latn-BA"/>
        </w:rPr>
        <w:t>орг</w:t>
      </w:r>
      <w:r w:rsidR="00485AB7">
        <w:rPr>
          <w:rFonts w:ascii="Times New Roman" w:hAnsi="Times New Roman"/>
          <w:szCs w:val="24"/>
          <w:lang w:val="bs-Cyrl-BA"/>
        </w:rPr>
        <w:t>а</w:t>
      </w:r>
      <w:r>
        <w:rPr>
          <w:rFonts w:ascii="Times New Roman" w:hAnsi="Times New Roman"/>
          <w:szCs w:val="24"/>
          <w:lang w:val="bs-Latn-BA"/>
        </w:rPr>
        <w:t>низацији</w:t>
      </w:r>
      <w:r w:rsidR="003A2F08" w:rsidRPr="00295637">
        <w:rPr>
          <w:rFonts w:ascii="Times New Roman" w:hAnsi="Times New Roman"/>
          <w:szCs w:val="24"/>
          <w:lang w:val="bs-Latn-BA"/>
        </w:rPr>
        <w:t xml:space="preserve"> </w:t>
      </w:r>
      <w:r>
        <w:rPr>
          <w:rFonts w:ascii="Times New Roman" w:hAnsi="Times New Roman"/>
          <w:szCs w:val="24"/>
          <w:lang w:val="bs-Latn-BA"/>
        </w:rPr>
        <w:t>ГЦ</w:t>
      </w:r>
      <w:r w:rsidR="000C77D5">
        <w:rPr>
          <w:rFonts w:ascii="Times New Roman" w:hAnsi="Times New Roman"/>
          <w:szCs w:val="24"/>
          <w:lang w:val="bs-Latn-BA"/>
        </w:rPr>
        <w:t xml:space="preserve"> </w:t>
      </w:r>
      <w:r>
        <w:rPr>
          <w:rFonts w:ascii="Times New Roman" w:hAnsi="Times New Roman"/>
          <w:szCs w:val="24"/>
          <w:lang w:val="bs-Latn-BA"/>
        </w:rPr>
        <w:t>ФБиХ</w:t>
      </w:r>
      <w:r w:rsidR="00621EAC">
        <w:rPr>
          <w:rFonts w:ascii="Times New Roman" w:hAnsi="Times New Roman"/>
          <w:szCs w:val="24"/>
          <w:lang w:val="bs-Latn-BA"/>
        </w:rPr>
        <w:t>,</w:t>
      </w:r>
      <w:r w:rsidR="003A2F08" w:rsidRPr="00295637">
        <w:rPr>
          <w:rFonts w:ascii="Times New Roman" w:hAnsi="Times New Roman"/>
          <w:szCs w:val="24"/>
          <w:lang w:val="bs-Latn-BA"/>
        </w:rPr>
        <w:t xml:space="preserve"> </w:t>
      </w:r>
      <w:r>
        <w:rPr>
          <w:rFonts w:ascii="Times New Roman" w:hAnsi="Times New Roman"/>
          <w:szCs w:val="24"/>
          <w:lang w:val="bs-Latn-BA"/>
        </w:rPr>
        <w:t>свој</w:t>
      </w:r>
      <w:r w:rsidR="003A2F08" w:rsidRPr="00295637">
        <w:rPr>
          <w:rFonts w:ascii="Times New Roman" w:hAnsi="Times New Roman"/>
          <w:szCs w:val="24"/>
          <w:lang w:val="bs-Latn-BA"/>
        </w:rPr>
        <w:t xml:space="preserve"> </w:t>
      </w:r>
      <w:r>
        <w:rPr>
          <w:rFonts w:ascii="Times New Roman" w:hAnsi="Times New Roman"/>
          <w:szCs w:val="24"/>
          <w:lang w:val="bs-Latn-BA"/>
        </w:rPr>
        <w:t>допринос</w:t>
      </w:r>
      <w:r w:rsidR="003A2F08" w:rsidRPr="00295637">
        <w:rPr>
          <w:rFonts w:ascii="Times New Roman" w:hAnsi="Times New Roman"/>
          <w:szCs w:val="24"/>
          <w:lang w:val="bs-Latn-BA"/>
        </w:rPr>
        <w:t xml:space="preserve"> </w:t>
      </w:r>
      <w:r>
        <w:rPr>
          <w:rFonts w:ascii="Times New Roman" w:hAnsi="Times New Roman"/>
          <w:szCs w:val="24"/>
          <w:lang w:val="bs-Latn-BA"/>
        </w:rPr>
        <w:t>дало</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3A2F08" w:rsidRPr="00295637">
        <w:rPr>
          <w:rFonts w:ascii="Times New Roman" w:hAnsi="Times New Roman"/>
          <w:szCs w:val="24"/>
          <w:lang w:val="bs-Latn-BA"/>
        </w:rPr>
        <w:t xml:space="preserve"> </w:t>
      </w:r>
      <w:r>
        <w:rPr>
          <w:rFonts w:ascii="Times New Roman" w:hAnsi="Times New Roman"/>
          <w:szCs w:val="24"/>
          <w:lang w:val="bs-Latn-BA"/>
        </w:rPr>
        <w:t>преко</w:t>
      </w:r>
      <w:r w:rsidR="003A2F08" w:rsidRPr="00295637">
        <w:rPr>
          <w:rFonts w:ascii="Times New Roman" w:hAnsi="Times New Roman"/>
          <w:szCs w:val="24"/>
          <w:lang w:val="bs-Latn-BA"/>
        </w:rPr>
        <w:t xml:space="preserve"> 50 </w:t>
      </w:r>
      <w:r>
        <w:rPr>
          <w:rFonts w:ascii="Times New Roman" w:hAnsi="Times New Roman"/>
          <w:szCs w:val="24"/>
          <w:lang w:val="bs-Latn-BA"/>
        </w:rPr>
        <w:t>представника</w:t>
      </w:r>
      <w:r w:rsidR="003A2F08" w:rsidRPr="00295637">
        <w:rPr>
          <w:rFonts w:ascii="Times New Roman" w:hAnsi="Times New Roman"/>
          <w:szCs w:val="24"/>
          <w:lang w:val="bs-Latn-BA"/>
        </w:rPr>
        <w:t xml:space="preserve"> </w:t>
      </w:r>
      <w:r>
        <w:rPr>
          <w:rFonts w:ascii="Times New Roman" w:hAnsi="Times New Roman"/>
          <w:szCs w:val="24"/>
          <w:lang w:val="bs-Latn-BA"/>
        </w:rPr>
        <w:t>институција</w:t>
      </w:r>
      <w:r w:rsidR="003A2F08" w:rsidRPr="00295637">
        <w:rPr>
          <w:rFonts w:ascii="Times New Roman" w:hAnsi="Times New Roman"/>
          <w:szCs w:val="24"/>
          <w:lang w:val="bs-Latn-BA"/>
        </w:rPr>
        <w:t xml:space="preserve"> </w:t>
      </w:r>
      <w:r>
        <w:rPr>
          <w:rFonts w:ascii="Times New Roman" w:hAnsi="Times New Roman"/>
          <w:szCs w:val="24"/>
          <w:lang w:val="bs-Latn-BA"/>
        </w:rPr>
        <w:t>свих</w:t>
      </w:r>
      <w:r w:rsidR="003A2F08" w:rsidRPr="00295637">
        <w:rPr>
          <w:rFonts w:ascii="Times New Roman" w:hAnsi="Times New Roman"/>
          <w:szCs w:val="24"/>
          <w:lang w:val="bs-Latn-BA"/>
        </w:rPr>
        <w:t xml:space="preserve"> </w:t>
      </w:r>
      <w:r>
        <w:rPr>
          <w:rFonts w:ascii="Times New Roman" w:hAnsi="Times New Roman"/>
          <w:szCs w:val="24"/>
          <w:lang w:val="bs-Latn-BA"/>
        </w:rPr>
        <w:t>нивоа</w:t>
      </w:r>
      <w:r w:rsidR="003A2F08" w:rsidRPr="00295637">
        <w:rPr>
          <w:rFonts w:ascii="Times New Roman" w:hAnsi="Times New Roman"/>
          <w:szCs w:val="24"/>
          <w:lang w:val="bs-Latn-BA"/>
        </w:rPr>
        <w:t xml:space="preserve"> </w:t>
      </w:r>
      <w:r>
        <w:rPr>
          <w:rFonts w:ascii="Times New Roman" w:hAnsi="Times New Roman"/>
          <w:szCs w:val="24"/>
          <w:lang w:val="bs-Latn-BA"/>
        </w:rPr>
        <w:t>власти</w:t>
      </w:r>
      <w:r w:rsidR="003A2F08" w:rsidRPr="00295637">
        <w:rPr>
          <w:rFonts w:ascii="Times New Roman" w:hAnsi="Times New Roman"/>
          <w:szCs w:val="24"/>
          <w:lang w:val="bs-Latn-BA"/>
        </w:rPr>
        <w:t xml:space="preserve">. </w:t>
      </w:r>
    </w:p>
    <w:p w:rsidR="003A2F08" w:rsidRPr="00295637" w:rsidRDefault="003A2F08" w:rsidP="0086268D">
      <w:pPr>
        <w:ind w:left="576"/>
        <w:jc w:val="both"/>
        <w:rPr>
          <w:rFonts w:ascii="Times New Roman" w:hAnsi="Times New Roman"/>
          <w:szCs w:val="24"/>
          <w:lang w:val="bs-Latn-BA"/>
        </w:rPr>
      </w:pPr>
    </w:p>
    <w:p w:rsidR="00A92736" w:rsidRPr="00295637" w:rsidRDefault="00C6214E" w:rsidP="0086268D">
      <w:pPr>
        <w:jc w:val="both"/>
        <w:rPr>
          <w:rFonts w:ascii="Times New Roman" w:hAnsi="Times New Roman"/>
          <w:szCs w:val="24"/>
          <w:lang w:val="bs-Latn-BA"/>
        </w:rPr>
      </w:pPr>
      <w:r>
        <w:rPr>
          <w:rFonts w:ascii="Times New Roman" w:hAnsi="Times New Roman"/>
          <w:szCs w:val="24"/>
          <w:lang w:val="bs-Latn-BA"/>
        </w:rPr>
        <w:t>Реализ</w:t>
      </w:r>
      <w:r w:rsidR="009153B7">
        <w:rPr>
          <w:rFonts w:ascii="Times New Roman" w:hAnsi="Times New Roman"/>
          <w:szCs w:val="24"/>
          <w:lang w:val="sr-Cyrl-BA"/>
        </w:rPr>
        <w:t>овано</w:t>
      </w:r>
      <w:r w:rsidR="00FA50D6" w:rsidRPr="00295637">
        <w:rPr>
          <w:rFonts w:ascii="Times New Roman" w:hAnsi="Times New Roman"/>
          <w:szCs w:val="24"/>
          <w:lang w:val="bs-Latn-BA"/>
        </w:rPr>
        <w:t xml:space="preserve"> </w:t>
      </w:r>
      <w:r>
        <w:rPr>
          <w:rFonts w:ascii="Times New Roman" w:hAnsi="Times New Roman"/>
          <w:szCs w:val="24"/>
          <w:lang w:val="bs-Latn-BA"/>
        </w:rPr>
        <w:t>је</w:t>
      </w:r>
      <w:r w:rsidR="00FA50D6" w:rsidRPr="00295637">
        <w:rPr>
          <w:rFonts w:ascii="Times New Roman" w:hAnsi="Times New Roman"/>
          <w:szCs w:val="24"/>
          <w:lang w:val="bs-Latn-BA"/>
        </w:rPr>
        <w:t xml:space="preserve"> </w:t>
      </w:r>
      <w:r>
        <w:rPr>
          <w:rFonts w:ascii="Times New Roman" w:hAnsi="Times New Roman"/>
          <w:szCs w:val="24"/>
          <w:lang w:val="bs-Latn-BA"/>
        </w:rPr>
        <w:t>пет</w:t>
      </w:r>
      <w:r w:rsidR="003A2F08" w:rsidRPr="00295637">
        <w:rPr>
          <w:rFonts w:ascii="Times New Roman" w:hAnsi="Times New Roman"/>
          <w:szCs w:val="24"/>
          <w:lang w:val="bs-Latn-BA"/>
        </w:rPr>
        <w:t xml:space="preserve"> </w:t>
      </w:r>
      <w:r>
        <w:rPr>
          <w:rFonts w:ascii="Times New Roman" w:hAnsi="Times New Roman"/>
          <w:szCs w:val="24"/>
          <w:lang w:val="bs-Latn-BA"/>
        </w:rPr>
        <w:t>састанака</w:t>
      </w:r>
      <w:r w:rsidR="003A2F08" w:rsidRPr="00295637">
        <w:rPr>
          <w:rFonts w:ascii="Times New Roman" w:hAnsi="Times New Roman"/>
          <w:szCs w:val="24"/>
          <w:lang w:val="bs-Latn-BA"/>
        </w:rPr>
        <w:t xml:space="preserve"> </w:t>
      </w:r>
      <w:r w:rsidR="003523B0" w:rsidRPr="003523B0">
        <w:rPr>
          <w:rFonts w:ascii="Times New Roman" w:hAnsi="Times New Roman"/>
          <w:szCs w:val="24"/>
          <w:lang w:val="sr-Cyrl-BA"/>
        </w:rPr>
        <w:t>ФИГАП</w:t>
      </w:r>
      <w:r w:rsidR="009153B7" w:rsidRPr="003523B0">
        <w:rPr>
          <w:rFonts w:ascii="Times New Roman" w:hAnsi="Times New Roman"/>
          <w:szCs w:val="24"/>
          <w:lang w:val="bs-Latn-BA"/>
        </w:rPr>
        <w:t xml:space="preserve"> II</w:t>
      </w:r>
      <w:r w:rsidR="009153B7" w:rsidRPr="009153B7">
        <w:rPr>
          <w:rFonts w:ascii="Times New Roman" w:hAnsi="Times New Roman"/>
          <w:szCs w:val="24"/>
          <w:lang w:val="bs-Latn-BA"/>
        </w:rPr>
        <w:t xml:space="preserve"> </w:t>
      </w:r>
      <w:r>
        <w:rPr>
          <w:rFonts w:ascii="Times New Roman" w:hAnsi="Times New Roman"/>
          <w:szCs w:val="24"/>
          <w:lang w:val="bs-Latn-BA"/>
        </w:rPr>
        <w:t>тима</w:t>
      </w:r>
      <w:r w:rsidR="003A2F08" w:rsidRPr="00295637">
        <w:rPr>
          <w:rFonts w:ascii="Times New Roman" w:hAnsi="Times New Roman"/>
          <w:szCs w:val="24"/>
          <w:lang w:val="bs-Latn-BA"/>
        </w:rPr>
        <w:t xml:space="preserve"> </w:t>
      </w:r>
      <w:r>
        <w:rPr>
          <w:rFonts w:ascii="Times New Roman" w:hAnsi="Times New Roman"/>
          <w:szCs w:val="24"/>
          <w:lang w:val="bs-Latn-BA"/>
        </w:rPr>
        <w:t>из</w:t>
      </w:r>
      <w:r w:rsidR="003A2F08" w:rsidRPr="00295637">
        <w:rPr>
          <w:rFonts w:ascii="Times New Roman" w:hAnsi="Times New Roman"/>
          <w:szCs w:val="24"/>
          <w:lang w:val="bs-Latn-BA"/>
        </w:rPr>
        <w:t xml:space="preserve"> </w:t>
      </w:r>
      <w:r>
        <w:rPr>
          <w:rFonts w:ascii="Times New Roman" w:hAnsi="Times New Roman"/>
          <w:szCs w:val="24"/>
          <w:lang w:val="bs-Latn-BA"/>
        </w:rPr>
        <w:t>АР</w:t>
      </w:r>
      <w:r w:rsidR="009153B7">
        <w:rPr>
          <w:rFonts w:ascii="Times New Roman" w:hAnsi="Times New Roman"/>
          <w:szCs w:val="24"/>
          <w:lang w:val="sr-Cyrl-BA"/>
        </w:rPr>
        <w:t>П</w:t>
      </w:r>
      <w:r w:rsidR="000E4388" w:rsidRPr="00295637">
        <w:rPr>
          <w:rFonts w:ascii="Times New Roman" w:hAnsi="Times New Roman"/>
          <w:szCs w:val="24"/>
          <w:lang w:val="bs-Latn-BA"/>
        </w:rPr>
        <w:t xml:space="preserve"> </w:t>
      </w:r>
      <w:r>
        <w:rPr>
          <w:rFonts w:ascii="Times New Roman" w:hAnsi="Times New Roman"/>
          <w:szCs w:val="24"/>
          <w:lang w:val="bs-Latn-BA"/>
        </w:rPr>
        <w:t>БиХ</w:t>
      </w:r>
      <w:r w:rsidR="003A2F08" w:rsidRPr="00295637">
        <w:rPr>
          <w:rFonts w:ascii="Times New Roman" w:hAnsi="Times New Roman"/>
          <w:szCs w:val="24"/>
          <w:lang w:val="bs-Latn-BA"/>
        </w:rPr>
        <w:t xml:space="preserve">, </w:t>
      </w:r>
      <w:r>
        <w:rPr>
          <w:rFonts w:ascii="Times New Roman" w:hAnsi="Times New Roman"/>
          <w:szCs w:val="24"/>
          <w:lang w:val="bs-Latn-BA"/>
        </w:rPr>
        <w:t>ГЦ</w:t>
      </w:r>
      <w:r w:rsidR="000C77D5">
        <w:rPr>
          <w:rFonts w:ascii="Times New Roman" w:hAnsi="Times New Roman"/>
          <w:szCs w:val="24"/>
          <w:lang w:val="bs-Latn-BA"/>
        </w:rPr>
        <w:t xml:space="preserve"> </w:t>
      </w:r>
      <w:r>
        <w:rPr>
          <w:rFonts w:ascii="Times New Roman" w:hAnsi="Times New Roman"/>
          <w:szCs w:val="24"/>
          <w:lang w:val="bs-Latn-BA"/>
        </w:rPr>
        <w:t>ФБиХ</w:t>
      </w:r>
      <w:r w:rsidR="003A2F08" w:rsidRPr="00295637">
        <w:rPr>
          <w:rFonts w:ascii="Times New Roman" w:hAnsi="Times New Roman"/>
          <w:szCs w:val="24"/>
          <w:lang w:val="bs-Latn-BA"/>
        </w:rPr>
        <w:t xml:space="preserve">, </w:t>
      </w:r>
      <w:r>
        <w:rPr>
          <w:rFonts w:ascii="Times New Roman" w:hAnsi="Times New Roman"/>
          <w:szCs w:val="24"/>
          <w:lang w:val="bs-Latn-BA"/>
        </w:rPr>
        <w:t>ЦЈРП</w:t>
      </w:r>
      <w:r w:rsidR="00F52B3D" w:rsidRPr="00295637">
        <w:rPr>
          <w:rFonts w:ascii="Times New Roman" w:hAnsi="Times New Roman"/>
          <w:szCs w:val="24"/>
          <w:lang w:val="bs-Latn-BA"/>
        </w:rPr>
        <w:t xml:space="preserve"> </w:t>
      </w:r>
      <w:r>
        <w:rPr>
          <w:rFonts w:ascii="Times New Roman" w:hAnsi="Times New Roman"/>
          <w:szCs w:val="24"/>
          <w:lang w:val="bs-Latn-BA"/>
        </w:rPr>
        <w:t>РС</w:t>
      </w:r>
      <w:r w:rsidR="003A2F08" w:rsidRPr="00295637">
        <w:rPr>
          <w:rFonts w:ascii="Times New Roman" w:hAnsi="Times New Roman"/>
          <w:szCs w:val="24"/>
          <w:lang w:val="bs-Latn-BA"/>
        </w:rPr>
        <w:t xml:space="preserve"> </w:t>
      </w:r>
      <w:r w:rsidR="009153B7">
        <w:rPr>
          <w:rFonts w:ascii="Times New Roman" w:hAnsi="Times New Roman"/>
          <w:szCs w:val="24"/>
          <w:lang w:val="sr-Cyrl-BA"/>
        </w:rPr>
        <w:t>с</w:t>
      </w:r>
      <w:r w:rsidR="000E4388" w:rsidRPr="00295637">
        <w:rPr>
          <w:rFonts w:ascii="Times New Roman" w:hAnsi="Times New Roman"/>
          <w:szCs w:val="24"/>
          <w:lang w:val="bs-Latn-BA"/>
        </w:rPr>
        <w:t xml:space="preserve"> </w:t>
      </w:r>
      <w:r>
        <w:rPr>
          <w:rFonts w:ascii="Times New Roman" w:hAnsi="Times New Roman"/>
          <w:szCs w:val="24"/>
          <w:lang w:val="bs-Latn-BA"/>
        </w:rPr>
        <w:t>циљ</w:t>
      </w:r>
      <w:r w:rsidR="009153B7">
        <w:rPr>
          <w:rFonts w:ascii="Times New Roman" w:hAnsi="Times New Roman"/>
          <w:szCs w:val="24"/>
          <w:lang w:val="sr-Cyrl-BA"/>
        </w:rPr>
        <w:t>ем</w:t>
      </w:r>
      <w:r w:rsidR="003A2F08" w:rsidRPr="00295637">
        <w:rPr>
          <w:rFonts w:ascii="Times New Roman" w:hAnsi="Times New Roman"/>
          <w:szCs w:val="24"/>
          <w:lang w:val="bs-Latn-BA"/>
        </w:rPr>
        <w:t xml:space="preserve"> </w:t>
      </w:r>
      <w:r>
        <w:rPr>
          <w:rFonts w:ascii="Times New Roman" w:hAnsi="Times New Roman"/>
          <w:szCs w:val="24"/>
          <w:lang w:val="bs-Latn-BA"/>
        </w:rPr>
        <w:t>израде</w:t>
      </w:r>
      <w:r w:rsidR="003A2F08" w:rsidRPr="00295637">
        <w:rPr>
          <w:rFonts w:ascii="Times New Roman" w:hAnsi="Times New Roman"/>
          <w:szCs w:val="24"/>
          <w:lang w:val="bs-Latn-BA"/>
        </w:rPr>
        <w:t xml:space="preserve"> </w:t>
      </w:r>
      <w:r>
        <w:rPr>
          <w:rFonts w:ascii="Times New Roman" w:hAnsi="Times New Roman"/>
          <w:szCs w:val="24"/>
          <w:lang w:val="bs-Latn-BA"/>
        </w:rPr>
        <w:t>програмског</w:t>
      </w:r>
      <w:r w:rsidR="003A2F08" w:rsidRPr="00295637">
        <w:rPr>
          <w:rFonts w:ascii="Times New Roman" w:hAnsi="Times New Roman"/>
          <w:szCs w:val="24"/>
          <w:lang w:val="bs-Latn-BA"/>
        </w:rPr>
        <w:t xml:space="preserve"> </w:t>
      </w:r>
      <w:r>
        <w:rPr>
          <w:rFonts w:ascii="Times New Roman" w:hAnsi="Times New Roman"/>
          <w:szCs w:val="24"/>
          <w:lang w:val="bs-Latn-BA"/>
        </w:rPr>
        <w:t>документа</w:t>
      </w:r>
      <w:r w:rsidR="003A2F08" w:rsidRPr="00295637">
        <w:rPr>
          <w:rFonts w:ascii="Times New Roman" w:hAnsi="Times New Roman"/>
          <w:szCs w:val="24"/>
          <w:lang w:val="bs-Latn-BA"/>
        </w:rPr>
        <w:t xml:space="preserve">, </w:t>
      </w:r>
      <w:r>
        <w:rPr>
          <w:rFonts w:ascii="Times New Roman" w:hAnsi="Times New Roman"/>
          <w:szCs w:val="24"/>
          <w:lang w:val="bs-Latn-BA"/>
        </w:rPr>
        <w:t>два</w:t>
      </w:r>
      <w:r w:rsidR="003A2F08" w:rsidRPr="00295637">
        <w:rPr>
          <w:rFonts w:ascii="Times New Roman" w:hAnsi="Times New Roman"/>
          <w:szCs w:val="24"/>
          <w:lang w:val="bs-Latn-BA"/>
        </w:rPr>
        <w:t xml:space="preserve"> </w:t>
      </w:r>
      <w:r>
        <w:rPr>
          <w:rFonts w:ascii="Times New Roman" w:hAnsi="Times New Roman"/>
          <w:szCs w:val="24"/>
          <w:lang w:val="bs-Latn-BA"/>
        </w:rPr>
        <w:t>састанка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израду</w:t>
      </w:r>
      <w:r w:rsidR="003A2F08" w:rsidRPr="00295637">
        <w:rPr>
          <w:rFonts w:ascii="Times New Roman" w:hAnsi="Times New Roman"/>
          <w:szCs w:val="24"/>
          <w:lang w:val="bs-Latn-BA"/>
        </w:rPr>
        <w:t xml:space="preserve"> </w:t>
      </w:r>
      <w:r>
        <w:rPr>
          <w:rFonts w:ascii="Times New Roman" w:hAnsi="Times New Roman"/>
          <w:szCs w:val="24"/>
          <w:lang w:val="bs-Latn-BA"/>
        </w:rPr>
        <w:t>документа</w:t>
      </w:r>
      <w:r w:rsidR="003A2F08" w:rsidRPr="00295637">
        <w:rPr>
          <w:rFonts w:ascii="Times New Roman" w:hAnsi="Times New Roman"/>
          <w:szCs w:val="24"/>
          <w:lang w:val="bs-Latn-BA"/>
        </w:rPr>
        <w:t xml:space="preserve"> </w:t>
      </w:r>
      <w:r>
        <w:rPr>
          <w:rFonts w:ascii="Times New Roman" w:hAnsi="Times New Roman"/>
          <w:szCs w:val="24"/>
          <w:lang w:val="bs-Latn-BA"/>
        </w:rPr>
        <w:t>пратећи</w:t>
      </w:r>
      <w:r w:rsidR="003A2F08" w:rsidRPr="00295637">
        <w:rPr>
          <w:rFonts w:ascii="Times New Roman" w:hAnsi="Times New Roman"/>
          <w:szCs w:val="24"/>
          <w:lang w:val="bs-Latn-BA"/>
        </w:rPr>
        <w:t xml:space="preserve"> </w:t>
      </w:r>
      <w:r>
        <w:rPr>
          <w:rFonts w:ascii="Times New Roman" w:hAnsi="Times New Roman"/>
          <w:szCs w:val="24"/>
          <w:lang w:val="bs-Latn-BA"/>
        </w:rPr>
        <w:t>инструкције</w:t>
      </w:r>
      <w:r w:rsidR="003A2F08" w:rsidRPr="00295637">
        <w:rPr>
          <w:rFonts w:ascii="Times New Roman" w:hAnsi="Times New Roman"/>
          <w:szCs w:val="24"/>
          <w:lang w:val="bs-Latn-BA"/>
        </w:rPr>
        <w:t xml:space="preserve"> </w:t>
      </w:r>
      <w:r>
        <w:rPr>
          <w:rFonts w:ascii="Times New Roman" w:hAnsi="Times New Roman"/>
          <w:szCs w:val="24"/>
          <w:lang w:val="bs-Latn-BA"/>
        </w:rPr>
        <w:t>поменуте</w:t>
      </w:r>
      <w:r w:rsidR="004C49F5" w:rsidRPr="00295637">
        <w:rPr>
          <w:rFonts w:ascii="Times New Roman" w:hAnsi="Times New Roman"/>
          <w:szCs w:val="24"/>
          <w:lang w:val="bs-Latn-BA"/>
        </w:rPr>
        <w:t xml:space="preserve"> </w:t>
      </w:r>
      <w:r>
        <w:rPr>
          <w:rFonts w:ascii="Times New Roman" w:hAnsi="Times New Roman"/>
          <w:szCs w:val="24"/>
          <w:lang w:val="bs-Latn-BA"/>
        </w:rPr>
        <w:t>шведске</w:t>
      </w:r>
      <w:r w:rsidR="004C49F5" w:rsidRPr="00295637">
        <w:rPr>
          <w:rFonts w:ascii="Times New Roman" w:hAnsi="Times New Roman"/>
          <w:szCs w:val="24"/>
          <w:lang w:val="bs-Latn-BA"/>
        </w:rPr>
        <w:t xml:space="preserve"> </w:t>
      </w:r>
      <w:r>
        <w:rPr>
          <w:rFonts w:ascii="Times New Roman" w:hAnsi="Times New Roman"/>
          <w:szCs w:val="24"/>
          <w:lang w:val="bs-Latn-BA"/>
        </w:rPr>
        <w:t>агенције</w:t>
      </w:r>
      <w:r w:rsidR="00FA50D6" w:rsidRPr="00295637">
        <w:rPr>
          <w:rFonts w:ascii="Times New Roman" w:hAnsi="Times New Roman"/>
          <w:szCs w:val="24"/>
          <w:lang w:val="bs-Latn-BA"/>
        </w:rPr>
        <w:t xml:space="preserve"> </w:t>
      </w:r>
      <w:r>
        <w:rPr>
          <w:rFonts w:ascii="Times New Roman" w:hAnsi="Times New Roman"/>
          <w:szCs w:val="24"/>
          <w:lang w:val="bs-Latn-BA"/>
        </w:rPr>
        <w:t>и</w:t>
      </w:r>
      <w:r w:rsidR="00FA50D6" w:rsidRPr="00295637">
        <w:rPr>
          <w:rFonts w:ascii="Times New Roman" w:hAnsi="Times New Roman"/>
          <w:szCs w:val="24"/>
          <w:lang w:val="bs-Latn-BA"/>
        </w:rPr>
        <w:t xml:space="preserve"> </w:t>
      </w:r>
      <w:r>
        <w:rPr>
          <w:rFonts w:ascii="Times New Roman" w:hAnsi="Times New Roman"/>
          <w:szCs w:val="24"/>
          <w:lang w:val="bs-Latn-BA"/>
        </w:rPr>
        <w:t>четири</w:t>
      </w:r>
      <w:r w:rsidR="003A2F08" w:rsidRPr="00295637">
        <w:rPr>
          <w:rFonts w:ascii="Times New Roman" w:hAnsi="Times New Roman"/>
          <w:szCs w:val="24"/>
          <w:lang w:val="bs-Latn-BA"/>
        </w:rPr>
        <w:t xml:space="preserve"> </w:t>
      </w:r>
      <w:r>
        <w:rPr>
          <w:rFonts w:ascii="Times New Roman" w:hAnsi="Times New Roman"/>
          <w:szCs w:val="24"/>
          <w:lang w:val="bs-Latn-BA"/>
        </w:rPr>
        <w:t>састанка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израду</w:t>
      </w:r>
      <w:r w:rsidR="003A2F08" w:rsidRPr="00295637">
        <w:rPr>
          <w:rFonts w:ascii="Times New Roman" w:hAnsi="Times New Roman"/>
          <w:szCs w:val="24"/>
          <w:lang w:val="bs-Latn-BA"/>
        </w:rPr>
        <w:t xml:space="preserve"> </w:t>
      </w:r>
      <w:r>
        <w:rPr>
          <w:rFonts w:ascii="Times New Roman" w:hAnsi="Times New Roman"/>
          <w:szCs w:val="24"/>
          <w:lang w:val="bs-Latn-BA"/>
        </w:rPr>
        <w:t>обједињеног</w:t>
      </w:r>
      <w:r w:rsidR="00F048F7" w:rsidRPr="00295637">
        <w:rPr>
          <w:rFonts w:ascii="Times New Roman" w:hAnsi="Times New Roman"/>
          <w:szCs w:val="24"/>
          <w:lang w:val="bs-Latn-BA"/>
        </w:rPr>
        <w:t xml:space="preserve"> </w:t>
      </w:r>
      <w:r>
        <w:rPr>
          <w:rFonts w:ascii="Times New Roman" w:hAnsi="Times New Roman"/>
          <w:szCs w:val="24"/>
          <w:lang w:val="bs-Latn-BA"/>
        </w:rPr>
        <w:t>буџета</w:t>
      </w:r>
      <w:r w:rsidR="00F048F7" w:rsidRPr="00295637">
        <w:rPr>
          <w:rFonts w:ascii="Times New Roman" w:hAnsi="Times New Roman"/>
          <w:szCs w:val="24"/>
          <w:lang w:val="bs-Latn-BA"/>
        </w:rPr>
        <w:t xml:space="preserve">. </w:t>
      </w:r>
      <w:r>
        <w:rPr>
          <w:rFonts w:ascii="Times New Roman" w:hAnsi="Times New Roman"/>
          <w:szCs w:val="24"/>
          <w:lang w:val="bs-Latn-BA"/>
        </w:rPr>
        <w:t>Израђен</w:t>
      </w:r>
      <w:r w:rsidR="00F048F7" w:rsidRPr="00295637">
        <w:rPr>
          <w:rFonts w:ascii="Times New Roman" w:hAnsi="Times New Roman"/>
          <w:szCs w:val="24"/>
          <w:lang w:val="bs-Latn-BA"/>
        </w:rPr>
        <w:t xml:space="preserve"> </w:t>
      </w:r>
      <w:r>
        <w:rPr>
          <w:rFonts w:ascii="Times New Roman" w:hAnsi="Times New Roman"/>
          <w:szCs w:val="24"/>
          <w:lang w:val="bs-Latn-BA"/>
        </w:rPr>
        <w:t>је</w:t>
      </w:r>
      <w:r w:rsidR="00F048F7" w:rsidRPr="00295637">
        <w:rPr>
          <w:rFonts w:ascii="Times New Roman" w:hAnsi="Times New Roman"/>
          <w:szCs w:val="24"/>
          <w:lang w:val="bs-Latn-BA"/>
        </w:rPr>
        <w:t xml:space="preserve"> </w:t>
      </w:r>
      <w:r>
        <w:rPr>
          <w:rFonts w:ascii="Times New Roman" w:hAnsi="Times New Roman"/>
          <w:szCs w:val="24"/>
          <w:lang w:val="bs-Latn-BA"/>
        </w:rPr>
        <w:t>финални</w:t>
      </w:r>
      <w:r w:rsidR="00F048F7" w:rsidRPr="00295637">
        <w:rPr>
          <w:rFonts w:ascii="Times New Roman" w:hAnsi="Times New Roman"/>
          <w:szCs w:val="24"/>
          <w:lang w:val="bs-Latn-BA"/>
        </w:rPr>
        <w:t xml:space="preserve"> </w:t>
      </w:r>
      <w:r>
        <w:rPr>
          <w:rFonts w:ascii="Times New Roman" w:hAnsi="Times New Roman"/>
          <w:szCs w:val="24"/>
          <w:lang w:val="bs-Latn-BA"/>
        </w:rPr>
        <w:t>документ</w:t>
      </w:r>
      <w:r w:rsidR="003A2F08" w:rsidRPr="00295637">
        <w:rPr>
          <w:rFonts w:ascii="Times New Roman" w:hAnsi="Times New Roman"/>
          <w:szCs w:val="24"/>
          <w:lang w:val="bs-Latn-BA"/>
        </w:rPr>
        <w:t xml:space="preserve"> </w:t>
      </w:r>
      <w:r>
        <w:rPr>
          <w:rFonts w:ascii="Times New Roman" w:hAnsi="Times New Roman"/>
          <w:szCs w:val="24"/>
          <w:lang w:val="bs-Latn-BA"/>
        </w:rPr>
        <w:t>Партнерског</w:t>
      </w:r>
      <w:r w:rsidR="003A2F08" w:rsidRPr="00295637">
        <w:rPr>
          <w:rFonts w:ascii="Times New Roman" w:hAnsi="Times New Roman"/>
          <w:szCs w:val="24"/>
          <w:lang w:val="bs-Latn-BA"/>
        </w:rPr>
        <w:t xml:space="preserve"> </w:t>
      </w:r>
      <w:r>
        <w:rPr>
          <w:rFonts w:ascii="Times New Roman" w:hAnsi="Times New Roman"/>
          <w:szCs w:val="24"/>
          <w:lang w:val="bs-Latn-BA"/>
        </w:rPr>
        <w:t>програма</w:t>
      </w:r>
      <w:r w:rsidR="000C77D5">
        <w:rPr>
          <w:rFonts w:ascii="Times New Roman" w:hAnsi="Times New Roman"/>
          <w:szCs w:val="24"/>
          <w:lang w:val="bs-Latn-BA"/>
        </w:rPr>
        <w:t xml:space="preserve">, </w:t>
      </w:r>
      <w:r>
        <w:rPr>
          <w:rFonts w:ascii="Times New Roman" w:hAnsi="Times New Roman"/>
          <w:szCs w:val="24"/>
          <w:lang w:val="bs-Latn-BA"/>
        </w:rPr>
        <w:t>Матрица</w:t>
      </w:r>
      <w:r w:rsidR="000C77D5">
        <w:rPr>
          <w:rFonts w:ascii="Times New Roman" w:hAnsi="Times New Roman"/>
          <w:szCs w:val="24"/>
          <w:lang w:val="bs-Latn-BA"/>
        </w:rPr>
        <w:t xml:space="preserve"> </w:t>
      </w:r>
      <w:r>
        <w:rPr>
          <w:rFonts w:ascii="Times New Roman" w:hAnsi="Times New Roman"/>
          <w:szCs w:val="24"/>
          <w:lang w:val="bs-Latn-BA"/>
        </w:rPr>
        <w:t>за</w:t>
      </w:r>
      <w:r w:rsidR="000C77D5">
        <w:rPr>
          <w:rFonts w:ascii="Times New Roman" w:hAnsi="Times New Roman"/>
          <w:szCs w:val="24"/>
          <w:lang w:val="bs-Latn-BA"/>
        </w:rPr>
        <w:t xml:space="preserve"> </w:t>
      </w:r>
      <w:r>
        <w:rPr>
          <w:rFonts w:ascii="Times New Roman" w:hAnsi="Times New Roman"/>
          <w:szCs w:val="24"/>
          <w:lang w:val="bs-Latn-BA"/>
        </w:rPr>
        <w:t>анализу</w:t>
      </w:r>
      <w:r w:rsidR="000C77D5">
        <w:rPr>
          <w:rFonts w:ascii="Times New Roman" w:hAnsi="Times New Roman"/>
          <w:szCs w:val="24"/>
          <w:lang w:val="bs-Latn-BA"/>
        </w:rPr>
        <w:t xml:space="preserve"> </w:t>
      </w:r>
      <w:r>
        <w:rPr>
          <w:rFonts w:ascii="Times New Roman" w:hAnsi="Times New Roman"/>
          <w:szCs w:val="24"/>
          <w:lang w:val="bs-Latn-BA"/>
        </w:rPr>
        <w:t>ризика</w:t>
      </w:r>
      <w:r w:rsidR="000C77D5">
        <w:rPr>
          <w:rFonts w:ascii="Times New Roman" w:hAnsi="Times New Roman"/>
          <w:szCs w:val="24"/>
          <w:lang w:val="bs-Latn-BA"/>
        </w:rPr>
        <w:t>/</w:t>
      </w:r>
      <w:r>
        <w:rPr>
          <w:rFonts w:ascii="Times New Roman" w:hAnsi="Times New Roman"/>
          <w:szCs w:val="24"/>
          <w:lang w:val="bs-Latn-BA"/>
        </w:rPr>
        <w:t>анализе</w:t>
      </w:r>
      <w:r w:rsidR="003A2F08" w:rsidRPr="00295637">
        <w:rPr>
          <w:rFonts w:ascii="Times New Roman" w:hAnsi="Times New Roman"/>
          <w:szCs w:val="24"/>
          <w:lang w:val="bs-Latn-BA"/>
        </w:rPr>
        <w:t xml:space="preserve"> </w:t>
      </w:r>
      <w:r>
        <w:rPr>
          <w:rFonts w:ascii="Times New Roman" w:hAnsi="Times New Roman"/>
          <w:szCs w:val="24"/>
          <w:lang w:val="bs-Latn-BA"/>
        </w:rPr>
        <w:t>ризика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мјере</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смањење</w:t>
      </w:r>
      <w:r w:rsidR="003A2F08" w:rsidRPr="00295637">
        <w:rPr>
          <w:rFonts w:ascii="Times New Roman" w:hAnsi="Times New Roman"/>
          <w:szCs w:val="24"/>
          <w:lang w:val="bs-Latn-BA"/>
        </w:rPr>
        <w:t xml:space="preserve"> </w:t>
      </w:r>
      <w:r>
        <w:rPr>
          <w:rFonts w:ascii="Times New Roman" w:hAnsi="Times New Roman"/>
          <w:szCs w:val="24"/>
          <w:lang w:val="bs-Latn-BA"/>
        </w:rPr>
        <w:t>ризика</w:t>
      </w:r>
      <w:r w:rsidR="003A2F08" w:rsidRPr="00295637">
        <w:rPr>
          <w:rFonts w:ascii="Times New Roman" w:hAnsi="Times New Roman"/>
          <w:szCs w:val="24"/>
          <w:lang w:val="bs-Latn-BA"/>
        </w:rPr>
        <w:t xml:space="preserve">, </w:t>
      </w:r>
      <w:r>
        <w:rPr>
          <w:rFonts w:ascii="Times New Roman" w:hAnsi="Times New Roman"/>
          <w:szCs w:val="24"/>
          <w:lang w:val="bs-Latn-BA"/>
        </w:rPr>
        <w:t>обједињени</w:t>
      </w:r>
      <w:r w:rsidR="00F048F7" w:rsidRPr="00295637">
        <w:rPr>
          <w:rFonts w:ascii="Times New Roman" w:hAnsi="Times New Roman"/>
          <w:szCs w:val="24"/>
          <w:lang w:val="bs-Latn-BA"/>
        </w:rPr>
        <w:t xml:space="preserve"> </w:t>
      </w:r>
      <w:r>
        <w:rPr>
          <w:rFonts w:ascii="Times New Roman" w:hAnsi="Times New Roman"/>
          <w:szCs w:val="24"/>
          <w:lang w:val="bs-Latn-BA"/>
        </w:rPr>
        <w:t>буџет</w:t>
      </w:r>
      <w:r w:rsidR="003A2F08" w:rsidRPr="00295637">
        <w:rPr>
          <w:rFonts w:ascii="Times New Roman" w:hAnsi="Times New Roman"/>
          <w:szCs w:val="24"/>
          <w:lang w:val="bs-Latn-BA"/>
        </w:rPr>
        <w:t xml:space="preserve"> </w:t>
      </w:r>
      <w:r>
        <w:rPr>
          <w:rFonts w:ascii="Times New Roman" w:hAnsi="Times New Roman"/>
          <w:szCs w:val="24"/>
          <w:lang w:val="bs-Latn-BA"/>
        </w:rPr>
        <w:t>као</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буџет</w:t>
      </w:r>
      <w:r w:rsidR="003A2F08" w:rsidRPr="00295637">
        <w:rPr>
          <w:rFonts w:ascii="Times New Roman" w:hAnsi="Times New Roman"/>
          <w:szCs w:val="24"/>
          <w:lang w:val="bs-Latn-BA"/>
        </w:rPr>
        <w:t xml:space="preserve"> </w:t>
      </w:r>
      <w:r>
        <w:rPr>
          <w:rFonts w:ascii="Times New Roman" w:hAnsi="Times New Roman"/>
          <w:szCs w:val="24"/>
          <w:lang w:val="bs-Latn-BA"/>
        </w:rPr>
        <w:t>по</w:t>
      </w:r>
      <w:r w:rsidR="003A2F08" w:rsidRPr="00295637">
        <w:rPr>
          <w:rFonts w:ascii="Times New Roman" w:hAnsi="Times New Roman"/>
          <w:szCs w:val="24"/>
          <w:lang w:val="bs-Latn-BA"/>
        </w:rPr>
        <w:t xml:space="preserve"> </w:t>
      </w:r>
      <w:r>
        <w:rPr>
          <w:rFonts w:ascii="Times New Roman" w:hAnsi="Times New Roman"/>
          <w:szCs w:val="24"/>
          <w:lang w:val="bs-Latn-BA"/>
        </w:rPr>
        <w:t>години</w:t>
      </w:r>
      <w:r w:rsidR="003A2F08" w:rsidRPr="00295637">
        <w:rPr>
          <w:rFonts w:ascii="Times New Roman" w:hAnsi="Times New Roman"/>
          <w:szCs w:val="24"/>
          <w:lang w:val="bs-Latn-BA"/>
        </w:rPr>
        <w:t xml:space="preserve"> </w:t>
      </w:r>
      <w:r w:rsidR="009153B7">
        <w:rPr>
          <w:rFonts w:ascii="Times New Roman" w:hAnsi="Times New Roman"/>
          <w:szCs w:val="24"/>
          <w:lang w:val="sr-Cyrl-BA"/>
        </w:rPr>
        <w:t>спровођења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сваку</w:t>
      </w:r>
      <w:r w:rsidR="003A2F08" w:rsidRPr="00295637">
        <w:rPr>
          <w:rFonts w:ascii="Times New Roman" w:hAnsi="Times New Roman"/>
          <w:szCs w:val="24"/>
          <w:lang w:val="bs-Latn-BA"/>
        </w:rPr>
        <w:t xml:space="preserve"> </w:t>
      </w:r>
      <w:r>
        <w:rPr>
          <w:rFonts w:ascii="Times New Roman" w:hAnsi="Times New Roman"/>
          <w:szCs w:val="24"/>
          <w:lang w:val="bs-Latn-BA"/>
        </w:rPr>
        <w:t>од</w:t>
      </w:r>
      <w:r w:rsidR="003A2F08" w:rsidRPr="00295637">
        <w:rPr>
          <w:rFonts w:ascii="Times New Roman" w:hAnsi="Times New Roman"/>
          <w:szCs w:val="24"/>
          <w:lang w:val="bs-Latn-BA"/>
        </w:rPr>
        <w:t xml:space="preserve"> </w:t>
      </w:r>
      <w:r>
        <w:rPr>
          <w:rFonts w:ascii="Times New Roman" w:hAnsi="Times New Roman"/>
          <w:szCs w:val="24"/>
          <w:lang w:val="bs-Latn-BA"/>
        </w:rPr>
        <w:t>три</w:t>
      </w:r>
      <w:r w:rsidR="003A2F08" w:rsidRPr="00295637">
        <w:rPr>
          <w:rFonts w:ascii="Times New Roman" w:hAnsi="Times New Roman"/>
          <w:szCs w:val="24"/>
          <w:lang w:val="bs-Latn-BA"/>
        </w:rPr>
        <w:t xml:space="preserve"> </w:t>
      </w:r>
      <w:r>
        <w:rPr>
          <w:rFonts w:ascii="Times New Roman" w:hAnsi="Times New Roman"/>
          <w:szCs w:val="24"/>
          <w:lang w:val="bs-Latn-BA"/>
        </w:rPr>
        <w:t>партнерске</w:t>
      </w:r>
      <w:r w:rsidR="003A2F08" w:rsidRPr="00295637">
        <w:rPr>
          <w:rFonts w:ascii="Times New Roman" w:hAnsi="Times New Roman"/>
          <w:szCs w:val="24"/>
          <w:lang w:val="bs-Latn-BA"/>
        </w:rPr>
        <w:t xml:space="preserve"> </w:t>
      </w:r>
      <w:r>
        <w:rPr>
          <w:rFonts w:ascii="Times New Roman" w:hAnsi="Times New Roman"/>
          <w:szCs w:val="24"/>
          <w:lang w:val="bs-Latn-BA"/>
        </w:rPr>
        <w:t>институције</w:t>
      </w:r>
      <w:r w:rsidR="003A2F08" w:rsidRPr="00295637">
        <w:rPr>
          <w:rFonts w:ascii="Times New Roman" w:hAnsi="Times New Roman"/>
          <w:szCs w:val="24"/>
          <w:lang w:val="bs-Latn-BA"/>
        </w:rPr>
        <w:t xml:space="preserve">. </w:t>
      </w:r>
      <w:r>
        <w:rPr>
          <w:rFonts w:ascii="Times New Roman" w:hAnsi="Times New Roman"/>
          <w:szCs w:val="24"/>
          <w:lang w:val="bs-Latn-BA"/>
        </w:rPr>
        <w:t>Програм</w:t>
      </w:r>
      <w:r w:rsidR="00E2315C">
        <w:rPr>
          <w:rFonts w:ascii="Times New Roman" w:hAnsi="Times New Roman"/>
          <w:szCs w:val="24"/>
          <w:lang w:val="bs-Latn-BA"/>
        </w:rPr>
        <w:t xml:space="preserve"> </w:t>
      </w:r>
      <w:r>
        <w:rPr>
          <w:rFonts w:ascii="Times New Roman" w:hAnsi="Times New Roman"/>
          <w:szCs w:val="24"/>
          <w:lang w:val="bs-Latn-BA"/>
        </w:rPr>
        <w:t>носи</w:t>
      </w:r>
      <w:r w:rsidR="00E2315C">
        <w:rPr>
          <w:rFonts w:ascii="Times New Roman" w:hAnsi="Times New Roman"/>
          <w:szCs w:val="24"/>
          <w:lang w:val="bs-Latn-BA"/>
        </w:rPr>
        <w:t xml:space="preserve"> </w:t>
      </w:r>
      <w:r>
        <w:rPr>
          <w:rFonts w:ascii="Times New Roman" w:hAnsi="Times New Roman"/>
          <w:szCs w:val="24"/>
          <w:lang w:val="bs-Latn-BA"/>
        </w:rPr>
        <w:t>назив</w:t>
      </w:r>
      <w:r w:rsidR="00E2315C">
        <w:rPr>
          <w:rFonts w:ascii="Times New Roman" w:hAnsi="Times New Roman"/>
          <w:szCs w:val="24"/>
          <w:lang w:val="bs-Latn-BA"/>
        </w:rPr>
        <w:t xml:space="preserve"> </w:t>
      </w:r>
      <w:r w:rsidR="00EF3449">
        <w:rPr>
          <w:rFonts w:ascii="Times New Roman" w:hAnsi="Times New Roman"/>
          <w:szCs w:val="24"/>
          <w:lang w:val="bs-Latn-BA"/>
        </w:rPr>
        <w:t>„</w:t>
      </w:r>
      <w:r>
        <w:rPr>
          <w:rFonts w:ascii="Times New Roman" w:hAnsi="Times New Roman"/>
          <w:szCs w:val="24"/>
          <w:lang w:val="bs-Latn-BA"/>
        </w:rPr>
        <w:t>Институционално</w:t>
      </w:r>
      <w:r w:rsidR="00EF3449">
        <w:rPr>
          <w:rFonts w:ascii="Times New Roman" w:hAnsi="Times New Roman"/>
          <w:szCs w:val="24"/>
          <w:lang w:val="bs-Latn-BA"/>
        </w:rPr>
        <w:t xml:space="preserve"> </w:t>
      </w:r>
      <w:r>
        <w:rPr>
          <w:rFonts w:ascii="Times New Roman" w:hAnsi="Times New Roman"/>
          <w:szCs w:val="24"/>
          <w:lang w:val="bs-Latn-BA"/>
        </w:rPr>
        <w:t>јачање</w:t>
      </w:r>
      <w:r w:rsidR="00EF3449">
        <w:rPr>
          <w:rFonts w:ascii="Times New Roman" w:hAnsi="Times New Roman"/>
          <w:szCs w:val="24"/>
          <w:lang w:val="bs-Latn-BA"/>
        </w:rPr>
        <w:t xml:space="preserve"> </w:t>
      </w:r>
      <w:r>
        <w:rPr>
          <w:rFonts w:ascii="Times New Roman" w:hAnsi="Times New Roman"/>
          <w:szCs w:val="24"/>
          <w:lang w:val="bs-Latn-BA"/>
        </w:rPr>
        <w:t>за</w:t>
      </w:r>
      <w:r w:rsidR="00EF3449">
        <w:rPr>
          <w:rFonts w:ascii="Times New Roman" w:hAnsi="Times New Roman"/>
          <w:szCs w:val="24"/>
          <w:lang w:val="bs-Latn-BA"/>
        </w:rPr>
        <w:t xml:space="preserve"> </w:t>
      </w:r>
      <w:r>
        <w:rPr>
          <w:rFonts w:ascii="Times New Roman" w:hAnsi="Times New Roman"/>
          <w:szCs w:val="24"/>
          <w:lang w:val="bs-Latn-BA"/>
        </w:rPr>
        <w:t>резултату</w:t>
      </w:r>
      <w:r w:rsidR="00EF3449">
        <w:rPr>
          <w:rFonts w:ascii="Times New Roman" w:hAnsi="Times New Roman"/>
          <w:szCs w:val="24"/>
          <w:lang w:val="bs-Latn-BA"/>
        </w:rPr>
        <w:t xml:space="preserve"> </w:t>
      </w:r>
      <w:r>
        <w:rPr>
          <w:rFonts w:ascii="Times New Roman" w:hAnsi="Times New Roman"/>
          <w:szCs w:val="24"/>
          <w:lang w:val="bs-Latn-BA"/>
        </w:rPr>
        <w:t>у</w:t>
      </w:r>
      <w:r w:rsidR="00EF3449">
        <w:rPr>
          <w:rFonts w:ascii="Times New Roman" w:hAnsi="Times New Roman"/>
          <w:szCs w:val="24"/>
          <w:lang w:val="bs-Latn-BA"/>
        </w:rPr>
        <w:t xml:space="preserve"> </w:t>
      </w:r>
      <w:r>
        <w:rPr>
          <w:rFonts w:ascii="Times New Roman" w:hAnsi="Times New Roman"/>
          <w:szCs w:val="24"/>
          <w:lang w:val="bs-Latn-BA"/>
        </w:rPr>
        <w:t>равноправности</w:t>
      </w:r>
      <w:r w:rsidR="007451A8">
        <w:rPr>
          <w:rFonts w:ascii="Times New Roman" w:hAnsi="Times New Roman"/>
          <w:szCs w:val="24"/>
          <w:lang w:val="bs-Latn-BA"/>
        </w:rPr>
        <w:t xml:space="preserve"> </w:t>
      </w:r>
      <w:r>
        <w:rPr>
          <w:rFonts w:ascii="Times New Roman" w:hAnsi="Times New Roman"/>
          <w:szCs w:val="24"/>
          <w:lang w:val="bs-Latn-BA"/>
        </w:rPr>
        <w:t>полова</w:t>
      </w:r>
      <w:r w:rsidR="000C77D5">
        <w:rPr>
          <w:rFonts w:ascii="Times New Roman" w:hAnsi="Times New Roman"/>
          <w:szCs w:val="24"/>
          <w:lang w:val="bs-Latn-BA"/>
        </w:rPr>
        <w:t>“</w:t>
      </w:r>
      <w:r w:rsidR="00EF3449">
        <w:rPr>
          <w:rStyle w:val="FootnoteReference"/>
          <w:rFonts w:ascii="Times New Roman" w:hAnsi="Times New Roman"/>
          <w:szCs w:val="24"/>
          <w:lang w:val="bs-Latn-BA"/>
        </w:rPr>
        <w:footnoteReference w:id="7"/>
      </w:r>
      <w:r w:rsidR="00E2315C">
        <w:rPr>
          <w:rFonts w:ascii="Times New Roman" w:hAnsi="Times New Roman"/>
          <w:szCs w:val="24"/>
          <w:lang w:val="bs-Latn-BA"/>
        </w:rPr>
        <w:t xml:space="preserve">, </w:t>
      </w:r>
      <w:r>
        <w:rPr>
          <w:rFonts w:ascii="Times New Roman" w:hAnsi="Times New Roman"/>
          <w:szCs w:val="24"/>
          <w:lang w:val="bs-Latn-BA"/>
        </w:rPr>
        <w:t>укупан</w:t>
      </w:r>
      <w:r w:rsidR="00E2315C" w:rsidRPr="00295637">
        <w:rPr>
          <w:rFonts w:ascii="Times New Roman" w:hAnsi="Times New Roman"/>
          <w:szCs w:val="24"/>
          <w:lang w:val="bs-Latn-BA"/>
        </w:rPr>
        <w:t xml:space="preserve"> </w:t>
      </w:r>
      <w:r>
        <w:rPr>
          <w:rFonts w:ascii="Times New Roman" w:hAnsi="Times New Roman"/>
          <w:szCs w:val="24"/>
          <w:lang w:val="bs-Latn-BA"/>
        </w:rPr>
        <w:t>износ</w:t>
      </w:r>
      <w:r w:rsidR="003A2F08" w:rsidRPr="00295637">
        <w:rPr>
          <w:rFonts w:ascii="Times New Roman" w:hAnsi="Times New Roman"/>
          <w:szCs w:val="24"/>
          <w:lang w:val="bs-Latn-BA"/>
        </w:rPr>
        <w:t xml:space="preserve"> </w:t>
      </w:r>
      <w:r>
        <w:rPr>
          <w:rFonts w:ascii="Times New Roman" w:hAnsi="Times New Roman"/>
          <w:szCs w:val="24"/>
          <w:lang w:val="bs-Latn-BA"/>
        </w:rPr>
        <w:t>програма</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3A2F08" w:rsidRPr="00295637">
        <w:rPr>
          <w:rFonts w:ascii="Times New Roman" w:hAnsi="Times New Roman"/>
          <w:szCs w:val="24"/>
          <w:lang w:val="bs-Latn-BA"/>
        </w:rPr>
        <w:t xml:space="preserve"> </w:t>
      </w:r>
      <w:r w:rsidR="00EE7627">
        <w:rPr>
          <w:rFonts w:ascii="Times New Roman" w:hAnsi="Times New Roman"/>
          <w:szCs w:val="24"/>
          <w:lang w:val="bs-Latn-BA"/>
        </w:rPr>
        <w:t xml:space="preserve">12 </w:t>
      </w:r>
      <w:r>
        <w:rPr>
          <w:rFonts w:ascii="Times New Roman" w:hAnsi="Times New Roman"/>
          <w:szCs w:val="24"/>
          <w:lang w:val="bs-Latn-BA"/>
        </w:rPr>
        <w:t>милиона</w:t>
      </w:r>
      <w:r w:rsidR="00EE7627">
        <w:rPr>
          <w:rFonts w:ascii="Times New Roman" w:hAnsi="Times New Roman"/>
          <w:szCs w:val="24"/>
          <w:lang w:val="bs-Latn-BA"/>
        </w:rPr>
        <w:t xml:space="preserve"> </w:t>
      </w:r>
      <w:r w:rsidR="009153B7" w:rsidRPr="009153B7">
        <w:rPr>
          <w:rFonts w:ascii="Times New Roman" w:hAnsi="Times New Roman"/>
          <w:i/>
          <w:szCs w:val="24"/>
          <w:lang w:val="bs-Latn-BA"/>
        </w:rPr>
        <w:t>SEK</w:t>
      </w:r>
      <w:r w:rsidR="00EE7627">
        <w:rPr>
          <w:rFonts w:ascii="Times New Roman" w:hAnsi="Times New Roman"/>
          <w:szCs w:val="24"/>
          <w:lang w:val="bs-Latn-BA"/>
        </w:rPr>
        <w:t>-</w:t>
      </w:r>
      <w:r>
        <w:rPr>
          <w:rFonts w:ascii="Times New Roman" w:hAnsi="Times New Roman"/>
          <w:szCs w:val="24"/>
          <w:lang w:val="bs-Latn-BA"/>
        </w:rPr>
        <w:t>а</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Pr>
          <w:rFonts w:ascii="Times New Roman" w:hAnsi="Times New Roman"/>
          <w:szCs w:val="24"/>
          <w:lang w:val="bs-Latn-BA"/>
        </w:rPr>
        <w:t>период</w:t>
      </w:r>
      <w:r w:rsidR="003A2F08" w:rsidRPr="00295637">
        <w:rPr>
          <w:rFonts w:ascii="Times New Roman" w:hAnsi="Times New Roman"/>
          <w:szCs w:val="24"/>
          <w:lang w:val="bs-Latn-BA"/>
        </w:rPr>
        <w:t xml:space="preserve"> 2024-2027</w:t>
      </w:r>
      <w:r w:rsidR="000C77D5">
        <w:rPr>
          <w:rFonts w:ascii="Times New Roman" w:hAnsi="Times New Roman"/>
          <w:szCs w:val="24"/>
          <w:lang w:val="bs-Latn-BA"/>
        </w:rPr>
        <w:t xml:space="preserve">. </w:t>
      </w:r>
      <w:r>
        <w:rPr>
          <w:rFonts w:ascii="Times New Roman" w:hAnsi="Times New Roman"/>
          <w:szCs w:val="24"/>
          <w:lang w:val="bs-Latn-BA"/>
        </w:rPr>
        <w:t>година</w:t>
      </w:r>
      <w:r w:rsidR="00E2315C">
        <w:rPr>
          <w:rFonts w:ascii="Times New Roman" w:hAnsi="Times New Roman"/>
          <w:szCs w:val="24"/>
          <w:lang w:val="bs-Latn-BA"/>
        </w:rPr>
        <w:t xml:space="preserve"> </w:t>
      </w:r>
      <w:r>
        <w:rPr>
          <w:rFonts w:ascii="Times New Roman" w:hAnsi="Times New Roman"/>
          <w:szCs w:val="24"/>
          <w:lang w:val="bs-Latn-BA"/>
        </w:rPr>
        <w:t>и</w:t>
      </w:r>
      <w:r w:rsidR="00E2315C">
        <w:rPr>
          <w:rFonts w:ascii="Times New Roman" w:hAnsi="Times New Roman"/>
          <w:szCs w:val="24"/>
          <w:lang w:val="bs-Latn-BA"/>
        </w:rPr>
        <w:t xml:space="preserve">, </w:t>
      </w:r>
      <w:r>
        <w:rPr>
          <w:rFonts w:ascii="Times New Roman" w:hAnsi="Times New Roman"/>
          <w:szCs w:val="24"/>
          <w:lang w:val="bs-Latn-BA"/>
        </w:rPr>
        <w:t>у</w:t>
      </w:r>
      <w:r w:rsidR="009A60B0">
        <w:rPr>
          <w:rFonts w:ascii="Times New Roman" w:hAnsi="Times New Roman"/>
          <w:szCs w:val="24"/>
          <w:lang w:val="bs-Latn-BA"/>
        </w:rPr>
        <w:t xml:space="preserve"> </w:t>
      </w:r>
      <w:r>
        <w:rPr>
          <w:rFonts w:ascii="Times New Roman" w:hAnsi="Times New Roman"/>
          <w:szCs w:val="24"/>
          <w:lang w:val="bs-Latn-BA"/>
        </w:rPr>
        <w:t>складу</w:t>
      </w:r>
      <w:r w:rsidR="009A60B0">
        <w:rPr>
          <w:rFonts w:ascii="Times New Roman" w:hAnsi="Times New Roman"/>
          <w:szCs w:val="24"/>
          <w:lang w:val="bs-Latn-BA"/>
        </w:rPr>
        <w:t xml:space="preserve"> </w:t>
      </w:r>
      <w:r>
        <w:rPr>
          <w:rFonts w:ascii="Times New Roman" w:hAnsi="Times New Roman"/>
          <w:szCs w:val="24"/>
          <w:lang w:val="bs-Latn-BA"/>
        </w:rPr>
        <w:t>са</w:t>
      </w:r>
      <w:r w:rsidR="00E2315C">
        <w:rPr>
          <w:rFonts w:ascii="Times New Roman" w:hAnsi="Times New Roman"/>
          <w:szCs w:val="24"/>
          <w:lang w:val="bs-Latn-BA"/>
        </w:rPr>
        <w:t xml:space="preserve"> </w:t>
      </w:r>
      <w:r>
        <w:rPr>
          <w:rFonts w:ascii="Times New Roman" w:hAnsi="Times New Roman"/>
          <w:szCs w:val="24"/>
          <w:lang w:val="bs-Latn-BA"/>
        </w:rPr>
        <w:t>захтјевима</w:t>
      </w:r>
      <w:r w:rsidR="00E2315C">
        <w:rPr>
          <w:rFonts w:ascii="Times New Roman" w:hAnsi="Times New Roman"/>
          <w:szCs w:val="24"/>
          <w:lang w:val="bs-Latn-BA"/>
        </w:rPr>
        <w:t xml:space="preserve"> </w:t>
      </w:r>
      <w:r>
        <w:rPr>
          <w:rFonts w:ascii="Times New Roman" w:hAnsi="Times New Roman"/>
          <w:szCs w:val="24"/>
          <w:lang w:val="bs-Latn-BA"/>
        </w:rPr>
        <w:t>шведског</w:t>
      </w:r>
      <w:r w:rsidR="00E2315C">
        <w:rPr>
          <w:rFonts w:ascii="Times New Roman" w:hAnsi="Times New Roman"/>
          <w:szCs w:val="24"/>
          <w:lang w:val="bs-Latn-BA"/>
        </w:rPr>
        <w:t xml:space="preserve"> </w:t>
      </w:r>
      <w:r>
        <w:rPr>
          <w:rFonts w:ascii="Times New Roman" w:hAnsi="Times New Roman"/>
          <w:szCs w:val="24"/>
          <w:lang w:val="bs-Latn-BA"/>
        </w:rPr>
        <w:t>донатора</w:t>
      </w:r>
      <w:r w:rsidR="00E2315C">
        <w:rPr>
          <w:rFonts w:ascii="Times New Roman" w:hAnsi="Times New Roman"/>
          <w:szCs w:val="24"/>
          <w:lang w:val="bs-Latn-BA"/>
        </w:rPr>
        <w:t xml:space="preserve"> </w:t>
      </w:r>
      <w:r>
        <w:rPr>
          <w:rFonts w:ascii="Times New Roman" w:hAnsi="Times New Roman"/>
          <w:szCs w:val="24"/>
          <w:lang w:val="bs-Latn-BA"/>
        </w:rPr>
        <w:t>разликује</w:t>
      </w:r>
      <w:r w:rsidR="00E2315C">
        <w:rPr>
          <w:rFonts w:ascii="Times New Roman" w:hAnsi="Times New Roman"/>
          <w:szCs w:val="24"/>
          <w:lang w:val="bs-Latn-BA"/>
        </w:rPr>
        <w:t xml:space="preserve"> </w:t>
      </w:r>
      <w:r>
        <w:rPr>
          <w:rFonts w:ascii="Times New Roman" w:hAnsi="Times New Roman"/>
          <w:szCs w:val="24"/>
          <w:lang w:val="bs-Latn-BA"/>
        </w:rPr>
        <w:t>се</w:t>
      </w:r>
      <w:r w:rsidR="00E2315C">
        <w:rPr>
          <w:rFonts w:ascii="Times New Roman" w:hAnsi="Times New Roman"/>
          <w:szCs w:val="24"/>
          <w:lang w:val="bs-Latn-BA"/>
        </w:rPr>
        <w:t xml:space="preserve"> </w:t>
      </w:r>
      <w:r>
        <w:rPr>
          <w:rFonts w:ascii="Times New Roman" w:hAnsi="Times New Roman"/>
          <w:szCs w:val="24"/>
          <w:lang w:val="bs-Latn-BA"/>
        </w:rPr>
        <w:t>од</w:t>
      </w:r>
      <w:r w:rsidR="00E2315C">
        <w:rPr>
          <w:rFonts w:ascii="Times New Roman" w:hAnsi="Times New Roman"/>
          <w:szCs w:val="24"/>
          <w:lang w:val="bs-Latn-BA"/>
        </w:rPr>
        <w:t xml:space="preserve"> </w:t>
      </w:r>
      <w:r>
        <w:rPr>
          <w:rFonts w:ascii="Times New Roman" w:hAnsi="Times New Roman"/>
          <w:szCs w:val="24"/>
          <w:lang w:val="bs-Latn-BA"/>
        </w:rPr>
        <w:t>претходног</w:t>
      </w:r>
      <w:r w:rsidR="00E2315C">
        <w:rPr>
          <w:rFonts w:ascii="Times New Roman" w:hAnsi="Times New Roman"/>
          <w:szCs w:val="24"/>
          <w:lang w:val="bs-Latn-BA"/>
        </w:rPr>
        <w:t xml:space="preserve"> </w:t>
      </w:r>
      <w:r w:rsidR="003523B0" w:rsidRPr="003523B0">
        <w:rPr>
          <w:rFonts w:ascii="Times New Roman" w:hAnsi="Times New Roman"/>
          <w:szCs w:val="24"/>
          <w:lang w:val="sr-Cyrl-BA"/>
        </w:rPr>
        <w:t>ФИГАП</w:t>
      </w:r>
      <w:r w:rsidR="00E2315C">
        <w:rPr>
          <w:rFonts w:ascii="Times New Roman" w:hAnsi="Times New Roman"/>
          <w:szCs w:val="24"/>
          <w:lang w:val="bs-Latn-BA"/>
        </w:rPr>
        <w:t xml:space="preserve"> </w:t>
      </w:r>
      <w:r>
        <w:rPr>
          <w:rFonts w:ascii="Times New Roman" w:hAnsi="Times New Roman"/>
          <w:szCs w:val="24"/>
          <w:lang w:val="bs-Latn-BA"/>
        </w:rPr>
        <w:t>програма</w:t>
      </w:r>
      <w:r w:rsidR="00E2315C">
        <w:rPr>
          <w:rFonts w:ascii="Times New Roman" w:hAnsi="Times New Roman"/>
          <w:szCs w:val="24"/>
          <w:lang w:val="bs-Latn-BA"/>
        </w:rPr>
        <w:t xml:space="preserve"> </w:t>
      </w:r>
      <w:r>
        <w:rPr>
          <w:rFonts w:ascii="Times New Roman" w:hAnsi="Times New Roman"/>
          <w:szCs w:val="24"/>
          <w:lang w:val="bs-Latn-BA"/>
        </w:rPr>
        <w:t>на</w:t>
      </w:r>
      <w:r w:rsidR="00E2315C">
        <w:rPr>
          <w:rFonts w:ascii="Times New Roman" w:hAnsi="Times New Roman"/>
          <w:szCs w:val="24"/>
          <w:lang w:val="bs-Latn-BA"/>
        </w:rPr>
        <w:t xml:space="preserve"> </w:t>
      </w:r>
      <w:r>
        <w:rPr>
          <w:rFonts w:ascii="Times New Roman" w:hAnsi="Times New Roman"/>
          <w:szCs w:val="24"/>
          <w:lang w:val="bs-Latn-BA"/>
        </w:rPr>
        <w:t>начин</w:t>
      </w:r>
      <w:r w:rsidR="00E2315C">
        <w:rPr>
          <w:rFonts w:ascii="Times New Roman" w:hAnsi="Times New Roman"/>
          <w:szCs w:val="24"/>
          <w:lang w:val="bs-Latn-BA"/>
        </w:rPr>
        <w:t xml:space="preserve"> </w:t>
      </w:r>
      <w:r>
        <w:rPr>
          <w:rFonts w:ascii="Times New Roman" w:hAnsi="Times New Roman"/>
          <w:szCs w:val="24"/>
          <w:lang w:val="bs-Latn-BA"/>
        </w:rPr>
        <w:t>да</w:t>
      </w:r>
      <w:r w:rsidR="00E2315C">
        <w:rPr>
          <w:rFonts w:ascii="Times New Roman" w:hAnsi="Times New Roman"/>
          <w:szCs w:val="24"/>
          <w:lang w:val="bs-Latn-BA"/>
        </w:rPr>
        <w:t xml:space="preserve"> </w:t>
      </w:r>
      <w:r>
        <w:rPr>
          <w:rFonts w:ascii="Times New Roman" w:hAnsi="Times New Roman"/>
          <w:szCs w:val="24"/>
          <w:lang w:val="bs-Latn-BA"/>
        </w:rPr>
        <w:t>се</w:t>
      </w:r>
      <w:r w:rsidR="00E2315C">
        <w:rPr>
          <w:rFonts w:ascii="Times New Roman" w:hAnsi="Times New Roman"/>
          <w:szCs w:val="24"/>
          <w:lang w:val="bs-Latn-BA"/>
        </w:rPr>
        <w:t xml:space="preserve"> </w:t>
      </w:r>
      <w:r>
        <w:rPr>
          <w:rFonts w:ascii="Times New Roman" w:hAnsi="Times New Roman"/>
          <w:szCs w:val="24"/>
          <w:lang w:val="bs-Latn-BA"/>
        </w:rPr>
        <w:t>ради</w:t>
      </w:r>
      <w:r w:rsidR="00E2315C">
        <w:rPr>
          <w:rFonts w:ascii="Times New Roman" w:hAnsi="Times New Roman"/>
          <w:szCs w:val="24"/>
          <w:lang w:val="bs-Latn-BA"/>
        </w:rPr>
        <w:t xml:space="preserve"> </w:t>
      </w:r>
      <w:r>
        <w:rPr>
          <w:rFonts w:ascii="Times New Roman" w:hAnsi="Times New Roman"/>
          <w:szCs w:val="24"/>
          <w:lang w:val="bs-Latn-BA"/>
        </w:rPr>
        <w:t>о</w:t>
      </w:r>
      <w:r w:rsidR="00E2315C">
        <w:rPr>
          <w:rFonts w:ascii="Times New Roman" w:hAnsi="Times New Roman"/>
          <w:szCs w:val="24"/>
          <w:lang w:val="bs-Latn-BA"/>
        </w:rPr>
        <w:t xml:space="preserve"> „</w:t>
      </w:r>
      <w:r w:rsidR="009153B7" w:rsidRPr="009153B7">
        <w:rPr>
          <w:rFonts w:ascii="Times New Roman" w:hAnsi="Times New Roman"/>
          <w:i/>
          <w:szCs w:val="24"/>
          <w:lang w:val="bs-Latn-BA"/>
        </w:rPr>
        <w:t>G to G</w:t>
      </w:r>
      <w:r w:rsidR="004D7654">
        <w:rPr>
          <w:rFonts w:ascii="Times New Roman" w:hAnsi="Times New Roman"/>
          <w:szCs w:val="24"/>
          <w:lang w:val="bs-Latn-BA"/>
        </w:rPr>
        <w:t>“</w:t>
      </w:r>
      <w:r w:rsidR="00E2315C">
        <w:rPr>
          <w:rFonts w:ascii="Times New Roman" w:hAnsi="Times New Roman"/>
          <w:szCs w:val="24"/>
          <w:lang w:val="bs-Latn-BA"/>
        </w:rPr>
        <w:t xml:space="preserve"> </w:t>
      </w:r>
      <w:r w:rsidR="00E2315C" w:rsidRPr="00114C03">
        <w:rPr>
          <w:rFonts w:ascii="Times New Roman" w:hAnsi="Times New Roman"/>
          <w:szCs w:val="24"/>
          <w:lang w:val="bs-Latn-BA"/>
        </w:rPr>
        <w:t>(</w:t>
      </w:r>
      <w:r w:rsidR="00E2315C" w:rsidRPr="00114C03">
        <w:rPr>
          <w:rFonts w:ascii="Times New Roman" w:hAnsi="Times New Roman"/>
          <w:i/>
          <w:szCs w:val="24"/>
          <w:lang w:val="bs-Latn-BA"/>
        </w:rPr>
        <w:t>„</w:t>
      </w:r>
      <w:r w:rsidR="009153B7" w:rsidRPr="009153B7">
        <w:rPr>
          <w:rFonts w:ascii="Times New Roman" w:hAnsi="Times New Roman"/>
          <w:i/>
          <w:szCs w:val="24"/>
          <w:lang w:val="bs-Latn-BA"/>
        </w:rPr>
        <w:t>Government to Government</w:t>
      </w:r>
      <w:r w:rsidR="00E2315C" w:rsidRPr="00114C03">
        <w:rPr>
          <w:rFonts w:ascii="Times New Roman" w:hAnsi="Times New Roman"/>
          <w:i/>
          <w:szCs w:val="24"/>
          <w:lang w:val="bs-Latn-BA"/>
        </w:rPr>
        <w:t>“</w:t>
      </w:r>
      <w:r w:rsidR="00E2315C" w:rsidRPr="00114C03">
        <w:rPr>
          <w:rFonts w:ascii="Times New Roman" w:hAnsi="Times New Roman"/>
          <w:szCs w:val="24"/>
          <w:lang w:val="bs-Latn-BA"/>
        </w:rPr>
        <w:t>)</w:t>
      </w:r>
      <w:r w:rsidR="00E2315C">
        <w:rPr>
          <w:rFonts w:ascii="Times New Roman" w:hAnsi="Times New Roman"/>
          <w:szCs w:val="24"/>
          <w:lang w:val="bs-Latn-BA"/>
        </w:rPr>
        <w:t xml:space="preserve"> </w:t>
      </w:r>
      <w:r>
        <w:rPr>
          <w:rFonts w:ascii="Times New Roman" w:hAnsi="Times New Roman"/>
          <w:szCs w:val="24"/>
          <w:lang w:val="bs-Latn-BA"/>
        </w:rPr>
        <w:t>партнерском</w:t>
      </w:r>
      <w:r w:rsidR="00E2315C">
        <w:rPr>
          <w:rFonts w:ascii="Times New Roman" w:hAnsi="Times New Roman"/>
          <w:szCs w:val="24"/>
          <w:lang w:val="bs-Latn-BA"/>
        </w:rPr>
        <w:t xml:space="preserve"> </w:t>
      </w:r>
      <w:r>
        <w:rPr>
          <w:rFonts w:ascii="Times New Roman" w:hAnsi="Times New Roman"/>
          <w:szCs w:val="24"/>
          <w:lang w:val="bs-Latn-BA"/>
        </w:rPr>
        <w:t>споразуму</w:t>
      </w:r>
      <w:r w:rsidR="00E2315C">
        <w:rPr>
          <w:rFonts w:ascii="Times New Roman" w:hAnsi="Times New Roman"/>
          <w:szCs w:val="24"/>
          <w:lang w:val="bs-Latn-BA"/>
        </w:rPr>
        <w:t xml:space="preserve"> </w:t>
      </w:r>
      <w:r>
        <w:rPr>
          <w:rFonts w:ascii="Times New Roman" w:hAnsi="Times New Roman"/>
          <w:szCs w:val="24"/>
          <w:lang w:val="bs-Latn-BA"/>
        </w:rPr>
        <w:t>између</w:t>
      </w:r>
      <w:r w:rsidR="00E2315C">
        <w:rPr>
          <w:rFonts w:ascii="Times New Roman" w:hAnsi="Times New Roman"/>
          <w:szCs w:val="24"/>
          <w:lang w:val="bs-Latn-BA"/>
        </w:rPr>
        <w:t xml:space="preserve"> </w:t>
      </w:r>
      <w:r>
        <w:rPr>
          <w:rFonts w:ascii="Times New Roman" w:hAnsi="Times New Roman"/>
          <w:szCs w:val="24"/>
          <w:lang w:val="bs-Latn-BA"/>
        </w:rPr>
        <w:t>АР</w:t>
      </w:r>
      <w:r w:rsidR="009153B7">
        <w:rPr>
          <w:rFonts w:ascii="Times New Roman" w:hAnsi="Times New Roman"/>
          <w:szCs w:val="24"/>
          <w:lang w:val="sr-Cyrl-BA"/>
        </w:rPr>
        <w:t>П</w:t>
      </w:r>
      <w:r w:rsidR="00114C03">
        <w:rPr>
          <w:rFonts w:ascii="Times New Roman" w:hAnsi="Times New Roman"/>
          <w:szCs w:val="24"/>
          <w:lang w:val="bs-Latn-BA"/>
        </w:rPr>
        <w:t xml:space="preserve"> </w:t>
      </w:r>
      <w:r>
        <w:rPr>
          <w:rFonts w:ascii="Times New Roman" w:hAnsi="Times New Roman"/>
          <w:szCs w:val="24"/>
          <w:lang w:val="bs-Latn-BA"/>
        </w:rPr>
        <w:t>БиХ</w:t>
      </w:r>
      <w:r w:rsidR="00114C03">
        <w:rPr>
          <w:rFonts w:ascii="Times New Roman" w:hAnsi="Times New Roman"/>
          <w:szCs w:val="24"/>
          <w:lang w:val="bs-Latn-BA"/>
        </w:rPr>
        <w:t xml:space="preserve"> </w:t>
      </w:r>
      <w:r>
        <w:rPr>
          <w:rFonts w:ascii="Times New Roman" w:hAnsi="Times New Roman"/>
          <w:szCs w:val="24"/>
          <w:lang w:val="bs-Latn-BA"/>
        </w:rPr>
        <w:t>МЉПИ</w:t>
      </w:r>
      <w:r w:rsidR="00114C03">
        <w:rPr>
          <w:rFonts w:ascii="Times New Roman" w:hAnsi="Times New Roman"/>
          <w:szCs w:val="24"/>
          <w:lang w:val="bs-Latn-BA"/>
        </w:rPr>
        <w:t xml:space="preserve"> </w:t>
      </w:r>
      <w:r>
        <w:rPr>
          <w:rFonts w:ascii="Times New Roman" w:hAnsi="Times New Roman"/>
          <w:szCs w:val="24"/>
          <w:lang w:val="bs-Latn-BA"/>
        </w:rPr>
        <w:t>БиХ</w:t>
      </w:r>
      <w:r w:rsidR="00E2315C">
        <w:rPr>
          <w:rFonts w:ascii="Times New Roman" w:hAnsi="Times New Roman"/>
          <w:szCs w:val="24"/>
          <w:lang w:val="bs-Latn-BA"/>
        </w:rPr>
        <w:t xml:space="preserve"> </w:t>
      </w:r>
      <w:r>
        <w:rPr>
          <w:rFonts w:ascii="Times New Roman" w:hAnsi="Times New Roman"/>
          <w:szCs w:val="24"/>
          <w:lang w:val="bs-Latn-BA"/>
        </w:rPr>
        <w:t>и</w:t>
      </w:r>
      <w:r w:rsidR="00E2315C">
        <w:rPr>
          <w:rFonts w:ascii="Times New Roman" w:hAnsi="Times New Roman"/>
          <w:szCs w:val="24"/>
          <w:lang w:val="bs-Latn-BA"/>
        </w:rPr>
        <w:t xml:space="preserve"> </w:t>
      </w:r>
      <w:r>
        <w:rPr>
          <w:rFonts w:ascii="Times New Roman" w:hAnsi="Times New Roman"/>
          <w:szCs w:val="24"/>
          <w:lang w:val="bs-Latn-BA"/>
        </w:rPr>
        <w:t>Шведске</w:t>
      </w:r>
      <w:r w:rsidR="00E2315C">
        <w:rPr>
          <w:rFonts w:ascii="Times New Roman" w:hAnsi="Times New Roman"/>
          <w:szCs w:val="24"/>
          <w:lang w:val="bs-Latn-BA"/>
        </w:rPr>
        <w:t xml:space="preserve"> </w:t>
      </w:r>
      <w:r>
        <w:rPr>
          <w:rFonts w:ascii="Times New Roman" w:hAnsi="Times New Roman"/>
          <w:szCs w:val="24"/>
          <w:lang w:val="bs-Latn-BA"/>
        </w:rPr>
        <w:t>агенције</w:t>
      </w:r>
      <w:r w:rsidR="00E2315C">
        <w:rPr>
          <w:rFonts w:ascii="Times New Roman" w:hAnsi="Times New Roman"/>
          <w:szCs w:val="24"/>
          <w:lang w:val="bs-Latn-BA"/>
        </w:rPr>
        <w:t xml:space="preserve"> </w:t>
      </w:r>
      <w:r>
        <w:rPr>
          <w:rFonts w:ascii="Times New Roman" w:hAnsi="Times New Roman"/>
          <w:szCs w:val="24"/>
          <w:lang w:val="bs-Latn-BA"/>
        </w:rPr>
        <w:t>за</w:t>
      </w:r>
      <w:r w:rsidR="00E2315C">
        <w:rPr>
          <w:rFonts w:ascii="Times New Roman" w:hAnsi="Times New Roman"/>
          <w:szCs w:val="24"/>
          <w:lang w:val="bs-Latn-BA"/>
        </w:rPr>
        <w:t xml:space="preserve"> </w:t>
      </w:r>
      <w:r>
        <w:rPr>
          <w:rFonts w:ascii="Times New Roman" w:hAnsi="Times New Roman"/>
          <w:szCs w:val="24"/>
          <w:lang w:val="bs-Latn-BA"/>
        </w:rPr>
        <w:t>равноправност</w:t>
      </w:r>
      <w:r w:rsidR="00E2315C">
        <w:rPr>
          <w:rFonts w:ascii="Times New Roman" w:hAnsi="Times New Roman"/>
          <w:szCs w:val="24"/>
          <w:lang w:val="bs-Latn-BA"/>
        </w:rPr>
        <w:t xml:space="preserve"> </w:t>
      </w:r>
      <w:r>
        <w:rPr>
          <w:rFonts w:ascii="Times New Roman" w:hAnsi="Times New Roman"/>
          <w:szCs w:val="24"/>
          <w:lang w:val="bs-Latn-BA"/>
        </w:rPr>
        <w:t>полова</w:t>
      </w:r>
      <w:r w:rsidR="00E2315C">
        <w:rPr>
          <w:rFonts w:ascii="Times New Roman" w:hAnsi="Times New Roman"/>
          <w:szCs w:val="24"/>
          <w:lang w:val="bs-Latn-BA"/>
        </w:rPr>
        <w:t>.</w:t>
      </w:r>
      <w:r w:rsidR="001661F8" w:rsidRPr="00295637">
        <w:rPr>
          <w:rFonts w:ascii="Times New Roman" w:hAnsi="Times New Roman"/>
          <w:szCs w:val="24"/>
          <w:lang w:val="bs-Latn-BA"/>
        </w:rPr>
        <w:t xml:space="preserve"> </w:t>
      </w:r>
      <w:r>
        <w:rPr>
          <w:rFonts w:ascii="Times New Roman" w:hAnsi="Times New Roman"/>
          <w:szCs w:val="24"/>
          <w:lang w:val="bs-Latn-BA"/>
        </w:rPr>
        <w:t>Циљ</w:t>
      </w:r>
      <w:r w:rsidR="003A2F08" w:rsidRPr="00295637">
        <w:rPr>
          <w:rFonts w:ascii="Times New Roman" w:hAnsi="Times New Roman"/>
          <w:szCs w:val="24"/>
          <w:lang w:val="bs-Latn-BA"/>
        </w:rPr>
        <w:t xml:space="preserve"> </w:t>
      </w:r>
      <w:r>
        <w:rPr>
          <w:rFonts w:ascii="Times New Roman" w:hAnsi="Times New Roman"/>
          <w:szCs w:val="24"/>
          <w:lang w:val="bs-Latn-BA"/>
        </w:rPr>
        <w:t>програма</w:t>
      </w:r>
      <w:r w:rsidR="003A2F08" w:rsidRPr="00295637">
        <w:rPr>
          <w:rFonts w:ascii="Times New Roman" w:hAnsi="Times New Roman"/>
          <w:szCs w:val="24"/>
          <w:lang w:val="bs-Latn-BA"/>
        </w:rPr>
        <w:t xml:space="preserve"> </w:t>
      </w:r>
      <w:r>
        <w:rPr>
          <w:rFonts w:ascii="Times New Roman" w:hAnsi="Times New Roman"/>
          <w:szCs w:val="24"/>
          <w:lang w:val="bs-Latn-BA"/>
        </w:rPr>
        <w:t>је</w:t>
      </w:r>
      <w:r w:rsidR="003A2F08" w:rsidRPr="00295637">
        <w:rPr>
          <w:rFonts w:ascii="Times New Roman" w:hAnsi="Times New Roman"/>
          <w:szCs w:val="24"/>
          <w:lang w:val="bs-Latn-BA"/>
        </w:rPr>
        <w:t xml:space="preserve"> </w:t>
      </w:r>
      <w:r>
        <w:rPr>
          <w:rFonts w:ascii="Times New Roman" w:hAnsi="Times New Roman"/>
          <w:szCs w:val="24"/>
          <w:lang w:val="bs-Latn-BA"/>
        </w:rPr>
        <w:t>подржати</w:t>
      </w:r>
      <w:r w:rsidR="003A2F08" w:rsidRPr="00295637">
        <w:rPr>
          <w:rFonts w:ascii="Times New Roman" w:hAnsi="Times New Roman"/>
          <w:szCs w:val="24"/>
          <w:lang w:val="bs-Latn-BA"/>
        </w:rPr>
        <w:t xml:space="preserve"> </w:t>
      </w:r>
      <w:r>
        <w:rPr>
          <w:rFonts w:ascii="Times New Roman" w:hAnsi="Times New Roman"/>
          <w:szCs w:val="24"/>
          <w:lang w:val="bs-Latn-BA"/>
        </w:rPr>
        <w:t>развој</w:t>
      </w:r>
      <w:r w:rsidR="003A2F08" w:rsidRPr="00295637">
        <w:rPr>
          <w:rFonts w:ascii="Times New Roman" w:hAnsi="Times New Roman"/>
          <w:szCs w:val="24"/>
          <w:lang w:val="bs-Latn-BA"/>
        </w:rPr>
        <w:t xml:space="preserve"> </w:t>
      </w:r>
      <w:r>
        <w:rPr>
          <w:rFonts w:ascii="Times New Roman" w:hAnsi="Times New Roman"/>
          <w:szCs w:val="24"/>
          <w:lang w:val="bs-Latn-BA"/>
        </w:rPr>
        <w:t>капацитета</w:t>
      </w:r>
      <w:r w:rsidR="003A2F08" w:rsidRPr="00295637">
        <w:rPr>
          <w:rFonts w:ascii="Times New Roman" w:hAnsi="Times New Roman"/>
          <w:szCs w:val="24"/>
          <w:lang w:val="bs-Latn-BA"/>
        </w:rPr>
        <w:t xml:space="preserve"> </w:t>
      </w:r>
      <w:r>
        <w:rPr>
          <w:rFonts w:ascii="Times New Roman" w:hAnsi="Times New Roman"/>
          <w:szCs w:val="24"/>
          <w:lang w:val="bs-Latn-BA"/>
        </w:rPr>
        <w:t>и</w:t>
      </w:r>
      <w:r w:rsidR="003A2F08" w:rsidRPr="00295637">
        <w:rPr>
          <w:rFonts w:ascii="Times New Roman" w:hAnsi="Times New Roman"/>
          <w:szCs w:val="24"/>
          <w:lang w:val="bs-Latn-BA"/>
        </w:rPr>
        <w:t xml:space="preserve"> </w:t>
      </w:r>
      <w:r>
        <w:rPr>
          <w:rFonts w:ascii="Times New Roman" w:hAnsi="Times New Roman"/>
          <w:szCs w:val="24"/>
          <w:lang w:val="bs-Latn-BA"/>
        </w:rPr>
        <w:t>институционално</w:t>
      </w:r>
      <w:r w:rsidR="003A2F08" w:rsidRPr="00295637">
        <w:rPr>
          <w:rFonts w:ascii="Times New Roman" w:hAnsi="Times New Roman"/>
          <w:szCs w:val="24"/>
          <w:lang w:val="bs-Latn-BA"/>
        </w:rPr>
        <w:t xml:space="preserve"> </w:t>
      </w:r>
      <w:r>
        <w:rPr>
          <w:rFonts w:ascii="Times New Roman" w:hAnsi="Times New Roman"/>
          <w:szCs w:val="24"/>
          <w:lang w:val="bs-Latn-BA"/>
        </w:rPr>
        <w:t>јачање</w:t>
      </w:r>
      <w:r w:rsidR="003A2F08" w:rsidRPr="00295637">
        <w:rPr>
          <w:rFonts w:ascii="Times New Roman" w:hAnsi="Times New Roman"/>
          <w:szCs w:val="24"/>
          <w:lang w:val="bs-Latn-BA"/>
        </w:rPr>
        <w:t xml:space="preserve"> </w:t>
      </w:r>
      <w:r>
        <w:rPr>
          <w:rFonts w:ascii="Times New Roman" w:hAnsi="Times New Roman"/>
          <w:szCs w:val="24"/>
          <w:lang w:val="bs-Latn-BA"/>
        </w:rPr>
        <w:t>институционалних</w:t>
      </w:r>
      <w:r w:rsidR="00774DE1" w:rsidRPr="00295637">
        <w:rPr>
          <w:rFonts w:ascii="Times New Roman" w:hAnsi="Times New Roman"/>
          <w:szCs w:val="24"/>
          <w:lang w:val="bs-Latn-BA"/>
        </w:rPr>
        <w:t xml:space="preserve"> </w:t>
      </w:r>
      <w:r>
        <w:rPr>
          <w:rFonts w:ascii="Times New Roman" w:hAnsi="Times New Roman"/>
          <w:szCs w:val="24"/>
          <w:lang w:val="bs-Latn-BA"/>
        </w:rPr>
        <w:t>механизама</w:t>
      </w:r>
      <w:r w:rsidR="00774DE1" w:rsidRPr="00295637">
        <w:rPr>
          <w:rFonts w:ascii="Times New Roman" w:hAnsi="Times New Roman"/>
          <w:szCs w:val="24"/>
          <w:lang w:val="bs-Latn-BA"/>
        </w:rPr>
        <w:t xml:space="preserve"> </w:t>
      </w:r>
      <w:r>
        <w:rPr>
          <w:rFonts w:ascii="Times New Roman" w:hAnsi="Times New Roman"/>
          <w:szCs w:val="24"/>
          <w:lang w:val="bs-Latn-BA"/>
        </w:rPr>
        <w:t>за</w:t>
      </w:r>
      <w:r w:rsidR="00774DE1"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774DE1" w:rsidRPr="00295637">
        <w:rPr>
          <w:rFonts w:ascii="Times New Roman" w:hAnsi="Times New Roman"/>
          <w:szCs w:val="24"/>
          <w:lang w:val="bs-Latn-BA"/>
        </w:rPr>
        <w:t xml:space="preserve"> </w:t>
      </w:r>
      <w:r>
        <w:rPr>
          <w:rFonts w:ascii="Times New Roman" w:hAnsi="Times New Roman"/>
          <w:szCs w:val="24"/>
          <w:lang w:val="bs-Latn-BA"/>
        </w:rPr>
        <w:t>полова</w:t>
      </w:r>
      <w:r w:rsidR="00774DE1" w:rsidRPr="00295637">
        <w:rPr>
          <w:rFonts w:ascii="Times New Roman" w:hAnsi="Times New Roman"/>
          <w:szCs w:val="24"/>
          <w:lang w:val="bs-Latn-BA"/>
        </w:rPr>
        <w:t xml:space="preserve"> </w:t>
      </w:r>
      <w:r>
        <w:rPr>
          <w:rFonts w:ascii="Times New Roman" w:hAnsi="Times New Roman"/>
          <w:szCs w:val="24"/>
          <w:lang w:val="bs-Latn-BA"/>
        </w:rPr>
        <w:t>у</w:t>
      </w:r>
      <w:r w:rsidR="0098033A" w:rsidRPr="00295637">
        <w:rPr>
          <w:rFonts w:ascii="Times New Roman" w:hAnsi="Times New Roman"/>
          <w:szCs w:val="24"/>
          <w:lang w:val="bs-Latn-BA"/>
        </w:rPr>
        <w:t xml:space="preserve"> </w:t>
      </w:r>
      <w:r>
        <w:rPr>
          <w:rFonts w:ascii="Times New Roman" w:hAnsi="Times New Roman"/>
          <w:szCs w:val="24"/>
          <w:lang w:val="bs-Latn-BA"/>
        </w:rPr>
        <w:t>БиХ</w:t>
      </w:r>
      <w:r w:rsidR="003A2F08" w:rsidRPr="00295637">
        <w:rPr>
          <w:rFonts w:ascii="Times New Roman" w:hAnsi="Times New Roman"/>
          <w:szCs w:val="24"/>
          <w:lang w:val="bs-Latn-BA"/>
        </w:rPr>
        <w:t xml:space="preserve">, </w:t>
      </w:r>
      <w:r>
        <w:rPr>
          <w:rFonts w:ascii="Times New Roman" w:hAnsi="Times New Roman"/>
          <w:szCs w:val="24"/>
          <w:lang w:val="bs-Latn-BA"/>
        </w:rPr>
        <w:t>како</w:t>
      </w:r>
      <w:r w:rsidR="003A2F08" w:rsidRPr="00295637">
        <w:rPr>
          <w:rFonts w:ascii="Times New Roman" w:hAnsi="Times New Roman"/>
          <w:szCs w:val="24"/>
          <w:lang w:val="bs-Latn-BA"/>
        </w:rPr>
        <w:t xml:space="preserve"> </w:t>
      </w:r>
      <w:r>
        <w:rPr>
          <w:rFonts w:ascii="Times New Roman" w:hAnsi="Times New Roman"/>
          <w:szCs w:val="24"/>
          <w:lang w:val="bs-Latn-BA"/>
        </w:rPr>
        <w:t>би</w:t>
      </w:r>
      <w:r w:rsidR="003A2F08" w:rsidRPr="00295637">
        <w:rPr>
          <w:rFonts w:ascii="Times New Roman" w:hAnsi="Times New Roman"/>
          <w:szCs w:val="24"/>
          <w:lang w:val="bs-Latn-BA"/>
        </w:rPr>
        <w:t xml:space="preserve"> </w:t>
      </w:r>
      <w:r>
        <w:rPr>
          <w:rFonts w:ascii="Times New Roman" w:hAnsi="Times New Roman"/>
          <w:szCs w:val="24"/>
          <w:lang w:val="bs-Latn-BA"/>
        </w:rPr>
        <w:t>ефикасно</w:t>
      </w:r>
      <w:r w:rsidR="003A2F08" w:rsidRPr="00295637">
        <w:rPr>
          <w:rFonts w:ascii="Times New Roman" w:hAnsi="Times New Roman"/>
          <w:szCs w:val="24"/>
          <w:lang w:val="bs-Latn-BA"/>
        </w:rPr>
        <w:t xml:space="preserve"> </w:t>
      </w:r>
      <w:r>
        <w:rPr>
          <w:rFonts w:ascii="Times New Roman" w:hAnsi="Times New Roman"/>
          <w:szCs w:val="24"/>
          <w:lang w:val="bs-Latn-BA"/>
        </w:rPr>
        <w:t>испунили</w:t>
      </w:r>
      <w:r w:rsidR="003A2F08" w:rsidRPr="00295637">
        <w:rPr>
          <w:rFonts w:ascii="Times New Roman" w:hAnsi="Times New Roman"/>
          <w:szCs w:val="24"/>
          <w:lang w:val="bs-Latn-BA"/>
        </w:rPr>
        <w:t xml:space="preserve"> </w:t>
      </w:r>
      <w:r>
        <w:rPr>
          <w:rFonts w:ascii="Times New Roman" w:hAnsi="Times New Roman"/>
          <w:szCs w:val="24"/>
          <w:lang w:val="bs-Latn-BA"/>
        </w:rPr>
        <w:t>своје</w:t>
      </w:r>
      <w:r w:rsidR="003A2F08" w:rsidRPr="00295637">
        <w:rPr>
          <w:rFonts w:ascii="Times New Roman" w:hAnsi="Times New Roman"/>
          <w:szCs w:val="24"/>
          <w:lang w:val="bs-Latn-BA"/>
        </w:rPr>
        <w:t xml:space="preserve"> </w:t>
      </w:r>
      <w:r>
        <w:rPr>
          <w:rFonts w:ascii="Times New Roman" w:hAnsi="Times New Roman"/>
          <w:szCs w:val="24"/>
          <w:lang w:val="bs-Latn-BA"/>
        </w:rPr>
        <w:t>мандате</w:t>
      </w:r>
      <w:r w:rsidR="003A2F08" w:rsidRPr="00295637">
        <w:rPr>
          <w:rFonts w:ascii="Times New Roman" w:hAnsi="Times New Roman"/>
          <w:szCs w:val="24"/>
          <w:lang w:val="bs-Latn-BA"/>
        </w:rPr>
        <w:t xml:space="preserve"> </w:t>
      </w:r>
      <w:r>
        <w:rPr>
          <w:rFonts w:ascii="Times New Roman" w:hAnsi="Times New Roman"/>
          <w:szCs w:val="24"/>
          <w:lang w:val="bs-Latn-BA"/>
        </w:rPr>
        <w:t>за</w:t>
      </w:r>
      <w:r w:rsidR="003A2F08" w:rsidRPr="00295637">
        <w:rPr>
          <w:rFonts w:ascii="Times New Roman" w:hAnsi="Times New Roman"/>
          <w:szCs w:val="24"/>
          <w:lang w:val="bs-Latn-BA"/>
        </w:rPr>
        <w:t xml:space="preserve"> </w:t>
      </w:r>
      <w:r w:rsidR="009153B7">
        <w:rPr>
          <w:rFonts w:ascii="Times New Roman" w:hAnsi="Times New Roman"/>
          <w:szCs w:val="24"/>
          <w:lang w:val="sr-Cyrl-BA"/>
        </w:rPr>
        <w:t>спровођење</w:t>
      </w:r>
      <w:r w:rsidR="003A2F08" w:rsidRPr="00295637">
        <w:rPr>
          <w:rFonts w:ascii="Times New Roman" w:hAnsi="Times New Roman"/>
          <w:szCs w:val="24"/>
          <w:lang w:val="bs-Latn-BA"/>
        </w:rPr>
        <w:t xml:space="preserve"> </w:t>
      </w:r>
      <w:r>
        <w:rPr>
          <w:rFonts w:ascii="Times New Roman" w:hAnsi="Times New Roman"/>
          <w:szCs w:val="24"/>
          <w:lang w:val="bs-Latn-BA"/>
        </w:rPr>
        <w:t>ГАП</w:t>
      </w:r>
      <w:r w:rsidR="00774DE1" w:rsidRPr="00295637">
        <w:rPr>
          <w:rFonts w:ascii="Times New Roman" w:hAnsi="Times New Roman"/>
          <w:szCs w:val="24"/>
          <w:lang w:val="bs-Latn-BA"/>
        </w:rPr>
        <w:t xml:space="preserve"> </w:t>
      </w:r>
      <w:r>
        <w:rPr>
          <w:rFonts w:ascii="Times New Roman" w:hAnsi="Times New Roman"/>
          <w:szCs w:val="24"/>
          <w:lang w:val="bs-Latn-BA"/>
        </w:rPr>
        <w:t>и</w:t>
      </w:r>
      <w:r w:rsidR="00114C03">
        <w:rPr>
          <w:rFonts w:ascii="Times New Roman" w:hAnsi="Times New Roman"/>
          <w:szCs w:val="24"/>
          <w:lang w:val="bs-Latn-BA"/>
        </w:rPr>
        <w:t xml:space="preserve"> </w:t>
      </w:r>
      <w:r>
        <w:rPr>
          <w:rFonts w:ascii="Times New Roman" w:hAnsi="Times New Roman"/>
          <w:szCs w:val="24"/>
          <w:lang w:val="bs-Latn-BA"/>
        </w:rPr>
        <w:t>међународне</w:t>
      </w:r>
      <w:r w:rsidR="00114C03">
        <w:rPr>
          <w:rFonts w:ascii="Times New Roman" w:hAnsi="Times New Roman"/>
          <w:szCs w:val="24"/>
          <w:lang w:val="bs-Latn-BA"/>
        </w:rPr>
        <w:t xml:space="preserve"> </w:t>
      </w:r>
      <w:r>
        <w:rPr>
          <w:rFonts w:ascii="Times New Roman" w:hAnsi="Times New Roman"/>
          <w:szCs w:val="24"/>
          <w:lang w:val="bs-Latn-BA"/>
        </w:rPr>
        <w:t>обавезе</w:t>
      </w:r>
      <w:r w:rsidR="003A2F08" w:rsidRPr="00295637">
        <w:rPr>
          <w:rFonts w:ascii="Times New Roman" w:hAnsi="Times New Roman"/>
          <w:szCs w:val="24"/>
          <w:lang w:val="bs-Latn-BA"/>
        </w:rPr>
        <w:t xml:space="preserve"> </w:t>
      </w:r>
      <w:r>
        <w:rPr>
          <w:rFonts w:ascii="Times New Roman" w:hAnsi="Times New Roman"/>
          <w:szCs w:val="24"/>
          <w:lang w:val="bs-Latn-BA"/>
        </w:rPr>
        <w:t>према</w:t>
      </w:r>
      <w:r w:rsidR="003A2F08" w:rsidRPr="00295637">
        <w:rPr>
          <w:rFonts w:ascii="Times New Roman" w:hAnsi="Times New Roman"/>
          <w:szCs w:val="24"/>
          <w:lang w:val="bs-Latn-BA"/>
        </w:rPr>
        <w:t xml:space="preserve"> </w:t>
      </w:r>
      <w:r>
        <w:rPr>
          <w:rFonts w:ascii="Times New Roman" w:hAnsi="Times New Roman"/>
          <w:szCs w:val="24"/>
          <w:lang w:val="bs-Latn-BA"/>
        </w:rPr>
        <w:t>међународним</w:t>
      </w:r>
      <w:r w:rsidR="003A2F08" w:rsidRPr="00295637">
        <w:rPr>
          <w:rFonts w:ascii="Times New Roman" w:hAnsi="Times New Roman"/>
          <w:szCs w:val="24"/>
          <w:lang w:val="bs-Latn-BA"/>
        </w:rPr>
        <w:t xml:space="preserve"> </w:t>
      </w:r>
      <w:r>
        <w:rPr>
          <w:rFonts w:ascii="Times New Roman" w:hAnsi="Times New Roman"/>
          <w:szCs w:val="24"/>
          <w:lang w:val="bs-Latn-BA"/>
        </w:rPr>
        <w:t>стандардима</w:t>
      </w:r>
      <w:r w:rsidR="003A2F08" w:rsidRPr="00295637">
        <w:rPr>
          <w:rFonts w:ascii="Times New Roman" w:hAnsi="Times New Roman"/>
          <w:szCs w:val="24"/>
          <w:lang w:val="bs-Latn-BA"/>
        </w:rPr>
        <w:t xml:space="preserve">. </w:t>
      </w:r>
    </w:p>
    <w:p w:rsidR="001C031D" w:rsidRPr="00295637" w:rsidRDefault="001C031D" w:rsidP="0086268D">
      <w:pPr>
        <w:rPr>
          <w:szCs w:val="24"/>
          <w:lang w:val="bs-Latn-BA"/>
        </w:rPr>
      </w:pPr>
    </w:p>
    <w:p w:rsidR="00130DDF" w:rsidRPr="00295637" w:rsidRDefault="009153B7" w:rsidP="009A60B0">
      <w:pPr>
        <w:pStyle w:val="Heading4"/>
        <w:numPr>
          <w:ilvl w:val="0"/>
          <w:numId w:val="0"/>
        </w:numPr>
        <w:spacing w:after="0" w:line="240" w:lineRule="auto"/>
        <w:ind w:left="567"/>
        <w:rPr>
          <w:rFonts w:ascii="Times New Roman" w:hAnsi="Times New Roman" w:cs="Times New Roman"/>
          <w:b w:val="0"/>
          <w:lang w:val="bs-Latn-BA"/>
        </w:rPr>
      </w:pPr>
      <w:r w:rsidRPr="009153B7">
        <w:rPr>
          <w:rFonts w:ascii="Times New Roman" w:hAnsi="Times New Roman" w:cs="Times New Roman"/>
          <w:b w:val="0"/>
          <w:lang w:val="bs-Latn-BA"/>
        </w:rPr>
        <w:t>II</w:t>
      </w:r>
      <w:r w:rsidR="009A60B0">
        <w:rPr>
          <w:rFonts w:ascii="Times New Roman" w:hAnsi="Times New Roman" w:cs="Times New Roman"/>
          <w:b w:val="0"/>
          <w:lang w:val="bs-Latn-BA"/>
        </w:rPr>
        <w:t xml:space="preserve"> 3.5. </w:t>
      </w:r>
      <w:r w:rsidR="00C6214E">
        <w:rPr>
          <w:rFonts w:ascii="Times New Roman" w:hAnsi="Times New Roman" w:cs="Times New Roman"/>
          <w:b w:val="0"/>
          <w:lang w:val="bs-Latn-BA"/>
        </w:rPr>
        <w:t>Подршка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раду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постојећих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успостављању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нових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институционалних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механизама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нивоу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Брчко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Дистрикта</w:t>
      </w:r>
      <w:r w:rsidR="006A071B"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БиХ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кантоналом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локалном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нивоу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организације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власти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9A60B0">
        <w:rPr>
          <w:rFonts w:ascii="Times New Roman" w:hAnsi="Times New Roman" w:cs="Times New Roman"/>
          <w:b w:val="0"/>
          <w:lang w:val="bs-Latn-BA"/>
        </w:rPr>
        <w:t xml:space="preserve"> </w:t>
      </w:r>
      <w:r w:rsidR="00C6214E">
        <w:rPr>
          <w:rFonts w:ascii="Times New Roman" w:hAnsi="Times New Roman" w:cs="Times New Roman"/>
          <w:b w:val="0"/>
          <w:lang w:val="bs-Latn-BA"/>
        </w:rPr>
        <w:t>БиХ</w:t>
      </w:r>
      <w:r w:rsidR="00356C2C" w:rsidRPr="00295637">
        <w:rPr>
          <w:rFonts w:ascii="Times New Roman" w:hAnsi="Times New Roman" w:cs="Times New Roman"/>
          <w:b w:val="0"/>
          <w:lang w:val="bs-Latn-BA"/>
        </w:rPr>
        <w:t>.</w:t>
      </w:r>
    </w:p>
    <w:p w:rsidR="008D5B88" w:rsidRPr="00295637" w:rsidRDefault="008D5B88" w:rsidP="0086268D">
      <w:pPr>
        <w:pStyle w:val="Tekst"/>
        <w:spacing w:before="0"/>
        <w:rPr>
          <w:rFonts w:ascii="Gill Sans MT" w:hAnsi="Gill Sans MT"/>
          <w:sz w:val="24"/>
          <w:lang w:val="bs-Latn-BA"/>
        </w:rPr>
      </w:pPr>
    </w:p>
    <w:p w:rsidR="003A2F08" w:rsidRPr="00295637" w:rsidRDefault="00C6214E" w:rsidP="0086268D">
      <w:pPr>
        <w:pStyle w:val="Tekst"/>
        <w:spacing w:before="0"/>
        <w:rPr>
          <w:rFonts w:ascii="Times New Roman" w:hAnsi="Times New Roman"/>
          <w:sz w:val="24"/>
          <w:lang w:val="bs-Latn-BA"/>
        </w:rPr>
      </w:pPr>
      <w:r>
        <w:rPr>
          <w:rFonts w:ascii="Times New Roman" w:hAnsi="Times New Roman"/>
          <w:sz w:val="24"/>
          <w:lang w:val="bs-Latn-BA"/>
        </w:rPr>
        <w:t>ГЦ</w:t>
      </w:r>
      <w:r w:rsidR="00114C03">
        <w:rPr>
          <w:rFonts w:ascii="Times New Roman" w:hAnsi="Times New Roman"/>
          <w:sz w:val="24"/>
          <w:lang w:val="bs-Latn-BA"/>
        </w:rPr>
        <w:t xml:space="preserve"> </w:t>
      </w:r>
      <w:r>
        <w:rPr>
          <w:rFonts w:ascii="Times New Roman" w:hAnsi="Times New Roman"/>
          <w:sz w:val="24"/>
          <w:lang w:val="bs-Latn-BA"/>
        </w:rPr>
        <w:t>ФБиХ</w:t>
      </w:r>
      <w:r w:rsidR="008D5B88" w:rsidRPr="00295637">
        <w:rPr>
          <w:rFonts w:ascii="Times New Roman" w:hAnsi="Times New Roman"/>
          <w:sz w:val="24"/>
          <w:lang w:val="bs-Latn-BA"/>
        </w:rPr>
        <w:t xml:space="preserve"> </w:t>
      </w:r>
      <w:r w:rsidR="009153B7">
        <w:rPr>
          <w:rFonts w:ascii="Times New Roman" w:hAnsi="Times New Roman"/>
          <w:sz w:val="24"/>
          <w:lang w:val="bs-Latn-BA"/>
        </w:rPr>
        <w:t xml:space="preserve">је </w:t>
      </w:r>
      <w:r>
        <w:rPr>
          <w:rFonts w:ascii="Times New Roman" w:hAnsi="Times New Roman"/>
          <w:sz w:val="24"/>
          <w:lang w:val="bs-Latn-BA"/>
        </w:rPr>
        <w:t>реализ</w:t>
      </w:r>
      <w:r w:rsidR="009153B7">
        <w:rPr>
          <w:rFonts w:ascii="Times New Roman" w:hAnsi="Times New Roman"/>
          <w:sz w:val="24"/>
          <w:lang w:val="sr-Cyrl-BA"/>
        </w:rPr>
        <w:t>овао</w:t>
      </w:r>
      <w:r w:rsidR="00E23CE5">
        <w:rPr>
          <w:rFonts w:ascii="Times New Roman" w:hAnsi="Times New Roman"/>
          <w:sz w:val="24"/>
          <w:lang w:val="bs-Latn-BA"/>
        </w:rPr>
        <w:t xml:space="preserve"> </w:t>
      </w:r>
      <w:r>
        <w:rPr>
          <w:rFonts w:ascii="Times New Roman" w:hAnsi="Times New Roman"/>
          <w:sz w:val="24"/>
          <w:lang w:val="bs-Latn-BA"/>
        </w:rPr>
        <w:t>велики</w:t>
      </w:r>
      <w:r w:rsidR="00E23CE5">
        <w:rPr>
          <w:rFonts w:ascii="Times New Roman" w:hAnsi="Times New Roman"/>
          <w:sz w:val="24"/>
          <w:lang w:val="bs-Latn-BA"/>
        </w:rPr>
        <w:t xml:space="preserve"> </w:t>
      </w:r>
      <w:r>
        <w:rPr>
          <w:rFonts w:ascii="Times New Roman" w:hAnsi="Times New Roman"/>
          <w:sz w:val="24"/>
          <w:lang w:val="bs-Latn-BA"/>
        </w:rPr>
        <w:t>број</w:t>
      </w:r>
      <w:r w:rsidR="00E23CE5">
        <w:rPr>
          <w:rFonts w:ascii="Times New Roman" w:hAnsi="Times New Roman"/>
          <w:sz w:val="24"/>
          <w:lang w:val="bs-Latn-BA"/>
        </w:rPr>
        <w:t xml:space="preserve"> </w:t>
      </w:r>
      <w:r>
        <w:rPr>
          <w:rFonts w:ascii="Times New Roman" w:hAnsi="Times New Roman"/>
          <w:sz w:val="24"/>
          <w:lang w:val="bs-Latn-BA"/>
        </w:rPr>
        <w:t>догађаја</w:t>
      </w:r>
      <w:r w:rsidR="00E23CE5">
        <w:rPr>
          <w:rFonts w:ascii="Times New Roman" w:hAnsi="Times New Roman"/>
          <w:sz w:val="24"/>
          <w:lang w:val="bs-Latn-BA"/>
        </w:rPr>
        <w:t xml:space="preserve">, </w:t>
      </w:r>
      <w:r>
        <w:rPr>
          <w:rFonts w:ascii="Times New Roman" w:hAnsi="Times New Roman"/>
          <w:sz w:val="24"/>
          <w:lang w:val="bs-Latn-BA"/>
        </w:rPr>
        <w:t>подржано</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15 </w:t>
      </w:r>
      <w:r>
        <w:rPr>
          <w:rFonts w:ascii="Times New Roman" w:hAnsi="Times New Roman"/>
          <w:sz w:val="24"/>
          <w:lang w:val="bs-Latn-BA"/>
        </w:rPr>
        <w:t>пројеката</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w:t>
      </w:r>
      <w:r>
        <w:rPr>
          <w:rFonts w:ascii="Times New Roman" w:hAnsi="Times New Roman"/>
          <w:sz w:val="24"/>
          <w:lang w:val="bs-Latn-BA"/>
        </w:rPr>
        <w:t>свих</w:t>
      </w:r>
      <w:r w:rsidR="003A2F08" w:rsidRPr="00295637">
        <w:rPr>
          <w:rFonts w:ascii="Times New Roman" w:hAnsi="Times New Roman"/>
          <w:sz w:val="24"/>
          <w:lang w:val="bs-Latn-BA"/>
        </w:rPr>
        <w:t xml:space="preserve"> </w:t>
      </w:r>
      <w:r>
        <w:rPr>
          <w:rFonts w:ascii="Times New Roman" w:hAnsi="Times New Roman"/>
          <w:sz w:val="24"/>
          <w:lang w:val="bs-Latn-BA"/>
        </w:rPr>
        <w:t>десет</w:t>
      </w:r>
      <w:r w:rsidR="003A2F08" w:rsidRPr="00295637">
        <w:rPr>
          <w:rFonts w:ascii="Times New Roman" w:hAnsi="Times New Roman"/>
          <w:sz w:val="24"/>
          <w:lang w:val="bs-Latn-BA"/>
        </w:rPr>
        <w:t xml:space="preserve"> </w:t>
      </w:r>
      <w:r>
        <w:rPr>
          <w:rFonts w:ascii="Times New Roman" w:hAnsi="Times New Roman"/>
          <w:sz w:val="24"/>
          <w:lang w:val="bs-Latn-BA"/>
        </w:rPr>
        <w:t>кантона</w:t>
      </w:r>
      <w:r w:rsidR="00114C03">
        <w:rPr>
          <w:rFonts w:ascii="Times New Roman" w:hAnsi="Times New Roman"/>
          <w:sz w:val="24"/>
          <w:lang w:val="bs-Latn-BA"/>
        </w:rPr>
        <w:t xml:space="preserve"> </w:t>
      </w:r>
      <w:r>
        <w:rPr>
          <w:rFonts w:ascii="Times New Roman" w:hAnsi="Times New Roman"/>
          <w:sz w:val="24"/>
          <w:lang w:val="bs-Latn-BA"/>
        </w:rPr>
        <w:t>и</w:t>
      </w:r>
      <w:r w:rsidR="00114C03">
        <w:rPr>
          <w:rFonts w:ascii="Times New Roman" w:hAnsi="Times New Roman"/>
          <w:sz w:val="24"/>
          <w:lang w:val="bs-Latn-BA"/>
        </w:rPr>
        <w:t xml:space="preserve"> </w:t>
      </w:r>
      <w:r>
        <w:rPr>
          <w:rFonts w:ascii="Times New Roman" w:hAnsi="Times New Roman"/>
          <w:sz w:val="24"/>
          <w:lang w:val="bs-Latn-BA"/>
        </w:rPr>
        <w:t>пет</w:t>
      </w:r>
      <w:r w:rsidR="00114C03">
        <w:rPr>
          <w:rFonts w:ascii="Times New Roman" w:hAnsi="Times New Roman"/>
          <w:sz w:val="24"/>
          <w:lang w:val="bs-Latn-BA"/>
        </w:rPr>
        <w:t xml:space="preserve"> </w:t>
      </w:r>
      <w:r>
        <w:rPr>
          <w:rFonts w:ascii="Times New Roman" w:hAnsi="Times New Roman"/>
          <w:sz w:val="24"/>
          <w:lang w:val="bs-Latn-BA"/>
        </w:rPr>
        <w:t>одабраних</w:t>
      </w:r>
      <w:r w:rsidR="00114C03">
        <w:rPr>
          <w:rFonts w:ascii="Times New Roman" w:hAnsi="Times New Roman"/>
          <w:sz w:val="24"/>
          <w:lang w:val="bs-Latn-BA"/>
        </w:rPr>
        <w:t xml:space="preserve"> </w:t>
      </w:r>
      <w:r>
        <w:rPr>
          <w:rFonts w:ascii="Times New Roman" w:hAnsi="Times New Roman"/>
          <w:sz w:val="24"/>
          <w:lang w:val="bs-Latn-BA"/>
        </w:rPr>
        <w:t>оп</w:t>
      </w:r>
      <w:r w:rsidR="009153B7">
        <w:rPr>
          <w:rFonts w:ascii="Times New Roman" w:hAnsi="Times New Roman"/>
          <w:sz w:val="24"/>
          <w:lang w:val="sr-Cyrl-BA"/>
        </w:rPr>
        <w:t>шт</w:t>
      </w:r>
      <w:r>
        <w:rPr>
          <w:rFonts w:ascii="Times New Roman" w:hAnsi="Times New Roman"/>
          <w:sz w:val="24"/>
          <w:lang w:val="bs-Latn-BA"/>
        </w:rPr>
        <w:t>ина</w:t>
      </w:r>
      <w:r w:rsidR="00114C03">
        <w:rPr>
          <w:rFonts w:ascii="Times New Roman" w:hAnsi="Times New Roman"/>
          <w:sz w:val="24"/>
          <w:lang w:val="bs-Latn-BA"/>
        </w:rPr>
        <w:t>.</w:t>
      </w:r>
      <w:r w:rsidR="003A2F08" w:rsidRPr="00295637">
        <w:rPr>
          <w:rFonts w:ascii="Times New Roman" w:hAnsi="Times New Roman"/>
          <w:sz w:val="24"/>
          <w:lang w:val="bs-Latn-BA"/>
        </w:rPr>
        <w:t xml:space="preserve"> </w:t>
      </w:r>
      <w:r>
        <w:rPr>
          <w:rFonts w:ascii="Times New Roman" w:hAnsi="Times New Roman"/>
          <w:sz w:val="24"/>
          <w:lang w:val="bs-Latn-BA"/>
        </w:rPr>
        <w:t>ГЦ</w:t>
      </w:r>
      <w:r w:rsidR="00114C03">
        <w:rPr>
          <w:rFonts w:ascii="Times New Roman" w:hAnsi="Times New Roman"/>
          <w:sz w:val="24"/>
          <w:lang w:val="bs-Latn-BA"/>
        </w:rPr>
        <w:t xml:space="preserve"> </w:t>
      </w:r>
      <w:r>
        <w:rPr>
          <w:rFonts w:ascii="Times New Roman" w:hAnsi="Times New Roman"/>
          <w:sz w:val="24"/>
          <w:lang w:val="bs-Latn-BA"/>
        </w:rPr>
        <w:t>ФБиХ</w:t>
      </w:r>
      <w:r w:rsidR="003A2F08" w:rsidRPr="00295637">
        <w:rPr>
          <w:rFonts w:ascii="Times New Roman" w:hAnsi="Times New Roman"/>
          <w:sz w:val="24"/>
          <w:lang w:val="bs-Latn-BA"/>
        </w:rPr>
        <w:t xml:space="preserve"> </w:t>
      </w:r>
      <w:r>
        <w:rPr>
          <w:rFonts w:ascii="Times New Roman" w:hAnsi="Times New Roman"/>
          <w:sz w:val="24"/>
          <w:lang w:val="bs-Latn-BA"/>
        </w:rPr>
        <w:t>је</w:t>
      </w:r>
      <w:r w:rsidR="001C031D" w:rsidRPr="00295637">
        <w:rPr>
          <w:rFonts w:ascii="Times New Roman" w:hAnsi="Times New Roman"/>
          <w:sz w:val="24"/>
          <w:lang w:val="bs-Latn-BA"/>
        </w:rPr>
        <w:t xml:space="preserve"> </w:t>
      </w:r>
      <w:r>
        <w:rPr>
          <w:rFonts w:ascii="Times New Roman" w:hAnsi="Times New Roman"/>
          <w:sz w:val="24"/>
          <w:lang w:val="bs-Latn-BA"/>
        </w:rPr>
        <w:t>иницирао</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подржао</w:t>
      </w:r>
      <w:r w:rsidR="003A2F08" w:rsidRPr="00295637">
        <w:rPr>
          <w:rFonts w:ascii="Times New Roman" w:hAnsi="Times New Roman"/>
          <w:sz w:val="24"/>
          <w:lang w:val="bs-Latn-BA"/>
        </w:rPr>
        <w:t xml:space="preserve"> </w:t>
      </w:r>
      <w:r>
        <w:rPr>
          <w:rFonts w:ascii="Times New Roman" w:hAnsi="Times New Roman"/>
          <w:sz w:val="24"/>
          <w:lang w:val="bs-Latn-BA"/>
        </w:rPr>
        <w:t>континуиран</w:t>
      </w:r>
      <w:r w:rsidR="009153B7">
        <w:rPr>
          <w:rFonts w:ascii="Times New Roman" w:hAnsi="Times New Roman"/>
          <w:sz w:val="24"/>
          <w:lang w:val="sr-Cyrl-BA"/>
        </w:rPr>
        <w:t>о</w:t>
      </w:r>
      <w:r w:rsidR="003A2F08" w:rsidRPr="00295637">
        <w:rPr>
          <w:rFonts w:ascii="Times New Roman" w:hAnsi="Times New Roman"/>
          <w:sz w:val="24"/>
          <w:lang w:val="bs-Latn-BA"/>
        </w:rPr>
        <w:t xml:space="preserve"> </w:t>
      </w:r>
      <w:r w:rsidR="009153B7">
        <w:rPr>
          <w:rFonts w:ascii="Times New Roman" w:hAnsi="Times New Roman"/>
          <w:sz w:val="24"/>
          <w:lang w:val="sr-Cyrl-BA"/>
        </w:rPr>
        <w:t>спровођење</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w:t>
      </w:r>
      <w:r w:rsidR="003A2F08" w:rsidRPr="00295637">
        <w:rPr>
          <w:rFonts w:ascii="Times New Roman" w:hAnsi="Times New Roman"/>
          <w:bCs/>
          <w:sz w:val="24"/>
          <w:lang w:val="bs-Latn-BA"/>
        </w:rPr>
        <w:t xml:space="preserve">6 </w:t>
      </w:r>
      <w:r>
        <w:rPr>
          <w:rFonts w:ascii="Times New Roman" w:hAnsi="Times New Roman"/>
          <w:bCs/>
          <w:sz w:val="24"/>
          <w:lang w:val="bs-Latn-BA"/>
        </w:rPr>
        <w:t>кантоналних</w:t>
      </w:r>
      <w:r w:rsidR="003A2F08" w:rsidRPr="00295637">
        <w:rPr>
          <w:rFonts w:ascii="Times New Roman" w:hAnsi="Times New Roman"/>
          <w:sz w:val="24"/>
          <w:lang w:val="bs-Latn-BA"/>
        </w:rPr>
        <w:t xml:space="preserve"> </w:t>
      </w:r>
      <w:r>
        <w:rPr>
          <w:rFonts w:ascii="Times New Roman" w:hAnsi="Times New Roman"/>
          <w:bCs/>
          <w:sz w:val="24"/>
          <w:lang w:val="bs-Latn-BA"/>
        </w:rPr>
        <w:t>ГАП</w:t>
      </w:r>
      <w:r w:rsidR="00114C03">
        <w:rPr>
          <w:rFonts w:ascii="Times New Roman" w:hAnsi="Times New Roman"/>
          <w:bCs/>
          <w:sz w:val="24"/>
          <w:lang w:val="bs-Latn-BA"/>
        </w:rPr>
        <w:t>-</w:t>
      </w:r>
      <w:r>
        <w:rPr>
          <w:rFonts w:ascii="Times New Roman" w:hAnsi="Times New Roman"/>
          <w:bCs/>
          <w:sz w:val="24"/>
          <w:lang w:val="bs-Latn-BA"/>
        </w:rPr>
        <w:t>ова</w:t>
      </w:r>
      <w:r w:rsidR="003A2F08" w:rsidRPr="00295637">
        <w:rPr>
          <w:rFonts w:ascii="Times New Roman" w:hAnsi="Times New Roman"/>
          <w:bCs/>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нови</w:t>
      </w:r>
      <w:r w:rsidR="003A2F08" w:rsidRPr="00295637">
        <w:rPr>
          <w:rFonts w:ascii="Times New Roman" w:hAnsi="Times New Roman"/>
          <w:sz w:val="24"/>
          <w:lang w:val="bs-Latn-BA"/>
        </w:rPr>
        <w:t xml:space="preserve"> </w:t>
      </w:r>
      <w:r>
        <w:rPr>
          <w:rFonts w:ascii="Times New Roman" w:hAnsi="Times New Roman"/>
          <w:bCs/>
          <w:sz w:val="24"/>
          <w:lang w:val="bs-Latn-BA"/>
        </w:rPr>
        <w:t>ГАП</w:t>
      </w:r>
      <w:r w:rsidR="003A2F08" w:rsidRPr="00295637">
        <w:rPr>
          <w:rFonts w:ascii="Times New Roman" w:hAnsi="Times New Roman"/>
          <w:bCs/>
          <w:sz w:val="24"/>
          <w:lang w:val="bs-Latn-BA"/>
        </w:rPr>
        <w:t xml:space="preserve"> </w:t>
      </w:r>
      <w:r>
        <w:rPr>
          <w:rFonts w:ascii="Times New Roman" w:hAnsi="Times New Roman"/>
          <w:bCs/>
          <w:sz w:val="24"/>
          <w:lang w:val="bs-Latn-BA"/>
        </w:rPr>
        <w:t>у</w:t>
      </w:r>
      <w:r w:rsidR="003A2F08" w:rsidRPr="00295637">
        <w:rPr>
          <w:rFonts w:ascii="Times New Roman" w:hAnsi="Times New Roman"/>
          <w:bCs/>
          <w:sz w:val="24"/>
          <w:lang w:val="bs-Latn-BA"/>
        </w:rPr>
        <w:t xml:space="preserve"> </w:t>
      </w:r>
      <w:r>
        <w:rPr>
          <w:rFonts w:ascii="Times New Roman" w:hAnsi="Times New Roman"/>
          <w:bCs/>
          <w:sz w:val="24"/>
          <w:lang w:val="bs-Latn-BA"/>
        </w:rPr>
        <w:t>Посавском</w:t>
      </w:r>
      <w:r w:rsidR="003A2F08" w:rsidRPr="00295637">
        <w:rPr>
          <w:rFonts w:ascii="Times New Roman" w:hAnsi="Times New Roman"/>
          <w:bCs/>
          <w:sz w:val="24"/>
          <w:lang w:val="bs-Latn-BA"/>
        </w:rPr>
        <w:t xml:space="preserve"> </w:t>
      </w:r>
      <w:r>
        <w:rPr>
          <w:rFonts w:ascii="Times New Roman" w:hAnsi="Times New Roman"/>
          <w:bCs/>
          <w:sz w:val="24"/>
          <w:lang w:val="bs-Latn-BA"/>
        </w:rPr>
        <w:t>кантону</w:t>
      </w:r>
      <w:r w:rsidR="003A2F08" w:rsidRPr="00295637">
        <w:rPr>
          <w:rFonts w:ascii="Times New Roman" w:hAnsi="Times New Roman"/>
          <w:bCs/>
          <w:sz w:val="24"/>
          <w:lang w:val="bs-Latn-BA"/>
        </w:rPr>
        <w:t xml:space="preserve"> </w:t>
      </w:r>
      <w:r>
        <w:rPr>
          <w:rFonts w:ascii="Times New Roman" w:hAnsi="Times New Roman"/>
          <w:bCs/>
          <w:sz w:val="24"/>
          <w:lang w:val="bs-Latn-BA"/>
        </w:rPr>
        <w:t>за</w:t>
      </w:r>
      <w:r w:rsidR="003A2F08" w:rsidRPr="00295637">
        <w:rPr>
          <w:rFonts w:ascii="Times New Roman" w:hAnsi="Times New Roman"/>
          <w:bCs/>
          <w:sz w:val="24"/>
          <w:lang w:val="bs-Latn-BA"/>
        </w:rPr>
        <w:t xml:space="preserve"> </w:t>
      </w:r>
      <w:r>
        <w:rPr>
          <w:rFonts w:ascii="Times New Roman" w:hAnsi="Times New Roman"/>
          <w:bCs/>
          <w:sz w:val="24"/>
          <w:lang w:val="bs-Latn-BA"/>
        </w:rPr>
        <w:t>период</w:t>
      </w:r>
      <w:r w:rsidR="003A2F08" w:rsidRPr="00295637">
        <w:rPr>
          <w:rFonts w:ascii="Times New Roman" w:hAnsi="Times New Roman"/>
          <w:bCs/>
          <w:sz w:val="24"/>
          <w:lang w:val="bs-Latn-BA"/>
        </w:rPr>
        <w:t xml:space="preserve"> 2024-2027</w:t>
      </w:r>
      <w:r w:rsidR="00114C03">
        <w:rPr>
          <w:rFonts w:ascii="Times New Roman" w:hAnsi="Times New Roman"/>
          <w:bCs/>
          <w:sz w:val="24"/>
          <w:lang w:val="bs-Latn-BA"/>
        </w:rPr>
        <w:t>.</w:t>
      </w:r>
      <w:r w:rsidR="003A2F08" w:rsidRPr="00295637">
        <w:rPr>
          <w:rFonts w:ascii="Times New Roman" w:hAnsi="Times New Roman"/>
          <w:bCs/>
          <w:sz w:val="24"/>
          <w:lang w:val="bs-Latn-BA"/>
        </w:rPr>
        <w:t xml:space="preserve"> </w:t>
      </w:r>
      <w:r>
        <w:rPr>
          <w:rFonts w:ascii="Times New Roman" w:hAnsi="Times New Roman"/>
          <w:bCs/>
          <w:sz w:val="24"/>
          <w:lang w:val="bs-Latn-BA"/>
        </w:rPr>
        <w:t>година</w:t>
      </w:r>
      <w:r w:rsidR="003A2F08" w:rsidRPr="00295637">
        <w:rPr>
          <w:rFonts w:ascii="Times New Roman" w:hAnsi="Times New Roman"/>
          <w:bCs/>
          <w:sz w:val="24"/>
          <w:lang w:val="bs-Latn-BA"/>
        </w:rPr>
        <w:t>.</w:t>
      </w:r>
      <w:r w:rsidR="003A2F08" w:rsidRPr="00295637">
        <w:rPr>
          <w:rFonts w:ascii="Times New Roman" w:hAnsi="Times New Roman"/>
          <w:sz w:val="24"/>
          <w:lang w:val="bs-Latn-BA"/>
        </w:rPr>
        <w:t xml:space="preserve"> </w:t>
      </w:r>
      <w:r>
        <w:rPr>
          <w:rFonts w:ascii="Times New Roman" w:hAnsi="Times New Roman"/>
          <w:sz w:val="24"/>
          <w:lang w:val="bs-Latn-BA"/>
        </w:rPr>
        <w:t>Активности</w:t>
      </w:r>
      <w:r w:rsidR="00E2315C">
        <w:rPr>
          <w:rFonts w:ascii="Times New Roman" w:hAnsi="Times New Roman"/>
          <w:sz w:val="24"/>
          <w:lang w:val="bs-Latn-BA"/>
        </w:rPr>
        <w:t xml:space="preserve"> </w:t>
      </w:r>
      <w:r>
        <w:rPr>
          <w:rFonts w:ascii="Times New Roman" w:hAnsi="Times New Roman"/>
          <w:sz w:val="24"/>
          <w:lang w:val="bs-Latn-BA"/>
        </w:rPr>
        <w:t>су</w:t>
      </w:r>
      <w:r w:rsidR="00E2315C">
        <w:rPr>
          <w:rFonts w:ascii="Times New Roman" w:hAnsi="Times New Roman"/>
          <w:sz w:val="24"/>
          <w:lang w:val="bs-Latn-BA"/>
        </w:rPr>
        <w:t xml:space="preserve"> </w:t>
      </w:r>
      <w:r>
        <w:rPr>
          <w:rFonts w:ascii="Times New Roman" w:hAnsi="Times New Roman"/>
          <w:sz w:val="24"/>
          <w:lang w:val="bs-Latn-BA"/>
        </w:rPr>
        <w:t>подржане</w:t>
      </w:r>
      <w:r w:rsidR="00E2315C">
        <w:rPr>
          <w:rFonts w:ascii="Times New Roman" w:hAnsi="Times New Roman"/>
          <w:sz w:val="24"/>
          <w:lang w:val="bs-Latn-BA"/>
        </w:rPr>
        <w:t xml:space="preserve"> </w:t>
      </w:r>
      <w:r>
        <w:rPr>
          <w:rFonts w:ascii="Times New Roman" w:hAnsi="Times New Roman"/>
          <w:sz w:val="24"/>
          <w:lang w:val="bs-Latn-BA"/>
        </w:rPr>
        <w:t>од</w:t>
      </w:r>
      <w:r w:rsidR="00E2315C">
        <w:rPr>
          <w:rFonts w:ascii="Times New Roman" w:hAnsi="Times New Roman"/>
          <w:sz w:val="24"/>
          <w:lang w:val="bs-Latn-BA"/>
        </w:rPr>
        <w:t xml:space="preserve"> </w:t>
      </w:r>
      <w:r>
        <w:rPr>
          <w:rFonts w:ascii="Times New Roman" w:hAnsi="Times New Roman"/>
          <w:sz w:val="24"/>
          <w:lang w:val="bs-Latn-BA"/>
        </w:rPr>
        <w:t>стране</w:t>
      </w:r>
      <w:r w:rsidR="00E2315C">
        <w:rPr>
          <w:rFonts w:ascii="Times New Roman" w:hAnsi="Times New Roman"/>
          <w:sz w:val="24"/>
          <w:lang w:val="bs-Latn-BA"/>
        </w:rPr>
        <w:t xml:space="preserve"> </w:t>
      </w:r>
      <w:r>
        <w:rPr>
          <w:rFonts w:ascii="Times New Roman" w:hAnsi="Times New Roman"/>
          <w:sz w:val="24"/>
          <w:lang w:val="bs-Latn-BA"/>
        </w:rPr>
        <w:t>пројекта</w:t>
      </w:r>
      <w:r w:rsidR="00E2315C">
        <w:rPr>
          <w:rFonts w:ascii="Times New Roman" w:hAnsi="Times New Roman"/>
          <w:sz w:val="24"/>
          <w:lang w:val="bs-Latn-BA"/>
        </w:rPr>
        <w:t xml:space="preserve"> </w:t>
      </w:r>
      <w:r>
        <w:rPr>
          <w:rFonts w:ascii="Times New Roman" w:hAnsi="Times New Roman"/>
          <w:lang w:val="hr-HR"/>
        </w:rPr>
        <w:t>ЕУ</w:t>
      </w:r>
      <w:r w:rsidR="00E2315C" w:rsidRPr="00295637">
        <w:rPr>
          <w:rFonts w:ascii="Times New Roman" w:hAnsi="Times New Roman"/>
          <w:lang w:val="hr-HR"/>
        </w:rPr>
        <w:t xml:space="preserve"> </w:t>
      </w:r>
      <w:r>
        <w:rPr>
          <w:rFonts w:ascii="Times New Roman" w:hAnsi="Times New Roman"/>
          <w:sz w:val="24"/>
          <w:lang w:val="hr-HR"/>
        </w:rPr>
        <w:t>за</w:t>
      </w:r>
      <w:r w:rsidR="00E2315C" w:rsidRPr="009A60B0">
        <w:rPr>
          <w:rFonts w:ascii="Times New Roman" w:hAnsi="Times New Roman"/>
          <w:sz w:val="24"/>
          <w:lang w:val="hr-HR"/>
        </w:rPr>
        <w:t xml:space="preserve"> </w:t>
      </w:r>
      <w:r>
        <w:rPr>
          <w:rFonts w:ascii="Times New Roman" w:hAnsi="Times New Roman"/>
          <w:sz w:val="24"/>
          <w:lang w:val="hr-HR"/>
        </w:rPr>
        <w:t>људска</w:t>
      </w:r>
      <w:r w:rsidR="00E2315C" w:rsidRPr="009A60B0">
        <w:rPr>
          <w:rFonts w:ascii="Times New Roman" w:hAnsi="Times New Roman"/>
          <w:sz w:val="24"/>
          <w:lang w:val="hr-HR"/>
        </w:rPr>
        <w:t xml:space="preserve"> </w:t>
      </w:r>
      <w:r>
        <w:rPr>
          <w:rFonts w:ascii="Times New Roman" w:hAnsi="Times New Roman"/>
          <w:sz w:val="24"/>
          <w:lang w:val="hr-HR"/>
        </w:rPr>
        <w:t>права</w:t>
      </w:r>
      <w:r w:rsidR="00E2315C" w:rsidRPr="009A60B0">
        <w:rPr>
          <w:rFonts w:ascii="Times New Roman" w:hAnsi="Times New Roman"/>
          <w:sz w:val="24"/>
          <w:lang w:val="hr-HR"/>
        </w:rPr>
        <w:t xml:space="preserve"> </w:t>
      </w:r>
      <w:r>
        <w:rPr>
          <w:rFonts w:ascii="Times New Roman" w:hAnsi="Times New Roman"/>
          <w:sz w:val="24"/>
          <w:lang w:val="hr-HR"/>
        </w:rPr>
        <w:t>и</w:t>
      </w:r>
      <w:r w:rsidR="00E2315C" w:rsidRPr="009A60B0">
        <w:rPr>
          <w:rFonts w:ascii="Times New Roman" w:hAnsi="Times New Roman"/>
          <w:sz w:val="24"/>
          <w:lang w:val="hr-HR"/>
        </w:rPr>
        <w:t xml:space="preserve"> </w:t>
      </w:r>
      <w:r>
        <w:rPr>
          <w:rFonts w:ascii="Times New Roman" w:hAnsi="Times New Roman"/>
          <w:sz w:val="24"/>
          <w:lang w:val="hr-HR"/>
        </w:rPr>
        <w:t>антидискриминацију</w:t>
      </w:r>
      <w:r w:rsidR="00E2315C" w:rsidRPr="009A60B0">
        <w:rPr>
          <w:rFonts w:ascii="Times New Roman" w:hAnsi="Times New Roman"/>
          <w:sz w:val="24"/>
          <w:lang w:val="hr-HR"/>
        </w:rPr>
        <w:t>.</w:t>
      </w:r>
    </w:p>
    <w:p w:rsidR="00351302" w:rsidRPr="00295637" w:rsidRDefault="00351302" w:rsidP="0086268D">
      <w:pPr>
        <w:pStyle w:val="Tekst"/>
        <w:spacing w:before="0"/>
        <w:rPr>
          <w:rFonts w:ascii="Times New Roman" w:hAnsi="Times New Roman"/>
          <w:sz w:val="24"/>
          <w:lang w:val="bs-Latn-BA"/>
        </w:rPr>
      </w:pPr>
    </w:p>
    <w:p w:rsidR="007E7CD1" w:rsidRPr="00295637" w:rsidRDefault="00C6214E" w:rsidP="0086268D">
      <w:pPr>
        <w:pStyle w:val="Tekst"/>
        <w:spacing w:before="0"/>
        <w:rPr>
          <w:rFonts w:ascii="Times New Roman" w:hAnsi="Times New Roman"/>
          <w:sz w:val="24"/>
          <w:lang w:val="bs-Latn-BA"/>
        </w:rPr>
      </w:pPr>
      <w:r>
        <w:rPr>
          <w:rFonts w:ascii="Times New Roman" w:hAnsi="Times New Roman"/>
          <w:sz w:val="24"/>
          <w:lang w:val="bs-Latn-BA"/>
        </w:rPr>
        <w:t>Ефекти</w:t>
      </w:r>
      <w:r w:rsidR="003A2F08" w:rsidRPr="00295637">
        <w:rPr>
          <w:rFonts w:ascii="Times New Roman" w:hAnsi="Times New Roman"/>
          <w:sz w:val="24"/>
          <w:lang w:val="bs-Latn-BA"/>
        </w:rPr>
        <w:t xml:space="preserve"> </w:t>
      </w:r>
      <w:r>
        <w:rPr>
          <w:rFonts w:ascii="Times New Roman" w:hAnsi="Times New Roman"/>
          <w:sz w:val="24"/>
          <w:lang w:val="bs-Latn-BA"/>
        </w:rPr>
        <w:t>кантоналних</w:t>
      </w:r>
      <w:r w:rsidR="003A2F08" w:rsidRPr="00295637">
        <w:rPr>
          <w:rFonts w:ascii="Times New Roman" w:hAnsi="Times New Roman"/>
          <w:sz w:val="24"/>
          <w:lang w:val="bs-Latn-BA"/>
        </w:rPr>
        <w:t xml:space="preserve"> </w:t>
      </w:r>
      <w:r>
        <w:rPr>
          <w:rFonts w:ascii="Times New Roman" w:hAnsi="Times New Roman"/>
          <w:sz w:val="24"/>
          <w:lang w:val="bs-Latn-BA"/>
        </w:rPr>
        <w:t>гендер</w:t>
      </w:r>
      <w:r w:rsidR="003A2F08" w:rsidRPr="00295637">
        <w:rPr>
          <w:rFonts w:ascii="Times New Roman" w:hAnsi="Times New Roman"/>
          <w:sz w:val="24"/>
          <w:lang w:val="bs-Latn-BA"/>
        </w:rPr>
        <w:t xml:space="preserve"> </w:t>
      </w:r>
      <w:r>
        <w:rPr>
          <w:rFonts w:ascii="Times New Roman" w:hAnsi="Times New Roman"/>
          <w:sz w:val="24"/>
          <w:lang w:val="bs-Latn-BA"/>
        </w:rPr>
        <w:t>акционих</w:t>
      </w:r>
      <w:r w:rsidR="003A2F08" w:rsidRPr="00295637">
        <w:rPr>
          <w:rFonts w:ascii="Times New Roman" w:hAnsi="Times New Roman"/>
          <w:sz w:val="24"/>
          <w:lang w:val="bs-Latn-BA"/>
        </w:rPr>
        <w:t xml:space="preserve"> </w:t>
      </w:r>
      <w:r>
        <w:rPr>
          <w:rFonts w:ascii="Times New Roman" w:hAnsi="Times New Roman"/>
          <w:sz w:val="24"/>
          <w:lang w:val="bs-Latn-BA"/>
        </w:rPr>
        <w:t>планова</w:t>
      </w:r>
      <w:r w:rsidR="003A2F08" w:rsidRPr="00295637">
        <w:rPr>
          <w:rFonts w:ascii="Times New Roman" w:hAnsi="Times New Roman"/>
          <w:sz w:val="24"/>
          <w:lang w:val="bs-Latn-BA"/>
        </w:rPr>
        <w:t xml:space="preserve"> </w:t>
      </w:r>
      <w:r>
        <w:rPr>
          <w:rFonts w:ascii="Times New Roman" w:hAnsi="Times New Roman"/>
          <w:sz w:val="24"/>
          <w:lang w:val="bs-Latn-BA"/>
        </w:rPr>
        <w:t>су</w:t>
      </w:r>
      <w:r w:rsidR="003A2F08" w:rsidRPr="00295637">
        <w:rPr>
          <w:rFonts w:ascii="Times New Roman" w:hAnsi="Times New Roman"/>
          <w:sz w:val="24"/>
          <w:lang w:val="bs-Latn-BA"/>
        </w:rPr>
        <w:t xml:space="preserve"> </w:t>
      </w:r>
      <w:r>
        <w:rPr>
          <w:rFonts w:ascii="Times New Roman" w:hAnsi="Times New Roman"/>
          <w:sz w:val="24"/>
          <w:lang w:val="bs-Latn-BA"/>
        </w:rPr>
        <w:t>већ</w:t>
      </w:r>
      <w:r w:rsidR="003A2F08" w:rsidRPr="00295637">
        <w:rPr>
          <w:rFonts w:ascii="Times New Roman" w:hAnsi="Times New Roman"/>
          <w:sz w:val="24"/>
          <w:lang w:val="bs-Latn-BA"/>
        </w:rPr>
        <w:t xml:space="preserve"> </w:t>
      </w:r>
      <w:r>
        <w:rPr>
          <w:rFonts w:ascii="Times New Roman" w:hAnsi="Times New Roman"/>
          <w:sz w:val="24"/>
          <w:lang w:val="bs-Latn-BA"/>
        </w:rPr>
        <w:t>видљиви</w:t>
      </w:r>
      <w:r w:rsidR="003A2F08" w:rsidRPr="00295637">
        <w:rPr>
          <w:rFonts w:ascii="Times New Roman" w:hAnsi="Times New Roman"/>
          <w:sz w:val="24"/>
          <w:lang w:val="bs-Latn-BA"/>
        </w:rPr>
        <w:t xml:space="preserve">, </w:t>
      </w:r>
      <w:r>
        <w:rPr>
          <w:rFonts w:ascii="Times New Roman" w:hAnsi="Times New Roman"/>
          <w:sz w:val="24"/>
          <w:lang w:val="bs-Latn-BA"/>
        </w:rPr>
        <w:t>а</w:t>
      </w:r>
      <w:r w:rsidR="003A2F08" w:rsidRPr="00295637">
        <w:rPr>
          <w:rFonts w:ascii="Times New Roman" w:hAnsi="Times New Roman"/>
          <w:sz w:val="24"/>
          <w:lang w:val="bs-Latn-BA"/>
        </w:rPr>
        <w:t xml:space="preserve"> </w:t>
      </w:r>
      <w:r>
        <w:rPr>
          <w:rFonts w:ascii="Times New Roman" w:hAnsi="Times New Roman"/>
          <w:sz w:val="24"/>
          <w:lang w:val="bs-Latn-BA"/>
        </w:rPr>
        <w:t>посебно</w:t>
      </w:r>
      <w:r w:rsidR="003A2F08" w:rsidRPr="00295637">
        <w:rPr>
          <w:rFonts w:ascii="Times New Roman" w:hAnsi="Times New Roman"/>
          <w:sz w:val="24"/>
          <w:lang w:val="bs-Latn-BA"/>
        </w:rPr>
        <w:t xml:space="preserve"> </w:t>
      </w:r>
      <w:r>
        <w:rPr>
          <w:rFonts w:ascii="Times New Roman" w:hAnsi="Times New Roman"/>
          <w:sz w:val="24"/>
          <w:lang w:val="bs-Latn-BA"/>
        </w:rPr>
        <w:t>се</w:t>
      </w:r>
      <w:r w:rsidR="003A2F08" w:rsidRPr="00295637">
        <w:rPr>
          <w:rFonts w:ascii="Times New Roman" w:hAnsi="Times New Roman"/>
          <w:sz w:val="24"/>
          <w:lang w:val="bs-Latn-BA"/>
        </w:rPr>
        <w:t xml:space="preserve"> </w:t>
      </w:r>
      <w:r>
        <w:rPr>
          <w:rFonts w:ascii="Times New Roman" w:hAnsi="Times New Roman"/>
          <w:sz w:val="24"/>
          <w:lang w:val="bs-Latn-BA"/>
        </w:rPr>
        <w:t>издваја</w:t>
      </w:r>
      <w:r w:rsidR="003A2F08" w:rsidRPr="00295637">
        <w:rPr>
          <w:rFonts w:ascii="Times New Roman" w:hAnsi="Times New Roman"/>
          <w:sz w:val="24"/>
          <w:lang w:val="bs-Latn-BA"/>
        </w:rPr>
        <w:t xml:space="preserve"> </w:t>
      </w:r>
      <w:r>
        <w:rPr>
          <w:rFonts w:ascii="Times New Roman" w:hAnsi="Times New Roman"/>
          <w:sz w:val="24"/>
          <w:lang w:val="bs-Latn-BA"/>
        </w:rPr>
        <w:t>КС</w:t>
      </w:r>
      <w:r w:rsidR="002B0125" w:rsidRPr="00295637">
        <w:rPr>
          <w:rFonts w:ascii="Times New Roman" w:hAnsi="Times New Roman"/>
          <w:sz w:val="24"/>
          <w:lang w:val="bs-Latn-BA"/>
        </w:rPr>
        <w:t xml:space="preserve"> </w:t>
      </w:r>
      <w:r>
        <w:rPr>
          <w:rFonts w:ascii="Times New Roman" w:hAnsi="Times New Roman"/>
          <w:sz w:val="24"/>
          <w:lang w:val="bs-Latn-BA"/>
        </w:rPr>
        <w:t>у</w:t>
      </w:r>
      <w:r w:rsidR="002B0125" w:rsidRPr="00295637">
        <w:rPr>
          <w:rFonts w:ascii="Times New Roman" w:hAnsi="Times New Roman"/>
          <w:sz w:val="24"/>
          <w:lang w:val="bs-Latn-BA"/>
        </w:rPr>
        <w:t xml:space="preserve"> </w:t>
      </w:r>
      <w:r>
        <w:rPr>
          <w:rFonts w:ascii="Times New Roman" w:hAnsi="Times New Roman"/>
          <w:sz w:val="24"/>
          <w:lang w:val="bs-Latn-BA"/>
        </w:rPr>
        <w:t>којем</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буџетом</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2024. </w:t>
      </w:r>
      <w:r>
        <w:rPr>
          <w:rFonts w:ascii="Times New Roman" w:hAnsi="Times New Roman"/>
          <w:sz w:val="24"/>
          <w:lang w:val="bs-Latn-BA"/>
        </w:rPr>
        <w:t>годину</w:t>
      </w:r>
      <w:r w:rsidR="003A2F08" w:rsidRPr="00295637">
        <w:rPr>
          <w:rFonts w:ascii="Times New Roman" w:hAnsi="Times New Roman"/>
          <w:sz w:val="24"/>
          <w:lang w:val="bs-Latn-BA"/>
        </w:rPr>
        <w:t xml:space="preserve"> </w:t>
      </w:r>
      <w:r>
        <w:rPr>
          <w:rFonts w:ascii="Times New Roman" w:hAnsi="Times New Roman"/>
          <w:sz w:val="24"/>
          <w:lang w:val="bs-Latn-BA"/>
        </w:rPr>
        <w:t>о</w:t>
      </w:r>
      <w:r w:rsidR="009153B7">
        <w:rPr>
          <w:rFonts w:ascii="Times New Roman" w:hAnsi="Times New Roman"/>
          <w:sz w:val="24"/>
          <w:lang w:val="sr-Cyrl-BA"/>
        </w:rPr>
        <w:t>безбијеђено</w:t>
      </w:r>
      <w:r w:rsidR="003A2F08" w:rsidRPr="00295637">
        <w:rPr>
          <w:rFonts w:ascii="Times New Roman" w:hAnsi="Times New Roman"/>
          <w:sz w:val="24"/>
          <w:lang w:val="bs-Latn-BA"/>
        </w:rPr>
        <w:t xml:space="preserve"> </w:t>
      </w:r>
      <w:r>
        <w:rPr>
          <w:rFonts w:ascii="Times New Roman" w:hAnsi="Times New Roman"/>
          <w:sz w:val="24"/>
          <w:lang w:val="bs-Latn-BA"/>
        </w:rPr>
        <w:t>посебно</w:t>
      </w:r>
      <w:r w:rsidR="003A2F08" w:rsidRPr="00295637">
        <w:rPr>
          <w:rFonts w:ascii="Times New Roman" w:hAnsi="Times New Roman"/>
          <w:sz w:val="24"/>
          <w:lang w:val="bs-Latn-BA"/>
        </w:rPr>
        <w:t xml:space="preserve"> </w:t>
      </w:r>
      <w:r>
        <w:rPr>
          <w:rFonts w:ascii="Times New Roman" w:hAnsi="Times New Roman"/>
          <w:sz w:val="24"/>
          <w:lang w:val="bs-Latn-BA"/>
        </w:rPr>
        <w:t>финансирање</w:t>
      </w:r>
      <w:r w:rsidR="003A2F08" w:rsidRPr="00295637">
        <w:rPr>
          <w:rFonts w:ascii="Times New Roman" w:hAnsi="Times New Roman"/>
          <w:sz w:val="24"/>
          <w:lang w:val="bs-Latn-BA"/>
        </w:rPr>
        <w:t xml:space="preserve"> </w:t>
      </w:r>
      <w:r>
        <w:rPr>
          <w:rFonts w:ascii="Times New Roman" w:hAnsi="Times New Roman"/>
          <w:sz w:val="24"/>
          <w:lang w:val="bs-Latn-BA"/>
        </w:rPr>
        <w:t>према</w:t>
      </w:r>
      <w:r w:rsidR="003A2F08" w:rsidRPr="00295637">
        <w:rPr>
          <w:rFonts w:ascii="Times New Roman" w:hAnsi="Times New Roman"/>
          <w:sz w:val="24"/>
          <w:lang w:val="bs-Latn-BA"/>
        </w:rPr>
        <w:t xml:space="preserve"> </w:t>
      </w:r>
      <w:r>
        <w:rPr>
          <w:rFonts w:ascii="Times New Roman" w:hAnsi="Times New Roman"/>
          <w:sz w:val="24"/>
          <w:lang w:val="bs-Latn-BA"/>
        </w:rPr>
        <w:t>потребама</w:t>
      </w:r>
      <w:r w:rsidR="003A2F08" w:rsidRPr="00295637">
        <w:rPr>
          <w:rFonts w:ascii="Times New Roman" w:hAnsi="Times New Roman"/>
          <w:sz w:val="24"/>
          <w:lang w:val="bs-Latn-BA"/>
        </w:rPr>
        <w:t xml:space="preserve"> </w:t>
      </w:r>
      <w:r>
        <w:rPr>
          <w:rFonts w:ascii="Times New Roman" w:hAnsi="Times New Roman"/>
          <w:sz w:val="24"/>
          <w:lang w:val="bs-Latn-BA"/>
        </w:rPr>
        <w:t>жена</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сектору</w:t>
      </w:r>
      <w:r w:rsidR="003A2F08" w:rsidRPr="00295637">
        <w:rPr>
          <w:rFonts w:ascii="Times New Roman" w:hAnsi="Times New Roman"/>
          <w:sz w:val="24"/>
          <w:lang w:val="bs-Latn-BA"/>
        </w:rPr>
        <w:t xml:space="preserve"> </w:t>
      </w:r>
      <w:r>
        <w:rPr>
          <w:rFonts w:ascii="Times New Roman" w:hAnsi="Times New Roman"/>
          <w:sz w:val="24"/>
          <w:lang w:val="bs-Latn-BA"/>
        </w:rPr>
        <w:t>здравства</w:t>
      </w:r>
      <w:r w:rsidR="003A2F08" w:rsidRPr="00295637">
        <w:rPr>
          <w:rFonts w:ascii="Times New Roman" w:hAnsi="Times New Roman"/>
          <w:sz w:val="24"/>
          <w:lang w:val="bs-Latn-BA"/>
        </w:rPr>
        <w:t xml:space="preserve">, </w:t>
      </w:r>
      <w:r>
        <w:rPr>
          <w:rFonts w:ascii="Times New Roman" w:hAnsi="Times New Roman"/>
          <w:sz w:val="24"/>
          <w:lang w:val="bs-Latn-BA"/>
        </w:rPr>
        <w:t>специфичних</w:t>
      </w:r>
      <w:r w:rsidR="003A2F08" w:rsidRPr="00295637">
        <w:rPr>
          <w:rFonts w:ascii="Times New Roman" w:hAnsi="Times New Roman"/>
          <w:sz w:val="24"/>
          <w:lang w:val="bs-Latn-BA"/>
        </w:rPr>
        <w:t xml:space="preserve"> </w:t>
      </w:r>
      <w:r>
        <w:rPr>
          <w:rFonts w:ascii="Times New Roman" w:hAnsi="Times New Roman"/>
          <w:sz w:val="24"/>
          <w:lang w:val="bs-Latn-BA"/>
        </w:rPr>
        <w:t>грант</w:t>
      </w:r>
      <w:r w:rsidR="003E1DE3">
        <w:rPr>
          <w:rFonts w:ascii="Times New Roman" w:hAnsi="Times New Roman"/>
          <w:sz w:val="24"/>
          <w:lang w:val="bs-Latn-BA"/>
        </w:rPr>
        <w:t xml:space="preserve"> </w:t>
      </w:r>
      <w:r>
        <w:rPr>
          <w:rFonts w:ascii="Times New Roman" w:hAnsi="Times New Roman"/>
          <w:sz w:val="24"/>
          <w:lang w:val="bs-Latn-BA"/>
        </w:rPr>
        <w:t>средстава</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сектору</w:t>
      </w:r>
      <w:r w:rsidR="003A2F08" w:rsidRPr="00295637">
        <w:rPr>
          <w:rFonts w:ascii="Times New Roman" w:hAnsi="Times New Roman"/>
          <w:sz w:val="24"/>
          <w:lang w:val="bs-Latn-BA"/>
        </w:rPr>
        <w:t xml:space="preserve"> </w:t>
      </w:r>
      <w:r>
        <w:rPr>
          <w:rFonts w:ascii="Times New Roman" w:hAnsi="Times New Roman"/>
          <w:sz w:val="24"/>
          <w:lang w:val="bs-Latn-BA"/>
        </w:rPr>
        <w:t>привреде</w:t>
      </w:r>
      <w:r w:rsidR="003A2F08" w:rsidRPr="00295637">
        <w:rPr>
          <w:rFonts w:ascii="Times New Roman" w:hAnsi="Times New Roman"/>
          <w:sz w:val="24"/>
          <w:lang w:val="bs-Latn-BA"/>
        </w:rPr>
        <w:t xml:space="preserve">, </w:t>
      </w:r>
      <w:r>
        <w:rPr>
          <w:rFonts w:ascii="Times New Roman" w:hAnsi="Times New Roman"/>
          <w:sz w:val="24"/>
          <w:lang w:val="bs-Latn-BA"/>
        </w:rPr>
        <w:t>иницијативама</w:t>
      </w:r>
      <w:r w:rsidR="003A2F08" w:rsidRPr="00295637">
        <w:rPr>
          <w:rFonts w:ascii="Times New Roman" w:hAnsi="Times New Roman"/>
          <w:sz w:val="24"/>
          <w:lang w:val="bs-Latn-BA"/>
        </w:rPr>
        <w:t xml:space="preserve"> </w:t>
      </w:r>
      <w:r>
        <w:rPr>
          <w:rFonts w:ascii="Times New Roman" w:hAnsi="Times New Roman"/>
          <w:sz w:val="24"/>
          <w:lang w:val="bs-Latn-BA"/>
        </w:rPr>
        <w:t>кроз</w:t>
      </w:r>
      <w:r w:rsidR="003A2F08" w:rsidRPr="00295637">
        <w:rPr>
          <w:rFonts w:ascii="Times New Roman" w:hAnsi="Times New Roman"/>
          <w:sz w:val="24"/>
          <w:lang w:val="bs-Latn-BA"/>
        </w:rPr>
        <w:t xml:space="preserve"> </w:t>
      </w:r>
      <w:r>
        <w:rPr>
          <w:rFonts w:ascii="Times New Roman" w:hAnsi="Times New Roman"/>
          <w:sz w:val="24"/>
          <w:lang w:val="bs-Latn-BA"/>
        </w:rPr>
        <w:t>образовни</w:t>
      </w:r>
      <w:r w:rsidR="003A2F08" w:rsidRPr="00295637">
        <w:rPr>
          <w:rFonts w:ascii="Times New Roman" w:hAnsi="Times New Roman"/>
          <w:sz w:val="24"/>
          <w:lang w:val="bs-Latn-BA"/>
        </w:rPr>
        <w:t xml:space="preserve"> </w:t>
      </w:r>
      <w:r>
        <w:rPr>
          <w:rFonts w:ascii="Times New Roman" w:hAnsi="Times New Roman"/>
          <w:sz w:val="24"/>
          <w:lang w:val="bs-Latn-BA"/>
        </w:rPr>
        <w:t>систем</w:t>
      </w:r>
      <w:r w:rsidR="003A2F08" w:rsidRPr="00295637">
        <w:rPr>
          <w:rFonts w:ascii="Times New Roman" w:hAnsi="Times New Roman"/>
          <w:sz w:val="24"/>
          <w:lang w:val="bs-Latn-BA"/>
        </w:rPr>
        <w:t xml:space="preserve">, 100% </w:t>
      </w:r>
      <w:r>
        <w:rPr>
          <w:rFonts w:ascii="Times New Roman" w:hAnsi="Times New Roman"/>
          <w:sz w:val="24"/>
          <w:lang w:val="bs-Latn-BA"/>
        </w:rPr>
        <w:t>финансирање</w:t>
      </w:r>
      <w:r w:rsidR="003A2F08" w:rsidRPr="00295637">
        <w:rPr>
          <w:rFonts w:ascii="Times New Roman" w:hAnsi="Times New Roman"/>
          <w:sz w:val="24"/>
          <w:lang w:val="bs-Latn-BA"/>
        </w:rPr>
        <w:t xml:space="preserve"> </w:t>
      </w:r>
      <w:r>
        <w:rPr>
          <w:rFonts w:ascii="Times New Roman" w:hAnsi="Times New Roman"/>
          <w:sz w:val="24"/>
          <w:lang w:val="bs-Latn-BA"/>
        </w:rPr>
        <w:t>сигурне</w:t>
      </w:r>
      <w:r w:rsidR="003A2F08" w:rsidRPr="00295637">
        <w:rPr>
          <w:rFonts w:ascii="Times New Roman" w:hAnsi="Times New Roman"/>
          <w:sz w:val="24"/>
          <w:lang w:val="bs-Latn-BA"/>
        </w:rPr>
        <w:t xml:space="preserve"> </w:t>
      </w:r>
      <w:r>
        <w:rPr>
          <w:rFonts w:ascii="Times New Roman" w:hAnsi="Times New Roman"/>
          <w:sz w:val="24"/>
          <w:lang w:val="bs-Latn-BA"/>
        </w:rPr>
        <w:t>куће</w:t>
      </w:r>
      <w:r w:rsidR="003A2F08" w:rsidRPr="00295637">
        <w:rPr>
          <w:rFonts w:ascii="Times New Roman" w:hAnsi="Times New Roman"/>
          <w:sz w:val="24"/>
          <w:lang w:val="bs-Latn-BA"/>
        </w:rPr>
        <w:t xml:space="preserve"> - </w:t>
      </w:r>
      <w:r>
        <w:rPr>
          <w:rFonts w:ascii="Times New Roman" w:hAnsi="Times New Roman"/>
          <w:sz w:val="24"/>
          <w:lang w:val="bs-Latn-BA"/>
        </w:rPr>
        <w:t>по</w:t>
      </w:r>
      <w:r w:rsidR="003A2F08" w:rsidRPr="00295637">
        <w:rPr>
          <w:rFonts w:ascii="Times New Roman" w:hAnsi="Times New Roman"/>
          <w:sz w:val="24"/>
          <w:lang w:val="bs-Latn-BA"/>
        </w:rPr>
        <w:t xml:space="preserve"> </w:t>
      </w:r>
      <w:r>
        <w:rPr>
          <w:rFonts w:ascii="Times New Roman" w:hAnsi="Times New Roman"/>
          <w:sz w:val="24"/>
          <w:lang w:val="bs-Latn-BA"/>
        </w:rPr>
        <w:t>први</w:t>
      </w:r>
      <w:r w:rsidR="003A2F08" w:rsidRPr="00295637">
        <w:rPr>
          <w:rFonts w:ascii="Times New Roman" w:hAnsi="Times New Roman"/>
          <w:sz w:val="24"/>
          <w:lang w:val="bs-Latn-BA"/>
        </w:rPr>
        <w:t xml:space="preserve"> </w:t>
      </w:r>
      <w:r>
        <w:rPr>
          <w:rFonts w:ascii="Times New Roman" w:hAnsi="Times New Roman"/>
          <w:sz w:val="24"/>
          <w:lang w:val="bs-Latn-BA"/>
        </w:rPr>
        <w:t>пут</w:t>
      </w:r>
      <w:r w:rsidR="003A2F08" w:rsidRPr="00295637">
        <w:rPr>
          <w:rFonts w:ascii="Times New Roman" w:hAnsi="Times New Roman"/>
          <w:sz w:val="24"/>
          <w:lang w:val="bs-Latn-BA"/>
        </w:rPr>
        <w:t xml:space="preserve"> </w:t>
      </w:r>
      <w:r>
        <w:rPr>
          <w:rFonts w:ascii="Times New Roman" w:hAnsi="Times New Roman"/>
          <w:sz w:val="24"/>
          <w:lang w:val="bs-Latn-BA"/>
        </w:rPr>
        <w:t>након</w:t>
      </w:r>
      <w:r w:rsidR="003A2F08" w:rsidRPr="00295637">
        <w:rPr>
          <w:rFonts w:ascii="Times New Roman" w:hAnsi="Times New Roman"/>
          <w:sz w:val="24"/>
          <w:lang w:val="bs-Latn-BA"/>
        </w:rPr>
        <w:t xml:space="preserve"> </w:t>
      </w:r>
      <w:r>
        <w:rPr>
          <w:rFonts w:ascii="Times New Roman" w:hAnsi="Times New Roman"/>
          <w:sz w:val="24"/>
          <w:lang w:val="bs-Latn-BA"/>
        </w:rPr>
        <w:t>оснивања</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дјеловања</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повећавање</w:t>
      </w:r>
      <w:r w:rsidR="003A2F08" w:rsidRPr="00295637">
        <w:rPr>
          <w:rFonts w:ascii="Times New Roman" w:hAnsi="Times New Roman"/>
          <w:sz w:val="24"/>
          <w:lang w:val="bs-Latn-BA"/>
        </w:rPr>
        <w:t xml:space="preserve"> </w:t>
      </w:r>
      <w:r>
        <w:rPr>
          <w:rFonts w:ascii="Times New Roman" w:hAnsi="Times New Roman"/>
          <w:sz w:val="24"/>
          <w:lang w:val="bs-Latn-BA"/>
        </w:rPr>
        <w:t>новчаних</w:t>
      </w:r>
      <w:r w:rsidR="003A2F08" w:rsidRPr="00295637">
        <w:rPr>
          <w:rFonts w:ascii="Times New Roman" w:hAnsi="Times New Roman"/>
          <w:sz w:val="24"/>
          <w:lang w:val="bs-Latn-BA"/>
        </w:rPr>
        <w:t xml:space="preserve"> </w:t>
      </w:r>
      <w:r>
        <w:rPr>
          <w:rFonts w:ascii="Times New Roman" w:hAnsi="Times New Roman"/>
          <w:sz w:val="24"/>
          <w:lang w:val="bs-Latn-BA"/>
        </w:rPr>
        <w:t>накнада</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w:t>
      </w:r>
      <w:r>
        <w:rPr>
          <w:rFonts w:ascii="Times New Roman" w:hAnsi="Times New Roman"/>
          <w:sz w:val="24"/>
          <w:lang w:val="bs-Latn-BA"/>
        </w:rPr>
        <w:t>све</w:t>
      </w:r>
      <w:r w:rsidR="003A2F08" w:rsidRPr="00295637">
        <w:rPr>
          <w:rFonts w:ascii="Times New Roman" w:hAnsi="Times New Roman"/>
          <w:sz w:val="24"/>
          <w:lang w:val="bs-Latn-BA"/>
        </w:rPr>
        <w:t xml:space="preserve"> </w:t>
      </w:r>
      <w:r>
        <w:rPr>
          <w:rFonts w:ascii="Times New Roman" w:hAnsi="Times New Roman"/>
          <w:sz w:val="24"/>
          <w:lang w:val="bs-Latn-BA"/>
        </w:rPr>
        <w:t>породиље</w:t>
      </w:r>
      <w:r w:rsidR="003A2F08" w:rsidRPr="00295637">
        <w:rPr>
          <w:rFonts w:ascii="Times New Roman" w:hAnsi="Times New Roman"/>
          <w:sz w:val="24"/>
          <w:lang w:val="bs-Latn-BA"/>
        </w:rPr>
        <w:t xml:space="preserve"> (</w:t>
      </w:r>
      <w:r>
        <w:rPr>
          <w:rFonts w:ascii="Times New Roman" w:hAnsi="Times New Roman"/>
          <w:sz w:val="24"/>
          <w:lang w:val="bs-Latn-BA"/>
        </w:rPr>
        <w:t>запослене</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незапослене</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виду</w:t>
      </w:r>
      <w:r w:rsidR="003A2F08" w:rsidRPr="00295637">
        <w:rPr>
          <w:rFonts w:ascii="Times New Roman" w:hAnsi="Times New Roman"/>
          <w:sz w:val="24"/>
          <w:lang w:val="bs-Latn-BA"/>
        </w:rPr>
        <w:t xml:space="preserve"> </w:t>
      </w:r>
      <w:r>
        <w:rPr>
          <w:rFonts w:ascii="Times New Roman" w:hAnsi="Times New Roman"/>
          <w:sz w:val="24"/>
          <w:lang w:val="bs-Latn-BA"/>
        </w:rPr>
        <w:t>накнаде</w:t>
      </w:r>
      <w:r w:rsidR="003A2F08" w:rsidRPr="00295637">
        <w:rPr>
          <w:rFonts w:ascii="Times New Roman" w:hAnsi="Times New Roman"/>
          <w:sz w:val="24"/>
          <w:lang w:val="bs-Latn-BA"/>
        </w:rPr>
        <w:t xml:space="preserve"> 50% </w:t>
      </w:r>
      <w:r>
        <w:rPr>
          <w:rFonts w:ascii="Times New Roman" w:hAnsi="Times New Roman"/>
          <w:sz w:val="24"/>
          <w:lang w:val="bs-Latn-BA"/>
        </w:rPr>
        <w:t>просјечне</w:t>
      </w:r>
      <w:r w:rsidR="003A2F08" w:rsidRPr="00295637">
        <w:rPr>
          <w:rFonts w:ascii="Times New Roman" w:hAnsi="Times New Roman"/>
          <w:sz w:val="24"/>
          <w:lang w:val="bs-Latn-BA"/>
        </w:rPr>
        <w:t xml:space="preserve"> </w:t>
      </w:r>
      <w:r>
        <w:rPr>
          <w:rFonts w:ascii="Times New Roman" w:hAnsi="Times New Roman"/>
          <w:sz w:val="24"/>
          <w:lang w:val="bs-Latn-BA"/>
        </w:rPr>
        <w:t>пла</w:t>
      </w:r>
      <w:r w:rsidR="009153B7">
        <w:rPr>
          <w:rFonts w:ascii="Times New Roman" w:hAnsi="Times New Roman"/>
          <w:sz w:val="24"/>
          <w:lang w:val="sr-Cyrl-BA"/>
        </w:rPr>
        <w:t>т</w:t>
      </w:r>
      <w:r>
        <w:rPr>
          <w:rFonts w:ascii="Times New Roman" w:hAnsi="Times New Roman"/>
          <w:sz w:val="24"/>
          <w:lang w:val="bs-Latn-BA"/>
        </w:rPr>
        <w:t>е</w:t>
      </w:r>
      <w:r w:rsidR="003E1DE3">
        <w:rPr>
          <w:rFonts w:ascii="Times New Roman" w:hAnsi="Times New Roman"/>
          <w:sz w:val="24"/>
          <w:lang w:val="bs-Latn-BA"/>
        </w:rPr>
        <w:t xml:space="preserve"> </w:t>
      </w:r>
      <w:r>
        <w:rPr>
          <w:rFonts w:ascii="Times New Roman" w:hAnsi="Times New Roman"/>
          <w:sz w:val="24"/>
          <w:lang w:val="bs-Latn-BA"/>
        </w:rPr>
        <w:t>у</w:t>
      </w:r>
      <w:r w:rsidR="003E1DE3">
        <w:rPr>
          <w:rFonts w:ascii="Times New Roman" w:hAnsi="Times New Roman"/>
          <w:sz w:val="24"/>
          <w:lang w:val="bs-Latn-BA"/>
        </w:rPr>
        <w:t xml:space="preserve"> </w:t>
      </w:r>
      <w:r>
        <w:rPr>
          <w:rFonts w:ascii="Times New Roman" w:hAnsi="Times New Roman"/>
          <w:sz w:val="24"/>
          <w:lang w:val="bs-Latn-BA"/>
        </w:rPr>
        <w:t>ФБиХ</w:t>
      </w:r>
      <w:r w:rsidR="003A2F08" w:rsidRPr="00295637">
        <w:rPr>
          <w:rFonts w:ascii="Times New Roman" w:hAnsi="Times New Roman"/>
          <w:sz w:val="24"/>
          <w:lang w:val="bs-Latn-BA"/>
        </w:rPr>
        <w:t xml:space="preserve">, </w:t>
      </w:r>
      <w:r>
        <w:rPr>
          <w:rFonts w:ascii="Times New Roman" w:hAnsi="Times New Roman"/>
          <w:sz w:val="24"/>
          <w:lang w:val="bs-Latn-BA"/>
        </w:rPr>
        <w:t>суфинансирање</w:t>
      </w:r>
      <w:r w:rsidR="003A2F08" w:rsidRPr="00295637">
        <w:rPr>
          <w:rFonts w:ascii="Times New Roman" w:hAnsi="Times New Roman"/>
          <w:sz w:val="24"/>
          <w:lang w:val="bs-Latn-BA"/>
        </w:rPr>
        <w:t xml:space="preserve"> </w:t>
      </w:r>
      <w:r>
        <w:rPr>
          <w:rFonts w:ascii="Times New Roman" w:hAnsi="Times New Roman"/>
          <w:sz w:val="24"/>
          <w:lang w:val="bs-Latn-BA"/>
        </w:rPr>
        <w:t>приватних</w:t>
      </w:r>
      <w:r w:rsidR="003A2F08" w:rsidRPr="00295637">
        <w:rPr>
          <w:rFonts w:ascii="Times New Roman" w:hAnsi="Times New Roman"/>
          <w:sz w:val="24"/>
          <w:lang w:val="bs-Latn-BA"/>
        </w:rPr>
        <w:t xml:space="preserve"> </w:t>
      </w:r>
      <w:r>
        <w:rPr>
          <w:rFonts w:ascii="Times New Roman" w:hAnsi="Times New Roman"/>
          <w:sz w:val="24"/>
          <w:lang w:val="bs-Latn-BA"/>
        </w:rPr>
        <w:t>вртића</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продуженог</w:t>
      </w:r>
      <w:r w:rsidR="003A2F08" w:rsidRPr="00295637">
        <w:rPr>
          <w:rFonts w:ascii="Times New Roman" w:hAnsi="Times New Roman"/>
          <w:sz w:val="24"/>
          <w:lang w:val="bs-Latn-BA"/>
        </w:rPr>
        <w:t xml:space="preserve"> </w:t>
      </w:r>
      <w:r>
        <w:rPr>
          <w:rFonts w:ascii="Times New Roman" w:hAnsi="Times New Roman"/>
          <w:sz w:val="24"/>
          <w:lang w:val="bs-Latn-BA"/>
        </w:rPr>
        <w:t>боравка</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основним</w:t>
      </w:r>
      <w:r w:rsidR="003A2F08" w:rsidRPr="00295637">
        <w:rPr>
          <w:rFonts w:ascii="Times New Roman" w:hAnsi="Times New Roman"/>
          <w:sz w:val="24"/>
          <w:lang w:val="bs-Latn-BA"/>
        </w:rPr>
        <w:t xml:space="preserve"> </w:t>
      </w:r>
      <w:r>
        <w:rPr>
          <w:rFonts w:ascii="Times New Roman" w:hAnsi="Times New Roman"/>
          <w:sz w:val="24"/>
          <w:lang w:val="bs-Latn-BA"/>
        </w:rPr>
        <w:t>школама</w:t>
      </w:r>
      <w:r w:rsidR="003A2F08" w:rsidRPr="00295637">
        <w:rPr>
          <w:rFonts w:ascii="Times New Roman" w:hAnsi="Times New Roman"/>
          <w:sz w:val="24"/>
          <w:lang w:val="bs-Latn-BA"/>
        </w:rPr>
        <w:t xml:space="preserve">.  </w:t>
      </w:r>
    </w:p>
    <w:p w:rsidR="007E7CD1" w:rsidRPr="00295637" w:rsidRDefault="007E7CD1" w:rsidP="0086268D">
      <w:pPr>
        <w:pStyle w:val="Tekst"/>
        <w:spacing w:before="0"/>
        <w:rPr>
          <w:rFonts w:ascii="Times New Roman" w:hAnsi="Times New Roman"/>
          <w:sz w:val="24"/>
          <w:lang w:val="bs-Latn-BA"/>
        </w:rPr>
      </w:pPr>
    </w:p>
    <w:p w:rsidR="007E7CD1" w:rsidRPr="00295637" w:rsidRDefault="00C6214E" w:rsidP="0086268D">
      <w:pPr>
        <w:pStyle w:val="Tekst"/>
        <w:spacing w:before="0"/>
        <w:rPr>
          <w:rFonts w:ascii="Times New Roman" w:hAnsi="Times New Roman"/>
          <w:sz w:val="24"/>
          <w:lang w:val="bs-Latn-BA"/>
        </w:rPr>
      </w:pPr>
      <w:r>
        <w:rPr>
          <w:rFonts w:ascii="Times New Roman" w:hAnsi="Times New Roman"/>
          <w:sz w:val="24"/>
          <w:lang w:val="bs-Latn-BA"/>
        </w:rPr>
        <w:t>Одржане</w:t>
      </w:r>
      <w:r w:rsidR="003A2F08" w:rsidRPr="00295637">
        <w:rPr>
          <w:rFonts w:ascii="Times New Roman" w:hAnsi="Times New Roman"/>
          <w:sz w:val="24"/>
          <w:lang w:val="bs-Latn-BA"/>
        </w:rPr>
        <w:t xml:space="preserve"> </w:t>
      </w:r>
      <w:r>
        <w:rPr>
          <w:rFonts w:ascii="Times New Roman" w:hAnsi="Times New Roman"/>
          <w:sz w:val="24"/>
          <w:lang w:val="bs-Latn-BA"/>
        </w:rPr>
        <w:t>су</w:t>
      </w:r>
      <w:r w:rsidR="003A2F08" w:rsidRPr="00295637">
        <w:rPr>
          <w:rFonts w:ascii="Times New Roman" w:hAnsi="Times New Roman"/>
          <w:sz w:val="24"/>
          <w:lang w:val="bs-Latn-BA"/>
        </w:rPr>
        <w:t xml:space="preserve"> </w:t>
      </w:r>
      <w:r>
        <w:rPr>
          <w:rFonts w:ascii="Times New Roman" w:hAnsi="Times New Roman"/>
          <w:sz w:val="24"/>
          <w:lang w:val="bs-Latn-BA"/>
        </w:rPr>
        <w:t>двије</w:t>
      </w:r>
      <w:r w:rsidR="003E1DE3">
        <w:rPr>
          <w:rFonts w:ascii="Times New Roman" w:hAnsi="Times New Roman"/>
          <w:sz w:val="24"/>
          <w:lang w:val="bs-Latn-BA"/>
        </w:rPr>
        <w:t xml:space="preserve"> </w:t>
      </w:r>
      <w:r>
        <w:rPr>
          <w:rFonts w:ascii="Times New Roman" w:hAnsi="Times New Roman"/>
          <w:sz w:val="24"/>
          <w:lang w:val="bs-Latn-BA"/>
        </w:rPr>
        <w:t>тематске</w:t>
      </w:r>
      <w:r w:rsidR="003E1DE3">
        <w:rPr>
          <w:rFonts w:ascii="Times New Roman" w:hAnsi="Times New Roman"/>
          <w:sz w:val="24"/>
          <w:lang w:val="bs-Latn-BA"/>
        </w:rPr>
        <w:t xml:space="preserve"> </w:t>
      </w:r>
      <w:r>
        <w:rPr>
          <w:rFonts w:ascii="Times New Roman" w:hAnsi="Times New Roman"/>
          <w:sz w:val="24"/>
          <w:lang w:val="bs-Latn-BA"/>
        </w:rPr>
        <w:t>сједнице</w:t>
      </w:r>
      <w:r w:rsidR="003E1DE3">
        <w:rPr>
          <w:rFonts w:ascii="Times New Roman" w:hAnsi="Times New Roman"/>
          <w:sz w:val="24"/>
          <w:lang w:val="bs-Latn-BA"/>
        </w:rPr>
        <w:t xml:space="preserve"> </w:t>
      </w:r>
      <w:r>
        <w:rPr>
          <w:rFonts w:ascii="Times New Roman" w:hAnsi="Times New Roman"/>
          <w:sz w:val="24"/>
          <w:lang w:val="bs-Latn-BA"/>
        </w:rPr>
        <w:t>са</w:t>
      </w:r>
      <w:r w:rsidR="003A2F08" w:rsidRPr="00295637">
        <w:rPr>
          <w:rFonts w:ascii="Times New Roman" w:hAnsi="Times New Roman"/>
          <w:sz w:val="24"/>
          <w:lang w:val="bs-Latn-BA"/>
        </w:rPr>
        <w:t xml:space="preserve"> </w:t>
      </w:r>
      <w:r>
        <w:rPr>
          <w:rFonts w:ascii="Times New Roman" w:hAnsi="Times New Roman"/>
          <w:sz w:val="24"/>
          <w:lang w:val="bs-Latn-BA"/>
        </w:rPr>
        <w:t>Комисијом</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w:t>
      </w:r>
      <w:r>
        <w:rPr>
          <w:rFonts w:ascii="Times New Roman" w:hAnsi="Times New Roman"/>
          <w:sz w:val="24"/>
          <w:lang w:val="bs-Latn-BA"/>
        </w:rPr>
        <w:t>равноправност</w:t>
      </w:r>
      <w:r w:rsidR="003A2F08" w:rsidRPr="00295637">
        <w:rPr>
          <w:rFonts w:ascii="Times New Roman" w:hAnsi="Times New Roman"/>
          <w:sz w:val="24"/>
          <w:lang w:val="bs-Latn-BA"/>
        </w:rPr>
        <w:t xml:space="preserve"> </w:t>
      </w:r>
      <w:r>
        <w:rPr>
          <w:rFonts w:ascii="Times New Roman" w:hAnsi="Times New Roman"/>
          <w:sz w:val="24"/>
          <w:lang w:val="bs-Latn-BA"/>
        </w:rPr>
        <w:t>полова</w:t>
      </w:r>
      <w:r w:rsidR="003A2F08" w:rsidRPr="00295637">
        <w:rPr>
          <w:rFonts w:ascii="Times New Roman" w:hAnsi="Times New Roman"/>
          <w:sz w:val="24"/>
          <w:lang w:val="bs-Latn-BA"/>
        </w:rPr>
        <w:t xml:space="preserve"> </w:t>
      </w:r>
      <w:r>
        <w:rPr>
          <w:rFonts w:ascii="Times New Roman" w:hAnsi="Times New Roman"/>
          <w:sz w:val="24"/>
          <w:lang w:val="bs-Latn-BA"/>
        </w:rPr>
        <w:t>Скупштине</w:t>
      </w:r>
      <w:r w:rsidR="003A2F08" w:rsidRPr="00295637">
        <w:rPr>
          <w:rFonts w:ascii="Times New Roman" w:hAnsi="Times New Roman"/>
          <w:sz w:val="24"/>
          <w:lang w:val="bs-Latn-BA"/>
        </w:rPr>
        <w:t xml:space="preserve"> </w:t>
      </w:r>
      <w:r>
        <w:rPr>
          <w:rFonts w:ascii="Times New Roman" w:hAnsi="Times New Roman"/>
          <w:sz w:val="24"/>
          <w:lang w:val="bs-Latn-BA"/>
        </w:rPr>
        <w:t>КС</w:t>
      </w:r>
      <w:r w:rsidR="002B0125" w:rsidRPr="00295637">
        <w:rPr>
          <w:rFonts w:ascii="Times New Roman" w:hAnsi="Times New Roman"/>
          <w:sz w:val="24"/>
          <w:lang w:val="bs-Latn-BA"/>
        </w:rPr>
        <w:t xml:space="preserve">, </w:t>
      </w:r>
      <w:r>
        <w:rPr>
          <w:rFonts w:ascii="Times New Roman" w:hAnsi="Times New Roman"/>
          <w:sz w:val="24"/>
          <w:lang w:val="bs-Latn-BA"/>
        </w:rPr>
        <w:t>и</w:t>
      </w:r>
      <w:r w:rsidR="002B0125" w:rsidRPr="00295637">
        <w:rPr>
          <w:rFonts w:ascii="Times New Roman" w:hAnsi="Times New Roman"/>
          <w:sz w:val="24"/>
          <w:lang w:val="bs-Latn-BA"/>
        </w:rPr>
        <w:t xml:space="preserve"> </w:t>
      </w:r>
      <w:r>
        <w:rPr>
          <w:rFonts w:ascii="Times New Roman" w:hAnsi="Times New Roman"/>
          <w:sz w:val="24"/>
          <w:lang w:val="bs-Latn-BA"/>
        </w:rPr>
        <w:t>реализ</w:t>
      </w:r>
      <w:r w:rsidR="009153B7">
        <w:rPr>
          <w:rFonts w:ascii="Times New Roman" w:hAnsi="Times New Roman"/>
          <w:sz w:val="24"/>
          <w:lang w:val="sr-Cyrl-BA"/>
        </w:rPr>
        <w:t>овано</w:t>
      </w:r>
      <w:r w:rsidR="002B0125" w:rsidRPr="00295637">
        <w:rPr>
          <w:rFonts w:ascii="Times New Roman" w:hAnsi="Times New Roman"/>
          <w:sz w:val="24"/>
          <w:lang w:val="bs-Latn-BA"/>
        </w:rPr>
        <w:t xml:space="preserve"> </w:t>
      </w:r>
      <w:r>
        <w:rPr>
          <w:rFonts w:ascii="Times New Roman" w:hAnsi="Times New Roman"/>
          <w:sz w:val="24"/>
          <w:lang w:val="bs-Latn-BA"/>
        </w:rPr>
        <w:t>више</w:t>
      </w:r>
      <w:r w:rsidR="002B0125" w:rsidRPr="00295637">
        <w:rPr>
          <w:rFonts w:ascii="Times New Roman" w:hAnsi="Times New Roman"/>
          <w:sz w:val="24"/>
          <w:lang w:val="bs-Latn-BA"/>
        </w:rPr>
        <w:t xml:space="preserve"> </w:t>
      </w:r>
      <w:r>
        <w:rPr>
          <w:rFonts w:ascii="Times New Roman" w:hAnsi="Times New Roman"/>
          <w:sz w:val="24"/>
          <w:lang w:val="bs-Latn-BA"/>
        </w:rPr>
        <w:t>од</w:t>
      </w:r>
      <w:r w:rsidR="002B0125" w:rsidRPr="00295637">
        <w:rPr>
          <w:rFonts w:ascii="Times New Roman" w:hAnsi="Times New Roman"/>
          <w:sz w:val="24"/>
          <w:lang w:val="bs-Latn-BA"/>
        </w:rPr>
        <w:t xml:space="preserve"> 10 </w:t>
      </w:r>
      <w:r>
        <w:rPr>
          <w:rFonts w:ascii="Times New Roman" w:hAnsi="Times New Roman"/>
          <w:sz w:val="24"/>
          <w:lang w:val="bs-Latn-BA"/>
        </w:rPr>
        <w:t>састанака</w:t>
      </w:r>
      <w:r w:rsidR="003E1DE3">
        <w:rPr>
          <w:rFonts w:ascii="Times New Roman" w:hAnsi="Times New Roman"/>
          <w:sz w:val="24"/>
          <w:lang w:val="bs-Latn-BA"/>
        </w:rPr>
        <w:t xml:space="preserve"> </w:t>
      </w:r>
      <w:r>
        <w:rPr>
          <w:rFonts w:ascii="Times New Roman" w:hAnsi="Times New Roman"/>
          <w:sz w:val="24"/>
          <w:lang w:val="bs-Latn-BA"/>
        </w:rPr>
        <w:t>са</w:t>
      </w:r>
      <w:r w:rsidR="003A2F08" w:rsidRPr="00295637">
        <w:rPr>
          <w:rFonts w:ascii="Times New Roman" w:hAnsi="Times New Roman"/>
          <w:sz w:val="24"/>
          <w:lang w:val="bs-Latn-BA"/>
        </w:rPr>
        <w:t xml:space="preserve"> </w:t>
      </w:r>
      <w:r>
        <w:rPr>
          <w:rFonts w:ascii="Times New Roman" w:hAnsi="Times New Roman"/>
          <w:sz w:val="24"/>
          <w:lang w:val="bs-Latn-BA"/>
        </w:rPr>
        <w:t>члановима</w:t>
      </w:r>
      <w:r w:rsidR="003A2F08" w:rsidRPr="00295637">
        <w:rPr>
          <w:rFonts w:ascii="Times New Roman" w:hAnsi="Times New Roman"/>
          <w:sz w:val="24"/>
          <w:lang w:val="bs-Latn-BA"/>
        </w:rPr>
        <w:t xml:space="preserve"> </w:t>
      </w:r>
      <w:r>
        <w:rPr>
          <w:rFonts w:ascii="Times New Roman" w:hAnsi="Times New Roman"/>
          <w:sz w:val="24"/>
          <w:lang w:val="bs-Latn-BA"/>
        </w:rPr>
        <w:t>комисија</w:t>
      </w:r>
      <w:r w:rsidR="003A2F08" w:rsidRPr="00295637">
        <w:rPr>
          <w:rFonts w:ascii="Times New Roman" w:hAnsi="Times New Roman"/>
          <w:sz w:val="24"/>
          <w:lang w:val="bs-Latn-BA"/>
        </w:rPr>
        <w:t>/</w:t>
      </w:r>
      <w:r>
        <w:rPr>
          <w:rFonts w:ascii="Times New Roman" w:hAnsi="Times New Roman"/>
          <w:sz w:val="24"/>
          <w:lang w:val="bs-Latn-BA"/>
        </w:rPr>
        <w:t>заступницима</w:t>
      </w:r>
      <w:r w:rsidR="004A6FC0" w:rsidRPr="00295637">
        <w:rPr>
          <w:rFonts w:ascii="Times New Roman" w:hAnsi="Times New Roman"/>
          <w:sz w:val="24"/>
          <w:lang w:val="bs-Latn-BA"/>
        </w:rPr>
        <w:t>,</w:t>
      </w:r>
      <w:r w:rsidR="003A2F08" w:rsidRPr="00295637">
        <w:rPr>
          <w:rFonts w:ascii="Times New Roman" w:hAnsi="Times New Roman"/>
          <w:sz w:val="24"/>
          <w:lang w:val="bs-Latn-BA"/>
        </w:rPr>
        <w:t xml:space="preserve"> </w:t>
      </w:r>
      <w:r>
        <w:rPr>
          <w:rFonts w:ascii="Times New Roman" w:hAnsi="Times New Roman"/>
          <w:sz w:val="24"/>
          <w:lang w:val="bs-Latn-BA"/>
        </w:rPr>
        <w:t>те</w:t>
      </w:r>
      <w:r w:rsidR="003A2F08" w:rsidRPr="00295637">
        <w:rPr>
          <w:rFonts w:ascii="Times New Roman" w:hAnsi="Times New Roman"/>
          <w:sz w:val="24"/>
          <w:lang w:val="bs-Latn-BA"/>
        </w:rPr>
        <w:t xml:space="preserve"> </w:t>
      </w:r>
      <w:r>
        <w:rPr>
          <w:rFonts w:ascii="Times New Roman" w:hAnsi="Times New Roman"/>
          <w:sz w:val="24"/>
          <w:lang w:val="bs-Latn-BA"/>
        </w:rPr>
        <w:t>су</w:t>
      </w:r>
      <w:r w:rsidR="003A2F08" w:rsidRPr="00295637">
        <w:rPr>
          <w:rFonts w:ascii="Times New Roman" w:hAnsi="Times New Roman"/>
          <w:sz w:val="24"/>
          <w:lang w:val="bs-Latn-BA"/>
        </w:rPr>
        <w:t xml:space="preserve"> </w:t>
      </w:r>
      <w:r>
        <w:rPr>
          <w:rFonts w:ascii="Times New Roman" w:hAnsi="Times New Roman"/>
          <w:sz w:val="24"/>
          <w:lang w:val="bs-Latn-BA"/>
        </w:rPr>
        <w:t>израђене</w:t>
      </w:r>
      <w:r w:rsidR="003A2F08" w:rsidRPr="00295637">
        <w:rPr>
          <w:rFonts w:ascii="Times New Roman" w:hAnsi="Times New Roman"/>
          <w:sz w:val="24"/>
          <w:lang w:val="bs-Latn-BA"/>
        </w:rPr>
        <w:t xml:space="preserve"> </w:t>
      </w:r>
      <w:r>
        <w:rPr>
          <w:rFonts w:ascii="Times New Roman" w:hAnsi="Times New Roman"/>
          <w:sz w:val="24"/>
          <w:lang w:val="bs-Latn-BA"/>
        </w:rPr>
        <w:t>конкретне</w:t>
      </w:r>
      <w:r w:rsidR="003A2F08" w:rsidRPr="00295637">
        <w:rPr>
          <w:rFonts w:ascii="Times New Roman" w:hAnsi="Times New Roman"/>
          <w:sz w:val="24"/>
          <w:lang w:val="bs-Latn-BA"/>
        </w:rPr>
        <w:t xml:space="preserve"> </w:t>
      </w:r>
      <w:r>
        <w:rPr>
          <w:rFonts w:ascii="Times New Roman" w:hAnsi="Times New Roman"/>
          <w:sz w:val="24"/>
          <w:lang w:val="bs-Latn-BA"/>
        </w:rPr>
        <w:t>препоруке</w:t>
      </w:r>
      <w:r w:rsidR="003A2F08" w:rsidRPr="00295637">
        <w:rPr>
          <w:rFonts w:ascii="Times New Roman" w:hAnsi="Times New Roman"/>
          <w:sz w:val="24"/>
          <w:lang w:val="bs-Latn-BA"/>
        </w:rPr>
        <w:t xml:space="preserve"> </w:t>
      </w:r>
      <w:r w:rsidR="009153B7">
        <w:rPr>
          <w:rFonts w:ascii="Times New Roman" w:hAnsi="Times New Roman"/>
          <w:sz w:val="24"/>
          <w:lang w:val="sr-Cyrl-BA"/>
        </w:rPr>
        <w:t>с</w:t>
      </w:r>
      <w:r w:rsidR="003A2F08" w:rsidRPr="00295637">
        <w:rPr>
          <w:rFonts w:ascii="Times New Roman" w:hAnsi="Times New Roman"/>
          <w:sz w:val="24"/>
          <w:lang w:val="bs-Latn-BA"/>
        </w:rPr>
        <w:t xml:space="preserve"> </w:t>
      </w:r>
      <w:r>
        <w:rPr>
          <w:rFonts w:ascii="Times New Roman" w:hAnsi="Times New Roman"/>
          <w:sz w:val="24"/>
          <w:lang w:val="bs-Latn-BA"/>
        </w:rPr>
        <w:t>циљ</w:t>
      </w:r>
      <w:r w:rsidR="009153B7">
        <w:rPr>
          <w:rFonts w:ascii="Times New Roman" w:hAnsi="Times New Roman"/>
          <w:sz w:val="24"/>
          <w:lang w:val="sr-Cyrl-BA"/>
        </w:rPr>
        <w:t>ем</w:t>
      </w:r>
      <w:r w:rsidR="003A2F08" w:rsidRPr="00295637">
        <w:rPr>
          <w:rFonts w:ascii="Times New Roman" w:hAnsi="Times New Roman"/>
          <w:sz w:val="24"/>
          <w:lang w:val="bs-Latn-BA"/>
        </w:rPr>
        <w:t xml:space="preserve"> </w:t>
      </w:r>
      <w:r>
        <w:rPr>
          <w:rFonts w:ascii="Times New Roman" w:hAnsi="Times New Roman"/>
          <w:sz w:val="24"/>
          <w:lang w:val="bs-Latn-BA"/>
        </w:rPr>
        <w:t>дјеловања</w:t>
      </w:r>
      <w:r w:rsidR="003A2F08" w:rsidRPr="00295637">
        <w:rPr>
          <w:rFonts w:ascii="Times New Roman" w:hAnsi="Times New Roman"/>
          <w:sz w:val="24"/>
          <w:lang w:val="bs-Latn-BA"/>
        </w:rPr>
        <w:t xml:space="preserve"> </w:t>
      </w:r>
      <w:r>
        <w:rPr>
          <w:rFonts w:ascii="Times New Roman" w:hAnsi="Times New Roman"/>
          <w:sz w:val="24"/>
          <w:lang w:val="bs-Latn-BA"/>
        </w:rPr>
        <w:t>кантоналних</w:t>
      </w:r>
      <w:r w:rsidR="003A2F08" w:rsidRPr="00295637">
        <w:rPr>
          <w:rFonts w:ascii="Times New Roman" w:hAnsi="Times New Roman"/>
          <w:sz w:val="24"/>
          <w:lang w:val="bs-Latn-BA"/>
        </w:rPr>
        <w:t xml:space="preserve"> </w:t>
      </w:r>
      <w:r>
        <w:rPr>
          <w:rFonts w:ascii="Times New Roman" w:hAnsi="Times New Roman"/>
          <w:sz w:val="24"/>
          <w:lang w:val="bs-Latn-BA"/>
        </w:rPr>
        <w:t>институција</w:t>
      </w:r>
      <w:r w:rsidR="003A2F08" w:rsidRPr="00295637">
        <w:rPr>
          <w:rFonts w:ascii="Times New Roman" w:hAnsi="Times New Roman"/>
          <w:sz w:val="24"/>
          <w:lang w:val="bs-Latn-BA"/>
        </w:rPr>
        <w:t xml:space="preserve"> </w:t>
      </w:r>
      <w:r>
        <w:rPr>
          <w:rFonts w:ascii="Times New Roman" w:hAnsi="Times New Roman"/>
          <w:sz w:val="24"/>
          <w:lang w:val="bs-Latn-BA"/>
        </w:rPr>
        <w:t>према</w:t>
      </w:r>
      <w:r w:rsidR="003A2F08" w:rsidRPr="00295637">
        <w:rPr>
          <w:rFonts w:ascii="Times New Roman" w:hAnsi="Times New Roman"/>
          <w:sz w:val="24"/>
          <w:lang w:val="bs-Latn-BA"/>
        </w:rPr>
        <w:t xml:space="preserve"> </w:t>
      </w:r>
      <w:r>
        <w:rPr>
          <w:rFonts w:ascii="Times New Roman" w:hAnsi="Times New Roman"/>
          <w:sz w:val="24"/>
          <w:lang w:val="bs-Latn-BA"/>
        </w:rPr>
        <w:t>Закону</w:t>
      </w:r>
      <w:r w:rsidR="002E3BDE" w:rsidRPr="00295637">
        <w:rPr>
          <w:rFonts w:ascii="Times New Roman" w:hAnsi="Times New Roman"/>
          <w:sz w:val="24"/>
          <w:lang w:val="bs-Latn-BA"/>
        </w:rPr>
        <w:t xml:space="preserve"> </w:t>
      </w:r>
      <w:r>
        <w:rPr>
          <w:rFonts w:ascii="Times New Roman" w:hAnsi="Times New Roman"/>
          <w:sz w:val="24"/>
          <w:lang w:val="bs-Latn-BA"/>
        </w:rPr>
        <w:t>о</w:t>
      </w:r>
      <w:r w:rsidR="002E3BDE" w:rsidRPr="00295637">
        <w:rPr>
          <w:rFonts w:ascii="Times New Roman" w:hAnsi="Times New Roman"/>
          <w:sz w:val="24"/>
          <w:lang w:val="bs-Latn-BA"/>
        </w:rPr>
        <w:t xml:space="preserve"> </w:t>
      </w:r>
      <w:r>
        <w:rPr>
          <w:rFonts w:ascii="Times New Roman" w:hAnsi="Times New Roman"/>
          <w:sz w:val="24"/>
          <w:lang w:val="bs-Latn-BA"/>
        </w:rPr>
        <w:t>заштити</w:t>
      </w:r>
      <w:r w:rsidR="002E3BDE" w:rsidRPr="00295637">
        <w:rPr>
          <w:rFonts w:ascii="Times New Roman" w:hAnsi="Times New Roman"/>
          <w:sz w:val="24"/>
          <w:lang w:val="bs-Latn-BA"/>
        </w:rPr>
        <w:t xml:space="preserve"> </w:t>
      </w:r>
      <w:r>
        <w:rPr>
          <w:rFonts w:ascii="Times New Roman" w:hAnsi="Times New Roman"/>
          <w:sz w:val="24"/>
          <w:lang w:val="bs-Latn-BA"/>
        </w:rPr>
        <w:t>насиља</w:t>
      </w:r>
      <w:r w:rsidR="002E3BDE" w:rsidRPr="00295637">
        <w:rPr>
          <w:rFonts w:ascii="Times New Roman" w:hAnsi="Times New Roman"/>
          <w:sz w:val="24"/>
          <w:lang w:val="bs-Latn-BA"/>
        </w:rPr>
        <w:t xml:space="preserve"> </w:t>
      </w:r>
      <w:r>
        <w:rPr>
          <w:rFonts w:ascii="Times New Roman" w:hAnsi="Times New Roman"/>
          <w:sz w:val="24"/>
          <w:lang w:val="bs-Latn-BA"/>
        </w:rPr>
        <w:t>у</w:t>
      </w:r>
      <w:r w:rsidR="002E3BDE" w:rsidRPr="00295637">
        <w:rPr>
          <w:rFonts w:ascii="Times New Roman" w:hAnsi="Times New Roman"/>
          <w:sz w:val="24"/>
          <w:lang w:val="bs-Latn-BA"/>
        </w:rPr>
        <w:t xml:space="preserve"> </w:t>
      </w:r>
      <w:r>
        <w:rPr>
          <w:rFonts w:ascii="Times New Roman" w:hAnsi="Times New Roman"/>
          <w:sz w:val="24"/>
          <w:lang w:val="bs-Latn-BA"/>
        </w:rPr>
        <w:t>породици</w:t>
      </w:r>
      <w:r w:rsidR="003E1DE3">
        <w:rPr>
          <w:rFonts w:ascii="Times New Roman" w:hAnsi="Times New Roman"/>
          <w:sz w:val="24"/>
          <w:lang w:val="bs-Latn-BA"/>
        </w:rPr>
        <w:t xml:space="preserve"> </w:t>
      </w:r>
      <w:r>
        <w:rPr>
          <w:rFonts w:ascii="Times New Roman" w:hAnsi="Times New Roman"/>
          <w:sz w:val="24"/>
          <w:lang w:val="bs-Latn-BA"/>
        </w:rPr>
        <w:t>ФБиХ</w:t>
      </w:r>
      <w:r w:rsidR="002E3BDE" w:rsidRPr="00295637">
        <w:rPr>
          <w:rFonts w:ascii="Times New Roman" w:hAnsi="Times New Roman"/>
          <w:sz w:val="24"/>
          <w:lang w:val="bs-Latn-BA"/>
        </w:rPr>
        <w:t>.</w:t>
      </w:r>
      <w:r w:rsidR="003A2F08" w:rsidRPr="00295637">
        <w:rPr>
          <w:rFonts w:ascii="Times New Roman" w:hAnsi="Times New Roman"/>
          <w:sz w:val="24"/>
          <w:lang w:val="bs-Latn-BA"/>
        </w:rPr>
        <w:t xml:space="preserve"> </w:t>
      </w:r>
    </w:p>
    <w:p w:rsidR="007E7CD1" w:rsidRPr="00295637" w:rsidRDefault="007E7CD1" w:rsidP="0086268D">
      <w:pPr>
        <w:pStyle w:val="Tekst"/>
        <w:spacing w:before="0"/>
        <w:rPr>
          <w:rFonts w:ascii="Times New Roman" w:hAnsi="Times New Roman"/>
          <w:sz w:val="24"/>
          <w:lang w:val="bs-Latn-BA"/>
        </w:rPr>
      </w:pPr>
    </w:p>
    <w:p w:rsidR="003A2F08" w:rsidRPr="00295637" w:rsidRDefault="00C6214E" w:rsidP="0086268D">
      <w:pPr>
        <w:pStyle w:val="Tekst"/>
        <w:spacing w:before="0"/>
        <w:rPr>
          <w:rFonts w:ascii="Times New Roman" w:hAnsi="Times New Roman"/>
          <w:sz w:val="24"/>
          <w:lang w:val="bs-Latn-BA"/>
        </w:rPr>
      </w:pPr>
      <w:r>
        <w:rPr>
          <w:rFonts w:ascii="Times New Roman" w:hAnsi="Times New Roman"/>
          <w:sz w:val="24"/>
          <w:lang w:val="bs-Latn-BA"/>
        </w:rPr>
        <w:t>Одржана</w:t>
      </w:r>
      <w:r w:rsidR="003A2F08" w:rsidRPr="00295637">
        <w:rPr>
          <w:rFonts w:ascii="Times New Roman" w:hAnsi="Times New Roman"/>
          <w:sz w:val="24"/>
          <w:lang w:val="bs-Latn-BA"/>
        </w:rPr>
        <w:t xml:space="preserve"> </w:t>
      </w:r>
      <w:r>
        <w:rPr>
          <w:rFonts w:ascii="Times New Roman" w:hAnsi="Times New Roman"/>
          <w:sz w:val="24"/>
          <w:lang w:val="bs-Latn-BA"/>
        </w:rPr>
        <w:t>су</w:t>
      </w:r>
      <w:r w:rsidR="003A2F08" w:rsidRPr="00295637">
        <w:rPr>
          <w:rFonts w:ascii="Times New Roman" w:hAnsi="Times New Roman"/>
          <w:sz w:val="24"/>
          <w:lang w:val="bs-Latn-BA"/>
        </w:rPr>
        <w:t xml:space="preserve"> </w:t>
      </w:r>
      <w:r>
        <w:rPr>
          <w:rFonts w:ascii="Times New Roman" w:hAnsi="Times New Roman"/>
          <w:sz w:val="24"/>
          <w:lang w:val="bs-Latn-BA"/>
        </w:rPr>
        <w:t>четири</w:t>
      </w:r>
      <w:r w:rsidR="003A2F08" w:rsidRPr="00295637">
        <w:rPr>
          <w:rFonts w:ascii="Times New Roman" w:hAnsi="Times New Roman"/>
          <w:sz w:val="24"/>
          <w:lang w:val="bs-Latn-BA"/>
        </w:rPr>
        <w:t xml:space="preserve"> </w:t>
      </w:r>
      <w:r>
        <w:rPr>
          <w:rFonts w:ascii="Times New Roman" w:hAnsi="Times New Roman"/>
          <w:sz w:val="24"/>
          <w:lang w:val="bs-Latn-BA"/>
        </w:rPr>
        <w:t>састанка</w:t>
      </w:r>
      <w:r w:rsidR="003A2F08" w:rsidRPr="00295637">
        <w:rPr>
          <w:rFonts w:ascii="Times New Roman" w:hAnsi="Times New Roman"/>
          <w:sz w:val="24"/>
          <w:lang w:val="bs-Latn-BA"/>
        </w:rPr>
        <w:t xml:space="preserve"> </w:t>
      </w:r>
      <w:r>
        <w:rPr>
          <w:rFonts w:ascii="Times New Roman" w:hAnsi="Times New Roman"/>
          <w:bCs/>
          <w:sz w:val="24"/>
          <w:lang w:val="bs-Latn-BA"/>
        </w:rPr>
        <w:t>КО</w:t>
      </w:r>
      <w:r w:rsidR="002B0125" w:rsidRPr="00295637">
        <w:rPr>
          <w:rFonts w:ascii="Times New Roman" w:hAnsi="Times New Roman"/>
          <w:bCs/>
          <w:sz w:val="24"/>
          <w:lang w:val="bs-Latn-BA"/>
        </w:rPr>
        <w:t xml:space="preserve"> </w:t>
      </w:r>
      <w:r>
        <w:rPr>
          <w:rFonts w:ascii="Times New Roman" w:hAnsi="Times New Roman"/>
          <w:bCs/>
          <w:sz w:val="24"/>
          <w:lang w:val="bs-Latn-BA"/>
        </w:rPr>
        <w:t>за</w:t>
      </w:r>
      <w:r w:rsidR="003A2F08" w:rsidRPr="00295637">
        <w:rPr>
          <w:rFonts w:ascii="Times New Roman" w:hAnsi="Times New Roman"/>
          <w:bCs/>
          <w:sz w:val="24"/>
          <w:lang w:val="bs-Latn-BA"/>
        </w:rPr>
        <w:t xml:space="preserve"> </w:t>
      </w:r>
      <w:r w:rsidR="009153B7">
        <w:rPr>
          <w:rFonts w:ascii="Times New Roman" w:hAnsi="Times New Roman"/>
          <w:bCs/>
          <w:sz w:val="24"/>
          <w:lang w:val="sr-Cyrl-BA"/>
        </w:rPr>
        <w:t>спровођење</w:t>
      </w:r>
      <w:r w:rsidR="003A2F08" w:rsidRPr="00295637">
        <w:rPr>
          <w:rFonts w:ascii="Times New Roman" w:hAnsi="Times New Roman"/>
          <w:bCs/>
          <w:sz w:val="24"/>
          <w:lang w:val="bs-Latn-BA"/>
        </w:rPr>
        <w:t xml:space="preserve"> </w:t>
      </w:r>
      <w:r>
        <w:rPr>
          <w:rFonts w:ascii="Times New Roman" w:hAnsi="Times New Roman"/>
          <w:bCs/>
          <w:sz w:val="24"/>
          <w:lang w:val="bs-Latn-BA"/>
        </w:rPr>
        <w:t>ГАП</w:t>
      </w:r>
      <w:r w:rsidR="003A2F08" w:rsidRPr="00295637">
        <w:rPr>
          <w:rFonts w:ascii="Times New Roman" w:hAnsi="Times New Roman"/>
          <w:bCs/>
          <w:sz w:val="24"/>
          <w:lang w:val="bs-Latn-BA"/>
        </w:rPr>
        <w:t xml:space="preserve"> </w:t>
      </w:r>
      <w:r>
        <w:rPr>
          <w:rFonts w:ascii="Times New Roman" w:hAnsi="Times New Roman"/>
          <w:bCs/>
          <w:sz w:val="24"/>
          <w:lang w:val="bs-Latn-BA"/>
        </w:rPr>
        <w:t>КС</w:t>
      </w:r>
      <w:r w:rsidR="003A2F08" w:rsidRPr="00295637">
        <w:rPr>
          <w:rFonts w:ascii="Times New Roman" w:hAnsi="Times New Roman"/>
          <w:sz w:val="24"/>
          <w:lang w:val="bs-Latn-BA"/>
        </w:rPr>
        <w:t xml:space="preserve"> </w:t>
      </w:r>
      <w:r>
        <w:rPr>
          <w:rFonts w:ascii="Times New Roman" w:hAnsi="Times New Roman"/>
          <w:sz w:val="24"/>
          <w:lang w:val="bs-Latn-BA"/>
        </w:rPr>
        <w:t>на</w:t>
      </w:r>
      <w:r w:rsidR="003A2F08" w:rsidRPr="00295637">
        <w:rPr>
          <w:rFonts w:ascii="Times New Roman" w:hAnsi="Times New Roman"/>
          <w:sz w:val="24"/>
          <w:lang w:val="bs-Latn-BA"/>
        </w:rPr>
        <w:t xml:space="preserve"> </w:t>
      </w:r>
      <w:r>
        <w:rPr>
          <w:rFonts w:ascii="Times New Roman" w:hAnsi="Times New Roman"/>
          <w:sz w:val="24"/>
          <w:lang w:val="bs-Latn-BA"/>
        </w:rPr>
        <w:t>којем</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усвојен</w:t>
      </w:r>
      <w:r w:rsidR="003A2F08" w:rsidRPr="00295637">
        <w:rPr>
          <w:rFonts w:ascii="Times New Roman" w:hAnsi="Times New Roman"/>
          <w:sz w:val="24"/>
          <w:lang w:val="bs-Latn-BA"/>
        </w:rPr>
        <w:t xml:space="preserve"> </w:t>
      </w:r>
      <w:r>
        <w:rPr>
          <w:rFonts w:ascii="Times New Roman" w:hAnsi="Times New Roman"/>
          <w:sz w:val="24"/>
          <w:lang w:val="bs-Latn-BA"/>
        </w:rPr>
        <w:t>извјештај</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достављен</w:t>
      </w:r>
      <w:r w:rsidR="003A2F08" w:rsidRPr="00295637">
        <w:rPr>
          <w:rFonts w:ascii="Times New Roman" w:hAnsi="Times New Roman"/>
          <w:sz w:val="24"/>
          <w:lang w:val="bs-Latn-BA"/>
        </w:rPr>
        <w:t xml:space="preserve"> </w:t>
      </w:r>
      <w:r>
        <w:rPr>
          <w:rFonts w:ascii="Times New Roman" w:hAnsi="Times New Roman"/>
          <w:sz w:val="24"/>
          <w:lang w:val="bs-Latn-BA"/>
        </w:rPr>
        <w:t>Скупштини</w:t>
      </w:r>
      <w:r w:rsidR="003A2F08" w:rsidRPr="00295637">
        <w:rPr>
          <w:rFonts w:ascii="Times New Roman" w:hAnsi="Times New Roman"/>
          <w:sz w:val="24"/>
          <w:lang w:val="bs-Latn-BA"/>
        </w:rPr>
        <w:t xml:space="preserve"> </w:t>
      </w:r>
      <w:r>
        <w:rPr>
          <w:rFonts w:ascii="Times New Roman" w:hAnsi="Times New Roman"/>
          <w:sz w:val="24"/>
          <w:lang w:val="bs-Latn-BA"/>
        </w:rPr>
        <w:t>КС</w:t>
      </w:r>
      <w:r w:rsidR="003A2F08" w:rsidRPr="00295637">
        <w:rPr>
          <w:rFonts w:ascii="Times New Roman" w:hAnsi="Times New Roman"/>
          <w:sz w:val="24"/>
          <w:lang w:val="bs-Latn-BA"/>
        </w:rPr>
        <w:t xml:space="preserve">, </w:t>
      </w:r>
      <w:r>
        <w:rPr>
          <w:rFonts w:ascii="Times New Roman" w:hAnsi="Times New Roman"/>
          <w:sz w:val="24"/>
          <w:lang w:val="bs-Latn-BA"/>
        </w:rPr>
        <w:t>те</w:t>
      </w:r>
      <w:r w:rsidR="003A2F08" w:rsidRPr="00295637">
        <w:rPr>
          <w:rFonts w:ascii="Times New Roman" w:hAnsi="Times New Roman"/>
          <w:sz w:val="24"/>
          <w:lang w:val="bs-Latn-BA"/>
        </w:rPr>
        <w:t xml:space="preserve"> </w:t>
      </w:r>
      <w:r>
        <w:rPr>
          <w:rFonts w:ascii="Times New Roman" w:hAnsi="Times New Roman"/>
          <w:sz w:val="24"/>
          <w:lang w:val="bs-Latn-BA"/>
        </w:rPr>
        <w:t>низ</w:t>
      </w:r>
      <w:r w:rsidR="003A2F08" w:rsidRPr="00295637">
        <w:rPr>
          <w:rFonts w:ascii="Times New Roman" w:hAnsi="Times New Roman"/>
          <w:sz w:val="24"/>
          <w:lang w:val="bs-Latn-BA"/>
        </w:rPr>
        <w:t xml:space="preserve"> </w:t>
      </w:r>
      <w:r>
        <w:rPr>
          <w:rFonts w:ascii="Times New Roman" w:hAnsi="Times New Roman"/>
          <w:sz w:val="24"/>
          <w:lang w:val="bs-Latn-BA"/>
        </w:rPr>
        <w:t>других</w:t>
      </w:r>
      <w:r w:rsidR="003A2F08" w:rsidRPr="00295637">
        <w:rPr>
          <w:rFonts w:ascii="Times New Roman" w:hAnsi="Times New Roman"/>
          <w:sz w:val="24"/>
          <w:lang w:val="bs-Latn-BA"/>
        </w:rPr>
        <w:t xml:space="preserve"> </w:t>
      </w:r>
      <w:r>
        <w:rPr>
          <w:rFonts w:ascii="Times New Roman" w:hAnsi="Times New Roman"/>
          <w:sz w:val="24"/>
          <w:lang w:val="bs-Latn-BA"/>
        </w:rPr>
        <w:t>састанака</w:t>
      </w:r>
      <w:r w:rsidR="003A2F08" w:rsidRPr="00295637">
        <w:rPr>
          <w:rFonts w:ascii="Times New Roman" w:hAnsi="Times New Roman"/>
          <w:sz w:val="24"/>
          <w:lang w:val="bs-Latn-BA"/>
        </w:rPr>
        <w:t xml:space="preserve"> </w:t>
      </w:r>
      <w:r w:rsidR="009153B7">
        <w:rPr>
          <w:rFonts w:ascii="Times New Roman" w:hAnsi="Times New Roman"/>
          <w:sz w:val="24"/>
          <w:lang w:val="sr-Cyrl-BA"/>
        </w:rPr>
        <w:t>с</w:t>
      </w:r>
      <w:r w:rsidR="003A2F08" w:rsidRPr="00295637">
        <w:rPr>
          <w:rFonts w:ascii="Times New Roman" w:hAnsi="Times New Roman"/>
          <w:sz w:val="24"/>
          <w:lang w:val="bs-Latn-BA"/>
        </w:rPr>
        <w:t xml:space="preserve"> </w:t>
      </w:r>
      <w:r>
        <w:rPr>
          <w:rFonts w:ascii="Times New Roman" w:hAnsi="Times New Roman"/>
          <w:sz w:val="24"/>
          <w:lang w:val="bs-Latn-BA"/>
        </w:rPr>
        <w:t>циљ</w:t>
      </w:r>
      <w:r w:rsidR="009153B7">
        <w:rPr>
          <w:rFonts w:ascii="Times New Roman" w:hAnsi="Times New Roman"/>
          <w:sz w:val="24"/>
          <w:lang w:val="sr-Cyrl-BA"/>
        </w:rPr>
        <w:t>ем</w:t>
      </w:r>
      <w:r w:rsidR="003A2F08" w:rsidRPr="00295637">
        <w:rPr>
          <w:rFonts w:ascii="Times New Roman" w:hAnsi="Times New Roman"/>
          <w:sz w:val="24"/>
          <w:lang w:val="bs-Latn-BA"/>
        </w:rPr>
        <w:t xml:space="preserve"> </w:t>
      </w:r>
      <w:r>
        <w:rPr>
          <w:rFonts w:ascii="Times New Roman" w:hAnsi="Times New Roman"/>
          <w:sz w:val="24"/>
          <w:lang w:val="bs-Latn-BA"/>
        </w:rPr>
        <w:t>подршке</w:t>
      </w:r>
      <w:r w:rsidR="003A2F08" w:rsidRPr="00295637">
        <w:rPr>
          <w:rFonts w:ascii="Times New Roman" w:hAnsi="Times New Roman"/>
          <w:sz w:val="24"/>
          <w:lang w:val="bs-Latn-BA"/>
        </w:rPr>
        <w:t xml:space="preserve"> </w:t>
      </w:r>
      <w:r>
        <w:rPr>
          <w:rFonts w:ascii="Times New Roman" w:hAnsi="Times New Roman"/>
          <w:sz w:val="24"/>
          <w:lang w:val="bs-Latn-BA"/>
        </w:rPr>
        <w:t>жртвама</w:t>
      </w:r>
      <w:r w:rsidR="003A2F08" w:rsidRPr="00295637">
        <w:rPr>
          <w:rFonts w:ascii="Times New Roman" w:hAnsi="Times New Roman"/>
          <w:sz w:val="24"/>
          <w:lang w:val="bs-Latn-BA"/>
        </w:rPr>
        <w:t xml:space="preserve"> </w:t>
      </w:r>
      <w:r>
        <w:rPr>
          <w:rFonts w:ascii="Times New Roman" w:hAnsi="Times New Roman"/>
          <w:sz w:val="24"/>
          <w:lang w:val="bs-Latn-BA"/>
        </w:rPr>
        <w:t>насиља</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породици</w:t>
      </w:r>
      <w:r w:rsidR="003E1DE3">
        <w:rPr>
          <w:rFonts w:ascii="Times New Roman" w:hAnsi="Times New Roman"/>
          <w:sz w:val="24"/>
          <w:lang w:val="bs-Latn-BA"/>
        </w:rPr>
        <w:t xml:space="preserve"> </w:t>
      </w:r>
      <w:r>
        <w:rPr>
          <w:rFonts w:ascii="Times New Roman" w:hAnsi="Times New Roman"/>
          <w:sz w:val="24"/>
          <w:lang w:val="bs-Latn-BA"/>
        </w:rPr>
        <w:t>и</w:t>
      </w:r>
      <w:r w:rsidR="003E1DE3">
        <w:rPr>
          <w:rFonts w:ascii="Times New Roman" w:hAnsi="Times New Roman"/>
          <w:sz w:val="24"/>
          <w:lang w:val="bs-Latn-BA"/>
        </w:rPr>
        <w:t xml:space="preserve"> </w:t>
      </w:r>
      <w:r>
        <w:rPr>
          <w:rFonts w:ascii="Times New Roman" w:hAnsi="Times New Roman"/>
          <w:sz w:val="24"/>
          <w:lang w:val="bs-Latn-BA"/>
        </w:rPr>
        <w:t>рада</w:t>
      </w:r>
      <w:r w:rsidR="003E1DE3">
        <w:rPr>
          <w:rFonts w:ascii="Times New Roman" w:hAnsi="Times New Roman"/>
          <w:sz w:val="24"/>
          <w:lang w:val="bs-Latn-BA"/>
        </w:rPr>
        <w:t xml:space="preserve"> </w:t>
      </w:r>
      <w:r>
        <w:rPr>
          <w:rFonts w:ascii="Times New Roman" w:hAnsi="Times New Roman"/>
          <w:sz w:val="24"/>
          <w:lang w:val="bs-Latn-BA"/>
        </w:rPr>
        <w:t>са</w:t>
      </w:r>
      <w:r w:rsidR="003A2F08" w:rsidRPr="00295637">
        <w:rPr>
          <w:rFonts w:ascii="Times New Roman" w:hAnsi="Times New Roman"/>
          <w:sz w:val="24"/>
          <w:lang w:val="bs-Latn-BA"/>
        </w:rPr>
        <w:t xml:space="preserve"> </w:t>
      </w:r>
      <w:r>
        <w:rPr>
          <w:rFonts w:ascii="Times New Roman" w:hAnsi="Times New Roman"/>
          <w:sz w:val="24"/>
          <w:lang w:val="bs-Latn-BA"/>
        </w:rPr>
        <w:t>починиоцима</w:t>
      </w:r>
      <w:r w:rsidR="003A2F08" w:rsidRPr="00295637">
        <w:rPr>
          <w:rFonts w:ascii="Times New Roman" w:hAnsi="Times New Roman"/>
          <w:sz w:val="24"/>
          <w:lang w:val="bs-Latn-BA"/>
        </w:rPr>
        <w:t xml:space="preserve"> </w:t>
      </w:r>
      <w:r>
        <w:rPr>
          <w:rFonts w:ascii="Times New Roman" w:hAnsi="Times New Roman"/>
          <w:sz w:val="24"/>
          <w:lang w:val="bs-Latn-BA"/>
        </w:rPr>
        <w:t>насиља</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раду</w:t>
      </w:r>
      <w:r w:rsidR="003A2F08" w:rsidRPr="00295637">
        <w:rPr>
          <w:rFonts w:ascii="Times New Roman" w:hAnsi="Times New Roman"/>
          <w:sz w:val="24"/>
          <w:lang w:val="bs-Latn-BA"/>
        </w:rPr>
        <w:t xml:space="preserve"> </w:t>
      </w:r>
      <w:r>
        <w:rPr>
          <w:rFonts w:ascii="Times New Roman" w:hAnsi="Times New Roman"/>
          <w:sz w:val="24"/>
          <w:lang w:val="bs-Latn-BA"/>
        </w:rPr>
        <w:t>овог</w:t>
      </w:r>
      <w:r w:rsidR="003A2F08" w:rsidRPr="00295637">
        <w:rPr>
          <w:rFonts w:ascii="Times New Roman" w:hAnsi="Times New Roman"/>
          <w:sz w:val="24"/>
          <w:lang w:val="bs-Latn-BA"/>
        </w:rPr>
        <w:t xml:space="preserve"> </w:t>
      </w:r>
      <w:r>
        <w:rPr>
          <w:rFonts w:ascii="Times New Roman" w:hAnsi="Times New Roman"/>
          <w:sz w:val="24"/>
          <w:lang w:val="bs-Latn-BA"/>
        </w:rPr>
        <w:t>органа</w:t>
      </w:r>
      <w:r w:rsidR="003A2F08" w:rsidRPr="00295637">
        <w:rPr>
          <w:rFonts w:ascii="Times New Roman" w:hAnsi="Times New Roman"/>
          <w:sz w:val="24"/>
          <w:lang w:val="bs-Latn-BA"/>
        </w:rPr>
        <w:t xml:space="preserve"> </w:t>
      </w:r>
      <w:r>
        <w:rPr>
          <w:rFonts w:ascii="Times New Roman" w:hAnsi="Times New Roman"/>
          <w:sz w:val="24"/>
          <w:lang w:val="bs-Latn-BA"/>
        </w:rPr>
        <w:t>значајну</w:t>
      </w:r>
      <w:r w:rsidR="002B0125" w:rsidRPr="00295637">
        <w:rPr>
          <w:rFonts w:ascii="Times New Roman" w:hAnsi="Times New Roman"/>
          <w:sz w:val="24"/>
          <w:lang w:val="bs-Latn-BA"/>
        </w:rPr>
        <w:t xml:space="preserve"> </w:t>
      </w:r>
      <w:r>
        <w:rPr>
          <w:rFonts w:ascii="Times New Roman" w:hAnsi="Times New Roman"/>
          <w:sz w:val="24"/>
          <w:lang w:val="bs-Latn-BA"/>
        </w:rPr>
        <w:t>подршку</w:t>
      </w:r>
      <w:r w:rsidR="002B0125" w:rsidRPr="00295637">
        <w:rPr>
          <w:rFonts w:ascii="Times New Roman" w:hAnsi="Times New Roman"/>
          <w:sz w:val="24"/>
          <w:lang w:val="bs-Latn-BA"/>
        </w:rPr>
        <w:t xml:space="preserve"> </w:t>
      </w:r>
      <w:r>
        <w:rPr>
          <w:rFonts w:ascii="Times New Roman" w:hAnsi="Times New Roman"/>
          <w:sz w:val="24"/>
          <w:lang w:val="bs-Latn-BA"/>
        </w:rPr>
        <w:t>даје</w:t>
      </w:r>
      <w:r w:rsidR="002B0125" w:rsidRPr="00295637">
        <w:rPr>
          <w:rFonts w:ascii="Times New Roman" w:hAnsi="Times New Roman"/>
          <w:sz w:val="24"/>
          <w:lang w:val="bs-Latn-BA"/>
        </w:rPr>
        <w:t xml:space="preserve"> </w:t>
      </w:r>
      <w:r>
        <w:rPr>
          <w:rFonts w:ascii="Times New Roman" w:hAnsi="Times New Roman"/>
          <w:sz w:val="24"/>
          <w:lang w:val="bs-Latn-BA"/>
        </w:rPr>
        <w:t>и</w:t>
      </w:r>
      <w:r w:rsidR="002B0125" w:rsidRPr="00295637">
        <w:rPr>
          <w:rFonts w:ascii="Times New Roman" w:hAnsi="Times New Roman"/>
          <w:sz w:val="24"/>
          <w:lang w:val="bs-Latn-BA"/>
        </w:rPr>
        <w:t xml:space="preserve"> </w:t>
      </w:r>
      <w:r>
        <w:rPr>
          <w:rFonts w:ascii="Times New Roman" w:hAnsi="Times New Roman"/>
          <w:sz w:val="24"/>
          <w:lang w:val="bs-Latn-BA"/>
        </w:rPr>
        <w:t>Тужилаштво</w:t>
      </w:r>
      <w:r w:rsidR="002B0125" w:rsidRPr="00295637">
        <w:rPr>
          <w:rFonts w:ascii="Times New Roman" w:hAnsi="Times New Roman"/>
          <w:sz w:val="24"/>
          <w:lang w:val="bs-Latn-BA"/>
        </w:rPr>
        <w:t xml:space="preserve"> </w:t>
      </w:r>
      <w:r>
        <w:rPr>
          <w:rFonts w:ascii="Times New Roman" w:hAnsi="Times New Roman"/>
          <w:sz w:val="24"/>
          <w:lang w:val="bs-Latn-BA"/>
        </w:rPr>
        <w:t>КС</w:t>
      </w:r>
      <w:r w:rsidR="002B0125" w:rsidRPr="00295637">
        <w:rPr>
          <w:rFonts w:ascii="Times New Roman" w:hAnsi="Times New Roman"/>
          <w:sz w:val="24"/>
          <w:lang w:val="bs-Latn-BA"/>
        </w:rPr>
        <w:t xml:space="preserve">. </w:t>
      </w:r>
      <w:r w:rsidR="009153B7">
        <w:rPr>
          <w:rFonts w:ascii="Times New Roman" w:hAnsi="Times New Roman"/>
          <w:sz w:val="24"/>
          <w:lang w:val="bs-Latn-BA"/>
        </w:rPr>
        <w:t>Такође</w:t>
      </w:r>
      <w:r w:rsidR="002B0125" w:rsidRPr="00295637">
        <w:rPr>
          <w:rFonts w:ascii="Times New Roman" w:hAnsi="Times New Roman"/>
          <w:sz w:val="24"/>
          <w:lang w:val="bs-Latn-BA"/>
        </w:rPr>
        <w:t xml:space="preserve">, </w:t>
      </w:r>
      <w:r>
        <w:rPr>
          <w:rFonts w:ascii="Times New Roman" w:hAnsi="Times New Roman"/>
          <w:sz w:val="24"/>
          <w:lang w:val="bs-Latn-BA"/>
        </w:rPr>
        <w:t>одржан</w:t>
      </w:r>
      <w:r w:rsidR="003A2F08" w:rsidRPr="00295637">
        <w:rPr>
          <w:rFonts w:ascii="Times New Roman" w:hAnsi="Times New Roman"/>
          <w:sz w:val="24"/>
          <w:lang w:val="bs-Latn-BA"/>
        </w:rPr>
        <w:t xml:space="preserve"> </w:t>
      </w:r>
      <w:r>
        <w:rPr>
          <w:rFonts w:ascii="Times New Roman" w:hAnsi="Times New Roman"/>
          <w:sz w:val="24"/>
          <w:lang w:val="bs-Latn-BA"/>
        </w:rPr>
        <w:t>је</w:t>
      </w:r>
      <w:r w:rsidR="003E1DE3">
        <w:rPr>
          <w:rFonts w:ascii="Times New Roman" w:hAnsi="Times New Roman"/>
          <w:sz w:val="24"/>
          <w:lang w:val="bs-Latn-BA"/>
        </w:rPr>
        <w:t xml:space="preserve"> </w:t>
      </w:r>
      <w:r>
        <w:rPr>
          <w:rFonts w:ascii="Times New Roman" w:hAnsi="Times New Roman"/>
          <w:sz w:val="24"/>
          <w:lang w:val="bs-Latn-BA"/>
        </w:rPr>
        <w:t>састанак</w:t>
      </w:r>
      <w:r w:rsidR="003A2F08" w:rsidRPr="00295637">
        <w:rPr>
          <w:rFonts w:ascii="Times New Roman" w:hAnsi="Times New Roman"/>
          <w:sz w:val="24"/>
          <w:lang w:val="bs-Latn-BA"/>
        </w:rPr>
        <w:t xml:space="preserve"> </w:t>
      </w:r>
      <w:r>
        <w:rPr>
          <w:rFonts w:ascii="Times New Roman" w:hAnsi="Times New Roman"/>
          <w:sz w:val="24"/>
          <w:lang w:val="bs-Latn-BA"/>
        </w:rPr>
        <w:t>чланова</w:t>
      </w:r>
      <w:r w:rsidR="003A2F08" w:rsidRPr="00295637">
        <w:rPr>
          <w:rFonts w:ascii="Times New Roman" w:hAnsi="Times New Roman"/>
          <w:sz w:val="24"/>
          <w:lang w:val="bs-Latn-BA"/>
        </w:rPr>
        <w:t xml:space="preserve"> </w:t>
      </w:r>
      <w:r>
        <w:rPr>
          <w:rFonts w:ascii="Times New Roman" w:hAnsi="Times New Roman"/>
          <w:bCs/>
          <w:sz w:val="24"/>
          <w:lang w:val="bs-Latn-BA"/>
        </w:rPr>
        <w:t>КО</w:t>
      </w:r>
      <w:r w:rsidR="003A2F08" w:rsidRPr="00295637">
        <w:rPr>
          <w:rFonts w:ascii="Times New Roman" w:hAnsi="Times New Roman"/>
          <w:bCs/>
          <w:sz w:val="24"/>
          <w:lang w:val="bs-Latn-BA"/>
        </w:rPr>
        <w:t xml:space="preserve"> </w:t>
      </w:r>
      <w:r>
        <w:rPr>
          <w:rFonts w:ascii="Times New Roman" w:hAnsi="Times New Roman"/>
          <w:bCs/>
          <w:sz w:val="24"/>
          <w:lang w:val="bs-Latn-BA"/>
        </w:rPr>
        <w:t>за</w:t>
      </w:r>
      <w:r w:rsidR="003A2F08" w:rsidRPr="00295637">
        <w:rPr>
          <w:rFonts w:ascii="Times New Roman" w:hAnsi="Times New Roman"/>
          <w:bCs/>
          <w:sz w:val="24"/>
          <w:lang w:val="bs-Latn-BA"/>
        </w:rPr>
        <w:t xml:space="preserve"> </w:t>
      </w:r>
      <w:r>
        <w:rPr>
          <w:rFonts w:ascii="Times New Roman" w:hAnsi="Times New Roman"/>
          <w:bCs/>
          <w:sz w:val="24"/>
          <w:lang w:val="bs-Latn-BA"/>
        </w:rPr>
        <w:t>праћење</w:t>
      </w:r>
      <w:r w:rsidR="003A2F08" w:rsidRPr="00295637">
        <w:rPr>
          <w:rFonts w:ascii="Times New Roman" w:hAnsi="Times New Roman"/>
          <w:bCs/>
          <w:sz w:val="24"/>
          <w:lang w:val="bs-Latn-BA"/>
        </w:rPr>
        <w:t xml:space="preserve"> </w:t>
      </w:r>
      <w:r>
        <w:rPr>
          <w:rFonts w:ascii="Times New Roman" w:hAnsi="Times New Roman"/>
          <w:bCs/>
          <w:sz w:val="24"/>
          <w:lang w:val="bs-Latn-BA"/>
        </w:rPr>
        <w:t>ГАП</w:t>
      </w:r>
      <w:r w:rsidR="003A2F08" w:rsidRPr="00295637">
        <w:rPr>
          <w:rFonts w:ascii="Times New Roman" w:hAnsi="Times New Roman"/>
          <w:bCs/>
          <w:sz w:val="24"/>
          <w:lang w:val="bs-Latn-BA"/>
        </w:rPr>
        <w:t xml:space="preserve"> </w:t>
      </w:r>
      <w:r>
        <w:rPr>
          <w:rFonts w:ascii="Times New Roman" w:hAnsi="Times New Roman"/>
          <w:bCs/>
          <w:sz w:val="24"/>
          <w:lang w:val="bs-Latn-BA"/>
        </w:rPr>
        <w:t>ТК</w:t>
      </w:r>
      <w:r w:rsidR="003E1DE3">
        <w:rPr>
          <w:rFonts w:ascii="Times New Roman" w:hAnsi="Times New Roman"/>
          <w:bCs/>
          <w:sz w:val="24"/>
          <w:lang w:val="bs-Latn-BA"/>
        </w:rPr>
        <w:t>,</w:t>
      </w:r>
      <w:r w:rsidR="003A2F08" w:rsidRPr="00295637">
        <w:rPr>
          <w:rFonts w:ascii="Times New Roman" w:hAnsi="Times New Roman"/>
          <w:sz w:val="24"/>
          <w:lang w:val="bs-Latn-BA"/>
        </w:rPr>
        <w:t xml:space="preserve"> </w:t>
      </w:r>
      <w:r>
        <w:rPr>
          <w:rFonts w:ascii="Times New Roman" w:hAnsi="Times New Roman"/>
          <w:sz w:val="24"/>
          <w:lang w:val="bs-Latn-BA"/>
        </w:rPr>
        <w:t>а</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организацији</w:t>
      </w:r>
      <w:r w:rsidR="003A2F08" w:rsidRPr="00295637">
        <w:rPr>
          <w:rFonts w:ascii="Times New Roman" w:hAnsi="Times New Roman"/>
          <w:sz w:val="24"/>
          <w:lang w:val="bs-Latn-BA"/>
        </w:rPr>
        <w:t xml:space="preserve"> </w:t>
      </w:r>
      <w:r>
        <w:rPr>
          <w:rFonts w:ascii="Times New Roman" w:hAnsi="Times New Roman"/>
          <w:sz w:val="24"/>
          <w:lang w:val="bs-Latn-BA"/>
        </w:rPr>
        <w:t>Министарства</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w:t>
      </w:r>
      <w:r>
        <w:rPr>
          <w:rFonts w:ascii="Times New Roman" w:hAnsi="Times New Roman"/>
          <w:sz w:val="24"/>
          <w:lang w:val="bs-Latn-BA"/>
        </w:rPr>
        <w:t>рад</w:t>
      </w:r>
      <w:r w:rsidR="003A2F08" w:rsidRPr="00295637">
        <w:rPr>
          <w:rFonts w:ascii="Times New Roman" w:hAnsi="Times New Roman"/>
          <w:sz w:val="24"/>
          <w:lang w:val="bs-Latn-BA"/>
        </w:rPr>
        <w:t xml:space="preserve">, </w:t>
      </w:r>
      <w:r>
        <w:rPr>
          <w:rFonts w:ascii="Times New Roman" w:hAnsi="Times New Roman"/>
          <w:sz w:val="24"/>
          <w:lang w:val="bs-Latn-BA"/>
        </w:rPr>
        <w:t>социјалну</w:t>
      </w:r>
      <w:r w:rsidR="003A2F08" w:rsidRPr="00295637">
        <w:rPr>
          <w:rFonts w:ascii="Times New Roman" w:hAnsi="Times New Roman"/>
          <w:sz w:val="24"/>
          <w:lang w:val="bs-Latn-BA"/>
        </w:rPr>
        <w:t xml:space="preserve"> </w:t>
      </w:r>
      <w:r>
        <w:rPr>
          <w:rFonts w:ascii="Times New Roman" w:hAnsi="Times New Roman"/>
          <w:sz w:val="24"/>
          <w:lang w:val="bs-Latn-BA"/>
        </w:rPr>
        <w:t>политику</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повратак</w:t>
      </w:r>
      <w:r w:rsidR="003A2F08" w:rsidRPr="00295637">
        <w:rPr>
          <w:rFonts w:ascii="Times New Roman" w:hAnsi="Times New Roman"/>
          <w:sz w:val="24"/>
          <w:lang w:val="bs-Latn-BA"/>
        </w:rPr>
        <w:t xml:space="preserve"> </w:t>
      </w:r>
      <w:r>
        <w:rPr>
          <w:rFonts w:ascii="Times New Roman" w:hAnsi="Times New Roman"/>
          <w:sz w:val="24"/>
          <w:lang w:val="bs-Latn-BA"/>
        </w:rPr>
        <w:t>ТК</w:t>
      </w:r>
      <w:r w:rsidR="003A2F08" w:rsidRPr="00295637">
        <w:rPr>
          <w:rFonts w:ascii="Times New Roman" w:hAnsi="Times New Roman"/>
          <w:sz w:val="24"/>
          <w:lang w:val="bs-Latn-BA"/>
        </w:rPr>
        <w:t>.</w:t>
      </w:r>
      <w:r w:rsidR="007A7A99" w:rsidRPr="00295637">
        <w:rPr>
          <w:rFonts w:ascii="Times New Roman" w:hAnsi="Times New Roman"/>
          <w:sz w:val="24"/>
          <w:lang w:val="bs-Latn-BA"/>
        </w:rPr>
        <w:t xml:space="preserve"> </w:t>
      </w:r>
      <w:r>
        <w:rPr>
          <w:rFonts w:ascii="Times New Roman" w:hAnsi="Times New Roman"/>
          <w:sz w:val="24"/>
          <w:lang w:val="bs-Latn-BA"/>
        </w:rPr>
        <w:t>Одржано</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пет</w:t>
      </w:r>
      <w:r w:rsidR="003A2F08" w:rsidRPr="00295637">
        <w:rPr>
          <w:rFonts w:ascii="Times New Roman" w:hAnsi="Times New Roman"/>
          <w:sz w:val="24"/>
          <w:lang w:val="bs-Latn-BA"/>
        </w:rPr>
        <w:t xml:space="preserve"> </w:t>
      </w:r>
      <w:r>
        <w:rPr>
          <w:rFonts w:ascii="Times New Roman" w:hAnsi="Times New Roman"/>
          <w:bCs/>
          <w:sz w:val="24"/>
          <w:lang w:val="bs-Latn-BA"/>
        </w:rPr>
        <w:t>радионица</w:t>
      </w:r>
      <w:r w:rsidR="003A2F08" w:rsidRPr="00295637">
        <w:rPr>
          <w:rFonts w:ascii="Times New Roman" w:hAnsi="Times New Roman"/>
          <w:bCs/>
          <w:sz w:val="24"/>
          <w:lang w:val="bs-Latn-BA"/>
        </w:rPr>
        <w:t xml:space="preserve"> </w:t>
      </w:r>
      <w:r>
        <w:rPr>
          <w:rFonts w:ascii="Times New Roman" w:hAnsi="Times New Roman"/>
          <w:bCs/>
          <w:sz w:val="24"/>
          <w:lang w:val="bs-Latn-BA"/>
        </w:rPr>
        <w:t>за</w:t>
      </w:r>
      <w:r w:rsidR="003A2F08" w:rsidRPr="00295637">
        <w:rPr>
          <w:rFonts w:ascii="Times New Roman" w:hAnsi="Times New Roman"/>
          <w:bCs/>
          <w:sz w:val="24"/>
          <w:lang w:val="bs-Latn-BA"/>
        </w:rPr>
        <w:t xml:space="preserve"> </w:t>
      </w:r>
      <w:r>
        <w:rPr>
          <w:rFonts w:ascii="Times New Roman" w:hAnsi="Times New Roman"/>
          <w:bCs/>
          <w:sz w:val="24"/>
          <w:lang w:val="bs-Latn-BA"/>
        </w:rPr>
        <w:t>социјалне</w:t>
      </w:r>
      <w:r w:rsidR="003A2F08" w:rsidRPr="00295637">
        <w:rPr>
          <w:rFonts w:ascii="Times New Roman" w:hAnsi="Times New Roman"/>
          <w:bCs/>
          <w:sz w:val="24"/>
          <w:lang w:val="bs-Latn-BA"/>
        </w:rPr>
        <w:t xml:space="preserve"> </w:t>
      </w:r>
      <w:r>
        <w:rPr>
          <w:rFonts w:ascii="Times New Roman" w:hAnsi="Times New Roman"/>
          <w:bCs/>
          <w:sz w:val="24"/>
          <w:lang w:val="bs-Latn-BA"/>
        </w:rPr>
        <w:t>раднике</w:t>
      </w:r>
      <w:r w:rsidR="003A2F08" w:rsidRPr="00295637">
        <w:rPr>
          <w:rFonts w:ascii="Times New Roman" w:hAnsi="Times New Roman"/>
          <w:b/>
          <w:bCs/>
          <w:sz w:val="24"/>
          <w:lang w:val="bs-Latn-BA"/>
        </w:rPr>
        <w:t xml:space="preserve"> </w:t>
      </w:r>
      <w:r>
        <w:rPr>
          <w:rFonts w:ascii="Times New Roman" w:hAnsi="Times New Roman"/>
          <w:sz w:val="24"/>
          <w:lang w:val="bs-Latn-BA"/>
        </w:rPr>
        <w:t>те</w:t>
      </w:r>
      <w:r w:rsidR="003A2F08" w:rsidRPr="00295637">
        <w:rPr>
          <w:rFonts w:ascii="Times New Roman" w:hAnsi="Times New Roman"/>
          <w:sz w:val="24"/>
          <w:lang w:val="bs-Latn-BA"/>
        </w:rPr>
        <w:t xml:space="preserve"> </w:t>
      </w:r>
      <w:r>
        <w:rPr>
          <w:rFonts w:ascii="Times New Roman" w:hAnsi="Times New Roman"/>
          <w:sz w:val="24"/>
          <w:lang w:val="bs-Latn-BA"/>
        </w:rPr>
        <w:t>представнике</w:t>
      </w:r>
      <w:r w:rsidR="003A2F08" w:rsidRPr="00295637">
        <w:rPr>
          <w:rFonts w:ascii="Times New Roman" w:hAnsi="Times New Roman"/>
          <w:sz w:val="24"/>
          <w:lang w:val="bs-Latn-BA"/>
        </w:rPr>
        <w:t xml:space="preserve"> </w:t>
      </w:r>
      <w:r>
        <w:rPr>
          <w:rFonts w:ascii="Times New Roman" w:hAnsi="Times New Roman"/>
          <w:sz w:val="24"/>
          <w:lang w:val="bs-Latn-BA"/>
        </w:rPr>
        <w:t>кантоналних</w:t>
      </w:r>
      <w:r w:rsidR="003A2F08" w:rsidRPr="00295637">
        <w:rPr>
          <w:rFonts w:ascii="Times New Roman" w:hAnsi="Times New Roman"/>
          <w:sz w:val="24"/>
          <w:lang w:val="bs-Latn-BA"/>
        </w:rPr>
        <w:t xml:space="preserve"> </w:t>
      </w:r>
      <w:r>
        <w:rPr>
          <w:rFonts w:ascii="Times New Roman" w:hAnsi="Times New Roman"/>
          <w:sz w:val="24"/>
          <w:lang w:val="bs-Latn-BA"/>
        </w:rPr>
        <w:t>министарстава</w:t>
      </w:r>
      <w:r w:rsidR="003A2F08" w:rsidRPr="00295637">
        <w:rPr>
          <w:rFonts w:ascii="Times New Roman" w:hAnsi="Times New Roman"/>
          <w:sz w:val="24"/>
          <w:lang w:val="bs-Latn-BA"/>
        </w:rPr>
        <w:t xml:space="preserve"> </w:t>
      </w:r>
      <w:r>
        <w:rPr>
          <w:rFonts w:ascii="Times New Roman" w:hAnsi="Times New Roman"/>
          <w:sz w:val="24"/>
          <w:lang w:val="bs-Latn-BA"/>
        </w:rPr>
        <w:t>на</w:t>
      </w:r>
      <w:r w:rsidR="003A2F08" w:rsidRPr="00295637">
        <w:rPr>
          <w:rFonts w:ascii="Times New Roman" w:hAnsi="Times New Roman"/>
          <w:sz w:val="24"/>
          <w:lang w:val="bs-Latn-BA"/>
        </w:rPr>
        <w:t xml:space="preserve"> </w:t>
      </w:r>
      <w:r>
        <w:rPr>
          <w:rFonts w:ascii="Times New Roman" w:hAnsi="Times New Roman"/>
          <w:sz w:val="24"/>
          <w:lang w:val="bs-Latn-BA"/>
        </w:rPr>
        <w:t>тему</w:t>
      </w:r>
      <w:r w:rsidR="003A2F08" w:rsidRPr="00295637">
        <w:rPr>
          <w:rFonts w:ascii="Times New Roman" w:hAnsi="Times New Roman"/>
          <w:sz w:val="24"/>
          <w:lang w:val="bs-Latn-BA"/>
        </w:rPr>
        <w:t xml:space="preserve"> </w:t>
      </w:r>
      <w:r>
        <w:rPr>
          <w:rFonts w:ascii="Times New Roman" w:hAnsi="Times New Roman"/>
          <w:sz w:val="24"/>
          <w:lang w:val="bs-Latn-BA"/>
        </w:rPr>
        <w:t>дјеловања</w:t>
      </w:r>
      <w:r w:rsidR="00351302" w:rsidRPr="00295637">
        <w:rPr>
          <w:rFonts w:ascii="Times New Roman" w:hAnsi="Times New Roman"/>
          <w:sz w:val="24"/>
          <w:lang w:val="bs-Latn-BA"/>
        </w:rPr>
        <w:t xml:space="preserve"> </w:t>
      </w:r>
      <w:r>
        <w:rPr>
          <w:rFonts w:ascii="Times New Roman" w:hAnsi="Times New Roman"/>
          <w:sz w:val="24"/>
          <w:lang w:val="bs-Latn-BA"/>
        </w:rPr>
        <w:t>за</w:t>
      </w:r>
      <w:r w:rsidR="00351302" w:rsidRPr="00295637">
        <w:rPr>
          <w:rFonts w:ascii="Times New Roman" w:hAnsi="Times New Roman"/>
          <w:sz w:val="24"/>
          <w:lang w:val="bs-Latn-BA"/>
        </w:rPr>
        <w:t xml:space="preserve"> </w:t>
      </w:r>
      <w:r>
        <w:rPr>
          <w:rFonts w:ascii="Times New Roman" w:hAnsi="Times New Roman"/>
          <w:sz w:val="24"/>
          <w:lang w:val="bs-Latn-BA"/>
        </w:rPr>
        <w:t>равноправност</w:t>
      </w:r>
      <w:r w:rsidR="00351302" w:rsidRPr="00295637">
        <w:rPr>
          <w:rFonts w:ascii="Times New Roman" w:hAnsi="Times New Roman"/>
          <w:sz w:val="24"/>
          <w:lang w:val="bs-Latn-BA"/>
        </w:rPr>
        <w:t xml:space="preserve"> </w:t>
      </w:r>
      <w:r>
        <w:rPr>
          <w:rFonts w:ascii="Times New Roman" w:hAnsi="Times New Roman"/>
          <w:sz w:val="24"/>
          <w:lang w:val="bs-Latn-BA"/>
        </w:rPr>
        <w:t>полова</w:t>
      </w:r>
      <w:r w:rsidR="00351302" w:rsidRPr="00295637">
        <w:rPr>
          <w:rFonts w:ascii="Times New Roman" w:hAnsi="Times New Roman"/>
          <w:sz w:val="24"/>
          <w:lang w:val="bs-Latn-BA"/>
        </w:rPr>
        <w:t>.</w:t>
      </w:r>
    </w:p>
    <w:p w:rsidR="00351302" w:rsidRPr="00295637" w:rsidRDefault="00351302" w:rsidP="0086268D">
      <w:pPr>
        <w:pStyle w:val="Tekst"/>
        <w:spacing w:before="0"/>
        <w:rPr>
          <w:rFonts w:ascii="Times New Roman" w:hAnsi="Times New Roman"/>
          <w:sz w:val="24"/>
          <w:lang w:val="bs-Latn-BA"/>
        </w:rPr>
      </w:pPr>
    </w:p>
    <w:p w:rsidR="003A2F08" w:rsidRPr="00295637" w:rsidRDefault="00C6214E" w:rsidP="0086268D">
      <w:pPr>
        <w:pStyle w:val="Tekst"/>
        <w:spacing w:before="0"/>
        <w:rPr>
          <w:rFonts w:ascii="Times New Roman" w:hAnsi="Times New Roman"/>
          <w:sz w:val="24"/>
          <w:lang w:val="bs-Latn-BA"/>
        </w:rPr>
      </w:pPr>
      <w:r>
        <w:rPr>
          <w:rFonts w:ascii="Times New Roman" w:hAnsi="Times New Roman"/>
          <w:sz w:val="24"/>
          <w:lang w:val="bs-Latn-BA"/>
        </w:rPr>
        <w:t>Као</w:t>
      </w:r>
      <w:r w:rsidR="003A2F08" w:rsidRPr="00295637">
        <w:rPr>
          <w:rFonts w:ascii="Times New Roman" w:hAnsi="Times New Roman"/>
          <w:sz w:val="24"/>
          <w:lang w:val="bs-Latn-BA"/>
        </w:rPr>
        <w:t xml:space="preserve"> </w:t>
      </w:r>
      <w:r>
        <w:rPr>
          <w:rFonts w:ascii="Times New Roman" w:hAnsi="Times New Roman"/>
          <w:sz w:val="24"/>
          <w:lang w:val="bs-Latn-BA"/>
        </w:rPr>
        <w:t>резултат</w:t>
      </w:r>
      <w:r w:rsidR="003A2F08" w:rsidRPr="00295637">
        <w:rPr>
          <w:rFonts w:ascii="Times New Roman" w:hAnsi="Times New Roman"/>
          <w:sz w:val="24"/>
          <w:lang w:val="bs-Latn-BA"/>
        </w:rPr>
        <w:t xml:space="preserve"> </w:t>
      </w:r>
      <w:r>
        <w:rPr>
          <w:rFonts w:ascii="Times New Roman" w:hAnsi="Times New Roman"/>
          <w:sz w:val="24"/>
          <w:lang w:val="bs-Latn-BA"/>
        </w:rPr>
        <w:t>едукативних</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промотивних</w:t>
      </w:r>
      <w:r w:rsidR="003A2F08" w:rsidRPr="00295637">
        <w:rPr>
          <w:rFonts w:ascii="Times New Roman" w:hAnsi="Times New Roman"/>
          <w:sz w:val="24"/>
          <w:lang w:val="bs-Latn-BA"/>
        </w:rPr>
        <w:t xml:space="preserve"> </w:t>
      </w:r>
      <w:r>
        <w:rPr>
          <w:rFonts w:ascii="Times New Roman" w:hAnsi="Times New Roman"/>
          <w:sz w:val="24"/>
          <w:lang w:val="bs-Latn-BA"/>
        </w:rPr>
        <w:t>активности</w:t>
      </w:r>
      <w:r w:rsidR="00E9183A">
        <w:rPr>
          <w:rFonts w:ascii="Times New Roman" w:hAnsi="Times New Roman"/>
          <w:sz w:val="24"/>
          <w:lang w:val="bs-Latn-BA"/>
        </w:rPr>
        <w:t xml:space="preserve"> </w:t>
      </w:r>
      <w:r>
        <w:rPr>
          <w:rFonts w:ascii="Times New Roman" w:hAnsi="Times New Roman"/>
          <w:sz w:val="24"/>
          <w:lang w:val="bs-Latn-BA"/>
        </w:rPr>
        <w:t>за</w:t>
      </w:r>
      <w:r w:rsidR="00E9183A">
        <w:rPr>
          <w:rFonts w:ascii="Times New Roman" w:hAnsi="Times New Roman"/>
          <w:sz w:val="24"/>
          <w:lang w:val="bs-Latn-BA"/>
        </w:rPr>
        <w:t xml:space="preserve"> </w:t>
      </w:r>
      <w:r>
        <w:rPr>
          <w:rFonts w:ascii="Times New Roman" w:hAnsi="Times New Roman"/>
          <w:sz w:val="24"/>
          <w:lang w:val="bs-Latn-BA"/>
        </w:rPr>
        <w:t>подизање</w:t>
      </w:r>
      <w:r w:rsidR="00E9183A">
        <w:rPr>
          <w:rFonts w:ascii="Times New Roman" w:hAnsi="Times New Roman"/>
          <w:sz w:val="24"/>
          <w:lang w:val="bs-Latn-BA"/>
        </w:rPr>
        <w:t xml:space="preserve"> </w:t>
      </w:r>
      <w:r>
        <w:rPr>
          <w:rFonts w:ascii="Times New Roman" w:hAnsi="Times New Roman"/>
          <w:sz w:val="24"/>
          <w:lang w:val="bs-Latn-BA"/>
        </w:rPr>
        <w:t>свијести</w:t>
      </w:r>
      <w:r w:rsidR="00E9183A">
        <w:rPr>
          <w:rFonts w:ascii="Times New Roman" w:hAnsi="Times New Roman"/>
          <w:sz w:val="24"/>
          <w:lang w:val="bs-Latn-BA"/>
        </w:rPr>
        <w:t xml:space="preserve"> </w:t>
      </w:r>
      <w:r>
        <w:rPr>
          <w:rFonts w:ascii="Times New Roman" w:hAnsi="Times New Roman"/>
          <w:sz w:val="24"/>
          <w:lang w:val="bs-Latn-BA"/>
        </w:rPr>
        <w:t>институција</w:t>
      </w:r>
      <w:r w:rsidR="003A2F08" w:rsidRPr="00295637">
        <w:rPr>
          <w:rFonts w:ascii="Times New Roman" w:hAnsi="Times New Roman"/>
          <w:sz w:val="24"/>
          <w:lang w:val="bs-Latn-BA"/>
        </w:rPr>
        <w:t xml:space="preserve"> </w:t>
      </w:r>
      <w:r>
        <w:rPr>
          <w:rFonts w:ascii="Times New Roman" w:hAnsi="Times New Roman"/>
          <w:sz w:val="24"/>
          <w:lang w:val="bs-Latn-BA"/>
        </w:rPr>
        <w:t>о</w:t>
      </w:r>
      <w:r w:rsidR="003A2F08" w:rsidRPr="00295637">
        <w:rPr>
          <w:rFonts w:ascii="Times New Roman" w:hAnsi="Times New Roman"/>
          <w:sz w:val="24"/>
          <w:lang w:val="bs-Latn-BA"/>
        </w:rPr>
        <w:t xml:space="preserve"> </w:t>
      </w:r>
      <w:r>
        <w:rPr>
          <w:rFonts w:ascii="Times New Roman" w:hAnsi="Times New Roman"/>
          <w:sz w:val="24"/>
          <w:lang w:val="bs-Latn-BA"/>
        </w:rPr>
        <w:t>важности</w:t>
      </w:r>
      <w:r w:rsidR="003A2F08" w:rsidRPr="00295637">
        <w:rPr>
          <w:rFonts w:ascii="Times New Roman" w:hAnsi="Times New Roman"/>
          <w:sz w:val="24"/>
          <w:lang w:val="bs-Latn-BA"/>
        </w:rPr>
        <w:t xml:space="preserve"> </w:t>
      </w:r>
      <w:r>
        <w:rPr>
          <w:rFonts w:ascii="Times New Roman" w:hAnsi="Times New Roman"/>
          <w:sz w:val="24"/>
          <w:lang w:val="bs-Latn-BA"/>
        </w:rPr>
        <w:t>доношења</w:t>
      </w:r>
      <w:r w:rsidR="003A2F08" w:rsidRPr="00295637">
        <w:rPr>
          <w:rFonts w:ascii="Times New Roman" w:hAnsi="Times New Roman"/>
          <w:sz w:val="24"/>
          <w:lang w:val="bs-Latn-BA"/>
        </w:rPr>
        <w:t xml:space="preserve"> </w:t>
      </w:r>
      <w:r>
        <w:rPr>
          <w:rFonts w:ascii="Times New Roman" w:hAnsi="Times New Roman"/>
          <w:sz w:val="24"/>
          <w:lang w:val="bs-Latn-BA"/>
        </w:rPr>
        <w:t>родно</w:t>
      </w:r>
      <w:r w:rsidR="003A2F08" w:rsidRPr="00295637">
        <w:rPr>
          <w:rFonts w:ascii="Times New Roman" w:hAnsi="Times New Roman"/>
          <w:sz w:val="24"/>
          <w:lang w:val="bs-Latn-BA"/>
        </w:rPr>
        <w:t xml:space="preserve"> </w:t>
      </w:r>
      <w:r>
        <w:rPr>
          <w:rFonts w:ascii="Times New Roman" w:hAnsi="Times New Roman"/>
          <w:sz w:val="24"/>
          <w:lang w:val="bs-Latn-BA"/>
        </w:rPr>
        <w:t>осјетиљивих</w:t>
      </w:r>
      <w:r w:rsidR="003A2F08" w:rsidRPr="00295637">
        <w:rPr>
          <w:rFonts w:ascii="Times New Roman" w:hAnsi="Times New Roman"/>
          <w:sz w:val="24"/>
          <w:lang w:val="bs-Latn-BA"/>
        </w:rPr>
        <w:t xml:space="preserve"> </w:t>
      </w:r>
      <w:r>
        <w:rPr>
          <w:rFonts w:ascii="Times New Roman" w:hAnsi="Times New Roman"/>
          <w:sz w:val="24"/>
          <w:lang w:val="bs-Latn-BA"/>
        </w:rPr>
        <w:t>политка</w:t>
      </w:r>
      <w:r w:rsidR="003A2F08" w:rsidRPr="00295637">
        <w:rPr>
          <w:rFonts w:ascii="Times New Roman" w:hAnsi="Times New Roman"/>
          <w:sz w:val="24"/>
          <w:lang w:val="bs-Latn-BA"/>
        </w:rPr>
        <w:t xml:space="preserve">, </w:t>
      </w:r>
      <w:r>
        <w:rPr>
          <w:rFonts w:ascii="Times New Roman" w:hAnsi="Times New Roman"/>
          <w:sz w:val="24"/>
          <w:lang w:val="bs-Latn-BA"/>
        </w:rPr>
        <w:t>успостављени</w:t>
      </w:r>
      <w:r w:rsidR="003A2F08" w:rsidRPr="00295637">
        <w:rPr>
          <w:rFonts w:ascii="Times New Roman" w:hAnsi="Times New Roman"/>
          <w:sz w:val="24"/>
          <w:lang w:val="bs-Latn-BA"/>
        </w:rPr>
        <w:t xml:space="preserve"> </w:t>
      </w:r>
      <w:r>
        <w:rPr>
          <w:rFonts w:ascii="Times New Roman" w:hAnsi="Times New Roman"/>
          <w:sz w:val="24"/>
          <w:lang w:val="bs-Latn-BA"/>
        </w:rPr>
        <w:t>механизам</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w:t>
      </w:r>
      <w:r>
        <w:rPr>
          <w:rFonts w:ascii="Times New Roman" w:hAnsi="Times New Roman"/>
          <w:sz w:val="24"/>
          <w:lang w:val="bs-Latn-BA"/>
        </w:rPr>
        <w:t>превенцију</w:t>
      </w:r>
      <w:r w:rsidR="003A2F08" w:rsidRPr="00295637">
        <w:rPr>
          <w:rFonts w:ascii="Times New Roman" w:hAnsi="Times New Roman"/>
          <w:sz w:val="24"/>
          <w:lang w:val="bs-Latn-BA"/>
        </w:rPr>
        <w:t xml:space="preserve"> </w:t>
      </w:r>
      <w:r>
        <w:rPr>
          <w:rFonts w:ascii="Times New Roman" w:hAnsi="Times New Roman"/>
          <w:sz w:val="24"/>
          <w:lang w:val="bs-Latn-BA"/>
        </w:rPr>
        <w:t>сексуалног</w:t>
      </w:r>
      <w:r w:rsidR="003A2F08" w:rsidRPr="00295637">
        <w:rPr>
          <w:rFonts w:ascii="Times New Roman" w:hAnsi="Times New Roman"/>
          <w:sz w:val="24"/>
          <w:lang w:val="bs-Latn-BA"/>
        </w:rPr>
        <w:t xml:space="preserve"> </w:t>
      </w:r>
      <w:r>
        <w:rPr>
          <w:rFonts w:ascii="Times New Roman" w:hAnsi="Times New Roman"/>
          <w:sz w:val="24"/>
          <w:lang w:val="bs-Latn-BA"/>
        </w:rPr>
        <w:t>узнемиравања</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узнемиравања</w:t>
      </w:r>
      <w:r w:rsidR="003A2F08" w:rsidRPr="00295637">
        <w:rPr>
          <w:rFonts w:ascii="Times New Roman" w:hAnsi="Times New Roman"/>
          <w:sz w:val="24"/>
          <w:lang w:val="bs-Latn-BA"/>
        </w:rPr>
        <w:t xml:space="preserve"> </w:t>
      </w:r>
      <w:r>
        <w:rPr>
          <w:rFonts w:ascii="Times New Roman" w:hAnsi="Times New Roman"/>
          <w:sz w:val="24"/>
          <w:lang w:val="bs-Latn-BA"/>
        </w:rPr>
        <w:t>на</w:t>
      </w:r>
      <w:r w:rsidR="003A2F08" w:rsidRPr="00295637">
        <w:rPr>
          <w:rFonts w:ascii="Times New Roman" w:hAnsi="Times New Roman"/>
          <w:sz w:val="24"/>
          <w:lang w:val="bs-Latn-BA"/>
        </w:rPr>
        <w:t xml:space="preserve"> </w:t>
      </w:r>
      <w:r>
        <w:rPr>
          <w:rFonts w:ascii="Times New Roman" w:hAnsi="Times New Roman"/>
          <w:sz w:val="24"/>
          <w:lang w:val="bs-Latn-BA"/>
        </w:rPr>
        <w:t>основу</w:t>
      </w:r>
      <w:r w:rsidR="000F7324">
        <w:rPr>
          <w:rFonts w:ascii="Times New Roman" w:hAnsi="Times New Roman"/>
          <w:sz w:val="24"/>
          <w:lang w:val="bs-Latn-BA"/>
        </w:rPr>
        <w:t xml:space="preserve"> </w:t>
      </w:r>
      <w:r>
        <w:rPr>
          <w:rFonts w:ascii="Times New Roman" w:hAnsi="Times New Roman"/>
          <w:sz w:val="24"/>
          <w:lang w:val="bs-Latn-BA"/>
        </w:rPr>
        <w:t>пола</w:t>
      </w:r>
      <w:r w:rsidR="000F7324">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институцијама</w:t>
      </w:r>
      <w:r w:rsidR="003A2F08" w:rsidRPr="00295637">
        <w:rPr>
          <w:rFonts w:ascii="Times New Roman" w:hAnsi="Times New Roman"/>
          <w:sz w:val="24"/>
          <w:lang w:val="bs-Latn-BA"/>
        </w:rPr>
        <w:t xml:space="preserve"> </w:t>
      </w:r>
      <w:r>
        <w:rPr>
          <w:rFonts w:ascii="Times New Roman" w:hAnsi="Times New Roman"/>
          <w:sz w:val="24"/>
          <w:lang w:val="bs-Latn-BA"/>
        </w:rPr>
        <w:t>ФБиХ</w:t>
      </w:r>
      <w:r w:rsidR="003A2F08" w:rsidRPr="00295637">
        <w:rPr>
          <w:rFonts w:ascii="Times New Roman" w:hAnsi="Times New Roman"/>
          <w:sz w:val="24"/>
          <w:lang w:val="bs-Latn-BA"/>
        </w:rPr>
        <w:t xml:space="preserve"> </w:t>
      </w:r>
      <w:r>
        <w:rPr>
          <w:rFonts w:ascii="Times New Roman" w:hAnsi="Times New Roman"/>
          <w:sz w:val="24"/>
          <w:lang w:val="bs-Latn-BA"/>
        </w:rPr>
        <w:t>преузет</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као</w:t>
      </w:r>
      <w:r w:rsidR="003A2F08" w:rsidRPr="00295637">
        <w:rPr>
          <w:rFonts w:ascii="Times New Roman" w:hAnsi="Times New Roman"/>
          <w:sz w:val="24"/>
          <w:lang w:val="bs-Latn-BA"/>
        </w:rPr>
        <w:t xml:space="preserve"> </w:t>
      </w:r>
      <w:r>
        <w:rPr>
          <w:rFonts w:ascii="Times New Roman" w:hAnsi="Times New Roman"/>
          <w:sz w:val="24"/>
          <w:lang w:val="bs-Latn-BA"/>
        </w:rPr>
        <w:t>примјер</w:t>
      </w:r>
      <w:r w:rsidR="003A2F08" w:rsidRPr="00295637">
        <w:rPr>
          <w:rFonts w:ascii="Times New Roman" w:hAnsi="Times New Roman"/>
          <w:sz w:val="24"/>
          <w:lang w:val="bs-Latn-BA"/>
        </w:rPr>
        <w:t xml:space="preserve"> </w:t>
      </w:r>
      <w:r>
        <w:rPr>
          <w:rFonts w:ascii="Times New Roman" w:hAnsi="Times New Roman"/>
          <w:sz w:val="24"/>
          <w:lang w:val="bs-Latn-BA"/>
        </w:rPr>
        <w:t>добре</w:t>
      </w:r>
      <w:r w:rsidR="009F1105" w:rsidRPr="00295637">
        <w:rPr>
          <w:rFonts w:ascii="Times New Roman" w:hAnsi="Times New Roman"/>
          <w:sz w:val="24"/>
          <w:lang w:val="bs-Latn-BA"/>
        </w:rPr>
        <w:t xml:space="preserve"> </w:t>
      </w:r>
      <w:r>
        <w:rPr>
          <w:rFonts w:ascii="Times New Roman" w:hAnsi="Times New Roman"/>
          <w:sz w:val="24"/>
          <w:lang w:val="bs-Latn-BA"/>
        </w:rPr>
        <w:t>праксе</w:t>
      </w:r>
      <w:r w:rsidR="009F1105" w:rsidRPr="00295637">
        <w:rPr>
          <w:rFonts w:ascii="Times New Roman" w:hAnsi="Times New Roman"/>
          <w:sz w:val="24"/>
          <w:lang w:val="bs-Latn-BA"/>
        </w:rPr>
        <w:t xml:space="preserve"> </w:t>
      </w:r>
      <w:r>
        <w:rPr>
          <w:rFonts w:ascii="Times New Roman" w:hAnsi="Times New Roman"/>
          <w:sz w:val="24"/>
          <w:lang w:val="bs-Latn-BA"/>
        </w:rPr>
        <w:t>те</w:t>
      </w:r>
      <w:r w:rsidR="009F1105" w:rsidRPr="00295637">
        <w:rPr>
          <w:rFonts w:ascii="Times New Roman" w:hAnsi="Times New Roman"/>
          <w:sz w:val="24"/>
          <w:lang w:val="bs-Latn-BA"/>
        </w:rPr>
        <w:t xml:space="preserve"> </w:t>
      </w:r>
      <w:r>
        <w:rPr>
          <w:rFonts w:ascii="Times New Roman" w:hAnsi="Times New Roman"/>
          <w:sz w:val="24"/>
          <w:lang w:val="bs-Latn-BA"/>
        </w:rPr>
        <w:t>успостављен</w:t>
      </w:r>
      <w:r w:rsidR="009F1105" w:rsidRPr="00295637">
        <w:rPr>
          <w:rFonts w:ascii="Times New Roman" w:hAnsi="Times New Roman"/>
          <w:sz w:val="24"/>
          <w:lang w:val="bs-Latn-BA"/>
        </w:rPr>
        <w:t xml:space="preserve"> </w:t>
      </w:r>
      <w:r>
        <w:rPr>
          <w:rFonts w:ascii="Times New Roman" w:hAnsi="Times New Roman"/>
          <w:sz w:val="24"/>
          <w:lang w:val="bs-Latn-BA"/>
        </w:rPr>
        <w:t>у</w:t>
      </w:r>
      <w:r w:rsidR="009F1105" w:rsidRPr="00295637">
        <w:rPr>
          <w:rFonts w:ascii="Times New Roman" w:hAnsi="Times New Roman"/>
          <w:sz w:val="24"/>
          <w:lang w:val="bs-Latn-BA"/>
        </w:rPr>
        <w:t xml:space="preserve"> </w:t>
      </w:r>
      <w:r>
        <w:rPr>
          <w:rFonts w:ascii="Times New Roman" w:hAnsi="Times New Roman"/>
          <w:sz w:val="24"/>
          <w:lang w:val="bs-Latn-BA"/>
        </w:rPr>
        <w:t>седам</w:t>
      </w:r>
      <w:r w:rsidR="003A2F08" w:rsidRPr="00295637">
        <w:rPr>
          <w:rFonts w:ascii="Times New Roman" w:hAnsi="Times New Roman"/>
          <w:sz w:val="24"/>
          <w:lang w:val="bs-Latn-BA"/>
        </w:rPr>
        <w:t xml:space="preserve"> </w:t>
      </w:r>
      <w:r>
        <w:rPr>
          <w:rFonts w:ascii="Times New Roman" w:hAnsi="Times New Roman"/>
          <w:sz w:val="24"/>
          <w:lang w:val="bs-Latn-BA"/>
        </w:rPr>
        <w:t>кантона</w:t>
      </w:r>
      <w:r w:rsidR="003E1DE3">
        <w:rPr>
          <w:rFonts w:ascii="Times New Roman" w:hAnsi="Times New Roman"/>
          <w:sz w:val="24"/>
          <w:lang w:val="bs-Latn-BA"/>
        </w:rPr>
        <w:t xml:space="preserve"> </w:t>
      </w:r>
      <w:r>
        <w:rPr>
          <w:rFonts w:ascii="Times New Roman" w:hAnsi="Times New Roman"/>
          <w:sz w:val="24"/>
          <w:lang w:val="bs-Latn-BA"/>
        </w:rPr>
        <w:t>ФБиХ</w:t>
      </w:r>
      <w:r w:rsidR="003A2F08" w:rsidRPr="00295637">
        <w:rPr>
          <w:rFonts w:ascii="Times New Roman" w:hAnsi="Times New Roman"/>
          <w:sz w:val="24"/>
          <w:lang w:val="bs-Latn-BA"/>
        </w:rPr>
        <w:t>.</w:t>
      </w:r>
    </w:p>
    <w:p w:rsidR="00351302" w:rsidRPr="00295637" w:rsidRDefault="00351302" w:rsidP="0086268D">
      <w:pPr>
        <w:pStyle w:val="Tekst"/>
        <w:spacing w:before="0"/>
        <w:rPr>
          <w:rFonts w:ascii="Times New Roman" w:hAnsi="Times New Roman"/>
          <w:sz w:val="24"/>
          <w:lang w:val="bs-Latn-BA"/>
        </w:rPr>
      </w:pPr>
    </w:p>
    <w:p w:rsidR="003A2F08" w:rsidRPr="00295637" w:rsidRDefault="00C6214E" w:rsidP="0086268D">
      <w:pPr>
        <w:pStyle w:val="Tekst"/>
        <w:spacing w:before="0"/>
        <w:rPr>
          <w:rFonts w:ascii="Times New Roman" w:hAnsi="Times New Roman"/>
          <w:sz w:val="24"/>
          <w:lang w:val="bs-Latn-BA"/>
        </w:rPr>
      </w:pPr>
      <w:r>
        <w:rPr>
          <w:rFonts w:ascii="Times New Roman" w:hAnsi="Times New Roman"/>
          <w:sz w:val="24"/>
          <w:lang w:val="bs-Latn-BA"/>
        </w:rPr>
        <w:t>Уз</w:t>
      </w:r>
      <w:r w:rsidR="00E2315C">
        <w:rPr>
          <w:rFonts w:ascii="Times New Roman" w:hAnsi="Times New Roman"/>
          <w:sz w:val="24"/>
          <w:lang w:val="bs-Latn-BA"/>
        </w:rPr>
        <w:t xml:space="preserve"> </w:t>
      </w:r>
      <w:r>
        <w:rPr>
          <w:rFonts w:ascii="Times New Roman" w:hAnsi="Times New Roman"/>
          <w:sz w:val="24"/>
          <w:lang w:val="bs-Latn-BA"/>
        </w:rPr>
        <w:t>техничку</w:t>
      </w:r>
      <w:r w:rsidR="00E2315C">
        <w:rPr>
          <w:rFonts w:ascii="Times New Roman" w:hAnsi="Times New Roman"/>
          <w:sz w:val="24"/>
          <w:lang w:val="bs-Latn-BA"/>
        </w:rPr>
        <w:t xml:space="preserve"> </w:t>
      </w:r>
      <w:r>
        <w:rPr>
          <w:rFonts w:ascii="Times New Roman" w:hAnsi="Times New Roman"/>
          <w:sz w:val="24"/>
          <w:lang w:val="bs-Latn-BA"/>
        </w:rPr>
        <w:t>подршку</w:t>
      </w:r>
      <w:r w:rsidR="00E2315C">
        <w:rPr>
          <w:rFonts w:ascii="Times New Roman" w:hAnsi="Times New Roman"/>
          <w:sz w:val="24"/>
          <w:lang w:val="bs-Latn-BA"/>
        </w:rPr>
        <w:t xml:space="preserve"> </w:t>
      </w:r>
      <w:r>
        <w:rPr>
          <w:rFonts w:ascii="Times New Roman" w:hAnsi="Times New Roman"/>
          <w:sz w:val="24"/>
          <w:lang w:val="bs-Latn-BA"/>
        </w:rPr>
        <w:t>пројекта</w:t>
      </w:r>
      <w:r w:rsidR="00E2315C">
        <w:rPr>
          <w:rFonts w:ascii="Times New Roman" w:hAnsi="Times New Roman"/>
          <w:sz w:val="24"/>
          <w:lang w:val="bs-Latn-BA"/>
        </w:rPr>
        <w:t xml:space="preserve"> </w:t>
      </w:r>
      <w:r>
        <w:rPr>
          <w:rFonts w:ascii="Times New Roman" w:hAnsi="Times New Roman"/>
          <w:sz w:val="24"/>
          <w:lang w:val="hr-HR"/>
        </w:rPr>
        <w:t>ЕУ</w:t>
      </w:r>
      <w:r w:rsidR="00E2315C" w:rsidRPr="00575A03">
        <w:rPr>
          <w:rFonts w:ascii="Times New Roman" w:hAnsi="Times New Roman"/>
          <w:sz w:val="24"/>
          <w:lang w:val="hr-HR"/>
        </w:rPr>
        <w:t xml:space="preserve"> </w:t>
      </w:r>
      <w:r>
        <w:rPr>
          <w:rFonts w:ascii="Times New Roman" w:hAnsi="Times New Roman"/>
          <w:sz w:val="24"/>
          <w:lang w:val="hr-HR"/>
        </w:rPr>
        <w:t>за</w:t>
      </w:r>
      <w:r w:rsidR="00E2315C" w:rsidRPr="00575A03">
        <w:rPr>
          <w:rFonts w:ascii="Times New Roman" w:hAnsi="Times New Roman"/>
          <w:sz w:val="24"/>
          <w:lang w:val="hr-HR"/>
        </w:rPr>
        <w:t xml:space="preserve"> </w:t>
      </w:r>
      <w:r>
        <w:rPr>
          <w:rFonts w:ascii="Times New Roman" w:hAnsi="Times New Roman"/>
          <w:sz w:val="24"/>
          <w:lang w:val="hr-HR"/>
        </w:rPr>
        <w:t>људска</w:t>
      </w:r>
      <w:r w:rsidR="00E2315C" w:rsidRPr="00575A03">
        <w:rPr>
          <w:rFonts w:ascii="Times New Roman" w:hAnsi="Times New Roman"/>
          <w:sz w:val="24"/>
          <w:lang w:val="hr-HR"/>
        </w:rPr>
        <w:t xml:space="preserve"> </w:t>
      </w:r>
      <w:r>
        <w:rPr>
          <w:rFonts w:ascii="Times New Roman" w:hAnsi="Times New Roman"/>
          <w:sz w:val="24"/>
          <w:lang w:val="hr-HR"/>
        </w:rPr>
        <w:t>права</w:t>
      </w:r>
      <w:r w:rsidR="00E2315C" w:rsidRPr="00575A03">
        <w:rPr>
          <w:rFonts w:ascii="Times New Roman" w:hAnsi="Times New Roman"/>
          <w:sz w:val="24"/>
          <w:lang w:val="hr-HR"/>
        </w:rPr>
        <w:t xml:space="preserve"> </w:t>
      </w:r>
      <w:r>
        <w:rPr>
          <w:rFonts w:ascii="Times New Roman" w:hAnsi="Times New Roman"/>
          <w:sz w:val="24"/>
          <w:lang w:val="hr-HR"/>
        </w:rPr>
        <w:t>и</w:t>
      </w:r>
      <w:r w:rsidR="00E2315C" w:rsidRPr="00575A03">
        <w:rPr>
          <w:rFonts w:ascii="Times New Roman" w:hAnsi="Times New Roman"/>
          <w:sz w:val="24"/>
          <w:lang w:val="hr-HR"/>
        </w:rPr>
        <w:t xml:space="preserve"> </w:t>
      </w:r>
      <w:r>
        <w:rPr>
          <w:rFonts w:ascii="Times New Roman" w:hAnsi="Times New Roman"/>
          <w:sz w:val="24"/>
          <w:lang w:val="hr-HR"/>
        </w:rPr>
        <w:t>антидискриминацију</w:t>
      </w:r>
      <w:r w:rsidR="00E2315C" w:rsidRPr="00575A03">
        <w:rPr>
          <w:rFonts w:ascii="Times New Roman" w:hAnsi="Times New Roman"/>
          <w:sz w:val="24"/>
          <w:lang w:val="hr-HR"/>
        </w:rPr>
        <w:t>,</w:t>
      </w:r>
      <w:r w:rsidR="00E2315C" w:rsidRPr="00295637">
        <w:rPr>
          <w:rFonts w:ascii="Times New Roman" w:hAnsi="Times New Roman"/>
          <w:lang w:val="hr-HR"/>
        </w:rPr>
        <w:t xml:space="preserve"> </w:t>
      </w:r>
      <w:r>
        <w:rPr>
          <w:rFonts w:ascii="Times New Roman" w:hAnsi="Times New Roman"/>
          <w:sz w:val="24"/>
          <w:lang w:val="bs-Latn-BA"/>
        </w:rPr>
        <w:t>припремљен</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упитник</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w:t>
      </w:r>
      <w:r>
        <w:rPr>
          <w:rFonts w:ascii="Times New Roman" w:hAnsi="Times New Roman"/>
          <w:sz w:val="24"/>
          <w:lang w:val="bs-Latn-BA"/>
        </w:rPr>
        <w:t>представнике</w:t>
      </w:r>
      <w:r w:rsidR="003A2F08" w:rsidRPr="00295637">
        <w:rPr>
          <w:rFonts w:ascii="Times New Roman" w:hAnsi="Times New Roman"/>
          <w:sz w:val="24"/>
          <w:lang w:val="bs-Latn-BA"/>
        </w:rPr>
        <w:t xml:space="preserve"> </w:t>
      </w:r>
      <w:r>
        <w:rPr>
          <w:rFonts w:ascii="Times New Roman" w:hAnsi="Times New Roman"/>
          <w:sz w:val="24"/>
          <w:lang w:val="bs-Latn-BA"/>
        </w:rPr>
        <w:t>јединица</w:t>
      </w:r>
      <w:r w:rsidR="003A2F08" w:rsidRPr="00295637">
        <w:rPr>
          <w:rFonts w:ascii="Times New Roman" w:hAnsi="Times New Roman"/>
          <w:sz w:val="24"/>
          <w:lang w:val="bs-Latn-BA"/>
        </w:rPr>
        <w:t xml:space="preserve"> </w:t>
      </w:r>
      <w:r>
        <w:rPr>
          <w:rFonts w:ascii="Times New Roman" w:hAnsi="Times New Roman"/>
          <w:sz w:val="24"/>
          <w:lang w:val="bs-Latn-BA"/>
        </w:rPr>
        <w:t>локалне</w:t>
      </w:r>
      <w:r w:rsidR="003A2F08" w:rsidRPr="00295637">
        <w:rPr>
          <w:rFonts w:ascii="Times New Roman" w:hAnsi="Times New Roman"/>
          <w:sz w:val="24"/>
          <w:lang w:val="bs-Latn-BA"/>
        </w:rPr>
        <w:t xml:space="preserve"> </w:t>
      </w:r>
      <w:r>
        <w:rPr>
          <w:rFonts w:ascii="Times New Roman" w:hAnsi="Times New Roman"/>
          <w:sz w:val="24"/>
          <w:lang w:val="bs-Latn-BA"/>
        </w:rPr>
        <w:t>самоуправе</w:t>
      </w:r>
      <w:r w:rsidR="003A2F08" w:rsidRPr="00295637">
        <w:rPr>
          <w:rFonts w:ascii="Times New Roman" w:hAnsi="Times New Roman"/>
          <w:sz w:val="24"/>
          <w:lang w:val="bs-Latn-BA"/>
        </w:rPr>
        <w:t xml:space="preserve"> (</w:t>
      </w:r>
      <w:r>
        <w:rPr>
          <w:rFonts w:ascii="Times New Roman" w:hAnsi="Times New Roman"/>
          <w:sz w:val="24"/>
          <w:lang w:val="bs-Latn-BA"/>
        </w:rPr>
        <w:t>ЈЛС</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свим</w:t>
      </w:r>
      <w:r w:rsidR="003E1DE3">
        <w:rPr>
          <w:rFonts w:ascii="Times New Roman" w:hAnsi="Times New Roman"/>
          <w:sz w:val="24"/>
          <w:lang w:val="bs-Latn-BA"/>
        </w:rPr>
        <w:t xml:space="preserve"> </w:t>
      </w:r>
      <w:r>
        <w:rPr>
          <w:rFonts w:ascii="Times New Roman" w:hAnsi="Times New Roman"/>
          <w:sz w:val="24"/>
          <w:lang w:val="bs-Latn-BA"/>
        </w:rPr>
        <w:t>локалним</w:t>
      </w:r>
      <w:r w:rsidR="003E1DE3">
        <w:rPr>
          <w:rFonts w:ascii="Times New Roman" w:hAnsi="Times New Roman"/>
          <w:sz w:val="24"/>
          <w:lang w:val="bs-Latn-BA"/>
        </w:rPr>
        <w:t xml:space="preserve"> </w:t>
      </w:r>
      <w:r>
        <w:rPr>
          <w:rFonts w:ascii="Times New Roman" w:hAnsi="Times New Roman"/>
          <w:sz w:val="24"/>
          <w:lang w:val="bs-Latn-BA"/>
        </w:rPr>
        <w:t>заједницама</w:t>
      </w:r>
      <w:r w:rsidR="003E1DE3">
        <w:rPr>
          <w:rFonts w:ascii="Times New Roman" w:hAnsi="Times New Roman"/>
          <w:sz w:val="24"/>
          <w:lang w:val="bs-Latn-BA"/>
        </w:rPr>
        <w:t xml:space="preserve"> </w:t>
      </w:r>
      <w:r>
        <w:rPr>
          <w:rFonts w:ascii="Times New Roman" w:hAnsi="Times New Roman"/>
          <w:sz w:val="24"/>
          <w:lang w:val="bs-Latn-BA"/>
        </w:rPr>
        <w:t>ФБиХ</w:t>
      </w:r>
      <w:r w:rsidR="003A2F08" w:rsidRPr="00295637">
        <w:rPr>
          <w:rFonts w:ascii="Times New Roman" w:hAnsi="Times New Roman"/>
          <w:sz w:val="24"/>
          <w:lang w:val="bs-Latn-BA"/>
        </w:rPr>
        <w:t xml:space="preserve">, </w:t>
      </w:r>
      <w:r>
        <w:rPr>
          <w:rFonts w:ascii="Times New Roman" w:hAnsi="Times New Roman"/>
          <w:sz w:val="24"/>
          <w:lang w:val="bs-Latn-BA"/>
        </w:rPr>
        <w:t>одржане</w:t>
      </w:r>
      <w:r w:rsidR="003A2F08" w:rsidRPr="00295637">
        <w:rPr>
          <w:rFonts w:ascii="Times New Roman" w:hAnsi="Times New Roman"/>
          <w:sz w:val="24"/>
          <w:lang w:val="bs-Latn-BA"/>
        </w:rPr>
        <w:t xml:space="preserve"> </w:t>
      </w:r>
      <w:r>
        <w:rPr>
          <w:rFonts w:ascii="Times New Roman" w:hAnsi="Times New Roman"/>
          <w:sz w:val="24"/>
          <w:lang w:val="bs-Latn-BA"/>
        </w:rPr>
        <w:t>су</w:t>
      </w:r>
      <w:r w:rsidR="003A2F08" w:rsidRPr="00295637">
        <w:rPr>
          <w:rFonts w:ascii="Times New Roman" w:hAnsi="Times New Roman"/>
          <w:sz w:val="24"/>
          <w:lang w:val="bs-Latn-BA"/>
        </w:rPr>
        <w:t xml:space="preserve"> </w:t>
      </w:r>
      <w:r>
        <w:rPr>
          <w:rFonts w:ascii="Times New Roman" w:hAnsi="Times New Roman"/>
          <w:bCs/>
          <w:sz w:val="24"/>
          <w:lang w:val="bs-Latn-BA"/>
        </w:rPr>
        <w:t>четири</w:t>
      </w:r>
      <w:r w:rsidR="003A2F08" w:rsidRPr="00295637">
        <w:rPr>
          <w:rFonts w:ascii="Times New Roman" w:hAnsi="Times New Roman"/>
          <w:bCs/>
          <w:sz w:val="24"/>
          <w:lang w:val="bs-Latn-BA"/>
        </w:rPr>
        <w:t xml:space="preserve"> </w:t>
      </w:r>
      <w:r>
        <w:rPr>
          <w:rFonts w:ascii="Times New Roman" w:hAnsi="Times New Roman"/>
          <w:bCs/>
          <w:sz w:val="24"/>
          <w:lang w:val="bs-Latn-BA"/>
        </w:rPr>
        <w:t>фокус</w:t>
      </w:r>
      <w:r w:rsidR="003A2F08" w:rsidRPr="00295637">
        <w:rPr>
          <w:rFonts w:ascii="Times New Roman" w:hAnsi="Times New Roman"/>
          <w:bCs/>
          <w:sz w:val="24"/>
          <w:lang w:val="bs-Latn-BA"/>
        </w:rPr>
        <w:t xml:space="preserve"> </w:t>
      </w:r>
      <w:r>
        <w:rPr>
          <w:rFonts w:ascii="Times New Roman" w:hAnsi="Times New Roman"/>
          <w:bCs/>
          <w:sz w:val="24"/>
          <w:lang w:val="bs-Latn-BA"/>
        </w:rPr>
        <w:t>групе</w:t>
      </w:r>
      <w:r w:rsidR="003A2F08" w:rsidRPr="00295637">
        <w:rPr>
          <w:rFonts w:ascii="Times New Roman" w:hAnsi="Times New Roman"/>
          <w:bCs/>
          <w:sz w:val="24"/>
          <w:lang w:val="bs-Latn-BA"/>
        </w:rPr>
        <w:t xml:space="preserve"> </w:t>
      </w:r>
      <w:r>
        <w:rPr>
          <w:rFonts w:ascii="Times New Roman" w:hAnsi="Times New Roman"/>
          <w:bCs/>
          <w:sz w:val="24"/>
          <w:lang w:val="bs-Latn-BA"/>
        </w:rPr>
        <w:t>у</w:t>
      </w:r>
      <w:r w:rsidR="003A2F08" w:rsidRPr="00295637">
        <w:rPr>
          <w:rFonts w:ascii="Times New Roman" w:hAnsi="Times New Roman"/>
          <w:bCs/>
          <w:sz w:val="24"/>
          <w:lang w:val="bs-Latn-BA"/>
        </w:rPr>
        <w:t xml:space="preserve"> </w:t>
      </w:r>
      <w:r>
        <w:rPr>
          <w:rFonts w:ascii="Times New Roman" w:hAnsi="Times New Roman"/>
          <w:bCs/>
          <w:sz w:val="24"/>
          <w:lang w:val="bs-Latn-BA"/>
        </w:rPr>
        <w:t>четири</w:t>
      </w:r>
      <w:r w:rsidR="003A2F08" w:rsidRPr="00295637">
        <w:rPr>
          <w:rFonts w:ascii="Times New Roman" w:hAnsi="Times New Roman"/>
          <w:bCs/>
          <w:sz w:val="24"/>
          <w:lang w:val="bs-Latn-BA"/>
        </w:rPr>
        <w:t xml:space="preserve"> </w:t>
      </w:r>
      <w:r>
        <w:rPr>
          <w:rFonts w:ascii="Times New Roman" w:hAnsi="Times New Roman"/>
          <w:bCs/>
          <w:sz w:val="24"/>
          <w:lang w:val="bs-Latn-BA"/>
        </w:rPr>
        <w:t>различите</w:t>
      </w:r>
      <w:r w:rsidR="003A2F08" w:rsidRPr="00295637">
        <w:rPr>
          <w:rFonts w:ascii="Times New Roman" w:hAnsi="Times New Roman"/>
          <w:bCs/>
          <w:sz w:val="24"/>
          <w:lang w:val="bs-Latn-BA"/>
        </w:rPr>
        <w:t xml:space="preserve"> </w:t>
      </w:r>
      <w:r>
        <w:rPr>
          <w:rFonts w:ascii="Times New Roman" w:hAnsi="Times New Roman"/>
          <w:bCs/>
          <w:sz w:val="24"/>
          <w:lang w:val="bs-Latn-BA"/>
        </w:rPr>
        <w:t>ЈЛС</w:t>
      </w:r>
      <w:r w:rsidR="003A2F08" w:rsidRPr="00295637">
        <w:rPr>
          <w:rFonts w:ascii="Times New Roman" w:hAnsi="Times New Roman"/>
          <w:bCs/>
          <w:sz w:val="24"/>
          <w:lang w:val="bs-Latn-BA"/>
        </w:rPr>
        <w:t xml:space="preserve"> (</w:t>
      </w:r>
      <w:r>
        <w:rPr>
          <w:rFonts w:ascii="Times New Roman" w:hAnsi="Times New Roman"/>
          <w:bCs/>
          <w:sz w:val="24"/>
          <w:lang w:val="bs-Latn-BA"/>
        </w:rPr>
        <w:t>Мостар</w:t>
      </w:r>
      <w:r w:rsidR="003A2F08" w:rsidRPr="00295637">
        <w:rPr>
          <w:rFonts w:ascii="Times New Roman" w:hAnsi="Times New Roman"/>
          <w:bCs/>
          <w:sz w:val="24"/>
          <w:lang w:val="bs-Latn-BA"/>
        </w:rPr>
        <w:t xml:space="preserve">, </w:t>
      </w:r>
      <w:r>
        <w:rPr>
          <w:rFonts w:ascii="Times New Roman" w:hAnsi="Times New Roman"/>
          <w:bCs/>
          <w:sz w:val="24"/>
          <w:lang w:val="bs-Latn-BA"/>
        </w:rPr>
        <w:t>Јабланица</w:t>
      </w:r>
      <w:r w:rsidR="003A2F08" w:rsidRPr="00295637">
        <w:rPr>
          <w:rFonts w:ascii="Times New Roman" w:hAnsi="Times New Roman"/>
          <w:bCs/>
          <w:sz w:val="24"/>
          <w:lang w:val="bs-Latn-BA"/>
        </w:rPr>
        <w:t xml:space="preserve">, </w:t>
      </w:r>
      <w:r>
        <w:rPr>
          <w:rFonts w:ascii="Times New Roman" w:hAnsi="Times New Roman"/>
          <w:bCs/>
          <w:sz w:val="24"/>
          <w:lang w:val="bs-Latn-BA"/>
        </w:rPr>
        <w:t>Цазин</w:t>
      </w:r>
      <w:r w:rsidR="003A2F08" w:rsidRPr="00295637">
        <w:rPr>
          <w:rFonts w:ascii="Times New Roman" w:hAnsi="Times New Roman"/>
          <w:bCs/>
          <w:sz w:val="24"/>
          <w:lang w:val="bs-Latn-BA"/>
        </w:rPr>
        <w:t>,</w:t>
      </w:r>
      <w:r w:rsidR="00E9183A">
        <w:rPr>
          <w:rFonts w:ascii="Times New Roman" w:hAnsi="Times New Roman"/>
          <w:bCs/>
          <w:sz w:val="24"/>
          <w:lang w:val="bs-Latn-BA"/>
        </w:rPr>
        <w:t xml:space="preserve"> </w:t>
      </w:r>
      <w:r>
        <w:rPr>
          <w:rFonts w:ascii="Times New Roman" w:hAnsi="Times New Roman"/>
          <w:bCs/>
          <w:sz w:val="24"/>
          <w:lang w:val="bs-Latn-BA"/>
        </w:rPr>
        <w:t>Бихаћ</w:t>
      </w:r>
      <w:r w:rsidR="003A2F08" w:rsidRPr="00295637">
        <w:rPr>
          <w:rFonts w:ascii="Times New Roman" w:hAnsi="Times New Roman"/>
          <w:bCs/>
          <w:sz w:val="24"/>
          <w:lang w:val="bs-Latn-BA"/>
        </w:rPr>
        <w:t>)</w:t>
      </w:r>
      <w:r w:rsidR="003A2F08" w:rsidRPr="00295637">
        <w:rPr>
          <w:rFonts w:ascii="Times New Roman" w:hAnsi="Times New Roman"/>
          <w:sz w:val="24"/>
          <w:lang w:val="bs-Latn-BA"/>
        </w:rPr>
        <w:t xml:space="preserve"> </w:t>
      </w:r>
      <w:r>
        <w:rPr>
          <w:rFonts w:ascii="Times New Roman" w:hAnsi="Times New Roman"/>
          <w:sz w:val="24"/>
          <w:lang w:val="bs-Latn-BA"/>
        </w:rPr>
        <w:t>са</w:t>
      </w:r>
      <w:r w:rsidR="003A2F08" w:rsidRPr="00295637">
        <w:rPr>
          <w:rFonts w:ascii="Times New Roman" w:hAnsi="Times New Roman"/>
          <w:sz w:val="24"/>
          <w:lang w:val="bs-Latn-BA"/>
        </w:rPr>
        <w:t xml:space="preserve"> </w:t>
      </w:r>
      <w:r>
        <w:rPr>
          <w:rFonts w:ascii="Times New Roman" w:hAnsi="Times New Roman"/>
          <w:sz w:val="24"/>
          <w:lang w:val="bs-Latn-BA"/>
        </w:rPr>
        <w:t>свим</w:t>
      </w:r>
      <w:r w:rsidR="003A2F08" w:rsidRPr="00295637">
        <w:rPr>
          <w:rFonts w:ascii="Times New Roman" w:hAnsi="Times New Roman"/>
          <w:sz w:val="24"/>
          <w:lang w:val="bs-Latn-BA"/>
        </w:rPr>
        <w:t xml:space="preserve"> </w:t>
      </w:r>
      <w:r>
        <w:rPr>
          <w:rFonts w:ascii="Times New Roman" w:hAnsi="Times New Roman"/>
          <w:sz w:val="24"/>
          <w:lang w:val="bs-Latn-BA"/>
        </w:rPr>
        <w:t>релевантним</w:t>
      </w:r>
      <w:r w:rsidR="003A2F08" w:rsidRPr="00295637">
        <w:rPr>
          <w:rFonts w:ascii="Times New Roman" w:hAnsi="Times New Roman"/>
          <w:sz w:val="24"/>
          <w:lang w:val="bs-Latn-BA"/>
        </w:rPr>
        <w:t xml:space="preserve"> </w:t>
      </w:r>
      <w:r>
        <w:rPr>
          <w:rFonts w:ascii="Times New Roman" w:hAnsi="Times New Roman"/>
          <w:sz w:val="24"/>
          <w:lang w:val="bs-Latn-BA"/>
        </w:rPr>
        <w:t>пружаоцима</w:t>
      </w:r>
      <w:r w:rsidR="003E1DE3">
        <w:rPr>
          <w:rFonts w:ascii="Times New Roman" w:hAnsi="Times New Roman"/>
          <w:sz w:val="24"/>
          <w:lang w:val="bs-Latn-BA"/>
        </w:rPr>
        <w:t xml:space="preserve"> </w:t>
      </w:r>
      <w:r>
        <w:rPr>
          <w:rFonts w:ascii="Times New Roman" w:hAnsi="Times New Roman"/>
          <w:sz w:val="24"/>
          <w:lang w:val="bs-Latn-BA"/>
        </w:rPr>
        <w:t>услуга</w:t>
      </w:r>
      <w:r w:rsidR="003E1DE3">
        <w:rPr>
          <w:rFonts w:ascii="Times New Roman" w:hAnsi="Times New Roman"/>
          <w:sz w:val="24"/>
          <w:lang w:val="bs-Latn-BA"/>
        </w:rPr>
        <w:t xml:space="preserve"> </w:t>
      </w:r>
      <w:r>
        <w:rPr>
          <w:rFonts w:ascii="Times New Roman" w:hAnsi="Times New Roman"/>
          <w:sz w:val="24"/>
          <w:lang w:val="bs-Latn-BA"/>
        </w:rPr>
        <w:t>који</w:t>
      </w:r>
      <w:r w:rsidR="003E1DE3">
        <w:rPr>
          <w:rFonts w:ascii="Times New Roman" w:hAnsi="Times New Roman"/>
          <w:sz w:val="24"/>
          <w:lang w:val="bs-Latn-BA"/>
        </w:rPr>
        <w:t xml:space="preserve"> </w:t>
      </w:r>
      <w:r>
        <w:rPr>
          <w:rFonts w:ascii="Times New Roman" w:hAnsi="Times New Roman"/>
          <w:sz w:val="24"/>
          <w:lang w:val="bs-Latn-BA"/>
        </w:rPr>
        <w:t>раде</w:t>
      </w:r>
      <w:r w:rsidR="003E1DE3">
        <w:rPr>
          <w:rFonts w:ascii="Times New Roman" w:hAnsi="Times New Roman"/>
          <w:sz w:val="24"/>
          <w:lang w:val="bs-Latn-BA"/>
        </w:rPr>
        <w:t xml:space="preserve"> </w:t>
      </w:r>
      <w:r>
        <w:rPr>
          <w:rFonts w:ascii="Times New Roman" w:hAnsi="Times New Roman"/>
          <w:sz w:val="24"/>
          <w:lang w:val="bs-Latn-BA"/>
        </w:rPr>
        <w:t>са</w:t>
      </w:r>
      <w:r w:rsidR="003A2F08" w:rsidRPr="00295637">
        <w:rPr>
          <w:rFonts w:ascii="Times New Roman" w:hAnsi="Times New Roman"/>
          <w:sz w:val="24"/>
          <w:lang w:val="bs-Latn-BA"/>
        </w:rPr>
        <w:t xml:space="preserve"> </w:t>
      </w:r>
      <w:r>
        <w:rPr>
          <w:rFonts w:ascii="Times New Roman" w:hAnsi="Times New Roman"/>
          <w:sz w:val="24"/>
          <w:lang w:val="bs-Latn-BA"/>
        </w:rPr>
        <w:t>жртвама</w:t>
      </w:r>
      <w:r w:rsidR="003A2F08" w:rsidRPr="00295637">
        <w:rPr>
          <w:rFonts w:ascii="Times New Roman" w:hAnsi="Times New Roman"/>
          <w:sz w:val="24"/>
          <w:lang w:val="bs-Latn-BA"/>
        </w:rPr>
        <w:t xml:space="preserve"> </w:t>
      </w:r>
      <w:r>
        <w:rPr>
          <w:rFonts w:ascii="Times New Roman" w:hAnsi="Times New Roman"/>
          <w:sz w:val="24"/>
          <w:lang w:val="bs-Latn-BA"/>
        </w:rPr>
        <w:t>родно</w:t>
      </w:r>
      <w:r w:rsidR="003A2F08" w:rsidRPr="00295637">
        <w:rPr>
          <w:rFonts w:ascii="Times New Roman" w:hAnsi="Times New Roman"/>
          <w:sz w:val="24"/>
          <w:lang w:val="bs-Latn-BA"/>
        </w:rPr>
        <w:t xml:space="preserve"> </w:t>
      </w:r>
      <w:r>
        <w:rPr>
          <w:rFonts w:ascii="Times New Roman" w:hAnsi="Times New Roman"/>
          <w:sz w:val="24"/>
          <w:lang w:val="bs-Latn-BA"/>
        </w:rPr>
        <w:t>засноване</w:t>
      </w:r>
      <w:r w:rsidR="003A2F08" w:rsidRPr="00295637">
        <w:rPr>
          <w:rFonts w:ascii="Times New Roman" w:hAnsi="Times New Roman"/>
          <w:sz w:val="24"/>
          <w:lang w:val="bs-Latn-BA"/>
        </w:rPr>
        <w:t xml:space="preserve"> </w:t>
      </w:r>
      <w:r>
        <w:rPr>
          <w:rFonts w:ascii="Times New Roman" w:hAnsi="Times New Roman"/>
          <w:sz w:val="24"/>
          <w:lang w:val="bs-Latn-BA"/>
        </w:rPr>
        <w:t>дискриминације</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насиља</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фокус</w:t>
      </w:r>
      <w:r w:rsidR="003A2F08" w:rsidRPr="00295637">
        <w:rPr>
          <w:rFonts w:ascii="Times New Roman" w:hAnsi="Times New Roman"/>
          <w:sz w:val="24"/>
          <w:lang w:val="bs-Latn-BA"/>
        </w:rPr>
        <w:t xml:space="preserve"> </w:t>
      </w:r>
      <w:r>
        <w:rPr>
          <w:rFonts w:ascii="Times New Roman" w:hAnsi="Times New Roman"/>
          <w:sz w:val="24"/>
          <w:lang w:val="bs-Latn-BA"/>
        </w:rPr>
        <w:t>групама</w:t>
      </w:r>
      <w:r w:rsidR="003A2F08" w:rsidRPr="00295637">
        <w:rPr>
          <w:rFonts w:ascii="Times New Roman" w:hAnsi="Times New Roman"/>
          <w:sz w:val="24"/>
          <w:lang w:val="bs-Latn-BA"/>
        </w:rPr>
        <w:t xml:space="preserve"> </w:t>
      </w:r>
      <w:r>
        <w:rPr>
          <w:rFonts w:ascii="Times New Roman" w:hAnsi="Times New Roman"/>
          <w:sz w:val="24"/>
          <w:lang w:val="bs-Latn-BA"/>
        </w:rPr>
        <w:t>учествовало</w:t>
      </w:r>
      <w:r w:rsidR="003A2F08" w:rsidRPr="00295637">
        <w:rPr>
          <w:rFonts w:ascii="Times New Roman" w:hAnsi="Times New Roman"/>
          <w:sz w:val="24"/>
          <w:lang w:val="bs-Latn-BA"/>
        </w:rPr>
        <w:t xml:space="preserve"> </w:t>
      </w:r>
      <w:r>
        <w:rPr>
          <w:rFonts w:ascii="Times New Roman" w:hAnsi="Times New Roman"/>
          <w:sz w:val="24"/>
          <w:lang w:val="bs-Latn-BA"/>
        </w:rPr>
        <w:t>је</w:t>
      </w:r>
      <w:r w:rsidR="006C2634" w:rsidRPr="00295637">
        <w:rPr>
          <w:rFonts w:ascii="Times New Roman" w:hAnsi="Times New Roman"/>
          <w:sz w:val="24"/>
          <w:lang w:val="bs-Latn-BA"/>
        </w:rPr>
        <w:t xml:space="preserve"> </w:t>
      </w:r>
      <w:r w:rsidR="003A2F08" w:rsidRPr="00295637">
        <w:rPr>
          <w:rFonts w:ascii="Times New Roman" w:hAnsi="Times New Roman"/>
          <w:sz w:val="24"/>
          <w:lang w:val="bs-Latn-BA"/>
        </w:rPr>
        <w:t xml:space="preserve">30 </w:t>
      </w:r>
      <w:r>
        <w:rPr>
          <w:rFonts w:ascii="Times New Roman" w:hAnsi="Times New Roman"/>
          <w:bCs/>
          <w:sz w:val="24"/>
          <w:lang w:val="bs-Latn-BA"/>
        </w:rPr>
        <w:t>представника</w:t>
      </w:r>
      <w:r w:rsidR="003A2F08" w:rsidRPr="00295637">
        <w:rPr>
          <w:rFonts w:ascii="Times New Roman" w:hAnsi="Times New Roman"/>
          <w:bCs/>
          <w:sz w:val="24"/>
          <w:lang w:val="bs-Latn-BA"/>
        </w:rPr>
        <w:t xml:space="preserve"> </w:t>
      </w:r>
      <w:r>
        <w:rPr>
          <w:rFonts w:ascii="Times New Roman" w:hAnsi="Times New Roman"/>
          <w:bCs/>
          <w:sz w:val="24"/>
          <w:lang w:val="bs-Latn-BA"/>
        </w:rPr>
        <w:t>институција</w:t>
      </w:r>
      <w:r w:rsidR="003A2F08" w:rsidRPr="00295637">
        <w:rPr>
          <w:rFonts w:ascii="Times New Roman" w:hAnsi="Times New Roman"/>
          <w:bCs/>
          <w:sz w:val="24"/>
          <w:lang w:val="bs-Latn-BA"/>
        </w:rPr>
        <w:t xml:space="preserve"> </w:t>
      </w:r>
      <w:r>
        <w:rPr>
          <w:rFonts w:ascii="Times New Roman" w:hAnsi="Times New Roman"/>
          <w:bCs/>
          <w:sz w:val="24"/>
          <w:lang w:val="bs-Latn-BA"/>
        </w:rPr>
        <w:t>и</w:t>
      </w:r>
      <w:r w:rsidR="003A2F08" w:rsidRPr="00295637">
        <w:rPr>
          <w:rFonts w:ascii="Times New Roman" w:hAnsi="Times New Roman"/>
          <w:bCs/>
          <w:sz w:val="24"/>
          <w:lang w:val="bs-Latn-BA"/>
        </w:rPr>
        <w:t xml:space="preserve"> </w:t>
      </w:r>
      <w:r>
        <w:rPr>
          <w:rFonts w:ascii="Times New Roman" w:hAnsi="Times New Roman"/>
          <w:bCs/>
          <w:sz w:val="24"/>
          <w:lang w:val="bs-Latn-BA"/>
        </w:rPr>
        <w:t>цивилног</w:t>
      </w:r>
      <w:r w:rsidR="003A2F08" w:rsidRPr="00295637">
        <w:rPr>
          <w:rFonts w:ascii="Times New Roman" w:hAnsi="Times New Roman"/>
          <w:bCs/>
          <w:sz w:val="24"/>
          <w:lang w:val="bs-Latn-BA"/>
        </w:rPr>
        <w:t xml:space="preserve"> </w:t>
      </w:r>
      <w:r>
        <w:rPr>
          <w:rFonts w:ascii="Times New Roman" w:hAnsi="Times New Roman"/>
          <w:bCs/>
          <w:sz w:val="24"/>
          <w:lang w:val="bs-Latn-BA"/>
        </w:rPr>
        <w:t>сектора</w:t>
      </w:r>
      <w:r w:rsidR="003E1DE3">
        <w:rPr>
          <w:rFonts w:ascii="Times New Roman" w:hAnsi="Times New Roman"/>
          <w:sz w:val="24"/>
          <w:lang w:val="bs-Latn-BA"/>
        </w:rPr>
        <w:t>.</w:t>
      </w:r>
      <w:r w:rsidR="003A2F08" w:rsidRPr="00295637">
        <w:rPr>
          <w:rFonts w:ascii="Times New Roman" w:hAnsi="Times New Roman"/>
          <w:sz w:val="24"/>
          <w:lang w:val="bs-Latn-BA"/>
        </w:rPr>
        <w:t xml:space="preserve"> </w:t>
      </w:r>
      <w:r>
        <w:rPr>
          <w:rFonts w:ascii="Times New Roman" w:hAnsi="Times New Roman"/>
          <w:bCs/>
          <w:sz w:val="24"/>
          <w:lang w:val="bs-Latn-BA"/>
        </w:rPr>
        <w:t>На</w:t>
      </w:r>
      <w:r w:rsidR="003A2F08" w:rsidRPr="00295637">
        <w:rPr>
          <w:rFonts w:ascii="Times New Roman" w:hAnsi="Times New Roman"/>
          <w:bCs/>
          <w:sz w:val="24"/>
          <w:lang w:val="bs-Latn-BA"/>
        </w:rPr>
        <w:t xml:space="preserve"> </w:t>
      </w:r>
      <w:r>
        <w:rPr>
          <w:rFonts w:ascii="Times New Roman" w:hAnsi="Times New Roman"/>
          <w:bCs/>
          <w:sz w:val="24"/>
          <w:lang w:val="bs-Latn-BA"/>
        </w:rPr>
        <w:t>основу</w:t>
      </w:r>
      <w:r w:rsidR="003A2F08" w:rsidRPr="00295637">
        <w:rPr>
          <w:rFonts w:ascii="Times New Roman" w:hAnsi="Times New Roman"/>
          <w:bCs/>
          <w:sz w:val="24"/>
          <w:lang w:val="bs-Latn-BA"/>
        </w:rPr>
        <w:t xml:space="preserve"> </w:t>
      </w:r>
      <w:r>
        <w:rPr>
          <w:rFonts w:ascii="Times New Roman" w:hAnsi="Times New Roman"/>
          <w:bCs/>
          <w:sz w:val="24"/>
          <w:lang w:val="bs-Latn-BA"/>
        </w:rPr>
        <w:t>плана</w:t>
      </w:r>
      <w:r w:rsidR="003A2F08" w:rsidRPr="00295637">
        <w:rPr>
          <w:rFonts w:ascii="Times New Roman" w:hAnsi="Times New Roman"/>
          <w:bCs/>
          <w:sz w:val="24"/>
          <w:lang w:val="bs-Latn-BA"/>
        </w:rPr>
        <w:t xml:space="preserve"> </w:t>
      </w:r>
      <w:r>
        <w:rPr>
          <w:rFonts w:ascii="Times New Roman" w:hAnsi="Times New Roman"/>
          <w:bCs/>
          <w:sz w:val="24"/>
          <w:lang w:val="bs-Latn-BA"/>
        </w:rPr>
        <w:t>развоја</w:t>
      </w:r>
      <w:r w:rsidR="003A2F08" w:rsidRPr="00295637">
        <w:rPr>
          <w:rFonts w:ascii="Times New Roman" w:hAnsi="Times New Roman"/>
          <w:bCs/>
          <w:sz w:val="24"/>
          <w:lang w:val="bs-Latn-BA"/>
        </w:rPr>
        <w:t xml:space="preserve"> </w:t>
      </w:r>
      <w:r>
        <w:rPr>
          <w:rFonts w:ascii="Times New Roman" w:hAnsi="Times New Roman"/>
          <w:bCs/>
          <w:sz w:val="24"/>
          <w:lang w:val="bs-Latn-BA"/>
        </w:rPr>
        <w:t>капацитета</w:t>
      </w:r>
      <w:r w:rsidR="003A2F08" w:rsidRPr="00295637">
        <w:rPr>
          <w:rFonts w:ascii="Times New Roman" w:hAnsi="Times New Roman"/>
          <w:bCs/>
          <w:sz w:val="24"/>
          <w:lang w:val="bs-Latn-BA"/>
        </w:rPr>
        <w:t xml:space="preserve"> </w:t>
      </w:r>
      <w:r>
        <w:rPr>
          <w:rFonts w:ascii="Times New Roman" w:hAnsi="Times New Roman"/>
          <w:bCs/>
          <w:sz w:val="24"/>
          <w:lang w:val="bs-Latn-BA"/>
        </w:rPr>
        <w:t>и</w:t>
      </w:r>
      <w:r w:rsidR="003A2F08" w:rsidRPr="00295637">
        <w:rPr>
          <w:rFonts w:ascii="Times New Roman" w:hAnsi="Times New Roman"/>
          <w:bCs/>
          <w:sz w:val="24"/>
          <w:lang w:val="bs-Latn-BA"/>
        </w:rPr>
        <w:t xml:space="preserve"> </w:t>
      </w:r>
      <w:r>
        <w:rPr>
          <w:rFonts w:ascii="Times New Roman" w:hAnsi="Times New Roman"/>
          <w:bCs/>
          <w:sz w:val="24"/>
          <w:lang w:val="bs-Latn-BA"/>
        </w:rPr>
        <w:t>курикулума</w:t>
      </w:r>
      <w:r w:rsidR="003A2F08" w:rsidRPr="00295637">
        <w:rPr>
          <w:rFonts w:ascii="Times New Roman" w:hAnsi="Times New Roman"/>
          <w:bCs/>
          <w:sz w:val="24"/>
          <w:lang w:val="bs-Latn-BA"/>
        </w:rPr>
        <w:t xml:space="preserve"> </w:t>
      </w:r>
      <w:r>
        <w:rPr>
          <w:rFonts w:ascii="Times New Roman" w:hAnsi="Times New Roman"/>
          <w:bCs/>
          <w:sz w:val="24"/>
          <w:lang w:val="bs-Latn-BA"/>
        </w:rPr>
        <w:t>обуке</w:t>
      </w:r>
      <w:r w:rsidR="003A2F08" w:rsidRPr="00295637">
        <w:rPr>
          <w:rFonts w:ascii="Times New Roman" w:hAnsi="Times New Roman"/>
          <w:bCs/>
          <w:sz w:val="24"/>
          <w:lang w:val="bs-Latn-BA"/>
        </w:rPr>
        <w:t xml:space="preserve"> </w:t>
      </w:r>
      <w:r>
        <w:rPr>
          <w:rFonts w:ascii="Times New Roman" w:hAnsi="Times New Roman"/>
          <w:bCs/>
          <w:sz w:val="24"/>
          <w:lang w:val="bs-Latn-BA"/>
        </w:rPr>
        <w:t>у</w:t>
      </w:r>
      <w:r w:rsidR="003A2F08" w:rsidRPr="00295637">
        <w:rPr>
          <w:rFonts w:ascii="Times New Roman" w:hAnsi="Times New Roman"/>
          <w:bCs/>
          <w:sz w:val="24"/>
          <w:lang w:val="bs-Latn-BA"/>
        </w:rPr>
        <w:t xml:space="preserve"> </w:t>
      </w:r>
      <w:r>
        <w:rPr>
          <w:rFonts w:ascii="Times New Roman" w:hAnsi="Times New Roman"/>
          <w:bCs/>
          <w:sz w:val="24"/>
          <w:lang w:val="bs-Latn-BA"/>
        </w:rPr>
        <w:t>сарадњи</w:t>
      </w:r>
      <w:r w:rsidR="003E1DE3">
        <w:rPr>
          <w:rFonts w:ascii="Times New Roman" w:hAnsi="Times New Roman"/>
          <w:bCs/>
          <w:sz w:val="24"/>
          <w:lang w:val="bs-Latn-BA"/>
        </w:rPr>
        <w:t xml:space="preserve"> </w:t>
      </w:r>
      <w:r>
        <w:rPr>
          <w:rFonts w:ascii="Times New Roman" w:hAnsi="Times New Roman"/>
          <w:bCs/>
          <w:sz w:val="24"/>
          <w:lang w:val="bs-Latn-BA"/>
        </w:rPr>
        <w:t>са</w:t>
      </w:r>
      <w:r w:rsidR="003A2F08" w:rsidRPr="00295637">
        <w:rPr>
          <w:rFonts w:ascii="Times New Roman" w:hAnsi="Times New Roman"/>
          <w:bCs/>
          <w:sz w:val="24"/>
          <w:lang w:val="bs-Latn-BA"/>
        </w:rPr>
        <w:t xml:space="preserve"> </w:t>
      </w:r>
      <w:r>
        <w:rPr>
          <w:rFonts w:ascii="Times New Roman" w:hAnsi="Times New Roman"/>
          <w:bCs/>
          <w:sz w:val="24"/>
          <w:lang w:val="bs-Latn-BA"/>
        </w:rPr>
        <w:t>оп</w:t>
      </w:r>
      <w:r w:rsidR="009153B7">
        <w:rPr>
          <w:rFonts w:ascii="Times New Roman" w:hAnsi="Times New Roman"/>
          <w:bCs/>
          <w:sz w:val="24"/>
          <w:lang w:val="sr-Cyrl-BA"/>
        </w:rPr>
        <w:t>шт</w:t>
      </w:r>
      <w:r>
        <w:rPr>
          <w:rFonts w:ascii="Times New Roman" w:hAnsi="Times New Roman"/>
          <w:bCs/>
          <w:sz w:val="24"/>
          <w:lang w:val="bs-Latn-BA"/>
        </w:rPr>
        <w:t>инама</w:t>
      </w:r>
      <w:r w:rsidR="00575A03">
        <w:rPr>
          <w:rFonts w:ascii="Times New Roman" w:hAnsi="Times New Roman"/>
          <w:bCs/>
          <w:sz w:val="24"/>
          <w:lang w:val="bs-Latn-BA"/>
        </w:rPr>
        <w:t xml:space="preserve">, </w:t>
      </w:r>
      <w:r>
        <w:rPr>
          <w:rFonts w:ascii="Times New Roman" w:hAnsi="Times New Roman"/>
          <w:bCs/>
          <w:sz w:val="24"/>
          <w:lang w:val="bs-Latn-BA"/>
        </w:rPr>
        <w:t>реализ</w:t>
      </w:r>
      <w:r w:rsidR="009153B7">
        <w:rPr>
          <w:rFonts w:ascii="Times New Roman" w:hAnsi="Times New Roman"/>
          <w:bCs/>
          <w:sz w:val="24"/>
          <w:lang w:val="sr-Cyrl-BA"/>
        </w:rPr>
        <w:t>овано</w:t>
      </w:r>
      <w:r w:rsidR="00575A03">
        <w:rPr>
          <w:rFonts w:ascii="Times New Roman" w:hAnsi="Times New Roman"/>
          <w:bCs/>
          <w:sz w:val="24"/>
          <w:lang w:val="bs-Latn-BA"/>
        </w:rPr>
        <w:t xml:space="preserve"> </w:t>
      </w:r>
      <w:r>
        <w:rPr>
          <w:rFonts w:ascii="Times New Roman" w:hAnsi="Times New Roman"/>
          <w:bCs/>
          <w:sz w:val="24"/>
          <w:lang w:val="bs-Latn-BA"/>
        </w:rPr>
        <w:t>је</w:t>
      </w:r>
      <w:r w:rsidR="00575A03">
        <w:rPr>
          <w:rFonts w:ascii="Times New Roman" w:hAnsi="Times New Roman"/>
          <w:bCs/>
          <w:sz w:val="24"/>
          <w:lang w:val="bs-Latn-BA"/>
        </w:rPr>
        <w:t xml:space="preserve"> </w:t>
      </w:r>
      <w:r>
        <w:rPr>
          <w:rFonts w:ascii="Times New Roman" w:hAnsi="Times New Roman"/>
          <w:bCs/>
          <w:sz w:val="24"/>
          <w:lang w:val="bs-Latn-BA"/>
        </w:rPr>
        <w:t>укупно</w:t>
      </w:r>
      <w:r w:rsidR="00575A03">
        <w:rPr>
          <w:rFonts w:ascii="Times New Roman" w:hAnsi="Times New Roman"/>
          <w:bCs/>
          <w:sz w:val="24"/>
          <w:lang w:val="bs-Latn-BA"/>
        </w:rPr>
        <w:t xml:space="preserve"> </w:t>
      </w:r>
      <w:r>
        <w:rPr>
          <w:rFonts w:ascii="Times New Roman" w:hAnsi="Times New Roman"/>
          <w:bCs/>
          <w:sz w:val="24"/>
          <w:lang w:val="bs-Latn-BA"/>
        </w:rPr>
        <w:t>осам</w:t>
      </w:r>
      <w:r w:rsidR="003A2F08" w:rsidRPr="00295637">
        <w:rPr>
          <w:rFonts w:ascii="Times New Roman" w:hAnsi="Times New Roman"/>
          <w:bCs/>
          <w:sz w:val="24"/>
          <w:lang w:val="bs-Latn-BA"/>
        </w:rPr>
        <w:t xml:space="preserve"> </w:t>
      </w:r>
      <w:r>
        <w:rPr>
          <w:rFonts w:ascii="Times New Roman" w:hAnsi="Times New Roman"/>
          <w:bCs/>
          <w:sz w:val="24"/>
          <w:lang w:val="bs-Latn-BA"/>
        </w:rPr>
        <w:t>тренинга</w:t>
      </w:r>
      <w:r w:rsidR="003A2F08" w:rsidRPr="00295637">
        <w:rPr>
          <w:rFonts w:ascii="Times New Roman" w:hAnsi="Times New Roman"/>
          <w:sz w:val="24"/>
          <w:lang w:val="bs-Latn-BA"/>
        </w:rPr>
        <w:t xml:space="preserve">. </w:t>
      </w:r>
      <w:r>
        <w:rPr>
          <w:rFonts w:ascii="Times New Roman" w:hAnsi="Times New Roman"/>
          <w:sz w:val="24"/>
          <w:lang w:val="bs-Latn-BA"/>
        </w:rPr>
        <w:t>Овим</w:t>
      </w:r>
      <w:r w:rsidR="003A2F08" w:rsidRPr="00295637">
        <w:rPr>
          <w:rFonts w:ascii="Times New Roman" w:hAnsi="Times New Roman"/>
          <w:sz w:val="24"/>
          <w:lang w:val="bs-Latn-BA"/>
        </w:rPr>
        <w:t xml:space="preserve"> </w:t>
      </w:r>
      <w:r>
        <w:rPr>
          <w:rFonts w:ascii="Times New Roman" w:hAnsi="Times New Roman"/>
          <w:sz w:val="24"/>
          <w:lang w:val="bs-Latn-BA"/>
        </w:rPr>
        <w:t>су</w:t>
      </w:r>
      <w:r w:rsidR="003A2F08" w:rsidRPr="00295637">
        <w:rPr>
          <w:rFonts w:ascii="Times New Roman" w:hAnsi="Times New Roman"/>
          <w:sz w:val="24"/>
          <w:lang w:val="bs-Latn-BA"/>
        </w:rPr>
        <w:t xml:space="preserve"> </w:t>
      </w:r>
      <w:r>
        <w:rPr>
          <w:rFonts w:ascii="Times New Roman" w:hAnsi="Times New Roman"/>
          <w:sz w:val="24"/>
          <w:lang w:val="bs-Latn-BA"/>
        </w:rPr>
        <w:t>знатно</w:t>
      </w:r>
      <w:r w:rsidR="003A2F08" w:rsidRPr="00295637">
        <w:rPr>
          <w:rFonts w:ascii="Times New Roman" w:hAnsi="Times New Roman"/>
          <w:sz w:val="24"/>
          <w:lang w:val="bs-Latn-BA"/>
        </w:rPr>
        <w:t xml:space="preserve"> </w:t>
      </w:r>
      <w:r>
        <w:rPr>
          <w:rFonts w:ascii="Times New Roman" w:hAnsi="Times New Roman"/>
          <w:sz w:val="24"/>
          <w:lang w:val="bs-Latn-BA"/>
        </w:rPr>
        <w:t>унапријеђени</w:t>
      </w:r>
      <w:r w:rsidR="003A2F08" w:rsidRPr="00295637">
        <w:rPr>
          <w:rFonts w:ascii="Times New Roman" w:hAnsi="Times New Roman"/>
          <w:sz w:val="24"/>
          <w:lang w:val="bs-Latn-BA"/>
        </w:rPr>
        <w:t xml:space="preserve"> </w:t>
      </w:r>
      <w:r>
        <w:rPr>
          <w:rFonts w:ascii="Times New Roman" w:hAnsi="Times New Roman"/>
          <w:sz w:val="24"/>
          <w:lang w:val="bs-Latn-BA"/>
        </w:rPr>
        <w:t>капацитети</w:t>
      </w:r>
      <w:r w:rsidR="003A2F08" w:rsidRPr="00295637">
        <w:rPr>
          <w:rFonts w:ascii="Times New Roman" w:hAnsi="Times New Roman"/>
          <w:sz w:val="24"/>
          <w:lang w:val="bs-Latn-BA"/>
        </w:rPr>
        <w:t xml:space="preserve"> </w:t>
      </w:r>
      <w:r>
        <w:rPr>
          <w:rFonts w:ascii="Times New Roman" w:hAnsi="Times New Roman"/>
          <w:sz w:val="24"/>
          <w:lang w:val="bs-Latn-BA"/>
        </w:rPr>
        <w:t>на</w:t>
      </w:r>
      <w:r w:rsidR="003A2F08" w:rsidRPr="00295637">
        <w:rPr>
          <w:rFonts w:ascii="Times New Roman" w:hAnsi="Times New Roman"/>
          <w:sz w:val="24"/>
          <w:lang w:val="bs-Latn-BA"/>
        </w:rPr>
        <w:t xml:space="preserve"> </w:t>
      </w:r>
      <w:r>
        <w:rPr>
          <w:rFonts w:ascii="Times New Roman" w:hAnsi="Times New Roman"/>
          <w:sz w:val="24"/>
          <w:lang w:val="bs-Latn-BA"/>
        </w:rPr>
        <w:t>локалном</w:t>
      </w:r>
      <w:r w:rsidR="003A2F08" w:rsidRPr="00295637">
        <w:rPr>
          <w:rFonts w:ascii="Times New Roman" w:hAnsi="Times New Roman"/>
          <w:sz w:val="24"/>
          <w:lang w:val="bs-Latn-BA"/>
        </w:rPr>
        <w:t xml:space="preserve"> </w:t>
      </w:r>
      <w:r>
        <w:rPr>
          <w:rFonts w:ascii="Times New Roman" w:hAnsi="Times New Roman"/>
          <w:sz w:val="24"/>
          <w:lang w:val="bs-Latn-BA"/>
        </w:rPr>
        <w:t>нивоу</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w:t>
      </w:r>
      <w:r>
        <w:rPr>
          <w:rFonts w:ascii="Times New Roman" w:hAnsi="Times New Roman"/>
          <w:sz w:val="24"/>
          <w:lang w:val="bs-Latn-BA"/>
        </w:rPr>
        <w:t>разумијевање</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важност</w:t>
      </w:r>
      <w:r w:rsidR="003A2F08" w:rsidRPr="00295637">
        <w:rPr>
          <w:rFonts w:ascii="Times New Roman" w:hAnsi="Times New Roman"/>
          <w:sz w:val="24"/>
          <w:lang w:val="bs-Latn-BA"/>
        </w:rPr>
        <w:t xml:space="preserve"> </w:t>
      </w:r>
      <w:r>
        <w:rPr>
          <w:rFonts w:ascii="Times New Roman" w:hAnsi="Times New Roman"/>
          <w:sz w:val="24"/>
          <w:lang w:val="bs-Latn-BA"/>
        </w:rPr>
        <w:t>доношења</w:t>
      </w:r>
      <w:r w:rsidR="003A2F08" w:rsidRPr="00295637">
        <w:rPr>
          <w:rFonts w:ascii="Times New Roman" w:hAnsi="Times New Roman"/>
          <w:sz w:val="24"/>
          <w:lang w:val="bs-Latn-BA"/>
        </w:rPr>
        <w:t xml:space="preserve"> </w:t>
      </w:r>
      <w:r>
        <w:rPr>
          <w:rFonts w:ascii="Times New Roman" w:hAnsi="Times New Roman"/>
          <w:sz w:val="24"/>
          <w:lang w:val="bs-Latn-BA"/>
        </w:rPr>
        <w:t>стратегија</w:t>
      </w:r>
      <w:r w:rsidR="003A2F08" w:rsidRPr="00295637">
        <w:rPr>
          <w:rFonts w:ascii="Times New Roman" w:hAnsi="Times New Roman"/>
          <w:sz w:val="24"/>
          <w:lang w:val="bs-Latn-BA"/>
        </w:rPr>
        <w:t xml:space="preserve">, </w:t>
      </w:r>
      <w:r>
        <w:rPr>
          <w:rFonts w:ascii="Times New Roman" w:hAnsi="Times New Roman"/>
          <w:sz w:val="24"/>
          <w:lang w:val="bs-Latn-BA"/>
        </w:rPr>
        <w:t>политика</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документа</w:t>
      </w:r>
      <w:r w:rsidR="003A2F08" w:rsidRPr="00295637">
        <w:rPr>
          <w:rFonts w:ascii="Times New Roman" w:hAnsi="Times New Roman"/>
          <w:sz w:val="24"/>
          <w:lang w:val="bs-Latn-BA"/>
        </w:rPr>
        <w:t xml:space="preserve"> </w:t>
      </w:r>
      <w:r>
        <w:rPr>
          <w:rFonts w:ascii="Times New Roman" w:hAnsi="Times New Roman"/>
          <w:sz w:val="24"/>
          <w:lang w:val="bs-Latn-BA"/>
        </w:rPr>
        <w:t>уз</w:t>
      </w:r>
      <w:r w:rsidR="003A2F08" w:rsidRPr="00295637">
        <w:rPr>
          <w:rFonts w:ascii="Times New Roman" w:hAnsi="Times New Roman"/>
          <w:sz w:val="24"/>
          <w:lang w:val="bs-Latn-BA"/>
        </w:rPr>
        <w:t xml:space="preserve"> </w:t>
      </w:r>
      <w:r>
        <w:rPr>
          <w:rFonts w:ascii="Times New Roman" w:hAnsi="Times New Roman"/>
          <w:sz w:val="24"/>
          <w:lang w:val="bs-Latn-BA"/>
        </w:rPr>
        <w:t>институционално</w:t>
      </w:r>
      <w:r w:rsidR="003A2F08" w:rsidRPr="00295637">
        <w:rPr>
          <w:rFonts w:ascii="Times New Roman" w:hAnsi="Times New Roman"/>
          <w:sz w:val="24"/>
          <w:lang w:val="bs-Latn-BA"/>
        </w:rPr>
        <w:t xml:space="preserve"> </w:t>
      </w:r>
      <w:r>
        <w:rPr>
          <w:rFonts w:ascii="Times New Roman" w:hAnsi="Times New Roman"/>
          <w:sz w:val="24"/>
          <w:lang w:val="bs-Latn-BA"/>
        </w:rPr>
        <w:t>власништво</w:t>
      </w:r>
      <w:r w:rsidR="003A2F08" w:rsidRPr="00295637">
        <w:rPr>
          <w:rFonts w:ascii="Times New Roman" w:hAnsi="Times New Roman"/>
          <w:sz w:val="24"/>
          <w:lang w:val="bs-Latn-BA"/>
        </w:rPr>
        <w:t xml:space="preserve"> </w:t>
      </w:r>
      <w:r>
        <w:rPr>
          <w:rFonts w:ascii="Times New Roman" w:hAnsi="Times New Roman"/>
          <w:sz w:val="24"/>
          <w:lang w:val="bs-Latn-BA"/>
        </w:rPr>
        <w:t>ГЦ</w:t>
      </w:r>
      <w:r w:rsidR="002B0125" w:rsidRPr="00295637">
        <w:rPr>
          <w:rFonts w:ascii="Times New Roman" w:hAnsi="Times New Roman"/>
          <w:sz w:val="24"/>
          <w:lang w:val="bs-Latn-BA"/>
        </w:rPr>
        <w:t xml:space="preserve"> </w:t>
      </w:r>
      <w:r>
        <w:rPr>
          <w:rFonts w:ascii="Times New Roman" w:hAnsi="Times New Roman"/>
          <w:sz w:val="24"/>
          <w:lang w:val="bs-Latn-BA"/>
        </w:rPr>
        <w:t>ФБиХ</w:t>
      </w:r>
      <w:r w:rsidR="003A2F08" w:rsidRPr="00295637">
        <w:rPr>
          <w:rFonts w:ascii="Times New Roman" w:hAnsi="Times New Roman"/>
          <w:sz w:val="24"/>
          <w:lang w:val="bs-Latn-BA"/>
        </w:rPr>
        <w:t xml:space="preserve"> </w:t>
      </w:r>
      <w:r>
        <w:rPr>
          <w:rFonts w:ascii="Times New Roman" w:hAnsi="Times New Roman"/>
          <w:sz w:val="24"/>
          <w:lang w:val="bs-Latn-BA"/>
        </w:rPr>
        <w:t>над</w:t>
      </w:r>
      <w:r w:rsidR="003A2F08" w:rsidRPr="00295637">
        <w:rPr>
          <w:rFonts w:ascii="Times New Roman" w:hAnsi="Times New Roman"/>
          <w:sz w:val="24"/>
          <w:lang w:val="bs-Latn-BA"/>
        </w:rPr>
        <w:t xml:space="preserve"> </w:t>
      </w:r>
      <w:r>
        <w:rPr>
          <w:rFonts w:ascii="Times New Roman" w:hAnsi="Times New Roman"/>
          <w:sz w:val="24"/>
          <w:lang w:val="bs-Latn-BA"/>
        </w:rPr>
        <w:t>процесом</w:t>
      </w:r>
      <w:r w:rsidR="003A2F08" w:rsidRPr="00295637">
        <w:rPr>
          <w:rFonts w:ascii="Times New Roman" w:hAnsi="Times New Roman"/>
          <w:sz w:val="24"/>
          <w:lang w:val="bs-Latn-BA"/>
        </w:rPr>
        <w:t xml:space="preserve"> </w:t>
      </w:r>
      <w:r w:rsidR="009153B7" w:rsidRPr="009153B7">
        <w:rPr>
          <w:rFonts w:ascii="Times New Roman" w:hAnsi="Times New Roman"/>
          <w:i/>
          <w:sz w:val="24"/>
          <w:lang w:val="bs-Latn-BA"/>
        </w:rPr>
        <w:t>gender mainstreaminga</w:t>
      </w:r>
      <w:r w:rsidR="003A2F08" w:rsidRPr="00295637">
        <w:rPr>
          <w:rFonts w:ascii="Times New Roman" w:hAnsi="Times New Roman"/>
          <w:sz w:val="24"/>
          <w:lang w:val="bs-Latn-BA"/>
        </w:rPr>
        <w:t>.</w:t>
      </w:r>
    </w:p>
    <w:p w:rsidR="00351302" w:rsidRPr="00295637" w:rsidRDefault="00351302" w:rsidP="0086268D">
      <w:pPr>
        <w:pStyle w:val="Tekst"/>
        <w:spacing w:before="0"/>
        <w:rPr>
          <w:rFonts w:ascii="Times New Roman" w:hAnsi="Times New Roman"/>
          <w:sz w:val="24"/>
          <w:lang w:val="bs-Latn-BA"/>
        </w:rPr>
      </w:pPr>
    </w:p>
    <w:p w:rsidR="003A2F08" w:rsidRPr="00295637" w:rsidRDefault="00C6214E" w:rsidP="0086268D">
      <w:pPr>
        <w:pStyle w:val="Tekst"/>
        <w:spacing w:before="0"/>
        <w:rPr>
          <w:rFonts w:ascii="Times New Roman" w:hAnsi="Times New Roman"/>
          <w:sz w:val="24"/>
          <w:lang w:val="bs-Latn-BA"/>
        </w:rPr>
      </w:pPr>
      <w:r>
        <w:rPr>
          <w:rFonts w:ascii="Times New Roman" w:hAnsi="Times New Roman"/>
          <w:sz w:val="24"/>
          <w:lang w:val="bs-Latn-BA"/>
        </w:rPr>
        <w:t>У</w:t>
      </w:r>
      <w:r w:rsidR="003A2F08" w:rsidRPr="00295637">
        <w:rPr>
          <w:rFonts w:ascii="Times New Roman" w:hAnsi="Times New Roman"/>
          <w:sz w:val="24"/>
          <w:lang w:val="bs-Latn-BA"/>
        </w:rPr>
        <w:t xml:space="preserve"> 64 </w:t>
      </w:r>
      <w:r>
        <w:rPr>
          <w:rFonts w:ascii="Times New Roman" w:hAnsi="Times New Roman"/>
          <w:sz w:val="24"/>
          <w:lang w:val="bs-Latn-BA"/>
        </w:rPr>
        <w:t>оп</w:t>
      </w:r>
      <w:r w:rsidR="009153B7">
        <w:rPr>
          <w:rFonts w:ascii="Times New Roman" w:hAnsi="Times New Roman"/>
          <w:sz w:val="24"/>
          <w:lang w:val="sr-Cyrl-BA"/>
        </w:rPr>
        <w:t>шт</w:t>
      </w:r>
      <w:r>
        <w:rPr>
          <w:rFonts w:ascii="Times New Roman" w:hAnsi="Times New Roman"/>
          <w:sz w:val="24"/>
          <w:lang w:val="bs-Latn-BA"/>
        </w:rPr>
        <w:t>ине</w:t>
      </w:r>
      <w:r w:rsidR="003A2F08" w:rsidRPr="00295637">
        <w:rPr>
          <w:rFonts w:ascii="Times New Roman" w:hAnsi="Times New Roman"/>
          <w:sz w:val="24"/>
          <w:lang w:val="bs-Latn-BA"/>
        </w:rPr>
        <w:t>/</w:t>
      </w:r>
      <w:r>
        <w:rPr>
          <w:rFonts w:ascii="Times New Roman" w:hAnsi="Times New Roman"/>
          <w:sz w:val="24"/>
          <w:lang w:val="bs-Latn-BA"/>
        </w:rPr>
        <w:t>града</w:t>
      </w:r>
      <w:r w:rsidR="003A2F08" w:rsidRPr="00295637">
        <w:rPr>
          <w:rFonts w:ascii="Times New Roman" w:hAnsi="Times New Roman"/>
          <w:sz w:val="24"/>
          <w:lang w:val="bs-Latn-BA"/>
        </w:rPr>
        <w:t xml:space="preserve">, </w:t>
      </w:r>
      <w:r>
        <w:rPr>
          <w:rFonts w:ascii="Times New Roman" w:hAnsi="Times New Roman"/>
          <w:sz w:val="24"/>
          <w:lang w:val="bs-Latn-BA"/>
        </w:rPr>
        <w:t>реализ</w:t>
      </w:r>
      <w:r w:rsidR="009153B7">
        <w:rPr>
          <w:rFonts w:ascii="Times New Roman" w:hAnsi="Times New Roman"/>
          <w:sz w:val="24"/>
          <w:lang w:val="sr-Cyrl-BA"/>
        </w:rPr>
        <w:t>оване</w:t>
      </w:r>
      <w:r w:rsidR="003A2F08" w:rsidRPr="00295637">
        <w:rPr>
          <w:rFonts w:ascii="Times New Roman" w:hAnsi="Times New Roman"/>
          <w:sz w:val="24"/>
          <w:lang w:val="bs-Latn-BA"/>
        </w:rPr>
        <w:t xml:space="preserve"> </w:t>
      </w:r>
      <w:r>
        <w:rPr>
          <w:rFonts w:ascii="Times New Roman" w:hAnsi="Times New Roman"/>
          <w:sz w:val="24"/>
          <w:lang w:val="bs-Latn-BA"/>
        </w:rPr>
        <w:t>су</w:t>
      </w:r>
      <w:r w:rsidR="003A2F08" w:rsidRPr="00295637">
        <w:rPr>
          <w:rFonts w:ascii="Times New Roman" w:hAnsi="Times New Roman"/>
          <w:sz w:val="24"/>
          <w:lang w:val="bs-Latn-BA"/>
        </w:rPr>
        <w:t xml:space="preserve"> 23 </w:t>
      </w:r>
      <w:r>
        <w:rPr>
          <w:rFonts w:ascii="Times New Roman" w:hAnsi="Times New Roman"/>
          <w:sz w:val="24"/>
          <w:lang w:val="bs-Latn-BA"/>
        </w:rPr>
        <w:t>различите</w:t>
      </w:r>
      <w:r w:rsidR="003A2F08" w:rsidRPr="00295637">
        <w:rPr>
          <w:rFonts w:ascii="Times New Roman" w:hAnsi="Times New Roman"/>
          <w:sz w:val="24"/>
          <w:lang w:val="bs-Latn-BA"/>
        </w:rPr>
        <w:t xml:space="preserve"> </w:t>
      </w:r>
      <w:r>
        <w:rPr>
          <w:rFonts w:ascii="Times New Roman" w:hAnsi="Times New Roman"/>
          <w:sz w:val="24"/>
          <w:lang w:val="bs-Latn-BA"/>
        </w:rPr>
        <w:t>активности</w:t>
      </w:r>
      <w:r w:rsidR="003A2F08" w:rsidRPr="00295637">
        <w:rPr>
          <w:rFonts w:ascii="Times New Roman" w:hAnsi="Times New Roman"/>
          <w:sz w:val="24"/>
          <w:lang w:val="bs-Latn-BA"/>
        </w:rPr>
        <w:t xml:space="preserve">, 85 </w:t>
      </w:r>
      <w:r>
        <w:rPr>
          <w:rFonts w:ascii="Times New Roman" w:hAnsi="Times New Roman"/>
          <w:sz w:val="24"/>
          <w:lang w:val="bs-Latn-BA"/>
        </w:rPr>
        <w:t>супервизијских</w:t>
      </w:r>
      <w:r w:rsidR="003A2F08" w:rsidRPr="00295637">
        <w:rPr>
          <w:rFonts w:ascii="Times New Roman" w:hAnsi="Times New Roman"/>
          <w:sz w:val="24"/>
          <w:lang w:val="bs-Latn-BA"/>
        </w:rPr>
        <w:t xml:space="preserve"> </w:t>
      </w:r>
      <w:r>
        <w:rPr>
          <w:rFonts w:ascii="Times New Roman" w:hAnsi="Times New Roman"/>
          <w:sz w:val="24"/>
          <w:lang w:val="bs-Latn-BA"/>
        </w:rPr>
        <w:t>сусрета</w:t>
      </w:r>
      <w:r w:rsidR="003A2F08" w:rsidRPr="00295637">
        <w:rPr>
          <w:rFonts w:ascii="Times New Roman" w:hAnsi="Times New Roman"/>
          <w:sz w:val="24"/>
          <w:lang w:val="bs-Latn-BA"/>
        </w:rPr>
        <w:t xml:space="preserve">, 31 </w:t>
      </w:r>
      <w:r>
        <w:rPr>
          <w:rFonts w:ascii="Times New Roman" w:hAnsi="Times New Roman"/>
          <w:sz w:val="24"/>
          <w:lang w:val="bs-Latn-BA"/>
        </w:rPr>
        <w:t>обука</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остварено</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sidR="00485AB7">
        <w:rPr>
          <w:rFonts w:ascii="Times New Roman" w:hAnsi="Times New Roman"/>
          <w:sz w:val="24"/>
          <w:lang w:val="bs-Cyrl-BA"/>
        </w:rPr>
        <w:t>учешће</w:t>
      </w:r>
      <w:r w:rsidR="003A2F08" w:rsidRPr="00295637">
        <w:rPr>
          <w:rFonts w:ascii="Times New Roman" w:hAnsi="Times New Roman"/>
          <w:sz w:val="24"/>
          <w:lang w:val="bs-Latn-BA"/>
        </w:rPr>
        <w:t xml:space="preserve"> 1.333 </w:t>
      </w:r>
      <w:r>
        <w:rPr>
          <w:rFonts w:ascii="Times New Roman" w:hAnsi="Times New Roman"/>
          <w:sz w:val="24"/>
          <w:lang w:val="bs-Latn-BA"/>
        </w:rPr>
        <w:t>лица</w:t>
      </w:r>
      <w:r w:rsidR="003A2F08" w:rsidRPr="00295637">
        <w:rPr>
          <w:rFonts w:ascii="Times New Roman" w:hAnsi="Times New Roman"/>
          <w:sz w:val="24"/>
          <w:lang w:val="bs-Latn-BA"/>
        </w:rPr>
        <w:t xml:space="preserve"> </w:t>
      </w:r>
      <w:r>
        <w:rPr>
          <w:rFonts w:ascii="Times New Roman" w:hAnsi="Times New Roman"/>
          <w:sz w:val="24"/>
          <w:lang w:val="bs-Latn-BA"/>
        </w:rPr>
        <w:t>на</w:t>
      </w:r>
      <w:r w:rsidR="003A2F08" w:rsidRPr="00295637">
        <w:rPr>
          <w:rFonts w:ascii="Times New Roman" w:hAnsi="Times New Roman"/>
          <w:sz w:val="24"/>
          <w:lang w:val="bs-Latn-BA"/>
        </w:rPr>
        <w:t xml:space="preserve"> </w:t>
      </w:r>
      <w:r>
        <w:rPr>
          <w:rFonts w:ascii="Times New Roman" w:hAnsi="Times New Roman"/>
          <w:sz w:val="24"/>
          <w:lang w:val="bs-Latn-BA"/>
        </w:rPr>
        <w:t>различитим</w:t>
      </w:r>
      <w:r w:rsidR="003A2F08" w:rsidRPr="00295637">
        <w:rPr>
          <w:rFonts w:ascii="Times New Roman" w:hAnsi="Times New Roman"/>
          <w:sz w:val="24"/>
          <w:lang w:val="bs-Latn-BA"/>
        </w:rPr>
        <w:t xml:space="preserve"> </w:t>
      </w:r>
      <w:r>
        <w:rPr>
          <w:rFonts w:ascii="Times New Roman" w:hAnsi="Times New Roman"/>
          <w:sz w:val="24"/>
          <w:lang w:val="bs-Latn-BA"/>
        </w:rPr>
        <w:t>активностима</w:t>
      </w:r>
      <w:r w:rsidR="009153B7">
        <w:rPr>
          <w:rFonts w:ascii="Times New Roman" w:hAnsi="Times New Roman"/>
          <w:sz w:val="24"/>
          <w:lang w:val="sr-Cyrl-BA"/>
        </w:rPr>
        <w:t>.</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том</w:t>
      </w:r>
      <w:r w:rsidR="003A2F08" w:rsidRPr="00295637">
        <w:rPr>
          <w:rFonts w:ascii="Times New Roman" w:hAnsi="Times New Roman"/>
          <w:sz w:val="24"/>
          <w:lang w:val="bs-Latn-BA"/>
        </w:rPr>
        <w:t xml:space="preserve"> </w:t>
      </w:r>
      <w:r>
        <w:rPr>
          <w:rFonts w:ascii="Times New Roman" w:hAnsi="Times New Roman"/>
          <w:sz w:val="24"/>
          <w:lang w:val="bs-Latn-BA"/>
        </w:rPr>
        <w:t>погледу</w:t>
      </w:r>
      <w:r w:rsidR="003A2F08" w:rsidRPr="00295637">
        <w:rPr>
          <w:rFonts w:ascii="Times New Roman" w:hAnsi="Times New Roman"/>
          <w:sz w:val="24"/>
          <w:lang w:val="bs-Latn-BA"/>
        </w:rPr>
        <w:t xml:space="preserve"> </w:t>
      </w:r>
      <w:r>
        <w:rPr>
          <w:rFonts w:ascii="Times New Roman" w:hAnsi="Times New Roman"/>
          <w:sz w:val="24"/>
          <w:lang w:val="bs-Latn-BA"/>
        </w:rPr>
        <w:t>ГЦ</w:t>
      </w:r>
      <w:r w:rsidR="003E1DE3">
        <w:rPr>
          <w:rFonts w:ascii="Times New Roman" w:hAnsi="Times New Roman"/>
          <w:sz w:val="24"/>
          <w:lang w:val="bs-Latn-BA"/>
        </w:rPr>
        <w:t xml:space="preserve"> </w:t>
      </w:r>
      <w:r>
        <w:rPr>
          <w:rFonts w:ascii="Times New Roman" w:hAnsi="Times New Roman"/>
          <w:sz w:val="24"/>
          <w:lang w:val="bs-Latn-BA"/>
        </w:rPr>
        <w:t>ФБиХ</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подржао</w:t>
      </w:r>
      <w:r w:rsidR="003A2F08" w:rsidRPr="00295637">
        <w:rPr>
          <w:rFonts w:ascii="Times New Roman" w:hAnsi="Times New Roman"/>
          <w:sz w:val="24"/>
          <w:lang w:val="bs-Latn-BA"/>
        </w:rPr>
        <w:t xml:space="preserve"> </w:t>
      </w:r>
      <w:r>
        <w:rPr>
          <w:rFonts w:ascii="Times New Roman" w:hAnsi="Times New Roman"/>
          <w:sz w:val="24"/>
          <w:lang w:val="bs-Latn-BA"/>
        </w:rPr>
        <w:t>радионице</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израду</w:t>
      </w:r>
      <w:r w:rsidR="003A2F08" w:rsidRPr="00295637">
        <w:rPr>
          <w:rFonts w:ascii="Times New Roman" w:hAnsi="Times New Roman"/>
          <w:sz w:val="24"/>
          <w:lang w:val="bs-Latn-BA"/>
        </w:rPr>
        <w:t xml:space="preserve"> </w:t>
      </w:r>
      <w:r>
        <w:rPr>
          <w:rFonts w:ascii="Times New Roman" w:hAnsi="Times New Roman"/>
          <w:sz w:val="24"/>
          <w:lang w:val="bs-Latn-BA"/>
        </w:rPr>
        <w:t>гендер</w:t>
      </w:r>
      <w:r w:rsidR="003A2F08" w:rsidRPr="00295637">
        <w:rPr>
          <w:rFonts w:ascii="Times New Roman" w:hAnsi="Times New Roman"/>
          <w:sz w:val="24"/>
          <w:lang w:val="bs-Latn-BA"/>
        </w:rPr>
        <w:t xml:space="preserve"> </w:t>
      </w:r>
      <w:r>
        <w:rPr>
          <w:rFonts w:ascii="Times New Roman" w:hAnsi="Times New Roman"/>
          <w:sz w:val="24"/>
          <w:lang w:val="bs-Latn-BA"/>
        </w:rPr>
        <w:t>акционих</w:t>
      </w:r>
      <w:r w:rsidR="003A2F08" w:rsidRPr="00295637">
        <w:rPr>
          <w:rFonts w:ascii="Times New Roman" w:hAnsi="Times New Roman"/>
          <w:sz w:val="24"/>
          <w:lang w:val="bs-Latn-BA"/>
        </w:rPr>
        <w:t xml:space="preserve"> </w:t>
      </w:r>
      <w:r>
        <w:rPr>
          <w:rFonts w:ascii="Times New Roman" w:hAnsi="Times New Roman"/>
          <w:sz w:val="24"/>
          <w:lang w:val="bs-Latn-BA"/>
        </w:rPr>
        <w:t>планова</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Граду</w:t>
      </w:r>
      <w:r w:rsidR="003A2F08" w:rsidRPr="00295637">
        <w:rPr>
          <w:rFonts w:ascii="Times New Roman" w:hAnsi="Times New Roman"/>
          <w:sz w:val="24"/>
          <w:lang w:val="bs-Latn-BA"/>
        </w:rPr>
        <w:t xml:space="preserve"> </w:t>
      </w:r>
      <w:r>
        <w:rPr>
          <w:rFonts w:ascii="Times New Roman" w:hAnsi="Times New Roman"/>
          <w:sz w:val="24"/>
          <w:lang w:val="bs-Latn-BA"/>
        </w:rPr>
        <w:t>Мостару</w:t>
      </w:r>
      <w:r w:rsidR="003A2F08" w:rsidRPr="00295637">
        <w:rPr>
          <w:rFonts w:ascii="Times New Roman" w:hAnsi="Times New Roman"/>
          <w:sz w:val="24"/>
          <w:lang w:val="bs-Latn-BA"/>
        </w:rPr>
        <w:t xml:space="preserve">, </w:t>
      </w:r>
      <w:r>
        <w:rPr>
          <w:rFonts w:ascii="Times New Roman" w:hAnsi="Times New Roman"/>
          <w:sz w:val="24"/>
          <w:lang w:val="bs-Latn-BA"/>
        </w:rPr>
        <w:t>Илијашу</w:t>
      </w:r>
      <w:r w:rsidR="003A2F08" w:rsidRPr="00295637">
        <w:rPr>
          <w:rFonts w:ascii="Times New Roman" w:hAnsi="Times New Roman"/>
          <w:sz w:val="24"/>
          <w:lang w:val="bs-Latn-BA"/>
        </w:rPr>
        <w:t xml:space="preserve">, </w:t>
      </w:r>
      <w:r>
        <w:rPr>
          <w:rFonts w:ascii="Times New Roman" w:hAnsi="Times New Roman"/>
          <w:sz w:val="24"/>
          <w:lang w:val="bs-Latn-BA"/>
        </w:rPr>
        <w:t>Новом</w:t>
      </w:r>
      <w:r w:rsidR="003A2F08" w:rsidRPr="00295637">
        <w:rPr>
          <w:rFonts w:ascii="Times New Roman" w:hAnsi="Times New Roman"/>
          <w:sz w:val="24"/>
          <w:lang w:val="bs-Latn-BA"/>
        </w:rPr>
        <w:t xml:space="preserve"> </w:t>
      </w:r>
      <w:r>
        <w:rPr>
          <w:rFonts w:ascii="Times New Roman" w:hAnsi="Times New Roman"/>
          <w:sz w:val="24"/>
          <w:lang w:val="bs-Latn-BA"/>
        </w:rPr>
        <w:t>Граду</w:t>
      </w:r>
      <w:r w:rsidR="003A2F08" w:rsidRPr="00295637">
        <w:rPr>
          <w:rFonts w:ascii="Times New Roman" w:hAnsi="Times New Roman"/>
          <w:sz w:val="24"/>
          <w:lang w:val="bs-Latn-BA"/>
        </w:rPr>
        <w:t xml:space="preserve"> </w:t>
      </w:r>
      <w:r>
        <w:rPr>
          <w:rFonts w:ascii="Times New Roman" w:hAnsi="Times New Roman"/>
          <w:sz w:val="24"/>
          <w:lang w:val="bs-Latn-BA"/>
        </w:rPr>
        <w:t>Сарајево</w:t>
      </w:r>
      <w:r w:rsidR="003A2F08" w:rsidRPr="00295637">
        <w:rPr>
          <w:rFonts w:ascii="Times New Roman" w:hAnsi="Times New Roman"/>
          <w:sz w:val="24"/>
          <w:lang w:val="bs-Latn-BA"/>
        </w:rPr>
        <w:t xml:space="preserve">, </w:t>
      </w:r>
      <w:r>
        <w:rPr>
          <w:rFonts w:ascii="Times New Roman" w:hAnsi="Times New Roman"/>
          <w:sz w:val="24"/>
          <w:lang w:val="bs-Latn-BA"/>
        </w:rPr>
        <w:t>Тузли</w:t>
      </w:r>
      <w:r w:rsidR="003A2F08" w:rsidRPr="00295637">
        <w:rPr>
          <w:rFonts w:ascii="Times New Roman" w:hAnsi="Times New Roman"/>
          <w:sz w:val="24"/>
          <w:lang w:val="bs-Latn-BA"/>
        </w:rPr>
        <w:t xml:space="preserve">, </w:t>
      </w:r>
      <w:r>
        <w:rPr>
          <w:rFonts w:ascii="Times New Roman" w:hAnsi="Times New Roman"/>
          <w:sz w:val="24"/>
          <w:lang w:val="bs-Latn-BA"/>
        </w:rPr>
        <w:t>Кладњу</w:t>
      </w:r>
      <w:r w:rsidR="003A2F08" w:rsidRPr="00295637">
        <w:rPr>
          <w:rFonts w:ascii="Times New Roman" w:hAnsi="Times New Roman"/>
          <w:sz w:val="24"/>
          <w:lang w:val="bs-Latn-BA"/>
        </w:rPr>
        <w:t>,</w:t>
      </w:r>
      <w:r w:rsidR="002B0125" w:rsidRPr="00295637">
        <w:rPr>
          <w:rFonts w:ascii="Times New Roman" w:hAnsi="Times New Roman"/>
          <w:sz w:val="24"/>
          <w:lang w:val="bs-Latn-BA"/>
        </w:rPr>
        <w:t xml:space="preserve"> </w:t>
      </w:r>
      <w:r>
        <w:rPr>
          <w:rFonts w:ascii="Times New Roman" w:hAnsi="Times New Roman"/>
          <w:sz w:val="24"/>
          <w:lang w:val="bs-Latn-BA"/>
        </w:rPr>
        <w:t>Бихаћу</w:t>
      </w:r>
      <w:r w:rsidR="003E1DE3">
        <w:rPr>
          <w:rFonts w:ascii="Times New Roman" w:hAnsi="Times New Roman"/>
          <w:sz w:val="24"/>
          <w:lang w:val="bs-Latn-BA"/>
        </w:rPr>
        <w:t>.</w:t>
      </w:r>
      <w:r w:rsidR="003A2F08" w:rsidRPr="00295637">
        <w:rPr>
          <w:rFonts w:ascii="Times New Roman" w:hAnsi="Times New Roman"/>
          <w:sz w:val="24"/>
          <w:lang w:val="bs-Latn-BA"/>
        </w:rPr>
        <w:t xml:space="preserve"> </w:t>
      </w:r>
      <w:r>
        <w:rPr>
          <w:rFonts w:ascii="Times New Roman" w:hAnsi="Times New Roman"/>
          <w:sz w:val="24"/>
          <w:lang w:val="bs-Latn-BA"/>
        </w:rPr>
        <w:t>Са</w:t>
      </w:r>
      <w:r w:rsidR="003A2F08" w:rsidRPr="00295637">
        <w:rPr>
          <w:rFonts w:ascii="Times New Roman" w:hAnsi="Times New Roman"/>
          <w:sz w:val="24"/>
          <w:lang w:val="bs-Latn-BA"/>
        </w:rPr>
        <w:t xml:space="preserve"> </w:t>
      </w:r>
      <w:r>
        <w:rPr>
          <w:rFonts w:ascii="Times New Roman" w:hAnsi="Times New Roman"/>
          <w:sz w:val="24"/>
          <w:lang w:val="bs-Latn-BA"/>
        </w:rPr>
        <w:t>овим</w:t>
      </w:r>
      <w:r w:rsidR="003A2F08" w:rsidRPr="00295637">
        <w:rPr>
          <w:rFonts w:ascii="Times New Roman" w:hAnsi="Times New Roman"/>
          <w:sz w:val="24"/>
          <w:lang w:val="bs-Latn-BA"/>
        </w:rPr>
        <w:t xml:space="preserve"> </w:t>
      </w:r>
      <w:r>
        <w:rPr>
          <w:rFonts w:ascii="Times New Roman" w:hAnsi="Times New Roman"/>
          <w:sz w:val="24"/>
          <w:lang w:val="bs-Latn-BA"/>
        </w:rPr>
        <w:t>бројем</w:t>
      </w:r>
      <w:r w:rsidR="003A2F08" w:rsidRPr="00295637">
        <w:rPr>
          <w:rFonts w:ascii="Times New Roman" w:hAnsi="Times New Roman"/>
          <w:sz w:val="24"/>
          <w:lang w:val="bs-Latn-BA"/>
        </w:rPr>
        <w:t xml:space="preserve"> </w:t>
      </w:r>
      <w:r>
        <w:rPr>
          <w:rFonts w:ascii="Times New Roman" w:hAnsi="Times New Roman"/>
          <w:sz w:val="24"/>
          <w:lang w:val="bs-Latn-BA"/>
        </w:rPr>
        <w:t>ЛГАП</w:t>
      </w:r>
      <w:r w:rsidR="003A2F08" w:rsidRPr="00295637">
        <w:rPr>
          <w:rFonts w:ascii="Times New Roman" w:hAnsi="Times New Roman"/>
          <w:sz w:val="24"/>
          <w:lang w:val="bs-Latn-BA"/>
        </w:rPr>
        <w:t xml:space="preserve">, </w:t>
      </w:r>
      <w:r>
        <w:rPr>
          <w:rFonts w:ascii="Times New Roman" w:hAnsi="Times New Roman"/>
          <w:sz w:val="24"/>
          <w:lang w:val="bs-Latn-BA"/>
        </w:rPr>
        <w:t>остварена</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територијална</w:t>
      </w:r>
      <w:r w:rsidR="003A2F08" w:rsidRPr="00295637">
        <w:rPr>
          <w:rFonts w:ascii="Times New Roman" w:hAnsi="Times New Roman"/>
          <w:sz w:val="24"/>
          <w:lang w:val="bs-Latn-BA"/>
        </w:rPr>
        <w:t xml:space="preserve"> </w:t>
      </w:r>
      <w:r>
        <w:rPr>
          <w:rFonts w:ascii="Times New Roman" w:hAnsi="Times New Roman"/>
          <w:sz w:val="24"/>
          <w:lang w:val="bs-Latn-BA"/>
        </w:rPr>
        <w:t>покривеност</w:t>
      </w:r>
      <w:r w:rsidR="003A2F08" w:rsidRPr="00295637">
        <w:rPr>
          <w:rFonts w:ascii="Times New Roman" w:hAnsi="Times New Roman"/>
          <w:sz w:val="24"/>
          <w:lang w:val="bs-Latn-BA"/>
        </w:rPr>
        <w:t xml:space="preserve"> </w:t>
      </w:r>
      <w:r>
        <w:rPr>
          <w:rFonts w:ascii="Times New Roman" w:hAnsi="Times New Roman"/>
          <w:sz w:val="24"/>
          <w:lang w:val="bs-Latn-BA"/>
        </w:rPr>
        <w:t>од</w:t>
      </w:r>
      <w:r w:rsidR="003A2F08" w:rsidRPr="00295637">
        <w:rPr>
          <w:rFonts w:ascii="Times New Roman" w:hAnsi="Times New Roman"/>
          <w:sz w:val="24"/>
          <w:lang w:val="bs-Latn-BA"/>
        </w:rPr>
        <w:t xml:space="preserve"> 40%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ФБиХ</w:t>
      </w:r>
      <w:r w:rsidR="003A2F08" w:rsidRPr="00295637">
        <w:rPr>
          <w:rFonts w:ascii="Times New Roman" w:hAnsi="Times New Roman"/>
          <w:sz w:val="24"/>
          <w:lang w:val="bs-Latn-BA"/>
        </w:rPr>
        <w:t xml:space="preserve">. </w:t>
      </w:r>
      <w:r>
        <w:rPr>
          <w:rFonts w:ascii="Times New Roman" w:hAnsi="Times New Roman"/>
          <w:sz w:val="24"/>
          <w:lang w:val="bs-Latn-BA"/>
        </w:rPr>
        <w:t>Такође</w:t>
      </w:r>
      <w:r w:rsidR="003200F2" w:rsidRPr="00295637">
        <w:rPr>
          <w:rFonts w:ascii="Times New Roman" w:hAnsi="Times New Roman"/>
          <w:sz w:val="24"/>
          <w:lang w:val="bs-Latn-BA"/>
        </w:rPr>
        <w:t xml:space="preserve">, </w:t>
      </w:r>
      <w:r>
        <w:rPr>
          <w:rFonts w:ascii="Times New Roman" w:hAnsi="Times New Roman"/>
          <w:sz w:val="24"/>
          <w:lang w:val="bs-Latn-BA"/>
        </w:rPr>
        <w:t>кроз</w:t>
      </w:r>
      <w:r w:rsidR="003200F2" w:rsidRPr="00295637">
        <w:rPr>
          <w:rFonts w:ascii="Times New Roman" w:hAnsi="Times New Roman"/>
          <w:sz w:val="24"/>
          <w:lang w:val="bs-Latn-BA"/>
        </w:rPr>
        <w:t xml:space="preserve"> </w:t>
      </w:r>
      <w:r>
        <w:rPr>
          <w:rFonts w:ascii="Times New Roman" w:hAnsi="Times New Roman"/>
          <w:sz w:val="24"/>
          <w:lang w:val="bs-Latn-BA"/>
        </w:rPr>
        <w:t>овај</w:t>
      </w:r>
      <w:r w:rsidR="003200F2" w:rsidRPr="00295637">
        <w:rPr>
          <w:rFonts w:ascii="Times New Roman" w:hAnsi="Times New Roman"/>
          <w:sz w:val="24"/>
          <w:lang w:val="bs-Latn-BA"/>
        </w:rPr>
        <w:t xml:space="preserve"> </w:t>
      </w:r>
      <w:r>
        <w:rPr>
          <w:rFonts w:ascii="Times New Roman" w:hAnsi="Times New Roman"/>
          <w:sz w:val="24"/>
          <w:lang w:val="bs-Latn-BA"/>
        </w:rPr>
        <w:t>рад</w:t>
      </w:r>
      <w:r w:rsidR="003200F2" w:rsidRPr="00295637">
        <w:rPr>
          <w:rFonts w:ascii="Times New Roman" w:hAnsi="Times New Roman"/>
          <w:sz w:val="24"/>
          <w:lang w:val="bs-Latn-BA"/>
        </w:rPr>
        <w:t xml:space="preserve"> </w:t>
      </w:r>
      <w:r>
        <w:rPr>
          <w:rFonts w:ascii="Times New Roman" w:hAnsi="Times New Roman"/>
          <w:sz w:val="24"/>
          <w:lang w:val="bs-Latn-BA"/>
        </w:rPr>
        <w:t>је</w:t>
      </w:r>
      <w:r w:rsidR="003200F2" w:rsidRPr="00295637">
        <w:rPr>
          <w:rFonts w:ascii="Times New Roman" w:hAnsi="Times New Roman"/>
          <w:sz w:val="24"/>
          <w:lang w:val="bs-Latn-BA"/>
        </w:rPr>
        <w:t xml:space="preserve"> </w:t>
      </w:r>
      <w:r>
        <w:rPr>
          <w:rFonts w:ascii="Times New Roman" w:hAnsi="Times New Roman"/>
          <w:sz w:val="24"/>
          <w:lang w:val="bs-Latn-BA"/>
        </w:rPr>
        <w:t>унапријеђена</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сарадња</w:t>
      </w:r>
      <w:r w:rsidR="003A2F08" w:rsidRPr="00295637">
        <w:rPr>
          <w:rFonts w:ascii="Times New Roman" w:hAnsi="Times New Roman"/>
          <w:sz w:val="24"/>
          <w:lang w:val="bs-Latn-BA"/>
        </w:rPr>
        <w:t xml:space="preserve"> </w:t>
      </w:r>
      <w:r>
        <w:rPr>
          <w:rFonts w:ascii="Times New Roman" w:hAnsi="Times New Roman"/>
          <w:sz w:val="24"/>
          <w:lang w:val="bs-Latn-BA"/>
        </w:rPr>
        <w:t>са</w:t>
      </w:r>
      <w:r w:rsidR="00050016">
        <w:rPr>
          <w:rFonts w:ascii="Times New Roman" w:hAnsi="Times New Roman"/>
          <w:sz w:val="24"/>
          <w:lang w:val="bs-Latn-BA"/>
        </w:rPr>
        <w:t xml:space="preserve"> </w:t>
      </w:r>
      <w:r>
        <w:rPr>
          <w:rFonts w:ascii="Times New Roman" w:hAnsi="Times New Roman"/>
          <w:sz w:val="24"/>
          <w:lang w:val="bs-Latn-BA"/>
        </w:rPr>
        <w:t>Савезом</w:t>
      </w:r>
      <w:r w:rsidR="00050016">
        <w:rPr>
          <w:rFonts w:ascii="Times New Roman" w:hAnsi="Times New Roman"/>
          <w:sz w:val="24"/>
          <w:lang w:val="bs-Latn-BA"/>
        </w:rPr>
        <w:t xml:space="preserve"> </w:t>
      </w:r>
      <w:r>
        <w:rPr>
          <w:rFonts w:ascii="Times New Roman" w:hAnsi="Times New Roman"/>
          <w:sz w:val="24"/>
          <w:lang w:val="bs-Latn-BA"/>
        </w:rPr>
        <w:t>оп</w:t>
      </w:r>
      <w:r w:rsidR="009153B7">
        <w:rPr>
          <w:rFonts w:ascii="Times New Roman" w:hAnsi="Times New Roman"/>
          <w:sz w:val="24"/>
          <w:lang w:val="sr-Cyrl-BA"/>
        </w:rPr>
        <w:t>шт</w:t>
      </w:r>
      <w:r>
        <w:rPr>
          <w:rFonts w:ascii="Times New Roman" w:hAnsi="Times New Roman"/>
          <w:sz w:val="24"/>
          <w:lang w:val="bs-Latn-BA"/>
        </w:rPr>
        <w:t>ина</w:t>
      </w:r>
      <w:r w:rsidR="003E1DE3">
        <w:rPr>
          <w:rFonts w:ascii="Times New Roman" w:hAnsi="Times New Roman"/>
          <w:sz w:val="24"/>
          <w:lang w:val="bs-Latn-BA"/>
        </w:rPr>
        <w:t xml:space="preserve"> </w:t>
      </w:r>
      <w:r>
        <w:rPr>
          <w:rFonts w:ascii="Times New Roman" w:hAnsi="Times New Roman"/>
          <w:sz w:val="24"/>
          <w:lang w:val="bs-Latn-BA"/>
        </w:rPr>
        <w:t>и</w:t>
      </w:r>
      <w:r w:rsidR="003E1DE3">
        <w:rPr>
          <w:rFonts w:ascii="Times New Roman" w:hAnsi="Times New Roman"/>
          <w:sz w:val="24"/>
          <w:lang w:val="bs-Latn-BA"/>
        </w:rPr>
        <w:t xml:space="preserve"> </w:t>
      </w:r>
      <w:r>
        <w:rPr>
          <w:rFonts w:ascii="Times New Roman" w:hAnsi="Times New Roman"/>
          <w:sz w:val="24"/>
          <w:lang w:val="bs-Latn-BA"/>
        </w:rPr>
        <w:t>градова</w:t>
      </w:r>
      <w:r w:rsidR="003E1DE3">
        <w:rPr>
          <w:rFonts w:ascii="Times New Roman" w:hAnsi="Times New Roman"/>
          <w:sz w:val="24"/>
          <w:lang w:val="bs-Latn-BA"/>
        </w:rPr>
        <w:t xml:space="preserve"> </w:t>
      </w:r>
      <w:r>
        <w:rPr>
          <w:rFonts w:ascii="Times New Roman" w:hAnsi="Times New Roman"/>
          <w:sz w:val="24"/>
          <w:lang w:val="bs-Latn-BA"/>
        </w:rPr>
        <w:t>ФБиХ</w:t>
      </w:r>
      <w:r w:rsidR="003E1DE3">
        <w:rPr>
          <w:rFonts w:ascii="Times New Roman" w:hAnsi="Times New Roman"/>
          <w:sz w:val="24"/>
          <w:lang w:val="bs-Latn-BA"/>
        </w:rPr>
        <w:t xml:space="preserve">, </w:t>
      </w:r>
      <w:r>
        <w:rPr>
          <w:rFonts w:ascii="Times New Roman" w:hAnsi="Times New Roman"/>
          <w:sz w:val="24"/>
          <w:lang w:val="bs-Latn-BA"/>
        </w:rPr>
        <w:t>те</w:t>
      </w:r>
      <w:r w:rsidR="003E1DE3">
        <w:rPr>
          <w:rFonts w:ascii="Times New Roman" w:hAnsi="Times New Roman"/>
          <w:sz w:val="24"/>
          <w:lang w:val="bs-Latn-BA"/>
        </w:rPr>
        <w:t xml:space="preserve"> </w:t>
      </w:r>
      <w:r>
        <w:rPr>
          <w:rFonts w:ascii="Times New Roman" w:hAnsi="Times New Roman"/>
          <w:sz w:val="24"/>
          <w:lang w:val="bs-Latn-BA"/>
        </w:rPr>
        <w:t>је</w:t>
      </w:r>
      <w:r w:rsidR="003E1DE3">
        <w:rPr>
          <w:rFonts w:ascii="Times New Roman" w:hAnsi="Times New Roman"/>
          <w:sz w:val="24"/>
          <w:lang w:val="bs-Latn-BA"/>
        </w:rPr>
        <w:t xml:space="preserve"> </w:t>
      </w:r>
      <w:r>
        <w:rPr>
          <w:rFonts w:ascii="Times New Roman" w:hAnsi="Times New Roman"/>
          <w:sz w:val="24"/>
          <w:lang w:val="bs-Latn-BA"/>
        </w:rPr>
        <w:t>потписана</w:t>
      </w:r>
      <w:r w:rsidR="003A2F08" w:rsidRPr="00295637">
        <w:rPr>
          <w:rFonts w:ascii="Times New Roman" w:hAnsi="Times New Roman"/>
          <w:sz w:val="24"/>
          <w:lang w:val="bs-Latn-BA"/>
        </w:rPr>
        <w:t xml:space="preserve"> </w:t>
      </w:r>
      <w:r>
        <w:rPr>
          <w:rFonts w:ascii="Times New Roman" w:hAnsi="Times New Roman"/>
          <w:bCs/>
          <w:sz w:val="24"/>
          <w:lang w:val="bs-Latn-BA"/>
        </w:rPr>
        <w:t>Декларација</w:t>
      </w:r>
      <w:r w:rsidR="003A2F08" w:rsidRPr="00295637">
        <w:rPr>
          <w:rFonts w:ascii="Times New Roman" w:hAnsi="Times New Roman"/>
          <w:bCs/>
          <w:sz w:val="24"/>
          <w:lang w:val="bs-Latn-BA"/>
        </w:rPr>
        <w:t xml:space="preserve"> </w:t>
      </w:r>
      <w:r>
        <w:rPr>
          <w:rFonts w:ascii="Times New Roman" w:hAnsi="Times New Roman"/>
          <w:bCs/>
          <w:sz w:val="24"/>
          <w:lang w:val="bs-Latn-BA"/>
        </w:rPr>
        <w:t>о</w:t>
      </w:r>
      <w:r w:rsidR="003A2F08" w:rsidRPr="00295637">
        <w:rPr>
          <w:rFonts w:ascii="Times New Roman" w:hAnsi="Times New Roman"/>
          <w:bCs/>
          <w:sz w:val="24"/>
          <w:lang w:val="bs-Latn-BA"/>
        </w:rPr>
        <w:t xml:space="preserve"> </w:t>
      </w:r>
      <w:r>
        <w:rPr>
          <w:rFonts w:ascii="Times New Roman" w:hAnsi="Times New Roman"/>
          <w:bCs/>
          <w:sz w:val="24"/>
          <w:lang w:val="bs-Latn-BA"/>
        </w:rPr>
        <w:t>оснивању</w:t>
      </w:r>
      <w:r w:rsidR="003A2F08" w:rsidRPr="00295637">
        <w:rPr>
          <w:rFonts w:ascii="Times New Roman" w:hAnsi="Times New Roman"/>
          <w:bCs/>
          <w:sz w:val="24"/>
          <w:lang w:val="bs-Latn-BA"/>
        </w:rPr>
        <w:t xml:space="preserve"> </w:t>
      </w:r>
      <w:r>
        <w:rPr>
          <w:rFonts w:ascii="Times New Roman" w:hAnsi="Times New Roman"/>
          <w:bCs/>
          <w:sz w:val="24"/>
          <w:lang w:val="bs-Latn-BA"/>
        </w:rPr>
        <w:t>Мреже</w:t>
      </w:r>
      <w:r w:rsidR="003E1DE3">
        <w:rPr>
          <w:rFonts w:ascii="Times New Roman" w:hAnsi="Times New Roman"/>
          <w:bCs/>
          <w:sz w:val="24"/>
          <w:lang w:val="bs-Latn-BA"/>
        </w:rPr>
        <w:t xml:space="preserve"> </w:t>
      </w:r>
      <w:r>
        <w:rPr>
          <w:rFonts w:ascii="Times New Roman" w:hAnsi="Times New Roman"/>
          <w:bCs/>
          <w:sz w:val="24"/>
          <w:lang w:val="bs-Latn-BA"/>
        </w:rPr>
        <w:t>за</w:t>
      </w:r>
      <w:r w:rsidR="003E1DE3">
        <w:rPr>
          <w:rFonts w:ascii="Times New Roman" w:hAnsi="Times New Roman"/>
          <w:bCs/>
          <w:sz w:val="24"/>
          <w:lang w:val="bs-Latn-BA"/>
        </w:rPr>
        <w:t xml:space="preserve"> </w:t>
      </w:r>
      <w:r>
        <w:rPr>
          <w:rFonts w:ascii="Times New Roman" w:hAnsi="Times New Roman"/>
          <w:bCs/>
          <w:sz w:val="24"/>
          <w:lang w:val="bs-Latn-BA"/>
        </w:rPr>
        <w:t>родну</w:t>
      </w:r>
      <w:r w:rsidR="003E1DE3">
        <w:rPr>
          <w:rFonts w:ascii="Times New Roman" w:hAnsi="Times New Roman"/>
          <w:bCs/>
          <w:sz w:val="24"/>
          <w:lang w:val="bs-Latn-BA"/>
        </w:rPr>
        <w:t xml:space="preserve"> </w:t>
      </w:r>
      <w:r>
        <w:rPr>
          <w:rFonts w:ascii="Times New Roman" w:hAnsi="Times New Roman"/>
          <w:bCs/>
          <w:sz w:val="24"/>
          <w:lang w:val="bs-Latn-BA"/>
        </w:rPr>
        <w:t>равноправност</w:t>
      </w:r>
      <w:r w:rsidR="003E1DE3">
        <w:rPr>
          <w:rFonts w:ascii="Times New Roman" w:hAnsi="Times New Roman"/>
          <w:bCs/>
          <w:sz w:val="24"/>
          <w:lang w:val="bs-Latn-BA"/>
        </w:rPr>
        <w:t xml:space="preserve"> </w:t>
      </w:r>
      <w:r>
        <w:rPr>
          <w:rFonts w:ascii="Times New Roman" w:hAnsi="Times New Roman"/>
          <w:bCs/>
          <w:sz w:val="24"/>
          <w:lang w:val="bs-Latn-BA"/>
        </w:rPr>
        <w:t>ФБиХ</w:t>
      </w:r>
      <w:r w:rsidR="003A2F08" w:rsidRPr="00295637">
        <w:rPr>
          <w:rFonts w:ascii="Times New Roman" w:hAnsi="Times New Roman"/>
          <w:sz w:val="24"/>
          <w:lang w:val="bs-Latn-BA"/>
        </w:rPr>
        <w:t xml:space="preserve">, </w:t>
      </w:r>
      <w:r>
        <w:rPr>
          <w:rFonts w:ascii="Times New Roman" w:hAnsi="Times New Roman"/>
          <w:sz w:val="24"/>
          <w:lang w:val="bs-Latn-BA"/>
        </w:rPr>
        <w:t>а</w:t>
      </w:r>
      <w:r w:rsidR="003A2F08" w:rsidRPr="00295637">
        <w:rPr>
          <w:rFonts w:ascii="Times New Roman" w:hAnsi="Times New Roman"/>
          <w:sz w:val="24"/>
          <w:lang w:val="bs-Latn-BA"/>
        </w:rPr>
        <w:t xml:space="preserve"> </w:t>
      </w:r>
      <w:r>
        <w:rPr>
          <w:rFonts w:ascii="Times New Roman" w:hAnsi="Times New Roman"/>
          <w:sz w:val="24"/>
          <w:lang w:val="bs-Latn-BA"/>
        </w:rPr>
        <w:t>одржане</w:t>
      </w:r>
      <w:r w:rsidR="003A2F08" w:rsidRPr="00295637">
        <w:rPr>
          <w:rFonts w:ascii="Times New Roman" w:hAnsi="Times New Roman"/>
          <w:sz w:val="24"/>
          <w:lang w:val="bs-Latn-BA"/>
        </w:rPr>
        <w:t xml:space="preserve"> </w:t>
      </w:r>
      <w:r>
        <w:rPr>
          <w:rFonts w:ascii="Times New Roman" w:hAnsi="Times New Roman"/>
          <w:sz w:val="24"/>
          <w:lang w:val="bs-Latn-BA"/>
        </w:rPr>
        <w:t>су</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двије</w:t>
      </w:r>
      <w:r w:rsidR="003A2F08" w:rsidRPr="00295637">
        <w:rPr>
          <w:rFonts w:ascii="Times New Roman" w:hAnsi="Times New Roman"/>
          <w:sz w:val="24"/>
          <w:lang w:val="bs-Latn-BA"/>
        </w:rPr>
        <w:t xml:space="preserve"> </w:t>
      </w:r>
      <w:r>
        <w:rPr>
          <w:rFonts w:ascii="Times New Roman" w:hAnsi="Times New Roman"/>
          <w:sz w:val="24"/>
          <w:lang w:val="bs-Latn-BA"/>
        </w:rPr>
        <w:t>конференције</w:t>
      </w:r>
      <w:r w:rsidR="003E1DE3">
        <w:rPr>
          <w:rFonts w:ascii="Times New Roman" w:hAnsi="Times New Roman"/>
          <w:sz w:val="24"/>
          <w:lang w:val="bs-Latn-BA"/>
        </w:rPr>
        <w:t xml:space="preserve"> </w:t>
      </w:r>
      <w:r>
        <w:rPr>
          <w:rFonts w:ascii="Times New Roman" w:hAnsi="Times New Roman"/>
          <w:sz w:val="24"/>
          <w:lang w:val="bs-Latn-BA"/>
        </w:rPr>
        <w:t>за</w:t>
      </w:r>
      <w:r w:rsidR="003E1DE3">
        <w:rPr>
          <w:rFonts w:ascii="Times New Roman" w:hAnsi="Times New Roman"/>
          <w:sz w:val="24"/>
          <w:lang w:val="bs-Latn-BA"/>
        </w:rPr>
        <w:t xml:space="preserve"> </w:t>
      </w:r>
      <w:r>
        <w:rPr>
          <w:rFonts w:ascii="Times New Roman" w:hAnsi="Times New Roman"/>
          <w:sz w:val="24"/>
          <w:lang w:val="bs-Latn-BA"/>
        </w:rPr>
        <w:t>преставнике</w:t>
      </w:r>
      <w:r w:rsidR="003E1DE3">
        <w:rPr>
          <w:rFonts w:ascii="Times New Roman" w:hAnsi="Times New Roman"/>
          <w:sz w:val="24"/>
          <w:lang w:val="bs-Latn-BA"/>
        </w:rPr>
        <w:t xml:space="preserve"> 80 </w:t>
      </w:r>
      <w:r>
        <w:rPr>
          <w:rFonts w:ascii="Times New Roman" w:hAnsi="Times New Roman"/>
          <w:sz w:val="24"/>
          <w:lang w:val="bs-Latn-BA"/>
        </w:rPr>
        <w:t>ЈЛС</w:t>
      </w:r>
      <w:r w:rsidR="003E1DE3">
        <w:rPr>
          <w:rFonts w:ascii="Times New Roman" w:hAnsi="Times New Roman"/>
          <w:sz w:val="24"/>
          <w:lang w:val="bs-Latn-BA"/>
        </w:rPr>
        <w:t xml:space="preserve"> </w:t>
      </w:r>
      <w:r>
        <w:rPr>
          <w:rFonts w:ascii="Times New Roman" w:hAnsi="Times New Roman"/>
          <w:sz w:val="24"/>
          <w:lang w:val="bs-Latn-BA"/>
        </w:rPr>
        <w:t>у</w:t>
      </w:r>
      <w:r w:rsidR="003E1DE3">
        <w:rPr>
          <w:rFonts w:ascii="Times New Roman" w:hAnsi="Times New Roman"/>
          <w:sz w:val="24"/>
          <w:lang w:val="bs-Latn-BA"/>
        </w:rPr>
        <w:t xml:space="preserve"> </w:t>
      </w:r>
      <w:r>
        <w:rPr>
          <w:rFonts w:ascii="Times New Roman" w:hAnsi="Times New Roman"/>
          <w:sz w:val="24"/>
          <w:lang w:val="bs-Latn-BA"/>
        </w:rPr>
        <w:t>ФБиХ</w:t>
      </w:r>
      <w:r w:rsidR="003A2F08" w:rsidRPr="00295637">
        <w:rPr>
          <w:rFonts w:ascii="Times New Roman" w:hAnsi="Times New Roman"/>
          <w:sz w:val="24"/>
          <w:lang w:val="bs-Latn-BA"/>
        </w:rPr>
        <w:t xml:space="preserve">. </w:t>
      </w:r>
    </w:p>
    <w:p w:rsidR="00351302" w:rsidRPr="00295637" w:rsidRDefault="00351302" w:rsidP="0086268D">
      <w:pPr>
        <w:pStyle w:val="Tekst"/>
        <w:spacing w:before="0"/>
        <w:rPr>
          <w:rFonts w:ascii="Times New Roman" w:hAnsi="Times New Roman"/>
          <w:sz w:val="24"/>
          <w:lang w:val="bs-Latn-BA"/>
        </w:rPr>
      </w:pPr>
    </w:p>
    <w:p w:rsidR="003A2F08" w:rsidRPr="00295637" w:rsidRDefault="00C6214E" w:rsidP="0086268D">
      <w:pPr>
        <w:pStyle w:val="Tekst"/>
        <w:spacing w:before="0"/>
        <w:rPr>
          <w:rFonts w:ascii="Times New Roman" w:hAnsi="Times New Roman"/>
          <w:sz w:val="24"/>
          <w:lang w:val="bs-Latn-BA"/>
        </w:rPr>
      </w:pPr>
      <w:r>
        <w:rPr>
          <w:rFonts w:ascii="Times New Roman" w:hAnsi="Times New Roman"/>
          <w:sz w:val="24"/>
          <w:lang w:val="bs-Latn-BA"/>
        </w:rPr>
        <w:t>Реализ</w:t>
      </w:r>
      <w:r w:rsidR="009153B7">
        <w:rPr>
          <w:rFonts w:ascii="Times New Roman" w:hAnsi="Times New Roman"/>
          <w:sz w:val="24"/>
          <w:lang w:val="sr-Cyrl-BA"/>
        </w:rPr>
        <w:t>ована</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конференција</w:t>
      </w:r>
      <w:r w:rsidR="003A2F08" w:rsidRPr="00295637">
        <w:rPr>
          <w:rFonts w:ascii="Times New Roman" w:hAnsi="Times New Roman"/>
          <w:sz w:val="24"/>
          <w:lang w:val="bs-Latn-BA"/>
        </w:rPr>
        <w:t xml:space="preserve"> </w:t>
      </w:r>
      <w:r>
        <w:rPr>
          <w:rFonts w:ascii="Times New Roman" w:hAnsi="Times New Roman"/>
          <w:sz w:val="24"/>
          <w:lang w:val="bs-Latn-BA"/>
        </w:rPr>
        <w:t>на</w:t>
      </w:r>
      <w:r w:rsidR="003A2F08" w:rsidRPr="00295637">
        <w:rPr>
          <w:rFonts w:ascii="Times New Roman" w:hAnsi="Times New Roman"/>
          <w:sz w:val="24"/>
          <w:lang w:val="bs-Latn-BA"/>
        </w:rPr>
        <w:t xml:space="preserve"> </w:t>
      </w:r>
      <w:r>
        <w:rPr>
          <w:rFonts w:ascii="Times New Roman" w:hAnsi="Times New Roman"/>
          <w:sz w:val="24"/>
          <w:lang w:val="bs-Latn-BA"/>
        </w:rPr>
        <w:t>тему</w:t>
      </w:r>
      <w:r w:rsidR="003A2F08" w:rsidRPr="00295637">
        <w:rPr>
          <w:rFonts w:ascii="Times New Roman" w:hAnsi="Times New Roman"/>
          <w:sz w:val="24"/>
          <w:lang w:val="bs-Latn-BA"/>
        </w:rPr>
        <w:t xml:space="preserve"> „</w:t>
      </w:r>
      <w:r>
        <w:rPr>
          <w:rFonts w:ascii="Times New Roman" w:hAnsi="Times New Roman"/>
          <w:bCs/>
          <w:sz w:val="24"/>
          <w:lang w:val="bs-Latn-BA"/>
        </w:rPr>
        <w:t>Дјеловање</w:t>
      </w:r>
      <w:r w:rsidR="003A2F08" w:rsidRPr="00295637">
        <w:rPr>
          <w:rFonts w:ascii="Times New Roman" w:hAnsi="Times New Roman"/>
          <w:bCs/>
          <w:sz w:val="24"/>
          <w:lang w:val="bs-Latn-BA"/>
        </w:rPr>
        <w:t xml:space="preserve"> </w:t>
      </w:r>
      <w:r>
        <w:rPr>
          <w:rFonts w:ascii="Times New Roman" w:hAnsi="Times New Roman"/>
          <w:bCs/>
          <w:sz w:val="24"/>
          <w:lang w:val="bs-Latn-BA"/>
        </w:rPr>
        <w:t>јединица</w:t>
      </w:r>
      <w:r w:rsidR="003A2F08" w:rsidRPr="00295637">
        <w:rPr>
          <w:rFonts w:ascii="Times New Roman" w:hAnsi="Times New Roman"/>
          <w:bCs/>
          <w:sz w:val="24"/>
          <w:lang w:val="bs-Latn-BA"/>
        </w:rPr>
        <w:t xml:space="preserve"> </w:t>
      </w:r>
      <w:r>
        <w:rPr>
          <w:rFonts w:ascii="Times New Roman" w:hAnsi="Times New Roman"/>
          <w:bCs/>
          <w:sz w:val="24"/>
          <w:lang w:val="bs-Latn-BA"/>
        </w:rPr>
        <w:t>локалне</w:t>
      </w:r>
      <w:r w:rsidR="003A2F08" w:rsidRPr="00295637">
        <w:rPr>
          <w:rFonts w:ascii="Times New Roman" w:hAnsi="Times New Roman"/>
          <w:bCs/>
          <w:sz w:val="24"/>
          <w:lang w:val="bs-Latn-BA"/>
        </w:rPr>
        <w:t xml:space="preserve"> </w:t>
      </w:r>
      <w:r>
        <w:rPr>
          <w:rFonts w:ascii="Times New Roman" w:hAnsi="Times New Roman"/>
          <w:bCs/>
          <w:sz w:val="24"/>
          <w:lang w:val="bs-Latn-BA"/>
        </w:rPr>
        <w:t>самоуправе</w:t>
      </w:r>
      <w:r w:rsidR="003A2F08" w:rsidRPr="00295637">
        <w:rPr>
          <w:rFonts w:ascii="Times New Roman" w:hAnsi="Times New Roman"/>
          <w:bCs/>
          <w:sz w:val="24"/>
          <w:lang w:val="bs-Latn-BA"/>
        </w:rPr>
        <w:t xml:space="preserve"> </w:t>
      </w:r>
      <w:r>
        <w:rPr>
          <w:rFonts w:ascii="Times New Roman" w:hAnsi="Times New Roman"/>
          <w:bCs/>
          <w:sz w:val="24"/>
          <w:lang w:val="bs-Latn-BA"/>
        </w:rPr>
        <w:t>у</w:t>
      </w:r>
      <w:r w:rsidR="003A2F08" w:rsidRPr="00295637">
        <w:rPr>
          <w:rFonts w:ascii="Times New Roman" w:hAnsi="Times New Roman"/>
          <w:bCs/>
          <w:sz w:val="24"/>
          <w:lang w:val="bs-Latn-BA"/>
        </w:rPr>
        <w:t xml:space="preserve"> </w:t>
      </w:r>
      <w:r>
        <w:rPr>
          <w:rFonts w:ascii="Times New Roman" w:hAnsi="Times New Roman"/>
          <w:bCs/>
          <w:sz w:val="24"/>
          <w:lang w:val="bs-Latn-BA"/>
        </w:rPr>
        <w:t>области</w:t>
      </w:r>
      <w:r w:rsidR="003A2F08" w:rsidRPr="00295637">
        <w:rPr>
          <w:rFonts w:ascii="Times New Roman" w:hAnsi="Times New Roman"/>
          <w:bCs/>
          <w:sz w:val="24"/>
          <w:lang w:val="bs-Latn-BA"/>
        </w:rPr>
        <w:t xml:space="preserve"> </w:t>
      </w:r>
      <w:r>
        <w:rPr>
          <w:rFonts w:ascii="Times New Roman" w:hAnsi="Times New Roman"/>
          <w:bCs/>
          <w:sz w:val="24"/>
          <w:lang w:val="bs-Latn-BA"/>
        </w:rPr>
        <w:t>равноправности</w:t>
      </w:r>
      <w:r w:rsidR="003A2F08" w:rsidRPr="00295637">
        <w:rPr>
          <w:rFonts w:ascii="Times New Roman" w:hAnsi="Times New Roman"/>
          <w:bCs/>
          <w:sz w:val="24"/>
          <w:lang w:val="bs-Latn-BA"/>
        </w:rPr>
        <w:t xml:space="preserve"> </w:t>
      </w:r>
      <w:r>
        <w:rPr>
          <w:rFonts w:ascii="Times New Roman" w:hAnsi="Times New Roman"/>
          <w:bCs/>
          <w:sz w:val="24"/>
          <w:lang w:val="bs-Latn-BA"/>
        </w:rPr>
        <w:t>полова</w:t>
      </w:r>
      <w:r w:rsidR="003A2F08" w:rsidRPr="00295637">
        <w:rPr>
          <w:rFonts w:ascii="Times New Roman" w:hAnsi="Times New Roman"/>
          <w:sz w:val="24"/>
          <w:lang w:val="bs-Latn-BA"/>
        </w:rPr>
        <w:t xml:space="preserve">“ </w:t>
      </w:r>
      <w:r>
        <w:rPr>
          <w:rFonts w:ascii="Times New Roman" w:hAnsi="Times New Roman"/>
          <w:sz w:val="24"/>
          <w:lang w:val="bs-Latn-BA"/>
        </w:rPr>
        <w:t>а</w:t>
      </w:r>
      <w:r w:rsidR="003A2F08" w:rsidRPr="00295637">
        <w:rPr>
          <w:rFonts w:ascii="Times New Roman" w:hAnsi="Times New Roman"/>
          <w:sz w:val="24"/>
          <w:lang w:val="bs-Latn-BA"/>
        </w:rPr>
        <w:t xml:space="preserve"> </w:t>
      </w:r>
      <w:r>
        <w:rPr>
          <w:rFonts w:ascii="Times New Roman" w:hAnsi="Times New Roman"/>
          <w:sz w:val="24"/>
          <w:lang w:val="bs-Latn-BA"/>
        </w:rPr>
        <w:t>која</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окупила</w:t>
      </w:r>
      <w:r w:rsidR="003A2F08" w:rsidRPr="00295637">
        <w:rPr>
          <w:rFonts w:ascii="Times New Roman" w:hAnsi="Times New Roman"/>
          <w:sz w:val="24"/>
          <w:lang w:val="bs-Latn-BA"/>
        </w:rPr>
        <w:t xml:space="preserve"> </w:t>
      </w:r>
      <w:r>
        <w:rPr>
          <w:rFonts w:ascii="Times New Roman" w:hAnsi="Times New Roman"/>
          <w:sz w:val="24"/>
          <w:lang w:val="bs-Latn-BA"/>
        </w:rPr>
        <w:t>представнике</w:t>
      </w:r>
      <w:r w:rsidR="003A2F08" w:rsidRPr="00295637">
        <w:rPr>
          <w:rFonts w:ascii="Times New Roman" w:hAnsi="Times New Roman"/>
          <w:sz w:val="24"/>
          <w:lang w:val="bs-Latn-BA"/>
        </w:rPr>
        <w:t xml:space="preserve"> </w:t>
      </w:r>
      <w:r>
        <w:rPr>
          <w:rFonts w:ascii="Times New Roman" w:hAnsi="Times New Roman"/>
          <w:sz w:val="24"/>
          <w:lang w:val="bs-Latn-BA"/>
        </w:rPr>
        <w:t>из</w:t>
      </w:r>
      <w:r w:rsidR="003A2F08" w:rsidRPr="00295637">
        <w:rPr>
          <w:rFonts w:ascii="Times New Roman" w:hAnsi="Times New Roman"/>
          <w:sz w:val="24"/>
          <w:lang w:val="bs-Latn-BA"/>
        </w:rPr>
        <w:t xml:space="preserve"> 46 </w:t>
      </w:r>
      <w:r>
        <w:rPr>
          <w:rFonts w:ascii="Times New Roman" w:hAnsi="Times New Roman"/>
          <w:sz w:val="24"/>
          <w:lang w:val="bs-Latn-BA"/>
        </w:rPr>
        <w:t>ЈЛС</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ФБиХ</w:t>
      </w:r>
      <w:r w:rsidR="003A2F08" w:rsidRPr="00295637">
        <w:rPr>
          <w:rFonts w:ascii="Times New Roman" w:hAnsi="Times New Roman"/>
          <w:sz w:val="24"/>
          <w:lang w:val="bs-Latn-BA"/>
        </w:rPr>
        <w:t xml:space="preserve">, </w:t>
      </w:r>
      <w:r>
        <w:rPr>
          <w:rFonts w:ascii="Times New Roman" w:hAnsi="Times New Roman"/>
          <w:sz w:val="24"/>
          <w:lang w:val="bs-Latn-BA"/>
        </w:rPr>
        <w:t>Комисије</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w:t>
      </w:r>
      <w:r>
        <w:rPr>
          <w:rFonts w:ascii="Times New Roman" w:hAnsi="Times New Roman"/>
          <w:sz w:val="24"/>
          <w:lang w:val="bs-Latn-BA"/>
        </w:rPr>
        <w:t>родну</w:t>
      </w:r>
      <w:r w:rsidR="003A2F08" w:rsidRPr="00295637">
        <w:rPr>
          <w:rFonts w:ascii="Times New Roman" w:hAnsi="Times New Roman"/>
          <w:sz w:val="24"/>
          <w:lang w:val="bs-Latn-BA"/>
        </w:rPr>
        <w:t xml:space="preserve"> </w:t>
      </w:r>
      <w:r>
        <w:rPr>
          <w:rFonts w:ascii="Times New Roman" w:hAnsi="Times New Roman"/>
          <w:sz w:val="24"/>
          <w:lang w:val="bs-Latn-BA"/>
        </w:rPr>
        <w:t>равноправност</w:t>
      </w:r>
      <w:r w:rsidR="003A2F08" w:rsidRPr="00295637">
        <w:rPr>
          <w:rFonts w:ascii="Times New Roman" w:hAnsi="Times New Roman"/>
          <w:sz w:val="24"/>
          <w:lang w:val="bs-Latn-BA"/>
        </w:rPr>
        <w:t xml:space="preserve"> </w:t>
      </w:r>
      <w:r>
        <w:rPr>
          <w:rFonts w:ascii="Times New Roman" w:hAnsi="Times New Roman"/>
          <w:sz w:val="24"/>
          <w:lang w:val="bs-Latn-BA"/>
        </w:rPr>
        <w:t>Заступничког</w:t>
      </w:r>
      <w:r w:rsidR="00BC47FA" w:rsidRPr="00295637">
        <w:rPr>
          <w:rFonts w:ascii="Times New Roman" w:hAnsi="Times New Roman"/>
          <w:sz w:val="24"/>
          <w:lang w:val="bs-Latn-BA"/>
        </w:rPr>
        <w:t xml:space="preserve"> </w:t>
      </w:r>
      <w:r>
        <w:rPr>
          <w:rFonts w:ascii="Times New Roman" w:hAnsi="Times New Roman"/>
          <w:sz w:val="24"/>
          <w:lang w:val="bs-Latn-BA"/>
        </w:rPr>
        <w:t>дома</w:t>
      </w:r>
      <w:r w:rsidR="00BC47FA" w:rsidRPr="00295637">
        <w:rPr>
          <w:rFonts w:ascii="Times New Roman" w:hAnsi="Times New Roman"/>
          <w:sz w:val="24"/>
          <w:lang w:val="bs-Latn-BA"/>
        </w:rPr>
        <w:t xml:space="preserve"> </w:t>
      </w:r>
      <w:r>
        <w:rPr>
          <w:rFonts w:ascii="Times New Roman" w:hAnsi="Times New Roman"/>
          <w:sz w:val="24"/>
          <w:lang w:val="bs-Latn-BA"/>
        </w:rPr>
        <w:t>Парламента</w:t>
      </w:r>
      <w:r w:rsidR="00BC47FA" w:rsidRPr="00295637">
        <w:rPr>
          <w:rFonts w:ascii="Times New Roman" w:hAnsi="Times New Roman"/>
          <w:sz w:val="24"/>
          <w:lang w:val="bs-Latn-BA"/>
        </w:rPr>
        <w:t xml:space="preserve"> </w:t>
      </w:r>
      <w:r>
        <w:rPr>
          <w:rFonts w:ascii="Times New Roman" w:hAnsi="Times New Roman"/>
          <w:sz w:val="24"/>
          <w:lang w:val="bs-Latn-BA"/>
        </w:rPr>
        <w:t>ФБиХ</w:t>
      </w:r>
      <w:r w:rsidR="00BC47FA"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Удружења</w:t>
      </w:r>
      <w:r w:rsidR="003A2F08" w:rsidRPr="00295637">
        <w:rPr>
          <w:rFonts w:ascii="Times New Roman" w:hAnsi="Times New Roman"/>
          <w:sz w:val="24"/>
          <w:lang w:val="bs-Latn-BA"/>
        </w:rPr>
        <w:t xml:space="preserve"> </w:t>
      </w:r>
      <w:r w:rsidR="00BC47FA" w:rsidRPr="00295637">
        <w:rPr>
          <w:rFonts w:ascii="Times New Roman" w:hAnsi="Times New Roman"/>
          <w:sz w:val="24"/>
          <w:lang w:val="bs-Latn-BA"/>
        </w:rPr>
        <w:t>„</w:t>
      </w:r>
      <w:r w:rsidR="009153B7" w:rsidRPr="009153B7">
        <w:rPr>
          <w:rFonts w:ascii="Times New Roman" w:hAnsi="Times New Roman"/>
          <w:i/>
          <w:sz w:val="24"/>
          <w:lang w:val="bs-Latn-BA"/>
        </w:rPr>
        <w:t>Infohouse</w:t>
      </w:r>
      <w:r w:rsidR="00BC47FA" w:rsidRPr="00295637">
        <w:rPr>
          <w:rFonts w:ascii="Times New Roman" w:hAnsi="Times New Roman"/>
          <w:sz w:val="24"/>
          <w:lang w:val="bs-Latn-BA"/>
        </w:rPr>
        <w:t>“</w:t>
      </w:r>
      <w:r w:rsidR="003E1DE3">
        <w:rPr>
          <w:rFonts w:ascii="Times New Roman" w:hAnsi="Times New Roman"/>
          <w:sz w:val="24"/>
          <w:lang w:val="bs-Latn-BA"/>
        </w:rPr>
        <w:t xml:space="preserve"> </w:t>
      </w:r>
      <w:r>
        <w:rPr>
          <w:rFonts w:ascii="Times New Roman" w:hAnsi="Times New Roman"/>
          <w:sz w:val="24"/>
          <w:lang w:val="bs-Latn-BA"/>
        </w:rPr>
        <w:t>Сарајево</w:t>
      </w:r>
      <w:r w:rsidR="003E1DE3">
        <w:rPr>
          <w:rFonts w:ascii="Times New Roman" w:hAnsi="Times New Roman"/>
          <w:sz w:val="24"/>
          <w:lang w:val="bs-Latn-BA"/>
        </w:rPr>
        <w:t xml:space="preserve">. </w:t>
      </w:r>
      <w:r>
        <w:rPr>
          <w:rFonts w:ascii="Times New Roman" w:hAnsi="Times New Roman"/>
          <w:sz w:val="24"/>
          <w:lang w:val="bs-Latn-BA"/>
        </w:rPr>
        <w:t>Са</w:t>
      </w:r>
      <w:r w:rsidR="003A2F08" w:rsidRPr="00295637">
        <w:rPr>
          <w:rFonts w:ascii="Times New Roman" w:hAnsi="Times New Roman"/>
          <w:sz w:val="24"/>
          <w:lang w:val="bs-Latn-BA"/>
        </w:rPr>
        <w:t xml:space="preserve"> </w:t>
      </w:r>
      <w:r>
        <w:rPr>
          <w:rFonts w:ascii="Times New Roman" w:hAnsi="Times New Roman"/>
          <w:sz w:val="24"/>
          <w:lang w:val="bs-Latn-BA"/>
        </w:rPr>
        <w:t>посебном</w:t>
      </w:r>
      <w:r w:rsidR="003A2F08" w:rsidRPr="00295637">
        <w:rPr>
          <w:rFonts w:ascii="Times New Roman" w:hAnsi="Times New Roman"/>
          <w:sz w:val="24"/>
          <w:lang w:val="bs-Latn-BA"/>
        </w:rPr>
        <w:t xml:space="preserve"> </w:t>
      </w:r>
      <w:r>
        <w:rPr>
          <w:rFonts w:ascii="Times New Roman" w:hAnsi="Times New Roman"/>
          <w:sz w:val="24"/>
          <w:lang w:val="bs-Latn-BA"/>
        </w:rPr>
        <w:t>пажњом</w:t>
      </w:r>
      <w:r w:rsidR="003A2F08" w:rsidRPr="00295637">
        <w:rPr>
          <w:rFonts w:ascii="Times New Roman" w:hAnsi="Times New Roman"/>
          <w:sz w:val="24"/>
          <w:lang w:val="bs-Latn-BA"/>
        </w:rPr>
        <w:t xml:space="preserve"> </w:t>
      </w:r>
      <w:r>
        <w:rPr>
          <w:rFonts w:ascii="Times New Roman" w:hAnsi="Times New Roman"/>
          <w:sz w:val="24"/>
          <w:lang w:val="bs-Latn-BA"/>
        </w:rPr>
        <w:t>на</w:t>
      </w:r>
      <w:r w:rsidR="003A2F08" w:rsidRPr="00295637">
        <w:rPr>
          <w:rFonts w:ascii="Times New Roman" w:hAnsi="Times New Roman"/>
          <w:sz w:val="24"/>
          <w:lang w:val="bs-Latn-BA"/>
        </w:rPr>
        <w:t xml:space="preserve"> </w:t>
      </w:r>
      <w:r>
        <w:rPr>
          <w:rFonts w:ascii="Times New Roman" w:hAnsi="Times New Roman"/>
          <w:sz w:val="24"/>
          <w:lang w:val="bs-Latn-BA"/>
        </w:rPr>
        <w:t>конференцији</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презентирана</w:t>
      </w:r>
      <w:r w:rsidR="003A2F08" w:rsidRPr="00295637">
        <w:rPr>
          <w:rFonts w:ascii="Times New Roman" w:hAnsi="Times New Roman"/>
          <w:sz w:val="24"/>
          <w:lang w:val="bs-Latn-BA"/>
        </w:rPr>
        <w:t xml:space="preserve"> </w:t>
      </w:r>
      <w:r>
        <w:rPr>
          <w:rFonts w:ascii="Times New Roman" w:hAnsi="Times New Roman"/>
          <w:sz w:val="24"/>
          <w:lang w:val="bs-Latn-BA"/>
        </w:rPr>
        <w:t>анализа</w:t>
      </w:r>
      <w:r w:rsidR="003A2F08" w:rsidRPr="00295637">
        <w:rPr>
          <w:rFonts w:ascii="Times New Roman" w:hAnsi="Times New Roman"/>
          <w:sz w:val="24"/>
          <w:lang w:val="bs-Latn-BA"/>
        </w:rPr>
        <w:t xml:space="preserve"> </w:t>
      </w:r>
      <w:r>
        <w:rPr>
          <w:rFonts w:ascii="Times New Roman" w:hAnsi="Times New Roman"/>
          <w:sz w:val="24"/>
          <w:lang w:val="bs-Latn-BA"/>
        </w:rPr>
        <w:t>стања</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условима</w:t>
      </w:r>
      <w:r w:rsidR="003A2F08" w:rsidRPr="00295637">
        <w:rPr>
          <w:rFonts w:ascii="Times New Roman" w:hAnsi="Times New Roman"/>
          <w:sz w:val="24"/>
          <w:lang w:val="bs-Latn-BA"/>
        </w:rPr>
        <w:t xml:space="preserve"> </w:t>
      </w:r>
      <w:r>
        <w:rPr>
          <w:rFonts w:ascii="Times New Roman" w:hAnsi="Times New Roman"/>
          <w:sz w:val="24"/>
          <w:lang w:val="bs-Latn-BA"/>
        </w:rPr>
        <w:t>живота</w:t>
      </w:r>
      <w:r w:rsidR="003A2F08" w:rsidRPr="00295637">
        <w:rPr>
          <w:rFonts w:ascii="Times New Roman" w:hAnsi="Times New Roman"/>
          <w:sz w:val="24"/>
          <w:lang w:val="bs-Latn-BA"/>
        </w:rPr>
        <w:t xml:space="preserve"> </w:t>
      </w:r>
      <w:r>
        <w:rPr>
          <w:rFonts w:ascii="Times New Roman" w:hAnsi="Times New Roman"/>
          <w:sz w:val="24"/>
          <w:lang w:val="bs-Latn-BA"/>
        </w:rPr>
        <w:t>након</w:t>
      </w:r>
      <w:r w:rsidR="003A2F08" w:rsidRPr="00295637">
        <w:rPr>
          <w:rFonts w:ascii="Times New Roman" w:hAnsi="Times New Roman"/>
          <w:sz w:val="24"/>
          <w:lang w:val="bs-Latn-BA"/>
        </w:rPr>
        <w:t xml:space="preserve"> </w:t>
      </w:r>
      <w:r>
        <w:rPr>
          <w:rFonts w:ascii="Times New Roman" w:hAnsi="Times New Roman"/>
          <w:sz w:val="24"/>
          <w:lang w:val="bs-Latn-BA"/>
        </w:rPr>
        <w:t>поплава</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w:t>
      </w:r>
      <w:r>
        <w:rPr>
          <w:rFonts w:ascii="Times New Roman" w:hAnsi="Times New Roman"/>
          <w:sz w:val="24"/>
          <w:lang w:val="bs-Latn-BA"/>
        </w:rPr>
        <w:t>жене</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дјевојчице</w:t>
      </w:r>
      <w:r w:rsidR="003A2F08" w:rsidRPr="00295637">
        <w:rPr>
          <w:rFonts w:ascii="Times New Roman" w:hAnsi="Times New Roman"/>
          <w:sz w:val="24"/>
          <w:lang w:val="bs-Latn-BA"/>
        </w:rPr>
        <w:t xml:space="preserve"> </w:t>
      </w:r>
      <w:r>
        <w:rPr>
          <w:rFonts w:ascii="Times New Roman" w:hAnsi="Times New Roman"/>
          <w:sz w:val="24"/>
          <w:lang w:val="bs-Latn-BA"/>
        </w:rPr>
        <w:t>у</w:t>
      </w:r>
      <w:r w:rsidR="003A2F08" w:rsidRPr="00295637">
        <w:rPr>
          <w:rFonts w:ascii="Times New Roman" w:hAnsi="Times New Roman"/>
          <w:sz w:val="24"/>
          <w:lang w:val="bs-Latn-BA"/>
        </w:rPr>
        <w:t xml:space="preserve"> </w:t>
      </w:r>
      <w:r>
        <w:rPr>
          <w:rFonts w:ascii="Times New Roman" w:hAnsi="Times New Roman"/>
          <w:sz w:val="24"/>
          <w:lang w:val="bs-Latn-BA"/>
        </w:rPr>
        <w:t>мјесту</w:t>
      </w:r>
      <w:r w:rsidR="003A2F08" w:rsidRPr="00295637">
        <w:rPr>
          <w:rFonts w:ascii="Times New Roman" w:hAnsi="Times New Roman"/>
          <w:sz w:val="24"/>
          <w:lang w:val="bs-Latn-BA"/>
        </w:rPr>
        <w:t xml:space="preserve"> </w:t>
      </w:r>
      <w:r>
        <w:rPr>
          <w:rFonts w:ascii="Times New Roman" w:hAnsi="Times New Roman"/>
          <w:sz w:val="24"/>
          <w:lang w:val="bs-Latn-BA"/>
        </w:rPr>
        <w:t>Доња</w:t>
      </w:r>
      <w:r w:rsidR="003A2F08" w:rsidRPr="00295637">
        <w:rPr>
          <w:rFonts w:ascii="Times New Roman" w:hAnsi="Times New Roman"/>
          <w:sz w:val="24"/>
          <w:lang w:val="bs-Latn-BA"/>
        </w:rPr>
        <w:t xml:space="preserve"> </w:t>
      </w:r>
      <w:r>
        <w:rPr>
          <w:rFonts w:ascii="Times New Roman" w:hAnsi="Times New Roman"/>
          <w:sz w:val="24"/>
          <w:lang w:val="bs-Latn-BA"/>
        </w:rPr>
        <w:t>Јабланица</w:t>
      </w:r>
      <w:r w:rsidR="003A2F08" w:rsidRPr="00295637">
        <w:rPr>
          <w:rFonts w:ascii="Times New Roman" w:hAnsi="Times New Roman"/>
          <w:sz w:val="24"/>
          <w:lang w:val="bs-Latn-BA"/>
        </w:rPr>
        <w:t xml:space="preserve">, </w:t>
      </w:r>
      <w:r>
        <w:rPr>
          <w:rFonts w:ascii="Times New Roman" w:hAnsi="Times New Roman"/>
          <w:sz w:val="24"/>
          <w:lang w:val="bs-Latn-BA"/>
        </w:rPr>
        <w:t>а</w:t>
      </w:r>
      <w:r w:rsidR="003A2F08" w:rsidRPr="00295637">
        <w:rPr>
          <w:rFonts w:ascii="Times New Roman" w:hAnsi="Times New Roman"/>
          <w:sz w:val="24"/>
          <w:lang w:val="bs-Latn-BA"/>
        </w:rPr>
        <w:t xml:space="preserve"> </w:t>
      </w:r>
      <w:r>
        <w:rPr>
          <w:rFonts w:ascii="Times New Roman" w:hAnsi="Times New Roman"/>
          <w:sz w:val="24"/>
          <w:lang w:val="bs-Latn-BA"/>
        </w:rPr>
        <w:t>о</w:t>
      </w:r>
      <w:r w:rsidR="003A2F08" w:rsidRPr="00295637">
        <w:rPr>
          <w:rFonts w:ascii="Times New Roman" w:hAnsi="Times New Roman"/>
          <w:sz w:val="24"/>
          <w:lang w:val="bs-Latn-BA"/>
        </w:rPr>
        <w:t xml:space="preserve"> </w:t>
      </w:r>
      <w:r>
        <w:rPr>
          <w:rFonts w:ascii="Times New Roman" w:hAnsi="Times New Roman"/>
          <w:sz w:val="24"/>
          <w:lang w:val="bs-Latn-BA"/>
        </w:rPr>
        <w:t>чему</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све</w:t>
      </w:r>
      <w:r w:rsidR="003A2F08" w:rsidRPr="00295637">
        <w:rPr>
          <w:rFonts w:ascii="Times New Roman" w:hAnsi="Times New Roman"/>
          <w:sz w:val="24"/>
          <w:lang w:val="bs-Latn-BA"/>
        </w:rPr>
        <w:t xml:space="preserve"> </w:t>
      </w:r>
      <w:r>
        <w:rPr>
          <w:rFonts w:ascii="Times New Roman" w:hAnsi="Times New Roman"/>
          <w:sz w:val="24"/>
          <w:lang w:val="bs-Latn-BA"/>
        </w:rPr>
        <w:t>присутне</w:t>
      </w:r>
      <w:r w:rsidR="003A2F08" w:rsidRPr="00295637">
        <w:rPr>
          <w:rFonts w:ascii="Times New Roman" w:hAnsi="Times New Roman"/>
          <w:sz w:val="24"/>
          <w:lang w:val="bs-Latn-BA"/>
        </w:rPr>
        <w:t xml:space="preserve"> </w:t>
      </w:r>
      <w:r>
        <w:rPr>
          <w:rFonts w:ascii="Times New Roman" w:hAnsi="Times New Roman"/>
          <w:sz w:val="24"/>
          <w:lang w:val="bs-Latn-BA"/>
        </w:rPr>
        <w:t>извјестила</w:t>
      </w:r>
      <w:r w:rsidR="003A2F08" w:rsidRPr="00295637">
        <w:rPr>
          <w:rFonts w:ascii="Times New Roman" w:hAnsi="Times New Roman"/>
          <w:sz w:val="24"/>
          <w:lang w:val="bs-Latn-BA"/>
        </w:rPr>
        <w:t xml:space="preserve"> </w:t>
      </w:r>
      <w:r>
        <w:rPr>
          <w:rFonts w:ascii="Times New Roman" w:hAnsi="Times New Roman"/>
          <w:sz w:val="24"/>
          <w:lang w:val="bs-Latn-BA"/>
        </w:rPr>
        <w:t>представница</w:t>
      </w:r>
      <w:r w:rsidR="003A2F08" w:rsidRPr="00295637">
        <w:rPr>
          <w:rFonts w:ascii="Times New Roman" w:hAnsi="Times New Roman"/>
          <w:sz w:val="24"/>
          <w:lang w:val="bs-Latn-BA"/>
        </w:rPr>
        <w:t xml:space="preserve"> </w:t>
      </w:r>
      <w:r>
        <w:rPr>
          <w:rFonts w:ascii="Times New Roman" w:hAnsi="Times New Roman"/>
          <w:sz w:val="24"/>
          <w:lang w:val="bs-Latn-BA"/>
        </w:rPr>
        <w:t>Оп</w:t>
      </w:r>
      <w:r w:rsidR="009153B7">
        <w:rPr>
          <w:rFonts w:ascii="Times New Roman" w:hAnsi="Times New Roman"/>
          <w:sz w:val="24"/>
          <w:lang w:val="sr-Cyrl-BA"/>
        </w:rPr>
        <w:t>шт</w:t>
      </w:r>
      <w:r>
        <w:rPr>
          <w:rFonts w:ascii="Times New Roman" w:hAnsi="Times New Roman"/>
          <w:sz w:val="24"/>
          <w:lang w:val="bs-Latn-BA"/>
        </w:rPr>
        <w:t>ине</w:t>
      </w:r>
      <w:r w:rsidR="003A2F08" w:rsidRPr="00295637">
        <w:rPr>
          <w:rFonts w:ascii="Times New Roman" w:hAnsi="Times New Roman"/>
          <w:sz w:val="24"/>
          <w:lang w:val="bs-Latn-BA"/>
        </w:rPr>
        <w:t xml:space="preserve"> </w:t>
      </w:r>
      <w:r>
        <w:rPr>
          <w:rFonts w:ascii="Times New Roman" w:hAnsi="Times New Roman"/>
          <w:sz w:val="24"/>
          <w:lang w:val="bs-Latn-BA"/>
        </w:rPr>
        <w:t>Јабланица</w:t>
      </w:r>
      <w:r w:rsidR="003A2F08" w:rsidRPr="00295637">
        <w:rPr>
          <w:rFonts w:ascii="Times New Roman" w:hAnsi="Times New Roman"/>
          <w:sz w:val="24"/>
          <w:lang w:val="bs-Latn-BA"/>
        </w:rPr>
        <w:t>.</w:t>
      </w:r>
    </w:p>
    <w:p w:rsidR="00351302" w:rsidRPr="00295637" w:rsidRDefault="00351302" w:rsidP="0086268D">
      <w:pPr>
        <w:pStyle w:val="Tekst"/>
        <w:spacing w:before="0"/>
        <w:rPr>
          <w:rFonts w:ascii="Times New Roman" w:hAnsi="Times New Roman"/>
          <w:sz w:val="24"/>
          <w:lang w:val="bs-Latn-BA"/>
        </w:rPr>
      </w:pPr>
    </w:p>
    <w:p w:rsidR="003A2F08" w:rsidRPr="00295637" w:rsidRDefault="00C6214E" w:rsidP="0086268D">
      <w:pPr>
        <w:pStyle w:val="Tekst"/>
        <w:spacing w:before="0"/>
        <w:rPr>
          <w:rFonts w:ascii="Times New Roman" w:hAnsi="Times New Roman"/>
          <w:sz w:val="24"/>
          <w:lang w:val="bs-Latn-BA"/>
        </w:rPr>
      </w:pPr>
      <w:r>
        <w:rPr>
          <w:rFonts w:ascii="Times New Roman" w:hAnsi="Times New Roman"/>
          <w:sz w:val="24"/>
          <w:lang w:val="bs-Latn-BA"/>
        </w:rPr>
        <w:t>Одржано</w:t>
      </w:r>
      <w:r w:rsidR="003A2F08" w:rsidRPr="00295637">
        <w:rPr>
          <w:rFonts w:ascii="Times New Roman" w:hAnsi="Times New Roman"/>
          <w:sz w:val="24"/>
          <w:lang w:val="bs-Latn-BA"/>
        </w:rPr>
        <w:t xml:space="preserve"> </w:t>
      </w:r>
      <w:r>
        <w:rPr>
          <w:rFonts w:ascii="Times New Roman" w:hAnsi="Times New Roman"/>
          <w:sz w:val="24"/>
          <w:lang w:val="bs-Latn-BA"/>
        </w:rPr>
        <w:t>је</w:t>
      </w:r>
      <w:r w:rsidR="003A2F08" w:rsidRPr="00295637">
        <w:rPr>
          <w:rFonts w:ascii="Times New Roman" w:hAnsi="Times New Roman"/>
          <w:sz w:val="24"/>
          <w:lang w:val="bs-Latn-BA"/>
        </w:rPr>
        <w:t xml:space="preserve"> </w:t>
      </w:r>
      <w:r>
        <w:rPr>
          <w:rFonts w:ascii="Times New Roman" w:hAnsi="Times New Roman"/>
          <w:sz w:val="24"/>
          <w:lang w:val="bs-Latn-BA"/>
        </w:rPr>
        <w:t>укупно</w:t>
      </w:r>
      <w:r w:rsidR="003A2F08" w:rsidRPr="00295637">
        <w:rPr>
          <w:rFonts w:ascii="Times New Roman" w:hAnsi="Times New Roman"/>
          <w:sz w:val="24"/>
          <w:lang w:val="bs-Latn-BA"/>
        </w:rPr>
        <w:t xml:space="preserve"> </w:t>
      </w:r>
      <w:r w:rsidR="003A2F08" w:rsidRPr="00295637">
        <w:rPr>
          <w:rFonts w:ascii="Times New Roman" w:hAnsi="Times New Roman"/>
          <w:bCs/>
          <w:sz w:val="24"/>
          <w:lang w:val="bs-Latn-BA"/>
        </w:rPr>
        <w:t xml:space="preserve">12 </w:t>
      </w:r>
      <w:r>
        <w:rPr>
          <w:rFonts w:ascii="Times New Roman" w:hAnsi="Times New Roman"/>
          <w:bCs/>
          <w:sz w:val="24"/>
          <w:lang w:val="bs-Latn-BA"/>
        </w:rPr>
        <w:t>едукација</w:t>
      </w:r>
      <w:r w:rsidR="003A2F08" w:rsidRPr="00295637">
        <w:rPr>
          <w:rFonts w:ascii="Times New Roman" w:hAnsi="Times New Roman"/>
          <w:bCs/>
          <w:sz w:val="24"/>
          <w:lang w:val="bs-Latn-BA"/>
        </w:rPr>
        <w:t xml:space="preserve"> </w:t>
      </w:r>
      <w:r>
        <w:rPr>
          <w:rFonts w:ascii="Times New Roman" w:hAnsi="Times New Roman"/>
          <w:bCs/>
          <w:sz w:val="24"/>
          <w:lang w:val="bs-Latn-BA"/>
        </w:rPr>
        <w:t>за</w:t>
      </w:r>
      <w:r w:rsidR="003A2F08" w:rsidRPr="00295637">
        <w:rPr>
          <w:rFonts w:ascii="Times New Roman" w:hAnsi="Times New Roman"/>
          <w:bCs/>
          <w:sz w:val="24"/>
          <w:lang w:val="bs-Latn-BA"/>
        </w:rPr>
        <w:t xml:space="preserve"> </w:t>
      </w:r>
      <w:r>
        <w:rPr>
          <w:rFonts w:ascii="Times New Roman" w:hAnsi="Times New Roman"/>
          <w:bCs/>
          <w:sz w:val="24"/>
          <w:lang w:val="bs-Latn-BA"/>
        </w:rPr>
        <w:t>нешто</w:t>
      </w:r>
      <w:r w:rsidR="003A2F08" w:rsidRPr="00295637">
        <w:rPr>
          <w:rFonts w:ascii="Times New Roman" w:hAnsi="Times New Roman"/>
          <w:bCs/>
          <w:sz w:val="24"/>
          <w:lang w:val="bs-Latn-BA"/>
        </w:rPr>
        <w:t xml:space="preserve"> </w:t>
      </w:r>
      <w:r>
        <w:rPr>
          <w:rFonts w:ascii="Times New Roman" w:hAnsi="Times New Roman"/>
          <w:bCs/>
          <w:sz w:val="24"/>
          <w:lang w:val="bs-Latn-BA"/>
        </w:rPr>
        <w:t>више</w:t>
      </w:r>
      <w:r w:rsidR="003A2F08" w:rsidRPr="00295637">
        <w:rPr>
          <w:rFonts w:ascii="Times New Roman" w:hAnsi="Times New Roman"/>
          <w:bCs/>
          <w:sz w:val="24"/>
          <w:lang w:val="bs-Latn-BA"/>
        </w:rPr>
        <w:t xml:space="preserve"> </w:t>
      </w:r>
      <w:r>
        <w:rPr>
          <w:rFonts w:ascii="Times New Roman" w:hAnsi="Times New Roman"/>
          <w:bCs/>
          <w:sz w:val="24"/>
          <w:lang w:val="bs-Latn-BA"/>
        </w:rPr>
        <w:t>од</w:t>
      </w:r>
      <w:r w:rsidR="003A2F08" w:rsidRPr="00295637">
        <w:rPr>
          <w:rFonts w:ascii="Times New Roman" w:hAnsi="Times New Roman"/>
          <w:bCs/>
          <w:sz w:val="24"/>
          <w:lang w:val="bs-Latn-BA"/>
        </w:rPr>
        <w:t xml:space="preserve"> 100 </w:t>
      </w:r>
      <w:r>
        <w:rPr>
          <w:rFonts w:ascii="Times New Roman" w:hAnsi="Times New Roman"/>
          <w:bCs/>
          <w:sz w:val="24"/>
          <w:lang w:val="bs-Latn-BA"/>
        </w:rPr>
        <w:t>службеника</w:t>
      </w:r>
      <w:r w:rsidR="003A2F08" w:rsidRPr="00295637">
        <w:rPr>
          <w:rFonts w:ascii="Times New Roman" w:hAnsi="Times New Roman"/>
          <w:sz w:val="24"/>
          <w:lang w:val="bs-Latn-BA"/>
        </w:rPr>
        <w:t xml:space="preserve"> </w:t>
      </w:r>
      <w:r>
        <w:rPr>
          <w:rFonts w:ascii="Times New Roman" w:hAnsi="Times New Roman"/>
          <w:sz w:val="24"/>
          <w:lang w:val="bs-Latn-BA"/>
        </w:rPr>
        <w:t>те</w:t>
      </w:r>
      <w:r w:rsidR="003A2F08" w:rsidRPr="00295637">
        <w:rPr>
          <w:rFonts w:ascii="Times New Roman" w:hAnsi="Times New Roman"/>
          <w:sz w:val="24"/>
          <w:lang w:val="bs-Latn-BA"/>
        </w:rPr>
        <w:t xml:space="preserve"> </w:t>
      </w:r>
      <w:r>
        <w:rPr>
          <w:rFonts w:ascii="Times New Roman" w:hAnsi="Times New Roman"/>
          <w:sz w:val="24"/>
          <w:lang w:val="bs-Latn-BA"/>
        </w:rPr>
        <w:t>су</w:t>
      </w:r>
      <w:r w:rsidR="003A2F08" w:rsidRPr="00295637">
        <w:rPr>
          <w:rFonts w:ascii="Times New Roman" w:hAnsi="Times New Roman"/>
          <w:sz w:val="24"/>
          <w:lang w:val="bs-Latn-BA"/>
        </w:rPr>
        <w:t xml:space="preserve"> </w:t>
      </w:r>
      <w:r>
        <w:rPr>
          <w:rFonts w:ascii="Times New Roman" w:hAnsi="Times New Roman"/>
          <w:sz w:val="24"/>
          <w:lang w:val="bs-Latn-BA"/>
        </w:rPr>
        <w:t>израђени</w:t>
      </w:r>
      <w:r w:rsidR="003A2F08" w:rsidRPr="00295637">
        <w:rPr>
          <w:rFonts w:ascii="Times New Roman" w:hAnsi="Times New Roman"/>
          <w:sz w:val="24"/>
          <w:lang w:val="bs-Latn-BA"/>
        </w:rPr>
        <w:t xml:space="preserve"> </w:t>
      </w:r>
      <w:r>
        <w:rPr>
          <w:rFonts w:ascii="Times New Roman" w:hAnsi="Times New Roman"/>
          <w:sz w:val="24"/>
          <w:lang w:val="bs-Latn-BA"/>
        </w:rPr>
        <w:t>Планови</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матрице</w:t>
      </w:r>
      <w:r w:rsidR="003A2F08" w:rsidRPr="00295637">
        <w:rPr>
          <w:rFonts w:ascii="Times New Roman" w:hAnsi="Times New Roman"/>
          <w:sz w:val="24"/>
          <w:lang w:val="bs-Latn-BA"/>
        </w:rPr>
        <w:t xml:space="preserve"> </w:t>
      </w:r>
      <w:r>
        <w:rPr>
          <w:rFonts w:ascii="Times New Roman" w:hAnsi="Times New Roman"/>
          <w:sz w:val="24"/>
          <w:lang w:val="bs-Latn-BA"/>
        </w:rPr>
        <w:t>за</w:t>
      </w:r>
      <w:r w:rsidR="003A2F08" w:rsidRPr="00295637">
        <w:rPr>
          <w:rFonts w:ascii="Times New Roman" w:hAnsi="Times New Roman"/>
          <w:sz w:val="24"/>
          <w:lang w:val="bs-Latn-BA"/>
        </w:rPr>
        <w:t xml:space="preserve"> </w:t>
      </w:r>
      <w:r>
        <w:rPr>
          <w:rFonts w:ascii="Times New Roman" w:hAnsi="Times New Roman"/>
          <w:sz w:val="24"/>
          <w:lang w:val="bs-Latn-BA"/>
        </w:rPr>
        <w:t>мониторинг</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евалуацију</w:t>
      </w:r>
      <w:r w:rsidR="003A2F08" w:rsidRPr="00295637">
        <w:rPr>
          <w:rFonts w:ascii="Times New Roman" w:hAnsi="Times New Roman"/>
          <w:sz w:val="24"/>
          <w:lang w:val="bs-Latn-BA"/>
        </w:rPr>
        <w:t xml:space="preserve"> </w:t>
      </w:r>
      <w:r>
        <w:rPr>
          <w:rFonts w:ascii="Times New Roman" w:hAnsi="Times New Roman"/>
          <w:sz w:val="24"/>
          <w:lang w:val="bs-Latn-BA"/>
        </w:rPr>
        <w:t>праћења</w:t>
      </w:r>
      <w:r w:rsidR="003A2F08" w:rsidRPr="00295637">
        <w:rPr>
          <w:rFonts w:ascii="Times New Roman" w:hAnsi="Times New Roman"/>
          <w:sz w:val="24"/>
          <w:lang w:val="bs-Latn-BA"/>
        </w:rPr>
        <w:t xml:space="preserve"> </w:t>
      </w:r>
      <w:r>
        <w:rPr>
          <w:rFonts w:ascii="Times New Roman" w:hAnsi="Times New Roman"/>
          <w:sz w:val="24"/>
          <w:lang w:val="bs-Latn-BA"/>
        </w:rPr>
        <w:t>кантоналних</w:t>
      </w:r>
      <w:r w:rsidR="003A2F08" w:rsidRPr="00295637">
        <w:rPr>
          <w:rFonts w:ascii="Times New Roman" w:hAnsi="Times New Roman"/>
          <w:sz w:val="24"/>
          <w:lang w:val="bs-Latn-BA"/>
        </w:rPr>
        <w:t xml:space="preserve"> </w:t>
      </w:r>
      <w:r>
        <w:rPr>
          <w:rFonts w:ascii="Times New Roman" w:hAnsi="Times New Roman"/>
          <w:sz w:val="24"/>
          <w:lang w:val="bs-Latn-BA"/>
        </w:rPr>
        <w:t>и</w:t>
      </w:r>
      <w:r w:rsidR="003A2F08" w:rsidRPr="00295637">
        <w:rPr>
          <w:rFonts w:ascii="Times New Roman" w:hAnsi="Times New Roman"/>
          <w:sz w:val="24"/>
          <w:lang w:val="bs-Latn-BA"/>
        </w:rPr>
        <w:t xml:space="preserve"> </w:t>
      </w:r>
      <w:r>
        <w:rPr>
          <w:rFonts w:ascii="Times New Roman" w:hAnsi="Times New Roman"/>
          <w:sz w:val="24"/>
          <w:lang w:val="bs-Latn-BA"/>
        </w:rPr>
        <w:t>лок</w:t>
      </w:r>
      <w:r w:rsidR="00485AB7">
        <w:rPr>
          <w:rFonts w:ascii="Times New Roman" w:hAnsi="Times New Roman"/>
          <w:sz w:val="24"/>
          <w:lang w:val="bs-Cyrl-BA"/>
        </w:rPr>
        <w:t>а</w:t>
      </w:r>
      <w:r>
        <w:rPr>
          <w:rFonts w:ascii="Times New Roman" w:hAnsi="Times New Roman"/>
          <w:sz w:val="24"/>
          <w:lang w:val="bs-Latn-BA"/>
        </w:rPr>
        <w:t>лних</w:t>
      </w:r>
      <w:r w:rsidR="003A2F08" w:rsidRPr="00295637">
        <w:rPr>
          <w:rFonts w:ascii="Times New Roman" w:hAnsi="Times New Roman"/>
          <w:sz w:val="24"/>
          <w:lang w:val="bs-Latn-BA"/>
        </w:rPr>
        <w:t xml:space="preserve"> </w:t>
      </w:r>
      <w:r>
        <w:rPr>
          <w:rFonts w:ascii="Times New Roman" w:hAnsi="Times New Roman"/>
          <w:sz w:val="24"/>
          <w:lang w:val="bs-Latn-BA"/>
        </w:rPr>
        <w:t>гендер</w:t>
      </w:r>
      <w:r w:rsidR="003A2F08" w:rsidRPr="00295637">
        <w:rPr>
          <w:rFonts w:ascii="Times New Roman" w:hAnsi="Times New Roman"/>
          <w:sz w:val="24"/>
          <w:lang w:val="bs-Latn-BA"/>
        </w:rPr>
        <w:t xml:space="preserve"> </w:t>
      </w:r>
      <w:r>
        <w:rPr>
          <w:rFonts w:ascii="Times New Roman" w:hAnsi="Times New Roman"/>
          <w:sz w:val="24"/>
          <w:lang w:val="bs-Latn-BA"/>
        </w:rPr>
        <w:t>акционих</w:t>
      </w:r>
      <w:r w:rsidR="003A2F08" w:rsidRPr="00295637">
        <w:rPr>
          <w:rFonts w:ascii="Times New Roman" w:hAnsi="Times New Roman"/>
          <w:sz w:val="24"/>
          <w:lang w:val="bs-Latn-BA"/>
        </w:rPr>
        <w:t xml:space="preserve"> </w:t>
      </w:r>
      <w:r>
        <w:rPr>
          <w:rFonts w:ascii="Times New Roman" w:hAnsi="Times New Roman"/>
          <w:sz w:val="24"/>
          <w:lang w:val="bs-Latn-BA"/>
        </w:rPr>
        <w:t>планова</w:t>
      </w:r>
      <w:r w:rsidR="003A2F08" w:rsidRPr="00295637">
        <w:rPr>
          <w:rFonts w:ascii="Times New Roman" w:hAnsi="Times New Roman"/>
          <w:sz w:val="24"/>
          <w:lang w:val="bs-Latn-BA"/>
        </w:rPr>
        <w:t xml:space="preserve"> </w:t>
      </w:r>
      <w:r>
        <w:rPr>
          <w:rFonts w:ascii="Times New Roman" w:hAnsi="Times New Roman"/>
          <w:sz w:val="24"/>
          <w:lang w:val="bs-Latn-BA"/>
        </w:rPr>
        <w:t>који</w:t>
      </w:r>
      <w:r w:rsidR="003A2F08" w:rsidRPr="00295637">
        <w:rPr>
          <w:rFonts w:ascii="Times New Roman" w:hAnsi="Times New Roman"/>
          <w:sz w:val="24"/>
          <w:lang w:val="bs-Latn-BA"/>
        </w:rPr>
        <w:t xml:space="preserve"> </w:t>
      </w:r>
      <w:r>
        <w:rPr>
          <w:rFonts w:ascii="Times New Roman" w:hAnsi="Times New Roman"/>
          <w:sz w:val="24"/>
          <w:lang w:val="bs-Latn-BA"/>
        </w:rPr>
        <w:t>имају</w:t>
      </w:r>
      <w:r w:rsidR="003A2F08" w:rsidRPr="00295637">
        <w:rPr>
          <w:rFonts w:ascii="Times New Roman" w:hAnsi="Times New Roman"/>
          <w:sz w:val="24"/>
          <w:lang w:val="bs-Latn-BA"/>
        </w:rPr>
        <w:t xml:space="preserve"> </w:t>
      </w:r>
      <w:r>
        <w:rPr>
          <w:rFonts w:ascii="Times New Roman" w:hAnsi="Times New Roman"/>
          <w:sz w:val="24"/>
          <w:lang w:val="bs-Latn-BA"/>
        </w:rPr>
        <w:t>усвојене</w:t>
      </w:r>
      <w:r w:rsidR="00351302" w:rsidRPr="00295637">
        <w:rPr>
          <w:rFonts w:ascii="Times New Roman" w:hAnsi="Times New Roman"/>
          <w:sz w:val="24"/>
          <w:lang w:val="bs-Latn-BA"/>
        </w:rPr>
        <w:t xml:space="preserve"> </w:t>
      </w:r>
      <w:r>
        <w:rPr>
          <w:rFonts w:ascii="Times New Roman" w:hAnsi="Times New Roman"/>
          <w:sz w:val="24"/>
          <w:lang w:val="bs-Latn-BA"/>
        </w:rPr>
        <w:t>гендер</w:t>
      </w:r>
      <w:r w:rsidR="00351302" w:rsidRPr="00295637">
        <w:rPr>
          <w:rFonts w:ascii="Times New Roman" w:hAnsi="Times New Roman"/>
          <w:sz w:val="24"/>
          <w:lang w:val="bs-Latn-BA"/>
        </w:rPr>
        <w:t xml:space="preserve"> </w:t>
      </w:r>
      <w:r>
        <w:rPr>
          <w:rFonts w:ascii="Times New Roman" w:hAnsi="Times New Roman"/>
          <w:sz w:val="24"/>
          <w:lang w:val="bs-Latn-BA"/>
        </w:rPr>
        <w:t>акционе</w:t>
      </w:r>
      <w:r w:rsidR="00351302" w:rsidRPr="00295637">
        <w:rPr>
          <w:rFonts w:ascii="Times New Roman" w:hAnsi="Times New Roman"/>
          <w:sz w:val="24"/>
          <w:lang w:val="bs-Latn-BA"/>
        </w:rPr>
        <w:t xml:space="preserve"> </w:t>
      </w:r>
      <w:r>
        <w:rPr>
          <w:rFonts w:ascii="Times New Roman" w:hAnsi="Times New Roman"/>
          <w:sz w:val="24"/>
          <w:lang w:val="bs-Latn-BA"/>
        </w:rPr>
        <w:t>планове</w:t>
      </w:r>
      <w:r w:rsidR="00351302" w:rsidRPr="00295637">
        <w:rPr>
          <w:rFonts w:ascii="Times New Roman" w:hAnsi="Times New Roman"/>
          <w:sz w:val="24"/>
          <w:lang w:val="bs-Latn-BA"/>
        </w:rPr>
        <w:t>.</w:t>
      </w:r>
    </w:p>
    <w:p w:rsidR="00356C2C" w:rsidRPr="00295637" w:rsidRDefault="00356C2C" w:rsidP="0086268D">
      <w:pPr>
        <w:pStyle w:val="Tekst"/>
        <w:spacing w:before="0"/>
        <w:rPr>
          <w:rFonts w:ascii="Times New Roman" w:hAnsi="Times New Roman"/>
          <w:sz w:val="24"/>
          <w:lang w:val="bs-Latn-BA"/>
        </w:rPr>
      </w:pPr>
    </w:p>
    <w:p w:rsidR="00671418"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ЦЈРП</w:t>
      </w:r>
      <w:r w:rsidR="00671418" w:rsidRPr="00295637">
        <w:rPr>
          <w:rFonts w:ascii="Times New Roman" w:hAnsi="Times New Roman"/>
          <w:lang w:val="sr-Latn-BA"/>
        </w:rPr>
        <w:t xml:space="preserve"> </w:t>
      </w:r>
      <w:r>
        <w:rPr>
          <w:rFonts w:ascii="Times New Roman" w:hAnsi="Times New Roman"/>
          <w:lang w:val="sr-Latn-BA"/>
        </w:rPr>
        <w:t>РС</w:t>
      </w:r>
      <w:r w:rsidR="00671418" w:rsidRPr="00295637">
        <w:rPr>
          <w:rFonts w:ascii="Times New Roman" w:hAnsi="Times New Roman"/>
          <w:lang w:val="sr-Latn-BA"/>
        </w:rPr>
        <w:t xml:space="preserve"> </w:t>
      </w:r>
      <w:r>
        <w:rPr>
          <w:rFonts w:ascii="Times New Roman" w:hAnsi="Times New Roman"/>
          <w:lang w:val="sr-Latn-BA"/>
        </w:rPr>
        <w:t>је</w:t>
      </w:r>
      <w:r w:rsidR="00671418" w:rsidRPr="00295637">
        <w:rPr>
          <w:rFonts w:ascii="Times New Roman" w:hAnsi="Times New Roman"/>
          <w:lang w:val="sr-Latn-BA"/>
        </w:rPr>
        <w:t xml:space="preserve"> </w:t>
      </w:r>
      <w:r>
        <w:rPr>
          <w:rFonts w:ascii="Times New Roman" w:hAnsi="Times New Roman"/>
          <w:lang w:val="sr-Latn-BA"/>
        </w:rPr>
        <w:t>о</w:t>
      </w:r>
      <w:r w:rsidR="009153B7">
        <w:rPr>
          <w:rFonts w:ascii="Times New Roman" w:hAnsi="Times New Roman"/>
          <w:lang w:val="sr-Cyrl-BA"/>
        </w:rPr>
        <w:t>безбиједи</w:t>
      </w:r>
      <w:r>
        <w:rPr>
          <w:rFonts w:ascii="Times New Roman" w:hAnsi="Times New Roman"/>
          <w:lang w:val="sr-Latn-BA"/>
        </w:rPr>
        <w:t>о</w:t>
      </w:r>
      <w:r w:rsidR="00671418" w:rsidRPr="00295637">
        <w:rPr>
          <w:rFonts w:ascii="Times New Roman" w:hAnsi="Times New Roman"/>
          <w:lang w:val="sr-Latn-BA"/>
        </w:rPr>
        <w:t xml:space="preserve"> </w:t>
      </w:r>
      <w:r>
        <w:rPr>
          <w:rFonts w:ascii="Times New Roman" w:hAnsi="Times New Roman"/>
          <w:lang w:val="sr-Cyrl-BA"/>
        </w:rPr>
        <w:t>по</w:t>
      </w:r>
      <w:r>
        <w:rPr>
          <w:rFonts w:ascii="Times New Roman" w:hAnsi="Times New Roman"/>
          <w:lang w:val="hr-HR"/>
        </w:rPr>
        <w:t>дршку</w:t>
      </w:r>
      <w:r w:rsidR="00671418" w:rsidRPr="00295637">
        <w:rPr>
          <w:rFonts w:ascii="Times New Roman" w:hAnsi="Times New Roman"/>
          <w:lang w:val="sr-Cyrl-BA"/>
        </w:rPr>
        <w:t xml:space="preserve"> </w:t>
      </w:r>
      <w:r>
        <w:rPr>
          <w:rFonts w:ascii="Times New Roman" w:hAnsi="Times New Roman"/>
          <w:lang w:val="sr-Cyrl-BA"/>
        </w:rPr>
        <w:t>механизмима</w:t>
      </w:r>
      <w:r w:rsidR="00671418" w:rsidRPr="00295637">
        <w:rPr>
          <w:rFonts w:ascii="Times New Roman" w:hAnsi="Times New Roman"/>
          <w:lang w:val="sr-Cyrl-BA"/>
        </w:rPr>
        <w:t xml:space="preserve"> </w:t>
      </w:r>
      <w:r>
        <w:rPr>
          <w:rFonts w:ascii="Times New Roman" w:hAnsi="Times New Roman"/>
          <w:lang w:val="sr-Cyrl-BA"/>
        </w:rPr>
        <w:t>за</w:t>
      </w:r>
      <w:r w:rsidR="00671418" w:rsidRPr="00295637">
        <w:rPr>
          <w:rFonts w:ascii="Times New Roman" w:hAnsi="Times New Roman"/>
          <w:lang w:val="sr-Cyrl-BA"/>
        </w:rPr>
        <w:t xml:space="preserve"> </w:t>
      </w:r>
      <w:r>
        <w:rPr>
          <w:rFonts w:ascii="Times New Roman" w:hAnsi="Times New Roman"/>
          <w:lang w:val="sr-Cyrl-BA"/>
        </w:rPr>
        <w:t>равноправност</w:t>
      </w:r>
      <w:r w:rsidR="00671418" w:rsidRPr="00295637">
        <w:rPr>
          <w:rFonts w:ascii="Times New Roman" w:hAnsi="Times New Roman"/>
          <w:lang w:val="sr-Cyrl-BA"/>
        </w:rPr>
        <w:t xml:space="preserve"> </w:t>
      </w:r>
      <w:r>
        <w:rPr>
          <w:rFonts w:ascii="Times New Roman" w:hAnsi="Times New Roman"/>
          <w:lang w:val="sr-Cyrl-BA"/>
        </w:rPr>
        <w:t>полова</w:t>
      </w:r>
      <w:r w:rsidR="00671418" w:rsidRPr="00295637">
        <w:rPr>
          <w:rFonts w:ascii="Times New Roman" w:hAnsi="Times New Roman"/>
          <w:lang w:val="sr-Cyrl-BA"/>
        </w:rPr>
        <w:t xml:space="preserve"> </w:t>
      </w:r>
      <w:r>
        <w:rPr>
          <w:rFonts w:ascii="Times New Roman" w:hAnsi="Times New Roman"/>
          <w:lang w:val="sr-Cyrl-BA"/>
        </w:rPr>
        <w:t>на</w:t>
      </w:r>
      <w:r w:rsidR="00671418" w:rsidRPr="00295637">
        <w:rPr>
          <w:rFonts w:ascii="Times New Roman" w:hAnsi="Times New Roman"/>
          <w:lang w:val="sr-Cyrl-BA"/>
        </w:rPr>
        <w:t xml:space="preserve"> </w:t>
      </w:r>
      <w:r>
        <w:rPr>
          <w:rFonts w:ascii="Times New Roman" w:hAnsi="Times New Roman"/>
          <w:lang w:val="sr-Cyrl-BA"/>
        </w:rPr>
        <w:t>локално</w:t>
      </w:r>
      <w:r>
        <w:rPr>
          <w:rFonts w:ascii="Times New Roman" w:hAnsi="Times New Roman"/>
          <w:lang w:val="hr-HR"/>
        </w:rPr>
        <w:t>м</w:t>
      </w:r>
      <w:r w:rsidR="00671418" w:rsidRPr="00295637">
        <w:rPr>
          <w:rFonts w:ascii="Times New Roman" w:hAnsi="Times New Roman"/>
          <w:lang w:val="sr-Cyrl-BA"/>
        </w:rPr>
        <w:t xml:space="preserve"> </w:t>
      </w:r>
      <w:r>
        <w:rPr>
          <w:rFonts w:ascii="Times New Roman" w:hAnsi="Times New Roman"/>
          <w:lang w:val="hr-HR"/>
        </w:rPr>
        <w:t>нивоу</w:t>
      </w:r>
      <w:r w:rsidR="00671418" w:rsidRPr="00295637">
        <w:rPr>
          <w:rFonts w:ascii="Times New Roman" w:hAnsi="Times New Roman"/>
          <w:lang w:val="sr-Cyrl-BA"/>
        </w:rPr>
        <w:t xml:space="preserve"> </w:t>
      </w:r>
      <w:r>
        <w:rPr>
          <w:rFonts w:ascii="Times New Roman" w:hAnsi="Times New Roman"/>
          <w:lang w:val="sr-Cyrl-BA"/>
        </w:rPr>
        <w:t>власти</w:t>
      </w:r>
      <w:r w:rsidR="00671418" w:rsidRPr="00295637">
        <w:rPr>
          <w:rFonts w:ascii="Times New Roman" w:hAnsi="Times New Roman"/>
          <w:lang w:val="sr-Cyrl-BA"/>
        </w:rPr>
        <w:t xml:space="preserve"> </w:t>
      </w:r>
      <w:r>
        <w:rPr>
          <w:rFonts w:ascii="Times New Roman" w:hAnsi="Times New Roman"/>
          <w:lang w:val="hr-HR"/>
        </w:rPr>
        <w:t>током</w:t>
      </w:r>
      <w:r w:rsidR="00671418" w:rsidRPr="00295637">
        <w:rPr>
          <w:rFonts w:ascii="Times New Roman" w:hAnsi="Times New Roman"/>
          <w:lang w:val="sr-Cyrl-BA"/>
        </w:rPr>
        <w:t xml:space="preserve"> </w:t>
      </w:r>
      <w:r>
        <w:rPr>
          <w:rFonts w:ascii="Times New Roman" w:hAnsi="Times New Roman"/>
          <w:lang w:val="sr-Cyrl-BA"/>
        </w:rPr>
        <w:t>цијеле</w:t>
      </w:r>
      <w:r w:rsidR="00671418" w:rsidRPr="00295637">
        <w:rPr>
          <w:rFonts w:ascii="Times New Roman" w:hAnsi="Times New Roman"/>
          <w:lang w:val="sr-Cyrl-BA"/>
        </w:rPr>
        <w:t xml:space="preserve"> </w:t>
      </w:r>
      <w:r>
        <w:rPr>
          <w:rFonts w:ascii="Times New Roman" w:hAnsi="Times New Roman"/>
          <w:lang w:val="sr-Cyrl-BA"/>
        </w:rPr>
        <w:t>године</w:t>
      </w:r>
      <w:r w:rsidR="00671418" w:rsidRPr="00295637">
        <w:rPr>
          <w:rFonts w:ascii="Times New Roman" w:hAnsi="Times New Roman"/>
          <w:lang w:val="sr-Cyrl-BA"/>
        </w:rPr>
        <w:t xml:space="preserve"> </w:t>
      </w:r>
      <w:r>
        <w:rPr>
          <w:rFonts w:ascii="Times New Roman" w:hAnsi="Times New Roman"/>
          <w:lang w:val="sr-Cyrl-BA"/>
        </w:rPr>
        <w:t>кроз</w:t>
      </w:r>
      <w:r w:rsidR="00671418" w:rsidRPr="00295637">
        <w:rPr>
          <w:rFonts w:ascii="Times New Roman" w:hAnsi="Times New Roman"/>
          <w:lang w:val="sr-Cyrl-BA"/>
        </w:rPr>
        <w:t xml:space="preserve"> </w:t>
      </w:r>
      <w:r>
        <w:rPr>
          <w:rFonts w:ascii="Times New Roman" w:hAnsi="Times New Roman"/>
          <w:lang w:val="sr-Cyrl-BA"/>
        </w:rPr>
        <w:t>праћење</w:t>
      </w:r>
      <w:r w:rsidR="00671418" w:rsidRPr="00295637">
        <w:rPr>
          <w:rFonts w:ascii="Times New Roman" w:hAnsi="Times New Roman"/>
          <w:lang w:val="sr-Cyrl-BA"/>
        </w:rPr>
        <w:t xml:space="preserve"> </w:t>
      </w:r>
      <w:r>
        <w:rPr>
          <w:rFonts w:ascii="Times New Roman" w:hAnsi="Times New Roman"/>
          <w:lang w:val="sr-Cyrl-BA"/>
        </w:rPr>
        <w:t>ст</w:t>
      </w:r>
      <w:r>
        <w:rPr>
          <w:rFonts w:ascii="Times New Roman" w:hAnsi="Times New Roman"/>
          <w:lang w:val="hr-HR"/>
        </w:rPr>
        <w:t>епена</w:t>
      </w:r>
      <w:r w:rsidR="00671418" w:rsidRPr="00295637">
        <w:rPr>
          <w:rFonts w:ascii="Times New Roman" w:hAnsi="Times New Roman"/>
          <w:lang w:val="sr-Cyrl-BA"/>
        </w:rPr>
        <w:t xml:space="preserve"> </w:t>
      </w:r>
      <w:r>
        <w:rPr>
          <w:rFonts w:ascii="Times New Roman" w:hAnsi="Times New Roman"/>
          <w:lang w:val="sr-Cyrl-BA"/>
        </w:rPr>
        <w:t>реализације</w:t>
      </w:r>
      <w:r w:rsidR="00671418" w:rsidRPr="00295637">
        <w:rPr>
          <w:rFonts w:ascii="Times New Roman" w:hAnsi="Times New Roman"/>
          <w:lang w:val="sr-Cyrl-BA"/>
        </w:rPr>
        <w:t xml:space="preserve"> </w:t>
      </w:r>
      <w:r>
        <w:rPr>
          <w:rFonts w:ascii="Times New Roman" w:hAnsi="Times New Roman"/>
          <w:lang w:val="sr-Cyrl-BA"/>
        </w:rPr>
        <w:t>активности</w:t>
      </w:r>
      <w:r w:rsidR="00671418" w:rsidRPr="00295637">
        <w:rPr>
          <w:rFonts w:ascii="Times New Roman" w:hAnsi="Times New Roman"/>
          <w:lang w:val="sr-Cyrl-BA"/>
        </w:rPr>
        <w:t xml:space="preserve"> </w:t>
      </w:r>
      <w:r>
        <w:rPr>
          <w:rFonts w:ascii="Times New Roman" w:hAnsi="Times New Roman"/>
          <w:lang w:val="sr-Cyrl-BA"/>
        </w:rPr>
        <w:t>наведених</w:t>
      </w:r>
      <w:r w:rsidR="00671418" w:rsidRPr="00295637">
        <w:rPr>
          <w:rFonts w:ascii="Times New Roman" w:hAnsi="Times New Roman"/>
          <w:lang w:val="sr-Cyrl-BA"/>
        </w:rPr>
        <w:t xml:space="preserve"> </w:t>
      </w:r>
      <w:r>
        <w:rPr>
          <w:rFonts w:ascii="Times New Roman" w:hAnsi="Times New Roman"/>
          <w:lang w:val="sr-Cyrl-BA"/>
        </w:rPr>
        <w:t>у</w:t>
      </w:r>
      <w:r w:rsidR="00671418"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оним</w:t>
      </w:r>
      <w:r w:rsidR="00671418" w:rsidRPr="00295637">
        <w:rPr>
          <w:rFonts w:ascii="Times New Roman" w:hAnsi="Times New Roman"/>
          <w:lang w:val="sr-Cyrl-BA"/>
        </w:rPr>
        <w:t xml:space="preserve"> </w:t>
      </w:r>
      <w:r>
        <w:rPr>
          <w:rFonts w:ascii="Times New Roman" w:hAnsi="Times New Roman"/>
          <w:lang w:val="sr-Cyrl-BA"/>
        </w:rPr>
        <w:t>плановима</w:t>
      </w:r>
      <w:r w:rsidR="00671418" w:rsidRPr="00295637">
        <w:rPr>
          <w:rFonts w:ascii="Times New Roman" w:hAnsi="Times New Roman"/>
          <w:lang w:val="sr-Cyrl-BA"/>
        </w:rPr>
        <w:t xml:space="preserve"> </w:t>
      </w:r>
      <w:r>
        <w:rPr>
          <w:rFonts w:ascii="Times New Roman" w:hAnsi="Times New Roman"/>
          <w:lang w:val="sr-Cyrl-BA"/>
        </w:rPr>
        <w:t>ЈЛС</w:t>
      </w:r>
      <w:r w:rsidR="00671418" w:rsidRPr="00295637">
        <w:rPr>
          <w:rFonts w:ascii="Times New Roman" w:hAnsi="Times New Roman"/>
          <w:lang w:val="sr-Cyrl-BA"/>
        </w:rPr>
        <w:t xml:space="preserve"> </w:t>
      </w:r>
      <w:r>
        <w:rPr>
          <w:rFonts w:ascii="Times New Roman" w:hAnsi="Times New Roman"/>
          <w:lang w:val="sr-Cyrl-BA"/>
        </w:rPr>
        <w:t>у</w:t>
      </w:r>
      <w:r w:rsidR="00671418" w:rsidRPr="00295637">
        <w:rPr>
          <w:rFonts w:ascii="Times New Roman" w:hAnsi="Times New Roman"/>
          <w:lang w:val="sr-Cyrl-BA"/>
        </w:rPr>
        <w:t xml:space="preserve"> </w:t>
      </w:r>
      <w:r>
        <w:rPr>
          <w:rFonts w:ascii="Times New Roman" w:hAnsi="Times New Roman"/>
          <w:lang w:val="sr-Cyrl-BA"/>
        </w:rPr>
        <w:t>којима</w:t>
      </w:r>
      <w:r w:rsidR="00671418" w:rsidRPr="00295637">
        <w:rPr>
          <w:rFonts w:ascii="Times New Roman" w:hAnsi="Times New Roman"/>
          <w:lang w:val="sr-Cyrl-BA"/>
        </w:rPr>
        <w:t xml:space="preserve"> </w:t>
      </w:r>
      <w:r>
        <w:rPr>
          <w:rFonts w:ascii="Times New Roman" w:hAnsi="Times New Roman"/>
          <w:lang w:val="sr-Cyrl-BA"/>
        </w:rPr>
        <w:t>је</w:t>
      </w:r>
      <w:r w:rsidR="00671418" w:rsidRPr="00295637">
        <w:rPr>
          <w:rFonts w:ascii="Times New Roman" w:hAnsi="Times New Roman"/>
          <w:lang w:val="sr-Cyrl-BA"/>
        </w:rPr>
        <w:t xml:space="preserve"> </w:t>
      </w:r>
      <w:r>
        <w:rPr>
          <w:rFonts w:ascii="Times New Roman" w:hAnsi="Times New Roman"/>
          <w:lang w:val="sr-Cyrl-BA"/>
        </w:rPr>
        <w:t>ЦЈРП</w:t>
      </w:r>
      <w:r w:rsidR="00671418" w:rsidRPr="00295637">
        <w:rPr>
          <w:rFonts w:ascii="Times New Roman" w:hAnsi="Times New Roman"/>
          <w:lang w:val="sr-Latn-BA"/>
        </w:rPr>
        <w:t xml:space="preserve"> </w:t>
      </w:r>
      <w:r>
        <w:rPr>
          <w:rFonts w:ascii="Times New Roman" w:hAnsi="Times New Roman"/>
          <w:lang w:val="sr-Cyrl-BA"/>
        </w:rPr>
        <w:t>РС</w:t>
      </w:r>
      <w:r w:rsidR="00671418" w:rsidRPr="00295637">
        <w:rPr>
          <w:rFonts w:ascii="Times New Roman" w:hAnsi="Times New Roman"/>
          <w:lang w:val="sr-Cyrl-BA"/>
        </w:rPr>
        <w:t xml:space="preserve"> </w:t>
      </w:r>
      <w:r>
        <w:rPr>
          <w:rFonts w:ascii="Times New Roman" w:hAnsi="Times New Roman"/>
          <w:lang w:val="hr-HR"/>
        </w:rPr>
        <w:t>учествовао</w:t>
      </w:r>
      <w:r w:rsidR="00671418" w:rsidRPr="00295637">
        <w:rPr>
          <w:rFonts w:ascii="Times New Roman" w:hAnsi="Times New Roman"/>
          <w:lang w:val="sr-Cyrl-BA"/>
        </w:rPr>
        <w:t xml:space="preserve"> </w:t>
      </w:r>
      <w:r>
        <w:rPr>
          <w:rFonts w:ascii="Times New Roman" w:hAnsi="Times New Roman"/>
          <w:lang w:val="sr-Cyrl-BA"/>
        </w:rPr>
        <w:t>путем</w:t>
      </w:r>
      <w:r w:rsidR="00671418" w:rsidRPr="00295637">
        <w:rPr>
          <w:rFonts w:ascii="Times New Roman" w:hAnsi="Times New Roman"/>
          <w:lang w:val="sr-Cyrl-BA"/>
        </w:rPr>
        <w:t xml:space="preserve"> </w:t>
      </w:r>
      <w:r>
        <w:rPr>
          <w:rFonts w:ascii="Times New Roman" w:hAnsi="Times New Roman"/>
          <w:lang w:val="sr-Cyrl-BA"/>
        </w:rPr>
        <w:t>пружања</w:t>
      </w:r>
      <w:r w:rsidR="00671418" w:rsidRPr="00295637">
        <w:rPr>
          <w:rFonts w:ascii="Times New Roman" w:hAnsi="Times New Roman"/>
          <w:lang w:val="sr-Cyrl-BA"/>
        </w:rPr>
        <w:t xml:space="preserve"> </w:t>
      </w:r>
      <w:r>
        <w:rPr>
          <w:rFonts w:ascii="Times New Roman" w:hAnsi="Times New Roman"/>
          <w:lang w:val="sr-Cyrl-BA"/>
        </w:rPr>
        <w:t>техничке</w:t>
      </w:r>
      <w:r w:rsidR="00671418" w:rsidRPr="00295637">
        <w:rPr>
          <w:rFonts w:ascii="Times New Roman" w:hAnsi="Times New Roman"/>
          <w:lang w:val="sr-Cyrl-BA"/>
        </w:rPr>
        <w:t xml:space="preserve"> </w:t>
      </w:r>
      <w:r>
        <w:rPr>
          <w:rFonts w:ascii="Times New Roman" w:hAnsi="Times New Roman"/>
          <w:lang w:val="sr-Cyrl-BA"/>
        </w:rPr>
        <w:t>и</w:t>
      </w:r>
      <w:r w:rsidR="00671418" w:rsidRPr="00295637">
        <w:rPr>
          <w:rFonts w:ascii="Times New Roman" w:hAnsi="Times New Roman"/>
          <w:lang w:val="sr-Cyrl-BA"/>
        </w:rPr>
        <w:t xml:space="preserve"> </w:t>
      </w:r>
      <w:r>
        <w:rPr>
          <w:rFonts w:ascii="Times New Roman" w:hAnsi="Times New Roman"/>
          <w:lang w:val="sr-Cyrl-BA"/>
        </w:rPr>
        <w:t>савјетодавне</w:t>
      </w:r>
      <w:r w:rsidR="00671418"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дршке</w:t>
      </w:r>
      <w:r w:rsidR="00671418" w:rsidRPr="00295637">
        <w:rPr>
          <w:rFonts w:ascii="Times New Roman" w:hAnsi="Times New Roman"/>
          <w:lang w:val="sr-Cyrl-BA"/>
        </w:rPr>
        <w:t xml:space="preserve"> (</w:t>
      </w:r>
      <w:r>
        <w:rPr>
          <w:rFonts w:ascii="Times New Roman" w:hAnsi="Times New Roman"/>
          <w:lang w:val="sr-Cyrl-BA"/>
        </w:rPr>
        <w:t>Модрича</w:t>
      </w:r>
      <w:r w:rsidR="00671418" w:rsidRPr="00295637">
        <w:rPr>
          <w:rFonts w:ascii="Times New Roman" w:hAnsi="Times New Roman"/>
          <w:lang w:val="sr-Cyrl-BA"/>
        </w:rPr>
        <w:t xml:space="preserve">, </w:t>
      </w:r>
      <w:r>
        <w:rPr>
          <w:rFonts w:ascii="Times New Roman" w:hAnsi="Times New Roman"/>
          <w:lang w:val="sr-Cyrl-BA"/>
        </w:rPr>
        <w:t>Нови</w:t>
      </w:r>
      <w:r w:rsidR="00671418" w:rsidRPr="00295637">
        <w:rPr>
          <w:rFonts w:ascii="Times New Roman" w:hAnsi="Times New Roman"/>
          <w:lang w:val="sr-Cyrl-BA"/>
        </w:rPr>
        <w:t xml:space="preserve"> </w:t>
      </w:r>
      <w:r>
        <w:rPr>
          <w:rFonts w:ascii="Times New Roman" w:hAnsi="Times New Roman"/>
          <w:lang w:val="sr-Cyrl-BA"/>
        </w:rPr>
        <w:t>Град</w:t>
      </w:r>
      <w:r w:rsidR="00671418" w:rsidRPr="00295637">
        <w:rPr>
          <w:rFonts w:ascii="Times New Roman" w:hAnsi="Times New Roman"/>
          <w:lang w:val="sr-Cyrl-BA"/>
        </w:rPr>
        <w:t xml:space="preserve">, </w:t>
      </w:r>
      <w:r>
        <w:rPr>
          <w:rFonts w:ascii="Times New Roman" w:hAnsi="Times New Roman"/>
          <w:lang w:val="sr-Cyrl-BA"/>
        </w:rPr>
        <w:t>Градишка</w:t>
      </w:r>
      <w:r w:rsidR="00671418" w:rsidRPr="00295637">
        <w:rPr>
          <w:rFonts w:ascii="Times New Roman" w:hAnsi="Times New Roman"/>
          <w:lang w:val="sr-Cyrl-BA"/>
        </w:rPr>
        <w:t xml:space="preserve">, </w:t>
      </w:r>
      <w:r>
        <w:rPr>
          <w:rFonts w:ascii="Times New Roman" w:hAnsi="Times New Roman"/>
          <w:lang w:val="sr-Cyrl-BA"/>
        </w:rPr>
        <w:t>Србац</w:t>
      </w:r>
      <w:r w:rsidR="00671418" w:rsidRPr="00295637">
        <w:rPr>
          <w:rFonts w:ascii="Times New Roman" w:hAnsi="Times New Roman"/>
          <w:lang w:val="sr-Cyrl-BA"/>
        </w:rPr>
        <w:t>)</w:t>
      </w:r>
      <w:r w:rsidR="00671418" w:rsidRPr="00295637">
        <w:rPr>
          <w:rFonts w:ascii="Times New Roman" w:hAnsi="Times New Roman"/>
          <w:lang w:val="sr-Latn-BA"/>
        </w:rPr>
        <w:t xml:space="preserve">. </w:t>
      </w:r>
      <w:r>
        <w:rPr>
          <w:rFonts w:ascii="Times New Roman" w:hAnsi="Times New Roman"/>
          <w:lang w:val="sr-Cyrl-BA"/>
        </w:rPr>
        <w:t>Одржане</w:t>
      </w:r>
      <w:r w:rsidR="00671418" w:rsidRPr="00295637">
        <w:rPr>
          <w:rFonts w:ascii="Times New Roman" w:hAnsi="Times New Roman"/>
          <w:lang w:val="sr-Cyrl-BA"/>
        </w:rPr>
        <w:t xml:space="preserve"> </w:t>
      </w:r>
      <w:r>
        <w:rPr>
          <w:rFonts w:ascii="Times New Roman" w:hAnsi="Times New Roman"/>
          <w:lang w:val="sr-Latn-BA"/>
        </w:rPr>
        <w:t>су</w:t>
      </w:r>
      <w:r w:rsidR="00671418" w:rsidRPr="00295637">
        <w:rPr>
          <w:rFonts w:ascii="Times New Roman" w:hAnsi="Times New Roman"/>
          <w:lang w:val="sr-Latn-BA"/>
        </w:rPr>
        <w:t xml:space="preserve"> </w:t>
      </w:r>
      <w:r>
        <w:rPr>
          <w:rFonts w:ascii="Times New Roman" w:hAnsi="Times New Roman"/>
          <w:lang w:val="sr-Cyrl-BA"/>
        </w:rPr>
        <w:t>едукације</w:t>
      </w:r>
      <w:r w:rsidR="00671418" w:rsidRPr="00295637">
        <w:rPr>
          <w:rFonts w:ascii="Times New Roman" w:hAnsi="Times New Roman"/>
          <w:lang w:val="sr-Cyrl-BA"/>
        </w:rPr>
        <w:t xml:space="preserve"> </w:t>
      </w:r>
      <w:r>
        <w:rPr>
          <w:rFonts w:ascii="Times New Roman" w:hAnsi="Times New Roman"/>
          <w:lang w:val="sr-Cyrl-BA"/>
        </w:rPr>
        <w:t>за</w:t>
      </w:r>
      <w:r w:rsidR="00671418" w:rsidRPr="00295637">
        <w:rPr>
          <w:rFonts w:ascii="Times New Roman" w:hAnsi="Times New Roman"/>
          <w:lang w:val="sr-Cyrl-BA"/>
        </w:rPr>
        <w:t xml:space="preserve"> </w:t>
      </w:r>
      <w:r>
        <w:rPr>
          <w:rFonts w:ascii="Times New Roman" w:hAnsi="Times New Roman"/>
          <w:lang w:val="hr-HR"/>
        </w:rPr>
        <w:t>комисије</w:t>
      </w:r>
      <w:r w:rsidR="00671418" w:rsidRPr="00295637">
        <w:rPr>
          <w:rFonts w:ascii="Times New Roman" w:hAnsi="Times New Roman"/>
          <w:lang w:val="sr-Cyrl-BA"/>
        </w:rPr>
        <w:t xml:space="preserve"> </w:t>
      </w:r>
      <w:r>
        <w:rPr>
          <w:rFonts w:ascii="Times New Roman" w:hAnsi="Times New Roman"/>
          <w:lang w:val="sr-Cyrl-BA"/>
        </w:rPr>
        <w:t>за</w:t>
      </w:r>
      <w:r w:rsidR="00671418" w:rsidRPr="00295637">
        <w:rPr>
          <w:rFonts w:ascii="Times New Roman" w:hAnsi="Times New Roman"/>
          <w:lang w:val="sr-Cyrl-BA"/>
        </w:rPr>
        <w:t xml:space="preserve"> </w:t>
      </w:r>
      <w:r>
        <w:rPr>
          <w:rFonts w:ascii="Times New Roman" w:hAnsi="Times New Roman"/>
          <w:lang w:val="sr-Cyrl-BA"/>
        </w:rPr>
        <w:t>равноправност</w:t>
      </w:r>
      <w:r w:rsidR="00671418" w:rsidRPr="00295637">
        <w:rPr>
          <w:rFonts w:ascii="Times New Roman" w:hAnsi="Times New Roman"/>
          <w:lang w:val="sr-Cyrl-BA"/>
        </w:rPr>
        <w:t xml:space="preserve"> </w:t>
      </w:r>
      <w:r>
        <w:rPr>
          <w:rFonts w:ascii="Times New Roman" w:hAnsi="Times New Roman"/>
          <w:lang w:val="sr-Cyrl-BA"/>
        </w:rPr>
        <w:t>полова</w:t>
      </w:r>
      <w:r w:rsidR="00772C69">
        <w:rPr>
          <w:rFonts w:ascii="Times New Roman" w:hAnsi="Times New Roman"/>
          <w:lang w:val="bs-Latn-BA"/>
        </w:rPr>
        <w:t>,</w:t>
      </w:r>
      <w:r w:rsidR="003B3E4D">
        <w:rPr>
          <w:rFonts w:ascii="Times New Roman" w:hAnsi="Times New Roman"/>
          <w:lang w:val="sr-Latn-BA"/>
        </w:rPr>
        <w:t xml:space="preserve"> </w:t>
      </w:r>
      <w:r>
        <w:rPr>
          <w:rFonts w:ascii="Times New Roman" w:hAnsi="Times New Roman"/>
          <w:lang w:val="sr-Cyrl-BA"/>
        </w:rPr>
        <w:t>састанци</w:t>
      </w:r>
      <w:r w:rsidR="00671418" w:rsidRPr="00295637">
        <w:rPr>
          <w:rFonts w:ascii="Times New Roman" w:hAnsi="Times New Roman"/>
          <w:lang w:val="sr-Cyrl-BA"/>
        </w:rPr>
        <w:t xml:space="preserve"> </w:t>
      </w:r>
      <w:r>
        <w:rPr>
          <w:rFonts w:ascii="Times New Roman" w:hAnsi="Times New Roman"/>
          <w:lang w:val="sr-Cyrl-BA"/>
        </w:rPr>
        <w:t>и</w:t>
      </w:r>
      <w:r w:rsidR="00671418" w:rsidRPr="00295637">
        <w:rPr>
          <w:rFonts w:ascii="Times New Roman" w:hAnsi="Times New Roman"/>
          <w:lang w:val="sr-Cyrl-BA"/>
        </w:rPr>
        <w:t xml:space="preserve"> </w:t>
      </w:r>
      <w:r>
        <w:rPr>
          <w:rFonts w:ascii="Times New Roman" w:hAnsi="Times New Roman"/>
          <w:lang w:val="sr-Latn-BA"/>
        </w:rPr>
        <w:t>двије</w:t>
      </w:r>
      <w:r w:rsidR="00671418" w:rsidRPr="00295637">
        <w:rPr>
          <w:rFonts w:ascii="Times New Roman" w:hAnsi="Times New Roman"/>
          <w:lang w:val="sr-Cyrl-BA"/>
        </w:rPr>
        <w:t xml:space="preserve"> </w:t>
      </w:r>
      <w:r>
        <w:rPr>
          <w:rFonts w:ascii="Times New Roman" w:hAnsi="Times New Roman"/>
          <w:lang w:val="sr-Cyrl-BA"/>
        </w:rPr>
        <w:t>обуке</w:t>
      </w:r>
      <w:r w:rsidR="00671418" w:rsidRPr="00295637">
        <w:rPr>
          <w:rFonts w:ascii="Times New Roman" w:hAnsi="Times New Roman"/>
          <w:lang w:val="sr-Cyrl-BA"/>
        </w:rPr>
        <w:t xml:space="preserve"> </w:t>
      </w:r>
      <w:r>
        <w:rPr>
          <w:rFonts w:ascii="Times New Roman" w:hAnsi="Times New Roman"/>
          <w:lang w:val="sr-Cyrl-BA"/>
        </w:rPr>
        <w:t>за</w:t>
      </w:r>
      <w:r w:rsidR="00671418" w:rsidRPr="00295637">
        <w:rPr>
          <w:rFonts w:ascii="Times New Roman" w:hAnsi="Times New Roman"/>
          <w:lang w:val="sr-Cyrl-BA"/>
        </w:rPr>
        <w:t xml:space="preserve"> </w:t>
      </w:r>
      <w:r>
        <w:rPr>
          <w:rFonts w:ascii="Times New Roman" w:hAnsi="Times New Roman"/>
          <w:lang w:val="sr-Cyrl-BA"/>
        </w:rPr>
        <w:t>израду</w:t>
      </w:r>
      <w:r w:rsidR="00671418" w:rsidRPr="00295637">
        <w:rPr>
          <w:rFonts w:ascii="Times New Roman" w:hAnsi="Times New Roman"/>
          <w:lang w:val="sr-Cyrl-BA"/>
        </w:rPr>
        <w:t xml:space="preserve"> </w:t>
      </w:r>
      <w:r>
        <w:rPr>
          <w:rFonts w:ascii="Times New Roman" w:hAnsi="Times New Roman"/>
          <w:lang w:val="sr-Cyrl-BA"/>
        </w:rPr>
        <w:t>ЛГАП</w:t>
      </w:r>
      <w:r w:rsidR="00671418" w:rsidRPr="00295637">
        <w:rPr>
          <w:rFonts w:ascii="Times New Roman" w:hAnsi="Times New Roman"/>
          <w:lang w:val="sr-Cyrl-BA"/>
        </w:rPr>
        <w:t xml:space="preserve"> </w:t>
      </w:r>
      <w:r>
        <w:rPr>
          <w:rFonts w:ascii="Times New Roman" w:hAnsi="Times New Roman"/>
          <w:lang w:val="sr-Cyrl-BA"/>
        </w:rPr>
        <w:t>у</w:t>
      </w:r>
      <w:r w:rsidR="00671418" w:rsidRPr="00295637">
        <w:rPr>
          <w:rFonts w:ascii="Times New Roman" w:hAnsi="Times New Roman"/>
          <w:lang w:val="sr-Cyrl-BA"/>
        </w:rPr>
        <w:t xml:space="preserve"> 16 </w:t>
      </w:r>
      <w:r>
        <w:rPr>
          <w:rFonts w:ascii="Times New Roman" w:hAnsi="Times New Roman"/>
          <w:lang w:val="sr-Cyrl-BA"/>
        </w:rPr>
        <w:t>ЈЛС</w:t>
      </w:r>
      <w:r w:rsidR="00671418" w:rsidRPr="00295637">
        <w:rPr>
          <w:rFonts w:ascii="Times New Roman" w:hAnsi="Times New Roman"/>
          <w:lang w:val="sr-Cyrl-BA"/>
        </w:rPr>
        <w:t xml:space="preserve"> </w:t>
      </w:r>
      <w:r>
        <w:rPr>
          <w:rFonts w:ascii="Times New Roman" w:hAnsi="Times New Roman"/>
          <w:lang w:val="sr-Cyrl-BA"/>
        </w:rPr>
        <w:t>на</w:t>
      </w:r>
      <w:r w:rsidR="00671418" w:rsidRPr="00295637">
        <w:rPr>
          <w:rFonts w:ascii="Times New Roman" w:hAnsi="Times New Roman"/>
          <w:lang w:val="sr-Cyrl-BA"/>
        </w:rPr>
        <w:t xml:space="preserve"> </w:t>
      </w:r>
      <w:r>
        <w:rPr>
          <w:rFonts w:ascii="Times New Roman" w:hAnsi="Times New Roman"/>
          <w:lang w:val="sr-Cyrl-BA"/>
        </w:rPr>
        <w:t>позив</w:t>
      </w:r>
      <w:r w:rsidR="00671418" w:rsidRPr="00295637">
        <w:rPr>
          <w:rFonts w:ascii="Times New Roman" w:hAnsi="Times New Roman"/>
          <w:lang w:val="sr-Cyrl-BA"/>
        </w:rPr>
        <w:t xml:space="preserve"> </w:t>
      </w:r>
      <w:r>
        <w:rPr>
          <w:rFonts w:ascii="Times New Roman" w:hAnsi="Times New Roman"/>
          <w:lang w:val="sr-Cyrl-BA"/>
        </w:rPr>
        <w:t>Савеза</w:t>
      </w:r>
      <w:r w:rsidR="00671418" w:rsidRPr="00295637">
        <w:rPr>
          <w:rFonts w:ascii="Times New Roman" w:hAnsi="Times New Roman"/>
          <w:lang w:val="sr-Cyrl-BA"/>
        </w:rPr>
        <w:t xml:space="preserve"> </w:t>
      </w:r>
      <w:r>
        <w:rPr>
          <w:rFonts w:ascii="Times New Roman" w:hAnsi="Times New Roman"/>
          <w:lang w:val="sr-Cyrl-BA"/>
        </w:rPr>
        <w:t>оп</w:t>
      </w:r>
      <w:r w:rsidR="00AE7372">
        <w:rPr>
          <w:rFonts w:ascii="Times New Roman" w:hAnsi="Times New Roman"/>
          <w:lang w:val="sr-Cyrl-BA"/>
        </w:rPr>
        <w:t>шт</w:t>
      </w:r>
      <w:r>
        <w:rPr>
          <w:rFonts w:ascii="Times New Roman" w:hAnsi="Times New Roman"/>
          <w:lang w:val="sr-Cyrl-BA"/>
        </w:rPr>
        <w:t>ина</w:t>
      </w:r>
      <w:r w:rsidR="00671418" w:rsidRPr="00295637">
        <w:rPr>
          <w:rFonts w:ascii="Times New Roman" w:hAnsi="Times New Roman"/>
          <w:lang w:val="sr-Cyrl-BA"/>
        </w:rPr>
        <w:t xml:space="preserve"> </w:t>
      </w:r>
      <w:r>
        <w:rPr>
          <w:rFonts w:ascii="Times New Roman" w:hAnsi="Times New Roman"/>
          <w:lang w:val="sr-Cyrl-BA"/>
        </w:rPr>
        <w:t>и</w:t>
      </w:r>
      <w:r w:rsidR="00671418" w:rsidRPr="00295637">
        <w:rPr>
          <w:rFonts w:ascii="Times New Roman" w:hAnsi="Times New Roman"/>
          <w:lang w:val="sr-Cyrl-BA"/>
        </w:rPr>
        <w:t xml:space="preserve"> </w:t>
      </w:r>
      <w:r>
        <w:rPr>
          <w:rFonts w:ascii="Times New Roman" w:hAnsi="Times New Roman"/>
          <w:lang w:val="sr-Cyrl-BA"/>
        </w:rPr>
        <w:t>градова</w:t>
      </w:r>
      <w:r w:rsidR="00671418" w:rsidRPr="00295637">
        <w:rPr>
          <w:rFonts w:ascii="Times New Roman" w:hAnsi="Times New Roman"/>
          <w:lang w:val="sr-Cyrl-BA"/>
        </w:rPr>
        <w:t xml:space="preserve"> </w:t>
      </w:r>
      <w:r>
        <w:rPr>
          <w:rFonts w:ascii="Times New Roman" w:hAnsi="Times New Roman"/>
          <w:lang w:val="sr-Cyrl-BA"/>
        </w:rPr>
        <w:t>РС</w:t>
      </w:r>
      <w:r w:rsidR="00671418" w:rsidRPr="00295637">
        <w:rPr>
          <w:rFonts w:ascii="Times New Roman" w:hAnsi="Times New Roman"/>
          <w:lang w:val="sr-Latn-BA"/>
        </w:rPr>
        <w:t>.</w:t>
      </w:r>
    </w:p>
    <w:p w:rsidR="00671418" w:rsidRPr="00295637" w:rsidRDefault="00671418" w:rsidP="0086268D">
      <w:pPr>
        <w:pStyle w:val="ListParagraph"/>
        <w:ind w:left="0"/>
        <w:jc w:val="both"/>
        <w:rPr>
          <w:rFonts w:ascii="Times New Roman" w:hAnsi="Times New Roman"/>
          <w:lang w:val="sr-Latn-BA"/>
        </w:rPr>
      </w:pPr>
    </w:p>
    <w:p w:rsidR="00485AB7" w:rsidRPr="00485AB7" w:rsidRDefault="00C6214E" w:rsidP="005E0A29">
      <w:pPr>
        <w:jc w:val="both"/>
        <w:rPr>
          <w:rFonts w:ascii="Times New Roman" w:hAnsi="Times New Roman"/>
          <w:lang w:val="sr-Cyrl-BA"/>
        </w:rPr>
      </w:pPr>
      <w:r>
        <w:rPr>
          <w:rFonts w:ascii="Times New Roman" w:hAnsi="Times New Roman"/>
          <w:lang w:val="hr-HR"/>
        </w:rPr>
        <w:t>Током</w:t>
      </w:r>
      <w:r w:rsidR="00671418" w:rsidRPr="00295637">
        <w:rPr>
          <w:rFonts w:ascii="Times New Roman" w:hAnsi="Times New Roman"/>
          <w:lang w:val="sr-Cyrl-BA"/>
        </w:rPr>
        <w:t xml:space="preserve"> 2024. </w:t>
      </w:r>
      <w:r>
        <w:rPr>
          <w:rFonts w:ascii="Times New Roman" w:hAnsi="Times New Roman"/>
          <w:lang w:val="sr-Cyrl-BA"/>
        </w:rPr>
        <w:t>године</w:t>
      </w:r>
      <w:r w:rsidR="00671418" w:rsidRPr="00295637">
        <w:rPr>
          <w:rFonts w:ascii="Times New Roman" w:hAnsi="Times New Roman"/>
          <w:lang w:val="sr-Cyrl-BA"/>
        </w:rPr>
        <w:t xml:space="preserve"> </w:t>
      </w:r>
      <w:r>
        <w:rPr>
          <w:rFonts w:ascii="Times New Roman" w:hAnsi="Times New Roman"/>
          <w:lang w:val="sr-Cyrl-BA"/>
        </w:rPr>
        <w:t>послан</w:t>
      </w:r>
      <w:r w:rsidR="00671418" w:rsidRPr="00295637">
        <w:rPr>
          <w:rFonts w:ascii="Times New Roman" w:hAnsi="Times New Roman"/>
          <w:lang w:val="sr-Cyrl-BA"/>
        </w:rPr>
        <w:t xml:space="preserve"> </w:t>
      </w:r>
      <w:r>
        <w:rPr>
          <w:rFonts w:ascii="Times New Roman" w:hAnsi="Times New Roman"/>
          <w:lang w:val="sr-Cyrl-BA"/>
        </w:rPr>
        <w:t>је</w:t>
      </w:r>
      <w:r w:rsidR="00671418" w:rsidRPr="00295637">
        <w:rPr>
          <w:rFonts w:ascii="Times New Roman" w:hAnsi="Times New Roman"/>
          <w:lang w:val="sr-Cyrl-BA"/>
        </w:rPr>
        <w:t xml:space="preserve"> </w:t>
      </w:r>
      <w:r>
        <w:rPr>
          <w:rFonts w:ascii="Times New Roman" w:hAnsi="Times New Roman"/>
          <w:lang w:val="sr-Cyrl-BA"/>
        </w:rPr>
        <w:t>позив</w:t>
      </w:r>
      <w:r w:rsidR="00671418" w:rsidRPr="00295637">
        <w:rPr>
          <w:rFonts w:ascii="Times New Roman" w:hAnsi="Times New Roman"/>
          <w:lang w:val="sr-Cyrl-BA"/>
        </w:rPr>
        <w:t xml:space="preserve"> </w:t>
      </w:r>
      <w:r>
        <w:rPr>
          <w:rFonts w:ascii="Times New Roman" w:hAnsi="Times New Roman"/>
          <w:lang w:val="sr-Cyrl-BA"/>
        </w:rPr>
        <w:t>свим</w:t>
      </w:r>
      <w:r w:rsidR="00671418" w:rsidRPr="00295637">
        <w:rPr>
          <w:rFonts w:ascii="Times New Roman" w:hAnsi="Times New Roman"/>
          <w:lang w:val="sr-Cyrl-BA"/>
        </w:rPr>
        <w:t xml:space="preserve"> </w:t>
      </w:r>
      <w:r>
        <w:rPr>
          <w:rFonts w:ascii="Times New Roman" w:hAnsi="Times New Roman"/>
          <w:lang w:val="sr-Cyrl-BA"/>
        </w:rPr>
        <w:t>јединицама</w:t>
      </w:r>
      <w:r w:rsidR="00671418" w:rsidRPr="00295637">
        <w:rPr>
          <w:rFonts w:ascii="Times New Roman" w:hAnsi="Times New Roman"/>
          <w:lang w:val="sr-Cyrl-BA"/>
        </w:rPr>
        <w:t xml:space="preserve"> </w:t>
      </w:r>
      <w:r>
        <w:rPr>
          <w:rFonts w:ascii="Times New Roman" w:hAnsi="Times New Roman"/>
          <w:lang w:val="sr-Cyrl-BA"/>
        </w:rPr>
        <w:t>локалне</w:t>
      </w:r>
      <w:r w:rsidR="00671418" w:rsidRPr="00295637">
        <w:rPr>
          <w:rFonts w:ascii="Times New Roman" w:hAnsi="Times New Roman"/>
          <w:lang w:val="sr-Cyrl-BA"/>
        </w:rPr>
        <w:t xml:space="preserve"> </w:t>
      </w:r>
      <w:r>
        <w:rPr>
          <w:rFonts w:ascii="Times New Roman" w:hAnsi="Times New Roman"/>
          <w:lang w:val="sr-Cyrl-BA"/>
        </w:rPr>
        <w:t>самоуправе</w:t>
      </w:r>
      <w:r w:rsidR="00671418" w:rsidRPr="00295637">
        <w:rPr>
          <w:rFonts w:ascii="Times New Roman" w:hAnsi="Times New Roman"/>
          <w:lang w:val="sr-Cyrl-BA"/>
        </w:rPr>
        <w:t xml:space="preserve"> </w:t>
      </w:r>
      <w:r>
        <w:rPr>
          <w:rFonts w:ascii="Times New Roman" w:hAnsi="Times New Roman"/>
          <w:lang w:val="sr-Cyrl-BA"/>
        </w:rPr>
        <w:t>РС</w:t>
      </w:r>
      <w:r w:rsidR="00671418" w:rsidRPr="00295637">
        <w:rPr>
          <w:rFonts w:ascii="Times New Roman" w:hAnsi="Times New Roman"/>
          <w:lang w:val="sr-Cyrl-BA"/>
        </w:rPr>
        <w:t xml:space="preserve"> </w:t>
      </w:r>
      <w:r>
        <w:rPr>
          <w:rFonts w:ascii="Times New Roman" w:hAnsi="Times New Roman"/>
          <w:lang w:val="sr-Cyrl-BA"/>
        </w:rPr>
        <w:t>да</w:t>
      </w:r>
      <w:r w:rsidR="00671418" w:rsidRPr="00295637">
        <w:rPr>
          <w:rFonts w:ascii="Times New Roman" w:hAnsi="Times New Roman"/>
          <w:lang w:val="sr-Cyrl-BA"/>
        </w:rPr>
        <w:t xml:space="preserve"> </w:t>
      </w:r>
      <w:r>
        <w:rPr>
          <w:rFonts w:ascii="Times New Roman" w:hAnsi="Times New Roman"/>
          <w:lang w:val="sr-Cyrl-BA"/>
        </w:rPr>
        <w:t>доставе</w:t>
      </w:r>
      <w:r w:rsidR="00671418" w:rsidRPr="00295637">
        <w:rPr>
          <w:rFonts w:ascii="Times New Roman" w:hAnsi="Times New Roman"/>
          <w:lang w:val="sr-Cyrl-BA"/>
        </w:rPr>
        <w:t xml:space="preserve"> </w:t>
      </w:r>
      <w:r>
        <w:rPr>
          <w:rFonts w:ascii="Times New Roman" w:hAnsi="Times New Roman"/>
          <w:lang w:val="sr-Cyrl-BA"/>
        </w:rPr>
        <w:t>податке</w:t>
      </w:r>
      <w:r w:rsidR="00671418" w:rsidRPr="00295637">
        <w:rPr>
          <w:rFonts w:ascii="Times New Roman" w:hAnsi="Times New Roman"/>
          <w:lang w:val="sr-Cyrl-BA"/>
        </w:rPr>
        <w:t xml:space="preserve"> </w:t>
      </w:r>
      <w:r>
        <w:rPr>
          <w:rFonts w:ascii="Times New Roman" w:hAnsi="Times New Roman"/>
          <w:lang w:val="sr-Cyrl-BA"/>
        </w:rPr>
        <w:t>о</w:t>
      </w:r>
      <w:r w:rsidR="00671418" w:rsidRPr="00295637">
        <w:rPr>
          <w:rFonts w:ascii="Times New Roman" w:hAnsi="Times New Roman"/>
          <w:lang w:val="sr-Cyrl-BA"/>
        </w:rPr>
        <w:t xml:space="preserve"> </w:t>
      </w:r>
      <w:r>
        <w:rPr>
          <w:rFonts w:ascii="Times New Roman" w:hAnsi="Times New Roman"/>
          <w:lang w:val="sr-Cyrl-BA"/>
        </w:rPr>
        <w:t>стању</w:t>
      </w:r>
      <w:r w:rsidR="00671418" w:rsidRPr="00295637">
        <w:rPr>
          <w:rFonts w:ascii="Times New Roman" w:hAnsi="Times New Roman"/>
          <w:lang w:val="sr-Cyrl-BA"/>
        </w:rPr>
        <w:t xml:space="preserve"> </w:t>
      </w:r>
      <w:r>
        <w:rPr>
          <w:rFonts w:ascii="Times New Roman" w:hAnsi="Times New Roman"/>
          <w:lang w:val="sr-Cyrl-BA"/>
        </w:rPr>
        <w:t>равноправности</w:t>
      </w:r>
      <w:r w:rsidR="00671418" w:rsidRPr="00295637">
        <w:rPr>
          <w:rFonts w:ascii="Times New Roman" w:hAnsi="Times New Roman"/>
          <w:lang w:val="sr-Cyrl-BA"/>
        </w:rPr>
        <w:t xml:space="preserve"> </w:t>
      </w:r>
      <w:r>
        <w:rPr>
          <w:rFonts w:ascii="Times New Roman" w:hAnsi="Times New Roman"/>
          <w:lang w:val="sr-Cyrl-BA"/>
        </w:rPr>
        <w:t>полова</w:t>
      </w:r>
      <w:r w:rsidR="00671418" w:rsidRPr="00295637">
        <w:rPr>
          <w:rFonts w:ascii="Times New Roman" w:hAnsi="Times New Roman"/>
          <w:lang w:val="sr-Cyrl-BA"/>
        </w:rPr>
        <w:t xml:space="preserve"> </w:t>
      </w:r>
      <w:r>
        <w:rPr>
          <w:rFonts w:ascii="Times New Roman" w:hAnsi="Times New Roman"/>
          <w:lang w:val="sr-Cyrl-BA"/>
        </w:rPr>
        <w:t>у</w:t>
      </w:r>
      <w:r w:rsidR="00671418" w:rsidRPr="00295637">
        <w:rPr>
          <w:rFonts w:ascii="Times New Roman" w:hAnsi="Times New Roman"/>
          <w:lang w:val="sr-Cyrl-BA"/>
        </w:rPr>
        <w:t xml:space="preserve"> </w:t>
      </w:r>
      <w:r>
        <w:rPr>
          <w:rFonts w:ascii="Times New Roman" w:hAnsi="Times New Roman"/>
          <w:lang w:val="sr-Cyrl-BA"/>
        </w:rPr>
        <w:t>РС</w:t>
      </w:r>
      <w:r w:rsidR="000718D6" w:rsidRPr="00295637">
        <w:rPr>
          <w:rFonts w:ascii="Times New Roman" w:hAnsi="Times New Roman"/>
          <w:lang w:val="bs-Latn-BA"/>
        </w:rPr>
        <w:t>,</w:t>
      </w:r>
      <w:r w:rsidR="00671418" w:rsidRPr="00295637">
        <w:rPr>
          <w:rFonts w:ascii="Times New Roman" w:hAnsi="Times New Roman"/>
          <w:lang w:val="sr-Cyrl-BA"/>
        </w:rPr>
        <w:t xml:space="preserve"> </w:t>
      </w:r>
      <w:r>
        <w:rPr>
          <w:rFonts w:ascii="Times New Roman" w:hAnsi="Times New Roman"/>
          <w:lang w:val="sr-Cyrl-BA"/>
        </w:rPr>
        <w:t>као</w:t>
      </w:r>
      <w:r w:rsidR="00671418" w:rsidRPr="00295637">
        <w:rPr>
          <w:rFonts w:ascii="Times New Roman" w:hAnsi="Times New Roman"/>
          <w:lang w:val="sr-Cyrl-BA"/>
        </w:rPr>
        <w:t xml:space="preserve"> </w:t>
      </w:r>
      <w:r>
        <w:rPr>
          <w:rFonts w:ascii="Times New Roman" w:hAnsi="Times New Roman"/>
          <w:lang w:val="sr-Cyrl-BA"/>
        </w:rPr>
        <w:t>и</w:t>
      </w:r>
      <w:r w:rsidR="00671418" w:rsidRPr="00295637">
        <w:rPr>
          <w:rFonts w:ascii="Times New Roman" w:hAnsi="Times New Roman"/>
          <w:lang w:val="sr-Cyrl-BA"/>
        </w:rPr>
        <w:t xml:space="preserve"> </w:t>
      </w:r>
      <w:r>
        <w:rPr>
          <w:rFonts w:ascii="Times New Roman" w:hAnsi="Times New Roman"/>
          <w:lang w:val="sr-Cyrl-BA"/>
        </w:rPr>
        <w:t>податке</w:t>
      </w:r>
      <w:r w:rsidR="00671418" w:rsidRPr="00295637">
        <w:rPr>
          <w:rFonts w:ascii="Times New Roman" w:hAnsi="Times New Roman"/>
          <w:lang w:val="sr-Cyrl-BA"/>
        </w:rPr>
        <w:t xml:space="preserve"> </w:t>
      </w:r>
      <w:r>
        <w:rPr>
          <w:rFonts w:ascii="Times New Roman" w:hAnsi="Times New Roman"/>
          <w:lang w:val="sr-Cyrl-BA"/>
        </w:rPr>
        <w:t>о</w:t>
      </w:r>
      <w:r w:rsidR="00671418" w:rsidRPr="00295637">
        <w:rPr>
          <w:rFonts w:ascii="Times New Roman" w:hAnsi="Times New Roman"/>
          <w:lang w:val="sr-Cyrl-BA"/>
        </w:rPr>
        <w:t xml:space="preserve"> </w:t>
      </w:r>
      <w:r>
        <w:rPr>
          <w:rFonts w:ascii="Times New Roman" w:hAnsi="Times New Roman"/>
          <w:lang w:val="sr-Cyrl-BA"/>
        </w:rPr>
        <w:t>усвојеним</w:t>
      </w:r>
      <w:r w:rsidR="00671418" w:rsidRPr="00295637">
        <w:rPr>
          <w:rFonts w:ascii="Times New Roman" w:hAnsi="Times New Roman"/>
          <w:lang w:val="sr-Cyrl-BA"/>
        </w:rPr>
        <w:t>/</w:t>
      </w:r>
      <w:r>
        <w:rPr>
          <w:rFonts w:ascii="Times New Roman" w:hAnsi="Times New Roman"/>
          <w:lang w:val="sr-Cyrl-BA"/>
        </w:rPr>
        <w:t>неусвојеним</w:t>
      </w:r>
      <w:r w:rsidR="00671418" w:rsidRPr="00295637">
        <w:rPr>
          <w:rFonts w:ascii="Times New Roman" w:hAnsi="Times New Roman"/>
          <w:lang w:val="sr-Cyrl-BA"/>
        </w:rPr>
        <w:t xml:space="preserve"> </w:t>
      </w:r>
      <w:r>
        <w:rPr>
          <w:rFonts w:ascii="Times New Roman" w:hAnsi="Times New Roman"/>
          <w:lang w:val="sr-Cyrl-BA"/>
        </w:rPr>
        <w:t>локалним</w:t>
      </w:r>
      <w:r w:rsidR="00671418"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оним</w:t>
      </w:r>
      <w:r w:rsidR="00671418" w:rsidRPr="00295637">
        <w:rPr>
          <w:rFonts w:ascii="Times New Roman" w:hAnsi="Times New Roman"/>
          <w:lang w:val="sr-Cyrl-BA"/>
        </w:rPr>
        <w:t xml:space="preserve"> </w:t>
      </w:r>
      <w:r>
        <w:rPr>
          <w:rFonts w:ascii="Times New Roman" w:hAnsi="Times New Roman"/>
          <w:lang w:val="sr-Cyrl-BA"/>
        </w:rPr>
        <w:t>плановима</w:t>
      </w:r>
      <w:r w:rsidR="00671418" w:rsidRPr="00295637">
        <w:rPr>
          <w:rFonts w:ascii="Times New Roman" w:hAnsi="Times New Roman"/>
          <w:lang w:val="sr-Cyrl-BA"/>
        </w:rPr>
        <w:t xml:space="preserve"> </w:t>
      </w:r>
      <w:r>
        <w:rPr>
          <w:rFonts w:ascii="Times New Roman" w:hAnsi="Times New Roman"/>
          <w:lang w:val="sr-Cyrl-BA"/>
        </w:rPr>
        <w:t>за</w:t>
      </w:r>
      <w:r w:rsidR="00671418" w:rsidRPr="00295637">
        <w:rPr>
          <w:rFonts w:ascii="Times New Roman" w:hAnsi="Times New Roman"/>
          <w:lang w:val="sr-Cyrl-BA"/>
        </w:rPr>
        <w:t xml:space="preserve"> </w:t>
      </w:r>
      <w:r>
        <w:rPr>
          <w:rFonts w:ascii="Times New Roman" w:hAnsi="Times New Roman"/>
          <w:lang w:val="sr-Cyrl-BA"/>
        </w:rPr>
        <w:t>равноправност</w:t>
      </w:r>
      <w:r w:rsidR="00671418" w:rsidRPr="00295637">
        <w:rPr>
          <w:rFonts w:ascii="Times New Roman" w:hAnsi="Times New Roman"/>
          <w:lang w:val="sr-Cyrl-BA"/>
        </w:rPr>
        <w:t xml:space="preserve"> </w:t>
      </w:r>
      <w:r>
        <w:rPr>
          <w:rFonts w:ascii="Times New Roman" w:hAnsi="Times New Roman"/>
          <w:lang w:val="sr-Cyrl-BA"/>
        </w:rPr>
        <w:t>полова</w:t>
      </w:r>
      <w:r w:rsidR="00671418" w:rsidRPr="00295637">
        <w:rPr>
          <w:rFonts w:ascii="Times New Roman" w:hAnsi="Times New Roman"/>
          <w:lang w:val="sr-Cyrl-BA"/>
        </w:rPr>
        <w:t xml:space="preserve">. </w:t>
      </w:r>
      <w:r>
        <w:rPr>
          <w:rFonts w:ascii="Times New Roman" w:hAnsi="Times New Roman"/>
          <w:lang w:val="sr-Cyrl-BA"/>
        </w:rPr>
        <w:t>Ови</w:t>
      </w:r>
      <w:r w:rsidR="00671418" w:rsidRPr="00295637">
        <w:rPr>
          <w:rFonts w:ascii="Times New Roman" w:hAnsi="Times New Roman"/>
          <w:lang w:val="sr-Cyrl-BA"/>
        </w:rPr>
        <w:t xml:space="preserve"> </w:t>
      </w:r>
      <w:r>
        <w:rPr>
          <w:rFonts w:ascii="Times New Roman" w:hAnsi="Times New Roman"/>
          <w:lang w:val="sr-Cyrl-BA"/>
        </w:rPr>
        <w:t>подаци</w:t>
      </w:r>
      <w:r w:rsidR="00671418" w:rsidRPr="00295637">
        <w:rPr>
          <w:rFonts w:ascii="Times New Roman" w:hAnsi="Times New Roman"/>
          <w:lang w:val="sr-Cyrl-BA"/>
        </w:rPr>
        <w:t xml:space="preserve"> </w:t>
      </w:r>
      <w:r w:rsidR="00AE7372">
        <w:rPr>
          <w:rFonts w:ascii="Times New Roman" w:hAnsi="Times New Roman"/>
          <w:lang w:val="sr-Cyrl-BA"/>
        </w:rPr>
        <w:t>ће бити</w:t>
      </w:r>
      <w:r w:rsidR="00EF0601" w:rsidRPr="00295637">
        <w:rPr>
          <w:rFonts w:ascii="Times New Roman" w:hAnsi="Times New Roman"/>
          <w:lang w:val="sr-Cyrl-BA"/>
        </w:rPr>
        <w:t xml:space="preserve"> </w:t>
      </w:r>
      <w:r>
        <w:rPr>
          <w:rFonts w:ascii="Times New Roman" w:hAnsi="Times New Roman"/>
          <w:lang w:val="sr-Cyrl-BA"/>
        </w:rPr>
        <w:t>кориш</w:t>
      </w:r>
      <w:r w:rsidR="00AE7372">
        <w:rPr>
          <w:rFonts w:ascii="Times New Roman" w:hAnsi="Times New Roman"/>
          <w:lang w:val="sr-Cyrl-BA"/>
        </w:rPr>
        <w:t>ћ</w:t>
      </w:r>
      <w:r>
        <w:rPr>
          <w:rFonts w:ascii="Times New Roman" w:hAnsi="Times New Roman"/>
          <w:lang w:val="sr-Cyrl-BA"/>
        </w:rPr>
        <w:t>ени</w:t>
      </w:r>
      <w:r w:rsidR="00671418" w:rsidRPr="00295637">
        <w:rPr>
          <w:rFonts w:ascii="Times New Roman" w:hAnsi="Times New Roman"/>
          <w:lang w:val="sr-Cyrl-BA"/>
        </w:rPr>
        <w:t xml:space="preserve"> </w:t>
      </w:r>
      <w:r>
        <w:rPr>
          <w:rFonts w:ascii="Times New Roman" w:hAnsi="Times New Roman"/>
          <w:lang w:val="sr-Cyrl-BA"/>
        </w:rPr>
        <w:t>за</w:t>
      </w:r>
      <w:r w:rsidR="00671418" w:rsidRPr="00295637">
        <w:rPr>
          <w:rFonts w:ascii="Times New Roman" w:hAnsi="Times New Roman"/>
          <w:lang w:val="sr-Cyrl-BA"/>
        </w:rPr>
        <w:t xml:space="preserve"> </w:t>
      </w:r>
      <w:r>
        <w:rPr>
          <w:rFonts w:ascii="Times New Roman" w:hAnsi="Times New Roman"/>
          <w:lang w:val="sr-Cyrl-BA"/>
        </w:rPr>
        <w:t>планирање</w:t>
      </w:r>
      <w:r w:rsidR="00671418" w:rsidRPr="00295637">
        <w:rPr>
          <w:rFonts w:ascii="Times New Roman" w:hAnsi="Times New Roman"/>
          <w:lang w:val="sr-Cyrl-BA"/>
        </w:rPr>
        <w:t xml:space="preserve"> </w:t>
      </w:r>
      <w:r>
        <w:rPr>
          <w:rFonts w:ascii="Times New Roman" w:hAnsi="Times New Roman"/>
          <w:lang w:val="sr-Cyrl-BA"/>
        </w:rPr>
        <w:t>будућих</w:t>
      </w:r>
      <w:r w:rsidR="00671418" w:rsidRPr="00295637">
        <w:rPr>
          <w:rFonts w:ascii="Times New Roman" w:hAnsi="Times New Roman"/>
          <w:lang w:val="sr-Cyrl-BA"/>
        </w:rPr>
        <w:t xml:space="preserve"> </w:t>
      </w:r>
      <w:r>
        <w:rPr>
          <w:rFonts w:ascii="Times New Roman" w:hAnsi="Times New Roman"/>
          <w:lang w:val="sr-Cyrl-BA"/>
        </w:rPr>
        <w:t>активности</w:t>
      </w:r>
      <w:r w:rsidR="00671418" w:rsidRPr="00295637">
        <w:rPr>
          <w:rFonts w:ascii="Times New Roman" w:hAnsi="Times New Roman"/>
          <w:lang w:val="sr-Cyrl-BA"/>
        </w:rPr>
        <w:t xml:space="preserve"> </w:t>
      </w:r>
      <w:r>
        <w:rPr>
          <w:rFonts w:ascii="Times New Roman" w:hAnsi="Times New Roman"/>
          <w:lang w:val="sr-Cyrl-BA"/>
        </w:rPr>
        <w:t>у</w:t>
      </w:r>
      <w:r w:rsidR="00671418" w:rsidRPr="00295637">
        <w:rPr>
          <w:rFonts w:ascii="Times New Roman" w:hAnsi="Times New Roman"/>
          <w:lang w:val="sr-Cyrl-BA"/>
        </w:rPr>
        <w:t xml:space="preserve"> </w:t>
      </w:r>
      <w:r>
        <w:rPr>
          <w:rFonts w:ascii="Times New Roman" w:hAnsi="Times New Roman"/>
          <w:lang w:val="sr-Cyrl-BA"/>
        </w:rPr>
        <w:t>РС</w:t>
      </w:r>
      <w:r w:rsidR="00671418" w:rsidRPr="00295637">
        <w:rPr>
          <w:rFonts w:ascii="Times New Roman" w:hAnsi="Times New Roman"/>
          <w:lang w:val="sr-Cyrl-BA"/>
        </w:rPr>
        <w:t xml:space="preserve"> </w:t>
      </w:r>
      <w:r>
        <w:rPr>
          <w:rFonts w:ascii="Times New Roman" w:hAnsi="Times New Roman"/>
          <w:lang w:val="sr-Cyrl-BA"/>
        </w:rPr>
        <w:t>и</w:t>
      </w:r>
      <w:r w:rsidR="00671418" w:rsidRPr="00295637">
        <w:rPr>
          <w:rFonts w:ascii="Times New Roman" w:hAnsi="Times New Roman"/>
          <w:lang w:val="sr-Cyrl-BA"/>
        </w:rPr>
        <w:t xml:space="preserve"> </w:t>
      </w:r>
      <w:r>
        <w:rPr>
          <w:rFonts w:ascii="Times New Roman" w:hAnsi="Times New Roman"/>
          <w:lang w:val="sr-Cyrl-BA"/>
        </w:rPr>
        <w:t>јачању</w:t>
      </w:r>
      <w:r w:rsidR="00671418"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Pr>
          <w:rFonts w:ascii="Times New Roman" w:hAnsi="Times New Roman"/>
          <w:lang w:val="sr-Cyrl-BA"/>
        </w:rPr>
        <w:t>радње</w:t>
      </w:r>
      <w:r w:rsidR="00EF0601">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671418" w:rsidRPr="00295637">
        <w:rPr>
          <w:rFonts w:ascii="Times New Roman" w:hAnsi="Times New Roman"/>
          <w:lang w:val="sr-Cyrl-BA"/>
        </w:rPr>
        <w:t xml:space="preserve"> </w:t>
      </w:r>
      <w:r>
        <w:rPr>
          <w:rFonts w:ascii="Times New Roman" w:hAnsi="Times New Roman"/>
          <w:lang w:val="sr-Cyrl-BA"/>
        </w:rPr>
        <w:t>ЈЛС</w:t>
      </w:r>
      <w:r w:rsidR="00671418" w:rsidRPr="00295637">
        <w:rPr>
          <w:rFonts w:ascii="Times New Roman" w:hAnsi="Times New Roman"/>
          <w:lang w:val="sr-Cyrl-BA"/>
        </w:rPr>
        <w:t xml:space="preserve"> </w:t>
      </w:r>
      <w:r>
        <w:rPr>
          <w:rFonts w:ascii="Times New Roman" w:hAnsi="Times New Roman"/>
          <w:lang w:val="sr-Cyrl-BA"/>
        </w:rPr>
        <w:t>у</w:t>
      </w:r>
      <w:r w:rsidR="00671418" w:rsidRPr="00295637">
        <w:rPr>
          <w:rFonts w:ascii="Times New Roman" w:hAnsi="Times New Roman"/>
          <w:lang w:val="sr-Cyrl-BA"/>
        </w:rPr>
        <w:t xml:space="preserve"> </w:t>
      </w:r>
      <w:r>
        <w:rPr>
          <w:rFonts w:ascii="Times New Roman" w:hAnsi="Times New Roman"/>
          <w:lang w:val="sr-Cyrl-BA"/>
        </w:rPr>
        <w:t>РС</w:t>
      </w:r>
      <w:r w:rsidR="00671418" w:rsidRPr="00295637">
        <w:rPr>
          <w:rFonts w:ascii="Times New Roman" w:hAnsi="Times New Roman"/>
          <w:lang w:val="sr-Cyrl-BA"/>
        </w:rPr>
        <w:t>.</w:t>
      </w:r>
      <w:r w:rsidR="00671418" w:rsidRPr="00295637">
        <w:rPr>
          <w:rFonts w:ascii="Times New Roman" w:hAnsi="Times New Roman"/>
          <w:lang w:val="sr-Latn-BA"/>
        </w:rPr>
        <w:t xml:space="preserve"> </w:t>
      </w:r>
      <w:r>
        <w:rPr>
          <w:rFonts w:ascii="Times New Roman" w:hAnsi="Times New Roman"/>
          <w:lang w:val="sr-Cyrl-BA"/>
        </w:rPr>
        <w:t>Израђен</w:t>
      </w:r>
      <w:r w:rsidR="00671418" w:rsidRPr="00295637">
        <w:rPr>
          <w:rFonts w:ascii="Times New Roman" w:hAnsi="Times New Roman"/>
          <w:lang w:val="sr-Latn-BA"/>
        </w:rPr>
        <w:t xml:space="preserve"> </w:t>
      </w:r>
      <w:r>
        <w:rPr>
          <w:rFonts w:ascii="Times New Roman" w:hAnsi="Times New Roman"/>
          <w:lang w:val="sr-Latn-BA"/>
        </w:rPr>
        <w:t>је</w:t>
      </w:r>
      <w:r w:rsidR="00671418"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w:t>
      </w:r>
      <w:r w:rsidR="00671418" w:rsidRPr="00295637">
        <w:rPr>
          <w:rFonts w:ascii="Times New Roman" w:hAnsi="Times New Roman"/>
          <w:lang w:val="sr-Cyrl-BA"/>
        </w:rPr>
        <w:t xml:space="preserve"> </w:t>
      </w:r>
      <w:r>
        <w:rPr>
          <w:rFonts w:ascii="Times New Roman" w:hAnsi="Times New Roman"/>
          <w:lang w:val="sr-Cyrl-BA"/>
        </w:rPr>
        <w:t>за</w:t>
      </w:r>
      <w:r w:rsidR="00671418" w:rsidRPr="00295637">
        <w:rPr>
          <w:rFonts w:ascii="Times New Roman" w:hAnsi="Times New Roman"/>
          <w:lang w:val="sr-Cyrl-BA"/>
        </w:rPr>
        <w:t xml:space="preserve"> </w:t>
      </w:r>
      <w:r>
        <w:rPr>
          <w:rFonts w:ascii="Times New Roman" w:hAnsi="Times New Roman"/>
          <w:lang w:val="sr-Cyrl-BA"/>
        </w:rPr>
        <w:t>примјену</w:t>
      </w:r>
      <w:r w:rsidR="00671418" w:rsidRPr="00295637">
        <w:rPr>
          <w:rFonts w:ascii="Times New Roman" w:hAnsi="Times New Roman"/>
          <w:lang w:val="sr-Cyrl-BA"/>
        </w:rPr>
        <w:t xml:space="preserve"> </w:t>
      </w:r>
      <w:r>
        <w:rPr>
          <w:rFonts w:ascii="Times New Roman" w:hAnsi="Times New Roman"/>
          <w:lang w:val="sr-Cyrl-BA"/>
        </w:rPr>
        <w:t>стандарда</w:t>
      </w:r>
      <w:r w:rsidR="00671418" w:rsidRPr="00295637">
        <w:rPr>
          <w:rFonts w:ascii="Times New Roman" w:hAnsi="Times New Roman"/>
          <w:lang w:val="sr-Cyrl-BA"/>
        </w:rPr>
        <w:t xml:space="preserve"> </w:t>
      </w:r>
      <w:r>
        <w:rPr>
          <w:rFonts w:ascii="Times New Roman" w:hAnsi="Times New Roman"/>
          <w:lang w:val="sr-Cyrl-BA"/>
        </w:rPr>
        <w:t>за</w:t>
      </w:r>
      <w:r w:rsidR="00671418" w:rsidRPr="00295637">
        <w:rPr>
          <w:rFonts w:ascii="Times New Roman" w:hAnsi="Times New Roman"/>
          <w:lang w:val="sr-Cyrl-BA"/>
        </w:rPr>
        <w:t xml:space="preserve"> </w:t>
      </w:r>
      <w:r>
        <w:rPr>
          <w:rFonts w:ascii="Times New Roman" w:hAnsi="Times New Roman"/>
          <w:lang w:val="sr-Cyrl-BA"/>
        </w:rPr>
        <w:t>равноправност</w:t>
      </w:r>
      <w:r w:rsidR="00671418" w:rsidRPr="00295637">
        <w:rPr>
          <w:rFonts w:ascii="Times New Roman" w:hAnsi="Times New Roman"/>
          <w:lang w:val="sr-Cyrl-BA"/>
        </w:rPr>
        <w:t xml:space="preserve"> </w:t>
      </w:r>
      <w:r>
        <w:rPr>
          <w:rFonts w:ascii="Times New Roman" w:hAnsi="Times New Roman"/>
          <w:lang w:val="sr-Cyrl-BA"/>
        </w:rPr>
        <w:t>полова</w:t>
      </w:r>
      <w:r w:rsidR="00671418" w:rsidRPr="00295637">
        <w:rPr>
          <w:rFonts w:ascii="Times New Roman" w:hAnsi="Times New Roman"/>
          <w:lang w:val="sr-Cyrl-BA"/>
        </w:rPr>
        <w:t xml:space="preserve"> </w:t>
      </w:r>
      <w:r>
        <w:rPr>
          <w:rFonts w:ascii="Times New Roman" w:hAnsi="Times New Roman"/>
          <w:lang w:val="sr-Cyrl-BA"/>
        </w:rPr>
        <w:t>на</w:t>
      </w:r>
      <w:r w:rsidR="00671418" w:rsidRPr="00295637">
        <w:rPr>
          <w:rFonts w:ascii="Times New Roman" w:hAnsi="Times New Roman"/>
          <w:lang w:val="sr-Cyrl-BA"/>
        </w:rPr>
        <w:t xml:space="preserve"> </w:t>
      </w:r>
      <w:r>
        <w:rPr>
          <w:rFonts w:ascii="Times New Roman" w:hAnsi="Times New Roman"/>
          <w:lang w:val="sr-Cyrl-BA"/>
        </w:rPr>
        <w:t>локално</w:t>
      </w:r>
      <w:r>
        <w:rPr>
          <w:rFonts w:ascii="Times New Roman" w:hAnsi="Times New Roman"/>
          <w:lang w:val="hr-HR"/>
        </w:rPr>
        <w:t>м</w:t>
      </w:r>
      <w:r w:rsidR="00671418" w:rsidRPr="00295637">
        <w:rPr>
          <w:rFonts w:ascii="Times New Roman" w:hAnsi="Times New Roman"/>
          <w:lang w:val="sr-Cyrl-BA"/>
        </w:rPr>
        <w:t xml:space="preserve"> </w:t>
      </w:r>
      <w:r>
        <w:rPr>
          <w:rFonts w:ascii="Times New Roman" w:hAnsi="Times New Roman"/>
          <w:lang w:val="hr-HR"/>
        </w:rPr>
        <w:t>нивоу</w:t>
      </w:r>
      <w:r w:rsidR="00671418" w:rsidRPr="00295637">
        <w:rPr>
          <w:rFonts w:ascii="Times New Roman" w:hAnsi="Times New Roman"/>
          <w:lang w:val="sr-Cyrl-BA"/>
        </w:rPr>
        <w:t xml:space="preserve"> </w:t>
      </w:r>
      <w:r>
        <w:rPr>
          <w:rFonts w:ascii="Times New Roman" w:hAnsi="Times New Roman"/>
          <w:lang w:val="sr-Cyrl-BA"/>
        </w:rPr>
        <w:t>власти</w:t>
      </w:r>
      <w:r w:rsidR="00AE7372">
        <w:rPr>
          <w:rFonts w:ascii="Times New Roman" w:hAnsi="Times New Roman"/>
          <w:lang w:val="sr-Cyrl-BA"/>
        </w:rPr>
        <w:t>.</w:t>
      </w:r>
    </w:p>
    <w:p w:rsidR="002E6DCD" w:rsidRDefault="002E6DCD" w:rsidP="0086268D">
      <w:pPr>
        <w:rPr>
          <w:rFonts w:ascii="Times New Roman" w:hAnsi="Times New Roman"/>
          <w:szCs w:val="24"/>
          <w:lang w:val="bs-Latn-BA"/>
        </w:rPr>
      </w:pPr>
    </w:p>
    <w:p w:rsidR="00951F48" w:rsidRPr="00295637" w:rsidRDefault="00951F48" w:rsidP="0086268D">
      <w:pPr>
        <w:rPr>
          <w:rFonts w:ascii="Times New Roman" w:hAnsi="Times New Roman"/>
          <w:szCs w:val="24"/>
          <w:lang w:val="bs-Latn-BA"/>
        </w:rPr>
      </w:pPr>
      <w:bookmarkStart w:id="62" w:name="_GoBack"/>
      <w:bookmarkEnd w:id="62"/>
    </w:p>
    <w:p w:rsidR="00356C2C" w:rsidRPr="00295637" w:rsidRDefault="00AE7372" w:rsidP="006C2634">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63" w:name="_Toc332005658"/>
      <w:bookmarkStart w:id="64" w:name="_Toc332010889"/>
      <w:bookmarkStart w:id="65" w:name="_Toc195016603"/>
      <w:r w:rsidRPr="00AE7372">
        <w:rPr>
          <w:rFonts w:ascii="Times New Roman" w:hAnsi="Times New Roman" w:cs="Times New Roman"/>
          <w:color w:val="548DD4" w:themeColor="text2" w:themeTint="99"/>
          <w:lang w:val="bs-Latn-BA" w:eastAsia="bs-Latn-BA"/>
        </w:rPr>
        <w:t>II</w:t>
      </w:r>
      <w:r w:rsidR="006C2634" w:rsidRPr="006C2634">
        <w:rPr>
          <w:rFonts w:ascii="Times New Roman" w:hAnsi="Times New Roman" w:cs="Times New Roman"/>
          <w:color w:val="548DD4" w:themeColor="text2" w:themeTint="99"/>
          <w:lang w:val="bs-Latn-BA" w:eastAsia="bs-Latn-BA"/>
        </w:rPr>
        <w:t xml:space="preserve"> 4.  </w:t>
      </w:r>
      <w:r w:rsidR="00C6214E">
        <w:rPr>
          <w:rFonts w:ascii="Times New Roman" w:hAnsi="Times New Roman" w:cs="Times New Roman"/>
          <w:lang w:val="bs-Latn-BA" w:eastAsia="bs-Latn-BA"/>
        </w:rPr>
        <w:t>Подизање</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свијести</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о</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равноправности</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полова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у</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свим</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сегментима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друштва</w:t>
      </w:r>
      <w:bookmarkEnd w:id="63"/>
      <w:bookmarkEnd w:id="64"/>
      <w:bookmarkEnd w:id="65"/>
    </w:p>
    <w:p w:rsidR="00356C2C" w:rsidRPr="00295637" w:rsidRDefault="00356C2C" w:rsidP="0086268D">
      <w:pPr>
        <w:jc w:val="both"/>
        <w:rPr>
          <w:rFonts w:ascii="Times New Roman" w:hAnsi="Times New Roman"/>
          <w:b/>
          <w:szCs w:val="24"/>
          <w:lang w:val="bs-Latn-BA"/>
        </w:rPr>
      </w:pPr>
    </w:p>
    <w:p w:rsidR="00356C2C" w:rsidRPr="00295637" w:rsidRDefault="00AE7372" w:rsidP="006C2634">
      <w:pPr>
        <w:pStyle w:val="Heading4"/>
        <w:numPr>
          <w:ilvl w:val="0"/>
          <w:numId w:val="0"/>
        </w:numPr>
        <w:spacing w:after="0" w:line="240" w:lineRule="auto"/>
        <w:ind w:left="567"/>
        <w:rPr>
          <w:rFonts w:ascii="Times New Roman" w:hAnsi="Times New Roman" w:cs="Times New Roman"/>
          <w:b w:val="0"/>
          <w:lang w:val="bs-Latn-BA"/>
        </w:rPr>
      </w:pPr>
      <w:r w:rsidRPr="00AE7372">
        <w:rPr>
          <w:rFonts w:ascii="Times New Roman" w:hAnsi="Times New Roman" w:cs="Times New Roman"/>
          <w:b w:val="0"/>
          <w:lang w:val="bs-Latn-BA"/>
        </w:rPr>
        <w:t>II</w:t>
      </w:r>
      <w:r w:rsidR="006C2634">
        <w:rPr>
          <w:rFonts w:ascii="Times New Roman" w:hAnsi="Times New Roman" w:cs="Times New Roman"/>
          <w:b w:val="0"/>
          <w:lang w:val="bs-Latn-BA"/>
        </w:rPr>
        <w:t xml:space="preserve"> 4.1. </w:t>
      </w:r>
      <w:r w:rsidR="00C6214E">
        <w:rPr>
          <w:rFonts w:ascii="Times New Roman" w:hAnsi="Times New Roman" w:cs="Times New Roman"/>
          <w:b w:val="0"/>
          <w:lang w:val="bs-Latn-BA"/>
        </w:rPr>
        <w:t>Подизање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свијести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јавности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кроз</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обиљежавање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значајних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датума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из</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области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356C2C" w:rsidRPr="00295637">
        <w:rPr>
          <w:rFonts w:ascii="Times New Roman" w:hAnsi="Times New Roman" w:cs="Times New Roman"/>
          <w:b w:val="0"/>
          <w:lang w:val="bs-Latn-BA"/>
        </w:rPr>
        <w:t xml:space="preserve"> (</w:t>
      </w:r>
      <w:r>
        <w:rPr>
          <w:rFonts w:ascii="Times New Roman" w:hAnsi="Times New Roman" w:cs="Times New Roman"/>
          <w:b w:val="0"/>
          <w:lang w:val="sr-Cyrl-BA"/>
        </w:rPr>
        <w:t>недјеља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356C2C" w:rsidRPr="00295637">
        <w:rPr>
          <w:rFonts w:ascii="Times New Roman" w:hAnsi="Times New Roman" w:cs="Times New Roman"/>
          <w:b w:val="0"/>
          <w:lang w:val="bs-Latn-BA"/>
        </w:rPr>
        <w:t xml:space="preserve"> „</w:t>
      </w:r>
      <w:r w:rsidRPr="00AE7372">
        <w:rPr>
          <w:rFonts w:ascii="Times New Roman" w:hAnsi="Times New Roman" w:cs="Times New Roman"/>
          <w:b w:val="0"/>
          <w:i/>
          <w:lang w:val="bs-Latn-BA"/>
        </w:rPr>
        <w:t>Gender Week</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међународне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кампање</w:t>
      </w:r>
      <w:r w:rsidR="00356C2C" w:rsidRPr="00295637">
        <w:rPr>
          <w:rFonts w:ascii="Times New Roman" w:hAnsi="Times New Roman" w:cs="Times New Roman"/>
          <w:b w:val="0"/>
          <w:lang w:val="bs-Latn-BA"/>
        </w:rPr>
        <w:t xml:space="preserve"> „16 </w:t>
      </w:r>
      <w:r w:rsidR="00C6214E">
        <w:rPr>
          <w:rFonts w:ascii="Times New Roman" w:hAnsi="Times New Roman" w:cs="Times New Roman"/>
          <w:b w:val="0"/>
          <w:lang w:val="bs-Latn-BA"/>
        </w:rPr>
        <w:t>дана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активизма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борбе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против</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насиља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основу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пола</w:t>
      </w:r>
      <w:r w:rsidR="00356C2C" w:rsidRPr="00295637">
        <w:rPr>
          <w:rFonts w:ascii="Times New Roman" w:hAnsi="Times New Roman" w:cs="Times New Roman"/>
          <w:b w:val="0"/>
          <w:lang w:val="bs-Latn-BA"/>
        </w:rPr>
        <w:t>“, „</w:t>
      </w:r>
      <w:r w:rsidR="00C6214E">
        <w:rPr>
          <w:rFonts w:ascii="Times New Roman" w:hAnsi="Times New Roman" w:cs="Times New Roman"/>
          <w:b w:val="0"/>
          <w:lang w:val="bs-Latn-BA"/>
        </w:rPr>
        <w:t>Генерација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те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осталих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значајних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датума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области</w:t>
      </w:r>
      <w:r w:rsidR="006C2634">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356C2C" w:rsidRPr="00295637">
        <w:rPr>
          <w:rFonts w:ascii="Times New Roman" w:hAnsi="Times New Roman" w:cs="Times New Roman"/>
          <w:b w:val="0"/>
          <w:lang w:val="bs-Latn-BA"/>
        </w:rPr>
        <w:t>).</w:t>
      </w:r>
    </w:p>
    <w:p w:rsidR="009F1105" w:rsidRPr="00295637" w:rsidRDefault="009F1105" w:rsidP="0086268D">
      <w:pPr>
        <w:jc w:val="both"/>
        <w:rPr>
          <w:rFonts w:ascii="Times New Roman" w:hAnsi="Times New Roman"/>
          <w:bCs/>
          <w:szCs w:val="24"/>
          <w:lang w:val="en-US"/>
        </w:rPr>
      </w:pPr>
    </w:p>
    <w:p w:rsidR="000718D6" w:rsidRPr="00295637" w:rsidRDefault="00C6214E" w:rsidP="0086268D">
      <w:pPr>
        <w:jc w:val="both"/>
        <w:rPr>
          <w:rFonts w:ascii="Times New Roman" w:hAnsi="Times New Roman"/>
          <w:lang w:val="sr-Cyrl-BA"/>
        </w:rPr>
      </w:pPr>
      <w:r>
        <w:rPr>
          <w:rFonts w:ascii="Times New Roman" w:hAnsi="Times New Roman"/>
          <w:bCs/>
          <w:szCs w:val="24"/>
          <w:lang w:val="en-US"/>
        </w:rPr>
        <w:t>Објављивањем</w:t>
      </w:r>
      <w:r w:rsidR="00FD27DA" w:rsidRPr="00295637">
        <w:rPr>
          <w:rFonts w:ascii="Times New Roman" w:hAnsi="Times New Roman"/>
          <w:bCs/>
          <w:szCs w:val="24"/>
          <w:lang w:val="en-US"/>
        </w:rPr>
        <w:t xml:space="preserve"> </w:t>
      </w:r>
      <w:r>
        <w:rPr>
          <w:rFonts w:ascii="Times New Roman" w:hAnsi="Times New Roman"/>
          <w:bCs/>
          <w:szCs w:val="24"/>
          <w:lang w:val="en-US"/>
        </w:rPr>
        <w:t>саоп</w:t>
      </w:r>
      <w:r w:rsidR="00AE7372">
        <w:rPr>
          <w:rFonts w:ascii="Times New Roman" w:hAnsi="Times New Roman"/>
          <w:bCs/>
          <w:szCs w:val="24"/>
          <w:lang w:val="sr-Cyrl-BA"/>
        </w:rPr>
        <w:t>шт</w:t>
      </w:r>
      <w:r>
        <w:rPr>
          <w:rFonts w:ascii="Times New Roman" w:hAnsi="Times New Roman"/>
          <w:bCs/>
          <w:szCs w:val="24"/>
          <w:lang w:val="en-US"/>
        </w:rPr>
        <w:t>ења</w:t>
      </w:r>
      <w:r w:rsidR="00FD27DA" w:rsidRPr="00295637">
        <w:rPr>
          <w:rFonts w:ascii="Times New Roman" w:hAnsi="Times New Roman"/>
          <w:bCs/>
          <w:szCs w:val="24"/>
          <w:lang w:val="en-US"/>
        </w:rPr>
        <w:t xml:space="preserve"> </w:t>
      </w:r>
      <w:r>
        <w:rPr>
          <w:rFonts w:ascii="Times New Roman" w:hAnsi="Times New Roman"/>
          <w:bCs/>
          <w:szCs w:val="24"/>
          <w:lang w:val="en-US"/>
        </w:rPr>
        <w:t>и</w:t>
      </w:r>
      <w:r w:rsidR="00FD27DA" w:rsidRPr="00295637">
        <w:rPr>
          <w:rFonts w:ascii="Times New Roman" w:hAnsi="Times New Roman"/>
          <w:bCs/>
          <w:szCs w:val="24"/>
          <w:lang w:val="en-US"/>
        </w:rPr>
        <w:t xml:space="preserve"> </w:t>
      </w:r>
      <w:r>
        <w:rPr>
          <w:rFonts w:ascii="Times New Roman" w:hAnsi="Times New Roman"/>
          <w:bCs/>
          <w:szCs w:val="24"/>
          <w:lang w:val="en-US"/>
        </w:rPr>
        <w:t>повећаним</w:t>
      </w:r>
      <w:r w:rsidR="00FD27DA" w:rsidRPr="00295637">
        <w:rPr>
          <w:rFonts w:ascii="Times New Roman" w:hAnsi="Times New Roman"/>
          <w:bCs/>
          <w:szCs w:val="24"/>
          <w:lang w:val="en-US"/>
        </w:rPr>
        <w:t xml:space="preserve"> </w:t>
      </w:r>
      <w:r>
        <w:rPr>
          <w:rFonts w:ascii="Times New Roman" w:hAnsi="Times New Roman"/>
          <w:bCs/>
          <w:szCs w:val="24"/>
          <w:lang w:val="en-US"/>
        </w:rPr>
        <w:t>присуством</w:t>
      </w:r>
      <w:r w:rsidR="00FD27DA" w:rsidRPr="00295637">
        <w:rPr>
          <w:rFonts w:ascii="Times New Roman" w:hAnsi="Times New Roman"/>
          <w:bCs/>
          <w:szCs w:val="24"/>
          <w:lang w:val="en-US"/>
        </w:rPr>
        <w:t xml:space="preserve"> </w:t>
      </w:r>
      <w:r>
        <w:rPr>
          <w:rFonts w:ascii="Times New Roman" w:hAnsi="Times New Roman"/>
          <w:bCs/>
          <w:szCs w:val="24"/>
          <w:lang w:val="en-US"/>
        </w:rPr>
        <w:t>у</w:t>
      </w:r>
      <w:r w:rsidR="00FD27DA" w:rsidRPr="00295637">
        <w:rPr>
          <w:rFonts w:ascii="Times New Roman" w:hAnsi="Times New Roman"/>
          <w:bCs/>
          <w:szCs w:val="24"/>
          <w:lang w:val="en-US"/>
        </w:rPr>
        <w:t xml:space="preserve"> </w:t>
      </w:r>
      <w:r>
        <w:rPr>
          <w:rFonts w:ascii="Times New Roman" w:hAnsi="Times New Roman"/>
          <w:bCs/>
          <w:szCs w:val="24"/>
          <w:lang w:val="en-US"/>
        </w:rPr>
        <w:t>медијима</w:t>
      </w:r>
      <w:r w:rsidR="00FD27DA" w:rsidRPr="00295637">
        <w:rPr>
          <w:rFonts w:ascii="Times New Roman" w:hAnsi="Times New Roman"/>
          <w:bCs/>
          <w:szCs w:val="24"/>
          <w:lang w:val="en-US"/>
        </w:rPr>
        <w:t xml:space="preserve"> </w:t>
      </w:r>
      <w:r>
        <w:rPr>
          <w:rFonts w:ascii="Times New Roman" w:hAnsi="Times New Roman"/>
          <w:bCs/>
          <w:szCs w:val="24"/>
          <w:lang w:val="en-US"/>
        </w:rPr>
        <w:t>или</w:t>
      </w:r>
      <w:r w:rsidR="00FD27DA" w:rsidRPr="00295637">
        <w:rPr>
          <w:rFonts w:ascii="Times New Roman" w:hAnsi="Times New Roman"/>
          <w:bCs/>
          <w:szCs w:val="24"/>
          <w:lang w:val="en-US"/>
        </w:rPr>
        <w:t xml:space="preserve"> </w:t>
      </w:r>
      <w:r>
        <w:rPr>
          <w:rFonts w:ascii="Times New Roman" w:hAnsi="Times New Roman"/>
          <w:bCs/>
          <w:szCs w:val="24"/>
          <w:lang w:val="en-US"/>
        </w:rPr>
        <w:t>јавним</w:t>
      </w:r>
      <w:r w:rsidR="00FD27DA" w:rsidRPr="00295637">
        <w:rPr>
          <w:rFonts w:ascii="Times New Roman" w:hAnsi="Times New Roman"/>
          <w:bCs/>
          <w:szCs w:val="24"/>
          <w:lang w:val="en-US"/>
        </w:rPr>
        <w:t xml:space="preserve"> </w:t>
      </w:r>
      <w:r>
        <w:rPr>
          <w:rFonts w:ascii="Times New Roman" w:hAnsi="Times New Roman"/>
          <w:bCs/>
          <w:szCs w:val="24"/>
          <w:lang w:val="en-US"/>
        </w:rPr>
        <w:t>наступима</w:t>
      </w:r>
      <w:r w:rsidR="00FD27DA" w:rsidRPr="00295637">
        <w:rPr>
          <w:rFonts w:ascii="Times New Roman" w:hAnsi="Times New Roman"/>
          <w:bCs/>
          <w:szCs w:val="24"/>
          <w:lang w:val="en-US"/>
        </w:rPr>
        <w:t xml:space="preserve"> </w:t>
      </w:r>
      <w:r>
        <w:rPr>
          <w:rFonts w:ascii="Times New Roman" w:hAnsi="Times New Roman"/>
          <w:bCs/>
          <w:szCs w:val="24"/>
          <w:lang w:val="en-US"/>
        </w:rPr>
        <w:t>и</w:t>
      </w:r>
      <w:r w:rsidR="00FD27DA" w:rsidRPr="00295637">
        <w:rPr>
          <w:rFonts w:ascii="Times New Roman" w:hAnsi="Times New Roman"/>
          <w:bCs/>
          <w:szCs w:val="24"/>
          <w:lang w:val="en-US"/>
        </w:rPr>
        <w:t xml:space="preserve"> </w:t>
      </w:r>
      <w:r>
        <w:rPr>
          <w:rFonts w:ascii="Times New Roman" w:hAnsi="Times New Roman"/>
          <w:bCs/>
          <w:szCs w:val="24"/>
          <w:lang w:val="en-US"/>
        </w:rPr>
        <w:t>гостовањима</w:t>
      </w:r>
      <w:r w:rsidR="00FD27DA" w:rsidRPr="00295637">
        <w:rPr>
          <w:rFonts w:ascii="Times New Roman" w:hAnsi="Times New Roman"/>
          <w:bCs/>
          <w:szCs w:val="24"/>
          <w:lang w:val="en-US"/>
        </w:rPr>
        <w:t xml:space="preserve">, </w:t>
      </w:r>
      <w:r>
        <w:rPr>
          <w:rFonts w:ascii="Times New Roman" w:hAnsi="Times New Roman"/>
          <w:bCs/>
          <w:szCs w:val="24"/>
          <w:lang w:val="en-US"/>
        </w:rPr>
        <w:t>АР</w:t>
      </w:r>
      <w:r w:rsidR="00AE7372">
        <w:rPr>
          <w:rFonts w:ascii="Times New Roman" w:hAnsi="Times New Roman"/>
          <w:bCs/>
          <w:szCs w:val="24"/>
          <w:lang w:val="sr-Cyrl-BA"/>
        </w:rPr>
        <w:t>П</w:t>
      </w:r>
      <w:r w:rsidR="00EF0601">
        <w:rPr>
          <w:rFonts w:ascii="Times New Roman" w:hAnsi="Times New Roman"/>
          <w:bCs/>
          <w:szCs w:val="24"/>
          <w:lang w:val="en-US"/>
        </w:rPr>
        <w:t xml:space="preserve"> </w:t>
      </w:r>
      <w:r>
        <w:rPr>
          <w:rFonts w:ascii="Times New Roman" w:hAnsi="Times New Roman"/>
          <w:bCs/>
          <w:szCs w:val="24"/>
          <w:lang w:val="en-US"/>
        </w:rPr>
        <w:t>БиХ</w:t>
      </w:r>
      <w:r w:rsidR="00EF0601">
        <w:rPr>
          <w:rFonts w:ascii="Times New Roman" w:hAnsi="Times New Roman"/>
          <w:bCs/>
          <w:szCs w:val="24"/>
          <w:lang w:val="en-US"/>
        </w:rPr>
        <w:t xml:space="preserve"> </w:t>
      </w:r>
      <w:r>
        <w:rPr>
          <w:rFonts w:ascii="Times New Roman" w:hAnsi="Times New Roman"/>
          <w:bCs/>
          <w:szCs w:val="24"/>
          <w:lang w:val="en-US"/>
        </w:rPr>
        <w:t>МЉПИ</w:t>
      </w:r>
      <w:r w:rsidR="00EF0601">
        <w:rPr>
          <w:rFonts w:ascii="Times New Roman" w:hAnsi="Times New Roman"/>
          <w:bCs/>
          <w:szCs w:val="24"/>
          <w:lang w:val="en-US"/>
        </w:rPr>
        <w:t xml:space="preserve"> </w:t>
      </w:r>
      <w:r>
        <w:rPr>
          <w:rFonts w:ascii="Times New Roman" w:hAnsi="Times New Roman"/>
          <w:bCs/>
          <w:szCs w:val="24"/>
          <w:lang w:val="en-US"/>
        </w:rPr>
        <w:t>БиХ</w:t>
      </w:r>
      <w:r w:rsidR="00EF0601">
        <w:rPr>
          <w:rFonts w:ascii="Times New Roman" w:hAnsi="Times New Roman"/>
          <w:bCs/>
          <w:szCs w:val="24"/>
          <w:lang w:val="en-US"/>
        </w:rPr>
        <w:t xml:space="preserve">, </w:t>
      </w:r>
      <w:r>
        <w:rPr>
          <w:rFonts w:ascii="Times New Roman" w:hAnsi="Times New Roman"/>
          <w:bCs/>
          <w:szCs w:val="24"/>
          <w:lang w:val="en-US"/>
        </w:rPr>
        <w:t>ГЦ</w:t>
      </w:r>
      <w:r w:rsidR="00EF0601">
        <w:rPr>
          <w:rFonts w:ascii="Times New Roman" w:hAnsi="Times New Roman"/>
          <w:bCs/>
          <w:szCs w:val="24"/>
          <w:lang w:val="en-US"/>
        </w:rPr>
        <w:t xml:space="preserve"> </w:t>
      </w:r>
      <w:r>
        <w:rPr>
          <w:rFonts w:ascii="Times New Roman" w:hAnsi="Times New Roman"/>
          <w:bCs/>
          <w:szCs w:val="24"/>
          <w:lang w:val="en-US"/>
        </w:rPr>
        <w:t>ФБиХ</w:t>
      </w:r>
      <w:r w:rsidR="000718D6" w:rsidRPr="00295637">
        <w:rPr>
          <w:rFonts w:ascii="Times New Roman" w:hAnsi="Times New Roman"/>
          <w:bCs/>
          <w:szCs w:val="24"/>
          <w:lang w:val="en-US"/>
        </w:rPr>
        <w:t xml:space="preserve"> </w:t>
      </w:r>
      <w:r>
        <w:rPr>
          <w:rFonts w:ascii="Times New Roman" w:hAnsi="Times New Roman"/>
          <w:bCs/>
          <w:szCs w:val="24"/>
          <w:lang w:val="en-US"/>
        </w:rPr>
        <w:t>и</w:t>
      </w:r>
      <w:r w:rsidR="000718D6" w:rsidRPr="00295637">
        <w:rPr>
          <w:rFonts w:ascii="Times New Roman" w:hAnsi="Times New Roman"/>
          <w:bCs/>
          <w:szCs w:val="24"/>
          <w:lang w:val="en-US"/>
        </w:rPr>
        <w:t xml:space="preserve"> </w:t>
      </w:r>
      <w:r>
        <w:rPr>
          <w:rFonts w:ascii="Times New Roman" w:hAnsi="Times New Roman"/>
          <w:bCs/>
          <w:szCs w:val="24"/>
          <w:lang w:val="en-US"/>
        </w:rPr>
        <w:t>ЦЈРП</w:t>
      </w:r>
      <w:r w:rsidR="000B2A82" w:rsidRPr="00295637">
        <w:rPr>
          <w:rFonts w:ascii="Times New Roman" w:hAnsi="Times New Roman"/>
          <w:bCs/>
          <w:szCs w:val="24"/>
          <w:lang w:val="en-US"/>
        </w:rPr>
        <w:t xml:space="preserve"> </w:t>
      </w:r>
      <w:r>
        <w:rPr>
          <w:rFonts w:ascii="Times New Roman" w:hAnsi="Times New Roman"/>
          <w:bCs/>
          <w:szCs w:val="24"/>
          <w:lang w:val="en-US"/>
        </w:rPr>
        <w:t>РС</w:t>
      </w:r>
      <w:r w:rsidR="000B2A82" w:rsidRPr="00295637">
        <w:rPr>
          <w:rFonts w:ascii="Times New Roman" w:hAnsi="Times New Roman"/>
          <w:bCs/>
          <w:szCs w:val="24"/>
          <w:lang w:val="en-US"/>
        </w:rPr>
        <w:t xml:space="preserve"> </w:t>
      </w:r>
      <w:r>
        <w:rPr>
          <w:rFonts w:ascii="Times New Roman" w:hAnsi="Times New Roman"/>
          <w:bCs/>
          <w:szCs w:val="24"/>
          <w:lang w:val="en-US"/>
        </w:rPr>
        <w:t>су</w:t>
      </w:r>
      <w:r w:rsidR="00EF0601" w:rsidRPr="00295637">
        <w:rPr>
          <w:rFonts w:ascii="Times New Roman" w:hAnsi="Times New Roman"/>
          <w:bCs/>
          <w:szCs w:val="24"/>
          <w:lang w:val="en-US"/>
        </w:rPr>
        <w:t xml:space="preserve"> </w:t>
      </w:r>
      <w:r w:rsidR="00485AB7">
        <w:rPr>
          <w:rFonts w:ascii="Times New Roman" w:hAnsi="Times New Roman"/>
          <w:bCs/>
          <w:szCs w:val="24"/>
          <w:lang w:val="en-US"/>
        </w:rPr>
        <w:t>обиљежили</w:t>
      </w:r>
      <w:r w:rsidR="00485AB7" w:rsidRPr="00295637">
        <w:rPr>
          <w:rFonts w:ascii="Times New Roman" w:hAnsi="Times New Roman"/>
          <w:bCs/>
          <w:szCs w:val="24"/>
          <w:lang w:val="en-US"/>
        </w:rPr>
        <w:t xml:space="preserve"> </w:t>
      </w:r>
      <w:r>
        <w:rPr>
          <w:rFonts w:ascii="Times New Roman" w:hAnsi="Times New Roman"/>
          <w:bCs/>
          <w:szCs w:val="24"/>
          <w:lang w:val="en-US"/>
        </w:rPr>
        <w:t>све</w:t>
      </w:r>
      <w:r w:rsidR="00FD27DA" w:rsidRPr="00295637">
        <w:rPr>
          <w:rFonts w:ascii="Times New Roman" w:hAnsi="Times New Roman"/>
          <w:bCs/>
          <w:szCs w:val="24"/>
          <w:lang w:val="en-US"/>
        </w:rPr>
        <w:t xml:space="preserve"> </w:t>
      </w:r>
      <w:r>
        <w:rPr>
          <w:rFonts w:ascii="Times New Roman" w:hAnsi="Times New Roman"/>
          <w:bCs/>
          <w:szCs w:val="24"/>
          <w:lang w:val="en-US"/>
        </w:rPr>
        <w:t>значајне</w:t>
      </w:r>
      <w:r w:rsidR="00FD27DA" w:rsidRPr="00295637">
        <w:rPr>
          <w:rFonts w:ascii="Times New Roman" w:hAnsi="Times New Roman"/>
          <w:bCs/>
          <w:szCs w:val="24"/>
          <w:lang w:val="en-US"/>
        </w:rPr>
        <w:t xml:space="preserve"> </w:t>
      </w:r>
      <w:r>
        <w:rPr>
          <w:rFonts w:ascii="Times New Roman" w:hAnsi="Times New Roman"/>
          <w:bCs/>
          <w:szCs w:val="24"/>
          <w:lang w:val="en-US"/>
        </w:rPr>
        <w:t>датуме</w:t>
      </w:r>
      <w:r w:rsidR="000718D6" w:rsidRPr="00295637">
        <w:rPr>
          <w:rFonts w:ascii="Times New Roman" w:hAnsi="Times New Roman"/>
          <w:bCs/>
          <w:szCs w:val="24"/>
          <w:lang w:val="en-US"/>
        </w:rPr>
        <w:t xml:space="preserve"> </w:t>
      </w:r>
      <w:r>
        <w:rPr>
          <w:rFonts w:ascii="Times New Roman" w:hAnsi="Times New Roman"/>
          <w:bCs/>
          <w:szCs w:val="24"/>
          <w:lang w:val="en-US"/>
        </w:rPr>
        <w:t>из</w:t>
      </w:r>
      <w:r w:rsidR="000718D6" w:rsidRPr="00295637">
        <w:rPr>
          <w:rFonts w:ascii="Times New Roman" w:hAnsi="Times New Roman"/>
          <w:bCs/>
          <w:szCs w:val="24"/>
          <w:lang w:val="en-US"/>
        </w:rPr>
        <w:t xml:space="preserve"> </w:t>
      </w:r>
      <w:r>
        <w:rPr>
          <w:rFonts w:ascii="Times New Roman" w:hAnsi="Times New Roman"/>
          <w:bCs/>
          <w:szCs w:val="24"/>
          <w:lang w:val="en-US"/>
        </w:rPr>
        <w:t>области</w:t>
      </w:r>
      <w:r w:rsidR="000718D6" w:rsidRPr="00295637">
        <w:rPr>
          <w:rFonts w:ascii="Times New Roman" w:hAnsi="Times New Roman"/>
          <w:bCs/>
          <w:szCs w:val="24"/>
          <w:lang w:val="en-US"/>
        </w:rPr>
        <w:t xml:space="preserve"> </w:t>
      </w:r>
      <w:r>
        <w:rPr>
          <w:rFonts w:ascii="Times New Roman" w:hAnsi="Times New Roman"/>
          <w:bCs/>
          <w:szCs w:val="24"/>
          <w:lang w:val="en-US"/>
        </w:rPr>
        <w:t>равноправности</w:t>
      </w:r>
      <w:r w:rsidR="000718D6" w:rsidRPr="00295637">
        <w:rPr>
          <w:rFonts w:ascii="Times New Roman" w:hAnsi="Times New Roman"/>
          <w:bCs/>
          <w:szCs w:val="24"/>
          <w:lang w:val="en-US"/>
        </w:rPr>
        <w:t xml:space="preserve"> </w:t>
      </w:r>
      <w:r>
        <w:rPr>
          <w:rFonts w:ascii="Times New Roman" w:hAnsi="Times New Roman"/>
          <w:bCs/>
          <w:szCs w:val="24"/>
          <w:lang w:val="en-US"/>
        </w:rPr>
        <w:t>полова</w:t>
      </w:r>
      <w:r w:rsidR="000718D6" w:rsidRPr="00295637">
        <w:rPr>
          <w:rFonts w:ascii="Times New Roman" w:hAnsi="Times New Roman"/>
          <w:bCs/>
          <w:szCs w:val="24"/>
          <w:lang w:val="en-US"/>
        </w:rPr>
        <w:t xml:space="preserve"> </w:t>
      </w:r>
      <w:r>
        <w:rPr>
          <w:rFonts w:ascii="Times New Roman" w:hAnsi="Times New Roman"/>
          <w:bCs/>
          <w:szCs w:val="24"/>
          <w:lang w:val="en-US"/>
        </w:rPr>
        <w:t>укључујући</w:t>
      </w:r>
      <w:r w:rsidR="00FD27DA" w:rsidRPr="00295637">
        <w:rPr>
          <w:rFonts w:ascii="Times New Roman" w:hAnsi="Times New Roman"/>
          <w:bCs/>
          <w:szCs w:val="24"/>
          <w:lang w:val="en-US"/>
        </w:rPr>
        <w:t xml:space="preserve"> </w:t>
      </w:r>
      <w:r>
        <w:rPr>
          <w:rFonts w:ascii="Times New Roman" w:hAnsi="Times New Roman"/>
          <w:lang w:val="sr-Cyrl-BA"/>
        </w:rPr>
        <w:t>Међународни</w:t>
      </w:r>
      <w:r w:rsidR="000718D6" w:rsidRPr="00295637">
        <w:rPr>
          <w:rFonts w:ascii="Times New Roman" w:hAnsi="Times New Roman"/>
          <w:lang w:val="sr-Cyrl-BA"/>
        </w:rPr>
        <w:t xml:space="preserve"> </w:t>
      </w:r>
      <w:r>
        <w:rPr>
          <w:rFonts w:ascii="Times New Roman" w:hAnsi="Times New Roman"/>
          <w:lang w:val="sr-Cyrl-BA"/>
        </w:rPr>
        <w:t>дан</w:t>
      </w:r>
      <w:r w:rsidR="000718D6" w:rsidRPr="00295637">
        <w:rPr>
          <w:rFonts w:ascii="Times New Roman" w:hAnsi="Times New Roman"/>
          <w:lang w:val="sr-Cyrl-BA"/>
        </w:rPr>
        <w:t xml:space="preserve"> </w:t>
      </w:r>
      <w:r>
        <w:rPr>
          <w:rFonts w:ascii="Times New Roman" w:hAnsi="Times New Roman"/>
          <w:lang w:val="sr-Cyrl-BA"/>
        </w:rPr>
        <w:t>жена</w:t>
      </w:r>
      <w:r w:rsidR="000718D6" w:rsidRPr="00295637">
        <w:rPr>
          <w:rFonts w:ascii="Times New Roman" w:hAnsi="Times New Roman"/>
          <w:lang w:val="sr-Cyrl-BA"/>
        </w:rPr>
        <w:t xml:space="preserve">, 8. </w:t>
      </w:r>
      <w:r>
        <w:rPr>
          <w:rFonts w:ascii="Times New Roman" w:hAnsi="Times New Roman"/>
          <w:lang w:val="hr-HR"/>
        </w:rPr>
        <w:t>март</w:t>
      </w:r>
      <w:r w:rsidR="000718D6" w:rsidRPr="00295637">
        <w:rPr>
          <w:rFonts w:ascii="Times New Roman" w:hAnsi="Times New Roman"/>
          <w:lang w:val="sr-Cyrl-BA"/>
        </w:rPr>
        <w:t>;</w:t>
      </w:r>
      <w:r w:rsidR="000718D6" w:rsidRPr="00295637">
        <w:rPr>
          <w:rFonts w:ascii="Times New Roman" w:hAnsi="Times New Roman"/>
          <w:lang w:val="bs-Latn-BA"/>
        </w:rPr>
        <w:t xml:space="preserve"> </w:t>
      </w:r>
      <w:r>
        <w:rPr>
          <w:rFonts w:ascii="Times New Roman" w:hAnsi="Times New Roman"/>
          <w:lang w:val="sr-Cyrl-BA"/>
        </w:rPr>
        <w:t>Међународни</w:t>
      </w:r>
      <w:r w:rsidR="000718D6" w:rsidRPr="00295637">
        <w:rPr>
          <w:rFonts w:ascii="Times New Roman" w:hAnsi="Times New Roman"/>
          <w:lang w:val="sr-Cyrl-BA"/>
        </w:rPr>
        <w:t xml:space="preserve"> </w:t>
      </w:r>
      <w:r>
        <w:rPr>
          <w:rFonts w:ascii="Times New Roman" w:hAnsi="Times New Roman"/>
          <w:lang w:val="sr-Cyrl-BA"/>
        </w:rPr>
        <w:t>дан</w:t>
      </w:r>
      <w:r>
        <w:rPr>
          <w:rFonts w:ascii="Times New Roman" w:hAnsi="Times New Roman"/>
          <w:lang w:val="sr-Latn-BA"/>
        </w:rPr>
        <w:t>и</w:t>
      </w:r>
      <w:r w:rsidR="00E9183A">
        <w:rPr>
          <w:rFonts w:ascii="Times New Roman" w:hAnsi="Times New Roman"/>
          <w:lang w:val="sr-Cyrl-BA"/>
        </w:rPr>
        <w:t xml:space="preserve"> </w:t>
      </w:r>
      <w:r>
        <w:rPr>
          <w:rFonts w:ascii="Times New Roman" w:hAnsi="Times New Roman"/>
          <w:lang w:val="sr-Cyrl-BA"/>
        </w:rPr>
        <w:t>дјевојчица</w:t>
      </w:r>
      <w:r w:rsidR="00E9183A">
        <w:rPr>
          <w:rFonts w:ascii="Times New Roman" w:hAnsi="Times New Roman"/>
          <w:lang w:val="sr-Cyrl-BA"/>
        </w:rPr>
        <w:t xml:space="preserve"> </w:t>
      </w:r>
      <w:r>
        <w:rPr>
          <w:rFonts w:ascii="Times New Roman" w:hAnsi="Times New Roman"/>
          <w:lang w:val="sr-Cyrl-BA"/>
        </w:rPr>
        <w:t>у</w:t>
      </w:r>
      <w:r w:rsidR="00E9183A">
        <w:rPr>
          <w:rFonts w:ascii="Times New Roman" w:hAnsi="Times New Roman"/>
          <w:lang w:val="sr-Cyrl-BA"/>
        </w:rPr>
        <w:t xml:space="preserve"> </w:t>
      </w:r>
      <w:r>
        <w:rPr>
          <w:rFonts w:ascii="Times New Roman" w:hAnsi="Times New Roman"/>
          <w:lang w:val="sr-Cyrl-BA"/>
        </w:rPr>
        <w:t>ИКТ</w:t>
      </w:r>
      <w:r w:rsidR="00E9183A">
        <w:rPr>
          <w:rFonts w:ascii="Times New Roman" w:hAnsi="Times New Roman"/>
          <w:lang w:val="sr-Cyrl-BA"/>
        </w:rPr>
        <w:t xml:space="preserve"> (</w:t>
      </w:r>
      <w:r>
        <w:rPr>
          <w:rFonts w:ascii="Times New Roman" w:hAnsi="Times New Roman"/>
          <w:lang w:val="hr-HR"/>
        </w:rPr>
        <w:t>април</w:t>
      </w:r>
      <w:r w:rsidR="00E9183A">
        <w:rPr>
          <w:rFonts w:ascii="Times New Roman" w:hAnsi="Times New Roman"/>
          <w:lang w:val="sr-Cyrl-BA"/>
        </w:rPr>
        <w:t>)</w:t>
      </w:r>
      <w:r w:rsidR="000718D6" w:rsidRPr="00295637">
        <w:rPr>
          <w:rFonts w:ascii="Times New Roman" w:hAnsi="Times New Roman"/>
          <w:lang w:val="sr-Cyrl-BA"/>
        </w:rPr>
        <w:t>;</w:t>
      </w:r>
      <w:r w:rsidR="000718D6" w:rsidRPr="00295637">
        <w:rPr>
          <w:rFonts w:ascii="Times New Roman" w:hAnsi="Times New Roman"/>
          <w:lang w:val="bs-Latn-BA"/>
        </w:rPr>
        <w:t xml:space="preserve"> </w:t>
      </w:r>
      <w:r>
        <w:rPr>
          <w:rFonts w:ascii="Times New Roman" w:hAnsi="Times New Roman"/>
          <w:lang w:val="sr-Cyrl-BA"/>
        </w:rPr>
        <w:t>Међународни</w:t>
      </w:r>
      <w:r w:rsidR="000718D6" w:rsidRPr="00295637">
        <w:rPr>
          <w:rFonts w:ascii="Times New Roman" w:hAnsi="Times New Roman"/>
          <w:lang w:val="sr-Cyrl-BA"/>
        </w:rPr>
        <w:t xml:space="preserve"> </w:t>
      </w:r>
      <w:r>
        <w:rPr>
          <w:rFonts w:ascii="Times New Roman" w:hAnsi="Times New Roman"/>
          <w:lang w:val="sr-Cyrl-BA"/>
        </w:rPr>
        <w:t>дан</w:t>
      </w:r>
      <w:r w:rsidR="000718D6" w:rsidRPr="00295637">
        <w:rPr>
          <w:rFonts w:ascii="Times New Roman" w:hAnsi="Times New Roman"/>
          <w:lang w:val="sr-Cyrl-BA"/>
        </w:rPr>
        <w:t xml:space="preserve"> </w:t>
      </w:r>
      <w:r>
        <w:rPr>
          <w:rFonts w:ascii="Times New Roman" w:hAnsi="Times New Roman"/>
          <w:lang w:val="sr-Cyrl-BA"/>
        </w:rPr>
        <w:t>жена</w:t>
      </w:r>
      <w:r w:rsidR="000718D6" w:rsidRPr="00295637">
        <w:rPr>
          <w:rFonts w:ascii="Times New Roman" w:hAnsi="Times New Roman"/>
          <w:lang w:val="sr-Cyrl-BA"/>
        </w:rPr>
        <w:t xml:space="preserve"> </w:t>
      </w:r>
      <w:r>
        <w:rPr>
          <w:rFonts w:ascii="Times New Roman" w:hAnsi="Times New Roman"/>
          <w:lang w:val="sr-Cyrl-BA"/>
        </w:rPr>
        <w:t>на</w:t>
      </w:r>
      <w:r w:rsidR="000718D6" w:rsidRPr="00295637">
        <w:rPr>
          <w:rFonts w:ascii="Times New Roman" w:hAnsi="Times New Roman"/>
          <w:lang w:val="sr-Cyrl-BA"/>
        </w:rPr>
        <w:t xml:space="preserve"> </w:t>
      </w:r>
      <w:r>
        <w:rPr>
          <w:rFonts w:ascii="Times New Roman" w:hAnsi="Times New Roman"/>
          <w:lang w:val="sr-Cyrl-BA"/>
        </w:rPr>
        <w:t>селу</w:t>
      </w:r>
      <w:r w:rsidR="000718D6" w:rsidRPr="00295637">
        <w:rPr>
          <w:rFonts w:ascii="Times New Roman" w:hAnsi="Times New Roman"/>
          <w:lang w:val="sr-Cyrl-BA"/>
        </w:rPr>
        <w:t xml:space="preserve">, 15. </w:t>
      </w:r>
      <w:r>
        <w:rPr>
          <w:rFonts w:ascii="Times New Roman" w:hAnsi="Times New Roman"/>
          <w:lang w:val="hr-HR"/>
        </w:rPr>
        <w:t>октобар</w:t>
      </w:r>
      <w:r w:rsidR="00E9183A">
        <w:rPr>
          <w:rFonts w:ascii="Times New Roman" w:hAnsi="Times New Roman"/>
          <w:lang w:val="bs-Latn-BA"/>
        </w:rPr>
        <w:t>;</w:t>
      </w:r>
      <w:r w:rsidR="000718D6" w:rsidRPr="00295637">
        <w:rPr>
          <w:rFonts w:ascii="Times New Roman" w:hAnsi="Times New Roman"/>
          <w:lang w:val="sr-Cyrl-BA"/>
        </w:rPr>
        <w:t xml:space="preserve"> </w:t>
      </w:r>
      <w:r>
        <w:rPr>
          <w:rFonts w:ascii="Times New Roman" w:hAnsi="Times New Roman"/>
          <w:lang w:val="sr-Cyrl-BA"/>
        </w:rPr>
        <w:t>Међународни</w:t>
      </w:r>
      <w:r w:rsidR="000718D6" w:rsidRPr="00295637">
        <w:rPr>
          <w:rFonts w:ascii="Times New Roman" w:hAnsi="Times New Roman"/>
          <w:lang w:val="sr-Cyrl-BA"/>
        </w:rPr>
        <w:t xml:space="preserve"> </w:t>
      </w:r>
      <w:r>
        <w:rPr>
          <w:rFonts w:ascii="Times New Roman" w:hAnsi="Times New Roman"/>
          <w:lang w:val="sr-Cyrl-BA"/>
        </w:rPr>
        <w:t>дан</w:t>
      </w:r>
      <w:r w:rsidR="000718D6" w:rsidRPr="00295637">
        <w:rPr>
          <w:rFonts w:ascii="Times New Roman" w:hAnsi="Times New Roman"/>
          <w:lang w:val="sr-Cyrl-BA"/>
        </w:rPr>
        <w:t xml:space="preserve"> </w:t>
      </w:r>
      <w:r>
        <w:rPr>
          <w:rFonts w:ascii="Times New Roman" w:hAnsi="Times New Roman"/>
          <w:lang w:val="sr-Cyrl-BA"/>
        </w:rPr>
        <w:t>мушкараца</w:t>
      </w:r>
      <w:r w:rsidR="000718D6" w:rsidRPr="00295637">
        <w:rPr>
          <w:rFonts w:ascii="Times New Roman" w:hAnsi="Times New Roman"/>
          <w:lang w:val="sr-Cyrl-BA"/>
        </w:rPr>
        <w:t xml:space="preserve">, 19. </w:t>
      </w:r>
      <w:r>
        <w:rPr>
          <w:rFonts w:ascii="Times New Roman" w:hAnsi="Times New Roman"/>
          <w:lang w:val="hr-HR"/>
        </w:rPr>
        <w:t>новембар</w:t>
      </w:r>
      <w:r w:rsidR="000718D6" w:rsidRPr="00295637">
        <w:rPr>
          <w:rFonts w:ascii="Times New Roman" w:hAnsi="Times New Roman"/>
          <w:lang w:val="sr-Cyrl-BA"/>
        </w:rPr>
        <w:t>;</w:t>
      </w:r>
      <w:r w:rsidR="000718D6" w:rsidRPr="00295637">
        <w:rPr>
          <w:rFonts w:ascii="Times New Roman" w:hAnsi="Times New Roman"/>
          <w:lang w:val="bs-Latn-BA"/>
        </w:rPr>
        <w:t xml:space="preserve"> </w:t>
      </w:r>
      <w:r>
        <w:rPr>
          <w:rFonts w:ascii="Times New Roman" w:hAnsi="Times New Roman"/>
          <w:lang w:val="bs-Latn-BA"/>
        </w:rPr>
        <w:t>кампању</w:t>
      </w:r>
      <w:r w:rsidR="00E9183A">
        <w:rPr>
          <w:rFonts w:ascii="Times New Roman" w:hAnsi="Times New Roman"/>
          <w:lang w:val="bs-Latn-BA"/>
        </w:rPr>
        <w:t xml:space="preserve"> „16 </w:t>
      </w:r>
      <w:r>
        <w:rPr>
          <w:rFonts w:ascii="Times New Roman" w:hAnsi="Times New Roman"/>
          <w:lang w:val="bs-Latn-BA"/>
        </w:rPr>
        <w:t>дана</w:t>
      </w:r>
      <w:r w:rsidR="00E9183A">
        <w:rPr>
          <w:rFonts w:ascii="Times New Roman" w:hAnsi="Times New Roman"/>
          <w:lang w:val="bs-Latn-BA"/>
        </w:rPr>
        <w:t xml:space="preserve"> </w:t>
      </w:r>
      <w:r>
        <w:rPr>
          <w:rFonts w:ascii="Times New Roman" w:hAnsi="Times New Roman"/>
          <w:lang w:val="bs-Latn-BA"/>
        </w:rPr>
        <w:t>активизма</w:t>
      </w:r>
      <w:r w:rsidR="00E9183A">
        <w:rPr>
          <w:rFonts w:ascii="Times New Roman" w:hAnsi="Times New Roman"/>
          <w:lang w:val="bs-Latn-BA"/>
        </w:rPr>
        <w:t xml:space="preserve"> </w:t>
      </w:r>
      <w:r>
        <w:rPr>
          <w:rFonts w:ascii="Times New Roman" w:hAnsi="Times New Roman"/>
          <w:lang w:val="bs-Latn-BA"/>
        </w:rPr>
        <w:t>на</w:t>
      </w:r>
      <w:r w:rsidR="00E9183A">
        <w:rPr>
          <w:rFonts w:ascii="Times New Roman" w:hAnsi="Times New Roman"/>
          <w:lang w:val="bs-Latn-BA"/>
        </w:rPr>
        <w:t xml:space="preserve"> </w:t>
      </w:r>
      <w:r>
        <w:rPr>
          <w:rFonts w:ascii="Times New Roman" w:hAnsi="Times New Roman"/>
          <w:lang w:val="bs-Latn-BA"/>
        </w:rPr>
        <w:t>основу</w:t>
      </w:r>
      <w:r w:rsidR="00E9183A">
        <w:rPr>
          <w:rFonts w:ascii="Times New Roman" w:hAnsi="Times New Roman"/>
          <w:lang w:val="bs-Latn-BA"/>
        </w:rPr>
        <w:t xml:space="preserve"> </w:t>
      </w:r>
      <w:r>
        <w:rPr>
          <w:rFonts w:ascii="Times New Roman" w:hAnsi="Times New Roman"/>
          <w:lang w:val="bs-Latn-BA"/>
        </w:rPr>
        <w:t>пола</w:t>
      </w:r>
      <w:r w:rsidR="00E9183A">
        <w:rPr>
          <w:rFonts w:ascii="Times New Roman" w:hAnsi="Times New Roman"/>
          <w:lang w:val="bs-Latn-BA"/>
        </w:rPr>
        <w:t xml:space="preserve">“ </w:t>
      </w:r>
      <w:r>
        <w:rPr>
          <w:rFonts w:ascii="Times New Roman" w:hAnsi="Times New Roman"/>
          <w:lang w:val="bs-Latn-BA"/>
        </w:rPr>
        <w:t>која</w:t>
      </w:r>
      <w:r w:rsidR="00E9183A">
        <w:rPr>
          <w:rFonts w:ascii="Times New Roman" w:hAnsi="Times New Roman"/>
          <w:lang w:val="bs-Latn-BA"/>
        </w:rPr>
        <w:t xml:space="preserve"> </w:t>
      </w:r>
      <w:r>
        <w:rPr>
          <w:rFonts w:ascii="Times New Roman" w:hAnsi="Times New Roman"/>
          <w:lang w:val="bs-Latn-BA"/>
        </w:rPr>
        <w:t>траје</w:t>
      </w:r>
      <w:r w:rsidR="00E9183A">
        <w:rPr>
          <w:rFonts w:ascii="Times New Roman" w:hAnsi="Times New Roman"/>
          <w:lang w:val="bs-Latn-BA"/>
        </w:rPr>
        <w:t xml:space="preserve"> </w:t>
      </w:r>
      <w:r>
        <w:rPr>
          <w:rFonts w:ascii="Times New Roman" w:hAnsi="Times New Roman"/>
          <w:lang w:val="bs-Latn-BA"/>
        </w:rPr>
        <w:t>од</w:t>
      </w:r>
      <w:r w:rsidR="00E9183A">
        <w:rPr>
          <w:rFonts w:ascii="Times New Roman" w:hAnsi="Times New Roman"/>
          <w:lang w:val="bs-Latn-BA"/>
        </w:rPr>
        <w:t xml:space="preserve"> </w:t>
      </w:r>
      <w:r>
        <w:rPr>
          <w:rFonts w:ascii="Times New Roman" w:hAnsi="Times New Roman"/>
          <w:lang w:val="sr-Cyrl-BA"/>
        </w:rPr>
        <w:t>Међународн</w:t>
      </w:r>
      <w:r>
        <w:rPr>
          <w:rFonts w:ascii="Times New Roman" w:hAnsi="Times New Roman"/>
          <w:lang w:val="bs-Latn-BA"/>
        </w:rPr>
        <w:t>ог</w:t>
      </w:r>
      <w:r w:rsidR="000718D6" w:rsidRPr="00295637">
        <w:rPr>
          <w:rFonts w:ascii="Times New Roman" w:hAnsi="Times New Roman"/>
          <w:lang w:val="sr-Cyrl-BA"/>
        </w:rPr>
        <w:t xml:space="preserve"> </w:t>
      </w:r>
      <w:r>
        <w:rPr>
          <w:rFonts w:ascii="Times New Roman" w:hAnsi="Times New Roman"/>
          <w:lang w:val="sr-Cyrl-BA"/>
        </w:rPr>
        <w:t>дан</w:t>
      </w:r>
      <w:r>
        <w:rPr>
          <w:rFonts w:ascii="Times New Roman" w:hAnsi="Times New Roman"/>
          <w:lang w:val="bs-Latn-BA"/>
        </w:rPr>
        <w:t>а</w:t>
      </w:r>
      <w:r w:rsidR="000718D6" w:rsidRPr="00295637">
        <w:rPr>
          <w:rFonts w:ascii="Times New Roman" w:hAnsi="Times New Roman"/>
          <w:lang w:val="sr-Cyrl-BA"/>
        </w:rPr>
        <w:t xml:space="preserve"> </w:t>
      </w:r>
      <w:r>
        <w:rPr>
          <w:rFonts w:ascii="Times New Roman" w:hAnsi="Times New Roman"/>
          <w:lang w:val="sr-Cyrl-BA"/>
        </w:rPr>
        <w:t>борбе</w:t>
      </w:r>
      <w:r w:rsidR="000718D6" w:rsidRPr="00295637">
        <w:rPr>
          <w:rFonts w:ascii="Times New Roman" w:hAnsi="Times New Roman"/>
          <w:lang w:val="sr-Cyrl-BA"/>
        </w:rPr>
        <w:t xml:space="preserve"> </w:t>
      </w:r>
      <w:r>
        <w:rPr>
          <w:rFonts w:ascii="Times New Roman" w:hAnsi="Times New Roman"/>
          <w:lang w:val="sr-Cyrl-BA"/>
        </w:rPr>
        <w:t>против</w:t>
      </w:r>
      <w:r w:rsidR="000718D6" w:rsidRPr="00295637">
        <w:rPr>
          <w:rFonts w:ascii="Times New Roman" w:hAnsi="Times New Roman"/>
          <w:lang w:val="sr-Cyrl-BA"/>
        </w:rPr>
        <w:t xml:space="preserve"> </w:t>
      </w:r>
      <w:r>
        <w:rPr>
          <w:rFonts w:ascii="Times New Roman" w:hAnsi="Times New Roman"/>
          <w:lang w:val="sr-Cyrl-BA"/>
        </w:rPr>
        <w:t>насиља</w:t>
      </w:r>
      <w:r w:rsidR="000718D6" w:rsidRPr="00295637">
        <w:rPr>
          <w:rFonts w:ascii="Times New Roman" w:hAnsi="Times New Roman"/>
          <w:lang w:val="sr-Cyrl-BA"/>
        </w:rPr>
        <w:t xml:space="preserve"> </w:t>
      </w:r>
      <w:r>
        <w:rPr>
          <w:rFonts w:ascii="Times New Roman" w:hAnsi="Times New Roman"/>
          <w:lang w:val="sr-Cyrl-BA"/>
        </w:rPr>
        <w:t>над</w:t>
      </w:r>
      <w:r w:rsidR="000718D6" w:rsidRPr="00295637">
        <w:rPr>
          <w:rFonts w:ascii="Times New Roman" w:hAnsi="Times New Roman"/>
          <w:lang w:val="sr-Cyrl-BA"/>
        </w:rPr>
        <w:t xml:space="preserve"> </w:t>
      </w:r>
      <w:r>
        <w:rPr>
          <w:rFonts w:ascii="Times New Roman" w:hAnsi="Times New Roman"/>
          <w:lang w:val="sr-Cyrl-BA"/>
        </w:rPr>
        <w:t>женама</w:t>
      </w:r>
      <w:r w:rsidR="000718D6" w:rsidRPr="00295637">
        <w:rPr>
          <w:rFonts w:ascii="Times New Roman" w:hAnsi="Times New Roman"/>
          <w:lang w:val="sr-Cyrl-BA"/>
        </w:rPr>
        <w:t xml:space="preserve">, 25. </w:t>
      </w:r>
      <w:r>
        <w:rPr>
          <w:rFonts w:ascii="Times New Roman" w:hAnsi="Times New Roman"/>
          <w:lang w:val="hr-HR"/>
        </w:rPr>
        <w:t>новембра</w:t>
      </w:r>
      <w:r w:rsidR="00E9183A">
        <w:rPr>
          <w:rFonts w:ascii="Times New Roman" w:hAnsi="Times New Roman"/>
          <w:lang w:val="bs-Latn-BA"/>
        </w:rPr>
        <w:t xml:space="preserve"> </w:t>
      </w:r>
      <w:r>
        <w:rPr>
          <w:rFonts w:ascii="Times New Roman" w:hAnsi="Times New Roman"/>
          <w:lang w:val="bs-Latn-BA"/>
        </w:rPr>
        <w:t>до</w:t>
      </w:r>
      <w:r w:rsidR="00E9183A">
        <w:rPr>
          <w:rFonts w:ascii="Times New Roman" w:hAnsi="Times New Roman"/>
          <w:lang w:val="bs-Latn-BA"/>
        </w:rPr>
        <w:t xml:space="preserve"> </w:t>
      </w:r>
      <w:r>
        <w:rPr>
          <w:rFonts w:ascii="Times New Roman" w:hAnsi="Times New Roman"/>
          <w:lang w:val="sr-Cyrl-BA"/>
        </w:rPr>
        <w:t>Међународн</w:t>
      </w:r>
      <w:r>
        <w:rPr>
          <w:rFonts w:ascii="Times New Roman" w:hAnsi="Times New Roman"/>
          <w:lang w:val="bs-Latn-BA"/>
        </w:rPr>
        <w:t>ог</w:t>
      </w:r>
      <w:r w:rsidR="000718D6" w:rsidRPr="00295637">
        <w:rPr>
          <w:rFonts w:ascii="Times New Roman" w:hAnsi="Times New Roman"/>
          <w:lang w:val="sr-Cyrl-BA"/>
        </w:rPr>
        <w:t xml:space="preserve"> </w:t>
      </w:r>
      <w:r>
        <w:rPr>
          <w:rFonts w:ascii="Times New Roman" w:hAnsi="Times New Roman"/>
          <w:lang w:val="sr-Cyrl-BA"/>
        </w:rPr>
        <w:t>дан</w:t>
      </w:r>
      <w:r>
        <w:rPr>
          <w:rFonts w:ascii="Times New Roman" w:hAnsi="Times New Roman"/>
          <w:lang w:val="bs-Latn-BA"/>
        </w:rPr>
        <w:t>а</w:t>
      </w:r>
      <w:r w:rsidR="00E9183A">
        <w:rPr>
          <w:rFonts w:ascii="Times New Roman" w:hAnsi="Times New Roman"/>
          <w:lang w:val="sr-Cyrl-BA"/>
        </w:rPr>
        <w:t xml:space="preserve"> </w:t>
      </w:r>
      <w:r>
        <w:rPr>
          <w:rFonts w:ascii="Times New Roman" w:hAnsi="Times New Roman"/>
          <w:lang w:val="sr-Cyrl-BA"/>
        </w:rPr>
        <w:t>људских</w:t>
      </w:r>
      <w:r w:rsidR="00E9183A">
        <w:rPr>
          <w:rFonts w:ascii="Times New Roman" w:hAnsi="Times New Roman"/>
          <w:lang w:val="sr-Cyrl-BA"/>
        </w:rPr>
        <w:t xml:space="preserve"> </w:t>
      </w:r>
      <w:r>
        <w:rPr>
          <w:rFonts w:ascii="Times New Roman" w:hAnsi="Times New Roman"/>
          <w:lang w:val="sr-Cyrl-BA"/>
        </w:rPr>
        <w:t>права</w:t>
      </w:r>
      <w:r w:rsidR="00E9183A">
        <w:rPr>
          <w:rFonts w:ascii="Times New Roman" w:hAnsi="Times New Roman"/>
          <w:lang w:val="sr-Cyrl-BA"/>
        </w:rPr>
        <w:t xml:space="preserve">, 10. </w:t>
      </w:r>
      <w:r>
        <w:rPr>
          <w:rFonts w:ascii="Times New Roman" w:hAnsi="Times New Roman"/>
          <w:lang w:val="hr-HR"/>
        </w:rPr>
        <w:t>децембра</w:t>
      </w:r>
      <w:r w:rsidR="000718D6" w:rsidRPr="00295637">
        <w:rPr>
          <w:rFonts w:ascii="Times New Roman" w:hAnsi="Times New Roman"/>
          <w:lang w:val="sr-Latn-BA"/>
        </w:rPr>
        <w:t>.</w:t>
      </w:r>
      <w:r w:rsidR="00961642" w:rsidRPr="00961642">
        <w:rPr>
          <w:rFonts w:ascii="Times New Roman" w:hAnsi="Times New Roman"/>
          <w:lang w:val="sr-Latn-BA"/>
        </w:rPr>
        <w:t xml:space="preserve"> </w:t>
      </w:r>
      <w:r w:rsidR="00AE7372">
        <w:rPr>
          <w:rFonts w:ascii="Times New Roman" w:hAnsi="Times New Roman"/>
          <w:lang w:val="sr-Latn-BA"/>
        </w:rPr>
        <w:t>Такође</w:t>
      </w:r>
      <w:r w:rsidR="00EF0601">
        <w:rPr>
          <w:rFonts w:ascii="Times New Roman" w:hAnsi="Times New Roman"/>
          <w:lang w:val="sr-Latn-BA"/>
        </w:rPr>
        <w:t xml:space="preserve">, </w:t>
      </w:r>
      <w:r>
        <w:rPr>
          <w:rFonts w:ascii="Times New Roman" w:hAnsi="Times New Roman"/>
          <w:lang w:val="sr-Latn-BA"/>
        </w:rPr>
        <w:t>АР</w:t>
      </w:r>
      <w:r w:rsidR="00AE7372">
        <w:rPr>
          <w:rFonts w:ascii="Times New Roman" w:hAnsi="Times New Roman"/>
          <w:lang w:val="sr-Cyrl-BA"/>
        </w:rPr>
        <w:t>П</w:t>
      </w:r>
      <w:r w:rsidR="00EF0601">
        <w:rPr>
          <w:rFonts w:ascii="Times New Roman" w:hAnsi="Times New Roman"/>
          <w:lang w:val="sr-Latn-BA"/>
        </w:rPr>
        <w:t xml:space="preserve"> </w:t>
      </w:r>
      <w:r>
        <w:rPr>
          <w:rFonts w:ascii="Times New Roman" w:hAnsi="Times New Roman"/>
          <w:lang w:val="sr-Latn-BA"/>
        </w:rPr>
        <w:t>БиХ</w:t>
      </w:r>
      <w:r w:rsidR="00EF0601">
        <w:rPr>
          <w:rFonts w:ascii="Times New Roman" w:hAnsi="Times New Roman"/>
          <w:lang w:val="sr-Latn-BA"/>
        </w:rPr>
        <w:t xml:space="preserve"> </w:t>
      </w:r>
      <w:r>
        <w:rPr>
          <w:rFonts w:ascii="Times New Roman" w:hAnsi="Times New Roman"/>
          <w:lang w:val="sr-Latn-BA"/>
        </w:rPr>
        <w:t>МЉПИ</w:t>
      </w:r>
      <w:r w:rsidR="00EF0601">
        <w:rPr>
          <w:rFonts w:ascii="Times New Roman" w:hAnsi="Times New Roman"/>
          <w:lang w:val="sr-Latn-BA"/>
        </w:rPr>
        <w:t xml:space="preserve"> </w:t>
      </w:r>
      <w:r>
        <w:rPr>
          <w:rFonts w:ascii="Times New Roman" w:hAnsi="Times New Roman"/>
          <w:lang w:val="sr-Latn-BA"/>
        </w:rPr>
        <w:t>БиХ</w:t>
      </w:r>
      <w:r w:rsidR="00961642">
        <w:rPr>
          <w:rFonts w:ascii="Times New Roman" w:hAnsi="Times New Roman"/>
          <w:lang w:val="sr-Latn-BA"/>
        </w:rPr>
        <w:t xml:space="preserve"> </w:t>
      </w:r>
      <w:r>
        <w:rPr>
          <w:rFonts w:ascii="Times New Roman" w:hAnsi="Times New Roman"/>
          <w:bCs/>
          <w:szCs w:val="24"/>
          <w:lang w:val="hr-HR"/>
        </w:rPr>
        <w:t>сваке</w:t>
      </w:r>
      <w:r w:rsidR="00961642" w:rsidRPr="006820FB">
        <w:rPr>
          <w:rFonts w:ascii="Times New Roman" w:hAnsi="Times New Roman"/>
          <w:szCs w:val="24"/>
          <w:lang w:val="hr-HR"/>
        </w:rPr>
        <w:t xml:space="preserve"> </w:t>
      </w:r>
      <w:r>
        <w:rPr>
          <w:rFonts w:ascii="Times New Roman" w:hAnsi="Times New Roman"/>
          <w:szCs w:val="24"/>
          <w:lang w:val="hr-HR"/>
        </w:rPr>
        <w:t>године</w:t>
      </w:r>
      <w:r w:rsidR="00961642" w:rsidRPr="006820FB">
        <w:rPr>
          <w:rFonts w:ascii="Times New Roman" w:hAnsi="Times New Roman"/>
          <w:szCs w:val="24"/>
          <w:lang w:val="hr-HR"/>
        </w:rPr>
        <w:t xml:space="preserve"> </w:t>
      </w:r>
      <w:r>
        <w:rPr>
          <w:rFonts w:ascii="Times New Roman" w:hAnsi="Times New Roman"/>
          <w:szCs w:val="24"/>
          <w:lang w:val="hr-HR"/>
        </w:rPr>
        <w:t>обиљежава</w:t>
      </w:r>
      <w:r w:rsidR="00961642" w:rsidRPr="006820FB">
        <w:rPr>
          <w:rFonts w:ascii="Times New Roman" w:hAnsi="Times New Roman"/>
          <w:szCs w:val="24"/>
          <w:lang w:val="hr-HR"/>
        </w:rPr>
        <w:t xml:space="preserve"> </w:t>
      </w:r>
      <w:r>
        <w:rPr>
          <w:rFonts w:ascii="Times New Roman" w:hAnsi="Times New Roman"/>
          <w:szCs w:val="24"/>
          <w:lang w:val="hr-HR"/>
        </w:rPr>
        <w:t>Међународни</w:t>
      </w:r>
      <w:r w:rsidR="00961642" w:rsidRPr="006820FB">
        <w:rPr>
          <w:rFonts w:ascii="Times New Roman" w:hAnsi="Times New Roman"/>
          <w:szCs w:val="24"/>
          <w:lang w:val="hr-HR"/>
        </w:rPr>
        <w:t xml:space="preserve"> </w:t>
      </w:r>
      <w:r>
        <w:rPr>
          <w:rFonts w:ascii="Times New Roman" w:hAnsi="Times New Roman"/>
          <w:szCs w:val="24"/>
          <w:lang w:val="hr-HR"/>
        </w:rPr>
        <w:t>дан</w:t>
      </w:r>
      <w:r w:rsidR="00961642" w:rsidRPr="006820FB">
        <w:rPr>
          <w:rFonts w:ascii="Times New Roman" w:hAnsi="Times New Roman"/>
          <w:szCs w:val="24"/>
          <w:lang w:val="hr-HR"/>
        </w:rPr>
        <w:t xml:space="preserve"> </w:t>
      </w:r>
      <w:r>
        <w:rPr>
          <w:rFonts w:ascii="Times New Roman" w:hAnsi="Times New Roman"/>
          <w:szCs w:val="24"/>
          <w:lang w:val="hr-HR"/>
        </w:rPr>
        <w:t>борбе</w:t>
      </w:r>
      <w:r w:rsidR="00961642" w:rsidRPr="006820FB">
        <w:rPr>
          <w:rFonts w:ascii="Times New Roman" w:hAnsi="Times New Roman"/>
          <w:szCs w:val="24"/>
          <w:lang w:val="hr-HR"/>
        </w:rPr>
        <w:t xml:space="preserve"> </w:t>
      </w:r>
      <w:r>
        <w:rPr>
          <w:rFonts w:ascii="Times New Roman" w:hAnsi="Times New Roman"/>
          <w:szCs w:val="24"/>
          <w:lang w:val="hr-HR"/>
        </w:rPr>
        <w:t>против</w:t>
      </w:r>
      <w:r w:rsidR="00961642" w:rsidRPr="006820FB">
        <w:rPr>
          <w:rFonts w:ascii="Times New Roman" w:hAnsi="Times New Roman"/>
          <w:szCs w:val="24"/>
          <w:lang w:val="hr-HR"/>
        </w:rPr>
        <w:t xml:space="preserve"> </w:t>
      </w:r>
      <w:r>
        <w:rPr>
          <w:rFonts w:ascii="Times New Roman" w:hAnsi="Times New Roman"/>
          <w:szCs w:val="24"/>
          <w:lang w:val="hr-HR"/>
        </w:rPr>
        <w:t>хомофобије</w:t>
      </w:r>
      <w:r w:rsidR="00961642" w:rsidRPr="006820FB">
        <w:rPr>
          <w:rFonts w:ascii="Times New Roman" w:hAnsi="Times New Roman"/>
          <w:szCs w:val="24"/>
          <w:lang w:val="hr-HR"/>
        </w:rPr>
        <w:t xml:space="preserve"> (</w:t>
      </w:r>
      <w:r w:rsidR="00AE7372" w:rsidRPr="00AE7372">
        <w:rPr>
          <w:rFonts w:ascii="Times New Roman" w:hAnsi="Times New Roman"/>
          <w:i/>
          <w:szCs w:val="24"/>
          <w:lang w:val="hr-HR"/>
        </w:rPr>
        <w:t>IDAHOT-day</w:t>
      </w:r>
      <w:r w:rsidR="00961642" w:rsidRPr="006820FB">
        <w:rPr>
          <w:rFonts w:ascii="Times New Roman" w:hAnsi="Times New Roman"/>
          <w:szCs w:val="24"/>
          <w:lang w:val="hr-HR"/>
        </w:rPr>
        <w:t>) 17.</w:t>
      </w:r>
      <w:r w:rsidR="00961642" w:rsidRPr="00295637">
        <w:rPr>
          <w:rFonts w:ascii="Times New Roman" w:hAnsi="Times New Roman"/>
          <w:szCs w:val="24"/>
        </w:rPr>
        <w:t xml:space="preserve"> </w:t>
      </w:r>
      <w:r>
        <w:rPr>
          <w:rFonts w:ascii="Times New Roman" w:hAnsi="Times New Roman"/>
          <w:szCs w:val="24"/>
        </w:rPr>
        <w:t>маја</w:t>
      </w:r>
      <w:r w:rsidR="00961642">
        <w:rPr>
          <w:rFonts w:ascii="Times New Roman" w:hAnsi="Times New Roman"/>
          <w:szCs w:val="24"/>
        </w:rPr>
        <w:t>.</w:t>
      </w:r>
    </w:p>
    <w:p w:rsidR="000718D6" w:rsidRPr="00295637" w:rsidRDefault="000718D6" w:rsidP="0086268D">
      <w:pPr>
        <w:jc w:val="both"/>
        <w:rPr>
          <w:rFonts w:ascii="Times New Roman" w:hAnsi="Times New Roman"/>
          <w:bCs/>
          <w:szCs w:val="24"/>
          <w:lang w:val="en-US"/>
        </w:rPr>
      </w:pPr>
    </w:p>
    <w:p w:rsidR="00735F13" w:rsidRDefault="00C6214E" w:rsidP="0086268D">
      <w:pPr>
        <w:jc w:val="both"/>
        <w:rPr>
          <w:rFonts w:ascii="Times New Roman" w:hAnsi="Times New Roman"/>
          <w:szCs w:val="24"/>
        </w:rPr>
      </w:pPr>
      <w:r>
        <w:rPr>
          <w:rFonts w:ascii="Times New Roman" w:hAnsi="Times New Roman"/>
          <w:szCs w:val="24"/>
        </w:rPr>
        <w:t>АР</w:t>
      </w:r>
      <w:r w:rsidR="00AE7372">
        <w:rPr>
          <w:rFonts w:ascii="Times New Roman" w:hAnsi="Times New Roman"/>
          <w:szCs w:val="24"/>
          <w:lang w:val="sr-Cyrl-BA"/>
        </w:rPr>
        <w:t>П</w:t>
      </w:r>
      <w:r w:rsidR="00961642">
        <w:rPr>
          <w:rFonts w:ascii="Times New Roman" w:hAnsi="Times New Roman"/>
          <w:szCs w:val="24"/>
        </w:rPr>
        <w:t xml:space="preserve"> </w:t>
      </w:r>
      <w:r>
        <w:rPr>
          <w:rFonts w:ascii="Times New Roman" w:hAnsi="Times New Roman"/>
          <w:szCs w:val="24"/>
        </w:rPr>
        <w:t>БиХ</w:t>
      </w:r>
      <w:r w:rsidR="00EF0601">
        <w:rPr>
          <w:rFonts w:ascii="Times New Roman" w:hAnsi="Times New Roman"/>
          <w:szCs w:val="24"/>
        </w:rPr>
        <w:t xml:space="preserve"> </w:t>
      </w:r>
      <w:r>
        <w:rPr>
          <w:rFonts w:ascii="Times New Roman" w:hAnsi="Times New Roman"/>
          <w:szCs w:val="24"/>
        </w:rPr>
        <w:t>МЉПИ</w:t>
      </w:r>
      <w:r w:rsidR="00EF0601">
        <w:rPr>
          <w:rFonts w:ascii="Times New Roman" w:hAnsi="Times New Roman"/>
          <w:szCs w:val="24"/>
        </w:rPr>
        <w:t xml:space="preserve"> </w:t>
      </w:r>
      <w:r>
        <w:rPr>
          <w:rFonts w:ascii="Times New Roman" w:hAnsi="Times New Roman"/>
          <w:szCs w:val="24"/>
        </w:rPr>
        <w:t>БиХ</w:t>
      </w:r>
      <w:r w:rsidR="0047216C" w:rsidRPr="00295637">
        <w:rPr>
          <w:rFonts w:ascii="Times New Roman" w:hAnsi="Times New Roman"/>
          <w:szCs w:val="24"/>
        </w:rPr>
        <w:t xml:space="preserve"> </w:t>
      </w:r>
      <w:r w:rsidR="00AE7372">
        <w:rPr>
          <w:rFonts w:ascii="Times New Roman" w:hAnsi="Times New Roman"/>
          <w:szCs w:val="24"/>
        </w:rPr>
        <w:t xml:space="preserve">је </w:t>
      </w:r>
      <w:r>
        <w:rPr>
          <w:rFonts w:ascii="Times New Roman" w:hAnsi="Times New Roman"/>
          <w:szCs w:val="24"/>
        </w:rPr>
        <w:t>сачинила</w:t>
      </w:r>
      <w:r w:rsidR="00FD27DA" w:rsidRPr="00295637">
        <w:rPr>
          <w:rFonts w:ascii="Times New Roman" w:hAnsi="Times New Roman"/>
          <w:szCs w:val="24"/>
        </w:rPr>
        <w:t xml:space="preserve"> </w:t>
      </w:r>
      <w:r>
        <w:rPr>
          <w:rFonts w:ascii="Times New Roman" w:hAnsi="Times New Roman"/>
          <w:szCs w:val="24"/>
        </w:rPr>
        <w:t>приједлог</w:t>
      </w:r>
      <w:r w:rsidR="00FD27DA" w:rsidRPr="00295637">
        <w:rPr>
          <w:rFonts w:ascii="Times New Roman" w:hAnsi="Times New Roman"/>
          <w:szCs w:val="24"/>
        </w:rPr>
        <w:t xml:space="preserve"> </w:t>
      </w:r>
      <w:r>
        <w:rPr>
          <w:rFonts w:ascii="Times New Roman" w:hAnsi="Times New Roman"/>
          <w:szCs w:val="24"/>
        </w:rPr>
        <w:t>за</w:t>
      </w:r>
      <w:r w:rsidR="00FD27DA" w:rsidRPr="00295637">
        <w:rPr>
          <w:rFonts w:ascii="Times New Roman" w:hAnsi="Times New Roman"/>
          <w:szCs w:val="24"/>
        </w:rPr>
        <w:t xml:space="preserve"> </w:t>
      </w:r>
      <w:r>
        <w:rPr>
          <w:rFonts w:ascii="Times New Roman" w:hAnsi="Times New Roman"/>
          <w:szCs w:val="24"/>
        </w:rPr>
        <w:t>уврштавање</w:t>
      </w:r>
      <w:r w:rsidR="00FD27DA" w:rsidRPr="00295637">
        <w:rPr>
          <w:rFonts w:ascii="Times New Roman" w:hAnsi="Times New Roman"/>
          <w:szCs w:val="24"/>
        </w:rPr>
        <w:t xml:space="preserve"> </w:t>
      </w:r>
      <w:r>
        <w:rPr>
          <w:rFonts w:ascii="Times New Roman" w:hAnsi="Times New Roman"/>
          <w:szCs w:val="24"/>
        </w:rPr>
        <w:t>датума</w:t>
      </w:r>
      <w:r w:rsidR="00FD27DA" w:rsidRPr="00295637">
        <w:rPr>
          <w:rFonts w:ascii="Times New Roman" w:hAnsi="Times New Roman"/>
          <w:szCs w:val="24"/>
        </w:rPr>
        <w:t xml:space="preserve"> </w:t>
      </w:r>
      <w:r>
        <w:rPr>
          <w:rFonts w:ascii="Times New Roman" w:hAnsi="Times New Roman"/>
          <w:szCs w:val="24"/>
        </w:rPr>
        <w:t>одржавања</w:t>
      </w:r>
      <w:r w:rsidR="00FD27DA" w:rsidRPr="00295637">
        <w:rPr>
          <w:rFonts w:ascii="Times New Roman" w:hAnsi="Times New Roman"/>
          <w:szCs w:val="24"/>
        </w:rPr>
        <w:t xml:space="preserve"> </w:t>
      </w:r>
      <w:r>
        <w:rPr>
          <w:rFonts w:ascii="Times New Roman" w:hAnsi="Times New Roman"/>
          <w:szCs w:val="24"/>
        </w:rPr>
        <w:t>прве</w:t>
      </w:r>
      <w:r w:rsidR="00FD27DA" w:rsidRPr="00295637">
        <w:rPr>
          <w:rFonts w:ascii="Times New Roman" w:hAnsi="Times New Roman"/>
          <w:szCs w:val="24"/>
        </w:rPr>
        <w:t xml:space="preserve"> </w:t>
      </w:r>
      <w:r>
        <w:rPr>
          <w:rFonts w:ascii="Times New Roman" w:hAnsi="Times New Roman"/>
          <w:szCs w:val="24"/>
        </w:rPr>
        <w:t>Босанскохерцеговачке</w:t>
      </w:r>
      <w:r w:rsidR="00575A03">
        <w:rPr>
          <w:rFonts w:ascii="Times New Roman" w:hAnsi="Times New Roman"/>
          <w:szCs w:val="24"/>
        </w:rPr>
        <w:t xml:space="preserve"> </w:t>
      </w:r>
      <w:r>
        <w:rPr>
          <w:rFonts w:ascii="Times New Roman" w:hAnsi="Times New Roman"/>
          <w:szCs w:val="24"/>
        </w:rPr>
        <w:t>поворке</w:t>
      </w:r>
      <w:r w:rsidR="00575A03">
        <w:rPr>
          <w:rFonts w:ascii="Times New Roman" w:hAnsi="Times New Roman"/>
          <w:szCs w:val="24"/>
        </w:rPr>
        <w:t xml:space="preserve"> </w:t>
      </w:r>
      <w:r>
        <w:rPr>
          <w:rFonts w:ascii="Times New Roman" w:hAnsi="Times New Roman"/>
          <w:szCs w:val="24"/>
        </w:rPr>
        <w:t>поноса</w:t>
      </w:r>
      <w:r w:rsidR="00575A03">
        <w:rPr>
          <w:rFonts w:ascii="Times New Roman" w:hAnsi="Times New Roman"/>
          <w:szCs w:val="24"/>
        </w:rPr>
        <w:t xml:space="preserve">, 8. </w:t>
      </w:r>
      <w:r>
        <w:rPr>
          <w:rFonts w:ascii="Times New Roman" w:hAnsi="Times New Roman"/>
          <w:szCs w:val="24"/>
        </w:rPr>
        <w:t>септембра</w:t>
      </w:r>
      <w:r w:rsidR="00575A03">
        <w:rPr>
          <w:rFonts w:ascii="Times New Roman" w:hAnsi="Times New Roman"/>
          <w:szCs w:val="24"/>
        </w:rPr>
        <w:t xml:space="preserve"> </w:t>
      </w:r>
      <w:r>
        <w:rPr>
          <w:rFonts w:ascii="Times New Roman" w:hAnsi="Times New Roman"/>
          <w:szCs w:val="24"/>
        </w:rPr>
        <w:t>и</w:t>
      </w:r>
      <w:r w:rsidR="00575A03">
        <w:rPr>
          <w:rFonts w:ascii="Times New Roman" w:hAnsi="Times New Roman"/>
          <w:szCs w:val="24"/>
        </w:rPr>
        <w:t xml:space="preserve"> </w:t>
      </w:r>
      <w:r>
        <w:rPr>
          <w:rFonts w:ascii="Times New Roman" w:hAnsi="Times New Roman"/>
          <w:szCs w:val="24"/>
        </w:rPr>
        <w:t>обиљежавање</w:t>
      </w:r>
      <w:r w:rsidR="00575A03">
        <w:rPr>
          <w:rFonts w:ascii="Times New Roman" w:hAnsi="Times New Roman"/>
          <w:szCs w:val="24"/>
        </w:rPr>
        <w:t xml:space="preserve"> </w:t>
      </w:r>
      <w:r>
        <w:rPr>
          <w:rFonts w:ascii="Times New Roman" w:hAnsi="Times New Roman"/>
          <w:szCs w:val="24"/>
        </w:rPr>
        <w:t>Дана</w:t>
      </w:r>
      <w:r w:rsidR="00575A03">
        <w:rPr>
          <w:rFonts w:ascii="Times New Roman" w:hAnsi="Times New Roman"/>
          <w:szCs w:val="24"/>
        </w:rPr>
        <w:t xml:space="preserve"> </w:t>
      </w:r>
      <w:r>
        <w:rPr>
          <w:rFonts w:ascii="Times New Roman" w:hAnsi="Times New Roman"/>
          <w:szCs w:val="24"/>
        </w:rPr>
        <w:t>једнаких</w:t>
      </w:r>
      <w:r w:rsidR="00575A03">
        <w:rPr>
          <w:rFonts w:ascii="Times New Roman" w:hAnsi="Times New Roman"/>
          <w:szCs w:val="24"/>
        </w:rPr>
        <w:t xml:space="preserve"> </w:t>
      </w:r>
      <w:r>
        <w:rPr>
          <w:rFonts w:ascii="Times New Roman" w:hAnsi="Times New Roman"/>
          <w:szCs w:val="24"/>
        </w:rPr>
        <w:t>пла</w:t>
      </w:r>
      <w:r w:rsidR="00AE7372">
        <w:rPr>
          <w:rFonts w:ascii="Times New Roman" w:hAnsi="Times New Roman"/>
          <w:szCs w:val="24"/>
          <w:lang w:val="sr-Cyrl-BA"/>
        </w:rPr>
        <w:t>т</w:t>
      </w:r>
      <w:r>
        <w:rPr>
          <w:rFonts w:ascii="Times New Roman" w:hAnsi="Times New Roman"/>
          <w:szCs w:val="24"/>
        </w:rPr>
        <w:t>а</w:t>
      </w:r>
      <w:r w:rsidR="00575A03">
        <w:rPr>
          <w:rFonts w:ascii="Times New Roman" w:hAnsi="Times New Roman"/>
          <w:szCs w:val="24"/>
        </w:rPr>
        <w:t xml:space="preserve"> </w:t>
      </w:r>
      <w:r>
        <w:rPr>
          <w:rFonts w:ascii="Times New Roman" w:hAnsi="Times New Roman"/>
          <w:szCs w:val="24"/>
        </w:rPr>
        <w:t>у</w:t>
      </w:r>
      <w:r w:rsidR="00575A03">
        <w:rPr>
          <w:rFonts w:ascii="Times New Roman" w:hAnsi="Times New Roman"/>
          <w:szCs w:val="24"/>
        </w:rPr>
        <w:t xml:space="preserve"> </w:t>
      </w:r>
      <w:r>
        <w:rPr>
          <w:rFonts w:ascii="Times New Roman" w:hAnsi="Times New Roman"/>
          <w:szCs w:val="24"/>
        </w:rPr>
        <w:t>БиХ</w:t>
      </w:r>
      <w:r w:rsidR="00FD27DA" w:rsidRPr="00295637">
        <w:rPr>
          <w:rFonts w:ascii="Times New Roman" w:hAnsi="Times New Roman"/>
          <w:szCs w:val="24"/>
        </w:rPr>
        <w:t xml:space="preserve"> </w:t>
      </w:r>
      <w:r>
        <w:rPr>
          <w:rFonts w:ascii="Times New Roman" w:hAnsi="Times New Roman"/>
          <w:szCs w:val="24"/>
        </w:rPr>
        <w:t>у</w:t>
      </w:r>
      <w:r w:rsidR="00FD27DA" w:rsidRPr="00295637">
        <w:rPr>
          <w:rFonts w:ascii="Times New Roman" w:hAnsi="Times New Roman"/>
          <w:szCs w:val="24"/>
        </w:rPr>
        <w:t xml:space="preserve"> </w:t>
      </w:r>
      <w:r>
        <w:rPr>
          <w:rFonts w:ascii="Times New Roman" w:hAnsi="Times New Roman"/>
          <w:szCs w:val="24"/>
        </w:rPr>
        <w:t>Програм</w:t>
      </w:r>
      <w:r w:rsidR="00FD27DA" w:rsidRPr="00295637">
        <w:rPr>
          <w:rFonts w:ascii="Times New Roman" w:hAnsi="Times New Roman"/>
          <w:szCs w:val="24"/>
        </w:rPr>
        <w:t xml:space="preserve"> </w:t>
      </w:r>
      <w:r>
        <w:rPr>
          <w:rFonts w:ascii="Times New Roman" w:hAnsi="Times New Roman"/>
          <w:szCs w:val="24"/>
        </w:rPr>
        <w:t>обиљежавања</w:t>
      </w:r>
      <w:r w:rsidR="00FD27DA" w:rsidRPr="00295637">
        <w:rPr>
          <w:rFonts w:ascii="Times New Roman" w:hAnsi="Times New Roman"/>
          <w:szCs w:val="24"/>
        </w:rPr>
        <w:t xml:space="preserve"> </w:t>
      </w:r>
      <w:r>
        <w:rPr>
          <w:rFonts w:ascii="Times New Roman" w:hAnsi="Times New Roman"/>
          <w:szCs w:val="24"/>
        </w:rPr>
        <w:t>значајних</w:t>
      </w:r>
      <w:r w:rsidR="00FD27DA" w:rsidRPr="00295637">
        <w:rPr>
          <w:rFonts w:ascii="Times New Roman" w:hAnsi="Times New Roman"/>
          <w:szCs w:val="24"/>
        </w:rPr>
        <w:t xml:space="preserve"> </w:t>
      </w:r>
      <w:r>
        <w:rPr>
          <w:rFonts w:ascii="Times New Roman" w:hAnsi="Times New Roman"/>
          <w:szCs w:val="24"/>
        </w:rPr>
        <w:t>датума</w:t>
      </w:r>
      <w:r w:rsidR="00FD27DA" w:rsidRPr="00295637">
        <w:rPr>
          <w:rFonts w:ascii="Times New Roman" w:hAnsi="Times New Roman"/>
          <w:szCs w:val="24"/>
        </w:rPr>
        <w:t xml:space="preserve"> </w:t>
      </w:r>
      <w:r>
        <w:rPr>
          <w:rFonts w:ascii="Times New Roman" w:hAnsi="Times New Roman"/>
          <w:szCs w:val="24"/>
        </w:rPr>
        <w:t>из</w:t>
      </w:r>
      <w:r w:rsidR="00FD27DA" w:rsidRPr="00295637">
        <w:rPr>
          <w:rFonts w:ascii="Times New Roman" w:hAnsi="Times New Roman"/>
          <w:szCs w:val="24"/>
        </w:rPr>
        <w:t xml:space="preserve"> </w:t>
      </w:r>
      <w:r>
        <w:rPr>
          <w:rFonts w:ascii="Times New Roman" w:hAnsi="Times New Roman"/>
          <w:szCs w:val="24"/>
        </w:rPr>
        <w:t>области</w:t>
      </w:r>
      <w:r w:rsidR="00FD27DA" w:rsidRPr="00295637">
        <w:rPr>
          <w:rFonts w:ascii="Times New Roman" w:hAnsi="Times New Roman"/>
          <w:szCs w:val="24"/>
        </w:rPr>
        <w:t xml:space="preserve"> </w:t>
      </w:r>
      <w:r>
        <w:rPr>
          <w:rFonts w:ascii="Times New Roman" w:hAnsi="Times New Roman"/>
          <w:szCs w:val="24"/>
        </w:rPr>
        <w:t>људских</w:t>
      </w:r>
      <w:r w:rsidR="00FD27DA" w:rsidRPr="00295637">
        <w:rPr>
          <w:rFonts w:ascii="Times New Roman" w:hAnsi="Times New Roman"/>
          <w:szCs w:val="24"/>
        </w:rPr>
        <w:t xml:space="preserve"> </w:t>
      </w:r>
      <w:r>
        <w:rPr>
          <w:rFonts w:ascii="Times New Roman" w:hAnsi="Times New Roman"/>
          <w:szCs w:val="24"/>
        </w:rPr>
        <w:t>права</w:t>
      </w:r>
      <w:r w:rsidR="00FD27DA" w:rsidRPr="00295637">
        <w:rPr>
          <w:rFonts w:ascii="Times New Roman" w:hAnsi="Times New Roman"/>
          <w:szCs w:val="24"/>
        </w:rPr>
        <w:t xml:space="preserve"> </w:t>
      </w:r>
      <w:r>
        <w:rPr>
          <w:rFonts w:ascii="Times New Roman" w:hAnsi="Times New Roman"/>
          <w:szCs w:val="24"/>
        </w:rPr>
        <w:t>у</w:t>
      </w:r>
      <w:r w:rsidR="00FD27DA" w:rsidRPr="00295637">
        <w:rPr>
          <w:rFonts w:ascii="Times New Roman" w:hAnsi="Times New Roman"/>
          <w:szCs w:val="24"/>
        </w:rPr>
        <w:t xml:space="preserve"> </w:t>
      </w:r>
      <w:r>
        <w:rPr>
          <w:rFonts w:ascii="Times New Roman" w:hAnsi="Times New Roman"/>
          <w:szCs w:val="24"/>
        </w:rPr>
        <w:t>институцијама</w:t>
      </w:r>
      <w:r w:rsidR="00FD27DA" w:rsidRPr="00295637">
        <w:rPr>
          <w:rFonts w:ascii="Times New Roman" w:hAnsi="Times New Roman"/>
          <w:szCs w:val="24"/>
        </w:rPr>
        <w:t xml:space="preserve"> </w:t>
      </w:r>
      <w:r>
        <w:rPr>
          <w:rFonts w:ascii="Times New Roman" w:hAnsi="Times New Roman"/>
          <w:szCs w:val="24"/>
        </w:rPr>
        <w:t>БиХ</w:t>
      </w:r>
      <w:r w:rsidR="00FD27DA" w:rsidRPr="00295637">
        <w:rPr>
          <w:rFonts w:ascii="Times New Roman" w:hAnsi="Times New Roman"/>
          <w:szCs w:val="24"/>
        </w:rPr>
        <w:t xml:space="preserve"> </w:t>
      </w:r>
      <w:r>
        <w:rPr>
          <w:rFonts w:ascii="Times New Roman" w:hAnsi="Times New Roman"/>
          <w:szCs w:val="24"/>
        </w:rPr>
        <w:t>за</w:t>
      </w:r>
      <w:r w:rsidR="00FD27DA" w:rsidRPr="00295637">
        <w:rPr>
          <w:rFonts w:ascii="Times New Roman" w:hAnsi="Times New Roman"/>
          <w:szCs w:val="24"/>
        </w:rPr>
        <w:t xml:space="preserve"> 2025. </w:t>
      </w:r>
      <w:r>
        <w:rPr>
          <w:rFonts w:ascii="Times New Roman" w:hAnsi="Times New Roman"/>
          <w:szCs w:val="24"/>
        </w:rPr>
        <w:t>годину</w:t>
      </w:r>
      <w:r w:rsidR="00D06BDE">
        <w:rPr>
          <w:rFonts w:ascii="Times New Roman" w:hAnsi="Times New Roman"/>
          <w:szCs w:val="24"/>
        </w:rPr>
        <w:t xml:space="preserve">. </w:t>
      </w:r>
      <w:r>
        <w:rPr>
          <w:rFonts w:ascii="Times New Roman" w:hAnsi="Times New Roman"/>
          <w:szCs w:val="24"/>
        </w:rPr>
        <w:t>Приједлог</w:t>
      </w:r>
      <w:r w:rsidR="00D06BDE">
        <w:rPr>
          <w:rFonts w:ascii="Times New Roman" w:hAnsi="Times New Roman"/>
          <w:szCs w:val="24"/>
        </w:rPr>
        <w:t xml:space="preserve"> </w:t>
      </w:r>
      <w:r>
        <w:rPr>
          <w:rFonts w:ascii="Times New Roman" w:hAnsi="Times New Roman"/>
          <w:szCs w:val="24"/>
        </w:rPr>
        <w:t>је</w:t>
      </w:r>
      <w:r w:rsidR="00D06BDE">
        <w:rPr>
          <w:rFonts w:ascii="Times New Roman" w:hAnsi="Times New Roman"/>
          <w:szCs w:val="24"/>
        </w:rPr>
        <w:t xml:space="preserve"> </w:t>
      </w:r>
      <w:r>
        <w:rPr>
          <w:rFonts w:ascii="Times New Roman" w:hAnsi="Times New Roman"/>
          <w:szCs w:val="24"/>
        </w:rPr>
        <w:t>уврштен</w:t>
      </w:r>
      <w:r w:rsidR="00D06BDE">
        <w:rPr>
          <w:rFonts w:ascii="Times New Roman" w:hAnsi="Times New Roman"/>
          <w:szCs w:val="24"/>
        </w:rPr>
        <w:t xml:space="preserve"> </w:t>
      </w:r>
      <w:r>
        <w:rPr>
          <w:rFonts w:ascii="Times New Roman" w:hAnsi="Times New Roman"/>
          <w:szCs w:val="24"/>
        </w:rPr>
        <w:t>у</w:t>
      </w:r>
      <w:r w:rsidR="00D06BDE">
        <w:rPr>
          <w:rFonts w:ascii="Times New Roman" w:hAnsi="Times New Roman"/>
          <w:szCs w:val="24"/>
        </w:rPr>
        <w:t xml:space="preserve"> </w:t>
      </w:r>
      <w:r>
        <w:rPr>
          <w:rFonts w:ascii="Times New Roman" w:hAnsi="Times New Roman"/>
          <w:szCs w:val="24"/>
        </w:rPr>
        <w:t>Нацрт</w:t>
      </w:r>
      <w:r w:rsidR="00FD27DA" w:rsidRPr="00295637">
        <w:rPr>
          <w:rFonts w:ascii="Times New Roman" w:hAnsi="Times New Roman"/>
          <w:szCs w:val="24"/>
        </w:rPr>
        <w:t xml:space="preserve"> </w:t>
      </w:r>
      <w:r>
        <w:rPr>
          <w:rFonts w:ascii="Times New Roman" w:hAnsi="Times New Roman"/>
          <w:szCs w:val="24"/>
        </w:rPr>
        <w:t>програма</w:t>
      </w:r>
      <w:r w:rsidR="00FD27DA" w:rsidRPr="00295637">
        <w:rPr>
          <w:rFonts w:ascii="Times New Roman" w:hAnsi="Times New Roman"/>
          <w:szCs w:val="24"/>
        </w:rPr>
        <w:t xml:space="preserve"> </w:t>
      </w:r>
      <w:r>
        <w:rPr>
          <w:rFonts w:ascii="Times New Roman" w:hAnsi="Times New Roman"/>
          <w:szCs w:val="24"/>
        </w:rPr>
        <w:t>којег</w:t>
      </w:r>
      <w:r w:rsidR="00FD27DA" w:rsidRPr="00295637">
        <w:rPr>
          <w:rFonts w:ascii="Times New Roman" w:hAnsi="Times New Roman"/>
          <w:szCs w:val="24"/>
        </w:rPr>
        <w:t xml:space="preserve"> </w:t>
      </w:r>
      <w:r>
        <w:rPr>
          <w:rFonts w:ascii="Times New Roman" w:hAnsi="Times New Roman"/>
          <w:szCs w:val="24"/>
        </w:rPr>
        <w:t>је</w:t>
      </w:r>
      <w:r w:rsidR="00FD27DA" w:rsidRPr="00295637">
        <w:rPr>
          <w:rFonts w:ascii="Times New Roman" w:hAnsi="Times New Roman"/>
          <w:szCs w:val="24"/>
        </w:rPr>
        <w:t xml:space="preserve"> </w:t>
      </w:r>
      <w:r>
        <w:rPr>
          <w:rFonts w:ascii="Times New Roman" w:hAnsi="Times New Roman"/>
          <w:szCs w:val="24"/>
        </w:rPr>
        <w:t>комплетирало</w:t>
      </w:r>
      <w:r w:rsidR="00FD27DA" w:rsidRPr="00295637">
        <w:rPr>
          <w:rFonts w:ascii="Times New Roman" w:hAnsi="Times New Roman"/>
          <w:szCs w:val="24"/>
        </w:rPr>
        <w:t xml:space="preserve"> </w:t>
      </w:r>
      <w:r>
        <w:rPr>
          <w:rFonts w:ascii="Times New Roman" w:hAnsi="Times New Roman"/>
          <w:szCs w:val="24"/>
        </w:rPr>
        <w:t>МЉПИ</w:t>
      </w:r>
      <w:r w:rsidR="009E54A2" w:rsidRPr="00295637">
        <w:rPr>
          <w:rFonts w:ascii="Times New Roman" w:hAnsi="Times New Roman"/>
          <w:szCs w:val="24"/>
        </w:rPr>
        <w:t xml:space="preserve"> </w:t>
      </w:r>
      <w:r>
        <w:rPr>
          <w:rFonts w:ascii="Times New Roman" w:hAnsi="Times New Roman"/>
          <w:szCs w:val="24"/>
        </w:rPr>
        <w:t>БиХ</w:t>
      </w:r>
      <w:r w:rsidR="009E54A2" w:rsidRPr="00295637">
        <w:rPr>
          <w:rFonts w:ascii="Times New Roman" w:hAnsi="Times New Roman"/>
          <w:szCs w:val="24"/>
        </w:rPr>
        <w:t xml:space="preserve"> </w:t>
      </w:r>
      <w:r>
        <w:rPr>
          <w:rFonts w:ascii="Times New Roman" w:hAnsi="Times New Roman"/>
          <w:szCs w:val="24"/>
        </w:rPr>
        <w:t>и</w:t>
      </w:r>
      <w:r w:rsidR="00FD27DA" w:rsidRPr="00295637">
        <w:rPr>
          <w:rFonts w:ascii="Times New Roman" w:hAnsi="Times New Roman"/>
          <w:szCs w:val="24"/>
        </w:rPr>
        <w:t xml:space="preserve"> </w:t>
      </w:r>
      <w:r>
        <w:rPr>
          <w:rFonts w:ascii="Times New Roman" w:hAnsi="Times New Roman"/>
          <w:szCs w:val="24"/>
        </w:rPr>
        <w:t>који</w:t>
      </w:r>
      <w:r w:rsidR="00FD27DA" w:rsidRPr="00295637">
        <w:rPr>
          <w:rFonts w:ascii="Times New Roman" w:hAnsi="Times New Roman"/>
          <w:szCs w:val="24"/>
        </w:rPr>
        <w:t xml:space="preserve"> </w:t>
      </w:r>
      <w:r>
        <w:rPr>
          <w:rFonts w:ascii="Times New Roman" w:hAnsi="Times New Roman"/>
          <w:szCs w:val="24"/>
        </w:rPr>
        <w:t>се</w:t>
      </w:r>
      <w:r w:rsidR="009F1105" w:rsidRPr="00295637">
        <w:rPr>
          <w:rFonts w:ascii="Times New Roman" w:hAnsi="Times New Roman"/>
          <w:szCs w:val="24"/>
        </w:rPr>
        <w:t xml:space="preserve"> </w:t>
      </w:r>
      <w:r>
        <w:rPr>
          <w:rFonts w:ascii="Times New Roman" w:hAnsi="Times New Roman"/>
          <w:szCs w:val="24"/>
        </w:rPr>
        <w:t>упућује</w:t>
      </w:r>
      <w:r w:rsidR="009F1105" w:rsidRPr="00295637">
        <w:rPr>
          <w:rFonts w:ascii="Times New Roman" w:hAnsi="Times New Roman"/>
          <w:szCs w:val="24"/>
        </w:rPr>
        <w:t xml:space="preserve"> </w:t>
      </w:r>
      <w:r w:rsidR="00AE7372">
        <w:rPr>
          <w:rFonts w:ascii="Times New Roman" w:hAnsi="Times New Roman"/>
          <w:szCs w:val="24"/>
          <w:lang w:val="sr-Cyrl-BA"/>
        </w:rPr>
        <w:t>Савјету</w:t>
      </w:r>
      <w:r w:rsidR="00FD27DA" w:rsidRPr="00295637">
        <w:rPr>
          <w:rFonts w:ascii="Times New Roman" w:hAnsi="Times New Roman"/>
          <w:szCs w:val="24"/>
        </w:rPr>
        <w:t xml:space="preserve"> </w:t>
      </w:r>
      <w:r>
        <w:rPr>
          <w:rFonts w:ascii="Times New Roman" w:hAnsi="Times New Roman"/>
          <w:szCs w:val="24"/>
        </w:rPr>
        <w:t>министара</w:t>
      </w:r>
      <w:r w:rsidR="00FD27DA" w:rsidRPr="00295637">
        <w:rPr>
          <w:rFonts w:ascii="Times New Roman" w:hAnsi="Times New Roman"/>
          <w:szCs w:val="24"/>
        </w:rPr>
        <w:t xml:space="preserve"> </w:t>
      </w:r>
      <w:r>
        <w:rPr>
          <w:rFonts w:ascii="Times New Roman" w:hAnsi="Times New Roman"/>
          <w:szCs w:val="24"/>
        </w:rPr>
        <w:t>БиХ</w:t>
      </w:r>
      <w:r w:rsidR="009F1105" w:rsidRPr="00295637">
        <w:rPr>
          <w:rFonts w:ascii="Times New Roman" w:hAnsi="Times New Roman"/>
          <w:szCs w:val="24"/>
        </w:rPr>
        <w:t xml:space="preserve"> </w:t>
      </w:r>
      <w:r>
        <w:rPr>
          <w:rFonts w:ascii="Times New Roman" w:hAnsi="Times New Roman"/>
          <w:szCs w:val="24"/>
        </w:rPr>
        <w:t>на</w:t>
      </w:r>
      <w:r w:rsidR="009F1105" w:rsidRPr="00295637">
        <w:rPr>
          <w:rFonts w:ascii="Times New Roman" w:hAnsi="Times New Roman"/>
          <w:szCs w:val="24"/>
        </w:rPr>
        <w:t xml:space="preserve"> </w:t>
      </w:r>
      <w:r>
        <w:rPr>
          <w:rFonts w:ascii="Times New Roman" w:hAnsi="Times New Roman"/>
          <w:szCs w:val="24"/>
        </w:rPr>
        <w:t>усвајање</w:t>
      </w:r>
      <w:r w:rsidR="00FD27DA" w:rsidRPr="00295637">
        <w:rPr>
          <w:rFonts w:ascii="Times New Roman" w:hAnsi="Times New Roman"/>
          <w:szCs w:val="24"/>
        </w:rPr>
        <w:t>.</w:t>
      </w:r>
    </w:p>
    <w:p w:rsidR="00735F13" w:rsidRPr="00295637" w:rsidRDefault="00735F13" w:rsidP="0086268D">
      <w:pPr>
        <w:rPr>
          <w:szCs w:val="24"/>
          <w:lang w:val="bs-Latn-BA"/>
        </w:rPr>
      </w:pPr>
    </w:p>
    <w:p w:rsidR="00356C2C" w:rsidRPr="00295637" w:rsidRDefault="00AE7372" w:rsidP="00D06BDE">
      <w:pPr>
        <w:pStyle w:val="Heading4"/>
        <w:numPr>
          <w:ilvl w:val="0"/>
          <w:numId w:val="0"/>
        </w:numPr>
        <w:spacing w:after="0" w:line="240" w:lineRule="auto"/>
        <w:ind w:left="567"/>
        <w:rPr>
          <w:rFonts w:ascii="Times New Roman" w:hAnsi="Times New Roman" w:cs="Times New Roman"/>
          <w:b w:val="0"/>
          <w:lang w:val="bs-Latn-BA"/>
        </w:rPr>
      </w:pPr>
      <w:r w:rsidRPr="00AE7372">
        <w:rPr>
          <w:rFonts w:ascii="Times New Roman" w:hAnsi="Times New Roman" w:cs="Times New Roman"/>
          <w:b w:val="0"/>
          <w:lang w:val="bs-Latn-BA"/>
        </w:rPr>
        <w:t>II</w:t>
      </w:r>
      <w:r w:rsidR="00D06BDE">
        <w:rPr>
          <w:rFonts w:ascii="Times New Roman" w:hAnsi="Times New Roman" w:cs="Times New Roman"/>
          <w:b w:val="0"/>
          <w:lang w:val="bs-Latn-BA"/>
        </w:rPr>
        <w:t xml:space="preserve"> 4.2. </w:t>
      </w:r>
      <w:r w:rsidR="00C6214E">
        <w:rPr>
          <w:rFonts w:ascii="Times New Roman" w:hAnsi="Times New Roman" w:cs="Times New Roman"/>
          <w:b w:val="0"/>
          <w:lang w:val="bs-Latn-BA"/>
        </w:rPr>
        <w:t>Организ</w:t>
      </w:r>
      <w:r>
        <w:rPr>
          <w:rFonts w:ascii="Times New Roman" w:hAnsi="Times New Roman" w:cs="Times New Roman"/>
          <w:b w:val="0"/>
          <w:lang w:val="sr-Cyrl-BA"/>
        </w:rPr>
        <w:t>овање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промотивних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догађаја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кампања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конференција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радионица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округлих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столова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тематских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сједница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различитим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областима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друштвеног</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живота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укључујући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израду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дистрибуцију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промотивних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едука</w:t>
      </w:r>
      <w:r>
        <w:rPr>
          <w:rFonts w:ascii="Times New Roman" w:hAnsi="Times New Roman" w:cs="Times New Roman"/>
          <w:b w:val="0"/>
          <w:lang w:val="sr-Cyrl-BA"/>
        </w:rPr>
        <w:t>тивних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материјала</w:t>
      </w:r>
      <w:r w:rsidR="00356C2C" w:rsidRPr="00295637">
        <w:rPr>
          <w:rFonts w:ascii="Times New Roman" w:hAnsi="Times New Roman" w:cs="Times New Roman"/>
          <w:b w:val="0"/>
          <w:lang w:val="bs-Latn-BA"/>
        </w:rPr>
        <w:t>.</w:t>
      </w:r>
    </w:p>
    <w:p w:rsidR="009F1105" w:rsidRPr="00295637" w:rsidRDefault="009F1105" w:rsidP="0086268D">
      <w:pPr>
        <w:rPr>
          <w:rFonts w:cs="Arial"/>
        </w:rPr>
      </w:pPr>
    </w:p>
    <w:p w:rsidR="00813CB7" w:rsidRPr="00295637" w:rsidRDefault="00C6214E" w:rsidP="0086268D">
      <w:pPr>
        <w:jc w:val="both"/>
        <w:rPr>
          <w:rFonts w:ascii="Times New Roman" w:hAnsi="Times New Roman"/>
        </w:rPr>
      </w:pPr>
      <w:r>
        <w:rPr>
          <w:rFonts w:ascii="Times New Roman" w:hAnsi="Times New Roman"/>
        </w:rPr>
        <w:t>АР</w:t>
      </w:r>
      <w:r w:rsidR="00AE7372">
        <w:rPr>
          <w:rFonts w:ascii="Times New Roman" w:hAnsi="Times New Roman"/>
          <w:lang w:val="sr-Cyrl-BA"/>
        </w:rPr>
        <w:t>П</w:t>
      </w:r>
      <w:r w:rsidR="00EF0601">
        <w:rPr>
          <w:rFonts w:ascii="Times New Roman" w:hAnsi="Times New Roman"/>
        </w:rPr>
        <w:t xml:space="preserve"> </w:t>
      </w:r>
      <w:r>
        <w:rPr>
          <w:rFonts w:ascii="Times New Roman" w:hAnsi="Times New Roman"/>
        </w:rPr>
        <w:t>БиХ</w:t>
      </w:r>
      <w:r w:rsidR="00813CB7" w:rsidRPr="00295637">
        <w:rPr>
          <w:rFonts w:ascii="Times New Roman" w:hAnsi="Times New Roman"/>
        </w:rPr>
        <w:t xml:space="preserve"> </w:t>
      </w:r>
      <w:r>
        <w:rPr>
          <w:rFonts w:ascii="Times New Roman" w:hAnsi="Times New Roman"/>
        </w:rPr>
        <w:t>МЉПИ</w:t>
      </w:r>
      <w:r w:rsidR="00EF0601">
        <w:rPr>
          <w:rFonts w:ascii="Times New Roman" w:hAnsi="Times New Roman"/>
        </w:rPr>
        <w:t xml:space="preserve"> </w:t>
      </w:r>
      <w:r>
        <w:rPr>
          <w:rFonts w:ascii="Times New Roman" w:hAnsi="Times New Roman"/>
        </w:rPr>
        <w:t>БиХ</w:t>
      </w:r>
      <w:r w:rsidR="00813CB7" w:rsidRPr="00295637">
        <w:rPr>
          <w:rFonts w:ascii="Times New Roman" w:hAnsi="Times New Roman"/>
        </w:rPr>
        <w:t xml:space="preserve"> </w:t>
      </w:r>
      <w:r>
        <w:rPr>
          <w:rFonts w:ascii="Times New Roman" w:hAnsi="Times New Roman"/>
        </w:rPr>
        <w:t>је</w:t>
      </w:r>
      <w:r w:rsidR="00813CB7" w:rsidRPr="00295637">
        <w:rPr>
          <w:rFonts w:ascii="Times New Roman" w:hAnsi="Times New Roman"/>
        </w:rPr>
        <w:t xml:space="preserve"> </w:t>
      </w:r>
      <w:r>
        <w:rPr>
          <w:rFonts w:ascii="Times New Roman" w:hAnsi="Times New Roman"/>
        </w:rPr>
        <w:t>у</w:t>
      </w:r>
      <w:r w:rsidR="00813CB7" w:rsidRPr="00295637">
        <w:rPr>
          <w:rFonts w:ascii="Times New Roman" w:hAnsi="Times New Roman"/>
        </w:rPr>
        <w:t xml:space="preserve"> </w:t>
      </w:r>
      <w:r>
        <w:rPr>
          <w:rFonts w:ascii="Times New Roman" w:hAnsi="Times New Roman"/>
        </w:rPr>
        <w:t>новембру</w:t>
      </w:r>
      <w:r w:rsidR="00813CB7" w:rsidRPr="00295637">
        <w:rPr>
          <w:rFonts w:ascii="Times New Roman" w:hAnsi="Times New Roman"/>
        </w:rPr>
        <w:t xml:space="preserve"> </w:t>
      </w:r>
      <w:r>
        <w:rPr>
          <w:rFonts w:ascii="Times New Roman" w:hAnsi="Times New Roman"/>
        </w:rPr>
        <w:t>и</w:t>
      </w:r>
      <w:r w:rsidR="00813CB7" w:rsidRPr="00295637">
        <w:rPr>
          <w:rFonts w:ascii="Times New Roman" w:hAnsi="Times New Roman"/>
        </w:rPr>
        <w:t xml:space="preserve"> </w:t>
      </w:r>
      <w:r>
        <w:rPr>
          <w:rFonts w:ascii="Times New Roman" w:hAnsi="Times New Roman"/>
        </w:rPr>
        <w:t>децембру</w:t>
      </w:r>
      <w:r w:rsidR="00813CB7" w:rsidRPr="00295637">
        <w:rPr>
          <w:rFonts w:ascii="Times New Roman" w:hAnsi="Times New Roman"/>
        </w:rPr>
        <w:t xml:space="preserve"> 2024. </w:t>
      </w:r>
      <w:r>
        <w:rPr>
          <w:rFonts w:ascii="Times New Roman" w:hAnsi="Times New Roman"/>
        </w:rPr>
        <w:t>године</w:t>
      </w:r>
      <w:r w:rsidR="00813CB7" w:rsidRPr="00295637">
        <w:rPr>
          <w:rFonts w:ascii="Times New Roman" w:hAnsi="Times New Roman"/>
        </w:rPr>
        <w:t xml:space="preserve"> </w:t>
      </w:r>
      <w:r>
        <w:rPr>
          <w:rFonts w:ascii="Times New Roman" w:hAnsi="Times New Roman"/>
        </w:rPr>
        <w:t>реализ</w:t>
      </w:r>
      <w:r w:rsidR="00AE7372">
        <w:rPr>
          <w:rFonts w:ascii="Times New Roman" w:hAnsi="Times New Roman"/>
          <w:lang w:val="sr-Cyrl-BA"/>
        </w:rPr>
        <w:t>овала</w:t>
      </w:r>
      <w:r w:rsidR="00813CB7" w:rsidRPr="00295637">
        <w:rPr>
          <w:rFonts w:ascii="Times New Roman" w:hAnsi="Times New Roman"/>
        </w:rPr>
        <w:t xml:space="preserve"> </w:t>
      </w:r>
      <w:r>
        <w:rPr>
          <w:rFonts w:ascii="Times New Roman" w:hAnsi="Times New Roman"/>
        </w:rPr>
        <w:t>јавну</w:t>
      </w:r>
      <w:r w:rsidR="00813CB7" w:rsidRPr="00295637">
        <w:rPr>
          <w:rFonts w:ascii="Times New Roman" w:hAnsi="Times New Roman"/>
        </w:rPr>
        <w:t xml:space="preserve"> </w:t>
      </w:r>
      <w:r>
        <w:rPr>
          <w:rFonts w:ascii="Times New Roman" w:hAnsi="Times New Roman"/>
        </w:rPr>
        <w:t>кампању</w:t>
      </w:r>
      <w:r w:rsidR="00813CB7" w:rsidRPr="00295637">
        <w:rPr>
          <w:rFonts w:ascii="Times New Roman" w:hAnsi="Times New Roman"/>
        </w:rPr>
        <w:t xml:space="preserve"> „</w:t>
      </w:r>
      <w:r>
        <w:rPr>
          <w:rFonts w:ascii="Times New Roman" w:hAnsi="Times New Roman"/>
        </w:rPr>
        <w:t>Политичарке</w:t>
      </w:r>
      <w:r w:rsidR="00813CB7" w:rsidRPr="00295637">
        <w:rPr>
          <w:rFonts w:ascii="Times New Roman" w:hAnsi="Times New Roman"/>
        </w:rPr>
        <w:t xml:space="preserve"> </w:t>
      </w:r>
      <w:r>
        <w:rPr>
          <w:rFonts w:ascii="Times New Roman" w:hAnsi="Times New Roman"/>
        </w:rPr>
        <w:t>поручују</w:t>
      </w:r>
      <w:r w:rsidR="00813CB7" w:rsidRPr="00295637">
        <w:rPr>
          <w:rFonts w:ascii="Times New Roman" w:hAnsi="Times New Roman"/>
        </w:rPr>
        <w:t xml:space="preserve">: </w:t>
      </w:r>
      <w:r>
        <w:rPr>
          <w:rFonts w:ascii="Times New Roman" w:hAnsi="Times New Roman"/>
        </w:rPr>
        <w:t>Гласно</w:t>
      </w:r>
      <w:r w:rsidR="00813CB7" w:rsidRPr="00295637">
        <w:rPr>
          <w:rFonts w:ascii="Times New Roman" w:hAnsi="Times New Roman"/>
        </w:rPr>
        <w:t xml:space="preserve"> </w:t>
      </w:r>
      <w:r>
        <w:rPr>
          <w:rFonts w:ascii="Times New Roman" w:hAnsi="Times New Roman"/>
        </w:rPr>
        <w:t>против</w:t>
      </w:r>
      <w:r w:rsidR="00813CB7" w:rsidRPr="00295637">
        <w:rPr>
          <w:rFonts w:ascii="Times New Roman" w:hAnsi="Times New Roman"/>
        </w:rPr>
        <w:t xml:space="preserve"> </w:t>
      </w:r>
      <w:r>
        <w:rPr>
          <w:rFonts w:ascii="Times New Roman" w:hAnsi="Times New Roman"/>
        </w:rPr>
        <w:t>насиља</w:t>
      </w:r>
      <w:r w:rsidR="00813CB7" w:rsidRPr="00295637">
        <w:rPr>
          <w:rFonts w:ascii="Times New Roman" w:hAnsi="Times New Roman"/>
        </w:rPr>
        <w:t xml:space="preserve"> </w:t>
      </w:r>
      <w:r>
        <w:rPr>
          <w:rFonts w:ascii="Times New Roman" w:hAnsi="Times New Roman"/>
        </w:rPr>
        <w:t>над</w:t>
      </w:r>
      <w:r w:rsidR="00813CB7" w:rsidRPr="00295637">
        <w:rPr>
          <w:rFonts w:ascii="Times New Roman" w:hAnsi="Times New Roman"/>
        </w:rPr>
        <w:t xml:space="preserve"> </w:t>
      </w:r>
      <w:r>
        <w:rPr>
          <w:rFonts w:ascii="Times New Roman" w:hAnsi="Times New Roman"/>
        </w:rPr>
        <w:t>женама</w:t>
      </w:r>
      <w:r w:rsidR="00813CB7" w:rsidRPr="00295637">
        <w:rPr>
          <w:rFonts w:ascii="Times New Roman" w:hAnsi="Times New Roman"/>
        </w:rPr>
        <w:t xml:space="preserve">!“ </w:t>
      </w:r>
      <w:r>
        <w:rPr>
          <w:rFonts w:ascii="Times New Roman" w:hAnsi="Times New Roman"/>
        </w:rPr>
        <w:t>уз</w:t>
      </w:r>
      <w:r w:rsidR="00813CB7" w:rsidRPr="00295637">
        <w:rPr>
          <w:rFonts w:ascii="Times New Roman" w:hAnsi="Times New Roman"/>
        </w:rPr>
        <w:t xml:space="preserve"> </w:t>
      </w:r>
      <w:r>
        <w:rPr>
          <w:rFonts w:ascii="Times New Roman" w:hAnsi="Times New Roman"/>
        </w:rPr>
        <w:t>велику</w:t>
      </w:r>
      <w:r w:rsidR="00813CB7" w:rsidRPr="00295637">
        <w:rPr>
          <w:rFonts w:ascii="Times New Roman" w:hAnsi="Times New Roman"/>
        </w:rPr>
        <w:t xml:space="preserve"> </w:t>
      </w:r>
      <w:r>
        <w:rPr>
          <w:rFonts w:ascii="Times New Roman" w:hAnsi="Times New Roman"/>
        </w:rPr>
        <w:t>гледаност</w:t>
      </w:r>
      <w:r w:rsidR="00813CB7" w:rsidRPr="00295637">
        <w:rPr>
          <w:rFonts w:ascii="Times New Roman" w:hAnsi="Times New Roman"/>
        </w:rPr>
        <w:t xml:space="preserve"> </w:t>
      </w:r>
      <w:r>
        <w:rPr>
          <w:rFonts w:ascii="Times New Roman" w:hAnsi="Times New Roman"/>
        </w:rPr>
        <w:t>и</w:t>
      </w:r>
      <w:r w:rsidR="00813CB7" w:rsidRPr="00295637">
        <w:rPr>
          <w:rFonts w:ascii="Times New Roman" w:hAnsi="Times New Roman"/>
        </w:rPr>
        <w:t xml:space="preserve"> </w:t>
      </w:r>
      <w:r>
        <w:rPr>
          <w:rFonts w:ascii="Times New Roman" w:hAnsi="Times New Roman"/>
        </w:rPr>
        <w:t>запажен</w:t>
      </w:r>
      <w:r w:rsidR="00813CB7" w:rsidRPr="00295637">
        <w:rPr>
          <w:rFonts w:ascii="Times New Roman" w:hAnsi="Times New Roman"/>
        </w:rPr>
        <w:t xml:space="preserve"> </w:t>
      </w:r>
      <w:r>
        <w:rPr>
          <w:rFonts w:ascii="Times New Roman" w:hAnsi="Times New Roman"/>
        </w:rPr>
        <w:t>пријем</w:t>
      </w:r>
      <w:r w:rsidR="00813CB7" w:rsidRPr="00295637">
        <w:rPr>
          <w:rFonts w:ascii="Times New Roman" w:hAnsi="Times New Roman"/>
        </w:rPr>
        <w:t xml:space="preserve"> </w:t>
      </w:r>
      <w:r>
        <w:rPr>
          <w:rFonts w:ascii="Times New Roman" w:hAnsi="Times New Roman"/>
        </w:rPr>
        <w:t>на</w:t>
      </w:r>
      <w:r w:rsidR="00813CB7" w:rsidRPr="00295637">
        <w:rPr>
          <w:rFonts w:ascii="Times New Roman" w:hAnsi="Times New Roman"/>
        </w:rPr>
        <w:t xml:space="preserve"> </w:t>
      </w:r>
      <w:r>
        <w:rPr>
          <w:rFonts w:ascii="Times New Roman" w:hAnsi="Times New Roman"/>
        </w:rPr>
        <w:t>друштвеним</w:t>
      </w:r>
      <w:r w:rsidR="00813CB7" w:rsidRPr="00295637">
        <w:rPr>
          <w:rFonts w:ascii="Times New Roman" w:hAnsi="Times New Roman"/>
        </w:rPr>
        <w:t xml:space="preserve"> </w:t>
      </w:r>
      <w:r>
        <w:rPr>
          <w:rFonts w:ascii="Times New Roman" w:hAnsi="Times New Roman"/>
        </w:rPr>
        <w:t>мрежама</w:t>
      </w:r>
      <w:r w:rsidR="00813CB7" w:rsidRPr="00295637">
        <w:rPr>
          <w:rFonts w:ascii="Times New Roman" w:hAnsi="Times New Roman"/>
        </w:rPr>
        <w:t xml:space="preserve">, </w:t>
      </w:r>
      <w:r>
        <w:rPr>
          <w:rFonts w:ascii="Times New Roman" w:hAnsi="Times New Roman"/>
        </w:rPr>
        <w:t>информативним</w:t>
      </w:r>
      <w:r w:rsidR="00813CB7" w:rsidRPr="00295637">
        <w:rPr>
          <w:rFonts w:ascii="Times New Roman" w:hAnsi="Times New Roman"/>
        </w:rPr>
        <w:t xml:space="preserve"> </w:t>
      </w:r>
      <w:r>
        <w:rPr>
          <w:rFonts w:ascii="Times New Roman" w:hAnsi="Times New Roman"/>
        </w:rPr>
        <w:t>порталима</w:t>
      </w:r>
      <w:r w:rsidR="00813CB7" w:rsidRPr="00295637">
        <w:rPr>
          <w:rFonts w:ascii="Times New Roman" w:hAnsi="Times New Roman"/>
        </w:rPr>
        <w:t xml:space="preserve">, </w:t>
      </w:r>
      <w:r>
        <w:rPr>
          <w:rFonts w:ascii="Times New Roman" w:hAnsi="Times New Roman"/>
        </w:rPr>
        <w:t>ТВ</w:t>
      </w:r>
      <w:r w:rsidR="000A63E7">
        <w:rPr>
          <w:rFonts w:ascii="Times New Roman" w:hAnsi="Times New Roman"/>
        </w:rPr>
        <w:t>-</w:t>
      </w:r>
      <w:r>
        <w:rPr>
          <w:rFonts w:ascii="Times New Roman" w:hAnsi="Times New Roman"/>
        </w:rPr>
        <w:t>у</w:t>
      </w:r>
      <w:r w:rsidR="00813CB7" w:rsidRPr="00295637">
        <w:rPr>
          <w:rFonts w:ascii="Times New Roman" w:hAnsi="Times New Roman"/>
        </w:rPr>
        <w:t xml:space="preserve"> </w:t>
      </w:r>
      <w:r>
        <w:rPr>
          <w:rFonts w:ascii="Times New Roman" w:hAnsi="Times New Roman"/>
        </w:rPr>
        <w:t>и</w:t>
      </w:r>
      <w:r w:rsidR="00813CB7" w:rsidRPr="00295637">
        <w:rPr>
          <w:rFonts w:ascii="Times New Roman" w:hAnsi="Times New Roman"/>
        </w:rPr>
        <w:t xml:space="preserve"> </w:t>
      </w:r>
      <w:r>
        <w:rPr>
          <w:rFonts w:ascii="Times New Roman" w:hAnsi="Times New Roman"/>
        </w:rPr>
        <w:t>радију</w:t>
      </w:r>
      <w:r w:rsidR="00813CB7" w:rsidRPr="00295637">
        <w:rPr>
          <w:rFonts w:ascii="Times New Roman" w:hAnsi="Times New Roman"/>
        </w:rPr>
        <w:t xml:space="preserve">. </w:t>
      </w:r>
      <w:r>
        <w:rPr>
          <w:rFonts w:ascii="Times New Roman" w:hAnsi="Times New Roman"/>
        </w:rPr>
        <w:t>Централни</w:t>
      </w:r>
      <w:r w:rsidR="00813CB7" w:rsidRPr="00295637">
        <w:rPr>
          <w:rFonts w:ascii="Times New Roman" w:hAnsi="Times New Roman"/>
        </w:rPr>
        <w:t xml:space="preserve"> </w:t>
      </w:r>
      <w:r>
        <w:rPr>
          <w:rFonts w:ascii="Times New Roman" w:hAnsi="Times New Roman"/>
        </w:rPr>
        <w:t>садржај</w:t>
      </w:r>
      <w:r w:rsidR="00813CB7" w:rsidRPr="00295637">
        <w:rPr>
          <w:rFonts w:ascii="Times New Roman" w:hAnsi="Times New Roman"/>
        </w:rPr>
        <w:t xml:space="preserve"> </w:t>
      </w:r>
      <w:r>
        <w:rPr>
          <w:rFonts w:ascii="Times New Roman" w:hAnsi="Times New Roman"/>
        </w:rPr>
        <w:t>поменуте</w:t>
      </w:r>
      <w:r w:rsidR="00813CB7" w:rsidRPr="00295637">
        <w:rPr>
          <w:rFonts w:ascii="Times New Roman" w:hAnsi="Times New Roman"/>
        </w:rPr>
        <w:t xml:space="preserve"> </w:t>
      </w:r>
      <w:r>
        <w:rPr>
          <w:rFonts w:ascii="Times New Roman" w:hAnsi="Times New Roman"/>
        </w:rPr>
        <w:t>кампање</w:t>
      </w:r>
      <w:r w:rsidR="00813CB7" w:rsidRPr="00295637">
        <w:rPr>
          <w:rFonts w:ascii="Times New Roman" w:hAnsi="Times New Roman"/>
        </w:rPr>
        <w:t xml:space="preserve"> </w:t>
      </w:r>
      <w:r>
        <w:rPr>
          <w:rFonts w:ascii="Times New Roman" w:hAnsi="Times New Roman"/>
        </w:rPr>
        <w:t>су</w:t>
      </w:r>
      <w:r w:rsidR="00813CB7" w:rsidRPr="00295637">
        <w:rPr>
          <w:rFonts w:ascii="Times New Roman" w:hAnsi="Times New Roman"/>
        </w:rPr>
        <w:t xml:space="preserve"> </w:t>
      </w:r>
      <w:r>
        <w:rPr>
          <w:rFonts w:ascii="Times New Roman" w:hAnsi="Times New Roman"/>
        </w:rPr>
        <w:t>биле</w:t>
      </w:r>
      <w:r w:rsidR="00813CB7" w:rsidRPr="00295637">
        <w:rPr>
          <w:rFonts w:ascii="Times New Roman" w:hAnsi="Times New Roman"/>
        </w:rPr>
        <w:t xml:space="preserve"> </w:t>
      </w:r>
      <w:r>
        <w:rPr>
          <w:rFonts w:ascii="Times New Roman" w:hAnsi="Times New Roman"/>
        </w:rPr>
        <w:t>изјаве</w:t>
      </w:r>
      <w:r w:rsidR="00813CB7" w:rsidRPr="00295637">
        <w:rPr>
          <w:rFonts w:ascii="Times New Roman" w:hAnsi="Times New Roman"/>
        </w:rPr>
        <w:t xml:space="preserve"> </w:t>
      </w:r>
      <w:r>
        <w:rPr>
          <w:rFonts w:ascii="Times New Roman" w:hAnsi="Times New Roman"/>
        </w:rPr>
        <w:t>пет</w:t>
      </w:r>
      <w:r w:rsidR="00813CB7" w:rsidRPr="00295637">
        <w:rPr>
          <w:rFonts w:ascii="Times New Roman" w:hAnsi="Times New Roman"/>
        </w:rPr>
        <w:t xml:space="preserve"> </w:t>
      </w:r>
      <w:r>
        <w:rPr>
          <w:rFonts w:ascii="Times New Roman" w:hAnsi="Times New Roman"/>
        </w:rPr>
        <w:t>политичарки</w:t>
      </w:r>
      <w:r w:rsidR="00813CB7" w:rsidRPr="00295637">
        <w:rPr>
          <w:rFonts w:ascii="Times New Roman" w:hAnsi="Times New Roman"/>
        </w:rPr>
        <w:t xml:space="preserve"> </w:t>
      </w:r>
      <w:r>
        <w:rPr>
          <w:rFonts w:ascii="Times New Roman" w:hAnsi="Times New Roman"/>
        </w:rPr>
        <w:t>из</w:t>
      </w:r>
      <w:r w:rsidR="00813CB7" w:rsidRPr="00295637">
        <w:rPr>
          <w:rFonts w:ascii="Times New Roman" w:hAnsi="Times New Roman"/>
        </w:rPr>
        <w:t xml:space="preserve"> </w:t>
      </w:r>
      <w:r>
        <w:rPr>
          <w:rFonts w:ascii="Times New Roman" w:hAnsi="Times New Roman"/>
        </w:rPr>
        <w:t>извршне</w:t>
      </w:r>
      <w:r w:rsidR="00813CB7" w:rsidRPr="00295637">
        <w:rPr>
          <w:rFonts w:ascii="Times New Roman" w:hAnsi="Times New Roman"/>
        </w:rPr>
        <w:t xml:space="preserve"> </w:t>
      </w:r>
      <w:r>
        <w:rPr>
          <w:rFonts w:ascii="Times New Roman" w:hAnsi="Times New Roman"/>
        </w:rPr>
        <w:t>из</w:t>
      </w:r>
      <w:r w:rsidR="00813CB7" w:rsidRPr="00295637">
        <w:rPr>
          <w:rFonts w:ascii="Times New Roman" w:hAnsi="Times New Roman"/>
        </w:rPr>
        <w:t xml:space="preserve"> </w:t>
      </w:r>
      <w:r>
        <w:rPr>
          <w:rFonts w:ascii="Times New Roman" w:hAnsi="Times New Roman"/>
        </w:rPr>
        <w:t>законодавне</w:t>
      </w:r>
      <w:r w:rsidR="00813CB7" w:rsidRPr="00295637">
        <w:rPr>
          <w:rFonts w:ascii="Times New Roman" w:hAnsi="Times New Roman"/>
        </w:rPr>
        <w:t xml:space="preserve"> </w:t>
      </w:r>
      <w:r>
        <w:rPr>
          <w:rFonts w:ascii="Times New Roman" w:hAnsi="Times New Roman"/>
        </w:rPr>
        <w:t>власти</w:t>
      </w:r>
      <w:r w:rsidR="00813CB7" w:rsidRPr="00295637">
        <w:rPr>
          <w:rFonts w:ascii="Times New Roman" w:hAnsi="Times New Roman"/>
        </w:rPr>
        <w:t xml:space="preserve"> </w:t>
      </w:r>
      <w:r>
        <w:rPr>
          <w:rFonts w:ascii="Times New Roman" w:hAnsi="Times New Roman"/>
        </w:rPr>
        <w:t>са</w:t>
      </w:r>
      <w:r w:rsidR="00813CB7" w:rsidRPr="00295637">
        <w:rPr>
          <w:rFonts w:ascii="Times New Roman" w:hAnsi="Times New Roman"/>
        </w:rPr>
        <w:t xml:space="preserve"> </w:t>
      </w:r>
      <w:r>
        <w:rPr>
          <w:rFonts w:ascii="Times New Roman" w:hAnsi="Times New Roman"/>
        </w:rPr>
        <w:t>нивоа</w:t>
      </w:r>
      <w:r w:rsidR="00813CB7" w:rsidRPr="00295637">
        <w:rPr>
          <w:rFonts w:ascii="Times New Roman" w:hAnsi="Times New Roman"/>
        </w:rPr>
        <w:t xml:space="preserve"> </w:t>
      </w:r>
      <w:r>
        <w:rPr>
          <w:rFonts w:ascii="Times New Roman" w:hAnsi="Times New Roman"/>
        </w:rPr>
        <w:t>институција</w:t>
      </w:r>
      <w:r w:rsidR="00813CB7" w:rsidRPr="00295637">
        <w:rPr>
          <w:rFonts w:ascii="Times New Roman" w:hAnsi="Times New Roman"/>
        </w:rPr>
        <w:t xml:space="preserve"> </w:t>
      </w:r>
      <w:r>
        <w:rPr>
          <w:rFonts w:ascii="Times New Roman" w:hAnsi="Times New Roman"/>
        </w:rPr>
        <w:t>БиХ</w:t>
      </w:r>
      <w:r w:rsidR="00813CB7" w:rsidRPr="00295637">
        <w:rPr>
          <w:rFonts w:ascii="Times New Roman" w:hAnsi="Times New Roman"/>
        </w:rPr>
        <w:t xml:space="preserve">, </w:t>
      </w:r>
      <w:r>
        <w:rPr>
          <w:rFonts w:ascii="Times New Roman" w:hAnsi="Times New Roman"/>
        </w:rPr>
        <w:t>ФБиХ</w:t>
      </w:r>
      <w:r w:rsidR="00813CB7" w:rsidRPr="00295637">
        <w:rPr>
          <w:rFonts w:ascii="Times New Roman" w:hAnsi="Times New Roman"/>
        </w:rPr>
        <w:t xml:space="preserve"> </w:t>
      </w:r>
      <w:r>
        <w:rPr>
          <w:rFonts w:ascii="Times New Roman" w:hAnsi="Times New Roman"/>
        </w:rPr>
        <w:t>и</w:t>
      </w:r>
      <w:r w:rsidR="00813CB7" w:rsidRPr="00295637">
        <w:rPr>
          <w:rFonts w:ascii="Times New Roman" w:hAnsi="Times New Roman"/>
        </w:rPr>
        <w:t xml:space="preserve"> </w:t>
      </w:r>
      <w:r>
        <w:rPr>
          <w:rFonts w:ascii="Times New Roman" w:hAnsi="Times New Roman"/>
        </w:rPr>
        <w:t>РС</w:t>
      </w:r>
      <w:r w:rsidR="00813CB7" w:rsidRPr="00295637">
        <w:rPr>
          <w:rFonts w:ascii="Times New Roman" w:hAnsi="Times New Roman"/>
        </w:rPr>
        <w:t>.</w:t>
      </w:r>
    </w:p>
    <w:p w:rsidR="002C3B18" w:rsidRPr="00295637" w:rsidRDefault="002C3B18" w:rsidP="0086268D">
      <w:pPr>
        <w:jc w:val="both"/>
        <w:rPr>
          <w:rFonts w:ascii="Times New Roman" w:hAnsi="Times New Roman"/>
          <w:szCs w:val="24"/>
          <w:lang w:val="bs-Latn-BA"/>
        </w:rPr>
      </w:pPr>
    </w:p>
    <w:p w:rsidR="00813CB7" w:rsidRPr="00295637" w:rsidRDefault="00C6214E" w:rsidP="0086268D">
      <w:pPr>
        <w:jc w:val="both"/>
        <w:rPr>
          <w:rFonts w:ascii="Times New Roman" w:hAnsi="Times New Roman"/>
          <w:szCs w:val="24"/>
          <w:lang w:val="bs-Latn-BA"/>
        </w:rPr>
      </w:pPr>
      <w:r>
        <w:rPr>
          <w:rFonts w:ascii="Times New Roman" w:hAnsi="Times New Roman"/>
          <w:szCs w:val="24"/>
          <w:lang w:val="bs-Latn-BA"/>
        </w:rPr>
        <w:t>Реализ</w:t>
      </w:r>
      <w:r w:rsidR="00AE7372">
        <w:rPr>
          <w:rFonts w:ascii="Times New Roman" w:hAnsi="Times New Roman"/>
          <w:szCs w:val="24"/>
          <w:lang w:val="sr-Cyrl-BA"/>
        </w:rPr>
        <w:t>оване</w:t>
      </w:r>
      <w:r w:rsidR="000A63E7">
        <w:rPr>
          <w:rFonts w:ascii="Times New Roman" w:hAnsi="Times New Roman"/>
          <w:szCs w:val="24"/>
          <w:lang w:val="bs-Latn-BA"/>
        </w:rPr>
        <w:t xml:space="preserve"> </w:t>
      </w:r>
      <w:r>
        <w:rPr>
          <w:rFonts w:ascii="Times New Roman" w:hAnsi="Times New Roman"/>
          <w:szCs w:val="24"/>
          <w:lang w:val="bs-Latn-BA"/>
        </w:rPr>
        <w:t>су</w:t>
      </w:r>
      <w:r w:rsidR="000A63E7">
        <w:rPr>
          <w:rFonts w:ascii="Times New Roman" w:hAnsi="Times New Roman"/>
          <w:szCs w:val="24"/>
          <w:lang w:val="bs-Latn-BA"/>
        </w:rPr>
        <w:t xml:space="preserve"> </w:t>
      </w:r>
      <w:r>
        <w:rPr>
          <w:rFonts w:ascii="Times New Roman" w:hAnsi="Times New Roman"/>
          <w:szCs w:val="24"/>
          <w:lang w:val="bs-Latn-BA"/>
        </w:rPr>
        <w:t>кампање</w:t>
      </w:r>
      <w:r w:rsidR="000A63E7">
        <w:rPr>
          <w:rFonts w:ascii="Times New Roman" w:hAnsi="Times New Roman"/>
          <w:szCs w:val="24"/>
          <w:lang w:val="bs-Latn-BA"/>
        </w:rPr>
        <w:t xml:space="preserve"> </w:t>
      </w:r>
      <w:r>
        <w:rPr>
          <w:rFonts w:ascii="Times New Roman" w:hAnsi="Times New Roman"/>
          <w:szCs w:val="24"/>
          <w:lang w:val="bs-Latn-BA"/>
        </w:rPr>
        <w:t>у</w:t>
      </w:r>
      <w:r w:rsidR="000A63E7">
        <w:rPr>
          <w:rFonts w:ascii="Times New Roman" w:hAnsi="Times New Roman"/>
          <w:szCs w:val="24"/>
          <w:lang w:val="bs-Latn-BA"/>
        </w:rPr>
        <w:t xml:space="preserve"> </w:t>
      </w:r>
      <w:r>
        <w:rPr>
          <w:rFonts w:ascii="Times New Roman" w:hAnsi="Times New Roman"/>
          <w:szCs w:val="24"/>
          <w:lang w:val="bs-Latn-BA"/>
        </w:rPr>
        <w:t>организацији</w:t>
      </w:r>
      <w:r w:rsidR="000A63E7">
        <w:rPr>
          <w:rFonts w:ascii="Times New Roman" w:hAnsi="Times New Roman"/>
          <w:szCs w:val="24"/>
          <w:lang w:val="bs-Latn-BA"/>
        </w:rPr>
        <w:t xml:space="preserve"> </w:t>
      </w:r>
      <w:r>
        <w:rPr>
          <w:rFonts w:ascii="Times New Roman" w:hAnsi="Times New Roman"/>
          <w:szCs w:val="24"/>
          <w:lang w:val="bs-Latn-BA"/>
        </w:rPr>
        <w:t>ФМУП</w:t>
      </w:r>
      <w:r w:rsidR="000A63E7">
        <w:rPr>
          <w:rFonts w:ascii="Times New Roman" w:hAnsi="Times New Roman"/>
          <w:szCs w:val="24"/>
          <w:lang w:val="bs-Latn-BA"/>
        </w:rPr>
        <w:t>-</w:t>
      </w:r>
      <w:r>
        <w:rPr>
          <w:rFonts w:ascii="Times New Roman" w:hAnsi="Times New Roman"/>
          <w:szCs w:val="24"/>
          <w:lang w:val="bs-Latn-BA"/>
        </w:rPr>
        <w:t>а</w:t>
      </w:r>
      <w:r w:rsidR="000718D6" w:rsidRPr="00295637">
        <w:rPr>
          <w:rFonts w:ascii="Times New Roman" w:hAnsi="Times New Roman"/>
          <w:szCs w:val="24"/>
          <w:lang w:val="bs-Latn-BA"/>
        </w:rPr>
        <w:t xml:space="preserve"> </w:t>
      </w:r>
      <w:r>
        <w:rPr>
          <w:rFonts w:ascii="Times New Roman" w:hAnsi="Times New Roman"/>
          <w:szCs w:val="24"/>
          <w:lang w:val="bs-Latn-BA"/>
        </w:rPr>
        <w:t>под</w:t>
      </w:r>
      <w:r w:rsidR="000718D6" w:rsidRPr="00295637">
        <w:rPr>
          <w:rFonts w:ascii="Times New Roman" w:hAnsi="Times New Roman"/>
          <w:szCs w:val="24"/>
          <w:lang w:val="bs-Latn-BA"/>
        </w:rPr>
        <w:t xml:space="preserve"> </w:t>
      </w:r>
      <w:r>
        <w:rPr>
          <w:rFonts w:ascii="Times New Roman" w:hAnsi="Times New Roman"/>
          <w:szCs w:val="24"/>
          <w:lang w:val="bs-Latn-BA"/>
        </w:rPr>
        <w:t>називом</w:t>
      </w:r>
      <w:r w:rsidR="000718D6" w:rsidRPr="00295637">
        <w:rPr>
          <w:rFonts w:ascii="Times New Roman" w:hAnsi="Times New Roman"/>
          <w:szCs w:val="24"/>
          <w:lang w:val="bs-Latn-BA"/>
        </w:rPr>
        <w:t xml:space="preserve"> „</w:t>
      </w:r>
      <w:r>
        <w:rPr>
          <w:rFonts w:ascii="Times New Roman" w:hAnsi="Times New Roman"/>
          <w:szCs w:val="24"/>
          <w:lang w:val="bs-Latn-BA"/>
        </w:rPr>
        <w:t>Не</w:t>
      </w:r>
      <w:r w:rsidR="000718D6" w:rsidRPr="00295637">
        <w:rPr>
          <w:rFonts w:ascii="Times New Roman" w:hAnsi="Times New Roman"/>
          <w:szCs w:val="24"/>
          <w:lang w:val="bs-Latn-BA"/>
        </w:rPr>
        <w:t xml:space="preserve"> </w:t>
      </w:r>
      <w:r>
        <w:rPr>
          <w:rFonts w:ascii="Times New Roman" w:hAnsi="Times New Roman"/>
          <w:szCs w:val="24"/>
          <w:lang w:val="bs-Latn-BA"/>
        </w:rPr>
        <w:t>окрећи</w:t>
      </w:r>
      <w:r w:rsidR="000718D6" w:rsidRPr="00295637">
        <w:rPr>
          <w:rFonts w:ascii="Times New Roman" w:hAnsi="Times New Roman"/>
          <w:szCs w:val="24"/>
          <w:lang w:val="bs-Latn-BA"/>
        </w:rPr>
        <w:t xml:space="preserve"> </w:t>
      </w:r>
      <w:r>
        <w:rPr>
          <w:rFonts w:ascii="Times New Roman" w:hAnsi="Times New Roman"/>
          <w:szCs w:val="24"/>
          <w:lang w:val="bs-Latn-BA"/>
        </w:rPr>
        <w:t>главу</w:t>
      </w:r>
      <w:r w:rsidR="000718D6" w:rsidRPr="00295637">
        <w:rPr>
          <w:rFonts w:ascii="Times New Roman" w:hAnsi="Times New Roman"/>
          <w:szCs w:val="24"/>
          <w:lang w:val="bs-Latn-BA"/>
        </w:rPr>
        <w:t xml:space="preserve">, </w:t>
      </w:r>
      <w:r>
        <w:rPr>
          <w:rFonts w:ascii="Times New Roman" w:hAnsi="Times New Roman"/>
          <w:szCs w:val="24"/>
          <w:lang w:val="bs-Latn-BA"/>
        </w:rPr>
        <w:t>окрени</w:t>
      </w:r>
      <w:r w:rsidR="000718D6" w:rsidRPr="00295637">
        <w:rPr>
          <w:rFonts w:ascii="Times New Roman" w:hAnsi="Times New Roman"/>
          <w:szCs w:val="24"/>
          <w:lang w:val="bs-Latn-BA"/>
        </w:rPr>
        <w:t xml:space="preserve"> </w:t>
      </w:r>
      <w:r>
        <w:rPr>
          <w:rFonts w:ascii="Times New Roman" w:hAnsi="Times New Roman"/>
          <w:szCs w:val="24"/>
          <w:lang w:val="bs-Latn-BA"/>
        </w:rPr>
        <w:t>број</w:t>
      </w:r>
      <w:r w:rsidR="000718D6" w:rsidRPr="00295637">
        <w:rPr>
          <w:rFonts w:ascii="Times New Roman" w:hAnsi="Times New Roman"/>
          <w:szCs w:val="24"/>
          <w:lang w:val="bs-Latn-BA"/>
        </w:rPr>
        <w:t xml:space="preserve">!“, </w:t>
      </w:r>
      <w:r>
        <w:rPr>
          <w:rFonts w:ascii="Times New Roman" w:hAnsi="Times New Roman"/>
          <w:szCs w:val="24"/>
          <w:lang w:val="bs-Latn-BA"/>
        </w:rPr>
        <w:t>кампања</w:t>
      </w:r>
      <w:r w:rsidR="000718D6" w:rsidRPr="00295637">
        <w:rPr>
          <w:rFonts w:ascii="Times New Roman" w:hAnsi="Times New Roman"/>
          <w:szCs w:val="24"/>
          <w:lang w:val="bs-Latn-BA"/>
        </w:rPr>
        <w:t xml:space="preserve"> </w:t>
      </w:r>
      <w:r>
        <w:rPr>
          <w:rFonts w:ascii="Times New Roman" w:hAnsi="Times New Roman"/>
          <w:szCs w:val="24"/>
          <w:lang w:val="bs-Latn-BA"/>
        </w:rPr>
        <w:t>ФМРСП</w:t>
      </w:r>
      <w:r w:rsidR="000718D6" w:rsidRPr="00295637">
        <w:rPr>
          <w:rFonts w:ascii="Times New Roman" w:hAnsi="Times New Roman"/>
          <w:szCs w:val="24"/>
          <w:lang w:val="bs-Latn-BA"/>
        </w:rPr>
        <w:t xml:space="preserve">, </w:t>
      </w:r>
      <w:r>
        <w:rPr>
          <w:rFonts w:ascii="Times New Roman" w:hAnsi="Times New Roman"/>
          <w:szCs w:val="24"/>
          <w:lang w:val="bs-Latn-BA"/>
        </w:rPr>
        <w:t>кампања</w:t>
      </w:r>
      <w:r w:rsidR="000718D6" w:rsidRPr="00295637">
        <w:rPr>
          <w:rFonts w:ascii="Times New Roman" w:hAnsi="Times New Roman"/>
          <w:szCs w:val="24"/>
          <w:lang w:val="bs-Latn-BA"/>
        </w:rPr>
        <w:t xml:space="preserve"> </w:t>
      </w:r>
      <w:r>
        <w:rPr>
          <w:rFonts w:ascii="Times New Roman" w:hAnsi="Times New Roman"/>
          <w:szCs w:val="24"/>
          <w:lang w:val="bs-Latn-BA"/>
        </w:rPr>
        <w:t>ГЦ</w:t>
      </w:r>
      <w:r w:rsidR="000A63E7">
        <w:rPr>
          <w:rFonts w:ascii="Times New Roman" w:hAnsi="Times New Roman"/>
          <w:szCs w:val="24"/>
          <w:lang w:val="bs-Latn-BA"/>
        </w:rPr>
        <w:t xml:space="preserve"> </w:t>
      </w:r>
      <w:r>
        <w:rPr>
          <w:rFonts w:ascii="Times New Roman" w:hAnsi="Times New Roman"/>
          <w:szCs w:val="24"/>
          <w:lang w:val="bs-Latn-BA"/>
        </w:rPr>
        <w:t>ФБиХ</w:t>
      </w:r>
      <w:r w:rsidR="00050016">
        <w:rPr>
          <w:rFonts w:ascii="Times New Roman" w:hAnsi="Times New Roman"/>
          <w:szCs w:val="24"/>
          <w:lang w:val="bs-Latn-BA"/>
        </w:rPr>
        <w:t xml:space="preserve"> </w:t>
      </w:r>
      <w:r>
        <w:rPr>
          <w:rFonts w:ascii="Times New Roman" w:hAnsi="Times New Roman"/>
          <w:szCs w:val="24"/>
          <w:lang w:val="bs-Latn-BA"/>
        </w:rPr>
        <w:t>БиХ</w:t>
      </w:r>
      <w:r w:rsidR="000718D6" w:rsidRPr="00295637">
        <w:rPr>
          <w:rFonts w:ascii="Times New Roman" w:hAnsi="Times New Roman"/>
          <w:szCs w:val="24"/>
          <w:lang w:val="bs-Latn-BA"/>
        </w:rPr>
        <w:t xml:space="preserve"> „#</w:t>
      </w:r>
      <w:r>
        <w:rPr>
          <w:rFonts w:ascii="Times New Roman" w:hAnsi="Times New Roman"/>
          <w:szCs w:val="24"/>
          <w:lang w:val="bs-Latn-BA"/>
        </w:rPr>
        <w:t>бољевако</w:t>
      </w:r>
      <w:r w:rsidR="000718D6" w:rsidRPr="00295637">
        <w:rPr>
          <w:rFonts w:ascii="Times New Roman" w:hAnsi="Times New Roman"/>
          <w:szCs w:val="24"/>
          <w:lang w:val="bs-Latn-BA"/>
        </w:rPr>
        <w:t xml:space="preserve">“ </w:t>
      </w:r>
      <w:r>
        <w:rPr>
          <w:rFonts w:ascii="Times New Roman" w:hAnsi="Times New Roman"/>
          <w:szCs w:val="24"/>
          <w:lang w:val="bs-Latn-BA"/>
        </w:rPr>
        <w:t>која</w:t>
      </w:r>
      <w:r w:rsidR="000718D6" w:rsidRPr="00295637">
        <w:rPr>
          <w:rFonts w:ascii="Times New Roman" w:hAnsi="Times New Roman"/>
          <w:szCs w:val="24"/>
          <w:lang w:val="bs-Latn-BA"/>
        </w:rPr>
        <w:t xml:space="preserve"> </w:t>
      </w:r>
      <w:r>
        <w:rPr>
          <w:rFonts w:ascii="Times New Roman" w:hAnsi="Times New Roman"/>
          <w:szCs w:val="24"/>
          <w:lang w:val="bs-Latn-BA"/>
        </w:rPr>
        <w:t>кроз</w:t>
      </w:r>
      <w:r w:rsidR="000718D6" w:rsidRPr="00295637">
        <w:rPr>
          <w:rFonts w:ascii="Times New Roman" w:hAnsi="Times New Roman"/>
          <w:szCs w:val="24"/>
          <w:lang w:val="bs-Latn-BA"/>
        </w:rPr>
        <w:t xml:space="preserve"> </w:t>
      </w:r>
      <w:r>
        <w:rPr>
          <w:rFonts w:ascii="Times New Roman" w:hAnsi="Times New Roman"/>
          <w:szCs w:val="24"/>
          <w:lang w:val="bs-Latn-BA"/>
        </w:rPr>
        <w:t>видео</w:t>
      </w:r>
      <w:r w:rsidR="000718D6" w:rsidRPr="00295637">
        <w:rPr>
          <w:rFonts w:ascii="Times New Roman" w:hAnsi="Times New Roman"/>
          <w:szCs w:val="24"/>
          <w:lang w:val="bs-Latn-BA"/>
        </w:rPr>
        <w:t xml:space="preserve"> </w:t>
      </w:r>
      <w:r>
        <w:rPr>
          <w:rFonts w:ascii="Times New Roman" w:hAnsi="Times New Roman"/>
          <w:szCs w:val="24"/>
          <w:lang w:val="bs-Latn-BA"/>
        </w:rPr>
        <w:t>спотове</w:t>
      </w:r>
      <w:r w:rsidR="000718D6" w:rsidRPr="00295637">
        <w:rPr>
          <w:rFonts w:ascii="Times New Roman" w:hAnsi="Times New Roman"/>
          <w:szCs w:val="24"/>
          <w:lang w:val="bs-Latn-BA"/>
        </w:rPr>
        <w:t xml:space="preserve"> </w:t>
      </w:r>
      <w:r>
        <w:rPr>
          <w:rFonts w:ascii="Times New Roman" w:hAnsi="Times New Roman"/>
          <w:szCs w:val="24"/>
          <w:lang w:val="bs-Latn-BA"/>
        </w:rPr>
        <w:t>обрађује</w:t>
      </w:r>
      <w:r w:rsidR="000718D6" w:rsidRPr="00295637">
        <w:rPr>
          <w:rFonts w:ascii="Times New Roman" w:hAnsi="Times New Roman"/>
          <w:szCs w:val="24"/>
          <w:lang w:val="bs-Latn-BA"/>
        </w:rPr>
        <w:t xml:space="preserve"> </w:t>
      </w:r>
      <w:r>
        <w:rPr>
          <w:rFonts w:ascii="Times New Roman" w:hAnsi="Times New Roman"/>
          <w:szCs w:val="24"/>
          <w:lang w:val="bs-Latn-BA"/>
        </w:rPr>
        <w:t>факторе</w:t>
      </w:r>
      <w:r w:rsidR="000718D6" w:rsidRPr="00295637">
        <w:rPr>
          <w:rFonts w:ascii="Times New Roman" w:hAnsi="Times New Roman"/>
          <w:szCs w:val="24"/>
          <w:lang w:val="bs-Latn-BA"/>
        </w:rPr>
        <w:t xml:space="preserve"> </w:t>
      </w:r>
      <w:r>
        <w:rPr>
          <w:rFonts w:ascii="Times New Roman" w:hAnsi="Times New Roman"/>
          <w:szCs w:val="24"/>
          <w:lang w:val="bs-Latn-BA"/>
        </w:rPr>
        <w:t>ризика</w:t>
      </w:r>
      <w:r w:rsidR="000718D6" w:rsidRPr="00295637">
        <w:rPr>
          <w:rFonts w:ascii="Times New Roman" w:hAnsi="Times New Roman"/>
          <w:szCs w:val="24"/>
          <w:lang w:val="bs-Latn-BA"/>
        </w:rPr>
        <w:t xml:space="preserve"> </w:t>
      </w:r>
      <w:r>
        <w:rPr>
          <w:rFonts w:ascii="Times New Roman" w:hAnsi="Times New Roman"/>
          <w:szCs w:val="24"/>
          <w:lang w:val="bs-Latn-BA"/>
        </w:rPr>
        <w:t>на</w:t>
      </w:r>
      <w:r w:rsidR="000718D6" w:rsidRPr="00295637">
        <w:rPr>
          <w:rFonts w:ascii="Times New Roman" w:hAnsi="Times New Roman"/>
          <w:szCs w:val="24"/>
          <w:lang w:val="bs-Latn-BA"/>
        </w:rPr>
        <w:t xml:space="preserve"> </w:t>
      </w:r>
      <w:r>
        <w:rPr>
          <w:rFonts w:ascii="Times New Roman" w:hAnsi="Times New Roman"/>
          <w:szCs w:val="24"/>
          <w:lang w:val="bs-Latn-BA"/>
        </w:rPr>
        <w:t>насиље</w:t>
      </w:r>
      <w:r w:rsidR="000718D6" w:rsidRPr="00295637">
        <w:rPr>
          <w:rFonts w:ascii="Times New Roman" w:hAnsi="Times New Roman"/>
          <w:szCs w:val="24"/>
          <w:lang w:val="bs-Latn-BA"/>
        </w:rPr>
        <w:t xml:space="preserve"> </w:t>
      </w:r>
      <w:r>
        <w:rPr>
          <w:rFonts w:ascii="Times New Roman" w:hAnsi="Times New Roman"/>
          <w:szCs w:val="24"/>
          <w:lang w:val="bs-Latn-BA"/>
        </w:rPr>
        <w:t>и</w:t>
      </w:r>
      <w:r w:rsidR="000718D6" w:rsidRPr="00295637">
        <w:rPr>
          <w:rFonts w:ascii="Times New Roman" w:hAnsi="Times New Roman"/>
          <w:szCs w:val="24"/>
          <w:lang w:val="bs-Latn-BA"/>
        </w:rPr>
        <w:t xml:space="preserve"> </w:t>
      </w:r>
      <w:r>
        <w:rPr>
          <w:rFonts w:ascii="Times New Roman" w:hAnsi="Times New Roman"/>
          <w:szCs w:val="24"/>
          <w:lang w:val="bs-Latn-BA"/>
        </w:rPr>
        <w:t>неравноправност</w:t>
      </w:r>
      <w:r w:rsidR="000718D6" w:rsidRPr="00295637">
        <w:rPr>
          <w:rFonts w:ascii="Times New Roman" w:hAnsi="Times New Roman"/>
          <w:szCs w:val="24"/>
          <w:lang w:val="bs-Latn-BA"/>
        </w:rPr>
        <w:t xml:space="preserve">, </w:t>
      </w:r>
      <w:r>
        <w:rPr>
          <w:rFonts w:ascii="Times New Roman" w:hAnsi="Times New Roman"/>
          <w:szCs w:val="24"/>
          <w:lang w:val="bs-Latn-BA"/>
        </w:rPr>
        <w:t>кампања</w:t>
      </w:r>
      <w:r w:rsidR="000718D6" w:rsidRPr="00295637">
        <w:rPr>
          <w:rFonts w:ascii="Times New Roman" w:hAnsi="Times New Roman"/>
          <w:szCs w:val="24"/>
          <w:lang w:val="bs-Latn-BA"/>
        </w:rPr>
        <w:t xml:space="preserve"> </w:t>
      </w:r>
      <w:r>
        <w:rPr>
          <w:rFonts w:ascii="Times New Roman" w:hAnsi="Times New Roman"/>
          <w:szCs w:val="24"/>
          <w:lang w:val="bs-Latn-BA"/>
        </w:rPr>
        <w:t>ФМОИН</w:t>
      </w:r>
      <w:r w:rsidR="000718D6" w:rsidRPr="00295637">
        <w:rPr>
          <w:rFonts w:ascii="Times New Roman" w:hAnsi="Times New Roman"/>
          <w:szCs w:val="24"/>
          <w:lang w:val="bs-Latn-BA"/>
        </w:rPr>
        <w:t xml:space="preserve">, </w:t>
      </w:r>
      <w:r>
        <w:rPr>
          <w:rFonts w:ascii="Times New Roman" w:hAnsi="Times New Roman"/>
          <w:szCs w:val="24"/>
          <w:lang w:val="bs-Latn-BA"/>
        </w:rPr>
        <w:t>али</w:t>
      </w:r>
      <w:r w:rsidR="000718D6" w:rsidRPr="00295637">
        <w:rPr>
          <w:rFonts w:ascii="Times New Roman" w:hAnsi="Times New Roman"/>
          <w:szCs w:val="24"/>
          <w:lang w:val="bs-Latn-BA"/>
        </w:rPr>
        <w:t xml:space="preserve"> </w:t>
      </w:r>
      <w:r>
        <w:rPr>
          <w:rFonts w:ascii="Times New Roman" w:hAnsi="Times New Roman"/>
          <w:szCs w:val="24"/>
          <w:lang w:val="bs-Latn-BA"/>
        </w:rPr>
        <w:t>и</w:t>
      </w:r>
      <w:r w:rsidR="000718D6" w:rsidRPr="00295637">
        <w:rPr>
          <w:rFonts w:ascii="Times New Roman" w:hAnsi="Times New Roman"/>
          <w:szCs w:val="24"/>
          <w:lang w:val="bs-Latn-BA"/>
        </w:rPr>
        <w:t xml:space="preserve"> </w:t>
      </w:r>
      <w:r>
        <w:rPr>
          <w:rFonts w:ascii="Times New Roman" w:hAnsi="Times New Roman"/>
          <w:szCs w:val="24"/>
          <w:lang w:val="bs-Latn-BA"/>
        </w:rPr>
        <w:t>кампање</w:t>
      </w:r>
      <w:r w:rsidR="000718D6" w:rsidRPr="00295637">
        <w:rPr>
          <w:rFonts w:ascii="Times New Roman" w:hAnsi="Times New Roman"/>
          <w:szCs w:val="24"/>
          <w:lang w:val="bs-Latn-BA"/>
        </w:rPr>
        <w:t xml:space="preserve"> </w:t>
      </w:r>
      <w:r>
        <w:rPr>
          <w:rFonts w:ascii="Times New Roman" w:hAnsi="Times New Roman"/>
          <w:szCs w:val="24"/>
          <w:lang w:val="bs-Latn-BA"/>
        </w:rPr>
        <w:t>кантоналних</w:t>
      </w:r>
      <w:r w:rsidR="000718D6" w:rsidRPr="00295637">
        <w:rPr>
          <w:rFonts w:ascii="Times New Roman" w:hAnsi="Times New Roman"/>
          <w:szCs w:val="24"/>
          <w:lang w:val="bs-Latn-BA"/>
        </w:rPr>
        <w:t xml:space="preserve"> </w:t>
      </w:r>
      <w:r>
        <w:rPr>
          <w:rFonts w:ascii="Times New Roman" w:hAnsi="Times New Roman"/>
          <w:szCs w:val="24"/>
          <w:lang w:val="bs-Latn-BA"/>
        </w:rPr>
        <w:t>координаци</w:t>
      </w:r>
      <w:r w:rsidR="00AE7372">
        <w:rPr>
          <w:rFonts w:ascii="Times New Roman" w:hAnsi="Times New Roman"/>
          <w:szCs w:val="24"/>
          <w:lang w:val="sr-Cyrl-BA"/>
        </w:rPr>
        <w:t>оних</w:t>
      </w:r>
      <w:r w:rsidR="000718D6" w:rsidRPr="00295637">
        <w:rPr>
          <w:rFonts w:ascii="Times New Roman" w:hAnsi="Times New Roman"/>
          <w:szCs w:val="24"/>
          <w:lang w:val="bs-Latn-BA"/>
        </w:rPr>
        <w:t xml:space="preserve"> </w:t>
      </w:r>
      <w:r>
        <w:rPr>
          <w:rFonts w:ascii="Times New Roman" w:hAnsi="Times New Roman"/>
          <w:szCs w:val="24"/>
          <w:lang w:val="bs-Latn-BA"/>
        </w:rPr>
        <w:t>органа</w:t>
      </w:r>
      <w:r w:rsidR="000718D6" w:rsidRPr="00295637">
        <w:rPr>
          <w:rFonts w:ascii="Times New Roman" w:hAnsi="Times New Roman"/>
          <w:szCs w:val="24"/>
          <w:lang w:val="bs-Latn-BA"/>
        </w:rPr>
        <w:t xml:space="preserve"> </w:t>
      </w:r>
      <w:r>
        <w:rPr>
          <w:rFonts w:ascii="Times New Roman" w:hAnsi="Times New Roman"/>
          <w:szCs w:val="24"/>
          <w:lang w:val="bs-Latn-BA"/>
        </w:rPr>
        <w:t>у</w:t>
      </w:r>
      <w:r w:rsidR="000718D6" w:rsidRPr="00295637">
        <w:rPr>
          <w:rFonts w:ascii="Times New Roman" w:hAnsi="Times New Roman"/>
          <w:szCs w:val="24"/>
          <w:lang w:val="bs-Latn-BA"/>
        </w:rPr>
        <w:t xml:space="preserve"> </w:t>
      </w:r>
      <w:r>
        <w:rPr>
          <w:rFonts w:ascii="Times New Roman" w:hAnsi="Times New Roman"/>
          <w:szCs w:val="24"/>
          <w:lang w:val="bs-Latn-BA"/>
        </w:rPr>
        <w:t>оквиру</w:t>
      </w:r>
      <w:r w:rsidR="000718D6" w:rsidRPr="00295637">
        <w:rPr>
          <w:rFonts w:ascii="Times New Roman" w:hAnsi="Times New Roman"/>
          <w:szCs w:val="24"/>
          <w:lang w:val="bs-Latn-BA"/>
        </w:rPr>
        <w:t xml:space="preserve"> </w:t>
      </w:r>
      <w:r>
        <w:rPr>
          <w:rFonts w:ascii="Times New Roman" w:hAnsi="Times New Roman"/>
          <w:szCs w:val="24"/>
          <w:lang w:val="bs-Latn-BA"/>
        </w:rPr>
        <w:t>својих</w:t>
      </w:r>
      <w:r w:rsidR="000718D6" w:rsidRPr="00295637">
        <w:rPr>
          <w:rFonts w:ascii="Times New Roman" w:hAnsi="Times New Roman"/>
          <w:szCs w:val="24"/>
          <w:lang w:val="bs-Latn-BA"/>
        </w:rPr>
        <w:t xml:space="preserve"> </w:t>
      </w:r>
      <w:r>
        <w:rPr>
          <w:rFonts w:ascii="Times New Roman" w:hAnsi="Times New Roman"/>
          <w:szCs w:val="24"/>
          <w:lang w:val="bs-Latn-BA"/>
        </w:rPr>
        <w:t>кантоналних</w:t>
      </w:r>
      <w:r w:rsidR="000718D6" w:rsidRPr="00295637">
        <w:rPr>
          <w:rFonts w:ascii="Times New Roman" w:hAnsi="Times New Roman"/>
          <w:szCs w:val="24"/>
          <w:lang w:val="bs-Latn-BA"/>
        </w:rPr>
        <w:t xml:space="preserve"> </w:t>
      </w:r>
      <w:r>
        <w:rPr>
          <w:rFonts w:ascii="Times New Roman" w:hAnsi="Times New Roman"/>
          <w:szCs w:val="24"/>
          <w:lang w:val="bs-Latn-BA"/>
        </w:rPr>
        <w:t>проргама</w:t>
      </w:r>
      <w:r w:rsidR="000718D6" w:rsidRPr="00295637">
        <w:rPr>
          <w:rFonts w:ascii="Times New Roman" w:hAnsi="Times New Roman"/>
          <w:szCs w:val="24"/>
          <w:lang w:val="bs-Latn-BA"/>
        </w:rPr>
        <w:t xml:space="preserve"> </w:t>
      </w:r>
      <w:r>
        <w:rPr>
          <w:rFonts w:ascii="Times New Roman" w:hAnsi="Times New Roman"/>
          <w:szCs w:val="24"/>
          <w:lang w:val="bs-Latn-BA"/>
        </w:rPr>
        <w:t>мјера</w:t>
      </w:r>
      <w:r w:rsidR="000718D6" w:rsidRPr="00295637">
        <w:rPr>
          <w:rFonts w:ascii="Times New Roman" w:hAnsi="Times New Roman"/>
          <w:szCs w:val="24"/>
          <w:lang w:val="bs-Latn-BA"/>
        </w:rPr>
        <w:t xml:space="preserve"> </w:t>
      </w:r>
      <w:r>
        <w:rPr>
          <w:rFonts w:ascii="Times New Roman" w:hAnsi="Times New Roman"/>
          <w:szCs w:val="24"/>
          <w:lang w:val="bs-Latn-BA"/>
        </w:rPr>
        <w:t>у</w:t>
      </w:r>
      <w:r w:rsidR="000718D6" w:rsidRPr="00295637">
        <w:rPr>
          <w:rFonts w:ascii="Times New Roman" w:hAnsi="Times New Roman"/>
          <w:szCs w:val="24"/>
          <w:lang w:val="bs-Latn-BA"/>
        </w:rPr>
        <w:t xml:space="preserve"> </w:t>
      </w:r>
      <w:r>
        <w:rPr>
          <w:rFonts w:ascii="Times New Roman" w:hAnsi="Times New Roman"/>
          <w:szCs w:val="24"/>
          <w:lang w:val="bs-Latn-BA"/>
        </w:rPr>
        <w:t>којима</w:t>
      </w:r>
      <w:r w:rsidR="000718D6" w:rsidRPr="00295637">
        <w:rPr>
          <w:rFonts w:ascii="Times New Roman" w:hAnsi="Times New Roman"/>
          <w:szCs w:val="24"/>
          <w:lang w:val="bs-Latn-BA"/>
        </w:rPr>
        <w:t xml:space="preserve"> </w:t>
      </w:r>
      <w:r>
        <w:rPr>
          <w:rFonts w:ascii="Times New Roman" w:hAnsi="Times New Roman"/>
          <w:szCs w:val="24"/>
          <w:lang w:val="bs-Latn-BA"/>
        </w:rPr>
        <w:t>су</w:t>
      </w:r>
      <w:r w:rsidR="000718D6" w:rsidRPr="00295637">
        <w:rPr>
          <w:rFonts w:ascii="Times New Roman" w:hAnsi="Times New Roman"/>
          <w:szCs w:val="24"/>
          <w:lang w:val="bs-Latn-BA"/>
        </w:rPr>
        <w:t xml:space="preserve"> </w:t>
      </w:r>
      <w:r>
        <w:rPr>
          <w:rFonts w:ascii="Times New Roman" w:hAnsi="Times New Roman"/>
          <w:szCs w:val="24"/>
          <w:lang w:val="bs-Latn-BA"/>
        </w:rPr>
        <w:t>кроз</w:t>
      </w:r>
      <w:r w:rsidR="000718D6" w:rsidRPr="00295637">
        <w:rPr>
          <w:rFonts w:ascii="Times New Roman" w:hAnsi="Times New Roman"/>
          <w:szCs w:val="24"/>
          <w:lang w:val="bs-Latn-BA"/>
        </w:rPr>
        <w:t xml:space="preserve"> </w:t>
      </w:r>
      <w:r>
        <w:rPr>
          <w:rFonts w:ascii="Times New Roman" w:hAnsi="Times New Roman"/>
          <w:szCs w:val="24"/>
          <w:lang w:val="bs-Latn-BA"/>
        </w:rPr>
        <w:t>сарадњу</w:t>
      </w:r>
      <w:r w:rsidR="000718D6" w:rsidRPr="00295637">
        <w:rPr>
          <w:rFonts w:ascii="Times New Roman" w:hAnsi="Times New Roman"/>
          <w:szCs w:val="24"/>
          <w:lang w:val="bs-Latn-BA"/>
        </w:rPr>
        <w:t xml:space="preserve"> </w:t>
      </w:r>
      <w:r>
        <w:rPr>
          <w:rFonts w:ascii="Times New Roman" w:hAnsi="Times New Roman"/>
          <w:szCs w:val="24"/>
          <w:lang w:val="bs-Latn-BA"/>
        </w:rPr>
        <w:t>институција</w:t>
      </w:r>
      <w:r w:rsidR="000718D6" w:rsidRPr="00295637">
        <w:rPr>
          <w:rFonts w:ascii="Times New Roman" w:hAnsi="Times New Roman"/>
          <w:szCs w:val="24"/>
          <w:lang w:val="bs-Latn-BA"/>
        </w:rPr>
        <w:t xml:space="preserve"> </w:t>
      </w:r>
      <w:r>
        <w:rPr>
          <w:rFonts w:ascii="Times New Roman" w:hAnsi="Times New Roman"/>
          <w:szCs w:val="24"/>
          <w:lang w:val="bs-Latn-BA"/>
        </w:rPr>
        <w:t>и</w:t>
      </w:r>
      <w:r w:rsidR="000718D6" w:rsidRPr="00295637">
        <w:rPr>
          <w:rFonts w:ascii="Times New Roman" w:hAnsi="Times New Roman"/>
          <w:szCs w:val="24"/>
          <w:lang w:val="bs-Latn-BA"/>
        </w:rPr>
        <w:t xml:space="preserve"> </w:t>
      </w:r>
      <w:r>
        <w:rPr>
          <w:rFonts w:ascii="Times New Roman" w:hAnsi="Times New Roman"/>
          <w:szCs w:val="24"/>
          <w:lang w:val="bs-Latn-BA"/>
        </w:rPr>
        <w:t>невладиних</w:t>
      </w:r>
      <w:r w:rsidR="000718D6" w:rsidRPr="00295637">
        <w:rPr>
          <w:rFonts w:ascii="Times New Roman" w:hAnsi="Times New Roman"/>
          <w:szCs w:val="24"/>
          <w:lang w:val="bs-Latn-BA"/>
        </w:rPr>
        <w:t xml:space="preserve"> </w:t>
      </w:r>
      <w:r>
        <w:rPr>
          <w:rFonts w:ascii="Times New Roman" w:hAnsi="Times New Roman"/>
          <w:szCs w:val="24"/>
          <w:lang w:val="bs-Latn-BA"/>
        </w:rPr>
        <w:t>организација</w:t>
      </w:r>
      <w:r w:rsidR="000718D6" w:rsidRPr="00295637">
        <w:rPr>
          <w:rFonts w:ascii="Times New Roman" w:hAnsi="Times New Roman"/>
          <w:szCs w:val="24"/>
          <w:lang w:val="bs-Latn-BA"/>
        </w:rPr>
        <w:t xml:space="preserve"> </w:t>
      </w:r>
      <w:r>
        <w:rPr>
          <w:rFonts w:ascii="Times New Roman" w:hAnsi="Times New Roman"/>
          <w:szCs w:val="24"/>
          <w:lang w:val="bs-Latn-BA"/>
        </w:rPr>
        <w:t>реализ</w:t>
      </w:r>
      <w:r w:rsidR="00AE7372">
        <w:rPr>
          <w:rFonts w:ascii="Times New Roman" w:hAnsi="Times New Roman"/>
          <w:szCs w:val="24"/>
          <w:lang w:val="sr-Cyrl-BA"/>
        </w:rPr>
        <w:t>оване</w:t>
      </w:r>
      <w:r w:rsidR="000718D6" w:rsidRPr="00295637">
        <w:rPr>
          <w:rFonts w:ascii="Times New Roman" w:hAnsi="Times New Roman"/>
          <w:szCs w:val="24"/>
          <w:lang w:val="bs-Latn-BA"/>
        </w:rPr>
        <w:t xml:space="preserve"> </w:t>
      </w:r>
      <w:r>
        <w:rPr>
          <w:rFonts w:ascii="Times New Roman" w:hAnsi="Times New Roman"/>
          <w:szCs w:val="24"/>
          <w:lang w:val="bs-Latn-BA"/>
        </w:rPr>
        <w:t>бројне</w:t>
      </w:r>
      <w:r w:rsidR="000718D6" w:rsidRPr="00295637">
        <w:rPr>
          <w:rFonts w:ascii="Times New Roman" w:hAnsi="Times New Roman"/>
          <w:szCs w:val="24"/>
          <w:lang w:val="bs-Latn-BA"/>
        </w:rPr>
        <w:t xml:space="preserve"> </w:t>
      </w:r>
      <w:r>
        <w:rPr>
          <w:rFonts w:ascii="Times New Roman" w:hAnsi="Times New Roman"/>
          <w:szCs w:val="24"/>
          <w:lang w:val="bs-Latn-BA"/>
        </w:rPr>
        <w:t>промотивне</w:t>
      </w:r>
      <w:r w:rsidR="000718D6" w:rsidRPr="00295637">
        <w:rPr>
          <w:rFonts w:ascii="Times New Roman" w:hAnsi="Times New Roman"/>
          <w:szCs w:val="24"/>
          <w:lang w:val="bs-Latn-BA"/>
        </w:rPr>
        <w:t xml:space="preserve"> </w:t>
      </w:r>
      <w:r>
        <w:rPr>
          <w:rFonts w:ascii="Times New Roman" w:hAnsi="Times New Roman"/>
          <w:szCs w:val="24"/>
          <w:lang w:val="bs-Latn-BA"/>
        </w:rPr>
        <w:t>активности</w:t>
      </w:r>
      <w:r w:rsidR="000718D6" w:rsidRPr="00295637">
        <w:rPr>
          <w:rFonts w:ascii="Times New Roman" w:hAnsi="Times New Roman"/>
          <w:szCs w:val="24"/>
          <w:lang w:val="bs-Latn-BA"/>
        </w:rPr>
        <w:t>.</w:t>
      </w:r>
      <w:r w:rsidR="002C3B18" w:rsidRPr="00295637">
        <w:rPr>
          <w:rFonts w:ascii="Times New Roman" w:hAnsi="Times New Roman"/>
          <w:szCs w:val="24"/>
          <w:lang w:val="bs-Latn-BA"/>
        </w:rPr>
        <w:t xml:space="preserve"> </w:t>
      </w:r>
    </w:p>
    <w:p w:rsidR="00813CB7" w:rsidRPr="00295637" w:rsidRDefault="00813CB7" w:rsidP="0086268D">
      <w:pPr>
        <w:jc w:val="both"/>
        <w:rPr>
          <w:rFonts w:ascii="Times New Roman" w:hAnsi="Times New Roman"/>
          <w:szCs w:val="24"/>
          <w:lang w:val="bs-Latn-BA"/>
        </w:rPr>
      </w:pPr>
    </w:p>
    <w:p w:rsidR="00D50735" w:rsidRPr="00985C5F" w:rsidRDefault="00C6214E" w:rsidP="0086268D">
      <w:pPr>
        <w:jc w:val="both"/>
        <w:rPr>
          <w:rFonts w:ascii="Times New Roman" w:hAnsi="Times New Roman"/>
          <w:szCs w:val="24"/>
          <w:lang w:val="bs-Latn-BA"/>
        </w:rPr>
      </w:pPr>
      <w:r>
        <w:rPr>
          <w:rFonts w:ascii="Times New Roman" w:hAnsi="Times New Roman"/>
          <w:lang w:val="sr-Cyrl-BA"/>
        </w:rPr>
        <w:t>У</w:t>
      </w:r>
      <w:r w:rsidR="00D50735" w:rsidRPr="00295637">
        <w:rPr>
          <w:rFonts w:ascii="Times New Roman" w:hAnsi="Times New Roman"/>
          <w:lang w:val="sr-Cyrl-BA"/>
        </w:rPr>
        <w:t xml:space="preserve"> </w:t>
      </w:r>
      <w:r>
        <w:rPr>
          <w:rFonts w:ascii="Times New Roman" w:hAnsi="Times New Roman"/>
          <w:lang w:val="sr-Cyrl-BA"/>
        </w:rPr>
        <w:t>оквиру</w:t>
      </w:r>
      <w:r w:rsidR="00D50735" w:rsidRPr="00295637">
        <w:rPr>
          <w:rFonts w:ascii="Times New Roman" w:hAnsi="Times New Roman"/>
          <w:lang w:val="sr-Cyrl-BA"/>
        </w:rPr>
        <w:t xml:space="preserve"> </w:t>
      </w:r>
      <w:r>
        <w:rPr>
          <w:rFonts w:ascii="Times New Roman" w:hAnsi="Times New Roman"/>
          <w:lang w:val="sr-Cyrl-BA"/>
        </w:rPr>
        <w:t>међународних</w:t>
      </w:r>
      <w:r w:rsidR="00D50735" w:rsidRPr="00295637">
        <w:rPr>
          <w:rFonts w:ascii="Times New Roman" w:hAnsi="Times New Roman"/>
          <w:lang w:val="sr-Cyrl-BA"/>
        </w:rPr>
        <w:t xml:space="preserve"> „16 </w:t>
      </w:r>
      <w:r>
        <w:rPr>
          <w:rFonts w:ascii="Times New Roman" w:hAnsi="Times New Roman"/>
          <w:lang w:val="sr-Cyrl-BA"/>
        </w:rPr>
        <w:t>дана</w:t>
      </w:r>
      <w:r w:rsidR="00D50735" w:rsidRPr="00295637">
        <w:rPr>
          <w:rFonts w:ascii="Times New Roman" w:hAnsi="Times New Roman"/>
          <w:lang w:val="sr-Cyrl-BA"/>
        </w:rPr>
        <w:t xml:space="preserve"> </w:t>
      </w:r>
      <w:r>
        <w:rPr>
          <w:rFonts w:ascii="Times New Roman" w:hAnsi="Times New Roman"/>
          <w:lang w:val="sr-Cyrl-BA"/>
        </w:rPr>
        <w:t>активизма</w:t>
      </w:r>
      <w:r w:rsidR="00D50735" w:rsidRPr="00295637">
        <w:rPr>
          <w:rFonts w:ascii="Times New Roman" w:hAnsi="Times New Roman"/>
          <w:lang w:val="sr-Cyrl-BA"/>
        </w:rPr>
        <w:t xml:space="preserve"> </w:t>
      </w:r>
      <w:r>
        <w:rPr>
          <w:rFonts w:ascii="Times New Roman" w:hAnsi="Times New Roman"/>
          <w:lang w:val="sr-Cyrl-BA"/>
        </w:rPr>
        <w:t>борбе</w:t>
      </w:r>
      <w:r w:rsidR="00D50735" w:rsidRPr="00295637">
        <w:rPr>
          <w:rFonts w:ascii="Times New Roman" w:hAnsi="Times New Roman"/>
          <w:lang w:val="sr-Cyrl-BA"/>
        </w:rPr>
        <w:t xml:space="preserve"> </w:t>
      </w:r>
      <w:r>
        <w:rPr>
          <w:rFonts w:ascii="Times New Roman" w:hAnsi="Times New Roman"/>
          <w:lang w:val="sr-Cyrl-BA"/>
        </w:rPr>
        <w:t>против</w:t>
      </w:r>
      <w:r w:rsidR="00D50735" w:rsidRPr="00295637">
        <w:rPr>
          <w:rFonts w:ascii="Times New Roman" w:hAnsi="Times New Roman"/>
          <w:lang w:val="sr-Cyrl-BA"/>
        </w:rPr>
        <w:t xml:space="preserve"> </w:t>
      </w:r>
      <w:r>
        <w:rPr>
          <w:rFonts w:ascii="Times New Roman" w:hAnsi="Times New Roman"/>
          <w:lang w:val="sr-Cyrl-BA"/>
        </w:rPr>
        <w:t>насиља</w:t>
      </w:r>
      <w:r w:rsidR="00D50735" w:rsidRPr="00295637">
        <w:rPr>
          <w:rFonts w:ascii="Times New Roman" w:hAnsi="Times New Roman"/>
          <w:lang w:val="sr-Cyrl-BA"/>
        </w:rPr>
        <w:t xml:space="preserve"> </w:t>
      </w:r>
      <w:r>
        <w:rPr>
          <w:rFonts w:ascii="Times New Roman" w:hAnsi="Times New Roman"/>
          <w:lang w:val="sr-Cyrl-BA"/>
        </w:rPr>
        <w:t>над</w:t>
      </w:r>
      <w:r w:rsidR="00D50735" w:rsidRPr="00295637">
        <w:rPr>
          <w:rFonts w:ascii="Times New Roman" w:hAnsi="Times New Roman"/>
          <w:lang w:val="sr-Cyrl-BA"/>
        </w:rPr>
        <w:t xml:space="preserve"> </w:t>
      </w:r>
      <w:r>
        <w:rPr>
          <w:rFonts w:ascii="Times New Roman" w:hAnsi="Times New Roman"/>
          <w:lang w:val="sr-Cyrl-BA"/>
        </w:rPr>
        <w:t>женама</w:t>
      </w:r>
      <w:r w:rsidR="00AE7372">
        <w:rPr>
          <w:rFonts w:ascii="Times New Roman" w:hAnsi="Times New Roman"/>
          <w:lang w:val="sr-Cyrl-BA"/>
        </w:rPr>
        <w:t>“</w:t>
      </w:r>
      <w:r w:rsidR="00D50735" w:rsidRPr="00295637">
        <w:rPr>
          <w:rFonts w:ascii="Times New Roman" w:hAnsi="Times New Roman"/>
          <w:lang w:val="sr-Cyrl-BA"/>
        </w:rPr>
        <w:t xml:space="preserve"> (25. </w:t>
      </w:r>
      <w:r>
        <w:rPr>
          <w:rFonts w:ascii="Times New Roman" w:hAnsi="Times New Roman"/>
          <w:lang w:val="hr-HR"/>
        </w:rPr>
        <w:t>новембра</w:t>
      </w:r>
      <w:r w:rsidR="00D50735" w:rsidRPr="00295637">
        <w:rPr>
          <w:rFonts w:ascii="Times New Roman" w:hAnsi="Times New Roman"/>
          <w:lang w:val="sr-Cyrl-BA"/>
        </w:rPr>
        <w:t xml:space="preserve"> </w:t>
      </w:r>
      <w:r>
        <w:rPr>
          <w:rFonts w:ascii="Times New Roman" w:hAnsi="Times New Roman"/>
          <w:lang w:val="sr-Cyrl-BA"/>
        </w:rPr>
        <w:t>до</w:t>
      </w:r>
      <w:r w:rsidR="00D50735" w:rsidRPr="00295637">
        <w:rPr>
          <w:rFonts w:ascii="Times New Roman" w:hAnsi="Times New Roman"/>
          <w:lang w:val="sr-Cyrl-BA"/>
        </w:rPr>
        <w:t xml:space="preserve"> 10. </w:t>
      </w:r>
      <w:r>
        <w:rPr>
          <w:rFonts w:ascii="Times New Roman" w:hAnsi="Times New Roman"/>
          <w:lang w:val="hr-HR"/>
        </w:rPr>
        <w:t>децембра</w:t>
      </w:r>
      <w:r w:rsidR="00D50735" w:rsidRPr="00295637">
        <w:rPr>
          <w:rFonts w:ascii="Times New Roman" w:hAnsi="Times New Roman"/>
          <w:lang w:val="sr-Cyrl-BA"/>
        </w:rPr>
        <w:t xml:space="preserve">) </w:t>
      </w:r>
      <w:r>
        <w:rPr>
          <w:rFonts w:ascii="Times New Roman" w:hAnsi="Times New Roman"/>
          <w:lang w:val="sr-Cyrl-BA"/>
        </w:rPr>
        <w:t>проведене</w:t>
      </w:r>
      <w:r w:rsidR="00D50735" w:rsidRPr="00295637">
        <w:rPr>
          <w:rFonts w:ascii="Times New Roman" w:hAnsi="Times New Roman"/>
          <w:lang w:val="sr-Cyrl-BA"/>
        </w:rPr>
        <w:t xml:space="preserve"> </w:t>
      </w:r>
      <w:r>
        <w:rPr>
          <w:rFonts w:ascii="Times New Roman" w:hAnsi="Times New Roman"/>
          <w:lang w:val="bs-Latn-BA"/>
        </w:rPr>
        <w:t>су</w:t>
      </w:r>
      <w:r w:rsidR="002C3B18" w:rsidRPr="00295637">
        <w:rPr>
          <w:rFonts w:ascii="Times New Roman" w:hAnsi="Times New Roman"/>
          <w:lang w:val="bs-Latn-BA"/>
        </w:rPr>
        <w:t xml:space="preserve"> </w:t>
      </w:r>
      <w:r>
        <w:rPr>
          <w:rFonts w:ascii="Times New Roman" w:hAnsi="Times New Roman"/>
          <w:lang w:val="bs-Latn-BA"/>
        </w:rPr>
        <w:t>двије</w:t>
      </w:r>
      <w:r w:rsidR="00D50735" w:rsidRPr="00295637">
        <w:rPr>
          <w:rFonts w:ascii="Times New Roman" w:hAnsi="Times New Roman"/>
          <w:lang w:val="sr-Cyrl-BA"/>
        </w:rPr>
        <w:t xml:space="preserve"> </w:t>
      </w:r>
      <w:r>
        <w:rPr>
          <w:rFonts w:ascii="Times New Roman" w:hAnsi="Times New Roman"/>
          <w:lang w:val="sr-Cyrl-BA"/>
        </w:rPr>
        <w:t>кампање</w:t>
      </w:r>
      <w:r w:rsidR="00D50735" w:rsidRPr="00295637">
        <w:rPr>
          <w:rFonts w:ascii="Times New Roman" w:hAnsi="Times New Roman"/>
          <w:lang w:val="sr-Cyrl-BA"/>
        </w:rPr>
        <w:t xml:space="preserve"> </w:t>
      </w:r>
      <w:r>
        <w:rPr>
          <w:rFonts w:ascii="Times New Roman" w:hAnsi="Times New Roman"/>
          <w:lang w:val="sr-Cyrl-BA"/>
        </w:rPr>
        <w:t>у</w:t>
      </w:r>
      <w:r w:rsidR="00D50735" w:rsidRPr="00295637">
        <w:rPr>
          <w:rFonts w:ascii="Times New Roman" w:hAnsi="Times New Roman"/>
          <w:lang w:val="sr-Cyrl-BA"/>
        </w:rPr>
        <w:t xml:space="preserve"> </w:t>
      </w:r>
      <w:r>
        <w:rPr>
          <w:rFonts w:ascii="Times New Roman" w:hAnsi="Times New Roman"/>
          <w:lang w:val="sr-Cyrl-BA"/>
        </w:rPr>
        <w:t>Републици</w:t>
      </w:r>
      <w:r w:rsidR="00D50735" w:rsidRPr="00295637">
        <w:rPr>
          <w:rFonts w:ascii="Times New Roman" w:hAnsi="Times New Roman"/>
          <w:lang w:val="sr-Cyrl-BA"/>
        </w:rPr>
        <w:t xml:space="preserve"> </w:t>
      </w:r>
      <w:r>
        <w:rPr>
          <w:rFonts w:ascii="Times New Roman" w:hAnsi="Times New Roman"/>
          <w:lang w:val="sr-Cyrl-BA"/>
        </w:rPr>
        <w:t>Српској</w:t>
      </w:r>
      <w:r w:rsidR="00D50735" w:rsidRPr="00295637">
        <w:rPr>
          <w:rFonts w:ascii="Times New Roman" w:hAnsi="Times New Roman"/>
          <w:lang w:val="sr-Cyrl-BA"/>
        </w:rPr>
        <w:t xml:space="preserve"> </w:t>
      </w:r>
      <w:r>
        <w:rPr>
          <w:rFonts w:ascii="Times New Roman" w:hAnsi="Times New Roman"/>
          <w:lang w:val="sr-Cyrl-BA"/>
        </w:rPr>
        <w:t>под</w:t>
      </w:r>
      <w:r w:rsidR="00D50735" w:rsidRPr="00295637">
        <w:rPr>
          <w:rFonts w:ascii="Times New Roman" w:hAnsi="Times New Roman"/>
          <w:lang w:val="sr-Cyrl-BA"/>
        </w:rPr>
        <w:t xml:space="preserve"> </w:t>
      </w:r>
      <w:r>
        <w:rPr>
          <w:rFonts w:ascii="Times New Roman" w:hAnsi="Times New Roman"/>
          <w:lang w:val="sr-Cyrl-BA"/>
        </w:rPr>
        <w:t>називом</w:t>
      </w:r>
      <w:r w:rsidR="00D50735" w:rsidRPr="00295637">
        <w:rPr>
          <w:rFonts w:ascii="Times New Roman" w:hAnsi="Times New Roman"/>
          <w:lang w:val="sr-Cyrl-BA"/>
        </w:rPr>
        <w:t xml:space="preserve"> „</w:t>
      </w:r>
      <w:r>
        <w:rPr>
          <w:rFonts w:ascii="Times New Roman" w:hAnsi="Times New Roman"/>
          <w:lang w:val="sr-Cyrl-BA"/>
        </w:rPr>
        <w:t>Бијела</w:t>
      </w:r>
      <w:r w:rsidR="00D50735" w:rsidRPr="00295637">
        <w:rPr>
          <w:rFonts w:ascii="Times New Roman" w:hAnsi="Times New Roman"/>
          <w:lang w:val="sr-Cyrl-BA"/>
        </w:rPr>
        <w:t xml:space="preserve"> </w:t>
      </w:r>
      <w:r>
        <w:rPr>
          <w:rFonts w:ascii="Times New Roman" w:hAnsi="Times New Roman"/>
          <w:lang w:val="sr-Cyrl-BA"/>
        </w:rPr>
        <w:t>врпца</w:t>
      </w:r>
      <w:r w:rsidR="000A63E7">
        <w:rPr>
          <w:rFonts w:ascii="Times New Roman" w:hAnsi="Times New Roman"/>
          <w:lang w:val="sr-Cyrl-BA"/>
        </w:rPr>
        <w:t xml:space="preserve"> - </w:t>
      </w:r>
      <w:r>
        <w:rPr>
          <w:rFonts w:ascii="Times New Roman" w:hAnsi="Times New Roman"/>
          <w:lang w:val="sr-Cyrl-BA"/>
        </w:rPr>
        <w:t>Мушко</w:t>
      </w:r>
      <w:r w:rsidR="000A63E7">
        <w:rPr>
          <w:rFonts w:ascii="Times New Roman" w:hAnsi="Times New Roman"/>
          <w:lang w:val="sr-Cyrl-BA"/>
        </w:rPr>
        <w:t xml:space="preserve"> </w:t>
      </w:r>
      <w:r>
        <w:rPr>
          <w:rFonts w:ascii="Times New Roman" w:hAnsi="Times New Roman"/>
          <w:lang w:val="sr-Cyrl-BA"/>
        </w:rPr>
        <w:t>НЕ</w:t>
      </w:r>
      <w:r w:rsidR="000A63E7">
        <w:rPr>
          <w:rFonts w:ascii="Times New Roman" w:hAnsi="Times New Roman"/>
          <w:lang w:val="sr-Cyrl-BA"/>
        </w:rPr>
        <w:t xml:space="preserve"> </w:t>
      </w:r>
      <w:r>
        <w:rPr>
          <w:rFonts w:ascii="Times New Roman" w:hAnsi="Times New Roman"/>
          <w:lang w:val="sr-Cyrl-BA"/>
        </w:rPr>
        <w:t>насиљу</w:t>
      </w:r>
      <w:r w:rsidR="000A63E7">
        <w:rPr>
          <w:rFonts w:ascii="Times New Roman" w:hAnsi="Times New Roman"/>
          <w:lang w:val="sr-Cyrl-BA"/>
        </w:rPr>
        <w:t xml:space="preserve"> </w:t>
      </w:r>
      <w:r>
        <w:rPr>
          <w:rFonts w:ascii="Times New Roman" w:hAnsi="Times New Roman"/>
          <w:lang w:val="sr-Cyrl-BA"/>
        </w:rPr>
        <w:t>над</w:t>
      </w:r>
      <w:r w:rsidR="000A63E7">
        <w:rPr>
          <w:rFonts w:ascii="Times New Roman" w:hAnsi="Times New Roman"/>
          <w:lang w:val="sr-Cyrl-BA"/>
        </w:rPr>
        <w:t xml:space="preserve"> </w:t>
      </w:r>
      <w:r>
        <w:rPr>
          <w:rFonts w:ascii="Times New Roman" w:hAnsi="Times New Roman"/>
          <w:lang w:val="sr-Cyrl-BA"/>
        </w:rPr>
        <w:t>женама</w:t>
      </w:r>
      <w:r w:rsidR="000A63E7">
        <w:rPr>
          <w:rFonts w:ascii="Times New Roman" w:hAnsi="Times New Roman"/>
          <w:lang w:val="hr-HR"/>
        </w:rPr>
        <w:t>“</w:t>
      </w:r>
      <w:r w:rsidR="00D50735" w:rsidRPr="00295637">
        <w:rPr>
          <w:rFonts w:ascii="Times New Roman" w:hAnsi="Times New Roman"/>
          <w:lang w:val="sr-Cyrl-BA"/>
        </w:rPr>
        <w:t xml:space="preserve"> </w:t>
      </w:r>
      <w:r>
        <w:rPr>
          <w:rFonts w:ascii="Times New Roman" w:hAnsi="Times New Roman"/>
          <w:lang w:val="sr-Cyrl-BA"/>
        </w:rPr>
        <w:t>и</w:t>
      </w:r>
      <w:r w:rsidR="00D50735" w:rsidRPr="00295637">
        <w:rPr>
          <w:rFonts w:ascii="Times New Roman" w:hAnsi="Times New Roman"/>
          <w:lang w:val="sr-Cyrl-BA"/>
        </w:rPr>
        <w:t xml:space="preserve"> „</w:t>
      </w:r>
      <w:r>
        <w:rPr>
          <w:rFonts w:ascii="Times New Roman" w:hAnsi="Times New Roman"/>
          <w:lang w:val="sr-Cyrl-BA"/>
        </w:rPr>
        <w:t>Стоп</w:t>
      </w:r>
      <w:r w:rsidR="00D50735" w:rsidRPr="00295637">
        <w:rPr>
          <w:rFonts w:ascii="Times New Roman" w:hAnsi="Times New Roman"/>
          <w:lang w:val="sr-Cyrl-BA"/>
        </w:rPr>
        <w:t xml:space="preserve"> </w:t>
      </w:r>
      <w:r>
        <w:rPr>
          <w:rFonts w:ascii="Times New Roman" w:hAnsi="Times New Roman"/>
          <w:lang w:val="sr-Cyrl-BA"/>
        </w:rPr>
        <w:t>насиљу</w:t>
      </w:r>
      <w:r w:rsidR="00D50735" w:rsidRPr="00295637">
        <w:rPr>
          <w:rFonts w:ascii="Times New Roman" w:hAnsi="Times New Roman"/>
          <w:lang w:val="sr-Cyrl-BA"/>
        </w:rPr>
        <w:t xml:space="preserve"> </w:t>
      </w:r>
      <w:r>
        <w:rPr>
          <w:rFonts w:ascii="Times New Roman" w:hAnsi="Times New Roman"/>
          <w:lang w:val="sr-Cyrl-BA"/>
        </w:rPr>
        <w:t>над</w:t>
      </w:r>
      <w:r w:rsidR="00D50735" w:rsidRPr="00295637">
        <w:rPr>
          <w:rFonts w:ascii="Times New Roman" w:hAnsi="Times New Roman"/>
          <w:lang w:val="sr-Cyrl-BA"/>
        </w:rPr>
        <w:t xml:space="preserve"> </w:t>
      </w:r>
      <w:r>
        <w:rPr>
          <w:rFonts w:ascii="Times New Roman" w:hAnsi="Times New Roman"/>
          <w:lang w:val="sr-Cyrl-BA"/>
        </w:rPr>
        <w:t>женама</w:t>
      </w:r>
      <w:r w:rsidR="00D50735" w:rsidRPr="00295637">
        <w:rPr>
          <w:rFonts w:ascii="Times New Roman" w:hAnsi="Times New Roman"/>
          <w:lang w:val="sr-Cyrl-BA"/>
        </w:rPr>
        <w:t xml:space="preserve"> - </w:t>
      </w:r>
      <w:r>
        <w:rPr>
          <w:rFonts w:ascii="Times New Roman" w:hAnsi="Times New Roman"/>
          <w:lang w:val="sr-Cyrl-BA"/>
        </w:rPr>
        <w:t>Ниједна</w:t>
      </w:r>
      <w:r w:rsidR="00D50735" w:rsidRPr="00295637">
        <w:rPr>
          <w:rFonts w:ascii="Times New Roman" w:hAnsi="Times New Roman"/>
          <w:lang w:val="sr-Cyrl-BA"/>
        </w:rPr>
        <w:t xml:space="preserve"> </w:t>
      </w:r>
      <w:r>
        <w:rPr>
          <w:rFonts w:ascii="Times New Roman" w:hAnsi="Times New Roman"/>
          <w:lang w:val="sr-Cyrl-BA"/>
        </w:rPr>
        <w:t>жртва</w:t>
      </w:r>
      <w:r w:rsidR="00D50735" w:rsidRPr="00295637">
        <w:rPr>
          <w:rFonts w:ascii="Times New Roman" w:hAnsi="Times New Roman"/>
          <w:lang w:val="sr-Cyrl-BA"/>
        </w:rPr>
        <w:t xml:space="preserve"> </w:t>
      </w:r>
      <w:r>
        <w:rPr>
          <w:rFonts w:ascii="Times New Roman" w:hAnsi="Times New Roman"/>
          <w:lang w:val="sr-Cyrl-BA"/>
        </w:rPr>
        <w:t>више</w:t>
      </w:r>
      <w:r w:rsidR="00D50735" w:rsidRPr="00295637">
        <w:rPr>
          <w:rFonts w:ascii="Times New Roman" w:hAnsi="Times New Roman"/>
          <w:lang w:val="sr-Cyrl-BA"/>
        </w:rPr>
        <w:t xml:space="preserve">“. </w:t>
      </w:r>
      <w:r>
        <w:rPr>
          <w:rFonts w:ascii="Times New Roman" w:hAnsi="Times New Roman"/>
          <w:lang w:val="sr-Cyrl-BA"/>
        </w:rPr>
        <w:t>Укупна</w:t>
      </w:r>
      <w:r w:rsidR="00D50735" w:rsidRPr="00295637">
        <w:rPr>
          <w:rFonts w:ascii="Times New Roman" w:hAnsi="Times New Roman"/>
          <w:lang w:val="sr-Cyrl-BA"/>
        </w:rPr>
        <w:t xml:space="preserve"> </w:t>
      </w:r>
      <w:r>
        <w:rPr>
          <w:rFonts w:ascii="Times New Roman" w:hAnsi="Times New Roman"/>
          <w:lang w:val="sr-Cyrl-BA"/>
        </w:rPr>
        <w:t>видљивост</w:t>
      </w:r>
      <w:r w:rsidR="00D50735" w:rsidRPr="00295637">
        <w:rPr>
          <w:rFonts w:ascii="Times New Roman" w:hAnsi="Times New Roman"/>
          <w:lang w:val="sr-Cyrl-BA"/>
        </w:rPr>
        <w:t xml:space="preserve"> </w:t>
      </w:r>
      <w:r>
        <w:rPr>
          <w:rFonts w:ascii="Times New Roman" w:hAnsi="Times New Roman"/>
          <w:lang w:val="sr-Cyrl-BA"/>
        </w:rPr>
        <w:t>објава</w:t>
      </w:r>
      <w:r w:rsidR="00D50735" w:rsidRPr="00295637">
        <w:rPr>
          <w:rFonts w:ascii="Times New Roman" w:hAnsi="Times New Roman"/>
          <w:lang w:val="sr-Cyrl-BA"/>
        </w:rPr>
        <w:t xml:space="preserve"> </w:t>
      </w:r>
      <w:r>
        <w:rPr>
          <w:rFonts w:ascii="Times New Roman" w:hAnsi="Times New Roman"/>
          <w:lang w:val="sr-Cyrl-BA"/>
        </w:rPr>
        <w:t>ЦЈРП</w:t>
      </w:r>
      <w:r w:rsidR="00237A50">
        <w:rPr>
          <w:rFonts w:ascii="Times New Roman" w:hAnsi="Times New Roman"/>
          <w:lang w:val="sr-Cyrl-BA"/>
        </w:rPr>
        <w:t xml:space="preserve"> </w:t>
      </w:r>
      <w:r>
        <w:rPr>
          <w:rFonts w:ascii="Times New Roman" w:hAnsi="Times New Roman"/>
          <w:lang w:val="sr-Cyrl-BA"/>
        </w:rPr>
        <w:t>РС</w:t>
      </w:r>
      <w:r w:rsidR="00D50735" w:rsidRPr="00295637">
        <w:rPr>
          <w:rFonts w:ascii="Times New Roman" w:hAnsi="Times New Roman"/>
          <w:lang w:val="sr-Cyrl-BA"/>
        </w:rPr>
        <w:t xml:space="preserve"> </w:t>
      </w:r>
      <w:r>
        <w:rPr>
          <w:rFonts w:ascii="Times New Roman" w:hAnsi="Times New Roman"/>
          <w:lang w:val="sr-Cyrl-BA"/>
        </w:rPr>
        <w:t>је</w:t>
      </w:r>
      <w:r w:rsidR="00D50735" w:rsidRPr="00295637">
        <w:rPr>
          <w:rFonts w:ascii="Times New Roman" w:hAnsi="Times New Roman"/>
          <w:lang w:val="sr-Cyrl-BA"/>
        </w:rPr>
        <w:t xml:space="preserve"> </w:t>
      </w:r>
      <w:r>
        <w:rPr>
          <w:rFonts w:ascii="Times New Roman" w:hAnsi="Times New Roman"/>
          <w:lang w:val="sr-Cyrl-BA"/>
        </w:rPr>
        <w:t>преко</w:t>
      </w:r>
      <w:r w:rsidR="00D50735" w:rsidRPr="00295637">
        <w:rPr>
          <w:rFonts w:ascii="Times New Roman" w:hAnsi="Times New Roman"/>
          <w:lang w:val="sr-Cyrl-BA"/>
        </w:rPr>
        <w:t xml:space="preserve"> 30.000. </w:t>
      </w:r>
      <w:r>
        <w:rPr>
          <w:rFonts w:ascii="Times New Roman" w:hAnsi="Times New Roman"/>
          <w:lang w:val="sr-Cyrl-BA"/>
        </w:rPr>
        <w:t>П</w:t>
      </w:r>
      <w:r>
        <w:rPr>
          <w:rFonts w:ascii="Times New Roman" w:hAnsi="Times New Roman"/>
          <w:lang w:val="bs-Latn-BA"/>
        </w:rPr>
        <w:t>оред</w:t>
      </w:r>
      <w:r w:rsidR="00B86247" w:rsidRPr="00295637">
        <w:rPr>
          <w:rFonts w:ascii="Times New Roman" w:hAnsi="Times New Roman"/>
          <w:lang w:val="bs-Latn-BA"/>
        </w:rPr>
        <w:t xml:space="preserve"> </w:t>
      </w:r>
      <w:r>
        <w:rPr>
          <w:rFonts w:ascii="Times New Roman" w:hAnsi="Times New Roman"/>
          <w:lang w:val="bs-Latn-BA"/>
        </w:rPr>
        <w:t>тога</w:t>
      </w:r>
      <w:r w:rsidR="00B86247" w:rsidRPr="00295637">
        <w:rPr>
          <w:rFonts w:ascii="Times New Roman" w:hAnsi="Times New Roman"/>
          <w:lang w:val="bs-Latn-BA"/>
        </w:rPr>
        <w:t xml:space="preserve">, </w:t>
      </w:r>
      <w:r>
        <w:rPr>
          <w:rFonts w:ascii="Times New Roman" w:hAnsi="Times New Roman"/>
          <w:lang w:val="bs-Latn-BA"/>
        </w:rPr>
        <w:t>п</w:t>
      </w:r>
      <w:r>
        <w:rPr>
          <w:rFonts w:ascii="Times New Roman" w:hAnsi="Times New Roman"/>
          <w:lang w:val="sr-Cyrl-BA"/>
        </w:rPr>
        <w:t>роведена</w:t>
      </w:r>
      <w:r w:rsidR="00D50735" w:rsidRPr="00295637">
        <w:rPr>
          <w:rFonts w:ascii="Times New Roman" w:hAnsi="Times New Roman"/>
          <w:lang w:val="sr-Cyrl-BA"/>
        </w:rPr>
        <w:t xml:space="preserve"> </w:t>
      </w:r>
      <w:r>
        <w:rPr>
          <w:rFonts w:ascii="Times New Roman" w:hAnsi="Times New Roman"/>
          <w:lang w:val="sr-Latn-BA"/>
        </w:rPr>
        <w:t>је</w:t>
      </w:r>
      <w:r w:rsidR="00D50735" w:rsidRPr="00295637">
        <w:rPr>
          <w:rFonts w:ascii="Times New Roman" w:hAnsi="Times New Roman"/>
          <w:lang w:val="sr-Latn-BA"/>
        </w:rPr>
        <w:t xml:space="preserve"> </w:t>
      </w:r>
      <w:r>
        <w:rPr>
          <w:rFonts w:ascii="Times New Roman" w:hAnsi="Times New Roman"/>
          <w:lang w:val="sr-Cyrl-BA"/>
        </w:rPr>
        <w:t>кампања</w:t>
      </w:r>
      <w:r w:rsidR="00D50735" w:rsidRPr="00295637">
        <w:rPr>
          <w:rFonts w:ascii="Times New Roman" w:hAnsi="Times New Roman"/>
          <w:lang w:val="sr-Cyrl-BA"/>
        </w:rPr>
        <w:t xml:space="preserve"> „</w:t>
      </w:r>
      <w:r>
        <w:rPr>
          <w:rFonts w:ascii="Times New Roman" w:hAnsi="Times New Roman"/>
          <w:lang w:val="sr-Cyrl-BA"/>
        </w:rPr>
        <w:t>Бирај</w:t>
      </w:r>
      <w:r w:rsidR="00D50735" w:rsidRPr="00295637">
        <w:rPr>
          <w:rFonts w:ascii="Times New Roman" w:hAnsi="Times New Roman"/>
          <w:lang w:val="sr-Cyrl-BA"/>
        </w:rPr>
        <w:t xml:space="preserve"> </w:t>
      </w:r>
      <w:r>
        <w:rPr>
          <w:rFonts w:ascii="Times New Roman" w:hAnsi="Times New Roman"/>
          <w:lang w:val="sr-Cyrl-BA"/>
        </w:rPr>
        <w:t>равноправно</w:t>
      </w:r>
      <w:r w:rsidR="00D50735" w:rsidRPr="00295637">
        <w:rPr>
          <w:rFonts w:ascii="Times New Roman" w:hAnsi="Times New Roman"/>
          <w:lang w:val="sr-Cyrl-BA"/>
        </w:rPr>
        <w:t xml:space="preserve">“ </w:t>
      </w:r>
      <w:r>
        <w:rPr>
          <w:rFonts w:ascii="Times New Roman" w:hAnsi="Times New Roman"/>
          <w:lang w:val="sr-Cyrl-BA"/>
        </w:rPr>
        <w:t>поводом</w:t>
      </w:r>
      <w:r w:rsidR="00D50735" w:rsidRPr="00295637">
        <w:rPr>
          <w:rFonts w:ascii="Times New Roman" w:hAnsi="Times New Roman"/>
          <w:lang w:val="sr-Cyrl-BA"/>
        </w:rPr>
        <w:t xml:space="preserve"> </w:t>
      </w:r>
      <w:r>
        <w:rPr>
          <w:rFonts w:ascii="Times New Roman" w:hAnsi="Times New Roman"/>
          <w:lang w:val="sr-Cyrl-BA"/>
        </w:rPr>
        <w:t>Локалних</w:t>
      </w:r>
      <w:r w:rsidR="00D50735" w:rsidRPr="00295637">
        <w:rPr>
          <w:rFonts w:ascii="Times New Roman" w:hAnsi="Times New Roman"/>
          <w:lang w:val="sr-Cyrl-BA"/>
        </w:rPr>
        <w:t xml:space="preserve"> </w:t>
      </w:r>
      <w:r>
        <w:rPr>
          <w:rFonts w:ascii="Times New Roman" w:hAnsi="Times New Roman"/>
          <w:lang w:val="sr-Cyrl-BA"/>
        </w:rPr>
        <w:t>избора</w:t>
      </w:r>
      <w:r w:rsidR="00D50735" w:rsidRPr="00295637">
        <w:rPr>
          <w:rFonts w:ascii="Times New Roman" w:hAnsi="Times New Roman"/>
          <w:lang w:val="sr-Cyrl-BA"/>
        </w:rPr>
        <w:t xml:space="preserve"> 2024.</w:t>
      </w:r>
    </w:p>
    <w:p w:rsidR="009F1105" w:rsidRPr="00295637" w:rsidRDefault="009F1105" w:rsidP="0086268D">
      <w:pPr>
        <w:rPr>
          <w:szCs w:val="24"/>
          <w:lang w:val="bs-Latn-BA"/>
        </w:rPr>
      </w:pPr>
    </w:p>
    <w:p w:rsidR="00356C2C" w:rsidRPr="00295637" w:rsidRDefault="00237A50" w:rsidP="00D06BDE">
      <w:pPr>
        <w:pStyle w:val="Heading4"/>
        <w:numPr>
          <w:ilvl w:val="0"/>
          <w:numId w:val="0"/>
        </w:numPr>
        <w:spacing w:after="0" w:line="240" w:lineRule="auto"/>
        <w:ind w:left="567"/>
        <w:rPr>
          <w:rFonts w:ascii="Times New Roman" w:hAnsi="Times New Roman" w:cs="Times New Roman"/>
          <w:b w:val="0"/>
          <w:lang w:val="bs-Latn-BA"/>
        </w:rPr>
      </w:pPr>
      <w:r w:rsidRPr="00237A50">
        <w:rPr>
          <w:rFonts w:ascii="Times New Roman" w:hAnsi="Times New Roman" w:cs="Times New Roman"/>
          <w:b w:val="0"/>
          <w:lang w:val="bs-Latn-BA"/>
        </w:rPr>
        <w:t>II</w:t>
      </w:r>
      <w:r w:rsidR="00D06BDE">
        <w:rPr>
          <w:rFonts w:ascii="Times New Roman" w:hAnsi="Times New Roman" w:cs="Times New Roman"/>
          <w:b w:val="0"/>
          <w:lang w:val="bs-Latn-BA"/>
        </w:rPr>
        <w:t xml:space="preserve"> 4.3. </w:t>
      </w:r>
      <w:r w:rsidR="00C6214E">
        <w:rPr>
          <w:rFonts w:ascii="Times New Roman" w:hAnsi="Times New Roman" w:cs="Times New Roman"/>
          <w:b w:val="0"/>
          <w:lang w:val="bs-Latn-BA"/>
        </w:rPr>
        <w:t>Унапређење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редовно</w:t>
      </w:r>
      <w:r w:rsidR="000A63E7">
        <w:rPr>
          <w:rFonts w:ascii="Times New Roman" w:hAnsi="Times New Roman" w:cs="Times New Roman"/>
          <w:b w:val="0"/>
          <w:lang w:val="bs-Latn-BA"/>
        </w:rPr>
        <w:t xml:space="preserve"> </w:t>
      </w:r>
      <w:r w:rsidR="00C6214E">
        <w:rPr>
          <w:rFonts w:ascii="Times New Roman" w:hAnsi="Times New Roman" w:cs="Times New Roman"/>
          <w:b w:val="0"/>
          <w:lang w:val="bs-Latn-BA"/>
        </w:rPr>
        <w:t>ажурирање</w:t>
      </w:r>
      <w:r w:rsidR="000A63E7">
        <w:rPr>
          <w:rFonts w:ascii="Times New Roman" w:hAnsi="Times New Roman" w:cs="Times New Roman"/>
          <w:b w:val="0"/>
          <w:lang w:val="bs-Latn-BA"/>
        </w:rPr>
        <w:t xml:space="preserve"> </w:t>
      </w:r>
      <w:r w:rsidR="00C6214E">
        <w:rPr>
          <w:rFonts w:ascii="Times New Roman" w:hAnsi="Times New Roman" w:cs="Times New Roman"/>
          <w:b w:val="0"/>
          <w:lang w:val="bs-Latn-BA"/>
        </w:rPr>
        <w:t>садржаја</w:t>
      </w:r>
      <w:r w:rsidR="000A63E7">
        <w:rPr>
          <w:rFonts w:ascii="Times New Roman" w:hAnsi="Times New Roman" w:cs="Times New Roman"/>
          <w:b w:val="0"/>
          <w:lang w:val="bs-Latn-BA"/>
        </w:rPr>
        <w:t xml:space="preserve"> </w:t>
      </w:r>
      <w:r>
        <w:rPr>
          <w:rFonts w:ascii="Times New Roman" w:hAnsi="Times New Roman" w:cs="Times New Roman"/>
          <w:b w:val="0"/>
          <w:lang w:val="sr-Cyrl-BA"/>
        </w:rPr>
        <w:t>веб-</w:t>
      </w:r>
      <w:r w:rsidR="00C6214E">
        <w:rPr>
          <w:rFonts w:ascii="Times New Roman" w:hAnsi="Times New Roman" w:cs="Times New Roman"/>
          <w:b w:val="0"/>
          <w:lang w:val="bs-Latn-BA"/>
        </w:rPr>
        <w:t>страница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АР</w:t>
      </w:r>
      <w:r>
        <w:rPr>
          <w:rFonts w:ascii="Times New Roman" w:hAnsi="Times New Roman" w:cs="Times New Roman"/>
          <w:b w:val="0"/>
          <w:lang w:val="sr-Cyrl-BA"/>
        </w:rPr>
        <w:t>П</w:t>
      </w:r>
      <w:r w:rsidR="000A63E7">
        <w:rPr>
          <w:rFonts w:ascii="Times New Roman" w:hAnsi="Times New Roman" w:cs="Times New Roman"/>
          <w:b w:val="0"/>
          <w:lang w:val="bs-Latn-BA"/>
        </w:rPr>
        <w:t xml:space="preserve"> </w:t>
      </w:r>
      <w:r w:rsidR="00C6214E">
        <w:rPr>
          <w:rFonts w:ascii="Times New Roman" w:hAnsi="Times New Roman" w:cs="Times New Roman"/>
          <w:b w:val="0"/>
          <w:lang w:val="bs-Latn-BA"/>
        </w:rPr>
        <w:t>БиХ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МЉПИ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БиХ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ГЦ</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ФБиХ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ГЦ</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РС</w:t>
      </w:r>
      <w:r w:rsidR="00356C2C" w:rsidRPr="00295637">
        <w:rPr>
          <w:rFonts w:ascii="Times New Roman" w:hAnsi="Times New Roman" w:cs="Times New Roman"/>
          <w:b w:val="0"/>
          <w:lang w:val="bs-Latn-BA"/>
        </w:rPr>
        <w:t>.</w:t>
      </w:r>
    </w:p>
    <w:p w:rsidR="009F1105" w:rsidRPr="00295637" w:rsidRDefault="009F1105" w:rsidP="0086268D">
      <w:pPr>
        <w:jc w:val="both"/>
        <w:rPr>
          <w:rFonts w:ascii="Gill Sans MT" w:hAnsi="Gill Sans MT"/>
          <w:szCs w:val="24"/>
          <w:lang w:val="bs-Latn-BA"/>
        </w:rPr>
      </w:pPr>
    </w:p>
    <w:p w:rsidR="009013AA" w:rsidRPr="00295637" w:rsidRDefault="00C6214E" w:rsidP="0086268D">
      <w:pPr>
        <w:jc w:val="both"/>
        <w:rPr>
          <w:rFonts w:ascii="Times New Roman" w:hAnsi="Times New Roman"/>
          <w:szCs w:val="24"/>
          <w:lang w:val="bs-Latn-BA"/>
        </w:rPr>
      </w:pPr>
      <w:r>
        <w:rPr>
          <w:rFonts w:ascii="Times New Roman" w:hAnsi="Times New Roman"/>
          <w:szCs w:val="24"/>
          <w:lang w:val="bs-Latn-BA"/>
        </w:rPr>
        <w:t>Континуирано</w:t>
      </w:r>
      <w:r w:rsidR="009013AA" w:rsidRPr="00295637">
        <w:rPr>
          <w:rFonts w:ascii="Times New Roman" w:hAnsi="Times New Roman"/>
          <w:szCs w:val="24"/>
          <w:lang w:val="bs-Latn-BA"/>
        </w:rPr>
        <w:t xml:space="preserve"> </w:t>
      </w:r>
      <w:r>
        <w:rPr>
          <w:rFonts w:ascii="Times New Roman" w:hAnsi="Times New Roman"/>
          <w:szCs w:val="24"/>
          <w:lang w:val="bs-Latn-BA"/>
        </w:rPr>
        <w:t>се</w:t>
      </w:r>
      <w:r w:rsidR="009013AA" w:rsidRPr="00295637">
        <w:rPr>
          <w:rFonts w:ascii="Times New Roman" w:hAnsi="Times New Roman"/>
          <w:szCs w:val="24"/>
          <w:lang w:val="bs-Latn-BA"/>
        </w:rPr>
        <w:t xml:space="preserve"> </w:t>
      </w:r>
      <w:r>
        <w:rPr>
          <w:rFonts w:ascii="Times New Roman" w:hAnsi="Times New Roman"/>
          <w:szCs w:val="24"/>
          <w:lang w:val="bs-Latn-BA"/>
        </w:rPr>
        <w:t>ради</w:t>
      </w:r>
      <w:r w:rsidR="009013AA" w:rsidRPr="00295637">
        <w:rPr>
          <w:rFonts w:ascii="Times New Roman" w:hAnsi="Times New Roman"/>
          <w:szCs w:val="24"/>
          <w:lang w:val="bs-Latn-BA"/>
        </w:rPr>
        <w:t xml:space="preserve"> </w:t>
      </w:r>
      <w:r>
        <w:rPr>
          <w:rFonts w:ascii="Times New Roman" w:hAnsi="Times New Roman"/>
          <w:szCs w:val="24"/>
          <w:lang w:val="bs-Latn-BA"/>
        </w:rPr>
        <w:t>на</w:t>
      </w:r>
      <w:r w:rsidR="009013AA" w:rsidRPr="00295637">
        <w:rPr>
          <w:rFonts w:ascii="Times New Roman" w:hAnsi="Times New Roman"/>
          <w:szCs w:val="24"/>
          <w:lang w:val="bs-Latn-BA"/>
        </w:rPr>
        <w:t xml:space="preserve"> </w:t>
      </w:r>
      <w:r>
        <w:rPr>
          <w:rFonts w:ascii="Times New Roman" w:hAnsi="Times New Roman"/>
          <w:szCs w:val="24"/>
          <w:lang w:val="bs-Latn-BA"/>
        </w:rPr>
        <w:t>побољшању</w:t>
      </w:r>
      <w:r w:rsidR="009013AA" w:rsidRPr="00295637">
        <w:rPr>
          <w:rFonts w:ascii="Times New Roman" w:hAnsi="Times New Roman"/>
          <w:szCs w:val="24"/>
          <w:lang w:val="bs-Latn-BA"/>
        </w:rPr>
        <w:t xml:space="preserve"> </w:t>
      </w:r>
      <w:r>
        <w:rPr>
          <w:rFonts w:ascii="Times New Roman" w:hAnsi="Times New Roman"/>
          <w:szCs w:val="24"/>
          <w:lang w:val="bs-Latn-BA"/>
        </w:rPr>
        <w:t>доступности</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квалитета</w:t>
      </w:r>
      <w:r w:rsidR="009013AA" w:rsidRPr="00295637">
        <w:rPr>
          <w:rFonts w:ascii="Times New Roman" w:hAnsi="Times New Roman"/>
          <w:szCs w:val="24"/>
          <w:lang w:val="bs-Latn-BA"/>
        </w:rPr>
        <w:t xml:space="preserve"> </w:t>
      </w:r>
      <w:r>
        <w:rPr>
          <w:rFonts w:ascii="Times New Roman" w:hAnsi="Times New Roman"/>
          <w:szCs w:val="24"/>
          <w:lang w:val="bs-Latn-BA"/>
        </w:rPr>
        <w:t>информација</w:t>
      </w:r>
      <w:r w:rsidR="009013AA" w:rsidRPr="00295637">
        <w:rPr>
          <w:rFonts w:ascii="Times New Roman" w:hAnsi="Times New Roman"/>
          <w:szCs w:val="24"/>
          <w:lang w:val="bs-Latn-BA"/>
        </w:rPr>
        <w:t xml:space="preserve"> </w:t>
      </w:r>
      <w:r>
        <w:rPr>
          <w:rFonts w:ascii="Times New Roman" w:hAnsi="Times New Roman"/>
          <w:szCs w:val="24"/>
          <w:lang w:val="bs-Latn-BA"/>
        </w:rPr>
        <w:t>о</w:t>
      </w:r>
      <w:r w:rsidR="009013AA"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F90528" w:rsidRPr="00295637">
        <w:rPr>
          <w:rFonts w:ascii="Times New Roman" w:hAnsi="Times New Roman"/>
          <w:szCs w:val="24"/>
          <w:lang w:val="bs-Latn-BA"/>
        </w:rPr>
        <w:t xml:space="preserve"> </w:t>
      </w:r>
      <w:r>
        <w:rPr>
          <w:rFonts w:ascii="Times New Roman" w:hAnsi="Times New Roman"/>
          <w:szCs w:val="24"/>
          <w:lang w:val="bs-Latn-BA"/>
        </w:rPr>
        <w:t>полова</w:t>
      </w:r>
      <w:r w:rsidR="009013AA" w:rsidRPr="00295637">
        <w:rPr>
          <w:rFonts w:ascii="Times New Roman" w:hAnsi="Times New Roman"/>
          <w:szCs w:val="24"/>
          <w:lang w:val="bs-Latn-BA"/>
        </w:rPr>
        <w:t xml:space="preserve">, </w:t>
      </w:r>
      <w:r>
        <w:rPr>
          <w:rFonts w:ascii="Times New Roman" w:hAnsi="Times New Roman"/>
          <w:szCs w:val="24"/>
          <w:lang w:val="bs-Latn-BA"/>
        </w:rPr>
        <w:t>правној</w:t>
      </w:r>
      <w:r w:rsidR="009013AA" w:rsidRPr="00295637">
        <w:rPr>
          <w:rFonts w:ascii="Times New Roman" w:hAnsi="Times New Roman"/>
          <w:szCs w:val="24"/>
          <w:lang w:val="bs-Latn-BA"/>
        </w:rPr>
        <w:t xml:space="preserve"> </w:t>
      </w:r>
      <w:r>
        <w:rPr>
          <w:rFonts w:ascii="Times New Roman" w:hAnsi="Times New Roman"/>
          <w:szCs w:val="24"/>
          <w:lang w:val="bs-Latn-BA"/>
        </w:rPr>
        <w:t>заштити</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механизмима</w:t>
      </w:r>
      <w:r w:rsidR="001D5733" w:rsidRPr="00295637">
        <w:rPr>
          <w:rFonts w:ascii="Times New Roman" w:hAnsi="Times New Roman"/>
          <w:szCs w:val="24"/>
          <w:lang w:val="bs-Latn-BA"/>
        </w:rPr>
        <w:t xml:space="preserve"> </w:t>
      </w:r>
      <w:r>
        <w:rPr>
          <w:rFonts w:ascii="Times New Roman" w:hAnsi="Times New Roman"/>
          <w:szCs w:val="24"/>
          <w:lang w:val="bs-Latn-BA"/>
        </w:rPr>
        <w:t>борбе</w:t>
      </w:r>
      <w:r w:rsidR="001D5733" w:rsidRPr="00295637">
        <w:rPr>
          <w:rFonts w:ascii="Times New Roman" w:hAnsi="Times New Roman"/>
          <w:szCs w:val="24"/>
          <w:lang w:val="bs-Latn-BA"/>
        </w:rPr>
        <w:t xml:space="preserve"> </w:t>
      </w:r>
      <w:r>
        <w:rPr>
          <w:rFonts w:ascii="Times New Roman" w:hAnsi="Times New Roman"/>
          <w:szCs w:val="24"/>
          <w:lang w:val="bs-Latn-BA"/>
        </w:rPr>
        <w:t>против</w:t>
      </w:r>
      <w:r w:rsidR="001D5733"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1D5733" w:rsidRPr="00295637">
        <w:rPr>
          <w:rFonts w:ascii="Times New Roman" w:hAnsi="Times New Roman"/>
          <w:szCs w:val="24"/>
          <w:lang w:val="bs-Latn-BA"/>
        </w:rPr>
        <w:t xml:space="preserve"> </w:t>
      </w:r>
      <w:r>
        <w:rPr>
          <w:rFonts w:ascii="Times New Roman" w:hAnsi="Times New Roman"/>
          <w:szCs w:val="24"/>
          <w:lang w:val="bs-Latn-BA"/>
        </w:rPr>
        <w:t>путем</w:t>
      </w:r>
      <w:r w:rsidR="001D5733" w:rsidRPr="00295637">
        <w:rPr>
          <w:rFonts w:ascii="Times New Roman" w:hAnsi="Times New Roman"/>
          <w:szCs w:val="24"/>
          <w:lang w:val="bs-Latn-BA"/>
        </w:rPr>
        <w:t xml:space="preserve"> </w:t>
      </w:r>
      <w:r>
        <w:rPr>
          <w:rFonts w:ascii="Times New Roman" w:hAnsi="Times New Roman"/>
          <w:szCs w:val="24"/>
          <w:lang w:val="bs-Latn-BA"/>
        </w:rPr>
        <w:t>интернет</w:t>
      </w:r>
      <w:r w:rsidR="00D06BDE">
        <w:rPr>
          <w:rFonts w:ascii="Times New Roman" w:hAnsi="Times New Roman"/>
          <w:szCs w:val="24"/>
          <w:lang w:val="bs-Latn-BA"/>
        </w:rPr>
        <w:t xml:space="preserve"> </w:t>
      </w:r>
      <w:r>
        <w:rPr>
          <w:rFonts w:ascii="Times New Roman" w:hAnsi="Times New Roman"/>
          <w:szCs w:val="24"/>
          <w:lang w:val="bs-Latn-BA"/>
        </w:rPr>
        <w:t>страница</w:t>
      </w:r>
      <w:r w:rsidR="001D5733" w:rsidRPr="00295637">
        <w:rPr>
          <w:rFonts w:ascii="Times New Roman" w:hAnsi="Times New Roman"/>
          <w:szCs w:val="24"/>
          <w:lang w:val="bs-Latn-BA"/>
        </w:rPr>
        <w:t xml:space="preserve"> </w:t>
      </w:r>
      <w:r>
        <w:rPr>
          <w:rFonts w:ascii="Times New Roman" w:hAnsi="Times New Roman"/>
          <w:szCs w:val="24"/>
          <w:lang w:val="bs-Latn-BA"/>
        </w:rPr>
        <w:t>АР</w:t>
      </w:r>
      <w:r w:rsidR="00237A50">
        <w:rPr>
          <w:rFonts w:ascii="Times New Roman" w:hAnsi="Times New Roman"/>
          <w:szCs w:val="24"/>
          <w:lang w:val="sr-Cyrl-BA"/>
        </w:rPr>
        <w:t>П</w:t>
      </w:r>
      <w:r w:rsidR="000A63E7">
        <w:rPr>
          <w:rFonts w:ascii="Times New Roman" w:hAnsi="Times New Roman"/>
          <w:szCs w:val="24"/>
          <w:lang w:val="bs-Latn-BA"/>
        </w:rPr>
        <w:t xml:space="preserve"> </w:t>
      </w:r>
      <w:r>
        <w:rPr>
          <w:rFonts w:ascii="Times New Roman" w:hAnsi="Times New Roman"/>
          <w:szCs w:val="24"/>
          <w:lang w:val="bs-Latn-BA"/>
        </w:rPr>
        <w:t>БиХ</w:t>
      </w:r>
      <w:r w:rsidR="000A63E7">
        <w:rPr>
          <w:rFonts w:ascii="Times New Roman" w:hAnsi="Times New Roman"/>
          <w:szCs w:val="24"/>
          <w:lang w:val="bs-Latn-BA"/>
        </w:rPr>
        <w:t xml:space="preserve"> </w:t>
      </w:r>
      <w:r>
        <w:rPr>
          <w:rFonts w:ascii="Times New Roman" w:hAnsi="Times New Roman"/>
          <w:szCs w:val="24"/>
          <w:lang w:val="bs-Latn-BA"/>
        </w:rPr>
        <w:t>МЉПИ</w:t>
      </w:r>
      <w:r w:rsidR="000A63E7">
        <w:rPr>
          <w:rFonts w:ascii="Times New Roman" w:hAnsi="Times New Roman"/>
          <w:szCs w:val="24"/>
          <w:lang w:val="bs-Latn-BA"/>
        </w:rPr>
        <w:t xml:space="preserve"> </w:t>
      </w:r>
      <w:r>
        <w:rPr>
          <w:rFonts w:ascii="Times New Roman" w:hAnsi="Times New Roman"/>
          <w:szCs w:val="24"/>
          <w:lang w:val="bs-Latn-BA"/>
        </w:rPr>
        <w:t>БиХ</w:t>
      </w:r>
      <w:r w:rsidR="000A63E7">
        <w:rPr>
          <w:rFonts w:ascii="Times New Roman" w:hAnsi="Times New Roman"/>
          <w:szCs w:val="24"/>
          <w:lang w:val="bs-Latn-BA"/>
        </w:rPr>
        <w:t xml:space="preserve">, </w:t>
      </w:r>
      <w:r>
        <w:rPr>
          <w:rFonts w:ascii="Times New Roman" w:hAnsi="Times New Roman"/>
          <w:szCs w:val="24"/>
          <w:lang w:val="bs-Latn-BA"/>
        </w:rPr>
        <w:t>ГЦ</w:t>
      </w:r>
      <w:r w:rsidR="000A63E7">
        <w:rPr>
          <w:rFonts w:ascii="Times New Roman" w:hAnsi="Times New Roman"/>
          <w:szCs w:val="24"/>
          <w:lang w:val="bs-Latn-BA"/>
        </w:rPr>
        <w:t xml:space="preserve"> </w:t>
      </w:r>
      <w:r>
        <w:rPr>
          <w:rFonts w:ascii="Times New Roman" w:hAnsi="Times New Roman"/>
          <w:szCs w:val="24"/>
          <w:lang w:val="bs-Latn-BA"/>
        </w:rPr>
        <w:t>ФБиХ</w:t>
      </w:r>
      <w:r w:rsidR="00050016">
        <w:rPr>
          <w:rFonts w:ascii="Times New Roman" w:hAnsi="Times New Roman"/>
          <w:szCs w:val="24"/>
          <w:lang w:val="bs-Latn-BA"/>
        </w:rPr>
        <w:t xml:space="preserve"> </w:t>
      </w:r>
      <w:r>
        <w:rPr>
          <w:rFonts w:ascii="Times New Roman" w:hAnsi="Times New Roman"/>
          <w:szCs w:val="24"/>
          <w:lang w:val="bs-Latn-BA"/>
        </w:rPr>
        <w:t>и</w:t>
      </w:r>
      <w:r w:rsidR="009E54A2" w:rsidRPr="00295637">
        <w:rPr>
          <w:rFonts w:ascii="Times New Roman" w:hAnsi="Times New Roman"/>
          <w:szCs w:val="24"/>
          <w:lang w:val="bs-Latn-BA"/>
        </w:rPr>
        <w:t xml:space="preserve"> </w:t>
      </w:r>
      <w:r>
        <w:rPr>
          <w:rFonts w:ascii="Times New Roman" w:hAnsi="Times New Roman"/>
          <w:lang w:val="sr-Latn-BA"/>
        </w:rPr>
        <w:t>ЦЈРП</w:t>
      </w:r>
      <w:r w:rsidR="007E112A" w:rsidRPr="00295637">
        <w:rPr>
          <w:rFonts w:ascii="Times New Roman" w:hAnsi="Times New Roman"/>
          <w:lang w:val="sr-Latn-BA"/>
        </w:rPr>
        <w:t xml:space="preserve"> </w:t>
      </w:r>
      <w:r>
        <w:rPr>
          <w:rFonts w:ascii="Times New Roman" w:hAnsi="Times New Roman"/>
          <w:lang w:val="sr-Latn-BA"/>
        </w:rPr>
        <w:t>РС</w:t>
      </w:r>
      <w:r w:rsidR="001D5733" w:rsidRPr="00295637">
        <w:rPr>
          <w:rFonts w:ascii="Times New Roman" w:hAnsi="Times New Roman"/>
          <w:szCs w:val="24"/>
          <w:lang w:val="bs-Latn-BA"/>
        </w:rPr>
        <w:t xml:space="preserve">. </w:t>
      </w:r>
      <w:r>
        <w:rPr>
          <w:rFonts w:ascii="Times New Roman" w:hAnsi="Times New Roman"/>
          <w:szCs w:val="24"/>
          <w:lang w:val="bs-Latn-BA"/>
        </w:rPr>
        <w:t>Интернет</w:t>
      </w:r>
      <w:r w:rsidR="00D06BDE">
        <w:rPr>
          <w:rFonts w:ascii="Times New Roman" w:hAnsi="Times New Roman"/>
          <w:szCs w:val="24"/>
          <w:lang w:val="bs-Latn-BA"/>
        </w:rPr>
        <w:t xml:space="preserve"> </w:t>
      </w:r>
      <w:r>
        <w:rPr>
          <w:rFonts w:ascii="Times New Roman" w:hAnsi="Times New Roman"/>
          <w:szCs w:val="24"/>
          <w:lang w:val="bs-Latn-BA"/>
        </w:rPr>
        <w:t>странице</w:t>
      </w:r>
      <w:r w:rsidR="009013AA" w:rsidRPr="00295637">
        <w:rPr>
          <w:rFonts w:ascii="Times New Roman" w:hAnsi="Times New Roman"/>
          <w:szCs w:val="24"/>
          <w:lang w:val="bs-Latn-BA"/>
        </w:rPr>
        <w:t xml:space="preserve"> </w:t>
      </w:r>
      <w:r>
        <w:rPr>
          <w:rFonts w:ascii="Times New Roman" w:hAnsi="Times New Roman"/>
          <w:szCs w:val="24"/>
          <w:lang w:val="bs-Latn-BA"/>
        </w:rPr>
        <w:t>се</w:t>
      </w:r>
      <w:r w:rsidR="001D5733" w:rsidRPr="00295637">
        <w:rPr>
          <w:rFonts w:ascii="Times New Roman" w:hAnsi="Times New Roman"/>
          <w:szCs w:val="24"/>
          <w:lang w:val="bs-Latn-BA"/>
        </w:rPr>
        <w:t xml:space="preserve"> </w:t>
      </w:r>
      <w:r>
        <w:rPr>
          <w:rFonts w:ascii="Times New Roman" w:hAnsi="Times New Roman"/>
          <w:szCs w:val="24"/>
          <w:lang w:val="bs-Latn-BA"/>
        </w:rPr>
        <w:t>редовно</w:t>
      </w:r>
      <w:r w:rsidR="009013AA" w:rsidRPr="00295637">
        <w:rPr>
          <w:rFonts w:ascii="Times New Roman" w:hAnsi="Times New Roman"/>
          <w:szCs w:val="24"/>
          <w:lang w:val="bs-Latn-BA"/>
        </w:rPr>
        <w:t xml:space="preserve"> </w:t>
      </w:r>
      <w:r>
        <w:rPr>
          <w:rFonts w:ascii="Times New Roman" w:hAnsi="Times New Roman"/>
          <w:szCs w:val="24"/>
          <w:lang w:val="bs-Latn-BA"/>
        </w:rPr>
        <w:t>ажурирају</w:t>
      </w:r>
      <w:r w:rsidR="009013AA" w:rsidRPr="00295637">
        <w:rPr>
          <w:rFonts w:ascii="Times New Roman" w:hAnsi="Times New Roman"/>
          <w:szCs w:val="24"/>
          <w:lang w:val="bs-Latn-BA"/>
        </w:rPr>
        <w:t xml:space="preserve"> </w:t>
      </w:r>
      <w:r>
        <w:rPr>
          <w:rFonts w:ascii="Times New Roman" w:hAnsi="Times New Roman"/>
          <w:szCs w:val="24"/>
          <w:lang w:val="bs-Latn-BA"/>
        </w:rPr>
        <w:t>како</w:t>
      </w:r>
      <w:r w:rsidR="009013AA" w:rsidRPr="00295637">
        <w:rPr>
          <w:rFonts w:ascii="Times New Roman" w:hAnsi="Times New Roman"/>
          <w:szCs w:val="24"/>
          <w:lang w:val="bs-Latn-BA"/>
        </w:rPr>
        <w:t xml:space="preserve"> </w:t>
      </w:r>
      <w:r>
        <w:rPr>
          <w:rFonts w:ascii="Times New Roman" w:hAnsi="Times New Roman"/>
          <w:szCs w:val="24"/>
          <w:lang w:val="bs-Latn-BA"/>
        </w:rPr>
        <w:t>би</w:t>
      </w:r>
      <w:r w:rsidR="009013AA" w:rsidRPr="00295637">
        <w:rPr>
          <w:rFonts w:ascii="Times New Roman" w:hAnsi="Times New Roman"/>
          <w:szCs w:val="24"/>
          <w:lang w:val="bs-Latn-BA"/>
        </w:rPr>
        <w:t xml:space="preserve"> </w:t>
      </w:r>
      <w:r>
        <w:rPr>
          <w:rFonts w:ascii="Times New Roman" w:hAnsi="Times New Roman"/>
          <w:szCs w:val="24"/>
          <w:lang w:val="bs-Latn-BA"/>
        </w:rPr>
        <w:t>садржавале</w:t>
      </w:r>
      <w:r w:rsidR="009013AA" w:rsidRPr="00295637">
        <w:rPr>
          <w:rFonts w:ascii="Times New Roman" w:hAnsi="Times New Roman"/>
          <w:szCs w:val="24"/>
          <w:lang w:val="bs-Latn-BA"/>
        </w:rPr>
        <w:t xml:space="preserve"> </w:t>
      </w:r>
      <w:r>
        <w:rPr>
          <w:rFonts w:ascii="Times New Roman" w:hAnsi="Times New Roman"/>
          <w:szCs w:val="24"/>
          <w:lang w:val="bs-Latn-BA"/>
        </w:rPr>
        <w:t>најновије</w:t>
      </w:r>
      <w:r w:rsidR="009013AA" w:rsidRPr="00295637">
        <w:rPr>
          <w:rFonts w:ascii="Times New Roman" w:hAnsi="Times New Roman"/>
          <w:szCs w:val="24"/>
          <w:lang w:val="bs-Latn-BA"/>
        </w:rPr>
        <w:t xml:space="preserve"> </w:t>
      </w:r>
      <w:r>
        <w:rPr>
          <w:rFonts w:ascii="Times New Roman" w:hAnsi="Times New Roman"/>
          <w:szCs w:val="24"/>
          <w:lang w:val="bs-Latn-BA"/>
        </w:rPr>
        <w:t>законске</w:t>
      </w:r>
      <w:r w:rsidR="009013AA" w:rsidRPr="00295637">
        <w:rPr>
          <w:rFonts w:ascii="Times New Roman" w:hAnsi="Times New Roman"/>
          <w:szCs w:val="24"/>
          <w:lang w:val="bs-Latn-BA"/>
        </w:rPr>
        <w:t xml:space="preserve"> </w:t>
      </w:r>
      <w:r>
        <w:rPr>
          <w:rFonts w:ascii="Times New Roman" w:hAnsi="Times New Roman"/>
          <w:szCs w:val="24"/>
          <w:lang w:val="bs-Latn-BA"/>
        </w:rPr>
        <w:t>прописе</w:t>
      </w:r>
      <w:r w:rsidR="009013AA" w:rsidRPr="00295637">
        <w:rPr>
          <w:rFonts w:ascii="Times New Roman" w:hAnsi="Times New Roman"/>
          <w:szCs w:val="24"/>
          <w:lang w:val="bs-Latn-BA"/>
        </w:rPr>
        <w:t xml:space="preserve">, </w:t>
      </w:r>
      <w:r>
        <w:rPr>
          <w:rFonts w:ascii="Times New Roman" w:hAnsi="Times New Roman"/>
          <w:szCs w:val="24"/>
          <w:lang w:val="bs-Latn-BA"/>
        </w:rPr>
        <w:t>смјернице</w:t>
      </w:r>
      <w:r w:rsidR="009013AA" w:rsidRPr="00295637">
        <w:rPr>
          <w:rFonts w:ascii="Times New Roman" w:hAnsi="Times New Roman"/>
          <w:szCs w:val="24"/>
          <w:lang w:val="bs-Latn-BA"/>
        </w:rPr>
        <w:t xml:space="preserve">, </w:t>
      </w:r>
      <w:r>
        <w:rPr>
          <w:rFonts w:ascii="Times New Roman" w:hAnsi="Times New Roman"/>
          <w:szCs w:val="24"/>
          <w:lang w:val="bs-Latn-BA"/>
        </w:rPr>
        <w:t>анализе</w:t>
      </w:r>
      <w:r w:rsidR="009013AA" w:rsidRPr="00295637">
        <w:rPr>
          <w:rFonts w:ascii="Times New Roman" w:hAnsi="Times New Roman"/>
          <w:szCs w:val="24"/>
          <w:lang w:val="bs-Latn-BA"/>
        </w:rPr>
        <w:t xml:space="preserve">, </w:t>
      </w:r>
      <w:r>
        <w:rPr>
          <w:rFonts w:ascii="Times New Roman" w:hAnsi="Times New Roman"/>
          <w:szCs w:val="24"/>
          <w:lang w:val="bs-Latn-BA"/>
        </w:rPr>
        <w:t>извјештаје</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ресурсе</w:t>
      </w:r>
      <w:r w:rsidR="009013AA" w:rsidRPr="00295637">
        <w:rPr>
          <w:rFonts w:ascii="Times New Roman" w:hAnsi="Times New Roman"/>
          <w:szCs w:val="24"/>
          <w:lang w:val="bs-Latn-BA"/>
        </w:rPr>
        <w:t xml:space="preserve"> </w:t>
      </w:r>
      <w:r>
        <w:rPr>
          <w:rFonts w:ascii="Times New Roman" w:hAnsi="Times New Roman"/>
          <w:szCs w:val="24"/>
          <w:lang w:val="bs-Latn-BA"/>
        </w:rPr>
        <w:t>за</w:t>
      </w:r>
      <w:r w:rsidR="009013AA" w:rsidRPr="00295637">
        <w:rPr>
          <w:rFonts w:ascii="Times New Roman" w:hAnsi="Times New Roman"/>
          <w:szCs w:val="24"/>
          <w:lang w:val="bs-Latn-BA"/>
        </w:rPr>
        <w:t xml:space="preserve"> </w:t>
      </w:r>
      <w:r>
        <w:rPr>
          <w:rFonts w:ascii="Times New Roman" w:hAnsi="Times New Roman"/>
          <w:szCs w:val="24"/>
          <w:lang w:val="bs-Latn-BA"/>
        </w:rPr>
        <w:t>стручну</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ширу</w:t>
      </w:r>
      <w:r w:rsidR="009013AA" w:rsidRPr="00295637">
        <w:rPr>
          <w:rFonts w:ascii="Times New Roman" w:hAnsi="Times New Roman"/>
          <w:szCs w:val="24"/>
          <w:lang w:val="bs-Latn-BA"/>
        </w:rPr>
        <w:t xml:space="preserve"> </w:t>
      </w:r>
      <w:r>
        <w:rPr>
          <w:rFonts w:ascii="Times New Roman" w:hAnsi="Times New Roman"/>
          <w:szCs w:val="24"/>
          <w:lang w:val="bs-Latn-BA"/>
        </w:rPr>
        <w:t>јавност</w:t>
      </w:r>
      <w:r w:rsidR="009013AA" w:rsidRPr="00295637">
        <w:rPr>
          <w:rFonts w:ascii="Times New Roman" w:hAnsi="Times New Roman"/>
          <w:szCs w:val="24"/>
          <w:lang w:val="bs-Latn-BA"/>
        </w:rPr>
        <w:t xml:space="preserve">. </w:t>
      </w:r>
      <w:r>
        <w:rPr>
          <w:rFonts w:ascii="Times New Roman" w:hAnsi="Times New Roman"/>
          <w:szCs w:val="24"/>
          <w:lang w:val="bs-Latn-BA"/>
        </w:rPr>
        <w:t>Посебан</w:t>
      </w:r>
      <w:r w:rsidR="009013AA" w:rsidRPr="00295637">
        <w:rPr>
          <w:rFonts w:ascii="Times New Roman" w:hAnsi="Times New Roman"/>
          <w:szCs w:val="24"/>
          <w:lang w:val="bs-Latn-BA"/>
        </w:rPr>
        <w:t xml:space="preserve"> </w:t>
      </w:r>
      <w:r>
        <w:rPr>
          <w:rFonts w:ascii="Times New Roman" w:hAnsi="Times New Roman"/>
          <w:szCs w:val="24"/>
          <w:lang w:val="bs-Latn-BA"/>
        </w:rPr>
        <w:t>фокус</w:t>
      </w:r>
      <w:r w:rsidR="009013AA" w:rsidRPr="00295637">
        <w:rPr>
          <w:rFonts w:ascii="Times New Roman" w:hAnsi="Times New Roman"/>
          <w:szCs w:val="24"/>
          <w:lang w:val="bs-Latn-BA"/>
        </w:rPr>
        <w:t xml:space="preserve"> </w:t>
      </w:r>
      <w:r>
        <w:rPr>
          <w:rFonts w:ascii="Times New Roman" w:hAnsi="Times New Roman"/>
          <w:szCs w:val="24"/>
          <w:lang w:val="bs-Latn-BA"/>
        </w:rPr>
        <w:t>стављен</w:t>
      </w:r>
      <w:r w:rsidR="009013AA" w:rsidRPr="00295637">
        <w:rPr>
          <w:rFonts w:ascii="Times New Roman" w:hAnsi="Times New Roman"/>
          <w:szCs w:val="24"/>
          <w:lang w:val="bs-Latn-BA"/>
        </w:rPr>
        <w:t xml:space="preserve"> </w:t>
      </w:r>
      <w:r>
        <w:rPr>
          <w:rFonts w:ascii="Times New Roman" w:hAnsi="Times New Roman"/>
          <w:szCs w:val="24"/>
          <w:lang w:val="bs-Latn-BA"/>
        </w:rPr>
        <w:t>је</w:t>
      </w:r>
      <w:r w:rsidR="009013AA" w:rsidRPr="00295637">
        <w:rPr>
          <w:rFonts w:ascii="Times New Roman" w:hAnsi="Times New Roman"/>
          <w:szCs w:val="24"/>
          <w:lang w:val="bs-Latn-BA"/>
        </w:rPr>
        <w:t xml:space="preserve"> </w:t>
      </w:r>
      <w:r>
        <w:rPr>
          <w:rFonts w:ascii="Times New Roman" w:hAnsi="Times New Roman"/>
          <w:szCs w:val="24"/>
          <w:lang w:val="bs-Latn-BA"/>
        </w:rPr>
        <w:t>на</w:t>
      </w:r>
      <w:r w:rsidR="009013AA" w:rsidRPr="00295637">
        <w:rPr>
          <w:rFonts w:ascii="Times New Roman" w:hAnsi="Times New Roman"/>
          <w:szCs w:val="24"/>
          <w:lang w:val="bs-Latn-BA"/>
        </w:rPr>
        <w:t xml:space="preserve"> </w:t>
      </w:r>
      <w:r>
        <w:rPr>
          <w:rFonts w:ascii="Times New Roman" w:hAnsi="Times New Roman"/>
          <w:szCs w:val="24"/>
          <w:lang w:val="bs-Latn-BA"/>
        </w:rPr>
        <w:t>информи</w:t>
      </w:r>
      <w:r w:rsidR="00237A50">
        <w:rPr>
          <w:rFonts w:ascii="Times New Roman" w:hAnsi="Times New Roman"/>
          <w:szCs w:val="24"/>
          <w:lang w:val="sr-Cyrl-BA"/>
        </w:rPr>
        <w:t>с</w:t>
      </w:r>
      <w:r>
        <w:rPr>
          <w:rFonts w:ascii="Times New Roman" w:hAnsi="Times New Roman"/>
          <w:szCs w:val="24"/>
          <w:lang w:val="bs-Latn-BA"/>
        </w:rPr>
        <w:t>ање</w:t>
      </w:r>
      <w:r w:rsidR="009013AA" w:rsidRPr="00295637">
        <w:rPr>
          <w:rFonts w:ascii="Times New Roman" w:hAnsi="Times New Roman"/>
          <w:szCs w:val="24"/>
          <w:lang w:val="bs-Latn-BA"/>
        </w:rPr>
        <w:t xml:space="preserve"> </w:t>
      </w:r>
      <w:r>
        <w:rPr>
          <w:rFonts w:ascii="Times New Roman" w:hAnsi="Times New Roman"/>
          <w:szCs w:val="24"/>
          <w:lang w:val="bs-Latn-BA"/>
        </w:rPr>
        <w:t>грађана</w:t>
      </w:r>
      <w:r w:rsidR="009013AA" w:rsidRPr="00295637">
        <w:rPr>
          <w:rFonts w:ascii="Times New Roman" w:hAnsi="Times New Roman"/>
          <w:szCs w:val="24"/>
          <w:lang w:val="bs-Latn-BA"/>
        </w:rPr>
        <w:t xml:space="preserve"> </w:t>
      </w:r>
      <w:r>
        <w:rPr>
          <w:rFonts w:ascii="Times New Roman" w:hAnsi="Times New Roman"/>
          <w:szCs w:val="24"/>
          <w:lang w:val="bs-Latn-BA"/>
        </w:rPr>
        <w:t>о</w:t>
      </w:r>
      <w:r w:rsidR="009013AA" w:rsidRPr="00295637">
        <w:rPr>
          <w:rFonts w:ascii="Times New Roman" w:hAnsi="Times New Roman"/>
          <w:szCs w:val="24"/>
          <w:lang w:val="bs-Latn-BA"/>
        </w:rPr>
        <w:t xml:space="preserve"> </w:t>
      </w:r>
      <w:r>
        <w:rPr>
          <w:rFonts w:ascii="Times New Roman" w:hAnsi="Times New Roman"/>
          <w:szCs w:val="24"/>
          <w:lang w:val="bs-Latn-BA"/>
        </w:rPr>
        <w:t>њиховим</w:t>
      </w:r>
      <w:r w:rsidR="009013AA" w:rsidRPr="00295637">
        <w:rPr>
          <w:rFonts w:ascii="Times New Roman" w:hAnsi="Times New Roman"/>
          <w:szCs w:val="24"/>
          <w:lang w:val="bs-Latn-BA"/>
        </w:rPr>
        <w:t xml:space="preserve"> </w:t>
      </w:r>
      <w:r>
        <w:rPr>
          <w:rFonts w:ascii="Times New Roman" w:hAnsi="Times New Roman"/>
          <w:szCs w:val="24"/>
          <w:lang w:val="bs-Latn-BA"/>
        </w:rPr>
        <w:t>правима</w:t>
      </w:r>
      <w:r w:rsidR="009013AA" w:rsidRPr="00295637">
        <w:rPr>
          <w:rFonts w:ascii="Times New Roman" w:hAnsi="Times New Roman"/>
          <w:szCs w:val="24"/>
          <w:lang w:val="bs-Latn-BA"/>
        </w:rPr>
        <w:t xml:space="preserve">, </w:t>
      </w:r>
      <w:r>
        <w:rPr>
          <w:rFonts w:ascii="Times New Roman" w:hAnsi="Times New Roman"/>
          <w:szCs w:val="24"/>
          <w:lang w:val="bs-Latn-BA"/>
        </w:rPr>
        <w:t>поступцима</w:t>
      </w:r>
      <w:r w:rsidR="009013AA" w:rsidRPr="00295637">
        <w:rPr>
          <w:rFonts w:ascii="Times New Roman" w:hAnsi="Times New Roman"/>
          <w:szCs w:val="24"/>
          <w:lang w:val="bs-Latn-BA"/>
        </w:rPr>
        <w:t xml:space="preserve"> </w:t>
      </w:r>
      <w:r>
        <w:rPr>
          <w:rFonts w:ascii="Times New Roman" w:hAnsi="Times New Roman"/>
          <w:szCs w:val="24"/>
          <w:lang w:val="bs-Latn-BA"/>
        </w:rPr>
        <w:t>пријаве</w:t>
      </w:r>
      <w:r w:rsidR="009013AA"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доступним</w:t>
      </w:r>
      <w:r w:rsidR="009013AA" w:rsidRPr="00295637">
        <w:rPr>
          <w:rFonts w:ascii="Times New Roman" w:hAnsi="Times New Roman"/>
          <w:szCs w:val="24"/>
          <w:lang w:val="bs-Latn-BA"/>
        </w:rPr>
        <w:t xml:space="preserve"> </w:t>
      </w:r>
      <w:r>
        <w:rPr>
          <w:rFonts w:ascii="Times New Roman" w:hAnsi="Times New Roman"/>
          <w:szCs w:val="24"/>
          <w:lang w:val="bs-Latn-BA"/>
        </w:rPr>
        <w:t>видовима</w:t>
      </w:r>
      <w:r w:rsidR="009013AA" w:rsidRPr="00295637">
        <w:rPr>
          <w:rFonts w:ascii="Times New Roman" w:hAnsi="Times New Roman"/>
          <w:szCs w:val="24"/>
          <w:lang w:val="bs-Latn-BA"/>
        </w:rPr>
        <w:t xml:space="preserve"> </w:t>
      </w:r>
      <w:r>
        <w:rPr>
          <w:rFonts w:ascii="Times New Roman" w:hAnsi="Times New Roman"/>
          <w:szCs w:val="24"/>
          <w:lang w:val="bs-Latn-BA"/>
        </w:rPr>
        <w:t>подршке</w:t>
      </w:r>
      <w:r w:rsidR="009013AA" w:rsidRPr="00295637">
        <w:rPr>
          <w:rFonts w:ascii="Times New Roman" w:hAnsi="Times New Roman"/>
          <w:szCs w:val="24"/>
          <w:lang w:val="bs-Latn-BA"/>
        </w:rPr>
        <w:t xml:space="preserve">. </w:t>
      </w:r>
      <w:r>
        <w:rPr>
          <w:rFonts w:ascii="Times New Roman" w:hAnsi="Times New Roman"/>
          <w:szCs w:val="24"/>
          <w:lang w:val="bs-Latn-BA"/>
        </w:rPr>
        <w:t>Додатно</w:t>
      </w:r>
      <w:r w:rsidR="009013AA" w:rsidRPr="00295637">
        <w:rPr>
          <w:rFonts w:ascii="Times New Roman" w:hAnsi="Times New Roman"/>
          <w:szCs w:val="24"/>
          <w:lang w:val="bs-Latn-BA"/>
        </w:rPr>
        <w:t xml:space="preserve">, </w:t>
      </w:r>
      <w:r>
        <w:rPr>
          <w:rFonts w:ascii="Times New Roman" w:hAnsi="Times New Roman"/>
          <w:szCs w:val="24"/>
          <w:lang w:val="bs-Latn-BA"/>
        </w:rPr>
        <w:t>унапријеђен</w:t>
      </w:r>
      <w:r w:rsidR="009013AA" w:rsidRPr="00295637">
        <w:rPr>
          <w:rFonts w:ascii="Times New Roman" w:hAnsi="Times New Roman"/>
          <w:szCs w:val="24"/>
          <w:lang w:val="bs-Latn-BA"/>
        </w:rPr>
        <w:t xml:space="preserve"> </w:t>
      </w:r>
      <w:r>
        <w:rPr>
          <w:rFonts w:ascii="Times New Roman" w:hAnsi="Times New Roman"/>
          <w:szCs w:val="24"/>
          <w:lang w:val="bs-Latn-BA"/>
        </w:rPr>
        <w:t>је</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интерактивни</w:t>
      </w:r>
      <w:r w:rsidR="009013AA" w:rsidRPr="00295637">
        <w:rPr>
          <w:rFonts w:ascii="Times New Roman" w:hAnsi="Times New Roman"/>
          <w:szCs w:val="24"/>
          <w:lang w:val="bs-Latn-BA"/>
        </w:rPr>
        <w:t xml:space="preserve"> </w:t>
      </w:r>
      <w:r>
        <w:rPr>
          <w:rFonts w:ascii="Times New Roman" w:hAnsi="Times New Roman"/>
          <w:szCs w:val="24"/>
          <w:lang w:val="bs-Latn-BA"/>
        </w:rPr>
        <w:t>садржај</w:t>
      </w:r>
      <w:r w:rsidR="009013AA" w:rsidRPr="00295637">
        <w:rPr>
          <w:rFonts w:ascii="Times New Roman" w:hAnsi="Times New Roman"/>
          <w:szCs w:val="24"/>
          <w:lang w:val="bs-Latn-BA"/>
        </w:rPr>
        <w:t xml:space="preserve"> </w:t>
      </w:r>
      <w:r>
        <w:rPr>
          <w:rFonts w:ascii="Times New Roman" w:hAnsi="Times New Roman"/>
          <w:szCs w:val="24"/>
          <w:lang w:val="bs-Latn-BA"/>
        </w:rPr>
        <w:t>који</w:t>
      </w:r>
      <w:r w:rsidR="009013AA" w:rsidRPr="00295637">
        <w:rPr>
          <w:rFonts w:ascii="Times New Roman" w:hAnsi="Times New Roman"/>
          <w:szCs w:val="24"/>
          <w:lang w:val="bs-Latn-BA"/>
        </w:rPr>
        <w:t xml:space="preserve"> </w:t>
      </w:r>
      <w:r>
        <w:rPr>
          <w:rFonts w:ascii="Times New Roman" w:hAnsi="Times New Roman"/>
          <w:szCs w:val="24"/>
          <w:lang w:val="bs-Latn-BA"/>
        </w:rPr>
        <w:t>укључује</w:t>
      </w:r>
      <w:r w:rsidR="009013AA" w:rsidRPr="00295637">
        <w:rPr>
          <w:rFonts w:ascii="Times New Roman" w:hAnsi="Times New Roman"/>
          <w:szCs w:val="24"/>
          <w:lang w:val="bs-Latn-BA"/>
        </w:rPr>
        <w:t xml:space="preserve"> </w:t>
      </w:r>
      <w:r>
        <w:rPr>
          <w:rFonts w:ascii="Times New Roman" w:hAnsi="Times New Roman"/>
          <w:szCs w:val="24"/>
          <w:lang w:val="bs-Latn-BA"/>
        </w:rPr>
        <w:t>публикације</w:t>
      </w:r>
      <w:r w:rsidR="009013AA" w:rsidRPr="00295637">
        <w:rPr>
          <w:rFonts w:ascii="Times New Roman" w:hAnsi="Times New Roman"/>
          <w:szCs w:val="24"/>
          <w:lang w:val="bs-Latn-BA"/>
        </w:rPr>
        <w:t xml:space="preserve">, </w:t>
      </w:r>
      <w:r>
        <w:rPr>
          <w:rFonts w:ascii="Times New Roman" w:hAnsi="Times New Roman"/>
          <w:szCs w:val="24"/>
          <w:lang w:val="bs-Latn-BA"/>
        </w:rPr>
        <w:t>едука</w:t>
      </w:r>
      <w:r w:rsidR="00237A50">
        <w:rPr>
          <w:rFonts w:ascii="Times New Roman" w:hAnsi="Times New Roman"/>
          <w:szCs w:val="24"/>
          <w:lang w:val="sr-Cyrl-BA"/>
        </w:rPr>
        <w:t>тивне</w:t>
      </w:r>
      <w:r w:rsidR="009013AA" w:rsidRPr="00295637">
        <w:rPr>
          <w:rFonts w:ascii="Times New Roman" w:hAnsi="Times New Roman"/>
          <w:szCs w:val="24"/>
          <w:lang w:val="bs-Latn-BA"/>
        </w:rPr>
        <w:t xml:space="preserve"> </w:t>
      </w:r>
      <w:r>
        <w:rPr>
          <w:rFonts w:ascii="Times New Roman" w:hAnsi="Times New Roman"/>
          <w:szCs w:val="24"/>
          <w:lang w:val="bs-Latn-BA"/>
        </w:rPr>
        <w:t>материјале</w:t>
      </w:r>
      <w:r w:rsidR="009013AA" w:rsidRPr="00295637">
        <w:rPr>
          <w:rFonts w:ascii="Times New Roman" w:hAnsi="Times New Roman"/>
          <w:szCs w:val="24"/>
          <w:lang w:val="bs-Latn-BA"/>
        </w:rPr>
        <w:t xml:space="preserve">, </w:t>
      </w:r>
      <w:r>
        <w:rPr>
          <w:rFonts w:ascii="Times New Roman" w:hAnsi="Times New Roman"/>
          <w:szCs w:val="24"/>
          <w:lang w:val="bs-Latn-BA"/>
        </w:rPr>
        <w:t>дигиталне</w:t>
      </w:r>
      <w:r w:rsidR="009013AA" w:rsidRPr="00295637">
        <w:rPr>
          <w:rFonts w:ascii="Times New Roman" w:hAnsi="Times New Roman"/>
          <w:szCs w:val="24"/>
          <w:lang w:val="bs-Latn-BA"/>
        </w:rPr>
        <w:t xml:space="preserve"> </w:t>
      </w:r>
      <w:r>
        <w:rPr>
          <w:rFonts w:ascii="Times New Roman" w:hAnsi="Times New Roman"/>
          <w:szCs w:val="24"/>
          <w:lang w:val="bs-Latn-BA"/>
        </w:rPr>
        <w:t>кампање</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корисне</w:t>
      </w:r>
      <w:r w:rsidR="009013AA" w:rsidRPr="00295637">
        <w:rPr>
          <w:rFonts w:ascii="Times New Roman" w:hAnsi="Times New Roman"/>
          <w:szCs w:val="24"/>
          <w:lang w:val="bs-Latn-BA"/>
        </w:rPr>
        <w:t xml:space="preserve"> </w:t>
      </w:r>
      <w:r>
        <w:rPr>
          <w:rFonts w:ascii="Times New Roman" w:hAnsi="Times New Roman"/>
          <w:szCs w:val="24"/>
          <w:lang w:val="bs-Latn-BA"/>
        </w:rPr>
        <w:t>алате</w:t>
      </w:r>
      <w:r w:rsidR="009013AA" w:rsidRPr="00295637">
        <w:rPr>
          <w:rFonts w:ascii="Times New Roman" w:hAnsi="Times New Roman"/>
          <w:szCs w:val="24"/>
          <w:lang w:val="bs-Latn-BA"/>
        </w:rPr>
        <w:t xml:space="preserve"> </w:t>
      </w:r>
      <w:r>
        <w:rPr>
          <w:rFonts w:ascii="Times New Roman" w:hAnsi="Times New Roman"/>
          <w:szCs w:val="24"/>
          <w:lang w:val="bs-Latn-BA"/>
        </w:rPr>
        <w:t>који</w:t>
      </w:r>
      <w:r w:rsidR="009013AA" w:rsidRPr="00295637">
        <w:rPr>
          <w:rFonts w:ascii="Times New Roman" w:hAnsi="Times New Roman"/>
          <w:szCs w:val="24"/>
          <w:lang w:val="bs-Latn-BA"/>
        </w:rPr>
        <w:t xml:space="preserve"> </w:t>
      </w:r>
      <w:r>
        <w:rPr>
          <w:rFonts w:ascii="Times New Roman" w:hAnsi="Times New Roman"/>
          <w:szCs w:val="24"/>
          <w:lang w:val="bs-Latn-BA"/>
        </w:rPr>
        <w:t>омогућавају</w:t>
      </w:r>
      <w:r w:rsidR="009013AA" w:rsidRPr="00295637">
        <w:rPr>
          <w:rFonts w:ascii="Times New Roman" w:hAnsi="Times New Roman"/>
          <w:szCs w:val="24"/>
          <w:lang w:val="bs-Latn-BA"/>
        </w:rPr>
        <w:t xml:space="preserve"> </w:t>
      </w:r>
      <w:r>
        <w:rPr>
          <w:rFonts w:ascii="Times New Roman" w:hAnsi="Times New Roman"/>
          <w:szCs w:val="24"/>
          <w:lang w:val="bs-Latn-BA"/>
        </w:rPr>
        <w:t>бољу</w:t>
      </w:r>
      <w:r w:rsidR="009013AA" w:rsidRPr="00295637">
        <w:rPr>
          <w:rFonts w:ascii="Times New Roman" w:hAnsi="Times New Roman"/>
          <w:szCs w:val="24"/>
          <w:lang w:val="bs-Latn-BA"/>
        </w:rPr>
        <w:t xml:space="preserve"> </w:t>
      </w:r>
      <w:r>
        <w:rPr>
          <w:rFonts w:ascii="Times New Roman" w:hAnsi="Times New Roman"/>
          <w:szCs w:val="24"/>
          <w:lang w:val="bs-Latn-BA"/>
        </w:rPr>
        <w:t>повезаност</w:t>
      </w:r>
      <w:r w:rsidR="009013AA" w:rsidRPr="00295637">
        <w:rPr>
          <w:rFonts w:ascii="Times New Roman" w:hAnsi="Times New Roman"/>
          <w:szCs w:val="24"/>
          <w:lang w:val="bs-Latn-BA"/>
        </w:rPr>
        <w:t xml:space="preserve"> </w:t>
      </w:r>
      <w:r>
        <w:rPr>
          <w:rFonts w:ascii="Times New Roman" w:hAnsi="Times New Roman"/>
          <w:szCs w:val="24"/>
          <w:lang w:val="bs-Latn-BA"/>
        </w:rPr>
        <w:t>институција</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корисника</w:t>
      </w:r>
      <w:r w:rsidR="009013AA" w:rsidRPr="00295637">
        <w:rPr>
          <w:rFonts w:ascii="Times New Roman" w:hAnsi="Times New Roman"/>
          <w:szCs w:val="24"/>
          <w:lang w:val="bs-Latn-BA"/>
        </w:rPr>
        <w:t xml:space="preserve">. </w:t>
      </w:r>
      <w:r>
        <w:rPr>
          <w:rFonts w:ascii="Times New Roman" w:hAnsi="Times New Roman"/>
          <w:szCs w:val="24"/>
          <w:lang w:val="bs-Latn-BA"/>
        </w:rPr>
        <w:t>Интернет</w:t>
      </w:r>
      <w:r w:rsidR="00D06BDE">
        <w:rPr>
          <w:rFonts w:ascii="Times New Roman" w:hAnsi="Times New Roman"/>
          <w:szCs w:val="24"/>
          <w:lang w:val="bs-Latn-BA"/>
        </w:rPr>
        <w:t xml:space="preserve"> </w:t>
      </w:r>
      <w:r>
        <w:rPr>
          <w:rFonts w:ascii="Times New Roman" w:hAnsi="Times New Roman"/>
          <w:szCs w:val="24"/>
          <w:lang w:val="bs-Latn-BA"/>
        </w:rPr>
        <w:t>странице</w:t>
      </w:r>
      <w:r w:rsidR="009013AA" w:rsidRPr="00295637">
        <w:rPr>
          <w:rFonts w:ascii="Times New Roman" w:hAnsi="Times New Roman"/>
          <w:szCs w:val="24"/>
          <w:lang w:val="bs-Latn-BA"/>
        </w:rPr>
        <w:t xml:space="preserve"> </w:t>
      </w:r>
      <w:r>
        <w:rPr>
          <w:rFonts w:ascii="Times New Roman" w:hAnsi="Times New Roman"/>
          <w:szCs w:val="24"/>
          <w:lang w:val="bs-Latn-BA"/>
        </w:rPr>
        <w:t>представљају</w:t>
      </w:r>
      <w:r w:rsidR="009013AA" w:rsidRPr="00295637">
        <w:rPr>
          <w:rFonts w:ascii="Times New Roman" w:hAnsi="Times New Roman"/>
          <w:szCs w:val="24"/>
          <w:lang w:val="bs-Latn-BA"/>
        </w:rPr>
        <w:t xml:space="preserve"> </w:t>
      </w:r>
      <w:r>
        <w:rPr>
          <w:rFonts w:ascii="Times New Roman" w:hAnsi="Times New Roman"/>
          <w:szCs w:val="24"/>
          <w:lang w:val="bs-Latn-BA"/>
        </w:rPr>
        <w:t>кључне</w:t>
      </w:r>
      <w:r w:rsidR="009013AA" w:rsidRPr="00295637">
        <w:rPr>
          <w:rFonts w:ascii="Times New Roman" w:hAnsi="Times New Roman"/>
          <w:szCs w:val="24"/>
          <w:lang w:val="bs-Latn-BA"/>
        </w:rPr>
        <w:t xml:space="preserve"> </w:t>
      </w:r>
      <w:r>
        <w:rPr>
          <w:rFonts w:ascii="Times New Roman" w:hAnsi="Times New Roman"/>
          <w:szCs w:val="24"/>
          <w:lang w:val="bs-Latn-BA"/>
        </w:rPr>
        <w:t>ресурсе</w:t>
      </w:r>
      <w:r w:rsidR="009013AA" w:rsidRPr="00295637">
        <w:rPr>
          <w:rFonts w:ascii="Times New Roman" w:hAnsi="Times New Roman"/>
          <w:szCs w:val="24"/>
          <w:lang w:val="bs-Latn-BA"/>
        </w:rPr>
        <w:t xml:space="preserve"> </w:t>
      </w:r>
      <w:r>
        <w:rPr>
          <w:rFonts w:ascii="Times New Roman" w:hAnsi="Times New Roman"/>
          <w:szCs w:val="24"/>
          <w:lang w:val="bs-Latn-BA"/>
        </w:rPr>
        <w:t>за</w:t>
      </w:r>
      <w:r w:rsidR="009013AA" w:rsidRPr="00295637">
        <w:rPr>
          <w:rFonts w:ascii="Times New Roman" w:hAnsi="Times New Roman"/>
          <w:szCs w:val="24"/>
          <w:lang w:val="bs-Latn-BA"/>
        </w:rPr>
        <w:t xml:space="preserve"> </w:t>
      </w:r>
      <w:r>
        <w:rPr>
          <w:rFonts w:ascii="Times New Roman" w:hAnsi="Times New Roman"/>
          <w:szCs w:val="24"/>
          <w:lang w:val="bs-Latn-BA"/>
        </w:rPr>
        <w:t>све</w:t>
      </w:r>
      <w:r w:rsidR="009013AA" w:rsidRPr="00295637">
        <w:rPr>
          <w:rFonts w:ascii="Times New Roman" w:hAnsi="Times New Roman"/>
          <w:szCs w:val="24"/>
          <w:lang w:val="bs-Latn-BA"/>
        </w:rPr>
        <w:t xml:space="preserve"> </w:t>
      </w:r>
      <w:r>
        <w:rPr>
          <w:rFonts w:ascii="Times New Roman" w:hAnsi="Times New Roman"/>
          <w:szCs w:val="24"/>
          <w:lang w:val="bs-Latn-BA"/>
        </w:rPr>
        <w:t>који</w:t>
      </w:r>
      <w:r w:rsidR="009013AA" w:rsidRPr="00295637">
        <w:rPr>
          <w:rFonts w:ascii="Times New Roman" w:hAnsi="Times New Roman"/>
          <w:szCs w:val="24"/>
          <w:lang w:val="bs-Latn-BA"/>
        </w:rPr>
        <w:t xml:space="preserve"> </w:t>
      </w:r>
      <w:r>
        <w:rPr>
          <w:rFonts w:ascii="Times New Roman" w:hAnsi="Times New Roman"/>
          <w:szCs w:val="24"/>
          <w:lang w:val="bs-Latn-BA"/>
        </w:rPr>
        <w:t>се</w:t>
      </w:r>
      <w:r w:rsidR="009013AA" w:rsidRPr="00295637">
        <w:rPr>
          <w:rFonts w:ascii="Times New Roman" w:hAnsi="Times New Roman"/>
          <w:szCs w:val="24"/>
          <w:lang w:val="bs-Latn-BA"/>
        </w:rPr>
        <w:t xml:space="preserve"> </w:t>
      </w:r>
      <w:r>
        <w:rPr>
          <w:rFonts w:ascii="Times New Roman" w:hAnsi="Times New Roman"/>
          <w:szCs w:val="24"/>
          <w:lang w:val="bs-Latn-BA"/>
        </w:rPr>
        <w:t>баве</w:t>
      </w:r>
      <w:r w:rsidR="009013AA" w:rsidRPr="00295637">
        <w:rPr>
          <w:rFonts w:ascii="Times New Roman" w:hAnsi="Times New Roman"/>
          <w:szCs w:val="24"/>
          <w:lang w:val="bs-Latn-BA"/>
        </w:rPr>
        <w:t xml:space="preserve"> </w:t>
      </w:r>
      <w:r>
        <w:rPr>
          <w:rFonts w:ascii="Times New Roman" w:hAnsi="Times New Roman"/>
          <w:szCs w:val="24"/>
          <w:lang w:val="bs-Latn-BA"/>
        </w:rPr>
        <w:t>питањима</w:t>
      </w:r>
      <w:r w:rsidR="009013AA" w:rsidRPr="00295637">
        <w:rPr>
          <w:rFonts w:ascii="Times New Roman" w:hAnsi="Times New Roman"/>
          <w:szCs w:val="24"/>
          <w:lang w:val="bs-Latn-BA"/>
        </w:rPr>
        <w:t xml:space="preserve"> </w:t>
      </w:r>
      <w:r>
        <w:rPr>
          <w:rFonts w:ascii="Times New Roman" w:hAnsi="Times New Roman"/>
        </w:rPr>
        <w:t>равноправности</w:t>
      </w:r>
      <w:r w:rsidR="00CC105E" w:rsidRPr="00295637">
        <w:rPr>
          <w:rFonts w:ascii="Times New Roman" w:hAnsi="Times New Roman"/>
        </w:rPr>
        <w:t xml:space="preserve"> </w:t>
      </w:r>
      <w:r>
        <w:rPr>
          <w:rFonts w:ascii="Times New Roman" w:hAnsi="Times New Roman"/>
        </w:rPr>
        <w:t>полова</w:t>
      </w:r>
      <w:r w:rsidR="00CC105E"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људских</w:t>
      </w:r>
      <w:r w:rsidR="009013AA" w:rsidRPr="00295637">
        <w:rPr>
          <w:rFonts w:ascii="Times New Roman" w:hAnsi="Times New Roman"/>
          <w:szCs w:val="24"/>
          <w:lang w:val="bs-Latn-BA"/>
        </w:rPr>
        <w:t xml:space="preserve"> </w:t>
      </w:r>
      <w:r>
        <w:rPr>
          <w:rFonts w:ascii="Times New Roman" w:hAnsi="Times New Roman"/>
          <w:szCs w:val="24"/>
          <w:lang w:val="bs-Latn-BA"/>
        </w:rPr>
        <w:t>права</w:t>
      </w:r>
      <w:r w:rsidR="009013AA" w:rsidRPr="00295637">
        <w:rPr>
          <w:rFonts w:ascii="Times New Roman" w:hAnsi="Times New Roman"/>
          <w:szCs w:val="24"/>
          <w:lang w:val="bs-Latn-BA"/>
        </w:rPr>
        <w:t xml:space="preserve">, </w:t>
      </w:r>
      <w:r>
        <w:rPr>
          <w:rFonts w:ascii="Times New Roman" w:hAnsi="Times New Roman"/>
          <w:szCs w:val="24"/>
          <w:lang w:val="bs-Latn-BA"/>
        </w:rPr>
        <w:t>чиме</w:t>
      </w:r>
      <w:r w:rsidR="009013AA" w:rsidRPr="00295637">
        <w:rPr>
          <w:rFonts w:ascii="Times New Roman" w:hAnsi="Times New Roman"/>
          <w:szCs w:val="24"/>
          <w:lang w:val="bs-Latn-BA"/>
        </w:rPr>
        <w:t xml:space="preserve"> </w:t>
      </w:r>
      <w:r>
        <w:rPr>
          <w:rFonts w:ascii="Times New Roman" w:hAnsi="Times New Roman"/>
          <w:szCs w:val="24"/>
          <w:lang w:val="bs-Latn-BA"/>
        </w:rPr>
        <w:t>се</w:t>
      </w:r>
      <w:r w:rsidR="009013AA" w:rsidRPr="00295637">
        <w:rPr>
          <w:rFonts w:ascii="Times New Roman" w:hAnsi="Times New Roman"/>
          <w:szCs w:val="24"/>
          <w:lang w:val="bs-Latn-BA"/>
        </w:rPr>
        <w:t xml:space="preserve"> </w:t>
      </w:r>
      <w:r>
        <w:rPr>
          <w:rFonts w:ascii="Times New Roman" w:hAnsi="Times New Roman"/>
          <w:szCs w:val="24"/>
          <w:lang w:val="bs-Latn-BA"/>
        </w:rPr>
        <w:t>јача</w:t>
      </w:r>
      <w:r w:rsidR="009013AA" w:rsidRPr="00295637">
        <w:rPr>
          <w:rFonts w:ascii="Times New Roman" w:hAnsi="Times New Roman"/>
          <w:szCs w:val="24"/>
          <w:lang w:val="bs-Latn-BA"/>
        </w:rPr>
        <w:t xml:space="preserve"> </w:t>
      </w:r>
      <w:r>
        <w:rPr>
          <w:rFonts w:ascii="Times New Roman" w:hAnsi="Times New Roman"/>
          <w:szCs w:val="24"/>
          <w:lang w:val="bs-Latn-BA"/>
        </w:rPr>
        <w:t>транспарентност</w:t>
      </w:r>
      <w:r w:rsidR="009013AA" w:rsidRPr="00295637">
        <w:rPr>
          <w:rFonts w:ascii="Times New Roman" w:hAnsi="Times New Roman"/>
          <w:szCs w:val="24"/>
          <w:lang w:val="bs-Latn-BA"/>
        </w:rPr>
        <w:t xml:space="preserve">, </w:t>
      </w:r>
      <w:r>
        <w:rPr>
          <w:rFonts w:ascii="Times New Roman" w:hAnsi="Times New Roman"/>
          <w:szCs w:val="24"/>
          <w:lang w:val="bs-Latn-BA"/>
        </w:rPr>
        <w:t>подиже</w:t>
      </w:r>
      <w:r w:rsidR="009013AA" w:rsidRPr="00295637">
        <w:rPr>
          <w:rFonts w:ascii="Times New Roman" w:hAnsi="Times New Roman"/>
          <w:szCs w:val="24"/>
          <w:lang w:val="bs-Latn-BA"/>
        </w:rPr>
        <w:t xml:space="preserve"> </w:t>
      </w:r>
      <w:r>
        <w:rPr>
          <w:rFonts w:ascii="Times New Roman" w:hAnsi="Times New Roman"/>
          <w:szCs w:val="24"/>
          <w:lang w:val="bs-Latn-BA"/>
        </w:rPr>
        <w:t>свијест</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унапређује</w:t>
      </w:r>
      <w:r w:rsidR="009013AA" w:rsidRPr="00295637">
        <w:rPr>
          <w:rFonts w:ascii="Times New Roman" w:hAnsi="Times New Roman"/>
          <w:szCs w:val="24"/>
          <w:lang w:val="bs-Latn-BA"/>
        </w:rPr>
        <w:t xml:space="preserve"> </w:t>
      </w:r>
      <w:r>
        <w:rPr>
          <w:rFonts w:ascii="Times New Roman" w:hAnsi="Times New Roman"/>
          <w:szCs w:val="24"/>
          <w:lang w:val="bs-Latn-BA"/>
        </w:rPr>
        <w:t>борба</w:t>
      </w:r>
      <w:r w:rsidR="009013AA" w:rsidRPr="00295637">
        <w:rPr>
          <w:rFonts w:ascii="Times New Roman" w:hAnsi="Times New Roman"/>
          <w:szCs w:val="24"/>
          <w:lang w:val="bs-Latn-BA"/>
        </w:rPr>
        <w:t xml:space="preserve"> </w:t>
      </w:r>
      <w:r>
        <w:rPr>
          <w:rFonts w:ascii="Times New Roman" w:hAnsi="Times New Roman"/>
          <w:szCs w:val="24"/>
          <w:lang w:val="bs-Latn-BA"/>
        </w:rPr>
        <w:t>против</w:t>
      </w:r>
      <w:r w:rsidR="009013AA"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9013AA" w:rsidRPr="00295637">
        <w:rPr>
          <w:rFonts w:ascii="Times New Roman" w:hAnsi="Times New Roman"/>
          <w:szCs w:val="24"/>
          <w:lang w:val="bs-Latn-BA"/>
        </w:rPr>
        <w:t xml:space="preserve"> </w:t>
      </w:r>
      <w:r>
        <w:rPr>
          <w:rFonts w:ascii="Times New Roman" w:hAnsi="Times New Roman"/>
          <w:szCs w:val="24"/>
          <w:lang w:val="bs-Latn-BA"/>
        </w:rPr>
        <w:t>на</w:t>
      </w:r>
      <w:r w:rsidR="009013AA" w:rsidRPr="00295637">
        <w:rPr>
          <w:rFonts w:ascii="Times New Roman" w:hAnsi="Times New Roman"/>
          <w:szCs w:val="24"/>
          <w:lang w:val="bs-Latn-BA"/>
        </w:rPr>
        <w:t xml:space="preserve"> </w:t>
      </w:r>
      <w:r>
        <w:rPr>
          <w:rFonts w:ascii="Times New Roman" w:hAnsi="Times New Roman"/>
          <w:szCs w:val="24"/>
          <w:lang w:val="bs-Latn-BA"/>
        </w:rPr>
        <w:t>свим</w:t>
      </w:r>
      <w:r w:rsidR="009013AA" w:rsidRPr="00295637">
        <w:rPr>
          <w:rFonts w:ascii="Times New Roman" w:hAnsi="Times New Roman"/>
          <w:szCs w:val="24"/>
          <w:lang w:val="bs-Latn-BA"/>
        </w:rPr>
        <w:t xml:space="preserve"> </w:t>
      </w:r>
      <w:r>
        <w:rPr>
          <w:rFonts w:ascii="Times New Roman" w:hAnsi="Times New Roman"/>
          <w:szCs w:val="24"/>
          <w:lang w:val="bs-Latn-BA"/>
        </w:rPr>
        <w:t>нивоима</w:t>
      </w:r>
      <w:r w:rsidR="009013AA" w:rsidRPr="00295637">
        <w:rPr>
          <w:rFonts w:ascii="Times New Roman" w:hAnsi="Times New Roman"/>
          <w:szCs w:val="24"/>
          <w:lang w:val="bs-Latn-BA"/>
        </w:rPr>
        <w:t xml:space="preserve"> </w:t>
      </w:r>
      <w:r>
        <w:rPr>
          <w:rFonts w:ascii="Times New Roman" w:hAnsi="Times New Roman"/>
          <w:szCs w:val="24"/>
          <w:lang w:val="bs-Latn-BA"/>
        </w:rPr>
        <w:t>друштва</w:t>
      </w:r>
      <w:r w:rsidR="009013AA" w:rsidRPr="00295637">
        <w:rPr>
          <w:rFonts w:ascii="Times New Roman" w:hAnsi="Times New Roman"/>
          <w:szCs w:val="24"/>
          <w:lang w:val="bs-Latn-BA"/>
        </w:rPr>
        <w:t>.</w:t>
      </w:r>
      <w:r w:rsidR="001D5733" w:rsidRPr="00295637">
        <w:rPr>
          <w:rFonts w:ascii="Times New Roman" w:hAnsi="Times New Roman"/>
          <w:szCs w:val="24"/>
          <w:lang w:val="bs-Latn-BA"/>
        </w:rPr>
        <w:t xml:space="preserve"> </w:t>
      </w:r>
    </w:p>
    <w:p w:rsidR="009F1105" w:rsidRPr="00295637" w:rsidRDefault="009F1105" w:rsidP="0086268D">
      <w:pPr>
        <w:jc w:val="both"/>
        <w:rPr>
          <w:rFonts w:ascii="Times New Roman" w:hAnsi="Times New Roman"/>
          <w:szCs w:val="24"/>
          <w:lang w:val="bs-Latn-BA"/>
        </w:rPr>
      </w:pPr>
    </w:p>
    <w:p w:rsidR="001D5733" w:rsidRPr="00295637" w:rsidRDefault="00C6214E" w:rsidP="0086268D">
      <w:pPr>
        <w:jc w:val="both"/>
        <w:rPr>
          <w:rFonts w:ascii="Times New Roman" w:hAnsi="Times New Roman"/>
          <w:szCs w:val="24"/>
          <w:lang w:val="bs-Latn-BA"/>
        </w:rPr>
      </w:pPr>
      <w:r>
        <w:rPr>
          <w:rFonts w:ascii="Times New Roman" w:hAnsi="Times New Roman"/>
          <w:szCs w:val="24"/>
          <w:lang w:val="bs-Latn-BA"/>
        </w:rPr>
        <w:t>Поред</w:t>
      </w:r>
      <w:r w:rsidR="001D5733" w:rsidRPr="00295637">
        <w:rPr>
          <w:rFonts w:ascii="Times New Roman" w:hAnsi="Times New Roman"/>
          <w:szCs w:val="24"/>
          <w:lang w:val="bs-Latn-BA"/>
        </w:rPr>
        <w:t xml:space="preserve"> </w:t>
      </w:r>
      <w:r>
        <w:rPr>
          <w:rFonts w:ascii="Times New Roman" w:hAnsi="Times New Roman"/>
          <w:szCs w:val="24"/>
          <w:lang w:val="bs-Latn-BA"/>
        </w:rPr>
        <w:t>тога</w:t>
      </w:r>
      <w:r w:rsidR="001D5733" w:rsidRPr="00295637">
        <w:rPr>
          <w:rFonts w:ascii="Times New Roman" w:hAnsi="Times New Roman"/>
          <w:szCs w:val="24"/>
          <w:lang w:val="bs-Latn-BA"/>
        </w:rPr>
        <w:t xml:space="preserve">, </w:t>
      </w:r>
      <w:r>
        <w:rPr>
          <w:rFonts w:ascii="Times New Roman" w:hAnsi="Times New Roman"/>
          <w:szCs w:val="24"/>
          <w:lang w:val="bs-Latn-BA"/>
        </w:rPr>
        <w:t>у</w:t>
      </w:r>
      <w:r w:rsidR="001D5733" w:rsidRPr="00295637">
        <w:rPr>
          <w:rFonts w:ascii="Times New Roman" w:hAnsi="Times New Roman"/>
          <w:szCs w:val="24"/>
          <w:lang w:val="bs-Latn-BA"/>
        </w:rPr>
        <w:t xml:space="preserve"> </w:t>
      </w:r>
      <w:r>
        <w:rPr>
          <w:rFonts w:ascii="Times New Roman" w:hAnsi="Times New Roman"/>
          <w:szCs w:val="24"/>
          <w:lang w:val="bs-Latn-BA"/>
        </w:rPr>
        <w:t>извјештајном</w:t>
      </w:r>
      <w:r w:rsidR="001D5733" w:rsidRPr="00295637">
        <w:rPr>
          <w:rFonts w:ascii="Times New Roman" w:hAnsi="Times New Roman"/>
          <w:szCs w:val="24"/>
          <w:lang w:val="bs-Latn-BA"/>
        </w:rPr>
        <w:t xml:space="preserve"> </w:t>
      </w:r>
      <w:r>
        <w:rPr>
          <w:rFonts w:ascii="Times New Roman" w:hAnsi="Times New Roman"/>
          <w:szCs w:val="24"/>
          <w:lang w:val="bs-Latn-BA"/>
        </w:rPr>
        <w:t>периоду</w:t>
      </w:r>
      <w:r w:rsidR="001D5733" w:rsidRPr="00295637">
        <w:rPr>
          <w:rFonts w:ascii="Times New Roman" w:hAnsi="Times New Roman"/>
          <w:szCs w:val="24"/>
          <w:lang w:val="bs-Latn-BA"/>
        </w:rPr>
        <w:t xml:space="preserve"> </w:t>
      </w:r>
      <w:r>
        <w:rPr>
          <w:rFonts w:ascii="Times New Roman" w:hAnsi="Times New Roman"/>
          <w:szCs w:val="24"/>
          <w:lang w:val="bs-Latn-BA"/>
        </w:rPr>
        <w:t>повећана</w:t>
      </w:r>
      <w:r w:rsidR="001D5733" w:rsidRPr="00295637">
        <w:rPr>
          <w:rFonts w:ascii="Times New Roman" w:hAnsi="Times New Roman"/>
          <w:szCs w:val="24"/>
          <w:lang w:val="bs-Latn-BA"/>
        </w:rPr>
        <w:t xml:space="preserve"> </w:t>
      </w:r>
      <w:r>
        <w:rPr>
          <w:rFonts w:ascii="Times New Roman" w:hAnsi="Times New Roman"/>
          <w:szCs w:val="24"/>
          <w:lang w:val="bs-Latn-BA"/>
        </w:rPr>
        <w:t>је</w:t>
      </w:r>
      <w:r w:rsidR="001D5733" w:rsidRPr="00295637">
        <w:rPr>
          <w:rFonts w:ascii="Times New Roman" w:hAnsi="Times New Roman"/>
          <w:szCs w:val="24"/>
          <w:lang w:val="bs-Latn-BA"/>
        </w:rPr>
        <w:t xml:space="preserve"> </w:t>
      </w:r>
      <w:r>
        <w:rPr>
          <w:rFonts w:ascii="Times New Roman" w:hAnsi="Times New Roman"/>
          <w:szCs w:val="24"/>
          <w:lang w:val="bs-Latn-BA"/>
        </w:rPr>
        <w:t>употреба</w:t>
      </w:r>
      <w:r w:rsidR="001D5733" w:rsidRPr="00295637">
        <w:rPr>
          <w:rFonts w:ascii="Times New Roman" w:hAnsi="Times New Roman"/>
          <w:szCs w:val="24"/>
          <w:lang w:val="bs-Latn-BA"/>
        </w:rPr>
        <w:t xml:space="preserve"> </w:t>
      </w:r>
      <w:r>
        <w:rPr>
          <w:rFonts w:ascii="Times New Roman" w:hAnsi="Times New Roman"/>
          <w:szCs w:val="24"/>
          <w:lang w:val="bs-Latn-BA"/>
        </w:rPr>
        <w:t>других</w:t>
      </w:r>
      <w:r w:rsidR="001D5733" w:rsidRPr="00295637">
        <w:rPr>
          <w:rFonts w:ascii="Times New Roman" w:hAnsi="Times New Roman"/>
          <w:szCs w:val="24"/>
          <w:lang w:val="bs-Latn-BA"/>
        </w:rPr>
        <w:t xml:space="preserve"> </w:t>
      </w:r>
      <w:r>
        <w:rPr>
          <w:rFonts w:ascii="Times New Roman" w:hAnsi="Times New Roman"/>
          <w:szCs w:val="24"/>
          <w:lang w:val="bs-Latn-BA"/>
        </w:rPr>
        <w:t>комуникаци</w:t>
      </w:r>
      <w:r w:rsidR="00237A50">
        <w:rPr>
          <w:rFonts w:ascii="Times New Roman" w:hAnsi="Times New Roman"/>
          <w:szCs w:val="24"/>
          <w:lang w:val="sr-Cyrl-BA"/>
        </w:rPr>
        <w:t>оних</w:t>
      </w:r>
      <w:r w:rsidR="001D5733" w:rsidRPr="00295637">
        <w:rPr>
          <w:rFonts w:ascii="Times New Roman" w:hAnsi="Times New Roman"/>
          <w:szCs w:val="24"/>
          <w:lang w:val="bs-Latn-BA"/>
        </w:rPr>
        <w:t xml:space="preserve"> </w:t>
      </w:r>
      <w:r>
        <w:rPr>
          <w:rFonts w:ascii="Times New Roman" w:hAnsi="Times New Roman"/>
          <w:szCs w:val="24"/>
          <w:lang w:val="bs-Latn-BA"/>
        </w:rPr>
        <w:t>канала</w:t>
      </w:r>
      <w:r w:rsidR="009F1105" w:rsidRPr="00295637">
        <w:rPr>
          <w:rFonts w:ascii="Times New Roman" w:hAnsi="Times New Roman"/>
          <w:szCs w:val="24"/>
          <w:lang w:val="bs-Latn-BA"/>
        </w:rPr>
        <w:t>,</w:t>
      </w:r>
      <w:r w:rsidR="001D5733" w:rsidRPr="00295637">
        <w:rPr>
          <w:rFonts w:ascii="Times New Roman" w:hAnsi="Times New Roman"/>
          <w:szCs w:val="24"/>
          <w:lang w:val="bs-Latn-BA"/>
        </w:rPr>
        <w:t xml:space="preserve"> </w:t>
      </w:r>
      <w:r>
        <w:rPr>
          <w:rFonts w:ascii="Times New Roman" w:hAnsi="Times New Roman"/>
          <w:szCs w:val="24"/>
          <w:lang w:val="bs-Latn-BA"/>
        </w:rPr>
        <w:t>као</w:t>
      </w:r>
      <w:r w:rsidR="001D5733" w:rsidRPr="00295637">
        <w:rPr>
          <w:rFonts w:ascii="Times New Roman" w:hAnsi="Times New Roman"/>
          <w:szCs w:val="24"/>
          <w:lang w:val="bs-Latn-BA"/>
        </w:rPr>
        <w:t xml:space="preserve"> </w:t>
      </w:r>
      <w:r>
        <w:rPr>
          <w:rFonts w:ascii="Times New Roman" w:hAnsi="Times New Roman"/>
          <w:szCs w:val="24"/>
          <w:lang w:val="bs-Latn-BA"/>
        </w:rPr>
        <w:t>што</w:t>
      </w:r>
      <w:r w:rsidR="001D5733" w:rsidRPr="00295637">
        <w:rPr>
          <w:rFonts w:ascii="Times New Roman" w:hAnsi="Times New Roman"/>
          <w:szCs w:val="24"/>
          <w:lang w:val="bs-Latn-BA"/>
        </w:rPr>
        <w:t xml:space="preserve"> </w:t>
      </w:r>
      <w:r>
        <w:rPr>
          <w:rFonts w:ascii="Times New Roman" w:hAnsi="Times New Roman"/>
          <w:szCs w:val="24"/>
          <w:lang w:val="bs-Latn-BA"/>
        </w:rPr>
        <w:t>су</w:t>
      </w:r>
      <w:r w:rsidR="001D5733" w:rsidRPr="00295637">
        <w:rPr>
          <w:rFonts w:ascii="Times New Roman" w:hAnsi="Times New Roman"/>
          <w:szCs w:val="24"/>
          <w:lang w:val="bs-Latn-BA"/>
        </w:rPr>
        <w:t xml:space="preserve"> </w:t>
      </w:r>
      <w:r>
        <w:rPr>
          <w:rFonts w:ascii="Times New Roman" w:hAnsi="Times New Roman"/>
          <w:szCs w:val="24"/>
          <w:lang w:val="bs-Latn-BA"/>
        </w:rPr>
        <w:t>друштвене</w:t>
      </w:r>
      <w:r w:rsidR="001D5733" w:rsidRPr="00295637">
        <w:rPr>
          <w:rFonts w:ascii="Times New Roman" w:hAnsi="Times New Roman"/>
          <w:szCs w:val="24"/>
          <w:lang w:val="bs-Latn-BA"/>
        </w:rPr>
        <w:t xml:space="preserve"> </w:t>
      </w:r>
      <w:r>
        <w:rPr>
          <w:rFonts w:ascii="Times New Roman" w:hAnsi="Times New Roman"/>
          <w:szCs w:val="24"/>
          <w:lang w:val="bs-Latn-BA"/>
        </w:rPr>
        <w:t>мреже</w:t>
      </w:r>
      <w:r w:rsidR="001D5733" w:rsidRPr="00295637">
        <w:rPr>
          <w:rFonts w:ascii="Times New Roman" w:hAnsi="Times New Roman"/>
          <w:szCs w:val="24"/>
          <w:lang w:val="bs-Latn-BA"/>
        </w:rPr>
        <w:t xml:space="preserve"> </w:t>
      </w:r>
      <w:r>
        <w:rPr>
          <w:rFonts w:ascii="Times New Roman" w:hAnsi="Times New Roman"/>
          <w:szCs w:val="24"/>
          <w:lang w:val="bs-Latn-BA"/>
        </w:rPr>
        <w:t>попут</w:t>
      </w:r>
      <w:r w:rsidR="001D5733" w:rsidRPr="00295637">
        <w:rPr>
          <w:rFonts w:ascii="Times New Roman" w:hAnsi="Times New Roman"/>
          <w:szCs w:val="24"/>
          <w:lang w:val="bs-Latn-BA"/>
        </w:rPr>
        <w:t xml:space="preserve"> </w:t>
      </w:r>
      <w:r w:rsidR="00237A50">
        <w:rPr>
          <w:rFonts w:ascii="Times New Roman" w:hAnsi="Times New Roman"/>
          <w:szCs w:val="24"/>
          <w:lang w:val="sr-Cyrl-BA"/>
        </w:rPr>
        <w:t>Фејсбука</w:t>
      </w:r>
      <w:r w:rsidR="001D5733" w:rsidRPr="00295637">
        <w:rPr>
          <w:rFonts w:ascii="Times New Roman" w:hAnsi="Times New Roman"/>
          <w:szCs w:val="24"/>
          <w:lang w:val="bs-Latn-BA"/>
        </w:rPr>
        <w:t>.</w:t>
      </w:r>
    </w:p>
    <w:p w:rsidR="00A92736" w:rsidRPr="00295637" w:rsidRDefault="00A92736" w:rsidP="0086268D">
      <w:pPr>
        <w:rPr>
          <w:szCs w:val="24"/>
          <w:lang w:val="bs-Latn-BA"/>
        </w:rPr>
      </w:pPr>
    </w:p>
    <w:p w:rsidR="00356C2C" w:rsidRPr="00295637" w:rsidRDefault="00237A50" w:rsidP="00D06BDE">
      <w:pPr>
        <w:pStyle w:val="Heading4"/>
        <w:numPr>
          <w:ilvl w:val="0"/>
          <w:numId w:val="0"/>
        </w:numPr>
        <w:spacing w:after="0" w:line="240" w:lineRule="auto"/>
        <w:ind w:left="567"/>
        <w:rPr>
          <w:rFonts w:ascii="Times New Roman" w:hAnsi="Times New Roman" w:cs="Times New Roman"/>
          <w:b w:val="0"/>
          <w:lang w:val="bs-Latn-BA"/>
        </w:rPr>
      </w:pPr>
      <w:r w:rsidRPr="00237A50">
        <w:rPr>
          <w:rFonts w:ascii="Times New Roman" w:hAnsi="Times New Roman" w:cs="Times New Roman"/>
          <w:b w:val="0"/>
          <w:lang w:val="bs-Latn-BA"/>
        </w:rPr>
        <w:t>II</w:t>
      </w:r>
      <w:r w:rsidR="00D06BDE">
        <w:rPr>
          <w:rFonts w:ascii="Times New Roman" w:hAnsi="Times New Roman" w:cs="Times New Roman"/>
          <w:b w:val="0"/>
          <w:lang w:val="bs-Latn-BA"/>
        </w:rPr>
        <w:t xml:space="preserve"> 4.4. </w:t>
      </w:r>
      <w:r w:rsidR="00C6214E">
        <w:rPr>
          <w:rFonts w:ascii="Times New Roman" w:hAnsi="Times New Roman" w:cs="Times New Roman"/>
          <w:b w:val="0"/>
          <w:lang w:val="bs-Latn-BA"/>
        </w:rPr>
        <w:t>Подстицање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усвајања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Pr>
          <w:rFonts w:ascii="Times New Roman" w:hAnsi="Times New Roman" w:cs="Times New Roman"/>
          <w:b w:val="0"/>
          <w:lang w:val="sr-Cyrl-BA"/>
        </w:rPr>
        <w:t>спровођења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мјера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смјерница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правила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понашања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или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других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одредби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оквиру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електронских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штампаних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медија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које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укључују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елиминацију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дискриминације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основу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штетних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гендер</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стереотипа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медијским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садржајима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имајући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виду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утицај</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медија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обликовање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вриједности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судова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понашања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потреба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интереса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жена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мушкараца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свим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фазама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живота</w:t>
      </w:r>
      <w:r w:rsidR="00356C2C" w:rsidRPr="00295637">
        <w:rPr>
          <w:rFonts w:ascii="Times New Roman" w:hAnsi="Times New Roman" w:cs="Times New Roman"/>
          <w:b w:val="0"/>
          <w:lang w:val="bs-Latn-BA"/>
        </w:rPr>
        <w:t>.</w:t>
      </w:r>
    </w:p>
    <w:p w:rsidR="00A92736" w:rsidRPr="00295637" w:rsidRDefault="00A92736" w:rsidP="0086268D">
      <w:pPr>
        <w:rPr>
          <w:szCs w:val="24"/>
          <w:lang w:val="bs-Latn-BA"/>
        </w:rPr>
      </w:pPr>
    </w:p>
    <w:p w:rsidR="00FC4482" w:rsidRPr="00295637" w:rsidRDefault="00C6214E" w:rsidP="0086268D">
      <w:pPr>
        <w:jc w:val="both"/>
        <w:rPr>
          <w:rFonts w:ascii="Times New Roman" w:hAnsi="Times New Roman"/>
          <w:szCs w:val="24"/>
          <w:lang w:val="bs-Latn-BA"/>
        </w:rPr>
      </w:pPr>
      <w:r>
        <w:rPr>
          <w:rFonts w:ascii="Times New Roman" w:hAnsi="Times New Roman"/>
          <w:szCs w:val="24"/>
          <w:lang w:val="bs-Latn-BA"/>
        </w:rPr>
        <w:t>АР</w:t>
      </w:r>
      <w:r w:rsidR="00237A50">
        <w:rPr>
          <w:rFonts w:ascii="Times New Roman" w:hAnsi="Times New Roman"/>
          <w:szCs w:val="24"/>
          <w:lang w:val="sr-Cyrl-BA"/>
        </w:rPr>
        <w:t>П</w:t>
      </w:r>
      <w:r w:rsidR="000A63E7">
        <w:rPr>
          <w:rFonts w:ascii="Times New Roman" w:hAnsi="Times New Roman"/>
          <w:szCs w:val="24"/>
          <w:lang w:val="bs-Latn-BA"/>
        </w:rPr>
        <w:t xml:space="preserve"> </w:t>
      </w:r>
      <w:r>
        <w:rPr>
          <w:rFonts w:ascii="Times New Roman" w:hAnsi="Times New Roman"/>
          <w:szCs w:val="24"/>
          <w:lang w:val="bs-Latn-BA"/>
        </w:rPr>
        <w:t>БиХ</w:t>
      </w:r>
      <w:r w:rsidR="00FC4482" w:rsidRPr="00295637">
        <w:rPr>
          <w:rFonts w:ascii="Times New Roman" w:hAnsi="Times New Roman"/>
          <w:szCs w:val="24"/>
          <w:lang w:val="bs-Latn-BA"/>
        </w:rPr>
        <w:t xml:space="preserve"> </w:t>
      </w:r>
      <w:r>
        <w:rPr>
          <w:rFonts w:ascii="Times New Roman" w:hAnsi="Times New Roman"/>
          <w:szCs w:val="24"/>
          <w:lang w:val="bs-Latn-BA"/>
        </w:rPr>
        <w:t>МЉПИ</w:t>
      </w:r>
      <w:r w:rsidR="000A63E7">
        <w:rPr>
          <w:rFonts w:ascii="Times New Roman" w:hAnsi="Times New Roman"/>
          <w:szCs w:val="24"/>
          <w:lang w:val="bs-Latn-BA"/>
        </w:rPr>
        <w:t xml:space="preserve"> </w:t>
      </w:r>
      <w:r>
        <w:rPr>
          <w:rFonts w:ascii="Times New Roman" w:hAnsi="Times New Roman"/>
          <w:szCs w:val="24"/>
          <w:lang w:val="bs-Latn-BA"/>
        </w:rPr>
        <w:t>БиХ</w:t>
      </w:r>
      <w:r w:rsidR="00FC4482" w:rsidRPr="00295637">
        <w:rPr>
          <w:rFonts w:ascii="Times New Roman" w:hAnsi="Times New Roman"/>
          <w:szCs w:val="24"/>
          <w:lang w:val="bs-Latn-BA"/>
        </w:rPr>
        <w:t xml:space="preserve"> </w:t>
      </w:r>
      <w:r>
        <w:rPr>
          <w:rFonts w:ascii="Times New Roman" w:hAnsi="Times New Roman"/>
          <w:szCs w:val="24"/>
          <w:lang w:val="bs-Latn-BA"/>
        </w:rPr>
        <w:t>је</w:t>
      </w:r>
      <w:r w:rsidR="00FC4482" w:rsidRPr="00295637">
        <w:rPr>
          <w:rFonts w:ascii="Times New Roman" w:hAnsi="Times New Roman"/>
          <w:szCs w:val="24"/>
          <w:lang w:val="bs-Latn-BA"/>
        </w:rPr>
        <w:t xml:space="preserve"> </w:t>
      </w:r>
      <w:r>
        <w:rPr>
          <w:rFonts w:ascii="Times New Roman" w:hAnsi="Times New Roman"/>
          <w:szCs w:val="24"/>
          <w:lang w:val="bs-Latn-BA"/>
        </w:rPr>
        <w:t>у</w:t>
      </w:r>
      <w:r w:rsidR="00FC4482" w:rsidRPr="00295637">
        <w:rPr>
          <w:rFonts w:ascii="Times New Roman" w:hAnsi="Times New Roman"/>
          <w:szCs w:val="24"/>
          <w:lang w:val="bs-Latn-BA"/>
        </w:rPr>
        <w:t xml:space="preserve"> </w:t>
      </w:r>
      <w:r>
        <w:rPr>
          <w:rFonts w:ascii="Times New Roman" w:hAnsi="Times New Roman"/>
          <w:szCs w:val="24"/>
          <w:lang w:val="bs-Latn-BA"/>
        </w:rPr>
        <w:t>новембру</w:t>
      </w:r>
      <w:r w:rsidR="00FC4482" w:rsidRPr="00295637">
        <w:rPr>
          <w:rFonts w:ascii="Times New Roman" w:hAnsi="Times New Roman"/>
          <w:szCs w:val="24"/>
          <w:lang w:val="bs-Latn-BA"/>
        </w:rPr>
        <w:t xml:space="preserve"> 2024. </w:t>
      </w:r>
      <w:r>
        <w:rPr>
          <w:rFonts w:ascii="Times New Roman" w:hAnsi="Times New Roman"/>
          <w:szCs w:val="24"/>
          <w:lang w:val="bs-Latn-BA"/>
        </w:rPr>
        <w:t>године</w:t>
      </w:r>
      <w:r w:rsidR="00FC4482" w:rsidRPr="00295637">
        <w:rPr>
          <w:rFonts w:ascii="Times New Roman" w:hAnsi="Times New Roman"/>
          <w:szCs w:val="24"/>
          <w:lang w:val="bs-Latn-BA"/>
        </w:rPr>
        <w:t xml:space="preserve"> </w:t>
      </w:r>
      <w:r>
        <w:rPr>
          <w:rFonts w:ascii="Times New Roman" w:hAnsi="Times New Roman"/>
          <w:szCs w:val="24"/>
          <w:lang w:val="bs-Latn-BA"/>
        </w:rPr>
        <w:t>објавила</w:t>
      </w:r>
      <w:r w:rsidR="00FC4482" w:rsidRPr="00295637">
        <w:rPr>
          <w:rFonts w:ascii="Times New Roman" w:hAnsi="Times New Roman"/>
          <w:szCs w:val="24"/>
          <w:lang w:val="bs-Latn-BA"/>
        </w:rPr>
        <w:t xml:space="preserve"> </w:t>
      </w:r>
      <w:r>
        <w:rPr>
          <w:rFonts w:ascii="Times New Roman" w:hAnsi="Times New Roman"/>
          <w:szCs w:val="24"/>
          <w:lang w:val="bs-Latn-BA"/>
        </w:rPr>
        <w:t>јавно</w:t>
      </w:r>
      <w:r w:rsidR="00FC4482" w:rsidRPr="00295637">
        <w:rPr>
          <w:rFonts w:ascii="Times New Roman" w:hAnsi="Times New Roman"/>
          <w:szCs w:val="24"/>
          <w:lang w:val="bs-Latn-BA"/>
        </w:rPr>
        <w:t xml:space="preserve"> </w:t>
      </w:r>
      <w:r>
        <w:rPr>
          <w:rFonts w:ascii="Times New Roman" w:hAnsi="Times New Roman"/>
          <w:szCs w:val="24"/>
          <w:lang w:val="bs-Latn-BA"/>
        </w:rPr>
        <w:t>саопштење</w:t>
      </w:r>
      <w:r w:rsidR="00FC4482" w:rsidRPr="00295637">
        <w:rPr>
          <w:rFonts w:ascii="Times New Roman" w:hAnsi="Times New Roman"/>
          <w:szCs w:val="24"/>
          <w:lang w:val="bs-Latn-BA"/>
        </w:rPr>
        <w:t xml:space="preserve"> </w:t>
      </w:r>
      <w:r>
        <w:rPr>
          <w:rFonts w:ascii="Times New Roman" w:hAnsi="Times New Roman"/>
          <w:szCs w:val="24"/>
          <w:lang w:val="bs-Latn-BA"/>
        </w:rPr>
        <w:t>поводом</w:t>
      </w:r>
      <w:r w:rsidR="00FC4482" w:rsidRPr="00295637">
        <w:rPr>
          <w:rFonts w:ascii="Times New Roman" w:hAnsi="Times New Roman"/>
          <w:szCs w:val="24"/>
          <w:lang w:val="bs-Latn-BA"/>
        </w:rPr>
        <w:t xml:space="preserve"> </w:t>
      </w:r>
      <w:r>
        <w:rPr>
          <w:rFonts w:ascii="Times New Roman" w:hAnsi="Times New Roman"/>
          <w:szCs w:val="24"/>
          <w:lang w:val="bs-Latn-BA"/>
        </w:rPr>
        <w:t>све</w:t>
      </w:r>
      <w:r w:rsidR="00FC4482" w:rsidRPr="00295637">
        <w:rPr>
          <w:rFonts w:ascii="Times New Roman" w:hAnsi="Times New Roman"/>
          <w:szCs w:val="24"/>
          <w:lang w:val="bs-Latn-BA"/>
        </w:rPr>
        <w:t xml:space="preserve"> </w:t>
      </w:r>
      <w:r>
        <w:rPr>
          <w:rFonts w:ascii="Times New Roman" w:hAnsi="Times New Roman"/>
          <w:szCs w:val="24"/>
          <w:lang w:val="bs-Latn-BA"/>
        </w:rPr>
        <w:t>учесталије</w:t>
      </w:r>
      <w:r w:rsidR="00FC4482" w:rsidRPr="00295637">
        <w:rPr>
          <w:rFonts w:ascii="Times New Roman" w:hAnsi="Times New Roman"/>
          <w:szCs w:val="24"/>
          <w:lang w:val="bs-Latn-BA"/>
        </w:rPr>
        <w:t xml:space="preserve"> </w:t>
      </w:r>
      <w:r>
        <w:rPr>
          <w:rFonts w:ascii="Times New Roman" w:hAnsi="Times New Roman"/>
          <w:szCs w:val="24"/>
          <w:lang w:val="bs-Latn-BA"/>
        </w:rPr>
        <w:t>појаве</w:t>
      </w:r>
      <w:r w:rsidR="00FC4482" w:rsidRPr="00295637">
        <w:rPr>
          <w:rFonts w:ascii="Times New Roman" w:hAnsi="Times New Roman"/>
          <w:szCs w:val="24"/>
          <w:lang w:val="bs-Latn-BA"/>
        </w:rPr>
        <w:t xml:space="preserve"> </w:t>
      </w:r>
      <w:r>
        <w:rPr>
          <w:rFonts w:ascii="Times New Roman" w:hAnsi="Times New Roman"/>
          <w:szCs w:val="24"/>
          <w:lang w:val="bs-Latn-BA"/>
        </w:rPr>
        <w:t>сексизма</w:t>
      </w:r>
      <w:r w:rsidR="00FC4482" w:rsidRPr="00295637">
        <w:rPr>
          <w:rFonts w:ascii="Times New Roman" w:hAnsi="Times New Roman"/>
          <w:szCs w:val="24"/>
          <w:lang w:val="bs-Latn-BA"/>
        </w:rPr>
        <w:t xml:space="preserve">, </w:t>
      </w:r>
      <w:r>
        <w:rPr>
          <w:rFonts w:ascii="Times New Roman" w:hAnsi="Times New Roman"/>
          <w:szCs w:val="24"/>
          <w:lang w:val="bs-Latn-BA"/>
        </w:rPr>
        <w:t>мизогиније</w:t>
      </w:r>
      <w:r w:rsidR="00FC4482" w:rsidRPr="00295637">
        <w:rPr>
          <w:rFonts w:ascii="Times New Roman" w:hAnsi="Times New Roman"/>
          <w:szCs w:val="24"/>
          <w:lang w:val="bs-Latn-BA"/>
        </w:rPr>
        <w:t xml:space="preserve"> </w:t>
      </w:r>
      <w:r>
        <w:rPr>
          <w:rFonts w:ascii="Times New Roman" w:hAnsi="Times New Roman"/>
          <w:szCs w:val="24"/>
          <w:lang w:val="bs-Latn-BA"/>
        </w:rPr>
        <w:t>и</w:t>
      </w:r>
      <w:r w:rsidR="00FC4482" w:rsidRPr="00295637">
        <w:rPr>
          <w:rFonts w:ascii="Times New Roman" w:hAnsi="Times New Roman"/>
          <w:szCs w:val="24"/>
          <w:lang w:val="bs-Latn-BA"/>
        </w:rPr>
        <w:t xml:space="preserve"> </w:t>
      </w:r>
      <w:r>
        <w:rPr>
          <w:rFonts w:ascii="Times New Roman" w:hAnsi="Times New Roman"/>
          <w:szCs w:val="24"/>
          <w:lang w:val="bs-Latn-BA"/>
        </w:rPr>
        <w:t>стереотипа</w:t>
      </w:r>
      <w:r w:rsidR="00FC4482" w:rsidRPr="00295637">
        <w:rPr>
          <w:rFonts w:ascii="Times New Roman" w:hAnsi="Times New Roman"/>
          <w:szCs w:val="24"/>
          <w:lang w:val="bs-Latn-BA"/>
        </w:rPr>
        <w:t xml:space="preserve"> </w:t>
      </w:r>
      <w:r>
        <w:rPr>
          <w:rFonts w:ascii="Times New Roman" w:hAnsi="Times New Roman"/>
          <w:szCs w:val="24"/>
          <w:lang w:val="bs-Latn-BA"/>
        </w:rPr>
        <w:t>на</w:t>
      </w:r>
      <w:r w:rsidR="00FC4482" w:rsidRPr="00295637">
        <w:rPr>
          <w:rFonts w:ascii="Times New Roman" w:hAnsi="Times New Roman"/>
          <w:szCs w:val="24"/>
          <w:lang w:val="bs-Latn-BA"/>
        </w:rPr>
        <w:t xml:space="preserve"> </w:t>
      </w:r>
      <w:r>
        <w:rPr>
          <w:rFonts w:ascii="Times New Roman" w:hAnsi="Times New Roman"/>
          <w:szCs w:val="24"/>
          <w:lang w:val="bs-Latn-BA"/>
        </w:rPr>
        <w:t>основу</w:t>
      </w:r>
      <w:r w:rsidR="00FC4482" w:rsidRPr="00295637">
        <w:rPr>
          <w:rFonts w:ascii="Times New Roman" w:hAnsi="Times New Roman"/>
          <w:szCs w:val="24"/>
          <w:lang w:val="bs-Latn-BA"/>
        </w:rPr>
        <w:t xml:space="preserve"> </w:t>
      </w:r>
      <w:r>
        <w:rPr>
          <w:rFonts w:ascii="Times New Roman" w:hAnsi="Times New Roman"/>
          <w:szCs w:val="24"/>
          <w:lang w:val="bs-Latn-BA"/>
        </w:rPr>
        <w:t>пола</w:t>
      </w:r>
      <w:r w:rsidR="00FC4482" w:rsidRPr="00295637">
        <w:rPr>
          <w:rFonts w:ascii="Times New Roman" w:hAnsi="Times New Roman"/>
          <w:szCs w:val="24"/>
          <w:lang w:val="bs-Latn-BA"/>
        </w:rPr>
        <w:t xml:space="preserve"> </w:t>
      </w:r>
      <w:r>
        <w:rPr>
          <w:rFonts w:ascii="Times New Roman" w:hAnsi="Times New Roman"/>
          <w:szCs w:val="24"/>
          <w:lang w:val="bs-Latn-BA"/>
        </w:rPr>
        <w:t>у</w:t>
      </w:r>
      <w:r w:rsidR="00FC4482" w:rsidRPr="00295637">
        <w:rPr>
          <w:rFonts w:ascii="Times New Roman" w:hAnsi="Times New Roman"/>
          <w:szCs w:val="24"/>
          <w:lang w:val="bs-Latn-BA"/>
        </w:rPr>
        <w:t xml:space="preserve"> </w:t>
      </w:r>
      <w:r>
        <w:rPr>
          <w:rFonts w:ascii="Times New Roman" w:hAnsi="Times New Roman"/>
          <w:szCs w:val="24"/>
          <w:lang w:val="bs-Latn-BA"/>
        </w:rPr>
        <w:t>јавном</w:t>
      </w:r>
      <w:r w:rsidR="00FC4482" w:rsidRPr="00295637">
        <w:rPr>
          <w:rFonts w:ascii="Times New Roman" w:hAnsi="Times New Roman"/>
          <w:szCs w:val="24"/>
          <w:lang w:val="bs-Latn-BA"/>
        </w:rPr>
        <w:t xml:space="preserve"> </w:t>
      </w:r>
      <w:r>
        <w:rPr>
          <w:rFonts w:ascii="Times New Roman" w:hAnsi="Times New Roman"/>
          <w:szCs w:val="24"/>
          <w:lang w:val="bs-Latn-BA"/>
        </w:rPr>
        <w:t>дискурсу</w:t>
      </w:r>
      <w:r w:rsidR="00FC4482" w:rsidRPr="00295637">
        <w:rPr>
          <w:rFonts w:ascii="Times New Roman" w:hAnsi="Times New Roman"/>
          <w:szCs w:val="24"/>
          <w:lang w:val="bs-Latn-BA"/>
        </w:rPr>
        <w:t xml:space="preserve"> </w:t>
      </w:r>
      <w:r>
        <w:rPr>
          <w:rFonts w:ascii="Times New Roman" w:hAnsi="Times New Roman"/>
          <w:szCs w:val="24"/>
          <w:lang w:val="bs-Latn-BA"/>
        </w:rPr>
        <w:t>у</w:t>
      </w:r>
      <w:r w:rsidR="00FC4482" w:rsidRPr="00295637">
        <w:rPr>
          <w:rFonts w:ascii="Times New Roman" w:hAnsi="Times New Roman"/>
          <w:szCs w:val="24"/>
          <w:lang w:val="bs-Latn-BA"/>
        </w:rPr>
        <w:t xml:space="preserve"> </w:t>
      </w:r>
      <w:r>
        <w:rPr>
          <w:rFonts w:ascii="Times New Roman" w:hAnsi="Times New Roman"/>
          <w:szCs w:val="24"/>
          <w:lang w:val="bs-Latn-BA"/>
        </w:rPr>
        <w:t>Босни</w:t>
      </w:r>
      <w:r w:rsidR="00FC4482" w:rsidRPr="00295637">
        <w:rPr>
          <w:rFonts w:ascii="Times New Roman" w:hAnsi="Times New Roman"/>
          <w:szCs w:val="24"/>
          <w:lang w:val="bs-Latn-BA"/>
        </w:rPr>
        <w:t xml:space="preserve"> </w:t>
      </w:r>
      <w:r>
        <w:rPr>
          <w:rFonts w:ascii="Times New Roman" w:hAnsi="Times New Roman"/>
          <w:szCs w:val="24"/>
          <w:lang w:val="bs-Latn-BA"/>
        </w:rPr>
        <w:t>и</w:t>
      </w:r>
      <w:r w:rsidR="00FC4482" w:rsidRPr="00295637">
        <w:rPr>
          <w:rFonts w:ascii="Times New Roman" w:hAnsi="Times New Roman"/>
          <w:szCs w:val="24"/>
          <w:lang w:val="bs-Latn-BA"/>
        </w:rPr>
        <w:t xml:space="preserve"> </w:t>
      </w:r>
      <w:r>
        <w:rPr>
          <w:rFonts w:ascii="Times New Roman" w:hAnsi="Times New Roman"/>
          <w:szCs w:val="24"/>
          <w:lang w:val="bs-Latn-BA"/>
        </w:rPr>
        <w:t>Херцеговини</w:t>
      </w:r>
      <w:r w:rsidR="00FC4482" w:rsidRPr="00295637">
        <w:rPr>
          <w:rFonts w:ascii="Times New Roman" w:hAnsi="Times New Roman"/>
          <w:szCs w:val="24"/>
          <w:lang w:val="bs-Latn-BA"/>
        </w:rPr>
        <w:t xml:space="preserve">. </w:t>
      </w:r>
    </w:p>
    <w:p w:rsidR="00B4124E" w:rsidRPr="00295637" w:rsidRDefault="00FC4482" w:rsidP="0086268D">
      <w:pPr>
        <w:rPr>
          <w:szCs w:val="24"/>
          <w:lang w:val="bs-Latn-BA"/>
        </w:rPr>
      </w:pPr>
      <w:r w:rsidRPr="00295637">
        <w:rPr>
          <w:szCs w:val="24"/>
          <w:lang w:val="bs-Latn-BA"/>
        </w:rPr>
        <w:t xml:space="preserve"> </w:t>
      </w:r>
    </w:p>
    <w:p w:rsidR="00356C2C" w:rsidRPr="00295637" w:rsidRDefault="00237A50" w:rsidP="00D06BDE">
      <w:pPr>
        <w:pStyle w:val="Heading4"/>
        <w:numPr>
          <w:ilvl w:val="0"/>
          <w:numId w:val="0"/>
        </w:numPr>
        <w:spacing w:after="0" w:line="240" w:lineRule="auto"/>
        <w:ind w:left="567"/>
        <w:rPr>
          <w:rFonts w:ascii="Times New Roman" w:hAnsi="Times New Roman" w:cs="Times New Roman"/>
          <w:b w:val="0"/>
          <w:lang w:val="bs-Latn-BA"/>
        </w:rPr>
      </w:pPr>
      <w:r w:rsidRPr="00237A50">
        <w:rPr>
          <w:rFonts w:ascii="Times New Roman" w:hAnsi="Times New Roman" w:cs="Times New Roman"/>
          <w:b w:val="0"/>
          <w:lang w:val="bs-Latn-BA"/>
        </w:rPr>
        <w:t>II</w:t>
      </w:r>
      <w:r w:rsidR="00D06BDE">
        <w:rPr>
          <w:rFonts w:ascii="Times New Roman" w:hAnsi="Times New Roman" w:cs="Times New Roman"/>
          <w:b w:val="0"/>
          <w:lang w:val="bs-Latn-BA"/>
        </w:rPr>
        <w:t xml:space="preserve"> 4.5. </w:t>
      </w:r>
      <w:r w:rsidR="00C6214E">
        <w:rPr>
          <w:rFonts w:ascii="Times New Roman" w:hAnsi="Times New Roman" w:cs="Times New Roman"/>
          <w:b w:val="0"/>
          <w:lang w:val="bs-Latn-BA"/>
        </w:rPr>
        <w:t>Подстицање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подршка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производњи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медијских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садржаја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који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приказују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жене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мушкараце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равноправан</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нестереотипан</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начин</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промови</w:t>
      </w:r>
      <w:r>
        <w:rPr>
          <w:rFonts w:ascii="Times New Roman" w:hAnsi="Times New Roman" w:cs="Times New Roman"/>
          <w:b w:val="0"/>
          <w:lang w:val="sr-Cyrl-BA"/>
        </w:rPr>
        <w:t>шу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њихов</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равноправан</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статус</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улоге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приватној</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јавној</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сфери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пуним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поштовањем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њиховог</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људског</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достојанства</w:t>
      </w:r>
      <w:r w:rsidR="00356C2C" w:rsidRPr="00295637">
        <w:rPr>
          <w:rFonts w:ascii="Times New Roman" w:hAnsi="Times New Roman" w:cs="Times New Roman"/>
          <w:b w:val="0"/>
          <w:lang w:val="bs-Latn-BA"/>
        </w:rPr>
        <w:t>.</w:t>
      </w:r>
    </w:p>
    <w:p w:rsidR="00356C2C" w:rsidRPr="00295637" w:rsidRDefault="00356C2C"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p>
    <w:p w:rsidR="00C446C3" w:rsidRPr="00295637" w:rsidRDefault="00C6214E" w:rsidP="0086268D">
      <w:pPr>
        <w:tabs>
          <w:tab w:val="left" w:pos="284"/>
          <w:tab w:val="left" w:pos="567"/>
          <w:tab w:val="left" w:pos="630"/>
          <w:tab w:val="left" w:pos="1260"/>
          <w:tab w:val="left" w:pos="1620"/>
          <w:tab w:val="left" w:pos="1710"/>
        </w:tabs>
        <w:jc w:val="both"/>
        <w:rPr>
          <w:rFonts w:ascii="Times New Roman" w:hAnsi="Times New Roman"/>
        </w:rPr>
      </w:pPr>
      <w:r>
        <w:rPr>
          <w:rFonts w:ascii="Times New Roman" w:hAnsi="Times New Roman"/>
        </w:rPr>
        <w:t>У</w:t>
      </w:r>
      <w:r w:rsidR="00C446C3" w:rsidRPr="00295637">
        <w:rPr>
          <w:rFonts w:ascii="Times New Roman" w:hAnsi="Times New Roman"/>
        </w:rPr>
        <w:t xml:space="preserve"> </w:t>
      </w:r>
      <w:r>
        <w:rPr>
          <w:rFonts w:ascii="Times New Roman" w:hAnsi="Times New Roman"/>
        </w:rPr>
        <w:t>оквиру</w:t>
      </w:r>
      <w:r w:rsidR="00C446C3" w:rsidRPr="00295637">
        <w:rPr>
          <w:rFonts w:ascii="Times New Roman" w:hAnsi="Times New Roman"/>
        </w:rPr>
        <w:t xml:space="preserve"> </w:t>
      </w:r>
      <w:r>
        <w:rPr>
          <w:rFonts w:ascii="Times New Roman" w:hAnsi="Times New Roman"/>
        </w:rPr>
        <w:t>кампање</w:t>
      </w:r>
      <w:r w:rsidR="00C446C3" w:rsidRPr="00295637">
        <w:rPr>
          <w:rFonts w:ascii="Times New Roman" w:hAnsi="Times New Roman"/>
        </w:rPr>
        <w:t xml:space="preserve"> </w:t>
      </w:r>
      <w:r w:rsidR="00DF4ED5" w:rsidRPr="00295637">
        <w:rPr>
          <w:rFonts w:ascii="Times New Roman" w:hAnsi="Times New Roman"/>
        </w:rPr>
        <w:t>„</w:t>
      </w:r>
      <w:r>
        <w:rPr>
          <w:rFonts w:ascii="Times New Roman" w:hAnsi="Times New Roman"/>
        </w:rPr>
        <w:t>Политичарке</w:t>
      </w:r>
      <w:r w:rsidR="00DF4ED5" w:rsidRPr="00295637">
        <w:rPr>
          <w:rFonts w:ascii="Times New Roman" w:hAnsi="Times New Roman"/>
        </w:rPr>
        <w:t xml:space="preserve"> </w:t>
      </w:r>
      <w:r>
        <w:rPr>
          <w:rFonts w:ascii="Times New Roman" w:hAnsi="Times New Roman"/>
        </w:rPr>
        <w:t>поручују</w:t>
      </w:r>
      <w:r w:rsidR="00DF4ED5" w:rsidRPr="00295637">
        <w:rPr>
          <w:rFonts w:ascii="Times New Roman" w:hAnsi="Times New Roman"/>
        </w:rPr>
        <w:t xml:space="preserve">: </w:t>
      </w:r>
      <w:r>
        <w:rPr>
          <w:rFonts w:ascii="Times New Roman" w:hAnsi="Times New Roman"/>
        </w:rPr>
        <w:t>Гласно</w:t>
      </w:r>
      <w:r w:rsidR="00DF4ED5" w:rsidRPr="00295637">
        <w:rPr>
          <w:rFonts w:ascii="Times New Roman" w:hAnsi="Times New Roman"/>
        </w:rPr>
        <w:t xml:space="preserve"> </w:t>
      </w:r>
      <w:r>
        <w:rPr>
          <w:rFonts w:ascii="Times New Roman" w:hAnsi="Times New Roman"/>
        </w:rPr>
        <w:t>против</w:t>
      </w:r>
      <w:r w:rsidR="00DF4ED5" w:rsidRPr="00295637">
        <w:rPr>
          <w:rFonts w:ascii="Times New Roman" w:hAnsi="Times New Roman"/>
        </w:rPr>
        <w:t xml:space="preserve"> </w:t>
      </w:r>
      <w:r>
        <w:rPr>
          <w:rFonts w:ascii="Times New Roman" w:hAnsi="Times New Roman"/>
        </w:rPr>
        <w:t>насиља</w:t>
      </w:r>
      <w:r w:rsidR="00DF4ED5" w:rsidRPr="00295637">
        <w:rPr>
          <w:rFonts w:ascii="Times New Roman" w:hAnsi="Times New Roman"/>
        </w:rPr>
        <w:t xml:space="preserve"> </w:t>
      </w:r>
      <w:r>
        <w:rPr>
          <w:rFonts w:ascii="Times New Roman" w:hAnsi="Times New Roman"/>
        </w:rPr>
        <w:t>над</w:t>
      </w:r>
      <w:r w:rsidR="00DF4ED5" w:rsidRPr="00295637">
        <w:rPr>
          <w:rFonts w:ascii="Times New Roman" w:hAnsi="Times New Roman"/>
        </w:rPr>
        <w:t xml:space="preserve"> </w:t>
      </w:r>
      <w:r>
        <w:rPr>
          <w:rFonts w:ascii="Times New Roman" w:hAnsi="Times New Roman"/>
        </w:rPr>
        <w:t>женама</w:t>
      </w:r>
      <w:r w:rsidR="00DF4ED5" w:rsidRPr="00295637">
        <w:rPr>
          <w:rFonts w:ascii="Times New Roman" w:hAnsi="Times New Roman"/>
        </w:rPr>
        <w:t>!“</w:t>
      </w:r>
      <w:r w:rsidR="00C446C3" w:rsidRPr="00295637">
        <w:rPr>
          <w:rFonts w:ascii="Times New Roman" w:hAnsi="Times New Roman"/>
        </w:rPr>
        <w:t xml:space="preserve">, </w:t>
      </w:r>
      <w:r>
        <w:rPr>
          <w:rFonts w:ascii="Times New Roman" w:hAnsi="Times New Roman"/>
        </w:rPr>
        <w:t>коју</w:t>
      </w:r>
      <w:r w:rsidR="00C446C3" w:rsidRPr="00295637">
        <w:rPr>
          <w:rFonts w:ascii="Times New Roman" w:hAnsi="Times New Roman"/>
        </w:rPr>
        <w:t xml:space="preserve"> </w:t>
      </w:r>
      <w:r>
        <w:rPr>
          <w:rFonts w:ascii="Times New Roman" w:hAnsi="Times New Roman"/>
        </w:rPr>
        <w:t>је</w:t>
      </w:r>
      <w:r w:rsidR="00C446C3" w:rsidRPr="00295637">
        <w:rPr>
          <w:rFonts w:ascii="Times New Roman" w:hAnsi="Times New Roman"/>
        </w:rPr>
        <w:t xml:space="preserve"> </w:t>
      </w:r>
      <w:r>
        <w:rPr>
          <w:rFonts w:ascii="Times New Roman" w:hAnsi="Times New Roman"/>
        </w:rPr>
        <w:t>АР</w:t>
      </w:r>
      <w:r w:rsidR="00237A50">
        <w:rPr>
          <w:rFonts w:ascii="Times New Roman" w:hAnsi="Times New Roman"/>
          <w:lang w:val="sr-Cyrl-BA"/>
        </w:rPr>
        <w:t>П</w:t>
      </w:r>
      <w:r w:rsidR="000A63E7">
        <w:rPr>
          <w:rFonts w:ascii="Times New Roman" w:hAnsi="Times New Roman"/>
        </w:rPr>
        <w:t xml:space="preserve"> </w:t>
      </w:r>
      <w:r>
        <w:rPr>
          <w:rFonts w:ascii="Times New Roman" w:hAnsi="Times New Roman"/>
        </w:rPr>
        <w:t>БиХ</w:t>
      </w:r>
      <w:r w:rsidR="000A63E7">
        <w:rPr>
          <w:rFonts w:ascii="Times New Roman" w:hAnsi="Times New Roman"/>
        </w:rPr>
        <w:t xml:space="preserve"> </w:t>
      </w:r>
      <w:r>
        <w:rPr>
          <w:rFonts w:ascii="Times New Roman" w:hAnsi="Times New Roman"/>
        </w:rPr>
        <w:t>МЉПИ</w:t>
      </w:r>
      <w:r w:rsidR="000A63E7">
        <w:rPr>
          <w:rFonts w:ascii="Times New Roman" w:hAnsi="Times New Roman"/>
        </w:rPr>
        <w:t xml:space="preserve"> </w:t>
      </w:r>
      <w:r>
        <w:rPr>
          <w:rFonts w:ascii="Times New Roman" w:hAnsi="Times New Roman"/>
        </w:rPr>
        <w:t>БиХ</w:t>
      </w:r>
      <w:r w:rsidR="00C446C3" w:rsidRPr="00295637">
        <w:rPr>
          <w:rFonts w:ascii="Times New Roman" w:hAnsi="Times New Roman"/>
        </w:rPr>
        <w:t xml:space="preserve"> </w:t>
      </w:r>
      <w:r>
        <w:rPr>
          <w:rFonts w:ascii="Times New Roman" w:hAnsi="Times New Roman"/>
        </w:rPr>
        <w:t>реализ</w:t>
      </w:r>
      <w:r w:rsidR="00237A50">
        <w:rPr>
          <w:rFonts w:ascii="Times New Roman" w:hAnsi="Times New Roman"/>
          <w:lang w:val="sr-Cyrl-BA"/>
        </w:rPr>
        <w:t>овала</w:t>
      </w:r>
      <w:r w:rsidR="00C446C3" w:rsidRPr="00295637">
        <w:rPr>
          <w:rFonts w:ascii="Times New Roman" w:hAnsi="Times New Roman"/>
        </w:rPr>
        <w:t xml:space="preserve"> </w:t>
      </w:r>
      <w:r>
        <w:rPr>
          <w:rFonts w:ascii="Times New Roman" w:hAnsi="Times New Roman"/>
        </w:rPr>
        <w:t>у</w:t>
      </w:r>
      <w:r w:rsidR="00C446C3" w:rsidRPr="00295637">
        <w:rPr>
          <w:rFonts w:ascii="Times New Roman" w:hAnsi="Times New Roman"/>
        </w:rPr>
        <w:t xml:space="preserve"> </w:t>
      </w:r>
      <w:r>
        <w:rPr>
          <w:rFonts w:ascii="Times New Roman" w:hAnsi="Times New Roman"/>
        </w:rPr>
        <w:t>новембру</w:t>
      </w:r>
      <w:r w:rsidR="00C446C3" w:rsidRPr="00295637">
        <w:rPr>
          <w:rFonts w:ascii="Times New Roman" w:hAnsi="Times New Roman"/>
        </w:rPr>
        <w:t xml:space="preserve"> </w:t>
      </w:r>
      <w:r>
        <w:rPr>
          <w:rFonts w:ascii="Times New Roman" w:hAnsi="Times New Roman"/>
        </w:rPr>
        <w:t>и</w:t>
      </w:r>
      <w:r w:rsidR="00C446C3" w:rsidRPr="00295637">
        <w:rPr>
          <w:rFonts w:ascii="Times New Roman" w:hAnsi="Times New Roman"/>
        </w:rPr>
        <w:t xml:space="preserve"> </w:t>
      </w:r>
      <w:r>
        <w:rPr>
          <w:rFonts w:ascii="Times New Roman" w:hAnsi="Times New Roman"/>
        </w:rPr>
        <w:t>децембру</w:t>
      </w:r>
      <w:r w:rsidR="00C446C3" w:rsidRPr="00295637">
        <w:rPr>
          <w:rFonts w:ascii="Times New Roman" w:hAnsi="Times New Roman"/>
        </w:rPr>
        <w:t xml:space="preserve"> 2024. </w:t>
      </w:r>
      <w:r>
        <w:rPr>
          <w:rFonts w:ascii="Times New Roman" w:hAnsi="Times New Roman"/>
        </w:rPr>
        <w:t>године</w:t>
      </w:r>
      <w:r w:rsidR="00C446C3" w:rsidRPr="00295637">
        <w:rPr>
          <w:rFonts w:ascii="Times New Roman" w:hAnsi="Times New Roman"/>
        </w:rPr>
        <w:t xml:space="preserve">, </w:t>
      </w:r>
      <w:r>
        <w:rPr>
          <w:rFonts w:ascii="Times New Roman" w:hAnsi="Times New Roman"/>
        </w:rPr>
        <w:t>објављена</w:t>
      </w:r>
      <w:r w:rsidR="007F0876" w:rsidRPr="00295637">
        <w:rPr>
          <w:rFonts w:ascii="Times New Roman" w:hAnsi="Times New Roman"/>
        </w:rPr>
        <w:t xml:space="preserve"> </w:t>
      </w:r>
      <w:r>
        <w:rPr>
          <w:rFonts w:ascii="Times New Roman" w:hAnsi="Times New Roman"/>
        </w:rPr>
        <w:t>су</w:t>
      </w:r>
      <w:r w:rsidR="007F0876" w:rsidRPr="00295637">
        <w:rPr>
          <w:rFonts w:ascii="Times New Roman" w:hAnsi="Times New Roman"/>
        </w:rPr>
        <w:t xml:space="preserve"> </w:t>
      </w:r>
      <w:r>
        <w:rPr>
          <w:rFonts w:ascii="Times New Roman" w:hAnsi="Times New Roman"/>
        </w:rPr>
        <w:t>три</w:t>
      </w:r>
      <w:r w:rsidR="00C446C3" w:rsidRPr="00295637">
        <w:rPr>
          <w:rFonts w:ascii="Times New Roman" w:hAnsi="Times New Roman"/>
        </w:rPr>
        <w:t xml:space="preserve"> </w:t>
      </w:r>
      <w:r>
        <w:rPr>
          <w:rFonts w:ascii="Times New Roman" w:hAnsi="Times New Roman"/>
        </w:rPr>
        <w:t>тематска</w:t>
      </w:r>
      <w:r w:rsidR="00C446C3" w:rsidRPr="00295637">
        <w:rPr>
          <w:rFonts w:ascii="Times New Roman" w:hAnsi="Times New Roman"/>
        </w:rPr>
        <w:t xml:space="preserve"> </w:t>
      </w:r>
      <w:r>
        <w:rPr>
          <w:rFonts w:ascii="Times New Roman" w:hAnsi="Times New Roman"/>
        </w:rPr>
        <w:t>чланка</w:t>
      </w:r>
      <w:r w:rsidR="00C446C3" w:rsidRPr="00295637">
        <w:rPr>
          <w:rFonts w:ascii="Times New Roman" w:hAnsi="Times New Roman"/>
        </w:rPr>
        <w:t xml:space="preserve"> </w:t>
      </w:r>
      <w:r>
        <w:rPr>
          <w:rFonts w:ascii="Times New Roman" w:hAnsi="Times New Roman"/>
        </w:rPr>
        <w:t>на</w:t>
      </w:r>
      <w:r w:rsidR="00C446C3" w:rsidRPr="00295637">
        <w:rPr>
          <w:rFonts w:ascii="Times New Roman" w:hAnsi="Times New Roman"/>
        </w:rPr>
        <w:t xml:space="preserve"> </w:t>
      </w:r>
      <w:r>
        <w:rPr>
          <w:rFonts w:ascii="Times New Roman" w:hAnsi="Times New Roman"/>
        </w:rPr>
        <w:t>неким</w:t>
      </w:r>
      <w:r w:rsidR="00C446C3" w:rsidRPr="00295637">
        <w:rPr>
          <w:rFonts w:ascii="Times New Roman" w:hAnsi="Times New Roman"/>
        </w:rPr>
        <w:t xml:space="preserve"> </w:t>
      </w:r>
      <w:r>
        <w:rPr>
          <w:rFonts w:ascii="Times New Roman" w:hAnsi="Times New Roman"/>
        </w:rPr>
        <w:t>од</w:t>
      </w:r>
      <w:r w:rsidR="00C446C3" w:rsidRPr="00295637">
        <w:rPr>
          <w:rFonts w:ascii="Times New Roman" w:hAnsi="Times New Roman"/>
        </w:rPr>
        <w:t xml:space="preserve"> </w:t>
      </w:r>
      <w:r>
        <w:rPr>
          <w:rFonts w:ascii="Times New Roman" w:hAnsi="Times New Roman"/>
        </w:rPr>
        <w:t>најпосјећенијих</w:t>
      </w:r>
      <w:r w:rsidR="00C446C3" w:rsidRPr="00295637">
        <w:rPr>
          <w:rFonts w:ascii="Times New Roman" w:hAnsi="Times New Roman"/>
        </w:rPr>
        <w:t xml:space="preserve"> </w:t>
      </w:r>
      <w:r>
        <w:rPr>
          <w:rFonts w:ascii="Times New Roman" w:hAnsi="Times New Roman"/>
        </w:rPr>
        <w:t>информативних</w:t>
      </w:r>
      <w:r w:rsidR="00C446C3" w:rsidRPr="00295637">
        <w:rPr>
          <w:rFonts w:ascii="Times New Roman" w:hAnsi="Times New Roman"/>
        </w:rPr>
        <w:t xml:space="preserve"> </w:t>
      </w:r>
      <w:r>
        <w:rPr>
          <w:rFonts w:ascii="Times New Roman" w:hAnsi="Times New Roman"/>
        </w:rPr>
        <w:t>портала</w:t>
      </w:r>
      <w:r w:rsidR="00C446C3" w:rsidRPr="00295637">
        <w:rPr>
          <w:rFonts w:ascii="Times New Roman" w:hAnsi="Times New Roman"/>
        </w:rPr>
        <w:t xml:space="preserve"> </w:t>
      </w:r>
      <w:r>
        <w:rPr>
          <w:rFonts w:ascii="Times New Roman" w:hAnsi="Times New Roman"/>
        </w:rPr>
        <w:t>у</w:t>
      </w:r>
      <w:r w:rsidR="004C069B">
        <w:rPr>
          <w:rFonts w:ascii="Times New Roman" w:hAnsi="Times New Roman"/>
        </w:rPr>
        <w:t xml:space="preserve"> </w:t>
      </w:r>
      <w:r>
        <w:rPr>
          <w:rFonts w:ascii="Times New Roman" w:hAnsi="Times New Roman"/>
        </w:rPr>
        <w:t>БиХ</w:t>
      </w:r>
      <w:r w:rsidR="00C446C3" w:rsidRPr="00295637">
        <w:rPr>
          <w:rFonts w:ascii="Times New Roman" w:hAnsi="Times New Roman"/>
        </w:rPr>
        <w:t xml:space="preserve">. </w:t>
      </w:r>
      <w:r>
        <w:rPr>
          <w:rFonts w:ascii="Times New Roman" w:hAnsi="Times New Roman"/>
        </w:rPr>
        <w:t>Чланци</w:t>
      </w:r>
      <w:r w:rsidR="00C446C3" w:rsidRPr="00295637">
        <w:rPr>
          <w:rFonts w:ascii="Times New Roman" w:hAnsi="Times New Roman"/>
        </w:rPr>
        <w:t xml:space="preserve">, </w:t>
      </w:r>
      <w:r>
        <w:rPr>
          <w:rFonts w:ascii="Times New Roman" w:hAnsi="Times New Roman"/>
        </w:rPr>
        <w:t>из</w:t>
      </w:r>
      <w:r w:rsidR="00C446C3" w:rsidRPr="00295637">
        <w:rPr>
          <w:rFonts w:ascii="Times New Roman" w:hAnsi="Times New Roman"/>
        </w:rPr>
        <w:t xml:space="preserve"> </w:t>
      </w:r>
      <w:r>
        <w:rPr>
          <w:rFonts w:ascii="Times New Roman" w:hAnsi="Times New Roman"/>
        </w:rPr>
        <w:t>пера</w:t>
      </w:r>
      <w:r w:rsidR="00C446C3" w:rsidRPr="00295637">
        <w:rPr>
          <w:rFonts w:ascii="Times New Roman" w:hAnsi="Times New Roman"/>
        </w:rPr>
        <w:t xml:space="preserve"> </w:t>
      </w:r>
      <w:r>
        <w:rPr>
          <w:rFonts w:ascii="Times New Roman" w:hAnsi="Times New Roman"/>
        </w:rPr>
        <w:t>три</w:t>
      </w:r>
      <w:r w:rsidR="00C446C3" w:rsidRPr="00295637">
        <w:rPr>
          <w:rFonts w:ascii="Times New Roman" w:hAnsi="Times New Roman"/>
        </w:rPr>
        <w:t xml:space="preserve"> </w:t>
      </w:r>
      <w:r>
        <w:rPr>
          <w:rFonts w:ascii="Times New Roman" w:hAnsi="Times New Roman"/>
        </w:rPr>
        <w:t>еминентне</w:t>
      </w:r>
      <w:r w:rsidR="00C446C3" w:rsidRPr="00295637">
        <w:rPr>
          <w:rFonts w:ascii="Times New Roman" w:hAnsi="Times New Roman"/>
        </w:rPr>
        <w:t xml:space="preserve"> </w:t>
      </w:r>
      <w:r>
        <w:rPr>
          <w:rFonts w:ascii="Times New Roman" w:hAnsi="Times New Roman"/>
        </w:rPr>
        <w:t>аутор</w:t>
      </w:r>
      <w:r w:rsidR="00237A50">
        <w:rPr>
          <w:rFonts w:ascii="Times New Roman" w:hAnsi="Times New Roman"/>
          <w:lang w:val="sr-Cyrl-BA"/>
        </w:rPr>
        <w:t>ке</w:t>
      </w:r>
      <w:r w:rsidR="00C446C3" w:rsidRPr="00295637">
        <w:rPr>
          <w:rFonts w:ascii="Times New Roman" w:hAnsi="Times New Roman"/>
        </w:rPr>
        <w:t xml:space="preserve"> </w:t>
      </w:r>
      <w:r>
        <w:rPr>
          <w:rFonts w:ascii="Times New Roman" w:hAnsi="Times New Roman"/>
        </w:rPr>
        <w:t>у</w:t>
      </w:r>
      <w:r w:rsidR="00C446C3" w:rsidRPr="00295637">
        <w:rPr>
          <w:rFonts w:ascii="Times New Roman" w:hAnsi="Times New Roman"/>
        </w:rPr>
        <w:t xml:space="preserve"> </w:t>
      </w:r>
      <w:r>
        <w:rPr>
          <w:rFonts w:ascii="Times New Roman" w:hAnsi="Times New Roman"/>
        </w:rPr>
        <w:t>области</w:t>
      </w:r>
      <w:r w:rsidR="00C446C3" w:rsidRPr="00295637">
        <w:rPr>
          <w:rFonts w:ascii="Times New Roman" w:hAnsi="Times New Roman"/>
        </w:rPr>
        <w:t xml:space="preserve"> </w:t>
      </w:r>
      <w:r>
        <w:rPr>
          <w:rFonts w:ascii="Times New Roman" w:hAnsi="Times New Roman"/>
        </w:rPr>
        <w:t>права</w:t>
      </w:r>
      <w:r w:rsidR="00C446C3" w:rsidRPr="00295637">
        <w:rPr>
          <w:rFonts w:ascii="Times New Roman" w:hAnsi="Times New Roman"/>
        </w:rPr>
        <w:t xml:space="preserve">, </w:t>
      </w:r>
      <w:r>
        <w:rPr>
          <w:rFonts w:ascii="Times New Roman" w:hAnsi="Times New Roman"/>
        </w:rPr>
        <w:t>социологије</w:t>
      </w:r>
      <w:r w:rsidR="00C446C3" w:rsidRPr="00295637">
        <w:rPr>
          <w:rFonts w:ascii="Times New Roman" w:hAnsi="Times New Roman"/>
        </w:rPr>
        <w:t xml:space="preserve"> </w:t>
      </w:r>
      <w:r>
        <w:rPr>
          <w:rFonts w:ascii="Times New Roman" w:hAnsi="Times New Roman"/>
        </w:rPr>
        <w:t>и</w:t>
      </w:r>
      <w:r w:rsidR="00F33F83" w:rsidRPr="00295637">
        <w:rPr>
          <w:rFonts w:ascii="Times New Roman" w:hAnsi="Times New Roman"/>
        </w:rPr>
        <w:t xml:space="preserve"> </w:t>
      </w:r>
      <w:r>
        <w:rPr>
          <w:rFonts w:ascii="Times New Roman" w:hAnsi="Times New Roman"/>
        </w:rPr>
        <w:t>родних</w:t>
      </w:r>
      <w:r w:rsidR="00F33F83" w:rsidRPr="00295637">
        <w:rPr>
          <w:rFonts w:ascii="Times New Roman" w:hAnsi="Times New Roman"/>
        </w:rPr>
        <w:t xml:space="preserve"> </w:t>
      </w:r>
      <w:r>
        <w:rPr>
          <w:rFonts w:ascii="Times New Roman" w:hAnsi="Times New Roman"/>
        </w:rPr>
        <w:t>студија</w:t>
      </w:r>
      <w:r w:rsidR="00F33F83" w:rsidRPr="00295637">
        <w:rPr>
          <w:rFonts w:ascii="Times New Roman" w:hAnsi="Times New Roman"/>
        </w:rPr>
        <w:t xml:space="preserve">, </w:t>
      </w:r>
      <w:r>
        <w:rPr>
          <w:rFonts w:ascii="Times New Roman" w:hAnsi="Times New Roman"/>
        </w:rPr>
        <w:t>били</w:t>
      </w:r>
      <w:r w:rsidR="00F33F83" w:rsidRPr="00295637">
        <w:rPr>
          <w:rFonts w:ascii="Times New Roman" w:hAnsi="Times New Roman"/>
        </w:rPr>
        <w:t xml:space="preserve"> </w:t>
      </w:r>
      <w:r>
        <w:rPr>
          <w:rFonts w:ascii="Times New Roman" w:hAnsi="Times New Roman"/>
        </w:rPr>
        <w:t>су</w:t>
      </w:r>
      <w:r w:rsidR="00F33F83" w:rsidRPr="00295637">
        <w:rPr>
          <w:rFonts w:ascii="Times New Roman" w:hAnsi="Times New Roman"/>
        </w:rPr>
        <w:t xml:space="preserve"> </w:t>
      </w:r>
      <w:r>
        <w:rPr>
          <w:rFonts w:ascii="Times New Roman" w:hAnsi="Times New Roman"/>
        </w:rPr>
        <w:t>посвећени</w:t>
      </w:r>
      <w:r w:rsidR="00C446C3" w:rsidRPr="00295637">
        <w:rPr>
          <w:rFonts w:ascii="Times New Roman" w:hAnsi="Times New Roman"/>
        </w:rPr>
        <w:t xml:space="preserve"> </w:t>
      </w:r>
      <w:r>
        <w:rPr>
          <w:rFonts w:ascii="Times New Roman" w:hAnsi="Times New Roman"/>
        </w:rPr>
        <w:t>темама</w:t>
      </w:r>
      <w:r w:rsidR="00C446C3" w:rsidRPr="00295637">
        <w:rPr>
          <w:rFonts w:ascii="Times New Roman" w:hAnsi="Times New Roman"/>
        </w:rPr>
        <w:t xml:space="preserve">: </w:t>
      </w:r>
      <w:r w:rsidR="00237A50">
        <w:rPr>
          <w:rFonts w:ascii="Times New Roman" w:hAnsi="Times New Roman"/>
          <w:lang w:val="sr-Cyrl-BA"/>
        </w:rPr>
        <w:t>Н</w:t>
      </w:r>
      <w:r>
        <w:rPr>
          <w:rFonts w:ascii="Times New Roman" w:hAnsi="Times New Roman"/>
        </w:rPr>
        <w:t>асиље</w:t>
      </w:r>
      <w:r w:rsidR="00C446C3" w:rsidRPr="00295637">
        <w:rPr>
          <w:rFonts w:ascii="Times New Roman" w:hAnsi="Times New Roman"/>
        </w:rPr>
        <w:t xml:space="preserve"> </w:t>
      </w:r>
      <w:r>
        <w:rPr>
          <w:rFonts w:ascii="Times New Roman" w:hAnsi="Times New Roman"/>
        </w:rPr>
        <w:t>према</w:t>
      </w:r>
      <w:r w:rsidR="00C446C3" w:rsidRPr="00295637">
        <w:rPr>
          <w:rFonts w:ascii="Times New Roman" w:hAnsi="Times New Roman"/>
        </w:rPr>
        <w:t xml:space="preserve"> </w:t>
      </w:r>
      <w:r>
        <w:rPr>
          <w:rFonts w:ascii="Times New Roman" w:hAnsi="Times New Roman"/>
        </w:rPr>
        <w:t>женама</w:t>
      </w:r>
      <w:r w:rsidR="00C446C3" w:rsidRPr="00295637">
        <w:rPr>
          <w:rFonts w:ascii="Times New Roman" w:hAnsi="Times New Roman"/>
        </w:rPr>
        <w:t xml:space="preserve"> </w:t>
      </w:r>
      <w:r>
        <w:rPr>
          <w:rFonts w:ascii="Times New Roman" w:hAnsi="Times New Roman"/>
        </w:rPr>
        <w:t>у</w:t>
      </w:r>
      <w:r w:rsidR="00C446C3" w:rsidRPr="00295637">
        <w:rPr>
          <w:rFonts w:ascii="Times New Roman" w:hAnsi="Times New Roman"/>
        </w:rPr>
        <w:t xml:space="preserve"> </w:t>
      </w:r>
      <w:r>
        <w:rPr>
          <w:rFonts w:ascii="Times New Roman" w:hAnsi="Times New Roman"/>
        </w:rPr>
        <w:t>јавном</w:t>
      </w:r>
      <w:r w:rsidR="00C446C3" w:rsidRPr="00295637">
        <w:rPr>
          <w:rFonts w:ascii="Times New Roman" w:hAnsi="Times New Roman"/>
        </w:rPr>
        <w:t xml:space="preserve"> </w:t>
      </w:r>
      <w:r>
        <w:rPr>
          <w:rFonts w:ascii="Times New Roman" w:hAnsi="Times New Roman"/>
        </w:rPr>
        <w:t>простору</w:t>
      </w:r>
      <w:r w:rsidR="00C446C3" w:rsidRPr="00295637">
        <w:rPr>
          <w:rFonts w:ascii="Times New Roman" w:hAnsi="Times New Roman"/>
        </w:rPr>
        <w:t xml:space="preserve">, </w:t>
      </w:r>
      <w:r>
        <w:rPr>
          <w:rFonts w:ascii="Times New Roman" w:hAnsi="Times New Roman"/>
        </w:rPr>
        <w:t>Истанбулска</w:t>
      </w:r>
      <w:r w:rsidR="00C446C3" w:rsidRPr="00295637">
        <w:rPr>
          <w:rFonts w:ascii="Times New Roman" w:hAnsi="Times New Roman"/>
        </w:rPr>
        <w:t xml:space="preserve"> </w:t>
      </w:r>
      <w:r>
        <w:rPr>
          <w:rFonts w:ascii="Times New Roman" w:hAnsi="Times New Roman"/>
        </w:rPr>
        <w:t>конвенција</w:t>
      </w:r>
      <w:r w:rsidR="00C446C3" w:rsidRPr="00295637">
        <w:rPr>
          <w:rFonts w:ascii="Times New Roman" w:hAnsi="Times New Roman"/>
        </w:rPr>
        <w:t xml:space="preserve"> </w:t>
      </w:r>
      <w:r>
        <w:rPr>
          <w:rFonts w:ascii="Times New Roman" w:hAnsi="Times New Roman"/>
        </w:rPr>
        <w:t>и</w:t>
      </w:r>
      <w:r w:rsidR="00C446C3" w:rsidRPr="00295637">
        <w:rPr>
          <w:rFonts w:ascii="Times New Roman" w:hAnsi="Times New Roman"/>
        </w:rPr>
        <w:t xml:space="preserve"> </w:t>
      </w:r>
      <w:r>
        <w:rPr>
          <w:rFonts w:ascii="Times New Roman" w:hAnsi="Times New Roman"/>
        </w:rPr>
        <w:t>дијете</w:t>
      </w:r>
      <w:r w:rsidR="00C446C3" w:rsidRPr="00295637">
        <w:rPr>
          <w:rFonts w:ascii="Times New Roman" w:hAnsi="Times New Roman"/>
        </w:rPr>
        <w:t xml:space="preserve"> </w:t>
      </w:r>
      <w:r>
        <w:rPr>
          <w:rFonts w:ascii="Times New Roman" w:hAnsi="Times New Roman"/>
        </w:rPr>
        <w:t>као</w:t>
      </w:r>
      <w:r w:rsidR="00C446C3" w:rsidRPr="00295637">
        <w:rPr>
          <w:rFonts w:ascii="Times New Roman" w:hAnsi="Times New Roman"/>
        </w:rPr>
        <w:t xml:space="preserve"> </w:t>
      </w:r>
      <w:r>
        <w:rPr>
          <w:rFonts w:ascii="Times New Roman" w:hAnsi="Times New Roman"/>
        </w:rPr>
        <w:t>жртва</w:t>
      </w:r>
      <w:r w:rsidR="00C446C3" w:rsidRPr="00295637">
        <w:rPr>
          <w:rFonts w:ascii="Times New Roman" w:hAnsi="Times New Roman"/>
        </w:rPr>
        <w:t xml:space="preserve"> </w:t>
      </w:r>
      <w:r>
        <w:rPr>
          <w:rFonts w:ascii="Times New Roman" w:hAnsi="Times New Roman"/>
        </w:rPr>
        <w:t>насиља</w:t>
      </w:r>
      <w:r w:rsidR="00C446C3" w:rsidRPr="00295637">
        <w:rPr>
          <w:rFonts w:ascii="Times New Roman" w:hAnsi="Times New Roman"/>
        </w:rPr>
        <w:t xml:space="preserve"> </w:t>
      </w:r>
      <w:r>
        <w:rPr>
          <w:rFonts w:ascii="Times New Roman" w:hAnsi="Times New Roman"/>
        </w:rPr>
        <w:t>у</w:t>
      </w:r>
      <w:r w:rsidR="00C446C3" w:rsidRPr="00295637">
        <w:rPr>
          <w:rFonts w:ascii="Times New Roman" w:hAnsi="Times New Roman"/>
        </w:rPr>
        <w:t xml:space="preserve"> </w:t>
      </w:r>
      <w:r>
        <w:rPr>
          <w:rFonts w:ascii="Times New Roman" w:hAnsi="Times New Roman"/>
        </w:rPr>
        <w:t>породици</w:t>
      </w:r>
      <w:r w:rsidR="00C446C3" w:rsidRPr="00295637">
        <w:rPr>
          <w:rFonts w:ascii="Times New Roman" w:hAnsi="Times New Roman"/>
        </w:rPr>
        <w:t>.</w:t>
      </w:r>
    </w:p>
    <w:p w:rsidR="00C446C3" w:rsidRPr="00295637" w:rsidRDefault="00C446C3" w:rsidP="0086268D">
      <w:pPr>
        <w:tabs>
          <w:tab w:val="left" w:pos="284"/>
          <w:tab w:val="left" w:pos="567"/>
          <w:tab w:val="left" w:pos="630"/>
          <w:tab w:val="left" w:pos="1260"/>
          <w:tab w:val="left" w:pos="1620"/>
          <w:tab w:val="left" w:pos="1710"/>
        </w:tabs>
        <w:jc w:val="both"/>
        <w:rPr>
          <w:rFonts w:ascii="Times New Roman" w:hAnsi="Times New Roman"/>
        </w:rPr>
      </w:pPr>
    </w:p>
    <w:p w:rsidR="00356C2C" w:rsidRDefault="00C6214E"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r>
        <w:rPr>
          <w:rFonts w:ascii="Times New Roman" w:hAnsi="Times New Roman"/>
          <w:szCs w:val="24"/>
          <w:lang w:val="bs-Latn-BA"/>
        </w:rPr>
        <w:t>Кампања</w:t>
      </w:r>
      <w:r w:rsidR="009013AA" w:rsidRPr="00295637">
        <w:rPr>
          <w:rFonts w:ascii="Times New Roman" w:hAnsi="Times New Roman"/>
          <w:szCs w:val="24"/>
          <w:lang w:val="bs-Latn-BA"/>
        </w:rPr>
        <w:t xml:space="preserve"> </w:t>
      </w:r>
      <w:r>
        <w:rPr>
          <w:rFonts w:ascii="Times New Roman" w:hAnsi="Times New Roman"/>
          <w:szCs w:val="24"/>
          <w:lang w:val="bs-Latn-BA"/>
        </w:rPr>
        <w:t>ГЦ</w:t>
      </w:r>
      <w:r w:rsidR="000A63E7">
        <w:rPr>
          <w:rFonts w:ascii="Times New Roman" w:hAnsi="Times New Roman"/>
          <w:szCs w:val="24"/>
          <w:lang w:val="bs-Latn-BA"/>
        </w:rPr>
        <w:t xml:space="preserve"> </w:t>
      </w:r>
      <w:r>
        <w:rPr>
          <w:rFonts w:ascii="Times New Roman" w:hAnsi="Times New Roman"/>
          <w:szCs w:val="24"/>
          <w:lang w:val="bs-Latn-BA"/>
        </w:rPr>
        <w:t>ФБиХ</w:t>
      </w:r>
      <w:r w:rsidR="009013AA" w:rsidRPr="00295637">
        <w:rPr>
          <w:rFonts w:ascii="Times New Roman" w:hAnsi="Times New Roman"/>
          <w:szCs w:val="24"/>
          <w:lang w:val="bs-Latn-BA"/>
        </w:rPr>
        <w:t xml:space="preserve"> „#</w:t>
      </w:r>
      <w:r>
        <w:rPr>
          <w:rFonts w:ascii="Times New Roman" w:hAnsi="Times New Roman"/>
          <w:szCs w:val="24"/>
          <w:lang w:val="bs-Latn-BA"/>
        </w:rPr>
        <w:t>бољевако</w:t>
      </w:r>
      <w:r w:rsidR="009013AA" w:rsidRPr="00295637">
        <w:rPr>
          <w:rFonts w:ascii="Times New Roman" w:hAnsi="Times New Roman"/>
          <w:szCs w:val="24"/>
          <w:lang w:val="bs-Latn-BA"/>
        </w:rPr>
        <w:t xml:space="preserve">“ </w:t>
      </w:r>
      <w:r>
        <w:rPr>
          <w:rFonts w:ascii="Times New Roman" w:hAnsi="Times New Roman"/>
          <w:szCs w:val="24"/>
          <w:lang w:val="bs-Latn-BA"/>
        </w:rPr>
        <w:t>која</w:t>
      </w:r>
      <w:r w:rsidR="009013AA" w:rsidRPr="00295637">
        <w:rPr>
          <w:rFonts w:ascii="Times New Roman" w:hAnsi="Times New Roman"/>
          <w:szCs w:val="24"/>
          <w:lang w:val="bs-Latn-BA"/>
        </w:rPr>
        <w:t xml:space="preserve"> </w:t>
      </w:r>
      <w:r>
        <w:rPr>
          <w:rFonts w:ascii="Times New Roman" w:hAnsi="Times New Roman"/>
          <w:szCs w:val="24"/>
          <w:lang w:val="bs-Latn-BA"/>
        </w:rPr>
        <w:t>кроз</w:t>
      </w:r>
      <w:r w:rsidR="009013AA" w:rsidRPr="00295637">
        <w:rPr>
          <w:rFonts w:ascii="Times New Roman" w:hAnsi="Times New Roman"/>
          <w:szCs w:val="24"/>
          <w:lang w:val="bs-Latn-BA"/>
        </w:rPr>
        <w:t xml:space="preserve"> </w:t>
      </w:r>
      <w:r>
        <w:rPr>
          <w:rFonts w:ascii="Times New Roman" w:hAnsi="Times New Roman"/>
          <w:szCs w:val="24"/>
          <w:lang w:val="bs-Latn-BA"/>
        </w:rPr>
        <w:t>видео</w:t>
      </w:r>
      <w:r w:rsidR="009013AA" w:rsidRPr="00295637">
        <w:rPr>
          <w:rFonts w:ascii="Times New Roman" w:hAnsi="Times New Roman"/>
          <w:szCs w:val="24"/>
          <w:lang w:val="bs-Latn-BA"/>
        </w:rPr>
        <w:t xml:space="preserve"> </w:t>
      </w:r>
      <w:r>
        <w:rPr>
          <w:rFonts w:ascii="Times New Roman" w:hAnsi="Times New Roman"/>
          <w:szCs w:val="24"/>
          <w:lang w:val="bs-Latn-BA"/>
        </w:rPr>
        <w:t>спотове</w:t>
      </w:r>
      <w:r w:rsidR="009013AA" w:rsidRPr="00295637">
        <w:rPr>
          <w:rFonts w:ascii="Times New Roman" w:hAnsi="Times New Roman"/>
          <w:szCs w:val="24"/>
          <w:lang w:val="bs-Latn-BA"/>
        </w:rPr>
        <w:t xml:space="preserve"> </w:t>
      </w:r>
      <w:r>
        <w:rPr>
          <w:rFonts w:ascii="Times New Roman" w:hAnsi="Times New Roman"/>
          <w:szCs w:val="24"/>
          <w:lang w:val="bs-Latn-BA"/>
        </w:rPr>
        <w:t>обрађује</w:t>
      </w:r>
      <w:r w:rsidR="009013AA" w:rsidRPr="00295637">
        <w:rPr>
          <w:rFonts w:ascii="Times New Roman" w:hAnsi="Times New Roman"/>
          <w:szCs w:val="24"/>
          <w:lang w:val="bs-Latn-BA"/>
        </w:rPr>
        <w:t xml:space="preserve"> </w:t>
      </w:r>
      <w:r>
        <w:rPr>
          <w:rFonts w:ascii="Times New Roman" w:hAnsi="Times New Roman"/>
          <w:szCs w:val="24"/>
          <w:lang w:val="bs-Latn-BA"/>
        </w:rPr>
        <w:t>факторе</w:t>
      </w:r>
      <w:r w:rsidR="009013AA" w:rsidRPr="00295637">
        <w:rPr>
          <w:rFonts w:ascii="Times New Roman" w:hAnsi="Times New Roman"/>
          <w:szCs w:val="24"/>
          <w:lang w:val="bs-Latn-BA"/>
        </w:rPr>
        <w:t xml:space="preserve"> </w:t>
      </w:r>
      <w:r>
        <w:rPr>
          <w:rFonts w:ascii="Times New Roman" w:hAnsi="Times New Roman"/>
          <w:szCs w:val="24"/>
          <w:lang w:val="bs-Latn-BA"/>
        </w:rPr>
        <w:t>ризика</w:t>
      </w:r>
      <w:r w:rsidR="009013AA" w:rsidRPr="00295637">
        <w:rPr>
          <w:rFonts w:ascii="Times New Roman" w:hAnsi="Times New Roman"/>
          <w:szCs w:val="24"/>
          <w:lang w:val="bs-Latn-BA"/>
        </w:rPr>
        <w:t xml:space="preserve"> </w:t>
      </w:r>
      <w:r>
        <w:rPr>
          <w:rFonts w:ascii="Times New Roman" w:hAnsi="Times New Roman"/>
          <w:szCs w:val="24"/>
          <w:lang w:val="bs-Latn-BA"/>
        </w:rPr>
        <w:t>на</w:t>
      </w:r>
      <w:r w:rsidR="009013AA" w:rsidRPr="00295637">
        <w:rPr>
          <w:rFonts w:ascii="Times New Roman" w:hAnsi="Times New Roman"/>
          <w:szCs w:val="24"/>
          <w:lang w:val="bs-Latn-BA"/>
        </w:rPr>
        <w:t xml:space="preserve"> </w:t>
      </w:r>
      <w:r>
        <w:rPr>
          <w:rFonts w:ascii="Times New Roman" w:hAnsi="Times New Roman"/>
          <w:szCs w:val="24"/>
          <w:lang w:val="bs-Latn-BA"/>
        </w:rPr>
        <w:t>насиље</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неравноправност</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оквиру</w:t>
      </w:r>
      <w:r w:rsidR="009013AA" w:rsidRPr="00295637">
        <w:rPr>
          <w:rFonts w:ascii="Times New Roman" w:hAnsi="Times New Roman"/>
          <w:szCs w:val="24"/>
          <w:lang w:val="bs-Latn-BA"/>
        </w:rPr>
        <w:t xml:space="preserve"> </w:t>
      </w:r>
      <w:r>
        <w:rPr>
          <w:rFonts w:ascii="Times New Roman" w:hAnsi="Times New Roman"/>
          <w:szCs w:val="24"/>
          <w:lang w:val="bs-Latn-BA"/>
        </w:rPr>
        <w:t>једног</w:t>
      </w:r>
      <w:r w:rsidR="009013AA" w:rsidRPr="00295637">
        <w:rPr>
          <w:rFonts w:ascii="Times New Roman" w:hAnsi="Times New Roman"/>
          <w:szCs w:val="24"/>
          <w:lang w:val="bs-Latn-BA"/>
        </w:rPr>
        <w:t xml:space="preserve"> </w:t>
      </w:r>
      <w:r>
        <w:rPr>
          <w:rFonts w:ascii="Times New Roman" w:hAnsi="Times New Roman"/>
          <w:szCs w:val="24"/>
          <w:lang w:val="bs-Latn-BA"/>
        </w:rPr>
        <w:t>од</w:t>
      </w:r>
      <w:r w:rsidR="009013AA" w:rsidRPr="00295637">
        <w:rPr>
          <w:rFonts w:ascii="Times New Roman" w:hAnsi="Times New Roman"/>
          <w:szCs w:val="24"/>
          <w:lang w:val="bs-Latn-BA"/>
        </w:rPr>
        <w:t xml:space="preserve"> </w:t>
      </w:r>
      <w:r>
        <w:rPr>
          <w:rFonts w:ascii="Times New Roman" w:hAnsi="Times New Roman"/>
          <w:szCs w:val="24"/>
          <w:lang w:val="bs-Latn-BA"/>
        </w:rPr>
        <w:t>спотова</w:t>
      </w:r>
      <w:r w:rsidR="009013AA" w:rsidRPr="00295637">
        <w:rPr>
          <w:rFonts w:ascii="Times New Roman" w:hAnsi="Times New Roman"/>
          <w:szCs w:val="24"/>
          <w:lang w:val="bs-Latn-BA"/>
        </w:rPr>
        <w:t xml:space="preserve"> </w:t>
      </w:r>
      <w:r>
        <w:rPr>
          <w:rFonts w:ascii="Times New Roman" w:hAnsi="Times New Roman"/>
          <w:szCs w:val="24"/>
          <w:lang w:val="bs-Latn-BA"/>
        </w:rPr>
        <w:t>посебан</w:t>
      </w:r>
      <w:r w:rsidR="009013AA" w:rsidRPr="00295637">
        <w:rPr>
          <w:rFonts w:ascii="Times New Roman" w:hAnsi="Times New Roman"/>
          <w:szCs w:val="24"/>
          <w:lang w:val="bs-Latn-BA"/>
        </w:rPr>
        <w:t xml:space="preserve"> </w:t>
      </w:r>
      <w:r>
        <w:rPr>
          <w:rFonts w:ascii="Times New Roman" w:hAnsi="Times New Roman"/>
          <w:szCs w:val="24"/>
          <w:lang w:val="bs-Latn-BA"/>
        </w:rPr>
        <w:t>фокус</w:t>
      </w:r>
      <w:r w:rsidR="009013AA" w:rsidRPr="00295637">
        <w:rPr>
          <w:rFonts w:ascii="Times New Roman" w:hAnsi="Times New Roman"/>
          <w:szCs w:val="24"/>
          <w:lang w:val="bs-Latn-BA"/>
        </w:rPr>
        <w:t xml:space="preserve"> </w:t>
      </w:r>
      <w:r>
        <w:rPr>
          <w:rFonts w:ascii="Times New Roman" w:hAnsi="Times New Roman"/>
          <w:szCs w:val="24"/>
          <w:lang w:val="bs-Latn-BA"/>
        </w:rPr>
        <w:t>ставља</w:t>
      </w:r>
      <w:r w:rsidR="009013AA" w:rsidRPr="00295637">
        <w:rPr>
          <w:rFonts w:ascii="Times New Roman" w:hAnsi="Times New Roman"/>
          <w:szCs w:val="24"/>
          <w:lang w:val="bs-Latn-BA"/>
        </w:rPr>
        <w:t xml:space="preserve"> </w:t>
      </w:r>
      <w:r>
        <w:rPr>
          <w:rFonts w:ascii="Times New Roman" w:hAnsi="Times New Roman"/>
          <w:szCs w:val="24"/>
          <w:lang w:val="bs-Latn-BA"/>
        </w:rPr>
        <w:t>на</w:t>
      </w:r>
      <w:r w:rsidR="004C069B">
        <w:rPr>
          <w:rFonts w:ascii="Times New Roman" w:hAnsi="Times New Roman"/>
          <w:szCs w:val="24"/>
          <w:lang w:val="bs-Latn-BA"/>
        </w:rPr>
        <w:t xml:space="preserve"> </w:t>
      </w:r>
      <w:r>
        <w:rPr>
          <w:rFonts w:ascii="Times New Roman" w:hAnsi="Times New Roman"/>
          <w:szCs w:val="24"/>
          <w:lang w:val="bs-Latn-BA"/>
        </w:rPr>
        <w:t>улогу</w:t>
      </w:r>
      <w:r w:rsidR="004C069B">
        <w:rPr>
          <w:rFonts w:ascii="Times New Roman" w:hAnsi="Times New Roman"/>
          <w:szCs w:val="24"/>
          <w:lang w:val="bs-Latn-BA"/>
        </w:rPr>
        <w:t xml:space="preserve"> </w:t>
      </w:r>
      <w:r>
        <w:rPr>
          <w:rFonts w:ascii="Times New Roman" w:hAnsi="Times New Roman"/>
          <w:szCs w:val="24"/>
          <w:lang w:val="bs-Latn-BA"/>
        </w:rPr>
        <w:t>жена</w:t>
      </w:r>
      <w:r w:rsidR="004C069B">
        <w:rPr>
          <w:rFonts w:ascii="Times New Roman" w:hAnsi="Times New Roman"/>
          <w:szCs w:val="24"/>
          <w:lang w:val="bs-Latn-BA"/>
        </w:rPr>
        <w:t xml:space="preserve"> </w:t>
      </w:r>
      <w:r>
        <w:rPr>
          <w:rFonts w:ascii="Times New Roman" w:hAnsi="Times New Roman"/>
          <w:szCs w:val="24"/>
          <w:lang w:val="bs-Latn-BA"/>
        </w:rPr>
        <w:t>у</w:t>
      </w:r>
      <w:r w:rsidR="004C069B">
        <w:rPr>
          <w:rFonts w:ascii="Times New Roman" w:hAnsi="Times New Roman"/>
          <w:szCs w:val="24"/>
          <w:lang w:val="bs-Latn-BA"/>
        </w:rPr>
        <w:t xml:space="preserve"> </w:t>
      </w:r>
      <w:r>
        <w:rPr>
          <w:rFonts w:ascii="Times New Roman" w:hAnsi="Times New Roman"/>
          <w:szCs w:val="24"/>
          <w:lang w:val="bs-Latn-BA"/>
        </w:rPr>
        <w:t>равноправном</w:t>
      </w:r>
      <w:r w:rsidR="009013AA" w:rsidRPr="00295637">
        <w:rPr>
          <w:rFonts w:ascii="Times New Roman" w:hAnsi="Times New Roman"/>
          <w:szCs w:val="24"/>
          <w:lang w:val="bs-Latn-BA"/>
        </w:rPr>
        <w:t xml:space="preserve"> </w:t>
      </w:r>
      <w:r>
        <w:rPr>
          <w:rFonts w:ascii="Times New Roman" w:hAnsi="Times New Roman"/>
          <w:szCs w:val="24"/>
          <w:lang w:val="bs-Latn-BA"/>
        </w:rPr>
        <w:t>процесу</w:t>
      </w:r>
      <w:r w:rsidR="009013AA" w:rsidRPr="00295637">
        <w:rPr>
          <w:rFonts w:ascii="Times New Roman" w:hAnsi="Times New Roman"/>
          <w:szCs w:val="24"/>
          <w:lang w:val="bs-Latn-BA"/>
        </w:rPr>
        <w:t xml:space="preserve"> </w:t>
      </w:r>
      <w:r>
        <w:rPr>
          <w:rFonts w:ascii="Times New Roman" w:hAnsi="Times New Roman"/>
          <w:szCs w:val="24"/>
          <w:lang w:val="bs-Latn-BA"/>
        </w:rPr>
        <w:t>одлучивања</w:t>
      </w:r>
      <w:r w:rsidR="00415C8A" w:rsidRPr="00295637">
        <w:rPr>
          <w:rFonts w:ascii="Times New Roman" w:hAnsi="Times New Roman"/>
          <w:szCs w:val="24"/>
          <w:lang w:val="bs-Latn-BA"/>
        </w:rPr>
        <w:t>.</w:t>
      </w:r>
    </w:p>
    <w:p w:rsidR="00961642" w:rsidRDefault="00961642" w:rsidP="0086268D">
      <w:pPr>
        <w:tabs>
          <w:tab w:val="left" w:pos="284"/>
          <w:tab w:val="left" w:pos="567"/>
          <w:tab w:val="left" w:pos="630"/>
          <w:tab w:val="left" w:pos="1260"/>
          <w:tab w:val="left" w:pos="1620"/>
          <w:tab w:val="left" w:pos="1710"/>
        </w:tabs>
        <w:jc w:val="both"/>
        <w:rPr>
          <w:rFonts w:ascii="Times New Roman" w:hAnsi="Times New Roman"/>
          <w:lang w:val="sr-Latn-BA"/>
        </w:rPr>
      </w:pPr>
    </w:p>
    <w:p w:rsidR="00961642" w:rsidRPr="00295637" w:rsidRDefault="00C6214E"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r>
        <w:rPr>
          <w:rFonts w:ascii="Times New Roman" w:hAnsi="Times New Roman"/>
          <w:lang w:val="sr-Latn-BA"/>
        </w:rPr>
        <w:t>ЦЈРП</w:t>
      </w:r>
      <w:r w:rsidR="004C069B">
        <w:rPr>
          <w:rFonts w:ascii="Times New Roman" w:hAnsi="Times New Roman"/>
          <w:lang w:val="sr-Latn-BA"/>
        </w:rPr>
        <w:t xml:space="preserve"> </w:t>
      </w:r>
      <w:r>
        <w:rPr>
          <w:rFonts w:ascii="Times New Roman" w:hAnsi="Times New Roman"/>
          <w:lang w:val="sr-Latn-BA"/>
        </w:rPr>
        <w:t>РС</w:t>
      </w:r>
      <w:r w:rsidR="004C069B">
        <w:rPr>
          <w:rFonts w:ascii="Times New Roman" w:hAnsi="Times New Roman"/>
          <w:lang w:val="sr-Latn-BA"/>
        </w:rPr>
        <w:t xml:space="preserve"> </w:t>
      </w:r>
      <w:r w:rsidR="00237A50">
        <w:rPr>
          <w:rFonts w:ascii="Times New Roman" w:hAnsi="Times New Roman"/>
          <w:lang w:val="sr-Latn-BA"/>
        </w:rPr>
        <w:t xml:space="preserve">је </w:t>
      </w:r>
      <w:r>
        <w:rPr>
          <w:rFonts w:ascii="Times New Roman" w:hAnsi="Times New Roman"/>
          <w:lang w:val="sr-Latn-BA"/>
        </w:rPr>
        <w:t>реализ</w:t>
      </w:r>
      <w:r w:rsidR="00237A50">
        <w:rPr>
          <w:rFonts w:ascii="Times New Roman" w:hAnsi="Times New Roman"/>
          <w:lang w:val="sr-Cyrl-BA"/>
        </w:rPr>
        <w:t>овао</w:t>
      </w:r>
      <w:r w:rsidR="004C069B">
        <w:rPr>
          <w:rFonts w:ascii="Times New Roman" w:hAnsi="Times New Roman"/>
          <w:lang w:val="sr-Latn-BA"/>
        </w:rPr>
        <w:t xml:space="preserve"> </w:t>
      </w:r>
      <w:r>
        <w:rPr>
          <w:rFonts w:ascii="Times New Roman" w:hAnsi="Times New Roman"/>
          <w:lang w:val="sr-Latn-BA"/>
        </w:rPr>
        <w:t>бројне</w:t>
      </w:r>
      <w:r w:rsidR="004C069B">
        <w:rPr>
          <w:rFonts w:ascii="Times New Roman" w:hAnsi="Times New Roman"/>
          <w:lang w:val="sr-Latn-BA"/>
        </w:rPr>
        <w:t xml:space="preserve"> </w:t>
      </w:r>
      <w:r>
        <w:rPr>
          <w:rFonts w:ascii="Times New Roman" w:hAnsi="Times New Roman"/>
          <w:lang w:val="sr-Latn-BA"/>
        </w:rPr>
        <w:t>кампање</w:t>
      </w:r>
      <w:r w:rsidR="004C069B">
        <w:rPr>
          <w:rFonts w:ascii="Times New Roman" w:hAnsi="Times New Roman"/>
          <w:lang w:val="sr-Latn-BA"/>
        </w:rPr>
        <w:t xml:space="preserve"> (</w:t>
      </w:r>
      <w:r w:rsidR="00961642" w:rsidRPr="00D136F9">
        <w:rPr>
          <w:rFonts w:ascii="Times New Roman" w:hAnsi="Times New Roman"/>
          <w:lang w:val="sr-Latn-BA"/>
        </w:rPr>
        <w:t>„</w:t>
      </w:r>
      <w:r>
        <w:rPr>
          <w:rFonts w:ascii="Times New Roman" w:hAnsi="Times New Roman"/>
          <w:lang w:val="sr-Latn-BA"/>
        </w:rPr>
        <w:t>Бијела</w:t>
      </w:r>
      <w:r w:rsidR="00961642" w:rsidRPr="00D136F9">
        <w:rPr>
          <w:rFonts w:ascii="Times New Roman" w:hAnsi="Times New Roman"/>
          <w:lang w:val="sr-Latn-BA"/>
        </w:rPr>
        <w:t xml:space="preserve"> </w:t>
      </w:r>
      <w:r>
        <w:rPr>
          <w:rFonts w:ascii="Times New Roman" w:hAnsi="Times New Roman"/>
          <w:lang w:val="sr-Latn-BA"/>
        </w:rPr>
        <w:t>врпца</w:t>
      </w:r>
      <w:r w:rsidR="000A63E7">
        <w:rPr>
          <w:rFonts w:ascii="Times New Roman" w:hAnsi="Times New Roman"/>
          <w:lang w:val="sr-Latn-BA"/>
        </w:rPr>
        <w:t xml:space="preserve"> - </w:t>
      </w:r>
      <w:r>
        <w:rPr>
          <w:rFonts w:ascii="Times New Roman" w:hAnsi="Times New Roman"/>
          <w:lang w:val="sr-Latn-BA"/>
        </w:rPr>
        <w:t>Мушко</w:t>
      </w:r>
      <w:r w:rsidR="000A63E7">
        <w:rPr>
          <w:rFonts w:ascii="Times New Roman" w:hAnsi="Times New Roman"/>
          <w:lang w:val="sr-Latn-BA"/>
        </w:rPr>
        <w:t xml:space="preserve"> </w:t>
      </w:r>
      <w:r>
        <w:rPr>
          <w:rFonts w:ascii="Times New Roman" w:hAnsi="Times New Roman"/>
          <w:lang w:val="sr-Latn-BA"/>
        </w:rPr>
        <w:t>НЕ</w:t>
      </w:r>
      <w:r w:rsidR="000A63E7">
        <w:rPr>
          <w:rFonts w:ascii="Times New Roman" w:hAnsi="Times New Roman"/>
          <w:lang w:val="sr-Latn-BA"/>
        </w:rPr>
        <w:t xml:space="preserve"> </w:t>
      </w:r>
      <w:r>
        <w:rPr>
          <w:rFonts w:ascii="Times New Roman" w:hAnsi="Times New Roman"/>
          <w:lang w:val="sr-Latn-BA"/>
        </w:rPr>
        <w:t>насиљу</w:t>
      </w:r>
      <w:r w:rsidR="000A63E7">
        <w:rPr>
          <w:rFonts w:ascii="Times New Roman" w:hAnsi="Times New Roman"/>
          <w:lang w:val="sr-Latn-BA"/>
        </w:rPr>
        <w:t xml:space="preserve"> </w:t>
      </w:r>
      <w:r>
        <w:rPr>
          <w:rFonts w:ascii="Times New Roman" w:hAnsi="Times New Roman"/>
          <w:lang w:val="sr-Latn-BA"/>
        </w:rPr>
        <w:t>над</w:t>
      </w:r>
      <w:r w:rsidR="000A63E7">
        <w:rPr>
          <w:rFonts w:ascii="Times New Roman" w:hAnsi="Times New Roman"/>
          <w:lang w:val="sr-Latn-BA"/>
        </w:rPr>
        <w:t xml:space="preserve"> </w:t>
      </w:r>
      <w:r>
        <w:rPr>
          <w:rFonts w:ascii="Times New Roman" w:hAnsi="Times New Roman"/>
          <w:lang w:val="sr-Latn-BA"/>
        </w:rPr>
        <w:t>женама</w:t>
      </w:r>
      <w:r w:rsidR="000A63E7">
        <w:rPr>
          <w:rFonts w:ascii="Times New Roman" w:hAnsi="Times New Roman"/>
          <w:lang w:val="sr-Latn-BA"/>
        </w:rPr>
        <w:t>“,</w:t>
      </w:r>
      <w:r w:rsidR="00961642" w:rsidRPr="00D136F9">
        <w:rPr>
          <w:rFonts w:ascii="Times New Roman" w:hAnsi="Times New Roman"/>
          <w:lang w:val="sr-Latn-BA"/>
        </w:rPr>
        <w:t xml:space="preserve"> </w:t>
      </w:r>
      <w:r w:rsidR="00961642" w:rsidRPr="00D136F9">
        <w:rPr>
          <w:rFonts w:ascii="Times New Roman" w:hAnsi="Times New Roman"/>
          <w:lang w:val="sr-Cyrl-BA"/>
        </w:rPr>
        <w:t>„</w:t>
      </w:r>
      <w:r>
        <w:rPr>
          <w:rFonts w:ascii="Times New Roman" w:hAnsi="Times New Roman"/>
          <w:lang w:val="sr-Cyrl-BA"/>
        </w:rPr>
        <w:t>Бирај</w:t>
      </w:r>
      <w:r w:rsidR="00961642" w:rsidRPr="00D136F9">
        <w:rPr>
          <w:rFonts w:ascii="Times New Roman" w:hAnsi="Times New Roman"/>
          <w:lang w:val="sr-Cyrl-BA"/>
        </w:rPr>
        <w:t xml:space="preserve"> </w:t>
      </w:r>
      <w:r>
        <w:rPr>
          <w:rFonts w:ascii="Times New Roman" w:hAnsi="Times New Roman"/>
          <w:lang w:val="sr-Cyrl-BA"/>
        </w:rPr>
        <w:t>равноправно</w:t>
      </w:r>
      <w:r w:rsidR="00961642" w:rsidRPr="00D136F9">
        <w:rPr>
          <w:rFonts w:ascii="Times New Roman" w:hAnsi="Times New Roman"/>
          <w:lang w:val="sr-Cyrl-BA"/>
        </w:rPr>
        <w:t>“</w:t>
      </w:r>
      <w:r w:rsidR="00961642" w:rsidRPr="00D136F9">
        <w:rPr>
          <w:rFonts w:ascii="Times New Roman" w:hAnsi="Times New Roman"/>
          <w:lang w:val="sr-Latn-BA"/>
        </w:rPr>
        <w:t xml:space="preserve"> </w:t>
      </w:r>
      <w:r>
        <w:rPr>
          <w:rFonts w:ascii="Times New Roman" w:hAnsi="Times New Roman"/>
          <w:lang w:val="sr-Latn-BA"/>
        </w:rPr>
        <w:t>и</w:t>
      </w:r>
      <w:r w:rsidR="00961642" w:rsidRPr="00D136F9">
        <w:rPr>
          <w:rFonts w:ascii="Times New Roman" w:hAnsi="Times New Roman"/>
          <w:lang w:val="sr-Latn-BA"/>
        </w:rPr>
        <w:t xml:space="preserve"> </w:t>
      </w:r>
      <w:r>
        <w:rPr>
          <w:rFonts w:ascii="Times New Roman" w:hAnsi="Times New Roman"/>
          <w:lang w:val="sr-Latn-BA"/>
        </w:rPr>
        <w:t>друге</w:t>
      </w:r>
      <w:r w:rsidR="004C069B">
        <w:rPr>
          <w:rFonts w:ascii="Times New Roman" w:hAnsi="Times New Roman"/>
          <w:lang w:val="sr-Latn-BA"/>
        </w:rPr>
        <w:t>)</w:t>
      </w:r>
      <w:r w:rsidR="00961642" w:rsidRPr="00D136F9">
        <w:rPr>
          <w:rFonts w:ascii="Times New Roman" w:hAnsi="Times New Roman"/>
          <w:lang w:val="sr-Latn-BA"/>
        </w:rPr>
        <w:t xml:space="preserve"> </w:t>
      </w:r>
      <w:r>
        <w:rPr>
          <w:rFonts w:ascii="Times New Roman" w:hAnsi="Times New Roman"/>
          <w:lang w:val="sr-Latn-BA"/>
        </w:rPr>
        <w:t>које</w:t>
      </w:r>
      <w:r w:rsidR="00961642" w:rsidRPr="00D136F9">
        <w:rPr>
          <w:rFonts w:ascii="Times New Roman" w:hAnsi="Times New Roman"/>
          <w:lang w:val="sr-Latn-BA"/>
        </w:rPr>
        <w:t xml:space="preserve"> </w:t>
      </w:r>
      <w:r>
        <w:rPr>
          <w:rFonts w:ascii="Times New Roman" w:hAnsi="Times New Roman"/>
          <w:lang w:val="bs-Latn-BA"/>
        </w:rPr>
        <w:t>промови</w:t>
      </w:r>
      <w:r w:rsidR="00237A50">
        <w:rPr>
          <w:rFonts w:ascii="Times New Roman" w:hAnsi="Times New Roman"/>
          <w:lang w:val="sr-Cyrl-BA"/>
        </w:rPr>
        <w:t>шу</w:t>
      </w:r>
      <w:r w:rsidR="00961642" w:rsidRPr="00D136F9">
        <w:rPr>
          <w:rFonts w:ascii="Times New Roman" w:hAnsi="Times New Roman"/>
          <w:lang w:val="bs-Latn-BA"/>
        </w:rPr>
        <w:t xml:space="preserve"> </w:t>
      </w:r>
      <w:r>
        <w:rPr>
          <w:rFonts w:ascii="Times New Roman" w:hAnsi="Times New Roman"/>
          <w:lang w:val="bs-Latn-BA"/>
        </w:rPr>
        <w:t>равноправан</w:t>
      </w:r>
      <w:r w:rsidR="00961642" w:rsidRPr="00D136F9">
        <w:rPr>
          <w:rFonts w:ascii="Times New Roman" w:hAnsi="Times New Roman"/>
          <w:lang w:val="bs-Latn-BA"/>
        </w:rPr>
        <w:t xml:space="preserve"> </w:t>
      </w:r>
      <w:r>
        <w:rPr>
          <w:rFonts w:ascii="Times New Roman" w:hAnsi="Times New Roman"/>
          <w:lang w:val="bs-Latn-BA"/>
        </w:rPr>
        <w:t>статус</w:t>
      </w:r>
      <w:r w:rsidR="00961642" w:rsidRPr="00D136F9">
        <w:rPr>
          <w:rFonts w:ascii="Times New Roman" w:hAnsi="Times New Roman"/>
          <w:lang w:val="bs-Latn-BA"/>
        </w:rPr>
        <w:t xml:space="preserve"> </w:t>
      </w:r>
      <w:r>
        <w:rPr>
          <w:rFonts w:ascii="Times New Roman" w:hAnsi="Times New Roman"/>
          <w:lang w:val="bs-Latn-BA"/>
        </w:rPr>
        <w:t>и</w:t>
      </w:r>
      <w:r w:rsidR="00961642" w:rsidRPr="00D136F9">
        <w:rPr>
          <w:rFonts w:ascii="Times New Roman" w:hAnsi="Times New Roman"/>
          <w:lang w:val="bs-Latn-BA"/>
        </w:rPr>
        <w:t xml:space="preserve"> </w:t>
      </w:r>
      <w:r>
        <w:rPr>
          <w:rFonts w:ascii="Times New Roman" w:hAnsi="Times New Roman"/>
          <w:lang w:val="bs-Latn-BA"/>
        </w:rPr>
        <w:t>улоге</w:t>
      </w:r>
      <w:r w:rsidR="00961642" w:rsidRPr="00D136F9">
        <w:rPr>
          <w:rFonts w:ascii="Times New Roman" w:hAnsi="Times New Roman"/>
          <w:lang w:val="bs-Latn-BA"/>
        </w:rPr>
        <w:t xml:space="preserve"> </w:t>
      </w:r>
      <w:r>
        <w:rPr>
          <w:rFonts w:ascii="Times New Roman" w:hAnsi="Times New Roman"/>
          <w:lang w:val="bs-Latn-BA"/>
        </w:rPr>
        <w:t>жена</w:t>
      </w:r>
      <w:r w:rsidR="00961642" w:rsidRPr="00D136F9">
        <w:rPr>
          <w:rFonts w:ascii="Times New Roman" w:hAnsi="Times New Roman"/>
          <w:lang w:val="bs-Latn-BA"/>
        </w:rPr>
        <w:t xml:space="preserve"> </w:t>
      </w:r>
      <w:r>
        <w:rPr>
          <w:rFonts w:ascii="Times New Roman" w:hAnsi="Times New Roman"/>
          <w:lang w:val="bs-Latn-BA"/>
        </w:rPr>
        <w:t>и</w:t>
      </w:r>
      <w:r w:rsidR="00961642" w:rsidRPr="00D136F9">
        <w:rPr>
          <w:rFonts w:ascii="Times New Roman" w:hAnsi="Times New Roman"/>
          <w:lang w:val="bs-Latn-BA"/>
        </w:rPr>
        <w:t xml:space="preserve"> </w:t>
      </w:r>
      <w:r>
        <w:rPr>
          <w:rFonts w:ascii="Times New Roman" w:hAnsi="Times New Roman"/>
          <w:lang w:val="bs-Latn-BA"/>
        </w:rPr>
        <w:t>мушкараца</w:t>
      </w:r>
      <w:r w:rsidR="00961642" w:rsidRPr="00D136F9">
        <w:rPr>
          <w:rFonts w:ascii="Times New Roman" w:hAnsi="Times New Roman"/>
          <w:lang w:val="bs-Latn-BA"/>
        </w:rPr>
        <w:t xml:space="preserve"> </w:t>
      </w:r>
      <w:r>
        <w:rPr>
          <w:rFonts w:ascii="Times New Roman" w:hAnsi="Times New Roman"/>
          <w:lang w:val="bs-Latn-BA"/>
        </w:rPr>
        <w:t>са</w:t>
      </w:r>
      <w:r w:rsidR="00961642" w:rsidRPr="00D136F9">
        <w:rPr>
          <w:rFonts w:ascii="Times New Roman" w:hAnsi="Times New Roman"/>
          <w:lang w:val="bs-Latn-BA"/>
        </w:rPr>
        <w:t xml:space="preserve"> </w:t>
      </w:r>
      <w:r>
        <w:rPr>
          <w:rFonts w:ascii="Times New Roman" w:hAnsi="Times New Roman"/>
          <w:lang w:val="bs-Latn-BA"/>
        </w:rPr>
        <w:t>пуним</w:t>
      </w:r>
      <w:r w:rsidR="00961642" w:rsidRPr="00D136F9">
        <w:rPr>
          <w:rFonts w:ascii="Times New Roman" w:hAnsi="Times New Roman"/>
          <w:lang w:val="bs-Latn-BA"/>
        </w:rPr>
        <w:t xml:space="preserve"> </w:t>
      </w:r>
      <w:r>
        <w:rPr>
          <w:rFonts w:ascii="Times New Roman" w:hAnsi="Times New Roman"/>
          <w:lang w:val="bs-Latn-BA"/>
        </w:rPr>
        <w:t>поштивањем</w:t>
      </w:r>
      <w:r w:rsidR="00961642" w:rsidRPr="00D136F9">
        <w:rPr>
          <w:rFonts w:ascii="Times New Roman" w:hAnsi="Times New Roman"/>
          <w:lang w:val="bs-Latn-BA"/>
        </w:rPr>
        <w:t xml:space="preserve"> </w:t>
      </w:r>
      <w:r>
        <w:rPr>
          <w:rFonts w:ascii="Times New Roman" w:hAnsi="Times New Roman"/>
          <w:lang w:val="bs-Latn-BA"/>
        </w:rPr>
        <w:t>њиховог</w:t>
      </w:r>
      <w:r w:rsidR="00961642" w:rsidRPr="00D136F9">
        <w:rPr>
          <w:rFonts w:ascii="Times New Roman" w:hAnsi="Times New Roman"/>
          <w:lang w:val="bs-Latn-BA"/>
        </w:rPr>
        <w:t xml:space="preserve"> </w:t>
      </w:r>
      <w:r>
        <w:rPr>
          <w:rFonts w:ascii="Times New Roman" w:hAnsi="Times New Roman"/>
          <w:lang w:val="bs-Latn-BA"/>
        </w:rPr>
        <w:t>људског</w:t>
      </w:r>
      <w:r w:rsidR="00961642" w:rsidRPr="00D136F9">
        <w:rPr>
          <w:rFonts w:ascii="Times New Roman" w:hAnsi="Times New Roman"/>
          <w:lang w:val="bs-Latn-BA"/>
        </w:rPr>
        <w:t xml:space="preserve"> </w:t>
      </w:r>
      <w:r>
        <w:rPr>
          <w:rFonts w:ascii="Times New Roman" w:hAnsi="Times New Roman"/>
          <w:lang w:val="bs-Latn-BA"/>
        </w:rPr>
        <w:t>достојанства</w:t>
      </w:r>
      <w:r w:rsidR="004C069B">
        <w:rPr>
          <w:rFonts w:ascii="Times New Roman" w:hAnsi="Times New Roman"/>
          <w:lang w:val="bs-Latn-BA"/>
        </w:rPr>
        <w:t>.</w:t>
      </w:r>
    </w:p>
    <w:p w:rsidR="00415C8A" w:rsidRDefault="00415C8A" w:rsidP="0086268D">
      <w:pPr>
        <w:rPr>
          <w:rFonts w:ascii="Times New Roman" w:hAnsi="Times New Roman"/>
          <w:szCs w:val="24"/>
          <w:lang w:val="bs-Latn-BA"/>
        </w:rPr>
      </w:pPr>
    </w:p>
    <w:p w:rsidR="005E0A29" w:rsidRPr="00295637" w:rsidRDefault="005E0A29" w:rsidP="0086268D">
      <w:pPr>
        <w:rPr>
          <w:rFonts w:ascii="Times New Roman" w:hAnsi="Times New Roman"/>
          <w:szCs w:val="24"/>
          <w:lang w:val="bs-Latn-BA"/>
        </w:rPr>
      </w:pPr>
    </w:p>
    <w:p w:rsidR="00356C2C" w:rsidRPr="00295637" w:rsidRDefault="00237A50" w:rsidP="00D06BDE">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eastAsia="bs-Latn-BA"/>
        </w:rPr>
      </w:pPr>
      <w:bookmarkStart w:id="66" w:name="_Toc195016604"/>
      <w:bookmarkStart w:id="67" w:name="_Toc332005659"/>
      <w:bookmarkStart w:id="68" w:name="_Toc332010890"/>
      <w:r w:rsidRPr="00237A50">
        <w:rPr>
          <w:rFonts w:ascii="Times New Roman" w:hAnsi="Times New Roman" w:cs="Times New Roman"/>
          <w:color w:val="548DD4" w:themeColor="text2" w:themeTint="99"/>
          <w:lang w:val="bs-Latn-BA" w:eastAsia="bs-Latn-BA"/>
        </w:rPr>
        <w:t>II</w:t>
      </w:r>
      <w:r w:rsidR="00D06BDE" w:rsidRPr="00D06BDE">
        <w:rPr>
          <w:rFonts w:ascii="Times New Roman" w:hAnsi="Times New Roman" w:cs="Times New Roman"/>
          <w:color w:val="548DD4" w:themeColor="text2" w:themeTint="99"/>
          <w:lang w:val="bs-Latn-BA" w:eastAsia="bs-Latn-BA"/>
        </w:rPr>
        <w:t xml:space="preserve"> 5. </w:t>
      </w:r>
      <w:r w:rsidR="00C6214E">
        <w:rPr>
          <w:rFonts w:ascii="Times New Roman" w:hAnsi="Times New Roman" w:cs="Times New Roman"/>
          <w:lang w:val="bs-Latn-BA" w:eastAsia="bs-Latn-BA"/>
        </w:rPr>
        <w:t>Подршка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институционалним</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и</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ванинституционалним</w:t>
      </w:r>
      <w:r w:rsidR="000A63E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партнерима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у</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процесу</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укључивања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принципа</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равноправности</w:t>
      </w:r>
      <w:r w:rsidR="00356C2C" w:rsidRPr="00295637">
        <w:rPr>
          <w:rFonts w:ascii="Times New Roman" w:hAnsi="Times New Roman" w:cs="Times New Roman"/>
          <w:lang w:val="bs-Latn-BA" w:eastAsia="bs-Latn-BA"/>
        </w:rPr>
        <w:t xml:space="preserve"> </w:t>
      </w:r>
      <w:r w:rsidR="00C6214E">
        <w:rPr>
          <w:rFonts w:ascii="Times New Roman" w:hAnsi="Times New Roman" w:cs="Times New Roman"/>
          <w:lang w:val="bs-Latn-BA" w:eastAsia="bs-Latn-BA"/>
        </w:rPr>
        <w:t>полова</w:t>
      </w:r>
      <w:bookmarkEnd w:id="66"/>
      <w:r w:rsidR="00356C2C" w:rsidRPr="00295637">
        <w:rPr>
          <w:rFonts w:ascii="Times New Roman" w:hAnsi="Times New Roman" w:cs="Times New Roman"/>
          <w:lang w:val="bs-Latn-BA" w:eastAsia="bs-Latn-BA"/>
        </w:rPr>
        <w:t xml:space="preserve"> </w:t>
      </w:r>
      <w:bookmarkEnd w:id="67"/>
      <w:bookmarkEnd w:id="68"/>
    </w:p>
    <w:p w:rsidR="00356C2C" w:rsidRPr="00295637" w:rsidRDefault="00356C2C" w:rsidP="0086268D">
      <w:pPr>
        <w:contextualSpacing/>
        <w:jc w:val="both"/>
        <w:rPr>
          <w:rFonts w:ascii="Times New Roman" w:eastAsia="Calibri" w:hAnsi="Times New Roman"/>
          <w:b/>
          <w:szCs w:val="24"/>
          <w:lang w:val="bs-Latn-BA"/>
        </w:rPr>
      </w:pPr>
    </w:p>
    <w:p w:rsidR="00356C2C" w:rsidRPr="00295637" w:rsidRDefault="00237A50" w:rsidP="00D06BDE">
      <w:pPr>
        <w:pStyle w:val="Heading4"/>
        <w:numPr>
          <w:ilvl w:val="0"/>
          <w:numId w:val="0"/>
        </w:numPr>
        <w:spacing w:after="0" w:line="240" w:lineRule="auto"/>
        <w:ind w:left="567"/>
        <w:rPr>
          <w:rFonts w:ascii="Times New Roman" w:hAnsi="Times New Roman" w:cs="Times New Roman"/>
          <w:b w:val="0"/>
          <w:lang w:val="bs-Latn-BA"/>
        </w:rPr>
      </w:pPr>
      <w:r w:rsidRPr="00237A50">
        <w:rPr>
          <w:rFonts w:ascii="Times New Roman" w:hAnsi="Times New Roman" w:cs="Times New Roman"/>
          <w:b w:val="0"/>
          <w:lang w:val="bs-Latn-BA"/>
        </w:rPr>
        <w:t>II</w:t>
      </w:r>
      <w:r w:rsidR="00D06BDE">
        <w:rPr>
          <w:rFonts w:ascii="Times New Roman" w:hAnsi="Times New Roman" w:cs="Times New Roman"/>
          <w:b w:val="0"/>
          <w:lang w:val="bs-Latn-BA"/>
        </w:rPr>
        <w:t xml:space="preserve"> 5.1. </w:t>
      </w:r>
      <w:r w:rsidR="00C6214E">
        <w:rPr>
          <w:rFonts w:ascii="Times New Roman" w:hAnsi="Times New Roman" w:cs="Times New Roman"/>
          <w:b w:val="0"/>
          <w:lang w:val="bs-Latn-BA"/>
        </w:rPr>
        <w:t>Основне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напредне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обуке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државних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службеника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концепту</w:t>
      </w:r>
      <w:r w:rsidR="000A63E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равноправности</w:t>
      </w:r>
      <w:r w:rsidR="000A63E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0A63E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0A63E7">
        <w:rPr>
          <w:rFonts w:ascii="Times New Roman" w:hAnsi="Times New Roman" w:cs="Times New Roman"/>
          <w:b w:val="0"/>
          <w:lang w:val="bs-Latn-BA"/>
        </w:rPr>
        <w:t xml:space="preserve"> </w:t>
      </w:r>
      <w:r w:rsidR="00C6214E">
        <w:rPr>
          <w:rFonts w:ascii="Times New Roman" w:hAnsi="Times New Roman" w:cs="Times New Roman"/>
          <w:b w:val="0"/>
          <w:lang w:val="bs-Latn-BA"/>
        </w:rPr>
        <w:t>обавезама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према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домаћим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међународним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нормативно</w:t>
      </w:r>
      <w:r w:rsidR="00356C2C" w:rsidRPr="00295637">
        <w:rPr>
          <w:rFonts w:ascii="Times New Roman" w:hAnsi="Times New Roman" w:cs="Times New Roman"/>
          <w:b w:val="0"/>
          <w:lang w:val="bs-Latn-BA"/>
        </w:rPr>
        <w:t>-</w:t>
      </w:r>
      <w:r w:rsidR="00C6214E">
        <w:rPr>
          <w:rFonts w:ascii="Times New Roman" w:hAnsi="Times New Roman" w:cs="Times New Roman"/>
          <w:b w:val="0"/>
          <w:lang w:val="bs-Latn-BA"/>
        </w:rPr>
        <w:t>правним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стандардима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друге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обуке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примјени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ових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стандарда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према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потребама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циљних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група</w:t>
      </w:r>
      <w:r w:rsidR="00356C2C" w:rsidRPr="00295637">
        <w:rPr>
          <w:rFonts w:ascii="Times New Roman" w:hAnsi="Times New Roman" w:cs="Times New Roman"/>
          <w:b w:val="0"/>
          <w:lang w:val="bs-Latn-BA"/>
        </w:rPr>
        <w:t>.</w:t>
      </w:r>
    </w:p>
    <w:p w:rsidR="00A92736" w:rsidRPr="00295637" w:rsidRDefault="00A92736" w:rsidP="0086268D">
      <w:pPr>
        <w:rPr>
          <w:szCs w:val="24"/>
          <w:lang w:val="bs-Latn-BA"/>
        </w:rPr>
      </w:pPr>
    </w:p>
    <w:p w:rsidR="00B97286" w:rsidRPr="00295637" w:rsidRDefault="00C6214E" w:rsidP="0086268D">
      <w:pPr>
        <w:tabs>
          <w:tab w:val="center" w:pos="4703"/>
          <w:tab w:val="right" w:pos="9406"/>
        </w:tabs>
        <w:jc w:val="both"/>
        <w:rPr>
          <w:rFonts w:ascii="Times New Roman" w:hAnsi="Times New Roman"/>
          <w:lang w:val="bs-Latn-BA"/>
        </w:rPr>
      </w:pPr>
      <w:r>
        <w:rPr>
          <w:rFonts w:ascii="Times New Roman" w:hAnsi="Times New Roman"/>
          <w:lang w:val="bs-Latn-BA"/>
        </w:rPr>
        <w:t>У</w:t>
      </w:r>
      <w:r w:rsidR="00B97286" w:rsidRPr="00295637">
        <w:rPr>
          <w:rFonts w:ascii="Times New Roman" w:hAnsi="Times New Roman"/>
          <w:lang w:val="bs-Latn-BA"/>
        </w:rPr>
        <w:t xml:space="preserve"> </w:t>
      </w:r>
      <w:r>
        <w:rPr>
          <w:rFonts w:ascii="Times New Roman" w:hAnsi="Times New Roman"/>
          <w:lang w:val="bs-Latn-BA"/>
        </w:rPr>
        <w:t>извјештајном</w:t>
      </w:r>
      <w:r w:rsidR="00B97286" w:rsidRPr="00295637">
        <w:rPr>
          <w:rFonts w:ascii="Times New Roman" w:hAnsi="Times New Roman"/>
          <w:lang w:val="bs-Latn-BA"/>
        </w:rPr>
        <w:t xml:space="preserve"> </w:t>
      </w:r>
      <w:r>
        <w:rPr>
          <w:rFonts w:ascii="Times New Roman" w:hAnsi="Times New Roman"/>
          <w:lang w:val="bs-Latn-BA"/>
        </w:rPr>
        <w:t>периоду</w:t>
      </w:r>
      <w:r w:rsidR="00B97286" w:rsidRPr="00295637">
        <w:rPr>
          <w:rFonts w:ascii="Times New Roman" w:hAnsi="Times New Roman"/>
          <w:lang w:val="bs-Latn-BA"/>
        </w:rPr>
        <w:t xml:space="preserve"> </w:t>
      </w:r>
      <w:r>
        <w:rPr>
          <w:rFonts w:ascii="Times New Roman" w:hAnsi="Times New Roman"/>
          <w:lang w:val="bs-Latn-BA"/>
        </w:rPr>
        <w:t>АДС</w:t>
      </w:r>
      <w:r w:rsidR="00050016">
        <w:rPr>
          <w:rFonts w:ascii="Times New Roman" w:hAnsi="Times New Roman"/>
          <w:lang w:val="bs-Latn-BA"/>
        </w:rPr>
        <w:t xml:space="preserve"> </w:t>
      </w:r>
      <w:r>
        <w:rPr>
          <w:rFonts w:ascii="Times New Roman" w:hAnsi="Times New Roman"/>
          <w:lang w:val="bs-Latn-BA"/>
        </w:rPr>
        <w:t>БиХ</w:t>
      </w:r>
      <w:r w:rsidR="00B97286" w:rsidRPr="00295637">
        <w:rPr>
          <w:rFonts w:ascii="Times New Roman" w:hAnsi="Times New Roman"/>
          <w:lang w:val="bs-Latn-BA"/>
        </w:rPr>
        <w:t xml:space="preserve"> </w:t>
      </w:r>
      <w:r>
        <w:rPr>
          <w:rFonts w:ascii="Times New Roman" w:hAnsi="Times New Roman"/>
          <w:lang w:val="bs-Latn-BA"/>
        </w:rPr>
        <w:t>је</w:t>
      </w:r>
      <w:r w:rsidR="00B97286" w:rsidRPr="00295637">
        <w:rPr>
          <w:rFonts w:ascii="Times New Roman" w:hAnsi="Times New Roman"/>
          <w:lang w:val="bs-Latn-BA"/>
        </w:rPr>
        <w:t xml:space="preserve"> </w:t>
      </w:r>
      <w:r>
        <w:rPr>
          <w:rFonts w:ascii="Times New Roman" w:hAnsi="Times New Roman"/>
          <w:lang w:val="bs-Latn-BA"/>
        </w:rPr>
        <w:t>провела</w:t>
      </w:r>
      <w:r w:rsidR="00B97286" w:rsidRPr="00295637">
        <w:rPr>
          <w:rFonts w:ascii="Times New Roman" w:hAnsi="Times New Roman"/>
          <w:lang w:val="bs-Latn-BA"/>
        </w:rPr>
        <w:t xml:space="preserve"> </w:t>
      </w:r>
      <w:r>
        <w:rPr>
          <w:rFonts w:ascii="Times New Roman" w:hAnsi="Times New Roman"/>
          <w:lang w:val="bs-Latn-BA"/>
        </w:rPr>
        <w:t>обуку</w:t>
      </w:r>
      <w:r w:rsidR="00B97286" w:rsidRPr="00295637">
        <w:rPr>
          <w:rFonts w:ascii="Times New Roman" w:hAnsi="Times New Roman"/>
          <w:lang w:val="bs-Latn-BA"/>
        </w:rPr>
        <w:t xml:space="preserve"> </w:t>
      </w:r>
      <w:r>
        <w:rPr>
          <w:rFonts w:ascii="Times New Roman" w:hAnsi="Times New Roman"/>
          <w:lang w:val="bs-Latn-BA"/>
        </w:rPr>
        <w:t>на</w:t>
      </w:r>
      <w:r w:rsidR="00B97286" w:rsidRPr="00295637">
        <w:rPr>
          <w:rFonts w:ascii="Times New Roman" w:hAnsi="Times New Roman"/>
          <w:lang w:val="bs-Latn-BA"/>
        </w:rPr>
        <w:t xml:space="preserve"> </w:t>
      </w:r>
      <w:r>
        <w:rPr>
          <w:rFonts w:ascii="Times New Roman" w:hAnsi="Times New Roman"/>
          <w:lang w:val="bs-Latn-BA"/>
        </w:rPr>
        <w:t>тему</w:t>
      </w:r>
      <w:r w:rsidR="00B97286" w:rsidRPr="00295637">
        <w:rPr>
          <w:rFonts w:ascii="Times New Roman" w:hAnsi="Times New Roman"/>
          <w:lang w:val="bs-Latn-BA"/>
        </w:rPr>
        <w:t xml:space="preserve"> „</w:t>
      </w:r>
      <w:r>
        <w:rPr>
          <w:rFonts w:ascii="Times New Roman" w:hAnsi="Times New Roman"/>
          <w:lang w:val="bs-Latn-BA"/>
        </w:rPr>
        <w:t>Препознавање</w:t>
      </w:r>
      <w:r w:rsidR="00B97286" w:rsidRPr="00295637">
        <w:rPr>
          <w:rFonts w:ascii="Times New Roman" w:hAnsi="Times New Roman"/>
          <w:lang w:val="bs-Latn-BA"/>
        </w:rPr>
        <w:t xml:space="preserve"> </w:t>
      </w:r>
      <w:r>
        <w:rPr>
          <w:rFonts w:ascii="Times New Roman" w:hAnsi="Times New Roman"/>
          <w:lang w:val="bs-Latn-BA"/>
        </w:rPr>
        <w:t>насиља</w:t>
      </w:r>
      <w:r w:rsidR="00B97286" w:rsidRPr="00295637">
        <w:rPr>
          <w:rFonts w:ascii="Times New Roman" w:hAnsi="Times New Roman"/>
          <w:lang w:val="bs-Latn-BA"/>
        </w:rPr>
        <w:t xml:space="preserve"> </w:t>
      </w:r>
      <w:r>
        <w:rPr>
          <w:rFonts w:ascii="Times New Roman" w:hAnsi="Times New Roman"/>
          <w:lang w:val="bs-Latn-BA"/>
        </w:rPr>
        <w:t>над</w:t>
      </w:r>
      <w:r w:rsidR="00B97286" w:rsidRPr="00295637">
        <w:rPr>
          <w:rFonts w:ascii="Times New Roman" w:hAnsi="Times New Roman"/>
          <w:lang w:val="bs-Latn-BA"/>
        </w:rPr>
        <w:t xml:space="preserve"> </w:t>
      </w:r>
      <w:r>
        <w:rPr>
          <w:rFonts w:ascii="Times New Roman" w:hAnsi="Times New Roman"/>
          <w:lang w:val="bs-Latn-BA"/>
        </w:rPr>
        <w:t>женама</w:t>
      </w:r>
      <w:r w:rsidR="00B97286" w:rsidRPr="00295637">
        <w:rPr>
          <w:rFonts w:ascii="Times New Roman" w:hAnsi="Times New Roman"/>
          <w:lang w:val="bs-Latn-BA"/>
        </w:rPr>
        <w:t xml:space="preserve"> </w:t>
      </w:r>
      <w:r>
        <w:rPr>
          <w:rFonts w:ascii="Times New Roman" w:hAnsi="Times New Roman"/>
          <w:lang w:val="bs-Latn-BA"/>
        </w:rPr>
        <w:t>и</w:t>
      </w:r>
      <w:r w:rsidR="00B97286" w:rsidRPr="00295637">
        <w:rPr>
          <w:rFonts w:ascii="Times New Roman" w:hAnsi="Times New Roman"/>
          <w:lang w:val="bs-Latn-BA"/>
        </w:rPr>
        <w:t xml:space="preserve"> </w:t>
      </w:r>
      <w:r>
        <w:rPr>
          <w:rFonts w:ascii="Times New Roman" w:hAnsi="Times New Roman"/>
          <w:lang w:val="bs-Latn-BA"/>
        </w:rPr>
        <w:t>насиља</w:t>
      </w:r>
      <w:r w:rsidR="00B97286" w:rsidRPr="00295637">
        <w:rPr>
          <w:rFonts w:ascii="Times New Roman" w:hAnsi="Times New Roman"/>
          <w:lang w:val="bs-Latn-BA"/>
        </w:rPr>
        <w:t xml:space="preserve"> </w:t>
      </w:r>
      <w:r>
        <w:rPr>
          <w:rFonts w:ascii="Times New Roman" w:hAnsi="Times New Roman"/>
          <w:lang w:val="bs-Latn-BA"/>
        </w:rPr>
        <w:t>у</w:t>
      </w:r>
      <w:r w:rsidR="00B97286" w:rsidRPr="00295637">
        <w:rPr>
          <w:rFonts w:ascii="Times New Roman" w:hAnsi="Times New Roman"/>
          <w:lang w:val="bs-Latn-BA"/>
        </w:rPr>
        <w:t xml:space="preserve"> </w:t>
      </w:r>
      <w:r>
        <w:rPr>
          <w:rFonts w:ascii="Times New Roman" w:hAnsi="Times New Roman"/>
          <w:lang w:val="bs-Latn-BA"/>
        </w:rPr>
        <w:t>породици</w:t>
      </w:r>
      <w:r w:rsidR="000A63E7">
        <w:rPr>
          <w:rFonts w:ascii="Times New Roman" w:hAnsi="Times New Roman"/>
          <w:lang w:val="bs-Latn-BA"/>
        </w:rPr>
        <w:t xml:space="preserve"> </w:t>
      </w:r>
      <w:r>
        <w:rPr>
          <w:rFonts w:ascii="Times New Roman" w:hAnsi="Times New Roman"/>
          <w:lang w:val="bs-Latn-BA"/>
        </w:rPr>
        <w:t>и</w:t>
      </w:r>
      <w:r w:rsidR="000A63E7">
        <w:rPr>
          <w:rFonts w:ascii="Times New Roman" w:hAnsi="Times New Roman"/>
          <w:lang w:val="bs-Latn-BA"/>
        </w:rPr>
        <w:t xml:space="preserve"> </w:t>
      </w:r>
      <w:r>
        <w:rPr>
          <w:rFonts w:ascii="Times New Roman" w:hAnsi="Times New Roman"/>
          <w:lang w:val="bs-Latn-BA"/>
        </w:rPr>
        <w:t>обавеза</w:t>
      </w:r>
      <w:r w:rsidR="00B97286" w:rsidRPr="00295637">
        <w:rPr>
          <w:rFonts w:ascii="Times New Roman" w:hAnsi="Times New Roman"/>
          <w:lang w:val="bs-Latn-BA"/>
        </w:rPr>
        <w:t xml:space="preserve"> </w:t>
      </w:r>
      <w:r>
        <w:rPr>
          <w:rFonts w:ascii="Times New Roman" w:hAnsi="Times New Roman"/>
          <w:lang w:val="bs-Latn-BA"/>
        </w:rPr>
        <w:t>пријављивања</w:t>
      </w:r>
      <w:r w:rsidR="00F33F83" w:rsidRPr="00295637">
        <w:rPr>
          <w:rFonts w:ascii="Times New Roman" w:hAnsi="Times New Roman"/>
          <w:lang w:val="bs-Latn-BA"/>
        </w:rPr>
        <w:t xml:space="preserve"> </w:t>
      </w:r>
      <w:r>
        <w:rPr>
          <w:rFonts w:ascii="Times New Roman" w:hAnsi="Times New Roman"/>
          <w:lang w:val="bs-Latn-BA"/>
        </w:rPr>
        <w:t>насиља</w:t>
      </w:r>
      <w:r w:rsidR="00F33F83" w:rsidRPr="00295637">
        <w:rPr>
          <w:rFonts w:ascii="Times New Roman" w:hAnsi="Times New Roman"/>
          <w:lang w:val="bs-Latn-BA"/>
        </w:rPr>
        <w:t>“</w:t>
      </w:r>
      <w:r w:rsidR="004C069B">
        <w:rPr>
          <w:rFonts w:ascii="Times New Roman" w:hAnsi="Times New Roman"/>
          <w:lang w:val="bs-Latn-BA"/>
        </w:rPr>
        <w:t xml:space="preserve"> </w:t>
      </w:r>
      <w:r>
        <w:rPr>
          <w:rFonts w:ascii="Times New Roman" w:hAnsi="Times New Roman"/>
          <w:lang w:val="bs-Latn-BA"/>
        </w:rPr>
        <w:t>коју</w:t>
      </w:r>
      <w:r w:rsidR="004C069B">
        <w:rPr>
          <w:rFonts w:ascii="Times New Roman" w:hAnsi="Times New Roman"/>
          <w:lang w:val="bs-Latn-BA"/>
        </w:rPr>
        <w:t xml:space="preserve"> </w:t>
      </w:r>
      <w:r>
        <w:rPr>
          <w:rFonts w:ascii="Times New Roman" w:hAnsi="Times New Roman"/>
          <w:lang w:val="bs-Latn-BA"/>
        </w:rPr>
        <w:t>је</w:t>
      </w:r>
      <w:r w:rsidR="004C069B">
        <w:rPr>
          <w:rFonts w:ascii="Times New Roman" w:hAnsi="Times New Roman"/>
          <w:lang w:val="bs-Latn-BA"/>
        </w:rPr>
        <w:t xml:space="preserve"> </w:t>
      </w:r>
      <w:r>
        <w:rPr>
          <w:rFonts w:ascii="Times New Roman" w:hAnsi="Times New Roman"/>
          <w:lang w:val="bs-Latn-BA"/>
        </w:rPr>
        <w:t>одржала</w:t>
      </w:r>
      <w:r w:rsidR="000A63E7">
        <w:rPr>
          <w:rFonts w:ascii="Times New Roman" w:hAnsi="Times New Roman"/>
          <w:lang w:val="bs-Latn-BA"/>
        </w:rPr>
        <w:t xml:space="preserve"> </w:t>
      </w:r>
      <w:r>
        <w:rPr>
          <w:rFonts w:ascii="Times New Roman" w:hAnsi="Times New Roman"/>
          <w:lang w:val="bs-Latn-BA"/>
        </w:rPr>
        <w:t>АР</w:t>
      </w:r>
      <w:r w:rsidR="00237A50">
        <w:rPr>
          <w:rFonts w:ascii="Times New Roman" w:hAnsi="Times New Roman"/>
          <w:lang w:val="sr-Cyrl-BA"/>
        </w:rPr>
        <w:t>П</w:t>
      </w:r>
      <w:r w:rsidR="000A63E7">
        <w:rPr>
          <w:rFonts w:ascii="Times New Roman" w:hAnsi="Times New Roman"/>
          <w:lang w:val="bs-Latn-BA"/>
        </w:rPr>
        <w:t xml:space="preserve"> </w:t>
      </w:r>
      <w:r>
        <w:rPr>
          <w:rFonts w:ascii="Times New Roman" w:hAnsi="Times New Roman"/>
          <w:lang w:val="bs-Latn-BA"/>
        </w:rPr>
        <w:t>БиХ</w:t>
      </w:r>
      <w:r w:rsidR="000A63E7">
        <w:rPr>
          <w:rFonts w:ascii="Times New Roman" w:hAnsi="Times New Roman"/>
          <w:lang w:val="bs-Latn-BA"/>
        </w:rPr>
        <w:t xml:space="preserve"> </w:t>
      </w:r>
      <w:r>
        <w:rPr>
          <w:rFonts w:ascii="Times New Roman" w:hAnsi="Times New Roman"/>
          <w:lang w:val="bs-Latn-BA"/>
        </w:rPr>
        <w:t>МЉПИ</w:t>
      </w:r>
      <w:r w:rsidR="000A63E7">
        <w:rPr>
          <w:rFonts w:ascii="Times New Roman" w:hAnsi="Times New Roman"/>
          <w:lang w:val="bs-Latn-BA"/>
        </w:rPr>
        <w:t xml:space="preserve"> </w:t>
      </w:r>
      <w:r>
        <w:rPr>
          <w:rFonts w:ascii="Times New Roman" w:hAnsi="Times New Roman"/>
          <w:lang w:val="bs-Latn-BA"/>
        </w:rPr>
        <w:t>БиХ</w:t>
      </w:r>
      <w:r w:rsidR="00F33F83" w:rsidRPr="00295637">
        <w:rPr>
          <w:rFonts w:ascii="Times New Roman" w:hAnsi="Times New Roman"/>
          <w:lang w:val="bs-Latn-BA"/>
        </w:rPr>
        <w:t xml:space="preserve">. </w:t>
      </w:r>
      <w:r>
        <w:rPr>
          <w:rFonts w:ascii="Times New Roman" w:hAnsi="Times New Roman"/>
          <w:lang w:val="bs-Latn-BA"/>
        </w:rPr>
        <w:t>Обука</w:t>
      </w:r>
      <w:r w:rsidR="00F33F83" w:rsidRPr="00295637">
        <w:rPr>
          <w:rFonts w:ascii="Times New Roman" w:hAnsi="Times New Roman"/>
          <w:lang w:val="bs-Latn-BA"/>
        </w:rPr>
        <w:t xml:space="preserve"> </w:t>
      </w:r>
      <w:r>
        <w:rPr>
          <w:rFonts w:ascii="Times New Roman" w:hAnsi="Times New Roman"/>
          <w:lang w:val="bs-Latn-BA"/>
        </w:rPr>
        <w:t>се</w:t>
      </w:r>
      <w:r w:rsidR="00B97286" w:rsidRPr="00295637">
        <w:rPr>
          <w:rFonts w:ascii="Times New Roman" w:hAnsi="Times New Roman"/>
          <w:lang w:val="bs-Latn-BA"/>
        </w:rPr>
        <w:t xml:space="preserve"> </w:t>
      </w:r>
      <w:r>
        <w:rPr>
          <w:rFonts w:ascii="Times New Roman" w:hAnsi="Times New Roman"/>
          <w:lang w:val="bs-Latn-BA"/>
        </w:rPr>
        <w:t>проводи</w:t>
      </w:r>
      <w:r w:rsidR="00B97286" w:rsidRPr="00295637">
        <w:rPr>
          <w:rFonts w:ascii="Times New Roman" w:hAnsi="Times New Roman"/>
          <w:lang w:val="bs-Latn-BA"/>
        </w:rPr>
        <w:t xml:space="preserve"> </w:t>
      </w:r>
      <w:r>
        <w:rPr>
          <w:rFonts w:ascii="Times New Roman" w:hAnsi="Times New Roman"/>
          <w:lang w:val="bs-Latn-BA"/>
        </w:rPr>
        <w:t>континуирано</w:t>
      </w:r>
      <w:r w:rsidR="00B97286" w:rsidRPr="00295637">
        <w:rPr>
          <w:rFonts w:ascii="Times New Roman" w:hAnsi="Times New Roman"/>
          <w:lang w:val="bs-Latn-BA"/>
        </w:rPr>
        <w:t xml:space="preserve">, </w:t>
      </w:r>
      <w:r>
        <w:rPr>
          <w:rFonts w:ascii="Times New Roman" w:hAnsi="Times New Roman"/>
          <w:lang w:val="bs-Latn-BA"/>
        </w:rPr>
        <w:t>у</w:t>
      </w:r>
      <w:r w:rsidR="00D06BDE">
        <w:rPr>
          <w:rFonts w:ascii="Times New Roman" w:hAnsi="Times New Roman"/>
          <w:lang w:val="bs-Latn-BA"/>
        </w:rPr>
        <w:t xml:space="preserve"> </w:t>
      </w:r>
      <w:r>
        <w:rPr>
          <w:rFonts w:ascii="Times New Roman" w:hAnsi="Times New Roman"/>
          <w:lang w:val="bs-Latn-BA"/>
        </w:rPr>
        <w:t>складу</w:t>
      </w:r>
      <w:r w:rsidR="00D06BDE">
        <w:rPr>
          <w:rFonts w:ascii="Times New Roman" w:hAnsi="Times New Roman"/>
          <w:lang w:val="bs-Latn-BA"/>
        </w:rPr>
        <w:t xml:space="preserve"> </w:t>
      </w:r>
      <w:r>
        <w:rPr>
          <w:rFonts w:ascii="Times New Roman" w:hAnsi="Times New Roman"/>
          <w:lang w:val="bs-Latn-BA"/>
        </w:rPr>
        <w:t>са</w:t>
      </w:r>
      <w:r w:rsidR="00B97286" w:rsidRPr="00295637">
        <w:rPr>
          <w:rFonts w:ascii="Times New Roman" w:hAnsi="Times New Roman"/>
          <w:lang w:val="bs-Latn-BA"/>
        </w:rPr>
        <w:t xml:space="preserve"> </w:t>
      </w:r>
      <w:r>
        <w:rPr>
          <w:rFonts w:ascii="Times New Roman" w:hAnsi="Times New Roman"/>
          <w:lang w:val="bs-Latn-BA"/>
        </w:rPr>
        <w:t>расположивим</w:t>
      </w:r>
      <w:r w:rsidR="00B97286" w:rsidRPr="00295637">
        <w:rPr>
          <w:rFonts w:ascii="Times New Roman" w:hAnsi="Times New Roman"/>
          <w:lang w:val="bs-Latn-BA"/>
        </w:rPr>
        <w:t xml:space="preserve"> </w:t>
      </w:r>
      <w:r>
        <w:rPr>
          <w:rFonts w:ascii="Times New Roman" w:hAnsi="Times New Roman"/>
          <w:lang w:val="bs-Latn-BA"/>
        </w:rPr>
        <w:t>буџетским</w:t>
      </w:r>
      <w:r w:rsidR="00B97286" w:rsidRPr="00295637">
        <w:rPr>
          <w:rFonts w:ascii="Times New Roman" w:hAnsi="Times New Roman"/>
          <w:lang w:val="bs-Latn-BA"/>
        </w:rPr>
        <w:t xml:space="preserve"> </w:t>
      </w:r>
      <w:r>
        <w:rPr>
          <w:rFonts w:ascii="Times New Roman" w:hAnsi="Times New Roman"/>
          <w:lang w:val="bs-Latn-BA"/>
        </w:rPr>
        <w:t>средствима</w:t>
      </w:r>
      <w:r w:rsidR="000A63E7">
        <w:rPr>
          <w:rFonts w:ascii="Times New Roman" w:hAnsi="Times New Roman"/>
          <w:lang w:val="bs-Latn-BA"/>
        </w:rPr>
        <w:t>,</w:t>
      </w:r>
      <w:r w:rsidR="00B97286" w:rsidRPr="00295637">
        <w:rPr>
          <w:rFonts w:ascii="Times New Roman" w:hAnsi="Times New Roman"/>
          <w:lang w:val="bs-Latn-BA"/>
        </w:rPr>
        <w:t xml:space="preserve"> </w:t>
      </w:r>
      <w:r>
        <w:rPr>
          <w:rFonts w:ascii="Times New Roman" w:hAnsi="Times New Roman"/>
          <w:lang w:val="bs-Latn-BA"/>
        </w:rPr>
        <w:t>а</w:t>
      </w:r>
      <w:r w:rsidR="00415C8A" w:rsidRPr="00295637">
        <w:rPr>
          <w:rFonts w:ascii="Times New Roman" w:hAnsi="Times New Roman"/>
          <w:lang w:val="bs-Latn-BA"/>
        </w:rPr>
        <w:t xml:space="preserve"> </w:t>
      </w:r>
      <w:r>
        <w:rPr>
          <w:rFonts w:ascii="Times New Roman" w:hAnsi="Times New Roman"/>
          <w:lang w:val="bs-Latn-BA"/>
        </w:rPr>
        <w:t>број</w:t>
      </w:r>
      <w:r w:rsidR="00415C8A" w:rsidRPr="00295637">
        <w:rPr>
          <w:rFonts w:ascii="Times New Roman" w:hAnsi="Times New Roman"/>
          <w:lang w:val="bs-Latn-BA"/>
        </w:rPr>
        <w:t xml:space="preserve"> </w:t>
      </w:r>
      <w:r>
        <w:rPr>
          <w:rFonts w:ascii="Times New Roman" w:hAnsi="Times New Roman"/>
          <w:lang w:val="bs-Latn-BA"/>
        </w:rPr>
        <w:t>учесника</w:t>
      </w:r>
      <w:r w:rsidR="00415C8A" w:rsidRPr="00295637">
        <w:rPr>
          <w:rFonts w:ascii="Times New Roman" w:hAnsi="Times New Roman"/>
          <w:lang w:val="bs-Latn-BA"/>
        </w:rPr>
        <w:t>/</w:t>
      </w:r>
      <w:r>
        <w:rPr>
          <w:rFonts w:ascii="Times New Roman" w:hAnsi="Times New Roman"/>
          <w:lang w:val="bs-Latn-BA"/>
        </w:rPr>
        <w:t>ца</w:t>
      </w:r>
      <w:r w:rsidR="00415C8A" w:rsidRPr="00295637">
        <w:rPr>
          <w:rFonts w:ascii="Times New Roman" w:hAnsi="Times New Roman"/>
          <w:lang w:val="bs-Latn-BA"/>
        </w:rPr>
        <w:t xml:space="preserve"> </w:t>
      </w:r>
      <w:r>
        <w:rPr>
          <w:rFonts w:ascii="Times New Roman" w:hAnsi="Times New Roman"/>
          <w:lang w:val="bs-Latn-BA"/>
        </w:rPr>
        <w:t>се</w:t>
      </w:r>
      <w:r w:rsidR="00415C8A" w:rsidRPr="00295637">
        <w:rPr>
          <w:rFonts w:ascii="Times New Roman" w:hAnsi="Times New Roman"/>
          <w:lang w:val="bs-Latn-BA"/>
        </w:rPr>
        <w:t xml:space="preserve"> </w:t>
      </w:r>
      <w:r>
        <w:rPr>
          <w:rFonts w:ascii="Times New Roman" w:hAnsi="Times New Roman"/>
          <w:lang w:val="bs-Latn-BA"/>
        </w:rPr>
        <w:t>повећава</w:t>
      </w:r>
      <w:r w:rsidR="00415C8A" w:rsidRPr="00295637">
        <w:rPr>
          <w:rFonts w:ascii="Times New Roman" w:hAnsi="Times New Roman"/>
          <w:lang w:val="bs-Latn-BA"/>
        </w:rPr>
        <w:t xml:space="preserve"> </w:t>
      </w:r>
      <w:r w:rsidR="00B97286" w:rsidRPr="00295637">
        <w:rPr>
          <w:rFonts w:ascii="Times New Roman" w:hAnsi="Times New Roman"/>
          <w:lang w:val="bs-Latn-BA"/>
        </w:rPr>
        <w:t xml:space="preserve">(2017. </w:t>
      </w:r>
      <w:r>
        <w:rPr>
          <w:rFonts w:ascii="Times New Roman" w:hAnsi="Times New Roman"/>
          <w:lang w:val="bs-Latn-BA"/>
        </w:rPr>
        <w:t>године</w:t>
      </w:r>
      <w:r w:rsidR="00B97286" w:rsidRPr="00295637">
        <w:rPr>
          <w:rFonts w:ascii="Times New Roman" w:hAnsi="Times New Roman"/>
          <w:lang w:val="bs-Latn-BA"/>
        </w:rPr>
        <w:t xml:space="preserve">, 14 </w:t>
      </w:r>
      <w:r>
        <w:rPr>
          <w:rFonts w:ascii="Times New Roman" w:hAnsi="Times New Roman"/>
          <w:lang w:val="bs-Latn-BA"/>
        </w:rPr>
        <w:t>полазника</w:t>
      </w:r>
      <w:r w:rsidR="00B97286" w:rsidRPr="00295637">
        <w:rPr>
          <w:rFonts w:ascii="Times New Roman" w:hAnsi="Times New Roman"/>
          <w:lang w:val="bs-Latn-BA"/>
        </w:rPr>
        <w:t>/</w:t>
      </w:r>
      <w:r>
        <w:rPr>
          <w:rFonts w:ascii="Times New Roman" w:hAnsi="Times New Roman"/>
          <w:lang w:val="bs-Latn-BA"/>
        </w:rPr>
        <w:t>ца</w:t>
      </w:r>
      <w:r w:rsidR="00B97286" w:rsidRPr="00295637">
        <w:rPr>
          <w:rFonts w:ascii="Times New Roman" w:hAnsi="Times New Roman"/>
          <w:lang w:val="bs-Latn-BA"/>
        </w:rPr>
        <w:t xml:space="preserve">; 2018. </w:t>
      </w:r>
      <w:r>
        <w:rPr>
          <w:rFonts w:ascii="Times New Roman" w:hAnsi="Times New Roman"/>
          <w:lang w:val="bs-Latn-BA"/>
        </w:rPr>
        <w:t>године</w:t>
      </w:r>
      <w:r w:rsidR="00B97286" w:rsidRPr="00295637">
        <w:rPr>
          <w:rFonts w:ascii="Times New Roman" w:hAnsi="Times New Roman"/>
          <w:lang w:val="bs-Latn-BA"/>
        </w:rPr>
        <w:t xml:space="preserve">, 9 </w:t>
      </w:r>
      <w:r>
        <w:rPr>
          <w:rFonts w:ascii="Times New Roman" w:hAnsi="Times New Roman"/>
          <w:lang w:val="bs-Latn-BA"/>
        </w:rPr>
        <w:t>полазника</w:t>
      </w:r>
      <w:r w:rsidR="00B97286" w:rsidRPr="00295637">
        <w:rPr>
          <w:rFonts w:ascii="Times New Roman" w:hAnsi="Times New Roman"/>
          <w:lang w:val="bs-Latn-BA"/>
        </w:rPr>
        <w:t>/</w:t>
      </w:r>
      <w:r>
        <w:rPr>
          <w:rFonts w:ascii="Times New Roman" w:hAnsi="Times New Roman"/>
          <w:lang w:val="bs-Latn-BA"/>
        </w:rPr>
        <w:t>ца</w:t>
      </w:r>
      <w:r w:rsidR="00B97286" w:rsidRPr="00295637">
        <w:rPr>
          <w:rFonts w:ascii="Times New Roman" w:hAnsi="Times New Roman"/>
          <w:lang w:val="bs-Latn-BA"/>
        </w:rPr>
        <w:t xml:space="preserve">; 2020. </w:t>
      </w:r>
      <w:r>
        <w:rPr>
          <w:rFonts w:ascii="Times New Roman" w:hAnsi="Times New Roman"/>
          <w:lang w:val="bs-Latn-BA"/>
        </w:rPr>
        <w:t>године</w:t>
      </w:r>
      <w:r w:rsidR="00B97286" w:rsidRPr="00295637">
        <w:rPr>
          <w:rFonts w:ascii="Times New Roman" w:hAnsi="Times New Roman"/>
          <w:lang w:val="bs-Latn-BA"/>
        </w:rPr>
        <w:t xml:space="preserve">, 9 </w:t>
      </w:r>
      <w:r>
        <w:rPr>
          <w:rFonts w:ascii="Times New Roman" w:hAnsi="Times New Roman"/>
          <w:lang w:val="bs-Latn-BA"/>
        </w:rPr>
        <w:t>полазника</w:t>
      </w:r>
      <w:r w:rsidR="00B97286" w:rsidRPr="00295637">
        <w:rPr>
          <w:rFonts w:ascii="Times New Roman" w:hAnsi="Times New Roman"/>
          <w:lang w:val="bs-Latn-BA"/>
        </w:rPr>
        <w:t>/</w:t>
      </w:r>
      <w:r>
        <w:rPr>
          <w:rFonts w:ascii="Times New Roman" w:hAnsi="Times New Roman"/>
          <w:lang w:val="bs-Latn-BA"/>
        </w:rPr>
        <w:t>ца</w:t>
      </w:r>
      <w:r w:rsidR="00B97286" w:rsidRPr="00295637">
        <w:rPr>
          <w:rFonts w:ascii="Times New Roman" w:hAnsi="Times New Roman"/>
          <w:lang w:val="bs-Latn-BA"/>
        </w:rPr>
        <w:t xml:space="preserve">; </w:t>
      </w:r>
      <w:r w:rsidR="00415C8A" w:rsidRPr="00295637">
        <w:rPr>
          <w:rFonts w:ascii="Times New Roman" w:hAnsi="Times New Roman"/>
          <w:lang w:val="bs-Latn-BA"/>
        </w:rPr>
        <w:t xml:space="preserve">2024. </w:t>
      </w:r>
      <w:r>
        <w:rPr>
          <w:rFonts w:ascii="Times New Roman" w:hAnsi="Times New Roman"/>
          <w:lang w:val="bs-Latn-BA"/>
        </w:rPr>
        <w:t>године</w:t>
      </w:r>
      <w:r w:rsidR="00415C8A" w:rsidRPr="00295637">
        <w:rPr>
          <w:rFonts w:ascii="Times New Roman" w:hAnsi="Times New Roman"/>
          <w:lang w:val="bs-Latn-BA"/>
        </w:rPr>
        <w:t xml:space="preserve">, 16 </w:t>
      </w:r>
      <w:r>
        <w:rPr>
          <w:rFonts w:ascii="Times New Roman" w:hAnsi="Times New Roman"/>
          <w:lang w:val="bs-Latn-BA"/>
        </w:rPr>
        <w:t>полазника</w:t>
      </w:r>
      <w:r w:rsidR="00415C8A" w:rsidRPr="00295637">
        <w:rPr>
          <w:rFonts w:ascii="Times New Roman" w:hAnsi="Times New Roman"/>
          <w:lang w:val="bs-Latn-BA"/>
        </w:rPr>
        <w:t>/</w:t>
      </w:r>
      <w:r>
        <w:rPr>
          <w:rFonts w:ascii="Times New Roman" w:hAnsi="Times New Roman"/>
          <w:lang w:val="bs-Latn-BA"/>
        </w:rPr>
        <w:t>ца</w:t>
      </w:r>
      <w:r w:rsidR="00415C8A" w:rsidRPr="00295637">
        <w:rPr>
          <w:rFonts w:ascii="Times New Roman" w:hAnsi="Times New Roman"/>
          <w:lang w:val="bs-Latn-BA"/>
        </w:rPr>
        <w:t xml:space="preserve">). </w:t>
      </w:r>
      <w:r>
        <w:rPr>
          <w:rFonts w:ascii="Times New Roman" w:hAnsi="Times New Roman"/>
          <w:lang w:val="bs-Latn-BA"/>
        </w:rPr>
        <w:t>Обука</w:t>
      </w:r>
      <w:r w:rsidR="00B97286" w:rsidRPr="00295637">
        <w:rPr>
          <w:rFonts w:ascii="Times New Roman" w:hAnsi="Times New Roman"/>
          <w:lang w:val="bs-Latn-BA"/>
        </w:rPr>
        <w:t xml:space="preserve"> </w:t>
      </w:r>
      <w:r>
        <w:rPr>
          <w:rFonts w:ascii="Times New Roman" w:hAnsi="Times New Roman"/>
          <w:lang w:val="bs-Latn-BA"/>
        </w:rPr>
        <w:t>је</w:t>
      </w:r>
      <w:r w:rsidR="00B97286" w:rsidRPr="00295637">
        <w:rPr>
          <w:rFonts w:ascii="Times New Roman" w:hAnsi="Times New Roman"/>
          <w:lang w:val="bs-Latn-BA"/>
        </w:rPr>
        <w:t xml:space="preserve"> </w:t>
      </w:r>
      <w:r>
        <w:rPr>
          <w:rFonts w:ascii="Times New Roman" w:hAnsi="Times New Roman"/>
          <w:lang w:val="bs-Latn-BA"/>
        </w:rPr>
        <w:t>уврштена</w:t>
      </w:r>
      <w:r w:rsidR="00B97286" w:rsidRPr="00295637">
        <w:rPr>
          <w:rFonts w:ascii="Times New Roman" w:hAnsi="Times New Roman"/>
          <w:lang w:val="bs-Latn-BA"/>
        </w:rPr>
        <w:t xml:space="preserve"> </w:t>
      </w:r>
      <w:r>
        <w:rPr>
          <w:rFonts w:ascii="Times New Roman" w:hAnsi="Times New Roman"/>
          <w:lang w:val="bs-Latn-BA"/>
        </w:rPr>
        <w:t>у</w:t>
      </w:r>
      <w:r w:rsidR="00B97286" w:rsidRPr="00295637">
        <w:rPr>
          <w:rFonts w:ascii="Times New Roman" w:hAnsi="Times New Roman"/>
          <w:lang w:val="bs-Latn-BA"/>
        </w:rPr>
        <w:t xml:space="preserve"> </w:t>
      </w:r>
      <w:r>
        <w:rPr>
          <w:rFonts w:ascii="Times New Roman" w:hAnsi="Times New Roman"/>
          <w:lang w:val="bs-Latn-BA"/>
        </w:rPr>
        <w:t>Приједлог</w:t>
      </w:r>
      <w:r w:rsidR="00B97286" w:rsidRPr="00295637">
        <w:rPr>
          <w:rFonts w:ascii="Times New Roman" w:hAnsi="Times New Roman"/>
          <w:lang w:val="bs-Latn-BA"/>
        </w:rPr>
        <w:t xml:space="preserve"> </w:t>
      </w:r>
      <w:r>
        <w:rPr>
          <w:rFonts w:ascii="Times New Roman" w:hAnsi="Times New Roman"/>
          <w:lang w:val="bs-Latn-BA"/>
        </w:rPr>
        <w:t>плана</w:t>
      </w:r>
      <w:r w:rsidR="00B97286" w:rsidRPr="00295637">
        <w:rPr>
          <w:rFonts w:ascii="Times New Roman" w:hAnsi="Times New Roman"/>
          <w:lang w:val="bs-Latn-BA"/>
        </w:rPr>
        <w:t xml:space="preserve"> </w:t>
      </w:r>
      <w:r>
        <w:rPr>
          <w:rFonts w:ascii="Times New Roman" w:hAnsi="Times New Roman"/>
          <w:lang w:val="bs-Latn-BA"/>
        </w:rPr>
        <w:t>обука</w:t>
      </w:r>
      <w:r w:rsidR="00B97286" w:rsidRPr="00295637">
        <w:rPr>
          <w:rFonts w:ascii="Times New Roman" w:hAnsi="Times New Roman"/>
          <w:lang w:val="bs-Latn-BA"/>
        </w:rPr>
        <w:t xml:space="preserve"> </w:t>
      </w:r>
      <w:r>
        <w:rPr>
          <w:rFonts w:ascii="Times New Roman" w:hAnsi="Times New Roman"/>
          <w:lang w:val="bs-Latn-BA"/>
        </w:rPr>
        <w:t>АДС</w:t>
      </w:r>
      <w:r w:rsidR="00D06BDE">
        <w:rPr>
          <w:rFonts w:ascii="Times New Roman" w:hAnsi="Times New Roman"/>
          <w:lang w:val="bs-Latn-BA"/>
        </w:rPr>
        <w:t xml:space="preserve"> </w:t>
      </w:r>
      <w:r>
        <w:rPr>
          <w:rFonts w:ascii="Times New Roman" w:hAnsi="Times New Roman"/>
          <w:lang w:val="bs-Latn-BA"/>
        </w:rPr>
        <w:t>БиХ</w:t>
      </w:r>
      <w:r w:rsidR="00B97286" w:rsidRPr="00295637">
        <w:rPr>
          <w:rFonts w:ascii="Times New Roman" w:hAnsi="Times New Roman"/>
          <w:lang w:val="bs-Latn-BA"/>
        </w:rPr>
        <w:t xml:space="preserve"> </w:t>
      </w:r>
      <w:r>
        <w:rPr>
          <w:rFonts w:ascii="Times New Roman" w:hAnsi="Times New Roman"/>
          <w:lang w:val="bs-Latn-BA"/>
        </w:rPr>
        <w:t>за</w:t>
      </w:r>
      <w:r w:rsidR="00B97286" w:rsidRPr="00295637">
        <w:rPr>
          <w:rFonts w:ascii="Times New Roman" w:hAnsi="Times New Roman"/>
          <w:lang w:val="bs-Latn-BA"/>
        </w:rPr>
        <w:t xml:space="preserve"> 2025. </w:t>
      </w:r>
      <w:r>
        <w:rPr>
          <w:rFonts w:ascii="Times New Roman" w:hAnsi="Times New Roman"/>
          <w:lang w:val="bs-Latn-BA"/>
        </w:rPr>
        <w:t>годину</w:t>
      </w:r>
      <w:r w:rsidR="00B97286" w:rsidRPr="00295637">
        <w:rPr>
          <w:rFonts w:ascii="Times New Roman" w:hAnsi="Times New Roman"/>
          <w:lang w:val="bs-Latn-BA"/>
        </w:rPr>
        <w:t>.</w:t>
      </w:r>
    </w:p>
    <w:p w:rsidR="00B97286" w:rsidRPr="00295637" w:rsidRDefault="00B97286" w:rsidP="0086268D">
      <w:pPr>
        <w:jc w:val="both"/>
        <w:rPr>
          <w:rFonts w:ascii="Times New Roman" w:hAnsi="Times New Roman"/>
          <w:szCs w:val="24"/>
          <w:lang w:val="bs-Latn-BA"/>
        </w:rPr>
      </w:pPr>
    </w:p>
    <w:p w:rsidR="00B97286" w:rsidRPr="00295637" w:rsidRDefault="00C6214E" w:rsidP="0086268D">
      <w:pPr>
        <w:jc w:val="both"/>
        <w:rPr>
          <w:rFonts w:ascii="Times New Roman" w:hAnsi="Times New Roman"/>
          <w:szCs w:val="24"/>
          <w:lang w:val="bs-Latn-BA"/>
        </w:rPr>
      </w:pPr>
      <w:r>
        <w:rPr>
          <w:rFonts w:ascii="Times New Roman" w:hAnsi="Times New Roman"/>
          <w:szCs w:val="24"/>
          <w:lang w:val="bs-Latn-BA"/>
        </w:rPr>
        <w:t>Као</w:t>
      </w:r>
      <w:r w:rsidR="00EE605A" w:rsidRPr="00295637">
        <w:rPr>
          <w:rFonts w:ascii="Times New Roman" w:hAnsi="Times New Roman"/>
          <w:szCs w:val="24"/>
          <w:lang w:val="bs-Latn-BA"/>
        </w:rPr>
        <w:t xml:space="preserve"> </w:t>
      </w:r>
      <w:r>
        <w:rPr>
          <w:rFonts w:ascii="Times New Roman" w:hAnsi="Times New Roman"/>
          <w:szCs w:val="24"/>
          <w:lang w:val="bs-Latn-BA"/>
        </w:rPr>
        <w:t>што</w:t>
      </w:r>
      <w:r w:rsidR="00EE605A" w:rsidRPr="00295637">
        <w:rPr>
          <w:rFonts w:ascii="Times New Roman" w:hAnsi="Times New Roman"/>
          <w:szCs w:val="24"/>
          <w:lang w:val="bs-Latn-BA"/>
        </w:rPr>
        <w:t xml:space="preserve"> </w:t>
      </w:r>
      <w:r>
        <w:rPr>
          <w:rFonts w:ascii="Times New Roman" w:hAnsi="Times New Roman"/>
          <w:szCs w:val="24"/>
          <w:lang w:val="bs-Latn-BA"/>
        </w:rPr>
        <w:t>је</w:t>
      </w:r>
      <w:r w:rsidR="00EE605A" w:rsidRPr="00295637">
        <w:rPr>
          <w:rFonts w:ascii="Times New Roman" w:hAnsi="Times New Roman"/>
          <w:szCs w:val="24"/>
          <w:lang w:val="bs-Latn-BA"/>
        </w:rPr>
        <w:t xml:space="preserve"> </w:t>
      </w:r>
      <w:r>
        <w:rPr>
          <w:rFonts w:ascii="Times New Roman" w:hAnsi="Times New Roman"/>
          <w:szCs w:val="24"/>
          <w:lang w:val="bs-Latn-BA"/>
        </w:rPr>
        <w:t>претходно</w:t>
      </w:r>
      <w:r w:rsidR="00EE605A" w:rsidRPr="00295637">
        <w:rPr>
          <w:rFonts w:ascii="Times New Roman" w:hAnsi="Times New Roman"/>
          <w:szCs w:val="24"/>
          <w:lang w:val="bs-Latn-BA"/>
        </w:rPr>
        <w:t xml:space="preserve"> </w:t>
      </w:r>
      <w:r>
        <w:rPr>
          <w:rFonts w:ascii="Times New Roman" w:hAnsi="Times New Roman"/>
          <w:szCs w:val="24"/>
          <w:lang w:val="bs-Latn-BA"/>
        </w:rPr>
        <w:t>истакнуто</w:t>
      </w:r>
      <w:r w:rsidR="00EE605A" w:rsidRPr="00295637">
        <w:rPr>
          <w:rFonts w:ascii="Times New Roman" w:hAnsi="Times New Roman"/>
          <w:szCs w:val="24"/>
          <w:lang w:val="bs-Latn-BA"/>
        </w:rPr>
        <w:t xml:space="preserve">, </w:t>
      </w:r>
      <w:r>
        <w:rPr>
          <w:rFonts w:ascii="Times New Roman" w:hAnsi="Times New Roman"/>
          <w:szCs w:val="24"/>
          <w:lang w:val="bs-Latn-BA"/>
        </w:rPr>
        <w:t>АР</w:t>
      </w:r>
      <w:r w:rsidR="00277407">
        <w:rPr>
          <w:rFonts w:ascii="Times New Roman" w:hAnsi="Times New Roman"/>
          <w:szCs w:val="24"/>
          <w:lang w:val="sr-Cyrl-BA"/>
        </w:rPr>
        <w:t>П</w:t>
      </w:r>
      <w:r w:rsidR="000A63E7">
        <w:rPr>
          <w:rFonts w:ascii="Times New Roman" w:hAnsi="Times New Roman"/>
          <w:szCs w:val="24"/>
          <w:lang w:val="bs-Latn-BA"/>
        </w:rPr>
        <w:t xml:space="preserve"> </w:t>
      </w:r>
      <w:r>
        <w:rPr>
          <w:rFonts w:ascii="Times New Roman" w:hAnsi="Times New Roman"/>
          <w:szCs w:val="24"/>
          <w:lang w:val="bs-Latn-BA"/>
        </w:rPr>
        <w:t>БиХ</w:t>
      </w:r>
      <w:r w:rsidR="000A63E7">
        <w:rPr>
          <w:rFonts w:ascii="Times New Roman" w:hAnsi="Times New Roman"/>
          <w:szCs w:val="24"/>
          <w:lang w:val="bs-Latn-BA"/>
        </w:rPr>
        <w:t xml:space="preserve"> </w:t>
      </w:r>
      <w:r>
        <w:rPr>
          <w:rFonts w:ascii="Times New Roman" w:hAnsi="Times New Roman"/>
          <w:szCs w:val="24"/>
          <w:lang w:val="bs-Latn-BA"/>
        </w:rPr>
        <w:t>МЉПИ</w:t>
      </w:r>
      <w:r w:rsidR="000A63E7">
        <w:rPr>
          <w:rFonts w:ascii="Times New Roman" w:hAnsi="Times New Roman"/>
          <w:szCs w:val="24"/>
          <w:lang w:val="bs-Latn-BA"/>
        </w:rPr>
        <w:t xml:space="preserve"> </w:t>
      </w:r>
      <w:r>
        <w:rPr>
          <w:rFonts w:ascii="Times New Roman" w:hAnsi="Times New Roman"/>
          <w:szCs w:val="24"/>
          <w:lang w:val="bs-Latn-BA"/>
        </w:rPr>
        <w:t>БиХ</w:t>
      </w:r>
      <w:r w:rsidR="009E54A2" w:rsidRPr="00295637">
        <w:rPr>
          <w:rFonts w:ascii="Times New Roman" w:hAnsi="Times New Roman"/>
          <w:szCs w:val="24"/>
          <w:lang w:val="bs-Latn-BA"/>
        </w:rPr>
        <w:t xml:space="preserve"> </w:t>
      </w:r>
      <w:r>
        <w:rPr>
          <w:rFonts w:ascii="Times New Roman" w:hAnsi="Times New Roman"/>
          <w:szCs w:val="24"/>
          <w:lang w:val="bs-Latn-BA"/>
        </w:rPr>
        <w:t>израдила</w:t>
      </w:r>
      <w:r w:rsidR="000A63E7" w:rsidRPr="00295637">
        <w:rPr>
          <w:rFonts w:ascii="Times New Roman" w:hAnsi="Times New Roman"/>
          <w:szCs w:val="24"/>
          <w:lang w:val="bs-Latn-BA"/>
        </w:rPr>
        <w:t xml:space="preserve"> </w:t>
      </w:r>
      <w:r>
        <w:rPr>
          <w:rFonts w:ascii="Times New Roman" w:hAnsi="Times New Roman"/>
          <w:szCs w:val="24"/>
          <w:lang w:val="bs-Latn-BA"/>
        </w:rPr>
        <w:t>је</w:t>
      </w:r>
      <w:r w:rsidR="00B97286" w:rsidRPr="00295637">
        <w:rPr>
          <w:rFonts w:ascii="Times New Roman" w:hAnsi="Times New Roman"/>
          <w:szCs w:val="24"/>
          <w:lang w:val="bs-Latn-BA"/>
        </w:rPr>
        <w:t xml:space="preserve"> </w:t>
      </w:r>
      <w:r>
        <w:rPr>
          <w:rFonts w:ascii="Times New Roman" w:hAnsi="Times New Roman"/>
          <w:szCs w:val="24"/>
          <w:lang w:val="bs-Latn-BA"/>
        </w:rPr>
        <w:t>курикулум</w:t>
      </w:r>
      <w:r w:rsidR="00B97286" w:rsidRPr="00295637">
        <w:rPr>
          <w:rFonts w:ascii="Times New Roman" w:hAnsi="Times New Roman"/>
          <w:szCs w:val="24"/>
          <w:lang w:val="bs-Latn-BA"/>
        </w:rPr>
        <w:t xml:space="preserve"> </w:t>
      </w:r>
      <w:r>
        <w:rPr>
          <w:rFonts w:ascii="Times New Roman" w:hAnsi="Times New Roman"/>
          <w:szCs w:val="24"/>
          <w:lang w:val="bs-Latn-BA"/>
        </w:rPr>
        <w:t>и</w:t>
      </w:r>
      <w:r w:rsidR="00B97286" w:rsidRPr="00295637">
        <w:rPr>
          <w:rFonts w:ascii="Times New Roman" w:hAnsi="Times New Roman"/>
          <w:szCs w:val="24"/>
          <w:lang w:val="bs-Latn-BA"/>
        </w:rPr>
        <w:t xml:space="preserve"> </w:t>
      </w:r>
      <w:r>
        <w:rPr>
          <w:rFonts w:ascii="Times New Roman" w:hAnsi="Times New Roman"/>
          <w:szCs w:val="24"/>
          <w:lang w:val="bs-Latn-BA"/>
        </w:rPr>
        <w:t>вебинаре</w:t>
      </w:r>
      <w:r w:rsidR="00B97286" w:rsidRPr="00295637">
        <w:rPr>
          <w:rFonts w:ascii="Times New Roman" w:hAnsi="Times New Roman"/>
          <w:szCs w:val="24"/>
          <w:lang w:val="bs-Latn-BA"/>
        </w:rPr>
        <w:t xml:space="preserve"> </w:t>
      </w:r>
      <w:r>
        <w:rPr>
          <w:rFonts w:ascii="Times New Roman" w:hAnsi="Times New Roman"/>
          <w:szCs w:val="24"/>
          <w:lang w:val="bs-Latn-BA"/>
        </w:rPr>
        <w:t>на</w:t>
      </w:r>
      <w:r w:rsidR="00B97286" w:rsidRPr="00295637">
        <w:rPr>
          <w:rFonts w:ascii="Times New Roman" w:hAnsi="Times New Roman"/>
          <w:szCs w:val="24"/>
          <w:lang w:val="bs-Latn-BA"/>
        </w:rPr>
        <w:t xml:space="preserve"> </w:t>
      </w:r>
      <w:r>
        <w:rPr>
          <w:rFonts w:ascii="Times New Roman" w:hAnsi="Times New Roman"/>
          <w:szCs w:val="24"/>
          <w:lang w:val="bs-Latn-BA"/>
        </w:rPr>
        <w:t>теме</w:t>
      </w:r>
      <w:r w:rsidR="00B97286" w:rsidRPr="00295637">
        <w:rPr>
          <w:rFonts w:ascii="Times New Roman" w:hAnsi="Times New Roman"/>
          <w:szCs w:val="24"/>
          <w:lang w:val="bs-Latn-BA"/>
        </w:rPr>
        <w:t xml:space="preserve">: </w:t>
      </w:r>
      <w:r w:rsidR="00277407">
        <w:rPr>
          <w:rFonts w:ascii="Times New Roman" w:hAnsi="Times New Roman"/>
          <w:szCs w:val="24"/>
          <w:lang w:val="sr-Cyrl-BA"/>
        </w:rPr>
        <w:t>Р</w:t>
      </w:r>
      <w:r>
        <w:rPr>
          <w:rFonts w:ascii="Times New Roman" w:hAnsi="Times New Roman"/>
          <w:szCs w:val="24"/>
          <w:lang w:val="bs-Latn-BA"/>
        </w:rPr>
        <w:t>одна</w:t>
      </w:r>
      <w:r w:rsidR="00B97286" w:rsidRPr="00295637">
        <w:rPr>
          <w:rFonts w:ascii="Times New Roman" w:hAnsi="Times New Roman"/>
          <w:szCs w:val="24"/>
          <w:lang w:val="bs-Latn-BA"/>
        </w:rPr>
        <w:t xml:space="preserve"> </w:t>
      </w:r>
      <w:r>
        <w:rPr>
          <w:rFonts w:ascii="Times New Roman" w:hAnsi="Times New Roman"/>
          <w:szCs w:val="24"/>
          <w:lang w:val="bs-Latn-BA"/>
        </w:rPr>
        <w:t>процјена</w:t>
      </w:r>
      <w:r w:rsidR="00B97286" w:rsidRPr="00295637">
        <w:rPr>
          <w:rFonts w:ascii="Times New Roman" w:hAnsi="Times New Roman"/>
          <w:szCs w:val="24"/>
          <w:lang w:val="bs-Latn-BA"/>
        </w:rPr>
        <w:t xml:space="preserve"> </w:t>
      </w:r>
      <w:r>
        <w:rPr>
          <w:rFonts w:ascii="Times New Roman" w:hAnsi="Times New Roman"/>
          <w:szCs w:val="24"/>
          <w:lang w:val="bs-Latn-BA"/>
        </w:rPr>
        <w:t>утицаја</w:t>
      </w:r>
      <w:r w:rsidR="00B97286" w:rsidRPr="00295637">
        <w:rPr>
          <w:rFonts w:ascii="Times New Roman" w:hAnsi="Times New Roman"/>
          <w:szCs w:val="24"/>
          <w:lang w:val="bs-Latn-BA"/>
        </w:rPr>
        <w:t xml:space="preserve"> </w:t>
      </w:r>
      <w:r>
        <w:rPr>
          <w:rFonts w:ascii="Times New Roman" w:hAnsi="Times New Roman"/>
          <w:szCs w:val="24"/>
          <w:lang w:val="bs-Latn-BA"/>
        </w:rPr>
        <w:t>прописа</w:t>
      </w:r>
      <w:r w:rsidR="00B97286" w:rsidRPr="00295637">
        <w:rPr>
          <w:rFonts w:ascii="Times New Roman" w:hAnsi="Times New Roman"/>
          <w:szCs w:val="24"/>
          <w:lang w:val="bs-Latn-BA"/>
        </w:rPr>
        <w:t xml:space="preserve">, </w:t>
      </w:r>
      <w:r w:rsidR="00277407">
        <w:rPr>
          <w:rFonts w:ascii="Times New Roman" w:hAnsi="Times New Roman"/>
          <w:szCs w:val="24"/>
          <w:lang w:val="sr-Cyrl-BA"/>
        </w:rPr>
        <w:t>П</w:t>
      </w:r>
      <w:r>
        <w:rPr>
          <w:rFonts w:ascii="Times New Roman" w:hAnsi="Times New Roman"/>
          <w:szCs w:val="24"/>
          <w:lang w:val="bs-Latn-BA"/>
        </w:rPr>
        <w:t>оступање</w:t>
      </w:r>
      <w:r w:rsidR="00B97286" w:rsidRPr="00295637">
        <w:rPr>
          <w:rFonts w:ascii="Times New Roman" w:hAnsi="Times New Roman"/>
          <w:szCs w:val="24"/>
          <w:lang w:val="bs-Latn-BA"/>
        </w:rPr>
        <w:t xml:space="preserve"> </w:t>
      </w:r>
      <w:r>
        <w:rPr>
          <w:rFonts w:ascii="Times New Roman" w:hAnsi="Times New Roman"/>
          <w:szCs w:val="24"/>
          <w:lang w:val="bs-Latn-BA"/>
        </w:rPr>
        <w:t>полицијских</w:t>
      </w:r>
      <w:r w:rsidR="00B97286" w:rsidRPr="00295637">
        <w:rPr>
          <w:rFonts w:ascii="Times New Roman" w:hAnsi="Times New Roman"/>
          <w:szCs w:val="24"/>
          <w:lang w:val="bs-Latn-BA"/>
        </w:rPr>
        <w:t xml:space="preserve"> </w:t>
      </w:r>
      <w:r>
        <w:rPr>
          <w:rFonts w:ascii="Times New Roman" w:hAnsi="Times New Roman"/>
          <w:szCs w:val="24"/>
          <w:lang w:val="bs-Latn-BA"/>
        </w:rPr>
        <w:t>службеника</w:t>
      </w:r>
      <w:r w:rsidR="00B97286" w:rsidRPr="00295637">
        <w:rPr>
          <w:rFonts w:ascii="Times New Roman" w:hAnsi="Times New Roman"/>
          <w:szCs w:val="24"/>
          <w:lang w:val="bs-Latn-BA"/>
        </w:rPr>
        <w:t>/</w:t>
      </w:r>
      <w:r>
        <w:rPr>
          <w:rFonts w:ascii="Times New Roman" w:hAnsi="Times New Roman"/>
          <w:szCs w:val="24"/>
          <w:lang w:val="bs-Latn-BA"/>
        </w:rPr>
        <w:t>ка</w:t>
      </w:r>
      <w:r w:rsidR="00B97286" w:rsidRPr="00295637">
        <w:rPr>
          <w:rFonts w:ascii="Times New Roman" w:hAnsi="Times New Roman"/>
          <w:szCs w:val="24"/>
          <w:lang w:val="bs-Latn-BA"/>
        </w:rPr>
        <w:t xml:space="preserve"> </w:t>
      </w:r>
      <w:r>
        <w:rPr>
          <w:rFonts w:ascii="Times New Roman" w:hAnsi="Times New Roman"/>
          <w:szCs w:val="24"/>
          <w:lang w:val="bs-Latn-BA"/>
        </w:rPr>
        <w:t>у</w:t>
      </w:r>
      <w:r w:rsidR="00B97286" w:rsidRPr="00295637">
        <w:rPr>
          <w:rFonts w:ascii="Times New Roman" w:hAnsi="Times New Roman"/>
          <w:szCs w:val="24"/>
          <w:lang w:val="bs-Latn-BA"/>
        </w:rPr>
        <w:t xml:space="preserve"> </w:t>
      </w:r>
      <w:r>
        <w:rPr>
          <w:rFonts w:ascii="Times New Roman" w:hAnsi="Times New Roman"/>
          <w:szCs w:val="24"/>
          <w:lang w:val="bs-Latn-BA"/>
        </w:rPr>
        <w:t>случајевима</w:t>
      </w:r>
      <w:r w:rsidR="00B97286" w:rsidRPr="00295637">
        <w:rPr>
          <w:rFonts w:ascii="Times New Roman" w:hAnsi="Times New Roman"/>
          <w:szCs w:val="24"/>
          <w:lang w:val="bs-Latn-BA"/>
        </w:rPr>
        <w:t xml:space="preserve"> </w:t>
      </w:r>
      <w:r>
        <w:rPr>
          <w:rFonts w:ascii="Times New Roman" w:hAnsi="Times New Roman"/>
          <w:szCs w:val="24"/>
          <w:lang w:val="bs-Latn-BA"/>
        </w:rPr>
        <w:t>насиља</w:t>
      </w:r>
      <w:r w:rsidR="00B97286" w:rsidRPr="00295637">
        <w:rPr>
          <w:rFonts w:ascii="Times New Roman" w:hAnsi="Times New Roman"/>
          <w:szCs w:val="24"/>
          <w:lang w:val="bs-Latn-BA"/>
        </w:rPr>
        <w:t xml:space="preserve"> </w:t>
      </w:r>
      <w:r>
        <w:rPr>
          <w:rFonts w:ascii="Times New Roman" w:hAnsi="Times New Roman"/>
          <w:szCs w:val="24"/>
          <w:lang w:val="bs-Latn-BA"/>
        </w:rPr>
        <w:t>над</w:t>
      </w:r>
      <w:r w:rsidR="00B97286" w:rsidRPr="00295637">
        <w:rPr>
          <w:rFonts w:ascii="Times New Roman" w:hAnsi="Times New Roman"/>
          <w:szCs w:val="24"/>
          <w:lang w:val="bs-Latn-BA"/>
        </w:rPr>
        <w:t xml:space="preserve"> </w:t>
      </w:r>
      <w:r>
        <w:rPr>
          <w:rFonts w:ascii="Times New Roman" w:hAnsi="Times New Roman"/>
          <w:szCs w:val="24"/>
          <w:lang w:val="bs-Latn-BA"/>
        </w:rPr>
        <w:t>женама</w:t>
      </w:r>
      <w:r w:rsidR="00B97286" w:rsidRPr="00295637">
        <w:rPr>
          <w:rFonts w:ascii="Times New Roman" w:hAnsi="Times New Roman"/>
          <w:szCs w:val="24"/>
          <w:lang w:val="bs-Latn-BA"/>
        </w:rPr>
        <w:t xml:space="preserve"> </w:t>
      </w:r>
      <w:r>
        <w:rPr>
          <w:rFonts w:ascii="Times New Roman" w:hAnsi="Times New Roman"/>
          <w:szCs w:val="24"/>
          <w:lang w:val="bs-Latn-BA"/>
        </w:rPr>
        <w:t>и</w:t>
      </w:r>
      <w:r w:rsidR="00B97286" w:rsidRPr="00295637">
        <w:rPr>
          <w:rFonts w:ascii="Times New Roman" w:hAnsi="Times New Roman"/>
          <w:szCs w:val="24"/>
          <w:lang w:val="bs-Latn-BA"/>
        </w:rPr>
        <w:t xml:space="preserve"> </w:t>
      </w:r>
      <w:r w:rsidR="00277407">
        <w:rPr>
          <w:rFonts w:ascii="Times New Roman" w:hAnsi="Times New Roman"/>
          <w:szCs w:val="24"/>
          <w:lang w:val="sr-Cyrl-BA"/>
        </w:rPr>
        <w:t>П</w:t>
      </w:r>
      <w:r>
        <w:rPr>
          <w:rFonts w:ascii="Times New Roman" w:hAnsi="Times New Roman"/>
          <w:szCs w:val="24"/>
          <w:lang w:val="bs-Latn-BA"/>
        </w:rPr>
        <w:t>ревенција</w:t>
      </w:r>
      <w:r w:rsidR="00B97286" w:rsidRPr="00295637">
        <w:rPr>
          <w:rFonts w:ascii="Times New Roman" w:hAnsi="Times New Roman"/>
          <w:szCs w:val="24"/>
          <w:lang w:val="bs-Latn-BA"/>
        </w:rPr>
        <w:t xml:space="preserve"> </w:t>
      </w:r>
      <w:r>
        <w:rPr>
          <w:rFonts w:ascii="Times New Roman" w:hAnsi="Times New Roman"/>
          <w:szCs w:val="24"/>
          <w:lang w:val="bs-Latn-BA"/>
        </w:rPr>
        <w:t>узнемиравања</w:t>
      </w:r>
      <w:r w:rsidR="00B97286" w:rsidRPr="00295637">
        <w:rPr>
          <w:rFonts w:ascii="Times New Roman" w:hAnsi="Times New Roman"/>
          <w:szCs w:val="24"/>
          <w:lang w:val="bs-Latn-BA"/>
        </w:rPr>
        <w:t xml:space="preserve"> </w:t>
      </w:r>
      <w:r>
        <w:rPr>
          <w:rFonts w:ascii="Times New Roman" w:hAnsi="Times New Roman"/>
          <w:szCs w:val="24"/>
          <w:lang w:val="bs-Latn-BA"/>
        </w:rPr>
        <w:t>на</w:t>
      </w:r>
      <w:r w:rsidR="00B97286" w:rsidRPr="00295637">
        <w:rPr>
          <w:rFonts w:ascii="Times New Roman" w:hAnsi="Times New Roman"/>
          <w:szCs w:val="24"/>
          <w:lang w:val="bs-Latn-BA"/>
        </w:rPr>
        <w:t xml:space="preserve"> </w:t>
      </w:r>
      <w:r>
        <w:rPr>
          <w:rFonts w:ascii="Times New Roman" w:hAnsi="Times New Roman"/>
          <w:szCs w:val="24"/>
          <w:lang w:val="bs-Latn-BA"/>
        </w:rPr>
        <w:t>основу</w:t>
      </w:r>
      <w:r w:rsidR="00B97286" w:rsidRPr="00295637">
        <w:rPr>
          <w:rFonts w:ascii="Times New Roman" w:hAnsi="Times New Roman"/>
          <w:szCs w:val="24"/>
          <w:lang w:val="bs-Latn-BA"/>
        </w:rPr>
        <w:t xml:space="preserve"> </w:t>
      </w:r>
      <w:r>
        <w:rPr>
          <w:rFonts w:ascii="Times New Roman" w:hAnsi="Times New Roman"/>
          <w:szCs w:val="24"/>
          <w:lang w:val="bs-Latn-BA"/>
        </w:rPr>
        <w:t>пола</w:t>
      </w:r>
      <w:r w:rsidR="00B97286" w:rsidRPr="00295637">
        <w:rPr>
          <w:rFonts w:ascii="Times New Roman" w:hAnsi="Times New Roman"/>
          <w:szCs w:val="24"/>
          <w:lang w:val="bs-Latn-BA"/>
        </w:rPr>
        <w:t xml:space="preserve"> </w:t>
      </w:r>
      <w:r>
        <w:rPr>
          <w:rFonts w:ascii="Times New Roman" w:hAnsi="Times New Roman"/>
          <w:szCs w:val="24"/>
          <w:lang w:val="bs-Latn-BA"/>
        </w:rPr>
        <w:t>и</w:t>
      </w:r>
      <w:r w:rsidR="00B97286" w:rsidRPr="00295637">
        <w:rPr>
          <w:rFonts w:ascii="Times New Roman" w:hAnsi="Times New Roman"/>
          <w:szCs w:val="24"/>
          <w:lang w:val="bs-Latn-BA"/>
        </w:rPr>
        <w:t xml:space="preserve"> </w:t>
      </w:r>
      <w:r>
        <w:rPr>
          <w:rFonts w:ascii="Times New Roman" w:hAnsi="Times New Roman"/>
          <w:szCs w:val="24"/>
          <w:lang w:val="bs-Latn-BA"/>
        </w:rPr>
        <w:t>сексуалног</w:t>
      </w:r>
      <w:r w:rsidR="00B97286" w:rsidRPr="00295637">
        <w:rPr>
          <w:rFonts w:ascii="Times New Roman" w:hAnsi="Times New Roman"/>
          <w:szCs w:val="24"/>
          <w:lang w:val="bs-Latn-BA"/>
        </w:rPr>
        <w:t xml:space="preserve"> </w:t>
      </w:r>
      <w:r>
        <w:rPr>
          <w:rFonts w:ascii="Times New Roman" w:hAnsi="Times New Roman"/>
          <w:szCs w:val="24"/>
          <w:lang w:val="bs-Latn-BA"/>
        </w:rPr>
        <w:t>узнемиравања</w:t>
      </w:r>
      <w:r w:rsidR="00B97286" w:rsidRPr="00295637">
        <w:rPr>
          <w:rFonts w:ascii="Times New Roman" w:hAnsi="Times New Roman"/>
          <w:szCs w:val="24"/>
          <w:lang w:val="bs-Latn-BA"/>
        </w:rPr>
        <w:t xml:space="preserve">. </w:t>
      </w:r>
      <w:r>
        <w:rPr>
          <w:rFonts w:ascii="Times New Roman" w:hAnsi="Times New Roman"/>
          <w:szCs w:val="24"/>
          <w:lang w:val="bs-Latn-BA"/>
        </w:rPr>
        <w:t>Почетком</w:t>
      </w:r>
      <w:r w:rsidR="00B97286" w:rsidRPr="00295637">
        <w:rPr>
          <w:rFonts w:ascii="Times New Roman" w:hAnsi="Times New Roman"/>
          <w:szCs w:val="24"/>
          <w:lang w:val="bs-Latn-BA"/>
        </w:rPr>
        <w:t xml:space="preserve"> </w:t>
      </w:r>
      <w:r>
        <w:rPr>
          <w:rFonts w:ascii="Times New Roman" w:hAnsi="Times New Roman"/>
          <w:szCs w:val="24"/>
          <w:lang w:val="bs-Latn-BA"/>
        </w:rPr>
        <w:t>наредног</w:t>
      </w:r>
      <w:r w:rsidR="00B97286" w:rsidRPr="00295637">
        <w:rPr>
          <w:rFonts w:ascii="Times New Roman" w:hAnsi="Times New Roman"/>
          <w:szCs w:val="24"/>
          <w:lang w:val="bs-Latn-BA"/>
        </w:rPr>
        <w:t xml:space="preserve"> </w:t>
      </w:r>
      <w:r>
        <w:rPr>
          <w:rFonts w:ascii="Times New Roman" w:hAnsi="Times New Roman"/>
          <w:szCs w:val="24"/>
          <w:lang w:val="bs-Latn-BA"/>
        </w:rPr>
        <w:t>извјештајног</w:t>
      </w:r>
      <w:r w:rsidR="00B97286" w:rsidRPr="00295637">
        <w:rPr>
          <w:rFonts w:ascii="Times New Roman" w:hAnsi="Times New Roman"/>
          <w:szCs w:val="24"/>
          <w:lang w:val="bs-Latn-BA"/>
        </w:rPr>
        <w:t xml:space="preserve"> </w:t>
      </w:r>
      <w:r>
        <w:rPr>
          <w:rFonts w:ascii="Times New Roman" w:hAnsi="Times New Roman"/>
          <w:szCs w:val="24"/>
          <w:lang w:val="bs-Latn-BA"/>
        </w:rPr>
        <w:t>периода</w:t>
      </w:r>
      <w:r w:rsidR="00B97286" w:rsidRPr="00295637">
        <w:rPr>
          <w:rFonts w:ascii="Times New Roman" w:hAnsi="Times New Roman"/>
          <w:szCs w:val="24"/>
          <w:lang w:val="bs-Latn-BA"/>
        </w:rPr>
        <w:t xml:space="preserve"> </w:t>
      </w:r>
      <w:r w:rsidR="00277407">
        <w:rPr>
          <w:rFonts w:ascii="Times New Roman" w:hAnsi="Times New Roman"/>
          <w:szCs w:val="24"/>
          <w:lang w:val="bs-Latn-BA"/>
        </w:rPr>
        <w:t>би</w:t>
      </w:r>
      <w:r>
        <w:rPr>
          <w:rFonts w:ascii="Times New Roman" w:hAnsi="Times New Roman"/>
          <w:szCs w:val="24"/>
          <w:lang w:val="bs-Latn-BA"/>
        </w:rPr>
        <w:t>ће</w:t>
      </w:r>
      <w:r w:rsidR="007B1D72" w:rsidRPr="00295637">
        <w:rPr>
          <w:rFonts w:ascii="Times New Roman" w:hAnsi="Times New Roman"/>
          <w:szCs w:val="24"/>
          <w:lang w:val="bs-Latn-BA"/>
        </w:rPr>
        <w:t xml:space="preserve"> </w:t>
      </w:r>
      <w:r>
        <w:rPr>
          <w:rFonts w:ascii="Times New Roman" w:hAnsi="Times New Roman"/>
          <w:szCs w:val="24"/>
          <w:lang w:val="bs-Latn-BA"/>
        </w:rPr>
        <w:t>реализ</w:t>
      </w:r>
      <w:r w:rsidR="00277407">
        <w:rPr>
          <w:rFonts w:ascii="Times New Roman" w:hAnsi="Times New Roman"/>
          <w:szCs w:val="24"/>
          <w:lang w:val="sr-Cyrl-BA"/>
        </w:rPr>
        <w:t>оване</w:t>
      </w:r>
      <w:r w:rsidR="00B97286" w:rsidRPr="00295637">
        <w:rPr>
          <w:rFonts w:ascii="Times New Roman" w:hAnsi="Times New Roman"/>
          <w:szCs w:val="24"/>
          <w:lang w:val="bs-Latn-BA"/>
        </w:rPr>
        <w:t xml:space="preserve"> </w:t>
      </w:r>
      <w:r>
        <w:rPr>
          <w:rFonts w:ascii="Times New Roman" w:hAnsi="Times New Roman"/>
          <w:szCs w:val="24"/>
          <w:lang w:val="bs-Latn-BA"/>
        </w:rPr>
        <w:t>техничке</w:t>
      </w:r>
      <w:r w:rsidR="00B97286" w:rsidRPr="00295637">
        <w:rPr>
          <w:rFonts w:ascii="Times New Roman" w:hAnsi="Times New Roman"/>
          <w:szCs w:val="24"/>
          <w:lang w:val="bs-Latn-BA"/>
        </w:rPr>
        <w:t xml:space="preserve"> </w:t>
      </w:r>
      <w:r>
        <w:rPr>
          <w:rFonts w:ascii="Times New Roman" w:hAnsi="Times New Roman"/>
          <w:szCs w:val="24"/>
          <w:lang w:val="bs-Latn-BA"/>
        </w:rPr>
        <w:t>претпоставке</w:t>
      </w:r>
      <w:r w:rsidR="007B1D72">
        <w:rPr>
          <w:rFonts w:ascii="Times New Roman" w:hAnsi="Times New Roman"/>
          <w:szCs w:val="24"/>
          <w:lang w:val="bs-Latn-BA"/>
        </w:rPr>
        <w:t xml:space="preserve"> </w:t>
      </w:r>
      <w:r>
        <w:rPr>
          <w:rFonts w:ascii="Times New Roman" w:hAnsi="Times New Roman"/>
          <w:szCs w:val="24"/>
          <w:lang w:val="bs-Latn-BA"/>
        </w:rPr>
        <w:t>за</w:t>
      </w:r>
      <w:r w:rsidR="007B1D72">
        <w:rPr>
          <w:rFonts w:ascii="Times New Roman" w:hAnsi="Times New Roman"/>
          <w:szCs w:val="24"/>
          <w:lang w:val="bs-Latn-BA"/>
        </w:rPr>
        <w:t xml:space="preserve"> </w:t>
      </w:r>
      <w:r>
        <w:rPr>
          <w:rFonts w:ascii="Times New Roman" w:hAnsi="Times New Roman"/>
          <w:szCs w:val="24"/>
          <w:lang w:val="bs-Latn-BA"/>
        </w:rPr>
        <w:t>постављање</w:t>
      </w:r>
      <w:r w:rsidR="007B1D72">
        <w:rPr>
          <w:rFonts w:ascii="Times New Roman" w:hAnsi="Times New Roman"/>
          <w:szCs w:val="24"/>
          <w:lang w:val="bs-Latn-BA"/>
        </w:rPr>
        <w:t xml:space="preserve"> </w:t>
      </w:r>
      <w:r>
        <w:rPr>
          <w:rFonts w:ascii="Times New Roman" w:hAnsi="Times New Roman"/>
          <w:szCs w:val="24"/>
          <w:lang w:val="bs-Latn-BA"/>
        </w:rPr>
        <w:t>курсева</w:t>
      </w:r>
      <w:r w:rsidR="007B1D72">
        <w:rPr>
          <w:rFonts w:ascii="Times New Roman" w:hAnsi="Times New Roman"/>
          <w:szCs w:val="24"/>
          <w:lang w:val="bs-Latn-BA"/>
        </w:rPr>
        <w:t xml:space="preserve"> </w:t>
      </w:r>
      <w:r>
        <w:rPr>
          <w:rFonts w:ascii="Times New Roman" w:hAnsi="Times New Roman"/>
          <w:szCs w:val="24"/>
          <w:lang w:val="bs-Latn-BA"/>
        </w:rPr>
        <w:t>на</w:t>
      </w:r>
      <w:r w:rsidR="007B1D72">
        <w:rPr>
          <w:rFonts w:ascii="Times New Roman" w:hAnsi="Times New Roman"/>
          <w:szCs w:val="24"/>
          <w:lang w:val="bs-Latn-BA"/>
        </w:rPr>
        <w:t xml:space="preserve"> </w:t>
      </w:r>
      <w:r>
        <w:rPr>
          <w:rFonts w:ascii="Times New Roman" w:hAnsi="Times New Roman"/>
          <w:szCs w:val="24"/>
          <w:lang w:val="bs-Latn-BA"/>
        </w:rPr>
        <w:t>онл</w:t>
      </w:r>
      <w:r w:rsidR="00277407">
        <w:rPr>
          <w:rFonts w:ascii="Times New Roman" w:hAnsi="Times New Roman"/>
          <w:szCs w:val="24"/>
          <w:lang w:val="sr-Cyrl-BA"/>
        </w:rPr>
        <w:t>ајн</w:t>
      </w:r>
      <w:r w:rsidR="00B97286" w:rsidRPr="00295637">
        <w:rPr>
          <w:rFonts w:ascii="Times New Roman" w:hAnsi="Times New Roman"/>
          <w:szCs w:val="24"/>
          <w:lang w:val="bs-Latn-BA"/>
        </w:rPr>
        <w:t xml:space="preserve"> </w:t>
      </w:r>
      <w:r>
        <w:rPr>
          <w:rFonts w:ascii="Times New Roman" w:hAnsi="Times New Roman"/>
          <w:szCs w:val="24"/>
          <w:lang w:val="bs-Latn-BA"/>
        </w:rPr>
        <w:t>ЛМС</w:t>
      </w:r>
      <w:r w:rsidR="00B97286" w:rsidRPr="00295637">
        <w:rPr>
          <w:rFonts w:ascii="Times New Roman" w:hAnsi="Times New Roman"/>
          <w:szCs w:val="24"/>
          <w:lang w:val="bs-Latn-BA"/>
        </w:rPr>
        <w:t xml:space="preserve"> </w:t>
      </w:r>
      <w:r>
        <w:rPr>
          <w:rFonts w:ascii="Times New Roman" w:hAnsi="Times New Roman"/>
          <w:szCs w:val="24"/>
          <w:lang w:val="bs-Latn-BA"/>
        </w:rPr>
        <w:t>тренинг</w:t>
      </w:r>
      <w:r w:rsidR="00B97286" w:rsidRPr="00295637">
        <w:rPr>
          <w:rFonts w:ascii="Times New Roman" w:hAnsi="Times New Roman"/>
          <w:szCs w:val="24"/>
          <w:lang w:val="bs-Latn-BA"/>
        </w:rPr>
        <w:t>-</w:t>
      </w:r>
      <w:r>
        <w:rPr>
          <w:rFonts w:ascii="Times New Roman" w:hAnsi="Times New Roman"/>
          <w:szCs w:val="24"/>
          <w:lang w:val="bs-Latn-BA"/>
        </w:rPr>
        <w:t>платформу</w:t>
      </w:r>
      <w:r w:rsidR="00B97286" w:rsidRPr="00295637">
        <w:rPr>
          <w:rFonts w:ascii="Times New Roman" w:hAnsi="Times New Roman"/>
          <w:szCs w:val="24"/>
          <w:lang w:val="bs-Latn-BA"/>
        </w:rPr>
        <w:t xml:space="preserve"> </w:t>
      </w:r>
      <w:r>
        <w:rPr>
          <w:rFonts w:ascii="Times New Roman" w:hAnsi="Times New Roman"/>
          <w:szCs w:val="24"/>
          <w:lang w:val="bs-Latn-BA"/>
        </w:rPr>
        <w:t>АР</w:t>
      </w:r>
      <w:r w:rsidR="00277407">
        <w:rPr>
          <w:rFonts w:ascii="Times New Roman" w:hAnsi="Times New Roman"/>
          <w:szCs w:val="24"/>
          <w:lang w:val="sr-Cyrl-BA"/>
        </w:rPr>
        <w:t>П</w:t>
      </w:r>
      <w:r w:rsidR="007B1D72">
        <w:rPr>
          <w:rFonts w:ascii="Times New Roman" w:hAnsi="Times New Roman"/>
          <w:szCs w:val="24"/>
          <w:lang w:val="bs-Latn-BA"/>
        </w:rPr>
        <w:t xml:space="preserve"> </w:t>
      </w:r>
      <w:r>
        <w:rPr>
          <w:rFonts w:ascii="Times New Roman" w:hAnsi="Times New Roman"/>
          <w:szCs w:val="24"/>
          <w:lang w:val="bs-Latn-BA"/>
        </w:rPr>
        <w:t>БиХ</w:t>
      </w:r>
      <w:r w:rsidR="007B1D72">
        <w:rPr>
          <w:rFonts w:ascii="Times New Roman" w:hAnsi="Times New Roman"/>
          <w:szCs w:val="24"/>
          <w:lang w:val="bs-Latn-BA"/>
        </w:rPr>
        <w:t xml:space="preserve"> </w:t>
      </w:r>
      <w:r>
        <w:rPr>
          <w:rFonts w:ascii="Times New Roman" w:hAnsi="Times New Roman"/>
          <w:szCs w:val="24"/>
          <w:lang w:val="bs-Latn-BA"/>
        </w:rPr>
        <w:t>МЉПИ</w:t>
      </w:r>
      <w:r w:rsidR="007B1D72">
        <w:rPr>
          <w:rFonts w:ascii="Times New Roman" w:hAnsi="Times New Roman"/>
          <w:szCs w:val="24"/>
          <w:lang w:val="bs-Latn-BA"/>
        </w:rPr>
        <w:t xml:space="preserve"> </w:t>
      </w:r>
      <w:r>
        <w:rPr>
          <w:rFonts w:ascii="Times New Roman" w:hAnsi="Times New Roman"/>
          <w:szCs w:val="24"/>
          <w:lang w:val="bs-Latn-BA"/>
        </w:rPr>
        <w:t>БиХ</w:t>
      </w:r>
      <w:r w:rsidR="00B97286" w:rsidRPr="00295637">
        <w:rPr>
          <w:rFonts w:ascii="Times New Roman" w:hAnsi="Times New Roman"/>
          <w:szCs w:val="24"/>
          <w:lang w:val="bs-Latn-BA"/>
        </w:rPr>
        <w:t xml:space="preserve"> </w:t>
      </w:r>
      <w:r>
        <w:rPr>
          <w:rFonts w:ascii="Times New Roman" w:hAnsi="Times New Roman"/>
          <w:szCs w:val="24"/>
          <w:lang w:val="bs-Latn-BA"/>
        </w:rPr>
        <w:t>и</w:t>
      </w:r>
      <w:r w:rsidR="00A456CB">
        <w:rPr>
          <w:rFonts w:ascii="Times New Roman" w:hAnsi="Times New Roman"/>
          <w:szCs w:val="24"/>
          <w:lang w:val="bs-Latn-BA"/>
        </w:rPr>
        <w:t>/</w:t>
      </w:r>
      <w:r>
        <w:rPr>
          <w:rFonts w:ascii="Times New Roman" w:hAnsi="Times New Roman"/>
          <w:szCs w:val="24"/>
          <w:lang w:val="bs-Latn-BA"/>
        </w:rPr>
        <w:t>или</w:t>
      </w:r>
      <w:r w:rsidR="00B97286" w:rsidRPr="00295637">
        <w:rPr>
          <w:rFonts w:ascii="Times New Roman" w:hAnsi="Times New Roman"/>
          <w:szCs w:val="24"/>
          <w:lang w:val="bs-Latn-BA"/>
        </w:rPr>
        <w:t xml:space="preserve"> </w:t>
      </w:r>
      <w:r>
        <w:rPr>
          <w:rFonts w:ascii="Times New Roman" w:hAnsi="Times New Roman"/>
          <w:szCs w:val="24"/>
          <w:lang w:val="bs-Latn-BA"/>
        </w:rPr>
        <w:t>АДС</w:t>
      </w:r>
      <w:r w:rsidR="00A456CB">
        <w:rPr>
          <w:rFonts w:ascii="Times New Roman" w:hAnsi="Times New Roman"/>
          <w:szCs w:val="24"/>
          <w:lang w:val="bs-Latn-BA"/>
        </w:rPr>
        <w:t xml:space="preserve"> </w:t>
      </w:r>
      <w:r>
        <w:rPr>
          <w:rFonts w:ascii="Times New Roman" w:hAnsi="Times New Roman"/>
          <w:szCs w:val="24"/>
          <w:lang w:val="bs-Latn-BA"/>
        </w:rPr>
        <w:t>БиХ</w:t>
      </w:r>
      <w:r w:rsidR="00B97286" w:rsidRPr="00295637">
        <w:rPr>
          <w:rFonts w:ascii="Times New Roman" w:hAnsi="Times New Roman"/>
          <w:szCs w:val="24"/>
          <w:lang w:val="bs-Latn-BA"/>
        </w:rPr>
        <w:t xml:space="preserve">. </w:t>
      </w:r>
    </w:p>
    <w:p w:rsidR="00B97286" w:rsidRPr="00295637" w:rsidRDefault="00B97286" w:rsidP="0086268D">
      <w:pPr>
        <w:jc w:val="both"/>
        <w:rPr>
          <w:rFonts w:ascii="Gill Sans MT" w:hAnsi="Gill Sans MT"/>
          <w:szCs w:val="24"/>
          <w:lang w:val="bs-Latn-BA"/>
        </w:rPr>
      </w:pPr>
    </w:p>
    <w:p w:rsidR="00B2411D" w:rsidRPr="00295637" w:rsidRDefault="00C6214E" w:rsidP="0086268D">
      <w:pPr>
        <w:jc w:val="both"/>
        <w:rPr>
          <w:rFonts w:ascii="Times New Roman" w:hAnsi="Times New Roman"/>
          <w:szCs w:val="24"/>
          <w:lang w:val="bs-Latn-BA"/>
        </w:rPr>
      </w:pPr>
      <w:r>
        <w:rPr>
          <w:rFonts w:ascii="Times New Roman" w:hAnsi="Times New Roman"/>
          <w:szCs w:val="24"/>
          <w:lang w:val="bs-Latn-BA"/>
        </w:rPr>
        <w:t>Када</w:t>
      </w:r>
      <w:r w:rsidR="007B1D72">
        <w:rPr>
          <w:rFonts w:ascii="Times New Roman" w:hAnsi="Times New Roman"/>
          <w:szCs w:val="24"/>
          <w:lang w:val="bs-Latn-BA"/>
        </w:rPr>
        <w:t xml:space="preserve"> </w:t>
      </w:r>
      <w:r>
        <w:rPr>
          <w:rFonts w:ascii="Times New Roman" w:hAnsi="Times New Roman"/>
          <w:szCs w:val="24"/>
          <w:lang w:val="bs-Latn-BA"/>
        </w:rPr>
        <w:t>је</w:t>
      </w:r>
      <w:r w:rsidR="007B1D72">
        <w:rPr>
          <w:rFonts w:ascii="Times New Roman" w:hAnsi="Times New Roman"/>
          <w:szCs w:val="24"/>
          <w:lang w:val="bs-Latn-BA"/>
        </w:rPr>
        <w:t xml:space="preserve"> </w:t>
      </w:r>
      <w:r>
        <w:rPr>
          <w:rFonts w:ascii="Times New Roman" w:hAnsi="Times New Roman"/>
          <w:szCs w:val="24"/>
          <w:lang w:val="bs-Latn-BA"/>
        </w:rPr>
        <w:t>ријеч</w:t>
      </w:r>
      <w:r w:rsidR="007B1D72">
        <w:rPr>
          <w:rFonts w:ascii="Times New Roman" w:hAnsi="Times New Roman"/>
          <w:szCs w:val="24"/>
          <w:lang w:val="bs-Latn-BA"/>
        </w:rPr>
        <w:t xml:space="preserve"> </w:t>
      </w:r>
      <w:r>
        <w:rPr>
          <w:rFonts w:ascii="Times New Roman" w:hAnsi="Times New Roman"/>
          <w:szCs w:val="24"/>
          <w:lang w:val="bs-Latn-BA"/>
        </w:rPr>
        <w:t>о</w:t>
      </w:r>
      <w:r w:rsidR="007B1D72">
        <w:rPr>
          <w:rFonts w:ascii="Times New Roman" w:hAnsi="Times New Roman"/>
          <w:szCs w:val="24"/>
          <w:lang w:val="bs-Latn-BA"/>
        </w:rPr>
        <w:t xml:space="preserve"> </w:t>
      </w:r>
      <w:r>
        <w:rPr>
          <w:rFonts w:ascii="Times New Roman" w:hAnsi="Times New Roman"/>
          <w:szCs w:val="24"/>
          <w:lang w:val="bs-Latn-BA"/>
        </w:rPr>
        <w:t>обавезама</w:t>
      </w:r>
      <w:r w:rsidR="00B2411D" w:rsidRPr="00295637">
        <w:rPr>
          <w:rFonts w:ascii="Times New Roman" w:hAnsi="Times New Roman"/>
          <w:szCs w:val="24"/>
          <w:lang w:val="bs-Latn-BA"/>
        </w:rPr>
        <w:t xml:space="preserve"> </w:t>
      </w:r>
      <w:r>
        <w:rPr>
          <w:rFonts w:ascii="Times New Roman" w:hAnsi="Times New Roman"/>
          <w:szCs w:val="24"/>
          <w:lang w:val="bs-Latn-BA"/>
        </w:rPr>
        <w:t>према</w:t>
      </w:r>
      <w:r w:rsidR="00B2411D" w:rsidRPr="00295637">
        <w:rPr>
          <w:rFonts w:ascii="Times New Roman" w:hAnsi="Times New Roman"/>
          <w:szCs w:val="24"/>
          <w:lang w:val="bs-Latn-BA"/>
        </w:rPr>
        <w:t xml:space="preserve"> </w:t>
      </w:r>
      <w:r>
        <w:rPr>
          <w:rFonts w:ascii="Times New Roman" w:hAnsi="Times New Roman"/>
          <w:szCs w:val="24"/>
          <w:lang w:val="bs-Latn-BA"/>
        </w:rPr>
        <w:t>међународним</w:t>
      </w:r>
      <w:r w:rsidR="00B2411D" w:rsidRPr="00295637">
        <w:rPr>
          <w:rFonts w:ascii="Times New Roman" w:hAnsi="Times New Roman"/>
          <w:szCs w:val="24"/>
          <w:lang w:val="bs-Latn-BA"/>
        </w:rPr>
        <w:t xml:space="preserve"> </w:t>
      </w:r>
      <w:r>
        <w:rPr>
          <w:rFonts w:ascii="Times New Roman" w:hAnsi="Times New Roman"/>
          <w:szCs w:val="24"/>
          <w:lang w:val="bs-Latn-BA"/>
        </w:rPr>
        <w:t>стандардима</w:t>
      </w:r>
      <w:r w:rsidR="00B2411D" w:rsidRPr="00295637">
        <w:rPr>
          <w:rFonts w:ascii="Times New Roman" w:hAnsi="Times New Roman"/>
          <w:szCs w:val="24"/>
          <w:lang w:val="bs-Latn-BA"/>
        </w:rPr>
        <w:t xml:space="preserve"> </w:t>
      </w:r>
      <w:r>
        <w:rPr>
          <w:rFonts w:ascii="Times New Roman" w:hAnsi="Times New Roman"/>
          <w:szCs w:val="24"/>
          <w:lang w:val="bs-Latn-BA"/>
        </w:rPr>
        <w:t>за</w:t>
      </w:r>
      <w:r w:rsidR="00B2411D"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B2411D" w:rsidRPr="00295637">
        <w:rPr>
          <w:rFonts w:ascii="Times New Roman" w:hAnsi="Times New Roman"/>
          <w:szCs w:val="24"/>
          <w:lang w:val="bs-Latn-BA"/>
        </w:rPr>
        <w:t xml:space="preserve"> </w:t>
      </w:r>
      <w:r>
        <w:rPr>
          <w:rFonts w:ascii="Times New Roman" w:hAnsi="Times New Roman"/>
          <w:szCs w:val="24"/>
          <w:lang w:val="bs-Latn-BA"/>
        </w:rPr>
        <w:t>полова</w:t>
      </w:r>
      <w:r w:rsidR="00B2411D" w:rsidRPr="00295637">
        <w:rPr>
          <w:rFonts w:ascii="Times New Roman" w:hAnsi="Times New Roman"/>
          <w:szCs w:val="24"/>
          <w:lang w:val="bs-Latn-BA"/>
        </w:rPr>
        <w:t xml:space="preserve"> </w:t>
      </w:r>
      <w:r>
        <w:rPr>
          <w:rFonts w:ascii="Times New Roman" w:hAnsi="Times New Roman"/>
          <w:szCs w:val="24"/>
          <w:lang w:val="bs-Latn-BA"/>
        </w:rPr>
        <w:t>остварена</w:t>
      </w:r>
      <w:r w:rsidR="00B2411D" w:rsidRPr="00295637">
        <w:rPr>
          <w:rFonts w:ascii="Times New Roman" w:hAnsi="Times New Roman"/>
          <w:szCs w:val="24"/>
          <w:lang w:val="bs-Latn-BA"/>
        </w:rPr>
        <w:t xml:space="preserve"> </w:t>
      </w:r>
      <w:r>
        <w:rPr>
          <w:rFonts w:ascii="Times New Roman" w:hAnsi="Times New Roman"/>
          <w:szCs w:val="24"/>
          <w:lang w:val="bs-Latn-BA"/>
        </w:rPr>
        <w:t>је</w:t>
      </w:r>
      <w:r w:rsidR="00B2411D" w:rsidRPr="00295637">
        <w:rPr>
          <w:rFonts w:ascii="Times New Roman" w:hAnsi="Times New Roman"/>
          <w:szCs w:val="24"/>
          <w:lang w:val="bs-Latn-BA"/>
        </w:rPr>
        <w:t xml:space="preserve"> </w:t>
      </w:r>
      <w:r>
        <w:rPr>
          <w:rFonts w:ascii="Times New Roman" w:hAnsi="Times New Roman"/>
          <w:szCs w:val="24"/>
          <w:lang w:val="bs-Latn-BA"/>
        </w:rPr>
        <w:t>сарадња</w:t>
      </w:r>
      <w:r w:rsidR="007B1D72">
        <w:rPr>
          <w:rFonts w:ascii="Times New Roman" w:hAnsi="Times New Roman"/>
          <w:szCs w:val="24"/>
          <w:lang w:val="bs-Latn-BA"/>
        </w:rPr>
        <w:t xml:space="preserve"> </w:t>
      </w:r>
      <w:r>
        <w:rPr>
          <w:rFonts w:ascii="Times New Roman" w:hAnsi="Times New Roman"/>
          <w:szCs w:val="24"/>
          <w:lang w:val="bs-Latn-BA"/>
        </w:rPr>
        <w:t>са</w:t>
      </w:r>
      <w:r w:rsidR="007B1D72">
        <w:rPr>
          <w:rFonts w:ascii="Times New Roman" w:hAnsi="Times New Roman"/>
          <w:szCs w:val="24"/>
          <w:lang w:val="bs-Latn-BA"/>
        </w:rPr>
        <w:t xml:space="preserve"> </w:t>
      </w:r>
      <w:r w:rsidR="00277407">
        <w:rPr>
          <w:rFonts w:ascii="Times New Roman" w:hAnsi="Times New Roman"/>
          <w:szCs w:val="24"/>
          <w:lang w:val="sr-Cyrl-BA"/>
        </w:rPr>
        <w:t>С</w:t>
      </w:r>
      <w:r>
        <w:rPr>
          <w:rFonts w:ascii="Times New Roman" w:hAnsi="Times New Roman"/>
          <w:szCs w:val="24"/>
          <w:lang w:val="bs-Latn-BA"/>
        </w:rPr>
        <w:t>Е</w:t>
      </w:r>
      <w:r w:rsidR="007B1D72">
        <w:rPr>
          <w:rFonts w:ascii="Times New Roman" w:hAnsi="Times New Roman"/>
          <w:szCs w:val="24"/>
          <w:lang w:val="bs-Latn-BA"/>
        </w:rPr>
        <w:t xml:space="preserve"> </w:t>
      </w:r>
      <w:r>
        <w:rPr>
          <w:rFonts w:ascii="Times New Roman" w:hAnsi="Times New Roman"/>
          <w:szCs w:val="24"/>
          <w:lang w:val="bs-Latn-BA"/>
        </w:rPr>
        <w:t>кроз</w:t>
      </w:r>
      <w:r w:rsidR="007B1D72">
        <w:rPr>
          <w:rFonts w:ascii="Times New Roman" w:hAnsi="Times New Roman"/>
          <w:szCs w:val="24"/>
          <w:lang w:val="bs-Latn-BA"/>
        </w:rPr>
        <w:t xml:space="preserve"> </w:t>
      </w:r>
      <w:r>
        <w:rPr>
          <w:rFonts w:ascii="Times New Roman" w:hAnsi="Times New Roman"/>
          <w:szCs w:val="24"/>
          <w:lang w:val="bs-Latn-BA"/>
        </w:rPr>
        <w:t>пројект</w:t>
      </w:r>
      <w:r w:rsidR="007B1D72">
        <w:rPr>
          <w:rFonts w:ascii="Times New Roman" w:hAnsi="Times New Roman"/>
          <w:szCs w:val="24"/>
          <w:lang w:val="bs-Latn-BA"/>
        </w:rPr>
        <w:t xml:space="preserve"> „</w:t>
      </w:r>
      <w:r>
        <w:rPr>
          <w:rFonts w:ascii="Times New Roman" w:hAnsi="Times New Roman"/>
          <w:szCs w:val="24"/>
          <w:lang w:val="bs-Latn-BA"/>
        </w:rPr>
        <w:t>Борба</w:t>
      </w:r>
      <w:r w:rsidR="00B2411D" w:rsidRPr="00295637">
        <w:rPr>
          <w:rFonts w:ascii="Times New Roman" w:hAnsi="Times New Roman"/>
          <w:szCs w:val="24"/>
          <w:lang w:val="bs-Latn-BA"/>
        </w:rPr>
        <w:t xml:space="preserve"> </w:t>
      </w:r>
      <w:r>
        <w:rPr>
          <w:rFonts w:ascii="Times New Roman" w:hAnsi="Times New Roman"/>
          <w:szCs w:val="24"/>
          <w:lang w:val="bs-Latn-BA"/>
        </w:rPr>
        <w:t>против</w:t>
      </w:r>
      <w:r w:rsidR="00B2411D" w:rsidRPr="00295637">
        <w:rPr>
          <w:rFonts w:ascii="Times New Roman" w:hAnsi="Times New Roman"/>
          <w:szCs w:val="24"/>
          <w:lang w:val="bs-Latn-BA"/>
        </w:rPr>
        <w:t xml:space="preserve"> </w:t>
      </w:r>
      <w:r>
        <w:rPr>
          <w:rFonts w:ascii="Times New Roman" w:hAnsi="Times New Roman"/>
          <w:szCs w:val="24"/>
          <w:lang w:val="bs-Latn-BA"/>
        </w:rPr>
        <w:t>дигиталног</w:t>
      </w:r>
      <w:r w:rsidR="00B2411D" w:rsidRPr="00295637">
        <w:rPr>
          <w:rFonts w:ascii="Times New Roman" w:hAnsi="Times New Roman"/>
          <w:szCs w:val="24"/>
          <w:lang w:val="bs-Latn-BA"/>
        </w:rPr>
        <w:t xml:space="preserve"> </w:t>
      </w:r>
      <w:r>
        <w:rPr>
          <w:rFonts w:ascii="Times New Roman" w:hAnsi="Times New Roman"/>
          <w:szCs w:val="24"/>
          <w:lang w:val="bs-Latn-BA"/>
        </w:rPr>
        <w:t>и</w:t>
      </w:r>
      <w:r w:rsidR="00B2411D" w:rsidRPr="00295637">
        <w:rPr>
          <w:rFonts w:ascii="Times New Roman" w:hAnsi="Times New Roman"/>
          <w:szCs w:val="24"/>
          <w:lang w:val="bs-Latn-BA"/>
        </w:rPr>
        <w:t xml:space="preserve"> </w:t>
      </w:r>
      <w:r>
        <w:rPr>
          <w:rFonts w:ascii="Times New Roman" w:hAnsi="Times New Roman"/>
          <w:szCs w:val="24"/>
          <w:lang w:val="bs-Latn-BA"/>
        </w:rPr>
        <w:t>сексуалног</w:t>
      </w:r>
      <w:r w:rsidR="007B1D72">
        <w:rPr>
          <w:rFonts w:ascii="Times New Roman" w:hAnsi="Times New Roman"/>
          <w:szCs w:val="24"/>
          <w:lang w:val="bs-Latn-BA"/>
        </w:rPr>
        <w:t xml:space="preserve"> </w:t>
      </w:r>
      <w:r>
        <w:rPr>
          <w:rFonts w:ascii="Times New Roman" w:hAnsi="Times New Roman"/>
          <w:szCs w:val="24"/>
          <w:lang w:val="bs-Latn-BA"/>
        </w:rPr>
        <w:t>насиља</w:t>
      </w:r>
      <w:r w:rsidR="007B1D72">
        <w:rPr>
          <w:rFonts w:ascii="Times New Roman" w:hAnsi="Times New Roman"/>
          <w:szCs w:val="24"/>
          <w:lang w:val="bs-Latn-BA"/>
        </w:rPr>
        <w:t xml:space="preserve"> </w:t>
      </w:r>
      <w:r>
        <w:rPr>
          <w:rFonts w:ascii="Times New Roman" w:hAnsi="Times New Roman"/>
          <w:szCs w:val="24"/>
          <w:lang w:val="bs-Latn-BA"/>
        </w:rPr>
        <w:t>у</w:t>
      </w:r>
      <w:r w:rsidR="007B1D72">
        <w:rPr>
          <w:rFonts w:ascii="Times New Roman" w:hAnsi="Times New Roman"/>
          <w:szCs w:val="24"/>
          <w:lang w:val="bs-Latn-BA"/>
        </w:rPr>
        <w:t xml:space="preserve"> </w:t>
      </w:r>
      <w:r>
        <w:rPr>
          <w:rFonts w:ascii="Times New Roman" w:hAnsi="Times New Roman"/>
          <w:szCs w:val="24"/>
          <w:lang w:val="bs-Latn-BA"/>
        </w:rPr>
        <w:t>Босни</w:t>
      </w:r>
      <w:r w:rsidR="007B1D72">
        <w:rPr>
          <w:rFonts w:ascii="Times New Roman" w:hAnsi="Times New Roman"/>
          <w:szCs w:val="24"/>
          <w:lang w:val="bs-Latn-BA"/>
        </w:rPr>
        <w:t xml:space="preserve"> </w:t>
      </w:r>
      <w:r>
        <w:rPr>
          <w:rFonts w:ascii="Times New Roman" w:hAnsi="Times New Roman"/>
          <w:szCs w:val="24"/>
          <w:lang w:val="bs-Latn-BA"/>
        </w:rPr>
        <w:t>и</w:t>
      </w:r>
      <w:r w:rsidR="007B1D72">
        <w:rPr>
          <w:rFonts w:ascii="Times New Roman" w:hAnsi="Times New Roman"/>
          <w:szCs w:val="24"/>
          <w:lang w:val="bs-Latn-BA"/>
        </w:rPr>
        <w:t xml:space="preserve"> </w:t>
      </w:r>
      <w:r>
        <w:rPr>
          <w:rFonts w:ascii="Times New Roman" w:hAnsi="Times New Roman"/>
          <w:szCs w:val="24"/>
          <w:lang w:val="bs-Latn-BA"/>
        </w:rPr>
        <w:t>Херцеговини</w:t>
      </w:r>
      <w:r w:rsidR="007B1D72">
        <w:rPr>
          <w:rFonts w:ascii="Times New Roman" w:hAnsi="Times New Roman"/>
          <w:szCs w:val="24"/>
          <w:lang w:val="bs-Latn-BA"/>
        </w:rPr>
        <w:t>“</w:t>
      </w:r>
      <w:r w:rsidR="00B2411D" w:rsidRPr="00295637">
        <w:rPr>
          <w:rFonts w:ascii="Times New Roman" w:hAnsi="Times New Roman"/>
          <w:szCs w:val="24"/>
          <w:lang w:val="bs-Latn-BA"/>
        </w:rPr>
        <w:t xml:space="preserve">, </w:t>
      </w:r>
      <w:r>
        <w:rPr>
          <w:rFonts w:ascii="Times New Roman" w:hAnsi="Times New Roman"/>
          <w:szCs w:val="24"/>
          <w:lang w:val="bs-Latn-BA"/>
        </w:rPr>
        <w:t>у</w:t>
      </w:r>
      <w:r w:rsidR="00B2411D" w:rsidRPr="00295637">
        <w:rPr>
          <w:rFonts w:ascii="Times New Roman" w:hAnsi="Times New Roman"/>
          <w:szCs w:val="24"/>
          <w:lang w:val="bs-Latn-BA"/>
        </w:rPr>
        <w:t xml:space="preserve"> </w:t>
      </w:r>
      <w:r>
        <w:rPr>
          <w:rFonts w:ascii="Times New Roman" w:hAnsi="Times New Roman"/>
          <w:szCs w:val="24"/>
          <w:lang w:val="bs-Latn-BA"/>
        </w:rPr>
        <w:t>оквиру</w:t>
      </w:r>
      <w:r w:rsidR="00B2411D" w:rsidRPr="00295637">
        <w:rPr>
          <w:rFonts w:ascii="Times New Roman" w:hAnsi="Times New Roman"/>
          <w:szCs w:val="24"/>
          <w:lang w:val="bs-Latn-BA"/>
        </w:rPr>
        <w:t xml:space="preserve"> </w:t>
      </w:r>
      <w:r>
        <w:rPr>
          <w:rFonts w:ascii="Times New Roman" w:hAnsi="Times New Roman"/>
          <w:szCs w:val="24"/>
          <w:lang w:val="bs-Latn-BA"/>
        </w:rPr>
        <w:t>којег</w:t>
      </w:r>
      <w:r w:rsidR="00B2411D" w:rsidRPr="00295637">
        <w:rPr>
          <w:rFonts w:ascii="Times New Roman" w:hAnsi="Times New Roman"/>
          <w:szCs w:val="24"/>
          <w:lang w:val="bs-Latn-BA"/>
        </w:rPr>
        <w:t xml:space="preserve"> </w:t>
      </w:r>
      <w:r>
        <w:rPr>
          <w:rFonts w:ascii="Times New Roman" w:hAnsi="Times New Roman"/>
          <w:szCs w:val="24"/>
          <w:lang w:val="bs-Latn-BA"/>
        </w:rPr>
        <w:t>је</w:t>
      </w:r>
      <w:r w:rsidR="00B2411D" w:rsidRPr="00295637">
        <w:rPr>
          <w:rFonts w:ascii="Times New Roman" w:hAnsi="Times New Roman"/>
          <w:szCs w:val="24"/>
          <w:lang w:val="bs-Latn-BA"/>
        </w:rPr>
        <w:t xml:space="preserve"> </w:t>
      </w:r>
      <w:r>
        <w:rPr>
          <w:rFonts w:ascii="Times New Roman" w:hAnsi="Times New Roman"/>
          <w:szCs w:val="24"/>
          <w:lang w:val="bs-Latn-BA"/>
        </w:rPr>
        <w:t>одржан</w:t>
      </w:r>
      <w:r w:rsidR="00B2411D" w:rsidRPr="00295637">
        <w:rPr>
          <w:rFonts w:ascii="Times New Roman" w:hAnsi="Times New Roman"/>
          <w:szCs w:val="24"/>
          <w:lang w:val="bs-Latn-BA"/>
        </w:rPr>
        <w:t xml:space="preserve"> </w:t>
      </w:r>
      <w:r>
        <w:rPr>
          <w:rFonts w:ascii="Times New Roman" w:hAnsi="Times New Roman"/>
          <w:szCs w:val="24"/>
          <w:lang w:val="bs-Latn-BA"/>
        </w:rPr>
        <w:t>низ</w:t>
      </w:r>
      <w:r w:rsidR="00B2411D" w:rsidRPr="00295637">
        <w:rPr>
          <w:rFonts w:ascii="Times New Roman" w:hAnsi="Times New Roman"/>
          <w:szCs w:val="24"/>
          <w:lang w:val="bs-Latn-BA"/>
        </w:rPr>
        <w:t xml:space="preserve"> </w:t>
      </w:r>
      <w:r>
        <w:rPr>
          <w:rFonts w:ascii="Times New Roman" w:hAnsi="Times New Roman"/>
          <w:szCs w:val="24"/>
          <w:lang w:val="bs-Latn-BA"/>
        </w:rPr>
        <w:t>едукација</w:t>
      </w:r>
      <w:r w:rsidR="00B2411D" w:rsidRPr="00295637">
        <w:rPr>
          <w:rFonts w:ascii="Times New Roman" w:hAnsi="Times New Roman"/>
          <w:szCs w:val="24"/>
          <w:lang w:val="bs-Latn-BA"/>
        </w:rPr>
        <w:t xml:space="preserve"> </w:t>
      </w:r>
      <w:r>
        <w:rPr>
          <w:rFonts w:ascii="Times New Roman" w:hAnsi="Times New Roman"/>
          <w:szCs w:val="24"/>
          <w:lang w:val="bs-Latn-BA"/>
        </w:rPr>
        <w:t>за</w:t>
      </w:r>
      <w:r w:rsidR="00B2411D" w:rsidRPr="00295637">
        <w:rPr>
          <w:rFonts w:ascii="Times New Roman" w:hAnsi="Times New Roman"/>
          <w:szCs w:val="24"/>
          <w:lang w:val="bs-Latn-BA"/>
        </w:rPr>
        <w:t xml:space="preserve"> </w:t>
      </w:r>
      <w:r>
        <w:rPr>
          <w:rFonts w:ascii="Times New Roman" w:hAnsi="Times New Roman"/>
          <w:szCs w:val="24"/>
          <w:lang w:val="bs-Latn-BA"/>
        </w:rPr>
        <w:t>професионалце</w:t>
      </w:r>
      <w:r w:rsidR="00B2411D" w:rsidRPr="00295637">
        <w:rPr>
          <w:rFonts w:ascii="Times New Roman" w:hAnsi="Times New Roman"/>
          <w:szCs w:val="24"/>
          <w:lang w:val="bs-Latn-BA"/>
        </w:rPr>
        <w:t xml:space="preserve"> </w:t>
      </w:r>
      <w:r>
        <w:rPr>
          <w:rFonts w:ascii="Times New Roman" w:hAnsi="Times New Roman"/>
          <w:szCs w:val="24"/>
          <w:lang w:val="bs-Latn-BA"/>
        </w:rPr>
        <w:t>на</w:t>
      </w:r>
      <w:r w:rsidR="00B2411D" w:rsidRPr="00295637">
        <w:rPr>
          <w:rFonts w:ascii="Times New Roman" w:hAnsi="Times New Roman"/>
          <w:szCs w:val="24"/>
          <w:lang w:val="bs-Latn-BA"/>
        </w:rPr>
        <w:t xml:space="preserve"> </w:t>
      </w:r>
      <w:r>
        <w:rPr>
          <w:rFonts w:ascii="Times New Roman" w:hAnsi="Times New Roman"/>
          <w:szCs w:val="24"/>
          <w:lang w:val="bs-Latn-BA"/>
        </w:rPr>
        <w:t>теме</w:t>
      </w:r>
      <w:r w:rsidR="00B2411D" w:rsidRPr="00295637">
        <w:rPr>
          <w:rFonts w:ascii="Times New Roman" w:hAnsi="Times New Roman"/>
          <w:szCs w:val="24"/>
          <w:lang w:val="bs-Latn-BA"/>
        </w:rPr>
        <w:t>: „</w:t>
      </w:r>
      <w:r>
        <w:rPr>
          <w:rFonts w:ascii="Times New Roman" w:hAnsi="Times New Roman"/>
          <w:szCs w:val="24"/>
          <w:lang w:val="bs-Latn-BA"/>
        </w:rPr>
        <w:t>Нове</w:t>
      </w:r>
      <w:r w:rsidR="00B2411D" w:rsidRPr="00295637">
        <w:rPr>
          <w:rFonts w:ascii="Times New Roman" w:hAnsi="Times New Roman"/>
          <w:szCs w:val="24"/>
          <w:lang w:val="bs-Latn-BA"/>
        </w:rPr>
        <w:t xml:space="preserve"> </w:t>
      </w:r>
      <w:r>
        <w:rPr>
          <w:rFonts w:ascii="Times New Roman" w:hAnsi="Times New Roman"/>
          <w:szCs w:val="24"/>
          <w:lang w:val="bs-Latn-BA"/>
        </w:rPr>
        <w:t>и</w:t>
      </w:r>
      <w:r w:rsidR="00B2411D" w:rsidRPr="00295637">
        <w:rPr>
          <w:rFonts w:ascii="Times New Roman" w:hAnsi="Times New Roman"/>
          <w:szCs w:val="24"/>
          <w:lang w:val="bs-Latn-BA"/>
        </w:rPr>
        <w:t xml:space="preserve"> </w:t>
      </w:r>
      <w:r>
        <w:rPr>
          <w:rFonts w:ascii="Times New Roman" w:hAnsi="Times New Roman"/>
          <w:szCs w:val="24"/>
          <w:lang w:val="bs-Latn-BA"/>
        </w:rPr>
        <w:t>добре</w:t>
      </w:r>
      <w:r w:rsidR="00B2411D" w:rsidRPr="00295637">
        <w:rPr>
          <w:rFonts w:ascii="Times New Roman" w:hAnsi="Times New Roman"/>
          <w:szCs w:val="24"/>
          <w:lang w:val="bs-Latn-BA"/>
        </w:rPr>
        <w:t xml:space="preserve"> </w:t>
      </w:r>
      <w:r>
        <w:rPr>
          <w:rFonts w:ascii="Times New Roman" w:hAnsi="Times New Roman"/>
          <w:szCs w:val="24"/>
          <w:lang w:val="bs-Latn-BA"/>
        </w:rPr>
        <w:t>праксе</w:t>
      </w:r>
      <w:r w:rsidR="00B2411D" w:rsidRPr="00295637">
        <w:rPr>
          <w:rFonts w:ascii="Times New Roman" w:hAnsi="Times New Roman"/>
          <w:szCs w:val="24"/>
          <w:lang w:val="bs-Latn-BA"/>
        </w:rPr>
        <w:t xml:space="preserve"> </w:t>
      </w:r>
      <w:r>
        <w:rPr>
          <w:rFonts w:ascii="Times New Roman" w:hAnsi="Times New Roman"/>
          <w:szCs w:val="24"/>
          <w:lang w:val="bs-Latn-BA"/>
        </w:rPr>
        <w:t>у</w:t>
      </w:r>
      <w:r w:rsidR="00B2411D" w:rsidRPr="00295637">
        <w:rPr>
          <w:rFonts w:ascii="Times New Roman" w:hAnsi="Times New Roman"/>
          <w:szCs w:val="24"/>
          <w:lang w:val="bs-Latn-BA"/>
        </w:rPr>
        <w:t xml:space="preserve"> </w:t>
      </w:r>
      <w:r>
        <w:rPr>
          <w:rFonts w:ascii="Times New Roman" w:hAnsi="Times New Roman"/>
          <w:szCs w:val="24"/>
          <w:lang w:val="bs-Latn-BA"/>
        </w:rPr>
        <w:t>истраживању</w:t>
      </w:r>
      <w:r w:rsidR="00B2411D" w:rsidRPr="00295637">
        <w:rPr>
          <w:rFonts w:ascii="Times New Roman" w:hAnsi="Times New Roman"/>
          <w:szCs w:val="24"/>
          <w:lang w:val="bs-Latn-BA"/>
        </w:rPr>
        <w:t xml:space="preserve"> </w:t>
      </w:r>
      <w:r>
        <w:rPr>
          <w:rFonts w:ascii="Times New Roman" w:hAnsi="Times New Roman"/>
          <w:szCs w:val="24"/>
          <w:lang w:val="bs-Latn-BA"/>
        </w:rPr>
        <w:t>и</w:t>
      </w:r>
      <w:r w:rsidR="00B2411D" w:rsidRPr="00295637">
        <w:rPr>
          <w:rFonts w:ascii="Times New Roman" w:hAnsi="Times New Roman"/>
          <w:szCs w:val="24"/>
          <w:lang w:val="bs-Latn-BA"/>
        </w:rPr>
        <w:t xml:space="preserve"> </w:t>
      </w:r>
      <w:r>
        <w:rPr>
          <w:rFonts w:ascii="Times New Roman" w:hAnsi="Times New Roman"/>
          <w:szCs w:val="24"/>
          <w:lang w:val="bs-Latn-BA"/>
        </w:rPr>
        <w:t>процесуирању</w:t>
      </w:r>
      <w:r w:rsidR="00B2411D" w:rsidRPr="00295637">
        <w:rPr>
          <w:rFonts w:ascii="Times New Roman" w:hAnsi="Times New Roman"/>
          <w:szCs w:val="24"/>
          <w:lang w:val="bs-Latn-BA"/>
        </w:rPr>
        <w:t xml:space="preserve"> </w:t>
      </w:r>
      <w:r>
        <w:rPr>
          <w:rFonts w:ascii="Times New Roman" w:hAnsi="Times New Roman"/>
          <w:szCs w:val="24"/>
          <w:lang w:val="bs-Latn-BA"/>
        </w:rPr>
        <w:t>дигиталног</w:t>
      </w:r>
      <w:r w:rsidR="00B2411D" w:rsidRPr="00295637">
        <w:rPr>
          <w:rFonts w:ascii="Times New Roman" w:hAnsi="Times New Roman"/>
          <w:szCs w:val="24"/>
          <w:lang w:val="bs-Latn-BA"/>
        </w:rPr>
        <w:t xml:space="preserve"> </w:t>
      </w:r>
      <w:r>
        <w:rPr>
          <w:rFonts w:ascii="Times New Roman" w:hAnsi="Times New Roman"/>
          <w:szCs w:val="24"/>
          <w:lang w:val="bs-Latn-BA"/>
        </w:rPr>
        <w:t>насиља</w:t>
      </w:r>
      <w:r w:rsidR="00B2411D" w:rsidRPr="00295637">
        <w:rPr>
          <w:rFonts w:ascii="Times New Roman" w:hAnsi="Times New Roman"/>
          <w:szCs w:val="24"/>
          <w:lang w:val="bs-Latn-BA"/>
        </w:rPr>
        <w:t xml:space="preserve"> </w:t>
      </w:r>
      <w:r>
        <w:rPr>
          <w:rFonts w:ascii="Times New Roman" w:hAnsi="Times New Roman"/>
          <w:szCs w:val="24"/>
          <w:lang w:val="bs-Latn-BA"/>
        </w:rPr>
        <w:t>над</w:t>
      </w:r>
      <w:r w:rsidR="00B2411D" w:rsidRPr="00295637">
        <w:rPr>
          <w:rFonts w:ascii="Times New Roman" w:hAnsi="Times New Roman"/>
          <w:szCs w:val="24"/>
          <w:lang w:val="bs-Latn-BA"/>
        </w:rPr>
        <w:t xml:space="preserve"> </w:t>
      </w:r>
      <w:r>
        <w:rPr>
          <w:rFonts w:ascii="Times New Roman" w:hAnsi="Times New Roman"/>
          <w:szCs w:val="24"/>
          <w:lang w:val="bs-Latn-BA"/>
        </w:rPr>
        <w:t>женама</w:t>
      </w:r>
      <w:r w:rsidR="00B2411D" w:rsidRPr="00295637">
        <w:rPr>
          <w:rFonts w:ascii="Times New Roman" w:hAnsi="Times New Roman"/>
          <w:szCs w:val="24"/>
          <w:lang w:val="bs-Latn-BA"/>
        </w:rPr>
        <w:t>“, „</w:t>
      </w:r>
      <w:r>
        <w:rPr>
          <w:rFonts w:ascii="Times New Roman" w:hAnsi="Times New Roman"/>
          <w:szCs w:val="24"/>
          <w:lang w:val="bs-Latn-BA"/>
        </w:rPr>
        <w:t>Борба</w:t>
      </w:r>
      <w:r w:rsidR="00B2411D" w:rsidRPr="00295637">
        <w:rPr>
          <w:rFonts w:ascii="Times New Roman" w:hAnsi="Times New Roman"/>
          <w:szCs w:val="24"/>
          <w:lang w:val="bs-Latn-BA"/>
        </w:rPr>
        <w:t xml:space="preserve"> </w:t>
      </w:r>
      <w:r>
        <w:rPr>
          <w:rFonts w:ascii="Times New Roman" w:hAnsi="Times New Roman"/>
          <w:szCs w:val="24"/>
          <w:lang w:val="bs-Latn-BA"/>
        </w:rPr>
        <w:t>против</w:t>
      </w:r>
      <w:r w:rsidR="00B2411D" w:rsidRPr="00295637">
        <w:rPr>
          <w:rFonts w:ascii="Times New Roman" w:hAnsi="Times New Roman"/>
          <w:szCs w:val="24"/>
          <w:lang w:val="bs-Latn-BA"/>
        </w:rPr>
        <w:t xml:space="preserve"> </w:t>
      </w:r>
      <w:r>
        <w:rPr>
          <w:rFonts w:ascii="Times New Roman" w:hAnsi="Times New Roman"/>
          <w:szCs w:val="24"/>
          <w:lang w:val="bs-Latn-BA"/>
        </w:rPr>
        <w:t>дигиталног</w:t>
      </w:r>
      <w:r w:rsidR="00B2411D" w:rsidRPr="00295637">
        <w:rPr>
          <w:rFonts w:ascii="Times New Roman" w:hAnsi="Times New Roman"/>
          <w:szCs w:val="24"/>
          <w:lang w:val="bs-Latn-BA"/>
        </w:rPr>
        <w:t xml:space="preserve"> </w:t>
      </w:r>
      <w:r>
        <w:rPr>
          <w:rFonts w:ascii="Times New Roman" w:hAnsi="Times New Roman"/>
          <w:szCs w:val="24"/>
          <w:lang w:val="bs-Latn-BA"/>
        </w:rPr>
        <w:t>и</w:t>
      </w:r>
      <w:r w:rsidR="00B2411D" w:rsidRPr="00295637">
        <w:rPr>
          <w:rFonts w:ascii="Times New Roman" w:hAnsi="Times New Roman"/>
          <w:szCs w:val="24"/>
          <w:lang w:val="bs-Latn-BA"/>
        </w:rPr>
        <w:t xml:space="preserve"> </w:t>
      </w:r>
      <w:r>
        <w:rPr>
          <w:rFonts w:ascii="Times New Roman" w:hAnsi="Times New Roman"/>
          <w:szCs w:val="24"/>
          <w:lang w:val="bs-Latn-BA"/>
        </w:rPr>
        <w:t>сексуалног</w:t>
      </w:r>
      <w:r w:rsidR="00B2411D" w:rsidRPr="00295637">
        <w:rPr>
          <w:rFonts w:ascii="Times New Roman" w:hAnsi="Times New Roman"/>
          <w:szCs w:val="24"/>
          <w:lang w:val="bs-Latn-BA"/>
        </w:rPr>
        <w:t xml:space="preserve"> </w:t>
      </w:r>
      <w:r>
        <w:rPr>
          <w:rFonts w:ascii="Times New Roman" w:hAnsi="Times New Roman"/>
          <w:szCs w:val="24"/>
          <w:lang w:val="bs-Latn-BA"/>
        </w:rPr>
        <w:t>насиља</w:t>
      </w:r>
      <w:r w:rsidR="00B2411D" w:rsidRPr="00295637">
        <w:rPr>
          <w:rFonts w:ascii="Times New Roman" w:hAnsi="Times New Roman"/>
          <w:szCs w:val="24"/>
          <w:lang w:val="bs-Latn-BA"/>
        </w:rPr>
        <w:t xml:space="preserve"> </w:t>
      </w:r>
      <w:r>
        <w:rPr>
          <w:rFonts w:ascii="Times New Roman" w:hAnsi="Times New Roman"/>
          <w:szCs w:val="24"/>
          <w:lang w:val="bs-Latn-BA"/>
        </w:rPr>
        <w:t>над</w:t>
      </w:r>
      <w:r w:rsidR="00B2411D" w:rsidRPr="00295637">
        <w:rPr>
          <w:rFonts w:ascii="Times New Roman" w:hAnsi="Times New Roman"/>
          <w:szCs w:val="24"/>
          <w:lang w:val="bs-Latn-BA"/>
        </w:rPr>
        <w:t xml:space="preserve"> </w:t>
      </w:r>
      <w:r>
        <w:rPr>
          <w:rFonts w:ascii="Times New Roman" w:hAnsi="Times New Roman"/>
          <w:szCs w:val="24"/>
          <w:lang w:val="bs-Latn-BA"/>
        </w:rPr>
        <w:t>женама</w:t>
      </w:r>
      <w:r w:rsidR="00B2411D" w:rsidRPr="00295637">
        <w:rPr>
          <w:rFonts w:ascii="Times New Roman" w:hAnsi="Times New Roman"/>
          <w:szCs w:val="24"/>
          <w:lang w:val="bs-Latn-BA"/>
        </w:rPr>
        <w:t xml:space="preserve"> </w:t>
      </w:r>
      <w:r>
        <w:rPr>
          <w:rFonts w:ascii="Times New Roman" w:hAnsi="Times New Roman"/>
          <w:szCs w:val="24"/>
          <w:lang w:val="bs-Latn-BA"/>
        </w:rPr>
        <w:t>у</w:t>
      </w:r>
      <w:r w:rsidR="007B1D72">
        <w:rPr>
          <w:rFonts w:ascii="Times New Roman" w:hAnsi="Times New Roman"/>
          <w:szCs w:val="24"/>
          <w:lang w:val="bs-Latn-BA"/>
        </w:rPr>
        <w:t xml:space="preserve"> </w:t>
      </w:r>
      <w:r>
        <w:rPr>
          <w:rFonts w:ascii="Times New Roman" w:hAnsi="Times New Roman"/>
          <w:szCs w:val="24"/>
          <w:lang w:val="bs-Latn-BA"/>
        </w:rPr>
        <w:t>БиХ</w:t>
      </w:r>
      <w:r w:rsidR="00B2411D" w:rsidRPr="00295637">
        <w:rPr>
          <w:rFonts w:ascii="Times New Roman" w:hAnsi="Times New Roman"/>
          <w:szCs w:val="24"/>
          <w:lang w:val="bs-Latn-BA"/>
        </w:rPr>
        <w:t>“, „</w:t>
      </w:r>
      <w:r>
        <w:rPr>
          <w:rFonts w:ascii="Times New Roman" w:hAnsi="Times New Roman"/>
          <w:szCs w:val="24"/>
          <w:lang w:val="bs-Latn-BA"/>
        </w:rPr>
        <w:t>Усклађеност</w:t>
      </w:r>
      <w:r w:rsidR="00B2411D" w:rsidRPr="00295637">
        <w:rPr>
          <w:rFonts w:ascii="Times New Roman" w:hAnsi="Times New Roman"/>
          <w:szCs w:val="24"/>
          <w:lang w:val="bs-Latn-BA"/>
        </w:rPr>
        <w:t xml:space="preserve"> </w:t>
      </w:r>
      <w:r>
        <w:rPr>
          <w:rFonts w:ascii="Times New Roman" w:hAnsi="Times New Roman"/>
          <w:szCs w:val="24"/>
          <w:lang w:val="bs-Latn-BA"/>
        </w:rPr>
        <w:t>политика</w:t>
      </w:r>
      <w:r w:rsidR="00B2411D" w:rsidRPr="00295637">
        <w:rPr>
          <w:rFonts w:ascii="Times New Roman" w:hAnsi="Times New Roman"/>
          <w:szCs w:val="24"/>
          <w:lang w:val="bs-Latn-BA"/>
        </w:rPr>
        <w:t xml:space="preserve"> </w:t>
      </w:r>
      <w:r>
        <w:rPr>
          <w:rFonts w:ascii="Times New Roman" w:hAnsi="Times New Roman"/>
          <w:szCs w:val="24"/>
          <w:lang w:val="bs-Latn-BA"/>
        </w:rPr>
        <w:t>и</w:t>
      </w:r>
      <w:r w:rsidR="00B2411D" w:rsidRPr="00295637">
        <w:rPr>
          <w:rFonts w:ascii="Times New Roman" w:hAnsi="Times New Roman"/>
          <w:szCs w:val="24"/>
          <w:lang w:val="bs-Latn-BA"/>
        </w:rPr>
        <w:t xml:space="preserve"> </w:t>
      </w:r>
      <w:r>
        <w:rPr>
          <w:rFonts w:ascii="Times New Roman" w:hAnsi="Times New Roman"/>
          <w:szCs w:val="24"/>
          <w:lang w:val="bs-Latn-BA"/>
        </w:rPr>
        <w:t>законодавства</w:t>
      </w:r>
      <w:r w:rsidR="00050016">
        <w:rPr>
          <w:rFonts w:ascii="Times New Roman" w:hAnsi="Times New Roman"/>
          <w:szCs w:val="24"/>
          <w:lang w:val="bs-Latn-BA"/>
        </w:rPr>
        <w:t xml:space="preserve"> </w:t>
      </w:r>
      <w:r>
        <w:rPr>
          <w:rFonts w:ascii="Times New Roman" w:hAnsi="Times New Roman"/>
          <w:szCs w:val="24"/>
          <w:lang w:val="bs-Latn-BA"/>
        </w:rPr>
        <w:t>БиХ</w:t>
      </w:r>
      <w:r w:rsidR="00B2411D" w:rsidRPr="00295637">
        <w:rPr>
          <w:rFonts w:ascii="Times New Roman" w:hAnsi="Times New Roman"/>
          <w:szCs w:val="24"/>
          <w:lang w:val="bs-Latn-BA"/>
        </w:rPr>
        <w:t xml:space="preserve"> </w:t>
      </w:r>
      <w:r>
        <w:rPr>
          <w:rFonts w:ascii="Times New Roman" w:hAnsi="Times New Roman"/>
          <w:szCs w:val="24"/>
          <w:lang w:val="bs-Latn-BA"/>
        </w:rPr>
        <w:t>по</w:t>
      </w:r>
      <w:r w:rsidR="00B2411D" w:rsidRPr="00295637">
        <w:rPr>
          <w:rFonts w:ascii="Times New Roman" w:hAnsi="Times New Roman"/>
          <w:szCs w:val="24"/>
          <w:lang w:val="bs-Latn-BA"/>
        </w:rPr>
        <w:t xml:space="preserve"> </w:t>
      </w:r>
      <w:r>
        <w:rPr>
          <w:rFonts w:ascii="Times New Roman" w:hAnsi="Times New Roman"/>
          <w:szCs w:val="24"/>
          <w:lang w:val="bs-Latn-BA"/>
        </w:rPr>
        <w:t>питању</w:t>
      </w:r>
      <w:r w:rsidR="00B2411D" w:rsidRPr="00295637">
        <w:rPr>
          <w:rFonts w:ascii="Times New Roman" w:hAnsi="Times New Roman"/>
          <w:szCs w:val="24"/>
          <w:lang w:val="bs-Latn-BA"/>
        </w:rPr>
        <w:t xml:space="preserve"> </w:t>
      </w:r>
      <w:r>
        <w:rPr>
          <w:rFonts w:ascii="Times New Roman" w:hAnsi="Times New Roman"/>
          <w:szCs w:val="24"/>
          <w:lang w:val="bs-Latn-BA"/>
        </w:rPr>
        <w:t>дигиталног</w:t>
      </w:r>
      <w:r w:rsidR="00B2411D" w:rsidRPr="00295637">
        <w:rPr>
          <w:rFonts w:ascii="Times New Roman" w:hAnsi="Times New Roman"/>
          <w:szCs w:val="24"/>
          <w:lang w:val="bs-Latn-BA"/>
        </w:rPr>
        <w:t xml:space="preserve"> </w:t>
      </w:r>
      <w:r>
        <w:rPr>
          <w:rFonts w:ascii="Times New Roman" w:hAnsi="Times New Roman"/>
          <w:szCs w:val="24"/>
          <w:lang w:val="bs-Latn-BA"/>
        </w:rPr>
        <w:t>и</w:t>
      </w:r>
      <w:r w:rsidR="00B2411D" w:rsidRPr="00295637">
        <w:rPr>
          <w:rFonts w:ascii="Times New Roman" w:hAnsi="Times New Roman"/>
          <w:szCs w:val="24"/>
          <w:lang w:val="bs-Latn-BA"/>
        </w:rPr>
        <w:t xml:space="preserve"> </w:t>
      </w:r>
      <w:r>
        <w:rPr>
          <w:rFonts w:ascii="Times New Roman" w:hAnsi="Times New Roman"/>
          <w:szCs w:val="24"/>
          <w:lang w:val="bs-Latn-BA"/>
        </w:rPr>
        <w:t>сексуалног</w:t>
      </w:r>
      <w:r w:rsidR="007B1D72">
        <w:rPr>
          <w:rFonts w:ascii="Times New Roman" w:hAnsi="Times New Roman"/>
          <w:szCs w:val="24"/>
          <w:lang w:val="bs-Latn-BA"/>
        </w:rPr>
        <w:t xml:space="preserve"> </w:t>
      </w:r>
      <w:r>
        <w:rPr>
          <w:rFonts w:ascii="Times New Roman" w:hAnsi="Times New Roman"/>
          <w:szCs w:val="24"/>
          <w:lang w:val="bs-Latn-BA"/>
        </w:rPr>
        <w:t>насиља</w:t>
      </w:r>
      <w:r w:rsidR="007B1D72">
        <w:rPr>
          <w:rFonts w:ascii="Times New Roman" w:hAnsi="Times New Roman"/>
          <w:szCs w:val="24"/>
          <w:lang w:val="bs-Latn-BA"/>
        </w:rPr>
        <w:t xml:space="preserve"> </w:t>
      </w:r>
      <w:r>
        <w:rPr>
          <w:rFonts w:ascii="Times New Roman" w:hAnsi="Times New Roman"/>
          <w:szCs w:val="24"/>
          <w:lang w:val="bs-Latn-BA"/>
        </w:rPr>
        <w:t>над</w:t>
      </w:r>
      <w:r w:rsidR="007B1D72">
        <w:rPr>
          <w:rFonts w:ascii="Times New Roman" w:hAnsi="Times New Roman"/>
          <w:szCs w:val="24"/>
          <w:lang w:val="bs-Latn-BA"/>
        </w:rPr>
        <w:t xml:space="preserve"> </w:t>
      </w:r>
      <w:r>
        <w:rPr>
          <w:rFonts w:ascii="Times New Roman" w:hAnsi="Times New Roman"/>
          <w:szCs w:val="24"/>
          <w:lang w:val="bs-Latn-BA"/>
        </w:rPr>
        <w:t>женама</w:t>
      </w:r>
      <w:r w:rsidR="007B1D72">
        <w:rPr>
          <w:rFonts w:ascii="Times New Roman" w:hAnsi="Times New Roman"/>
          <w:szCs w:val="24"/>
          <w:lang w:val="bs-Latn-BA"/>
        </w:rPr>
        <w:t xml:space="preserve"> </w:t>
      </w:r>
      <w:r>
        <w:rPr>
          <w:rFonts w:ascii="Times New Roman" w:hAnsi="Times New Roman"/>
          <w:szCs w:val="24"/>
          <w:lang w:val="bs-Latn-BA"/>
        </w:rPr>
        <w:t>са</w:t>
      </w:r>
      <w:r w:rsidR="00B2411D" w:rsidRPr="00295637">
        <w:rPr>
          <w:rFonts w:ascii="Times New Roman" w:hAnsi="Times New Roman"/>
          <w:szCs w:val="24"/>
          <w:lang w:val="bs-Latn-BA"/>
        </w:rPr>
        <w:t xml:space="preserve"> </w:t>
      </w:r>
      <w:r>
        <w:rPr>
          <w:rFonts w:ascii="Times New Roman" w:hAnsi="Times New Roman"/>
          <w:szCs w:val="24"/>
          <w:lang w:val="bs-Latn-BA"/>
        </w:rPr>
        <w:t>Истанбулском</w:t>
      </w:r>
      <w:r w:rsidR="00B2411D" w:rsidRPr="00295637">
        <w:rPr>
          <w:rFonts w:ascii="Times New Roman" w:hAnsi="Times New Roman"/>
          <w:szCs w:val="24"/>
          <w:lang w:val="bs-Latn-BA"/>
        </w:rPr>
        <w:t xml:space="preserve"> </w:t>
      </w:r>
      <w:r>
        <w:rPr>
          <w:rFonts w:ascii="Times New Roman" w:hAnsi="Times New Roman"/>
          <w:szCs w:val="24"/>
          <w:lang w:val="bs-Latn-BA"/>
        </w:rPr>
        <w:t>конвенцијом</w:t>
      </w:r>
      <w:r w:rsidR="00B2411D" w:rsidRPr="00295637">
        <w:rPr>
          <w:rFonts w:ascii="Times New Roman" w:hAnsi="Times New Roman"/>
          <w:szCs w:val="24"/>
          <w:lang w:val="bs-Latn-BA"/>
        </w:rPr>
        <w:t>“, „</w:t>
      </w:r>
      <w:r>
        <w:rPr>
          <w:rFonts w:ascii="Times New Roman" w:hAnsi="Times New Roman"/>
          <w:szCs w:val="24"/>
          <w:lang w:val="bs-Latn-BA"/>
        </w:rPr>
        <w:t>Правни</w:t>
      </w:r>
      <w:r w:rsidR="00B2411D" w:rsidRPr="00295637">
        <w:rPr>
          <w:rFonts w:ascii="Times New Roman" w:hAnsi="Times New Roman"/>
          <w:szCs w:val="24"/>
          <w:lang w:val="bs-Latn-BA"/>
        </w:rPr>
        <w:t xml:space="preserve"> </w:t>
      </w:r>
      <w:r>
        <w:rPr>
          <w:rFonts w:ascii="Times New Roman" w:hAnsi="Times New Roman"/>
          <w:szCs w:val="24"/>
          <w:lang w:val="bs-Latn-BA"/>
        </w:rPr>
        <w:t>и</w:t>
      </w:r>
      <w:r w:rsidR="00B2411D" w:rsidRPr="00295637">
        <w:rPr>
          <w:rFonts w:ascii="Times New Roman" w:hAnsi="Times New Roman"/>
          <w:szCs w:val="24"/>
          <w:lang w:val="bs-Latn-BA"/>
        </w:rPr>
        <w:t xml:space="preserve"> </w:t>
      </w:r>
      <w:r>
        <w:rPr>
          <w:rFonts w:ascii="Times New Roman" w:hAnsi="Times New Roman"/>
          <w:szCs w:val="24"/>
          <w:lang w:val="bs-Latn-BA"/>
        </w:rPr>
        <w:t>институционални</w:t>
      </w:r>
      <w:r w:rsidR="00B2411D" w:rsidRPr="00295637">
        <w:rPr>
          <w:rFonts w:ascii="Times New Roman" w:hAnsi="Times New Roman"/>
          <w:szCs w:val="24"/>
          <w:lang w:val="bs-Latn-BA"/>
        </w:rPr>
        <w:t xml:space="preserve"> </w:t>
      </w:r>
      <w:r>
        <w:rPr>
          <w:rFonts w:ascii="Times New Roman" w:hAnsi="Times New Roman"/>
          <w:szCs w:val="24"/>
          <w:lang w:val="bs-Latn-BA"/>
        </w:rPr>
        <w:t>одговори</w:t>
      </w:r>
      <w:r w:rsidR="00B2411D" w:rsidRPr="00295637">
        <w:rPr>
          <w:rFonts w:ascii="Times New Roman" w:hAnsi="Times New Roman"/>
          <w:szCs w:val="24"/>
          <w:lang w:val="bs-Latn-BA"/>
        </w:rPr>
        <w:t xml:space="preserve"> </w:t>
      </w:r>
      <w:r>
        <w:rPr>
          <w:rFonts w:ascii="Times New Roman" w:hAnsi="Times New Roman"/>
          <w:szCs w:val="24"/>
          <w:lang w:val="bs-Latn-BA"/>
        </w:rPr>
        <w:t>на</w:t>
      </w:r>
      <w:r w:rsidR="00B2411D" w:rsidRPr="00295637">
        <w:rPr>
          <w:rFonts w:ascii="Times New Roman" w:hAnsi="Times New Roman"/>
          <w:szCs w:val="24"/>
          <w:lang w:val="bs-Latn-BA"/>
        </w:rPr>
        <w:t xml:space="preserve"> </w:t>
      </w:r>
      <w:r>
        <w:rPr>
          <w:rFonts w:ascii="Times New Roman" w:hAnsi="Times New Roman"/>
          <w:szCs w:val="24"/>
          <w:lang w:val="bs-Latn-BA"/>
        </w:rPr>
        <w:t>онлине</w:t>
      </w:r>
      <w:r w:rsidR="00B2411D" w:rsidRPr="00295637">
        <w:rPr>
          <w:rFonts w:ascii="Times New Roman" w:hAnsi="Times New Roman"/>
          <w:szCs w:val="24"/>
          <w:lang w:val="bs-Latn-BA"/>
        </w:rPr>
        <w:t xml:space="preserve"> </w:t>
      </w:r>
      <w:r>
        <w:rPr>
          <w:rFonts w:ascii="Times New Roman" w:hAnsi="Times New Roman"/>
          <w:szCs w:val="24"/>
          <w:lang w:val="bs-Latn-BA"/>
        </w:rPr>
        <w:t>и</w:t>
      </w:r>
      <w:r w:rsidR="00B2411D" w:rsidRPr="00295637">
        <w:rPr>
          <w:rFonts w:ascii="Times New Roman" w:hAnsi="Times New Roman"/>
          <w:szCs w:val="24"/>
          <w:lang w:val="bs-Latn-BA"/>
        </w:rPr>
        <w:t xml:space="preserve"> </w:t>
      </w:r>
      <w:r>
        <w:rPr>
          <w:rFonts w:ascii="Times New Roman" w:hAnsi="Times New Roman"/>
          <w:szCs w:val="24"/>
          <w:lang w:val="bs-Latn-BA"/>
        </w:rPr>
        <w:t>технолошки</w:t>
      </w:r>
      <w:r w:rsidR="00B2411D" w:rsidRPr="00295637">
        <w:rPr>
          <w:rFonts w:ascii="Times New Roman" w:hAnsi="Times New Roman"/>
          <w:szCs w:val="24"/>
          <w:lang w:val="bs-Latn-BA"/>
        </w:rPr>
        <w:t xml:space="preserve"> </w:t>
      </w:r>
      <w:r>
        <w:rPr>
          <w:rFonts w:ascii="Times New Roman" w:hAnsi="Times New Roman"/>
          <w:szCs w:val="24"/>
          <w:lang w:val="bs-Latn-BA"/>
        </w:rPr>
        <w:t>потпомогнуто</w:t>
      </w:r>
      <w:r w:rsidR="00B2411D" w:rsidRPr="00295637">
        <w:rPr>
          <w:rFonts w:ascii="Times New Roman" w:hAnsi="Times New Roman"/>
          <w:szCs w:val="24"/>
          <w:lang w:val="bs-Latn-BA"/>
        </w:rPr>
        <w:t xml:space="preserve"> </w:t>
      </w:r>
      <w:r>
        <w:rPr>
          <w:rFonts w:ascii="Times New Roman" w:hAnsi="Times New Roman"/>
          <w:szCs w:val="24"/>
          <w:lang w:val="bs-Latn-BA"/>
        </w:rPr>
        <w:t>насиље</w:t>
      </w:r>
      <w:r w:rsidR="00B2411D" w:rsidRPr="00295637">
        <w:rPr>
          <w:rFonts w:ascii="Times New Roman" w:hAnsi="Times New Roman"/>
          <w:szCs w:val="24"/>
          <w:lang w:val="bs-Latn-BA"/>
        </w:rPr>
        <w:t xml:space="preserve"> </w:t>
      </w:r>
      <w:r>
        <w:rPr>
          <w:rFonts w:ascii="Times New Roman" w:hAnsi="Times New Roman"/>
          <w:szCs w:val="24"/>
          <w:lang w:val="bs-Latn-BA"/>
        </w:rPr>
        <w:t>над</w:t>
      </w:r>
      <w:r w:rsidR="00B2411D" w:rsidRPr="00295637">
        <w:rPr>
          <w:rFonts w:ascii="Times New Roman" w:hAnsi="Times New Roman"/>
          <w:szCs w:val="24"/>
          <w:lang w:val="bs-Latn-BA"/>
        </w:rPr>
        <w:t xml:space="preserve"> </w:t>
      </w:r>
      <w:r>
        <w:rPr>
          <w:rFonts w:ascii="Times New Roman" w:hAnsi="Times New Roman"/>
          <w:szCs w:val="24"/>
          <w:lang w:val="bs-Latn-BA"/>
        </w:rPr>
        <w:t>женама</w:t>
      </w:r>
      <w:r w:rsidR="00B2411D" w:rsidRPr="00295637">
        <w:rPr>
          <w:rFonts w:ascii="Times New Roman" w:hAnsi="Times New Roman"/>
          <w:szCs w:val="24"/>
          <w:lang w:val="bs-Latn-BA"/>
        </w:rPr>
        <w:t>“, „</w:t>
      </w:r>
      <w:r>
        <w:rPr>
          <w:rFonts w:ascii="Times New Roman" w:hAnsi="Times New Roman"/>
          <w:szCs w:val="24"/>
          <w:lang w:val="bs-Latn-BA"/>
        </w:rPr>
        <w:t>Правна</w:t>
      </w:r>
      <w:r w:rsidR="00B2411D" w:rsidRPr="00295637">
        <w:rPr>
          <w:rFonts w:ascii="Times New Roman" w:hAnsi="Times New Roman"/>
          <w:szCs w:val="24"/>
          <w:lang w:val="bs-Latn-BA"/>
        </w:rPr>
        <w:t xml:space="preserve"> </w:t>
      </w:r>
      <w:r>
        <w:rPr>
          <w:rFonts w:ascii="Times New Roman" w:hAnsi="Times New Roman"/>
          <w:szCs w:val="24"/>
          <w:lang w:val="bs-Latn-BA"/>
        </w:rPr>
        <w:t>и</w:t>
      </w:r>
      <w:r w:rsidR="00B2411D" w:rsidRPr="00295637">
        <w:rPr>
          <w:rFonts w:ascii="Times New Roman" w:hAnsi="Times New Roman"/>
          <w:szCs w:val="24"/>
          <w:lang w:val="bs-Latn-BA"/>
        </w:rPr>
        <w:t xml:space="preserve"> </w:t>
      </w:r>
      <w:r>
        <w:rPr>
          <w:rFonts w:ascii="Times New Roman" w:hAnsi="Times New Roman"/>
          <w:szCs w:val="24"/>
          <w:lang w:val="bs-Latn-BA"/>
        </w:rPr>
        <w:t>практична</w:t>
      </w:r>
      <w:r w:rsidR="00B2411D" w:rsidRPr="00295637">
        <w:rPr>
          <w:rFonts w:ascii="Times New Roman" w:hAnsi="Times New Roman"/>
          <w:szCs w:val="24"/>
          <w:lang w:val="bs-Latn-BA"/>
        </w:rPr>
        <w:t xml:space="preserve"> </w:t>
      </w:r>
      <w:r>
        <w:rPr>
          <w:rFonts w:ascii="Times New Roman" w:hAnsi="Times New Roman"/>
          <w:szCs w:val="24"/>
          <w:lang w:val="bs-Latn-BA"/>
        </w:rPr>
        <w:t>примјена</w:t>
      </w:r>
      <w:r w:rsidR="00B2411D" w:rsidRPr="00295637">
        <w:rPr>
          <w:rFonts w:ascii="Times New Roman" w:hAnsi="Times New Roman"/>
          <w:szCs w:val="24"/>
          <w:lang w:val="bs-Latn-BA"/>
        </w:rPr>
        <w:t xml:space="preserve"> </w:t>
      </w:r>
      <w:r>
        <w:rPr>
          <w:rFonts w:ascii="Times New Roman" w:hAnsi="Times New Roman"/>
          <w:szCs w:val="24"/>
          <w:lang w:val="bs-Latn-BA"/>
        </w:rPr>
        <w:t>дефиниције</w:t>
      </w:r>
      <w:r w:rsidR="00B2411D" w:rsidRPr="00295637">
        <w:rPr>
          <w:rFonts w:ascii="Times New Roman" w:hAnsi="Times New Roman"/>
          <w:szCs w:val="24"/>
          <w:lang w:val="bs-Latn-BA"/>
        </w:rPr>
        <w:t xml:space="preserve"> </w:t>
      </w:r>
      <w:r>
        <w:rPr>
          <w:rFonts w:ascii="Times New Roman" w:hAnsi="Times New Roman"/>
          <w:szCs w:val="24"/>
          <w:lang w:val="bs-Latn-BA"/>
        </w:rPr>
        <w:t>сексуалног</w:t>
      </w:r>
      <w:r w:rsidR="00B2411D" w:rsidRPr="00295637">
        <w:rPr>
          <w:rFonts w:ascii="Times New Roman" w:hAnsi="Times New Roman"/>
          <w:szCs w:val="24"/>
          <w:lang w:val="bs-Latn-BA"/>
        </w:rPr>
        <w:t xml:space="preserve"> </w:t>
      </w:r>
      <w:r>
        <w:rPr>
          <w:rFonts w:ascii="Times New Roman" w:hAnsi="Times New Roman"/>
          <w:szCs w:val="24"/>
          <w:lang w:val="bs-Latn-BA"/>
        </w:rPr>
        <w:t>насиља</w:t>
      </w:r>
      <w:r w:rsidR="00B2411D" w:rsidRPr="00295637">
        <w:rPr>
          <w:rFonts w:ascii="Times New Roman" w:hAnsi="Times New Roman"/>
          <w:szCs w:val="24"/>
          <w:lang w:val="bs-Latn-BA"/>
        </w:rPr>
        <w:t xml:space="preserve"> </w:t>
      </w:r>
      <w:r>
        <w:rPr>
          <w:rFonts w:ascii="Times New Roman" w:hAnsi="Times New Roman"/>
          <w:szCs w:val="24"/>
          <w:lang w:val="bs-Latn-BA"/>
        </w:rPr>
        <w:t>на</w:t>
      </w:r>
      <w:r w:rsidR="00B2411D" w:rsidRPr="00295637">
        <w:rPr>
          <w:rFonts w:ascii="Times New Roman" w:hAnsi="Times New Roman"/>
          <w:szCs w:val="24"/>
          <w:lang w:val="bs-Latn-BA"/>
        </w:rPr>
        <w:t xml:space="preserve"> </w:t>
      </w:r>
      <w:r>
        <w:rPr>
          <w:rFonts w:ascii="Times New Roman" w:hAnsi="Times New Roman"/>
          <w:szCs w:val="24"/>
          <w:lang w:val="bs-Latn-BA"/>
        </w:rPr>
        <w:t>основу</w:t>
      </w:r>
      <w:r w:rsidR="008E0B29" w:rsidRPr="00295637">
        <w:rPr>
          <w:rFonts w:ascii="Times New Roman" w:hAnsi="Times New Roman"/>
          <w:szCs w:val="24"/>
          <w:lang w:val="bs-Latn-BA"/>
        </w:rPr>
        <w:t xml:space="preserve"> </w:t>
      </w:r>
      <w:r>
        <w:rPr>
          <w:rFonts w:ascii="Times New Roman" w:hAnsi="Times New Roman"/>
          <w:szCs w:val="24"/>
          <w:lang w:val="bs-Latn-BA"/>
        </w:rPr>
        <w:t>одсуства</w:t>
      </w:r>
      <w:r w:rsidR="00B2411D" w:rsidRPr="00295637">
        <w:rPr>
          <w:rFonts w:ascii="Times New Roman" w:hAnsi="Times New Roman"/>
          <w:szCs w:val="24"/>
          <w:lang w:val="bs-Latn-BA"/>
        </w:rPr>
        <w:t xml:space="preserve"> </w:t>
      </w:r>
      <w:r>
        <w:rPr>
          <w:rFonts w:ascii="Times New Roman" w:hAnsi="Times New Roman"/>
          <w:szCs w:val="24"/>
          <w:lang w:val="bs-Latn-BA"/>
        </w:rPr>
        <w:t>слободно</w:t>
      </w:r>
      <w:r w:rsidR="00B2411D" w:rsidRPr="00295637">
        <w:rPr>
          <w:rFonts w:ascii="Times New Roman" w:hAnsi="Times New Roman"/>
          <w:szCs w:val="24"/>
          <w:lang w:val="bs-Latn-BA"/>
        </w:rPr>
        <w:t xml:space="preserve"> </w:t>
      </w:r>
      <w:r>
        <w:rPr>
          <w:rFonts w:ascii="Times New Roman" w:hAnsi="Times New Roman"/>
          <w:szCs w:val="24"/>
          <w:lang w:val="bs-Latn-BA"/>
        </w:rPr>
        <w:t>датог</w:t>
      </w:r>
      <w:r w:rsidR="00B2411D" w:rsidRPr="00295637">
        <w:rPr>
          <w:rFonts w:ascii="Times New Roman" w:hAnsi="Times New Roman"/>
          <w:szCs w:val="24"/>
          <w:lang w:val="bs-Latn-BA"/>
        </w:rPr>
        <w:t xml:space="preserve"> </w:t>
      </w:r>
      <w:r>
        <w:rPr>
          <w:rFonts w:ascii="Times New Roman" w:hAnsi="Times New Roman"/>
          <w:szCs w:val="24"/>
          <w:lang w:val="bs-Latn-BA"/>
        </w:rPr>
        <w:t>пристанка</w:t>
      </w:r>
      <w:r w:rsidR="00B2411D" w:rsidRPr="00295637">
        <w:rPr>
          <w:rFonts w:ascii="Times New Roman" w:hAnsi="Times New Roman"/>
          <w:szCs w:val="24"/>
          <w:lang w:val="bs-Latn-BA"/>
        </w:rPr>
        <w:t xml:space="preserve"> </w:t>
      </w:r>
      <w:r>
        <w:rPr>
          <w:rFonts w:ascii="Times New Roman" w:hAnsi="Times New Roman"/>
          <w:szCs w:val="24"/>
          <w:lang w:val="bs-Latn-BA"/>
        </w:rPr>
        <w:t>у</w:t>
      </w:r>
      <w:r w:rsidR="00B2411D" w:rsidRPr="00295637">
        <w:rPr>
          <w:rFonts w:ascii="Times New Roman" w:hAnsi="Times New Roman"/>
          <w:szCs w:val="24"/>
          <w:lang w:val="bs-Latn-BA"/>
        </w:rPr>
        <w:t xml:space="preserve"> </w:t>
      </w:r>
      <w:r>
        <w:rPr>
          <w:rFonts w:ascii="Times New Roman" w:hAnsi="Times New Roman"/>
          <w:szCs w:val="24"/>
          <w:lang w:val="bs-Latn-BA"/>
        </w:rPr>
        <w:t>државама</w:t>
      </w:r>
      <w:r w:rsidR="00B2411D" w:rsidRPr="00295637">
        <w:rPr>
          <w:rFonts w:ascii="Times New Roman" w:hAnsi="Times New Roman"/>
          <w:szCs w:val="24"/>
          <w:lang w:val="bs-Latn-BA"/>
        </w:rPr>
        <w:t xml:space="preserve"> </w:t>
      </w:r>
      <w:r>
        <w:rPr>
          <w:rFonts w:ascii="Times New Roman" w:hAnsi="Times New Roman"/>
          <w:szCs w:val="24"/>
          <w:lang w:val="bs-Latn-BA"/>
        </w:rPr>
        <w:t>чланицама</w:t>
      </w:r>
      <w:r w:rsidR="00B2411D" w:rsidRPr="00295637">
        <w:rPr>
          <w:rFonts w:ascii="Times New Roman" w:hAnsi="Times New Roman"/>
          <w:szCs w:val="24"/>
          <w:lang w:val="bs-Latn-BA"/>
        </w:rPr>
        <w:t xml:space="preserve"> </w:t>
      </w:r>
      <w:r w:rsidR="00277407">
        <w:rPr>
          <w:rFonts w:ascii="Times New Roman" w:hAnsi="Times New Roman"/>
          <w:szCs w:val="24"/>
          <w:lang w:val="sr-Cyrl-BA"/>
        </w:rPr>
        <w:t>С</w:t>
      </w:r>
      <w:r>
        <w:rPr>
          <w:rFonts w:ascii="Times New Roman" w:hAnsi="Times New Roman"/>
          <w:szCs w:val="24"/>
          <w:lang w:val="bs-Latn-BA"/>
        </w:rPr>
        <w:t>Е</w:t>
      </w:r>
      <w:r w:rsidR="00B2411D" w:rsidRPr="00295637">
        <w:rPr>
          <w:rFonts w:ascii="Times New Roman" w:hAnsi="Times New Roman"/>
          <w:szCs w:val="24"/>
          <w:lang w:val="bs-Latn-BA"/>
        </w:rPr>
        <w:t xml:space="preserve">”. </w:t>
      </w:r>
    </w:p>
    <w:p w:rsidR="00B2411D" w:rsidRPr="00295637" w:rsidRDefault="00B2411D" w:rsidP="0086268D">
      <w:pPr>
        <w:jc w:val="both"/>
        <w:rPr>
          <w:rFonts w:ascii="Times New Roman" w:hAnsi="Times New Roman"/>
          <w:szCs w:val="24"/>
          <w:lang w:val="bs-Latn-BA"/>
        </w:rPr>
      </w:pPr>
    </w:p>
    <w:p w:rsidR="009013AA" w:rsidRPr="00295637" w:rsidRDefault="00C6214E" w:rsidP="0086268D">
      <w:pPr>
        <w:jc w:val="both"/>
        <w:rPr>
          <w:rFonts w:ascii="Times New Roman" w:hAnsi="Times New Roman"/>
          <w:szCs w:val="24"/>
          <w:lang w:val="bs-Latn-BA"/>
        </w:rPr>
      </w:pPr>
      <w:r>
        <w:rPr>
          <w:rFonts w:ascii="Times New Roman" w:hAnsi="Times New Roman"/>
          <w:szCs w:val="24"/>
          <w:lang w:val="bs-Latn-BA"/>
        </w:rPr>
        <w:t>ГЦ</w:t>
      </w:r>
      <w:r w:rsidR="007B1D72">
        <w:rPr>
          <w:rFonts w:ascii="Times New Roman" w:hAnsi="Times New Roman"/>
          <w:szCs w:val="24"/>
          <w:lang w:val="bs-Latn-BA"/>
        </w:rPr>
        <w:t xml:space="preserve"> </w:t>
      </w:r>
      <w:r>
        <w:rPr>
          <w:rFonts w:ascii="Times New Roman" w:hAnsi="Times New Roman"/>
          <w:szCs w:val="24"/>
          <w:lang w:val="bs-Latn-BA"/>
        </w:rPr>
        <w:t>ФБиХ</w:t>
      </w:r>
      <w:r w:rsidR="009013AA" w:rsidRPr="00295637">
        <w:rPr>
          <w:rFonts w:ascii="Times New Roman" w:hAnsi="Times New Roman"/>
          <w:szCs w:val="24"/>
          <w:lang w:val="bs-Latn-BA"/>
        </w:rPr>
        <w:t xml:space="preserve"> </w:t>
      </w:r>
      <w:r>
        <w:rPr>
          <w:rFonts w:ascii="Times New Roman" w:hAnsi="Times New Roman"/>
          <w:szCs w:val="24"/>
          <w:lang w:val="bs-Latn-BA"/>
        </w:rPr>
        <w:t>учествовао</w:t>
      </w:r>
      <w:r w:rsidR="009013AA" w:rsidRPr="00295637">
        <w:rPr>
          <w:rFonts w:ascii="Times New Roman" w:hAnsi="Times New Roman"/>
          <w:szCs w:val="24"/>
          <w:lang w:val="bs-Latn-BA"/>
        </w:rPr>
        <w:t xml:space="preserve"> </w:t>
      </w:r>
      <w:r>
        <w:rPr>
          <w:rFonts w:ascii="Times New Roman" w:hAnsi="Times New Roman"/>
          <w:szCs w:val="24"/>
          <w:lang w:val="bs-Latn-BA"/>
        </w:rPr>
        <w:t>је</w:t>
      </w:r>
      <w:r w:rsidR="007B1D72"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раду</w:t>
      </w:r>
      <w:r w:rsidR="009013AA" w:rsidRPr="00295637">
        <w:rPr>
          <w:rFonts w:ascii="Times New Roman" w:hAnsi="Times New Roman"/>
          <w:szCs w:val="24"/>
          <w:lang w:val="bs-Latn-BA"/>
        </w:rPr>
        <w:t xml:space="preserve"> </w:t>
      </w:r>
      <w:r>
        <w:rPr>
          <w:rFonts w:ascii="Times New Roman" w:hAnsi="Times New Roman"/>
          <w:szCs w:val="24"/>
          <w:lang w:val="bs-Latn-BA"/>
        </w:rPr>
        <w:t>Координаци</w:t>
      </w:r>
      <w:r w:rsidR="00277407">
        <w:rPr>
          <w:rFonts w:ascii="Times New Roman" w:hAnsi="Times New Roman"/>
          <w:szCs w:val="24"/>
          <w:lang w:val="sr-Cyrl-BA"/>
        </w:rPr>
        <w:t>оног</w:t>
      </w:r>
      <w:r w:rsidR="009013AA" w:rsidRPr="00295637">
        <w:rPr>
          <w:rFonts w:ascii="Times New Roman" w:hAnsi="Times New Roman"/>
          <w:szCs w:val="24"/>
          <w:lang w:val="bs-Latn-BA"/>
        </w:rPr>
        <w:t xml:space="preserve"> </w:t>
      </w:r>
      <w:r>
        <w:rPr>
          <w:rFonts w:ascii="Times New Roman" w:hAnsi="Times New Roman"/>
          <w:szCs w:val="24"/>
          <w:lang w:val="bs-Latn-BA"/>
        </w:rPr>
        <w:t>одбора</w:t>
      </w:r>
      <w:r w:rsidR="009013AA" w:rsidRPr="00295637">
        <w:rPr>
          <w:rFonts w:ascii="Times New Roman" w:hAnsi="Times New Roman"/>
          <w:szCs w:val="24"/>
          <w:lang w:val="bs-Latn-BA"/>
        </w:rPr>
        <w:t xml:space="preserve"> </w:t>
      </w:r>
      <w:r>
        <w:rPr>
          <w:rFonts w:ascii="Times New Roman" w:hAnsi="Times New Roman"/>
          <w:szCs w:val="24"/>
          <w:lang w:val="bs-Latn-BA"/>
        </w:rPr>
        <w:t>ФМУП</w:t>
      </w:r>
      <w:r w:rsidR="009013AA" w:rsidRPr="00295637">
        <w:rPr>
          <w:rFonts w:ascii="Times New Roman" w:hAnsi="Times New Roman"/>
          <w:szCs w:val="24"/>
          <w:lang w:val="bs-Latn-BA"/>
        </w:rPr>
        <w:t>-</w:t>
      </w:r>
      <w:r>
        <w:rPr>
          <w:rFonts w:ascii="Times New Roman" w:hAnsi="Times New Roman"/>
          <w:szCs w:val="24"/>
          <w:lang w:val="bs-Latn-BA"/>
        </w:rPr>
        <w:t>а</w:t>
      </w:r>
      <w:r w:rsidR="009013AA" w:rsidRPr="00295637">
        <w:rPr>
          <w:rFonts w:ascii="Times New Roman" w:hAnsi="Times New Roman"/>
          <w:szCs w:val="24"/>
          <w:lang w:val="bs-Latn-BA"/>
        </w:rPr>
        <w:t xml:space="preserve">, </w:t>
      </w:r>
      <w:r>
        <w:rPr>
          <w:rFonts w:ascii="Times New Roman" w:hAnsi="Times New Roman"/>
          <w:szCs w:val="24"/>
          <w:lang w:val="bs-Latn-BA"/>
        </w:rPr>
        <w:t>изради</w:t>
      </w:r>
      <w:r w:rsidR="009013AA" w:rsidRPr="00295637">
        <w:rPr>
          <w:rFonts w:ascii="Times New Roman" w:hAnsi="Times New Roman"/>
          <w:szCs w:val="24"/>
          <w:lang w:val="bs-Latn-BA"/>
        </w:rPr>
        <w:t xml:space="preserve"> </w:t>
      </w:r>
      <w:r>
        <w:rPr>
          <w:rFonts w:ascii="Times New Roman" w:hAnsi="Times New Roman"/>
          <w:szCs w:val="24"/>
          <w:lang w:val="bs-Latn-BA"/>
        </w:rPr>
        <w:t>Програма</w:t>
      </w:r>
      <w:r w:rsidR="009013AA" w:rsidRPr="00295637">
        <w:rPr>
          <w:rFonts w:ascii="Times New Roman" w:hAnsi="Times New Roman"/>
          <w:szCs w:val="24"/>
          <w:lang w:val="bs-Latn-BA"/>
        </w:rPr>
        <w:t xml:space="preserve"> </w:t>
      </w:r>
      <w:r>
        <w:rPr>
          <w:rFonts w:ascii="Times New Roman" w:hAnsi="Times New Roman"/>
          <w:szCs w:val="24"/>
          <w:lang w:val="bs-Latn-BA"/>
        </w:rPr>
        <w:t>обука</w:t>
      </w:r>
      <w:r w:rsidR="009013AA" w:rsidRPr="00295637">
        <w:rPr>
          <w:rFonts w:ascii="Times New Roman" w:hAnsi="Times New Roman"/>
          <w:szCs w:val="24"/>
          <w:lang w:val="bs-Latn-BA"/>
        </w:rPr>
        <w:t xml:space="preserve"> </w:t>
      </w:r>
      <w:r>
        <w:rPr>
          <w:rFonts w:ascii="Times New Roman" w:hAnsi="Times New Roman"/>
          <w:szCs w:val="24"/>
          <w:lang w:val="bs-Latn-BA"/>
        </w:rPr>
        <w:t>за</w:t>
      </w:r>
      <w:r w:rsidR="009013AA" w:rsidRPr="00295637">
        <w:rPr>
          <w:rFonts w:ascii="Times New Roman" w:hAnsi="Times New Roman"/>
          <w:szCs w:val="24"/>
          <w:lang w:val="bs-Latn-BA"/>
        </w:rPr>
        <w:t xml:space="preserve"> </w:t>
      </w:r>
      <w:r>
        <w:rPr>
          <w:rFonts w:ascii="Times New Roman" w:hAnsi="Times New Roman"/>
          <w:szCs w:val="24"/>
          <w:lang w:val="bs-Latn-BA"/>
        </w:rPr>
        <w:t>поступање</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случајевима</w:t>
      </w:r>
      <w:r w:rsidR="009013AA" w:rsidRPr="00295637">
        <w:rPr>
          <w:rFonts w:ascii="Times New Roman" w:hAnsi="Times New Roman"/>
          <w:szCs w:val="24"/>
          <w:lang w:val="bs-Latn-BA"/>
        </w:rPr>
        <w:t xml:space="preserve"> </w:t>
      </w:r>
      <w:r>
        <w:rPr>
          <w:rFonts w:ascii="Times New Roman" w:hAnsi="Times New Roman"/>
          <w:szCs w:val="24"/>
          <w:lang w:val="bs-Latn-BA"/>
        </w:rPr>
        <w:t>насиља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породици</w:t>
      </w:r>
      <w:r w:rsidR="009013AA" w:rsidRPr="00295637">
        <w:rPr>
          <w:rFonts w:ascii="Times New Roman" w:hAnsi="Times New Roman"/>
          <w:szCs w:val="24"/>
          <w:lang w:val="bs-Latn-BA"/>
        </w:rPr>
        <w:t xml:space="preserve">, </w:t>
      </w:r>
      <w:r>
        <w:rPr>
          <w:rFonts w:ascii="Times New Roman" w:hAnsi="Times New Roman"/>
          <w:szCs w:val="24"/>
          <w:lang w:val="bs-Latn-BA"/>
        </w:rPr>
        <w:t>припреми</w:t>
      </w:r>
      <w:r w:rsidR="009013AA" w:rsidRPr="00295637">
        <w:rPr>
          <w:rFonts w:ascii="Times New Roman" w:hAnsi="Times New Roman"/>
          <w:szCs w:val="24"/>
          <w:lang w:val="bs-Latn-BA"/>
        </w:rPr>
        <w:t xml:space="preserve"> </w:t>
      </w:r>
      <w:r>
        <w:rPr>
          <w:rFonts w:ascii="Times New Roman" w:hAnsi="Times New Roman"/>
          <w:szCs w:val="24"/>
          <w:lang w:val="bs-Latn-BA"/>
        </w:rPr>
        <w:t>Акционог</w:t>
      </w:r>
      <w:r w:rsidR="009013AA" w:rsidRPr="00295637">
        <w:rPr>
          <w:rFonts w:ascii="Times New Roman" w:hAnsi="Times New Roman"/>
          <w:szCs w:val="24"/>
          <w:lang w:val="bs-Latn-BA"/>
        </w:rPr>
        <w:t xml:space="preserve"> </w:t>
      </w:r>
      <w:r>
        <w:rPr>
          <w:rFonts w:ascii="Times New Roman" w:hAnsi="Times New Roman"/>
          <w:szCs w:val="24"/>
          <w:lang w:val="bs-Latn-BA"/>
        </w:rPr>
        <w:t>плана</w:t>
      </w:r>
      <w:r w:rsidR="009013AA" w:rsidRPr="00295637">
        <w:rPr>
          <w:rFonts w:ascii="Times New Roman" w:hAnsi="Times New Roman"/>
          <w:szCs w:val="24"/>
          <w:lang w:val="bs-Latn-BA"/>
        </w:rPr>
        <w:t xml:space="preserve"> </w:t>
      </w:r>
      <w:r w:rsidR="00277407" w:rsidRPr="00277407">
        <w:rPr>
          <w:rFonts w:ascii="Times New Roman" w:hAnsi="Times New Roman"/>
          <w:i/>
          <w:szCs w:val="24"/>
          <w:lang w:val="bs-Latn-BA"/>
        </w:rPr>
        <w:t>UNSCR</w:t>
      </w:r>
      <w:r w:rsidR="009013AA" w:rsidRPr="00295637">
        <w:rPr>
          <w:rFonts w:ascii="Times New Roman" w:hAnsi="Times New Roman"/>
          <w:szCs w:val="24"/>
          <w:lang w:val="bs-Latn-BA"/>
        </w:rPr>
        <w:t xml:space="preserve"> 1325, </w:t>
      </w:r>
      <w:r>
        <w:rPr>
          <w:rFonts w:ascii="Times New Roman" w:hAnsi="Times New Roman"/>
          <w:szCs w:val="24"/>
          <w:lang w:val="bs-Latn-BA"/>
        </w:rPr>
        <w:t>као</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изради</w:t>
      </w:r>
      <w:r w:rsidR="009013AA" w:rsidRPr="00295637">
        <w:rPr>
          <w:rFonts w:ascii="Times New Roman" w:hAnsi="Times New Roman"/>
          <w:szCs w:val="24"/>
          <w:lang w:val="bs-Latn-BA"/>
        </w:rPr>
        <w:t xml:space="preserve"> </w:t>
      </w:r>
      <w:r>
        <w:rPr>
          <w:rFonts w:ascii="Times New Roman" w:hAnsi="Times New Roman"/>
          <w:szCs w:val="24"/>
          <w:lang w:val="bs-Latn-BA"/>
        </w:rPr>
        <w:t>Стратегије</w:t>
      </w:r>
      <w:r w:rsidR="009013AA" w:rsidRPr="00295637">
        <w:rPr>
          <w:rFonts w:ascii="Times New Roman" w:hAnsi="Times New Roman"/>
          <w:szCs w:val="24"/>
          <w:lang w:val="bs-Latn-BA"/>
        </w:rPr>
        <w:t xml:space="preserve"> </w:t>
      </w:r>
      <w:r>
        <w:rPr>
          <w:rFonts w:ascii="Times New Roman" w:hAnsi="Times New Roman"/>
          <w:szCs w:val="24"/>
          <w:lang w:val="bs-Latn-BA"/>
        </w:rPr>
        <w:t>за</w:t>
      </w:r>
      <w:r w:rsidR="009013AA" w:rsidRPr="00295637">
        <w:rPr>
          <w:rFonts w:ascii="Times New Roman" w:hAnsi="Times New Roman"/>
          <w:szCs w:val="24"/>
          <w:lang w:val="bs-Latn-BA"/>
        </w:rPr>
        <w:t xml:space="preserve"> </w:t>
      </w:r>
      <w:r>
        <w:rPr>
          <w:rFonts w:ascii="Times New Roman" w:hAnsi="Times New Roman"/>
          <w:szCs w:val="24"/>
          <w:lang w:val="bs-Latn-BA"/>
        </w:rPr>
        <w:t>унапређење</w:t>
      </w:r>
      <w:r w:rsidR="009013AA" w:rsidRPr="00295637">
        <w:rPr>
          <w:rFonts w:ascii="Times New Roman" w:hAnsi="Times New Roman"/>
          <w:szCs w:val="24"/>
          <w:lang w:val="bs-Latn-BA"/>
        </w:rPr>
        <w:t xml:space="preserve"> </w:t>
      </w:r>
      <w:r>
        <w:rPr>
          <w:rFonts w:ascii="Times New Roman" w:hAnsi="Times New Roman"/>
          <w:szCs w:val="24"/>
          <w:lang w:val="bs-Latn-BA"/>
        </w:rPr>
        <w:t>права</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положаја</w:t>
      </w:r>
      <w:r w:rsidR="009013AA" w:rsidRPr="00295637">
        <w:rPr>
          <w:rFonts w:ascii="Times New Roman" w:hAnsi="Times New Roman"/>
          <w:szCs w:val="24"/>
          <w:lang w:val="bs-Latn-BA"/>
        </w:rPr>
        <w:t xml:space="preserve"> </w:t>
      </w:r>
      <w:r>
        <w:rPr>
          <w:rFonts w:ascii="Times New Roman" w:hAnsi="Times New Roman"/>
          <w:szCs w:val="24"/>
          <w:lang w:val="bs-Latn-BA"/>
        </w:rPr>
        <w:t>лица</w:t>
      </w:r>
      <w:r w:rsidR="009013AA" w:rsidRPr="00295637">
        <w:rPr>
          <w:rFonts w:ascii="Times New Roman" w:hAnsi="Times New Roman"/>
          <w:szCs w:val="24"/>
          <w:lang w:val="bs-Latn-BA"/>
        </w:rPr>
        <w:t xml:space="preserve"> </w:t>
      </w:r>
      <w:r>
        <w:rPr>
          <w:rFonts w:ascii="Times New Roman" w:hAnsi="Times New Roman"/>
          <w:szCs w:val="24"/>
          <w:lang w:val="bs-Latn-BA"/>
        </w:rPr>
        <w:t>са</w:t>
      </w:r>
      <w:r w:rsidR="009013AA" w:rsidRPr="00295637">
        <w:rPr>
          <w:rFonts w:ascii="Times New Roman" w:hAnsi="Times New Roman"/>
          <w:szCs w:val="24"/>
          <w:lang w:val="bs-Latn-BA"/>
        </w:rPr>
        <w:t xml:space="preserve"> </w:t>
      </w:r>
      <w:r>
        <w:rPr>
          <w:rFonts w:ascii="Times New Roman" w:hAnsi="Times New Roman"/>
          <w:szCs w:val="24"/>
          <w:lang w:val="bs-Latn-BA"/>
        </w:rPr>
        <w:t>инвалидитетом</w:t>
      </w:r>
      <w:r w:rsidR="009013AA" w:rsidRPr="00295637">
        <w:rPr>
          <w:rFonts w:ascii="Times New Roman" w:hAnsi="Times New Roman"/>
          <w:szCs w:val="24"/>
          <w:lang w:val="bs-Latn-BA"/>
        </w:rPr>
        <w:t xml:space="preserve"> </w:t>
      </w:r>
      <w:r>
        <w:rPr>
          <w:rFonts w:ascii="Times New Roman" w:hAnsi="Times New Roman"/>
          <w:szCs w:val="24"/>
          <w:lang w:val="bs-Latn-BA"/>
        </w:rPr>
        <w:t>ФБиХ</w:t>
      </w:r>
      <w:r w:rsidR="009013AA" w:rsidRPr="00295637">
        <w:rPr>
          <w:rFonts w:ascii="Times New Roman" w:hAnsi="Times New Roman"/>
          <w:szCs w:val="24"/>
          <w:lang w:val="bs-Latn-BA"/>
        </w:rPr>
        <w:t xml:space="preserve"> 2025</w:t>
      </w:r>
      <w:r w:rsidR="007B1D72">
        <w:rPr>
          <w:rFonts w:ascii="Times New Roman" w:hAnsi="Times New Roman"/>
          <w:szCs w:val="24"/>
          <w:lang w:val="bs-Latn-BA"/>
        </w:rPr>
        <w:t>-</w:t>
      </w:r>
      <w:r w:rsidR="009013AA" w:rsidRPr="00295637">
        <w:rPr>
          <w:rFonts w:ascii="Times New Roman" w:hAnsi="Times New Roman"/>
          <w:szCs w:val="24"/>
          <w:lang w:val="bs-Latn-BA"/>
        </w:rPr>
        <w:t>2030.</w:t>
      </w:r>
      <w:r w:rsidR="007B1D72">
        <w:rPr>
          <w:rFonts w:ascii="Times New Roman" w:hAnsi="Times New Roman"/>
          <w:szCs w:val="24"/>
          <w:lang w:val="bs-Latn-BA"/>
        </w:rPr>
        <w:t xml:space="preserve"> </w:t>
      </w:r>
      <w:r>
        <w:rPr>
          <w:rFonts w:ascii="Times New Roman" w:hAnsi="Times New Roman"/>
          <w:szCs w:val="24"/>
          <w:lang w:val="bs-Latn-BA"/>
        </w:rPr>
        <w:t>година</w:t>
      </w:r>
      <w:r w:rsidR="007B1D72">
        <w:rPr>
          <w:rFonts w:ascii="Times New Roman" w:hAnsi="Times New Roman"/>
          <w:szCs w:val="24"/>
          <w:lang w:val="bs-Latn-BA"/>
        </w:rPr>
        <w:t>.</w:t>
      </w:r>
    </w:p>
    <w:p w:rsidR="009013AA" w:rsidRPr="00295637" w:rsidRDefault="009013AA" w:rsidP="0086268D">
      <w:pPr>
        <w:ind w:left="576"/>
        <w:jc w:val="both"/>
        <w:rPr>
          <w:rFonts w:ascii="Times New Roman" w:hAnsi="Times New Roman"/>
          <w:szCs w:val="24"/>
          <w:lang w:val="bs-Latn-BA"/>
        </w:rPr>
      </w:pPr>
    </w:p>
    <w:p w:rsidR="009013AA" w:rsidRPr="00295637" w:rsidRDefault="00C6214E" w:rsidP="0086268D">
      <w:pPr>
        <w:jc w:val="both"/>
        <w:rPr>
          <w:rFonts w:ascii="Times New Roman" w:hAnsi="Times New Roman"/>
          <w:szCs w:val="24"/>
          <w:lang w:val="bs-Latn-BA"/>
        </w:rPr>
      </w:pPr>
      <w:r>
        <w:rPr>
          <w:rFonts w:ascii="Times New Roman" w:hAnsi="Times New Roman"/>
          <w:szCs w:val="24"/>
          <w:lang w:val="bs-Latn-BA"/>
        </w:rPr>
        <w:t>АДС</w:t>
      </w:r>
      <w:r w:rsidR="00D50DF0">
        <w:rPr>
          <w:rFonts w:ascii="Times New Roman" w:hAnsi="Times New Roman"/>
          <w:szCs w:val="24"/>
          <w:lang w:val="bs-Latn-BA"/>
        </w:rPr>
        <w:t xml:space="preserve"> </w:t>
      </w:r>
      <w:r>
        <w:rPr>
          <w:rFonts w:ascii="Times New Roman" w:hAnsi="Times New Roman"/>
          <w:szCs w:val="24"/>
          <w:lang w:val="bs-Latn-BA"/>
        </w:rPr>
        <w:t>ФБиХ</w:t>
      </w:r>
      <w:r w:rsidR="009013AA" w:rsidRPr="00295637">
        <w:rPr>
          <w:rFonts w:ascii="Times New Roman" w:hAnsi="Times New Roman"/>
          <w:szCs w:val="24"/>
          <w:lang w:val="bs-Latn-BA"/>
        </w:rPr>
        <w:t xml:space="preserve"> </w:t>
      </w:r>
      <w:r>
        <w:rPr>
          <w:rFonts w:ascii="Times New Roman" w:hAnsi="Times New Roman"/>
          <w:szCs w:val="24"/>
          <w:lang w:val="bs-Latn-BA"/>
        </w:rPr>
        <w:t>је</w:t>
      </w:r>
      <w:r w:rsidR="009013AA" w:rsidRPr="00295637">
        <w:rPr>
          <w:rFonts w:ascii="Times New Roman" w:hAnsi="Times New Roman"/>
          <w:szCs w:val="24"/>
          <w:lang w:val="bs-Latn-BA"/>
        </w:rPr>
        <w:t xml:space="preserve"> </w:t>
      </w:r>
      <w:r>
        <w:rPr>
          <w:rFonts w:ascii="Times New Roman" w:hAnsi="Times New Roman"/>
          <w:szCs w:val="24"/>
          <w:lang w:val="bs-Latn-BA"/>
        </w:rPr>
        <w:t>током</w:t>
      </w:r>
      <w:r w:rsidR="009013AA" w:rsidRPr="00295637">
        <w:rPr>
          <w:rFonts w:ascii="Times New Roman" w:hAnsi="Times New Roman"/>
          <w:szCs w:val="24"/>
          <w:lang w:val="bs-Latn-BA"/>
        </w:rPr>
        <w:t xml:space="preserve"> 2024. </w:t>
      </w:r>
      <w:r>
        <w:rPr>
          <w:rFonts w:ascii="Times New Roman" w:hAnsi="Times New Roman"/>
          <w:szCs w:val="24"/>
          <w:lang w:val="bs-Latn-BA"/>
        </w:rPr>
        <w:t>године</w:t>
      </w:r>
      <w:r w:rsidR="009013AA" w:rsidRPr="00295637">
        <w:rPr>
          <w:rFonts w:ascii="Times New Roman" w:hAnsi="Times New Roman"/>
          <w:szCs w:val="24"/>
          <w:lang w:val="bs-Latn-BA"/>
        </w:rPr>
        <w:t xml:space="preserve"> </w:t>
      </w:r>
      <w:r>
        <w:rPr>
          <w:rFonts w:ascii="Times New Roman" w:hAnsi="Times New Roman"/>
          <w:szCs w:val="24"/>
          <w:lang w:val="bs-Latn-BA"/>
        </w:rPr>
        <w:t>реализ</w:t>
      </w:r>
      <w:r w:rsidR="00277407">
        <w:rPr>
          <w:rFonts w:ascii="Times New Roman" w:hAnsi="Times New Roman"/>
          <w:szCs w:val="24"/>
          <w:lang w:val="sr-Cyrl-BA"/>
        </w:rPr>
        <w:t>овала</w:t>
      </w:r>
      <w:r w:rsidR="009013AA" w:rsidRPr="00295637">
        <w:rPr>
          <w:rFonts w:ascii="Times New Roman" w:hAnsi="Times New Roman"/>
          <w:szCs w:val="24"/>
          <w:lang w:val="bs-Latn-BA"/>
        </w:rPr>
        <w:t xml:space="preserve"> </w:t>
      </w:r>
      <w:r>
        <w:rPr>
          <w:rFonts w:ascii="Times New Roman" w:hAnsi="Times New Roman"/>
          <w:szCs w:val="24"/>
          <w:lang w:val="bs-Latn-BA"/>
        </w:rPr>
        <w:t>низ</w:t>
      </w:r>
      <w:r w:rsidR="009013AA" w:rsidRPr="00295637">
        <w:rPr>
          <w:rFonts w:ascii="Times New Roman" w:hAnsi="Times New Roman"/>
          <w:szCs w:val="24"/>
          <w:lang w:val="bs-Latn-BA"/>
        </w:rPr>
        <w:t xml:space="preserve"> </w:t>
      </w:r>
      <w:r>
        <w:rPr>
          <w:rFonts w:ascii="Times New Roman" w:hAnsi="Times New Roman"/>
          <w:szCs w:val="24"/>
          <w:lang w:val="bs-Latn-BA"/>
        </w:rPr>
        <w:t>едука</w:t>
      </w:r>
      <w:r w:rsidR="00277407">
        <w:rPr>
          <w:rFonts w:ascii="Times New Roman" w:hAnsi="Times New Roman"/>
          <w:szCs w:val="24"/>
          <w:lang w:val="sr-Cyrl-BA"/>
        </w:rPr>
        <w:t>тивних</w:t>
      </w:r>
      <w:r w:rsidR="009013AA" w:rsidRPr="00295637">
        <w:rPr>
          <w:rFonts w:ascii="Times New Roman" w:hAnsi="Times New Roman"/>
          <w:szCs w:val="24"/>
          <w:lang w:val="bs-Latn-BA"/>
        </w:rPr>
        <w:t xml:space="preserve"> </w:t>
      </w:r>
      <w:r>
        <w:rPr>
          <w:rFonts w:ascii="Times New Roman" w:hAnsi="Times New Roman"/>
          <w:szCs w:val="24"/>
          <w:lang w:val="bs-Latn-BA"/>
        </w:rPr>
        <w:t>програма</w:t>
      </w:r>
      <w:r w:rsidR="009013AA" w:rsidRPr="00295637">
        <w:rPr>
          <w:rFonts w:ascii="Times New Roman" w:hAnsi="Times New Roman"/>
          <w:szCs w:val="24"/>
          <w:lang w:val="bs-Latn-BA"/>
        </w:rPr>
        <w:t xml:space="preserve"> </w:t>
      </w:r>
      <w:r>
        <w:rPr>
          <w:rFonts w:ascii="Times New Roman" w:hAnsi="Times New Roman"/>
          <w:szCs w:val="24"/>
          <w:lang w:val="bs-Latn-BA"/>
        </w:rPr>
        <w:t>усмјерених</w:t>
      </w:r>
      <w:r w:rsidR="009013AA" w:rsidRPr="00295637">
        <w:rPr>
          <w:rFonts w:ascii="Times New Roman" w:hAnsi="Times New Roman"/>
          <w:szCs w:val="24"/>
          <w:lang w:val="bs-Latn-BA"/>
        </w:rPr>
        <w:t xml:space="preserve"> </w:t>
      </w:r>
      <w:r>
        <w:rPr>
          <w:rFonts w:ascii="Times New Roman" w:hAnsi="Times New Roman"/>
          <w:szCs w:val="24"/>
          <w:lang w:val="bs-Latn-BA"/>
        </w:rPr>
        <w:t>на</w:t>
      </w:r>
      <w:r w:rsidR="009013AA" w:rsidRPr="00295637">
        <w:rPr>
          <w:rFonts w:ascii="Times New Roman" w:hAnsi="Times New Roman"/>
          <w:szCs w:val="24"/>
          <w:lang w:val="bs-Latn-BA"/>
        </w:rPr>
        <w:t xml:space="preserve"> </w:t>
      </w:r>
      <w:r>
        <w:rPr>
          <w:rFonts w:ascii="Times New Roman" w:hAnsi="Times New Roman"/>
          <w:szCs w:val="24"/>
          <w:lang w:val="bs-Latn-BA"/>
        </w:rPr>
        <w:t>јачање</w:t>
      </w:r>
      <w:r w:rsidR="009013AA" w:rsidRPr="00295637">
        <w:rPr>
          <w:rFonts w:ascii="Times New Roman" w:hAnsi="Times New Roman"/>
          <w:szCs w:val="24"/>
          <w:lang w:val="bs-Latn-BA"/>
        </w:rPr>
        <w:t xml:space="preserve"> </w:t>
      </w:r>
      <w:r>
        <w:rPr>
          <w:rFonts w:ascii="Times New Roman" w:hAnsi="Times New Roman"/>
          <w:szCs w:val="24"/>
          <w:lang w:val="bs-Latn-BA"/>
        </w:rPr>
        <w:t>капацитета</w:t>
      </w:r>
      <w:r w:rsidR="009013AA" w:rsidRPr="00295637">
        <w:rPr>
          <w:rFonts w:ascii="Times New Roman" w:hAnsi="Times New Roman"/>
          <w:szCs w:val="24"/>
          <w:lang w:val="bs-Latn-BA"/>
        </w:rPr>
        <w:t xml:space="preserve"> </w:t>
      </w:r>
      <w:r>
        <w:rPr>
          <w:rFonts w:ascii="Times New Roman" w:hAnsi="Times New Roman"/>
          <w:szCs w:val="24"/>
          <w:lang w:val="bs-Latn-BA"/>
        </w:rPr>
        <w:t>државних</w:t>
      </w:r>
      <w:r w:rsidR="009013AA" w:rsidRPr="00295637">
        <w:rPr>
          <w:rFonts w:ascii="Times New Roman" w:hAnsi="Times New Roman"/>
          <w:szCs w:val="24"/>
          <w:lang w:val="bs-Latn-BA"/>
        </w:rPr>
        <w:t xml:space="preserve"> </w:t>
      </w:r>
      <w:r>
        <w:rPr>
          <w:rFonts w:ascii="Times New Roman" w:hAnsi="Times New Roman"/>
          <w:szCs w:val="24"/>
          <w:lang w:val="bs-Latn-BA"/>
        </w:rPr>
        <w:t>службеника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области</w:t>
      </w:r>
      <w:r w:rsidR="009013AA"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9013AA" w:rsidRPr="00295637">
        <w:rPr>
          <w:rFonts w:ascii="Times New Roman" w:hAnsi="Times New Roman"/>
          <w:szCs w:val="24"/>
          <w:lang w:val="bs-Latn-BA"/>
        </w:rPr>
        <w:t xml:space="preserve"> </w:t>
      </w:r>
      <w:r>
        <w:rPr>
          <w:rFonts w:ascii="Times New Roman" w:hAnsi="Times New Roman"/>
          <w:szCs w:val="24"/>
          <w:lang w:val="bs-Latn-BA"/>
        </w:rPr>
        <w:t>полова</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заштите</w:t>
      </w:r>
      <w:r w:rsidR="009013AA" w:rsidRPr="00295637">
        <w:rPr>
          <w:rFonts w:ascii="Times New Roman" w:hAnsi="Times New Roman"/>
          <w:szCs w:val="24"/>
          <w:lang w:val="bs-Latn-BA"/>
        </w:rPr>
        <w:t xml:space="preserve"> </w:t>
      </w:r>
      <w:r>
        <w:rPr>
          <w:rFonts w:ascii="Times New Roman" w:hAnsi="Times New Roman"/>
          <w:szCs w:val="24"/>
          <w:lang w:val="bs-Latn-BA"/>
        </w:rPr>
        <w:t>људских</w:t>
      </w:r>
      <w:r w:rsidR="009013AA" w:rsidRPr="00295637">
        <w:rPr>
          <w:rFonts w:ascii="Times New Roman" w:hAnsi="Times New Roman"/>
          <w:szCs w:val="24"/>
          <w:lang w:val="bs-Latn-BA"/>
        </w:rPr>
        <w:t xml:space="preserve"> </w:t>
      </w:r>
      <w:r>
        <w:rPr>
          <w:rFonts w:ascii="Times New Roman" w:hAnsi="Times New Roman"/>
          <w:szCs w:val="24"/>
          <w:lang w:val="bs-Latn-BA"/>
        </w:rPr>
        <w:t>права</w:t>
      </w:r>
      <w:r w:rsidR="009013AA" w:rsidRPr="00295637">
        <w:rPr>
          <w:rFonts w:ascii="Times New Roman" w:hAnsi="Times New Roman"/>
          <w:szCs w:val="24"/>
          <w:lang w:val="bs-Latn-BA"/>
        </w:rPr>
        <w:t xml:space="preserve">. </w:t>
      </w:r>
      <w:r>
        <w:rPr>
          <w:rFonts w:ascii="Times New Roman" w:hAnsi="Times New Roman"/>
          <w:szCs w:val="24"/>
          <w:lang w:val="bs-Latn-BA"/>
        </w:rPr>
        <w:t>Кроз</w:t>
      </w:r>
      <w:r w:rsidR="009013AA" w:rsidRPr="00295637">
        <w:rPr>
          <w:rFonts w:ascii="Times New Roman" w:hAnsi="Times New Roman"/>
          <w:szCs w:val="24"/>
          <w:lang w:val="bs-Latn-BA"/>
        </w:rPr>
        <w:t xml:space="preserve"> </w:t>
      </w:r>
      <w:r>
        <w:rPr>
          <w:rFonts w:ascii="Times New Roman" w:hAnsi="Times New Roman"/>
          <w:szCs w:val="24"/>
          <w:lang w:val="bs-Latn-BA"/>
        </w:rPr>
        <w:t>стручне</w:t>
      </w:r>
      <w:r w:rsidR="009013AA" w:rsidRPr="00295637">
        <w:rPr>
          <w:rFonts w:ascii="Times New Roman" w:hAnsi="Times New Roman"/>
          <w:szCs w:val="24"/>
          <w:lang w:val="bs-Latn-BA"/>
        </w:rPr>
        <w:t xml:space="preserve"> </w:t>
      </w:r>
      <w:r>
        <w:rPr>
          <w:rFonts w:ascii="Times New Roman" w:hAnsi="Times New Roman"/>
          <w:szCs w:val="24"/>
          <w:lang w:val="bs-Latn-BA"/>
        </w:rPr>
        <w:t>обуке</w:t>
      </w:r>
      <w:r w:rsidR="009013AA" w:rsidRPr="00295637">
        <w:rPr>
          <w:rFonts w:ascii="Times New Roman" w:hAnsi="Times New Roman"/>
          <w:szCs w:val="24"/>
          <w:lang w:val="bs-Latn-BA"/>
        </w:rPr>
        <w:t xml:space="preserve">, </w:t>
      </w:r>
      <w:r>
        <w:rPr>
          <w:rFonts w:ascii="Times New Roman" w:hAnsi="Times New Roman"/>
          <w:szCs w:val="24"/>
          <w:lang w:val="bs-Latn-BA"/>
        </w:rPr>
        <w:t>службеници</w:t>
      </w:r>
      <w:r w:rsidR="009013AA" w:rsidRPr="00295637">
        <w:rPr>
          <w:rFonts w:ascii="Times New Roman" w:hAnsi="Times New Roman"/>
          <w:szCs w:val="24"/>
          <w:lang w:val="bs-Latn-BA"/>
        </w:rPr>
        <w:t xml:space="preserve"> </w:t>
      </w:r>
      <w:r>
        <w:rPr>
          <w:rFonts w:ascii="Times New Roman" w:hAnsi="Times New Roman"/>
          <w:szCs w:val="24"/>
          <w:lang w:val="bs-Latn-BA"/>
        </w:rPr>
        <w:t>су</w:t>
      </w:r>
      <w:r w:rsidR="009013AA" w:rsidRPr="00295637">
        <w:rPr>
          <w:rFonts w:ascii="Times New Roman" w:hAnsi="Times New Roman"/>
          <w:szCs w:val="24"/>
          <w:lang w:val="bs-Latn-BA"/>
        </w:rPr>
        <w:t xml:space="preserve"> </w:t>
      </w:r>
      <w:r>
        <w:rPr>
          <w:rFonts w:ascii="Times New Roman" w:hAnsi="Times New Roman"/>
          <w:szCs w:val="24"/>
          <w:lang w:val="bs-Latn-BA"/>
        </w:rPr>
        <w:t>имали</w:t>
      </w:r>
      <w:r w:rsidR="009013AA" w:rsidRPr="00295637">
        <w:rPr>
          <w:rFonts w:ascii="Times New Roman" w:hAnsi="Times New Roman"/>
          <w:szCs w:val="24"/>
          <w:lang w:val="bs-Latn-BA"/>
        </w:rPr>
        <w:t xml:space="preserve"> </w:t>
      </w:r>
      <w:r>
        <w:rPr>
          <w:rFonts w:ascii="Times New Roman" w:hAnsi="Times New Roman"/>
          <w:szCs w:val="24"/>
          <w:lang w:val="bs-Latn-BA"/>
        </w:rPr>
        <w:t>прилику</w:t>
      </w:r>
      <w:r w:rsidR="009013AA" w:rsidRPr="00295637">
        <w:rPr>
          <w:rFonts w:ascii="Times New Roman" w:hAnsi="Times New Roman"/>
          <w:szCs w:val="24"/>
          <w:lang w:val="bs-Latn-BA"/>
        </w:rPr>
        <w:t xml:space="preserve"> </w:t>
      </w:r>
      <w:r>
        <w:rPr>
          <w:rFonts w:ascii="Times New Roman" w:hAnsi="Times New Roman"/>
          <w:szCs w:val="24"/>
          <w:lang w:val="bs-Latn-BA"/>
        </w:rPr>
        <w:t>да</w:t>
      </w:r>
      <w:r w:rsidR="009013AA" w:rsidRPr="00295637">
        <w:rPr>
          <w:rFonts w:ascii="Times New Roman" w:hAnsi="Times New Roman"/>
          <w:szCs w:val="24"/>
          <w:lang w:val="bs-Latn-BA"/>
        </w:rPr>
        <w:t xml:space="preserve"> </w:t>
      </w:r>
      <w:r>
        <w:rPr>
          <w:rFonts w:ascii="Times New Roman" w:hAnsi="Times New Roman"/>
          <w:szCs w:val="24"/>
          <w:lang w:val="bs-Latn-BA"/>
        </w:rPr>
        <w:t>стекну</w:t>
      </w:r>
      <w:r w:rsidR="009013AA" w:rsidRPr="00295637">
        <w:rPr>
          <w:rFonts w:ascii="Times New Roman" w:hAnsi="Times New Roman"/>
          <w:szCs w:val="24"/>
          <w:lang w:val="bs-Latn-BA"/>
        </w:rPr>
        <w:t xml:space="preserve"> </w:t>
      </w:r>
      <w:r>
        <w:rPr>
          <w:rFonts w:ascii="Times New Roman" w:hAnsi="Times New Roman"/>
          <w:szCs w:val="24"/>
          <w:lang w:val="bs-Latn-BA"/>
        </w:rPr>
        <w:t>знања</w:t>
      </w:r>
      <w:r w:rsidR="009013AA" w:rsidRPr="00295637">
        <w:rPr>
          <w:rFonts w:ascii="Times New Roman" w:hAnsi="Times New Roman"/>
          <w:szCs w:val="24"/>
          <w:lang w:val="bs-Latn-BA"/>
        </w:rPr>
        <w:t xml:space="preserve"> </w:t>
      </w:r>
      <w:r>
        <w:rPr>
          <w:rFonts w:ascii="Times New Roman" w:hAnsi="Times New Roman"/>
          <w:szCs w:val="24"/>
          <w:lang w:val="bs-Latn-BA"/>
        </w:rPr>
        <w:t>о</w:t>
      </w:r>
      <w:r w:rsidR="009013AA" w:rsidRPr="00295637">
        <w:rPr>
          <w:rFonts w:ascii="Times New Roman" w:hAnsi="Times New Roman"/>
          <w:szCs w:val="24"/>
          <w:lang w:val="bs-Latn-BA"/>
        </w:rPr>
        <w:t xml:space="preserve"> </w:t>
      </w:r>
      <w:r>
        <w:rPr>
          <w:rFonts w:ascii="Times New Roman" w:hAnsi="Times New Roman"/>
          <w:szCs w:val="24"/>
          <w:lang w:val="bs-Latn-BA"/>
        </w:rPr>
        <w:t>примјени</w:t>
      </w:r>
      <w:r w:rsidR="009013AA" w:rsidRPr="00295637">
        <w:rPr>
          <w:rFonts w:ascii="Times New Roman" w:hAnsi="Times New Roman"/>
          <w:szCs w:val="24"/>
          <w:lang w:val="bs-Latn-BA"/>
        </w:rPr>
        <w:t xml:space="preserve"> </w:t>
      </w:r>
      <w:r>
        <w:rPr>
          <w:rFonts w:ascii="Times New Roman" w:hAnsi="Times New Roman"/>
          <w:szCs w:val="24"/>
          <w:lang w:val="bs-Latn-BA"/>
        </w:rPr>
        <w:t>прописа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области</w:t>
      </w:r>
      <w:r w:rsidR="009013AA" w:rsidRPr="00295637">
        <w:rPr>
          <w:rFonts w:ascii="Times New Roman" w:hAnsi="Times New Roman"/>
          <w:szCs w:val="24"/>
          <w:lang w:val="bs-Latn-BA"/>
        </w:rPr>
        <w:t xml:space="preserve"> </w:t>
      </w:r>
      <w:r>
        <w:rPr>
          <w:rFonts w:ascii="Times New Roman" w:hAnsi="Times New Roman"/>
          <w:szCs w:val="24"/>
          <w:lang w:val="bs-Latn-BA"/>
        </w:rPr>
        <w:t>насиља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породици</w:t>
      </w:r>
      <w:r w:rsidR="009013AA"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9013AA" w:rsidRPr="00295637">
        <w:rPr>
          <w:rFonts w:ascii="Times New Roman" w:hAnsi="Times New Roman"/>
          <w:szCs w:val="24"/>
          <w:lang w:val="bs-Latn-BA"/>
        </w:rPr>
        <w:t xml:space="preserve"> </w:t>
      </w:r>
      <w:r>
        <w:rPr>
          <w:rFonts w:ascii="Times New Roman" w:hAnsi="Times New Roman"/>
          <w:szCs w:val="24"/>
          <w:lang w:val="bs-Latn-BA"/>
        </w:rPr>
        <w:t>по</w:t>
      </w:r>
      <w:r w:rsidR="009013AA" w:rsidRPr="00295637">
        <w:rPr>
          <w:rFonts w:ascii="Times New Roman" w:hAnsi="Times New Roman"/>
          <w:szCs w:val="24"/>
          <w:lang w:val="bs-Latn-BA"/>
        </w:rPr>
        <w:t xml:space="preserve"> </w:t>
      </w:r>
      <w:r>
        <w:rPr>
          <w:rFonts w:ascii="Times New Roman" w:hAnsi="Times New Roman"/>
          <w:szCs w:val="24"/>
          <w:lang w:val="bs-Latn-BA"/>
        </w:rPr>
        <w:t>основу</w:t>
      </w:r>
      <w:r w:rsidR="009013AA" w:rsidRPr="00295637">
        <w:rPr>
          <w:rFonts w:ascii="Times New Roman" w:hAnsi="Times New Roman"/>
          <w:szCs w:val="24"/>
          <w:lang w:val="bs-Latn-BA"/>
        </w:rPr>
        <w:t xml:space="preserve"> </w:t>
      </w:r>
      <w:r>
        <w:rPr>
          <w:rFonts w:ascii="Times New Roman" w:hAnsi="Times New Roman"/>
          <w:szCs w:val="24"/>
          <w:lang w:val="bs-Latn-BA"/>
        </w:rPr>
        <w:t>пола</w:t>
      </w:r>
      <w:r w:rsidR="009013AA" w:rsidRPr="00295637">
        <w:rPr>
          <w:rFonts w:ascii="Times New Roman" w:hAnsi="Times New Roman"/>
          <w:szCs w:val="24"/>
          <w:lang w:val="bs-Latn-BA"/>
        </w:rPr>
        <w:t xml:space="preserve"> </w:t>
      </w:r>
      <w:r>
        <w:rPr>
          <w:rFonts w:ascii="Times New Roman" w:hAnsi="Times New Roman"/>
          <w:szCs w:val="24"/>
          <w:lang w:val="bs-Latn-BA"/>
        </w:rPr>
        <w:t>те</w:t>
      </w:r>
      <w:r w:rsidR="009013AA" w:rsidRPr="00295637">
        <w:rPr>
          <w:rFonts w:ascii="Times New Roman" w:hAnsi="Times New Roman"/>
          <w:szCs w:val="24"/>
          <w:lang w:val="bs-Latn-BA"/>
        </w:rPr>
        <w:t xml:space="preserve"> </w:t>
      </w:r>
      <w:r>
        <w:rPr>
          <w:rFonts w:ascii="Times New Roman" w:hAnsi="Times New Roman"/>
          <w:szCs w:val="24"/>
          <w:lang w:val="bs-Latn-BA"/>
        </w:rPr>
        <w:t>повезаности</w:t>
      </w:r>
      <w:r w:rsidR="009013AA" w:rsidRPr="00295637">
        <w:rPr>
          <w:rFonts w:ascii="Times New Roman" w:hAnsi="Times New Roman"/>
          <w:szCs w:val="24"/>
          <w:lang w:val="bs-Latn-BA"/>
        </w:rPr>
        <w:t xml:space="preserve"> </w:t>
      </w:r>
      <w:r>
        <w:rPr>
          <w:rFonts w:ascii="Times New Roman" w:hAnsi="Times New Roman"/>
          <w:szCs w:val="24"/>
          <w:lang w:val="bs-Latn-BA"/>
        </w:rPr>
        <w:t>корупције</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родно</w:t>
      </w:r>
      <w:r w:rsidR="009013AA" w:rsidRPr="00295637">
        <w:rPr>
          <w:rFonts w:ascii="Times New Roman" w:hAnsi="Times New Roman"/>
          <w:szCs w:val="24"/>
          <w:lang w:val="bs-Latn-BA"/>
        </w:rPr>
        <w:t xml:space="preserve"> </w:t>
      </w:r>
      <w:r>
        <w:rPr>
          <w:rFonts w:ascii="Times New Roman" w:hAnsi="Times New Roman"/>
          <w:szCs w:val="24"/>
          <w:lang w:val="bs-Latn-BA"/>
        </w:rPr>
        <w:t>заснован</w:t>
      </w:r>
      <w:r w:rsidR="00485AB7">
        <w:rPr>
          <w:rFonts w:ascii="Times New Roman" w:hAnsi="Times New Roman"/>
          <w:szCs w:val="24"/>
          <w:lang w:val="bs-Cyrl-BA"/>
        </w:rPr>
        <w:t>о</w:t>
      </w:r>
      <w:r>
        <w:rPr>
          <w:rFonts w:ascii="Times New Roman" w:hAnsi="Times New Roman"/>
          <w:szCs w:val="24"/>
          <w:lang w:val="bs-Latn-BA"/>
        </w:rPr>
        <w:t>г</w:t>
      </w:r>
      <w:r w:rsidR="00F33F83" w:rsidRPr="00295637">
        <w:rPr>
          <w:rFonts w:ascii="Times New Roman" w:hAnsi="Times New Roman"/>
          <w:szCs w:val="24"/>
          <w:lang w:val="bs-Latn-BA"/>
        </w:rPr>
        <w:t xml:space="preserve"> </w:t>
      </w:r>
      <w:r>
        <w:rPr>
          <w:rFonts w:ascii="Times New Roman" w:hAnsi="Times New Roman"/>
          <w:szCs w:val="24"/>
          <w:lang w:val="bs-Latn-BA"/>
        </w:rPr>
        <w:t>насиља</w:t>
      </w:r>
      <w:r w:rsidR="00F33F83" w:rsidRPr="00295637">
        <w:rPr>
          <w:rFonts w:ascii="Times New Roman" w:hAnsi="Times New Roman"/>
          <w:szCs w:val="24"/>
          <w:lang w:val="bs-Latn-BA"/>
        </w:rPr>
        <w:t xml:space="preserve">. </w:t>
      </w:r>
      <w:r>
        <w:rPr>
          <w:rFonts w:ascii="Times New Roman" w:hAnsi="Times New Roman"/>
          <w:szCs w:val="24"/>
          <w:lang w:val="bs-Latn-BA"/>
        </w:rPr>
        <w:t>Ове</w:t>
      </w:r>
      <w:r w:rsidR="00F33F83" w:rsidRPr="00295637">
        <w:rPr>
          <w:rFonts w:ascii="Times New Roman" w:hAnsi="Times New Roman"/>
          <w:szCs w:val="24"/>
          <w:lang w:val="bs-Latn-BA"/>
        </w:rPr>
        <w:t xml:space="preserve"> </w:t>
      </w:r>
      <w:r>
        <w:rPr>
          <w:rFonts w:ascii="Times New Roman" w:hAnsi="Times New Roman"/>
          <w:szCs w:val="24"/>
          <w:lang w:val="bs-Latn-BA"/>
        </w:rPr>
        <w:t>активности</w:t>
      </w:r>
      <w:r w:rsidR="00F33F83" w:rsidRPr="00295637">
        <w:rPr>
          <w:rFonts w:ascii="Times New Roman" w:hAnsi="Times New Roman"/>
          <w:szCs w:val="24"/>
          <w:lang w:val="bs-Latn-BA"/>
        </w:rPr>
        <w:t xml:space="preserve"> </w:t>
      </w:r>
      <w:r w:rsidR="00485AB7">
        <w:rPr>
          <w:rFonts w:ascii="Times New Roman" w:hAnsi="Times New Roman"/>
          <w:szCs w:val="24"/>
          <w:lang w:val="bs-Cyrl-BA"/>
        </w:rPr>
        <w:t xml:space="preserve">су </w:t>
      </w:r>
      <w:r>
        <w:rPr>
          <w:rFonts w:ascii="Times New Roman" w:hAnsi="Times New Roman"/>
          <w:szCs w:val="24"/>
          <w:lang w:val="bs-Latn-BA"/>
        </w:rPr>
        <w:t>проведене</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сарадњи</w:t>
      </w:r>
      <w:r w:rsidR="0020153C">
        <w:rPr>
          <w:rFonts w:ascii="Times New Roman" w:hAnsi="Times New Roman"/>
          <w:szCs w:val="24"/>
          <w:lang w:val="bs-Latn-BA"/>
        </w:rPr>
        <w:t xml:space="preserve"> </w:t>
      </w:r>
      <w:r>
        <w:rPr>
          <w:rFonts w:ascii="Times New Roman" w:hAnsi="Times New Roman"/>
          <w:szCs w:val="24"/>
          <w:lang w:val="bs-Latn-BA"/>
        </w:rPr>
        <w:t>са</w:t>
      </w:r>
      <w:r w:rsidR="009013AA" w:rsidRPr="00295637">
        <w:rPr>
          <w:rFonts w:ascii="Times New Roman" w:hAnsi="Times New Roman"/>
          <w:szCs w:val="24"/>
          <w:lang w:val="bs-Latn-BA"/>
        </w:rPr>
        <w:t xml:space="preserve"> </w:t>
      </w:r>
      <w:r>
        <w:rPr>
          <w:rFonts w:ascii="Times New Roman" w:hAnsi="Times New Roman"/>
          <w:szCs w:val="24"/>
          <w:lang w:val="bs-Latn-BA"/>
        </w:rPr>
        <w:t>различитим</w:t>
      </w:r>
      <w:r w:rsidR="009013AA" w:rsidRPr="00295637">
        <w:rPr>
          <w:rFonts w:ascii="Times New Roman" w:hAnsi="Times New Roman"/>
          <w:szCs w:val="24"/>
          <w:lang w:val="bs-Latn-BA"/>
        </w:rPr>
        <w:t xml:space="preserve"> </w:t>
      </w:r>
      <w:r>
        <w:rPr>
          <w:rFonts w:ascii="Times New Roman" w:hAnsi="Times New Roman"/>
          <w:szCs w:val="24"/>
          <w:lang w:val="bs-Latn-BA"/>
        </w:rPr>
        <w:t>институцијама</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организацијама</w:t>
      </w:r>
      <w:r w:rsidR="009013AA" w:rsidRPr="00295637">
        <w:rPr>
          <w:rFonts w:ascii="Times New Roman" w:hAnsi="Times New Roman"/>
          <w:szCs w:val="24"/>
          <w:lang w:val="bs-Latn-BA"/>
        </w:rPr>
        <w:t xml:space="preserve">, </w:t>
      </w:r>
      <w:r>
        <w:rPr>
          <w:rFonts w:ascii="Times New Roman" w:hAnsi="Times New Roman"/>
          <w:szCs w:val="24"/>
          <w:lang w:val="bs-Latn-BA"/>
        </w:rPr>
        <w:t>укључујући</w:t>
      </w:r>
      <w:r w:rsidR="009013AA" w:rsidRPr="00295637">
        <w:rPr>
          <w:rFonts w:ascii="Times New Roman" w:hAnsi="Times New Roman"/>
          <w:szCs w:val="24"/>
          <w:lang w:val="bs-Latn-BA"/>
        </w:rPr>
        <w:t xml:space="preserve"> </w:t>
      </w:r>
      <w:r>
        <w:rPr>
          <w:rFonts w:ascii="Times New Roman" w:hAnsi="Times New Roman"/>
          <w:szCs w:val="24"/>
          <w:lang w:val="bs-Latn-BA"/>
        </w:rPr>
        <w:t>Транскултурну</w:t>
      </w:r>
      <w:r w:rsidR="000214D3">
        <w:rPr>
          <w:rFonts w:ascii="Times New Roman" w:hAnsi="Times New Roman"/>
          <w:szCs w:val="24"/>
          <w:lang w:val="bs-Latn-BA"/>
        </w:rPr>
        <w:t xml:space="preserve"> </w:t>
      </w:r>
      <w:r>
        <w:rPr>
          <w:rFonts w:ascii="Times New Roman" w:hAnsi="Times New Roman"/>
          <w:szCs w:val="24"/>
          <w:lang w:val="bs-Latn-BA"/>
        </w:rPr>
        <w:t>психосоцијалну</w:t>
      </w:r>
      <w:r w:rsidR="000214D3">
        <w:rPr>
          <w:rFonts w:ascii="Times New Roman" w:hAnsi="Times New Roman"/>
          <w:szCs w:val="24"/>
          <w:lang w:val="bs-Latn-BA"/>
        </w:rPr>
        <w:t xml:space="preserve"> </w:t>
      </w:r>
      <w:r>
        <w:rPr>
          <w:rFonts w:ascii="Times New Roman" w:hAnsi="Times New Roman"/>
          <w:szCs w:val="24"/>
          <w:lang w:val="bs-Latn-BA"/>
        </w:rPr>
        <w:t>образовну</w:t>
      </w:r>
      <w:r w:rsidR="000214D3">
        <w:rPr>
          <w:rFonts w:ascii="Times New Roman" w:hAnsi="Times New Roman"/>
          <w:szCs w:val="24"/>
          <w:lang w:val="bs-Latn-BA"/>
        </w:rPr>
        <w:t xml:space="preserve"> </w:t>
      </w:r>
      <w:r>
        <w:rPr>
          <w:rFonts w:ascii="Times New Roman" w:hAnsi="Times New Roman"/>
          <w:szCs w:val="24"/>
          <w:lang w:val="bs-Latn-BA"/>
        </w:rPr>
        <w:t>Фондацију</w:t>
      </w:r>
      <w:r w:rsidR="00F33F83" w:rsidRPr="00295637">
        <w:rPr>
          <w:rFonts w:ascii="Times New Roman" w:hAnsi="Times New Roman"/>
          <w:szCs w:val="24"/>
          <w:lang w:val="bs-Latn-BA"/>
        </w:rPr>
        <w:t xml:space="preserve"> </w:t>
      </w:r>
      <w:r>
        <w:rPr>
          <w:rFonts w:ascii="Times New Roman" w:hAnsi="Times New Roman"/>
          <w:szCs w:val="24"/>
          <w:lang w:val="bs-Latn-BA"/>
        </w:rPr>
        <w:t>и</w:t>
      </w:r>
      <w:r w:rsidR="00071125">
        <w:rPr>
          <w:rFonts w:ascii="Times New Roman" w:hAnsi="Times New Roman"/>
          <w:szCs w:val="24"/>
          <w:lang w:val="bs-Latn-BA"/>
        </w:rPr>
        <w:t xml:space="preserve"> </w:t>
      </w:r>
      <w:r>
        <w:rPr>
          <w:rFonts w:ascii="Times New Roman" w:hAnsi="Times New Roman"/>
          <w:szCs w:val="24"/>
          <w:lang w:val="bs-Latn-BA"/>
        </w:rPr>
        <w:t>академску</w:t>
      </w:r>
      <w:r w:rsidR="00071125">
        <w:rPr>
          <w:rFonts w:ascii="Times New Roman" w:hAnsi="Times New Roman"/>
          <w:szCs w:val="24"/>
          <w:lang w:val="bs-Latn-BA"/>
        </w:rPr>
        <w:t xml:space="preserve"> </w:t>
      </w:r>
      <w:r>
        <w:rPr>
          <w:rFonts w:ascii="Times New Roman" w:hAnsi="Times New Roman"/>
          <w:szCs w:val="24"/>
          <w:lang w:val="bs-Latn-BA"/>
        </w:rPr>
        <w:t>заједницу</w:t>
      </w:r>
      <w:r w:rsidR="009013AA" w:rsidRPr="00295637">
        <w:rPr>
          <w:rFonts w:ascii="Times New Roman" w:hAnsi="Times New Roman"/>
          <w:szCs w:val="24"/>
          <w:lang w:val="bs-Latn-BA"/>
        </w:rPr>
        <w:t xml:space="preserve">, </w:t>
      </w:r>
      <w:r>
        <w:rPr>
          <w:rFonts w:ascii="Times New Roman" w:hAnsi="Times New Roman"/>
          <w:szCs w:val="24"/>
          <w:lang w:val="bs-Latn-BA"/>
        </w:rPr>
        <w:t>чиме</w:t>
      </w:r>
      <w:r w:rsidR="009013AA" w:rsidRPr="00295637">
        <w:rPr>
          <w:rFonts w:ascii="Times New Roman" w:hAnsi="Times New Roman"/>
          <w:szCs w:val="24"/>
          <w:lang w:val="bs-Latn-BA"/>
        </w:rPr>
        <w:t xml:space="preserve"> </w:t>
      </w:r>
      <w:r>
        <w:rPr>
          <w:rFonts w:ascii="Times New Roman" w:hAnsi="Times New Roman"/>
          <w:szCs w:val="24"/>
          <w:lang w:val="bs-Latn-BA"/>
        </w:rPr>
        <w:t>је</w:t>
      </w:r>
      <w:r w:rsidR="009013AA" w:rsidRPr="00295637">
        <w:rPr>
          <w:rFonts w:ascii="Times New Roman" w:hAnsi="Times New Roman"/>
          <w:szCs w:val="24"/>
          <w:lang w:val="bs-Latn-BA"/>
        </w:rPr>
        <w:t xml:space="preserve"> </w:t>
      </w:r>
      <w:r>
        <w:rPr>
          <w:rFonts w:ascii="Times New Roman" w:hAnsi="Times New Roman"/>
          <w:szCs w:val="24"/>
          <w:lang w:val="bs-Latn-BA"/>
        </w:rPr>
        <w:t>о</w:t>
      </w:r>
      <w:r w:rsidR="00277407">
        <w:rPr>
          <w:rFonts w:ascii="Times New Roman" w:hAnsi="Times New Roman"/>
          <w:szCs w:val="24"/>
          <w:lang w:val="sr-Cyrl-BA"/>
        </w:rPr>
        <w:t>безбијеђена</w:t>
      </w:r>
      <w:r w:rsidR="009013AA" w:rsidRPr="00295637">
        <w:rPr>
          <w:rFonts w:ascii="Times New Roman" w:hAnsi="Times New Roman"/>
          <w:szCs w:val="24"/>
          <w:lang w:val="bs-Latn-BA"/>
        </w:rPr>
        <w:t xml:space="preserve"> </w:t>
      </w:r>
      <w:r>
        <w:rPr>
          <w:rFonts w:ascii="Times New Roman" w:hAnsi="Times New Roman"/>
          <w:szCs w:val="24"/>
          <w:lang w:val="bs-Latn-BA"/>
        </w:rPr>
        <w:t>мултидисциплинарна</w:t>
      </w:r>
      <w:r w:rsidR="009013AA" w:rsidRPr="00295637">
        <w:rPr>
          <w:rFonts w:ascii="Times New Roman" w:hAnsi="Times New Roman"/>
          <w:szCs w:val="24"/>
          <w:lang w:val="bs-Latn-BA"/>
        </w:rPr>
        <w:t xml:space="preserve"> </w:t>
      </w:r>
      <w:r>
        <w:rPr>
          <w:rFonts w:ascii="Times New Roman" w:hAnsi="Times New Roman"/>
          <w:szCs w:val="24"/>
          <w:lang w:val="bs-Latn-BA"/>
        </w:rPr>
        <w:t>перспектива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рјешавању</w:t>
      </w:r>
      <w:r w:rsidR="009013AA" w:rsidRPr="00295637">
        <w:rPr>
          <w:rFonts w:ascii="Times New Roman" w:hAnsi="Times New Roman"/>
          <w:szCs w:val="24"/>
          <w:lang w:val="bs-Latn-BA"/>
        </w:rPr>
        <w:t xml:space="preserve"> </w:t>
      </w:r>
      <w:r>
        <w:rPr>
          <w:rFonts w:ascii="Times New Roman" w:hAnsi="Times New Roman"/>
          <w:szCs w:val="24"/>
          <w:lang w:val="bs-Latn-BA"/>
        </w:rPr>
        <w:t>ових</w:t>
      </w:r>
      <w:r w:rsidR="009013AA" w:rsidRPr="00295637">
        <w:rPr>
          <w:rFonts w:ascii="Times New Roman" w:hAnsi="Times New Roman"/>
          <w:szCs w:val="24"/>
          <w:lang w:val="bs-Latn-BA"/>
        </w:rPr>
        <w:t xml:space="preserve"> </w:t>
      </w:r>
      <w:r>
        <w:rPr>
          <w:rFonts w:ascii="Times New Roman" w:hAnsi="Times New Roman"/>
          <w:szCs w:val="24"/>
          <w:lang w:val="bs-Latn-BA"/>
        </w:rPr>
        <w:t>важних</w:t>
      </w:r>
      <w:r w:rsidR="009013AA" w:rsidRPr="00295637">
        <w:rPr>
          <w:rFonts w:ascii="Times New Roman" w:hAnsi="Times New Roman"/>
          <w:szCs w:val="24"/>
          <w:lang w:val="bs-Latn-BA"/>
        </w:rPr>
        <w:t xml:space="preserve"> </w:t>
      </w:r>
      <w:r>
        <w:rPr>
          <w:rFonts w:ascii="Times New Roman" w:hAnsi="Times New Roman"/>
          <w:szCs w:val="24"/>
          <w:lang w:val="bs-Latn-BA"/>
        </w:rPr>
        <w:t>друштвених</w:t>
      </w:r>
      <w:r w:rsidR="009013AA" w:rsidRPr="00295637">
        <w:rPr>
          <w:rFonts w:ascii="Times New Roman" w:hAnsi="Times New Roman"/>
          <w:szCs w:val="24"/>
          <w:lang w:val="bs-Latn-BA"/>
        </w:rPr>
        <w:t xml:space="preserve"> </w:t>
      </w:r>
      <w:r>
        <w:rPr>
          <w:rFonts w:ascii="Times New Roman" w:hAnsi="Times New Roman"/>
          <w:szCs w:val="24"/>
          <w:lang w:val="bs-Latn-BA"/>
        </w:rPr>
        <w:t>питања</w:t>
      </w:r>
      <w:r w:rsidR="009013AA" w:rsidRPr="00295637">
        <w:rPr>
          <w:rFonts w:ascii="Times New Roman" w:hAnsi="Times New Roman"/>
          <w:szCs w:val="24"/>
          <w:lang w:val="bs-Latn-BA"/>
        </w:rPr>
        <w:t xml:space="preserve">. </w:t>
      </w:r>
      <w:r w:rsidR="00485AB7">
        <w:rPr>
          <w:rFonts w:ascii="Times New Roman" w:hAnsi="Times New Roman"/>
          <w:szCs w:val="24"/>
          <w:lang w:val="bs-Cyrl-BA"/>
        </w:rPr>
        <w:t>О</w:t>
      </w:r>
      <w:r>
        <w:rPr>
          <w:rFonts w:ascii="Times New Roman" w:hAnsi="Times New Roman"/>
          <w:szCs w:val="24"/>
          <w:lang w:val="bs-Latn-BA"/>
        </w:rPr>
        <w:t>држано</w:t>
      </w:r>
      <w:r w:rsidR="009013AA" w:rsidRPr="00295637">
        <w:rPr>
          <w:rFonts w:ascii="Times New Roman" w:hAnsi="Times New Roman"/>
          <w:szCs w:val="24"/>
          <w:lang w:val="bs-Latn-BA"/>
        </w:rPr>
        <w:t xml:space="preserve"> </w:t>
      </w:r>
      <w:r w:rsidR="00485AB7">
        <w:rPr>
          <w:rFonts w:ascii="Times New Roman" w:hAnsi="Times New Roman"/>
          <w:szCs w:val="24"/>
          <w:lang w:val="bs-Cyrl-BA"/>
        </w:rPr>
        <w:t xml:space="preserve">је </w:t>
      </w:r>
      <w:r>
        <w:rPr>
          <w:rFonts w:ascii="Times New Roman" w:hAnsi="Times New Roman"/>
          <w:szCs w:val="24"/>
          <w:lang w:val="bs-Latn-BA"/>
        </w:rPr>
        <w:t>неколико</w:t>
      </w:r>
      <w:r w:rsidR="009013AA" w:rsidRPr="00295637">
        <w:rPr>
          <w:rFonts w:ascii="Times New Roman" w:hAnsi="Times New Roman"/>
          <w:szCs w:val="24"/>
          <w:lang w:val="bs-Latn-BA"/>
        </w:rPr>
        <w:t xml:space="preserve"> </w:t>
      </w:r>
      <w:r>
        <w:rPr>
          <w:rFonts w:ascii="Times New Roman" w:hAnsi="Times New Roman"/>
          <w:szCs w:val="24"/>
          <w:lang w:val="bs-Latn-BA"/>
        </w:rPr>
        <w:t>обука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различитим</w:t>
      </w:r>
      <w:r w:rsidR="009013AA" w:rsidRPr="00295637">
        <w:rPr>
          <w:rFonts w:ascii="Times New Roman" w:hAnsi="Times New Roman"/>
          <w:szCs w:val="24"/>
          <w:lang w:val="bs-Latn-BA"/>
        </w:rPr>
        <w:t xml:space="preserve"> </w:t>
      </w:r>
      <w:r>
        <w:rPr>
          <w:rFonts w:ascii="Times New Roman" w:hAnsi="Times New Roman"/>
          <w:szCs w:val="24"/>
          <w:lang w:val="bs-Latn-BA"/>
        </w:rPr>
        <w:t>сегментима</w:t>
      </w:r>
      <w:r w:rsidR="009013AA" w:rsidRPr="00295637">
        <w:rPr>
          <w:rFonts w:ascii="Times New Roman" w:hAnsi="Times New Roman"/>
          <w:szCs w:val="24"/>
          <w:lang w:val="bs-Latn-BA"/>
        </w:rPr>
        <w:t xml:space="preserve">, </w:t>
      </w:r>
      <w:r>
        <w:rPr>
          <w:rFonts w:ascii="Times New Roman" w:hAnsi="Times New Roman"/>
          <w:szCs w:val="24"/>
          <w:lang w:val="bs-Latn-BA"/>
        </w:rPr>
        <w:t>а</w:t>
      </w:r>
      <w:r w:rsidR="009013AA" w:rsidRPr="00295637">
        <w:rPr>
          <w:rFonts w:ascii="Times New Roman" w:hAnsi="Times New Roman"/>
          <w:szCs w:val="24"/>
          <w:lang w:val="bs-Latn-BA"/>
        </w:rPr>
        <w:t xml:space="preserve"> </w:t>
      </w:r>
      <w:r>
        <w:rPr>
          <w:rFonts w:ascii="Times New Roman" w:hAnsi="Times New Roman"/>
          <w:szCs w:val="24"/>
          <w:lang w:val="bs-Latn-BA"/>
        </w:rPr>
        <w:t>програми</w:t>
      </w:r>
      <w:r w:rsidR="009013AA" w:rsidRPr="00295637">
        <w:rPr>
          <w:rFonts w:ascii="Times New Roman" w:hAnsi="Times New Roman"/>
          <w:szCs w:val="24"/>
          <w:lang w:val="bs-Latn-BA"/>
        </w:rPr>
        <w:t xml:space="preserve"> </w:t>
      </w:r>
      <w:r>
        <w:rPr>
          <w:rFonts w:ascii="Times New Roman" w:hAnsi="Times New Roman"/>
          <w:szCs w:val="24"/>
          <w:lang w:val="bs-Latn-BA"/>
        </w:rPr>
        <w:t>су</w:t>
      </w:r>
      <w:r w:rsidR="009013AA" w:rsidRPr="00295637">
        <w:rPr>
          <w:rFonts w:ascii="Times New Roman" w:hAnsi="Times New Roman"/>
          <w:szCs w:val="24"/>
          <w:lang w:val="bs-Latn-BA"/>
        </w:rPr>
        <w:t xml:space="preserve"> </w:t>
      </w:r>
      <w:r>
        <w:rPr>
          <w:rFonts w:ascii="Times New Roman" w:hAnsi="Times New Roman"/>
          <w:szCs w:val="24"/>
          <w:lang w:val="bs-Latn-BA"/>
        </w:rPr>
        <w:t>прилагођени</w:t>
      </w:r>
      <w:r w:rsidR="009013AA" w:rsidRPr="00295637">
        <w:rPr>
          <w:rFonts w:ascii="Times New Roman" w:hAnsi="Times New Roman"/>
          <w:szCs w:val="24"/>
          <w:lang w:val="bs-Latn-BA"/>
        </w:rPr>
        <w:t xml:space="preserve"> </w:t>
      </w:r>
      <w:r>
        <w:rPr>
          <w:rFonts w:ascii="Times New Roman" w:hAnsi="Times New Roman"/>
          <w:szCs w:val="24"/>
          <w:lang w:val="bs-Latn-BA"/>
        </w:rPr>
        <w:t>потребама</w:t>
      </w:r>
      <w:r w:rsidR="009013AA" w:rsidRPr="00295637">
        <w:rPr>
          <w:rFonts w:ascii="Times New Roman" w:hAnsi="Times New Roman"/>
          <w:szCs w:val="24"/>
          <w:lang w:val="bs-Latn-BA"/>
        </w:rPr>
        <w:t xml:space="preserve"> </w:t>
      </w:r>
      <w:r>
        <w:rPr>
          <w:rFonts w:ascii="Times New Roman" w:hAnsi="Times New Roman"/>
          <w:szCs w:val="24"/>
          <w:lang w:val="bs-Latn-BA"/>
        </w:rPr>
        <w:t>државних</w:t>
      </w:r>
      <w:r w:rsidR="009013AA" w:rsidRPr="00295637">
        <w:rPr>
          <w:rFonts w:ascii="Times New Roman" w:hAnsi="Times New Roman"/>
          <w:szCs w:val="24"/>
          <w:lang w:val="bs-Latn-BA"/>
        </w:rPr>
        <w:t xml:space="preserve"> </w:t>
      </w:r>
      <w:r>
        <w:rPr>
          <w:rFonts w:ascii="Times New Roman" w:hAnsi="Times New Roman"/>
          <w:szCs w:val="24"/>
          <w:lang w:val="bs-Latn-BA"/>
        </w:rPr>
        <w:t>органа</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локалних</w:t>
      </w:r>
      <w:r w:rsidR="009013AA" w:rsidRPr="00295637">
        <w:rPr>
          <w:rFonts w:ascii="Times New Roman" w:hAnsi="Times New Roman"/>
          <w:szCs w:val="24"/>
          <w:lang w:val="bs-Latn-BA"/>
        </w:rPr>
        <w:t xml:space="preserve"> </w:t>
      </w:r>
      <w:r>
        <w:rPr>
          <w:rFonts w:ascii="Times New Roman" w:hAnsi="Times New Roman"/>
          <w:szCs w:val="24"/>
          <w:lang w:val="bs-Latn-BA"/>
        </w:rPr>
        <w:t>заједница</w:t>
      </w:r>
      <w:r w:rsidR="009013AA" w:rsidRPr="00295637">
        <w:rPr>
          <w:rFonts w:ascii="Times New Roman" w:hAnsi="Times New Roman"/>
          <w:szCs w:val="24"/>
          <w:lang w:val="bs-Latn-BA"/>
        </w:rPr>
        <w:t>.</w:t>
      </w:r>
      <w:r w:rsidR="00D50DF0">
        <w:rPr>
          <w:rFonts w:ascii="Times New Roman" w:hAnsi="Times New Roman"/>
          <w:szCs w:val="24"/>
          <w:lang w:val="bs-Latn-BA"/>
        </w:rPr>
        <w:t xml:space="preserve"> </w:t>
      </w:r>
      <w:r>
        <w:rPr>
          <w:rFonts w:ascii="Times New Roman" w:hAnsi="Times New Roman"/>
          <w:szCs w:val="24"/>
          <w:lang w:val="bs-Latn-BA"/>
        </w:rPr>
        <w:t>Планови</w:t>
      </w:r>
      <w:r w:rsidR="009013AA" w:rsidRPr="00295637">
        <w:rPr>
          <w:rFonts w:ascii="Times New Roman" w:hAnsi="Times New Roman"/>
          <w:szCs w:val="24"/>
          <w:lang w:val="bs-Latn-BA"/>
        </w:rPr>
        <w:t xml:space="preserve"> </w:t>
      </w:r>
      <w:r>
        <w:rPr>
          <w:rFonts w:ascii="Times New Roman" w:hAnsi="Times New Roman"/>
          <w:szCs w:val="24"/>
          <w:lang w:val="bs-Latn-BA"/>
        </w:rPr>
        <w:t>за</w:t>
      </w:r>
      <w:r w:rsidR="009013AA" w:rsidRPr="00295637">
        <w:rPr>
          <w:rFonts w:ascii="Times New Roman" w:hAnsi="Times New Roman"/>
          <w:szCs w:val="24"/>
          <w:lang w:val="bs-Latn-BA"/>
        </w:rPr>
        <w:t xml:space="preserve"> 2025. </w:t>
      </w:r>
      <w:r>
        <w:rPr>
          <w:rFonts w:ascii="Times New Roman" w:hAnsi="Times New Roman"/>
          <w:szCs w:val="24"/>
          <w:lang w:val="bs-Latn-BA"/>
        </w:rPr>
        <w:t>годину</w:t>
      </w:r>
      <w:r w:rsidR="009013AA" w:rsidRPr="00295637">
        <w:rPr>
          <w:rFonts w:ascii="Times New Roman" w:hAnsi="Times New Roman"/>
          <w:szCs w:val="24"/>
          <w:lang w:val="bs-Latn-BA"/>
        </w:rPr>
        <w:t xml:space="preserve"> </w:t>
      </w:r>
      <w:r>
        <w:rPr>
          <w:rFonts w:ascii="Times New Roman" w:hAnsi="Times New Roman"/>
          <w:szCs w:val="24"/>
          <w:lang w:val="bs-Latn-BA"/>
        </w:rPr>
        <w:t>укључују</w:t>
      </w:r>
      <w:r w:rsidR="009013AA" w:rsidRPr="00295637">
        <w:rPr>
          <w:rFonts w:ascii="Times New Roman" w:hAnsi="Times New Roman"/>
          <w:szCs w:val="24"/>
          <w:lang w:val="bs-Latn-BA"/>
        </w:rPr>
        <w:t xml:space="preserve"> </w:t>
      </w:r>
      <w:r>
        <w:rPr>
          <w:rFonts w:ascii="Times New Roman" w:hAnsi="Times New Roman"/>
          <w:szCs w:val="24"/>
          <w:lang w:val="bs-Latn-BA"/>
        </w:rPr>
        <w:t>наставак</w:t>
      </w:r>
      <w:r w:rsidR="009013AA" w:rsidRPr="00295637">
        <w:rPr>
          <w:rFonts w:ascii="Times New Roman" w:hAnsi="Times New Roman"/>
          <w:szCs w:val="24"/>
          <w:lang w:val="bs-Latn-BA"/>
        </w:rPr>
        <w:t xml:space="preserve"> </w:t>
      </w:r>
      <w:r>
        <w:rPr>
          <w:rFonts w:ascii="Times New Roman" w:hAnsi="Times New Roman"/>
          <w:szCs w:val="24"/>
          <w:lang w:val="bs-Latn-BA"/>
        </w:rPr>
        <w:t>реализације</w:t>
      </w:r>
      <w:r w:rsidR="009013AA" w:rsidRPr="00295637">
        <w:rPr>
          <w:rFonts w:ascii="Times New Roman" w:hAnsi="Times New Roman"/>
          <w:szCs w:val="24"/>
          <w:lang w:val="bs-Latn-BA"/>
        </w:rPr>
        <w:t xml:space="preserve"> </w:t>
      </w:r>
      <w:r>
        <w:rPr>
          <w:rFonts w:ascii="Times New Roman" w:hAnsi="Times New Roman"/>
          <w:szCs w:val="24"/>
          <w:lang w:val="bs-Latn-BA"/>
        </w:rPr>
        <w:t>обука</w:t>
      </w:r>
      <w:r w:rsidR="00A86CBC" w:rsidRPr="00295637">
        <w:rPr>
          <w:rFonts w:ascii="Times New Roman" w:hAnsi="Times New Roman"/>
          <w:szCs w:val="24"/>
          <w:lang w:val="bs-Latn-BA"/>
        </w:rPr>
        <w:t>,</w:t>
      </w:r>
      <w:r w:rsidR="0020153C">
        <w:rPr>
          <w:rFonts w:ascii="Times New Roman" w:hAnsi="Times New Roman"/>
          <w:szCs w:val="24"/>
          <w:lang w:val="bs-Latn-BA"/>
        </w:rPr>
        <w:t xml:space="preserve"> </w:t>
      </w:r>
      <w:r>
        <w:rPr>
          <w:rFonts w:ascii="Times New Roman" w:hAnsi="Times New Roman"/>
          <w:szCs w:val="24"/>
          <w:lang w:val="bs-Latn-BA"/>
        </w:rPr>
        <w:t>са</w:t>
      </w:r>
      <w:r w:rsidR="009013AA" w:rsidRPr="00295637">
        <w:rPr>
          <w:rFonts w:ascii="Times New Roman" w:hAnsi="Times New Roman"/>
          <w:szCs w:val="24"/>
          <w:lang w:val="bs-Latn-BA"/>
        </w:rPr>
        <w:t xml:space="preserve"> </w:t>
      </w:r>
      <w:r>
        <w:rPr>
          <w:rFonts w:ascii="Times New Roman" w:hAnsi="Times New Roman"/>
          <w:szCs w:val="24"/>
          <w:lang w:val="bs-Latn-BA"/>
        </w:rPr>
        <w:t>посебним</w:t>
      </w:r>
      <w:r w:rsidR="009013AA" w:rsidRPr="00295637">
        <w:rPr>
          <w:rFonts w:ascii="Times New Roman" w:hAnsi="Times New Roman"/>
          <w:szCs w:val="24"/>
          <w:lang w:val="bs-Latn-BA"/>
        </w:rPr>
        <w:t xml:space="preserve"> </w:t>
      </w:r>
      <w:r>
        <w:rPr>
          <w:rFonts w:ascii="Times New Roman" w:hAnsi="Times New Roman"/>
          <w:szCs w:val="24"/>
          <w:lang w:val="bs-Latn-BA"/>
        </w:rPr>
        <w:t>фокусом</w:t>
      </w:r>
      <w:r w:rsidR="009013AA" w:rsidRPr="00295637">
        <w:rPr>
          <w:rFonts w:ascii="Times New Roman" w:hAnsi="Times New Roman"/>
          <w:szCs w:val="24"/>
          <w:lang w:val="bs-Latn-BA"/>
        </w:rPr>
        <w:t xml:space="preserve"> </w:t>
      </w:r>
      <w:r>
        <w:rPr>
          <w:rFonts w:ascii="Times New Roman" w:hAnsi="Times New Roman"/>
          <w:szCs w:val="24"/>
          <w:lang w:val="bs-Latn-BA"/>
        </w:rPr>
        <w:t>на</w:t>
      </w:r>
      <w:r w:rsidR="009013AA" w:rsidRPr="00295637">
        <w:rPr>
          <w:rFonts w:ascii="Times New Roman" w:hAnsi="Times New Roman"/>
          <w:szCs w:val="24"/>
          <w:lang w:val="bs-Latn-BA"/>
        </w:rPr>
        <w:t xml:space="preserve"> </w:t>
      </w:r>
      <w:r>
        <w:rPr>
          <w:rFonts w:ascii="Times New Roman" w:hAnsi="Times New Roman"/>
          <w:szCs w:val="24"/>
          <w:lang w:val="bs-Latn-BA"/>
        </w:rPr>
        <w:t>примјену</w:t>
      </w:r>
      <w:r w:rsidR="009013AA" w:rsidRPr="00295637">
        <w:rPr>
          <w:rFonts w:ascii="Times New Roman" w:hAnsi="Times New Roman"/>
          <w:szCs w:val="24"/>
          <w:lang w:val="bs-Latn-BA"/>
        </w:rPr>
        <w:t xml:space="preserve"> </w:t>
      </w:r>
      <w:r>
        <w:rPr>
          <w:rFonts w:ascii="Times New Roman" w:hAnsi="Times New Roman"/>
          <w:szCs w:val="24"/>
          <w:lang w:val="bs-Latn-BA"/>
        </w:rPr>
        <w:t>домаћих</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међународних</w:t>
      </w:r>
      <w:r w:rsidR="009013AA" w:rsidRPr="00295637">
        <w:rPr>
          <w:rFonts w:ascii="Times New Roman" w:hAnsi="Times New Roman"/>
          <w:szCs w:val="24"/>
          <w:lang w:val="bs-Latn-BA"/>
        </w:rPr>
        <w:t xml:space="preserve"> </w:t>
      </w:r>
      <w:r>
        <w:rPr>
          <w:rFonts w:ascii="Times New Roman" w:hAnsi="Times New Roman"/>
          <w:szCs w:val="24"/>
          <w:lang w:val="bs-Latn-BA"/>
        </w:rPr>
        <w:t>докумената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борби</w:t>
      </w:r>
      <w:r w:rsidR="009013AA" w:rsidRPr="00295637">
        <w:rPr>
          <w:rFonts w:ascii="Times New Roman" w:hAnsi="Times New Roman"/>
          <w:szCs w:val="24"/>
          <w:lang w:val="bs-Latn-BA"/>
        </w:rPr>
        <w:t xml:space="preserve"> </w:t>
      </w:r>
      <w:r>
        <w:rPr>
          <w:rFonts w:ascii="Times New Roman" w:hAnsi="Times New Roman"/>
          <w:szCs w:val="24"/>
          <w:lang w:val="bs-Latn-BA"/>
        </w:rPr>
        <w:t>против</w:t>
      </w:r>
      <w:r w:rsidR="009013AA" w:rsidRPr="00295637">
        <w:rPr>
          <w:rFonts w:ascii="Times New Roman" w:hAnsi="Times New Roman"/>
          <w:szCs w:val="24"/>
          <w:lang w:val="bs-Latn-BA"/>
        </w:rPr>
        <w:t xml:space="preserve"> </w:t>
      </w:r>
      <w:r>
        <w:rPr>
          <w:rFonts w:ascii="Times New Roman" w:hAnsi="Times New Roman"/>
          <w:szCs w:val="24"/>
          <w:lang w:val="bs-Latn-BA"/>
        </w:rPr>
        <w:t>насиља</w:t>
      </w:r>
      <w:r w:rsidR="009013AA" w:rsidRPr="00295637">
        <w:rPr>
          <w:rFonts w:ascii="Times New Roman" w:hAnsi="Times New Roman"/>
          <w:szCs w:val="24"/>
          <w:lang w:val="bs-Latn-BA"/>
        </w:rPr>
        <w:t xml:space="preserve"> </w:t>
      </w:r>
      <w:r>
        <w:rPr>
          <w:rFonts w:ascii="Times New Roman" w:hAnsi="Times New Roman"/>
          <w:szCs w:val="24"/>
          <w:lang w:val="bs-Latn-BA"/>
        </w:rPr>
        <w:t>над</w:t>
      </w:r>
      <w:r w:rsidR="009013AA" w:rsidRPr="00295637">
        <w:rPr>
          <w:rFonts w:ascii="Times New Roman" w:hAnsi="Times New Roman"/>
          <w:szCs w:val="24"/>
          <w:lang w:val="bs-Latn-BA"/>
        </w:rPr>
        <w:t xml:space="preserve"> </w:t>
      </w:r>
      <w:r>
        <w:rPr>
          <w:rFonts w:ascii="Times New Roman" w:hAnsi="Times New Roman"/>
          <w:szCs w:val="24"/>
          <w:lang w:val="bs-Latn-BA"/>
        </w:rPr>
        <w:t>женама</w:t>
      </w:r>
      <w:r w:rsidR="009013AA" w:rsidRPr="00295637">
        <w:rPr>
          <w:rFonts w:ascii="Times New Roman" w:hAnsi="Times New Roman"/>
          <w:szCs w:val="24"/>
          <w:lang w:val="bs-Latn-BA"/>
        </w:rPr>
        <w:t xml:space="preserve">. </w:t>
      </w:r>
      <w:r w:rsidR="00277407">
        <w:rPr>
          <w:rFonts w:ascii="Times New Roman" w:hAnsi="Times New Roman"/>
          <w:szCs w:val="24"/>
          <w:lang w:val="bs-Latn-BA"/>
        </w:rPr>
        <w:t>Такође</w:t>
      </w:r>
      <w:r w:rsidR="009013AA" w:rsidRPr="00295637">
        <w:rPr>
          <w:rFonts w:ascii="Times New Roman" w:hAnsi="Times New Roman"/>
          <w:szCs w:val="24"/>
          <w:lang w:val="bs-Latn-BA"/>
        </w:rPr>
        <w:t xml:space="preserve">, </w:t>
      </w:r>
      <w:r>
        <w:rPr>
          <w:rFonts w:ascii="Times New Roman" w:hAnsi="Times New Roman"/>
          <w:szCs w:val="24"/>
          <w:lang w:val="bs-Latn-BA"/>
        </w:rPr>
        <w:t>успостављена</w:t>
      </w:r>
      <w:r w:rsidR="009013AA" w:rsidRPr="00295637">
        <w:rPr>
          <w:rFonts w:ascii="Times New Roman" w:hAnsi="Times New Roman"/>
          <w:szCs w:val="24"/>
          <w:lang w:val="bs-Latn-BA"/>
        </w:rPr>
        <w:t xml:space="preserve"> </w:t>
      </w:r>
      <w:r>
        <w:rPr>
          <w:rFonts w:ascii="Times New Roman" w:hAnsi="Times New Roman"/>
          <w:szCs w:val="24"/>
          <w:lang w:val="bs-Latn-BA"/>
        </w:rPr>
        <w:t>је</w:t>
      </w:r>
      <w:r w:rsidR="009013AA" w:rsidRPr="00295637">
        <w:rPr>
          <w:rFonts w:ascii="Times New Roman" w:hAnsi="Times New Roman"/>
          <w:szCs w:val="24"/>
          <w:lang w:val="bs-Latn-BA"/>
        </w:rPr>
        <w:t xml:space="preserve"> </w:t>
      </w:r>
      <w:r>
        <w:rPr>
          <w:rFonts w:ascii="Times New Roman" w:hAnsi="Times New Roman"/>
          <w:szCs w:val="24"/>
          <w:lang w:val="bs-Latn-BA"/>
        </w:rPr>
        <w:t>сарадња</w:t>
      </w:r>
      <w:r w:rsidR="0020153C">
        <w:rPr>
          <w:rFonts w:ascii="Times New Roman" w:hAnsi="Times New Roman"/>
          <w:szCs w:val="24"/>
          <w:lang w:val="bs-Latn-BA"/>
        </w:rPr>
        <w:t xml:space="preserve"> </w:t>
      </w:r>
      <w:r>
        <w:rPr>
          <w:rFonts w:ascii="Times New Roman" w:hAnsi="Times New Roman"/>
          <w:szCs w:val="24"/>
          <w:lang w:val="bs-Latn-BA"/>
        </w:rPr>
        <w:t>са</w:t>
      </w:r>
      <w:r w:rsidR="009013AA" w:rsidRPr="00295637">
        <w:rPr>
          <w:rFonts w:ascii="Times New Roman" w:hAnsi="Times New Roman"/>
          <w:szCs w:val="24"/>
          <w:lang w:val="bs-Latn-BA"/>
        </w:rPr>
        <w:t xml:space="preserve"> </w:t>
      </w:r>
      <w:r>
        <w:rPr>
          <w:rFonts w:ascii="Times New Roman" w:hAnsi="Times New Roman"/>
          <w:szCs w:val="24"/>
          <w:lang w:val="bs-Latn-BA"/>
        </w:rPr>
        <w:t>координаци</w:t>
      </w:r>
      <w:r w:rsidR="00277407">
        <w:rPr>
          <w:rFonts w:ascii="Times New Roman" w:hAnsi="Times New Roman"/>
          <w:szCs w:val="24"/>
          <w:lang w:val="sr-Cyrl-BA"/>
        </w:rPr>
        <w:t>оним</w:t>
      </w:r>
      <w:r w:rsidR="0020153C">
        <w:rPr>
          <w:rFonts w:ascii="Times New Roman" w:hAnsi="Times New Roman"/>
          <w:szCs w:val="24"/>
          <w:lang w:val="bs-Latn-BA"/>
        </w:rPr>
        <w:t xml:space="preserve"> </w:t>
      </w:r>
      <w:r>
        <w:rPr>
          <w:rFonts w:ascii="Times New Roman" w:hAnsi="Times New Roman"/>
          <w:szCs w:val="24"/>
          <w:lang w:val="bs-Latn-BA"/>
        </w:rPr>
        <w:t>тимовима</w:t>
      </w:r>
      <w:r w:rsidR="009013AA" w:rsidRPr="00295637">
        <w:rPr>
          <w:rFonts w:ascii="Times New Roman" w:hAnsi="Times New Roman"/>
          <w:szCs w:val="24"/>
          <w:lang w:val="bs-Latn-BA"/>
        </w:rPr>
        <w:t xml:space="preserve"> </w:t>
      </w:r>
      <w:r>
        <w:rPr>
          <w:rFonts w:ascii="Times New Roman" w:hAnsi="Times New Roman"/>
          <w:szCs w:val="24"/>
          <w:lang w:val="bs-Latn-BA"/>
        </w:rPr>
        <w:t>на</w:t>
      </w:r>
      <w:r w:rsidR="009013AA" w:rsidRPr="00295637">
        <w:rPr>
          <w:rFonts w:ascii="Times New Roman" w:hAnsi="Times New Roman"/>
          <w:szCs w:val="24"/>
          <w:lang w:val="bs-Latn-BA"/>
        </w:rPr>
        <w:t xml:space="preserve"> </w:t>
      </w:r>
      <w:r>
        <w:rPr>
          <w:rFonts w:ascii="Times New Roman" w:hAnsi="Times New Roman"/>
          <w:szCs w:val="24"/>
          <w:lang w:val="bs-Latn-BA"/>
        </w:rPr>
        <w:t>кантоналним</w:t>
      </w:r>
      <w:r w:rsidR="009013AA" w:rsidRPr="00295637">
        <w:rPr>
          <w:rFonts w:ascii="Times New Roman" w:hAnsi="Times New Roman"/>
          <w:szCs w:val="24"/>
          <w:lang w:val="bs-Latn-BA"/>
        </w:rPr>
        <w:t xml:space="preserve"> </w:t>
      </w:r>
      <w:r w:rsidR="00277407">
        <w:rPr>
          <w:rFonts w:ascii="Times New Roman" w:hAnsi="Times New Roman"/>
          <w:szCs w:val="24"/>
          <w:lang w:val="sr-Cyrl-BA"/>
        </w:rPr>
        <w:t>нивоима</w:t>
      </w:r>
      <w:r w:rsidR="009013AA" w:rsidRPr="00295637">
        <w:rPr>
          <w:rFonts w:ascii="Times New Roman" w:hAnsi="Times New Roman"/>
          <w:szCs w:val="24"/>
          <w:lang w:val="bs-Latn-BA"/>
        </w:rPr>
        <w:t xml:space="preserve">, </w:t>
      </w:r>
      <w:r>
        <w:rPr>
          <w:rFonts w:ascii="Times New Roman" w:hAnsi="Times New Roman"/>
          <w:szCs w:val="24"/>
          <w:lang w:val="bs-Latn-BA"/>
        </w:rPr>
        <w:t>што</w:t>
      </w:r>
      <w:r w:rsidR="009013AA" w:rsidRPr="00295637">
        <w:rPr>
          <w:rFonts w:ascii="Times New Roman" w:hAnsi="Times New Roman"/>
          <w:szCs w:val="24"/>
          <w:lang w:val="bs-Latn-BA"/>
        </w:rPr>
        <w:t xml:space="preserve"> </w:t>
      </w:r>
      <w:r>
        <w:rPr>
          <w:rFonts w:ascii="Times New Roman" w:hAnsi="Times New Roman"/>
          <w:szCs w:val="24"/>
          <w:lang w:val="bs-Latn-BA"/>
        </w:rPr>
        <w:t>ће</w:t>
      </w:r>
      <w:r w:rsidR="009013AA" w:rsidRPr="00295637">
        <w:rPr>
          <w:rFonts w:ascii="Times New Roman" w:hAnsi="Times New Roman"/>
          <w:szCs w:val="24"/>
          <w:lang w:val="bs-Latn-BA"/>
        </w:rPr>
        <w:t xml:space="preserve"> </w:t>
      </w:r>
      <w:r>
        <w:rPr>
          <w:rFonts w:ascii="Times New Roman" w:hAnsi="Times New Roman"/>
          <w:szCs w:val="24"/>
          <w:lang w:val="bs-Latn-BA"/>
        </w:rPr>
        <w:t>омогућити</w:t>
      </w:r>
      <w:r w:rsidR="009013AA" w:rsidRPr="00295637">
        <w:rPr>
          <w:rFonts w:ascii="Times New Roman" w:hAnsi="Times New Roman"/>
          <w:szCs w:val="24"/>
          <w:lang w:val="bs-Latn-BA"/>
        </w:rPr>
        <w:t xml:space="preserve"> </w:t>
      </w:r>
      <w:r>
        <w:rPr>
          <w:rFonts w:ascii="Times New Roman" w:hAnsi="Times New Roman"/>
          <w:szCs w:val="24"/>
          <w:lang w:val="bs-Latn-BA"/>
        </w:rPr>
        <w:t>даљу</w:t>
      </w:r>
      <w:r w:rsidR="009013AA" w:rsidRPr="00295637">
        <w:rPr>
          <w:rFonts w:ascii="Times New Roman" w:hAnsi="Times New Roman"/>
          <w:szCs w:val="24"/>
          <w:lang w:val="bs-Latn-BA"/>
        </w:rPr>
        <w:t xml:space="preserve"> </w:t>
      </w:r>
      <w:r>
        <w:rPr>
          <w:rFonts w:ascii="Times New Roman" w:hAnsi="Times New Roman"/>
          <w:szCs w:val="24"/>
          <w:lang w:val="bs-Latn-BA"/>
        </w:rPr>
        <w:t>размјену</w:t>
      </w:r>
      <w:r w:rsidR="009013AA" w:rsidRPr="00295637">
        <w:rPr>
          <w:rFonts w:ascii="Times New Roman" w:hAnsi="Times New Roman"/>
          <w:szCs w:val="24"/>
          <w:lang w:val="bs-Latn-BA"/>
        </w:rPr>
        <w:t xml:space="preserve"> </w:t>
      </w:r>
      <w:r>
        <w:rPr>
          <w:rFonts w:ascii="Times New Roman" w:hAnsi="Times New Roman"/>
          <w:szCs w:val="24"/>
          <w:lang w:val="bs-Latn-BA"/>
        </w:rPr>
        <w:t>знања</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искустава</w:t>
      </w:r>
      <w:r w:rsidR="009013AA" w:rsidRPr="00295637">
        <w:rPr>
          <w:rFonts w:ascii="Times New Roman" w:hAnsi="Times New Roman"/>
          <w:szCs w:val="24"/>
          <w:lang w:val="bs-Latn-BA"/>
        </w:rPr>
        <w:t xml:space="preserve"> </w:t>
      </w:r>
      <w:r>
        <w:rPr>
          <w:rFonts w:ascii="Times New Roman" w:hAnsi="Times New Roman"/>
          <w:szCs w:val="24"/>
          <w:lang w:val="bs-Latn-BA"/>
        </w:rPr>
        <w:t>међу</w:t>
      </w:r>
      <w:r w:rsidR="009013AA" w:rsidRPr="00295637">
        <w:rPr>
          <w:rFonts w:ascii="Times New Roman" w:hAnsi="Times New Roman"/>
          <w:szCs w:val="24"/>
          <w:lang w:val="bs-Latn-BA"/>
        </w:rPr>
        <w:t xml:space="preserve"> </w:t>
      </w:r>
      <w:r>
        <w:rPr>
          <w:rFonts w:ascii="Times New Roman" w:hAnsi="Times New Roman"/>
          <w:szCs w:val="24"/>
          <w:lang w:val="bs-Latn-BA"/>
        </w:rPr>
        <w:t>институцијама</w:t>
      </w:r>
      <w:r w:rsidR="009013AA" w:rsidRPr="00295637">
        <w:rPr>
          <w:rFonts w:ascii="Times New Roman" w:hAnsi="Times New Roman"/>
          <w:szCs w:val="24"/>
          <w:lang w:val="bs-Latn-BA"/>
        </w:rPr>
        <w:t xml:space="preserve">. </w:t>
      </w:r>
      <w:r>
        <w:rPr>
          <w:rFonts w:ascii="Times New Roman" w:hAnsi="Times New Roman"/>
          <w:szCs w:val="24"/>
          <w:lang w:val="bs-Latn-BA"/>
        </w:rPr>
        <w:t>Очекује</w:t>
      </w:r>
      <w:r w:rsidR="009013AA" w:rsidRPr="00295637">
        <w:rPr>
          <w:rFonts w:ascii="Times New Roman" w:hAnsi="Times New Roman"/>
          <w:szCs w:val="24"/>
          <w:lang w:val="bs-Latn-BA"/>
        </w:rPr>
        <w:t xml:space="preserve"> </w:t>
      </w:r>
      <w:r>
        <w:rPr>
          <w:rFonts w:ascii="Times New Roman" w:hAnsi="Times New Roman"/>
          <w:szCs w:val="24"/>
          <w:lang w:val="bs-Latn-BA"/>
        </w:rPr>
        <w:t>се</w:t>
      </w:r>
      <w:r w:rsidR="009013AA" w:rsidRPr="00295637">
        <w:rPr>
          <w:rFonts w:ascii="Times New Roman" w:hAnsi="Times New Roman"/>
          <w:szCs w:val="24"/>
          <w:lang w:val="bs-Latn-BA"/>
        </w:rPr>
        <w:t xml:space="preserve"> </w:t>
      </w:r>
      <w:r>
        <w:rPr>
          <w:rFonts w:ascii="Times New Roman" w:hAnsi="Times New Roman"/>
          <w:szCs w:val="24"/>
          <w:lang w:val="bs-Latn-BA"/>
        </w:rPr>
        <w:t>проширење</w:t>
      </w:r>
      <w:r w:rsidR="009013AA" w:rsidRPr="00295637">
        <w:rPr>
          <w:rFonts w:ascii="Times New Roman" w:hAnsi="Times New Roman"/>
          <w:szCs w:val="24"/>
          <w:lang w:val="bs-Latn-BA"/>
        </w:rPr>
        <w:t xml:space="preserve"> </w:t>
      </w:r>
      <w:r>
        <w:rPr>
          <w:rFonts w:ascii="Times New Roman" w:hAnsi="Times New Roman"/>
          <w:szCs w:val="24"/>
          <w:lang w:val="bs-Latn-BA"/>
        </w:rPr>
        <w:t>обука</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укључивање</w:t>
      </w:r>
      <w:r w:rsidR="009013AA" w:rsidRPr="00295637">
        <w:rPr>
          <w:rFonts w:ascii="Times New Roman" w:hAnsi="Times New Roman"/>
          <w:szCs w:val="24"/>
          <w:lang w:val="bs-Latn-BA"/>
        </w:rPr>
        <w:t xml:space="preserve"> </w:t>
      </w:r>
      <w:r>
        <w:rPr>
          <w:rFonts w:ascii="Times New Roman" w:hAnsi="Times New Roman"/>
          <w:szCs w:val="24"/>
          <w:lang w:val="bs-Latn-BA"/>
        </w:rPr>
        <w:t>већег</w:t>
      </w:r>
      <w:r w:rsidR="009013AA" w:rsidRPr="00295637">
        <w:rPr>
          <w:rFonts w:ascii="Times New Roman" w:hAnsi="Times New Roman"/>
          <w:szCs w:val="24"/>
          <w:lang w:val="bs-Latn-BA"/>
        </w:rPr>
        <w:t xml:space="preserve"> </w:t>
      </w:r>
      <w:r>
        <w:rPr>
          <w:rFonts w:ascii="Times New Roman" w:hAnsi="Times New Roman"/>
          <w:szCs w:val="24"/>
          <w:lang w:val="bs-Latn-BA"/>
        </w:rPr>
        <w:t>броја</w:t>
      </w:r>
      <w:r w:rsidR="009013AA" w:rsidRPr="00295637">
        <w:rPr>
          <w:rFonts w:ascii="Times New Roman" w:hAnsi="Times New Roman"/>
          <w:szCs w:val="24"/>
          <w:lang w:val="bs-Latn-BA"/>
        </w:rPr>
        <w:t xml:space="preserve"> </w:t>
      </w:r>
      <w:r>
        <w:rPr>
          <w:rFonts w:ascii="Times New Roman" w:hAnsi="Times New Roman"/>
          <w:szCs w:val="24"/>
          <w:lang w:val="bs-Latn-BA"/>
        </w:rPr>
        <w:t>учесника</w:t>
      </w:r>
      <w:r w:rsidR="009013AA" w:rsidRPr="00295637">
        <w:rPr>
          <w:rFonts w:ascii="Times New Roman" w:hAnsi="Times New Roman"/>
          <w:szCs w:val="24"/>
          <w:lang w:val="bs-Latn-BA"/>
        </w:rPr>
        <w:t xml:space="preserve"> </w:t>
      </w:r>
      <w:r>
        <w:rPr>
          <w:rFonts w:ascii="Times New Roman" w:hAnsi="Times New Roman"/>
          <w:szCs w:val="24"/>
          <w:lang w:val="bs-Latn-BA"/>
        </w:rPr>
        <w:t>како</w:t>
      </w:r>
      <w:r w:rsidR="009013AA" w:rsidRPr="00295637">
        <w:rPr>
          <w:rFonts w:ascii="Times New Roman" w:hAnsi="Times New Roman"/>
          <w:szCs w:val="24"/>
          <w:lang w:val="bs-Latn-BA"/>
        </w:rPr>
        <w:t xml:space="preserve"> </w:t>
      </w:r>
      <w:r>
        <w:rPr>
          <w:rFonts w:ascii="Times New Roman" w:hAnsi="Times New Roman"/>
          <w:szCs w:val="24"/>
          <w:lang w:val="bs-Latn-BA"/>
        </w:rPr>
        <w:t>би</w:t>
      </w:r>
      <w:r w:rsidR="009013AA" w:rsidRPr="00295637">
        <w:rPr>
          <w:rFonts w:ascii="Times New Roman" w:hAnsi="Times New Roman"/>
          <w:szCs w:val="24"/>
          <w:lang w:val="bs-Latn-BA"/>
        </w:rPr>
        <w:t xml:space="preserve"> </w:t>
      </w:r>
      <w:r>
        <w:rPr>
          <w:rFonts w:ascii="Times New Roman" w:hAnsi="Times New Roman"/>
          <w:szCs w:val="24"/>
          <w:lang w:val="bs-Latn-BA"/>
        </w:rPr>
        <w:t>се</w:t>
      </w:r>
      <w:r w:rsidR="009013AA" w:rsidRPr="00295637">
        <w:rPr>
          <w:rFonts w:ascii="Times New Roman" w:hAnsi="Times New Roman"/>
          <w:szCs w:val="24"/>
          <w:lang w:val="bs-Latn-BA"/>
        </w:rPr>
        <w:t xml:space="preserve"> </w:t>
      </w:r>
      <w:r>
        <w:rPr>
          <w:rFonts w:ascii="Times New Roman" w:hAnsi="Times New Roman"/>
          <w:szCs w:val="24"/>
          <w:lang w:val="bs-Latn-BA"/>
        </w:rPr>
        <w:t>оснажила</w:t>
      </w:r>
      <w:r w:rsidR="009013AA" w:rsidRPr="00295637">
        <w:rPr>
          <w:rFonts w:ascii="Times New Roman" w:hAnsi="Times New Roman"/>
          <w:szCs w:val="24"/>
          <w:lang w:val="bs-Latn-BA"/>
        </w:rPr>
        <w:t xml:space="preserve"> </w:t>
      </w:r>
      <w:r>
        <w:rPr>
          <w:rFonts w:ascii="Times New Roman" w:hAnsi="Times New Roman"/>
          <w:szCs w:val="24"/>
          <w:lang w:val="bs-Latn-BA"/>
        </w:rPr>
        <w:t>свијест</w:t>
      </w:r>
      <w:r w:rsidR="009013AA" w:rsidRPr="00295637">
        <w:rPr>
          <w:rFonts w:ascii="Times New Roman" w:hAnsi="Times New Roman"/>
          <w:szCs w:val="24"/>
          <w:lang w:val="bs-Latn-BA"/>
        </w:rPr>
        <w:t xml:space="preserve"> </w:t>
      </w:r>
      <w:r>
        <w:rPr>
          <w:rFonts w:ascii="Times New Roman" w:hAnsi="Times New Roman"/>
          <w:szCs w:val="24"/>
          <w:lang w:val="bs-Latn-BA"/>
        </w:rPr>
        <w:t>о</w:t>
      </w:r>
      <w:r w:rsidR="009013AA" w:rsidRPr="00295637">
        <w:rPr>
          <w:rFonts w:ascii="Times New Roman" w:hAnsi="Times New Roman"/>
          <w:szCs w:val="24"/>
          <w:lang w:val="bs-Latn-BA"/>
        </w:rPr>
        <w:t xml:space="preserve"> </w:t>
      </w:r>
      <w:r>
        <w:rPr>
          <w:rFonts w:ascii="Times New Roman" w:hAnsi="Times New Roman"/>
          <w:szCs w:val="24"/>
          <w:lang w:val="bs-Latn-BA"/>
        </w:rPr>
        <w:t>равноправности</w:t>
      </w:r>
      <w:r w:rsidR="009013AA" w:rsidRPr="00295637">
        <w:rPr>
          <w:rFonts w:ascii="Times New Roman" w:hAnsi="Times New Roman"/>
          <w:szCs w:val="24"/>
          <w:lang w:val="bs-Latn-BA"/>
        </w:rPr>
        <w:t xml:space="preserve"> </w:t>
      </w:r>
      <w:r>
        <w:rPr>
          <w:rFonts w:ascii="Times New Roman" w:hAnsi="Times New Roman"/>
          <w:szCs w:val="24"/>
          <w:lang w:val="bs-Latn-BA"/>
        </w:rPr>
        <w:t>полова</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унаприједили</w:t>
      </w:r>
      <w:r w:rsidR="009013AA" w:rsidRPr="00295637">
        <w:rPr>
          <w:rFonts w:ascii="Times New Roman" w:hAnsi="Times New Roman"/>
          <w:szCs w:val="24"/>
          <w:lang w:val="bs-Latn-BA"/>
        </w:rPr>
        <w:t xml:space="preserve"> </w:t>
      </w:r>
      <w:r>
        <w:rPr>
          <w:rFonts w:ascii="Times New Roman" w:hAnsi="Times New Roman"/>
          <w:szCs w:val="24"/>
          <w:lang w:val="bs-Latn-BA"/>
        </w:rPr>
        <w:t>механизми</w:t>
      </w:r>
      <w:r w:rsidR="009013AA" w:rsidRPr="00295637">
        <w:rPr>
          <w:rFonts w:ascii="Times New Roman" w:hAnsi="Times New Roman"/>
          <w:szCs w:val="24"/>
          <w:lang w:val="bs-Latn-BA"/>
        </w:rPr>
        <w:t xml:space="preserve"> </w:t>
      </w:r>
      <w:r>
        <w:rPr>
          <w:rFonts w:ascii="Times New Roman" w:hAnsi="Times New Roman"/>
          <w:szCs w:val="24"/>
          <w:lang w:val="bs-Latn-BA"/>
        </w:rPr>
        <w:t>заштите</w:t>
      </w:r>
      <w:r w:rsidR="009013AA" w:rsidRPr="00295637">
        <w:rPr>
          <w:rFonts w:ascii="Times New Roman" w:hAnsi="Times New Roman"/>
          <w:szCs w:val="24"/>
          <w:lang w:val="bs-Latn-BA"/>
        </w:rPr>
        <w:t xml:space="preserve"> </w:t>
      </w:r>
      <w:r>
        <w:rPr>
          <w:rFonts w:ascii="Times New Roman" w:hAnsi="Times New Roman"/>
          <w:szCs w:val="24"/>
          <w:lang w:val="bs-Latn-BA"/>
        </w:rPr>
        <w:t>људских</w:t>
      </w:r>
      <w:r w:rsidR="009013AA" w:rsidRPr="00295637">
        <w:rPr>
          <w:rFonts w:ascii="Times New Roman" w:hAnsi="Times New Roman"/>
          <w:szCs w:val="24"/>
          <w:lang w:val="bs-Latn-BA"/>
        </w:rPr>
        <w:t xml:space="preserve"> </w:t>
      </w:r>
      <w:r>
        <w:rPr>
          <w:rFonts w:ascii="Times New Roman" w:hAnsi="Times New Roman"/>
          <w:szCs w:val="24"/>
          <w:lang w:val="bs-Latn-BA"/>
        </w:rPr>
        <w:t>права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ФБиХ</w:t>
      </w:r>
      <w:r w:rsidR="009013AA" w:rsidRPr="00295637">
        <w:rPr>
          <w:rFonts w:ascii="Times New Roman" w:hAnsi="Times New Roman"/>
          <w:szCs w:val="24"/>
          <w:lang w:val="bs-Latn-BA"/>
        </w:rPr>
        <w:t>.</w:t>
      </w:r>
    </w:p>
    <w:p w:rsidR="009013AA" w:rsidRPr="00295637" w:rsidRDefault="009013AA" w:rsidP="0086268D">
      <w:pPr>
        <w:ind w:left="576"/>
        <w:jc w:val="both"/>
        <w:rPr>
          <w:rFonts w:ascii="Times New Roman" w:hAnsi="Times New Roman"/>
          <w:szCs w:val="24"/>
          <w:lang w:val="bs-Latn-BA"/>
        </w:rPr>
      </w:pPr>
    </w:p>
    <w:p w:rsidR="00A92736" w:rsidRPr="00295637" w:rsidRDefault="00C6214E" w:rsidP="0086268D">
      <w:pPr>
        <w:jc w:val="both"/>
        <w:rPr>
          <w:rFonts w:ascii="Times New Roman" w:hAnsi="Times New Roman"/>
          <w:szCs w:val="24"/>
          <w:lang w:val="bs-Latn-BA"/>
        </w:rPr>
      </w:pPr>
      <w:r>
        <w:rPr>
          <w:rFonts w:ascii="Times New Roman" w:hAnsi="Times New Roman"/>
          <w:szCs w:val="24"/>
          <w:lang w:val="bs-Latn-BA"/>
        </w:rPr>
        <w:t>Када</w:t>
      </w:r>
      <w:r w:rsidR="009013AA" w:rsidRPr="00295637">
        <w:rPr>
          <w:rFonts w:ascii="Times New Roman" w:hAnsi="Times New Roman"/>
          <w:szCs w:val="24"/>
          <w:lang w:val="bs-Latn-BA"/>
        </w:rPr>
        <w:t xml:space="preserve"> </w:t>
      </w:r>
      <w:r>
        <w:rPr>
          <w:rFonts w:ascii="Times New Roman" w:hAnsi="Times New Roman"/>
          <w:szCs w:val="24"/>
          <w:lang w:val="bs-Latn-BA"/>
        </w:rPr>
        <w:t>су</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питању</w:t>
      </w:r>
      <w:r w:rsidR="009013AA" w:rsidRPr="00295637">
        <w:rPr>
          <w:rFonts w:ascii="Times New Roman" w:hAnsi="Times New Roman"/>
          <w:szCs w:val="24"/>
          <w:lang w:val="bs-Latn-BA"/>
        </w:rPr>
        <w:t xml:space="preserve"> </w:t>
      </w:r>
      <w:r>
        <w:rPr>
          <w:rFonts w:ascii="Times New Roman" w:hAnsi="Times New Roman"/>
          <w:szCs w:val="24"/>
          <w:lang w:val="bs-Latn-BA"/>
        </w:rPr>
        <w:t>едукације</w:t>
      </w:r>
      <w:r w:rsidR="009013AA" w:rsidRPr="00295637">
        <w:rPr>
          <w:rFonts w:ascii="Times New Roman" w:hAnsi="Times New Roman"/>
          <w:szCs w:val="24"/>
          <w:lang w:val="bs-Latn-BA"/>
        </w:rPr>
        <w:t xml:space="preserve"> </w:t>
      </w:r>
      <w:r>
        <w:rPr>
          <w:rFonts w:ascii="Times New Roman" w:hAnsi="Times New Roman"/>
          <w:szCs w:val="24"/>
          <w:lang w:val="bs-Latn-BA"/>
        </w:rPr>
        <w:t>државних</w:t>
      </w:r>
      <w:r w:rsidR="009013AA" w:rsidRPr="00295637">
        <w:rPr>
          <w:rFonts w:ascii="Times New Roman" w:hAnsi="Times New Roman"/>
          <w:szCs w:val="24"/>
          <w:lang w:val="bs-Latn-BA"/>
        </w:rPr>
        <w:t xml:space="preserve"> </w:t>
      </w:r>
      <w:r>
        <w:rPr>
          <w:rFonts w:ascii="Times New Roman" w:hAnsi="Times New Roman"/>
          <w:szCs w:val="24"/>
          <w:lang w:val="bs-Latn-BA"/>
        </w:rPr>
        <w:t>службеника</w:t>
      </w:r>
      <w:r w:rsidR="009013AA" w:rsidRPr="00295637">
        <w:rPr>
          <w:rFonts w:ascii="Times New Roman" w:hAnsi="Times New Roman"/>
          <w:szCs w:val="24"/>
          <w:lang w:val="bs-Latn-BA"/>
        </w:rPr>
        <w:t xml:space="preserve"> </w:t>
      </w:r>
      <w:r>
        <w:rPr>
          <w:rFonts w:ascii="Times New Roman" w:hAnsi="Times New Roman"/>
          <w:szCs w:val="24"/>
          <w:lang w:val="bs-Latn-BA"/>
        </w:rPr>
        <w:t>који</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свом</w:t>
      </w:r>
      <w:r w:rsidR="009013AA" w:rsidRPr="00295637">
        <w:rPr>
          <w:rFonts w:ascii="Times New Roman" w:hAnsi="Times New Roman"/>
          <w:szCs w:val="24"/>
          <w:lang w:val="bs-Latn-BA"/>
        </w:rPr>
        <w:t xml:space="preserve"> </w:t>
      </w:r>
      <w:r>
        <w:rPr>
          <w:rFonts w:ascii="Times New Roman" w:hAnsi="Times New Roman"/>
          <w:szCs w:val="24"/>
          <w:lang w:val="bs-Latn-BA"/>
        </w:rPr>
        <w:t>раду</w:t>
      </w:r>
      <w:r w:rsidR="009013AA" w:rsidRPr="00295637">
        <w:rPr>
          <w:rFonts w:ascii="Times New Roman" w:hAnsi="Times New Roman"/>
          <w:szCs w:val="24"/>
          <w:lang w:val="bs-Latn-BA"/>
        </w:rPr>
        <w:t xml:space="preserve"> </w:t>
      </w:r>
      <w:r>
        <w:rPr>
          <w:rFonts w:ascii="Times New Roman" w:hAnsi="Times New Roman"/>
          <w:szCs w:val="24"/>
          <w:lang w:val="bs-Latn-BA"/>
        </w:rPr>
        <w:t>примјењују</w:t>
      </w:r>
      <w:r w:rsidR="009013AA" w:rsidRPr="00295637">
        <w:rPr>
          <w:rFonts w:ascii="Times New Roman" w:hAnsi="Times New Roman"/>
          <w:szCs w:val="24"/>
          <w:lang w:val="bs-Latn-BA"/>
        </w:rPr>
        <w:t xml:space="preserve"> </w:t>
      </w:r>
      <w:r>
        <w:rPr>
          <w:rFonts w:ascii="Times New Roman" w:hAnsi="Times New Roman"/>
          <w:szCs w:val="24"/>
          <w:lang w:val="bs-Latn-BA"/>
        </w:rPr>
        <w:t>прописе</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области</w:t>
      </w:r>
      <w:r w:rsidR="009013AA" w:rsidRPr="00295637">
        <w:rPr>
          <w:rFonts w:ascii="Times New Roman" w:hAnsi="Times New Roman"/>
          <w:szCs w:val="24"/>
          <w:lang w:val="bs-Latn-BA"/>
        </w:rPr>
        <w:t xml:space="preserve"> </w:t>
      </w:r>
      <w:r>
        <w:rPr>
          <w:rFonts w:ascii="Times New Roman" w:hAnsi="Times New Roman"/>
          <w:szCs w:val="24"/>
          <w:lang w:val="bs-Latn-BA"/>
        </w:rPr>
        <w:t>насиља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породици</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насиља</w:t>
      </w:r>
      <w:r w:rsidR="009013AA" w:rsidRPr="00295637">
        <w:rPr>
          <w:rFonts w:ascii="Times New Roman" w:hAnsi="Times New Roman"/>
          <w:szCs w:val="24"/>
          <w:lang w:val="bs-Latn-BA"/>
        </w:rPr>
        <w:t xml:space="preserve"> </w:t>
      </w:r>
      <w:r>
        <w:rPr>
          <w:rFonts w:ascii="Times New Roman" w:hAnsi="Times New Roman"/>
          <w:szCs w:val="24"/>
          <w:lang w:val="bs-Latn-BA"/>
        </w:rPr>
        <w:t>над</w:t>
      </w:r>
      <w:r w:rsidR="009013AA" w:rsidRPr="00295637">
        <w:rPr>
          <w:rFonts w:ascii="Times New Roman" w:hAnsi="Times New Roman"/>
          <w:szCs w:val="24"/>
          <w:lang w:val="bs-Latn-BA"/>
        </w:rPr>
        <w:t xml:space="preserve"> </w:t>
      </w:r>
      <w:r>
        <w:rPr>
          <w:rFonts w:ascii="Times New Roman" w:hAnsi="Times New Roman"/>
          <w:szCs w:val="24"/>
          <w:lang w:val="bs-Latn-BA"/>
        </w:rPr>
        <w:t>женама</w:t>
      </w:r>
      <w:r w:rsidR="009013AA" w:rsidRPr="00295637">
        <w:rPr>
          <w:rFonts w:ascii="Times New Roman" w:hAnsi="Times New Roman"/>
          <w:szCs w:val="24"/>
          <w:lang w:val="bs-Latn-BA"/>
        </w:rPr>
        <w:t xml:space="preserve">, </w:t>
      </w:r>
      <w:r>
        <w:rPr>
          <w:rFonts w:ascii="Times New Roman" w:hAnsi="Times New Roman"/>
          <w:szCs w:val="24"/>
          <w:lang w:val="bs-Latn-BA"/>
        </w:rPr>
        <w:t>успостављен</w:t>
      </w:r>
      <w:r w:rsidR="009013AA" w:rsidRPr="00295637">
        <w:rPr>
          <w:rFonts w:ascii="Times New Roman" w:hAnsi="Times New Roman"/>
          <w:szCs w:val="24"/>
          <w:lang w:val="bs-Latn-BA"/>
        </w:rPr>
        <w:t xml:space="preserve"> </w:t>
      </w:r>
      <w:r>
        <w:rPr>
          <w:rFonts w:ascii="Times New Roman" w:hAnsi="Times New Roman"/>
          <w:szCs w:val="24"/>
          <w:lang w:val="bs-Latn-BA"/>
        </w:rPr>
        <w:t>је</w:t>
      </w:r>
      <w:r w:rsidR="009013AA" w:rsidRPr="00295637">
        <w:rPr>
          <w:rFonts w:ascii="Times New Roman" w:hAnsi="Times New Roman"/>
          <w:szCs w:val="24"/>
          <w:lang w:val="bs-Latn-BA"/>
        </w:rPr>
        <w:t xml:space="preserve"> </w:t>
      </w:r>
      <w:r>
        <w:rPr>
          <w:rFonts w:ascii="Times New Roman" w:hAnsi="Times New Roman"/>
          <w:szCs w:val="24"/>
          <w:lang w:val="bs-Latn-BA"/>
        </w:rPr>
        <w:t>систем</w:t>
      </w:r>
      <w:r w:rsidR="009013AA" w:rsidRPr="00295637">
        <w:rPr>
          <w:rFonts w:ascii="Times New Roman" w:hAnsi="Times New Roman"/>
          <w:szCs w:val="24"/>
          <w:lang w:val="bs-Latn-BA"/>
        </w:rPr>
        <w:t xml:space="preserve"> </w:t>
      </w:r>
      <w:r>
        <w:rPr>
          <w:rFonts w:ascii="Times New Roman" w:hAnsi="Times New Roman"/>
          <w:szCs w:val="24"/>
          <w:lang w:val="bs-Latn-BA"/>
        </w:rPr>
        <w:t>стручног</w:t>
      </w:r>
      <w:r w:rsidR="009013AA" w:rsidRPr="00295637">
        <w:rPr>
          <w:rFonts w:ascii="Times New Roman" w:hAnsi="Times New Roman"/>
          <w:szCs w:val="24"/>
          <w:lang w:val="bs-Latn-BA"/>
        </w:rPr>
        <w:t xml:space="preserve"> </w:t>
      </w:r>
      <w:r>
        <w:rPr>
          <w:rFonts w:ascii="Times New Roman" w:hAnsi="Times New Roman"/>
          <w:szCs w:val="24"/>
          <w:lang w:val="bs-Latn-BA"/>
        </w:rPr>
        <w:t>усавршавања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оквиру</w:t>
      </w:r>
      <w:r w:rsidR="009013AA" w:rsidRPr="00295637">
        <w:rPr>
          <w:rFonts w:ascii="Times New Roman" w:hAnsi="Times New Roman"/>
          <w:szCs w:val="24"/>
          <w:lang w:val="bs-Latn-BA"/>
        </w:rPr>
        <w:t xml:space="preserve"> </w:t>
      </w:r>
      <w:r>
        <w:rPr>
          <w:rFonts w:ascii="Times New Roman" w:hAnsi="Times New Roman"/>
          <w:szCs w:val="24"/>
          <w:lang w:val="bs-Latn-BA"/>
        </w:rPr>
        <w:t>АДС</w:t>
      </w:r>
      <w:r w:rsidR="0020153C">
        <w:rPr>
          <w:rFonts w:ascii="Times New Roman" w:hAnsi="Times New Roman"/>
          <w:szCs w:val="24"/>
          <w:lang w:val="bs-Latn-BA"/>
        </w:rPr>
        <w:t xml:space="preserve"> </w:t>
      </w:r>
      <w:r>
        <w:rPr>
          <w:rFonts w:ascii="Times New Roman" w:hAnsi="Times New Roman"/>
          <w:szCs w:val="24"/>
          <w:lang w:val="bs-Latn-BA"/>
        </w:rPr>
        <w:t>ФБиХ</w:t>
      </w:r>
      <w:r w:rsidR="009013AA" w:rsidRPr="00295637">
        <w:rPr>
          <w:rFonts w:ascii="Times New Roman" w:hAnsi="Times New Roman"/>
          <w:szCs w:val="24"/>
          <w:lang w:val="bs-Latn-BA"/>
        </w:rPr>
        <w:t xml:space="preserve">, </w:t>
      </w:r>
      <w:r>
        <w:rPr>
          <w:rFonts w:ascii="Times New Roman" w:hAnsi="Times New Roman"/>
          <w:szCs w:val="24"/>
          <w:lang w:val="bs-Latn-BA"/>
        </w:rPr>
        <w:t>те</w:t>
      </w:r>
      <w:r w:rsidR="009013AA" w:rsidRPr="00295637">
        <w:rPr>
          <w:rFonts w:ascii="Times New Roman" w:hAnsi="Times New Roman"/>
          <w:szCs w:val="24"/>
          <w:lang w:val="bs-Latn-BA"/>
        </w:rPr>
        <w:t xml:space="preserve"> </w:t>
      </w:r>
      <w:r>
        <w:rPr>
          <w:rFonts w:ascii="Times New Roman" w:hAnsi="Times New Roman"/>
          <w:szCs w:val="24"/>
          <w:lang w:val="bs-Latn-BA"/>
        </w:rPr>
        <w:t>су</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Програму</w:t>
      </w:r>
      <w:r w:rsidR="009013AA" w:rsidRPr="00295637">
        <w:rPr>
          <w:rFonts w:ascii="Times New Roman" w:hAnsi="Times New Roman"/>
          <w:szCs w:val="24"/>
          <w:lang w:val="bs-Latn-BA"/>
        </w:rPr>
        <w:t xml:space="preserve"> </w:t>
      </w:r>
      <w:r>
        <w:rPr>
          <w:rFonts w:ascii="Times New Roman" w:hAnsi="Times New Roman"/>
          <w:szCs w:val="24"/>
          <w:lang w:val="bs-Latn-BA"/>
        </w:rPr>
        <w:t>стручног</w:t>
      </w:r>
      <w:r w:rsidR="009013AA" w:rsidRPr="00295637">
        <w:rPr>
          <w:rFonts w:ascii="Times New Roman" w:hAnsi="Times New Roman"/>
          <w:szCs w:val="24"/>
          <w:lang w:val="bs-Latn-BA"/>
        </w:rPr>
        <w:t xml:space="preserve"> </w:t>
      </w:r>
      <w:r>
        <w:rPr>
          <w:rFonts w:ascii="Times New Roman" w:hAnsi="Times New Roman"/>
          <w:szCs w:val="24"/>
          <w:lang w:val="bs-Latn-BA"/>
        </w:rPr>
        <w:t>усавршавања</w:t>
      </w:r>
      <w:r w:rsidR="009013AA" w:rsidRPr="00295637">
        <w:rPr>
          <w:rFonts w:ascii="Times New Roman" w:hAnsi="Times New Roman"/>
          <w:szCs w:val="24"/>
          <w:lang w:val="bs-Latn-BA"/>
        </w:rPr>
        <w:t xml:space="preserve"> </w:t>
      </w:r>
      <w:r>
        <w:rPr>
          <w:rFonts w:ascii="Times New Roman" w:hAnsi="Times New Roman"/>
          <w:szCs w:val="24"/>
          <w:lang w:val="bs-Latn-BA"/>
        </w:rPr>
        <w:t>за</w:t>
      </w:r>
      <w:r w:rsidR="009013AA" w:rsidRPr="00295637">
        <w:rPr>
          <w:rFonts w:ascii="Times New Roman" w:hAnsi="Times New Roman"/>
          <w:szCs w:val="24"/>
          <w:lang w:val="bs-Latn-BA"/>
        </w:rPr>
        <w:t xml:space="preserve"> 2024. </w:t>
      </w:r>
      <w:r>
        <w:rPr>
          <w:rFonts w:ascii="Times New Roman" w:hAnsi="Times New Roman"/>
          <w:szCs w:val="24"/>
          <w:lang w:val="bs-Latn-BA"/>
        </w:rPr>
        <w:t>годину</w:t>
      </w:r>
      <w:r w:rsidR="009013AA" w:rsidRPr="00295637">
        <w:rPr>
          <w:rFonts w:ascii="Times New Roman" w:hAnsi="Times New Roman"/>
          <w:szCs w:val="24"/>
          <w:lang w:val="bs-Latn-BA"/>
        </w:rPr>
        <w:t xml:space="preserve"> </w:t>
      </w:r>
      <w:r>
        <w:rPr>
          <w:rFonts w:ascii="Times New Roman" w:hAnsi="Times New Roman"/>
          <w:szCs w:val="24"/>
          <w:lang w:val="bs-Latn-BA"/>
        </w:rPr>
        <w:t>планиране</w:t>
      </w:r>
      <w:r w:rsidR="009013AA" w:rsidRPr="00295637">
        <w:rPr>
          <w:rFonts w:ascii="Times New Roman" w:hAnsi="Times New Roman"/>
          <w:szCs w:val="24"/>
          <w:lang w:val="bs-Latn-BA"/>
        </w:rPr>
        <w:t xml:space="preserve"> </w:t>
      </w:r>
      <w:r>
        <w:rPr>
          <w:rFonts w:ascii="Times New Roman" w:hAnsi="Times New Roman"/>
          <w:szCs w:val="24"/>
          <w:lang w:val="bs-Latn-BA"/>
        </w:rPr>
        <w:t>три</w:t>
      </w:r>
      <w:r w:rsidR="009013AA" w:rsidRPr="00295637">
        <w:rPr>
          <w:rFonts w:ascii="Times New Roman" w:hAnsi="Times New Roman"/>
          <w:szCs w:val="24"/>
          <w:lang w:val="bs-Latn-BA"/>
        </w:rPr>
        <w:t xml:space="preserve"> </w:t>
      </w:r>
      <w:r>
        <w:rPr>
          <w:rFonts w:ascii="Times New Roman" w:hAnsi="Times New Roman"/>
          <w:szCs w:val="24"/>
          <w:lang w:val="bs-Latn-BA"/>
        </w:rPr>
        <w:t>теме</w:t>
      </w:r>
      <w:r w:rsidR="009013AA" w:rsidRPr="00295637">
        <w:rPr>
          <w:rFonts w:ascii="Times New Roman" w:hAnsi="Times New Roman"/>
          <w:szCs w:val="24"/>
          <w:lang w:val="bs-Latn-BA"/>
        </w:rPr>
        <w:t xml:space="preserve">: </w:t>
      </w:r>
      <w:r w:rsidR="00F33F83" w:rsidRPr="00295637">
        <w:rPr>
          <w:rFonts w:ascii="Times New Roman" w:hAnsi="Times New Roman"/>
          <w:szCs w:val="24"/>
          <w:lang w:val="bs-Latn-BA"/>
        </w:rPr>
        <w:t>„</w:t>
      </w:r>
      <w:r>
        <w:rPr>
          <w:rFonts w:ascii="Times New Roman" w:hAnsi="Times New Roman"/>
          <w:szCs w:val="24"/>
          <w:lang w:val="bs-Latn-BA"/>
        </w:rPr>
        <w:t>Корупција</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родно</w:t>
      </w:r>
      <w:r w:rsidR="009013AA" w:rsidRPr="00295637">
        <w:rPr>
          <w:rFonts w:ascii="Times New Roman" w:hAnsi="Times New Roman"/>
          <w:szCs w:val="24"/>
          <w:lang w:val="bs-Latn-BA"/>
        </w:rPr>
        <w:t xml:space="preserve"> </w:t>
      </w:r>
      <w:r>
        <w:rPr>
          <w:rFonts w:ascii="Times New Roman" w:hAnsi="Times New Roman"/>
          <w:szCs w:val="24"/>
          <w:lang w:val="bs-Latn-BA"/>
        </w:rPr>
        <w:t>засновано</w:t>
      </w:r>
      <w:r w:rsidR="009013AA" w:rsidRPr="00295637">
        <w:rPr>
          <w:rFonts w:ascii="Times New Roman" w:hAnsi="Times New Roman"/>
          <w:szCs w:val="24"/>
          <w:lang w:val="bs-Latn-BA"/>
        </w:rPr>
        <w:t xml:space="preserve"> </w:t>
      </w:r>
      <w:r>
        <w:rPr>
          <w:rFonts w:ascii="Times New Roman" w:hAnsi="Times New Roman"/>
          <w:szCs w:val="24"/>
          <w:lang w:val="bs-Latn-BA"/>
        </w:rPr>
        <w:t>насиље</w:t>
      </w:r>
      <w:r w:rsidR="00F33F83" w:rsidRPr="00295637">
        <w:rPr>
          <w:rFonts w:ascii="Times New Roman" w:hAnsi="Times New Roman"/>
          <w:szCs w:val="24"/>
          <w:lang w:val="bs-Latn-BA"/>
        </w:rPr>
        <w:t>“</w:t>
      </w:r>
      <w:r w:rsidR="009013AA" w:rsidRPr="00295637">
        <w:rPr>
          <w:rFonts w:ascii="Times New Roman" w:hAnsi="Times New Roman"/>
          <w:szCs w:val="24"/>
          <w:lang w:val="bs-Latn-BA"/>
        </w:rPr>
        <w:t xml:space="preserve">, </w:t>
      </w:r>
      <w:r w:rsidR="00F33F83" w:rsidRPr="00295637">
        <w:rPr>
          <w:rFonts w:ascii="Times New Roman" w:hAnsi="Times New Roman"/>
          <w:szCs w:val="24"/>
          <w:lang w:val="bs-Latn-BA"/>
        </w:rPr>
        <w:t>„</w:t>
      </w:r>
      <w:r>
        <w:rPr>
          <w:rFonts w:ascii="Times New Roman" w:hAnsi="Times New Roman"/>
          <w:szCs w:val="24"/>
          <w:lang w:val="bs-Latn-BA"/>
        </w:rPr>
        <w:t>Равноправност</w:t>
      </w:r>
      <w:r w:rsidR="009013AA" w:rsidRPr="00295637">
        <w:rPr>
          <w:rFonts w:ascii="Times New Roman" w:hAnsi="Times New Roman"/>
          <w:szCs w:val="24"/>
          <w:lang w:val="bs-Latn-BA"/>
        </w:rPr>
        <w:t xml:space="preserve"> </w:t>
      </w:r>
      <w:r>
        <w:rPr>
          <w:rFonts w:ascii="Times New Roman" w:hAnsi="Times New Roman"/>
          <w:szCs w:val="24"/>
          <w:lang w:val="bs-Latn-BA"/>
        </w:rPr>
        <w:t>полова</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дискриминација</w:t>
      </w:r>
      <w:r w:rsidR="009013AA" w:rsidRPr="00295637">
        <w:rPr>
          <w:rFonts w:ascii="Times New Roman" w:hAnsi="Times New Roman"/>
          <w:szCs w:val="24"/>
          <w:lang w:val="bs-Latn-BA"/>
        </w:rPr>
        <w:t xml:space="preserve"> </w:t>
      </w:r>
      <w:r>
        <w:rPr>
          <w:rFonts w:ascii="Times New Roman" w:hAnsi="Times New Roman"/>
          <w:szCs w:val="24"/>
          <w:lang w:val="bs-Latn-BA"/>
        </w:rPr>
        <w:t>по</w:t>
      </w:r>
      <w:r w:rsidR="009013AA" w:rsidRPr="00295637">
        <w:rPr>
          <w:rFonts w:ascii="Times New Roman" w:hAnsi="Times New Roman"/>
          <w:szCs w:val="24"/>
          <w:lang w:val="bs-Latn-BA"/>
        </w:rPr>
        <w:t xml:space="preserve"> </w:t>
      </w:r>
      <w:r>
        <w:rPr>
          <w:rFonts w:ascii="Times New Roman" w:hAnsi="Times New Roman"/>
          <w:szCs w:val="24"/>
          <w:lang w:val="bs-Latn-BA"/>
        </w:rPr>
        <w:t>основу</w:t>
      </w:r>
      <w:r w:rsidR="009013AA" w:rsidRPr="00295637">
        <w:rPr>
          <w:rFonts w:ascii="Times New Roman" w:hAnsi="Times New Roman"/>
          <w:szCs w:val="24"/>
          <w:lang w:val="bs-Latn-BA"/>
        </w:rPr>
        <w:t xml:space="preserve"> </w:t>
      </w:r>
      <w:r>
        <w:rPr>
          <w:rFonts w:ascii="Times New Roman" w:hAnsi="Times New Roman"/>
          <w:szCs w:val="24"/>
          <w:lang w:val="bs-Latn-BA"/>
        </w:rPr>
        <w:t>пола</w:t>
      </w:r>
      <w:r w:rsidR="00F33F83" w:rsidRPr="00295637">
        <w:rPr>
          <w:rFonts w:ascii="Times New Roman" w:hAnsi="Times New Roman"/>
          <w:szCs w:val="24"/>
          <w:lang w:val="bs-Latn-BA"/>
        </w:rPr>
        <w:t>“</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sidR="00F33F83" w:rsidRPr="00295637">
        <w:rPr>
          <w:rFonts w:ascii="Times New Roman" w:hAnsi="Times New Roman"/>
          <w:szCs w:val="24"/>
          <w:lang w:val="bs-Latn-BA"/>
        </w:rPr>
        <w:t>„</w:t>
      </w:r>
      <w:r>
        <w:rPr>
          <w:rFonts w:ascii="Times New Roman" w:hAnsi="Times New Roman"/>
          <w:szCs w:val="24"/>
          <w:lang w:val="bs-Latn-BA"/>
        </w:rPr>
        <w:t>Примјена</w:t>
      </w:r>
      <w:r w:rsidR="009013AA" w:rsidRPr="00295637">
        <w:rPr>
          <w:rFonts w:ascii="Times New Roman" w:hAnsi="Times New Roman"/>
          <w:szCs w:val="24"/>
          <w:lang w:val="bs-Latn-BA"/>
        </w:rPr>
        <w:t xml:space="preserve"> </w:t>
      </w:r>
      <w:r>
        <w:rPr>
          <w:rFonts w:ascii="Times New Roman" w:hAnsi="Times New Roman"/>
          <w:szCs w:val="24"/>
          <w:lang w:val="bs-Latn-BA"/>
        </w:rPr>
        <w:t>прописа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области</w:t>
      </w:r>
      <w:r w:rsidR="009013AA" w:rsidRPr="00295637">
        <w:rPr>
          <w:rFonts w:ascii="Times New Roman" w:hAnsi="Times New Roman"/>
          <w:szCs w:val="24"/>
          <w:lang w:val="bs-Latn-BA"/>
        </w:rPr>
        <w:t xml:space="preserve"> </w:t>
      </w:r>
      <w:r>
        <w:rPr>
          <w:rFonts w:ascii="Times New Roman" w:hAnsi="Times New Roman"/>
          <w:szCs w:val="24"/>
          <w:lang w:val="bs-Latn-BA"/>
        </w:rPr>
        <w:t>насиља</w:t>
      </w:r>
      <w:r w:rsidR="009013AA" w:rsidRPr="00295637">
        <w:rPr>
          <w:rFonts w:ascii="Times New Roman" w:hAnsi="Times New Roman"/>
          <w:szCs w:val="24"/>
          <w:lang w:val="bs-Latn-BA"/>
        </w:rPr>
        <w:t xml:space="preserve"> </w:t>
      </w:r>
      <w:r>
        <w:rPr>
          <w:rFonts w:ascii="Times New Roman" w:hAnsi="Times New Roman"/>
          <w:szCs w:val="24"/>
          <w:lang w:val="bs-Latn-BA"/>
        </w:rPr>
        <w:t>у</w:t>
      </w:r>
      <w:r w:rsidR="009013AA" w:rsidRPr="00295637">
        <w:rPr>
          <w:rFonts w:ascii="Times New Roman" w:hAnsi="Times New Roman"/>
          <w:szCs w:val="24"/>
          <w:lang w:val="bs-Latn-BA"/>
        </w:rPr>
        <w:t xml:space="preserve"> </w:t>
      </w:r>
      <w:r>
        <w:rPr>
          <w:rFonts w:ascii="Times New Roman" w:hAnsi="Times New Roman"/>
          <w:szCs w:val="24"/>
          <w:lang w:val="bs-Latn-BA"/>
        </w:rPr>
        <w:t>породици</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насиља</w:t>
      </w:r>
      <w:r w:rsidR="009013AA" w:rsidRPr="00295637">
        <w:rPr>
          <w:rFonts w:ascii="Times New Roman" w:hAnsi="Times New Roman"/>
          <w:szCs w:val="24"/>
          <w:lang w:val="bs-Latn-BA"/>
        </w:rPr>
        <w:t xml:space="preserve"> </w:t>
      </w:r>
      <w:r>
        <w:rPr>
          <w:rFonts w:ascii="Times New Roman" w:hAnsi="Times New Roman"/>
          <w:szCs w:val="24"/>
          <w:lang w:val="bs-Latn-BA"/>
        </w:rPr>
        <w:t>над</w:t>
      </w:r>
      <w:r w:rsidR="009013AA" w:rsidRPr="00295637">
        <w:rPr>
          <w:rFonts w:ascii="Times New Roman" w:hAnsi="Times New Roman"/>
          <w:szCs w:val="24"/>
          <w:lang w:val="bs-Latn-BA"/>
        </w:rPr>
        <w:t xml:space="preserve"> </w:t>
      </w:r>
      <w:r>
        <w:rPr>
          <w:rFonts w:ascii="Times New Roman" w:hAnsi="Times New Roman"/>
          <w:szCs w:val="24"/>
          <w:lang w:val="bs-Latn-BA"/>
        </w:rPr>
        <w:t>женама</w:t>
      </w:r>
      <w:r w:rsidR="009013AA" w:rsidRPr="00295637">
        <w:rPr>
          <w:rFonts w:ascii="Times New Roman" w:hAnsi="Times New Roman"/>
          <w:szCs w:val="24"/>
          <w:lang w:val="bs-Latn-BA"/>
        </w:rPr>
        <w:t xml:space="preserve"> – </w:t>
      </w:r>
      <w:r>
        <w:rPr>
          <w:rFonts w:ascii="Times New Roman" w:hAnsi="Times New Roman"/>
          <w:szCs w:val="24"/>
          <w:lang w:val="bs-Latn-BA"/>
        </w:rPr>
        <w:t>подршка</w:t>
      </w:r>
      <w:r w:rsidR="009013AA" w:rsidRPr="00295637">
        <w:rPr>
          <w:rFonts w:ascii="Times New Roman" w:hAnsi="Times New Roman"/>
          <w:szCs w:val="24"/>
          <w:lang w:val="bs-Latn-BA"/>
        </w:rPr>
        <w:t xml:space="preserve"> </w:t>
      </w:r>
      <w:r w:rsidR="00721E23">
        <w:rPr>
          <w:rFonts w:ascii="Times New Roman" w:hAnsi="Times New Roman"/>
          <w:szCs w:val="24"/>
          <w:lang w:val="sr-Cyrl-BA"/>
        </w:rPr>
        <w:t>спровођењу</w:t>
      </w:r>
      <w:r w:rsidR="009013AA" w:rsidRPr="00295637">
        <w:rPr>
          <w:rFonts w:ascii="Times New Roman" w:hAnsi="Times New Roman"/>
          <w:szCs w:val="24"/>
          <w:lang w:val="bs-Latn-BA"/>
        </w:rPr>
        <w:t xml:space="preserve"> </w:t>
      </w:r>
      <w:r>
        <w:rPr>
          <w:rFonts w:ascii="Times New Roman" w:hAnsi="Times New Roman"/>
          <w:szCs w:val="24"/>
          <w:lang w:val="bs-Latn-BA"/>
        </w:rPr>
        <w:t>домаћих</w:t>
      </w:r>
      <w:r w:rsidR="009013AA" w:rsidRPr="00295637">
        <w:rPr>
          <w:rFonts w:ascii="Times New Roman" w:hAnsi="Times New Roman"/>
          <w:szCs w:val="24"/>
          <w:lang w:val="bs-Latn-BA"/>
        </w:rPr>
        <w:t xml:space="preserve"> </w:t>
      </w:r>
      <w:r>
        <w:rPr>
          <w:rFonts w:ascii="Times New Roman" w:hAnsi="Times New Roman"/>
          <w:szCs w:val="24"/>
          <w:lang w:val="bs-Latn-BA"/>
        </w:rPr>
        <w:t>и</w:t>
      </w:r>
      <w:r w:rsidR="009013AA" w:rsidRPr="00295637">
        <w:rPr>
          <w:rFonts w:ascii="Times New Roman" w:hAnsi="Times New Roman"/>
          <w:szCs w:val="24"/>
          <w:lang w:val="bs-Latn-BA"/>
        </w:rPr>
        <w:t xml:space="preserve"> </w:t>
      </w:r>
      <w:r>
        <w:rPr>
          <w:rFonts w:ascii="Times New Roman" w:hAnsi="Times New Roman"/>
          <w:szCs w:val="24"/>
          <w:lang w:val="bs-Latn-BA"/>
        </w:rPr>
        <w:t>међународних</w:t>
      </w:r>
      <w:r w:rsidR="009013AA" w:rsidRPr="00295637">
        <w:rPr>
          <w:rFonts w:ascii="Times New Roman" w:hAnsi="Times New Roman"/>
          <w:szCs w:val="24"/>
          <w:lang w:val="bs-Latn-BA"/>
        </w:rPr>
        <w:t xml:space="preserve"> </w:t>
      </w:r>
      <w:r>
        <w:rPr>
          <w:rFonts w:ascii="Times New Roman" w:hAnsi="Times New Roman"/>
          <w:szCs w:val="24"/>
          <w:lang w:val="bs-Latn-BA"/>
        </w:rPr>
        <w:t>докумената</w:t>
      </w:r>
      <w:r w:rsidR="00F33F83" w:rsidRPr="00295637">
        <w:rPr>
          <w:rFonts w:ascii="Times New Roman" w:hAnsi="Times New Roman"/>
          <w:szCs w:val="24"/>
          <w:lang w:val="bs-Latn-BA"/>
        </w:rPr>
        <w:t>“</w:t>
      </w:r>
      <w:r w:rsidR="009013AA" w:rsidRPr="00295637">
        <w:rPr>
          <w:rFonts w:ascii="Times New Roman" w:hAnsi="Times New Roman"/>
          <w:szCs w:val="24"/>
          <w:lang w:val="bs-Latn-BA"/>
        </w:rPr>
        <w:t xml:space="preserve">, </w:t>
      </w:r>
      <w:r>
        <w:rPr>
          <w:rFonts w:ascii="Times New Roman" w:hAnsi="Times New Roman"/>
          <w:szCs w:val="24"/>
          <w:lang w:val="bs-Latn-BA"/>
        </w:rPr>
        <w:t>при</w:t>
      </w:r>
      <w:r w:rsidR="00D50DF0">
        <w:rPr>
          <w:rFonts w:ascii="Times New Roman" w:hAnsi="Times New Roman"/>
          <w:szCs w:val="24"/>
          <w:lang w:val="bs-Latn-BA"/>
        </w:rPr>
        <w:t xml:space="preserve"> </w:t>
      </w:r>
      <w:r>
        <w:rPr>
          <w:rFonts w:ascii="Times New Roman" w:hAnsi="Times New Roman"/>
          <w:szCs w:val="24"/>
          <w:lang w:val="bs-Latn-BA"/>
        </w:rPr>
        <w:t>чему</w:t>
      </w:r>
      <w:r w:rsidR="00D50DF0">
        <w:rPr>
          <w:rFonts w:ascii="Times New Roman" w:hAnsi="Times New Roman"/>
          <w:szCs w:val="24"/>
          <w:lang w:val="bs-Latn-BA"/>
        </w:rPr>
        <w:t xml:space="preserve"> </w:t>
      </w:r>
      <w:r>
        <w:rPr>
          <w:rFonts w:ascii="Times New Roman" w:hAnsi="Times New Roman"/>
          <w:szCs w:val="24"/>
          <w:lang w:val="bs-Latn-BA"/>
        </w:rPr>
        <w:t>су</w:t>
      </w:r>
      <w:r w:rsidR="009013AA" w:rsidRPr="00295637">
        <w:rPr>
          <w:rFonts w:ascii="Times New Roman" w:hAnsi="Times New Roman"/>
          <w:szCs w:val="24"/>
          <w:lang w:val="bs-Latn-BA"/>
        </w:rPr>
        <w:t xml:space="preserve"> </w:t>
      </w:r>
      <w:r>
        <w:rPr>
          <w:rFonts w:ascii="Times New Roman" w:hAnsi="Times New Roman"/>
          <w:szCs w:val="24"/>
          <w:lang w:val="bs-Latn-BA"/>
        </w:rPr>
        <w:t>током</w:t>
      </w:r>
      <w:r w:rsidR="009013AA" w:rsidRPr="00295637">
        <w:rPr>
          <w:rFonts w:ascii="Times New Roman" w:hAnsi="Times New Roman"/>
          <w:szCs w:val="24"/>
          <w:lang w:val="bs-Latn-BA"/>
        </w:rPr>
        <w:t xml:space="preserve"> 2024. </w:t>
      </w:r>
      <w:r>
        <w:rPr>
          <w:rFonts w:ascii="Times New Roman" w:hAnsi="Times New Roman"/>
          <w:szCs w:val="24"/>
          <w:lang w:val="bs-Latn-BA"/>
        </w:rPr>
        <w:t>године</w:t>
      </w:r>
      <w:r w:rsidR="009013AA" w:rsidRPr="00295637">
        <w:rPr>
          <w:rFonts w:ascii="Times New Roman" w:hAnsi="Times New Roman"/>
          <w:szCs w:val="24"/>
          <w:lang w:val="bs-Latn-BA"/>
        </w:rPr>
        <w:t xml:space="preserve"> </w:t>
      </w:r>
      <w:r>
        <w:rPr>
          <w:rFonts w:ascii="Times New Roman" w:hAnsi="Times New Roman"/>
          <w:szCs w:val="24"/>
          <w:lang w:val="bs-Latn-BA"/>
        </w:rPr>
        <w:t>реализ</w:t>
      </w:r>
      <w:r w:rsidR="00721E23">
        <w:rPr>
          <w:rFonts w:ascii="Times New Roman" w:hAnsi="Times New Roman"/>
          <w:szCs w:val="24"/>
          <w:lang w:val="sr-Cyrl-BA"/>
        </w:rPr>
        <w:t>ована</w:t>
      </w:r>
      <w:r w:rsidR="009013AA" w:rsidRPr="00295637">
        <w:rPr>
          <w:rFonts w:ascii="Times New Roman" w:hAnsi="Times New Roman"/>
          <w:szCs w:val="24"/>
          <w:lang w:val="bs-Latn-BA"/>
        </w:rPr>
        <w:t xml:space="preserve"> </w:t>
      </w:r>
      <w:r>
        <w:rPr>
          <w:rFonts w:ascii="Times New Roman" w:hAnsi="Times New Roman"/>
          <w:szCs w:val="24"/>
          <w:lang w:val="bs-Latn-BA"/>
        </w:rPr>
        <w:t>три</w:t>
      </w:r>
      <w:r w:rsidR="009013AA" w:rsidRPr="00295637">
        <w:rPr>
          <w:rFonts w:ascii="Times New Roman" w:hAnsi="Times New Roman"/>
          <w:szCs w:val="24"/>
          <w:lang w:val="bs-Latn-BA"/>
        </w:rPr>
        <w:t xml:space="preserve"> </w:t>
      </w:r>
      <w:r>
        <w:rPr>
          <w:rFonts w:ascii="Times New Roman" w:hAnsi="Times New Roman"/>
          <w:szCs w:val="24"/>
          <w:lang w:val="bs-Latn-BA"/>
        </w:rPr>
        <w:t>једнодневна</w:t>
      </w:r>
      <w:r w:rsidR="009013AA" w:rsidRPr="00295637">
        <w:rPr>
          <w:rFonts w:ascii="Times New Roman" w:hAnsi="Times New Roman"/>
          <w:szCs w:val="24"/>
          <w:lang w:val="bs-Latn-BA"/>
        </w:rPr>
        <w:t xml:space="preserve"> </w:t>
      </w:r>
      <w:r>
        <w:rPr>
          <w:rFonts w:ascii="Times New Roman" w:hAnsi="Times New Roman"/>
          <w:szCs w:val="24"/>
          <w:lang w:val="bs-Latn-BA"/>
        </w:rPr>
        <w:t>програма</w:t>
      </w:r>
      <w:r w:rsidR="009013AA" w:rsidRPr="00295637">
        <w:rPr>
          <w:rFonts w:ascii="Times New Roman" w:hAnsi="Times New Roman"/>
          <w:szCs w:val="24"/>
          <w:lang w:val="bs-Latn-BA"/>
        </w:rPr>
        <w:t xml:space="preserve"> </w:t>
      </w:r>
      <w:r>
        <w:rPr>
          <w:rFonts w:ascii="Times New Roman" w:hAnsi="Times New Roman"/>
          <w:szCs w:val="24"/>
          <w:lang w:val="bs-Latn-BA"/>
        </w:rPr>
        <w:t>за</w:t>
      </w:r>
      <w:r w:rsidR="009013AA" w:rsidRPr="00295637">
        <w:rPr>
          <w:rFonts w:ascii="Times New Roman" w:hAnsi="Times New Roman"/>
          <w:szCs w:val="24"/>
          <w:lang w:val="bs-Latn-BA"/>
        </w:rPr>
        <w:t xml:space="preserve"> </w:t>
      </w:r>
      <w:r>
        <w:rPr>
          <w:rFonts w:ascii="Times New Roman" w:hAnsi="Times New Roman"/>
          <w:szCs w:val="24"/>
          <w:lang w:val="bs-Latn-BA"/>
        </w:rPr>
        <w:t>укупно</w:t>
      </w:r>
      <w:r w:rsidR="009013AA" w:rsidRPr="00295637">
        <w:rPr>
          <w:rFonts w:ascii="Times New Roman" w:hAnsi="Times New Roman"/>
          <w:szCs w:val="24"/>
          <w:lang w:val="bs-Latn-BA"/>
        </w:rPr>
        <w:t xml:space="preserve"> 75 </w:t>
      </w:r>
      <w:r>
        <w:rPr>
          <w:rFonts w:ascii="Times New Roman" w:hAnsi="Times New Roman"/>
          <w:szCs w:val="24"/>
          <w:lang w:val="bs-Latn-BA"/>
        </w:rPr>
        <w:t>учесника</w:t>
      </w:r>
      <w:r w:rsidR="009013AA" w:rsidRPr="00295637">
        <w:rPr>
          <w:rFonts w:ascii="Times New Roman" w:hAnsi="Times New Roman"/>
          <w:szCs w:val="24"/>
          <w:lang w:val="bs-Latn-BA"/>
        </w:rPr>
        <w:t>/</w:t>
      </w:r>
      <w:r>
        <w:rPr>
          <w:rFonts w:ascii="Times New Roman" w:hAnsi="Times New Roman"/>
          <w:szCs w:val="24"/>
          <w:lang w:val="bs-Latn-BA"/>
        </w:rPr>
        <w:t>ца</w:t>
      </w:r>
      <w:r w:rsidR="009013AA" w:rsidRPr="00295637">
        <w:rPr>
          <w:rFonts w:ascii="Times New Roman" w:hAnsi="Times New Roman"/>
          <w:szCs w:val="24"/>
          <w:lang w:val="bs-Latn-BA"/>
        </w:rPr>
        <w:t>.</w:t>
      </w:r>
    </w:p>
    <w:p w:rsidR="00445871" w:rsidRPr="00295637" w:rsidRDefault="00445871" w:rsidP="0086268D">
      <w:pPr>
        <w:rPr>
          <w:szCs w:val="24"/>
          <w:lang w:val="bs-Latn-BA"/>
        </w:rPr>
      </w:pPr>
    </w:p>
    <w:p w:rsidR="00D50735" w:rsidRPr="00295637" w:rsidRDefault="00C6214E" w:rsidP="0086268D">
      <w:pPr>
        <w:pStyle w:val="ListParagraph"/>
        <w:ind w:left="0"/>
        <w:jc w:val="both"/>
        <w:rPr>
          <w:rFonts w:ascii="Times New Roman" w:hAnsi="Times New Roman"/>
          <w:lang w:val="sr-Cyrl-BA"/>
        </w:rPr>
      </w:pPr>
      <w:r>
        <w:rPr>
          <w:rFonts w:ascii="Times New Roman" w:hAnsi="Times New Roman"/>
          <w:lang w:val="sr-Latn-BA"/>
        </w:rPr>
        <w:t>ЦЈРП</w:t>
      </w:r>
      <w:r w:rsidR="00D50735" w:rsidRPr="00295637">
        <w:rPr>
          <w:rFonts w:ascii="Times New Roman" w:hAnsi="Times New Roman"/>
          <w:lang w:val="sr-Latn-BA"/>
        </w:rPr>
        <w:t xml:space="preserve"> </w:t>
      </w:r>
      <w:r>
        <w:rPr>
          <w:rFonts w:ascii="Times New Roman" w:hAnsi="Times New Roman"/>
          <w:lang w:val="sr-Latn-BA"/>
        </w:rPr>
        <w:t>РС</w:t>
      </w:r>
      <w:r w:rsidR="00D50735" w:rsidRPr="00295637">
        <w:rPr>
          <w:rFonts w:ascii="Times New Roman" w:hAnsi="Times New Roman"/>
          <w:lang w:val="sr-Latn-BA"/>
        </w:rPr>
        <w:t xml:space="preserve">, </w:t>
      </w:r>
      <w:r>
        <w:rPr>
          <w:rFonts w:ascii="Times New Roman" w:hAnsi="Times New Roman"/>
          <w:lang w:val="sr-Latn-BA"/>
        </w:rPr>
        <w:t>у</w:t>
      </w:r>
      <w:r w:rsidR="00D50735" w:rsidRPr="00295637">
        <w:rPr>
          <w:rFonts w:ascii="Times New Roman" w:hAnsi="Times New Roman"/>
          <w:lang w:val="sr-Latn-BA"/>
        </w:rPr>
        <w:t xml:space="preserve"> </w:t>
      </w:r>
      <w:r>
        <w:rPr>
          <w:rFonts w:ascii="Times New Roman" w:hAnsi="Times New Roman"/>
          <w:lang w:val="sr-Latn-BA"/>
        </w:rPr>
        <w:t>сарадњи</w:t>
      </w:r>
      <w:r w:rsidR="0020153C">
        <w:rPr>
          <w:rFonts w:ascii="Times New Roman" w:hAnsi="Times New Roman"/>
          <w:lang w:val="sr-Latn-BA"/>
        </w:rPr>
        <w:t xml:space="preserve"> </w:t>
      </w:r>
      <w:r>
        <w:rPr>
          <w:rFonts w:ascii="Times New Roman" w:hAnsi="Times New Roman"/>
          <w:lang w:val="sr-Latn-BA"/>
        </w:rPr>
        <w:t>са</w:t>
      </w:r>
      <w:r w:rsidR="00D50735" w:rsidRPr="00295637">
        <w:rPr>
          <w:rFonts w:ascii="Times New Roman" w:hAnsi="Times New Roman"/>
          <w:lang w:val="sr-Latn-BA"/>
        </w:rPr>
        <w:t xml:space="preserve"> </w:t>
      </w:r>
      <w:r>
        <w:rPr>
          <w:rFonts w:ascii="Times New Roman" w:hAnsi="Times New Roman"/>
          <w:lang w:val="sr-Latn-BA"/>
        </w:rPr>
        <w:t>ЦЕСТ</w:t>
      </w:r>
      <w:r w:rsidR="00D50735" w:rsidRPr="00295637">
        <w:rPr>
          <w:rFonts w:ascii="Times New Roman" w:hAnsi="Times New Roman"/>
          <w:lang w:val="sr-Latn-BA"/>
        </w:rPr>
        <w:t xml:space="preserve"> </w:t>
      </w:r>
      <w:r>
        <w:rPr>
          <w:rFonts w:ascii="Times New Roman" w:hAnsi="Times New Roman"/>
          <w:lang w:val="sr-Latn-BA"/>
        </w:rPr>
        <w:t>РС</w:t>
      </w:r>
      <w:r w:rsidR="00D50735" w:rsidRPr="00295637">
        <w:rPr>
          <w:rFonts w:ascii="Times New Roman" w:hAnsi="Times New Roman"/>
          <w:lang w:val="sr-Latn-BA"/>
        </w:rPr>
        <w:t xml:space="preserve">, </w:t>
      </w:r>
      <w:r>
        <w:rPr>
          <w:rFonts w:ascii="Times New Roman" w:hAnsi="Times New Roman"/>
          <w:lang w:val="sr-Latn-BA"/>
        </w:rPr>
        <w:t>о</w:t>
      </w:r>
      <w:r>
        <w:rPr>
          <w:rFonts w:ascii="Times New Roman" w:hAnsi="Times New Roman"/>
          <w:lang w:val="sr-Cyrl-BA"/>
        </w:rPr>
        <w:t>држа</w:t>
      </w:r>
      <w:r>
        <w:rPr>
          <w:rFonts w:ascii="Times New Roman" w:hAnsi="Times New Roman"/>
          <w:lang w:val="sr-Latn-BA"/>
        </w:rPr>
        <w:t>о</w:t>
      </w:r>
      <w:r w:rsidR="00D50735" w:rsidRPr="00295637">
        <w:rPr>
          <w:rFonts w:ascii="Times New Roman" w:hAnsi="Times New Roman"/>
          <w:lang w:val="sr-Latn-BA"/>
        </w:rPr>
        <w:t xml:space="preserve"> </w:t>
      </w:r>
      <w:r>
        <w:rPr>
          <w:rFonts w:ascii="Times New Roman" w:hAnsi="Times New Roman"/>
          <w:lang w:val="sr-Latn-BA"/>
        </w:rPr>
        <w:t>је</w:t>
      </w:r>
      <w:r w:rsidR="00D50735" w:rsidRPr="00295637">
        <w:rPr>
          <w:rFonts w:ascii="Times New Roman" w:hAnsi="Times New Roman"/>
          <w:lang w:val="sr-Cyrl-BA"/>
        </w:rPr>
        <w:t xml:space="preserve"> </w:t>
      </w:r>
      <w:r>
        <w:rPr>
          <w:rFonts w:ascii="Times New Roman" w:hAnsi="Times New Roman"/>
          <w:lang w:val="sr-Cyrl-BA"/>
        </w:rPr>
        <w:t>тродневн</w:t>
      </w:r>
      <w:r>
        <w:rPr>
          <w:rFonts w:ascii="Times New Roman" w:hAnsi="Times New Roman"/>
          <w:lang w:val="sr-Latn-BA"/>
        </w:rPr>
        <w:t>у</w:t>
      </w:r>
      <w:r w:rsidR="00D50735" w:rsidRPr="00295637">
        <w:rPr>
          <w:rFonts w:ascii="Times New Roman" w:hAnsi="Times New Roman"/>
          <w:lang w:val="sr-Cyrl-BA"/>
        </w:rPr>
        <w:t xml:space="preserve"> </w:t>
      </w:r>
      <w:r>
        <w:rPr>
          <w:rFonts w:ascii="Times New Roman" w:hAnsi="Times New Roman"/>
          <w:lang w:val="sr-Cyrl-BA"/>
        </w:rPr>
        <w:t>радиониц</w:t>
      </w:r>
      <w:r>
        <w:rPr>
          <w:rFonts w:ascii="Times New Roman" w:hAnsi="Times New Roman"/>
          <w:lang w:val="sr-Latn-BA"/>
        </w:rPr>
        <w:t>у</w:t>
      </w:r>
      <w:r w:rsidR="00D50735" w:rsidRPr="00295637">
        <w:rPr>
          <w:rFonts w:ascii="Times New Roman" w:hAnsi="Times New Roman"/>
          <w:lang w:val="sr-Cyrl-BA"/>
        </w:rPr>
        <w:t xml:space="preserve"> </w:t>
      </w:r>
      <w:r>
        <w:rPr>
          <w:rFonts w:ascii="Times New Roman" w:hAnsi="Times New Roman"/>
          <w:lang w:val="sr-Cyrl-BA"/>
        </w:rPr>
        <w:t>за</w:t>
      </w:r>
      <w:r w:rsidR="00D50735" w:rsidRPr="00295637">
        <w:rPr>
          <w:rFonts w:ascii="Times New Roman" w:hAnsi="Times New Roman"/>
          <w:lang w:val="sr-Cyrl-BA"/>
        </w:rPr>
        <w:t xml:space="preserve"> </w:t>
      </w:r>
      <w:r>
        <w:rPr>
          <w:rFonts w:ascii="Times New Roman" w:hAnsi="Times New Roman"/>
          <w:lang w:val="sr-Cyrl-BA"/>
        </w:rPr>
        <w:t>су</w:t>
      </w:r>
      <w:r>
        <w:rPr>
          <w:rFonts w:ascii="Times New Roman" w:hAnsi="Times New Roman"/>
          <w:lang w:val="hr-HR"/>
        </w:rPr>
        <w:t>дије</w:t>
      </w:r>
      <w:r w:rsidR="00D50735" w:rsidRPr="00295637">
        <w:rPr>
          <w:rFonts w:ascii="Times New Roman" w:hAnsi="Times New Roman"/>
          <w:lang w:val="sr-Cyrl-BA"/>
        </w:rPr>
        <w:t xml:space="preserve"> </w:t>
      </w:r>
      <w:r>
        <w:rPr>
          <w:rFonts w:ascii="Times New Roman" w:hAnsi="Times New Roman"/>
          <w:lang w:val="sr-Cyrl-BA"/>
        </w:rPr>
        <w:t>и</w:t>
      </w:r>
      <w:r w:rsidR="00D50735" w:rsidRPr="00295637">
        <w:rPr>
          <w:rFonts w:ascii="Times New Roman" w:hAnsi="Times New Roman"/>
          <w:lang w:val="sr-Cyrl-BA"/>
        </w:rPr>
        <w:t xml:space="preserve"> </w:t>
      </w:r>
      <w:r>
        <w:rPr>
          <w:rFonts w:ascii="Times New Roman" w:hAnsi="Times New Roman"/>
          <w:lang w:val="sr-Cyrl-BA"/>
        </w:rPr>
        <w:t>тужи</w:t>
      </w:r>
      <w:r>
        <w:rPr>
          <w:rFonts w:ascii="Times New Roman" w:hAnsi="Times New Roman"/>
          <w:lang w:val="hr-HR"/>
        </w:rPr>
        <w:t>оце</w:t>
      </w:r>
      <w:r w:rsidR="00D50735" w:rsidRPr="00295637">
        <w:rPr>
          <w:rFonts w:ascii="Times New Roman" w:hAnsi="Times New Roman"/>
          <w:lang w:val="sr-Cyrl-BA"/>
        </w:rPr>
        <w:t xml:space="preserve"> </w:t>
      </w:r>
      <w:r>
        <w:rPr>
          <w:rFonts w:ascii="Times New Roman" w:hAnsi="Times New Roman"/>
          <w:lang w:val="sr-Cyrl-BA"/>
        </w:rPr>
        <w:t>на</w:t>
      </w:r>
      <w:r w:rsidR="00D50735" w:rsidRPr="00295637">
        <w:rPr>
          <w:rFonts w:ascii="Times New Roman" w:hAnsi="Times New Roman"/>
          <w:lang w:val="sr-Cyrl-BA"/>
        </w:rPr>
        <w:t xml:space="preserve"> </w:t>
      </w:r>
      <w:r>
        <w:rPr>
          <w:rFonts w:ascii="Times New Roman" w:hAnsi="Times New Roman"/>
          <w:lang w:val="sr-Cyrl-BA"/>
        </w:rPr>
        <w:t>тему</w:t>
      </w:r>
      <w:r w:rsidR="00D50735" w:rsidRPr="00295637">
        <w:rPr>
          <w:rFonts w:ascii="Times New Roman" w:hAnsi="Times New Roman"/>
          <w:lang w:val="sr-Cyrl-BA"/>
        </w:rPr>
        <w:t xml:space="preserve"> „</w:t>
      </w:r>
      <w:r>
        <w:rPr>
          <w:rFonts w:ascii="Times New Roman" w:hAnsi="Times New Roman"/>
          <w:lang w:val="sr-Cyrl-BA"/>
        </w:rPr>
        <w:t>Откривање</w:t>
      </w:r>
      <w:r w:rsidR="00D50735" w:rsidRPr="00295637">
        <w:rPr>
          <w:rFonts w:ascii="Times New Roman" w:hAnsi="Times New Roman"/>
          <w:lang w:val="sr-Cyrl-BA"/>
        </w:rPr>
        <w:t xml:space="preserve"> </w:t>
      </w:r>
      <w:r>
        <w:rPr>
          <w:rFonts w:ascii="Times New Roman" w:hAnsi="Times New Roman"/>
          <w:lang w:val="sr-Cyrl-BA"/>
        </w:rPr>
        <w:t>и</w:t>
      </w:r>
      <w:r w:rsidR="00D50735" w:rsidRPr="00295637">
        <w:rPr>
          <w:rFonts w:ascii="Times New Roman" w:hAnsi="Times New Roman"/>
          <w:lang w:val="sr-Cyrl-BA"/>
        </w:rPr>
        <w:t xml:space="preserve"> </w:t>
      </w:r>
      <w:r>
        <w:rPr>
          <w:rFonts w:ascii="Times New Roman" w:hAnsi="Times New Roman"/>
          <w:lang w:val="sr-Cyrl-BA"/>
        </w:rPr>
        <w:t>гоњење</w:t>
      </w:r>
      <w:r w:rsidR="00D50735" w:rsidRPr="00295637">
        <w:rPr>
          <w:rFonts w:ascii="Times New Roman" w:hAnsi="Times New Roman"/>
          <w:lang w:val="sr-Cyrl-BA"/>
        </w:rPr>
        <w:t xml:space="preserve"> </w:t>
      </w:r>
      <w:r>
        <w:rPr>
          <w:rFonts w:ascii="Times New Roman" w:hAnsi="Times New Roman"/>
          <w:lang w:val="sr-Cyrl-BA"/>
        </w:rPr>
        <w:t>почини</w:t>
      </w:r>
      <w:r>
        <w:rPr>
          <w:rFonts w:ascii="Times New Roman" w:hAnsi="Times New Roman"/>
          <w:lang w:val="hr-HR"/>
        </w:rPr>
        <w:t>лаца</w:t>
      </w:r>
      <w:r w:rsidR="00D50735" w:rsidRPr="00295637">
        <w:rPr>
          <w:rFonts w:ascii="Times New Roman" w:hAnsi="Times New Roman"/>
          <w:lang w:val="sr-Cyrl-BA"/>
        </w:rPr>
        <w:t xml:space="preserve"> </w:t>
      </w:r>
      <w:r>
        <w:rPr>
          <w:rFonts w:ascii="Times New Roman" w:hAnsi="Times New Roman"/>
          <w:lang w:val="sr-Cyrl-BA"/>
        </w:rPr>
        <w:t>родно</w:t>
      </w:r>
      <w:r w:rsidR="00D50735" w:rsidRPr="00295637">
        <w:rPr>
          <w:rFonts w:ascii="Times New Roman" w:hAnsi="Times New Roman"/>
          <w:lang w:val="sr-Cyrl-BA"/>
        </w:rPr>
        <w:t xml:space="preserve"> </w:t>
      </w:r>
      <w:r>
        <w:rPr>
          <w:rFonts w:ascii="Times New Roman" w:hAnsi="Times New Roman"/>
          <w:lang w:val="hr-HR"/>
        </w:rPr>
        <w:t>заснованог</w:t>
      </w:r>
      <w:r w:rsidR="00D50735" w:rsidRPr="00295637">
        <w:rPr>
          <w:rFonts w:ascii="Times New Roman" w:hAnsi="Times New Roman"/>
          <w:lang w:val="sr-Cyrl-BA"/>
        </w:rPr>
        <w:t xml:space="preserve"> </w:t>
      </w:r>
      <w:r>
        <w:rPr>
          <w:rFonts w:ascii="Times New Roman" w:hAnsi="Times New Roman"/>
          <w:lang w:val="sr-Cyrl-BA"/>
        </w:rPr>
        <w:t>насиља</w:t>
      </w:r>
      <w:r w:rsidR="00D50735" w:rsidRPr="00295637">
        <w:rPr>
          <w:rFonts w:ascii="Times New Roman" w:hAnsi="Times New Roman"/>
          <w:lang w:val="sr-Cyrl-BA"/>
        </w:rPr>
        <w:t>“ – „</w:t>
      </w:r>
      <w:r>
        <w:rPr>
          <w:rFonts w:ascii="Times New Roman" w:hAnsi="Times New Roman"/>
          <w:lang w:val="sr-Cyrl-BA"/>
        </w:rPr>
        <w:t>Међународни</w:t>
      </w:r>
      <w:r w:rsidR="00D50735" w:rsidRPr="00295637">
        <w:rPr>
          <w:rFonts w:ascii="Times New Roman" w:hAnsi="Times New Roman"/>
          <w:lang w:val="sr-Cyrl-BA"/>
        </w:rPr>
        <w:t xml:space="preserve"> </w:t>
      </w:r>
      <w:r>
        <w:rPr>
          <w:rFonts w:ascii="Times New Roman" w:hAnsi="Times New Roman"/>
          <w:lang w:val="sr-Cyrl-BA"/>
        </w:rPr>
        <w:t>стандарди</w:t>
      </w:r>
      <w:r w:rsidR="00D50735" w:rsidRPr="00295637">
        <w:rPr>
          <w:rFonts w:ascii="Times New Roman" w:hAnsi="Times New Roman"/>
          <w:lang w:val="sr-Cyrl-BA"/>
        </w:rPr>
        <w:t xml:space="preserve">, </w:t>
      </w:r>
      <w:r>
        <w:rPr>
          <w:rFonts w:ascii="Times New Roman" w:hAnsi="Times New Roman"/>
          <w:lang w:val="sr-Cyrl-BA"/>
        </w:rPr>
        <w:t>нова</w:t>
      </w:r>
      <w:r w:rsidR="00D50735" w:rsidRPr="00295637">
        <w:rPr>
          <w:rFonts w:ascii="Times New Roman" w:hAnsi="Times New Roman"/>
          <w:lang w:val="sr-Cyrl-BA"/>
        </w:rPr>
        <w:t xml:space="preserve"> </w:t>
      </w:r>
      <w:r>
        <w:rPr>
          <w:rFonts w:ascii="Times New Roman" w:hAnsi="Times New Roman"/>
          <w:lang w:val="sr-Cyrl-BA"/>
        </w:rPr>
        <w:t>кривичноправна</w:t>
      </w:r>
      <w:r w:rsidR="00D50735" w:rsidRPr="00295637">
        <w:rPr>
          <w:rFonts w:ascii="Times New Roman" w:hAnsi="Times New Roman"/>
          <w:lang w:val="sr-Cyrl-BA"/>
        </w:rPr>
        <w:t xml:space="preserve"> </w:t>
      </w:r>
      <w:r>
        <w:rPr>
          <w:rFonts w:ascii="Times New Roman" w:hAnsi="Times New Roman"/>
          <w:lang w:val="sr-Cyrl-BA"/>
        </w:rPr>
        <w:t>рјешења</w:t>
      </w:r>
      <w:r w:rsidR="00D50735" w:rsidRPr="00295637">
        <w:rPr>
          <w:rFonts w:ascii="Times New Roman" w:hAnsi="Times New Roman"/>
          <w:lang w:val="sr-Cyrl-BA"/>
        </w:rPr>
        <w:t xml:space="preserve">, </w:t>
      </w:r>
      <w:r>
        <w:rPr>
          <w:rFonts w:ascii="Times New Roman" w:hAnsi="Times New Roman"/>
          <w:lang w:val="sr-Cyrl-BA"/>
        </w:rPr>
        <w:t>постојеће</w:t>
      </w:r>
      <w:r w:rsidR="00D50735" w:rsidRPr="00295637">
        <w:rPr>
          <w:rFonts w:ascii="Times New Roman" w:hAnsi="Times New Roman"/>
          <w:lang w:val="sr-Cyrl-BA"/>
        </w:rPr>
        <w:t xml:space="preserve"> </w:t>
      </w:r>
      <w:r>
        <w:rPr>
          <w:rFonts w:ascii="Times New Roman" w:hAnsi="Times New Roman"/>
          <w:lang w:val="sr-Cyrl-BA"/>
        </w:rPr>
        <w:t>праксе</w:t>
      </w:r>
      <w:r w:rsidR="00D50735" w:rsidRPr="00295637">
        <w:rPr>
          <w:rFonts w:ascii="Times New Roman" w:hAnsi="Times New Roman"/>
          <w:lang w:val="sr-Cyrl-BA"/>
        </w:rPr>
        <w:t xml:space="preserve"> </w:t>
      </w:r>
      <w:r>
        <w:rPr>
          <w:rFonts w:ascii="Times New Roman" w:hAnsi="Times New Roman"/>
          <w:lang w:val="sr-Cyrl-BA"/>
        </w:rPr>
        <w:t>и</w:t>
      </w:r>
      <w:r w:rsidR="00D50735" w:rsidRPr="00295637">
        <w:rPr>
          <w:rFonts w:ascii="Times New Roman" w:hAnsi="Times New Roman"/>
          <w:lang w:val="sr-Cyrl-BA"/>
        </w:rPr>
        <w:t xml:space="preserve"> </w:t>
      </w:r>
      <w:r>
        <w:rPr>
          <w:rFonts w:ascii="Times New Roman" w:hAnsi="Times New Roman"/>
          <w:lang w:val="sr-Cyrl-BA"/>
        </w:rPr>
        <w:t>преостали</w:t>
      </w:r>
      <w:r w:rsidR="00D50735" w:rsidRPr="00295637">
        <w:rPr>
          <w:rFonts w:ascii="Times New Roman" w:hAnsi="Times New Roman"/>
          <w:lang w:val="sr-Cyrl-BA"/>
        </w:rPr>
        <w:t xml:space="preserve"> </w:t>
      </w:r>
      <w:r>
        <w:rPr>
          <w:rFonts w:ascii="Times New Roman" w:hAnsi="Times New Roman"/>
          <w:lang w:val="sr-Cyrl-BA"/>
        </w:rPr>
        <w:t>изазови</w:t>
      </w:r>
      <w:r w:rsidR="00D50735" w:rsidRPr="00295637">
        <w:rPr>
          <w:rFonts w:ascii="Times New Roman" w:hAnsi="Times New Roman"/>
          <w:lang w:val="sr-Cyrl-BA"/>
        </w:rPr>
        <w:t xml:space="preserve">“ </w:t>
      </w:r>
      <w:r>
        <w:rPr>
          <w:rFonts w:ascii="Times New Roman" w:hAnsi="Times New Roman"/>
          <w:lang w:val="sr-Cyrl-BA"/>
        </w:rPr>
        <w:t>у</w:t>
      </w:r>
      <w:r w:rsidR="00D50735" w:rsidRPr="00295637">
        <w:rPr>
          <w:rFonts w:ascii="Times New Roman" w:hAnsi="Times New Roman"/>
          <w:lang w:val="sr-Cyrl-BA"/>
        </w:rPr>
        <w:t xml:space="preserve"> </w:t>
      </w:r>
      <w:r>
        <w:rPr>
          <w:rFonts w:ascii="Times New Roman" w:hAnsi="Times New Roman"/>
          <w:lang w:val="sr-Cyrl-BA"/>
        </w:rPr>
        <w:t>оквиру</w:t>
      </w:r>
      <w:r w:rsidR="00D50735" w:rsidRPr="00295637">
        <w:rPr>
          <w:rFonts w:ascii="Times New Roman" w:hAnsi="Times New Roman"/>
          <w:lang w:val="sr-Cyrl-BA"/>
        </w:rPr>
        <w:t xml:space="preserve"> </w:t>
      </w:r>
      <w:r>
        <w:rPr>
          <w:rFonts w:ascii="Times New Roman" w:hAnsi="Times New Roman"/>
          <w:lang w:val="sr-Cyrl-BA"/>
        </w:rPr>
        <w:t>пројекта</w:t>
      </w:r>
      <w:r w:rsidR="00D50735" w:rsidRPr="00295637">
        <w:rPr>
          <w:rFonts w:ascii="Times New Roman" w:hAnsi="Times New Roman"/>
          <w:lang w:val="sr-Cyrl-BA"/>
        </w:rPr>
        <w:t xml:space="preserve"> „</w:t>
      </w:r>
      <w:r>
        <w:rPr>
          <w:rFonts w:ascii="Times New Roman" w:hAnsi="Times New Roman"/>
          <w:lang w:val="sr-Cyrl-BA"/>
        </w:rPr>
        <w:t>ЕУ</w:t>
      </w:r>
      <w:r w:rsidR="00D50735" w:rsidRPr="00295637">
        <w:rPr>
          <w:rFonts w:ascii="Times New Roman" w:hAnsi="Times New Roman"/>
          <w:lang w:val="sr-Cyrl-BA"/>
        </w:rPr>
        <w:t xml:space="preserve"> </w:t>
      </w:r>
      <w:r>
        <w:rPr>
          <w:rFonts w:ascii="Times New Roman" w:hAnsi="Times New Roman"/>
          <w:lang w:val="sr-Cyrl-BA"/>
        </w:rPr>
        <w:t>за</w:t>
      </w:r>
      <w:r w:rsidR="00D50735" w:rsidRPr="00295637">
        <w:rPr>
          <w:rFonts w:ascii="Times New Roman" w:hAnsi="Times New Roman"/>
          <w:lang w:val="sr-Cyrl-BA"/>
        </w:rPr>
        <w:t xml:space="preserve"> </w:t>
      </w:r>
      <w:r>
        <w:rPr>
          <w:rFonts w:ascii="Times New Roman" w:hAnsi="Times New Roman"/>
          <w:lang w:val="sr-Cyrl-BA"/>
        </w:rPr>
        <w:t>људска</w:t>
      </w:r>
      <w:r w:rsidR="00D50735" w:rsidRPr="00295637">
        <w:rPr>
          <w:rFonts w:ascii="Times New Roman" w:hAnsi="Times New Roman"/>
          <w:lang w:val="sr-Cyrl-BA"/>
        </w:rPr>
        <w:t xml:space="preserve"> </w:t>
      </w:r>
      <w:r>
        <w:rPr>
          <w:rFonts w:ascii="Times New Roman" w:hAnsi="Times New Roman"/>
          <w:lang w:val="sr-Cyrl-BA"/>
        </w:rPr>
        <w:t>права</w:t>
      </w:r>
      <w:r w:rsidR="00D50735" w:rsidRPr="00295637">
        <w:rPr>
          <w:rFonts w:ascii="Times New Roman" w:hAnsi="Times New Roman"/>
          <w:lang w:val="sr-Cyrl-BA"/>
        </w:rPr>
        <w:t>“.</w:t>
      </w:r>
    </w:p>
    <w:p w:rsidR="00D50735" w:rsidRPr="00295637" w:rsidRDefault="00D50735" w:rsidP="0086268D">
      <w:pPr>
        <w:pStyle w:val="ListParagraph"/>
        <w:ind w:left="0"/>
        <w:jc w:val="both"/>
        <w:rPr>
          <w:rFonts w:ascii="Times New Roman" w:hAnsi="Times New Roman"/>
          <w:lang w:val="sr-Cyrl-BA"/>
        </w:rPr>
      </w:pPr>
    </w:p>
    <w:p w:rsidR="004D7654" w:rsidRPr="001420C0" w:rsidRDefault="00C6214E" w:rsidP="004D7654">
      <w:pPr>
        <w:pStyle w:val="ListParagraph"/>
        <w:ind w:left="0"/>
        <w:jc w:val="both"/>
        <w:rPr>
          <w:rFonts w:ascii="Times New Roman" w:hAnsi="Times New Roman"/>
          <w:lang w:val="sr-Cyrl-BA"/>
        </w:rPr>
      </w:pPr>
      <w:r>
        <w:rPr>
          <w:rFonts w:ascii="Times New Roman" w:hAnsi="Times New Roman"/>
          <w:lang w:val="sr-Cyrl-BA"/>
        </w:rPr>
        <w:t>ЦЈРП</w:t>
      </w:r>
      <w:r w:rsidR="004D7654">
        <w:rPr>
          <w:rFonts w:ascii="Times New Roman" w:hAnsi="Times New Roman"/>
          <w:lang w:val="sr-Latn-BA"/>
        </w:rPr>
        <w:t xml:space="preserve"> </w:t>
      </w:r>
      <w:r>
        <w:rPr>
          <w:rFonts w:ascii="Times New Roman" w:hAnsi="Times New Roman"/>
          <w:lang w:val="sr-Cyrl-BA"/>
        </w:rPr>
        <w:t>РС</w:t>
      </w:r>
      <w:r w:rsidR="004D7654" w:rsidRPr="001420C0">
        <w:rPr>
          <w:rFonts w:ascii="Times New Roman" w:hAnsi="Times New Roman"/>
          <w:lang w:val="sr-Cyrl-BA"/>
        </w:rPr>
        <w:t xml:space="preserve"> </w:t>
      </w:r>
      <w:r>
        <w:rPr>
          <w:rFonts w:ascii="Times New Roman" w:hAnsi="Times New Roman"/>
          <w:lang w:val="sr-Cyrl-BA"/>
        </w:rPr>
        <w:t>је</w:t>
      </w:r>
      <w:r w:rsidR="004D7654" w:rsidRPr="001420C0">
        <w:rPr>
          <w:rFonts w:ascii="Times New Roman" w:hAnsi="Times New Roman"/>
          <w:lang w:val="sr-Cyrl-BA"/>
        </w:rPr>
        <w:t xml:space="preserve"> </w:t>
      </w:r>
      <w:r>
        <w:rPr>
          <w:rFonts w:ascii="Times New Roman" w:hAnsi="Times New Roman"/>
          <w:lang w:val="sr-Cyrl-BA"/>
        </w:rPr>
        <w:t>одржао</w:t>
      </w:r>
      <w:r w:rsidR="004D7654" w:rsidRPr="001420C0">
        <w:rPr>
          <w:rFonts w:ascii="Times New Roman" w:hAnsi="Times New Roman"/>
          <w:lang w:val="sr-Cyrl-BA"/>
        </w:rPr>
        <w:t xml:space="preserve"> </w:t>
      </w:r>
      <w:r>
        <w:rPr>
          <w:rFonts w:ascii="Times New Roman" w:hAnsi="Times New Roman"/>
          <w:lang w:val="sr-Cyrl-BA"/>
        </w:rPr>
        <w:t>обуку</w:t>
      </w:r>
      <w:r w:rsidR="004D7654" w:rsidRPr="001420C0">
        <w:rPr>
          <w:rFonts w:ascii="Times New Roman" w:hAnsi="Times New Roman"/>
          <w:lang w:val="sr-Cyrl-BA"/>
        </w:rPr>
        <w:t xml:space="preserve"> </w:t>
      </w:r>
      <w:r>
        <w:rPr>
          <w:rFonts w:ascii="Times New Roman" w:hAnsi="Times New Roman"/>
          <w:lang w:val="sr-Cyrl-BA"/>
        </w:rPr>
        <w:t>о</w:t>
      </w:r>
      <w:r w:rsidR="004D7654" w:rsidRPr="001420C0">
        <w:rPr>
          <w:rFonts w:ascii="Times New Roman" w:hAnsi="Times New Roman"/>
          <w:lang w:val="sr-Cyrl-BA"/>
        </w:rPr>
        <w:t xml:space="preserve"> </w:t>
      </w:r>
      <w:r>
        <w:rPr>
          <w:rFonts w:ascii="Times New Roman" w:hAnsi="Times New Roman"/>
          <w:lang w:val="sr-Cyrl-BA"/>
        </w:rPr>
        <w:t>примјени</w:t>
      </w:r>
      <w:r w:rsidR="004D7654" w:rsidRPr="001420C0">
        <w:rPr>
          <w:rFonts w:ascii="Times New Roman" w:hAnsi="Times New Roman"/>
          <w:lang w:val="sr-Cyrl-BA"/>
        </w:rPr>
        <w:t xml:space="preserve"> </w:t>
      </w:r>
      <w:r>
        <w:rPr>
          <w:rFonts w:ascii="Times New Roman" w:hAnsi="Times New Roman"/>
          <w:lang w:val="sr-Cyrl-BA"/>
        </w:rPr>
        <w:t>стандарда</w:t>
      </w:r>
      <w:r w:rsidR="004D7654" w:rsidRPr="001420C0">
        <w:rPr>
          <w:rFonts w:ascii="Times New Roman" w:hAnsi="Times New Roman"/>
          <w:lang w:val="sr-Cyrl-BA"/>
        </w:rPr>
        <w:t xml:space="preserve"> </w:t>
      </w:r>
      <w:r>
        <w:rPr>
          <w:rFonts w:ascii="Times New Roman" w:hAnsi="Times New Roman"/>
          <w:lang w:val="sr-Cyrl-BA"/>
        </w:rPr>
        <w:t>за</w:t>
      </w:r>
      <w:r w:rsidR="004D7654" w:rsidRPr="001420C0">
        <w:rPr>
          <w:rFonts w:ascii="Times New Roman" w:hAnsi="Times New Roman"/>
          <w:lang w:val="sr-Cyrl-BA"/>
        </w:rPr>
        <w:t xml:space="preserve"> </w:t>
      </w:r>
      <w:r>
        <w:rPr>
          <w:rFonts w:ascii="Times New Roman" w:hAnsi="Times New Roman"/>
          <w:lang w:val="sr-Cyrl-BA"/>
        </w:rPr>
        <w:t>равноправност</w:t>
      </w:r>
      <w:r w:rsidR="004D7654" w:rsidRPr="001420C0">
        <w:rPr>
          <w:rFonts w:ascii="Times New Roman" w:hAnsi="Times New Roman"/>
          <w:lang w:val="sr-Cyrl-BA"/>
        </w:rPr>
        <w:t xml:space="preserve"> </w:t>
      </w:r>
      <w:r>
        <w:rPr>
          <w:rFonts w:ascii="Times New Roman" w:hAnsi="Times New Roman"/>
          <w:lang w:val="sr-Cyrl-BA"/>
        </w:rPr>
        <w:t>полова</w:t>
      </w:r>
      <w:r w:rsidR="004D7654" w:rsidRPr="001420C0">
        <w:rPr>
          <w:rFonts w:ascii="Times New Roman" w:hAnsi="Times New Roman"/>
          <w:lang w:val="sr-Cyrl-BA"/>
        </w:rPr>
        <w:t xml:space="preserve"> </w:t>
      </w:r>
      <w:r>
        <w:rPr>
          <w:rFonts w:ascii="Times New Roman" w:hAnsi="Times New Roman"/>
          <w:lang w:val="sr-Cyrl-BA"/>
        </w:rPr>
        <w:t>за</w:t>
      </w:r>
      <w:r w:rsidR="004D7654" w:rsidRPr="001420C0">
        <w:rPr>
          <w:rFonts w:ascii="Times New Roman" w:hAnsi="Times New Roman"/>
          <w:lang w:val="sr-Cyrl-BA"/>
        </w:rPr>
        <w:t xml:space="preserve"> </w:t>
      </w:r>
      <w:r>
        <w:rPr>
          <w:rFonts w:ascii="Times New Roman" w:hAnsi="Times New Roman"/>
          <w:lang w:val="sr-Cyrl-BA"/>
        </w:rPr>
        <w:t>новозапослене</w:t>
      </w:r>
      <w:r w:rsidR="004D7654" w:rsidRPr="001420C0">
        <w:rPr>
          <w:rFonts w:ascii="Times New Roman" w:hAnsi="Times New Roman"/>
          <w:lang w:val="sr-Cyrl-BA"/>
        </w:rPr>
        <w:t xml:space="preserve"> </w:t>
      </w:r>
      <w:r>
        <w:rPr>
          <w:rFonts w:ascii="Times New Roman" w:hAnsi="Times New Roman"/>
          <w:lang w:val="sr-Cyrl-BA"/>
        </w:rPr>
        <w:t>државне</w:t>
      </w:r>
      <w:r w:rsidR="004D7654" w:rsidRPr="001420C0">
        <w:rPr>
          <w:rFonts w:ascii="Times New Roman" w:hAnsi="Times New Roman"/>
          <w:lang w:val="sr-Cyrl-BA"/>
        </w:rPr>
        <w:t xml:space="preserve"> </w:t>
      </w:r>
      <w:r>
        <w:rPr>
          <w:rFonts w:ascii="Times New Roman" w:hAnsi="Times New Roman"/>
          <w:lang w:val="sr-Cyrl-BA"/>
        </w:rPr>
        <w:t>службенике</w:t>
      </w:r>
      <w:r w:rsidR="004D7654" w:rsidRPr="001420C0">
        <w:rPr>
          <w:rFonts w:ascii="Times New Roman" w:hAnsi="Times New Roman"/>
          <w:lang w:val="sr-Cyrl-BA"/>
        </w:rPr>
        <w:t xml:space="preserve"> </w:t>
      </w:r>
      <w:r>
        <w:rPr>
          <w:rFonts w:ascii="Times New Roman" w:hAnsi="Times New Roman"/>
          <w:lang w:val="sr-Cyrl-BA"/>
        </w:rPr>
        <w:t>у</w:t>
      </w:r>
      <w:r w:rsidR="004D7654" w:rsidRPr="001420C0">
        <w:rPr>
          <w:rFonts w:ascii="Times New Roman" w:hAnsi="Times New Roman"/>
          <w:lang w:val="sr-Cyrl-BA"/>
        </w:rPr>
        <w:t xml:space="preserve"> </w:t>
      </w:r>
      <w:r>
        <w:rPr>
          <w:rFonts w:ascii="Times New Roman" w:hAnsi="Times New Roman"/>
          <w:lang w:val="sr-Cyrl-BA"/>
        </w:rPr>
        <w:t>организацији</w:t>
      </w:r>
      <w:r w:rsidR="004D7654" w:rsidRPr="001420C0">
        <w:rPr>
          <w:rFonts w:ascii="Times New Roman" w:hAnsi="Times New Roman"/>
          <w:lang w:val="sr-Cyrl-BA"/>
        </w:rPr>
        <w:t xml:space="preserve"> </w:t>
      </w:r>
      <w:r>
        <w:rPr>
          <w:rFonts w:ascii="Times New Roman" w:hAnsi="Times New Roman"/>
          <w:lang w:val="sr-Cyrl-BA"/>
        </w:rPr>
        <w:t>А</w:t>
      </w:r>
      <w:r>
        <w:rPr>
          <w:rFonts w:ascii="Times New Roman" w:hAnsi="Times New Roman"/>
          <w:lang w:val="bs-Latn-BA"/>
        </w:rPr>
        <w:t>ДС</w:t>
      </w:r>
      <w:r w:rsidR="0020153C">
        <w:rPr>
          <w:rFonts w:ascii="Times New Roman" w:hAnsi="Times New Roman"/>
          <w:lang w:val="bs-Latn-BA"/>
        </w:rPr>
        <w:t xml:space="preserve"> </w:t>
      </w:r>
      <w:r>
        <w:rPr>
          <w:rFonts w:ascii="Times New Roman" w:hAnsi="Times New Roman"/>
          <w:lang w:val="bs-Latn-BA"/>
        </w:rPr>
        <w:t>БиХ</w:t>
      </w:r>
      <w:r w:rsidR="004D7654" w:rsidRPr="001420C0">
        <w:rPr>
          <w:rFonts w:ascii="Times New Roman" w:hAnsi="Times New Roman"/>
          <w:lang w:val="sr-Cyrl-BA"/>
        </w:rPr>
        <w:t>.</w:t>
      </w:r>
    </w:p>
    <w:p w:rsidR="00A86CBC" w:rsidRPr="00295637" w:rsidRDefault="00A86CBC" w:rsidP="0086268D">
      <w:pPr>
        <w:rPr>
          <w:rFonts w:ascii="Times New Roman" w:hAnsi="Times New Roman"/>
          <w:lang w:val="sr-Cyrl-BA"/>
        </w:rPr>
      </w:pPr>
    </w:p>
    <w:p w:rsidR="00356C2C" w:rsidRPr="00295637" w:rsidRDefault="00721E23" w:rsidP="00546EB7">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II</w:t>
      </w:r>
      <w:r w:rsidR="00546EB7">
        <w:rPr>
          <w:rFonts w:ascii="Times New Roman" w:hAnsi="Times New Roman" w:cs="Times New Roman"/>
          <w:b w:val="0"/>
          <w:lang w:val="bs-Latn-BA"/>
        </w:rPr>
        <w:t xml:space="preserve"> 5.2. </w:t>
      </w:r>
      <w:r w:rsidR="00C6214E">
        <w:rPr>
          <w:rFonts w:ascii="Times New Roman" w:hAnsi="Times New Roman" w:cs="Times New Roman"/>
          <w:b w:val="0"/>
          <w:lang w:val="bs-Latn-BA"/>
        </w:rPr>
        <w:t>Координација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подршка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институцијама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доношењу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програма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мјера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увођење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примјену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стандарда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укључујући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увођење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родно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одговорног</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буџетирања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планирању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извршењу</w:t>
      </w:r>
      <w:r w:rsidR="00356C2C" w:rsidRPr="00295637">
        <w:rPr>
          <w:rFonts w:ascii="Times New Roman" w:hAnsi="Times New Roman" w:cs="Times New Roman"/>
          <w:b w:val="0"/>
          <w:lang w:val="bs-Latn-BA"/>
        </w:rPr>
        <w:t xml:space="preserve"> </w:t>
      </w:r>
      <w:r>
        <w:rPr>
          <w:rFonts w:ascii="Times New Roman" w:hAnsi="Times New Roman" w:cs="Times New Roman"/>
          <w:b w:val="0"/>
          <w:lang w:val="sr-Cyrl-BA"/>
        </w:rPr>
        <w:t>буџета</w:t>
      </w:r>
      <w:r w:rsidR="00356C2C" w:rsidRPr="00295637">
        <w:rPr>
          <w:rFonts w:ascii="Times New Roman" w:hAnsi="Times New Roman" w:cs="Times New Roman"/>
          <w:b w:val="0"/>
          <w:lang w:val="bs-Latn-BA"/>
        </w:rPr>
        <w:t>.</w:t>
      </w:r>
    </w:p>
    <w:p w:rsidR="00A92736" w:rsidRPr="00295637" w:rsidRDefault="00A92736" w:rsidP="0086268D">
      <w:pPr>
        <w:rPr>
          <w:szCs w:val="24"/>
          <w:lang w:val="bs-Latn-BA"/>
        </w:rPr>
      </w:pPr>
    </w:p>
    <w:p w:rsidR="0017648A" w:rsidRDefault="00C6214E" w:rsidP="0086268D">
      <w:pPr>
        <w:jc w:val="both"/>
        <w:rPr>
          <w:rFonts w:ascii="Times New Roman" w:hAnsi="Times New Roman"/>
          <w:szCs w:val="24"/>
          <w:lang w:val="bs-Latn-BA"/>
        </w:rPr>
      </w:pPr>
      <w:r>
        <w:rPr>
          <w:rFonts w:ascii="Times New Roman" w:hAnsi="Times New Roman"/>
          <w:bCs/>
          <w:szCs w:val="24"/>
          <w:lang w:val="bs-Latn-BA"/>
        </w:rPr>
        <w:t>У</w:t>
      </w:r>
      <w:r w:rsidR="00E43851" w:rsidRPr="00295637">
        <w:rPr>
          <w:rFonts w:ascii="Times New Roman" w:hAnsi="Times New Roman"/>
          <w:bCs/>
          <w:szCs w:val="24"/>
          <w:lang w:val="bs-Latn-BA"/>
        </w:rPr>
        <w:t xml:space="preserve"> </w:t>
      </w:r>
      <w:r>
        <w:rPr>
          <w:rFonts w:ascii="Times New Roman" w:hAnsi="Times New Roman"/>
          <w:bCs/>
          <w:szCs w:val="24"/>
          <w:lang w:val="bs-Latn-BA"/>
        </w:rPr>
        <w:t>извјештајном</w:t>
      </w:r>
      <w:r w:rsidR="00E43851" w:rsidRPr="00295637">
        <w:rPr>
          <w:rFonts w:ascii="Times New Roman" w:hAnsi="Times New Roman"/>
          <w:bCs/>
          <w:szCs w:val="24"/>
          <w:lang w:val="bs-Latn-BA"/>
        </w:rPr>
        <w:t xml:space="preserve"> </w:t>
      </w:r>
      <w:r>
        <w:rPr>
          <w:rFonts w:ascii="Times New Roman" w:hAnsi="Times New Roman"/>
          <w:bCs/>
          <w:szCs w:val="24"/>
          <w:lang w:val="bs-Latn-BA"/>
        </w:rPr>
        <w:t>периоду</w:t>
      </w:r>
      <w:r w:rsidR="00E43851" w:rsidRPr="00295637">
        <w:rPr>
          <w:rFonts w:ascii="Times New Roman" w:hAnsi="Times New Roman"/>
          <w:bCs/>
          <w:szCs w:val="24"/>
          <w:lang w:val="bs-Latn-BA"/>
        </w:rPr>
        <w:t xml:space="preserve"> </w:t>
      </w:r>
      <w:r>
        <w:rPr>
          <w:rFonts w:ascii="Times New Roman" w:hAnsi="Times New Roman"/>
          <w:bCs/>
          <w:szCs w:val="24"/>
          <w:lang w:val="bs-Latn-BA"/>
        </w:rPr>
        <w:t>су</w:t>
      </w:r>
      <w:r w:rsidR="00E43851" w:rsidRPr="00295637">
        <w:rPr>
          <w:rFonts w:ascii="Times New Roman" w:hAnsi="Times New Roman"/>
          <w:bCs/>
          <w:szCs w:val="24"/>
          <w:lang w:val="bs-Latn-BA"/>
        </w:rPr>
        <w:t xml:space="preserve"> </w:t>
      </w:r>
      <w:r>
        <w:rPr>
          <w:rFonts w:ascii="Times New Roman" w:hAnsi="Times New Roman"/>
          <w:bCs/>
          <w:szCs w:val="24"/>
          <w:lang w:val="bs-Latn-BA"/>
        </w:rPr>
        <w:t>у</w:t>
      </w:r>
      <w:r w:rsidR="00E43851" w:rsidRPr="00295637">
        <w:rPr>
          <w:rFonts w:ascii="Times New Roman" w:hAnsi="Times New Roman"/>
          <w:bCs/>
          <w:szCs w:val="24"/>
          <w:lang w:val="bs-Latn-BA"/>
        </w:rPr>
        <w:t xml:space="preserve"> </w:t>
      </w:r>
      <w:r>
        <w:rPr>
          <w:rFonts w:ascii="Times New Roman" w:hAnsi="Times New Roman"/>
          <w:bCs/>
          <w:szCs w:val="24"/>
          <w:lang w:val="bs-Latn-BA"/>
        </w:rPr>
        <w:t>оквиру</w:t>
      </w:r>
      <w:r w:rsidR="00E43851" w:rsidRPr="00295637">
        <w:rPr>
          <w:rFonts w:ascii="Times New Roman" w:hAnsi="Times New Roman"/>
          <w:bCs/>
          <w:szCs w:val="24"/>
          <w:lang w:val="bs-Latn-BA"/>
        </w:rPr>
        <w:t xml:space="preserve"> </w:t>
      </w:r>
      <w:r>
        <w:rPr>
          <w:rFonts w:ascii="Times New Roman" w:hAnsi="Times New Roman"/>
          <w:bCs/>
          <w:szCs w:val="24"/>
          <w:lang w:val="bs-Latn-BA"/>
        </w:rPr>
        <w:t>АДС</w:t>
      </w:r>
      <w:r w:rsidR="009E54A2" w:rsidRPr="00295637">
        <w:rPr>
          <w:rFonts w:ascii="Times New Roman" w:hAnsi="Times New Roman"/>
          <w:bCs/>
          <w:szCs w:val="24"/>
          <w:lang w:val="bs-Latn-BA"/>
        </w:rPr>
        <w:t xml:space="preserve"> </w:t>
      </w:r>
      <w:r>
        <w:rPr>
          <w:rFonts w:ascii="Times New Roman" w:hAnsi="Times New Roman"/>
          <w:bCs/>
          <w:szCs w:val="24"/>
          <w:lang w:val="bs-Latn-BA"/>
        </w:rPr>
        <w:t>БиХ</w:t>
      </w:r>
      <w:r w:rsidR="009E54A2" w:rsidRPr="00295637">
        <w:rPr>
          <w:rFonts w:ascii="Times New Roman" w:hAnsi="Times New Roman"/>
          <w:bCs/>
          <w:szCs w:val="24"/>
          <w:lang w:val="bs-Latn-BA"/>
        </w:rPr>
        <w:t xml:space="preserve"> </w:t>
      </w:r>
      <w:r>
        <w:rPr>
          <w:rFonts w:ascii="Times New Roman" w:hAnsi="Times New Roman"/>
          <w:bCs/>
          <w:szCs w:val="24"/>
          <w:lang w:val="bs-Latn-BA"/>
        </w:rPr>
        <w:t>одржане</w:t>
      </w:r>
      <w:r w:rsidR="00E43851" w:rsidRPr="00295637">
        <w:rPr>
          <w:rFonts w:ascii="Times New Roman" w:hAnsi="Times New Roman"/>
          <w:bCs/>
          <w:szCs w:val="24"/>
          <w:lang w:val="bs-Latn-BA"/>
        </w:rPr>
        <w:t xml:space="preserve"> </w:t>
      </w:r>
      <w:r>
        <w:rPr>
          <w:rFonts w:ascii="Times New Roman" w:hAnsi="Times New Roman"/>
          <w:bCs/>
          <w:szCs w:val="24"/>
          <w:lang w:val="bs-Latn-BA"/>
        </w:rPr>
        <w:t>двије</w:t>
      </w:r>
      <w:r w:rsidR="00E43851" w:rsidRPr="00295637">
        <w:rPr>
          <w:rFonts w:ascii="Times New Roman" w:hAnsi="Times New Roman"/>
          <w:bCs/>
          <w:szCs w:val="24"/>
          <w:lang w:val="bs-Latn-BA"/>
        </w:rPr>
        <w:t xml:space="preserve"> </w:t>
      </w:r>
      <w:r>
        <w:rPr>
          <w:rFonts w:ascii="Times New Roman" w:hAnsi="Times New Roman"/>
          <w:bCs/>
          <w:szCs w:val="24"/>
          <w:lang w:val="bs-Latn-BA"/>
        </w:rPr>
        <w:t>обуке</w:t>
      </w:r>
      <w:r w:rsidR="00E43851" w:rsidRPr="00295637">
        <w:rPr>
          <w:rFonts w:ascii="Times New Roman" w:hAnsi="Times New Roman"/>
          <w:bCs/>
          <w:szCs w:val="24"/>
          <w:lang w:val="bs-Latn-BA"/>
        </w:rPr>
        <w:t xml:space="preserve"> </w:t>
      </w:r>
      <w:r>
        <w:rPr>
          <w:rFonts w:ascii="Times New Roman" w:hAnsi="Times New Roman"/>
          <w:bCs/>
          <w:szCs w:val="24"/>
          <w:lang w:val="bs-Latn-BA"/>
        </w:rPr>
        <w:t>на</w:t>
      </w:r>
      <w:r w:rsidR="00E43851" w:rsidRPr="00295637">
        <w:rPr>
          <w:rFonts w:ascii="Times New Roman" w:hAnsi="Times New Roman"/>
          <w:bCs/>
          <w:szCs w:val="24"/>
          <w:lang w:val="bs-Latn-BA"/>
        </w:rPr>
        <w:t xml:space="preserve"> </w:t>
      </w:r>
      <w:r>
        <w:rPr>
          <w:rFonts w:ascii="Times New Roman" w:hAnsi="Times New Roman"/>
          <w:bCs/>
          <w:szCs w:val="24"/>
          <w:lang w:val="bs-Latn-BA"/>
        </w:rPr>
        <w:t>тему</w:t>
      </w:r>
      <w:r w:rsidR="00E43851" w:rsidRPr="00295637">
        <w:rPr>
          <w:rFonts w:ascii="Times New Roman" w:hAnsi="Times New Roman"/>
          <w:bCs/>
          <w:szCs w:val="24"/>
          <w:lang w:val="bs-Latn-BA"/>
        </w:rPr>
        <w:t xml:space="preserve"> </w:t>
      </w:r>
      <w:r>
        <w:rPr>
          <w:rFonts w:ascii="Times New Roman" w:hAnsi="Times New Roman"/>
          <w:bCs/>
          <w:szCs w:val="24"/>
          <w:lang w:val="bs-Latn-BA"/>
        </w:rPr>
        <w:t>родно</w:t>
      </w:r>
      <w:r w:rsidR="00E43851" w:rsidRPr="00295637">
        <w:rPr>
          <w:rFonts w:ascii="Times New Roman" w:hAnsi="Times New Roman"/>
          <w:bCs/>
          <w:szCs w:val="24"/>
          <w:lang w:val="bs-Latn-BA"/>
        </w:rPr>
        <w:t xml:space="preserve"> </w:t>
      </w:r>
      <w:r>
        <w:rPr>
          <w:rFonts w:ascii="Times New Roman" w:hAnsi="Times New Roman"/>
          <w:bCs/>
          <w:szCs w:val="24"/>
          <w:lang w:val="bs-Latn-BA"/>
        </w:rPr>
        <w:t>одговорног</w:t>
      </w:r>
      <w:r w:rsidR="00E43851" w:rsidRPr="00295637">
        <w:rPr>
          <w:rFonts w:ascii="Times New Roman" w:hAnsi="Times New Roman"/>
          <w:bCs/>
          <w:szCs w:val="24"/>
          <w:lang w:val="bs-Latn-BA"/>
        </w:rPr>
        <w:t xml:space="preserve"> </w:t>
      </w:r>
      <w:r>
        <w:rPr>
          <w:rFonts w:ascii="Times New Roman" w:hAnsi="Times New Roman"/>
          <w:bCs/>
          <w:szCs w:val="24"/>
          <w:lang w:val="bs-Latn-BA"/>
        </w:rPr>
        <w:t>буџетирања</w:t>
      </w:r>
      <w:r w:rsidR="00546D65" w:rsidRPr="00295637">
        <w:rPr>
          <w:rFonts w:ascii="Times New Roman" w:hAnsi="Times New Roman"/>
          <w:bCs/>
          <w:szCs w:val="24"/>
          <w:lang w:val="bs-Latn-BA"/>
        </w:rPr>
        <w:t xml:space="preserve"> (</w:t>
      </w:r>
      <w:r>
        <w:rPr>
          <w:rFonts w:ascii="Times New Roman" w:hAnsi="Times New Roman"/>
          <w:bCs/>
          <w:szCs w:val="24"/>
          <w:lang w:val="bs-Latn-BA"/>
        </w:rPr>
        <w:t>РО</w:t>
      </w:r>
      <w:r w:rsidR="00721E23">
        <w:rPr>
          <w:rFonts w:ascii="Times New Roman" w:hAnsi="Times New Roman"/>
          <w:bCs/>
          <w:szCs w:val="24"/>
          <w:lang w:val="sr-Cyrl-BA"/>
        </w:rPr>
        <w:t>Б</w:t>
      </w:r>
      <w:r w:rsidR="00546D65" w:rsidRPr="00295637">
        <w:rPr>
          <w:rFonts w:ascii="Times New Roman" w:hAnsi="Times New Roman"/>
          <w:bCs/>
          <w:szCs w:val="24"/>
          <w:lang w:val="bs-Latn-BA"/>
        </w:rPr>
        <w:t>)</w:t>
      </w:r>
      <w:r w:rsidR="00E43851" w:rsidRPr="00295637">
        <w:rPr>
          <w:rFonts w:ascii="Times New Roman" w:hAnsi="Times New Roman"/>
          <w:bCs/>
          <w:szCs w:val="24"/>
          <w:lang w:val="bs-Latn-BA"/>
        </w:rPr>
        <w:t xml:space="preserve">, </w:t>
      </w:r>
      <w:r>
        <w:rPr>
          <w:rFonts w:ascii="Times New Roman" w:hAnsi="Times New Roman"/>
          <w:bCs/>
          <w:szCs w:val="24"/>
          <w:lang w:val="bs-Latn-BA"/>
        </w:rPr>
        <w:t>за</w:t>
      </w:r>
      <w:r w:rsidR="00E43851" w:rsidRPr="00295637">
        <w:rPr>
          <w:rFonts w:ascii="Times New Roman" w:hAnsi="Times New Roman"/>
          <w:bCs/>
          <w:szCs w:val="24"/>
          <w:lang w:val="bs-Latn-BA"/>
        </w:rPr>
        <w:t xml:space="preserve"> </w:t>
      </w:r>
      <w:r>
        <w:rPr>
          <w:rFonts w:ascii="Times New Roman" w:hAnsi="Times New Roman"/>
          <w:bCs/>
          <w:szCs w:val="24"/>
          <w:lang w:val="bs-Latn-BA"/>
        </w:rPr>
        <w:t>укупно</w:t>
      </w:r>
      <w:r w:rsidR="00E43851" w:rsidRPr="00295637">
        <w:rPr>
          <w:rFonts w:ascii="Times New Roman" w:hAnsi="Times New Roman"/>
          <w:bCs/>
          <w:szCs w:val="24"/>
          <w:lang w:val="bs-Latn-BA"/>
        </w:rPr>
        <w:t xml:space="preserve"> 22 </w:t>
      </w:r>
      <w:r>
        <w:rPr>
          <w:rFonts w:ascii="Times New Roman" w:hAnsi="Times New Roman"/>
          <w:bCs/>
          <w:szCs w:val="24"/>
          <w:lang w:val="bs-Latn-BA"/>
        </w:rPr>
        <w:t>полазника</w:t>
      </w:r>
      <w:r w:rsidR="00E43851" w:rsidRPr="00295637">
        <w:rPr>
          <w:rFonts w:ascii="Times New Roman" w:hAnsi="Times New Roman"/>
          <w:bCs/>
          <w:szCs w:val="24"/>
          <w:lang w:val="bs-Latn-BA"/>
        </w:rPr>
        <w:t>/</w:t>
      </w:r>
      <w:r>
        <w:rPr>
          <w:rFonts w:ascii="Times New Roman" w:hAnsi="Times New Roman"/>
          <w:bCs/>
          <w:szCs w:val="24"/>
          <w:lang w:val="bs-Latn-BA"/>
        </w:rPr>
        <w:t>ца</w:t>
      </w:r>
      <w:r w:rsidR="00E43851" w:rsidRPr="00295637">
        <w:rPr>
          <w:rFonts w:ascii="Times New Roman" w:hAnsi="Times New Roman"/>
          <w:bCs/>
          <w:szCs w:val="24"/>
          <w:lang w:val="bs-Latn-BA"/>
        </w:rPr>
        <w:t xml:space="preserve">. </w:t>
      </w:r>
      <w:r>
        <w:rPr>
          <w:rFonts w:ascii="Times New Roman" w:hAnsi="Times New Roman"/>
          <w:bCs/>
          <w:szCs w:val="24"/>
          <w:lang w:val="bs-Latn-BA"/>
        </w:rPr>
        <w:t>Поред</w:t>
      </w:r>
      <w:r w:rsidR="00E43851" w:rsidRPr="00295637">
        <w:rPr>
          <w:rFonts w:ascii="Times New Roman" w:hAnsi="Times New Roman"/>
          <w:bCs/>
          <w:szCs w:val="24"/>
          <w:lang w:val="bs-Latn-BA"/>
        </w:rPr>
        <w:t xml:space="preserve"> </w:t>
      </w:r>
      <w:r>
        <w:rPr>
          <w:rFonts w:ascii="Times New Roman" w:hAnsi="Times New Roman"/>
          <w:bCs/>
          <w:szCs w:val="24"/>
          <w:lang w:val="bs-Latn-BA"/>
        </w:rPr>
        <w:t>тога</w:t>
      </w:r>
      <w:r w:rsidR="00E43851" w:rsidRPr="00295637">
        <w:rPr>
          <w:rFonts w:ascii="Times New Roman" w:hAnsi="Times New Roman"/>
          <w:bCs/>
          <w:szCs w:val="24"/>
          <w:lang w:val="bs-Latn-BA"/>
        </w:rPr>
        <w:t xml:space="preserve">, </w:t>
      </w:r>
      <w:r>
        <w:rPr>
          <w:rFonts w:ascii="Times New Roman" w:hAnsi="Times New Roman"/>
          <w:bCs/>
          <w:szCs w:val="24"/>
          <w:lang w:val="bs-Latn-BA"/>
        </w:rPr>
        <w:t>у</w:t>
      </w:r>
      <w:r w:rsidR="007F29A9" w:rsidRPr="00295637">
        <w:rPr>
          <w:rFonts w:ascii="Times New Roman" w:hAnsi="Times New Roman"/>
          <w:bCs/>
          <w:szCs w:val="24"/>
          <w:lang w:val="bs-Latn-BA"/>
        </w:rPr>
        <w:t xml:space="preserve"> </w:t>
      </w:r>
      <w:r>
        <w:rPr>
          <w:rFonts w:ascii="Times New Roman" w:hAnsi="Times New Roman"/>
          <w:bCs/>
          <w:szCs w:val="24"/>
          <w:lang w:val="bs-Latn-BA"/>
        </w:rPr>
        <w:t>институцијама</w:t>
      </w:r>
      <w:r w:rsidR="007F29A9" w:rsidRPr="00295637">
        <w:rPr>
          <w:rFonts w:ascii="Times New Roman" w:hAnsi="Times New Roman"/>
          <w:bCs/>
          <w:szCs w:val="24"/>
          <w:lang w:val="bs-Latn-BA"/>
        </w:rPr>
        <w:t xml:space="preserve"> </w:t>
      </w:r>
      <w:r>
        <w:rPr>
          <w:rFonts w:ascii="Times New Roman" w:hAnsi="Times New Roman"/>
          <w:bCs/>
          <w:szCs w:val="24"/>
          <w:lang w:val="bs-Latn-BA"/>
        </w:rPr>
        <w:t>БиХ</w:t>
      </w:r>
      <w:r w:rsidR="007F29A9" w:rsidRPr="00295637">
        <w:rPr>
          <w:rFonts w:ascii="Times New Roman" w:hAnsi="Times New Roman"/>
          <w:bCs/>
          <w:szCs w:val="24"/>
          <w:lang w:val="bs-Latn-BA"/>
        </w:rPr>
        <w:t xml:space="preserve"> </w:t>
      </w:r>
      <w:r>
        <w:rPr>
          <w:rFonts w:ascii="Times New Roman" w:hAnsi="Times New Roman"/>
          <w:bCs/>
          <w:szCs w:val="24"/>
          <w:lang w:val="bs-Latn-BA"/>
        </w:rPr>
        <w:t>врши</w:t>
      </w:r>
      <w:r w:rsidR="007F29A9" w:rsidRPr="00295637">
        <w:rPr>
          <w:rFonts w:ascii="Times New Roman" w:hAnsi="Times New Roman"/>
          <w:bCs/>
          <w:szCs w:val="24"/>
          <w:lang w:val="bs-Latn-BA"/>
        </w:rPr>
        <w:t xml:space="preserve"> </w:t>
      </w:r>
      <w:r>
        <w:rPr>
          <w:rFonts w:ascii="Times New Roman" w:hAnsi="Times New Roman"/>
          <w:bCs/>
          <w:szCs w:val="24"/>
          <w:lang w:val="bs-Latn-BA"/>
        </w:rPr>
        <w:t>се</w:t>
      </w:r>
      <w:r w:rsidR="007F29A9" w:rsidRPr="00295637">
        <w:rPr>
          <w:rFonts w:ascii="Times New Roman" w:hAnsi="Times New Roman"/>
          <w:b/>
          <w:bCs/>
          <w:szCs w:val="24"/>
          <w:lang w:val="bs-Latn-BA"/>
        </w:rPr>
        <w:t xml:space="preserve"> </w:t>
      </w:r>
      <w:r>
        <w:rPr>
          <w:rFonts w:ascii="Times New Roman" w:hAnsi="Times New Roman"/>
          <w:szCs w:val="24"/>
          <w:lang w:val="bs-Latn-BA"/>
        </w:rPr>
        <w:t>континуирана</w:t>
      </w:r>
      <w:r w:rsidR="007F29A9" w:rsidRPr="00295637">
        <w:rPr>
          <w:rFonts w:ascii="Times New Roman" w:hAnsi="Times New Roman"/>
          <w:szCs w:val="24"/>
          <w:lang w:val="bs-Latn-BA"/>
        </w:rPr>
        <w:t xml:space="preserve"> </w:t>
      </w:r>
      <w:r>
        <w:rPr>
          <w:rFonts w:ascii="Times New Roman" w:hAnsi="Times New Roman"/>
          <w:szCs w:val="24"/>
          <w:lang w:val="bs-Latn-BA"/>
        </w:rPr>
        <w:t>обука</w:t>
      </w:r>
      <w:r w:rsidR="007F29A9" w:rsidRPr="00295637">
        <w:rPr>
          <w:rFonts w:ascii="Times New Roman" w:hAnsi="Times New Roman"/>
          <w:szCs w:val="24"/>
          <w:lang w:val="bs-Latn-BA"/>
        </w:rPr>
        <w:t xml:space="preserve"> </w:t>
      </w:r>
      <w:r>
        <w:rPr>
          <w:rFonts w:ascii="Times New Roman" w:hAnsi="Times New Roman"/>
          <w:szCs w:val="24"/>
          <w:lang w:val="bs-Latn-BA"/>
        </w:rPr>
        <w:t>о</w:t>
      </w:r>
      <w:r w:rsidR="007F29A9" w:rsidRPr="00295637">
        <w:rPr>
          <w:rFonts w:ascii="Times New Roman" w:hAnsi="Times New Roman"/>
          <w:szCs w:val="24"/>
          <w:lang w:val="bs-Latn-BA"/>
        </w:rPr>
        <w:t xml:space="preserve"> </w:t>
      </w:r>
      <w:r>
        <w:rPr>
          <w:rFonts w:ascii="Times New Roman" w:hAnsi="Times New Roman"/>
          <w:szCs w:val="24"/>
          <w:lang w:val="bs-Latn-BA"/>
        </w:rPr>
        <w:t>родно</w:t>
      </w:r>
      <w:r w:rsidR="007F29A9" w:rsidRPr="00295637">
        <w:rPr>
          <w:rFonts w:ascii="Times New Roman" w:hAnsi="Times New Roman"/>
          <w:szCs w:val="24"/>
          <w:lang w:val="bs-Latn-BA"/>
        </w:rPr>
        <w:t xml:space="preserve"> </w:t>
      </w:r>
      <w:r>
        <w:rPr>
          <w:rFonts w:ascii="Times New Roman" w:hAnsi="Times New Roman"/>
          <w:szCs w:val="24"/>
          <w:lang w:val="bs-Latn-BA"/>
        </w:rPr>
        <w:t>одговорном</w:t>
      </w:r>
      <w:r w:rsidR="007F29A9" w:rsidRPr="00295637">
        <w:rPr>
          <w:rFonts w:ascii="Times New Roman" w:hAnsi="Times New Roman"/>
          <w:szCs w:val="24"/>
          <w:lang w:val="bs-Latn-BA"/>
        </w:rPr>
        <w:t xml:space="preserve"> </w:t>
      </w:r>
      <w:r>
        <w:rPr>
          <w:rFonts w:ascii="Times New Roman" w:hAnsi="Times New Roman"/>
          <w:szCs w:val="24"/>
          <w:lang w:val="bs-Latn-BA"/>
        </w:rPr>
        <w:t>буџетирању</w:t>
      </w:r>
      <w:r w:rsidR="007F29A9" w:rsidRPr="00295637">
        <w:rPr>
          <w:rFonts w:ascii="Times New Roman" w:hAnsi="Times New Roman"/>
          <w:szCs w:val="24"/>
          <w:lang w:val="bs-Latn-BA"/>
        </w:rPr>
        <w:t xml:space="preserve"> </w:t>
      </w:r>
      <w:r w:rsidR="00721E23">
        <w:rPr>
          <w:rFonts w:ascii="Times New Roman" w:hAnsi="Times New Roman"/>
          <w:szCs w:val="24"/>
          <w:lang w:val="sr-Cyrl-BA"/>
        </w:rPr>
        <w:t>с</w:t>
      </w:r>
      <w:r w:rsidR="007F29A9" w:rsidRPr="00295637">
        <w:rPr>
          <w:rFonts w:ascii="Times New Roman" w:hAnsi="Times New Roman"/>
          <w:szCs w:val="24"/>
          <w:lang w:val="bs-Latn-BA"/>
        </w:rPr>
        <w:t xml:space="preserve"> </w:t>
      </w:r>
      <w:r>
        <w:rPr>
          <w:rFonts w:ascii="Times New Roman" w:hAnsi="Times New Roman"/>
          <w:szCs w:val="24"/>
          <w:lang w:val="bs-Latn-BA"/>
        </w:rPr>
        <w:t>циљ</w:t>
      </w:r>
      <w:r w:rsidR="00721E23">
        <w:rPr>
          <w:rFonts w:ascii="Times New Roman" w:hAnsi="Times New Roman"/>
          <w:szCs w:val="24"/>
          <w:lang w:val="sr-Cyrl-BA"/>
        </w:rPr>
        <w:t>ем</w:t>
      </w:r>
      <w:r w:rsidR="007F29A9" w:rsidRPr="00295637">
        <w:rPr>
          <w:rFonts w:ascii="Times New Roman" w:hAnsi="Times New Roman"/>
          <w:szCs w:val="24"/>
          <w:lang w:val="bs-Latn-BA"/>
        </w:rPr>
        <w:t xml:space="preserve"> </w:t>
      </w:r>
      <w:r>
        <w:rPr>
          <w:rFonts w:ascii="Times New Roman" w:hAnsi="Times New Roman"/>
          <w:szCs w:val="24"/>
          <w:lang w:val="bs-Latn-BA"/>
        </w:rPr>
        <w:t>усвајања</w:t>
      </w:r>
      <w:r w:rsidR="007F29A9" w:rsidRPr="00295637">
        <w:rPr>
          <w:rFonts w:ascii="Times New Roman" w:hAnsi="Times New Roman"/>
          <w:szCs w:val="24"/>
          <w:lang w:val="bs-Latn-BA"/>
        </w:rPr>
        <w:t xml:space="preserve"> </w:t>
      </w:r>
      <w:r>
        <w:rPr>
          <w:rFonts w:ascii="Times New Roman" w:hAnsi="Times New Roman"/>
          <w:szCs w:val="24"/>
          <w:lang w:val="bs-Latn-BA"/>
        </w:rPr>
        <w:t>аката</w:t>
      </w:r>
      <w:r w:rsidR="007F29A9" w:rsidRPr="00295637">
        <w:rPr>
          <w:rFonts w:ascii="Times New Roman" w:hAnsi="Times New Roman"/>
          <w:szCs w:val="24"/>
          <w:lang w:val="bs-Latn-BA"/>
        </w:rPr>
        <w:t xml:space="preserve"> </w:t>
      </w:r>
      <w:r>
        <w:rPr>
          <w:rFonts w:ascii="Times New Roman" w:hAnsi="Times New Roman"/>
          <w:szCs w:val="24"/>
          <w:lang w:val="bs-Latn-BA"/>
        </w:rPr>
        <w:t>и</w:t>
      </w:r>
      <w:r w:rsidR="007F29A9" w:rsidRPr="00295637">
        <w:rPr>
          <w:rFonts w:ascii="Times New Roman" w:hAnsi="Times New Roman"/>
          <w:szCs w:val="24"/>
          <w:lang w:val="bs-Latn-BA"/>
        </w:rPr>
        <w:t xml:space="preserve"> </w:t>
      </w:r>
      <w:r>
        <w:rPr>
          <w:rFonts w:ascii="Times New Roman" w:hAnsi="Times New Roman"/>
          <w:szCs w:val="24"/>
          <w:lang w:val="bs-Latn-BA"/>
        </w:rPr>
        <w:t>пракси</w:t>
      </w:r>
      <w:r w:rsidR="007F29A9" w:rsidRPr="00295637">
        <w:rPr>
          <w:rFonts w:ascii="Times New Roman" w:hAnsi="Times New Roman"/>
          <w:szCs w:val="24"/>
          <w:lang w:val="bs-Latn-BA"/>
        </w:rPr>
        <w:t xml:space="preserve"> </w:t>
      </w:r>
      <w:r>
        <w:rPr>
          <w:rFonts w:ascii="Times New Roman" w:hAnsi="Times New Roman"/>
          <w:szCs w:val="24"/>
          <w:lang w:val="bs-Latn-BA"/>
        </w:rPr>
        <w:t>родно</w:t>
      </w:r>
      <w:r w:rsidR="007F29A9" w:rsidRPr="00295637">
        <w:rPr>
          <w:rFonts w:ascii="Times New Roman" w:hAnsi="Times New Roman"/>
          <w:szCs w:val="24"/>
          <w:lang w:val="bs-Latn-BA"/>
        </w:rPr>
        <w:t xml:space="preserve"> </w:t>
      </w:r>
      <w:r>
        <w:rPr>
          <w:rFonts w:ascii="Times New Roman" w:hAnsi="Times New Roman"/>
          <w:szCs w:val="24"/>
          <w:lang w:val="bs-Latn-BA"/>
        </w:rPr>
        <w:t>одговорног</w:t>
      </w:r>
      <w:r w:rsidR="007F29A9" w:rsidRPr="00295637">
        <w:rPr>
          <w:rFonts w:ascii="Times New Roman" w:hAnsi="Times New Roman"/>
          <w:szCs w:val="24"/>
          <w:lang w:val="bs-Latn-BA"/>
        </w:rPr>
        <w:t xml:space="preserve"> </w:t>
      </w:r>
      <w:r>
        <w:rPr>
          <w:rFonts w:ascii="Times New Roman" w:hAnsi="Times New Roman"/>
          <w:szCs w:val="24"/>
          <w:lang w:val="bs-Latn-BA"/>
        </w:rPr>
        <w:t>буџетирања</w:t>
      </w:r>
      <w:r w:rsidR="00546D65" w:rsidRPr="00295637">
        <w:rPr>
          <w:rFonts w:ascii="Times New Roman" w:hAnsi="Times New Roman"/>
          <w:szCs w:val="24"/>
          <w:lang w:val="bs-Latn-BA"/>
        </w:rPr>
        <w:t xml:space="preserve"> </w:t>
      </w:r>
      <w:r>
        <w:rPr>
          <w:rFonts w:ascii="Times New Roman" w:hAnsi="Times New Roman"/>
          <w:szCs w:val="24"/>
          <w:lang w:val="bs-Latn-BA"/>
        </w:rPr>
        <w:t>у</w:t>
      </w:r>
      <w:r w:rsidR="00546D65" w:rsidRPr="00295637">
        <w:rPr>
          <w:rFonts w:ascii="Times New Roman" w:hAnsi="Times New Roman"/>
          <w:szCs w:val="24"/>
          <w:lang w:val="bs-Latn-BA"/>
        </w:rPr>
        <w:t xml:space="preserve"> </w:t>
      </w:r>
      <w:r>
        <w:rPr>
          <w:rFonts w:ascii="Times New Roman" w:hAnsi="Times New Roman"/>
          <w:szCs w:val="24"/>
          <w:lang w:val="bs-Latn-BA"/>
        </w:rPr>
        <w:t>институцијама</w:t>
      </w:r>
      <w:r w:rsidR="00703D68">
        <w:rPr>
          <w:rFonts w:ascii="Times New Roman" w:hAnsi="Times New Roman"/>
          <w:szCs w:val="24"/>
          <w:lang w:val="bs-Latn-BA"/>
        </w:rPr>
        <w:t xml:space="preserve"> </w:t>
      </w:r>
      <w:r>
        <w:rPr>
          <w:rFonts w:ascii="Times New Roman" w:hAnsi="Times New Roman"/>
          <w:szCs w:val="24"/>
          <w:lang w:val="bs-Latn-BA"/>
        </w:rPr>
        <w:t>БиХ</w:t>
      </w:r>
      <w:r w:rsidR="007F29A9" w:rsidRPr="00295637">
        <w:rPr>
          <w:rFonts w:ascii="Times New Roman" w:hAnsi="Times New Roman"/>
          <w:szCs w:val="24"/>
          <w:lang w:val="bs-Latn-BA"/>
        </w:rPr>
        <w:t xml:space="preserve"> </w:t>
      </w:r>
      <w:r>
        <w:rPr>
          <w:rFonts w:ascii="Times New Roman" w:hAnsi="Times New Roman"/>
          <w:szCs w:val="24"/>
          <w:lang w:val="bs-Latn-BA"/>
        </w:rPr>
        <w:t>путем</w:t>
      </w:r>
      <w:r w:rsidR="007F29A9" w:rsidRPr="00295637">
        <w:rPr>
          <w:rFonts w:ascii="Times New Roman" w:hAnsi="Times New Roman"/>
          <w:szCs w:val="24"/>
          <w:lang w:val="bs-Latn-BA"/>
        </w:rPr>
        <w:t xml:space="preserve"> </w:t>
      </w:r>
      <w:r>
        <w:rPr>
          <w:rFonts w:ascii="Times New Roman" w:hAnsi="Times New Roman"/>
          <w:szCs w:val="24"/>
          <w:lang w:val="bs-Latn-BA"/>
        </w:rPr>
        <w:t>ЛМС</w:t>
      </w:r>
      <w:r w:rsidR="007F29A9" w:rsidRPr="00295637">
        <w:rPr>
          <w:rFonts w:ascii="Times New Roman" w:hAnsi="Times New Roman"/>
          <w:szCs w:val="24"/>
          <w:lang w:val="bs-Latn-BA"/>
        </w:rPr>
        <w:t xml:space="preserve"> </w:t>
      </w:r>
      <w:r>
        <w:rPr>
          <w:rFonts w:ascii="Times New Roman" w:hAnsi="Times New Roman"/>
          <w:szCs w:val="24"/>
          <w:lang w:val="bs-Latn-BA"/>
        </w:rPr>
        <w:t>АДС</w:t>
      </w:r>
      <w:r w:rsidR="00050016">
        <w:rPr>
          <w:rFonts w:ascii="Times New Roman" w:hAnsi="Times New Roman"/>
          <w:szCs w:val="24"/>
          <w:lang w:val="bs-Latn-BA"/>
        </w:rPr>
        <w:t xml:space="preserve"> </w:t>
      </w:r>
      <w:r>
        <w:rPr>
          <w:rFonts w:ascii="Times New Roman" w:hAnsi="Times New Roman"/>
          <w:szCs w:val="24"/>
          <w:lang w:val="bs-Latn-BA"/>
        </w:rPr>
        <w:t>БиХ</w:t>
      </w:r>
      <w:r w:rsidR="007F29A9" w:rsidRPr="00295637">
        <w:rPr>
          <w:rFonts w:ascii="Times New Roman" w:hAnsi="Times New Roman"/>
          <w:szCs w:val="24"/>
          <w:lang w:val="bs-Latn-BA"/>
        </w:rPr>
        <w:t xml:space="preserve"> </w:t>
      </w:r>
      <w:r>
        <w:rPr>
          <w:rFonts w:ascii="Times New Roman" w:hAnsi="Times New Roman"/>
          <w:szCs w:val="24"/>
          <w:lang w:val="bs-Latn-BA"/>
        </w:rPr>
        <w:t>на</w:t>
      </w:r>
      <w:r w:rsidR="007F29A9" w:rsidRPr="00295637">
        <w:rPr>
          <w:rFonts w:ascii="Times New Roman" w:hAnsi="Times New Roman"/>
          <w:szCs w:val="24"/>
          <w:lang w:val="bs-Latn-BA"/>
        </w:rPr>
        <w:t xml:space="preserve"> </w:t>
      </w:r>
      <w:r>
        <w:rPr>
          <w:rFonts w:ascii="Times New Roman" w:hAnsi="Times New Roman"/>
          <w:szCs w:val="24"/>
          <w:lang w:val="bs-Latn-BA"/>
        </w:rPr>
        <w:t>којем</w:t>
      </w:r>
      <w:r w:rsidR="007F29A9" w:rsidRPr="00295637">
        <w:rPr>
          <w:rFonts w:ascii="Times New Roman" w:hAnsi="Times New Roman"/>
          <w:szCs w:val="24"/>
          <w:lang w:val="bs-Latn-BA"/>
        </w:rPr>
        <w:t xml:space="preserve"> </w:t>
      </w:r>
      <w:r>
        <w:rPr>
          <w:rFonts w:ascii="Times New Roman" w:hAnsi="Times New Roman"/>
          <w:szCs w:val="24"/>
          <w:lang w:val="bs-Latn-BA"/>
        </w:rPr>
        <w:t>је</w:t>
      </w:r>
      <w:r w:rsidR="007F29A9" w:rsidRPr="00295637">
        <w:rPr>
          <w:rFonts w:ascii="Times New Roman" w:hAnsi="Times New Roman"/>
          <w:szCs w:val="24"/>
          <w:lang w:val="bs-Latn-BA"/>
        </w:rPr>
        <w:t xml:space="preserve"> </w:t>
      </w:r>
      <w:r>
        <w:rPr>
          <w:rFonts w:ascii="Times New Roman" w:hAnsi="Times New Roman"/>
          <w:szCs w:val="24"/>
          <w:lang w:val="bs-Latn-BA"/>
        </w:rPr>
        <w:t>е</w:t>
      </w:r>
      <w:r w:rsidR="007F29A9" w:rsidRPr="00295637">
        <w:rPr>
          <w:rFonts w:ascii="Times New Roman" w:hAnsi="Times New Roman"/>
          <w:szCs w:val="24"/>
          <w:lang w:val="bs-Latn-BA"/>
        </w:rPr>
        <w:t>-</w:t>
      </w:r>
      <w:r>
        <w:rPr>
          <w:rFonts w:ascii="Times New Roman" w:hAnsi="Times New Roman"/>
          <w:szCs w:val="24"/>
          <w:lang w:val="bs-Latn-BA"/>
        </w:rPr>
        <w:t>курс</w:t>
      </w:r>
      <w:r w:rsidR="007F29A9" w:rsidRPr="00295637">
        <w:rPr>
          <w:rFonts w:ascii="Times New Roman" w:hAnsi="Times New Roman"/>
          <w:szCs w:val="24"/>
          <w:lang w:val="bs-Latn-BA"/>
        </w:rPr>
        <w:t xml:space="preserve"> </w:t>
      </w:r>
      <w:r w:rsidR="0088627C" w:rsidRPr="00295637">
        <w:rPr>
          <w:rFonts w:ascii="Times New Roman" w:hAnsi="Times New Roman"/>
          <w:szCs w:val="24"/>
          <w:lang w:val="bs-Latn-BA"/>
        </w:rPr>
        <w:t>„</w:t>
      </w:r>
      <w:r>
        <w:rPr>
          <w:rFonts w:ascii="Times New Roman" w:hAnsi="Times New Roman"/>
          <w:szCs w:val="24"/>
          <w:lang w:val="bs-Latn-BA"/>
        </w:rPr>
        <w:t>Родно</w:t>
      </w:r>
      <w:r w:rsidR="007F29A9" w:rsidRPr="00295637">
        <w:rPr>
          <w:rFonts w:ascii="Times New Roman" w:hAnsi="Times New Roman"/>
          <w:szCs w:val="24"/>
          <w:lang w:val="bs-Latn-BA"/>
        </w:rPr>
        <w:t xml:space="preserve"> </w:t>
      </w:r>
      <w:r>
        <w:rPr>
          <w:rFonts w:ascii="Times New Roman" w:hAnsi="Times New Roman"/>
          <w:szCs w:val="24"/>
          <w:lang w:val="bs-Latn-BA"/>
        </w:rPr>
        <w:t>одговорно</w:t>
      </w:r>
      <w:r w:rsidR="007F29A9" w:rsidRPr="00295637">
        <w:rPr>
          <w:rFonts w:ascii="Times New Roman" w:hAnsi="Times New Roman"/>
          <w:szCs w:val="24"/>
          <w:lang w:val="bs-Latn-BA"/>
        </w:rPr>
        <w:t xml:space="preserve"> </w:t>
      </w:r>
      <w:r>
        <w:rPr>
          <w:rFonts w:ascii="Times New Roman" w:hAnsi="Times New Roman"/>
          <w:szCs w:val="24"/>
          <w:lang w:val="bs-Latn-BA"/>
        </w:rPr>
        <w:t>буџетирање</w:t>
      </w:r>
      <w:r w:rsidR="0088627C" w:rsidRPr="00295637">
        <w:rPr>
          <w:rFonts w:ascii="Times New Roman" w:hAnsi="Times New Roman"/>
          <w:szCs w:val="24"/>
          <w:lang w:val="bs-Latn-BA"/>
        </w:rPr>
        <w:t>“</w:t>
      </w:r>
      <w:r w:rsidR="007F29A9" w:rsidRPr="00295637">
        <w:rPr>
          <w:rFonts w:ascii="Times New Roman" w:hAnsi="Times New Roman"/>
          <w:szCs w:val="24"/>
          <w:lang w:val="bs-Latn-BA"/>
        </w:rPr>
        <w:t xml:space="preserve">, </w:t>
      </w:r>
      <w:r>
        <w:rPr>
          <w:rFonts w:ascii="Times New Roman" w:hAnsi="Times New Roman"/>
          <w:szCs w:val="24"/>
          <w:lang w:val="bs-Latn-BA"/>
        </w:rPr>
        <w:t>отворен</w:t>
      </w:r>
      <w:r w:rsidR="007F29A9" w:rsidRPr="00295637">
        <w:rPr>
          <w:rFonts w:ascii="Times New Roman" w:hAnsi="Times New Roman"/>
          <w:szCs w:val="24"/>
          <w:lang w:val="bs-Latn-BA"/>
        </w:rPr>
        <w:t xml:space="preserve"> </w:t>
      </w:r>
      <w:r>
        <w:rPr>
          <w:rFonts w:ascii="Times New Roman" w:hAnsi="Times New Roman"/>
          <w:szCs w:val="24"/>
          <w:lang w:val="bs-Latn-BA"/>
        </w:rPr>
        <w:t>за</w:t>
      </w:r>
      <w:r w:rsidR="007F29A9" w:rsidRPr="00295637">
        <w:rPr>
          <w:rFonts w:ascii="Times New Roman" w:hAnsi="Times New Roman"/>
          <w:szCs w:val="24"/>
          <w:lang w:val="bs-Latn-BA"/>
        </w:rPr>
        <w:t xml:space="preserve"> </w:t>
      </w:r>
      <w:r>
        <w:rPr>
          <w:rFonts w:ascii="Times New Roman" w:hAnsi="Times New Roman"/>
          <w:szCs w:val="24"/>
          <w:lang w:val="bs-Latn-BA"/>
        </w:rPr>
        <w:t>похађање</w:t>
      </w:r>
      <w:r w:rsidR="007F29A9" w:rsidRPr="00295637">
        <w:rPr>
          <w:rFonts w:ascii="Times New Roman" w:hAnsi="Times New Roman"/>
          <w:szCs w:val="24"/>
          <w:lang w:val="bs-Latn-BA"/>
        </w:rPr>
        <w:t xml:space="preserve"> </w:t>
      </w:r>
      <w:r>
        <w:rPr>
          <w:rFonts w:ascii="Times New Roman" w:hAnsi="Times New Roman"/>
          <w:szCs w:val="24"/>
          <w:lang w:val="bs-Latn-BA"/>
        </w:rPr>
        <w:t>државним</w:t>
      </w:r>
      <w:r w:rsidR="007F29A9" w:rsidRPr="00295637">
        <w:rPr>
          <w:rFonts w:ascii="Times New Roman" w:hAnsi="Times New Roman"/>
          <w:szCs w:val="24"/>
          <w:lang w:val="bs-Latn-BA"/>
        </w:rPr>
        <w:t xml:space="preserve"> </w:t>
      </w:r>
      <w:r>
        <w:rPr>
          <w:rFonts w:ascii="Times New Roman" w:hAnsi="Times New Roman"/>
          <w:szCs w:val="24"/>
          <w:lang w:val="bs-Latn-BA"/>
        </w:rPr>
        <w:t>службеницима</w:t>
      </w:r>
      <w:r w:rsidR="007F29A9" w:rsidRPr="00295637">
        <w:rPr>
          <w:rFonts w:ascii="Times New Roman" w:hAnsi="Times New Roman"/>
          <w:szCs w:val="24"/>
          <w:lang w:val="bs-Latn-BA"/>
        </w:rPr>
        <w:t>/</w:t>
      </w:r>
      <w:r>
        <w:rPr>
          <w:rFonts w:ascii="Times New Roman" w:hAnsi="Times New Roman"/>
          <w:szCs w:val="24"/>
          <w:lang w:val="bs-Latn-BA"/>
        </w:rPr>
        <w:t>цама</w:t>
      </w:r>
      <w:r w:rsidR="007F29A9" w:rsidRPr="00295637">
        <w:rPr>
          <w:rFonts w:ascii="Times New Roman" w:hAnsi="Times New Roman"/>
          <w:szCs w:val="24"/>
          <w:lang w:val="bs-Latn-BA"/>
        </w:rPr>
        <w:t xml:space="preserve"> </w:t>
      </w:r>
      <w:r>
        <w:rPr>
          <w:rFonts w:ascii="Times New Roman" w:hAnsi="Times New Roman"/>
          <w:szCs w:val="24"/>
          <w:lang w:val="bs-Latn-BA"/>
        </w:rPr>
        <w:t>и</w:t>
      </w:r>
      <w:r w:rsidR="007F29A9" w:rsidRPr="00295637">
        <w:rPr>
          <w:rFonts w:ascii="Times New Roman" w:hAnsi="Times New Roman"/>
          <w:szCs w:val="24"/>
          <w:lang w:val="bs-Latn-BA"/>
        </w:rPr>
        <w:t xml:space="preserve"> </w:t>
      </w:r>
      <w:r>
        <w:rPr>
          <w:rFonts w:ascii="Times New Roman" w:hAnsi="Times New Roman"/>
          <w:szCs w:val="24"/>
          <w:lang w:val="bs-Latn-BA"/>
        </w:rPr>
        <w:t>другим</w:t>
      </w:r>
      <w:r w:rsidR="007F29A9" w:rsidRPr="00295637">
        <w:rPr>
          <w:rFonts w:ascii="Times New Roman" w:hAnsi="Times New Roman"/>
          <w:szCs w:val="24"/>
          <w:lang w:val="bs-Latn-BA"/>
        </w:rPr>
        <w:t xml:space="preserve"> </w:t>
      </w:r>
      <w:r>
        <w:rPr>
          <w:rFonts w:ascii="Times New Roman" w:hAnsi="Times New Roman"/>
          <w:szCs w:val="24"/>
          <w:lang w:val="bs-Latn-BA"/>
        </w:rPr>
        <w:t>категоријама</w:t>
      </w:r>
      <w:r w:rsidR="007F29A9" w:rsidRPr="00295637">
        <w:rPr>
          <w:rFonts w:ascii="Times New Roman" w:hAnsi="Times New Roman"/>
          <w:szCs w:val="24"/>
          <w:lang w:val="bs-Latn-BA"/>
        </w:rPr>
        <w:t xml:space="preserve"> </w:t>
      </w:r>
      <w:r>
        <w:rPr>
          <w:rFonts w:ascii="Times New Roman" w:hAnsi="Times New Roman"/>
          <w:szCs w:val="24"/>
          <w:lang w:val="bs-Latn-BA"/>
        </w:rPr>
        <w:t>запослених</w:t>
      </w:r>
      <w:r w:rsidR="007F29A9" w:rsidRPr="00295637">
        <w:rPr>
          <w:rFonts w:ascii="Times New Roman" w:hAnsi="Times New Roman"/>
          <w:szCs w:val="24"/>
          <w:lang w:val="bs-Latn-BA"/>
        </w:rPr>
        <w:t xml:space="preserve"> </w:t>
      </w:r>
      <w:r>
        <w:rPr>
          <w:rFonts w:ascii="Times New Roman" w:hAnsi="Times New Roman"/>
          <w:szCs w:val="24"/>
          <w:lang w:val="bs-Latn-BA"/>
        </w:rPr>
        <w:t>у</w:t>
      </w:r>
      <w:r w:rsidR="007F29A9" w:rsidRPr="00295637">
        <w:rPr>
          <w:rFonts w:ascii="Times New Roman" w:hAnsi="Times New Roman"/>
          <w:szCs w:val="24"/>
          <w:lang w:val="bs-Latn-BA"/>
        </w:rPr>
        <w:t xml:space="preserve"> </w:t>
      </w:r>
      <w:r>
        <w:rPr>
          <w:rFonts w:ascii="Times New Roman" w:hAnsi="Times New Roman"/>
          <w:szCs w:val="24"/>
          <w:lang w:val="bs-Latn-BA"/>
        </w:rPr>
        <w:t>институцијама</w:t>
      </w:r>
      <w:r w:rsidR="007F29A9" w:rsidRPr="00295637">
        <w:rPr>
          <w:rFonts w:ascii="Times New Roman" w:hAnsi="Times New Roman"/>
          <w:szCs w:val="24"/>
          <w:lang w:val="bs-Latn-BA"/>
        </w:rPr>
        <w:t xml:space="preserve"> </w:t>
      </w:r>
      <w:r>
        <w:rPr>
          <w:rFonts w:ascii="Times New Roman" w:hAnsi="Times New Roman"/>
          <w:szCs w:val="24"/>
          <w:lang w:val="bs-Latn-BA"/>
        </w:rPr>
        <w:t>БиХ</w:t>
      </w:r>
      <w:r w:rsidR="007F29A9" w:rsidRPr="00295637">
        <w:rPr>
          <w:rFonts w:ascii="Times New Roman" w:hAnsi="Times New Roman"/>
          <w:szCs w:val="24"/>
          <w:lang w:val="bs-Latn-BA"/>
        </w:rPr>
        <w:t xml:space="preserve"> </w:t>
      </w:r>
      <w:r>
        <w:rPr>
          <w:rFonts w:ascii="Times New Roman" w:hAnsi="Times New Roman"/>
          <w:szCs w:val="24"/>
          <w:lang w:val="bs-Latn-BA"/>
        </w:rPr>
        <w:t>и</w:t>
      </w:r>
      <w:r w:rsidR="007F29A9" w:rsidRPr="00295637">
        <w:rPr>
          <w:rFonts w:ascii="Times New Roman" w:hAnsi="Times New Roman"/>
          <w:szCs w:val="24"/>
          <w:lang w:val="bs-Latn-BA"/>
        </w:rPr>
        <w:t xml:space="preserve"> </w:t>
      </w:r>
      <w:r>
        <w:rPr>
          <w:rFonts w:ascii="Times New Roman" w:hAnsi="Times New Roman"/>
          <w:szCs w:val="24"/>
          <w:lang w:val="bs-Latn-BA"/>
        </w:rPr>
        <w:t>свим</w:t>
      </w:r>
      <w:r w:rsidR="007F29A9" w:rsidRPr="00295637">
        <w:rPr>
          <w:rFonts w:ascii="Times New Roman" w:hAnsi="Times New Roman"/>
          <w:szCs w:val="24"/>
          <w:lang w:val="bs-Latn-BA"/>
        </w:rPr>
        <w:t xml:space="preserve"> </w:t>
      </w:r>
      <w:r>
        <w:rPr>
          <w:rFonts w:ascii="Times New Roman" w:hAnsi="Times New Roman"/>
          <w:szCs w:val="24"/>
          <w:lang w:val="bs-Latn-BA"/>
        </w:rPr>
        <w:t>осталим</w:t>
      </w:r>
      <w:r w:rsidR="007F29A9" w:rsidRPr="00295637">
        <w:rPr>
          <w:rFonts w:ascii="Times New Roman" w:hAnsi="Times New Roman"/>
          <w:szCs w:val="24"/>
          <w:lang w:val="bs-Latn-BA"/>
        </w:rPr>
        <w:t xml:space="preserve"> </w:t>
      </w:r>
      <w:r>
        <w:rPr>
          <w:rFonts w:ascii="Times New Roman" w:hAnsi="Times New Roman"/>
          <w:szCs w:val="24"/>
          <w:lang w:val="bs-Latn-BA"/>
        </w:rPr>
        <w:t>заинтерес</w:t>
      </w:r>
      <w:r w:rsidR="00721E23">
        <w:rPr>
          <w:rFonts w:ascii="Times New Roman" w:hAnsi="Times New Roman"/>
          <w:szCs w:val="24"/>
          <w:lang w:val="sr-Cyrl-BA"/>
        </w:rPr>
        <w:t>ованим</w:t>
      </w:r>
      <w:r w:rsidR="007F29A9" w:rsidRPr="00295637">
        <w:rPr>
          <w:rFonts w:ascii="Times New Roman" w:hAnsi="Times New Roman"/>
          <w:szCs w:val="24"/>
          <w:lang w:val="bs-Latn-BA"/>
        </w:rPr>
        <w:t>.</w:t>
      </w:r>
    </w:p>
    <w:p w:rsidR="00485AB7" w:rsidRDefault="00485AB7" w:rsidP="0086268D">
      <w:pPr>
        <w:jc w:val="both"/>
        <w:rPr>
          <w:rFonts w:ascii="Times New Roman" w:hAnsi="Times New Roman"/>
          <w:szCs w:val="24"/>
          <w:lang w:val="bs-Latn-BA"/>
        </w:rPr>
      </w:pPr>
    </w:p>
    <w:p w:rsidR="0088627C" w:rsidRPr="00295637" w:rsidRDefault="00C6214E" w:rsidP="0086268D">
      <w:pPr>
        <w:jc w:val="both"/>
        <w:rPr>
          <w:rFonts w:ascii="Times New Roman" w:hAnsi="Times New Roman"/>
          <w:szCs w:val="24"/>
          <w:lang w:val="bs-Latn-BA"/>
        </w:rPr>
      </w:pPr>
      <w:r>
        <w:rPr>
          <w:rFonts w:ascii="Times New Roman" w:hAnsi="Times New Roman"/>
          <w:szCs w:val="24"/>
          <w:lang w:val="bs-Latn-BA"/>
        </w:rPr>
        <w:t>Унапријеђена</w:t>
      </w:r>
      <w:r w:rsidR="008F3EB7" w:rsidRPr="00295637">
        <w:rPr>
          <w:rFonts w:ascii="Times New Roman" w:hAnsi="Times New Roman"/>
          <w:szCs w:val="24"/>
          <w:lang w:val="bs-Latn-BA"/>
        </w:rPr>
        <w:t xml:space="preserve"> </w:t>
      </w:r>
      <w:r>
        <w:rPr>
          <w:rFonts w:ascii="Times New Roman" w:hAnsi="Times New Roman"/>
          <w:szCs w:val="24"/>
          <w:lang w:val="bs-Latn-BA"/>
        </w:rPr>
        <w:t>је</w:t>
      </w:r>
      <w:r w:rsidR="008F3EB7" w:rsidRPr="00295637">
        <w:rPr>
          <w:rFonts w:ascii="Times New Roman" w:hAnsi="Times New Roman"/>
          <w:szCs w:val="24"/>
          <w:lang w:val="bs-Latn-BA"/>
        </w:rPr>
        <w:t xml:space="preserve"> </w:t>
      </w:r>
      <w:r>
        <w:rPr>
          <w:rFonts w:ascii="Times New Roman" w:hAnsi="Times New Roman"/>
          <w:szCs w:val="24"/>
          <w:lang w:val="bs-Latn-BA"/>
        </w:rPr>
        <w:t>Методологија</w:t>
      </w:r>
      <w:r w:rsidR="008F3EB7" w:rsidRPr="00295637">
        <w:rPr>
          <w:rFonts w:ascii="Times New Roman" w:hAnsi="Times New Roman"/>
          <w:szCs w:val="24"/>
          <w:lang w:val="bs-Latn-BA"/>
        </w:rPr>
        <w:t xml:space="preserve"> </w:t>
      </w:r>
      <w:r w:rsidR="00721E23">
        <w:rPr>
          <w:rFonts w:ascii="Times New Roman" w:hAnsi="Times New Roman"/>
          <w:szCs w:val="24"/>
          <w:lang w:val="sr-Cyrl-BA"/>
        </w:rPr>
        <w:t>спровођења</w:t>
      </w:r>
      <w:r w:rsidR="008F3EB7" w:rsidRPr="00295637">
        <w:rPr>
          <w:rFonts w:ascii="Times New Roman" w:hAnsi="Times New Roman"/>
          <w:szCs w:val="24"/>
          <w:lang w:val="bs-Latn-BA"/>
        </w:rPr>
        <w:t xml:space="preserve"> </w:t>
      </w:r>
      <w:r>
        <w:rPr>
          <w:rFonts w:ascii="Times New Roman" w:hAnsi="Times New Roman"/>
          <w:szCs w:val="24"/>
          <w:lang w:val="bs-Latn-BA"/>
        </w:rPr>
        <w:t>родно</w:t>
      </w:r>
      <w:r w:rsidR="008F3EB7" w:rsidRPr="00295637">
        <w:rPr>
          <w:rFonts w:ascii="Times New Roman" w:hAnsi="Times New Roman"/>
          <w:szCs w:val="24"/>
          <w:lang w:val="bs-Latn-BA"/>
        </w:rPr>
        <w:t xml:space="preserve"> </w:t>
      </w:r>
      <w:r>
        <w:rPr>
          <w:rFonts w:ascii="Times New Roman" w:hAnsi="Times New Roman"/>
          <w:szCs w:val="24"/>
          <w:lang w:val="bs-Latn-BA"/>
        </w:rPr>
        <w:t>одговорног</w:t>
      </w:r>
      <w:r w:rsidR="008F3EB7" w:rsidRPr="00295637">
        <w:rPr>
          <w:rFonts w:ascii="Times New Roman" w:hAnsi="Times New Roman"/>
          <w:szCs w:val="24"/>
          <w:lang w:val="bs-Latn-BA"/>
        </w:rPr>
        <w:t xml:space="preserve"> </w:t>
      </w:r>
      <w:r>
        <w:rPr>
          <w:rFonts w:ascii="Times New Roman" w:hAnsi="Times New Roman"/>
          <w:szCs w:val="24"/>
          <w:lang w:val="bs-Latn-BA"/>
        </w:rPr>
        <w:t>буџетирања</w:t>
      </w:r>
      <w:r w:rsidR="008F3EB7" w:rsidRPr="00295637">
        <w:rPr>
          <w:rFonts w:ascii="Times New Roman" w:hAnsi="Times New Roman"/>
          <w:szCs w:val="24"/>
          <w:lang w:val="bs-Latn-BA"/>
        </w:rPr>
        <w:t xml:space="preserve"> </w:t>
      </w:r>
      <w:r>
        <w:rPr>
          <w:rFonts w:ascii="Times New Roman" w:hAnsi="Times New Roman"/>
          <w:szCs w:val="24"/>
          <w:lang w:val="bs-Latn-BA"/>
        </w:rPr>
        <w:t>у</w:t>
      </w:r>
      <w:r w:rsidR="008F3EB7" w:rsidRPr="00295637">
        <w:rPr>
          <w:rFonts w:ascii="Times New Roman" w:hAnsi="Times New Roman"/>
          <w:szCs w:val="24"/>
          <w:lang w:val="bs-Latn-BA"/>
        </w:rPr>
        <w:t xml:space="preserve"> </w:t>
      </w:r>
      <w:r>
        <w:rPr>
          <w:rFonts w:ascii="Times New Roman" w:hAnsi="Times New Roman"/>
          <w:szCs w:val="24"/>
          <w:lang w:val="bs-Latn-BA"/>
        </w:rPr>
        <w:t>министарствима</w:t>
      </w:r>
      <w:r w:rsidR="0020153C">
        <w:rPr>
          <w:rFonts w:ascii="Times New Roman" w:hAnsi="Times New Roman"/>
          <w:szCs w:val="24"/>
          <w:lang w:val="bs-Latn-BA"/>
        </w:rPr>
        <w:t xml:space="preserve"> </w:t>
      </w:r>
      <w:r>
        <w:rPr>
          <w:rFonts w:ascii="Times New Roman" w:hAnsi="Times New Roman"/>
          <w:szCs w:val="24"/>
          <w:lang w:val="bs-Latn-BA"/>
        </w:rPr>
        <w:t>и</w:t>
      </w:r>
      <w:r w:rsidR="0020153C">
        <w:rPr>
          <w:rFonts w:ascii="Times New Roman" w:hAnsi="Times New Roman"/>
          <w:szCs w:val="24"/>
          <w:lang w:val="bs-Latn-BA"/>
        </w:rPr>
        <w:t xml:space="preserve"> </w:t>
      </w:r>
      <w:r>
        <w:rPr>
          <w:rFonts w:ascii="Times New Roman" w:hAnsi="Times New Roman"/>
          <w:szCs w:val="24"/>
          <w:lang w:val="bs-Latn-BA"/>
        </w:rPr>
        <w:t>институцијама</w:t>
      </w:r>
      <w:r w:rsidR="0020153C">
        <w:rPr>
          <w:rFonts w:ascii="Times New Roman" w:hAnsi="Times New Roman"/>
          <w:szCs w:val="24"/>
          <w:lang w:val="bs-Latn-BA"/>
        </w:rPr>
        <w:t xml:space="preserve"> </w:t>
      </w:r>
      <w:r>
        <w:rPr>
          <w:rFonts w:ascii="Times New Roman" w:hAnsi="Times New Roman"/>
          <w:szCs w:val="24"/>
          <w:lang w:val="bs-Latn-BA"/>
        </w:rPr>
        <w:t>ФБиХ</w:t>
      </w:r>
      <w:r w:rsidR="008F3EB7" w:rsidRPr="00295637">
        <w:rPr>
          <w:rFonts w:ascii="Times New Roman" w:hAnsi="Times New Roman"/>
          <w:szCs w:val="24"/>
          <w:lang w:val="bs-Latn-BA"/>
        </w:rPr>
        <w:t xml:space="preserve">, </w:t>
      </w:r>
      <w:r>
        <w:rPr>
          <w:rFonts w:ascii="Times New Roman" w:hAnsi="Times New Roman"/>
          <w:szCs w:val="24"/>
          <w:lang w:val="bs-Latn-BA"/>
        </w:rPr>
        <w:t>директно</w:t>
      </w:r>
      <w:r w:rsidR="008F3EB7" w:rsidRPr="00295637">
        <w:rPr>
          <w:rFonts w:ascii="Times New Roman" w:hAnsi="Times New Roman"/>
          <w:szCs w:val="24"/>
          <w:lang w:val="bs-Latn-BA"/>
        </w:rPr>
        <w:t xml:space="preserve"> </w:t>
      </w:r>
      <w:r>
        <w:rPr>
          <w:rFonts w:ascii="Times New Roman" w:hAnsi="Times New Roman"/>
          <w:szCs w:val="24"/>
          <w:lang w:val="bs-Latn-BA"/>
        </w:rPr>
        <w:t>је</w:t>
      </w:r>
      <w:r w:rsidR="008F3EB7" w:rsidRPr="00295637">
        <w:rPr>
          <w:rFonts w:ascii="Times New Roman" w:hAnsi="Times New Roman"/>
          <w:szCs w:val="24"/>
          <w:lang w:val="bs-Latn-BA"/>
        </w:rPr>
        <w:t xml:space="preserve"> </w:t>
      </w:r>
      <w:r>
        <w:rPr>
          <w:rFonts w:ascii="Times New Roman" w:hAnsi="Times New Roman"/>
          <w:szCs w:val="24"/>
          <w:lang w:val="bs-Latn-BA"/>
        </w:rPr>
        <w:t>примијењена</w:t>
      </w:r>
      <w:r w:rsidR="008F3EB7" w:rsidRPr="00295637">
        <w:rPr>
          <w:rFonts w:ascii="Times New Roman" w:hAnsi="Times New Roman"/>
          <w:szCs w:val="24"/>
          <w:lang w:val="bs-Latn-BA"/>
        </w:rPr>
        <w:t xml:space="preserve"> </w:t>
      </w:r>
      <w:r>
        <w:rPr>
          <w:rFonts w:ascii="Times New Roman" w:hAnsi="Times New Roman"/>
          <w:szCs w:val="24"/>
          <w:lang w:val="bs-Latn-BA"/>
        </w:rPr>
        <w:t>у</w:t>
      </w:r>
      <w:r w:rsidR="008F3EB7" w:rsidRPr="00295637">
        <w:rPr>
          <w:rFonts w:ascii="Times New Roman" w:hAnsi="Times New Roman"/>
          <w:szCs w:val="24"/>
          <w:lang w:val="bs-Latn-BA"/>
        </w:rPr>
        <w:t xml:space="preserve"> </w:t>
      </w:r>
      <w:r>
        <w:rPr>
          <w:rFonts w:ascii="Times New Roman" w:hAnsi="Times New Roman"/>
          <w:szCs w:val="24"/>
          <w:lang w:val="bs-Latn-BA"/>
        </w:rPr>
        <w:t>буџетским</w:t>
      </w:r>
      <w:r w:rsidR="00DC4A18">
        <w:rPr>
          <w:rFonts w:ascii="Times New Roman" w:hAnsi="Times New Roman"/>
          <w:szCs w:val="24"/>
          <w:lang w:val="bs-Latn-BA"/>
        </w:rPr>
        <w:t xml:space="preserve"> </w:t>
      </w:r>
      <w:r>
        <w:rPr>
          <w:rFonts w:ascii="Times New Roman" w:hAnsi="Times New Roman"/>
          <w:szCs w:val="24"/>
          <w:lang w:val="bs-Latn-BA"/>
        </w:rPr>
        <w:t>инструкцијама</w:t>
      </w:r>
      <w:r w:rsidR="008F3EB7" w:rsidRPr="00295637">
        <w:rPr>
          <w:rFonts w:ascii="Times New Roman" w:hAnsi="Times New Roman"/>
          <w:szCs w:val="24"/>
          <w:lang w:val="bs-Latn-BA"/>
        </w:rPr>
        <w:t xml:space="preserve"> (</w:t>
      </w:r>
      <w:r>
        <w:rPr>
          <w:rFonts w:ascii="Times New Roman" w:hAnsi="Times New Roman"/>
          <w:szCs w:val="24"/>
          <w:lang w:val="bs-Latn-BA"/>
        </w:rPr>
        <w:t>БИ</w:t>
      </w:r>
      <w:r w:rsidR="008F3EB7" w:rsidRPr="00295637">
        <w:rPr>
          <w:rFonts w:ascii="Times New Roman" w:hAnsi="Times New Roman"/>
          <w:szCs w:val="24"/>
          <w:lang w:val="bs-Latn-BA"/>
        </w:rPr>
        <w:t xml:space="preserve">1, </w:t>
      </w:r>
      <w:r>
        <w:rPr>
          <w:rFonts w:ascii="Times New Roman" w:hAnsi="Times New Roman"/>
          <w:szCs w:val="24"/>
          <w:lang w:val="bs-Latn-BA"/>
        </w:rPr>
        <w:t>БИ</w:t>
      </w:r>
      <w:r w:rsidR="008F3EB7" w:rsidRPr="00295637">
        <w:rPr>
          <w:rFonts w:ascii="Times New Roman" w:hAnsi="Times New Roman"/>
          <w:szCs w:val="24"/>
          <w:lang w:val="bs-Latn-BA"/>
        </w:rPr>
        <w:t xml:space="preserve">2) </w:t>
      </w:r>
      <w:r>
        <w:rPr>
          <w:rFonts w:ascii="Times New Roman" w:hAnsi="Times New Roman"/>
          <w:szCs w:val="24"/>
          <w:lang w:val="bs-Latn-BA"/>
        </w:rPr>
        <w:t>и</w:t>
      </w:r>
      <w:r w:rsidR="008F3EB7" w:rsidRPr="00295637">
        <w:rPr>
          <w:rFonts w:ascii="Times New Roman" w:hAnsi="Times New Roman"/>
          <w:szCs w:val="24"/>
          <w:lang w:val="bs-Latn-BA"/>
        </w:rPr>
        <w:t xml:space="preserve"> </w:t>
      </w:r>
      <w:r>
        <w:rPr>
          <w:rFonts w:ascii="Times New Roman" w:hAnsi="Times New Roman"/>
          <w:szCs w:val="24"/>
          <w:lang w:val="bs-Latn-BA"/>
        </w:rPr>
        <w:t>Документу</w:t>
      </w:r>
      <w:r w:rsidR="008F3EB7" w:rsidRPr="00295637">
        <w:rPr>
          <w:rFonts w:ascii="Times New Roman" w:hAnsi="Times New Roman"/>
          <w:szCs w:val="24"/>
          <w:lang w:val="bs-Latn-BA"/>
        </w:rPr>
        <w:t xml:space="preserve"> </w:t>
      </w:r>
      <w:r>
        <w:rPr>
          <w:rFonts w:ascii="Times New Roman" w:hAnsi="Times New Roman"/>
          <w:szCs w:val="24"/>
          <w:lang w:val="bs-Latn-BA"/>
        </w:rPr>
        <w:t>оквирног</w:t>
      </w:r>
      <w:r w:rsidR="008F3EB7" w:rsidRPr="00295637">
        <w:rPr>
          <w:rFonts w:ascii="Times New Roman" w:hAnsi="Times New Roman"/>
          <w:szCs w:val="24"/>
          <w:lang w:val="bs-Latn-BA"/>
        </w:rPr>
        <w:t xml:space="preserve"> </w:t>
      </w:r>
      <w:r>
        <w:rPr>
          <w:rFonts w:ascii="Times New Roman" w:hAnsi="Times New Roman"/>
          <w:szCs w:val="24"/>
          <w:lang w:val="bs-Latn-BA"/>
        </w:rPr>
        <w:t>буџета</w:t>
      </w:r>
      <w:r w:rsidR="008F3EB7" w:rsidRPr="00295637">
        <w:rPr>
          <w:rFonts w:ascii="Times New Roman" w:hAnsi="Times New Roman"/>
          <w:szCs w:val="24"/>
          <w:lang w:val="bs-Latn-BA"/>
        </w:rPr>
        <w:t xml:space="preserve"> (</w:t>
      </w:r>
      <w:r>
        <w:rPr>
          <w:rFonts w:ascii="Times New Roman" w:hAnsi="Times New Roman"/>
          <w:szCs w:val="24"/>
          <w:lang w:val="bs-Latn-BA"/>
        </w:rPr>
        <w:t>ДО</w:t>
      </w:r>
      <w:r w:rsidR="00FF06BD">
        <w:rPr>
          <w:rFonts w:ascii="Times New Roman" w:hAnsi="Times New Roman"/>
          <w:szCs w:val="24"/>
          <w:lang w:val="sr-Cyrl-BA"/>
        </w:rPr>
        <w:t>Б</w:t>
      </w:r>
      <w:r w:rsidR="0020153C">
        <w:rPr>
          <w:rFonts w:ascii="Times New Roman" w:hAnsi="Times New Roman"/>
          <w:szCs w:val="24"/>
          <w:lang w:val="bs-Latn-BA"/>
        </w:rPr>
        <w:t xml:space="preserve"> </w:t>
      </w:r>
      <w:r>
        <w:rPr>
          <w:rFonts w:ascii="Times New Roman" w:hAnsi="Times New Roman"/>
          <w:szCs w:val="24"/>
          <w:lang w:val="bs-Latn-BA"/>
        </w:rPr>
        <w:t>ФБиХ</w:t>
      </w:r>
      <w:r w:rsidR="008F3EB7" w:rsidRPr="00295637">
        <w:rPr>
          <w:rFonts w:ascii="Times New Roman" w:hAnsi="Times New Roman"/>
          <w:szCs w:val="24"/>
          <w:lang w:val="bs-Latn-BA"/>
        </w:rPr>
        <w:t xml:space="preserve"> ), </w:t>
      </w:r>
      <w:r>
        <w:rPr>
          <w:rFonts w:ascii="Times New Roman" w:hAnsi="Times New Roman"/>
          <w:szCs w:val="24"/>
          <w:lang w:val="bs-Latn-BA"/>
        </w:rPr>
        <w:t>у</w:t>
      </w:r>
      <w:r w:rsidR="008F3EB7" w:rsidRPr="00295637">
        <w:rPr>
          <w:rFonts w:ascii="Times New Roman" w:hAnsi="Times New Roman"/>
          <w:szCs w:val="24"/>
          <w:lang w:val="bs-Latn-BA"/>
        </w:rPr>
        <w:t xml:space="preserve"> </w:t>
      </w:r>
      <w:r>
        <w:rPr>
          <w:rFonts w:ascii="Times New Roman" w:hAnsi="Times New Roman"/>
          <w:szCs w:val="24"/>
          <w:lang w:val="bs-Latn-BA"/>
        </w:rPr>
        <w:t>дијелу</w:t>
      </w:r>
      <w:r w:rsidR="008F3EB7" w:rsidRPr="00295637">
        <w:rPr>
          <w:rFonts w:ascii="Times New Roman" w:hAnsi="Times New Roman"/>
          <w:szCs w:val="24"/>
          <w:lang w:val="bs-Latn-BA"/>
        </w:rPr>
        <w:t xml:space="preserve"> </w:t>
      </w:r>
      <w:r>
        <w:rPr>
          <w:rFonts w:ascii="Times New Roman" w:hAnsi="Times New Roman"/>
          <w:szCs w:val="24"/>
          <w:lang w:val="bs-Latn-BA"/>
        </w:rPr>
        <w:t>посвећеном</w:t>
      </w:r>
      <w:r w:rsidR="008F3EB7" w:rsidRPr="00295637">
        <w:rPr>
          <w:rFonts w:ascii="Times New Roman" w:hAnsi="Times New Roman"/>
          <w:szCs w:val="24"/>
          <w:lang w:val="bs-Latn-BA"/>
        </w:rPr>
        <w:t xml:space="preserve"> </w:t>
      </w:r>
      <w:r>
        <w:rPr>
          <w:rFonts w:ascii="Times New Roman" w:hAnsi="Times New Roman"/>
          <w:szCs w:val="24"/>
          <w:lang w:val="bs-Latn-BA"/>
        </w:rPr>
        <w:t>развоју</w:t>
      </w:r>
      <w:r w:rsidR="008F3EB7" w:rsidRPr="00295637">
        <w:rPr>
          <w:rFonts w:ascii="Times New Roman" w:hAnsi="Times New Roman"/>
          <w:szCs w:val="24"/>
          <w:lang w:val="bs-Latn-BA"/>
        </w:rPr>
        <w:t xml:space="preserve"> </w:t>
      </w:r>
      <w:r>
        <w:rPr>
          <w:rFonts w:ascii="Times New Roman" w:hAnsi="Times New Roman"/>
          <w:szCs w:val="24"/>
          <w:lang w:val="bs-Latn-BA"/>
        </w:rPr>
        <w:t>иницијативе</w:t>
      </w:r>
      <w:r w:rsidR="008F3EB7" w:rsidRPr="00295637">
        <w:rPr>
          <w:rFonts w:ascii="Times New Roman" w:hAnsi="Times New Roman"/>
          <w:szCs w:val="24"/>
          <w:lang w:val="bs-Latn-BA"/>
        </w:rPr>
        <w:t xml:space="preserve"> </w:t>
      </w:r>
      <w:r>
        <w:rPr>
          <w:rFonts w:ascii="Times New Roman" w:hAnsi="Times New Roman"/>
          <w:szCs w:val="24"/>
          <w:lang w:val="bs-Latn-BA"/>
        </w:rPr>
        <w:t>за</w:t>
      </w:r>
      <w:r w:rsidR="008F3EB7" w:rsidRPr="00295637">
        <w:rPr>
          <w:rFonts w:ascii="Times New Roman" w:hAnsi="Times New Roman"/>
          <w:szCs w:val="24"/>
          <w:lang w:val="bs-Latn-BA"/>
        </w:rPr>
        <w:t xml:space="preserve"> </w:t>
      </w:r>
      <w:r>
        <w:rPr>
          <w:rFonts w:ascii="Times New Roman" w:hAnsi="Times New Roman"/>
          <w:szCs w:val="24"/>
          <w:lang w:val="bs-Latn-BA"/>
        </w:rPr>
        <w:t>увођење</w:t>
      </w:r>
      <w:r w:rsidR="008F3EB7" w:rsidRPr="00295637">
        <w:rPr>
          <w:rFonts w:ascii="Times New Roman" w:hAnsi="Times New Roman"/>
          <w:szCs w:val="24"/>
          <w:lang w:val="bs-Latn-BA"/>
        </w:rPr>
        <w:t xml:space="preserve"> </w:t>
      </w:r>
      <w:r>
        <w:rPr>
          <w:rFonts w:ascii="Times New Roman" w:hAnsi="Times New Roman"/>
          <w:szCs w:val="24"/>
          <w:lang w:val="bs-Latn-BA"/>
        </w:rPr>
        <w:t>ГО</w:t>
      </w:r>
      <w:r w:rsidR="00FF06BD">
        <w:rPr>
          <w:rFonts w:ascii="Times New Roman" w:hAnsi="Times New Roman"/>
          <w:szCs w:val="24"/>
          <w:lang w:val="sr-Cyrl-BA"/>
        </w:rPr>
        <w:t>Б</w:t>
      </w:r>
      <w:r w:rsidR="008F3EB7" w:rsidRPr="00295637">
        <w:rPr>
          <w:rFonts w:ascii="Times New Roman" w:hAnsi="Times New Roman"/>
          <w:szCs w:val="24"/>
          <w:lang w:val="bs-Latn-BA"/>
        </w:rPr>
        <w:t xml:space="preserve"> </w:t>
      </w:r>
      <w:r>
        <w:rPr>
          <w:rFonts w:ascii="Times New Roman" w:hAnsi="Times New Roman"/>
          <w:szCs w:val="24"/>
          <w:lang w:val="bs-Latn-BA"/>
        </w:rPr>
        <w:t>у</w:t>
      </w:r>
      <w:r w:rsidR="008F3EB7" w:rsidRPr="00295637">
        <w:rPr>
          <w:rFonts w:ascii="Times New Roman" w:hAnsi="Times New Roman"/>
          <w:szCs w:val="24"/>
          <w:lang w:val="bs-Latn-BA"/>
        </w:rPr>
        <w:t xml:space="preserve"> </w:t>
      </w:r>
      <w:r>
        <w:rPr>
          <w:rFonts w:ascii="Times New Roman" w:hAnsi="Times New Roman"/>
          <w:szCs w:val="24"/>
          <w:lang w:val="bs-Latn-BA"/>
        </w:rPr>
        <w:t>буџет</w:t>
      </w:r>
      <w:r w:rsidR="008F3EB7" w:rsidRPr="00295637">
        <w:rPr>
          <w:rFonts w:ascii="Times New Roman" w:hAnsi="Times New Roman"/>
          <w:szCs w:val="24"/>
          <w:lang w:val="bs-Latn-BA"/>
        </w:rPr>
        <w:t xml:space="preserve"> </w:t>
      </w:r>
      <w:r>
        <w:rPr>
          <w:rFonts w:ascii="Times New Roman" w:hAnsi="Times New Roman"/>
          <w:szCs w:val="24"/>
          <w:lang w:val="bs-Latn-BA"/>
        </w:rPr>
        <w:t>ФБиХ</w:t>
      </w:r>
      <w:r w:rsidR="008F3EB7" w:rsidRPr="00295637">
        <w:rPr>
          <w:rFonts w:ascii="Times New Roman" w:hAnsi="Times New Roman"/>
          <w:szCs w:val="24"/>
          <w:lang w:val="bs-Latn-BA"/>
        </w:rPr>
        <w:t>.</w:t>
      </w:r>
      <w:r w:rsidR="008F3EB7" w:rsidRPr="00295637">
        <w:rPr>
          <w:rFonts w:ascii="Times New Roman" w:hAnsi="Times New Roman"/>
          <w:sz w:val="28"/>
          <w:szCs w:val="28"/>
          <w:lang w:val="bs-Latn-BA"/>
        </w:rPr>
        <w:t xml:space="preserve"> </w:t>
      </w:r>
      <w:r>
        <w:rPr>
          <w:rFonts w:ascii="Times New Roman" w:hAnsi="Times New Roman"/>
          <w:lang w:val="bs-Latn-BA"/>
        </w:rPr>
        <w:t>ФМФ</w:t>
      </w:r>
      <w:r w:rsidR="00EB086C" w:rsidRPr="00295637">
        <w:rPr>
          <w:rFonts w:ascii="Times New Roman" w:hAnsi="Times New Roman"/>
          <w:lang w:val="bs-Latn-BA"/>
        </w:rPr>
        <w:t xml:space="preserve"> </w:t>
      </w:r>
      <w:r>
        <w:rPr>
          <w:rFonts w:ascii="Times New Roman" w:hAnsi="Times New Roman"/>
          <w:lang w:val="bs-Latn-BA"/>
        </w:rPr>
        <w:t>реализ</w:t>
      </w:r>
      <w:r w:rsidR="00721E23">
        <w:rPr>
          <w:rFonts w:ascii="Times New Roman" w:hAnsi="Times New Roman"/>
          <w:lang w:val="sr-Cyrl-BA"/>
        </w:rPr>
        <w:t>ује</w:t>
      </w:r>
      <w:r w:rsidR="00EB086C" w:rsidRPr="00295637">
        <w:rPr>
          <w:rFonts w:ascii="Times New Roman" w:hAnsi="Times New Roman"/>
          <w:lang w:val="bs-Latn-BA"/>
        </w:rPr>
        <w:t xml:space="preserve"> </w:t>
      </w:r>
      <w:r>
        <w:rPr>
          <w:rFonts w:ascii="Times New Roman" w:hAnsi="Times New Roman"/>
          <w:lang w:val="bs-Latn-BA"/>
        </w:rPr>
        <w:t>активности</w:t>
      </w:r>
      <w:r w:rsidR="00EB086C" w:rsidRPr="00295637">
        <w:rPr>
          <w:rFonts w:ascii="Times New Roman" w:hAnsi="Times New Roman"/>
          <w:lang w:val="bs-Latn-BA"/>
        </w:rPr>
        <w:t xml:space="preserve"> </w:t>
      </w:r>
      <w:r>
        <w:rPr>
          <w:rFonts w:ascii="Times New Roman" w:hAnsi="Times New Roman"/>
          <w:lang w:val="bs-Latn-BA"/>
        </w:rPr>
        <w:t>у</w:t>
      </w:r>
      <w:r w:rsidR="00EB086C" w:rsidRPr="00295637">
        <w:rPr>
          <w:rFonts w:ascii="Times New Roman" w:hAnsi="Times New Roman"/>
          <w:lang w:val="bs-Latn-BA"/>
        </w:rPr>
        <w:t xml:space="preserve"> </w:t>
      </w:r>
      <w:r>
        <w:rPr>
          <w:rFonts w:ascii="Times New Roman" w:hAnsi="Times New Roman"/>
          <w:lang w:val="bs-Latn-BA"/>
        </w:rPr>
        <w:t>вези</w:t>
      </w:r>
      <w:r w:rsidR="00EB086C" w:rsidRPr="00295637">
        <w:rPr>
          <w:rFonts w:ascii="Times New Roman" w:hAnsi="Times New Roman"/>
          <w:lang w:val="bs-Latn-BA"/>
        </w:rPr>
        <w:t xml:space="preserve"> </w:t>
      </w:r>
      <w:r>
        <w:rPr>
          <w:rFonts w:ascii="Times New Roman" w:hAnsi="Times New Roman"/>
          <w:lang w:val="bs-Latn-BA"/>
        </w:rPr>
        <w:t>са</w:t>
      </w:r>
      <w:r w:rsidR="00546D65" w:rsidRPr="00295637">
        <w:rPr>
          <w:rFonts w:ascii="Times New Roman" w:hAnsi="Times New Roman"/>
          <w:lang w:val="bs-Latn-BA"/>
        </w:rPr>
        <w:t xml:space="preserve"> </w:t>
      </w:r>
      <w:r>
        <w:rPr>
          <w:rFonts w:ascii="Times New Roman" w:hAnsi="Times New Roman"/>
          <w:lang w:val="bs-Latn-BA"/>
        </w:rPr>
        <w:t>укључивањем</w:t>
      </w:r>
      <w:r w:rsidR="00546D65" w:rsidRPr="00295637">
        <w:rPr>
          <w:rFonts w:ascii="Times New Roman" w:hAnsi="Times New Roman"/>
          <w:lang w:val="bs-Latn-BA"/>
        </w:rPr>
        <w:t xml:space="preserve"> </w:t>
      </w:r>
      <w:r>
        <w:rPr>
          <w:rFonts w:ascii="Times New Roman" w:hAnsi="Times New Roman"/>
          <w:lang w:val="bs-Latn-BA"/>
        </w:rPr>
        <w:t>принципа</w:t>
      </w:r>
      <w:r w:rsidR="00546D65" w:rsidRPr="00295637">
        <w:rPr>
          <w:rFonts w:ascii="Times New Roman" w:hAnsi="Times New Roman"/>
          <w:lang w:val="bs-Latn-BA"/>
        </w:rPr>
        <w:t xml:space="preserve"> </w:t>
      </w:r>
      <w:r>
        <w:rPr>
          <w:rFonts w:ascii="Times New Roman" w:hAnsi="Times New Roman"/>
          <w:lang w:val="bs-Latn-BA"/>
        </w:rPr>
        <w:t>РО</w:t>
      </w:r>
      <w:r w:rsidR="00FF06BD">
        <w:rPr>
          <w:rFonts w:ascii="Times New Roman" w:hAnsi="Times New Roman"/>
          <w:lang w:val="sr-Cyrl-BA"/>
        </w:rPr>
        <w:t>Б</w:t>
      </w:r>
      <w:r w:rsidR="00546D65" w:rsidRPr="00295637">
        <w:rPr>
          <w:rFonts w:ascii="Times New Roman" w:hAnsi="Times New Roman"/>
          <w:lang w:val="bs-Latn-BA"/>
        </w:rPr>
        <w:t>-</w:t>
      </w:r>
      <w:r>
        <w:rPr>
          <w:rFonts w:ascii="Times New Roman" w:hAnsi="Times New Roman"/>
          <w:lang w:val="bs-Latn-BA"/>
        </w:rPr>
        <w:t>а</w:t>
      </w:r>
      <w:r w:rsidR="00EB086C" w:rsidRPr="00295637">
        <w:rPr>
          <w:rFonts w:ascii="Times New Roman" w:hAnsi="Times New Roman"/>
          <w:lang w:val="bs-Latn-BA"/>
        </w:rPr>
        <w:t xml:space="preserve"> </w:t>
      </w:r>
      <w:r>
        <w:rPr>
          <w:rFonts w:ascii="Times New Roman" w:hAnsi="Times New Roman"/>
          <w:lang w:val="bs-Latn-BA"/>
        </w:rPr>
        <w:t>у</w:t>
      </w:r>
      <w:r w:rsidR="00EB086C" w:rsidRPr="00295637">
        <w:rPr>
          <w:rFonts w:ascii="Times New Roman" w:hAnsi="Times New Roman"/>
          <w:lang w:val="bs-Latn-BA"/>
        </w:rPr>
        <w:t xml:space="preserve"> </w:t>
      </w:r>
      <w:r>
        <w:rPr>
          <w:rFonts w:ascii="Times New Roman" w:hAnsi="Times New Roman"/>
          <w:lang w:val="bs-Latn-BA"/>
        </w:rPr>
        <w:t>финансијско</w:t>
      </w:r>
      <w:r w:rsidR="00EB086C" w:rsidRPr="00295637">
        <w:rPr>
          <w:rFonts w:ascii="Times New Roman" w:hAnsi="Times New Roman"/>
          <w:lang w:val="bs-Latn-BA"/>
        </w:rPr>
        <w:t xml:space="preserve"> </w:t>
      </w:r>
      <w:r>
        <w:rPr>
          <w:rFonts w:ascii="Times New Roman" w:hAnsi="Times New Roman"/>
          <w:lang w:val="bs-Latn-BA"/>
        </w:rPr>
        <w:t>планирање</w:t>
      </w:r>
      <w:r w:rsidR="00EB086C" w:rsidRPr="00295637">
        <w:rPr>
          <w:rFonts w:ascii="Times New Roman" w:hAnsi="Times New Roman"/>
          <w:lang w:val="bs-Latn-BA"/>
        </w:rPr>
        <w:t xml:space="preserve"> </w:t>
      </w:r>
      <w:r>
        <w:rPr>
          <w:rFonts w:ascii="Times New Roman" w:hAnsi="Times New Roman"/>
          <w:lang w:val="bs-Latn-BA"/>
        </w:rPr>
        <w:t>и</w:t>
      </w:r>
      <w:r w:rsidR="00EB086C" w:rsidRPr="00295637">
        <w:rPr>
          <w:rFonts w:ascii="Times New Roman" w:hAnsi="Times New Roman"/>
          <w:lang w:val="bs-Latn-BA"/>
        </w:rPr>
        <w:t xml:space="preserve"> </w:t>
      </w:r>
      <w:r>
        <w:rPr>
          <w:rFonts w:ascii="Times New Roman" w:hAnsi="Times New Roman"/>
          <w:lang w:val="bs-Latn-BA"/>
        </w:rPr>
        <w:t>анализу</w:t>
      </w:r>
      <w:r w:rsidR="00EB086C" w:rsidRPr="00295637">
        <w:rPr>
          <w:rFonts w:ascii="Times New Roman" w:hAnsi="Times New Roman"/>
          <w:lang w:val="bs-Latn-BA"/>
        </w:rPr>
        <w:t xml:space="preserve"> </w:t>
      </w:r>
      <w:r>
        <w:rPr>
          <w:rFonts w:ascii="Times New Roman" w:hAnsi="Times New Roman"/>
          <w:lang w:val="bs-Latn-BA"/>
        </w:rPr>
        <w:t>буџетских</w:t>
      </w:r>
      <w:r w:rsidR="00EB086C" w:rsidRPr="00295637">
        <w:rPr>
          <w:rFonts w:ascii="Times New Roman" w:hAnsi="Times New Roman"/>
          <w:lang w:val="bs-Latn-BA"/>
        </w:rPr>
        <w:t xml:space="preserve"> </w:t>
      </w:r>
      <w:r>
        <w:rPr>
          <w:rFonts w:ascii="Times New Roman" w:hAnsi="Times New Roman"/>
          <w:lang w:val="bs-Latn-BA"/>
        </w:rPr>
        <w:t>средстава</w:t>
      </w:r>
      <w:r w:rsidR="00EB086C" w:rsidRPr="00295637">
        <w:rPr>
          <w:rFonts w:ascii="Times New Roman" w:hAnsi="Times New Roman"/>
          <w:lang w:val="bs-Latn-BA"/>
        </w:rPr>
        <w:t xml:space="preserve"> </w:t>
      </w:r>
      <w:r>
        <w:rPr>
          <w:rFonts w:ascii="Times New Roman" w:hAnsi="Times New Roman"/>
          <w:lang w:val="bs-Latn-BA"/>
        </w:rPr>
        <w:t>у</w:t>
      </w:r>
      <w:r w:rsidR="00EB086C" w:rsidRPr="00295637">
        <w:rPr>
          <w:rFonts w:ascii="Times New Roman" w:hAnsi="Times New Roman"/>
          <w:lang w:val="bs-Latn-BA"/>
        </w:rPr>
        <w:t xml:space="preserve"> </w:t>
      </w:r>
      <w:r>
        <w:rPr>
          <w:rFonts w:ascii="Times New Roman" w:hAnsi="Times New Roman"/>
          <w:lang w:val="bs-Latn-BA"/>
        </w:rPr>
        <w:t>ФБиХ</w:t>
      </w:r>
      <w:r w:rsidR="00EB086C" w:rsidRPr="00295637">
        <w:rPr>
          <w:rFonts w:ascii="Times New Roman" w:hAnsi="Times New Roman"/>
          <w:lang w:val="bs-Latn-BA"/>
        </w:rPr>
        <w:t xml:space="preserve">. </w:t>
      </w:r>
      <w:r>
        <w:rPr>
          <w:rStyle w:val="Strong"/>
          <w:rFonts w:ascii="Times New Roman" w:hAnsi="Times New Roman"/>
          <w:b w:val="0"/>
          <w:lang w:val="bs-Latn-BA"/>
        </w:rPr>
        <w:t>Укљученост</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РО</w:t>
      </w:r>
      <w:r w:rsidR="00FF06BD">
        <w:rPr>
          <w:rStyle w:val="Strong"/>
          <w:rFonts w:ascii="Times New Roman" w:hAnsi="Times New Roman"/>
          <w:b w:val="0"/>
          <w:lang w:val="sr-Cyrl-BA"/>
        </w:rPr>
        <w:t>Б</w:t>
      </w:r>
      <w:r w:rsidR="0020153C">
        <w:rPr>
          <w:rStyle w:val="Strong"/>
          <w:rFonts w:ascii="Times New Roman" w:hAnsi="Times New Roman"/>
          <w:b w:val="0"/>
          <w:lang w:val="bs-Latn-BA"/>
        </w:rPr>
        <w:t>-</w:t>
      </w:r>
      <w:r>
        <w:rPr>
          <w:rStyle w:val="Strong"/>
          <w:rFonts w:ascii="Times New Roman" w:hAnsi="Times New Roman"/>
          <w:b w:val="0"/>
          <w:lang w:val="bs-Latn-BA"/>
        </w:rPr>
        <w:t>а</w:t>
      </w:r>
      <w:r w:rsidR="0020153C">
        <w:rPr>
          <w:rStyle w:val="Strong"/>
          <w:rFonts w:ascii="Times New Roman" w:hAnsi="Times New Roman"/>
          <w:b w:val="0"/>
          <w:lang w:val="bs-Latn-BA"/>
        </w:rPr>
        <w:t xml:space="preserve"> </w:t>
      </w:r>
      <w:r>
        <w:rPr>
          <w:rStyle w:val="Strong"/>
          <w:rFonts w:ascii="Times New Roman" w:hAnsi="Times New Roman"/>
          <w:b w:val="0"/>
          <w:lang w:val="bs-Latn-BA"/>
        </w:rPr>
        <w:t>у</w:t>
      </w:r>
      <w:r w:rsidR="0020153C">
        <w:rPr>
          <w:rStyle w:val="Strong"/>
          <w:rFonts w:ascii="Times New Roman" w:hAnsi="Times New Roman"/>
          <w:b w:val="0"/>
          <w:lang w:val="bs-Latn-BA"/>
        </w:rPr>
        <w:t xml:space="preserve"> </w:t>
      </w:r>
      <w:r>
        <w:rPr>
          <w:rStyle w:val="Strong"/>
          <w:rFonts w:ascii="Times New Roman" w:hAnsi="Times New Roman"/>
          <w:b w:val="0"/>
          <w:lang w:val="bs-Latn-BA"/>
        </w:rPr>
        <w:t>финансијске</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захтјеве</w:t>
      </w:r>
      <w:r w:rsidR="00EB086C" w:rsidRPr="00295637">
        <w:rPr>
          <w:rFonts w:ascii="Times New Roman" w:hAnsi="Times New Roman"/>
          <w:b/>
          <w:lang w:val="bs-Latn-BA"/>
        </w:rPr>
        <w:t xml:space="preserve"> </w:t>
      </w:r>
      <w:r>
        <w:rPr>
          <w:rFonts w:ascii="Times New Roman" w:hAnsi="Times New Roman"/>
          <w:lang w:val="bs-Latn-BA"/>
        </w:rPr>
        <w:t>у</w:t>
      </w:r>
      <w:r w:rsidR="00EB086C" w:rsidRPr="00295637">
        <w:rPr>
          <w:rFonts w:ascii="Times New Roman" w:hAnsi="Times New Roman"/>
          <w:lang w:val="bs-Latn-BA"/>
        </w:rPr>
        <w:t xml:space="preserve"> </w:t>
      </w:r>
      <w:r>
        <w:rPr>
          <w:rFonts w:ascii="Times New Roman" w:hAnsi="Times New Roman"/>
          <w:lang w:val="bs-Latn-BA"/>
        </w:rPr>
        <w:t>тренутној</w:t>
      </w:r>
      <w:r w:rsidR="00EB086C" w:rsidRPr="00295637">
        <w:rPr>
          <w:rFonts w:ascii="Times New Roman" w:hAnsi="Times New Roman"/>
          <w:lang w:val="bs-Latn-BA"/>
        </w:rPr>
        <w:t xml:space="preserve"> </w:t>
      </w:r>
      <w:r>
        <w:rPr>
          <w:rFonts w:ascii="Times New Roman" w:hAnsi="Times New Roman"/>
          <w:lang w:val="bs-Latn-BA"/>
        </w:rPr>
        <w:t>апликацији</w:t>
      </w:r>
      <w:r w:rsidR="00EB086C" w:rsidRPr="00295637">
        <w:rPr>
          <w:rFonts w:ascii="Times New Roman" w:hAnsi="Times New Roman"/>
          <w:lang w:val="bs-Latn-BA"/>
        </w:rPr>
        <w:t xml:space="preserve"> </w:t>
      </w:r>
      <w:r w:rsidR="00721E23" w:rsidRPr="00721E23">
        <w:rPr>
          <w:rFonts w:ascii="Times New Roman" w:hAnsi="Times New Roman"/>
          <w:bCs/>
          <w:i/>
          <w:lang w:val="bs-Latn-BA"/>
        </w:rPr>
        <w:t>PPMIS</w:t>
      </w:r>
      <w:r w:rsidR="00EB086C" w:rsidRPr="00721E23">
        <w:rPr>
          <w:rFonts w:ascii="Times New Roman" w:hAnsi="Times New Roman"/>
          <w:lang w:val="bs-Latn-BA"/>
        </w:rPr>
        <w:t>,</w:t>
      </w:r>
      <w:r w:rsidR="00EB086C" w:rsidRPr="00295637">
        <w:rPr>
          <w:rFonts w:ascii="Times New Roman" w:hAnsi="Times New Roman"/>
          <w:lang w:val="bs-Latn-BA"/>
        </w:rPr>
        <w:t xml:space="preserve"> </w:t>
      </w:r>
      <w:r>
        <w:rPr>
          <w:rFonts w:ascii="Times New Roman" w:hAnsi="Times New Roman"/>
          <w:lang w:val="bs-Latn-BA"/>
        </w:rPr>
        <w:t>приликом</w:t>
      </w:r>
      <w:r w:rsidR="00EB086C" w:rsidRPr="00295637">
        <w:rPr>
          <w:rFonts w:ascii="Times New Roman" w:hAnsi="Times New Roman"/>
          <w:lang w:val="bs-Latn-BA"/>
        </w:rPr>
        <w:t xml:space="preserve"> </w:t>
      </w:r>
      <w:r>
        <w:rPr>
          <w:rFonts w:ascii="Times New Roman" w:hAnsi="Times New Roman"/>
          <w:lang w:val="bs-Latn-BA"/>
        </w:rPr>
        <w:t>уноса</w:t>
      </w:r>
      <w:r w:rsidR="00EB086C" w:rsidRPr="00295637">
        <w:rPr>
          <w:rFonts w:ascii="Times New Roman" w:hAnsi="Times New Roman"/>
          <w:lang w:val="bs-Latn-BA"/>
        </w:rPr>
        <w:t xml:space="preserve"> </w:t>
      </w:r>
      <w:r>
        <w:rPr>
          <w:rFonts w:ascii="Times New Roman" w:hAnsi="Times New Roman"/>
          <w:lang w:val="bs-Latn-BA"/>
        </w:rPr>
        <w:t>сваког</w:t>
      </w:r>
      <w:r w:rsidR="00EB086C" w:rsidRPr="00295637">
        <w:rPr>
          <w:rFonts w:ascii="Times New Roman" w:hAnsi="Times New Roman"/>
          <w:lang w:val="bs-Latn-BA"/>
        </w:rPr>
        <w:t xml:space="preserve"> </w:t>
      </w:r>
      <w:r>
        <w:rPr>
          <w:rFonts w:ascii="Times New Roman" w:hAnsi="Times New Roman"/>
          <w:lang w:val="bs-Latn-BA"/>
        </w:rPr>
        <w:t>економског</w:t>
      </w:r>
      <w:r w:rsidR="00EB086C" w:rsidRPr="00295637">
        <w:rPr>
          <w:rFonts w:ascii="Times New Roman" w:hAnsi="Times New Roman"/>
          <w:lang w:val="bs-Latn-BA"/>
        </w:rPr>
        <w:t xml:space="preserve"> </w:t>
      </w:r>
      <w:r>
        <w:rPr>
          <w:rFonts w:ascii="Times New Roman" w:hAnsi="Times New Roman"/>
          <w:lang w:val="bs-Latn-BA"/>
        </w:rPr>
        <w:t>кода</w:t>
      </w:r>
      <w:r w:rsidR="00EB086C" w:rsidRPr="00295637">
        <w:rPr>
          <w:rFonts w:ascii="Times New Roman" w:hAnsi="Times New Roman"/>
          <w:lang w:val="bs-Latn-BA"/>
        </w:rPr>
        <w:t xml:space="preserve">, </w:t>
      </w:r>
      <w:r>
        <w:rPr>
          <w:rFonts w:ascii="Times New Roman" w:hAnsi="Times New Roman"/>
          <w:lang w:val="bs-Latn-BA"/>
        </w:rPr>
        <w:t>сви</w:t>
      </w:r>
      <w:r w:rsidR="00EB086C" w:rsidRPr="00295637">
        <w:rPr>
          <w:rFonts w:ascii="Times New Roman" w:hAnsi="Times New Roman"/>
          <w:lang w:val="bs-Latn-BA"/>
        </w:rPr>
        <w:t xml:space="preserve"> </w:t>
      </w:r>
      <w:r>
        <w:rPr>
          <w:rFonts w:ascii="Times New Roman" w:hAnsi="Times New Roman"/>
          <w:lang w:val="bs-Latn-BA"/>
        </w:rPr>
        <w:t>буџетски</w:t>
      </w:r>
      <w:r w:rsidR="00EC4AE0">
        <w:rPr>
          <w:rFonts w:ascii="Times New Roman" w:hAnsi="Times New Roman"/>
          <w:lang w:val="bs-Latn-BA"/>
        </w:rPr>
        <w:t xml:space="preserve"> </w:t>
      </w:r>
      <w:r>
        <w:rPr>
          <w:rFonts w:ascii="Times New Roman" w:hAnsi="Times New Roman"/>
          <w:lang w:val="bs-Latn-BA"/>
        </w:rPr>
        <w:t>корисници</w:t>
      </w:r>
      <w:r w:rsidR="00EC4AE0">
        <w:rPr>
          <w:rFonts w:ascii="Times New Roman" w:hAnsi="Times New Roman"/>
          <w:lang w:val="bs-Latn-BA"/>
        </w:rPr>
        <w:t xml:space="preserve"> </w:t>
      </w:r>
      <w:r>
        <w:rPr>
          <w:rFonts w:ascii="Times New Roman" w:hAnsi="Times New Roman"/>
          <w:lang w:val="bs-Latn-BA"/>
        </w:rPr>
        <w:t>обавезни</w:t>
      </w:r>
      <w:r w:rsidR="00EB086C" w:rsidRPr="00295637">
        <w:rPr>
          <w:rFonts w:ascii="Times New Roman" w:hAnsi="Times New Roman"/>
          <w:lang w:val="bs-Latn-BA"/>
        </w:rPr>
        <w:t xml:space="preserve"> </w:t>
      </w:r>
      <w:r>
        <w:rPr>
          <w:rFonts w:ascii="Times New Roman" w:hAnsi="Times New Roman"/>
          <w:lang w:val="bs-Latn-BA"/>
        </w:rPr>
        <w:t>су</w:t>
      </w:r>
      <w:r w:rsidR="00EB086C" w:rsidRPr="00295637">
        <w:rPr>
          <w:rFonts w:ascii="Times New Roman" w:hAnsi="Times New Roman"/>
          <w:lang w:val="bs-Latn-BA"/>
        </w:rPr>
        <w:t xml:space="preserve"> </w:t>
      </w:r>
      <w:r>
        <w:rPr>
          <w:rFonts w:ascii="Times New Roman" w:hAnsi="Times New Roman"/>
          <w:lang w:val="bs-Latn-BA"/>
        </w:rPr>
        <w:t>да</w:t>
      </w:r>
      <w:r w:rsidR="00EB086C" w:rsidRPr="00295637">
        <w:rPr>
          <w:rFonts w:ascii="Times New Roman" w:hAnsi="Times New Roman"/>
          <w:lang w:val="bs-Latn-BA"/>
        </w:rPr>
        <w:t xml:space="preserve"> </w:t>
      </w:r>
      <w:r>
        <w:rPr>
          <w:rFonts w:ascii="Times New Roman" w:hAnsi="Times New Roman"/>
          <w:lang w:val="bs-Latn-BA"/>
        </w:rPr>
        <w:t>изаберу</w:t>
      </w:r>
      <w:r w:rsidR="00EB086C" w:rsidRPr="00295637">
        <w:rPr>
          <w:rFonts w:ascii="Times New Roman" w:hAnsi="Times New Roman"/>
          <w:lang w:val="bs-Latn-BA"/>
        </w:rPr>
        <w:t xml:space="preserve"> </w:t>
      </w:r>
      <w:r>
        <w:rPr>
          <w:rFonts w:ascii="Times New Roman" w:hAnsi="Times New Roman"/>
          <w:lang w:val="bs-Latn-BA"/>
        </w:rPr>
        <w:t>одговарајућу</w:t>
      </w:r>
      <w:r w:rsidR="00EB086C" w:rsidRPr="00295637">
        <w:rPr>
          <w:rFonts w:ascii="Times New Roman" w:hAnsi="Times New Roman"/>
          <w:lang w:val="bs-Latn-BA"/>
        </w:rPr>
        <w:t xml:space="preserve"> </w:t>
      </w:r>
      <w:r>
        <w:rPr>
          <w:rFonts w:ascii="Times New Roman" w:hAnsi="Times New Roman"/>
          <w:lang w:val="bs-Latn-BA"/>
        </w:rPr>
        <w:t>ознаку</w:t>
      </w:r>
      <w:r w:rsidR="00EB086C" w:rsidRPr="00295637">
        <w:rPr>
          <w:rFonts w:ascii="Times New Roman" w:hAnsi="Times New Roman"/>
          <w:lang w:val="bs-Latn-BA"/>
        </w:rPr>
        <w:t xml:space="preserve"> </w:t>
      </w:r>
      <w:r>
        <w:rPr>
          <w:rFonts w:ascii="Times New Roman" w:hAnsi="Times New Roman"/>
          <w:lang w:val="bs-Latn-BA"/>
        </w:rPr>
        <w:t>за</w:t>
      </w:r>
      <w:r w:rsidR="00EB086C" w:rsidRPr="00295637">
        <w:rPr>
          <w:rFonts w:ascii="Times New Roman" w:hAnsi="Times New Roman"/>
          <w:lang w:val="bs-Latn-BA"/>
        </w:rPr>
        <w:t xml:space="preserve"> </w:t>
      </w:r>
      <w:r>
        <w:rPr>
          <w:rFonts w:ascii="Times New Roman" w:hAnsi="Times New Roman"/>
          <w:lang w:val="bs-Latn-BA"/>
        </w:rPr>
        <w:t>род</w:t>
      </w:r>
      <w:r w:rsidR="00EB086C" w:rsidRPr="00295637">
        <w:rPr>
          <w:rFonts w:ascii="Times New Roman" w:hAnsi="Times New Roman"/>
          <w:lang w:val="bs-Latn-BA"/>
        </w:rPr>
        <w:t xml:space="preserve"> (</w:t>
      </w:r>
      <w:r>
        <w:rPr>
          <w:rFonts w:ascii="Times New Roman" w:hAnsi="Times New Roman"/>
          <w:lang w:val="bs-Latn-BA"/>
        </w:rPr>
        <w:t>М</w:t>
      </w:r>
      <w:r w:rsidR="00EB086C" w:rsidRPr="00295637">
        <w:rPr>
          <w:rFonts w:ascii="Times New Roman" w:hAnsi="Times New Roman"/>
          <w:lang w:val="bs-Latn-BA"/>
        </w:rPr>
        <w:t>/</w:t>
      </w:r>
      <w:r>
        <w:rPr>
          <w:rFonts w:ascii="Times New Roman" w:hAnsi="Times New Roman"/>
          <w:lang w:val="bs-Latn-BA"/>
        </w:rPr>
        <w:t>Ж</w:t>
      </w:r>
      <w:r w:rsidR="00EB086C" w:rsidRPr="00295637">
        <w:rPr>
          <w:rFonts w:ascii="Times New Roman" w:hAnsi="Times New Roman"/>
          <w:lang w:val="bs-Latn-BA"/>
        </w:rPr>
        <w:t>/</w:t>
      </w:r>
      <w:r>
        <w:rPr>
          <w:rFonts w:ascii="Times New Roman" w:hAnsi="Times New Roman"/>
          <w:lang w:val="bs-Latn-BA"/>
        </w:rPr>
        <w:t>МЖ</w:t>
      </w:r>
      <w:r w:rsidR="00EB086C" w:rsidRPr="00295637">
        <w:rPr>
          <w:rFonts w:ascii="Times New Roman" w:hAnsi="Times New Roman"/>
          <w:lang w:val="bs-Latn-BA"/>
        </w:rPr>
        <w:t xml:space="preserve">). </w:t>
      </w:r>
      <w:r>
        <w:rPr>
          <w:rFonts w:ascii="Times New Roman" w:hAnsi="Times New Roman"/>
          <w:lang w:val="bs-Latn-BA"/>
        </w:rPr>
        <w:t>У</w:t>
      </w:r>
      <w:r w:rsidR="00EB086C" w:rsidRPr="00295637">
        <w:rPr>
          <w:rFonts w:ascii="Times New Roman" w:hAnsi="Times New Roman"/>
          <w:lang w:val="bs-Latn-BA"/>
        </w:rPr>
        <w:t xml:space="preserve"> </w:t>
      </w:r>
      <w:r w:rsidR="00EB086C" w:rsidRPr="00295637">
        <w:rPr>
          <w:rStyle w:val="Strong"/>
          <w:rFonts w:ascii="Times New Roman" w:hAnsi="Times New Roman"/>
          <w:b w:val="0"/>
          <w:lang w:val="bs-Latn-BA"/>
        </w:rPr>
        <w:t xml:space="preserve">2024. </w:t>
      </w:r>
      <w:r>
        <w:rPr>
          <w:rStyle w:val="Strong"/>
          <w:rFonts w:ascii="Times New Roman" w:hAnsi="Times New Roman"/>
          <w:b w:val="0"/>
          <w:lang w:val="bs-Latn-BA"/>
        </w:rPr>
        <w:t>години</w:t>
      </w:r>
      <w:r w:rsidR="00EB086C" w:rsidRPr="00546EB7">
        <w:rPr>
          <w:rFonts w:ascii="Times New Roman" w:hAnsi="Times New Roman"/>
          <w:lang w:val="bs-Latn-BA"/>
        </w:rPr>
        <w:t>,</w:t>
      </w:r>
      <w:r w:rsidR="00EB086C" w:rsidRPr="00295637">
        <w:rPr>
          <w:rFonts w:ascii="Times New Roman" w:hAnsi="Times New Roman"/>
          <w:b/>
          <w:lang w:val="bs-Latn-BA"/>
        </w:rPr>
        <w:t xml:space="preserve"> </w:t>
      </w:r>
      <w:r>
        <w:rPr>
          <w:rFonts w:ascii="Times New Roman" w:hAnsi="Times New Roman"/>
          <w:lang w:val="bs-Latn-BA"/>
        </w:rPr>
        <w:t>укупно</w:t>
      </w:r>
      <w:r w:rsidR="00EB086C" w:rsidRPr="00295637">
        <w:rPr>
          <w:rFonts w:ascii="Times New Roman" w:hAnsi="Times New Roman"/>
          <w:lang w:val="bs-Latn-BA"/>
        </w:rPr>
        <w:t xml:space="preserve"> </w:t>
      </w:r>
      <w:r w:rsidR="00EB086C" w:rsidRPr="00295637">
        <w:rPr>
          <w:rStyle w:val="Strong"/>
          <w:rFonts w:ascii="Times New Roman" w:hAnsi="Times New Roman"/>
          <w:b w:val="0"/>
          <w:lang w:val="bs-Latn-BA"/>
        </w:rPr>
        <w:t xml:space="preserve">68 </w:t>
      </w:r>
      <w:r>
        <w:rPr>
          <w:rStyle w:val="Strong"/>
          <w:rFonts w:ascii="Times New Roman" w:hAnsi="Times New Roman"/>
          <w:b w:val="0"/>
          <w:lang w:val="bs-Latn-BA"/>
        </w:rPr>
        <w:t>буџетских</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корисника</w:t>
      </w:r>
      <w:r w:rsidR="00EB086C" w:rsidRPr="00295637">
        <w:rPr>
          <w:rFonts w:ascii="Times New Roman" w:hAnsi="Times New Roman"/>
          <w:lang w:val="bs-Latn-BA"/>
        </w:rPr>
        <w:t xml:space="preserve"> </w:t>
      </w:r>
      <w:r>
        <w:rPr>
          <w:rFonts w:ascii="Times New Roman" w:hAnsi="Times New Roman"/>
          <w:lang w:val="bs-Latn-BA"/>
        </w:rPr>
        <w:t>укључило</w:t>
      </w:r>
      <w:r w:rsidR="00EB086C" w:rsidRPr="00295637">
        <w:rPr>
          <w:rFonts w:ascii="Times New Roman" w:hAnsi="Times New Roman"/>
          <w:lang w:val="bs-Latn-BA"/>
        </w:rPr>
        <w:t xml:space="preserve"> </w:t>
      </w:r>
      <w:r>
        <w:rPr>
          <w:rFonts w:ascii="Times New Roman" w:hAnsi="Times New Roman"/>
          <w:lang w:val="bs-Latn-BA"/>
        </w:rPr>
        <w:t>је</w:t>
      </w:r>
      <w:r w:rsidR="00EB086C" w:rsidRPr="00295637">
        <w:rPr>
          <w:rFonts w:ascii="Times New Roman" w:hAnsi="Times New Roman"/>
          <w:lang w:val="bs-Latn-BA"/>
        </w:rPr>
        <w:t xml:space="preserve"> </w:t>
      </w:r>
      <w:r>
        <w:rPr>
          <w:rFonts w:ascii="Times New Roman" w:hAnsi="Times New Roman"/>
          <w:lang w:val="bs-Latn-BA"/>
        </w:rPr>
        <w:t>РО</w:t>
      </w:r>
      <w:r w:rsidR="00721E23">
        <w:rPr>
          <w:rFonts w:ascii="Times New Roman" w:hAnsi="Times New Roman"/>
          <w:lang w:val="sr-Cyrl-BA"/>
        </w:rPr>
        <w:t>Б</w:t>
      </w:r>
      <w:r w:rsidR="00EB086C" w:rsidRPr="00295637">
        <w:rPr>
          <w:rFonts w:ascii="Times New Roman" w:hAnsi="Times New Roman"/>
          <w:lang w:val="bs-Latn-BA"/>
        </w:rPr>
        <w:t xml:space="preserve"> </w:t>
      </w:r>
      <w:r>
        <w:rPr>
          <w:rFonts w:ascii="Times New Roman" w:hAnsi="Times New Roman"/>
          <w:lang w:val="bs-Latn-BA"/>
        </w:rPr>
        <w:t>у</w:t>
      </w:r>
      <w:r w:rsidR="00EB086C" w:rsidRPr="00295637">
        <w:rPr>
          <w:rFonts w:ascii="Times New Roman" w:hAnsi="Times New Roman"/>
          <w:lang w:val="bs-Latn-BA"/>
        </w:rPr>
        <w:t xml:space="preserve"> </w:t>
      </w:r>
      <w:r>
        <w:rPr>
          <w:rFonts w:ascii="Times New Roman" w:hAnsi="Times New Roman"/>
          <w:lang w:val="bs-Latn-BA"/>
        </w:rPr>
        <w:t>своје</w:t>
      </w:r>
      <w:r w:rsidR="00EB086C" w:rsidRPr="00295637">
        <w:rPr>
          <w:rFonts w:ascii="Times New Roman" w:hAnsi="Times New Roman"/>
          <w:lang w:val="bs-Latn-BA"/>
        </w:rPr>
        <w:t xml:space="preserve"> </w:t>
      </w:r>
      <w:r>
        <w:rPr>
          <w:rFonts w:ascii="Times New Roman" w:hAnsi="Times New Roman"/>
          <w:lang w:val="bs-Latn-BA"/>
        </w:rPr>
        <w:t>финансијске</w:t>
      </w:r>
      <w:r w:rsidR="00EB086C" w:rsidRPr="00295637">
        <w:rPr>
          <w:rFonts w:ascii="Times New Roman" w:hAnsi="Times New Roman"/>
          <w:lang w:val="bs-Latn-BA"/>
        </w:rPr>
        <w:t xml:space="preserve"> </w:t>
      </w:r>
      <w:r>
        <w:rPr>
          <w:rFonts w:ascii="Times New Roman" w:hAnsi="Times New Roman"/>
          <w:lang w:val="bs-Latn-BA"/>
        </w:rPr>
        <w:t>захтјеве</w:t>
      </w:r>
      <w:r w:rsidR="00EB086C" w:rsidRPr="00295637">
        <w:rPr>
          <w:rFonts w:ascii="Times New Roman" w:hAnsi="Times New Roman"/>
          <w:lang w:val="bs-Latn-BA"/>
        </w:rPr>
        <w:t xml:space="preserve">. </w:t>
      </w:r>
      <w:r>
        <w:rPr>
          <w:rFonts w:ascii="Times New Roman" w:hAnsi="Times New Roman"/>
          <w:lang w:val="bs-Latn-BA"/>
        </w:rPr>
        <w:t>Ова</w:t>
      </w:r>
      <w:r w:rsidR="00EB086C" w:rsidRPr="00295637">
        <w:rPr>
          <w:rFonts w:ascii="Times New Roman" w:hAnsi="Times New Roman"/>
          <w:lang w:val="bs-Latn-BA"/>
        </w:rPr>
        <w:t xml:space="preserve"> </w:t>
      </w:r>
      <w:r>
        <w:rPr>
          <w:rFonts w:ascii="Times New Roman" w:hAnsi="Times New Roman"/>
          <w:lang w:val="bs-Latn-BA"/>
        </w:rPr>
        <w:t>пракса</w:t>
      </w:r>
      <w:r w:rsidR="00EB086C" w:rsidRPr="00295637">
        <w:rPr>
          <w:rFonts w:ascii="Times New Roman" w:hAnsi="Times New Roman"/>
          <w:lang w:val="bs-Latn-BA"/>
        </w:rPr>
        <w:t xml:space="preserve"> </w:t>
      </w:r>
      <w:r>
        <w:rPr>
          <w:rFonts w:ascii="Times New Roman" w:hAnsi="Times New Roman"/>
          <w:lang w:val="bs-Latn-BA"/>
        </w:rPr>
        <w:t>омогућава</w:t>
      </w:r>
      <w:r w:rsidR="00EB086C" w:rsidRPr="00295637">
        <w:rPr>
          <w:rFonts w:ascii="Times New Roman" w:hAnsi="Times New Roman"/>
          <w:lang w:val="bs-Latn-BA"/>
        </w:rPr>
        <w:t xml:space="preserve"> </w:t>
      </w:r>
      <w:r>
        <w:rPr>
          <w:rFonts w:ascii="Times New Roman" w:hAnsi="Times New Roman"/>
          <w:lang w:val="bs-Latn-BA"/>
        </w:rPr>
        <w:t>систематично</w:t>
      </w:r>
      <w:r w:rsidR="00EB086C" w:rsidRPr="00295637">
        <w:rPr>
          <w:rFonts w:ascii="Times New Roman" w:hAnsi="Times New Roman"/>
          <w:lang w:val="bs-Latn-BA"/>
        </w:rPr>
        <w:t xml:space="preserve"> </w:t>
      </w:r>
      <w:r>
        <w:rPr>
          <w:rFonts w:ascii="Times New Roman" w:hAnsi="Times New Roman"/>
          <w:lang w:val="bs-Latn-BA"/>
        </w:rPr>
        <w:t>праћење</w:t>
      </w:r>
      <w:r w:rsidR="00EB086C" w:rsidRPr="00295637">
        <w:rPr>
          <w:rFonts w:ascii="Times New Roman" w:hAnsi="Times New Roman"/>
          <w:lang w:val="bs-Latn-BA"/>
        </w:rPr>
        <w:t xml:space="preserve"> </w:t>
      </w:r>
      <w:r>
        <w:rPr>
          <w:rFonts w:ascii="Times New Roman" w:hAnsi="Times New Roman"/>
          <w:lang w:val="bs-Latn-BA"/>
        </w:rPr>
        <w:t>родне</w:t>
      </w:r>
      <w:r w:rsidR="00EB086C" w:rsidRPr="00295637">
        <w:rPr>
          <w:rFonts w:ascii="Times New Roman" w:hAnsi="Times New Roman"/>
          <w:lang w:val="bs-Latn-BA"/>
        </w:rPr>
        <w:t xml:space="preserve"> </w:t>
      </w:r>
      <w:r>
        <w:rPr>
          <w:rFonts w:ascii="Times New Roman" w:hAnsi="Times New Roman"/>
          <w:lang w:val="bs-Latn-BA"/>
        </w:rPr>
        <w:t>димензије</w:t>
      </w:r>
      <w:r w:rsidR="00EB086C" w:rsidRPr="00295637">
        <w:rPr>
          <w:rFonts w:ascii="Times New Roman" w:hAnsi="Times New Roman"/>
          <w:lang w:val="bs-Latn-BA"/>
        </w:rPr>
        <w:t xml:space="preserve"> </w:t>
      </w:r>
      <w:r>
        <w:rPr>
          <w:rFonts w:ascii="Times New Roman" w:hAnsi="Times New Roman"/>
          <w:lang w:val="bs-Latn-BA"/>
        </w:rPr>
        <w:t>трошења</w:t>
      </w:r>
      <w:r w:rsidR="00EB086C" w:rsidRPr="00295637">
        <w:rPr>
          <w:rFonts w:ascii="Times New Roman" w:hAnsi="Times New Roman"/>
          <w:lang w:val="bs-Latn-BA"/>
        </w:rPr>
        <w:t xml:space="preserve"> </w:t>
      </w:r>
      <w:r>
        <w:rPr>
          <w:rFonts w:ascii="Times New Roman" w:hAnsi="Times New Roman"/>
          <w:lang w:val="bs-Latn-BA"/>
        </w:rPr>
        <w:t>јавних</w:t>
      </w:r>
      <w:r w:rsidR="00EB086C" w:rsidRPr="00295637">
        <w:rPr>
          <w:rFonts w:ascii="Times New Roman" w:hAnsi="Times New Roman"/>
          <w:lang w:val="bs-Latn-BA"/>
        </w:rPr>
        <w:t xml:space="preserve"> </w:t>
      </w:r>
      <w:r>
        <w:rPr>
          <w:rFonts w:ascii="Times New Roman" w:hAnsi="Times New Roman"/>
          <w:lang w:val="bs-Latn-BA"/>
        </w:rPr>
        <w:t>средстава</w:t>
      </w:r>
      <w:r w:rsidR="00EB086C" w:rsidRPr="00295637">
        <w:rPr>
          <w:rFonts w:ascii="Gill Sans MT" w:hAnsi="Gill Sans MT"/>
          <w:lang w:val="bs-Latn-BA"/>
        </w:rPr>
        <w:t>.</w:t>
      </w:r>
      <w:r w:rsidR="0088627C" w:rsidRPr="00295637">
        <w:rPr>
          <w:rFonts w:ascii="Gill Sans MT" w:hAnsi="Gill Sans MT"/>
          <w:lang w:val="bs-Latn-BA"/>
        </w:rPr>
        <w:t xml:space="preserve"> </w:t>
      </w:r>
    </w:p>
    <w:p w:rsidR="002E3BDE" w:rsidRPr="00295637" w:rsidRDefault="002E3BDE" w:rsidP="0086268D">
      <w:pPr>
        <w:jc w:val="both"/>
        <w:rPr>
          <w:rFonts w:ascii="Gill Sans MT" w:hAnsi="Gill Sans MT"/>
          <w:lang w:val="bs-Latn-BA"/>
        </w:rPr>
      </w:pPr>
    </w:p>
    <w:p w:rsidR="00EB086C" w:rsidRPr="00295637" w:rsidRDefault="00C6214E" w:rsidP="0086268D">
      <w:pPr>
        <w:jc w:val="both"/>
        <w:rPr>
          <w:rFonts w:ascii="Times New Roman" w:hAnsi="Times New Roman"/>
          <w:szCs w:val="24"/>
          <w:lang w:val="bs-Latn-BA"/>
        </w:rPr>
      </w:pPr>
      <w:r>
        <w:rPr>
          <w:rStyle w:val="Strong"/>
          <w:rFonts w:ascii="Times New Roman" w:hAnsi="Times New Roman"/>
          <w:b w:val="0"/>
          <w:lang w:val="bs-Latn-BA"/>
        </w:rPr>
        <w:t>У</w:t>
      </w:r>
      <w:r w:rsidR="00546EB7">
        <w:rPr>
          <w:rStyle w:val="Strong"/>
          <w:rFonts w:ascii="Times New Roman" w:hAnsi="Times New Roman"/>
          <w:b w:val="0"/>
          <w:lang w:val="bs-Latn-BA"/>
        </w:rPr>
        <w:t xml:space="preserve"> </w:t>
      </w:r>
      <w:r>
        <w:rPr>
          <w:rStyle w:val="Strong"/>
          <w:rFonts w:ascii="Times New Roman" w:hAnsi="Times New Roman"/>
          <w:b w:val="0"/>
          <w:lang w:val="bs-Latn-BA"/>
        </w:rPr>
        <w:t>вези</w:t>
      </w:r>
      <w:r w:rsidR="00546EB7">
        <w:rPr>
          <w:rStyle w:val="Strong"/>
          <w:rFonts w:ascii="Times New Roman" w:hAnsi="Times New Roman"/>
          <w:b w:val="0"/>
          <w:lang w:val="bs-Latn-BA"/>
        </w:rPr>
        <w:t xml:space="preserve"> </w:t>
      </w:r>
      <w:r>
        <w:rPr>
          <w:rStyle w:val="Strong"/>
          <w:rFonts w:ascii="Times New Roman" w:hAnsi="Times New Roman"/>
          <w:b w:val="0"/>
          <w:lang w:val="bs-Latn-BA"/>
        </w:rPr>
        <w:t>са</w:t>
      </w:r>
      <w:r w:rsidR="0088627C" w:rsidRPr="00295637">
        <w:rPr>
          <w:rStyle w:val="Strong"/>
          <w:rFonts w:ascii="Times New Roman" w:hAnsi="Times New Roman"/>
          <w:b w:val="0"/>
          <w:lang w:val="bs-Latn-BA"/>
        </w:rPr>
        <w:t xml:space="preserve"> </w:t>
      </w:r>
      <w:r>
        <w:rPr>
          <w:rStyle w:val="Strong"/>
          <w:rFonts w:ascii="Times New Roman" w:hAnsi="Times New Roman"/>
          <w:b w:val="0"/>
          <w:lang w:val="bs-Latn-BA"/>
        </w:rPr>
        <w:t>идентификацијом</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програма</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за</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примјену</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РО</w:t>
      </w:r>
      <w:r w:rsidR="00721E23">
        <w:rPr>
          <w:rStyle w:val="Strong"/>
          <w:rFonts w:ascii="Times New Roman" w:hAnsi="Times New Roman"/>
          <w:b w:val="0"/>
          <w:lang w:val="sr-Cyrl-BA"/>
        </w:rPr>
        <w:t>Б</w:t>
      </w:r>
      <w:r w:rsidR="00EB086C" w:rsidRPr="00295637">
        <w:rPr>
          <w:rStyle w:val="Strong"/>
          <w:rFonts w:ascii="Times New Roman" w:hAnsi="Times New Roman"/>
          <w:b w:val="0"/>
          <w:lang w:val="bs-Latn-BA"/>
        </w:rPr>
        <w:t>-</w:t>
      </w:r>
      <w:r>
        <w:rPr>
          <w:rStyle w:val="Strong"/>
          <w:rFonts w:ascii="Times New Roman" w:hAnsi="Times New Roman"/>
          <w:b w:val="0"/>
          <w:lang w:val="bs-Latn-BA"/>
        </w:rPr>
        <w:t>а</w:t>
      </w:r>
      <w:r w:rsidR="0088627C" w:rsidRPr="00295637">
        <w:rPr>
          <w:rStyle w:val="Strong"/>
          <w:rFonts w:ascii="Times New Roman" w:hAnsi="Times New Roman"/>
          <w:b w:val="0"/>
          <w:lang w:val="bs-Latn-BA"/>
        </w:rPr>
        <w:t>,</w:t>
      </w:r>
      <w:r w:rsidR="00EB086C" w:rsidRPr="00295637">
        <w:rPr>
          <w:rFonts w:ascii="Times New Roman" w:hAnsi="Times New Roman"/>
          <w:lang w:val="bs-Latn-BA"/>
        </w:rPr>
        <w:t xml:space="preserve"> </w:t>
      </w:r>
      <w:r>
        <w:rPr>
          <w:rFonts w:ascii="Times New Roman" w:hAnsi="Times New Roman"/>
          <w:lang w:val="bs-Latn-BA"/>
        </w:rPr>
        <w:t>Закон</w:t>
      </w:r>
      <w:r w:rsidR="00EB086C" w:rsidRPr="00295637">
        <w:rPr>
          <w:rFonts w:ascii="Times New Roman" w:hAnsi="Times New Roman"/>
          <w:lang w:val="bs-Latn-BA"/>
        </w:rPr>
        <w:t xml:space="preserve"> </w:t>
      </w:r>
      <w:r>
        <w:rPr>
          <w:rFonts w:ascii="Times New Roman" w:hAnsi="Times New Roman"/>
          <w:lang w:val="bs-Latn-BA"/>
        </w:rPr>
        <w:t>о</w:t>
      </w:r>
      <w:r w:rsidR="0088627C" w:rsidRPr="00295637">
        <w:rPr>
          <w:rFonts w:ascii="Times New Roman" w:hAnsi="Times New Roman"/>
          <w:lang w:val="bs-Latn-BA"/>
        </w:rPr>
        <w:t xml:space="preserve"> </w:t>
      </w:r>
      <w:r>
        <w:rPr>
          <w:rFonts w:ascii="Times New Roman" w:hAnsi="Times New Roman"/>
          <w:lang w:val="bs-Latn-BA"/>
        </w:rPr>
        <w:t>измјенама</w:t>
      </w:r>
      <w:r w:rsidR="0088627C" w:rsidRPr="00295637">
        <w:rPr>
          <w:rFonts w:ascii="Times New Roman" w:hAnsi="Times New Roman"/>
          <w:lang w:val="bs-Latn-BA"/>
        </w:rPr>
        <w:t xml:space="preserve"> </w:t>
      </w:r>
      <w:r>
        <w:rPr>
          <w:rFonts w:ascii="Times New Roman" w:hAnsi="Times New Roman"/>
          <w:lang w:val="bs-Latn-BA"/>
        </w:rPr>
        <w:t>и</w:t>
      </w:r>
      <w:r w:rsidR="0088627C" w:rsidRPr="00295637">
        <w:rPr>
          <w:rFonts w:ascii="Times New Roman" w:hAnsi="Times New Roman"/>
          <w:lang w:val="bs-Latn-BA"/>
        </w:rPr>
        <w:t xml:space="preserve"> </w:t>
      </w:r>
      <w:r>
        <w:rPr>
          <w:rFonts w:ascii="Times New Roman" w:hAnsi="Times New Roman"/>
          <w:lang w:val="bs-Latn-BA"/>
        </w:rPr>
        <w:t>допунама</w:t>
      </w:r>
      <w:r w:rsidR="0088627C" w:rsidRPr="00295637">
        <w:rPr>
          <w:rFonts w:ascii="Times New Roman" w:hAnsi="Times New Roman"/>
          <w:lang w:val="bs-Latn-BA"/>
        </w:rPr>
        <w:t xml:space="preserve"> </w:t>
      </w:r>
      <w:r>
        <w:rPr>
          <w:rFonts w:ascii="Times New Roman" w:hAnsi="Times New Roman"/>
          <w:lang w:val="bs-Latn-BA"/>
        </w:rPr>
        <w:t>Закона</w:t>
      </w:r>
      <w:r w:rsidR="0088627C" w:rsidRPr="00295637">
        <w:rPr>
          <w:rFonts w:ascii="Times New Roman" w:hAnsi="Times New Roman"/>
          <w:lang w:val="bs-Latn-BA"/>
        </w:rPr>
        <w:t xml:space="preserve"> </w:t>
      </w:r>
      <w:r>
        <w:rPr>
          <w:rFonts w:ascii="Times New Roman" w:hAnsi="Times New Roman"/>
          <w:lang w:val="bs-Latn-BA"/>
        </w:rPr>
        <w:t>о</w:t>
      </w:r>
      <w:r w:rsidR="0088627C" w:rsidRPr="00295637">
        <w:rPr>
          <w:rFonts w:ascii="Times New Roman" w:hAnsi="Times New Roman"/>
          <w:lang w:val="bs-Latn-BA"/>
        </w:rPr>
        <w:t xml:space="preserve"> </w:t>
      </w:r>
      <w:r>
        <w:rPr>
          <w:rFonts w:ascii="Times New Roman" w:hAnsi="Times New Roman"/>
          <w:lang w:val="bs-Latn-BA"/>
        </w:rPr>
        <w:t>буџетима</w:t>
      </w:r>
      <w:r w:rsidR="00EB086C" w:rsidRPr="00295637">
        <w:rPr>
          <w:rFonts w:ascii="Times New Roman" w:hAnsi="Times New Roman"/>
          <w:lang w:val="bs-Latn-BA"/>
        </w:rPr>
        <w:t xml:space="preserve"> </w:t>
      </w:r>
      <w:r>
        <w:rPr>
          <w:rFonts w:ascii="Times New Roman" w:hAnsi="Times New Roman"/>
          <w:lang w:val="bs-Latn-BA"/>
        </w:rPr>
        <w:t>ФБиХ</w:t>
      </w:r>
      <w:r w:rsidR="00EB086C" w:rsidRPr="00295637">
        <w:rPr>
          <w:rFonts w:ascii="Times New Roman" w:hAnsi="Times New Roman"/>
          <w:lang w:val="bs-Latn-BA"/>
        </w:rPr>
        <w:t xml:space="preserve"> </w:t>
      </w:r>
      <w:r>
        <w:rPr>
          <w:rFonts w:ascii="Times New Roman" w:hAnsi="Times New Roman"/>
          <w:lang w:val="bs-Latn-BA"/>
        </w:rPr>
        <w:t>је</w:t>
      </w:r>
      <w:r w:rsidR="0088627C" w:rsidRPr="00295637">
        <w:rPr>
          <w:rFonts w:ascii="Times New Roman" w:hAnsi="Times New Roman"/>
          <w:lang w:val="bs-Latn-BA"/>
        </w:rPr>
        <w:t xml:space="preserve"> </w:t>
      </w:r>
      <w:r>
        <w:rPr>
          <w:rFonts w:ascii="Times New Roman" w:hAnsi="Times New Roman"/>
          <w:lang w:val="bs-Latn-BA"/>
        </w:rPr>
        <w:t>измијенио</w:t>
      </w:r>
      <w:r w:rsidR="00EB086C" w:rsidRPr="00295637">
        <w:rPr>
          <w:rFonts w:ascii="Times New Roman" w:hAnsi="Times New Roman"/>
          <w:lang w:val="bs-Latn-BA"/>
        </w:rPr>
        <w:t xml:space="preserve"> </w:t>
      </w:r>
      <w:r>
        <w:rPr>
          <w:rFonts w:ascii="Times New Roman" w:hAnsi="Times New Roman"/>
          <w:lang w:val="bs-Latn-BA"/>
        </w:rPr>
        <w:t>почетак</w:t>
      </w:r>
      <w:r w:rsidR="00EB086C" w:rsidRPr="00295637">
        <w:rPr>
          <w:rFonts w:ascii="Times New Roman" w:hAnsi="Times New Roman"/>
          <w:lang w:val="bs-Latn-BA"/>
        </w:rPr>
        <w:t xml:space="preserve"> </w:t>
      </w:r>
      <w:r>
        <w:rPr>
          <w:rFonts w:ascii="Times New Roman" w:hAnsi="Times New Roman"/>
          <w:lang w:val="bs-Latn-BA"/>
        </w:rPr>
        <w:t>примјене</w:t>
      </w:r>
      <w:r w:rsidR="00EB086C" w:rsidRPr="00295637">
        <w:rPr>
          <w:rFonts w:ascii="Times New Roman" w:hAnsi="Times New Roman"/>
          <w:lang w:val="bs-Latn-BA"/>
        </w:rPr>
        <w:t xml:space="preserve"> </w:t>
      </w:r>
      <w:r>
        <w:rPr>
          <w:rFonts w:ascii="Times New Roman" w:hAnsi="Times New Roman"/>
          <w:lang w:val="bs-Latn-BA"/>
        </w:rPr>
        <w:t>програмског</w:t>
      </w:r>
      <w:r w:rsidR="00EB086C" w:rsidRPr="00295637">
        <w:rPr>
          <w:rFonts w:ascii="Times New Roman" w:hAnsi="Times New Roman"/>
          <w:lang w:val="bs-Latn-BA"/>
        </w:rPr>
        <w:t xml:space="preserve"> </w:t>
      </w:r>
      <w:r>
        <w:rPr>
          <w:rFonts w:ascii="Times New Roman" w:hAnsi="Times New Roman"/>
          <w:lang w:val="bs-Latn-BA"/>
        </w:rPr>
        <w:t>буџетирања</w:t>
      </w:r>
      <w:r w:rsidR="00EB086C" w:rsidRPr="00295637">
        <w:rPr>
          <w:rFonts w:ascii="Times New Roman" w:hAnsi="Times New Roman"/>
          <w:lang w:val="bs-Latn-BA"/>
        </w:rPr>
        <w:t xml:space="preserve">, </w:t>
      </w:r>
      <w:r>
        <w:rPr>
          <w:rFonts w:ascii="Times New Roman" w:hAnsi="Times New Roman"/>
          <w:lang w:val="bs-Latn-BA"/>
        </w:rPr>
        <w:t>који</w:t>
      </w:r>
      <w:r w:rsidR="00EB086C" w:rsidRPr="00295637">
        <w:rPr>
          <w:rFonts w:ascii="Times New Roman" w:hAnsi="Times New Roman"/>
          <w:lang w:val="bs-Latn-BA"/>
        </w:rPr>
        <w:t xml:space="preserve"> </w:t>
      </w:r>
      <w:r>
        <w:rPr>
          <w:rFonts w:ascii="Times New Roman" w:hAnsi="Times New Roman"/>
          <w:lang w:val="bs-Latn-BA"/>
        </w:rPr>
        <w:t>је</w:t>
      </w:r>
      <w:r w:rsidR="00EB086C" w:rsidRPr="00295637">
        <w:rPr>
          <w:rFonts w:ascii="Times New Roman" w:hAnsi="Times New Roman"/>
          <w:lang w:val="bs-Latn-BA"/>
        </w:rPr>
        <w:t xml:space="preserve"> </w:t>
      </w:r>
      <w:r>
        <w:rPr>
          <w:rFonts w:ascii="Times New Roman" w:hAnsi="Times New Roman"/>
          <w:lang w:val="bs-Latn-BA"/>
        </w:rPr>
        <w:t>сада</w:t>
      </w:r>
      <w:r w:rsidR="00EB086C" w:rsidRPr="00295637">
        <w:rPr>
          <w:rFonts w:ascii="Times New Roman" w:hAnsi="Times New Roman"/>
          <w:lang w:val="bs-Latn-BA"/>
        </w:rPr>
        <w:t xml:space="preserve"> </w:t>
      </w:r>
      <w:r>
        <w:rPr>
          <w:rFonts w:ascii="Times New Roman" w:hAnsi="Times New Roman"/>
          <w:lang w:val="bs-Latn-BA"/>
        </w:rPr>
        <w:t>планиран</w:t>
      </w:r>
      <w:r w:rsidR="00EB086C" w:rsidRPr="00295637">
        <w:rPr>
          <w:rFonts w:ascii="Times New Roman" w:hAnsi="Times New Roman"/>
          <w:lang w:val="bs-Latn-BA"/>
        </w:rPr>
        <w:t xml:space="preserve"> </w:t>
      </w:r>
      <w:r>
        <w:rPr>
          <w:rFonts w:ascii="Times New Roman" w:hAnsi="Times New Roman"/>
          <w:lang w:val="bs-Latn-BA"/>
        </w:rPr>
        <w:t>за</w:t>
      </w:r>
      <w:r w:rsidR="00EB086C" w:rsidRPr="00295637">
        <w:rPr>
          <w:rFonts w:ascii="Times New Roman" w:hAnsi="Times New Roman"/>
          <w:lang w:val="bs-Latn-BA"/>
        </w:rPr>
        <w:t xml:space="preserve"> </w:t>
      </w:r>
      <w:r w:rsidR="00EB086C" w:rsidRPr="00295637">
        <w:rPr>
          <w:rStyle w:val="Strong"/>
          <w:rFonts w:ascii="Times New Roman" w:hAnsi="Times New Roman"/>
          <w:b w:val="0"/>
          <w:lang w:val="bs-Latn-BA"/>
        </w:rPr>
        <w:t xml:space="preserve">2026. </w:t>
      </w:r>
      <w:r>
        <w:rPr>
          <w:rStyle w:val="Strong"/>
          <w:rFonts w:ascii="Times New Roman" w:hAnsi="Times New Roman"/>
          <w:b w:val="0"/>
          <w:lang w:val="bs-Latn-BA"/>
        </w:rPr>
        <w:t>годину</w:t>
      </w:r>
      <w:r w:rsidR="00EB086C" w:rsidRPr="00295637">
        <w:rPr>
          <w:rFonts w:ascii="Times New Roman" w:hAnsi="Times New Roman"/>
          <w:lang w:val="bs-Latn-BA"/>
        </w:rPr>
        <w:t xml:space="preserve"> </w:t>
      </w:r>
      <w:r>
        <w:rPr>
          <w:rFonts w:ascii="Times New Roman" w:hAnsi="Times New Roman"/>
          <w:lang w:val="bs-Latn-BA"/>
        </w:rPr>
        <w:t>на</w:t>
      </w:r>
      <w:r w:rsidR="00EB086C" w:rsidRPr="00295637">
        <w:rPr>
          <w:rFonts w:ascii="Times New Roman" w:hAnsi="Times New Roman"/>
          <w:lang w:val="bs-Latn-BA"/>
        </w:rPr>
        <w:t xml:space="preserve"> </w:t>
      </w:r>
      <w:r>
        <w:rPr>
          <w:rFonts w:ascii="Times New Roman" w:hAnsi="Times New Roman"/>
          <w:lang w:val="bs-Latn-BA"/>
        </w:rPr>
        <w:t>нивоу</w:t>
      </w:r>
      <w:r w:rsidR="00EB086C" w:rsidRPr="00295637">
        <w:rPr>
          <w:rFonts w:ascii="Times New Roman" w:hAnsi="Times New Roman"/>
          <w:lang w:val="bs-Latn-BA"/>
        </w:rPr>
        <w:t xml:space="preserve"> </w:t>
      </w:r>
      <w:r>
        <w:rPr>
          <w:rFonts w:ascii="Times New Roman" w:hAnsi="Times New Roman"/>
          <w:lang w:val="bs-Latn-BA"/>
        </w:rPr>
        <w:t>ФБиХ</w:t>
      </w:r>
      <w:r w:rsidR="00EB086C" w:rsidRPr="00295637">
        <w:rPr>
          <w:rFonts w:ascii="Times New Roman" w:hAnsi="Times New Roman"/>
          <w:lang w:val="bs-Latn-BA"/>
        </w:rPr>
        <w:t xml:space="preserve">. </w:t>
      </w:r>
      <w:r>
        <w:rPr>
          <w:rFonts w:ascii="Times New Roman" w:hAnsi="Times New Roman"/>
          <w:lang w:val="bs-Latn-BA"/>
        </w:rPr>
        <w:t>Због</w:t>
      </w:r>
      <w:r w:rsidR="00EB086C" w:rsidRPr="00295637">
        <w:rPr>
          <w:rFonts w:ascii="Times New Roman" w:hAnsi="Times New Roman"/>
          <w:lang w:val="bs-Latn-BA"/>
        </w:rPr>
        <w:t xml:space="preserve"> </w:t>
      </w:r>
      <w:r>
        <w:rPr>
          <w:rFonts w:ascii="Times New Roman" w:hAnsi="Times New Roman"/>
          <w:lang w:val="bs-Latn-BA"/>
        </w:rPr>
        <w:t>ове</w:t>
      </w:r>
      <w:r w:rsidR="00EB086C" w:rsidRPr="00295637">
        <w:rPr>
          <w:rFonts w:ascii="Times New Roman" w:hAnsi="Times New Roman"/>
          <w:lang w:val="bs-Latn-BA"/>
        </w:rPr>
        <w:t xml:space="preserve"> </w:t>
      </w:r>
      <w:r>
        <w:rPr>
          <w:rFonts w:ascii="Times New Roman" w:hAnsi="Times New Roman"/>
          <w:lang w:val="bs-Latn-BA"/>
        </w:rPr>
        <w:t>измјене</w:t>
      </w:r>
      <w:r w:rsidR="00EB086C" w:rsidRPr="00295637">
        <w:rPr>
          <w:rFonts w:ascii="Times New Roman" w:hAnsi="Times New Roman"/>
          <w:lang w:val="bs-Latn-BA"/>
        </w:rPr>
        <w:t xml:space="preserve">, </w:t>
      </w:r>
      <w:r>
        <w:rPr>
          <w:rFonts w:ascii="Times New Roman" w:hAnsi="Times New Roman"/>
          <w:lang w:val="bs-Latn-BA"/>
        </w:rPr>
        <w:t>ФМФ</w:t>
      </w:r>
      <w:r w:rsidR="00EB086C" w:rsidRPr="00295637">
        <w:rPr>
          <w:rFonts w:ascii="Times New Roman" w:hAnsi="Times New Roman"/>
          <w:lang w:val="bs-Latn-BA"/>
        </w:rPr>
        <w:t xml:space="preserve"> </w:t>
      </w:r>
      <w:r>
        <w:rPr>
          <w:rFonts w:ascii="Times New Roman" w:hAnsi="Times New Roman"/>
          <w:lang w:val="bs-Latn-BA"/>
        </w:rPr>
        <w:t>тренутно</w:t>
      </w:r>
      <w:r w:rsidR="00EB086C" w:rsidRPr="00295637">
        <w:rPr>
          <w:rFonts w:ascii="Times New Roman" w:hAnsi="Times New Roman"/>
          <w:lang w:val="bs-Latn-BA"/>
        </w:rPr>
        <w:t xml:space="preserve"> </w:t>
      </w:r>
      <w:r>
        <w:rPr>
          <w:rFonts w:ascii="Times New Roman" w:hAnsi="Times New Roman"/>
          <w:lang w:val="bs-Latn-BA"/>
        </w:rPr>
        <w:t>није</w:t>
      </w:r>
      <w:r w:rsidR="00EB086C" w:rsidRPr="00295637">
        <w:rPr>
          <w:rFonts w:ascii="Times New Roman" w:hAnsi="Times New Roman"/>
          <w:lang w:val="bs-Latn-BA"/>
        </w:rPr>
        <w:t xml:space="preserve"> </w:t>
      </w:r>
      <w:r>
        <w:rPr>
          <w:rFonts w:ascii="Times New Roman" w:hAnsi="Times New Roman"/>
          <w:lang w:val="bs-Latn-BA"/>
        </w:rPr>
        <w:t>у</w:t>
      </w:r>
      <w:r w:rsidR="00EB086C" w:rsidRPr="00295637">
        <w:rPr>
          <w:rFonts w:ascii="Times New Roman" w:hAnsi="Times New Roman"/>
          <w:lang w:val="bs-Latn-BA"/>
        </w:rPr>
        <w:t xml:space="preserve"> </w:t>
      </w:r>
      <w:r>
        <w:rPr>
          <w:rFonts w:ascii="Times New Roman" w:hAnsi="Times New Roman"/>
          <w:lang w:val="bs-Latn-BA"/>
        </w:rPr>
        <w:t>могућности</w:t>
      </w:r>
      <w:r w:rsidR="00EB086C" w:rsidRPr="00295637">
        <w:rPr>
          <w:rFonts w:ascii="Times New Roman" w:hAnsi="Times New Roman"/>
          <w:lang w:val="bs-Latn-BA"/>
        </w:rPr>
        <w:t xml:space="preserve"> </w:t>
      </w:r>
      <w:r w:rsidR="00FF06BD">
        <w:rPr>
          <w:rFonts w:ascii="Times New Roman" w:hAnsi="Times New Roman"/>
          <w:lang w:val="sr-Cyrl-BA"/>
        </w:rPr>
        <w:t>спроводити</w:t>
      </w:r>
      <w:r w:rsidR="00EB086C" w:rsidRPr="00295637">
        <w:rPr>
          <w:rFonts w:ascii="Times New Roman" w:hAnsi="Times New Roman"/>
          <w:lang w:val="bs-Latn-BA"/>
        </w:rPr>
        <w:t xml:space="preserve"> </w:t>
      </w:r>
      <w:r>
        <w:rPr>
          <w:rFonts w:ascii="Times New Roman" w:hAnsi="Times New Roman"/>
          <w:lang w:val="bs-Latn-BA"/>
        </w:rPr>
        <w:t>РО</w:t>
      </w:r>
      <w:r w:rsidR="00FF06BD">
        <w:rPr>
          <w:rFonts w:ascii="Times New Roman" w:hAnsi="Times New Roman"/>
          <w:lang w:val="sr-Cyrl-BA"/>
        </w:rPr>
        <w:t>Б</w:t>
      </w:r>
      <w:r w:rsidR="00EB086C" w:rsidRPr="00295637">
        <w:rPr>
          <w:rFonts w:ascii="Times New Roman" w:hAnsi="Times New Roman"/>
          <w:lang w:val="bs-Latn-BA"/>
        </w:rPr>
        <w:t xml:space="preserve"> </w:t>
      </w:r>
      <w:r>
        <w:rPr>
          <w:rFonts w:ascii="Times New Roman" w:hAnsi="Times New Roman"/>
          <w:lang w:val="bs-Latn-BA"/>
        </w:rPr>
        <w:t>на</w:t>
      </w:r>
      <w:r w:rsidR="00EB086C" w:rsidRPr="00295637">
        <w:rPr>
          <w:rFonts w:ascii="Times New Roman" w:hAnsi="Times New Roman"/>
          <w:lang w:val="bs-Latn-BA"/>
        </w:rPr>
        <w:t xml:space="preserve"> </w:t>
      </w:r>
      <w:r>
        <w:rPr>
          <w:rFonts w:ascii="Times New Roman" w:hAnsi="Times New Roman"/>
          <w:lang w:val="bs-Latn-BA"/>
        </w:rPr>
        <w:t>програмски</w:t>
      </w:r>
      <w:r w:rsidR="00EB086C" w:rsidRPr="00295637">
        <w:rPr>
          <w:rFonts w:ascii="Times New Roman" w:hAnsi="Times New Roman"/>
          <w:lang w:val="bs-Latn-BA"/>
        </w:rPr>
        <w:t xml:space="preserve"> </w:t>
      </w:r>
      <w:r>
        <w:rPr>
          <w:rFonts w:ascii="Times New Roman" w:hAnsi="Times New Roman"/>
          <w:lang w:val="bs-Latn-BA"/>
        </w:rPr>
        <w:t>ниво</w:t>
      </w:r>
      <w:r w:rsidR="00EB086C" w:rsidRPr="00295637">
        <w:rPr>
          <w:rFonts w:ascii="Times New Roman" w:hAnsi="Times New Roman"/>
          <w:lang w:val="bs-Latn-BA"/>
        </w:rPr>
        <w:t xml:space="preserve">. </w:t>
      </w:r>
      <w:r w:rsidR="00FF06BD">
        <w:rPr>
          <w:rFonts w:ascii="Times New Roman" w:hAnsi="Times New Roman"/>
          <w:lang w:val="sr-Cyrl-BA"/>
        </w:rPr>
        <w:t>Спровођење</w:t>
      </w:r>
      <w:r w:rsidR="00EB086C" w:rsidRPr="00295637">
        <w:rPr>
          <w:rFonts w:ascii="Times New Roman" w:hAnsi="Times New Roman"/>
          <w:lang w:val="bs-Latn-BA"/>
        </w:rPr>
        <w:t xml:space="preserve"> </w:t>
      </w:r>
      <w:r>
        <w:rPr>
          <w:rFonts w:ascii="Times New Roman" w:hAnsi="Times New Roman"/>
          <w:lang w:val="bs-Latn-BA"/>
        </w:rPr>
        <w:t>се</w:t>
      </w:r>
      <w:r w:rsidR="00EB086C" w:rsidRPr="00295637">
        <w:rPr>
          <w:rFonts w:ascii="Times New Roman" w:hAnsi="Times New Roman"/>
          <w:lang w:val="bs-Latn-BA"/>
        </w:rPr>
        <w:t xml:space="preserve"> </w:t>
      </w:r>
      <w:r>
        <w:rPr>
          <w:rFonts w:ascii="Times New Roman" w:hAnsi="Times New Roman"/>
          <w:lang w:val="bs-Latn-BA"/>
        </w:rPr>
        <w:t>очекује</w:t>
      </w:r>
      <w:r w:rsidR="00EB086C" w:rsidRPr="00295637">
        <w:rPr>
          <w:rFonts w:ascii="Times New Roman" w:hAnsi="Times New Roman"/>
          <w:lang w:val="bs-Latn-BA"/>
        </w:rPr>
        <w:t xml:space="preserve"> </w:t>
      </w:r>
      <w:r>
        <w:rPr>
          <w:rFonts w:ascii="Times New Roman" w:hAnsi="Times New Roman"/>
          <w:lang w:val="bs-Latn-BA"/>
        </w:rPr>
        <w:t>са</w:t>
      </w:r>
      <w:r w:rsidR="00EB086C" w:rsidRPr="00295637">
        <w:rPr>
          <w:rFonts w:ascii="Times New Roman" w:hAnsi="Times New Roman"/>
          <w:lang w:val="bs-Latn-BA"/>
        </w:rPr>
        <w:t xml:space="preserve"> </w:t>
      </w:r>
      <w:r>
        <w:rPr>
          <w:rFonts w:ascii="Times New Roman" w:hAnsi="Times New Roman"/>
          <w:lang w:val="bs-Latn-BA"/>
        </w:rPr>
        <w:t>увођењем</w:t>
      </w:r>
      <w:r w:rsidR="00EB086C" w:rsidRPr="00295637">
        <w:rPr>
          <w:rFonts w:ascii="Times New Roman" w:hAnsi="Times New Roman"/>
          <w:lang w:val="bs-Latn-BA"/>
        </w:rPr>
        <w:t xml:space="preserve"> </w:t>
      </w:r>
      <w:r>
        <w:rPr>
          <w:rFonts w:ascii="Times New Roman" w:hAnsi="Times New Roman"/>
          <w:lang w:val="bs-Latn-BA"/>
        </w:rPr>
        <w:t>новог</w:t>
      </w:r>
      <w:r w:rsidR="00EB086C" w:rsidRPr="00295637">
        <w:rPr>
          <w:rFonts w:ascii="Times New Roman" w:hAnsi="Times New Roman"/>
          <w:lang w:val="bs-Latn-BA"/>
        </w:rPr>
        <w:t xml:space="preserve"> </w:t>
      </w:r>
      <w:r>
        <w:rPr>
          <w:rFonts w:ascii="Times New Roman" w:hAnsi="Times New Roman"/>
          <w:lang w:val="bs-Latn-BA"/>
        </w:rPr>
        <w:t>софтверског</w:t>
      </w:r>
      <w:r w:rsidR="00EB086C" w:rsidRPr="00295637">
        <w:rPr>
          <w:rFonts w:ascii="Times New Roman" w:hAnsi="Times New Roman"/>
          <w:lang w:val="bs-Latn-BA"/>
        </w:rPr>
        <w:t xml:space="preserve"> </w:t>
      </w:r>
      <w:r>
        <w:rPr>
          <w:rFonts w:ascii="Times New Roman" w:hAnsi="Times New Roman"/>
          <w:lang w:val="bs-Latn-BA"/>
        </w:rPr>
        <w:t>рјешења</w:t>
      </w:r>
      <w:r w:rsidR="00EB086C" w:rsidRPr="00295637">
        <w:rPr>
          <w:rFonts w:ascii="Times New Roman" w:hAnsi="Times New Roman"/>
          <w:lang w:val="bs-Latn-BA"/>
        </w:rPr>
        <w:t xml:space="preserve"> </w:t>
      </w:r>
      <w:r>
        <w:rPr>
          <w:rFonts w:ascii="Times New Roman" w:hAnsi="Times New Roman"/>
          <w:lang w:val="bs-Latn-BA"/>
        </w:rPr>
        <w:t>које</w:t>
      </w:r>
      <w:r w:rsidR="00EC4AE0">
        <w:rPr>
          <w:rFonts w:ascii="Times New Roman" w:hAnsi="Times New Roman"/>
          <w:lang w:val="bs-Latn-BA"/>
        </w:rPr>
        <w:t xml:space="preserve"> </w:t>
      </w:r>
      <w:r>
        <w:rPr>
          <w:rFonts w:ascii="Times New Roman" w:hAnsi="Times New Roman"/>
          <w:lang w:val="bs-Latn-BA"/>
        </w:rPr>
        <w:t>ће</w:t>
      </w:r>
      <w:r w:rsidR="00EC4AE0">
        <w:rPr>
          <w:rFonts w:ascii="Times New Roman" w:hAnsi="Times New Roman"/>
          <w:lang w:val="bs-Latn-BA"/>
        </w:rPr>
        <w:t xml:space="preserve"> </w:t>
      </w:r>
      <w:r>
        <w:rPr>
          <w:rFonts w:ascii="Times New Roman" w:hAnsi="Times New Roman"/>
          <w:lang w:val="bs-Latn-BA"/>
        </w:rPr>
        <w:t>омогућити</w:t>
      </w:r>
      <w:r w:rsidR="00EC4AE0">
        <w:rPr>
          <w:rFonts w:ascii="Times New Roman" w:hAnsi="Times New Roman"/>
          <w:lang w:val="bs-Latn-BA"/>
        </w:rPr>
        <w:t xml:space="preserve"> </w:t>
      </w:r>
      <w:r>
        <w:rPr>
          <w:rFonts w:ascii="Times New Roman" w:hAnsi="Times New Roman"/>
          <w:lang w:val="bs-Latn-BA"/>
        </w:rPr>
        <w:t>идентификацију</w:t>
      </w:r>
      <w:r w:rsidR="00EC4AE0">
        <w:rPr>
          <w:rFonts w:ascii="Times New Roman" w:hAnsi="Times New Roman"/>
          <w:lang w:val="bs-Latn-BA"/>
        </w:rPr>
        <w:t xml:space="preserve"> </w:t>
      </w:r>
      <w:r>
        <w:rPr>
          <w:rFonts w:ascii="Times New Roman" w:hAnsi="Times New Roman"/>
          <w:lang w:val="bs-Latn-BA"/>
        </w:rPr>
        <w:t>РО</w:t>
      </w:r>
      <w:r w:rsidR="00FF06BD">
        <w:rPr>
          <w:rFonts w:ascii="Times New Roman" w:hAnsi="Times New Roman"/>
          <w:lang w:val="sr-Cyrl-BA"/>
        </w:rPr>
        <w:t>Б</w:t>
      </w:r>
      <w:r w:rsidR="00EB086C" w:rsidRPr="00295637">
        <w:rPr>
          <w:rFonts w:ascii="Times New Roman" w:hAnsi="Times New Roman"/>
          <w:lang w:val="bs-Latn-BA"/>
        </w:rPr>
        <w:t>-</w:t>
      </w:r>
      <w:r>
        <w:rPr>
          <w:rFonts w:ascii="Times New Roman" w:hAnsi="Times New Roman"/>
          <w:lang w:val="bs-Latn-BA"/>
        </w:rPr>
        <w:t>а</w:t>
      </w:r>
      <w:r w:rsidR="00EB086C" w:rsidRPr="00295637">
        <w:rPr>
          <w:rFonts w:ascii="Times New Roman" w:hAnsi="Times New Roman"/>
          <w:lang w:val="bs-Latn-BA"/>
        </w:rPr>
        <w:t xml:space="preserve"> </w:t>
      </w:r>
      <w:r>
        <w:rPr>
          <w:rFonts w:ascii="Times New Roman" w:hAnsi="Times New Roman"/>
          <w:lang w:val="bs-Latn-BA"/>
        </w:rPr>
        <w:t>унутар</w:t>
      </w:r>
      <w:r w:rsidR="00EB086C" w:rsidRPr="00295637">
        <w:rPr>
          <w:rFonts w:ascii="Times New Roman" w:hAnsi="Times New Roman"/>
          <w:lang w:val="bs-Latn-BA"/>
        </w:rPr>
        <w:t xml:space="preserve"> </w:t>
      </w:r>
      <w:r>
        <w:rPr>
          <w:rFonts w:ascii="Times New Roman" w:hAnsi="Times New Roman"/>
          <w:lang w:val="bs-Latn-BA"/>
        </w:rPr>
        <w:t>буџетских</w:t>
      </w:r>
      <w:r w:rsidR="00EB086C" w:rsidRPr="00295637">
        <w:rPr>
          <w:rFonts w:ascii="Times New Roman" w:hAnsi="Times New Roman"/>
          <w:lang w:val="bs-Latn-BA"/>
        </w:rPr>
        <w:t xml:space="preserve"> </w:t>
      </w:r>
      <w:r>
        <w:rPr>
          <w:rFonts w:ascii="Times New Roman" w:hAnsi="Times New Roman"/>
          <w:lang w:val="bs-Latn-BA"/>
        </w:rPr>
        <w:t>програма</w:t>
      </w:r>
      <w:r w:rsidR="00EB086C" w:rsidRPr="00295637">
        <w:rPr>
          <w:rFonts w:ascii="Times New Roman" w:hAnsi="Times New Roman"/>
          <w:lang w:val="bs-Latn-BA"/>
        </w:rPr>
        <w:t xml:space="preserve">. </w:t>
      </w:r>
      <w:r>
        <w:rPr>
          <w:rFonts w:ascii="Times New Roman" w:hAnsi="Times New Roman"/>
          <w:lang w:val="bs-Latn-BA"/>
        </w:rPr>
        <w:t>Планирана</w:t>
      </w:r>
      <w:r w:rsidR="00EB086C" w:rsidRPr="00295637">
        <w:rPr>
          <w:rFonts w:ascii="Times New Roman" w:hAnsi="Times New Roman"/>
          <w:lang w:val="bs-Latn-BA"/>
        </w:rPr>
        <w:t xml:space="preserve"> </w:t>
      </w:r>
      <w:r>
        <w:rPr>
          <w:rFonts w:ascii="Times New Roman" w:hAnsi="Times New Roman"/>
          <w:lang w:val="bs-Latn-BA"/>
        </w:rPr>
        <w:t>је</w:t>
      </w:r>
      <w:r w:rsidR="00EB086C" w:rsidRPr="00295637">
        <w:rPr>
          <w:rFonts w:ascii="Times New Roman" w:hAnsi="Times New Roman"/>
          <w:lang w:val="bs-Latn-BA"/>
        </w:rPr>
        <w:t xml:space="preserve"> </w:t>
      </w:r>
      <w:r>
        <w:rPr>
          <w:rFonts w:ascii="Times New Roman" w:hAnsi="Times New Roman"/>
          <w:lang w:val="bs-Latn-BA"/>
        </w:rPr>
        <w:t>додатна</w:t>
      </w:r>
      <w:r w:rsidR="00EB086C" w:rsidRPr="00295637">
        <w:rPr>
          <w:rFonts w:ascii="Times New Roman" w:hAnsi="Times New Roman"/>
          <w:lang w:val="bs-Latn-BA"/>
        </w:rPr>
        <w:t xml:space="preserve"> </w:t>
      </w:r>
      <w:r>
        <w:rPr>
          <w:rFonts w:ascii="Times New Roman" w:hAnsi="Times New Roman"/>
          <w:lang w:val="bs-Latn-BA"/>
        </w:rPr>
        <w:t>анализа</w:t>
      </w:r>
      <w:r w:rsidR="00EB086C" w:rsidRPr="00295637">
        <w:rPr>
          <w:rFonts w:ascii="Times New Roman" w:hAnsi="Times New Roman"/>
          <w:lang w:val="bs-Latn-BA"/>
        </w:rPr>
        <w:t xml:space="preserve"> </w:t>
      </w:r>
      <w:r>
        <w:rPr>
          <w:rFonts w:ascii="Times New Roman" w:hAnsi="Times New Roman"/>
          <w:lang w:val="bs-Latn-BA"/>
        </w:rPr>
        <w:t>како</w:t>
      </w:r>
      <w:r w:rsidR="00EB086C" w:rsidRPr="00295637">
        <w:rPr>
          <w:rFonts w:ascii="Times New Roman" w:hAnsi="Times New Roman"/>
          <w:lang w:val="bs-Latn-BA"/>
        </w:rPr>
        <w:t xml:space="preserve"> </w:t>
      </w:r>
      <w:r>
        <w:rPr>
          <w:rFonts w:ascii="Times New Roman" w:hAnsi="Times New Roman"/>
          <w:lang w:val="bs-Latn-BA"/>
        </w:rPr>
        <w:t>би</w:t>
      </w:r>
      <w:r w:rsidR="00EB086C" w:rsidRPr="00295637">
        <w:rPr>
          <w:rFonts w:ascii="Times New Roman" w:hAnsi="Times New Roman"/>
          <w:lang w:val="bs-Latn-BA"/>
        </w:rPr>
        <w:t xml:space="preserve"> </w:t>
      </w:r>
      <w:r>
        <w:rPr>
          <w:rFonts w:ascii="Times New Roman" w:hAnsi="Times New Roman"/>
          <w:lang w:val="bs-Latn-BA"/>
        </w:rPr>
        <w:t>се</w:t>
      </w:r>
      <w:r w:rsidR="00EB086C" w:rsidRPr="00295637">
        <w:rPr>
          <w:rFonts w:ascii="Times New Roman" w:hAnsi="Times New Roman"/>
          <w:lang w:val="bs-Latn-BA"/>
        </w:rPr>
        <w:t xml:space="preserve"> </w:t>
      </w:r>
      <w:r>
        <w:rPr>
          <w:rFonts w:ascii="Times New Roman" w:hAnsi="Times New Roman"/>
          <w:lang w:val="bs-Latn-BA"/>
        </w:rPr>
        <w:t>утврдили</w:t>
      </w:r>
      <w:r w:rsidR="00EB086C" w:rsidRPr="00295637">
        <w:rPr>
          <w:rFonts w:ascii="Times New Roman" w:hAnsi="Times New Roman"/>
          <w:lang w:val="bs-Latn-BA"/>
        </w:rPr>
        <w:t xml:space="preserve"> </w:t>
      </w:r>
      <w:r>
        <w:rPr>
          <w:rFonts w:ascii="Times New Roman" w:hAnsi="Times New Roman"/>
          <w:lang w:val="bs-Latn-BA"/>
        </w:rPr>
        <w:t>програми</w:t>
      </w:r>
      <w:r w:rsidR="00EB086C" w:rsidRPr="00295637">
        <w:rPr>
          <w:rFonts w:ascii="Times New Roman" w:hAnsi="Times New Roman"/>
          <w:lang w:val="bs-Latn-BA"/>
        </w:rPr>
        <w:t xml:space="preserve"> </w:t>
      </w:r>
      <w:r>
        <w:rPr>
          <w:rFonts w:ascii="Times New Roman" w:hAnsi="Times New Roman"/>
          <w:lang w:val="bs-Latn-BA"/>
        </w:rPr>
        <w:t>који</w:t>
      </w:r>
      <w:r w:rsidR="00EB086C" w:rsidRPr="00295637">
        <w:rPr>
          <w:rFonts w:ascii="Times New Roman" w:hAnsi="Times New Roman"/>
          <w:lang w:val="bs-Latn-BA"/>
        </w:rPr>
        <w:t xml:space="preserve"> </w:t>
      </w:r>
      <w:r>
        <w:rPr>
          <w:rFonts w:ascii="Times New Roman" w:hAnsi="Times New Roman"/>
          <w:lang w:val="bs-Latn-BA"/>
        </w:rPr>
        <w:t>могу</w:t>
      </w:r>
      <w:r w:rsidR="00EB086C" w:rsidRPr="00295637">
        <w:rPr>
          <w:rFonts w:ascii="Times New Roman" w:hAnsi="Times New Roman"/>
          <w:lang w:val="bs-Latn-BA"/>
        </w:rPr>
        <w:t xml:space="preserve"> </w:t>
      </w:r>
      <w:r>
        <w:rPr>
          <w:rFonts w:ascii="Times New Roman" w:hAnsi="Times New Roman"/>
          <w:lang w:val="bs-Latn-BA"/>
        </w:rPr>
        <w:t>интегри</w:t>
      </w:r>
      <w:r w:rsidR="00FF06BD">
        <w:rPr>
          <w:rFonts w:ascii="Times New Roman" w:hAnsi="Times New Roman"/>
          <w:lang w:val="sr-Cyrl-BA"/>
        </w:rPr>
        <w:t>с</w:t>
      </w:r>
      <w:r>
        <w:rPr>
          <w:rFonts w:ascii="Times New Roman" w:hAnsi="Times New Roman"/>
          <w:lang w:val="bs-Latn-BA"/>
        </w:rPr>
        <w:t>ати</w:t>
      </w:r>
      <w:r w:rsidR="00EB086C" w:rsidRPr="00295637">
        <w:rPr>
          <w:rFonts w:ascii="Times New Roman" w:hAnsi="Times New Roman"/>
          <w:lang w:val="bs-Latn-BA"/>
        </w:rPr>
        <w:t xml:space="preserve"> </w:t>
      </w:r>
      <w:r>
        <w:rPr>
          <w:rFonts w:ascii="Times New Roman" w:hAnsi="Times New Roman"/>
          <w:lang w:val="bs-Latn-BA"/>
        </w:rPr>
        <w:t>принципе</w:t>
      </w:r>
      <w:r w:rsidR="00EB086C" w:rsidRPr="00295637">
        <w:rPr>
          <w:rFonts w:ascii="Times New Roman" w:hAnsi="Times New Roman"/>
          <w:lang w:val="bs-Latn-BA"/>
        </w:rPr>
        <w:t xml:space="preserve"> </w:t>
      </w:r>
      <w:r>
        <w:rPr>
          <w:rFonts w:ascii="Times New Roman" w:hAnsi="Times New Roman"/>
          <w:lang w:val="bs-Latn-BA"/>
        </w:rPr>
        <w:t>РО</w:t>
      </w:r>
      <w:r w:rsidR="00FF06BD">
        <w:rPr>
          <w:rFonts w:ascii="Times New Roman" w:hAnsi="Times New Roman"/>
          <w:lang w:val="sr-Cyrl-BA"/>
        </w:rPr>
        <w:t>Б</w:t>
      </w:r>
      <w:r w:rsidR="00EB086C" w:rsidRPr="00295637">
        <w:rPr>
          <w:rFonts w:ascii="Times New Roman" w:hAnsi="Times New Roman"/>
          <w:lang w:val="bs-Latn-BA"/>
        </w:rPr>
        <w:t>-</w:t>
      </w:r>
      <w:r>
        <w:rPr>
          <w:rFonts w:ascii="Times New Roman" w:hAnsi="Times New Roman"/>
          <w:lang w:val="bs-Latn-BA"/>
        </w:rPr>
        <w:t>а</w:t>
      </w:r>
      <w:r w:rsidR="00EB086C" w:rsidRPr="00295637">
        <w:rPr>
          <w:rFonts w:ascii="Times New Roman" w:hAnsi="Times New Roman"/>
          <w:lang w:val="bs-Latn-BA"/>
        </w:rPr>
        <w:t>.</w:t>
      </w:r>
    </w:p>
    <w:p w:rsidR="00EB086C" w:rsidRPr="00295637" w:rsidRDefault="00EB086C" w:rsidP="0086268D">
      <w:pPr>
        <w:rPr>
          <w:bCs/>
          <w:szCs w:val="24"/>
          <w:lang w:val="bs-Latn-BA"/>
        </w:rPr>
      </w:pPr>
    </w:p>
    <w:p w:rsidR="00AA46AB" w:rsidRPr="00EC4AE0" w:rsidRDefault="00C6214E" w:rsidP="0086268D">
      <w:pPr>
        <w:pStyle w:val="ListParagraph"/>
        <w:ind w:left="0"/>
        <w:jc w:val="both"/>
        <w:rPr>
          <w:rFonts w:ascii="Times New Roman" w:hAnsi="Times New Roman"/>
          <w:lang w:val="hr-HR"/>
        </w:rPr>
      </w:pPr>
      <w:r>
        <w:rPr>
          <w:rFonts w:ascii="Times New Roman" w:hAnsi="Times New Roman"/>
          <w:lang w:val="sr-Latn-BA"/>
        </w:rPr>
        <w:t>ЦЈРП</w:t>
      </w:r>
      <w:r w:rsidR="00AA46AB" w:rsidRPr="00295637">
        <w:rPr>
          <w:rFonts w:ascii="Times New Roman" w:hAnsi="Times New Roman"/>
          <w:lang w:val="sr-Latn-BA"/>
        </w:rPr>
        <w:t xml:space="preserve"> </w:t>
      </w:r>
      <w:r>
        <w:rPr>
          <w:rFonts w:ascii="Times New Roman" w:hAnsi="Times New Roman"/>
          <w:lang w:val="sr-Latn-BA"/>
        </w:rPr>
        <w:t>РС</w:t>
      </w:r>
      <w:r w:rsidR="00AA46AB" w:rsidRPr="00295637">
        <w:rPr>
          <w:rFonts w:ascii="Times New Roman" w:hAnsi="Times New Roman"/>
          <w:lang w:val="sr-Latn-BA"/>
        </w:rPr>
        <w:t xml:space="preserve"> </w:t>
      </w:r>
      <w:r>
        <w:rPr>
          <w:rFonts w:ascii="Times New Roman" w:hAnsi="Times New Roman"/>
          <w:lang w:val="sr-Latn-BA"/>
        </w:rPr>
        <w:t>израдио</w:t>
      </w:r>
      <w:r w:rsidR="00EC4AE0" w:rsidRPr="00EC4AE0">
        <w:rPr>
          <w:rFonts w:ascii="Times New Roman" w:hAnsi="Times New Roman"/>
          <w:lang w:val="sr-Latn-BA"/>
        </w:rPr>
        <w:t xml:space="preserve"> </w:t>
      </w:r>
      <w:r>
        <w:rPr>
          <w:rFonts w:ascii="Times New Roman" w:hAnsi="Times New Roman"/>
          <w:lang w:val="sr-Latn-BA"/>
        </w:rPr>
        <w:t>је</w:t>
      </w:r>
      <w:r w:rsidR="00AA46AB" w:rsidRPr="00295637">
        <w:rPr>
          <w:rFonts w:ascii="Times New Roman" w:hAnsi="Times New Roman"/>
          <w:lang w:val="sr-Latn-BA"/>
        </w:rPr>
        <w:t xml:space="preserve">, </w:t>
      </w:r>
      <w:r>
        <w:rPr>
          <w:rFonts w:ascii="Times New Roman" w:hAnsi="Times New Roman"/>
          <w:lang w:val="sr-Latn-BA"/>
        </w:rPr>
        <w:t>координи</w:t>
      </w:r>
      <w:r w:rsidR="00FF06BD">
        <w:rPr>
          <w:rFonts w:ascii="Times New Roman" w:hAnsi="Times New Roman"/>
          <w:lang w:val="sr-Cyrl-BA"/>
        </w:rPr>
        <w:t>с</w:t>
      </w:r>
      <w:r>
        <w:rPr>
          <w:rFonts w:ascii="Times New Roman" w:hAnsi="Times New Roman"/>
          <w:lang w:val="sr-Latn-BA"/>
        </w:rPr>
        <w:t>ао</w:t>
      </w:r>
      <w:r w:rsidR="00AA46AB" w:rsidRPr="00295637">
        <w:rPr>
          <w:rFonts w:ascii="Times New Roman" w:hAnsi="Times New Roman"/>
          <w:lang w:val="sr-Latn-BA"/>
        </w:rPr>
        <w:t xml:space="preserve"> </w:t>
      </w:r>
      <w:r>
        <w:rPr>
          <w:rFonts w:ascii="Times New Roman" w:hAnsi="Times New Roman"/>
          <w:lang w:val="sr-Latn-BA"/>
        </w:rPr>
        <w:t>или</w:t>
      </w:r>
      <w:r w:rsidR="00AA46AB" w:rsidRPr="00295637">
        <w:rPr>
          <w:rFonts w:ascii="Times New Roman" w:hAnsi="Times New Roman"/>
          <w:lang w:val="sr-Latn-BA"/>
        </w:rPr>
        <w:t xml:space="preserve"> </w:t>
      </w:r>
      <w:r>
        <w:rPr>
          <w:rFonts w:ascii="Times New Roman" w:hAnsi="Times New Roman"/>
          <w:lang w:val="sr-Latn-BA"/>
        </w:rPr>
        <w:t>учествовао</w:t>
      </w:r>
      <w:r w:rsidR="00AA46AB" w:rsidRPr="00295637">
        <w:rPr>
          <w:rFonts w:ascii="Times New Roman" w:hAnsi="Times New Roman"/>
          <w:lang w:val="sr-Latn-BA"/>
        </w:rPr>
        <w:t xml:space="preserve"> </w:t>
      </w: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изради</w:t>
      </w:r>
      <w:r w:rsidR="00AA46AB" w:rsidRPr="00295637">
        <w:rPr>
          <w:rFonts w:ascii="Times New Roman" w:hAnsi="Times New Roman"/>
          <w:lang w:val="sr-Latn-BA"/>
        </w:rPr>
        <w:t xml:space="preserve"> </w:t>
      </w:r>
      <w:r>
        <w:rPr>
          <w:rFonts w:ascii="Times New Roman" w:hAnsi="Times New Roman"/>
          <w:lang w:val="sr-Latn-BA"/>
        </w:rPr>
        <w:t>сљедећих</w:t>
      </w:r>
      <w:r w:rsidR="00AA46AB" w:rsidRPr="00295637">
        <w:rPr>
          <w:rFonts w:ascii="Times New Roman" w:hAnsi="Times New Roman"/>
          <w:lang w:val="sr-Latn-BA"/>
        </w:rPr>
        <w:t xml:space="preserve"> </w:t>
      </w:r>
      <w:r>
        <w:rPr>
          <w:rFonts w:ascii="Times New Roman" w:hAnsi="Times New Roman"/>
          <w:lang w:val="sr-Latn-BA"/>
        </w:rPr>
        <w:t>програма</w:t>
      </w:r>
      <w:r w:rsidR="00AA46AB" w:rsidRPr="00295637">
        <w:rPr>
          <w:rFonts w:ascii="Times New Roman" w:hAnsi="Times New Roman"/>
          <w:lang w:val="sr-Latn-BA"/>
        </w:rPr>
        <w:t xml:space="preserve"> </w:t>
      </w:r>
      <w:r>
        <w:rPr>
          <w:rFonts w:ascii="Times New Roman" w:hAnsi="Times New Roman"/>
          <w:lang w:val="sr-Latn-BA"/>
        </w:rPr>
        <w:t>мјера</w:t>
      </w:r>
      <w:r w:rsidR="00AA46AB" w:rsidRPr="00295637">
        <w:rPr>
          <w:rFonts w:ascii="Times New Roman" w:hAnsi="Times New Roman"/>
          <w:lang w:val="sr-Latn-BA"/>
        </w:rPr>
        <w:t xml:space="preserve"> </w:t>
      </w:r>
      <w:r>
        <w:rPr>
          <w:rFonts w:ascii="Times New Roman" w:hAnsi="Times New Roman"/>
          <w:lang w:val="sr-Latn-BA"/>
        </w:rPr>
        <w:t>за</w:t>
      </w:r>
      <w:r w:rsidR="00AA46AB" w:rsidRPr="00295637">
        <w:rPr>
          <w:rFonts w:ascii="Times New Roman" w:hAnsi="Times New Roman"/>
          <w:lang w:val="sr-Latn-BA"/>
        </w:rPr>
        <w:t xml:space="preserve"> </w:t>
      </w:r>
      <w:r>
        <w:rPr>
          <w:rFonts w:ascii="Times New Roman" w:hAnsi="Times New Roman"/>
          <w:lang w:val="sr-Latn-BA"/>
        </w:rPr>
        <w:t>равноправност</w:t>
      </w:r>
      <w:r w:rsidR="00AA46AB" w:rsidRPr="00295637">
        <w:rPr>
          <w:rFonts w:ascii="Times New Roman" w:hAnsi="Times New Roman"/>
          <w:lang w:val="sr-Latn-BA"/>
        </w:rPr>
        <w:t xml:space="preserve"> </w:t>
      </w:r>
      <w:r>
        <w:rPr>
          <w:rFonts w:ascii="Times New Roman" w:hAnsi="Times New Roman"/>
          <w:lang w:val="sr-Latn-BA"/>
        </w:rPr>
        <w:t>полова</w:t>
      </w:r>
      <w:r w:rsidR="00AA46AB" w:rsidRPr="00295637">
        <w:rPr>
          <w:rFonts w:ascii="Times New Roman" w:hAnsi="Times New Roman"/>
          <w:lang w:val="sr-Latn-BA"/>
        </w:rPr>
        <w:t>:</w:t>
      </w:r>
      <w:r w:rsidR="00416F6B" w:rsidRPr="00295637">
        <w:rPr>
          <w:rFonts w:ascii="Times New Roman" w:hAnsi="Times New Roman"/>
          <w:lang w:val="sr-Latn-BA"/>
        </w:rPr>
        <w:t xml:space="preserve"> </w:t>
      </w:r>
      <w:r>
        <w:rPr>
          <w:rFonts w:ascii="Times New Roman" w:hAnsi="Times New Roman"/>
          <w:lang w:val="sr-Cyrl-BA"/>
        </w:rPr>
        <w:t>Израђен</w:t>
      </w:r>
      <w:r w:rsidR="00AA46AB"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они</w:t>
      </w:r>
      <w:r w:rsidR="00AA46AB" w:rsidRPr="00295637">
        <w:rPr>
          <w:rFonts w:ascii="Times New Roman" w:hAnsi="Times New Roman"/>
          <w:lang w:val="sr-Cyrl-BA"/>
        </w:rPr>
        <w:t xml:space="preserve"> </w:t>
      </w:r>
      <w:r>
        <w:rPr>
          <w:rFonts w:ascii="Times New Roman" w:hAnsi="Times New Roman"/>
          <w:lang w:val="sr-Cyrl-BA"/>
        </w:rPr>
        <w:t>план</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sidR="00FF06BD">
        <w:rPr>
          <w:rFonts w:ascii="Times New Roman" w:hAnsi="Times New Roman"/>
          <w:lang w:val="sr-Cyrl-BA"/>
        </w:rPr>
        <w:t>спровођење</w:t>
      </w:r>
      <w:r w:rsidR="00AA46AB" w:rsidRPr="00295637">
        <w:rPr>
          <w:rFonts w:ascii="Times New Roman" w:hAnsi="Times New Roman"/>
          <w:lang w:val="sr-Cyrl-BA"/>
        </w:rPr>
        <w:t xml:space="preserve"> </w:t>
      </w:r>
      <w:r>
        <w:rPr>
          <w:rFonts w:ascii="Times New Roman" w:hAnsi="Times New Roman"/>
          <w:lang w:val="sr-Cyrl-BA"/>
        </w:rPr>
        <w:t>препорука</w:t>
      </w:r>
      <w:r w:rsidR="00AA46AB" w:rsidRPr="00295637">
        <w:rPr>
          <w:rFonts w:ascii="Times New Roman" w:hAnsi="Times New Roman"/>
          <w:lang w:val="sr-Cyrl-BA"/>
        </w:rPr>
        <w:t xml:space="preserve"> </w:t>
      </w:r>
      <w:r>
        <w:rPr>
          <w:rFonts w:ascii="Times New Roman" w:hAnsi="Times New Roman"/>
          <w:lang w:val="sr-Cyrl-BA"/>
        </w:rPr>
        <w:t>Ревизије</w:t>
      </w:r>
      <w:r w:rsidR="00AA46AB" w:rsidRPr="00295637">
        <w:rPr>
          <w:rFonts w:ascii="Times New Roman" w:hAnsi="Times New Roman"/>
          <w:lang w:val="sr-Cyrl-BA"/>
        </w:rPr>
        <w:t xml:space="preserve"> </w:t>
      </w:r>
      <w:r>
        <w:rPr>
          <w:rFonts w:ascii="Times New Roman" w:hAnsi="Times New Roman"/>
          <w:lang w:val="sr-Cyrl-BA"/>
        </w:rPr>
        <w:t>учинка</w:t>
      </w:r>
      <w:r w:rsidR="00AA46AB" w:rsidRPr="00295637">
        <w:rPr>
          <w:rFonts w:ascii="Times New Roman" w:hAnsi="Times New Roman"/>
          <w:lang w:val="sr-Cyrl-BA"/>
        </w:rPr>
        <w:t xml:space="preserve"> </w:t>
      </w:r>
      <w:r>
        <w:rPr>
          <w:rFonts w:ascii="Times New Roman" w:hAnsi="Times New Roman"/>
          <w:lang w:val="sr-Cyrl-BA"/>
        </w:rPr>
        <w:t>Главне</w:t>
      </w:r>
      <w:r w:rsidR="00AA46AB" w:rsidRPr="00295637">
        <w:rPr>
          <w:rFonts w:ascii="Times New Roman" w:hAnsi="Times New Roman"/>
          <w:lang w:val="sr-Cyrl-BA"/>
        </w:rPr>
        <w:t xml:space="preserve"> </w:t>
      </w:r>
      <w:r>
        <w:rPr>
          <w:rFonts w:ascii="Times New Roman" w:hAnsi="Times New Roman"/>
          <w:lang w:val="sr-Cyrl-BA"/>
        </w:rPr>
        <w:t>службе</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ревизију</w:t>
      </w:r>
      <w:r w:rsidR="00AA46AB" w:rsidRPr="00295637">
        <w:rPr>
          <w:rFonts w:ascii="Times New Roman" w:hAnsi="Times New Roman"/>
          <w:lang w:val="sr-Cyrl-BA"/>
        </w:rPr>
        <w:t xml:space="preserve"> </w:t>
      </w:r>
      <w:r>
        <w:rPr>
          <w:rFonts w:ascii="Times New Roman" w:hAnsi="Times New Roman"/>
          <w:lang w:val="sr-Cyrl-BA"/>
        </w:rPr>
        <w:t>РС</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достављен</w:t>
      </w:r>
      <w:r w:rsidR="00AA46AB" w:rsidRPr="00295637">
        <w:rPr>
          <w:rFonts w:ascii="Times New Roman" w:hAnsi="Times New Roman"/>
          <w:lang w:val="sr-Cyrl-BA"/>
        </w:rPr>
        <w:t xml:space="preserve"> </w:t>
      </w:r>
      <w:r>
        <w:rPr>
          <w:rFonts w:ascii="Times New Roman" w:hAnsi="Times New Roman"/>
          <w:lang w:val="sr-Cyrl-BA"/>
        </w:rPr>
        <w:t>Главној</w:t>
      </w:r>
      <w:r w:rsidR="00AA46AB" w:rsidRPr="00295637">
        <w:rPr>
          <w:rFonts w:ascii="Times New Roman" w:hAnsi="Times New Roman"/>
          <w:lang w:val="sr-Cyrl-BA"/>
        </w:rPr>
        <w:t xml:space="preserve"> </w:t>
      </w:r>
      <w:r>
        <w:rPr>
          <w:rFonts w:ascii="Times New Roman" w:hAnsi="Times New Roman"/>
          <w:lang w:val="sr-Cyrl-BA"/>
        </w:rPr>
        <w:t>служби</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даље</w:t>
      </w:r>
      <w:r w:rsidR="00AA46AB" w:rsidRPr="00295637">
        <w:rPr>
          <w:rFonts w:ascii="Times New Roman" w:hAnsi="Times New Roman"/>
          <w:lang w:val="sr-Cyrl-BA"/>
        </w:rPr>
        <w:t xml:space="preserve"> </w:t>
      </w:r>
      <w:r>
        <w:rPr>
          <w:rFonts w:ascii="Times New Roman" w:hAnsi="Times New Roman"/>
          <w:lang w:val="sr-Cyrl-BA"/>
        </w:rPr>
        <w:t>поступање</w:t>
      </w:r>
      <w:r w:rsidR="00AA46AB" w:rsidRPr="00295637">
        <w:rPr>
          <w:rFonts w:ascii="Times New Roman" w:hAnsi="Times New Roman"/>
          <w:lang w:val="sr-Cyrl-BA"/>
        </w:rPr>
        <w:t>);</w:t>
      </w:r>
      <w:r w:rsidR="00416F6B" w:rsidRPr="00295637">
        <w:rPr>
          <w:rFonts w:ascii="Times New Roman" w:hAnsi="Times New Roman"/>
          <w:lang w:val="bs-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изради</w:t>
      </w:r>
      <w:r w:rsidR="00AA46AB"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оног</w:t>
      </w:r>
      <w:r w:rsidR="00546EB7">
        <w:rPr>
          <w:rFonts w:ascii="Times New Roman" w:hAnsi="Times New Roman"/>
          <w:lang w:val="hr-HR"/>
        </w:rPr>
        <w:t xml:space="preserve"> </w:t>
      </w:r>
      <w:r>
        <w:rPr>
          <w:rFonts w:ascii="Times New Roman" w:hAnsi="Times New Roman"/>
          <w:lang w:val="sr-Cyrl-BA"/>
        </w:rPr>
        <w:t>плана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2024. </w:t>
      </w:r>
      <w:r>
        <w:rPr>
          <w:rFonts w:ascii="Times New Roman" w:hAnsi="Times New Roman"/>
          <w:lang w:val="sr-Cyrl-BA"/>
        </w:rPr>
        <w:t>годину</w:t>
      </w:r>
      <w:r w:rsidR="00AA46AB" w:rsidRPr="00295637">
        <w:rPr>
          <w:rFonts w:ascii="Times New Roman" w:hAnsi="Times New Roman"/>
          <w:lang w:val="sr-Cyrl-BA"/>
        </w:rPr>
        <w:t xml:space="preserve"> </w:t>
      </w:r>
      <w:r>
        <w:rPr>
          <w:rFonts w:ascii="Times New Roman" w:hAnsi="Times New Roman"/>
          <w:lang w:val="sr-Cyrl-BA"/>
        </w:rPr>
        <w:t>Стратегије</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сузбијање</w:t>
      </w:r>
      <w:r w:rsidR="00AA46AB" w:rsidRPr="00295637">
        <w:rPr>
          <w:rFonts w:ascii="Times New Roman" w:hAnsi="Times New Roman"/>
          <w:lang w:val="sr-Cyrl-BA"/>
        </w:rPr>
        <w:t xml:space="preserve"> </w:t>
      </w:r>
      <w:r>
        <w:rPr>
          <w:rFonts w:ascii="Times New Roman" w:hAnsi="Times New Roman"/>
          <w:lang w:val="sr-Cyrl-BA"/>
        </w:rPr>
        <w:t>насиља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hr-HR"/>
        </w:rPr>
        <w:t>породици</w:t>
      </w:r>
      <w:r w:rsidR="00AA46AB" w:rsidRPr="00295637">
        <w:rPr>
          <w:rFonts w:ascii="Times New Roman" w:hAnsi="Times New Roman"/>
          <w:lang w:val="sr-Cyrl-BA"/>
        </w:rPr>
        <w:t>;</w:t>
      </w:r>
      <w:r w:rsidR="00416F6B" w:rsidRPr="00295637">
        <w:rPr>
          <w:rFonts w:ascii="Times New Roman" w:hAnsi="Times New Roman"/>
          <w:lang w:val="bs-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изради</w:t>
      </w:r>
      <w:r w:rsidR="00AA46AB" w:rsidRPr="00295637">
        <w:rPr>
          <w:rFonts w:ascii="Times New Roman" w:hAnsi="Times New Roman"/>
          <w:lang w:val="sr-Cyrl-BA"/>
        </w:rPr>
        <w:t xml:space="preserve"> </w:t>
      </w:r>
      <w:r>
        <w:rPr>
          <w:rFonts w:ascii="Times New Roman" w:hAnsi="Times New Roman"/>
          <w:lang w:val="sr-Cyrl-BA"/>
        </w:rPr>
        <w:t>нове</w:t>
      </w:r>
      <w:r w:rsidR="00AA46AB" w:rsidRPr="00295637">
        <w:rPr>
          <w:rFonts w:ascii="Times New Roman" w:hAnsi="Times New Roman"/>
          <w:lang w:val="sr-Cyrl-BA"/>
        </w:rPr>
        <w:t xml:space="preserve"> </w:t>
      </w:r>
      <w:r>
        <w:rPr>
          <w:rFonts w:ascii="Times New Roman" w:hAnsi="Times New Roman"/>
          <w:lang w:val="sr-Cyrl-BA"/>
        </w:rPr>
        <w:t>Стратегије</w:t>
      </w:r>
      <w:r w:rsidR="00AA46AB" w:rsidRPr="00295637">
        <w:rPr>
          <w:rFonts w:ascii="Times New Roman" w:hAnsi="Times New Roman"/>
          <w:lang w:val="sr-Cyrl-BA"/>
        </w:rPr>
        <w:t xml:space="preserve"> </w:t>
      </w:r>
      <w:r>
        <w:rPr>
          <w:rFonts w:ascii="Times New Roman" w:hAnsi="Times New Roman"/>
          <w:lang w:val="sr-Cyrl-BA"/>
        </w:rPr>
        <w:t>развоја</w:t>
      </w:r>
      <w:r w:rsidR="00AA46AB" w:rsidRPr="00295637">
        <w:rPr>
          <w:rFonts w:ascii="Times New Roman" w:hAnsi="Times New Roman"/>
          <w:lang w:val="sr-Cyrl-BA"/>
        </w:rPr>
        <w:t xml:space="preserve"> </w:t>
      </w:r>
      <w:r>
        <w:rPr>
          <w:rFonts w:ascii="Times New Roman" w:hAnsi="Times New Roman"/>
          <w:lang w:val="sr-Cyrl-BA"/>
        </w:rPr>
        <w:t>п</w:t>
      </w:r>
      <w:r>
        <w:rPr>
          <w:rFonts w:ascii="Times New Roman" w:hAnsi="Times New Roman"/>
          <w:lang w:val="hr-HR"/>
        </w:rPr>
        <w:t>ре</w:t>
      </w:r>
      <w:r>
        <w:rPr>
          <w:rFonts w:ascii="Times New Roman" w:hAnsi="Times New Roman"/>
          <w:lang w:val="sr-Cyrl-BA"/>
        </w:rPr>
        <w:t>дузетништва</w:t>
      </w:r>
      <w:r w:rsidR="0017648A">
        <w:rPr>
          <w:rFonts w:ascii="Times New Roman" w:hAnsi="Times New Roman"/>
          <w:lang w:val="sr-Cyrl-BA"/>
        </w:rPr>
        <w:t xml:space="preserve"> </w:t>
      </w:r>
      <w:r>
        <w:rPr>
          <w:rFonts w:ascii="Times New Roman" w:hAnsi="Times New Roman"/>
          <w:lang w:val="sr-Cyrl-BA"/>
        </w:rPr>
        <w:t>жена</w:t>
      </w:r>
      <w:r w:rsidR="0017648A">
        <w:rPr>
          <w:rFonts w:ascii="Times New Roman" w:hAnsi="Times New Roman"/>
          <w:lang w:val="sr-Cyrl-BA"/>
        </w:rPr>
        <w:t xml:space="preserve"> </w:t>
      </w:r>
      <w:r>
        <w:rPr>
          <w:rFonts w:ascii="Times New Roman" w:hAnsi="Times New Roman"/>
          <w:lang w:val="sr-Cyrl-BA"/>
        </w:rPr>
        <w:t>у</w:t>
      </w:r>
      <w:r w:rsidR="0017648A">
        <w:rPr>
          <w:rFonts w:ascii="Times New Roman" w:hAnsi="Times New Roman"/>
          <w:lang w:val="sr-Cyrl-BA"/>
        </w:rPr>
        <w:t xml:space="preserve"> </w:t>
      </w:r>
      <w:r>
        <w:rPr>
          <w:rFonts w:ascii="Times New Roman" w:hAnsi="Times New Roman"/>
          <w:lang w:val="sr-Cyrl-BA"/>
        </w:rPr>
        <w:t>РС</w:t>
      </w:r>
      <w:r w:rsidR="0017648A">
        <w:rPr>
          <w:rFonts w:ascii="Times New Roman" w:hAnsi="Times New Roman"/>
          <w:lang w:val="sr-Cyrl-BA"/>
        </w:rPr>
        <w:t xml:space="preserve"> 2024-2030</w:t>
      </w:r>
      <w:r w:rsidR="00AA46AB" w:rsidRPr="00295637">
        <w:rPr>
          <w:rFonts w:ascii="Times New Roman" w:hAnsi="Times New Roman"/>
          <w:lang w:val="sr-Cyrl-BA"/>
        </w:rPr>
        <w:t>.</w:t>
      </w:r>
      <w:r w:rsidR="00EC4AE0">
        <w:rPr>
          <w:rFonts w:ascii="Times New Roman" w:hAnsi="Times New Roman"/>
          <w:lang w:val="hr-HR"/>
        </w:rPr>
        <w:t xml:space="preserve"> </w:t>
      </w:r>
      <w:r>
        <w:rPr>
          <w:rFonts w:ascii="Times New Roman" w:hAnsi="Times New Roman"/>
          <w:lang w:val="hr-HR"/>
        </w:rPr>
        <w:t>година</w:t>
      </w:r>
      <w:r w:rsidR="00EC4AE0">
        <w:rPr>
          <w:rFonts w:ascii="Times New Roman" w:hAnsi="Times New Roman"/>
          <w:lang w:val="hr-HR"/>
        </w:rPr>
        <w:t>.</w:t>
      </w:r>
    </w:p>
    <w:p w:rsidR="00AA46AB" w:rsidRPr="00295637" w:rsidRDefault="00AA46AB" w:rsidP="0086268D">
      <w:pPr>
        <w:pStyle w:val="ListParagraph"/>
        <w:ind w:left="0"/>
        <w:jc w:val="both"/>
        <w:rPr>
          <w:rFonts w:ascii="Times New Roman" w:hAnsi="Times New Roman"/>
          <w:lang w:val="sr-Cyrl-BA"/>
        </w:rPr>
      </w:pPr>
    </w:p>
    <w:p w:rsidR="00AA46AB" w:rsidRPr="00295637" w:rsidRDefault="00C6214E" w:rsidP="0086268D">
      <w:pPr>
        <w:pStyle w:val="ListParagraph"/>
        <w:ind w:left="0"/>
        <w:jc w:val="both"/>
        <w:rPr>
          <w:rFonts w:ascii="Times New Roman" w:hAnsi="Times New Roman"/>
          <w:lang w:val="sr-Latn-BA"/>
        </w:rPr>
      </w:pPr>
      <w:r>
        <w:rPr>
          <w:rFonts w:ascii="Times New Roman" w:hAnsi="Times New Roman"/>
          <w:lang w:val="sr-Cyrl-BA"/>
        </w:rPr>
        <w:t>ЦЈРП</w:t>
      </w:r>
      <w:r w:rsidR="00EC4AE0">
        <w:rPr>
          <w:rFonts w:ascii="Times New Roman" w:hAnsi="Times New Roman"/>
          <w:lang w:val="hr-HR"/>
        </w:rPr>
        <w:t xml:space="preserve"> </w:t>
      </w:r>
      <w:r>
        <w:rPr>
          <w:rFonts w:ascii="Times New Roman" w:hAnsi="Times New Roman"/>
          <w:lang w:val="sr-Cyrl-BA"/>
        </w:rPr>
        <w:t>РС</w:t>
      </w:r>
      <w:r w:rsidR="00AA46AB" w:rsidRPr="00295637">
        <w:rPr>
          <w:rFonts w:ascii="Times New Roman" w:hAnsi="Times New Roman"/>
          <w:lang w:val="sr-Cyrl-BA"/>
        </w:rPr>
        <w:t xml:space="preserve"> </w:t>
      </w:r>
      <w:r>
        <w:rPr>
          <w:rFonts w:ascii="Times New Roman" w:hAnsi="Times New Roman"/>
          <w:lang w:val="sr-Cyrl-BA"/>
        </w:rPr>
        <w:t>одржао</w:t>
      </w:r>
      <w:r w:rsidR="00AA46AB" w:rsidRPr="00295637">
        <w:rPr>
          <w:rFonts w:ascii="Times New Roman" w:hAnsi="Times New Roman"/>
          <w:lang w:val="sr-Cyrl-BA"/>
        </w:rPr>
        <w:t xml:space="preserve"> </w:t>
      </w:r>
      <w:r>
        <w:rPr>
          <w:rFonts w:ascii="Times New Roman" w:hAnsi="Times New Roman"/>
          <w:lang w:val="sr-Cyrl-BA"/>
        </w:rPr>
        <w:t>је</w:t>
      </w:r>
      <w:r w:rsidR="00EC4AE0" w:rsidRPr="00295637">
        <w:rPr>
          <w:rFonts w:ascii="Times New Roman" w:hAnsi="Times New Roman"/>
          <w:lang w:val="sr-Cyrl-BA"/>
        </w:rPr>
        <w:t xml:space="preserve"> </w:t>
      </w:r>
      <w:r>
        <w:rPr>
          <w:rFonts w:ascii="Times New Roman" w:hAnsi="Times New Roman"/>
          <w:lang w:val="sr-Cyrl-BA"/>
        </w:rPr>
        <w:t>двије</w:t>
      </w:r>
      <w:r w:rsidR="00AA46AB" w:rsidRPr="00295637">
        <w:rPr>
          <w:rFonts w:ascii="Times New Roman" w:hAnsi="Times New Roman"/>
          <w:lang w:val="sr-Cyrl-BA"/>
        </w:rPr>
        <w:t xml:space="preserve"> </w:t>
      </w:r>
      <w:r>
        <w:rPr>
          <w:rFonts w:ascii="Times New Roman" w:hAnsi="Times New Roman"/>
          <w:lang w:val="sr-Cyrl-BA"/>
        </w:rPr>
        <w:t>обуке</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израду</w:t>
      </w:r>
      <w:r w:rsidR="00AA46AB" w:rsidRPr="00295637">
        <w:rPr>
          <w:rFonts w:ascii="Times New Roman" w:hAnsi="Times New Roman"/>
          <w:lang w:val="sr-Cyrl-BA"/>
        </w:rPr>
        <w:t xml:space="preserve"> </w:t>
      </w:r>
      <w:r>
        <w:rPr>
          <w:rFonts w:ascii="Times New Roman" w:hAnsi="Times New Roman"/>
          <w:lang w:val="sr-Cyrl-BA"/>
        </w:rPr>
        <w:t>локалних</w:t>
      </w:r>
      <w:r w:rsidR="00AA46AB"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оних</w:t>
      </w:r>
      <w:r w:rsidR="00AA46AB" w:rsidRPr="00295637">
        <w:rPr>
          <w:rFonts w:ascii="Times New Roman" w:hAnsi="Times New Roman"/>
          <w:lang w:val="sr-Cyrl-BA"/>
        </w:rPr>
        <w:t xml:space="preserve"> </w:t>
      </w:r>
      <w:r>
        <w:rPr>
          <w:rFonts w:ascii="Times New Roman" w:hAnsi="Times New Roman"/>
          <w:lang w:val="sr-Cyrl-BA"/>
        </w:rPr>
        <w:t>планова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равноправност</w:t>
      </w:r>
      <w:r w:rsidR="00AA46AB" w:rsidRPr="00295637">
        <w:rPr>
          <w:rFonts w:ascii="Times New Roman" w:hAnsi="Times New Roman"/>
          <w:lang w:val="sr-Cyrl-BA"/>
        </w:rPr>
        <w:t xml:space="preserve"> </w:t>
      </w:r>
      <w:r>
        <w:rPr>
          <w:rFonts w:ascii="Times New Roman" w:hAnsi="Times New Roman"/>
          <w:lang w:val="sr-Cyrl-BA"/>
        </w:rPr>
        <w:t>полова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16 </w:t>
      </w:r>
      <w:r>
        <w:rPr>
          <w:rFonts w:ascii="Times New Roman" w:hAnsi="Times New Roman"/>
          <w:lang w:val="sr-Cyrl-BA"/>
        </w:rPr>
        <w:t>јединица</w:t>
      </w:r>
      <w:r w:rsidR="00AA46AB" w:rsidRPr="00295637">
        <w:rPr>
          <w:rFonts w:ascii="Times New Roman" w:hAnsi="Times New Roman"/>
          <w:lang w:val="sr-Cyrl-BA"/>
        </w:rPr>
        <w:t xml:space="preserve"> </w:t>
      </w:r>
      <w:r>
        <w:rPr>
          <w:rFonts w:ascii="Times New Roman" w:hAnsi="Times New Roman"/>
          <w:lang w:val="sr-Cyrl-BA"/>
        </w:rPr>
        <w:t>локалне</w:t>
      </w:r>
      <w:r w:rsidR="00AA46AB" w:rsidRPr="00295637">
        <w:rPr>
          <w:rFonts w:ascii="Times New Roman" w:hAnsi="Times New Roman"/>
          <w:lang w:val="sr-Cyrl-BA"/>
        </w:rPr>
        <w:t xml:space="preserve"> </w:t>
      </w:r>
      <w:r>
        <w:rPr>
          <w:rFonts w:ascii="Times New Roman" w:hAnsi="Times New Roman"/>
          <w:lang w:val="sr-Cyrl-BA"/>
        </w:rPr>
        <w:t>самоуправе</w:t>
      </w:r>
      <w:r w:rsidR="00AA46AB"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пружио</w:t>
      </w:r>
      <w:r w:rsidR="00AA46AB" w:rsidRPr="00295637">
        <w:rPr>
          <w:rFonts w:ascii="Times New Roman" w:hAnsi="Times New Roman"/>
          <w:lang w:val="sr-Cyrl-BA"/>
        </w:rPr>
        <w:t xml:space="preserve"> </w:t>
      </w:r>
      <w:r>
        <w:rPr>
          <w:rFonts w:ascii="Times New Roman" w:hAnsi="Times New Roman"/>
          <w:lang w:val="sr-Cyrl-BA"/>
        </w:rPr>
        <w:t>стручну</w:t>
      </w:r>
      <w:r w:rsidR="00AA46AB"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дршку</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пет</w:t>
      </w:r>
      <w:r w:rsidR="00AA46AB" w:rsidRPr="00295637">
        <w:rPr>
          <w:rFonts w:ascii="Times New Roman" w:hAnsi="Times New Roman"/>
          <w:lang w:val="sr-Cyrl-BA"/>
        </w:rPr>
        <w:t xml:space="preserve"> </w:t>
      </w:r>
      <w:r>
        <w:rPr>
          <w:rFonts w:ascii="Times New Roman" w:hAnsi="Times New Roman"/>
          <w:lang w:val="sr-Cyrl-BA"/>
        </w:rPr>
        <w:t>ЈЛС</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процесу</w:t>
      </w:r>
      <w:r w:rsidR="00AA46AB" w:rsidRPr="00295637">
        <w:rPr>
          <w:rFonts w:ascii="Times New Roman" w:hAnsi="Times New Roman"/>
          <w:lang w:val="sr-Cyrl-BA"/>
        </w:rPr>
        <w:t xml:space="preserve"> </w:t>
      </w:r>
      <w:r>
        <w:rPr>
          <w:rFonts w:ascii="Times New Roman" w:hAnsi="Times New Roman"/>
          <w:lang w:val="sr-Cyrl-BA"/>
        </w:rPr>
        <w:t>израде</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усвајања</w:t>
      </w:r>
      <w:r w:rsidR="00AA46AB" w:rsidRPr="00295637">
        <w:rPr>
          <w:rFonts w:ascii="Times New Roman" w:hAnsi="Times New Roman"/>
          <w:lang w:val="sr-Cyrl-BA"/>
        </w:rPr>
        <w:t xml:space="preserve"> </w:t>
      </w:r>
      <w:r>
        <w:rPr>
          <w:rFonts w:ascii="Times New Roman" w:hAnsi="Times New Roman"/>
          <w:lang w:val="sr-Cyrl-BA"/>
        </w:rPr>
        <w:t>локалних</w:t>
      </w:r>
      <w:r w:rsidR="00AA46AB" w:rsidRPr="00295637">
        <w:rPr>
          <w:rFonts w:ascii="Times New Roman" w:hAnsi="Times New Roman"/>
          <w:lang w:val="sr-Cyrl-BA"/>
        </w:rPr>
        <w:t xml:space="preserve"> </w:t>
      </w:r>
      <w:r>
        <w:rPr>
          <w:rFonts w:ascii="Times New Roman" w:hAnsi="Times New Roman"/>
          <w:lang w:val="sr-Cyrl-BA"/>
        </w:rPr>
        <w:t>протокола</w:t>
      </w:r>
      <w:r w:rsidR="00AA46AB" w:rsidRPr="00295637">
        <w:rPr>
          <w:rFonts w:ascii="Times New Roman" w:hAnsi="Times New Roman"/>
          <w:lang w:val="sr-Cyrl-BA"/>
        </w:rPr>
        <w:t xml:space="preserve"> </w:t>
      </w:r>
      <w:r>
        <w:rPr>
          <w:rFonts w:ascii="Times New Roman" w:hAnsi="Times New Roman"/>
          <w:lang w:val="sr-Cyrl-BA"/>
        </w:rPr>
        <w:t>о</w:t>
      </w:r>
      <w:r w:rsidR="00AA46AB" w:rsidRPr="00295637">
        <w:rPr>
          <w:rFonts w:ascii="Times New Roman" w:hAnsi="Times New Roman"/>
          <w:lang w:val="sr-Cyrl-BA"/>
        </w:rPr>
        <w:t xml:space="preserve"> </w:t>
      </w:r>
      <w:r>
        <w:rPr>
          <w:rFonts w:ascii="Times New Roman" w:hAnsi="Times New Roman"/>
          <w:lang w:val="sr-Cyrl-BA"/>
        </w:rPr>
        <w:t>поступању</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Pr>
          <w:rFonts w:ascii="Times New Roman" w:hAnsi="Times New Roman"/>
          <w:lang w:val="sr-Cyrl-BA"/>
        </w:rPr>
        <w:t>радњи</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случајевима</w:t>
      </w:r>
      <w:r w:rsidR="00AA46AB" w:rsidRPr="00295637">
        <w:rPr>
          <w:rFonts w:ascii="Times New Roman" w:hAnsi="Times New Roman"/>
          <w:lang w:val="sr-Cyrl-BA"/>
        </w:rPr>
        <w:t xml:space="preserve"> </w:t>
      </w:r>
      <w:r>
        <w:rPr>
          <w:rFonts w:ascii="Times New Roman" w:hAnsi="Times New Roman"/>
          <w:lang w:val="sr-Cyrl-BA"/>
        </w:rPr>
        <w:t>насиља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hr-HR"/>
        </w:rPr>
        <w:t>породици</w:t>
      </w:r>
      <w:r w:rsidR="00AA46AB" w:rsidRPr="00295637">
        <w:rPr>
          <w:rFonts w:ascii="Times New Roman" w:hAnsi="Times New Roman"/>
          <w:lang w:val="sr-Cyrl-BA"/>
        </w:rPr>
        <w:t xml:space="preserve">, </w:t>
      </w:r>
      <w:r>
        <w:rPr>
          <w:rFonts w:ascii="Times New Roman" w:hAnsi="Times New Roman"/>
          <w:lang w:val="sr-Cyrl-BA"/>
        </w:rPr>
        <w:t>као</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стручну</w:t>
      </w:r>
      <w:r w:rsidR="00AA46AB"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дршку</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64 </w:t>
      </w:r>
      <w:r>
        <w:rPr>
          <w:rFonts w:ascii="Times New Roman" w:hAnsi="Times New Roman"/>
          <w:lang w:val="sr-Cyrl-BA"/>
        </w:rPr>
        <w:t>ЈЛС</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sidR="00FF06BD">
        <w:rPr>
          <w:rFonts w:ascii="Times New Roman" w:hAnsi="Times New Roman"/>
          <w:lang w:val="sr-Cyrl-BA"/>
        </w:rPr>
        <w:t>спровођењу</w:t>
      </w:r>
      <w:r w:rsidR="00AA46AB" w:rsidRPr="00295637">
        <w:rPr>
          <w:rFonts w:ascii="Times New Roman" w:hAnsi="Times New Roman"/>
          <w:lang w:val="sr-Cyrl-BA"/>
        </w:rPr>
        <w:t xml:space="preserve"> </w:t>
      </w:r>
      <w:r>
        <w:rPr>
          <w:rFonts w:ascii="Times New Roman" w:hAnsi="Times New Roman"/>
          <w:lang w:val="sr-Cyrl-BA"/>
        </w:rPr>
        <w:t>кампање</w:t>
      </w:r>
      <w:r w:rsidR="00AA46AB" w:rsidRPr="00295637">
        <w:rPr>
          <w:rFonts w:ascii="Times New Roman" w:hAnsi="Times New Roman"/>
          <w:lang w:val="sr-Cyrl-BA"/>
        </w:rPr>
        <w:t xml:space="preserve"> </w:t>
      </w:r>
      <w:r w:rsidR="00A86CBC" w:rsidRPr="00295637">
        <w:rPr>
          <w:rFonts w:ascii="Times New Roman" w:hAnsi="Times New Roman"/>
          <w:lang w:val="bs-Latn-BA"/>
        </w:rPr>
        <w:t>„</w:t>
      </w:r>
      <w:r>
        <w:rPr>
          <w:rFonts w:ascii="Times New Roman" w:hAnsi="Times New Roman"/>
          <w:lang w:val="sr-Cyrl-BA"/>
        </w:rPr>
        <w:t>Живот</w:t>
      </w:r>
      <w:r w:rsidR="00AA46AB" w:rsidRPr="00295637">
        <w:rPr>
          <w:rFonts w:ascii="Times New Roman" w:hAnsi="Times New Roman"/>
          <w:lang w:val="sr-Cyrl-BA"/>
        </w:rPr>
        <w:t xml:space="preserve"> </w:t>
      </w:r>
      <w:r>
        <w:rPr>
          <w:rFonts w:ascii="Times New Roman" w:hAnsi="Times New Roman"/>
          <w:lang w:val="sr-Cyrl-BA"/>
        </w:rPr>
        <w:t>без</w:t>
      </w:r>
      <w:r w:rsidR="00AA46AB" w:rsidRPr="00295637">
        <w:rPr>
          <w:rFonts w:ascii="Times New Roman" w:hAnsi="Times New Roman"/>
          <w:lang w:val="sr-Cyrl-BA"/>
        </w:rPr>
        <w:t xml:space="preserve"> </w:t>
      </w:r>
      <w:r>
        <w:rPr>
          <w:rFonts w:ascii="Times New Roman" w:hAnsi="Times New Roman"/>
          <w:lang w:val="sr-Cyrl-BA"/>
        </w:rPr>
        <w:t>насиља</w:t>
      </w:r>
      <w:r w:rsidR="00A86CBC" w:rsidRPr="00295637">
        <w:rPr>
          <w:rFonts w:ascii="Times New Roman" w:hAnsi="Times New Roman"/>
          <w:lang w:val="bs-Latn-BA"/>
        </w:rPr>
        <w:t>“</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sidR="00A86CBC" w:rsidRPr="00295637">
        <w:rPr>
          <w:rFonts w:ascii="Times New Roman" w:hAnsi="Times New Roman"/>
          <w:lang w:val="bs-Latn-BA"/>
        </w:rPr>
        <w:t>„</w:t>
      </w:r>
      <w:r>
        <w:rPr>
          <w:rFonts w:ascii="Times New Roman" w:hAnsi="Times New Roman"/>
          <w:lang w:val="sr-Cyrl-BA"/>
        </w:rPr>
        <w:t>Бијела</w:t>
      </w:r>
      <w:r w:rsidR="00AA46AB" w:rsidRPr="00295637">
        <w:rPr>
          <w:rFonts w:ascii="Times New Roman" w:hAnsi="Times New Roman"/>
          <w:lang w:val="sr-Cyrl-BA"/>
        </w:rPr>
        <w:t xml:space="preserve"> </w:t>
      </w:r>
      <w:r>
        <w:rPr>
          <w:rFonts w:ascii="Times New Roman" w:hAnsi="Times New Roman"/>
          <w:lang w:val="sr-Cyrl-BA"/>
        </w:rPr>
        <w:t>врпца</w:t>
      </w:r>
      <w:r w:rsidR="00A86CBC" w:rsidRPr="00295637">
        <w:rPr>
          <w:rFonts w:ascii="Times New Roman" w:hAnsi="Times New Roman"/>
          <w:lang w:val="bs-Latn-BA"/>
        </w:rPr>
        <w:t>“</w:t>
      </w:r>
      <w:r w:rsidR="00AA46AB" w:rsidRPr="00295637">
        <w:rPr>
          <w:rFonts w:ascii="Times New Roman" w:hAnsi="Times New Roman"/>
          <w:lang w:val="sr-Latn-BA"/>
        </w:rPr>
        <w:t>.</w:t>
      </w:r>
    </w:p>
    <w:p w:rsidR="00AA46AB" w:rsidRPr="00295637" w:rsidRDefault="00AA46AB" w:rsidP="0086268D">
      <w:pPr>
        <w:pStyle w:val="ListParagraph"/>
        <w:ind w:left="0"/>
        <w:jc w:val="both"/>
        <w:rPr>
          <w:rFonts w:ascii="Times New Roman" w:hAnsi="Times New Roman"/>
          <w:lang w:val="sr-Cyrl-BA"/>
        </w:rPr>
      </w:pPr>
    </w:p>
    <w:p w:rsidR="00AA46AB" w:rsidRPr="00295637" w:rsidRDefault="00C6214E" w:rsidP="0086268D">
      <w:pPr>
        <w:pStyle w:val="ListParagraph"/>
        <w:ind w:left="0"/>
        <w:jc w:val="both"/>
        <w:rPr>
          <w:rFonts w:ascii="Times New Roman" w:hAnsi="Times New Roman"/>
          <w:lang w:val="sr-Latn-BA"/>
        </w:rPr>
      </w:pP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извјештајном</w:t>
      </w:r>
      <w:r w:rsidR="00AA46AB" w:rsidRPr="00295637">
        <w:rPr>
          <w:rFonts w:ascii="Times New Roman" w:hAnsi="Times New Roman"/>
          <w:lang w:val="sr-Cyrl-BA"/>
        </w:rPr>
        <w:t xml:space="preserve"> </w:t>
      </w:r>
      <w:r>
        <w:rPr>
          <w:rFonts w:ascii="Times New Roman" w:hAnsi="Times New Roman"/>
          <w:lang w:val="hr-HR"/>
        </w:rPr>
        <w:t>периоду</w:t>
      </w:r>
      <w:r w:rsidR="00AA46AB" w:rsidRPr="00295637">
        <w:rPr>
          <w:rFonts w:ascii="Times New Roman" w:hAnsi="Times New Roman"/>
          <w:lang w:val="sr-Cyrl-BA"/>
        </w:rPr>
        <w:t xml:space="preserve"> </w:t>
      </w:r>
      <w:r>
        <w:rPr>
          <w:rFonts w:ascii="Times New Roman" w:hAnsi="Times New Roman"/>
          <w:lang w:val="sr-Cyrl-BA"/>
        </w:rPr>
        <w:t>реализ</w:t>
      </w:r>
      <w:r w:rsidR="00FF06BD">
        <w:rPr>
          <w:rFonts w:ascii="Times New Roman" w:hAnsi="Times New Roman"/>
          <w:lang w:val="sr-Cyrl-BA"/>
        </w:rPr>
        <w:t>ована</w:t>
      </w:r>
      <w:r w:rsidR="00AA46AB" w:rsidRPr="00295637">
        <w:rPr>
          <w:rFonts w:ascii="Times New Roman" w:hAnsi="Times New Roman"/>
          <w:lang w:val="sr-Cyrl-BA"/>
        </w:rPr>
        <w:t xml:space="preserve"> </w:t>
      </w:r>
      <w:r>
        <w:rPr>
          <w:rFonts w:ascii="Times New Roman" w:hAnsi="Times New Roman"/>
          <w:lang w:val="sr-Cyrl-BA"/>
        </w:rPr>
        <w:t>су</w:t>
      </w:r>
      <w:r w:rsidR="00AA46AB" w:rsidRPr="00295637">
        <w:rPr>
          <w:rFonts w:ascii="Times New Roman" w:hAnsi="Times New Roman"/>
          <w:lang w:val="sr-Cyrl-BA"/>
        </w:rPr>
        <w:t xml:space="preserve"> </w:t>
      </w:r>
      <w:r>
        <w:rPr>
          <w:rFonts w:ascii="Times New Roman" w:hAnsi="Times New Roman"/>
          <w:lang w:val="sr-Cyrl-BA"/>
        </w:rPr>
        <w:t>два</w:t>
      </w:r>
      <w:r w:rsidR="00AA46AB" w:rsidRPr="00295637">
        <w:rPr>
          <w:rFonts w:ascii="Times New Roman" w:hAnsi="Times New Roman"/>
          <w:lang w:val="sr-Cyrl-BA"/>
        </w:rPr>
        <w:t xml:space="preserve"> </w:t>
      </w:r>
      <w:r>
        <w:rPr>
          <w:rFonts w:ascii="Times New Roman" w:hAnsi="Times New Roman"/>
          <w:lang w:val="sr-Cyrl-BA"/>
        </w:rPr>
        <w:t>родно</w:t>
      </w:r>
      <w:r w:rsidR="00EC4AE0">
        <w:rPr>
          <w:rFonts w:ascii="Times New Roman" w:hAnsi="Times New Roman"/>
          <w:lang w:val="hr-HR"/>
        </w:rPr>
        <w:t>-</w:t>
      </w:r>
      <w:r>
        <w:rPr>
          <w:rFonts w:ascii="Times New Roman" w:hAnsi="Times New Roman"/>
          <w:lang w:val="hr-HR"/>
        </w:rPr>
        <w:t>буџетска</w:t>
      </w:r>
      <w:r w:rsidR="00AA46AB" w:rsidRPr="00295637">
        <w:rPr>
          <w:rFonts w:ascii="Times New Roman" w:hAnsi="Times New Roman"/>
          <w:lang w:val="sr-Cyrl-BA"/>
        </w:rPr>
        <w:t xml:space="preserve"> </w:t>
      </w:r>
      <w:r>
        <w:rPr>
          <w:rFonts w:ascii="Times New Roman" w:hAnsi="Times New Roman"/>
          <w:lang w:val="sr-Cyrl-BA"/>
        </w:rPr>
        <w:t>програма</w:t>
      </w:r>
      <w:r w:rsidR="0017648A">
        <w:rPr>
          <w:rFonts w:ascii="Times New Roman" w:hAnsi="Times New Roman"/>
          <w:lang w:val="bs-Latn-BA"/>
        </w:rPr>
        <w:t xml:space="preserve"> </w:t>
      </w:r>
      <w:r>
        <w:rPr>
          <w:rFonts w:ascii="Times New Roman" w:hAnsi="Times New Roman"/>
          <w:lang w:val="bs-Latn-BA"/>
        </w:rPr>
        <w:t>у</w:t>
      </w:r>
      <w:r w:rsidR="0017648A">
        <w:rPr>
          <w:rFonts w:ascii="Times New Roman" w:hAnsi="Times New Roman"/>
          <w:lang w:val="bs-Latn-BA"/>
        </w:rPr>
        <w:t xml:space="preserve"> </w:t>
      </w:r>
      <w:r>
        <w:rPr>
          <w:rFonts w:ascii="Times New Roman" w:hAnsi="Times New Roman"/>
          <w:lang w:val="bs-Latn-BA"/>
        </w:rPr>
        <w:t>Републици</w:t>
      </w:r>
      <w:r w:rsidR="0017648A">
        <w:rPr>
          <w:rFonts w:ascii="Times New Roman" w:hAnsi="Times New Roman"/>
          <w:lang w:val="bs-Latn-BA"/>
        </w:rPr>
        <w:t xml:space="preserve"> </w:t>
      </w:r>
      <w:r>
        <w:rPr>
          <w:rFonts w:ascii="Times New Roman" w:hAnsi="Times New Roman"/>
          <w:lang w:val="bs-Latn-BA"/>
        </w:rPr>
        <w:t>Српској</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самозапошљавање</w:t>
      </w:r>
      <w:r w:rsidR="00AA46AB" w:rsidRPr="00295637">
        <w:rPr>
          <w:rFonts w:ascii="Times New Roman" w:hAnsi="Times New Roman"/>
          <w:lang w:val="sr-Cyrl-BA"/>
        </w:rPr>
        <w:t xml:space="preserve"> </w:t>
      </w:r>
      <w:r>
        <w:rPr>
          <w:rFonts w:ascii="Times New Roman" w:hAnsi="Times New Roman"/>
          <w:lang w:val="sr-Cyrl-BA"/>
        </w:rPr>
        <w:t>жена</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селу</w:t>
      </w:r>
      <w:r w:rsidR="00AA46AB" w:rsidRPr="00295637">
        <w:rPr>
          <w:rFonts w:ascii="Times New Roman" w:hAnsi="Times New Roman"/>
          <w:lang w:val="sr-Cyrl-BA"/>
        </w:rPr>
        <w:t xml:space="preserve"> </w:t>
      </w:r>
      <w:r>
        <w:rPr>
          <w:rFonts w:ascii="Times New Roman" w:hAnsi="Times New Roman"/>
          <w:lang w:val="sr-Cyrl-BA"/>
        </w:rPr>
        <w:t>МПШВ</w:t>
      </w:r>
      <w:r w:rsidR="00A86CBC" w:rsidRPr="00295637">
        <w:rPr>
          <w:rFonts w:ascii="Times New Roman" w:hAnsi="Times New Roman"/>
          <w:lang w:val="bs-Latn-BA"/>
        </w:rPr>
        <w:t xml:space="preserve"> </w:t>
      </w:r>
      <w:r>
        <w:rPr>
          <w:rFonts w:ascii="Times New Roman" w:hAnsi="Times New Roman"/>
          <w:lang w:val="bs-Latn-BA"/>
        </w:rPr>
        <w:t>РС</w:t>
      </w:r>
      <w:r w:rsidR="00AA46AB" w:rsidRPr="00295637">
        <w:rPr>
          <w:rFonts w:ascii="Times New Roman" w:hAnsi="Times New Roman"/>
          <w:lang w:val="sr-Cyrl-BA"/>
        </w:rPr>
        <w:t xml:space="preserve">, </w:t>
      </w:r>
      <w:r>
        <w:rPr>
          <w:rFonts w:ascii="Times New Roman" w:hAnsi="Times New Roman"/>
          <w:lang w:val="sr-Cyrl-BA"/>
        </w:rPr>
        <w:t>који</w:t>
      </w:r>
      <w:r w:rsidR="00AA46AB" w:rsidRPr="00295637">
        <w:rPr>
          <w:rFonts w:ascii="Times New Roman" w:hAnsi="Times New Roman"/>
          <w:lang w:val="sr-Cyrl-BA"/>
        </w:rPr>
        <w:t xml:space="preserve"> </w:t>
      </w:r>
      <w:r>
        <w:rPr>
          <w:rFonts w:ascii="Times New Roman" w:hAnsi="Times New Roman"/>
          <w:lang w:val="sr-Cyrl-BA"/>
        </w:rPr>
        <w:t>је</w:t>
      </w:r>
      <w:r w:rsidR="00AA46AB" w:rsidRPr="00295637">
        <w:rPr>
          <w:rFonts w:ascii="Times New Roman" w:hAnsi="Times New Roman"/>
          <w:lang w:val="sr-Cyrl-BA"/>
        </w:rPr>
        <w:t xml:space="preserve"> </w:t>
      </w:r>
      <w:r>
        <w:rPr>
          <w:rFonts w:ascii="Times New Roman" w:hAnsi="Times New Roman"/>
          <w:lang w:val="sr-Cyrl-BA"/>
        </w:rPr>
        <w:t>израђен</w:t>
      </w:r>
      <w:r w:rsidR="00AA46AB" w:rsidRPr="00295637">
        <w:rPr>
          <w:rFonts w:ascii="Times New Roman" w:hAnsi="Times New Roman"/>
          <w:lang w:val="sr-Cyrl-BA"/>
        </w:rPr>
        <w:t xml:space="preserve"> </w:t>
      </w:r>
      <w:r>
        <w:rPr>
          <w:rFonts w:ascii="Times New Roman" w:hAnsi="Times New Roman"/>
          <w:lang w:val="sr-Cyrl-BA"/>
        </w:rPr>
        <w:t>уз</w:t>
      </w:r>
      <w:r w:rsidR="00AA46AB"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дршку</w:t>
      </w:r>
      <w:r w:rsidR="00AA46AB" w:rsidRPr="00295637">
        <w:rPr>
          <w:rFonts w:ascii="Times New Roman" w:hAnsi="Times New Roman"/>
          <w:lang w:val="sr-Cyrl-BA"/>
        </w:rPr>
        <w:t xml:space="preserve"> </w:t>
      </w:r>
      <w:r>
        <w:rPr>
          <w:rFonts w:ascii="Times New Roman" w:hAnsi="Times New Roman"/>
          <w:lang w:val="sr-Cyrl-BA"/>
        </w:rPr>
        <w:t>ЦЈРП</w:t>
      </w:r>
      <w:r w:rsidR="00EC4AE0">
        <w:rPr>
          <w:rFonts w:ascii="Times New Roman" w:hAnsi="Times New Roman"/>
          <w:lang w:val="hr-HR"/>
        </w:rPr>
        <w:t xml:space="preserve"> </w:t>
      </w:r>
      <w:r>
        <w:rPr>
          <w:rFonts w:ascii="Times New Roman" w:hAnsi="Times New Roman"/>
          <w:lang w:val="sr-Cyrl-BA"/>
        </w:rPr>
        <w:t>РС</w:t>
      </w:r>
      <w:r w:rsidR="00AA46AB" w:rsidRPr="00295637">
        <w:rPr>
          <w:rFonts w:ascii="Times New Roman" w:hAnsi="Times New Roman"/>
          <w:lang w:val="sr-Cyrl-BA"/>
        </w:rPr>
        <w:t xml:space="preserve">, </w:t>
      </w:r>
      <w:r>
        <w:rPr>
          <w:rFonts w:ascii="Times New Roman" w:hAnsi="Times New Roman"/>
          <w:lang w:val="sr-Cyrl-BA"/>
        </w:rPr>
        <w:t>као</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дршке</w:t>
      </w:r>
      <w:r w:rsidR="00AA46AB"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дс</w:t>
      </w:r>
      <w:r>
        <w:rPr>
          <w:rFonts w:ascii="Times New Roman" w:hAnsi="Times New Roman"/>
          <w:lang w:val="sr-Cyrl-BA"/>
        </w:rPr>
        <w:t>тицаја</w:t>
      </w:r>
      <w:r w:rsidR="00AA46AB" w:rsidRPr="00295637">
        <w:rPr>
          <w:rFonts w:ascii="Times New Roman" w:hAnsi="Times New Roman"/>
          <w:lang w:val="sr-Cyrl-BA"/>
        </w:rPr>
        <w:t xml:space="preserve"> </w:t>
      </w:r>
      <w:r>
        <w:rPr>
          <w:rFonts w:ascii="Times New Roman" w:hAnsi="Times New Roman"/>
          <w:lang w:val="sr-Cyrl-BA"/>
        </w:rPr>
        <w:t>МПШВ</w:t>
      </w:r>
      <w:r w:rsidR="00AA46AB" w:rsidRPr="00295637">
        <w:rPr>
          <w:rFonts w:ascii="Times New Roman" w:hAnsi="Times New Roman"/>
          <w:lang w:val="sr-Cyrl-BA"/>
        </w:rPr>
        <w:t xml:space="preserve"> </w:t>
      </w:r>
      <w:r>
        <w:rPr>
          <w:rFonts w:ascii="Times New Roman" w:hAnsi="Times New Roman"/>
          <w:lang w:val="bs-Latn-BA"/>
        </w:rPr>
        <w:t>РС</w:t>
      </w:r>
      <w:r w:rsidR="00A86CBC" w:rsidRPr="00295637">
        <w:rPr>
          <w:rFonts w:ascii="Times New Roman" w:hAnsi="Times New Roman"/>
          <w:lang w:val="bs-Latn-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удру</w:t>
      </w:r>
      <w:r>
        <w:rPr>
          <w:rFonts w:ascii="Times New Roman" w:hAnsi="Times New Roman"/>
          <w:lang w:val="hr-HR"/>
        </w:rPr>
        <w:t>жења</w:t>
      </w:r>
      <w:r w:rsidR="00AA46AB" w:rsidRPr="00295637">
        <w:rPr>
          <w:rFonts w:ascii="Times New Roman" w:hAnsi="Times New Roman"/>
          <w:lang w:val="sr-Cyrl-BA"/>
        </w:rPr>
        <w:t xml:space="preserve"> </w:t>
      </w:r>
      <w:r>
        <w:rPr>
          <w:rFonts w:ascii="Times New Roman" w:hAnsi="Times New Roman"/>
          <w:lang w:val="sr-Cyrl-BA"/>
        </w:rPr>
        <w:t>жена</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женске</w:t>
      </w:r>
      <w:r w:rsidR="00AA46AB" w:rsidRPr="00295637">
        <w:rPr>
          <w:rFonts w:ascii="Times New Roman" w:hAnsi="Times New Roman"/>
          <w:lang w:val="sr-Cyrl-BA"/>
        </w:rPr>
        <w:t xml:space="preserve"> </w:t>
      </w:r>
      <w:r>
        <w:rPr>
          <w:rFonts w:ascii="Times New Roman" w:hAnsi="Times New Roman"/>
          <w:lang w:val="sr-Cyrl-BA"/>
        </w:rPr>
        <w:t>задруге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2024. </w:t>
      </w:r>
      <w:r>
        <w:rPr>
          <w:rFonts w:ascii="Times New Roman" w:hAnsi="Times New Roman"/>
          <w:lang w:val="sr-Cyrl-BA"/>
        </w:rPr>
        <w:t>години</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оквиру</w:t>
      </w:r>
      <w:r w:rsidR="00AA46AB" w:rsidRPr="00295637">
        <w:rPr>
          <w:rFonts w:ascii="Times New Roman" w:hAnsi="Times New Roman"/>
          <w:lang w:val="sr-Cyrl-BA"/>
        </w:rPr>
        <w:t xml:space="preserve"> </w:t>
      </w:r>
      <w:r>
        <w:rPr>
          <w:rFonts w:ascii="Times New Roman" w:hAnsi="Times New Roman"/>
          <w:lang w:val="sr-Cyrl-BA"/>
        </w:rPr>
        <w:t>родно</w:t>
      </w:r>
      <w:r w:rsidR="00EC4AE0">
        <w:rPr>
          <w:rFonts w:ascii="Times New Roman" w:hAnsi="Times New Roman"/>
          <w:lang w:val="hr-HR"/>
        </w:rPr>
        <w:t>-</w:t>
      </w:r>
      <w:r>
        <w:rPr>
          <w:rFonts w:ascii="Times New Roman" w:hAnsi="Times New Roman"/>
          <w:lang w:val="hr-HR"/>
        </w:rPr>
        <w:t>буџетског</w:t>
      </w:r>
      <w:r w:rsidR="00AA46AB" w:rsidRPr="00295637">
        <w:rPr>
          <w:rFonts w:ascii="Times New Roman" w:hAnsi="Times New Roman"/>
          <w:lang w:val="sr-Cyrl-BA"/>
        </w:rPr>
        <w:t xml:space="preserve"> </w:t>
      </w:r>
      <w:r>
        <w:rPr>
          <w:rFonts w:ascii="Times New Roman" w:hAnsi="Times New Roman"/>
          <w:lang w:val="sr-Cyrl-BA"/>
        </w:rPr>
        <w:t>програма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самозапошљавање</w:t>
      </w:r>
      <w:r w:rsidR="00AA46AB" w:rsidRPr="00295637">
        <w:rPr>
          <w:rFonts w:ascii="Times New Roman" w:hAnsi="Times New Roman"/>
          <w:lang w:val="sr-Cyrl-BA"/>
        </w:rPr>
        <w:t xml:space="preserve"> </w:t>
      </w:r>
      <w:r>
        <w:rPr>
          <w:rFonts w:ascii="Times New Roman" w:hAnsi="Times New Roman"/>
          <w:lang w:val="sr-Cyrl-BA"/>
        </w:rPr>
        <w:t>жена</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селу</w:t>
      </w:r>
      <w:r w:rsidR="00AA46AB" w:rsidRPr="00295637">
        <w:rPr>
          <w:rFonts w:ascii="Times New Roman" w:hAnsi="Times New Roman"/>
          <w:lang w:val="sr-Cyrl-BA"/>
        </w:rPr>
        <w:t xml:space="preserve">, 24 </w:t>
      </w:r>
      <w:r>
        <w:rPr>
          <w:rFonts w:ascii="Times New Roman" w:hAnsi="Times New Roman"/>
          <w:lang w:val="sr-Cyrl-BA"/>
        </w:rPr>
        <w:t>кориснице</w:t>
      </w:r>
      <w:r w:rsidR="00AA46AB" w:rsidRPr="00295637">
        <w:rPr>
          <w:rFonts w:ascii="Times New Roman" w:hAnsi="Times New Roman"/>
          <w:lang w:val="sr-Cyrl-BA"/>
        </w:rPr>
        <w:t xml:space="preserve"> </w:t>
      </w:r>
      <w:r>
        <w:rPr>
          <w:rFonts w:ascii="Times New Roman" w:hAnsi="Times New Roman"/>
          <w:lang w:val="sr-Cyrl-BA"/>
        </w:rPr>
        <w:t>су</w:t>
      </w:r>
      <w:r w:rsidR="00AA46AB" w:rsidRPr="00295637">
        <w:rPr>
          <w:rFonts w:ascii="Times New Roman" w:hAnsi="Times New Roman"/>
          <w:lang w:val="sr-Cyrl-BA"/>
        </w:rPr>
        <w:t xml:space="preserve"> </w:t>
      </w:r>
      <w:r>
        <w:rPr>
          <w:rFonts w:ascii="Times New Roman" w:hAnsi="Times New Roman"/>
          <w:lang w:val="sr-Cyrl-BA"/>
        </w:rPr>
        <w:t>оствариле</w:t>
      </w:r>
      <w:r w:rsidR="00AA46AB" w:rsidRPr="00295637">
        <w:rPr>
          <w:rFonts w:ascii="Times New Roman" w:hAnsi="Times New Roman"/>
          <w:lang w:val="sr-Cyrl-BA"/>
        </w:rPr>
        <w:t xml:space="preserve"> </w:t>
      </w:r>
      <w:r>
        <w:rPr>
          <w:rFonts w:ascii="Times New Roman" w:hAnsi="Times New Roman"/>
          <w:lang w:val="sr-Cyrl-BA"/>
        </w:rPr>
        <w:t>право</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средства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укупном</w:t>
      </w:r>
      <w:r w:rsidR="00AA46AB" w:rsidRPr="00295637">
        <w:rPr>
          <w:rFonts w:ascii="Times New Roman" w:hAnsi="Times New Roman"/>
          <w:lang w:val="sr-Cyrl-BA"/>
        </w:rPr>
        <w:t xml:space="preserve"> </w:t>
      </w:r>
      <w:r>
        <w:rPr>
          <w:rFonts w:ascii="Times New Roman" w:hAnsi="Times New Roman"/>
          <w:lang w:val="sr-Cyrl-BA"/>
        </w:rPr>
        <w:t>износу</w:t>
      </w:r>
      <w:r w:rsidR="00AA46AB" w:rsidRPr="00295637">
        <w:rPr>
          <w:rFonts w:ascii="Times New Roman" w:hAnsi="Times New Roman"/>
          <w:lang w:val="sr-Cyrl-BA"/>
        </w:rPr>
        <w:t xml:space="preserve"> </w:t>
      </w:r>
      <w:r>
        <w:rPr>
          <w:rFonts w:ascii="Times New Roman" w:hAnsi="Times New Roman"/>
          <w:lang w:val="sr-Cyrl-BA"/>
        </w:rPr>
        <w:t>од</w:t>
      </w:r>
      <w:r w:rsidR="00AA46AB" w:rsidRPr="00295637">
        <w:rPr>
          <w:rFonts w:ascii="Times New Roman" w:hAnsi="Times New Roman"/>
          <w:lang w:val="sr-Cyrl-BA"/>
        </w:rPr>
        <w:t xml:space="preserve"> 238.885,58 </w:t>
      </w:r>
      <w:r>
        <w:rPr>
          <w:rFonts w:ascii="Times New Roman" w:hAnsi="Times New Roman"/>
          <w:lang w:val="sr-Cyrl-BA"/>
        </w:rPr>
        <w:t>КМ</w:t>
      </w:r>
      <w:r w:rsidR="00AA46AB" w:rsidRPr="00295637">
        <w:rPr>
          <w:rFonts w:ascii="Times New Roman" w:hAnsi="Times New Roman"/>
          <w:lang w:val="sr-Cyrl-BA"/>
        </w:rPr>
        <w:t xml:space="preserve">. </w:t>
      </w:r>
      <w:r>
        <w:rPr>
          <w:rFonts w:ascii="Times New Roman" w:hAnsi="Times New Roman"/>
          <w:lang w:val="hr-HR"/>
        </w:rPr>
        <w:t>П</w:t>
      </w:r>
      <w:r>
        <w:rPr>
          <w:rFonts w:ascii="Times New Roman" w:hAnsi="Times New Roman"/>
          <w:lang w:val="sr-Cyrl-BA"/>
        </w:rPr>
        <w:t>одстицаје</w:t>
      </w:r>
      <w:r w:rsidR="00EC4AE0" w:rsidRPr="00295637">
        <w:rPr>
          <w:rFonts w:ascii="Times New Roman" w:hAnsi="Times New Roman"/>
          <w:lang w:val="sr-Cyrl-BA"/>
        </w:rPr>
        <w:t xml:space="preserve"> </w:t>
      </w:r>
      <w:r>
        <w:rPr>
          <w:rFonts w:ascii="Times New Roman" w:hAnsi="Times New Roman"/>
          <w:lang w:val="sr-Cyrl-BA"/>
        </w:rPr>
        <w:t>су</w:t>
      </w:r>
      <w:r w:rsidR="00EC4AE0" w:rsidRPr="00295637">
        <w:rPr>
          <w:rFonts w:ascii="Times New Roman" w:hAnsi="Times New Roman"/>
          <w:lang w:val="sr-Cyrl-BA"/>
        </w:rPr>
        <w:t xml:space="preserve"> </w:t>
      </w:r>
      <w:r>
        <w:rPr>
          <w:rFonts w:ascii="Times New Roman" w:hAnsi="Times New Roman"/>
          <w:lang w:val="sr-Cyrl-BA"/>
        </w:rPr>
        <w:t>користиле</w:t>
      </w:r>
      <w:r w:rsidR="00EC4AE0" w:rsidRPr="00295637">
        <w:rPr>
          <w:rFonts w:ascii="Times New Roman" w:hAnsi="Times New Roman"/>
          <w:lang w:val="sr-Cyrl-BA"/>
        </w:rPr>
        <w:t xml:space="preserve"> </w:t>
      </w:r>
      <w:r w:rsidR="00AA46AB" w:rsidRPr="00295637">
        <w:rPr>
          <w:rFonts w:ascii="Times New Roman" w:hAnsi="Times New Roman"/>
          <w:lang w:val="sr-Cyrl-BA"/>
        </w:rPr>
        <w:t xml:space="preserve">2532 </w:t>
      </w:r>
      <w:r>
        <w:rPr>
          <w:rFonts w:ascii="Times New Roman" w:hAnsi="Times New Roman"/>
          <w:lang w:val="sr-Cyrl-BA"/>
        </w:rPr>
        <w:t>жене</w:t>
      </w:r>
      <w:r w:rsidR="00AA46AB" w:rsidRPr="00295637">
        <w:rPr>
          <w:rFonts w:ascii="Times New Roman" w:hAnsi="Times New Roman"/>
          <w:lang w:val="sr-Cyrl-BA"/>
        </w:rPr>
        <w:t xml:space="preserve"> (</w:t>
      </w:r>
      <w:r>
        <w:rPr>
          <w:rFonts w:ascii="Times New Roman" w:hAnsi="Times New Roman"/>
          <w:lang w:val="sr-Cyrl-BA"/>
        </w:rPr>
        <w:t>регресирани</w:t>
      </w:r>
      <w:r w:rsidR="00AA46AB" w:rsidRPr="00295637">
        <w:rPr>
          <w:rFonts w:ascii="Times New Roman" w:hAnsi="Times New Roman"/>
          <w:lang w:val="sr-Cyrl-BA"/>
        </w:rPr>
        <w:t xml:space="preserve"> </w:t>
      </w:r>
      <w:r>
        <w:rPr>
          <w:rFonts w:ascii="Times New Roman" w:hAnsi="Times New Roman"/>
          <w:lang w:val="sr-Cyrl-BA"/>
        </w:rPr>
        <w:t>дизел</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пчеларство</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2024. </w:t>
      </w:r>
      <w:r>
        <w:rPr>
          <w:rFonts w:ascii="Times New Roman" w:hAnsi="Times New Roman"/>
          <w:lang w:val="sr-Cyrl-BA"/>
        </w:rPr>
        <w:t>години</w:t>
      </w:r>
      <w:r w:rsidR="00AA46AB" w:rsidRPr="00295637">
        <w:rPr>
          <w:rFonts w:ascii="Times New Roman" w:hAnsi="Times New Roman"/>
          <w:lang w:val="sr-Cyrl-BA"/>
        </w:rPr>
        <w:t xml:space="preserve">, </w:t>
      </w:r>
      <w:r>
        <w:rPr>
          <w:rFonts w:ascii="Times New Roman" w:hAnsi="Times New Roman"/>
          <w:lang w:val="sr-Cyrl-BA"/>
        </w:rPr>
        <w:t>од</w:t>
      </w:r>
      <w:r w:rsidR="00AA46AB" w:rsidRPr="00295637">
        <w:rPr>
          <w:rFonts w:ascii="Times New Roman" w:hAnsi="Times New Roman"/>
          <w:lang w:val="sr-Cyrl-BA"/>
        </w:rPr>
        <w:t xml:space="preserve"> </w:t>
      </w:r>
      <w:r>
        <w:rPr>
          <w:rFonts w:ascii="Times New Roman" w:hAnsi="Times New Roman"/>
          <w:lang w:val="sr-Cyrl-BA"/>
        </w:rPr>
        <w:t>укупно</w:t>
      </w:r>
      <w:r w:rsidR="00AA46AB" w:rsidRPr="00295637">
        <w:rPr>
          <w:rFonts w:ascii="Times New Roman" w:hAnsi="Times New Roman"/>
          <w:lang w:val="sr-Cyrl-BA"/>
        </w:rPr>
        <w:t xml:space="preserve"> 17.126 </w:t>
      </w:r>
      <w:r>
        <w:rPr>
          <w:rFonts w:ascii="Times New Roman" w:hAnsi="Times New Roman"/>
          <w:lang w:val="sr-Cyrl-BA"/>
        </w:rPr>
        <w:t>регистрованих</w:t>
      </w:r>
      <w:r w:rsidR="00AA46AB" w:rsidRPr="00295637">
        <w:rPr>
          <w:rFonts w:ascii="Times New Roman" w:hAnsi="Times New Roman"/>
          <w:lang w:val="sr-Cyrl-BA"/>
        </w:rPr>
        <w:t xml:space="preserve"> </w:t>
      </w:r>
      <w:r>
        <w:rPr>
          <w:rFonts w:ascii="Times New Roman" w:hAnsi="Times New Roman"/>
          <w:lang w:val="sr-Cyrl-BA"/>
        </w:rPr>
        <w:t>пољопривредних</w:t>
      </w:r>
      <w:r w:rsidR="00AA46AB" w:rsidRPr="00295637">
        <w:rPr>
          <w:rFonts w:ascii="Times New Roman" w:hAnsi="Times New Roman"/>
          <w:lang w:val="sr-Cyrl-BA"/>
        </w:rPr>
        <w:t xml:space="preserve"> </w:t>
      </w:r>
      <w:r>
        <w:rPr>
          <w:rFonts w:ascii="Times New Roman" w:hAnsi="Times New Roman"/>
          <w:lang w:val="sr-Cyrl-BA"/>
        </w:rPr>
        <w:t>газдинстава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РС</w:t>
      </w:r>
      <w:r w:rsidR="00AA46AB" w:rsidRPr="00295637">
        <w:rPr>
          <w:rFonts w:ascii="Times New Roman" w:hAnsi="Times New Roman"/>
          <w:lang w:val="sr-Cyrl-BA"/>
        </w:rPr>
        <w:t xml:space="preserve">, 2.866 </w:t>
      </w:r>
      <w:r>
        <w:rPr>
          <w:rFonts w:ascii="Times New Roman" w:hAnsi="Times New Roman"/>
          <w:lang w:val="sr-Cyrl-BA"/>
        </w:rPr>
        <w:t>су</w:t>
      </w:r>
      <w:r w:rsidR="00AA46AB" w:rsidRPr="00295637">
        <w:rPr>
          <w:rFonts w:ascii="Times New Roman" w:hAnsi="Times New Roman"/>
          <w:lang w:val="sr-Cyrl-BA"/>
        </w:rPr>
        <w:t xml:space="preserve"> </w:t>
      </w:r>
      <w:r>
        <w:rPr>
          <w:rFonts w:ascii="Times New Roman" w:hAnsi="Times New Roman"/>
          <w:lang w:val="sr-Cyrl-BA"/>
        </w:rPr>
        <w:t>газдинства</w:t>
      </w:r>
      <w:r w:rsidR="00AA46AB" w:rsidRPr="00295637">
        <w:rPr>
          <w:rFonts w:ascii="Times New Roman" w:hAnsi="Times New Roman"/>
          <w:lang w:val="sr-Cyrl-BA"/>
        </w:rPr>
        <w:t xml:space="preserve"> </w:t>
      </w:r>
      <w:r>
        <w:rPr>
          <w:rFonts w:ascii="Times New Roman" w:hAnsi="Times New Roman"/>
          <w:lang w:val="sr-Cyrl-BA"/>
        </w:rPr>
        <w:t>чији</w:t>
      </w:r>
      <w:r w:rsidR="00AA46AB" w:rsidRPr="00295637">
        <w:rPr>
          <w:rFonts w:ascii="Times New Roman" w:hAnsi="Times New Roman"/>
          <w:lang w:val="sr-Cyrl-BA"/>
        </w:rPr>
        <w:t xml:space="preserve"> </w:t>
      </w:r>
      <w:r>
        <w:rPr>
          <w:rFonts w:ascii="Times New Roman" w:hAnsi="Times New Roman"/>
          <w:lang w:val="sr-Cyrl-BA"/>
        </w:rPr>
        <w:t>су</w:t>
      </w:r>
      <w:r w:rsidR="00AA46AB" w:rsidRPr="00295637">
        <w:rPr>
          <w:rFonts w:ascii="Times New Roman" w:hAnsi="Times New Roman"/>
          <w:lang w:val="sr-Cyrl-BA"/>
        </w:rPr>
        <w:t xml:space="preserve"> </w:t>
      </w:r>
      <w:r>
        <w:rPr>
          <w:rFonts w:ascii="Times New Roman" w:hAnsi="Times New Roman"/>
          <w:lang w:val="sr-Cyrl-BA"/>
        </w:rPr>
        <w:t>носи</w:t>
      </w:r>
      <w:r>
        <w:rPr>
          <w:rFonts w:ascii="Times New Roman" w:hAnsi="Times New Roman"/>
          <w:lang w:val="hr-HR"/>
        </w:rPr>
        <w:t>оци</w:t>
      </w:r>
      <w:r w:rsidR="00AA46AB" w:rsidRPr="00295637">
        <w:rPr>
          <w:rFonts w:ascii="Times New Roman" w:hAnsi="Times New Roman"/>
          <w:lang w:val="sr-Cyrl-BA"/>
        </w:rPr>
        <w:t xml:space="preserve"> </w:t>
      </w:r>
      <w:r>
        <w:rPr>
          <w:rFonts w:ascii="Times New Roman" w:hAnsi="Times New Roman"/>
          <w:lang w:val="sr-Cyrl-BA"/>
        </w:rPr>
        <w:t>жене</w:t>
      </w:r>
      <w:r w:rsidR="00AA46AB" w:rsidRPr="00295637">
        <w:rPr>
          <w:rFonts w:ascii="Times New Roman" w:hAnsi="Times New Roman"/>
          <w:lang w:val="sr-Cyrl-BA"/>
        </w:rPr>
        <w:t xml:space="preserve"> (16,7%).</w:t>
      </w:r>
      <w:r w:rsidR="00AA46AB" w:rsidRPr="00295637">
        <w:rPr>
          <w:rFonts w:ascii="Times New Roman" w:hAnsi="Times New Roman"/>
          <w:lang w:val="sr-Latn-BA"/>
        </w:rPr>
        <w:t xml:space="preserve"> </w:t>
      </w: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оквиру</w:t>
      </w:r>
      <w:r w:rsidR="00AA46AB" w:rsidRPr="00295637">
        <w:rPr>
          <w:rFonts w:ascii="Times New Roman" w:hAnsi="Times New Roman"/>
          <w:lang w:val="sr-Latn-BA"/>
        </w:rPr>
        <w:t xml:space="preserve"> </w:t>
      </w:r>
      <w:r>
        <w:rPr>
          <w:rFonts w:ascii="Times New Roman" w:hAnsi="Times New Roman"/>
          <w:lang w:val="sr-Cyrl-BA"/>
        </w:rPr>
        <w:t>унапређења</w:t>
      </w:r>
      <w:r w:rsidR="00AA46AB" w:rsidRPr="00295637">
        <w:rPr>
          <w:rFonts w:ascii="Times New Roman" w:hAnsi="Times New Roman"/>
          <w:lang w:val="sr-Cyrl-BA"/>
        </w:rPr>
        <w:t xml:space="preserve"> </w:t>
      </w:r>
      <w:r>
        <w:rPr>
          <w:rFonts w:ascii="Times New Roman" w:hAnsi="Times New Roman"/>
          <w:lang w:val="sr-Cyrl-BA"/>
        </w:rPr>
        <w:t>положаја</w:t>
      </w:r>
      <w:r w:rsidR="00AA46AB" w:rsidRPr="00295637">
        <w:rPr>
          <w:rFonts w:ascii="Times New Roman" w:hAnsi="Times New Roman"/>
          <w:lang w:val="sr-Cyrl-BA"/>
        </w:rPr>
        <w:t xml:space="preserve"> </w:t>
      </w:r>
      <w:r>
        <w:rPr>
          <w:rFonts w:ascii="Times New Roman" w:hAnsi="Times New Roman"/>
          <w:lang w:val="sr-Cyrl-BA"/>
        </w:rPr>
        <w:t>жена</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селу</w:t>
      </w:r>
      <w:r w:rsidR="00AA46AB" w:rsidRPr="00295637">
        <w:rPr>
          <w:rFonts w:ascii="Times New Roman" w:hAnsi="Times New Roman"/>
          <w:lang w:val="sr-Cyrl-BA"/>
        </w:rPr>
        <w:t xml:space="preserve">, </w:t>
      </w:r>
      <w:r>
        <w:rPr>
          <w:rFonts w:ascii="Times New Roman" w:hAnsi="Times New Roman"/>
          <w:lang w:val="sr-Cyrl-BA"/>
        </w:rPr>
        <w:t>ЦЈРП</w:t>
      </w:r>
      <w:r w:rsidR="00A86CBC" w:rsidRPr="00295637">
        <w:rPr>
          <w:rFonts w:ascii="Times New Roman" w:hAnsi="Times New Roman"/>
          <w:lang w:val="bs-Latn-BA"/>
        </w:rPr>
        <w:t xml:space="preserve"> </w:t>
      </w:r>
      <w:r>
        <w:rPr>
          <w:rFonts w:ascii="Times New Roman" w:hAnsi="Times New Roman"/>
          <w:lang w:val="sr-Cyrl-BA"/>
        </w:rPr>
        <w:t>РС</w:t>
      </w:r>
      <w:r w:rsidR="00AA46AB" w:rsidRPr="00295637">
        <w:rPr>
          <w:rFonts w:ascii="Times New Roman" w:hAnsi="Times New Roman"/>
          <w:lang w:val="sr-Cyrl-BA"/>
        </w:rPr>
        <w:t xml:space="preserve"> </w:t>
      </w:r>
      <w:r>
        <w:rPr>
          <w:rFonts w:ascii="Times New Roman" w:hAnsi="Times New Roman"/>
          <w:lang w:val="sr-Latn-BA"/>
        </w:rPr>
        <w:t>и</w:t>
      </w:r>
      <w:r w:rsidR="00AA46AB" w:rsidRPr="00295637">
        <w:rPr>
          <w:rFonts w:ascii="Times New Roman" w:hAnsi="Times New Roman"/>
          <w:lang w:val="sr-Latn-BA"/>
        </w:rPr>
        <w:t xml:space="preserve"> </w:t>
      </w:r>
      <w:r>
        <w:rPr>
          <w:rFonts w:ascii="Times New Roman" w:hAnsi="Times New Roman"/>
          <w:lang w:val="sr-Latn-BA"/>
        </w:rPr>
        <w:t>МПШВ</w:t>
      </w:r>
      <w:r w:rsidR="00AA46AB" w:rsidRPr="00295637">
        <w:rPr>
          <w:rFonts w:ascii="Times New Roman" w:hAnsi="Times New Roman"/>
          <w:lang w:val="sr-Latn-BA"/>
        </w:rPr>
        <w:t xml:space="preserve"> </w:t>
      </w:r>
      <w:r>
        <w:rPr>
          <w:rFonts w:ascii="Times New Roman" w:hAnsi="Times New Roman"/>
          <w:lang w:val="sr-Latn-BA"/>
        </w:rPr>
        <w:t>РС</w:t>
      </w:r>
      <w:r w:rsidR="00A86CBC" w:rsidRPr="00295637">
        <w:rPr>
          <w:rFonts w:ascii="Times New Roman" w:hAnsi="Times New Roman"/>
          <w:lang w:val="sr-Latn-BA"/>
        </w:rPr>
        <w:t xml:space="preserve"> </w:t>
      </w:r>
      <w:r>
        <w:rPr>
          <w:rFonts w:ascii="Times New Roman" w:hAnsi="Times New Roman"/>
          <w:lang w:val="sr-Latn-BA"/>
        </w:rPr>
        <w:t>су</w:t>
      </w:r>
      <w:r w:rsidR="00AA46AB" w:rsidRPr="00295637">
        <w:rPr>
          <w:rFonts w:ascii="Times New Roman" w:hAnsi="Times New Roman"/>
          <w:lang w:val="sr-Cyrl-BA"/>
        </w:rPr>
        <w:t xml:space="preserve"> </w:t>
      </w:r>
      <w:r>
        <w:rPr>
          <w:rFonts w:ascii="Times New Roman" w:hAnsi="Times New Roman"/>
          <w:lang w:val="hr-HR"/>
        </w:rPr>
        <w:t>учествовали</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Latn-BA"/>
        </w:rPr>
        <w:t>пројекту</w:t>
      </w:r>
      <w:r w:rsidR="00AA46AB" w:rsidRPr="00295637">
        <w:rPr>
          <w:rFonts w:ascii="Times New Roman" w:hAnsi="Times New Roman"/>
          <w:lang w:val="sr-Cyrl-BA"/>
        </w:rPr>
        <w:t xml:space="preserve"> “</w:t>
      </w:r>
      <w:r>
        <w:rPr>
          <w:rFonts w:ascii="Times New Roman" w:hAnsi="Times New Roman"/>
          <w:lang w:val="sr-Cyrl-BA"/>
        </w:rPr>
        <w:t>Жене</w:t>
      </w:r>
      <w:r w:rsidR="00AA46AB" w:rsidRPr="00295637">
        <w:rPr>
          <w:rFonts w:ascii="Times New Roman" w:hAnsi="Times New Roman"/>
          <w:lang w:val="sr-Cyrl-BA"/>
        </w:rPr>
        <w:t xml:space="preserve"> </w:t>
      </w:r>
      <w:r>
        <w:rPr>
          <w:rFonts w:ascii="Times New Roman" w:hAnsi="Times New Roman"/>
          <w:lang w:val="sr-Cyrl-BA"/>
        </w:rPr>
        <w:t>покретачи</w:t>
      </w:r>
      <w:r w:rsidR="00AA46AB" w:rsidRPr="00295637">
        <w:rPr>
          <w:rFonts w:ascii="Times New Roman" w:hAnsi="Times New Roman"/>
          <w:lang w:val="sr-Cyrl-BA"/>
        </w:rPr>
        <w:t xml:space="preserve"> </w:t>
      </w:r>
      <w:r>
        <w:rPr>
          <w:rFonts w:ascii="Times New Roman" w:hAnsi="Times New Roman"/>
          <w:lang w:val="sr-Cyrl-BA"/>
        </w:rPr>
        <w:t>развоја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пољопривреди</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руралним</w:t>
      </w:r>
      <w:r w:rsidR="00AA46AB" w:rsidRPr="00295637">
        <w:rPr>
          <w:rFonts w:ascii="Times New Roman" w:hAnsi="Times New Roman"/>
          <w:lang w:val="sr-Cyrl-BA"/>
        </w:rPr>
        <w:t xml:space="preserve"> </w:t>
      </w:r>
      <w:r>
        <w:rPr>
          <w:rFonts w:ascii="Times New Roman" w:hAnsi="Times New Roman"/>
          <w:lang w:val="sr-Cyrl-BA"/>
        </w:rPr>
        <w:t>срединама</w:t>
      </w:r>
      <w:r w:rsidR="00AA46AB" w:rsidRPr="00295637">
        <w:rPr>
          <w:rFonts w:ascii="Times New Roman" w:hAnsi="Times New Roman"/>
          <w:lang w:val="sr-Cyrl-BA"/>
        </w:rPr>
        <w:t>” (</w:t>
      </w:r>
      <w:r w:rsidR="00FF06BD" w:rsidRPr="00FF06BD">
        <w:rPr>
          <w:rFonts w:ascii="Times New Roman" w:hAnsi="Times New Roman"/>
          <w:i/>
          <w:lang w:val="bs-Latn-BA"/>
        </w:rPr>
        <w:t xml:space="preserve">UN Women </w:t>
      </w:r>
      <w:r w:rsidR="00FF06BD" w:rsidRPr="00FF06BD">
        <w:rPr>
          <w:rFonts w:ascii="Times New Roman" w:hAnsi="Times New Roman"/>
          <w:lang w:val="sr-Cyrl-BA"/>
        </w:rPr>
        <w:t>и</w:t>
      </w:r>
      <w:r w:rsidR="00FF06BD" w:rsidRPr="00FF06BD">
        <w:rPr>
          <w:rFonts w:ascii="Times New Roman" w:hAnsi="Times New Roman"/>
          <w:i/>
          <w:lang w:val="sr-Cyrl-BA"/>
        </w:rPr>
        <w:t xml:space="preserve"> </w:t>
      </w:r>
      <w:r w:rsidR="00FF06BD" w:rsidRPr="00FF06BD">
        <w:rPr>
          <w:rFonts w:ascii="Times New Roman" w:hAnsi="Times New Roman"/>
          <w:lang w:val="sr-Cyrl-BA"/>
        </w:rPr>
        <w:t>FAO</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којем</w:t>
      </w:r>
      <w:r w:rsidR="00AA46AB" w:rsidRPr="00295637">
        <w:rPr>
          <w:rFonts w:ascii="Times New Roman" w:hAnsi="Times New Roman"/>
          <w:lang w:val="sr-Cyrl-BA"/>
        </w:rPr>
        <w:t xml:space="preserve"> </w:t>
      </w:r>
      <w:r>
        <w:rPr>
          <w:rFonts w:ascii="Times New Roman" w:hAnsi="Times New Roman"/>
          <w:lang w:val="sr-Cyrl-BA"/>
        </w:rPr>
        <w:t>су</w:t>
      </w:r>
      <w:r w:rsidR="00AA46AB" w:rsidRPr="00295637">
        <w:rPr>
          <w:rFonts w:ascii="Times New Roman" w:hAnsi="Times New Roman"/>
          <w:lang w:val="sr-Cyrl-BA"/>
        </w:rPr>
        <w:t xml:space="preserve"> </w:t>
      </w:r>
      <w:r>
        <w:rPr>
          <w:rFonts w:ascii="Times New Roman" w:hAnsi="Times New Roman"/>
          <w:lang w:val="sr-Cyrl-BA"/>
        </w:rPr>
        <w:t>дефини</w:t>
      </w:r>
      <w:r w:rsidR="00FF06BD">
        <w:rPr>
          <w:rFonts w:ascii="Times New Roman" w:hAnsi="Times New Roman"/>
          <w:lang w:val="sr-Cyrl-BA"/>
        </w:rPr>
        <w:t>с</w:t>
      </w:r>
      <w:r>
        <w:rPr>
          <w:rFonts w:ascii="Times New Roman" w:hAnsi="Times New Roman"/>
          <w:lang w:val="sr-Cyrl-BA"/>
        </w:rPr>
        <w:t>ан</w:t>
      </w:r>
      <w:r w:rsidR="00FF06BD">
        <w:rPr>
          <w:rFonts w:ascii="Times New Roman" w:hAnsi="Times New Roman"/>
          <w:lang w:val="sr-Cyrl-BA"/>
        </w:rPr>
        <w:t>а</w:t>
      </w:r>
      <w:r w:rsidR="00AA46AB" w:rsidRPr="00295637">
        <w:rPr>
          <w:rFonts w:ascii="Times New Roman" w:hAnsi="Times New Roman"/>
          <w:lang w:val="sr-Cyrl-BA"/>
        </w:rPr>
        <w:t xml:space="preserve"> </w:t>
      </w:r>
      <w:r>
        <w:rPr>
          <w:rFonts w:ascii="Times New Roman" w:hAnsi="Times New Roman"/>
          <w:lang w:val="sr-Cyrl-BA"/>
        </w:rPr>
        <w:t>посебн</w:t>
      </w:r>
      <w:r>
        <w:rPr>
          <w:rFonts w:ascii="Times New Roman" w:hAnsi="Times New Roman"/>
          <w:lang w:val="hr-HR"/>
        </w:rPr>
        <w:t>а</w:t>
      </w:r>
      <w:r w:rsidR="00AA46AB" w:rsidRPr="00295637">
        <w:rPr>
          <w:rFonts w:ascii="Times New Roman" w:hAnsi="Times New Roman"/>
          <w:lang w:val="sr-Cyrl-BA"/>
        </w:rPr>
        <w:t xml:space="preserve"> </w:t>
      </w:r>
      <w:r>
        <w:rPr>
          <w:rFonts w:ascii="Times New Roman" w:hAnsi="Times New Roman"/>
          <w:lang w:val="sr-Latn-BA"/>
        </w:rPr>
        <w:t>грант</w:t>
      </w:r>
      <w:r w:rsidR="00EC4AE0">
        <w:rPr>
          <w:rFonts w:ascii="Times New Roman" w:hAnsi="Times New Roman"/>
          <w:lang w:val="sr-Latn-BA"/>
        </w:rPr>
        <w:t xml:space="preserve"> </w:t>
      </w:r>
      <w:r>
        <w:rPr>
          <w:rFonts w:ascii="Times New Roman" w:hAnsi="Times New Roman"/>
          <w:lang w:val="sr-Latn-BA"/>
        </w:rPr>
        <w:t>средства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п</w:t>
      </w:r>
      <w:r>
        <w:rPr>
          <w:rFonts w:ascii="Times New Roman" w:hAnsi="Times New Roman"/>
          <w:lang w:val="hr-HR"/>
        </w:rPr>
        <w:t>ре</w:t>
      </w:r>
      <w:r>
        <w:rPr>
          <w:rFonts w:ascii="Times New Roman" w:hAnsi="Times New Roman"/>
          <w:lang w:val="sr-Cyrl-BA"/>
        </w:rPr>
        <w:t>дузетнице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руралном</w:t>
      </w:r>
      <w:r w:rsidR="00AA46AB" w:rsidRPr="00295637">
        <w:rPr>
          <w:rFonts w:ascii="Times New Roman" w:hAnsi="Times New Roman"/>
          <w:lang w:val="sr-Cyrl-BA"/>
        </w:rPr>
        <w:t xml:space="preserve"> </w:t>
      </w:r>
      <w:r>
        <w:rPr>
          <w:rFonts w:ascii="Times New Roman" w:hAnsi="Times New Roman"/>
          <w:lang w:val="sr-Cyrl-BA"/>
        </w:rPr>
        <w:t>развоју</w:t>
      </w:r>
      <w:r w:rsidR="00AA46AB" w:rsidRPr="00295637">
        <w:rPr>
          <w:rFonts w:ascii="Times New Roman" w:hAnsi="Times New Roman"/>
          <w:lang w:val="sr-Latn-BA"/>
        </w:rPr>
        <w:t xml:space="preserve">, </w:t>
      </w:r>
      <w:r>
        <w:rPr>
          <w:rFonts w:ascii="Times New Roman" w:hAnsi="Times New Roman"/>
          <w:lang w:val="sr-Latn-BA"/>
        </w:rPr>
        <w:t>који</w:t>
      </w:r>
      <w:r w:rsidR="00AA46AB" w:rsidRPr="00295637">
        <w:rPr>
          <w:rFonts w:ascii="Times New Roman" w:hAnsi="Times New Roman"/>
          <w:lang w:val="sr-Latn-BA"/>
        </w:rPr>
        <w:t xml:space="preserve"> </w:t>
      </w:r>
      <w:r>
        <w:rPr>
          <w:rFonts w:ascii="Times New Roman" w:hAnsi="Times New Roman"/>
          <w:lang w:val="sr-Latn-BA"/>
        </w:rPr>
        <w:t>ће</w:t>
      </w:r>
      <w:r w:rsidR="00BC66F4" w:rsidRPr="00295637">
        <w:rPr>
          <w:rFonts w:ascii="Times New Roman" w:hAnsi="Times New Roman"/>
          <w:lang w:val="sr-Latn-BA"/>
        </w:rPr>
        <w:t xml:space="preserve"> </w:t>
      </w:r>
      <w:r>
        <w:rPr>
          <w:rFonts w:ascii="Times New Roman" w:hAnsi="Times New Roman"/>
          <w:lang w:val="sr-Latn-BA"/>
        </w:rPr>
        <w:t>се</w:t>
      </w:r>
      <w:r w:rsidR="00BC66F4" w:rsidRPr="00295637">
        <w:rPr>
          <w:rFonts w:ascii="Times New Roman" w:hAnsi="Times New Roman"/>
          <w:lang w:val="sr-Latn-BA"/>
        </w:rPr>
        <w:t xml:space="preserve"> </w:t>
      </w:r>
      <w:r>
        <w:rPr>
          <w:rFonts w:ascii="Times New Roman" w:hAnsi="Times New Roman"/>
          <w:lang w:val="sr-Latn-BA"/>
        </w:rPr>
        <w:t>реализ</w:t>
      </w:r>
      <w:r w:rsidR="00FF06BD">
        <w:rPr>
          <w:rFonts w:ascii="Times New Roman" w:hAnsi="Times New Roman"/>
          <w:lang w:val="sr-Cyrl-BA"/>
        </w:rPr>
        <w:t>овати</w:t>
      </w:r>
      <w:r w:rsidR="00BC66F4" w:rsidRPr="00295637">
        <w:rPr>
          <w:rFonts w:ascii="Times New Roman" w:hAnsi="Times New Roman"/>
          <w:lang w:val="sr-Latn-BA"/>
        </w:rPr>
        <w:t xml:space="preserve"> </w:t>
      </w:r>
      <w:r>
        <w:rPr>
          <w:rFonts w:ascii="Times New Roman" w:hAnsi="Times New Roman"/>
          <w:lang w:val="sr-Latn-BA"/>
        </w:rPr>
        <w:t>у</w:t>
      </w:r>
      <w:r w:rsidR="00BC66F4" w:rsidRPr="00295637">
        <w:rPr>
          <w:rFonts w:ascii="Times New Roman" w:hAnsi="Times New Roman"/>
          <w:lang w:val="sr-Latn-BA"/>
        </w:rPr>
        <w:t xml:space="preserve"> 2025.</w:t>
      </w:r>
      <w:r w:rsidR="00EC4AE0">
        <w:rPr>
          <w:rFonts w:ascii="Times New Roman" w:hAnsi="Times New Roman"/>
          <w:lang w:val="sr-Latn-BA"/>
        </w:rPr>
        <w:t xml:space="preserve"> </w:t>
      </w:r>
      <w:r>
        <w:rPr>
          <w:rFonts w:ascii="Times New Roman" w:hAnsi="Times New Roman"/>
          <w:lang w:val="sr-Latn-BA"/>
        </w:rPr>
        <w:t>години</w:t>
      </w:r>
      <w:r w:rsidR="00EC4AE0">
        <w:rPr>
          <w:rFonts w:ascii="Times New Roman" w:hAnsi="Times New Roman"/>
          <w:lang w:val="sr-Latn-BA"/>
        </w:rPr>
        <w:t>.</w:t>
      </w:r>
      <w:r w:rsidR="00BC66F4" w:rsidRPr="00295637">
        <w:rPr>
          <w:rFonts w:ascii="Times New Roman" w:hAnsi="Times New Roman"/>
          <w:lang w:val="sr-Latn-BA"/>
        </w:rPr>
        <w:t xml:space="preserve"> </w:t>
      </w:r>
    </w:p>
    <w:p w:rsidR="007F29A9" w:rsidRPr="00295637" w:rsidRDefault="007F29A9" w:rsidP="0086268D">
      <w:pPr>
        <w:rPr>
          <w:szCs w:val="24"/>
          <w:lang w:val="bs-Latn-BA"/>
        </w:rPr>
      </w:pPr>
    </w:p>
    <w:p w:rsidR="00356C2C" w:rsidRPr="00295637" w:rsidRDefault="00FF06BD" w:rsidP="00B4501A">
      <w:pPr>
        <w:pStyle w:val="Heading4"/>
        <w:numPr>
          <w:ilvl w:val="0"/>
          <w:numId w:val="0"/>
        </w:numPr>
        <w:spacing w:after="0" w:line="240" w:lineRule="auto"/>
        <w:ind w:left="567"/>
        <w:rPr>
          <w:rFonts w:ascii="Times New Roman" w:hAnsi="Times New Roman" w:cs="Times New Roman"/>
          <w:b w:val="0"/>
          <w:lang w:val="bs-Latn-BA"/>
        </w:rPr>
      </w:pPr>
      <w:r w:rsidRPr="00FF06BD">
        <w:rPr>
          <w:rFonts w:ascii="Times New Roman" w:hAnsi="Times New Roman" w:cs="Times New Roman"/>
          <w:b w:val="0"/>
          <w:lang w:val="bs-Latn-BA"/>
        </w:rPr>
        <w:t>II</w:t>
      </w:r>
      <w:r w:rsidR="00B4501A">
        <w:rPr>
          <w:rFonts w:ascii="Times New Roman" w:hAnsi="Times New Roman" w:cs="Times New Roman"/>
          <w:b w:val="0"/>
          <w:lang w:val="bs-Latn-BA"/>
        </w:rPr>
        <w:t xml:space="preserve"> 5.3. </w:t>
      </w:r>
      <w:r w:rsidR="00C6214E">
        <w:rPr>
          <w:rFonts w:ascii="Times New Roman" w:hAnsi="Times New Roman" w:cs="Times New Roman"/>
          <w:b w:val="0"/>
          <w:lang w:val="bs-Latn-BA"/>
        </w:rPr>
        <w:t>Успостављање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других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видова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формалне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неформалне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сарадње</w:t>
      </w:r>
      <w:r w:rsidR="00EC4AE0">
        <w:rPr>
          <w:rFonts w:ascii="Times New Roman" w:hAnsi="Times New Roman" w:cs="Times New Roman"/>
          <w:b w:val="0"/>
          <w:lang w:val="bs-Latn-BA"/>
        </w:rPr>
        <w:t xml:space="preserve"> </w:t>
      </w:r>
      <w:r w:rsidR="00C6214E">
        <w:rPr>
          <w:rFonts w:ascii="Times New Roman" w:hAnsi="Times New Roman" w:cs="Times New Roman"/>
          <w:b w:val="0"/>
          <w:lang w:val="bs-Latn-BA"/>
        </w:rPr>
        <w:t>са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институцијама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власти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свим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секторима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свим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нивоима</w:t>
      </w:r>
      <w:r w:rsidR="00356C2C" w:rsidRPr="00295637">
        <w:rPr>
          <w:rFonts w:ascii="Times New Roman" w:hAnsi="Times New Roman" w:cs="Times New Roman"/>
          <w:b w:val="0"/>
          <w:lang w:val="bs-Latn-BA"/>
        </w:rPr>
        <w:t xml:space="preserve"> </w:t>
      </w:r>
      <w:r>
        <w:rPr>
          <w:rFonts w:ascii="Times New Roman" w:hAnsi="Times New Roman" w:cs="Times New Roman"/>
          <w:b w:val="0"/>
          <w:lang w:val="sr-Cyrl-BA"/>
        </w:rPr>
        <w:t>с</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циљ</w:t>
      </w:r>
      <w:r>
        <w:rPr>
          <w:rFonts w:ascii="Times New Roman" w:hAnsi="Times New Roman" w:cs="Times New Roman"/>
          <w:b w:val="0"/>
          <w:lang w:val="sr-Cyrl-BA"/>
        </w:rPr>
        <w:t>ем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размјене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информација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планирања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Pr>
          <w:rFonts w:ascii="Times New Roman" w:hAnsi="Times New Roman" w:cs="Times New Roman"/>
          <w:b w:val="0"/>
          <w:lang w:val="sr-Cyrl-BA"/>
        </w:rPr>
        <w:t>спровођења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заједничких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програма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активности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учешћа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позиву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конференцијама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округлим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столовима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јавним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расправама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едука</w:t>
      </w:r>
      <w:r>
        <w:rPr>
          <w:rFonts w:ascii="Times New Roman" w:hAnsi="Times New Roman" w:cs="Times New Roman"/>
          <w:b w:val="0"/>
          <w:lang w:val="sr-Cyrl-BA"/>
        </w:rPr>
        <w:t>тивним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промотивним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догађајима</w:t>
      </w:r>
      <w:r w:rsidR="00356C2C" w:rsidRPr="00295637">
        <w:rPr>
          <w:rFonts w:ascii="Times New Roman" w:hAnsi="Times New Roman" w:cs="Times New Roman"/>
          <w:b w:val="0"/>
          <w:lang w:val="bs-Latn-BA"/>
        </w:rPr>
        <w:t>.</w:t>
      </w:r>
    </w:p>
    <w:p w:rsidR="00EB086C" w:rsidRPr="00295637" w:rsidRDefault="00EB086C" w:rsidP="0086268D">
      <w:pPr>
        <w:ind w:left="576"/>
        <w:jc w:val="both"/>
        <w:rPr>
          <w:rFonts w:ascii="Gill Sans MT" w:hAnsi="Gill Sans MT"/>
          <w:szCs w:val="24"/>
          <w:lang w:val="bs-Latn-BA"/>
        </w:rPr>
      </w:pPr>
    </w:p>
    <w:p w:rsidR="00AB67F7" w:rsidRPr="00295637" w:rsidRDefault="00C6214E" w:rsidP="0086268D">
      <w:pPr>
        <w:jc w:val="both"/>
        <w:rPr>
          <w:rFonts w:ascii="Times New Roman" w:hAnsi="Times New Roman"/>
          <w:szCs w:val="24"/>
        </w:rPr>
      </w:pPr>
      <w:r>
        <w:rPr>
          <w:rFonts w:ascii="Times New Roman" w:hAnsi="Times New Roman"/>
          <w:szCs w:val="24"/>
          <w:lang w:val="bs-Latn-BA"/>
        </w:rPr>
        <w:t>АР</w:t>
      </w:r>
      <w:r w:rsidR="00FF06BD">
        <w:rPr>
          <w:rFonts w:ascii="Times New Roman" w:hAnsi="Times New Roman"/>
          <w:szCs w:val="24"/>
          <w:lang w:val="sr-Cyrl-BA"/>
        </w:rPr>
        <w:t>П</w:t>
      </w:r>
      <w:r w:rsidR="00C85854">
        <w:rPr>
          <w:rFonts w:ascii="Times New Roman" w:hAnsi="Times New Roman"/>
          <w:szCs w:val="24"/>
          <w:lang w:val="bs-Latn-BA"/>
        </w:rPr>
        <w:t xml:space="preserve"> </w:t>
      </w:r>
      <w:r>
        <w:rPr>
          <w:rFonts w:ascii="Times New Roman" w:hAnsi="Times New Roman"/>
          <w:szCs w:val="24"/>
          <w:lang w:val="bs-Latn-BA"/>
        </w:rPr>
        <w:t>БиХ</w:t>
      </w:r>
      <w:r w:rsidR="00C85854">
        <w:rPr>
          <w:rFonts w:ascii="Times New Roman" w:hAnsi="Times New Roman"/>
          <w:szCs w:val="24"/>
          <w:lang w:val="bs-Latn-BA"/>
        </w:rPr>
        <w:t xml:space="preserve"> </w:t>
      </w:r>
      <w:r>
        <w:rPr>
          <w:rFonts w:ascii="Times New Roman" w:hAnsi="Times New Roman"/>
          <w:szCs w:val="24"/>
          <w:lang w:val="bs-Latn-BA"/>
        </w:rPr>
        <w:t>МЉПИ</w:t>
      </w:r>
      <w:r w:rsidR="00C85854">
        <w:rPr>
          <w:rFonts w:ascii="Times New Roman" w:hAnsi="Times New Roman"/>
          <w:szCs w:val="24"/>
          <w:lang w:val="bs-Latn-BA"/>
        </w:rPr>
        <w:t xml:space="preserve"> </w:t>
      </w:r>
      <w:r>
        <w:rPr>
          <w:rFonts w:ascii="Times New Roman" w:hAnsi="Times New Roman"/>
          <w:szCs w:val="24"/>
          <w:lang w:val="bs-Latn-BA"/>
        </w:rPr>
        <w:t>БиХ</w:t>
      </w:r>
      <w:r w:rsidR="0088627C" w:rsidRPr="00295637">
        <w:rPr>
          <w:rFonts w:ascii="Times New Roman" w:hAnsi="Times New Roman"/>
          <w:szCs w:val="24"/>
          <w:lang w:val="bs-Latn-BA"/>
        </w:rPr>
        <w:t xml:space="preserve"> </w:t>
      </w:r>
      <w:r>
        <w:rPr>
          <w:rFonts w:ascii="Times New Roman" w:hAnsi="Times New Roman"/>
          <w:szCs w:val="24"/>
          <w:lang w:val="bs-Latn-BA"/>
        </w:rPr>
        <w:t>координи</w:t>
      </w:r>
      <w:r w:rsidR="00FF06BD">
        <w:rPr>
          <w:rFonts w:ascii="Times New Roman" w:hAnsi="Times New Roman"/>
          <w:szCs w:val="24"/>
          <w:lang w:val="sr-Cyrl-BA"/>
        </w:rPr>
        <w:t>ше</w:t>
      </w:r>
      <w:r w:rsidR="0088627C" w:rsidRPr="00295637">
        <w:rPr>
          <w:rFonts w:ascii="Times New Roman" w:hAnsi="Times New Roman"/>
          <w:szCs w:val="24"/>
          <w:lang w:val="bs-Latn-BA"/>
        </w:rPr>
        <w:t xml:space="preserve"> </w:t>
      </w:r>
      <w:r>
        <w:rPr>
          <w:rFonts w:ascii="Times New Roman" w:hAnsi="Times New Roman"/>
          <w:szCs w:val="24"/>
          <w:lang w:val="bs-Latn-BA"/>
        </w:rPr>
        <w:t>Савјетодавним</w:t>
      </w:r>
      <w:r w:rsidR="00B1368F" w:rsidRPr="00295637">
        <w:rPr>
          <w:rFonts w:ascii="Times New Roman" w:hAnsi="Times New Roman"/>
          <w:szCs w:val="24"/>
          <w:lang w:val="bs-Latn-BA"/>
        </w:rPr>
        <w:t xml:space="preserve"> </w:t>
      </w:r>
      <w:r>
        <w:rPr>
          <w:rFonts w:ascii="Times New Roman" w:hAnsi="Times New Roman"/>
          <w:szCs w:val="24"/>
          <w:lang w:val="bs-Latn-BA"/>
        </w:rPr>
        <w:t>одбором</w:t>
      </w:r>
      <w:r w:rsidR="00B1368F" w:rsidRPr="00295637">
        <w:rPr>
          <w:rFonts w:ascii="Times New Roman" w:hAnsi="Times New Roman"/>
          <w:szCs w:val="24"/>
          <w:lang w:val="bs-Latn-BA"/>
        </w:rPr>
        <w:t xml:space="preserve"> </w:t>
      </w:r>
      <w:r>
        <w:rPr>
          <w:rFonts w:ascii="Times New Roman" w:hAnsi="Times New Roman"/>
          <w:szCs w:val="24"/>
          <w:lang w:val="hr-HR"/>
        </w:rPr>
        <w:t>за</w:t>
      </w:r>
      <w:r w:rsidR="00B1368F" w:rsidRPr="00295637">
        <w:rPr>
          <w:rFonts w:ascii="Times New Roman" w:hAnsi="Times New Roman"/>
          <w:szCs w:val="24"/>
          <w:lang w:val="hr-HR"/>
        </w:rPr>
        <w:t xml:space="preserve"> </w:t>
      </w:r>
      <w:r>
        <w:rPr>
          <w:rFonts w:ascii="Times New Roman" w:hAnsi="Times New Roman"/>
          <w:szCs w:val="24"/>
          <w:lang w:val="hr-HR"/>
        </w:rPr>
        <w:t>бранитељ</w:t>
      </w:r>
      <w:r w:rsidR="00FF06BD">
        <w:rPr>
          <w:rFonts w:ascii="Times New Roman" w:hAnsi="Times New Roman"/>
          <w:szCs w:val="24"/>
          <w:lang w:val="sr-Cyrl-BA"/>
        </w:rPr>
        <w:t>ке</w:t>
      </w:r>
      <w:r w:rsidR="00B1368F" w:rsidRPr="00295637">
        <w:rPr>
          <w:rFonts w:ascii="Times New Roman" w:hAnsi="Times New Roman"/>
          <w:szCs w:val="24"/>
          <w:lang w:val="hr-HR"/>
        </w:rPr>
        <w:t xml:space="preserve"> </w:t>
      </w:r>
      <w:r>
        <w:rPr>
          <w:rFonts w:ascii="Times New Roman" w:hAnsi="Times New Roman"/>
          <w:szCs w:val="24"/>
          <w:lang w:val="hr-HR"/>
        </w:rPr>
        <w:t>људских</w:t>
      </w:r>
      <w:r w:rsidR="00B1368F" w:rsidRPr="00295637">
        <w:rPr>
          <w:rFonts w:ascii="Times New Roman" w:hAnsi="Times New Roman"/>
          <w:szCs w:val="24"/>
          <w:lang w:val="hr-HR"/>
        </w:rPr>
        <w:t xml:space="preserve"> </w:t>
      </w:r>
      <w:r>
        <w:rPr>
          <w:rFonts w:ascii="Times New Roman" w:hAnsi="Times New Roman"/>
          <w:szCs w:val="24"/>
          <w:lang w:val="hr-HR"/>
        </w:rPr>
        <w:t>права</w:t>
      </w:r>
      <w:r w:rsidR="0085508B" w:rsidRPr="00295637">
        <w:rPr>
          <w:rFonts w:ascii="Times New Roman" w:hAnsi="Times New Roman"/>
          <w:szCs w:val="24"/>
          <w:lang w:val="hr-HR"/>
        </w:rPr>
        <w:t xml:space="preserve"> </w:t>
      </w:r>
      <w:r>
        <w:rPr>
          <w:rFonts w:ascii="Times New Roman" w:hAnsi="Times New Roman"/>
          <w:szCs w:val="24"/>
          <w:lang w:val="hr-HR"/>
        </w:rPr>
        <w:t>при</w:t>
      </w:r>
      <w:r w:rsidR="0085508B" w:rsidRPr="00295637">
        <w:rPr>
          <w:rFonts w:ascii="Times New Roman" w:hAnsi="Times New Roman"/>
          <w:szCs w:val="24"/>
          <w:lang w:val="hr-HR"/>
        </w:rPr>
        <w:t xml:space="preserve"> </w:t>
      </w:r>
      <w:r>
        <w:rPr>
          <w:rFonts w:ascii="Times New Roman" w:hAnsi="Times New Roman"/>
          <w:szCs w:val="24"/>
          <w:lang w:val="hr-HR"/>
        </w:rPr>
        <w:t>МЉПИ</w:t>
      </w:r>
      <w:r w:rsidR="006858F4" w:rsidRPr="00295637">
        <w:rPr>
          <w:rFonts w:ascii="Times New Roman" w:hAnsi="Times New Roman"/>
          <w:szCs w:val="24"/>
          <w:lang w:val="hr-HR"/>
        </w:rPr>
        <w:t xml:space="preserve"> </w:t>
      </w:r>
      <w:r>
        <w:rPr>
          <w:rFonts w:ascii="Times New Roman" w:hAnsi="Times New Roman"/>
          <w:szCs w:val="24"/>
          <w:lang w:val="hr-HR"/>
        </w:rPr>
        <w:t>БиХ</w:t>
      </w:r>
      <w:r w:rsidR="0085508B" w:rsidRPr="00295637">
        <w:rPr>
          <w:rFonts w:ascii="Times New Roman" w:hAnsi="Times New Roman"/>
          <w:szCs w:val="24"/>
          <w:lang w:val="hr-HR"/>
        </w:rPr>
        <w:t>.</w:t>
      </w:r>
      <w:r w:rsidR="006858F4" w:rsidRPr="00295637">
        <w:rPr>
          <w:rFonts w:ascii="Times New Roman" w:hAnsi="Times New Roman"/>
          <w:szCs w:val="24"/>
          <w:lang w:val="hr-HR"/>
        </w:rPr>
        <w:t xml:space="preserve"> </w:t>
      </w:r>
      <w:r>
        <w:rPr>
          <w:rFonts w:ascii="Times New Roman" w:hAnsi="Times New Roman"/>
          <w:szCs w:val="24"/>
        </w:rPr>
        <w:t>Осим</w:t>
      </w:r>
      <w:r w:rsidR="00B1368F" w:rsidRPr="00295637">
        <w:rPr>
          <w:rFonts w:ascii="Times New Roman" w:hAnsi="Times New Roman"/>
          <w:szCs w:val="24"/>
        </w:rPr>
        <w:t xml:space="preserve"> </w:t>
      </w:r>
      <w:r>
        <w:rPr>
          <w:rFonts w:ascii="Times New Roman" w:hAnsi="Times New Roman"/>
          <w:szCs w:val="24"/>
        </w:rPr>
        <w:t>одржавања</w:t>
      </w:r>
      <w:r w:rsidR="00B1368F" w:rsidRPr="00295637">
        <w:rPr>
          <w:rFonts w:ascii="Times New Roman" w:hAnsi="Times New Roman"/>
          <w:szCs w:val="24"/>
        </w:rPr>
        <w:t xml:space="preserve"> </w:t>
      </w:r>
      <w:r>
        <w:rPr>
          <w:rFonts w:ascii="Times New Roman" w:hAnsi="Times New Roman"/>
          <w:szCs w:val="24"/>
        </w:rPr>
        <w:t>редовних</w:t>
      </w:r>
      <w:r w:rsidR="00B1368F" w:rsidRPr="00295637">
        <w:rPr>
          <w:rFonts w:ascii="Times New Roman" w:hAnsi="Times New Roman"/>
          <w:szCs w:val="24"/>
        </w:rPr>
        <w:t xml:space="preserve"> </w:t>
      </w:r>
      <w:r>
        <w:rPr>
          <w:rFonts w:ascii="Times New Roman" w:hAnsi="Times New Roman"/>
          <w:szCs w:val="24"/>
        </w:rPr>
        <w:t>састанака</w:t>
      </w:r>
      <w:r w:rsidR="00B1368F" w:rsidRPr="00295637">
        <w:rPr>
          <w:rFonts w:ascii="Times New Roman" w:hAnsi="Times New Roman"/>
          <w:szCs w:val="24"/>
        </w:rPr>
        <w:t xml:space="preserve">, </w:t>
      </w:r>
      <w:r>
        <w:rPr>
          <w:rFonts w:ascii="Times New Roman" w:hAnsi="Times New Roman"/>
          <w:szCs w:val="24"/>
        </w:rPr>
        <w:t>на</w:t>
      </w:r>
      <w:r w:rsidR="00B1368F" w:rsidRPr="00295637">
        <w:rPr>
          <w:rFonts w:ascii="Times New Roman" w:hAnsi="Times New Roman"/>
          <w:szCs w:val="24"/>
        </w:rPr>
        <w:t xml:space="preserve"> </w:t>
      </w:r>
      <w:r>
        <w:rPr>
          <w:rFonts w:ascii="Times New Roman" w:hAnsi="Times New Roman"/>
          <w:szCs w:val="24"/>
        </w:rPr>
        <w:t>којима</w:t>
      </w:r>
      <w:r w:rsidR="00B1368F" w:rsidRPr="00295637">
        <w:rPr>
          <w:rFonts w:ascii="Times New Roman" w:hAnsi="Times New Roman"/>
          <w:szCs w:val="24"/>
        </w:rPr>
        <w:t xml:space="preserve"> </w:t>
      </w:r>
      <w:r>
        <w:rPr>
          <w:rFonts w:ascii="Times New Roman" w:hAnsi="Times New Roman"/>
          <w:szCs w:val="24"/>
        </w:rPr>
        <w:t>се</w:t>
      </w:r>
      <w:r w:rsidR="00B1368F" w:rsidRPr="00295637">
        <w:rPr>
          <w:rFonts w:ascii="Times New Roman" w:hAnsi="Times New Roman"/>
          <w:szCs w:val="24"/>
        </w:rPr>
        <w:t xml:space="preserve"> </w:t>
      </w:r>
      <w:r>
        <w:rPr>
          <w:rFonts w:ascii="Times New Roman" w:hAnsi="Times New Roman"/>
          <w:szCs w:val="24"/>
        </w:rPr>
        <w:t>дискутује</w:t>
      </w:r>
      <w:r w:rsidR="00B1368F" w:rsidRPr="00295637">
        <w:rPr>
          <w:rFonts w:ascii="Times New Roman" w:hAnsi="Times New Roman"/>
          <w:szCs w:val="24"/>
        </w:rPr>
        <w:t xml:space="preserve"> </w:t>
      </w:r>
      <w:r>
        <w:rPr>
          <w:rFonts w:ascii="Times New Roman" w:hAnsi="Times New Roman"/>
          <w:szCs w:val="24"/>
        </w:rPr>
        <w:t>о</w:t>
      </w:r>
      <w:r w:rsidR="00B1368F" w:rsidRPr="00295637">
        <w:rPr>
          <w:rFonts w:ascii="Times New Roman" w:hAnsi="Times New Roman"/>
          <w:szCs w:val="24"/>
        </w:rPr>
        <w:t xml:space="preserve"> </w:t>
      </w:r>
      <w:r>
        <w:rPr>
          <w:rFonts w:ascii="Times New Roman" w:hAnsi="Times New Roman"/>
          <w:szCs w:val="24"/>
        </w:rPr>
        <w:t>модалитетима</w:t>
      </w:r>
      <w:r w:rsidR="00B1368F" w:rsidRPr="00295637">
        <w:rPr>
          <w:rFonts w:ascii="Times New Roman" w:hAnsi="Times New Roman"/>
          <w:szCs w:val="24"/>
        </w:rPr>
        <w:t xml:space="preserve"> </w:t>
      </w:r>
      <w:r>
        <w:rPr>
          <w:rFonts w:ascii="Times New Roman" w:hAnsi="Times New Roman"/>
          <w:szCs w:val="24"/>
        </w:rPr>
        <w:t>координације</w:t>
      </w:r>
      <w:r w:rsidR="00B1368F" w:rsidRPr="00295637">
        <w:rPr>
          <w:rFonts w:ascii="Times New Roman" w:hAnsi="Times New Roman"/>
          <w:szCs w:val="24"/>
        </w:rPr>
        <w:t xml:space="preserve"> </w:t>
      </w:r>
      <w:r>
        <w:rPr>
          <w:rFonts w:ascii="Times New Roman" w:hAnsi="Times New Roman"/>
          <w:szCs w:val="24"/>
        </w:rPr>
        <w:t>у</w:t>
      </w:r>
      <w:r w:rsidR="00B1368F" w:rsidRPr="00295637">
        <w:rPr>
          <w:rFonts w:ascii="Times New Roman" w:hAnsi="Times New Roman"/>
          <w:szCs w:val="24"/>
        </w:rPr>
        <w:t xml:space="preserve"> </w:t>
      </w:r>
      <w:r>
        <w:rPr>
          <w:rFonts w:ascii="Times New Roman" w:hAnsi="Times New Roman"/>
          <w:szCs w:val="24"/>
        </w:rPr>
        <w:t>случајевима</w:t>
      </w:r>
      <w:r w:rsidR="00B1368F" w:rsidRPr="00295637">
        <w:rPr>
          <w:rFonts w:ascii="Times New Roman" w:hAnsi="Times New Roman"/>
          <w:szCs w:val="24"/>
        </w:rPr>
        <w:t xml:space="preserve"> </w:t>
      </w:r>
      <w:r>
        <w:rPr>
          <w:rFonts w:ascii="Times New Roman" w:hAnsi="Times New Roman"/>
          <w:szCs w:val="24"/>
        </w:rPr>
        <w:t>дискриминације</w:t>
      </w:r>
      <w:r w:rsidR="00B1368F" w:rsidRPr="00295637">
        <w:rPr>
          <w:rFonts w:ascii="Times New Roman" w:hAnsi="Times New Roman"/>
          <w:szCs w:val="24"/>
        </w:rPr>
        <w:t xml:space="preserve"> </w:t>
      </w:r>
      <w:r>
        <w:rPr>
          <w:rFonts w:ascii="Times New Roman" w:hAnsi="Times New Roman"/>
          <w:szCs w:val="24"/>
        </w:rPr>
        <w:t>жена</w:t>
      </w:r>
      <w:r w:rsidR="00B1368F" w:rsidRPr="00295637">
        <w:rPr>
          <w:rFonts w:ascii="Times New Roman" w:hAnsi="Times New Roman"/>
          <w:szCs w:val="24"/>
        </w:rPr>
        <w:t>-</w:t>
      </w:r>
      <w:r>
        <w:rPr>
          <w:rFonts w:ascii="Times New Roman" w:hAnsi="Times New Roman"/>
          <w:szCs w:val="24"/>
        </w:rPr>
        <w:t>бранитељ</w:t>
      </w:r>
      <w:r w:rsidR="00FF06BD">
        <w:rPr>
          <w:rFonts w:ascii="Times New Roman" w:hAnsi="Times New Roman"/>
          <w:szCs w:val="24"/>
          <w:lang w:val="sr-Cyrl-BA"/>
        </w:rPr>
        <w:t>ки</w:t>
      </w:r>
      <w:r w:rsidR="00B1368F" w:rsidRPr="00295637">
        <w:rPr>
          <w:rFonts w:ascii="Times New Roman" w:hAnsi="Times New Roman"/>
          <w:szCs w:val="24"/>
        </w:rPr>
        <w:t xml:space="preserve"> </w:t>
      </w:r>
      <w:r>
        <w:rPr>
          <w:rFonts w:ascii="Times New Roman" w:hAnsi="Times New Roman"/>
          <w:szCs w:val="24"/>
        </w:rPr>
        <w:t>људских</w:t>
      </w:r>
      <w:r w:rsidR="00B1368F" w:rsidRPr="00295637">
        <w:rPr>
          <w:rFonts w:ascii="Times New Roman" w:hAnsi="Times New Roman"/>
          <w:szCs w:val="24"/>
        </w:rPr>
        <w:t xml:space="preserve"> </w:t>
      </w:r>
      <w:r>
        <w:rPr>
          <w:rFonts w:ascii="Times New Roman" w:hAnsi="Times New Roman"/>
          <w:szCs w:val="24"/>
        </w:rPr>
        <w:t>права</w:t>
      </w:r>
      <w:r w:rsidR="00B1368F" w:rsidRPr="00295637">
        <w:rPr>
          <w:rFonts w:ascii="Times New Roman" w:hAnsi="Times New Roman"/>
          <w:szCs w:val="24"/>
        </w:rPr>
        <w:t xml:space="preserve">, </w:t>
      </w:r>
      <w:r>
        <w:rPr>
          <w:rFonts w:ascii="Times New Roman" w:hAnsi="Times New Roman"/>
          <w:szCs w:val="24"/>
        </w:rPr>
        <w:t>Савјетодавни</w:t>
      </w:r>
      <w:r w:rsidR="00B1368F" w:rsidRPr="00295637">
        <w:rPr>
          <w:rFonts w:ascii="Times New Roman" w:hAnsi="Times New Roman"/>
          <w:szCs w:val="24"/>
        </w:rPr>
        <w:t xml:space="preserve"> </w:t>
      </w:r>
      <w:r>
        <w:rPr>
          <w:rFonts w:ascii="Times New Roman" w:hAnsi="Times New Roman"/>
          <w:szCs w:val="24"/>
        </w:rPr>
        <w:t>одбор</w:t>
      </w:r>
      <w:r w:rsidR="00B1368F" w:rsidRPr="00295637">
        <w:rPr>
          <w:rFonts w:ascii="Times New Roman" w:hAnsi="Times New Roman"/>
          <w:szCs w:val="24"/>
        </w:rPr>
        <w:t xml:space="preserve"> </w:t>
      </w:r>
      <w:r>
        <w:rPr>
          <w:rFonts w:ascii="Times New Roman" w:hAnsi="Times New Roman"/>
          <w:szCs w:val="24"/>
        </w:rPr>
        <w:t>је</w:t>
      </w:r>
      <w:r w:rsidR="00B1368F" w:rsidRPr="00295637">
        <w:rPr>
          <w:rFonts w:ascii="Times New Roman" w:hAnsi="Times New Roman"/>
          <w:szCs w:val="24"/>
        </w:rPr>
        <w:t xml:space="preserve"> </w:t>
      </w:r>
      <w:r>
        <w:rPr>
          <w:rFonts w:ascii="Times New Roman" w:hAnsi="Times New Roman"/>
          <w:szCs w:val="24"/>
        </w:rPr>
        <w:t>израдио</w:t>
      </w:r>
      <w:r w:rsidR="00B1368F" w:rsidRPr="00295637">
        <w:rPr>
          <w:rFonts w:ascii="Times New Roman" w:hAnsi="Times New Roman"/>
          <w:szCs w:val="24"/>
        </w:rPr>
        <w:t xml:space="preserve"> </w:t>
      </w:r>
      <w:r>
        <w:rPr>
          <w:rFonts w:ascii="Times New Roman" w:hAnsi="Times New Roman"/>
          <w:szCs w:val="24"/>
        </w:rPr>
        <w:t>и</w:t>
      </w:r>
      <w:r w:rsidR="00B1368F" w:rsidRPr="00295637">
        <w:rPr>
          <w:rFonts w:ascii="Times New Roman" w:hAnsi="Times New Roman"/>
          <w:szCs w:val="24"/>
        </w:rPr>
        <w:t xml:space="preserve"> </w:t>
      </w:r>
      <w:r>
        <w:rPr>
          <w:rFonts w:ascii="Times New Roman" w:hAnsi="Times New Roman"/>
          <w:szCs w:val="24"/>
        </w:rPr>
        <w:t>усвојио</w:t>
      </w:r>
      <w:r w:rsidR="00B1368F" w:rsidRPr="00295637">
        <w:rPr>
          <w:rFonts w:ascii="Times New Roman" w:hAnsi="Times New Roman"/>
          <w:szCs w:val="24"/>
        </w:rPr>
        <w:t xml:space="preserve"> </w:t>
      </w:r>
      <w:r>
        <w:rPr>
          <w:rFonts w:ascii="Times New Roman" w:hAnsi="Times New Roman"/>
          <w:szCs w:val="24"/>
        </w:rPr>
        <w:t>Водич</w:t>
      </w:r>
      <w:r w:rsidR="00B1368F" w:rsidRPr="00295637">
        <w:rPr>
          <w:rFonts w:ascii="Times New Roman" w:hAnsi="Times New Roman"/>
          <w:szCs w:val="24"/>
        </w:rPr>
        <w:t xml:space="preserve"> </w:t>
      </w:r>
      <w:r>
        <w:rPr>
          <w:rFonts w:ascii="Times New Roman" w:hAnsi="Times New Roman"/>
          <w:szCs w:val="24"/>
        </w:rPr>
        <w:t>за</w:t>
      </w:r>
      <w:r w:rsidR="00B1368F" w:rsidRPr="00295637">
        <w:rPr>
          <w:rFonts w:ascii="Times New Roman" w:hAnsi="Times New Roman"/>
          <w:szCs w:val="24"/>
        </w:rPr>
        <w:t xml:space="preserve"> </w:t>
      </w:r>
      <w:r>
        <w:rPr>
          <w:rFonts w:ascii="Times New Roman" w:hAnsi="Times New Roman"/>
          <w:szCs w:val="24"/>
        </w:rPr>
        <w:t>управљање</w:t>
      </w:r>
      <w:r w:rsidR="00B1368F" w:rsidRPr="00295637">
        <w:rPr>
          <w:rFonts w:ascii="Times New Roman" w:hAnsi="Times New Roman"/>
          <w:szCs w:val="24"/>
        </w:rPr>
        <w:t xml:space="preserve"> </w:t>
      </w:r>
      <w:r>
        <w:rPr>
          <w:rFonts w:ascii="Times New Roman" w:hAnsi="Times New Roman"/>
          <w:szCs w:val="24"/>
        </w:rPr>
        <w:t>случајевима</w:t>
      </w:r>
      <w:r w:rsidR="00B1368F" w:rsidRPr="00295637">
        <w:rPr>
          <w:rFonts w:ascii="Times New Roman" w:hAnsi="Times New Roman"/>
          <w:szCs w:val="24"/>
        </w:rPr>
        <w:t xml:space="preserve"> </w:t>
      </w:r>
      <w:r>
        <w:rPr>
          <w:rFonts w:ascii="Times New Roman" w:hAnsi="Times New Roman"/>
          <w:szCs w:val="24"/>
        </w:rPr>
        <w:t>кршења</w:t>
      </w:r>
      <w:r w:rsidR="00B1368F" w:rsidRPr="00295637">
        <w:rPr>
          <w:rFonts w:ascii="Times New Roman" w:hAnsi="Times New Roman"/>
          <w:szCs w:val="24"/>
        </w:rPr>
        <w:t xml:space="preserve"> </w:t>
      </w:r>
      <w:r>
        <w:rPr>
          <w:rFonts w:ascii="Times New Roman" w:hAnsi="Times New Roman"/>
          <w:szCs w:val="24"/>
        </w:rPr>
        <w:t>права</w:t>
      </w:r>
      <w:r w:rsidR="00B1368F" w:rsidRPr="00295637">
        <w:rPr>
          <w:rFonts w:ascii="Times New Roman" w:hAnsi="Times New Roman"/>
          <w:szCs w:val="24"/>
        </w:rPr>
        <w:t xml:space="preserve"> </w:t>
      </w:r>
      <w:r>
        <w:rPr>
          <w:rFonts w:ascii="Times New Roman" w:hAnsi="Times New Roman"/>
          <w:szCs w:val="24"/>
        </w:rPr>
        <w:t>бранитељ</w:t>
      </w:r>
      <w:r w:rsidR="00FF06BD">
        <w:rPr>
          <w:rFonts w:ascii="Times New Roman" w:hAnsi="Times New Roman"/>
          <w:szCs w:val="24"/>
          <w:lang w:val="sr-Cyrl-BA"/>
        </w:rPr>
        <w:t>ки</w:t>
      </w:r>
      <w:r w:rsidR="00B1368F" w:rsidRPr="00295637">
        <w:rPr>
          <w:rFonts w:ascii="Times New Roman" w:hAnsi="Times New Roman"/>
          <w:szCs w:val="24"/>
        </w:rPr>
        <w:t xml:space="preserve"> </w:t>
      </w:r>
      <w:r>
        <w:rPr>
          <w:rFonts w:ascii="Times New Roman" w:hAnsi="Times New Roman"/>
          <w:szCs w:val="24"/>
        </w:rPr>
        <w:t>људских</w:t>
      </w:r>
      <w:r w:rsidR="00B1368F" w:rsidRPr="00295637">
        <w:rPr>
          <w:rFonts w:ascii="Times New Roman" w:hAnsi="Times New Roman"/>
          <w:szCs w:val="24"/>
        </w:rPr>
        <w:t xml:space="preserve"> </w:t>
      </w:r>
      <w:r>
        <w:rPr>
          <w:rFonts w:ascii="Times New Roman" w:hAnsi="Times New Roman"/>
          <w:szCs w:val="24"/>
        </w:rPr>
        <w:t>права</w:t>
      </w:r>
      <w:r w:rsidR="00B1368F" w:rsidRPr="00295637">
        <w:rPr>
          <w:rFonts w:ascii="Times New Roman" w:hAnsi="Times New Roman"/>
          <w:szCs w:val="24"/>
        </w:rPr>
        <w:t xml:space="preserve">. </w:t>
      </w:r>
      <w:r>
        <w:rPr>
          <w:rFonts w:ascii="Times New Roman" w:hAnsi="Times New Roman"/>
          <w:szCs w:val="24"/>
        </w:rPr>
        <w:t>Водич</w:t>
      </w:r>
      <w:r w:rsidR="00B1368F" w:rsidRPr="00295637">
        <w:rPr>
          <w:rFonts w:ascii="Times New Roman" w:hAnsi="Times New Roman"/>
          <w:szCs w:val="24"/>
        </w:rPr>
        <w:t xml:space="preserve"> </w:t>
      </w:r>
      <w:r>
        <w:rPr>
          <w:rFonts w:ascii="Times New Roman" w:hAnsi="Times New Roman"/>
          <w:szCs w:val="24"/>
        </w:rPr>
        <w:t>прецизно</w:t>
      </w:r>
      <w:r w:rsidR="00B1368F" w:rsidRPr="00295637">
        <w:rPr>
          <w:rFonts w:ascii="Times New Roman" w:hAnsi="Times New Roman"/>
          <w:szCs w:val="24"/>
        </w:rPr>
        <w:t xml:space="preserve"> </w:t>
      </w:r>
      <w:r>
        <w:rPr>
          <w:rFonts w:ascii="Times New Roman" w:hAnsi="Times New Roman"/>
          <w:szCs w:val="24"/>
        </w:rPr>
        <w:t>дефини</w:t>
      </w:r>
      <w:r w:rsidR="00FF06BD">
        <w:rPr>
          <w:rFonts w:ascii="Times New Roman" w:hAnsi="Times New Roman"/>
          <w:szCs w:val="24"/>
          <w:lang w:val="sr-Cyrl-BA"/>
        </w:rPr>
        <w:t>ше</w:t>
      </w:r>
      <w:r w:rsidR="00B1368F" w:rsidRPr="00295637">
        <w:rPr>
          <w:rFonts w:ascii="Times New Roman" w:hAnsi="Times New Roman"/>
          <w:szCs w:val="24"/>
        </w:rPr>
        <w:t xml:space="preserve"> </w:t>
      </w:r>
      <w:r>
        <w:rPr>
          <w:rFonts w:ascii="Times New Roman" w:hAnsi="Times New Roman"/>
          <w:szCs w:val="24"/>
        </w:rPr>
        <w:t>улоге</w:t>
      </w:r>
      <w:r w:rsidR="00B1368F" w:rsidRPr="00295637">
        <w:rPr>
          <w:rFonts w:ascii="Times New Roman" w:hAnsi="Times New Roman"/>
          <w:szCs w:val="24"/>
        </w:rPr>
        <w:t xml:space="preserve"> </w:t>
      </w:r>
      <w:r>
        <w:rPr>
          <w:rFonts w:ascii="Times New Roman" w:hAnsi="Times New Roman"/>
          <w:szCs w:val="24"/>
        </w:rPr>
        <w:t>и</w:t>
      </w:r>
      <w:r w:rsidR="00B1368F" w:rsidRPr="00295637">
        <w:rPr>
          <w:rFonts w:ascii="Times New Roman" w:hAnsi="Times New Roman"/>
          <w:szCs w:val="24"/>
        </w:rPr>
        <w:t xml:space="preserve"> </w:t>
      </w:r>
      <w:r>
        <w:rPr>
          <w:rFonts w:ascii="Times New Roman" w:hAnsi="Times New Roman"/>
          <w:szCs w:val="24"/>
        </w:rPr>
        <w:t>одговорности</w:t>
      </w:r>
      <w:r w:rsidR="00B1368F" w:rsidRPr="00295637">
        <w:rPr>
          <w:rFonts w:ascii="Times New Roman" w:hAnsi="Times New Roman"/>
          <w:szCs w:val="24"/>
        </w:rPr>
        <w:t xml:space="preserve"> </w:t>
      </w:r>
      <w:r>
        <w:rPr>
          <w:rFonts w:ascii="Times New Roman" w:hAnsi="Times New Roman"/>
          <w:szCs w:val="24"/>
        </w:rPr>
        <w:t>свих</w:t>
      </w:r>
      <w:r w:rsidR="00B1368F" w:rsidRPr="00295637">
        <w:rPr>
          <w:rFonts w:ascii="Times New Roman" w:hAnsi="Times New Roman"/>
          <w:szCs w:val="24"/>
        </w:rPr>
        <w:t xml:space="preserve"> </w:t>
      </w:r>
      <w:r>
        <w:rPr>
          <w:rFonts w:ascii="Times New Roman" w:hAnsi="Times New Roman"/>
          <w:szCs w:val="24"/>
        </w:rPr>
        <w:t>релевантних</w:t>
      </w:r>
      <w:r w:rsidR="00B1368F" w:rsidRPr="00295637">
        <w:rPr>
          <w:rFonts w:ascii="Times New Roman" w:hAnsi="Times New Roman"/>
          <w:szCs w:val="24"/>
        </w:rPr>
        <w:t xml:space="preserve"> </w:t>
      </w:r>
      <w:r>
        <w:rPr>
          <w:rFonts w:ascii="Times New Roman" w:hAnsi="Times New Roman"/>
          <w:szCs w:val="24"/>
        </w:rPr>
        <w:t>институција</w:t>
      </w:r>
      <w:r w:rsidR="00B1368F" w:rsidRPr="00295637">
        <w:rPr>
          <w:rFonts w:ascii="Times New Roman" w:hAnsi="Times New Roman"/>
          <w:szCs w:val="24"/>
        </w:rPr>
        <w:t xml:space="preserve"> </w:t>
      </w:r>
      <w:r>
        <w:rPr>
          <w:rFonts w:ascii="Times New Roman" w:hAnsi="Times New Roman"/>
          <w:szCs w:val="24"/>
        </w:rPr>
        <w:t>које</w:t>
      </w:r>
      <w:r w:rsidR="00B1368F" w:rsidRPr="00295637">
        <w:rPr>
          <w:rFonts w:ascii="Times New Roman" w:hAnsi="Times New Roman"/>
          <w:szCs w:val="24"/>
        </w:rPr>
        <w:t xml:space="preserve"> </w:t>
      </w:r>
      <w:r>
        <w:rPr>
          <w:rFonts w:ascii="Times New Roman" w:hAnsi="Times New Roman"/>
          <w:szCs w:val="24"/>
        </w:rPr>
        <w:t>се</w:t>
      </w:r>
      <w:r w:rsidR="00B1368F" w:rsidRPr="00295637">
        <w:rPr>
          <w:rFonts w:ascii="Times New Roman" w:hAnsi="Times New Roman"/>
          <w:szCs w:val="24"/>
        </w:rPr>
        <w:t xml:space="preserve"> </w:t>
      </w:r>
      <w:r>
        <w:rPr>
          <w:rFonts w:ascii="Times New Roman" w:hAnsi="Times New Roman"/>
          <w:szCs w:val="24"/>
        </w:rPr>
        <w:t>баве</w:t>
      </w:r>
      <w:r w:rsidR="00B1368F" w:rsidRPr="00295637">
        <w:rPr>
          <w:rFonts w:ascii="Times New Roman" w:hAnsi="Times New Roman"/>
          <w:szCs w:val="24"/>
        </w:rPr>
        <w:t xml:space="preserve"> </w:t>
      </w:r>
      <w:r>
        <w:rPr>
          <w:rFonts w:ascii="Times New Roman" w:hAnsi="Times New Roman"/>
          <w:szCs w:val="24"/>
        </w:rPr>
        <w:t>рјешавање</w:t>
      </w:r>
      <w:r w:rsidR="00B1368F" w:rsidRPr="00295637">
        <w:rPr>
          <w:rFonts w:ascii="Times New Roman" w:hAnsi="Times New Roman"/>
          <w:szCs w:val="24"/>
        </w:rPr>
        <w:t xml:space="preserve"> </w:t>
      </w:r>
      <w:r>
        <w:rPr>
          <w:rFonts w:ascii="Times New Roman" w:hAnsi="Times New Roman"/>
          <w:szCs w:val="24"/>
        </w:rPr>
        <w:t>предмета</w:t>
      </w:r>
      <w:r w:rsidR="00B1368F" w:rsidRPr="00295637">
        <w:rPr>
          <w:rFonts w:ascii="Times New Roman" w:hAnsi="Times New Roman"/>
          <w:szCs w:val="24"/>
        </w:rPr>
        <w:t xml:space="preserve"> </w:t>
      </w:r>
      <w:r>
        <w:rPr>
          <w:rFonts w:ascii="Times New Roman" w:hAnsi="Times New Roman"/>
          <w:szCs w:val="24"/>
        </w:rPr>
        <w:t>и</w:t>
      </w:r>
      <w:r w:rsidR="00B1368F" w:rsidRPr="00295637">
        <w:rPr>
          <w:rFonts w:ascii="Times New Roman" w:hAnsi="Times New Roman"/>
          <w:szCs w:val="24"/>
        </w:rPr>
        <w:t xml:space="preserve"> </w:t>
      </w:r>
      <w:r>
        <w:rPr>
          <w:rFonts w:ascii="Times New Roman" w:hAnsi="Times New Roman"/>
          <w:szCs w:val="24"/>
        </w:rPr>
        <w:t>састоји</w:t>
      </w:r>
      <w:r w:rsidR="00B1368F" w:rsidRPr="00295637">
        <w:rPr>
          <w:rFonts w:ascii="Times New Roman" w:hAnsi="Times New Roman"/>
          <w:szCs w:val="24"/>
        </w:rPr>
        <w:t xml:space="preserve"> </w:t>
      </w:r>
      <w:r>
        <w:rPr>
          <w:rFonts w:ascii="Times New Roman" w:hAnsi="Times New Roman"/>
          <w:szCs w:val="24"/>
        </w:rPr>
        <w:t>се</w:t>
      </w:r>
      <w:r w:rsidR="00B4501A">
        <w:rPr>
          <w:rFonts w:ascii="Times New Roman" w:hAnsi="Times New Roman"/>
          <w:szCs w:val="24"/>
        </w:rPr>
        <w:t xml:space="preserve"> </w:t>
      </w:r>
      <w:r>
        <w:rPr>
          <w:rFonts w:ascii="Times New Roman" w:hAnsi="Times New Roman"/>
          <w:szCs w:val="24"/>
        </w:rPr>
        <w:t>од</w:t>
      </w:r>
      <w:r w:rsidR="00B4501A">
        <w:rPr>
          <w:rFonts w:ascii="Times New Roman" w:hAnsi="Times New Roman"/>
          <w:szCs w:val="24"/>
        </w:rPr>
        <w:t xml:space="preserve"> </w:t>
      </w:r>
      <w:r>
        <w:rPr>
          <w:rFonts w:ascii="Times New Roman" w:hAnsi="Times New Roman"/>
          <w:szCs w:val="24"/>
        </w:rPr>
        <w:t>двадесет</w:t>
      </w:r>
      <w:r w:rsidR="00B4501A">
        <w:rPr>
          <w:rFonts w:ascii="Times New Roman" w:hAnsi="Times New Roman"/>
          <w:szCs w:val="24"/>
        </w:rPr>
        <w:t xml:space="preserve"> </w:t>
      </w:r>
      <w:r>
        <w:rPr>
          <w:rFonts w:ascii="Times New Roman" w:hAnsi="Times New Roman"/>
          <w:szCs w:val="24"/>
        </w:rPr>
        <w:t>специфичних</w:t>
      </w:r>
      <w:r w:rsidR="00B4501A">
        <w:rPr>
          <w:rFonts w:ascii="Times New Roman" w:hAnsi="Times New Roman"/>
          <w:szCs w:val="24"/>
        </w:rPr>
        <w:t xml:space="preserve"> </w:t>
      </w:r>
      <w:r>
        <w:rPr>
          <w:rFonts w:ascii="Times New Roman" w:hAnsi="Times New Roman"/>
          <w:szCs w:val="24"/>
        </w:rPr>
        <w:t>упутстава</w:t>
      </w:r>
      <w:r w:rsidR="00B1368F" w:rsidRPr="00295637">
        <w:rPr>
          <w:rFonts w:ascii="Times New Roman" w:hAnsi="Times New Roman"/>
          <w:szCs w:val="24"/>
        </w:rPr>
        <w:t xml:space="preserve"> </w:t>
      </w:r>
      <w:r>
        <w:rPr>
          <w:rFonts w:ascii="Times New Roman" w:hAnsi="Times New Roman"/>
          <w:szCs w:val="24"/>
        </w:rPr>
        <w:t>за</w:t>
      </w:r>
      <w:r w:rsidR="00B1368F" w:rsidRPr="00295637">
        <w:rPr>
          <w:rFonts w:ascii="Times New Roman" w:hAnsi="Times New Roman"/>
          <w:szCs w:val="24"/>
        </w:rPr>
        <w:t xml:space="preserve"> </w:t>
      </w:r>
      <w:r>
        <w:rPr>
          <w:rFonts w:ascii="Times New Roman" w:hAnsi="Times New Roman"/>
          <w:szCs w:val="24"/>
        </w:rPr>
        <w:t>акцију</w:t>
      </w:r>
      <w:r w:rsidR="00B1368F" w:rsidRPr="00295637">
        <w:rPr>
          <w:rFonts w:ascii="Times New Roman" w:hAnsi="Times New Roman"/>
          <w:szCs w:val="24"/>
        </w:rPr>
        <w:t xml:space="preserve">. </w:t>
      </w:r>
      <w:r>
        <w:rPr>
          <w:rFonts w:ascii="Times New Roman" w:hAnsi="Times New Roman"/>
          <w:szCs w:val="24"/>
        </w:rPr>
        <w:t>Поред</w:t>
      </w:r>
      <w:r w:rsidR="00B1368F" w:rsidRPr="00295637">
        <w:rPr>
          <w:rFonts w:ascii="Times New Roman" w:hAnsi="Times New Roman"/>
          <w:szCs w:val="24"/>
        </w:rPr>
        <w:t xml:space="preserve"> </w:t>
      </w:r>
      <w:r>
        <w:rPr>
          <w:rFonts w:ascii="Times New Roman" w:hAnsi="Times New Roman"/>
          <w:szCs w:val="24"/>
        </w:rPr>
        <w:t>тога</w:t>
      </w:r>
      <w:r w:rsidR="00B1368F" w:rsidRPr="00295637">
        <w:rPr>
          <w:rFonts w:ascii="Times New Roman" w:hAnsi="Times New Roman"/>
          <w:szCs w:val="24"/>
        </w:rPr>
        <w:t xml:space="preserve">, </w:t>
      </w:r>
      <w:r>
        <w:rPr>
          <w:rFonts w:ascii="Times New Roman" w:hAnsi="Times New Roman"/>
          <w:szCs w:val="24"/>
          <w:lang w:val="bs-Latn-BA"/>
        </w:rPr>
        <w:t>АР</w:t>
      </w:r>
      <w:r w:rsidR="00FF06BD">
        <w:rPr>
          <w:rFonts w:ascii="Times New Roman" w:hAnsi="Times New Roman"/>
          <w:szCs w:val="24"/>
          <w:lang w:val="sr-Cyrl-BA"/>
        </w:rPr>
        <w:t>П</w:t>
      </w:r>
      <w:r w:rsidR="00C85854">
        <w:rPr>
          <w:rFonts w:ascii="Times New Roman" w:hAnsi="Times New Roman"/>
          <w:szCs w:val="24"/>
          <w:lang w:val="bs-Latn-BA"/>
        </w:rPr>
        <w:t xml:space="preserve"> </w:t>
      </w:r>
      <w:r>
        <w:rPr>
          <w:rFonts w:ascii="Times New Roman" w:hAnsi="Times New Roman"/>
          <w:szCs w:val="24"/>
          <w:lang w:val="bs-Latn-BA"/>
        </w:rPr>
        <w:t>БиХ</w:t>
      </w:r>
      <w:r w:rsidR="00C85854">
        <w:rPr>
          <w:rFonts w:ascii="Times New Roman" w:hAnsi="Times New Roman"/>
          <w:szCs w:val="24"/>
          <w:lang w:val="bs-Latn-BA"/>
        </w:rPr>
        <w:t xml:space="preserve"> </w:t>
      </w:r>
      <w:r>
        <w:rPr>
          <w:rFonts w:ascii="Times New Roman" w:hAnsi="Times New Roman"/>
          <w:szCs w:val="24"/>
          <w:lang w:val="bs-Latn-BA"/>
        </w:rPr>
        <w:t>МЉПИ</w:t>
      </w:r>
      <w:r w:rsidR="00C85854">
        <w:rPr>
          <w:rFonts w:ascii="Times New Roman" w:hAnsi="Times New Roman"/>
          <w:szCs w:val="24"/>
          <w:lang w:val="bs-Latn-BA"/>
        </w:rPr>
        <w:t xml:space="preserve"> </w:t>
      </w:r>
      <w:r>
        <w:rPr>
          <w:rFonts w:ascii="Times New Roman" w:hAnsi="Times New Roman"/>
          <w:szCs w:val="24"/>
          <w:lang w:val="bs-Latn-BA"/>
        </w:rPr>
        <w:t>БиХ</w:t>
      </w:r>
      <w:r w:rsidR="00AB67F7" w:rsidRPr="00295637">
        <w:rPr>
          <w:rFonts w:ascii="Times New Roman" w:hAnsi="Times New Roman"/>
          <w:szCs w:val="24"/>
          <w:lang w:val="bs-Latn-BA"/>
        </w:rPr>
        <w:t xml:space="preserve"> </w:t>
      </w:r>
      <w:r>
        <w:rPr>
          <w:rFonts w:ascii="Times New Roman" w:hAnsi="Times New Roman"/>
          <w:szCs w:val="24"/>
          <w:lang w:val="bs-Latn-BA"/>
        </w:rPr>
        <w:t>је</w:t>
      </w:r>
      <w:r w:rsidR="00AB67F7" w:rsidRPr="00295637">
        <w:rPr>
          <w:rFonts w:ascii="Times New Roman" w:hAnsi="Times New Roman"/>
          <w:szCs w:val="24"/>
          <w:lang w:val="bs-Latn-BA"/>
        </w:rPr>
        <w:t xml:space="preserve"> </w:t>
      </w:r>
      <w:r>
        <w:rPr>
          <w:rFonts w:ascii="Times New Roman" w:hAnsi="Times New Roman"/>
          <w:szCs w:val="24"/>
          <w:lang w:val="bs-Latn-BA"/>
        </w:rPr>
        <w:t>укључена</w:t>
      </w:r>
      <w:r w:rsidR="00AB67F7" w:rsidRPr="00295637">
        <w:rPr>
          <w:rFonts w:ascii="Times New Roman" w:hAnsi="Times New Roman"/>
          <w:szCs w:val="24"/>
          <w:lang w:val="bs-Latn-BA"/>
        </w:rPr>
        <w:t xml:space="preserve"> </w:t>
      </w:r>
      <w:r>
        <w:rPr>
          <w:rFonts w:ascii="Times New Roman" w:hAnsi="Times New Roman"/>
          <w:szCs w:val="24"/>
          <w:lang w:val="bs-Latn-BA"/>
        </w:rPr>
        <w:t>у</w:t>
      </w:r>
      <w:r w:rsidR="00AB67F7" w:rsidRPr="00295637">
        <w:rPr>
          <w:rFonts w:ascii="Times New Roman" w:hAnsi="Times New Roman"/>
          <w:szCs w:val="24"/>
          <w:lang w:val="bs-Latn-BA"/>
        </w:rPr>
        <w:t xml:space="preserve"> </w:t>
      </w:r>
      <w:r>
        <w:rPr>
          <w:rFonts w:ascii="Times New Roman" w:hAnsi="Times New Roman"/>
          <w:szCs w:val="24"/>
          <w:lang w:val="bs-Latn-BA"/>
        </w:rPr>
        <w:t>чланство</w:t>
      </w:r>
      <w:r w:rsidR="00AB67F7" w:rsidRPr="00295637">
        <w:rPr>
          <w:rFonts w:ascii="Times New Roman" w:hAnsi="Times New Roman"/>
          <w:szCs w:val="24"/>
          <w:lang w:val="bs-Latn-BA"/>
        </w:rPr>
        <w:t xml:space="preserve"> </w:t>
      </w:r>
      <w:r w:rsidR="00FF06BD">
        <w:rPr>
          <w:rFonts w:ascii="Times New Roman" w:hAnsi="Times New Roman"/>
          <w:szCs w:val="24"/>
          <w:lang w:val="sr-Cyrl-BA"/>
        </w:rPr>
        <w:t>Савјета</w:t>
      </w:r>
      <w:r w:rsidR="00AB67F7" w:rsidRPr="00295637">
        <w:rPr>
          <w:rFonts w:ascii="Times New Roman" w:hAnsi="Times New Roman"/>
          <w:szCs w:val="24"/>
          <w:lang w:val="bs-Latn-BA"/>
        </w:rPr>
        <w:t xml:space="preserve"> </w:t>
      </w:r>
      <w:r>
        <w:rPr>
          <w:rFonts w:ascii="Times New Roman" w:hAnsi="Times New Roman"/>
          <w:szCs w:val="24"/>
          <w:lang w:val="bs-Latn-BA"/>
        </w:rPr>
        <w:t>за</w:t>
      </w:r>
      <w:r w:rsidR="00AB67F7" w:rsidRPr="00295637">
        <w:rPr>
          <w:rFonts w:ascii="Times New Roman" w:hAnsi="Times New Roman"/>
          <w:szCs w:val="24"/>
          <w:lang w:val="bs-Latn-BA"/>
        </w:rPr>
        <w:t xml:space="preserve"> </w:t>
      </w:r>
      <w:r>
        <w:rPr>
          <w:rFonts w:ascii="Times New Roman" w:hAnsi="Times New Roman"/>
          <w:szCs w:val="24"/>
          <w:lang w:val="bs-Latn-BA"/>
        </w:rPr>
        <w:t>дјецу</w:t>
      </w:r>
      <w:r w:rsidR="00AB67F7" w:rsidRPr="00295637">
        <w:rPr>
          <w:rFonts w:ascii="Times New Roman" w:hAnsi="Times New Roman"/>
          <w:szCs w:val="24"/>
          <w:lang w:val="bs-Latn-BA"/>
        </w:rPr>
        <w:t xml:space="preserve"> </w:t>
      </w:r>
      <w:r>
        <w:rPr>
          <w:rFonts w:ascii="Times New Roman" w:hAnsi="Times New Roman"/>
          <w:szCs w:val="24"/>
          <w:lang w:val="bs-Latn-BA"/>
        </w:rPr>
        <w:t>и</w:t>
      </w:r>
      <w:r w:rsidR="00AB67F7" w:rsidRPr="00295637">
        <w:rPr>
          <w:rFonts w:ascii="Times New Roman" w:hAnsi="Times New Roman"/>
          <w:szCs w:val="24"/>
          <w:lang w:val="bs-Latn-BA"/>
        </w:rPr>
        <w:t xml:space="preserve"> </w:t>
      </w:r>
      <w:r w:rsidR="00FF06BD">
        <w:rPr>
          <w:rFonts w:ascii="Times New Roman" w:hAnsi="Times New Roman"/>
          <w:szCs w:val="24"/>
          <w:lang w:val="sr-Cyrl-BA"/>
        </w:rPr>
        <w:t>Савјета</w:t>
      </w:r>
      <w:r w:rsidR="00AB67F7" w:rsidRPr="00295637">
        <w:rPr>
          <w:rFonts w:ascii="Times New Roman" w:hAnsi="Times New Roman"/>
          <w:szCs w:val="24"/>
          <w:lang w:val="bs-Latn-BA"/>
        </w:rPr>
        <w:t xml:space="preserve"> </w:t>
      </w:r>
      <w:r>
        <w:rPr>
          <w:rFonts w:ascii="Times New Roman" w:hAnsi="Times New Roman"/>
          <w:szCs w:val="24"/>
          <w:lang w:val="bs-Latn-BA"/>
        </w:rPr>
        <w:t>за</w:t>
      </w:r>
      <w:r w:rsidR="00AB67F7" w:rsidRPr="00295637">
        <w:rPr>
          <w:rFonts w:ascii="Times New Roman" w:hAnsi="Times New Roman"/>
          <w:szCs w:val="24"/>
          <w:lang w:val="bs-Latn-BA"/>
        </w:rPr>
        <w:t xml:space="preserve"> </w:t>
      </w:r>
      <w:r>
        <w:rPr>
          <w:rFonts w:ascii="Times New Roman" w:hAnsi="Times New Roman"/>
          <w:szCs w:val="24"/>
          <w:lang w:val="bs-Latn-BA"/>
        </w:rPr>
        <w:t>Роме</w:t>
      </w:r>
      <w:r w:rsidR="0017648A">
        <w:rPr>
          <w:rFonts w:ascii="Times New Roman" w:hAnsi="Times New Roman"/>
          <w:szCs w:val="24"/>
          <w:lang w:val="bs-Latn-BA"/>
        </w:rPr>
        <w:t xml:space="preserve">, </w:t>
      </w:r>
      <w:r>
        <w:rPr>
          <w:rFonts w:ascii="Times New Roman" w:hAnsi="Times New Roman"/>
          <w:szCs w:val="24"/>
          <w:lang w:val="bs-Latn-BA"/>
        </w:rPr>
        <w:t>која</w:t>
      </w:r>
      <w:r w:rsidR="00AB67F7" w:rsidRPr="00295637">
        <w:rPr>
          <w:rFonts w:ascii="Times New Roman" w:hAnsi="Times New Roman"/>
          <w:szCs w:val="24"/>
          <w:lang w:val="bs-Latn-BA"/>
        </w:rPr>
        <w:t xml:space="preserve"> </w:t>
      </w:r>
      <w:r>
        <w:rPr>
          <w:rFonts w:ascii="Times New Roman" w:hAnsi="Times New Roman"/>
          <w:szCs w:val="24"/>
          <w:lang w:val="bs-Latn-BA"/>
        </w:rPr>
        <w:t>су</w:t>
      </w:r>
      <w:r w:rsidR="00AB67F7" w:rsidRPr="00295637">
        <w:rPr>
          <w:rFonts w:ascii="Times New Roman" w:hAnsi="Times New Roman"/>
          <w:szCs w:val="24"/>
          <w:lang w:val="bs-Latn-BA"/>
        </w:rPr>
        <w:t xml:space="preserve"> </w:t>
      </w:r>
      <w:r>
        <w:rPr>
          <w:rFonts w:ascii="Times New Roman" w:hAnsi="Times New Roman"/>
          <w:szCs w:val="24"/>
          <w:lang w:val="bs-Latn-BA"/>
        </w:rPr>
        <w:t>успостављена</w:t>
      </w:r>
      <w:r w:rsidR="00AB67F7" w:rsidRPr="00295637">
        <w:rPr>
          <w:rFonts w:ascii="Times New Roman" w:hAnsi="Times New Roman"/>
          <w:szCs w:val="24"/>
          <w:lang w:val="bs-Latn-BA"/>
        </w:rPr>
        <w:t xml:space="preserve"> </w:t>
      </w:r>
      <w:r>
        <w:rPr>
          <w:rFonts w:ascii="Times New Roman" w:hAnsi="Times New Roman"/>
          <w:szCs w:val="24"/>
          <w:lang w:val="bs-Latn-BA"/>
        </w:rPr>
        <w:t>Одлуком</w:t>
      </w:r>
      <w:r w:rsidR="00AB67F7" w:rsidRPr="00295637">
        <w:rPr>
          <w:rFonts w:ascii="Times New Roman" w:hAnsi="Times New Roman"/>
          <w:szCs w:val="24"/>
          <w:lang w:val="bs-Latn-BA"/>
        </w:rPr>
        <w:t xml:space="preserve"> </w:t>
      </w:r>
      <w:r w:rsidR="00FF06BD">
        <w:rPr>
          <w:rFonts w:ascii="Times New Roman" w:hAnsi="Times New Roman"/>
          <w:szCs w:val="24"/>
          <w:lang w:val="sr-Cyrl-BA"/>
        </w:rPr>
        <w:t>Савјета</w:t>
      </w:r>
      <w:r w:rsidR="00AB67F7" w:rsidRPr="00295637">
        <w:rPr>
          <w:rFonts w:ascii="Times New Roman" w:hAnsi="Times New Roman"/>
          <w:szCs w:val="24"/>
          <w:lang w:val="bs-Latn-BA"/>
        </w:rPr>
        <w:t xml:space="preserve"> </w:t>
      </w:r>
      <w:r>
        <w:rPr>
          <w:rFonts w:ascii="Times New Roman" w:hAnsi="Times New Roman"/>
          <w:szCs w:val="24"/>
          <w:lang w:val="bs-Latn-BA"/>
        </w:rPr>
        <w:t>министара</w:t>
      </w:r>
      <w:r w:rsidR="00AB67F7" w:rsidRPr="00295637">
        <w:rPr>
          <w:rFonts w:ascii="Times New Roman" w:hAnsi="Times New Roman"/>
          <w:szCs w:val="24"/>
          <w:lang w:val="bs-Latn-BA"/>
        </w:rPr>
        <w:t xml:space="preserve"> </w:t>
      </w:r>
      <w:r>
        <w:rPr>
          <w:rFonts w:ascii="Times New Roman" w:hAnsi="Times New Roman"/>
          <w:szCs w:val="24"/>
          <w:lang w:val="bs-Latn-BA"/>
        </w:rPr>
        <w:t>БиХ</w:t>
      </w:r>
      <w:r w:rsidR="00AB67F7" w:rsidRPr="00295637">
        <w:rPr>
          <w:rFonts w:ascii="Times New Roman" w:hAnsi="Times New Roman"/>
          <w:szCs w:val="24"/>
          <w:lang w:val="bs-Latn-BA"/>
        </w:rPr>
        <w:t xml:space="preserve">. </w:t>
      </w:r>
      <w:r>
        <w:rPr>
          <w:rFonts w:ascii="Times New Roman" w:hAnsi="Times New Roman"/>
          <w:szCs w:val="24"/>
          <w:lang w:val="bs-Latn-BA"/>
        </w:rPr>
        <w:t>Представници</w:t>
      </w:r>
      <w:r w:rsidR="00AB67F7" w:rsidRPr="00295637">
        <w:rPr>
          <w:rFonts w:ascii="Times New Roman" w:hAnsi="Times New Roman"/>
          <w:szCs w:val="24"/>
          <w:lang w:val="bs-Latn-BA"/>
        </w:rPr>
        <w:t xml:space="preserve"> </w:t>
      </w:r>
      <w:r>
        <w:rPr>
          <w:rFonts w:ascii="Times New Roman" w:hAnsi="Times New Roman"/>
          <w:szCs w:val="24"/>
          <w:lang w:val="bs-Latn-BA"/>
        </w:rPr>
        <w:t>АР</w:t>
      </w:r>
      <w:r w:rsidR="00FF06BD">
        <w:rPr>
          <w:rFonts w:ascii="Times New Roman" w:hAnsi="Times New Roman"/>
          <w:szCs w:val="24"/>
          <w:lang w:val="sr-Cyrl-BA"/>
        </w:rPr>
        <w:t>П</w:t>
      </w:r>
      <w:r w:rsidR="00C85854">
        <w:rPr>
          <w:rFonts w:ascii="Times New Roman" w:hAnsi="Times New Roman"/>
          <w:szCs w:val="24"/>
          <w:lang w:val="bs-Latn-BA"/>
        </w:rPr>
        <w:t xml:space="preserve"> </w:t>
      </w:r>
      <w:r>
        <w:rPr>
          <w:rFonts w:ascii="Times New Roman" w:hAnsi="Times New Roman"/>
          <w:szCs w:val="24"/>
          <w:lang w:val="bs-Latn-BA"/>
        </w:rPr>
        <w:t>БиХ</w:t>
      </w:r>
      <w:r w:rsidR="00C85854">
        <w:rPr>
          <w:rFonts w:ascii="Times New Roman" w:hAnsi="Times New Roman"/>
          <w:szCs w:val="24"/>
          <w:lang w:val="bs-Latn-BA"/>
        </w:rPr>
        <w:t xml:space="preserve"> </w:t>
      </w:r>
      <w:r>
        <w:rPr>
          <w:rFonts w:ascii="Times New Roman" w:hAnsi="Times New Roman"/>
          <w:szCs w:val="24"/>
          <w:lang w:val="bs-Latn-BA"/>
        </w:rPr>
        <w:t>МЉПИ</w:t>
      </w:r>
      <w:r w:rsidR="00C85854">
        <w:rPr>
          <w:rFonts w:ascii="Times New Roman" w:hAnsi="Times New Roman"/>
          <w:szCs w:val="24"/>
          <w:lang w:val="bs-Latn-BA"/>
        </w:rPr>
        <w:t xml:space="preserve"> </w:t>
      </w:r>
      <w:r>
        <w:rPr>
          <w:rFonts w:ascii="Times New Roman" w:hAnsi="Times New Roman"/>
          <w:szCs w:val="24"/>
          <w:lang w:val="bs-Latn-BA"/>
        </w:rPr>
        <w:t>БиХ</w:t>
      </w:r>
      <w:r w:rsidR="0085508B" w:rsidRPr="00295637">
        <w:rPr>
          <w:rFonts w:ascii="Times New Roman" w:hAnsi="Times New Roman"/>
          <w:szCs w:val="24"/>
          <w:lang w:val="bs-Latn-BA"/>
        </w:rPr>
        <w:t xml:space="preserve"> </w:t>
      </w:r>
      <w:r>
        <w:rPr>
          <w:rFonts w:ascii="Times New Roman" w:hAnsi="Times New Roman"/>
          <w:szCs w:val="24"/>
          <w:lang w:val="bs-Latn-BA"/>
        </w:rPr>
        <w:t>учествују</w:t>
      </w:r>
      <w:r w:rsidR="00C85854">
        <w:rPr>
          <w:rFonts w:ascii="Times New Roman" w:hAnsi="Times New Roman"/>
          <w:szCs w:val="24"/>
          <w:lang w:val="bs-Latn-BA"/>
        </w:rPr>
        <w:t xml:space="preserve"> </w:t>
      </w:r>
      <w:r>
        <w:rPr>
          <w:rFonts w:ascii="Times New Roman" w:hAnsi="Times New Roman"/>
          <w:szCs w:val="24"/>
          <w:lang w:val="bs-Latn-BA"/>
        </w:rPr>
        <w:t>у</w:t>
      </w:r>
      <w:r w:rsidR="00C85854">
        <w:rPr>
          <w:rFonts w:ascii="Times New Roman" w:hAnsi="Times New Roman"/>
          <w:szCs w:val="24"/>
          <w:lang w:val="bs-Latn-BA"/>
        </w:rPr>
        <w:t xml:space="preserve"> </w:t>
      </w:r>
      <w:r>
        <w:rPr>
          <w:rFonts w:ascii="Times New Roman" w:hAnsi="Times New Roman"/>
          <w:szCs w:val="24"/>
          <w:lang w:val="bs-Latn-BA"/>
        </w:rPr>
        <w:t>раду</w:t>
      </w:r>
      <w:r w:rsidR="00C85854">
        <w:rPr>
          <w:rFonts w:ascii="Times New Roman" w:hAnsi="Times New Roman"/>
          <w:szCs w:val="24"/>
          <w:lang w:val="bs-Latn-BA"/>
        </w:rPr>
        <w:t xml:space="preserve"> </w:t>
      </w:r>
      <w:r>
        <w:rPr>
          <w:rFonts w:ascii="Times New Roman" w:hAnsi="Times New Roman"/>
          <w:szCs w:val="24"/>
          <w:lang w:val="bs-Latn-BA"/>
        </w:rPr>
        <w:t>радне</w:t>
      </w:r>
      <w:r w:rsidR="00AB67F7" w:rsidRPr="00295637">
        <w:rPr>
          <w:rFonts w:ascii="Times New Roman" w:hAnsi="Times New Roman"/>
          <w:szCs w:val="24"/>
          <w:lang w:val="bs-Latn-BA"/>
        </w:rPr>
        <w:t xml:space="preserve"> </w:t>
      </w:r>
      <w:r>
        <w:rPr>
          <w:rFonts w:ascii="Times New Roman" w:hAnsi="Times New Roman"/>
          <w:szCs w:val="24"/>
          <w:lang w:val="bs-Latn-BA"/>
        </w:rPr>
        <w:t>групе</w:t>
      </w:r>
      <w:r w:rsidR="00AB67F7" w:rsidRPr="00295637">
        <w:rPr>
          <w:rFonts w:ascii="Times New Roman" w:hAnsi="Times New Roman"/>
          <w:szCs w:val="24"/>
          <w:lang w:val="bs-Latn-BA"/>
        </w:rPr>
        <w:t xml:space="preserve"> </w:t>
      </w:r>
      <w:r>
        <w:rPr>
          <w:rFonts w:ascii="Times New Roman" w:hAnsi="Times New Roman"/>
          <w:szCs w:val="24"/>
          <w:lang w:val="bs-Latn-BA"/>
        </w:rPr>
        <w:t>за</w:t>
      </w:r>
      <w:r w:rsidR="00AB67F7" w:rsidRPr="00295637">
        <w:rPr>
          <w:rFonts w:ascii="Times New Roman" w:hAnsi="Times New Roman"/>
          <w:szCs w:val="24"/>
          <w:lang w:val="bs-Latn-BA"/>
        </w:rPr>
        <w:t xml:space="preserve"> </w:t>
      </w:r>
      <w:r>
        <w:rPr>
          <w:rFonts w:ascii="Times New Roman" w:hAnsi="Times New Roman"/>
          <w:szCs w:val="24"/>
          <w:lang w:val="bs-Latn-BA"/>
        </w:rPr>
        <w:t>израду</w:t>
      </w:r>
      <w:r w:rsidR="00AB67F7" w:rsidRPr="00295637">
        <w:rPr>
          <w:rFonts w:ascii="Times New Roman" w:hAnsi="Times New Roman"/>
          <w:szCs w:val="24"/>
          <w:lang w:val="bs-Latn-BA"/>
        </w:rPr>
        <w:t xml:space="preserve"> </w:t>
      </w:r>
      <w:r>
        <w:rPr>
          <w:rFonts w:ascii="Times New Roman" w:hAnsi="Times New Roman"/>
          <w:szCs w:val="24"/>
          <w:lang w:val="bs-Latn-BA"/>
        </w:rPr>
        <w:t>Стратегије</w:t>
      </w:r>
      <w:r w:rsidR="00AB67F7" w:rsidRPr="00295637">
        <w:rPr>
          <w:rFonts w:ascii="Times New Roman" w:hAnsi="Times New Roman"/>
          <w:szCs w:val="24"/>
          <w:lang w:val="bs-Latn-BA"/>
        </w:rPr>
        <w:t xml:space="preserve"> </w:t>
      </w:r>
      <w:r>
        <w:rPr>
          <w:rFonts w:ascii="Times New Roman" w:hAnsi="Times New Roman"/>
          <w:szCs w:val="24"/>
          <w:lang w:val="bs-Latn-BA"/>
        </w:rPr>
        <w:t>развоја</w:t>
      </w:r>
      <w:r w:rsidR="00AB67F7" w:rsidRPr="00295637">
        <w:rPr>
          <w:rFonts w:ascii="Times New Roman" w:hAnsi="Times New Roman"/>
          <w:szCs w:val="24"/>
          <w:lang w:val="bs-Latn-BA"/>
        </w:rPr>
        <w:t xml:space="preserve"> </w:t>
      </w:r>
      <w:r>
        <w:rPr>
          <w:rFonts w:ascii="Times New Roman" w:hAnsi="Times New Roman"/>
          <w:szCs w:val="24"/>
          <w:lang w:val="bs-Latn-BA"/>
        </w:rPr>
        <w:t>науке</w:t>
      </w:r>
      <w:r w:rsidR="00AB67F7" w:rsidRPr="00295637">
        <w:rPr>
          <w:rFonts w:ascii="Times New Roman" w:hAnsi="Times New Roman"/>
          <w:szCs w:val="24"/>
          <w:lang w:val="bs-Latn-BA"/>
        </w:rPr>
        <w:t xml:space="preserve"> </w:t>
      </w:r>
      <w:r>
        <w:rPr>
          <w:rFonts w:ascii="Times New Roman" w:hAnsi="Times New Roman"/>
          <w:szCs w:val="24"/>
          <w:lang w:val="bs-Latn-BA"/>
        </w:rPr>
        <w:t>БиХ</w:t>
      </w:r>
      <w:r w:rsidR="0085508B" w:rsidRPr="00295637">
        <w:rPr>
          <w:rFonts w:ascii="Times New Roman" w:hAnsi="Times New Roman"/>
          <w:szCs w:val="24"/>
          <w:lang w:val="bs-Latn-BA"/>
        </w:rPr>
        <w:t>.</w:t>
      </w:r>
    </w:p>
    <w:p w:rsidR="00DF5D69" w:rsidRPr="00295637" w:rsidRDefault="00DF5D69" w:rsidP="0086268D">
      <w:pPr>
        <w:jc w:val="both"/>
        <w:rPr>
          <w:rFonts w:ascii="Gill Sans MT" w:hAnsi="Gill Sans MT"/>
          <w:strike/>
          <w:szCs w:val="24"/>
          <w:lang w:val="bs-Latn-BA"/>
        </w:rPr>
      </w:pPr>
    </w:p>
    <w:p w:rsidR="00EB086C" w:rsidRPr="00295637" w:rsidRDefault="00C6214E" w:rsidP="0086268D">
      <w:pPr>
        <w:jc w:val="both"/>
        <w:rPr>
          <w:rFonts w:ascii="Times New Roman" w:hAnsi="Times New Roman"/>
          <w:szCs w:val="24"/>
          <w:lang w:val="bs-Latn-BA"/>
        </w:rPr>
      </w:pPr>
      <w:r>
        <w:rPr>
          <w:rFonts w:ascii="Times New Roman" w:hAnsi="Times New Roman"/>
          <w:szCs w:val="24"/>
          <w:lang w:val="bs-Latn-BA"/>
        </w:rPr>
        <w:t>У</w:t>
      </w:r>
      <w:r w:rsidR="00B4501A">
        <w:rPr>
          <w:rFonts w:ascii="Times New Roman" w:hAnsi="Times New Roman"/>
          <w:szCs w:val="24"/>
          <w:lang w:val="bs-Latn-BA"/>
        </w:rPr>
        <w:t xml:space="preserve"> </w:t>
      </w:r>
      <w:r>
        <w:rPr>
          <w:rFonts w:ascii="Times New Roman" w:hAnsi="Times New Roman"/>
          <w:szCs w:val="24"/>
          <w:lang w:val="bs-Latn-BA"/>
        </w:rPr>
        <w:t>складу</w:t>
      </w:r>
      <w:r w:rsidR="00B4501A">
        <w:rPr>
          <w:rFonts w:ascii="Times New Roman" w:hAnsi="Times New Roman"/>
          <w:szCs w:val="24"/>
          <w:lang w:val="bs-Latn-BA"/>
        </w:rPr>
        <w:t xml:space="preserve"> </w:t>
      </w:r>
      <w:r>
        <w:rPr>
          <w:rFonts w:ascii="Times New Roman" w:hAnsi="Times New Roman"/>
          <w:szCs w:val="24"/>
          <w:lang w:val="bs-Latn-BA"/>
        </w:rPr>
        <w:t>са</w:t>
      </w:r>
      <w:r w:rsidR="00B4501A">
        <w:rPr>
          <w:rFonts w:ascii="Times New Roman" w:hAnsi="Times New Roman"/>
          <w:szCs w:val="24"/>
          <w:lang w:val="bs-Latn-BA"/>
        </w:rPr>
        <w:t xml:space="preserve"> </w:t>
      </w:r>
      <w:r>
        <w:rPr>
          <w:rFonts w:ascii="Times New Roman" w:hAnsi="Times New Roman"/>
          <w:szCs w:val="24"/>
          <w:lang w:val="bs-Latn-BA"/>
        </w:rPr>
        <w:t>рјешењем</w:t>
      </w:r>
      <w:r w:rsidR="00A84C91" w:rsidRPr="00295637">
        <w:rPr>
          <w:rFonts w:ascii="Times New Roman" w:hAnsi="Times New Roman"/>
          <w:szCs w:val="24"/>
          <w:lang w:val="bs-Latn-BA"/>
        </w:rPr>
        <w:t xml:space="preserve"> </w:t>
      </w:r>
      <w:r>
        <w:rPr>
          <w:rFonts w:ascii="Times New Roman" w:hAnsi="Times New Roman"/>
          <w:szCs w:val="24"/>
          <w:lang w:val="bs-Latn-BA"/>
        </w:rPr>
        <w:t>Владе</w:t>
      </w:r>
      <w:r w:rsidR="00A84C91" w:rsidRPr="00295637">
        <w:rPr>
          <w:rFonts w:ascii="Times New Roman" w:hAnsi="Times New Roman"/>
          <w:szCs w:val="24"/>
          <w:lang w:val="bs-Latn-BA"/>
        </w:rPr>
        <w:t xml:space="preserve"> </w:t>
      </w:r>
      <w:r>
        <w:rPr>
          <w:rFonts w:ascii="Times New Roman" w:hAnsi="Times New Roman"/>
          <w:szCs w:val="24"/>
          <w:lang w:val="bs-Latn-BA"/>
        </w:rPr>
        <w:t>ФБиХ</w:t>
      </w:r>
      <w:r w:rsidR="00A84C91" w:rsidRPr="00295637">
        <w:rPr>
          <w:rFonts w:ascii="Times New Roman" w:hAnsi="Times New Roman"/>
          <w:szCs w:val="24"/>
          <w:lang w:val="bs-Latn-BA"/>
        </w:rPr>
        <w:t xml:space="preserve">, </w:t>
      </w:r>
      <w:r w:rsidR="00FF06BD">
        <w:rPr>
          <w:rFonts w:ascii="Times New Roman" w:hAnsi="Times New Roman"/>
          <w:szCs w:val="24"/>
          <w:lang w:val="bs-Latn-BA"/>
        </w:rPr>
        <w:t>формиран</w:t>
      </w:r>
      <w:r w:rsidR="00A84C91" w:rsidRPr="00295637">
        <w:rPr>
          <w:rFonts w:ascii="Times New Roman" w:hAnsi="Times New Roman"/>
          <w:szCs w:val="24"/>
          <w:lang w:val="bs-Latn-BA"/>
        </w:rPr>
        <w:t xml:space="preserve"> </w:t>
      </w:r>
      <w:r>
        <w:rPr>
          <w:rFonts w:ascii="Times New Roman" w:hAnsi="Times New Roman"/>
          <w:szCs w:val="24"/>
          <w:lang w:val="bs-Latn-BA"/>
        </w:rPr>
        <w:t>је</w:t>
      </w:r>
      <w:r w:rsidR="00A84C91" w:rsidRPr="00295637">
        <w:rPr>
          <w:rFonts w:ascii="Times New Roman" w:hAnsi="Times New Roman"/>
          <w:szCs w:val="24"/>
          <w:lang w:val="bs-Latn-BA"/>
        </w:rPr>
        <w:t xml:space="preserve"> </w:t>
      </w:r>
      <w:r w:rsidR="00FF06BD">
        <w:rPr>
          <w:rFonts w:ascii="Times New Roman" w:hAnsi="Times New Roman"/>
          <w:szCs w:val="24"/>
          <w:lang w:val="sr-Cyrl-BA"/>
        </w:rPr>
        <w:t>Савјет</w:t>
      </w:r>
      <w:r w:rsidR="00A84C91" w:rsidRPr="00295637">
        <w:rPr>
          <w:rFonts w:ascii="Times New Roman" w:hAnsi="Times New Roman"/>
          <w:szCs w:val="24"/>
          <w:lang w:val="bs-Latn-BA"/>
        </w:rPr>
        <w:t xml:space="preserve"> </w:t>
      </w:r>
      <w:r>
        <w:rPr>
          <w:rFonts w:ascii="Times New Roman" w:hAnsi="Times New Roman"/>
          <w:szCs w:val="24"/>
          <w:lang w:val="bs-Latn-BA"/>
        </w:rPr>
        <w:t>за</w:t>
      </w:r>
      <w:r w:rsidR="00A84C91" w:rsidRPr="00295637">
        <w:rPr>
          <w:rFonts w:ascii="Times New Roman" w:hAnsi="Times New Roman"/>
          <w:szCs w:val="24"/>
          <w:lang w:val="bs-Latn-BA"/>
        </w:rPr>
        <w:t xml:space="preserve"> </w:t>
      </w:r>
      <w:r>
        <w:rPr>
          <w:rFonts w:ascii="Times New Roman" w:hAnsi="Times New Roman"/>
          <w:szCs w:val="24"/>
          <w:lang w:val="bs-Latn-BA"/>
        </w:rPr>
        <w:t>дјецу</w:t>
      </w:r>
      <w:r w:rsidR="00A84C91" w:rsidRPr="00295637">
        <w:rPr>
          <w:rFonts w:ascii="Times New Roman" w:hAnsi="Times New Roman"/>
          <w:szCs w:val="24"/>
          <w:lang w:val="bs-Latn-BA"/>
        </w:rPr>
        <w:t xml:space="preserve"> </w:t>
      </w:r>
      <w:r>
        <w:rPr>
          <w:rFonts w:ascii="Times New Roman" w:hAnsi="Times New Roman"/>
          <w:szCs w:val="24"/>
          <w:lang w:val="bs-Latn-BA"/>
        </w:rPr>
        <w:t>ФБиХ</w:t>
      </w:r>
      <w:r w:rsidR="00A84C91" w:rsidRPr="00295637">
        <w:rPr>
          <w:rFonts w:ascii="Times New Roman" w:hAnsi="Times New Roman"/>
          <w:szCs w:val="24"/>
          <w:lang w:val="bs-Latn-BA"/>
        </w:rPr>
        <w:t xml:space="preserve"> </w:t>
      </w:r>
      <w:r>
        <w:rPr>
          <w:rFonts w:ascii="Times New Roman" w:hAnsi="Times New Roman"/>
          <w:szCs w:val="24"/>
          <w:lang w:val="bs-Latn-BA"/>
        </w:rPr>
        <w:t>у</w:t>
      </w:r>
      <w:r w:rsidR="00A84C91" w:rsidRPr="00295637">
        <w:rPr>
          <w:rFonts w:ascii="Times New Roman" w:hAnsi="Times New Roman"/>
          <w:szCs w:val="24"/>
          <w:lang w:val="bs-Latn-BA"/>
        </w:rPr>
        <w:t xml:space="preserve"> </w:t>
      </w:r>
      <w:r>
        <w:rPr>
          <w:rFonts w:ascii="Times New Roman" w:hAnsi="Times New Roman"/>
          <w:szCs w:val="24"/>
          <w:lang w:val="bs-Latn-BA"/>
        </w:rPr>
        <w:t>којем</w:t>
      </w:r>
      <w:r w:rsidR="00A84C91" w:rsidRPr="00295637">
        <w:rPr>
          <w:rFonts w:ascii="Times New Roman" w:hAnsi="Times New Roman"/>
          <w:szCs w:val="24"/>
          <w:lang w:val="bs-Latn-BA"/>
        </w:rPr>
        <w:t xml:space="preserve"> </w:t>
      </w:r>
      <w:r>
        <w:rPr>
          <w:rFonts w:ascii="Times New Roman" w:hAnsi="Times New Roman"/>
          <w:szCs w:val="24"/>
          <w:lang w:val="bs-Latn-BA"/>
        </w:rPr>
        <w:t>поред</w:t>
      </w:r>
      <w:r w:rsidR="00A84C91" w:rsidRPr="00295637">
        <w:rPr>
          <w:rFonts w:ascii="Times New Roman" w:hAnsi="Times New Roman"/>
          <w:szCs w:val="24"/>
          <w:lang w:val="bs-Latn-BA"/>
        </w:rPr>
        <w:t xml:space="preserve"> </w:t>
      </w:r>
      <w:r>
        <w:rPr>
          <w:rFonts w:ascii="Times New Roman" w:hAnsi="Times New Roman"/>
          <w:szCs w:val="24"/>
          <w:lang w:val="bs-Latn-BA"/>
        </w:rPr>
        <w:t>осталих</w:t>
      </w:r>
      <w:r w:rsidR="00A84C91" w:rsidRPr="00295637">
        <w:rPr>
          <w:rFonts w:ascii="Times New Roman" w:hAnsi="Times New Roman"/>
          <w:szCs w:val="24"/>
          <w:lang w:val="bs-Latn-BA"/>
        </w:rPr>
        <w:t xml:space="preserve"> </w:t>
      </w:r>
      <w:r>
        <w:rPr>
          <w:rFonts w:ascii="Times New Roman" w:hAnsi="Times New Roman"/>
          <w:szCs w:val="24"/>
          <w:lang w:val="bs-Latn-BA"/>
        </w:rPr>
        <w:t>институција</w:t>
      </w:r>
      <w:r w:rsidR="00A84C91" w:rsidRPr="00295637">
        <w:rPr>
          <w:rFonts w:ascii="Times New Roman" w:hAnsi="Times New Roman"/>
          <w:szCs w:val="24"/>
          <w:lang w:val="bs-Latn-BA"/>
        </w:rPr>
        <w:t xml:space="preserve"> </w:t>
      </w:r>
      <w:r>
        <w:rPr>
          <w:rFonts w:ascii="Times New Roman" w:hAnsi="Times New Roman"/>
          <w:szCs w:val="24"/>
          <w:lang w:val="bs-Latn-BA"/>
        </w:rPr>
        <w:t>и</w:t>
      </w:r>
      <w:r w:rsidR="00A84C91" w:rsidRPr="00295637">
        <w:rPr>
          <w:rFonts w:ascii="Times New Roman" w:hAnsi="Times New Roman"/>
          <w:szCs w:val="24"/>
          <w:lang w:val="bs-Latn-BA"/>
        </w:rPr>
        <w:t xml:space="preserve"> </w:t>
      </w:r>
      <w:r>
        <w:rPr>
          <w:rFonts w:ascii="Times New Roman" w:hAnsi="Times New Roman"/>
          <w:szCs w:val="24"/>
          <w:lang w:val="bs-Latn-BA"/>
        </w:rPr>
        <w:t>организација</w:t>
      </w:r>
      <w:r w:rsidR="005A23C4" w:rsidRPr="00295637">
        <w:rPr>
          <w:rFonts w:ascii="Times New Roman" w:hAnsi="Times New Roman"/>
          <w:szCs w:val="24"/>
          <w:lang w:val="bs-Latn-BA"/>
        </w:rPr>
        <w:t xml:space="preserve"> </w:t>
      </w:r>
      <w:r>
        <w:rPr>
          <w:rFonts w:ascii="Times New Roman" w:hAnsi="Times New Roman"/>
          <w:szCs w:val="24"/>
          <w:lang w:val="bs-Latn-BA"/>
        </w:rPr>
        <w:t>учествује</w:t>
      </w:r>
      <w:r w:rsidR="005A23C4" w:rsidRPr="00295637">
        <w:rPr>
          <w:rFonts w:ascii="Times New Roman" w:hAnsi="Times New Roman"/>
          <w:szCs w:val="24"/>
          <w:lang w:val="bs-Latn-BA"/>
        </w:rPr>
        <w:t xml:space="preserve"> </w:t>
      </w:r>
      <w:r>
        <w:rPr>
          <w:rFonts w:ascii="Times New Roman" w:hAnsi="Times New Roman"/>
          <w:szCs w:val="24"/>
          <w:lang w:val="bs-Latn-BA"/>
        </w:rPr>
        <w:t>и</w:t>
      </w:r>
      <w:r w:rsidR="005A23C4" w:rsidRPr="00295637">
        <w:rPr>
          <w:rFonts w:ascii="Times New Roman" w:hAnsi="Times New Roman"/>
          <w:szCs w:val="24"/>
          <w:lang w:val="bs-Latn-BA"/>
        </w:rPr>
        <w:t xml:space="preserve"> </w:t>
      </w:r>
      <w:r>
        <w:rPr>
          <w:rFonts w:ascii="Times New Roman" w:hAnsi="Times New Roman"/>
          <w:szCs w:val="24"/>
          <w:lang w:val="bs-Latn-BA"/>
        </w:rPr>
        <w:t>ГЦ</w:t>
      </w:r>
      <w:r w:rsidR="00C85854">
        <w:rPr>
          <w:rFonts w:ascii="Times New Roman" w:hAnsi="Times New Roman"/>
          <w:szCs w:val="24"/>
          <w:lang w:val="bs-Latn-BA"/>
        </w:rPr>
        <w:t xml:space="preserve"> </w:t>
      </w:r>
      <w:r>
        <w:rPr>
          <w:rFonts w:ascii="Times New Roman" w:hAnsi="Times New Roman"/>
          <w:szCs w:val="24"/>
          <w:lang w:val="bs-Latn-BA"/>
        </w:rPr>
        <w:t>ФБиХ</w:t>
      </w:r>
      <w:r w:rsidR="005A23C4" w:rsidRPr="00295637">
        <w:rPr>
          <w:rFonts w:ascii="Times New Roman" w:hAnsi="Times New Roman"/>
          <w:szCs w:val="24"/>
          <w:lang w:val="bs-Latn-BA"/>
        </w:rPr>
        <w:t>.</w:t>
      </w:r>
      <w:r w:rsidR="00A84C91" w:rsidRPr="00295637">
        <w:rPr>
          <w:rFonts w:ascii="Times New Roman" w:hAnsi="Times New Roman"/>
          <w:szCs w:val="24"/>
          <w:lang w:val="bs-Latn-BA"/>
        </w:rPr>
        <w:t xml:space="preserve"> </w:t>
      </w:r>
      <w:r>
        <w:rPr>
          <w:rFonts w:ascii="Times New Roman" w:hAnsi="Times New Roman"/>
          <w:szCs w:val="24"/>
          <w:lang w:val="bs-Latn-BA"/>
        </w:rPr>
        <w:t>Поред</w:t>
      </w:r>
      <w:r w:rsidR="00A84C91" w:rsidRPr="00295637">
        <w:rPr>
          <w:rFonts w:ascii="Times New Roman" w:hAnsi="Times New Roman"/>
          <w:szCs w:val="24"/>
          <w:lang w:val="bs-Latn-BA"/>
        </w:rPr>
        <w:t xml:space="preserve"> </w:t>
      </w:r>
      <w:r>
        <w:rPr>
          <w:rFonts w:ascii="Times New Roman" w:hAnsi="Times New Roman"/>
          <w:szCs w:val="24"/>
          <w:lang w:val="bs-Latn-BA"/>
        </w:rPr>
        <w:t>тога</w:t>
      </w:r>
      <w:r w:rsidR="00A84C91" w:rsidRPr="00295637">
        <w:rPr>
          <w:rFonts w:ascii="Times New Roman" w:hAnsi="Times New Roman"/>
          <w:szCs w:val="24"/>
          <w:lang w:val="bs-Latn-BA"/>
        </w:rPr>
        <w:t xml:space="preserve">, </w:t>
      </w:r>
      <w:r>
        <w:rPr>
          <w:rFonts w:ascii="Times New Roman" w:hAnsi="Times New Roman"/>
          <w:szCs w:val="24"/>
          <w:lang w:val="bs-Latn-BA"/>
        </w:rPr>
        <w:t>ГЦ</w:t>
      </w:r>
      <w:r w:rsidR="00C85854">
        <w:rPr>
          <w:rFonts w:ascii="Times New Roman" w:hAnsi="Times New Roman"/>
          <w:szCs w:val="24"/>
          <w:lang w:val="bs-Latn-BA"/>
        </w:rPr>
        <w:t xml:space="preserve"> </w:t>
      </w:r>
      <w:r>
        <w:rPr>
          <w:rFonts w:ascii="Times New Roman" w:hAnsi="Times New Roman"/>
          <w:szCs w:val="24"/>
          <w:lang w:val="bs-Latn-BA"/>
        </w:rPr>
        <w:t>ФБиХ</w:t>
      </w:r>
      <w:r w:rsidR="00DF5D69" w:rsidRPr="00295637">
        <w:rPr>
          <w:rFonts w:ascii="Times New Roman" w:hAnsi="Times New Roman"/>
          <w:szCs w:val="24"/>
          <w:lang w:val="bs-Latn-BA"/>
        </w:rPr>
        <w:t xml:space="preserve"> </w:t>
      </w:r>
      <w:r>
        <w:rPr>
          <w:rFonts w:ascii="Times New Roman" w:hAnsi="Times New Roman"/>
          <w:szCs w:val="24"/>
          <w:lang w:val="bs-Latn-BA"/>
        </w:rPr>
        <w:t>је</w:t>
      </w:r>
      <w:r w:rsidR="00DF5D69" w:rsidRPr="00295637">
        <w:rPr>
          <w:rFonts w:ascii="Times New Roman" w:hAnsi="Times New Roman"/>
          <w:szCs w:val="24"/>
          <w:lang w:val="bs-Latn-BA"/>
        </w:rPr>
        <w:t xml:space="preserve"> </w:t>
      </w:r>
      <w:r>
        <w:rPr>
          <w:rFonts w:ascii="Times New Roman" w:hAnsi="Times New Roman"/>
          <w:szCs w:val="24"/>
          <w:lang w:val="bs-Latn-BA"/>
        </w:rPr>
        <w:t>активно</w:t>
      </w:r>
      <w:r w:rsidR="00DF5D69" w:rsidRPr="00295637">
        <w:rPr>
          <w:rFonts w:ascii="Times New Roman" w:hAnsi="Times New Roman"/>
          <w:szCs w:val="24"/>
          <w:lang w:val="bs-Latn-BA"/>
        </w:rPr>
        <w:t xml:space="preserve"> </w:t>
      </w:r>
      <w:r>
        <w:rPr>
          <w:rFonts w:ascii="Times New Roman" w:hAnsi="Times New Roman"/>
          <w:szCs w:val="24"/>
          <w:lang w:val="bs-Latn-BA"/>
        </w:rPr>
        <w:t>учествовао</w:t>
      </w:r>
      <w:r w:rsidR="00DF5D69" w:rsidRPr="00295637">
        <w:rPr>
          <w:rFonts w:ascii="Times New Roman" w:hAnsi="Times New Roman"/>
          <w:szCs w:val="24"/>
          <w:lang w:val="bs-Latn-BA"/>
        </w:rPr>
        <w:t xml:space="preserve"> </w:t>
      </w:r>
      <w:r>
        <w:rPr>
          <w:rFonts w:ascii="Times New Roman" w:hAnsi="Times New Roman"/>
          <w:szCs w:val="24"/>
          <w:lang w:val="bs-Latn-BA"/>
        </w:rPr>
        <w:t>у</w:t>
      </w:r>
      <w:r w:rsidR="00DF5D69" w:rsidRPr="00295637">
        <w:rPr>
          <w:rFonts w:ascii="Times New Roman" w:hAnsi="Times New Roman"/>
          <w:szCs w:val="24"/>
          <w:lang w:val="bs-Latn-BA"/>
        </w:rPr>
        <w:t xml:space="preserve"> </w:t>
      </w:r>
      <w:r>
        <w:rPr>
          <w:rFonts w:ascii="Times New Roman" w:hAnsi="Times New Roman"/>
          <w:szCs w:val="24"/>
          <w:lang w:val="bs-Latn-BA"/>
        </w:rPr>
        <w:t>пројектима</w:t>
      </w:r>
      <w:r w:rsidR="00DF5D69" w:rsidRPr="00295637">
        <w:rPr>
          <w:rFonts w:ascii="Times New Roman" w:hAnsi="Times New Roman"/>
          <w:szCs w:val="24"/>
          <w:lang w:val="bs-Latn-BA"/>
        </w:rPr>
        <w:t xml:space="preserve"> </w:t>
      </w:r>
      <w:r w:rsidR="00FF06BD" w:rsidRPr="00FF06BD">
        <w:rPr>
          <w:rFonts w:ascii="Times New Roman" w:hAnsi="Times New Roman"/>
          <w:i/>
          <w:iCs/>
          <w:szCs w:val="24"/>
          <w:lang w:val="bs-Latn-BA"/>
        </w:rPr>
        <w:t>UN Women, UNDP, OSCE, EU IPA</w:t>
      </w:r>
      <w:r w:rsidR="00DF5D69" w:rsidRPr="00295637">
        <w:rPr>
          <w:rFonts w:ascii="Times New Roman" w:hAnsi="Times New Roman"/>
          <w:szCs w:val="24"/>
          <w:lang w:val="bs-Latn-BA"/>
        </w:rPr>
        <w:t xml:space="preserve">, </w:t>
      </w:r>
      <w:r>
        <w:rPr>
          <w:rFonts w:ascii="Times New Roman" w:hAnsi="Times New Roman"/>
          <w:szCs w:val="24"/>
          <w:lang w:val="bs-Latn-BA"/>
        </w:rPr>
        <w:t>као</w:t>
      </w:r>
      <w:r w:rsidR="00DF5D69" w:rsidRPr="00295637">
        <w:rPr>
          <w:rFonts w:ascii="Times New Roman" w:hAnsi="Times New Roman"/>
          <w:szCs w:val="24"/>
          <w:lang w:val="bs-Latn-BA"/>
        </w:rPr>
        <w:t xml:space="preserve"> </w:t>
      </w:r>
      <w:r>
        <w:rPr>
          <w:rFonts w:ascii="Times New Roman" w:hAnsi="Times New Roman"/>
          <w:szCs w:val="24"/>
          <w:lang w:val="bs-Latn-BA"/>
        </w:rPr>
        <w:t>и</w:t>
      </w:r>
      <w:r w:rsidR="00DF5D69" w:rsidRPr="00295637">
        <w:rPr>
          <w:rFonts w:ascii="Times New Roman" w:hAnsi="Times New Roman"/>
          <w:szCs w:val="24"/>
          <w:lang w:val="bs-Latn-BA"/>
        </w:rPr>
        <w:t xml:space="preserve"> </w:t>
      </w:r>
      <w:r>
        <w:rPr>
          <w:rFonts w:ascii="Times New Roman" w:hAnsi="Times New Roman"/>
          <w:szCs w:val="24"/>
          <w:lang w:val="bs-Latn-BA"/>
        </w:rPr>
        <w:t>у</w:t>
      </w:r>
      <w:r w:rsidR="00DF5D69" w:rsidRPr="00295637">
        <w:rPr>
          <w:rFonts w:ascii="Times New Roman" w:hAnsi="Times New Roman"/>
          <w:szCs w:val="24"/>
          <w:lang w:val="bs-Latn-BA"/>
        </w:rPr>
        <w:t xml:space="preserve"> </w:t>
      </w:r>
      <w:r>
        <w:rPr>
          <w:rFonts w:ascii="Times New Roman" w:hAnsi="Times New Roman"/>
          <w:szCs w:val="24"/>
          <w:lang w:val="bs-Latn-BA"/>
        </w:rPr>
        <w:t>иницијативама</w:t>
      </w:r>
      <w:r w:rsidR="00DF5D69" w:rsidRPr="00295637">
        <w:rPr>
          <w:rFonts w:ascii="Times New Roman" w:hAnsi="Times New Roman"/>
          <w:szCs w:val="24"/>
          <w:lang w:val="bs-Latn-BA"/>
        </w:rPr>
        <w:t xml:space="preserve"> </w:t>
      </w:r>
      <w:r>
        <w:rPr>
          <w:rFonts w:ascii="Times New Roman" w:hAnsi="Times New Roman"/>
          <w:szCs w:val="24"/>
          <w:lang w:val="bs-Latn-BA"/>
        </w:rPr>
        <w:t>за</w:t>
      </w:r>
      <w:r w:rsidR="00DF5D69" w:rsidRPr="00295637">
        <w:rPr>
          <w:rFonts w:ascii="Times New Roman" w:hAnsi="Times New Roman"/>
          <w:szCs w:val="24"/>
          <w:lang w:val="bs-Latn-BA"/>
        </w:rPr>
        <w:t xml:space="preserve"> </w:t>
      </w:r>
      <w:r>
        <w:rPr>
          <w:rFonts w:ascii="Times New Roman" w:hAnsi="Times New Roman"/>
          <w:szCs w:val="24"/>
          <w:lang w:val="bs-Latn-BA"/>
        </w:rPr>
        <w:t>унапређење</w:t>
      </w:r>
      <w:r w:rsidR="00DF5D69" w:rsidRPr="00295637">
        <w:rPr>
          <w:rFonts w:ascii="Times New Roman" w:hAnsi="Times New Roman"/>
          <w:szCs w:val="24"/>
          <w:lang w:val="bs-Latn-BA"/>
        </w:rPr>
        <w:t xml:space="preserve"> </w:t>
      </w:r>
      <w:r>
        <w:rPr>
          <w:rFonts w:ascii="Times New Roman" w:hAnsi="Times New Roman"/>
        </w:rPr>
        <w:t>равноправности</w:t>
      </w:r>
      <w:r w:rsidR="00CC105E" w:rsidRPr="00295637">
        <w:rPr>
          <w:rFonts w:ascii="Times New Roman" w:hAnsi="Times New Roman"/>
        </w:rPr>
        <w:t xml:space="preserve"> </w:t>
      </w:r>
      <w:r>
        <w:rPr>
          <w:rFonts w:ascii="Times New Roman" w:hAnsi="Times New Roman"/>
        </w:rPr>
        <w:t>полова</w:t>
      </w:r>
      <w:r w:rsidR="00CC105E" w:rsidRPr="00295637">
        <w:rPr>
          <w:rFonts w:ascii="Times New Roman" w:hAnsi="Times New Roman"/>
          <w:szCs w:val="24"/>
          <w:lang w:val="bs-Latn-BA"/>
        </w:rPr>
        <w:t xml:space="preserve"> </w:t>
      </w:r>
      <w:r>
        <w:rPr>
          <w:rFonts w:ascii="Times New Roman" w:hAnsi="Times New Roman"/>
          <w:szCs w:val="24"/>
          <w:lang w:val="bs-Latn-BA"/>
        </w:rPr>
        <w:t>у</w:t>
      </w:r>
      <w:r w:rsidR="00DF5D69" w:rsidRPr="00295637">
        <w:rPr>
          <w:rFonts w:ascii="Times New Roman" w:hAnsi="Times New Roman"/>
          <w:szCs w:val="24"/>
          <w:lang w:val="bs-Latn-BA"/>
        </w:rPr>
        <w:t xml:space="preserve"> </w:t>
      </w:r>
      <w:r>
        <w:rPr>
          <w:rFonts w:ascii="Times New Roman" w:hAnsi="Times New Roman"/>
          <w:szCs w:val="24"/>
          <w:lang w:val="bs-Latn-BA"/>
        </w:rPr>
        <w:t>сарадњи</w:t>
      </w:r>
      <w:r w:rsidR="00C85854">
        <w:rPr>
          <w:rFonts w:ascii="Times New Roman" w:hAnsi="Times New Roman"/>
          <w:szCs w:val="24"/>
          <w:lang w:val="bs-Latn-BA"/>
        </w:rPr>
        <w:t xml:space="preserve"> </w:t>
      </w:r>
      <w:r>
        <w:rPr>
          <w:rFonts w:ascii="Times New Roman" w:hAnsi="Times New Roman"/>
          <w:szCs w:val="24"/>
          <w:lang w:val="bs-Latn-BA"/>
        </w:rPr>
        <w:t>са</w:t>
      </w:r>
      <w:r w:rsidR="00DF5D69" w:rsidRPr="00295637">
        <w:rPr>
          <w:rFonts w:ascii="Times New Roman" w:hAnsi="Times New Roman"/>
          <w:szCs w:val="24"/>
          <w:lang w:val="bs-Latn-BA"/>
        </w:rPr>
        <w:t xml:space="preserve"> </w:t>
      </w:r>
      <w:r>
        <w:rPr>
          <w:rFonts w:ascii="Times New Roman" w:hAnsi="Times New Roman"/>
          <w:szCs w:val="24"/>
          <w:lang w:val="bs-Latn-BA"/>
        </w:rPr>
        <w:t>организацијама</w:t>
      </w:r>
      <w:r w:rsidR="00BB1B18" w:rsidRPr="00295637">
        <w:rPr>
          <w:rFonts w:ascii="Times New Roman" w:hAnsi="Times New Roman"/>
          <w:szCs w:val="24"/>
          <w:lang w:val="bs-Latn-BA"/>
        </w:rPr>
        <w:t xml:space="preserve"> </w:t>
      </w:r>
      <w:r>
        <w:rPr>
          <w:rFonts w:ascii="Times New Roman" w:hAnsi="Times New Roman"/>
          <w:szCs w:val="24"/>
          <w:lang w:val="bs-Latn-BA"/>
        </w:rPr>
        <w:t>цивилног</w:t>
      </w:r>
      <w:r w:rsidR="00BB1B18" w:rsidRPr="00295637">
        <w:rPr>
          <w:rFonts w:ascii="Times New Roman" w:hAnsi="Times New Roman"/>
          <w:szCs w:val="24"/>
          <w:lang w:val="bs-Latn-BA"/>
        </w:rPr>
        <w:t xml:space="preserve"> </w:t>
      </w:r>
      <w:r>
        <w:rPr>
          <w:rFonts w:ascii="Times New Roman" w:hAnsi="Times New Roman"/>
          <w:szCs w:val="24"/>
          <w:lang w:val="bs-Latn-BA"/>
        </w:rPr>
        <w:t>друштва</w:t>
      </w:r>
      <w:r w:rsidR="00BB1B18" w:rsidRPr="00295637">
        <w:rPr>
          <w:rFonts w:ascii="Times New Roman" w:hAnsi="Times New Roman"/>
          <w:szCs w:val="24"/>
          <w:lang w:val="bs-Latn-BA"/>
        </w:rPr>
        <w:t>.</w:t>
      </w:r>
    </w:p>
    <w:p w:rsidR="00A92736" w:rsidRPr="00295637" w:rsidRDefault="00A92736" w:rsidP="0086268D">
      <w:pPr>
        <w:rPr>
          <w:szCs w:val="24"/>
          <w:lang w:val="bs-Latn-BA"/>
        </w:rPr>
      </w:pPr>
    </w:p>
    <w:p w:rsidR="00AA46AB" w:rsidRDefault="00C6214E" w:rsidP="0086268D">
      <w:pPr>
        <w:pStyle w:val="ListParagraph"/>
        <w:ind w:left="0"/>
        <w:jc w:val="both"/>
        <w:rPr>
          <w:rFonts w:ascii="Times New Roman" w:hAnsi="Times New Roman"/>
          <w:lang w:val="sr-Latn-BA"/>
        </w:rPr>
      </w:pPr>
      <w:r>
        <w:rPr>
          <w:rFonts w:ascii="Times New Roman" w:hAnsi="Times New Roman"/>
          <w:lang w:val="sr-Latn-BA"/>
        </w:rPr>
        <w:t>ЦЈРП</w:t>
      </w:r>
      <w:r w:rsidR="00AA46AB" w:rsidRPr="00295637">
        <w:rPr>
          <w:rFonts w:ascii="Times New Roman" w:hAnsi="Times New Roman"/>
          <w:lang w:val="sr-Latn-BA"/>
        </w:rPr>
        <w:t xml:space="preserve"> </w:t>
      </w:r>
      <w:r>
        <w:rPr>
          <w:rFonts w:ascii="Times New Roman" w:hAnsi="Times New Roman"/>
          <w:lang w:val="sr-Latn-BA"/>
        </w:rPr>
        <w:t>РС</w:t>
      </w:r>
      <w:r w:rsidR="00AA46AB" w:rsidRPr="00295637">
        <w:rPr>
          <w:rFonts w:ascii="Times New Roman" w:hAnsi="Times New Roman"/>
          <w:lang w:val="sr-Latn-BA"/>
        </w:rPr>
        <w:t xml:space="preserve"> </w:t>
      </w:r>
      <w:r>
        <w:rPr>
          <w:rFonts w:ascii="Times New Roman" w:hAnsi="Times New Roman"/>
          <w:lang w:val="sr-Latn-BA"/>
        </w:rPr>
        <w:t>пружио</w:t>
      </w:r>
      <w:r w:rsidR="00AA46AB" w:rsidRPr="00295637">
        <w:rPr>
          <w:rFonts w:ascii="Times New Roman" w:hAnsi="Times New Roman"/>
          <w:lang w:val="sr-Latn-BA"/>
        </w:rPr>
        <w:t xml:space="preserve"> </w:t>
      </w:r>
      <w:r>
        <w:rPr>
          <w:rFonts w:ascii="Times New Roman" w:hAnsi="Times New Roman"/>
          <w:lang w:val="sr-Latn-BA"/>
        </w:rPr>
        <w:t>је</w:t>
      </w:r>
      <w:r w:rsidR="00AA46AB" w:rsidRPr="00295637">
        <w:rPr>
          <w:rFonts w:ascii="Times New Roman" w:hAnsi="Times New Roman"/>
          <w:lang w:val="sr-Latn-BA"/>
        </w:rPr>
        <w:t xml:space="preserve"> </w:t>
      </w:r>
      <w:r>
        <w:rPr>
          <w:rFonts w:ascii="Times New Roman" w:hAnsi="Times New Roman"/>
          <w:lang w:val="sr-Latn-BA"/>
        </w:rPr>
        <w:t>с</w:t>
      </w:r>
      <w:r>
        <w:rPr>
          <w:rFonts w:ascii="Times New Roman" w:hAnsi="Times New Roman"/>
          <w:lang w:val="sr-Cyrl-BA"/>
        </w:rPr>
        <w:t>тручн</w:t>
      </w:r>
      <w:r>
        <w:rPr>
          <w:rFonts w:ascii="Times New Roman" w:hAnsi="Times New Roman"/>
          <w:lang w:val="sr-Latn-BA"/>
        </w:rPr>
        <w:t>у</w:t>
      </w:r>
      <w:r w:rsidR="00AA46AB"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дршку</w:t>
      </w:r>
      <w:r w:rsidR="00AA46AB" w:rsidRPr="00295637">
        <w:rPr>
          <w:rFonts w:ascii="Times New Roman" w:hAnsi="Times New Roman"/>
          <w:lang w:val="sr-Cyrl-BA"/>
        </w:rPr>
        <w:t xml:space="preserve"> </w:t>
      </w:r>
      <w:r>
        <w:rPr>
          <w:rFonts w:ascii="Times New Roman" w:hAnsi="Times New Roman"/>
          <w:lang w:val="sr-Cyrl-BA"/>
        </w:rPr>
        <w:t>по</w:t>
      </w:r>
      <w:r w:rsidR="00AA46AB" w:rsidRPr="00295637">
        <w:rPr>
          <w:rFonts w:ascii="Times New Roman" w:hAnsi="Times New Roman"/>
          <w:lang w:val="sr-Cyrl-BA"/>
        </w:rPr>
        <w:t xml:space="preserve"> </w:t>
      </w:r>
      <w:r>
        <w:rPr>
          <w:rFonts w:ascii="Times New Roman" w:hAnsi="Times New Roman"/>
          <w:lang w:val="sr-Cyrl-BA"/>
        </w:rPr>
        <w:t>позиву</w:t>
      </w:r>
      <w:r w:rsidR="00AA46AB" w:rsidRPr="00295637">
        <w:rPr>
          <w:rFonts w:ascii="Times New Roman" w:hAnsi="Times New Roman"/>
          <w:lang w:val="sr-Cyrl-BA"/>
        </w:rPr>
        <w:t xml:space="preserve"> </w:t>
      </w:r>
      <w:r>
        <w:rPr>
          <w:rFonts w:ascii="Times New Roman" w:hAnsi="Times New Roman"/>
          <w:lang w:val="sr-Cyrl-BA"/>
        </w:rPr>
        <w:t>савјетника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министарствима</w:t>
      </w:r>
      <w:r w:rsidR="00AA46AB" w:rsidRPr="00295637">
        <w:rPr>
          <w:rFonts w:ascii="Times New Roman" w:hAnsi="Times New Roman"/>
          <w:lang w:val="sr-Cyrl-BA"/>
        </w:rPr>
        <w:t xml:space="preserve"> </w:t>
      </w:r>
      <w:r w:rsidR="00FF06BD">
        <w:rPr>
          <w:rFonts w:ascii="Times New Roman" w:hAnsi="Times New Roman"/>
          <w:lang w:val="sr-Cyrl-BA"/>
        </w:rPr>
        <w:t>С</w:t>
      </w:r>
      <w:r>
        <w:rPr>
          <w:rFonts w:ascii="Times New Roman" w:hAnsi="Times New Roman"/>
          <w:lang w:val="sr-Cyrl-BA"/>
        </w:rPr>
        <w:t>М</w:t>
      </w:r>
      <w:r w:rsidR="00AA46AB" w:rsidRPr="00295637">
        <w:rPr>
          <w:rFonts w:ascii="Times New Roman" w:hAnsi="Times New Roman"/>
          <w:lang w:val="sr-Cyrl-BA"/>
        </w:rPr>
        <w:t xml:space="preserve"> </w:t>
      </w:r>
      <w:r>
        <w:rPr>
          <w:rFonts w:ascii="Times New Roman" w:hAnsi="Times New Roman"/>
          <w:lang w:val="sr-Cyrl-BA"/>
        </w:rPr>
        <w:t>БиХ</w:t>
      </w:r>
      <w:r w:rsidR="00AA46AB" w:rsidRPr="00295637">
        <w:rPr>
          <w:rFonts w:ascii="Times New Roman" w:hAnsi="Times New Roman"/>
          <w:lang w:val="sr-Cyrl-BA"/>
        </w:rPr>
        <w:t xml:space="preserve">, </w:t>
      </w:r>
      <w:r>
        <w:rPr>
          <w:rFonts w:ascii="Times New Roman" w:hAnsi="Times New Roman"/>
          <w:lang w:val="hr-HR"/>
        </w:rPr>
        <w:t>у</w:t>
      </w:r>
      <w:r w:rsidR="00B4501A">
        <w:rPr>
          <w:rFonts w:ascii="Times New Roman" w:hAnsi="Times New Roman"/>
          <w:lang w:val="hr-HR"/>
        </w:rPr>
        <w:t xml:space="preserve"> </w:t>
      </w:r>
      <w:r>
        <w:rPr>
          <w:rFonts w:ascii="Times New Roman" w:hAnsi="Times New Roman"/>
          <w:lang w:val="hr-HR"/>
        </w:rPr>
        <w:t>вези</w:t>
      </w:r>
      <w:r w:rsidR="00B4501A">
        <w:rPr>
          <w:rFonts w:ascii="Times New Roman" w:hAnsi="Times New Roman"/>
          <w:lang w:val="hr-HR"/>
        </w:rPr>
        <w:t xml:space="preserve"> </w:t>
      </w:r>
      <w:r>
        <w:rPr>
          <w:rFonts w:ascii="Times New Roman" w:hAnsi="Times New Roman"/>
          <w:lang w:val="hr-HR"/>
        </w:rPr>
        <w:t>са</w:t>
      </w:r>
      <w:r w:rsidR="00AA46AB" w:rsidRPr="00295637">
        <w:rPr>
          <w:rFonts w:ascii="Times New Roman" w:hAnsi="Times New Roman"/>
          <w:lang w:val="sr-Cyrl-BA"/>
        </w:rPr>
        <w:t xml:space="preserve"> </w:t>
      </w:r>
      <w:r>
        <w:rPr>
          <w:rFonts w:ascii="Times New Roman" w:hAnsi="Times New Roman"/>
          <w:lang w:val="sr-Cyrl-BA"/>
        </w:rPr>
        <w:t>документ</w:t>
      </w:r>
      <w:r>
        <w:rPr>
          <w:rFonts w:ascii="Times New Roman" w:hAnsi="Times New Roman"/>
          <w:lang w:val="hr-HR"/>
        </w:rPr>
        <w:t>има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сједнице</w:t>
      </w:r>
      <w:r w:rsidR="00AA46AB" w:rsidRPr="00295637">
        <w:rPr>
          <w:rFonts w:ascii="Times New Roman" w:hAnsi="Times New Roman"/>
          <w:lang w:val="sr-Cyrl-BA"/>
        </w:rPr>
        <w:t xml:space="preserve"> </w:t>
      </w:r>
      <w:r w:rsidR="00FF06BD">
        <w:rPr>
          <w:rFonts w:ascii="Times New Roman" w:hAnsi="Times New Roman"/>
          <w:lang w:val="sr-Cyrl-BA"/>
        </w:rPr>
        <w:t>С</w:t>
      </w:r>
      <w:r>
        <w:rPr>
          <w:rFonts w:ascii="Times New Roman" w:hAnsi="Times New Roman"/>
          <w:lang w:val="sr-Cyrl-BA"/>
        </w:rPr>
        <w:t>М</w:t>
      </w:r>
      <w:r w:rsidR="00AA46AB" w:rsidRPr="00295637">
        <w:rPr>
          <w:rFonts w:ascii="Times New Roman" w:hAnsi="Times New Roman"/>
          <w:lang w:val="sr-Cyrl-BA"/>
        </w:rPr>
        <w:t xml:space="preserve"> </w:t>
      </w:r>
      <w:r>
        <w:rPr>
          <w:rFonts w:ascii="Times New Roman" w:hAnsi="Times New Roman"/>
          <w:lang w:val="sr-Cyrl-BA"/>
        </w:rPr>
        <w:t>БиХ</w:t>
      </w:r>
      <w:r w:rsidR="005A23C4" w:rsidRPr="00295637">
        <w:rPr>
          <w:rFonts w:ascii="Times New Roman" w:hAnsi="Times New Roman"/>
          <w:lang w:val="bs-Latn-BA"/>
        </w:rPr>
        <w:t xml:space="preserve">, </w:t>
      </w:r>
      <w:r>
        <w:rPr>
          <w:rFonts w:ascii="Times New Roman" w:hAnsi="Times New Roman"/>
          <w:lang w:val="bs-Latn-BA"/>
        </w:rPr>
        <w:t>као</w:t>
      </w:r>
      <w:r w:rsidR="005A23C4" w:rsidRPr="00295637">
        <w:rPr>
          <w:rFonts w:ascii="Times New Roman" w:hAnsi="Times New Roman"/>
          <w:lang w:val="bs-Latn-BA"/>
        </w:rPr>
        <w:t xml:space="preserve"> </w:t>
      </w:r>
      <w:r>
        <w:rPr>
          <w:rFonts w:ascii="Times New Roman" w:hAnsi="Times New Roman"/>
          <w:lang w:val="bs-Latn-BA"/>
        </w:rPr>
        <w:t>и</w:t>
      </w:r>
      <w:r w:rsidR="005A23C4" w:rsidRPr="00295637">
        <w:rPr>
          <w:rFonts w:ascii="Times New Roman" w:hAnsi="Times New Roman"/>
          <w:lang w:val="bs-Latn-BA"/>
        </w:rPr>
        <w:t xml:space="preserve"> </w:t>
      </w:r>
      <w:r>
        <w:rPr>
          <w:rFonts w:ascii="Times New Roman" w:hAnsi="Times New Roman"/>
          <w:lang w:val="sr-Latn-BA"/>
        </w:rPr>
        <w:t>учествовао</w:t>
      </w:r>
      <w:r w:rsidR="00C85854">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AA46AB" w:rsidRPr="00295637">
        <w:rPr>
          <w:rFonts w:ascii="Times New Roman" w:hAnsi="Times New Roman"/>
          <w:lang w:val="sr-Cyrl-BA"/>
        </w:rPr>
        <w:t xml:space="preserve"> </w:t>
      </w:r>
      <w:r>
        <w:rPr>
          <w:rFonts w:ascii="Times New Roman" w:hAnsi="Times New Roman"/>
          <w:lang w:val="sr-Cyrl-BA"/>
        </w:rPr>
        <w:t>излагањем</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округлом</w:t>
      </w:r>
      <w:r w:rsidR="00AA46AB" w:rsidRPr="00295637">
        <w:rPr>
          <w:rFonts w:ascii="Times New Roman" w:hAnsi="Times New Roman"/>
          <w:lang w:val="sr-Cyrl-BA"/>
        </w:rPr>
        <w:t xml:space="preserve"> </w:t>
      </w:r>
      <w:r>
        <w:rPr>
          <w:rFonts w:ascii="Times New Roman" w:hAnsi="Times New Roman"/>
          <w:lang w:val="sr-Cyrl-BA"/>
        </w:rPr>
        <w:t>столу</w:t>
      </w:r>
      <w:r w:rsidR="00AA46AB" w:rsidRPr="00295637">
        <w:rPr>
          <w:rFonts w:ascii="Times New Roman" w:hAnsi="Times New Roman"/>
          <w:lang w:val="sr-Cyrl-BA"/>
        </w:rPr>
        <w:t xml:space="preserve"> </w:t>
      </w:r>
      <w:r>
        <w:rPr>
          <w:rFonts w:ascii="Times New Roman" w:hAnsi="Times New Roman"/>
          <w:lang w:val="sr-Cyrl-BA"/>
        </w:rPr>
        <w:t>о</w:t>
      </w:r>
      <w:r w:rsidR="00AA46AB" w:rsidRPr="00295637">
        <w:rPr>
          <w:rFonts w:ascii="Times New Roman" w:hAnsi="Times New Roman"/>
          <w:lang w:val="sr-Cyrl-BA"/>
        </w:rPr>
        <w:t xml:space="preserve"> </w:t>
      </w:r>
      <w:r>
        <w:rPr>
          <w:rFonts w:ascii="Times New Roman" w:hAnsi="Times New Roman"/>
          <w:lang w:val="sr-Cyrl-BA"/>
        </w:rPr>
        <w:t>насиљу</w:t>
      </w:r>
      <w:r w:rsidR="00AA46AB" w:rsidRPr="00295637">
        <w:rPr>
          <w:rFonts w:ascii="Times New Roman" w:hAnsi="Times New Roman"/>
          <w:lang w:val="sr-Cyrl-BA"/>
        </w:rPr>
        <w:t xml:space="preserve"> </w:t>
      </w:r>
      <w:r>
        <w:rPr>
          <w:rFonts w:ascii="Times New Roman" w:hAnsi="Times New Roman"/>
          <w:lang w:val="sr-Cyrl-BA"/>
        </w:rPr>
        <w:t>над</w:t>
      </w:r>
      <w:r w:rsidR="00AA46AB" w:rsidRPr="00295637">
        <w:rPr>
          <w:rFonts w:ascii="Times New Roman" w:hAnsi="Times New Roman"/>
          <w:lang w:val="sr-Cyrl-BA"/>
        </w:rPr>
        <w:t xml:space="preserve"> </w:t>
      </w:r>
      <w:r>
        <w:rPr>
          <w:rFonts w:ascii="Times New Roman" w:hAnsi="Times New Roman"/>
          <w:lang w:val="sr-Cyrl-BA"/>
        </w:rPr>
        <w:t>женама</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sidR="00FF06BD">
        <w:rPr>
          <w:rFonts w:ascii="Times New Roman" w:hAnsi="Times New Roman"/>
          <w:lang w:val="sr-Cyrl-BA"/>
        </w:rPr>
        <w:t>спровођењем</w:t>
      </w:r>
      <w:r w:rsidR="00AA46AB" w:rsidRPr="00295637">
        <w:rPr>
          <w:rFonts w:ascii="Times New Roman" w:hAnsi="Times New Roman"/>
          <w:lang w:val="sr-Cyrl-BA"/>
        </w:rPr>
        <w:t xml:space="preserve"> </w:t>
      </w:r>
      <w:r>
        <w:rPr>
          <w:rFonts w:ascii="Times New Roman" w:hAnsi="Times New Roman"/>
          <w:lang w:val="sr-Cyrl-BA"/>
        </w:rPr>
        <w:t>ГРЕВИО</w:t>
      </w:r>
      <w:r w:rsidR="00AA46AB" w:rsidRPr="00295637">
        <w:rPr>
          <w:rFonts w:ascii="Times New Roman" w:hAnsi="Times New Roman"/>
          <w:lang w:val="sr-Cyrl-BA"/>
        </w:rPr>
        <w:t xml:space="preserve"> </w:t>
      </w:r>
      <w:r>
        <w:rPr>
          <w:rFonts w:ascii="Times New Roman" w:hAnsi="Times New Roman"/>
          <w:lang w:val="sr-Cyrl-BA"/>
        </w:rPr>
        <w:t>препорука</w:t>
      </w:r>
      <w:r w:rsidR="00AA46AB" w:rsidRPr="00295637">
        <w:rPr>
          <w:rFonts w:ascii="Times New Roman" w:hAnsi="Times New Roman"/>
          <w:lang w:val="sr-Cyrl-BA"/>
        </w:rPr>
        <w:t xml:space="preserve">, </w:t>
      </w: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организацији</w:t>
      </w:r>
      <w:r w:rsidR="00AA46AB" w:rsidRPr="00295637">
        <w:rPr>
          <w:rFonts w:ascii="Times New Roman" w:hAnsi="Times New Roman"/>
          <w:lang w:val="sr-Latn-BA"/>
        </w:rPr>
        <w:t xml:space="preserve"> </w:t>
      </w:r>
      <w:r>
        <w:rPr>
          <w:rFonts w:ascii="Times New Roman" w:hAnsi="Times New Roman"/>
          <w:lang w:val="sr-Cyrl-BA"/>
        </w:rPr>
        <w:t>АР</w:t>
      </w:r>
      <w:r w:rsidR="00FF06BD">
        <w:rPr>
          <w:rFonts w:ascii="Times New Roman" w:hAnsi="Times New Roman"/>
          <w:lang w:val="sr-Cyrl-BA"/>
        </w:rPr>
        <w:t>П</w:t>
      </w:r>
      <w:r w:rsidR="00C85854">
        <w:rPr>
          <w:rFonts w:ascii="Times New Roman" w:hAnsi="Times New Roman"/>
          <w:lang w:val="sr-Cyrl-BA"/>
        </w:rPr>
        <w:t xml:space="preserve"> </w:t>
      </w:r>
      <w:r>
        <w:rPr>
          <w:rFonts w:ascii="Times New Roman" w:hAnsi="Times New Roman"/>
          <w:lang w:val="sr-Cyrl-BA"/>
        </w:rPr>
        <w:t>Б</w:t>
      </w:r>
      <w:r>
        <w:rPr>
          <w:rFonts w:ascii="Times New Roman" w:hAnsi="Times New Roman"/>
          <w:lang w:val="hr-HR"/>
        </w:rPr>
        <w:t>и</w:t>
      </w:r>
      <w:r>
        <w:rPr>
          <w:rFonts w:ascii="Times New Roman" w:hAnsi="Times New Roman"/>
          <w:lang w:val="sr-Cyrl-BA"/>
        </w:rPr>
        <w:t>Х</w:t>
      </w:r>
      <w:r w:rsidR="00C85854">
        <w:rPr>
          <w:rFonts w:ascii="Times New Roman" w:hAnsi="Times New Roman"/>
          <w:lang w:val="sr-Cyrl-BA"/>
        </w:rPr>
        <w:t xml:space="preserve"> </w:t>
      </w:r>
      <w:r>
        <w:rPr>
          <w:rFonts w:ascii="Times New Roman" w:hAnsi="Times New Roman"/>
          <w:lang w:val="sr-Cyrl-BA"/>
        </w:rPr>
        <w:t>МЉПИ</w:t>
      </w:r>
      <w:r w:rsidR="00C85854">
        <w:rPr>
          <w:rFonts w:ascii="Times New Roman" w:hAnsi="Times New Roman"/>
          <w:lang w:val="sr-Cyrl-BA"/>
        </w:rPr>
        <w:t xml:space="preserve"> </w:t>
      </w:r>
      <w:r>
        <w:rPr>
          <w:rFonts w:ascii="Times New Roman" w:hAnsi="Times New Roman"/>
          <w:lang w:val="sr-Cyrl-BA"/>
        </w:rPr>
        <w:t>Б</w:t>
      </w:r>
      <w:r>
        <w:rPr>
          <w:rFonts w:ascii="Times New Roman" w:hAnsi="Times New Roman"/>
          <w:lang w:val="hr-HR"/>
        </w:rPr>
        <w:t>и</w:t>
      </w:r>
      <w:r>
        <w:rPr>
          <w:rFonts w:ascii="Times New Roman" w:hAnsi="Times New Roman"/>
          <w:lang w:val="sr-Cyrl-BA"/>
        </w:rPr>
        <w:t>Х</w:t>
      </w:r>
      <w:r w:rsidR="00AA46AB" w:rsidRPr="00295637">
        <w:rPr>
          <w:rFonts w:ascii="Times New Roman" w:hAnsi="Times New Roman"/>
          <w:lang w:val="sr-Latn-BA"/>
        </w:rPr>
        <w:t>.</w:t>
      </w:r>
    </w:p>
    <w:p w:rsidR="00A92736" w:rsidRPr="00295637" w:rsidRDefault="00A92736" w:rsidP="0086268D">
      <w:pPr>
        <w:rPr>
          <w:szCs w:val="24"/>
          <w:lang w:val="bs-Latn-BA"/>
        </w:rPr>
      </w:pPr>
    </w:p>
    <w:p w:rsidR="00356C2C" w:rsidRPr="00295637" w:rsidRDefault="00FF06BD" w:rsidP="00B4501A">
      <w:pPr>
        <w:pStyle w:val="Heading4"/>
        <w:numPr>
          <w:ilvl w:val="0"/>
          <w:numId w:val="0"/>
        </w:numPr>
        <w:spacing w:after="0" w:line="240" w:lineRule="auto"/>
        <w:ind w:left="567"/>
        <w:rPr>
          <w:rFonts w:ascii="Times New Roman" w:hAnsi="Times New Roman" w:cs="Times New Roman"/>
          <w:b w:val="0"/>
          <w:lang w:val="bs-Latn-BA"/>
        </w:rPr>
      </w:pPr>
      <w:r w:rsidRPr="00FF06BD">
        <w:rPr>
          <w:rFonts w:ascii="Times New Roman" w:hAnsi="Times New Roman" w:cs="Times New Roman"/>
          <w:b w:val="0"/>
          <w:lang w:val="bs-Latn-BA"/>
        </w:rPr>
        <w:t>II</w:t>
      </w:r>
      <w:r w:rsidR="00B4501A">
        <w:rPr>
          <w:rFonts w:ascii="Times New Roman" w:hAnsi="Times New Roman" w:cs="Times New Roman"/>
          <w:b w:val="0"/>
          <w:lang w:val="bs-Latn-BA"/>
        </w:rPr>
        <w:t xml:space="preserve"> 5.4. </w:t>
      </w:r>
      <w:r w:rsidR="00C6214E">
        <w:rPr>
          <w:rFonts w:ascii="Times New Roman" w:hAnsi="Times New Roman" w:cs="Times New Roman"/>
          <w:b w:val="0"/>
          <w:lang w:val="bs-Latn-BA"/>
        </w:rPr>
        <w:t>Додјела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средстава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стручна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подршка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праћење</w:t>
      </w:r>
      <w:r w:rsidR="00356C2C" w:rsidRPr="00295637">
        <w:rPr>
          <w:rFonts w:ascii="Times New Roman" w:hAnsi="Times New Roman" w:cs="Times New Roman"/>
          <w:b w:val="0"/>
          <w:lang w:val="bs-Latn-BA"/>
        </w:rPr>
        <w:t xml:space="preserve"> </w:t>
      </w:r>
      <w:r>
        <w:rPr>
          <w:rFonts w:ascii="Times New Roman" w:hAnsi="Times New Roman" w:cs="Times New Roman"/>
          <w:b w:val="0"/>
          <w:lang w:val="sr-Cyrl-BA"/>
        </w:rPr>
        <w:t>спровођења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пројеката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институционалних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ваниституциналних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партнера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невладиних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других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организација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цивилног</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друштва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свим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нивоима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организације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власти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који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финанисрају</w:t>
      </w:r>
      <w:r w:rsidR="00C85854">
        <w:rPr>
          <w:rFonts w:ascii="Times New Roman" w:hAnsi="Times New Roman" w:cs="Times New Roman"/>
          <w:b w:val="0"/>
          <w:lang w:val="bs-Latn-BA"/>
        </w:rPr>
        <w:t xml:space="preserve"> </w:t>
      </w:r>
      <w:r w:rsidR="00C6214E">
        <w:rPr>
          <w:rFonts w:ascii="Times New Roman" w:hAnsi="Times New Roman" w:cs="Times New Roman"/>
          <w:b w:val="0"/>
          <w:lang w:val="bs-Latn-BA"/>
        </w:rPr>
        <w:t>из</w:t>
      </w:r>
      <w:r w:rsidR="00C85854">
        <w:rPr>
          <w:rFonts w:ascii="Times New Roman" w:hAnsi="Times New Roman" w:cs="Times New Roman"/>
          <w:b w:val="0"/>
          <w:lang w:val="bs-Latn-BA"/>
        </w:rPr>
        <w:t xml:space="preserve"> </w:t>
      </w:r>
      <w:r w:rsidR="00C6214E">
        <w:rPr>
          <w:rFonts w:ascii="Times New Roman" w:hAnsi="Times New Roman" w:cs="Times New Roman"/>
          <w:b w:val="0"/>
          <w:lang w:val="bs-Latn-BA"/>
        </w:rPr>
        <w:t>донаторских</w:t>
      </w:r>
      <w:r w:rsidR="00C85854">
        <w:rPr>
          <w:rFonts w:ascii="Times New Roman" w:hAnsi="Times New Roman" w:cs="Times New Roman"/>
          <w:b w:val="0"/>
          <w:lang w:val="bs-Latn-BA"/>
        </w:rPr>
        <w:t xml:space="preserve"> </w:t>
      </w:r>
      <w:r w:rsidR="00C6214E">
        <w:rPr>
          <w:rFonts w:ascii="Times New Roman" w:hAnsi="Times New Roman" w:cs="Times New Roman"/>
          <w:b w:val="0"/>
          <w:lang w:val="bs-Latn-BA"/>
        </w:rPr>
        <w:t>средстава</w:t>
      </w:r>
      <w:r w:rsidR="00C85854">
        <w:rPr>
          <w:rFonts w:ascii="Times New Roman" w:hAnsi="Times New Roman" w:cs="Times New Roman"/>
          <w:b w:val="0"/>
          <w:lang w:val="bs-Latn-BA"/>
        </w:rPr>
        <w:t xml:space="preserve"> (</w:t>
      </w:r>
      <w:r w:rsidR="00C6214E">
        <w:rPr>
          <w:rFonts w:ascii="Times New Roman" w:hAnsi="Times New Roman" w:cs="Times New Roman"/>
          <w:b w:val="0"/>
          <w:lang w:val="bs-Latn-BA"/>
        </w:rPr>
        <w:t>Финансијски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инструмент</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356C2C" w:rsidRPr="00295637">
        <w:rPr>
          <w:rFonts w:ascii="Times New Roman" w:hAnsi="Times New Roman" w:cs="Times New Roman"/>
          <w:b w:val="0"/>
          <w:lang w:val="bs-Latn-BA"/>
        </w:rPr>
        <w:t xml:space="preserve"> </w:t>
      </w:r>
      <w:r>
        <w:rPr>
          <w:rFonts w:ascii="Times New Roman" w:hAnsi="Times New Roman" w:cs="Times New Roman"/>
          <w:b w:val="0"/>
          <w:lang w:val="sr-Cyrl-BA"/>
        </w:rPr>
        <w:t>спровођење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ГАП</w:t>
      </w:r>
      <w:r w:rsidR="00356C2C" w:rsidRPr="00295637">
        <w:rPr>
          <w:rFonts w:ascii="Times New Roman" w:hAnsi="Times New Roman" w:cs="Times New Roman"/>
          <w:b w:val="0"/>
          <w:lang w:val="bs-Latn-BA"/>
        </w:rPr>
        <w:t>-</w:t>
      </w:r>
      <w:r w:rsidR="00C6214E">
        <w:rPr>
          <w:rFonts w:ascii="Times New Roman" w:hAnsi="Times New Roman" w:cs="Times New Roman"/>
          <w:b w:val="0"/>
          <w:lang w:val="bs-Latn-BA"/>
        </w:rPr>
        <w:t>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остали</w:t>
      </w:r>
      <w:r w:rsidR="00356C2C" w:rsidRPr="00295637">
        <w:rPr>
          <w:rFonts w:ascii="Times New Roman" w:hAnsi="Times New Roman" w:cs="Times New Roman"/>
          <w:b w:val="0"/>
          <w:lang w:val="bs-Latn-BA"/>
        </w:rPr>
        <w:t>).</w:t>
      </w:r>
    </w:p>
    <w:p w:rsidR="00326588" w:rsidRPr="00295637" w:rsidRDefault="00326588" w:rsidP="0086268D">
      <w:pPr>
        <w:rPr>
          <w:rFonts w:ascii="Times New Roman" w:eastAsia="Calibri" w:hAnsi="Times New Roman"/>
          <w:szCs w:val="24"/>
          <w:lang w:val="bs-Latn-BA"/>
        </w:rPr>
      </w:pPr>
    </w:p>
    <w:p w:rsidR="00356C2C" w:rsidRPr="00295637" w:rsidRDefault="00C6214E" w:rsidP="0086268D">
      <w:pPr>
        <w:jc w:val="both"/>
        <w:rPr>
          <w:rFonts w:ascii="Times New Roman" w:eastAsia="Calibri" w:hAnsi="Times New Roman"/>
          <w:szCs w:val="24"/>
          <w:lang w:val="bs-Latn-BA"/>
        </w:rPr>
      </w:pPr>
      <w:r>
        <w:rPr>
          <w:rFonts w:ascii="Times New Roman" w:eastAsia="Calibri" w:hAnsi="Times New Roman"/>
          <w:szCs w:val="24"/>
          <w:lang w:val="bs-Latn-BA"/>
        </w:rPr>
        <w:t>У</w:t>
      </w:r>
      <w:r w:rsidR="00326588" w:rsidRPr="00295637">
        <w:rPr>
          <w:rFonts w:ascii="Times New Roman" w:eastAsia="Calibri" w:hAnsi="Times New Roman"/>
          <w:szCs w:val="24"/>
          <w:lang w:val="bs-Latn-BA"/>
        </w:rPr>
        <w:t xml:space="preserve"> </w:t>
      </w:r>
      <w:r>
        <w:rPr>
          <w:rFonts w:ascii="Times New Roman" w:eastAsia="Calibri" w:hAnsi="Times New Roman"/>
          <w:szCs w:val="24"/>
          <w:lang w:val="bs-Latn-BA"/>
        </w:rPr>
        <w:t>Извјештајном</w:t>
      </w:r>
      <w:r w:rsidR="00326588" w:rsidRPr="00295637">
        <w:rPr>
          <w:rFonts w:ascii="Times New Roman" w:eastAsia="Calibri" w:hAnsi="Times New Roman"/>
          <w:szCs w:val="24"/>
          <w:lang w:val="bs-Latn-BA"/>
        </w:rPr>
        <w:t xml:space="preserve"> </w:t>
      </w:r>
      <w:r>
        <w:rPr>
          <w:rFonts w:ascii="Times New Roman" w:eastAsia="Calibri" w:hAnsi="Times New Roman"/>
          <w:szCs w:val="24"/>
          <w:lang w:val="bs-Latn-BA"/>
        </w:rPr>
        <w:t>периоду</w:t>
      </w:r>
      <w:r w:rsidR="00326588" w:rsidRPr="00295637">
        <w:rPr>
          <w:rFonts w:ascii="Times New Roman" w:eastAsia="Calibri" w:hAnsi="Times New Roman"/>
          <w:szCs w:val="24"/>
          <w:lang w:val="bs-Latn-BA"/>
        </w:rPr>
        <w:t xml:space="preserve"> </w:t>
      </w:r>
      <w:r>
        <w:rPr>
          <w:rFonts w:ascii="Times New Roman" w:eastAsia="Calibri" w:hAnsi="Times New Roman"/>
          <w:szCs w:val="24"/>
          <w:lang w:val="bs-Latn-BA"/>
        </w:rPr>
        <w:t>није</w:t>
      </w:r>
      <w:r w:rsidR="00326588" w:rsidRPr="00295637">
        <w:rPr>
          <w:rFonts w:ascii="Times New Roman" w:eastAsia="Calibri" w:hAnsi="Times New Roman"/>
          <w:szCs w:val="24"/>
          <w:lang w:val="bs-Latn-BA"/>
        </w:rPr>
        <w:t xml:space="preserve"> </w:t>
      </w:r>
      <w:r>
        <w:rPr>
          <w:rFonts w:ascii="Times New Roman" w:eastAsia="Calibri" w:hAnsi="Times New Roman"/>
          <w:szCs w:val="24"/>
          <w:lang w:val="bs-Latn-BA"/>
        </w:rPr>
        <w:t>успостављен</w:t>
      </w:r>
      <w:r w:rsidR="00326588" w:rsidRPr="00295637">
        <w:rPr>
          <w:rFonts w:ascii="Times New Roman" w:eastAsia="Calibri" w:hAnsi="Times New Roman"/>
          <w:szCs w:val="24"/>
          <w:lang w:val="bs-Latn-BA"/>
        </w:rPr>
        <w:t xml:space="preserve"> </w:t>
      </w:r>
      <w:r>
        <w:rPr>
          <w:rFonts w:ascii="Times New Roman" w:eastAsia="Calibri" w:hAnsi="Times New Roman"/>
          <w:szCs w:val="24"/>
          <w:lang w:val="bs-Latn-BA"/>
        </w:rPr>
        <w:t>Финансијски</w:t>
      </w:r>
      <w:r w:rsidR="00326588" w:rsidRPr="00295637">
        <w:rPr>
          <w:rFonts w:ascii="Times New Roman" w:eastAsia="Calibri" w:hAnsi="Times New Roman"/>
          <w:szCs w:val="24"/>
          <w:lang w:val="bs-Latn-BA"/>
        </w:rPr>
        <w:t xml:space="preserve"> </w:t>
      </w:r>
      <w:r>
        <w:rPr>
          <w:rFonts w:ascii="Times New Roman" w:eastAsia="Calibri" w:hAnsi="Times New Roman"/>
          <w:szCs w:val="24"/>
          <w:lang w:val="bs-Latn-BA"/>
        </w:rPr>
        <w:t>инструмент</w:t>
      </w:r>
      <w:r w:rsidR="00326588" w:rsidRPr="00295637">
        <w:rPr>
          <w:rFonts w:ascii="Times New Roman" w:eastAsia="Calibri" w:hAnsi="Times New Roman"/>
          <w:szCs w:val="24"/>
          <w:lang w:val="bs-Latn-BA"/>
        </w:rPr>
        <w:t xml:space="preserve"> </w:t>
      </w:r>
      <w:r>
        <w:rPr>
          <w:rFonts w:ascii="Times New Roman" w:eastAsia="Calibri" w:hAnsi="Times New Roman"/>
          <w:szCs w:val="24"/>
          <w:lang w:val="bs-Latn-BA"/>
        </w:rPr>
        <w:t>за</w:t>
      </w:r>
      <w:r w:rsidR="00326588" w:rsidRPr="00295637">
        <w:rPr>
          <w:rFonts w:ascii="Times New Roman" w:eastAsia="Calibri" w:hAnsi="Times New Roman"/>
          <w:szCs w:val="24"/>
          <w:lang w:val="bs-Latn-BA"/>
        </w:rPr>
        <w:t xml:space="preserve"> </w:t>
      </w:r>
      <w:r w:rsidR="00FF06BD">
        <w:rPr>
          <w:rFonts w:ascii="Times New Roman" w:eastAsia="Calibri" w:hAnsi="Times New Roman"/>
          <w:szCs w:val="24"/>
          <w:lang w:val="sr-Cyrl-BA"/>
        </w:rPr>
        <w:t>спровођење</w:t>
      </w:r>
      <w:r w:rsidR="00326588" w:rsidRPr="00295637">
        <w:rPr>
          <w:rFonts w:ascii="Times New Roman" w:eastAsia="Calibri" w:hAnsi="Times New Roman"/>
          <w:szCs w:val="24"/>
          <w:lang w:val="bs-Latn-BA"/>
        </w:rPr>
        <w:t xml:space="preserve"> </w:t>
      </w:r>
      <w:r>
        <w:rPr>
          <w:rFonts w:ascii="Times New Roman" w:eastAsia="Calibri" w:hAnsi="Times New Roman"/>
          <w:szCs w:val="24"/>
          <w:lang w:val="bs-Latn-BA"/>
        </w:rPr>
        <w:t>ГАП</w:t>
      </w:r>
      <w:r w:rsidR="00326588" w:rsidRPr="00295637">
        <w:rPr>
          <w:rFonts w:ascii="Times New Roman" w:eastAsia="Calibri" w:hAnsi="Times New Roman"/>
          <w:szCs w:val="24"/>
          <w:lang w:val="bs-Latn-BA"/>
        </w:rPr>
        <w:t>-</w:t>
      </w:r>
      <w:r>
        <w:rPr>
          <w:rFonts w:ascii="Times New Roman" w:eastAsia="Calibri" w:hAnsi="Times New Roman"/>
          <w:szCs w:val="24"/>
          <w:lang w:val="bs-Latn-BA"/>
        </w:rPr>
        <w:t>а</w:t>
      </w:r>
      <w:r w:rsidR="00326588" w:rsidRPr="00295637">
        <w:rPr>
          <w:rFonts w:ascii="Times New Roman" w:eastAsia="Calibri" w:hAnsi="Times New Roman"/>
          <w:szCs w:val="24"/>
          <w:lang w:val="bs-Latn-BA"/>
        </w:rPr>
        <w:t xml:space="preserve"> </w:t>
      </w:r>
      <w:r>
        <w:rPr>
          <w:rFonts w:ascii="Times New Roman" w:eastAsia="Calibri" w:hAnsi="Times New Roman"/>
          <w:szCs w:val="24"/>
          <w:lang w:val="bs-Latn-BA"/>
        </w:rPr>
        <w:t>ФИГАП</w:t>
      </w:r>
      <w:r w:rsidR="0017648A">
        <w:rPr>
          <w:rFonts w:ascii="Times New Roman" w:eastAsia="Calibri" w:hAnsi="Times New Roman"/>
          <w:szCs w:val="24"/>
          <w:lang w:val="bs-Latn-BA"/>
        </w:rPr>
        <w:t>.</w:t>
      </w:r>
      <w:r w:rsidR="00B16131">
        <w:rPr>
          <w:rFonts w:ascii="Times New Roman" w:eastAsia="Calibri" w:hAnsi="Times New Roman"/>
          <w:szCs w:val="24"/>
          <w:lang w:val="bs-Latn-BA"/>
        </w:rPr>
        <w:t xml:space="preserve"> </w:t>
      </w:r>
      <w:r>
        <w:rPr>
          <w:rFonts w:ascii="Times New Roman" w:eastAsia="Calibri" w:hAnsi="Times New Roman"/>
          <w:szCs w:val="24"/>
          <w:lang w:val="bs-Latn-BA"/>
        </w:rPr>
        <w:t>Као</w:t>
      </w:r>
      <w:r w:rsidR="00B4501A">
        <w:rPr>
          <w:rFonts w:ascii="Times New Roman" w:eastAsia="Calibri" w:hAnsi="Times New Roman"/>
          <w:szCs w:val="24"/>
          <w:lang w:val="bs-Latn-BA"/>
        </w:rPr>
        <w:t xml:space="preserve"> </w:t>
      </w:r>
      <w:r>
        <w:rPr>
          <w:rFonts w:ascii="Times New Roman" w:eastAsia="Calibri" w:hAnsi="Times New Roman"/>
          <w:szCs w:val="24"/>
          <w:lang w:val="bs-Latn-BA"/>
        </w:rPr>
        <w:t>што</w:t>
      </w:r>
      <w:r w:rsidR="00B4501A">
        <w:rPr>
          <w:rFonts w:ascii="Times New Roman" w:eastAsia="Calibri" w:hAnsi="Times New Roman"/>
          <w:szCs w:val="24"/>
          <w:lang w:val="bs-Latn-BA"/>
        </w:rPr>
        <w:t xml:space="preserve"> </w:t>
      </w:r>
      <w:r>
        <w:rPr>
          <w:rFonts w:ascii="Times New Roman" w:eastAsia="Calibri" w:hAnsi="Times New Roman"/>
          <w:szCs w:val="24"/>
          <w:lang w:val="bs-Latn-BA"/>
        </w:rPr>
        <w:t>је</w:t>
      </w:r>
      <w:r w:rsidR="00B4501A">
        <w:rPr>
          <w:rFonts w:ascii="Times New Roman" w:eastAsia="Calibri" w:hAnsi="Times New Roman"/>
          <w:szCs w:val="24"/>
          <w:lang w:val="bs-Latn-BA"/>
        </w:rPr>
        <w:t xml:space="preserve"> </w:t>
      </w:r>
      <w:r>
        <w:rPr>
          <w:rFonts w:ascii="Times New Roman" w:eastAsia="Calibri" w:hAnsi="Times New Roman"/>
          <w:szCs w:val="24"/>
          <w:lang w:val="bs-Latn-BA"/>
        </w:rPr>
        <w:t>поменуто</w:t>
      </w:r>
      <w:r w:rsidR="00B4501A">
        <w:rPr>
          <w:rFonts w:ascii="Times New Roman" w:eastAsia="Calibri" w:hAnsi="Times New Roman"/>
          <w:szCs w:val="24"/>
          <w:lang w:val="bs-Latn-BA"/>
        </w:rPr>
        <w:t xml:space="preserve"> </w:t>
      </w:r>
      <w:r>
        <w:rPr>
          <w:rFonts w:ascii="Times New Roman" w:eastAsia="Calibri" w:hAnsi="Times New Roman"/>
          <w:szCs w:val="24"/>
          <w:lang w:val="bs-Latn-BA"/>
        </w:rPr>
        <w:t>у</w:t>
      </w:r>
      <w:r w:rsidR="00B4501A">
        <w:rPr>
          <w:rFonts w:ascii="Times New Roman" w:eastAsia="Calibri" w:hAnsi="Times New Roman"/>
          <w:szCs w:val="24"/>
          <w:lang w:val="bs-Latn-BA"/>
        </w:rPr>
        <w:t xml:space="preserve"> </w:t>
      </w:r>
      <w:r>
        <w:rPr>
          <w:rFonts w:ascii="Times New Roman" w:eastAsia="Calibri" w:hAnsi="Times New Roman"/>
          <w:szCs w:val="24"/>
          <w:lang w:val="bs-Latn-BA"/>
        </w:rPr>
        <w:t>секцији</w:t>
      </w:r>
      <w:r w:rsidR="00B4501A">
        <w:rPr>
          <w:rFonts w:ascii="Times New Roman" w:eastAsia="Calibri" w:hAnsi="Times New Roman"/>
          <w:szCs w:val="24"/>
          <w:lang w:val="bs-Latn-BA"/>
        </w:rPr>
        <w:t xml:space="preserve"> </w:t>
      </w:r>
      <w:r w:rsidR="00FF06BD">
        <w:rPr>
          <w:rFonts w:ascii="Times New Roman" w:eastAsia="Calibri" w:hAnsi="Times New Roman"/>
          <w:szCs w:val="24"/>
          <w:lang w:val="bs-Latn-BA"/>
        </w:rPr>
        <w:t>II</w:t>
      </w:r>
      <w:r w:rsidR="00B4501A">
        <w:rPr>
          <w:rFonts w:ascii="Times New Roman" w:eastAsia="Calibri" w:hAnsi="Times New Roman"/>
          <w:szCs w:val="24"/>
          <w:lang w:val="bs-Latn-BA"/>
        </w:rPr>
        <w:t xml:space="preserve"> </w:t>
      </w:r>
      <w:r w:rsidR="00B16131">
        <w:rPr>
          <w:rFonts w:ascii="Times New Roman" w:eastAsia="Calibri" w:hAnsi="Times New Roman"/>
          <w:szCs w:val="24"/>
          <w:lang w:val="bs-Latn-BA"/>
        </w:rPr>
        <w:t xml:space="preserve">3.4, </w:t>
      </w:r>
      <w:r w:rsidRPr="002A29B1">
        <w:rPr>
          <w:rFonts w:ascii="Times New Roman" w:hAnsi="Times New Roman"/>
          <w:szCs w:val="24"/>
          <w:lang w:val="bs-Latn-BA"/>
        </w:rPr>
        <w:t>умјесто</w:t>
      </w:r>
      <w:r w:rsidR="00B16131" w:rsidRPr="002A29B1">
        <w:rPr>
          <w:rFonts w:ascii="Times New Roman" w:hAnsi="Times New Roman"/>
          <w:szCs w:val="24"/>
          <w:lang w:val="bs-Latn-BA"/>
        </w:rPr>
        <w:t xml:space="preserve"> </w:t>
      </w:r>
      <w:r w:rsidRPr="002A29B1">
        <w:rPr>
          <w:rFonts w:ascii="Times New Roman" w:hAnsi="Times New Roman"/>
          <w:szCs w:val="24"/>
          <w:lang w:val="bs-Latn-BA"/>
        </w:rPr>
        <w:t>програма</w:t>
      </w:r>
      <w:r w:rsidR="00B16131" w:rsidRPr="002A29B1">
        <w:rPr>
          <w:rFonts w:ascii="Times New Roman" w:hAnsi="Times New Roman"/>
          <w:szCs w:val="24"/>
          <w:lang w:val="bs-Latn-BA"/>
        </w:rPr>
        <w:t xml:space="preserve"> </w:t>
      </w:r>
      <w:r w:rsidRPr="002A29B1">
        <w:rPr>
          <w:rFonts w:ascii="Times New Roman" w:hAnsi="Times New Roman"/>
          <w:szCs w:val="24"/>
          <w:lang w:val="bs-Latn-BA"/>
        </w:rPr>
        <w:t>ФИГАП</w:t>
      </w:r>
      <w:r w:rsidR="00B16131">
        <w:rPr>
          <w:rFonts w:ascii="Times New Roman" w:hAnsi="Times New Roman"/>
          <w:szCs w:val="24"/>
          <w:lang w:val="bs-Latn-BA"/>
        </w:rPr>
        <w:t xml:space="preserve"> </w:t>
      </w:r>
      <w:r w:rsidR="002A29B1">
        <w:rPr>
          <w:rFonts w:ascii="Times New Roman" w:hAnsi="Times New Roman"/>
          <w:szCs w:val="24"/>
          <w:lang w:val="bs-Latn-BA"/>
        </w:rPr>
        <w:t>III</w:t>
      </w:r>
      <w:r w:rsidR="0017648A">
        <w:rPr>
          <w:rFonts w:ascii="Times New Roman" w:hAnsi="Times New Roman"/>
          <w:szCs w:val="24"/>
          <w:lang w:val="bs-Latn-BA"/>
        </w:rPr>
        <w:t xml:space="preserve"> </w:t>
      </w:r>
      <w:r>
        <w:rPr>
          <w:rFonts w:ascii="Times New Roman" w:hAnsi="Times New Roman"/>
          <w:szCs w:val="24"/>
          <w:lang w:val="bs-Latn-BA"/>
        </w:rPr>
        <w:t>је</w:t>
      </w:r>
      <w:r w:rsidR="0017648A">
        <w:rPr>
          <w:rFonts w:ascii="Times New Roman" w:hAnsi="Times New Roman"/>
          <w:szCs w:val="24"/>
          <w:lang w:val="bs-Latn-BA"/>
        </w:rPr>
        <w:t>,</w:t>
      </w:r>
      <w:r w:rsidR="00B16131">
        <w:rPr>
          <w:rFonts w:ascii="Times New Roman" w:hAnsi="Times New Roman"/>
          <w:szCs w:val="24"/>
          <w:lang w:val="bs-Latn-BA"/>
        </w:rPr>
        <w:t xml:space="preserve"> </w:t>
      </w:r>
      <w:r>
        <w:rPr>
          <w:rFonts w:ascii="Times New Roman" w:hAnsi="Times New Roman"/>
          <w:szCs w:val="24"/>
          <w:lang w:val="bs-Latn-BA"/>
        </w:rPr>
        <w:t>у</w:t>
      </w:r>
      <w:r w:rsidR="00B4501A">
        <w:rPr>
          <w:rFonts w:ascii="Times New Roman" w:hAnsi="Times New Roman"/>
          <w:szCs w:val="24"/>
          <w:lang w:val="bs-Latn-BA"/>
        </w:rPr>
        <w:t xml:space="preserve"> </w:t>
      </w:r>
      <w:r>
        <w:rPr>
          <w:rFonts w:ascii="Times New Roman" w:hAnsi="Times New Roman"/>
          <w:szCs w:val="24"/>
          <w:lang w:val="bs-Latn-BA"/>
        </w:rPr>
        <w:t>складу</w:t>
      </w:r>
      <w:r w:rsidR="00B4501A">
        <w:rPr>
          <w:rFonts w:ascii="Times New Roman" w:hAnsi="Times New Roman"/>
          <w:szCs w:val="24"/>
          <w:lang w:val="bs-Latn-BA"/>
        </w:rPr>
        <w:t xml:space="preserve"> </w:t>
      </w:r>
      <w:r>
        <w:rPr>
          <w:rFonts w:ascii="Times New Roman" w:hAnsi="Times New Roman"/>
          <w:szCs w:val="24"/>
          <w:lang w:val="bs-Latn-BA"/>
        </w:rPr>
        <w:t>са</w:t>
      </w:r>
      <w:r w:rsidR="00B16131">
        <w:rPr>
          <w:rFonts w:ascii="Times New Roman" w:hAnsi="Times New Roman"/>
          <w:szCs w:val="24"/>
          <w:lang w:val="bs-Latn-BA"/>
        </w:rPr>
        <w:t xml:space="preserve"> </w:t>
      </w:r>
      <w:r>
        <w:rPr>
          <w:rFonts w:ascii="Times New Roman" w:hAnsi="Times New Roman"/>
          <w:szCs w:val="24"/>
          <w:lang w:val="bs-Latn-BA"/>
        </w:rPr>
        <w:t>захтјевима</w:t>
      </w:r>
      <w:r w:rsidR="00B16131">
        <w:rPr>
          <w:rFonts w:ascii="Times New Roman" w:hAnsi="Times New Roman"/>
          <w:szCs w:val="24"/>
          <w:lang w:val="bs-Latn-BA"/>
        </w:rPr>
        <w:t xml:space="preserve"> </w:t>
      </w:r>
      <w:r>
        <w:rPr>
          <w:rFonts w:ascii="Times New Roman" w:hAnsi="Times New Roman"/>
          <w:szCs w:val="24"/>
          <w:lang w:val="bs-Latn-BA"/>
        </w:rPr>
        <w:t>шведског</w:t>
      </w:r>
      <w:r w:rsidR="00B16131">
        <w:rPr>
          <w:rFonts w:ascii="Times New Roman" w:hAnsi="Times New Roman"/>
          <w:szCs w:val="24"/>
          <w:lang w:val="bs-Latn-BA"/>
        </w:rPr>
        <w:t xml:space="preserve"> </w:t>
      </w:r>
      <w:r>
        <w:rPr>
          <w:rFonts w:ascii="Times New Roman" w:hAnsi="Times New Roman"/>
          <w:szCs w:val="24"/>
          <w:lang w:val="bs-Latn-BA"/>
        </w:rPr>
        <w:t>донатора</w:t>
      </w:r>
      <w:r w:rsidR="0017648A">
        <w:rPr>
          <w:rFonts w:ascii="Times New Roman" w:hAnsi="Times New Roman"/>
          <w:szCs w:val="24"/>
          <w:lang w:val="bs-Latn-BA"/>
        </w:rPr>
        <w:t>,</w:t>
      </w:r>
      <w:r w:rsidR="00B16131">
        <w:rPr>
          <w:rFonts w:ascii="Times New Roman" w:hAnsi="Times New Roman"/>
          <w:szCs w:val="24"/>
          <w:lang w:val="bs-Latn-BA"/>
        </w:rPr>
        <w:t xml:space="preserve"> </w:t>
      </w:r>
      <w:r>
        <w:rPr>
          <w:rFonts w:ascii="Times New Roman" w:hAnsi="Times New Roman"/>
          <w:szCs w:val="24"/>
          <w:lang w:val="bs-Latn-BA"/>
        </w:rPr>
        <w:t>успостављен</w:t>
      </w:r>
      <w:r w:rsidR="00B16131">
        <w:rPr>
          <w:rFonts w:ascii="Times New Roman" w:hAnsi="Times New Roman"/>
          <w:szCs w:val="24"/>
          <w:lang w:val="bs-Latn-BA"/>
        </w:rPr>
        <w:t xml:space="preserve"> </w:t>
      </w:r>
      <w:r>
        <w:rPr>
          <w:rFonts w:ascii="Times New Roman" w:hAnsi="Times New Roman"/>
          <w:szCs w:val="24"/>
          <w:lang w:val="bs-Latn-BA"/>
        </w:rPr>
        <w:t>програм</w:t>
      </w:r>
      <w:r w:rsidR="00B16131">
        <w:rPr>
          <w:rFonts w:ascii="Times New Roman" w:hAnsi="Times New Roman"/>
          <w:szCs w:val="24"/>
          <w:lang w:val="bs-Latn-BA"/>
        </w:rPr>
        <w:t xml:space="preserve"> „</w:t>
      </w:r>
      <w:r>
        <w:rPr>
          <w:rFonts w:ascii="Times New Roman" w:hAnsi="Times New Roman"/>
          <w:szCs w:val="24"/>
          <w:lang w:val="bs-Latn-BA"/>
        </w:rPr>
        <w:t>Институционално</w:t>
      </w:r>
      <w:r w:rsidR="00B16131">
        <w:rPr>
          <w:rFonts w:ascii="Times New Roman" w:hAnsi="Times New Roman"/>
          <w:szCs w:val="24"/>
          <w:lang w:val="bs-Latn-BA"/>
        </w:rPr>
        <w:t xml:space="preserve"> </w:t>
      </w:r>
      <w:r>
        <w:rPr>
          <w:rFonts w:ascii="Times New Roman" w:hAnsi="Times New Roman"/>
          <w:szCs w:val="24"/>
          <w:lang w:val="bs-Latn-BA"/>
        </w:rPr>
        <w:t>јачање</w:t>
      </w:r>
      <w:r w:rsidR="00B16131">
        <w:rPr>
          <w:rFonts w:ascii="Times New Roman" w:hAnsi="Times New Roman"/>
          <w:szCs w:val="24"/>
          <w:lang w:val="bs-Latn-BA"/>
        </w:rPr>
        <w:t xml:space="preserve"> </w:t>
      </w:r>
      <w:r>
        <w:rPr>
          <w:rFonts w:ascii="Times New Roman" w:hAnsi="Times New Roman"/>
          <w:szCs w:val="24"/>
          <w:lang w:val="bs-Latn-BA"/>
        </w:rPr>
        <w:t>за</w:t>
      </w:r>
      <w:r w:rsidR="00B16131">
        <w:rPr>
          <w:rFonts w:ascii="Times New Roman" w:hAnsi="Times New Roman"/>
          <w:szCs w:val="24"/>
          <w:lang w:val="bs-Latn-BA"/>
        </w:rPr>
        <w:t xml:space="preserve"> </w:t>
      </w:r>
      <w:r>
        <w:rPr>
          <w:rFonts w:ascii="Times New Roman" w:hAnsi="Times New Roman"/>
          <w:szCs w:val="24"/>
          <w:lang w:val="bs-Latn-BA"/>
        </w:rPr>
        <w:t>резултату</w:t>
      </w:r>
      <w:r w:rsidR="00B16131">
        <w:rPr>
          <w:rFonts w:ascii="Times New Roman" w:hAnsi="Times New Roman"/>
          <w:szCs w:val="24"/>
          <w:lang w:val="bs-Latn-BA"/>
        </w:rPr>
        <w:t xml:space="preserve"> </w:t>
      </w:r>
      <w:r>
        <w:rPr>
          <w:rFonts w:ascii="Times New Roman" w:hAnsi="Times New Roman"/>
          <w:szCs w:val="24"/>
          <w:lang w:val="bs-Latn-BA"/>
        </w:rPr>
        <w:t>у</w:t>
      </w:r>
      <w:r w:rsidR="00B16131">
        <w:rPr>
          <w:rFonts w:ascii="Times New Roman" w:hAnsi="Times New Roman"/>
          <w:szCs w:val="24"/>
          <w:lang w:val="bs-Latn-BA"/>
        </w:rPr>
        <w:t xml:space="preserve"> </w:t>
      </w:r>
      <w:r>
        <w:rPr>
          <w:rFonts w:ascii="Times New Roman" w:hAnsi="Times New Roman"/>
          <w:szCs w:val="24"/>
          <w:lang w:val="bs-Latn-BA"/>
        </w:rPr>
        <w:t>родној</w:t>
      </w:r>
      <w:r w:rsidR="00B16131">
        <w:rPr>
          <w:rFonts w:ascii="Times New Roman" w:hAnsi="Times New Roman"/>
          <w:szCs w:val="24"/>
          <w:lang w:val="bs-Latn-BA"/>
        </w:rPr>
        <w:t xml:space="preserve"> </w:t>
      </w:r>
      <w:r>
        <w:rPr>
          <w:rFonts w:ascii="Times New Roman" w:hAnsi="Times New Roman"/>
          <w:szCs w:val="24"/>
          <w:lang w:val="bs-Latn-BA"/>
        </w:rPr>
        <w:t>равноправности</w:t>
      </w:r>
      <w:r w:rsidR="00B16131">
        <w:rPr>
          <w:rFonts w:ascii="Times New Roman" w:hAnsi="Times New Roman"/>
          <w:szCs w:val="24"/>
          <w:lang w:val="bs-Latn-BA"/>
        </w:rPr>
        <w:t xml:space="preserve">“, </w:t>
      </w:r>
      <w:r>
        <w:rPr>
          <w:rFonts w:ascii="Times New Roman" w:hAnsi="Times New Roman"/>
          <w:szCs w:val="24"/>
          <w:lang w:val="bs-Latn-BA"/>
        </w:rPr>
        <w:t>укупног</w:t>
      </w:r>
      <w:r w:rsidR="00B16131" w:rsidRPr="00295637">
        <w:rPr>
          <w:rFonts w:ascii="Times New Roman" w:hAnsi="Times New Roman"/>
          <w:szCs w:val="24"/>
          <w:lang w:val="bs-Latn-BA"/>
        </w:rPr>
        <w:t xml:space="preserve"> </w:t>
      </w:r>
      <w:r>
        <w:rPr>
          <w:rFonts w:ascii="Times New Roman" w:hAnsi="Times New Roman"/>
          <w:szCs w:val="24"/>
          <w:lang w:val="bs-Latn-BA"/>
        </w:rPr>
        <w:t>износа</w:t>
      </w:r>
      <w:r w:rsidR="00B16131" w:rsidRPr="00295637">
        <w:rPr>
          <w:rFonts w:ascii="Times New Roman" w:hAnsi="Times New Roman"/>
          <w:szCs w:val="24"/>
          <w:lang w:val="bs-Latn-BA"/>
        </w:rPr>
        <w:t xml:space="preserve"> </w:t>
      </w:r>
      <w:r w:rsidR="00B16131">
        <w:rPr>
          <w:rFonts w:ascii="Times New Roman" w:hAnsi="Times New Roman"/>
          <w:szCs w:val="24"/>
          <w:lang w:val="bs-Latn-BA"/>
        </w:rPr>
        <w:t xml:space="preserve">12 </w:t>
      </w:r>
      <w:r>
        <w:rPr>
          <w:rFonts w:ascii="Times New Roman" w:hAnsi="Times New Roman"/>
          <w:szCs w:val="24"/>
          <w:lang w:val="bs-Latn-BA"/>
        </w:rPr>
        <w:t>милиона</w:t>
      </w:r>
      <w:r w:rsidR="00B16131">
        <w:rPr>
          <w:rFonts w:ascii="Times New Roman" w:hAnsi="Times New Roman"/>
          <w:szCs w:val="24"/>
          <w:lang w:val="bs-Latn-BA"/>
        </w:rPr>
        <w:t xml:space="preserve"> </w:t>
      </w:r>
      <w:r w:rsidR="002A29B1" w:rsidRPr="002A29B1">
        <w:rPr>
          <w:rFonts w:ascii="Times New Roman" w:hAnsi="Times New Roman"/>
          <w:i/>
          <w:szCs w:val="24"/>
          <w:lang w:val="bs-Latn-BA"/>
        </w:rPr>
        <w:t>SEK</w:t>
      </w:r>
      <w:r w:rsidR="00B16131">
        <w:rPr>
          <w:rFonts w:ascii="Times New Roman" w:hAnsi="Times New Roman"/>
          <w:szCs w:val="24"/>
          <w:lang w:val="bs-Latn-BA"/>
        </w:rPr>
        <w:t>-</w:t>
      </w:r>
      <w:r>
        <w:rPr>
          <w:rFonts w:ascii="Times New Roman" w:hAnsi="Times New Roman"/>
          <w:szCs w:val="24"/>
          <w:lang w:val="bs-Latn-BA"/>
        </w:rPr>
        <w:t>а</w:t>
      </w:r>
      <w:r w:rsidR="00B16131" w:rsidRPr="00295637">
        <w:rPr>
          <w:rFonts w:ascii="Times New Roman" w:hAnsi="Times New Roman"/>
          <w:szCs w:val="24"/>
          <w:lang w:val="bs-Latn-BA"/>
        </w:rPr>
        <w:t xml:space="preserve"> </w:t>
      </w:r>
      <w:r>
        <w:rPr>
          <w:rFonts w:ascii="Times New Roman" w:hAnsi="Times New Roman"/>
          <w:szCs w:val="24"/>
          <w:lang w:val="bs-Latn-BA"/>
        </w:rPr>
        <w:t>за</w:t>
      </w:r>
      <w:r w:rsidR="00B16131" w:rsidRPr="00295637">
        <w:rPr>
          <w:rFonts w:ascii="Times New Roman" w:hAnsi="Times New Roman"/>
          <w:szCs w:val="24"/>
          <w:lang w:val="bs-Latn-BA"/>
        </w:rPr>
        <w:t xml:space="preserve"> </w:t>
      </w:r>
      <w:r>
        <w:rPr>
          <w:rFonts w:ascii="Times New Roman" w:hAnsi="Times New Roman"/>
          <w:szCs w:val="24"/>
          <w:lang w:val="bs-Latn-BA"/>
        </w:rPr>
        <w:t>период</w:t>
      </w:r>
      <w:r w:rsidR="00B16131" w:rsidRPr="00295637">
        <w:rPr>
          <w:rFonts w:ascii="Times New Roman" w:hAnsi="Times New Roman"/>
          <w:szCs w:val="24"/>
          <w:lang w:val="bs-Latn-BA"/>
        </w:rPr>
        <w:t xml:space="preserve"> 2024-2027</w:t>
      </w:r>
      <w:r w:rsidR="00C85854">
        <w:rPr>
          <w:rFonts w:ascii="Times New Roman" w:hAnsi="Times New Roman"/>
          <w:szCs w:val="24"/>
          <w:lang w:val="bs-Latn-BA"/>
        </w:rPr>
        <w:t xml:space="preserve">. </w:t>
      </w:r>
      <w:r>
        <w:rPr>
          <w:rFonts w:ascii="Times New Roman" w:hAnsi="Times New Roman"/>
          <w:szCs w:val="24"/>
          <w:lang w:val="bs-Latn-BA"/>
        </w:rPr>
        <w:t>година</w:t>
      </w:r>
      <w:r w:rsidR="00B16131">
        <w:rPr>
          <w:rFonts w:ascii="Times New Roman" w:hAnsi="Times New Roman"/>
          <w:szCs w:val="24"/>
          <w:lang w:val="bs-Latn-BA"/>
        </w:rPr>
        <w:t xml:space="preserve"> </w:t>
      </w:r>
      <w:r>
        <w:rPr>
          <w:rFonts w:ascii="Times New Roman" w:hAnsi="Times New Roman"/>
          <w:szCs w:val="24"/>
          <w:lang w:val="bs-Latn-BA"/>
        </w:rPr>
        <w:t>који</w:t>
      </w:r>
      <w:r w:rsidR="00B16131">
        <w:rPr>
          <w:rFonts w:ascii="Times New Roman" w:hAnsi="Times New Roman"/>
          <w:szCs w:val="24"/>
          <w:lang w:val="bs-Latn-BA"/>
        </w:rPr>
        <w:t xml:space="preserve"> </w:t>
      </w:r>
      <w:r>
        <w:rPr>
          <w:rFonts w:ascii="Times New Roman" w:hAnsi="Times New Roman"/>
          <w:szCs w:val="24"/>
          <w:lang w:val="bs-Latn-BA"/>
        </w:rPr>
        <w:t>се</w:t>
      </w:r>
      <w:r w:rsidR="00B16131">
        <w:rPr>
          <w:rFonts w:ascii="Times New Roman" w:hAnsi="Times New Roman"/>
          <w:szCs w:val="24"/>
          <w:lang w:val="bs-Latn-BA"/>
        </w:rPr>
        <w:t xml:space="preserve"> </w:t>
      </w:r>
      <w:r>
        <w:rPr>
          <w:rFonts w:ascii="Times New Roman" w:hAnsi="Times New Roman"/>
          <w:szCs w:val="24"/>
          <w:lang w:val="bs-Latn-BA"/>
        </w:rPr>
        <w:t>од</w:t>
      </w:r>
      <w:r w:rsidR="00B16131">
        <w:rPr>
          <w:rFonts w:ascii="Times New Roman" w:hAnsi="Times New Roman"/>
          <w:szCs w:val="24"/>
          <w:lang w:val="bs-Latn-BA"/>
        </w:rPr>
        <w:t xml:space="preserve"> </w:t>
      </w:r>
      <w:r>
        <w:rPr>
          <w:rFonts w:ascii="Times New Roman" w:hAnsi="Times New Roman"/>
          <w:szCs w:val="24"/>
          <w:lang w:val="bs-Latn-BA"/>
        </w:rPr>
        <w:t>претходног</w:t>
      </w:r>
      <w:r w:rsidR="00B16131">
        <w:rPr>
          <w:rFonts w:ascii="Times New Roman" w:hAnsi="Times New Roman"/>
          <w:szCs w:val="24"/>
          <w:lang w:val="bs-Latn-BA"/>
        </w:rPr>
        <w:t xml:space="preserve"> </w:t>
      </w:r>
      <w:r>
        <w:rPr>
          <w:rFonts w:ascii="Times New Roman" w:hAnsi="Times New Roman"/>
          <w:szCs w:val="24"/>
          <w:lang w:val="bs-Latn-BA"/>
        </w:rPr>
        <w:t>ФИГАП</w:t>
      </w:r>
      <w:r w:rsidR="00B16131">
        <w:rPr>
          <w:rFonts w:ascii="Times New Roman" w:hAnsi="Times New Roman"/>
          <w:szCs w:val="24"/>
          <w:lang w:val="bs-Latn-BA"/>
        </w:rPr>
        <w:t xml:space="preserve"> </w:t>
      </w:r>
      <w:r>
        <w:rPr>
          <w:rFonts w:ascii="Times New Roman" w:hAnsi="Times New Roman"/>
          <w:szCs w:val="24"/>
          <w:lang w:val="bs-Latn-BA"/>
        </w:rPr>
        <w:t>програма</w:t>
      </w:r>
      <w:r w:rsidR="00B16131">
        <w:rPr>
          <w:rFonts w:ascii="Times New Roman" w:hAnsi="Times New Roman"/>
          <w:szCs w:val="24"/>
          <w:lang w:val="bs-Latn-BA"/>
        </w:rPr>
        <w:t xml:space="preserve"> </w:t>
      </w:r>
      <w:r>
        <w:rPr>
          <w:rFonts w:ascii="Times New Roman" w:hAnsi="Times New Roman"/>
          <w:szCs w:val="24"/>
          <w:lang w:val="bs-Latn-BA"/>
        </w:rPr>
        <w:t>разликује</w:t>
      </w:r>
      <w:r w:rsidR="00B16131">
        <w:rPr>
          <w:rFonts w:ascii="Times New Roman" w:hAnsi="Times New Roman"/>
          <w:szCs w:val="24"/>
          <w:lang w:val="bs-Latn-BA"/>
        </w:rPr>
        <w:t xml:space="preserve"> </w:t>
      </w:r>
      <w:r>
        <w:rPr>
          <w:rFonts w:ascii="Times New Roman" w:hAnsi="Times New Roman"/>
          <w:szCs w:val="24"/>
          <w:lang w:val="bs-Latn-BA"/>
        </w:rPr>
        <w:t>на</w:t>
      </w:r>
      <w:r w:rsidR="00B16131">
        <w:rPr>
          <w:rFonts w:ascii="Times New Roman" w:hAnsi="Times New Roman"/>
          <w:szCs w:val="24"/>
          <w:lang w:val="bs-Latn-BA"/>
        </w:rPr>
        <w:t xml:space="preserve"> </w:t>
      </w:r>
      <w:r>
        <w:rPr>
          <w:rFonts w:ascii="Times New Roman" w:hAnsi="Times New Roman"/>
          <w:szCs w:val="24"/>
          <w:lang w:val="bs-Latn-BA"/>
        </w:rPr>
        <w:t>начин</w:t>
      </w:r>
      <w:r w:rsidR="00B16131">
        <w:rPr>
          <w:rFonts w:ascii="Times New Roman" w:hAnsi="Times New Roman"/>
          <w:szCs w:val="24"/>
          <w:lang w:val="bs-Latn-BA"/>
        </w:rPr>
        <w:t xml:space="preserve"> </w:t>
      </w:r>
      <w:r>
        <w:rPr>
          <w:rFonts w:ascii="Times New Roman" w:hAnsi="Times New Roman"/>
          <w:szCs w:val="24"/>
          <w:lang w:val="bs-Latn-BA"/>
        </w:rPr>
        <w:t>да</w:t>
      </w:r>
      <w:r w:rsidR="00B16131">
        <w:rPr>
          <w:rFonts w:ascii="Times New Roman" w:hAnsi="Times New Roman"/>
          <w:szCs w:val="24"/>
          <w:lang w:val="bs-Latn-BA"/>
        </w:rPr>
        <w:t xml:space="preserve"> </w:t>
      </w:r>
      <w:r>
        <w:rPr>
          <w:rFonts w:ascii="Times New Roman" w:hAnsi="Times New Roman"/>
          <w:szCs w:val="24"/>
          <w:lang w:val="bs-Latn-BA"/>
        </w:rPr>
        <w:t>се</w:t>
      </w:r>
      <w:r w:rsidR="00B16131">
        <w:rPr>
          <w:rFonts w:ascii="Times New Roman" w:hAnsi="Times New Roman"/>
          <w:szCs w:val="24"/>
          <w:lang w:val="bs-Latn-BA"/>
        </w:rPr>
        <w:t xml:space="preserve"> </w:t>
      </w:r>
      <w:r>
        <w:rPr>
          <w:rFonts w:ascii="Times New Roman" w:hAnsi="Times New Roman"/>
          <w:szCs w:val="24"/>
          <w:lang w:val="bs-Latn-BA"/>
        </w:rPr>
        <w:t>ради</w:t>
      </w:r>
      <w:r w:rsidR="00B16131">
        <w:rPr>
          <w:rFonts w:ascii="Times New Roman" w:hAnsi="Times New Roman"/>
          <w:szCs w:val="24"/>
          <w:lang w:val="bs-Latn-BA"/>
        </w:rPr>
        <w:t xml:space="preserve"> </w:t>
      </w:r>
      <w:r>
        <w:rPr>
          <w:rFonts w:ascii="Times New Roman" w:hAnsi="Times New Roman"/>
          <w:szCs w:val="24"/>
          <w:lang w:val="bs-Latn-BA"/>
        </w:rPr>
        <w:t>о</w:t>
      </w:r>
      <w:r w:rsidR="00B16131">
        <w:rPr>
          <w:rFonts w:ascii="Times New Roman" w:hAnsi="Times New Roman"/>
          <w:szCs w:val="24"/>
          <w:lang w:val="bs-Latn-BA"/>
        </w:rPr>
        <w:t xml:space="preserve"> „</w:t>
      </w:r>
      <w:r w:rsidR="002A29B1">
        <w:rPr>
          <w:rFonts w:ascii="Times New Roman" w:hAnsi="Times New Roman"/>
          <w:i/>
          <w:szCs w:val="24"/>
          <w:lang w:val="bs-Latn-BA"/>
        </w:rPr>
        <w:t>G</w:t>
      </w:r>
      <w:r w:rsidR="00C85854">
        <w:rPr>
          <w:rFonts w:ascii="Times New Roman" w:hAnsi="Times New Roman"/>
          <w:i/>
          <w:szCs w:val="24"/>
          <w:lang w:val="bs-Latn-BA"/>
        </w:rPr>
        <w:t xml:space="preserve"> </w:t>
      </w:r>
      <w:r w:rsidR="002A29B1">
        <w:rPr>
          <w:rFonts w:ascii="Times New Roman" w:hAnsi="Times New Roman"/>
          <w:i/>
          <w:szCs w:val="24"/>
          <w:lang w:val="bs-Latn-BA"/>
        </w:rPr>
        <w:t>to</w:t>
      </w:r>
      <w:r w:rsidR="00C85854">
        <w:rPr>
          <w:rFonts w:ascii="Times New Roman" w:hAnsi="Times New Roman"/>
          <w:i/>
          <w:szCs w:val="24"/>
          <w:lang w:val="bs-Latn-BA"/>
        </w:rPr>
        <w:t xml:space="preserve"> </w:t>
      </w:r>
      <w:r w:rsidR="002A29B1">
        <w:rPr>
          <w:rFonts w:ascii="Times New Roman" w:hAnsi="Times New Roman"/>
          <w:i/>
          <w:szCs w:val="24"/>
          <w:lang w:val="bs-Latn-BA"/>
        </w:rPr>
        <w:t>G</w:t>
      </w:r>
      <w:r w:rsidR="00C85854">
        <w:rPr>
          <w:rFonts w:ascii="Times New Roman" w:hAnsi="Times New Roman"/>
          <w:i/>
          <w:szCs w:val="24"/>
          <w:lang w:val="bs-Latn-BA"/>
        </w:rPr>
        <w:t xml:space="preserve"> (</w:t>
      </w:r>
      <w:r w:rsidR="002A29B1" w:rsidRPr="002A29B1">
        <w:rPr>
          <w:rFonts w:ascii="Times New Roman" w:hAnsi="Times New Roman"/>
          <w:i/>
          <w:szCs w:val="24"/>
          <w:lang w:val="bs-Latn-BA"/>
        </w:rPr>
        <w:t>government to government</w:t>
      </w:r>
      <w:r w:rsidR="00B16131" w:rsidRPr="00C85854">
        <w:rPr>
          <w:rFonts w:ascii="Times New Roman" w:hAnsi="Times New Roman"/>
          <w:i/>
          <w:szCs w:val="24"/>
          <w:lang w:val="bs-Latn-BA"/>
        </w:rPr>
        <w:t>)</w:t>
      </w:r>
      <w:r w:rsidR="00C85854">
        <w:rPr>
          <w:rFonts w:ascii="Times New Roman" w:hAnsi="Times New Roman"/>
          <w:i/>
          <w:szCs w:val="24"/>
          <w:lang w:val="bs-Latn-BA"/>
        </w:rPr>
        <w:t>“</w:t>
      </w:r>
      <w:r w:rsidR="00B16131">
        <w:rPr>
          <w:rFonts w:ascii="Times New Roman" w:hAnsi="Times New Roman"/>
          <w:szCs w:val="24"/>
          <w:lang w:val="bs-Latn-BA"/>
        </w:rPr>
        <w:t xml:space="preserve">, </w:t>
      </w:r>
      <w:r>
        <w:rPr>
          <w:rFonts w:ascii="Times New Roman" w:hAnsi="Times New Roman"/>
          <w:szCs w:val="24"/>
          <w:lang w:val="bs-Latn-BA"/>
        </w:rPr>
        <w:t>партнерском</w:t>
      </w:r>
      <w:r w:rsidR="00B16131">
        <w:rPr>
          <w:rFonts w:ascii="Times New Roman" w:hAnsi="Times New Roman"/>
          <w:szCs w:val="24"/>
          <w:lang w:val="bs-Latn-BA"/>
        </w:rPr>
        <w:t xml:space="preserve"> </w:t>
      </w:r>
      <w:r>
        <w:rPr>
          <w:rFonts w:ascii="Times New Roman" w:hAnsi="Times New Roman"/>
          <w:szCs w:val="24"/>
          <w:lang w:val="bs-Latn-BA"/>
        </w:rPr>
        <w:t>споразуму</w:t>
      </w:r>
      <w:r w:rsidR="00B16131">
        <w:rPr>
          <w:rFonts w:ascii="Times New Roman" w:hAnsi="Times New Roman"/>
          <w:szCs w:val="24"/>
          <w:lang w:val="bs-Latn-BA"/>
        </w:rPr>
        <w:t xml:space="preserve"> </w:t>
      </w:r>
      <w:r>
        <w:rPr>
          <w:rFonts w:ascii="Times New Roman" w:hAnsi="Times New Roman"/>
          <w:szCs w:val="24"/>
          <w:lang w:val="bs-Latn-BA"/>
        </w:rPr>
        <w:t>између</w:t>
      </w:r>
      <w:r w:rsidR="00B16131">
        <w:rPr>
          <w:rFonts w:ascii="Times New Roman" w:hAnsi="Times New Roman"/>
          <w:szCs w:val="24"/>
          <w:lang w:val="bs-Latn-BA"/>
        </w:rPr>
        <w:t xml:space="preserve"> </w:t>
      </w:r>
      <w:r>
        <w:rPr>
          <w:rFonts w:ascii="Times New Roman" w:hAnsi="Times New Roman"/>
          <w:szCs w:val="24"/>
          <w:lang w:val="bs-Latn-BA"/>
        </w:rPr>
        <w:t>АР</w:t>
      </w:r>
      <w:r w:rsidR="002A29B1">
        <w:rPr>
          <w:rFonts w:ascii="Times New Roman" w:hAnsi="Times New Roman"/>
          <w:szCs w:val="24"/>
          <w:lang w:val="sr-Cyrl-BA"/>
        </w:rPr>
        <w:t>П</w:t>
      </w:r>
      <w:r w:rsidR="00C85854">
        <w:rPr>
          <w:rFonts w:ascii="Times New Roman" w:hAnsi="Times New Roman"/>
          <w:szCs w:val="24"/>
          <w:lang w:val="bs-Latn-BA"/>
        </w:rPr>
        <w:t xml:space="preserve"> </w:t>
      </w:r>
      <w:r>
        <w:rPr>
          <w:rFonts w:ascii="Times New Roman" w:hAnsi="Times New Roman"/>
          <w:szCs w:val="24"/>
          <w:lang w:val="bs-Latn-BA"/>
        </w:rPr>
        <w:t>БиХ</w:t>
      </w:r>
      <w:r w:rsidR="00C85854">
        <w:rPr>
          <w:rFonts w:ascii="Times New Roman" w:hAnsi="Times New Roman"/>
          <w:szCs w:val="24"/>
          <w:lang w:val="bs-Latn-BA"/>
        </w:rPr>
        <w:t xml:space="preserve"> </w:t>
      </w:r>
      <w:r>
        <w:rPr>
          <w:rFonts w:ascii="Times New Roman" w:hAnsi="Times New Roman"/>
          <w:szCs w:val="24"/>
          <w:lang w:val="bs-Latn-BA"/>
        </w:rPr>
        <w:t>МЉПИ</w:t>
      </w:r>
      <w:r w:rsidR="00C85854">
        <w:rPr>
          <w:rFonts w:ascii="Times New Roman" w:hAnsi="Times New Roman"/>
          <w:szCs w:val="24"/>
          <w:lang w:val="bs-Latn-BA"/>
        </w:rPr>
        <w:t xml:space="preserve"> </w:t>
      </w:r>
      <w:r>
        <w:rPr>
          <w:rFonts w:ascii="Times New Roman" w:hAnsi="Times New Roman"/>
          <w:szCs w:val="24"/>
          <w:lang w:val="bs-Latn-BA"/>
        </w:rPr>
        <w:t>БиХ</w:t>
      </w:r>
      <w:r w:rsidR="00B16131">
        <w:rPr>
          <w:rFonts w:ascii="Times New Roman" w:hAnsi="Times New Roman"/>
          <w:szCs w:val="24"/>
          <w:lang w:val="bs-Latn-BA"/>
        </w:rPr>
        <w:t xml:space="preserve"> </w:t>
      </w:r>
      <w:r>
        <w:rPr>
          <w:rFonts w:ascii="Times New Roman" w:hAnsi="Times New Roman"/>
          <w:szCs w:val="24"/>
          <w:lang w:val="bs-Latn-BA"/>
        </w:rPr>
        <w:t>и</w:t>
      </w:r>
      <w:r w:rsidR="00B16131">
        <w:rPr>
          <w:rFonts w:ascii="Times New Roman" w:hAnsi="Times New Roman"/>
          <w:szCs w:val="24"/>
          <w:lang w:val="bs-Latn-BA"/>
        </w:rPr>
        <w:t xml:space="preserve"> </w:t>
      </w:r>
      <w:r>
        <w:rPr>
          <w:rFonts w:ascii="Times New Roman" w:hAnsi="Times New Roman"/>
          <w:szCs w:val="24"/>
          <w:lang w:val="bs-Latn-BA"/>
        </w:rPr>
        <w:t>Шведске</w:t>
      </w:r>
      <w:r w:rsidR="00B16131">
        <w:rPr>
          <w:rFonts w:ascii="Times New Roman" w:hAnsi="Times New Roman"/>
          <w:szCs w:val="24"/>
          <w:lang w:val="bs-Latn-BA"/>
        </w:rPr>
        <w:t xml:space="preserve"> </w:t>
      </w:r>
      <w:r>
        <w:rPr>
          <w:rFonts w:ascii="Times New Roman" w:hAnsi="Times New Roman"/>
          <w:szCs w:val="24"/>
          <w:lang w:val="bs-Latn-BA"/>
        </w:rPr>
        <w:t>агенције</w:t>
      </w:r>
      <w:r w:rsidR="00B16131">
        <w:rPr>
          <w:rFonts w:ascii="Times New Roman" w:hAnsi="Times New Roman"/>
          <w:szCs w:val="24"/>
          <w:lang w:val="bs-Latn-BA"/>
        </w:rPr>
        <w:t xml:space="preserve"> </w:t>
      </w:r>
      <w:r>
        <w:rPr>
          <w:rFonts w:ascii="Times New Roman" w:hAnsi="Times New Roman"/>
          <w:szCs w:val="24"/>
          <w:lang w:val="bs-Latn-BA"/>
        </w:rPr>
        <w:t>за</w:t>
      </w:r>
      <w:r w:rsidR="00B16131">
        <w:rPr>
          <w:rFonts w:ascii="Times New Roman" w:hAnsi="Times New Roman"/>
          <w:szCs w:val="24"/>
          <w:lang w:val="bs-Latn-BA"/>
        </w:rPr>
        <w:t xml:space="preserve"> </w:t>
      </w:r>
      <w:r>
        <w:rPr>
          <w:rFonts w:ascii="Times New Roman" w:hAnsi="Times New Roman"/>
          <w:szCs w:val="24"/>
          <w:lang w:val="bs-Latn-BA"/>
        </w:rPr>
        <w:t>равноправност</w:t>
      </w:r>
      <w:r w:rsidR="00B16131">
        <w:rPr>
          <w:rFonts w:ascii="Times New Roman" w:hAnsi="Times New Roman"/>
          <w:szCs w:val="24"/>
          <w:lang w:val="bs-Latn-BA"/>
        </w:rPr>
        <w:t xml:space="preserve"> </w:t>
      </w:r>
      <w:r>
        <w:rPr>
          <w:rFonts w:ascii="Times New Roman" w:hAnsi="Times New Roman"/>
          <w:szCs w:val="24"/>
          <w:lang w:val="bs-Latn-BA"/>
        </w:rPr>
        <w:t>полова</w:t>
      </w:r>
      <w:r w:rsidR="00B16131">
        <w:rPr>
          <w:rFonts w:ascii="Times New Roman" w:hAnsi="Times New Roman"/>
          <w:szCs w:val="24"/>
          <w:lang w:val="bs-Latn-BA"/>
        </w:rPr>
        <w:t>.</w:t>
      </w:r>
    </w:p>
    <w:p w:rsidR="00356C2C" w:rsidRPr="007170F9" w:rsidRDefault="006247BB" w:rsidP="0086268D">
      <w:pPr>
        <w:rPr>
          <w:rFonts w:ascii="Times New Roman" w:eastAsia="Calibri" w:hAnsi="Times New Roman"/>
          <w:szCs w:val="24"/>
          <w:lang w:val="bs-Latn-BA"/>
        </w:rPr>
      </w:pPr>
      <w:r>
        <w:rPr>
          <w:rFonts w:ascii="Times New Roman" w:eastAsia="Calibri" w:hAnsi="Times New Roman"/>
          <w:szCs w:val="24"/>
          <w:lang w:val="bs-Latn-BA"/>
        </w:rPr>
        <w:br w:type="page"/>
      </w:r>
    </w:p>
    <w:p w:rsidR="00356C2C" w:rsidRPr="00295637" w:rsidRDefault="002A29B1" w:rsidP="00B4501A">
      <w:pPr>
        <w:pStyle w:val="Heading2"/>
        <w:numPr>
          <w:ilvl w:val="0"/>
          <w:numId w:val="0"/>
        </w:numPr>
        <w:spacing w:after="0" w:line="240" w:lineRule="auto"/>
        <w:rPr>
          <w:rFonts w:ascii="Times New Roman" w:hAnsi="Times New Roman" w:cs="Times New Roman"/>
          <w:lang w:val="bs-Latn-BA"/>
        </w:rPr>
      </w:pPr>
      <w:bookmarkStart w:id="69" w:name="_Toc195016605"/>
      <w:r>
        <w:rPr>
          <w:rFonts w:ascii="Times New Roman" w:hAnsi="Times New Roman" w:cs="Times New Roman"/>
          <w:lang w:val="bs-Latn-BA"/>
        </w:rPr>
        <w:t>III</w:t>
      </w:r>
      <w:r w:rsidR="00B4501A">
        <w:rPr>
          <w:rFonts w:ascii="Times New Roman" w:hAnsi="Times New Roman" w:cs="Times New Roman"/>
          <w:lang w:val="bs-Latn-BA"/>
        </w:rPr>
        <w:t xml:space="preserve"> </w:t>
      </w:r>
      <w:r w:rsidR="00C6214E">
        <w:rPr>
          <w:rFonts w:ascii="Times New Roman" w:hAnsi="Times New Roman" w:cs="Times New Roman"/>
          <w:lang w:val="bs-Latn-BA"/>
        </w:rPr>
        <w:t>СТРАТЕШКИ</w:t>
      </w:r>
      <w:r w:rsidR="00DC4A18">
        <w:rPr>
          <w:rFonts w:ascii="Times New Roman" w:hAnsi="Times New Roman" w:cs="Times New Roman"/>
          <w:lang w:val="bs-Latn-BA"/>
        </w:rPr>
        <w:t xml:space="preserve"> </w:t>
      </w:r>
      <w:r w:rsidR="00C6214E">
        <w:rPr>
          <w:rFonts w:ascii="Times New Roman" w:hAnsi="Times New Roman" w:cs="Times New Roman"/>
          <w:lang w:val="bs-Latn-BA"/>
        </w:rPr>
        <w:t>ЦИЉ</w:t>
      </w:r>
      <w:r w:rsidR="00DC4A18">
        <w:rPr>
          <w:rFonts w:ascii="Times New Roman" w:hAnsi="Times New Roman" w:cs="Times New Roman"/>
          <w:lang w:val="bs-Latn-BA"/>
        </w:rPr>
        <w:t xml:space="preserve"> 3:</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Успостављање</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и</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јачање</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сарадње</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и</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партнерства</w:t>
      </w:r>
      <w:bookmarkEnd w:id="46"/>
      <w:bookmarkEnd w:id="47"/>
      <w:bookmarkEnd w:id="69"/>
    </w:p>
    <w:p w:rsidR="00356C2C" w:rsidRPr="00295637" w:rsidRDefault="00356C2C" w:rsidP="0086268D">
      <w:pPr>
        <w:tabs>
          <w:tab w:val="left" w:pos="284"/>
          <w:tab w:val="left" w:pos="567"/>
          <w:tab w:val="left" w:pos="709"/>
        </w:tabs>
        <w:jc w:val="both"/>
        <w:rPr>
          <w:rFonts w:ascii="Times New Roman" w:hAnsi="Times New Roman"/>
          <w:szCs w:val="24"/>
          <w:lang w:val="bs-Latn-BA"/>
        </w:rPr>
      </w:pPr>
    </w:p>
    <w:p w:rsidR="00356C2C" w:rsidRPr="00295637" w:rsidRDefault="002A29B1" w:rsidP="00B4501A">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rPr>
      </w:pPr>
      <w:bookmarkStart w:id="70" w:name="_Toc332005670"/>
      <w:bookmarkStart w:id="71" w:name="_Toc332010901"/>
      <w:bookmarkStart w:id="72" w:name="_Toc195016606"/>
      <w:r>
        <w:rPr>
          <w:rFonts w:ascii="Times New Roman" w:hAnsi="Times New Roman" w:cs="Times New Roman"/>
          <w:color w:val="548DD4" w:themeColor="text2" w:themeTint="99"/>
          <w:lang w:val="bs-Latn-BA"/>
        </w:rPr>
        <w:t>III</w:t>
      </w:r>
      <w:r w:rsidR="00B4501A" w:rsidRPr="00B4501A">
        <w:rPr>
          <w:rFonts w:ascii="Times New Roman" w:hAnsi="Times New Roman" w:cs="Times New Roman"/>
          <w:color w:val="548DD4" w:themeColor="text2" w:themeTint="99"/>
          <w:lang w:val="bs-Latn-BA"/>
        </w:rPr>
        <w:t xml:space="preserve"> 1. </w:t>
      </w:r>
      <w:r w:rsidR="00C6214E">
        <w:rPr>
          <w:rFonts w:ascii="Times New Roman" w:hAnsi="Times New Roman" w:cs="Times New Roman"/>
          <w:lang w:val="bs-Latn-BA"/>
        </w:rPr>
        <w:t>Сарадња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на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регионалном</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и</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међународном</w:t>
      </w:r>
      <w:r w:rsidR="00356C2C" w:rsidRPr="00295637">
        <w:rPr>
          <w:rFonts w:ascii="Times New Roman" w:hAnsi="Times New Roman" w:cs="Times New Roman"/>
          <w:lang w:val="bs-Latn-BA"/>
        </w:rPr>
        <w:t xml:space="preserve"> </w:t>
      </w:r>
      <w:bookmarkEnd w:id="70"/>
      <w:bookmarkEnd w:id="71"/>
      <w:bookmarkEnd w:id="72"/>
      <w:r w:rsidR="00C6214E">
        <w:rPr>
          <w:rFonts w:ascii="Times New Roman" w:hAnsi="Times New Roman" w:cs="Times New Roman"/>
          <w:lang w:val="bs-Latn-BA"/>
        </w:rPr>
        <w:t>нивоу</w:t>
      </w:r>
    </w:p>
    <w:p w:rsidR="00356C2C" w:rsidRPr="00295637" w:rsidRDefault="00356C2C" w:rsidP="0086268D">
      <w:pPr>
        <w:tabs>
          <w:tab w:val="left" w:pos="284"/>
          <w:tab w:val="left" w:pos="630"/>
          <w:tab w:val="left" w:pos="1080"/>
        </w:tabs>
        <w:jc w:val="both"/>
        <w:rPr>
          <w:rFonts w:ascii="Times New Roman" w:hAnsi="Times New Roman"/>
          <w:b/>
          <w:szCs w:val="24"/>
          <w:lang w:val="bs-Latn-BA"/>
        </w:rPr>
      </w:pPr>
    </w:p>
    <w:p w:rsidR="00356C2C" w:rsidRPr="00295637" w:rsidRDefault="002A29B1" w:rsidP="00B4501A">
      <w:pPr>
        <w:pStyle w:val="Heading4"/>
        <w:numPr>
          <w:ilvl w:val="0"/>
          <w:numId w:val="0"/>
        </w:numPr>
        <w:spacing w:after="0" w:line="240" w:lineRule="auto"/>
        <w:ind w:left="567"/>
        <w:rPr>
          <w:rFonts w:ascii="Times New Roman" w:hAnsi="Times New Roman" w:cs="Times New Roman"/>
          <w:b w:val="0"/>
          <w:lang w:val="bs-Latn-BA"/>
        </w:rPr>
      </w:pPr>
      <w:r w:rsidRPr="002A29B1">
        <w:rPr>
          <w:rFonts w:ascii="Times New Roman" w:hAnsi="Times New Roman" w:cs="Times New Roman"/>
          <w:b w:val="0"/>
          <w:lang w:val="bs-Latn-BA"/>
        </w:rPr>
        <w:t>III</w:t>
      </w:r>
      <w:r w:rsidR="00B4501A">
        <w:rPr>
          <w:rFonts w:ascii="Times New Roman" w:hAnsi="Times New Roman" w:cs="Times New Roman"/>
          <w:b w:val="0"/>
          <w:lang w:val="bs-Latn-BA"/>
        </w:rPr>
        <w:t xml:space="preserve"> 1.1. </w:t>
      </w:r>
      <w:r w:rsidR="00C6214E">
        <w:rPr>
          <w:rFonts w:ascii="Times New Roman" w:hAnsi="Times New Roman" w:cs="Times New Roman"/>
          <w:b w:val="0"/>
          <w:lang w:val="bs-Latn-BA"/>
        </w:rPr>
        <w:t>Јачање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сарадње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институционалних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механизама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регионалном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нивоу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укључујући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развијање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регионалних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политика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програма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унапређење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као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међусобну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размјену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искустава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најбољих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пракси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кроз</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организ</w:t>
      </w:r>
      <w:r>
        <w:rPr>
          <w:rFonts w:ascii="Times New Roman" w:hAnsi="Times New Roman" w:cs="Times New Roman"/>
          <w:b w:val="0"/>
          <w:lang w:val="sr-Cyrl-BA"/>
        </w:rPr>
        <w:t>овање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регионалних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састанака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конференција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студијских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посјета</w:t>
      </w:r>
      <w:r w:rsidR="00356C2C" w:rsidRPr="00295637">
        <w:rPr>
          <w:rFonts w:ascii="Times New Roman" w:hAnsi="Times New Roman" w:cs="Times New Roman"/>
          <w:b w:val="0"/>
          <w:lang w:val="bs-Latn-BA"/>
        </w:rPr>
        <w:t>.</w:t>
      </w:r>
    </w:p>
    <w:p w:rsidR="00064516" w:rsidRPr="00295637" w:rsidRDefault="00064516" w:rsidP="0086268D">
      <w:pPr>
        <w:rPr>
          <w:rFonts w:ascii="Times New Roman" w:hAnsi="Times New Roman"/>
          <w:szCs w:val="24"/>
          <w:lang w:val="hr-HR"/>
        </w:rPr>
      </w:pPr>
    </w:p>
    <w:p w:rsidR="00A92736" w:rsidRPr="00295637" w:rsidRDefault="002A29B1" w:rsidP="0086268D">
      <w:pPr>
        <w:jc w:val="both"/>
        <w:rPr>
          <w:rFonts w:ascii="Times New Roman" w:hAnsi="Times New Roman"/>
          <w:szCs w:val="24"/>
          <w:lang w:val="hr-HR"/>
        </w:rPr>
      </w:pPr>
      <w:r>
        <w:rPr>
          <w:rFonts w:ascii="Times New Roman" w:hAnsi="Times New Roman"/>
          <w:szCs w:val="24"/>
          <w:lang w:val="sr-Cyrl-BA"/>
        </w:rPr>
        <w:t>С</w:t>
      </w:r>
      <w:r w:rsidR="00FD27DA" w:rsidRPr="00295637">
        <w:rPr>
          <w:rFonts w:ascii="Times New Roman" w:hAnsi="Times New Roman"/>
          <w:szCs w:val="24"/>
          <w:lang w:val="hr-HR"/>
        </w:rPr>
        <w:t xml:space="preserve"> </w:t>
      </w:r>
      <w:r w:rsidR="00C6214E">
        <w:rPr>
          <w:rFonts w:ascii="Times New Roman" w:hAnsi="Times New Roman"/>
          <w:szCs w:val="24"/>
          <w:lang w:val="hr-HR"/>
        </w:rPr>
        <w:t>циљ</w:t>
      </w:r>
      <w:r>
        <w:rPr>
          <w:rFonts w:ascii="Times New Roman" w:hAnsi="Times New Roman"/>
          <w:szCs w:val="24"/>
          <w:lang w:val="sr-Cyrl-BA"/>
        </w:rPr>
        <w:t>ем</w:t>
      </w:r>
      <w:r w:rsidR="00FD27DA" w:rsidRPr="00295637">
        <w:rPr>
          <w:rFonts w:ascii="Times New Roman" w:hAnsi="Times New Roman"/>
          <w:szCs w:val="24"/>
          <w:lang w:val="hr-HR"/>
        </w:rPr>
        <w:t xml:space="preserve"> </w:t>
      </w:r>
      <w:r w:rsidR="00C6214E">
        <w:rPr>
          <w:rFonts w:ascii="Times New Roman" w:hAnsi="Times New Roman"/>
          <w:szCs w:val="24"/>
          <w:lang w:val="hr-HR"/>
        </w:rPr>
        <w:t>наставка</w:t>
      </w:r>
      <w:r w:rsidR="00FD27DA" w:rsidRPr="00295637">
        <w:rPr>
          <w:rFonts w:ascii="Times New Roman" w:hAnsi="Times New Roman"/>
          <w:szCs w:val="24"/>
          <w:lang w:val="hr-HR"/>
        </w:rPr>
        <w:t xml:space="preserve"> </w:t>
      </w:r>
      <w:r w:rsidR="00C6214E">
        <w:rPr>
          <w:rFonts w:ascii="Times New Roman" w:hAnsi="Times New Roman"/>
          <w:szCs w:val="24"/>
          <w:lang w:val="hr-HR"/>
        </w:rPr>
        <w:t>јачања</w:t>
      </w:r>
      <w:r w:rsidR="00FD27DA" w:rsidRPr="00295637">
        <w:rPr>
          <w:rFonts w:ascii="Times New Roman" w:hAnsi="Times New Roman"/>
          <w:szCs w:val="24"/>
          <w:lang w:val="hr-HR"/>
        </w:rPr>
        <w:t xml:space="preserve"> </w:t>
      </w:r>
      <w:r w:rsidR="00C6214E">
        <w:rPr>
          <w:rFonts w:ascii="Times New Roman" w:hAnsi="Times New Roman"/>
          <w:szCs w:val="24"/>
          <w:lang w:val="hr-HR"/>
        </w:rPr>
        <w:t>регионалне</w:t>
      </w:r>
      <w:r w:rsidR="00FD27DA" w:rsidRPr="00295637">
        <w:rPr>
          <w:rFonts w:ascii="Times New Roman" w:hAnsi="Times New Roman"/>
          <w:szCs w:val="24"/>
          <w:lang w:val="hr-HR"/>
        </w:rPr>
        <w:t xml:space="preserve"> </w:t>
      </w:r>
      <w:r w:rsidR="00C6214E">
        <w:rPr>
          <w:rFonts w:ascii="Times New Roman" w:hAnsi="Times New Roman"/>
          <w:szCs w:val="24"/>
          <w:lang w:val="hr-HR"/>
        </w:rPr>
        <w:t>сарадње</w:t>
      </w:r>
      <w:r w:rsidR="00FD27DA" w:rsidRPr="00295637">
        <w:rPr>
          <w:rFonts w:ascii="Times New Roman" w:hAnsi="Times New Roman"/>
          <w:szCs w:val="24"/>
          <w:lang w:val="hr-HR"/>
        </w:rPr>
        <w:t xml:space="preserve"> </w:t>
      </w:r>
      <w:r w:rsidR="00C6214E">
        <w:rPr>
          <w:rFonts w:ascii="Times New Roman" w:hAnsi="Times New Roman"/>
          <w:szCs w:val="24"/>
          <w:lang w:val="hr-HR"/>
        </w:rPr>
        <w:t>у</w:t>
      </w:r>
      <w:r w:rsidR="00FD27DA" w:rsidRPr="00295637">
        <w:rPr>
          <w:rFonts w:ascii="Times New Roman" w:hAnsi="Times New Roman"/>
          <w:szCs w:val="24"/>
          <w:lang w:val="hr-HR"/>
        </w:rPr>
        <w:t xml:space="preserve"> </w:t>
      </w:r>
      <w:r w:rsidR="00C6214E">
        <w:rPr>
          <w:rFonts w:ascii="Times New Roman" w:hAnsi="Times New Roman"/>
          <w:szCs w:val="24"/>
          <w:lang w:val="hr-HR"/>
        </w:rPr>
        <w:t>области</w:t>
      </w:r>
      <w:r w:rsidR="00FD27DA" w:rsidRPr="00295637">
        <w:rPr>
          <w:rFonts w:ascii="Times New Roman" w:hAnsi="Times New Roman"/>
          <w:szCs w:val="24"/>
          <w:lang w:val="hr-HR"/>
        </w:rPr>
        <w:t xml:space="preserve"> </w:t>
      </w:r>
      <w:r w:rsidR="00C6214E">
        <w:rPr>
          <w:rFonts w:ascii="Times New Roman" w:hAnsi="Times New Roman"/>
          <w:szCs w:val="24"/>
          <w:lang w:val="hr-HR"/>
        </w:rPr>
        <w:t>равноправности</w:t>
      </w:r>
      <w:r w:rsidR="00FD27DA" w:rsidRPr="00295637">
        <w:rPr>
          <w:rFonts w:ascii="Times New Roman" w:hAnsi="Times New Roman"/>
          <w:szCs w:val="24"/>
          <w:lang w:val="hr-HR"/>
        </w:rPr>
        <w:t xml:space="preserve"> </w:t>
      </w:r>
      <w:r w:rsidR="00C6214E">
        <w:rPr>
          <w:rFonts w:ascii="Times New Roman" w:hAnsi="Times New Roman"/>
          <w:szCs w:val="24"/>
          <w:lang w:val="hr-HR"/>
        </w:rPr>
        <w:t>полова</w:t>
      </w:r>
      <w:r w:rsidR="00FD27DA" w:rsidRPr="00295637">
        <w:rPr>
          <w:rFonts w:ascii="Times New Roman" w:hAnsi="Times New Roman"/>
          <w:szCs w:val="24"/>
          <w:lang w:val="hr-HR"/>
        </w:rPr>
        <w:t xml:space="preserve"> </w:t>
      </w:r>
      <w:r w:rsidR="00C6214E">
        <w:rPr>
          <w:rFonts w:ascii="Times New Roman" w:hAnsi="Times New Roman"/>
          <w:szCs w:val="24"/>
          <w:lang w:val="hr-HR"/>
        </w:rPr>
        <w:t>одржан</w:t>
      </w:r>
      <w:r w:rsidR="00FD27DA" w:rsidRPr="00295637">
        <w:rPr>
          <w:rFonts w:ascii="Times New Roman" w:hAnsi="Times New Roman"/>
          <w:szCs w:val="24"/>
          <w:lang w:val="hr-HR"/>
        </w:rPr>
        <w:t xml:space="preserve"> </w:t>
      </w:r>
      <w:r w:rsidR="00C6214E">
        <w:rPr>
          <w:rFonts w:ascii="Times New Roman" w:hAnsi="Times New Roman"/>
          <w:szCs w:val="24"/>
          <w:lang w:val="hr-HR"/>
        </w:rPr>
        <w:t>је</w:t>
      </w:r>
      <w:r w:rsidR="00FD27DA" w:rsidRPr="00295637">
        <w:rPr>
          <w:rFonts w:ascii="Times New Roman" w:hAnsi="Times New Roman"/>
          <w:szCs w:val="24"/>
          <w:lang w:val="hr-HR"/>
        </w:rPr>
        <w:t xml:space="preserve"> </w:t>
      </w:r>
      <w:r w:rsidR="00C6214E">
        <w:rPr>
          <w:rFonts w:ascii="Times New Roman" w:hAnsi="Times New Roman"/>
          <w:szCs w:val="24"/>
          <w:lang w:val="hr-HR"/>
        </w:rPr>
        <w:t>регионални</w:t>
      </w:r>
      <w:r w:rsidR="00FD27DA" w:rsidRPr="00295637">
        <w:rPr>
          <w:rFonts w:ascii="Times New Roman" w:hAnsi="Times New Roman"/>
          <w:szCs w:val="24"/>
          <w:lang w:val="hr-HR"/>
        </w:rPr>
        <w:t xml:space="preserve"> </w:t>
      </w:r>
      <w:r w:rsidR="00C6214E">
        <w:rPr>
          <w:rFonts w:ascii="Times New Roman" w:hAnsi="Times New Roman"/>
          <w:szCs w:val="24"/>
          <w:lang w:val="hr-HR"/>
        </w:rPr>
        <w:t>скуп</w:t>
      </w:r>
      <w:r w:rsidR="00FD27DA" w:rsidRPr="00295637">
        <w:rPr>
          <w:rFonts w:ascii="Times New Roman" w:hAnsi="Times New Roman"/>
          <w:szCs w:val="24"/>
          <w:lang w:val="hr-HR"/>
        </w:rPr>
        <w:t xml:space="preserve"> </w:t>
      </w:r>
      <w:r w:rsidR="00C6214E">
        <w:rPr>
          <w:rFonts w:ascii="Times New Roman" w:hAnsi="Times New Roman"/>
          <w:szCs w:val="24"/>
          <w:lang w:val="hr-HR"/>
        </w:rPr>
        <w:t>на</w:t>
      </w:r>
      <w:r w:rsidR="00FD27DA" w:rsidRPr="00295637">
        <w:rPr>
          <w:rFonts w:ascii="Times New Roman" w:hAnsi="Times New Roman"/>
          <w:szCs w:val="24"/>
          <w:lang w:val="hr-HR"/>
        </w:rPr>
        <w:t xml:space="preserve"> </w:t>
      </w:r>
      <w:r w:rsidR="00C6214E">
        <w:rPr>
          <w:rFonts w:ascii="Times New Roman" w:hAnsi="Times New Roman"/>
          <w:szCs w:val="24"/>
          <w:lang w:val="hr-HR"/>
        </w:rPr>
        <w:t>тему</w:t>
      </w:r>
      <w:r w:rsidR="00FD27DA" w:rsidRPr="00295637">
        <w:rPr>
          <w:rFonts w:ascii="Times New Roman" w:hAnsi="Times New Roman"/>
          <w:szCs w:val="24"/>
          <w:lang w:val="hr-HR"/>
        </w:rPr>
        <w:t xml:space="preserve"> </w:t>
      </w:r>
      <w:r w:rsidR="00C6214E">
        <w:rPr>
          <w:rFonts w:ascii="Times New Roman" w:hAnsi="Times New Roman"/>
          <w:szCs w:val="24"/>
          <w:lang w:val="hr-HR"/>
        </w:rPr>
        <w:t>сексуалне</w:t>
      </w:r>
      <w:r w:rsidR="00FD27DA" w:rsidRPr="00295637">
        <w:rPr>
          <w:rFonts w:ascii="Times New Roman" w:hAnsi="Times New Roman"/>
          <w:szCs w:val="24"/>
          <w:lang w:val="hr-HR"/>
        </w:rPr>
        <w:t xml:space="preserve"> </w:t>
      </w:r>
      <w:r w:rsidR="00C6214E">
        <w:rPr>
          <w:rFonts w:ascii="Times New Roman" w:hAnsi="Times New Roman"/>
          <w:szCs w:val="24"/>
          <w:lang w:val="hr-HR"/>
        </w:rPr>
        <w:t>изнуде</w:t>
      </w:r>
      <w:r w:rsidR="00FD27DA" w:rsidRPr="00295637">
        <w:rPr>
          <w:rFonts w:ascii="Times New Roman" w:hAnsi="Times New Roman"/>
          <w:szCs w:val="24"/>
          <w:lang w:val="hr-HR"/>
        </w:rPr>
        <w:t xml:space="preserve"> </w:t>
      </w:r>
      <w:r w:rsidR="00C6214E">
        <w:rPr>
          <w:rFonts w:ascii="Times New Roman" w:hAnsi="Times New Roman"/>
          <w:szCs w:val="24"/>
          <w:lang w:val="hr-HR"/>
        </w:rPr>
        <w:t>у</w:t>
      </w:r>
      <w:r w:rsidR="00FD27DA" w:rsidRPr="00295637">
        <w:rPr>
          <w:rFonts w:ascii="Times New Roman" w:hAnsi="Times New Roman"/>
          <w:szCs w:val="24"/>
          <w:lang w:val="hr-HR"/>
        </w:rPr>
        <w:t xml:space="preserve"> </w:t>
      </w:r>
      <w:r w:rsidR="00C6214E">
        <w:rPr>
          <w:rFonts w:ascii="Times New Roman" w:hAnsi="Times New Roman"/>
          <w:szCs w:val="24"/>
          <w:lang w:val="hr-HR"/>
        </w:rPr>
        <w:t>друштву</w:t>
      </w:r>
      <w:r w:rsidR="00FD27DA" w:rsidRPr="00295637">
        <w:rPr>
          <w:rFonts w:ascii="Times New Roman" w:hAnsi="Times New Roman"/>
          <w:szCs w:val="24"/>
          <w:lang w:val="hr-HR"/>
        </w:rPr>
        <w:t xml:space="preserve">, </w:t>
      </w:r>
      <w:r w:rsidR="00C6214E">
        <w:rPr>
          <w:rFonts w:ascii="Times New Roman" w:hAnsi="Times New Roman"/>
          <w:szCs w:val="24"/>
          <w:lang w:val="hr-HR"/>
        </w:rPr>
        <w:t>у</w:t>
      </w:r>
      <w:r w:rsidR="00FD27DA" w:rsidRPr="00295637">
        <w:rPr>
          <w:rFonts w:ascii="Times New Roman" w:hAnsi="Times New Roman"/>
          <w:szCs w:val="24"/>
          <w:lang w:val="hr-HR"/>
        </w:rPr>
        <w:t xml:space="preserve"> </w:t>
      </w:r>
      <w:r w:rsidR="00C6214E">
        <w:rPr>
          <w:rFonts w:ascii="Times New Roman" w:hAnsi="Times New Roman"/>
          <w:szCs w:val="24"/>
          <w:lang w:val="hr-HR"/>
        </w:rPr>
        <w:t>сарадњи</w:t>
      </w:r>
      <w:r w:rsidR="00C85854">
        <w:rPr>
          <w:rFonts w:ascii="Times New Roman" w:hAnsi="Times New Roman"/>
          <w:szCs w:val="24"/>
          <w:lang w:val="hr-HR"/>
        </w:rPr>
        <w:t xml:space="preserve"> </w:t>
      </w:r>
      <w:r w:rsidR="00C6214E">
        <w:rPr>
          <w:rFonts w:ascii="Times New Roman" w:hAnsi="Times New Roman"/>
          <w:szCs w:val="24"/>
          <w:lang w:val="hr-HR"/>
        </w:rPr>
        <w:t>са</w:t>
      </w:r>
      <w:r w:rsidR="00FD27DA" w:rsidRPr="00295637">
        <w:rPr>
          <w:rFonts w:ascii="Times New Roman" w:hAnsi="Times New Roman"/>
          <w:szCs w:val="24"/>
          <w:lang w:val="hr-HR"/>
        </w:rPr>
        <w:t xml:space="preserve"> </w:t>
      </w:r>
      <w:r w:rsidR="00C6214E">
        <w:rPr>
          <w:rFonts w:ascii="Times New Roman" w:hAnsi="Times New Roman"/>
          <w:szCs w:val="24"/>
          <w:lang w:val="hr-HR"/>
        </w:rPr>
        <w:t>КОРС</w:t>
      </w:r>
      <w:r w:rsidR="00EC48AC">
        <w:rPr>
          <w:rFonts w:ascii="Times New Roman" w:hAnsi="Times New Roman"/>
          <w:szCs w:val="24"/>
          <w:lang w:val="hr-HR"/>
        </w:rPr>
        <w:t xml:space="preserve"> </w:t>
      </w:r>
      <w:r w:rsidR="00C6214E">
        <w:rPr>
          <w:rFonts w:ascii="Times New Roman" w:hAnsi="Times New Roman"/>
          <w:szCs w:val="24"/>
          <w:lang w:val="hr-HR"/>
        </w:rPr>
        <w:t>ПД</w:t>
      </w:r>
      <w:r w:rsidR="00FD27DA" w:rsidRPr="00295637">
        <w:rPr>
          <w:rFonts w:ascii="Times New Roman" w:hAnsi="Times New Roman"/>
          <w:szCs w:val="24"/>
          <w:lang w:val="hr-HR"/>
        </w:rPr>
        <w:t xml:space="preserve"> </w:t>
      </w:r>
      <w:r w:rsidR="00C6214E">
        <w:rPr>
          <w:rFonts w:ascii="Times New Roman" w:hAnsi="Times New Roman"/>
          <w:szCs w:val="24"/>
          <w:lang w:val="hr-HR"/>
        </w:rPr>
        <w:t>ПС</w:t>
      </w:r>
      <w:r w:rsidR="009E54A2" w:rsidRPr="00295637">
        <w:rPr>
          <w:rFonts w:ascii="Times New Roman" w:hAnsi="Times New Roman"/>
          <w:szCs w:val="24"/>
          <w:lang w:val="hr-HR"/>
        </w:rPr>
        <w:t xml:space="preserve"> </w:t>
      </w:r>
      <w:r w:rsidR="00C6214E">
        <w:rPr>
          <w:rFonts w:ascii="Times New Roman" w:hAnsi="Times New Roman"/>
          <w:szCs w:val="24"/>
          <w:lang w:val="hr-HR"/>
        </w:rPr>
        <w:t>БиХ</w:t>
      </w:r>
      <w:r w:rsidR="00FD27DA" w:rsidRPr="00295637">
        <w:rPr>
          <w:rFonts w:ascii="Times New Roman" w:hAnsi="Times New Roman"/>
          <w:szCs w:val="24"/>
          <w:lang w:val="hr-HR"/>
        </w:rPr>
        <w:t xml:space="preserve">, </w:t>
      </w:r>
      <w:r w:rsidR="00C6214E">
        <w:rPr>
          <w:rFonts w:ascii="Times New Roman" w:hAnsi="Times New Roman"/>
          <w:szCs w:val="24"/>
          <w:lang w:val="hr-HR"/>
        </w:rPr>
        <w:t>те</w:t>
      </w:r>
      <w:r w:rsidR="00FD27DA" w:rsidRPr="00295637">
        <w:rPr>
          <w:rFonts w:ascii="Times New Roman" w:hAnsi="Times New Roman"/>
          <w:szCs w:val="24"/>
          <w:lang w:val="hr-HR"/>
        </w:rPr>
        <w:t xml:space="preserve"> </w:t>
      </w:r>
      <w:r w:rsidR="00C6214E">
        <w:rPr>
          <w:rFonts w:ascii="Times New Roman" w:hAnsi="Times New Roman"/>
          <w:szCs w:val="24"/>
          <w:lang w:val="hr-HR"/>
        </w:rPr>
        <w:t>састанак</w:t>
      </w:r>
      <w:r w:rsidR="00FD27DA" w:rsidRPr="00295637">
        <w:rPr>
          <w:rFonts w:ascii="Times New Roman" w:hAnsi="Times New Roman"/>
          <w:szCs w:val="24"/>
          <w:lang w:val="hr-HR"/>
        </w:rPr>
        <w:t xml:space="preserve"> </w:t>
      </w:r>
      <w:r w:rsidR="00C6214E">
        <w:rPr>
          <w:rFonts w:ascii="Times New Roman" w:hAnsi="Times New Roman"/>
          <w:szCs w:val="24"/>
          <w:lang w:val="hr-HR"/>
        </w:rPr>
        <w:t>Регионалног</w:t>
      </w:r>
      <w:r w:rsidR="00FD27DA" w:rsidRPr="00295637">
        <w:rPr>
          <w:rFonts w:ascii="Times New Roman" w:hAnsi="Times New Roman"/>
          <w:szCs w:val="24"/>
          <w:lang w:val="hr-HR"/>
        </w:rPr>
        <w:t xml:space="preserve"> </w:t>
      </w:r>
      <w:r w:rsidR="00C6214E">
        <w:rPr>
          <w:rFonts w:ascii="Times New Roman" w:hAnsi="Times New Roman"/>
          <w:szCs w:val="24"/>
          <w:lang w:val="hr-HR"/>
        </w:rPr>
        <w:t>координаци</w:t>
      </w:r>
      <w:r>
        <w:rPr>
          <w:rFonts w:ascii="Times New Roman" w:hAnsi="Times New Roman"/>
          <w:szCs w:val="24"/>
          <w:lang w:val="sr-Cyrl-BA"/>
        </w:rPr>
        <w:t>оног</w:t>
      </w:r>
      <w:r w:rsidR="00FD27DA" w:rsidRPr="00295637">
        <w:rPr>
          <w:rFonts w:ascii="Times New Roman" w:hAnsi="Times New Roman"/>
          <w:szCs w:val="24"/>
          <w:lang w:val="hr-HR"/>
        </w:rPr>
        <w:t xml:space="preserve"> </w:t>
      </w:r>
      <w:r w:rsidR="00C6214E">
        <w:rPr>
          <w:rFonts w:ascii="Times New Roman" w:hAnsi="Times New Roman"/>
          <w:szCs w:val="24"/>
          <w:lang w:val="hr-HR"/>
        </w:rPr>
        <w:t>одбора</w:t>
      </w:r>
      <w:r w:rsidR="00FD27DA" w:rsidRPr="00295637">
        <w:rPr>
          <w:rFonts w:ascii="Times New Roman" w:hAnsi="Times New Roman"/>
          <w:szCs w:val="24"/>
          <w:lang w:val="hr-HR"/>
        </w:rPr>
        <w:t xml:space="preserve"> </w:t>
      </w:r>
      <w:r w:rsidR="00C6214E">
        <w:rPr>
          <w:rFonts w:ascii="Times New Roman" w:hAnsi="Times New Roman"/>
          <w:szCs w:val="24"/>
          <w:lang w:val="hr-HR"/>
        </w:rPr>
        <w:t>институционалних</w:t>
      </w:r>
      <w:r w:rsidR="00FD27DA" w:rsidRPr="00295637">
        <w:rPr>
          <w:rFonts w:ascii="Times New Roman" w:hAnsi="Times New Roman"/>
          <w:szCs w:val="24"/>
          <w:lang w:val="hr-HR"/>
        </w:rPr>
        <w:t xml:space="preserve"> </w:t>
      </w:r>
      <w:r w:rsidR="00C6214E">
        <w:rPr>
          <w:rFonts w:ascii="Times New Roman" w:hAnsi="Times New Roman"/>
          <w:szCs w:val="24"/>
          <w:lang w:val="hr-HR"/>
        </w:rPr>
        <w:t>механизама</w:t>
      </w:r>
      <w:r w:rsidR="00FD27DA" w:rsidRPr="00295637">
        <w:rPr>
          <w:rFonts w:ascii="Times New Roman" w:hAnsi="Times New Roman"/>
          <w:szCs w:val="24"/>
          <w:lang w:val="hr-HR"/>
        </w:rPr>
        <w:t xml:space="preserve"> </w:t>
      </w:r>
      <w:r w:rsidR="00C6214E">
        <w:rPr>
          <w:rFonts w:ascii="Times New Roman" w:hAnsi="Times New Roman"/>
          <w:szCs w:val="24"/>
          <w:lang w:val="hr-HR"/>
        </w:rPr>
        <w:t>за</w:t>
      </w:r>
      <w:r w:rsidR="00FD27DA" w:rsidRPr="00295637">
        <w:rPr>
          <w:rFonts w:ascii="Times New Roman" w:hAnsi="Times New Roman"/>
          <w:szCs w:val="24"/>
          <w:lang w:val="hr-HR"/>
        </w:rPr>
        <w:t xml:space="preserve"> </w:t>
      </w:r>
      <w:r w:rsidR="00C6214E">
        <w:rPr>
          <w:rFonts w:ascii="Times New Roman" w:hAnsi="Times New Roman"/>
          <w:szCs w:val="24"/>
          <w:lang w:val="hr-HR"/>
        </w:rPr>
        <w:t>равноправност</w:t>
      </w:r>
      <w:r w:rsidR="00FD27DA" w:rsidRPr="00295637">
        <w:rPr>
          <w:rFonts w:ascii="Times New Roman" w:hAnsi="Times New Roman"/>
          <w:szCs w:val="24"/>
          <w:lang w:val="hr-HR"/>
        </w:rPr>
        <w:t xml:space="preserve"> </w:t>
      </w:r>
      <w:r w:rsidR="00C6214E">
        <w:rPr>
          <w:rFonts w:ascii="Times New Roman" w:hAnsi="Times New Roman"/>
          <w:szCs w:val="24"/>
          <w:lang w:val="hr-HR"/>
        </w:rPr>
        <w:t>полова</w:t>
      </w:r>
      <w:r w:rsidR="002F5E5F" w:rsidRPr="00295637">
        <w:rPr>
          <w:rFonts w:ascii="Times New Roman" w:hAnsi="Times New Roman"/>
          <w:szCs w:val="24"/>
          <w:lang w:val="hr-HR"/>
        </w:rPr>
        <w:t xml:space="preserve"> </w:t>
      </w:r>
      <w:r w:rsidR="00C6214E">
        <w:rPr>
          <w:rFonts w:ascii="Times New Roman" w:hAnsi="Times New Roman"/>
          <w:szCs w:val="24"/>
          <w:lang w:val="hr-HR"/>
        </w:rPr>
        <w:t>на</w:t>
      </w:r>
      <w:r w:rsidR="002F5E5F" w:rsidRPr="00295637">
        <w:rPr>
          <w:rFonts w:ascii="Times New Roman" w:hAnsi="Times New Roman"/>
          <w:szCs w:val="24"/>
          <w:lang w:val="hr-HR"/>
        </w:rPr>
        <w:t xml:space="preserve"> </w:t>
      </w:r>
      <w:r w:rsidR="00C6214E">
        <w:rPr>
          <w:rFonts w:ascii="Times New Roman" w:hAnsi="Times New Roman"/>
          <w:szCs w:val="24"/>
          <w:lang w:val="hr-HR"/>
        </w:rPr>
        <w:t>којем</w:t>
      </w:r>
      <w:r w:rsidR="002F5E5F" w:rsidRPr="00295637">
        <w:rPr>
          <w:rFonts w:ascii="Times New Roman" w:hAnsi="Times New Roman"/>
          <w:szCs w:val="24"/>
          <w:lang w:val="hr-HR"/>
        </w:rPr>
        <w:t xml:space="preserve"> </w:t>
      </w:r>
      <w:r w:rsidR="00C6214E">
        <w:rPr>
          <w:rFonts w:ascii="Times New Roman" w:hAnsi="Times New Roman"/>
          <w:szCs w:val="24"/>
          <w:lang w:val="hr-HR"/>
        </w:rPr>
        <w:t>су</w:t>
      </w:r>
      <w:r w:rsidR="002F5E5F" w:rsidRPr="00295637">
        <w:rPr>
          <w:rFonts w:ascii="Times New Roman" w:hAnsi="Times New Roman"/>
          <w:szCs w:val="24"/>
          <w:lang w:val="hr-HR"/>
        </w:rPr>
        <w:t xml:space="preserve"> </w:t>
      </w:r>
      <w:r w:rsidR="00C6214E">
        <w:rPr>
          <w:rFonts w:ascii="Times New Roman" w:hAnsi="Times New Roman"/>
          <w:szCs w:val="24"/>
          <w:lang w:val="hr-HR"/>
        </w:rPr>
        <w:t>разматрана</w:t>
      </w:r>
      <w:r w:rsidR="002F5E5F" w:rsidRPr="00295637">
        <w:rPr>
          <w:rFonts w:ascii="Times New Roman" w:hAnsi="Times New Roman"/>
          <w:szCs w:val="24"/>
          <w:lang w:val="hr-HR"/>
        </w:rPr>
        <w:t xml:space="preserve"> </w:t>
      </w:r>
      <w:r w:rsidR="00C6214E">
        <w:rPr>
          <w:rFonts w:ascii="Times New Roman" w:hAnsi="Times New Roman"/>
          <w:szCs w:val="24"/>
          <w:lang w:val="hr-HR"/>
        </w:rPr>
        <w:t>искуства</w:t>
      </w:r>
      <w:r w:rsidR="002F5E5F" w:rsidRPr="00295637">
        <w:rPr>
          <w:rFonts w:ascii="Times New Roman" w:hAnsi="Times New Roman"/>
          <w:szCs w:val="24"/>
          <w:lang w:val="hr-HR"/>
        </w:rPr>
        <w:t xml:space="preserve"> </w:t>
      </w:r>
      <w:r w:rsidR="00C6214E">
        <w:rPr>
          <w:rFonts w:ascii="Times New Roman" w:hAnsi="Times New Roman"/>
          <w:szCs w:val="24"/>
          <w:lang w:val="hr-HR"/>
        </w:rPr>
        <w:t>и</w:t>
      </w:r>
      <w:r w:rsidR="002F5E5F" w:rsidRPr="00295637">
        <w:rPr>
          <w:rFonts w:ascii="Times New Roman" w:hAnsi="Times New Roman"/>
          <w:szCs w:val="24"/>
          <w:lang w:val="hr-HR"/>
        </w:rPr>
        <w:t xml:space="preserve"> </w:t>
      </w:r>
      <w:r w:rsidR="00C6214E">
        <w:rPr>
          <w:rFonts w:ascii="Times New Roman" w:hAnsi="Times New Roman"/>
          <w:szCs w:val="24"/>
          <w:lang w:val="hr-HR"/>
        </w:rPr>
        <w:t>праксе</w:t>
      </w:r>
      <w:r w:rsidR="002F5E5F" w:rsidRPr="00295637">
        <w:rPr>
          <w:rFonts w:ascii="Times New Roman" w:hAnsi="Times New Roman"/>
          <w:szCs w:val="24"/>
          <w:lang w:val="hr-HR"/>
        </w:rPr>
        <w:t xml:space="preserve"> </w:t>
      </w:r>
      <w:r w:rsidR="00C6214E">
        <w:rPr>
          <w:rFonts w:ascii="Times New Roman" w:hAnsi="Times New Roman"/>
          <w:szCs w:val="24"/>
          <w:lang w:val="hr-HR"/>
        </w:rPr>
        <w:t>земаља</w:t>
      </w:r>
      <w:r w:rsidR="002F5E5F" w:rsidRPr="00295637">
        <w:rPr>
          <w:rFonts w:ascii="Times New Roman" w:hAnsi="Times New Roman"/>
          <w:szCs w:val="24"/>
          <w:lang w:val="hr-HR"/>
        </w:rPr>
        <w:t xml:space="preserve"> </w:t>
      </w:r>
      <w:r w:rsidR="00C6214E">
        <w:rPr>
          <w:rFonts w:ascii="Times New Roman" w:hAnsi="Times New Roman"/>
          <w:szCs w:val="24"/>
          <w:lang w:val="hr-HR"/>
        </w:rPr>
        <w:t>региона</w:t>
      </w:r>
      <w:r w:rsidR="002F5E5F" w:rsidRPr="00295637">
        <w:rPr>
          <w:rFonts w:ascii="Times New Roman" w:hAnsi="Times New Roman"/>
          <w:szCs w:val="24"/>
          <w:lang w:val="hr-HR"/>
        </w:rPr>
        <w:t xml:space="preserve"> </w:t>
      </w:r>
      <w:r w:rsidR="00C6214E">
        <w:rPr>
          <w:rFonts w:ascii="Times New Roman" w:hAnsi="Times New Roman"/>
          <w:szCs w:val="24"/>
          <w:lang w:val="hr-HR"/>
        </w:rPr>
        <w:t>на</w:t>
      </w:r>
      <w:r w:rsidR="00FD27DA" w:rsidRPr="00295637">
        <w:rPr>
          <w:rFonts w:ascii="Times New Roman" w:hAnsi="Times New Roman"/>
          <w:szCs w:val="24"/>
          <w:lang w:val="hr-HR"/>
        </w:rPr>
        <w:t xml:space="preserve"> </w:t>
      </w:r>
      <w:r w:rsidR="00C6214E">
        <w:rPr>
          <w:rFonts w:ascii="Times New Roman" w:hAnsi="Times New Roman"/>
          <w:szCs w:val="24"/>
          <w:lang w:val="hr-HR"/>
        </w:rPr>
        <w:t>имплементацији</w:t>
      </w:r>
      <w:r w:rsidR="00FD27DA" w:rsidRPr="00295637">
        <w:rPr>
          <w:rFonts w:ascii="Times New Roman" w:hAnsi="Times New Roman"/>
          <w:szCs w:val="24"/>
          <w:lang w:val="hr-HR"/>
        </w:rPr>
        <w:t xml:space="preserve"> </w:t>
      </w:r>
      <w:r w:rsidR="00C6214E">
        <w:rPr>
          <w:rFonts w:ascii="Times New Roman" w:hAnsi="Times New Roman"/>
          <w:szCs w:val="24"/>
          <w:lang w:val="hr-HR"/>
        </w:rPr>
        <w:t>ГРЕВИО</w:t>
      </w:r>
      <w:r w:rsidR="00FD27DA" w:rsidRPr="00295637">
        <w:rPr>
          <w:rFonts w:ascii="Times New Roman" w:hAnsi="Times New Roman"/>
          <w:szCs w:val="24"/>
          <w:lang w:val="hr-HR"/>
        </w:rPr>
        <w:t xml:space="preserve"> </w:t>
      </w:r>
      <w:r w:rsidR="00C6214E">
        <w:rPr>
          <w:rFonts w:ascii="Times New Roman" w:hAnsi="Times New Roman"/>
          <w:szCs w:val="24"/>
          <w:lang w:val="hr-HR"/>
        </w:rPr>
        <w:t>препорука</w:t>
      </w:r>
      <w:r w:rsidR="00FD27DA" w:rsidRPr="00295637">
        <w:rPr>
          <w:rFonts w:ascii="Times New Roman" w:hAnsi="Times New Roman"/>
          <w:szCs w:val="24"/>
          <w:lang w:val="hr-HR"/>
        </w:rPr>
        <w:t xml:space="preserve"> </w:t>
      </w:r>
      <w:r w:rsidR="00C6214E">
        <w:rPr>
          <w:rFonts w:ascii="Times New Roman" w:hAnsi="Times New Roman"/>
          <w:szCs w:val="24"/>
          <w:lang w:val="hr-HR"/>
        </w:rPr>
        <w:t>и</w:t>
      </w:r>
      <w:r w:rsidR="00FD27DA" w:rsidRPr="00295637">
        <w:rPr>
          <w:rFonts w:ascii="Times New Roman" w:hAnsi="Times New Roman"/>
          <w:szCs w:val="24"/>
          <w:lang w:val="hr-HR"/>
        </w:rPr>
        <w:t xml:space="preserve"> </w:t>
      </w:r>
      <w:r w:rsidR="00C6214E">
        <w:rPr>
          <w:rFonts w:ascii="Times New Roman" w:hAnsi="Times New Roman"/>
          <w:szCs w:val="24"/>
          <w:lang w:val="hr-HR"/>
        </w:rPr>
        <w:t>дјеловања</w:t>
      </w:r>
      <w:r w:rsidR="00FD27DA" w:rsidRPr="00295637">
        <w:rPr>
          <w:rFonts w:ascii="Times New Roman" w:hAnsi="Times New Roman"/>
          <w:szCs w:val="24"/>
          <w:lang w:val="hr-HR"/>
        </w:rPr>
        <w:t xml:space="preserve"> </w:t>
      </w:r>
      <w:r w:rsidR="00C6214E">
        <w:rPr>
          <w:rFonts w:ascii="Times New Roman" w:hAnsi="Times New Roman"/>
          <w:szCs w:val="24"/>
          <w:lang w:val="hr-HR"/>
        </w:rPr>
        <w:t>у</w:t>
      </w:r>
      <w:r w:rsidR="00FD27DA" w:rsidRPr="00295637">
        <w:rPr>
          <w:rFonts w:ascii="Times New Roman" w:hAnsi="Times New Roman"/>
          <w:szCs w:val="24"/>
          <w:lang w:val="hr-HR"/>
        </w:rPr>
        <w:t xml:space="preserve"> </w:t>
      </w:r>
      <w:r w:rsidR="00C6214E">
        <w:rPr>
          <w:rFonts w:ascii="Times New Roman" w:hAnsi="Times New Roman"/>
          <w:szCs w:val="24"/>
          <w:lang w:val="hr-HR"/>
        </w:rPr>
        <w:t>вези</w:t>
      </w:r>
      <w:r w:rsidR="00FD27DA" w:rsidRPr="00295637">
        <w:rPr>
          <w:rFonts w:ascii="Times New Roman" w:hAnsi="Times New Roman"/>
          <w:szCs w:val="24"/>
          <w:lang w:val="hr-HR"/>
        </w:rPr>
        <w:t xml:space="preserve"> </w:t>
      </w:r>
      <w:r w:rsidR="00C6214E">
        <w:rPr>
          <w:rFonts w:ascii="Times New Roman" w:hAnsi="Times New Roman"/>
          <w:szCs w:val="24"/>
          <w:lang w:val="hr-HR"/>
        </w:rPr>
        <w:t>све</w:t>
      </w:r>
      <w:r w:rsidR="00FD27DA" w:rsidRPr="00295637">
        <w:rPr>
          <w:rFonts w:ascii="Times New Roman" w:hAnsi="Times New Roman"/>
          <w:szCs w:val="24"/>
          <w:lang w:val="hr-HR"/>
        </w:rPr>
        <w:t xml:space="preserve"> </w:t>
      </w:r>
      <w:r w:rsidR="00C6214E">
        <w:rPr>
          <w:rFonts w:ascii="Times New Roman" w:hAnsi="Times New Roman"/>
          <w:szCs w:val="24"/>
          <w:lang w:val="hr-HR"/>
        </w:rPr>
        <w:t>учесталијих</w:t>
      </w:r>
      <w:r w:rsidR="00FD27DA" w:rsidRPr="00295637">
        <w:rPr>
          <w:rFonts w:ascii="Times New Roman" w:hAnsi="Times New Roman"/>
          <w:szCs w:val="24"/>
          <w:lang w:val="hr-HR"/>
        </w:rPr>
        <w:t xml:space="preserve"> </w:t>
      </w:r>
      <w:r w:rsidR="00C6214E">
        <w:rPr>
          <w:rFonts w:ascii="Times New Roman" w:hAnsi="Times New Roman"/>
          <w:szCs w:val="24"/>
          <w:lang w:val="hr-HR"/>
        </w:rPr>
        <w:t>појава</w:t>
      </w:r>
      <w:r w:rsidR="00FD27DA" w:rsidRPr="00295637">
        <w:rPr>
          <w:rFonts w:ascii="Times New Roman" w:hAnsi="Times New Roman"/>
          <w:szCs w:val="24"/>
          <w:lang w:val="hr-HR"/>
        </w:rPr>
        <w:t xml:space="preserve"> </w:t>
      </w:r>
      <w:r w:rsidR="00C6214E">
        <w:rPr>
          <w:rFonts w:ascii="Times New Roman" w:hAnsi="Times New Roman"/>
          <w:szCs w:val="24"/>
          <w:lang w:val="hr-HR"/>
        </w:rPr>
        <w:t>фемицида</w:t>
      </w:r>
      <w:r w:rsidR="00FD27DA" w:rsidRPr="00295637">
        <w:rPr>
          <w:rFonts w:ascii="Times New Roman" w:hAnsi="Times New Roman"/>
          <w:szCs w:val="24"/>
          <w:lang w:val="hr-HR"/>
        </w:rPr>
        <w:t xml:space="preserve">. </w:t>
      </w:r>
      <w:r w:rsidR="00C6214E">
        <w:rPr>
          <w:rFonts w:ascii="Times New Roman" w:hAnsi="Times New Roman"/>
          <w:szCs w:val="24"/>
          <w:lang w:val="hr-HR"/>
        </w:rPr>
        <w:t>Регионална</w:t>
      </w:r>
      <w:r w:rsidR="00FD27DA" w:rsidRPr="00295637">
        <w:rPr>
          <w:rFonts w:ascii="Times New Roman" w:hAnsi="Times New Roman"/>
          <w:szCs w:val="24"/>
          <w:lang w:val="hr-HR"/>
        </w:rPr>
        <w:t xml:space="preserve"> </w:t>
      </w:r>
      <w:r w:rsidR="00C6214E">
        <w:rPr>
          <w:rFonts w:ascii="Times New Roman" w:hAnsi="Times New Roman"/>
          <w:szCs w:val="24"/>
          <w:lang w:val="hr-HR"/>
        </w:rPr>
        <w:t>сарадња</w:t>
      </w:r>
      <w:r w:rsidR="00FD27DA" w:rsidRPr="00295637">
        <w:rPr>
          <w:rFonts w:ascii="Times New Roman" w:hAnsi="Times New Roman"/>
          <w:szCs w:val="24"/>
          <w:lang w:val="hr-HR"/>
        </w:rPr>
        <w:t xml:space="preserve"> </w:t>
      </w:r>
      <w:r w:rsidR="00C6214E">
        <w:rPr>
          <w:rFonts w:ascii="Times New Roman" w:hAnsi="Times New Roman"/>
          <w:szCs w:val="24"/>
          <w:lang w:val="hr-HR"/>
        </w:rPr>
        <w:t>уврштена</w:t>
      </w:r>
      <w:r w:rsidR="00FD27DA" w:rsidRPr="00295637">
        <w:rPr>
          <w:rFonts w:ascii="Times New Roman" w:hAnsi="Times New Roman"/>
          <w:szCs w:val="24"/>
          <w:lang w:val="hr-HR"/>
        </w:rPr>
        <w:t xml:space="preserve"> </w:t>
      </w:r>
      <w:r w:rsidR="00C6214E">
        <w:rPr>
          <w:rFonts w:ascii="Times New Roman" w:hAnsi="Times New Roman"/>
          <w:szCs w:val="24"/>
          <w:lang w:val="hr-HR"/>
        </w:rPr>
        <w:t>је</w:t>
      </w:r>
      <w:r w:rsidR="00FD27DA" w:rsidRPr="00295637">
        <w:rPr>
          <w:rFonts w:ascii="Times New Roman" w:hAnsi="Times New Roman"/>
          <w:szCs w:val="24"/>
          <w:lang w:val="hr-HR"/>
        </w:rPr>
        <w:t xml:space="preserve"> </w:t>
      </w:r>
      <w:r w:rsidR="00C6214E">
        <w:rPr>
          <w:rFonts w:ascii="Times New Roman" w:hAnsi="Times New Roman"/>
          <w:szCs w:val="24"/>
          <w:lang w:val="hr-HR"/>
        </w:rPr>
        <w:t>у</w:t>
      </w:r>
      <w:r w:rsidR="00FD27DA" w:rsidRPr="00295637">
        <w:rPr>
          <w:rFonts w:ascii="Times New Roman" w:hAnsi="Times New Roman"/>
          <w:szCs w:val="24"/>
          <w:lang w:val="hr-HR"/>
        </w:rPr>
        <w:t xml:space="preserve"> </w:t>
      </w:r>
      <w:r w:rsidR="00C6214E">
        <w:rPr>
          <w:rFonts w:ascii="Times New Roman" w:hAnsi="Times New Roman"/>
          <w:szCs w:val="24"/>
          <w:lang w:val="hr-HR"/>
        </w:rPr>
        <w:t>активности</w:t>
      </w:r>
      <w:r w:rsidR="00FD27DA" w:rsidRPr="00295637">
        <w:rPr>
          <w:rFonts w:ascii="Times New Roman" w:hAnsi="Times New Roman"/>
          <w:szCs w:val="24"/>
          <w:lang w:val="hr-HR"/>
        </w:rPr>
        <w:t xml:space="preserve"> </w:t>
      </w:r>
      <w:r w:rsidR="00C6214E">
        <w:rPr>
          <w:rFonts w:ascii="Times New Roman" w:hAnsi="Times New Roman"/>
          <w:szCs w:val="24"/>
          <w:lang w:val="hr-HR"/>
        </w:rPr>
        <w:t>свих</w:t>
      </w:r>
      <w:r w:rsidR="00FD27DA" w:rsidRPr="00295637">
        <w:rPr>
          <w:rFonts w:ascii="Times New Roman" w:hAnsi="Times New Roman"/>
          <w:szCs w:val="24"/>
          <w:lang w:val="hr-HR"/>
        </w:rPr>
        <w:t xml:space="preserve"> </w:t>
      </w:r>
      <w:r w:rsidR="00C6214E">
        <w:rPr>
          <w:rFonts w:ascii="Times New Roman" w:hAnsi="Times New Roman"/>
          <w:szCs w:val="24"/>
          <w:lang w:val="hr-HR"/>
        </w:rPr>
        <w:t>партнерских</w:t>
      </w:r>
      <w:r w:rsidR="00FD27DA" w:rsidRPr="00295637">
        <w:rPr>
          <w:rFonts w:ascii="Times New Roman" w:hAnsi="Times New Roman"/>
          <w:szCs w:val="24"/>
          <w:lang w:val="hr-HR"/>
        </w:rPr>
        <w:t xml:space="preserve"> </w:t>
      </w:r>
      <w:r w:rsidR="00C6214E">
        <w:rPr>
          <w:rFonts w:ascii="Times New Roman" w:hAnsi="Times New Roman"/>
          <w:szCs w:val="24"/>
          <w:lang w:val="hr-HR"/>
        </w:rPr>
        <w:t>пројеката</w:t>
      </w:r>
      <w:r w:rsidR="00FD27DA" w:rsidRPr="00295637">
        <w:rPr>
          <w:rFonts w:ascii="Times New Roman" w:hAnsi="Times New Roman"/>
          <w:szCs w:val="24"/>
          <w:lang w:val="hr-HR"/>
        </w:rPr>
        <w:t xml:space="preserve"> </w:t>
      </w:r>
      <w:r w:rsidR="00C6214E">
        <w:rPr>
          <w:rFonts w:ascii="Times New Roman" w:hAnsi="Times New Roman"/>
          <w:szCs w:val="24"/>
          <w:lang w:val="hr-HR"/>
        </w:rPr>
        <w:t>које</w:t>
      </w:r>
      <w:r w:rsidR="00FD27DA" w:rsidRPr="00295637">
        <w:rPr>
          <w:rFonts w:ascii="Times New Roman" w:hAnsi="Times New Roman"/>
          <w:szCs w:val="24"/>
          <w:lang w:val="hr-HR"/>
        </w:rPr>
        <w:t xml:space="preserve"> </w:t>
      </w:r>
      <w:r w:rsidR="00C6214E">
        <w:rPr>
          <w:rFonts w:ascii="Times New Roman" w:hAnsi="Times New Roman"/>
          <w:szCs w:val="24"/>
          <w:lang w:val="hr-HR"/>
        </w:rPr>
        <w:t>је</w:t>
      </w:r>
      <w:r w:rsidR="00FD27DA" w:rsidRPr="00295637">
        <w:rPr>
          <w:rFonts w:ascii="Times New Roman" w:hAnsi="Times New Roman"/>
          <w:szCs w:val="24"/>
          <w:lang w:val="hr-HR"/>
        </w:rPr>
        <w:t xml:space="preserve"> </w:t>
      </w:r>
      <w:r w:rsidR="00C6214E">
        <w:rPr>
          <w:rFonts w:ascii="Times New Roman" w:hAnsi="Times New Roman"/>
          <w:szCs w:val="24"/>
          <w:lang w:val="hr-HR"/>
        </w:rPr>
        <w:t>АР</w:t>
      </w:r>
      <w:r>
        <w:rPr>
          <w:rFonts w:ascii="Times New Roman" w:hAnsi="Times New Roman"/>
          <w:szCs w:val="24"/>
          <w:lang w:val="sr-Cyrl-BA"/>
        </w:rPr>
        <w:t>П</w:t>
      </w:r>
      <w:r w:rsidR="00C85854">
        <w:rPr>
          <w:rFonts w:ascii="Times New Roman" w:hAnsi="Times New Roman"/>
          <w:szCs w:val="24"/>
          <w:lang w:val="hr-HR"/>
        </w:rPr>
        <w:t xml:space="preserve"> </w:t>
      </w:r>
      <w:r w:rsidR="00C6214E">
        <w:rPr>
          <w:rFonts w:ascii="Times New Roman" w:hAnsi="Times New Roman"/>
          <w:szCs w:val="24"/>
          <w:lang w:val="hr-HR"/>
        </w:rPr>
        <w:t>БиХ</w:t>
      </w:r>
      <w:r w:rsidR="00C85854">
        <w:rPr>
          <w:rFonts w:ascii="Times New Roman" w:hAnsi="Times New Roman"/>
          <w:szCs w:val="24"/>
          <w:lang w:val="hr-HR"/>
        </w:rPr>
        <w:t xml:space="preserve"> </w:t>
      </w:r>
      <w:r w:rsidR="00C6214E">
        <w:rPr>
          <w:rFonts w:ascii="Times New Roman" w:hAnsi="Times New Roman"/>
          <w:szCs w:val="24"/>
          <w:lang w:val="hr-HR"/>
        </w:rPr>
        <w:t>МЉПИ</w:t>
      </w:r>
      <w:r w:rsidR="00C85854">
        <w:rPr>
          <w:rFonts w:ascii="Times New Roman" w:hAnsi="Times New Roman"/>
          <w:szCs w:val="24"/>
          <w:lang w:val="hr-HR"/>
        </w:rPr>
        <w:t xml:space="preserve"> </w:t>
      </w:r>
      <w:r w:rsidR="00C6214E">
        <w:rPr>
          <w:rFonts w:ascii="Times New Roman" w:hAnsi="Times New Roman"/>
          <w:szCs w:val="24"/>
          <w:lang w:val="hr-HR"/>
        </w:rPr>
        <w:t>БиХ</w:t>
      </w:r>
      <w:r w:rsidR="009E54A2" w:rsidRPr="00295637">
        <w:rPr>
          <w:rFonts w:ascii="Times New Roman" w:hAnsi="Times New Roman"/>
          <w:szCs w:val="24"/>
          <w:lang w:val="hr-HR"/>
        </w:rPr>
        <w:t xml:space="preserve"> </w:t>
      </w:r>
      <w:r w:rsidR="00C6214E">
        <w:rPr>
          <w:rFonts w:ascii="Times New Roman" w:hAnsi="Times New Roman"/>
          <w:szCs w:val="24"/>
          <w:lang w:val="hr-HR"/>
        </w:rPr>
        <w:t>израдила</w:t>
      </w:r>
      <w:r w:rsidR="00FD27DA" w:rsidRPr="00295637">
        <w:rPr>
          <w:rFonts w:ascii="Times New Roman" w:hAnsi="Times New Roman"/>
          <w:szCs w:val="24"/>
          <w:lang w:val="hr-HR"/>
        </w:rPr>
        <w:t xml:space="preserve"> </w:t>
      </w:r>
      <w:r w:rsidR="00C6214E">
        <w:rPr>
          <w:rFonts w:ascii="Times New Roman" w:hAnsi="Times New Roman"/>
          <w:szCs w:val="24"/>
          <w:lang w:val="hr-HR"/>
        </w:rPr>
        <w:t>током</w:t>
      </w:r>
      <w:r w:rsidR="00FD27DA" w:rsidRPr="00295637">
        <w:rPr>
          <w:rFonts w:ascii="Times New Roman" w:hAnsi="Times New Roman"/>
          <w:szCs w:val="24"/>
          <w:lang w:val="hr-HR"/>
        </w:rPr>
        <w:t xml:space="preserve"> 202</w:t>
      </w:r>
      <w:r w:rsidR="00C85854">
        <w:rPr>
          <w:rFonts w:ascii="Times New Roman" w:hAnsi="Times New Roman"/>
          <w:szCs w:val="24"/>
          <w:lang w:val="hr-HR"/>
        </w:rPr>
        <w:t xml:space="preserve">4. </w:t>
      </w:r>
      <w:r w:rsidR="00C6214E">
        <w:rPr>
          <w:rFonts w:ascii="Times New Roman" w:hAnsi="Times New Roman"/>
          <w:szCs w:val="24"/>
          <w:lang w:val="hr-HR"/>
        </w:rPr>
        <w:t>године</w:t>
      </w:r>
      <w:r w:rsidR="00C85854">
        <w:rPr>
          <w:rFonts w:ascii="Times New Roman" w:hAnsi="Times New Roman"/>
          <w:szCs w:val="24"/>
          <w:lang w:val="hr-HR"/>
        </w:rPr>
        <w:t xml:space="preserve"> (</w:t>
      </w:r>
      <w:r w:rsidR="00C6214E">
        <w:rPr>
          <w:rFonts w:ascii="Times New Roman" w:hAnsi="Times New Roman"/>
          <w:szCs w:val="24"/>
          <w:lang w:val="hr-HR"/>
        </w:rPr>
        <w:t>партнерски</w:t>
      </w:r>
      <w:r w:rsidR="00C85854">
        <w:rPr>
          <w:rFonts w:ascii="Times New Roman" w:hAnsi="Times New Roman"/>
          <w:szCs w:val="24"/>
          <w:lang w:val="hr-HR"/>
        </w:rPr>
        <w:t xml:space="preserve"> </w:t>
      </w:r>
      <w:r w:rsidR="00C6214E">
        <w:rPr>
          <w:rFonts w:ascii="Times New Roman" w:hAnsi="Times New Roman"/>
          <w:szCs w:val="24"/>
          <w:lang w:val="hr-HR"/>
        </w:rPr>
        <w:t>програм</w:t>
      </w:r>
      <w:r w:rsidR="00C85854">
        <w:rPr>
          <w:rFonts w:ascii="Times New Roman" w:hAnsi="Times New Roman"/>
          <w:szCs w:val="24"/>
          <w:lang w:val="hr-HR"/>
        </w:rPr>
        <w:t xml:space="preserve"> </w:t>
      </w:r>
      <w:r w:rsidR="00C6214E">
        <w:rPr>
          <w:rFonts w:ascii="Times New Roman" w:hAnsi="Times New Roman"/>
          <w:szCs w:val="24"/>
          <w:lang w:val="hr-HR"/>
        </w:rPr>
        <w:t>са</w:t>
      </w:r>
      <w:r w:rsidR="00FD27DA" w:rsidRPr="00295637">
        <w:rPr>
          <w:rFonts w:ascii="Times New Roman" w:hAnsi="Times New Roman"/>
          <w:szCs w:val="24"/>
          <w:lang w:val="hr-HR"/>
        </w:rPr>
        <w:t xml:space="preserve"> </w:t>
      </w:r>
      <w:r w:rsidR="00C6214E">
        <w:rPr>
          <w:rFonts w:ascii="Times New Roman" w:hAnsi="Times New Roman"/>
          <w:szCs w:val="24"/>
          <w:lang w:val="hr-HR"/>
        </w:rPr>
        <w:t>шведском</w:t>
      </w:r>
      <w:r w:rsidR="00FD27DA" w:rsidRPr="00295637">
        <w:rPr>
          <w:rFonts w:ascii="Times New Roman" w:hAnsi="Times New Roman"/>
          <w:szCs w:val="24"/>
          <w:lang w:val="hr-HR"/>
        </w:rPr>
        <w:t xml:space="preserve"> </w:t>
      </w:r>
      <w:r w:rsidR="00C6214E">
        <w:rPr>
          <w:rFonts w:ascii="Times New Roman" w:hAnsi="Times New Roman"/>
          <w:szCs w:val="24"/>
          <w:lang w:val="hr-HR"/>
        </w:rPr>
        <w:t>Агенцијом</w:t>
      </w:r>
      <w:r w:rsidR="00FD27DA" w:rsidRPr="00295637">
        <w:rPr>
          <w:rFonts w:ascii="Times New Roman" w:hAnsi="Times New Roman"/>
          <w:szCs w:val="24"/>
          <w:lang w:val="hr-HR"/>
        </w:rPr>
        <w:t xml:space="preserve"> </w:t>
      </w:r>
      <w:r w:rsidR="00C6214E">
        <w:rPr>
          <w:rFonts w:ascii="Times New Roman" w:hAnsi="Times New Roman"/>
          <w:szCs w:val="24"/>
          <w:lang w:val="hr-HR"/>
        </w:rPr>
        <w:t>за</w:t>
      </w:r>
      <w:r w:rsidR="00FD27DA" w:rsidRPr="00295637">
        <w:rPr>
          <w:rFonts w:ascii="Times New Roman" w:hAnsi="Times New Roman"/>
          <w:szCs w:val="24"/>
          <w:lang w:val="hr-HR"/>
        </w:rPr>
        <w:t xml:space="preserve"> </w:t>
      </w:r>
      <w:r w:rsidR="00C6214E">
        <w:rPr>
          <w:rFonts w:ascii="Times New Roman" w:hAnsi="Times New Roman"/>
          <w:szCs w:val="24"/>
          <w:lang w:val="hr-HR"/>
        </w:rPr>
        <w:t>равноправност</w:t>
      </w:r>
      <w:r w:rsidR="00FD27DA" w:rsidRPr="00295637">
        <w:rPr>
          <w:rFonts w:ascii="Times New Roman" w:hAnsi="Times New Roman"/>
          <w:szCs w:val="24"/>
          <w:lang w:val="hr-HR"/>
        </w:rPr>
        <w:t xml:space="preserve"> </w:t>
      </w:r>
      <w:r w:rsidR="00C6214E">
        <w:rPr>
          <w:rFonts w:ascii="Times New Roman" w:hAnsi="Times New Roman"/>
          <w:szCs w:val="24"/>
          <w:lang w:val="hr-HR"/>
        </w:rPr>
        <w:t>полова</w:t>
      </w:r>
      <w:r w:rsidR="00FD27DA" w:rsidRPr="00295637">
        <w:rPr>
          <w:rFonts w:ascii="Times New Roman" w:hAnsi="Times New Roman"/>
          <w:szCs w:val="24"/>
          <w:lang w:val="hr-HR"/>
        </w:rPr>
        <w:t xml:space="preserve">, </w:t>
      </w:r>
      <w:r w:rsidR="00C6214E">
        <w:rPr>
          <w:rFonts w:ascii="Times New Roman" w:hAnsi="Times New Roman"/>
          <w:szCs w:val="24"/>
          <w:lang w:val="hr-HR"/>
        </w:rPr>
        <w:t>партнерски</w:t>
      </w:r>
      <w:r w:rsidR="00FD27DA" w:rsidRPr="00295637">
        <w:rPr>
          <w:rFonts w:ascii="Times New Roman" w:hAnsi="Times New Roman"/>
          <w:szCs w:val="24"/>
          <w:lang w:val="hr-HR"/>
        </w:rPr>
        <w:t xml:space="preserve"> </w:t>
      </w:r>
      <w:r w:rsidR="00C6214E">
        <w:rPr>
          <w:rFonts w:ascii="Times New Roman" w:hAnsi="Times New Roman"/>
          <w:szCs w:val="24"/>
          <w:lang w:val="hr-HR"/>
        </w:rPr>
        <w:t>споразум</w:t>
      </w:r>
      <w:r w:rsidR="00FD27DA" w:rsidRPr="00295637">
        <w:rPr>
          <w:rFonts w:ascii="Times New Roman" w:hAnsi="Times New Roman"/>
          <w:szCs w:val="24"/>
          <w:lang w:val="hr-HR"/>
        </w:rPr>
        <w:t xml:space="preserve"> </w:t>
      </w:r>
      <w:r w:rsidR="00C6214E">
        <w:rPr>
          <w:rFonts w:ascii="Times New Roman" w:hAnsi="Times New Roman"/>
          <w:szCs w:val="24"/>
          <w:lang w:val="hr-HR"/>
        </w:rPr>
        <w:t>са</w:t>
      </w:r>
      <w:r w:rsidR="00FD27DA" w:rsidRPr="00295637">
        <w:rPr>
          <w:rFonts w:ascii="Times New Roman" w:hAnsi="Times New Roman"/>
          <w:szCs w:val="24"/>
          <w:lang w:val="hr-HR"/>
        </w:rPr>
        <w:t xml:space="preserve"> </w:t>
      </w:r>
      <w:r w:rsidRPr="002A29B1">
        <w:rPr>
          <w:rFonts w:ascii="Times New Roman" w:hAnsi="Times New Roman"/>
          <w:i/>
          <w:iCs/>
          <w:szCs w:val="24"/>
          <w:lang w:val="hr-HR"/>
        </w:rPr>
        <w:t>UN Women</w:t>
      </w:r>
      <w:r w:rsidR="00FD27DA" w:rsidRPr="00295637">
        <w:rPr>
          <w:rFonts w:ascii="Times New Roman" w:hAnsi="Times New Roman"/>
          <w:szCs w:val="24"/>
          <w:lang w:val="hr-HR"/>
        </w:rPr>
        <w:t xml:space="preserve">, </w:t>
      </w:r>
      <w:r w:rsidR="00C6214E">
        <w:rPr>
          <w:rFonts w:ascii="Times New Roman" w:hAnsi="Times New Roman"/>
          <w:szCs w:val="24"/>
          <w:lang w:val="hr-HR"/>
        </w:rPr>
        <w:t>пројекти</w:t>
      </w:r>
      <w:r w:rsidR="00FD27DA" w:rsidRPr="00295637">
        <w:rPr>
          <w:rFonts w:ascii="Times New Roman" w:hAnsi="Times New Roman"/>
          <w:szCs w:val="24"/>
          <w:lang w:val="hr-HR"/>
        </w:rPr>
        <w:t xml:space="preserve"> </w:t>
      </w:r>
      <w:r w:rsidR="00C6214E">
        <w:rPr>
          <w:rFonts w:ascii="Times New Roman" w:hAnsi="Times New Roman"/>
          <w:szCs w:val="24"/>
          <w:lang w:val="hr-HR"/>
        </w:rPr>
        <w:t>УН</w:t>
      </w:r>
      <w:r w:rsidR="00E5651D" w:rsidRPr="00295637">
        <w:rPr>
          <w:rFonts w:ascii="Times New Roman" w:hAnsi="Times New Roman"/>
          <w:szCs w:val="24"/>
          <w:lang w:val="hr-HR"/>
        </w:rPr>
        <w:t>-</w:t>
      </w:r>
      <w:r w:rsidR="00C6214E">
        <w:rPr>
          <w:rFonts w:ascii="Times New Roman" w:hAnsi="Times New Roman"/>
          <w:szCs w:val="24"/>
          <w:lang w:val="hr-HR"/>
        </w:rPr>
        <w:t>а</w:t>
      </w:r>
      <w:r w:rsidR="00FD27DA" w:rsidRPr="00295637">
        <w:rPr>
          <w:rFonts w:ascii="Times New Roman" w:hAnsi="Times New Roman"/>
          <w:szCs w:val="24"/>
          <w:lang w:val="hr-HR"/>
        </w:rPr>
        <w:t xml:space="preserve"> </w:t>
      </w:r>
      <w:r w:rsidR="00C6214E">
        <w:rPr>
          <w:rFonts w:ascii="Times New Roman" w:hAnsi="Times New Roman"/>
          <w:szCs w:val="24"/>
          <w:lang w:val="hr-HR"/>
        </w:rPr>
        <w:t>у</w:t>
      </w:r>
      <w:r w:rsidR="00FD27DA" w:rsidRPr="00295637">
        <w:rPr>
          <w:rFonts w:ascii="Times New Roman" w:hAnsi="Times New Roman"/>
          <w:szCs w:val="24"/>
          <w:lang w:val="hr-HR"/>
        </w:rPr>
        <w:t xml:space="preserve"> </w:t>
      </w:r>
      <w:r w:rsidR="00C6214E">
        <w:rPr>
          <w:rFonts w:ascii="Times New Roman" w:hAnsi="Times New Roman"/>
          <w:szCs w:val="24"/>
          <w:lang w:val="hr-HR"/>
        </w:rPr>
        <w:t>чијој</w:t>
      </w:r>
      <w:r w:rsidR="00FD27DA" w:rsidRPr="00295637">
        <w:rPr>
          <w:rFonts w:ascii="Times New Roman" w:hAnsi="Times New Roman"/>
          <w:szCs w:val="24"/>
          <w:lang w:val="hr-HR"/>
        </w:rPr>
        <w:t xml:space="preserve"> </w:t>
      </w:r>
      <w:r w:rsidR="00C6214E">
        <w:rPr>
          <w:rFonts w:ascii="Times New Roman" w:hAnsi="Times New Roman"/>
          <w:szCs w:val="24"/>
          <w:lang w:val="hr-HR"/>
        </w:rPr>
        <w:t>изради</w:t>
      </w:r>
      <w:r w:rsidR="00FD27DA" w:rsidRPr="00295637">
        <w:rPr>
          <w:rFonts w:ascii="Times New Roman" w:hAnsi="Times New Roman"/>
          <w:szCs w:val="24"/>
          <w:lang w:val="hr-HR"/>
        </w:rPr>
        <w:t xml:space="preserve"> </w:t>
      </w:r>
      <w:r w:rsidR="00C6214E">
        <w:rPr>
          <w:rFonts w:ascii="Times New Roman" w:hAnsi="Times New Roman"/>
          <w:szCs w:val="24"/>
          <w:lang w:val="hr-HR"/>
        </w:rPr>
        <w:t>је</w:t>
      </w:r>
      <w:r w:rsidR="00FD27DA" w:rsidRPr="00295637">
        <w:rPr>
          <w:rFonts w:ascii="Times New Roman" w:hAnsi="Times New Roman"/>
          <w:szCs w:val="24"/>
          <w:lang w:val="hr-HR"/>
        </w:rPr>
        <w:t xml:space="preserve"> </w:t>
      </w:r>
      <w:r w:rsidR="00C6214E">
        <w:rPr>
          <w:rFonts w:ascii="Times New Roman" w:hAnsi="Times New Roman"/>
          <w:szCs w:val="24"/>
          <w:lang w:val="hr-HR"/>
        </w:rPr>
        <w:t>АР</w:t>
      </w:r>
      <w:r>
        <w:rPr>
          <w:rFonts w:ascii="Times New Roman" w:hAnsi="Times New Roman"/>
          <w:szCs w:val="24"/>
          <w:lang w:val="sr-Cyrl-BA"/>
        </w:rPr>
        <w:t>П</w:t>
      </w:r>
      <w:r w:rsidR="00C85854">
        <w:rPr>
          <w:rFonts w:ascii="Times New Roman" w:hAnsi="Times New Roman"/>
          <w:szCs w:val="24"/>
          <w:lang w:val="hr-HR"/>
        </w:rPr>
        <w:t xml:space="preserve"> </w:t>
      </w:r>
      <w:r w:rsidR="00C6214E">
        <w:rPr>
          <w:rFonts w:ascii="Times New Roman" w:hAnsi="Times New Roman"/>
          <w:szCs w:val="24"/>
          <w:lang w:val="hr-HR"/>
        </w:rPr>
        <w:t>БиХ</w:t>
      </w:r>
      <w:r w:rsidR="00EC48AC">
        <w:rPr>
          <w:rFonts w:ascii="Times New Roman" w:hAnsi="Times New Roman"/>
          <w:szCs w:val="24"/>
          <w:lang w:val="hr-HR"/>
        </w:rPr>
        <w:t xml:space="preserve"> </w:t>
      </w:r>
      <w:r w:rsidR="00C6214E">
        <w:rPr>
          <w:rFonts w:ascii="Times New Roman" w:hAnsi="Times New Roman"/>
          <w:szCs w:val="24"/>
          <w:lang w:val="hr-HR"/>
        </w:rPr>
        <w:t>МЉПИ</w:t>
      </w:r>
      <w:r w:rsidR="00DC4A18">
        <w:rPr>
          <w:rFonts w:ascii="Times New Roman" w:hAnsi="Times New Roman"/>
          <w:szCs w:val="24"/>
          <w:lang w:val="hr-HR"/>
        </w:rPr>
        <w:t xml:space="preserve"> </w:t>
      </w:r>
      <w:r w:rsidR="00C6214E">
        <w:rPr>
          <w:rFonts w:ascii="Times New Roman" w:hAnsi="Times New Roman"/>
          <w:szCs w:val="24"/>
          <w:lang w:val="hr-HR"/>
        </w:rPr>
        <w:t>БиХ</w:t>
      </w:r>
      <w:r w:rsidR="00FD27DA" w:rsidRPr="00295637">
        <w:rPr>
          <w:rFonts w:ascii="Times New Roman" w:hAnsi="Times New Roman"/>
          <w:szCs w:val="24"/>
          <w:lang w:val="hr-HR"/>
        </w:rPr>
        <w:t xml:space="preserve"> </w:t>
      </w:r>
      <w:r w:rsidR="00C6214E">
        <w:rPr>
          <w:rFonts w:ascii="Times New Roman" w:hAnsi="Times New Roman"/>
          <w:szCs w:val="24"/>
          <w:lang w:val="hr-HR"/>
        </w:rPr>
        <w:t>активно</w:t>
      </w:r>
      <w:r w:rsidR="00FD27DA" w:rsidRPr="00295637">
        <w:rPr>
          <w:rFonts w:ascii="Times New Roman" w:hAnsi="Times New Roman"/>
          <w:szCs w:val="24"/>
          <w:lang w:val="hr-HR"/>
        </w:rPr>
        <w:t xml:space="preserve"> </w:t>
      </w:r>
      <w:r w:rsidR="00C6214E">
        <w:rPr>
          <w:rFonts w:ascii="Times New Roman" w:hAnsi="Times New Roman"/>
          <w:szCs w:val="24"/>
          <w:lang w:val="hr-HR"/>
        </w:rPr>
        <w:t>учествовала</w:t>
      </w:r>
      <w:r w:rsidR="00FD27DA" w:rsidRPr="00295637">
        <w:rPr>
          <w:rFonts w:ascii="Times New Roman" w:hAnsi="Times New Roman"/>
          <w:szCs w:val="24"/>
          <w:lang w:val="hr-HR"/>
        </w:rPr>
        <w:t xml:space="preserve">), </w:t>
      </w:r>
      <w:r w:rsidR="00C6214E">
        <w:rPr>
          <w:rFonts w:ascii="Times New Roman" w:hAnsi="Times New Roman"/>
          <w:szCs w:val="24"/>
          <w:lang w:val="hr-HR"/>
        </w:rPr>
        <w:t>тако</w:t>
      </w:r>
      <w:r w:rsidR="00FD27DA" w:rsidRPr="00295637">
        <w:rPr>
          <w:rFonts w:ascii="Times New Roman" w:hAnsi="Times New Roman"/>
          <w:szCs w:val="24"/>
          <w:lang w:val="hr-HR"/>
        </w:rPr>
        <w:t xml:space="preserve"> </w:t>
      </w:r>
      <w:r w:rsidR="00C6214E">
        <w:rPr>
          <w:rFonts w:ascii="Times New Roman" w:hAnsi="Times New Roman"/>
          <w:szCs w:val="24"/>
          <w:lang w:val="hr-HR"/>
        </w:rPr>
        <w:t>да</w:t>
      </w:r>
      <w:r w:rsidR="00FD27DA" w:rsidRPr="00295637">
        <w:rPr>
          <w:rFonts w:ascii="Times New Roman" w:hAnsi="Times New Roman"/>
          <w:szCs w:val="24"/>
          <w:lang w:val="hr-HR"/>
        </w:rPr>
        <w:t xml:space="preserve"> </w:t>
      </w:r>
      <w:r w:rsidR="00C6214E">
        <w:rPr>
          <w:rFonts w:ascii="Times New Roman" w:hAnsi="Times New Roman"/>
          <w:szCs w:val="24"/>
          <w:lang w:val="hr-HR"/>
        </w:rPr>
        <w:t>је</w:t>
      </w:r>
      <w:r w:rsidR="00FD27DA" w:rsidRPr="00295637">
        <w:rPr>
          <w:rFonts w:ascii="Times New Roman" w:hAnsi="Times New Roman"/>
          <w:szCs w:val="24"/>
          <w:lang w:val="hr-HR"/>
        </w:rPr>
        <w:t xml:space="preserve"> </w:t>
      </w:r>
      <w:r w:rsidR="00C6214E">
        <w:rPr>
          <w:rFonts w:ascii="Times New Roman" w:hAnsi="Times New Roman"/>
          <w:szCs w:val="24"/>
          <w:lang w:val="hr-HR"/>
        </w:rPr>
        <w:t>о</w:t>
      </w:r>
      <w:r>
        <w:rPr>
          <w:rFonts w:ascii="Times New Roman" w:hAnsi="Times New Roman"/>
          <w:szCs w:val="24"/>
          <w:lang w:val="sr-Cyrl-BA"/>
        </w:rPr>
        <w:t>безбијеђен</w:t>
      </w:r>
      <w:r w:rsidR="00FD27DA" w:rsidRPr="00295637">
        <w:rPr>
          <w:rFonts w:ascii="Times New Roman" w:hAnsi="Times New Roman"/>
          <w:szCs w:val="24"/>
          <w:lang w:val="hr-HR"/>
        </w:rPr>
        <w:t xml:space="preserve"> </w:t>
      </w:r>
      <w:r w:rsidR="00C6214E">
        <w:rPr>
          <w:rFonts w:ascii="Times New Roman" w:hAnsi="Times New Roman"/>
          <w:szCs w:val="24"/>
          <w:lang w:val="hr-HR"/>
        </w:rPr>
        <w:t>наставак</w:t>
      </w:r>
      <w:r w:rsidR="00FD27DA" w:rsidRPr="00295637">
        <w:rPr>
          <w:rFonts w:ascii="Times New Roman" w:hAnsi="Times New Roman"/>
          <w:szCs w:val="24"/>
          <w:lang w:val="hr-HR"/>
        </w:rPr>
        <w:t xml:space="preserve"> </w:t>
      </w:r>
      <w:r w:rsidR="00C6214E">
        <w:rPr>
          <w:rFonts w:ascii="Times New Roman" w:hAnsi="Times New Roman"/>
          <w:szCs w:val="24"/>
          <w:lang w:val="hr-HR"/>
        </w:rPr>
        <w:t>финансирања</w:t>
      </w:r>
      <w:r w:rsidR="00FD27DA" w:rsidRPr="00295637">
        <w:rPr>
          <w:rFonts w:ascii="Times New Roman" w:hAnsi="Times New Roman"/>
          <w:szCs w:val="24"/>
          <w:lang w:val="hr-HR"/>
        </w:rPr>
        <w:t xml:space="preserve"> </w:t>
      </w:r>
      <w:r w:rsidR="00C6214E">
        <w:rPr>
          <w:rFonts w:ascii="Times New Roman" w:hAnsi="Times New Roman"/>
          <w:szCs w:val="24"/>
          <w:lang w:val="hr-HR"/>
        </w:rPr>
        <w:t>регионалне</w:t>
      </w:r>
      <w:r w:rsidR="00FD27DA" w:rsidRPr="00295637">
        <w:rPr>
          <w:rFonts w:ascii="Times New Roman" w:hAnsi="Times New Roman"/>
          <w:szCs w:val="24"/>
          <w:lang w:val="hr-HR"/>
        </w:rPr>
        <w:t xml:space="preserve"> </w:t>
      </w:r>
      <w:r w:rsidR="00C6214E">
        <w:rPr>
          <w:rFonts w:ascii="Times New Roman" w:hAnsi="Times New Roman"/>
          <w:szCs w:val="24"/>
          <w:lang w:val="hr-HR"/>
        </w:rPr>
        <w:t>сарадње</w:t>
      </w:r>
      <w:r w:rsidR="00FD27DA" w:rsidRPr="00295637">
        <w:rPr>
          <w:rFonts w:ascii="Times New Roman" w:hAnsi="Times New Roman"/>
          <w:szCs w:val="24"/>
          <w:lang w:val="hr-HR"/>
        </w:rPr>
        <w:t>.</w:t>
      </w:r>
    </w:p>
    <w:p w:rsidR="00E5651D" w:rsidRPr="00295637" w:rsidRDefault="00E5651D" w:rsidP="0086268D">
      <w:pPr>
        <w:rPr>
          <w:szCs w:val="24"/>
          <w:lang w:val="bs-Latn-BA"/>
        </w:rPr>
      </w:pPr>
    </w:p>
    <w:p w:rsidR="00C45A07" w:rsidRDefault="002A29B1" w:rsidP="009523E7">
      <w:pPr>
        <w:pStyle w:val="HTMLPreformatted"/>
        <w:jc w:val="both"/>
        <w:rPr>
          <w:rStyle w:val="y2iqfc"/>
          <w:rFonts w:ascii="Times New Roman" w:hAnsi="Times New Roman" w:cs="Times New Roman"/>
          <w:color w:val="1F1F1F"/>
          <w:sz w:val="24"/>
          <w:szCs w:val="24"/>
        </w:rPr>
      </w:pPr>
      <w:r w:rsidRPr="002A29B1">
        <w:rPr>
          <w:rFonts w:ascii="Times New Roman" w:hAnsi="Times New Roman" w:cs="Times New Roman"/>
          <w:i/>
          <w:color w:val="1F1F1F"/>
          <w:sz w:val="24"/>
          <w:szCs w:val="24"/>
          <w:lang w:val="hr-BA"/>
        </w:rPr>
        <w:t>GIZ</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је</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у</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извјештајном</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периоду</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пружао</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подршку</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Форуму</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за</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равноправност</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полова</w:t>
      </w:r>
      <w:r w:rsidR="009A4D51"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у</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оквиру</w:t>
      </w:r>
      <w:r w:rsidR="00EC48AC">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Берлинског</w:t>
      </w:r>
      <w:r w:rsidR="00EC48AC">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процеса</w:t>
      </w:r>
      <w:r w:rsidR="00EC48AC">
        <w:rPr>
          <w:rStyle w:val="y2iqfc"/>
          <w:rFonts w:ascii="Times New Roman" w:hAnsi="Times New Roman" w:cs="Times New Roman"/>
          <w:color w:val="1F1F1F"/>
          <w:sz w:val="24"/>
          <w:szCs w:val="24"/>
        </w:rPr>
        <w:t xml:space="preserve"> 2024</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године</w:t>
      </w:r>
      <w:r w:rsidR="00EC48AC">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у</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сарадњи</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са</w:t>
      </w:r>
      <w:r w:rsidR="009523E7">
        <w:rPr>
          <w:rStyle w:val="y2iqfc"/>
          <w:rFonts w:ascii="Times New Roman" w:hAnsi="Times New Roman" w:cs="Times New Roman"/>
          <w:color w:val="1F1F1F"/>
          <w:sz w:val="24"/>
          <w:szCs w:val="24"/>
        </w:rPr>
        <w:t xml:space="preserve"> </w:t>
      </w:r>
      <w:r w:rsidRPr="002A29B1">
        <w:rPr>
          <w:rFonts w:ascii="Times New Roman" w:hAnsi="Times New Roman" w:cs="Times New Roman"/>
          <w:i/>
          <w:color w:val="1F1F1F"/>
          <w:sz w:val="24"/>
          <w:szCs w:val="24"/>
          <w:lang w:val="hr-BA"/>
        </w:rPr>
        <w:t>GIZ</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пројектима</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Подршка</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социјалној</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инклузији</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у</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Србији</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Социјална</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инклузија</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угрожених</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група</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на</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Западном</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Балкану</w:t>
      </w:r>
      <w:r w:rsidR="009523E7">
        <w:rPr>
          <w:rStyle w:val="y2iqfc"/>
          <w:rFonts w:ascii="Times New Roman" w:hAnsi="Times New Roman" w:cs="Times New Roman"/>
          <w:color w:val="1F1F1F"/>
          <w:sz w:val="24"/>
          <w:szCs w:val="24"/>
        </w:rPr>
        <w:t>“</w:t>
      </w:r>
      <w:r w:rsidR="0092176F" w:rsidRPr="00295637">
        <w:rPr>
          <w:rStyle w:val="y2iqfc"/>
          <w:rFonts w:ascii="Times New Roman" w:hAnsi="Times New Roman" w:cs="Times New Roman"/>
          <w:color w:val="1F1F1F"/>
          <w:sz w:val="24"/>
          <w:szCs w:val="24"/>
        </w:rPr>
        <w:t xml:space="preserve"> (</w:t>
      </w:r>
      <w:r w:rsidRPr="002A29B1">
        <w:rPr>
          <w:rFonts w:ascii="Times New Roman" w:hAnsi="Times New Roman" w:cs="Times New Roman"/>
          <w:i/>
          <w:color w:val="1F1F1F"/>
          <w:sz w:val="24"/>
          <w:szCs w:val="24"/>
          <w:lang w:val="hr-BA"/>
        </w:rPr>
        <w:t>SoRi III</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Форум</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за</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равноправност</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полова</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окупља</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агенције</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за</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родну</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равноправност</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представнике</w:t>
      </w:r>
      <w:r w:rsidR="00493873" w:rsidRPr="00295637">
        <w:rPr>
          <w:rStyle w:val="y2iqfc"/>
          <w:rFonts w:ascii="Times New Roman" w:hAnsi="Times New Roman" w:cs="Times New Roman"/>
          <w:color w:val="1F1F1F"/>
          <w:sz w:val="24"/>
          <w:szCs w:val="24"/>
        </w:rPr>
        <w:t>/</w:t>
      </w:r>
      <w:r w:rsidR="00C6214E">
        <w:rPr>
          <w:rStyle w:val="y2iqfc"/>
          <w:rFonts w:ascii="Times New Roman" w:hAnsi="Times New Roman" w:cs="Times New Roman"/>
          <w:color w:val="1F1F1F"/>
          <w:sz w:val="24"/>
          <w:szCs w:val="24"/>
        </w:rPr>
        <w:t>це</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парламената</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невладине</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организације</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начелнице</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пословне</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жене</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шест</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земаља</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Западног</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Балкана</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У</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јуну</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је</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у</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Бару</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Црна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Гора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одржан</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припремни</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састанак</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са</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представницима</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агенција</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за</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равноправност</w:t>
      </w:r>
      <w:r w:rsidR="008119A2"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полова</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представницима</w:t>
      </w:r>
      <w:r w:rsidR="008119A2" w:rsidRPr="00295637">
        <w:rPr>
          <w:rStyle w:val="y2iqfc"/>
          <w:rFonts w:ascii="Times New Roman" w:hAnsi="Times New Roman" w:cs="Times New Roman"/>
          <w:color w:val="1F1F1F"/>
          <w:sz w:val="24"/>
          <w:szCs w:val="24"/>
        </w:rPr>
        <w:t>/</w:t>
      </w:r>
      <w:r w:rsidR="00C6214E">
        <w:rPr>
          <w:rStyle w:val="y2iqfc"/>
          <w:rFonts w:ascii="Times New Roman" w:hAnsi="Times New Roman" w:cs="Times New Roman"/>
          <w:color w:val="1F1F1F"/>
          <w:sz w:val="24"/>
          <w:szCs w:val="24"/>
        </w:rPr>
        <w:t>цама</w:t>
      </w:r>
      <w:r w:rsidR="008119A2"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парламената</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земаља</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Западног</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Балкана</w:t>
      </w:r>
      <w:r w:rsidR="008119A2" w:rsidRPr="00295637">
        <w:rPr>
          <w:rStyle w:val="y2iqfc"/>
          <w:rFonts w:ascii="Times New Roman" w:hAnsi="Times New Roman" w:cs="Times New Roman"/>
          <w:color w:val="1F1F1F"/>
          <w:sz w:val="24"/>
          <w:szCs w:val="24"/>
        </w:rPr>
        <w:t>,</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јулу</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у</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Подгорици</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припремни</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састанак</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градоначелница</w:t>
      </w:r>
      <w:r w:rsidR="009523E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Мрежом</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асоцијација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локалних</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власти</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Југоисточне</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Европе</w:t>
      </w:r>
      <w:r w:rsidR="000E11E8" w:rsidRPr="00295637">
        <w:rPr>
          <w:rStyle w:val="y2iqfc"/>
          <w:rFonts w:ascii="Times New Roman" w:hAnsi="Times New Roman" w:cs="Times New Roman"/>
          <w:color w:val="1F1F1F"/>
          <w:sz w:val="24"/>
          <w:szCs w:val="24"/>
        </w:rPr>
        <w:t xml:space="preserve"> (</w:t>
      </w:r>
      <w:r w:rsidRPr="002A29B1">
        <w:rPr>
          <w:rFonts w:ascii="Times New Roman" w:hAnsi="Times New Roman" w:cs="Times New Roman"/>
          <w:i/>
          <w:color w:val="1F1F1F"/>
          <w:sz w:val="24"/>
          <w:szCs w:val="24"/>
          <w:lang w:val="hr-BA"/>
        </w:rPr>
        <w:t>NALAS</w:t>
      </w:r>
      <w:r w:rsidR="000E11E8" w:rsidRPr="00295637">
        <w:rPr>
          <w:rStyle w:val="y2iqfc"/>
          <w:rFonts w:ascii="Times New Roman" w:hAnsi="Times New Roman" w:cs="Times New Roman"/>
          <w:color w:val="1F1F1F"/>
          <w:sz w:val="24"/>
          <w:szCs w:val="24"/>
        </w:rPr>
        <w:t>).</w:t>
      </w:r>
      <w:r w:rsidR="0092176F"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У</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Берлину</w:t>
      </w:r>
      <w:r w:rsidR="009A4D51"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је</w:t>
      </w:r>
      <w:r w:rsidR="009A4D51"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у</w:t>
      </w:r>
      <w:r w:rsidR="009A4D51"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септембру</w:t>
      </w:r>
      <w:r w:rsidR="000E11E8" w:rsidRPr="00295637">
        <w:rPr>
          <w:rStyle w:val="y2iqfc"/>
          <w:rFonts w:ascii="Times New Roman" w:hAnsi="Times New Roman" w:cs="Times New Roman"/>
          <w:color w:val="1F1F1F"/>
          <w:sz w:val="24"/>
          <w:szCs w:val="24"/>
        </w:rPr>
        <w:t xml:space="preserve"> 2024. </w:t>
      </w:r>
      <w:r w:rsidR="00C6214E">
        <w:rPr>
          <w:rStyle w:val="y2iqfc"/>
          <w:rFonts w:ascii="Times New Roman" w:hAnsi="Times New Roman" w:cs="Times New Roman"/>
          <w:color w:val="1F1F1F"/>
          <w:sz w:val="24"/>
          <w:szCs w:val="24"/>
        </w:rPr>
        <w:t>године</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одржан</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састанак</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Форума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Припремни</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састанци</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Форум</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резултирали</w:t>
      </w:r>
      <w:r w:rsidR="009A4D51"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су</w:t>
      </w:r>
      <w:r w:rsidR="009A4D51"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изразима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посвећености</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да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се</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истраже</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могућности</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успостављање</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регионалног</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механизма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финансирања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подршке</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широком</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спектру</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иницијатива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равноправност</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полова</w:t>
      </w:r>
      <w:r w:rsidR="00493873"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као</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да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Форум</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за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родну</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равноправност</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буде</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институционализ</w:t>
      </w:r>
      <w:r>
        <w:rPr>
          <w:rStyle w:val="y2iqfc"/>
          <w:rFonts w:ascii="Times New Roman" w:hAnsi="Times New Roman" w:cs="Times New Roman"/>
          <w:color w:val="1F1F1F"/>
          <w:sz w:val="24"/>
          <w:szCs w:val="24"/>
          <w:lang w:val="sr-Cyrl-BA"/>
        </w:rPr>
        <w:t>ован</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као</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стална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компонента</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Берлинског</w:t>
      </w:r>
      <w:r w:rsidR="000E11E8" w:rsidRPr="00295637">
        <w:rPr>
          <w:rStyle w:val="y2iqfc"/>
          <w:rFonts w:ascii="Times New Roman" w:hAnsi="Times New Roman" w:cs="Times New Roman"/>
          <w:color w:val="1F1F1F"/>
          <w:sz w:val="24"/>
          <w:szCs w:val="24"/>
        </w:rPr>
        <w:t xml:space="preserve"> </w:t>
      </w:r>
      <w:r w:rsidR="00C6214E">
        <w:rPr>
          <w:rStyle w:val="y2iqfc"/>
          <w:rFonts w:ascii="Times New Roman" w:hAnsi="Times New Roman" w:cs="Times New Roman"/>
          <w:color w:val="1F1F1F"/>
          <w:sz w:val="24"/>
          <w:szCs w:val="24"/>
        </w:rPr>
        <w:t>процеса</w:t>
      </w:r>
      <w:r w:rsidR="000E11E8" w:rsidRPr="00295637">
        <w:rPr>
          <w:rStyle w:val="y2iqfc"/>
          <w:rFonts w:ascii="Times New Roman" w:hAnsi="Times New Roman" w:cs="Times New Roman"/>
          <w:color w:val="1F1F1F"/>
          <w:sz w:val="24"/>
          <w:szCs w:val="24"/>
        </w:rPr>
        <w:t>.</w:t>
      </w:r>
    </w:p>
    <w:p w:rsidR="00C45A07" w:rsidRDefault="00C45A07" w:rsidP="0086268D">
      <w:pPr>
        <w:pStyle w:val="HTMLPreformatted"/>
        <w:jc w:val="both"/>
        <w:rPr>
          <w:rStyle w:val="y2iqfc"/>
          <w:rFonts w:ascii="Times New Roman" w:hAnsi="Times New Roman" w:cs="Times New Roman"/>
          <w:color w:val="1F1F1F"/>
          <w:sz w:val="24"/>
          <w:szCs w:val="24"/>
        </w:rPr>
      </w:pPr>
    </w:p>
    <w:p w:rsidR="00DF5D69" w:rsidRPr="00C45A07" w:rsidRDefault="00C6214E" w:rsidP="0086268D">
      <w:pPr>
        <w:pStyle w:val="HTMLPreformatted"/>
        <w:jc w:val="both"/>
        <w:rPr>
          <w:rStyle w:val="y2iqfc"/>
          <w:rFonts w:ascii="Times New Roman" w:hAnsi="Times New Roman" w:cs="Times New Roman"/>
          <w:color w:val="1F1F1F"/>
          <w:sz w:val="24"/>
          <w:szCs w:val="24"/>
        </w:rPr>
      </w:pPr>
      <w:r>
        <w:rPr>
          <w:rFonts w:ascii="Times New Roman" w:hAnsi="Times New Roman"/>
          <w:sz w:val="24"/>
          <w:szCs w:val="24"/>
          <w:lang w:val="sr-Latn-BA"/>
        </w:rPr>
        <w:t>ЦЈРП</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РС</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је</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учествовао</w:t>
      </w:r>
      <w:r w:rsidR="009523E7">
        <w:rPr>
          <w:rFonts w:ascii="Times New Roman" w:hAnsi="Times New Roman"/>
          <w:sz w:val="24"/>
          <w:szCs w:val="24"/>
          <w:lang w:val="sr-Cyrl-BA"/>
        </w:rPr>
        <w:t xml:space="preserve"> </w:t>
      </w:r>
      <w:r>
        <w:rPr>
          <w:rFonts w:ascii="Times New Roman" w:hAnsi="Times New Roman"/>
          <w:sz w:val="24"/>
          <w:szCs w:val="24"/>
          <w:lang w:val="sr-Cyrl-BA"/>
        </w:rPr>
        <w:t>с</w:t>
      </w:r>
      <w:r>
        <w:rPr>
          <w:rFonts w:ascii="Times New Roman" w:hAnsi="Times New Roman"/>
          <w:sz w:val="24"/>
          <w:szCs w:val="24"/>
          <w:lang w:val="hr-HR"/>
        </w:rPr>
        <w:t>а</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излагањем</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на</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међународној</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конференцији</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у</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оквиру</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кампање</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Стоп</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фемициду</w:t>
      </w:r>
      <w:r w:rsidR="00C45A07" w:rsidRPr="00772C69">
        <w:rPr>
          <w:rFonts w:ascii="Times New Roman" w:hAnsi="Times New Roman"/>
          <w:sz w:val="24"/>
          <w:szCs w:val="24"/>
          <w:lang w:val="sr-Cyrl-BA"/>
        </w:rPr>
        <w:t xml:space="preserve">! 16 </w:t>
      </w:r>
      <w:r>
        <w:rPr>
          <w:rFonts w:ascii="Times New Roman" w:hAnsi="Times New Roman"/>
          <w:sz w:val="24"/>
          <w:szCs w:val="24"/>
          <w:lang w:val="sr-Cyrl-BA"/>
        </w:rPr>
        <w:t>дана</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активизма</w:t>
      </w:r>
      <w:r w:rsidR="00C45A07" w:rsidRPr="00772C69">
        <w:rPr>
          <w:rFonts w:ascii="Times New Roman" w:hAnsi="Times New Roman"/>
          <w:sz w:val="24"/>
          <w:szCs w:val="24"/>
          <w:lang w:val="sr-Cyrl-BA"/>
        </w:rPr>
        <w:t xml:space="preserve"> – </w:t>
      </w:r>
      <w:r>
        <w:rPr>
          <w:rFonts w:ascii="Times New Roman" w:hAnsi="Times New Roman"/>
          <w:sz w:val="24"/>
          <w:szCs w:val="24"/>
          <w:lang w:val="sr-Latn-BA"/>
        </w:rPr>
        <w:t>Свет</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без</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насиља</w:t>
      </w:r>
      <w:r w:rsidR="009523E7">
        <w:rPr>
          <w:rFonts w:ascii="Times New Roman" w:hAnsi="Times New Roman"/>
          <w:sz w:val="24"/>
          <w:szCs w:val="24"/>
          <w:lang w:val="hr-HR"/>
        </w:rPr>
        <w:t>“</w:t>
      </w:r>
      <w:r w:rsidR="00C45A07" w:rsidRPr="00772C69">
        <w:rPr>
          <w:rFonts w:ascii="Times New Roman" w:hAnsi="Times New Roman"/>
          <w:sz w:val="24"/>
          <w:szCs w:val="24"/>
          <w:lang w:val="sr-Cyrl-BA"/>
        </w:rPr>
        <w:t xml:space="preserve"> </w:t>
      </w:r>
      <w:r>
        <w:rPr>
          <w:rFonts w:ascii="Times New Roman" w:hAnsi="Times New Roman"/>
          <w:sz w:val="24"/>
          <w:szCs w:val="24"/>
          <w:lang w:val="sr-Latn-BA"/>
        </w:rPr>
        <w:t>у</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Београд</w:t>
      </w:r>
      <w:r>
        <w:rPr>
          <w:rFonts w:ascii="Times New Roman" w:hAnsi="Times New Roman"/>
          <w:sz w:val="24"/>
          <w:szCs w:val="24"/>
          <w:lang w:val="sr-Latn-BA"/>
        </w:rPr>
        <w:t>у</w:t>
      </w:r>
      <w:r w:rsidR="00C45A07" w:rsidRPr="00772C69">
        <w:rPr>
          <w:rFonts w:ascii="Times New Roman" w:hAnsi="Times New Roman"/>
          <w:sz w:val="24"/>
          <w:szCs w:val="24"/>
          <w:lang w:val="sr-Cyrl-BA"/>
        </w:rPr>
        <w:t xml:space="preserve">, </w:t>
      </w:r>
      <w:r>
        <w:rPr>
          <w:rFonts w:ascii="Times New Roman" w:hAnsi="Times New Roman"/>
          <w:sz w:val="24"/>
          <w:szCs w:val="24"/>
          <w:lang w:val="sr-Latn-BA"/>
        </w:rPr>
        <w:t>у</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организацији</w:t>
      </w:r>
      <w:r w:rsidR="00C45A07" w:rsidRPr="00772C69">
        <w:rPr>
          <w:rFonts w:ascii="Times New Roman" w:hAnsi="Times New Roman"/>
          <w:sz w:val="24"/>
          <w:szCs w:val="24"/>
          <w:lang w:val="sr-Latn-BA"/>
        </w:rPr>
        <w:t xml:space="preserve"> </w:t>
      </w:r>
      <w:r>
        <w:rPr>
          <w:rFonts w:ascii="Times New Roman" w:hAnsi="Times New Roman"/>
          <w:sz w:val="24"/>
          <w:szCs w:val="24"/>
          <w:lang w:val="sr-Cyrl-BA"/>
        </w:rPr>
        <w:t>Влад</w:t>
      </w:r>
      <w:r>
        <w:rPr>
          <w:rFonts w:ascii="Times New Roman" w:hAnsi="Times New Roman"/>
          <w:sz w:val="24"/>
          <w:szCs w:val="24"/>
          <w:lang w:val="sr-Latn-BA"/>
        </w:rPr>
        <w:t>е</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Републике</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Србије</w:t>
      </w:r>
      <w:r w:rsidR="00C45A07" w:rsidRPr="00772C69">
        <w:rPr>
          <w:rFonts w:ascii="Times New Roman" w:hAnsi="Times New Roman"/>
          <w:sz w:val="24"/>
          <w:szCs w:val="24"/>
          <w:lang w:val="sr-Latn-BA"/>
        </w:rPr>
        <w:t xml:space="preserve">. </w:t>
      </w:r>
      <w:r w:rsidR="002A29B1">
        <w:rPr>
          <w:rFonts w:ascii="Times New Roman" w:hAnsi="Times New Roman"/>
          <w:sz w:val="24"/>
          <w:szCs w:val="24"/>
          <w:lang w:val="sr-Latn-BA"/>
        </w:rPr>
        <w:t>Такође</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је</w:t>
      </w:r>
      <w:r w:rsidR="00C45A07" w:rsidRPr="00772C69">
        <w:rPr>
          <w:rFonts w:ascii="Times New Roman" w:hAnsi="Times New Roman"/>
          <w:sz w:val="24"/>
          <w:szCs w:val="24"/>
          <w:lang w:val="sr-Latn-BA"/>
        </w:rPr>
        <w:t xml:space="preserve"> </w:t>
      </w:r>
      <w:r>
        <w:rPr>
          <w:rFonts w:ascii="Times New Roman" w:hAnsi="Times New Roman"/>
          <w:sz w:val="24"/>
          <w:szCs w:val="24"/>
          <w:lang w:val="sr-Cyrl-BA"/>
        </w:rPr>
        <w:t>присуствова</w:t>
      </w:r>
      <w:r>
        <w:rPr>
          <w:rFonts w:ascii="Times New Roman" w:hAnsi="Times New Roman"/>
          <w:sz w:val="24"/>
          <w:szCs w:val="24"/>
          <w:lang w:val="sr-Latn-BA"/>
        </w:rPr>
        <w:t>о</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обиљежавању</w:t>
      </w:r>
      <w:r w:rsidR="00C45A07" w:rsidRPr="00772C69">
        <w:rPr>
          <w:rFonts w:ascii="Times New Roman" w:hAnsi="Times New Roman"/>
          <w:sz w:val="24"/>
          <w:szCs w:val="24"/>
          <w:lang w:val="sr-Cyrl-BA"/>
        </w:rPr>
        <w:t xml:space="preserve"> 20 </w:t>
      </w:r>
      <w:r>
        <w:rPr>
          <w:rFonts w:ascii="Times New Roman" w:hAnsi="Times New Roman"/>
          <w:sz w:val="24"/>
          <w:szCs w:val="24"/>
          <w:lang w:val="sr-Cyrl-BA"/>
        </w:rPr>
        <w:t>година</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од</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оснивања</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Завода</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за</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равноправност</w:t>
      </w:r>
      <w:r w:rsidR="00C45A07" w:rsidRPr="00772C69">
        <w:rPr>
          <w:rFonts w:ascii="Times New Roman" w:hAnsi="Times New Roman"/>
          <w:sz w:val="24"/>
          <w:szCs w:val="24"/>
          <w:lang w:val="sr-Cyrl-BA"/>
        </w:rPr>
        <w:t xml:space="preserve"> </w:t>
      </w:r>
      <w:r>
        <w:rPr>
          <w:rFonts w:ascii="Times New Roman" w:hAnsi="Times New Roman"/>
          <w:sz w:val="24"/>
          <w:szCs w:val="24"/>
          <w:lang w:val="sr-Cyrl-BA"/>
        </w:rPr>
        <w:t>полова</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АП</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Војводине</w:t>
      </w:r>
      <w:r w:rsidR="009523E7">
        <w:rPr>
          <w:rFonts w:ascii="Times New Roman" w:hAnsi="Times New Roman"/>
          <w:sz w:val="24"/>
          <w:szCs w:val="24"/>
          <w:lang w:val="sr-Latn-BA"/>
        </w:rPr>
        <w:t xml:space="preserve">, </w:t>
      </w:r>
      <w:r>
        <w:rPr>
          <w:rFonts w:ascii="Times New Roman" w:hAnsi="Times New Roman"/>
          <w:sz w:val="24"/>
          <w:szCs w:val="24"/>
          <w:lang w:val="sr-Latn-BA"/>
        </w:rPr>
        <w:t>у</w:t>
      </w:r>
      <w:r w:rsidR="009523E7">
        <w:rPr>
          <w:rFonts w:ascii="Times New Roman" w:hAnsi="Times New Roman"/>
          <w:sz w:val="24"/>
          <w:szCs w:val="24"/>
          <w:lang w:val="sr-Latn-BA"/>
        </w:rPr>
        <w:t xml:space="preserve"> </w:t>
      </w:r>
      <w:r>
        <w:rPr>
          <w:rFonts w:ascii="Times New Roman" w:hAnsi="Times New Roman"/>
          <w:sz w:val="24"/>
          <w:szCs w:val="24"/>
          <w:lang w:val="sr-Latn-BA"/>
        </w:rPr>
        <w:t>Републици</w:t>
      </w:r>
      <w:r w:rsidR="009523E7">
        <w:rPr>
          <w:rFonts w:ascii="Times New Roman" w:hAnsi="Times New Roman"/>
          <w:sz w:val="24"/>
          <w:szCs w:val="24"/>
          <w:lang w:val="sr-Latn-BA"/>
        </w:rPr>
        <w:t xml:space="preserve"> </w:t>
      </w:r>
      <w:r>
        <w:rPr>
          <w:rFonts w:ascii="Times New Roman" w:hAnsi="Times New Roman"/>
          <w:sz w:val="24"/>
          <w:szCs w:val="24"/>
          <w:lang w:val="sr-Latn-BA"/>
        </w:rPr>
        <w:t>Србији</w:t>
      </w:r>
      <w:r w:rsidR="009523E7">
        <w:rPr>
          <w:rFonts w:ascii="Times New Roman" w:hAnsi="Times New Roman"/>
          <w:sz w:val="24"/>
          <w:szCs w:val="24"/>
          <w:lang w:val="sr-Latn-BA"/>
        </w:rPr>
        <w:t xml:space="preserve">, </w:t>
      </w:r>
      <w:r>
        <w:rPr>
          <w:rFonts w:ascii="Times New Roman" w:hAnsi="Times New Roman"/>
          <w:sz w:val="24"/>
          <w:szCs w:val="24"/>
          <w:lang w:val="sr-Latn-BA"/>
        </w:rPr>
        <w:t>са</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којим</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је</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ЦЈРП</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РС</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раније</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у</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извјештајном</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периоду</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потписао</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Меморандум</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о</w:t>
      </w:r>
      <w:r w:rsidR="00C45A07" w:rsidRPr="00772C69">
        <w:rPr>
          <w:rFonts w:ascii="Times New Roman" w:hAnsi="Times New Roman"/>
          <w:sz w:val="24"/>
          <w:szCs w:val="24"/>
          <w:lang w:val="sr-Latn-BA"/>
        </w:rPr>
        <w:t xml:space="preserve"> </w:t>
      </w:r>
      <w:r>
        <w:rPr>
          <w:rFonts w:ascii="Times New Roman" w:hAnsi="Times New Roman"/>
          <w:sz w:val="24"/>
          <w:szCs w:val="24"/>
          <w:lang w:val="sr-Latn-BA"/>
        </w:rPr>
        <w:t>сарадњи</w:t>
      </w:r>
      <w:r w:rsidR="00C45A07" w:rsidRPr="00772C69">
        <w:rPr>
          <w:rFonts w:ascii="Times New Roman" w:hAnsi="Times New Roman"/>
          <w:sz w:val="24"/>
          <w:szCs w:val="24"/>
          <w:lang w:val="sr-Latn-BA"/>
        </w:rPr>
        <w:t>.</w:t>
      </w:r>
      <w:r w:rsidR="009A4D51" w:rsidRPr="00C45A07">
        <w:rPr>
          <w:rStyle w:val="y2iqfc"/>
          <w:rFonts w:ascii="Times New Roman" w:hAnsi="Times New Roman" w:cs="Times New Roman"/>
          <w:color w:val="1F1F1F"/>
          <w:sz w:val="24"/>
          <w:szCs w:val="24"/>
        </w:rPr>
        <w:t xml:space="preserve"> </w:t>
      </w:r>
    </w:p>
    <w:p w:rsidR="00AC5B45" w:rsidRPr="00295637" w:rsidRDefault="00AC5B45" w:rsidP="0086268D">
      <w:pPr>
        <w:pStyle w:val="HTMLPreformatted"/>
        <w:jc w:val="both"/>
        <w:rPr>
          <w:rFonts w:ascii="Times New Roman" w:hAnsi="Times New Roman" w:cs="Times New Roman"/>
          <w:i/>
          <w:iCs/>
          <w:color w:val="FF0000"/>
          <w:sz w:val="24"/>
          <w:szCs w:val="24"/>
          <w:lang w:val="en-US"/>
        </w:rPr>
      </w:pPr>
    </w:p>
    <w:p w:rsidR="00356C2C" w:rsidRPr="00295637" w:rsidRDefault="002A29B1" w:rsidP="00B96909">
      <w:pPr>
        <w:pStyle w:val="Heading4"/>
        <w:numPr>
          <w:ilvl w:val="0"/>
          <w:numId w:val="0"/>
        </w:numPr>
        <w:spacing w:after="0" w:line="240" w:lineRule="auto"/>
        <w:ind w:left="567"/>
        <w:rPr>
          <w:rFonts w:ascii="Times New Roman" w:hAnsi="Times New Roman" w:cs="Times New Roman"/>
          <w:b w:val="0"/>
          <w:lang w:val="bs-Latn-BA"/>
        </w:rPr>
      </w:pPr>
      <w:r w:rsidRPr="002A29B1">
        <w:rPr>
          <w:rFonts w:ascii="Times New Roman" w:hAnsi="Times New Roman" w:cs="Times New Roman"/>
          <w:b w:val="0"/>
          <w:lang w:val="bs-Latn-BA"/>
        </w:rPr>
        <w:t>III</w:t>
      </w:r>
      <w:r w:rsidRPr="002A29B1">
        <w:rPr>
          <w:rFonts w:ascii="Times New Roman" w:hAnsi="Times New Roman" w:cs="Times New Roman"/>
          <w:lang w:val="bs-Latn-BA"/>
        </w:rPr>
        <w:t xml:space="preserve"> </w:t>
      </w:r>
      <w:r w:rsidR="00B96909">
        <w:rPr>
          <w:rFonts w:ascii="Times New Roman" w:hAnsi="Times New Roman" w:cs="Times New Roman"/>
          <w:b w:val="0"/>
          <w:lang w:val="bs-Latn-BA"/>
        </w:rPr>
        <w:t xml:space="preserve">1.2. </w:t>
      </w:r>
      <w:r w:rsidR="00C6214E">
        <w:rPr>
          <w:rFonts w:ascii="Times New Roman" w:hAnsi="Times New Roman" w:cs="Times New Roman"/>
          <w:b w:val="0"/>
          <w:lang w:val="bs-Latn-BA"/>
        </w:rPr>
        <w:t>Сарадња</w:t>
      </w:r>
      <w:r w:rsidR="009523E7">
        <w:rPr>
          <w:rFonts w:ascii="Times New Roman" w:hAnsi="Times New Roman" w:cs="Times New Roman"/>
          <w:b w:val="0"/>
          <w:lang w:val="bs-Latn-BA"/>
        </w:rPr>
        <w:t xml:space="preserve"> </w:t>
      </w:r>
      <w:r w:rsidR="00C6214E">
        <w:rPr>
          <w:rFonts w:ascii="Times New Roman" w:hAnsi="Times New Roman" w:cs="Times New Roman"/>
          <w:b w:val="0"/>
          <w:lang w:val="bs-Latn-BA"/>
        </w:rPr>
        <w:t>са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међународним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организацијама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кроз</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размјену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информација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координацију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донаторске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помоћи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планирање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Pr>
          <w:rFonts w:ascii="Times New Roman" w:hAnsi="Times New Roman" w:cs="Times New Roman"/>
          <w:b w:val="0"/>
          <w:lang w:val="sr-Cyrl-BA"/>
        </w:rPr>
        <w:t>спровођење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заједничких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програма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пројеката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активности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учешће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позиву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конференцијама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округлим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столовима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едукаци</w:t>
      </w:r>
      <w:r>
        <w:rPr>
          <w:rFonts w:ascii="Times New Roman" w:hAnsi="Times New Roman" w:cs="Times New Roman"/>
          <w:b w:val="0"/>
          <w:lang w:val="sr-Cyrl-BA"/>
        </w:rPr>
        <w:t>оним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промотивним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догађајима</w:t>
      </w:r>
      <w:r w:rsidR="009523E7">
        <w:rPr>
          <w:rFonts w:ascii="Times New Roman" w:hAnsi="Times New Roman" w:cs="Times New Roman"/>
          <w:b w:val="0"/>
          <w:lang w:val="bs-Latn-BA"/>
        </w:rPr>
        <w:t>.</w:t>
      </w:r>
    </w:p>
    <w:p w:rsidR="00A92736" w:rsidRPr="00295637" w:rsidRDefault="00A92736" w:rsidP="0086268D">
      <w:pPr>
        <w:rPr>
          <w:szCs w:val="24"/>
          <w:lang w:val="bs-Latn-BA"/>
        </w:rPr>
      </w:pPr>
    </w:p>
    <w:p w:rsidR="00EB086C" w:rsidRPr="00295637" w:rsidRDefault="00C6214E" w:rsidP="0086268D">
      <w:pPr>
        <w:pStyle w:val="Normal1"/>
        <w:jc w:val="both"/>
        <w:rPr>
          <w:rFonts w:ascii="Times New Roman" w:hAnsi="Times New Roman"/>
        </w:rPr>
      </w:pPr>
      <w:r>
        <w:rPr>
          <w:rFonts w:ascii="Times New Roman" w:hAnsi="Times New Roman"/>
        </w:rPr>
        <w:t>У</w:t>
      </w:r>
      <w:r w:rsidR="00EB086C" w:rsidRPr="00295637">
        <w:rPr>
          <w:rFonts w:ascii="Times New Roman" w:hAnsi="Times New Roman"/>
        </w:rPr>
        <w:t xml:space="preserve"> 2024. </w:t>
      </w:r>
      <w:r>
        <w:rPr>
          <w:rFonts w:ascii="Times New Roman" w:hAnsi="Times New Roman"/>
        </w:rPr>
        <w:t>години</w:t>
      </w:r>
      <w:r w:rsidR="00EB086C" w:rsidRPr="00295637">
        <w:rPr>
          <w:rFonts w:ascii="Times New Roman" w:hAnsi="Times New Roman"/>
        </w:rPr>
        <w:t xml:space="preserve"> </w:t>
      </w:r>
      <w:r>
        <w:rPr>
          <w:rFonts w:ascii="Times New Roman" w:hAnsi="Times New Roman"/>
        </w:rPr>
        <w:t>остварена</w:t>
      </w:r>
      <w:r w:rsidR="00EB086C" w:rsidRPr="00295637">
        <w:rPr>
          <w:rFonts w:ascii="Times New Roman" w:hAnsi="Times New Roman"/>
        </w:rPr>
        <w:t xml:space="preserve"> </w:t>
      </w:r>
      <w:r>
        <w:rPr>
          <w:rFonts w:ascii="Times New Roman" w:hAnsi="Times New Roman"/>
        </w:rPr>
        <w:t>је</w:t>
      </w:r>
      <w:r w:rsidR="00EB086C" w:rsidRPr="00295637">
        <w:rPr>
          <w:rFonts w:ascii="Times New Roman" w:hAnsi="Times New Roman"/>
        </w:rPr>
        <w:t xml:space="preserve"> </w:t>
      </w:r>
      <w:r>
        <w:rPr>
          <w:rFonts w:ascii="Times New Roman" w:hAnsi="Times New Roman"/>
        </w:rPr>
        <w:t>значајна</w:t>
      </w:r>
      <w:r w:rsidR="00EB086C" w:rsidRPr="00295637">
        <w:rPr>
          <w:rFonts w:ascii="Times New Roman" w:hAnsi="Times New Roman"/>
        </w:rPr>
        <w:t xml:space="preserve"> </w:t>
      </w:r>
      <w:r>
        <w:rPr>
          <w:rFonts w:ascii="Times New Roman" w:hAnsi="Times New Roman"/>
        </w:rPr>
        <w:t>међуинституционална</w:t>
      </w:r>
      <w:r w:rsidR="00EB086C" w:rsidRPr="00295637">
        <w:rPr>
          <w:rFonts w:ascii="Times New Roman" w:hAnsi="Times New Roman"/>
        </w:rPr>
        <w:t xml:space="preserve"> </w:t>
      </w:r>
      <w:r>
        <w:rPr>
          <w:rFonts w:ascii="Times New Roman" w:hAnsi="Times New Roman"/>
        </w:rPr>
        <w:t>и</w:t>
      </w:r>
      <w:r w:rsidR="00EB086C" w:rsidRPr="00295637">
        <w:rPr>
          <w:rFonts w:ascii="Times New Roman" w:hAnsi="Times New Roman"/>
        </w:rPr>
        <w:t xml:space="preserve"> </w:t>
      </w:r>
      <w:r>
        <w:rPr>
          <w:rFonts w:ascii="Times New Roman" w:hAnsi="Times New Roman"/>
        </w:rPr>
        <w:t>међународна</w:t>
      </w:r>
      <w:r w:rsidR="00EB086C" w:rsidRPr="00295637">
        <w:rPr>
          <w:rFonts w:ascii="Times New Roman" w:hAnsi="Times New Roman"/>
        </w:rPr>
        <w:t xml:space="preserve"> </w:t>
      </w:r>
      <w:r>
        <w:rPr>
          <w:rFonts w:ascii="Times New Roman" w:hAnsi="Times New Roman"/>
        </w:rPr>
        <w:t>сарадња</w:t>
      </w:r>
      <w:r w:rsidR="00EB086C" w:rsidRPr="00295637">
        <w:rPr>
          <w:rFonts w:ascii="Times New Roman" w:hAnsi="Times New Roman"/>
        </w:rPr>
        <w:t xml:space="preserve"> </w:t>
      </w:r>
      <w:r>
        <w:rPr>
          <w:rFonts w:ascii="Times New Roman" w:hAnsi="Times New Roman"/>
        </w:rPr>
        <w:t>у</w:t>
      </w:r>
      <w:r w:rsidR="00EB086C" w:rsidRPr="00295637">
        <w:rPr>
          <w:rFonts w:ascii="Times New Roman" w:hAnsi="Times New Roman"/>
        </w:rPr>
        <w:t xml:space="preserve"> </w:t>
      </w:r>
      <w:r>
        <w:rPr>
          <w:rFonts w:ascii="Times New Roman" w:hAnsi="Times New Roman"/>
        </w:rPr>
        <w:t>области</w:t>
      </w:r>
      <w:r w:rsidR="00EB086C" w:rsidRPr="00295637">
        <w:rPr>
          <w:rStyle w:val="Strong"/>
          <w:rFonts w:ascii="Times New Roman" w:hAnsi="Times New Roman"/>
          <w:lang w:val="bs-Latn-BA"/>
        </w:rPr>
        <w:t xml:space="preserve"> </w:t>
      </w:r>
      <w:r>
        <w:rPr>
          <w:rStyle w:val="Strong"/>
          <w:rFonts w:ascii="Times New Roman" w:hAnsi="Times New Roman"/>
          <w:b w:val="0"/>
          <w:lang w:val="bs-Latn-BA"/>
        </w:rPr>
        <w:t>равноправности</w:t>
      </w:r>
      <w:r w:rsidR="00F133DB" w:rsidRPr="00295637">
        <w:rPr>
          <w:rStyle w:val="Strong"/>
          <w:rFonts w:ascii="Times New Roman" w:hAnsi="Times New Roman"/>
          <w:b w:val="0"/>
          <w:lang w:val="bs-Latn-BA"/>
        </w:rPr>
        <w:t xml:space="preserve"> </w:t>
      </w:r>
      <w:r>
        <w:rPr>
          <w:rStyle w:val="Strong"/>
          <w:rFonts w:ascii="Times New Roman" w:hAnsi="Times New Roman"/>
          <w:b w:val="0"/>
          <w:lang w:val="bs-Latn-BA"/>
        </w:rPr>
        <w:t>полова</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људских</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права</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и</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недискриминације</w:t>
      </w:r>
      <w:r w:rsidR="00EB086C" w:rsidRPr="00295637">
        <w:rPr>
          <w:rFonts w:ascii="Times New Roman" w:hAnsi="Times New Roman"/>
        </w:rPr>
        <w:t xml:space="preserve">, </w:t>
      </w:r>
      <w:r>
        <w:rPr>
          <w:rFonts w:ascii="Times New Roman" w:hAnsi="Times New Roman"/>
        </w:rPr>
        <w:t>чиме</w:t>
      </w:r>
      <w:r w:rsidR="00EB086C" w:rsidRPr="00295637">
        <w:rPr>
          <w:rFonts w:ascii="Times New Roman" w:hAnsi="Times New Roman"/>
        </w:rPr>
        <w:t xml:space="preserve"> </w:t>
      </w:r>
      <w:r>
        <w:rPr>
          <w:rFonts w:ascii="Times New Roman" w:hAnsi="Times New Roman"/>
        </w:rPr>
        <w:t>је</w:t>
      </w:r>
      <w:r w:rsidR="00EB086C" w:rsidRPr="00295637">
        <w:rPr>
          <w:rFonts w:ascii="Times New Roman" w:hAnsi="Times New Roman"/>
        </w:rPr>
        <w:t xml:space="preserve"> </w:t>
      </w:r>
      <w:r>
        <w:rPr>
          <w:rFonts w:ascii="Times New Roman" w:hAnsi="Times New Roman"/>
        </w:rPr>
        <w:t>о</w:t>
      </w:r>
      <w:r w:rsidR="002A29B1">
        <w:rPr>
          <w:rFonts w:ascii="Times New Roman" w:hAnsi="Times New Roman"/>
          <w:lang w:val="sr-Cyrl-BA"/>
        </w:rPr>
        <w:t>безбијеђена</w:t>
      </w:r>
      <w:r w:rsidR="00EB086C" w:rsidRPr="00295637">
        <w:rPr>
          <w:rFonts w:ascii="Times New Roman" w:hAnsi="Times New Roman"/>
        </w:rPr>
        <w:t xml:space="preserve"> </w:t>
      </w:r>
      <w:r>
        <w:rPr>
          <w:rFonts w:ascii="Times New Roman" w:hAnsi="Times New Roman"/>
        </w:rPr>
        <w:t>боља</w:t>
      </w:r>
      <w:r w:rsidR="00EB086C" w:rsidRPr="00295637">
        <w:rPr>
          <w:rFonts w:ascii="Times New Roman" w:hAnsi="Times New Roman"/>
        </w:rPr>
        <w:t xml:space="preserve"> </w:t>
      </w:r>
      <w:r>
        <w:rPr>
          <w:rFonts w:ascii="Times New Roman" w:hAnsi="Times New Roman"/>
        </w:rPr>
        <w:t>координација</w:t>
      </w:r>
      <w:r w:rsidR="00EB086C" w:rsidRPr="00295637">
        <w:rPr>
          <w:rFonts w:ascii="Times New Roman" w:hAnsi="Times New Roman"/>
        </w:rPr>
        <w:t xml:space="preserve"> </w:t>
      </w:r>
      <w:r>
        <w:rPr>
          <w:rFonts w:ascii="Times New Roman" w:hAnsi="Times New Roman"/>
        </w:rPr>
        <w:t>активности</w:t>
      </w:r>
      <w:r w:rsidR="00EB086C" w:rsidRPr="00295637">
        <w:rPr>
          <w:rFonts w:ascii="Times New Roman" w:hAnsi="Times New Roman"/>
        </w:rPr>
        <w:t xml:space="preserve"> </w:t>
      </w:r>
      <w:r>
        <w:rPr>
          <w:rFonts w:ascii="Times New Roman" w:hAnsi="Times New Roman"/>
        </w:rPr>
        <w:t>и</w:t>
      </w:r>
      <w:r w:rsidR="00EB086C" w:rsidRPr="00295637">
        <w:rPr>
          <w:rFonts w:ascii="Times New Roman" w:hAnsi="Times New Roman"/>
        </w:rPr>
        <w:t xml:space="preserve"> </w:t>
      </w:r>
      <w:r>
        <w:rPr>
          <w:rFonts w:ascii="Times New Roman" w:hAnsi="Times New Roman"/>
        </w:rPr>
        <w:t>програмске</w:t>
      </w:r>
      <w:r w:rsidR="00EB086C" w:rsidRPr="00295637">
        <w:rPr>
          <w:rFonts w:ascii="Times New Roman" w:hAnsi="Times New Roman"/>
        </w:rPr>
        <w:t xml:space="preserve"> </w:t>
      </w:r>
      <w:r>
        <w:rPr>
          <w:rFonts w:ascii="Times New Roman" w:hAnsi="Times New Roman"/>
        </w:rPr>
        <w:t>синхронизације</w:t>
      </w:r>
      <w:r w:rsidR="00EB086C" w:rsidRPr="00295637">
        <w:rPr>
          <w:rFonts w:ascii="Times New Roman" w:hAnsi="Times New Roman"/>
        </w:rPr>
        <w:t xml:space="preserve"> </w:t>
      </w:r>
      <w:r>
        <w:rPr>
          <w:rFonts w:ascii="Times New Roman" w:hAnsi="Times New Roman"/>
        </w:rPr>
        <w:t>са</w:t>
      </w:r>
      <w:r w:rsidR="00EB086C" w:rsidRPr="00295637">
        <w:rPr>
          <w:rFonts w:ascii="Times New Roman" w:hAnsi="Times New Roman"/>
        </w:rPr>
        <w:t xml:space="preserve"> </w:t>
      </w:r>
      <w:r>
        <w:rPr>
          <w:rFonts w:ascii="Times New Roman" w:hAnsi="Times New Roman"/>
        </w:rPr>
        <w:t>кључним</w:t>
      </w:r>
      <w:r w:rsidR="00EB086C" w:rsidRPr="00295637">
        <w:rPr>
          <w:rFonts w:ascii="Times New Roman" w:hAnsi="Times New Roman"/>
        </w:rPr>
        <w:t xml:space="preserve"> </w:t>
      </w:r>
      <w:r>
        <w:rPr>
          <w:rFonts w:ascii="Times New Roman" w:hAnsi="Times New Roman"/>
        </w:rPr>
        <w:t>међународним</w:t>
      </w:r>
      <w:r w:rsidR="00EB086C" w:rsidRPr="00295637">
        <w:rPr>
          <w:rFonts w:ascii="Times New Roman" w:hAnsi="Times New Roman"/>
        </w:rPr>
        <w:t xml:space="preserve"> </w:t>
      </w:r>
      <w:r>
        <w:rPr>
          <w:rFonts w:ascii="Times New Roman" w:hAnsi="Times New Roman"/>
        </w:rPr>
        <w:t>партнерима</w:t>
      </w:r>
      <w:r w:rsidR="00EB086C" w:rsidRPr="00295637">
        <w:rPr>
          <w:rFonts w:ascii="Times New Roman" w:hAnsi="Times New Roman"/>
        </w:rPr>
        <w:t>.</w:t>
      </w:r>
    </w:p>
    <w:p w:rsidR="0040347B" w:rsidRPr="00295637" w:rsidRDefault="0040347B" w:rsidP="0086268D">
      <w:pPr>
        <w:pStyle w:val="Normal1"/>
        <w:jc w:val="both"/>
        <w:rPr>
          <w:rFonts w:ascii="Times New Roman" w:hAnsi="Times New Roman"/>
        </w:rPr>
      </w:pPr>
    </w:p>
    <w:p w:rsidR="00EB086C" w:rsidRPr="00295637" w:rsidRDefault="00C6214E" w:rsidP="0086268D">
      <w:pPr>
        <w:pStyle w:val="Normal1"/>
        <w:jc w:val="both"/>
        <w:rPr>
          <w:rFonts w:ascii="Times New Roman" w:hAnsi="Times New Roman"/>
        </w:rPr>
      </w:pPr>
      <w:r>
        <w:rPr>
          <w:rFonts w:ascii="Times New Roman" w:hAnsi="Times New Roman"/>
        </w:rPr>
        <w:t>Одржани</w:t>
      </w:r>
      <w:r w:rsidR="00EB086C" w:rsidRPr="00295637">
        <w:rPr>
          <w:rFonts w:ascii="Times New Roman" w:hAnsi="Times New Roman"/>
        </w:rPr>
        <w:t xml:space="preserve"> </w:t>
      </w:r>
      <w:r>
        <w:rPr>
          <w:rFonts w:ascii="Times New Roman" w:hAnsi="Times New Roman"/>
        </w:rPr>
        <w:t>су</w:t>
      </w:r>
      <w:r w:rsidR="00EB086C" w:rsidRPr="00295637">
        <w:rPr>
          <w:rFonts w:ascii="Times New Roman" w:hAnsi="Times New Roman"/>
        </w:rPr>
        <w:t xml:space="preserve"> </w:t>
      </w:r>
      <w:r>
        <w:rPr>
          <w:rStyle w:val="Strong"/>
          <w:rFonts w:ascii="Times New Roman" w:hAnsi="Times New Roman"/>
          <w:b w:val="0"/>
          <w:lang w:val="bs-Latn-BA"/>
        </w:rPr>
        <w:t>континуирани</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квартални</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састанци</w:t>
      </w:r>
      <w:r w:rsidR="00EB086C" w:rsidRPr="00295637">
        <w:rPr>
          <w:rFonts w:ascii="Times New Roman" w:hAnsi="Times New Roman"/>
          <w:b/>
        </w:rPr>
        <w:t xml:space="preserve"> </w:t>
      </w:r>
      <w:r>
        <w:rPr>
          <w:rFonts w:ascii="Times New Roman" w:hAnsi="Times New Roman"/>
        </w:rPr>
        <w:t>са</w:t>
      </w:r>
      <w:r w:rsidR="00EB086C" w:rsidRPr="00295637">
        <w:rPr>
          <w:rFonts w:ascii="Times New Roman" w:hAnsi="Times New Roman"/>
          <w:b/>
        </w:rPr>
        <w:t xml:space="preserve"> </w:t>
      </w:r>
      <w:r w:rsidR="002A29B1" w:rsidRPr="002A29B1">
        <w:rPr>
          <w:rFonts w:ascii="Times New Roman" w:hAnsi="Times New Roman"/>
          <w:bCs/>
          <w:i/>
          <w:iCs/>
          <w:lang w:val="bs-Latn-BA"/>
        </w:rPr>
        <w:t>UN Women</w:t>
      </w:r>
      <w:r w:rsidR="00EB086C" w:rsidRPr="00295637">
        <w:rPr>
          <w:rFonts w:ascii="Times New Roman" w:hAnsi="Times New Roman"/>
        </w:rPr>
        <w:t xml:space="preserve">, </w:t>
      </w:r>
      <w:r w:rsidR="002A29B1">
        <w:rPr>
          <w:rFonts w:ascii="Times New Roman" w:hAnsi="Times New Roman"/>
          <w:lang w:val="sr-Cyrl-BA"/>
        </w:rPr>
        <w:t>с</w:t>
      </w:r>
      <w:r w:rsidR="00EB086C" w:rsidRPr="00295637">
        <w:rPr>
          <w:rFonts w:ascii="Times New Roman" w:hAnsi="Times New Roman"/>
        </w:rPr>
        <w:t xml:space="preserve"> </w:t>
      </w:r>
      <w:r>
        <w:rPr>
          <w:rFonts w:ascii="Times New Roman" w:hAnsi="Times New Roman"/>
        </w:rPr>
        <w:t>циљ</w:t>
      </w:r>
      <w:r w:rsidR="002A29B1">
        <w:rPr>
          <w:rFonts w:ascii="Times New Roman" w:hAnsi="Times New Roman"/>
          <w:lang w:val="sr-Cyrl-BA"/>
        </w:rPr>
        <w:t>ем</w:t>
      </w:r>
      <w:r w:rsidR="00EB086C" w:rsidRPr="00295637">
        <w:rPr>
          <w:rFonts w:ascii="Times New Roman" w:hAnsi="Times New Roman"/>
        </w:rPr>
        <w:t xml:space="preserve"> </w:t>
      </w:r>
      <w:r>
        <w:rPr>
          <w:rFonts w:ascii="Times New Roman" w:hAnsi="Times New Roman"/>
        </w:rPr>
        <w:t>усклађивања</w:t>
      </w:r>
      <w:r w:rsidR="00EB086C" w:rsidRPr="00295637">
        <w:rPr>
          <w:rFonts w:ascii="Times New Roman" w:hAnsi="Times New Roman"/>
        </w:rPr>
        <w:t xml:space="preserve"> </w:t>
      </w:r>
      <w:r>
        <w:rPr>
          <w:rFonts w:ascii="Times New Roman" w:hAnsi="Times New Roman"/>
        </w:rPr>
        <w:t>активности</w:t>
      </w:r>
      <w:r w:rsidR="00EB086C" w:rsidRPr="00295637">
        <w:rPr>
          <w:rFonts w:ascii="Times New Roman" w:hAnsi="Times New Roman"/>
        </w:rPr>
        <w:t xml:space="preserve">, </w:t>
      </w:r>
      <w:r>
        <w:rPr>
          <w:rFonts w:ascii="Times New Roman" w:hAnsi="Times New Roman"/>
        </w:rPr>
        <w:t>пројеката</w:t>
      </w:r>
      <w:r w:rsidR="00EB086C" w:rsidRPr="00295637">
        <w:rPr>
          <w:rFonts w:ascii="Times New Roman" w:hAnsi="Times New Roman"/>
        </w:rPr>
        <w:t xml:space="preserve"> </w:t>
      </w:r>
      <w:r>
        <w:rPr>
          <w:rFonts w:ascii="Times New Roman" w:hAnsi="Times New Roman"/>
        </w:rPr>
        <w:t>и</w:t>
      </w:r>
      <w:r w:rsidR="00EB086C" w:rsidRPr="00295637">
        <w:rPr>
          <w:rFonts w:ascii="Times New Roman" w:hAnsi="Times New Roman"/>
        </w:rPr>
        <w:t xml:space="preserve"> </w:t>
      </w:r>
      <w:r>
        <w:rPr>
          <w:rFonts w:ascii="Times New Roman" w:hAnsi="Times New Roman"/>
        </w:rPr>
        <w:t>програма</w:t>
      </w:r>
      <w:r w:rsidR="00EB086C" w:rsidRPr="00295637">
        <w:rPr>
          <w:rFonts w:ascii="Times New Roman" w:hAnsi="Times New Roman"/>
        </w:rPr>
        <w:t xml:space="preserve">, </w:t>
      </w:r>
      <w:r>
        <w:rPr>
          <w:rFonts w:ascii="Times New Roman" w:hAnsi="Times New Roman"/>
        </w:rPr>
        <w:t>како</w:t>
      </w:r>
      <w:r w:rsidR="00EB086C" w:rsidRPr="00295637">
        <w:rPr>
          <w:rFonts w:ascii="Times New Roman" w:hAnsi="Times New Roman"/>
        </w:rPr>
        <w:t xml:space="preserve"> </w:t>
      </w:r>
      <w:r>
        <w:rPr>
          <w:rFonts w:ascii="Times New Roman" w:hAnsi="Times New Roman"/>
        </w:rPr>
        <w:t>би</w:t>
      </w:r>
      <w:r w:rsidR="00EB086C" w:rsidRPr="00295637">
        <w:rPr>
          <w:rFonts w:ascii="Times New Roman" w:hAnsi="Times New Roman"/>
        </w:rPr>
        <w:t xml:space="preserve"> </w:t>
      </w:r>
      <w:r>
        <w:rPr>
          <w:rFonts w:ascii="Times New Roman" w:hAnsi="Times New Roman"/>
        </w:rPr>
        <w:t>се</w:t>
      </w:r>
      <w:r w:rsidR="00EB086C" w:rsidRPr="00295637">
        <w:rPr>
          <w:rFonts w:ascii="Times New Roman" w:hAnsi="Times New Roman"/>
        </w:rPr>
        <w:t xml:space="preserve"> </w:t>
      </w:r>
      <w:r>
        <w:rPr>
          <w:rFonts w:ascii="Times New Roman" w:hAnsi="Times New Roman"/>
        </w:rPr>
        <w:t>избјегла</w:t>
      </w:r>
      <w:r w:rsidR="00EB086C" w:rsidRPr="00295637">
        <w:rPr>
          <w:rFonts w:ascii="Times New Roman" w:hAnsi="Times New Roman"/>
        </w:rPr>
        <w:t xml:space="preserve"> </w:t>
      </w:r>
      <w:r>
        <w:rPr>
          <w:rFonts w:ascii="Times New Roman" w:hAnsi="Times New Roman"/>
        </w:rPr>
        <w:t>преклапања</w:t>
      </w:r>
      <w:r w:rsidR="00EB086C" w:rsidRPr="00295637">
        <w:rPr>
          <w:rFonts w:ascii="Times New Roman" w:hAnsi="Times New Roman"/>
        </w:rPr>
        <w:t xml:space="preserve"> </w:t>
      </w:r>
      <w:r>
        <w:rPr>
          <w:rFonts w:ascii="Times New Roman" w:hAnsi="Times New Roman"/>
        </w:rPr>
        <w:t>и</w:t>
      </w:r>
      <w:r w:rsidR="00EB086C" w:rsidRPr="00295637">
        <w:rPr>
          <w:rFonts w:ascii="Times New Roman" w:hAnsi="Times New Roman"/>
        </w:rPr>
        <w:t xml:space="preserve"> </w:t>
      </w:r>
      <w:r>
        <w:rPr>
          <w:rFonts w:ascii="Times New Roman" w:hAnsi="Times New Roman"/>
        </w:rPr>
        <w:t>о</w:t>
      </w:r>
      <w:r w:rsidR="002A29B1">
        <w:rPr>
          <w:rFonts w:ascii="Times New Roman" w:hAnsi="Times New Roman"/>
          <w:lang w:val="sr-Cyrl-BA"/>
        </w:rPr>
        <w:t>безбиједила</w:t>
      </w:r>
      <w:r w:rsidR="00EB086C" w:rsidRPr="00295637">
        <w:rPr>
          <w:rFonts w:ascii="Times New Roman" w:hAnsi="Times New Roman"/>
        </w:rPr>
        <w:t xml:space="preserve"> </w:t>
      </w:r>
      <w:r>
        <w:rPr>
          <w:rFonts w:ascii="Times New Roman" w:hAnsi="Times New Roman"/>
        </w:rPr>
        <w:t>ефикасна</w:t>
      </w:r>
      <w:r w:rsidR="00EB086C" w:rsidRPr="00295637">
        <w:rPr>
          <w:rFonts w:ascii="Times New Roman" w:hAnsi="Times New Roman"/>
        </w:rPr>
        <w:t xml:space="preserve"> </w:t>
      </w:r>
      <w:r>
        <w:rPr>
          <w:rFonts w:ascii="Times New Roman" w:hAnsi="Times New Roman"/>
        </w:rPr>
        <w:t>расподјела</w:t>
      </w:r>
      <w:r w:rsidR="00EB086C" w:rsidRPr="00295637">
        <w:rPr>
          <w:rFonts w:ascii="Times New Roman" w:hAnsi="Times New Roman"/>
        </w:rPr>
        <w:t xml:space="preserve"> </w:t>
      </w:r>
      <w:r>
        <w:rPr>
          <w:rFonts w:ascii="Times New Roman" w:hAnsi="Times New Roman"/>
        </w:rPr>
        <w:t>ресурса</w:t>
      </w:r>
      <w:r w:rsidR="00EB086C" w:rsidRPr="00295637">
        <w:rPr>
          <w:rFonts w:ascii="Times New Roman" w:hAnsi="Times New Roman"/>
        </w:rPr>
        <w:t xml:space="preserve"> </w:t>
      </w:r>
      <w:r>
        <w:rPr>
          <w:rFonts w:ascii="Times New Roman" w:hAnsi="Times New Roman"/>
        </w:rPr>
        <w:t>у</w:t>
      </w:r>
      <w:r w:rsidR="00EB086C" w:rsidRPr="00295637">
        <w:rPr>
          <w:rFonts w:ascii="Times New Roman" w:hAnsi="Times New Roman"/>
        </w:rPr>
        <w:t xml:space="preserve"> </w:t>
      </w:r>
      <w:r>
        <w:rPr>
          <w:rFonts w:ascii="Times New Roman" w:hAnsi="Times New Roman"/>
        </w:rPr>
        <w:t>областима</w:t>
      </w:r>
      <w:r w:rsidR="00EB086C" w:rsidRPr="00295637">
        <w:rPr>
          <w:rFonts w:ascii="Times New Roman" w:hAnsi="Times New Roman"/>
        </w:rPr>
        <w:t xml:space="preserve"> </w:t>
      </w:r>
      <w:r>
        <w:rPr>
          <w:rStyle w:val="Strong"/>
          <w:rFonts w:ascii="Times New Roman" w:hAnsi="Times New Roman"/>
          <w:b w:val="0"/>
          <w:lang w:val="bs-Latn-BA"/>
        </w:rPr>
        <w:t>родно</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одговорног</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управљања</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и</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Фонда</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за</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равноправност</w:t>
      </w:r>
      <w:r w:rsidR="00F133DB" w:rsidRPr="00295637">
        <w:rPr>
          <w:rStyle w:val="Strong"/>
          <w:rFonts w:ascii="Times New Roman" w:hAnsi="Times New Roman"/>
          <w:b w:val="0"/>
          <w:lang w:val="bs-Latn-BA"/>
        </w:rPr>
        <w:t xml:space="preserve"> </w:t>
      </w:r>
      <w:r>
        <w:rPr>
          <w:rStyle w:val="Strong"/>
          <w:rFonts w:ascii="Times New Roman" w:hAnsi="Times New Roman"/>
          <w:b w:val="0"/>
          <w:lang w:val="bs-Latn-BA"/>
        </w:rPr>
        <w:t>полова</w:t>
      </w:r>
      <w:r w:rsidR="00EB086C" w:rsidRPr="00295637">
        <w:rPr>
          <w:rFonts w:ascii="Times New Roman" w:hAnsi="Times New Roman"/>
        </w:rPr>
        <w:t xml:space="preserve">. </w:t>
      </w:r>
      <w:r w:rsidR="002A29B1">
        <w:rPr>
          <w:rFonts w:ascii="Times New Roman" w:hAnsi="Times New Roman"/>
        </w:rPr>
        <w:t>Такође</w:t>
      </w:r>
      <w:r w:rsidR="00EB086C" w:rsidRPr="00295637">
        <w:rPr>
          <w:rFonts w:ascii="Times New Roman" w:hAnsi="Times New Roman"/>
        </w:rPr>
        <w:t xml:space="preserve">, </w:t>
      </w:r>
      <w:r>
        <w:rPr>
          <w:rFonts w:ascii="Times New Roman" w:hAnsi="Times New Roman"/>
        </w:rPr>
        <w:t>кроз</w:t>
      </w:r>
      <w:r w:rsidR="00EB086C" w:rsidRPr="00295637">
        <w:rPr>
          <w:rFonts w:ascii="Times New Roman" w:hAnsi="Times New Roman"/>
        </w:rPr>
        <w:t xml:space="preserve"> </w:t>
      </w:r>
      <w:r>
        <w:rPr>
          <w:rStyle w:val="Strong"/>
          <w:rFonts w:ascii="Times New Roman" w:hAnsi="Times New Roman"/>
          <w:b w:val="0"/>
          <w:lang w:val="bs-Latn-BA"/>
        </w:rPr>
        <w:t>редовне</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састанке</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са</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Мисијом</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О</w:t>
      </w:r>
      <w:r w:rsidR="002A29B1">
        <w:rPr>
          <w:rStyle w:val="Strong"/>
          <w:rFonts w:ascii="Times New Roman" w:hAnsi="Times New Roman"/>
          <w:b w:val="0"/>
          <w:lang w:val="sr-Cyrl-BA"/>
        </w:rPr>
        <w:t>ЕБС</w:t>
      </w:r>
      <w:r w:rsidR="00EB086C" w:rsidRPr="00295637">
        <w:rPr>
          <w:rStyle w:val="Strong"/>
          <w:rFonts w:ascii="Times New Roman" w:hAnsi="Times New Roman"/>
          <w:b w:val="0"/>
          <w:lang w:val="bs-Latn-BA"/>
        </w:rPr>
        <w:t>-</w:t>
      </w:r>
      <w:r>
        <w:rPr>
          <w:rStyle w:val="Strong"/>
          <w:rFonts w:ascii="Times New Roman" w:hAnsi="Times New Roman"/>
          <w:b w:val="0"/>
          <w:lang w:val="bs-Latn-BA"/>
        </w:rPr>
        <w:t>а</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у</w:t>
      </w:r>
      <w:r w:rsidR="009E54A2" w:rsidRPr="00295637">
        <w:rPr>
          <w:rStyle w:val="Strong"/>
          <w:rFonts w:ascii="Times New Roman" w:hAnsi="Times New Roman"/>
          <w:b w:val="0"/>
          <w:lang w:val="bs-Latn-BA"/>
        </w:rPr>
        <w:t xml:space="preserve"> </w:t>
      </w:r>
      <w:r>
        <w:rPr>
          <w:rStyle w:val="Strong"/>
          <w:rFonts w:ascii="Times New Roman" w:hAnsi="Times New Roman"/>
          <w:b w:val="0"/>
          <w:lang w:val="bs-Latn-BA"/>
        </w:rPr>
        <w:t>БиХ</w:t>
      </w:r>
      <w:r w:rsidR="00EB086C" w:rsidRPr="00295637">
        <w:rPr>
          <w:rFonts w:ascii="Times New Roman" w:hAnsi="Times New Roman"/>
        </w:rPr>
        <w:t xml:space="preserve">, </w:t>
      </w:r>
      <w:r>
        <w:rPr>
          <w:rFonts w:ascii="Times New Roman" w:hAnsi="Times New Roman"/>
        </w:rPr>
        <w:t>координи</w:t>
      </w:r>
      <w:r w:rsidR="002A29B1">
        <w:rPr>
          <w:rFonts w:ascii="Times New Roman" w:hAnsi="Times New Roman"/>
          <w:lang w:val="sr-Cyrl-BA"/>
        </w:rPr>
        <w:t>с</w:t>
      </w:r>
      <w:r>
        <w:rPr>
          <w:rFonts w:ascii="Times New Roman" w:hAnsi="Times New Roman"/>
        </w:rPr>
        <w:t>ан</w:t>
      </w:r>
      <w:r w:rsidR="00EB086C" w:rsidRPr="00295637">
        <w:rPr>
          <w:rFonts w:ascii="Times New Roman" w:hAnsi="Times New Roman"/>
        </w:rPr>
        <w:t xml:space="preserve"> </w:t>
      </w:r>
      <w:r>
        <w:rPr>
          <w:rFonts w:ascii="Times New Roman" w:hAnsi="Times New Roman"/>
        </w:rPr>
        <w:t>је</w:t>
      </w:r>
      <w:r w:rsidR="00EB086C" w:rsidRPr="00295637">
        <w:rPr>
          <w:rFonts w:ascii="Times New Roman" w:hAnsi="Times New Roman"/>
        </w:rPr>
        <w:t xml:space="preserve"> </w:t>
      </w:r>
      <w:r>
        <w:rPr>
          <w:rFonts w:ascii="Times New Roman" w:hAnsi="Times New Roman"/>
        </w:rPr>
        <w:t>рад</w:t>
      </w:r>
      <w:r w:rsidR="00EB086C" w:rsidRPr="00295637">
        <w:rPr>
          <w:rFonts w:ascii="Times New Roman" w:hAnsi="Times New Roman"/>
        </w:rPr>
        <w:t xml:space="preserve"> </w:t>
      </w:r>
      <w:r>
        <w:rPr>
          <w:rFonts w:ascii="Times New Roman" w:hAnsi="Times New Roman"/>
        </w:rPr>
        <w:t>на</w:t>
      </w:r>
      <w:r w:rsidR="00EB086C" w:rsidRPr="00295637">
        <w:rPr>
          <w:rFonts w:ascii="Times New Roman" w:hAnsi="Times New Roman"/>
        </w:rPr>
        <w:t xml:space="preserve"> </w:t>
      </w:r>
      <w:r>
        <w:rPr>
          <w:rFonts w:ascii="Times New Roman" w:hAnsi="Times New Roman"/>
        </w:rPr>
        <w:t>јачању</w:t>
      </w:r>
      <w:r w:rsidR="00EB086C" w:rsidRPr="00295637">
        <w:rPr>
          <w:rFonts w:ascii="Times New Roman" w:hAnsi="Times New Roman"/>
        </w:rPr>
        <w:t xml:space="preserve"> </w:t>
      </w:r>
      <w:r>
        <w:rPr>
          <w:rStyle w:val="Strong"/>
          <w:rFonts w:ascii="Times New Roman" w:hAnsi="Times New Roman"/>
          <w:b w:val="0"/>
          <w:lang w:val="bs-Latn-BA"/>
        </w:rPr>
        <w:t>механизама</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заштите</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од</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дискриминације</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и</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промоцији</w:t>
      </w:r>
      <w:r w:rsidR="00EB086C" w:rsidRPr="00295637">
        <w:rPr>
          <w:rStyle w:val="Strong"/>
          <w:rFonts w:ascii="Times New Roman" w:hAnsi="Times New Roman"/>
          <w:b w:val="0"/>
          <w:lang w:val="bs-Latn-BA"/>
        </w:rPr>
        <w:t xml:space="preserve"> </w:t>
      </w:r>
      <w:r>
        <w:rPr>
          <w:rFonts w:ascii="Times New Roman" w:hAnsi="Times New Roman"/>
        </w:rPr>
        <w:t>равноправности</w:t>
      </w:r>
      <w:r w:rsidR="00CC105E" w:rsidRPr="00295637">
        <w:rPr>
          <w:rFonts w:ascii="Times New Roman" w:hAnsi="Times New Roman"/>
        </w:rPr>
        <w:t xml:space="preserve"> </w:t>
      </w:r>
      <w:r>
        <w:rPr>
          <w:rFonts w:ascii="Times New Roman" w:hAnsi="Times New Roman"/>
        </w:rPr>
        <w:t>полова</w:t>
      </w:r>
      <w:r w:rsidR="00CC105E" w:rsidRPr="00295637">
        <w:rPr>
          <w:rFonts w:ascii="Times New Roman" w:hAnsi="Times New Roman"/>
        </w:rPr>
        <w:t xml:space="preserve"> </w:t>
      </w:r>
      <w:r>
        <w:rPr>
          <w:rFonts w:ascii="Times New Roman" w:hAnsi="Times New Roman"/>
        </w:rPr>
        <w:t>на</w:t>
      </w:r>
      <w:r w:rsidR="00EB086C" w:rsidRPr="00295637">
        <w:rPr>
          <w:rFonts w:ascii="Times New Roman" w:hAnsi="Times New Roman"/>
        </w:rPr>
        <w:t xml:space="preserve"> </w:t>
      </w:r>
      <w:r>
        <w:rPr>
          <w:rFonts w:ascii="Times New Roman" w:hAnsi="Times New Roman"/>
        </w:rPr>
        <w:t>свим</w:t>
      </w:r>
      <w:r w:rsidR="00EB086C" w:rsidRPr="00295637">
        <w:rPr>
          <w:rFonts w:ascii="Times New Roman" w:hAnsi="Times New Roman"/>
        </w:rPr>
        <w:t xml:space="preserve"> </w:t>
      </w:r>
      <w:r>
        <w:rPr>
          <w:rFonts w:ascii="Times New Roman" w:hAnsi="Times New Roman"/>
        </w:rPr>
        <w:t>нивоима</w:t>
      </w:r>
      <w:r w:rsidR="00EB086C" w:rsidRPr="00295637">
        <w:rPr>
          <w:rFonts w:ascii="Times New Roman" w:hAnsi="Times New Roman"/>
        </w:rPr>
        <w:t xml:space="preserve"> </w:t>
      </w:r>
      <w:r>
        <w:rPr>
          <w:rFonts w:ascii="Times New Roman" w:hAnsi="Times New Roman"/>
        </w:rPr>
        <w:t>власти</w:t>
      </w:r>
      <w:r w:rsidR="00EB086C" w:rsidRPr="00295637">
        <w:rPr>
          <w:rFonts w:ascii="Times New Roman" w:hAnsi="Times New Roman"/>
        </w:rPr>
        <w:t>.</w:t>
      </w:r>
    </w:p>
    <w:p w:rsidR="009B0299" w:rsidRPr="00295637" w:rsidRDefault="009B0299" w:rsidP="0086268D">
      <w:pPr>
        <w:pStyle w:val="Normal1"/>
        <w:jc w:val="both"/>
        <w:rPr>
          <w:rFonts w:ascii="Times New Roman" w:hAnsi="Times New Roman"/>
        </w:rPr>
      </w:pPr>
    </w:p>
    <w:p w:rsidR="006468C0" w:rsidRPr="002A29B1" w:rsidRDefault="00C6214E" w:rsidP="0086268D">
      <w:pPr>
        <w:pStyle w:val="HTMLPreformatted"/>
        <w:jc w:val="both"/>
        <w:rPr>
          <w:rFonts w:ascii="Times New Roman" w:hAnsi="Times New Roman" w:cs="Times New Roman"/>
          <w:sz w:val="24"/>
          <w:szCs w:val="24"/>
          <w:lang w:val="en-US"/>
        </w:rPr>
      </w:pPr>
      <w:r w:rsidRPr="002A29B1">
        <w:rPr>
          <w:rFonts w:ascii="Times New Roman" w:hAnsi="Times New Roman" w:cs="Times New Roman"/>
          <w:sz w:val="24"/>
          <w:szCs w:val="24"/>
        </w:rPr>
        <w:t>АР</w:t>
      </w:r>
      <w:r w:rsidR="002A29B1" w:rsidRPr="002A29B1">
        <w:rPr>
          <w:rFonts w:ascii="Times New Roman" w:hAnsi="Times New Roman" w:cs="Times New Roman"/>
          <w:sz w:val="24"/>
          <w:szCs w:val="24"/>
          <w:lang w:val="sr-Cyrl-BA"/>
        </w:rPr>
        <w:t>П</w:t>
      </w:r>
      <w:r w:rsidR="009523E7" w:rsidRPr="002A29B1">
        <w:rPr>
          <w:rFonts w:ascii="Times New Roman" w:hAnsi="Times New Roman" w:cs="Times New Roman"/>
          <w:sz w:val="24"/>
          <w:szCs w:val="24"/>
        </w:rPr>
        <w:t xml:space="preserve"> </w:t>
      </w:r>
      <w:r w:rsidRPr="002A29B1">
        <w:rPr>
          <w:rFonts w:ascii="Times New Roman" w:hAnsi="Times New Roman" w:cs="Times New Roman"/>
          <w:sz w:val="24"/>
          <w:szCs w:val="24"/>
        </w:rPr>
        <w:t>БиХ</w:t>
      </w:r>
      <w:r w:rsidR="009523E7" w:rsidRPr="002A29B1">
        <w:rPr>
          <w:rFonts w:ascii="Times New Roman" w:hAnsi="Times New Roman" w:cs="Times New Roman"/>
          <w:sz w:val="24"/>
          <w:szCs w:val="24"/>
        </w:rPr>
        <w:t xml:space="preserve"> </w:t>
      </w:r>
      <w:r w:rsidRPr="002A29B1">
        <w:rPr>
          <w:rFonts w:ascii="Times New Roman" w:hAnsi="Times New Roman" w:cs="Times New Roman"/>
          <w:sz w:val="24"/>
          <w:szCs w:val="24"/>
        </w:rPr>
        <w:t>МЉПИ</w:t>
      </w:r>
      <w:r w:rsidR="009523E7" w:rsidRPr="002A29B1">
        <w:rPr>
          <w:rFonts w:ascii="Times New Roman" w:hAnsi="Times New Roman" w:cs="Times New Roman"/>
          <w:sz w:val="24"/>
          <w:szCs w:val="24"/>
        </w:rPr>
        <w:t xml:space="preserve"> </w:t>
      </w:r>
      <w:r w:rsidRPr="002A29B1">
        <w:rPr>
          <w:rFonts w:ascii="Times New Roman" w:hAnsi="Times New Roman" w:cs="Times New Roman"/>
          <w:sz w:val="24"/>
          <w:szCs w:val="24"/>
        </w:rPr>
        <w:t>БиХ</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је</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током</w:t>
      </w:r>
      <w:r w:rsidR="006468C0" w:rsidRPr="002A29B1">
        <w:rPr>
          <w:rFonts w:ascii="Times New Roman" w:hAnsi="Times New Roman" w:cs="Times New Roman"/>
          <w:sz w:val="24"/>
          <w:szCs w:val="24"/>
        </w:rPr>
        <w:t xml:space="preserve"> 2024. </w:t>
      </w:r>
      <w:r w:rsidRPr="002A29B1">
        <w:rPr>
          <w:rFonts w:ascii="Times New Roman" w:hAnsi="Times New Roman" w:cs="Times New Roman"/>
          <w:sz w:val="24"/>
          <w:szCs w:val="24"/>
        </w:rPr>
        <w:t>године</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сарађивала</w:t>
      </w:r>
      <w:r w:rsidR="009523E7" w:rsidRPr="002A29B1">
        <w:rPr>
          <w:rFonts w:ascii="Times New Roman" w:hAnsi="Times New Roman" w:cs="Times New Roman"/>
          <w:sz w:val="24"/>
          <w:szCs w:val="24"/>
        </w:rPr>
        <w:t xml:space="preserve"> </w:t>
      </w:r>
      <w:r w:rsidRPr="002A29B1">
        <w:rPr>
          <w:rFonts w:ascii="Times New Roman" w:hAnsi="Times New Roman" w:cs="Times New Roman"/>
          <w:sz w:val="24"/>
          <w:szCs w:val="24"/>
        </w:rPr>
        <w:t>са</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УН</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агенцијама</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у</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Босни</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и</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Херцеговини</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на</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припреми</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програмских</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и</w:t>
      </w:r>
      <w:r w:rsidR="006468C0" w:rsidRPr="002A29B1">
        <w:rPr>
          <w:rFonts w:ascii="Times New Roman" w:hAnsi="Times New Roman" w:cs="Times New Roman"/>
          <w:sz w:val="24"/>
          <w:szCs w:val="24"/>
        </w:rPr>
        <w:t xml:space="preserve"> </w:t>
      </w:r>
      <w:r w:rsidRPr="002A29B1">
        <w:rPr>
          <w:rFonts w:ascii="Times New Roman" w:hAnsi="Times New Roman" w:cs="Times New Roman"/>
          <w:sz w:val="24"/>
          <w:szCs w:val="24"/>
        </w:rPr>
        <w:t>материјалних</w:t>
      </w:r>
      <w:r w:rsidR="008A42FD" w:rsidRPr="002A29B1">
        <w:rPr>
          <w:rFonts w:ascii="Times New Roman" w:hAnsi="Times New Roman" w:cs="Times New Roman"/>
          <w:sz w:val="24"/>
          <w:szCs w:val="24"/>
        </w:rPr>
        <w:t xml:space="preserve"> </w:t>
      </w:r>
      <w:r w:rsidRPr="002A29B1">
        <w:rPr>
          <w:rFonts w:ascii="Times New Roman" w:hAnsi="Times New Roman" w:cs="Times New Roman"/>
          <w:sz w:val="24"/>
          <w:szCs w:val="24"/>
        </w:rPr>
        <w:t>претпоставки</w:t>
      </w:r>
      <w:r w:rsidR="008A42FD" w:rsidRPr="002A29B1">
        <w:rPr>
          <w:rFonts w:ascii="Times New Roman" w:hAnsi="Times New Roman" w:cs="Times New Roman"/>
          <w:sz w:val="24"/>
          <w:szCs w:val="24"/>
        </w:rPr>
        <w:t xml:space="preserve"> </w:t>
      </w:r>
      <w:r w:rsidRPr="002A29B1">
        <w:rPr>
          <w:rFonts w:ascii="Times New Roman" w:hAnsi="Times New Roman" w:cs="Times New Roman"/>
          <w:sz w:val="24"/>
          <w:szCs w:val="24"/>
        </w:rPr>
        <w:t>за</w:t>
      </w:r>
      <w:r w:rsidR="008A42FD" w:rsidRPr="002A29B1">
        <w:rPr>
          <w:rFonts w:ascii="Times New Roman" w:hAnsi="Times New Roman" w:cs="Times New Roman"/>
          <w:sz w:val="24"/>
          <w:szCs w:val="24"/>
        </w:rPr>
        <w:t xml:space="preserve"> </w:t>
      </w:r>
      <w:r w:rsidRPr="002A29B1">
        <w:rPr>
          <w:rFonts w:ascii="Times New Roman" w:hAnsi="Times New Roman" w:cs="Times New Roman"/>
          <w:sz w:val="24"/>
          <w:szCs w:val="24"/>
        </w:rPr>
        <w:t>покретање</w:t>
      </w:r>
      <w:r w:rsidR="006468C0" w:rsidRPr="002A29B1">
        <w:rPr>
          <w:rFonts w:ascii="Times New Roman" w:hAnsi="Times New Roman" w:cs="Times New Roman"/>
          <w:sz w:val="24"/>
          <w:szCs w:val="24"/>
        </w:rPr>
        <w:t xml:space="preserve"> </w:t>
      </w:r>
      <w:r w:rsidRPr="002A29B1">
        <w:rPr>
          <w:rStyle w:val="y2iqfc"/>
          <w:rFonts w:ascii="Times New Roman" w:hAnsi="Times New Roman" w:cs="Times New Roman"/>
          <w:sz w:val="24"/>
          <w:szCs w:val="24"/>
        </w:rPr>
        <w:t>Акцелератора</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равноправности</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полова</w:t>
      </w:r>
      <w:r w:rsidR="00594A8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у</w:t>
      </w:r>
      <w:r w:rsidR="00DC4A18"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БиХ</w:t>
      </w:r>
      <w:r w:rsidR="00594A80" w:rsidRPr="002A29B1">
        <w:rPr>
          <w:rStyle w:val="y2iqfc"/>
          <w:rFonts w:ascii="Times New Roman" w:hAnsi="Times New Roman" w:cs="Times New Roman"/>
          <w:sz w:val="24"/>
          <w:szCs w:val="24"/>
        </w:rPr>
        <w:t xml:space="preserve"> (</w:t>
      </w:r>
      <w:r w:rsidR="002A29B1" w:rsidRPr="002A29B1">
        <w:rPr>
          <w:rFonts w:ascii="Times New Roman" w:hAnsi="Times New Roman" w:cs="Times New Roman"/>
          <w:i/>
          <w:sz w:val="24"/>
          <w:szCs w:val="24"/>
          <w:lang w:val="hr-BA"/>
        </w:rPr>
        <w:t xml:space="preserve">Gender Equality Accelerator </w:t>
      </w:r>
      <w:r w:rsidR="00594A80" w:rsidRPr="002A29B1">
        <w:rPr>
          <w:rStyle w:val="y2iqfc"/>
          <w:rFonts w:ascii="Times New Roman" w:hAnsi="Times New Roman" w:cs="Times New Roman"/>
          <w:i/>
          <w:sz w:val="24"/>
          <w:szCs w:val="24"/>
        </w:rPr>
        <w:t>2025</w:t>
      </w:r>
      <w:r w:rsidR="009523E7" w:rsidRPr="002A29B1">
        <w:rPr>
          <w:rStyle w:val="y2iqfc"/>
          <w:rFonts w:ascii="Times New Roman" w:hAnsi="Times New Roman" w:cs="Times New Roman"/>
          <w:i/>
          <w:sz w:val="24"/>
          <w:szCs w:val="24"/>
        </w:rPr>
        <w:t>-</w:t>
      </w:r>
      <w:r w:rsidR="00594A80" w:rsidRPr="002A29B1">
        <w:rPr>
          <w:rStyle w:val="y2iqfc"/>
          <w:rFonts w:ascii="Times New Roman" w:hAnsi="Times New Roman" w:cs="Times New Roman"/>
          <w:i/>
          <w:sz w:val="24"/>
          <w:szCs w:val="24"/>
        </w:rPr>
        <w:t>2028</w:t>
      </w:r>
      <w:r w:rsidR="009523E7" w:rsidRPr="002A29B1">
        <w:rPr>
          <w:rStyle w:val="y2iqfc"/>
          <w:rFonts w:ascii="Times New Roman" w:hAnsi="Times New Roman" w:cs="Times New Roman"/>
          <w:i/>
          <w:sz w:val="24"/>
          <w:szCs w:val="24"/>
        </w:rPr>
        <w:t>.</w:t>
      </w:r>
      <w:r w:rsidR="00594A80" w:rsidRPr="002A29B1">
        <w:rPr>
          <w:rStyle w:val="y2iqfc"/>
          <w:rFonts w:ascii="Times New Roman" w:hAnsi="Times New Roman" w:cs="Times New Roman"/>
          <w:i/>
          <w:sz w:val="24"/>
          <w:szCs w:val="24"/>
        </w:rPr>
        <w:t>)</w:t>
      </w:r>
      <w:r w:rsidR="006468C0" w:rsidRPr="002A29B1">
        <w:rPr>
          <w:rStyle w:val="y2iqfc"/>
          <w:rFonts w:ascii="Times New Roman" w:hAnsi="Times New Roman" w:cs="Times New Roman"/>
          <w:i/>
          <w:sz w:val="24"/>
          <w:szCs w:val="24"/>
        </w:rPr>
        <w:t>.</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Предвиђено</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је</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да</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ова</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кључна</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заједничка</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иницијатива</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УН</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агенција</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која</w:t>
      </w:r>
      <w:r w:rsidR="00594A8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обухвата</w:t>
      </w:r>
      <w:r w:rsidR="00594A80" w:rsidRPr="002A29B1">
        <w:rPr>
          <w:rStyle w:val="y2iqfc"/>
          <w:rFonts w:ascii="Times New Roman" w:hAnsi="Times New Roman" w:cs="Times New Roman"/>
          <w:sz w:val="24"/>
          <w:szCs w:val="24"/>
        </w:rPr>
        <w:t xml:space="preserve"> </w:t>
      </w:r>
      <w:r w:rsidR="00576B58" w:rsidRPr="00576B58">
        <w:rPr>
          <w:rFonts w:ascii="Times New Roman" w:hAnsi="Times New Roman" w:cs="Times New Roman"/>
          <w:i/>
          <w:iCs/>
          <w:sz w:val="24"/>
          <w:szCs w:val="24"/>
          <w:lang w:val="hr-BA"/>
        </w:rPr>
        <w:t>UN Women</w:t>
      </w:r>
      <w:r w:rsidR="006468C0" w:rsidRPr="002A29B1">
        <w:rPr>
          <w:rStyle w:val="y2iqfc"/>
          <w:rFonts w:ascii="Times New Roman" w:hAnsi="Times New Roman" w:cs="Times New Roman"/>
          <w:sz w:val="24"/>
          <w:szCs w:val="24"/>
        </w:rPr>
        <w:t xml:space="preserve">, </w:t>
      </w:r>
      <w:r w:rsidR="00576B58" w:rsidRPr="00576B58">
        <w:rPr>
          <w:rFonts w:ascii="Times New Roman" w:hAnsi="Times New Roman" w:cs="Times New Roman"/>
          <w:i/>
          <w:sz w:val="24"/>
          <w:szCs w:val="24"/>
          <w:lang w:val="hr-BA"/>
        </w:rPr>
        <w:t>UNFPA</w:t>
      </w:r>
      <w:r w:rsidR="00576B58" w:rsidRPr="00576B58">
        <w:rPr>
          <w:rFonts w:ascii="Times New Roman" w:hAnsi="Times New Roman" w:cs="Times New Roman"/>
          <w:sz w:val="24"/>
          <w:szCs w:val="24"/>
          <w:lang w:val="hr-BA"/>
        </w:rPr>
        <w:t xml:space="preserve">, </w:t>
      </w:r>
      <w:r w:rsidR="00576B58" w:rsidRPr="00576B58">
        <w:rPr>
          <w:rFonts w:ascii="Times New Roman" w:hAnsi="Times New Roman" w:cs="Times New Roman"/>
          <w:i/>
          <w:sz w:val="24"/>
          <w:szCs w:val="24"/>
          <w:lang w:val="hr-BA"/>
        </w:rPr>
        <w:t>UNICEF</w:t>
      </w:r>
      <w:r w:rsidR="00576B58" w:rsidRPr="00576B58">
        <w:rPr>
          <w:rFonts w:ascii="Times New Roman" w:hAnsi="Times New Roman" w:cs="Times New Roman"/>
          <w:sz w:val="24"/>
          <w:szCs w:val="24"/>
          <w:lang w:val="hr-BA"/>
        </w:rPr>
        <w:t xml:space="preserve"> </w:t>
      </w:r>
      <w:r w:rsidR="00576B58">
        <w:rPr>
          <w:rFonts w:ascii="Times New Roman" w:hAnsi="Times New Roman" w:cs="Times New Roman"/>
          <w:sz w:val="24"/>
          <w:szCs w:val="24"/>
          <w:lang w:val="sr-Cyrl-BA"/>
        </w:rPr>
        <w:t>и</w:t>
      </w:r>
      <w:r w:rsidR="00576B58" w:rsidRPr="00576B58">
        <w:rPr>
          <w:rFonts w:ascii="Times New Roman" w:hAnsi="Times New Roman" w:cs="Times New Roman"/>
          <w:sz w:val="24"/>
          <w:szCs w:val="24"/>
          <w:lang w:val="hr-BA"/>
        </w:rPr>
        <w:t xml:space="preserve"> </w:t>
      </w:r>
      <w:r w:rsidR="00576B58" w:rsidRPr="00576B58">
        <w:rPr>
          <w:rFonts w:ascii="Times New Roman" w:hAnsi="Times New Roman" w:cs="Times New Roman"/>
          <w:i/>
          <w:sz w:val="24"/>
          <w:szCs w:val="24"/>
          <w:lang w:val="hr-BA"/>
        </w:rPr>
        <w:t>UNDP</w:t>
      </w:r>
      <w:r w:rsidR="00690613"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у</w:t>
      </w:r>
      <w:r w:rsidR="00690613"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партнерству</w:t>
      </w:r>
      <w:r w:rsidR="00690613"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са</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институционалним</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механизмима</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за</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равноправност</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полова</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и</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другим</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релевантним</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институцијама</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у</w:t>
      </w:r>
      <w:r w:rsidR="008D2391"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БиХ</w:t>
      </w:r>
      <w:r w:rsidR="008A42FD" w:rsidRPr="002A29B1">
        <w:rPr>
          <w:rStyle w:val="y2iqfc"/>
          <w:rFonts w:ascii="Times New Roman" w:hAnsi="Times New Roman" w:cs="Times New Roman"/>
          <w:sz w:val="24"/>
          <w:szCs w:val="24"/>
        </w:rPr>
        <w:t>,</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пружи</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додатни</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замах</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у</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погледу</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равноправности</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полова</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као</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једног</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од</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основа</w:t>
      </w:r>
      <w:r w:rsidR="00B96909"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постизања</w:t>
      </w:r>
      <w:r w:rsidR="006468C0" w:rsidRPr="002A29B1">
        <w:rPr>
          <w:rStyle w:val="y2iqfc"/>
          <w:rFonts w:ascii="Times New Roman" w:hAnsi="Times New Roman" w:cs="Times New Roman"/>
          <w:sz w:val="24"/>
          <w:szCs w:val="24"/>
        </w:rPr>
        <w:t xml:space="preserve"> </w:t>
      </w:r>
      <w:r w:rsidR="00576B58" w:rsidRPr="00576B58">
        <w:rPr>
          <w:rFonts w:ascii="Times New Roman" w:hAnsi="Times New Roman" w:cs="Times New Roman"/>
          <w:i/>
          <w:sz w:val="24"/>
          <w:szCs w:val="24"/>
          <w:lang w:val="hr-BA"/>
        </w:rPr>
        <w:t>SDG</w:t>
      </w:r>
      <w:r w:rsidR="008A42FD"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УН</w:t>
      </w:r>
      <w:r w:rsidR="008A42FD" w:rsidRPr="002A29B1">
        <w:rPr>
          <w:rStyle w:val="y2iqfc"/>
          <w:rFonts w:ascii="Times New Roman" w:hAnsi="Times New Roman" w:cs="Times New Roman"/>
          <w:sz w:val="24"/>
          <w:szCs w:val="24"/>
        </w:rPr>
        <w:t>-</w:t>
      </w:r>
      <w:r w:rsidRPr="002A29B1">
        <w:rPr>
          <w:rStyle w:val="y2iqfc"/>
          <w:rFonts w:ascii="Times New Roman" w:hAnsi="Times New Roman" w:cs="Times New Roman"/>
          <w:sz w:val="24"/>
          <w:szCs w:val="24"/>
        </w:rPr>
        <w:t>а</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и</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изградњу</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инклузивније</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будућности</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у</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нашој</w:t>
      </w:r>
      <w:r w:rsidR="006468C0"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земљи</w:t>
      </w:r>
      <w:r w:rsidR="004D7654" w:rsidRPr="002A29B1">
        <w:rPr>
          <w:rStyle w:val="y2iqfc"/>
          <w:rFonts w:ascii="Times New Roman" w:hAnsi="Times New Roman" w:cs="Times New Roman"/>
          <w:sz w:val="24"/>
          <w:szCs w:val="24"/>
        </w:rPr>
        <w:t>,</w:t>
      </w:r>
      <w:r w:rsidR="002D1DC8"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те</w:t>
      </w:r>
      <w:r w:rsidR="002D1DC8"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допринесе</w:t>
      </w:r>
      <w:r w:rsidR="002D1DC8" w:rsidRPr="002A29B1">
        <w:rPr>
          <w:rStyle w:val="y2iqfc"/>
          <w:rFonts w:ascii="Times New Roman" w:hAnsi="Times New Roman" w:cs="Times New Roman"/>
          <w:sz w:val="24"/>
          <w:szCs w:val="24"/>
        </w:rPr>
        <w:t xml:space="preserve"> </w:t>
      </w:r>
      <w:r w:rsidR="00576B58">
        <w:rPr>
          <w:rStyle w:val="y2iqfc"/>
          <w:rFonts w:ascii="Times New Roman" w:hAnsi="Times New Roman" w:cs="Times New Roman"/>
          <w:sz w:val="24"/>
          <w:szCs w:val="24"/>
          <w:lang w:val="sr-Cyrl-BA"/>
        </w:rPr>
        <w:t>спровођењу</w:t>
      </w:r>
      <w:r w:rsidR="002D1DC8"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ГАП</w:t>
      </w:r>
      <w:r w:rsidR="002D1DC8"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БиХ</w:t>
      </w:r>
      <w:r w:rsidR="002D1DC8" w:rsidRPr="002A29B1">
        <w:rPr>
          <w:rStyle w:val="y2iqfc"/>
          <w:rFonts w:ascii="Times New Roman" w:hAnsi="Times New Roman" w:cs="Times New Roman"/>
          <w:sz w:val="24"/>
          <w:szCs w:val="24"/>
        </w:rPr>
        <w:t xml:space="preserve"> 2023</w:t>
      </w:r>
      <w:r w:rsidR="00690613" w:rsidRPr="002A29B1">
        <w:rPr>
          <w:rStyle w:val="y2iqfc"/>
          <w:rFonts w:ascii="Times New Roman" w:hAnsi="Times New Roman" w:cs="Times New Roman"/>
          <w:sz w:val="24"/>
          <w:szCs w:val="24"/>
        </w:rPr>
        <w:t>-</w:t>
      </w:r>
      <w:r w:rsidR="002D1DC8" w:rsidRPr="002A29B1">
        <w:rPr>
          <w:rStyle w:val="y2iqfc"/>
          <w:rFonts w:ascii="Times New Roman" w:hAnsi="Times New Roman" w:cs="Times New Roman"/>
          <w:sz w:val="24"/>
          <w:szCs w:val="24"/>
        </w:rPr>
        <w:t>2027.</w:t>
      </w:r>
      <w:r w:rsidR="00690613" w:rsidRPr="002A29B1">
        <w:rPr>
          <w:rStyle w:val="y2iqfc"/>
          <w:rFonts w:ascii="Times New Roman" w:hAnsi="Times New Roman" w:cs="Times New Roman"/>
          <w:sz w:val="24"/>
          <w:szCs w:val="24"/>
        </w:rPr>
        <w:t xml:space="preserve"> </w:t>
      </w:r>
      <w:r w:rsidRPr="002A29B1">
        <w:rPr>
          <w:rStyle w:val="y2iqfc"/>
          <w:rFonts w:ascii="Times New Roman" w:hAnsi="Times New Roman" w:cs="Times New Roman"/>
          <w:sz w:val="24"/>
          <w:szCs w:val="24"/>
        </w:rPr>
        <w:t>године</w:t>
      </w:r>
      <w:r w:rsidR="00690613" w:rsidRPr="002A29B1">
        <w:rPr>
          <w:rStyle w:val="y2iqfc"/>
          <w:rFonts w:ascii="Times New Roman" w:hAnsi="Times New Roman" w:cs="Times New Roman"/>
          <w:sz w:val="24"/>
          <w:szCs w:val="24"/>
        </w:rPr>
        <w:t>.</w:t>
      </w:r>
    </w:p>
    <w:p w:rsidR="00031BE0" w:rsidRPr="00295637" w:rsidRDefault="00031BE0" w:rsidP="0086268D">
      <w:pPr>
        <w:pStyle w:val="Normal1"/>
        <w:jc w:val="both"/>
        <w:rPr>
          <w:rFonts w:ascii="Times New Roman" w:hAnsi="Times New Roman"/>
        </w:rPr>
      </w:pPr>
    </w:p>
    <w:p w:rsidR="00EB086C" w:rsidRPr="00295637" w:rsidRDefault="00C6214E" w:rsidP="0086268D">
      <w:pPr>
        <w:pStyle w:val="Normal1"/>
        <w:jc w:val="both"/>
        <w:rPr>
          <w:rFonts w:ascii="Times New Roman" w:hAnsi="Times New Roman"/>
        </w:rPr>
      </w:pPr>
      <w:r>
        <w:rPr>
          <w:rFonts w:ascii="Times New Roman" w:hAnsi="Times New Roman"/>
        </w:rPr>
        <w:t>Као</w:t>
      </w:r>
      <w:r w:rsidR="00EB086C" w:rsidRPr="00295637">
        <w:rPr>
          <w:rFonts w:ascii="Times New Roman" w:hAnsi="Times New Roman"/>
        </w:rPr>
        <w:t xml:space="preserve"> </w:t>
      </w:r>
      <w:r>
        <w:rPr>
          <w:rFonts w:ascii="Times New Roman" w:hAnsi="Times New Roman"/>
        </w:rPr>
        <w:t>чланице</w:t>
      </w:r>
      <w:r w:rsidR="00EB086C" w:rsidRPr="00295637">
        <w:rPr>
          <w:rFonts w:ascii="Times New Roman" w:hAnsi="Times New Roman"/>
        </w:rPr>
        <w:t xml:space="preserve"> </w:t>
      </w:r>
      <w:r>
        <w:rPr>
          <w:rFonts w:ascii="Times New Roman" w:hAnsi="Times New Roman"/>
        </w:rPr>
        <w:t>Међународне</w:t>
      </w:r>
      <w:r w:rsidR="00190D02" w:rsidRPr="00295637">
        <w:rPr>
          <w:rFonts w:ascii="Times New Roman" w:hAnsi="Times New Roman"/>
        </w:rPr>
        <w:t xml:space="preserve"> </w:t>
      </w:r>
      <w:r>
        <w:rPr>
          <w:rFonts w:ascii="Times New Roman" w:hAnsi="Times New Roman"/>
        </w:rPr>
        <w:t>радне</w:t>
      </w:r>
      <w:r w:rsidR="00190D02" w:rsidRPr="00295637">
        <w:rPr>
          <w:rFonts w:ascii="Times New Roman" w:hAnsi="Times New Roman"/>
        </w:rPr>
        <w:t xml:space="preserve"> </w:t>
      </w:r>
      <w:r>
        <w:rPr>
          <w:rFonts w:ascii="Times New Roman" w:hAnsi="Times New Roman"/>
        </w:rPr>
        <w:t>групе</w:t>
      </w:r>
      <w:r w:rsidR="00190D02" w:rsidRPr="00295637">
        <w:rPr>
          <w:rFonts w:ascii="Times New Roman" w:hAnsi="Times New Roman"/>
        </w:rPr>
        <w:t xml:space="preserve"> </w:t>
      </w:r>
      <w:r>
        <w:rPr>
          <w:rFonts w:ascii="Times New Roman" w:hAnsi="Times New Roman"/>
        </w:rPr>
        <w:t>за</w:t>
      </w:r>
      <w:r w:rsidR="00190D02" w:rsidRPr="00295637">
        <w:rPr>
          <w:rFonts w:ascii="Times New Roman" w:hAnsi="Times New Roman"/>
        </w:rPr>
        <w:t xml:space="preserve"> </w:t>
      </w:r>
      <w:r>
        <w:rPr>
          <w:rFonts w:ascii="Times New Roman" w:hAnsi="Times New Roman"/>
        </w:rPr>
        <w:t>равноправност</w:t>
      </w:r>
      <w:r w:rsidR="00190D02" w:rsidRPr="00295637">
        <w:rPr>
          <w:rFonts w:ascii="Times New Roman" w:hAnsi="Times New Roman"/>
        </w:rPr>
        <w:t xml:space="preserve"> </w:t>
      </w:r>
      <w:r>
        <w:rPr>
          <w:rFonts w:ascii="Times New Roman" w:hAnsi="Times New Roman"/>
        </w:rPr>
        <w:t>полова</w:t>
      </w:r>
      <w:r w:rsidR="00190D02" w:rsidRPr="00295637">
        <w:rPr>
          <w:rFonts w:ascii="Times New Roman" w:hAnsi="Times New Roman"/>
        </w:rPr>
        <w:t xml:space="preserve"> </w:t>
      </w:r>
      <w:r>
        <w:rPr>
          <w:rFonts w:ascii="Times New Roman" w:hAnsi="Times New Roman"/>
        </w:rPr>
        <w:t>у</w:t>
      </w:r>
      <w:r w:rsidR="009E54A2" w:rsidRPr="00295637">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sidR="00190D02" w:rsidRPr="00295637">
        <w:rPr>
          <w:rFonts w:ascii="Times New Roman" w:hAnsi="Times New Roman"/>
        </w:rPr>
        <w:t>(</w:t>
      </w:r>
      <w:r w:rsidR="00576B58" w:rsidRPr="00576B58">
        <w:rPr>
          <w:rFonts w:ascii="Times New Roman" w:hAnsi="Times New Roman"/>
          <w:i/>
          <w:lang w:val="hr-BA"/>
        </w:rPr>
        <w:t>IWG</w:t>
      </w:r>
      <w:r w:rsidR="00190D02" w:rsidRPr="00295637">
        <w:rPr>
          <w:rFonts w:ascii="Times New Roman" w:hAnsi="Times New Roman"/>
        </w:rPr>
        <w:t>)</w:t>
      </w:r>
      <w:r w:rsidR="00EB086C" w:rsidRPr="00295637">
        <w:rPr>
          <w:rFonts w:ascii="Times New Roman" w:hAnsi="Times New Roman"/>
        </w:rPr>
        <w:t xml:space="preserve">, </w:t>
      </w:r>
      <w:r>
        <w:rPr>
          <w:rFonts w:ascii="Times New Roman" w:hAnsi="Times New Roman"/>
        </w:rPr>
        <w:t>представнице</w:t>
      </w:r>
      <w:r w:rsidR="005B5F83" w:rsidRPr="00295637">
        <w:rPr>
          <w:rFonts w:ascii="Times New Roman" w:hAnsi="Times New Roman"/>
        </w:rPr>
        <w:t>/</w:t>
      </w:r>
      <w:r>
        <w:rPr>
          <w:rFonts w:ascii="Times New Roman" w:hAnsi="Times New Roman"/>
        </w:rPr>
        <w:t>и</w:t>
      </w:r>
      <w:r w:rsidR="00EB086C" w:rsidRPr="00295637">
        <w:rPr>
          <w:rFonts w:ascii="Times New Roman" w:hAnsi="Times New Roman"/>
        </w:rPr>
        <w:t xml:space="preserve"> </w:t>
      </w:r>
      <w:r>
        <w:rPr>
          <w:rFonts w:ascii="Times New Roman" w:hAnsi="Times New Roman"/>
        </w:rPr>
        <w:t>институционалних</w:t>
      </w:r>
      <w:r w:rsidR="005B5F83" w:rsidRPr="00295637">
        <w:rPr>
          <w:rFonts w:ascii="Times New Roman" w:hAnsi="Times New Roman"/>
        </w:rPr>
        <w:t xml:space="preserve"> </w:t>
      </w:r>
      <w:r>
        <w:rPr>
          <w:rFonts w:ascii="Times New Roman" w:hAnsi="Times New Roman"/>
        </w:rPr>
        <w:t>механизама</w:t>
      </w:r>
      <w:r w:rsidR="005B5F83" w:rsidRPr="00295637">
        <w:rPr>
          <w:rFonts w:ascii="Times New Roman" w:hAnsi="Times New Roman"/>
        </w:rPr>
        <w:t xml:space="preserve"> </w:t>
      </w:r>
      <w:r>
        <w:rPr>
          <w:rFonts w:ascii="Times New Roman" w:hAnsi="Times New Roman"/>
        </w:rPr>
        <w:t>за</w:t>
      </w:r>
      <w:r w:rsidR="002D1DC8">
        <w:rPr>
          <w:rFonts w:ascii="Times New Roman" w:hAnsi="Times New Roman"/>
        </w:rPr>
        <w:t xml:space="preserve"> </w:t>
      </w:r>
      <w:r>
        <w:rPr>
          <w:rFonts w:ascii="Times New Roman" w:hAnsi="Times New Roman"/>
        </w:rPr>
        <w:t>равноправност</w:t>
      </w:r>
      <w:r w:rsidR="002D1DC8">
        <w:rPr>
          <w:rFonts w:ascii="Times New Roman" w:hAnsi="Times New Roman"/>
        </w:rPr>
        <w:t xml:space="preserve"> </w:t>
      </w:r>
      <w:r>
        <w:rPr>
          <w:rFonts w:ascii="Times New Roman" w:hAnsi="Times New Roman"/>
        </w:rPr>
        <w:t>полова</w:t>
      </w:r>
      <w:r w:rsidR="002D1DC8">
        <w:rPr>
          <w:rFonts w:ascii="Times New Roman" w:hAnsi="Times New Roman"/>
        </w:rPr>
        <w:t xml:space="preserve"> </w:t>
      </w:r>
      <w:r>
        <w:rPr>
          <w:rFonts w:ascii="Times New Roman" w:hAnsi="Times New Roman"/>
        </w:rPr>
        <w:t>су</w:t>
      </w:r>
      <w:r w:rsidR="00EB086C" w:rsidRPr="00295637">
        <w:rPr>
          <w:rFonts w:ascii="Times New Roman" w:hAnsi="Times New Roman"/>
        </w:rPr>
        <w:t xml:space="preserve"> </w:t>
      </w:r>
      <w:r>
        <w:rPr>
          <w:rFonts w:ascii="Times New Roman" w:hAnsi="Times New Roman"/>
        </w:rPr>
        <w:t>на</w:t>
      </w:r>
      <w:r w:rsidR="00EB086C" w:rsidRPr="00295637">
        <w:rPr>
          <w:rFonts w:ascii="Times New Roman" w:hAnsi="Times New Roman"/>
        </w:rPr>
        <w:t xml:space="preserve"> </w:t>
      </w:r>
      <w:r>
        <w:rPr>
          <w:rStyle w:val="Strong"/>
          <w:rFonts w:ascii="Times New Roman" w:hAnsi="Times New Roman"/>
          <w:b w:val="0"/>
          <w:lang w:val="bs-Latn-BA"/>
        </w:rPr>
        <w:t>четири</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састанка</w:t>
      </w:r>
      <w:r w:rsidR="00EB086C" w:rsidRPr="00295637">
        <w:rPr>
          <w:rFonts w:ascii="Times New Roman" w:hAnsi="Times New Roman"/>
        </w:rPr>
        <w:t xml:space="preserve">, </w:t>
      </w:r>
      <w:r>
        <w:rPr>
          <w:rFonts w:ascii="Times New Roman" w:hAnsi="Times New Roman"/>
        </w:rPr>
        <w:t>презент</w:t>
      </w:r>
      <w:r w:rsidR="00576B58">
        <w:rPr>
          <w:rFonts w:ascii="Times New Roman" w:hAnsi="Times New Roman"/>
          <w:lang w:val="sr-Cyrl-BA"/>
        </w:rPr>
        <w:t>овале</w:t>
      </w:r>
      <w:r w:rsidR="00EB086C" w:rsidRPr="00295637">
        <w:rPr>
          <w:rFonts w:ascii="Times New Roman" w:hAnsi="Times New Roman"/>
        </w:rPr>
        <w:t xml:space="preserve"> </w:t>
      </w:r>
      <w:r>
        <w:rPr>
          <w:rFonts w:ascii="Times New Roman" w:hAnsi="Times New Roman"/>
        </w:rPr>
        <w:t>кључне</w:t>
      </w:r>
      <w:r w:rsidR="00EB086C" w:rsidRPr="00295637">
        <w:rPr>
          <w:rFonts w:ascii="Times New Roman" w:hAnsi="Times New Roman"/>
        </w:rPr>
        <w:t xml:space="preserve"> </w:t>
      </w:r>
      <w:r>
        <w:rPr>
          <w:rFonts w:ascii="Times New Roman" w:hAnsi="Times New Roman"/>
        </w:rPr>
        <w:t>теме</w:t>
      </w:r>
      <w:r w:rsidR="00EB086C" w:rsidRPr="00295637">
        <w:rPr>
          <w:rFonts w:ascii="Times New Roman" w:hAnsi="Times New Roman"/>
        </w:rPr>
        <w:t xml:space="preserve"> </w:t>
      </w:r>
      <w:r>
        <w:rPr>
          <w:rFonts w:ascii="Times New Roman" w:hAnsi="Times New Roman"/>
        </w:rPr>
        <w:t>и</w:t>
      </w:r>
      <w:r w:rsidR="00EB086C" w:rsidRPr="00295637">
        <w:rPr>
          <w:rFonts w:ascii="Times New Roman" w:hAnsi="Times New Roman"/>
        </w:rPr>
        <w:t xml:space="preserve"> </w:t>
      </w:r>
      <w:r>
        <w:rPr>
          <w:rFonts w:ascii="Times New Roman" w:hAnsi="Times New Roman"/>
        </w:rPr>
        <w:t>изазове</w:t>
      </w:r>
      <w:r w:rsidR="00EB086C" w:rsidRPr="00295637">
        <w:rPr>
          <w:rFonts w:ascii="Times New Roman" w:hAnsi="Times New Roman"/>
        </w:rPr>
        <w:t xml:space="preserve">. </w:t>
      </w:r>
      <w:r>
        <w:rPr>
          <w:rFonts w:ascii="Times New Roman" w:hAnsi="Times New Roman"/>
        </w:rPr>
        <w:t>Ова</w:t>
      </w:r>
      <w:r w:rsidR="00EB086C" w:rsidRPr="00295637">
        <w:rPr>
          <w:rFonts w:ascii="Times New Roman" w:hAnsi="Times New Roman"/>
        </w:rPr>
        <w:t xml:space="preserve"> </w:t>
      </w:r>
      <w:r>
        <w:rPr>
          <w:rFonts w:ascii="Times New Roman" w:hAnsi="Times New Roman"/>
        </w:rPr>
        <w:t>група</w:t>
      </w:r>
      <w:r w:rsidR="002A54F7">
        <w:rPr>
          <w:rFonts w:ascii="Times New Roman" w:hAnsi="Times New Roman"/>
        </w:rPr>
        <w:t xml:space="preserve">, </w:t>
      </w:r>
      <w:r>
        <w:rPr>
          <w:rFonts w:ascii="Times New Roman" w:hAnsi="Times New Roman"/>
        </w:rPr>
        <w:t>којом</w:t>
      </w:r>
      <w:r w:rsidR="002A54F7">
        <w:rPr>
          <w:rFonts w:ascii="Times New Roman" w:hAnsi="Times New Roman"/>
        </w:rPr>
        <w:t xml:space="preserve"> </w:t>
      </w:r>
      <w:r>
        <w:rPr>
          <w:rFonts w:ascii="Times New Roman" w:hAnsi="Times New Roman"/>
        </w:rPr>
        <w:t>копредсједава</w:t>
      </w:r>
      <w:r w:rsidR="002A54F7">
        <w:rPr>
          <w:rFonts w:ascii="Times New Roman" w:hAnsi="Times New Roman"/>
        </w:rPr>
        <w:t xml:space="preserve"> </w:t>
      </w:r>
      <w:r>
        <w:rPr>
          <w:rFonts w:ascii="Times New Roman" w:hAnsi="Times New Roman"/>
        </w:rPr>
        <w:t>АР</w:t>
      </w:r>
      <w:r w:rsidR="00576B58">
        <w:rPr>
          <w:rFonts w:ascii="Times New Roman" w:hAnsi="Times New Roman"/>
          <w:lang w:val="sr-Cyrl-BA"/>
        </w:rPr>
        <w:t>П</w:t>
      </w:r>
      <w:r w:rsidR="00690613">
        <w:rPr>
          <w:rFonts w:ascii="Times New Roman" w:hAnsi="Times New Roman"/>
        </w:rPr>
        <w:t xml:space="preserve"> </w:t>
      </w:r>
      <w:r>
        <w:rPr>
          <w:rFonts w:ascii="Times New Roman" w:hAnsi="Times New Roman"/>
        </w:rPr>
        <w:t>БиХ</w:t>
      </w:r>
      <w:r w:rsidR="00690613">
        <w:rPr>
          <w:rFonts w:ascii="Times New Roman" w:hAnsi="Times New Roman"/>
        </w:rPr>
        <w:t xml:space="preserve"> </w:t>
      </w:r>
      <w:r>
        <w:rPr>
          <w:rFonts w:ascii="Times New Roman" w:hAnsi="Times New Roman"/>
        </w:rPr>
        <w:t>МЉПИ</w:t>
      </w:r>
      <w:r w:rsidR="00690613">
        <w:rPr>
          <w:rFonts w:ascii="Times New Roman" w:hAnsi="Times New Roman"/>
        </w:rPr>
        <w:t xml:space="preserve"> </w:t>
      </w:r>
      <w:r>
        <w:rPr>
          <w:rFonts w:ascii="Times New Roman" w:hAnsi="Times New Roman"/>
        </w:rPr>
        <w:t>БиХ</w:t>
      </w:r>
      <w:r w:rsidR="00EC48AC">
        <w:rPr>
          <w:rFonts w:ascii="Times New Roman" w:hAnsi="Times New Roman"/>
        </w:rPr>
        <w:t>,</w:t>
      </w:r>
      <w:r w:rsidR="002A54F7">
        <w:rPr>
          <w:rFonts w:ascii="Times New Roman" w:hAnsi="Times New Roman"/>
        </w:rPr>
        <w:t xml:space="preserve"> </w:t>
      </w:r>
      <w:r>
        <w:rPr>
          <w:rFonts w:ascii="Times New Roman" w:hAnsi="Times New Roman"/>
        </w:rPr>
        <w:t>окупља</w:t>
      </w:r>
      <w:r w:rsidR="00EB086C" w:rsidRPr="00295637">
        <w:rPr>
          <w:rFonts w:ascii="Times New Roman" w:hAnsi="Times New Roman"/>
        </w:rPr>
        <w:t xml:space="preserve"> </w:t>
      </w:r>
      <w:r>
        <w:rPr>
          <w:rFonts w:ascii="Times New Roman" w:hAnsi="Times New Roman"/>
        </w:rPr>
        <w:t>представнике</w:t>
      </w:r>
      <w:r w:rsidR="00CB781B" w:rsidRPr="00295637">
        <w:rPr>
          <w:rFonts w:ascii="Times New Roman" w:hAnsi="Times New Roman"/>
        </w:rPr>
        <w:t>/</w:t>
      </w:r>
      <w:r>
        <w:rPr>
          <w:rFonts w:ascii="Times New Roman" w:hAnsi="Times New Roman"/>
        </w:rPr>
        <w:t>це</w:t>
      </w:r>
      <w:r w:rsidR="00EB086C" w:rsidRPr="00295637">
        <w:rPr>
          <w:rFonts w:ascii="Times New Roman" w:hAnsi="Times New Roman"/>
        </w:rPr>
        <w:t xml:space="preserve"> </w:t>
      </w:r>
      <w:r>
        <w:rPr>
          <w:rFonts w:ascii="Times New Roman" w:hAnsi="Times New Roman"/>
        </w:rPr>
        <w:t>свих</w:t>
      </w:r>
      <w:r w:rsidR="00EB086C" w:rsidRPr="00295637">
        <w:rPr>
          <w:rFonts w:ascii="Times New Roman" w:hAnsi="Times New Roman"/>
        </w:rPr>
        <w:t xml:space="preserve"> </w:t>
      </w:r>
      <w:r>
        <w:rPr>
          <w:rStyle w:val="Strong"/>
          <w:rFonts w:ascii="Times New Roman" w:hAnsi="Times New Roman"/>
          <w:b w:val="0"/>
          <w:lang w:val="bs-Latn-BA"/>
        </w:rPr>
        <w:t>амбасада</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и</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међународних</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организација</w:t>
      </w:r>
      <w:r w:rsidR="00EB086C" w:rsidRPr="00295637">
        <w:rPr>
          <w:rFonts w:ascii="Times New Roman" w:hAnsi="Times New Roman"/>
        </w:rPr>
        <w:t xml:space="preserve"> </w:t>
      </w:r>
      <w:r>
        <w:rPr>
          <w:rFonts w:ascii="Times New Roman" w:hAnsi="Times New Roman"/>
        </w:rPr>
        <w:t>у</w:t>
      </w:r>
      <w:r w:rsidR="00EC48AC">
        <w:rPr>
          <w:rFonts w:ascii="Times New Roman" w:hAnsi="Times New Roman"/>
        </w:rPr>
        <w:t xml:space="preserve"> </w:t>
      </w:r>
      <w:r>
        <w:rPr>
          <w:rFonts w:ascii="Times New Roman" w:hAnsi="Times New Roman"/>
        </w:rPr>
        <w:t>БиХ</w:t>
      </w:r>
      <w:r w:rsidR="00EB086C" w:rsidRPr="00295637">
        <w:rPr>
          <w:rFonts w:ascii="Times New Roman" w:hAnsi="Times New Roman"/>
        </w:rPr>
        <w:t xml:space="preserve">, </w:t>
      </w:r>
      <w:r>
        <w:rPr>
          <w:rFonts w:ascii="Times New Roman" w:hAnsi="Times New Roman"/>
        </w:rPr>
        <w:t>што</w:t>
      </w:r>
      <w:r w:rsidR="00EB086C" w:rsidRPr="00295637">
        <w:rPr>
          <w:rFonts w:ascii="Times New Roman" w:hAnsi="Times New Roman"/>
        </w:rPr>
        <w:t xml:space="preserve"> </w:t>
      </w:r>
      <w:r>
        <w:rPr>
          <w:rFonts w:ascii="Times New Roman" w:hAnsi="Times New Roman"/>
        </w:rPr>
        <w:t>омогућава</w:t>
      </w:r>
      <w:r w:rsidR="00EB086C" w:rsidRPr="00295637">
        <w:rPr>
          <w:rFonts w:ascii="Times New Roman" w:hAnsi="Times New Roman"/>
        </w:rPr>
        <w:t xml:space="preserve"> </w:t>
      </w:r>
      <w:r>
        <w:rPr>
          <w:rFonts w:ascii="Times New Roman" w:hAnsi="Times New Roman"/>
        </w:rPr>
        <w:t>размјену</w:t>
      </w:r>
      <w:r w:rsidR="00EB086C" w:rsidRPr="00295637">
        <w:rPr>
          <w:rFonts w:ascii="Times New Roman" w:hAnsi="Times New Roman"/>
        </w:rPr>
        <w:t xml:space="preserve"> </w:t>
      </w:r>
      <w:r>
        <w:rPr>
          <w:rFonts w:ascii="Times New Roman" w:hAnsi="Times New Roman"/>
        </w:rPr>
        <w:t>искустава</w:t>
      </w:r>
      <w:r w:rsidR="00EB086C" w:rsidRPr="00295637">
        <w:rPr>
          <w:rFonts w:ascii="Times New Roman" w:hAnsi="Times New Roman"/>
        </w:rPr>
        <w:t xml:space="preserve"> </w:t>
      </w:r>
      <w:r>
        <w:rPr>
          <w:rFonts w:ascii="Times New Roman" w:hAnsi="Times New Roman"/>
        </w:rPr>
        <w:t>и</w:t>
      </w:r>
      <w:r w:rsidR="00EB086C" w:rsidRPr="00295637">
        <w:rPr>
          <w:rFonts w:ascii="Times New Roman" w:hAnsi="Times New Roman"/>
        </w:rPr>
        <w:t xml:space="preserve"> </w:t>
      </w:r>
      <w:r>
        <w:rPr>
          <w:rFonts w:ascii="Times New Roman" w:hAnsi="Times New Roman"/>
        </w:rPr>
        <w:t>добрих</w:t>
      </w:r>
      <w:r w:rsidR="00EB086C" w:rsidRPr="00295637">
        <w:rPr>
          <w:rFonts w:ascii="Times New Roman" w:hAnsi="Times New Roman"/>
        </w:rPr>
        <w:t xml:space="preserve"> </w:t>
      </w:r>
      <w:r>
        <w:rPr>
          <w:rFonts w:ascii="Times New Roman" w:hAnsi="Times New Roman"/>
        </w:rPr>
        <w:t>пракси</w:t>
      </w:r>
      <w:r w:rsidR="00EB086C" w:rsidRPr="00295637">
        <w:rPr>
          <w:rFonts w:ascii="Times New Roman" w:hAnsi="Times New Roman"/>
        </w:rPr>
        <w:t xml:space="preserve"> </w:t>
      </w:r>
      <w:r>
        <w:rPr>
          <w:rFonts w:ascii="Times New Roman" w:hAnsi="Times New Roman"/>
        </w:rPr>
        <w:t>у</w:t>
      </w:r>
      <w:r w:rsidR="00EB086C" w:rsidRPr="00295637">
        <w:rPr>
          <w:rFonts w:ascii="Times New Roman" w:hAnsi="Times New Roman"/>
        </w:rPr>
        <w:t xml:space="preserve"> </w:t>
      </w:r>
      <w:r>
        <w:rPr>
          <w:rFonts w:ascii="Times New Roman" w:hAnsi="Times New Roman"/>
        </w:rPr>
        <w:t>области</w:t>
      </w:r>
      <w:r w:rsidR="00EB086C" w:rsidRPr="00295637">
        <w:rPr>
          <w:rFonts w:ascii="Times New Roman" w:hAnsi="Times New Roman"/>
        </w:rPr>
        <w:t xml:space="preserve"> </w:t>
      </w:r>
      <w:r>
        <w:rPr>
          <w:rFonts w:ascii="Times New Roman" w:hAnsi="Times New Roman"/>
        </w:rPr>
        <w:t>равноправности</w:t>
      </w:r>
      <w:r w:rsidR="00CC105E" w:rsidRPr="00295637">
        <w:rPr>
          <w:rFonts w:ascii="Times New Roman" w:hAnsi="Times New Roman"/>
        </w:rPr>
        <w:t xml:space="preserve"> </w:t>
      </w:r>
      <w:r>
        <w:rPr>
          <w:rFonts w:ascii="Times New Roman" w:hAnsi="Times New Roman"/>
        </w:rPr>
        <w:t>полова</w:t>
      </w:r>
      <w:r w:rsidR="00EB086C" w:rsidRPr="00295637">
        <w:rPr>
          <w:rFonts w:ascii="Times New Roman" w:hAnsi="Times New Roman"/>
        </w:rPr>
        <w:t>.</w:t>
      </w:r>
    </w:p>
    <w:p w:rsidR="009B0299" w:rsidRPr="00295637" w:rsidRDefault="009B0299" w:rsidP="0086268D">
      <w:pPr>
        <w:pStyle w:val="Normal1"/>
        <w:jc w:val="both"/>
        <w:rPr>
          <w:rFonts w:ascii="Times New Roman" w:hAnsi="Times New Roman"/>
        </w:rPr>
      </w:pPr>
    </w:p>
    <w:p w:rsidR="007170F9" w:rsidRDefault="00C6214E" w:rsidP="0086268D">
      <w:pPr>
        <w:pStyle w:val="Normal1"/>
        <w:jc w:val="both"/>
        <w:rPr>
          <w:rFonts w:ascii="Times New Roman" w:hAnsi="Times New Roman"/>
        </w:rPr>
      </w:pPr>
      <w:r>
        <w:rPr>
          <w:rFonts w:ascii="Times New Roman" w:hAnsi="Times New Roman"/>
        </w:rPr>
        <w:t>Осим</w:t>
      </w:r>
      <w:r w:rsidR="00EB086C" w:rsidRPr="00295637">
        <w:rPr>
          <w:rFonts w:ascii="Times New Roman" w:hAnsi="Times New Roman"/>
        </w:rPr>
        <w:t xml:space="preserve"> </w:t>
      </w:r>
      <w:r>
        <w:rPr>
          <w:rFonts w:ascii="Times New Roman" w:hAnsi="Times New Roman"/>
        </w:rPr>
        <w:t>тога</w:t>
      </w:r>
      <w:r w:rsidR="00EB086C" w:rsidRPr="00295637">
        <w:rPr>
          <w:rFonts w:ascii="Times New Roman" w:hAnsi="Times New Roman"/>
        </w:rPr>
        <w:t xml:space="preserve">, </w:t>
      </w:r>
      <w:r>
        <w:rPr>
          <w:rFonts w:ascii="Times New Roman" w:hAnsi="Times New Roman"/>
        </w:rPr>
        <w:t>успостављена</w:t>
      </w:r>
      <w:r w:rsidR="00690613">
        <w:rPr>
          <w:rFonts w:ascii="Times New Roman" w:hAnsi="Times New Roman"/>
        </w:rPr>
        <w:t xml:space="preserve"> </w:t>
      </w:r>
      <w:r>
        <w:rPr>
          <w:rFonts w:ascii="Times New Roman" w:hAnsi="Times New Roman"/>
        </w:rPr>
        <w:t>је</w:t>
      </w:r>
      <w:r w:rsidR="00690613">
        <w:rPr>
          <w:rFonts w:ascii="Times New Roman" w:hAnsi="Times New Roman"/>
        </w:rPr>
        <w:t xml:space="preserve"> </w:t>
      </w:r>
      <w:r>
        <w:rPr>
          <w:rFonts w:ascii="Times New Roman" w:hAnsi="Times New Roman"/>
        </w:rPr>
        <w:t>координација</w:t>
      </w:r>
      <w:r w:rsidR="00690613">
        <w:rPr>
          <w:rFonts w:ascii="Times New Roman" w:hAnsi="Times New Roman"/>
        </w:rPr>
        <w:t xml:space="preserve"> </w:t>
      </w:r>
      <w:r>
        <w:rPr>
          <w:rFonts w:ascii="Times New Roman" w:hAnsi="Times New Roman"/>
        </w:rPr>
        <w:t>са</w:t>
      </w:r>
      <w:r w:rsidR="00EB086C" w:rsidRPr="00295637">
        <w:rPr>
          <w:rFonts w:ascii="Times New Roman" w:hAnsi="Times New Roman"/>
        </w:rPr>
        <w:t xml:space="preserve"> </w:t>
      </w:r>
      <w:r>
        <w:rPr>
          <w:rStyle w:val="Strong"/>
          <w:rFonts w:ascii="Times New Roman" w:hAnsi="Times New Roman"/>
          <w:b w:val="0"/>
          <w:lang w:val="bs-Latn-BA"/>
        </w:rPr>
        <w:t>УН</w:t>
      </w:r>
      <w:r w:rsidR="00EB086C" w:rsidRPr="00295637">
        <w:rPr>
          <w:rStyle w:val="Strong"/>
          <w:rFonts w:ascii="Times New Roman" w:hAnsi="Times New Roman"/>
          <w:b w:val="0"/>
          <w:lang w:val="bs-Latn-BA"/>
        </w:rPr>
        <w:t xml:space="preserve"> </w:t>
      </w:r>
      <w:r w:rsidR="00576B58" w:rsidRPr="00576B58">
        <w:rPr>
          <w:rFonts w:ascii="Times New Roman" w:hAnsi="Times New Roman"/>
          <w:bCs/>
          <w:i/>
          <w:lang w:val="bs-Latn-BA"/>
        </w:rPr>
        <w:t>OHCHR/UNDP</w:t>
      </w:r>
      <w:r w:rsidR="00576B58" w:rsidRPr="00576B58">
        <w:rPr>
          <w:rFonts w:ascii="Times New Roman" w:hAnsi="Times New Roman"/>
          <w:bCs/>
          <w:lang w:val="bs-Latn-BA"/>
        </w:rPr>
        <w:t xml:space="preserve"> </w:t>
      </w:r>
      <w:r>
        <w:rPr>
          <w:rStyle w:val="Strong"/>
          <w:rFonts w:ascii="Times New Roman" w:hAnsi="Times New Roman"/>
          <w:b w:val="0"/>
          <w:lang w:val="bs-Latn-BA"/>
        </w:rPr>
        <w:t>пројектом</w:t>
      </w:r>
      <w:r w:rsidR="00EB086C" w:rsidRPr="00295637">
        <w:rPr>
          <w:rFonts w:ascii="Times New Roman" w:hAnsi="Times New Roman"/>
        </w:rPr>
        <w:t xml:space="preserve"> </w:t>
      </w:r>
      <w:r>
        <w:rPr>
          <w:rFonts w:ascii="Times New Roman" w:hAnsi="Times New Roman"/>
        </w:rPr>
        <w:t>о</w:t>
      </w:r>
      <w:r w:rsidR="00EB086C" w:rsidRPr="00295637">
        <w:rPr>
          <w:rFonts w:ascii="Times New Roman" w:hAnsi="Times New Roman"/>
        </w:rPr>
        <w:t xml:space="preserve"> </w:t>
      </w:r>
      <w:r>
        <w:rPr>
          <w:rFonts w:ascii="Times New Roman" w:hAnsi="Times New Roman"/>
        </w:rPr>
        <w:t>интеграцији</w:t>
      </w:r>
      <w:r w:rsidR="00EB086C" w:rsidRPr="00295637">
        <w:rPr>
          <w:rFonts w:ascii="Times New Roman" w:hAnsi="Times New Roman"/>
        </w:rPr>
        <w:t xml:space="preserve"> </w:t>
      </w:r>
      <w:r>
        <w:rPr>
          <w:rFonts w:ascii="Times New Roman" w:hAnsi="Times New Roman"/>
        </w:rPr>
        <w:t>података</w:t>
      </w:r>
      <w:r w:rsidR="00EB086C" w:rsidRPr="00295637">
        <w:rPr>
          <w:rFonts w:ascii="Times New Roman" w:hAnsi="Times New Roman"/>
        </w:rPr>
        <w:t xml:space="preserve"> </w:t>
      </w:r>
      <w:r>
        <w:rPr>
          <w:rFonts w:ascii="Times New Roman" w:hAnsi="Times New Roman"/>
        </w:rPr>
        <w:t>о</w:t>
      </w:r>
      <w:r w:rsidR="00EB086C" w:rsidRPr="00295637">
        <w:rPr>
          <w:rFonts w:ascii="Times New Roman" w:hAnsi="Times New Roman"/>
        </w:rPr>
        <w:t xml:space="preserve"> </w:t>
      </w:r>
      <w:r>
        <w:rPr>
          <w:rFonts w:ascii="Times New Roman" w:hAnsi="Times New Roman"/>
        </w:rPr>
        <w:t>људским</w:t>
      </w:r>
      <w:r w:rsidR="00EB086C" w:rsidRPr="00295637">
        <w:rPr>
          <w:rFonts w:ascii="Times New Roman" w:hAnsi="Times New Roman"/>
        </w:rPr>
        <w:t xml:space="preserve"> </w:t>
      </w:r>
      <w:r>
        <w:rPr>
          <w:rFonts w:ascii="Times New Roman" w:hAnsi="Times New Roman"/>
        </w:rPr>
        <w:t>правима</w:t>
      </w:r>
      <w:r w:rsidR="00EB086C" w:rsidRPr="00295637">
        <w:rPr>
          <w:rFonts w:ascii="Times New Roman" w:hAnsi="Times New Roman"/>
        </w:rPr>
        <w:t xml:space="preserve"> </w:t>
      </w:r>
      <w:r>
        <w:rPr>
          <w:rFonts w:ascii="Times New Roman" w:hAnsi="Times New Roman"/>
        </w:rPr>
        <w:t>у</w:t>
      </w:r>
      <w:r w:rsidR="00EB086C" w:rsidRPr="00295637">
        <w:rPr>
          <w:rFonts w:ascii="Times New Roman" w:hAnsi="Times New Roman"/>
        </w:rPr>
        <w:t xml:space="preserve"> </w:t>
      </w:r>
      <w:r>
        <w:rPr>
          <w:rStyle w:val="Strong"/>
          <w:rFonts w:ascii="Times New Roman" w:hAnsi="Times New Roman"/>
          <w:b w:val="0"/>
          <w:lang w:val="bs-Latn-BA"/>
        </w:rPr>
        <w:t>оквиру</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планирања</w:t>
      </w:r>
      <w:r w:rsidR="00EB086C" w:rsidRPr="00295637">
        <w:rPr>
          <w:rStyle w:val="Strong"/>
          <w:rFonts w:ascii="Times New Roman" w:hAnsi="Times New Roman"/>
          <w:b w:val="0"/>
          <w:lang w:val="bs-Latn-BA"/>
        </w:rPr>
        <w:t xml:space="preserve"> </w:t>
      </w:r>
      <w:r w:rsidR="00576B58" w:rsidRPr="00576B58">
        <w:rPr>
          <w:rFonts w:ascii="Times New Roman" w:hAnsi="Times New Roman"/>
          <w:bCs/>
          <w:i/>
          <w:lang w:val="hr-BA"/>
        </w:rPr>
        <w:t>SDG</w:t>
      </w:r>
      <w:r w:rsidR="00EB086C" w:rsidRPr="00295637">
        <w:rPr>
          <w:rStyle w:val="Strong"/>
          <w:rFonts w:ascii="Times New Roman" w:hAnsi="Times New Roman"/>
          <w:b w:val="0"/>
          <w:lang w:val="bs-Latn-BA"/>
        </w:rPr>
        <w:t xml:space="preserve"> </w:t>
      </w:r>
      <w:r>
        <w:rPr>
          <w:rStyle w:val="Strong"/>
          <w:rFonts w:ascii="Times New Roman" w:hAnsi="Times New Roman"/>
          <w:b w:val="0"/>
          <w:lang w:val="bs-Latn-BA"/>
        </w:rPr>
        <w:t>у</w:t>
      </w:r>
      <w:r w:rsidR="009E54A2" w:rsidRPr="00295637">
        <w:rPr>
          <w:rStyle w:val="Strong"/>
          <w:rFonts w:ascii="Times New Roman" w:hAnsi="Times New Roman"/>
          <w:b w:val="0"/>
          <w:lang w:val="bs-Latn-BA"/>
        </w:rPr>
        <w:t xml:space="preserve"> </w:t>
      </w:r>
      <w:r>
        <w:rPr>
          <w:rStyle w:val="Strong"/>
          <w:rFonts w:ascii="Times New Roman" w:hAnsi="Times New Roman"/>
          <w:b w:val="0"/>
          <w:lang w:val="bs-Latn-BA"/>
        </w:rPr>
        <w:t>БиХ</w:t>
      </w:r>
      <w:r w:rsidR="00EB086C" w:rsidRPr="00295637">
        <w:rPr>
          <w:rFonts w:ascii="Times New Roman" w:hAnsi="Times New Roman"/>
        </w:rPr>
        <w:t xml:space="preserve">, </w:t>
      </w:r>
      <w:r>
        <w:rPr>
          <w:rFonts w:ascii="Times New Roman" w:hAnsi="Times New Roman"/>
        </w:rPr>
        <w:t>што</w:t>
      </w:r>
      <w:r w:rsidR="00EB086C" w:rsidRPr="00295637">
        <w:rPr>
          <w:rFonts w:ascii="Times New Roman" w:hAnsi="Times New Roman"/>
        </w:rPr>
        <w:t xml:space="preserve"> </w:t>
      </w:r>
      <w:r>
        <w:rPr>
          <w:rFonts w:ascii="Times New Roman" w:hAnsi="Times New Roman"/>
        </w:rPr>
        <w:t>представља</w:t>
      </w:r>
      <w:r w:rsidR="00EB086C" w:rsidRPr="00295637">
        <w:rPr>
          <w:rFonts w:ascii="Times New Roman" w:hAnsi="Times New Roman"/>
        </w:rPr>
        <w:t xml:space="preserve"> </w:t>
      </w:r>
      <w:r>
        <w:rPr>
          <w:rFonts w:ascii="Times New Roman" w:hAnsi="Times New Roman"/>
        </w:rPr>
        <w:t>важан</w:t>
      </w:r>
      <w:r w:rsidR="00EB086C" w:rsidRPr="00295637">
        <w:rPr>
          <w:rFonts w:ascii="Times New Roman" w:hAnsi="Times New Roman"/>
        </w:rPr>
        <w:t xml:space="preserve"> </w:t>
      </w:r>
      <w:r>
        <w:rPr>
          <w:rFonts w:ascii="Times New Roman" w:hAnsi="Times New Roman"/>
        </w:rPr>
        <w:t>искорак</w:t>
      </w:r>
      <w:r w:rsidR="00EB086C" w:rsidRPr="00295637">
        <w:rPr>
          <w:rFonts w:ascii="Times New Roman" w:hAnsi="Times New Roman"/>
        </w:rPr>
        <w:t xml:space="preserve"> </w:t>
      </w:r>
      <w:r>
        <w:rPr>
          <w:rFonts w:ascii="Times New Roman" w:hAnsi="Times New Roman"/>
        </w:rPr>
        <w:t>ка</w:t>
      </w:r>
      <w:r w:rsidR="00EB086C" w:rsidRPr="00295637">
        <w:rPr>
          <w:rFonts w:ascii="Times New Roman" w:hAnsi="Times New Roman"/>
        </w:rPr>
        <w:t xml:space="preserve"> </w:t>
      </w:r>
      <w:r>
        <w:rPr>
          <w:rFonts w:ascii="Times New Roman" w:hAnsi="Times New Roman"/>
        </w:rPr>
        <w:t>јачању</w:t>
      </w:r>
      <w:r w:rsidR="00EB086C" w:rsidRPr="00295637">
        <w:rPr>
          <w:rFonts w:ascii="Times New Roman" w:hAnsi="Times New Roman"/>
        </w:rPr>
        <w:t xml:space="preserve"> </w:t>
      </w:r>
      <w:r>
        <w:rPr>
          <w:rFonts w:ascii="Times New Roman" w:hAnsi="Times New Roman"/>
        </w:rPr>
        <w:t>одговорности</w:t>
      </w:r>
      <w:r w:rsidR="00EB086C" w:rsidRPr="00295637">
        <w:rPr>
          <w:rFonts w:ascii="Times New Roman" w:hAnsi="Times New Roman"/>
        </w:rPr>
        <w:t xml:space="preserve"> </w:t>
      </w:r>
      <w:r>
        <w:rPr>
          <w:rFonts w:ascii="Times New Roman" w:hAnsi="Times New Roman"/>
        </w:rPr>
        <w:t>власти</w:t>
      </w:r>
      <w:r w:rsidR="00EB086C" w:rsidRPr="00295637">
        <w:rPr>
          <w:rFonts w:ascii="Times New Roman" w:hAnsi="Times New Roman"/>
        </w:rPr>
        <w:t xml:space="preserve"> </w:t>
      </w:r>
      <w:r>
        <w:rPr>
          <w:rFonts w:ascii="Times New Roman" w:hAnsi="Times New Roman"/>
        </w:rPr>
        <w:t>за</w:t>
      </w:r>
      <w:r w:rsidR="00EB086C" w:rsidRPr="00295637">
        <w:rPr>
          <w:rFonts w:ascii="Times New Roman" w:hAnsi="Times New Roman"/>
        </w:rPr>
        <w:t xml:space="preserve"> </w:t>
      </w:r>
      <w:r>
        <w:rPr>
          <w:rFonts w:ascii="Times New Roman" w:hAnsi="Times New Roman"/>
        </w:rPr>
        <w:t>систематско</w:t>
      </w:r>
      <w:r w:rsidR="00EB086C" w:rsidRPr="00295637">
        <w:rPr>
          <w:rFonts w:ascii="Times New Roman" w:hAnsi="Times New Roman"/>
        </w:rPr>
        <w:t xml:space="preserve"> </w:t>
      </w:r>
      <w:r>
        <w:rPr>
          <w:rFonts w:ascii="Times New Roman" w:hAnsi="Times New Roman"/>
        </w:rPr>
        <w:t>прикупљање</w:t>
      </w:r>
      <w:r w:rsidR="00EB086C" w:rsidRPr="00295637">
        <w:rPr>
          <w:rFonts w:ascii="Times New Roman" w:hAnsi="Times New Roman"/>
        </w:rPr>
        <w:t xml:space="preserve"> </w:t>
      </w:r>
      <w:r>
        <w:rPr>
          <w:rFonts w:ascii="Times New Roman" w:hAnsi="Times New Roman"/>
        </w:rPr>
        <w:t>и</w:t>
      </w:r>
      <w:r w:rsidR="00EB086C" w:rsidRPr="00295637">
        <w:rPr>
          <w:rFonts w:ascii="Times New Roman" w:hAnsi="Times New Roman"/>
        </w:rPr>
        <w:t xml:space="preserve"> </w:t>
      </w:r>
      <w:r>
        <w:rPr>
          <w:rFonts w:ascii="Times New Roman" w:hAnsi="Times New Roman"/>
        </w:rPr>
        <w:t>анализу</w:t>
      </w:r>
      <w:r w:rsidR="00EB086C" w:rsidRPr="00295637">
        <w:rPr>
          <w:rFonts w:ascii="Times New Roman" w:hAnsi="Times New Roman"/>
        </w:rPr>
        <w:t xml:space="preserve"> </w:t>
      </w:r>
      <w:r>
        <w:rPr>
          <w:rFonts w:ascii="Times New Roman" w:hAnsi="Times New Roman"/>
        </w:rPr>
        <w:t>података</w:t>
      </w:r>
      <w:r w:rsidR="00EB086C" w:rsidRPr="00295637">
        <w:rPr>
          <w:rFonts w:ascii="Times New Roman" w:hAnsi="Times New Roman"/>
        </w:rPr>
        <w:t xml:space="preserve"> </w:t>
      </w:r>
      <w:r>
        <w:rPr>
          <w:rFonts w:ascii="Times New Roman" w:hAnsi="Times New Roman"/>
        </w:rPr>
        <w:t>о</w:t>
      </w:r>
      <w:r w:rsidR="00EB086C" w:rsidRPr="00295637">
        <w:rPr>
          <w:rFonts w:ascii="Times New Roman" w:hAnsi="Times New Roman"/>
        </w:rPr>
        <w:t xml:space="preserve"> </w:t>
      </w:r>
      <w:r>
        <w:rPr>
          <w:rFonts w:ascii="Times New Roman" w:hAnsi="Times New Roman"/>
        </w:rPr>
        <w:t>људским</w:t>
      </w:r>
      <w:r w:rsidR="00EB086C" w:rsidRPr="00295637">
        <w:rPr>
          <w:rFonts w:ascii="Times New Roman" w:hAnsi="Times New Roman"/>
        </w:rPr>
        <w:t xml:space="preserve"> </w:t>
      </w:r>
      <w:r>
        <w:rPr>
          <w:rFonts w:ascii="Times New Roman" w:hAnsi="Times New Roman"/>
        </w:rPr>
        <w:t>правима</w:t>
      </w:r>
      <w:r w:rsidR="00EB086C" w:rsidRPr="00295637">
        <w:rPr>
          <w:rFonts w:ascii="Times New Roman" w:hAnsi="Times New Roman"/>
        </w:rPr>
        <w:t>.</w:t>
      </w:r>
    </w:p>
    <w:p w:rsidR="007170F9" w:rsidRDefault="007170F9" w:rsidP="0086268D">
      <w:pPr>
        <w:pStyle w:val="Normal1"/>
        <w:jc w:val="both"/>
        <w:rPr>
          <w:rFonts w:ascii="Times New Roman" w:hAnsi="Times New Roman"/>
        </w:rPr>
      </w:pPr>
    </w:p>
    <w:p w:rsidR="004A7FA6" w:rsidRPr="00295637" w:rsidRDefault="00C6214E" w:rsidP="0086268D">
      <w:pPr>
        <w:pStyle w:val="Normal1"/>
        <w:jc w:val="both"/>
        <w:rPr>
          <w:rFonts w:ascii="Times New Roman" w:hAnsi="Times New Roman"/>
        </w:rPr>
      </w:pPr>
      <w:r>
        <w:rPr>
          <w:rFonts w:ascii="Times New Roman" w:hAnsi="Times New Roman"/>
        </w:rPr>
        <w:t>У</w:t>
      </w:r>
      <w:r w:rsidR="004A7FA6" w:rsidRPr="00295637">
        <w:rPr>
          <w:rFonts w:ascii="Times New Roman" w:hAnsi="Times New Roman"/>
        </w:rPr>
        <w:t xml:space="preserve"> </w:t>
      </w:r>
      <w:r>
        <w:rPr>
          <w:rFonts w:ascii="Times New Roman" w:hAnsi="Times New Roman"/>
        </w:rPr>
        <w:t>улози</w:t>
      </w:r>
      <w:r w:rsidR="004A7FA6" w:rsidRPr="00295637">
        <w:rPr>
          <w:rFonts w:ascii="Times New Roman" w:hAnsi="Times New Roman"/>
        </w:rPr>
        <w:t xml:space="preserve"> </w:t>
      </w:r>
      <w:r>
        <w:rPr>
          <w:rFonts w:ascii="Times New Roman" w:hAnsi="Times New Roman"/>
        </w:rPr>
        <w:t>панелиста</w:t>
      </w:r>
      <w:r w:rsidR="004A7FA6" w:rsidRPr="00295637">
        <w:rPr>
          <w:rFonts w:ascii="Times New Roman" w:hAnsi="Times New Roman"/>
        </w:rPr>
        <w:t xml:space="preserve"> </w:t>
      </w:r>
      <w:r>
        <w:rPr>
          <w:rFonts w:ascii="Times New Roman" w:hAnsi="Times New Roman"/>
        </w:rPr>
        <w:t>или</w:t>
      </w:r>
      <w:r w:rsidR="004A7FA6" w:rsidRPr="00295637">
        <w:rPr>
          <w:rFonts w:ascii="Times New Roman" w:hAnsi="Times New Roman"/>
        </w:rPr>
        <w:t xml:space="preserve"> </w:t>
      </w:r>
      <w:r>
        <w:rPr>
          <w:rFonts w:ascii="Times New Roman" w:hAnsi="Times New Roman"/>
        </w:rPr>
        <w:t>уводничара</w:t>
      </w:r>
      <w:r w:rsidR="004A7FA6" w:rsidRPr="00295637">
        <w:rPr>
          <w:rFonts w:ascii="Times New Roman" w:hAnsi="Times New Roman"/>
        </w:rPr>
        <w:t xml:space="preserve">, </w:t>
      </w:r>
      <w:r>
        <w:rPr>
          <w:rFonts w:ascii="Times New Roman" w:hAnsi="Times New Roman"/>
        </w:rPr>
        <w:t>представници</w:t>
      </w:r>
      <w:r w:rsidR="004A7FA6" w:rsidRPr="00295637">
        <w:rPr>
          <w:rFonts w:ascii="Times New Roman" w:hAnsi="Times New Roman"/>
        </w:rPr>
        <w:t xml:space="preserve"> </w:t>
      </w:r>
      <w:r>
        <w:rPr>
          <w:rFonts w:ascii="Times New Roman" w:hAnsi="Times New Roman"/>
        </w:rPr>
        <w:t>АР</w:t>
      </w:r>
      <w:r w:rsidR="00576B58">
        <w:rPr>
          <w:rFonts w:ascii="Times New Roman" w:hAnsi="Times New Roman"/>
          <w:lang w:val="sr-Cyrl-BA"/>
        </w:rPr>
        <w:t>П</w:t>
      </w:r>
      <w:r w:rsidR="00690613">
        <w:rPr>
          <w:rFonts w:ascii="Times New Roman" w:hAnsi="Times New Roman"/>
        </w:rPr>
        <w:t xml:space="preserve"> </w:t>
      </w:r>
      <w:r>
        <w:rPr>
          <w:rFonts w:ascii="Times New Roman" w:hAnsi="Times New Roman"/>
        </w:rPr>
        <w:t>БиХ</w:t>
      </w:r>
      <w:r w:rsidR="00690613">
        <w:rPr>
          <w:rFonts w:ascii="Times New Roman" w:hAnsi="Times New Roman"/>
        </w:rPr>
        <w:t xml:space="preserve"> </w:t>
      </w:r>
      <w:r>
        <w:rPr>
          <w:rFonts w:ascii="Times New Roman" w:hAnsi="Times New Roman"/>
        </w:rPr>
        <w:t>МЉПИ</w:t>
      </w:r>
      <w:r w:rsidR="00690613">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Pr>
          <w:rFonts w:ascii="Times New Roman" w:hAnsi="Times New Roman"/>
        </w:rPr>
        <w:t>су</w:t>
      </w:r>
      <w:r w:rsidR="00F133DB" w:rsidRPr="00295637">
        <w:rPr>
          <w:rFonts w:ascii="Times New Roman" w:hAnsi="Times New Roman"/>
        </w:rPr>
        <w:t xml:space="preserve"> </w:t>
      </w:r>
      <w:r>
        <w:rPr>
          <w:rFonts w:ascii="Times New Roman" w:hAnsi="Times New Roman"/>
        </w:rPr>
        <w:t>учествовали</w:t>
      </w:r>
      <w:r w:rsidR="00F133DB" w:rsidRPr="00295637">
        <w:rPr>
          <w:rFonts w:ascii="Times New Roman" w:hAnsi="Times New Roman"/>
        </w:rPr>
        <w:t xml:space="preserve"> </w:t>
      </w:r>
      <w:r>
        <w:rPr>
          <w:rFonts w:ascii="Times New Roman" w:hAnsi="Times New Roman"/>
        </w:rPr>
        <w:t>на</w:t>
      </w:r>
      <w:r w:rsidR="00F133DB" w:rsidRPr="00295637">
        <w:rPr>
          <w:rFonts w:ascii="Times New Roman" w:hAnsi="Times New Roman"/>
        </w:rPr>
        <w:t xml:space="preserve"> </w:t>
      </w:r>
      <w:r>
        <w:rPr>
          <w:rFonts w:ascii="Times New Roman" w:hAnsi="Times New Roman"/>
        </w:rPr>
        <w:t>бројним</w:t>
      </w:r>
      <w:r w:rsidR="00F133DB" w:rsidRPr="00295637">
        <w:rPr>
          <w:rFonts w:ascii="Times New Roman" w:hAnsi="Times New Roman"/>
        </w:rPr>
        <w:t xml:space="preserve"> </w:t>
      </w:r>
      <w:r>
        <w:rPr>
          <w:rFonts w:ascii="Times New Roman" w:hAnsi="Times New Roman"/>
        </w:rPr>
        <w:t>догађајима</w:t>
      </w:r>
      <w:r w:rsidR="004A7FA6" w:rsidRPr="00295637">
        <w:rPr>
          <w:rFonts w:ascii="Times New Roman" w:hAnsi="Times New Roman"/>
        </w:rPr>
        <w:t xml:space="preserve"> </w:t>
      </w:r>
      <w:r>
        <w:rPr>
          <w:rFonts w:ascii="Times New Roman" w:hAnsi="Times New Roman"/>
        </w:rPr>
        <w:t>и</w:t>
      </w:r>
      <w:r w:rsidR="004A7FA6" w:rsidRPr="00295637">
        <w:rPr>
          <w:rFonts w:ascii="Times New Roman" w:hAnsi="Times New Roman"/>
        </w:rPr>
        <w:t xml:space="preserve"> </w:t>
      </w:r>
      <w:r>
        <w:rPr>
          <w:rFonts w:ascii="Times New Roman" w:hAnsi="Times New Roman"/>
        </w:rPr>
        <w:t>конференцијама</w:t>
      </w:r>
      <w:r w:rsidR="004A7FA6" w:rsidRPr="00295637">
        <w:rPr>
          <w:rFonts w:ascii="Times New Roman" w:hAnsi="Times New Roman"/>
        </w:rPr>
        <w:t xml:space="preserve"> </w:t>
      </w:r>
      <w:r>
        <w:rPr>
          <w:rFonts w:ascii="Times New Roman" w:hAnsi="Times New Roman"/>
        </w:rPr>
        <w:t>посвећеним</w:t>
      </w:r>
      <w:r w:rsidR="004A7FA6" w:rsidRPr="00295637">
        <w:rPr>
          <w:rFonts w:ascii="Times New Roman" w:hAnsi="Times New Roman"/>
        </w:rPr>
        <w:t xml:space="preserve"> </w:t>
      </w:r>
      <w:r>
        <w:rPr>
          <w:rFonts w:ascii="Times New Roman" w:hAnsi="Times New Roman"/>
        </w:rPr>
        <w:t>разним</w:t>
      </w:r>
      <w:r w:rsidR="004A7FA6" w:rsidRPr="00295637">
        <w:rPr>
          <w:rFonts w:ascii="Times New Roman" w:hAnsi="Times New Roman"/>
        </w:rPr>
        <w:t xml:space="preserve"> </w:t>
      </w:r>
      <w:r>
        <w:rPr>
          <w:rFonts w:ascii="Times New Roman" w:hAnsi="Times New Roman"/>
        </w:rPr>
        <w:t>аспектима</w:t>
      </w:r>
      <w:r w:rsidR="004A7FA6" w:rsidRPr="00295637">
        <w:rPr>
          <w:rFonts w:ascii="Times New Roman" w:hAnsi="Times New Roman"/>
        </w:rPr>
        <w:t xml:space="preserve"> </w:t>
      </w:r>
      <w:r>
        <w:rPr>
          <w:rFonts w:ascii="Times New Roman" w:hAnsi="Times New Roman"/>
        </w:rPr>
        <w:t>равноправности</w:t>
      </w:r>
      <w:r w:rsidR="004A7FA6" w:rsidRPr="00295637">
        <w:rPr>
          <w:rFonts w:ascii="Times New Roman" w:hAnsi="Times New Roman"/>
        </w:rPr>
        <w:t xml:space="preserve"> </w:t>
      </w:r>
      <w:r>
        <w:rPr>
          <w:rFonts w:ascii="Times New Roman" w:hAnsi="Times New Roman"/>
        </w:rPr>
        <w:t>полова</w:t>
      </w:r>
      <w:r w:rsidR="004A7FA6" w:rsidRPr="00295637">
        <w:rPr>
          <w:rFonts w:ascii="Times New Roman" w:hAnsi="Times New Roman"/>
        </w:rPr>
        <w:t xml:space="preserve">, </w:t>
      </w:r>
      <w:r>
        <w:rPr>
          <w:rFonts w:ascii="Times New Roman" w:hAnsi="Times New Roman"/>
        </w:rPr>
        <w:t>од</w:t>
      </w:r>
      <w:r w:rsidR="004A7FA6" w:rsidRPr="00295637">
        <w:rPr>
          <w:rFonts w:ascii="Times New Roman" w:hAnsi="Times New Roman"/>
        </w:rPr>
        <w:t xml:space="preserve"> </w:t>
      </w:r>
      <w:r>
        <w:rPr>
          <w:rFonts w:ascii="Times New Roman" w:hAnsi="Times New Roman"/>
        </w:rPr>
        <w:t>којих</w:t>
      </w:r>
      <w:r w:rsidR="004A7FA6" w:rsidRPr="00295637">
        <w:rPr>
          <w:rFonts w:ascii="Times New Roman" w:hAnsi="Times New Roman"/>
        </w:rPr>
        <w:t xml:space="preserve"> </w:t>
      </w:r>
      <w:r>
        <w:rPr>
          <w:rFonts w:ascii="Times New Roman" w:hAnsi="Times New Roman"/>
        </w:rPr>
        <w:t>су</w:t>
      </w:r>
      <w:r w:rsidR="004A7FA6" w:rsidRPr="00295637">
        <w:rPr>
          <w:rFonts w:ascii="Times New Roman" w:hAnsi="Times New Roman"/>
        </w:rPr>
        <w:t xml:space="preserve"> </w:t>
      </w:r>
      <w:r>
        <w:rPr>
          <w:rFonts w:ascii="Times New Roman" w:hAnsi="Times New Roman"/>
        </w:rPr>
        <w:t>најзначајнији</w:t>
      </w:r>
      <w:r w:rsidR="004A7FA6" w:rsidRPr="00295637">
        <w:rPr>
          <w:rFonts w:ascii="Times New Roman" w:hAnsi="Times New Roman"/>
        </w:rPr>
        <w:t xml:space="preserve">: </w:t>
      </w:r>
      <w:r w:rsidR="005654C4" w:rsidRPr="00295637">
        <w:rPr>
          <w:rFonts w:ascii="Times New Roman" w:hAnsi="Times New Roman"/>
        </w:rPr>
        <w:t xml:space="preserve">68. </w:t>
      </w:r>
      <w:r>
        <w:rPr>
          <w:rFonts w:ascii="Times New Roman" w:hAnsi="Times New Roman"/>
        </w:rPr>
        <w:t>засједање</w:t>
      </w:r>
      <w:r w:rsidR="005654C4" w:rsidRPr="00295637">
        <w:rPr>
          <w:rFonts w:ascii="Times New Roman" w:hAnsi="Times New Roman"/>
        </w:rPr>
        <w:t xml:space="preserve"> </w:t>
      </w:r>
      <w:r>
        <w:rPr>
          <w:rFonts w:ascii="Times New Roman" w:hAnsi="Times New Roman"/>
        </w:rPr>
        <w:t>Комисије</w:t>
      </w:r>
      <w:r w:rsidR="005654C4" w:rsidRPr="00295637">
        <w:rPr>
          <w:rFonts w:ascii="Times New Roman" w:hAnsi="Times New Roman"/>
        </w:rPr>
        <w:t xml:space="preserve"> </w:t>
      </w:r>
      <w:r>
        <w:rPr>
          <w:rFonts w:ascii="Times New Roman" w:hAnsi="Times New Roman"/>
        </w:rPr>
        <w:t>УН</w:t>
      </w:r>
      <w:r w:rsidR="005654C4" w:rsidRPr="00295637">
        <w:rPr>
          <w:rFonts w:ascii="Times New Roman" w:hAnsi="Times New Roman"/>
        </w:rPr>
        <w:t xml:space="preserve"> </w:t>
      </w:r>
      <w:r>
        <w:rPr>
          <w:rFonts w:ascii="Times New Roman" w:hAnsi="Times New Roman"/>
        </w:rPr>
        <w:t>за</w:t>
      </w:r>
      <w:r w:rsidR="005654C4" w:rsidRPr="00295637">
        <w:rPr>
          <w:rFonts w:ascii="Times New Roman" w:hAnsi="Times New Roman"/>
        </w:rPr>
        <w:t xml:space="preserve"> </w:t>
      </w:r>
      <w:r>
        <w:rPr>
          <w:rFonts w:ascii="Times New Roman" w:hAnsi="Times New Roman"/>
        </w:rPr>
        <w:t>статус</w:t>
      </w:r>
      <w:r w:rsidR="005654C4" w:rsidRPr="00295637">
        <w:rPr>
          <w:rFonts w:ascii="Times New Roman" w:hAnsi="Times New Roman"/>
        </w:rPr>
        <w:t xml:space="preserve"> </w:t>
      </w:r>
      <w:r>
        <w:rPr>
          <w:rFonts w:ascii="Times New Roman" w:hAnsi="Times New Roman"/>
        </w:rPr>
        <w:t>жена</w:t>
      </w:r>
      <w:r w:rsidR="005654C4" w:rsidRPr="00295637">
        <w:rPr>
          <w:rFonts w:ascii="Times New Roman" w:hAnsi="Times New Roman"/>
        </w:rPr>
        <w:t xml:space="preserve"> (</w:t>
      </w:r>
      <w:r>
        <w:rPr>
          <w:rFonts w:ascii="Times New Roman" w:hAnsi="Times New Roman"/>
        </w:rPr>
        <w:t>Њујорк</w:t>
      </w:r>
      <w:r w:rsidR="005654C4" w:rsidRPr="00295637">
        <w:rPr>
          <w:rFonts w:ascii="Times New Roman" w:hAnsi="Times New Roman"/>
        </w:rPr>
        <w:t xml:space="preserve">, </w:t>
      </w:r>
      <w:r>
        <w:rPr>
          <w:rFonts w:ascii="Times New Roman" w:hAnsi="Times New Roman"/>
        </w:rPr>
        <w:t>март</w:t>
      </w:r>
      <w:r w:rsidR="005654C4" w:rsidRPr="00295637">
        <w:rPr>
          <w:rFonts w:ascii="Times New Roman" w:hAnsi="Times New Roman"/>
        </w:rPr>
        <w:t xml:space="preserve">), </w:t>
      </w:r>
      <w:r>
        <w:rPr>
          <w:rFonts w:ascii="Times New Roman" w:hAnsi="Times New Roman"/>
        </w:rPr>
        <w:t>регионални</w:t>
      </w:r>
      <w:r w:rsidR="004A7FA6" w:rsidRPr="00295637">
        <w:rPr>
          <w:rFonts w:ascii="Times New Roman" w:hAnsi="Times New Roman"/>
        </w:rPr>
        <w:t xml:space="preserve"> </w:t>
      </w:r>
      <w:r>
        <w:rPr>
          <w:rFonts w:ascii="Times New Roman" w:hAnsi="Times New Roman"/>
        </w:rPr>
        <w:t>прегледни</w:t>
      </w:r>
      <w:r w:rsidR="004A7FA6" w:rsidRPr="00295637">
        <w:rPr>
          <w:rFonts w:ascii="Times New Roman" w:hAnsi="Times New Roman"/>
        </w:rPr>
        <w:t xml:space="preserve"> </w:t>
      </w:r>
      <w:r>
        <w:rPr>
          <w:rFonts w:ascii="Times New Roman" w:hAnsi="Times New Roman"/>
        </w:rPr>
        <w:t>састанак</w:t>
      </w:r>
      <w:r w:rsidR="004A7FA6" w:rsidRPr="00295637">
        <w:rPr>
          <w:rFonts w:ascii="Times New Roman" w:hAnsi="Times New Roman"/>
        </w:rPr>
        <w:t xml:space="preserve"> „</w:t>
      </w:r>
      <w:r>
        <w:rPr>
          <w:rFonts w:ascii="Times New Roman" w:hAnsi="Times New Roman"/>
        </w:rPr>
        <w:t>Пекинг</w:t>
      </w:r>
      <w:r w:rsidR="004A7FA6" w:rsidRPr="00295637">
        <w:rPr>
          <w:rFonts w:ascii="Times New Roman" w:hAnsi="Times New Roman"/>
        </w:rPr>
        <w:t xml:space="preserve"> + 30 – </w:t>
      </w:r>
      <w:r>
        <w:rPr>
          <w:rFonts w:ascii="Times New Roman" w:hAnsi="Times New Roman"/>
        </w:rPr>
        <w:t>Ревизија</w:t>
      </w:r>
      <w:r w:rsidR="00AB4631" w:rsidRPr="00295637">
        <w:rPr>
          <w:rFonts w:ascii="Times New Roman" w:hAnsi="Times New Roman"/>
        </w:rPr>
        <w:t xml:space="preserve"> 30 </w:t>
      </w:r>
      <w:r>
        <w:rPr>
          <w:rFonts w:ascii="Times New Roman" w:hAnsi="Times New Roman"/>
        </w:rPr>
        <w:t>година</w:t>
      </w:r>
      <w:r w:rsidR="00AB4631" w:rsidRPr="00295637">
        <w:rPr>
          <w:rFonts w:ascii="Times New Roman" w:hAnsi="Times New Roman"/>
        </w:rPr>
        <w:t xml:space="preserve"> </w:t>
      </w:r>
      <w:r>
        <w:rPr>
          <w:rFonts w:ascii="Times New Roman" w:hAnsi="Times New Roman"/>
        </w:rPr>
        <w:t>Пекинга</w:t>
      </w:r>
      <w:r w:rsidR="00AB4631" w:rsidRPr="00295637">
        <w:rPr>
          <w:rFonts w:ascii="Times New Roman" w:hAnsi="Times New Roman"/>
        </w:rPr>
        <w:t xml:space="preserve"> </w:t>
      </w:r>
      <w:r w:rsidR="00485AB7">
        <w:rPr>
          <w:rFonts w:ascii="Times New Roman" w:hAnsi="Times New Roman"/>
          <w:lang w:val="bs-Cyrl-BA"/>
        </w:rPr>
        <w:t xml:space="preserve">и </w:t>
      </w:r>
      <w:r>
        <w:rPr>
          <w:rFonts w:ascii="Times New Roman" w:hAnsi="Times New Roman"/>
        </w:rPr>
        <w:t>посвећености</w:t>
      </w:r>
      <w:r w:rsidR="004A7FA6" w:rsidRPr="00295637">
        <w:rPr>
          <w:rFonts w:ascii="Times New Roman" w:hAnsi="Times New Roman"/>
        </w:rPr>
        <w:t xml:space="preserve"> </w:t>
      </w:r>
      <w:r>
        <w:rPr>
          <w:rFonts w:ascii="Times New Roman" w:hAnsi="Times New Roman"/>
        </w:rPr>
        <w:t>убрзавању</w:t>
      </w:r>
      <w:r w:rsidR="004A7FA6" w:rsidRPr="00295637">
        <w:rPr>
          <w:rFonts w:ascii="Times New Roman" w:hAnsi="Times New Roman"/>
        </w:rPr>
        <w:t xml:space="preserve"> </w:t>
      </w:r>
      <w:r>
        <w:rPr>
          <w:rFonts w:ascii="Times New Roman" w:hAnsi="Times New Roman"/>
        </w:rPr>
        <w:t>равноправности</w:t>
      </w:r>
      <w:r w:rsidR="00CC105E" w:rsidRPr="00295637">
        <w:rPr>
          <w:rFonts w:ascii="Times New Roman" w:hAnsi="Times New Roman"/>
        </w:rPr>
        <w:t xml:space="preserve"> </w:t>
      </w:r>
      <w:r>
        <w:rPr>
          <w:rFonts w:ascii="Times New Roman" w:hAnsi="Times New Roman"/>
        </w:rPr>
        <w:t>полова</w:t>
      </w:r>
      <w:r w:rsidR="00CC105E" w:rsidRPr="00295637">
        <w:rPr>
          <w:rFonts w:ascii="Times New Roman" w:hAnsi="Times New Roman"/>
        </w:rPr>
        <w:t xml:space="preserve"> </w:t>
      </w:r>
      <w:r w:rsidR="004A7FA6" w:rsidRPr="00295637">
        <w:rPr>
          <w:rFonts w:ascii="Times New Roman" w:hAnsi="Times New Roman"/>
        </w:rPr>
        <w:t>(</w:t>
      </w:r>
      <w:r>
        <w:rPr>
          <w:rFonts w:ascii="Times New Roman" w:hAnsi="Times New Roman"/>
        </w:rPr>
        <w:t>Женева</w:t>
      </w:r>
      <w:r w:rsidR="004A7FA6" w:rsidRPr="00295637">
        <w:rPr>
          <w:rFonts w:ascii="Times New Roman" w:hAnsi="Times New Roman"/>
        </w:rPr>
        <w:t xml:space="preserve">, </w:t>
      </w:r>
      <w:r>
        <w:rPr>
          <w:rFonts w:ascii="Times New Roman" w:hAnsi="Times New Roman"/>
        </w:rPr>
        <w:t>октобар</w:t>
      </w:r>
      <w:r w:rsidR="004A7FA6" w:rsidRPr="00295637">
        <w:rPr>
          <w:rFonts w:ascii="Times New Roman" w:hAnsi="Times New Roman"/>
        </w:rPr>
        <w:t>), „</w:t>
      </w:r>
      <w:r>
        <w:rPr>
          <w:rFonts w:ascii="Times New Roman" w:hAnsi="Times New Roman"/>
        </w:rPr>
        <w:t>Регионални</w:t>
      </w:r>
      <w:r w:rsidR="004A7FA6" w:rsidRPr="00295637">
        <w:rPr>
          <w:rFonts w:ascii="Times New Roman" w:hAnsi="Times New Roman"/>
        </w:rPr>
        <w:t xml:space="preserve"> </w:t>
      </w:r>
      <w:r>
        <w:rPr>
          <w:rFonts w:ascii="Times New Roman" w:hAnsi="Times New Roman"/>
        </w:rPr>
        <w:t>дијалог</w:t>
      </w:r>
      <w:r w:rsidR="004A7FA6" w:rsidRPr="00295637">
        <w:rPr>
          <w:rFonts w:ascii="Times New Roman" w:hAnsi="Times New Roman"/>
        </w:rPr>
        <w:t xml:space="preserve"> </w:t>
      </w:r>
      <w:r>
        <w:rPr>
          <w:rFonts w:ascii="Times New Roman" w:hAnsi="Times New Roman"/>
        </w:rPr>
        <w:t>на</w:t>
      </w:r>
      <w:r w:rsidR="004A7FA6" w:rsidRPr="00295637">
        <w:rPr>
          <w:rFonts w:ascii="Times New Roman" w:hAnsi="Times New Roman"/>
        </w:rPr>
        <w:t xml:space="preserve"> </w:t>
      </w:r>
      <w:r>
        <w:rPr>
          <w:rFonts w:ascii="Times New Roman" w:hAnsi="Times New Roman"/>
        </w:rPr>
        <w:t>тему</w:t>
      </w:r>
      <w:r w:rsidR="004A7FA6" w:rsidRPr="00295637">
        <w:rPr>
          <w:rFonts w:ascii="Times New Roman" w:hAnsi="Times New Roman"/>
        </w:rPr>
        <w:t xml:space="preserve"> </w:t>
      </w:r>
      <w:r>
        <w:rPr>
          <w:rFonts w:ascii="Times New Roman" w:hAnsi="Times New Roman"/>
        </w:rPr>
        <w:t>инвестирања</w:t>
      </w:r>
      <w:r w:rsidR="004A7FA6" w:rsidRPr="00295637">
        <w:rPr>
          <w:rFonts w:ascii="Times New Roman" w:hAnsi="Times New Roman"/>
        </w:rPr>
        <w:t xml:space="preserve"> </w:t>
      </w:r>
      <w:r>
        <w:rPr>
          <w:rFonts w:ascii="Times New Roman" w:hAnsi="Times New Roman"/>
        </w:rPr>
        <w:t>у</w:t>
      </w:r>
      <w:r w:rsidR="004A7FA6" w:rsidRPr="00295637">
        <w:rPr>
          <w:rFonts w:ascii="Times New Roman" w:hAnsi="Times New Roman"/>
        </w:rPr>
        <w:t xml:space="preserve"> </w:t>
      </w:r>
      <w:r>
        <w:rPr>
          <w:rFonts w:ascii="Times New Roman" w:hAnsi="Times New Roman"/>
        </w:rPr>
        <w:t>равноправност</w:t>
      </w:r>
      <w:r w:rsidR="004A7FA6" w:rsidRPr="00295637">
        <w:rPr>
          <w:rFonts w:ascii="Times New Roman" w:hAnsi="Times New Roman"/>
        </w:rPr>
        <w:t xml:space="preserve"> </w:t>
      </w:r>
      <w:r>
        <w:rPr>
          <w:rFonts w:ascii="Times New Roman" w:hAnsi="Times New Roman"/>
        </w:rPr>
        <w:t>полова</w:t>
      </w:r>
      <w:r w:rsidR="004A7FA6" w:rsidRPr="00295637">
        <w:rPr>
          <w:rFonts w:ascii="Times New Roman" w:hAnsi="Times New Roman"/>
        </w:rPr>
        <w:t xml:space="preserve"> </w:t>
      </w:r>
      <w:r>
        <w:rPr>
          <w:rFonts w:ascii="Times New Roman" w:hAnsi="Times New Roman"/>
        </w:rPr>
        <w:t>и</w:t>
      </w:r>
      <w:r w:rsidR="004A7FA6" w:rsidRPr="00295637">
        <w:rPr>
          <w:rFonts w:ascii="Times New Roman" w:hAnsi="Times New Roman"/>
        </w:rPr>
        <w:t xml:space="preserve"> </w:t>
      </w:r>
      <w:r>
        <w:rPr>
          <w:rFonts w:ascii="Times New Roman" w:hAnsi="Times New Roman"/>
        </w:rPr>
        <w:t>инклузивну</w:t>
      </w:r>
      <w:r w:rsidR="004A7FA6" w:rsidRPr="00295637">
        <w:rPr>
          <w:rFonts w:ascii="Times New Roman" w:hAnsi="Times New Roman"/>
        </w:rPr>
        <w:t xml:space="preserve"> </w:t>
      </w:r>
      <w:r>
        <w:rPr>
          <w:rFonts w:ascii="Times New Roman" w:hAnsi="Times New Roman"/>
        </w:rPr>
        <w:t>климатску</w:t>
      </w:r>
      <w:r w:rsidR="004A7FA6" w:rsidRPr="00295637">
        <w:rPr>
          <w:rFonts w:ascii="Times New Roman" w:hAnsi="Times New Roman"/>
        </w:rPr>
        <w:t xml:space="preserve"> </w:t>
      </w:r>
      <w:r>
        <w:rPr>
          <w:rFonts w:ascii="Times New Roman" w:hAnsi="Times New Roman"/>
        </w:rPr>
        <w:t>акцију</w:t>
      </w:r>
      <w:r w:rsidR="004A7FA6" w:rsidRPr="00295637">
        <w:rPr>
          <w:rFonts w:ascii="Times New Roman" w:hAnsi="Times New Roman"/>
        </w:rPr>
        <w:t>“ (</w:t>
      </w:r>
      <w:r>
        <w:rPr>
          <w:rFonts w:ascii="Times New Roman" w:hAnsi="Times New Roman"/>
        </w:rPr>
        <w:t>Истанбул</w:t>
      </w:r>
      <w:r w:rsidR="005654C4" w:rsidRPr="00295637">
        <w:rPr>
          <w:rFonts w:ascii="Times New Roman" w:hAnsi="Times New Roman"/>
        </w:rPr>
        <w:t xml:space="preserve">, </w:t>
      </w:r>
      <w:r>
        <w:rPr>
          <w:rFonts w:ascii="Times New Roman" w:hAnsi="Times New Roman"/>
        </w:rPr>
        <w:t>октобар</w:t>
      </w:r>
      <w:r w:rsidR="005654C4" w:rsidRPr="00295637">
        <w:rPr>
          <w:rFonts w:ascii="Times New Roman" w:hAnsi="Times New Roman"/>
        </w:rPr>
        <w:t xml:space="preserve">), </w:t>
      </w:r>
      <w:r>
        <w:rPr>
          <w:rFonts w:ascii="Times New Roman" w:hAnsi="Times New Roman"/>
          <w:shd w:val="clear" w:color="auto" w:fill="FFFFFF"/>
        </w:rPr>
        <w:t>заједничка</w:t>
      </w:r>
      <w:r w:rsidR="00FA6C3F" w:rsidRPr="00295637">
        <w:rPr>
          <w:rFonts w:ascii="Times New Roman" w:hAnsi="Times New Roman"/>
          <w:shd w:val="clear" w:color="auto" w:fill="FFFFFF"/>
        </w:rPr>
        <w:t xml:space="preserve"> </w:t>
      </w:r>
      <w:r>
        <w:rPr>
          <w:rFonts w:ascii="Times New Roman" w:hAnsi="Times New Roman"/>
          <w:shd w:val="clear" w:color="auto" w:fill="FFFFFF"/>
        </w:rPr>
        <w:t>тематска</w:t>
      </w:r>
      <w:r w:rsidR="00FA6C3F" w:rsidRPr="00295637">
        <w:rPr>
          <w:rFonts w:ascii="Times New Roman" w:hAnsi="Times New Roman"/>
          <w:shd w:val="clear" w:color="auto" w:fill="FFFFFF"/>
        </w:rPr>
        <w:t xml:space="preserve"> </w:t>
      </w:r>
      <w:r>
        <w:rPr>
          <w:rFonts w:ascii="Times New Roman" w:hAnsi="Times New Roman"/>
          <w:shd w:val="clear" w:color="auto" w:fill="FFFFFF"/>
        </w:rPr>
        <w:t>сједница</w:t>
      </w:r>
      <w:r w:rsidR="00FA6C3F" w:rsidRPr="00295637">
        <w:rPr>
          <w:rFonts w:ascii="Times New Roman" w:hAnsi="Times New Roman"/>
          <w:shd w:val="clear" w:color="auto" w:fill="FFFFFF"/>
        </w:rPr>
        <w:t xml:space="preserve"> </w:t>
      </w:r>
      <w:r>
        <w:rPr>
          <w:rFonts w:ascii="Times New Roman" w:hAnsi="Times New Roman"/>
          <w:shd w:val="clear" w:color="auto" w:fill="FFFFFF"/>
        </w:rPr>
        <w:t>парламентарних</w:t>
      </w:r>
      <w:r w:rsidR="005654C4" w:rsidRPr="00295637">
        <w:rPr>
          <w:rFonts w:ascii="Times New Roman" w:hAnsi="Times New Roman"/>
          <w:shd w:val="clear" w:color="auto" w:fill="FFFFFF"/>
        </w:rPr>
        <w:t xml:space="preserve"> </w:t>
      </w:r>
      <w:r>
        <w:rPr>
          <w:rFonts w:ascii="Times New Roman" w:hAnsi="Times New Roman"/>
          <w:shd w:val="clear" w:color="auto" w:fill="FFFFFF"/>
        </w:rPr>
        <w:t>комисија</w:t>
      </w:r>
      <w:r w:rsidR="005654C4" w:rsidRPr="00295637">
        <w:rPr>
          <w:rFonts w:ascii="Times New Roman" w:hAnsi="Times New Roman"/>
          <w:shd w:val="clear" w:color="auto" w:fill="FFFFFF"/>
        </w:rPr>
        <w:t xml:space="preserve"> </w:t>
      </w:r>
      <w:r>
        <w:rPr>
          <w:rFonts w:ascii="Times New Roman" w:hAnsi="Times New Roman"/>
          <w:shd w:val="clear" w:color="auto" w:fill="FFFFFF"/>
        </w:rPr>
        <w:t>Парламента</w:t>
      </w:r>
      <w:r w:rsidR="005654C4" w:rsidRPr="00295637">
        <w:rPr>
          <w:rFonts w:ascii="Times New Roman" w:hAnsi="Times New Roman"/>
          <w:shd w:val="clear" w:color="auto" w:fill="FFFFFF"/>
        </w:rPr>
        <w:t xml:space="preserve"> </w:t>
      </w:r>
      <w:r>
        <w:rPr>
          <w:rFonts w:ascii="Times New Roman" w:hAnsi="Times New Roman"/>
          <w:shd w:val="clear" w:color="auto" w:fill="FFFFFF"/>
        </w:rPr>
        <w:t>ФБиХ</w:t>
      </w:r>
      <w:r w:rsidR="005654C4" w:rsidRPr="00295637">
        <w:rPr>
          <w:rFonts w:ascii="Times New Roman" w:hAnsi="Times New Roman"/>
          <w:shd w:val="clear" w:color="auto" w:fill="FFFFFF"/>
        </w:rPr>
        <w:t xml:space="preserve"> </w:t>
      </w:r>
      <w:r>
        <w:rPr>
          <w:rFonts w:ascii="Times New Roman" w:hAnsi="Times New Roman"/>
          <w:shd w:val="clear" w:color="auto" w:fill="FFFFFF"/>
        </w:rPr>
        <w:t>на</w:t>
      </w:r>
      <w:r w:rsidR="005654C4" w:rsidRPr="00295637">
        <w:rPr>
          <w:rFonts w:ascii="Times New Roman" w:hAnsi="Times New Roman"/>
          <w:shd w:val="clear" w:color="auto" w:fill="FFFFFF"/>
        </w:rPr>
        <w:t xml:space="preserve"> </w:t>
      </w:r>
      <w:r>
        <w:rPr>
          <w:rFonts w:ascii="Times New Roman" w:hAnsi="Times New Roman"/>
          <w:shd w:val="clear" w:color="auto" w:fill="FFFFFF"/>
        </w:rPr>
        <w:t>тему</w:t>
      </w:r>
      <w:r w:rsidR="005654C4" w:rsidRPr="00295637">
        <w:rPr>
          <w:rFonts w:ascii="Times New Roman" w:hAnsi="Times New Roman"/>
          <w:shd w:val="clear" w:color="auto" w:fill="FFFFFF"/>
        </w:rPr>
        <w:t xml:space="preserve"> </w:t>
      </w:r>
      <w:r>
        <w:rPr>
          <w:rFonts w:ascii="Times New Roman" w:hAnsi="Times New Roman"/>
          <w:shd w:val="clear" w:color="auto" w:fill="FFFFFF"/>
        </w:rPr>
        <w:t>институционалног</w:t>
      </w:r>
      <w:r w:rsidR="005654C4" w:rsidRPr="00295637">
        <w:rPr>
          <w:rFonts w:ascii="Times New Roman" w:hAnsi="Times New Roman"/>
          <w:shd w:val="clear" w:color="auto" w:fill="FFFFFF"/>
        </w:rPr>
        <w:t xml:space="preserve"> </w:t>
      </w:r>
      <w:r>
        <w:rPr>
          <w:rFonts w:ascii="Times New Roman" w:hAnsi="Times New Roman"/>
          <w:shd w:val="clear" w:color="auto" w:fill="FFFFFF"/>
        </w:rPr>
        <w:t>одговора</w:t>
      </w:r>
      <w:r w:rsidR="005654C4" w:rsidRPr="00295637">
        <w:rPr>
          <w:rFonts w:ascii="Times New Roman" w:hAnsi="Times New Roman"/>
          <w:shd w:val="clear" w:color="auto" w:fill="FFFFFF"/>
        </w:rPr>
        <w:t xml:space="preserve"> </w:t>
      </w:r>
      <w:r>
        <w:rPr>
          <w:rFonts w:ascii="Times New Roman" w:hAnsi="Times New Roman"/>
          <w:shd w:val="clear" w:color="auto" w:fill="FFFFFF"/>
        </w:rPr>
        <w:t>на</w:t>
      </w:r>
      <w:r w:rsidR="005654C4" w:rsidRPr="00295637">
        <w:rPr>
          <w:rFonts w:ascii="Times New Roman" w:hAnsi="Times New Roman"/>
          <w:shd w:val="clear" w:color="auto" w:fill="FFFFFF"/>
        </w:rPr>
        <w:t xml:space="preserve"> </w:t>
      </w:r>
      <w:r>
        <w:rPr>
          <w:rFonts w:ascii="Times New Roman" w:hAnsi="Times New Roman"/>
          <w:shd w:val="clear" w:color="auto" w:fill="FFFFFF"/>
        </w:rPr>
        <w:t>насиље</w:t>
      </w:r>
      <w:r w:rsidR="005654C4" w:rsidRPr="00295637">
        <w:rPr>
          <w:rFonts w:ascii="Times New Roman" w:hAnsi="Times New Roman"/>
          <w:shd w:val="clear" w:color="auto" w:fill="FFFFFF"/>
        </w:rPr>
        <w:t xml:space="preserve"> </w:t>
      </w:r>
      <w:r>
        <w:rPr>
          <w:rFonts w:ascii="Times New Roman" w:hAnsi="Times New Roman"/>
          <w:shd w:val="clear" w:color="auto" w:fill="FFFFFF"/>
        </w:rPr>
        <w:t>у</w:t>
      </w:r>
      <w:r w:rsidR="005654C4" w:rsidRPr="00295637">
        <w:rPr>
          <w:rFonts w:ascii="Times New Roman" w:hAnsi="Times New Roman"/>
          <w:shd w:val="clear" w:color="auto" w:fill="FFFFFF"/>
        </w:rPr>
        <w:t xml:space="preserve"> </w:t>
      </w:r>
      <w:r>
        <w:rPr>
          <w:rFonts w:ascii="Times New Roman" w:hAnsi="Times New Roman"/>
          <w:shd w:val="clear" w:color="auto" w:fill="FFFFFF"/>
        </w:rPr>
        <w:t>породици</w:t>
      </w:r>
      <w:r w:rsidR="005654C4" w:rsidRPr="00295637">
        <w:rPr>
          <w:rFonts w:ascii="Times New Roman" w:hAnsi="Times New Roman"/>
          <w:shd w:val="clear" w:color="auto" w:fill="FFFFFF"/>
        </w:rPr>
        <w:t xml:space="preserve"> </w:t>
      </w:r>
      <w:r>
        <w:rPr>
          <w:rFonts w:ascii="Times New Roman" w:hAnsi="Times New Roman"/>
          <w:shd w:val="clear" w:color="auto" w:fill="FFFFFF"/>
        </w:rPr>
        <w:t>и</w:t>
      </w:r>
      <w:r w:rsidR="005654C4" w:rsidRPr="00295637">
        <w:rPr>
          <w:rFonts w:ascii="Times New Roman" w:hAnsi="Times New Roman"/>
          <w:shd w:val="clear" w:color="auto" w:fill="FFFFFF"/>
        </w:rPr>
        <w:t xml:space="preserve"> </w:t>
      </w:r>
      <w:r>
        <w:rPr>
          <w:rFonts w:ascii="Times New Roman" w:hAnsi="Times New Roman"/>
          <w:shd w:val="clear" w:color="auto" w:fill="FFFFFF"/>
        </w:rPr>
        <w:t>насиље</w:t>
      </w:r>
      <w:r w:rsidR="005654C4" w:rsidRPr="00295637">
        <w:rPr>
          <w:rFonts w:ascii="Times New Roman" w:hAnsi="Times New Roman"/>
          <w:shd w:val="clear" w:color="auto" w:fill="FFFFFF"/>
        </w:rPr>
        <w:t xml:space="preserve"> </w:t>
      </w:r>
      <w:r>
        <w:rPr>
          <w:rFonts w:ascii="Times New Roman" w:hAnsi="Times New Roman"/>
          <w:shd w:val="clear" w:color="auto" w:fill="FFFFFF"/>
        </w:rPr>
        <w:t>над</w:t>
      </w:r>
      <w:r w:rsidR="005654C4" w:rsidRPr="00295637">
        <w:rPr>
          <w:rFonts w:ascii="Times New Roman" w:hAnsi="Times New Roman"/>
          <w:shd w:val="clear" w:color="auto" w:fill="FFFFFF"/>
        </w:rPr>
        <w:t xml:space="preserve"> </w:t>
      </w:r>
      <w:r>
        <w:rPr>
          <w:rFonts w:ascii="Times New Roman" w:hAnsi="Times New Roman"/>
          <w:shd w:val="clear" w:color="auto" w:fill="FFFFFF"/>
        </w:rPr>
        <w:t>женама</w:t>
      </w:r>
      <w:r w:rsidR="005654C4" w:rsidRPr="00295637">
        <w:rPr>
          <w:rFonts w:ascii="Times New Roman" w:hAnsi="Times New Roman"/>
          <w:shd w:val="clear" w:color="auto" w:fill="FFFFFF"/>
        </w:rPr>
        <w:t xml:space="preserve"> (</w:t>
      </w:r>
      <w:r>
        <w:rPr>
          <w:rFonts w:ascii="Times New Roman" w:hAnsi="Times New Roman"/>
          <w:shd w:val="clear" w:color="auto" w:fill="FFFFFF"/>
        </w:rPr>
        <w:t>април</w:t>
      </w:r>
      <w:r w:rsidR="005654C4" w:rsidRPr="00295637">
        <w:rPr>
          <w:rFonts w:ascii="Times New Roman" w:hAnsi="Times New Roman"/>
          <w:shd w:val="clear" w:color="auto" w:fill="FFFFFF"/>
        </w:rPr>
        <w:t xml:space="preserve">), </w:t>
      </w:r>
      <w:r>
        <w:rPr>
          <w:rFonts w:ascii="Times New Roman" w:hAnsi="Times New Roman"/>
        </w:rPr>
        <w:t>радионица</w:t>
      </w:r>
      <w:r w:rsidR="004A7FA6" w:rsidRPr="00295637">
        <w:rPr>
          <w:rFonts w:ascii="Times New Roman" w:hAnsi="Times New Roman"/>
        </w:rPr>
        <w:t xml:space="preserve"> </w:t>
      </w:r>
      <w:r>
        <w:rPr>
          <w:rFonts w:ascii="Times New Roman" w:hAnsi="Times New Roman"/>
        </w:rPr>
        <w:t>анализе</w:t>
      </w:r>
      <w:r w:rsidR="004A7FA6" w:rsidRPr="00295637">
        <w:rPr>
          <w:rFonts w:ascii="Times New Roman" w:hAnsi="Times New Roman"/>
        </w:rPr>
        <w:t xml:space="preserve"> </w:t>
      </w:r>
      <w:r>
        <w:rPr>
          <w:rFonts w:ascii="Times New Roman" w:hAnsi="Times New Roman"/>
        </w:rPr>
        <w:t>стања</w:t>
      </w:r>
      <w:r w:rsidR="004A7FA6" w:rsidRPr="00295637">
        <w:rPr>
          <w:rFonts w:ascii="Times New Roman" w:hAnsi="Times New Roman"/>
        </w:rPr>
        <w:t xml:space="preserve"> – </w:t>
      </w:r>
      <w:r w:rsidR="005654C4" w:rsidRPr="00295637">
        <w:rPr>
          <w:rFonts w:ascii="Times New Roman" w:hAnsi="Times New Roman"/>
        </w:rPr>
        <w:t>„</w:t>
      </w:r>
      <w:r>
        <w:rPr>
          <w:rFonts w:ascii="Times New Roman" w:hAnsi="Times New Roman"/>
        </w:rPr>
        <w:t>Процјена</w:t>
      </w:r>
      <w:r w:rsidR="004A7FA6" w:rsidRPr="00295637">
        <w:rPr>
          <w:rFonts w:ascii="Times New Roman" w:hAnsi="Times New Roman"/>
        </w:rPr>
        <w:t xml:space="preserve"> </w:t>
      </w:r>
      <w:r>
        <w:rPr>
          <w:rFonts w:ascii="Times New Roman" w:hAnsi="Times New Roman"/>
        </w:rPr>
        <w:t>достигнућа</w:t>
      </w:r>
      <w:r w:rsidR="004A7FA6" w:rsidRPr="00295637">
        <w:rPr>
          <w:rFonts w:ascii="Times New Roman" w:hAnsi="Times New Roman"/>
        </w:rPr>
        <w:t xml:space="preserve"> </w:t>
      </w:r>
      <w:r>
        <w:rPr>
          <w:rFonts w:ascii="Times New Roman" w:hAnsi="Times New Roman"/>
        </w:rPr>
        <w:t>и</w:t>
      </w:r>
      <w:r w:rsidR="004A7FA6" w:rsidRPr="00295637">
        <w:rPr>
          <w:rFonts w:ascii="Times New Roman" w:hAnsi="Times New Roman"/>
        </w:rPr>
        <w:t xml:space="preserve"> </w:t>
      </w:r>
      <w:r>
        <w:rPr>
          <w:rFonts w:ascii="Times New Roman" w:hAnsi="Times New Roman"/>
        </w:rPr>
        <w:t>преосталих</w:t>
      </w:r>
      <w:r w:rsidR="004A7FA6" w:rsidRPr="00295637">
        <w:rPr>
          <w:rFonts w:ascii="Times New Roman" w:hAnsi="Times New Roman"/>
        </w:rPr>
        <w:t xml:space="preserve"> </w:t>
      </w:r>
      <w:r>
        <w:rPr>
          <w:rFonts w:ascii="Times New Roman" w:hAnsi="Times New Roman"/>
        </w:rPr>
        <w:t>изазова</w:t>
      </w:r>
      <w:r w:rsidR="004A7FA6" w:rsidRPr="00295637">
        <w:rPr>
          <w:rFonts w:ascii="Times New Roman" w:hAnsi="Times New Roman"/>
        </w:rPr>
        <w:t xml:space="preserve"> </w:t>
      </w:r>
      <w:r>
        <w:rPr>
          <w:rFonts w:ascii="Times New Roman" w:hAnsi="Times New Roman"/>
        </w:rPr>
        <w:t>у</w:t>
      </w:r>
      <w:r w:rsidR="004A7FA6" w:rsidRPr="00295637">
        <w:rPr>
          <w:rFonts w:ascii="Times New Roman" w:hAnsi="Times New Roman"/>
        </w:rPr>
        <w:t xml:space="preserve"> </w:t>
      </w:r>
      <w:r w:rsidR="00576B58">
        <w:rPr>
          <w:rFonts w:ascii="Times New Roman" w:hAnsi="Times New Roman"/>
          <w:lang w:val="sr-Cyrl-BA"/>
        </w:rPr>
        <w:t>спровођењу</w:t>
      </w:r>
      <w:r w:rsidR="004A7FA6" w:rsidRPr="00295637">
        <w:rPr>
          <w:rFonts w:ascii="Times New Roman" w:hAnsi="Times New Roman"/>
        </w:rPr>
        <w:t xml:space="preserve"> </w:t>
      </w:r>
      <w:r>
        <w:rPr>
          <w:rFonts w:ascii="Times New Roman" w:hAnsi="Times New Roman"/>
        </w:rPr>
        <w:t>системских</w:t>
      </w:r>
      <w:r w:rsidR="004A7FA6" w:rsidRPr="00295637">
        <w:rPr>
          <w:rFonts w:ascii="Times New Roman" w:hAnsi="Times New Roman"/>
        </w:rPr>
        <w:t xml:space="preserve"> </w:t>
      </w:r>
      <w:r>
        <w:rPr>
          <w:rFonts w:ascii="Times New Roman" w:hAnsi="Times New Roman"/>
        </w:rPr>
        <w:t>промјена</w:t>
      </w:r>
      <w:r w:rsidR="004A7FA6" w:rsidRPr="00295637">
        <w:rPr>
          <w:rFonts w:ascii="Times New Roman" w:hAnsi="Times New Roman"/>
        </w:rPr>
        <w:t xml:space="preserve"> </w:t>
      </w:r>
      <w:r w:rsidR="00576B58">
        <w:rPr>
          <w:rFonts w:ascii="Times New Roman" w:hAnsi="Times New Roman"/>
          <w:lang w:val="sr-Cyrl-BA"/>
        </w:rPr>
        <w:t>с</w:t>
      </w:r>
      <w:r w:rsidR="004A7FA6" w:rsidRPr="00295637">
        <w:rPr>
          <w:rFonts w:ascii="Times New Roman" w:hAnsi="Times New Roman"/>
        </w:rPr>
        <w:t xml:space="preserve"> </w:t>
      </w:r>
      <w:r>
        <w:rPr>
          <w:rFonts w:ascii="Times New Roman" w:hAnsi="Times New Roman"/>
        </w:rPr>
        <w:t>циљ</w:t>
      </w:r>
      <w:r w:rsidR="00576B58">
        <w:rPr>
          <w:rFonts w:ascii="Times New Roman" w:hAnsi="Times New Roman"/>
          <w:lang w:val="sr-Cyrl-BA"/>
        </w:rPr>
        <w:t>ем</w:t>
      </w:r>
      <w:r w:rsidR="004A7FA6" w:rsidRPr="00295637">
        <w:rPr>
          <w:rFonts w:ascii="Times New Roman" w:hAnsi="Times New Roman"/>
        </w:rPr>
        <w:t xml:space="preserve"> </w:t>
      </w:r>
      <w:r>
        <w:rPr>
          <w:rFonts w:ascii="Times New Roman" w:hAnsi="Times New Roman"/>
        </w:rPr>
        <w:t>сузбијања</w:t>
      </w:r>
      <w:r w:rsidR="004A7FA6" w:rsidRPr="00295637">
        <w:rPr>
          <w:rFonts w:ascii="Times New Roman" w:hAnsi="Times New Roman"/>
        </w:rPr>
        <w:t xml:space="preserve"> </w:t>
      </w:r>
      <w:r>
        <w:rPr>
          <w:rFonts w:ascii="Times New Roman" w:hAnsi="Times New Roman"/>
        </w:rPr>
        <w:t>насиља</w:t>
      </w:r>
      <w:r w:rsidR="005654C4" w:rsidRPr="00295637">
        <w:rPr>
          <w:rFonts w:ascii="Times New Roman" w:hAnsi="Times New Roman"/>
        </w:rPr>
        <w:t>“</w:t>
      </w:r>
      <w:r w:rsidR="00AB4631" w:rsidRPr="00295637">
        <w:rPr>
          <w:rFonts w:ascii="Times New Roman" w:hAnsi="Times New Roman"/>
        </w:rPr>
        <w:t xml:space="preserve"> (</w:t>
      </w:r>
      <w:r>
        <w:rPr>
          <w:rFonts w:ascii="Times New Roman" w:hAnsi="Times New Roman"/>
        </w:rPr>
        <w:t>фебруар</w:t>
      </w:r>
      <w:r w:rsidR="00AB4631" w:rsidRPr="00295637">
        <w:rPr>
          <w:rFonts w:ascii="Times New Roman" w:hAnsi="Times New Roman"/>
        </w:rPr>
        <w:t xml:space="preserve">), </w:t>
      </w:r>
      <w:r>
        <w:rPr>
          <w:rFonts w:ascii="Times New Roman" w:hAnsi="Times New Roman"/>
        </w:rPr>
        <w:t>регионална</w:t>
      </w:r>
      <w:r w:rsidR="004A7FA6" w:rsidRPr="00295637">
        <w:rPr>
          <w:rFonts w:ascii="Times New Roman" w:hAnsi="Times New Roman"/>
        </w:rPr>
        <w:t xml:space="preserve"> </w:t>
      </w:r>
      <w:r>
        <w:rPr>
          <w:rFonts w:ascii="Times New Roman" w:hAnsi="Times New Roman"/>
        </w:rPr>
        <w:t>конференција</w:t>
      </w:r>
      <w:r w:rsidR="004A7FA6" w:rsidRPr="00295637">
        <w:rPr>
          <w:rFonts w:ascii="Times New Roman" w:hAnsi="Times New Roman"/>
        </w:rPr>
        <w:t xml:space="preserve"> „</w:t>
      </w:r>
      <w:r>
        <w:rPr>
          <w:rFonts w:ascii="Times New Roman" w:hAnsi="Times New Roman"/>
        </w:rPr>
        <w:t>Простор</w:t>
      </w:r>
      <w:r w:rsidR="004A7FA6" w:rsidRPr="00295637">
        <w:rPr>
          <w:rFonts w:ascii="Times New Roman" w:hAnsi="Times New Roman"/>
        </w:rPr>
        <w:t xml:space="preserve"> </w:t>
      </w:r>
      <w:r>
        <w:rPr>
          <w:rFonts w:ascii="Times New Roman" w:hAnsi="Times New Roman"/>
        </w:rPr>
        <w:t>и</w:t>
      </w:r>
      <w:r w:rsidR="004A7FA6" w:rsidRPr="00295637">
        <w:rPr>
          <w:rFonts w:ascii="Times New Roman" w:hAnsi="Times New Roman"/>
        </w:rPr>
        <w:t xml:space="preserve"> </w:t>
      </w:r>
      <w:r>
        <w:rPr>
          <w:rFonts w:ascii="Times New Roman" w:hAnsi="Times New Roman"/>
        </w:rPr>
        <w:t>услуге</w:t>
      </w:r>
      <w:r w:rsidR="004A7FA6" w:rsidRPr="00295637">
        <w:rPr>
          <w:rFonts w:ascii="Times New Roman" w:hAnsi="Times New Roman"/>
        </w:rPr>
        <w:t xml:space="preserve"> </w:t>
      </w:r>
      <w:r>
        <w:rPr>
          <w:rFonts w:ascii="Times New Roman" w:hAnsi="Times New Roman"/>
        </w:rPr>
        <w:t>заштите</w:t>
      </w:r>
      <w:r w:rsidR="00AB4631" w:rsidRPr="00295637">
        <w:rPr>
          <w:rFonts w:ascii="Times New Roman" w:hAnsi="Times New Roman"/>
        </w:rPr>
        <w:t xml:space="preserve"> </w:t>
      </w:r>
      <w:r>
        <w:rPr>
          <w:rFonts w:ascii="Times New Roman" w:hAnsi="Times New Roman"/>
        </w:rPr>
        <w:t>ЛГБТИ</w:t>
      </w:r>
      <w:r w:rsidR="00AB4631" w:rsidRPr="00295637">
        <w:rPr>
          <w:rFonts w:ascii="Times New Roman" w:hAnsi="Times New Roman"/>
        </w:rPr>
        <w:t xml:space="preserve"> </w:t>
      </w:r>
      <w:r>
        <w:rPr>
          <w:rFonts w:ascii="Times New Roman" w:hAnsi="Times New Roman"/>
        </w:rPr>
        <w:t>заједница</w:t>
      </w:r>
      <w:r w:rsidR="00AB4631" w:rsidRPr="00295637">
        <w:rPr>
          <w:rFonts w:ascii="Times New Roman" w:hAnsi="Times New Roman"/>
        </w:rPr>
        <w:t>“ (</w:t>
      </w:r>
      <w:r>
        <w:rPr>
          <w:rFonts w:ascii="Times New Roman" w:hAnsi="Times New Roman"/>
        </w:rPr>
        <w:t>јуни</w:t>
      </w:r>
      <w:r w:rsidR="00AB4631" w:rsidRPr="00295637">
        <w:rPr>
          <w:rFonts w:ascii="Times New Roman" w:hAnsi="Times New Roman"/>
        </w:rPr>
        <w:t xml:space="preserve">), </w:t>
      </w:r>
      <w:r>
        <w:rPr>
          <w:rFonts w:ascii="Times New Roman" w:hAnsi="Times New Roman"/>
        </w:rPr>
        <w:t>регионална</w:t>
      </w:r>
      <w:r w:rsidR="00690613">
        <w:rPr>
          <w:rFonts w:ascii="Times New Roman" w:hAnsi="Times New Roman"/>
        </w:rPr>
        <w:t xml:space="preserve"> </w:t>
      </w:r>
      <w:r>
        <w:rPr>
          <w:rFonts w:ascii="Times New Roman" w:hAnsi="Times New Roman"/>
        </w:rPr>
        <w:t>конференција</w:t>
      </w:r>
      <w:r w:rsidR="00690613">
        <w:rPr>
          <w:rFonts w:ascii="Times New Roman" w:hAnsi="Times New Roman"/>
        </w:rPr>
        <w:t xml:space="preserve"> </w:t>
      </w:r>
      <w:r>
        <w:rPr>
          <w:rFonts w:ascii="Times New Roman" w:hAnsi="Times New Roman"/>
        </w:rPr>
        <w:t>о</w:t>
      </w:r>
      <w:r w:rsidR="00690613">
        <w:rPr>
          <w:rFonts w:ascii="Times New Roman" w:hAnsi="Times New Roman"/>
        </w:rPr>
        <w:t xml:space="preserve"> </w:t>
      </w:r>
      <w:r>
        <w:rPr>
          <w:rFonts w:ascii="Times New Roman" w:hAnsi="Times New Roman"/>
        </w:rPr>
        <w:t>обавезама</w:t>
      </w:r>
      <w:r w:rsidR="004A7FA6" w:rsidRPr="00295637">
        <w:rPr>
          <w:rFonts w:ascii="Times New Roman" w:hAnsi="Times New Roman"/>
        </w:rPr>
        <w:t xml:space="preserve"> </w:t>
      </w:r>
      <w:r>
        <w:rPr>
          <w:rFonts w:ascii="Times New Roman" w:hAnsi="Times New Roman"/>
        </w:rPr>
        <w:t>нових</w:t>
      </w:r>
      <w:r w:rsidR="004A7FA6" w:rsidRPr="00295637">
        <w:rPr>
          <w:rFonts w:ascii="Times New Roman" w:hAnsi="Times New Roman"/>
        </w:rPr>
        <w:t xml:space="preserve"> </w:t>
      </w:r>
      <w:r>
        <w:rPr>
          <w:rFonts w:ascii="Times New Roman" w:hAnsi="Times New Roman"/>
        </w:rPr>
        <w:t>директива</w:t>
      </w:r>
      <w:r w:rsidR="004A7FA6" w:rsidRPr="00295637">
        <w:rPr>
          <w:rFonts w:ascii="Times New Roman" w:hAnsi="Times New Roman"/>
        </w:rPr>
        <w:t xml:space="preserve"> </w:t>
      </w:r>
      <w:r>
        <w:rPr>
          <w:rFonts w:ascii="Times New Roman" w:hAnsi="Times New Roman"/>
        </w:rPr>
        <w:t>о</w:t>
      </w:r>
      <w:r w:rsidR="004A7FA6" w:rsidRPr="00295637">
        <w:rPr>
          <w:rFonts w:ascii="Times New Roman" w:hAnsi="Times New Roman"/>
        </w:rPr>
        <w:t xml:space="preserve"> </w:t>
      </w:r>
      <w:r>
        <w:rPr>
          <w:rFonts w:ascii="Times New Roman" w:hAnsi="Times New Roman"/>
        </w:rPr>
        <w:t>органима</w:t>
      </w:r>
      <w:r w:rsidR="00AB4631" w:rsidRPr="00295637">
        <w:rPr>
          <w:rFonts w:ascii="Times New Roman" w:hAnsi="Times New Roman"/>
        </w:rPr>
        <w:t xml:space="preserve"> </w:t>
      </w:r>
      <w:r>
        <w:rPr>
          <w:rFonts w:ascii="Times New Roman" w:hAnsi="Times New Roman"/>
        </w:rPr>
        <w:t>за</w:t>
      </w:r>
      <w:r w:rsidR="00AB4631" w:rsidRPr="00295637">
        <w:rPr>
          <w:rFonts w:ascii="Times New Roman" w:hAnsi="Times New Roman"/>
        </w:rPr>
        <w:t xml:space="preserve"> </w:t>
      </w:r>
      <w:r>
        <w:rPr>
          <w:rFonts w:ascii="Times New Roman" w:hAnsi="Times New Roman"/>
        </w:rPr>
        <w:t>једнакост</w:t>
      </w:r>
      <w:r w:rsidR="00AB4631" w:rsidRPr="00295637">
        <w:rPr>
          <w:rFonts w:ascii="Times New Roman" w:hAnsi="Times New Roman"/>
        </w:rPr>
        <w:t xml:space="preserve"> (</w:t>
      </w:r>
      <w:r>
        <w:rPr>
          <w:rFonts w:ascii="Times New Roman" w:hAnsi="Times New Roman"/>
        </w:rPr>
        <w:t>новембар</w:t>
      </w:r>
      <w:r w:rsidR="00AB4631" w:rsidRPr="00295637">
        <w:rPr>
          <w:rFonts w:ascii="Times New Roman" w:hAnsi="Times New Roman"/>
        </w:rPr>
        <w:t xml:space="preserve">), </w:t>
      </w:r>
      <w:r>
        <w:rPr>
          <w:rFonts w:ascii="Times New Roman" w:hAnsi="Times New Roman"/>
        </w:rPr>
        <w:t>радионица</w:t>
      </w:r>
      <w:r w:rsidR="004A7FA6" w:rsidRPr="00295637">
        <w:rPr>
          <w:rFonts w:ascii="Times New Roman" w:hAnsi="Times New Roman"/>
        </w:rPr>
        <w:t xml:space="preserve"> </w:t>
      </w:r>
      <w:r>
        <w:rPr>
          <w:rFonts w:ascii="Times New Roman" w:hAnsi="Times New Roman"/>
        </w:rPr>
        <w:t>секретаријата</w:t>
      </w:r>
      <w:r w:rsidR="004A7FA6" w:rsidRPr="00295637">
        <w:rPr>
          <w:rFonts w:ascii="Times New Roman" w:hAnsi="Times New Roman"/>
        </w:rPr>
        <w:t xml:space="preserve"> </w:t>
      </w:r>
      <w:r>
        <w:rPr>
          <w:rFonts w:ascii="Times New Roman" w:hAnsi="Times New Roman"/>
        </w:rPr>
        <w:t>ГРЕВИО</w:t>
      </w:r>
      <w:r w:rsidR="004A7FA6" w:rsidRPr="00295637">
        <w:rPr>
          <w:rFonts w:ascii="Times New Roman" w:hAnsi="Times New Roman"/>
        </w:rPr>
        <w:t xml:space="preserve"> </w:t>
      </w:r>
      <w:r>
        <w:rPr>
          <w:rFonts w:ascii="Times New Roman" w:hAnsi="Times New Roman"/>
        </w:rPr>
        <w:t>на</w:t>
      </w:r>
      <w:r w:rsidR="004A7FA6" w:rsidRPr="00295637">
        <w:rPr>
          <w:rFonts w:ascii="Times New Roman" w:hAnsi="Times New Roman"/>
        </w:rPr>
        <w:t xml:space="preserve"> </w:t>
      </w:r>
      <w:r>
        <w:rPr>
          <w:rFonts w:ascii="Times New Roman" w:hAnsi="Times New Roman"/>
        </w:rPr>
        <w:t>тему</w:t>
      </w:r>
      <w:r w:rsidR="004A7FA6" w:rsidRPr="00295637">
        <w:rPr>
          <w:rFonts w:ascii="Times New Roman" w:hAnsi="Times New Roman"/>
        </w:rPr>
        <w:t xml:space="preserve"> „</w:t>
      </w:r>
      <w:r w:rsidR="00576B58">
        <w:rPr>
          <w:rFonts w:ascii="Times New Roman" w:hAnsi="Times New Roman"/>
          <w:lang w:val="sr-Cyrl-BA"/>
        </w:rPr>
        <w:t>Спровођење</w:t>
      </w:r>
      <w:r w:rsidR="00AB4631" w:rsidRPr="00295637">
        <w:rPr>
          <w:rFonts w:ascii="Times New Roman" w:hAnsi="Times New Roman"/>
        </w:rPr>
        <w:t xml:space="preserve"> </w:t>
      </w:r>
      <w:r>
        <w:rPr>
          <w:rFonts w:ascii="Times New Roman" w:hAnsi="Times New Roman"/>
        </w:rPr>
        <w:t>ГРЕВИО</w:t>
      </w:r>
      <w:r w:rsidR="00AB4631" w:rsidRPr="00295637">
        <w:rPr>
          <w:rFonts w:ascii="Times New Roman" w:hAnsi="Times New Roman"/>
        </w:rPr>
        <w:t xml:space="preserve"> </w:t>
      </w:r>
      <w:r>
        <w:rPr>
          <w:rFonts w:ascii="Times New Roman" w:hAnsi="Times New Roman"/>
        </w:rPr>
        <w:t>препорука</w:t>
      </w:r>
      <w:r w:rsidR="00AB4631" w:rsidRPr="00295637">
        <w:rPr>
          <w:rFonts w:ascii="Times New Roman" w:hAnsi="Times New Roman"/>
        </w:rPr>
        <w:t>“ (</w:t>
      </w:r>
      <w:r>
        <w:rPr>
          <w:rFonts w:ascii="Times New Roman" w:hAnsi="Times New Roman"/>
        </w:rPr>
        <w:t>новембар</w:t>
      </w:r>
      <w:r w:rsidR="00AB4631" w:rsidRPr="00295637">
        <w:rPr>
          <w:rFonts w:ascii="Times New Roman" w:hAnsi="Times New Roman"/>
        </w:rPr>
        <w:t xml:space="preserve">), </w:t>
      </w:r>
      <w:r>
        <w:rPr>
          <w:rFonts w:ascii="Times New Roman" w:hAnsi="Times New Roman"/>
        </w:rPr>
        <w:t>округли</w:t>
      </w:r>
      <w:r w:rsidR="004A7FA6" w:rsidRPr="00295637">
        <w:rPr>
          <w:rFonts w:ascii="Times New Roman" w:hAnsi="Times New Roman"/>
        </w:rPr>
        <w:t xml:space="preserve"> </w:t>
      </w:r>
      <w:r>
        <w:rPr>
          <w:rFonts w:ascii="Times New Roman" w:hAnsi="Times New Roman"/>
        </w:rPr>
        <w:t>сто</w:t>
      </w:r>
      <w:r w:rsidR="004A7FA6" w:rsidRPr="00295637">
        <w:rPr>
          <w:rFonts w:ascii="Times New Roman" w:hAnsi="Times New Roman"/>
        </w:rPr>
        <w:t xml:space="preserve"> „</w:t>
      </w:r>
      <w:r>
        <w:rPr>
          <w:rFonts w:ascii="Times New Roman" w:hAnsi="Times New Roman"/>
        </w:rPr>
        <w:t>Положај</w:t>
      </w:r>
      <w:r w:rsidR="004A7FA6" w:rsidRPr="00295637">
        <w:rPr>
          <w:rFonts w:ascii="Times New Roman" w:hAnsi="Times New Roman"/>
        </w:rPr>
        <w:t xml:space="preserve"> </w:t>
      </w:r>
      <w:r>
        <w:rPr>
          <w:rFonts w:ascii="Times New Roman" w:hAnsi="Times New Roman"/>
        </w:rPr>
        <w:t>полицијских</w:t>
      </w:r>
      <w:r w:rsidR="00AB4631" w:rsidRPr="00295637">
        <w:rPr>
          <w:rFonts w:ascii="Times New Roman" w:hAnsi="Times New Roman"/>
        </w:rPr>
        <w:t xml:space="preserve"> </w:t>
      </w:r>
      <w:r>
        <w:rPr>
          <w:rFonts w:ascii="Times New Roman" w:hAnsi="Times New Roman"/>
        </w:rPr>
        <w:t>службеница</w:t>
      </w:r>
      <w:r w:rsidR="00AB4631" w:rsidRPr="00295637">
        <w:rPr>
          <w:rFonts w:ascii="Times New Roman" w:hAnsi="Times New Roman"/>
        </w:rPr>
        <w:t xml:space="preserve"> </w:t>
      </w:r>
      <w:r>
        <w:rPr>
          <w:rFonts w:ascii="Times New Roman" w:hAnsi="Times New Roman"/>
        </w:rPr>
        <w:t>у</w:t>
      </w:r>
      <w:r w:rsidR="00690613">
        <w:rPr>
          <w:rFonts w:ascii="Times New Roman" w:hAnsi="Times New Roman"/>
        </w:rPr>
        <w:t xml:space="preserve"> </w:t>
      </w:r>
      <w:r>
        <w:rPr>
          <w:rFonts w:ascii="Times New Roman" w:hAnsi="Times New Roman"/>
        </w:rPr>
        <w:t>БиХ</w:t>
      </w:r>
      <w:r w:rsidR="00AB4631" w:rsidRPr="00295637">
        <w:rPr>
          <w:rFonts w:ascii="Times New Roman" w:hAnsi="Times New Roman"/>
        </w:rPr>
        <w:t>“ (</w:t>
      </w:r>
      <w:r>
        <w:rPr>
          <w:rFonts w:ascii="Times New Roman" w:hAnsi="Times New Roman"/>
        </w:rPr>
        <w:t>новембар</w:t>
      </w:r>
      <w:r w:rsidR="00AB4631" w:rsidRPr="00295637">
        <w:rPr>
          <w:rFonts w:ascii="Times New Roman" w:hAnsi="Times New Roman"/>
        </w:rPr>
        <w:t xml:space="preserve">), </w:t>
      </w:r>
      <w:r>
        <w:rPr>
          <w:rFonts w:ascii="Times New Roman" w:hAnsi="Times New Roman"/>
        </w:rPr>
        <w:t>конференција</w:t>
      </w:r>
      <w:r w:rsidR="00AB4631" w:rsidRPr="00295637">
        <w:rPr>
          <w:rFonts w:ascii="Times New Roman" w:hAnsi="Times New Roman"/>
        </w:rPr>
        <w:t xml:space="preserve"> „</w:t>
      </w:r>
      <w:r>
        <w:rPr>
          <w:rFonts w:ascii="Times New Roman" w:hAnsi="Times New Roman"/>
        </w:rPr>
        <w:t>Родни</w:t>
      </w:r>
      <w:r w:rsidR="004A7FA6" w:rsidRPr="00295637">
        <w:rPr>
          <w:rFonts w:ascii="Times New Roman" w:hAnsi="Times New Roman"/>
        </w:rPr>
        <w:t xml:space="preserve"> </w:t>
      </w:r>
      <w:r>
        <w:rPr>
          <w:rFonts w:ascii="Times New Roman" w:hAnsi="Times New Roman"/>
        </w:rPr>
        <w:t>аспекти</w:t>
      </w:r>
      <w:r w:rsidR="004A7FA6" w:rsidRPr="00295637">
        <w:rPr>
          <w:rFonts w:ascii="Times New Roman" w:hAnsi="Times New Roman"/>
        </w:rPr>
        <w:t xml:space="preserve"> </w:t>
      </w:r>
      <w:r>
        <w:rPr>
          <w:rFonts w:ascii="Times New Roman" w:hAnsi="Times New Roman"/>
        </w:rPr>
        <w:t>и</w:t>
      </w:r>
      <w:r w:rsidR="004A7FA6" w:rsidRPr="00295637">
        <w:rPr>
          <w:rFonts w:ascii="Times New Roman" w:hAnsi="Times New Roman"/>
        </w:rPr>
        <w:t xml:space="preserve"> </w:t>
      </w:r>
      <w:r>
        <w:rPr>
          <w:rFonts w:ascii="Times New Roman" w:hAnsi="Times New Roman"/>
        </w:rPr>
        <w:t>управљање</w:t>
      </w:r>
      <w:r w:rsidR="004A7FA6" w:rsidRPr="00295637">
        <w:rPr>
          <w:rFonts w:ascii="Times New Roman" w:hAnsi="Times New Roman"/>
        </w:rPr>
        <w:t xml:space="preserve"> </w:t>
      </w:r>
      <w:r w:rsidR="003601A7">
        <w:rPr>
          <w:rFonts w:ascii="Times New Roman" w:hAnsi="Times New Roman"/>
          <w:i/>
        </w:rPr>
        <w:t>POPs</w:t>
      </w:r>
      <w:r w:rsidR="00AB4631" w:rsidRPr="00295637">
        <w:rPr>
          <w:rStyle w:val="FootnoteReference"/>
          <w:rFonts w:ascii="Times New Roman" w:hAnsi="Times New Roman"/>
        </w:rPr>
        <w:footnoteReference w:id="8"/>
      </w:r>
      <w:r w:rsidR="004A7FA6" w:rsidRPr="00295637">
        <w:rPr>
          <w:rFonts w:ascii="Times New Roman" w:hAnsi="Times New Roman"/>
        </w:rPr>
        <w:t xml:space="preserve"> </w:t>
      </w:r>
      <w:r>
        <w:rPr>
          <w:rFonts w:ascii="Times New Roman" w:hAnsi="Times New Roman"/>
        </w:rPr>
        <w:t>супстанцама</w:t>
      </w:r>
      <w:r w:rsidR="00AB4631" w:rsidRPr="00295637">
        <w:rPr>
          <w:rFonts w:ascii="Times New Roman" w:hAnsi="Times New Roman"/>
        </w:rPr>
        <w:t>“</w:t>
      </w:r>
      <w:r w:rsidR="004A7FA6" w:rsidRPr="00295637">
        <w:rPr>
          <w:rFonts w:ascii="Times New Roman" w:hAnsi="Times New Roman"/>
        </w:rPr>
        <w:t xml:space="preserve"> (</w:t>
      </w:r>
      <w:r>
        <w:rPr>
          <w:rFonts w:ascii="Times New Roman" w:hAnsi="Times New Roman"/>
        </w:rPr>
        <w:t>децембар</w:t>
      </w:r>
      <w:r w:rsidR="004A7FA6" w:rsidRPr="00295637">
        <w:rPr>
          <w:rFonts w:ascii="Times New Roman" w:hAnsi="Times New Roman"/>
        </w:rPr>
        <w:t>)</w:t>
      </w:r>
      <w:r w:rsidR="00AB4631" w:rsidRPr="00295637">
        <w:rPr>
          <w:rFonts w:ascii="Times New Roman" w:hAnsi="Times New Roman"/>
        </w:rPr>
        <w:t xml:space="preserve"> </w:t>
      </w:r>
      <w:r>
        <w:rPr>
          <w:rFonts w:ascii="Times New Roman" w:hAnsi="Times New Roman"/>
        </w:rPr>
        <w:t>и</w:t>
      </w:r>
      <w:r w:rsidR="00AB4631" w:rsidRPr="00295637">
        <w:rPr>
          <w:rFonts w:ascii="Times New Roman" w:hAnsi="Times New Roman"/>
        </w:rPr>
        <w:t xml:space="preserve"> </w:t>
      </w:r>
      <w:r>
        <w:rPr>
          <w:rFonts w:ascii="Times New Roman" w:hAnsi="Times New Roman"/>
        </w:rPr>
        <w:t>друге</w:t>
      </w:r>
      <w:r w:rsidR="00483F09" w:rsidRPr="00295637">
        <w:rPr>
          <w:rFonts w:ascii="Times New Roman" w:hAnsi="Times New Roman"/>
        </w:rPr>
        <w:t>.</w:t>
      </w:r>
      <w:r w:rsidR="004A7FA6" w:rsidRPr="00295637">
        <w:rPr>
          <w:rFonts w:ascii="Times New Roman" w:hAnsi="Times New Roman"/>
        </w:rPr>
        <w:t xml:space="preserve"> </w:t>
      </w:r>
    </w:p>
    <w:p w:rsidR="004A7FA6" w:rsidRPr="00295637" w:rsidRDefault="004A7FA6" w:rsidP="0086268D">
      <w:pPr>
        <w:pStyle w:val="Normal1"/>
      </w:pPr>
    </w:p>
    <w:p w:rsidR="003448A3" w:rsidRPr="00295637" w:rsidRDefault="00C6214E" w:rsidP="0086268D">
      <w:pPr>
        <w:pStyle w:val="Normal1"/>
        <w:jc w:val="both"/>
        <w:rPr>
          <w:rFonts w:ascii="Times New Roman" w:hAnsi="Times New Roman"/>
        </w:rPr>
      </w:pPr>
      <w:r>
        <w:rPr>
          <w:rFonts w:ascii="Times New Roman" w:hAnsi="Times New Roman"/>
        </w:rPr>
        <w:t>Сарадња</w:t>
      </w:r>
      <w:r w:rsidR="003448A3" w:rsidRPr="00295637">
        <w:rPr>
          <w:rFonts w:ascii="Times New Roman" w:hAnsi="Times New Roman"/>
        </w:rPr>
        <w:t xml:space="preserve"> </w:t>
      </w:r>
      <w:r>
        <w:rPr>
          <w:rFonts w:ascii="Times New Roman" w:hAnsi="Times New Roman"/>
        </w:rPr>
        <w:t>са</w:t>
      </w:r>
      <w:r w:rsidR="003448A3" w:rsidRPr="00295637">
        <w:rPr>
          <w:rFonts w:ascii="Times New Roman" w:hAnsi="Times New Roman"/>
        </w:rPr>
        <w:t xml:space="preserve"> </w:t>
      </w:r>
      <w:r w:rsidR="00576B58">
        <w:rPr>
          <w:rStyle w:val="Strong"/>
          <w:rFonts w:ascii="Times New Roman" w:hAnsi="Times New Roman"/>
          <w:b w:val="0"/>
          <w:lang w:val="sr-Cyrl-BA"/>
        </w:rPr>
        <w:t>С</w:t>
      </w:r>
      <w:r>
        <w:rPr>
          <w:rStyle w:val="Strong"/>
          <w:rFonts w:ascii="Times New Roman" w:hAnsi="Times New Roman"/>
          <w:b w:val="0"/>
          <w:lang w:val="bs-Latn-BA"/>
        </w:rPr>
        <w:t>Е</w:t>
      </w:r>
      <w:r w:rsidR="003448A3" w:rsidRPr="00295637">
        <w:rPr>
          <w:rFonts w:ascii="Times New Roman" w:hAnsi="Times New Roman"/>
        </w:rPr>
        <w:t xml:space="preserve"> </w:t>
      </w:r>
      <w:r>
        <w:rPr>
          <w:rFonts w:ascii="Times New Roman" w:hAnsi="Times New Roman"/>
        </w:rPr>
        <w:t>додатно</w:t>
      </w:r>
      <w:r w:rsidR="003448A3" w:rsidRPr="00295637">
        <w:rPr>
          <w:rFonts w:ascii="Times New Roman" w:hAnsi="Times New Roman"/>
        </w:rPr>
        <w:t xml:space="preserve"> </w:t>
      </w:r>
      <w:r>
        <w:rPr>
          <w:rFonts w:ascii="Times New Roman" w:hAnsi="Times New Roman"/>
        </w:rPr>
        <w:t>је</w:t>
      </w:r>
      <w:r w:rsidR="003448A3" w:rsidRPr="00295637">
        <w:rPr>
          <w:rFonts w:ascii="Times New Roman" w:hAnsi="Times New Roman"/>
        </w:rPr>
        <w:t xml:space="preserve"> </w:t>
      </w:r>
      <w:r>
        <w:rPr>
          <w:rFonts w:ascii="Times New Roman" w:hAnsi="Times New Roman"/>
        </w:rPr>
        <w:t>ојачана</w:t>
      </w:r>
      <w:r w:rsidR="003448A3" w:rsidRPr="00295637">
        <w:rPr>
          <w:rFonts w:ascii="Times New Roman" w:hAnsi="Times New Roman"/>
        </w:rPr>
        <w:t xml:space="preserve"> </w:t>
      </w:r>
      <w:r>
        <w:rPr>
          <w:rFonts w:ascii="Times New Roman" w:hAnsi="Times New Roman"/>
        </w:rPr>
        <w:t>кроз</w:t>
      </w:r>
      <w:r w:rsidR="003448A3" w:rsidRPr="00295637">
        <w:rPr>
          <w:rFonts w:ascii="Times New Roman" w:hAnsi="Times New Roman"/>
        </w:rPr>
        <w:t xml:space="preserve"> </w:t>
      </w:r>
      <w:r w:rsidR="00576B58" w:rsidRPr="00576B58">
        <w:rPr>
          <w:rFonts w:ascii="Times New Roman" w:hAnsi="Times New Roman"/>
          <w:bCs/>
          <w:i/>
          <w:lang w:val="bs-Latn-BA"/>
        </w:rPr>
        <w:t>IPA</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пројекат</w:t>
      </w:r>
      <w:r w:rsidR="003448A3" w:rsidRPr="00295637">
        <w:rPr>
          <w:rStyle w:val="Strong"/>
          <w:rFonts w:ascii="Times New Roman" w:hAnsi="Times New Roman"/>
          <w:b w:val="0"/>
          <w:lang w:val="bs-Latn-BA"/>
        </w:rPr>
        <w:t xml:space="preserve"> </w:t>
      </w:r>
      <w:r w:rsidR="00576B58" w:rsidRPr="00576B58">
        <w:rPr>
          <w:rFonts w:ascii="Times New Roman" w:hAnsi="Times New Roman"/>
          <w:bCs/>
          <w:i/>
          <w:lang w:val="bs-Latn-BA"/>
        </w:rPr>
        <w:t>Horizontal Facility II</w:t>
      </w:r>
      <w:r w:rsidR="00576B58" w:rsidRPr="00576B58">
        <w:rPr>
          <w:rFonts w:ascii="Times New Roman" w:hAnsi="Times New Roman"/>
          <w:bCs/>
          <w:lang w:val="bs-Latn-BA"/>
        </w:rPr>
        <w:t xml:space="preserve"> </w:t>
      </w:r>
      <w:r>
        <w:rPr>
          <w:rStyle w:val="Strong"/>
          <w:rFonts w:ascii="Times New Roman" w:hAnsi="Times New Roman"/>
          <w:b w:val="0"/>
          <w:lang w:val="bs-Latn-BA"/>
        </w:rPr>
        <w:t>за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Западни</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Балкан</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и</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Турску</w:t>
      </w:r>
      <w:r w:rsidR="003448A3" w:rsidRPr="00295637">
        <w:rPr>
          <w:rFonts w:ascii="Times New Roman" w:hAnsi="Times New Roman"/>
        </w:rPr>
        <w:t xml:space="preserve">, </w:t>
      </w:r>
      <w:r>
        <w:rPr>
          <w:rFonts w:ascii="Times New Roman" w:hAnsi="Times New Roman"/>
        </w:rPr>
        <w:t>који</w:t>
      </w:r>
      <w:r w:rsidR="003448A3" w:rsidRPr="00295637">
        <w:rPr>
          <w:rFonts w:ascii="Times New Roman" w:hAnsi="Times New Roman"/>
        </w:rPr>
        <w:t xml:space="preserve"> </w:t>
      </w:r>
      <w:r>
        <w:rPr>
          <w:rFonts w:ascii="Times New Roman" w:hAnsi="Times New Roman"/>
        </w:rPr>
        <w:t>подржава</w:t>
      </w:r>
      <w:r w:rsidR="003448A3" w:rsidRPr="00295637">
        <w:rPr>
          <w:rFonts w:ascii="Times New Roman" w:hAnsi="Times New Roman"/>
        </w:rPr>
        <w:t xml:space="preserve"> </w:t>
      </w:r>
      <w:r>
        <w:rPr>
          <w:rFonts w:ascii="Times New Roman" w:hAnsi="Times New Roman"/>
        </w:rPr>
        <w:t>техничку</w:t>
      </w:r>
      <w:r w:rsidR="003448A3" w:rsidRPr="00295637">
        <w:rPr>
          <w:rFonts w:ascii="Times New Roman" w:hAnsi="Times New Roman"/>
        </w:rPr>
        <w:t xml:space="preserve"> </w:t>
      </w:r>
      <w:r>
        <w:rPr>
          <w:rFonts w:ascii="Times New Roman" w:hAnsi="Times New Roman"/>
        </w:rPr>
        <w:t>сарадњу</w:t>
      </w:r>
      <w:r w:rsidR="003448A3" w:rsidRPr="00295637">
        <w:rPr>
          <w:rFonts w:ascii="Times New Roman" w:hAnsi="Times New Roman"/>
        </w:rPr>
        <w:t xml:space="preserve"> </w:t>
      </w:r>
      <w:r>
        <w:rPr>
          <w:rFonts w:ascii="Times New Roman" w:hAnsi="Times New Roman"/>
        </w:rPr>
        <w:t>у</w:t>
      </w:r>
      <w:r w:rsidR="003448A3" w:rsidRPr="00295637">
        <w:rPr>
          <w:rFonts w:ascii="Times New Roman" w:hAnsi="Times New Roman"/>
        </w:rPr>
        <w:t xml:space="preserve"> </w:t>
      </w:r>
      <w:r>
        <w:rPr>
          <w:rFonts w:ascii="Times New Roman" w:hAnsi="Times New Roman"/>
        </w:rPr>
        <w:t>области</w:t>
      </w:r>
      <w:r w:rsidR="003448A3" w:rsidRPr="00295637">
        <w:rPr>
          <w:rFonts w:ascii="Times New Roman" w:hAnsi="Times New Roman"/>
        </w:rPr>
        <w:t xml:space="preserve"> </w:t>
      </w:r>
      <w:r>
        <w:rPr>
          <w:rStyle w:val="Strong"/>
          <w:rFonts w:ascii="Times New Roman" w:hAnsi="Times New Roman"/>
          <w:b w:val="0"/>
          <w:lang w:val="bs-Latn-BA"/>
        </w:rPr>
        <w:t>правосуђа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заштите</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људских</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права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и</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јачања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владавине</w:t>
      </w:r>
      <w:r w:rsidR="003448A3" w:rsidRPr="00295637">
        <w:rPr>
          <w:rStyle w:val="Strong"/>
          <w:rFonts w:ascii="Times New Roman" w:hAnsi="Times New Roman"/>
          <w:lang w:val="bs-Latn-BA"/>
        </w:rPr>
        <w:t xml:space="preserve"> </w:t>
      </w:r>
      <w:r>
        <w:rPr>
          <w:rStyle w:val="Strong"/>
          <w:rFonts w:ascii="Times New Roman" w:hAnsi="Times New Roman"/>
          <w:b w:val="0"/>
          <w:lang w:val="bs-Latn-BA"/>
        </w:rPr>
        <w:t>права</w:t>
      </w:r>
      <w:r w:rsidR="003448A3" w:rsidRPr="00295637">
        <w:rPr>
          <w:rFonts w:ascii="Times New Roman" w:hAnsi="Times New Roman"/>
        </w:rPr>
        <w:t xml:space="preserve"> </w:t>
      </w:r>
      <w:r>
        <w:rPr>
          <w:rFonts w:ascii="Times New Roman" w:hAnsi="Times New Roman"/>
        </w:rPr>
        <w:t>у</w:t>
      </w:r>
      <w:r w:rsidR="003448A3" w:rsidRPr="00295637">
        <w:rPr>
          <w:rFonts w:ascii="Times New Roman" w:hAnsi="Times New Roman"/>
        </w:rPr>
        <w:t xml:space="preserve"> </w:t>
      </w:r>
      <w:r>
        <w:rPr>
          <w:rFonts w:ascii="Times New Roman" w:hAnsi="Times New Roman"/>
        </w:rPr>
        <w:t>процесу</w:t>
      </w:r>
      <w:r w:rsidR="003448A3" w:rsidRPr="00295637">
        <w:rPr>
          <w:rFonts w:ascii="Times New Roman" w:hAnsi="Times New Roman"/>
        </w:rPr>
        <w:t xml:space="preserve"> </w:t>
      </w:r>
      <w:r>
        <w:rPr>
          <w:rFonts w:ascii="Times New Roman" w:hAnsi="Times New Roman"/>
        </w:rPr>
        <w:t>европских</w:t>
      </w:r>
      <w:r w:rsidR="003448A3" w:rsidRPr="00295637">
        <w:rPr>
          <w:rFonts w:ascii="Times New Roman" w:hAnsi="Times New Roman"/>
        </w:rPr>
        <w:t xml:space="preserve"> </w:t>
      </w:r>
      <w:r>
        <w:rPr>
          <w:rFonts w:ascii="Times New Roman" w:hAnsi="Times New Roman"/>
        </w:rPr>
        <w:t>интеграција</w:t>
      </w:r>
      <w:r w:rsidR="00EC48AC">
        <w:rPr>
          <w:rFonts w:ascii="Times New Roman" w:hAnsi="Times New Roman"/>
        </w:rPr>
        <w:t xml:space="preserve"> </w:t>
      </w:r>
      <w:r>
        <w:rPr>
          <w:rFonts w:ascii="Times New Roman" w:hAnsi="Times New Roman"/>
        </w:rPr>
        <w:t>БиХ</w:t>
      </w:r>
      <w:r w:rsidR="003448A3" w:rsidRPr="00295637">
        <w:rPr>
          <w:rFonts w:ascii="Times New Roman" w:hAnsi="Times New Roman"/>
        </w:rPr>
        <w:t xml:space="preserve">. </w:t>
      </w:r>
      <w:r w:rsidR="00576B58">
        <w:rPr>
          <w:rFonts w:ascii="Times New Roman" w:hAnsi="Times New Roman"/>
        </w:rPr>
        <w:t>Такође</w:t>
      </w:r>
      <w:r w:rsidR="003448A3" w:rsidRPr="00295637">
        <w:rPr>
          <w:rFonts w:ascii="Times New Roman" w:hAnsi="Times New Roman"/>
        </w:rPr>
        <w:t xml:space="preserve">, </w:t>
      </w:r>
      <w:r>
        <w:rPr>
          <w:rFonts w:ascii="Times New Roman" w:hAnsi="Times New Roman"/>
        </w:rPr>
        <w:t>у</w:t>
      </w:r>
      <w:r w:rsidR="003448A3" w:rsidRPr="00295637">
        <w:rPr>
          <w:rFonts w:ascii="Times New Roman" w:hAnsi="Times New Roman"/>
        </w:rPr>
        <w:t xml:space="preserve"> </w:t>
      </w:r>
      <w:r>
        <w:rPr>
          <w:rFonts w:ascii="Times New Roman" w:hAnsi="Times New Roman"/>
        </w:rPr>
        <w:t>оквиру</w:t>
      </w:r>
      <w:r w:rsidR="003448A3" w:rsidRPr="00295637">
        <w:rPr>
          <w:rFonts w:ascii="Times New Roman" w:hAnsi="Times New Roman"/>
        </w:rPr>
        <w:t xml:space="preserve"> </w:t>
      </w:r>
      <w:r w:rsidR="00576B58" w:rsidRPr="00576B58">
        <w:rPr>
          <w:rFonts w:ascii="Times New Roman" w:hAnsi="Times New Roman"/>
          <w:bCs/>
          <w:i/>
          <w:lang w:val="bs-Latn-BA"/>
        </w:rPr>
        <w:t>IPA</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програма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ЕУ</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за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људска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права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и</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антидискриминацију</w:t>
      </w:r>
      <w:r w:rsidR="003448A3" w:rsidRPr="00295637">
        <w:rPr>
          <w:rStyle w:val="Strong"/>
          <w:rFonts w:ascii="Times New Roman" w:hAnsi="Times New Roman"/>
          <w:b w:val="0"/>
          <w:lang w:val="bs-Latn-BA"/>
        </w:rPr>
        <w:t>“</w:t>
      </w:r>
      <w:r w:rsidR="003448A3" w:rsidRPr="00690613">
        <w:rPr>
          <w:rFonts w:ascii="Times New Roman" w:hAnsi="Times New Roman"/>
        </w:rPr>
        <w:t xml:space="preserve">, </w:t>
      </w:r>
      <w:r>
        <w:rPr>
          <w:rFonts w:ascii="Times New Roman" w:hAnsi="Times New Roman"/>
        </w:rPr>
        <w:t>анализирани</w:t>
      </w:r>
      <w:r w:rsidR="003448A3" w:rsidRPr="00295637">
        <w:rPr>
          <w:rFonts w:ascii="Times New Roman" w:hAnsi="Times New Roman"/>
        </w:rPr>
        <w:t xml:space="preserve"> </w:t>
      </w:r>
      <w:r>
        <w:rPr>
          <w:rFonts w:ascii="Times New Roman" w:hAnsi="Times New Roman"/>
        </w:rPr>
        <w:t>су</w:t>
      </w:r>
      <w:r w:rsidR="003448A3" w:rsidRPr="00295637">
        <w:rPr>
          <w:rFonts w:ascii="Times New Roman" w:hAnsi="Times New Roman"/>
        </w:rPr>
        <w:t xml:space="preserve"> </w:t>
      </w:r>
      <w:r>
        <w:rPr>
          <w:rFonts w:ascii="Times New Roman" w:hAnsi="Times New Roman"/>
        </w:rPr>
        <w:t>досадашњи</w:t>
      </w:r>
      <w:r w:rsidR="003448A3" w:rsidRPr="00295637">
        <w:rPr>
          <w:rFonts w:ascii="Times New Roman" w:hAnsi="Times New Roman"/>
        </w:rPr>
        <w:t xml:space="preserve"> </w:t>
      </w:r>
      <w:r>
        <w:rPr>
          <w:rFonts w:ascii="Times New Roman" w:hAnsi="Times New Roman"/>
        </w:rPr>
        <w:t>резултати</w:t>
      </w:r>
      <w:r w:rsidR="003448A3" w:rsidRPr="00295637">
        <w:rPr>
          <w:rFonts w:ascii="Times New Roman" w:hAnsi="Times New Roman"/>
        </w:rPr>
        <w:t xml:space="preserve"> </w:t>
      </w:r>
      <w:r>
        <w:rPr>
          <w:rFonts w:ascii="Times New Roman" w:hAnsi="Times New Roman"/>
        </w:rPr>
        <w:t>и</w:t>
      </w:r>
      <w:r w:rsidR="003448A3" w:rsidRPr="00295637">
        <w:rPr>
          <w:rFonts w:ascii="Times New Roman" w:hAnsi="Times New Roman"/>
        </w:rPr>
        <w:t xml:space="preserve"> </w:t>
      </w:r>
      <w:r>
        <w:rPr>
          <w:rFonts w:ascii="Times New Roman" w:hAnsi="Times New Roman"/>
        </w:rPr>
        <w:t>идентифи</w:t>
      </w:r>
      <w:r w:rsidR="00576B58">
        <w:rPr>
          <w:rFonts w:ascii="Times New Roman" w:hAnsi="Times New Roman"/>
          <w:lang w:val="sr-Cyrl-BA"/>
        </w:rPr>
        <w:t>ковани</w:t>
      </w:r>
      <w:r w:rsidR="003448A3" w:rsidRPr="00295637">
        <w:rPr>
          <w:rFonts w:ascii="Times New Roman" w:hAnsi="Times New Roman"/>
        </w:rPr>
        <w:t xml:space="preserve"> </w:t>
      </w:r>
      <w:r>
        <w:rPr>
          <w:rFonts w:ascii="Times New Roman" w:hAnsi="Times New Roman"/>
        </w:rPr>
        <w:t>кључни</w:t>
      </w:r>
      <w:r w:rsidR="003448A3" w:rsidRPr="00295637">
        <w:rPr>
          <w:rFonts w:ascii="Times New Roman" w:hAnsi="Times New Roman"/>
        </w:rPr>
        <w:t xml:space="preserve"> </w:t>
      </w:r>
      <w:r>
        <w:rPr>
          <w:rFonts w:ascii="Times New Roman" w:hAnsi="Times New Roman"/>
        </w:rPr>
        <w:t>изазови</w:t>
      </w:r>
      <w:r w:rsidR="003448A3" w:rsidRPr="00295637">
        <w:rPr>
          <w:rFonts w:ascii="Times New Roman" w:hAnsi="Times New Roman"/>
        </w:rPr>
        <w:t xml:space="preserve"> </w:t>
      </w:r>
      <w:r>
        <w:rPr>
          <w:rFonts w:ascii="Times New Roman" w:hAnsi="Times New Roman"/>
        </w:rPr>
        <w:t>у</w:t>
      </w:r>
      <w:r w:rsidR="003448A3" w:rsidRPr="00295637">
        <w:rPr>
          <w:rFonts w:ascii="Times New Roman" w:hAnsi="Times New Roman"/>
        </w:rPr>
        <w:t xml:space="preserve"> </w:t>
      </w:r>
      <w:r w:rsidR="00576B58">
        <w:rPr>
          <w:rFonts w:ascii="Times New Roman" w:hAnsi="Times New Roman"/>
          <w:lang w:val="sr-Cyrl-BA"/>
        </w:rPr>
        <w:t>спровођењу</w:t>
      </w:r>
      <w:r w:rsidR="003448A3" w:rsidRPr="00295637">
        <w:rPr>
          <w:rFonts w:ascii="Times New Roman" w:hAnsi="Times New Roman"/>
        </w:rPr>
        <w:t xml:space="preserve">, </w:t>
      </w:r>
      <w:r>
        <w:rPr>
          <w:rFonts w:ascii="Times New Roman" w:hAnsi="Times New Roman"/>
        </w:rPr>
        <w:t>како</w:t>
      </w:r>
      <w:r w:rsidR="003448A3" w:rsidRPr="00295637">
        <w:rPr>
          <w:rFonts w:ascii="Times New Roman" w:hAnsi="Times New Roman"/>
        </w:rPr>
        <w:t xml:space="preserve"> </w:t>
      </w:r>
      <w:r>
        <w:rPr>
          <w:rFonts w:ascii="Times New Roman" w:hAnsi="Times New Roman"/>
        </w:rPr>
        <w:t>би</w:t>
      </w:r>
      <w:r w:rsidR="003448A3" w:rsidRPr="00295637">
        <w:rPr>
          <w:rFonts w:ascii="Times New Roman" w:hAnsi="Times New Roman"/>
        </w:rPr>
        <w:t xml:space="preserve"> </w:t>
      </w:r>
      <w:r>
        <w:rPr>
          <w:rFonts w:ascii="Times New Roman" w:hAnsi="Times New Roman"/>
        </w:rPr>
        <w:t>стечена</w:t>
      </w:r>
      <w:r w:rsidR="003448A3" w:rsidRPr="00295637">
        <w:rPr>
          <w:rFonts w:ascii="Times New Roman" w:hAnsi="Times New Roman"/>
        </w:rPr>
        <w:t xml:space="preserve"> </w:t>
      </w:r>
      <w:r>
        <w:rPr>
          <w:rFonts w:ascii="Times New Roman" w:hAnsi="Times New Roman"/>
        </w:rPr>
        <w:t>искуства</w:t>
      </w:r>
      <w:r w:rsidR="003448A3" w:rsidRPr="00295637">
        <w:rPr>
          <w:rFonts w:ascii="Times New Roman" w:hAnsi="Times New Roman"/>
        </w:rPr>
        <w:t xml:space="preserve"> </w:t>
      </w:r>
      <w:r>
        <w:rPr>
          <w:rFonts w:ascii="Times New Roman" w:hAnsi="Times New Roman"/>
        </w:rPr>
        <w:t>послужила</w:t>
      </w:r>
      <w:r w:rsidR="003448A3" w:rsidRPr="00295637">
        <w:rPr>
          <w:rFonts w:ascii="Times New Roman" w:hAnsi="Times New Roman"/>
        </w:rPr>
        <w:t xml:space="preserve"> </w:t>
      </w:r>
      <w:r>
        <w:rPr>
          <w:rFonts w:ascii="Times New Roman" w:hAnsi="Times New Roman"/>
        </w:rPr>
        <w:t>за</w:t>
      </w:r>
      <w:r w:rsidR="003448A3" w:rsidRPr="00295637">
        <w:rPr>
          <w:rFonts w:ascii="Times New Roman" w:hAnsi="Times New Roman"/>
        </w:rPr>
        <w:t xml:space="preserve"> </w:t>
      </w:r>
      <w:r>
        <w:rPr>
          <w:rFonts w:ascii="Times New Roman" w:hAnsi="Times New Roman"/>
        </w:rPr>
        <w:t>креирање</w:t>
      </w:r>
      <w:r w:rsidR="003448A3" w:rsidRPr="00295637">
        <w:rPr>
          <w:rFonts w:ascii="Times New Roman" w:hAnsi="Times New Roman"/>
        </w:rPr>
        <w:t xml:space="preserve"> </w:t>
      </w:r>
      <w:r>
        <w:rPr>
          <w:rFonts w:ascii="Times New Roman" w:hAnsi="Times New Roman"/>
        </w:rPr>
        <w:t>нових</w:t>
      </w:r>
      <w:r w:rsidR="003448A3" w:rsidRPr="00295637">
        <w:rPr>
          <w:rFonts w:ascii="Times New Roman" w:hAnsi="Times New Roman"/>
        </w:rPr>
        <w:t xml:space="preserve"> </w:t>
      </w:r>
      <w:r>
        <w:rPr>
          <w:rFonts w:ascii="Times New Roman" w:hAnsi="Times New Roman"/>
        </w:rPr>
        <w:t>иницијатива</w:t>
      </w:r>
      <w:r w:rsidR="003448A3" w:rsidRPr="00295637">
        <w:rPr>
          <w:rFonts w:ascii="Times New Roman" w:hAnsi="Times New Roman"/>
        </w:rPr>
        <w:t xml:space="preserve"> </w:t>
      </w:r>
      <w:r>
        <w:rPr>
          <w:rFonts w:ascii="Times New Roman" w:hAnsi="Times New Roman"/>
        </w:rPr>
        <w:t>и</w:t>
      </w:r>
      <w:r w:rsidR="003448A3" w:rsidRPr="00295637">
        <w:rPr>
          <w:rFonts w:ascii="Times New Roman" w:hAnsi="Times New Roman"/>
        </w:rPr>
        <w:t xml:space="preserve"> </w:t>
      </w:r>
      <w:r>
        <w:rPr>
          <w:rFonts w:ascii="Times New Roman" w:hAnsi="Times New Roman"/>
        </w:rPr>
        <w:t>мјера</w:t>
      </w:r>
      <w:r w:rsidR="003448A3" w:rsidRPr="00295637">
        <w:rPr>
          <w:rFonts w:ascii="Times New Roman" w:hAnsi="Times New Roman"/>
        </w:rPr>
        <w:t xml:space="preserve"> </w:t>
      </w:r>
      <w:r>
        <w:rPr>
          <w:rFonts w:ascii="Times New Roman" w:hAnsi="Times New Roman"/>
        </w:rPr>
        <w:t>усмјерених</w:t>
      </w:r>
      <w:r w:rsidR="003448A3" w:rsidRPr="00295637">
        <w:rPr>
          <w:rFonts w:ascii="Times New Roman" w:hAnsi="Times New Roman"/>
        </w:rPr>
        <w:t xml:space="preserve"> </w:t>
      </w:r>
      <w:r>
        <w:rPr>
          <w:rFonts w:ascii="Times New Roman" w:hAnsi="Times New Roman"/>
        </w:rPr>
        <w:t>на</w:t>
      </w:r>
      <w:r w:rsidR="003448A3" w:rsidRPr="00295637">
        <w:rPr>
          <w:rFonts w:ascii="Times New Roman" w:hAnsi="Times New Roman"/>
        </w:rPr>
        <w:t xml:space="preserve"> </w:t>
      </w:r>
      <w:r>
        <w:rPr>
          <w:rFonts w:ascii="Times New Roman" w:hAnsi="Times New Roman"/>
        </w:rPr>
        <w:t>заштиту</w:t>
      </w:r>
      <w:r w:rsidR="003448A3" w:rsidRPr="00295637">
        <w:rPr>
          <w:rFonts w:ascii="Times New Roman" w:hAnsi="Times New Roman"/>
        </w:rPr>
        <w:t xml:space="preserve"> </w:t>
      </w:r>
      <w:r>
        <w:rPr>
          <w:rFonts w:ascii="Times New Roman" w:hAnsi="Times New Roman"/>
        </w:rPr>
        <w:t>основних</w:t>
      </w:r>
      <w:r w:rsidR="00690613">
        <w:rPr>
          <w:rFonts w:ascii="Times New Roman" w:hAnsi="Times New Roman"/>
        </w:rPr>
        <w:t xml:space="preserve"> </w:t>
      </w:r>
      <w:r>
        <w:rPr>
          <w:rFonts w:ascii="Times New Roman" w:hAnsi="Times New Roman"/>
        </w:rPr>
        <w:t>права</w:t>
      </w:r>
      <w:r w:rsidR="003448A3" w:rsidRPr="00295637">
        <w:rPr>
          <w:rFonts w:ascii="Times New Roman" w:hAnsi="Times New Roman"/>
        </w:rPr>
        <w:t xml:space="preserve"> </w:t>
      </w:r>
      <w:r>
        <w:rPr>
          <w:rFonts w:ascii="Times New Roman" w:hAnsi="Times New Roman"/>
        </w:rPr>
        <w:t>и</w:t>
      </w:r>
      <w:r w:rsidR="003448A3" w:rsidRPr="00295637">
        <w:rPr>
          <w:rFonts w:ascii="Times New Roman" w:hAnsi="Times New Roman"/>
        </w:rPr>
        <w:t xml:space="preserve"> </w:t>
      </w:r>
      <w:r>
        <w:rPr>
          <w:rFonts w:ascii="Times New Roman" w:hAnsi="Times New Roman"/>
        </w:rPr>
        <w:t>слобода</w:t>
      </w:r>
      <w:r w:rsidR="003448A3" w:rsidRPr="00295637">
        <w:rPr>
          <w:rFonts w:ascii="Times New Roman" w:hAnsi="Times New Roman"/>
        </w:rPr>
        <w:t xml:space="preserve"> </w:t>
      </w:r>
      <w:r>
        <w:rPr>
          <w:rFonts w:ascii="Times New Roman" w:hAnsi="Times New Roman"/>
        </w:rPr>
        <w:t>грађана</w:t>
      </w:r>
      <w:r w:rsidR="003448A3" w:rsidRPr="00295637">
        <w:rPr>
          <w:rFonts w:ascii="Times New Roman" w:hAnsi="Times New Roman"/>
        </w:rPr>
        <w:t>.</w:t>
      </w:r>
    </w:p>
    <w:p w:rsidR="003448A3" w:rsidRPr="00295637" w:rsidRDefault="003448A3" w:rsidP="0086268D">
      <w:pPr>
        <w:pStyle w:val="Normal1"/>
        <w:jc w:val="both"/>
        <w:rPr>
          <w:rFonts w:ascii="Times New Roman" w:hAnsi="Times New Roman"/>
        </w:rPr>
      </w:pPr>
    </w:p>
    <w:p w:rsidR="00790E7E" w:rsidRDefault="00C6214E" w:rsidP="0086268D">
      <w:pPr>
        <w:pStyle w:val="Normal1"/>
        <w:jc w:val="both"/>
        <w:rPr>
          <w:rFonts w:ascii="Times New Roman" w:hAnsi="Times New Roman"/>
        </w:rPr>
      </w:pPr>
      <w:r>
        <w:rPr>
          <w:rFonts w:ascii="Times New Roman" w:hAnsi="Times New Roman"/>
        </w:rPr>
        <w:t>Институционални</w:t>
      </w:r>
      <w:r w:rsidR="008B1BBA" w:rsidRPr="00295637">
        <w:rPr>
          <w:rFonts w:ascii="Times New Roman" w:hAnsi="Times New Roman"/>
        </w:rPr>
        <w:t xml:space="preserve"> </w:t>
      </w:r>
      <w:r>
        <w:rPr>
          <w:rFonts w:ascii="Times New Roman" w:hAnsi="Times New Roman"/>
        </w:rPr>
        <w:t>механизми</w:t>
      </w:r>
      <w:r w:rsidR="008B1BBA" w:rsidRPr="00295637">
        <w:rPr>
          <w:rFonts w:ascii="Times New Roman" w:hAnsi="Times New Roman"/>
        </w:rPr>
        <w:t xml:space="preserve"> </w:t>
      </w:r>
      <w:r>
        <w:rPr>
          <w:rFonts w:ascii="Times New Roman" w:hAnsi="Times New Roman"/>
        </w:rPr>
        <w:t>за</w:t>
      </w:r>
      <w:r w:rsidR="008B1BBA" w:rsidRPr="00295637">
        <w:rPr>
          <w:rFonts w:ascii="Times New Roman" w:hAnsi="Times New Roman"/>
        </w:rPr>
        <w:t xml:space="preserve"> </w:t>
      </w:r>
      <w:r>
        <w:rPr>
          <w:rFonts w:ascii="Times New Roman" w:hAnsi="Times New Roman"/>
        </w:rPr>
        <w:t>равноправност</w:t>
      </w:r>
      <w:r w:rsidR="008B1BBA" w:rsidRPr="00295637">
        <w:rPr>
          <w:rFonts w:ascii="Times New Roman" w:hAnsi="Times New Roman"/>
        </w:rPr>
        <w:t xml:space="preserve"> </w:t>
      </w:r>
      <w:r>
        <w:rPr>
          <w:rFonts w:ascii="Times New Roman" w:hAnsi="Times New Roman"/>
        </w:rPr>
        <w:t>полова</w:t>
      </w:r>
      <w:r w:rsidR="008B1BBA" w:rsidRPr="00295637">
        <w:rPr>
          <w:rFonts w:ascii="Times New Roman" w:hAnsi="Times New Roman"/>
        </w:rPr>
        <w:t xml:space="preserve">, </w:t>
      </w:r>
      <w:r>
        <w:rPr>
          <w:rFonts w:ascii="Times New Roman" w:hAnsi="Times New Roman"/>
        </w:rPr>
        <w:t>поред</w:t>
      </w:r>
      <w:r w:rsidR="008B1BBA" w:rsidRPr="00295637">
        <w:rPr>
          <w:rFonts w:ascii="Times New Roman" w:hAnsi="Times New Roman"/>
        </w:rPr>
        <w:t xml:space="preserve"> </w:t>
      </w:r>
      <w:r>
        <w:rPr>
          <w:rFonts w:ascii="Times New Roman" w:hAnsi="Times New Roman"/>
        </w:rPr>
        <w:t>осталог</w:t>
      </w:r>
      <w:r w:rsidR="008B1BBA" w:rsidRPr="00295637">
        <w:rPr>
          <w:rFonts w:ascii="Times New Roman" w:hAnsi="Times New Roman"/>
        </w:rPr>
        <w:t xml:space="preserve">, </w:t>
      </w:r>
      <w:r>
        <w:rPr>
          <w:rFonts w:ascii="Times New Roman" w:hAnsi="Times New Roman"/>
        </w:rPr>
        <w:t>учествују</w:t>
      </w:r>
      <w:r w:rsidR="008B1BBA" w:rsidRPr="00295637">
        <w:rPr>
          <w:rFonts w:ascii="Times New Roman" w:hAnsi="Times New Roman"/>
        </w:rPr>
        <w:t xml:space="preserve"> </w:t>
      </w:r>
      <w:r>
        <w:rPr>
          <w:rFonts w:ascii="Times New Roman" w:hAnsi="Times New Roman"/>
        </w:rPr>
        <w:t>у</w:t>
      </w:r>
      <w:r w:rsidR="008B1BBA" w:rsidRPr="00295637">
        <w:rPr>
          <w:rFonts w:ascii="Times New Roman" w:hAnsi="Times New Roman"/>
        </w:rPr>
        <w:t xml:space="preserve"> </w:t>
      </w:r>
      <w:r>
        <w:rPr>
          <w:rStyle w:val="Strong"/>
          <w:rFonts w:ascii="Times New Roman" w:hAnsi="Times New Roman"/>
          <w:b w:val="0"/>
          <w:lang w:val="bs-Latn-BA"/>
        </w:rPr>
        <w:t>пројектном</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одбору</w:t>
      </w:r>
      <w:r w:rsidR="003448A3" w:rsidRPr="00295637">
        <w:rPr>
          <w:rStyle w:val="Strong"/>
          <w:rFonts w:ascii="Times New Roman" w:hAnsi="Times New Roman"/>
          <w:b w:val="0"/>
          <w:lang w:val="bs-Latn-BA"/>
        </w:rPr>
        <w:t xml:space="preserve"> </w:t>
      </w:r>
      <w:r w:rsidR="00576B58" w:rsidRPr="00576B58">
        <w:rPr>
          <w:rFonts w:ascii="Times New Roman" w:hAnsi="Times New Roman"/>
          <w:bCs/>
          <w:i/>
          <w:lang w:val="bs-Latn-BA"/>
        </w:rPr>
        <w:t>IPA</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програма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ЕУ</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за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инклузију</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у</w:t>
      </w:r>
      <w:r w:rsidR="00690613">
        <w:rPr>
          <w:rStyle w:val="Strong"/>
          <w:rFonts w:ascii="Times New Roman" w:hAnsi="Times New Roman"/>
          <w:b w:val="0"/>
          <w:lang w:val="bs-Latn-BA"/>
        </w:rPr>
        <w:t xml:space="preserve"> </w:t>
      </w:r>
      <w:r>
        <w:rPr>
          <w:rStyle w:val="Strong"/>
          <w:rFonts w:ascii="Times New Roman" w:hAnsi="Times New Roman"/>
          <w:b w:val="0"/>
          <w:lang w:val="bs-Latn-BA"/>
        </w:rPr>
        <w:t>БиХ</w:t>
      </w:r>
      <w:r w:rsidR="003448A3" w:rsidRPr="00295637">
        <w:rPr>
          <w:rStyle w:val="Strong"/>
          <w:rFonts w:ascii="Times New Roman" w:hAnsi="Times New Roman"/>
          <w:b w:val="0"/>
          <w:lang w:val="bs-Latn-BA"/>
        </w:rPr>
        <w:t>“</w:t>
      </w:r>
      <w:r w:rsidR="003448A3" w:rsidRPr="00295637">
        <w:rPr>
          <w:rFonts w:ascii="Times New Roman" w:hAnsi="Times New Roman"/>
          <w:b/>
        </w:rPr>
        <w:t xml:space="preserve"> </w:t>
      </w:r>
      <w:r>
        <w:rPr>
          <w:rFonts w:ascii="Times New Roman" w:hAnsi="Times New Roman"/>
        </w:rPr>
        <w:t>и</w:t>
      </w:r>
      <w:r w:rsidR="003448A3" w:rsidRPr="00295637">
        <w:rPr>
          <w:rFonts w:ascii="Times New Roman" w:hAnsi="Times New Roman"/>
          <w:b/>
        </w:rPr>
        <w:t xml:space="preserve"> </w:t>
      </w:r>
      <w:r>
        <w:rPr>
          <w:rStyle w:val="Strong"/>
          <w:rFonts w:ascii="Times New Roman" w:hAnsi="Times New Roman"/>
          <w:b w:val="0"/>
          <w:lang w:val="bs-Latn-BA"/>
        </w:rPr>
        <w:t>пројекта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Међусекторско</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партнерство</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за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људска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права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и</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родну</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равноправност</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на</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тржишту</w:t>
      </w:r>
      <w:r w:rsidR="003448A3" w:rsidRPr="00295637">
        <w:rPr>
          <w:rStyle w:val="Strong"/>
          <w:rFonts w:ascii="Times New Roman" w:hAnsi="Times New Roman"/>
          <w:b w:val="0"/>
          <w:lang w:val="bs-Latn-BA"/>
        </w:rPr>
        <w:t xml:space="preserve"> </w:t>
      </w:r>
      <w:r>
        <w:rPr>
          <w:rStyle w:val="Strong"/>
          <w:rFonts w:ascii="Times New Roman" w:hAnsi="Times New Roman"/>
          <w:b w:val="0"/>
          <w:lang w:val="bs-Latn-BA"/>
        </w:rPr>
        <w:t>рада</w:t>
      </w:r>
      <w:r w:rsidR="003448A3" w:rsidRPr="00295637">
        <w:rPr>
          <w:rStyle w:val="Strong"/>
          <w:rFonts w:ascii="Times New Roman" w:hAnsi="Times New Roman"/>
          <w:b w:val="0"/>
          <w:lang w:val="bs-Latn-BA"/>
        </w:rPr>
        <w:t>“ (2023</w:t>
      </w:r>
      <w:r w:rsidR="00690613">
        <w:rPr>
          <w:rStyle w:val="Strong"/>
          <w:rFonts w:ascii="Times New Roman" w:hAnsi="Times New Roman"/>
          <w:b w:val="0"/>
          <w:lang w:val="bs-Latn-BA"/>
        </w:rPr>
        <w:t>-</w:t>
      </w:r>
      <w:r w:rsidR="003448A3" w:rsidRPr="00295637">
        <w:rPr>
          <w:rStyle w:val="Strong"/>
          <w:rFonts w:ascii="Times New Roman" w:hAnsi="Times New Roman"/>
          <w:b w:val="0"/>
          <w:lang w:val="bs-Latn-BA"/>
        </w:rPr>
        <w:t>2025</w:t>
      </w:r>
      <w:r w:rsidR="00B96909">
        <w:rPr>
          <w:rStyle w:val="Strong"/>
          <w:rFonts w:ascii="Times New Roman" w:hAnsi="Times New Roman"/>
          <w:b w:val="0"/>
          <w:lang w:val="bs-Latn-BA"/>
        </w:rPr>
        <w:t>.</w:t>
      </w:r>
      <w:r w:rsidR="003448A3" w:rsidRPr="00295637">
        <w:rPr>
          <w:rStyle w:val="Strong"/>
          <w:rFonts w:ascii="Times New Roman" w:hAnsi="Times New Roman"/>
          <w:b w:val="0"/>
          <w:lang w:val="bs-Latn-BA"/>
        </w:rPr>
        <w:t>)</w:t>
      </w:r>
      <w:r w:rsidR="003448A3" w:rsidRPr="00295637">
        <w:rPr>
          <w:rFonts w:ascii="Times New Roman" w:hAnsi="Times New Roman"/>
          <w:b/>
        </w:rPr>
        <w:t xml:space="preserve"> </w:t>
      </w:r>
      <w:r>
        <w:rPr>
          <w:rFonts w:ascii="Times New Roman" w:hAnsi="Times New Roman"/>
        </w:rPr>
        <w:t>што</w:t>
      </w:r>
      <w:r w:rsidR="00AB4631" w:rsidRPr="00295637">
        <w:rPr>
          <w:rFonts w:ascii="Times New Roman" w:hAnsi="Times New Roman"/>
        </w:rPr>
        <w:t xml:space="preserve"> </w:t>
      </w:r>
      <w:r>
        <w:rPr>
          <w:rFonts w:ascii="Times New Roman" w:hAnsi="Times New Roman"/>
        </w:rPr>
        <w:t>је</w:t>
      </w:r>
      <w:r w:rsidR="00AB4631" w:rsidRPr="00295637">
        <w:rPr>
          <w:rFonts w:ascii="Times New Roman" w:hAnsi="Times New Roman"/>
          <w:b/>
        </w:rPr>
        <w:t xml:space="preserve"> </w:t>
      </w:r>
      <w:r>
        <w:rPr>
          <w:rFonts w:ascii="Times New Roman" w:hAnsi="Times New Roman"/>
        </w:rPr>
        <w:t>додатно</w:t>
      </w:r>
      <w:r w:rsidR="00AB4631" w:rsidRPr="00295637">
        <w:rPr>
          <w:rFonts w:ascii="Times New Roman" w:hAnsi="Times New Roman"/>
        </w:rPr>
        <w:t xml:space="preserve"> </w:t>
      </w:r>
      <w:r>
        <w:rPr>
          <w:rFonts w:ascii="Times New Roman" w:hAnsi="Times New Roman"/>
        </w:rPr>
        <w:t>допринијело</w:t>
      </w:r>
      <w:r w:rsidR="003448A3" w:rsidRPr="00295637">
        <w:rPr>
          <w:rFonts w:ascii="Times New Roman" w:hAnsi="Times New Roman"/>
        </w:rPr>
        <w:t xml:space="preserve"> </w:t>
      </w:r>
      <w:r>
        <w:rPr>
          <w:rFonts w:ascii="Times New Roman" w:hAnsi="Times New Roman"/>
        </w:rPr>
        <w:t>јачању</w:t>
      </w:r>
      <w:r w:rsidR="003448A3" w:rsidRPr="00295637">
        <w:rPr>
          <w:rFonts w:ascii="Times New Roman" w:hAnsi="Times New Roman"/>
        </w:rPr>
        <w:t xml:space="preserve"> </w:t>
      </w:r>
      <w:r>
        <w:rPr>
          <w:rFonts w:ascii="Times New Roman" w:hAnsi="Times New Roman"/>
        </w:rPr>
        <w:t>координације</w:t>
      </w:r>
      <w:r w:rsidR="003448A3" w:rsidRPr="00295637">
        <w:rPr>
          <w:rFonts w:ascii="Times New Roman" w:hAnsi="Times New Roman"/>
        </w:rPr>
        <w:t xml:space="preserve"> </w:t>
      </w:r>
      <w:r>
        <w:rPr>
          <w:rFonts w:ascii="Times New Roman" w:hAnsi="Times New Roman"/>
        </w:rPr>
        <w:t>између</w:t>
      </w:r>
      <w:r w:rsidR="003448A3" w:rsidRPr="00295637">
        <w:rPr>
          <w:rFonts w:ascii="Times New Roman" w:hAnsi="Times New Roman"/>
        </w:rPr>
        <w:t xml:space="preserve"> </w:t>
      </w:r>
      <w:r>
        <w:rPr>
          <w:rFonts w:ascii="Times New Roman" w:hAnsi="Times New Roman"/>
        </w:rPr>
        <w:t>јавних</w:t>
      </w:r>
      <w:r w:rsidR="003448A3" w:rsidRPr="00295637">
        <w:rPr>
          <w:rFonts w:ascii="Times New Roman" w:hAnsi="Times New Roman"/>
        </w:rPr>
        <w:t xml:space="preserve"> </w:t>
      </w:r>
      <w:r>
        <w:rPr>
          <w:rFonts w:ascii="Times New Roman" w:hAnsi="Times New Roman"/>
        </w:rPr>
        <w:t>институција</w:t>
      </w:r>
      <w:r w:rsidR="003448A3" w:rsidRPr="00295637">
        <w:rPr>
          <w:rFonts w:ascii="Times New Roman" w:hAnsi="Times New Roman"/>
        </w:rPr>
        <w:t xml:space="preserve"> </w:t>
      </w:r>
      <w:r>
        <w:rPr>
          <w:rFonts w:ascii="Times New Roman" w:hAnsi="Times New Roman"/>
        </w:rPr>
        <w:t>и</w:t>
      </w:r>
      <w:r w:rsidR="003448A3" w:rsidRPr="00295637">
        <w:rPr>
          <w:rFonts w:ascii="Times New Roman" w:hAnsi="Times New Roman"/>
        </w:rPr>
        <w:t xml:space="preserve"> </w:t>
      </w:r>
      <w:r>
        <w:rPr>
          <w:rFonts w:ascii="Times New Roman" w:hAnsi="Times New Roman"/>
        </w:rPr>
        <w:t>цивилног</w:t>
      </w:r>
      <w:r w:rsidR="003448A3" w:rsidRPr="00295637">
        <w:rPr>
          <w:rFonts w:ascii="Times New Roman" w:hAnsi="Times New Roman"/>
        </w:rPr>
        <w:t xml:space="preserve"> </w:t>
      </w:r>
      <w:r>
        <w:rPr>
          <w:rFonts w:ascii="Times New Roman" w:hAnsi="Times New Roman"/>
        </w:rPr>
        <w:t>сектора</w:t>
      </w:r>
      <w:r w:rsidR="003448A3" w:rsidRPr="00295637">
        <w:rPr>
          <w:rFonts w:ascii="Times New Roman" w:hAnsi="Times New Roman"/>
        </w:rPr>
        <w:t xml:space="preserve">. </w:t>
      </w:r>
    </w:p>
    <w:p w:rsidR="001A37CD" w:rsidRDefault="001A37CD" w:rsidP="0086268D">
      <w:pPr>
        <w:pStyle w:val="Normal1"/>
        <w:jc w:val="both"/>
        <w:rPr>
          <w:rFonts w:ascii="Times New Roman" w:hAnsi="Times New Roman"/>
        </w:rPr>
      </w:pPr>
    </w:p>
    <w:p w:rsidR="003448A3" w:rsidRDefault="00C6214E" w:rsidP="0086268D">
      <w:pPr>
        <w:pStyle w:val="NormalWeb"/>
        <w:spacing w:before="0" w:beforeAutospacing="0" w:after="0" w:afterAutospacing="0"/>
        <w:jc w:val="both"/>
        <w:rPr>
          <w:lang w:val="hr-HR" w:eastAsia="hr-HR"/>
        </w:rPr>
      </w:pPr>
      <w:r>
        <w:t>Поред</w:t>
      </w:r>
      <w:r w:rsidR="008B1BBA" w:rsidRPr="00295637">
        <w:t xml:space="preserve"> </w:t>
      </w:r>
      <w:r>
        <w:t>тога</w:t>
      </w:r>
      <w:r w:rsidR="008B1BBA" w:rsidRPr="00295637">
        <w:t xml:space="preserve">, </w:t>
      </w:r>
      <w:r w:rsidR="00576B58">
        <w:rPr>
          <w:lang w:val="sr-Cyrl-BA"/>
        </w:rPr>
        <w:t>с</w:t>
      </w:r>
      <w:r w:rsidR="003448A3" w:rsidRPr="00295637">
        <w:t xml:space="preserve"> </w:t>
      </w:r>
      <w:r>
        <w:t>циљ</w:t>
      </w:r>
      <w:r w:rsidR="00576B58">
        <w:rPr>
          <w:lang w:val="sr-Cyrl-BA"/>
        </w:rPr>
        <w:t>ем</w:t>
      </w:r>
      <w:r w:rsidR="003448A3" w:rsidRPr="00295637">
        <w:t xml:space="preserve"> </w:t>
      </w:r>
      <w:r>
        <w:rPr>
          <w:rStyle w:val="Strong"/>
          <w:b w:val="0"/>
          <w:lang w:val="bs-Latn-BA"/>
        </w:rPr>
        <w:t>оснаживања</w:t>
      </w:r>
      <w:r w:rsidR="003448A3" w:rsidRPr="00295637">
        <w:rPr>
          <w:rStyle w:val="Strong"/>
          <w:b w:val="0"/>
          <w:lang w:val="bs-Latn-BA"/>
        </w:rPr>
        <w:t xml:space="preserve"> </w:t>
      </w:r>
      <w:r>
        <w:rPr>
          <w:rStyle w:val="Strong"/>
          <w:b w:val="0"/>
          <w:lang w:val="bs-Latn-BA"/>
        </w:rPr>
        <w:t>капацитета</w:t>
      </w:r>
      <w:r w:rsidR="003448A3" w:rsidRPr="00295637">
        <w:rPr>
          <w:rStyle w:val="Strong"/>
          <w:b w:val="0"/>
          <w:lang w:val="bs-Latn-BA"/>
        </w:rPr>
        <w:t xml:space="preserve"> </w:t>
      </w:r>
      <w:r>
        <w:rPr>
          <w:rStyle w:val="Strong"/>
          <w:b w:val="0"/>
          <w:lang w:val="bs-Latn-BA"/>
        </w:rPr>
        <w:t>јединица</w:t>
      </w:r>
      <w:r w:rsidR="003448A3" w:rsidRPr="00295637">
        <w:rPr>
          <w:rStyle w:val="Strong"/>
          <w:b w:val="0"/>
          <w:lang w:val="bs-Latn-BA"/>
        </w:rPr>
        <w:t xml:space="preserve"> </w:t>
      </w:r>
      <w:r>
        <w:rPr>
          <w:rStyle w:val="Strong"/>
          <w:b w:val="0"/>
          <w:lang w:val="bs-Latn-BA"/>
        </w:rPr>
        <w:t>локалне</w:t>
      </w:r>
      <w:r w:rsidR="003448A3" w:rsidRPr="00295637">
        <w:rPr>
          <w:rStyle w:val="Strong"/>
          <w:b w:val="0"/>
          <w:lang w:val="bs-Latn-BA"/>
        </w:rPr>
        <w:t xml:space="preserve"> </w:t>
      </w:r>
      <w:r>
        <w:rPr>
          <w:rStyle w:val="Strong"/>
          <w:b w:val="0"/>
          <w:lang w:val="bs-Latn-BA"/>
        </w:rPr>
        <w:t>самоуправе</w:t>
      </w:r>
      <w:r w:rsidR="003448A3" w:rsidRPr="00B96909">
        <w:t>,</w:t>
      </w:r>
      <w:r w:rsidR="003448A3" w:rsidRPr="00295637">
        <w:rPr>
          <w:b/>
        </w:rPr>
        <w:t xml:space="preserve"> </w:t>
      </w:r>
      <w:r>
        <w:t>успостављена</w:t>
      </w:r>
      <w:r w:rsidR="003448A3" w:rsidRPr="00295637">
        <w:t xml:space="preserve"> </w:t>
      </w:r>
      <w:r>
        <w:t>је</w:t>
      </w:r>
      <w:r w:rsidR="003448A3" w:rsidRPr="00295637">
        <w:t xml:space="preserve"> </w:t>
      </w:r>
      <w:r>
        <w:t>координација</w:t>
      </w:r>
      <w:r w:rsidR="003448A3" w:rsidRPr="00295637">
        <w:rPr>
          <w:b/>
        </w:rPr>
        <w:t xml:space="preserve"> </w:t>
      </w:r>
      <w:r>
        <w:t>с</w:t>
      </w:r>
      <w:r w:rsidR="00576B58">
        <w:rPr>
          <w:lang w:val="sr-Cyrl-BA"/>
        </w:rPr>
        <w:t>а</w:t>
      </w:r>
      <w:r w:rsidR="003448A3" w:rsidRPr="00295637">
        <w:rPr>
          <w:b/>
        </w:rPr>
        <w:t xml:space="preserve"> </w:t>
      </w:r>
      <w:r w:rsidR="00576B58" w:rsidRPr="00576B58">
        <w:rPr>
          <w:bCs/>
          <w:i/>
          <w:lang w:val="bs-Latn-BA"/>
        </w:rPr>
        <w:t>USAID</w:t>
      </w:r>
      <w:r w:rsidR="003448A3" w:rsidRPr="00295637">
        <w:rPr>
          <w:rStyle w:val="Strong"/>
          <w:b w:val="0"/>
          <w:lang w:val="bs-Latn-BA"/>
        </w:rPr>
        <w:t>-</w:t>
      </w:r>
      <w:r>
        <w:rPr>
          <w:rStyle w:val="Strong"/>
          <w:b w:val="0"/>
          <w:lang w:val="bs-Latn-BA"/>
        </w:rPr>
        <w:t>овим</w:t>
      </w:r>
      <w:r w:rsidR="003448A3" w:rsidRPr="00295637">
        <w:rPr>
          <w:rStyle w:val="Strong"/>
          <w:b w:val="0"/>
          <w:lang w:val="bs-Latn-BA"/>
        </w:rPr>
        <w:t xml:space="preserve"> </w:t>
      </w:r>
      <w:r>
        <w:rPr>
          <w:lang w:val="hr-HR" w:eastAsia="hr-HR"/>
        </w:rPr>
        <w:t>Пројектом</w:t>
      </w:r>
      <w:r w:rsidR="00790E7E">
        <w:rPr>
          <w:lang w:val="hr-HR" w:eastAsia="hr-HR"/>
        </w:rPr>
        <w:t xml:space="preserve"> </w:t>
      </w:r>
      <w:r>
        <w:rPr>
          <w:lang w:val="hr-HR" w:eastAsia="hr-HR"/>
        </w:rPr>
        <w:t>помоћи</w:t>
      </w:r>
      <w:r w:rsidR="00790E7E">
        <w:rPr>
          <w:lang w:val="hr-HR" w:eastAsia="hr-HR"/>
        </w:rPr>
        <w:t xml:space="preserve"> </w:t>
      </w:r>
      <w:r>
        <w:rPr>
          <w:lang w:val="hr-HR" w:eastAsia="hr-HR"/>
        </w:rPr>
        <w:t>локалној</w:t>
      </w:r>
      <w:r w:rsidR="00790E7E">
        <w:rPr>
          <w:lang w:val="hr-HR" w:eastAsia="hr-HR"/>
        </w:rPr>
        <w:t xml:space="preserve"> </w:t>
      </w:r>
      <w:r>
        <w:rPr>
          <w:lang w:val="hr-HR" w:eastAsia="hr-HR"/>
        </w:rPr>
        <w:t>управи</w:t>
      </w:r>
      <w:r w:rsidR="003448A3" w:rsidRPr="00295637">
        <w:rPr>
          <w:rStyle w:val="Strong"/>
          <w:b w:val="0"/>
          <w:lang w:val="bs-Latn-BA"/>
        </w:rPr>
        <w:t xml:space="preserve"> (</w:t>
      </w:r>
      <w:r w:rsidR="00576B58" w:rsidRPr="00576B58">
        <w:rPr>
          <w:bCs/>
          <w:i/>
          <w:lang w:val="bs-Latn-BA"/>
        </w:rPr>
        <w:t>LGAA</w:t>
      </w:r>
      <w:r w:rsidR="003448A3" w:rsidRPr="00295637">
        <w:rPr>
          <w:rStyle w:val="Strong"/>
          <w:b w:val="0"/>
          <w:lang w:val="bs-Latn-BA"/>
        </w:rPr>
        <w:t>)</w:t>
      </w:r>
      <w:r w:rsidR="00790E7E">
        <w:rPr>
          <w:b/>
        </w:rPr>
        <w:t xml:space="preserve"> </w:t>
      </w:r>
      <w:r>
        <w:t>у</w:t>
      </w:r>
      <w:r w:rsidR="00790E7E">
        <w:t xml:space="preserve"> </w:t>
      </w:r>
      <w:r>
        <w:t>оквиру</w:t>
      </w:r>
      <w:r w:rsidR="00790E7E">
        <w:t xml:space="preserve"> </w:t>
      </w:r>
      <w:r>
        <w:t>којега</w:t>
      </w:r>
      <w:r w:rsidR="00790E7E">
        <w:t xml:space="preserve"> </w:t>
      </w:r>
      <w:r>
        <w:t>је</w:t>
      </w:r>
      <w:r w:rsidR="00790E7E">
        <w:t xml:space="preserve"> </w:t>
      </w:r>
      <w:r>
        <w:t>пружена</w:t>
      </w:r>
      <w:r w:rsidR="00790E7E">
        <w:t xml:space="preserve"> </w:t>
      </w:r>
      <w:r>
        <w:t>подршка</w:t>
      </w:r>
      <w:r w:rsidR="00790E7E" w:rsidRPr="00457F81">
        <w:rPr>
          <w:lang w:val="hr-HR" w:eastAsia="hr-HR"/>
        </w:rPr>
        <w:t xml:space="preserve"> </w:t>
      </w:r>
      <w:r w:rsidR="00790E7E" w:rsidRPr="007821E7">
        <w:rPr>
          <w:bCs/>
          <w:lang w:val="hr-HR" w:eastAsia="hr-HR"/>
        </w:rPr>
        <w:t xml:space="preserve">30 </w:t>
      </w:r>
      <w:r>
        <w:rPr>
          <w:bCs/>
          <w:lang w:val="hr-HR" w:eastAsia="hr-HR"/>
        </w:rPr>
        <w:t>јединица</w:t>
      </w:r>
      <w:r w:rsidR="00790E7E" w:rsidRPr="007821E7">
        <w:rPr>
          <w:bCs/>
          <w:lang w:val="hr-HR" w:eastAsia="hr-HR"/>
        </w:rPr>
        <w:t xml:space="preserve"> </w:t>
      </w:r>
      <w:r>
        <w:rPr>
          <w:bCs/>
          <w:lang w:val="hr-HR" w:eastAsia="hr-HR"/>
        </w:rPr>
        <w:t>локалне</w:t>
      </w:r>
      <w:r w:rsidR="00790E7E" w:rsidRPr="007821E7">
        <w:rPr>
          <w:bCs/>
          <w:lang w:val="hr-HR" w:eastAsia="hr-HR"/>
        </w:rPr>
        <w:t xml:space="preserve"> </w:t>
      </w:r>
      <w:r>
        <w:rPr>
          <w:bCs/>
          <w:lang w:val="hr-HR" w:eastAsia="hr-HR"/>
        </w:rPr>
        <w:t>самоуправе</w:t>
      </w:r>
      <w:r w:rsidR="00790E7E" w:rsidRPr="007821E7">
        <w:rPr>
          <w:bCs/>
          <w:lang w:val="hr-HR" w:eastAsia="hr-HR"/>
        </w:rPr>
        <w:t xml:space="preserve"> (</w:t>
      </w:r>
      <w:r>
        <w:rPr>
          <w:bCs/>
          <w:lang w:val="hr-HR" w:eastAsia="hr-HR"/>
        </w:rPr>
        <w:t>ЈЛС</w:t>
      </w:r>
      <w:r w:rsidR="00790E7E" w:rsidRPr="007821E7">
        <w:rPr>
          <w:bCs/>
          <w:lang w:val="hr-HR" w:eastAsia="hr-HR"/>
        </w:rPr>
        <w:t>)</w:t>
      </w:r>
      <w:r w:rsidR="00790E7E" w:rsidRPr="00457F81">
        <w:rPr>
          <w:lang w:val="hr-HR" w:eastAsia="hr-HR"/>
        </w:rPr>
        <w:t xml:space="preserve"> </w:t>
      </w:r>
      <w:r>
        <w:rPr>
          <w:lang w:val="hr-HR" w:eastAsia="hr-HR"/>
        </w:rPr>
        <w:t>у</w:t>
      </w:r>
      <w:r w:rsidR="00790E7E" w:rsidRPr="00457F81">
        <w:rPr>
          <w:lang w:val="hr-HR" w:eastAsia="hr-HR"/>
        </w:rPr>
        <w:t xml:space="preserve"> </w:t>
      </w:r>
      <w:r>
        <w:rPr>
          <w:lang w:val="hr-HR" w:eastAsia="hr-HR"/>
        </w:rPr>
        <w:t>ФБиХ</w:t>
      </w:r>
      <w:r w:rsidR="00790E7E">
        <w:rPr>
          <w:lang w:val="hr-HR" w:eastAsia="hr-HR"/>
        </w:rPr>
        <w:t xml:space="preserve"> </w:t>
      </w:r>
      <w:r>
        <w:rPr>
          <w:lang w:val="hr-HR" w:eastAsia="hr-HR"/>
        </w:rPr>
        <w:t>и</w:t>
      </w:r>
      <w:r w:rsidR="00790E7E" w:rsidRPr="00457F81">
        <w:rPr>
          <w:lang w:val="hr-HR" w:eastAsia="hr-HR"/>
        </w:rPr>
        <w:t xml:space="preserve"> </w:t>
      </w:r>
      <w:r>
        <w:rPr>
          <w:lang w:val="hr-HR" w:eastAsia="hr-HR"/>
        </w:rPr>
        <w:t>РС</w:t>
      </w:r>
      <w:r w:rsidR="00790E7E" w:rsidRPr="00457F81">
        <w:rPr>
          <w:lang w:val="hr-HR" w:eastAsia="hr-HR"/>
        </w:rPr>
        <w:t xml:space="preserve"> </w:t>
      </w:r>
      <w:r>
        <w:rPr>
          <w:lang w:val="hr-HR" w:eastAsia="hr-HR"/>
        </w:rPr>
        <w:t>на</w:t>
      </w:r>
      <w:r w:rsidR="00790E7E" w:rsidRPr="00457F81">
        <w:rPr>
          <w:lang w:val="hr-HR" w:eastAsia="hr-HR"/>
        </w:rPr>
        <w:t xml:space="preserve"> </w:t>
      </w:r>
      <w:r>
        <w:rPr>
          <w:lang w:val="hr-HR" w:eastAsia="hr-HR"/>
        </w:rPr>
        <w:t>успостављању</w:t>
      </w:r>
      <w:r w:rsidR="00790E7E" w:rsidRPr="00457F81">
        <w:rPr>
          <w:lang w:val="hr-HR" w:eastAsia="hr-HR"/>
        </w:rPr>
        <w:t xml:space="preserve"> </w:t>
      </w:r>
      <w:r>
        <w:rPr>
          <w:lang w:val="hr-HR" w:eastAsia="hr-HR"/>
        </w:rPr>
        <w:t>и</w:t>
      </w:r>
      <w:r w:rsidR="00790E7E" w:rsidRPr="00457F81">
        <w:rPr>
          <w:lang w:val="hr-HR" w:eastAsia="hr-HR"/>
        </w:rPr>
        <w:t xml:space="preserve"> </w:t>
      </w:r>
      <w:r>
        <w:rPr>
          <w:lang w:val="hr-HR" w:eastAsia="hr-HR"/>
        </w:rPr>
        <w:t>унапређењу</w:t>
      </w:r>
      <w:r w:rsidR="00790E7E" w:rsidRPr="00457F81">
        <w:rPr>
          <w:lang w:val="hr-HR" w:eastAsia="hr-HR"/>
        </w:rPr>
        <w:t xml:space="preserve"> </w:t>
      </w:r>
      <w:r>
        <w:rPr>
          <w:lang w:val="hr-HR" w:eastAsia="hr-HR"/>
        </w:rPr>
        <w:t>локалних</w:t>
      </w:r>
      <w:r w:rsidR="00790E7E" w:rsidRPr="00457F81">
        <w:rPr>
          <w:lang w:val="hr-HR" w:eastAsia="hr-HR"/>
        </w:rPr>
        <w:t xml:space="preserve"> </w:t>
      </w:r>
      <w:r>
        <w:rPr>
          <w:lang w:val="hr-HR" w:eastAsia="hr-HR"/>
        </w:rPr>
        <w:t>услуга</w:t>
      </w:r>
      <w:r w:rsidR="00790E7E" w:rsidRPr="00457F81">
        <w:rPr>
          <w:lang w:val="hr-HR" w:eastAsia="hr-HR"/>
        </w:rPr>
        <w:t xml:space="preserve"> </w:t>
      </w:r>
      <w:r>
        <w:rPr>
          <w:lang w:val="hr-HR" w:eastAsia="hr-HR"/>
        </w:rPr>
        <w:t>које</w:t>
      </w:r>
      <w:r w:rsidR="00790E7E" w:rsidRPr="00457F81">
        <w:rPr>
          <w:lang w:val="hr-HR" w:eastAsia="hr-HR"/>
        </w:rPr>
        <w:t xml:space="preserve"> </w:t>
      </w:r>
      <w:r>
        <w:rPr>
          <w:lang w:val="hr-HR" w:eastAsia="hr-HR"/>
        </w:rPr>
        <w:t>олакшавају</w:t>
      </w:r>
      <w:r w:rsidR="00790E7E" w:rsidRPr="00457F81">
        <w:rPr>
          <w:lang w:val="hr-HR" w:eastAsia="hr-HR"/>
        </w:rPr>
        <w:t xml:space="preserve"> </w:t>
      </w:r>
      <w:r>
        <w:rPr>
          <w:lang w:val="hr-HR" w:eastAsia="hr-HR"/>
        </w:rPr>
        <w:t>приступ</w:t>
      </w:r>
      <w:r w:rsidR="00790E7E" w:rsidRPr="00457F81">
        <w:rPr>
          <w:lang w:val="hr-HR" w:eastAsia="hr-HR"/>
        </w:rPr>
        <w:t xml:space="preserve"> </w:t>
      </w:r>
      <w:r>
        <w:rPr>
          <w:lang w:val="hr-HR" w:eastAsia="hr-HR"/>
        </w:rPr>
        <w:t>за</w:t>
      </w:r>
      <w:r w:rsidR="00790E7E" w:rsidRPr="00457F81">
        <w:rPr>
          <w:lang w:val="hr-HR" w:eastAsia="hr-HR"/>
        </w:rPr>
        <w:t xml:space="preserve"> </w:t>
      </w:r>
      <w:r>
        <w:rPr>
          <w:lang w:val="hr-HR" w:eastAsia="hr-HR"/>
        </w:rPr>
        <w:t>маргинализ</w:t>
      </w:r>
      <w:r w:rsidR="00576B58">
        <w:rPr>
          <w:lang w:val="sr-Cyrl-BA" w:eastAsia="hr-HR"/>
        </w:rPr>
        <w:t>оване</w:t>
      </w:r>
      <w:r w:rsidR="00790E7E" w:rsidRPr="00457F81">
        <w:rPr>
          <w:lang w:val="hr-HR" w:eastAsia="hr-HR"/>
        </w:rPr>
        <w:t xml:space="preserve"> </w:t>
      </w:r>
      <w:r>
        <w:rPr>
          <w:lang w:val="hr-HR" w:eastAsia="hr-HR"/>
        </w:rPr>
        <w:t>групе</w:t>
      </w:r>
      <w:r w:rsidR="00790E7E" w:rsidRPr="00457F81">
        <w:rPr>
          <w:lang w:val="hr-HR" w:eastAsia="hr-HR"/>
        </w:rPr>
        <w:t xml:space="preserve">, </w:t>
      </w:r>
      <w:r>
        <w:rPr>
          <w:lang w:val="hr-HR" w:eastAsia="hr-HR"/>
        </w:rPr>
        <w:t>укључујући</w:t>
      </w:r>
      <w:r w:rsidR="00790E7E" w:rsidRPr="00457F81">
        <w:rPr>
          <w:lang w:val="hr-HR" w:eastAsia="hr-HR"/>
        </w:rPr>
        <w:t xml:space="preserve"> </w:t>
      </w:r>
      <w:r>
        <w:rPr>
          <w:lang w:val="hr-HR" w:eastAsia="hr-HR"/>
        </w:rPr>
        <w:t>жене</w:t>
      </w:r>
      <w:r w:rsidR="00790E7E" w:rsidRPr="00457F81">
        <w:rPr>
          <w:lang w:val="hr-HR" w:eastAsia="hr-HR"/>
        </w:rPr>
        <w:t xml:space="preserve"> </w:t>
      </w:r>
      <w:r>
        <w:rPr>
          <w:lang w:val="hr-HR" w:eastAsia="hr-HR"/>
        </w:rPr>
        <w:t>из</w:t>
      </w:r>
      <w:r w:rsidR="00790E7E" w:rsidRPr="00457F81">
        <w:rPr>
          <w:lang w:val="hr-HR" w:eastAsia="hr-HR"/>
        </w:rPr>
        <w:t xml:space="preserve"> </w:t>
      </w:r>
      <w:r>
        <w:rPr>
          <w:lang w:val="hr-HR" w:eastAsia="hr-HR"/>
        </w:rPr>
        <w:t>руралних</w:t>
      </w:r>
      <w:r w:rsidR="00790E7E" w:rsidRPr="00457F81">
        <w:rPr>
          <w:lang w:val="hr-HR" w:eastAsia="hr-HR"/>
        </w:rPr>
        <w:t xml:space="preserve"> </w:t>
      </w:r>
      <w:r>
        <w:rPr>
          <w:lang w:val="hr-HR" w:eastAsia="hr-HR"/>
        </w:rPr>
        <w:t>средина</w:t>
      </w:r>
      <w:r w:rsidR="00790E7E" w:rsidRPr="00457F81">
        <w:rPr>
          <w:lang w:val="hr-HR" w:eastAsia="hr-HR"/>
        </w:rPr>
        <w:t xml:space="preserve">, </w:t>
      </w:r>
      <w:r>
        <w:rPr>
          <w:lang w:val="hr-HR" w:eastAsia="hr-HR"/>
        </w:rPr>
        <w:t>лица</w:t>
      </w:r>
      <w:r w:rsidR="00790E7E" w:rsidRPr="00457F81">
        <w:rPr>
          <w:lang w:val="hr-HR" w:eastAsia="hr-HR"/>
        </w:rPr>
        <w:t xml:space="preserve"> </w:t>
      </w:r>
      <w:r>
        <w:rPr>
          <w:lang w:val="hr-HR" w:eastAsia="hr-HR"/>
        </w:rPr>
        <w:t>са</w:t>
      </w:r>
      <w:r w:rsidR="00790E7E" w:rsidRPr="00457F81">
        <w:rPr>
          <w:lang w:val="hr-HR" w:eastAsia="hr-HR"/>
        </w:rPr>
        <w:t xml:space="preserve"> </w:t>
      </w:r>
      <w:r>
        <w:rPr>
          <w:lang w:val="hr-HR" w:eastAsia="hr-HR"/>
        </w:rPr>
        <w:t>инвалидитетом</w:t>
      </w:r>
      <w:r w:rsidR="00790E7E" w:rsidRPr="00457F81">
        <w:rPr>
          <w:lang w:val="hr-HR" w:eastAsia="hr-HR"/>
        </w:rPr>
        <w:t xml:space="preserve">, </w:t>
      </w:r>
      <w:r>
        <w:rPr>
          <w:lang w:val="hr-HR" w:eastAsia="hr-HR"/>
        </w:rPr>
        <w:t>старија</w:t>
      </w:r>
      <w:r w:rsidR="00790E7E" w:rsidRPr="00457F81">
        <w:rPr>
          <w:lang w:val="hr-HR" w:eastAsia="hr-HR"/>
        </w:rPr>
        <w:t xml:space="preserve"> </w:t>
      </w:r>
      <w:r>
        <w:rPr>
          <w:lang w:val="hr-HR" w:eastAsia="hr-HR"/>
        </w:rPr>
        <w:t>лица</w:t>
      </w:r>
      <w:r w:rsidR="00790E7E" w:rsidRPr="00457F81">
        <w:rPr>
          <w:lang w:val="hr-HR" w:eastAsia="hr-HR"/>
        </w:rPr>
        <w:t xml:space="preserve">, </w:t>
      </w:r>
      <w:r>
        <w:rPr>
          <w:lang w:val="hr-HR" w:eastAsia="hr-HR"/>
        </w:rPr>
        <w:t>те</w:t>
      </w:r>
      <w:r w:rsidR="00790E7E" w:rsidRPr="00457F81">
        <w:rPr>
          <w:lang w:val="hr-HR" w:eastAsia="hr-HR"/>
        </w:rPr>
        <w:t xml:space="preserve"> </w:t>
      </w:r>
      <w:r>
        <w:rPr>
          <w:lang w:val="hr-HR" w:eastAsia="hr-HR"/>
        </w:rPr>
        <w:t>друге</w:t>
      </w:r>
      <w:r w:rsidR="00790E7E" w:rsidRPr="00457F81">
        <w:rPr>
          <w:lang w:val="hr-HR" w:eastAsia="hr-HR"/>
        </w:rPr>
        <w:t xml:space="preserve"> </w:t>
      </w:r>
      <w:r>
        <w:rPr>
          <w:lang w:val="hr-HR" w:eastAsia="hr-HR"/>
        </w:rPr>
        <w:t>рањиве</w:t>
      </w:r>
      <w:r w:rsidR="00790E7E" w:rsidRPr="00457F81">
        <w:rPr>
          <w:lang w:val="hr-HR" w:eastAsia="hr-HR"/>
        </w:rPr>
        <w:t xml:space="preserve"> </w:t>
      </w:r>
      <w:r>
        <w:rPr>
          <w:lang w:val="hr-HR" w:eastAsia="hr-HR"/>
        </w:rPr>
        <w:t>категорије</w:t>
      </w:r>
      <w:r w:rsidR="00790E7E" w:rsidRPr="00457F81">
        <w:rPr>
          <w:lang w:val="hr-HR" w:eastAsia="hr-HR"/>
        </w:rPr>
        <w:t xml:space="preserve">. </w:t>
      </w:r>
      <w:r>
        <w:rPr>
          <w:lang w:val="hr-HR" w:eastAsia="hr-HR"/>
        </w:rPr>
        <w:t>У</w:t>
      </w:r>
      <w:r w:rsidR="00790E7E" w:rsidRPr="00457F81">
        <w:rPr>
          <w:lang w:val="hr-HR" w:eastAsia="hr-HR"/>
        </w:rPr>
        <w:t xml:space="preserve"> </w:t>
      </w:r>
      <w:r>
        <w:rPr>
          <w:lang w:val="hr-HR" w:eastAsia="hr-HR"/>
        </w:rPr>
        <w:t>сарадњи</w:t>
      </w:r>
      <w:r w:rsidR="00790E7E" w:rsidRPr="00457F81">
        <w:rPr>
          <w:lang w:val="hr-HR" w:eastAsia="hr-HR"/>
        </w:rPr>
        <w:t xml:space="preserve"> </w:t>
      </w:r>
      <w:r>
        <w:rPr>
          <w:lang w:val="hr-HR" w:eastAsia="hr-HR"/>
        </w:rPr>
        <w:t>са</w:t>
      </w:r>
      <w:r w:rsidR="00790E7E" w:rsidRPr="00457F81">
        <w:rPr>
          <w:lang w:val="hr-HR" w:eastAsia="hr-HR"/>
        </w:rPr>
        <w:t xml:space="preserve"> </w:t>
      </w:r>
      <w:r>
        <w:rPr>
          <w:lang w:val="hr-HR" w:eastAsia="hr-HR"/>
        </w:rPr>
        <w:t>локалним</w:t>
      </w:r>
      <w:r w:rsidR="00790E7E" w:rsidRPr="00457F81">
        <w:rPr>
          <w:lang w:val="hr-HR" w:eastAsia="hr-HR"/>
        </w:rPr>
        <w:t xml:space="preserve"> </w:t>
      </w:r>
      <w:r>
        <w:rPr>
          <w:lang w:val="hr-HR" w:eastAsia="hr-HR"/>
        </w:rPr>
        <w:t>властима</w:t>
      </w:r>
      <w:r w:rsidR="00790E7E" w:rsidRPr="00457F81">
        <w:rPr>
          <w:lang w:val="hr-HR" w:eastAsia="hr-HR"/>
        </w:rPr>
        <w:t xml:space="preserve"> </w:t>
      </w:r>
      <w:r>
        <w:rPr>
          <w:lang w:val="hr-HR" w:eastAsia="hr-HR"/>
        </w:rPr>
        <w:t>и</w:t>
      </w:r>
      <w:r w:rsidR="00790E7E" w:rsidRPr="00457F81">
        <w:rPr>
          <w:lang w:val="hr-HR" w:eastAsia="hr-HR"/>
        </w:rPr>
        <w:t xml:space="preserve"> </w:t>
      </w:r>
      <w:r>
        <w:rPr>
          <w:lang w:val="hr-HR" w:eastAsia="hr-HR"/>
        </w:rPr>
        <w:t>релевантним</w:t>
      </w:r>
      <w:r w:rsidR="00790E7E" w:rsidRPr="00457F81">
        <w:rPr>
          <w:lang w:val="hr-HR" w:eastAsia="hr-HR"/>
        </w:rPr>
        <w:t xml:space="preserve"> </w:t>
      </w:r>
      <w:r>
        <w:rPr>
          <w:lang w:val="hr-HR" w:eastAsia="hr-HR"/>
        </w:rPr>
        <w:t>актерима</w:t>
      </w:r>
      <w:r w:rsidR="00790E7E" w:rsidRPr="00457F81">
        <w:rPr>
          <w:lang w:val="hr-HR" w:eastAsia="hr-HR"/>
        </w:rPr>
        <w:t xml:space="preserve">, </w:t>
      </w:r>
      <w:r>
        <w:rPr>
          <w:lang w:val="hr-HR" w:eastAsia="hr-HR"/>
        </w:rPr>
        <w:t>проведене</w:t>
      </w:r>
      <w:r w:rsidR="00790E7E" w:rsidRPr="00457F81">
        <w:rPr>
          <w:lang w:val="hr-HR" w:eastAsia="hr-HR"/>
        </w:rPr>
        <w:t xml:space="preserve"> </w:t>
      </w:r>
      <w:r>
        <w:rPr>
          <w:lang w:val="hr-HR" w:eastAsia="hr-HR"/>
        </w:rPr>
        <w:t>су</w:t>
      </w:r>
      <w:r w:rsidR="00790E7E" w:rsidRPr="00457F81">
        <w:rPr>
          <w:lang w:val="hr-HR" w:eastAsia="hr-HR"/>
        </w:rPr>
        <w:t xml:space="preserve"> </w:t>
      </w:r>
      <w:r>
        <w:rPr>
          <w:lang w:val="hr-HR" w:eastAsia="hr-HR"/>
        </w:rPr>
        <w:t>бројне</w:t>
      </w:r>
      <w:r w:rsidR="00790E7E" w:rsidRPr="00457F81">
        <w:rPr>
          <w:lang w:val="hr-HR" w:eastAsia="hr-HR"/>
        </w:rPr>
        <w:t xml:space="preserve"> </w:t>
      </w:r>
      <w:r>
        <w:rPr>
          <w:lang w:val="hr-HR" w:eastAsia="hr-HR"/>
        </w:rPr>
        <w:t>иницијативе</w:t>
      </w:r>
      <w:r w:rsidR="00790E7E" w:rsidRPr="00457F81">
        <w:rPr>
          <w:lang w:val="hr-HR" w:eastAsia="hr-HR"/>
        </w:rPr>
        <w:t xml:space="preserve"> </w:t>
      </w:r>
      <w:r>
        <w:rPr>
          <w:lang w:val="hr-HR" w:eastAsia="hr-HR"/>
        </w:rPr>
        <w:t>које</w:t>
      </w:r>
      <w:r w:rsidR="00790E7E" w:rsidRPr="00457F81">
        <w:rPr>
          <w:lang w:val="hr-HR" w:eastAsia="hr-HR"/>
        </w:rPr>
        <w:t xml:space="preserve"> </w:t>
      </w:r>
      <w:r>
        <w:rPr>
          <w:lang w:val="hr-HR" w:eastAsia="hr-HR"/>
        </w:rPr>
        <w:t>су</w:t>
      </w:r>
      <w:r w:rsidR="00790E7E" w:rsidRPr="00457F81">
        <w:rPr>
          <w:lang w:val="hr-HR" w:eastAsia="hr-HR"/>
        </w:rPr>
        <w:t xml:space="preserve"> </w:t>
      </w:r>
      <w:r>
        <w:rPr>
          <w:lang w:val="hr-HR" w:eastAsia="hr-HR"/>
        </w:rPr>
        <w:t>доприносиле</w:t>
      </w:r>
      <w:r w:rsidR="00790E7E" w:rsidRPr="00457F81">
        <w:rPr>
          <w:lang w:val="hr-HR" w:eastAsia="hr-HR"/>
        </w:rPr>
        <w:t xml:space="preserve"> </w:t>
      </w:r>
      <w:r>
        <w:rPr>
          <w:lang w:val="hr-HR" w:eastAsia="hr-HR"/>
        </w:rPr>
        <w:t>унапређењу</w:t>
      </w:r>
      <w:r w:rsidR="00790E7E" w:rsidRPr="00457F81">
        <w:rPr>
          <w:lang w:val="hr-HR" w:eastAsia="hr-HR"/>
        </w:rPr>
        <w:t xml:space="preserve"> </w:t>
      </w:r>
      <w:r>
        <w:rPr>
          <w:lang w:val="hr-HR" w:eastAsia="hr-HR"/>
        </w:rPr>
        <w:t>положаја</w:t>
      </w:r>
      <w:r w:rsidR="00790E7E" w:rsidRPr="00457F81">
        <w:rPr>
          <w:lang w:val="hr-HR" w:eastAsia="hr-HR"/>
        </w:rPr>
        <w:t xml:space="preserve"> </w:t>
      </w:r>
      <w:r>
        <w:rPr>
          <w:lang w:val="hr-HR" w:eastAsia="hr-HR"/>
        </w:rPr>
        <w:t>жена</w:t>
      </w:r>
      <w:r w:rsidR="00790E7E" w:rsidRPr="00457F81">
        <w:rPr>
          <w:lang w:val="hr-HR" w:eastAsia="hr-HR"/>
        </w:rPr>
        <w:t xml:space="preserve"> </w:t>
      </w:r>
      <w:r>
        <w:rPr>
          <w:lang w:val="hr-HR" w:eastAsia="hr-HR"/>
        </w:rPr>
        <w:t>и</w:t>
      </w:r>
      <w:r w:rsidR="00790E7E" w:rsidRPr="00457F81">
        <w:rPr>
          <w:lang w:val="hr-HR" w:eastAsia="hr-HR"/>
        </w:rPr>
        <w:t xml:space="preserve"> </w:t>
      </w:r>
      <w:r>
        <w:rPr>
          <w:lang w:val="hr-HR" w:eastAsia="hr-HR"/>
        </w:rPr>
        <w:t>других</w:t>
      </w:r>
      <w:r w:rsidR="00790E7E" w:rsidRPr="00457F81">
        <w:rPr>
          <w:lang w:val="hr-HR" w:eastAsia="hr-HR"/>
        </w:rPr>
        <w:t xml:space="preserve"> </w:t>
      </w:r>
      <w:r>
        <w:rPr>
          <w:lang w:val="hr-HR" w:eastAsia="hr-HR"/>
        </w:rPr>
        <w:t>маргинализ</w:t>
      </w:r>
      <w:r w:rsidR="00576B58">
        <w:rPr>
          <w:lang w:val="sr-Cyrl-BA" w:eastAsia="hr-HR"/>
        </w:rPr>
        <w:t>ованих</w:t>
      </w:r>
      <w:r w:rsidR="00790E7E" w:rsidRPr="00457F81">
        <w:rPr>
          <w:lang w:val="hr-HR" w:eastAsia="hr-HR"/>
        </w:rPr>
        <w:t xml:space="preserve"> </w:t>
      </w:r>
      <w:r>
        <w:rPr>
          <w:lang w:val="hr-HR" w:eastAsia="hr-HR"/>
        </w:rPr>
        <w:t>група</w:t>
      </w:r>
      <w:r w:rsidR="00790E7E" w:rsidRPr="00457F81">
        <w:rPr>
          <w:lang w:val="hr-HR" w:eastAsia="hr-HR"/>
        </w:rPr>
        <w:t xml:space="preserve"> </w:t>
      </w:r>
      <w:r>
        <w:rPr>
          <w:lang w:val="hr-HR" w:eastAsia="hr-HR"/>
        </w:rPr>
        <w:t>на</w:t>
      </w:r>
      <w:r w:rsidR="00790E7E" w:rsidRPr="00457F81">
        <w:rPr>
          <w:lang w:val="hr-HR" w:eastAsia="hr-HR"/>
        </w:rPr>
        <w:t xml:space="preserve"> </w:t>
      </w:r>
      <w:r>
        <w:rPr>
          <w:lang w:val="hr-HR" w:eastAsia="hr-HR"/>
        </w:rPr>
        <w:t>локалном</w:t>
      </w:r>
      <w:r w:rsidR="00790E7E" w:rsidRPr="00457F81">
        <w:rPr>
          <w:lang w:val="hr-HR" w:eastAsia="hr-HR"/>
        </w:rPr>
        <w:t xml:space="preserve"> </w:t>
      </w:r>
      <w:r>
        <w:rPr>
          <w:lang w:val="hr-HR" w:eastAsia="hr-HR"/>
        </w:rPr>
        <w:t>нивоу</w:t>
      </w:r>
      <w:r w:rsidR="00790E7E">
        <w:rPr>
          <w:lang w:val="hr-HR" w:eastAsia="hr-HR"/>
        </w:rPr>
        <w:t xml:space="preserve">. </w:t>
      </w:r>
      <w:r>
        <w:rPr>
          <w:lang w:val="hr-HR" w:eastAsia="hr-HR"/>
        </w:rPr>
        <w:t>Посебно</w:t>
      </w:r>
      <w:r w:rsidR="00790E7E" w:rsidRPr="00457F81">
        <w:rPr>
          <w:lang w:val="hr-HR" w:eastAsia="hr-HR"/>
        </w:rPr>
        <w:t xml:space="preserve"> </w:t>
      </w:r>
      <w:r>
        <w:rPr>
          <w:lang w:val="hr-HR" w:eastAsia="hr-HR"/>
        </w:rPr>
        <w:t>је</w:t>
      </w:r>
      <w:r w:rsidR="00790E7E" w:rsidRPr="00457F81">
        <w:rPr>
          <w:lang w:val="hr-HR" w:eastAsia="hr-HR"/>
        </w:rPr>
        <w:t xml:space="preserve"> </w:t>
      </w:r>
      <w:r>
        <w:rPr>
          <w:lang w:val="hr-HR" w:eastAsia="hr-HR"/>
        </w:rPr>
        <w:t>значајно</w:t>
      </w:r>
      <w:r w:rsidR="00690613">
        <w:rPr>
          <w:lang w:val="hr-HR" w:eastAsia="hr-HR"/>
        </w:rPr>
        <w:t xml:space="preserve"> </w:t>
      </w:r>
      <w:r>
        <w:rPr>
          <w:lang w:val="hr-HR" w:eastAsia="hr-HR"/>
        </w:rPr>
        <w:t>што</w:t>
      </w:r>
      <w:r w:rsidR="00690613">
        <w:rPr>
          <w:lang w:val="hr-HR" w:eastAsia="hr-HR"/>
        </w:rPr>
        <w:t xml:space="preserve"> </w:t>
      </w:r>
      <w:r>
        <w:rPr>
          <w:lang w:val="hr-HR" w:eastAsia="hr-HR"/>
        </w:rPr>
        <w:t>су</w:t>
      </w:r>
      <w:r w:rsidR="00690613">
        <w:rPr>
          <w:lang w:val="hr-HR" w:eastAsia="hr-HR"/>
        </w:rPr>
        <w:t xml:space="preserve"> </w:t>
      </w:r>
      <w:r>
        <w:rPr>
          <w:lang w:val="hr-HR" w:eastAsia="hr-HR"/>
        </w:rPr>
        <w:t>кроз</w:t>
      </w:r>
      <w:r w:rsidR="00690613">
        <w:rPr>
          <w:lang w:val="hr-HR" w:eastAsia="hr-HR"/>
        </w:rPr>
        <w:t xml:space="preserve"> </w:t>
      </w:r>
      <w:r>
        <w:rPr>
          <w:lang w:val="hr-HR" w:eastAsia="hr-HR"/>
        </w:rPr>
        <w:t>овај</w:t>
      </w:r>
      <w:r w:rsidR="00690613">
        <w:rPr>
          <w:lang w:val="hr-HR" w:eastAsia="hr-HR"/>
        </w:rPr>
        <w:t xml:space="preserve"> </w:t>
      </w:r>
      <w:r>
        <w:rPr>
          <w:lang w:val="hr-HR" w:eastAsia="hr-HR"/>
        </w:rPr>
        <w:t>пројекат</w:t>
      </w:r>
      <w:r w:rsidR="00790E7E" w:rsidRPr="00457F81">
        <w:rPr>
          <w:lang w:val="hr-HR" w:eastAsia="hr-HR"/>
        </w:rPr>
        <w:t xml:space="preserve"> </w:t>
      </w:r>
      <w:r>
        <w:rPr>
          <w:bCs/>
          <w:lang w:val="hr-HR" w:eastAsia="hr-HR"/>
        </w:rPr>
        <w:t>усвојени</w:t>
      </w:r>
      <w:r w:rsidR="00790E7E" w:rsidRPr="007821E7">
        <w:rPr>
          <w:bCs/>
          <w:lang w:val="hr-HR" w:eastAsia="hr-HR"/>
        </w:rPr>
        <w:t xml:space="preserve"> </w:t>
      </w:r>
      <w:r>
        <w:rPr>
          <w:bCs/>
          <w:lang w:val="hr-HR" w:eastAsia="hr-HR"/>
        </w:rPr>
        <w:t>локални</w:t>
      </w:r>
      <w:r w:rsidR="00790E7E" w:rsidRPr="00506BB8">
        <w:rPr>
          <w:bCs/>
          <w:lang w:val="hr-HR" w:eastAsia="hr-HR"/>
        </w:rPr>
        <w:t xml:space="preserve"> </w:t>
      </w:r>
      <w:r>
        <w:rPr>
          <w:bCs/>
          <w:lang w:val="hr-HR" w:eastAsia="hr-HR"/>
        </w:rPr>
        <w:t>гендер</w:t>
      </w:r>
      <w:r w:rsidR="00790E7E" w:rsidRPr="00506BB8">
        <w:rPr>
          <w:bCs/>
          <w:lang w:val="hr-HR" w:eastAsia="hr-HR"/>
        </w:rPr>
        <w:t xml:space="preserve"> </w:t>
      </w:r>
      <w:r>
        <w:rPr>
          <w:bCs/>
          <w:lang w:val="hr-HR" w:eastAsia="hr-HR"/>
        </w:rPr>
        <w:t>акциони</w:t>
      </w:r>
      <w:r w:rsidR="00790E7E" w:rsidRPr="00506BB8">
        <w:rPr>
          <w:bCs/>
          <w:lang w:val="hr-HR" w:eastAsia="hr-HR"/>
        </w:rPr>
        <w:t xml:space="preserve"> </w:t>
      </w:r>
      <w:r>
        <w:rPr>
          <w:bCs/>
          <w:lang w:val="hr-HR" w:eastAsia="hr-HR"/>
        </w:rPr>
        <w:t>планови</w:t>
      </w:r>
      <w:r w:rsidR="00790E7E" w:rsidRPr="00506BB8">
        <w:rPr>
          <w:lang w:val="hr-HR" w:eastAsia="hr-HR"/>
        </w:rPr>
        <w:t xml:space="preserve">, </w:t>
      </w:r>
      <w:r>
        <w:rPr>
          <w:lang w:val="hr-HR" w:eastAsia="hr-HR"/>
        </w:rPr>
        <w:t>развијени</w:t>
      </w:r>
      <w:r w:rsidR="00790E7E" w:rsidRPr="00506BB8">
        <w:rPr>
          <w:lang w:val="hr-HR" w:eastAsia="hr-HR"/>
        </w:rPr>
        <w:t xml:space="preserve"> </w:t>
      </w:r>
      <w:r>
        <w:rPr>
          <w:lang w:val="hr-HR" w:eastAsia="hr-HR"/>
        </w:rPr>
        <w:t>у</w:t>
      </w:r>
      <w:r w:rsidR="00790E7E" w:rsidRPr="00506BB8">
        <w:rPr>
          <w:lang w:val="hr-HR" w:eastAsia="hr-HR"/>
        </w:rPr>
        <w:t xml:space="preserve"> </w:t>
      </w:r>
      <w:r>
        <w:rPr>
          <w:lang w:val="hr-HR" w:eastAsia="hr-HR"/>
        </w:rPr>
        <w:t>сарадњи</w:t>
      </w:r>
      <w:r w:rsidR="00690613">
        <w:rPr>
          <w:lang w:val="hr-HR" w:eastAsia="hr-HR"/>
        </w:rPr>
        <w:t xml:space="preserve"> </w:t>
      </w:r>
      <w:r>
        <w:rPr>
          <w:lang w:val="hr-HR" w:eastAsia="hr-HR"/>
        </w:rPr>
        <w:t>са</w:t>
      </w:r>
      <w:r w:rsidR="00790E7E" w:rsidRPr="00457F81">
        <w:rPr>
          <w:lang w:val="hr-HR" w:eastAsia="hr-HR"/>
        </w:rPr>
        <w:t xml:space="preserve"> </w:t>
      </w:r>
      <w:r>
        <w:rPr>
          <w:bCs/>
          <w:lang w:val="hr-HR" w:eastAsia="hr-HR"/>
        </w:rPr>
        <w:t>ГЦ</w:t>
      </w:r>
      <w:r w:rsidR="00690613">
        <w:rPr>
          <w:bCs/>
          <w:lang w:val="hr-HR" w:eastAsia="hr-HR"/>
        </w:rPr>
        <w:t xml:space="preserve"> </w:t>
      </w:r>
      <w:r>
        <w:rPr>
          <w:bCs/>
          <w:lang w:val="hr-HR" w:eastAsia="hr-HR"/>
        </w:rPr>
        <w:t>ФБиХ</w:t>
      </w:r>
      <w:r w:rsidR="00790E7E">
        <w:rPr>
          <w:bCs/>
          <w:lang w:val="hr-HR" w:eastAsia="hr-HR"/>
        </w:rPr>
        <w:t xml:space="preserve"> </w:t>
      </w:r>
      <w:r>
        <w:rPr>
          <w:bCs/>
          <w:lang w:val="hr-HR" w:eastAsia="hr-HR"/>
        </w:rPr>
        <w:t>и</w:t>
      </w:r>
      <w:r w:rsidR="00790E7E">
        <w:rPr>
          <w:bCs/>
          <w:lang w:val="hr-HR" w:eastAsia="hr-HR"/>
        </w:rPr>
        <w:t xml:space="preserve"> </w:t>
      </w:r>
      <w:r>
        <w:rPr>
          <w:bCs/>
          <w:lang w:val="hr-HR" w:eastAsia="hr-HR"/>
        </w:rPr>
        <w:t>ЦЈРП</w:t>
      </w:r>
      <w:r w:rsidR="00790E7E">
        <w:rPr>
          <w:bCs/>
          <w:lang w:val="hr-HR" w:eastAsia="hr-HR"/>
        </w:rPr>
        <w:t xml:space="preserve"> </w:t>
      </w:r>
      <w:r>
        <w:rPr>
          <w:bCs/>
          <w:lang w:val="hr-HR" w:eastAsia="hr-HR"/>
        </w:rPr>
        <w:t>РС</w:t>
      </w:r>
      <w:r w:rsidR="00790E7E" w:rsidRPr="00457F81">
        <w:rPr>
          <w:lang w:val="hr-HR" w:eastAsia="hr-HR"/>
        </w:rPr>
        <w:t xml:space="preserve">, </w:t>
      </w:r>
      <w:r>
        <w:rPr>
          <w:lang w:val="hr-HR" w:eastAsia="hr-HR"/>
        </w:rPr>
        <w:t>чиме</w:t>
      </w:r>
      <w:r w:rsidR="00790E7E" w:rsidRPr="00457F81">
        <w:rPr>
          <w:lang w:val="hr-HR" w:eastAsia="hr-HR"/>
        </w:rPr>
        <w:t xml:space="preserve"> </w:t>
      </w:r>
      <w:r>
        <w:rPr>
          <w:lang w:val="hr-HR" w:eastAsia="hr-HR"/>
        </w:rPr>
        <w:t>су</w:t>
      </w:r>
      <w:r w:rsidR="00790E7E" w:rsidRPr="00457F81">
        <w:rPr>
          <w:lang w:val="hr-HR" w:eastAsia="hr-HR"/>
        </w:rPr>
        <w:t xml:space="preserve"> </w:t>
      </w:r>
      <w:r>
        <w:rPr>
          <w:lang w:val="hr-HR" w:eastAsia="hr-HR"/>
        </w:rPr>
        <w:t>се</w:t>
      </w:r>
      <w:r w:rsidR="00790E7E" w:rsidRPr="00457F81">
        <w:rPr>
          <w:lang w:val="hr-HR" w:eastAsia="hr-HR"/>
        </w:rPr>
        <w:t xml:space="preserve"> </w:t>
      </w:r>
      <w:r>
        <w:rPr>
          <w:lang w:val="hr-HR" w:eastAsia="hr-HR"/>
        </w:rPr>
        <w:t>у</w:t>
      </w:r>
      <w:r w:rsidR="004F5B8C">
        <w:rPr>
          <w:lang w:val="hr-HR" w:eastAsia="hr-HR"/>
        </w:rPr>
        <w:t xml:space="preserve"> </w:t>
      </w:r>
      <w:r>
        <w:rPr>
          <w:lang w:val="hr-HR" w:eastAsia="hr-HR"/>
        </w:rPr>
        <w:t>буџетима</w:t>
      </w:r>
      <w:r w:rsidR="00790E7E" w:rsidRPr="00457F81">
        <w:rPr>
          <w:lang w:val="hr-HR" w:eastAsia="hr-HR"/>
        </w:rPr>
        <w:t xml:space="preserve"> </w:t>
      </w:r>
      <w:r>
        <w:rPr>
          <w:lang w:val="hr-HR" w:eastAsia="hr-HR"/>
        </w:rPr>
        <w:t>ЈЛС</w:t>
      </w:r>
      <w:r w:rsidR="00790E7E" w:rsidRPr="00457F81">
        <w:rPr>
          <w:lang w:val="hr-HR" w:eastAsia="hr-HR"/>
        </w:rPr>
        <w:t xml:space="preserve"> </w:t>
      </w:r>
      <w:r>
        <w:rPr>
          <w:lang w:val="hr-HR" w:eastAsia="hr-HR"/>
        </w:rPr>
        <w:t>први</w:t>
      </w:r>
      <w:r w:rsidR="00790E7E" w:rsidRPr="00457F81">
        <w:rPr>
          <w:lang w:val="hr-HR" w:eastAsia="hr-HR"/>
        </w:rPr>
        <w:t xml:space="preserve"> </w:t>
      </w:r>
      <w:r>
        <w:rPr>
          <w:lang w:val="hr-HR" w:eastAsia="hr-HR"/>
        </w:rPr>
        <w:t>пут</w:t>
      </w:r>
      <w:r w:rsidR="00790E7E" w:rsidRPr="00457F81">
        <w:rPr>
          <w:lang w:val="hr-HR" w:eastAsia="hr-HR"/>
        </w:rPr>
        <w:t xml:space="preserve"> </w:t>
      </w:r>
      <w:r>
        <w:rPr>
          <w:lang w:val="hr-HR" w:eastAsia="hr-HR"/>
        </w:rPr>
        <w:t>планирала</w:t>
      </w:r>
      <w:r w:rsidR="00790E7E" w:rsidRPr="00457F81">
        <w:rPr>
          <w:lang w:val="hr-HR" w:eastAsia="hr-HR"/>
        </w:rPr>
        <w:t xml:space="preserve"> </w:t>
      </w:r>
      <w:r>
        <w:rPr>
          <w:bCs/>
          <w:lang w:val="hr-HR" w:eastAsia="hr-HR"/>
        </w:rPr>
        <w:t>намјенска</w:t>
      </w:r>
      <w:r w:rsidR="00790E7E" w:rsidRPr="007821E7">
        <w:rPr>
          <w:bCs/>
          <w:lang w:val="hr-HR" w:eastAsia="hr-HR"/>
        </w:rPr>
        <w:t xml:space="preserve"> </w:t>
      </w:r>
      <w:r>
        <w:rPr>
          <w:bCs/>
          <w:lang w:val="hr-HR" w:eastAsia="hr-HR"/>
        </w:rPr>
        <w:t>средства</w:t>
      </w:r>
      <w:r w:rsidR="00790E7E" w:rsidRPr="00457F81">
        <w:rPr>
          <w:lang w:val="hr-HR" w:eastAsia="hr-HR"/>
        </w:rPr>
        <w:t xml:space="preserve"> </w:t>
      </w:r>
      <w:r>
        <w:rPr>
          <w:lang w:val="hr-HR" w:eastAsia="hr-HR"/>
        </w:rPr>
        <w:t>за</w:t>
      </w:r>
      <w:r w:rsidR="00790E7E" w:rsidRPr="00457F81">
        <w:rPr>
          <w:lang w:val="hr-HR" w:eastAsia="hr-HR"/>
        </w:rPr>
        <w:t xml:space="preserve"> </w:t>
      </w:r>
      <w:r>
        <w:rPr>
          <w:lang w:val="hr-HR" w:eastAsia="hr-HR"/>
        </w:rPr>
        <w:t>активности</w:t>
      </w:r>
      <w:r w:rsidR="00790E7E" w:rsidRPr="00457F81">
        <w:rPr>
          <w:lang w:val="hr-HR" w:eastAsia="hr-HR"/>
        </w:rPr>
        <w:t xml:space="preserve"> </w:t>
      </w:r>
      <w:r>
        <w:rPr>
          <w:lang w:val="hr-HR" w:eastAsia="hr-HR"/>
        </w:rPr>
        <w:t>које</w:t>
      </w:r>
      <w:r w:rsidR="00790E7E" w:rsidRPr="00457F81">
        <w:rPr>
          <w:lang w:val="hr-HR" w:eastAsia="hr-HR"/>
        </w:rPr>
        <w:t xml:space="preserve"> </w:t>
      </w:r>
      <w:r>
        <w:rPr>
          <w:lang w:val="hr-HR" w:eastAsia="hr-HR"/>
        </w:rPr>
        <w:t>доприносе</w:t>
      </w:r>
      <w:r w:rsidR="00790E7E" w:rsidRPr="00457F81">
        <w:rPr>
          <w:lang w:val="hr-HR" w:eastAsia="hr-HR"/>
        </w:rPr>
        <w:t xml:space="preserve"> </w:t>
      </w:r>
      <w:r>
        <w:rPr>
          <w:lang w:val="hr-HR" w:eastAsia="hr-HR"/>
        </w:rPr>
        <w:t>унапређењу</w:t>
      </w:r>
      <w:r w:rsidR="00790E7E" w:rsidRPr="00457F81">
        <w:rPr>
          <w:lang w:val="hr-HR" w:eastAsia="hr-HR"/>
        </w:rPr>
        <w:t xml:space="preserve"> </w:t>
      </w:r>
      <w:r>
        <w:rPr>
          <w:lang w:val="hr-HR" w:eastAsia="hr-HR"/>
        </w:rPr>
        <w:t>статуса</w:t>
      </w:r>
      <w:r w:rsidR="00790E7E" w:rsidRPr="00457F81">
        <w:rPr>
          <w:lang w:val="hr-HR" w:eastAsia="hr-HR"/>
        </w:rPr>
        <w:t xml:space="preserve"> </w:t>
      </w:r>
      <w:r>
        <w:rPr>
          <w:lang w:val="hr-HR" w:eastAsia="hr-HR"/>
        </w:rPr>
        <w:t>жена</w:t>
      </w:r>
      <w:r w:rsidR="00790E7E" w:rsidRPr="00457F81">
        <w:rPr>
          <w:lang w:val="hr-HR" w:eastAsia="hr-HR"/>
        </w:rPr>
        <w:t xml:space="preserve"> </w:t>
      </w:r>
      <w:r>
        <w:rPr>
          <w:lang w:val="hr-HR" w:eastAsia="hr-HR"/>
        </w:rPr>
        <w:t>и</w:t>
      </w:r>
      <w:r w:rsidR="00790E7E" w:rsidRPr="00457F81">
        <w:rPr>
          <w:lang w:val="hr-HR" w:eastAsia="hr-HR"/>
        </w:rPr>
        <w:t xml:space="preserve"> </w:t>
      </w:r>
      <w:r>
        <w:rPr>
          <w:lang w:val="hr-HR" w:eastAsia="hr-HR"/>
        </w:rPr>
        <w:t>дјевојчица</w:t>
      </w:r>
      <w:r w:rsidR="00790E7E" w:rsidRPr="00457F81">
        <w:rPr>
          <w:lang w:val="hr-HR" w:eastAsia="hr-HR"/>
        </w:rPr>
        <w:t>.</w:t>
      </w:r>
      <w:r w:rsidR="00D43B3F">
        <w:rPr>
          <w:lang w:val="hr-HR" w:eastAsia="hr-HR"/>
        </w:rPr>
        <w:t xml:space="preserve"> </w:t>
      </w:r>
      <w:r>
        <w:rPr>
          <w:lang w:val="hr-HR" w:eastAsia="hr-HR"/>
        </w:rPr>
        <w:t>Поред</w:t>
      </w:r>
      <w:r w:rsidR="00790E7E" w:rsidRPr="00457F81">
        <w:rPr>
          <w:lang w:val="hr-HR" w:eastAsia="hr-HR"/>
        </w:rPr>
        <w:t xml:space="preserve"> </w:t>
      </w:r>
      <w:r>
        <w:rPr>
          <w:lang w:val="hr-HR" w:eastAsia="hr-HR"/>
        </w:rPr>
        <w:t>тога</w:t>
      </w:r>
      <w:r w:rsidR="00790E7E" w:rsidRPr="00457F81">
        <w:rPr>
          <w:lang w:val="hr-HR" w:eastAsia="hr-HR"/>
        </w:rPr>
        <w:t xml:space="preserve">, </w:t>
      </w:r>
      <w:r>
        <w:rPr>
          <w:lang w:val="hr-HR" w:eastAsia="hr-HR"/>
        </w:rPr>
        <w:t>оп</w:t>
      </w:r>
      <w:r w:rsidR="00576B58">
        <w:rPr>
          <w:lang w:val="sr-Cyrl-BA" w:eastAsia="hr-HR"/>
        </w:rPr>
        <w:t>шт</w:t>
      </w:r>
      <w:r>
        <w:rPr>
          <w:lang w:val="hr-HR" w:eastAsia="hr-HR"/>
        </w:rPr>
        <w:t>ине</w:t>
      </w:r>
      <w:r w:rsidR="00790E7E" w:rsidRPr="00457F81">
        <w:rPr>
          <w:lang w:val="hr-HR" w:eastAsia="hr-HR"/>
        </w:rPr>
        <w:t xml:space="preserve"> </w:t>
      </w:r>
      <w:r>
        <w:rPr>
          <w:lang w:val="hr-HR" w:eastAsia="hr-HR"/>
        </w:rPr>
        <w:t>су</w:t>
      </w:r>
      <w:r w:rsidR="00790E7E" w:rsidRPr="00457F81">
        <w:rPr>
          <w:lang w:val="hr-HR" w:eastAsia="hr-HR"/>
        </w:rPr>
        <w:t xml:space="preserve"> </w:t>
      </w:r>
      <w:r>
        <w:rPr>
          <w:lang w:val="hr-HR" w:eastAsia="hr-HR"/>
        </w:rPr>
        <w:t>усвојиле</w:t>
      </w:r>
      <w:r w:rsidR="00790E7E" w:rsidRPr="00457F81">
        <w:rPr>
          <w:lang w:val="hr-HR" w:eastAsia="hr-HR"/>
        </w:rPr>
        <w:t xml:space="preserve"> </w:t>
      </w:r>
      <w:r>
        <w:rPr>
          <w:lang w:val="hr-HR" w:eastAsia="hr-HR"/>
        </w:rPr>
        <w:t>и</w:t>
      </w:r>
      <w:r w:rsidR="00790E7E" w:rsidRPr="00457F81">
        <w:rPr>
          <w:lang w:val="hr-HR" w:eastAsia="hr-HR"/>
        </w:rPr>
        <w:t xml:space="preserve"> </w:t>
      </w:r>
      <w:r>
        <w:rPr>
          <w:bCs/>
          <w:lang w:val="hr-HR" w:eastAsia="hr-HR"/>
        </w:rPr>
        <w:t>стратегије</w:t>
      </w:r>
      <w:r w:rsidR="00790E7E" w:rsidRPr="007821E7">
        <w:rPr>
          <w:bCs/>
          <w:lang w:val="hr-HR" w:eastAsia="hr-HR"/>
        </w:rPr>
        <w:t xml:space="preserve"> </w:t>
      </w:r>
      <w:r>
        <w:rPr>
          <w:bCs/>
          <w:lang w:val="hr-HR" w:eastAsia="hr-HR"/>
        </w:rPr>
        <w:t>за</w:t>
      </w:r>
      <w:r w:rsidR="00790E7E" w:rsidRPr="007821E7">
        <w:rPr>
          <w:bCs/>
          <w:lang w:val="hr-HR" w:eastAsia="hr-HR"/>
        </w:rPr>
        <w:t xml:space="preserve"> </w:t>
      </w:r>
      <w:r>
        <w:rPr>
          <w:bCs/>
          <w:lang w:val="hr-HR" w:eastAsia="hr-HR"/>
        </w:rPr>
        <w:t>младе</w:t>
      </w:r>
      <w:r w:rsidR="00790E7E">
        <w:rPr>
          <w:bCs/>
          <w:lang w:val="hr-HR" w:eastAsia="hr-HR"/>
        </w:rPr>
        <w:t xml:space="preserve"> </w:t>
      </w:r>
      <w:r>
        <w:rPr>
          <w:bCs/>
          <w:lang w:val="hr-HR" w:eastAsia="hr-HR"/>
        </w:rPr>
        <w:t>на</w:t>
      </w:r>
      <w:r w:rsidR="00790E7E">
        <w:rPr>
          <w:bCs/>
          <w:lang w:val="hr-HR" w:eastAsia="hr-HR"/>
        </w:rPr>
        <w:t xml:space="preserve"> </w:t>
      </w:r>
      <w:r>
        <w:rPr>
          <w:bCs/>
          <w:lang w:val="hr-HR" w:eastAsia="hr-HR"/>
        </w:rPr>
        <w:t>локалном</w:t>
      </w:r>
      <w:r w:rsidR="00790E7E">
        <w:rPr>
          <w:bCs/>
          <w:lang w:val="hr-HR" w:eastAsia="hr-HR"/>
        </w:rPr>
        <w:t xml:space="preserve"> </w:t>
      </w:r>
      <w:r>
        <w:rPr>
          <w:bCs/>
          <w:lang w:val="hr-HR" w:eastAsia="hr-HR"/>
        </w:rPr>
        <w:t>нивоу</w:t>
      </w:r>
      <w:r w:rsidR="00790E7E" w:rsidRPr="00457F81">
        <w:rPr>
          <w:lang w:val="hr-HR" w:eastAsia="hr-HR"/>
        </w:rPr>
        <w:t xml:space="preserve">, </w:t>
      </w:r>
      <w:r>
        <w:rPr>
          <w:lang w:val="hr-HR" w:eastAsia="hr-HR"/>
        </w:rPr>
        <w:t>чиме</w:t>
      </w:r>
      <w:r w:rsidR="00790E7E" w:rsidRPr="00457F81">
        <w:rPr>
          <w:lang w:val="hr-HR" w:eastAsia="hr-HR"/>
        </w:rPr>
        <w:t xml:space="preserve"> </w:t>
      </w:r>
      <w:r>
        <w:rPr>
          <w:lang w:val="hr-HR" w:eastAsia="hr-HR"/>
        </w:rPr>
        <w:t>је</w:t>
      </w:r>
      <w:r w:rsidR="00790E7E" w:rsidRPr="00457F81">
        <w:rPr>
          <w:lang w:val="hr-HR" w:eastAsia="hr-HR"/>
        </w:rPr>
        <w:t xml:space="preserve"> </w:t>
      </w:r>
      <w:r>
        <w:rPr>
          <w:lang w:val="hr-HR" w:eastAsia="hr-HR"/>
        </w:rPr>
        <w:t>индиректно</w:t>
      </w:r>
      <w:r w:rsidR="00790E7E" w:rsidRPr="00457F81">
        <w:rPr>
          <w:lang w:val="hr-HR" w:eastAsia="hr-HR"/>
        </w:rPr>
        <w:t xml:space="preserve"> </w:t>
      </w:r>
      <w:r>
        <w:rPr>
          <w:lang w:val="hr-HR" w:eastAsia="hr-HR"/>
        </w:rPr>
        <w:t>пружена</w:t>
      </w:r>
      <w:r w:rsidR="00790E7E" w:rsidRPr="00457F81">
        <w:rPr>
          <w:lang w:val="hr-HR" w:eastAsia="hr-HR"/>
        </w:rPr>
        <w:t xml:space="preserve"> </w:t>
      </w:r>
      <w:r>
        <w:rPr>
          <w:lang w:val="hr-HR" w:eastAsia="hr-HR"/>
        </w:rPr>
        <w:t>подршка</w:t>
      </w:r>
      <w:r w:rsidR="00790E7E" w:rsidRPr="00457F81">
        <w:rPr>
          <w:lang w:val="hr-HR" w:eastAsia="hr-HR"/>
        </w:rPr>
        <w:t xml:space="preserve"> </w:t>
      </w:r>
      <w:r>
        <w:rPr>
          <w:lang w:val="hr-HR" w:eastAsia="hr-HR"/>
        </w:rPr>
        <w:t>и</w:t>
      </w:r>
      <w:r w:rsidR="00790E7E" w:rsidRPr="00457F81">
        <w:rPr>
          <w:lang w:val="hr-HR" w:eastAsia="hr-HR"/>
        </w:rPr>
        <w:t xml:space="preserve"> </w:t>
      </w:r>
      <w:r>
        <w:rPr>
          <w:lang w:val="hr-HR" w:eastAsia="hr-HR"/>
        </w:rPr>
        <w:t>младим</w:t>
      </w:r>
      <w:r w:rsidR="00790E7E" w:rsidRPr="00457F81">
        <w:rPr>
          <w:lang w:val="hr-HR" w:eastAsia="hr-HR"/>
        </w:rPr>
        <w:t xml:space="preserve"> </w:t>
      </w:r>
      <w:r>
        <w:rPr>
          <w:lang w:val="hr-HR" w:eastAsia="hr-HR"/>
        </w:rPr>
        <w:t>женама</w:t>
      </w:r>
      <w:r w:rsidR="00790E7E" w:rsidRPr="00457F81">
        <w:rPr>
          <w:lang w:val="hr-HR" w:eastAsia="hr-HR"/>
        </w:rPr>
        <w:t xml:space="preserve">, </w:t>
      </w:r>
      <w:r>
        <w:rPr>
          <w:lang w:val="hr-HR" w:eastAsia="hr-HR"/>
        </w:rPr>
        <w:t>кроз</w:t>
      </w:r>
      <w:r w:rsidR="00790E7E" w:rsidRPr="00457F81">
        <w:rPr>
          <w:lang w:val="hr-HR" w:eastAsia="hr-HR"/>
        </w:rPr>
        <w:t xml:space="preserve"> </w:t>
      </w:r>
      <w:r>
        <w:rPr>
          <w:lang w:val="hr-HR" w:eastAsia="hr-HR"/>
        </w:rPr>
        <w:t>мјере</w:t>
      </w:r>
      <w:r w:rsidR="00790E7E" w:rsidRPr="00457F81">
        <w:rPr>
          <w:lang w:val="hr-HR" w:eastAsia="hr-HR"/>
        </w:rPr>
        <w:t xml:space="preserve"> </w:t>
      </w:r>
      <w:r>
        <w:rPr>
          <w:lang w:val="hr-HR" w:eastAsia="hr-HR"/>
        </w:rPr>
        <w:t>које</w:t>
      </w:r>
      <w:r w:rsidR="00790E7E" w:rsidRPr="00457F81">
        <w:rPr>
          <w:lang w:val="hr-HR" w:eastAsia="hr-HR"/>
        </w:rPr>
        <w:t xml:space="preserve"> </w:t>
      </w:r>
      <w:r>
        <w:rPr>
          <w:lang w:val="hr-HR" w:eastAsia="hr-HR"/>
        </w:rPr>
        <w:t>адресирају</w:t>
      </w:r>
      <w:r w:rsidR="00790E7E" w:rsidRPr="00457F81">
        <w:rPr>
          <w:lang w:val="hr-HR" w:eastAsia="hr-HR"/>
        </w:rPr>
        <w:t xml:space="preserve"> </w:t>
      </w:r>
      <w:r>
        <w:rPr>
          <w:lang w:val="hr-HR" w:eastAsia="hr-HR"/>
        </w:rPr>
        <w:t>њихове</w:t>
      </w:r>
      <w:r w:rsidR="00790E7E" w:rsidRPr="00457F81">
        <w:rPr>
          <w:lang w:val="hr-HR" w:eastAsia="hr-HR"/>
        </w:rPr>
        <w:t xml:space="preserve"> </w:t>
      </w:r>
      <w:r>
        <w:rPr>
          <w:lang w:val="hr-HR" w:eastAsia="hr-HR"/>
        </w:rPr>
        <w:t>специфичне</w:t>
      </w:r>
      <w:r w:rsidR="00790E7E" w:rsidRPr="00457F81">
        <w:rPr>
          <w:lang w:val="hr-HR" w:eastAsia="hr-HR"/>
        </w:rPr>
        <w:t xml:space="preserve"> </w:t>
      </w:r>
      <w:r>
        <w:rPr>
          <w:lang w:val="hr-HR" w:eastAsia="hr-HR"/>
        </w:rPr>
        <w:t>потребе</w:t>
      </w:r>
      <w:r w:rsidR="00790E7E" w:rsidRPr="00457F81">
        <w:rPr>
          <w:lang w:val="hr-HR" w:eastAsia="hr-HR"/>
        </w:rPr>
        <w:t xml:space="preserve"> </w:t>
      </w:r>
      <w:r>
        <w:rPr>
          <w:lang w:val="hr-HR" w:eastAsia="hr-HR"/>
        </w:rPr>
        <w:t>у</w:t>
      </w:r>
      <w:r w:rsidR="00790E7E" w:rsidRPr="00457F81">
        <w:rPr>
          <w:lang w:val="hr-HR" w:eastAsia="hr-HR"/>
        </w:rPr>
        <w:t xml:space="preserve"> </w:t>
      </w:r>
      <w:r>
        <w:rPr>
          <w:lang w:val="hr-HR" w:eastAsia="hr-HR"/>
        </w:rPr>
        <w:t>области</w:t>
      </w:r>
      <w:r w:rsidR="00790E7E" w:rsidRPr="00457F81">
        <w:rPr>
          <w:lang w:val="hr-HR" w:eastAsia="hr-HR"/>
        </w:rPr>
        <w:t xml:space="preserve"> </w:t>
      </w:r>
      <w:r>
        <w:rPr>
          <w:lang w:val="hr-HR" w:eastAsia="hr-HR"/>
        </w:rPr>
        <w:t>запошљавања</w:t>
      </w:r>
      <w:r w:rsidR="00790E7E" w:rsidRPr="00457F81">
        <w:rPr>
          <w:lang w:val="hr-HR" w:eastAsia="hr-HR"/>
        </w:rPr>
        <w:t xml:space="preserve">, </w:t>
      </w:r>
      <w:r>
        <w:rPr>
          <w:lang w:val="hr-HR" w:eastAsia="hr-HR"/>
        </w:rPr>
        <w:t>образовања</w:t>
      </w:r>
      <w:r w:rsidR="00790E7E" w:rsidRPr="00457F81">
        <w:rPr>
          <w:lang w:val="hr-HR" w:eastAsia="hr-HR"/>
        </w:rPr>
        <w:t xml:space="preserve">, </w:t>
      </w:r>
      <w:r>
        <w:rPr>
          <w:lang w:val="hr-HR" w:eastAsia="hr-HR"/>
        </w:rPr>
        <w:t>здравства</w:t>
      </w:r>
      <w:r w:rsidR="00790E7E" w:rsidRPr="00457F81">
        <w:rPr>
          <w:lang w:val="hr-HR" w:eastAsia="hr-HR"/>
        </w:rPr>
        <w:t xml:space="preserve"> </w:t>
      </w:r>
      <w:r>
        <w:rPr>
          <w:lang w:val="hr-HR" w:eastAsia="hr-HR"/>
        </w:rPr>
        <w:t>и</w:t>
      </w:r>
      <w:r w:rsidR="00790E7E" w:rsidRPr="00457F81">
        <w:rPr>
          <w:lang w:val="hr-HR" w:eastAsia="hr-HR"/>
        </w:rPr>
        <w:t xml:space="preserve"> </w:t>
      </w:r>
      <w:r>
        <w:rPr>
          <w:lang w:val="hr-HR" w:eastAsia="hr-HR"/>
        </w:rPr>
        <w:t>активног</w:t>
      </w:r>
      <w:r w:rsidR="00790E7E" w:rsidRPr="00457F81">
        <w:rPr>
          <w:lang w:val="hr-HR" w:eastAsia="hr-HR"/>
        </w:rPr>
        <w:t xml:space="preserve"> </w:t>
      </w:r>
      <w:r>
        <w:rPr>
          <w:lang w:val="hr-HR" w:eastAsia="hr-HR"/>
        </w:rPr>
        <w:t>учешћа</w:t>
      </w:r>
      <w:r w:rsidR="00506BB8">
        <w:rPr>
          <w:lang w:val="hr-HR" w:eastAsia="hr-HR"/>
        </w:rPr>
        <w:t xml:space="preserve"> </w:t>
      </w:r>
      <w:r>
        <w:rPr>
          <w:lang w:val="hr-HR" w:eastAsia="hr-HR"/>
        </w:rPr>
        <w:t>у</w:t>
      </w:r>
      <w:r w:rsidR="00506BB8">
        <w:rPr>
          <w:lang w:val="hr-HR" w:eastAsia="hr-HR"/>
        </w:rPr>
        <w:t xml:space="preserve"> </w:t>
      </w:r>
      <w:r>
        <w:rPr>
          <w:lang w:val="hr-HR" w:eastAsia="hr-HR"/>
        </w:rPr>
        <w:t>заједници</w:t>
      </w:r>
      <w:r w:rsidR="00506BB8">
        <w:rPr>
          <w:lang w:val="hr-HR" w:eastAsia="hr-HR"/>
        </w:rPr>
        <w:t xml:space="preserve">. </w:t>
      </w:r>
      <w:r>
        <w:rPr>
          <w:lang w:val="hr-HR" w:eastAsia="hr-HR"/>
        </w:rPr>
        <w:t>Пројекат</w:t>
      </w:r>
      <w:r w:rsidR="00790E7E" w:rsidRPr="00457F81">
        <w:rPr>
          <w:lang w:val="hr-HR" w:eastAsia="hr-HR"/>
        </w:rPr>
        <w:t xml:space="preserve"> </w:t>
      </w:r>
      <w:r>
        <w:rPr>
          <w:lang w:val="hr-HR" w:eastAsia="hr-HR"/>
        </w:rPr>
        <w:t>је</w:t>
      </w:r>
      <w:r w:rsidR="00790E7E" w:rsidRPr="00457F81">
        <w:rPr>
          <w:lang w:val="hr-HR" w:eastAsia="hr-HR"/>
        </w:rPr>
        <w:t xml:space="preserve"> </w:t>
      </w:r>
      <w:r>
        <w:rPr>
          <w:lang w:val="hr-HR" w:eastAsia="hr-HR"/>
        </w:rPr>
        <w:t>тиме</w:t>
      </w:r>
      <w:r w:rsidR="00790E7E" w:rsidRPr="00457F81">
        <w:rPr>
          <w:lang w:val="hr-HR" w:eastAsia="hr-HR"/>
        </w:rPr>
        <w:t xml:space="preserve"> </w:t>
      </w:r>
      <w:r>
        <w:rPr>
          <w:lang w:val="hr-HR" w:eastAsia="hr-HR"/>
        </w:rPr>
        <w:t>оснажио</w:t>
      </w:r>
      <w:r w:rsidR="00790E7E" w:rsidRPr="00457F81">
        <w:rPr>
          <w:lang w:val="hr-HR" w:eastAsia="hr-HR"/>
        </w:rPr>
        <w:t xml:space="preserve"> </w:t>
      </w:r>
      <w:r>
        <w:rPr>
          <w:lang w:val="hr-HR" w:eastAsia="hr-HR"/>
        </w:rPr>
        <w:t>капацитете</w:t>
      </w:r>
      <w:r w:rsidR="00790E7E" w:rsidRPr="00457F81">
        <w:rPr>
          <w:lang w:val="hr-HR" w:eastAsia="hr-HR"/>
        </w:rPr>
        <w:t xml:space="preserve"> </w:t>
      </w:r>
      <w:r>
        <w:rPr>
          <w:lang w:val="hr-HR" w:eastAsia="hr-HR"/>
        </w:rPr>
        <w:t>локалних</w:t>
      </w:r>
      <w:r w:rsidR="00790E7E" w:rsidRPr="00457F81">
        <w:rPr>
          <w:lang w:val="hr-HR" w:eastAsia="hr-HR"/>
        </w:rPr>
        <w:t xml:space="preserve"> </w:t>
      </w:r>
      <w:r>
        <w:rPr>
          <w:lang w:val="hr-HR" w:eastAsia="hr-HR"/>
        </w:rPr>
        <w:t>заједница</w:t>
      </w:r>
      <w:r w:rsidR="00790E7E" w:rsidRPr="00457F81">
        <w:rPr>
          <w:lang w:val="hr-HR" w:eastAsia="hr-HR"/>
        </w:rPr>
        <w:t xml:space="preserve"> </w:t>
      </w:r>
      <w:r>
        <w:rPr>
          <w:lang w:val="hr-HR" w:eastAsia="hr-HR"/>
        </w:rPr>
        <w:t>да</w:t>
      </w:r>
      <w:r w:rsidR="00790E7E" w:rsidRPr="00457F81">
        <w:rPr>
          <w:lang w:val="hr-HR" w:eastAsia="hr-HR"/>
        </w:rPr>
        <w:t xml:space="preserve"> </w:t>
      </w:r>
      <w:r>
        <w:rPr>
          <w:lang w:val="hr-HR" w:eastAsia="hr-HR"/>
        </w:rPr>
        <w:t>системски</w:t>
      </w:r>
      <w:r w:rsidR="00790E7E" w:rsidRPr="00457F81">
        <w:rPr>
          <w:lang w:val="hr-HR" w:eastAsia="hr-HR"/>
        </w:rPr>
        <w:t xml:space="preserve"> </w:t>
      </w:r>
      <w:r>
        <w:rPr>
          <w:lang w:val="hr-HR" w:eastAsia="hr-HR"/>
        </w:rPr>
        <w:t>приступе</w:t>
      </w:r>
      <w:r w:rsidR="00790E7E" w:rsidRPr="00457F81">
        <w:rPr>
          <w:lang w:val="hr-HR" w:eastAsia="hr-HR"/>
        </w:rPr>
        <w:t xml:space="preserve"> </w:t>
      </w:r>
      <w:r>
        <w:rPr>
          <w:lang w:val="hr-HR" w:eastAsia="hr-HR"/>
        </w:rPr>
        <w:t>родној</w:t>
      </w:r>
      <w:r w:rsidR="00790E7E" w:rsidRPr="00457F81">
        <w:rPr>
          <w:lang w:val="hr-HR" w:eastAsia="hr-HR"/>
        </w:rPr>
        <w:t xml:space="preserve"> </w:t>
      </w:r>
      <w:r>
        <w:rPr>
          <w:lang w:val="hr-HR" w:eastAsia="hr-HR"/>
        </w:rPr>
        <w:t>равноправности</w:t>
      </w:r>
      <w:r w:rsidR="00790E7E" w:rsidRPr="00457F81">
        <w:rPr>
          <w:lang w:val="hr-HR" w:eastAsia="hr-HR"/>
        </w:rPr>
        <w:t xml:space="preserve"> </w:t>
      </w:r>
      <w:r>
        <w:rPr>
          <w:lang w:val="hr-HR" w:eastAsia="hr-HR"/>
        </w:rPr>
        <w:t>и</w:t>
      </w:r>
      <w:r w:rsidR="00790E7E" w:rsidRPr="00457F81">
        <w:rPr>
          <w:lang w:val="hr-HR" w:eastAsia="hr-HR"/>
        </w:rPr>
        <w:t xml:space="preserve"> </w:t>
      </w:r>
      <w:r>
        <w:rPr>
          <w:lang w:val="hr-HR" w:eastAsia="hr-HR"/>
        </w:rPr>
        <w:t>инклузији</w:t>
      </w:r>
      <w:r w:rsidR="00790E7E" w:rsidRPr="00457F81">
        <w:rPr>
          <w:lang w:val="hr-HR" w:eastAsia="hr-HR"/>
        </w:rPr>
        <w:t xml:space="preserve">, </w:t>
      </w:r>
      <w:r>
        <w:rPr>
          <w:lang w:val="hr-HR" w:eastAsia="hr-HR"/>
        </w:rPr>
        <w:t>постављајући</w:t>
      </w:r>
      <w:r w:rsidR="00790E7E" w:rsidRPr="00457F81">
        <w:rPr>
          <w:lang w:val="hr-HR" w:eastAsia="hr-HR"/>
        </w:rPr>
        <w:t xml:space="preserve"> </w:t>
      </w:r>
      <w:r>
        <w:rPr>
          <w:lang w:val="hr-HR" w:eastAsia="hr-HR"/>
        </w:rPr>
        <w:t>основе</w:t>
      </w:r>
      <w:r w:rsidR="00790E7E" w:rsidRPr="00457F81">
        <w:rPr>
          <w:lang w:val="hr-HR" w:eastAsia="hr-HR"/>
        </w:rPr>
        <w:t xml:space="preserve"> </w:t>
      </w:r>
      <w:r>
        <w:rPr>
          <w:lang w:val="hr-HR" w:eastAsia="hr-HR"/>
        </w:rPr>
        <w:t>за</w:t>
      </w:r>
      <w:r w:rsidR="00790E7E" w:rsidRPr="00457F81">
        <w:rPr>
          <w:lang w:val="hr-HR" w:eastAsia="hr-HR"/>
        </w:rPr>
        <w:t xml:space="preserve"> </w:t>
      </w:r>
      <w:r>
        <w:rPr>
          <w:lang w:val="hr-HR" w:eastAsia="hr-HR"/>
        </w:rPr>
        <w:t>одрживе</w:t>
      </w:r>
      <w:r w:rsidR="00790E7E" w:rsidRPr="00457F81">
        <w:rPr>
          <w:lang w:val="hr-HR" w:eastAsia="hr-HR"/>
        </w:rPr>
        <w:t xml:space="preserve"> </w:t>
      </w:r>
      <w:r>
        <w:rPr>
          <w:lang w:val="hr-HR" w:eastAsia="hr-HR"/>
        </w:rPr>
        <w:t>промјене</w:t>
      </w:r>
      <w:r w:rsidR="00790E7E" w:rsidRPr="00457F81">
        <w:rPr>
          <w:lang w:val="hr-HR" w:eastAsia="hr-HR"/>
        </w:rPr>
        <w:t xml:space="preserve"> </w:t>
      </w:r>
      <w:r>
        <w:rPr>
          <w:lang w:val="hr-HR" w:eastAsia="hr-HR"/>
        </w:rPr>
        <w:t>у</w:t>
      </w:r>
      <w:r w:rsidR="00790E7E" w:rsidRPr="00457F81">
        <w:rPr>
          <w:lang w:val="hr-HR" w:eastAsia="hr-HR"/>
        </w:rPr>
        <w:t xml:space="preserve"> </w:t>
      </w:r>
      <w:r>
        <w:rPr>
          <w:lang w:val="hr-HR" w:eastAsia="hr-HR"/>
        </w:rPr>
        <w:t>јавним</w:t>
      </w:r>
      <w:r w:rsidR="00790E7E" w:rsidRPr="00457F81">
        <w:rPr>
          <w:lang w:val="hr-HR" w:eastAsia="hr-HR"/>
        </w:rPr>
        <w:t xml:space="preserve"> </w:t>
      </w:r>
      <w:r>
        <w:rPr>
          <w:lang w:val="hr-HR" w:eastAsia="hr-HR"/>
        </w:rPr>
        <w:t>политикама</w:t>
      </w:r>
      <w:r w:rsidR="00790E7E" w:rsidRPr="00457F81">
        <w:rPr>
          <w:lang w:val="hr-HR" w:eastAsia="hr-HR"/>
        </w:rPr>
        <w:t xml:space="preserve"> </w:t>
      </w:r>
      <w:r>
        <w:rPr>
          <w:lang w:val="hr-HR" w:eastAsia="hr-HR"/>
        </w:rPr>
        <w:t>на</w:t>
      </w:r>
      <w:r w:rsidR="00790E7E" w:rsidRPr="00457F81">
        <w:rPr>
          <w:lang w:val="hr-HR" w:eastAsia="hr-HR"/>
        </w:rPr>
        <w:t xml:space="preserve"> </w:t>
      </w:r>
      <w:r>
        <w:rPr>
          <w:lang w:val="hr-HR" w:eastAsia="hr-HR"/>
        </w:rPr>
        <w:t>локалном</w:t>
      </w:r>
      <w:r w:rsidR="00790E7E" w:rsidRPr="00457F81">
        <w:rPr>
          <w:lang w:val="hr-HR" w:eastAsia="hr-HR"/>
        </w:rPr>
        <w:t xml:space="preserve"> </w:t>
      </w:r>
      <w:r>
        <w:rPr>
          <w:lang w:val="hr-HR" w:eastAsia="hr-HR"/>
        </w:rPr>
        <w:t>нивоу</w:t>
      </w:r>
      <w:r w:rsidR="00790E7E" w:rsidRPr="00457F81">
        <w:rPr>
          <w:lang w:val="hr-HR" w:eastAsia="hr-HR"/>
        </w:rPr>
        <w:t>.</w:t>
      </w:r>
    </w:p>
    <w:p w:rsidR="00EC48AC" w:rsidRPr="00E325FD" w:rsidRDefault="00EC48AC" w:rsidP="0086268D">
      <w:pPr>
        <w:pStyle w:val="NormalWeb"/>
        <w:spacing w:before="0" w:beforeAutospacing="0" w:after="0" w:afterAutospacing="0"/>
        <w:jc w:val="both"/>
        <w:rPr>
          <w:lang w:val="hr-HR" w:eastAsia="hr-HR"/>
        </w:rPr>
      </w:pPr>
    </w:p>
    <w:p w:rsidR="00CE2EEA" w:rsidRPr="00295637" w:rsidRDefault="00C6214E" w:rsidP="0086268D">
      <w:pPr>
        <w:pStyle w:val="Normal1"/>
        <w:jc w:val="both"/>
        <w:rPr>
          <w:rFonts w:ascii="Times New Roman" w:hAnsi="Times New Roman"/>
        </w:rPr>
      </w:pPr>
      <w:r>
        <w:rPr>
          <w:rFonts w:ascii="Times New Roman" w:hAnsi="Times New Roman"/>
        </w:rPr>
        <w:t>АР</w:t>
      </w:r>
      <w:r w:rsidR="00576B58">
        <w:rPr>
          <w:rFonts w:ascii="Times New Roman" w:hAnsi="Times New Roman"/>
          <w:lang w:val="sr-Cyrl-BA"/>
        </w:rPr>
        <w:t>П</w:t>
      </w:r>
      <w:r w:rsidR="00506BB8">
        <w:rPr>
          <w:rFonts w:ascii="Times New Roman" w:hAnsi="Times New Roman"/>
        </w:rPr>
        <w:t xml:space="preserve"> </w:t>
      </w:r>
      <w:r>
        <w:rPr>
          <w:rFonts w:ascii="Times New Roman" w:hAnsi="Times New Roman"/>
        </w:rPr>
        <w:t>БиХ</w:t>
      </w:r>
      <w:r w:rsidR="00506BB8">
        <w:rPr>
          <w:rFonts w:ascii="Times New Roman" w:hAnsi="Times New Roman"/>
        </w:rPr>
        <w:t xml:space="preserve"> </w:t>
      </w:r>
      <w:r>
        <w:rPr>
          <w:rFonts w:ascii="Times New Roman" w:hAnsi="Times New Roman"/>
        </w:rPr>
        <w:t>МЉПИ</w:t>
      </w:r>
      <w:r w:rsidR="00506BB8">
        <w:rPr>
          <w:rFonts w:ascii="Times New Roman" w:hAnsi="Times New Roman"/>
        </w:rPr>
        <w:t xml:space="preserve"> </w:t>
      </w:r>
      <w:r>
        <w:rPr>
          <w:rFonts w:ascii="Times New Roman" w:hAnsi="Times New Roman"/>
        </w:rPr>
        <w:t>БиХ</w:t>
      </w:r>
      <w:r w:rsidR="009E54A2" w:rsidRPr="00295637">
        <w:rPr>
          <w:rFonts w:ascii="Times New Roman" w:hAnsi="Times New Roman"/>
        </w:rPr>
        <w:t xml:space="preserve"> </w:t>
      </w:r>
      <w:r>
        <w:rPr>
          <w:rFonts w:ascii="Times New Roman" w:hAnsi="Times New Roman"/>
        </w:rPr>
        <w:t>и</w:t>
      </w:r>
      <w:r w:rsidR="002203E5" w:rsidRPr="00295637">
        <w:rPr>
          <w:rFonts w:ascii="Times New Roman" w:hAnsi="Times New Roman"/>
        </w:rPr>
        <w:t xml:space="preserve"> </w:t>
      </w:r>
      <w:r>
        <w:rPr>
          <w:rFonts w:ascii="Times New Roman" w:hAnsi="Times New Roman"/>
        </w:rPr>
        <w:t>ГЦ</w:t>
      </w:r>
      <w:r w:rsidR="00506BB8">
        <w:rPr>
          <w:rFonts w:ascii="Times New Roman" w:hAnsi="Times New Roman"/>
        </w:rPr>
        <w:t xml:space="preserve"> </w:t>
      </w:r>
      <w:r>
        <w:rPr>
          <w:rFonts w:ascii="Times New Roman" w:hAnsi="Times New Roman"/>
        </w:rPr>
        <w:t>ФБиХ</w:t>
      </w:r>
      <w:r w:rsidR="00EB086C" w:rsidRPr="00295637">
        <w:rPr>
          <w:rFonts w:ascii="Times New Roman" w:hAnsi="Times New Roman"/>
        </w:rPr>
        <w:t xml:space="preserve"> </w:t>
      </w:r>
      <w:r>
        <w:rPr>
          <w:rFonts w:ascii="Times New Roman" w:hAnsi="Times New Roman"/>
        </w:rPr>
        <w:t>учествовали</w:t>
      </w:r>
      <w:r w:rsidR="00EB086C" w:rsidRPr="00295637">
        <w:rPr>
          <w:rFonts w:ascii="Times New Roman" w:hAnsi="Times New Roman"/>
        </w:rPr>
        <w:t xml:space="preserve"> </w:t>
      </w:r>
      <w:r>
        <w:rPr>
          <w:rFonts w:ascii="Times New Roman" w:hAnsi="Times New Roman"/>
        </w:rPr>
        <w:t>су</w:t>
      </w:r>
      <w:r w:rsidR="00506BB8" w:rsidRPr="00295637">
        <w:rPr>
          <w:rFonts w:ascii="Times New Roman" w:hAnsi="Times New Roman"/>
        </w:rPr>
        <w:t xml:space="preserve"> </w:t>
      </w:r>
      <w:r>
        <w:rPr>
          <w:rFonts w:ascii="Times New Roman" w:hAnsi="Times New Roman"/>
        </w:rPr>
        <w:t>у</w:t>
      </w:r>
      <w:r w:rsidR="00EB086C" w:rsidRPr="00295637">
        <w:rPr>
          <w:rFonts w:ascii="Times New Roman" w:hAnsi="Times New Roman"/>
        </w:rPr>
        <w:t xml:space="preserve"> </w:t>
      </w:r>
      <w:r>
        <w:rPr>
          <w:rFonts w:ascii="Times New Roman" w:hAnsi="Times New Roman"/>
        </w:rPr>
        <w:t>кампањи</w:t>
      </w:r>
      <w:r w:rsidR="00EB086C" w:rsidRPr="00295637">
        <w:rPr>
          <w:rFonts w:ascii="Times New Roman" w:hAnsi="Times New Roman"/>
        </w:rPr>
        <w:t xml:space="preserve"> </w:t>
      </w:r>
      <w:r w:rsidR="00576B58" w:rsidRPr="00576B58">
        <w:rPr>
          <w:rFonts w:ascii="Times New Roman" w:hAnsi="Times New Roman"/>
          <w:i/>
          <w:lang w:val="bs-Latn-BA"/>
        </w:rPr>
        <w:t xml:space="preserve">UN Women </w:t>
      </w:r>
      <w:r>
        <w:rPr>
          <w:rFonts w:ascii="Times New Roman" w:hAnsi="Times New Roman"/>
        </w:rPr>
        <w:t>у</w:t>
      </w:r>
      <w:r w:rsidR="00EB086C" w:rsidRPr="00295637">
        <w:rPr>
          <w:rFonts w:ascii="Times New Roman" w:hAnsi="Times New Roman"/>
        </w:rPr>
        <w:t xml:space="preserve"> </w:t>
      </w:r>
      <w:r>
        <w:rPr>
          <w:rFonts w:ascii="Times New Roman" w:hAnsi="Times New Roman"/>
        </w:rPr>
        <w:t>улози</w:t>
      </w:r>
      <w:r w:rsidR="00EB086C" w:rsidRPr="00295637">
        <w:rPr>
          <w:rFonts w:ascii="Times New Roman" w:hAnsi="Times New Roman"/>
        </w:rPr>
        <w:t xml:space="preserve"> </w:t>
      </w:r>
      <w:r>
        <w:rPr>
          <w:rFonts w:ascii="Times New Roman" w:hAnsi="Times New Roman"/>
        </w:rPr>
        <w:t>промотера</w:t>
      </w:r>
      <w:r w:rsidR="00506BB8">
        <w:rPr>
          <w:rFonts w:ascii="Times New Roman" w:hAnsi="Times New Roman"/>
        </w:rPr>
        <w:t xml:space="preserve"> </w:t>
      </w:r>
      <w:r>
        <w:rPr>
          <w:rFonts w:ascii="Times New Roman" w:hAnsi="Times New Roman"/>
        </w:rPr>
        <w:t>и</w:t>
      </w:r>
      <w:r w:rsidR="00506BB8">
        <w:rPr>
          <w:rFonts w:ascii="Times New Roman" w:hAnsi="Times New Roman"/>
        </w:rPr>
        <w:t xml:space="preserve"> </w:t>
      </w:r>
      <w:r>
        <w:rPr>
          <w:rFonts w:ascii="Times New Roman" w:hAnsi="Times New Roman"/>
        </w:rPr>
        <w:t>уводничара</w:t>
      </w:r>
      <w:r w:rsidR="00506BB8">
        <w:rPr>
          <w:rFonts w:ascii="Times New Roman" w:hAnsi="Times New Roman"/>
        </w:rPr>
        <w:t xml:space="preserve"> </w:t>
      </w:r>
      <w:r>
        <w:rPr>
          <w:rFonts w:ascii="Times New Roman" w:hAnsi="Times New Roman"/>
        </w:rPr>
        <w:t>на</w:t>
      </w:r>
      <w:r w:rsidR="00506BB8">
        <w:rPr>
          <w:rFonts w:ascii="Times New Roman" w:hAnsi="Times New Roman"/>
        </w:rPr>
        <w:t xml:space="preserve"> </w:t>
      </w:r>
      <w:r>
        <w:rPr>
          <w:rFonts w:ascii="Times New Roman" w:hAnsi="Times New Roman"/>
        </w:rPr>
        <w:t>панел</w:t>
      </w:r>
      <w:r w:rsidR="00EB086C" w:rsidRPr="00295637">
        <w:rPr>
          <w:rFonts w:ascii="Times New Roman" w:hAnsi="Times New Roman"/>
        </w:rPr>
        <w:t xml:space="preserve"> </w:t>
      </w:r>
      <w:r>
        <w:rPr>
          <w:rFonts w:ascii="Times New Roman" w:hAnsi="Times New Roman"/>
        </w:rPr>
        <w:t>дискусији</w:t>
      </w:r>
      <w:r w:rsidR="00EB086C" w:rsidRPr="00295637">
        <w:rPr>
          <w:rFonts w:ascii="Times New Roman" w:hAnsi="Times New Roman"/>
        </w:rPr>
        <w:t xml:space="preserve"> „</w:t>
      </w:r>
      <w:r>
        <w:rPr>
          <w:rFonts w:ascii="Times New Roman" w:hAnsi="Times New Roman"/>
          <w:bCs/>
        </w:rPr>
        <w:t>Различити</w:t>
      </w:r>
      <w:r w:rsidR="00EB086C" w:rsidRPr="00295637">
        <w:rPr>
          <w:rFonts w:ascii="Times New Roman" w:hAnsi="Times New Roman"/>
          <w:bCs/>
        </w:rPr>
        <w:t xml:space="preserve"> </w:t>
      </w:r>
      <w:r>
        <w:rPr>
          <w:rFonts w:ascii="Times New Roman" w:hAnsi="Times New Roman"/>
          <w:bCs/>
        </w:rPr>
        <w:t>облици</w:t>
      </w:r>
      <w:r w:rsidR="00EB086C" w:rsidRPr="00295637">
        <w:rPr>
          <w:rFonts w:ascii="Times New Roman" w:hAnsi="Times New Roman"/>
          <w:bCs/>
        </w:rPr>
        <w:t xml:space="preserve"> </w:t>
      </w:r>
      <w:r>
        <w:rPr>
          <w:rFonts w:ascii="Times New Roman" w:hAnsi="Times New Roman"/>
          <w:bCs/>
        </w:rPr>
        <w:t>насиља</w:t>
      </w:r>
      <w:r w:rsidR="00EB086C" w:rsidRPr="00295637">
        <w:rPr>
          <w:rFonts w:ascii="Times New Roman" w:hAnsi="Times New Roman"/>
          <w:bCs/>
        </w:rPr>
        <w:t xml:space="preserve">: </w:t>
      </w:r>
      <w:r>
        <w:rPr>
          <w:rFonts w:ascii="Times New Roman" w:hAnsi="Times New Roman"/>
          <w:bCs/>
        </w:rPr>
        <w:t>Од</w:t>
      </w:r>
      <w:r w:rsidR="00EB086C" w:rsidRPr="00295637">
        <w:rPr>
          <w:rFonts w:ascii="Times New Roman" w:hAnsi="Times New Roman"/>
          <w:bCs/>
        </w:rPr>
        <w:t xml:space="preserve"> </w:t>
      </w:r>
      <w:r>
        <w:rPr>
          <w:rFonts w:ascii="Times New Roman" w:hAnsi="Times New Roman"/>
          <w:bCs/>
        </w:rPr>
        <w:t>узнемиравања</w:t>
      </w:r>
      <w:r w:rsidR="00EB086C" w:rsidRPr="00295637">
        <w:rPr>
          <w:rFonts w:ascii="Times New Roman" w:hAnsi="Times New Roman"/>
          <w:bCs/>
        </w:rPr>
        <w:t xml:space="preserve"> </w:t>
      </w:r>
      <w:r>
        <w:rPr>
          <w:rFonts w:ascii="Times New Roman" w:hAnsi="Times New Roman"/>
          <w:bCs/>
        </w:rPr>
        <w:t>у</w:t>
      </w:r>
      <w:r w:rsidR="00EB086C" w:rsidRPr="00295637">
        <w:rPr>
          <w:rFonts w:ascii="Times New Roman" w:hAnsi="Times New Roman"/>
          <w:bCs/>
        </w:rPr>
        <w:t xml:space="preserve"> </w:t>
      </w:r>
      <w:r>
        <w:rPr>
          <w:rFonts w:ascii="Times New Roman" w:hAnsi="Times New Roman"/>
          <w:bCs/>
        </w:rPr>
        <w:t>јавном</w:t>
      </w:r>
      <w:r w:rsidR="00EB086C" w:rsidRPr="00295637">
        <w:rPr>
          <w:rFonts w:ascii="Times New Roman" w:hAnsi="Times New Roman"/>
          <w:bCs/>
        </w:rPr>
        <w:t xml:space="preserve"> </w:t>
      </w:r>
      <w:r>
        <w:rPr>
          <w:rFonts w:ascii="Times New Roman" w:hAnsi="Times New Roman"/>
          <w:bCs/>
        </w:rPr>
        <w:t>простору</w:t>
      </w:r>
      <w:r w:rsidR="00EB086C" w:rsidRPr="00295637">
        <w:rPr>
          <w:rFonts w:ascii="Times New Roman" w:hAnsi="Times New Roman"/>
          <w:bCs/>
        </w:rPr>
        <w:t xml:space="preserve"> </w:t>
      </w:r>
      <w:r>
        <w:rPr>
          <w:rFonts w:ascii="Times New Roman" w:hAnsi="Times New Roman"/>
          <w:bCs/>
        </w:rPr>
        <w:t>до</w:t>
      </w:r>
      <w:r w:rsidR="00EB086C" w:rsidRPr="00295637">
        <w:rPr>
          <w:rFonts w:ascii="Times New Roman" w:hAnsi="Times New Roman"/>
          <w:bCs/>
        </w:rPr>
        <w:t xml:space="preserve"> </w:t>
      </w:r>
      <w:r>
        <w:rPr>
          <w:rFonts w:ascii="Times New Roman" w:hAnsi="Times New Roman"/>
          <w:bCs/>
        </w:rPr>
        <w:t>фемицида</w:t>
      </w:r>
      <w:r w:rsidR="00EB086C" w:rsidRPr="00295637">
        <w:rPr>
          <w:rFonts w:ascii="Times New Roman" w:hAnsi="Times New Roman"/>
          <w:bCs/>
        </w:rPr>
        <w:t>“,</w:t>
      </w:r>
      <w:r w:rsidR="00EB086C" w:rsidRPr="00295637">
        <w:rPr>
          <w:rFonts w:ascii="Times New Roman" w:hAnsi="Times New Roman"/>
        </w:rPr>
        <w:t xml:space="preserve"> </w:t>
      </w:r>
      <w:r>
        <w:rPr>
          <w:rFonts w:ascii="Times New Roman" w:hAnsi="Times New Roman"/>
        </w:rPr>
        <w:t>под</w:t>
      </w:r>
      <w:r w:rsidR="00EB086C" w:rsidRPr="00295637">
        <w:rPr>
          <w:rFonts w:ascii="Times New Roman" w:hAnsi="Times New Roman"/>
        </w:rPr>
        <w:t xml:space="preserve"> </w:t>
      </w:r>
      <w:r>
        <w:rPr>
          <w:rFonts w:ascii="Times New Roman" w:hAnsi="Times New Roman"/>
        </w:rPr>
        <w:t>слоганом</w:t>
      </w:r>
      <w:r w:rsidR="00EB086C" w:rsidRPr="00295637">
        <w:rPr>
          <w:rFonts w:ascii="Times New Roman" w:hAnsi="Times New Roman"/>
        </w:rPr>
        <w:t xml:space="preserve"> „</w:t>
      </w:r>
      <w:r>
        <w:rPr>
          <w:rFonts w:ascii="Times New Roman" w:hAnsi="Times New Roman"/>
          <w:bCs/>
        </w:rPr>
        <w:t>Зауставимо</w:t>
      </w:r>
      <w:r w:rsidR="00EB086C" w:rsidRPr="00295637">
        <w:rPr>
          <w:rFonts w:ascii="Times New Roman" w:hAnsi="Times New Roman"/>
          <w:bCs/>
        </w:rPr>
        <w:t xml:space="preserve"> </w:t>
      </w:r>
      <w:r>
        <w:rPr>
          <w:rFonts w:ascii="Times New Roman" w:hAnsi="Times New Roman"/>
          <w:bCs/>
        </w:rPr>
        <w:t>фемицид</w:t>
      </w:r>
      <w:r w:rsidR="00EB086C" w:rsidRPr="00295637">
        <w:rPr>
          <w:rFonts w:ascii="Times New Roman" w:hAnsi="Times New Roman"/>
          <w:bCs/>
        </w:rPr>
        <w:t>“</w:t>
      </w:r>
      <w:r w:rsidR="002203E5" w:rsidRPr="00295637">
        <w:rPr>
          <w:rFonts w:ascii="Times New Roman" w:hAnsi="Times New Roman"/>
          <w:bCs/>
        </w:rPr>
        <w:t xml:space="preserve">. </w:t>
      </w:r>
      <w:r>
        <w:rPr>
          <w:rFonts w:ascii="Times New Roman" w:hAnsi="Times New Roman"/>
          <w:bCs/>
        </w:rPr>
        <w:t>ГЦ</w:t>
      </w:r>
      <w:r w:rsidR="00506BB8">
        <w:rPr>
          <w:rFonts w:ascii="Times New Roman" w:hAnsi="Times New Roman"/>
          <w:bCs/>
        </w:rPr>
        <w:t xml:space="preserve"> </w:t>
      </w:r>
      <w:r>
        <w:rPr>
          <w:rFonts w:ascii="Times New Roman" w:hAnsi="Times New Roman"/>
          <w:bCs/>
        </w:rPr>
        <w:t>ФБиХ</w:t>
      </w:r>
      <w:r w:rsidR="002203E5" w:rsidRPr="00295637">
        <w:rPr>
          <w:rFonts w:ascii="Times New Roman" w:hAnsi="Times New Roman"/>
          <w:bCs/>
        </w:rPr>
        <w:t xml:space="preserve"> </w:t>
      </w:r>
      <w:r>
        <w:rPr>
          <w:rFonts w:ascii="Times New Roman" w:hAnsi="Times New Roman"/>
          <w:bCs/>
        </w:rPr>
        <w:t>је</w:t>
      </w:r>
      <w:r w:rsidR="002203E5" w:rsidRPr="00295637">
        <w:rPr>
          <w:rFonts w:ascii="Times New Roman" w:hAnsi="Times New Roman"/>
          <w:bCs/>
        </w:rPr>
        <w:t xml:space="preserve"> </w:t>
      </w:r>
      <w:r>
        <w:rPr>
          <w:rFonts w:ascii="Times New Roman" w:hAnsi="Times New Roman"/>
        </w:rPr>
        <w:t>у</w:t>
      </w:r>
      <w:r w:rsidR="002203E5" w:rsidRPr="00295637">
        <w:rPr>
          <w:rFonts w:ascii="Times New Roman" w:hAnsi="Times New Roman"/>
        </w:rPr>
        <w:t xml:space="preserve"> </w:t>
      </w:r>
      <w:r>
        <w:rPr>
          <w:rFonts w:ascii="Times New Roman" w:hAnsi="Times New Roman"/>
        </w:rPr>
        <w:t>улози</w:t>
      </w:r>
      <w:r w:rsidR="002203E5" w:rsidRPr="00295637">
        <w:rPr>
          <w:rFonts w:ascii="Times New Roman" w:hAnsi="Times New Roman"/>
        </w:rPr>
        <w:t xml:space="preserve"> </w:t>
      </w:r>
      <w:r>
        <w:rPr>
          <w:rFonts w:ascii="Times New Roman" w:hAnsi="Times New Roman"/>
        </w:rPr>
        <w:t>промотера</w:t>
      </w:r>
      <w:r w:rsidR="002203E5" w:rsidRPr="00295637">
        <w:rPr>
          <w:rFonts w:ascii="Times New Roman" w:hAnsi="Times New Roman"/>
        </w:rPr>
        <w:t xml:space="preserve"> </w:t>
      </w:r>
      <w:r>
        <w:rPr>
          <w:rFonts w:ascii="Times New Roman" w:hAnsi="Times New Roman"/>
        </w:rPr>
        <w:t>и</w:t>
      </w:r>
      <w:r w:rsidR="002203E5" w:rsidRPr="00295637">
        <w:rPr>
          <w:rFonts w:ascii="Times New Roman" w:hAnsi="Times New Roman"/>
        </w:rPr>
        <w:t xml:space="preserve"> </w:t>
      </w:r>
      <w:r>
        <w:rPr>
          <w:rFonts w:ascii="Times New Roman" w:hAnsi="Times New Roman"/>
        </w:rPr>
        <w:t>уводничара</w:t>
      </w:r>
      <w:r w:rsidR="00EB086C" w:rsidRPr="00295637">
        <w:rPr>
          <w:rFonts w:ascii="Times New Roman" w:hAnsi="Times New Roman"/>
        </w:rPr>
        <w:t xml:space="preserve"> </w:t>
      </w:r>
      <w:r>
        <w:rPr>
          <w:rFonts w:ascii="Times New Roman" w:hAnsi="Times New Roman"/>
        </w:rPr>
        <w:t>учествовао</w:t>
      </w:r>
      <w:r w:rsidR="00C42B8F" w:rsidRPr="00295637">
        <w:rPr>
          <w:rFonts w:ascii="Times New Roman" w:hAnsi="Times New Roman"/>
        </w:rPr>
        <w:t xml:space="preserve"> </w:t>
      </w:r>
      <w:r>
        <w:rPr>
          <w:rFonts w:ascii="Times New Roman" w:hAnsi="Times New Roman"/>
        </w:rPr>
        <w:t>у</w:t>
      </w:r>
      <w:r w:rsidR="002203E5" w:rsidRPr="00295637">
        <w:rPr>
          <w:rFonts w:ascii="Times New Roman" w:hAnsi="Times New Roman"/>
        </w:rPr>
        <w:t xml:space="preserve"> </w:t>
      </w:r>
      <w:r>
        <w:rPr>
          <w:rFonts w:ascii="Times New Roman" w:hAnsi="Times New Roman"/>
        </w:rPr>
        <w:t>панел</w:t>
      </w:r>
      <w:r w:rsidR="00EB086C" w:rsidRPr="00295637">
        <w:rPr>
          <w:rFonts w:ascii="Times New Roman" w:hAnsi="Times New Roman"/>
        </w:rPr>
        <w:t xml:space="preserve"> </w:t>
      </w:r>
      <w:r>
        <w:rPr>
          <w:rFonts w:ascii="Times New Roman" w:hAnsi="Times New Roman"/>
        </w:rPr>
        <w:t>дискусији</w:t>
      </w:r>
      <w:r w:rsidR="00EB086C" w:rsidRPr="00295637">
        <w:rPr>
          <w:rFonts w:ascii="Times New Roman" w:hAnsi="Times New Roman"/>
        </w:rPr>
        <w:t xml:space="preserve"> </w:t>
      </w:r>
      <w:r w:rsidR="00EB086C" w:rsidRPr="00506BB8">
        <w:rPr>
          <w:rFonts w:ascii="Times New Roman" w:hAnsi="Times New Roman"/>
          <w:bCs/>
        </w:rPr>
        <w:t>„</w:t>
      </w:r>
      <w:r>
        <w:rPr>
          <w:rFonts w:ascii="Times New Roman" w:hAnsi="Times New Roman"/>
          <w:bCs/>
        </w:rPr>
        <w:t>Локални</w:t>
      </w:r>
      <w:r w:rsidR="00EB086C" w:rsidRPr="00295637">
        <w:rPr>
          <w:rFonts w:ascii="Times New Roman" w:hAnsi="Times New Roman"/>
          <w:bCs/>
        </w:rPr>
        <w:t xml:space="preserve"> </w:t>
      </w:r>
      <w:r>
        <w:rPr>
          <w:rFonts w:ascii="Times New Roman" w:hAnsi="Times New Roman"/>
          <w:bCs/>
        </w:rPr>
        <w:t>напори</w:t>
      </w:r>
      <w:r w:rsidR="00EB086C" w:rsidRPr="00295637">
        <w:rPr>
          <w:rFonts w:ascii="Times New Roman" w:hAnsi="Times New Roman"/>
          <w:bCs/>
        </w:rPr>
        <w:t xml:space="preserve"> </w:t>
      </w:r>
      <w:r>
        <w:rPr>
          <w:rFonts w:ascii="Times New Roman" w:hAnsi="Times New Roman"/>
          <w:bCs/>
        </w:rPr>
        <w:t>и</w:t>
      </w:r>
      <w:r w:rsidR="00EB086C" w:rsidRPr="00295637">
        <w:rPr>
          <w:rFonts w:ascii="Times New Roman" w:hAnsi="Times New Roman"/>
          <w:bCs/>
        </w:rPr>
        <w:t xml:space="preserve"> </w:t>
      </w:r>
      <w:r>
        <w:rPr>
          <w:rFonts w:ascii="Times New Roman" w:hAnsi="Times New Roman"/>
          <w:bCs/>
        </w:rPr>
        <w:t>међународна</w:t>
      </w:r>
      <w:r w:rsidR="00EB086C" w:rsidRPr="00295637">
        <w:rPr>
          <w:rFonts w:ascii="Times New Roman" w:hAnsi="Times New Roman"/>
          <w:bCs/>
        </w:rPr>
        <w:t xml:space="preserve"> </w:t>
      </w:r>
      <w:r>
        <w:rPr>
          <w:rFonts w:ascii="Times New Roman" w:hAnsi="Times New Roman"/>
          <w:bCs/>
        </w:rPr>
        <w:t>подршка</w:t>
      </w:r>
      <w:r w:rsidR="00EB086C" w:rsidRPr="00295637">
        <w:rPr>
          <w:rFonts w:ascii="Times New Roman" w:hAnsi="Times New Roman"/>
          <w:bCs/>
        </w:rPr>
        <w:t xml:space="preserve"> </w:t>
      </w:r>
      <w:r>
        <w:rPr>
          <w:rFonts w:ascii="Times New Roman" w:hAnsi="Times New Roman"/>
          <w:bCs/>
        </w:rPr>
        <w:t>у</w:t>
      </w:r>
      <w:r w:rsidR="00EB086C" w:rsidRPr="00295637">
        <w:rPr>
          <w:rFonts w:ascii="Times New Roman" w:hAnsi="Times New Roman"/>
          <w:bCs/>
        </w:rPr>
        <w:t xml:space="preserve"> </w:t>
      </w:r>
      <w:r>
        <w:rPr>
          <w:rFonts w:ascii="Times New Roman" w:hAnsi="Times New Roman"/>
          <w:bCs/>
        </w:rPr>
        <w:t>рјешавању</w:t>
      </w:r>
      <w:r w:rsidR="00EB086C" w:rsidRPr="00295637">
        <w:rPr>
          <w:rFonts w:ascii="Times New Roman" w:hAnsi="Times New Roman"/>
          <w:bCs/>
        </w:rPr>
        <w:t xml:space="preserve"> </w:t>
      </w:r>
      <w:r>
        <w:rPr>
          <w:rFonts w:ascii="Times New Roman" w:hAnsi="Times New Roman"/>
          <w:bCs/>
        </w:rPr>
        <w:t>родно</w:t>
      </w:r>
      <w:r w:rsidR="00EB086C" w:rsidRPr="00295637">
        <w:rPr>
          <w:rFonts w:ascii="Times New Roman" w:hAnsi="Times New Roman"/>
          <w:bCs/>
        </w:rPr>
        <w:t xml:space="preserve"> </w:t>
      </w:r>
      <w:r>
        <w:rPr>
          <w:rFonts w:ascii="Times New Roman" w:hAnsi="Times New Roman"/>
          <w:bCs/>
        </w:rPr>
        <w:t>заснованог</w:t>
      </w:r>
      <w:r w:rsidR="00EB086C" w:rsidRPr="00295637">
        <w:rPr>
          <w:rFonts w:ascii="Times New Roman" w:hAnsi="Times New Roman"/>
          <w:bCs/>
        </w:rPr>
        <w:t xml:space="preserve"> </w:t>
      </w:r>
      <w:r>
        <w:rPr>
          <w:rFonts w:ascii="Times New Roman" w:hAnsi="Times New Roman"/>
          <w:bCs/>
        </w:rPr>
        <w:t>насиља</w:t>
      </w:r>
      <w:r w:rsidR="00EB086C" w:rsidRPr="00295637">
        <w:rPr>
          <w:rFonts w:ascii="Times New Roman" w:hAnsi="Times New Roman"/>
          <w:bCs/>
        </w:rPr>
        <w:t xml:space="preserve"> </w:t>
      </w:r>
      <w:r>
        <w:rPr>
          <w:rFonts w:ascii="Times New Roman" w:hAnsi="Times New Roman"/>
          <w:bCs/>
        </w:rPr>
        <w:t>и</w:t>
      </w:r>
      <w:r w:rsidR="00EB086C" w:rsidRPr="00295637">
        <w:rPr>
          <w:rFonts w:ascii="Times New Roman" w:hAnsi="Times New Roman"/>
          <w:bCs/>
        </w:rPr>
        <w:t xml:space="preserve"> </w:t>
      </w:r>
      <w:r>
        <w:rPr>
          <w:rFonts w:ascii="Times New Roman" w:hAnsi="Times New Roman"/>
          <w:bCs/>
        </w:rPr>
        <w:t>фемицида</w:t>
      </w:r>
      <w:r w:rsidR="00EB086C" w:rsidRPr="00295637">
        <w:rPr>
          <w:rFonts w:ascii="Times New Roman" w:hAnsi="Times New Roman"/>
        </w:rPr>
        <w:t>“</w:t>
      </w:r>
      <w:r w:rsidR="002203E5" w:rsidRPr="00295637">
        <w:rPr>
          <w:rFonts w:ascii="Times New Roman" w:hAnsi="Times New Roman"/>
        </w:rPr>
        <w:t xml:space="preserve"> </w:t>
      </w:r>
      <w:r>
        <w:rPr>
          <w:rFonts w:ascii="Times New Roman" w:hAnsi="Times New Roman"/>
        </w:rPr>
        <w:t>у</w:t>
      </w:r>
      <w:r w:rsidR="00EB086C" w:rsidRPr="00295637">
        <w:rPr>
          <w:rFonts w:ascii="Times New Roman" w:hAnsi="Times New Roman"/>
        </w:rPr>
        <w:t xml:space="preserve"> </w:t>
      </w:r>
      <w:r>
        <w:rPr>
          <w:rFonts w:ascii="Times New Roman" w:hAnsi="Times New Roman"/>
        </w:rPr>
        <w:t>Босни</w:t>
      </w:r>
      <w:r w:rsidR="00EB086C" w:rsidRPr="00295637">
        <w:rPr>
          <w:rFonts w:ascii="Times New Roman" w:hAnsi="Times New Roman"/>
        </w:rPr>
        <w:t xml:space="preserve"> </w:t>
      </w:r>
      <w:r>
        <w:rPr>
          <w:rFonts w:ascii="Times New Roman" w:hAnsi="Times New Roman"/>
        </w:rPr>
        <w:t>и</w:t>
      </w:r>
      <w:r w:rsidR="00EB086C" w:rsidRPr="00295637">
        <w:rPr>
          <w:rFonts w:ascii="Times New Roman" w:hAnsi="Times New Roman"/>
        </w:rPr>
        <w:t xml:space="preserve"> </w:t>
      </w:r>
      <w:r>
        <w:rPr>
          <w:rFonts w:ascii="Times New Roman" w:hAnsi="Times New Roman"/>
        </w:rPr>
        <w:t>Херцеговини</w:t>
      </w:r>
      <w:r w:rsidR="00C42B8F" w:rsidRPr="00295637">
        <w:rPr>
          <w:rFonts w:ascii="Times New Roman" w:hAnsi="Times New Roman"/>
        </w:rPr>
        <w:t xml:space="preserve"> </w:t>
      </w:r>
      <w:r>
        <w:rPr>
          <w:rFonts w:ascii="Times New Roman" w:hAnsi="Times New Roman"/>
        </w:rPr>
        <w:t>коју</w:t>
      </w:r>
      <w:r w:rsidR="00EB086C" w:rsidRPr="00295637">
        <w:rPr>
          <w:rFonts w:ascii="Times New Roman" w:hAnsi="Times New Roman"/>
        </w:rPr>
        <w:t xml:space="preserve"> </w:t>
      </w:r>
      <w:r w:rsidR="00576B58">
        <w:rPr>
          <w:rFonts w:ascii="Times New Roman" w:hAnsi="Times New Roman"/>
          <w:lang w:val="sr-Cyrl-BA"/>
        </w:rPr>
        <w:t>спроводи</w:t>
      </w:r>
      <w:r w:rsidR="00EB086C" w:rsidRPr="00295637">
        <w:rPr>
          <w:rFonts w:ascii="Times New Roman" w:hAnsi="Times New Roman"/>
        </w:rPr>
        <w:t xml:space="preserve"> </w:t>
      </w:r>
      <w:r w:rsidR="00576B58" w:rsidRPr="00576B58">
        <w:rPr>
          <w:rFonts w:ascii="Times New Roman" w:hAnsi="Times New Roman"/>
          <w:i/>
          <w:lang w:val="bs-Latn-BA"/>
        </w:rPr>
        <w:t>UN Women</w:t>
      </w:r>
      <w:r w:rsidR="009E54A2" w:rsidRPr="004F5B8C">
        <w:rPr>
          <w:rFonts w:ascii="Times New Roman" w:hAnsi="Times New Roman"/>
          <w:i/>
        </w:rPr>
        <w:t xml:space="preserve"> </w:t>
      </w:r>
      <w:r w:rsidRPr="00576B58">
        <w:rPr>
          <w:rFonts w:ascii="Times New Roman" w:hAnsi="Times New Roman"/>
        </w:rPr>
        <w:t>БиХ</w:t>
      </w:r>
      <w:r w:rsidR="00EB086C" w:rsidRPr="00295637">
        <w:rPr>
          <w:rFonts w:ascii="Times New Roman" w:hAnsi="Times New Roman"/>
        </w:rPr>
        <w:t xml:space="preserve"> </w:t>
      </w:r>
      <w:r>
        <w:rPr>
          <w:rFonts w:ascii="Times New Roman" w:hAnsi="Times New Roman"/>
        </w:rPr>
        <w:t>у</w:t>
      </w:r>
      <w:r w:rsidR="00EB086C" w:rsidRPr="00295637">
        <w:rPr>
          <w:rFonts w:ascii="Times New Roman" w:hAnsi="Times New Roman"/>
        </w:rPr>
        <w:t xml:space="preserve"> </w:t>
      </w:r>
      <w:r>
        <w:rPr>
          <w:rFonts w:ascii="Times New Roman" w:hAnsi="Times New Roman"/>
        </w:rPr>
        <w:t>сарадњи</w:t>
      </w:r>
      <w:r w:rsidR="00506BB8">
        <w:rPr>
          <w:rFonts w:ascii="Times New Roman" w:hAnsi="Times New Roman"/>
        </w:rPr>
        <w:t xml:space="preserve"> </w:t>
      </w:r>
      <w:r>
        <w:rPr>
          <w:rFonts w:ascii="Times New Roman" w:hAnsi="Times New Roman"/>
        </w:rPr>
        <w:t>са</w:t>
      </w:r>
      <w:r w:rsidR="00EB086C" w:rsidRPr="00295637">
        <w:rPr>
          <w:rFonts w:ascii="Times New Roman" w:hAnsi="Times New Roman"/>
        </w:rPr>
        <w:t xml:space="preserve"> </w:t>
      </w:r>
      <w:r>
        <w:rPr>
          <w:rFonts w:ascii="Times New Roman" w:hAnsi="Times New Roman"/>
        </w:rPr>
        <w:t>ГЦ</w:t>
      </w:r>
      <w:r w:rsidR="00506BB8">
        <w:rPr>
          <w:rFonts w:ascii="Times New Roman" w:hAnsi="Times New Roman"/>
        </w:rPr>
        <w:t xml:space="preserve"> </w:t>
      </w:r>
      <w:r>
        <w:rPr>
          <w:rFonts w:ascii="Times New Roman" w:hAnsi="Times New Roman"/>
        </w:rPr>
        <w:t>ФБиХ</w:t>
      </w:r>
      <w:r w:rsidR="00EB086C" w:rsidRPr="00295637">
        <w:rPr>
          <w:rFonts w:ascii="Times New Roman" w:hAnsi="Times New Roman"/>
        </w:rPr>
        <w:t xml:space="preserve">. </w:t>
      </w:r>
      <w:r w:rsidR="00AB4631" w:rsidRPr="00295637">
        <w:rPr>
          <w:rFonts w:ascii="Times New Roman" w:hAnsi="Times New Roman"/>
        </w:rPr>
        <w:t xml:space="preserve"> </w:t>
      </w:r>
    </w:p>
    <w:p w:rsidR="00CE2EEA" w:rsidRPr="00295637" w:rsidRDefault="00CE2EEA" w:rsidP="0086268D">
      <w:pPr>
        <w:pStyle w:val="Normal1"/>
        <w:jc w:val="both"/>
        <w:rPr>
          <w:rFonts w:ascii="Times New Roman" w:hAnsi="Times New Roman"/>
        </w:rPr>
      </w:pPr>
    </w:p>
    <w:p w:rsidR="00085379" w:rsidRPr="00295637" w:rsidRDefault="00576B58" w:rsidP="0086268D">
      <w:pPr>
        <w:pStyle w:val="Normal1"/>
        <w:jc w:val="both"/>
        <w:rPr>
          <w:rFonts w:ascii="Times New Roman" w:hAnsi="Times New Roman"/>
        </w:rPr>
      </w:pPr>
      <w:r>
        <w:rPr>
          <w:rFonts w:ascii="Times New Roman" w:hAnsi="Times New Roman"/>
        </w:rPr>
        <w:t>Такође</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6214E">
        <w:rPr>
          <w:rFonts w:ascii="Times New Roman" w:hAnsi="Times New Roman"/>
        </w:rPr>
        <w:t>улози</w:t>
      </w:r>
      <w:r w:rsidR="00EB086C" w:rsidRPr="00295637">
        <w:rPr>
          <w:rFonts w:ascii="Times New Roman" w:hAnsi="Times New Roman"/>
        </w:rPr>
        <w:t xml:space="preserve"> </w:t>
      </w:r>
      <w:r w:rsidR="00C6214E">
        <w:rPr>
          <w:rFonts w:ascii="Times New Roman" w:hAnsi="Times New Roman"/>
        </w:rPr>
        <w:t>панелиста</w:t>
      </w:r>
      <w:r w:rsidR="00CE2EEA" w:rsidRPr="00295637">
        <w:rPr>
          <w:rFonts w:ascii="Times New Roman" w:hAnsi="Times New Roman"/>
        </w:rPr>
        <w:t xml:space="preserve"> </w:t>
      </w:r>
      <w:r w:rsidR="00C6214E">
        <w:rPr>
          <w:rFonts w:ascii="Times New Roman" w:hAnsi="Times New Roman"/>
        </w:rPr>
        <w:t>или</w:t>
      </w:r>
      <w:r w:rsidR="00CE2EEA" w:rsidRPr="00295637">
        <w:rPr>
          <w:rFonts w:ascii="Times New Roman" w:hAnsi="Times New Roman"/>
        </w:rPr>
        <w:t xml:space="preserve"> </w:t>
      </w:r>
      <w:r w:rsidR="00C6214E">
        <w:rPr>
          <w:rFonts w:ascii="Times New Roman" w:hAnsi="Times New Roman"/>
        </w:rPr>
        <w:t>уводничара</w:t>
      </w:r>
      <w:r w:rsidR="00CE2EEA" w:rsidRPr="00295637">
        <w:rPr>
          <w:rFonts w:ascii="Times New Roman" w:hAnsi="Times New Roman"/>
        </w:rPr>
        <w:t xml:space="preserve"> </w:t>
      </w:r>
      <w:r w:rsidR="00C6214E">
        <w:rPr>
          <w:rFonts w:ascii="Times New Roman" w:hAnsi="Times New Roman"/>
        </w:rPr>
        <w:t>ГЦ</w:t>
      </w:r>
      <w:r w:rsidR="00506BB8">
        <w:rPr>
          <w:rFonts w:ascii="Times New Roman" w:hAnsi="Times New Roman"/>
        </w:rPr>
        <w:t xml:space="preserve"> </w:t>
      </w:r>
      <w:r w:rsidR="00C6214E">
        <w:rPr>
          <w:rFonts w:ascii="Times New Roman" w:hAnsi="Times New Roman"/>
        </w:rPr>
        <w:t>ФБиХ</w:t>
      </w:r>
      <w:r w:rsidR="00CE2EEA" w:rsidRPr="00295637">
        <w:rPr>
          <w:rFonts w:ascii="Times New Roman" w:hAnsi="Times New Roman"/>
        </w:rPr>
        <w:t xml:space="preserve"> </w:t>
      </w:r>
      <w:r w:rsidR="00C6214E">
        <w:rPr>
          <w:rFonts w:ascii="Times New Roman" w:hAnsi="Times New Roman"/>
        </w:rPr>
        <w:t>учествовао</w:t>
      </w:r>
      <w:r w:rsidR="00EB086C" w:rsidRPr="00295637">
        <w:rPr>
          <w:rFonts w:ascii="Times New Roman" w:hAnsi="Times New Roman"/>
        </w:rPr>
        <w:t xml:space="preserve"> </w:t>
      </w:r>
      <w:r w:rsidR="00C6214E">
        <w:rPr>
          <w:rFonts w:ascii="Times New Roman" w:hAnsi="Times New Roman"/>
        </w:rPr>
        <w:t>је</w:t>
      </w:r>
      <w:r w:rsidR="00506BB8" w:rsidRPr="00295637">
        <w:rPr>
          <w:rFonts w:ascii="Times New Roman" w:hAnsi="Times New Roman"/>
        </w:rPr>
        <w:t xml:space="preserve"> </w:t>
      </w:r>
      <w:r w:rsidR="00C6214E">
        <w:rPr>
          <w:rFonts w:ascii="Times New Roman" w:hAnsi="Times New Roman"/>
        </w:rPr>
        <w:t>на</w:t>
      </w:r>
      <w:r w:rsidR="00EB086C" w:rsidRPr="00295637">
        <w:rPr>
          <w:rFonts w:ascii="Times New Roman" w:hAnsi="Times New Roman"/>
        </w:rPr>
        <w:t xml:space="preserve"> </w:t>
      </w:r>
      <w:r w:rsidR="00C6214E">
        <w:rPr>
          <w:rFonts w:ascii="Times New Roman" w:hAnsi="Times New Roman"/>
        </w:rPr>
        <w:t>различитим</w:t>
      </w:r>
      <w:r w:rsidR="00EB086C" w:rsidRPr="00295637">
        <w:rPr>
          <w:rFonts w:ascii="Times New Roman" w:hAnsi="Times New Roman"/>
        </w:rPr>
        <w:t xml:space="preserve"> </w:t>
      </w:r>
      <w:r w:rsidR="00C6214E">
        <w:rPr>
          <w:rFonts w:ascii="Times New Roman" w:hAnsi="Times New Roman"/>
        </w:rPr>
        <w:t>догађајима</w:t>
      </w:r>
      <w:r w:rsidR="00EB086C" w:rsidRPr="00295637">
        <w:rPr>
          <w:rFonts w:ascii="Times New Roman" w:hAnsi="Times New Roman"/>
        </w:rPr>
        <w:t xml:space="preserve"> </w:t>
      </w:r>
      <w:r w:rsidR="00C6214E">
        <w:rPr>
          <w:rFonts w:ascii="Times New Roman" w:hAnsi="Times New Roman"/>
        </w:rPr>
        <w:t>на</w:t>
      </w:r>
      <w:r w:rsidR="00EB086C" w:rsidRPr="00295637">
        <w:rPr>
          <w:rFonts w:ascii="Times New Roman" w:hAnsi="Times New Roman"/>
        </w:rPr>
        <w:t xml:space="preserve"> </w:t>
      </w:r>
      <w:r w:rsidR="00C6214E">
        <w:rPr>
          <w:rFonts w:ascii="Times New Roman" w:hAnsi="Times New Roman"/>
        </w:rPr>
        <w:t>тему</w:t>
      </w:r>
      <w:r w:rsidR="00EB086C" w:rsidRPr="00295637">
        <w:rPr>
          <w:rFonts w:ascii="Times New Roman" w:hAnsi="Times New Roman"/>
        </w:rPr>
        <w:t xml:space="preserve"> </w:t>
      </w:r>
      <w:r w:rsidR="00C6214E">
        <w:rPr>
          <w:rFonts w:ascii="Times New Roman" w:hAnsi="Times New Roman"/>
        </w:rPr>
        <w:t>институционалног</w:t>
      </w:r>
      <w:r w:rsidR="00EB086C" w:rsidRPr="00295637">
        <w:rPr>
          <w:rFonts w:ascii="Times New Roman" w:hAnsi="Times New Roman"/>
        </w:rPr>
        <w:t xml:space="preserve"> </w:t>
      </w:r>
      <w:r w:rsidR="00C6214E">
        <w:rPr>
          <w:rFonts w:ascii="Times New Roman" w:hAnsi="Times New Roman"/>
        </w:rPr>
        <w:t>одговора</w:t>
      </w:r>
      <w:r w:rsidR="00EB086C" w:rsidRPr="00295637">
        <w:rPr>
          <w:rFonts w:ascii="Times New Roman" w:hAnsi="Times New Roman"/>
        </w:rPr>
        <w:t xml:space="preserve"> </w:t>
      </w:r>
      <w:r w:rsidR="00C6214E">
        <w:rPr>
          <w:rFonts w:ascii="Times New Roman" w:hAnsi="Times New Roman"/>
        </w:rPr>
        <w:t>на</w:t>
      </w:r>
      <w:r w:rsidR="00EB086C" w:rsidRPr="00295637">
        <w:rPr>
          <w:rFonts w:ascii="Times New Roman" w:hAnsi="Times New Roman"/>
        </w:rPr>
        <w:t xml:space="preserve"> </w:t>
      </w:r>
      <w:r w:rsidR="00C6214E">
        <w:rPr>
          <w:rFonts w:ascii="Times New Roman" w:hAnsi="Times New Roman"/>
        </w:rPr>
        <w:t>насиље</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6214E">
        <w:rPr>
          <w:rFonts w:ascii="Times New Roman" w:hAnsi="Times New Roman"/>
        </w:rPr>
        <w:t>породици</w:t>
      </w:r>
      <w:r w:rsidR="00EB086C" w:rsidRPr="00295637">
        <w:rPr>
          <w:rFonts w:ascii="Times New Roman" w:hAnsi="Times New Roman"/>
        </w:rPr>
        <w:t xml:space="preserve"> </w:t>
      </w:r>
      <w:r w:rsidR="00C6214E">
        <w:rPr>
          <w:rFonts w:ascii="Times New Roman" w:hAnsi="Times New Roman"/>
        </w:rPr>
        <w:t>и</w:t>
      </w:r>
      <w:r w:rsidR="00EB086C" w:rsidRPr="00295637">
        <w:rPr>
          <w:rFonts w:ascii="Times New Roman" w:hAnsi="Times New Roman"/>
        </w:rPr>
        <w:t xml:space="preserve"> </w:t>
      </w:r>
      <w:r w:rsidR="00C6214E">
        <w:rPr>
          <w:rFonts w:ascii="Times New Roman" w:hAnsi="Times New Roman"/>
        </w:rPr>
        <w:t>родно</w:t>
      </w:r>
      <w:r w:rsidR="00EB086C" w:rsidRPr="00295637">
        <w:rPr>
          <w:rFonts w:ascii="Times New Roman" w:hAnsi="Times New Roman"/>
        </w:rPr>
        <w:t xml:space="preserve"> </w:t>
      </w:r>
      <w:r w:rsidR="00C6214E">
        <w:rPr>
          <w:rFonts w:ascii="Times New Roman" w:hAnsi="Times New Roman"/>
        </w:rPr>
        <w:t>заснов</w:t>
      </w:r>
      <w:r w:rsidR="00485AB7">
        <w:rPr>
          <w:rFonts w:ascii="Times New Roman" w:hAnsi="Times New Roman"/>
          <w:lang w:val="bs-Cyrl-BA"/>
        </w:rPr>
        <w:t>а</w:t>
      </w:r>
      <w:r w:rsidR="00C6214E">
        <w:rPr>
          <w:rFonts w:ascii="Times New Roman" w:hAnsi="Times New Roman"/>
        </w:rPr>
        <w:t>но</w:t>
      </w:r>
      <w:r w:rsidR="00EB086C" w:rsidRPr="00295637">
        <w:rPr>
          <w:rFonts w:ascii="Times New Roman" w:hAnsi="Times New Roman"/>
        </w:rPr>
        <w:t xml:space="preserve"> </w:t>
      </w:r>
      <w:r w:rsidR="00C6214E">
        <w:rPr>
          <w:rFonts w:ascii="Times New Roman" w:hAnsi="Times New Roman"/>
        </w:rPr>
        <w:t>насиље</w:t>
      </w:r>
      <w:r w:rsidR="00EB086C" w:rsidRPr="00295637">
        <w:rPr>
          <w:rFonts w:ascii="Times New Roman" w:hAnsi="Times New Roman"/>
        </w:rPr>
        <w:t xml:space="preserve"> </w:t>
      </w:r>
      <w:r w:rsidR="00C6214E">
        <w:rPr>
          <w:rFonts w:ascii="Times New Roman" w:hAnsi="Times New Roman"/>
        </w:rPr>
        <w:t>на</w:t>
      </w:r>
      <w:r w:rsidR="00506BB8">
        <w:rPr>
          <w:rFonts w:ascii="Times New Roman" w:hAnsi="Times New Roman"/>
        </w:rPr>
        <w:t xml:space="preserve"> </w:t>
      </w:r>
      <w:r w:rsidR="00C6214E">
        <w:rPr>
          <w:rFonts w:ascii="Times New Roman" w:hAnsi="Times New Roman"/>
        </w:rPr>
        <w:t>интернационалној</w:t>
      </w:r>
      <w:r w:rsidR="00506BB8">
        <w:rPr>
          <w:rFonts w:ascii="Times New Roman" w:hAnsi="Times New Roman"/>
        </w:rPr>
        <w:t xml:space="preserve"> </w:t>
      </w:r>
      <w:r w:rsidR="00C6214E">
        <w:rPr>
          <w:rFonts w:ascii="Times New Roman" w:hAnsi="Times New Roman"/>
        </w:rPr>
        <w:t>конференцији</w:t>
      </w:r>
      <w:r w:rsidR="00506BB8">
        <w:rPr>
          <w:rFonts w:ascii="Times New Roman" w:hAnsi="Times New Roman"/>
        </w:rPr>
        <w:t xml:space="preserve"> „</w:t>
      </w:r>
      <w:r w:rsidR="00C6214E">
        <w:rPr>
          <w:rFonts w:ascii="Times New Roman" w:hAnsi="Times New Roman"/>
        </w:rPr>
        <w:t>Стоп</w:t>
      </w:r>
      <w:r w:rsidR="00EB086C" w:rsidRPr="00295637">
        <w:rPr>
          <w:rFonts w:ascii="Times New Roman" w:hAnsi="Times New Roman"/>
        </w:rPr>
        <w:t xml:space="preserve"> </w:t>
      </w:r>
      <w:r w:rsidR="00C6214E">
        <w:rPr>
          <w:rFonts w:ascii="Times New Roman" w:hAnsi="Times New Roman"/>
        </w:rPr>
        <w:t>фемициду</w:t>
      </w:r>
      <w:r w:rsidR="00EB086C" w:rsidRPr="00295637">
        <w:rPr>
          <w:rFonts w:ascii="Times New Roman" w:hAnsi="Times New Roman"/>
        </w:rPr>
        <w:t xml:space="preserve">” </w:t>
      </w:r>
      <w:r w:rsidR="00C6214E">
        <w:rPr>
          <w:rFonts w:ascii="Times New Roman" w:hAnsi="Times New Roman"/>
        </w:rPr>
        <w:t>која</w:t>
      </w:r>
      <w:r w:rsidR="00EB086C" w:rsidRPr="00295637">
        <w:rPr>
          <w:rFonts w:ascii="Times New Roman" w:hAnsi="Times New Roman"/>
        </w:rPr>
        <w:t xml:space="preserve"> </w:t>
      </w:r>
      <w:r w:rsidR="00C6214E">
        <w:rPr>
          <w:rFonts w:ascii="Times New Roman" w:hAnsi="Times New Roman"/>
        </w:rPr>
        <w:t>је</w:t>
      </w:r>
      <w:r w:rsidR="00EB086C" w:rsidRPr="00295637">
        <w:rPr>
          <w:rFonts w:ascii="Times New Roman" w:hAnsi="Times New Roman"/>
        </w:rPr>
        <w:t xml:space="preserve"> </w:t>
      </w:r>
      <w:r w:rsidR="00C6214E">
        <w:rPr>
          <w:rFonts w:ascii="Times New Roman" w:hAnsi="Times New Roman"/>
        </w:rPr>
        <w:t>одржана</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6214E">
        <w:rPr>
          <w:rFonts w:ascii="Times New Roman" w:hAnsi="Times New Roman"/>
        </w:rPr>
        <w:t>Београду</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6214E">
        <w:rPr>
          <w:rFonts w:ascii="Times New Roman" w:hAnsi="Times New Roman"/>
        </w:rPr>
        <w:t>организацији</w:t>
      </w:r>
      <w:r w:rsidR="00EB086C" w:rsidRPr="00295637">
        <w:rPr>
          <w:rFonts w:ascii="Times New Roman" w:hAnsi="Times New Roman"/>
        </w:rPr>
        <w:t xml:space="preserve"> </w:t>
      </w:r>
      <w:r w:rsidR="00C6214E">
        <w:rPr>
          <w:rFonts w:ascii="Times New Roman" w:hAnsi="Times New Roman"/>
        </w:rPr>
        <w:t>Министарства</w:t>
      </w:r>
      <w:r w:rsidR="00EB086C" w:rsidRPr="00295637">
        <w:rPr>
          <w:rFonts w:ascii="Times New Roman" w:hAnsi="Times New Roman"/>
        </w:rPr>
        <w:t xml:space="preserve"> </w:t>
      </w:r>
      <w:r w:rsidR="00C6214E">
        <w:rPr>
          <w:rFonts w:ascii="Times New Roman" w:hAnsi="Times New Roman"/>
        </w:rPr>
        <w:t>за</w:t>
      </w:r>
      <w:r w:rsidR="00EB086C" w:rsidRPr="00295637">
        <w:rPr>
          <w:rFonts w:ascii="Times New Roman" w:hAnsi="Times New Roman"/>
        </w:rPr>
        <w:t xml:space="preserve"> </w:t>
      </w:r>
      <w:r w:rsidR="00C6214E">
        <w:rPr>
          <w:rFonts w:ascii="Times New Roman" w:hAnsi="Times New Roman"/>
        </w:rPr>
        <w:t>људска</w:t>
      </w:r>
      <w:r w:rsidR="00506BB8">
        <w:rPr>
          <w:rFonts w:ascii="Times New Roman" w:hAnsi="Times New Roman"/>
        </w:rPr>
        <w:t xml:space="preserve"> </w:t>
      </w:r>
      <w:r w:rsidR="00C6214E">
        <w:rPr>
          <w:rFonts w:ascii="Times New Roman" w:hAnsi="Times New Roman"/>
        </w:rPr>
        <w:t>права</w:t>
      </w:r>
      <w:r w:rsidR="00506BB8">
        <w:rPr>
          <w:rFonts w:ascii="Times New Roman" w:hAnsi="Times New Roman"/>
        </w:rPr>
        <w:t xml:space="preserve"> </w:t>
      </w:r>
      <w:r w:rsidR="00C6214E">
        <w:rPr>
          <w:rFonts w:ascii="Times New Roman" w:hAnsi="Times New Roman"/>
        </w:rPr>
        <w:t>Владе</w:t>
      </w:r>
      <w:r w:rsidR="00506BB8">
        <w:rPr>
          <w:rFonts w:ascii="Times New Roman" w:hAnsi="Times New Roman"/>
        </w:rPr>
        <w:t xml:space="preserve"> </w:t>
      </w:r>
      <w:r w:rsidR="00C6214E">
        <w:rPr>
          <w:rFonts w:ascii="Times New Roman" w:hAnsi="Times New Roman"/>
        </w:rPr>
        <w:t>Србије</w:t>
      </w:r>
      <w:r w:rsidR="00506BB8">
        <w:rPr>
          <w:rFonts w:ascii="Times New Roman" w:hAnsi="Times New Roman"/>
        </w:rPr>
        <w:t xml:space="preserve">, </w:t>
      </w:r>
      <w:r w:rsidR="00C6214E">
        <w:rPr>
          <w:rFonts w:ascii="Times New Roman" w:hAnsi="Times New Roman"/>
        </w:rPr>
        <w:t>на</w:t>
      </w:r>
      <w:r w:rsidR="00506BB8">
        <w:rPr>
          <w:rFonts w:ascii="Times New Roman" w:hAnsi="Times New Roman"/>
        </w:rPr>
        <w:t xml:space="preserve"> </w:t>
      </w:r>
      <w:r w:rsidR="00C6214E">
        <w:rPr>
          <w:rFonts w:ascii="Times New Roman" w:hAnsi="Times New Roman"/>
        </w:rPr>
        <w:t>тему</w:t>
      </w:r>
      <w:r w:rsidR="00506BB8">
        <w:rPr>
          <w:rFonts w:ascii="Times New Roman" w:hAnsi="Times New Roman"/>
        </w:rPr>
        <w:t xml:space="preserve"> „</w:t>
      </w:r>
      <w:r w:rsidR="00C6214E">
        <w:rPr>
          <w:rFonts w:ascii="Times New Roman" w:hAnsi="Times New Roman"/>
        </w:rPr>
        <w:t>Изазови</w:t>
      </w:r>
      <w:r w:rsidR="00EB086C" w:rsidRPr="00295637">
        <w:rPr>
          <w:rFonts w:ascii="Times New Roman" w:hAnsi="Times New Roman"/>
        </w:rPr>
        <w:t xml:space="preserve"> </w:t>
      </w:r>
      <w:r w:rsidR="00C6214E">
        <w:rPr>
          <w:rFonts w:ascii="Times New Roman" w:hAnsi="Times New Roman"/>
        </w:rPr>
        <w:t>институција</w:t>
      </w:r>
      <w:r w:rsidR="00EB086C" w:rsidRPr="00295637">
        <w:rPr>
          <w:rFonts w:ascii="Times New Roman" w:hAnsi="Times New Roman"/>
        </w:rPr>
        <w:t xml:space="preserve"> </w:t>
      </w:r>
      <w:r w:rsidR="00C6214E">
        <w:rPr>
          <w:rFonts w:ascii="Times New Roman" w:hAnsi="Times New Roman"/>
        </w:rPr>
        <w:t>власти</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6214E">
        <w:rPr>
          <w:rFonts w:ascii="Times New Roman" w:hAnsi="Times New Roman"/>
        </w:rPr>
        <w:t>заштити</w:t>
      </w:r>
      <w:r w:rsidR="00EB086C" w:rsidRPr="00295637">
        <w:rPr>
          <w:rFonts w:ascii="Times New Roman" w:hAnsi="Times New Roman"/>
        </w:rPr>
        <w:t xml:space="preserve"> </w:t>
      </w:r>
      <w:r w:rsidR="00C6214E">
        <w:rPr>
          <w:rFonts w:ascii="Times New Roman" w:hAnsi="Times New Roman"/>
        </w:rPr>
        <w:t>људских</w:t>
      </w:r>
      <w:r w:rsidR="00EB086C" w:rsidRPr="00295637">
        <w:rPr>
          <w:rFonts w:ascii="Times New Roman" w:hAnsi="Times New Roman"/>
        </w:rPr>
        <w:t xml:space="preserve"> </w:t>
      </w:r>
      <w:r w:rsidR="00C6214E">
        <w:rPr>
          <w:rFonts w:ascii="Times New Roman" w:hAnsi="Times New Roman"/>
        </w:rPr>
        <w:t>права</w:t>
      </w:r>
      <w:r w:rsidR="00C42B8F" w:rsidRPr="00295637">
        <w:rPr>
          <w:rFonts w:ascii="Times New Roman" w:hAnsi="Times New Roman"/>
        </w:rPr>
        <w:t>“</w:t>
      </w:r>
      <w:r w:rsidR="00506BB8">
        <w:rPr>
          <w:rFonts w:ascii="Times New Roman" w:hAnsi="Times New Roman"/>
        </w:rPr>
        <w:t xml:space="preserve"> </w:t>
      </w:r>
      <w:r w:rsidR="00C6214E">
        <w:rPr>
          <w:rFonts w:ascii="Times New Roman" w:hAnsi="Times New Roman"/>
        </w:rPr>
        <w:t>на</w:t>
      </w:r>
      <w:r w:rsidR="00506BB8">
        <w:rPr>
          <w:rFonts w:ascii="Times New Roman" w:hAnsi="Times New Roman"/>
        </w:rPr>
        <w:t xml:space="preserve"> </w:t>
      </w:r>
      <w:r w:rsidR="00C6214E">
        <w:rPr>
          <w:rFonts w:ascii="Times New Roman" w:hAnsi="Times New Roman"/>
        </w:rPr>
        <w:t>конференцији</w:t>
      </w:r>
      <w:r w:rsidR="00506BB8">
        <w:rPr>
          <w:rFonts w:ascii="Times New Roman" w:hAnsi="Times New Roman"/>
        </w:rPr>
        <w:t xml:space="preserve"> „</w:t>
      </w:r>
      <w:r w:rsidR="00C6214E">
        <w:rPr>
          <w:rFonts w:ascii="Times New Roman" w:hAnsi="Times New Roman"/>
          <w:bCs/>
        </w:rPr>
        <w:t>Антиродне</w:t>
      </w:r>
      <w:r w:rsidR="008B1BBA" w:rsidRPr="00295637">
        <w:rPr>
          <w:rFonts w:ascii="Times New Roman" w:hAnsi="Times New Roman"/>
          <w:bCs/>
        </w:rPr>
        <w:t xml:space="preserve"> </w:t>
      </w:r>
      <w:r w:rsidR="00C6214E">
        <w:rPr>
          <w:rFonts w:ascii="Times New Roman" w:hAnsi="Times New Roman"/>
          <w:bCs/>
        </w:rPr>
        <w:t>пријетње</w:t>
      </w:r>
      <w:r w:rsidR="008B1BBA" w:rsidRPr="00295637">
        <w:rPr>
          <w:rFonts w:ascii="Times New Roman" w:hAnsi="Times New Roman"/>
          <w:bCs/>
        </w:rPr>
        <w:t xml:space="preserve"> </w:t>
      </w:r>
      <w:r w:rsidR="00C6214E">
        <w:rPr>
          <w:rFonts w:ascii="Times New Roman" w:hAnsi="Times New Roman"/>
          <w:bCs/>
        </w:rPr>
        <w:t>правима</w:t>
      </w:r>
      <w:r w:rsidR="008B1BBA" w:rsidRPr="00295637">
        <w:rPr>
          <w:rFonts w:ascii="Times New Roman" w:hAnsi="Times New Roman"/>
          <w:bCs/>
        </w:rPr>
        <w:t xml:space="preserve"> </w:t>
      </w:r>
      <w:r w:rsidR="00C6214E">
        <w:rPr>
          <w:rFonts w:ascii="Times New Roman" w:hAnsi="Times New Roman"/>
          <w:bCs/>
        </w:rPr>
        <w:t>и</w:t>
      </w:r>
      <w:r w:rsidR="00EB086C" w:rsidRPr="00295637">
        <w:rPr>
          <w:rFonts w:ascii="Times New Roman" w:hAnsi="Times New Roman"/>
          <w:bCs/>
        </w:rPr>
        <w:t xml:space="preserve"> </w:t>
      </w:r>
      <w:r w:rsidR="00C6214E">
        <w:rPr>
          <w:rFonts w:ascii="Times New Roman" w:hAnsi="Times New Roman"/>
          <w:bCs/>
        </w:rPr>
        <w:t>слободама</w:t>
      </w:r>
      <w:r w:rsidR="00EB086C" w:rsidRPr="00295637">
        <w:rPr>
          <w:rFonts w:ascii="Times New Roman" w:hAnsi="Times New Roman"/>
          <w:bCs/>
        </w:rPr>
        <w:t xml:space="preserve"> </w:t>
      </w:r>
      <w:r w:rsidR="00C6214E">
        <w:rPr>
          <w:rFonts w:ascii="Times New Roman" w:hAnsi="Times New Roman"/>
          <w:bCs/>
        </w:rPr>
        <w:t>у</w:t>
      </w:r>
      <w:r w:rsidR="00506BB8">
        <w:rPr>
          <w:rFonts w:ascii="Times New Roman" w:hAnsi="Times New Roman"/>
          <w:bCs/>
        </w:rPr>
        <w:t xml:space="preserve"> </w:t>
      </w:r>
      <w:r w:rsidR="00C6214E">
        <w:rPr>
          <w:rFonts w:ascii="Times New Roman" w:hAnsi="Times New Roman"/>
          <w:bCs/>
        </w:rPr>
        <w:t>БиХ</w:t>
      </w:r>
      <w:r w:rsidR="00EB086C" w:rsidRPr="00295637">
        <w:rPr>
          <w:rFonts w:ascii="Times New Roman" w:hAnsi="Times New Roman"/>
        </w:rPr>
        <w:t xml:space="preserve">” </w:t>
      </w:r>
      <w:r w:rsidR="00C6214E">
        <w:rPr>
          <w:rFonts w:ascii="Times New Roman" w:hAnsi="Times New Roman"/>
        </w:rPr>
        <w:t>која</w:t>
      </w:r>
      <w:r w:rsidR="00EB086C" w:rsidRPr="00295637">
        <w:rPr>
          <w:rFonts w:ascii="Times New Roman" w:hAnsi="Times New Roman"/>
        </w:rPr>
        <w:t xml:space="preserve"> </w:t>
      </w:r>
      <w:r w:rsidR="00C6214E">
        <w:rPr>
          <w:rFonts w:ascii="Times New Roman" w:hAnsi="Times New Roman"/>
        </w:rPr>
        <w:t>је</w:t>
      </w:r>
      <w:r w:rsidR="00EB086C" w:rsidRPr="00295637">
        <w:rPr>
          <w:rFonts w:ascii="Times New Roman" w:hAnsi="Times New Roman"/>
        </w:rPr>
        <w:t xml:space="preserve"> </w:t>
      </w:r>
      <w:r w:rsidR="00C6214E">
        <w:rPr>
          <w:rFonts w:ascii="Times New Roman" w:hAnsi="Times New Roman"/>
        </w:rPr>
        <w:t>одржана</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6214E">
        <w:rPr>
          <w:rFonts w:ascii="Times New Roman" w:hAnsi="Times New Roman"/>
        </w:rPr>
        <w:t>Сарајеву</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6214E">
        <w:rPr>
          <w:rFonts w:ascii="Times New Roman" w:hAnsi="Times New Roman"/>
        </w:rPr>
        <w:t>организацији</w:t>
      </w:r>
      <w:r w:rsidR="00EB086C" w:rsidRPr="00295637">
        <w:rPr>
          <w:rFonts w:ascii="Times New Roman" w:hAnsi="Times New Roman"/>
        </w:rPr>
        <w:t xml:space="preserve"> </w:t>
      </w:r>
      <w:r w:rsidR="00485AB7">
        <w:rPr>
          <w:rFonts w:ascii="Times New Roman" w:hAnsi="Times New Roman"/>
          <w:lang w:val="bs-Cyrl-BA"/>
        </w:rPr>
        <w:t xml:space="preserve">„Фондације </w:t>
      </w:r>
      <w:r w:rsidR="00C6214E">
        <w:rPr>
          <w:rFonts w:ascii="Times New Roman" w:hAnsi="Times New Roman"/>
        </w:rPr>
        <w:t>ЦУРЕ</w:t>
      </w:r>
      <w:r w:rsidR="00485AB7">
        <w:rPr>
          <w:rFonts w:ascii="Times New Roman" w:hAnsi="Times New Roman"/>
          <w:lang w:val="bs-Cyrl-BA"/>
        </w:rPr>
        <w:t>“</w:t>
      </w:r>
      <w:r w:rsidR="00EB086C" w:rsidRPr="00295637">
        <w:rPr>
          <w:rFonts w:ascii="Times New Roman" w:hAnsi="Times New Roman"/>
        </w:rPr>
        <w:t xml:space="preserve"> </w:t>
      </w:r>
      <w:r w:rsidR="00C6214E">
        <w:rPr>
          <w:rFonts w:ascii="Times New Roman" w:hAnsi="Times New Roman"/>
        </w:rPr>
        <w:t>и</w:t>
      </w:r>
      <w:r w:rsidR="00EB086C" w:rsidRPr="00295637">
        <w:rPr>
          <w:rFonts w:ascii="Times New Roman" w:hAnsi="Times New Roman"/>
        </w:rPr>
        <w:t xml:space="preserve"> </w:t>
      </w:r>
      <w:r w:rsidR="00CF6228">
        <w:rPr>
          <w:rFonts w:ascii="Times New Roman" w:hAnsi="Times New Roman"/>
          <w:lang w:val="sr-Cyrl-BA"/>
        </w:rPr>
        <w:t>У</w:t>
      </w:r>
      <w:r w:rsidR="00C6214E">
        <w:rPr>
          <w:rFonts w:ascii="Times New Roman" w:hAnsi="Times New Roman"/>
        </w:rPr>
        <w:t>дружења</w:t>
      </w:r>
      <w:r w:rsidR="00CE2EEA" w:rsidRPr="00295637">
        <w:rPr>
          <w:rFonts w:ascii="Times New Roman" w:hAnsi="Times New Roman"/>
        </w:rPr>
        <w:t xml:space="preserve"> </w:t>
      </w:r>
      <w:r w:rsidR="00485AB7">
        <w:rPr>
          <w:rFonts w:ascii="Times New Roman" w:hAnsi="Times New Roman"/>
          <w:lang w:val="bs-Cyrl-BA"/>
        </w:rPr>
        <w:t>„</w:t>
      </w:r>
      <w:r w:rsidR="00CF6228" w:rsidRPr="00CF6228">
        <w:rPr>
          <w:rFonts w:ascii="Times New Roman" w:hAnsi="Times New Roman"/>
          <w:i/>
          <w:lang w:val="hr-BA"/>
        </w:rPr>
        <w:t>Heinrich Boell Stiftung</w:t>
      </w:r>
      <w:r w:rsidR="00485AB7">
        <w:rPr>
          <w:rFonts w:ascii="Times New Roman" w:hAnsi="Times New Roman"/>
          <w:i/>
          <w:lang w:val="bs-Cyrl-BA"/>
        </w:rPr>
        <w:t>“</w:t>
      </w:r>
      <w:r w:rsidR="00506BB8">
        <w:rPr>
          <w:rFonts w:ascii="Times New Roman" w:hAnsi="Times New Roman"/>
        </w:rPr>
        <w:t xml:space="preserve">, </w:t>
      </w:r>
      <w:r w:rsidR="00C6214E">
        <w:rPr>
          <w:rFonts w:ascii="Times New Roman" w:hAnsi="Times New Roman"/>
        </w:rPr>
        <w:t>на</w:t>
      </w:r>
      <w:r w:rsidR="00506BB8">
        <w:rPr>
          <w:rFonts w:ascii="Times New Roman" w:hAnsi="Times New Roman"/>
        </w:rPr>
        <w:t xml:space="preserve"> </w:t>
      </w:r>
      <w:r w:rsidR="00C6214E">
        <w:rPr>
          <w:rFonts w:ascii="Times New Roman" w:hAnsi="Times New Roman"/>
        </w:rPr>
        <w:t>тему</w:t>
      </w:r>
      <w:r w:rsidR="00506BB8">
        <w:rPr>
          <w:rFonts w:ascii="Times New Roman" w:hAnsi="Times New Roman"/>
        </w:rPr>
        <w:t xml:space="preserve"> „</w:t>
      </w:r>
      <w:r w:rsidR="00C6214E">
        <w:rPr>
          <w:rFonts w:ascii="Times New Roman" w:hAnsi="Times New Roman"/>
        </w:rPr>
        <w:t>Локалн</w:t>
      </w:r>
      <w:r w:rsidR="00CF6228">
        <w:rPr>
          <w:rFonts w:ascii="Times New Roman" w:hAnsi="Times New Roman"/>
          <w:lang w:val="sr-Cyrl-BA"/>
        </w:rPr>
        <w:t>и</w:t>
      </w:r>
      <w:r w:rsidR="00EB086C" w:rsidRPr="00295637">
        <w:rPr>
          <w:rFonts w:ascii="Times New Roman" w:hAnsi="Times New Roman"/>
        </w:rPr>
        <w:t xml:space="preserve"> </w:t>
      </w:r>
      <w:r w:rsidR="00CF6228">
        <w:rPr>
          <w:rFonts w:ascii="Times New Roman" w:hAnsi="Times New Roman"/>
          <w:lang w:val="sr-Cyrl-BA"/>
        </w:rPr>
        <w:t>ниво</w:t>
      </w:r>
      <w:r w:rsidR="00EB086C" w:rsidRPr="00295637">
        <w:rPr>
          <w:rFonts w:ascii="Times New Roman" w:hAnsi="Times New Roman"/>
        </w:rPr>
        <w:t xml:space="preserve"> </w:t>
      </w:r>
      <w:r w:rsidR="00C6214E">
        <w:rPr>
          <w:rFonts w:ascii="Times New Roman" w:hAnsi="Times New Roman"/>
        </w:rPr>
        <w:t>власти</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6214E">
        <w:rPr>
          <w:rFonts w:ascii="Times New Roman" w:hAnsi="Times New Roman"/>
        </w:rPr>
        <w:t>законодавном</w:t>
      </w:r>
      <w:r w:rsidR="00EB086C" w:rsidRPr="00295637">
        <w:rPr>
          <w:rFonts w:ascii="Times New Roman" w:hAnsi="Times New Roman"/>
        </w:rPr>
        <w:t xml:space="preserve"> </w:t>
      </w:r>
      <w:r w:rsidR="00C6214E">
        <w:rPr>
          <w:rFonts w:ascii="Times New Roman" w:hAnsi="Times New Roman"/>
        </w:rPr>
        <w:t>и</w:t>
      </w:r>
      <w:r w:rsidR="00EB086C" w:rsidRPr="00295637">
        <w:rPr>
          <w:rFonts w:ascii="Times New Roman" w:hAnsi="Times New Roman"/>
        </w:rPr>
        <w:t xml:space="preserve"> </w:t>
      </w:r>
      <w:r w:rsidR="00C6214E">
        <w:rPr>
          <w:rFonts w:ascii="Times New Roman" w:hAnsi="Times New Roman"/>
        </w:rPr>
        <w:t>стратешком</w:t>
      </w:r>
      <w:r w:rsidR="00EB086C" w:rsidRPr="00295637">
        <w:rPr>
          <w:rFonts w:ascii="Times New Roman" w:hAnsi="Times New Roman"/>
        </w:rPr>
        <w:t xml:space="preserve"> </w:t>
      </w:r>
      <w:r w:rsidR="00C6214E">
        <w:rPr>
          <w:rFonts w:ascii="Times New Roman" w:hAnsi="Times New Roman"/>
        </w:rPr>
        <w:t>оквиру</w:t>
      </w:r>
      <w:r w:rsidR="00EB086C" w:rsidRPr="00295637">
        <w:rPr>
          <w:rFonts w:ascii="Times New Roman" w:hAnsi="Times New Roman"/>
        </w:rPr>
        <w:t xml:space="preserve"> </w:t>
      </w:r>
      <w:r w:rsidR="00C6214E">
        <w:rPr>
          <w:rFonts w:ascii="Times New Roman" w:hAnsi="Times New Roman"/>
        </w:rPr>
        <w:t>за</w:t>
      </w:r>
      <w:r w:rsidR="00EB086C" w:rsidRPr="00295637">
        <w:rPr>
          <w:rFonts w:ascii="Times New Roman" w:hAnsi="Times New Roman"/>
        </w:rPr>
        <w:t xml:space="preserve"> </w:t>
      </w:r>
      <w:r w:rsidR="00C6214E">
        <w:rPr>
          <w:rFonts w:ascii="Times New Roman" w:hAnsi="Times New Roman"/>
        </w:rPr>
        <w:t>превенцију</w:t>
      </w:r>
      <w:r w:rsidR="00EB086C" w:rsidRPr="00295637">
        <w:rPr>
          <w:rFonts w:ascii="Times New Roman" w:hAnsi="Times New Roman"/>
        </w:rPr>
        <w:t xml:space="preserve"> </w:t>
      </w:r>
      <w:r w:rsidR="00C6214E">
        <w:rPr>
          <w:rFonts w:ascii="Times New Roman" w:hAnsi="Times New Roman"/>
        </w:rPr>
        <w:t>и</w:t>
      </w:r>
      <w:r w:rsidR="00EB086C" w:rsidRPr="00295637">
        <w:rPr>
          <w:rFonts w:ascii="Times New Roman" w:hAnsi="Times New Roman"/>
        </w:rPr>
        <w:t xml:space="preserve"> </w:t>
      </w:r>
      <w:r w:rsidR="00C6214E">
        <w:rPr>
          <w:rFonts w:ascii="Times New Roman" w:hAnsi="Times New Roman"/>
        </w:rPr>
        <w:t>борбу</w:t>
      </w:r>
      <w:r w:rsidR="00EB086C" w:rsidRPr="00295637">
        <w:rPr>
          <w:rFonts w:ascii="Times New Roman" w:hAnsi="Times New Roman"/>
        </w:rPr>
        <w:t xml:space="preserve"> </w:t>
      </w:r>
      <w:r w:rsidR="00C6214E">
        <w:rPr>
          <w:rFonts w:ascii="Times New Roman" w:hAnsi="Times New Roman"/>
        </w:rPr>
        <w:t>против</w:t>
      </w:r>
      <w:r w:rsidR="00EB086C" w:rsidRPr="00295637">
        <w:rPr>
          <w:rFonts w:ascii="Times New Roman" w:hAnsi="Times New Roman"/>
        </w:rPr>
        <w:t xml:space="preserve"> </w:t>
      </w:r>
      <w:r w:rsidR="00C6214E">
        <w:rPr>
          <w:rFonts w:ascii="Times New Roman" w:hAnsi="Times New Roman"/>
        </w:rPr>
        <w:t>насиља</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F6228">
        <w:rPr>
          <w:rFonts w:ascii="Times New Roman" w:hAnsi="Times New Roman"/>
          <w:lang w:val="sr-Cyrl-BA"/>
        </w:rPr>
        <w:t>породици</w:t>
      </w:r>
      <w:r w:rsidR="00EB086C" w:rsidRPr="00295637">
        <w:rPr>
          <w:rFonts w:ascii="Times New Roman" w:hAnsi="Times New Roman"/>
        </w:rPr>
        <w:t xml:space="preserve">” </w:t>
      </w:r>
      <w:r w:rsidR="00C6214E">
        <w:rPr>
          <w:rFonts w:ascii="Times New Roman" w:hAnsi="Times New Roman"/>
        </w:rPr>
        <w:t>на</w:t>
      </w:r>
      <w:r w:rsidR="00EB086C" w:rsidRPr="00295637">
        <w:rPr>
          <w:rFonts w:ascii="Times New Roman" w:hAnsi="Times New Roman"/>
        </w:rPr>
        <w:t xml:space="preserve"> </w:t>
      </w:r>
      <w:r w:rsidR="00C6214E">
        <w:rPr>
          <w:rFonts w:ascii="Times New Roman" w:hAnsi="Times New Roman"/>
        </w:rPr>
        <w:t>конференцији</w:t>
      </w:r>
      <w:r w:rsidR="00EB086C" w:rsidRPr="00295637">
        <w:rPr>
          <w:rFonts w:ascii="Times New Roman" w:hAnsi="Times New Roman"/>
        </w:rPr>
        <w:t xml:space="preserve"> </w:t>
      </w:r>
      <w:r w:rsidR="00C6214E">
        <w:rPr>
          <w:rFonts w:ascii="Times New Roman" w:hAnsi="Times New Roman"/>
        </w:rPr>
        <w:t>која</w:t>
      </w:r>
      <w:r w:rsidR="00EB086C" w:rsidRPr="00295637">
        <w:rPr>
          <w:rFonts w:ascii="Times New Roman" w:hAnsi="Times New Roman"/>
        </w:rPr>
        <w:t xml:space="preserve"> </w:t>
      </w:r>
      <w:r w:rsidR="00C6214E">
        <w:rPr>
          <w:rFonts w:ascii="Times New Roman" w:hAnsi="Times New Roman"/>
        </w:rPr>
        <w:t>је</w:t>
      </w:r>
      <w:r w:rsidR="00EB086C" w:rsidRPr="00295637">
        <w:rPr>
          <w:rFonts w:ascii="Times New Roman" w:hAnsi="Times New Roman"/>
        </w:rPr>
        <w:t xml:space="preserve"> </w:t>
      </w:r>
      <w:r w:rsidR="00C6214E">
        <w:rPr>
          <w:rFonts w:ascii="Times New Roman" w:hAnsi="Times New Roman"/>
        </w:rPr>
        <w:t>одржана</w:t>
      </w:r>
      <w:r w:rsidR="00EB086C" w:rsidRPr="00295637">
        <w:rPr>
          <w:rFonts w:ascii="Times New Roman" w:hAnsi="Times New Roman"/>
        </w:rPr>
        <w:t xml:space="preserve"> </w:t>
      </w:r>
      <w:r w:rsidR="00C6214E">
        <w:rPr>
          <w:rFonts w:ascii="Times New Roman" w:hAnsi="Times New Roman"/>
        </w:rPr>
        <w:t>на</w:t>
      </w:r>
      <w:r w:rsidR="00506BB8">
        <w:rPr>
          <w:rFonts w:ascii="Times New Roman" w:hAnsi="Times New Roman"/>
        </w:rPr>
        <w:t xml:space="preserve"> </w:t>
      </w:r>
      <w:r w:rsidR="00C6214E">
        <w:rPr>
          <w:rFonts w:ascii="Times New Roman" w:hAnsi="Times New Roman"/>
        </w:rPr>
        <w:t>Јахорини</w:t>
      </w:r>
      <w:r w:rsidR="00506BB8">
        <w:rPr>
          <w:rFonts w:ascii="Times New Roman" w:hAnsi="Times New Roman"/>
        </w:rPr>
        <w:t xml:space="preserve"> </w:t>
      </w:r>
      <w:r w:rsidR="00C6214E">
        <w:rPr>
          <w:rFonts w:ascii="Times New Roman" w:hAnsi="Times New Roman"/>
        </w:rPr>
        <w:t>у</w:t>
      </w:r>
      <w:r w:rsidR="00506BB8">
        <w:rPr>
          <w:rFonts w:ascii="Times New Roman" w:hAnsi="Times New Roman"/>
        </w:rPr>
        <w:t xml:space="preserve"> </w:t>
      </w:r>
      <w:r w:rsidR="00C6214E">
        <w:rPr>
          <w:rFonts w:ascii="Times New Roman" w:hAnsi="Times New Roman"/>
        </w:rPr>
        <w:t>организацији</w:t>
      </w:r>
      <w:r w:rsidR="00506BB8">
        <w:rPr>
          <w:rFonts w:ascii="Times New Roman" w:hAnsi="Times New Roman"/>
        </w:rPr>
        <w:t xml:space="preserve"> </w:t>
      </w:r>
      <w:r w:rsidR="00C6214E">
        <w:rPr>
          <w:rFonts w:ascii="Times New Roman" w:hAnsi="Times New Roman"/>
        </w:rPr>
        <w:t>СОГ</w:t>
      </w:r>
      <w:r w:rsidR="00506BB8">
        <w:rPr>
          <w:rFonts w:ascii="Times New Roman" w:hAnsi="Times New Roman"/>
        </w:rPr>
        <w:t xml:space="preserve"> </w:t>
      </w:r>
      <w:r w:rsidR="00C6214E">
        <w:rPr>
          <w:rFonts w:ascii="Times New Roman" w:hAnsi="Times New Roman"/>
        </w:rPr>
        <w:t>ФБиХ</w:t>
      </w:r>
      <w:r w:rsidR="00506BB8">
        <w:rPr>
          <w:rFonts w:ascii="Times New Roman" w:hAnsi="Times New Roman"/>
        </w:rPr>
        <w:t xml:space="preserve"> </w:t>
      </w:r>
      <w:r w:rsidR="00C6214E">
        <w:rPr>
          <w:rFonts w:ascii="Times New Roman" w:hAnsi="Times New Roman"/>
        </w:rPr>
        <w:t>и</w:t>
      </w:r>
      <w:r w:rsidR="00506BB8">
        <w:rPr>
          <w:rFonts w:ascii="Times New Roman" w:hAnsi="Times New Roman"/>
        </w:rPr>
        <w:t xml:space="preserve"> </w:t>
      </w:r>
      <w:r w:rsidR="00C6214E">
        <w:rPr>
          <w:rFonts w:ascii="Times New Roman" w:hAnsi="Times New Roman"/>
        </w:rPr>
        <w:t>СДЦ</w:t>
      </w:r>
      <w:r w:rsidR="00506BB8">
        <w:rPr>
          <w:rFonts w:ascii="Times New Roman" w:hAnsi="Times New Roman"/>
        </w:rPr>
        <w:t xml:space="preserve">, </w:t>
      </w:r>
      <w:r w:rsidR="00C6214E">
        <w:rPr>
          <w:rFonts w:ascii="Times New Roman" w:hAnsi="Times New Roman"/>
        </w:rPr>
        <w:t>на</w:t>
      </w:r>
      <w:r w:rsidR="00506BB8">
        <w:rPr>
          <w:rFonts w:ascii="Times New Roman" w:hAnsi="Times New Roman"/>
        </w:rPr>
        <w:t xml:space="preserve"> </w:t>
      </w:r>
      <w:r w:rsidR="00C6214E">
        <w:rPr>
          <w:rFonts w:ascii="Times New Roman" w:hAnsi="Times New Roman"/>
        </w:rPr>
        <w:t>тему</w:t>
      </w:r>
      <w:r w:rsidR="00506BB8">
        <w:rPr>
          <w:rFonts w:ascii="Times New Roman" w:hAnsi="Times New Roman"/>
        </w:rPr>
        <w:t xml:space="preserve"> „</w:t>
      </w:r>
      <w:r w:rsidR="00C6214E">
        <w:rPr>
          <w:rFonts w:ascii="Times New Roman" w:hAnsi="Times New Roman"/>
        </w:rPr>
        <w:t>Превентивни</w:t>
      </w:r>
      <w:r w:rsidR="00EB086C" w:rsidRPr="00295637">
        <w:rPr>
          <w:rFonts w:ascii="Times New Roman" w:hAnsi="Times New Roman"/>
        </w:rPr>
        <w:t xml:space="preserve"> </w:t>
      </w:r>
      <w:r w:rsidR="00C6214E">
        <w:rPr>
          <w:rFonts w:ascii="Times New Roman" w:hAnsi="Times New Roman"/>
        </w:rPr>
        <w:t>програми</w:t>
      </w:r>
      <w:r w:rsidR="00EB086C" w:rsidRPr="00295637">
        <w:rPr>
          <w:rFonts w:ascii="Times New Roman" w:hAnsi="Times New Roman"/>
        </w:rPr>
        <w:t xml:space="preserve"> </w:t>
      </w:r>
      <w:r w:rsidR="00C6214E">
        <w:rPr>
          <w:rFonts w:ascii="Times New Roman" w:hAnsi="Times New Roman"/>
        </w:rPr>
        <w:t>и</w:t>
      </w:r>
      <w:r w:rsidR="00EB086C" w:rsidRPr="00295637">
        <w:rPr>
          <w:rFonts w:ascii="Times New Roman" w:hAnsi="Times New Roman"/>
        </w:rPr>
        <w:t xml:space="preserve"> </w:t>
      </w:r>
      <w:r w:rsidR="00C6214E">
        <w:rPr>
          <w:rFonts w:ascii="Times New Roman" w:hAnsi="Times New Roman"/>
        </w:rPr>
        <w:t>рад</w:t>
      </w:r>
      <w:r w:rsidR="00EB086C" w:rsidRPr="00295637">
        <w:rPr>
          <w:rFonts w:ascii="Times New Roman" w:hAnsi="Times New Roman"/>
        </w:rPr>
        <w:t xml:space="preserve"> </w:t>
      </w:r>
      <w:r w:rsidR="00C6214E">
        <w:rPr>
          <w:rFonts w:ascii="Times New Roman" w:hAnsi="Times New Roman"/>
        </w:rPr>
        <w:t>са</w:t>
      </w:r>
      <w:r w:rsidR="00371E55">
        <w:rPr>
          <w:rFonts w:ascii="Times New Roman" w:hAnsi="Times New Roman"/>
        </w:rPr>
        <w:t xml:space="preserve"> </w:t>
      </w:r>
      <w:r w:rsidR="00C6214E">
        <w:rPr>
          <w:rFonts w:ascii="Times New Roman" w:hAnsi="Times New Roman"/>
        </w:rPr>
        <w:t>починиоцима</w:t>
      </w:r>
      <w:r w:rsidR="00371E55">
        <w:rPr>
          <w:rFonts w:ascii="Times New Roman" w:hAnsi="Times New Roman"/>
        </w:rPr>
        <w:t xml:space="preserve"> </w:t>
      </w:r>
      <w:r w:rsidR="00C6214E">
        <w:rPr>
          <w:rFonts w:ascii="Times New Roman" w:hAnsi="Times New Roman"/>
        </w:rPr>
        <w:t>насиља</w:t>
      </w:r>
      <w:r w:rsidR="00371E55">
        <w:rPr>
          <w:rFonts w:ascii="Times New Roman" w:hAnsi="Times New Roman"/>
        </w:rPr>
        <w:t xml:space="preserve"> </w:t>
      </w:r>
      <w:r w:rsidR="00C6214E">
        <w:rPr>
          <w:rFonts w:ascii="Times New Roman" w:hAnsi="Times New Roman"/>
        </w:rPr>
        <w:t>у</w:t>
      </w:r>
      <w:r w:rsidR="00371E55">
        <w:rPr>
          <w:rFonts w:ascii="Times New Roman" w:hAnsi="Times New Roman"/>
        </w:rPr>
        <w:t xml:space="preserve"> </w:t>
      </w:r>
      <w:r w:rsidR="00CF6228">
        <w:rPr>
          <w:rFonts w:ascii="Times New Roman" w:hAnsi="Times New Roman"/>
          <w:lang w:val="sr-Cyrl-BA"/>
        </w:rPr>
        <w:t>породици</w:t>
      </w:r>
      <w:r w:rsidR="00EB086C" w:rsidRPr="00295637">
        <w:rPr>
          <w:rFonts w:ascii="Times New Roman" w:hAnsi="Times New Roman"/>
        </w:rPr>
        <w:t xml:space="preserve">” </w:t>
      </w:r>
      <w:r w:rsidR="00C6214E">
        <w:rPr>
          <w:rFonts w:ascii="Times New Roman" w:hAnsi="Times New Roman"/>
        </w:rPr>
        <w:t>на</w:t>
      </w:r>
      <w:r w:rsidR="00EB086C" w:rsidRPr="00295637">
        <w:rPr>
          <w:rFonts w:ascii="Times New Roman" w:hAnsi="Times New Roman"/>
        </w:rPr>
        <w:t xml:space="preserve"> </w:t>
      </w:r>
      <w:r w:rsidR="00C6214E">
        <w:rPr>
          <w:rFonts w:ascii="Times New Roman" w:hAnsi="Times New Roman"/>
        </w:rPr>
        <w:t>округлом</w:t>
      </w:r>
      <w:r w:rsidR="00604697">
        <w:rPr>
          <w:rFonts w:ascii="Times New Roman" w:hAnsi="Times New Roman"/>
        </w:rPr>
        <w:t xml:space="preserve"> </w:t>
      </w:r>
      <w:r w:rsidR="00C6214E">
        <w:rPr>
          <w:rFonts w:ascii="Times New Roman" w:hAnsi="Times New Roman"/>
        </w:rPr>
        <w:t>столу</w:t>
      </w:r>
      <w:r w:rsidR="00604697">
        <w:rPr>
          <w:rFonts w:ascii="Times New Roman" w:hAnsi="Times New Roman"/>
        </w:rPr>
        <w:t xml:space="preserve"> „</w:t>
      </w:r>
      <w:r w:rsidR="00C6214E">
        <w:rPr>
          <w:rFonts w:ascii="Times New Roman" w:hAnsi="Times New Roman"/>
        </w:rPr>
        <w:t>Подршка</w:t>
      </w:r>
      <w:r w:rsidR="00EB086C" w:rsidRPr="00295637">
        <w:rPr>
          <w:rFonts w:ascii="Times New Roman" w:hAnsi="Times New Roman"/>
        </w:rPr>
        <w:t xml:space="preserve"> </w:t>
      </w:r>
      <w:r w:rsidR="00CF6228">
        <w:rPr>
          <w:rFonts w:ascii="Times New Roman" w:hAnsi="Times New Roman"/>
          <w:lang w:val="sr-Cyrl-BA"/>
        </w:rPr>
        <w:t>спровођењу</w:t>
      </w:r>
      <w:r w:rsidR="00EB086C" w:rsidRPr="00295637">
        <w:rPr>
          <w:rFonts w:ascii="Times New Roman" w:hAnsi="Times New Roman"/>
        </w:rPr>
        <w:t xml:space="preserve"> </w:t>
      </w:r>
      <w:r w:rsidR="00C6214E">
        <w:rPr>
          <w:rFonts w:ascii="Times New Roman" w:hAnsi="Times New Roman"/>
        </w:rPr>
        <w:t>ГРЕВИО</w:t>
      </w:r>
      <w:r w:rsidR="00EB086C" w:rsidRPr="00295637">
        <w:rPr>
          <w:rFonts w:ascii="Times New Roman" w:hAnsi="Times New Roman"/>
        </w:rPr>
        <w:t xml:space="preserve"> </w:t>
      </w:r>
      <w:r w:rsidR="00C6214E">
        <w:rPr>
          <w:rFonts w:ascii="Times New Roman" w:hAnsi="Times New Roman"/>
        </w:rPr>
        <w:t>препорука</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6214E">
        <w:rPr>
          <w:rFonts w:ascii="Times New Roman" w:hAnsi="Times New Roman"/>
        </w:rPr>
        <w:t>организацији</w:t>
      </w:r>
      <w:r w:rsidR="00EB086C" w:rsidRPr="00295637">
        <w:rPr>
          <w:rFonts w:ascii="Times New Roman" w:hAnsi="Times New Roman"/>
        </w:rPr>
        <w:t xml:space="preserve"> </w:t>
      </w:r>
      <w:r w:rsidR="00C6214E">
        <w:rPr>
          <w:rFonts w:ascii="Times New Roman" w:hAnsi="Times New Roman"/>
        </w:rPr>
        <w:t>АР</w:t>
      </w:r>
      <w:r w:rsidR="00CF6228">
        <w:rPr>
          <w:rFonts w:ascii="Times New Roman" w:hAnsi="Times New Roman"/>
          <w:lang w:val="sr-Cyrl-BA"/>
        </w:rPr>
        <w:t>П</w:t>
      </w:r>
      <w:r w:rsidR="00794E4F">
        <w:rPr>
          <w:rFonts w:ascii="Times New Roman" w:hAnsi="Times New Roman"/>
        </w:rPr>
        <w:t xml:space="preserve"> </w:t>
      </w:r>
      <w:r w:rsidR="00C6214E">
        <w:rPr>
          <w:rFonts w:ascii="Times New Roman" w:hAnsi="Times New Roman"/>
        </w:rPr>
        <w:t>БиХ</w:t>
      </w:r>
      <w:r w:rsidR="00604697">
        <w:rPr>
          <w:rFonts w:ascii="Times New Roman" w:hAnsi="Times New Roman"/>
        </w:rPr>
        <w:t xml:space="preserve"> </w:t>
      </w:r>
      <w:r w:rsidR="00C6214E">
        <w:rPr>
          <w:rFonts w:ascii="Times New Roman" w:hAnsi="Times New Roman"/>
        </w:rPr>
        <w:t>и</w:t>
      </w:r>
      <w:r w:rsidR="00604697">
        <w:rPr>
          <w:rFonts w:ascii="Times New Roman" w:hAnsi="Times New Roman"/>
        </w:rPr>
        <w:t xml:space="preserve"> </w:t>
      </w:r>
      <w:r w:rsidR="00CF6228">
        <w:rPr>
          <w:rFonts w:ascii="Times New Roman" w:hAnsi="Times New Roman"/>
          <w:lang w:val="sr-Cyrl-BA"/>
        </w:rPr>
        <w:t>С</w:t>
      </w:r>
      <w:r w:rsidR="00C6214E">
        <w:rPr>
          <w:rFonts w:ascii="Times New Roman" w:hAnsi="Times New Roman"/>
        </w:rPr>
        <w:t>Е</w:t>
      </w:r>
      <w:r w:rsidR="00604697">
        <w:rPr>
          <w:rFonts w:ascii="Times New Roman" w:hAnsi="Times New Roman"/>
        </w:rPr>
        <w:t xml:space="preserve">, </w:t>
      </w:r>
      <w:r w:rsidR="00C6214E">
        <w:rPr>
          <w:rFonts w:ascii="Times New Roman" w:hAnsi="Times New Roman"/>
        </w:rPr>
        <w:t>на</w:t>
      </w:r>
      <w:r w:rsidR="00604697">
        <w:rPr>
          <w:rFonts w:ascii="Times New Roman" w:hAnsi="Times New Roman"/>
        </w:rPr>
        <w:t xml:space="preserve"> </w:t>
      </w:r>
      <w:r w:rsidR="00C6214E">
        <w:rPr>
          <w:rFonts w:ascii="Times New Roman" w:hAnsi="Times New Roman"/>
        </w:rPr>
        <w:t>стручном</w:t>
      </w:r>
      <w:r w:rsidR="00604697">
        <w:rPr>
          <w:rFonts w:ascii="Times New Roman" w:hAnsi="Times New Roman"/>
        </w:rPr>
        <w:t xml:space="preserve"> </w:t>
      </w:r>
      <w:r w:rsidR="00C6214E">
        <w:rPr>
          <w:rFonts w:ascii="Times New Roman" w:hAnsi="Times New Roman"/>
        </w:rPr>
        <w:t>скупу</w:t>
      </w:r>
      <w:r w:rsidR="00604697">
        <w:rPr>
          <w:rFonts w:ascii="Times New Roman" w:hAnsi="Times New Roman"/>
        </w:rPr>
        <w:t xml:space="preserve"> „</w:t>
      </w:r>
      <w:r w:rsidR="00C6214E">
        <w:rPr>
          <w:rFonts w:ascii="Times New Roman" w:hAnsi="Times New Roman"/>
        </w:rPr>
        <w:t>Фемицид</w:t>
      </w:r>
      <w:r w:rsidR="00EB086C" w:rsidRPr="00295637">
        <w:rPr>
          <w:rFonts w:ascii="Times New Roman" w:hAnsi="Times New Roman"/>
        </w:rPr>
        <w:t xml:space="preserve"> </w:t>
      </w:r>
      <w:r w:rsidR="00C6214E">
        <w:rPr>
          <w:rFonts w:ascii="Times New Roman" w:hAnsi="Times New Roman"/>
        </w:rPr>
        <w:t>као</w:t>
      </w:r>
      <w:r w:rsidR="00EB086C" w:rsidRPr="00295637">
        <w:rPr>
          <w:rFonts w:ascii="Times New Roman" w:hAnsi="Times New Roman"/>
        </w:rPr>
        <w:t xml:space="preserve"> </w:t>
      </w:r>
      <w:r w:rsidR="00C6214E">
        <w:rPr>
          <w:rFonts w:ascii="Times New Roman" w:hAnsi="Times New Roman"/>
        </w:rPr>
        <w:t>посебно</w:t>
      </w:r>
      <w:r w:rsidR="00EB086C" w:rsidRPr="00295637">
        <w:rPr>
          <w:rFonts w:ascii="Times New Roman" w:hAnsi="Times New Roman"/>
        </w:rPr>
        <w:t xml:space="preserve"> </w:t>
      </w:r>
      <w:r w:rsidR="00C6214E">
        <w:rPr>
          <w:rFonts w:ascii="Times New Roman" w:hAnsi="Times New Roman"/>
        </w:rPr>
        <w:t>кривично</w:t>
      </w:r>
      <w:r w:rsidR="00EB086C" w:rsidRPr="00295637">
        <w:rPr>
          <w:rFonts w:ascii="Times New Roman" w:hAnsi="Times New Roman"/>
        </w:rPr>
        <w:t xml:space="preserve"> </w:t>
      </w:r>
      <w:r w:rsidR="00C6214E">
        <w:rPr>
          <w:rFonts w:ascii="Times New Roman" w:hAnsi="Times New Roman"/>
        </w:rPr>
        <w:t>дјело</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6214E">
        <w:rPr>
          <w:rFonts w:ascii="Times New Roman" w:hAnsi="Times New Roman"/>
        </w:rPr>
        <w:t>кривичном</w:t>
      </w:r>
      <w:r w:rsidR="00EB086C" w:rsidRPr="00295637">
        <w:rPr>
          <w:rFonts w:ascii="Times New Roman" w:hAnsi="Times New Roman"/>
        </w:rPr>
        <w:t xml:space="preserve"> </w:t>
      </w:r>
      <w:r w:rsidR="00C6214E">
        <w:rPr>
          <w:rFonts w:ascii="Times New Roman" w:hAnsi="Times New Roman"/>
        </w:rPr>
        <w:t>законодавству</w:t>
      </w:r>
      <w:r w:rsidR="00EB086C" w:rsidRPr="00295637">
        <w:rPr>
          <w:rFonts w:ascii="Times New Roman" w:hAnsi="Times New Roman"/>
        </w:rPr>
        <w:t xml:space="preserve"> </w:t>
      </w:r>
      <w:r w:rsidR="00C6214E">
        <w:rPr>
          <w:rFonts w:ascii="Times New Roman" w:hAnsi="Times New Roman"/>
        </w:rPr>
        <w:t>ФБиХ</w:t>
      </w:r>
      <w:r w:rsidR="00EB086C" w:rsidRPr="00295637">
        <w:rPr>
          <w:rFonts w:ascii="Times New Roman" w:hAnsi="Times New Roman"/>
        </w:rPr>
        <w:t xml:space="preserve">” </w:t>
      </w:r>
      <w:r w:rsidR="00C6214E">
        <w:rPr>
          <w:rFonts w:ascii="Times New Roman" w:hAnsi="Times New Roman"/>
        </w:rPr>
        <w:t>у</w:t>
      </w:r>
      <w:r w:rsidR="00EB086C" w:rsidRPr="00295637">
        <w:rPr>
          <w:rFonts w:ascii="Times New Roman" w:hAnsi="Times New Roman"/>
        </w:rPr>
        <w:t xml:space="preserve"> </w:t>
      </w:r>
      <w:r w:rsidR="00C6214E">
        <w:rPr>
          <w:rFonts w:ascii="Times New Roman" w:hAnsi="Times New Roman"/>
        </w:rPr>
        <w:t>организацији</w:t>
      </w:r>
      <w:r w:rsidR="00EB086C" w:rsidRPr="00295637">
        <w:rPr>
          <w:rFonts w:ascii="Times New Roman" w:hAnsi="Times New Roman"/>
        </w:rPr>
        <w:t xml:space="preserve"> </w:t>
      </w:r>
      <w:r w:rsidR="00CF6228" w:rsidRPr="00CF6228">
        <w:rPr>
          <w:rFonts w:ascii="Times New Roman" w:hAnsi="Times New Roman"/>
          <w:i/>
          <w:lang w:val="hr-BA"/>
        </w:rPr>
        <w:t>TPPO</w:t>
      </w:r>
      <w:r w:rsidR="00EB086C" w:rsidRPr="00295637">
        <w:rPr>
          <w:rFonts w:ascii="Times New Roman" w:hAnsi="Times New Roman"/>
        </w:rPr>
        <w:t xml:space="preserve"> </w:t>
      </w:r>
      <w:r w:rsidR="00C6214E">
        <w:rPr>
          <w:rFonts w:ascii="Times New Roman" w:hAnsi="Times New Roman"/>
        </w:rPr>
        <w:t>фонације</w:t>
      </w:r>
      <w:r w:rsidR="00EB086C" w:rsidRPr="00295637">
        <w:rPr>
          <w:rFonts w:ascii="Times New Roman" w:hAnsi="Times New Roman"/>
        </w:rPr>
        <w:t xml:space="preserve"> </w:t>
      </w:r>
      <w:r w:rsidR="00CF6228" w:rsidRPr="00CF6228">
        <w:rPr>
          <w:rFonts w:ascii="Times New Roman" w:hAnsi="Times New Roman"/>
          <w:i/>
          <w:lang w:val="hr-BA"/>
        </w:rPr>
        <w:t xml:space="preserve">I UNIGEM </w:t>
      </w:r>
      <w:r w:rsidR="00C6214E">
        <w:rPr>
          <w:rFonts w:ascii="Times New Roman" w:hAnsi="Times New Roman"/>
        </w:rPr>
        <w:t>и</w:t>
      </w:r>
      <w:r w:rsidR="00EB086C" w:rsidRPr="00295637">
        <w:rPr>
          <w:rFonts w:ascii="Times New Roman" w:hAnsi="Times New Roman"/>
        </w:rPr>
        <w:t xml:space="preserve"> </w:t>
      </w:r>
      <w:r w:rsidR="00C6214E">
        <w:rPr>
          <w:rFonts w:ascii="Times New Roman" w:hAnsi="Times New Roman"/>
        </w:rPr>
        <w:t>слично</w:t>
      </w:r>
      <w:r w:rsidR="00EB086C" w:rsidRPr="00295637">
        <w:rPr>
          <w:rFonts w:ascii="Times New Roman" w:hAnsi="Times New Roman"/>
        </w:rPr>
        <w:t>.</w:t>
      </w:r>
    </w:p>
    <w:p w:rsidR="00085379" w:rsidRPr="00295637" w:rsidRDefault="00085379" w:rsidP="0086268D">
      <w:pPr>
        <w:pStyle w:val="Normal1"/>
        <w:jc w:val="both"/>
        <w:rPr>
          <w:rFonts w:ascii="Times New Roman" w:hAnsi="Times New Roman"/>
        </w:rPr>
      </w:pPr>
    </w:p>
    <w:p w:rsidR="00AA46AB" w:rsidRPr="00295637" w:rsidRDefault="00C6214E" w:rsidP="0086268D">
      <w:pPr>
        <w:jc w:val="both"/>
        <w:rPr>
          <w:szCs w:val="24"/>
          <w:lang w:val="bs-Latn-BA"/>
        </w:rPr>
      </w:pPr>
      <w:r>
        <w:rPr>
          <w:rFonts w:ascii="Times New Roman" w:hAnsi="Times New Roman"/>
          <w:lang w:val="sr-Latn-BA"/>
        </w:rPr>
        <w:t>ЦЈРП</w:t>
      </w:r>
      <w:r w:rsidR="00AA46AB" w:rsidRPr="00295637">
        <w:rPr>
          <w:rFonts w:ascii="Times New Roman" w:hAnsi="Times New Roman"/>
          <w:lang w:val="sr-Latn-BA"/>
        </w:rPr>
        <w:t xml:space="preserve"> </w:t>
      </w:r>
      <w:r>
        <w:rPr>
          <w:rFonts w:ascii="Times New Roman" w:hAnsi="Times New Roman"/>
          <w:lang w:val="sr-Latn-BA"/>
        </w:rPr>
        <w:t>РС</w:t>
      </w:r>
      <w:r w:rsidR="00AA46AB" w:rsidRPr="00295637">
        <w:rPr>
          <w:rFonts w:ascii="Times New Roman" w:hAnsi="Times New Roman"/>
          <w:lang w:val="sr-Latn-BA"/>
        </w:rPr>
        <w:t xml:space="preserve"> </w:t>
      </w:r>
      <w:r>
        <w:rPr>
          <w:rFonts w:ascii="Times New Roman" w:hAnsi="Times New Roman"/>
          <w:lang w:val="sr-Latn-BA"/>
        </w:rPr>
        <w:t>редовно</w:t>
      </w:r>
      <w:r w:rsidR="00AA46AB" w:rsidRPr="00295637">
        <w:rPr>
          <w:rFonts w:ascii="Times New Roman" w:hAnsi="Times New Roman"/>
          <w:lang w:val="sr-Latn-BA"/>
        </w:rPr>
        <w:t xml:space="preserve"> </w:t>
      </w:r>
      <w:r>
        <w:rPr>
          <w:rFonts w:ascii="Times New Roman" w:hAnsi="Times New Roman"/>
          <w:lang w:val="sr-Latn-BA"/>
        </w:rPr>
        <w:t>сарађује</w:t>
      </w:r>
      <w:r w:rsidR="00604697">
        <w:rPr>
          <w:rFonts w:ascii="Times New Roman" w:hAnsi="Times New Roman"/>
          <w:lang w:val="sr-Latn-BA"/>
        </w:rPr>
        <w:t xml:space="preserve"> </w:t>
      </w:r>
      <w:r>
        <w:rPr>
          <w:rFonts w:ascii="Times New Roman" w:hAnsi="Times New Roman"/>
          <w:lang w:val="sr-Latn-BA"/>
        </w:rPr>
        <w:t>са</w:t>
      </w:r>
      <w:r w:rsidR="00AA46AB" w:rsidRPr="00295637">
        <w:rPr>
          <w:rFonts w:ascii="Times New Roman" w:hAnsi="Times New Roman"/>
          <w:lang w:val="sr-Latn-BA"/>
        </w:rPr>
        <w:t xml:space="preserve"> </w:t>
      </w:r>
      <w:r>
        <w:rPr>
          <w:rFonts w:ascii="Times New Roman" w:hAnsi="Times New Roman"/>
          <w:lang w:val="sr-Latn-BA"/>
        </w:rPr>
        <w:t>међународним</w:t>
      </w:r>
      <w:r w:rsidR="00AA46AB" w:rsidRPr="00295637">
        <w:rPr>
          <w:rFonts w:ascii="Times New Roman" w:hAnsi="Times New Roman"/>
          <w:lang w:val="sr-Latn-BA"/>
        </w:rPr>
        <w:t xml:space="preserve"> </w:t>
      </w:r>
      <w:r>
        <w:rPr>
          <w:rFonts w:ascii="Times New Roman" w:hAnsi="Times New Roman"/>
          <w:lang w:val="sr-Latn-BA"/>
        </w:rPr>
        <w:t>организацијама</w:t>
      </w:r>
      <w:r w:rsidR="00AA46AB" w:rsidRPr="00295637">
        <w:rPr>
          <w:rFonts w:ascii="Times New Roman" w:hAnsi="Times New Roman"/>
          <w:lang w:val="sr-Latn-BA"/>
        </w:rPr>
        <w:t xml:space="preserve"> </w:t>
      </w:r>
      <w:r>
        <w:rPr>
          <w:rFonts w:ascii="Times New Roman" w:hAnsi="Times New Roman"/>
          <w:lang w:val="sr-Latn-BA"/>
        </w:rPr>
        <w:t>и</w:t>
      </w:r>
      <w:r w:rsidR="00AA46AB" w:rsidRPr="00295637">
        <w:rPr>
          <w:rFonts w:ascii="Times New Roman" w:hAnsi="Times New Roman"/>
          <w:lang w:val="sr-Latn-BA"/>
        </w:rPr>
        <w:t xml:space="preserve"> </w:t>
      </w:r>
      <w:r>
        <w:rPr>
          <w:rFonts w:ascii="Times New Roman" w:hAnsi="Times New Roman"/>
          <w:lang w:val="sr-Latn-BA"/>
        </w:rPr>
        <w:t>агенцијама</w:t>
      </w:r>
      <w:r w:rsidR="00AA46AB" w:rsidRPr="00295637">
        <w:rPr>
          <w:rFonts w:ascii="Times New Roman" w:hAnsi="Times New Roman"/>
          <w:lang w:val="sr-Latn-BA"/>
        </w:rPr>
        <w:t xml:space="preserve"> </w:t>
      </w:r>
      <w:r>
        <w:rPr>
          <w:rFonts w:ascii="Times New Roman" w:hAnsi="Times New Roman"/>
          <w:lang w:val="sr-Latn-BA"/>
        </w:rPr>
        <w:t>УН</w:t>
      </w:r>
      <w:r w:rsidR="00AA46AB" w:rsidRPr="00295637">
        <w:rPr>
          <w:rFonts w:ascii="Times New Roman" w:hAnsi="Times New Roman"/>
          <w:lang w:val="sr-Latn-BA"/>
        </w:rPr>
        <w:t xml:space="preserve"> </w:t>
      </w: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БиХ</w:t>
      </w:r>
      <w:r w:rsidR="00AA46AB" w:rsidRPr="00295637">
        <w:rPr>
          <w:rFonts w:ascii="Times New Roman" w:hAnsi="Times New Roman"/>
          <w:lang w:val="sr-Latn-BA"/>
        </w:rPr>
        <w:t xml:space="preserve">, </w:t>
      </w:r>
      <w:r>
        <w:rPr>
          <w:rFonts w:ascii="Times New Roman" w:hAnsi="Times New Roman"/>
          <w:lang w:val="sr-Latn-BA"/>
        </w:rPr>
        <w:t>на</w:t>
      </w:r>
      <w:r w:rsidR="00AA46AB" w:rsidRPr="00295637">
        <w:rPr>
          <w:rFonts w:ascii="Times New Roman" w:hAnsi="Times New Roman"/>
          <w:lang w:val="sr-Latn-BA"/>
        </w:rPr>
        <w:t xml:space="preserve"> </w:t>
      </w:r>
      <w:r>
        <w:rPr>
          <w:rFonts w:ascii="Times New Roman" w:hAnsi="Times New Roman"/>
          <w:lang w:val="sr-Latn-BA"/>
        </w:rPr>
        <w:t>програмима</w:t>
      </w:r>
      <w:r w:rsidR="00AA46AB" w:rsidRPr="00295637">
        <w:rPr>
          <w:rFonts w:ascii="Times New Roman" w:hAnsi="Times New Roman"/>
          <w:lang w:val="sr-Latn-BA"/>
        </w:rPr>
        <w:t xml:space="preserve"> </w:t>
      </w:r>
      <w:r>
        <w:rPr>
          <w:rFonts w:ascii="Times New Roman" w:hAnsi="Times New Roman"/>
          <w:lang w:val="sr-Latn-BA"/>
        </w:rPr>
        <w:t>и</w:t>
      </w:r>
      <w:r w:rsidR="00AA46AB" w:rsidRPr="00295637">
        <w:rPr>
          <w:rFonts w:ascii="Times New Roman" w:hAnsi="Times New Roman"/>
          <w:lang w:val="sr-Latn-BA"/>
        </w:rPr>
        <w:t xml:space="preserve"> </w:t>
      </w:r>
      <w:r>
        <w:rPr>
          <w:rFonts w:ascii="Times New Roman" w:hAnsi="Times New Roman"/>
          <w:lang w:val="sr-Latn-BA"/>
        </w:rPr>
        <w:t>пројектима</w:t>
      </w:r>
      <w:r w:rsidR="00AA46AB" w:rsidRPr="00295637">
        <w:rPr>
          <w:rFonts w:ascii="Times New Roman" w:hAnsi="Times New Roman"/>
          <w:lang w:val="sr-Latn-BA"/>
        </w:rPr>
        <w:t xml:space="preserve"> </w:t>
      </w:r>
      <w:r>
        <w:rPr>
          <w:rFonts w:ascii="Times New Roman" w:hAnsi="Times New Roman"/>
          <w:lang w:val="sr-Latn-BA"/>
        </w:rPr>
        <w:t>којима</w:t>
      </w:r>
      <w:r w:rsidR="00AA46AB" w:rsidRPr="00295637">
        <w:rPr>
          <w:rFonts w:ascii="Times New Roman" w:hAnsi="Times New Roman"/>
          <w:lang w:val="sr-Latn-BA"/>
        </w:rPr>
        <w:t xml:space="preserve"> </w:t>
      </w:r>
      <w:r>
        <w:rPr>
          <w:rFonts w:ascii="Times New Roman" w:hAnsi="Times New Roman"/>
          <w:lang w:val="sr-Latn-BA"/>
        </w:rPr>
        <w:t>се</w:t>
      </w:r>
      <w:r w:rsidR="00AA46AB" w:rsidRPr="00295637">
        <w:rPr>
          <w:rFonts w:ascii="Times New Roman" w:hAnsi="Times New Roman"/>
          <w:lang w:val="sr-Latn-BA"/>
        </w:rPr>
        <w:t xml:space="preserve"> </w:t>
      </w:r>
      <w:r>
        <w:rPr>
          <w:rFonts w:ascii="Times New Roman" w:hAnsi="Times New Roman"/>
          <w:lang w:val="sr-Latn-BA"/>
        </w:rPr>
        <w:t>унапређују</w:t>
      </w:r>
      <w:r w:rsidR="00AA46AB" w:rsidRPr="00295637">
        <w:rPr>
          <w:rFonts w:ascii="Times New Roman" w:hAnsi="Times New Roman"/>
          <w:lang w:val="sr-Latn-BA"/>
        </w:rPr>
        <w:t xml:space="preserve"> </w:t>
      </w:r>
      <w:r>
        <w:rPr>
          <w:rFonts w:ascii="Times New Roman" w:hAnsi="Times New Roman"/>
          <w:lang w:val="sr-Latn-BA"/>
        </w:rPr>
        <w:t>равноправност</w:t>
      </w:r>
      <w:r w:rsidR="00AA46AB" w:rsidRPr="00295637">
        <w:rPr>
          <w:rFonts w:ascii="Times New Roman" w:hAnsi="Times New Roman"/>
          <w:lang w:val="sr-Latn-BA"/>
        </w:rPr>
        <w:t xml:space="preserve"> </w:t>
      </w:r>
      <w:r>
        <w:rPr>
          <w:rFonts w:ascii="Times New Roman" w:hAnsi="Times New Roman"/>
          <w:lang w:val="sr-Latn-BA"/>
        </w:rPr>
        <w:t>полова</w:t>
      </w:r>
      <w:r w:rsidR="00AA46AB" w:rsidRPr="00295637">
        <w:rPr>
          <w:rFonts w:ascii="Times New Roman" w:hAnsi="Times New Roman"/>
          <w:lang w:val="sr-Latn-BA"/>
        </w:rPr>
        <w:t xml:space="preserve"> </w:t>
      </w:r>
      <w:r>
        <w:rPr>
          <w:rFonts w:ascii="Times New Roman" w:hAnsi="Times New Roman"/>
          <w:lang w:val="sr-Latn-BA"/>
        </w:rPr>
        <w:t>и</w:t>
      </w:r>
      <w:r w:rsidR="00AA46AB" w:rsidRPr="00295637">
        <w:rPr>
          <w:rFonts w:ascii="Times New Roman" w:hAnsi="Times New Roman"/>
          <w:lang w:val="sr-Latn-BA"/>
        </w:rPr>
        <w:t xml:space="preserve"> </w:t>
      </w:r>
      <w:r>
        <w:rPr>
          <w:rFonts w:ascii="Times New Roman" w:hAnsi="Times New Roman"/>
          <w:lang w:val="sr-Latn-BA"/>
        </w:rPr>
        <w:t>сузбијање</w:t>
      </w:r>
      <w:r w:rsidR="00AA46AB" w:rsidRPr="00295637">
        <w:rPr>
          <w:rFonts w:ascii="Times New Roman" w:hAnsi="Times New Roman"/>
          <w:lang w:val="sr-Latn-BA"/>
        </w:rPr>
        <w:t xml:space="preserve"> </w:t>
      </w:r>
      <w:r>
        <w:rPr>
          <w:rFonts w:ascii="Times New Roman" w:hAnsi="Times New Roman"/>
          <w:lang w:val="sr-Latn-BA"/>
        </w:rPr>
        <w:t>насиља</w:t>
      </w:r>
      <w:r w:rsidR="00AA46AB" w:rsidRPr="00295637">
        <w:rPr>
          <w:rFonts w:ascii="Times New Roman" w:hAnsi="Times New Roman"/>
          <w:lang w:val="sr-Latn-BA"/>
        </w:rPr>
        <w:t xml:space="preserve"> </w:t>
      </w:r>
      <w:r>
        <w:rPr>
          <w:rFonts w:ascii="Times New Roman" w:hAnsi="Times New Roman"/>
          <w:lang w:val="sr-Latn-BA"/>
        </w:rPr>
        <w:t>над</w:t>
      </w:r>
      <w:r w:rsidR="00AA46AB" w:rsidRPr="00295637">
        <w:rPr>
          <w:rFonts w:ascii="Times New Roman" w:hAnsi="Times New Roman"/>
          <w:lang w:val="sr-Latn-BA"/>
        </w:rPr>
        <w:t xml:space="preserve"> </w:t>
      </w:r>
      <w:r>
        <w:rPr>
          <w:rFonts w:ascii="Times New Roman" w:hAnsi="Times New Roman"/>
          <w:lang w:val="sr-Latn-BA"/>
        </w:rPr>
        <w:t>женама</w:t>
      </w:r>
      <w:r w:rsidR="00AA46AB" w:rsidRPr="00295637">
        <w:rPr>
          <w:rFonts w:ascii="Times New Roman" w:hAnsi="Times New Roman"/>
          <w:lang w:val="sr-Latn-BA"/>
        </w:rPr>
        <w:t xml:space="preserve"> </w:t>
      </w:r>
      <w:r>
        <w:rPr>
          <w:rFonts w:ascii="Times New Roman" w:hAnsi="Times New Roman"/>
          <w:lang w:val="sr-Latn-BA"/>
        </w:rPr>
        <w:t>и</w:t>
      </w:r>
      <w:r w:rsidR="00AA46AB" w:rsidRPr="00295637">
        <w:rPr>
          <w:rFonts w:ascii="Times New Roman" w:hAnsi="Times New Roman"/>
          <w:lang w:val="sr-Latn-BA"/>
        </w:rPr>
        <w:t xml:space="preserve"> </w:t>
      </w:r>
      <w:r>
        <w:rPr>
          <w:rFonts w:ascii="Times New Roman" w:hAnsi="Times New Roman"/>
          <w:lang w:val="sr-Latn-BA"/>
        </w:rPr>
        <w:t>насиља</w:t>
      </w:r>
      <w:r w:rsidR="00AA46AB" w:rsidRPr="00295637">
        <w:rPr>
          <w:rFonts w:ascii="Times New Roman" w:hAnsi="Times New Roman"/>
          <w:lang w:val="sr-Latn-BA"/>
        </w:rPr>
        <w:t xml:space="preserve"> </w:t>
      </w: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породици</w:t>
      </w:r>
      <w:r w:rsidR="00AA46AB" w:rsidRPr="00295637">
        <w:rPr>
          <w:rFonts w:ascii="Times New Roman" w:hAnsi="Times New Roman"/>
          <w:lang w:val="sr-Latn-BA"/>
        </w:rPr>
        <w:t xml:space="preserve">. </w:t>
      </w:r>
      <w:r>
        <w:rPr>
          <w:rFonts w:ascii="Times New Roman" w:hAnsi="Times New Roman"/>
          <w:lang w:val="sr-Latn-BA"/>
        </w:rPr>
        <w:t>ЦЈРП</w:t>
      </w:r>
      <w:r w:rsidR="00DB4EC7" w:rsidRPr="00295637">
        <w:rPr>
          <w:rFonts w:ascii="Times New Roman" w:hAnsi="Times New Roman"/>
          <w:lang w:val="sr-Latn-BA"/>
        </w:rPr>
        <w:t xml:space="preserve"> </w:t>
      </w:r>
      <w:r>
        <w:rPr>
          <w:rFonts w:ascii="Times New Roman" w:hAnsi="Times New Roman"/>
          <w:lang w:val="sr-Latn-BA"/>
        </w:rPr>
        <w:t>РС</w:t>
      </w:r>
      <w:r w:rsidR="00DB4EC7" w:rsidRPr="00295637">
        <w:rPr>
          <w:rFonts w:ascii="Times New Roman" w:hAnsi="Times New Roman"/>
          <w:lang w:val="sr-Latn-BA"/>
        </w:rPr>
        <w:t xml:space="preserve"> </w:t>
      </w:r>
      <w:r>
        <w:rPr>
          <w:rFonts w:ascii="Times New Roman" w:hAnsi="Times New Roman"/>
          <w:lang w:val="sr-Latn-BA"/>
        </w:rPr>
        <w:t>је</w:t>
      </w:r>
      <w:r w:rsidR="00DB4EC7" w:rsidRPr="00295637">
        <w:rPr>
          <w:rFonts w:ascii="Times New Roman" w:hAnsi="Times New Roman"/>
          <w:lang w:val="sr-Latn-BA"/>
        </w:rPr>
        <w:t xml:space="preserve"> </w:t>
      </w:r>
      <w:r>
        <w:rPr>
          <w:rFonts w:ascii="Times New Roman" w:hAnsi="Times New Roman"/>
          <w:lang w:val="sr-Latn-BA"/>
        </w:rPr>
        <w:t>учествовао</w:t>
      </w:r>
      <w:r w:rsidR="0060469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DB4EC7" w:rsidRPr="00295637">
        <w:rPr>
          <w:rFonts w:ascii="Times New Roman" w:hAnsi="Times New Roman"/>
          <w:lang w:val="sr-Cyrl-BA"/>
        </w:rPr>
        <w:t xml:space="preserve"> </w:t>
      </w:r>
      <w:r>
        <w:rPr>
          <w:rFonts w:ascii="Times New Roman" w:hAnsi="Times New Roman"/>
          <w:lang w:val="sr-Cyrl-BA"/>
        </w:rPr>
        <w:t>излагањем</w:t>
      </w:r>
      <w:r w:rsidR="00DB4EC7" w:rsidRPr="00295637">
        <w:rPr>
          <w:rFonts w:ascii="Times New Roman" w:hAnsi="Times New Roman"/>
          <w:lang w:val="sr-Cyrl-BA"/>
        </w:rPr>
        <w:t xml:space="preserve"> </w:t>
      </w:r>
      <w:r>
        <w:rPr>
          <w:rFonts w:ascii="Times New Roman" w:hAnsi="Times New Roman"/>
          <w:lang w:val="sr-Cyrl-BA"/>
        </w:rPr>
        <w:t>на</w:t>
      </w:r>
      <w:r w:rsidR="00DB4EC7" w:rsidRPr="00295637">
        <w:rPr>
          <w:rFonts w:ascii="Times New Roman" w:hAnsi="Times New Roman"/>
          <w:lang w:val="sr-Cyrl-BA"/>
        </w:rPr>
        <w:t xml:space="preserve"> </w:t>
      </w:r>
      <w:r>
        <w:rPr>
          <w:rFonts w:ascii="Times New Roman" w:hAnsi="Times New Roman"/>
          <w:lang w:val="sr-Cyrl-BA"/>
        </w:rPr>
        <w:t>међународној</w:t>
      </w:r>
      <w:r w:rsidR="00DB4EC7" w:rsidRPr="00295637">
        <w:rPr>
          <w:rFonts w:ascii="Times New Roman" w:hAnsi="Times New Roman"/>
          <w:lang w:val="sr-Cyrl-BA"/>
        </w:rPr>
        <w:t xml:space="preserve"> </w:t>
      </w:r>
      <w:r>
        <w:rPr>
          <w:rFonts w:ascii="Times New Roman" w:hAnsi="Times New Roman"/>
          <w:lang w:val="sr-Cyrl-BA"/>
        </w:rPr>
        <w:t>конференцији</w:t>
      </w:r>
      <w:r w:rsidR="00DB4EC7" w:rsidRPr="00295637">
        <w:rPr>
          <w:rFonts w:ascii="Times New Roman" w:hAnsi="Times New Roman"/>
          <w:lang w:val="sr-Cyrl-BA"/>
        </w:rPr>
        <w:t xml:space="preserve"> </w:t>
      </w:r>
      <w:r>
        <w:rPr>
          <w:rFonts w:ascii="Times New Roman" w:hAnsi="Times New Roman"/>
          <w:lang w:val="sr-Cyrl-BA"/>
        </w:rPr>
        <w:t>у</w:t>
      </w:r>
      <w:r w:rsidR="00DB4EC7" w:rsidRPr="00295637">
        <w:rPr>
          <w:rFonts w:ascii="Times New Roman" w:hAnsi="Times New Roman"/>
          <w:lang w:val="sr-Cyrl-BA"/>
        </w:rPr>
        <w:t xml:space="preserve"> </w:t>
      </w:r>
      <w:r>
        <w:rPr>
          <w:rFonts w:ascii="Times New Roman" w:hAnsi="Times New Roman"/>
          <w:lang w:val="sr-Cyrl-BA"/>
        </w:rPr>
        <w:t>оквиру</w:t>
      </w:r>
      <w:r w:rsidR="00DB4EC7" w:rsidRPr="00295637">
        <w:rPr>
          <w:rFonts w:ascii="Times New Roman" w:hAnsi="Times New Roman"/>
          <w:lang w:val="sr-Cyrl-BA"/>
        </w:rPr>
        <w:t xml:space="preserve"> </w:t>
      </w:r>
      <w:r>
        <w:rPr>
          <w:rFonts w:ascii="Times New Roman" w:hAnsi="Times New Roman"/>
          <w:lang w:val="sr-Cyrl-BA"/>
        </w:rPr>
        <w:t>кампање</w:t>
      </w:r>
      <w:r w:rsidR="00DB4EC7" w:rsidRPr="00295637">
        <w:rPr>
          <w:rFonts w:ascii="Times New Roman" w:hAnsi="Times New Roman"/>
          <w:lang w:val="sr-Cyrl-BA"/>
        </w:rPr>
        <w:t xml:space="preserve"> „</w:t>
      </w:r>
      <w:r>
        <w:rPr>
          <w:rFonts w:ascii="Times New Roman" w:hAnsi="Times New Roman"/>
          <w:lang w:val="sr-Cyrl-BA"/>
        </w:rPr>
        <w:t>Стоп</w:t>
      </w:r>
      <w:r w:rsidR="00DB4EC7" w:rsidRPr="00295637">
        <w:rPr>
          <w:rFonts w:ascii="Times New Roman" w:hAnsi="Times New Roman"/>
          <w:lang w:val="sr-Cyrl-BA"/>
        </w:rPr>
        <w:t xml:space="preserve"> </w:t>
      </w:r>
      <w:r>
        <w:rPr>
          <w:rFonts w:ascii="Times New Roman" w:hAnsi="Times New Roman"/>
          <w:lang w:val="sr-Cyrl-BA"/>
        </w:rPr>
        <w:t>фемициду</w:t>
      </w:r>
      <w:r w:rsidR="00DB4EC7" w:rsidRPr="00295637">
        <w:rPr>
          <w:rFonts w:ascii="Times New Roman" w:hAnsi="Times New Roman"/>
          <w:lang w:val="sr-Cyrl-BA"/>
        </w:rPr>
        <w:t xml:space="preserve">! 16 </w:t>
      </w:r>
      <w:r>
        <w:rPr>
          <w:rFonts w:ascii="Times New Roman" w:hAnsi="Times New Roman"/>
          <w:lang w:val="sr-Cyrl-BA"/>
        </w:rPr>
        <w:t>дана</w:t>
      </w:r>
      <w:r w:rsidR="00DB4EC7" w:rsidRPr="00295637">
        <w:rPr>
          <w:rFonts w:ascii="Times New Roman" w:hAnsi="Times New Roman"/>
          <w:lang w:val="sr-Cyrl-BA"/>
        </w:rPr>
        <w:t xml:space="preserve"> </w:t>
      </w:r>
      <w:r>
        <w:rPr>
          <w:rFonts w:ascii="Times New Roman" w:hAnsi="Times New Roman"/>
          <w:lang w:val="sr-Cyrl-BA"/>
        </w:rPr>
        <w:t>активизма</w:t>
      </w:r>
      <w:r w:rsidR="00DB4EC7" w:rsidRPr="00295637">
        <w:rPr>
          <w:rFonts w:ascii="Times New Roman" w:hAnsi="Times New Roman"/>
          <w:lang w:val="sr-Cyrl-BA"/>
        </w:rPr>
        <w:t xml:space="preserve"> – </w:t>
      </w:r>
      <w:r>
        <w:rPr>
          <w:rFonts w:ascii="Times New Roman" w:hAnsi="Times New Roman"/>
          <w:lang w:val="sr-Latn-BA"/>
        </w:rPr>
        <w:t>Свет</w:t>
      </w:r>
      <w:r w:rsidR="00DB4EC7" w:rsidRPr="00295637">
        <w:rPr>
          <w:rFonts w:ascii="Times New Roman" w:hAnsi="Times New Roman"/>
          <w:lang w:val="sr-Latn-BA"/>
        </w:rPr>
        <w:t xml:space="preserve"> </w:t>
      </w:r>
      <w:r>
        <w:rPr>
          <w:rFonts w:ascii="Times New Roman" w:hAnsi="Times New Roman"/>
          <w:lang w:val="sr-Latn-BA"/>
        </w:rPr>
        <w:t>без</w:t>
      </w:r>
      <w:r w:rsidR="00DB4EC7" w:rsidRPr="00295637">
        <w:rPr>
          <w:rFonts w:ascii="Times New Roman" w:hAnsi="Times New Roman"/>
          <w:lang w:val="sr-Latn-BA"/>
        </w:rPr>
        <w:t xml:space="preserve"> </w:t>
      </w:r>
      <w:r>
        <w:rPr>
          <w:rFonts w:ascii="Times New Roman" w:hAnsi="Times New Roman"/>
          <w:lang w:val="sr-Latn-BA"/>
        </w:rPr>
        <w:t>насиља</w:t>
      </w:r>
      <w:r w:rsidR="00604697">
        <w:rPr>
          <w:rFonts w:ascii="Times New Roman" w:hAnsi="Times New Roman"/>
          <w:lang w:val="hr-HR"/>
        </w:rPr>
        <w:t>“</w:t>
      </w:r>
      <w:r w:rsidR="00DB4EC7" w:rsidRPr="00295637">
        <w:rPr>
          <w:rFonts w:ascii="Times New Roman" w:hAnsi="Times New Roman"/>
          <w:lang w:val="sr-Cyrl-BA"/>
        </w:rPr>
        <w:t xml:space="preserve"> </w:t>
      </w:r>
      <w:r>
        <w:rPr>
          <w:rFonts w:ascii="Times New Roman" w:hAnsi="Times New Roman"/>
          <w:lang w:val="sr-Latn-BA"/>
        </w:rPr>
        <w:t>у</w:t>
      </w:r>
      <w:r w:rsidR="00DB4EC7" w:rsidRPr="00295637">
        <w:rPr>
          <w:rFonts w:ascii="Times New Roman" w:hAnsi="Times New Roman"/>
          <w:lang w:val="sr-Cyrl-BA"/>
        </w:rPr>
        <w:t xml:space="preserve"> </w:t>
      </w:r>
      <w:r>
        <w:rPr>
          <w:rFonts w:ascii="Times New Roman" w:hAnsi="Times New Roman"/>
          <w:lang w:val="sr-Cyrl-BA"/>
        </w:rPr>
        <w:t>Београд</w:t>
      </w:r>
      <w:r>
        <w:rPr>
          <w:rFonts w:ascii="Times New Roman" w:hAnsi="Times New Roman"/>
          <w:lang w:val="sr-Latn-BA"/>
        </w:rPr>
        <w:t>у</w:t>
      </w:r>
      <w:r w:rsidR="00DB4EC7" w:rsidRPr="00295637">
        <w:rPr>
          <w:rFonts w:ascii="Times New Roman" w:hAnsi="Times New Roman"/>
          <w:lang w:val="sr-Cyrl-BA"/>
        </w:rPr>
        <w:t xml:space="preserve">, </w:t>
      </w:r>
      <w:r>
        <w:rPr>
          <w:rFonts w:ascii="Times New Roman" w:hAnsi="Times New Roman"/>
          <w:lang w:val="sr-Latn-BA"/>
        </w:rPr>
        <w:t>у</w:t>
      </w:r>
      <w:r w:rsidR="00DB4EC7" w:rsidRPr="00295637">
        <w:rPr>
          <w:rFonts w:ascii="Times New Roman" w:hAnsi="Times New Roman"/>
          <w:lang w:val="sr-Latn-BA"/>
        </w:rPr>
        <w:t xml:space="preserve"> </w:t>
      </w:r>
      <w:r>
        <w:rPr>
          <w:rFonts w:ascii="Times New Roman" w:hAnsi="Times New Roman"/>
          <w:lang w:val="sr-Latn-BA"/>
        </w:rPr>
        <w:t>организацији</w:t>
      </w:r>
      <w:r w:rsidR="00DB4EC7" w:rsidRPr="00295637">
        <w:rPr>
          <w:rFonts w:ascii="Times New Roman" w:hAnsi="Times New Roman"/>
          <w:lang w:val="sr-Latn-BA"/>
        </w:rPr>
        <w:t xml:space="preserve"> </w:t>
      </w:r>
      <w:r>
        <w:rPr>
          <w:rFonts w:ascii="Times New Roman" w:hAnsi="Times New Roman"/>
          <w:lang w:val="sr-Cyrl-BA"/>
        </w:rPr>
        <w:t>Влад</w:t>
      </w:r>
      <w:r>
        <w:rPr>
          <w:rFonts w:ascii="Times New Roman" w:hAnsi="Times New Roman"/>
          <w:lang w:val="sr-Latn-BA"/>
        </w:rPr>
        <w:t>е</w:t>
      </w:r>
      <w:r w:rsidR="00DB4EC7" w:rsidRPr="00295637">
        <w:rPr>
          <w:rFonts w:ascii="Times New Roman" w:hAnsi="Times New Roman"/>
          <w:lang w:val="sr-Cyrl-BA"/>
        </w:rPr>
        <w:t xml:space="preserve"> </w:t>
      </w:r>
      <w:r>
        <w:rPr>
          <w:rFonts w:ascii="Times New Roman" w:hAnsi="Times New Roman"/>
          <w:lang w:val="sr-Cyrl-BA"/>
        </w:rPr>
        <w:t>Републике</w:t>
      </w:r>
      <w:r w:rsidR="00DB4EC7" w:rsidRPr="00295637">
        <w:rPr>
          <w:rFonts w:ascii="Times New Roman" w:hAnsi="Times New Roman"/>
          <w:lang w:val="sr-Cyrl-BA"/>
        </w:rPr>
        <w:t xml:space="preserve"> </w:t>
      </w:r>
      <w:r>
        <w:rPr>
          <w:rFonts w:ascii="Times New Roman" w:hAnsi="Times New Roman"/>
          <w:lang w:val="sr-Cyrl-BA"/>
        </w:rPr>
        <w:t>Србије</w:t>
      </w:r>
      <w:r w:rsidR="00DB4EC7" w:rsidRPr="00295637">
        <w:rPr>
          <w:rFonts w:ascii="Times New Roman" w:hAnsi="Times New Roman"/>
          <w:lang w:val="sr-Latn-BA"/>
        </w:rPr>
        <w:t xml:space="preserve">. </w:t>
      </w:r>
      <w:r w:rsidR="00CF6228">
        <w:rPr>
          <w:rFonts w:ascii="Times New Roman" w:hAnsi="Times New Roman"/>
          <w:lang w:val="sr-Latn-BA"/>
        </w:rPr>
        <w:t>Такође</w:t>
      </w:r>
      <w:r w:rsidR="00DB4EC7" w:rsidRPr="00295637">
        <w:rPr>
          <w:rFonts w:ascii="Times New Roman" w:hAnsi="Times New Roman"/>
          <w:lang w:val="sr-Latn-BA"/>
        </w:rPr>
        <w:t xml:space="preserve"> </w:t>
      </w:r>
      <w:r>
        <w:rPr>
          <w:rFonts w:ascii="Times New Roman" w:hAnsi="Times New Roman"/>
          <w:lang w:val="sr-Latn-BA"/>
        </w:rPr>
        <w:t>је</w:t>
      </w:r>
      <w:r w:rsidR="00DB4EC7" w:rsidRPr="00295637">
        <w:rPr>
          <w:rFonts w:ascii="Times New Roman" w:hAnsi="Times New Roman"/>
          <w:lang w:val="sr-Latn-BA"/>
        </w:rPr>
        <w:t xml:space="preserve"> </w:t>
      </w:r>
      <w:r>
        <w:rPr>
          <w:rFonts w:ascii="Times New Roman" w:hAnsi="Times New Roman"/>
          <w:lang w:val="sr-Cyrl-BA"/>
        </w:rPr>
        <w:t>присуствова</w:t>
      </w:r>
      <w:r>
        <w:rPr>
          <w:rFonts w:ascii="Times New Roman" w:hAnsi="Times New Roman"/>
          <w:lang w:val="sr-Latn-BA"/>
        </w:rPr>
        <w:t>о</w:t>
      </w:r>
      <w:r w:rsidR="00DB4EC7" w:rsidRPr="00295637">
        <w:rPr>
          <w:rFonts w:ascii="Times New Roman" w:hAnsi="Times New Roman"/>
          <w:lang w:val="sr-Cyrl-BA"/>
        </w:rPr>
        <w:t xml:space="preserve"> </w:t>
      </w:r>
      <w:r>
        <w:rPr>
          <w:rFonts w:ascii="Times New Roman" w:hAnsi="Times New Roman"/>
          <w:lang w:val="sr-Cyrl-BA"/>
        </w:rPr>
        <w:t>обиљежавању</w:t>
      </w:r>
      <w:r w:rsidR="00DB4EC7" w:rsidRPr="00295637">
        <w:rPr>
          <w:rFonts w:ascii="Times New Roman" w:hAnsi="Times New Roman"/>
          <w:lang w:val="sr-Cyrl-BA"/>
        </w:rPr>
        <w:t xml:space="preserve"> 20 </w:t>
      </w:r>
      <w:r>
        <w:rPr>
          <w:rFonts w:ascii="Times New Roman" w:hAnsi="Times New Roman"/>
          <w:lang w:val="sr-Cyrl-BA"/>
        </w:rPr>
        <w:t>година</w:t>
      </w:r>
      <w:r w:rsidR="00DB4EC7" w:rsidRPr="00295637">
        <w:rPr>
          <w:rFonts w:ascii="Times New Roman" w:hAnsi="Times New Roman"/>
          <w:lang w:val="sr-Cyrl-BA"/>
        </w:rPr>
        <w:t xml:space="preserve"> </w:t>
      </w:r>
      <w:r>
        <w:rPr>
          <w:rFonts w:ascii="Times New Roman" w:hAnsi="Times New Roman"/>
          <w:lang w:val="sr-Cyrl-BA"/>
        </w:rPr>
        <w:t>од</w:t>
      </w:r>
      <w:r w:rsidR="00DB4EC7" w:rsidRPr="00295637">
        <w:rPr>
          <w:rFonts w:ascii="Times New Roman" w:hAnsi="Times New Roman"/>
          <w:lang w:val="sr-Cyrl-BA"/>
        </w:rPr>
        <w:t xml:space="preserve"> </w:t>
      </w:r>
      <w:r>
        <w:rPr>
          <w:rFonts w:ascii="Times New Roman" w:hAnsi="Times New Roman"/>
          <w:lang w:val="sr-Cyrl-BA"/>
        </w:rPr>
        <w:t>оснивања</w:t>
      </w:r>
      <w:r w:rsidR="00DB4EC7" w:rsidRPr="00295637">
        <w:rPr>
          <w:rFonts w:ascii="Times New Roman" w:hAnsi="Times New Roman"/>
          <w:lang w:val="sr-Cyrl-BA"/>
        </w:rPr>
        <w:t xml:space="preserve"> </w:t>
      </w:r>
      <w:r>
        <w:rPr>
          <w:rFonts w:ascii="Times New Roman" w:hAnsi="Times New Roman"/>
          <w:lang w:val="sr-Cyrl-BA"/>
        </w:rPr>
        <w:t>Завода</w:t>
      </w:r>
      <w:r w:rsidR="00DB4EC7" w:rsidRPr="00295637">
        <w:rPr>
          <w:rFonts w:ascii="Times New Roman" w:hAnsi="Times New Roman"/>
          <w:lang w:val="sr-Cyrl-BA"/>
        </w:rPr>
        <w:t xml:space="preserve"> </w:t>
      </w:r>
      <w:r>
        <w:rPr>
          <w:rFonts w:ascii="Times New Roman" w:hAnsi="Times New Roman"/>
          <w:lang w:val="sr-Cyrl-BA"/>
        </w:rPr>
        <w:t>за</w:t>
      </w:r>
      <w:r w:rsidR="00DB4EC7" w:rsidRPr="00295637">
        <w:rPr>
          <w:rFonts w:ascii="Times New Roman" w:hAnsi="Times New Roman"/>
          <w:lang w:val="sr-Cyrl-BA"/>
        </w:rPr>
        <w:t xml:space="preserve"> </w:t>
      </w:r>
      <w:r>
        <w:rPr>
          <w:rFonts w:ascii="Times New Roman" w:hAnsi="Times New Roman"/>
          <w:lang w:val="sr-Cyrl-BA"/>
        </w:rPr>
        <w:t>равноправност</w:t>
      </w:r>
      <w:r w:rsidR="00DB4EC7" w:rsidRPr="00295637">
        <w:rPr>
          <w:rFonts w:ascii="Times New Roman" w:hAnsi="Times New Roman"/>
          <w:lang w:val="sr-Cyrl-BA"/>
        </w:rPr>
        <w:t xml:space="preserve"> </w:t>
      </w:r>
      <w:r>
        <w:rPr>
          <w:rFonts w:ascii="Times New Roman" w:hAnsi="Times New Roman"/>
          <w:lang w:val="sr-Cyrl-BA"/>
        </w:rPr>
        <w:t>полова</w:t>
      </w:r>
      <w:r w:rsidR="00DB4EC7" w:rsidRPr="00295637">
        <w:rPr>
          <w:rFonts w:ascii="Times New Roman" w:hAnsi="Times New Roman"/>
          <w:lang w:val="sr-Latn-BA"/>
        </w:rPr>
        <w:t xml:space="preserve"> </w:t>
      </w:r>
      <w:r>
        <w:rPr>
          <w:rFonts w:ascii="Times New Roman" w:hAnsi="Times New Roman"/>
          <w:lang w:val="sr-Latn-BA"/>
        </w:rPr>
        <w:t>АП</w:t>
      </w:r>
      <w:r w:rsidR="00DB4EC7" w:rsidRPr="00295637">
        <w:rPr>
          <w:rFonts w:ascii="Times New Roman" w:hAnsi="Times New Roman"/>
          <w:lang w:val="sr-Latn-BA"/>
        </w:rPr>
        <w:t xml:space="preserve"> </w:t>
      </w:r>
      <w:r>
        <w:rPr>
          <w:rFonts w:ascii="Times New Roman" w:hAnsi="Times New Roman"/>
          <w:lang w:val="sr-Latn-BA"/>
        </w:rPr>
        <w:t>Војводине</w:t>
      </w:r>
      <w:r w:rsidR="00604697">
        <w:rPr>
          <w:rFonts w:ascii="Times New Roman" w:hAnsi="Times New Roman"/>
          <w:lang w:val="sr-Latn-BA"/>
        </w:rPr>
        <w:t xml:space="preserve">, </w:t>
      </w:r>
      <w:r>
        <w:rPr>
          <w:rFonts w:ascii="Times New Roman" w:hAnsi="Times New Roman"/>
          <w:lang w:val="sr-Latn-BA"/>
        </w:rPr>
        <w:t>у</w:t>
      </w:r>
      <w:r w:rsidR="00604697">
        <w:rPr>
          <w:rFonts w:ascii="Times New Roman" w:hAnsi="Times New Roman"/>
          <w:lang w:val="sr-Latn-BA"/>
        </w:rPr>
        <w:t xml:space="preserve"> </w:t>
      </w:r>
      <w:r>
        <w:rPr>
          <w:rFonts w:ascii="Times New Roman" w:hAnsi="Times New Roman"/>
          <w:lang w:val="sr-Latn-BA"/>
        </w:rPr>
        <w:t>Републици</w:t>
      </w:r>
      <w:r w:rsidR="00604697">
        <w:rPr>
          <w:rFonts w:ascii="Times New Roman" w:hAnsi="Times New Roman"/>
          <w:lang w:val="sr-Latn-BA"/>
        </w:rPr>
        <w:t xml:space="preserve"> </w:t>
      </w:r>
      <w:r>
        <w:rPr>
          <w:rFonts w:ascii="Times New Roman" w:hAnsi="Times New Roman"/>
          <w:lang w:val="sr-Latn-BA"/>
        </w:rPr>
        <w:t>Србији</w:t>
      </w:r>
      <w:r w:rsidR="00604697">
        <w:rPr>
          <w:rFonts w:ascii="Times New Roman" w:hAnsi="Times New Roman"/>
          <w:lang w:val="sr-Latn-BA"/>
        </w:rPr>
        <w:t xml:space="preserve">, </w:t>
      </w:r>
      <w:r>
        <w:rPr>
          <w:rFonts w:ascii="Times New Roman" w:hAnsi="Times New Roman"/>
          <w:lang w:val="sr-Latn-BA"/>
        </w:rPr>
        <w:t>са</w:t>
      </w:r>
      <w:r w:rsidR="00DB4EC7" w:rsidRPr="00295637">
        <w:rPr>
          <w:rFonts w:ascii="Times New Roman" w:hAnsi="Times New Roman"/>
          <w:lang w:val="sr-Latn-BA"/>
        </w:rPr>
        <w:t xml:space="preserve"> </w:t>
      </w:r>
      <w:r>
        <w:rPr>
          <w:rFonts w:ascii="Times New Roman" w:hAnsi="Times New Roman"/>
          <w:lang w:val="sr-Latn-BA"/>
        </w:rPr>
        <w:t>којим</w:t>
      </w:r>
      <w:r w:rsidR="00DB4EC7" w:rsidRPr="00295637">
        <w:rPr>
          <w:rFonts w:ascii="Times New Roman" w:hAnsi="Times New Roman"/>
          <w:lang w:val="sr-Latn-BA"/>
        </w:rPr>
        <w:t xml:space="preserve"> </w:t>
      </w:r>
      <w:r>
        <w:rPr>
          <w:rFonts w:ascii="Times New Roman" w:hAnsi="Times New Roman"/>
          <w:lang w:val="sr-Latn-BA"/>
        </w:rPr>
        <w:t>је</w:t>
      </w:r>
      <w:r w:rsidR="00DB4EC7" w:rsidRPr="00295637">
        <w:rPr>
          <w:rFonts w:ascii="Times New Roman" w:hAnsi="Times New Roman"/>
          <w:lang w:val="sr-Latn-BA"/>
        </w:rPr>
        <w:t xml:space="preserve"> </w:t>
      </w:r>
      <w:r>
        <w:rPr>
          <w:rFonts w:ascii="Times New Roman" w:hAnsi="Times New Roman"/>
          <w:lang w:val="sr-Latn-BA"/>
        </w:rPr>
        <w:t>ЦЈРП</w:t>
      </w:r>
      <w:r w:rsidR="00DB4EC7" w:rsidRPr="00295637">
        <w:rPr>
          <w:rFonts w:ascii="Times New Roman" w:hAnsi="Times New Roman"/>
          <w:lang w:val="sr-Latn-BA"/>
        </w:rPr>
        <w:t xml:space="preserve"> </w:t>
      </w:r>
      <w:r>
        <w:rPr>
          <w:rFonts w:ascii="Times New Roman" w:hAnsi="Times New Roman"/>
          <w:lang w:val="sr-Latn-BA"/>
        </w:rPr>
        <w:t>РС</w:t>
      </w:r>
      <w:r w:rsidR="00DB4EC7" w:rsidRPr="00295637">
        <w:rPr>
          <w:rFonts w:ascii="Times New Roman" w:hAnsi="Times New Roman"/>
          <w:lang w:val="sr-Latn-BA"/>
        </w:rPr>
        <w:t xml:space="preserve"> </w:t>
      </w:r>
      <w:r>
        <w:rPr>
          <w:rFonts w:ascii="Times New Roman" w:hAnsi="Times New Roman"/>
          <w:lang w:val="sr-Latn-BA"/>
        </w:rPr>
        <w:t>раније</w:t>
      </w:r>
      <w:r w:rsidR="00DB4EC7" w:rsidRPr="00295637">
        <w:rPr>
          <w:rFonts w:ascii="Times New Roman" w:hAnsi="Times New Roman"/>
          <w:lang w:val="sr-Latn-BA"/>
        </w:rPr>
        <w:t xml:space="preserve"> </w:t>
      </w:r>
      <w:r>
        <w:rPr>
          <w:rFonts w:ascii="Times New Roman" w:hAnsi="Times New Roman"/>
          <w:lang w:val="sr-Latn-BA"/>
        </w:rPr>
        <w:t>у</w:t>
      </w:r>
      <w:r w:rsidR="00DB4EC7" w:rsidRPr="00295637">
        <w:rPr>
          <w:rFonts w:ascii="Times New Roman" w:hAnsi="Times New Roman"/>
          <w:lang w:val="sr-Latn-BA"/>
        </w:rPr>
        <w:t xml:space="preserve"> </w:t>
      </w:r>
      <w:r>
        <w:rPr>
          <w:rFonts w:ascii="Times New Roman" w:hAnsi="Times New Roman"/>
          <w:lang w:val="sr-Latn-BA"/>
        </w:rPr>
        <w:t>извјештајном</w:t>
      </w:r>
      <w:r w:rsidR="00DB4EC7" w:rsidRPr="00295637">
        <w:rPr>
          <w:rFonts w:ascii="Times New Roman" w:hAnsi="Times New Roman"/>
          <w:lang w:val="sr-Latn-BA"/>
        </w:rPr>
        <w:t xml:space="preserve"> </w:t>
      </w:r>
      <w:r>
        <w:rPr>
          <w:rFonts w:ascii="Times New Roman" w:hAnsi="Times New Roman"/>
          <w:lang w:val="sr-Latn-BA"/>
        </w:rPr>
        <w:t>периоду</w:t>
      </w:r>
      <w:r w:rsidR="00DB4EC7" w:rsidRPr="00295637">
        <w:rPr>
          <w:rFonts w:ascii="Times New Roman" w:hAnsi="Times New Roman"/>
          <w:lang w:val="sr-Latn-BA"/>
        </w:rPr>
        <w:t xml:space="preserve"> </w:t>
      </w:r>
      <w:r>
        <w:rPr>
          <w:rFonts w:ascii="Times New Roman" w:hAnsi="Times New Roman"/>
          <w:lang w:val="sr-Latn-BA"/>
        </w:rPr>
        <w:t>потписао</w:t>
      </w:r>
      <w:r w:rsidR="00DB4EC7" w:rsidRPr="00295637">
        <w:rPr>
          <w:rFonts w:ascii="Times New Roman" w:hAnsi="Times New Roman"/>
          <w:lang w:val="sr-Latn-BA"/>
        </w:rPr>
        <w:t xml:space="preserve"> </w:t>
      </w:r>
      <w:r>
        <w:rPr>
          <w:rFonts w:ascii="Times New Roman" w:hAnsi="Times New Roman"/>
          <w:lang w:val="sr-Latn-BA"/>
        </w:rPr>
        <w:t>Меморандум</w:t>
      </w:r>
      <w:r w:rsidR="00DB4EC7" w:rsidRPr="00295637">
        <w:rPr>
          <w:rFonts w:ascii="Times New Roman" w:hAnsi="Times New Roman"/>
          <w:lang w:val="sr-Latn-BA"/>
        </w:rPr>
        <w:t xml:space="preserve"> </w:t>
      </w:r>
      <w:r>
        <w:rPr>
          <w:rFonts w:ascii="Times New Roman" w:hAnsi="Times New Roman"/>
          <w:lang w:val="sr-Latn-BA"/>
        </w:rPr>
        <w:t>о</w:t>
      </w:r>
      <w:r w:rsidR="00DB4EC7" w:rsidRPr="00295637">
        <w:rPr>
          <w:rFonts w:ascii="Times New Roman" w:hAnsi="Times New Roman"/>
          <w:lang w:val="sr-Latn-BA"/>
        </w:rPr>
        <w:t xml:space="preserve"> </w:t>
      </w:r>
      <w:r>
        <w:rPr>
          <w:rFonts w:ascii="Times New Roman" w:hAnsi="Times New Roman"/>
          <w:lang w:val="sr-Latn-BA"/>
        </w:rPr>
        <w:t>сарадњи</w:t>
      </w:r>
      <w:r w:rsidR="00DB4EC7" w:rsidRPr="00295637">
        <w:rPr>
          <w:rFonts w:ascii="Times New Roman" w:hAnsi="Times New Roman"/>
          <w:lang w:val="sr-Latn-BA"/>
        </w:rPr>
        <w:t xml:space="preserve">. </w:t>
      </w: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оквиру</w:t>
      </w:r>
      <w:r w:rsidR="00AA46AB" w:rsidRPr="00295637">
        <w:rPr>
          <w:rFonts w:ascii="Times New Roman" w:hAnsi="Times New Roman"/>
          <w:lang w:val="sr-Latn-BA"/>
        </w:rPr>
        <w:t xml:space="preserve"> </w:t>
      </w:r>
      <w:r>
        <w:rPr>
          <w:rFonts w:ascii="Times New Roman" w:hAnsi="Times New Roman"/>
          <w:lang w:val="sr-Latn-BA"/>
        </w:rPr>
        <w:t>с</w:t>
      </w:r>
      <w:r>
        <w:rPr>
          <w:rFonts w:ascii="Times New Roman" w:hAnsi="Times New Roman"/>
          <w:lang w:val="hr-HR"/>
        </w:rPr>
        <w:t>а</w:t>
      </w:r>
      <w:r>
        <w:rPr>
          <w:rFonts w:ascii="Times New Roman" w:hAnsi="Times New Roman"/>
          <w:lang w:val="sr-Cyrl-BA"/>
        </w:rPr>
        <w:t>радњ</w:t>
      </w:r>
      <w:r>
        <w:rPr>
          <w:rFonts w:ascii="Times New Roman" w:hAnsi="Times New Roman"/>
          <w:lang w:val="sr-Latn-BA"/>
        </w:rPr>
        <w:t>е</w:t>
      </w:r>
      <w:r w:rsidR="0060469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AA46AB" w:rsidRPr="00295637">
        <w:rPr>
          <w:rFonts w:ascii="Times New Roman" w:hAnsi="Times New Roman"/>
          <w:lang w:val="sr-Cyrl-BA"/>
        </w:rPr>
        <w:t xml:space="preserve"> </w:t>
      </w:r>
      <w:r w:rsidR="00CF6228" w:rsidRPr="00CF6228">
        <w:rPr>
          <w:rFonts w:ascii="Times New Roman" w:hAnsi="Times New Roman"/>
          <w:i/>
          <w:iCs/>
          <w:lang w:val="bs-Latn-BA"/>
        </w:rPr>
        <w:t>UN Women</w:t>
      </w:r>
      <w:r w:rsidR="00AA46AB" w:rsidRPr="00295637">
        <w:rPr>
          <w:rFonts w:ascii="Times New Roman" w:hAnsi="Times New Roman"/>
          <w:lang w:val="sr-Cyrl-BA"/>
        </w:rPr>
        <w:t xml:space="preserve">, </w:t>
      </w:r>
      <w:r w:rsidR="00CF6228">
        <w:rPr>
          <w:rFonts w:ascii="Times New Roman" w:hAnsi="Times New Roman"/>
          <w:lang w:val="sr-Cyrl-BA"/>
        </w:rPr>
        <w:t>канцеларијом</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БиХ</w:t>
      </w:r>
      <w:r w:rsidR="00AA46AB" w:rsidRPr="00295637">
        <w:rPr>
          <w:rFonts w:ascii="Times New Roman" w:hAnsi="Times New Roman"/>
          <w:lang w:val="sr-Latn-BA"/>
        </w:rPr>
        <w:t xml:space="preserve">, </w:t>
      </w:r>
      <w:r>
        <w:rPr>
          <w:rFonts w:ascii="Times New Roman" w:hAnsi="Times New Roman"/>
          <w:lang w:val="sr-Latn-BA"/>
        </w:rPr>
        <w:t>ЦЈРП</w:t>
      </w:r>
      <w:r w:rsidR="00AA46AB" w:rsidRPr="00295637">
        <w:rPr>
          <w:rFonts w:ascii="Times New Roman" w:hAnsi="Times New Roman"/>
          <w:lang w:val="sr-Latn-BA"/>
        </w:rPr>
        <w:t xml:space="preserve"> </w:t>
      </w:r>
      <w:r>
        <w:rPr>
          <w:rFonts w:ascii="Times New Roman" w:hAnsi="Times New Roman"/>
          <w:lang w:val="sr-Latn-BA"/>
        </w:rPr>
        <w:t>РС</w:t>
      </w:r>
      <w:r w:rsidR="00AA46AB" w:rsidRPr="00295637">
        <w:rPr>
          <w:rFonts w:ascii="Times New Roman" w:hAnsi="Times New Roman"/>
          <w:lang w:val="sr-Latn-BA"/>
        </w:rPr>
        <w:t xml:space="preserve"> </w:t>
      </w:r>
      <w:r>
        <w:rPr>
          <w:rFonts w:ascii="Times New Roman" w:hAnsi="Times New Roman"/>
          <w:lang w:val="sr-Latn-BA"/>
        </w:rPr>
        <w:t>је</w:t>
      </w:r>
      <w:r w:rsidR="00AA46AB" w:rsidRPr="00295637">
        <w:rPr>
          <w:rFonts w:ascii="Times New Roman" w:hAnsi="Times New Roman"/>
          <w:lang w:val="sr-Latn-BA"/>
        </w:rPr>
        <w:t xml:space="preserve"> </w:t>
      </w:r>
      <w:r>
        <w:rPr>
          <w:rFonts w:ascii="Times New Roman" w:hAnsi="Times New Roman"/>
          <w:lang w:val="sr-Latn-BA"/>
        </w:rPr>
        <w:t>реализ</w:t>
      </w:r>
      <w:r w:rsidR="00CF6228">
        <w:rPr>
          <w:rFonts w:ascii="Times New Roman" w:hAnsi="Times New Roman"/>
          <w:lang w:val="sr-Cyrl-BA"/>
        </w:rPr>
        <w:t>овао</w:t>
      </w:r>
      <w:r w:rsidR="00AA46AB" w:rsidRPr="00295637">
        <w:rPr>
          <w:rFonts w:ascii="Times New Roman" w:hAnsi="Times New Roman"/>
          <w:lang w:val="sr-Latn-BA"/>
        </w:rPr>
        <w:t xml:space="preserve"> </w:t>
      </w:r>
      <w:r>
        <w:rPr>
          <w:rFonts w:ascii="Times New Roman" w:hAnsi="Times New Roman"/>
          <w:lang w:val="sr-Latn-BA"/>
        </w:rPr>
        <w:t>сљедеће</w:t>
      </w:r>
      <w:r w:rsidR="00AA46AB" w:rsidRPr="00295637">
        <w:rPr>
          <w:rFonts w:ascii="Times New Roman" w:hAnsi="Times New Roman"/>
          <w:lang w:val="sr-Latn-BA"/>
        </w:rPr>
        <w:t xml:space="preserve"> </w:t>
      </w:r>
      <w:r>
        <w:rPr>
          <w:rFonts w:ascii="Times New Roman" w:hAnsi="Times New Roman"/>
          <w:lang w:val="sr-Latn-BA"/>
        </w:rPr>
        <w:t>активности</w:t>
      </w:r>
      <w:r w:rsidR="00AA46AB" w:rsidRPr="00295637">
        <w:rPr>
          <w:rFonts w:ascii="Times New Roman" w:hAnsi="Times New Roman"/>
          <w:lang w:val="sr-Cyrl-BA"/>
        </w:rPr>
        <w:t>:</w:t>
      </w:r>
      <w:r w:rsidR="00576529" w:rsidRPr="00295637">
        <w:rPr>
          <w:rFonts w:ascii="Times New Roman" w:hAnsi="Times New Roman"/>
          <w:lang w:val="bs-Latn-BA"/>
        </w:rPr>
        <w:t xml:space="preserve"> </w:t>
      </w:r>
      <w:r>
        <w:rPr>
          <w:rFonts w:ascii="Times New Roman" w:hAnsi="Times New Roman"/>
          <w:lang w:val="bs-Latn-BA"/>
        </w:rPr>
        <w:t>учешће</w:t>
      </w:r>
      <w:r w:rsidR="0060469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AA46AB" w:rsidRPr="00295637">
        <w:rPr>
          <w:rFonts w:ascii="Times New Roman" w:hAnsi="Times New Roman"/>
          <w:lang w:val="sr-Cyrl-BA"/>
        </w:rPr>
        <w:t xml:space="preserve"> </w:t>
      </w:r>
      <w:r>
        <w:rPr>
          <w:rFonts w:ascii="Times New Roman" w:hAnsi="Times New Roman"/>
          <w:lang w:val="sr-Cyrl-BA"/>
        </w:rPr>
        <w:t>излагањем</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јавно</w:t>
      </w:r>
      <w:r>
        <w:rPr>
          <w:rFonts w:ascii="Times New Roman" w:hAnsi="Times New Roman"/>
          <w:lang w:val="sr-Latn-BA"/>
        </w:rPr>
        <w:t>ј</w:t>
      </w:r>
      <w:r w:rsidR="00AA46AB" w:rsidRPr="00295637">
        <w:rPr>
          <w:rFonts w:ascii="Times New Roman" w:hAnsi="Times New Roman"/>
          <w:lang w:val="sr-Cyrl-BA"/>
        </w:rPr>
        <w:t xml:space="preserve"> </w:t>
      </w:r>
      <w:r>
        <w:rPr>
          <w:rFonts w:ascii="Times New Roman" w:hAnsi="Times New Roman"/>
          <w:lang w:val="sr-Cyrl-BA"/>
        </w:rPr>
        <w:t>трибини</w:t>
      </w:r>
      <w:r w:rsidR="00AA46AB" w:rsidRPr="00295637">
        <w:rPr>
          <w:rFonts w:ascii="Times New Roman" w:hAnsi="Times New Roman"/>
          <w:lang w:val="sr-Cyrl-BA"/>
        </w:rPr>
        <w:t xml:space="preserve"> „</w:t>
      </w:r>
      <w:r>
        <w:rPr>
          <w:rFonts w:ascii="Times New Roman" w:hAnsi="Times New Roman"/>
          <w:lang w:val="sr-Cyrl-BA"/>
        </w:rPr>
        <w:t>Искључимо</w:t>
      </w:r>
      <w:r w:rsidR="00AA46AB" w:rsidRPr="00295637">
        <w:rPr>
          <w:rFonts w:ascii="Times New Roman" w:hAnsi="Times New Roman"/>
          <w:lang w:val="sr-Cyrl-BA"/>
        </w:rPr>
        <w:t xml:space="preserve"> </w:t>
      </w:r>
      <w:r>
        <w:rPr>
          <w:rFonts w:ascii="Times New Roman" w:hAnsi="Times New Roman"/>
          <w:lang w:val="sr-Cyrl-BA"/>
        </w:rPr>
        <w:t>насиље</w:t>
      </w:r>
      <w:r w:rsidR="00AA46AB" w:rsidRPr="00295637">
        <w:rPr>
          <w:rFonts w:ascii="Times New Roman" w:hAnsi="Times New Roman"/>
          <w:lang w:val="sr-Cyrl-BA"/>
        </w:rPr>
        <w:t xml:space="preserve"> </w:t>
      </w:r>
      <w:r>
        <w:rPr>
          <w:rFonts w:ascii="Times New Roman" w:hAnsi="Times New Roman"/>
          <w:lang w:val="sr-Cyrl-BA"/>
        </w:rPr>
        <w:t>заједно</w:t>
      </w:r>
      <w:r w:rsidR="00AA46AB" w:rsidRPr="00295637">
        <w:rPr>
          <w:rFonts w:ascii="Times New Roman" w:hAnsi="Times New Roman"/>
          <w:lang w:val="sr-Cyrl-BA"/>
        </w:rPr>
        <w:t>“;</w:t>
      </w:r>
      <w:r w:rsidR="00576529" w:rsidRPr="00295637">
        <w:rPr>
          <w:rFonts w:ascii="Times New Roman" w:hAnsi="Times New Roman"/>
          <w:lang w:val="bs-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раду</w:t>
      </w:r>
      <w:r w:rsidR="00AA46AB" w:rsidRPr="00295637">
        <w:rPr>
          <w:rFonts w:ascii="Times New Roman" w:hAnsi="Times New Roman"/>
          <w:lang w:val="sr-Cyrl-BA"/>
        </w:rPr>
        <w:t xml:space="preserve"> </w:t>
      </w:r>
      <w:r>
        <w:rPr>
          <w:rFonts w:ascii="Times New Roman" w:hAnsi="Times New Roman"/>
          <w:lang w:val="sr-Cyrl-BA"/>
        </w:rPr>
        <w:t>Одбора</w:t>
      </w:r>
      <w:r w:rsidR="00AA46AB" w:rsidRPr="00295637">
        <w:rPr>
          <w:rFonts w:ascii="Times New Roman" w:hAnsi="Times New Roman"/>
          <w:lang w:val="sr-Cyrl-BA"/>
        </w:rPr>
        <w:t xml:space="preserve"> </w:t>
      </w:r>
      <w:r>
        <w:rPr>
          <w:rFonts w:ascii="Times New Roman" w:hAnsi="Times New Roman"/>
          <w:lang w:val="sr-Cyrl-BA"/>
        </w:rPr>
        <w:t>кампање</w:t>
      </w:r>
      <w:r w:rsidR="00AA46AB" w:rsidRPr="00295637">
        <w:rPr>
          <w:rFonts w:ascii="Times New Roman" w:hAnsi="Times New Roman"/>
          <w:lang w:val="sr-Cyrl-BA"/>
        </w:rPr>
        <w:t xml:space="preserve"> </w:t>
      </w:r>
      <w:r w:rsidR="00604697">
        <w:rPr>
          <w:rFonts w:ascii="Times New Roman" w:hAnsi="Times New Roman"/>
          <w:lang w:val="hr-HR"/>
        </w:rPr>
        <w:t>„</w:t>
      </w:r>
      <w:r>
        <w:rPr>
          <w:rFonts w:ascii="Times New Roman" w:hAnsi="Times New Roman"/>
          <w:lang w:val="sr-Cyrl-BA"/>
        </w:rPr>
        <w:t>Генерација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једнакост</w:t>
      </w:r>
      <w:r w:rsidR="00604697">
        <w:rPr>
          <w:rFonts w:ascii="Times New Roman" w:hAnsi="Times New Roman"/>
          <w:lang w:val="hr-HR"/>
        </w:rPr>
        <w:t>“</w:t>
      </w:r>
      <w:r w:rsidR="00AA46AB" w:rsidRPr="00295637">
        <w:rPr>
          <w:rFonts w:ascii="Times New Roman" w:hAnsi="Times New Roman"/>
          <w:lang w:val="sr-Cyrl-BA"/>
        </w:rPr>
        <w:t>;</w:t>
      </w:r>
      <w:r w:rsidR="00576529" w:rsidRPr="00295637">
        <w:rPr>
          <w:rFonts w:ascii="Times New Roman" w:hAnsi="Times New Roman"/>
          <w:lang w:val="bs-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конференцији</w:t>
      </w:r>
      <w:r w:rsidR="00AA46AB" w:rsidRPr="00295637">
        <w:rPr>
          <w:rFonts w:ascii="Times New Roman" w:hAnsi="Times New Roman"/>
          <w:lang w:val="sr-Cyrl-BA"/>
        </w:rPr>
        <w:t xml:space="preserve"> </w:t>
      </w:r>
      <w:r w:rsidR="00604697">
        <w:rPr>
          <w:rFonts w:ascii="Times New Roman" w:hAnsi="Times New Roman"/>
          <w:lang w:val="hr-HR"/>
        </w:rPr>
        <w:t>„</w:t>
      </w:r>
      <w:r>
        <w:rPr>
          <w:rFonts w:ascii="Times New Roman" w:hAnsi="Times New Roman"/>
          <w:lang w:val="sr-Cyrl-BA"/>
        </w:rPr>
        <w:t>Иницирање</w:t>
      </w:r>
      <w:r w:rsidR="00AA46AB" w:rsidRPr="00295637">
        <w:rPr>
          <w:rFonts w:ascii="Times New Roman" w:hAnsi="Times New Roman"/>
          <w:lang w:val="sr-Cyrl-BA"/>
        </w:rPr>
        <w:t xml:space="preserve"> </w:t>
      </w:r>
      <w:r>
        <w:rPr>
          <w:rFonts w:ascii="Times New Roman" w:hAnsi="Times New Roman"/>
          <w:lang w:val="sr-Cyrl-BA"/>
        </w:rPr>
        <w:t>дијалога</w:t>
      </w:r>
      <w:r w:rsidR="00AA46AB" w:rsidRPr="00295637">
        <w:rPr>
          <w:rFonts w:ascii="Times New Roman" w:hAnsi="Times New Roman"/>
          <w:lang w:val="sr-Cyrl-BA"/>
        </w:rPr>
        <w:t xml:space="preserve"> </w:t>
      </w:r>
      <w:r>
        <w:rPr>
          <w:rFonts w:ascii="Times New Roman" w:hAnsi="Times New Roman"/>
          <w:lang w:val="sr-Cyrl-BA"/>
        </w:rPr>
        <w:t>о</w:t>
      </w:r>
      <w:r w:rsidR="00AA46AB" w:rsidRPr="00295637">
        <w:rPr>
          <w:rFonts w:ascii="Times New Roman" w:hAnsi="Times New Roman"/>
          <w:lang w:val="sr-Cyrl-BA"/>
        </w:rPr>
        <w:t xml:space="preserve"> </w:t>
      </w:r>
      <w:r>
        <w:rPr>
          <w:rFonts w:ascii="Times New Roman" w:hAnsi="Times New Roman"/>
          <w:lang w:val="sr-Cyrl-BA"/>
        </w:rPr>
        <w:t>покретачима</w:t>
      </w:r>
      <w:r w:rsidR="00AA46AB" w:rsidRPr="00295637">
        <w:rPr>
          <w:rFonts w:ascii="Times New Roman" w:hAnsi="Times New Roman"/>
          <w:lang w:val="sr-Cyrl-BA"/>
        </w:rPr>
        <w:t xml:space="preserve"> </w:t>
      </w:r>
      <w:r>
        <w:rPr>
          <w:rFonts w:ascii="Times New Roman" w:hAnsi="Times New Roman"/>
          <w:lang w:val="sr-Cyrl-BA"/>
        </w:rPr>
        <w:t>реформи</w:t>
      </w:r>
      <w:r w:rsidR="00AA46AB" w:rsidRPr="00295637">
        <w:rPr>
          <w:rFonts w:ascii="Times New Roman" w:hAnsi="Times New Roman"/>
          <w:lang w:val="sr-Cyrl-BA"/>
        </w:rPr>
        <w:t xml:space="preserve"> </w:t>
      </w:r>
      <w:r>
        <w:rPr>
          <w:rFonts w:ascii="Times New Roman" w:hAnsi="Times New Roman"/>
          <w:lang w:val="sr-Cyrl-BA"/>
        </w:rPr>
        <w:t>економије</w:t>
      </w:r>
      <w:r w:rsidR="00AA46AB" w:rsidRPr="00295637">
        <w:rPr>
          <w:rFonts w:ascii="Times New Roman" w:hAnsi="Times New Roman"/>
          <w:lang w:val="sr-Cyrl-BA"/>
        </w:rPr>
        <w:t xml:space="preserve"> </w:t>
      </w:r>
      <w:r>
        <w:rPr>
          <w:rFonts w:ascii="Times New Roman" w:hAnsi="Times New Roman"/>
          <w:lang w:val="sr-Cyrl-BA"/>
        </w:rPr>
        <w:t>бриге</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његе</w:t>
      </w:r>
      <w:r w:rsidR="00604697">
        <w:rPr>
          <w:rFonts w:ascii="Times New Roman" w:hAnsi="Times New Roman"/>
          <w:lang w:val="hr-HR"/>
        </w:rPr>
        <w:t>“</w:t>
      </w:r>
      <w:r w:rsidR="00AA46AB" w:rsidRPr="00295637">
        <w:rPr>
          <w:rFonts w:ascii="Times New Roman" w:hAnsi="Times New Roman"/>
          <w:lang w:val="sr-Cyrl-BA"/>
        </w:rPr>
        <w:t>;</w:t>
      </w:r>
      <w:r w:rsidR="00576529" w:rsidRPr="00295637">
        <w:rPr>
          <w:rFonts w:ascii="Times New Roman" w:hAnsi="Times New Roman"/>
          <w:lang w:val="bs-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евалуацији</w:t>
      </w:r>
      <w:r w:rsidR="00AA46AB" w:rsidRPr="00295637">
        <w:rPr>
          <w:rFonts w:ascii="Times New Roman" w:hAnsi="Times New Roman"/>
          <w:lang w:val="sr-Cyrl-BA"/>
        </w:rPr>
        <w:t xml:space="preserve"> </w:t>
      </w:r>
      <w:r>
        <w:rPr>
          <w:rFonts w:ascii="Times New Roman" w:hAnsi="Times New Roman"/>
          <w:lang w:val="sr-Cyrl-BA"/>
        </w:rPr>
        <w:t>Оквира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Pr>
          <w:rFonts w:ascii="Times New Roman" w:hAnsi="Times New Roman"/>
          <w:lang w:val="sr-Cyrl-BA"/>
        </w:rPr>
        <w:t>радњу</w:t>
      </w:r>
      <w:r w:rsidR="00AA46AB" w:rsidRPr="00295637">
        <w:rPr>
          <w:rFonts w:ascii="Times New Roman" w:hAnsi="Times New Roman"/>
          <w:lang w:val="sr-Cyrl-BA"/>
        </w:rPr>
        <w:t xml:space="preserve"> </w:t>
      </w:r>
      <w:r>
        <w:rPr>
          <w:rFonts w:ascii="Times New Roman" w:hAnsi="Times New Roman"/>
          <w:lang w:val="sr-Cyrl-BA"/>
        </w:rPr>
        <w:t>Уједињених</w:t>
      </w:r>
      <w:r w:rsidR="00AA46AB" w:rsidRPr="00295637">
        <w:rPr>
          <w:rFonts w:ascii="Times New Roman" w:hAnsi="Times New Roman"/>
          <w:lang w:val="sr-Cyrl-BA"/>
        </w:rPr>
        <w:t xml:space="preserve"> </w:t>
      </w:r>
      <w:r>
        <w:rPr>
          <w:rFonts w:ascii="Times New Roman" w:hAnsi="Times New Roman"/>
          <w:lang w:val="sr-Cyrl-BA"/>
        </w:rPr>
        <w:t>нација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одрживи</w:t>
      </w:r>
      <w:r w:rsidR="00AA46AB" w:rsidRPr="00295637">
        <w:rPr>
          <w:rFonts w:ascii="Times New Roman" w:hAnsi="Times New Roman"/>
          <w:lang w:val="sr-Cyrl-BA"/>
        </w:rPr>
        <w:t xml:space="preserve"> </w:t>
      </w:r>
      <w:r>
        <w:rPr>
          <w:rFonts w:ascii="Times New Roman" w:hAnsi="Times New Roman"/>
          <w:lang w:val="sr-Cyrl-BA"/>
        </w:rPr>
        <w:t>развој</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Босни</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Херцеговини</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hr-HR"/>
        </w:rPr>
        <w:t>период</w:t>
      </w:r>
      <w:r w:rsidR="00AA46AB" w:rsidRPr="00295637">
        <w:rPr>
          <w:rFonts w:ascii="Times New Roman" w:hAnsi="Times New Roman"/>
          <w:lang w:val="sr-Cyrl-BA"/>
        </w:rPr>
        <w:t xml:space="preserve"> 2021</w:t>
      </w:r>
      <w:r w:rsidR="00604697">
        <w:rPr>
          <w:rFonts w:ascii="Times New Roman" w:hAnsi="Times New Roman"/>
          <w:lang w:val="bs-Latn-BA"/>
        </w:rPr>
        <w:t>-</w:t>
      </w:r>
      <w:r w:rsidR="00AA46AB" w:rsidRPr="00295637">
        <w:rPr>
          <w:rFonts w:ascii="Times New Roman" w:hAnsi="Times New Roman"/>
          <w:lang w:val="sr-Cyrl-BA"/>
        </w:rPr>
        <w:t xml:space="preserve">2025. </w:t>
      </w:r>
      <w:r>
        <w:rPr>
          <w:rFonts w:ascii="Times New Roman" w:hAnsi="Times New Roman"/>
          <w:lang w:val="sr-Cyrl-BA"/>
        </w:rPr>
        <w:t>године</w:t>
      </w:r>
      <w:r w:rsidR="00AA46AB" w:rsidRPr="00295637">
        <w:rPr>
          <w:rFonts w:ascii="Times New Roman" w:hAnsi="Times New Roman"/>
          <w:lang w:val="sr-Latn-BA"/>
        </w:rPr>
        <w:t>;</w:t>
      </w:r>
      <w:r w:rsidR="00576529" w:rsidRPr="00295637">
        <w:rPr>
          <w:rFonts w:ascii="Times New Roman" w:hAnsi="Times New Roman"/>
          <w:lang w:val="sr-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корпоративној</w:t>
      </w:r>
      <w:r w:rsidR="00AA46AB" w:rsidRPr="00295637">
        <w:rPr>
          <w:rFonts w:ascii="Times New Roman" w:hAnsi="Times New Roman"/>
          <w:lang w:val="sr-Cyrl-BA"/>
        </w:rPr>
        <w:t xml:space="preserve"> </w:t>
      </w:r>
      <w:r>
        <w:rPr>
          <w:rFonts w:ascii="Times New Roman" w:hAnsi="Times New Roman"/>
          <w:lang w:val="sr-Cyrl-BA"/>
        </w:rPr>
        <w:t>тематској</w:t>
      </w:r>
      <w:r w:rsidR="00AA46AB" w:rsidRPr="00295637">
        <w:rPr>
          <w:rFonts w:ascii="Times New Roman" w:hAnsi="Times New Roman"/>
          <w:lang w:val="sr-Cyrl-BA"/>
        </w:rPr>
        <w:t xml:space="preserve"> </w:t>
      </w:r>
      <w:r>
        <w:rPr>
          <w:rFonts w:ascii="Times New Roman" w:hAnsi="Times New Roman"/>
          <w:lang w:val="sr-Cyrl-BA"/>
        </w:rPr>
        <w:t>евалуацији</w:t>
      </w:r>
      <w:r w:rsidR="00AA46AB" w:rsidRPr="00295637">
        <w:rPr>
          <w:rFonts w:ascii="Times New Roman" w:hAnsi="Times New Roman"/>
          <w:lang w:val="sr-Cyrl-BA"/>
        </w:rPr>
        <w:t xml:space="preserve"> </w:t>
      </w:r>
      <w:r>
        <w:rPr>
          <w:rFonts w:ascii="Times New Roman" w:hAnsi="Times New Roman"/>
          <w:lang w:val="sr-Cyrl-BA"/>
        </w:rPr>
        <w:t>приступа</w:t>
      </w:r>
      <w:r w:rsidR="00AA46AB" w:rsidRPr="00295637">
        <w:rPr>
          <w:rFonts w:ascii="Times New Roman" w:hAnsi="Times New Roman"/>
          <w:lang w:val="sr-Cyrl-BA"/>
        </w:rPr>
        <w:t xml:space="preserve"> </w:t>
      </w:r>
      <w:r w:rsidR="00CF6228" w:rsidRPr="00CF6228">
        <w:rPr>
          <w:rFonts w:ascii="Times New Roman" w:hAnsi="Times New Roman"/>
          <w:i/>
          <w:iCs/>
          <w:lang w:val="bs-Latn-BA"/>
        </w:rPr>
        <w:t>UN Women</w:t>
      </w:r>
      <w:r w:rsidR="00CF6228" w:rsidRPr="00CF6228">
        <w:rPr>
          <w:rFonts w:ascii="Times New Roman" w:hAnsi="Times New Roman"/>
          <w:i/>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превенцији</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одговору</w:t>
      </w:r>
      <w:r w:rsidR="00604697">
        <w:rPr>
          <w:rFonts w:ascii="Times New Roman" w:hAnsi="Times New Roman"/>
          <w:lang w:val="sr-Cyrl-BA"/>
        </w:rPr>
        <w:t xml:space="preserve"> </w:t>
      </w:r>
      <w:r>
        <w:rPr>
          <w:rFonts w:ascii="Times New Roman" w:hAnsi="Times New Roman"/>
          <w:lang w:val="sr-Cyrl-BA"/>
        </w:rPr>
        <w:t>на</w:t>
      </w:r>
      <w:r w:rsidR="00604697">
        <w:rPr>
          <w:rFonts w:ascii="Times New Roman" w:hAnsi="Times New Roman"/>
          <w:lang w:val="sr-Cyrl-BA"/>
        </w:rPr>
        <w:t xml:space="preserve"> </w:t>
      </w:r>
      <w:r>
        <w:rPr>
          <w:rFonts w:ascii="Times New Roman" w:hAnsi="Times New Roman"/>
          <w:lang w:val="sr-Cyrl-BA"/>
        </w:rPr>
        <w:t>насиље</w:t>
      </w:r>
      <w:r w:rsidR="00604697">
        <w:rPr>
          <w:rFonts w:ascii="Times New Roman" w:hAnsi="Times New Roman"/>
          <w:lang w:val="sr-Cyrl-BA"/>
        </w:rPr>
        <w:t xml:space="preserve"> </w:t>
      </w:r>
      <w:r>
        <w:rPr>
          <w:rFonts w:ascii="Times New Roman" w:hAnsi="Times New Roman"/>
          <w:lang w:val="sr-Cyrl-BA"/>
        </w:rPr>
        <w:t>над</w:t>
      </w:r>
      <w:r w:rsidR="00604697">
        <w:rPr>
          <w:rFonts w:ascii="Times New Roman" w:hAnsi="Times New Roman"/>
          <w:lang w:val="sr-Cyrl-BA"/>
        </w:rPr>
        <w:t xml:space="preserve"> </w:t>
      </w:r>
      <w:r>
        <w:rPr>
          <w:rFonts w:ascii="Times New Roman" w:hAnsi="Times New Roman"/>
          <w:lang w:val="sr-Cyrl-BA"/>
        </w:rPr>
        <w:t>женама</w:t>
      </w:r>
      <w:r w:rsidR="00604697">
        <w:rPr>
          <w:rFonts w:ascii="Times New Roman" w:hAnsi="Times New Roman"/>
          <w:lang w:val="sr-Cyrl-BA"/>
        </w:rPr>
        <w:t xml:space="preserve"> </w:t>
      </w:r>
      <w:r w:rsidR="00604697">
        <w:rPr>
          <w:rFonts w:ascii="Times New Roman" w:hAnsi="Times New Roman"/>
          <w:lang w:val="hr-HR"/>
        </w:rPr>
        <w:t>„</w:t>
      </w:r>
      <w:r>
        <w:rPr>
          <w:rFonts w:ascii="Times New Roman" w:hAnsi="Times New Roman"/>
          <w:lang w:val="hr-HR"/>
        </w:rPr>
        <w:t>С</w:t>
      </w:r>
      <w:r>
        <w:rPr>
          <w:rFonts w:ascii="Times New Roman" w:hAnsi="Times New Roman"/>
          <w:lang w:val="sr-Cyrl-BA"/>
        </w:rPr>
        <w:t>уочавање</w:t>
      </w:r>
      <w:r w:rsidR="00AA46AB"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AA46AB" w:rsidRPr="00295637">
        <w:rPr>
          <w:rFonts w:ascii="Times New Roman" w:hAnsi="Times New Roman"/>
          <w:lang w:val="sr-Cyrl-BA"/>
        </w:rPr>
        <w:t xml:space="preserve"> </w:t>
      </w:r>
      <w:r>
        <w:rPr>
          <w:rFonts w:ascii="Times New Roman" w:hAnsi="Times New Roman"/>
          <w:lang w:val="sr-Cyrl-BA"/>
        </w:rPr>
        <w:t>изазовима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глобалним</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регионалним</w:t>
      </w:r>
      <w:r w:rsidR="00AA46AB" w:rsidRPr="00295637">
        <w:rPr>
          <w:rFonts w:ascii="Times New Roman" w:hAnsi="Times New Roman"/>
          <w:lang w:val="sr-Cyrl-BA"/>
        </w:rPr>
        <w:t xml:space="preserve"> </w:t>
      </w:r>
      <w:r>
        <w:rPr>
          <w:rFonts w:ascii="Times New Roman" w:hAnsi="Times New Roman"/>
          <w:lang w:val="sr-Cyrl-BA"/>
        </w:rPr>
        <w:t>контекстима</w:t>
      </w:r>
      <w:r w:rsidR="00604697">
        <w:rPr>
          <w:rFonts w:ascii="Times New Roman" w:hAnsi="Times New Roman"/>
          <w:lang w:val="hr-HR"/>
        </w:rPr>
        <w:t>“</w:t>
      </w:r>
      <w:r w:rsidR="00AA46AB" w:rsidRPr="00295637">
        <w:rPr>
          <w:rFonts w:ascii="Times New Roman" w:hAnsi="Times New Roman"/>
          <w:lang w:val="sr-Cyrl-BA"/>
        </w:rPr>
        <w:t>;</w:t>
      </w:r>
      <w:r w:rsidR="00576529" w:rsidRPr="00295637">
        <w:rPr>
          <w:rFonts w:ascii="Times New Roman" w:hAnsi="Times New Roman"/>
          <w:lang w:val="bs-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раду</w:t>
      </w:r>
      <w:r w:rsidR="00AA46AB" w:rsidRPr="00295637">
        <w:rPr>
          <w:rFonts w:ascii="Times New Roman" w:hAnsi="Times New Roman"/>
          <w:lang w:val="sr-Cyrl-BA"/>
        </w:rPr>
        <w:t xml:space="preserve"> </w:t>
      </w:r>
      <w:r>
        <w:rPr>
          <w:rFonts w:ascii="Times New Roman" w:hAnsi="Times New Roman"/>
          <w:lang w:val="sr-Cyrl-BA"/>
        </w:rPr>
        <w:t>Референтне</w:t>
      </w:r>
      <w:r w:rsidR="00AA46AB" w:rsidRPr="00295637">
        <w:rPr>
          <w:rFonts w:ascii="Times New Roman" w:hAnsi="Times New Roman"/>
          <w:lang w:val="sr-Cyrl-BA"/>
        </w:rPr>
        <w:t xml:space="preserve"> </w:t>
      </w:r>
      <w:r>
        <w:rPr>
          <w:rFonts w:ascii="Times New Roman" w:hAnsi="Times New Roman"/>
          <w:lang w:val="hr-HR"/>
        </w:rPr>
        <w:t>групе</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евалуацију</w:t>
      </w:r>
      <w:r w:rsidR="00AA46AB" w:rsidRPr="00295637">
        <w:rPr>
          <w:rFonts w:ascii="Times New Roman" w:hAnsi="Times New Roman"/>
          <w:lang w:val="sr-Cyrl-BA"/>
        </w:rPr>
        <w:t xml:space="preserve"> </w:t>
      </w:r>
      <w:r w:rsidR="00CF6228" w:rsidRPr="00CF6228">
        <w:rPr>
          <w:rFonts w:ascii="Times New Roman" w:hAnsi="Times New Roman"/>
          <w:i/>
          <w:iCs/>
          <w:lang w:val="bs-Latn-BA"/>
        </w:rPr>
        <w:t>UN Women</w:t>
      </w:r>
      <w:r w:rsidR="00CF6228" w:rsidRPr="00CF6228">
        <w:rPr>
          <w:rFonts w:ascii="Times New Roman" w:hAnsi="Times New Roman"/>
          <w:i/>
          <w:iCs/>
          <w:lang w:val="sr-Cyrl-BA"/>
        </w:rPr>
        <w:t xml:space="preserve"> </w:t>
      </w:r>
      <w:r>
        <w:rPr>
          <w:rFonts w:ascii="Times New Roman" w:hAnsi="Times New Roman"/>
          <w:lang w:val="sr-Cyrl-BA"/>
        </w:rPr>
        <w:t>програма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прт</w:t>
      </w:r>
      <w:r>
        <w:rPr>
          <w:rFonts w:ascii="Times New Roman" w:hAnsi="Times New Roman"/>
          <w:lang w:val="hr-HR"/>
        </w:rPr>
        <w:t>е</w:t>
      </w:r>
      <w:r>
        <w:rPr>
          <w:rFonts w:ascii="Times New Roman" w:hAnsi="Times New Roman"/>
          <w:lang w:val="sr-Cyrl-BA"/>
        </w:rPr>
        <w:t>ходних</w:t>
      </w:r>
      <w:r w:rsidR="00AA46AB" w:rsidRPr="00295637">
        <w:rPr>
          <w:rFonts w:ascii="Times New Roman" w:hAnsi="Times New Roman"/>
          <w:lang w:val="sr-Cyrl-BA"/>
        </w:rPr>
        <w:t xml:space="preserve"> </w:t>
      </w:r>
      <w:r>
        <w:rPr>
          <w:rFonts w:ascii="Times New Roman" w:hAnsi="Times New Roman"/>
          <w:lang w:val="sr-Cyrl-BA"/>
        </w:rPr>
        <w:t>пет</w:t>
      </w:r>
      <w:r w:rsidR="00AA46AB" w:rsidRPr="00295637">
        <w:rPr>
          <w:rFonts w:ascii="Times New Roman" w:hAnsi="Times New Roman"/>
          <w:lang w:val="sr-Cyrl-BA"/>
        </w:rPr>
        <w:t xml:space="preserve"> </w:t>
      </w:r>
      <w:r>
        <w:rPr>
          <w:rFonts w:ascii="Times New Roman" w:hAnsi="Times New Roman"/>
          <w:lang w:val="sr-Cyrl-BA"/>
        </w:rPr>
        <w:t>година</w:t>
      </w:r>
      <w:r w:rsidR="00AA46AB" w:rsidRPr="00295637">
        <w:rPr>
          <w:rFonts w:ascii="Times New Roman" w:hAnsi="Times New Roman"/>
          <w:lang w:val="sr-Cyrl-BA"/>
        </w:rPr>
        <w:t xml:space="preserve">, </w:t>
      </w:r>
      <w:r>
        <w:rPr>
          <w:rFonts w:ascii="Times New Roman" w:hAnsi="Times New Roman"/>
          <w:lang w:val="sr-Cyrl-BA"/>
        </w:rPr>
        <w:t>те</w:t>
      </w:r>
      <w:r w:rsidR="00AA46AB" w:rsidRPr="00295637">
        <w:rPr>
          <w:rFonts w:ascii="Times New Roman" w:hAnsi="Times New Roman"/>
          <w:lang w:val="sr-Cyrl-BA"/>
        </w:rPr>
        <w:t xml:space="preserve"> </w:t>
      </w:r>
      <w:r>
        <w:rPr>
          <w:rFonts w:ascii="Times New Roman" w:hAnsi="Times New Roman"/>
          <w:lang w:val="sr-Cyrl-BA"/>
        </w:rPr>
        <w:t>развој</w:t>
      </w:r>
      <w:r w:rsidR="00AA46AB" w:rsidRPr="00295637">
        <w:rPr>
          <w:rFonts w:ascii="Times New Roman" w:hAnsi="Times New Roman"/>
          <w:lang w:val="sr-Cyrl-BA"/>
        </w:rPr>
        <w:t xml:space="preserve"> </w:t>
      </w:r>
      <w:r>
        <w:rPr>
          <w:rFonts w:ascii="Times New Roman" w:hAnsi="Times New Roman"/>
          <w:lang w:val="sr-Cyrl-BA"/>
        </w:rPr>
        <w:t>наредне</w:t>
      </w:r>
      <w:r w:rsidR="00AA46AB" w:rsidRPr="00295637">
        <w:rPr>
          <w:rFonts w:ascii="Times New Roman" w:hAnsi="Times New Roman"/>
          <w:lang w:val="sr-Cyrl-BA"/>
        </w:rPr>
        <w:t xml:space="preserve"> </w:t>
      </w:r>
      <w:r>
        <w:rPr>
          <w:rFonts w:ascii="Times New Roman" w:hAnsi="Times New Roman"/>
          <w:lang w:val="sr-Cyrl-BA"/>
        </w:rPr>
        <w:t>стратешке</w:t>
      </w:r>
      <w:r w:rsidR="00AA46AB" w:rsidRPr="00295637">
        <w:rPr>
          <w:rFonts w:ascii="Times New Roman" w:hAnsi="Times New Roman"/>
          <w:lang w:val="sr-Cyrl-BA"/>
        </w:rPr>
        <w:t xml:space="preserve"> </w:t>
      </w:r>
      <w:r>
        <w:rPr>
          <w:rFonts w:ascii="Times New Roman" w:hAnsi="Times New Roman"/>
          <w:lang w:val="sr-Cyrl-BA"/>
        </w:rPr>
        <w:t>ноте</w:t>
      </w:r>
      <w:r w:rsidR="00AA46AB" w:rsidRPr="00295637">
        <w:rPr>
          <w:rFonts w:ascii="Times New Roman" w:hAnsi="Times New Roman"/>
          <w:lang w:val="sr-Cyrl-BA"/>
        </w:rPr>
        <w:t>;</w:t>
      </w:r>
      <w:r w:rsidR="00576529" w:rsidRPr="00295637">
        <w:rPr>
          <w:rFonts w:ascii="Times New Roman" w:hAnsi="Times New Roman"/>
          <w:lang w:val="bs-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sidR="00CF6228">
        <w:rPr>
          <w:rFonts w:ascii="Times New Roman" w:hAnsi="Times New Roman"/>
          <w:lang w:val="sr-Cyrl-BA"/>
        </w:rPr>
        <w:t>презентацији</w:t>
      </w:r>
      <w:r w:rsidR="00AA46AB" w:rsidRPr="00295637">
        <w:rPr>
          <w:rFonts w:ascii="Times New Roman" w:hAnsi="Times New Roman"/>
          <w:lang w:val="sr-Cyrl-BA"/>
        </w:rPr>
        <w:t xml:space="preserve"> </w:t>
      </w:r>
      <w:r>
        <w:rPr>
          <w:rFonts w:ascii="Times New Roman" w:hAnsi="Times New Roman"/>
          <w:lang w:val="sr-Cyrl-BA"/>
        </w:rPr>
        <w:t>студије</w:t>
      </w:r>
      <w:r w:rsidR="00AA46AB" w:rsidRPr="00295637">
        <w:rPr>
          <w:rFonts w:ascii="Times New Roman" w:hAnsi="Times New Roman"/>
          <w:lang w:val="sr-Cyrl-BA"/>
        </w:rPr>
        <w:t xml:space="preserve"> </w:t>
      </w:r>
      <w:r>
        <w:rPr>
          <w:rFonts w:ascii="Times New Roman" w:hAnsi="Times New Roman"/>
          <w:lang w:val="sr-Cyrl-BA"/>
        </w:rPr>
        <w:t>економије</w:t>
      </w:r>
      <w:r w:rsidR="00AA46AB" w:rsidRPr="00295637">
        <w:rPr>
          <w:rFonts w:ascii="Times New Roman" w:hAnsi="Times New Roman"/>
          <w:lang w:val="sr-Cyrl-BA"/>
        </w:rPr>
        <w:t xml:space="preserve"> </w:t>
      </w:r>
      <w:r>
        <w:rPr>
          <w:rFonts w:ascii="Times New Roman" w:hAnsi="Times New Roman"/>
          <w:lang w:val="sr-Cyrl-BA"/>
        </w:rPr>
        <w:t>бриге</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неплаћеног</w:t>
      </w:r>
      <w:r w:rsidR="00AA46AB" w:rsidRPr="00295637">
        <w:rPr>
          <w:rFonts w:ascii="Times New Roman" w:hAnsi="Times New Roman"/>
          <w:lang w:val="sr-Cyrl-BA"/>
        </w:rPr>
        <w:t xml:space="preserve"> </w:t>
      </w:r>
      <w:r>
        <w:rPr>
          <w:rFonts w:ascii="Times New Roman" w:hAnsi="Times New Roman"/>
          <w:lang w:val="sr-Cyrl-BA"/>
        </w:rPr>
        <w:t>рада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БиХ</w:t>
      </w:r>
      <w:r w:rsidR="00AA46AB" w:rsidRPr="00295637">
        <w:rPr>
          <w:rFonts w:ascii="Times New Roman" w:hAnsi="Times New Roman"/>
          <w:lang w:val="sr-Cyrl-BA"/>
        </w:rPr>
        <w:t>.</w:t>
      </w:r>
    </w:p>
    <w:p w:rsidR="00AA46AB" w:rsidRPr="00295637" w:rsidRDefault="00AA46AB" w:rsidP="0086268D">
      <w:pPr>
        <w:pStyle w:val="ListParagraph"/>
        <w:ind w:left="0"/>
        <w:jc w:val="both"/>
        <w:rPr>
          <w:rFonts w:ascii="Times New Roman" w:hAnsi="Times New Roman"/>
          <w:lang w:val="sr-Cyrl-BA"/>
        </w:rPr>
      </w:pPr>
    </w:p>
    <w:p w:rsidR="00AA46AB"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сарадњи</w:t>
      </w:r>
      <w:r w:rsidR="00604697">
        <w:rPr>
          <w:rFonts w:ascii="Times New Roman" w:hAnsi="Times New Roman"/>
          <w:lang w:val="sr-Latn-BA"/>
        </w:rPr>
        <w:t xml:space="preserve"> </w:t>
      </w:r>
      <w:r>
        <w:rPr>
          <w:rFonts w:ascii="Times New Roman" w:hAnsi="Times New Roman"/>
          <w:lang w:val="sr-Latn-BA"/>
        </w:rPr>
        <w:t>са</w:t>
      </w:r>
      <w:r w:rsidR="00AA46AB" w:rsidRPr="00295637">
        <w:rPr>
          <w:rFonts w:ascii="Times New Roman" w:hAnsi="Times New Roman"/>
          <w:lang w:val="sr-Latn-BA"/>
        </w:rPr>
        <w:t xml:space="preserve"> </w:t>
      </w:r>
      <w:r w:rsidR="00CF6228">
        <w:rPr>
          <w:rFonts w:ascii="Times New Roman" w:hAnsi="Times New Roman"/>
          <w:lang w:val="sr-Cyrl-BA"/>
        </w:rPr>
        <w:t>С</w:t>
      </w:r>
      <w:r>
        <w:rPr>
          <w:rFonts w:ascii="Times New Roman" w:hAnsi="Times New Roman"/>
          <w:lang w:val="sr-Latn-BA"/>
        </w:rPr>
        <w:t>Е</w:t>
      </w:r>
      <w:r w:rsidR="00AA46AB" w:rsidRPr="00295637">
        <w:rPr>
          <w:rFonts w:ascii="Times New Roman" w:hAnsi="Times New Roman"/>
          <w:lang w:val="sr-Latn-BA"/>
        </w:rPr>
        <w:t xml:space="preserve"> </w:t>
      </w: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БиХ</w:t>
      </w:r>
      <w:r w:rsidR="00AA46AB" w:rsidRPr="00295637">
        <w:rPr>
          <w:rFonts w:ascii="Times New Roman" w:hAnsi="Times New Roman"/>
          <w:lang w:val="sr-Latn-BA"/>
        </w:rPr>
        <w:t xml:space="preserve">, </w:t>
      </w:r>
      <w:r>
        <w:rPr>
          <w:rFonts w:ascii="Times New Roman" w:hAnsi="Times New Roman"/>
          <w:lang w:val="sr-Latn-BA"/>
        </w:rPr>
        <w:t>ЦЈРП</w:t>
      </w:r>
      <w:r w:rsidR="00AA46AB" w:rsidRPr="00295637">
        <w:rPr>
          <w:rFonts w:ascii="Times New Roman" w:hAnsi="Times New Roman"/>
          <w:lang w:val="sr-Latn-BA"/>
        </w:rPr>
        <w:t xml:space="preserve"> </w:t>
      </w:r>
      <w:r>
        <w:rPr>
          <w:rFonts w:ascii="Times New Roman" w:hAnsi="Times New Roman"/>
          <w:lang w:val="sr-Latn-BA"/>
        </w:rPr>
        <w:t>РС</w:t>
      </w:r>
      <w:r w:rsidR="00AA46AB" w:rsidRPr="00295637">
        <w:rPr>
          <w:rFonts w:ascii="Times New Roman" w:hAnsi="Times New Roman"/>
          <w:lang w:val="sr-Latn-BA"/>
        </w:rPr>
        <w:t xml:space="preserve"> </w:t>
      </w:r>
      <w:r>
        <w:rPr>
          <w:rFonts w:ascii="Times New Roman" w:hAnsi="Times New Roman"/>
          <w:lang w:val="sr-Latn-BA"/>
        </w:rPr>
        <w:t>је</w:t>
      </w:r>
      <w:r w:rsidR="00AA46AB" w:rsidRPr="00295637">
        <w:rPr>
          <w:rFonts w:ascii="Times New Roman" w:hAnsi="Times New Roman"/>
          <w:lang w:val="sr-Latn-BA"/>
        </w:rPr>
        <w:t xml:space="preserve"> </w:t>
      </w:r>
      <w:r>
        <w:rPr>
          <w:rFonts w:ascii="Times New Roman" w:hAnsi="Times New Roman"/>
          <w:lang w:val="sr-Latn-BA"/>
        </w:rPr>
        <w:t>реализ</w:t>
      </w:r>
      <w:r w:rsidR="00CF6228">
        <w:rPr>
          <w:rFonts w:ascii="Times New Roman" w:hAnsi="Times New Roman"/>
          <w:lang w:val="sr-Cyrl-BA"/>
        </w:rPr>
        <w:t>овао</w:t>
      </w:r>
      <w:r w:rsidR="00AA46AB" w:rsidRPr="00295637">
        <w:rPr>
          <w:rFonts w:ascii="Times New Roman" w:hAnsi="Times New Roman"/>
          <w:lang w:val="sr-Latn-BA"/>
        </w:rPr>
        <w:t xml:space="preserve"> </w:t>
      </w:r>
      <w:r>
        <w:rPr>
          <w:rFonts w:ascii="Times New Roman" w:hAnsi="Times New Roman"/>
          <w:lang w:val="sr-Latn-BA"/>
        </w:rPr>
        <w:t>сљедеће</w:t>
      </w:r>
      <w:r w:rsidR="00AA46AB" w:rsidRPr="00295637">
        <w:rPr>
          <w:rFonts w:ascii="Times New Roman" w:hAnsi="Times New Roman"/>
          <w:lang w:val="sr-Latn-BA"/>
        </w:rPr>
        <w:t xml:space="preserve"> </w:t>
      </w:r>
      <w:r>
        <w:rPr>
          <w:rFonts w:ascii="Times New Roman" w:hAnsi="Times New Roman"/>
          <w:lang w:val="sr-Latn-BA"/>
        </w:rPr>
        <w:t>активности</w:t>
      </w:r>
      <w:r w:rsidR="00AA46AB" w:rsidRPr="00295637">
        <w:rPr>
          <w:rFonts w:ascii="Times New Roman" w:hAnsi="Times New Roman"/>
          <w:lang w:val="sr-Latn-BA"/>
        </w:rPr>
        <w:t>:</w:t>
      </w:r>
      <w:r w:rsidR="00576529" w:rsidRPr="00295637">
        <w:rPr>
          <w:rFonts w:ascii="Times New Roman" w:hAnsi="Times New Roman"/>
          <w:lang w:val="sr-Latn-BA"/>
        </w:rPr>
        <w:t xml:space="preserve"> </w:t>
      </w:r>
      <w:r>
        <w:rPr>
          <w:rFonts w:ascii="Times New Roman" w:hAnsi="Times New Roman"/>
          <w:lang w:val="sr-Latn-BA"/>
        </w:rPr>
        <w:t>учешће</w:t>
      </w:r>
      <w:r w:rsidR="00AA46AB" w:rsidRPr="00295637">
        <w:rPr>
          <w:rFonts w:ascii="Times New Roman" w:hAnsi="Times New Roman"/>
          <w:lang w:val="sr-Latn-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презентацији</w:t>
      </w:r>
      <w:r w:rsidR="00AA46AB" w:rsidRPr="00295637">
        <w:rPr>
          <w:rFonts w:ascii="Times New Roman" w:hAnsi="Times New Roman"/>
          <w:lang w:val="sr-Cyrl-BA"/>
        </w:rPr>
        <w:t xml:space="preserve"> </w:t>
      </w:r>
      <w:r>
        <w:rPr>
          <w:rFonts w:ascii="Times New Roman" w:hAnsi="Times New Roman"/>
          <w:lang w:val="sr-Cyrl-BA"/>
        </w:rPr>
        <w:t>водича</w:t>
      </w:r>
      <w:r w:rsidR="00AA46AB" w:rsidRPr="00295637">
        <w:rPr>
          <w:rFonts w:ascii="Times New Roman" w:hAnsi="Times New Roman"/>
          <w:lang w:val="sr-Cyrl-BA"/>
        </w:rPr>
        <w:t xml:space="preserve"> „</w:t>
      </w:r>
      <w:r>
        <w:rPr>
          <w:rFonts w:ascii="Times New Roman" w:hAnsi="Times New Roman"/>
          <w:lang w:val="sr-Cyrl-BA"/>
        </w:rPr>
        <w:t>Спречавање</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борба</w:t>
      </w:r>
      <w:r w:rsidR="00AA46AB" w:rsidRPr="00295637">
        <w:rPr>
          <w:rFonts w:ascii="Times New Roman" w:hAnsi="Times New Roman"/>
          <w:lang w:val="sr-Cyrl-BA"/>
        </w:rPr>
        <w:t xml:space="preserve"> </w:t>
      </w:r>
      <w:r>
        <w:rPr>
          <w:rFonts w:ascii="Times New Roman" w:hAnsi="Times New Roman"/>
          <w:lang w:val="sr-Cyrl-BA"/>
        </w:rPr>
        <w:t>против</w:t>
      </w:r>
      <w:r w:rsidR="00AA46AB" w:rsidRPr="00295637">
        <w:rPr>
          <w:rFonts w:ascii="Times New Roman" w:hAnsi="Times New Roman"/>
          <w:lang w:val="sr-Cyrl-BA"/>
        </w:rPr>
        <w:t xml:space="preserve"> </w:t>
      </w:r>
      <w:r>
        <w:rPr>
          <w:rFonts w:ascii="Times New Roman" w:hAnsi="Times New Roman"/>
          <w:lang w:val="sr-Cyrl-BA"/>
        </w:rPr>
        <w:t>сексизма</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локално</w:t>
      </w:r>
      <w:r>
        <w:rPr>
          <w:rFonts w:ascii="Times New Roman" w:hAnsi="Times New Roman"/>
          <w:lang w:val="hr-HR"/>
        </w:rPr>
        <w:t>м</w:t>
      </w:r>
      <w:r w:rsidR="00AA46AB" w:rsidRPr="00295637">
        <w:rPr>
          <w:rFonts w:ascii="Times New Roman" w:hAnsi="Times New Roman"/>
          <w:lang w:val="sr-Cyrl-BA"/>
        </w:rPr>
        <w:t xml:space="preserve"> </w:t>
      </w:r>
      <w:r>
        <w:rPr>
          <w:rFonts w:ascii="Times New Roman" w:hAnsi="Times New Roman"/>
          <w:lang w:val="hr-HR"/>
        </w:rPr>
        <w:t>нивоу</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Б</w:t>
      </w:r>
      <w:r>
        <w:rPr>
          <w:rFonts w:ascii="Times New Roman" w:hAnsi="Times New Roman"/>
          <w:lang w:val="bs-Latn-BA"/>
        </w:rPr>
        <w:t>иХ</w:t>
      </w:r>
      <w:r w:rsidR="00AA46AB" w:rsidRPr="00295637">
        <w:rPr>
          <w:rFonts w:ascii="Times New Roman" w:hAnsi="Times New Roman"/>
          <w:lang w:val="sr-Cyrl-BA"/>
        </w:rPr>
        <w:t xml:space="preserve"> - </w:t>
      </w:r>
      <w:r>
        <w:rPr>
          <w:rFonts w:ascii="Times New Roman" w:hAnsi="Times New Roman"/>
          <w:lang w:val="sr-Cyrl-BA"/>
        </w:rPr>
        <w:t>Водич</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жене</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мушкарце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локалној</w:t>
      </w:r>
      <w:r w:rsidR="00AA46AB" w:rsidRPr="00295637">
        <w:rPr>
          <w:rFonts w:ascii="Times New Roman" w:hAnsi="Times New Roman"/>
          <w:lang w:val="sr-Cyrl-BA"/>
        </w:rPr>
        <w:t xml:space="preserve"> </w:t>
      </w:r>
      <w:r>
        <w:rPr>
          <w:rFonts w:ascii="Times New Roman" w:hAnsi="Times New Roman"/>
          <w:lang w:val="sr-Cyrl-BA"/>
        </w:rPr>
        <w:t>политици</w:t>
      </w:r>
      <w:r w:rsidR="00AA46AB" w:rsidRPr="00295637">
        <w:rPr>
          <w:rFonts w:ascii="Times New Roman" w:hAnsi="Times New Roman"/>
          <w:lang w:val="sr-Cyrl-BA"/>
        </w:rPr>
        <w:t xml:space="preserve">“ </w:t>
      </w:r>
      <w:r>
        <w:rPr>
          <w:rFonts w:ascii="Times New Roman" w:hAnsi="Times New Roman"/>
          <w:lang w:val="sr-Cyrl-BA"/>
        </w:rPr>
        <w:t>који</w:t>
      </w:r>
      <w:r w:rsidR="00AA46AB" w:rsidRPr="00295637">
        <w:rPr>
          <w:rFonts w:ascii="Times New Roman" w:hAnsi="Times New Roman"/>
          <w:lang w:val="sr-Cyrl-BA"/>
        </w:rPr>
        <w:t xml:space="preserve"> </w:t>
      </w:r>
      <w:r>
        <w:rPr>
          <w:rFonts w:ascii="Times New Roman" w:hAnsi="Times New Roman"/>
          <w:lang w:val="sr-Cyrl-BA"/>
        </w:rPr>
        <w:t>је</w:t>
      </w:r>
      <w:r w:rsidR="00AA46AB" w:rsidRPr="00295637">
        <w:rPr>
          <w:rFonts w:ascii="Times New Roman" w:hAnsi="Times New Roman"/>
          <w:lang w:val="sr-Cyrl-BA"/>
        </w:rPr>
        <w:t xml:space="preserve"> </w:t>
      </w:r>
      <w:r>
        <w:rPr>
          <w:rFonts w:ascii="Times New Roman" w:hAnsi="Times New Roman"/>
          <w:lang w:val="sr-Cyrl-BA"/>
        </w:rPr>
        <w:t>израђен</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склопу</w:t>
      </w:r>
      <w:r w:rsidR="00AA46AB" w:rsidRPr="00295637">
        <w:rPr>
          <w:rFonts w:ascii="Times New Roman" w:hAnsi="Times New Roman"/>
          <w:lang w:val="sr-Cyrl-BA"/>
        </w:rPr>
        <w:t xml:space="preserve"> </w:t>
      </w:r>
      <w:r>
        <w:rPr>
          <w:rFonts w:ascii="Times New Roman" w:hAnsi="Times New Roman"/>
          <w:lang w:val="sr-Cyrl-BA"/>
        </w:rPr>
        <w:t>пројекта</w:t>
      </w:r>
      <w:r w:rsidR="00AA46AB" w:rsidRPr="00295637">
        <w:rPr>
          <w:rFonts w:ascii="Times New Roman" w:hAnsi="Times New Roman"/>
          <w:lang w:val="sr-Cyrl-BA"/>
        </w:rPr>
        <w:t xml:space="preserve"> </w:t>
      </w:r>
      <w:r w:rsidR="00CF6228">
        <w:rPr>
          <w:rFonts w:ascii="Times New Roman" w:hAnsi="Times New Roman"/>
          <w:lang w:val="sr-Cyrl-BA"/>
        </w:rPr>
        <w:t>С</w:t>
      </w:r>
      <w:r>
        <w:rPr>
          <w:rFonts w:ascii="Times New Roman" w:hAnsi="Times New Roman"/>
          <w:lang w:val="bs-Latn-BA"/>
        </w:rPr>
        <w:t>Е</w:t>
      </w:r>
      <w:r w:rsidR="00AA46AB" w:rsidRPr="00295637">
        <w:rPr>
          <w:rFonts w:ascii="Times New Roman" w:hAnsi="Times New Roman"/>
          <w:lang w:val="sr-Cyrl-BA"/>
        </w:rPr>
        <w:t xml:space="preserve"> „</w:t>
      </w:r>
      <w:r>
        <w:rPr>
          <w:rFonts w:ascii="Times New Roman" w:hAnsi="Times New Roman"/>
          <w:lang w:val="sr-Cyrl-BA"/>
        </w:rPr>
        <w:t>Иновирање</w:t>
      </w:r>
      <w:r w:rsidR="00AA46AB" w:rsidRPr="00295637">
        <w:rPr>
          <w:rFonts w:ascii="Times New Roman" w:hAnsi="Times New Roman"/>
          <w:lang w:val="sr-Cyrl-BA"/>
        </w:rPr>
        <w:t xml:space="preserve"> </w:t>
      </w:r>
      <w:r>
        <w:rPr>
          <w:rFonts w:ascii="Times New Roman" w:hAnsi="Times New Roman"/>
          <w:lang w:val="sr-Cyrl-BA"/>
        </w:rPr>
        <w:t>демократског</w:t>
      </w:r>
      <w:r w:rsidR="00AA46AB" w:rsidRPr="00295637">
        <w:rPr>
          <w:rFonts w:ascii="Times New Roman" w:hAnsi="Times New Roman"/>
          <w:lang w:val="sr-Cyrl-BA"/>
        </w:rPr>
        <w:t xml:space="preserve"> </w:t>
      </w:r>
      <w:r>
        <w:rPr>
          <w:rFonts w:ascii="Times New Roman" w:hAnsi="Times New Roman"/>
          <w:lang w:val="hr-HR"/>
        </w:rPr>
        <w:t>учешћа</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локално</w:t>
      </w:r>
      <w:r>
        <w:rPr>
          <w:rFonts w:ascii="Times New Roman" w:hAnsi="Times New Roman"/>
          <w:lang w:val="hr-HR"/>
        </w:rPr>
        <w:t>м</w:t>
      </w:r>
      <w:r w:rsidR="00AA46AB" w:rsidRPr="00295637">
        <w:rPr>
          <w:rFonts w:ascii="Times New Roman" w:hAnsi="Times New Roman"/>
          <w:lang w:val="sr-Cyrl-BA"/>
        </w:rPr>
        <w:t xml:space="preserve"> </w:t>
      </w:r>
      <w:r>
        <w:rPr>
          <w:rFonts w:ascii="Times New Roman" w:hAnsi="Times New Roman"/>
          <w:lang w:val="hr-HR"/>
        </w:rPr>
        <w:t>нивоу</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Босни</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Херцеговини</w:t>
      </w:r>
      <w:r w:rsidR="00AA46AB" w:rsidRPr="00295637">
        <w:rPr>
          <w:rFonts w:ascii="Times New Roman" w:hAnsi="Times New Roman"/>
          <w:lang w:val="sr-Cyrl-BA"/>
        </w:rPr>
        <w:t xml:space="preserve">“, </w:t>
      </w:r>
      <w:r>
        <w:rPr>
          <w:rFonts w:ascii="Times New Roman" w:hAnsi="Times New Roman"/>
          <w:lang w:val="sr-Cyrl-BA"/>
        </w:rPr>
        <w:t>проведеног</w:t>
      </w:r>
      <w:r w:rsidR="00AA46AB" w:rsidRPr="00295637">
        <w:rPr>
          <w:rFonts w:ascii="Times New Roman" w:hAnsi="Times New Roman"/>
          <w:lang w:val="sr-Cyrl-BA"/>
        </w:rPr>
        <w:t xml:space="preserve"> </w:t>
      </w:r>
      <w:r>
        <w:rPr>
          <w:rFonts w:ascii="Times New Roman" w:hAnsi="Times New Roman"/>
          <w:lang w:val="sr-Cyrl-BA"/>
        </w:rPr>
        <w:t>од</w:t>
      </w:r>
      <w:r w:rsidR="00AA46AB" w:rsidRPr="00295637">
        <w:rPr>
          <w:rFonts w:ascii="Times New Roman" w:hAnsi="Times New Roman"/>
          <w:lang w:val="sr-Cyrl-BA"/>
        </w:rPr>
        <w:t xml:space="preserve"> </w:t>
      </w:r>
      <w:r>
        <w:rPr>
          <w:rFonts w:ascii="Times New Roman" w:hAnsi="Times New Roman"/>
          <w:lang w:val="sr-Cyrl-BA"/>
        </w:rPr>
        <w:t>стране</w:t>
      </w:r>
      <w:r w:rsidR="00AA46AB" w:rsidRPr="00295637">
        <w:rPr>
          <w:rFonts w:ascii="Times New Roman" w:hAnsi="Times New Roman"/>
          <w:lang w:val="sr-Cyrl-BA"/>
        </w:rPr>
        <w:t xml:space="preserve"> </w:t>
      </w:r>
      <w:r>
        <w:rPr>
          <w:rFonts w:ascii="Times New Roman" w:hAnsi="Times New Roman"/>
          <w:lang w:val="sr-Cyrl-BA"/>
        </w:rPr>
        <w:t>Конгреса</w:t>
      </w:r>
      <w:r w:rsidR="00AA46AB" w:rsidRPr="00295637">
        <w:rPr>
          <w:rFonts w:ascii="Times New Roman" w:hAnsi="Times New Roman"/>
          <w:lang w:val="sr-Cyrl-BA"/>
        </w:rPr>
        <w:t xml:space="preserve"> </w:t>
      </w:r>
      <w:r>
        <w:rPr>
          <w:rFonts w:ascii="Times New Roman" w:hAnsi="Times New Roman"/>
          <w:lang w:val="sr-Cyrl-BA"/>
        </w:rPr>
        <w:t>локалних</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регионалних</w:t>
      </w:r>
      <w:r w:rsidR="00AA46AB" w:rsidRPr="00295637">
        <w:rPr>
          <w:rFonts w:ascii="Times New Roman" w:hAnsi="Times New Roman"/>
          <w:lang w:val="sr-Cyrl-BA"/>
        </w:rPr>
        <w:t xml:space="preserve"> </w:t>
      </w:r>
      <w:r>
        <w:rPr>
          <w:rFonts w:ascii="Times New Roman" w:hAnsi="Times New Roman"/>
          <w:lang w:val="sr-Cyrl-BA"/>
        </w:rPr>
        <w:t>власти</w:t>
      </w:r>
      <w:r w:rsidR="00AA46AB" w:rsidRPr="00295637">
        <w:rPr>
          <w:rFonts w:ascii="Times New Roman" w:hAnsi="Times New Roman"/>
          <w:lang w:val="sr-Latn-BA"/>
        </w:rPr>
        <w:t>;</w:t>
      </w:r>
      <w:r w:rsidR="00576529" w:rsidRPr="00295637">
        <w:rPr>
          <w:rFonts w:ascii="Times New Roman" w:hAnsi="Times New Roman"/>
          <w:lang w:val="sr-Latn-BA"/>
        </w:rPr>
        <w:t xml:space="preserve"> </w:t>
      </w:r>
      <w:r>
        <w:rPr>
          <w:rFonts w:ascii="Times New Roman" w:hAnsi="Times New Roman"/>
          <w:lang w:val="sr-Latn-BA"/>
        </w:rPr>
        <w:t>учешће</w:t>
      </w:r>
      <w:r w:rsidR="0060469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AA46AB" w:rsidRPr="00295637">
        <w:rPr>
          <w:rFonts w:ascii="Times New Roman" w:hAnsi="Times New Roman"/>
          <w:lang w:val="sr-Cyrl-BA"/>
        </w:rPr>
        <w:t xml:space="preserve"> </w:t>
      </w:r>
      <w:r>
        <w:rPr>
          <w:rFonts w:ascii="Times New Roman" w:hAnsi="Times New Roman"/>
          <w:lang w:val="sr-Cyrl-BA"/>
        </w:rPr>
        <w:t>излагањем</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међународној</w:t>
      </w:r>
      <w:r w:rsidR="00AA46AB" w:rsidRPr="00295637">
        <w:rPr>
          <w:rFonts w:ascii="Times New Roman" w:hAnsi="Times New Roman"/>
          <w:lang w:val="sr-Cyrl-BA"/>
        </w:rPr>
        <w:t xml:space="preserve"> </w:t>
      </w:r>
      <w:r>
        <w:rPr>
          <w:rFonts w:ascii="Times New Roman" w:hAnsi="Times New Roman"/>
          <w:lang w:val="sr-Cyrl-BA"/>
        </w:rPr>
        <w:t>конференцији</w:t>
      </w:r>
      <w:r w:rsidR="00AA46AB" w:rsidRPr="00295637">
        <w:rPr>
          <w:rFonts w:ascii="Times New Roman" w:hAnsi="Times New Roman"/>
          <w:lang w:val="sr-Cyrl-BA"/>
        </w:rPr>
        <w:t xml:space="preserve"> </w:t>
      </w:r>
      <w:r>
        <w:rPr>
          <w:rFonts w:ascii="Times New Roman" w:hAnsi="Times New Roman"/>
          <w:lang w:val="sr-Cyrl-BA"/>
        </w:rPr>
        <w:t>о</w:t>
      </w:r>
      <w:r w:rsidR="00AA46AB" w:rsidRPr="00295637">
        <w:rPr>
          <w:rFonts w:ascii="Times New Roman" w:hAnsi="Times New Roman"/>
          <w:lang w:val="sr-Cyrl-BA"/>
        </w:rPr>
        <w:t xml:space="preserve"> </w:t>
      </w:r>
      <w:r>
        <w:rPr>
          <w:rFonts w:ascii="Times New Roman" w:hAnsi="Times New Roman"/>
          <w:lang w:val="sr-Cyrl-BA"/>
        </w:rPr>
        <w:t>дигиталној</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сексуалној</w:t>
      </w:r>
      <w:r w:rsidR="00AA46AB" w:rsidRPr="00295637">
        <w:rPr>
          <w:rFonts w:ascii="Times New Roman" w:hAnsi="Times New Roman"/>
          <w:lang w:val="sr-Cyrl-BA"/>
        </w:rPr>
        <w:t xml:space="preserve"> </w:t>
      </w:r>
      <w:r>
        <w:rPr>
          <w:rFonts w:ascii="Times New Roman" w:hAnsi="Times New Roman"/>
          <w:lang w:val="sr-Cyrl-BA"/>
        </w:rPr>
        <w:t>димензији</w:t>
      </w:r>
      <w:r w:rsidR="00AA46AB" w:rsidRPr="00295637">
        <w:rPr>
          <w:rFonts w:ascii="Times New Roman" w:hAnsi="Times New Roman"/>
          <w:lang w:val="sr-Cyrl-BA"/>
        </w:rPr>
        <w:t xml:space="preserve"> </w:t>
      </w:r>
      <w:r>
        <w:rPr>
          <w:rFonts w:ascii="Times New Roman" w:hAnsi="Times New Roman"/>
          <w:lang w:val="sr-Cyrl-BA"/>
        </w:rPr>
        <w:t>насиља</w:t>
      </w:r>
      <w:r w:rsidR="00AA46AB" w:rsidRPr="00295637">
        <w:rPr>
          <w:rFonts w:ascii="Times New Roman" w:hAnsi="Times New Roman"/>
          <w:lang w:val="sr-Cyrl-BA"/>
        </w:rPr>
        <w:t xml:space="preserve"> </w:t>
      </w:r>
      <w:r>
        <w:rPr>
          <w:rFonts w:ascii="Times New Roman" w:hAnsi="Times New Roman"/>
          <w:lang w:val="sr-Cyrl-BA"/>
        </w:rPr>
        <w:t>над</w:t>
      </w:r>
      <w:r w:rsidR="00AA46AB" w:rsidRPr="00295637">
        <w:rPr>
          <w:rFonts w:ascii="Times New Roman" w:hAnsi="Times New Roman"/>
          <w:lang w:val="sr-Cyrl-BA"/>
        </w:rPr>
        <w:t xml:space="preserve"> </w:t>
      </w:r>
      <w:r>
        <w:rPr>
          <w:rFonts w:ascii="Times New Roman" w:hAnsi="Times New Roman"/>
          <w:lang w:val="sr-Cyrl-BA"/>
        </w:rPr>
        <w:t>женама</w:t>
      </w:r>
      <w:r w:rsidR="00AA46AB" w:rsidRPr="00295637">
        <w:rPr>
          <w:rFonts w:ascii="Times New Roman" w:hAnsi="Times New Roman"/>
          <w:lang w:val="sr-Latn-BA"/>
        </w:rPr>
        <w:t>;</w:t>
      </w:r>
      <w:r w:rsidR="00576529" w:rsidRPr="00295637">
        <w:rPr>
          <w:rFonts w:ascii="Times New Roman" w:hAnsi="Times New Roman"/>
          <w:lang w:val="sr-Latn-BA"/>
        </w:rPr>
        <w:t xml:space="preserve"> </w:t>
      </w:r>
      <w:r>
        <w:rPr>
          <w:rFonts w:ascii="Times New Roman" w:hAnsi="Times New Roman"/>
          <w:lang w:val="hr-HR"/>
        </w:rPr>
        <w:t>учешће</w:t>
      </w:r>
      <w:r w:rsidR="0060469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AA46AB" w:rsidRPr="00295637">
        <w:rPr>
          <w:rFonts w:ascii="Times New Roman" w:hAnsi="Times New Roman"/>
          <w:lang w:val="sr-Cyrl-BA"/>
        </w:rPr>
        <w:t xml:space="preserve"> </w:t>
      </w:r>
      <w:r>
        <w:rPr>
          <w:rFonts w:ascii="Times New Roman" w:hAnsi="Times New Roman"/>
          <w:lang w:val="sr-Cyrl-BA"/>
        </w:rPr>
        <w:t>излагањем</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конференцији</w:t>
      </w:r>
      <w:r w:rsidR="00AA46AB" w:rsidRPr="00295637">
        <w:rPr>
          <w:rFonts w:ascii="Times New Roman" w:hAnsi="Times New Roman"/>
          <w:lang w:val="sr-Cyrl-BA"/>
        </w:rPr>
        <w:t xml:space="preserve"> </w:t>
      </w:r>
      <w:r w:rsidR="00604697">
        <w:rPr>
          <w:rFonts w:ascii="Times New Roman" w:hAnsi="Times New Roman"/>
          <w:lang w:val="hr-HR"/>
        </w:rPr>
        <w:t>„</w:t>
      </w:r>
      <w:r>
        <w:rPr>
          <w:rFonts w:ascii="Times New Roman" w:hAnsi="Times New Roman"/>
          <w:lang w:val="sr-Cyrl-BA"/>
        </w:rPr>
        <w:t>Правни</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институционални</w:t>
      </w:r>
      <w:r w:rsidR="00AA46AB" w:rsidRPr="00295637">
        <w:rPr>
          <w:rFonts w:ascii="Times New Roman" w:hAnsi="Times New Roman"/>
          <w:lang w:val="sr-Cyrl-BA"/>
        </w:rPr>
        <w:t xml:space="preserve"> </w:t>
      </w:r>
      <w:r>
        <w:rPr>
          <w:rFonts w:ascii="Times New Roman" w:hAnsi="Times New Roman"/>
          <w:lang w:val="sr-Cyrl-BA"/>
        </w:rPr>
        <w:t>одговори</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онл</w:t>
      </w:r>
      <w:r>
        <w:rPr>
          <w:rFonts w:ascii="Times New Roman" w:hAnsi="Times New Roman"/>
          <w:lang w:val="hr-HR"/>
        </w:rPr>
        <w:t>ине</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технолошко</w:t>
      </w:r>
      <w:r w:rsidR="00AA46AB" w:rsidRPr="00295637">
        <w:rPr>
          <w:rFonts w:ascii="Times New Roman" w:hAnsi="Times New Roman"/>
          <w:lang w:val="sr-Cyrl-BA"/>
        </w:rPr>
        <w:t xml:space="preserve"> </w:t>
      </w:r>
      <w:r>
        <w:rPr>
          <w:rFonts w:ascii="Times New Roman" w:hAnsi="Times New Roman"/>
          <w:lang w:val="sr-Cyrl-BA"/>
        </w:rPr>
        <w:t>потпомогнуто</w:t>
      </w:r>
      <w:r w:rsidR="00604697">
        <w:rPr>
          <w:rFonts w:ascii="Times New Roman" w:hAnsi="Times New Roman"/>
          <w:lang w:val="sr-Cyrl-BA"/>
        </w:rPr>
        <w:t xml:space="preserve"> </w:t>
      </w:r>
      <w:r>
        <w:rPr>
          <w:rFonts w:ascii="Times New Roman" w:hAnsi="Times New Roman"/>
          <w:lang w:val="sr-Cyrl-BA"/>
        </w:rPr>
        <w:t>насиље</w:t>
      </w:r>
      <w:r w:rsidR="00604697">
        <w:rPr>
          <w:rFonts w:ascii="Times New Roman" w:hAnsi="Times New Roman"/>
          <w:lang w:val="sr-Cyrl-BA"/>
        </w:rPr>
        <w:t xml:space="preserve"> </w:t>
      </w:r>
      <w:r>
        <w:rPr>
          <w:rFonts w:ascii="Times New Roman" w:hAnsi="Times New Roman"/>
          <w:lang w:val="sr-Cyrl-BA"/>
        </w:rPr>
        <w:t>над</w:t>
      </w:r>
      <w:r w:rsidR="00604697">
        <w:rPr>
          <w:rFonts w:ascii="Times New Roman" w:hAnsi="Times New Roman"/>
          <w:lang w:val="sr-Cyrl-BA"/>
        </w:rPr>
        <w:t xml:space="preserve"> </w:t>
      </w:r>
      <w:r>
        <w:rPr>
          <w:rFonts w:ascii="Times New Roman" w:hAnsi="Times New Roman"/>
          <w:lang w:val="sr-Cyrl-BA"/>
        </w:rPr>
        <w:t>женама</w:t>
      </w:r>
      <w:r w:rsidR="00604697">
        <w:rPr>
          <w:rFonts w:ascii="Times New Roman" w:hAnsi="Times New Roman"/>
          <w:lang w:val="hr-HR"/>
        </w:rPr>
        <w:t>“</w:t>
      </w:r>
      <w:r w:rsidR="00AA46AB" w:rsidRPr="00295637">
        <w:rPr>
          <w:rFonts w:ascii="Times New Roman" w:hAnsi="Times New Roman"/>
          <w:lang w:val="sr-Latn-BA"/>
        </w:rPr>
        <w:t>.</w:t>
      </w:r>
    </w:p>
    <w:p w:rsidR="00AA46AB" w:rsidRPr="00295637" w:rsidRDefault="00AA46AB" w:rsidP="0086268D">
      <w:pPr>
        <w:pStyle w:val="ListParagraph"/>
        <w:ind w:left="0"/>
        <w:jc w:val="both"/>
        <w:rPr>
          <w:rFonts w:ascii="Times New Roman" w:hAnsi="Times New Roman"/>
          <w:lang w:val="sr-Cyrl-BA"/>
        </w:rPr>
      </w:pPr>
    </w:p>
    <w:p w:rsidR="00AA46AB"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Када</w:t>
      </w:r>
      <w:r w:rsidR="00AA46AB" w:rsidRPr="00295637">
        <w:rPr>
          <w:rFonts w:ascii="Times New Roman" w:hAnsi="Times New Roman"/>
          <w:lang w:val="sr-Latn-BA"/>
        </w:rPr>
        <w:t xml:space="preserve"> </w:t>
      </w:r>
      <w:r>
        <w:rPr>
          <w:rFonts w:ascii="Times New Roman" w:hAnsi="Times New Roman"/>
          <w:lang w:val="sr-Latn-BA"/>
        </w:rPr>
        <w:t>су</w:t>
      </w:r>
      <w:r w:rsidR="00AA46AB" w:rsidRPr="00295637">
        <w:rPr>
          <w:rFonts w:ascii="Times New Roman" w:hAnsi="Times New Roman"/>
          <w:lang w:val="sr-Latn-BA"/>
        </w:rPr>
        <w:t xml:space="preserve"> </w:t>
      </w: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питању</w:t>
      </w:r>
      <w:r w:rsidR="00AA46AB" w:rsidRPr="00295637">
        <w:rPr>
          <w:rFonts w:ascii="Times New Roman" w:hAnsi="Times New Roman"/>
          <w:lang w:val="sr-Latn-BA"/>
        </w:rPr>
        <w:t xml:space="preserve"> </w:t>
      </w:r>
      <w:r>
        <w:rPr>
          <w:rFonts w:ascii="Times New Roman" w:hAnsi="Times New Roman"/>
          <w:lang w:val="sr-Latn-BA"/>
        </w:rPr>
        <w:t>друге</w:t>
      </w:r>
      <w:r w:rsidR="00AA46AB" w:rsidRPr="00295637">
        <w:rPr>
          <w:rFonts w:ascii="Times New Roman" w:hAnsi="Times New Roman"/>
          <w:lang w:val="sr-Latn-BA"/>
        </w:rPr>
        <w:t xml:space="preserve"> </w:t>
      </w:r>
      <w:r>
        <w:rPr>
          <w:rFonts w:ascii="Times New Roman" w:hAnsi="Times New Roman"/>
          <w:lang w:val="sr-Latn-BA"/>
        </w:rPr>
        <w:t>међународне</w:t>
      </w:r>
      <w:r w:rsidR="00AA46AB" w:rsidRPr="00295637">
        <w:rPr>
          <w:rFonts w:ascii="Times New Roman" w:hAnsi="Times New Roman"/>
          <w:lang w:val="sr-Latn-BA"/>
        </w:rPr>
        <w:t xml:space="preserve"> </w:t>
      </w:r>
      <w:r>
        <w:rPr>
          <w:rFonts w:ascii="Times New Roman" w:hAnsi="Times New Roman"/>
          <w:lang w:val="sr-Latn-BA"/>
        </w:rPr>
        <w:t>организације</w:t>
      </w:r>
      <w:r w:rsidR="00AA46AB" w:rsidRPr="00295637">
        <w:rPr>
          <w:rFonts w:ascii="Times New Roman" w:hAnsi="Times New Roman"/>
          <w:lang w:val="sr-Latn-BA"/>
        </w:rPr>
        <w:t xml:space="preserve"> </w:t>
      </w:r>
      <w:r>
        <w:rPr>
          <w:rFonts w:ascii="Times New Roman" w:hAnsi="Times New Roman"/>
          <w:lang w:val="sr-Latn-BA"/>
        </w:rPr>
        <w:t>и</w:t>
      </w:r>
      <w:r w:rsidR="00AA46AB" w:rsidRPr="00295637">
        <w:rPr>
          <w:rFonts w:ascii="Times New Roman" w:hAnsi="Times New Roman"/>
          <w:lang w:val="sr-Latn-BA"/>
        </w:rPr>
        <w:t xml:space="preserve"> </w:t>
      </w:r>
      <w:r>
        <w:rPr>
          <w:rFonts w:ascii="Times New Roman" w:hAnsi="Times New Roman"/>
          <w:lang w:val="sr-Latn-BA"/>
        </w:rPr>
        <w:t>агенције</w:t>
      </w:r>
      <w:r w:rsidR="00AA46AB" w:rsidRPr="00295637">
        <w:rPr>
          <w:rFonts w:ascii="Times New Roman" w:hAnsi="Times New Roman"/>
          <w:lang w:val="sr-Latn-BA"/>
        </w:rPr>
        <w:t xml:space="preserve">, </w:t>
      </w:r>
      <w:r>
        <w:rPr>
          <w:rFonts w:ascii="Times New Roman" w:hAnsi="Times New Roman"/>
          <w:lang w:val="sr-Latn-BA"/>
        </w:rPr>
        <w:t>ЦЈРП</w:t>
      </w:r>
      <w:r w:rsidR="00AA46AB" w:rsidRPr="00295637">
        <w:rPr>
          <w:rFonts w:ascii="Times New Roman" w:hAnsi="Times New Roman"/>
          <w:lang w:val="sr-Latn-BA"/>
        </w:rPr>
        <w:t xml:space="preserve"> </w:t>
      </w:r>
      <w:r>
        <w:rPr>
          <w:rFonts w:ascii="Times New Roman" w:hAnsi="Times New Roman"/>
          <w:lang w:val="sr-Latn-BA"/>
        </w:rPr>
        <w:t>РС</w:t>
      </w:r>
      <w:r w:rsidR="00AA46AB" w:rsidRPr="00295637">
        <w:rPr>
          <w:rFonts w:ascii="Times New Roman" w:hAnsi="Times New Roman"/>
          <w:lang w:val="sr-Latn-BA"/>
        </w:rPr>
        <w:t xml:space="preserve"> </w:t>
      </w:r>
      <w:r>
        <w:rPr>
          <w:rFonts w:ascii="Times New Roman" w:hAnsi="Times New Roman"/>
          <w:lang w:val="sr-Latn-BA"/>
        </w:rPr>
        <w:t>је</w:t>
      </w:r>
      <w:r w:rsidR="00AA46AB" w:rsidRPr="00295637">
        <w:rPr>
          <w:rFonts w:ascii="Times New Roman" w:hAnsi="Times New Roman"/>
          <w:lang w:val="sr-Latn-BA"/>
        </w:rPr>
        <w:t xml:space="preserve"> </w:t>
      </w:r>
      <w:r>
        <w:rPr>
          <w:rFonts w:ascii="Times New Roman" w:hAnsi="Times New Roman"/>
          <w:lang w:val="sr-Latn-BA"/>
        </w:rPr>
        <w:t>реализ</w:t>
      </w:r>
      <w:r w:rsidR="00CF6228">
        <w:rPr>
          <w:rFonts w:ascii="Times New Roman" w:hAnsi="Times New Roman"/>
          <w:lang w:val="sr-Cyrl-BA"/>
        </w:rPr>
        <w:t>овао</w:t>
      </w:r>
      <w:r w:rsidR="00AA46AB" w:rsidRPr="00295637">
        <w:rPr>
          <w:rFonts w:ascii="Times New Roman" w:hAnsi="Times New Roman"/>
          <w:lang w:val="sr-Latn-BA"/>
        </w:rPr>
        <w:t xml:space="preserve"> </w:t>
      </w:r>
      <w:r>
        <w:rPr>
          <w:rFonts w:ascii="Times New Roman" w:hAnsi="Times New Roman"/>
          <w:lang w:val="sr-Latn-BA"/>
        </w:rPr>
        <w:t>сљедеће</w:t>
      </w:r>
      <w:r w:rsidR="00AA46AB" w:rsidRPr="00295637">
        <w:rPr>
          <w:rFonts w:ascii="Times New Roman" w:hAnsi="Times New Roman"/>
          <w:lang w:val="sr-Latn-BA"/>
        </w:rPr>
        <w:t xml:space="preserve"> </w:t>
      </w:r>
      <w:r>
        <w:rPr>
          <w:rFonts w:ascii="Times New Roman" w:hAnsi="Times New Roman"/>
          <w:lang w:val="sr-Latn-BA"/>
        </w:rPr>
        <w:t>активности</w:t>
      </w:r>
      <w:r w:rsidR="00AA46AB" w:rsidRPr="00295637">
        <w:rPr>
          <w:rFonts w:ascii="Times New Roman" w:hAnsi="Times New Roman"/>
          <w:lang w:val="sr-Latn-BA"/>
        </w:rPr>
        <w:t>:</w:t>
      </w:r>
      <w:r w:rsidR="00576529" w:rsidRPr="00295637">
        <w:rPr>
          <w:rFonts w:ascii="Times New Roman" w:hAnsi="Times New Roman"/>
          <w:lang w:val="sr-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представљању</w:t>
      </w:r>
      <w:r w:rsidR="00AA46AB"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таја</w:t>
      </w:r>
      <w:r w:rsidR="00AA46AB" w:rsidRPr="00295637">
        <w:rPr>
          <w:rFonts w:ascii="Times New Roman" w:hAnsi="Times New Roman"/>
          <w:lang w:val="sr-Cyrl-BA"/>
        </w:rPr>
        <w:t xml:space="preserve"> </w:t>
      </w:r>
      <w:r>
        <w:rPr>
          <w:rFonts w:ascii="Times New Roman" w:hAnsi="Times New Roman"/>
          <w:lang w:val="sr-Cyrl-BA"/>
        </w:rPr>
        <w:t>о</w:t>
      </w:r>
      <w:r w:rsidR="00AA46AB" w:rsidRPr="00295637">
        <w:rPr>
          <w:rFonts w:ascii="Times New Roman" w:hAnsi="Times New Roman"/>
          <w:lang w:val="sr-Cyrl-BA"/>
        </w:rPr>
        <w:t xml:space="preserve"> </w:t>
      </w:r>
      <w:r>
        <w:rPr>
          <w:rFonts w:ascii="Times New Roman" w:hAnsi="Times New Roman"/>
          <w:lang w:val="sr-Cyrl-BA"/>
        </w:rPr>
        <w:t>положају</w:t>
      </w:r>
      <w:r w:rsidR="00AA46AB" w:rsidRPr="00295637">
        <w:rPr>
          <w:rFonts w:ascii="Times New Roman" w:hAnsi="Times New Roman"/>
          <w:lang w:val="sr-Cyrl-BA"/>
        </w:rPr>
        <w:t xml:space="preserve"> </w:t>
      </w:r>
      <w:r>
        <w:rPr>
          <w:rFonts w:ascii="Times New Roman" w:hAnsi="Times New Roman"/>
          <w:lang w:val="sr-Cyrl-BA"/>
        </w:rPr>
        <w:t>бранитеља</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бранитељ</w:t>
      </w:r>
      <w:r w:rsidR="00CF6228">
        <w:rPr>
          <w:rFonts w:ascii="Times New Roman" w:hAnsi="Times New Roman"/>
          <w:lang w:val="sr-Cyrl-BA"/>
        </w:rPr>
        <w:t>ки</w:t>
      </w:r>
      <w:r w:rsidR="00AA46AB" w:rsidRPr="00295637">
        <w:rPr>
          <w:rFonts w:ascii="Times New Roman" w:hAnsi="Times New Roman"/>
          <w:lang w:val="sr-Cyrl-BA"/>
        </w:rPr>
        <w:t xml:space="preserve"> </w:t>
      </w:r>
      <w:r>
        <w:rPr>
          <w:rFonts w:ascii="Times New Roman" w:hAnsi="Times New Roman"/>
          <w:lang w:val="sr-Cyrl-BA"/>
        </w:rPr>
        <w:t>људских</w:t>
      </w:r>
      <w:r w:rsidR="00AA46AB" w:rsidRPr="00295637">
        <w:rPr>
          <w:rFonts w:ascii="Times New Roman" w:hAnsi="Times New Roman"/>
          <w:lang w:val="sr-Cyrl-BA"/>
        </w:rPr>
        <w:t xml:space="preserve"> </w:t>
      </w:r>
      <w:r>
        <w:rPr>
          <w:rFonts w:ascii="Times New Roman" w:hAnsi="Times New Roman"/>
          <w:lang w:val="sr-Cyrl-BA"/>
        </w:rPr>
        <w:t>права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БиХ</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организацији</w:t>
      </w:r>
      <w:r w:rsidR="00AA46AB" w:rsidRPr="00295637">
        <w:rPr>
          <w:rFonts w:ascii="Times New Roman" w:hAnsi="Times New Roman"/>
          <w:lang w:val="sr-Cyrl-BA"/>
        </w:rPr>
        <w:t xml:space="preserve"> </w:t>
      </w:r>
      <w:r>
        <w:rPr>
          <w:rFonts w:ascii="Times New Roman" w:hAnsi="Times New Roman"/>
          <w:lang w:val="sr-Cyrl-BA"/>
        </w:rPr>
        <w:t>Мисије</w:t>
      </w:r>
      <w:r w:rsidR="00AA46AB" w:rsidRPr="00295637">
        <w:rPr>
          <w:rFonts w:ascii="Times New Roman" w:hAnsi="Times New Roman"/>
          <w:lang w:val="sr-Cyrl-BA"/>
        </w:rPr>
        <w:t xml:space="preserve"> </w:t>
      </w:r>
      <w:r>
        <w:rPr>
          <w:rFonts w:ascii="Times New Roman" w:hAnsi="Times New Roman"/>
          <w:lang w:val="bs-Latn-BA"/>
        </w:rPr>
        <w:t>ОЕ</w:t>
      </w:r>
      <w:r w:rsidR="00CF6228">
        <w:rPr>
          <w:rFonts w:ascii="Times New Roman" w:hAnsi="Times New Roman"/>
          <w:lang w:val="sr-Cyrl-BA"/>
        </w:rPr>
        <w:t>БС</w:t>
      </w:r>
      <w:r w:rsidR="00AA46AB" w:rsidRPr="00295637">
        <w:rPr>
          <w:rFonts w:ascii="Times New Roman" w:hAnsi="Times New Roman"/>
          <w:lang w:val="sr-Cyrl-BA"/>
        </w:rPr>
        <w:t>-</w:t>
      </w:r>
      <w:r>
        <w:rPr>
          <w:rFonts w:ascii="Times New Roman" w:hAnsi="Times New Roman"/>
          <w:lang w:val="sr-Cyrl-BA"/>
        </w:rPr>
        <w:t>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БиХ</w:t>
      </w:r>
      <w:r w:rsidR="00AA46AB" w:rsidRPr="00295637">
        <w:rPr>
          <w:rFonts w:ascii="Times New Roman" w:hAnsi="Times New Roman"/>
          <w:lang w:val="sr-Latn-BA"/>
        </w:rPr>
        <w:t>;</w:t>
      </w:r>
      <w:r w:rsidR="00576529" w:rsidRPr="00295637">
        <w:rPr>
          <w:rFonts w:ascii="Times New Roman" w:hAnsi="Times New Roman"/>
          <w:lang w:val="sr-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пројекту</w:t>
      </w:r>
      <w:r w:rsidR="00AA46AB" w:rsidRPr="00295637">
        <w:rPr>
          <w:rFonts w:ascii="Times New Roman" w:hAnsi="Times New Roman"/>
          <w:lang w:val="sr-Cyrl-BA"/>
        </w:rPr>
        <w:t xml:space="preserve"> „</w:t>
      </w:r>
      <w:r>
        <w:rPr>
          <w:rFonts w:ascii="Times New Roman" w:hAnsi="Times New Roman"/>
          <w:lang w:val="sr-Cyrl-BA"/>
        </w:rPr>
        <w:t>Иницијатива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изградњу</w:t>
      </w:r>
      <w:r w:rsidR="00AA46AB" w:rsidRPr="00295637">
        <w:rPr>
          <w:rFonts w:ascii="Times New Roman" w:hAnsi="Times New Roman"/>
          <w:lang w:val="sr-Cyrl-BA"/>
        </w:rPr>
        <w:t xml:space="preserve"> </w:t>
      </w:r>
      <w:r>
        <w:rPr>
          <w:rFonts w:ascii="Times New Roman" w:hAnsi="Times New Roman"/>
          <w:lang w:val="sr-Cyrl-BA"/>
        </w:rPr>
        <w:t>капацитета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транспарентност</w:t>
      </w:r>
      <w:r w:rsidR="00AA46AB" w:rsidRPr="00295637">
        <w:rPr>
          <w:rFonts w:ascii="Times New Roman" w:hAnsi="Times New Roman"/>
          <w:lang w:val="sr-Cyrl-BA"/>
        </w:rPr>
        <w:t xml:space="preserve"> – </w:t>
      </w:r>
      <w:r>
        <w:rPr>
          <w:rFonts w:ascii="Times New Roman" w:hAnsi="Times New Roman"/>
          <w:lang w:val="sr-Cyrl-BA"/>
        </w:rPr>
        <w:t>Глобални</w:t>
      </w:r>
      <w:r w:rsidR="00AA46AB" w:rsidRPr="00295637">
        <w:rPr>
          <w:rFonts w:ascii="Times New Roman" w:hAnsi="Times New Roman"/>
          <w:lang w:val="sr-Cyrl-BA"/>
        </w:rPr>
        <w:t xml:space="preserve"> </w:t>
      </w:r>
      <w:r>
        <w:rPr>
          <w:rFonts w:ascii="Times New Roman" w:hAnsi="Times New Roman"/>
          <w:lang w:val="sr-Cyrl-BA"/>
        </w:rPr>
        <w:t>програм</w:t>
      </w:r>
      <w:r w:rsidR="00AA46AB"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дршке</w:t>
      </w:r>
      <w:r w:rsidR="00604697">
        <w:rPr>
          <w:rFonts w:ascii="Times New Roman" w:hAnsi="Times New Roman"/>
          <w:lang w:val="sr-Cyrl-BA"/>
        </w:rPr>
        <w:t>“ (</w:t>
      </w:r>
      <w:r>
        <w:rPr>
          <w:rFonts w:ascii="Times New Roman" w:hAnsi="Times New Roman"/>
          <w:lang w:val="sr-Cyrl-BA"/>
        </w:rPr>
        <w:t>скраћено</w:t>
      </w:r>
      <w:r w:rsidR="00604697">
        <w:rPr>
          <w:rFonts w:ascii="Times New Roman" w:hAnsi="Times New Roman"/>
          <w:lang w:val="sr-Cyrl-BA"/>
        </w:rPr>
        <w:t xml:space="preserve">: </w:t>
      </w:r>
      <w:r w:rsidR="00CF6228" w:rsidRPr="00CF6228">
        <w:rPr>
          <w:rFonts w:ascii="Times New Roman" w:hAnsi="Times New Roman"/>
          <w:i/>
          <w:lang w:val="sr-Cyrl-BA"/>
        </w:rPr>
        <w:t>CBIT-GSP</w:t>
      </w:r>
      <w:r w:rsidR="00604697">
        <w:rPr>
          <w:rFonts w:ascii="Times New Roman" w:hAnsi="Times New Roman"/>
          <w:lang w:val="sr-Cyrl-BA"/>
        </w:rPr>
        <w:t xml:space="preserve">) </w:t>
      </w:r>
      <w:r>
        <w:rPr>
          <w:rFonts w:ascii="Times New Roman" w:hAnsi="Times New Roman"/>
          <w:lang w:val="sr-Cyrl-BA"/>
        </w:rPr>
        <w:t>који</w:t>
      </w:r>
      <w:r w:rsidR="00604697">
        <w:rPr>
          <w:rFonts w:ascii="Times New Roman" w:hAnsi="Times New Roman"/>
          <w:lang w:val="sr-Cyrl-BA"/>
        </w:rPr>
        <w:t xml:space="preserve"> </w:t>
      </w:r>
      <w:r>
        <w:rPr>
          <w:rFonts w:ascii="Times New Roman" w:hAnsi="Times New Roman"/>
          <w:lang w:val="sr-Cyrl-BA"/>
        </w:rPr>
        <w:t>проводи</w:t>
      </w:r>
      <w:r w:rsidR="00AA46AB" w:rsidRPr="00295637">
        <w:rPr>
          <w:rFonts w:ascii="Times New Roman" w:hAnsi="Times New Roman"/>
          <w:lang w:val="sr-Cyrl-BA"/>
        </w:rPr>
        <w:t xml:space="preserve"> </w:t>
      </w:r>
      <w:r>
        <w:rPr>
          <w:rFonts w:ascii="Times New Roman" w:hAnsi="Times New Roman"/>
          <w:lang w:val="sr-Cyrl-BA"/>
        </w:rPr>
        <w:t>Програм</w:t>
      </w:r>
      <w:r w:rsidR="00AA46AB" w:rsidRPr="00295637">
        <w:rPr>
          <w:rFonts w:ascii="Times New Roman" w:hAnsi="Times New Roman"/>
          <w:lang w:val="sr-Cyrl-BA"/>
        </w:rPr>
        <w:t xml:space="preserve"> </w:t>
      </w:r>
      <w:r>
        <w:rPr>
          <w:rFonts w:ascii="Times New Roman" w:hAnsi="Times New Roman"/>
          <w:lang w:val="sr-Cyrl-BA"/>
        </w:rPr>
        <w:t>Уједињених</w:t>
      </w:r>
      <w:r w:rsidR="00AA46AB" w:rsidRPr="00295637">
        <w:rPr>
          <w:rFonts w:ascii="Times New Roman" w:hAnsi="Times New Roman"/>
          <w:lang w:val="sr-Cyrl-BA"/>
        </w:rPr>
        <w:t xml:space="preserve"> </w:t>
      </w:r>
      <w:r>
        <w:rPr>
          <w:rFonts w:ascii="Times New Roman" w:hAnsi="Times New Roman"/>
          <w:lang w:val="sr-Cyrl-BA"/>
        </w:rPr>
        <w:t>нација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sidR="00CF6228">
        <w:rPr>
          <w:rFonts w:ascii="Times New Roman" w:hAnsi="Times New Roman"/>
          <w:lang w:val="sr-Cyrl-BA"/>
        </w:rPr>
        <w:t>животну средину</w:t>
      </w:r>
      <w:r w:rsidR="00AA46AB" w:rsidRPr="00295637">
        <w:rPr>
          <w:rFonts w:ascii="Times New Roman" w:hAnsi="Times New Roman"/>
          <w:lang w:val="sr-Cyrl-BA"/>
        </w:rPr>
        <w:t xml:space="preserve"> (</w:t>
      </w:r>
      <w:r w:rsidR="00CF6228" w:rsidRPr="00CF6228">
        <w:rPr>
          <w:rFonts w:ascii="Times New Roman" w:hAnsi="Times New Roman"/>
          <w:i/>
          <w:lang w:val="sr-Cyrl-BA"/>
        </w:rPr>
        <w:t>UNEP</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sidR="00CF6228" w:rsidRPr="00CF6228">
        <w:rPr>
          <w:rFonts w:ascii="Times New Roman" w:hAnsi="Times New Roman"/>
          <w:i/>
          <w:lang w:val="sr-Cyrl-BA"/>
        </w:rPr>
        <w:t>UNEP</w:t>
      </w:r>
      <w:r w:rsidR="00AA46AB" w:rsidRPr="00295637">
        <w:rPr>
          <w:rFonts w:ascii="Times New Roman" w:hAnsi="Times New Roman"/>
          <w:lang w:val="sr-Cyrl-BA"/>
        </w:rPr>
        <w:t xml:space="preserve"> </w:t>
      </w:r>
      <w:r>
        <w:rPr>
          <w:rFonts w:ascii="Times New Roman" w:hAnsi="Times New Roman"/>
          <w:lang w:val="sr-Cyrl-BA"/>
        </w:rPr>
        <w:t>Копенхашки</w:t>
      </w:r>
      <w:r w:rsidR="00AA46AB" w:rsidRPr="00295637">
        <w:rPr>
          <w:rFonts w:ascii="Times New Roman" w:hAnsi="Times New Roman"/>
          <w:lang w:val="sr-Cyrl-BA"/>
        </w:rPr>
        <w:t xml:space="preserve"> </w:t>
      </w:r>
      <w:r>
        <w:rPr>
          <w:rFonts w:ascii="Times New Roman" w:hAnsi="Times New Roman"/>
          <w:lang w:val="sr-Cyrl-BA"/>
        </w:rPr>
        <w:t>климатски</w:t>
      </w:r>
      <w:r w:rsidR="00AA46AB" w:rsidRPr="00295637">
        <w:rPr>
          <w:rFonts w:ascii="Times New Roman" w:hAnsi="Times New Roman"/>
          <w:lang w:val="sr-Cyrl-BA"/>
        </w:rPr>
        <w:t xml:space="preserve"> </w:t>
      </w:r>
      <w:r>
        <w:rPr>
          <w:rFonts w:ascii="Times New Roman" w:hAnsi="Times New Roman"/>
          <w:lang w:val="sr-Cyrl-BA"/>
        </w:rPr>
        <w:t>центар</w:t>
      </w:r>
      <w:r w:rsidR="00AA46AB" w:rsidRPr="00295637">
        <w:rPr>
          <w:rFonts w:ascii="Times New Roman" w:hAnsi="Times New Roman"/>
          <w:lang w:val="sr-Cyrl-BA"/>
        </w:rPr>
        <w:t xml:space="preserve"> (</w:t>
      </w:r>
      <w:r w:rsidR="00CF6228" w:rsidRPr="00CF6228">
        <w:rPr>
          <w:rFonts w:ascii="Times New Roman" w:hAnsi="Times New Roman"/>
          <w:i/>
          <w:lang w:val="sr-Cyrl-BA"/>
        </w:rPr>
        <w:t>UNEP-CCC</w:t>
      </w:r>
      <w:r w:rsidR="00AA46AB" w:rsidRPr="00295637">
        <w:rPr>
          <w:rFonts w:ascii="Times New Roman" w:hAnsi="Times New Roman"/>
          <w:lang w:val="sr-Cyrl-BA"/>
        </w:rPr>
        <w:t>)</w:t>
      </w:r>
      <w:r w:rsidR="00AA46AB" w:rsidRPr="00295637">
        <w:rPr>
          <w:rFonts w:ascii="Times New Roman" w:hAnsi="Times New Roman"/>
          <w:lang w:val="sr-Latn-BA"/>
        </w:rPr>
        <w:t>;</w:t>
      </w:r>
      <w:r w:rsidR="00576529" w:rsidRPr="00295637">
        <w:rPr>
          <w:rFonts w:ascii="Times New Roman" w:hAnsi="Times New Roman"/>
          <w:lang w:val="sr-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мапирању</w:t>
      </w:r>
      <w:r w:rsidR="00AA46AB" w:rsidRPr="00295637">
        <w:rPr>
          <w:rFonts w:ascii="Times New Roman" w:hAnsi="Times New Roman"/>
          <w:lang w:val="sr-Cyrl-BA"/>
        </w:rPr>
        <w:t xml:space="preserve"> </w:t>
      </w:r>
      <w:r>
        <w:rPr>
          <w:rFonts w:ascii="Times New Roman" w:hAnsi="Times New Roman"/>
          <w:lang w:val="sr-Cyrl-BA"/>
        </w:rPr>
        <w:t>сервиса</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услуга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родно</w:t>
      </w:r>
      <w:r w:rsidR="00AA46AB" w:rsidRPr="00295637">
        <w:rPr>
          <w:rFonts w:ascii="Times New Roman" w:hAnsi="Times New Roman"/>
          <w:lang w:val="sr-Cyrl-BA"/>
        </w:rPr>
        <w:t xml:space="preserve"> </w:t>
      </w:r>
      <w:r>
        <w:rPr>
          <w:rFonts w:ascii="Times New Roman" w:hAnsi="Times New Roman"/>
          <w:lang w:val="hr-HR"/>
        </w:rPr>
        <w:t>засновано</w:t>
      </w:r>
      <w:r w:rsidR="00AA46AB" w:rsidRPr="00295637">
        <w:rPr>
          <w:rFonts w:ascii="Times New Roman" w:hAnsi="Times New Roman"/>
          <w:lang w:val="sr-Cyrl-BA"/>
        </w:rPr>
        <w:t xml:space="preserve"> </w:t>
      </w:r>
      <w:r>
        <w:rPr>
          <w:rFonts w:ascii="Times New Roman" w:hAnsi="Times New Roman"/>
          <w:lang w:val="sr-Cyrl-BA"/>
        </w:rPr>
        <w:t>насиље</w:t>
      </w:r>
      <w:r w:rsidR="00AA46AB" w:rsidRPr="00295637">
        <w:rPr>
          <w:rFonts w:ascii="Times New Roman" w:hAnsi="Times New Roman"/>
          <w:lang w:val="sr-Cyrl-BA"/>
        </w:rPr>
        <w:t xml:space="preserve"> </w:t>
      </w:r>
      <w:r>
        <w:rPr>
          <w:rFonts w:ascii="Times New Roman" w:hAnsi="Times New Roman"/>
          <w:lang w:val="sr-Cyrl-BA"/>
        </w:rPr>
        <w:t>који</w:t>
      </w:r>
      <w:r w:rsidR="00AA46AB" w:rsidRPr="00295637">
        <w:rPr>
          <w:rFonts w:ascii="Times New Roman" w:hAnsi="Times New Roman"/>
          <w:lang w:val="sr-Cyrl-BA"/>
        </w:rPr>
        <w:t xml:space="preserve"> </w:t>
      </w:r>
      <w:r>
        <w:rPr>
          <w:rFonts w:ascii="Times New Roman" w:hAnsi="Times New Roman"/>
          <w:lang w:val="sr-Cyrl-BA"/>
        </w:rPr>
        <w:t>проводи</w:t>
      </w:r>
      <w:r w:rsidR="00AA46AB" w:rsidRPr="00295637">
        <w:rPr>
          <w:rFonts w:ascii="Times New Roman" w:hAnsi="Times New Roman"/>
          <w:lang w:val="sr-Cyrl-BA"/>
        </w:rPr>
        <w:t xml:space="preserve"> </w:t>
      </w:r>
      <w:r>
        <w:rPr>
          <w:rFonts w:ascii="Times New Roman" w:hAnsi="Times New Roman"/>
          <w:lang w:val="sr-Cyrl-BA"/>
        </w:rPr>
        <w:t>Свјетска</w:t>
      </w:r>
      <w:r w:rsidR="00AA46AB" w:rsidRPr="00295637">
        <w:rPr>
          <w:rFonts w:ascii="Times New Roman" w:hAnsi="Times New Roman"/>
          <w:lang w:val="sr-Cyrl-BA"/>
        </w:rPr>
        <w:t xml:space="preserve"> </w:t>
      </w:r>
      <w:r>
        <w:rPr>
          <w:rFonts w:ascii="Times New Roman" w:hAnsi="Times New Roman"/>
          <w:lang w:val="sr-Cyrl-BA"/>
        </w:rPr>
        <w:t>банка</w:t>
      </w:r>
      <w:r w:rsidR="00AA46AB" w:rsidRPr="00295637">
        <w:rPr>
          <w:rFonts w:ascii="Times New Roman" w:hAnsi="Times New Roman"/>
          <w:lang w:val="sr-Latn-BA"/>
        </w:rPr>
        <w:t>;</w:t>
      </w:r>
      <w:r w:rsidR="00576529" w:rsidRPr="00295637">
        <w:rPr>
          <w:rFonts w:ascii="Times New Roman" w:hAnsi="Times New Roman"/>
          <w:lang w:val="sr-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пројекту</w:t>
      </w:r>
      <w:r w:rsidR="00AA46AB" w:rsidRPr="00295637">
        <w:rPr>
          <w:rFonts w:ascii="Times New Roman" w:hAnsi="Times New Roman"/>
          <w:lang w:val="sr-Cyrl-BA"/>
        </w:rPr>
        <w:t xml:space="preserve"> </w:t>
      </w:r>
      <w:r w:rsidR="00CF6228" w:rsidRPr="00CF6228">
        <w:rPr>
          <w:rFonts w:ascii="Times New Roman" w:hAnsi="Times New Roman"/>
          <w:i/>
          <w:lang w:val="sr-Cyrl-BA"/>
        </w:rPr>
        <w:t>UNDP</w:t>
      </w:r>
      <w:r w:rsidR="00AA46AB" w:rsidRPr="00295637">
        <w:rPr>
          <w:rFonts w:ascii="Times New Roman" w:hAnsi="Times New Roman"/>
          <w:lang w:val="sr-Cyrl-BA"/>
        </w:rPr>
        <w:t xml:space="preserve"> </w:t>
      </w:r>
      <w:r>
        <w:rPr>
          <w:rFonts w:ascii="Times New Roman" w:hAnsi="Times New Roman"/>
          <w:lang w:val="sr-Cyrl-BA"/>
        </w:rPr>
        <w:t>БиХ</w:t>
      </w:r>
      <w:r w:rsidR="00AA46AB" w:rsidRPr="00295637">
        <w:rPr>
          <w:rFonts w:ascii="Times New Roman" w:hAnsi="Times New Roman"/>
          <w:lang w:val="sr-Cyrl-BA"/>
        </w:rPr>
        <w:t xml:space="preserve"> „</w:t>
      </w:r>
      <w:r>
        <w:rPr>
          <w:rFonts w:ascii="Times New Roman" w:hAnsi="Times New Roman"/>
          <w:lang w:val="sr-Cyrl-BA"/>
        </w:rPr>
        <w:t>Израда</w:t>
      </w:r>
      <w:r w:rsidR="00AA46AB" w:rsidRPr="00295637">
        <w:rPr>
          <w:rFonts w:ascii="Times New Roman" w:hAnsi="Times New Roman"/>
          <w:lang w:val="sr-Cyrl-BA"/>
        </w:rPr>
        <w:t xml:space="preserve"> </w:t>
      </w:r>
      <w:r>
        <w:rPr>
          <w:rFonts w:ascii="Times New Roman" w:hAnsi="Times New Roman"/>
          <w:lang w:val="sr-Cyrl-BA"/>
        </w:rPr>
        <w:t>Првог</w:t>
      </w:r>
      <w:r w:rsidR="00AA46AB" w:rsidRPr="00295637">
        <w:rPr>
          <w:rFonts w:ascii="Times New Roman" w:hAnsi="Times New Roman"/>
          <w:lang w:val="sr-Cyrl-BA"/>
        </w:rPr>
        <w:t xml:space="preserve"> </w:t>
      </w:r>
      <w:r>
        <w:rPr>
          <w:rFonts w:ascii="Times New Roman" w:hAnsi="Times New Roman"/>
          <w:lang w:val="sr-Cyrl-BA"/>
        </w:rPr>
        <w:t>двогодишњег</w:t>
      </w:r>
      <w:r w:rsidR="00AA46AB"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таја</w:t>
      </w:r>
      <w:r w:rsidR="00AA46AB" w:rsidRPr="00295637">
        <w:rPr>
          <w:rFonts w:ascii="Times New Roman" w:hAnsi="Times New Roman"/>
          <w:lang w:val="sr-Cyrl-BA"/>
        </w:rPr>
        <w:t xml:space="preserve"> </w:t>
      </w:r>
      <w:r>
        <w:rPr>
          <w:rFonts w:ascii="Times New Roman" w:hAnsi="Times New Roman"/>
          <w:lang w:val="sr-Cyrl-BA"/>
        </w:rPr>
        <w:t>о</w:t>
      </w:r>
      <w:r w:rsidR="00AA46AB" w:rsidRPr="00295637">
        <w:rPr>
          <w:rFonts w:ascii="Times New Roman" w:hAnsi="Times New Roman"/>
          <w:lang w:val="sr-Cyrl-BA"/>
        </w:rPr>
        <w:t xml:space="preserve"> </w:t>
      </w:r>
      <w:r>
        <w:rPr>
          <w:rFonts w:ascii="Times New Roman" w:hAnsi="Times New Roman"/>
          <w:lang w:val="sr-Cyrl-BA"/>
        </w:rPr>
        <w:t>транспарентности</w:t>
      </w:r>
      <w:r w:rsidR="00AA46AB" w:rsidRPr="00295637">
        <w:rPr>
          <w:rFonts w:ascii="Times New Roman" w:hAnsi="Times New Roman"/>
          <w:lang w:val="sr-Cyrl-BA"/>
        </w:rPr>
        <w:t xml:space="preserve"> </w:t>
      </w:r>
      <w:r>
        <w:rPr>
          <w:rFonts w:ascii="Times New Roman" w:hAnsi="Times New Roman"/>
          <w:lang w:val="sr-Cyrl-BA"/>
        </w:rPr>
        <w:t>Б</w:t>
      </w:r>
      <w:r>
        <w:rPr>
          <w:rFonts w:ascii="Times New Roman" w:hAnsi="Times New Roman"/>
          <w:lang w:val="bs-Latn-BA"/>
        </w:rPr>
        <w:t>иХ</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Пете</w:t>
      </w:r>
      <w:r w:rsidR="00AA46AB" w:rsidRPr="00295637">
        <w:rPr>
          <w:rFonts w:ascii="Times New Roman" w:hAnsi="Times New Roman"/>
          <w:lang w:val="sr-Cyrl-BA"/>
        </w:rPr>
        <w:t xml:space="preserve"> </w:t>
      </w:r>
      <w:r>
        <w:rPr>
          <w:rFonts w:ascii="Times New Roman" w:hAnsi="Times New Roman"/>
          <w:lang w:val="sr-Cyrl-BA"/>
        </w:rPr>
        <w:t>државне</w:t>
      </w:r>
      <w:r w:rsidR="00AA46AB" w:rsidRPr="00295637">
        <w:rPr>
          <w:rFonts w:ascii="Times New Roman" w:hAnsi="Times New Roman"/>
          <w:lang w:val="sr-Cyrl-BA"/>
        </w:rPr>
        <w:t xml:space="preserve"> </w:t>
      </w:r>
      <w:r>
        <w:rPr>
          <w:rFonts w:ascii="Times New Roman" w:hAnsi="Times New Roman"/>
          <w:lang w:val="sr-Cyrl-BA"/>
        </w:rPr>
        <w:t>комуникације</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Другог</w:t>
      </w:r>
      <w:r w:rsidR="00AA46AB" w:rsidRPr="00295637">
        <w:rPr>
          <w:rFonts w:ascii="Times New Roman" w:hAnsi="Times New Roman"/>
          <w:lang w:val="sr-Cyrl-BA"/>
        </w:rPr>
        <w:t xml:space="preserve"> </w:t>
      </w:r>
      <w:r>
        <w:rPr>
          <w:rFonts w:ascii="Times New Roman" w:hAnsi="Times New Roman"/>
          <w:lang w:val="sr-Cyrl-BA"/>
        </w:rPr>
        <w:t>двогодишњег</w:t>
      </w:r>
      <w:r w:rsidR="00AA46AB"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таја</w:t>
      </w:r>
      <w:r w:rsidR="00AA46AB" w:rsidRPr="00295637">
        <w:rPr>
          <w:rFonts w:ascii="Times New Roman" w:hAnsi="Times New Roman"/>
          <w:lang w:val="sr-Cyrl-BA"/>
        </w:rPr>
        <w:t xml:space="preserve"> </w:t>
      </w:r>
      <w:r>
        <w:rPr>
          <w:rFonts w:ascii="Times New Roman" w:hAnsi="Times New Roman"/>
          <w:lang w:val="sr-Cyrl-BA"/>
        </w:rPr>
        <w:t>о</w:t>
      </w:r>
      <w:r w:rsidR="00AA46AB" w:rsidRPr="00295637">
        <w:rPr>
          <w:rFonts w:ascii="Times New Roman" w:hAnsi="Times New Roman"/>
          <w:lang w:val="sr-Cyrl-BA"/>
        </w:rPr>
        <w:t xml:space="preserve"> </w:t>
      </w:r>
      <w:r>
        <w:rPr>
          <w:rFonts w:ascii="Times New Roman" w:hAnsi="Times New Roman"/>
          <w:lang w:val="sr-Cyrl-BA"/>
        </w:rPr>
        <w:t>транспарентности</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комбин</w:t>
      </w:r>
      <w:r w:rsidR="00CF6228">
        <w:rPr>
          <w:rFonts w:ascii="Times New Roman" w:hAnsi="Times New Roman"/>
          <w:lang w:val="sr-Cyrl-BA"/>
        </w:rPr>
        <w:t>ованом</w:t>
      </w:r>
      <w:r w:rsidR="00AA46AB" w:rsidRPr="00295637">
        <w:rPr>
          <w:rFonts w:ascii="Times New Roman" w:hAnsi="Times New Roman"/>
          <w:lang w:val="sr-Cyrl-BA"/>
        </w:rPr>
        <w:t xml:space="preserve"> </w:t>
      </w:r>
      <w:r>
        <w:rPr>
          <w:rFonts w:ascii="Times New Roman" w:hAnsi="Times New Roman"/>
          <w:lang w:val="sr-Cyrl-BA"/>
        </w:rPr>
        <w:t>извјеш</w:t>
      </w:r>
      <w:r>
        <w:rPr>
          <w:rFonts w:ascii="Times New Roman" w:hAnsi="Times New Roman"/>
          <w:lang w:val="hr-HR"/>
        </w:rPr>
        <w:t>тају</w:t>
      </w:r>
      <w:r w:rsidR="00AA46AB" w:rsidRPr="00295637">
        <w:rPr>
          <w:rFonts w:ascii="Times New Roman" w:hAnsi="Times New Roman"/>
          <w:lang w:val="sr-Cyrl-BA"/>
        </w:rPr>
        <w:t xml:space="preserve"> </w:t>
      </w:r>
      <w:r>
        <w:rPr>
          <w:rFonts w:ascii="Times New Roman" w:hAnsi="Times New Roman"/>
          <w:lang w:val="sr-Cyrl-BA"/>
        </w:rPr>
        <w:t>према</w:t>
      </w:r>
      <w:r w:rsidR="00AA46AB" w:rsidRPr="00295637">
        <w:rPr>
          <w:rFonts w:ascii="Times New Roman" w:hAnsi="Times New Roman"/>
          <w:lang w:val="sr-Cyrl-BA"/>
        </w:rPr>
        <w:t xml:space="preserve"> </w:t>
      </w:r>
      <w:r w:rsidR="00CF6228" w:rsidRPr="00CF6228">
        <w:rPr>
          <w:rFonts w:ascii="Times New Roman" w:hAnsi="Times New Roman"/>
          <w:i/>
          <w:lang w:val="sr-Cyrl-BA"/>
        </w:rPr>
        <w:t>UNFCCC</w:t>
      </w:r>
      <w:r w:rsidR="00AA46AB" w:rsidRPr="00295637">
        <w:rPr>
          <w:rFonts w:ascii="Times New Roman" w:hAnsi="Times New Roman"/>
          <w:lang w:val="sr-Cyrl-BA"/>
        </w:rPr>
        <w:t>-</w:t>
      </w:r>
      <w:r>
        <w:rPr>
          <w:rFonts w:ascii="Times New Roman" w:hAnsi="Times New Roman"/>
          <w:lang w:val="sr-Cyrl-BA"/>
        </w:rPr>
        <w:t>у</w:t>
      </w:r>
      <w:r w:rsidR="00AA46AB" w:rsidRPr="00295637">
        <w:rPr>
          <w:rFonts w:ascii="Times New Roman" w:hAnsi="Times New Roman"/>
          <w:lang w:val="sr-Cyrl-BA"/>
        </w:rPr>
        <w:t xml:space="preserve"> (</w:t>
      </w:r>
      <w:r w:rsidR="00CF6228" w:rsidRPr="00CF6228">
        <w:rPr>
          <w:rFonts w:ascii="Times New Roman" w:hAnsi="Times New Roman"/>
          <w:i/>
          <w:lang w:val="sr-Cyrl-BA"/>
        </w:rPr>
        <w:t>BTR1 – NC5/BTR2</w:t>
      </w:r>
      <w:r w:rsidR="00AA46AB" w:rsidRPr="00295637">
        <w:rPr>
          <w:rFonts w:ascii="Times New Roman" w:hAnsi="Times New Roman"/>
          <w:lang w:val="sr-Cyrl-BA"/>
        </w:rPr>
        <w:t>)“</w:t>
      </w:r>
      <w:r w:rsidR="00AA46AB" w:rsidRPr="00295637">
        <w:rPr>
          <w:rFonts w:ascii="Times New Roman" w:hAnsi="Times New Roman"/>
          <w:lang w:val="sr-Latn-BA"/>
        </w:rPr>
        <w:t>;</w:t>
      </w:r>
      <w:r w:rsidR="00576529" w:rsidRPr="00295637">
        <w:rPr>
          <w:rFonts w:ascii="Times New Roman" w:hAnsi="Times New Roman"/>
          <w:lang w:val="sr-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пројекту</w:t>
      </w:r>
      <w:r w:rsidR="00AA46AB" w:rsidRPr="00295637">
        <w:rPr>
          <w:rFonts w:ascii="Times New Roman" w:hAnsi="Times New Roman"/>
          <w:lang w:val="sr-Cyrl-BA"/>
        </w:rPr>
        <w:t xml:space="preserve"> </w:t>
      </w:r>
      <w:r w:rsidR="00CF6228" w:rsidRPr="00CF6228">
        <w:rPr>
          <w:rFonts w:ascii="Times New Roman" w:hAnsi="Times New Roman"/>
          <w:i/>
          <w:lang w:val="sr-Cyrl-BA"/>
        </w:rPr>
        <w:t>OECD</w:t>
      </w:r>
      <w:r w:rsidR="00AA46AB" w:rsidRPr="00295637">
        <w:rPr>
          <w:rFonts w:ascii="Times New Roman" w:hAnsi="Times New Roman"/>
          <w:lang w:val="sr-Cyrl-BA"/>
        </w:rPr>
        <w:t xml:space="preserve"> „</w:t>
      </w:r>
      <w:r>
        <w:rPr>
          <w:rFonts w:ascii="Times New Roman" w:hAnsi="Times New Roman"/>
          <w:lang w:val="sr-Cyrl-BA"/>
        </w:rPr>
        <w:t>Праведна</w:t>
      </w:r>
      <w:r w:rsidR="00AA46AB" w:rsidRPr="00295637">
        <w:rPr>
          <w:rFonts w:ascii="Times New Roman" w:hAnsi="Times New Roman"/>
          <w:lang w:val="sr-Cyrl-BA"/>
        </w:rPr>
        <w:t xml:space="preserve"> </w:t>
      </w:r>
      <w:r>
        <w:rPr>
          <w:rFonts w:ascii="Times New Roman" w:hAnsi="Times New Roman"/>
          <w:lang w:val="sr-Cyrl-BA"/>
        </w:rPr>
        <w:t>транзиција</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Западном</w:t>
      </w:r>
      <w:r w:rsidR="00AA46AB" w:rsidRPr="00295637">
        <w:rPr>
          <w:rFonts w:ascii="Times New Roman" w:hAnsi="Times New Roman"/>
          <w:lang w:val="sr-Cyrl-BA"/>
        </w:rPr>
        <w:t xml:space="preserve"> </w:t>
      </w:r>
      <w:r>
        <w:rPr>
          <w:rFonts w:ascii="Times New Roman" w:hAnsi="Times New Roman"/>
          <w:lang w:val="sr-Cyrl-BA"/>
        </w:rPr>
        <w:t>Балкану</w:t>
      </w:r>
      <w:r w:rsidR="00AA46AB" w:rsidRPr="00295637">
        <w:rPr>
          <w:rFonts w:ascii="Times New Roman" w:hAnsi="Times New Roman"/>
          <w:lang w:val="sr-Cyrl-BA"/>
        </w:rPr>
        <w:t xml:space="preserve"> - </w:t>
      </w:r>
      <w:r>
        <w:rPr>
          <w:rFonts w:ascii="Times New Roman" w:hAnsi="Times New Roman"/>
          <w:lang w:val="sr-Cyrl-BA"/>
        </w:rPr>
        <w:t>По</w:t>
      </w:r>
      <w:r>
        <w:rPr>
          <w:rFonts w:ascii="Times New Roman" w:hAnsi="Times New Roman"/>
          <w:lang w:val="hr-HR"/>
        </w:rPr>
        <w:t>дршка</w:t>
      </w:r>
      <w:r w:rsidR="00AA46AB" w:rsidRPr="00295637">
        <w:rPr>
          <w:rFonts w:ascii="Times New Roman" w:hAnsi="Times New Roman"/>
          <w:lang w:val="sr-Cyrl-BA"/>
        </w:rPr>
        <w:t xml:space="preserve"> </w:t>
      </w:r>
      <w:r>
        <w:rPr>
          <w:rFonts w:ascii="Times New Roman" w:hAnsi="Times New Roman"/>
          <w:lang w:val="sr-Cyrl-BA"/>
        </w:rPr>
        <w:t>координи</w:t>
      </w:r>
      <w:r w:rsidR="00CF6228">
        <w:rPr>
          <w:rFonts w:ascii="Times New Roman" w:hAnsi="Times New Roman"/>
          <w:lang w:val="sr-Cyrl-BA"/>
        </w:rPr>
        <w:t>с</w:t>
      </w:r>
      <w:r>
        <w:rPr>
          <w:rFonts w:ascii="Times New Roman" w:hAnsi="Times New Roman"/>
          <w:lang w:val="sr-Cyrl-BA"/>
        </w:rPr>
        <w:t>аном</w:t>
      </w:r>
      <w:r w:rsidR="00AA46AB" w:rsidRPr="00295637">
        <w:rPr>
          <w:rFonts w:ascii="Times New Roman" w:hAnsi="Times New Roman"/>
          <w:lang w:val="sr-Cyrl-BA"/>
        </w:rPr>
        <w:t xml:space="preserve"> </w:t>
      </w:r>
      <w:r>
        <w:rPr>
          <w:rFonts w:ascii="Times New Roman" w:hAnsi="Times New Roman"/>
          <w:lang w:val="sr-Cyrl-BA"/>
        </w:rPr>
        <w:t>енергетском</w:t>
      </w:r>
      <w:r w:rsidR="00AA46AB" w:rsidRPr="00295637">
        <w:rPr>
          <w:rFonts w:ascii="Times New Roman" w:hAnsi="Times New Roman"/>
          <w:lang w:val="sr-Cyrl-BA"/>
        </w:rPr>
        <w:t xml:space="preserve"> </w:t>
      </w:r>
      <w:r>
        <w:rPr>
          <w:rFonts w:ascii="Times New Roman" w:hAnsi="Times New Roman"/>
          <w:lang w:val="sr-Cyrl-BA"/>
        </w:rPr>
        <w:t>сектору</w:t>
      </w:r>
      <w:r w:rsidR="00AA46AB" w:rsidRPr="00295637">
        <w:rPr>
          <w:rFonts w:ascii="Times New Roman" w:hAnsi="Times New Roman"/>
          <w:lang w:val="sr-Cyrl-BA"/>
        </w:rPr>
        <w:t xml:space="preserve">, </w:t>
      </w:r>
      <w:r>
        <w:rPr>
          <w:rFonts w:ascii="Times New Roman" w:hAnsi="Times New Roman"/>
          <w:lang w:val="sr-Cyrl-BA"/>
        </w:rPr>
        <w:t>социјалној</w:t>
      </w:r>
      <w:r w:rsidR="00AA46AB" w:rsidRPr="00295637">
        <w:rPr>
          <w:rFonts w:ascii="Times New Roman" w:hAnsi="Times New Roman"/>
          <w:lang w:val="sr-Cyrl-BA"/>
        </w:rPr>
        <w:t xml:space="preserve"> </w:t>
      </w:r>
      <w:r>
        <w:rPr>
          <w:rFonts w:ascii="Times New Roman" w:hAnsi="Times New Roman"/>
          <w:lang w:val="sr-Cyrl-BA"/>
        </w:rPr>
        <w:t>заштити</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фискалној</w:t>
      </w:r>
      <w:r w:rsidR="00AA46AB" w:rsidRPr="00295637">
        <w:rPr>
          <w:rFonts w:ascii="Times New Roman" w:hAnsi="Times New Roman"/>
          <w:lang w:val="sr-Cyrl-BA"/>
        </w:rPr>
        <w:t xml:space="preserve"> </w:t>
      </w:r>
      <w:r>
        <w:rPr>
          <w:rFonts w:ascii="Times New Roman" w:hAnsi="Times New Roman"/>
          <w:lang w:val="sr-Cyrl-BA"/>
        </w:rPr>
        <w:t>реформи</w:t>
      </w:r>
      <w:r w:rsidR="00AA46AB" w:rsidRPr="00295637">
        <w:rPr>
          <w:rFonts w:ascii="Times New Roman" w:hAnsi="Times New Roman"/>
          <w:lang w:val="sr-Cyrl-BA"/>
        </w:rPr>
        <w:t>“</w:t>
      </w:r>
      <w:r w:rsidR="00AA46AB" w:rsidRPr="00295637">
        <w:rPr>
          <w:rFonts w:ascii="Times New Roman" w:hAnsi="Times New Roman"/>
          <w:lang w:val="sr-Latn-BA"/>
        </w:rPr>
        <w:t>.</w:t>
      </w:r>
    </w:p>
    <w:p w:rsidR="00356C2C" w:rsidRDefault="00356C2C"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p>
    <w:p w:rsidR="00674E7F" w:rsidRPr="00295637" w:rsidRDefault="00674E7F" w:rsidP="0086268D">
      <w:pPr>
        <w:tabs>
          <w:tab w:val="left" w:pos="284"/>
          <w:tab w:val="left" w:pos="567"/>
          <w:tab w:val="left" w:pos="630"/>
          <w:tab w:val="left" w:pos="1260"/>
          <w:tab w:val="left" w:pos="1620"/>
          <w:tab w:val="left" w:pos="1710"/>
        </w:tabs>
        <w:jc w:val="both"/>
        <w:rPr>
          <w:rFonts w:ascii="Times New Roman" w:hAnsi="Times New Roman"/>
          <w:szCs w:val="24"/>
          <w:lang w:val="bs-Latn-BA"/>
        </w:rPr>
      </w:pPr>
    </w:p>
    <w:p w:rsidR="00356C2C" w:rsidRPr="00295637" w:rsidRDefault="00CF6228" w:rsidP="006900B2">
      <w:pPr>
        <w:pStyle w:val="Heading3"/>
        <w:numPr>
          <w:ilvl w:val="0"/>
          <w:numId w:val="0"/>
        </w:numPr>
        <w:tabs>
          <w:tab w:val="clear" w:pos="567"/>
          <w:tab w:val="clear" w:pos="709"/>
          <w:tab w:val="left" w:pos="630"/>
        </w:tabs>
        <w:spacing w:after="0" w:line="240" w:lineRule="auto"/>
        <w:rPr>
          <w:rFonts w:ascii="Times New Roman" w:hAnsi="Times New Roman" w:cs="Times New Roman"/>
          <w:lang w:val="bs-Latn-BA"/>
        </w:rPr>
      </w:pPr>
      <w:bookmarkStart w:id="73" w:name="_Toc332005671"/>
      <w:bookmarkStart w:id="74" w:name="_Toc332010902"/>
      <w:bookmarkStart w:id="75" w:name="_Toc195016607"/>
      <w:r>
        <w:rPr>
          <w:rFonts w:ascii="Times New Roman" w:hAnsi="Times New Roman" w:cs="Times New Roman"/>
          <w:color w:val="548DD4" w:themeColor="text2" w:themeTint="99"/>
          <w:lang w:val="bs-Latn-BA"/>
        </w:rPr>
        <w:t>III</w:t>
      </w:r>
      <w:r w:rsidR="006900B2" w:rsidRPr="006900B2">
        <w:rPr>
          <w:rFonts w:ascii="Times New Roman" w:hAnsi="Times New Roman" w:cs="Times New Roman"/>
          <w:color w:val="548DD4" w:themeColor="text2" w:themeTint="99"/>
          <w:lang w:val="bs-Latn-BA"/>
        </w:rPr>
        <w:t xml:space="preserve"> 2. </w:t>
      </w:r>
      <w:r w:rsidR="00C6214E">
        <w:rPr>
          <w:rFonts w:ascii="Times New Roman" w:hAnsi="Times New Roman" w:cs="Times New Roman"/>
          <w:lang w:val="bs-Latn-BA"/>
        </w:rPr>
        <w:t>Сарадња</w:t>
      </w:r>
      <w:r w:rsidR="00604697">
        <w:rPr>
          <w:rFonts w:ascii="Times New Roman" w:hAnsi="Times New Roman" w:cs="Times New Roman"/>
          <w:lang w:val="bs-Latn-BA"/>
        </w:rPr>
        <w:t xml:space="preserve"> </w:t>
      </w:r>
      <w:r w:rsidR="00C6214E">
        <w:rPr>
          <w:rFonts w:ascii="Times New Roman" w:hAnsi="Times New Roman" w:cs="Times New Roman"/>
          <w:lang w:val="bs-Latn-BA"/>
        </w:rPr>
        <w:t>са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организацијама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цивилног</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друштва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социјалним</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партнерима</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академском</w:t>
      </w:r>
      <w:r w:rsidR="00356C2C" w:rsidRPr="00295637">
        <w:rPr>
          <w:rFonts w:ascii="Times New Roman" w:hAnsi="Times New Roman" w:cs="Times New Roman"/>
          <w:lang w:val="bs-Latn-BA"/>
        </w:rPr>
        <w:t xml:space="preserve"> </w:t>
      </w:r>
      <w:r w:rsidR="00C6214E">
        <w:rPr>
          <w:rFonts w:ascii="Times New Roman" w:hAnsi="Times New Roman" w:cs="Times New Roman"/>
          <w:lang w:val="bs-Latn-BA"/>
        </w:rPr>
        <w:t>заједницом</w:t>
      </w:r>
      <w:bookmarkEnd w:id="73"/>
      <w:bookmarkEnd w:id="74"/>
      <w:bookmarkEnd w:id="75"/>
      <w:r w:rsidR="00356C2C" w:rsidRPr="00295637">
        <w:rPr>
          <w:rFonts w:ascii="Times New Roman" w:hAnsi="Times New Roman" w:cs="Times New Roman"/>
          <w:lang w:val="bs-Latn-BA"/>
        </w:rPr>
        <w:t xml:space="preserve"> </w:t>
      </w:r>
    </w:p>
    <w:p w:rsidR="00356C2C" w:rsidRPr="00295637" w:rsidRDefault="00356C2C" w:rsidP="0086268D">
      <w:pPr>
        <w:jc w:val="both"/>
        <w:rPr>
          <w:rFonts w:ascii="Times New Roman" w:hAnsi="Times New Roman"/>
          <w:szCs w:val="24"/>
          <w:lang w:val="bs-Latn-BA"/>
        </w:rPr>
      </w:pPr>
    </w:p>
    <w:p w:rsidR="00356C2C" w:rsidRPr="00295637" w:rsidRDefault="00CF6228" w:rsidP="006900B2">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III</w:t>
      </w:r>
      <w:r w:rsidR="006900B2">
        <w:rPr>
          <w:rFonts w:ascii="Times New Roman" w:hAnsi="Times New Roman" w:cs="Times New Roman"/>
          <w:b w:val="0"/>
          <w:lang w:val="bs-Latn-BA"/>
        </w:rPr>
        <w:t xml:space="preserve"> 2.1. </w:t>
      </w:r>
      <w:r w:rsidR="00C6214E">
        <w:rPr>
          <w:rFonts w:ascii="Times New Roman" w:hAnsi="Times New Roman" w:cs="Times New Roman"/>
          <w:b w:val="0"/>
          <w:lang w:val="bs-Latn-BA"/>
        </w:rPr>
        <w:t>Јачање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сарадње</w:t>
      </w:r>
      <w:r w:rsidR="00604697">
        <w:rPr>
          <w:rFonts w:ascii="Times New Roman" w:hAnsi="Times New Roman" w:cs="Times New Roman"/>
          <w:b w:val="0"/>
          <w:lang w:val="bs-Latn-BA"/>
        </w:rPr>
        <w:t xml:space="preserve"> </w:t>
      </w:r>
      <w:r w:rsidR="00C6214E">
        <w:rPr>
          <w:rFonts w:ascii="Times New Roman" w:hAnsi="Times New Roman" w:cs="Times New Roman"/>
          <w:b w:val="0"/>
          <w:lang w:val="bs-Latn-BA"/>
        </w:rPr>
        <w:t>са</w:t>
      </w:r>
      <w:r w:rsidR="00DC4A18">
        <w:rPr>
          <w:rFonts w:ascii="Times New Roman" w:hAnsi="Times New Roman" w:cs="Times New Roman"/>
          <w:b w:val="0"/>
          <w:lang w:val="bs-Latn-BA"/>
        </w:rPr>
        <w:t xml:space="preserve"> </w:t>
      </w:r>
      <w:r w:rsidR="00C6214E">
        <w:rPr>
          <w:rFonts w:ascii="Times New Roman" w:hAnsi="Times New Roman" w:cs="Times New Roman"/>
          <w:b w:val="0"/>
          <w:lang w:val="bs-Latn-BA"/>
        </w:rPr>
        <w:t>НВО</w:t>
      </w:r>
      <w:r w:rsidR="00DC4A18">
        <w:rPr>
          <w:rFonts w:ascii="Times New Roman" w:hAnsi="Times New Roman" w:cs="Times New Roman"/>
          <w:b w:val="0"/>
          <w:lang w:val="bs-Latn-BA"/>
        </w:rPr>
        <w:t xml:space="preserve">, </w:t>
      </w:r>
      <w:r w:rsidR="00C6214E">
        <w:rPr>
          <w:rFonts w:ascii="Times New Roman" w:hAnsi="Times New Roman" w:cs="Times New Roman"/>
          <w:b w:val="0"/>
          <w:lang w:val="bs-Latn-BA"/>
        </w:rPr>
        <w:t>планирање</w:t>
      </w:r>
      <w:r w:rsidR="00DC4A18">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Pr>
          <w:rFonts w:ascii="Times New Roman" w:hAnsi="Times New Roman" w:cs="Times New Roman"/>
          <w:b w:val="0"/>
          <w:lang w:val="sr-Cyrl-BA"/>
        </w:rPr>
        <w:t>спровођење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заједничких</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пројеката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активности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учешће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позиву</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конференцијама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округлим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столовима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јавним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расправама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едука</w:t>
      </w:r>
      <w:r>
        <w:rPr>
          <w:rFonts w:ascii="Times New Roman" w:hAnsi="Times New Roman" w:cs="Times New Roman"/>
          <w:b w:val="0"/>
          <w:lang w:val="sr-Cyrl-BA"/>
        </w:rPr>
        <w:t>тивним</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промотивним</w:t>
      </w:r>
      <w:r w:rsidR="00604697">
        <w:rPr>
          <w:rFonts w:ascii="Times New Roman" w:hAnsi="Times New Roman" w:cs="Times New Roman"/>
          <w:b w:val="0"/>
          <w:lang w:val="bs-Latn-BA"/>
        </w:rPr>
        <w:t xml:space="preserve"> </w:t>
      </w:r>
      <w:r w:rsidR="00C6214E">
        <w:rPr>
          <w:rFonts w:ascii="Times New Roman" w:hAnsi="Times New Roman" w:cs="Times New Roman"/>
          <w:b w:val="0"/>
          <w:lang w:val="bs-Latn-BA"/>
        </w:rPr>
        <w:t>догађајима</w:t>
      </w:r>
      <w:r w:rsidR="00356C2C" w:rsidRPr="00295637">
        <w:rPr>
          <w:rFonts w:ascii="Times New Roman" w:hAnsi="Times New Roman" w:cs="Times New Roman"/>
          <w:b w:val="0"/>
          <w:lang w:val="bs-Latn-BA"/>
        </w:rPr>
        <w:t>.</w:t>
      </w:r>
    </w:p>
    <w:p w:rsidR="00FD27DA" w:rsidRPr="00295637" w:rsidRDefault="00FD27DA" w:rsidP="0086268D">
      <w:pPr>
        <w:ind w:left="576"/>
        <w:jc w:val="both"/>
        <w:rPr>
          <w:rFonts w:ascii="Gill Sans MT" w:hAnsi="Gill Sans MT"/>
          <w:szCs w:val="24"/>
          <w:lang w:val="bs-Latn-BA"/>
        </w:rPr>
      </w:pPr>
    </w:p>
    <w:p w:rsidR="00297DC7" w:rsidRPr="00295637" w:rsidRDefault="00C6214E" w:rsidP="0086268D">
      <w:pPr>
        <w:jc w:val="both"/>
        <w:rPr>
          <w:rFonts w:ascii="Times New Roman" w:hAnsi="Times New Roman"/>
          <w:lang w:val="bs-Latn-BA"/>
        </w:rPr>
      </w:pPr>
      <w:r>
        <w:rPr>
          <w:rFonts w:ascii="Times New Roman" w:hAnsi="Times New Roman"/>
          <w:lang w:val="bs-Latn-BA"/>
        </w:rPr>
        <w:t>Бројне</w:t>
      </w:r>
      <w:r w:rsidR="00297DC7" w:rsidRPr="00295637">
        <w:rPr>
          <w:rFonts w:ascii="Times New Roman" w:hAnsi="Times New Roman"/>
          <w:lang w:val="bs-Latn-BA"/>
        </w:rPr>
        <w:t xml:space="preserve"> </w:t>
      </w:r>
      <w:r>
        <w:rPr>
          <w:rFonts w:ascii="Times New Roman" w:hAnsi="Times New Roman"/>
          <w:lang w:val="bs-Latn-BA"/>
        </w:rPr>
        <w:t>су</w:t>
      </w:r>
      <w:r w:rsidR="00297DC7" w:rsidRPr="00295637">
        <w:rPr>
          <w:rFonts w:ascii="Times New Roman" w:hAnsi="Times New Roman"/>
          <w:lang w:val="bs-Latn-BA"/>
        </w:rPr>
        <w:t xml:space="preserve"> </w:t>
      </w:r>
      <w:r>
        <w:rPr>
          <w:rFonts w:ascii="Times New Roman" w:hAnsi="Times New Roman"/>
          <w:lang w:val="bs-Latn-BA"/>
        </w:rPr>
        <w:t>активности</w:t>
      </w:r>
      <w:r w:rsidR="00297DC7" w:rsidRPr="00295637">
        <w:rPr>
          <w:rFonts w:ascii="Times New Roman" w:hAnsi="Times New Roman"/>
          <w:lang w:val="bs-Latn-BA"/>
        </w:rPr>
        <w:t xml:space="preserve"> </w:t>
      </w:r>
      <w:r>
        <w:rPr>
          <w:rFonts w:ascii="Times New Roman" w:hAnsi="Times New Roman"/>
          <w:lang w:val="bs-Latn-BA"/>
        </w:rPr>
        <w:t>које</w:t>
      </w:r>
      <w:r w:rsidR="00297DC7" w:rsidRPr="00295637">
        <w:rPr>
          <w:rFonts w:ascii="Times New Roman" w:hAnsi="Times New Roman"/>
          <w:lang w:val="bs-Latn-BA"/>
        </w:rPr>
        <w:t xml:space="preserve"> </w:t>
      </w:r>
      <w:r>
        <w:rPr>
          <w:rFonts w:ascii="Times New Roman" w:hAnsi="Times New Roman"/>
          <w:lang w:val="bs-Latn-BA"/>
        </w:rPr>
        <w:t>су</w:t>
      </w:r>
      <w:r w:rsidR="00297DC7" w:rsidRPr="00295637">
        <w:rPr>
          <w:rFonts w:ascii="Times New Roman" w:hAnsi="Times New Roman"/>
          <w:lang w:val="bs-Latn-BA"/>
        </w:rPr>
        <w:t xml:space="preserve"> </w:t>
      </w:r>
      <w:r>
        <w:rPr>
          <w:rFonts w:ascii="Times New Roman" w:hAnsi="Times New Roman"/>
          <w:lang w:val="bs-Latn-BA"/>
        </w:rPr>
        <w:t>реализ</w:t>
      </w:r>
      <w:r w:rsidR="00CF6228">
        <w:rPr>
          <w:rFonts w:ascii="Times New Roman" w:hAnsi="Times New Roman"/>
          <w:lang w:val="sr-Cyrl-BA"/>
        </w:rPr>
        <w:t>оване</w:t>
      </w:r>
      <w:r w:rsidR="00297DC7" w:rsidRPr="00295637">
        <w:rPr>
          <w:rFonts w:ascii="Times New Roman" w:hAnsi="Times New Roman"/>
          <w:lang w:val="bs-Latn-BA"/>
        </w:rPr>
        <w:t xml:space="preserve"> </w:t>
      </w:r>
      <w:r>
        <w:rPr>
          <w:rFonts w:ascii="Times New Roman" w:hAnsi="Times New Roman"/>
          <w:lang w:val="bs-Latn-BA"/>
        </w:rPr>
        <w:t>у</w:t>
      </w:r>
      <w:r w:rsidR="00297DC7" w:rsidRPr="00295637">
        <w:rPr>
          <w:rFonts w:ascii="Times New Roman" w:hAnsi="Times New Roman"/>
          <w:lang w:val="bs-Latn-BA"/>
        </w:rPr>
        <w:t xml:space="preserve"> </w:t>
      </w:r>
      <w:r>
        <w:rPr>
          <w:rFonts w:ascii="Times New Roman" w:hAnsi="Times New Roman"/>
          <w:lang w:val="bs-Latn-BA"/>
        </w:rPr>
        <w:t>сарадњи</w:t>
      </w:r>
      <w:r w:rsidR="00604697">
        <w:rPr>
          <w:rFonts w:ascii="Times New Roman" w:hAnsi="Times New Roman"/>
          <w:lang w:val="bs-Latn-BA"/>
        </w:rPr>
        <w:t xml:space="preserve"> </w:t>
      </w:r>
      <w:r>
        <w:rPr>
          <w:rFonts w:ascii="Times New Roman" w:hAnsi="Times New Roman"/>
          <w:lang w:val="bs-Latn-BA"/>
        </w:rPr>
        <w:t>са</w:t>
      </w:r>
      <w:r w:rsidR="00297DC7" w:rsidRPr="00295637">
        <w:rPr>
          <w:rFonts w:ascii="Times New Roman" w:hAnsi="Times New Roman"/>
          <w:lang w:val="bs-Latn-BA"/>
        </w:rPr>
        <w:t xml:space="preserve"> </w:t>
      </w:r>
      <w:r>
        <w:rPr>
          <w:rFonts w:ascii="Times New Roman" w:hAnsi="Times New Roman"/>
          <w:lang w:val="bs-Latn-BA"/>
        </w:rPr>
        <w:t>међународним</w:t>
      </w:r>
      <w:r w:rsidR="00297DC7" w:rsidRPr="00295637">
        <w:rPr>
          <w:rFonts w:ascii="Times New Roman" w:hAnsi="Times New Roman"/>
          <w:lang w:val="bs-Latn-BA"/>
        </w:rPr>
        <w:t xml:space="preserve"> </w:t>
      </w:r>
      <w:r>
        <w:rPr>
          <w:rFonts w:ascii="Times New Roman" w:hAnsi="Times New Roman"/>
          <w:lang w:val="bs-Latn-BA"/>
        </w:rPr>
        <w:t>и</w:t>
      </w:r>
      <w:r w:rsidR="00297DC7" w:rsidRPr="00295637">
        <w:rPr>
          <w:rFonts w:ascii="Times New Roman" w:hAnsi="Times New Roman"/>
          <w:lang w:val="bs-Latn-BA"/>
        </w:rPr>
        <w:t xml:space="preserve"> </w:t>
      </w:r>
      <w:r>
        <w:rPr>
          <w:rFonts w:ascii="Times New Roman" w:hAnsi="Times New Roman"/>
          <w:lang w:val="bs-Latn-BA"/>
        </w:rPr>
        <w:t>домаћим</w:t>
      </w:r>
      <w:r w:rsidR="00297DC7" w:rsidRPr="00295637">
        <w:rPr>
          <w:rFonts w:ascii="Times New Roman" w:hAnsi="Times New Roman"/>
          <w:lang w:val="bs-Latn-BA"/>
        </w:rPr>
        <w:t xml:space="preserve"> </w:t>
      </w:r>
      <w:r>
        <w:rPr>
          <w:rFonts w:ascii="Times New Roman" w:hAnsi="Times New Roman"/>
          <w:lang w:val="bs-Latn-BA"/>
        </w:rPr>
        <w:t>невладиним</w:t>
      </w:r>
      <w:r w:rsidR="00297DC7" w:rsidRPr="00295637">
        <w:rPr>
          <w:rFonts w:ascii="Times New Roman" w:hAnsi="Times New Roman"/>
          <w:lang w:val="bs-Latn-BA"/>
        </w:rPr>
        <w:t xml:space="preserve"> </w:t>
      </w:r>
      <w:r>
        <w:rPr>
          <w:rFonts w:ascii="Times New Roman" w:hAnsi="Times New Roman"/>
          <w:lang w:val="bs-Latn-BA"/>
        </w:rPr>
        <w:t>организацијама</w:t>
      </w:r>
      <w:r w:rsidR="00297DC7" w:rsidRPr="00295637">
        <w:rPr>
          <w:rFonts w:ascii="Times New Roman" w:hAnsi="Times New Roman"/>
          <w:lang w:val="bs-Latn-BA"/>
        </w:rPr>
        <w:t xml:space="preserve">, </w:t>
      </w:r>
      <w:r>
        <w:rPr>
          <w:rFonts w:ascii="Times New Roman" w:hAnsi="Times New Roman"/>
          <w:lang w:val="bs-Latn-BA"/>
        </w:rPr>
        <w:t>а</w:t>
      </w:r>
      <w:r w:rsidR="00297DC7" w:rsidRPr="00295637">
        <w:rPr>
          <w:rFonts w:ascii="Times New Roman" w:hAnsi="Times New Roman"/>
          <w:lang w:val="bs-Latn-BA"/>
        </w:rPr>
        <w:t xml:space="preserve"> </w:t>
      </w:r>
      <w:r>
        <w:rPr>
          <w:rFonts w:ascii="Times New Roman" w:hAnsi="Times New Roman"/>
          <w:lang w:val="bs-Latn-BA"/>
        </w:rPr>
        <w:t>у</w:t>
      </w:r>
      <w:r w:rsidR="00297DC7" w:rsidRPr="00295637">
        <w:rPr>
          <w:rFonts w:ascii="Times New Roman" w:hAnsi="Times New Roman"/>
          <w:lang w:val="bs-Latn-BA"/>
        </w:rPr>
        <w:t xml:space="preserve"> </w:t>
      </w:r>
      <w:r>
        <w:rPr>
          <w:rFonts w:ascii="Times New Roman" w:hAnsi="Times New Roman"/>
          <w:lang w:val="bs-Latn-BA"/>
        </w:rPr>
        <w:t>којима</w:t>
      </w:r>
      <w:r w:rsidR="00297DC7" w:rsidRPr="00295637">
        <w:rPr>
          <w:rFonts w:ascii="Times New Roman" w:hAnsi="Times New Roman"/>
          <w:lang w:val="bs-Latn-BA"/>
        </w:rPr>
        <w:t xml:space="preserve"> </w:t>
      </w:r>
      <w:r>
        <w:rPr>
          <w:rFonts w:ascii="Times New Roman" w:hAnsi="Times New Roman"/>
          <w:lang w:val="bs-Latn-BA"/>
        </w:rPr>
        <w:t>су</w:t>
      </w:r>
      <w:r w:rsidR="00297DC7" w:rsidRPr="00295637">
        <w:rPr>
          <w:rFonts w:ascii="Times New Roman" w:hAnsi="Times New Roman"/>
          <w:lang w:val="bs-Latn-BA"/>
        </w:rPr>
        <w:t xml:space="preserve"> </w:t>
      </w:r>
      <w:r>
        <w:rPr>
          <w:rFonts w:ascii="Times New Roman" w:hAnsi="Times New Roman"/>
          <w:lang w:val="bs-Latn-BA"/>
        </w:rPr>
        <w:t>АР</w:t>
      </w:r>
      <w:r w:rsidR="00CF6228">
        <w:rPr>
          <w:rFonts w:ascii="Times New Roman" w:hAnsi="Times New Roman"/>
          <w:lang w:val="sr-Cyrl-BA"/>
        </w:rPr>
        <w:t>П</w:t>
      </w:r>
      <w:r w:rsidR="009E54A2" w:rsidRPr="00295637">
        <w:rPr>
          <w:rFonts w:ascii="Times New Roman" w:hAnsi="Times New Roman"/>
          <w:lang w:val="bs-Latn-BA"/>
        </w:rPr>
        <w:t xml:space="preserve"> </w:t>
      </w:r>
      <w:r>
        <w:rPr>
          <w:rFonts w:ascii="Times New Roman" w:hAnsi="Times New Roman"/>
          <w:lang w:val="bs-Latn-BA"/>
        </w:rPr>
        <w:t>БиХ</w:t>
      </w:r>
      <w:r w:rsidR="009E54A2" w:rsidRPr="00295637">
        <w:rPr>
          <w:rFonts w:ascii="Times New Roman" w:hAnsi="Times New Roman"/>
          <w:lang w:val="bs-Latn-BA"/>
        </w:rPr>
        <w:t xml:space="preserve"> </w:t>
      </w:r>
      <w:r>
        <w:rPr>
          <w:rFonts w:ascii="Times New Roman" w:hAnsi="Times New Roman"/>
          <w:lang w:val="bs-Latn-BA"/>
        </w:rPr>
        <w:t>МЉПИ</w:t>
      </w:r>
      <w:r w:rsidR="00604697">
        <w:rPr>
          <w:rFonts w:ascii="Times New Roman" w:hAnsi="Times New Roman"/>
          <w:lang w:val="bs-Latn-BA"/>
        </w:rPr>
        <w:t xml:space="preserve"> </w:t>
      </w:r>
      <w:r>
        <w:rPr>
          <w:rFonts w:ascii="Times New Roman" w:hAnsi="Times New Roman"/>
          <w:lang w:val="bs-Latn-BA"/>
        </w:rPr>
        <w:t>БиХ</w:t>
      </w:r>
      <w:r w:rsidR="00604697">
        <w:rPr>
          <w:rFonts w:ascii="Times New Roman" w:hAnsi="Times New Roman"/>
          <w:lang w:val="bs-Latn-BA"/>
        </w:rPr>
        <w:t xml:space="preserve">, </w:t>
      </w:r>
      <w:r>
        <w:rPr>
          <w:rFonts w:ascii="Times New Roman" w:hAnsi="Times New Roman"/>
          <w:lang w:val="bs-Latn-BA"/>
        </w:rPr>
        <w:t>ГЦ</w:t>
      </w:r>
      <w:r w:rsidR="00604697">
        <w:rPr>
          <w:rFonts w:ascii="Times New Roman" w:hAnsi="Times New Roman"/>
          <w:lang w:val="bs-Latn-BA"/>
        </w:rPr>
        <w:t xml:space="preserve"> </w:t>
      </w:r>
      <w:r>
        <w:rPr>
          <w:rFonts w:ascii="Times New Roman" w:hAnsi="Times New Roman"/>
          <w:lang w:val="bs-Latn-BA"/>
        </w:rPr>
        <w:t>ФБиХ</w:t>
      </w:r>
      <w:r w:rsidR="006502D3" w:rsidRPr="00295637">
        <w:rPr>
          <w:rFonts w:ascii="Times New Roman" w:hAnsi="Times New Roman"/>
          <w:lang w:val="bs-Latn-BA"/>
        </w:rPr>
        <w:t xml:space="preserve"> </w:t>
      </w:r>
      <w:r>
        <w:rPr>
          <w:rFonts w:ascii="Times New Roman" w:hAnsi="Times New Roman"/>
          <w:lang w:val="bs-Latn-BA"/>
        </w:rPr>
        <w:t>и</w:t>
      </w:r>
      <w:r w:rsidR="006502D3" w:rsidRPr="00295637">
        <w:rPr>
          <w:rFonts w:ascii="Times New Roman" w:hAnsi="Times New Roman"/>
          <w:lang w:val="bs-Latn-BA"/>
        </w:rPr>
        <w:t xml:space="preserve"> </w:t>
      </w:r>
      <w:r>
        <w:rPr>
          <w:rFonts w:ascii="Times New Roman" w:hAnsi="Times New Roman"/>
          <w:lang w:val="bs-Latn-BA"/>
        </w:rPr>
        <w:t>ЦЈРП</w:t>
      </w:r>
      <w:r w:rsidR="006502D3" w:rsidRPr="00295637">
        <w:rPr>
          <w:rFonts w:ascii="Times New Roman" w:hAnsi="Times New Roman"/>
          <w:lang w:val="bs-Latn-BA"/>
        </w:rPr>
        <w:t xml:space="preserve"> </w:t>
      </w:r>
      <w:r>
        <w:rPr>
          <w:rFonts w:ascii="Times New Roman" w:hAnsi="Times New Roman"/>
          <w:lang w:val="bs-Latn-BA"/>
        </w:rPr>
        <w:t>РС</w:t>
      </w:r>
      <w:r w:rsidR="009E54A2" w:rsidRPr="00295637">
        <w:rPr>
          <w:rFonts w:ascii="Times New Roman" w:hAnsi="Times New Roman"/>
          <w:lang w:val="bs-Latn-BA"/>
        </w:rPr>
        <w:t xml:space="preserve"> </w:t>
      </w:r>
      <w:r>
        <w:rPr>
          <w:rFonts w:ascii="Times New Roman" w:hAnsi="Times New Roman"/>
          <w:lang w:val="bs-Latn-BA"/>
        </w:rPr>
        <w:t>били</w:t>
      </w:r>
      <w:r w:rsidR="00297DC7" w:rsidRPr="00295637">
        <w:rPr>
          <w:rFonts w:ascii="Times New Roman" w:hAnsi="Times New Roman"/>
          <w:lang w:val="bs-Latn-BA"/>
        </w:rPr>
        <w:t xml:space="preserve"> </w:t>
      </w:r>
      <w:r>
        <w:rPr>
          <w:rFonts w:ascii="Times New Roman" w:hAnsi="Times New Roman"/>
          <w:lang w:val="bs-Latn-BA"/>
        </w:rPr>
        <w:t>иницијатори</w:t>
      </w:r>
      <w:r w:rsidR="006502D3" w:rsidRPr="00295637">
        <w:rPr>
          <w:rFonts w:ascii="Times New Roman" w:hAnsi="Times New Roman"/>
          <w:lang w:val="bs-Latn-BA"/>
        </w:rPr>
        <w:t xml:space="preserve"> </w:t>
      </w:r>
      <w:r>
        <w:rPr>
          <w:rFonts w:ascii="Times New Roman" w:hAnsi="Times New Roman"/>
          <w:lang w:val="bs-Latn-BA"/>
        </w:rPr>
        <w:t>или</w:t>
      </w:r>
      <w:r w:rsidR="006502D3" w:rsidRPr="00295637">
        <w:rPr>
          <w:rFonts w:ascii="Times New Roman" w:hAnsi="Times New Roman"/>
          <w:lang w:val="bs-Latn-BA"/>
        </w:rPr>
        <w:t xml:space="preserve"> </w:t>
      </w:r>
      <w:r>
        <w:rPr>
          <w:rFonts w:ascii="Times New Roman" w:hAnsi="Times New Roman"/>
          <w:lang w:val="bs-Latn-BA"/>
        </w:rPr>
        <w:t>учесници</w:t>
      </w:r>
      <w:r w:rsidR="00297DC7" w:rsidRPr="00295637">
        <w:rPr>
          <w:rFonts w:ascii="Times New Roman" w:hAnsi="Times New Roman"/>
          <w:lang w:val="bs-Latn-BA"/>
        </w:rPr>
        <w:t xml:space="preserve">. </w:t>
      </w:r>
      <w:r>
        <w:rPr>
          <w:rFonts w:ascii="Times New Roman" w:hAnsi="Times New Roman"/>
          <w:lang w:val="bs-Latn-BA"/>
        </w:rPr>
        <w:t>Најчешће</w:t>
      </w:r>
      <w:r w:rsidR="00297DC7" w:rsidRPr="00295637">
        <w:rPr>
          <w:rFonts w:ascii="Times New Roman" w:hAnsi="Times New Roman"/>
          <w:lang w:val="bs-Latn-BA"/>
        </w:rPr>
        <w:t xml:space="preserve"> </w:t>
      </w:r>
      <w:r>
        <w:rPr>
          <w:rFonts w:ascii="Times New Roman" w:hAnsi="Times New Roman"/>
          <w:lang w:val="bs-Latn-BA"/>
        </w:rPr>
        <w:t>теме</w:t>
      </w:r>
      <w:r w:rsidR="00297DC7" w:rsidRPr="00295637">
        <w:rPr>
          <w:rFonts w:ascii="Times New Roman" w:hAnsi="Times New Roman"/>
          <w:lang w:val="bs-Latn-BA"/>
        </w:rPr>
        <w:t xml:space="preserve"> </w:t>
      </w:r>
      <w:r>
        <w:rPr>
          <w:rFonts w:ascii="Times New Roman" w:hAnsi="Times New Roman"/>
          <w:lang w:val="bs-Latn-BA"/>
        </w:rPr>
        <w:t>о</w:t>
      </w:r>
      <w:r w:rsidR="00297DC7" w:rsidRPr="00295637">
        <w:rPr>
          <w:rFonts w:ascii="Times New Roman" w:hAnsi="Times New Roman"/>
          <w:lang w:val="bs-Latn-BA"/>
        </w:rPr>
        <w:t xml:space="preserve"> </w:t>
      </w:r>
      <w:r>
        <w:rPr>
          <w:rFonts w:ascii="Times New Roman" w:hAnsi="Times New Roman"/>
          <w:lang w:val="bs-Latn-BA"/>
        </w:rPr>
        <w:t>којима</w:t>
      </w:r>
      <w:r w:rsidR="00297DC7" w:rsidRPr="00295637">
        <w:rPr>
          <w:rFonts w:ascii="Times New Roman" w:hAnsi="Times New Roman"/>
          <w:lang w:val="bs-Latn-BA"/>
        </w:rPr>
        <w:t xml:space="preserve"> </w:t>
      </w:r>
      <w:r>
        <w:rPr>
          <w:rFonts w:ascii="Times New Roman" w:hAnsi="Times New Roman"/>
          <w:lang w:val="bs-Latn-BA"/>
        </w:rPr>
        <w:t>се</w:t>
      </w:r>
      <w:r w:rsidR="00297DC7" w:rsidRPr="00295637">
        <w:rPr>
          <w:rFonts w:ascii="Times New Roman" w:hAnsi="Times New Roman"/>
          <w:lang w:val="bs-Latn-BA"/>
        </w:rPr>
        <w:t xml:space="preserve"> </w:t>
      </w:r>
      <w:r>
        <w:rPr>
          <w:rFonts w:ascii="Times New Roman" w:hAnsi="Times New Roman"/>
          <w:lang w:val="bs-Latn-BA"/>
        </w:rPr>
        <w:t>разговарало</w:t>
      </w:r>
      <w:r w:rsidR="00297DC7" w:rsidRPr="00295637">
        <w:rPr>
          <w:rFonts w:ascii="Times New Roman" w:hAnsi="Times New Roman"/>
          <w:lang w:val="bs-Latn-BA"/>
        </w:rPr>
        <w:t xml:space="preserve"> </w:t>
      </w:r>
      <w:r>
        <w:rPr>
          <w:rFonts w:ascii="Times New Roman" w:hAnsi="Times New Roman"/>
          <w:lang w:val="bs-Latn-BA"/>
        </w:rPr>
        <w:t>су</w:t>
      </w:r>
      <w:r w:rsidR="00297DC7" w:rsidRPr="00295637">
        <w:rPr>
          <w:rFonts w:ascii="Times New Roman" w:hAnsi="Times New Roman"/>
          <w:lang w:val="bs-Latn-BA"/>
        </w:rPr>
        <w:t xml:space="preserve"> </w:t>
      </w:r>
      <w:r>
        <w:rPr>
          <w:rFonts w:ascii="Times New Roman" w:hAnsi="Times New Roman"/>
          <w:lang w:val="bs-Latn-BA"/>
        </w:rPr>
        <w:t>биле</w:t>
      </w:r>
      <w:r w:rsidR="00297DC7" w:rsidRPr="00295637">
        <w:rPr>
          <w:rFonts w:ascii="Times New Roman" w:hAnsi="Times New Roman"/>
          <w:lang w:val="bs-Latn-BA"/>
        </w:rPr>
        <w:t xml:space="preserve"> </w:t>
      </w:r>
      <w:r>
        <w:rPr>
          <w:rFonts w:ascii="Times New Roman" w:hAnsi="Times New Roman"/>
          <w:lang w:val="bs-Latn-BA"/>
        </w:rPr>
        <w:t>превенција</w:t>
      </w:r>
      <w:r w:rsidR="00297DC7" w:rsidRPr="00295637">
        <w:rPr>
          <w:rFonts w:ascii="Times New Roman" w:hAnsi="Times New Roman"/>
          <w:lang w:val="bs-Latn-BA"/>
        </w:rPr>
        <w:t xml:space="preserve"> </w:t>
      </w:r>
      <w:r>
        <w:rPr>
          <w:rFonts w:ascii="Times New Roman" w:hAnsi="Times New Roman"/>
          <w:lang w:val="bs-Latn-BA"/>
        </w:rPr>
        <w:t>свих</w:t>
      </w:r>
      <w:r w:rsidR="00297DC7" w:rsidRPr="00295637">
        <w:rPr>
          <w:rFonts w:ascii="Times New Roman" w:hAnsi="Times New Roman"/>
          <w:lang w:val="bs-Latn-BA"/>
        </w:rPr>
        <w:t xml:space="preserve"> </w:t>
      </w:r>
      <w:r>
        <w:rPr>
          <w:rFonts w:ascii="Times New Roman" w:hAnsi="Times New Roman"/>
          <w:lang w:val="bs-Latn-BA"/>
        </w:rPr>
        <w:t>облика</w:t>
      </w:r>
      <w:r w:rsidR="00297DC7" w:rsidRPr="00295637">
        <w:rPr>
          <w:rFonts w:ascii="Times New Roman" w:hAnsi="Times New Roman"/>
          <w:lang w:val="bs-Latn-BA"/>
        </w:rPr>
        <w:t xml:space="preserve"> </w:t>
      </w:r>
      <w:r>
        <w:rPr>
          <w:rFonts w:ascii="Times New Roman" w:hAnsi="Times New Roman"/>
          <w:lang w:val="bs-Latn-BA"/>
        </w:rPr>
        <w:t>насиља</w:t>
      </w:r>
      <w:r w:rsidR="00297DC7" w:rsidRPr="00295637">
        <w:rPr>
          <w:rFonts w:ascii="Times New Roman" w:hAnsi="Times New Roman"/>
          <w:lang w:val="bs-Latn-BA"/>
        </w:rPr>
        <w:t xml:space="preserve"> </w:t>
      </w:r>
      <w:r>
        <w:rPr>
          <w:rFonts w:ascii="Times New Roman" w:hAnsi="Times New Roman"/>
          <w:lang w:val="bs-Latn-BA"/>
        </w:rPr>
        <w:t>на</w:t>
      </w:r>
      <w:r w:rsidR="00297DC7" w:rsidRPr="00295637">
        <w:rPr>
          <w:rFonts w:ascii="Times New Roman" w:hAnsi="Times New Roman"/>
          <w:lang w:val="bs-Latn-BA"/>
        </w:rPr>
        <w:t xml:space="preserve"> </w:t>
      </w:r>
      <w:r>
        <w:rPr>
          <w:rFonts w:ascii="Times New Roman" w:hAnsi="Times New Roman"/>
          <w:lang w:val="bs-Latn-BA"/>
        </w:rPr>
        <w:t>основу</w:t>
      </w:r>
      <w:r w:rsidR="00297DC7" w:rsidRPr="00295637">
        <w:rPr>
          <w:rFonts w:ascii="Times New Roman" w:hAnsi="Times New Roman"/>
          <w:lang w:val="bs-Latn-BA"/>
        </w:rPr>
        <w:t xml:space="preserve"> </w:t>
      </w:r>
      <w:r>
        <w:rPr>
          <w:rFonts w:ascii="Times New Roman" w:hAnsi="Times New Roman"/>
          <w:lang w:val="bs-Latn-BA"/>
        </w:rPr>
        <w:t>пола</w:t>
      </w:r>
      <w:r w:rsidR="00297DC7" w:rsidRPr="00295637">
        <w:rPr>
          <w:rFonts w:ascii="Times New Roman" w:hAnsi="Times New Roman"/>
          <w:lang w:val="bs-Latn-BA"/>
        </w:rPr>
        <w:t xml:space="preserve">, </w:t>
      </w:r>
      <w:r>
        <w:rPr>
          <w:rFonts w:ascii="Times New Roman" w:hAnsi="Times New Roman"/>
          <w:lang w:val="bs-Latn-BA"/>
        </w:rPr>
        <w:t>предузетништво</w:t>
      </w:r>
      <w:r w:rsidR="00297DC7" w:rsidRPr="00295637">
        <w:rPr>
          <w:rFonts w:ascii="Times New Roman" w:hAnsi="Times New Roman"/>
          <w:lang w:val="bs-Latn-BA"/>
        </w:rPr>
        <w:t xml:space="preserve"> </w:t>
      </w:r>
      <w:r>
        <w:rPr>
          <w:rFonts w:ascii="Times New Roman" w:hAnsi="Times New Roman"/>
          <w:lang w:val="bs-Latn-BA"/>
        </w:rPr>
        <w:t>и</w:t>
      </w:r>
      <w:r w:rsidR="00297DC7" w:rsidRPr="00295637">
        <w:rPr>
          <w:rFonts w:ascii="Times New Roman" w:hAnsi="Times New Roman"/>
          <w:lang w:val="bs-Latn-BA"/>
        </w:rPr>
        <w:t xml:space="preserve"> </w:t>
      </w:r>
      <w:r>
        <w:rPr>
          <w:rFonts w:ascii="Times New Roman" w:hAnsi="Times New Roman"/>
          <w:lang w:val="bs-Latn-BA"/>
        </w:rPr>
        <w:t>политичко</w:t>
      </w:r>
      <w:r w:rsidR="00297DC7" w:rsidRPr="00295637">
        <w:rPr>
          <w:rFonts w:ascii="Times New Roman" w:hAnsi="Times New Roman"/>
          <w:lang w:val="bs-Latn-BA"/>
        </w:rPr>
        <w:t xml:space="preserve"> </w:t>
      </w:r>
      <w:r>
        <w:rPr>
          <w:rFonts w:ascii="Times New Roman" w:hAnsi="Times New Roman"/>
          <w:lang w:val="bs-Latn-BA"/>
        </w:rPr>
        <w:t>учешће</w:t>
      </w:r>
      <w:r w:rsidR="00297DC7" w:rsidRPr="00295637">
        <w:rPr>
          <w:rFonts w:ascii="Times New Roman" w:hAnsi="Times New Roman"/>
          <w:lang w:val="bs-Latn-BA"/>
        </w:rPr>
        <w:t xml:space="preserve">. </w:t>
      </w:r>
      <w:r>
        <w:rPr>
          <w:rFonts w:ascii="Times New Roman" w:hAnsi="Times New Roman"/>
          <w:lang w:val="bs-Latn-BA"/>
        </w:rPr>
        <w:t>Нису</w:t>
      </w:r>
      <w:r w:rsidR="00297DC7" w:rsidRPr="00295637">
        <w:rPr>
          <w:rFonts w:ascii="Times New Roman" w:hAnsi="Times New Roman"/>
          <w:lang w:val="bs-Latn-BA"/>
        </w:rPr>
        <w:t xml:space="preserve"> </w:t>
      </w:r>
      <w:r>
        <w:rPr>
          <w:rFonts w:ascii="Times New Roman" w:hAnsi="Times New Roman"/>
          <w:lang w:val="bs-Latn-BA"/>
        </w:rPr>
        <w:t>изостављене</w:t>
      </w:r>
      <w:r w:rsidR="00297DC7" w:rsidRPr="00295637">
        <w:rPr>
          <w:rFonts w:ascii="Times New Roman" w:hAnsi="Times New Roman"/>
          <w:lang w:val="bs-Latn-BA"/>
        </w:rPr>
        <w:t xml:space="preserve"> </w:t>
      </w:r>
      <w:r>
        <w:rPr>
          <w:rFonts w:ascii="Times New Roman" w:hAnsi="Times New Roman"/>
          <w:lang w:val="bs-Latn-BA"/>
        </w:rPr>
        <w:t>ни</w:t>
      </w:r>
      <w:r w:rsidR="00297DC7" w:rsidRPr="00295637">
        <w:rPr>
          <w:rFonts w:ascii="Times New Roman" w:hAnsi="Times New Roman"/>
          <w:lang w:val="bs-Latn-BA"/>
        </w:rPr>
        <w:t xml:space="preserve"> </w:t>
      </w:r>
      <w:r>
        <w:rPr>
          <w:rFonts w:ascii="Times New Roman" w:hAnsi="Times New Roman"/>
          <w:lang w:val="bs-Latn-BA"/>
        </w:rPr>
        <w:t>теме</w:t>
      </w:r>
      <w:r w:rsidR="00297DC7" w:rsidRPr="00295637">
        <w:rPr>
          <w:rFonts w:ascii="Times New Roman" w:hAnsi="Times New Roman"/>
          <w:lang w:val="bs-Latn-BA"/>
        </w:rPr>
        <w:t xml:space="preserve"> </w:t>
      </w:r>
      <w:r>
        <w:rPr>
          <w:rFonts w:ascii="Times New Roman" w:hAnsi="Times New Roman"/>
          <w:lang w:val="bs-Latn-BA"/>
        </w:rPr>
        <w:t>еколошке</w:t>
      </w:r>
      <w:r w:rsidR="00297DC7" w:rsidRPr="00295637">
        <w:rPr>
          <w:rFonts w:ascii="Times New Roman" w:hAnsi="Times New Roman"/>
          <w:lang w:val="bs-Latn-BA"/>
        </w:rPr>
        <w:t xml:space="preserve"> </w:t>
      </w:r>
      <w:r>
        <w:rPr>
          <w:rFonts w:ascii="Times New Roman" w:hAnsi="Times New Roman"/>
          <w:lang w:val="bs-Latn-BA"/>
        </w:rPr>
        <w:t>правде</w:t>
      </w:r>
      <w:r w:rsidR="00297DC7" w:rsidRPr="00295637">
        <w:rPr>
          <w:rFonts w:ascii="Times New Roman" w:hAnsi="Times New Roman"/>
          <w:lang w:val="bs-Latn-BA"/>
        </w:rPr>
        <w:t xml:space="preserve">, </w:t>
      </w:r>
      <w:r>
        <w:rPr>
          <w:rFonts w:ascii="Times New Roman" w:hAnsi="Times New Roman"/>
          <w:lang w:val="bs-Latn-BA"/>
        </w:rPr>
        <w:t>зелене</w:t>
      </w:r>
      <w:r w:rsidR="00297DC7" w:rsidRPr="00295637">
        <w:rPr>
          <w:rFonts w:ascii="Times New Roman" w:hAnsi="Times New Roman"/>
          <w:lang w:val="bs-Latn-BA"/>
        </w:rPr>
        <w:t xml:space="preserve"> </w:t>
      </w:r>
      <w:r>
        <w:rPr>
          <w:rFonts w:ascii="Times New Roman" w:hAnsi="Times New Roman"/>
          <w:lang w:val="bs-Latn-BA"/>
        </w:rPr>
        <w:t>транзиције</w:t>
      </w:r>
      <w:r w:rsidR="00297DC7" w:rsidRPr="00295637">
        <w:rPr>
          <w:rFonts w:ascii="Times New Roman" w:hAnsi="Times New Roman"/>
          <w:lang w:val="bs-Latn-BA"/>
        </w:rPr>
        <w:t xml:space="preserve">, </w:t>
      </w:r>
      <w:r>
        <w:rPr>
          <w:rFonts w:ascii="Times New Roman" w:hAnsi="Times New Roman"/>
          <w:lang w:val="bs-Latn-BA"/>
        </w:rPr>
        <w:t>енергетског</w:t>
      </w:r>
      <w:r w:rsidR="00297DC7" w:rsidRPr="00295637">
        <w:rPr>
          <w:rFonts w:ascii="Times New Roman" w:hAnsi="Times New Roman"/>
          <w:lang w:val="bs-Latn-BA"/>
        </w:rPr>
        <w:t xml:space="preserve"> </w:t>
      </w:r>
      <w:r>
        <w:rPr>
          <w:rFonts w:ascii="Times New Roman" w:hAnsi="Times New Roman"/>
          <w:lang w:val="bs-Latn-BA"/>
        </w:rPr>
        <w:t>сиромаштва</w:t>
      </w:r>
      <w:r w:rsidR="00297DC7" w:rsidRPr="00295637">
        <w:rPr>
          <w:rFonts w:ascii="Times New Roman" w:hAnsi="Times New Roman"/>
          <w:lang w:val="bs-Latn-BA"/>
        </w:rPr>
        <w:t xml:space="preserve"> </w:t>
      </w:r>
      <w:r>
        <w:rPr>
          <w:rFonts w:ascii="Times New Roman" w:hAnsi="Times New Roman"/>
          <w:lang w:val="bs-Latn-BA"/>
        </w:rPr>
        <w:t>као</w:t>
      </w:r>
      <w:r w:rsidR="00297DC7" w:rsidRPr="00295637">
        <w:rPr>
          <w:rFonts w:ascii="Times New Roman" w:hAnsi="Times New Roman"/>
          <w:lang w:val="bs-Latn-BA"/>
        </w:rPr>
        <w:t xml:space="preserve"> </w:t>
      </w:r>
      <w:r>
        <w:rPr>
          <w:rFonts w:ascii="Times New Roman" w:hAnsi="Times New Roman"/>
          <w:lang w:val="bs-Latn-BA"/>
        </w:rPr>
        <w:t>и</w:t>
      </w:r>
      <w:r w:rsidR="00297DC7" w:rsidRPr="00295637">
        <w:rPr>
          <w:rFonts w:ascii="Times New Roman" w:hAnsi="Times New Roman"/>
          <w:lang w:val="bs-Latn-BA"/>
        </w:rPr>
        <w:t xml:space="preserve"> </w:t>
      </w:r>
      <w:r>
        <w:rPr>
          <w:rFonts w:ascii="Times New Roman" w:hAnsi="Times New Roman"/>
          <w:lang w:val="bs-Latn-BA"/>
        </w:rPr>
        <w:t>кориш</w:t>
      </w:r>
      <w:r w:rsidR="00CF6228">
        <w:rPr>
          <w:rFonts w:ascii="Times New Roman" w:hAnsi="Times New Roman"/>
          <w:lang w:val="sr-Cyrl-BA"/>
        </w:rPr>
        <w:t>ћ</w:t>
      </w:r>
      <w:r>
        <w:rPr>
          <w:rFonts w:ascii="Times New Roman" w:hAnsi="Times New Roman"/>
          <w:lang w:val="bs-Latn-BA"/>
        </w:rPr>
        <w:t>ења</w:t>
      </w:r>
      <w:r w:rsidR="00297DC7" w:rsidRPr="00295637">
        <w:rPr>
          <w:rFonts w:ascii="Times New Roman" w:hAnsi="Times New Roman"/>
          <w:lang w:val="bs-Latn-BA"/>
        </w:rPr>
        <w:t xml:space="preserve"> </w:t>
      </w:r>
      <w:r>
        <w:rPr>
          <w:rFonts w:ascii="Times New Roman" w:hAnsi="Times New Roman"/>
          <w:lang w:val="bs-Latn-BA"/>
        </w:rPr>
        <w:t>малог</w:t>
      </w:r>
      <w:r w:rsidR="00297DC7" w:rsidRPr="00295637">
        <w:rPr>
          <w:rFonts w:ascii="Times New Roman" w:hAnsi="Times New Roman"/>
          <w:lang w:val="bs-Latn-BA"/>
        </w:rPr>
        <w:t xml:space="preserve"> </w:t>
      </w:r>
      <w:r>
        <w:rPr>
          <w:rFonts w:ascii="Times New Roman" w:hAnsi="Times New Roman"/>
          <w:lang w:val="bs-Latn-BA"/>
        </w:rPr>
        <w:t>и</w:t>
      </w:r>
      <w:r w:rsidR="00297DC7" w:rsidRPr="00295637">
        <w:rPr>
          <w:rFonts w:ascii="Times New Roman" w:hAnsi="Times New Roman"/>
          <w:lang w:val="bs-Latn-BA"/>
        </w:rPr>
        <w:t xml:space="preserve"> </w:t>
      </w:r>
      <w:r>
        <w:rPr>
          <w:rFonts w:ascii="Times New Roman" w:hAnsi="Times New Roman"/>
          <w:lang w:val="bs-Latn-BA"/>
        </w:rPr>
        <w:t>лаког</w:t>
      </w:r>
      <w:r w:rsidR="00297DC7" w:rsidRPr="00295637">
        <w:rPr>
          <w:rFonts w:ascii="Times New Roman" w:hAnsi="Times New Roman"/>
          <w:lang w:val="bs-Latn-BA"/>
        </w:rPr>
        <w:t xml:space="preserve"> </w:t>
      </w:r>
      <w:r>
        <w:rPr>
          <w:rFonts w:ascii="Times New Roman" w:hAnsi="Times New Roman"/>
          <w:lang w:val="bs-Latn-BA"/>
        </w:rPr>
        <w:t>наоружања</w:t>
      </w:r>
      <w:r w:rsidR="00297DC7" w:rsidRPr="00295637">
        <w:rPr>
          <w:rFonts w:ascii="Times New Roman" w:hAnsi="Times New Roman"/>
          <w:lang w:val="bs-Latn-BA"/>
        </w:rPr>
        <w:t>.</w:t>
      </w:r>
    </w:p>
    <w:p w:rsidR="005E5AA7" w:rsidRPr="00295637" w:rsidRDefault="005E5AA7" w:rsidP="0086268D">
      <w:pPr>
        <w:jc w:val="both"/>
        <w:rPr>
          <w:rFonts w:ascii="Times New Roman" w:hAnsi="Times New Roman"/>
          <w:lang w:val="bs-Latn-BA"/>
        </w:rPr>
      </w:pPr>
    </w:p>
    <w:p w:rsidR="002D1DC8" w:rsidRPr="00EC48AC" w:rsidRDefault="00C6214E" w:rsidP="0086268D">
      <w:pPr>
        <w:jc w:val="both"/>
        <w:rPr>
          <w:rFonts w:ascii="Times New Roman" w:hAnsi="Times New Roman"/>
          <w:szCs w:val="24"/>
          <w:lang w:val="bs-Latn-BA"/>
        </w:rPr>
      </w:pPr>
      <w:r>
        <w:rPr>
          <w:rFonts w:ascii="Times New Roman" w:hAnsi="Times New Roman"/>
          <w:szCs w:val="24"/>
          <w:lang w:val="bs-Latn-BA"/>
        </w:rPr>
        <w:t>АР</w:t>
      </w:r>
      <w:r w:rsidR="00CF6228">
        <w:rPr>
          <w:rFonts w:ascii="Times New Roman" w:hAnsi="Times New Roman"/>
          <w:szCs w:val="24"/>
          <w:lang w:val="sr-Cyrl-BA"/>
        </w:rPr>
        <w:t>П</w:t>
      </w:r>
      <w:r w:rsidR="004B269F">
        <w:rPr>
          <w:rFonts w:ascii="Times New Roman" w:hAnsi="Times New Roman"/>
          <w:szCs w:val="24"/>
          <w:lang w:val="bs-Latn-BA"/>
        </w:rPr>
        <w:t xml:space="preserve"> </w:t>
      </w:r>
      <w:r>
        <w:rPr>
          <w:rFonts w:ascii="Times New Roman" w:hAnsi="Times New Roman"/>
          <w:szCs w:val="24"/>
          <w:lang w:val="bs-Latn-BA"/>
        </w:rPr>
        <w:t>БиХ</w:t>
      </w:r>
      <w:r w:rsidR="004B269F">
        <w:rPr>
          <w:rFonts w:ascii="Times New Roman" w:hAnsi="Times New Roman"/>
          <w:szCs w:val="24"/>
          <w:lang w:val="bs-Latn-BA"/>
        </w:rPr>
        <w:t xml:space="preserve"> </w:t>
      </w:r>
      <w:r>
        <w:rPr>
          <w:rFonts w:ascii="Times New Roman" w:hAnsi="Times New Roman"/>
          <w:szCs w:val="24"/>
          <w:lang w:val="bs-Latn-BA"/>
        </w:rPr>
        <w:t>МЉПИ</w:t>
      </w:r>
      <w:r w:rsidR="004B269F">
        <w:rPr>
          <w:rFonts w:ascii="Times New Roman" w:hAnsi="Times New Roman"/>
          <w:szCs w:val="24"/>
          <w:lang w:val="bs-Latn-BA"/>
        </w:rPr>
        <w:t xml:space="preserve"> </w:t>
      </w:r>
      <w:r>
        <w:rPr>
          <w:rFonts w:ascii="Times New Roman" w:hAnsi="Times New Roman"/>
          <w:szCs w:val="24"/>
          <w:lang w:val="bs-Latn-BA"/>
        </w:rPr>
        <w:t>БиХ</w:t>
      </w:r>
      <w:r w:rsidR="006900B2">
        <w:rPr>
          <w:rFonts w:ascii="Times New Roman" w:hAnsi="Times New Roman"/>
          <w:szCs w:val="24"/>
          <w:lang w:val="bs-Latn-BA"/>
        </w:rPr>
        <w:t xml:space="preserve">, </w:t>
      </w:r>
      <w:r>
        <w:rPr>
          <w:rFonts w:ascii="Times New Roman" w:hAnsi="Times New Roman"/>
          <w:szCs w:val="24"/>
          <w:lang w:val="bs-Latn-BA"/>
        </w:rPr>
        <w:t>на</w:t>
      </w:r>
      <w:r w:rsidR="006900B2">
        <w:rPr>
          <w:rFonts w:ascii="Times New Roman" w:hAnsi="Times New Roman"/>
          <w:szCs w:val="24"/>
          <w:lang w:val="bs-Latn-BA"/>
        </w:rPr>
        <w:t xml:space="preserve"> </w:t>
      </w:r>
      <w:r>
        <w:rPr>
          <w:rFonts w:ascii="Times New Roman" w:hAnsi="Times New Roman"/>
          <w:szCs w:val="24"/>
          <w:lang w:val="bs-Latn-BA"/>
        </w:rPr>
        <w:t>позив</w:t>
      </w:r>
      <w:r w:rsidR="006900B2">
        <w:rPr>
          <w:rFonts w:ascii="Times New Roman" w:hAnsi="Times New Roman"/>
          <w:szCs w:val="24"/>
          <w:lang w:val="bs-Latn-BA"/>
        </w:rPr>
        <w:t xml:space="preserve"> </w:t>
      </w:r>
      <w:r>
        <w:rPr>
          <w:rFonts w:ascii="Times New Roman" w:hAnsi="Times New Roman"/>
          <w:szCs w:val="24"/>
          <w:lang w:val="bs-Latn-BA"/>
        </w:rPr>
        <w:t>Удру</w:t>
      </w:r>
      <w:r w:rsidR="00CF6228">
        <w:rPr>
          <w:rFonts w:ascii="Times New Roman" w:hAnsi="Times New Roman"/>
          <w:szCs w:val="24"/>
          <w:lang w:val="sr-Cyrl-BA"/>
        </w:rPr>
        <w:t>жења</w:t>
      </w:r>
      <w:r w:rsidR="004B269F">
        <w:rPr>
          <w:rFonts w:ascii="Times New Roman" w:hAnsi="Times New Roman"/>
          <w:szCs w:val="24"/>
          <w:lang w:val="bs-Latn-BA"/>
        </w:rPr>
        <w:t xml:space="preserve"> „</w:t>
      </w:r>
      <w:r>
        <w:rPr>
          <w:rFonts w:ascii="Times New Roman" w:hAnsi="Times New Roman"/>
          <w:szCs w:val="24"/>
          <w:lang w:val="bs-Latn-BA"/>
        </w:rPr>
        <w:t>Жене</w:t>
      </w:r>
      <w:r w:rsidR="004B269F">
        <w:rPr>
          <w:rFonts w:ascii="Times New Roman" w:hAnsi="Times New Roman"/>
          <w:szCs w:val="24"/>
          <w:lang w:val="bs-Latn-BA"/>
        </w:rPr>
        <w:t xml:space="preserve"> </w:t>
      </w:r>
      <w:r>
        <w:rPr>
          <w:rFonts w:ascii="Times New Roman" w:hAnsi="Times New Roman"/>
          <w:szCs w:val="24"/>
          <w:lang w:val="bs-Latn-BA"/>
        </w:rPr>
        <w:t>с</w:t>
      </w:r>
      <w:r w:rsidR="002D1DC8" w:rsidRPr="00EC48AC">
        <w:rPr>
          <w:rFonts w:ascii="Times New Roman" w:hAnsi="Times New Roman"/>
          <w:szCs w:val="24"/>
          <w:lang w:val="bs-Latn-BA"/>
        </w:rPr>
        <w:t xml:space="preserve"> </w:t>
      </w:r>
      <w:r>
        <w:rPr>
          <w:rFonts w:ascii="Times New Roman" w:hAnsi="Times New Roman"/>
          <w:szCs w:val="24"/>
          <w:lang w:val="bs-Latn-BA"/>
        </w:rPr>
        <w:t>Уне</w:t>
      </w:r>
      <w:r w:rsidR="002D1DC8" w:rsidRPr="00EC48AC">
        <w:rPr>
          <w:rFonts w:ascii="Times New Roman" w:hAnsi="Times New Roman"/>
          <w:szCs w:val="24"/>
          <w:lang w:val="bs-Latn-BA"/>
        </w:rPr>
        <w:t xml:space="preserve">“ </w:t>
      </w:r>
      <w:r>
        <w:rPr>
          <w:rFonts w:ascii="Times New Roman" w:hAnsi="Times New Roman"/>
          <w:szCs w:val="24"/>
          <w:lang w:val="bs-Latn-BA"/>
        </w:rPr>
        <w:t>Бихаћ</w:t>
      </w:r>
      <w:r w:rsidR="002D1DC8" w:rsidRPr="00EC48AC">
        <w:rPr>
          <w:rFonts w:ascii="Times New Roman" w:hAnsi="Times New Roman"/>
          <w:szCs w:val="24"/>
          <w:lang w:val="bs-Latn-BA"/>
        </w:rPr>
        <w:t>,</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учествује</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у</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чланству</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Управног</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одбора</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пројекта</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Пружање</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помоћи</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угроженим</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женама</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и</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развој</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интегри</w:t>
      </w:r>
      <w:r w:rsidR="00CF6228">
        <w:rPr>
          <w:rFonts w:ascii="Times New Roman" w:eastAsiaTheme="minorHAnsi" w:hAnsi="Times New Roman"/>
          <w:szCs w:val="24"/>
          <w:lang w:val="sr-Cyrl-BA"/>
        </w:rPr>
        <w:t>с</w:t>
      </w:r>
      <w:r>
        <w:rPr>
          <w:rFonts w:ascii="Times New Roman" w:eastAsiaTheme="minorHAnsi" w:hAnsi="Times New Roman"/>
          <w:szCs w:val="24"/>
          <w:lang w:val="hr-HR"/>
        </w:rPr>
        <w:t>аних</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програма</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социјалне</w:t>
      </w:r>
      <w:r w:rsidR="002D1DC8" w:rsidRPr="00EC48AC">
        <w:rPr>
          <w:rFonts w:ascii="Times New Roman" w:eastAsiaTheme="minorHAnsi" w:hAnsi="Times New Roman"/>
          <w:szCs w:val="24"/>
          <w:lang w:val="hr-HR"/>
        </w:rPr>
        <w:t xml:space="preserve"> </w:t>
      </w:r>
      <w:r>
        <w:rPr>
          <w:rFonts w:ascii="Times New Roman" w:eastAsiaTheme="minorHAnsi" w:hAnsi="Times New Roman"/>
          <w:szCs w:val="24"/>
          <w:lang w:val="hr-HR"/>
        </w:rPr>
        <w:t>заштите</w:t>
      </w:r>
      <w:r w:rsidR="002D1DC8" w:rsidRPr="00EC48AC">
        <w:rPr>
          <w:rFonts w:ascii="Times New Roman" w:eastAsiaTheme="minorHAnsi" w:hAnsi="Times New Roman"/>
          <w:szCs w:val="24"/>
          <w:lang w:val="hr-HR"/>
        </w:rPr>
        <w:t>“ (</w:t>
      </w:r>
      <w:r w:rsidRPr="00CF6228">
        <w:rPr>
          <w:rFonts w:ascii="Times New Roman" w:eastAsiaTheme="minorHAnsi" w:hAnsi="Times New Roman"/>
          <w:i/>
          <w:szCs w:val="24"/>
          <w:lang w:val="hr-HR"/>
        </w:rPr>
        <w:t>Е</w:t>
      </w:r>
      <w:r w:rsidR="00CF6228" w:rsidRPr="00CF6228">
        <w:rPr>
          <w:rFonts w:ascii="Times New Roman" w:eastAsiaTheme="minorHAnsi" w:hAnsi="Times New Roman"/>
          <w:i/>
          <w:szCs w:val="24"/>
          <w:lang w:val="hr-HR"/>
        </w:rPr>
        <w:t>U4Inclusion</w:t>
      </w:r>
      <w:r w:rsidR="002D1DC8" w:rsidRPr="00EC48AC">
        <w:rPr>
          <w:rFonts w:ascii="Times New Roman" w:eastAsiaTheme="minorHAnsi" w:hAnsi="Times New Roman"/>
          <w:szCs w:val="24"/>
          <w:lang w:val="hr-HR"/>
        </w:rPr>
        <w:t xml:space="preserve">). </w:t>
      </w:r>
      <w:r>
        <w:rPr>
          <w:rFonts w:ascii="Times New Roman" w:hAnsi="Times New Roman"/>
          <w:szCs w:val="24"/>
          <w:lang w:val="bs-Latn-BA"/>
        </w:rPr>
        <w:t>Редовна</w:t>
      </w:r>
      <w:r w:rsidR="002D1DC8" w:rsidRPr="00EC48AC">
        <w:rPr>
          <w:rFonts w:ascii="Times New Roman" w:hAnsi="Times New Roman"/>
          <w:szCs w:val="24"/>
          <w:lang w:val="bs-Latn-BA"/>
        </w:rPr>
        <w:t xml:space="preserve"> </w:t>
      </w:r>
      <w:r>
        <w:rPr>
          <w:rFonts w:ascii="Times New Roman" w:hAnsi="Times New Roman"/>
          <w:szCs w:val="24"/>
          <w:lang w:val="bs-Latn-BA"/>
        </w:rPr>
        <w:t>сарадња</w:t>
      </w:r>
      <w:r w:rsidR="002D1DC8" w:rsidRPr="00EC48AC">
        <w:rPr>
          <w:rFonts w:ascii="Times New Roman" w:hAnsi="Times New Roman"/>
          <w:szCs w:val="24"/>
          <w:lang w:val="bs-Latn-BA"/>
        </w:rPr>
        <w:t xml:space="preserve"> </w:t>
      </w:r>
      <w:r>
        <w:rPr>
          <w:rFonts w:ascii="Times New Roman" w:hAnsi="Times New Roman"/>
          <w:szCs w:val="24"/>
          <w:lang w:val="bs-Latn-BA"/>
        </w:rPr>
        <w:t>на</w:t>
      </w:r>
      <w:r w:rsidR="002D1DC8" w:rsidRPr="00EC48AC">
        <w:rPr>
          <w:rFonts w:ascii="Times New Roman" w:hAnsi="Times New Roman"/>
          <w:szCs w:val="24"/>
          <w:lang w:val="bs-Latn-BA"/>
        </w:rPr>
        <w:t xml:space="preserve"> </w:t>
      </w:r>
      <w:r>
        <w:rPr>
          <w:rFonts w:ascii="Times New Roman" w:hAnsi="Times New Roman"/>
          <w:szCs w:val="24"/>
          <w:lang w:val="bs-Latn-BA"/>
        </w:rPr>
        <w:t>пројектима</w:t>
      </w:r>
      <w:r w:rsidR="002D1DC8" w:rsidRPr="00EC48AC">
        <w:rPr>
          <w:rFonts w:ascii="Times New Roman" w:hAnsi="Times New Roman"/>
          <w:szCs w:val="24"/>
          <w:lang w:val="bs-Latn-BA"/>
        </w:rPr>
        <w:t xml:space="preserve">, </w:t>
      </w:r>
      <w:r>
        <w:rPr>
          <w:rFonts w:ascii="Times New Roman" w:hAnsi="Times New Roman"/>
          <w:szCs w:val="24"/>
          <w:lang w:val="bs-Latn-BA"/>
        </w:rPr>
        <w:t>иницијативама</w:t>
      </w:r>
      <w:r w:rsidR="004B269F">
        <w:rPr>
          <w:rFonts w:ascii="Times New Roman" w:hAnsi="Times New Roman"/>
          <w:szCs w:val="24"/>
          <w:lang w:val="bs-Latn-BA"/>
        </w:rPr>
        <w:t xml:space="preserve"> </w:t>
      </w:r>
      <w:r>
        <w:rPr>
          <w:rFonts w:ascii="Times New Roman" w:hAnsi="Times New Roman"/>
          <w:szCs w:val="24"/>
          <w:lang w:val="bs-Latn-BA"/>
        </w:rPr>
        <w:t>и</w:t>
      </w:r>
      <w:r w:rsidR="004B269F">
        <w:rPr>
          <w:rFonts w:ascii="Times New Roman" w:hAnsi="Times New Roman"/>
          <w:szCs w:val="24"/>
          <w:lang w:val="bs-Latn-BA"/>
        </w:rPr>
        <w:t xml:space="preserve"> </w:t>
      </w:r>
      <w:r>
        <w:rPr>
          <w:rFonts w:ascii="Times New Roman" w:hAnsi="Times New Roman"/>
          <w:szCs w:val="24"/>
          <w:lang w:val="bs-Latn-BA"/>
        </w:rPr>
        <w:t>активностима</w:t>
      </w:r>
      <w:r w:rsidR="004B269F">
        <w:rPr>
          <w:rFonts w:ascii="Times New Roman" w:hAnsi="Times New Roman"/>
          <w:szCs w:val="24"/>
          <w:lang w:val="bs-Latn-BA"/>
        </w:rPr>
        <w:t xml:space="preserve"> </w:t>
      </w:r>
      <w:r>
        <w:rPr>
          <w:rFonts w:ascii="Times New Roman" w:hAnsi="Times New Roman"/>
          <w:szCs w:val="24"/>
          <w:lang w:val="bs-Latn-BA"/>
        </w:rPr>
        <w:t>остварена</w:t>
      </w:r>
      <w:r w:rsidR="004B269F">
        <w:rPr>
          <w:rFonts w:ascii="Times New Roman" w:hAnsi="Times New Roman"/>
          <w:szCs w:val="24"/>
          <w:lang w:val="bs-Latn-BA"/>
        </w:rPr>
        <w:t xml:space="preserve"> </w:t>
      </w:r>
      <w:r>
        <w:rPr>
          <w:rFonts w:ascii="Times New Roman" w:hAnsi="Times New Roman"/>
          <w:szCs w:val="24"/>
          <w:lang w:val="bs-Latn-BA"/>
        </w:rPr>
        <w:t>је</w:t>
      </w:r>
      <w:r w:rsidR="004B269F">
        <w:rPr>
          <w:rFonts w:ascii="Times New Roman" w:hAnsi="Times New Roman"/>
          <w:szCs w:val="24"/>
          <w:lang w:val="bs-Latn-BA"/>
        </w:rPr>
        <w:t xml:space="preserve"> </w:t>
      </w:r>
      <w:r>
        <w:rPr>
          <w:rFonts w:ascii="Times New Roman" w:hAnsi="Times New Roman"/>
          <w:szCs w:val="24"/>
          <w:lang w:val="bs-Latn-BA"/>
        </w:rPr>
        <w:t>са</w:t>
      </w:r>
      <w:r w:rsidR="002D1DC8" w:rsidRPr="00EC48AC">
        <w:rPr>
          <w:rFonts w:ascii="Times New Roman" w:hAnsi="Times New Roman"/>
          <w:szCs w:val="24"/>
          <w:lang w:val="bs-Latn-BA"/>
        </w:rPr>
        <w:t xml:space="preserve"> </w:t>
      </w:r>
      <w:r>
        <w:rPr>
          <w:rFonts w:ascii="Times New Roman" w:hAnsi="Times New Roman"/>
          <w:szCs w:val="24"/>
          <w:lang w:val="bs-Latn-BA"/>
        </w:rPr>
        <w:t>Фондацијом</w:t>
      </w:r>
      <w:r w:rsidR="002D1DC8" w:rsidRPr="00EC48AC">
        <w:rPr>
          <w:rFonts w:ascii="Times New Roman" w:hAnsi="Times New Roman"/>
          <w:szCs w:val="24"/>
          <w:lang w:val="bs-Latn-BA"/>
        </w:rPr>
        <w:t xml:space="preserve"> „</w:t>
      </w:r>
      <w:r>
        <w:rPr>
          <w:rFonts w:ascii="Times New Roman" w:hAnsi="Times New Roman"/>
          <w:szCs w:val="24"/>
          <w:lang w:val="bs-Latn-BA"/>
        </w:rPr>
        <w:t>Лара</w:t>
      </w:r>
      <w:r w:rsidR="004B269F">
        <w:rPr>
          <w:rFonts w:ascii="Times New Roman" w:hAnsi="Times New Roman"/>
          <w:szCs w:val="24"/>
          <w:lang w:val="bs-Latn-BA"/>
        </w:rPr>
        <w:t xml:space="preserve">“ </w:t>
      </w:r>
      <w:r>
        <w:rPr>
          <w:rFonts w:ascii="Times New Roman" w:hAnsi="Times New Roman"/>
          <w:szCs w:val="24"/>
          <w:lang w:val="bs-Latn-BA"/>
        </w:rPr>
        <w:t>Бијељина</w:t>
      </w:r>
      <w:r w:rsidR="004B269F">
        <w:rPr>
          <w:rFonts w:ascii="Times New Roman" w:hAnsi="Times New Roman"/>
          <w:szCs w:val="24"/>
          <w:lang w:val="bs-Latn-BA"/>
        </w:rPr>
        <w:t xml:space="preserve"> (</w:t>
      </w:r>
      <w:r>
        <w:rPr>
          <w:rFonts w:ascii="Times New Roman" w:hAnsi="Times New Roman"/>
          <w:szCs w:val="24"/>
          <w:lang w:val="bs-Latn-BA"/>
        </w:rPr>
        <w:t>иницијатива</w:t>
      </w:r>
      <w:r w:rsidR="004B269F">
        <w:rPr>
          <w:rFonts w:ascii="Times New Roman" w:hAnsi="Times New Roman"/>
          <w:szCs w:val="24"/>
          <w:lang w:val="bs-Latn-BA"/>
        </w:rPr>
        <w:t xml:space="preserve"> „</w:t>
      </w:r>
      <w:r>
        <w:rPr>
          <w:rFonts w:ascii="Times New Roman" w:hAnsi="Times New Roman"/>
          <w:szCs w:val="24"/>
          <w:lang w:val="bs-Latn-BA"/>
        </w:rPr>
        <w:t>Мир</w:t>
      </w:r>
      <w:r w:rsidR="004B269F">
        <w:rPr>
          <w:rFonts w:ascii="Times New Roman" w:hAnsi="Times New Roman"/>
          <w:szCs w:val="24"/>
          <w:lang w:val="bs-Latn-BA"/>
        </w:rPr>
        <w:t xml:space="preserve"> </w:t>
      </w:r>
      <w:r>
        <w:rPr>
          <w:rFonts w:ascii="Times New Roman" w:hAnsi="Times New Roman"/>
          <w:szCs w:val="24"/>
          <w:lang w:val="bs-Latn-BA"/>
        </w:rPr>
        <w:t>са</w:t>
      </w:r>
      <w:r w:rsidR="002D1DC8" w:rsidRPr="00EC48AC">
        <w:rPr>
          <w:rFonts w:ascii="Times New Roman" w:hAnsi="Times New Roman"/>
          <w:szCs w:val="24"/>
          <w:lang w:val="bs-Latn-BA"/>
        </w:rPr>
        <w:t xml:space="preserve"> </w:t>
      </w:r>
      <w:r>
        <w:rPr>
          <w:rFonts w:ascii="Times New Roman" w:hAnsi="Times New Roman"/>
          <w:szCs w:val="24"/>
          <w:lang w:val="bs-Latn-BA"/>
        </w:rPr>
        <w:t>женским</w:t>
      </w:r>
      <w:r w:rsidR="002D1DC8" w:rsidRPr="00EC48AC">
        <w:rPr>
          <w:rFonts w:ascii="Times New Roman" w:hAnsi="Times New Roman"/>
          <w:szCs w:val="24"/>
          <w:lang w:val="bs-Latn-BA"/>
        </w:rPr>
        <w:t xml:space="preserve"> </w:t>
      </w:r>
      <w:r>
        <w:rPr>
          <w:rFonts w:ascii="Times New Roman" w:hAnsi="Times New Roman"/>
          <w:szCs w:val="24"/>
          <w:lang w:val="bs-Latn-BA"/>
        </w:rPr>
        <w:t>лицем</w:t>
      </w:r>
      <w:r w:rsidR="002D1DC8" w:rsidRPr="00EC48AC">
        <w:rPr>
          <w:rFonts w:ascii="Times New Roman" w:hAnsi="Times New Roman"/>
          <w:szCs w:val="24"/>
          <w:lang w:val="bs-Latn-BA"/>
        </w:rPr>
        <w:t xml:space="preserve">“), </w:t>
      </w:r>
      <w:r>
        <w:rPr>
          <w:rFonts w:ascii="Times New Roman" w:hAnsi="Times New Roman"/>
          <w:szCs w:val="24"/>
          <w:lang w:val="bs-Latn-BA"/>
        </w:rPr>
        <w:t>Фондацијом</w:t>
      </w:r>
      <w:r w:rsidR="002D1DC8" w:rsidRPr="00EC48AC">
        <w:rPr>
          <w:rFonts w:ascii="Times New Roman" w:hAnsi="Times New Roman"/>
          <w:szCs w:val="24"/>
          <w:lang w:val="bs-Latn-BA"/>
        </w:rPr>
        <w:t xml:space="preserve"> </w:t>
      </w:r>
      <w:r>
        <w:rPr>
          <w:rFonts w:ascii="Times New Roman" w:hAnsi="Times New Roman"/>
          <w:szCs w:val="24"/>
          <w:lang w:val="bs-Latn-BA"/>
        </w:rPr>
        <w:t>локалне</w:t>
      </w:r>
      <w:r w:rsidR="002D1DC8" w:rsidRPr="00EC48AC">
        <w:rPr>
          <w:rFonts w:ascii="Times New Roman" w:hAnsi="Times New Roman"/>
          <w:szCs w:val="24"/>
          <w:lang w:val="bs-Latn-BA"/>
        </w:rPr>
        <w:t xml:space="preserve"> </w:t>
      </w:r>
      <w:r>
        <w:rPr>
          <w:rFonts w:ascii="Times New Roman" w:hAnsi="Times New Roman"/>
          <w:szCs w:val="24"/>
          <w:lang w:val="bs-Latn-BA"/>
        </w:rPr>
        <w:t>демократије</w:t>
      </w:r>
      <w:r w:rsidR="002D1DC8" w:rsidRPr="00EC48AC">
        <w:rPr>
          <w:rFonts w:ascii="Times New Roman" w:hAnsi="Times New Roman"/>
          <w:szCs w:val="24"/>
          <w:lang w:val="bs-Latn-BA"/>
        </w:rPr>
        <w:t xml:space="preserve"> </w:t>
      </w:r>
      <w:r>
        <w:rPr>
          <w:rFonts w:ascii="Times New Roman" w:hAnsi="Times New Roman"/>
          <w:szCs w:val="24"/>
          <w:lang w:val="bs-Latn-BA"/>
        </w:rPr>
        <w:t>Сарајево</w:t>
      </w:r>
      <w:r w:rsidR="002D1DC8" w:rsidRPr="00EC48AC">
        <w:rPr>
          <w:rFonts w:ascii="Times New Roman" w:hAnsi="Times New Roman"/>
          <w:szCs w:val="24"/>
          <w:lang w:val="bs-Latn-BA"/>
        </w:rPr>
        <w:t xml:space="preserve"> (</w:t>
      </w:r>
      <w:r>
        <w:rPr>
          <w:rFonts w:ascii="Times New Roman" w:hAnsi="Times New Roman"/>
          <w:szCs w:val="24"/>
          <w:lang w:val="bs-Latn-BA"/>
        </w:rPr>
        <w:t>подршка</w:t>
      </w:r>
      <w:r w:rsidR="002D1DC8" w:rsidRPr="00EC48AC">
        <w:rPr>
          <w:rFonts w:ascii="Times New Roman" w:hAnsi="Times New Roman"/>
          <w:szCs w:val="24"/>
          <w:lang w:val="bs-Latn-BA"/>
        </w:rPr>
        <w:t xml:space="preserve"> </w:t>
      </w:r>
      <w:r>
        <w:rPr>
          <w:rFonts w:ascii="Times New Roman" w:hAnsi="Times New Roman"/>
          <w:szCs w:val="24"/>
          <w:lang w:val="bs-Latn-BA"/>
        </w:rPr>
        <w:t>бранитељ</w:t>
      </w:r>
      <w:r w:rsidR="00EC3CBA">
        <w:rPr>
          <w:rFonts w:ascii="Times New Roman" w:hAnsi="Times New Roman"/>
          <w:szCs w:val="24"/>
          <w:lang w:val="sr-Cyrl-BA"/>
        </w:rPr>
        <w:t>кама</w:t>
      </w:r>
      <w:r w:rsidR="002D1DC8" w:rsidRPr="00EC48AC">
        <w:rPr>
          <w:rFonts w:ascii="Times New Roman" w:hAnsi="Times New Roman"/>
          <w:szCs w:val="24"/>
          <w:lang w:val="bs-Latn-BA"/>
        </w:rPr>
        <w:t xml:space="preserve"> </w:t>
      </w:r>
      <w:r>
        <w:rPr>
          <w:rFonts w:ascii="Times New Roman" w:hAnsi="Times New Roman"/>
          <w:szCs w:val="24"/>
          <w:lang w:val="bs-Latn-BA"/>
        </w:rPr>
        <w:t>људских</w:t>
      </w:r>
      <w:r w:rsidR="002D1DC8" w:rsidRPr="00EC48AC">
        <w:rPr>
          <w:rFonts w:ascii="Times New Roman" w:hAnsi="Times New Roman"/>
          <w:szCs w:val="24"/>
          <w:lang w:val="bs-Latn-BA"/>
        </w:rPr>
        <w:t xml:space="preserve"> </w:t>
      </w:r>
      <w:r>
        <w:rPr>
          <w:rFonts w:ascii="Times New Roman" w:hAnsi="Times New Roman"/>
          <w:szCs w:val="24"/>
          <w:lang w:val="bs-Latn-BA"/>
        </w:rPr>
        <w:t>права</w:t>
      </w:r>
      <w:r w:rsidR="002D1DC8" w:rsidRPr="00EC48AC">
        <w:rPr>
          <w:rFonts w:ascii="Times New Roman" w:hAnsi="Times New Roman"/>
          <w:szCs w:val="24"/>
          <w:lang w:val="bs-Latn-BA"/>
        </w:rPr>
        <w:t xml:space="preserve"> </w:t>
      </w:r>
      <w:r>
        <w:rPr>
          <w:rFonts w:ascii="Times New Roman" w:hAnsi="Times New Roman"/>
          <w:szCs w:val="24"/>
          <w:lang w:val="bs-Latn-BA"/>
        </w:rPr>
        <w:t>у</w:t>
      </w:r>
      <w:r w:rsidR="002D1DC8" w:rsidRPr="00EC48AC">
        <w:rPr>
          <w:rFonts w:ascii="Times New Roman" w:hAnsi="Times New Roman"/>
          <w:szCs w:val="24"/>
          <w:lang w:val="bs-Latn-BA"/>
        </w:rPr>
        <w:t xml:space="preserve"> </w:t>
      </w:r>
      <w:r>
        <w:rPr>
          <w:rFonts w:ascii="Times New Roman" w:hAnsi="Times New Roman"/>
          <w:szCs w:val="24"/>
          <w:lang w:val="bs-Latn-BA"/>
        </w:rPr>
        <w:t>БиХ</w:t>
      </w:r>
      <w:r w:rsidR="002D1DC8" w:rsidRPr="00EC48AC">
        <w:rPr>
          <w:rFonts w:ascii="Times New Roman" w:hAnsi="Times New Roman"/>
          <w:szCs w:val="24"/>
          <w:lang w:val="bs-Latn-BA"/>
        </w:rPr>
        <w:t xml:space="preserve">), </w:t>
      </w:r>
      <w:r>
        <w:rPr>
          <w:rFonts w:ascii="Times New Roman" w:hAnsi="Times New Roman"/>
          <w:szCs w:val="24"/>
          <w:lang w:val="bs-Latn-BA"/>
        </w:rPr>
        <w:t>итд</w:t>
      </w:r>
      <w:r w:rsidR="002D1DC8" w:rsidRPr="00EC48AC">
        <w:rPr>
          <w:rFonts w:ascii="Times New Roman" w:hAnsi="Times New Roman"/>
          <w:szCs w:val="24"/>
          <w:lang w:val="bs-Latn-BA"/>
        </w:rPr>
        <w:t>.</w:t>
      </w:r>
    </w:p>
    <w:p w:rsidR="004D7654" w:rsidRPr="00FE0A2C" w:rsidRDefault="004D7654" w:rsidP="0086268D">
      <w:pPr>
        <w:jc w:val="both"/>
        <w:rPr>
          <w:rFonts w:ascii="Times New Roman" w:eastAsiaTheme="minorHAnsi" w:hAnsi="Times New Roman"/>
          <w:sz w:val="22"/>
          <w:szCs w:val="24"/>
          <w:lang w:val="hr-HR"/>
        </w:rPr>
      </w:pPr>
    </w:p>
    <w:p w:rsidR="002D1DC8" w:rsidRDefault="00C6214E" w:rsidP="0086268D">
      <w:pPr>
        <w:jc w:val="both"/>
        <w:rPr>
          <w:rFonts w:ascii="Times New Roman" w:hAnsi="Times New Roman"/>
          <w:szCs w:val="24"/>
          <w:lang w:val="sr-Latn-BA" w:eastAsia="sr-Latn-BA"/>
        </w:rPr>
      </w:pPr>
      <w:r>
        <w:rPr>
          <w:rFonts w:ascii="Times New Roman" w:hAnsi="Times New Roman"/>
          <w:bCs/>
          <w:szCs w:val="24"/>
          <w:lang w:val="bs-Latn-BA"/>
        </w:rPr>
        <w:t>АР</w:t>
      </w:r>
      <w:r w:rsidR="00EC3CBA">
        <w:rPr>
          <w:rFonts w:ascii="Times New Roman" w:hAnsi="Times New Roman"/>
          <w:bCs/>
          <w:szCs w:val="24"/>
          <w:lang w:val="sr-Cyrl-BA"/>
        </w:rPr>
        <w:t>П</w:t>
      </w:r>
      <w:r w:rsidR="004B269F">
        <w:rPr>
          <w:rFonts w:ascii="Times New Roman" w:hAnsi="Times New Roman"/>
          <w:bCs/>
          <w:szCs w:val="24"/>
          <w:lang w:val="bs-Latn-BA"/>
        </w:rPr>
        <w:t xml:space="preserve"> </w:t>
      </w:r>
      <w:r>
        <w:rPr>
          <w:rFonts w:ascii="Times New Roman" w:hAnsi="Times New Roman"/>
          <w:bCs/>
          <w:szCs w:val="24"/>
          <w:lang w:val="bs-Latn-BA"/>
        </w:rPr>
        <w:t>БиХ</w:t>
      </w:r>
      <w:r w:rsidR="002D1DC8" w:rsidRPr="00295637">
        <w:rPr>
          <w:rFonts w:ascii="Times New Roman" w:hAnsi="Times New Roman"/>
          <w:bCs/>
          <w:szCs w:val="24"/>
          <w:lang w:val="bs-Latn-BA"/>
        </w:rPr>
        <w:t xml:space="preserve"> </w:t>
      </w:r>
      <w:r>
        <w:rPr>
          <w:rFonts w:ascii="Times New Roman" w:hAnsi="Times New Roman"/>
          <w:bCs/>
          <w:szCs w:val="24"/>
          <w:lang w:val="bs-Latn-BA"/>
        </w:rPr>
        <w:t>МЉПИ</w:t>
      </w:r>
      <w:r w:rsidR="004B269F">
        <w:rPr>
          <w:rFonts w:ascii="Times New Roman" w:hAnsi="Times New Roman"/>
          <w:bCs/>
          <w:szCs w:val="24"/>
          <w:lang w:val="bs-Latn-BA"/>
        </w:rPr>
        <w:t xml:space="preserve"> </w:t>
      </w:r>
      <w:r>
        <w:rPr>
          <w:rFonts w:ascii="Times New Roman" w:hAnsi="Times New Roman"/>
          <w:bCs/>
          <w:szCs w:val="24"/>
          <w:lang w:val="bs-Latn-BA"/>
        </w:rPr>
        <w:t>БиХ</w:t>
      </w:r>
      <w:r w:rsidR="004B269F">
        <w:rPr>
          <w:rFonts w:ascii="Times New Roman" w:hAnsi="Times New Roman"/>
          <w:bCs/>
          <w:szCs w:val="24"/>
          <w:lang w:val="bs-Latn-BA"/>
        </w:rPr>
        <w:t>,</w:t>
      </w:r>
      <w:r w:rsidR="002D1DC8" w:rsidRPr="00295637">
        <w:rPr>
          <w:rFonts w:ascii="Times New Roman" w:hAnsi="Times New Roman"/>
          <w:bCs/>
          <w:szCs w:val="24"/>
          <w:lang w:val="bs-Latn-BA"/>
        </w:rPr>
        <w:t xml:space="preserve"> </w:t>
      </w:r>
      <w:r>
        <w:rPr>
          <w:rFonts w:ascii="Times New Roman" w:hAnsi="Times New Roman"/>
          <w:bCs/>
          <w:szCs w:val="24"/>
          <w:lang w:val="bs-Latn-BA"/>
        </w:rPr>
        <w:t>ГЦ</w:t>
      </w:r>
      <w:r w:rsidR="004B269F">
        <w:rPr>
          <w:rFonts w:ascii="Times New Roman" w:hAnsi="Times New Roman"/>
          <w:bCs/>
          <w:szCs w:val="24"/>
          <w:lang w:val="bs-Latn-BA"/>
        </w:rPr>
        <w:t xml:space="preserve"> </w:t>
      </w:r>
      <w:r>
        <w:rPr>
          <w:rFonts w:ascii="Times New Roman" w:hAnsi="Times New Roman"/>
          <w:bCs/>
          <w:szCs w:val="24"/>
          <w:lang w:val="bs-Latn-BA"/>
        </w:rPr>
        <w:t>ФБиХ</w:t>
      </w:r>
      <w:r w:rsidR="002D1DC8" w:rsidRPr="00295637">
        <w:rPr>
          <w:rFonts w:ascii="Times New Roman" w:hAnsi="Times New Roman"/>
          <w:bCs/>
          <w:szCs w:val="24"/>
          <w:lang w:val="bs-Latn-BA"/>
        </w:rPr>
        <w:t xml:space="preserve"> </w:t>
      </w:r>
      <w:r>
        <w:rPr>
          <w:rFonts w:ascii="Times New Roman" w:hAnsi="Times New Roman"/>
          <w:bCs/>
          <w:szCs w:val="24"/>
          <w:lang w:val="bs-Latn-BA"/>
        </w:rPr>
        <w:t>и</w:t>
      </w:r>
      <w:r w:rsidR="002D1DC8" w:rsidRPr="00295637">
        <w:rPr>
          <w:rFonts w:ascii="Times New Roman" w:hAnsi="Times New Roman"/>
          <w:bCs/>
          <w:szCs w:val="24"/>
          <w:lang w:val="bs-Latn-BA"/>
        </w:rPr>
        <w:t xml:space="preserve"> </w:t>
      </w:r>
      <w:r>
        <w:rPr>
          <w:rFonts w:ascii="Times New Roman" w:hAnsi="Times New Roman"/>
          <w:bCs/>
          <w:szCs w:val="24"/>
          <w:lang w:val="bs-Latn-BA"/>
        </w:rPr>
        <w:t>ЦЈРП</w:t>
      </w:r>
      <w:r w:rsidR="002D1DC8" w:rsidRPr="00295637">
        <w:rPr>
          <w:rFonts w:ascii="Times New Roman" w:hAnsi="Times New Roman"/>
          <w:bCs/>
          <w:szCs w:val="24"/>
          <w:lang w:val="bs-Latn-BA"/>
        </w:rPr>
        <w:t xml:space="preserve"> </w:t>
      </w:r>
      <w:r>
        <w:rPr>
          <w:rFonts w:ascii="Times New Roman" w:hAnsi="Times New Roman"/>
          <w:bCs/>
          <w:szCs w:val="24"/>
          <w:lang w:val="bs-Latn-BA"/>
        </w:rPr>
        <w:t>РС</w:t>
      </w:r>
      <w:r w:rsidR="002D1DC8" w:rsidRPr="00295637">
        <w:rPr>
          <w:rFonts w:ascii="Times New Roman" w:hAnsi="Times New Roman"/>
          <w:bCs/>
          <w:szCs w:val="24"/>
          <w:lang w:val="bs-Latn-BA"/>
        </w:rPr>
        <w:t xml:space="preserve"> </w:t>
      </w:r>
      <w:r>
        <w:rPr>
          <w:rFonts w:ascii="Times New Roman" w:hAnsi="Times New Roman"/>
          <w:bCs/>
          <w:szCs w:val="24"/>
          <w:lang w:val="bs-Latn-BA"/>
        </w:rPr>
        <w:t>остварили</w:t>
      </w:r>
      <w:r w:rsidR="002D1DC8" w:rsidRPr="00295637">
        <w:rPr>
          <w:rFonts w:ascii="Times New Roman" w:hAnsi="Times New Roman"/>
          <w:bCs/>
          <w:szCs w:val="24"/>
          <w:lang w:val="bs-Latn-BA"/>
        </w:rPr>
        <w:t xml:space="preserve"> </w:t>
      </w:r>
      <w:r>
        <w:rPr>
          <w:rFonts w:ascii="Times New Roman" w:hAnsi="Times New Roman"/>
          <w:bCs/>
          <w:szCs w:val="24"/>
          <w:lang w:val="bs-Latn-BA"/>
        </w:rPr>
        <w:t>су</w:t>
      </w:r>
      <w:r w:rsidR="004B269F" w:rsidRPr="00295637">
        <w:rPr>
          <w:rFonts w:ascii="Times New Roman" w:hAnsi="Times New Roman"/>
          <w:bCs/>
          <w:szCs w:val="24"/>
          <w:lang w:val="bs-Latn-BA"/>
        </w:rPr>
        <w:t xml:space="preserve"> </w:t>
      </w:r>
      <w:r>
        <w:rPr>
          <w:rFonts w:ascii="Times New Roman" w:hAnsi="Times New Roman"/>
          <w:bCs/>
          <w:szCs w:val="24"/>
          <w:lang w:val="bs-Latn-BA"/>
        </w:rPr>
        <w:t>сарадњу</w:t>
      </w:r>
      <w:r w:rsidR="004B269F">
        <w:rPr>
          <w:rFonts w:ascii="Times New Roman" w:hAnsi="Times New Roman"/>
          <w:bCs/>
          <w:szCs w:val="24"/>
          <w:lang w:val="bs-Latn-BA"/>
        </w:rPr>
        <w:t xml:space="preserve"> </w:t>
      </w:r>
      <w:r>
        <w:rPr>
          <w:rFonts w:ascii="Times New Roman" w:hAnsi="Times New Roman"/>
          <w:bCs/>
          <w:szCs w:val="24"/>
          <w:lang w:val="bs-Latn-BA"/>
        </w:rPr>
        <w:t>са</w:t>
      </w:r>
      <w:r w:rsidR="002D1DC8" w:rsidRPr="00295637">
        <w:rPr>
          <w:rFonts w:ascii="Times New Roman" w:hAnsi="Times New Roman"/>
          <w:bCs/>
          <w:szCs w:val="24"/>
          <w:lang w:val="bs-Latn-BA"/>
        </w:rPr>
        <w:t xml:space="preserve"> </w:t>
      </w:r>
      <w:r>
        <w:rPr>
          <w:rFonts w:ascii="Times New Roman" w:hAnsi="Times New Roman"/>
          <w:bCs/>
          <w:szCs w:val="24"/>
          <w:lang w:val="bs-Latn-BA"/>
        </w:rPr>
        <w:t>пројектом</w:t>
      </w:r>
      <w:r w:rsidR="002D1DC8" w:rsidRPr="00295637">
        <w:rPr>
          <w:rFonts w:ascii="Times New Roman" w:hAnsi="Times New Roman"/>
          <w:bCs/>
          <w:szCs w:val="24"/>
          <w:lang w:val="bs-Latn-BA"/>
        </w:rPr>
        <w:t xml:space="preserve"> </w:t>
      </w:r>
      <w:r>
        <w:rPr>
          <w:rFonts w:ascii="Times New Roman" w:hAnsi="Times New Roman"/>
          <w:bCs/>
          <w:szCs w:val="24"/>
          <w:lang w:val="bs-Latn-BA"/>
        </w:rPr>
        <w:t>који</w:t>
      </w:r>
      <w:r w:rsidR="002D1DC8" w:rsidRPr="00295637">
        <w:rPr>
          <w:rFonts w:ascii="Times New Roman" w:hAnsi="Times New Roman"/>
          <w:bCs/>
          <w:szCs w:val="24"/>
          <w:lang w:val="bs-Latn-BA"/>
        </w:rPr>
        <w:t xml:space="preserve"> </w:t>
      </w:r>
      <w:r>
        <w:rPr>
          <w:rFonts w:ascii="Times New Roman" w:hAnsi="Times New Roman"/>
          <w:bCs/>
          <w:szCs w:val="24"/>
          <w:lang w:val="bs-Latn-BA"/>
        </w:rPr>
        <w:t>је</w:t>
      </w:r>
      <w:r w:rsidR="002D1DC8" w:rsidRPr="00295637">
        <w:rPr>
          <w:rFonts w:ascii="Times New Roman" w:hAnsi="Times New Roman"/>
          <w:bCs/>
          <w:szCs w:val="24"/>
          <w:lang w:val="bs-Latn-BA"/>
        </w:rPr>
        <w:t xml:space="preserve"> </w:t>
      </w:r>
      <w:r>
        <w:rPr>
          <w:rFonts w:ascii="Times New Roman" w:hAnsi="Times New Roman"/>
          <w:bCs/>
          <w:szCs w:val="24"/>
          <w:lang w:val="bs-Latn-BA"/>
        </w:rPr>
        <w:t>усмјерен</w:t>
      </w:r>
      <w:r w:rsidR="002D1DC8" w:rsidRPr="00295637">
        <w:rPr>
          <w:rFonts w:ascii="Times New Roman" w:hAnsi="Times New Roman"/>
          <w:bCs/>
          <w:szCs w:val="24"/>
          <w:lang w:val="bs-Latn-BA"/>
        </w:rPr>
        <w:t xml:space="preserve"> </w:t>
      </w:r>
      <w:r>
        <w:rPr>
          <w:rFonts w:ascii="Times New Roman" w:hAnsi="Times New Roman"/>
          <w:bCs/>
          <w:szCs w:val="24"/>
          <w:lang w:val="bs-Latn-BA"/>
        </w:rPr>
        <w:t>на</w:t>
      </w:r>
      <w:r w:rsidR="002D1DC8" w:rsidRPr="00295637">
        <w:rPr>
          <w:rFonts w:ascii="Times New Roman" w:hAnsi="Times New Roman"/>
          <w:bCs/>
          <w:szCs w:val="24"/>
          <w:lang w:val="bs-Latn-BA"/>
        </w:rPr>
        <w:t xml:space="preserve"> </w:t>
      </w:r>
      <w:r>
        <w:rPr>
          <w:rFonts w:ascii="Times New Roman" w:hAnsi="Times New Roman"/>
          <w:bCs/>
          <w:szCs w:val="24"/>
          <w:lang w:val="bs-Latn-BA"/>
        </w:rPr>
        <w:t>стварање</w:t>
      </w:r>
      <w:r w:rsidR="002D1DC8" w:rsidRPr="00295637">
        <w:rPr>
          <w:rFonts w:ascii="Times New Roman" w:hAnsi="Times New Roman"/>
          <w:bCs/>
          <w:szCs w:val="24"/>
          <w:lang w:val="bs-Latn-BA"/>
        </w:rPr>
        <w:t xml:space="preserve"> </w:t>
      </w:r>
      <w:r>
        <w:rPr>
          <w:rFonts w:ascii="Times New Roman" w:hAnsi="Times New Roman"/>
          <w:bCs/>
          <w:szCs w:val="24"/>
          <w:lang w:val="bs-Latn-BA"/>
        </w:rPr>
        <w:t>праведнијег</w:t>
      </w:r>
      <w:r w:rsidR="002D1DC8" w:rsidRPr="00295637">
        <w:rPr>
          <w:rFonts w:ascii="Times New Roman" w:hAnsi="Times New Roman"/>
          <w:bCs/>
          <w:szCs w:val="24"/>
          <w:lang w:val="bs-Latn-BA"/>
        </w:rPr>
        <w:t xml:space="preserve"> </w:t>
      </w:r>
      <w:r>
        <w:rPr>
          <w:rFonts w:ascii="Times New Roman" w:hAnsi="Times New Roman"/>
          <w:bCs/>
          <w:szCs w:val="24"/>
          <w:lang w:val="bs-Latn-BA"/>
        </w:rPr>
        <w:t>и</w:t>
      </w:r>
      <w:r w:rsidR="002D1DC8" w:rsidRPr="00295637">
        <w:rPr>
          <w:rFonts w:ascii="Times New Roman" w:hAnsi="Times New Roman"/>
          <w:bCs/>
          <w:szCs w:val="24"/>
          <w:lang w:val="bs-Latn-BA"/>
        </w:rPr>
        <w:t xml:space="preserve"> </w:t>
      </w:r>
      <w:r>
        <w:rPr>
          <w:rFonts w:ascii="Times New Roman" w:hAnsi="Times New Roman"/>
          <w:bCs/>
          <w:szCs w:val="24"/>
          <w:lang w:val="bs-Latn-BA"/>
        </w:rPr>
        <w:t>инклузивнијег</w:t>
      </w:r>
      <w:r w:rsidR="002D1DC8" w:rsidRPr="00295637">
        <w:rPr>
          <w:rFonts w:ascii="Times New Roman" w:hAnsi="Times New Roman"/>
          <w:bCs/>
          <w:szCs w:val="24"/>
          <w:lang w:val="bs-Latn-BA"/>
        </w:rPr>
        <w:t xml:space="preserve"> </w:t>
      </w:r>
      <w:r>
        <w:rPr>
          <w:rFonts w:ascii="Times New Roman" w:hAnsi="Times New Roman"/>
          <w:bCs/>
          <w:szCs w:val="24"/>
          <w:lang w:val="bs-Latn-BA"/>
        </w:rPr>
        <w:t>тржишта</w:t>
      </w:r>
      <w:r w:rsidR="002D1DC8" w:rsidRPr="00295637">
        <w:rPr>
          <w:rFonts w:ascii="Times New Roman" w:hAnsi="Times New Roman"/>
          <w:bCs/>
          <w:szCs w:val="24"/>
          <w:lang w:val="bs-Latn-BA"/>
        </w:rPr>
        <w:t xml:space="preserve"> </w:t>
      </w:r>
      <w:r>
        <w:rPr>
          <w:rFonts w:ascii="Times New Roman" w:hAnsi="Times New Roman"/>
          <w:bCs/>
          <w:szCs w:val="24"/>
          <w:lang w:val="bs-Latn-BA"/>
        </w:rPr>
        <w:t>рада</w:t>
      </w:r>
      <w:r w:rsidR="002D1DC8" w:rsidRPr="00295637">
        <w:rPr>
          <w:rFonts w:ascii="Times New Roman" w:hAnsi="Times New Roman"/>
          <w:bCs/>
          <w:szCs w:val="24"/>
          <w:lang w:val="bs-Latn-BA"/>
        </w:rPr>
        <w:t xml:space="preserve"> </w:t>
      </w:r>
      <w:r>
        <w:rPr>
          <w:rFonts w:ascii="Times New Roman" w:hAnsi="Times New Roman"/>
          <w:bCs/>
          <w:szCs w:val="24"/>
          <w:lang w:val="bs-Latn-BA"/>
        </w:rPr>
        <w:t>за</w:t>
      </w:r>
      <w:r w:rsidR="002D1DC8" w:rsidRPr="00295637">
        <w:rPr>
          <w:rFonts w:ascii="Times New Roman" w:hAnsi="Times New Roman"/>
          <w:bCs/>
          <w:szCs w:val="24"/>
          <w:lang w:val="bs-Latn-BA"/>
        </w:rPr>
        <w:t xml:space="preserve"> </w:t>
      </w:r>
      <w:r>
        <w:rPr>
          <w:rFonts w:ascii="Times New Roman" w:hAnsi="Times New Roman"/>
          <w:bCs/>
          <w:szCs w:val="24"/>
          <w:lang w:val="bs-Latn-BA"/>
        </w:rPr>
        <w:t>све</w:t>
      </w:r>
      <w:r w:rsidR="002D1DC8" w:rsidRPr="00295637">
        <w:rPr>
          <w:rFonts w:ascii="Times New Roman" w:hAnsi="Times New Roman"/>
          <w:bCs/>
          <w:szCs w:val="24"/>
          <w:lang w:val="bs-Latn-BA"/>
        </w:rPr>
        <w:t xml:space="preserve"> </w:t>
      </w:r>
      <w:r>
        <w:rPr>
          <w:rFonts w:ascii="Times New Roman" w:hAnsi="Times New Roman"/>
          <w:bCs/>
          <w:szCs w:val="24"/>
          <w:lang w:val="bs-Latn-BA"/>
        </w:rPr>
        <w:t>грађане</w:t>
      </w:r>
      <w:r w:rsidR="006900B2">
        <w:rPr>
          <w:rFonts w:ascii="Times New Roman" w:hAnsi="Times New Roman"/>
          <w:bCs/>
          <w:szCs w:val="24"/>
          <w:lang w:val="bs-Latn-BA"/>
        </w:rPr>
        <w:t xml:space="preserve"> </w:t>
      </w:r>
      <w:r>
        <w:rPr>
          <w:rFonts w:ascii="Times New Roman" w:hAnsi="Times New Roman"/>
          <w:bCs/>
          <w:szCs w:val="24"/>
          <w:lang w:val="bs-Latn-BA"/>
        </w:rPr>
        <w:t>БиХ</w:t>
      </w:r>
      <w:r w:rsidR="004B269F">
        <w:rPr>
          <w:rFonts w:ascii="Times New Roman" w:hAnsi="Times New Roman"/>
          <w:bCs/>
          <w:szCs w:val="24"/>
          <w:lang w:val="bs-Latn-BA"/>
        </w:rPr>
        <w:t xml:space="preserve">. </w:t>
      </w:r>
      <w:r>
        <w:rPr>
          <w:rFonts w:ascii="Times New Roman" w:hAnsi="Times New Roman"/>
          <w:bCs/>
          <w:szCs w:val="24"/>
          <w:lang w:val="bs-Latn-BA"/>
        </w:rPr>
        <w:t>Пројекат</w:t>
      </w:r>
      <w:r w:rsidR="002D1DC8" w:rsidRPr="00295637">
        <w:rPr>
          <w:rFonts w:ascii="Times New Roman" w:hAnsi="Times New Roman"/>
          <w:bCs/>
          <w:szCs w:val="24"/>
          <w:lang w:val="bs-Latn-BA"/>
        </w:rPr>
        <w:t xml:space="preserve"> </w:t>
      </w:r>
      <w:r>
        <w:rPr>
          <w:rFonts w:ascii="Times New Roman" w:hAnsi="Times New Roman"/>
          <w:bCs/>
          <w:szCs w:val="24"/>
          <w:lang w:val="bs-Latn-BA"/>
        </w:rPr>
        <w:t>је</w:t>
      </w:r>
      <w:r w:rsidR="002D1DC8" w:rsidRPr="00295637">
        <w:rPr>
          <w:rFonts w:ascii="Times New Roman" w:hAnsi="Times New Roman"/>
          <w:bCs/>
          <w:szCs w:val="24"/>
          <w:lang w:val="bs-Latn-BA"/>
        </w:rPr>
        <w:t xml:space="preserve"> </w:t>
      </w:r>
      <w:r>
        <w:rPr>
          <w:rFonts w:ascii="Times New Roman" w:hAnsi="Times New Roman"/>
          <w:bCs/>
          <w:szCs w:val="24"/>
          <w:lang w:val="bs-Latn-BA"/>
        </w:rPr>
        <w:t>финан</w:t>
      </w:r>
      <w:r w:rsidR="00EC3CBA">
        <w:rPr>
          <w:rFonts w:ascii="Times New Roman" w:hAnsi="Times New Roman"/>
          <w:bCs/>
          <w:szCs w:val="24"/>
          <w:lang w:val="sr-Cyrl-BA"/>
        </w:rPr>
        <w:t>с</w:t>
      </w:r>
      <w:r>
        <w:rPr>
          <w:rFonts w:ascii="Times New Roman" w:hAnsi="Times New Roman"/>
          <w:bCs/>
          <w:szCs w:val="24"/>
          <w:lang w:val="bs-Latn-BA"/>
        </w:rPr>
        <w:t>иран</w:t>
      </w:r>
      <w:r w:rsidR="002D1DC8" w:rsidRPr="00295637">
        <w:rPr>
          <w:rFonts w:ascii="Times New Roman" w:hAnsi="Times New Roman"/>
          <w:bCs/>
          <w:szCs w:val="24"/>
          <w:lang w:val="bs-Latn-BA"/>
        </w:rPr>
        <w:t xml:space="preserve"> </w:t>
      </w:r>
      <w:r>
        <w:rPr>
          <w:rFonts w:ascii="Times New Roman" w:hAnsi="Times New Roman"/>
          <w:bCs/>
          <w:szCs w:val="24"/>
          <w:lang w:val="bs-Latn-BA"/>
        </w:rPr>
        <w:t>од</w:t>
      </w:r>
      <w:r w:rsidR="002D1DC8" w:rsidRPr="00295637">
        <w:rPr>
          <w:rFonts w:ascii="Times New Roman" w:hAnsi="Times New Roman"/>
          <w:bCs/>
          <w:szCs w:val="24"/>
          <w:lang w:val="bs-Latn-BA"/>
        </w:rPr>
        <w:t xml:space="preserve"> </w:t>
      </w:r>
      <w:r>
        <w:rPr>
          <w:rFonts w:ascii="Times New Roman" w:hAnsi="Times New Roman"/>
          <w:bCs/>
          <w:szCs w:val="24"/>
          <w:lang w:val="bs-Latn-BA"/>
        </w:rPr>
        <w:t>стране</w:t>
      </w:r>
      <w:r w:rsidR="002D1DC8" w:rsidRPr="00295637">
        <w:rPr>
          <w:rFonts w:ascii="Times New Roman" w:hAnsi="Times New Roman"/>
          <w:bCs/>
          <w:szCs w:val="24"/>
          <w:lang w:val="bs-Latn-BA"/>
        </w:rPr>
        <w:t xml:space="preserve"> </w:t>
      </w:r>
      <w:r>
        <w:rPr>
          <w:rFonts w:ascii="Times New Roman" w:hAnsi="Times New Roman"/>
          <w:bCs/>
          <w:szCs w:val="24"/>
          <w:lang w:val="bs-Latn-BA"/>
        </w:rPr>
        <w:t>Европске</w:t>
      </w:r>
      <w:r w:rsidR="002D1DC8" w:rsidRPr="00295637">
        <w:rPr>
          <w:rFonts w:ascii="Times New Roman" w:hAnsi="Times New Roman"/>
          <w:bCs/>
          <w:szCs w:val="24"/>
          <w:lang w:val="bs-Latn-BA"/>
        </w:rPr>
        <w:t xml:space="preserve"> </w:t>
      </w:r>
      <w:r>
        <w:rPr>
          <w:rFonts w:ascii="Times New Roman" w:hAnsi="Times New Roman"/>
          <w:bCs/>
          <w:szCs w:val="24"/>
          <w:lang w:val="bs-Latn-BA"/>
        </w:rPr>
        <w:t>уније</w:t>
      </w:r>
      <w:r w:rsidR="004B269F">
        <w:rPr>
          <w:rFonts w:ascii="Times New Roman" w:hAnsi="Times New Roman"/>
          <w:bCs/>
          <w:szCs w:val="24"/>
          <w:lang w:val="bs-Latn-BA"/>
        </w:rPr>
        <w:t>,</w:t>
      </w:r>
      <w:r w:rsidR="002D1DC8" w:rsidRPr="00295637">
        <w:rPr>
          <w:rFonts w:ascii="Times New Roman" w:hAnsi="Times New Roman"/>
          <w:bCs/>
          <w:szCs w:val="24"/>
          <w:lang w:val="bs-Latn-BA"/>
        </w:rPr>
        <w:t xml:space="preserve"> </w:t>
      </w:r>
      <w:r>
        <w:rPr>
          <w:rFonts w:ascii="Times New Roman" w:hAnsi="Times New Roman"/>
          <w:bCs/>
          <w:szCs w:val="24"/>
          <w:lang w:val="bs-Latn-BA"/>
        </w:rPr>
        <w:t>а</w:t>
      </w:r>
      <w:r w:rsidR="002D1DC8" w:rsidRPr="00295637">
        <w:rPr>
          <w:rFonts w:ascii="Times New Roman" w:hAnsi="Times New Roman"/>
          <w:bCs/>
          <w:szCs w:val="24"/>
          <w:lang w:val="bs-Latn-BA"/>
        </w:rPr>
        <w:t xml:space="preserve"> </w:t>
      </w:r>
      <w:r>
        <w:rPr>
          <w:rFonts w:ascii="Times New Roman" w:hAnsi="Times New Roman"/>
          <w:bCs/>
          <w:szCs w:val="24"/>
          <w:lang w:val="bs-Latn-BA"/>
        </w:rPr>
        <w:t>проводе</w:t>
      </w:r>
      <w:r w:rsidR="002D1DC8" w:rsidRPr="00295637">
        <w:rPr>
          <w:rFonts w:ascii="Times New Roman" w:hAnsi="Times New Roman"/>
          <w:bCs/>
          <w:szCs w:val="24"/>
          <w:lang w:val="bs-Latn-BA"/>
        </w:rPr>
        <w:t xml:space="preserve"> </w:t>
      </w:r>
      <w:r>
        <w:rPr>
          <w:rFonts w:ascii="Times New Roman" w:hAnsi="Times New Roman"/>
          <w:bCs/>
          <w:szCs w:val="24"/>
          <w:lang w:val="bs-Latn-BA"/>
        </w:rPr>
        <w:t>га</w:t>
      </w:r>
      <w:r w:rsidR="002D1DC8" w:rsidRPr="00295637">
        <w:rPr>
          <w:rFonts w:ascii="Times New Roman" w:hAnsi="Times New Roman"/>
          <w:bCs/>
          <w:szCs w:val="24"/>
          <w:lang w:val="bs-Latn-BA"/>
        </w:rPr>
        <w:t xml:space="preserve"> </w:t>
      </w:r>
      <w:r>
        <w:rPr>
          <w:rFonts w:ascii="Times New Roman" w:hAnsi="Times New Roman"/>
          <w:bCs/>
          <w:szCs w:val="24"/>
          <w:lang w:val="bs-Latn-BA"/>
        </w:rPr>
        <w:t>Фондација</w:t>
      </w:r>
      <w:r w:rsidR="002D1DC8" w:rsidRPr="00295637">
        <w:rPr>
          <w:rFonts w:ascii="Times New Roman" w:hAnsi="Times New Roman"/>
          <w:bCs/>
          <w:szCs w:val="24"/>
          <w:lang w:val="bs-Latn-BA"/>
        </w:rPr>
        <w:t xml:space="preserve"> „</w:t>
      </w:r>
      <w:r w:rsidR="00EC3CBA" w:rsidRPr="00EC3CBA">
        <w:rPr>
          <w:rFonts w:ascii="Times New Roman" w:hAnsi="Times New Roman"/>
          <w:bCs/>
          <w:szCs w:val="24"/>
          <w:lang w:val="bs-Latn-BA"/>
        </w:rPr>
        <w:t>Infohouse</w:t>
      </w:r>
      <w:r w:rsidR="002D1DC8" w:rsidRPr="00295637">
        <w:rPr>
          <w:rFonts w:ascii="Times New Roman" w:hAnsi="Times New Roman"/>
          <w:bCs/>
          <w:szCs w:val="24"/>
          <w:lang w:val="bs-Latn-BA"/>
        </w:rPr>
        <w:t xml:space="preserve">“ </w:t>
      </w:r>
      <w:r>
        <w:rPr>
          <w:rFonts w:ascii="Times New Roman" w:hAnsi="Times New Roman"/>
          <w:bCs/>
          <w:szCs w:val="24"/>
          <w:lang w:val="bs-Latn-BA"/>
        </w:rPr>
        <w:t>из</w:t>
      </w:r>
      <w:r w:rsidR="002D1DC8" w:rsidRPr="00295637">
        <w:rPr>
          <w:rFonts w:ascii="Times New Roman" w:hAnsi="Times New Roman"/>
          <w:bCs/>
          <w:szCs w:val="24"/>
          <w:lang w:val="bs-Latn-BA"/>
        </w:rPr>
        <w:t xml:space="preserve"> </w:t>
      </w:r>
      <w:r>
        <w:rPr>
          <w:rFonts w:ascii="Times New Roman" w:hAnsi="Times New Roman"/>
          <w:bCs/>
          <w:szCs w:val="24"/>
          <w:lang w:val="bs-Latn-BA"/>
        </w:rPr>
        <w:t>Сарајева</w:t>
      </w:r>
      <w:r w:rsidR="002D1DC8" w:rsidRPr="00295637">
        <w:rPr>
          <w:rFonts w:ascii="Times New Roman" w:hAnsi="Times New Roman"/>
          <w:bCs/>
          <w:szCs w:val="24"/>
          <w:lang w:val="bs-Latn-BA"/>
        </w:rPr>
        <w:t xml:space="preserve"> </w:t>
      </w:r>
      <w:r>
        <w:rPr>
          <w:rFonts w:ascii="Times New Roman" w:hAnsi="Times New Roman"/>
          <w:bCs/>
          <w:szCs w:val="24"/>
          <w:lang w:val="bs-Latn-BA"/>
        </w:rPr>
        <w:t>и</w:t>
      </w:r>
      <w:r w:rsidR="002D1DC8" w:rsidRPr="00295637">
        <w:rPr>
          <w:rFonts w:ascii="Times New Roman" w:hAnsi="Times New Roman"/>
          <w:bCs/>
          <w:szCs w:val="24"/>
          <w:lang w:val="bs-Latn-BA"/>
        </w:rPr>
        <w:t xml:space="preserve"> </w:t>
      </w:r>
      <w:r>
        <w:rPr>
          <w:rFonts w:ascii="Times New Roman" w:hAnsi="Times New Roman"/>
          <w:bCs/>
          <w:szCs w:val="24"/>
          <w:lang w:val="bs-Latn-BA"/>
        </w:rPr>
        <w:t>Фондација</w:t>
      </w:r>
      <w:r w:rsidR="002D1DC8" w:rsidRPr="00295637">
        <w:rPr>
          <w:rFonts w:ascii="Times New Roman" w:hAnsi="Times New Roman"/>
          <w:bCs/>
          <w:szCs w:val="24"/>
          <w:lang w:val="bs-Latn-BA"/>
        </w:rPr>
        <w:t xml:space="preserve"> „</w:t>
      </w:r>
      <w:r>
        <w:rPr>
          <w:rFonts w:ascii="Times New Roman" w:hAnsi="Times New Roman"/>
          <w:bCs/>
          <w:szCs w:val="24"/>
          <w:lang w:val="bs-Latn-BA"/>
        </w:rPr>
        <w:t>Л</w:t>
      </w:r>
      <w:r w:rsidR="00EC3CBA">
        <w:rPr>
          <w:rFonts w:ascii="Times New Roman" w:hAnsi="Times New Roman"/>
          <w:bCs/>
          <w:szCs w:val="24"/>
          <w:lang w:val="sr-Cyrl-BA"/>
        </w:rPr>
        <w:t>ара</w:t>
      </w:r>
      <w:r w:rsidR="002D1DC8" w:rsidRPr="00295637">
        <w:rPr>
          <w:rFonts w:ascii="Times New Roman" w:hAnsi="Times New Roman"/>
          <w:bCs/>
          <w:szCs w:val="24"/>
          <w:lang w:val="bs-Latn-BA"/>
        </w:rPr>
        <w:t xml:space="preserve">“ </w:t>
      </w:r>
      <w:r>
        <w:rPr>
          <w:rFonts w:ascii="Times New Roman" w:hAnsi="Times New Roman"/>
          <w:bCs/>
          <w:szCs w:val="24"/>
          <w:lang w:val="bs-Latn-BA"/>
        </w:rPr>
        <w:t>из</w:t>
      </w:r>
      <w:r w:rsidR="002D1DC8" w:rsidRPr="00295637">
        <w:rPr>
          <w:rFonts w:ascii="Times New Roman" w:hAnsi="Times New Roman"/>
          <w:bCs/>
          <w:szCs w:val="24"/>
          <w:lang w:val="bs-Latn-BA"/>
        </w:rPr>
        <w:t xml:space="preserve"> </w:t>
      </w:r>
      <w:r>
        <w:rPr>
          <w:rFonts w:ascii="Times New Roman" w:hAnsi="Times New Roman"/>
          <w:bCs/>
          <w:szCs w:val="24"/>
          <w:lang w:val="bs-Latn-BA"/>
        </w:rPr>
        <w:t>Бијељине</w:t>
      </w:r>
      <w:r w:rsidR="002D1DC8" w:rsidRPr="00295637">
        <w:rPr>
          <w:rFonts w:ascii="Times New Roman" w:hAnsi="Times New Roman"/>
          <w:bCs/>
          <w:szCs w:val="24"/>
          <w:lang w:val="bs-Latn-BA"/>
        </w:rPr>
        <w:t xml:space="preserve">. </w:t>
      </w:r>
      <w:r w:rsidR="00EC3CBA">
        <w:rPr>
          <w:rFonts w:ascii="Times New Roman" w:hAnsi="Times New Roman"/>
          <w:bCs/>
          <w:szCs w:val="24"/>
          <w:lang w:val="bs-Latn-BA"/>
        </w:rPr>
        <w:t>Такође</w:t>
      </w:r>
      <w:r w:rsidR="002D1DC8" w:rsidRPr="00295637">
        <w:rPr>
          <w:rFonts w:ascii="Times New Roman" w:hAnsi="Times New Roman"/>
          <w:bCs/>
          <w:szCs w:val="24"/>
          <w:lang w:val="bs-Latn-BA"/>
        </w:rPr>
        <w:t xml:space="preserve">, </w:t>
      </w:r>
      <w:r>
        <w:rPr>
          <w:rFonts w:ascii="Times New Roman" w:hAnsi="Times New Roman"/>
          <w:bCs/>
          <w:szCs w:val="24"/>
          <w:lang w:val="bs-Latn-BA"/>
        </w:rPr>
        <w:t>остварено</w:t>
      </w:r>
      <w:r w:rsidR="002D1DC8" w:rsidRPr="00295637">
        <w:rPr>
          <w:rFonts w:ascii="Times New Roman" w:hAnsi="Times New Roman"/>
          <w:bCs/>
          <w:szCs w:val="24"/>
          <w:lang w:val="bs-Latn-BA"/>
        </w:rPr>
        <w:t xml:space="preserve"> </w:t>
      </w:r>
      <w:r>
        <w:rPr>
          <w:rFonts w:ascii="Times New Roman" w:hAnsi="Times New Roman"/>
          <w:bCs/>
          <w:szCs w:val="24"/>
          <w:lang w:val="bs-Latn-BA"/>
        </w:rPr>
        <w:t>је</w:t>
      </w:r>
      <w:r w:rsidR="002D1DC8" w:rsidRPr="00295637">
        <w:rPr>
          <w:rFonts w:ascii="Times New Roman" w:hAnsi="Times New Roman"/>
          <w:bCs/>
          <w:szCs w:val="24"/>
          <w:lang w:val="bs-Latn-BA"/>
        </w:rPr>
        <w:t xml:space="preserve"> </w:t>
      </w:r>
      <w:r>
        <w:rPr>
          <w:rFonts w:ascii="Times New Roman" w:hAnsi="Times New Roman"/>
          <w:bCs/>
          <w:szCs w:val="24"/>
          <w:lang w:val="bs-Latn-BA"/>
        </w:rPr>
        <w:t>активно</w:t>
      </w:r>
      <w:r w:rsidR="002D1DC8" w:rsidRPr="00295637">
        <w:rPr>
          <w:rFonts w:ascii="Times New Roman" w:hAnsi="Times New Roman"/>
          <w:bCs/>
          <w:szCs w:val="24"/>
          <w:lang w:val="bs-Latn-BA"/>
        </w:rPr>
        <w:t xml:space="preserve"> </w:t>
      </w:r>
      <w:r>
        <w:rPr>
          <w:rFonts w:ascii="Times New Roman" w:hAnsi="Times New Roman"/>
          <w:bCs/>
          <w:szCs w:val="24"/>
          <w:lang w:val="bs-Latn-BA"/>
        </w:rPr>
        <w:t>учешће</w:t>
      </w:r>
      <w:r w:rsidR="002D1DC8" w:rsidRPr="00295637">
        <w:rPr>
          <w:rFonts w:ascii="Times New Roman" w:hAnsi="Times New Roman"/>
          <w:bCs/>
          <w:szCs w:val="24"/>
          <w:lang w:val="bs-Latn-BA"/>
        </w:rPr>
        <w:t xml:space="preserve"> </w:t>
      </w:r>
      <w:r>
        <w:rPr>
          <w:rFonts w:ascii="Times New Roman" w:hAnsi="Times New Roman"/>
          <w:bCs/>
          <w:szCs w:val="24"/>
          <w:lang w:val="bs-Latn-BA"/>
        </w:rPr>
        <w:t>у</w:t>
      </w:r>
      <w:r w:rsidR="002D1DC8" w:rsidRPr="00295637">
        <w:rPr>
          <w:rFonts w:ascii="Times New Roman" w:hAnsi="Times New Roman"/>
          <w:bCs/>
          <w:szCs w:val="24"/>
          <w:lang w:val="bs-Latn-BA"/>
        </w:rPr>
        <w:t xml:space="preserve"> </w:t>
      </w:r>
      <w:r>
        <w:rPr>
          <w:rFonts w:ascii="Times New Roman" w:hAnsi="Times New Roman"/>
          <w:bCs/>
          <w:szCs w:val="24"/>
          <w:lang w:val="bs-Latn-BA"/>
        </w:rPr>
        <w:t>пројектном</w:t>
      </w:r>
      <w:r w:rsidR="002D1DC8" w:rsidRPr="00295637">
        <w:rPr>
          <w:rFonts w:ascii="Times New Roman" w:hAnsi="Times New Roman"/>
          <w:bCs/>
          <w:szCs w:val="24"/>
          <w:lang w:val="bs-Latn-BA"/>
        </w:rPr>
        <w:t xml:space="preserve"> </w:t>
      </w:r>
      <w:r>
        <w:rPr>
          <w:rFonts w:ascii="Times New Roman" w:hAnsi="Times New Roman"/>
          <w:bCs/>
          <w:szCs w:val="24"/>
          <w:lang w:val="bs-Latn-BA"/>
        </w:rPr>
        <w:t>одбору</w:t>
      </w:r>
      <w:r w:rsidR="002D1DC8" w:rsidRPr="00295637">
        <w:rPr>
          <w:rFonts w:ascii="Times New Roman" w:hAnsi="Times New Roman"/>
          <w:bCs/>
          <w:szCs w:val="24"/>
          <w:lang w:val="bs-Latn-BA"/>
        </w:rPr>
        <w:t xml:space="preserve"> </w:t>
      </w:r>
      <w:r>
        <w:rPr>
          <w:rFonts w:ascii="Times New Roman" w:hAnsi="Times New Roman"/>
          <w:bCs/>
          <w:szCs w:val="24"/>
          <w:lang w:val="bs-Latn-BA"/>
        </w:rPr>
        <w:t>програма</w:t>
      </w:r>
      <w:r w:rsidR="002D1DC8" w:rsidRPr="00295637">
        <w:rPr>
          <w:rFonts w:ascii="Times New Roman" w:hAnsi="Times New Roman"/>
          <w:bCs/>
          <w:szCs w:val="24"/>
          <w:lang w:val="bs-Latn-BA"/>
        </w:rPr>
        <w:t xml:space="preserve"> „</w:t>
      </w:r>
      <w:r>
        <w:rPr>
          <w:rFonts w:ascii="Times New Roman" w:hAnsi="Times New Roman"/>
          <w:bCs/>
          <w:szCs w:val="24"/>
          <w:lang w:val="bs-Latn-BA"/>
        </w:rPr>
        <w:t>Јачање</w:t>
      </w:r>
      <w:r w:rsidR="002D1DC8" w:rsidRPr="00295637">
        <w:rPr>
          <w:rFonts w:ascii="Times New Roman" w:hAnsi="Times New Roman"/>
          <w:bCs/>
          <w:szCs w:val="24"/>
          <w:lang w:val="bs-Latn-BA"/>
        </w:rPr>
        <w:t xml:space="preserve"> </w:t>
      </w:r>
      <w:r>
        <w:rPr>
          <w:rFonts w:ascii="Times New Roman" w:hAnsi="Times New Roman"/>
          <w:bCs/>
          <w:szCs w:val="24"/>
          <w:lang w:val="bs-Latn-BA"/>
        </w:rPr>
        <w:t>равноправности</w:t>
      </w:r>
      <w:r w:rsidR="002D1DC8" w:rsidRPr="00295637">
        <w:rPr>
          <w:rFonts w:ascii="Times New Roman" w:hAnsi="Times New Roman"/>
          <w:bCs/>
          <w:szCs w:val="24"/>
          <w:lang w:val="bs-Latn-BA"/>
        </w:rPr>
        <w:t xml:space="preserve"> </w:t>
      </w:r>
      <w:r>
        <w:rPr>
          <w:rFonts w:ascii="Times New Roman" w:hAnsi="Times New Roman"/>
          <w:bCs/>
          <w:szCs w:val="24"/>
          <w:lang w:val="bs-Latn-BA"/>
        </w:rPr>
        <w:t>полова</w:t>
      </w:r>
      <w:r w:rsidR="002D1DC8" w:rsidRPr="00295637">
        <w:rPr>
          <w:rFonts w:ascii="Times New Roman" w:hAnsi="Times New Roman"/>
          <w:bCs/>
          <w:szCs w:val="24"/>
          <w:lang w:val="bs-Latn-BA"/>
        </w:rPr>
        <w:t xml:space="preserve"> </w:t>
      </w:r>
      <w:r>
        <w:rPr>
          <w:rFonts w:ascii="Times New Roman" w:hAnsi="Times New Roman"/>
          <w:bCs/>
          <w:szCs w:val="24"/>
          <w:lang w:val="bs-Latn-BA"/>
        </w:rPr>
        <w:t>на</w:t>
      </w:r>
      <w:r w:rsidR="002D1DC8" w:rsidRPr="00295637">
        <w:rPr>
          <w:rFonts w:ascii="Times New Roman" w:hAnsi="Times New Roman"/>
          <w:bCs/>
          <w:szCs w:val="24"/>
          <w:lang w:val="bs-Latn-BA"/>
        </w:rPr>
        <w:t xml:space="preserve"> </w:t>
      </w:r>
      <w:r>
        <w:rPr>
          <w:rFonts w:ascii="Times New Roman" w:hAnsi="Times New Roman"/>
          <w:bCs/>
          <w:szCs w:val="24"/>
          <w:lang w:val="bs-Latn-BA"/>
        </w:rPr>
        <w:t>тржишту</w:t>
      </w:r>
      <w:r w:rsidR="002D1DC8" w:rsidRPr="00295637">
        <w:rPr>
          <w:rFonts w:ascii="Times New Roman" w:hAnsi="Times New Roman"/>
          <w:bCs/>
          <w:szCs w:val="24"/>
          <w:lang w:val="bs-Latn-BA"/>
        </w:rPr>
        <w:t xml:space="preserve"> </w:t>
      </w:r>
      <w:r>
        <w:rPr>
          <w:rFonts w:ascii="Times New Roman" w:hAnsi="Times New Roman"/>
          <w:bCs/>
          <w:szCs w:val="24"/>
          <w:lang w:val="bs-Latn-BA"/>
        </w:rPr>
        <w:t>рада</w:t>
      </w:r>
      <w:r w:rsidR="002D1DC8" w:rsidRPr="00295637">
        <w:rPr>
          <w:rFonts w:ascii="Times New Roman" w:hAnsi="Times New Roman"/>
          <w:bCs/>
          <w:szCs w:val="24"/>
          <w:lang w:val="bs-Latn-BA"/>
        </w:rPr>
        <w:t xml:space="preserve">“, </w:t>
      </w:r>
      <w:r>
        <w:rPr>
          <w:rFonts w:ascii="Times New Roman" w:hAnsi="Times New Roman"/>
          <w:bCs/>
          <w:szCs w:val="24"/>
          <w:lang w:val="bs-Latn-BA"/>
        </w:rPr>
        <w:t>који</w:t>
      </w:r>
      <w:r w:rsidR="002D1DC8" w:rsidRPr="00295637">
        <w:rPr>
          <w:rFonts w:ascii="Times New Roman" w:hAnsi="Times New Roman"/>
          <w:bCs/>
          <w:szCs w:val="24"/>
          <w:lang w:val="bs-Latn-BA"/>
        </w:rPr>
        <w:t xml:space="preserve"> </w:t>
      </w:r>
      <w:r>
        <w:rPr>
          <w:rFonts w:ascii="Times New Roman" w:hAnsi="Times New Roman"/>
          <w:bCs/>
          <w:szCs w:val="24"/>
          <w:lang w:val="bs-Latn-BA"/>
        </w:rPr>
        <w:t>финан</w:t>
      </w:r>
      <w:r w:rsidR="00EC3CBA">
        <w:rPr>
          <w:rFonts w:ascii="Times New Roman" w:hAnsi="Times New Roman"/>
          <w:bCs/>
          <w:szCs w:val="24"/>
          <w:lang w:val="sr-Cyrl-BA"/>
        </w:rPr>
        <w:t>с</w:t>
      </w:r>
      <w:r>
        <w:rPr>
          <w:rFonts w:ascii="Times New Roman" w:hAnsi="Times New Roman"/>
          <w:bCs/>
          <w:szCs w:val="24"/>
          <w:lang w:val="bs-Latn-BA"/>
        </w:rPr>
        <w:t>ира</w:t>
      </w:r>
      <w:r w:rsidR="002D1DC8" w:rsidRPr="00295637">
        <w:rPr>
          <w:rFonts w:ascii="Times New Roman" w:hAnsi="Times New Roman"/>
          <w:bCs/>
          <w:szCs w:val="24"/>
          <w:lang w:val="bs-Latn-BA"/>
        </w:rPr>
        <w:t xml:space="preserve"> </w:t>
      </w:r>
      <w:r>
        <w:rPr>
          <w:rFonts w:ascii="Times New Roman" w:hAnsi="Times New Roman"/>
          <w:bCs/>
          <w:szCs w:val="24"/>
          <w:lang w:val="bs-Latn-BA"/>
        </w:rPr>
        <w:t>Фонд</w:t>
      </w:r>
      <w:r w:rsidR="002D1DC8" w:rsidRPr="00295637">
        <w:rPr>
          <w:rFonts w:ascii="Times New Roman" w:hAnsi="Times New Roman"/>
          <w:bCs/>
          <w:szCs w:val="24"/>
          <w:lang w:val="bs-Latn-BA"/>
        </w:rPr>
        <w:t xml:space="preserve"> </w:t>
      </w:r>
      <w:r>
        <w:rPr>
          <w:rFonts w:ascii="Times New Roman" w:hAnsi="Times New Roman"/>
          <w:bCs/>
          <w:szCs w:val="24"/>
          <w:lang w:val="bs-Latn-BA"/>
        </w:rPr>
        <w:t>за</w:t>
      </w:r>
      <w:r w:rsidR="002D1DC8" w:rsidRPr="00295637">
        <w:rPr>
          <w:rFonts w:ascii="Times New Roman" w:hAnsi="Times New Roman"/>
          <w:bCs/>
          <w:szCs w:val="24"/>
          <w:lang w:val="bs-Latn-BA"/>
        </w:rPr>
        <w:t xml:space="preserve"> </w:t>
      </w:r>
      <w:r>
        <w:rPr>
          <w:rFonts w:ascii="Times New Roman" w:hAnsi="Times New Roman"/>
          <w:bCs/>
          <w:szCs w:val="24"/>
          <w:lang w:val="bs-Latn-BA"/>
        </w:rPr>
        <w:t>локалне</w:t>
      </w:r>
      <w:r w:rsidR="002D1DC8" w:rsidRPr="00295637">
        <w:rPr>
          <w:rFonts w:ascii="Times New Roman" w:hAnsi="Times New Roman"/>
          <w:bCs/>
          <w:szCs w:val="24"/>
          <w:lang w:val="bs-Latn-BA"/>
        </w:rPr>
        <w:t xml:space="preserve"> </w:t>
      </w:r>
      <w:r>
        <w:rPr>
          <w:rFonts w:ascii="Times New Roman" w:hAnsi="Times New Roman"/>
          <w:bCs/>
          <w:szCs w:val="24"/>
          <w:lang w:val="bs-Latn-BA"/>
        </w:rPr>
        <w:t>иницијативе</w:t>
      </w:r>
      <w:r w:rsidR="002D1DC8" w:rsidRPr="00295637">
        <w:rPr>
          <w:rFonts w:ascii="Times New Roman" w:hAnsi="Times New Roman"/>
          <w:bCs/>
          <w:szCs w:val="24"/>
          <w:lang w:val="bs-Latn-BA"/>
        </w:rPr>
        <w:t xml:space="preserve"> </w:t>
      </w:r>
      <w:r>
        <w:rPr>
          <w:rFonts w:ascii="Times New Roman" w:hAnsi="Times New Roman"/>
          <w:bCs/>
          <w:szCs w:val="24"/>
          <w:lang w:val="bs-Latn-BA"/>
        </w:rPr>
        <w:t>Канаде</w:t>
      </w:r>
      <w:r w:rsidR="002D1DC8" w:rsidRPr="00295637">
        <w:rPr>
          <w:rFonts w:ascii="Times New Roman" w:hAnsi="Times New Roman"/>
          <w:bCs/>
          <w:szCs w:val="24"/>
          <w:lang w:val="bs-Latn-BA"/>
        </w:rPr>
        <w:t xml:space="preserve"> (</w:t>
      </w:r>
      <w:r w:rsidR="00EC3CBA" w:rsidRPr="00EC3CBA">
        <w:rPr>
          <w:rFonts w:ascii="Times New Roman" w:hAnsi="Times New Roman"/>
          <w:bCs/>
          <w:i/>
          <w:szCs w:val="24"/>
          <w:lang w:val="bs-Latn-BA"/>
        </w:rPr>
        <w:t>CFLI</w:t>
      </w:r>
      <w:r w:rsidR="002D1DC8" w:rsidRPr="00295637">
        <w:rPr>
          <w:rFonts w:ascii="Times New Roman" w:hAnsi="Times New Roman"/>
          <w:bCs/>
          <w:szCs w:val="24"/>
          <w:lang w:val="bs-Latn-BA"/>
        </w:rPr>
        <w:t xml:space="preserve">), </w:t>
      </w:r>
      <w:r>
        <w:rPr>
          <w:rFonts w:ascii="Times New Roman" w:hAnsi="Times New Roman"/>
          <w:bCs/>
          <w:szCs w:val="24"/>
          <w:lang w:val="bs-Latn-BA"/>
        </w:rPr>
        <w:t>а</w:t>
      </w:r>
      <w:r w:rsidR="002D1DC8" w:rsidRPr="00295637">
        <w:rPr>
          <w:rFonts w:ascii="Times New Roman" w:hAnsi="Times New Roman"/>
          <w:bCs/>
          <w:szCs w:val="24"/>
          <w:lang w:val="bs-Latn-BA"/>
        </w:rPr>
        <w:t xml:space="preserve"> </w:t>
      </w:r>
      <w:r w:rsidR="00EC3CBA">
        <w:rPr>
          <w:rFonts w:ascii="Times New Roman" w:hAnsi="Times New Roman"/>
          <w:bCs/>
          <w:szCs w:val="24"/>
          <w:lang w:val="sr-Cyrl-BA"/>
        </w:rPr>
        <w:t>спроводи</w:t>
      </w:r>
      <w:r w:rsidR="002D1DC8" w:rsidRPr="00295637">
        <w:rPr>
          <w:rFonts w:ascii="Times New Roman" w:hAnsi="Times New Roman"/>
          <w:bCs/>
          <w:szCs w:val="24"/>
          <w:lang w:val="bs-Latn-BA"/>
        </w:rPr>
        <w:t xml:space="preserve"> </w:t>
      </w:r>
      <w:r>
        <w:rPr>
          <w:rFonts w:ascii="Times New Roman" w:hAnsi="Times New Roman"/>
          <w:bCs/>
          <w:szCs w:val="24"/>
          <w:lang w:val="bs-Latn-BA"/>
        </w:rPr>
        <w:t>организација</w:t>
      </w:r>
      <w:r w:rsidR="002D1DC8" w:rsidRPr="00295637">
        <w:rPr>
          <w:rFonts w:ascii="Times New Roman" w:hAnsi="Times New Roman"/>
          <w:bCs/>
          <w:szCs w:val="24"/>
          <w:lang w:val="bs-Latn-BA"/>
        </w:rPr>
        <w:t xml:space="preserve"> „</w:t>
      </w:r>
      <w:r w:rsidR="00EC3CBA" w:rsidRPr="00EC3CBA">
        <w:rPr>
          <w:rFonts w:ascii="Times New Roman" w:hAnsi="Times New Roman"/>
          <w:bCs/>
          <w:szCs w:val="24"/>
          <w:lang w:val="bs-Latn-BA"/>
        </w:rPr>
        <w:t>Infohouse</w:t>
      </w:r>
      <w:r w:rsidR="002D1DC8" w:rsidRPr="00295637">
        <w:rPr>
          <w:rFonts w:ascii="Times New Roman" w:hAnsi="Times New Roman"/>
          <w:bCs/>
          <w:szCs w:val="24"/>
          <w:lang w:val="bs-Latn-BA"/>
        </w:rPr>
        <w:t xml:space="preserve">“ </w:t>
      </w:r>
      <w:r>
        <w:rPr>
          <w:rFonts w:ascii="Times New Roman" w:hAnsi="Times New Roman"/>
          <w:bCs/>
          <w:szCs w:val="24"/>
          <w:lang w:val="bs-Latn-BA"/>
        </w:rPr>
        <w:t>из</w:t>
      </w:r>
      <w:r w:rsidR="002D1DC8" w:rsidRPr="00295637">
        <w:rPr>
          <w:rFonts w:ascii="Times New Roman" w:hAnsi="Times New Roman"/>
          <w:bCs/>
          <w:szCs w:val="24"/>
          <w:lang w:val="bs-Latn-BA"/>
        </w:rPr>
        <w:t xml:space="preserve"> </w:t>
      </w:r>
      <w:r>
        <w:rPr>
          <w:rFonts w:ascii="Times New Roman" w:hAnsi="Times New Roman"/>
          <w:bCs/>
          <w:szCs w:val="24"/>
          <w:lang w:val="bs-Latn-BA"/>
        </w:rPr>
        <w:t>Сарајева</w:t>
      </w:r>
      <w:r w:rsidR="002D1DC8" w:rsidRPr="00295637">
        <w:rPr>
          <w:rFonts w:ascii="Times New Roman" w:hAnsi="Times New Roman"/>
          <w:bCs/>
          <w:szCs w:val="24"/>
          <w:lang w:val="bs-Latn-BA"/>
        </w:rPr>
        <w:t>.</w:t>
      </w:r>
      <w:r w:rsidR="002D1DC8" w:rsidRPr="00295637">
        <w:rPr>
          <w:rFonts w:ascii="Times New Roman" w:hAnsi="Times New Roman"/>
          <w:szCs w:val="24"/>
        </w:rPr>
        <w:t xml:space="preserve"> </w:t>
      </w:r>
      <w:r>
        <w:rPr>
          <w:rFonts w:ascii="Times New Roman" w:hAnsi="Times New Roman"/>
          <w:szCs w:val="24"/>
        </w:rPr>
        <w:t>У</w:t>
      </w:r>
      <w:r w:rsidR="002D1DC8" w:rsidRPr="00295637">
        <w:rPr>
          <w:rFonts w:ascii="Times New Roman" w:hAnsi="Times New Roman"/>
          <w:szCs w:val="24"/>
        </w:rPr>
        <w:t xml:space="preserve"> </w:t>
      </w:r>
      <w:r>
        <w:rPr>
          <w:rFonts w:ascii="Times New Roman" w:hAnsi="Times New Roman"/>
          <w:szCs w:val="24"/>
        </w:rPr>
        <w:t>оквиру</w:t>
      </w:r>
      <w:r w:rsidR="002D1DC8" w:rsidRPr="00295637">
        <w:rPr>
          <w:rFonts w:ascii="Times New Roman" w:hAnsi="Times New Roman"/>
          <w:szCs w:val="24"/>
        </w:rPr>
        <w:t xml:space="preserve"> </w:t>
      </w:r>
      <w:r>
        <w:rPr>
          <w:rFonts w:ascii="Times New Roman" w:hAnsi="Times New Roman"/>
          <w:szCs w:val="24"/>
        </w:rPr>
        <w:t>поменутог</w:t>
      </w:r>
      <w:r w:rsidR="002D1DC8" w:rsidRPr="00295637">
        <w:rPr>
          <w:rFonts w:ascii="Times New Roman" w:hAnsi="Times New Roman"/>
          <w:szCs w:val="24"/>
        </w:rPr>
        <w:t xml:space="preserve"> </w:t>
      </w:r>
      <w:r>
        <w:rPr>
          <w:rFonts w:ascii="Times New Roman" w:hAnsi="Times New Roman"/>
          <w:szCs w:val="24"/>
        </w:rPr>
        <w:t>пројекта</w:t>
      </w:r>
      <w:r w:rsidR="002D1DC8" w:rsidRPr="00295637">
        <w:rPr>
          <w:rFonts w:ascii="Times New Roman" w:hAnsi="Times New Roman"/>
          <w:szCs w:val="24"/>
        </w:rPr>
        <w:t xml:space="preserve">, </w:t>
      </w:r>
      <w:r>
        <w:rPr>
          <w:rFonts w:ascii="Times New Roman" w:hAnsi="Times New Roman"/>
          <w:szCs w:val="24"/>
        </w:rPr>
        <w:t>у</w:t>
      </w:r>
      <w:r w:rsidR="002D1DC8" w:rsidRPr="00295637">
        <w:rPr>
          <w:rFonts w:ascii="Times New Roman" w:hAnsi="Times New Roman"/>
          <w:szCs w:val="24"/>
        </w:rPr>
        <w:t xml:space="preserve"> </w:t>
      </w:r>
      <w:r>
        <w:rPr>
          <w:rFonts w:ascii="Times New Roman" w:hAnsi="Times New Roman"/>
          <w:szCs w:val="24"/>
        </w:rPr>
        <w:t>октобру</w:t>
      </w:r>
      <w:r w:rsidR="002D1DC8" w:rsidRPr="00295637">
        <w:rPr>
          <w:rFonts w:ascii="Times New Roman" w:hAnsi="Times New Roman"/>
          <w:szCs w:val="24"/>
        </w:rPr>
        <w:t xml:space="preserve"> 2024. </w:t>
      </w:r>
      <w:r>
        <w:rPr>
          <w:rFonts w:ascii="Times New Roman" w:hAnsi="Times New Roman"/>
          <w:szCs w:val="24"/>
        </w:rPr>
        <w:t>године</w:t>
      </w:r>
      <w:r w:rsidR="002D1DC8" w:rsidRPr="00295637">
        <w:rPr>
          <w:rFonts w:ascii="Times New Roman" w:hAnsi="Times New Roman"/>
          <w:szCs w:val="24"/>
        </w:rPr>
        <w:t xml:space="preserve"> </w:t>
      </w:r>
      <w:r>
        <w:rPr>
          <w:rFonts w:ascii="Times New Roman" w:hAnsi="Times New Roman"/>
          <w:szCs w:val="24"/>
        </w:rPr>
        <w:t>је</w:t>
      </w:r>
      <w:r w:rsidR="002D1DC8" w:rsidRPr="00295637">
        <w:rPr>
          <w:rFonts w:ascii="Times New Roman" w:hAnsi="Times New Roman"/>
          <w:szCs w:val="24"/>
        </w:rPr>
        <w:t xml:space="preserve"> </w:t>
      </w:r>
      <w:r>
        <w:rPr>
          <w:rFonts w:ascii="Times New Roman" w:hAnsi="Times New Roman"/>
          <w:szCs w:val="24"/>
        </w:rPr>
        <w:t>одржана</w:t>
      </w:r>
      <w:r w:rsidR="002D1DC8" w:rsidRPr="00295637">
        <w:rPr>
          <w:rFonts w:ascii="Times New Roman" w:hAnsi="Times New Roman"/>
          <w:szCs w:val="24"/>
        </w:rPr>
        <w:t xml:space="preserve"> </w:t>
      </w:r>
      <w:r>
        <w:rPr>
          <w:rFonts w:ascii="Times New Roman" w:hAnsi="Times New Roman"/>
          <w:szCs w:val="24"/>
        </w:rPr>
        <w:t>конференција</w:t>
      </w:r>
      <w:r w:rsidR="002D1DC8" w:rsidRPr="00295637">
        <w:rPr>
          <w:rFonts w:ascii="Times New Roman" w:hAnsi="Times New Roman"/>
          <w:szCs w:val="24"/>
        </w:rPr>
        <w:t xml:space="preserve"> </w:t>
      </w:r>
      <w:r>
        <w:rPr>
          <w:rFonts w:ascii="Times New Roman" w:hAnsi="Times New Roman"/>
          <w:szCs w:val="24"/>
        </w:rPr>
        <w:t>под</w:t>
      </w:r>
      <w:r w:rsidR="002D1DC8" w:rsidRPr="00295637">
        <w:rPr>
          <w:rFonts w:ascii="Times New Roman" w:hAnsi="Times New Roman"/>
          <w:szCs w:val="24"/>
        </w:rPr>
        <w:t xml:space="preserve"> </w:t>
      </w:r>
      <w:r>
        <w:rPr>
          <w:rFonts w:ascii="Times New Roman" w:hAnsi="Times New Roman"/>
          <w:szCs w:val="24"/>
        </w:rPr>
        <w:t>називом</w:t>
      </w:r>
      <w:r w:rsidR="002D1DC8" w:rsidRPr="00295637">
        <w:rPr>
          <w:rFonts w:ascii="Times New Roman" w:hAnsi="Times New Roman"/>
          <w:szCs w:val="24"/>
        </w:rPr>
        <w:t xml:space="preserve"> „</w:t>
      </w:r>
      <w:r>
        <w:rPr>
          <w:rFonts w:ascii="Times New Roman" w:hAnsi="Times New Roman"/>
          <w:szCs w:val="24"/>
        </w:rPr>
        <w:t>Родне</w:t>
      </w:r>
      <w:r w:rsidR="002D1DC8" w:rsidRPr="00295637">
        <w:rPr>
          <w:rFonts w:ascii="Times New Roman" w:hAnsi="Times New Roman"/>
          <w:szCs w:val="24"/>
        </w:rPr>
        <w:t xml:space="preserve"> </w:t>
      </w:r>
      <w:r>
        <w:rPr>
          <w:rFonts w:ascii="Times New Roman" w:hAnsi="Times New Roman"/>
          <w:szCs w:val="24"/>
        </w:rPr>
        <w:t>неједнакости</w:t>
      </w:r>
      <w:r w:rsidR="002D1DC8" w:rsidRPr="00295637">
        <w:rPr>
          <w:rFonts w:ascii="Times New Roman" w:hAnsi="Times New Roman"/>
          <w:szCs w:val="24"/>
        </w:rPr>
        <w:t xml:space="preserve"> </w:t>
      </w:r>
      <w:r>
        <w:rPr>
          <w:rFonts w:ascii="Times New Roman" w:hAnsi="Times New Roman"/>
          <w:szCs w:val="24"/>
        </w:rPr>
        <w:t>на</w:t>
      </w:r>
      <w:r w:rsidR="002D1DC8" w:rsidRPr="00295637">
        <w:rPr>
          <w:rFonts w:ascii="Times New Roman" w:hAnsi="Times New Roman"/>
          <w:szCs w:val="24"/>
        </w:rPr>
        <w:t xml:space="preserve"> </w:t>
      </w:r>
      <w:r>
        <w:rPr>
          <w:rFonts w:ascii="Times New Roman" w:hAnsi="Times New Roman"/>
          <w:szCs w:val="24"/>
        </w:rPr>
        <w:t>тржишту</w:t>
      </w:r>
      <w:r w:rsidR="002D1DC8" w:rsidRPr="00295637">
        <w:rPr>
          <w:rFonts w:ascii="Times New Roman" w:hAnsi="Times New Roman"/>
          <w:szCs w:val="24"/>
        </w:rPr>
        <w:t xml:space="preserve"> </w:t>
      </w:r>
      <w:r>
        <w:rPr>
          <w:rFonts w:ascii="Times New Roman" w:hAnsi="Times New Roman"/>
          <w:szCs w:val="24"/>
        </w:rPr>
        <w:t>рада</w:t>
      </w:r>
      <w:r w:rsidR="002D1DC8" w:rsidRPr="00295637">
        <w:rPr>
          <w:rFonts w:ascii="Times New Roman" w:hAnsi="Times New Roman"/>
          <w:szCs w:val="24"/>
        </w:rPr>
        <w:t xml:space="preserve">: </w:t>
      </w:r>
      <w:r>
        <w:rPr>
          <w:rFonts w:ascii="Times New Roman" w:hAnsi="Times New Roman"/>
          <w:szCs w:val="24"/>
        </w:rPr>
        <w:t>друштвени</w:t>
      </w:r>
      <w:r w:rsidR="002D1DC8" w:rsidRPr="00295637">
        <w:rPr>
          <w:rFonts w:ascii="Times New Roman" w:hAnsi="Times New Roman"/>
          <w:szCs w:val="24"/>
        </w:rPr>
        <w:t xml:space="preserve"> </w:t>
      </w:r>
      <w:r>
        <w:rPr>
          <w:rFonts w:ascii="Times New Roman" w:hAnsi="Times New Roman"/>
          <w:szCs w:val="24"/>
        </w:rPr>
        <w:t>или</w:t>
      </w:r>
      <w:r w:rsidR="002D1DC8" w:rsidRPr="00295637">
        <w:rPr>
          <w:rFonts w:ascii="Times New Roman" w:hAnsi="Times New Roman"/>
          <w:szCs w:val="24"/>
        </w:rPr>
        <w:t xml:space="preserve"> </w:t>
      </w:r>
      <w:r>
        <w:rPr>
          <w:rFonts w:ascii="Times New Roman" w:hAnsi="Times New Roman"/>
          <w:szCs w:val="24"/>
        </w:rPr>
        <w:t>женски</w:t>
      </w:r>
      <w:r w:rsidR="002D1DC8" w:rsidRPr="00295637">
        <w:rPr>
          <w:rFonts w:ascii="Times New Roman" w:hAnsi="Times New Roman"/>
          <w:szCs w:val="24"/>
        </w:rPr>
        <w:t xml:space="preserve"> </w:t>
      </w:r>
      <w:r>
        <w:rPr>
          <w:rFonts w:ascii="Times New Roman" w:hAnsi="Times New Roman"/>
          <w:szCs w:val="24"/>
        </w:rPr>
        <w:t>проблеми</w:t>
      </w:r>
      <w:r w:rsidR="002D1DC8" w:rsidRPr="00295637">
        <w:rPr>
          <w:rFonts w:ascii="Times New Roman" w:hAnsi="Times New Roman"/>
          <w:szCs w:val="24"/>
        </w:rPr>
        <w:t xml:space="preserve">?“ </w:t>
      </w:r>
      <w:r>
        <w:rPr>
          <w:rFonts w:ascii="Times New Roman" w:hAnsi="Times New Roman"/>
          <w:szCs w:val="24"/>
          <w:lang w:val="sr-Latn-BA" w:eastAsia="sr-Latn-BA"/>
        </w:rPr>
        <w:t>На</w:t>
      </w:r>
      <w:r w:rsidR="002D1DC8" w:rsidRPr="00295637">
        <w:rPr>
          <w:rFonts w:ascii="Times New Roman" w:hAnsi="Times New Roman"/>
          <w:szCs w:val="24"/>
          <w:lang w:val="sr-Latn-BA" w:eastAsia="sr-Latn-BA"/>
        </w:rPr>
        <w:t xml:space="preserve"> </w:t>
      </w:r>
      <w:r>
        <w:rPr>
          <w:rFonts w:ascii="Times New Roman" w:hAnsi="Times New Roman"/>
          <w:szCs w:val="24"/>
        </w:rPr>
        <w:t>конференцији</w:t>
      </w:r>
      <w:r w:rsidR="002D1DC8" w:rsidRPr="00295637">
        <w:rPr>
          <w:rFonts w:ascii="Times New Roman" w:hAnsi="Times New Roman"/>
          <w:szCs w:val="24"/>
        </w:rPr>
        <w:t xml:space="preserve"> </w:t>
      </w:r>
      <w:r>
        <w:rPr>
          <w:rFonts w:ascii="Times New Roman" w:hAnsi="Times New Roman"/>
          <w:szCs w:val="24"/>
        </w:rPr>
        <w:t>је</w:t>
      </w:r>
      <w:r w:rsidR="002D1DC8" w:rsidRPr="00295637">
        <w:rPr>
          <w:rFonts w:ascii="Times New Roman" w:hAnsi="Times New Roman"/>
          <w:szCs w:val="24"/>
        </w:rPr>
        <w:t xml:space="preserve"> </w:t>
      </w:r>
      <w:r>
        <w:rPr>
          <w:rFonts w:ascii="Times New Roman" w:hAnsi="Times New Roman"/>
          <w:szCs w:val="24"/>
        </w:rPr>
        <w:t>потврђено</w:t>
      </w:r>
      <w:r w:rsidR="002D1DC8" w:rsidRPr="00295637">
        <w:rPr>
          <w:rFonts w:ascii="Times New Roman" w:hAnsi="Times New Roman"/>
          <w:szCs w:val="24"/>
        </w:rPr>
        <w:t xml:space="preserve"> </w:t>
      </w:r>
      <w:r>
        <w:rPr>
          <w:rFonts w:ascii="Times New Roman" w:hAnsi="Times New Roman"/>
          <w:szCs w:val="24"/>
        </w:rPr>
        <w:t>да</w:t>
      </w:r>
      <w:r w:rsidR="002D1DC8" w:rsidRPr="00295637">
        <w:rPr>
          <w:rFonts w:ascii="Times New Roman" w:hAnsi="Times New Roman"/>
          <w:szCs w:val="24"/>
        </w:rPr>
        <w:t xml:space="preserve"> </w:t>
      </w:r>
      <w:r>
        <w:rPr>
          <w:rFonts w:ascii="Times New Roman" w:hAnsi="Times New Roman"/>
          <w:szCs w:val="24"/>
        </w:rPr>
        <w:t>су</w:t>
      </w:r>
      <w:r w:rsidR="002D1DC8" w:rsidRPr="00295637">
        <w:rPr>
          <w:rFonts w:ascii="Times New Roman" w:hAnsi="Times New Roman"/>
          <w:szCs w:val="24"/>
        </w:rPr>
        <w:t xml:space="preserve"> </w:t>
      </w:r>
      <w:r>
        <w:rPr>
          <w:rFonts w:ascii="Times New Roman" w:hAnsi="Times New Roman"/>
          <w:szCs w:val="24"/>
        </w:rPr>
        <w:t>жене</w:t>
      </w:r>
      <w:r w:rsidR="002D1DC8" w:rsidRPr="00295637">
        <w:rPr>
          <w:rFonts w:ascii="Times New Roman" w:hAnsi="Times New Roman"/>
          <w:szCs w:val="24"/>
        </w:rPr>
        <w:t xml:space="preserve"> </w:t>
      </w:r>
      <w:r>
        <w:rPr>
          <w:rFonts w:ascii="Times New Roman" w:hAnsi="Times New Roman"/>
          <w:szCs w:val="24"/>
        </w:rPr>
        <w:t>на</w:t>
      </w:r>
      <w:r w:rsidR="002D1DC8" w:rsidRPr="00295637">
        <w:rPr>
          <w:rFonts w:ascii="Times New Roman" w:hAnsi="Times New Roman"/>
          <w:szCs w:val="24"/>
        </w:rPr>
        <w:t xml:space="preserve"> </w:t>
      </w:r>
      <w:r>
        <w:rPr>
          <w:rFonts w:ascii="Times New Roman" w:hAnsi="Times New Roman"/>
          <w:szCs w:val="24"/>
        </w:rPr>
        <w:t>тржишту</w:t>
      </w:r>
      <w:r w:rsidR="002D1DC8" w:rsidRPr="00295637">
        <w:rPr>
          <w:rFonts w:ascii="Times New Roman" w:hAnsi="Times New Roman"/>
          <w:szCs w:val="24"/>
        </w:rPr>
        <w:t xml:space="preserve"> </w:t>
      </w:r>
      <w:r>
        <w:rPr>
          <w:rFonts w:ascii="Times New Roman" w:hAnsi="Times New Roman"/>
          <w:szCs w:val="24"/>
        </w:rPr>
        <w:t>рада</w:t>
      </w:r>
      <w:r w:rsidR="002D1DC8" w:rsidRPr="00295637">
        <w:rPr>
          <w:rFonts w:ascii="Times New Roman" w:hAnsi="Times New Roman"/>
          <w:szCs w:val="24"/>
        </w:rPr>
        <w:t xml:space="preserve"> </w:t>
      </w:r>
      <w:r>
        <w:rPr>
          <w:rFonts w:ascii="Times New Roman" w:hAnsi="Times New Roman"/>
          <w:szCs w:val="24"/>
        </w:rPr>
        <w:t>суочене</w:t>
      </w:r>
      <w:r w:rsidR="002D1DC8" w:rsidRPr="00295637">
        <w:rPr>
          <w:rFonts w:ascii="Times New Roman" w:hAnsi="Times New Roman"/>
          <w:szCs w:val="24"/>
        </w:rPr>
        <w:t xml:space="preserve"> </w:t>
      </w:r>
      <w:r>
        <w:rPr>
          <w:rFonts w:ascii="Times New Roman" w:hAnsi="Times New Roman"/>
          <w:szCs w:val="24"/>
        </w:rPr>
        <w:t>са</w:t>
      </w:r>
      <w:r w:rsidR="002D1DC8" w:rsidRPr="00295637">
        <w:rPr>
          <w:rFonts w:ascii="Times New Roman" w:hAnsi="Times New Roman"/>
          <w:szCs w:val="24"/>
        </w:rPr>
        <w:t xml:space="preserve"> </w:t>
      </w:r>
      <w:r>
        <w:rPr>
          <w:rFonts w:ascii="Times New Roman" w:hAnsi="Times New Roman"/>
          <w:szCs w:val="24"/>
        </w:rPr>
        <w:t>вишеструком</w:t>
      </w:r>
      <w:r w:rsidR="002D1DC8" w:rsidRPr="00295637">
        <w:rPr>
          <w:rFonts w:ascii="Times New Roman" w:hAnsi="Times New Roman"/>
          <w:szCs w:val="24"/>
        </w:rPr>
        <w:t xml:space="preserve"> </w:t>
      </w:r>
      <w:r>
        <w:rPr>
          <w:rFonts w:ascii="Times New Roman" w:hAnsi="Times New Roman"/>
          <w:szCs w:val="24"/>
        </w:rPr>
        <w:t>дискриминацијом</w:t>
      </w:r>
      <w:r w:rsidR="002D1DC8" w:rsidRPr="00295637">
        <w:rPr>
          <w:rFonts w:ascii="Times New Roman" w:hAnsi="Times New Roman"/>
          <w:szCs w:val="24"/>
        </w:rPr>
        <w:t xml:space="preserve">, </w:t>
      </w:r>
      <w:r>
        <w:rPr>
          <w:rFonts w:ascii="Times New Roman" w:hAnsi="Times New Roman"/>
          <w:szCs w:val="24"/>
        </w:rPr>
        <w:t>те</w:t>
      </w:r>
      <w:r w:rsidR="002D1DC8" w:rsidRPr="00295637">
        <w:rPr>
          <w:rFonts w:ascii="Times New Roman" w:hAnsi="Times New Roman"/>
          <w:szCs w:val="24"/>
        </w:rPr>
        <w:t xml:space="preserve"> </w:t>
      </w:r>
      <w:r>
        <w:rPr>
          <w:rFonts w:ascii="Times New Roman" w:hAnsi="Times New Roman"/>
          <w:szCs w:val="24"/>
        </w:rPr>
        <w:t>да</w:t>
      </w:r>
      <w:r w:rsidR="002D1DC8" w:rsidRPr="00295637">
        <w:rPr>
          <w:rFonts w:ascii="Times New Roman" w:hAnsi="Times New Roman"/>
          <w:szCs w:val="24"/>
        </w:rPr>
        <w:t xml:space="preserve"> </w:t>
      </w:r>
      <w:r>
        <w:rPr>
          <w:rFonts w:ascii="Times New Roman" w:hAnsi="Times New Roman"/>
          <w:szCs w:val="24"/>
        </w:rPr>
        <w:t>немају</w:t>
      </w:r>
      <w:r w:rsidR="002D1DC8" w:rsidRPr="00295637">
        <w:rPr>
          <w:rFonts w:ascii="Times New Roman" w:hAnsi="Times New Roman"/>
          <w:szCs w:val="24"/>
        </w:rPr>
        <w:t xml:space="preserve"> </w:t>
      </w:r>
      <w:r>
        <w:rPr>
          <w:rFonts w:ascii="Times New Roman" w:hAnsi="Times New Roman"/>
          <w:szCs w:val="24"/>
        </w:rPr>
        <w:t>институционалну</w:t>
      </w:r>
      <w:r w:rsidR="002D1DC8" w:rsidRPr="00295637">
        <w:rPr>
          <w:rFonts w:ascii="Times New Roman" w:hAnsi="Times New Roman"/>
          <w:szCs w:val="24"/>
        </w:rPr>
        <w:t xml:space="preserve"> </w:t>
      </w:r>
      <w:r>
        <w:rPr>
          <w:rFonts w:ascii="Times New Roman" w:hAnsi="Times New Roman"/>
          <w:szCs w:val="24"/>
        </w:rPr>
        <w:t>подршку</w:t>
      </w:r>
      <w:r w:rsidR="002D1DC8" w:rsidRPr="00295637">
        <w:rPr>
          <w:rFonts w:ascii="Times New Roman" w:hAnsi="Times New Roman"/>
          <w:szCs w:val="24"/>
        </w:rPr>
        <w:t xml:space="preserve"> </w:t>
      </w:r>
      <w:r>
        <w:rPr>
          <w:rFonts w:ascii="Times New Roman" w:hAnsi="Times New Roman"/>
          <w:szCs w:val="24"/>
        </w:rPr>
        <w:t>и</w:t>
      </w:r>
      <w:r w:rsidR="002D1DC8" w:rsidRPr="00295637">
        <w:rPr>
          <w:rFonts w:ascii="Times New Roman" w:hAnsi="Times New Roman"/>
          <w:szCs w:val="24"/>
        </w:rPr>
        <w:t xml:space="preserve"> </w:t>
      </w:r>
      <w:r>
        <w:rPr>
          <w:rFonts w:ascii="Times New Roman" w:hAnsi="Times New Roman"/>
          <w:szCs w:val="24"/>
        </w:rPr>
        <w:t>механизме</w:t>
      </w:r>
      <w:r w:rsidR="002D1DC8" w:rsidRPr="00295637">
        <w:rPr>
          <w:rFonts w:ascii="Times New Roman" w:hAnsi="Times New Roman"/>
          <w:szCs w:val="24"/>
        </w:rPr>
        <w:t xml:space="preserve"> </w:t>
      </w:r>
      <w:r>
        <w:rPr>
          <w:rFonts w:ascii="Times New Roman" w:hAnsi="Times New Roman"/>
          <w:szCs w:val="24"/>
        </w:rPr>
        <w:t>заштите</w:t>
      </w:r>
      <w:r w:rsidR="002D1DC8" w:rsidRPr="00295637">
        <w:rPr>
          <w:rFonts w:ascii="Times New Roman" w:hAnsi="Times New Roman"/>
          <w:szCs w:val="24"/>
        </w:rPr>
        <w:t xml:space="preserve">. </w:t>
      </w:r>
      <w:r>
        <w:rPr>
          <w:rFonts w:ascii="Times New Roman" w:hAnsi="Times New Roman"/>
          <w:szCs w:val="24"/>
        </w:rPr>
        <w:t>С</w:t>
      </w:r>
      <w:r w:rsidR="002D1DC8" w:rsidRPr="00295637">
        <w:rPr>
          <w:rFonts w:ascii="Times New Roman" w:hAnsi="Times New Roman"/>
          <w:szCs w:val="24"/>
        </w:rPr>
        <w:t xml:space="preserve"> </w:t>
      </w:r>
      <w:r>
        <w:rPr>
          <w:rFonts w:ascii="Times New Roman" w:hAnsi="Times New Roman"/>
          <w:szCs w:val="24"/>
        </w:rPr>
        <w:t>друге</w:t>
      </w:r>
      <w:r w:rsidR="002D1DC8" w:rsidRPr="00295637">
        <w:rPr>
          <w:rFonts w:ascii="Times New Roman" w:hAnsi="Times New Roman"/>
          <w:szCs w:val="24"/>
        </w:rPr>
        <w:t xml:space="preserve"> </w:t>
      </w:r>
      <w:r>
        <w:rPr>
          <w:rFonts w:ascii="Times New Roman" w:hAnsi="Times New Roman"/>
          <w:szCs w:val="24"/>
        </w:rPr>
        <w:t>стране</w:t>
      </w:r>
      <w:r w:rsidR="002D1DC8" w:rsidRPr="00295637">
        <w:rPr>
          <w:rFonts w:ascii="Times New Roman" w:hAnsi="Times New Roman"/>
          <w:szCs w:val="24"/>
        </w:rPr>
        <w:t xml:space="preserve">, </w:t>
      </w:r>
      <w:r>
        <w:rPr>
          <w:rFonts w:ascii="Times New Roman" w:hAnsi="Times New Roman"/>
          <w:szCs w:val="24"/>
        </w:rPr>
        <w:t>поштивање</w:t>
      </w:r>
      <w:r w:rsidR="002D1DC8" w:rsidRPr="00295637">
        <w:rPr>
          <w:rFonts w:ascii="Times New Roman" w:hAnsi="Times New Roman"/>
          <w:szCs w:val="24"/>
        </w:rPr>
        <w:t xml:space="preserve"> </w:t>
      </w:r>
      <w:r>
        <w:rPr>
          <w:rFonts w:ascii="Times New Roman" w:hAnsi="Times New Roman"/>
          <w:szCs w:val="24"/>
        </w:rPr>
        <w:t>људских</w:t>
      </w:r>
      <w:r w:rsidR="002D1DC8" w:rsidRPr="00295637">
        <w:rPr>
          <w:rFonts w:ascii="Times New Roman" w:hAnsi="Times New Roman"/>
          <w:szCs w:val="24"/>
        </w:rPr>
        <w:t xml:space="preserve"> </w:t>
      </w:r>
      <w:r>
        <w:rPr>
          <w:rFonts w:ascii="Times New Roman" w:hAnsi="Times New Roman"/>
          <w:szCs w:val="24"/>
        </w:rPr>
        <w:t>права</w:t>
      </w:r>
      <w:r w:rsidR="002D1DC8" w:rsidRPr="00295637">
        <w:rPr>
          <w:rFonts w:ascii="Times New Roman" w:hAnsi="Times New Roman"/>
          <w:szCs w:val="24"/>
        </w:rPr>
        <w:t xml:space="preserve"> </w:t>
      </w:r>
      <w:r>
        <w:rPr>
          <w:rFonts w:ascii="Times New Roman" w:hAnsi="Times New Roman"/>
          <w:szCs w:val="24"/>
        </w:rPr>
        <w:t>у</w:t>
      </w:r>
      <w:r w:rsidR="002D1DC8" w:rsidRPr="00295637">
        <w:rPr>
          <w:rFonts w:ascii="Times New Roman" w:hAnsi="Times New Roman"/>
          <w:szCs w:val="24"/>
        </w:rPr>
        <w:t xml:space="preserve"> </w:t>
      </w:r>
      <w:r>
        <w:rPr>
          <w:rFonts w:ascii="Times New Roman" w:hAnsi="Times New Roman"/>
          <w:szCs w:val="24"/>
        </w:rPr>
        <w:t>БиХ</w:t>
      </w:r>
      <w:r w:rsidR="002D1DC8" w:rsidRPr="00295637">
        <w:rPr>
          <w:rFonts w:ascii="Times New Roman" w:hAnsi="Times New Roman"/>
          <w:szCs w:val="24"/>
        </w:rPr>
        <w:t xml:space="preserve"> </w:t>
      </w:r>
      <w:r>
        <w:rPr>
          <w:rFonts w:ascii="Times New Roman" w:hAnsi="Times New Roman"/>
          <w:szCs w:val="24"/>
        </w:rPr>
        <w:t>од</w:t>
      </w:r>
      <w:r w:rsidR="002D1DC8" w:rsidRPr="00295637">
        <w:rPr>
          <w:rFonts w:ascii="Times New Roman" w:hAnsi="Times New Roman"/>
          <w:szCs w:val="24"/>
        </w:rPr>
        <w:t xml:space="preserve"> </w:t>
      </w:r>
      <w:r>
        <w:rPr>
          <w:rFonts w:ascii="Times New Roman" w:hAnsi="Times New Roman"/>
          <w:szCs w:val="24"/>
        </w:rPr>
        <w:t>стране</w:t>
      </w:r>
      <w:r w:rsidR="002D1DC8" w:rsidRPr="00295637">
        <w:rPr>
          <w:rFonts w:ascii="Times New Roman" w:hAnsi="Times New Roman"/>
          <w:szCs w:val="24"/>
        </w:rPr>
        <w:t xml:space="preserve"> </w:t>
      </w:r>
      <w:r>
        <w:rPr>
          <w:rFonts w:ascii="Times New Roman" w:hAnsi="Times New Roman"/>
          <w:szCs w:val="24"/>
        </w:rPr>
        <w:t>компанија</w:t>
      </w:r>
      <w:r w:rsidR="002D1DC8" w:rsidRPr="00295637">
        <w:rPr>
          <w:rFonts w:ascii="Times New Roman" w:hAnsi="Times New Roman"/>
          <w:szCs w:val="24"/>
        </w:rPr>
        <w:t xml:space="preserve"> </w:t>
      </w:r>
      <w:r>
        <w:rPr>
          <w:rFonts w:ascii="Times New Roman" w:hAnsi="Times New Roman"/>
          <w:szCs w:val="24"/>
        </w:rPr>
        <w:t>је</w:t>
      </w:r>
      <w:r w:rsidR="002D1DC8" w:rsidRPr="00295637">
        <w:rPr>
          <w:rFonts w:ascii="Times New Roman" w:hAnsi="Times New Roman"/>
          <w:szCs w:val="24"/>
        </w:rPr>
        <w:t xml:space="preserve"> </w:t>
      </w:r>
      <w:r>
        <w:rPr>
          <w:rFonts w:ascii="Times New Roman" w:hAnsi="Times New Roman"/>
          <w:szCs w:val="24"/>
        </w:rPr>
        <w:t>широко</w:t>
      </w:r>
      <w:r w:rsidR="002D1DC8" w:rsidRPr="00295637">
        <w:rPr>
          <w:rFonts w:ascii="Times New Roman" w:hAnsi="Times New Roman"/>
          <w:szCs w:val="24"/>
        </w:rPr>
        <w:t xml:space="preserve"> </w:t>
      </w:r>
      <w:r>
        <w:rPr>
          <w:rFonts w:ascii="Times New Roman" w:hAnsi="Times New Roman"/>
          <w:szCs w:val="24"/>
        </w:rPr>
        <w:t>занемарено</w:t>
      </w:r>
      <w:r w:rsidR="002D1DC8" w:rsidRPr="00295637">
        <w:rPr>
          <w:rFonts w:ascii="Times New Roman" w:hAnsi="Times New Roman"/>
          <w:szCs w:val="24"/>
        </w:rPr>
        <w:t xml:space="preserve">. </w:t>
      </w:r>
      <w:r>
        <w:rPr>
          <w:rFonts w:ascii="Times New Roman" w:hAnsi="Times New Roman"/>
          <w:szCs w:val="24"/>
        </w:rPr>
        <w:t>За</w:t>
      </w:r>
      <w:r w:rsidR="002D1DC8" w:rsidRPr="00295637">
        <w:rPr>
          <w:rFonts w:ascii="Times New Roman" w:hAnsi="Times New Roman"/>
          <w:szCs w:val="24"/>
        </w:rPr>
        <w:t xml:space="preserve"> </w:t>
      </w:r>
      <w:r>
        <w:rPr>
          <w:rFonts w:ascii="Times New Roman" w:hAnsi="Times New Roman"/>
          <w:szCs w:val="24"/>
        </w:rPr>
        <w:t>њих</w:t>
      </w:r>
      <w:r w:rsidR="002D1DC8" w:rsidRPr="00295637">
        <w:rPr>
          <w:rFonts w:ascii="Times New Roman" w:hAnsi="Times New Roman"/>
          <w:szCs w:val="24"/>
        </w:rPr>
        <w:t xml:space="preserve"> </w:t>
      </w:r>
      <w:r>
        <w:rPr>
          <w:rFonts w:ascii="Times New Roman" w:hAnsi="Times New Roman"/>
          <w:szCs w:val="24"/>
        </w:rPr>
        <w:t>појам</w:t>
      </w:r>
      <w:r w:rsidR="002D1DC8" w:rsidRPr="00295637">
        <w:rPr>
          <w:rFonts w:ascii="Times New Roman" w:hAnsi="Times New Roman"/>
          <w:szCs w:val="24"/>
        </w:rPr>
        <w:t xml:space="preserve"> "</w:t>
      </w:r>
      <w:r>
        <w:rPr>
          <w:rFonts w:ascii="Times New Roman" w:hAnsi="Times New Roman"/>
          <w:szCs w:val="24"/>
        </w:rPr>
        <w:t>ризик</w:t>
      </w:r>
      <w:r w:rsidR="002D1DC8" w:rsidRPr="00295637">
        <w:rPr>
          <w:rFonts w:ascii="Times New Roman" w:hAnsi="Times New Roman"/>
          <w:szCs w:val="24"/>
        </w:rPr>
        <w:t xml:space="preserve">" </w:t>
      </w:r>
      <w:r>
        <w:rPr>
          <w:rFonts w:ascii="Times New Roman" w:hAnsi="Times New Roman"/>
          <w:szCs w:val="24"/>
        </w:rPr>
        <w:t>првенствено</w:t>
      </w:r>
      <w:r w:rsidR="002D1DC8" w:rsidRPr="00295637">
        <w:rPr>
          <w:rFonts w:ascii="Times New Roman" w:hAnsi="Times New Roman"/>
          <w:szCs w:val="24"/>
        </w:rPr>
        <w:t xml:space="preserve"> </w:t>
      </w:r>
      <w:r>
        <w:rPr>
          <w:rFonts w:ascii="Times New Roman" w:hAnsi="Times New Roman"/>
          <w:szCs w:val="24"/>
        </w:rPr>
        <w:t>значи</w:t>
      </w:r>
      <w:r w:rsidR="002D1DC8" w:rsidRPr="00295637">
        <w:rPr>
          <w:rFonts w:ascii="Times New Roman" w:hAnsi="Times New Roman"/>
          <w:szCs w:val="24"/>
        </w:rPr>
        <w:t xml:space="preserve"> </w:t>
      </w:r>
      <w:r>
        <w:rPr>
          <w:rFonts w:ascii="Times New Roman" w:hAnsi="Times New Roman"/>
          <w:szCs w:val="24"/>
        </w:rPr>
        <w:t>ризике</w:t>
      </w:r>
      <w:r w:rsidR="002D1DC8" w:rsidRPr="00295637">
        <w:rPr>
          <w:rFonts w:ascii="Times New Roman" w:hAnsi="Times New Roman"/>
          <w:szCs w:val="24"/>
        </w:rPr>
        <w:t xml:space="preserve"> </w:t>
      </w:r>
      <w:r>
        <w:rPr>
          <w:rFonts w:ascii="Times New Roman" w:hAnsi="Times New Roman"/>
          <w:szCs w:val="24"/>
        </w:rPr>
        <w:t>за</w:t>
      </w:r>
      <w:r w:rsidR="002D1DC8" w:rsidRPr="00295637">
        <w:rPr>
          <w:rFonts w:ascii="Times New Roman" w:hAnsi="Times New Roman"/>
          <w:szCs w:val="24"/>
        </w:rPr>
        <w:t xml:space="preserve"> </w:t>
      </w:r>
      <w:r>
        <w:rPr>
          <w:rFonts w:ascii="Times New Roman" w:hAnsi="Times New Roman"/>
          <w:szCs w:val="24"/>
        </w:rPr>
        <w:t>предузеће</w:t>
      </w:r>
      <w:r w:rsidR="002D1DC8" w:rsidRPr="00295637">
        <w:rPr>
          <w:rFonts w:ascii="Times New Roman" w:hAnsi="Times New Roman"/>
          <w:szCs w:val="24"/>
        </w:rPr>
        <w:t xml:space="preserve">, </w:t>
      </w:r>
      <w:r>
        <w:rPr>
          <w:rFonts w:ascii="Times New Roman" w:hAnsi="Times New Roman"/>
          <w:szCs w:val="24"/>
        </w:rPr>
        <w:t>док</w:t>
      </w:r>
      <w:r w:rsidR="002D1DC8" w:rsidRPr="00295637">
        <w:rPr>
          <w:rFonts w:ascii="Times New Roman" w:hAnsi="Times New Roman"/>
          <w:szCs w:val="24"/>
        </w:rPr>
        <w:t xml:space="preserve"> </w:t>
      </w:r>
      <w:r>
        <w:rPr>
          <w:rFonts w:ascii="Times New Roman" w:hAnsi="Times New Roman"/>
          <w:szCs w:val="24"/>
        </w:rPr>
        <w:t>је</w:t>
      </w:r>
      <w:r w:rsidR="002D1DC8" w:rsidRPr="00295637">
        <w:rPr>
          <w:rFonts w:ascii="Times New Roman" w:hAnsi="Times New Roman"/>
          <w:szCs w:val="24"/>
        </w:rPr>
        <w:t xml:space="preserve"> </w:t>
      </w:r>
      <w:r>
        <w:rPr>
          <w:rFonts w:ascii="Times New Roman" w:hAnsi="Times New Roman"/>
          <w:szCs w:val="24"/>
        </w:rPr>
        <w:t>свијест</w:t>
      </w:r>
      <w:r w:rsidR="002D1DC8" w:rsidRPr="00295637">
        <w:rPr>
          <w:rFonts w:ascii="Times New Roman" w:hAnsi="Times New Roman"/>
          <w:szCs w:val="24"/>
        </w:rPr>
        <w:t xml:space="preserve"> </w:t>
      </w:r>
      <w:r>
        <w:rPr>
          <w:rFonts w:ascii="Times New Roman" w:hAnsi="Times New Roman"/>
          <w:szCs w:val="24"/>
        </w:rPr>
        <w:t>предузећа</w:t>
      </w:r>
      <w:r w:rsidR="002D1DC8" w:rsidRPr="00295637">
        <w:rPr>
          <w:rFonts w:ascii="Times New Roman" w:hAnsi="Times New Roman"/>
          <w:szCs w:val="24"/>
        </w:rPr>
        <w:t xml:space="preserve"> </w:t>
      </w:r>
      <w:r>
        <w:rPr>
          <w:rFonts w:ascii="Times New Roman" w:hAnsi="Times New Roman"/>
          <w:szCs w:val="24"/>
        </w:rPr>
        <w:t>о</w:t>
      </w:r>
      <w:r w:rsidR="002D1DC8" w:rsidRPr="00295637">
        <w:rPr>
          <w:rFonts w:ascii="Times New Roman" w:hAnsi="Times New Roman"/>
          <w:szCs w:val="24"/>
        </w:rPr>
        <w:t xml:space="preserve"> </w:t>
      </w:r>
      <w:r>
        <w:rPr>
          <w:rFonts w:ascii="Times New Roman" w:hAnsi="Times New Roman"/>
          <w:szCs w:val="24"/>
        </w:rPr>
        <w:t>ризику</w:t>
      </w:r>
      <w:r w:rsidR="002D1DC8" w:rsidRPr="00295637">
        <w:rPr>
          <w:rFonts w:ascii="Times New Roman" w:hAnsi="Times New Roman"/>
          <w:szCs w:val="24"/>
        </w:rPr>
        <w:t xml:space="preserve"> </w:t>
      </w:r>
      <w:r>
        <w:rPr>
          <w:rFonts w:ascii="Times New Roman" w:hAnsi="Times New Roman"/>
          <w:szCs w:val="24"/>
        </w:rPr>
        <w:t>њиховог</w:t>
      </w:r>
      <w:r w:rsidR="002D1DC8" w:rsidRPr="00295637">
        <w:rPr>
          <w:rFonts w:ascii="Times New Roman" w:hAnsi="Times New Roman"/>
          <w:szCs w:val="24"/>
        </w:rPr>
        <w:t xml:space="preserve"> </w:t>
      </w:r>
      <w:r>
        <w:rPr>
          <w:rFonts w:ascii="Times New Roman" w:hAnsi="Times New Roman"/>
          <w:szCs w:val="24"/>
        </w:rPr>
        <w:t>неповољног</w:t>
      </w:r>
      <w:r w:rsidR="002D1DC8" w:rsidRPr="00295637">
        <w:rPr>
          <w:rFonts w:ascii="Times New Roman" w:hAnsi="Times New Roman"/>
          <w:szCs w:val="24"/>
        </w:rPr>
        <w:t xml:space="preserve"> </w:t>
      </w:r>
      <w:r>
        <w:rPr>
          <w:rFonts w:ascii="Times New Roman" w:hAnsi="Times New Roman"/>
          <w:szCs w:val="24"/>
        </w:rPr>
        <w:t>утицаја</w:t>
      </w:r>
      <w:r w:rsidR="002D1DC8" w:rsidRPr="00295637">
        <w:rPr>
          <w:rFonts w:ascii="Times New Roman" w:hAnsi="Times New Roman"/>
          <w:szCs w:val="24"/>
        </w:rPr>
        <w:t xml:space="preserve"> </w:t>
      </w:r>
      <w:r>
        <w:rPr>
          <w:rFonts w:ascii="Times New Roman" w:hAnsi="Times New Roman"/>
          <w:szCs w:val="24"/>
        </w:rPr>
        <w:t>на</w:t>
      </w:r>
      <w:r w:rsidR="002D1DC8" w:rsidRPr="00295637">
        <w:rPr>
          <w:rFonts w:ascii="Times New Roman" w:hAnsi="Times New Roman"/>
          <w:szCs w:val="24"/>
        </w:rPr>
        <w:t xml:space="preserve"> </w:t>
      </w:r>
      <w:r>
        <w:rPr>
          <w:rFonts w:ascii="Times New Roman" w:hAnsi="Times New Roman"/>
          <w:szCs w:val="24"/>
        </w:rPr>
        <w:t>људска</w:t>
      </w:r>
      <w:r w:rsidR="002D1DC8" w:rsidRPr="00295637">
        <w:rPr>
          <w:rFonts w:ascii="Times New Roman" w:hAnsi="Times New Roman"/>
          <w:szCs w:val="24"/>
        </w:rPr>
        <w:t xml:space="preserve"> </w:t>
      </w:r>
      <w:r>
        <w:rPr>
          <w:rFonts w:ascii="Times New Roman" w:hAnsi="Times New Roman"/>
          <w:szCs w:val="24"/>
        </w:rPr>
        <w:t>права</w:t>
      </w:r>
      <w:r w:rsidR="002D1DC8" w:rsidRPr="00295637">
        <w:rPr>
          <w:rFonts w:ascii="Times New Roman" w:hAnsi="Times New Roman"/>
          <w:szCs w:val="24"/>
        </w:rPr>
        <w:t xml:space="preserve"> </w:t>
      </w:r>
      <w:r>
        <w:rPr>
          <w:rFonts w:ascii="Times New Roman" w:hAnsi="Times New Roman"/>
          <w:szCs w:val="24"/>
        </w:rPr>
        <w:t>врло</w:t>
      </w:r>
      <w:r w:rsidR="002D1DC8" w:rsidRPr="00295637">
        <w:rPr>
          <w:rFonts w:ascii="Times New Roman" w:hAnsi="Times New Roman"/>
          <w:szCs w:val="24"/>
        </w:rPr>
        <w:t xml:space="preserve"> </w:t>
      </w:r>
      <w:r>
        <w:rPr>
          <w:rFonts w:ascii="Times New Roman" w:hAnsi="Times New Roman"/>
          <w:szCs w:val="24"/>
        </w:rPr>
        <w:t>ниска</w:t>
      </w:r>
      <w:r w:rsidR="002D1DC8" w:rsidRPr="00295637">
        <w:rPr>
          <w:rFonts w:ascii="Times New Roman" w:hAnsi="Times New Roman"/>
          <w:szCs w:val="24"/>
        </w:rPr>
        <w:t xml:space="preserve">, </w:t>
      </w:r>
      <w:r>
        <w:rPr>
          <w:rFonts w:ascii="Times New Roman" w:hAnsi="Times New Roman"/>
          <w:szCs w:val="24"/>
        </w:rPr>
        <w:t>као</w:t>
      </w:r>
      <w:r w:rsidR="002D1DC8" w:rsidRPr="00295637">
        <w:rPr>
          <w:rFonts w:ascii="Times New Roman" w:hAnsi="Times New Roman"/>
          <w:szCs w:val="24"/>
        </w:rPr>
        <w:t xml:space="preserve"> </w:t>
      </w:r>
      <w:r>
        <w:rPr>
          <w:rFonts w:ascii="Times New Roman" w:hAnsi="Times New Roman"/>
          <w:szCs w:val="24"/>
        </w:rPr>
        <w:t>и</w:t>
      </w:r>
      <w:r w:rsidR="002D1DC8" w:rsidRPr="00295637">
        <w:rPr>
          <w:rFonts w:ascii="Times New Roman" w:hAnsi="Times New Roman"/>
          <w:szCs w:val="24"/>
        </w:rPr>
        <w:t xml:space="preserve"> </w:t>
      </w:r>
      <w:r>
        <w:rPr>
          <w:rFonts w:ascii="Times New Roman" w:hAnsi="Times New Roman"/>
          <w:szCs w:val="24"/>
        </w:rPr>
        <w:t>њихово</w:t>
      </w:r>
      <w:r w:rsidR="002D1DC8" w:rsidRPr="00295637">
        <w:rPr>
          <w:rFonts w:ascii="Times New Roman" w:hAnsi="Times New Roman"/>
          <w:szCs w:val="24"/>
        </w:rPr>
        <w:t xml:space="preserve"> </w:t>
      </w:r>
      <w:r>
        <w:rPr>
          <w:rFonts w:ascii="Times New Roman" w:hAnsi="Times New Roman"/>
          <w:szCs w:val="24"/>
        </w:rPr>
        <w:t>знање</w:t>
      </w:r>
      <w:r w:rsidR="002D1DC8" w:rsidRPr="00295637">
        <w:rPr>
          <w:rFonts w:ascii="Times New Roman" w:hAnsi="Times New Roman"/>
          <w:szCs w:val="24"/>
        </w:rPr>
        <w:t>/</w:t>
      </w:r>
      <w:r>
        <w:rPr>
          <w:rFonts w:ascii="Times New Roman" w:hAnsi="Times New Roman"/>
          <w:szCs w:val="24"/>
        </w:rPr>
        <w:t>пракса</w:t>
      </w:r>
      <w:r w:rsidR="002D1DC8" w:rsidRPr="00295637">
        <w:rPr>
          <w:rFonts w:ascii="Times New Roman" w:hAnsi="Times New Roman"/>
          <w:szCs w:val="24"/>
        </w:rPr>
        <w:t xml:space="preserve"> </w:t>
      </w:r>
      <w:r>
        <w:rPr>
          <w:rFonts w:ascii="Times New Roman" w:hAnsi="Times New Roman"/>
          <w:szCs w:val="24"/>
        </w:rPr>
        <w:t>о</w:t>
      </w:r>
      <w:r w:rsidR="002D1DC8" w:rsidRPr="00295637">
        <w:rPr>
          <w:rFonts w:ascii="Times New Roman" w:hAnsi="Times New Roman"/>
          <w:szCs w:val="24"/>
        </w:rPr>
        <w:t xml:space="preserve"> </w:t>
      </w:r>
      <w:r>
        <w:rPr>
          <w:rFonts w:ascii="Times New Roman" w:hAnsi="Times New Roman"/>
          <w:szCs w:val="24"/>
        </w:rPr>
        <w:t>људским</w:t>
      </w:r>
      <w:r w:rsidR="002D1DC8" w:rsidRPr="00295637">
        <w:rPr>
          <w:rFonts w:ascii="Times New Roman" w:hAnsi="Times New Roman"/>
          <w:szCs w:val="24"/>
        </w:rPr>
        <w:t xml:space="preserve"> </w:t>
      </w:r>
      <w:r>
        <w:rPr>
          <w:rFonts w:ascii="Times New Roman" w:hAnsi="Times New Roman"/>
          <w:szCs w:val="24"/>
        </w:rPr>
        <w:t>правима</w:t>
      </w:r>
      <w:r w:rsidR="002D1DC8" w:rsidRPr="00295637">
        <w:rPr>
          <w:rFonts w:ascii="Times New Roman" w:hAnsi="Times New Roman"/>
          <w:szCs w:val="24"/>
        </w:rPr>
        <w:t>.</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Овом</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конференцијом</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указано</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је</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на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акције</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ризика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за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људска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права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жена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на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радном</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мјесту</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и</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омогућен</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је</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јавности</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увид</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у</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случајеве</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кршења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људских</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права</w:t>
      </w:r>
      <w:r w:rsidR="002D1DC8" w:rsidRPr="00295637">
        <w:rPr>
          <w:rFonts w:ascii="Times New Roman" w:hAnsi="Times New Roman"/>
          <w:szCs w:val="24"/>
          <w:lang w:val="sr-Latn-BA" w:eastAsia="sr-Latn-BA"/>
        </w:rPr>
        <w:t>/</w:t>
      </w:r>
      <w:r>
        <w:rPr>
          <w:rFonts w:ascii="Times New Roman" w:hAnsi="Times New Roman"/>
          <w:szCs w:val="24"/>
          <w:lang w:val="sr-Latn-BA" w:eastAsia="sr-Latn-BA"/>
        </w:rPr>
        <w:t>родно</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заснованог</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насиља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Овај</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догађај</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је</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послужио</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као</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платформа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за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представљање</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механизама</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промоције</w:t>
      </w:r>
      <w:r w:rsidR="004B269F">
        <w:rPr>
          <w:rFonts w:ascii="Times New Roman" w:hAnsi="Times New Roman"/>
          <w:szCs w:val="24"/>
          <w:lang w:val="sr-Latn-BA" w:eastAsia="sr-Latn-BA"/>
        </w:rPr>
        <w:t xml:space="preserve">, </w:t>
      </w:r>
      <w:r>
        <w:rPr>
          <w:rFonts w:ascii="Times New Roman" w:hAnsi="Times New Roman"/>
          <w:szCs w:val="24"/>
          <w:lang w:val="sr-Latn-BA" w:eastAsia="sr-Latn-BA"/>
        </w:rPr>
        <w:t>те</w:t>
      </w:r>
      <w:r w:rsidR="004B269F">
        <w:rPr>
          <w:rFonts w:ascii="Times New Roman" w:hAnsi="Times New Roman"/>
          <w:szCs w:val="24"/>
          <w:lang w:val="sr-Latn-BA" w:eastAsia="sr-Latn-BA"/>
        </w:rPr>
        <w:t xml:space="preserve"> </w:t>
      </w:r>
      <w:r>
        <w:rPr>
          <w:rFonts w:ascii="Times New Roman" w:hAnsi="Times New Roman"/>
          <w:szCs w:val="24"/>
          <w:lang w:val="sr-Latn-BA" w:eastAsia="sr-Latn-BA"/>
        </w:rPr>
        <w:t>заштите</w:t>
      </w:r>
      <w:r w:rsidR="004B269F">
        <w:rPr>
          <w:rFonts w:ascii="Times New Roman" w:hAnsi="Times New Roman"/>
          <w:szCs w:val="24"/>
          <w:lang w:val="sr-Latn-BA" w:eastAsia="sr-Latn-BA"/>
        </w:rPr>
        <w:t xml:space="preserve"> </w:t>
      </w:r>
      <w:r>
        <w:rPr>
          <w:rFonts w:ascii="Times New Roman" w:hAnsi="Times New Roman"/>
          <w:szCs w:val="24"/>
          <w:lang w:val="sr-Latn-BA" w:eastAsia="sr-Latn-BA"/>
        </w:rPr>
        <w:t>права</w:t>
      </w:r>
      <w:r w:rsidR="004B269F">
        <w:rPr>
          <w:rFonts w:ascii="Times New Roman" w:hAnsi="Times New Roman"/>
          <w:szCs w:val="24"/>
          <w:lang w:val="sr-Latn-BA" w:eastAsia="sr-Latn-BA"/>
        </w:rPr>
        <w:t xml:space="preserve"> </w:t>
      </w:r>
      <w:r>
        <w:rPr>
          <w:rFonts w:ascii="Times New Roman" w:hAnsi="Times New Roman"/>
          <w:szCs w:val="24"/>
          <w:lang w:val="sr-Latn-BA" w:eastAsia="sr-Latn-BA"/>
        </w:rPr>
        <w:t>жена</w:t>
      </w:r>
      <w:r w:rsidR="004B269F">
        <w:rPr>
          <w:rFonts w:ascii="Times New Roman" w:hAnsi="Times New Roman"/>
          <w:szCs w:val="24"/>
          <w:lang w:val="sr-Latn-BA" w:eastAsia="sr-Latn-BA"/>
        </w:rPr>
        <w:t xml:space="preserve"> </w:t>
      </w:r>
      <w:r>
        <w:rPr>
          <w:rFonts w:ascii="Times New Roman" w:hAnsi="Times New Roman"/>
          <w:szCs w:val="24"/>
          <w:lang w:val="sr-Latn-BA" w:eastAsia="sr-Latn-BA"/>
        </w:rPr>
        <w:t>и</w:t>
      </w:r>
      <w:r w:rsidR="004B269F">
        <w:rPr>
          <w:rFonts w:ascii="Times New Roman" w:hAnsi="Times New Roman"/>
          <w:szCs w:val="24"/>
          <w:lang w:val="sr-Latn-BA" w:eastAsia="sr-Latn-BA"/>
        </w:rPr>
        <w:t xml:space="preserve"> </w:t>
      </w:r>
      <w:r>
        <w:rPr>
          <w:rFonts w:ascii="Times New Roman" w:hAnsi="Times New Roman"/>
          <w:szCs w:val="24"/>
          <w:lang w:val="sr-Latn-BA" w:eastAsia="sr-Latn-BA"/>
        </w:rPr>
        <w:t>антидискриминаци</w:t>
      </w:r>
      <w:r w:rsidR="00EC3CBA">
        <w:rPr>
          <w:rFonts w:ascii="Times New Roman" w:hAnsi="Times New Roman"/>
          <w:szCs w:val="24"/>
          <w:lang w:val="sr-Cyrl-BA" w:eastAsia="sr-Latn-BA"/>
        </w:rPr>
        <w:t>оних</w:t>
      </w:r>
      <w:r w:rsidR="002D1DC8" w:rsidRPr="00295637">
        <w:rPr>
          <w:rFonts w:ascii="Times New Roman" w:hAnsi="Times New Roman"/>
          <w:szCs w:val="24"/>
          <w:lang w:val="sr-Latn-BA" w:eastAsia="sr-Latn-BA"/>
        </w:rPr>
        <w:t xml:space="preserve"> </w:t>
      </w:r>
      <w:r>
        <w:rPr>
          <w:rFonts w:ascii="Times New Roman" w:hAnsi="Times New Roman"/>
          <w:szCs w:val="24"/>
          <w:lang w:val="sr-Latn-BA" w:eastAsia="sr-Latn-BA"/>
        </w:rPr>
        <w:t>пракси</w:t>
      </w:r>
      <w:r w:rsidR="002D1DC8">
        <w:rPr>
          <w:rFonts w:ascii="Times New Roman" w:hAnsi="Times New Roman"/>
          <w:szCs w:val="24"/>
          <w:lang w:val="sr-Latn-BA" w:eastAsia="sr-Latn-BA"/>
        </w:rPr>
        <w:t>.</w:t>
      </w:r>
    </w:p>
    <w:p w:rsidR="004D7654" w:rsidRDefault="004D7654" w:rsidP="0086268D">
      <w:pPr>
        <w:jc w:val="both"/>
        <w:rPr>
          <w:rFonts w:ascii="Times New Roman" w:hAnsi="Times New Roman"/>
          <w:szCs w:val="24"/>
          <w:lang w:val="sr-Latn-BA" w:eastAsia="sr-Latn-BA"/>
        </w:rPr>
      </w:pPr>
    </w:p>
    <w:p w:rsidR="006A104D" w:rsidRDefault="00C6214E" w:rsidP="0086268D">
      <w:pPr>
        <w:jc w:val="both"/>
        <w:rPr>
          <w:rFonts w:ascii="Times New Roman" w:hAnsi="Times New Roman"/>
          <w:szCs w:val="24"/>
          <w:lang w:val="bs-Latn-BA"/>
        </w:rPr>
      </w:pPr>
      <w:r>
        <w:rPr>
          <w:rFonts w:ascii="Times New Roman" w:hAnsi="Times New Roman"/>
          <w:szCs w:val="24"/>
          <w:lang w:val="bs-Latn-BA"/>
        </w:rPr>
        <w:t>АР</w:t>
      </w:r>
      <w:r w:rsidR="00EC3CBA">
        <w:rPr>
          <w:rFonts w:ascii="Times New Roman" w:hAnsi="Times New Roman"/>
          <w:szCs w:val="24"/>
          <w:lang w:val="sr-Cyrl-BA"/>
        </w:rPr>
        <w:t>П</w:t>
      </w:r>
      <w:r w:rsidR="006A104D">
        <w:rPr>
          <w:rFonts w:ascii="Times New Roman" w:hAnsi="Times New Roman"/>
          <w:szCs w:val="24"/>
          <w:lang w:val="bs-Latn-BA"/>
        </w:rPr>
        <w:t xml:space="preserve"> </w:t>
      </w:r>
      <w:r>
        <w:rPr>
          <w:rFonts w:ascii="Times New Roman" w:hAnsi="Times New Roman"/>
          <w:szCs w:val="24"/>
          <w:lang w:val="bs-Latn-BA"/>
        </w:rPr>
        <w:t>БиХ</w:t>
      </w:r>
      <w:r w:rsidR="004B269F">
        <w:rPr>
          <w:rFonts w:ascii="Times New Roman" w:hAnsi="Times New Roman"/>
          <w:szCs w:val="24"/>
          <w:lang w:val="bs-Latn-BA"/>
        </w:rPr>
        <w:t xml:space="preserve"> </w:t>
      </w:r>
      <w:r>
        <w:rPr>
          <w:rFonts w:ascii="Times New Roman" w:hAnsi="Times New Roman"/>
          <w:szCs w:val="24"/>
          <w:lang w:val="bs-Latn-BA"/>
        </w:rPr>
        <w:t>МЉПИ</w:t>
      </w:r>
      <w:r w:rsidR="004B269F">
        <w:rPr>
          <w:rFonts w:ascii="Times New Roman" w:hAnsi="Times New Roman"/>
          <w:szCs w:val="24"/>
          <w:lang w:val="bs-Latn-BA"/>
        </w:rPr>
        <w:t xml:space="preserve"> </w:t>
      </w:r>
      <w:r>
        <w:rPr>
          <w:rFonts w:ascii="Times New Roman" w:hAnsi="Times New Roman"/>
          <w:szCs w:val="24"/>
          <w:lang w:val="bs-Latn-BA"/>
        </w:rPr>
        <w:t>БиХ</w:t>
      </w:r>
      <w:r w:rsidR="006A104D">
        <w:rPr>
          <w:rFonts w:ascii="Times New Roman" w:hAnsi="Times New Roman"/>
          <w:szCs w:val="24"/>
          <w:lang w:val="bs-Latn-BA"/>
        </w:rPr>
        <w:t xml:space="preserve"> </w:t>
      </w:r>
      <w:r>
        <w:rPr>
          <w:rFonts w:ascii="Times New Roman" w:hAnsi="Times New Roman"/>
          <w:szCs w:val="24"/>
          <w:lang w:val="bs-Latn-BA"/>
        </w:rPr>
        <w:t>наставља</w:t>
      </w:r>
      <w:r w:rsidR="006A104D">
        <w:rPr>
          <w:rFonts w:ascii="Times New Roman" w:hAnsi="Times New Roman"/>
          <w:szCs w:val="24"/>
          <w:lang w:val="bs-Latn-BA"/>
        </w:rPr>
        <w:t xml:space="preserve"> </w:t>
      </w:r>
      <w:r>
        <w:rPr>
          <w:rFonts w:ascii="Times New Roman" w:hAnsi="Times New Roman"/>
          <w:szCs w:val="24"/>
          <w:lang w:val="bs-Latn-BA"/>
        </w:rPr>
        <w:t>редовно</w:t>
      </w:r>
      <w:r w:rsidR="006A104D">
        <w:rPr>
          <w:rFonts w:ascii="Times New Roman" w:hAnsi="Times New Roman"/>
          <w:szCs w:val="24"/>
          <w:lang w:val="bs-Latn-BA"/>
        </w:rPr>
        <w:t xml:space="preserve"> </w:t>
      </w:r>
      <w:r>
        <w:rPr>
          <w:rFonts w:ascii="Times New Roman" w:hAnsi="Times New Roman"/>
          <w:szCs w:val="24"/>
          <w:lang w:val="bs-Latn-BA"/>
        </w:rPr>
        <w:t>одржавати</w:t>
      </w:r>
      <w:r w:rsidR="004B269F">
        <w:rPr>
          <w:rFonts w:ascii="Times New Roman" w:hAnsi="Times New Roman"/>
          <w:szCs w:val="24"/>
          <w:lang w:val="bs-Latn-BA"/>
        </w:rPr>
        <w:t xml:space="preserve"> </w:t>
      </w:r>
      <w:r>
        <w:rPr>
          <w:rFonts w:ascii="Times New Roman" w:hAnsi="Times New Roman"/>
          <w:szCs w:val="24"/>
          <w:lang w:val="bs-Latn-BA"/>
        </w:rPr>
        <w:t>састанке</w:t>
      </w:r>
      <w:r w:rsidR="004B269F">
        <w:rPr>
          <w:rFonts w:ascii="Times New Roman" w:hAnsi="Times New Roman"/>
          <w:szCs w:val="24"/>
          <w:lang w:val="bs-Latn-BA"/>
        </w:rPr>
        <w:t xml:space="preserve"> </w:t>
      </w:r>
      <w:r>
        <w:rPr>
          <w:rFonts w:ascii="Times New Roman" w:hAnsi="Times New Roman"/>
          <w:szCs w:val="24"/>
          <w:lang w:val="bs-Latn-BA"/>
        </w:rPr>
        <w:t>са</w:t>
      </w:r>
      <w:r w:rsidR="006A104D">
        <w:rPr>
          <w:rFonts w:ascii="Times New Roman" w:hAnsi="Times New Roman"/>
          <w:szCs w:val="24"/>
          <w:lang w:val="bs-Latn-BA"/>
        </w:rPr>
        <w:t xml:space="preserve"> </w:t>
      </w:r>
      <w:r>
        <w:rPr>
          <w:rFonts w:ascii="Times New Roman" w:hAnsi="Times New Roman"/>
          <w:szCs w:val="24"/>
          <w:lang w:val="bs-Latn-BA"/>
        </w:rPr>
        <w:t>НВО</w:t>
      </w:r>
      <w:r w:rsidR="00371E55">
        <w:rPr>
          <w:rFonts w:ascii="Times New Roman" w:hAnsi="Times New Roman"/>
          <w:szCs w:val="24"/>
          <w:lang w:val="bs-Latn-BA"/>
        </w:rPr>
        <w:t xml:space="preserve"> </w:t>
      </w:r>
      <w:r>
        <w:rPr>
          <w:rFonts w:ascii="Times New Roman" w:hAnsi="Times New Roman"/>
          <w:szCs w:val="24"/>
          <w:lang w:val="bs-Latn-BA"/>
        </w:rPr>
        <w:t>у</w:t>
      </w:r>
      <w:r w:rsidR="00371E55">
        <w:rPr>
          <w:rFonts w:ascii="Times New Roman" w:hAnsi="Times New Roman"/>
          <w:szCs w:val="24"/>
          <w:lang w:val="bs-Latn-BA"/>
        </w:rPr>
        <w:t xml:space="preserve"> </w:t>
      </w:r>
      <w:r>
        <w:rPr>
          <w:rFonts w:ascii="Times New Roman" w:hAnsi="Times New Roman"/>
          <w:szCs w:val="24"/>
          <w:lang w:val="bs-Latn-BA"/>
        </w:rPr>
        <w:t>сврху</w:t>
      </w:r>
      <w:r w:rsidR="006A104D">
        <w:rPr>
          <w:rFonts w:ascii="Times New Roman" w:hAnsi="Times New Roman"/>
          <w:szCs w:val="24"/>
          <w:lang w:val="bs-Latn-BA"/>
        </w:rPr>
        <w:t xml:space="preserve"> </w:t>
      </w:r>
      <w:r>
        <w:rPr>
          <w:rFonts w:ascii="Times New Roman" w:hAnsi="Times New Roman"/>
          <w:szCs w:val="24"/>
          <w:lang w:val="bs-Latn-BA"/>
        </w:rPr>
        <w:t>консултација</w:t>
      </w:r>
      <w:r w:rsidR="006A104D">
        <w:rPr>
          <w:rFonts w:ascii="Times New Roman" w:hAnsi="Times New Roman"/>
          <w:szCs w:val="24"/>
          <w:lang w:val="bs-Latn-BA"/>
        </w:rPr>
        <w:t xml:space="preserve"> </w:t>
      </w:r>
      <w:r>
        <w:rPr>
          <w:rFonts w:ascii="Times New Roman" w:hAnsi="Times New Roman"/>
          <w:szCs w:val="24"/>
          <w:lang w:val="bs-Latn-BA"/>
        </w:rPr>
        <w:t>и</w:t>
      </w:r>
      <w:r w:rsidR="006A104D">
        <w:rPr>
          <w:rFonts w:ascii="Times New Roman" w:hAnsi="Times New Roman"/>
          <w:szCs w:val="24"/>
          <w:lang w:val="bs-Latn-BA"/>
        </w:rPr>
        <w:t xml:space="preserve"> </w:t>
      </w:r>
      <w:r>
        <w:rPr>
          <w:rFonts w:ascii="Times New Roman" w:hAnsi="Times New Roman"/>
          <w:szCs w:val="24"/>
          <w:lang w:val="bs-Latn-BA"/>
        </w:rPr>
        <w:t>заједничког</w:t>
      </w:r>
      <w:r w:rsidR="006A104D">
        <w:rPr>
          <w:rFonts w:ascii="Times New Roman" w:hAnsi="Times New Roman"/>
          <w:szCs w:val="24"/>
          <w:lang w:val="bs-Latn-BA"/>
        </w:rPr>
        <w:t xml:space="preserve"> </w:t>
      </w:r>
      <w:r>
        <w:rPr>
          <w:rFonts w:ascii="Times New Roman" w:hAnsi="Times New Roman"/>
          <w:szCs w:val="24"/>
          <w:lang w:val="bs-Latn-BA"/>
        </w:rPr>
        <w:t>планирања</w:t>
      </w:r>
      <w:r w:rsidR="00371E55">
        <w:rPr>
          <w:rFonts w:ascii="Times New Roman" w:hAnsi="Times New Roman"/>
          <w:szCs w:val="24"/>
          <w:lang w:val="bs-Latn-BA"/>
        </w:rPr>
        <w:t>;</w:t>
      </w:r>
      <w:r w:rsidR="007E36F3">
        <w:rPr>
          <w:rFonts w:ascii="Times New Roman" w:hAnsi="Times New Roman"/>
          <w:szCs w:val="24"/>
          <w:lang w:val="bs-Latn-BA"/>
        </w:rPr>
        <w:t xml:space="preserve"> </w:t>
      </w:r>
      <w:r>
        <w:rPr>
          <w:rFonts w:ascii="Times New Roman" w:hAnsi="Times New Roman"/>
          <w:szCs w:val="24"/>
          <w:lang w:val="bs-Latn-BA"/>
        </w:rPr>
        <w:t>континуирано</w:t>
      </w:r>
      <w:r w:rsidR="00371E55">
        <w:rPr>
          <w:rFonts w:ascii="Times New Roman" w:hAnsi="Times New Roman"/>
          <w:szCs w:val="24"/>
          <w:lang w:val="bs-Latn-BA"/>
        </w:rPr>
        <w:t xml:space="preserve"> </w:t>
      </w:r>
      <w:r>
        <w:rPr>
          <w:rFonts w:ascii="Times New Roman" w:hAnsi="Times New Roman"/>
          <w:szCs w:val="24"/>
          <w:lang w:val="bs-Latn-BA"/>
        </w:rPr>
        <w:t>сарађује</w:t>
      </w:r>
      <w:r w:rsidR="004B269F">
        <w:rPr>
          <w:rFonts w:ascii="Times New Roman" w:hAnsi="Times New Roman"/>
          <w:szCs w:val="24"/>
          <w:lang w:val="bs-Latn-BA"/>
        </w:rPr>
        <w:t xml:space="preserve"> </w:t>
      </w:r>
      <w:r>
        <w:rPr>
          <w:rFonts w:ascii="Times New Roman" w:hAnsi="Times New Roman"/>
          <w:szCs w:val="24"/>
          <w:lang w:val="bs-Latn-BA"/>
        </w:rPr>
        <w:t>са</w:t>
      </w:r>
      <w:r w:rsidR="006B142B">
        <w:rPr>
          <w:rFonts w:ascii="Times New Roman" w:hAnsi="Times New Roman"/>
          <w:szCs w:val="24"/>
          <w:lang w:val="bs-Latn-BA"/>
        </w:rPr>
        <w:t xml:space="preserve"> </w:t>
      </w:r>
      <w:r>
        <w:rPr>
          <w:rFonts w:ascii="Times New Roman" w:hAnsi="Times New Roman"/>
          <w:szCs w:val="24"/>
          <w:lang w:val="bs-Latn-BA"/>
        </w:rPr>
        <w:t>НВО</w:t>
      </w:r>
      <w:r w:rsidR="006B142B">
        <w:rPr>
          <w:rFonts w:ascii="Times New Roman" w:hAnsi="Times New Roman"/>
          <w:szCs w:val="24"/>
          <w:lang w:val="bs-Latn-BA"/>
        </w:rPr>
        <w:t xml:space="preserve"> </w:t>
      </w:r>
      <w:r>
        <w:rPr>
          <w:rFonts w:ascii="Times New Roman" w:hAnsi="Times New Roman"/>
          <w:szCs w:val="24"/>
          <w:lang w:val="bs-Latn-BA"/>
        </w:rPr>
        <w:t>на</w:t>
      </w:r>
      <w:r w:rsidR="006B142B">
        <w:rPr>
          <w:rFonts w:ascii="Times New Roman" w:hAnsi="Times New Roman"/>
          <w:szCs w:val="24"/>
          <w:lang w:val="bs-Latn-BA"/>
        </w:rPr>
        <w:t xml:space="preserve"> </w:t>
      </w:r>
      <w:r w:rsidR="00EC3CBA">
        <w:rPr>
          <w:rFonts w:ascii="Times New Roman" w:hAnsi="Times New Roman"/>
          <w:szCs w:val="24"/>
          <w:lang w:val="sr-Cyrl-BA"/>
        </w:rPr>
        <w:t>спровођењу</w:t>
      </w:r>
      <w:r w:rsidR="006B142B">
        <w:rPr>
          <w:rFonts w:ascii="Times New Roman" w:hAnsi="Times New Roman"/>
          <w:szCs w:val="24"/>
          <w:lang w:val="bs-Latn-BA"/>
        </w:rPr>
        <w:t xml:space="preserve"> </w:t>
      </w:r>
      <w:r>
        <w:rPr>
          <w:rFonts w:ascii="Times New Roman" w:hAnsi="Times New Roman"/>
          <w:szCs w:val="24"/>
          <w:lang w:val="bs-Latn-BA"/>
        </w:rPr>
        <w:t>потписаних</w:t>
      </w:r>
      <w:r w:rsidR="006B142B">
        <w:rPr>
          <w:rFonts w:ascii="Times New Roman" w:hAnsi="Times New Roman"/>
          <w:szCs w:val="24"/>
          <w:lang w:val="bs-Latn-BA"/>
        </w:rPr>
        <w:t xml:space="preserve"> </w:t>
      </w:r>
      <w:r>
        <w:rPr>
          <w:rFonts w:ascii="Times New Roman" w:hAnsi="Times New Roman"/>
          <w:szCs w:val="24"/>
          <w:lang w:val="bs-Latn-BA"/>
        </w:rPr>
        <w:t>меморандума</w:t>
      </w:r>
      <w:r w:rsidR="006B142B">
        <w:rPr>
          <w:rFonts w:ascii="Times New Roman" w:hAnsi="Times New Roman"/>
          <w:szCs w:val="24"/>
          <w:lang w:val="bs-Latn-BA"/>
        </w:rPr>
        <w:t xml:space="preserve"> </w:t>
      </w:r>
      <w:r>
        <w:rPr>
          <w:rFonts w:ascii="Times New Roman" w:hAnsi="Times New Roman"/>
          <w:szCs w:val="24"/>
          <w:lang w:val="bs-Latn-BA"/>
        </w:rPr>
        <w:t>о</w:t>
      </w:r>
      <w:r w:rsidR="006B142B">
        <w:rPr>
          <w:rFonts w:ascii="Times New Roman" w:hAnsi="Times New Roman"/>
          <w:szCs w:val="24"/>
          <w:lang w:val="bs-Latn-BA"/>
        </w:rPr>
        <w:t xml:space="preserve"> </w:t>
      </w:r>
      <w:r>
        <w:rPr>
          <w:rFonts w:ascii="Times New Roman" w:hAnsi="Times New Roman"/>
          <w:szCs w:val="24"/>
          <w:lang w:val="bs-Latn-BA"/>
        </w:rPr>
        <w:t>сарадњи</w:t>
      </w:r>
      <w:r w:rsidR="006B142B">
        <w:rPr>
          <w:rFonts w:ascii="Times New Roman" w:hAnsi="Times New Roman"/>
          <w:szCs w:val="24"/>
          <w:lang w:val="bs-Latn-BA"/>
        </w:rPr>
        <w:t xml:space="preserve"> (</w:t>
      </w:r>
      <w:r>
        <w:rPr>
          <w:rFonts w:ascii="Times New Roman" w:hAnsi="Times New Roman"/>
          <w:szCs w:val="24"/>
          <w:lang w:val="bs-Latn-BA"/>
        </w:rPr>
        <w:t>нпр</w:t>
      </w:r>
      <w:r w:rsidR="006B142B">
        <w:rPr>
          <w:rFonts w:ascii="Times New Roman" w:hAnsi="Times New Roman"/>
          <w:szCs w:val="24"/>
          <w:lang w:val="bs-Latn-BA"/>
        </w:rPr>
        <w:t xml:space="preserve">. </w:t>
      </w:r>
      <w:r>
        <w:rPr>
          <w:rFonts w:ascii="Times New Roman" w:hAnsi="Times New Roman"/>
          <w:szCs w:val="24"/>
          <w:lang w:val="bs-Latn-BA"/>
        </w:rPr>
        <w:t>са</w:t>
      </w:r>
      <w:r w:rsidR="006B142B">
        <w:rPr>
          <w:rFonts w:ascii="Times New Roman" w:hAnsi="Times New Roman"/>
          <w:szCs w:val="24"/>
          <w:lang w:val="bs-Latn-BA"/>
        </w:rPr>
        <w:t xml:space="preserve"> „</w:t>
      </w:r>
      <w:r>
        <w:rPr>
          <w:rFonts w:ascii="Times New Roman" w:hAnsi="Times New Roman"/>
          <w:szCs w:val="24"/>
          <w:lang w:val="bs-Latn-BA"/>
        </w:rPr>
        <w:t>Сигурном</w:t>
      </w:r>
      <w:r w:rsidR="006B142B">
        <w:rPr>
          <w:rFonts w:ascii="Times New Roman" w:hAnsi="Times New Roman"/>
          <w:szCs w:val="24"/>
          <w:lang w:val="bs-Latn-BA"/>
        </w:rPr>
        <w:t xml:space="preserve"> </w:t>
      </w:r>
      <w:r>
        <w:rPr>
          <w:rFonts w:ascii="Times New Roman" w:hAnsi="Times New Roman"/>
          <w:szCs w:val="24"/>
          <w:lang w:val="bs-Latn-BA"/>
        </w:rPr>
        <w:t>мрежом</w:t>
      </w:r>
      <w:r w:rsidR="006B142B">
        <w:rPr>
          <w:rFonts w:ascii="Times New Roman" w:hAnsi="Times New Roman"/>
          <w:szCs w:val="24"/>
          <w:lang w:val="bs-Latn-BA"/>
        </w:rPr>
        <w:t>“</w:t>
      </w:r>
      <w:r w:rsidR="00371E55">
        <w:rPr>
          <w:rFonts w:ascii="Times New Roman" w:hAnsi="Times New Roman"/>
          <w:szCs w:val="24"/>
          <w:lang w:val="bs-Latn-BA"/>
        </w:rPr>
        <w:t>,</w:t>
      </w:r>
      <w:r w:rsidR="00240274">
        <w:rPr>
          <w:rFonts w:ascii="Times New Roman" w:hAnsi="Times New Roman"/>
          <w:szCs w:val="24"/>
          <w:lang w:val="bs-Latn-BA"/>
        </w:rPr>
        <w:t xml:space="preserve"> „</w:t>
      </w:r>
      <w:r>
        <w:rPr>
          <w:rFonts w:ascii="Times New Roman" w:hAnsi="Times New Roman"/>
          <w:szCs w:val="24"/>
          <w:lang w:val="bs-Latn-BA"/>
        </w:rPr>
        <w:t>Мрежа</w:t>
      </w:r>
      <w:r w:rsidR="00240274">
        <w:rPr>
          <w:rFonts w:ascii="Times New Roman" w:hAnsi="Times New Roman"/>
          <w:szCs w:val="24"/>
          <w:lang w:val="bs-Latn-BA"/>
        </w:rPr>
        <w:t xml:space="preserve"> </w:t>
      </w:r>
      <w:r>
        <w:rPr>
          <w:rFonts w:ascii="Times New Roman" w:hAnsi="Times New Roman"/>
          <w:szCs w:val="24"/>
          <w:lang w:val="bs-Latn-BA"/>
        </w:rPr>
        <w:t>бранитељ</w:t>
      </w:r>
      <w:r w:rsidR="00EC3CBA">
        <w:rPr>
          <w:rFonts w:ascii="Times New Roman" w:hAnsi="Times New Roman"/>
          <w:szCs w:val="24"/>
          <w:lang w:val="sr-Cyrl-BA"/>
        </w:rPr>
        <w:t>ки</w:t>
      </w:r>
      <w:r w:rsidR="00240274">
        <w:rPr>
          <w:rFonts w:ascii="Times New Roman" w:hAnsi="Times New Roman"/>
          <w:szCs w:val="24"/>
          <w:lang w:val="bs-Latn-BA"/>
        </w:rPr>
        <w:t xml:space="preserve"> </w:t>
      </w:r>
      <w:r>
        <w:rPr>
          <w:rFonts w:ascii="Times New Roman" w:hAnsi="Times New Roman"/>
          <w:szCs w:val="24"/>
          <w:lang w:val="bs-Latn-BA"/>
        </w:rPr>
        <w:t>људских</w:t>
      </w:r>
      <w:r w:rsidR="00240274">
        <w:rPr>
          <w:rFonts w:ascii="Times New Roman" w:hAnsi="Times New Roman"/>
          <w:szCs w:val="24"/>
          <w:lang w:val="bs-Latn-BA"/>
        </w:rPr>
        <w:t xml:space="preserve"> </w:t>
      </w:r>
      <w:r>
        <w:rPr>
          <w:rFonts w:ascii="Times New Roman" w:hAnsi="Times New Roman"/>
          <w:szCs w:val="24"/>
          <w:lang w:val="bs-Latn-BA"/>
        </w:rPr>
        <w:t>права</w:t>
      </w:r>
      <w:r w:rsidR="00240274">
        <w:rPr>
          <w:rFonts w:ascii="Times New Roman" w:hAnsi="Times New Roman"/>
          <w:szCs w:val="24"/>
          <w:lang w:val="bs-Latn-BA"/>
        </w:rPr>
        <w:t>“, „</w:t>
      </w:r>
      <w:r>
        <w:rPr>
          <w:rFonts w:ascii="Times New Roman" w:hAnsi="Times New Roman"/>
          <w:szCs w:val="24"/>
          <w:lang w:val="bs-Latn-BA"/>
        </w:rPr>
        <w:t>Мрежа</w:t>
      </w:r>
      <w:r w:rsidR="00240274">
        <w:rPr>
          <w:rFonts w:ascii="Times New Roman" w:hAnsi="Times New Roman"/>
          <w:szCs w:val="24"/>
          <w:lang w:val="bs-Latn-BA"/>
        </w:rPr>
        <w:t xml:space="preserve"> </w:t>
      </w:r>
      <w:r>
        <w:rPr>
          <w:rFonts w:ascii="Times New Roman" w:hAnsi="Times New Roman"/>
          <w:szCs w:val="24"/>
          <w:lang w:val="bs-Latn-BA"/>
        </w:rPr>
        <w:t>за</w:t>
      </w:r>
      <w:r w:rsidR="00240274">
        <w:rPr>
          <w:rFonts w:ascii="Times New Roman" w:hAnsi="Times New Roman"/>
          <w:szCs w:val="24"/>
          <w:lang w:val="bs-Latn-BA"/>
        </w:rPr>
        <w:t xml:space="preserve"> </w:t>
      </w:r>
      <w:r w:rsidR="00EC3CBA">
        <w:rPr>
          <w:rFonts w:ascii="Times New Roman" w:hAnsi="Times New Roman"/>
          <w:szCs w:val="24"/>
          <w:lang w:val="sr-Cyrl-BA"/>
        </w:rPr>
        <w:t>спровођење</w:t>
      </w:r>
      <w:r w:rsidR="004B269F">
        <w:rPr>
          <w:rFonts w:ascii="Times New Roman" w:hAnsi="Times New Roman"/>
          <w:szCs w:val="24"/>
          <w:lang w:val="bs-Latn-BA"/>
        </w:rPr>
        <w:t xml:space="preserve"> </w:t>
      </w:r>
      <w:r w:rsidR="00EC3CBA" w:rsidRPr="00EC3CBA">
        <w:rPr>
          <w:rFonts w:ascii="Times New Roman" w:hAnsi="Times New Roman"/>
          <w:i/>
          <w:szCs w:val="24"/>
          <w:lang w:val="bs-Latn-BA"/>
        </w:rPr>
        <w:t>UNSCR</w:t>
      </w:r>
      <w:r w:rsidR="004B269F">
        <w:rPr>
          <w:rFonts w:ascii="Times New Roman" w:hAnsi="Times New Roman"/>
          <w:szCs w:val="24"/>
          <w:lang w:val="bs-Latn-BA"/>
        </w:rPr>
        <w:t xml:space="preserve"> 1325“ </w:t>
      </w:r>
      <w:r>
        <w:rPr>
          <w:rFonts w:ascii="Times New Roman" w:hAnsi="Times New Roman"/>
          <w:szCs w:val="24"/>
          <w:lang w:val="bs-Latn-BA"/>
        </w:rPr>
        <w:t>итд</w:t>
      </w:r>
      <w:r w:rsidR="00371E55">
        <w:rPr>
          <w:rFonts w:ascii="Times New Roman" w:hAnsi="Times New Roman"/>
          <w:szCs w:val="24"/>
          <w:lang w:val="bs-Latn-BA"/>
        </w:rPr>
        <w:t>.</w:t>
      </w:r>
      <w:r w:rsidR="00240274">
        <w:rPr>
          <w:rFonts w:ascii="Times New Roman" w:hAnsi="Times New Roman"/>
          <w:szCs w:val="24"/>
          <w:lang w:val="bs-Latn-BA"/>
        </w:rPr>
        <w:t>)</w:t>
      </w:r>
      <w:r w:rsidR="006A104D">
        <w:rPr>
          <w:rFonts w:ascii="Times New Roman" w:hAnsi="Times New Roman"/>
          <w:szCs w:val="24"/>
          <w:lang w:val="bs-Latn-BA"/>
        </w:rPr>
        <w:t xml:space="preserve"> </w:t>
      </w:r>
      <w:r>
        <w:rPr>
          <w:rFonts w:ascii="Times New Roman" w:hAnsi="Times New Roman"/>
          <w:szCs w:val="24"/>
          <w:lang w:val="bs-Latn-BA"/>
        </w:rPr>
        <w:t>и</w:t>
      </w:r>
      <w:r w:rsidR="006A104D">
        <w:rPr>
          <w:rFonts w:ascii="Times New Roman" w:hAnsi="Times New Roman"/>
          <w:szCs w:val="24"/>
          <w:lang w:val="bs-Latn-BA"/>
        </w:rPr>
        <w:t xml:space="preserve"> </w:t>
      </w:r>
      <w:r>
        <w:rPr>
          <w:rFonts w:ascii="Times New Roman" w:hAnsi="Times New Roman"/>
          <w:szCs w:val="24"/>
          <w:lang w:val="bs-Latn-BA"/>
        </w:rPr>
        <w:t>у</w:t>
      </w:r>
      <w:r w:rsidR="006A104D">
        <w:rPr>
          <w:rFonts w:ascii="Times New Roman" w:hAnsi="Times New Roman"/>
          <w:szCs w:val="24"/>
          <w:lang w:val="bs-Latn-BA"/>
        </w:rPr>
        <w:t xml:space="preserve"> </w:t>
      </w:r>
      <w:r>
        <w:rPr>
          <w:rFonts w:ascii="Times New Roman" w:hAnsi="Times New Roman"/>
          <w:szCs w:val="24"/>
          <w:lang w:val="bs-Latn-BA"/>
        </w:rPr>
        <w:t>више</w:t>
      </w:r>
      <w:r w:rsidR="006A104D">
        <w:rPr>
          <w:rFonts w:ascii="Times New Roman" w:hAnsi="Times New Roman"/>
          <w:szCs w:val="24"/>
          <w:lang w:val="bs-Latn-BA"/>
        </w:rPr>
        <w:t xml:space="preserve"> </w:t>
      </w:r>
      <w:r>
        <w:rPr>
          <w:rFonts w:ascii="Times New Roman" w:hAnsi="Times New Roman"/>
          <w:szCs w:val="24"/>
          <w:lang w:val="bs-Latn-BA"/>
        </w:rPr>
        <w:t>наврата</w:t>
      </w:r>
      <w:r w:rsidR="006A104D">
        <w:rPr>
          <w:rFonts w:ascii="Times New Roman" w:hAnsi="Times New Roman"/>
          <w:szCs w:val="24"/>
          <w:lang w:val="bs-Latn-BA"/>
        </w:rPr>
        <w:t xml:space="preserve"> </w:t>
      </w:r>
      <w:r>
        <w:rPr>
          <w:rFonts w:ascii="Times New Roman" w:hAnsi="Times New Roman"/>
          <w:szCs w:val="24"/>
          <w:lang w:val="bs-Latn-BA"/>
        </w:rPr>
        <w:t>је</w:t>
      </w:r>
      <w:r w:rsidR="006A104D">
        <w:rPr>
          <w:rFonts w:ascii="Times New Roman" w:hAnsi="Times New Roman"/>
          <w:szCs w:val="24"/>
          <w:lang w:val="bs-Latn-BA"/>
        </w:rPr>
        <w:t xml:space="preserve"> </w:t>
      </w:r>
      <w:r>
        <w:rPr>
          <w:rFonts w:ascii="Times New Roman" w:hAnsi="Times New Roman"/>
          <w:szCs w:val="24"/>
          <w:lang w:val="bs-Latn-BA"/>
        </w:rPr>
        <w:t>пружала</w:t>
      </w:r>
      <w:r w:rsidR="006A104D">
        <w:rPr>
          <w:rFonts w:ascii="Times New Roman" w:hAnsi="Times New Roman"/>
          <w:szCs w:val="24"/>
          <w:lang w:val="bs-Latn-BA"/>
        </w:rPr>
        <w:t xml:space="preserve"> </w:t>
      </w:r>
      <w:r>
        <w:rPr>
          <w:rFonts w:ascii="Times New Roman" w:hAnsi="Times New Roman"/>
          <w:szCs w:val="24"/>
          <w:lang w:val="bs-Latn-BA"/>
        </w:rPr>
        <w:t>подршку</w:t>
      </w:r>
      <w:r w:rsidR="006A104D">
        <w:rPr>
          <w:rFonts w:ascii="Times New Roman" w:hAnsi="Times New Roman"/>
          <w:szCs w:val="24"/>
          <w:lang w:val="bs-Latn-BA"/>
        </w:rPr>
        <w:t xml:space="preserve"> </w:t>
      </w:r>
      <w:r>
        <w:rPr>
          <w:rFonts w:ascii="Times New Roman" w:hAnsi="Times New Roman"/>
          <w:szCs w:val="24"/>
          <w:lang w:val="bs-Latn-BA"/>
        </w:rPr>
        <w:t>НВО</w:t>
      </w:r>
      <w:r w:rsidR="006A104D">
        <w:rPr>
          <w:rFonts w:ascii="Times New Roman" w:hAnsi="Times New Roman"/>
          <w:szCs w:val="24"/>
          <w:lang w:val="bs-Latn-BA"/>
        </w:rPr>
        <w:t xml:space="preserve"> </w:t>
      </w:r>
      <w:r>
        <w:rPr>
          <w:rFonts w:ascii="Times New Roman" w:hAnsi="Times New Roman"/>
          <w:szCs w:val="24"/>
          <w:lang w:val="bs-Latn-BA"/>
        </w:rPr>
        <w:t>у</w:t>
      </w:r>
      <w:r w:rsidR="006A104D">
        <w:rPr>
          <w:rFonts w:ascii="Times New Roman" w:hAnsi="Times New Roman"/>
          <w:szCs w:val="24"/>
          <w:lang w:val="bs-Latn-BA"/>
        </w:rPr>
        <w:t xml:space="preserve"> </w:t>
      </w:r>
      <w:r>
        <w:rPr>
          <w:rFonts w:ascii="Times New Roman" w:hAnsi="Times New Roman"/>
          <w:szCs w:val="24"/>
          <w:lang w:val="bs-Latn-BA"/>
        </w:rPr>
        <w:t>остваривању</w:t>
      </w:r>
      <w:r w:rsidR="006A104D">
        <w:rPr>
          <w:rFonts w:ascii="Times New Roman" w:hAnsi="Times New Roman"/>
          <w:szCs w:val="24"/>
          <w:lang w:val="bs-Latn-BA"/>
        </w:rPr>
        <w:t xml:space="preserve"> </w:t>
      </w:r>
      <w:r>
        <w:rPr>
          <w:rFonts w:ascii="Times New Roman" w:hAnsi="Times New Roman"/>
          <w:szCs w:val="24"/>
          <w:lang w:val="bs-Latn-BA"/>
        </w:rPr>
        <w:t>сарадње</w:t>
      </w:r>
      <w:r w:rsidR="004B269F">
        <w:rPr>
          <w:rFonts w:ascii="Times New Roman" w:hAnsi="Times New Roman"/>
          <w:szCs w:val="24"/>
          <w:lang w:val="bs-Latn-BA"/>
        </w:rPr>
        <w:t xml:space="preserve"> </w:t>
      </w:r>
      <w:r>
        <w:rPr>
          <w:rFonts w:ascii="Times New Roman" w:hAnsi="Times New Roman"/>
          <w:szCs w:val="24"/>
          <w:lang w:val="bs-Latn-BA"/>
        </w:rPr>
        <w:t>са</w:t>
      </w:r>
      <w:r w:rsidR="006A104D">
        <w:rPr>
          <w:rFonts w:ascii="Times New Roman" w:hAnsi="Times New Roman"/>
          <w:szCs w:val="24"/>
          <w:lang w:val="bs-Latn-BA"/>
        </w:rPr>
        <w:t xml:space="preserve"> </w:t>
      </w:r>
      <w:r>
        <w:rPr>
          <w:rFonts w:ascii="Times New Roman" w:hAnsi="Times New Roman"/>
          <w:szCs w:val="24"/>
          <w:lang w:val="bs-Latn-BA"/>
        </w:rPr>
        <w:t>донаторима</w:t>
      </w:r>
      <w:r w:rsidR="006A104D">
        <w:rPr>
          <w:rFonts w:ascii="Times New Roman" w:hAnsi="Times New Roman"/>
          <w:szCs w:val="24"/>
          <w:lang w:val="bs-Latn-BA"/>
        </w:rPr>
        <w:t xml:space="preserve"> </w:t>
      </w:r>
      <w:r>
        <w:rPr>
          <w:rFonts w:ascii="Times New Roman" w:hAnsi="Times New Roman"/>
          <w:szCs w:val="24"/>
          <w:lang w:val="bs-Latn-BA"/>
        </w:rPr>
        <w:t>и</w:t>
      </w:r>
      <w:r w:rsidR="006A104D">
        <w:rPr>
          <w:rFonts w:ascii="Times New Roman" w:hAnsi="Times New Roman"/>
          <w:szCs w:val="24"/>
          <w:lang w:val="bs-Latn-BA"/>
        </w:rPr>
        <w:t xml:space="preserve"> </w:t>
      </w:r>
      <w:r>
        <w:rPr>
          <w:rFonts w:ascii="Times New Roman" w:hAnsi="Times New Roman"/>
          <w:szCs w:val="24"/>
          <w:lang w:val="bs-Latn-BA"/>
        </w:rPr>
        <w:t>пројектима</w:t>
      </w:r>
      <w:r w:rsidR="006A104D">
        <w:rPr>
          <w:rFonts w:ascii="Times New Roman" w:hAnsi="Times New Roman"/>
          <w:szCs w:val="24"/>
          <w:lang w:val="bs-Latn-BA"/>
        </w:rPr>
        <w:t xml:space="preserve">, </w:t>
      </w:r>
      <w:r>
        <w:rPr>
          <w:rFonts w:ascii="Times New Roman" w:hAnsi="Times New Roman"/>
          <w:szCs w:val="24"/>
          <w:lang w:val="bs-Latn-BA"/>
        </w:rPr>
        <w:t>поред</w:t>
      </w:r>
      <w:r w:rsidR="006A104D">
        <w:rPr>
          <w:rFonts w:ascii="Times New Roman" w:hAnsi="Times New Roman"/>
          <w:szCs w:val="24"/>
          <w:lang w:val="bs-Latn-BA"/>
        </w:rPr>
        <w:t xml:space="preserve"> </w:t>
      </w:r>
      <w:r>
        <w:rPr>
          <w:rFonts w:ascii="Times New Roman" w:hAnsi="Times New Roman"/>
          <w:szCs w:val="24"/>
          <w:lang w:val="bs-Latn-BA"/>
        </w:rPr>
        <w:t>осталог</w:t>
      </w:r>
      <w:r w:rsidR="006A104D">
        <w:rPr>
          <w:rFonts w:ascii="Times New Roman" w:hAnsi="Times New Roman"/>
          <w:szCs w:val="24"/>
          <w:lang w:val="bs-Latn-BA"/>
        </w:rPr>
        <w:t xml:space="preserve">, </w:t>
      </w:r>
      <w:r>
        <w:rPr>
          <w:rFonts w:ascii="Times New Roman" w:hAnsi="Times New Roman"/>
          <w:szCs w:val="24"/>
          <w:lang w:val="bs-Latn-BA"/>
        </w:rPr>
        <w:t>издавањем</w:t>
      </w:r>
      <w:r w:rsidR="006A104D">
        <w:rPr>
          <w:rFonts w:ascii="Times New Roman" w:hAnsi="Times New Roman"/>
          <w:szCs w:val="24"/>
          <w:lang w:val="bs-Latn-BA"/>
        </w:rPr>
        <w:t xml:space="preserve"> </w:t>
      </w:r>
      <w:r>
        <w:rPr>
          <w:rFonts w:ascii="Times New Roman" w:hAnsi="Times New Roman"/>
          <w:szCs w:val="24"/>
          <w:lang w:val="bs-Latn-BA"/>
        </w:rPr>
        <w:t>писама</w:t>
      </w:r>
      <w:r w:rsidR="006A104D">
        <w:rPr>
          <w:rFonts w:ascii="Times New Roman" w:hAnsi="Times New Roman"/>
          <w:szCs w:val="24"/>
          <w:lang w:val="bs-Latn-BA"/>
        </w:rPr>
        <w:t xml:space="preserve"> </w:t>
      </w:r>
      <w:r>
        <w:rPr>
          <w:rFonts w:ascii="Times New Roman" w:hAnsi="Times New Roman"/>
          <w:szCs w:val="24"/>
          <w:lang w:val="bs-Latn-BA"/>
        </w:rPr>
        <w:t>препоруке</w:t>
      </w:r>
      <w:r w:rsidR="006A104D">
        <w:rPr>
          <w:rFonts w:ascii="Times New Roman" w:hAnsi="Times New Roman"/>
          <w:szCs w:val="24"/>
          <w:lang w:val="bs-Latn-BA"/>
        </w:rPr>
        <w:t xml:space="preserve">. </w:t>
      </w:r>
    </w:p>
    <w:p w:rsidR="006A104D" w:rsidRDefault="006A104D" w:rsidP="0086268D">
      <w:pPr>
        <w:jc w:val="both"/>
        <w:rPr>
          <w:rFonts w:ascii="Times New Roman" w:hAnsi="Times New Roman"/>
          <w:szCs w:val="24"/>
          <w:lang w:val="bs-Latn-BA"/>
        </w:rPr>
      </w:pPr>
    </w:p>
    <w:p w:rsidR="005979A7" w:rsidRPr="00295637" w:rsidRDefault="00C6214E" w:rsidP="0086268D">
      <w:pPr>
        <w:jc w:val="both"/>
        <w:rPr>
          <w:rFonts w:ascii="Times New Roman" w:hAnsi="Times New Roman"/>
          <w:color w:val="000000"/>
          <w:szCs w:val="24"/>
          <w:shd w:val="clear" w:color="auto" w:fill="FFFFFF"/>
        </w:rPr>
      </w:pPr>
      <w:r>
        <w:rPr>
          <w:rFonts w:ascii="Times New Roman" w:hAnsi="Times New Roman"/>
          <w:szCs w:val="24"/>
          <w:lang w:val="bs-Latn-BA"/>
        </w:rPr>
        <w:t>У</w:t>
      </w:r>
      <w:r w:rsidR="005979A7" w:rsidRPr="00295637">
        <w:rPr>
          <w:rFonts w:ascii="Times New Roman" w:hAnsi="Times New Roman"/>
          <w:szCs w:val="24"/>
          <w:lang w:val="bs-Latn-BA"/>
        </w:rPr>
        <w:t xml:space="preserve"> </w:t>
      </w:r>
      <w:r>
        <w:rPr>
          <w:rFonts w:ascii="Times New Roman" w:hAnsi="Times New Roman"/>
          <w:szCs w:val="24"/>
          <w:lang w:val="bs-Latn-BA"/>
        </w:rPr>
        <w:t>оквиру</w:t>
      </w:r>
      <w:r w:rsidR="005979A7" w:rsidRPr="00295637">
        <w:rPr>
          <w:rFonts w:ascii="Times New Roman" w:hAnsi="Times New Roman"/>
          <w:szCs w:val="24"/>
          <w:lang w:val="bs-Latn-BA"/>
        </w:rPr>
        <w:t xml:space="preserve"> </w:t>
      </w:r>
      <w:r>
        <w:rPr>
          <w:rFonts w:ascii="Times New Roman" w:hAnsi="Times New Roman"/>
          <w:szCs w:val="24"/>
          <w:lang w:val="bs-Latn-BA"/>
        </w:rPr>
        <w:t>обиљежавања</w:t>
      </w:r>
      <w:r w:rsidR="005979A7" w:rsidRPr="00295637">
        <w:rPr>
          <w:rFonts w:ascii="Times New Roman" w:hAnsi="Times New Roman"/>
          <w:szCs w:val="24"/>
          <w:lang w:val="bs-Latn-BA"/>
        </w:rPr>
        <w:t xml:space="preserve"> </w:t>
      </w:r>
      <w:r>
        <w:rPr>
          <w:rFonts w:ascii="Times New Roman" w:hAnsi="Times New Roman"/>
          <w:szCs w:val="24"/>
          <w:lang w:val="bs-Latn-BA"/>
        </w:rPr>
        <w:t>годишњице</w:t>
      </w:r>
      <w:r w:rsidR="005979A7" w:rsidRPr="00295637">
        <w:rPr>
          <w:rFonts w:ascii="Times New Roman" w:hAnsi="Times New Roman"/>
          <w:szCs w:val="24"/>
          <w:lang w:val="bs-Latn-BA"/>
        </w:rPr>
        <w:t xml:space="preserve"> </w:t>
      </w:r>
      <w:r>
        <w:rPr>
          <w:rFonts w:ascii="Times New Roman" w:hAnsi="Times New Roman"/>
          <w:szCs w:val="24"/>
          <w:lang w:val="bs-Latn-BA"/>
        </w:rPr>
        <w:t>геноцида</w:t>
      </w:r>
      <w:r w:rsidR="005979A7" w:rsidRPr="00295637">
        <w:rPr>
          <w:rFonts w:ascii="Times New Roman" w:hAnsi="Times New Roman"/>
          <w:szCs w:val="24"/>
          <w:lang w:val="bs-Latn-BA"/>
        </w:rPr>
        <w:t xml:space="preserve"> </w:t>
      </w:r>
      <w:r>
        <w:rPr>
          <w:rFonts w:ascii="Times New Roman" w:hAnsi="Times New Roman"/>
          <w:szCs w:val="24"/>
          <w:lang w:val="bs-Latn-BA"/>
        </w:rPr>
        <w:t>у</w:t>
      </w:r>
      <w:r w:rsidR="005979A7" w:rsidRPr="00295637">
        <w:rPr>
          <w:rFonts w:ascii="Times New Roman" w:hAnsi="Times New Roman"/>
          <w:szCs w:val="24"/>
          <w:lang w:val="bs-Latn-BA"/>
        </w:rPr>
        <w:t xml:space="preserve"> </w:t>
      </w:r>
      <w:r>
        <w:rPr>
          <w:rFonts w:ascii="Times New Roman" w:hAnsi="Times New Roman"/>
          <w:szCs w:val="24"/>
          <w:lang w:val="bs-Latn-BA"/>
        </w:rPr>
        <w:t>Сребреници</w:t>
      </w:r>
      <w:r w:rsidR="005979A7" w:rsidRPr="00295637">
        <w:rPr>
          <w:rFonts w:ascii="Times New Roman" w:hAnsi="Times New Roman"/>
          <w:szCs w:val="24"/>
          <w:lang w:val="bs-Latn-BA"/>
        </w:rPr>
        <w:t xml:space="preserve">, </w:t>
      </w:r>
      <w:r>
        <w:rPr>
          <w:rFonts w:ascii="Times New Roman" w:hAnsi="Times New Roman"/>
          <w:szCs w:val="24"/>
          <w:lang w:val="bs-Latn-BA"/>
        </w:rPr>
        <w:t>у</w:t>
      </w:r>
      <w:r w:rsidR="005979A7" w:rsidRPr="00295637">
        <w:rPr>
          <w:rFonts w:ascii="Times New Roman" w:hAnsi="Times New Roman"/>
          <w:szCs w:val="24"/>
          <w:lang w:val="bs-Latn-BA"/>
        </w:rPr>
        <w:t xml:space="preserve"> </w:t>
      </w:r>
      <w:r>
        <w:rPr>
          <w:rFonts w:ascii="Times New Roman" w:hAnsi="Times New Roman"/>
          <w:szCs w:val="24"/>
          <w:lang w:val="bs-Latn-BA"/>
        </w:rPr>
        <w:t>јулу</w:t>
      </w:r>
      <w:r w:rsidR="005979A7" w:rsidRPr="00295637">
        <w:rPr>
          <w:rFonts w:ascii="Times New Roman" w:hAnsi="Times New Roman"/>
          <w:szCs w:val="24"/>
          <w:lang w:val="bs-Latn-BA"/>
        </w:rPr>
        <w:t xml:space="preserve"> 2024. </w:t>
      </w:r>
      <w:r>
        <w:rPr>
          <w:rFonts w:ascii="Times New Roman" w:hAnsi="Times New Roman"/>
          <w:szCs w:val="24"/>
          <w:lang w:val="bs-Latn-BA"/>
        </w:rPr>
        <w:t>године</w:t>
      </w:r>
      <w:r w:rsidR="005979A7" w:rsidRPr="00295637">
        <w:rPr>
          <w:rFonts w:ascii="Times New Roman" w:hAnsi="Times New Roman"/>
          <w:szCs w:val="24"/>
          <w:lang w:val="bs-Latn-BA"/>
        </w:rPr>
        <w:t xml:space="preserve"> </w:t>
      </w:r>
      <w:r>
        <w:rPr>
          <w:rFonts w:ascii="Times New Roman" w:hAnsi="Times New Roman"/>
          <w:szCs w:val="24"/>
          <w:lang w:val="bs-Latn-BA"/>
        </w:rPr>
        <w:t>одржана</w:t>
      </w:r>
      <w:r w:rsidR="005979A7" w:rsidRPr="00295637">
        <w:rPr>
          <w:rFonts w:ascii="Times New Roman" w:hAnsi="Times New Roman"/>
          <w:szCs w:val="24"/>
          <w:lang w:val="bs-Latn-BA"/>
        </w:rPr>
        <w:t xml:space="preserve"> </w:t>
      </w:r>
      <w:r>
        <w:rPr>
          <w:rFonts w:ascii="Times New Roman" w:hAnsi="Times New Roman"/>
          <w:szCs w:val="24"/>
          <w:lang w:val="bs-Latn-BA"/>
        </w:rPr>
        <w:t>је</w:t>
      </w:r>
      <w:r w:rsidR="004B269F" w:rsidRPr="00295637">
        <w:rPr>
          <w:rFonts w:ascii="Times New Roman" w:hAnsi="Times New Roman"/>
          <w:szCs w:val="24"/>
          <w:lang w:val="bs-Latn-BA"/>
        </w:rPr>
        <w:t xml:space="preserve"> </w:t>
      </w:r>
      <w:r>
        <w:rPr>
          <w:rFonts w:ascii="Times New Roman" w:hAnsi="Times New Roman"/>
          <w:szCs w:val="24"/>
          <w:lang w:val="bs-Latn-BA"/>
        </w:rPr>
        <w:t>панел</w:t>
      </w:r>
      <w:r w:rsidR="005979A7" w:rsidRPr="00295637">
        <w:rPr>
          <w:rFonts w:ascii="Times New Roman" w:hAnsi="Times New Roman"/>
          <w:szCs w:val="24"/>
          <w:lang w:val="bs-Latn-BA"/>
        </w:rPr>
        <w:t xml:space="preserve"> </w:t>
      </w:r>
      <w:r>
        <w:rPr>
          <w:rFonts w:ascii="Times New Roman" w:hAnsi="Times New Roman"/>
          <w:szCs w:val="24"/>
          <w:lang w:val="bs-Latn-BA"/>
        </w:rPr>
        <w:t>дискусија</w:t>
      </w:r>
      <w:r w:rsidR="005979A7" w:rsidRPr="00295637">
        <w:rPr>
          <w:rFonts w:ascii="Times New Roman" w:hAnsi="Times New Roman"/>
          <w:szCs w:val="24"/>
          <w:lang w:val="bs-Latn-BA"/>
        </w:rPr>
        <w:t xml:space="preserve"> </w:t>
      </w:r>
      <w:r>
        <w:rPr>
          <w:rFonts w:ascii="Times New Roman" w:hAnsi="Times New Roman"/>
          <w:szCs w:val="24"/>
          <w:lang w:val="bs-Latn-BA"/>
        </w:rPr>
        <w:t>на</w:t>
      </w:r>
      <w:r w:rsidR="005979A7" w:rsidRPr="00295637">
        <w:rPr>
          <w:rFonts w:ascii="Times New Roman" w:hAnsi="Times New Roman"/>
          <w:szCs w:val="24"/>
          <w:lang w:val="bs-Latn-BA"/>
        </w:rPr>
        <w:t xml:space="preserve"> </w:t>
      </w:r>
      <w:r>
        <w:rPr>
          <w:rFonts w:ascii="Times New Roman" w:hAnsi="Times New Roman"/>
          <w:szCs w:val="24"/>
          <w:lang w:val="bs-Latn-BA"/>
        </w:rPr>
        <w:t>тему</w:t>
      </w:r>
      <w:r w:rsidR="005979A7" w:rsidRPr="00295637">
        <w:rPr>
          <w:rFonts w:ascii="Times New Roman" w:hAnsi="Times New Roman"/>
          <w:szCs w:val="24"/>
          <w:lang w:val="bs-Latn-BA"/>
        </w:rPr>
        <w:t xml:space="preserve"> „</w:t>
      </w:r>
      <w:r>
        <w:rPr>
          <w:rFonts w:ascii="Times New Roman" w:hAnsi="Times New Roman"/>
          <w:szCs w:val="24"/>
          <w:lang w:val="bs-Latn-BA"/>
        </w:rPr>
        <w:t>Равноправност</w:t>
      </w:r>
      <w:r w:rsidR="005979A7" w:rsidRPr="00295637">
        <w:rPr>
          <w:rFonts w:ascii="Times New Roman" w:hAnsi="Times New Roman"/>
          <w:szCs w:val="24"/>
          <w:lang w:val="bs-Latn-BA"/>
        </w:rPr>
        <w:t xml:space="preserve"> </w:t>
      </w:r>
      <w:r>
        <w:rPr>
          <w:rFonts w:ascii="Times New Roman" w:hAnsi="Times New Roman"/>
          <w:szCs w:val="24"/>
          <w:lang w:val="bs-Latn-BA"/>
        </w:rPr>
        <w:t>полова</w:t>
      </w:r>
      <w:r w:rsidR="005979A7" w:rsidRPr="00295637">
        <w:rPr>
          <w:rFonts w:ascii="Times New Roman" w:hAnsi="Times New Roman"/>
          <w:szCs w:val="24"/>
          <w:lang w:val="bs-Latn-BA"/>
        </w:rPr>
        <w:t xml:space="preserve"> </w:t>
      </w:r>
      <w:r>
        <w:rPr>
          <w:rFonts w:ascii="Times New Roman" w:hAnsi="Times New Roman"/>
          <w:szCs w:val="24"/>
          <w:lang w:val="bs-Latn-BA"/>
        </w:rPr>
        <w:t>и</w:t>
      </w:r>
      <w:r w:rsidR="005979A7" w:rsidRPr="00295637">
        <w:rPr>
          <w:rFonts w:ascii="Times New Roman" w:hAnsi="Times New Roman"/>
          <w:szCs w:val="24"/>
          <w:lang w:val="bs-Latn-BA"/>
        </w:rPr>
        <w:t xml:space="preserve"> </w:t>
      </w:r>
      <w:r>
        <w:rPr>
          <w:rFonts w:ascii="Times New Roman" w:hAnsi="Times New Roman"/>
          <w:szCs w:val="24"/>
          <w:lang w:val="bs-Latn-BA"/>
        </w:rPr>
        <w:t>меморијализација</w:t>
      </w:r>
      <w:r w:rsidR="005979A7" w:rsidRPr="00295637">
        <w:rPr>
          <w:rFonts w:ascii="Times New Roman" w:hAnsi="Times New Roman"/>
          <w:szCs w:val="24"/>
          <w:lang w:val="bs-Latn-BA"/>
        </w:rPr>
        <w:t xml:space="preserve">“. </w:t>
      </w:r>
      <w:r>
        <w:rPr>
          <w:rFonts w:ascii="Times New Roman" w:hAnsi="Times New Roman"/>
          <w:szCs w:val="24"/>
          <w:lang w:val="bs-Latn-BA"/>
        </w:rPr>
        <w:t>У</w:t>
      </w:r>
      <w:r w:rsidR="005979A7" w:rsidRPr="00295637">
        <w:rPr>
          <w:rFonts w:ascii="Times New Roman" w:hAnsi="Times New Roman"/>
          <w:szCs w:val="24"/>
          <w:lang w:val="bs-Latn-BA"/>
        </w:rPr>
        <w:t xml:space="preserve"> </w:t>
      </w:r>
      <w:r>
        <w:rPr>
          <w:rFonts w:ascii="Times New Roman" w:hAnsi="Times New Roman"/>
          <w:szCs w:val="24"/>
          <w:lang w:val="bs-Latn-BA"/>
        </w:rPr>
        <w:t>дискусији</w:t>
      </w:r>
      <w:r w:rsidR="005979A7" w:rsidRPr="00295637">
        <w:rPr>
          <w:rFonts w:ascii="Times New Roman" w:hAnsi="Times New Roman"/>
          <w:szCs w:val="24"/>
          <w:lang w:val="bs-Latn-BA"/>
        </w:rPr>
        <w:t xml:space="preserve"> </w:t>
      </w:r>
      <w:r>
        <w:rPr>
          <w:rFonts w:ascii="Times New Roman" w:hAnsi="Times New Roman"/>
          <w:szCs w:val="24"/>
          <w:lang w:val="bs-Latn-BA"/>
        </w:rPr>
        <w:t>је</w:t>
      </w:r>
      <w:r w:rsidR="005979A7" w:rsidRPr="00295637">
        <w:rPr>
          <w:rFonts w:ascii="Times New Roman" w:hAnsi="Times New Roman"/>
          <w:szCs w:val="24"/>
          <w:lang w:val="bs-Latn-BA"/>
        </w:rPr>
        <w:t xml:space="preserve">, </w:t>
      </w:r>
      <w:r>
        <w:rPr>
          <w:rFonts w:ascii="Times New Roman" w:hAnsi="Times New Roman"/>
          <w:szCs w:val="24"/>
          <w:lang w:val="bs-Latn-BA"/>
        </w:rPr>
        <w:t>уз</w:t>
      </w:r>
      <w:r w:rsidR="005979A7" w:rsidRPr="00295637">
        <w:rPr>
          <w:rFonts w:ascii="Times New Roman" w:hAnsi="Times New Roman"/>
          <w:szCs w:val="24"/>
          <w:lang w:val="bs-Latn-BA"/>
        </w:rPr>
        <w:t xml:space="preserve"> </w:t>
      </w:r>
      <w:r>
        <w:rPr>
          <w:rFonts w:ascii="Times New Roman" w:hAnsi="Times New Roman"/>
          <w:szCs w:val="24"/>
          <w:lang w:val="bs-Latn-BA"/>
        </w:rPr>
        <w:t>предсједницу</w:t>
      </w:r>
      <w:r w:rsidR="005979A7" w:rsidRPr="00295637">
        <w:rPr>
          <w:rFonts w:ascii="Times New Roman" w:hAnsi="Times New Roman"/>
          <w:szCs w:val="24"/>
          <w:lang w:val="bs-Latn-BA"/>
        </w:rPr>
        <w:t xml:space="preserve"> </w:t>
      </w:r>
      <w:r>
        <w:rPr>
          <w:rFonts w:ascii="Times New Roman" w:hAnsi="Times New Roman"/>
          <w:szCs w:val="24"/>
          <w:lang w:val="bs-Latn-BA"/>
        </w:rPr>
        <w:t>Удружења</w:t>
      </w:r>
      <w:r w:rsidR="005979A7" w:rsidRPr="00295637">
        <w:rPr>
          <w:rFonts w:ascii="Times New Roman" w:hAnsi="Times New Roman"/>
          <w:szCs w:val="24"/>
          <w:lang w:val="bs-Latn-BA"/>
        </w:rPr>
        <w:t xml:space="preserve"> „</w:t>
      </w:r>
      <w:r>
        <w:rPr>
          <w:rFonts w:ascii="Times New Roman" w:hAnsi="Times New Roman"/>
          <w:szCs w:val="24"/>
          <w:lang w:val="bs-Latn-BA"/>
        </w:rPr>
        <w:t>Покрет</w:t>
      </w:r>
      <w:r w:rsidR="005979A7" w:rsidRPr="00295637">
        <w:rPr>
          <w:rFonts w:ascii="Times New Roman" w:hAnsi="Times New Roman"/>
          <w:szCs w:val="24"/>
          <w:lang w:val="bs-Latn-BA"/>
        </w:rPr>
        <w:t xml:space="preserve"> </w:t>
      </w:r>
      <w:r>
        <w:rPr>
          <w:rFonts w:ascii="Times New Roman" w:hAnsi="Times New Roman"/>
          <w:szCs w:val="24"/>
          <w:lang w:val="bs-Latn-BA"/>
        </w:rPr>
        <w:t>мајки</w:t>
      </w:r>
      <w:r w:rsidR="005979A7" w:rsidRPr="00295637">
        <w:rPr>
          <w:rFonts w:ascii="Times New Roman" w:hAnsi="Times New Roman"/>
          <w:szCs w:val="24"/>
          <w:lang w:val="bs-Latn-BA"/>
        </w:rPr>
        <w:t xml:space="preserve"> </w:t>
      </w:r>
      <w:r>
        <w:rPr>
          <w:rFonts w:ascii="Times New Roman" w:hAnsi="Times New Roman"/>
          <w:szCs w:val="24"/>
          <w:lang w:val="bs-Latn-BA"/>
        </w:rPr>
        <w:t>енклава</w:t>
      </w:r>
      <w:r w:rsidR="005979A7" w:rsidRPr="00295637">
        <w:rPr>
          <w:rFonts w:ascii="Times New Roman" w:hAnsi="Times New Roman"/>
          <w:szCs w:val="24"/>
          <w:lang w:val="bs-Latn-BA"/>
        </w:rPr>
        <w:t xml:space="preserve"> </w:t>
      </w:r>
      <w:r>
        <w:rPr>
          <w:rFonts w:ascii="Times New Roman" w:hAnsi="Times New Roman"/>
          <w:szCs w:val="24"/>
          <w:lang w:val="bs-Latn-BA"/>
        </w:rPr>
        <w:t>Сребреница</w:t>
      </w:r>
      <w:r w:rsidR="005979A7" w:rsidRPr="00295637">
        <w:rPr>
          <w:rFonts w:ascii="Times New Roman" w:hAnsi="Times New Roman"/>
          <w:szCs w:val="24"/>
          <w:lang w:val="bs-Latn-BA"/>
        </w:rPr>
        <w:t xml:space="preserve"> </w:t>
      </w:r>
      <w:r>
        <w:rPr>
          <w:rFonts w:ascii="Times New Roman" w:hAnsi="Times New Roman"/>
          <w:szCs w:val="24"/>
          <w:lang w:val="bs-Latn-BA"/>
        </w:rPr>
        <w:t>и</w:t>
      </w:r>
      <w:r w:rsidR="005979A7" w:rsidRPr="00295637">
        <w:rPr>
          <w:rFonts w:ascii="Times New Roman" w:hAnsi="Times New Roman"/>
          <w:szCs w:val="24"/>
          <w:lang w:val="bs-Latn-BA"/>
        </w:rPr>
        <w:t xml:space="preserve"> </w:t>
      </w:r>
      <w:r>
        <w:rPr>
          <w:rFonts w:ascii="Times New Roman" w:hAnsi="Times New Roman"/>
          <w:szCs w:val="24"/>
          <w:lang w:val="bs-Latn-BA"/>
        </w:rPr>
        <w:t>Жепа</w:t>
      </w:r>
      <w:r w:rsidR="005979A7" w:rsidRPr="00295637">
        <w:rPr>
          <w:rFonts w:ascii="Times New Roman" w:hAnsi="Times New Roman"/>
          <w:szCs w:val="24"/>
          <w:lang w:val="bs-Latn-BA"/>
        </w:rPr>
        <w:t>“</w:t>
      </w:r>
      <w:r w:rsidR="002E7F5D" w:rsidRPr="00295637">
        <w:rPr>
          <w:rFonts w:ascii="Times New Roman" w:hAnsi="Times New Roman"/>
          <w:szCs w:val="24"/>
          <w:lang w:val="bs-Latn-BA"/>
        </w:rPr>
        <w:t xml:space="preserve"> </w:t>
      </w:r>
      <w:r>
        <w:rPr>
          <w:rFonts w:ascii="Times New Roman" w:hAnsi="Times New Roman"/>
          <w:szCs w:val="24"/>
          <w:lang w:val="bs-Latn-BA"/>
        </w:rPr>
        <w:t>и</w:t>
      </w:r>
      <w:r w:rsidR="005979A7" w:rsidRPr="00295637">
        <w:rPr>
          <w:rFonts w:ascii="Times New Roman" w:hAnsi="Times New Roman"/>
          <w:szCs w:val="24"/>
          <w:lang w:val="bs-Latn-BA"/>
        </w:rPr>
        <w:t xml:space="preserve"> </w:t>
      </w:r>
      <w:r>
        <w:rPr>
          <w:rFonts w:ascii="Times New Roman" w:hAnsi="Times New Roman"/>
          <w:szCs w:val="24"/>
          <w:lang w:val="bs-Latn-BA"/>
        </w:rPr>
        <w:t>запосленице</w:t>
      </w:r>
      <w:r w:rsidR="005979A7" w:rsidRPr="00295637">
        <w:rPr>
          <w:rFonts w:ascii="Times New Roman" w:hAnsi="Times New Roman"/>
          <w:szCs w:val="24"/>
          <w:lang w:val="bs-Latn-BA"/>
        </w:rPr>
        <w:t xml:space="preserve"> </w:t>
      </w:r>
      <w:r>
        <w:rPr>
          <w:rFonts w:ascii="Times New Roman" w:hAnsi="Times New Roman"/>
          <w:szCs w:val="24"/>
          <w:lang w:val="bs-Latn-BA"/>
        </w:rPr>
        <w:t>Меморијалног</w:t>
      </w:r>
      <w:r w:rsidR="005979A7" w:rsidRPr="00295637">
        <w:rPr>
          <w:rFonts w:ascii="Times New Roman" w:hAnsi="Times New Roman"/>
          <w:szCs w:val="24"/>
          <w:lang w:val="bs-Latn-BA"/>
        </w:rPr>
        <w:t xml:space="preserve"> </w:t>
      </w:r>
      <w:r>
        <w:rPr>
          <w:rFonts w:ascii="Times New Roman" w:hAnsi="Times New Roman"/>
          <w:szCs w:val="24"/>
          <w:lang w:val="bs-Latn-BA"/>
        </w:rPr>
        <w:t>центра</w:t>
      </w:r>
      <w:r w:rsidR="005979A7" w:rsidRPr="00295637">
        <w:rPr>
          <w:rFonts w:ascii="Times New Roman" w:hAnsi="Times New Roman"/>
          <w:szCs w:val="24"/>
          <w:lang w:val="bs-Latn-BA"/>
        </w:rPr>
        <w:t xml:space="preserve"> </w:t>
      </w:r>
      <w:r>
        <w:rPr>
          <w:rFonts w:ascii="Times New Roman" w:hAnsi="Times New Roman"/>
          <w:szCs w:val="24"/>
          <w:lang w:val="bs-Latn-BA"/>
        </w:rPr>
        <w:t>Сребреница</w:t>
      </w:r>
      <w:r w:rsidR="002E7F5D" w:rsidRPr="00295637">
        <w:rPr>
          <w:rFonts w:ascii="Times New Roman" w:hAnsi="Times New Roman"/>
          <w:szCs w:val="24"/>
          <w:lang w:val="bs-Latn-BA"/>
        </w:rPr>
        <w:t>,</w:t>
      </w:r>
      <w:r w:rsidR="00B26223" w:rsidRPr="00295637">
        <w:rPr>
          <w:rFonts w:ascii="Times New Roman" w:hAnsi="Times New Roman"/>
          <w:szCs w:val="24"/>
          <w:lang w:val="bs-Latn-BA"/>
        </w:rPr>
        <w:t xml:space="preserve"> </w:t>
      </w:r>
      <w:r>
        <w:rPr>
          <w:rFonts w:ascii="Times New Roman" w:hAnsi="Times New Roman"/>
          <w:szCs w:val="24"/>
          <w:lang w:val="bs-Latn-BA"/>
        </w:rPr>
        <w:t>као</w:t>
      </w:r>
      <w:r w:rsidR="00B26223" w:rsidRPr="00295637">
        <w:rPr>
          <w:rFonts w:ascii="Times New Roman" w:hAnsi="Times New Roman"/>
          <w:szCs w:val="24"/>
          <w:lang w:val="bs-Latn-BA"/>
        </w:rPr>
        <w:t xml:space="preserve"> </w:t>
      </w:r>
      <w:r>
        <w:rPr>
          <w:rFonts w:ascii="Times New Roman" w:hAnsi="Times New Roman"/>
          <w:szCs w:val="24"/>
          <w:lang w:val="bs-Latn-BA"/>
        </w:rPr>
        <w:t>панелисткиња</w:t>
      </w:r>
      <w:r w:rsidR="005979A7" w:rsidRPr="00295637">
        <w:rPr>
          <w:rFonts w:ascii="Times New Roman" w:hAnsi="Times New Roman"/>
          <w:szCs w:val="24"/>
          <w:lang w:val="bs-Latn-BA"/>
        </w:rPr>
        <w:t xml:space="preserve"> </w:t>
      </w:r>
      <w:r>
        <w:rPr>
          <w:rFonts w:ascii="Times New Roman" w:hAnsi="Times New Roman"/>
          <w:szCs w:val="24"/>
          <w:lang w:val="bs-Latn-BA"/>
        </w:rPr>
        <w:t>учествовала</w:t>
      </w:r>
      <w:r w:rsidR="005979A7" w:rsidRPr="00295637">
        <w:rPr>
          <w:rFonts w:ascii="Times New Roman" w:hAnsi="Times New Roman"/>
          <w:szCs w:val="24"/>
          <w:lang w:val="bs-Latn-BA"/>
        </w:rPr>
        <w:t xml:space="preserve"> </w:t>
      </w:r>
      <w:r>
        <w:rPr>
          <w:rFonts w:ascii="Times New Roman" w:hAnsi="Times New Roman"/>
          <w:szCs w:val="24"/>
          <w:lang w:val="bs-Latn-BA"/>
        </w:rPr>
        <w:t>и</w:t>
      </w:r>
      <w:r w:rsidR="005979A7" w:rsidRPr="00295637">
        <w:rPr>
          <w:rFonts w:ascii="Times New Roman" w:hAnsi="Times New Roman"/>
          <w:szCs w:val="24"/>
          <w:lang w:val="bs-Latn-BA"/>
        </w:rPr>
        <w:t xml:space="preserve"> </w:t>
      </w:r>
      <w:r>
        <w:rPr>
          <w:rFonts w:ascii="Times New Roman" w:hAnsi="Times New Roman"/>
          <w:szCs w:val="24"/>
          <w:lang w:val="bs-Latn-BA"/>
        </w:rPr>
        <w:t>директорица</w:t>
      </w:r>
      <w:r w:rsidR="005979A7" w:rsidRPr="00295637">
        <w:rPr>
          <w:rFonts w:ascii="Times New Roman" w:hAnsi="Times New Roman"/>
          <w:szCs w:val="24"/>
          <w:lang w:val="bs-Latn-BA"/>
        </w:rPr>
        <w:t xml:space="preserve"> </w:t>
      </w:r>
      <w:r>
        <w:rPr>
          <w:rFonts w:ascii="Times New Roman" w:hAnsi="Times New Roman"/>
          <w:szCs w:val="24"/>
          <w:lang w:val="bs-Latn-BA"/>
        </w:rPr>
        <w:t>АР</w:t>
      </w:r>
      <w:r w:rsidR="007550FB">
        <w:rPr>
          <w:rFonts w:ascii="Times New Roman" w:hAnsi="Times New Roman"/>
          <w:szCs w:val="24"/>
          <w:lang w:val="sr-Cyrl-BA"/>
        </w:rPr>
        <w:t>П</w:t>
      </w:r>
      <w:r w:rsidR="004B269F">
        <w:rPr>
          <w:rFonts w:ascii="Times New Roman" w:hAnsi="Times New Roman"/>
          <w:szCs w:val="24"/>
          <w:lang w:val="bs-Latn-BA"/>
        </w:rPr>
        <w:t xml:space="preserve"> </w:t>
      </w:r>
      <w:r>
        <w:rPr>
          <w:rFonts w:ascii="Times New Roman" w:hAnsi="Times New Roman"/>
          <w:szCs w:val="24"/>
          <w:lang w:val="bs-Latn-BA"/>
        </w:rPr>
        <w:t>БиХ</w:t>
      </w:r>
      <w:r w:rsidR="00AA2171">
        <w:rPr>
          <w:rFonts w:ascii="Times New Roman" w:hAnsi="Times New Roman"/>
          <w:szCs w:val="24"/>
          <w:lang w:val="bs-Latn-BA"/>
        </w:rPr>
        <w:t xml:space="preserve"> </w:t>
      </w:r>
      <w:r>
        <w:rPr>
          <w:rFonts w:ascii="Times New Roman" w:hAnsi="Times New Roman"/>
          <w:szCs w:val="24"/>
          <w:lang w:val="bs-Latn-BA"/>
        </w:rPr>
        <w:t>МЉПИ</w:t>
      </w:r>
      <w:r w:rsidR="00AA2171">
        <w:rPr>
          <w:rFonts w:ascii="Times New Roman" w:hAnsi="Times New Roman"/>
          <w:szCs w:val="24"/>
          <w:lang w:val="bs-Latn-BA"/>
        </w:rPr>
        <w:t xml:space="preserve"> </w:t>
      </w:r>
      <w:r>
        <w:rPr>
          <w:rFonts w:ascii="Times New Roman" w:hAnsi="Times New Roman"/>
          <w:szCs w:val="24"/>
          <w:lang w:val="bs-Latn-BA"/>
        </w:rPr>
        <w:t>БиХ</w:t>
      </w:r>
      <w:r w:rsidR="002E7F5D" w:rsidRPr="00295637">
        <w:rPr>
          <w:rFonts w:ascii="Times New Roman" w:hAnsi="Times New Roman"/>
          <w:szCs w:val="24"/>
          <w:lang w:val="bs-Latn-BA"/>
        </w:rPr>
        <w:t xml:space="preserve"> </w:t>
      </w:r>
      <w:r>
        <w:rPr>
          <w:rFonts w:ascii="Times New Roman" w:hAnsi="Times New Roman"/>
          <w:szCs w:val="24"/>
          <w:lang w:val="bs-Latn-BA"/>
        </w:rPr>
        <w:t>која</w:t>
      </w:r>
      <w:r w:rsidR="002E7F5D" w:rsidRPr="00295637">
        <w:rPr>
          <w:rFonts w:ascii="Times New Roman" w:hAnsi="Times New Roman"/>
          <w:szCs w:val="24"/>
          <w:lang w:val="bs-Latn-BA"/>
        </w:rPr>
        <w:t xml:space="preserve"> </w:t>
      </w:r>
      <w:r>
        <w:rPr>
          <w:rFonts w:ascii="Times New Roman" w:hAnsi="Times New Roman"/>
          <w:szCs w:val="24"/>
          <w:lang w:val="bs-Latn-BA"/>
        </w:rPr>
        <w:t>је</w:t>
      </w:r>
      <w:r w:rsidR="002E7F5D" w:rsidRPr="00295637">
        <w:rPr>
          <w:rFonts w:ascii="Times New Roman" w:hAnsi="Times New Roman"/>
          <w:szCs w:val="24"/>
          <w:lang w:val="bs-Latn-BA"/>
        </w:rPr>
        <w:t xml:space="preserve">, </w:t>
      </w:r>
      <w:r>
        <w:rPr>
          <w:rFonts w:ascii="Times New Roman" w:hAnsi="Times New Roman"/>
          <w:szCs w:val="24"/>
          <w:lang w:val="bs-Latn-BA"/>
        </w:rPr>
        <w:t>поред</w:t>
      </w:r>
      <w:r w:rsidR="002E7F5D" w:rsidRPr="00295637">
        <w:rPr>
          <w:rFonts w:ascii="Times New Roman" w:hAnsi="Times New Roman"/>
          <w:szCs w:val="24"/>
          <w:lang w:val="bs-Latn-BA"/>
        </w:rPr>
        <w:t xml:space="preserve"> </w:t>
      </w:r>
      <w:r>
        <w:rPr>
          <w:rFonts w:ascii="Times New Roman" w:hAnsi="Times New Roman"/>
          <w:szCs w:val="24"/>
          <w:lang w:val="bs-Latn-BA"/>
        </w:rPr>
        <w:t>осталог</w:t>
      </w:r>
      <w:r w:rsidR="002E7F5D" w:rsidRPr="00295637">
        <w:rPr>
          <w:rFonts w:ascii="Times New Roman" w:hAnsi="Times New Roman"/>
          <w:szCs w:val="24"/>
          <w:lang w:val="bs-Latn-BA"/>
        </w:rPr>
        <w:t xml:space="preserve">, </w:t>
      </w:r>
      <w:r>
        <w:rPr>
          <w:rFonts w:ascii="Times New Roman" w:hAnsi="Times New Roman"/>
          <w:szCs w:val="24"/>
          <w:lang w:val="bs-Latn-BA"/>
        </w:rPr>
        <w:t>истакла</w:t>
      </w:r>
      <w:r w:rsidR="002E7F5D" w:rsidRPr="00295637">
        <w:rPr>
          <w:rFonts w:ascii="Times New Roman" w:hAnsi="Times New Roman"/>
          <w:szCs w:val="24"/>
          <w:lang w:val="bs-Latn-BA"/>
        </w:rPr>
        <w:t xml:space="preserve"> </w:t>
      </w:r>
      <w:r>
        <w:rPr>
          <w:rFonts w:ascii="Times New Roman" w:hAnsi="Times New Roman"/>
          <w:szCs w:val="24"/>
          <w:lang w:val="bs-Latn-BA"/>
        </w:rPr>
        <w:t>важност</w:t>
      </w:r>
      <w:r w:rsidR="002E7F5D" w:rsidRPr="00295637">
        <w:rPr>
          <w:rFonts w:ascii="Times New Roman" w:hAnsi="Times New Roman"/>
          <w:szCs w:val="24"/>
          <w:lang w:val="bs-Latn-BA"/>
        </w:rPr>
        <w:t xml:space="preserve"> </w:t>
      </w:r>
      <w:r>
        <w:rPr>
          <w:rFonts w:ascii="Times New Roman" w:hAnsi="Times New Roman"/>
          <w:color w:val="000000"/>
          <w:szCs w:val="24"/>
          <w:shd w:val="clear" w:color="auto" w:fill="FFFFFF"/>
        </w:rPr>
        <w:t>адекватног</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документирања</w:t>
      </w:r>
      <w:r w:rsidR="004B269F">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искустава</w:t>
      </w:r>
      <w:r w:rsidR="004B269F">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мајки</w:t>
      </w:r>
      <w:r w:rsidR="004B269F">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са</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овог</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подручја</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као</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упозорење</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из</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којег</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млађе</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генерације</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могу</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учити</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и</w:t>
      </w:r>
      <w:r w:rsidR="00EC48AC">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које</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треба</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послужити</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за</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едукацију</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будућих</w:t>
      </w:r>
      <w:r w:rsidR="002E7F5D" w:rsidRPr="00295637">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нараштаја</w:t>
      </w:r>
      <w:r w:rsidR="002E7F5D" w:rsidRPr="00295637">
        <w:rPr>
          <w:rFonts w:ascii="Times New Roman" w:hAnsi="Times New Roman"/>
          <w:color w:val="000000"/>
          <w:szCs w:val="24"/>
          <w:shd w:val="clear" w:color="auto" w:fill="FFFFFF"/>
        </w:rPr>
        <w:t>.</w:t>
      </w:r>
    </w:p>
    <w:p w:rsidR="00CE2EEA" w:rsidRPr="00295637" w:rsidRDefault="00CE2EEA" w:rsidP="0086268D">
      <w:pPr>
        <w:jc w:val="both"/>
        <w:rPr>
          <w:rFonts w:ascii="Times New Roman" w:hAnsi="Times New Roman"/>
          <w:lang w:val="bs-Latn-BA"/>
        </w:rPr>
      </w:pPr>
    </w:p>
    <w:p w:rsidR="005E5AA7" w:rsidRPr="00295637" w:rsidRDefault="00C6214E" w:rsidP="0086268D">
      <w:pPr>
        <w:jc w:val="both"/>
        <w:rPr>
          <w:rFonts w:ascii="Times New Roman" w:hAnsi="Times New Roman"/>
          <w:lang w:val="bs-Latn-BA"/>
        </w:rPr>
      </w:pPr>
      <w:r>
        <w:rPr>
          <w:rFonts w:ascii="Times New Roman" w:hAnsi="Times New Roman"/>
          <w:lang w:val="bs-Latn-BA"/>
        </w:rPr>
        <w:t>АР</w:t>
      </w:r>
      <w:r w:rsidR="007550FB">
        <w:rPr>
          <w:rFonts w:ascii="Times New Roman" w:hAnsi="Times New Roman"/>
          <w:lang w:val="sr-Cyrl-BA"/>
        </w:rPr>
        <w:t>П</w:t>
      </w:r>
      <w:r w:rsidR="004B269F">
        <w:rPr>
          <w:rFonts w:ascii="Times New Roman" w:hAnsi="Times New Roman"/>
          <w:lang w:val="bs-Latn-BA"/>
        </w:rPr>
        <w:t xml:space="preserve"> </w:t>
      </w:r>
      <w:r>
        <w:rPr>
          <w:rFonts w:ascii="Times New Roman" w:hAnsi="Times New Roman"/>
          <w:lang w:val="bs-Latn-BA"/>
        </w:rPr>
        <w:t>БиХ</w:t>
      </w:r>
      <w:r w:rsidR="004B269F">
        <w:rPr>
          <w:rFonts w:ascii="Times New Roman" w:hAnsi="Times New Roman"/>
          <w:lang w:val="bs-Latn-BA"/>
        </w:rPr>
        <w:t xml:space="preserve"> </w:t>
      </w:r>
      <w:r>
        <w:rPr>
          <w:rFonts w:ascii="Times New Roman" w:hAnsi="Times New Roman"/>
          <w:lang w:val="bs-Latn-BA"/>
        </w:rPr>
        <w:t>МЉПИ</w:t>
      </w:r>
      <w:r w:rsidR="004B269F">
        <w:rPr>
          <w:rFonts w:ascii="Times New Roman" w:hAnsi="Times New Roman"/>
          <w:lang w:val="bs-Latn-BA"/>
        </w:rPr>
        <w:t xml:space="preserve"> </w:t>
      </w:r>
      <w:r>
        <w:rPr>
          <w:rFonts w:ascii="Times New Roman" w:hAnsi="Times New Roman"/>
          <w:lang w:val="bs-Latn-BA"/>
        </w:rPr>
        <w:t>БиХ</w:t>
      </w:r>
      <w:r w:rsidR="005E5AA7" w:rsidRPr="00295637">
        <w:rPr>
          <w:rFonts w:ascii="Times New Roman" w:hAnsi="Times New Roman"/>
          <w:lang w:val="bs-Latn-BA"/>
        </w:rPr>
        <w:t xml:space="preserve"> </w:t>
      </w:r>
      <w:r>
        <w:rPr>
          <w:rFonts w:ascii="Times New Roman" w:hAnsi="Times New Roman"/>
          <w:lang w:val="bs-Latn-BA"/>
        </w:rPr>
        <w:t>учествовала</w:t>
      </w:r>
      <w:r w:rsidR="005E5AA7" w:rsidRPr="00295637">
        <w:rPr>
          <w:rFonts w:ascii="Times New Roman" w:hAnsi="Times New Roman"/>
          <w:lang w:val="bs-Latn-BA"/>
        </w:rPr>
        <w:t xml:space="preserve"> </w:t>
      </w:r>
      <w:r>
        <w:rPr>
          <w:rFonts w:ascii="Times New Roman" w:hAnsi="Times New Roman"/>
          <w:lang w:val="bs-Latn-BA"/>
        </w:rPr>
        <w:t>је</w:t>
      </w:r>
      <w:r w:rsidR="004B269F" w:rsidRPr="00295637">
        <w:rPr>
          <w:rFonts w:ascii="Times New Roman" w:hAnsi="Times New Roman"/>
          <w:lang w:val="bs-Latn-BA"/>
        </w:rPr>
        <w:t xml:space="preserve"> </w:t>
      </w:r>
      <w:r>
        <w:rPr>
          <w:rFonts w:ascii="Times New Roman" w:hAnsi="Times New Roman"/>
          <w:lang w:val="bs-Latn-BA"/>
        </w:rPr>
        <w:t>у</w:t>
      </w:r>
      <w:r w:rsidR="005E5AA7" w:rsidRPr="00295637">
        <w:rPr>
          <w:rFonts w:ascii="Times New Roman" w:hAnsi="Times New Roman"/>
          <w:lang w:val="bs-Latn-BA"/>
        </w:rPr>
        <w:t xml:space="preserve"> </w:t>
      </w:r>
      <w:r>
        <w:rPr>
          <w:rFonts w:ascii="Times New Roman" w:hAnsi="Times New Roman"/>
          <w:lang w:val="bs-Latn-BA"/>
        </w:rPr>
        <w:t>изради</w:t>
      </w:r>
      <w:r w:rsidR="005E5AA7" w:rsidRPr="00295637">
        <w:rPr>
          <w:rFonts w:ascii="Times New Roman" w:hAnsi="Times New Roman"/>
          <w:lang w:val="bs-Latn-BA"/>
        </w:rPr>
        <w:t xml:space="preserve"> </w:t>
      </w:r>
      <w:r>
        <w:rPr>
          <w:rFonts w:ascii="Times New Roman" w:hAnsi="Times New Roman"/>
          <w:lang w:val="bs-Latn-BA"/>
        </w:rPr>
        <w:t>студије</w:t>
      </w:r>
      <w:r w:rsidR="005E5AA7" w:rsidRPr="00295637">
        <w:rPr>
          <w:rFonts w:ascii="Times New Roman" w:hAnsi="Times New Roman"/>
          <w:lang w:val="bs-Latn-BA"/>
        </w:rPr>
        <w:t xml:space="preserve"> </w:t>
      </w:r>
      <w:r>
        <w:rPr>
          <w:rFonts w:ascii="Times New Roman" w:hAnsi="Times New Roman"/>
          <w:lang w:val="bs-Latn-BA"/>
        </w:rPr>
        <w:t>на</w:t>
      </w:r>
      <w:r w:rsidR="005E5AA7" w:rsidRPr="00295637">
        <w:rPr>
          <w:rFonts w:ascii="Times New Roman" w:hAnsi="Times New Roman"/>
          <w:lang w:val="bs-Latn-BA"/>
        </w:rPr>
        <w:t xml:space="preserve"> </w:t>
      </w:r>
      <w:r>
        <w:rPr>
          <w:rFonts w:ascii="Times New Roman" w:hAnsi="Times New Roman"/>
          <w:lang w:val="bs-Latn-BA"/>
        </w:rPr>
        <w:t>тему</w:t>
      </w:r>
      <w:r w:rsidR="005E5AA7" w:rsidRPr="00295637">
        <w:rPr>
          <w:rFonts w:ascii="Times New Roman" w:hAnsi="Times New Roman"/>
          <w:lang w:val="bs-Latn-BA"/>
        </w:rPr>
        <w:t xml:space="preserve"> „</w:t>
      </w:r>
      <w:r>
        <w:rPr>
          <w:rFonts w:ascii="Times New Roman" w:hAnsi="Times New Roman"/>
        </w:rPr>
        <w:t>Прилике</w:t>
      </w:r>
      <w:r w:rsidR="005E5AA7" w:rsidRPr="00295637">
        <w:rPr>
          <w:rFonts w:ascii="Times New Roman" w:hAnsi="Times New Roman"/>
        </w:rPr>
        <w:t xml:space="preserve"> </w:t>
      </w:r>
      <w:r>
        <w:rPr>
          <w:rFonts w:ascii="Times New Roman" w:hAnsi="Times New Roman"/>
        </w:rPr>
        <w:t>и</w:t>
      </w:r>
      <w:r w:rsidR="005E5AA7" w:rsidRPr="00295637">
        <w:rPr>
          <w:rFonts w:ascii="Times New Roman" w:hAnsi="Times New Roman"/>
        </w:rPr>
        <w:t xml:space="preserve"> </w:t>
      </w:r>
      <w:r>
        <w:rPr>
          <w:rFonts w:ascii="Times New Roman" w:hAnsi="Times New Roman"/>
        </w:rPr>
        <w:t>изазови</w:t>
      </w:r>
      <w:r w:rsidR="005E5AA7" w:rsidRPr="00295637">
        <w:rPr>
          <w:rFonts w:ascii="Times New Roman" w:hAnsi="Times New Roman"/>
        </w:rPr>
        <w:t xml:space="preserve"> </w:t>
      </w:r>
      <w:r>
        <w:rPr>
          <w:rFonts w:ascii="Times New Roman" w:hAnsi="Times New Roman"/>
        </w:rPr>
        <w:t>за</w:t>
      </w:r>
      <w:r w:rsidR="005E5AA7" w:rsidRPr="00295637">
        <w:rPr>
          <w:rFonts w:ascii="Times New Roman" w:hAnsi="Times New Roman"/>
        </w:rPr>
        <w:t xml:space="preserve"> </w:t>
      </w:r>
      <w:r>
        <w:rPr>
          <w:rFonts w:ascii="Times New Roman" w:hAnsi="Times New Roman"/>
        </w:rPr>
        <w:t>ангажман</w:t>
      </w:r>
      <w:r w:rsidR="005E5AA7" w:rsidRPr="00295637">
        <w:rPr>
          <w:rFonts w:ascii="Times New Roman" w:hAnsi="Times New Roman"/>
        </w:rPr>
        <w:t xml:space="preserve"> </w:t>
      </w:r>
      <w:r>
        <w:rPr>
          <w:rFonts w:ascii="Times New Roman" w:hAnsi="Times New Roman"/>
        </w:rPr>
        <w:t>жена</w:t>
      </w:r>
      <w:r w:rsidR="005E5AA7" w:rsidRPr="00295637">
        <w:rPr>
          <w:rFonts w:ascii="Times New Roman" w:hAnsi="Times New Roman"/>
        </w:rPr>
        <w:t xml:space="preserve"> </w:t>
      </w:r>
      <w:r>
        <w:rPr>
          <w:rFonts w:ascii="Times New Roman" w:hAnsi="Times New Roman"/>
        </w:rPr>
        <w:t>у</w:t>
      </w:r>
      <w:r w:rsidR="005E5AA7" w:rsidRPr="00295637">
        <w:rPr>
          <w:rFonts w:ascii="Times New Roman" w:hAnsi="Times New Roman"/>
        </w:rPr>
        <w:t xml:space="preserve"> </w:t>
      </w:r>
      <w:r>
        <w:rPr>
          <w:rFonts w:ascii="Times New Roman" w:hAnsi="Times New Roman"/>
        </w:rPr>
        <w:t>еколошкој</w:t>
      </w:r>
      <w:r w:rsidR="005E5AA7" w:rsidRPr="00295637">
        <w:rPr>
          <w:rFonts w:ascii="Times New Roman" w:hAnsi="Times New Roman"/>
        </w:rPr>
        <w:t xml:space="preserve"> </w:t>
      </w:r>
      <w:r>
        <w:rPr>
          <w:rFonts w:ascii="Times New Roman" w:hAnsi="Times New Roman"/>
        </w:rPr>
        <w:t>правди</w:t>
      </w:r>
      <w:r w:rsidR="005E5AA7" w:rsidRPr="00295637">
        <w:rPr>
          <w:rFonts w:ascii="Times New Roman" w:hAnsi="Times New Roman"/>
        </w:rPr>
        <w:t xml:space="preserve"> </w:t>
      </w:r>
      <w:r>
        <w:rPr>
          <w:rFonts w:ascii="Times New Roman" w:hAnsi="Times New Roman"/>
        </w:rPr>
        <w:t>у</w:t>
      </w:r>
      <w:r w:rsidR="005E5AA7" w:rsidRPr="00295637">
        <w:rPr>
          <w:rFonts w:ascii="Times New Roman" w:hAnsi="Times New Roman"/>
        </w:rPr>
        <w:t xml:space="preserve"> </w:t>
      </w:r>
      <w:r>
        <w:rPr>
          <w:rFonts w:ascii="Times New Roman" w:hAnsi="Times New Roman"/>
        </w:rPr>
        <w:t>Босни</w:t>
      </w:r>
      <w:r w:rsidR="005E5AA7" w:rsidRPr="00295637">
        <w:rPr>
          <w:rFonts w:ascii="Times New Roman" w:hAnsi="Times New Roman"/>
        </w:rPr>
        <w:t xml:space="preserve"> </w:t>
      </w:r>
      <w:r>
        <w:rPr>
          <w:rFonts w:ascii="Times New Roman" w:hAnsi="Times New Roman"/>
        </w:rPr>
        <w:t>и</w:t>
      </w:r>
      <w:r w:rsidR="008D2391" w:rsidRPr="00295637">
        <w:rPr>
          <w:rFonts w:ascii="Times New Roman" w:hAnsi="Times New Roman"/>
        </w:rPr>
        <w:t xml:space="preserve"> </w:t>
      </w:r>
      <w:r>
        <w:rPr>
          <w:rFonts w:ascii="Times New Roman" w:hAnsi="Times New Roman"/>
        </w:rPr>
        <w:t>Херцеговини</w:t>
      </w:r>
      <w:r w:rsidR="005E5AA7" w:rsidRPr="00295637">
        <w:rPr>
          <w:rFonts w:ascii="Times New Roman" w:hAnsi="Times New Roman"/>
        </w:rPr>
        <w:t xml:space="preserve"> </w:t>
      </w:r>
      <w:r>
        <w:rPr>
          <w:rFonts w:ascii="Times New Roman" w:hAnsi="Times New Roman"/>
        </w:rPr>
        <w:t>и</w:t>
      </w:r>
      <w:r w:rsidR="005E5AA7" w:rsidRPr="00295637">
        <w:rPr>
          <w:rFonts w:ascii="Times New Roman" w:hAnsi="Times New Roman"/>
        </w:rPr>
        <w:t xml:space="preserve"> </w:t>
      </w:r>
      <w:r>
        <w:rPr>
          <w:rFonts w:ascii="Times New Roman" w:hAnsi="Times New Roman"/>
        </w:rPr>
        <w:t>на</w:t>
      </w:r>
      <w:r w:rsidR="005E5AA7" w:rsidRPr="00295637">
        <w:rPr>
          <w:rFonts w:ascii="Times New Roman" w:hAnsi="Times New Roman"/>
        </w:rPr>
        <w:t xml:space="preserve"> </w:t>
      </w:r>
      <w:r>
        <w:rPr>
          <w:rFonts w:ascii="Times New Roman" w:hAnsi="Times New Roman"/>
        </w:rPr>
        <w:t>Косову</w:t>
      </w:r>
      <w:r w:rsidR="005E5AA7" w:rsidRPr="00295637">
        <w:rPr>
          <w:rFonts w:ascii="Times New Roman" w:hAnsi="Times New Roman"/>
        </w:rPr>
        <w:t xml:space="preserve">“ </w:t>
      </w:r>
      <w:r>
        <w:rPr>
          <w:rFonts w:ascii="Times New Roman" w:hAnsi="Times New Roman"/>
        </w:rPr>
        <w:t>у</w:t>
      </w:r>
      <w:r w:rsidR="005E5AA7" w:rsidRPr="00295637">
        <w:rPr>
          <w:rFonts w:ascii="Times New Roman" w:hAnsi="Times New Roman"/>
        </w:rPr>
        <w:t xml:space="preserve"> </w:t>
      </w:r>
      <w:r>
        <w:rPr>
          <w:rFonts w:ascii="Times New Roman" w:hAnsi="Times New Roman"/>
        </w:rPr>
        <w:t>оквиру</w:t>
      </w:r>
      <w:r w:rsidR="005E5AA7" w:rsidRPr="00295637">
        <w:rPr>
          <w:rFonts w:ascii="Times New Roman" w:hAnsi="Times New Roman"/>
        </w:rPr>
        <w:t xml:space="preserve"> </w:t>
      </w:r>
      <w:r>
        <w:rPr>
          <w:rFonts w:ascii="Times New Roman" w:hAnsi="Times New Roman"/>
        </w:rPr>
        <w:t>чега</w:t>
      </w:r>
      <w:r w:rsidR="005E5AA7" w:rsidRPr="00295637">
        <w:rPr>
          <w:rFonts w:ascii="Times New Roman" w:hAnsi="Times New Roman"/>
        </w:rPr>
        <w:t xml:space="preserve"> </w:t>
      </w:r>
      <w:r>
        <w:rPr>
          <w:rFonts w:ascii="Times New Roman" w:hAnsi="Times New Roman"/>
        </w:rPr>
        <w:t>је</w:t>
      </w:r>
      <w:r w:rsidR="005E5AA7" w:rsidRPr="00295637">
        <w:rPr>
          <w:rFonts w:ascii="Times New Roman" w:hAnsi="Times New Roman"/>
        </w:rPr>
        <w:t xml:space="preserve"> </w:t>
      </w:r>
      <w:r>
        <w:rPr>
          <w:rFonts w:ascii="Times New Roman" w:hAnsi="Times New Roman"/>
        </w:rPr>
        <w:t>у</w:t>
      </w:r>
      <w:r w:rsidR="005E5AA7" w:rsidRPr="00295637">
        <w:rPr>
          <w:rFonts w:ascii="Times New Roman" w:hAnsi="Times New Roman"/>
        </w:rPr>
        <w:t xml:space="preserve"> </w:t>
      </w:r>
      <w:r w:rsidR="007550FB">
        <w:rPr>
          <w:rFonts w:ascii="Times New Roman" w:hAnsi="Times New Roman"/>
        </w:rPr>
        <w:t>мају</w:t>
      </w:r>
      <w:r w:rsidR="005E5AA7" w:rsidRPr="00295637">
        <w:rPr>
          <w:rFonts w:ascii="Times New Roman" w:hAnsi="Times New Roman"/>
        </w:rPr>
        <w:t xml:space="preserve"> 2024. </w:t>
      </w:r>
      <w:r>
        <w:rPr>
          <w:rFonts w:ascii="Times New Roman" w:hAnsi="Times New Roman"/>
        </w:rPr>
        <w:t>године</w:t>
      </w:r>
      <w:r w:rsidR="005E5AA7" w:rsidRPr="00295637">
        <w:rPr>
          <w:rFonts w:ascii="Times New Roman" w:hAnsi="Times New Roman"/>
        </w:rPr>
        <w:t xml:space="preserve"> </w:t>
      </w:r>
      <w:r>
        <w:rPr>
          <w:rFonts w:ascii="Times New Roman" w:hAnsi="Times New Roman"/>
        </w:rPr>
        <w:t>у</w:t>
      </w:r>
      <w:r w:rsidR="005E5AA7" w:rsidRPr="00295637">
        <w:rPr>
          <w:rFonts w:ascii="Times New Roman" w:hAnsi="Times New Roman"/>
        </w:rPr>
        <w:t xml:space="preserve"> </w:t>
      </w:r>
      <w:r>
        <w:rPr>
          <w:rFonts w:ascii="Times New Roman" w:hAnsi="Times New Roman"/>
        </w:rPr>
        <w:t>Зеници</w:t>
      </w:r>
      <w:r w:rsidR="005E5AA7" w:rsidRPr="00295637">
        <w:rPr>
          <w:rFonts w:ascii="Times New Roman" w:hAnsi="Times New Roman"/>
        </w:rPr>
        <w:t xml:space="preserve"> </w:t>
      </w:r>
      <w:r>
        <w:rPr>
          <w:rFonts w:ascii="Times New Roman" w:hAnsi="Times New Roman"/>
        </w:rPr>
        <w:t>одржана</w:t>
      </w:r>
      <w:r w:rsidR="005E5AA7" w:rsidRPr="00295637">
        <w:rPr>
          <w:rFonts w:ascii="Times New Roman" w:hAnsi="Times New Roman"/>
        </w:rPr>
        <w:t xml:space="preserve"> </w:t>
      </w:r>
      <w:r>
        <w:rPr>
          <w:rFonts w:ascii="Times New Roman" w:hAnsi="Times New Roman"/>
        </w:rPr>
        <w:t>радионица</w:t>
      </w:r>
      <w:r w:rsidR="005E5AA7" w:rsidRPr="00295637">
        <w:rPr>
          <w:rFonts w:ascii="Times New Roman" w:hAnsi="Times New Roman"/>
        </w:rPr>
        <w:t xml:space="preserve"> </w:t>
      </w:r>
      <w:r>
        <w:rPr>
          <w:rFonts w:ascii="Times New Roman" w:hAnsi="Times New Roman"/>
        </w:rPr>
        <w:t>којој</w:t>
      </w:r>
      <w:r w:rsidR="005E5AA7" w:rsidRPr="00295637">
        <w:rPr>
          <w:rFonts w:ascii="Times New Roman" w:hAnsi="Times New Roman"/>
        </w:rPr>
        <w:t xml:space="preserve"> </w:t>
      </w:r>
      <w:r>
        <w:rPr>
          <w:rFonts w:ascii="Times New Roman" w:hAnsi="Times New Roman"/>
        </w:rPr>
        <w:t>је</w:t>
      </w:r>
      <w:r w:rsidR="005E5AA7" w:rsidRPr="00295637">
        <w:rPr>
          <w:rFonts w:ascii="Times New Roman" w:hAnsi="Times New Roman"/>
        </w:rPr>
        <w:t xml:space="preserve"> </w:t>
      </w:r>
      <w:r>
        <w:rPr>
          <w:rFonts w:ascii="Times New Roman" w:hAnsi="Times New Roman"/>
        </w:rPr>
        <w:t>домаћин</w:t>
      </w:r>
      <w:r w:rsidR="005E5AA7" w:rsidRPr="00295637">
        <w:rPr>
          <w:rFonts w:ascii="Times New Roman" w:hAnsi="Times New Roman"/>
        </w:rPr>
        <w:t xml:space="preserve"> </w:t>
      </w:r>
      <w:r>
        <w:rPr>
          <w:rFonts w:ascii="Times New Roman" w:hAnsi="Times New Roman"/>
        </w:rPr>
        <w:t>био</w:t>
      </w:r>
      <w:r w:rsidR="005E5AA7" w:rsidRPr="00295637">
        <w:rPr>
          <w:rFonts w:ascii="Times New Roman" w:hAnsi="Times New Roman"/>
        </w:rPr>
        <w:t xml:space="preserve"> „</w:t>
      </w:r>
      <w:r>
        <w:rPr>
          <w:rFonts w:ascii="Times New Roman" w:hAnsi="Times New Roman"/>
        </w:rPr>
        <w:t>Еко</w:t>
      </w:r>
      <w:r w:rsidR="005E5AA7" w:rsidRPr="00295637">
        <w:rPr>
          <w:rFonts w:ascii="Times New Roman" w:hAnsi="Times New Roman"/>
        </w:rPr>
        <w:t xml:space="preserve"> </w:t>
      </w:r>
      <w:r>
        <w:rPr>
          <w:rFonts w:ascii="Times New Roman" w:hAnsi="Times New Roman"/>
        </w:rPr>
        <w:t>форум</w:t>
      </w:r>
      <w:r w:rsidR="005E5AA7" w:rsidRPr="00295637">
        <w:rPr>
          <w:rFonts w:ascii="Times New Roman" w:hAnsi="Times New Roman"/>
        </w:rPr>
        <w:t xml:space="preserve"> </w:t>
      </w:r>
      <w:r>
        <w:rPr>
          <w:rFonts w:ascii="Times New Roman" w:hAnsi="Times New Roman"/>
        </w:rPr>
        <w:t>Зеница</w:t>
      </w:r>
      <w:r w:rsidR="005E5AA7" w:rsidRPr="00295637">
        <w:rPr>
          <w:rFonts w:ascii="Times New Roman" w:hAnsi="Times New Roman"/>
        </w:rPr>
        <w:t xml:space="preserve">“. </w:t>
      </w:r>
    </w:p>
    <w:p w:rsidR="005E5AA7" w:rsidRPr="00295637" w:rsidRDefault="005E5AA7" w:rsidP="0086268D">
      <w:pPr>
        <w:jc w:val="both"/>
        <w:rPr>
          <w:rFonts w:ascii="Times New Roman" w:hAnsi="Times New Roman"/>
          <w:b/>
          <w:bCs/>
          <w:lang w:val="bs-Latn-BA"/>
        </w:rPr>
      </w:pPr>
    </w:p>
    <w:p w:rsidR="00297DC7" w:rsidRPr="00295637" w:rsidRDefault="00C6214E" w:rsidP="0086268D">
      <w:pPr>
        <w:jc w:val="both"/>
        <w:rPr>
          <w:rFonts w:ascii="Times New Roman" w:hAnsi="Times New Roman"/>
          <w:szCs w:val="24"/>
          <w:lang w:val="bs-Latn-BA"/>
        </w:rPr>
      </w:pPr>
      <w:r>
        <w:rPr>
          <w:rFonts w:ascii="Times New Roman" w:hAnsi="Times New Roman"/>
          <w:bCs/>
          <w:szCs w:val="24"/>
          <w:lang w:val="bs-Latn-BA"/>
        </w:rPr>
        <w:t>Циљ</w:t>
      </w:r>
      <w:r w:rsidR="00297DC7" w:rsidRPr="00295637">
        <w:rPr>
          <w:rFonts w:ascii="Times New Roman" w:hAnsi="Times New Roman"/>
          <w:bCs/>
          <w:szCs w:val="24"/>
          <w:lang w:val="bs-Latn-BA"/>
        </w:rPr>
        <w:t xml:space="preserve"> </w:t>
      </w:r>
      <w:r>
        <w:rPr>
          <w:rFonts w:ascii="Times New Roman" w:hAnsi="Times New Roman"/>
          <w:bCs/>
          <w:szCs w:val="24"/>
          <w:lang w:val="bs-Latn-BA"/>
        </w:rPr>
        <w:t>многих</w:t>
      </w:r>
      <w:r w:rsidR="00297DC7" w:rsidRPr="00295637">
        <w:rPr>
          <w:rFonts w:ascii="Times New Roman" w:hAnsi="Times New Roman"/>
          <w:bCs/>
          <w:szCs w:val="24"/>
          <w:lang w:val="bs-Latn-BA"/>
        </w:rPr>
        <w:t xml:space="preserve"> </w:t>
      </w:r>
      <w:r>
        <w:rPr>
          <w:rFonts w:ascii="Times New Roman" w:hAnsi="Times New Roman"/>
          <w:bCs/>
          <w:szCs w:val="24"/>
          <w:lang w:val="bs-Latn-BA"/>
        </w:rPr>
        <w:t>активности</w:t>
      </w:r>
      <w:r w:rsidR="00297DC7" w:rsidRPr="00295637">
        <w:rPr>
          <w:rFonts w:ascii="Times New Roman" w:hAnsi="Times New Roman"/>
          <w:bCs/>
          <w:szCs w:val="24"/>
          <w:lang w:val="bs-Latn-BA"/>
        </w:rPr>
        <w:t xml:space="preserve"> </w:t>
      </w:r>
      <w:r>
        <w:rPr>
          <w:rFonts w:ascii="Times New Roman" w:hAnsi="Times New Roman"/>
          <w:bCs/>
          <w:szCs w:val="24"/>
          <w:lang w:val="bs-Latn-BA"/>
        </w:rPr>
        <w:t>био</w:t>
      </w:r>
      <w:r w:rsidR="00297DC7" w:rsidRPr="00295637">
        <w:rPr>
          <w:rFonts w:ascii="Times New Roman" w:hAnsi="Times New Roman"/>
          <w:bCs/>
          <w:szCs w:val="24"/>
          <w:lang w:val="bs-Latn-BA"/>
        </w:rPr>
        <w:t xml:space="preserve"> </w:t>
      </w:r>
      <w:r>
        <w:rPr>
          <w:rFonts w:ascii="Times New Roman" w:hAnsi="Times New Roman"/>
          <w:bCs/>
          <w:szCs w:val="24"/>
          <w:lang w:val="bs-Latn-BA"/>
        </w:rPr>
        <w:t>је</w:t>
      </w:r>
      <w:r w:rsidR="004B269F" w:rsidRPr="00295637">
        <w:rPr>
          <w:rFonts w:ascii="Times New Roman" w:hAnsi="Times New Roman"/>
          <w:bCs/>
          <w:szCs w:val="24"/>
          <w:lang w:val="bs-Latn-BA"/>
        </w:rPr>
        <w:t xml:space="preserve"> </w:t>
      </w:r>
      <w:r>
        <w:rPr>
          <w:rFonts w:ascii="Times New Roman" w:hAnsi="Times New Roman"/>
          <w:bCs/>
          <w:szCs w:val="24"/>
          <w:lang w:val="bs-Latn-BA"/>
        </w:rPr>
        <w:t>подршка</w:t>
      </w:r>
      <w:r w:rsidR="00297DC7" w:rsidRPr="00295637">
        <w:rPr>
          <w:rFonts w:ascii="Times New Roman" w:hAnsi="Times New Roman"/>
          <w:bCs/>
          <w:szCs w:val="24"/>
          <w:lang w:val="bs-Latn-BA"/>
        </w:rPr>
        <w:t xml:space="preserve"> </w:t>
      </w:r>
      <w:r>
        <w:rPr>
          <w:rFonts w:ascii="Times New Roman" w:hAnsi="Times New Roman"/>
          <w:bCs/>
          <w:szCs w:val="24"/>
          <w:lang w:val="bs-Latn-BA"/>
        </w:rPr>
        <w:t>раду</w:t>
      </w:r>
      <w:r w:rsidR="00297DC7" w:rsidRPr="00295637">
        <w:rPr>
          <w:rFonts w:ascii="Times New Roman" w:hAnsi="Times New Roman"/>
          <w:bCs/>
          <w:szCs w:val="24"/>
          <w:lang w:val="bs-Latn-BA"/>
        </w:rPr>
        <w:t xml:space="preserve"> </w:t>
      </w:r>
      <w:r>
        <w:rPr>
          <w:rFonts w:ascii="Times New Roman" w:hAnsi="Times New Roman"/>
          <w:bCs/>
          <w:szCs w:val="24"/>
          <w:lang w:val="bs-Latn-BA"/>
        </w:rPr>
        <w:t>домаћих</w:t>
      </w:r>
      <w:r w:rsidR="00297DC7" w:rsidRPr="00295637">
        <w:rPr>
          <w:rFonts w:ascii="Times New Roman" w:hAnsi="Times New Roman"/>
          <w:bCs/>
          <w:szCs w:val="24"/>
          <w:lang w:val="bs-Latn-BA"/>
        </w:rPr>
        <w:t xml:space="preserve"> </w:t>
      </w:r>
      <w:r>
        <w:rPr>
          <w:rFonts w:ascii="Times New Roman" w:hAnsi="Times New Roman"/>
          <w:bCs/>
          <w:szCs w:val="24"/>
          <w:lang w:val="bs-Latn-BA"/>
        </w:rPr>
        <w:t>невладиних</w:t>
      </w:r>
      <w:r w:rsidR="00297DC7" w:rsidRPr="00295637">
        <w:rPr>
          <w:rFonts w:ascii="Times New Roman" w:hAnsi="Times New Roman"/>
          <w:bCs/>
          <w:szCs w:val="24"/>
          <w:lang w:val="bs-Latn-BA"/>
        </w:rPr>
        <w:t xml:space="preserve"> </w:t>
      </w:r>
      <w:r>
        <w:rPr>
          <w:rFonts w:ascii="Times New Roman" w:hAnsi="Times New Roman"/>
          <w:bCs/>
          <w:szCs w:val="24"/>
          <w:lang w:val="bs-Latn-BA"/>
        </w:rPr>
        <w:t>организација</w:t>
      </w:r>
      <w:r w:rsidR="00297DC7" w:rsidRPr="00295637">
        <w:rPr>
          <w:rFonts w:ascii="Times New Roman" w:hAnsi="Times New Roman"/>
          <w:bCs/>
          <w:szCs w:val="24"/>
          <w:lang w:val="bs-Latn-BA"/>
        </w:rPr>
        <w:t xml:space="preserve">, </w:t>
      </w:r>
      <w:r>
        <w:rPr>
          <w:rFonts w:ascii="Times New Roman" w:hAnsi="Times New Roman"/>
          <w:bCs/>
          <w:szCs w:val="24"/>
          <w:lang w:val="bs-Latn-BA"/>
        </w:rPr>
        <w:t>али</w:t>
      </w:r>
      <w:r w:rsidR="00297DC7" w:rsidRPr="00295637">
        <w:rPr>
          <w:rFonts w:ascii="Times New Roman" w:hAnsi="Times New Roman"/>
          <w:bCs/>
          <w:szCs w:val="24"/>
          <w:lang w:val="bs-Latn-BA"/>
        </w:rPr>
        <w:t xml:space="preserve"> </w:t>
      </w:r>
      <w:r>
        <w:rPr>
          <w:rFonts w:ascii="Times New Roman" w:hAnsi="Times New Roman"/>
          <w:bCs/>
          <w:szCs w:val="24"/>
          <w:lang w:val="bs-Latn-BA"/>
        </w:rPr>
        <w:t>и</w:t>
      </w:r>
      <w:r w:rsidR="00297DC7" w:rsidRPr="00295637">
        <w:rPr>
          <w:rFonts w:ascii="Times New Roman" w:hAnsi="Times New Roman"/>
          <w:bCs/>
          <w:szCs w:val="24"/>
          <w:lang w:val="bs-Latn-BA"/>
        </w:rPr>
        <w:t xml:space="preserve"> </w:t>
      </w:r>
      <w:r>
        <w:rPr>
          <w:rFonts w:ascii="Times New Roman" w:hAnsi="Times New Roman"/>
          <w:bCs/>
          <w:szCs w:val="24"/>
          <w:lang w:val="bs-Latn-BA"/>
        </w:rPr>
        <w:t>узајамно</w:t>
      </w:r>
      <w:r w:rsidR="00297DC7" w:rsidRPr="00295637">
        <w:rPr>
          <w:rFonts w:ascii="Times New Roman" w:hAnsi="Times New Roman"/>
          <w:bCs/>
          <w:szCs w:val="24"/>
          <w:lang w:val="bs-Latn-BA"/>
        </w:rPr>
        <w:t xml:space="preserve"> </w:t>
      </w:r>
      <w:r>
        <w:rPr>
          <w:rFonts w:ascii="Times New Roman" w:hAnsi="Times New Roman"/>
          <w:bCs/>
          <w:szCs w:val="24"/>
          <w:lang w:val="bs-Latn-BA"/>
        </w:rPr>
        <w:t>јачање</w:t>
      </w:r>
      <w:r w:rsidR="00297DC7" w:rsidRPr="00295637">
        <w:rPr>
          <w:rFonts w:ascii="Times New Roman" w:hAnsi="Times New Roman"/>
          <w:bCs/>
          <w:szCs w:val="24"/>
          <w:lang w:val="bs-Latn-BA"/>
        </w:rPr>
        <w:t xml:space="preserve"> </w:t>
      </w:r>
      <w:r>
        <w:rPr>
          <w:rFonts w:ascii="Times New Roman" w:hAnsi="Times New Roman"/>
          <w:bCs/>
          <w:szCs w:val="24"/>
          <w:lang w:val="bs-Latn-BA"/>
        </w:rPr>
        <w:t>капацитета</w:t>
      </w:r>
      <w:r w:rsidR="00297DC7" w:rsidRPr="00295637">
        <w:rPr>
          <w:rFonts w:ascii="Times New Roman" w:hAnsi="Times New Roman"/>
          <w:bCs/>
          <w:szCs w:val="24"/>
          <w:lang w:val="bs-Latn-BA"/>
        </w:rPr>
        <w:t xml:space="preserve">, </w:t>
      </w:r>
      <w:r>
        <w:rPr>
          <w:rFonts w:ascii="Times New Roman" w:hAnsi="Times New Roman"/>
          <w:bCs/>
          <w:szCs w:val="24"/>
          <w:lang w:val="bs-Latn-BA"/>
        </w:rPr>
        <w:t>идентификација</w:t>
      </w:r>
      <w:r w:rsidR="00297DC7" w:rsidRPr="00295637">
        <w:rPr>
          <w:rFonts w:ascii="Times New Roman" w:hAnsi="Times New Roman"/>
          <w:bCs/>
          <w:szCs w:val="24"/>
          <w:lang w:val="bs-Latn-BA"/>
        </w:rPr>
        <w:t xml:space="preserve"> </w:t>
      </w:r>
      <w:r>
        <w:rPr>
          <w:rFonts w:ascii="Times New Roman" w:hAnsi="Times New Roman"/>
          <w:bCs/>
          <w:szCs w:val="24"/>
          <w:lang w:val="bs-Latn-BA"/>
        </w:rPr>
        <w:t>и</w:t>
      </w:r>
      <w:r w:rsidR="00297DC7" w:rsidRPr="00295637">
        <w:rPr>
          <w:rFonts w:ascii="Times New Roman" w:hAnsi="Times New Roman"/>
          <w:bCs/>
          <w:szCs w:val="24"/>
          <w:lang w:val="bs-Latn-BA"/>
        </w:rPr>
        <w:t xml:space="preserve"> </w:t>
      </w:r>
      <w:r>
        <w:rPr>
          <w:rFonts w:ascii="Times New Roman" w:hAnsi="Times New Roman"/>
          <w:bCs/>
          <w:szCs w:val="24"/>
          <w:lang w:val="bs-Latn-BA"/>
        </w:rPr>
        <w:t>превазилажење</w:t>
      </w:r>
      <w:r w:rsidR="00297DC7" w:rsidRPr="00295637">
        <w:rPr>
          <w:rFonts w:ascii="Times New Roman" w:hAnsi="Times New Roman"/>
          <w:bCs/>
          <w:szCs w:val="24"/>
          <w:lang w:val="bs-Latn-BA"/>
        </w:rPr>
        <w:t xml:space="preserve"> </w:t>
      </w:r>
      <w:r>
        <w:rPr>
          <w:rFonts w:ascii="Times New Roman" w:hAnsi="Times New Roman"/>
          <w:bCs/>
          <w:szCs w:val="24"/>
          <w:lang w:val="bs-Latn-BA"/>
        </w:rPr>
        <w:t>изазова</w:t>
      </w:r>
      <w:r w:rsidR="00297DC7" w:rsidRPr="00295637">
        <w:rPr>
          <w:rFonts w:ascii="Times New Roman" w:hAnsi="Times New Roman"/>
          <w:bCs/>
          <w:szCs w:val="24"/>
          <w:lang w:val="bs-Latn-BA"/>
        </w:rPr>
        <w:t xml:space="preserve"> </w:t>
      </w:r>
      <w:r>
        <w:rPr>
          <w:rFonts w:ascii="Times New Roman" w:hAnsi="Times New Roman"/>
          <w:bCs/>
          <w:szCs w:val="24"/>
          <w:lang w:val="bs-Latn-BA"/>
        </w:rPr>
        <w:t>и</w:t>
      </w:r>
      <w:r w:rsidR="00297DC7" w:rsidRPr="00295637">
        <w:rPr>
          <w:rFonts w:ascii="Times New Roman" w:hAnsi="Times New Roman"/>
          <w:bCs/>
          <w:szCs w:val="24"/>
          <w:lang w:val="bs-Latn-BA"/>
        </w:rPr>
        <w:t xml:space="preserve"> </w:t>
      </w:r>
      <w:r>
        <w:rPr>
          <w:rFonts w:ascii="Times New Roman" w:hAnsi="Times New Roman"/>
          <w:bCs/>
          <w:szCs w:val="24"/>
          <w:lang w:val="bs-Latn-BA"/>
        </w:rPr>
        <w:t>препрека</w:t>
      </w:r>
      <w:r w:rsidR="00297DC7" w:rsidRPr="00295637">
        <w:rPr>
          <w:rFonts w:ascii="Times New Roman" w:hAnsi="Times New Roman"/>
          <w:bCs/>
          <w:szCs w:val="24"/>
          <w:lang w:val="bs-Latn-BA"/>
        </w:rPr>
        <w:t xml:space="preserve"> </w:t>
      </w:r>
      <w:r>
        <w:rPr>
          <w:rFonts w:ascii="Times New Roman" w:hAnsi="Times New Roman"/>
          <w:bCs/>
          <w:szCs w:val="24"/>
          <w:lang w:val="bs-Latn-BA"/>
        </w:rPr>
        <w:t>на</w:t>
      </w:r>
      <w:r w:rsidR="00297DC7" w:rsidRPr="00295637">
        <w:rPr>
          <w:rFonts w:ascii="Times New Roman" w:hAnsi="Times New Roman"/>
          <w:bCs/>
          <w:szCs w:val="24"/>
          <w:lang w:val="bs-Latn-BA"/>
        </w:rPr>
        <w:t xml:space="preserve"> </w:t>
      </w:r>
      <w:r>
        <w:rPr>
          <w:rFonts w:ascii="Times New Roman" w:hAnsi="Times New Roman"/>
          <w:bCs/>
          <w:szCs w:val="24"/>
          <w:lang w:val="bs-Latn-BA"/>
        </w:rPr>
        <w:t>превазилажењу</w:t>
      </w:r>
      <w:r w:rsidR="00297DC7" w:rsidRPr="00295637">
        <w:rPr>
          <w:rFonts w:ascii="Times New Roman" w:hAnsi="Times New Roman"/>
          <w:bCs/>
          <w:szCs w:val="24"/>
          <w:lang w:val="bs-Latn-BA"/>
        </w:rPr>
        <w:t xml:space="preserve"> </w:t>
      </w:r>
      <w:r>
        <w:rPr>
          <w:rFonts w:ascii="Times New Roman" w:hAnsi="Times New Roman"/>
          <w:bCs/>
          <w:szCs w:val="24"/>
          <w:lang w:val="bs-Latn-BA"/>
        </w:rPr>
        <w:t>свих</w:t>
      </w:r>
      <w:r w:rsidR="00297DC7" w:rsidRPr="00295637">
        <w:rPr>
          <w:rFonts w:ascii="Times New Roman" w:hAnsi="Times New Roman"/>
          <w:bCs/>
          <w:szCs w:val="24"/>
          <w:lang w:val="bs-Latn-BA"/>
        </w:rPr>
        <w:t xml:space="preserve"> </w:t>
      </w:r>
      <w:r>
        <w:rPr>
          <w:rFonts w:ascii="Times New Roman" w:hAnsi="Times New Roman"/>
          <w:bCs/>
          <w:szCs w:val="24"/>
          <w:lang w:val="bs-Latn-BA"/>
        </w:rPr>
        <w:t>појава</w:t>
      </w:r>
      <w:r w:rsidR="00297DC7" w:rsidRPr="00295637">
        <w:rPr>
          <w:rFonts w:ascii="Times New Roman" w:hAnsi="Times New Roman"/>
          <w:bCs/>
          <w:szCs w:val="24"/>
          <w:lang w:val="bs-Latn-BA"/>
        </w:rPr>
        <w:t xml:space="preserve"> </w:t>
      </w:r>
      <w:r>
        <w:rPr>
          <w:rFonts w:ascii="Times New Roman" w:hAnsi="Times New Roman"/>
          <w:bCs/>
          <w:szCs w:val="24"/>
          <w:lang w:val="bs-Latn-BA"/>
        </w:rPr>
        <w:t>дискриминације</w:t>
      </w:r>
      <w:r w:rsidR="00297DC7" w:rsidRPr="00295637">
        <w:rPr>
          <w:rFonts w:ascii="Times New Roman" w:hAnsi="Times New Roman"/>
          <w:bCs/>
          <w:szCs w:val="24"/>
          <w:lang w:val="bs-Latn-BA"/>
        </w:rPr>
        <w:t xml:space="preserve"> </w:t>
      </w:r>
      <w:r>
        <w:rPr>
          <w:rFonts w:ascii="Times New Roman" w:hAnsi="Times New Roman"/>
          <w:bCs/>
          <w:szCs w:val="24"/>
          <w:lang w:val="bs-Latn-BA"/>
        </w:rPr>
        <w:t>на</w:t>
      </w:r>
      <w:r w:rsidR="00297DC7" w:rsidRPr="00295637">
        <w:rPr>
          <w:rFonts w:ascii="Times New Roman" w:hAnsi="Times New Roman"/>
          <w:bCs/>
          <w:szCs w:val="24"/>
          <w:lang w:val="bs-Latn-BA"/>
        </w:rPr>
        <w:t xml:space="preserve"> </w:t>
      </w:r>
      <w:r>
        <w:rPr>
          <w:rFonts w:ascii="Times New Roman" w:hAnsi="Times New Roman"/>
          <w:bCs/>
          <w:szCs w:val="24"/>
          <w:lang w:val="bs-Latn-BA"/>
        </w:rPr>
        <w:t>основу</w:t>
      </w:r>
      <w:r w:rsidR="00297DC7" w:rsidRPr="00295637">
        <w:rPr>
          <w:rFonts w:ascii="Times New Roman" w:hAnsi="Times New Roman"/>
          <w:bCs/>
          <w:szCs w:val="24"/>
          <w:lang w:val="bs-Latn-BA"/>
        </w:rPr>
        <w:t xml:space="preserve"> </w:t>
      </w:r>
      <w:r>
        <w:rPr>
          <w:rFonts w:ascii="Times New Roman" w:hAnsi="Times New Roman"/>
          <w:bCs/>
          <w:szCs w:val="24"/>
          <w:lang w:val="bs-Latn-BA"/>
        </w:rPr>
        <w:t>пола</w:t>
      </w:r>
      <w:r w:rsidR="00297DC7" w:rsidRPr="00295637">
        <w:rPr>
          <w:rFonts w:ascii="Times New Roman" w:hAnsi="Times New Roman"/>
          <w:bCs/>
          <w:szCs w:val="24"/>
          <w:lang w:val="bs-Latn-BA"/>
        </w:rPr>
        <w:t xml:space="preserve"> </w:t>
      </w:r>
      <w:r>
        <w:rPr>
          <w:rFonts w:ascii="Times New Roman" w:hAnsi="Times New Roman"/>
          <w:bCs/>
          <w:szCs w:val="24"/>
          <w:lang w:val="bs-Latn-BA"/>
        </w:rPr>
        <w:t>у</w:t>
      </w:r>
      <w:r w:rsidR="009E54A2" w:rsidRPr="00295637">
        <w:rPr>
          <w:rFonts w:ascii="Times New Roman" w:hAnsi="Times New Roman"/>
          <w:bCs/>
          <w:szCs w:val="24"/>
          <w:lang w:val="bs-Latn-BA"/>
        </w:rPr>
        <w:t xml:space="preserve"> </w:t>
      </w:r>
      <w:r>
        <w:rPr>
          <w:rFonts w:ascii="Times New Roman" w:hAnsi="Times New Roman"/>
          <w:bCs/>
          <w:szCs w:val="24"/>
          <w:lang w:val="bs-Latn-BA"/>
        </w:rPr>
        <w:t>БиХ</w:t>
      </w:r>
      <w:r w:rsidR="00297DC7" w:rsidRPr="00295637">
        <w:rPr>
          <w:rFonts w:ascii="Times New Roman" w:hAnsi="Times New Roman"/>
          <w:bCs/>
          <w:szCs w:val="24"/>
          <w:lang w:val="bs-Latn-BA"/>
        </w:rPr>
        <w:t>.</w:t>
      </w:r>
      <w:r w:rsidR="004B269F">
        <w:rPr>
          <w:rFonts w:ascii="Times New Roman" w:hAnsi="Times New Roman"/>
          <w:szCs w:val="24"/>
        </w:rPr>
        <w:t xml:space="preserve"> </w:t>
      </w:r>
      <w:r>
        <w:rPr>
          <w:rFonts w:ascii="Times New Roman" w:hAnsi="Times New Roman"/>
          <w:szCs w:val="24"/>
        </w:rPr>
        <w:t>Један</w:t>
      </w:r>
      <w:r w:rsidR="004B269F">
        <w:rPr>
          <w:rFonts w:ascii="Times New Roman" w:hAnsi="Times New Roman"/>
          <w:szCs w:val="24"/>
        </w:rPr>
        <w:t xml:space="preserve"> </w:t>
      </w:r>
      <w:r>
        <w:rPr>
          <w:rFonts w:ascii="Times New Roman" w:hAnsi="Times New Roman"/>
          <w:szCs w:val="24"/>
        </w:rPr>
        <w:t>од</w:t>
      </w:r>
      <w:r w:rsidR="004B269F">
        <w:rPr>
          <w:rFonts w:ascii="Times New Roman" w:hAnsi="Times New Roman"/>
          <w:szCs w:val="24"/>
        </w:rPr>
        <w:t xml:space="preserve"> </w:t>
      </w:r>
      <w:r>
        <w:rPr>
          <w:rFonts w:ascii="Times New Roman" w:hAnsi="Times New Roman"/>
          <w:szCs w:val="24"/>
        </w:rPr>
        <w:t>примјера</w:t>
      </w:r>
      <w:r w:rsidR="004B269F">
        <w:rPr>
          <w:rFonts w:ascii="Times New Roman" w:hAnsi="Times New Roman"/>
          <w:szCs w:val="24"/>
        </w:rPr>
        <w:t xml:space="preserve"> </w:t>
      </w:r>
      <w:r>
        <w:rPr>
          <w:rFonts w:ascii="Times New Roman" w:hAnsi="Times New Roman"/>
          <w:szCs w:val="24"/>
        </w:rPr>
        <w:t>може</w:t>
      </w:r>
      <w:r w:rsidR="004B269F">
        <w:rPr>
          <w:rFonts w:ascii="Times New Roman" w:hAnsi="Times New Roman"/>
          <w:szCs w:val="24"/>
        </w:rPr>
        <w:t xml:space="preserve"> </w:t>
      </w:r>
      <w:r>
        <w:rPr>
          <w:rFonts w:ascii="Times New Roman" w:hAnsi="Times New Roman"/>
          <w:szCs w:val="24"/>
        </w:rPr>
        <w:t>бити</w:t>
      </w:r>
      <w:r w:rsidR="00297DC7" w:rsidRPr="00295637">
        <w:rPr>
          <w:rFonts w:ascii="Times New Roman" w:hAnsi="Times New Roman"/>
          <w:szCs w:val="24"/>
        </w:rPr>
        <w:t xml:space="preserve"> </w:t>
      </w:r>
      <w:r>
        <w:rPr>
          <w:rFonts w:ascii="Times New Roman" w:hAnsi="Times New Roman"/>
          <w:szCs w:val="24"/>
        </w:rPr>
        <w:t>организ</w:t>
      </w:r>
      <w:r w:rsidR="007550FB">
        <w:rPr>
          <w:rFonts w:ascii="Times New Roman" w:hAnsi="Times New Roman"/>
          <w:szCs w:val="24"/>
          <w:lang w:val="sr-Cyrl-BA"/>
        </w:rPr>
        <w:t>овање</w:t>
      </w:r>
      <w:r w:rsidR="00297DC7" w:rsidRPr="00295637">
        <w:rPr>
          <w:rFonts w:ascii="Times New Roman" w:hAnsi="Times New Roman"/>
          <w:szCs w:val="24"/>
        </w:rPr>
        <w:t xml:space="preserve"> </w:t>
      </w:r>
      <w:r>
        <w:rPr>
          <w:rFonts w:ascii="Times New Roman" w:hAnsi="Times New Roman"/>
          <w:szCs w:val="24"/>
        </w:rPr>
        <w:t>поменутог</w:t>
      </w:r>
      <w:r w:rsidR="00AB4631" w:rsidRPr="00295637">
        <w:rPr>
          <w:rFonts w:ascii="Times New Roman" w:hAnsi="Times New Roman"/>
          <w:szCs w:val="24"/>
        </w:rPr>
        <w:t xml:space="preserve"> </w:t>
      </w:r>
      <w:r>
        <w:rPr>
          <w:rFonts w:ascii="Times New Roman" w:hAnsi="Times New Roman"/>
          <w:szCs w:val="24"/>
        </w:rPr>
        <w:t>округлог</w:t>
      </w:r>
      <w:r w:rsidR="00297DC7" w:rsidRPr="00295637">
        <w:rPr>
          <w:rFonts w:ascii="Times New Roman" w:hAnsi="Times New Roman"/>
          <w:szCs w:val="24"/>
        </w:rPr>
        <w:t xml:space="preserve"> </w:t>
      </w:r>
      <w:r>
        <w:rPr>
          <w:rFonts w:ascii="Times New Roman" w:hAnsi="Times New Roman"/>
          <w:szCs w:val="24"/>
        </w:rPr>
        <w:t>стола</w:t>
      </w:r>
      <w:r w:rsidR="00AB4631" w:rsidRPr="00295637">
        <w:rPr>
          <w:rFonts w:ascii="Times New Roman" w:hAnsi="Times New Roman"/>
          <w:szCs w:val="24"/>
        </w:rPr>
        <w:t xml:space="preserve">, </w:t>
      </w:r>
      <w:r>
        <w:rPr>
          <w:rFonts w:ascii="Times New Roman" w:hAnsi="Times New Roman"/>
          <w:szCs w:val="24"/>
        </w:rPr>
        <w:t>у</w:t>
      </w:r>
      <w:r w:rsidR="002B76AE">
        <w:rPr>
          <w:rFonts w:ascii="Times New Roman" w:hAnsi="Times New Roman"/>
          <w:szCs w:val="24"/>
        </w:rPr>
        <w:t xml:space="preserve"> </w:t>
      </w:r>
      <w:r>
        <w:rPr>
          <w:rFonts w:ascii="Times New Roman" w:hAnsi="Times New Roman"/>
          <w:szCs w:val="24"/>
        </w:rPr>
        <w:t>новембру</w:t>
      </w:r>
      <w:r w:rsidR="00AB4631" w:rsidRPr="00295637">
        <w:rPr>
          <w:rFonts w:ascii="Times New Roman" w:hAnsi="Times New Roman"/>
          <w:szCs w:val="24"/>
        </w:rPr>
        <w:t xml:space="preserve"> 2024</w:t>
      </w:r>
      <w:r w:rsidR="002B76AE">
        <w:rPr>
          <w:rFonts w:ascii="Times New Roman" w:hAnsi="Times New Roman"/>
          <w:szCs w:val="24"/>
        </w:rPr>
        <w:t xml:space="preserve">. </w:t>
      </w:r>
      <w:r>
        <w:rPr>
          <w:rFonts w:ascii="Times New Roman" w:hAnsi="Times New Roman"/>
          <w:szCs w:val="24"/>
        </w:rPr>
        <w:t>године</w:t>
      </w:r>
      <w:r w:rsidR="00AB4631" w:rsidRPr="00295637">
        <w:rPr>
          <w:rFonts w:ascii="Times New Roman" w:hAnsi="Times New Roman"/>
          <w:szCs w:val="24"/>
        </w:rPr>
        <w:t>,</w:t>
      </w:r>
      <w:r w:rsidR="00297DC7" w:rsidRPr="00295637">
        <w:rPr>
          <w:rFonts w:ascii="Times New Roman" w:hAnsi="Times New Roman"/>
          <w:szCs w:val="24"/>
        </w:rPr>
        <w:t xml:space="preserve"> </w:t>
      </w:r>
      <w:r w:rsidR="007550FB">
        <w:rPr>
          <w:rFonts w:ascii="Times New Roman" w:hAnsi="Times New Roman"/>
          <w:szCs w:val="24"/>
          <w:lang w:val="sr-Cyrl-BA"/>
        </w:rPr>
        <w:t>с</w:t>
      </w:r>
      <w:r w:rsidR="00297DC7" w:rsidRPr="00295637">
        <w:rPr>
          <w:rFonts w:ascii="Times New Roman" w:hAnsi="Times New Roman"/>
          <w:szCs w:val="24"/>
          <w:lang w:val="bs-Latn-BA"/>
        </w:rPr>
        <w:t xml:space="preserve"> </w:t>
      </w:r>
      <w:r>
        <w:rPr>
          <w:rFonts w:ascii="Times New Roman" w:hAnsi="Times New Roman"/>
          <w:szCs w:val="24"/>
          <w:lang w:val="bs-Latn-BA"/>
        </w:rPr>
        <w:t>циљ</w:t>
      </w:r>
      <w:r w:rsidR="007550FB">
        <w:rPr>
          <w:rFonts w:ascii="Times New Roman" w:hAnsi="Times New Roman"/>
          <w:szCs w:val="24"/>
          <w:lang w:val="sr-Cyrl-BA"/>
        </w:rPr>
        <w:t>ем</w:t>
      </w:r>
      <w:r w:rsidR="00297DC7" w:rsidRPr="00295637">
        <w:rPr>
          <w:rFonts w:ascii="Times New Roman" w:hAnsi="Times New Roman"/>
          <w:szCs w:val="24"/>
          <w:lang w:val="bs-Latn-BA"/>
        </w:rPr>
        <w:t xml:space="preserve"> </w:t>
      </w:r>
      <w:r>
        <w:rPr>
          <w:rFonts w:ascii="Times New Roman" w:hAnsi="Times New Roman"/>
          <w:szCs w:val="24"/>
          <w:lang w:val="bs-Latn-BA"/>
        </w:rPr>
        <w:t>представљања</w:t>
      </w:r>
      <w:r w:rsidR="00297DC7" w:rsidRPr="00295637">
        <w:rPr>
          <w:rFonts w:ascii="Times New Roman" w:hAnsi="Times New Roman"/>
          <w:szCs w:val="24"/>
          <w:lang w:val="bs-Latn-BA"/>
        </w:rPr>
        <w:t xml:space="preserve"> </w:t>
      </w:r>
      <w:r>
        <w:rPr>
          <w:rFonts w:ascii="Times New Roman" w:hAnsi="Times New Roman"/>
          <w:szCs w:val="24"/>
          <w:lang w:val="bs-Latn-BA"/>
        </w:rPr>
        <w:t>положаја</w:t>
      </w:r>
      <w:r w:rsidR="00297DC7" w:rsidRPr="00295637">
        <w:rPr>
          <w:rFonts w:ascii="Times New Roman" w:hAnsi="Times New Roman"/>
          <w:szCs w:val="24"/>
          <w:lang w:val="bs-Latn-BA"/>
        </w:rPr>
        <w:t xml:space="preserve"> </w:t>
      </w:r>
      <w:r>
        <w:rPr>
          <w:rFonts w:ascii="Times New Roman" w:hAnsi="Times New Roman"/>
          <w:szCs w:val="24"/>
          <w:lang w:val="bs-Latn-BA"/>
        </w:rPr>
        <w:t>полицијских</w:t>
      </w:r>
      <w:r w:rsidR="00297DC7" w:rsidRPr="00295637">
        <w:rPr>
          <w:rFonts w:ascii="Times New Roman" w:hAnsi="Times New Roman"/>
          <w:szCs w:val="24"/>
          <w:lang w:val="bs-Latn-BA"/>
        </w:rPr>
        <w:t xml:space="preserve"> </w:t>
      </w:r>
      <w:r>
        <w:rPr>
          <w:rFonts w:ascii="Times New Roman" w:hAnsi="Times New Roman"/>
          <w:szCs w:val="24"/>
          <w:lang w:val="bs-Latn-BA"/>
        </w:rPr>
        <w:t>службеница</w:t>
      </w:r>
      <w:r w:rsidR="00297DC7" w:rsidRPr="00295637">
        <w:rPr>
          <w:rFonts w:ascii="Times New Roman" w:hAnsi="Times New Roman"/>
          <w:szCs w:val="24"/>
          <w:lang w:val="bs-Latn-BA"/>
        </w:rPr>
        <w:t xml:space="preserve">, </w:t>
      </w:r>
      <w:r>
        <w:rPr>
          <w:rFonts w:ascii="Times New Roman" w:hAnsi="Times New Roman"/>
          <w:szCs w:val="24"/>
          <w:lang w:val="bs-Latn-BA"/>
        </w:rPr>
        <w:t>механизама</w:t>
      </w:r>
      <w:r w:rsidR="00297DC7" w:rsidRPr="00295637">
        <w:rPr>
          <w:rFonts w:ascii="Times New Roman" w:hAnsi="Times New Roman"/>
          <w:szCs w:val="24"/>
          <w:lang w:val="bs-Latn-BA"/>
        </w:rPr>
        <w:t xml:space="preserve"> </w:t>
      </w:r>
      <w:r>
        <w:rPr>
          <w:rFonts w:ascii="Times New Roman" w:hAnsi="Times New Roman"/>
          <w:szCs w:val="24"/>
          <w:lang w:val="bs-Latn-BA"/>
        </w:rPr>
        <w:t>заштите</w:t>
      </w:r>
      <w:r w:rsidR="00297DC7" w:rsidRPr="00295637">
        <w:rPr>
          <w:rFonts w:ascii="Times New Roman" w:hAnsi="Times New Roman"/>
          <w:szCs w:val="24"/>
          <w:lang w:val="bs-Latn-BA"/>
        </w:rPr>
        <w:t xml:space="preserve"> </w:t>
      </w:r>
      <w:r>
        <w:rPr>
          <w:rFonts w:ascii="Times New Roman" w:hAnsi="Times New Roman"/>
          <w:szCs w:val="24"/>
          <w:lang w:val="bs-Latn-BA"/>
        </w:rPr>
        <w:t>од</w:t>
      </w:r>
      <w:r w:rsidR="00297DC7" w:rsidRPr="00295637">
        <w:rPr>
          <w:rFonts w:ascii="Times New Roman" w:hAnsi="Times New Roman"/>
          <w:szCs w:val="24"/>
          <w:lang w:val="bs-Latn-BA"/>
        </w:rPr>
        <w:t xml:space="preserve"> </w:t>
      </w:r>
      <w:r>
        <w:rPr>
          <w:rFonts w:ascii="Times New Roman" w:hAnsi="Times New Roman"/>
          <w:szCs w:val="24"/>
          <w:lang w:val="bs-Latn-BA"/>
        </w:rPr>
        <w:t>дискриминације</w:t>
      </w:r>
      <w:r w:rsidR="00297DC7" w:rsidRPr="00295637">
        <w:rPr>
          <w:rFonts w:ascii="Times New Roman" w:hAnsi="Times New Roman"/>
          <w:szCs w:val="24"/>
          <w:lang w:val="bs-Latn-BA"/>
        </w:rPr>
        <w:t xml:space="preserve"> </w:t>
      </w:r>
      <w:r>
        <w:rPr>
          <w:rFonts w:ascii="Times New Roman" w:hAnsi="Times New Roman"/>
          <w:szCs w:val="24"/>
          <w:lang w:val="bs-Latn-BA"/>
        </w:rPr>
        <w:t>на</w:t>
      </w:r>
      <w:r w:rsidR="00297DC7" w:rsidRPr="00295637">
        <w:rPr>
          <w:rFonts w:ascii="Times New Roman" w:hAnsi="Times New Roman"/>
          <w:szCs w:val="24"/>
          <w:lang w:val="bs-Latn-BA"/>
        </w:rPr>
        <w:t xml:space="preserve"> </w:t>
      </w:r>
      <w:r>
        <w:rPr>
          <w:rFonts w:ascii="Times New Roman" w:hAnsi="Times New Roman"/>
          <w:szCs w:val="24"/>
          <w:lang w:val="bs-Latn-BA"/>
        </w:rPr>
        <w:t>радном</w:t>
      </w:r>
      <w:r w:rsidR="00297DC7" w:rsidRPr="00295637">
        <w:rPr>
          <w:rFonts w:ascii="Times New Roman" w:hAnsi="Times New Roman"/>
          <w:szCs w:val="24"/>
          <w:lang w:val="bs-Latn-BA"/>
        </w:rPr>
        <w:t xml:space="preserve"> </w:t>
      </w:r>
      <w:r>
        <w:rPr>
          <w:rFonts w:ascii="Times New Roman" w:hAnsi="Times New Roman"/>
          <w:szCs w:val="24"/>
          <w:lang w:val="bs-Latn-BA"/>
        </w:rPr>
        <w:t>мјесту</w:t>
      </w:r>
      <w:r w:rsidR="00297DC7" w:rsidRPr="00295637">
        <w:rPr>
          <w:rFonts w:ascii="Times New Roman" w:hAnsi="Times New Roman"/>
          <w:szCs w:val="24"/>
          <w:lang w:val="bs-Latn-BA"/>
        </w:rPr>
        <w:t xml:space="preserve">, </w:t>
      </w:r>
      <w:r>
        <w:rPr>
          <w:rFonts w:ascii="Times New Roman" w:hAnsi="Times New Roman"/>
          <w:szCs w:val="24"/>
          <w:lang w:val="bs-Latn-BA"/>
        </w:rPr>
        <w:t>те</w:t>
      </w:r>
      <w:r w:rsidR="00297DC7" w:rsidRPr="00295637">
        <w:rPr>
          <w:rFonts w:ascii="Times New Roman" w:hAnsi="Times New Roman"/>
          <w:szCs w:val="24"/>
          <w:lang w:val="bs-Latn-BA"/>
        </w:rPr>
        <w:t xml:space="preserve"> </w:t>
      </w:r>
      <w:r>
        <w:rPr>
          <w:rFonts w:ascii="Times New Roman" w:hAnsi="Times New Roman"/>
          <w:szCs w:val="24"/>
          <w:lang w:val="bs-Latn-BA"/>
        </w:rPr>
        <w:t>заштите</w:t>
      </w:r>
      <w:r w:rsidR="00297DC7" w:rsidRPr="00295637">
        <w:rPr>
          <w:rFonts w:ascii="Times New Roman" w:hAnsi="Times New Roman"/>
          <w:szCs w:val="24"/>
          <w:lang w:val="bs-Latn-BA"/>
        </w:rPr>
        <w:t xml:space="preserve"> </w:t>
      </w:r>
      <w:r>
        <w:rPr>
          <w:rFonts w:ascii="Times New Roman" w:hAnsi="Times New Roman"/>
          <w:szCs w:val="24"/>
          <w:lang w:val="bs-Latn-BA"/>
        </w:rPr>
        <w:t>приликом</w:t>
      </w:r>
      <w:r w:rsidR="00297DC7" w:rsidRPr="00295637">
        <w:rPr>
          <w:rFonts w:ascii="Times New Roman" w:hAnsi="Times New Roman"/>
          <w:szCs w:val="24"/>
          <w:lang w:val="bs-Latn-BA"/>
        </w:rPr>
        <w:t xml:space="preserve"> </w:t>
      </w:r>
      <w:r>
        <w:rPr>
          <w:rFonts w:ascii="Times New Roman" w:hAnsi="Times New Roman"/>
          <w:szCs w:val="24"/>
          <w:lang w:val="bs-Latn-BA"/>
        </w:rPr>
        <w:t>обављања</w:t>
      </w:r>
      <w:r w:rsidR="00297DC7" w:rsidRPr="00295637">
        <w:rPr>
          <w:rFonts w:ascii="Times New Roman" w:hAnsi="Times New Roman"/>
          <w:szCs w:val="24"/>
          <w:lang w:val="bs-Latn-BA"/>
        </w:rPr>
        <w:t xml:space="preserve"> </w:t>
      </w:r>
      <w:r>
        <w:rPr>
          <w:rFonts w:ascii="Times New Roman" w:hAnsi="Times New Roman"/>
          <w:szCs w:val="24"/>
          <w:lang w:val="bs-Latn-BA"/>
        </w:rPr>
        <w:t>службених</w:t>
      </w:r>
      <w:r w:rsidR="00297DC7" w:rsidRPr="00295637">
        <w:rPr>
          <w:rFonts w:ascii="Times New Roman" w:hAnsi="Times New Roman"/>
          <w:szCs w:val="24"/>
          <w:lang w:val="bs-Latn-BA"/>
        </w:rPr>
        <w:t xml:space="preserve"> </w:t>
      </w:r>
      <w:r>
        <w:rPr>
          <w:rFonts w:ascii="Times New Roman" w:hAnsi="Times New Roman"/>
          <w:szCs w:val="24"/>
          <w:lang w:val="bs-Latn-BA"/>
        </w:rPr>
        <w:t>послова</w:t>
      </w:r>
      <w:r w:rsidR="00297DC7" w:rsidRPr="00295637">
        <w:rPr>
          <w:rFonts w:ascii="Times New Roman" w:hAnsi="Times New Roman"/>
          <w:szCs w:val="24"/>
          <w:lang w:val="bs-Latn-BA"/>
        </w:rPr>
        <w:t xml:space="preserve"> </w:t>
      </w:r>
      <w:r>
        <w:rPr>
          <w:rFonts w:ascii="Times New Roman" w:hAnsi="Times New Roman"/>
          <w:szCs w:val="24"/>
          <w:lang w:val="bs-Latn-BA"/>
        </w:rPr>
        <w:t>и</w:t>
      </w:r>
      <w:r w:rsidR="00297DC7" w:rsidRPr="00295637">
        <w:rPr>
          <w:rFonts w:ascii="Times New Roman" w:hAnsi="Times New Roman"/>
          <w:szCs w:val="24"/>
          <w:lang w:val="bs-Latn-BA"/>
        </w:rPr>
        <w:t xml:space="preserve"> </w:t>
      </w:r>
      <w:r>
        <w:rPr>
          <w:rFonts w:ascii="Times New Roman" w:hAnsi="Times New Roman"/>
          <w:szCs w:val="24"/>
          <w:lang w:val="bs-Latn-BA"/>
        </w:rPr>
        <w:t>задатака</w:t>
      </w:r>
      <w:r w:rsidR="00297DC7" w:rsidRPr="00295637">
        <w:rPr>
          <w:rFonts w:ascii="Times New Roman" w:hAnsi="Times New Roman"/>
          <w:szCs w:val="24"/>
          <w:lang w:val="bs-Latn-BA"/>
        </w:rPr>
        <w:t xml:space="preserve">. </w:t>
      </w:r>
    </w:p>
    <w:p w:rsidR="00297DC7" w:rsidRPr="00295637" w:rsidRDefault="00297DC7" w:rsidP="0086268D">
      <w:pPr>
        <w:jc w:val="both"/>
        <w:rPr>
          <w:rFonts w:ascii="Times New Roman" w:hAnsi="Times New Roman"/>
          <w:szCs w:val="24"/>
          <w:lang w:val="bs-Latn-BA"/>
        </w:rPr>
      </w:pPr>
    </w:p>
    <w:p w:rsidR="00297DC7" w:rsidRPr="00295637" w:rsidRDefault="00C6214E" w:rsidP="0086268D">
      <w:pPr>
        <w:jc w:val="both"/>
        <w:rPr>
          <w:rFonts w:ascii="Times New Roman" w:hAnsi="Times New Roman"/>
          <w:szCs w:val="24"/>
          <w:lang w:val="bs-Latn-BA"/>
        </w:rPr>
      </w:pPr>
      <w:r>
        <w:rPr>
          <w:rFonts w:ascii="Times New Roman" w:hAnsi="Times New Roman"/>
          <w:szCs w:val="24"/>
        </w:rPr>
        <w:t>Под</w:t>
      </w:r>
      <w:r w:rsidR="00297DC7" w:rsidRPr="00295637">
        <w:rPr>
          <w:rFonts w:ascii="Times New Roman" w:hAnsi="Times New Roman"/>
          <w:szCs w:val="24"/>
        </w:rPr>
        <w:t xml:space="preserve"> </w:t>
      </w:r>
      <w:r>
        <w:rPr>
          <w:rFonts w:ascii="Times New Roman" w:hAnsi="Times New Roman"/>
          <w:szCs w:val="24"/>
        </w:rPr>
        <w:t>називом</w:t>
      </w:r>
      <w:r w:rsidR="00297DC7" w:rsidRPr="00295637">
        <w:rPr>
          <w:rFonts w:ascii="Times New Roman" w:hAnsi="Times New Roman"/>
          <w:szCs w:val="24"/>
        </w:rPr>
        <w:t xml:space="preserve"> „</w:t>
      </w:r>
      <w:r>
        <w:rPr>
          <w:rFonts w:ascii="Times New Roman" w:hAnsi="Times New Roman"/>
          <w:szCs w:val="24"/>
        </w:rPr>
        <w:t>Правосуђе</w:t>
      </w:r>
      <w:r w:rsidR="00297DC7" w:rsidRPr="00295637">
        <w:rPr>
          <w:rFonts w:ascii="Times New Roman" w:hAnsi="Times New Roman"/>
          <w:szCs w:val="24"/>
        </w:rPr>
        <w:t xml:space="preserve"> </w:t>
      </w:r>
      <w:r>
        <w:rPr>
          <w:rFonts w:ascii="Times New Roman" w:hAnsi="Times New Roman"/>
          <w:szCs w:val="24"/>
        </w:rPr>
        <w:t>без</w:t>
      </w:r>
      <w:r w:rsidR="00297DC7" w:rsidRPr="00295637">
        <w:rPr>
          <w:rFonts w:ascii="Times New Roman" w:hAnsi="Times New Roman"/>
          <w:szCs w:val="24"/>
        </w:rPr>
        <w:t xml:space="preserve"> </w:t>
      </w:r>
      <w:r>
        <w:rPr>
          <w:rFonts w:ascii="Times New Roman" w:hAnsi="Times New Roman"/>
          <w:szCs w:val="24"/>
        </w:rPr>
        <w:t>предрасуда</w:t>
      </w:r>
      <w:r w:rsidR="00297DC7" w:rsidRPr="00295637">
        <w:rPr>
          <w:rFonts w:ascii="Times New Roman" w:hAnsi="Times New Roman"/>
          <w:szCs w:val="24"/>
        </w:rPr>
        <w:t xml:space="preserve">: </w:t>
      </w:r>
      <w:r>
        <w:rPr>
          <w:rFonts w:ascii="Times New Roman" w:hAnsi="Times New Roman"/>
          <w:szCs w:val="24"/>
        </w:rPr>
        <w:t>Изазови</w:t>
      </w:r>
      <w:r w:rsidR="00297DC7" w:rsidRPr="00295637">
        <w:rPr>
          <w:rFonts w:ascii="Times New Roman" w:hAnsi="Times New Roman"/>
          <w:szCs w:val="24"/>
        </w:rPr>
        <w:t xml:space="preserve"> </w:t>
      </w:r>
      <w:r>
        <w:rPr>
          <w:rFonts w:ascii="Times New Roman" w:hAnsi="Times New Roman"/>
          <w:szCs w:val="24"/>
        </w:rPr>
        <w:t>и</w:t>
      </w:r>
      <w:r w:rsidR="00297DC7" w:rsidRPr="00295637">
        <w:rPr>
          <w:rFonts w:ascii="Times New Roman" w:hAnsi="Times New Roman"/>
          <w:szCs w:val="24"/>
        </w:rPr>
        <w:t xml:space="preserve"> </w:t>
      </w:r>
      <w:r>
        <w:rPr>
          <w:rFonts w:ascii="Times New Roman" w:hAnsi="Times New Roman"/>
          <w:szCs w:val="24"/>
        </w:rPr>
        <w:t>перспективе</w:t>
      </w:r>
      <w:r w:rsidR="00297DC7" w:rsidRPr="00295637">
        <w:rPr>
          <w:rFonts w:ascii="Times New Roman" w:hAnsi="Times New Roman"/>
          <w:szCs w:val="24"/>
        </w:rPr>
        <w:t xml:space="preserve"> </w:t>
      </w:r>
      <w:r>
        <w:rPr>
          <w:rFonts w:ascii="Times New Roman" w:hAnsi="Times New Roman"/>
          <w:szCs w:val="24"/>
        </w:rPr>
        <w:t>родних</w:t>
      </w:r>
      <w:r w:rsidR="00297DC7" w:rsidRPr="00295637">
        <w:rPr>
          <w:rFonts w:ascii="Times New Roman" w:hAnsi="Times New Roman"/>
          <w:szCs w:val="24"/>
        </w:rPr>
        <w:t xml:space="preserve"> </w:t>
      </w:r>
      <w:r>
        <w:rPr>
          <w:rFonts w:ascii="Times New Roman" w:hAnsi="Times New Roman"/>
          <w:szCs w:val="24"/>
        </w:rPr>
        <w:t>улога</w:t>
      </w:r>
      <w:r w:rsidR="00297DC7" w:rsidRPr="00295637">
        <w:rPr>
          <w:rFonts w:ascii="Times New Roman" w:hAnsi="Times New Roman"/>
          <w:szCs w:val="24"/>
        </w:rPr>
        <w:t xml:space="preserve"> </w:t>
      </w:r>
      <w:r>
        <w:rPr>
          <w:rFonts w:ascii="Times New Roman" w:hAnsi="Times New Roman"/>
          <w:szCs w:val="24"/>
        </w:rPr>
        <w:t>у</w:t>
      </w:r>
      <w:r w:rsidR="00297DC7" w:rsidRPr="00295637">
        <w:rPr>
          <w:rFonts w:ascii="Times New Roman" w:hAnsi="Times New Roman"/>
          <w:szCs w:val="24"/>
        </w:rPr>
        <w:t xml:space="preserve"> </w:t>
      </w:r>
      <w:r>
        <w:rPr>
          <w:rFonts w:ascii="Times New Roman" w:hAnsi="Times New Roman"/>
          <w:szCs w:val="24"/>
        </w:rPr>
        <w:t>друштву</w:t>
      </w:r>
      <w:r w:rsidR="00297DC7" w:rsidRPr="00295637">
        <w:rPr>
          <w:rFonts w:ascii="Times New Roman" w:hAnsi="Times New Roman"/>
          <w:szCs w:val="24"/>
        </w:rPr>
        <w:t xml:space="preserve">“ </w:t>
      </w:r>
      <w:r>
        <w:rPr>
          <w:rFonts w:ascii="Times New Roman" w:hAnsi="Times New Roman"/>
          <w:szCs w:val="24"/>
        </w:rPr>
        <w:t>у</w:t>
      </w:r>
      <w:r w:rsidR="00297DC7" w:rsidRPr="00295637">
        <w:rPr>
          <w:rFonts w:ascii="Times New Roman" w:hAnsi="Times New Roman"/>
          <w:szCs w:val="24"/>
        </w:rPr>
        <w:t xml:space="preserve"> </w:t>
      </w:r>
      <w:r>
        <w:rPr>
          <w:rFonts w:ascii="Times New Roman" w:hAnsi="Times New Roman"/>
          <w:szCs w:val="24"/>
        </w:rPr>
        <w:t>Сарајеву</w:t>
      </w:r>
      <w:r w:rsidR="00297DC7" w:rsidRPr="00295637">
        <w:rPr>
          <w:rFonts w:ascii="Times New Roman" w:hAnsi="Times New Roman"/>
          <w:szCs w:val="24"/>
        </w:rPr>
        <w:t xml:space="preserve"> </w:t>
      </w:r>
      <w:r>
        <w:rPr>
          <w:rFonts w:ascii="Times New Roman" w:hAnsi="Times New Roman"/>
          <w:szCs w:val="24"/>
        </w:rPr>
        <w:t>је</w:t>
      </w:r>
      <w:r w:rsidR="00297DC7" w:rsidRPr="00295637">
        <w:rPr>
          <w:rFonts w:ascii="Times New Roman" w:hAnsi="Times New Roman"/>
          <w:szCs w:val="24"/>
        </w:rPr>
        <w:t xml:space="preserve"> </w:t>
      </w:r>
      <w:r>
        <w:rPr>
          <w:rFonts w:ascii="Times New Roman" w:hAnsi="Times New Roman"/>
          <w:szCs w:val="24"/>
        </w:rPr>
        <w:t>у</w:t>
      </w:r>
      <w:r w:rsidR="00AB4631" w:rsidRPr="00295637">
        <w:rPr>
          <w:rFonts w:ascii="Times New Roman" w:hAnsi="Times New Roman"/>
          <w:szCs w:val="24"/>
        </w:rPr>
        <w:t xml:space="preserve"> </w:t>
      </w:r>
      <w:r>
        <w:rPr>
          <w:rFonts w:ascii="Times New Roman" w:hAnsi="Times New Roman"/>
          <w:szCs w:val="24"/>
        </w:rPr>
        <w:t>новембру</w:t>
      </w:r>
      <w:r w:rsidR="00AB4631" w:rsidRPr="00295637">
        <w:rPr>
          <w:rFonts w:ascii="Times New Roman" w:hAnsi="Times New Roman"/>
          <w:szCs w:val="24"/>
        </w:rPr>
        <w:t xml:space="preserve"> 2024. </w:t>
      </w:r>
      <w:r>
        <w:rPr>
          <w:rFonts w:ascii="Times New Roman" w:hAnsi="Times New Roman"/>
          <w:szCs w:val="24"/>
        </w:rPr>
        <w:t>године</w:t>
      </w:r>
      <w:r w:rsidR="00AB4631" w:rsidRPr="00295637">
        <w:rPr>
          <w:rFonts w:ascii="Times New Roman" w:hAnsi="Times New Roman"/>
          <w:szCs w:val="24"/>
        </w:rPr>
        <w:t xml:space="preserve"> </w:t>
      </w:r>
      <w:r>
        <w:rPr>
          <w:rFonts w:ascii="Times New Roman" w:hAnsi="Times New Roman"/>
          <w:szCs w:val="24"/>
        </w:rPr>
        <w:t>одржана</w:t>
      </w:r>
      <w:r w:rsidR="00297DC7" w:rsidRPr="00295637">
        <w:rPr>
          <w:rFonts w:ascii="Times New Roman" w:hAnsi="Times New Roman"/>
          <w:szCs w:val="24"/>
        </w:rPr>
        <w:t xml:space="preserve"> </w:t>
      </w:r>
      <w:r>
        <w:rPr>
          <w:rFonts w:ascii="Times New Roman" w:hAnsi="Times New Roman"/>
          <w:color w:val="000000"/>
          <w:szCs w:val="24"/>
        </w:rPr>
        <w:t>Регионална</w:t>
      </w:r>
      <w:r w:rsidR="00EC48AC">
        <w:rPr>
          <w:rFonts w:ascii="Times New Roman" w:hAnsi="Times New Roman"/>
          <w:color w:val="000000"/>
          <w:szCs w:val="24"/>
        </w:rPr>
        <w:t xml:space="preserve"> </w:t>
      </w:r>
      <w:r>
        <w:rPr>
          <w:rFonts w:ascii="Times New Roman" w:hAnsi="Times New Roman"/>
          <w:color w:val="000000"/>
          <w:szCs w:val="24"/>
        </w:rPr>
        <w:t>конференцији</w:t>
      </w:r>
      <w:r w:rsidR="00EC48AC">
        <w:rPr>
          <w:rFonts w:ascii="Times New Roman" w:hAnsi="Times New Roman"/>
          <w:color w:val="000000"/>
          <w:szCs w:val="24"/>
        </w:rPr>
        <w:t xml:space="preserve"> </w:t>
      </w:r>
      <w:r>
        <w:rPr>
          <w:rFonts w:ascii="Times New Roman" w:hAnsi="Times New Roman"/>
          <w:color w:val="000000"/>
          <w:szCs w:val="24"/>
        </w:rPr>
        <w:t>жена</w:t>
      </w:r>
      <w:r w:rsidR="00EC48AC">
        <w:rPr>
          <w:rFonts w:ascii="Times New Roman" w:hAnsi="Times New Roman"/>
          <w:color w:val="000000"/>
          <w:szCs w:val="24"/>
        </w:rPr>
        <w:t xml:space="preserve"> </w:t>
      </w:r>
      <w:r>
        <w:rPr>
          <w:rFonts w:ascii="Times New Roman" w:hAnsi="Times New Roman"/>
          <w:color w:val="000000"/>
          <w:szCs w:val="24"/>
        </w:rPr>
        <w:t>судија</w:t>
      </w:r>
      <w:r w:rsidR="002B76AE">
        <w:rPr>
          <w:rFonts w:ascii="Times New Roman" w:hAnsi="Times New Roman"/>
          <w:color w:val="000000"/>
          <w:szCs w:val="24"/>
        </w:rPr>
        <w:t xml:space="preserve"> </w:t>
      </w:r>
      <w:r>
        <w:rPr>
          <w:rFonts w:ascii="Times New Roman" w:hAnsi="Times New Roman"/>
          <w:color w:val="000000"/>
          <w:szCs w:val="24"/>
        </w:rPr>
        <w:t>у</w:t>
      </w:r>
      <w:r w:rsidR="00297DC7" w:rsidRPr="00295637">
        <w:rPr>
          <w:rFonts w:ascii="Times New Roman" w:hAnsi="Times New Roman"/>
          <w:color w:val="000000"/>
          <w:szCs w:val="24"/>
        </w:rPr>
        <w:t xml:space="preserve"> </w:t>
      </w:r>
      <w:r>
        <w:rPr>
          <w:rFonts w:ascii="Times New Roman" w:hAnsi="Times New Roman"/>
          <w:color w:val="000000"/>
          <w:szCs w:val="24"/>
        </w:rPr>
        <w:t>организацији</w:t>
      </w:r>
      <w:r w:rsidR="00297DC7" w:rsidRPr="00295637">
        <w:rPr>
          <w:rFonts w:ascii="Times New Roman" w:hAnsi="Times New Roman"/>
          <w:color w:val="000000"/>
          <w:szCs w:val="24"/>
        </w:rPr>
        <w:t xml:space="preserve"> </w:t>
      </w:r>
      <w:r>
        <w:rPr>
          <w:rFonts w:ascii="Times New Roman" w:hAnsi="Times New Roman"/>
          <w:color w:val="000000"/>
          <w:szCs w:val="24"/>
        </w:rPr>
        <w:t>Удружења</w:t>
      </w:r>
      <w:r w:rsidR="00297DC7" w:rsidRPr="00295637">
        <w:rPr>
          <w:rFonts w:ascii="Times New Roman" w:hAnsi="Times New Roman"/>
          <w:color w:val="000000"/>
          <w:szCs w:val="24"/>
        </w:rPr>
        <w:t xml:space="preserve"> </w:t>
      </w:r>
      <w:r>
        <w:rPr>
          <w:rFonts w:ascii="Times New Roman" w:hAnsi="Times New Roman"/>
          <w:color w:val="000000"/>
          <w:szCs w:val="24"/>
        </w:rPr>
        <w:t>судија</w:t>
      </w:r>
      <w:r w:rsidR="00297DC7" w:rsidRPr="00295637">
        <w:rPr>
          <w:rFonts w:ascii="Times New Roman" w:hAnsi="Times New Roman"/>
          <w:color w:val="000000"/>
          <w:szCs w:val="24"/>
        </w:rPr>
        <w:t xml:space="preserve"> </w:t>
      </w:r>
      <w:r>
        <w:rPr>
          <w:rFonts w:ascii="Times New Roman" w:hAnsi="Times New Roman"/>
          <w:color w:val="000000"/>
          <w:szCs w:val="24"/>
        </w:rPr>
        <w:t>у</w:t>
      </w:r>
      <w:r w:rsidR="009E54A2" w:rsidRPr="00295637">
        <w:rPr>
          <w:rFonts w:ascii="Times New Roman" w:hAnsi="Times New Roman"/>
          <w:color w:val="000000"/>
          <w:szCs w:val="24"/>
        </w:rPr>
        <w:t xml:space="preserve"> </w:t>
      </w:r>
      <w:r>
        <w:rPr>
          <w:rFonts w:ascii="Times New Roman" w:hAnsi="Times New Roman"/>
          <w:color w:val="000000"/>
          <w:szCs w:val="24"/>
        </w:rPr>
        <w:t>БиХ</w:t>
      </w:r>
      <w:r w:rsidR="00297DC7" w:rsidRPr="00295637">
        <w:rPr>
          <w:rFonts w:ascii="Times New Roman" w:hAnsi="Times New Roman"/>
          <w:color w:val="000000"/>
          <w:szCs w:val="24"/>
        </w:rPr>
        <w:t xml:space="preserve">. </w:t>
      </w:r>
      <w:r>
        <w:rPr>
          <w:rFonts w:ascii="Times New Roman" w:hAnsi="Times New Roman"/>
          <w:szCs w:val="24"/>
          <w:lang w:val="bs-Latn-BA"/>
        </w:rPr>
        <w:t>Учесници</w:t>
      </w:r>
      <w:r w:rsidR="00297DC7" w:rsidRPr="00295637">
        <w:rPr>
          <w:rFonts w:ascii="Times New Roman" w:hAnsi="Times New Roman"/>
          <w:szCs w:val="24"/>
          <w:lang w:val="bs-Latn-BA"/>
        </w:rPr>
        <w:t xml:space="preserve"> </w:t>
      </w:r>
      <w:r>
        <w:rPr>
          <w:rFonts w:ascii="Times New Roman" w:hAnsi="Times New Roman"/>
          <w:szCs w:val="24"/>
          <w:lang w:val="bs-Latn-BA"/>
        </w:rPr>
        <w:t>су</w:t>
      </w:r>
      <w:r w:rsidR="00AB4631" w:rsidRPr="00295637">
        <w:rPr>
          <w:rFonts w:ascii="Times New Roman" w:hAnsi="Times New Roman"/>
          <w:szCs w:val="24"/>
          <w:lang w:val="bs-Latn-BA"/>
        </w:rPr>
        <w:t xml:space="preserve"> </w:t>
      </w:r>
      <w:r>
        <w:rPr>
          <w:rFonts w:ascii="Times New Roman" w:hAnsi="Times New Roman"/>
          <w:szCs w:val="24"/>
          <w:lang w:val="bs-Latn-BA"/>
        </w:rPr>
        <w:t>размијенили</w:t>
      </w:r>
      <w:r w:rsidR="00AB4631" w:rsidRPr="00295637">
        <w:rPr>
          <w:rFonts w:ascii="Times New Roman" w:hAnsi="Times New Roman"/>
          <w:szCs w:val="24"/>
          <w:lang w:val="bs-Latn-BA"/>
        </w:rPr>
        <w:t xml:space="preserve"> </w:t>
      </w:r>
      <w:r>
        <w:rPr>
          <w:rFonts w:ascii="Times New Roman" w:hAnsi="Times New Roman"/>
          <w:szCs w:val="24"/>
          <w:lang w:val="bs-Latn-BA"/>
        </w:rPr>
        <w:t>знања</w:t>
      </w:r>
      <w:r w:rsidR="00297DC7" w:rsidRPr="00295637">
        <w:rPr>
          <w:rFonts w:ascii="Times New Roman" w:hAnsi="Times New Roman"/>
          <w:szCs w:val="24"/>
          <w:lang w:val="bs-Latn-BA"/>
        </w:rPr>
        <w:t xml:space="preserve"> </w:t>
      </w:r>
      <w:r>
        <w:rPr>
          <w:rFonts w:ascii="Times New Roman" w:hAnsi="Times New Roman"/>
          <w:szCs w:val="24"/>
          <w:lang w:val="bs-Latn-BA"/>
        </w:rPr>
        <w:t>и</w:t>
      </w:r>
      <w:r w:rsidR="00297DC7" w:rsidRPr="00295637">
        <w:rPr>
          <w:rFonts w:ascii="Times New Roman" w:hAnsi="Times New Roman"/>
          <w:szCs w:val="24"/>
          <w:lang w:val="bs-Latn-BA"/>
        </w:rPr>
        <w:t xml:space="preserve"> </w:t>
      </w:r>
      <w:r>
        <w:rPr>
          <w:rFonts w:ascii="Times New Roman" w:hAnsi="Times New Roman"/>
          <w:szCs w:val="24"/>
          <w:lang w:val="bs-Latn-BA"/>
        </w:rPr>
        <w:t>искуства</w:t>
      </w:r>
      <w:r w:rsidR="00297DC7" w:rsidRPr="00295637">
        <w:rPr>
          <w:rFonts w:ascii="Times New Roman" w:hAnsi="Times New Roman"/>
          <w:szCs w:val="24"/>
          <w:lang w:val="bs-Latn-BA"/>
        </w:rPr>
        <w:t xml:space="preserve"> </w:t>
      </w:r>
      <w:r>
        <w:rPr>
          <w:rFonts w:ascii="Times New Roman" w:hAnsi="Times New Roman"/>
          <w:szCs w:val="24"/>
          <w:lang w:val="bs-Latn-BA"/>
        </w:rPr>
        <w:t>у</w:t>
      </w:r>
      <w:r w:rsidR="00297DC7" w:rsidRPr="00295637">
        <w:rPr>
          <w:rFonts w:ascii="Times New Roman" w:hAnsi="Times New Roman"/>
          <w:szCs w:val="24"/>
          <w:lang w:val="bs-Latn-BA"/>
        </w:rPr>
        <w:t xml:space="preserve"> </w:t>
      </w:r>
      <w:r>
        <w:rPr>
          <w:rFonts w:ascii="Times New Roman" w:hAnsi="Times New Roman"/>
          <w:szCs w:val="24"/>
          <w:lang w:val="bs-Latn-BA"/>
        </w:rPr>
        <w:t>области</w:t>
      </w:r>
      <w:r w:rsidR="004B269F">
        <w:rPr>
          <w:rFonts w:ascii="Times New Roman" w:hAnsi="Times New Roman"/>
          <w:szCs w:val="24"/>
          <w:lang w:val="bs-Latn-BA"/>
        </w:rPr>
        <w:t xml:space="preserve"> </w:t>
      </w:r>
      <w:r>
        <w:rPr>
          <w:rFonts w:ascii="Times New Roman" w:hAnsi="Times New Roman"/>
          <w:szCs w:val="24"/>
          <w:lang w:val="bs-Latn-BA"/>
        </w:rPr>
        <w:t>родних</w:t>
      </w:r>
      <w:r w:rsidR="004B269F">
        <w:rPr>
          <w:rFonts w:ascii="Times New Roman" w:hAnsi="Times New Roman"/>
          <w:szCs w:val="24"/>
          <w:lang w:val="bs-Latn-BA"/>
        </w:rPr>
        <w:t xml:space="preserve"> </w:t>
      </w:r>
      <w:r>
        <w:rPr>
          <w:rFonts w:ascii="Times New Roman" w:hAnsi="Times New Roman"/>
          <w:szCs w:val="24"/>
          <w:lang w:val="bs-Latn-BA"/>
        </w:rPr>
        <w:t>питања</w:t>
      </w:r>
      <w:r w:rsidR="004B269F">
        <w:rPr>
          <w:rFonts w:ascii="Times New Roman" w:hAnsi="Times New Roman"/>
          <w:szCs w:val="24"/>
          <w:lang w:val="bs-Latn-BA"/>
        </w:rPr>
        <w:t xml:space="preserve">, </w:t>
      </w:r>
      <w:r>
        <w:rPr>
          <w:rFonts w:ascii="Times New Roman" w:hAnsi="Times New Roman"/>
          <w:szCs w:val="24"/>
          <w:lang w:val="bs-Latn-BA"/>
        </w:rPr>
        <w:t>са</w:t>
      </w:r>
      <w:r w:rsidR="00297DC7" w:rsidRPr="00295637">
        <w:rPr>
          <w:rFonts w:ascii="Times New Roman" w:hAnsi="Times New Roman"/>
          <w:szCs w:val="24"/>
          <w:lang w:val="bs-Latn-BA"/>
        </w:rPr>
        <w:t xml:space="preserve"> </w:t>
      </w:r>
      <w:r>
        <w:rPr>
          <w:rFonts w:ascii="Times New Roman" w:hAnsi="Times New Roman"/>
          <w:szCs w:val="24"/>
          <w:lang w:val="bs-Latn-BA"/>
        </w:rPr>
        <w:t>посебним</w:t>
      </w:r>
      <w:r w:rsidR="00297DC7" w:rsidRPr="00295637">
        <w:rPr>
          <w:rFonts w:ascii="Times New Roman" w:hAnsi="Times New Roman"/>
          <w:szCs w:val="24"/>
          <w:lang w:val="bs-Latn-BA"/>
        </w:rPr>
        <w:t xml:space="preserve"> </w:t>
      </w:r>
      <w:r>
        <w:rPr>
          <w:rFonts w:ascii="Times New Roman" w:hAnsi="Times New Roman"/>
          <w:szCs w:val="24"/>
          <w:lang w:val="bs-Latn-BA"/>
        </w:rPr>
        <w:t>освртом</w:t>
      </w:r>
      <w:r w:rsidR="00297DC7" w:rsidRPr="00295637">
        <w:rPr>
          <w:rFonts w:ascii="Times New Roman" w:hAnsi="Times New Roman"/>
          <w:szCs w:val="24"/>
          <w:lang w:val="bs-Latn-BA"/>
        </w:rPr>
        <w:t xml:space="preserve"> </w:t>
      </w:r>
      <w:r>
        <w:rPr>
          <w:rFonts w:ascii="Times New Roman" w:hAnsi="Times New Roman"/>
          <w:szCs w:val="24"/>
          <w:lang w:val="bs-Latn-BA"/>
        </w:rPr>
        <w:t>на</w:t>
      </w:r>
      <w:r w:rsidR="00297DC7" w:rsidRPr="00295637">
        <w:rPr>
          <w:rFonts w:ascii="Times New Roman" w:hAnsi="Times New Roman"/>
          <w:szCs w:val="24"/>
          <w:lang w:val="bs-Latn-BA"/>
        </w:rPr>
        <w:t xml:space="preserve"> </w:t>
      </w:r>
      <w:r>
        <w:rPr>
          <w:rFonts w:ascii="Times New Roman" w:hAnsi="Times New Roman"/>
          <w:szCs w:val="24"/>
          <w:lang w:val="bs-Latn-BA"/>
        </w:rPr>
        <w:t>родне</w:t>
      </w:r>
      <w:r w:rsidR="00297DC7" w:rsidRPr="00295637">
        <w:rPr>
          <w:rFonts w:ascii="Times New Roman" w:hAnsi="Times New Roman"/>
          <w:szCs w:val="24"/>
          <w:lang w:val="bs-Latn-BA"/>
        </w:rPr>
        <w:t xml:space="preserve"> </w:t>
      </w:r>
      <w:r>
        <w:rPr>
          <w:rFonts w:ascii="Times New Roman" w:hAnsi="Times New Roman"/>
          <w:szCs w:val="24"/>
          <w:lang w:val="bs-Latn-BA"/>
        </w:rPr>
        <w:t>предрасуде</w:t>
      </w:r>
      <w:r w:rsidR="00297DC7" w:rsidRPr="00295637">
        <w:rPr>
          <w:rFonts w:ascii="Times New Roman" w:hAnsi="Times New Roman"/>
          <w:szCs w:val="24"/>
          <w:lang w:val="bs-Latn-BA"/>
        </w:rPr>
        <w:t xml:space="preserve">, </w:t>
      </w:r>
      <w:r>
        <w:rPr>
          <w:rFonts w:ascii="Times New Roman" w:hAnsi="Times New Roman"/>
          <w:szCs w:val="24"/>
          <w:lang w:val="bs-Latn-BA"/>
        </w:rPr>
        <w:t>родно</w:t>
      </w:r>
      <w:r w:rsidR="00EC48AC">
        <w:rPr>
          <w:rFonts w:ascii="Times New Roman" w:hAnsi="Times New Roman"/>
          <w:szCs w:val="24"/>
          <w:lang w:val="bs-Latn-BA"/>
        </w:rPr>
        <w:t xml:space="preserve"> </w:t>
      </w:r>
      <w:r>
        <w:rPr>
          <w:rFonts w:ascii="Times New Roman" w:hAnsi="Times New Roman"/>
          <w:szCs w:val="24"/>
          <w:lang w:val="bs-Latn-BA"/>
        </w:rPr>
        <w:t>засновано</w:t>
      </w:r>
      <w:r w:rsidR="00EC48AC">
        <w:rPr>
          <w:rFonts w:ascii="Times New Roman" w:hAnsi="Times New Roman"/>
          <w:szCs w:val="24"/>
          <w:lang w:val="bs-Latn-BA"/>
        </w:rPr>
        <w:t xml:space="preserve"> </w:t>
      </w:r>
      <w:r>
        <w:rPr>
          <w:rFonts w:ascii="Times New Roman" w:hAnsi="Times New Roman"/>
          <w:szCs w:val="24"/>
          <w:lang w:val="bs-Latn-BA"/>
        </w:rPr>
        <w:t>насиље</w:t>
      </w:r>
      <w:r w:rsidR="00EC48AC">
        <w:rPr>
          <w:rFonts w:ascii="Times New Roman" w:hAnsi="Times New Roman"/>
          <w:szCs w:val="24"/>
          <w:lang w:val="bs-Latn-BA"/>
        </w:rPr>
        <w:t xml:space="preserve">, </w:t>
      </w:r>
      <w:r>
        <w:rPr>
          <w:rFonts w:ascii="Times New Roman" w:hAnsi="Times New Roman"/>
          <w:szCs w:val="24"/>
          <w:lang w:val="bs-Latn-BA"/>
        </w:rPr>
        <w:t>укључујући</w:t>
      </w:r>
      <w:r w:rsidR="00297DC7" w:rsidRPr="00295637">
        <w:rPr>
          <w:rFonts w:ascii="Times New Roman" w:hAnsi="Times New Roman"/>
          <w:szCs w:val="24"/>
          <w:lang w:val="bs-Latn-BA"/>
        </w:rPr>
        <w:t xml:space="preserve"> </w:t>
      </w:r>
      <w:r>
        <w:rPr>
          <w:rFonts w:ascii="Times New Roman" w:hAnsi="Times New Roman"/>
          <w:szCs w:val="24"/>
          <w:lang w:val="bs-Latn-BA"/>
        </w:rPr>
        <w:t>фемицид</w:t>
      </w:r>
      <w:r w:rsidR="00297DC7" w:rsidRPr="00295637">
        <w:rPr>
          <w:rFonts w:ascii="Times New Roman" w:hAnsi="Times New Roman"/>
          <w:szCs w:val="24"/>
          <w:lang w:val="bs-Latn-BA"/>
        </w:rPr>
        <w:t xml:space="preserve"> </w:t>
      </w:r>
      <w:r>
        <w:rPr>
          <w:rFonts w:ascii="Times New Roman" w:hAnsi="Times New Roman"/>
          <w:szCs w:val="24"/>
          <w:lang w:val="bs-Latn-BA"/>
        </w:rPr>
        <w:t>и</w:t>
      </w:r>
      <w:r w:rsidR="00297DC7" w:rsidRPr="00295637">
        <w:rPr>
          <w:rFonts w:ascii="Times New Roman" w:hAnsi="Times New Roman"/>
          <w:szCs w:val="24"/>
          <w:lang w:val="bs-Latn-BA"/>
        </w:rPr>
        <w:t xml:space="preserve"> </w:t>
      </w:r>
      <w:r>
        <w:rPr>
          <w:rFonts w:ascii="Times New Roman" w:hAnsi="Times New Roman"/>
          <w:szCs w:val="24"/>
          <w:lang w:val="bs-Latn-BA"/>
        </w:rPr>
        <w:t>насиље</w:t>
      </w:r>
      <w:r w:rsidR="00297DC7" w:rsidRPr="00295637">
        <w:rPr>
          <w:rFonts w:ascii="Times New Roman" w:hAnsi="Times New Roman"/>
          <w:szCs w:val="24"/>
          <w:lang w:val="bs-Latn-BA"/>
        </w:rPr>
        <w:t xml:space="preserve"> </w:t>
      </w:r>
      <w:r>
        <w:rPr>
          <w:rFonts w:ascii="Times New Roman" w:hAnsi="Times New Roman"/>
          <w:szCs w:val="24"/>
          <w:lang w:val="bs-Latn-BA"/>
        </w:rPr>
        <w:t>у</w:t>
      </w:r>
      <w:r w:rsidR="00297DC7" w:rsidRPr="00295637">
        <w:rPr>
          <w:rFonts w:ascii="Times New Roman" w:hAnsi="Times New Roman"/>
          <w:szCs w:val="24"/>
          <w:lang w:val="bs-Latn-BA"/>
        </w:rPr>
        <w:t xml:space="preserve"> </w:t>
      </w:r>
      <w:r>
        <w:rPr>
          <w:rFonts w:ascii="Times New Roman" w:hAnsi="Times New Roman"/>
          <w:szCs w:val="24"/>
          <w:lang w:val="bs-Latn-BA"/>
        </w:rPr>
        <w:t>породици</w:t>
      </w:r>
      <w:r w:rsidR="004B269F">
        <w:rPr>
          <w:rFonts w:ascii="Times New Roman" w:hAnsi="Times New Roman"/>
          <w:szCs w:val="24"/>
          <w:lang w:val="bs-Latn-BA"/>
        </w:rPr>
        <w:t xml:space="preserve">, </w:t>
      </w:r>
      <w:r>
        <w:rPr>
          <w:rFonts w:ascii="Times New Roman" w:hAnsi="Times New Roman"/>
          <w:szCs w:val="24"/>
          <w:lang w:val="bs-Latn-BA"/>
        </w:rPr>
        <w:t>као</w:t>
      </w:r>
      <w:r w:rsidR="004B269F">
        <w:rPr>
          <w:rFonts w:ascii="Times New Roman" w:hAnsi="Times New Roman"/>
          <w:szCs w:val="24"/>
          <w:lang w:val="bs-Latn-BA"/>
        </w:rPr>
        <w:t xml:space="preserve"> </w:t>
      </w:r>
      <w:r>
        <w:rPr>
          <w:rFonts w:ascii="Times New Roman" w:hAnsi="Times New Roman"/>
          <w:szCs w:val="24"/>
          <w:lang w:val="bs-Latn-BA"/>
        </w:rPr>
        <w:t>и</w:t>
      </w:r>
      <w:r w:rsidR="004B269F">
        <w:rPr>
          <w:rFonts w:ascii="Times New Roman" w:hAnsi="Times New Roman"/>
          <w:szCs w:val="24"/>
          <w:lang w:val="bs-Latn-BA"/>
        </w:rPr>
        <w:t xml:space="preserve"> </w:t>
      </w:r>
      <w:r>
        <w:rPr>
          <w:rFonts w:ascii="Times New Roman" w:hAnsi="Times New Roman"/>
          <w:szCs w:val="24"/>
          <w:lang w:val="bs-Latn-BA"/>
        </w:rPr>
        <w:t>етичке</w:t>
      </w:r>
      <w:r w:rsidR="004B269F">
        <w:rPr>
          <w:rFonts w:ascii="Times New Roman" w:hAnsi="Times New Roman"/>
          <w:szCs w:val="24"/>
          <w:lang w:val="bs-Latn-BA"/>
        </w:rPr>
        <w:t xml:space="preserve"> </w:t>
      </w:r>
      <w:r>
        <w:rPr>
          <w:rFonts w:ascii="Times New Roman" w:hAnsi="Times New Roman"/>
          <w:szCs w:val="24"/>
          <w:lang w:val="bs-Latn-BA"/>
        </w:rPr>
        <w:t>стандарде</w:t>
      </w:r>
      <w:r w:rsidR="004B269F">
        <w:rPr>
          <w:rFonts w:ascii="Times New Roman" w:hAnsi="Times New Roman"/>
          <w:szCs w:val="24"/>
          <w:lang w:val="bs-Latn-BA"/>
        </w:rPr>
        <w:t xml:space="preserve"> </w:t>
      </w:r>
      <w:r>
        <w:rPr>
          <w:rFonts w:ascii="Times New Roman" w:hAnsi="Times New Roman"/>
          <w:szCs w:val="24"/>
          <w:lang w:val="bs-Latn-BA"/>
        </w:rPr>
        <w:t>са</w:t>
      </w:r>
      <w:r w:rsidR="00297DC7" w:rsidRPr="00295637">
        <w:rPr>
          <w:rFonts w:ascii="Times New Roman" w:hAnsi="Times New Roman"/>
          <w:szCs w:val="24"/>
          <w:lang w:val="bs-Latn-BA"/>
        </w:rPr>
        <w:t xml:space="preserve"> </w:t>
      </w:r>
      <w:r>
        <w:rPr>
          <w:rFonts w:ascii="Times New Roman" w:hAnsi="Times New Roman"/>
          <w:szCs w:val="24"/>
          <w:lang w:val="bs-Latn-BA"/>
        </w:rPr>
        <w:t>аспекта</w:t>
      </w:r>
      <w:r w:rsidR="00297DC7" w:rsidRPr="00295637">
        <w:rPr>
          <w:rFonts w:ascii="Times New Roman" w:hAnsi="Times New Roman"/>
          <w:szCs w:val="24"/>
          <w:lang w:val="bs-Latn-BA"/>
        </w:rPr>
        <w:t xml:space="preserve"> </w:t>
      </w:r>
      <w:r>
        <w:rPr>
          <w:rFonts w:ascii="Times New Roman" w:hAnsi="Times New Roman"/>
          <w:szCs w:val="24"/>
          <w:lang w:val="bs-Latn-BA"/>
        </w:rPr>
        <w:t>интегритета</w:t>
      </w:r>
      <w:r w:rsidR="00297DC7" w:rsidRPr="00295637">
        <w:rPr>
          <w:rFonts w:ascii="Times New Roman" w:hAnsi="Times New Roman"/>
          <w:szCs w:val="24"/>
          <w:lang w:val="bs-Latn-BA"/>
        </w:rPr>
        <w:t xml:space="preserve"> </w:t>
      </w:r>
      <w:r>
        <w:rPr>
          <w:rFonts w:ascii="Times New Roman" w:hAnsi="Times New Roman"/>
          <w:szCs w:val="24"/>
          <w:lang w:val="bs-Latn-BA"/>
        </w:rPr>
        <w:t>и</w:t>
      </w:r>
      <w:r w:rsidR="00297DC7" w:rsidRPr="00295637">
        <w:rPr>
          <w:rFonts w:ascii="Times New Roman" w:hAnsi="Times New Roman"/>
          <w:szCs w:val="24"/>
          <w:lang w:val="bs-Latn-BA"/>
        </w:rPr>
        <w:t xml:space="preserve"> </w:t>
      </w:r>
      <w:r>
        <w:rPr>
          <w:rFonts w:ascii="Times New Roman" w:hAnsi="Times New Roman"/>
          <w:szCs w:val="24"/>
          <w:lang w:val="bs-Latn-BA"/>
        </w:rPr>
        <w:t>корупције</w:t>
      </w:r>
      <w:r w:rsidR="00297DC7" w:rsidRPr="00295637">
        <w:rPr>
          <w:rFonts w:ascii="Times New Roman" w:hAnsi="Times New Roman"/>
          <w:szCs w:val="24"/>
          <w:lang w:val="bs-Latn-BA"/>
        </w:rPr>
        <w:t xml:space="preserve">. </w:t>
      </w:r>
    </w:p>
    <w:p w:rsidR="00297DC7" w:rsidRPr="00295637" w:rsidRDefault="00297DC7" w:rsidP="0086268D">
      <w:pPr>
        <w:jc w:val="both"/>
        <w:rPr>
          <w:rFonts w:ascii="Times New Roman" w:hAnsi="Times New Roman"/>
          <w:szCs w:val="24"/>
        </w:rPr>
      </w:pPr>
    </w:p>
    <w:p w:rsidR="002D1DC8" w:rsidRPr="006A104D" w:rsidRDefault="00C6214E" w:rsidP="0086268D">
      <w:pPr>
        <w:jc w:val="both"/>
        <w:rPr>
          <w:rFonts w:ascii="Times New Roman" w:hAnsi="Times New Roman"/>
          <w:lang w:val="bs-Latn-BA"/>
        </w:rPr>
      </w:pPr>
      <w:r>
        <w:rPr>
          <w:rFonts w:ascii="Times New Roman" w:hAnsi="Times New Roman"/>
          <w:bCs/>
          <w:szCs w:val="24"/>
          <w:lang w:val="bs-Latn-BA"/>
        </w:rPr>
        <w:t>Значајне</w:t>
      </w:r>
      <w:r w:rsidR="00297DC7" w:rsidRPr="00C3379B">
        <w:rPr>
          <w:rFonts w:ascii="Times New Roman" w:hAnsi="Times New Roman"/>
          <w:bCs/>
          <w:szCs w:val="24"/>
          <w:lang w:val="bs-Latn-BA"/>
        </w:rPr>
        <w:t xml:space="preserve"> </w:t>
      </w:r>
      <w:r>
        <w:rPr>
          <w:rFonts w:ascii="Times New Roman" w:hAnsi="Times New Roman"/>
          <w:bCs/>
          <w:szCs w:val="24"/>
          <w:lang w:val="bs-Latn-BA"/>
        </w:rPr>
        <w:t>активности</w:t>
      </w:r>
      <w:r w:rsidR="00297DC7" w:rsidRPr="00C3379B">
        <w:rPr>
          <w:rFonts w:ascii="Times New Roman" w:hAnsi="Times New Roman"/>
          <w:bCs/>
          <w:szCs w:val="24"/>
          <w:lang w:val="bs-Latn-BA"/>
        </w:rPr>
        <w:t xml:space="preserve"> </w:t>
      </w:r>
      <w:r>
        <w:rPr>
          <w:rFonts w:ascii="Times New Roman" w:hAnsi="Times New Roman"/>
          <w:bCs/>
          <w:szCs w:val="24"/>
          <w:lang w:val="bs-Latn-BA"/>
        </w:rPr>
        <w:t>су</w:t>
      </w:r>
      <w:r w:rsidR="004B269F" w:rsidRPr="00C3379B">
        <w:rPr>
          <w:rFonts w:ascii="Times New Roman" w:hAnsi="Times New Roman"/>
          <w:bCs/>
          <w:szCs w:val="24"/>
          <w:lang w:val="bs-Latn-BA"/>
        </w:rPr>
        <w:t xml:space="preserve"> </w:t>
      </w:r>
      <w:r w:rsidR="007550FB">
        <w:rPr>
          <w:rFonts w:ascii="Times New Roman" w:hAnsi="Times New Roman"/>
          <w:bCs/>
          <w:szCs w:val="24"/>
          <w:lang w:val="sr-Cyrl-BA"/>
        </w:rPr>
        <w:t>спроведене</w:t>
      </w:r>
      <w:r w:rsidR="004B269F" w:rsidRPr="00C3379B">
        <w:rPr>
          <w:rFonts w:ascii="Times New Roman" w:hAnsi="Times New Roman"/>
          <w:bCs/>
          <w:szCs w:val="24"/>
          <w:lang w:val="bs-Latn-BA"/>
        </w:rPr>
        <w:t xml:space="preserve"> </w:t>
      </w:r>
      <w:r>
        <w:rPr>
          <w:rFonts w:ascii="Times New Roman" w:hAnsi="Times New Roman"/>
          <w:bCs/>
          <w:szCs w:val="24"/>
          <w:lang w:val="bs-Latn-BA"/>
        </w:rPr>
        <w:t>и</w:t>
      </w:r>
      <w:r w:rsidR="004B269F" w:rsidRPr="00C3379B">
        <w:rPr>
          <w:rFonts w:ascii="Times New Roman" w:hAnsi="Times New Roman"/>
          <w:bCs/>
          <w:szCs w:val="24"/>
          <w:lang w:val="bs-Latn-BA"/>
        </w:rPr>
        <w:t xml:space="preserve"> </w:t>
      </w:r>
      <w:r>
        <w:rPr>
          <w:rFonts w:ascii="Times New Roman" w:hAnsi="Times New Roman"/>
          <w:bCs/>
          <w:szCs w:val="24"/>
          <w:lang w:val="bs-Latn-BA"/>
        </w:rPr>
        <w:t>са</w:t>
      </w:r>
      <w:r w:rsidR="004F563D" w:rsidRPr="00C3379B">
        <w:rPr>
          <w:rFonts w:ascii="Times New Roman" w:hAnsi="Times New Roman"/>
          <w:bCs/>
          <w:szCs w:val="24"/>
          <w:lang w:val="bs-Latn-BA"/>
        </w:rPr>
        <w:t xml:space="preserve"> </w:t>
      </w:r>
      <w:r>
        <w:rPr>
          <w:rFonts w:ascii="Times New Roman" w:hAnsi="Times New Roman"/>
          <w:bCs/>
          <w:szCs w:val="24"/>
          <w:lang w:val="bs-Latn-BA"/>
        </w:rPr>
        <w:t>посебно</w:t>
      </w:r>
      <w:r w:rsidR="00297DC7" w:rsidRPr="00C3379B">
        <w:rPr>
          <w:rFonts w:ascii="Times New Roman" w:hAnsi="Times New Roman"/>
          <w:bCs/>
          <w:szCs w:val="24"/>
          <w:lang w:val="bs-Latn-BA"/>
        </w:rPr>
        <w:t xml:space="preserve"> </w:t>
      </w:r>
      <w:r>
        <w:rPr>
          <w:rFonts w:ascii="Times New Roman" w:hAnsi="Times New Roman"/>
          <w:bCs/>
          <w:szCs w:val="24"/>
          <w:lang w:val="bs-Latn-BA"/>
        </w:rPr>
        <w:t>вулнерабилним</w:t>
      </w:r>
      <w:r w:rsidR="00297DC7" w:rsidRPr="00C3379B">
        <w:rPr>
          <w:rFonts w:ascii="Times New Roman" w:hAnsi="Times New Roman"/>
          <w:bCs/>
          <w:szCs w:val="24"/>
          <w:lang w:val="bs-Latn-BA"/>
        </w:rPr>
        <w:t xml:space="preserve"> </w:t>
      </w:r>
      <w:r>
        <w:rPr>
          <w:rFonts w:ascii="Times New Roman" w:hAnsi="Times New Roman"/>
          <w:bCs/>
          <w:szCs w:val="24"/>
          <w:lang w:val="bs-Latn-BA"/>
        </w:rPr>
        <w:t>групама</w:t>
      </w:r>
      <w:r w:rsidR="004F563D" w:rsidRPr="00C3379B">
        <w:rPr>
          <w:rFonts w:ascii="Times New Roman" w:hAnsi="Times New Roman"/>
          <w:bCs/>
          <w:szCs w:val="24"/>
          <w:lang w:val="bs-Latn-BA"/>
        </w:rPr>
        <w:t>,</w:t>
      </w:r>
      <w:r w:rsidR="00297DC7" w:rsidRPr="00C3379B">
        <w:rPr>
          <w:rFonts w:ascii="Times New Roman" w:hAnsi="Times New Roman"/>
          <w:bCs/>
          <w:szCs w:val="24"/>
          <w:lang w:val="bs-Latn-BA"/>
        </w:rPr>
        <w:t xml:space="preserve"> </w:t>
      </w:r>
      <w:r>
        <w:rPr>
          <w:rFonts w:ascii="Times New Roman" w:hAnsi="Times New Roman"/>
          <w:bCs/>
          <w:szCs w:val="24"/>
          <w:lang w:val="bs-Latn-BA"/>
        </w:rPr>
        <w:t>као</w:t>
      </w:r>
      <w:r w:rsidR="00297DC7" w:rsidRPr="00C3379B">
        <w:rPr>
          <w:rFonts w:ascii="Times New Roman" w:hAnsi="Times New Roman"/>
          <w:bCs/>
          <w:szCs w:val="24"/>
          <w:lang w:val="bs-Latn-BA"/>
        </w:rPr>
        <w:t xml:space="preserve"> </w:t>
      </w:r>
      <w:r>
        <w:rPr>
          <w:rFonts w:ascii="Times New Roman" w:hAnsi="Times New Roman"/>
          <w:bCs/>
          <w:szCs w:val="24"/>
          <w:lang w:val="bs-Latn-BA"/>
        </w:rPr>
        <w:t>што</w:t>
      </w:r>
      <w:r w:rsidR="00297DC7" w:rsidRPr="00C3379B">
        <w:rPr>
          <w:rFonts w:ascii="Times New Roman" w:hAnsi="Times New Roman"/>
          <w:bCs/>
          <w:szCs w:val="24"/>
          <w:lang w:val="bs-Latn-BA"/>
        </w:rPr>
        <w:t xml:space="preserve"> </w:t>
      </w:r>
      <w:r>
        <w:rPr>
          <w:rFonts w:ascii="Times New Roman" w:hAnsi="Times New Roman"/>
          <w:bCs/>
          <w:szCs w:val="24"/>
          <w:lang w:val="bs-Latn-BA"/>
        </w:rPr>
        <w:t>су</w:t>
      </w:r>
      <w:r w:rsidR="00297DC7" w:rsidRPr="00C3379B">
        <w:rPr>
          <w:rFonts w:ascii="Times New Roman" w:hAnsi="Times New Roman"/>
          <w:bCs/>
          <w:szCs w:val="24"/>
          <w:lang w:val="bs-Latn-BA"/>
        </w:rPr>
        <w:t xml:space="preserve"> </w:t>
      </w:r>
      <w:r>
        <w:rPr>
          <w:rFonts w:ascii="Times New Roman" w:hAnsi="Times New Roman"/>
          <w:bCs/>
          <w:szCs w:val="24"/>
          <w:lang w:val="bs-Latn-BA"/>
        </w:rPr>
        <w:t>Ромкиње</w:t>
      </w:r>
      <w:r w:rsidR="004B269F" w:rsidRPr="00C3379B">
        <w:rPr>
          <w:rFonts w:ascii="Times New Roman" w:hAnsi="Times New Roman"/>
          <w:bCs/>
          <w:szCs w:val="24"/>
          <w:lang w:val="bs-Latn-BA"/>
        </w:rPr>
        <w:t xml:space="preserve"> </w:t>
      </w:r>
      <w:r>
        <w:rPr>
          <w:rFonts w:ascii="Times New Roman" w:hAnsi="Times New Roman"/>
          <w:bCs/>
          <w:szCs w:val="24"/>
          <w:lang w:val="bs-Latn-BA"/>
        </w:rPr>
        <w:t>и</w:t>
      </w:r>
      <w:r w:rsidR="004B269F" w:rsidRPr="00C3379B">
        <w:rPr>
          <w:rFonts w:ascii="Times New Roman" w:hAnsi="Times New Roman"/>
          <w:bCs/>
          <w:szCs w:val="24"/>
          <w:lang w:val="bs-Latn-BA"/>
        </w:rPr>
        <w:t xml:space="preserve"> </w:t>
      </w:r>
      <w:r>
        <w:rPr>
          <w:rFonts w:ascii="Times New Roman" w:hAnsi="Times New Roman"/>
          <w:bCs/>
          <w:szCs w:val="24"/>
          <w:lang w:val="bs-Latn-BA"/>
        </w:rPr>
        <w:t>жене</w:t>
      </w:r>
      <w:r w:rsidR="004B269F" w:rsidRPr="00C3379B">
        <w:rPr>
          <w:rFonts w:ascii="Times New Roman" w:hAnsi="Times New Roman"/>
          <w:bCs/>
          <w:szCs w:val="24"/>
          <w:lang w:val="bs-Latn-BA"/>
        </w:rPr>
        <w:t xml:space="preserve"> </w:t>
      </w:r>
      <w:r>
        <w:rPr>
          <w:rFonts w:ascii="Times New Roman" w:hAnsi="Times New Roman"/>
          <w:bCs/>
          <w:szCs w:val="24"/>
          <w:lang w:val="bs-Latn-BA"/>
        </w:rPr>
        <w:t>са</w:t>
      </w:r>
      <w:r w:rsidR="004F563D" w:rsidRPr="00C3379B">
        <w:rPr>
          <w:rFonts w:ascii="Times New Roman" w:hAnsi="Times New Roman"/>
          <w:bCs/>
          <w:szCs w:val="24"/>
          <w:lang w:val="bs-Latn-BA"/>
        </w:rPr>
        <w:t xml:space="preserve"> </w:t>
      </w:r>
      <w:r>
        <w:rPr>
          <w:rFonts w:ascii="Times New Roman" w:hAnsi="Times New Roman"/>
          <w:bCs/>
          <w:szCs w:val="24"/>
          <w:lang w:val="bs-Latn-BA"/>
        </w:rPr>
        <w:t>инвалидитетом</w:t>
      </w:r>
      <w:r w:rsidR="004F563D" w:rsidRPr="00C3379B">
        <w:rPr>
          <w:rFonts w:ascii="Times New Roman" w:hAnsi="Times New Roman"/>
          <w:bCs/>
          <w:szCs w:val="24"/>
          <w:lang w:val="bs-Latn-BA"/>
        </w:rPr>
        <w:t>.</w:t>
      </w:r>
      <w:r w:rsidR="00297DC7" w:rsidRPr="00C3379B">
        <w:rPr>
          <w:rFonts w:ascii="Times New Roman" w:hAnsi="Times New Roman"/>
          <w:bCs/>
          <w:szCs w:val="24"/>
          <w:lang w:val="bs-Latn-BA"/>
        </w:rPr>
        <w:t xml:space="preserve"> </w:t>
      </w:r>
      <w:r>
        <w:rPr>
          <w:rFonts w:ascii="Times New Roman" w:hAnsi="Times New Roman"/>
          <w:lang w:val="bs-Latn-BA"/>
        </w:rPr>
        <w:t>АР</w:t>
      </w:r>
      <w:r w:rsidR="007550FB">
        <w:rPr>
          <w:rFonts w:ascii="Times New Roman" w:hAnsi="Times New Roman"/>
          <w:lang w:val="sr-Cyrl-BA"/>
        </w:rPr>
        <w:t>П</w:t>
      </w:r>
      <w:r w:rsidR="004B269F" w:rsidRPr="00C3379B">
        <w:rPr>
          <w:rFonts w:ascii="Times New Roman" w:hAnsi="Times New Roman"/>
          <w:lang w:val="bs-Latn-BA"/>
        </w:rPr>
        <w:t xml:space="preserve"> </w:t>
      </w:r>
      <w:r>
        <w:rPr>
          <w:rFonts w:ascii="Times New Roman" w:hAnsi="Times New Roman"/>
          <w:lang w:val="bs-Latn-BA"/>
        </w:rPr>
        <w:t>БиХ</w:t>
      </w:r>
      <w:r w:rsidR="004B269F" w:rsidRPr="00C3379B">
        <w:rPr>
          <w:rFonts w:ascii="Times New Roman" w:hAnsi="Times New Roman"/>
          <w:lang w:val="bs-Latn-BA"/>
        </w:rPr>
        <w:t xml:space="preserve"> </w:t>
      </w:r>
      <w:r>
        <w:rPr>
          <w:rFonts w:ascii="Times New Roman" w:hAnsi="Times New Roman"/>
          <w:lang w:val="bs-Latn-BA"/>
        </w:rPr>
        <w:t>МЉПИ</w:t>
      </w:r>
      <w:r w:rsidR="004B269F" w:rsidRPr="00C3379B">
        <w:rPr>
          <w:rFonts w:ascii="Times New Roman" w:hAnsi="Times New Roman"/>
          <w:lang w:val="bs-Latn-BA"/>
        </w:rPr>
        <w:t xml:space="preserve"> </w:t>
      </w:r>
      <w:r>
        <w:rPr>
          <w:rFonts w:ascii="Times New Roman" w:hAnsi="Times New Roman"/>
          <w:lang w:val="bs-Latn-BA"/>
        </w:rPr>
        <w:t>БиХ</w:t>
      </w:r>
      <w:r w:rsidR="00EC48AC" w:rsidRPr="00C3379B">
        <w:rPr>
          <w:rFonts w:ascii="Times New Roman" w:hAnsi="Times New Roman"/>
          <w:lang w:val="bs-Latn-BA"/>
        </w:rPr>
        <w:t>,</w:t>
      </w:r>
      <w:r w:rsidR="00297DC7" w:rsidRPr="00C3379B">
        <w:rPr>
          <w:rFonts w:ascii="Times New Roman" w:hAnsi="Times New Roman"/>
          <w:lang w:val="bs-Latn-BA"/>
        </w:rPr>
        <w:t xml:space="preserve"> </w:t>
      </w:r>
      <w:r>
        <w:rPr>
          <w:rFonts w:ascii="Times New Roman" w:hAnsi="Times New Roman"/>
          <w:lang w:val="bs-Latn-BA"/>
        </w:rPr>
        <w:t>ГЦ</w:t>
      </w:r>
      <w:r w:rsidR="004B269F" w:rsidRPr="00C3379B">
        <w:rPr>
          <w:rFonts w:ascii="Times New Roman" w:hAnsi="Times New Roman"/>
          <w:lang w:val="bs-Latn-BA"/>
        </w:rPr>
        <w:t xml:space="preserve"> </w:t>
      </w:r>
      <w:r>
        <w:rPr>
          <w:rFonts w:ascii="Times New Roman" w:hAnsi="Times New Roman"/>
          <w:lang w:val="bs-Latn-BA"/>
        </w:rPr>
        <w:t>ФБиХ</w:t>
      </w:r>
      <w:r w:rsidR="00297DC7" w:rsidRPr="00C3379B">
        <w:rPr>
          <w:rFonts w:ascii="Times New Roman" w:hAnsi="Times New Roman"/>
          <w:lang w:val="bs-Latn-BA"/>
        </w:rPr>
        <w:t xml:space="preserve"> </w:t>
      </w:r>
      <w:r>
        <w:rPr>
          <w:rFonts w:ascii="Times New Roman" w:hAnsi="Times New Roman"/>
          <w:lang w:val="bs-Latn-BA"/>
        </w:rPr>
        <w:t>и</w:t>
      </w:r>
      <w:r w:rsidR="001E501C" w:rsidRPr="00C3379B">
        <w:rPr>
          <w:rFonts w:ascii="Times New Roman" w:hAnsi="Times New Roman"/>
          <w:lang w:val="bs-Latn-BA"/>
        </w:rPr>
        <w:t xml:space="preserve"> </w:t>
      </w:r>
      <w:r>
        <w:rPr>
          <w:rFonts w:ascii="Times New Roman" w:hAnsi="Times New Roman"/>
          <w:lang w:val="bs-Latn-BA"/>
        </w:rPr>
        <w:t>ЦЈРП</w:t>
      </w:r>
      <w:r w:rsidR="001E501C" w:rsidRPr="00C3379B">
        <w:rPr>
          <w:rFonts w:ascii="Times New Roman" w:hAnsi="Times New Roman"/>
          <w:lang w:val="bs-Latn-BA"/>
        </w:rPr>
        <w:t xml:space="preserve"> </w:t>
      </w:r>
      <w:r>
        <w:rPr>
          <w:rFonts w:ascii="Times New Roman" w:hAnsi="Times New Roman"/>
          <w:lang w:val="bs-Latn-BA"/>
        </w:rPr>
        <w:t>РС</w:t>
      </w:r>
      <w:r w:rsidR="001E501C" w:rsidRPr="00C3379B">
        <w:rPr>
          <w:rFonts w:ascii="Times New Roman" w:hAnsi="Times New Roman"/>
          <w:lang w:val="bs-Latn-BA"/>
        </w:rPr>
        <w:t xml:space="preserve"> </w:t>
      </w:r>
      <w:r>
        <w:rPr>
          <w:rFonts w:ascii="Times New Roman" w:hAnsi="Times New Roman"/>
          <w:lang w:val="bs-Latn-BA"/>
        </w:rPr>
        <w:t>су</w:t>
      </w:r>
      <w:r w:rsidR="00297DC7" w:rsidRPr="00C3379B">
        <w:rPr>
          <w:rFonts w:ascii="Times New Roman" w:hAnsi="Times New Roman"/>
          <w:lang w:val="bs-Latn-BA"/>
        </w:rPr>
        <w:t xml:space="preserve"> </w:t>
      </w:r>
      <w:r>
        <w:rPr>
          <w:rFonts w:ascii="Times New Roman" w:hAnsi="Times New Roman"/>
          <w:lang w:val="bs-Latn-BA"/>
        </w:rPr>
        <w:t>у</w:t>
      </w:r>
      <w:r w:rsidR="00297DC7" w:rsidRPr="00C3379B">
        <w:rPr>
          <w:rFonts w:ascii="Times New Roman" w:hAnsi="Times New Roman"/>
          <w:lang w:val="bs-Latn-BA"/>
        </w:rPr>
        <w:t xml:space="preserve"> </w:t>
      </w:r>
      <w:r>
        <w:rPr>
          <w:rFonts w:ascii="Times New Roman" w:hAnsi="Times New Roman"/>
          <w:lang w:val="bs-Latn-BA"/>
        </w:rPr>
        <w:t>извјештајном</w:t>
      </w:r>
      <w:r w:rsidR="00297DC7" w:rsidRPr="00C3379B">
        <w:rPr>
          <w:rFonts w:ascii="Times New Roman" w:hAnsi="Times New Roman"/>
          <w:lang w:val="bs-Latn-BA"/>
        </w:rPr>
        <w:t xml:space="preserve"> </w:t>
      </w:r>
      <w:r>
        <w:rPr>
          <w:rFonts w:ascii="Times New Roman" w:hAnsi="Times New Roman"/>
          <w:lang w:val="bs-Latn-BA"/>
        </w:rPr>
        <w:t>периоду</w:t>
      </w:r>
      <w:r w:rsidR="00297DC7" w:rsidRPr="00C3379B">
        <w:rPr>
          <w:rFonts w:ascii="Times New Roman" w:hAnsi="Times New Roman"/>
          <w:lang w:val="bs-Latn-BA"/>
        </w:rPr>
        <w:t xml:space="preserve"> </w:t>
      </w:r>
      <w:r>
        <w:rPr>
          <w:rFonts w:ascii="Times New Roman" w:hAnsi="Times New Roman"/>
          <w:lang w:val="bs-Latn-BA"/>
        </w:rPr>
        <w:t>остварили</w:t>
      </w:r>
      <w:r w:rsidR="004F563D" w:rsidRPr="00C3379B">
        <w:rPr>
          <w:rFonts w:ascii="Times New Roman" w:hAnsi="Times New Roman"/>
          <w:lang w:val="bs-Latn-BA"/>
        </w:rPr>
        <w:t xml:space="preserve"> </w:t>
      </w:r>
      <w:r>
        <w:rPr>
          <w:rFonts w:ascii="Times New Roman" w:hAnsi="Times New Roman"/>
          <w:lang w:val="bs-Latn-BA"/>
        </w:rPr>
        <w:t>сарадњу</w:t>
      </w:r>
      <w:r w:rsidR="004B269F" w:rsidRPr="00C3379B">
        <w:rPr>
          <w:rFonts w:ascii="Times New Roman" w:hAnsi="Times New Roman"/>
          <w:lang w:val="bs-Latn-BA"/>
        </w:rPr>
        <w:t xml:space="preserve"> </w:t>
      </w:r>
      <w:r>
        <w:rPr>
          <w:rFonts w:ascii="Times New Roman" w:hAnsi="Times New Roman"/>
          <w:lang w:val="bs-Latn-BA"/>
        </w:rPr>
        <w:t>са</w:t>
      </w:r>
      <w:r w:rsidR="00297DC7" w:rsidRPr="00C3379B">
        <w:rPr>
          <w:rFonts w:ascii="Times New Roman" w:hAnsi="Times New Roman"/>
          <w:lang w:val="bs-Latn-BA"/>
        </w:rPr>
        <w:t xml:space="preserve"> </w:t>
      </w:r>
      <w:r>
        <w:rPr>
          <w:rFonts w:ascii="Times New Roman" w:hAnsi="Times New Roman"/>
          <w:lang w:val="bs-Latn-BA"/>
        </w:rPr>
        <w:t>Информаци</w:t>
      </w:r>
      <w:r w:rsidR="007550FB">
        <w:rPr>
          <w:rFonts w:ascii="Times New Roman" w:hAnsi="Times New Roman"/>
          <w:lang w:val="sr-Cyrl-BA"/>
        </w:rPr>
        <w:t>оним</w:t>
      </w:r>
      <w:r w:rsidR="004B269F" w:rsidRPr="00C3379B">
        <w:rPr>
          <w:rFonts w:ascii="Times New Roman" w:hAnsi="Times New Roman"/>
          <w:lang w:val="bs-Latn-BA"/>
        </w:rPr>
        <w:t xml:space="preserve"> </w:t>
      </w:r>
      <w:r>
        <w:rPr>
          <w:rFonts w:ascii="Times New Roman" w:hAnsi="Times New Roman"/>
          <w:lang w:val="bs-Latn-BA"/>
        </w:rPr>
        <w:t>центром</w:t>
      </w:r>
      <w:r w:rsidR="004B269F" w:rsidRPr="00C3379B">
        <w:rPr>
          <w:rFonts w:ascii="Times New Roman" w:hAnsi="Times New Roman"/>
          <w:lang w:val="bs-Latn-BA"/>
        </w:rPr>
        <w:t xml:space="preserve"> </w:t>
      </w:r>
      <w:r>
        <w:rPr>
          <w:rFonts w:ascii="Times New Roman" w:hAnsi="Times New Roman"/>
          <w:lang w:val="bs-Latn-BA"/>
        </w:rPr>
        <w:t>за</w:t>
      </w:r>
      <w:r w:rsidR="004B269F" w:rsidRPr="00C3379B">
        <w:rPr>
          <w:rFonts w:ascii="Times New Roman" w:hAnsi="Times New Roman"/>
          <w:lang w:val="bs-Latn-BA"/>
        </w:rPr>
        <w:t xml:space="preserve"> </w:t>
      </w:r>
      <w:r>
        <w:rPr>
          <w:rFonts w:ascii="Times New Roman" w:hAnsi="Times New Roman"/>
          <w:lang w:val="bs-Latn-BA"/>
        </w:rPr>
        <w:t>лица</w:t>
      </w:r>
      <w:r w:rsidR="004B269F" w:rsidRPr="00C3379B">
        <w:rPr>
          <w:rFonts w:ascii="Times New Roman" w:hAnsi="Times New Roman"/>
          <w:lang w:val="bs-Latn-BA"/>
        </w:rPr>
        <w:t xml:space="preserve"> </w:t>
      </w:r>
      <w:r>
        <w:rPr>
          <w:rFonts w:ascii="Times New Roman" w:hAnsi="Times New Roman"/>
          <w:lang w:val="bs-Latn-BA"/>
        </w:rPr>
        <w:t>са</w:t>
      </w:r>
      <w:r w:rsidR="00297DC7" w:rsidRPr="00C3379B">
        <w:rPr>
          <w:rFonts w:ascii="Times New Roman" w:hAnsi="Times New Roman"/>
          <w:lang w:val="bs-Latn-BA"/>
        </w:rPr>
        <w:t xml:space="preserve"> </w:t>
      </w:r>
      <w:r>
        <w:rPr>
          <w:rFonts w:ascii="Times New Roman" w:hAnsi="Times New Roman"/>
          <w:lang w:val="bs-Latn-BA"/>
        </w:rPr>
        <w:t>инвалидитетом</w:t>
      </w:r>
      <w:r w:rsidR="00297DC7" w:rsidRPr="00C3379B">
        <w:rPr>
          <w:rFonts w:ascii="Times New Roman" w:hAnsi="Times New Roman"/>
          <w:lang w:val="bs-Latn-BA"/>
        </w:rPr>
        <w:t xml:space="preserve"> „</w:t>
      </w:r>
      <w:r>
        <w:rPr>
          <w:rFonts w:ascii="Times New Roman" w:hAnsi="Times New Roman"/>
          <w:lang w:val="bs-Latn-BA"/>
        </w:rPr>
        <w:t>Лотос</w:t>
      </w:r>
      <w:r w:rsidR="00297DC7" w:rsidRPr="00C3379B">
        <w:rPr>
          <w:rFonts w:ascii="Times New Roman" w:hAnsi="Times New Roman"/>
          <w:lang w:val="bs-Latn-BA"/>
        </w:rPr>
        <w:t xml:space="preserve">“ </w:t>
      </w:r>
      <w:r>
        <w:rPr>
          <w:rFonts w:ascii="Times New Roman" w:hAnsi="Times New Roman"/>
          <w:lang w:val="bs-Latn-BA"/>
        </w:rPr>
        <w:t>и</w:t>
      </w:r>
      <w:r w:rsidR="00297DC7" w:rsidRPr="00C3379B">
        <w:rPr>
          <w:rFonts w:ascii="Times New Roman" w:hAnsi="Times New Roman"/>
          <w:lang w:val="bs-Latn-BA"/>
        </w:rPr>
        <w:t xml:space="preserve"> </w:t>
      </w:r>
      <w:r>
        <w:rPr>
          <w:rFonts w:ascii="Times New Roman" w:hAnsi="Times New Roman"/>
          <w:lang w:val="bs-Latn-BA"/>
        </w:rPr>
        <w:t>организацијом</w:t>
      </w:r>
      <w:r w:rsidR="00297DC7" w:rsidRPr="00C3379B">
        <w:rPr>
          <w:rFonts w:ascii="Times New Roman" w:hAnsi="Times New Roman"/>
          <w:lang w:val="bs-Latn-BA"/>
        </w:rPr>
        <w:t xml:space="preserve"> </w:t>
      </w:r>
      <w:r w:rsidR="00297DC7" w:rsidRPr="00C3379B">
        <w:rPr>
          <w:rFonts w:ascii="Times New Roman" w:hAnsi="Times New Roman"/>
          <w:i/>
          <w:iCs/>
          <w:lang w:val="bs-Latn-BA"/>
        </w:rPr>
        <w:t>„</w:t>
      </w:r>
      <w:r w:rsidR="007550FB" w:rsidRPr="007550FB">
        <w:rPr>
          <w:rFonts w:ascii="Times New Roman" w:hAnsi="Times New Roman"/>
          <w:i/>
          <w:iCs/>
          <w:lang w:val="bs-Latn-BA"/>
        </w:rPr>
        <w:t>MYRight</w:t>
      </w:r>
      <w:r w:rsidR="00297DC7" w:rsidRPr="00C3379B">
        <w:rPr>
          <w:rFonts w:ascii="Times New Roman" w:hAnsi="Times New Roman"/>
          <w:lang w:val="bs-Latn-BA"/>
        </w:rPr>
        <w:t xml:space="preserve">“ </w:t>
      </w:r>
      <w:r>
        <w:rPr>
          <w:rFonts w:ascii="Times New Roman" w:hAnsi="Times New Roman"/>
          <w:lang w:val="bs-Latn-BA"/>
        </w:rPr>
        <w:t>кроз</w:t>
      </w:r>
      <w:r w:rsidR="00297DC7" w:rsidRPr="00C3379B">
        <w:rPr>
          <w:rFonts w:ascii="Times New Roman" w:hAnsi="Times New Roman"/>
          <w:lang w:val="bs-Latn-BA"/>
        </w:rPr>
        <w:t xml:space="preserve"> </w:t>
      </w:r>
      <w:r>
        <w:rPr>
          <w:rFonts w:ascii="Times New Roman" w:hAnsi="Times New Roman"/>
          <w:lang w:val="bs-Latn-BA"/>
        </w:rPr>
        <w:t>учешће</w:t>
      </w:r>
      <w:r w:rsidR="004B269F" w:rsidRPr="00C3379B">
        <w:rPr>
          <w:rFonts w:ascii="Times New Roman" w:hAnsi="Times New Roman"/>
          <w:lang w:val="bs-Latn-BA"/>
        </w:rPr>
        <w:t xml:space="preserve"> </w:t>
      </w:r>
      <w:r>
        <w:rPr>
          <w:rFonts w:ascii="Times New Roman" w:hAnsi="Times New Roman"/>
          <w:lang w:val="bs-Latn-BA"/>
        </w:rPr>
        <w:t>на</w:t>
      </w:r>
      <w:r w:rsidR="004B269F" w:rsidRPr="00C3379B">
        <w:rPr>
          <w:rFonts w:ascii="Times New Roman" w:hAnsi="Times New Roman"/>
          <w:lang w:val="bs-Latn-BA"/>
        </w:rPr>
        <w:t xml:space="preserve"> </w:t>
      </w:r>
      <w:r>
        <w:rPr>
          <w:rFonts w:ascii="Times New Roman" w:hAnsi="Times New Roman"/>
          <w:lang w:val="bs-Latn-BA"/>
        </w:rPr>
        <w:t>конференцији</w:t>
      </w:r>
      <w:r w:rsidR="004B269F" w:rsidRPr="00C3379B">
        <w:rPr>
          <w:rFonts w:ascii="Times New Roman" w:hAnsi="Times New Roman"/>
          <w:lang w:val="bs-Latn-BA"/>
        </w:rPr>
        <w:t xml:space="preserve"> „</w:t>
      </w:r>
      <w:r>
        <w:rPr>
          <w:rFonts w:ascii="Times New Roman" w:hAnsi="Times New Roman"/>
          <w:lang w:val="bs-Latn-BA"/>
        </w:rPr>
        <w:t>Жене</w:t>
      </w:r>
      <w:r w:rsidR="00297DC7" w:rsidRPr="00C3379B">
        <w:rPr>
          <w:rFonts w:ascii="Times New Roman" w:hAnsi="Times New Roman"/>
          <w:lang w:val="bs-Latn-BA"/>
        </w:rPr>
        <w:t xml:space="preserve"> </w:t>
      </w:r>
      <w:r>
        <w:rPr>
          <w:rFonts w:ascii="Times New Roman" w:hAnsi="Times New Roman"/>
          <w:lang w:val="bs-Latn-BA"/>
        </w:rPr>
        <w:t>са</w:t>
      </w:r>
      <w:r w:rsidR="00297DC7" w:rsidRPr="00C3379B">
        <w:rPr>
          <w:rFonts w:ascii="Times New Roman" w:hAnsi="Times New Roman"/>
          <w:lang w:val="bs-Latn-BA"/>
        </w:rPr>
        <w:t xml:space="preserve"> </w:t>
      </w:r>
      <w:r>
        <w:rPr>
          <w:rFonts w:ascii="Times New Roman" w:hAnsi="Times New Roman"/>
          <w:lang w:val="bs-Latn-BA"/>
        </w:rPr>
        <w:t>инвалидитетом</w:t>
      </w:r>
      <w:r w:rsidR="004B269F" w:rsidRPr="00C3379B">
        <w:rPr>
          <w:rFonts w:ascii="Times New Roman" w:hAnsi="Times New Roman"/>
          <w:lang w:val="bs-Latn-BA"/>
        </w:rPr>
        <w:t xml:space="preserve"> </w:t>
      </w:r>
      <w:r>
        <w:rPr>
          <w:rFonts w:ascii="Times New Roman" w:hAnsi="Times New Roman"/>
          <w:lang w:val="bs-Latn-BA"/>
        </w:rPr>
        <w:t>и</w:t>
      </w:r>
      <w:r w:rsidR="004B269F" w:rsidRPr="00C3379B">
        <w:rPr>
          <w:rFonts w:ascii="Times New Roman" w:hAnsi="Times New Roman"/>
          <w:lang w:val="bs-Latn-BA"/>
        </w:rPr>
        <w:t xml:space="preserve"> </w:t>
      </w:r>
      <w:r>
        <w:rPr>
          <w:rFonts w:ascii="Times New Roman" w:hAnsi="Times New Roman"/>
          <w:lang w:val="bs-Latn-BA"/>
        </w:rPr>
        <w:t>родна</w:t>
      </w:r>
      <w:r w:rsidR="004B269F" w:rsidRPr="00C3379B">
        <w:rPr>
          <w:rFonts w:ascii="Times New Roman" w:hAnsi="Times New Roman"/>
          <w:lang w:val="bs-Latn-BA"/>
        </w:rPr>
        <w:t xml:space="preserve"> </w:t>
      </w:r>
      <w:r>
        <w:rPr>
          <w:rFonts w:ascii="Times New Roman" w:hAnsi="Times New Roman"/>
          <w:lang w:val="bs-Latn-BA"/>
        </w:rPr>
        <w:t>равноправност</w:t>
      </w:r>
      <w:r w:rsidR="004B269F" w:rsidRPr="00C3379B">
        <w:rPr>
          <w:rFonts w:ascii="Times New Roman" w:hAnsi="Times New Roman"/>
          <w:lang w:val="bs-Latn-BA"/>
        </w:rPr>
        <w:t xml:space="preserve">“, </w:t>
      </w:r>
      <w:r>
        <w:rPr>
          <w:rFonts w:ascii="Times New Roman" w:hAnsi="Times New Roman"/>
          <w:lang w:val="bs-Latn-BA"/>
        </w:rPr>
        <w:t>те</w:t>
      </w:r>
      <w:r w:rsidR="004B269F" w:rsidRPr="00C3379B">
        <w:rPr>
          <w:rFonts w:ascii="Times New Roman" w:hAnsi="Times New Roman"/>
          <w:lang w:val="bs-Latn-BA"/>
        </w:rPr>
        <w:t xml:space="preserve"> </w:t>
      </w:r>
      <w:r>
        <w:rPr>
          <w:rFonts w:ascii="Times New Roman" w:hAnsi="Times New Roman"/>
          <w:lang w:val="bs-Latn-BA"/>
        </w:rPr>
        <w:t>са</w:t>
      </w:r>
      <w:r w:rsidR="00297DC7" w:rsidRPr="00C3379B">
        <w:rPr>
          <w:rFonts w:ascii="Times New Roman" w:hAnsi="Times New Roman"/>
          <w:lang w:val="bs-Latn-BA"/>
        </w:rPr>
        <w:t xml:space="preserve"> </w:t>
      </w:r>
      <w:r>
        <w:rPr>
          <w:rFonts w:ascii="Times New Roman" w:hAnsi="Times New Roman"/>
          <w:lang w:val="bs-Latn-BA"/>
        </w:rPr>
        <w:t>Координаци</w:t>
      </w:r>
      <w:r w:rsidR="007550FB">
        <w:rPr>
          <w:rFonts w:ascii="Times New Roman" w:hAnsi="Times New Roman"/>
          <w:lang w:val="sr-Cyrl-BA"/>
        </w:rPr>
        <w:t>оним</w:t>
      </w:r>
      <w:r w:rsidR="00297DC7" w:rsidRPr="00C3379B">
        <w:rPr>
          <w:rFonts w:ascii="Times New Roman" w:hAnsi="Times New Roman"/>
          <w:lang w:val="bs-Latn-BA"/>
        </w:rPr>
        <w:t xml:space="preserve"> </w:t>
      </w:r>
      <w:r>
        <w:rPr>
          <w:rFonts w:ascii="Times New Roman" w:hAnsi="Times New Roman"/>
          <w:lang w:val="bs-Latn-BA"/>
        </w:rPr>
        <w:t>одбором</w:t>
      </w:r>
      <w:r w:rsidR="00297DC7" w:rsidRPr="00C3379B">
        <w:rPr>
          <w:rFonts w:ascii="Times New Roman" w:hAnsi="Times New Roman"/>
          <w:lang w:val="bs-Latn-BA"/>
        </w:rPr>
        <w:t xml:space="preserve"> </w:t>
      </w:r>
      <w:r>
        <w:rPr>
          <w:rFonts w:ascii="Times New Roman" w:hAnsi="Times New Roman"/>
          <w:lang w:val="bs-Latn-BA"/>
        </w:rPr>
        <w:t>удружења</w:t>
      </w:r>
      <w:r w:rsidR="00297DC7" w:rsidRPr="00C3379B">
        <w:rPr>
          <w:rFonts w:ascii="Times New Roman" w:hAnsi="Times New Roman"/>
          <w:lang w:val="bs-Latn-BA"/>
        </w:rPr>
        <w:t xml:space="preserve"> </w:t>
      </w:r>
      <w:r>
        <w:rPr>
          <w:rFonts w:ascii="Times New Roman" w:hAnsi="Times New Roman"/>
          <w:lang w:val="bs-Latn-BA"/>
        </w:rPr>
        <w:t>лица</w:t>
      </w:r>
      <w:r w:rsidR="004B269F" w:rsidRPr="00C3379B">
        <w:rPr>
          <w:rFonts w:ascii="Times New Roman" w:hAnsi="Times New Roman"/>
          <w:lang w:val="bs-Latn-BA"/>
        </w:rPr>
        <w:t xml:space="preserve"> </w:t>
      </w:r>
      <w:r>
        <w:rPr>
          <w:rFonts w:ascii="Times New Roman" w:hAnsi="Times New Roman"/>
          <w:lang w:val="bs-Latn-BA"/>
        </w:rPr>
        <w:t>са</w:t>
      </w:r>
      <w:r w:rsidR="00297DC7" w:rsidRPr="00C3379B">
        <w:rPr>
          <w:rFonts w:ascii="Times New Roman" w:hAnsi="Times New Roman"/>
          <w:lang w:val="bs-Latn-BA"/>
        </w:rPr>
        <w:t xml:space="preserve"> </w:t>
      </w:r>
      <w:r>
        <w:rPr>
          <w:rFonts w:ascii="Times New Roman" w:hAnsi="Times New Roman"/>
          <w:lang w:val="bs-Latn-BA"/>
        </w:rPr>
        <w:t>инвалидитетом</w:t>
      </w:r>
      <w:r w:rsidR="00297DC7" w:rsidRPr="00C3379B">
        <w:rPr>
          <w:rFonts w:ascii="Times New Roman" w:hAnsi="Times New Roman"/>
          <w:lang w:val="bs-Latn-BA"/>
        </w:rPr>
        <w:t xml:space="preserve"> </w:t>
      </w:r>
      <w:r>
        <w:rPr>
          <w:rFonts w:ascii="Times New Roman" w:hAnsi="Times New Roman"/>
          <w:lang w:val="bs-Latn-BA"/>
        </w:rPr>
        <w:t>КС</w:t>
      </w:r>
      <w:r w:rsidR="00297DC7" w:rsidRPr="00C3379B">
        <w:rPr>
          <w:rFonts w:ascii="Times New Roman" w:hAnsi="Times New Roman"/>
          <w:lang w:val="bs-Latn-BA"/>
        </w:rPr>
        <w:t xml:space="preserve"> </w:t>
      </w:r>
      <w:r>
        <w:rPr>
          <w:rFonts w:ascii="Times New Roman" w:hAnsi="Times New Roman"/>
          <w:lang w:val="bs-Latn-BA"/>
        </w:rPr>
        <w:t>на</w:t>
      </w:r>
      <w:r w:rsidR="00297DC7" w:rsidRPr="00C3379B">
        <w:rPr>
          <w:rFonts w:ascii="Times New Roman" w:hAnsi="Times New Roman"/>
          <w:lang w:val="bs-Latn-BA"/>
        </w:rPr>
        <w:t xml:space="preserve"> </w:t>
      </w:r>
      <w:r>
        <w:rPr>
          <w:rFonts w:ascii="Times New Roman" w:hAnsi="Times New Roman"/>
          <w:lang w:val="bs-Latn-BA"/>
        </w:rPr>
        <w:t>округлом</w:t>
      </w:r>
      <w:r w:rsidR="00297DC7" w:rsidRPr="00C3379B">
        <w:rPr>
          <w:rFonts w:ascii="Times New Roman" w:hAnsi="Times New Roman"/>
          <w:lang w:val="bs-Latn-BA"/>
        </w:rPr>
        <w:t xml:space="preserve"> </w:t>
      </w:r>
      <w:r>
        <w:rPr>
          <w:rFonts w:ascii="Times New Roman" w:hAnsi="Times New Roman"/>
          <w:lang w:val="bs-Latn-BA"/>
        </w:rPr>
        <w:t>столу</w:t>
      </w:r>
      <w:r w:rsidR="00297DC7" w:rsidRPr="00C3379B">
        <w:rPr>
          <w:rFonts w:ascii="Times New Roman" w:hAnsi="Times New Roman"/>
          <w:lang w:val="bs-Latn-BA"/>
        </w:rPr>
        <w:t xml:space="preserve"> </w:t>
      </w:r>
      <w:r>
        <w:rPr>
          <w:rFonts w:ascii="Times New Roman" w:hAnsi="Times New Roman"/>
          <w:lang w:val="bs-Latn-BA"/>
        </w:rPr>
        <w:t>на</w:t>
      </w:r>
      <w:r w:rsidR="00297DC7" w:rsidRPr="00C3379B">
        <w:rPr>
          <w:rFonts w:ascii="Times New Roman" w:hAnsi="Times New Roman"/>
          <w:lang w:val="bs-Latn-BA"/>
        </w:rPr>
        <w:t xml:space="preserve"> </w:t>
      </w:r>
      <w:r>
        <w:rPr>
          <w:rFonts w:ascii="Times New Roman" w:hAnsi="Times New Roman"/>
          <w:lang w:val="bs-Latn-BA"/>
        </w:rPr>
        <w:t>тему</w:t>
      </w:r>
      <w:r w:rsidR="00297DC7" w:rsidRPr="00C3379B">
        <w:rPr>
          <w:rFonts w:ascii="Times New Roman" w:hAnsi="Times New Roman"/>
          <w:lang w:val="bs-Latn-BA"/>
        </w:rPr>
        <w:t xml:space="preserve"> “</w:t>
      </w:r>
      <w:r>
        <w:rPr>
          <w:rFonts w:ascii="Times New Roman" w:hAnsi="Times New Roman"/>
          <w:lang w:val="bs-Latn-BA"/>
        </w:rPr>
        <w:t>Насиље</w:t>
      </w:r>
      <w:r w:rsidR="00297DC7" w:rsidRPr="00C3379B">
        <w:rPr>
          <w:rFonts w:ascii="Times New Roman" w:hAnsi="Times New Roman"/>
          <w:lang w:val="bs-Latn-BA"/>
        </w:rPr>
        <w:t xml:space="preserve"> </w:t>
      </w:r>
      <w:r>
        <w:rPr>
          <w:rFonts w:ascii="Times New Roman" w:hAnsi="Times New Roman"/>
          <w:lang w:val="bs-Latn-BA"/>
        </w:rPr>
        <w:t>над</w:t>
      </w:r>
      <w:r w:rsidR="00297DC7" w:rsidRPr="00C3379B">
        <w:rPr>
          <w:rFonts w:ascii="Times New Roman" w:hAnsi="Times New Roman"/>
          <w:lang w:val="bs-Latn-BA"/>
        </w:rPr>
        <w:t xml:space="preserve"> </w:t>
      </w:r>
      <w:r>
        <w:rPr>
          <w:rFonts w:ascii="Times New Roman" w:hAnsi="Times New Roman"/>
          <w:lang w:val="bs-Latn-BA"/>
        </w:rPr>
        <w:t>женама</w:t>
      </w:r>
      <w:r w:rsidR="00297DC7" w:rsidRPr="00C3379B">
        <w:rPr>
          <w:rFonts w:ascii="Times New Roman" w:hAnsi="Times New Roman"/>
          <w:lang w:val="bs-Latn-BA"/>
        </w:rPr>
        <w:t xml:space="preserve"> </w:t>
      </w:r>
      <w:r>
        <w:rPr>
          <w:rFonts w:ascii="Times New Roman" w:hAnsi="Times New Roman"/>
          <w:lang w:val="bs-Latn-BA"/>
        </w:rPr>
        <w:t>са</w:t>
      </w:r>
      <w:r w:rsidR="00297DC7" w:rsidRPr="00C3379B">
        <w:rPr>
          <w:rFonts w:ascii="Times New Roman" w:hAnsi="Times New Roman"/>
          <w:lang w:val="bs-Latn-BA"/>
        </w:rPr>
        <w:t xml:space="preserve"> </w:t>
      </w:r>
      <w:r>
        <w:rPr>
          <w:rFonts w:ascii="Times New Roman" w:hAnsi="Times New Roman"/>
          <w:lang w:val="bs-Latn-BA"/>
        </w:rPr>
        <w:t>инвалидитетом</w:t>
      </w:r>
      <w:r w:rsidR="00297DC7" w:rsidRPr="00C3379B">
        <w:rPr>
          <w:rFonts w:ascii="Times New Roman" w:hAnsi="Times New Roman"/>
          <w:lang w:val="bs-Latn-BA"/>
        </w:rPr>
        <w:t>“</w:t>
      </w:r>
      <w:r w:rsidR="004F563D" w:rsidRPr="00C3379B">
        <w:rPr>
          <w:rFonts w:ascii="Times New Roman" w:hAnsi="Times New Roman"/>
          <w:lang w:val="bs-Latn-BA"/>
        </w:rPr>
        <w:t xml:space="preserve">, </w:t>
      </w:r>
      <w:r>
        <w:rPr>
          <w:rFonts w:ascii="Times New Roman" w:hAnsi="Times New Roman"/>
          <w:lang w:val="bs-Latn-BA"/>
        </w:rPr>
        <w:t>одржаном</w:t>
      </w:r>
      <w:r w:rsidR="004F563D" w:rsidRPr="00C3379B">
        <w:rPr>
          <w:rFonts w:ascii="Times New Roman" w:hAnsi="Times New Roman"/>
          <w:lang w:val="bs-Latn-BA"/>
        </w:rPr>
        <w:t xml:space="preserve"> </w:t>
      </w:r>
      <w:r>
        <w:rPr>
          <w:rFonts w:ascii="Times New Roman" w:hAnsi="Times New Roman"/>
          <w:lang w:val="bs-Latn-BA"/>
        </w:rPr>
        <w:t>у</w:t>
      </w:r>
      <w:r w:rsidR="004F563D" w:rsidRPr="00C3379B">
        <w:rPr>
          <w:rFonts w:ascii="Times New Roman" w:hAnsi="Times New Roman"/>
          <w:lang w:val="bs-Latn-BA"/>
        </w:rPr>
        <w:t xml:space="preserve"> </w:t>
      </w:r>
      <w:r>
        <w:rPr>
          <w:rFonts w:ascii="Times New Roman" w:hAnsi="Times New Roman"/>
          <w:lang w:val="bs-Latn-BA"/>
        </w:rPr>
        <w:t>октобру</w:t>
      </w:r>
      <w:r w:rsidR="004F563D" w:rsidRPr="00C3379B">
        <w:rPr>
          <w:rFonts w:ascii="Times New Roman" w:hAnsi="Times New Roman"/>
          <w:lang w:val="bs-Latn-BA"/>
        </w:rPr>
        <w:t xml:space="preserve"> 2024</w:t>
      </w:r>
      <w:r w:rsidR="00297DC7" w:rsidRPr="00C3379B">
        <w:rPr>
          <w:rFonts w:ascii="Times New Roman" w:hAnsi="Times New Roman"/>
          <w:lang w:val="bs-Latn-BA"/>
        </w:rPr>
        <w:t>.</w:t>
      </w:r>
      <w:r w:rsidR="002D1DC8" w:rsidRPr="00C3379B">
        <w:rPr>
          <w:rFonts w:ascii="Times New Roman" w:hAnsi="Times New Roman"/>
          <w:lang w:val="bs-Latn-BA"/>
        </w:rPr>
        <w:t xml:space="preserve"> </w:t>
      </w:r>
      <w:r>
        <w:rPr>
          <w:rFonts w:ascii="Times New Roman" w:hAnsi="Times New Roman"/>
          <w:lang w:val="bs-Latn-BA"/>
        </w:rPr>
        <w:t>Поред</w:t>
      </w:r>
      <w:r w:rsidR="002D1DC8" w:rsidRPr="00C3379B">
        <w:rPr>
          <w:rFonts w:ascii="Times New Roman" w:hAnsi="Times New Roman"/>
          <w:lang w:val="bs-Latn-BA"/>
        </w:rPr>
        <w:t xml:space="preserve"> </w:t>
      </w:r>
      <w:r>
        <w:rPr>
          <w:rFonts w:ascii="Times New Roman" w:hAnsi="Times New Roman"/>
          <w:lang w:val="bs-Latn-BA"/>
        </w:rPr>
        <w:t>тога</w:t>
      </w:r>
      <w:r w:rsidR="002D1DC8" w:rsidRPr="00C3379B">
        <w:rPr>
          <w:rFonts w:ascii="Times New Roman" w:hAnsi="Times New Roman"/>
          <w:lang w:val="bs-Latn-BA"/>
        </w:rPr>
        <w:t xml:space="preserve">, </w:t>
      </w:r>
      <w:r>
        <w:rPr>
          <w:rFonts w:ascii="Times New Roman" w:hAnsi="Times New Roman"/>
          <w:lang w:val="bs-Latn-BA"/>
        </w:rPr>
        <w:t>у</w:t>
      </w:r>
      <w:r w:rsidR="002D1DC8" w:rsidRPr="00C3379B">
        <w:rPr>
          <w:rFonts w:ascii="Times New Roman" w:hAnsi="Times New Roman"/>
          <w:lang w:val="bs-Latn-BA"/>
        </w:rPr>
        <w:t xml:space="preserve"> </w:t>
      </w:r>
      <w:r>
        <w:rPr>
          <w:rFonts w:ascii="Times New Roman" w:hAnsi="Times New Roman"/>
          <w:lang w:val="bs-Latn-BA"/>
        </w:rPr>
        <w:t>више</w:t>
      </w:r>
      <w:r w:rsidR="002D1DC8" w:rsidRPr="00C3379B">
        <w:rPr>
          <w:rFonts w:ascii="Times New Roman" w:hAnsi="Times New Roman"/>
          <w:lang w:val="bs-Latn-BA"/>
        </w:rPr>
        <w:t xml:space="preserve"> </w:t>
      </w:r>
      <w:r>
        <w:rPr>
          <w:rFonts w:ascii="Times New Roman" w:hAnsi="Times New Roman"/>
          <w:lang w:val="bs-Latn-BA"/>
        </w:rPr>
        <w:t>наврата</w:t>
      </w:r>
      <w:r w:rsidR="002D1DC8" w:rsidRPr="00C3379B">
        <w:rPr>
          <w:rFonts w:ascii="Times New Roman" w:hAnsi="Times New Roman"/>
          <w:lang w:val="bs-Latn-BA"/>
        </w:rPr>
        <w:t xml:space="preserve"> </w:t>
      </w:r>
      <w:r>
        <w:rPr>
          <w:rFonts w:ascii="Times New Roman" w:hAnsi="Times New Roman"/>
          <w:lang w:val="bs-Latn-BA"/>
        </w:rPr>
        <w:t>су</w:t>
      </w:r>
      <w:r w:rsidR="002D1DC8" w:rsidRPr="00C3379B">
        <w:rPr>
          <w:rFonts w:ascii="Times New Roman" w:hAnsi="Times New Roman"/>
          <w:lang w:val="bs-Latn-BA"/>
        </w:rPr>
        <w:t xml:space="preserve"> </w:t>
      </w:r>
      <w:r>
        <w:rPr>
          <w:rFonts w:ascii="Times New Roman" w:hAnsi="Times New Roman"/>
          <w:lang w:val="bs-Latn-BA"/>
        </w:rPr>
        <w:t>достављане</w:t>
      </w:r>
      <w:r w:rsidR="002D1DC8" w:rsidRPr="00C3379B">
        <w:rPr>
          <w:rFonts w:ascii="Times New Roman" w:hAnsi="Times New Roman"/>
          <w:lang w:val="bs-Latn-BA"/>
        </w:rPr>
        <w:t xml:space="preserve"> </w:t>
      </w:r>
      <w:r>
        <w:rPr>
          <w:rFonts w:ascii="Times New Roman" w:hAnsi="Times New Roman"/>
          <w:lang w:val="bs-Latn-BA"/>
        </w:rPr>
        <w:t>информације</w:t>
      </w:r>
      <w:r w:rsidR="002D1DC8" w:rsidRPr="00C3379B">
        <w:rPr>
          <w:rFonts w:ascii="Times New Roman" w:hAnsi="Times New Roman"/>
          <w:lang w:val="bs-Latn-BA"/>
        </w:rPr>
        <w:t xml:space="preserve"> </w:t>
      </w:r>
      <w:r>
        <w:rPr>
          <w:rFonts w:ascii="Times New Roman" w:hAnsi="Times New Roman"/>
          <w:lang w:val="bs-Latn-BA"/>
        </w:rPr>
        <w:t>за</w:t>
      </w:r>
      <w:r w:rsidR="002D1DC8" w:rsidRPr="00C3379B">
        <w:rPr>
          <w:rFonts w:ascii="Times New Roman" w:hAnsi="Times New Roman"/>
          <w:lang w:val="bs-Latn-BA"/>
        </w:rPr>
        <w:t xml:space="preserve"> </w:t>
      </w:r>
      <w:r>
        <w:rPr>
          <w:rFonts w:ascii="Times New Roman" w:hAnsi="Times New Roman"/>
          <w:lang w:val="bs-Latn-BA"/>
        </w:rPr>
        <w:t>израду</w:t>
      </w:r>
      <w:r w:rsidR="002D1DC8" w:rsidRPr="00C3379B">
        <w:rPr>
          <w:rFonts w:ascii="Times New Roman" w:hAnsi="Times New Roman"/>
          <w:lang w:val="bs-Latn-BA"/>
        </w:rPr>
        <w:t xml:space="preserve"> </w:t>
      </w:r>
      <w:r>
        <w:rPr>
          <w:rFonts w:ascii="Times New Roman" w:hAnsi="Times New Roman"/>
          <w:lang w:val="bs-Latn-BA"/>
        </w:rPr>
        <w:t>различитих</w:t>
      </w:r>
      <w:r w:rsidR="002D1DC8" w:rsidRPr="00C3379B">
        <w:rPr>
          <w:rFonts w:ascii="Times New Roman" w:hAnsi="Times New Roman"/>
          <w:lang w:val="bs-Latn-BA"/>
        </w:rPr>
        <w:t xml:space="preserve"> </w:t>
      </w:r>
      <w:r>
        <w:rPr>
          <w:rFonts w:ascii="Times New Roman" w:hAnsi="Times New Roman"/>
          <w:lang w:val="bs-Latn-BA"/>
        </w:rPr>
        <w:t>докумената</w:t>
      </w:r>
      <w:r w:rsidR="002D1DC8" w:rsidRPr="00C3379B">
        <w:rPr>
          <w:rFonts w:ascii="Times New Roman" w:hAnsi="Times New Roman"/>
          <w:lang w:val="bs-Latn-BA"/>
        </w:rPr>
        <w:t xml:space="preserve">, </w:t>
      </w:r>
      <w:r>
        <w:rPr>
          <w:rFonts w:ascii="Times New Roman" w:hAnsi="Times New Roman"/>
          <w:lang w:val="bs-Latn-BA"/>
        </w:rPr>
        <w:t>анализа</w:t>
      </w:r>
      <w:r w:rsidR="002D1DC8" w:rsidRPr="00C3379B">
        <w:rPr>
          <w:rFonts w:ascii="Times New Roman" w:hAnsi="Times New Roman"/>
          <w:lang w:val="bs-Latn-BA"/>
        </w:rPr>
        <w:t xml:space="preserve"> </w:t>
      </w:r>
      <w:r>
        <w:rPr>
          <w:rFonts w:ascii="Times New Roman" w:hAnsi="Times New Roman"/>
          <w:lang w:val="bs-Latn-BA"/>
        </w:rPr>
        <w:t>и</w:t>
      </w:r>
      <w:r w:rsidR="002D1DC8" w:rsidRPr="00C3379B">
        <w:rPr>
          <w:rFonts w:ascii="Times New Roman" w:hAnsi="Times New Roman"/>
          <w:lang w:val="bs-Latn-BA"/>
        </w:rPr>
        <w:t xml:space="preserve"> </w:t>
      </w:r>
      <w:r>
        <w:rPr>
          <w:rFonts w:ascii="Times New Roman" w:hAnsi="Times New Roman"/>
          <w:lang w:val="bs-Latn-BA"/>
        </w:rPr>
        <w:t>публикација</w:t>
      </w:r>
      <w:r w:rsidR="002D1DC8" w:rsidRPr="00C3379B">
        <w:rPr>
          <w:rFonts w:ascii="Times New Roman" w:hAnsi="Times New Roman"/>
          <w:lang w:val="bs-Latn-BA"/>
        </w:rPr>
        <w:t xml:space="preserve"> </w:t>
      </w:r>
      <w:r>
        <w:rPr>
          <w:rFonts w:ascii="Times New Roman" w:hAnsi="Times New Roman"/>
          <w:lang w:val="bs-Latn-BA"/>
        </w:rPr>
        <w:t>невладиног</w:t>
      </w:r>
      <w:r w:rsidR="002D1DC8" w:rsidRPr="00C3379B">
        <w:rPr>
          <w:rFonts w:ascii="Times New Roman" w:hAnsi="Times New Roman"/>
          <w:lang w:val="bs-Latn-BA"/>
        </w:rPr>
        <w:t xml:space="preserve"> </w:t>
      </w:r>
      <w:r>
        <w:rPr>
          <w:rFonts w:ascii="Times New Roman" w:hAnsi="Times New Roman"/>
          <w:lang w:val="bs-Latn-BA"/>
        </w:rPr>
        <w:t>сектора</w:t>
      </w:r>
      <w:r w:rsidR="003E3698" w:rsidRPr="00C3379B">
        <w:rPr>
          <w:rFonts w:ascii="Times New Roman" w:hAnsi="Times New Roman"/>
          <w:lang w:val="bs-Latn-BA"/>
        </w:rPr>
        <w:t>,</w:t>
      </w:r>
      <w:r w:rsidR="002D1DC8" w:rsidRPr="00C3379B">
        <w:rPr>
          <w:rFonts w:ascii="Times New Roman" w:hAnsi="Times New Roman"/>
          <w:lang w:val="bs-Latn-BA"/>
        </w:rPr>
        <w:t xml:space="preserve"> </w:t>
      </w:r>
      <w:r>
        <w:rPr>
          <w:rFonts w:ascii="Times New Roman" w:hAnsi="Times New Roman"/>
          <w:lang w:val="bs-Latn-BA"/>
        </w:rPr>
        <w:t>као</w:t>
      </w:r>
      <w:r w:rsidR="002D1DC8" w:rsidRPr="00C3379B">
        <w:rPr>
          <w:rFonts w:ascii="Times New Roman" w:hAnsi="Times New Roman"/>
          <w:lang w:val="bs-Latn-BA"/>
        </w:rPr>
        <w:t xml:space="preserve"> </w:t>
      </w:r>
      <w:r>
        <w:rPr>
          <w:rFonts w:ascii="Times New Roman" w:hAnsi="Times New Roman"/>
          <w:lang w:val="bs-Latn-BA"/>
        </w:rPr>
        <w:t>што</w:t>
      </w:r>
      <w:r w:rsidR="002D1DC8" w:rsidRPr="00C3379B">
        <w:rPr>
          <w:rFonts w:ascii="Times New Roman" w:hAnsi="Times New Roman"/>
          <w:lang w:val="bs-Latn-BA"/>
        </w:rPr>
        <w:t xml:space="preserve"> </w:t>
      </w:r>
      <w:r>
        <w:rPr>
          <w:rFonts w:ascii="Times New Roman" w:hAnsi="Times New Roman"/>
          <w:lang w:val="bs-Latn-BA"/>
        </w:rPr>
        <w:t>су</w:t>
      </w:r>
      <w:r w:rsidR="002D1DC8" w:rsidRPr="00C3379B">
        <w:rPr>
          <w:rFonts w:ascii="Times New Roman" w:hAnsi="Times New Roman"/>
          <w:lang w:val="bs-Latn-BA"/>
        </w:rPr>
        <w:t xml:space="preserve"> </w:t>
      </w:r>
      <w:r>
        <w:rPr>
          <w:rFonts w:ascii="Times New Roman" w:hAnsi="Times New Roman"/>
          <w:lang w:val="bs-Latn-BA"/>
        </w:rPr>
        <w:t>Наранџасти</w:t>
      </w:r>
      <w:r w:rsidR="002D1DC8" w:rsidRPr="00C3379B">
        <w:rPr>
          <w:rFonts w:ascii="Times New Roman" w:hAnsi="Times New Roman"/>
          <w:lang w:val="bs-Latn-BA"/>
        </w:rPr>
        <w:t xml:space="preserve"> </w:t>
      </w:r>
      <w:r>
        <w:rPr>
          <w:rFonts w:ascii="Times New Roman" w:hAnsi="Times New Roman"/>
          <w:lang w:val="bs-Latn-BA"/>
        </w:rPr>
        <w:t>и</w:t>
      </w:r>
      <w:r w:rsidR="002D1DC8" w:rsidRPr="00C3379B">
        <w:rPr>
          <w:rFonts w:ascii="Times New Roman" w:hAnsi="Times New Roman"/>
          <w:lang w:val="bs-Latn-BA"/>
        </w:rPr>
        <w:t xml:space="preserve"> </w:t>
      </w:r>
      <w:r>
        <w:rPr>
          <w:rFonts w:ascii="Times New Roman" w:hAnsi="Times New Roman"/>
          <w:lang w:val="bs-Latn-BA"/>
        </w:rPr>
        <w:t>Розе</w:t>
      </w:r>
      <w:r w:rsidR="002D1DC8" w:rsidRPr="00C3379B">
        <w:rPr>
          <w:rFonts w:ascii="Times New Roman" w:hAnsi="Times New Roman"/>
          <w:lang w:val="bs-Latn-BA"/>
        </w:rPr>
        <w:t xml:space="preserve"> </w:t>
      </w:r>
      <w:r>
        <w:rPr>
          <w:rFonts w:ascii="Times New Roman" w:hAnsi="Times New Roman"/>
          <w:lang w:val="bs-Latn-BA"/>
        </w:rPr>
        <w:t>извјештај</w:t>
      </w:r>
      <w:r w:rsidR="004B269F" w:rsidRPr="00C3379B">
        <w:rPr>
          <w:rFonts w:ascii="Times New Roman" w:hAnsi="Times New Roman"/>
          <w:lang w:val="bs-Latn-BA"/>
        </w:rPr>
        <w:t xml:space="preserve"> </w:t>
      </w:r>
      <w:r>
        <w:rPr>
          <w:rFonts w:ascii="Times New Roman" w:hAnsi="Times New Roman"/>
          <w:lang w:val="bs-Latn-BA"/>
        </w:rPr>
        <w:t>и</w:t>
      </w:r>
      <w:r w:rsidR="004B269F" w:rsidRPr="00C3379B">
        <w:rPr>
          <w:rFonts w:ascii="Times New Roman" w:hAnsi="Times New Roman"/>
          <w:lang w:val="bs-Latn-BA"/>
        </w:rPr>
        <w:t xml:space="preserve"> </w:t>
      </w:r>
      <w:r>
        <w:rPr>
          <w:rFonts w:ascii="Times New Roman" w:hAnsi="Times New Roman"/>
          <w:lang w:val="bs-Latn-BA"/>
        </w:rPr>
        <w:t>одржавани</w:t>
      </w:r>
      <w:r w:rsidR="004B269F" w:rsidRPr="00C3379B">
        <w:rPr>
          <w:rFonts w:ascii="Times New Roman" w:hAnsi="Times New Roman"/>
          <w:lang w:val="bs-Latn-BA"/>
        </w:rPr>
        <w:t xml:space="preserve"> </w:t>
      </w:r>
      <w:r>
        <w:rPr>
          <w:rFonts w:ascii="Times New Roman" w:hAnsi="Times New Roman"/>
          <w:lang w:val="bs-Latn-BA"/>
        </w:rPr>
        <w:t>су</w:t>
      </w:r>
      <w:r w:rsidR="004B269F" w:rsidRPr="00C3379B">
        <w:rPr>
          <w:rFonts w:ascii="Times New Roman" w:hAnsi="Times New Roman"/>
          <w:lang w:val="bs-Latn-BA"/>
        </w:rPr>
        <w:t xml:space="preserve"> </w:t>
      </w:r>
      <w:r>
        <w:rPr>
          <w:rFonts w:ascii="Times New Roman" w:hAnsi="Times New Roman"/>
          <w:lang w:val="bs-Latn-BA"/>
        </w:rPr>
        <w:t>састанци</w:t>
      </w:r>
      <w:r w:rsidR="004B269F" w:rsidRPr="00C3379B">
        <w:rPr>
          <w:rFonts w:ascii="Times New Roman" w:hAnsi="Times New Roman"/>
          <w:lang w:val="bs-Latn-BA"/>
        </w:rPr>
        <w:t xml:space="preserve"> </w:t>
      </w:r>
      <w:r>
        <w:rPr>
          <w:rFonts w:ascii="Times New Roman" w:hAnsi="Times New Roman"/>
          <w:lang w:val="bs-Latn-BA"/>
        </w:rPr>
        <w:t>са</w:t>
      </w:r>
      <w:r w:rsidR="00DC4A18">
        <w:rPr>
          <w:rFonts w:ascii="Times New Roman" w:hAnsi="Times New Roman"/>
          <w:lang w:val="bs-Latn-BA"/>
        </w:rPr>
        <w:t xml:space="preserve"> </w:t>
      </w:r>
      <w:r>
        <w:rPr>
          <w:rFonts w:ascii="Times New Roman" w:hAnsi="Times New Roman"/>
          <w:lang w:val="bs-Latn-BA"/>
        </w:rPr>
        <w:t>НВО</w:t>
      </w:r>
      <w:r w:rsidR="00DC4A18">
        <w:rPr>
          <w:rFonts w:ascii="Times New Roman" w:hAnsi="Times New Roman"/>
          <w:lang w:val="bs-Latn-BA"/>
        </w:rPr>
        <w:t xml:space="preserve"> </w:t>
      </w:r>
      <w:r>
        <w:rPr>
          <w:rFonts w:ascii="Times New Roman" w:hAnsi="Times New Roman"/>
          <w:lang w:val="bs-Latn-BA"/>
        </w:rPr>
        <w:t>као</w:t>
      </w:r>
      <w:r w:rsidR="00DC4A18">
        <w:rPr>
          <w:rFonts w:ascii="Times New Roman" w:hAnsi="Times New Roman"/>
          <w:lang w:val="bs-Latn-BA"/>
        </w:rPr>
        <w:t xml:space="preserve"> </w:t>
      </w:r>
      <w:r>
        <w:rPr>
          <w:rFonts w:ascii="Times New Roman" w:hAnsi="Times New Roman"/>
          <w:lang w:val="bs-Latn-BA"/>
        </w:rPr>
        <w:t>што</w:t>
      </w:r>
      <w:r w:rsidR="00DC4A18">
        <w:rPr>
          <w:rFonts w:ascii="Times New Roman" w:hAnsi="Times New Roman"/>
          <w:lang w:val="bs-Latn-BA"/>
        </w:rPr>
        <w:t xml:space="preserve"> </w:t>
      </w:r>
      <w:r>
        <w:rPr>
          <w:rFonts w:ascii="Times New Roman" w:hAnsi="Times New Roman"/>
          <w:lang w:val="bs-Latn-BA"/>
        </w:rPr>
        <w:t>су</w:t>
      </w:r>
      <w:r w:rsidR="00DC4A18">
        <w:rPr>
          <w:rFonts w:ascii="Times New Roman" w:hAnsi="Times New Roman"/>
          <w:lang w:val="bs-Latn-BA"/>
        </w:rPr>
        <w:t xml:space="preserve"> “</w:t>
      </w:r>
      <w:r>
        <w:rPr>
          <w:rFonts w:ascii="Times New Roman" w:hAnsi="Times New Roman"/>
          <w:lang w:val="bs-Latn-BA"/>
        </w:rPr>
        <w:t>Нахла</w:t>
      </w:r>
      <w:r w:rsidR="00DC4A18">
        <w:rPr>
          <w:rFonts w:ascii="Times New Roman" w:hAnsi="Times New Roman"/>
          <w:lang w:val="bs-Latn-BA"/>
        </w:rPr>
        <w:t>“,</w:t>
      </w:r>
      <w:r w:rsidR="002D1DC8" w:rsidRPr="00C3379B">
        <w:rPr>
          <w:rFonts w:ascii="Times New Roman" w:hAnsi="Times New Roman"/>
          <w:lang w:val="bs-Latn-BA"/>
        </w:rPr>
        <w:t xml:space="preserve"> „</w:t>
      </w:r>
      <w:r w:rsidR="007550FB" w:rsidRPr="007550FB">
        <w:rPr>
          <w:rFonts w:ascii="Times New Roman" w:hAnsi="Times New Roman"/>
          <w:i/>
          <w:lang w:val="sr-Cyrl-BA"/>
        </w:rPr>
        <w:t>Infohouse</w:t>
      </w:r>
      <w:r w:rsidR="002D1DC8" w:rsidRPr="00C3379B">
        <w:rPr>
          <w:rFonts w:ascii="Times New Roman" w:hAnsi="Times New Roman"/>
          <w:lang w:val="bs-Latn-BA"/>
        </w:rPr>
        <w:t>“</w:t>
      </w:r>
      <w:r w:rsidR="002D1DC8" w:rsidRPr="00C3379B">
        <w:rPr>
          <w:rFonts w:ascii="Times New Roman" w:hAnsi="Times New Roman"/>
          <w:lang w:val="sr-Cyrl-BA"/>
        </w:rPr>
        <w:t xml:space="preserve"> </w:t>
      </w:r>
      <w:r>
        <w:rPr>
          <w:rFonts w:ascii="Times New Roman" w:hAnsi="Times New Roman"/>
          <w:lang w:val="sr-Cyrl-BA"/>
        </w:rPr>
        <w:t>и</w:t>
      </w:r>
      <w:r w:rsidR="002D1DC8" w:rsidRPr="00C3379B">
        <w:rPr>
          <w:rFonts w:ascii="Times New Roman" w:hAnsi="Times New Roman"/>
          <w:lang w:val="sr-Cyrl-BA"/>
        </w:rPr>
        <w:t xml:space="preserve"> </w:t>
      </w:r>
      <w:r w:rsidR="002D1DC8" w:rsidRPr="00C3379B">
        <w:rPr>
          <w:rFonts w:ascii="Times New Roman" w:hAnsi="Times New Roman"/>
          <w:lang w:val="bs-Latn-BA"/>
        </w:rPr>
        <w:t>„</w:t>
      </w:r>
      <w:r>
        <w:rPr>
          <w:rFonts w:ascii="Times New Roman" w:hAnsi="Times New Roman"/>
          <w:lang w:val="sr-Cyrl-BA"/>
        </w:rPr>
        <w:t>Хелсиншки</w:t>
      </w:r>
      <w:r w:rsidR="002D1DC8" w:rsidRPr="00C3379B">
        <w:rPr>
          <w:rFonts w:ascii="Times New Roman" w:hAnsi="Times New Roman"/>
          <w:lang w:val="sr-Cyrl-BA"/>
        </w:rPr>
        <w:t xml:space="preserve"> </w:t>
      </w:r>
      <w:r>
        <w:rPr>
          <w:rFonts w:ascii="Times New Roman" w:hAnsi="Times New Roman"/>
          <w:lang w:val="sr-Cyrl-BA"/>
        </w:rPr>
        <w:t>парламент</w:t>
      </w:r>
      <w:r w:rsidR="002D1DC8" w:rsidRPr="00C3379B">
        <w:rPr>
          <w:rFonts w:ascii="Times New Roman" w:hAnsi="Times New Roman"/>
          <w:lang w:val="sr-Cyrl-BA"/>
        </w:rPr>
        <w:t xml:space="preserve"> </w:t>
      </w:r>
      <w:r>
        <w:rPr>
          <w:rFonts w:ascii="Times New Roman" w:hAnsi="Times New Roman"/>
          <w:lang w:val="sr-Cyrl-BA"/>
        </w:rPr>
        <w:t>грађана</w:t>
      </w:r>
      <w:r w:rsidR="002D1DC8" w:rsidRPr="00C3379B">
        <w:rPr>
          <w:rFonts w:ascii="Times New Roman" w:hAnsi="Times New Roman"/>
          <w:lang w:val="bs-Latn-BA"/>
        </w:rPr>
        <w:t xml:space="preserve">“ </w:t>
      </w:r>
      <w:r>
        <w:rPr>
          <w:rFonts w:ascii="Times New Roman" w:hAnsi="Times New Roman"/>
          <w:lang w:val="bs-Latn-BA"/>
        </w:rPr>
        <w:t>и</w:t>
      </w:r>
      <w:r w:rsidR="002D1DC8" w:rsidRPr="00C3379B">
        <w:rPr>
          <w:rFonts w:ascii="Times New Roman" w:hAnsi="Times New Roman"/>
          <w:lang w:val="bs-Latn-BA"/>
        </w:rPr>
        <w:t xml:space="preserve"> </w:t>
      </w:r>
      <w:r w:rsidR="007550FB">
        <w:rPr>
          <w:rFonts w:ascii="Times New Roman" w:hAnsi="Times New Roman"/>
          <w:lang w:val="sr-Cyrl-BA"/>
        </w:rPr>
        <w:t>спроведен</w:t>
      </w:r>
      <w:r w:rsidR="002D1DC8" w:rsidRPr="00C3379B">
        <w:rPr>
          <w:rFonts w:ascii="Times New Roman" w:hAnsi="Times New Roman"/>
          <w:lang w:val="sr-Cyrl-BA"/>
        </w:rPr>
        <w:t xml:space="preserve"> </w:t>
      </w:r>
      <w:r>
        <w:rPr>
          <w:rFonts w:ascii="Times New Roman" w:hAnsi="Times New Roman"/>
          <w:lang w:val="sr-Cyrl-BA"/>
        </w:rPr>
        <w:t>пројек</w:t>
      </w:r>
      <w:r>
        <w:rPr>
          <w:rFonts w:ascii="Times New Roman" w:hAnsi="Times New Roman"/>
          <w:lang w:val="hr-HR"/>
        </w:rPr>
        <w:t>ат</w:t>
      </w:r>
      <w:r w:rsidR="002D1DC8" w:rsidRPr="00C3379B">
        <w:rPr>
          <w:rFonts w:ascii="Times New Roman" w:hAnsi="Times New Roman"/>
          <w:lang w:val="sr-Cyrl-BA"/>
        </w:rPr>
        <w:t xml:space="preserve"> “</w:t>
      </w:r>
      <w:r>
        <w:rPr>
          <w:rFonts w:ascii="Times New Roman" w:hAnsi="Times New Roman"/>
          <w:lang w:val="sr-Cyrl-BA"/>
        </w:rPr>
        <w:t>Јачање</w:t>
      </w:r>
      <w:r w:rsidR="002D1DC8" w:rsidRPr="00C3379B">
        <w:rPr>
          <w:rFonts w:ascii="Times New Roman" w:hAnsi="Times New Roman"/>
          <w:lang w:val="sr-Cyrl-BA"/>
        </w:rPr>
        <w:t xml:space="preserve"> </w:t>
      </w:r>
      <w:r>
        <w:rPr>
          <w:rFonts w:ascii="Times New Roman" w:hAnsi="Times New Roman"/>
          <w:lang w:val="sr-Cyrl-BA"/>
        </w:rPr>
        <w:t>заштите</w:t>
      </w:r>
      <w:r w:rsidR="002D1DC8" w:rsidRPr="00C3379B">
        <w:rPr>
          <w:rFonts w:ascii="Times New Roman" w:hAnsi="Times New Roman"/>
          <w:lang w:val="sr-Cyrl-BA"/>
        </w:rPr>
        <w:t xml:space="preserve"> </w:t>
      </w:r>
      <w:r>
        <w:rPr>
          <w:rFonts w:ascii="Times New Roman" w:hAnsi="Times New Roman"/>
          <w:lang w:val="sr-Cyrl-BA"/>
        </w:rPr>
        <w:t>људских</w:t>
      </w:r>
      <w:r w:rsidR="002D1DC8" w:rsidRPr="00C3379B">
        <w:rPr>
          <w:rFonts w:ascii="Times New Roman" w:hAnsi="Times New Roman"/>
          <w:lang w:val="sr-Cyrl-BA"/>
        </w:rPr>
        <w:t xml:space="preserve"> </w:t>
      </w:r>
      <w:r>
        <w:rPr>
          <w:rFonts w:ascii="Times New Roman" w:hAnsi="Times New Roman"/>
          <w:lang w:val="sr-Cyrl-BA"/>
        </w:rPr>
        <w:t>права</w:t>
      </w:r>
      <w:r w:rsidR="002D1DC8" w:rsidRPr="00C3379B">
        <w:rPr>
          <w:rFonts w:ascii="Times New Roman" w:hAnsi="Times New Roman"/>
          <w:lang w:val="sr-Cyrl-BA"/>
        </w:rPr>
        <w:t xml:space="preserve"> </w:t>
      </w:r>
      <w:r>
        <w:rPr>
          <w:rFonts w:ascii="Times New Roman" w:hAnsi="Times New Roman"/>
          <w:lang w:val="sr-Cyrl-BA"/>
        </w:rPr>
        <w:t>у</w:t>
      </w:r>
      <w:r w:rsidR="002D1DC8" w:rsidRPr="00C3379B">
        <w:rPr>
          <w:rFonts w:ascii="Times New Roman" w:hAnsi="Times New Roman"/>
          <w:lang w:val="sr-Cyrl-BA"/>
        </w:rPr>
        <w:t xml:space="preserve"> </w:t>
      </w:r>
      <w:r>
        <w:rPr>
          <w:rFonts w:ascii="Times New Roman" w:hAnsi="Times New Roman"/>
          <w:lang w:val="sr-Cyrl-BA"/>
        </w:rPr>
        <w:t>активностима</w:t>
      </w:r>
      <w:r w:rsidR="002D1DC8" w:rsidRPr="00C3379B">
        <w:rPr>
          <w:rFonts w:ascii="Times New Roman" w:hAnsi="Times New Roman"/>
          <w:lang w:val="sr-Cyrl-BA"/>
        </w:rPr>
        <w:t xml:space="preserve"> </w:t>
      </w:r>
      <w:r>
        <w:rPr>
          <w:rFonts w:ascii="Times New Roman" w:hAnsi="Times New Roman"/>
          <w:lang w:val="sr-Cyrl-BA"/>
        </w:rPr>
        <w:t>бизнис</w:t>
      </w:r>
      <w:r w:rsidR="002D1DC8" w:rsidRPr="00C3379B">
        <w:rPr>
          <w:rFonts w:ascii="Times New Roman" w:hAnsi="Times New Roman"/>
          <w:lang w:val="sr-Cyrl-BA"/>
        </w:rPr>
        <w:t xml:space="preserve"> </w:t>
      </w:r>
      <w:r>
        <w:rPr>
          <w:rFonts w:ascii="Times New Roman" w:hAnsi="Times New Roman"/>
          <w:lang w:val="sr-Cyrl-BA"/>
        </w:rPr>
        <w:t>сектора</w:t>
      </w:r>
      <w:r w:rsidR="002D1DC8" w:rsidRPr="00C3379B">
        <w:rPr>
          <w:rFonts w:ascii="Times New Roman" w:hAnsi="Times New Roman"/>
          <w:lang w:val="sr-Cyrl-BA"/>
        </w:rPr>
        <w:t xml:space="preserve"> </w:t>
      </w:r>
      <w:r>
        <w:rPr>
          <w:rFonts w:ascii="Times New Roman" w:hAnsi="Times New Roman"/>
          <w:lang w:val="sr-Cyrl-BA"/>
        </w:rPr>
        <w:t>у</w:t>
      </w:r>
      <w:r w:rsidR="002D1DC8" w:rsidRPr="00C3379B">
        <w:rPr>
          <w:rFonts w:ascii="Times New Roman" w:hAnsi="Times New Roman"/>
          <w:lang w:val="sr-Cyrl-BA"/>
        </w:rPr>
        <w:t xml:space="preserve"> </w:t>
      </w:r>
      <w:r>
        <w:rPr>
          <w:rFonts w:ascii="Times New Roman" w:hAnsi="Times New Roman"/>
          <w:lang w:val="sr-Cyrl-BA"/>
        </w:rPr>
        <w:t>БиХ</w:t>
      </w:r>
      <w:r w:rsidR="002D1DC8" w:rsidRPr="00C3379B">
        <w:rPr>
          <w:rFonts w:ascii="Times New Roman" w:hAnsi="Times New Roman"/>
          <w:lang w:val="sr-Cyrl-BA"/>
        </w:rPr>
        <w:t>”</w:t>
      </w:r>
      <w:r w:rsidR="002D1DC8" w:rsidRPr="00C3379B">
        <w:rPr>
          <w:rFonts w:ascii="Times New Roman" w:hAnsi="Times New Roman"/>
          <w:lang w:val="bs-Latn-BA"/>
        </w:rPr>
        <w:t>.</w:t>
      </w:r>
    </w:p>
    <w:p w:rsidR="00945592" w:rsidRDefault="00945592" w:rsidP="0086268D">
      <w:pPr>
        <w:pStyle w:val="Normal1"/>
        <w:jc w:val="both"/>
        <w:rPr>
          <w:rFonts w:ascii="Times New Roman" w:hAnsi="Times New Roman"/>
          <w:lang w:val="bs-Latn-BA"/>
        </w:rPr>
      </w:pPr>
    </w:p>
    <w:p w:rsidR="00242B43" w:rsidRPr="00295637" w:rsidRDefault="00C6214E" w:rsidP="0086268D">
      <w:pPr>
        <w:pStyle w:val="Normal1"/>
        <w:jc w:val="both"/>
        <w:rPr>
          <w:rFonts w:ascii="Times New Roman" w:hAnsi="Times New Roman"/>
        </w:rPr>
      </w:pPr>
      <w:r>
        <w:rPr>
          <w:rFonts w:ascii="Times New Roman" w:hAnsi="Times New Roman"/>
          <w:lang w:val="bs-Latn-BA"/>
        </w:rPr>
        <w:t>Када</w:t>
      </w:r>
      <w:r w:rsidR="00EE56B8" w:rsidRPr="00295637">
        <w:rPr>
          <w:rFonts w:ascii="Times New Roman" w:hAnsi="Times New Roman"/>
          <w:lang w:val="bs-Latn-BA"/>
        </w:rPr>
        <w:t xml:space="preserve"> </w:t>
      </w:r>
      <w:r>
        <w:rPr>
          <w:rFonts w:ascii="Times New Roman" w:hAnsi="Times New Roman"/>
          <w:lang w:val="bs-Latn-BA"/>
        </w:rPr>
        <w:t>је</w:t>
      </w:r>
      <w:r w:rsidR="00EE56B8" w:rsidRPr="00295637">
        <w:rPr>
          <w:rFonts w:ascii="Times New Roman" w:hAnsi="Times New Roman"/>
          <w:lang w:val="bs-Latn-BA"/>
        </w:rPr>
        <w:t xml:space="preserve"> </w:t>
      </w:r>
      <w:r>
        <w:rPr>
          <w:rFonts w:ascii="Times New Roman" w:hAnsi="Times New Roman"/>
          <w:lang w:val="bs-Latn-BA"/>
        </w:rPr>
        <w:t>у</w:t>
      </w:r>
      <w:r w:rsidR="00EE56B8" w:rsidRPr="00295637">
        <w:rPr>
          <w:rFonts w:ascii="Times New Roman" w:hAnsi="Times New Roman"/>
          <w:lang w:val="bs-Latn-BA"/>
        </w:rPr>
        <w:t xml:space="preserve"> </w:t>
      </w:r>
      <w:r>
        <w:rPr>
          <w:rFonts w:ascii="Times New Roman" w:hAnsi="Times New Roman"/>
          <w:lang w:val="bs-Latn-BA"/>
        </w:rPr>
        <w:t>питању</w:t>
      </w:r>
      <w:r w:rsidR="00EE56B8" w:rsidRPr="00295637">
        <w:rPr>
          <w:rFonts w:ascii="Times New Roman" w:hAnsi="Times New Roman"/>
          <w:lang w:val="bs-Latn-BA"/>
        </w:rPr>
        <w:t xml:space="preserve"> </w:t>
      </w:r>
      <w:r>
        <w:rPr>
          <w:rFonts w:ascii="Times New Roman" w:hAnsi="Times New Roman"/>
          <w:lang w:val="bs-Latn-BA"/>
        </w:rPr>
        <w:t>унапређење</w:t>
      </w:r>
      <w:r w:rsidR="00EE56B8" w:rsidRPr="00295637">
        <w:rPr>
          <w:rFonts w:ascii="Times New Roman" w:hAnsi="Times New Roman"/>
          <w:lang w:val="bs-Latn-BA"/>
        </w:rPr>
        <w:t xml:space="preserve"> </w:t>
      </w:r>
      <w:r>
        <w:rPr>
          <w:rFonts w:ascii="Times New Roman" w:hAnsi="Times New Roman"/>
          <w:lang w:val="bs-Latn-BA"/>
        </w:rPr>
        <w:t>уставних</w:t>
      </w:r>
      <w:r w:rsidR="00EE56B8" w:rsidRPr="00295637">
        <w:rPr>
          <w:rFonts w:ascii="Times New Roman" w:hAnsi="Times New Roman"/>
          <w:lang w:val="bs-Latn-BA"/>
        </w:rPr>
        <w:t xml:space="preserve"> </w:t>
      </w:r>
      <w:r>
        <w:rPr>
          <w:rFonts w:ascii="Times New Roman" w:hAnsi="Times New Roman"/>
          <w:lang w:val="bs-Latn-BA"/>
        </w:rPr>
        <w:t>рјешења</w:t>
      </w:r>
      <w:r w:rsidR="00EE56B8" w:rsidRPr="00295637">
        <w:rPr>
          <w:rFonts w:ascii="Times New Roman" w:hAnsi="Times New Roman"/>
          <w:lang w:val="bs-Latn-BA"/>
        </w:rPr>
        <w:t xml:space="preserve"> </w:t>
      </w:r>
      <w:r>
        <w:rPr>
          <w:rFonts w:ascii="Times New Roman" w:hAnsi="Times New Roman"/>
          <w:lang w:val="bs-Latn-BA"/>
        </w:rPr>
        <w:t>у</w:t>
      </w:r>
      <w:r w:rsidR="00EE56B8" w:rsidRPr="00295637">
        <w:rPr>
          <w:rFonts w:ascii="Times New Roman" w:hAnsi="Times New Roman"/>
          <w:lang w:val="bs-Latn-BA"/>
        </w:rPr>
        <w:t xml:space="preserve"> </w:t>
      </w:r>
      <w:r>
        <w:rPr>
          <w:rFonts w:ascii="Times New Roman" w:hAnsi="Times New Roman"/>
          <w:lang w:val="bs-Latn-BA"/>
        </w:rPr>
        <w:t>области</w:t>
      </w:r>
      <w:r w:rsidR="00EE56B8" w:rsidRPr="00295637">
        <w:rPr>
          <w:rFonts w:ascii="Times New Roman" w:hAnsi="Times New Roman"/>
          <w:lang w:val="bs-Latn-BA"/>
        </w:rPr>
        <w:t xml:space="preserve"> </w:t>
      </w:r>
      <w:r>
        <w:rPr>
          <w:rFonts w:ascii="Times New Roman" w:hAnsi="Times New Roman"/>
          <w:lang w:val="bs-Latn-BA"/>
        </w:rPr>
        <w:t>равноправности</w:t>
      </w:r>
      <w:r w:rsidR="00EE56B8" w:rsidRPr="00295637">
        <w:rPr>
          <w:rFonts w:ascii="Times New Roman" w:hAnsi="Times New Roman"/>
          <w:lang w:val="bs-Latn-BA"/>
        </w:rPr>
        <w:t xml:space="preserve"> </w:t>
      </w:r>
      <w:r>
        <w:rPr>
          <w:rFonts w:ascii="Times New Roman" w:hAnsi="Times New Roman"/>
          <w:lang w:val="bs-Latn-BA"/>
        </w:rPr>
        <w:t>полова</w:t>
      </w:r>
      <w:r w:rsidR="00297DC7" w:rsidRPr="00295637">
        <w:rPr>
          <w:rFonts w:ascii="Times New Roman" w:hAnsi="Times New Roman"/>
          <w:lang w:val="bs-Latn-BA"/>
        </w:rPr>
        <w:t>.</w:t>
      </w:r>
      <w:r w:rsidR="00EE56B8" w:rsidRPr="00295637">
        <w:rPr>
          <w:rFonts w:ascii="Times New Roman" w:hAnsi="Times New Roman"/>
          <w:lang w:val="bs-Latn-BA"/>
        </w:rPr>
        <w:t xml:space="preserve"> </w:t>
      </w:r>
      <w:r>
        <w:rPr>
          <w:rFonts w:ascii="Times New Roman" w:hAnsi="Times New Roman"/>
        </w:rPr>
        <w:t>АР</w:t>
      </w:r>
      <w:r w:rsidR="007550FB">
        <w:rPr>
          <w:rFonts w:ascii="Times New Roman" w:hAnsi="Times New Roman"/>
          <w:lang w:val="sr-Cyrl-BA"/>
        </w:rPr>
        <w:t>П</w:t>
      </w:r>
      <w:r w:rsidR="004B269F">
        <w:rPr>
          <w:rFonts w:ascii="Times New Roman" w:hAnsi="Times New Roman"/>
        </w:rPr>
        <w:t xml:space="preserve"> </w:t>
      </w:r>
      <w:r>
        <w:rPr>
          <w:rFonts w:ascii="Times New Roman" w:hAnsi="Times New Roman"/>
        </w:rPr>
        <w:t>БиХ</w:t>
      </w:r>
      <w:r w:rsidR="004B269F">
        <w:rPr>
          <w:rFonts w:ascii="Times New Roman" w:hAnsi="Times New Roman"/>
        </w:rPr>
        <w:t xml:space="preserve"> </w:t>
      </w:r>
      <w:r>
        <w:rPr>
          <w:rFonts w:ascii="Times New Roman" w:hAnsi="Times New Roman"/>
        </w:rPr>
        <w:t>МЉПИ</w:t>
      </w:r>
      <w:r w:rsidR="004B269F">
        <w:rPr>
          <w:rFonts w:ascii="Times New Roman" w:hAnsi="Times New Roman"/>
        </w:rPr>
        <w:t xml:space="preserve"> </w:t>
      </w:r>
      <w:r>
        <w:rPr>
          <w:rFonts w:ascii="Times New Roman" w:hAnsi="Times New Roman"/>
        </w:rPr>
        <w:t>БиХ</w:t>
      </w:r>
      <w:r w:rsidR="00297DC7" w:rsidRPr="00295637">
        <w:rPr>
          <w:rFonts w:ascii="Times New Roman" w:hAnsi="Times New Roman"/>
        </w:rPr>
        <w:t xml:space="preserve"> </w:t>
      </w:r>
      <w:r>
        <w:rPr>
          <w:rFonts w:ascii="Times New Roman" w:hAnsi="Times New Roman"/>
        </w:rPr>
        <w:t>и</w:t>
      </w:r>
      <w:r w:rsidR="00297DC7" w:rsidRPr="00295637">
        <w:rPr>
          <w:rFonts w:ascii="Times New Roman" w:hAnsi="Times New Roman"/>
        </w:rPr>
        <w:t xml:space="preserve"> </w:t>
      </w:r>
      <w:r>
        <w:rPr>
          <w:rFonts w:ascii="Times New Roman" w:hAnsi="Times New Roman"/>
          <w:lang w:val="bs-Latn-BA"/>
        </w:rPr>
        <w:t>ГЦ</w:t>
      </w:r>
      <w:r w:rsidR="004B269F">
        <w:rPr>
          <w:rFonts w:ascii="Times New Roman" w:hAnsi="Times New Roman"/>
          <w:lang w:val="bs-Latn-BA"/>
        </w:rPr>
        <w:t xml:space="preserve"> </w:t>
      </w:r>
      <w:r>
        <w:rPr>
          <w:rFonts w:ascii="Times New Roman" w:hAnsi="Times New Roman"/>
          <w:lang w:val="bs-Latn-BA"/>
        </w:rPr>
        <w:t>ФБиХ</w:t>
      </w:r>
      <w:r w:rsidR="00297DC7" w:rsidRPr="00295637">
        <w:rPr>
          <w:rFonts w:ascii="Times New Roman" w:hAnsi="Times New Roman"/>
          <w:lang w:val="bs-Latn-BA"/>
        </w:rPr>
        <w:t xml:space="preserve"> </w:t>
      </w:r>
      <w:r>
        <w:rPr>
          <w:rFonts w:ascii="Times New Roman" w:hAnsi="Times New Roman"/>
          <w:lang w:val="bs-Latn-BA"/>
        </w:rPr>
        <w:t>су</w:t>
      </w:r>
      <w:r w:rsidR="004B269F" w:rsidRPr="00295637">
        <w:rPr>
          <w:rFonts w:ascii="Times New Roman" w:hAnsi="Times New Roman"/>
        </w:rPr>
        <w:t xml:space="preserve"> </w:t>
      </w:r>
      <w:r w:rsidR="00241CCB">
        <w:rPr>
          <w:rFonts w:ascii="Times New Roman" w:hAnsi="Times New Roman"/>
        </w:rPr>
        <w:t>остварили</w:t>
      </w:r>
      <w:r w:rsidR="00241CCB" w:rsidRPr="00295637">
        <w:rPr>
          <w:rFonts w:ascii="Times New Roman" w:hAnsi="Times New Roman"/>
        </w:rPr>
        <w:t xml:space="preserve"> </w:t>
      </w:r>
      <w:r>
        <w:rPr>
          <w:rFonts w:ascii="Times New Roman" w:hAnsi="Times New Roman"/>
        </w:rPr>
        <w:t>сарадњу</w:t>
      </w:r>
      <w:r w:rsidR="004B269F">
        <w:rPr>
          <w:rFonts w:ascii="Times New Roman" w:hAnsi="Times New Roman"/>
        </w:rPr>
        <w:t xml:space="preserve"> </w:t>
      </w:r>
      <w:r>
        <w:rPr>
          <w:rFonts w:ascii="Times New Roman" w:hAnsi="Times New Roman"/>
        </w:rPr>
        <w:t>са</w:t>
      </w:r>
      <w:r w:rsidR="00297DC7" w:rsidRPr="00295637">
        <w:rPr>
          <w:rFonts w:ascii="Times New Roman" w:hAnsi="Times New Roman"/>
        </w:rPr>
        <w:t xml:space="preserve"> </w:t>
      </w:r>
      <w:r>
        <w:rPr>
          <w:rFonts w:ascii="Times New Roman" w:hAnsi="Times New Roman"/>
        </w:rPr>
        <w:t>представницама</w:t>
      </w:r>
      <w:r w:rsidR="00297DC7" w:rsidRPr="00295637">
        <w:rPr>
          <w:rFonts w:ascii="Times New Roman" w:hAnsi="Times New Roman"/>
        </w:rPr>
        <w:t xml:space="preserve"> </w:t>
      </w:r>
      <w:r>
        <w:rPr>
          <w:rFonts w:ascii="Times New Roman" w:hAnsi="Times New Roman"/>
        </w:rPr>
        <w:t>Иницијативе</w:t>
      </w:r>
      <w:r w:rsidR="00297DC7" w:rsidRPr="00295637">
        <w:rPr>
          <w:rFonts w:ascii="Times New Roman" w:hAnsi="Times New Roman"/>
        </w:rPr>
        <w:t xml:space="preserve"> </w:t>
      </w:r>
      <w:r w:rsidR="00EC48AC">
        <w:rPr>
          <w:rFonts w:ascii="Times New Roman" w:hAnsi="Times New Roman"/>
        </w:rPr>
        <w:t>„</w:t>
      </w:r>
      <w:r>
        <w:rPr>
          <w:rFonts w:ascii="Times New Roman" w:hAnsi="Times New Roman"/>
        </w:rPr>
        <w:t>Грађанке</w:t>
      </w:r>
      <w:r w:rsidR="00297DC7" w:rsidRPr="00295637">
        <w:rPr>
          <w:rFonts w:ascii="Times New Roman" w:hAnsi="Times New Roman"/>
        </w:rPr>
        <w:t xml:space="preserve"> </w:t>
      </w:r>
      <w:r>
        <w:rPr>
          <w:rFonts w:ascii="Times New Roman" w:hAnsi="Times New Roman"/>
        </w:rPr>
        <w:t>за</w:t>
      </w:r>
      <w:r w:rsidR="00297DC7" w:rsidRPr="00295637">
        <w:rPr>
          <w:rFonts w:ascii="Times New Roman" w:hAnsi="Times New Roman"/>
        </w:rPr>
        <w:t xml:space="preserve"> </w:t>
      </w:r>
      <w:r>
        <w:rPr>
          <w:rFonts w:ascii="Times New Roman" w:hAnsi="Times New Roman"/>
        </w:rPr>
        <w:t>уставне</w:t>
      </w:r>
      <w:r w:rsidR="00297DC7" w:rsidRPr="00295637">
        <w:rPr>
          <w:rFonts w:ascii="Times New Roman" w:hAnsi="Times New Roman"/>
        </w:rPr>
        <w:t xml:space="preserve"> </w:t>
      </w:r>
      <w:r>
        <w:rPr>
          <w:rFonts w:ascii="Times New Roman" w:hAnsi="Times New Roman"/>
        </w:rPr>
        <w:t>промјене</w:t>
      </w:r>
      <w:r w:rsidR="00EC48AC">
        <w:rPr>
          <w:rFonts w:ascii="Times New Roman" w:hAnsi="Times New Roman"/>
        </w:rPr>
        <w:t>“</w:t>
      </w:r>
      <w:r w:rsidR="00297DC7" w:rsidRPr="00295637">
        <w:rPr>
          <w:rFonts w:ascii="Times New Roman" w:hAnsi="Times New Roman"/>
        </w:rPr>
        <w:t xml:space="preserve"> </w:t>
      </w:r>
      <w:r>
        <w:rPr>
          <w:rFonts w:ascii="Times New Roman" w:hAnsi="Times New Roman"/>
        </w:rPr>
        <w:t>када</w:t>
      </w:r>
      <w:r w:rsidR="00297DC7" w:rsidRPr="00295637">
        <w:rPr>
          <w:rFonts w:ascii="Times New Roman" w:hAnsi="Times New Roman"/>
        </w:rPr>
        <w:t xml:space="preserve"> </w:t>
      </w:r>
      <w:r>
        <w:rPr>
          <w:rFonts w:ascii="Times New Roman" w:hAnsi="Times New Roman"/>
        </w:rPr>
        <w:t>су</w:t>
      </w:r>
      <w:r w:rsidR="00297DC7" w:rsidRPr="00295637">
        <w:rPr>
          <w:rFonts w:ascii="Times New Roman" w:hAnsi="Times New Roman"/>
        </w:rPr>
        <w:t xml:space="preserve"> </w:t>
      </w:r>
      <w:r>
        <w:rPr>
          <w:rFonts w:ascii="Times New Roman" w:hAnsi="Times New Roman"/>
        </w:rPr>
        <w:t>у</w:t>
      </w:r>
      <w:r w:rsidR="00297DC7" w:rsidRPr="00295637">
        <w:rPr>
          <w:rFonts w:ascii="Times New Roman" w:hAnsi="Times New Roman"/>
        </w:rPr>
        <w:t xml:space="preserve"> </w:t>
      </w:r>
      <w:r>
        <w:rPr>
          <w:rFonts w:ascii="Times New Roman" w:hAnsi="Times New Roman"/>
        </w:rPr>
        <w:t>питању</w:t>
      </w:r>
      <w:r w:rsidR="00297DC7" w:rsidRPr="00295637">
        <w:rPr>
          <w:rFonts w:ascii="Times New Roman" w:hAnsi="Times New Roman"/>
        </w:rPr>
        <w:t xml:space="preserve"> </w:t>
      </w:r>
      <w:r>
        <w:rPr>
          <w:rFonts w:ascii="Times New Roman" w:hAnsi="Times New Roman"/>
        </w:rPr>
        <w:t>уставне</w:t>
      </w:r>
      <w:r w:rsidR="00297DC7" w:rsidRPr="00295637">
        <w:rPr>
          <w:rFonts w:ascii="Times New Roman" w:hAnsi="Times New Roman"/>
        </w:rPr>
        <w:t xml:space="preserve"> </w:t>
      </w:r>
      <w:r>
        <w:rPr>
          <w:rFonts w:ascii="Times New Roman" w:hAnsi="Times New Roman"/>
        </w:rPr>
        <w:t>промјене</w:t>
      </w:r>
      <w:r w:rsidR="00297DC7" w:rsidRPr="00295637">
        <w:rPr>
          <w:rFonts w:ascii="Times New Roman" w:hAnsi="Times New Roman"/>
        </w:rPr>
        <w:t xml:space="preserve"> </w:t>
      </w:r>
      <w:r>
        <w:rPr>
          <w:rFonts w:ascii="Times New Roman" w:hAnsi="Times New Roman"/>
        </w:rPr>
        <w:t>у</w:t>
      </w:r>
      <w:r w:rsidR="00297DC7" w:rsidRPr="00295637">
        <w:rPr>
          <w:rFonts w:ascii="Times New Roman" w:hAnsi="Times New Roman"/>
        </w:rPr>
        <w:t xml:space="preserve"> </w:t>
      </w:r>
      <w:r>
        <w:rPr>
          <w:rFonts w:ascii="Times New Roman" w:hAnsi="Times New Roman"/>
        </w:rPr>
        <w:t>области</w:t>
      </w:r>
      <w:r w:rsidR="00297DC7" w:rsidRPr="00295637">
        <w:rPr>
          <w:rFonts w:ascii="Times New Roman" w:hAnsi="Times New Roman"/>
        </w:rPr>
        <w:t xml:space="preserve"> </w:t>
      </w:r>
      <w:r>
        <w:rPr>
          <w:rFonts w:ascii="Times New Roman" w:hAnsi="Times New Roman"/>
        </w:rPr>
        <w:t>равноправности</w:t>
      </w:r>
      <w:r w:rsidR="00297DC7" w:rsidRPr="00295637">
        <w:rPr>
          <w:rFonts w:ascii="Times New Roman" w:hAnsi="Times New Roman"/>
        </w:rPr>
        <w:t xml:space="preserve"> </w:t>
      </w:r>
      <w:r>
        <w:rPr>
          <w:rFonts w:ascii="Times New Roman" w:hAnsi="Times New Roman"/>
        </w:rPr>
        <w:t>полова</w:t>
      </w:r>
      <w:r w:rsidR="00297DC7" w:rsidRPr="00295637">
        <w:rPr>
          <w:rFonts w:ascii="Times New Roman" w:hAnsi="Times New Roman"/>
        </w:rPr>
        <w:t xml:space="preserve">, </w:t>
      </w:r>
      <w:r>
        <w:rPr>
          <w:rFonts w:ascii="Times New Roman" w:hAnsi="Times New Roman"/>
        </w:rPr>
        <w:t>поред</w:t>
      </w:r>
      <w:r w:rsidR="00297DC7" w:rsidRPr="00295637">
        <w:rPr>
          <w:rFonts w:ascii="Times New Roman" w:hAnsi="Times New Roman"/>
        </w:rPr>
        <w:t xml:space="preserve"> </w:t>
      </w:r>
      <w:r>
        <w:rPr>
          <w:rFonts w:ascii="Times New Roman" w:hAnsi="Times New Roman"/>
        </w:rPr>
        <w:t>осталог</w:t>
      </w:r>
      <w:r w:rsidR="00297DC7" w:rsidRPr="00295637">
        <w:rPr>
          <w:rFonts w:ascii="Times New Roman" w:hAnsi="Times New Roman"/>
        </w:rPr>
        <w:t xml:space="preserve">, </w:t>
      </w:r>
      <w:r>
        <w:rPr>
          <w:rFonts w:ascii="Times New Roman" w:hAnsi="Times New Roman"/>
        </w:rPr>
        <w:t>кроз</w:t>
      </w:r>
      <w:r w:rsidR="00297DC7" w:rsidRPr="00295637">
        <w:rPr>
          <w:rFonts w:ascii="Times New Roman" w:hAnsi="Times New Roman"/>
        </w:rPr>
        <w:t xml:space="preserve"> </w:t>
      </w:r>
      <w:r>
        <w:rPr>
          <w:rFonts w:ascii="Times New Roman" w:hAnsi="Times New Roman"/>
        </w:rPr>
        <w:t>у</w:t>
      </w:r>
      <w:r w:rsidR="007550FB">
        <w:rPr>
          <w:rFonts w:ascii="Times New Roman" w:hAnsi="Times New Roman"/>
          <w:lang w:val="sr-Cyrl-BA"/>
        </w:rPr>
        <w:t>ч</w:t>
      </w:r>
      <w:r>
        <w:rPr>
          <w:rFonts w:ascii="Times New Roman" w:hAnsi="Times New Roman"/>
        </w:rPr>
        <w:t>ествовање</w:t>
      </w:r>
      <w:r w:rsidR="00297DC7" w:rsidRPr="00295637">
        <w:rPr>
          <w:rFonts w:ascii="Times New Roman" w:hAnsi="Times New Roman"/>
        </w:rPr>
        <w:t xml:space="preserve"> </w:t>
      </w:r>
      <w:r>
        <w:rPr>
          <w:rFonts w:ascii="Times New Roman" w:hAnsi="Times New Roman"/>
          <w:lang w:val="bs-Latn-BA"/>
        </w:rPr>
        <w:t>на</w:t>
      </w:r>
      <w:r w:rsidR="00EE56B8" w:rsidRPr="00295637">
        <w:rPr>
          <w:rFonts w:ascii="Times New Roman" w:hAnsi="Times New Roman"/>
          <w:lang w:val="bs-Latn-BA"/>
        </w:rPr>
        <w:t xml:space="preserve"> </w:t>
      </w:r>
      <w:r>
        <w:rPr>
          <w:rFonts w:ascii="Times New Roman" w:hAnsi="Times New Roman"/>
          <w:lang w:val="bs-Latn-BA"/>
        </w:rPr>
        <w:t>догађајима</w:t>
      </w:r>
      <w:r w:rsidR="00EE56B8" w:rsidRPr="00295637">
        <w:rPr>
          <w:rFonts w:ascii="Times New Roman" w:hAnsi="Times New Roman"/>
          <w:lang w:val="bs-Latn-BA"/>
        </w:rPr>
        <w:t xml:space="preserve"> </w:t>
      </w:r>
      <w:r>
        <w:rPr>
          <w:rFonts w:ascii="Times New Roman" w:hAnsi="Times New Roman"/>
          <w:lang w:val="bs-Latn-BA"/>
        </w:rPr>
        <w:t>на</w:t>
      </w:r>
      <w:r w:rsidR="00EE56B8" w:rsidRPr="00295637">
        <w:rPr>
          <w:rFonts w:ascii="Times New Roman" w:hAnsi="Times New Roman"/>
          <w:lang w:val="bs-Latn-BA"/>
        </w:rPr>
        <w:t xml:space="preserve"> </w:t>
      </w:r>
      <w:r>
        <w:rPr>
          <w:rFonts w:ascii="Times New Roman" w:hAnsi="Times New Roman"/>
          <w:lang w:val="bs-Latn-BA"/>
        </w:rPr>
        <w:t>ову</w:t>
      </w:r>
      <w:r w:rsidR="00EE56B8" w:rsidRPr="00295637">
        <w:rPr>
          <w:rFonts w:ascii="Times New Roman" w:hAnsi="Times New Roman"/>
          <w:lang w:val="bs-Latn-BA"/>
        </w:rPr>
        <w:t xml:space="preserve"> </w:t>
      </w:r>
      <w:r>
        <w:rPr>
          <w:rFonts w:ascii="Times New Roman" w:hAnsi="Times New Roman"/>
          <w:lang w:val="bs-Latn-BA"/>
        </w:rPr>
        <w:t>тему</w:t>
      </w:r>
      <w:r w:rsidR="00297DC7" w:rsidRPr="00295637">
        <w:rPr>
          <w:rFonts w:ascii="Times New Roman" w:hAnsi="Times New Roman"/>
          <w:lang w:val="bs-Latn-BA"/>
        </w:rPr>
        <w:t>,</w:t>
      </w:r>
      <w:r w:rsidR="00EE56B8" w:rsidRPr="00295637">
        <w:rPr>
          <w:rFonts w:ascii="Times New Roman" w:hAnsi="Times New Roman"/>
          <w:lang w:val="bs-Latn-BA"/>
        </w:rPr>
        <w:t xml:space="preserve"> </w:t>
      </w:r>
      <w:r>
        <w:rPr>
          <w:rFonts w:ascii="Times New Roman" w:hAnsi="Times New Roman"/>
          <w:lang w:val="bs-Latn-BA"/>
        </w:rPr>
        <w:t>као</w:t>
      </w:r>
      <w:r w:rsidR="004B269F">
        <w:rPr>
          <w:rFonts w:ascii="Times New Roman" w:hAnsi="Times New Roman"/>
          <w:lang w:val="bs-Latn-BA"/>
        </w:rPr>
        <w:t xml:space="preserve"> </w:t>
      </w:r>
      <w:r>
        <w:rPr>
          <w:rFonts w:ascii="Times New Roman" w:hAnsi="Times New Roman"/>
          <w:lang w:val="bs-Latn-BA"/>
        </w:rPr>
        <w:t>што</w:t>
      </w:r>
      <w:r w:rsidR="004B269F">
        <w:rPr>
          <w:rFonts w:ascii="Times New Roman" w:hAnsi="Times New Roman"/>
          <w:lang w:val="bs-Latn-BA"/>
        </w:rPr>
        <w:t xml:space="preserve"> </w:t>
      </w:r>
      <w:r>
        <w:rPr>
          <w:rFonts w:ascii="Times New Roman" w:hAnsi="Times New Roman"/>
          <w:lang w:val="bs-Latn-BA"/>
        </w:rPr>
        <w:t>је</w:t>
      </w:r>
      <w:r w:rsidR="004B269F">
        <w:rPr>
          <w:rFonts w:ascii="Times New Roman" w:hAnsi="Times New Roman"/>
          <w:lang w:val="bs-Latn-BA"/>
        </w:rPr>
        <w:t xml:space="preserve"> </w:t>
      </w:r>
      <w:r>
        <w:rPr>
          <w:rFonts w:ascii="Times New Roman" w:hAnsi="Times New Roman"/>
          <w:lang w:val="bs-Latn-BA"/>
        </w:rPr>
        <w:t>онл</w:t>
      </w:r>
      <w:r w:rsidR="007550FB">
        <w:rPr>
          <w:rFonts w:ascii="Times New Roman" w:hAnsi="Times New Roman"/>
          <w:lang w:val="bs-Latn-BA"/>
        </w:rPr>
        <w:t>ajn</w:t>
      </w:r>
      <w:r w:rsidR="004B269F">
        <w:rPr>
          <w:rFonts w:ascii="Times New Roman" w:hAnsi="Times New Roman"/>
          <w:lang w:val="bs-Latn-BA"/>
        </w:rPr>
        <w:t xml:space="preserve"> </w:t>
      </w:r>
      <w:r>
        <w:rPr>
          <w:rFonts w:ascii="Times New Roman" w:hAnsi="Times New Roman"/>
          <w:lang w:val="bs-Latn-BA"/>
        </w:rPr>
        <w:t>презентација</w:t>
      </w:r>
      <w:r w:rsidR="004B269F">
        <w:rPr>
          <w:rFonts w:ascii="Times New Roman" w:hAnsi="Times New Roman"/>
          <w:lang w:val="bs-Latn-BA"/>
        </w:rPr>
        <w:t xml:space="preserve"> „</w:t>
      </w:r>
      <w:r>
        <w:rPr>
          <w:rFonts w:ascii="Times New Roman" w:hAnsi="Times New Roman"/>
          <w:lang w:val="bs-Latn-BA"/>
        </w:rPr>
        <w:t>Зашто</w:t>
      </w:r>
      <w:r w:rsidR="00EE56B8" w:rsidRPr="00295637">
        <w:rPr>
          <w:rFonts w:ascii="Times New Roman" w:hAnsi="Times New Roman"/>
          <w:lang w:val="bs-Latn-BA"/>
        </w:rPr>
        <w:t xml:space="preserve"> </w:t>
      </w:r>
      <w:r>
        <w:rPr>
          <w:rFonts w:ascii="Times New Roman" w:hAnsi="Times New Roman"/>
          <w:lang w:val="bs-Latn-BA"/>
        </w:rPr>
        <w:t>нам</w:t>
      </w:r>
      <w:r w:rsidR="00EE56B8" w:rsidRPr="00295637">
        <w:rPr>
          <w:rFonts w:ascii="Times New Roman" w:hAnsi="Times New Roman"/>
          <w:lang w:val="bs-Latn-BA"/>
        </w:rPr>
        <w:t xml:space="preserve"> </w:t>
      </w:r>
      <w:r>
        <w:rPr>
          <w:rFonts w:ascii="Times New Roman" w:hAnsi="Times New Roman"/>
          <w:lang w:val="bs-Latn-BA"/>
        </w:rPr>
        <w:t>је</w:t>
      </w:r>
      <w:r w:rsidR="00EE56B8" w:rsidRPr="00295637">
        <w:rPr>
          <w:rFonts w:ascii="Times New Roman" w:hAnsi="Times New Roman"/>
          <w:lang w:val="bs-Latn-BA"/>
        </w:rPr>
        <w:t xml:space="preserve"> </w:t>
      </w:r>
      <w:r>
        <w:rPr>
          <w:rFonts w:ascii="Times New Roman" w:hAnsi="Times New Roman"/>
          <w:lang w:val="bs-Latn-BA"/>
        </w:rPr>
        <w:t>важно</w:t>
      </w:r>
      <w:r w:rsidR="00EE56B8" w:rsidRPr="00295637">
        <w:rPr>
          <w:rFonts w:ascii="Times New Roman" w:hAnsi="Times New Roman"/>
          <w:lang w:val="bs-Latn-BA"/>
        </w:rPr>
        <w:t xml:space="preserve"> </w:t>
      </w:r>
      <w:r>
        <w:rPr>
          <w:rFonts w:ascii="Times New Roman" w:hAnsi="Times New Roman"/>
          <w:lang w:val="bs-Latn-BA"/>
        </w:rPr>
        <w:t>да</w:t>
      </w:r>
      <w:r w:rsidR="00EE56B8" w:rsidRPr="00295637">
        <w:rPr>
          <w:rFonts w:ascii="Times New Roman" w:hAnsi="Times New Roman"/>
          <w:lang w:val="bs-Latn-BA"/>
        </w:rPr>
        <w:t xml:space="preserve"> </w:t>
      </w:r>
      <w:r>
        <w:rPr>
          <w:rFonts w:ascii="Times New Roman" w:hAnsi="Times New Roman"/>
          <w:lang w:val="bs-Latn-BA"/>
        </w:rPr>
        <w:t>имамо</w:t>
      </w:r>
      <w:r w:rsidR="00EE56B8" w:rsidRPr="00295637">
        <w:rPr>
          <w:rFonts w:ascii="Times New Roman" w:hAnsi="Times New Roman"/>
          <w:lang w:val="bs-Latn-BA"/>
        </w:rPr>
        <w:t xml:space="preserve"> </w:t>
      </w:r>
      <w:r>
        <w:rPr>
          <w:rFonts w:ascii="Times New Roman" w:hAnsi="Times New Roman"/>
          <w:lang w:val="bs-Latn-BA"/>
        </w:rPr>
        <w:t>Наш</w:t>
      </w:r>
      <w:r w:rsidR="00EE56B8" w:rsidRPr="00295637">
        <w:rPr>
          <w:rFonts w:ascii="Times New Roman" w:hAnsi="Times New Roman"/>
          <w:lang w:val="bs-Latn-BA"/>
        </w:rPr>
        <w:t xml:space="preserve"> </w:t>
      </w:r>
      <w:r>
        <w:rPr>
          <w:rFonts w:ascii="Times New Roman" w:hAnsi="Times New Roman"/>
          <w:lang w:val="bs-Latn-BA"/>
        </w:rPr>
        <w:t>Устав</w:t>
      </w:r>
      <w:r w:rsidR="009E54A2" w:rsidRPr="00295637">
        <w:rPr>
          <w:rFonts w:ascii="Times New Roman" w:hAnsi="Times New Roman"/>
          <w:lang w:val="bs-Latn-BA"/>
        </w:rPr>
        <w:t xml:space="preserve"> </w:t>
      </w:r>
      <w:r>
        <w:rPr>
          <w:rFonts w:ascii="Times New Roman" w:hAnsi="Times New Roman"/>
          <w:lang w:val="bs-Latn-BA"/>
        </w:rPr>
        <w:t>БиХ</w:t>
      </w:r>
      <w:r w:rsidR="00EE56B8" w:rsidRPr="00295637">
        <w:rPr>
          <w:rFonts w:ascii="Times New Roman" w:hAnsi="Times New Roman"/>
          <w:lang w:val="bs-Latn-BA"/>
        </w:rPr>
        <w:t xml:space="preserve">?”. </w:t>
      </w:r>
    </w:p>
    <w:p w:rsidR="00465DCF" w:rsidRPr="00295637" w:rsidRDefault="00465DCF" w:rsidP="0086268D">
      <w:pPr>
        <w:jc w:val="both"/>
        <w:rPr>
          <w:rFonts w:ascii="Times New Roman" w:hAnsi="Times New Roman"/>
          <w:lang w:val="bs-Latn-BA"/>
        </w:rPr>
      </w:pPr>
    </w:p>
    <w:p w:rsidR="00E65B96" w:rsidRDefault="00C6214E" w:rsidP="0086268D">
      <w:pPr>
        <w:pStyle w:val="ListParagraph"/>
        <w:ind w:left="0"/>
        <w:jc w:val="both"/>
        <w:rPr>
          <w:rFonts w:ascii="Times New Roman" w:hAnsi="Times New Roman"/>
          <w:lang w:val="sr-Latn-BA"/>
        </w:rPr>
      </w:pP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оквиру</w:t>
      </w:r>
      <w:r w:rsidR="00AA46AB" w:rsidRPr="00295637">
        <w:rPr>
          <w:rFonts w:ascii="Times New Roman" w:hAnsi="Times New Roman"/>
          <w:lang w:val="sr-Latn-BA"/>
        </w:rPr>
        <w:t xml:space="preserve"> </w:t>
      </w:r>
      <w:r>
        <w:rPr>
          <w:rFonts w:ascii="Times New Roman" w:hAnsi="Times New Roman"/>
          <w:lang w:val="sr-Latn-BA"/>
        </w:rPr>
        <w:t>сарадње</w:t>
      </w:r>
      <w:r w:rsidR="00AA46AB" w:rsidRPr="00295637">
        <w:rPr>
          <w:rFonts w:ascii="Times New Roman" w:hAnsi="Times New Roman"/>
          <w:lang w:val="sr-Latn-BA"/>
        </w:rPr>
        <w:t xml:space="preserve"> </w:t>
      </w:r>
      <w:r>
        <w:rPr>
          <w:rFonts w:ascii="Times New Roman" w:hAnsi="Times New Roman"/>
          <w:lang w:val="sr-Latn-BA"/>
        </w:rPr>
        <w:t>са</w:t>
      </w:r>
      <w:r w:rsidR="00AA46AB" w:rsidRPr="00295637">
        <w:rPr>
          <w:rFonts w:ascii="Times New Roman" w:hAnsi="Times New Roman"/>
          <w:lang w:val="sr-Latn-BA"/>
        </w:rPr>
        <w:t xml:space="preserve"> </w:t>
      </w:r>
      <w:r>
        <w:rPr>
          <w:rFonts w:ascii="Times New Roman" w:hAnsi="Times New Roman"/>
          <w:lang w:val="sr-Latn-BA"/>
        </w:rPr>
        <w:t>невладиним</w:t>
      </w:r>
      <w:r w:rsidR="00AA46AB" w:rsidRPr="00295637">
        <w:rPr>
          <w:rFonts w:ascii="Times New Roman" w:hAnsi="Times New Roman"/>
          <w:lang w:val="sr-Latn-BA"/>
        </w:rPr>
        <w:t xml:space="preserve"> </w:t>
      </w:r>
      <w:r>
        <w:rPr>
          <w:rFonts w:ascii="Times New Roman" w:hAnsi="Times New Roman"/>
          <w:lang w:val="sr-Latn-BA"/>
        </w:rPr>
        <w:t>организацијама</w:t>
      </w:r>
      <w:r w:rsidR="00AA46AB" w:rsidRPr="00295637">
        <w:rPr>
          <w:rFonts w:ascii="Times New Roman" w:hAnsi="Times New Roman"/>
          <w:lang w:val="sr-Latn-BA"/>
        </w:rPr>
        <w:t xml:space="preserve">, </w:t>
      </w:r>
      <w:r>
        <w:rPr>
          <w:rFonts w:ascii="Times New Roman" w:hAnsi="Times New Roman"/>
          <w:lang w:val="sr-Latn-BA"/>
        </w:rPr>
        <w:t>ЦЈРП</w:t>
      </w:r>
      <w:r w:rsidR="00AA46AB" w:rsidRPr="00295637">
        <w:rPr>
          <w:rFonts w:ascii="Times New Roman" w:hAnsi="Times New Roman"/>
          <w:lang w:val="sr-Latn-BA"/>
        </w:rPr>
        <w:t xml:space="preserve"> </w:t>
      </w:r>
      <w:r>
        <w:rPr>
          <w:rFonts w:ascii="Times New Roman" w:hAnsi="Times New Roman"/>
          <w:lang w:val="sr-Latn-BA"/>
        </w:rPr>
        <w:t>РС</w:t>
      </w:r>
      <w:r w:rsidR="00AA46AB" w:rsidRPr="00295637">
        <w:rPr>
          <w:rFonts w:ascii="Times New Roman" w:hAnsi="Times New Roman"/>
          <w:lang w:val="sr-Latn-BA"/>
        </w:rPr>
        <w:t xml:space="preserve"> </w:t>
      </w:r>
      <w:r>
        <w:rPr>
          <w:rFonts w:ascii="Times New Roman" w:hAnsi="Times New Roman"/>
          <w:lang w:val="sr-Latn-BA"/>
        </w:rPr>
        <w:t>је</w:t>
      </w:r>
      <w:r w:rsidR="00AA46AB" w:rsidRPr="00295637">
        <w:rPr>
          <w:rFonts w:ascii="Times New Roman" w:hAnsi="Times New Roman"/>
          <w:lang w:val="sr-Latn-BA"/>
        </w:rPr>
        <w:t xml:space="preserve"> </w:t>
      </w: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извјештајном</w:t>
      </w:r>
      <w:r w:rsidR="00AA46AB" w:rsidRPr="00295637">
        <w:rPr>
          <w:rFonts w:ascii="Times New Roman" w:hAnsi="Times New Roman"/>
          <w:lang w:val="sr-Latn-BA"/>
        </w:rPr>
        <w:t xml:space="preserve"> </w:t>
      </w:r>
      <w:r>
        <w:rPr>
          <w:rFonts w:ascii="Times New Roman" w:hAnsi="Times New Roman"/>
          <w:lang w:val="sr-Latn-BA"/>
        </w:rPr>
        <w:t>периоду</w:t>
      </w:r>
      <w:r w:rsidR="00AA46AB" w:rsidRPr="00295637">
        <w:rPr>
          <w:rFonts w:ascii="Times New Roman" w:hAnsi="Times New Roman"/>
          <w:lang w:val="sr-Latn-BA"/>
        </w:rPr>
        <w:t xml:space="preserve"> </w:t>
      </w:r>
      <w:r>
        <w:rPr>
          <w:rFonts w:ascii="Times New Roman" w:hAnsi="Times New Roman"/>
          <w:lang w:val="sr-Latn-BA"/>
        </w:rPr>
        <w:t>реализ</w:t>
      </w:r>
      <w:r w:rsidR="007550FB">
        <w:rPr>
          <w:rFonts w:ascii="Times New Roman" w:hAnsi="Times New Roman"/>
          <w:lang w:val="sr-Latn-BA"/>
        </w:rPr>
        <w:t>o</w:t>
      </w:r>
      <w:r w:rsidR="007550FB">
        <w:rPr>
          <w:rFonts w:ascii="Times New Roman" w:hAnsi="Times New Roman"/>
          <w:lang w:val="sr-Cyrl-BA"/>
        </w:rPr>
        <w:t>вао</w:t>
      </w:r>
      <w:r w:rsidR="00AA46AB" w:rsidRPr="00295637">
        <w:rPr>
          <w:rFonts w:ascii="Times New Roman" w:hAnsi="Times New Roman"/>
          <w:lang w:val="sr-Latn-BA"/>
        </w:rPr>
        <w:t xml:space="preserve"> </w:t>
      </w:r>
      <w:r>
        <w:rPr>
          <w:rFonts w:ascii="Times New Roman" w:hAnsi="Times New Roman"/>
          <w:lang w:val="sr-Latn-BA"/>
        </w:rPr>
        <w:t>сљедеће</w:t>
      </w:r>
      <w:r w:rsidR="00AA46AB" w:rsidRPr="00295637">
        <w:rPr>
          <w:rFonts w:ascii="Times New Roman" w:hAnsi="Times New Roman"/>
          <w:lang w:val="sr-Latn-BA"/>
        </w:rPr>
        <w:t xml:space="preserve"> </w:t>
      </w:r>
      <w:r>
        <w:rPr>
          <w:rFonts w:ascii="Times New Roman" w:hAnsi="Times New Roman"/>
          <w:lang w:val="sr-Latn-BA"/>
        </w:rPr>
        <w:t>активности</w:t>
      </w:r>
      <w:r w:rsidR="00AA46AB" w:rsidRPr="00295637">
        <w:rPr>
          <w:rFonts w:ascii="Times New Roman" w:hAnsi="Times New Roman"/>
          <w:lang w:val="sr-Latn-BA"/>
        </w:rPr>
        <w:t>:</w:t>
      </w:r>
      <w:r w:rsidR="00465DCF" w:rsidRPr="00295637">
        <w:rPr>
          <w:rFonts w:ascii="Times New Roman" w:hAnsi="Times New Roman"/>
          <w:lang w:val="sr-Latn-BA"/>
        </w:rPr>
        <w:t xml:space="preserve"> </w:t>
      </w:r>
      <w:r>
        <w:rPr>
          <w:rFonts w:ascii="Times New Roman" w:hAnsi="Times New Roman"/>
          <w:lang w:val="hr-HR"/>
        </w:rPr>
        <w:t>учествовање</w:t>
      </w:r>
      <w:r w:rsidR="004B269F">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AA46AB" w:rsidRPr="00295637">
        <w:rPr>
          <w:rFonts w:ascii="Times New Roman" w:hAnsi="Times New Roman"/>
          <w:lang w:val="sr-Cyrl-BA"/>
        </w:rPr>
        <w:t xml:space="preserve"> </w:t>
      </w:r>
      <w:r>
        <w:rPr>
          <w:rFonts w:ascii="Times New Roman" w:hAnsi="Times New Roman"/>
          <w:lang w:val="sr-Cyrl-BA"/>
        </w:rPr>
        <w:t>излагањем</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јавној</w:t>
      </w:r>
      <w:r w:rsidR="00AA46AB" w:rsidRPr="00295637">
        <w:rPr>
          <w:rFonts w:ascii="Times New Roman" w:hAnsi="Times New Roman"/>
          <w:lang w:val="sr-Cyrl-BA"/>
        </w:rPr>
        <w:t xml:space="preserve"> </w:t>
      </w:r>
      <w:r>
        <w:rPr>
          <w:rFonts w:ascii="Times New Roman" w:hAnsi="Times New Roman"/>
          <w:lang w:val="sr-Cyrl-BA"/>
        </w:rPr>
        <w:t>трибини</w:t>
      </w:r>
      <w:r w:rsidR="00AA46AB" w:rsidRPr="00295637">
        <w:rPr>
          <w:rFonts w:ascii="Times New Roman" w:hAnsi="Times New Roman"/>
          <w:lang w:val="sr-Cyrl-BA"/>
        </w:rPr>
        <w:t xml:space="preserve"> </w:t>
      </w:r>
      <w:r w:rsidR="004B269F">
        <w:rPr>
          <w:rFonts w:ascii="Times New Roman" w:hAnsi="Times New Roman"/>
          <w:lang w:val="hr-HR"/>
        </w:rPr>
        <w:t>„</w:t>
      </w:r>
      <w:r>
        <w:rPr>
          <w:rFonts w:ascii="Times New Roman" w:hAnsi="Times New Roman"/>
          <w:lang w:val="sr-Cyrl-BA"/>
        </w:rPr>
        <w:t>Кривичноправна</w:t>
      </w:r>
      <w:r w:rsidR="00AA46AB" w:rsidRPr="00295637">
        <w:rPr>
          <w:rFonts w:ascii="Times New Roman" w:hAnsi="Times New Roman"/>
          <w:lang w:val="sr-Cyrl-BA"/>
        </w:rPr>
        <w:t xml:space="preserve"> </w:t>
      </w:r>
      <w:r>
        <w:rPr>
          <w:rFonts w:ascii="Times New Roman" w:hAnsi="Times New Roman"/>
          <w:lang w:val="sr-Cyrl-BA"/>
        </w:rPr>
        <w:t>заштита</w:t>
      </w:r>
      <w:r w:rsidR="00AA46AB" w:rsidRPr="00295637">
        <w:rPr>
          <w:rFonts w:ascii="Times New Roman" w:hAnsi="Times New Roman"/>
          <w:lang w:val="sr-Cyrl-BA"/>
        </w:rPr>
        <w:t xml:space="preserve"> </w:t>
      </w:r>
      <w:r>
        <w:rPr>
          <w:rFonts w:ascii="Times New Roman" w:hAnsi="Times New Roman"/>
          <w:lang w:val="sr-Cyrl-BA"/>
        </w:rPr>
        <w:t>жртава</w:t>
      </w:r>
      <w:r w:rsidR="00AA46AB" w:rsidRPr="00295637">
        <w:rPr>
          <w:rFonts w:ascii="Times New Roman" w:hAnsi="Times New Roman"/>
          <w:lang w:val="sr-Cyrl-BA"/>
        </w:rPr>
        <w:t xml:space="preserve"> </w:t>
      </w:r>
      <w:r>
        <w:rPr>
          <w:rFonts w:ascii="Times New Roman" w:hAnsi="Times New Roman"/>
          <w:lang w:val="sr-Cyrl-BA"/>
        </w:rPr>
        <w:t>насиља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hr-HR"/>
        </w:rPr>
        <w:t>породици</w:t>
      </w:r>
      <w:r w:rsidR="00AA46AB" w:rsidRPr="00295637">
        <w:rPr>
          <w:rFonts w:ascii="Times New Roman" w:hAnsi="Times New Roman"/>
          <w:lang w:val="sr-Cyrl-BA"/>
        </w:rPr>
        <w:t xml:space="preserve"> – </w:t>
      </w:r>
      <w:r>
        <w:rPr>
          <w:rFonts w:ascii="Times New Roman" w:hAnsi="Times New Roman"/>
          <w:lang w:val="sr-Cyrl-BA"/>
        </w:rPr>
        <w:t>постигнућа</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потребе</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унапређењем</w:t>
      </w:r>
      <w:r w:rsidR="00AA46AB" w:rsidRPr="00295637">
        <w:rPr>
          <w:rFonts w:ascii="Times New Roman" w:hAnsi="Times New Roman"/>
          <w:lang w:val="sr-Cyrl-BA"/>
        </w:rPr>
        <w:t xml:space="preserve">, </w:t>
      </w:r>
      <w:r>
        <w:rPr>
          <w:rFonts w:ascii="Times New Roman" w:hAnsi="Times New Roman"/>
          <w:lang w:val="sr-Latn-BA"/>
        </w:rPr>
        <w:t>Фондација</w:t>
      </w:r>
      <w:r w:rsidR="00AA46AB" w:rsidRPr="00295637">
        <w:rPr>
          <w:rFonts w:ascii="Times New Roman" w:hAnsi="Times New Roman"/>
          <w:lang w:val="sr-Latn-BA"/>
        </w:rPr>
        <w:t xml:space="preserve"> „</w:t>
      </w:r>
      <w:r>
        <w:rPr>
          <w:rFonts w:ascii="Times New Roman" w:hAnsi="Times New Roman"/>
          <w:lang w:val="sr-Cyrl-BA"/>
        </w:rPr>
        <w:t>Удружене</w:t>
      </w:r>
      <w:r w:rsidR="00AA46AB" w:rsidRPr="00295637">
        <w:rPr>
          <w:rFonts w:ascii="Times New Roman" w:hAnsi="Times New Roman"/>
          <w:lang w:val="sr-Cyrl-BA"/>
        </w:rPr>
        <w:t xml:space="preserve"> </w:t>
      </w:r>
      <w:r>
        <w:rPr>
          <w:rFonts w:ascii="Times New Roman" w:hAnsi="Times New Roman"/>
          <w:lang w:val="sr-Cyrl-BA"/>
        </w:rPr>
        <w:t>жене</w:t>
      </w:r>
      <w:r w:rsidR="00AA46AB" w:rsidRPr="00295637">
        <w:rPr>
          <w:rFonts w:ascii="Times New Roman" w:hAnsi="Times New Roman"/>
          <w:lang w:val="sr-Latn-BA"/>
        </w:rPr>
        <w:t xml:space="preserve">“ </w:t>
      </w:r>
      <w:r>
        <w:rPr>
          <w:rFonts w:ascii="Times New Roman" w:hAnsi="Times New Roman"/>
          <w:lang w:val="sr-Latn-BA"/>
        </w:rPr>
        <w:t>Бања</w:t>
      </w:r>
      <w:r w:rsidR="00AA46AB" w:rsidRPr="00295637">
        <w:rPr>
          <w:rFonts w:ascii="Times New Roman" w:hAnsi="Times New Roman"/>
          <w:lang w:val="sr-Latn-BA"/>
        </w:rPr>
        <w:t xml:space="preserve"> </w:t>
      </w:r>
      <w:r>
        <w:rPr>
          <w:rFonts w:ascii="Times New Roman" w:hAnsi="Times New Roman"/>
          <w:lang w:val="sr-Latn-BA"/>
        </w:rPr>
        <w:t>Лука</w:t>
      </w:r>
      <w:r w:rsidR="00AA46AB" w:rsidRPr="00295637">
        <w:rPr>
          <w:rFonts w:ascii="Times New Roman" w:hAnsi="Times New Roman"/>
          <w:lang w:val="sr-Latn-BA"/>
        </w:rPr>
        <w:t>;</w:t>
      </w:r>
      <w:r w:rsidR="00465DCF" w:rsidRPr="00295637">
        <w:rPr>
          <w:rFonts w:ascii="Times New Roman" w:hAnsi="Times New Roman"/>
          <w:lang w:val="sr-Latn-BA"/>
        </w:rPr>
        <w:t xml:space="preserve"> </w:t>
      </w:r>
      <w:r>
        <w:rPr>
          <w:rFonts w:ascii="Times New Roman" w:hAnsi="Times New Roman"/>
          <w:lang w:val="hr-HR"/>
        </w:rPr>
        <w:t>учествовање</w:t>
      </w:r>
      <w:r w:rsidR="004B269F">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AA46AB" w:rsidRPr="00295637">
        <w:rPr>
          <w:rFonts w:ascii="Times New Roman" w:hAnsi="Times New Roman"/>
          <w:lang w:val="sr-Cyrl-BA"/>
        </w:rPr>
        <w:t xml:space="preserve"> </w:t>
      </w:r>
      <w:r>
        <w:rPr>
          <w:rFonts w:ascii="Times New Roman" w:hAnsi="Times New Roman"/>
          <w:lang w:val="sr-Cyrl-BA"/>
        </w:rPr>
        <w:t>излагањем</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радном</w:t>
      </w:r>
      <w:r w:rsidR="00AA46AB" w:rsidRPr="00295637">
        <w:rPr>
          <w:rFonts w:ascii="Times New Roman" w:hAnsi="Times New Roman"/>
          <w:lang w:val="sr-Cyrl-BA"/>
        </w:rPr>
        <w:t xml:space="preserve"> </w:t>
      </w:r>
      <w:r>
        <w:rPr>
          <w:rFonts w:ascii="Times New Roman" w:hAnsi="Times New Roman"/>
          <w:lang w:val="sr-Cyrl-BA"/>
        </w:rPr>
        <w:t>састанку</w:t>
      </w:r>
      <w:r w:rsidR="00AA46AB" w:rsidRPr="00295637">
        <w:rPr>
          <w:rFonts w:ascii="Times New Roman" w:hAnsi="Times New Roman"/>
          <w:lang w:val="sr-Cyrl-BA"/>
        </w:rPr>
        <w:t xml:space="preserve"> „</w:t>
      </w:r>
      <w:r>
        <w:rPr>
          <w:rFonts w:ascii="Times New Roman" w:hAnsi="Times New Roman"/>
          <w:lang w:val="sr-Cyrl-BA"/>
        </w:rPr>
        <w:t>Унапређење</w:t>
      </w:r>
      <w:r w:rsidR="00AA46AB" w:rsidRPr="00295637">
        <w:rPr>
          <w:rFonts w:ascii="Times New Roman" w:hAnsi="Times New Roman"/>
          <w:lang w:val="sr-Cyrl-BA"/>
        </w:rPr>
        <w:t xml:space="preserve"> </w:t>
      </w:r>
      <w:r>
        <w:rPr>
          <w:rFonts w:ascii="Times New Roman" w:hAnsi="Times New Roman"/>
          <w:lang w:val="sr-Cyrl-BA"/>
        </w:rPr>
        <w:t>нормативних</w:t>
      </w:r>
      <w:r w:rsidR="00AA46AB" w:rsidRPr="00295637">
        <w:rPr>
          <w:rFonts w:ascii="Times New Roman" w:hAnsi="Times New Roman"/>
          <w:lang w:val="sr-Cyrl-BA"/>
        </w:rPr>
        <w:t xml:space="preserve"> </w:t>
      </w:r>
      <w:r>
        <w:rPr>
          <w:rFonts w:ascii="Times New Roman" w:hAnsi="Times New Roman"/>
          <w:lang w:val="sr-Cyrl-BA"/>
        </w:rPr>
        <w:t>правила</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процедура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изрицање</w:t>
      </w:r>
      <w:r w:rsidR="00AA46AB" w:rsidRPr="00295637">
        <w:rPr>
          <w:rFonts w:ascii="Times New Roman" w:hAnsi="Times New Roman"/>
          <w:lang w:val="sr-Cyrl-BA"/>
        </w:rPr>
        <w:t xml:space="preserve"> </w:t>
      </w:r>
      <w:r>
        <w:rPr>
          <w:rFonts w:ascii="Times New Roman" w:hAnsi="Times New Roman"/>
          <w:lang w:val="hr-HR"/>
        </w:rPr>
        <w:t>х</w:t>
      </w:r>
      <w:r>
        <w:rPr>
          <w:rFonts w:ascii="Times New Roman" w:hAnsi="Times New Roman"/>
          <w:lang w:val="sr-Cyrl-BA"/>
        </w:rPr>
        <w:t>итних</w:t>
      </w:r>
      <w:r w:rsidR="00AA46AB" w:rsidRPr="00295637">
        <w:rPr>
          <w:rFonts w:ascii="Times New Roman" w:hAnsi="Times New Roman"/>
          <w:lang w:val="sr-Cyrl-BA"/>
        </w:rPr>
        <w:t xml:space="preserve"> </w:t>
      </w:r>
      <w:r>
        <w:rPr>
          <w:rFonts w:ascii="Times New Roman" w:hAnsi="Times New Roman"/>
          <w:lang w:val="sr-Cyrl-BA"/>
        </w:rPr>
        <w:t>мјера</w:t>
      </w:r>
      <w:r w:rsidR="00AA46AB" w:rsidRPr="00295637">
        <w:rPr>
          <w:rFonts w:ascii="Times New Roman" w:hAnsi="Times New Roman"/>
          <w:lang w:val="sr-Cyrl-BA"/>
        </w:rPr>
        <w:t xml:space="preserve"> </w:t>
      </w:r>
      <w:r>
        <w:rPr>
          <w:rFonts w:ascii="Times New Roman" w:hAnsi="Times New Roman"/>
          <w:lang w:val="sr-Cyrl-BA"/>
        </w:rPr>
        <w:t>заштите</w:t>
      </w:r>
      <w:r w:rsidR="00AA46AB" w:rsidRPr="00295637">
        <w:rPr>
          <w:rFonts w:ascii="Times New Roman" w:hAnsi="Times New Roman"/>
          <w:lang w:val="sr-Cyrl-BA"/>
        </w:rPr>
        <w:t xml:space="preserve"> </w:t>
      </w:r>
      <w:r>
        <w:rPr>
          <w:rFonts w:ascii="Times New Roman" w:hAnsi="Times New Roman"/>
          <w:lang w:val="sr-Cyrl-BA"/>
        </w:rPr>
        <w:t>и</w:t>
      </w:r>
      <w:r w:rsidR="00AA46AB" w:rsidRPr="00295637">
        <w:rPr>
          <w:rFonts w:ascii="Times New Roman" w:hAnsi="Times New Roman"/>
          <w:lang w:val="sr-Cyrl-BA"/>
        </w:rPr>
        <w:t xml:space="preserve"> </w:t>
      </w:r>
      <w:r>
        <w:rPr>
          <w:rFonts w:ascii="Times New Roman" w:hAnsi="Times New Roman"/>
          <w:lang w:val="sr-Cyrl-BA"/>
        </w:rPr>
        <w:t>заштитних</w:t>
      </w:r>
      <w:r w:rsidR="00AA46AB" w:rsidRPr="00295637">
        <w:rPr>
          <w:rFonts w:ascii="Times New Roman" w:hAnsi="Times New Roman"/>
          <w:lang w:val="sr-Cyrl-BA"/>
        </w:rPr>
        <w:t xml:space="preserve"> </w:t>
      </w:r>
      <w:r>
        <w:rPr>
          <w:rFonts w:ascii="Times New Roman" w:hAnsi="Times New Roman"/>
          <w:lang w:val="sr-Cyrl-BA"/>
        </w:rPr>
        <w:t>мјера</w:t>
      </w:r>
      <w:r w:rsidR="00AA46AB" w:rsidRPr="00295637">
        <w:rPr>
          <w:rFonts w:ascii="Times New Roman" w:hAnsi="Times New Roman"/>
          <w:lang w:val="sr-Cyrl-BA"/>
        </w:rPr>
        <w:t xml:space="preserve">“, </w:t>
      </w:r>
      <w:r>
        <w:rPr>
          <w:rFonts w:ascii="Times New Roman" w:hAnsi="Times New Roman"/>
          <w:lang w:val="sr-Latn-BA"/>
        </w:rPr>
        <w:t>Фондација</w:t>
      </w:r>
      <w:r w:rsidR="00AA46AB" w:rsidRPr="00295637">
        <w:rPr>
          <w:rFonts w:ascii="Times New Roman" w:hAnsi="Times New Roman"/>
          <w:lang w:val="sr-Latn-BA"/>
        </w:rPr>
        <w:t xml:space="preserve"> „</w:t>
      </w:r>
      <w:r>
        <w:rPr>
          <w:rFonts w:ascii="Times New Roman" w:hAnsi="Times New Roman"/>
          <w:lang w:val="sr-Cyrl-BA"/>
        </w:rPr>
        <w:t>Удружене</w:t>
      </w:r>
      <w:r w:rsidR="00AA46AB" w:rsidRPr="00295637">
        <w:rPr>
          <w:rFonts w:ascii="Times New Roman" w:hAnsi="Times New Roman"/>
          <w:lang w:val="sr-Cyrl-BA"/>
        </w:rPr>
        <w:t xml:space="preserve"> </w:t>
      </w:r>
      <w:r>
        <w:rPr>
          <w:rFonts w:ascii="Times New Roman" w:hAnsi="Times New Roman"/>
          <w:lang w:val="sr-Cyrl-BA"/>
        </w:rPr>
        <w:t>жене</w:t>
      </w:r>
      <w:r w:rsidR="00AA46AB" w:rsidRPr="00295637">
        <w:rPr>
          <w:rFonts w:ascii="Times New Roman" w:hAnsi="Times New Roman"/>
          <w:lang w:val="sr-Latn-BA"/>
        </w:rPr>
        <w:t xml:space="preserve">“ </w:t>
      </w:r>
      <w:r>
        <w:rPr>
          <w:rFonts w:ascii="Times New Roman" w:hAnsi="Times New Roman"/>
          <w:lang w:val="sr-Latn-BA"/>
        </w:rPr>
        <w:t>Бања</w:t>
      </w:r>
      <w:r w:rsidR="00AA46AB" w:rsidRPr="00295637">
        <w:rPr>
          <w:rFonts w:ascii="Times New Roman" w:hAnsi="Times New Roman"/>
          <w:lang w:val="sr-Latn-BA"/>
        </w:rPr>
        <w:t xml:space="preserve"> </w:t>
      </w:r>
      <w:r>
        <w:rPr>
          <w:rFonts w:ascii="Times New Roman" w:hAnsi="Times New Roman"/>
          <w:lang w:val="sr-Latn-BA"/>
        </w:rPr>
        <w:t>Лука</w:t>
      </w:r>
      <w:r w:rsidR="00AA46AB" w:rsidRPr="00295637">
        <w:rPr>
          <w:rFonts w:ascii="Times New Roman" w:hAnsi="Times New Roman"/>
          <w:lang w:val="sr-Latn-BA"/>
        </w:rPr>
        <w:t>;</w:t>
      </w:r>
      <w:r w:rsidR="00465DCF" w:rsidRPr="00295637">
        <w:rPr>
          <w:rFonts w:ascii="Times New Roman" w:hAnsi="Times New Roman"/>
          <w:lang w:val="sr-Latn-BA"/>
        </w:rPr>
        <w:t xml:space="preserve"> </w:t>
      </w:r>
      <w:r>
        <w:rPr>
          <w:rFonts w:ascii="Times New Roman" w:hAnsi="Times New Roman"/>
          <w:lang w:val="hr-HR"/>
        </w:rPr>
        <w:t>учествовање</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конференцији</w:t>
      </w:r>
      <w:r w:rsidR="00AA46AB" w:rsidRPr="00295637">
        <w:rPr>
          <w:rFonts w:ascii="Times New Roman" w:hAnsi="Times New Roman"/>
          <w:lang w:val="sr-Cyrl-BA"/>
        </w:rPr>
        <w:t xml:space="preserve"> </w:t>
      </w:r>
      <w:r w:rsidR="004F0EF3">
        <w:rPr>
          <w:rFonts w:ascii="Times New Roman" w:hAnsi="Times New Roman"/>
          <w:lang w:val="hr-HR"/>
        </w:rPr>
        <w:t>„</w:t>
      </w:r>
      <w:r>
        <w:rPr>
          <w:rFonts w:ascii="Times New Roman" w:hAnsi="Times New Roman"/>
          <w:lang w:val="sr-Cyrl-BA"/>
        </w:rPr>
        <w:t>Кривично</w:t>
      </w:r>
      <w:r w:rsidR="00AA46AB" w:rsidRPr="00295637">
        <w:rPr>
          <w:rFonts w:ascii="Times New Roman" w:hAnsi="Times New Roman"/>
          <w:lang w:val="sr-Cyrl-BA"/>
        </w:rPr>
        <w:t xml:space="preserve"> </w:t>
      </w:r>
      <w:r>
        <w:rPr>
          <w:rFonts w:ascii="Times New Roman" w:hAnsi="Times New Roman"/>
          <w:lang w:val="sr-Cyrl-BA"/>
        </w:rPr>
        <w:t>дјело</w:t>
      </w:r>
      <w:r w:rsidR="00AA46AB" w:rsidRPr="00295637">
        <w:rPr>
          <w:rFonts w:ascii="Times New Roman" w:hAnsi="Times New Roman"/>
          <w:lang w:val="sr-Cyrl-BA"/>
        </w:rPr>
        <w:t xml:space="preserve"> </w:t>
      </w:r>
      <w:r>
        <w:rPr>
          <w:rFonts w:ascii="Times New Roman" w:hAnsi="Times New Roman"/>
          <w:lang w:val="sr-Cyrl-BA"/>
        </w:rPr>
        <w:t>насиље</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hr-HR"/>
        </w:rPr>
        <w:t>породици</w:t>
      </w:r>
      <w:r w:rsidR="00AA46AB" w:rsidRPr="00295637">
        <w:rPr>
          <w:rFonts w:ascii="Times New Roman" w:hAnsi="Times New Roman"/>
          <w:lang w:val="sr-Latn-BA"/>
        </w:rPr>
        <w:t xml:space="preserve"> -</w:t>
      </w:r>
      <w:r w:rsidR="00AA46AB" w:rsidRPr="00295637">
        <w:rPr>
          <w:rFonts w:ascii="Times New Roman" w:hAnsi="Times New Roman"/>
          <w:lang w:val="sr-Cyrl-BA"/>
        </w:rPr>
        <w:t xml:space="preserve"> </w:t>
      </w:r>
      <w:r>
        <w:rPr>
          <w:rFonts w:ascii="Times New Roman" w:hAnsi="Times New Roman"/>
          <w:lang w:val="sr-Cyrl-BA"/>
        </w:rPr>
        <w:t>четврт</w:t>
      </w:r>
      <w:r w:rsidR="00AA46AB" w:rsidRPr="00295637">
        <w:rPr>
          <w:rFonts w:ascii="Times New Roman" w:hAnsi="Times New Roman"/>
          <w:lang w:val="sr-Cyrl-BA"/>
        </w:rPr>
        <w:t xml:space="preserve"> </w:t>
      </w:r>
      <w:r>
        <w:rPr>
          <w:rFonts w:ascii="Times New Roman" w:hAnsi="Times New Roman"/>
          <w:lang w:val="sr-Cyrl-BA"/>
        </w:rPr>
        <w:t>вијека</w:t>
      </w:r>
      <w:r w:rsidR="00AA46AB" w:rsidRPr="00295637">
        <w:rPr>
          <w:rFonts w:ascii="Times New Roman" w:hAnsi="Times New Roman"/>
          <w:lang w:val="sr-Cyrl-BA"/>
        </w:rPr>
        <w:t xml:space="preserve"> </w:t>
      </w:r>
      <w:r>
        <w:rPr>
          <w:rFonts w:ascii="Times New Roman" w:hAnsi="Times New Roman"/>
          <w:lang w:val="sr-Cyrl-BA"/>
        </w:rPr>
        <w:t>од</w:t>
      </w:r>
      <w:r w:rsidR="00AA46AB" w:rsidRPr="00295637">
        <w:rPr>
          <w:rFonts w:ascii="Times New Roman" w:hAnsi="Times New Roman"/>
          <w:lang w:val="sr-Cyrl-BA"/>
        </w:rPr>
        <w:t xml:space="preserve"> </w:t>
      </w:r>
      <w:r>
        <w:rPr>
          <w:rFonts w:ascii="Times New Roman" w:hAnsi="Times New Roman"/>
          <w:lang w:val="sr-Cyrl-BA"/>
        </w:rPr>
        <w:t>инкриминације</w:t>
      </w:r>
      <w:r w:rsidR="004F0EF3">
        <w:rPr>
          <w:rFonts w:ascii="Times New Roman" w:hAnsi="Times New Roman"/>
          <w:lang w:val="hr-HR"/>
        </w:rPr>
        <w:t>“</w:t>
      </w:r>
      <w:r w:rsidR="00AA46AB" w:rsidRPr="00295637">
        <w:rPr>
          <w:rFonts w:ascii="Times New Roman" w:hAnsi="Times New Roman"/>
          <w:lang w:val="sr-Cyrl-BA"/>
        </w:rPr>
        <w:t xml:space="preserve">, </w:t>
      </w:r>
      <w:r>
        <w:rPr>
          <w:rFonts w:ascii="Times New Roman" w:hAnsi="Times New Roman"/>
          <w:lang w:val="sr-Latn-BA"/>
        </w:rPr>
        <w:t>Фондација</w:t>
      </w:r>
      <w:r w:rsidR="00AA46AB" w:rsidRPr="00295637">
        <w:rPr>
          <w:rFonts w:ascii="Times New Roman" w:hAnsi="Times New Roman"/>
          <w:lang w:val="sr-Cyrl-BA"/>
        </w:rPr>
        <w:t xml:space="preserve"> </w:t>
      </w:r>
      <w:r>
        <w:rPr>
          <w:rFonts w:ascii="Times New Roman" w:hAnsi="Times New Roman"/>
          <w:lang w:val="sr-Cyrl-BA"/>
        </w:rPr>
        <w:t>жена</w:t>
      </w:r>
      <w:r w:rsidR="00AA46AB" w:rsidRPr="00295637">
        <w:rPr>
          <w:rFonts w:ascii="Times New Roman" w:hAnsi="Times New Roman"/>
          <w:lang w:val="sr-Cyrl-BA"/>
        </w:rPr>
        <w:t xml:space="preserve"> </w:t>
      </w:r>
      <w:r w:rsidR="00AA46AB" w:rsidRPr="00295637">
        <w:rPr>
          <w:rFonts w:ascii="Times New Roman" w:hAnsi="Times New Roman"/>
          <w:lang w:val="sr-Latn-BA"/>
        </w:rPr>
        <w:t>„</w:t>
      </w:r>
      <w:r>
        <w:rPr>
          <w:rFonts w:ascii="Times New Roman" w:hAnsi="Times New Roman"/>
          <w:lang w:val="sr-Cyrl-BA"/>
        </w:rPr>
        <w:t>Лара</w:t>
      </w:r>
      <w:r w:rsidR="00AA46AB" w:rsidRPr="00295637">
        <w:rPr>
          <w:rFonts w:ascii="Times New Roman" w:hAnsi="Times New Roman"/>
          <w:lang w:val="sr-Latn-BA"/>
        </w:rPr>
        <w:t xml:space="preserve">“ </w:t>
      </w:r>
      <w:r>
        <w:rPr>
          <w:rFonts w:ascii="Times New Roman" w:hAnsi="Times New Roman"/>
          <w:lang w:val="sr-Latn-BA"/>
        </w:rPr>
        <w:t>Бијељина</w:t>
      </w:r>
      <w:r w:rsidR="00AA46AB" w:rsidRPr="00295637">
        <w:rPr>
          <w:rFonts w:ascii="Times New Roman" w:hAnsi="Times New Roman"/>
          <w:lang w:val="sr-Latn-BA"/>
        </w:rPr>
        <w:t>;</w:t>
      </w:r>
      <w:r w:rsidR="00465DCF" w:rsidRPr="00295637">
        <w:rPr>
          <w:rFonts w:ascii="Times New Roman" w:hAnsi="Times New Roman"/>
          <w:lang w:val="sr-Latn-BA"/>
        </w:rPr>
        <w:t xml:space="preserve"> </w:t>
      </w:r>
      <w:r>
        <w:rPr>
          <w:rFonts w:ascii="Times New Roman" w:hAnsi="Times New Roman"/>
          <w:lang w:val="hr-HR"/>
        </w:rPr>
        <w:t>учешће</w:t>
      </w:r>
      <w:r w:rsidR="004F0EF3">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AA46AB" w:rsidRPr="00295637">
        <w:rPr>
          <w:rFonts w:ascii="Times New Roman" w:hAnsi="Times New Roman"/>
          <w:lang w:val="sr-Cyrl-BA"/>
        </w:rPr>
        <w:t xml:space="preserve"> </w:t>
      </w:r>
      <w:r>
        <w:rPr>
          <w:rFonts w:ascii="Times New Roman" w:hAnsi="Times New Roman"/>
          <w:lang w:val="sr-Cyrl-BA"/>
        </w:rPr>
        <w:t>излагањем</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округлом</w:t>
      </w:r>
      <w:r w:rsidR="00AA46AB" w:rsidRPr="00295637">
        <w:rPr>
          <w:rFonts w:ascii="Times New Roman" w:hAnsi="Times New Roman"/>
          <w:lang w:val="sr-Cyrl-BA"/>
        </w:rPr>
        <w:t xml:space="preserve"> </w:t>
      </w:r>
      <w:r>
        <w:rPr>
          <w:rFonts w:ascii="Times New Roman" w:hAnsi="Times New Roman"/>
          <w:lang w:val="sr-Cyrl-BA"/>
        </w:rPr>
        <w:t>столу</w:t>
      </w:r>
      <w:r w:rsidR="00AA46AB" w:rsidRPr="00295637">
        <w:rPr>
          <w:rFonts w:ascii="Times New Roman" w:hAnsi="Times New Roman"/>
          <w:lang w:val="sr-Cyrl-BA"/>
        </w:rPr>
        <w:t xml:space="preserve"> „</w:t>
      </w:r>
      <w:r>
        <w:rPr>
          <w:rFonts w:ascii="Times New Roman" w:hAnsi="Times New Roman"/>
          <w:lang w:val="sr-Cyrl-BA"/>
        </w:rPr>
        <w:t>Њена</w:t>
      </w:r>
      <w:r w:rsidR="00AA46AB" w:rsidRPr="00295637">
        <w:rPr>
          <w:rFonts w:ascii="Times New Roman" w:hAnsi="Times New Roman"/>
          <w:lang w:val="sr-Cyrl-BA"/>
        </w:rPr>
        <w:t xml:space="preserve"> </w:t>
      </w:r>
      <w:r>
        <w:rPr>
          <w:rFonts w:ascii="Times New Roman" w:hAnsi="Times New Roman"/>
          <w:lang w:val="sr-Cyrl-BA"/>
        </w:rPr>
        <w:t>права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организацији</w:t>
      </w:r>
      <w:r w:rsidR="00AA46AB" w:rsidRPr="00295637">
        <w:rPr>
          <w:rFonts w:ascii="Times New Roman" w:hAnsi="Times New Roman"/>
          <w:lang w:val="sr-Cyrl-BA"/>
        </w:rPr>
        <w:t xml:space="preserve"> </w:t>
      </w:r>
      <w:r>
        <w:rPr>
          <w:rFonts w:ascii="Times New Roman" w:hAnsi="Times New Roman"/>
          <w:lang w:val="sr-Cyrl-BA"/>
        </w:rPr>
        <w:t>НВО</w:t>
      </w:r>
      <w:r w:rsidR="00AA46AB" w:rsidRPr="00295637">
        <w:rPr>
          <w:rFonts w:ascii="Times New Roman" w:hAnsi="Times New Roman"/>
          <w:lang w:val="sr-Cyrl-BA"/>
        </w:rPr>
        <w:t xml:space="preserve"> </w:t>
      </w:r>
      <w:r>
        <w:rPr>
          <w:rFonts w:ascii="Times New Roman" w:hAnsi="Times New Roman"/>
          <w:lang w:val="sr-Cyrl-BA"/>
        </w:rPr>
        <w:t>Ваша</w:t>
      </w:r>
      <w:r w:rsidR="00AA46AB" w:rsidRPr="00295637">
        <w:rPr>
          <w:rFonts w:ascii="Times New Roman" w:hAnsi="Times New Roman"/>
          <w:lang w:val="sr-Cyrl-BA"/>
        </w:rPr>
        <w:t xml:space="preserve"> </w:t>
      </w:r>
      <w:r>
        <w:rPr>
          <w:rFonts w:ascii="Times New Roman" w:hAnsi="Times New Roman"/>
          <w:lang w:val="sr-Cyrl-BA"/>
        </w:rPr>
        <w:t>права</w:t>
      </w:r>
      <w:r w:rsidR="00AA46AB" w:rsidRPr="00295637">
        <w:rPr>
          <w:rFonts w:ascii="Times New Roman" w:hAnsi="Times New Roman"/>
          <w:lang w:val="sr-Latn-BA"/>
        </w:rPr>
        <w:t>;</w:t>
      </w:r>
      <w:r w:rsidR="00465DCF" w:rsidRPr="00295637">
        <w:rPr>
          <w:rFonts w:ascii="Times New Roman" w:hAnsi="Times New Roman"/>
          <w:lang w:val="sr-Latn-BA"/>
        </w:rPr>
        <w:t xml:space="preserve"> </w:t>
      </w:r>
      <w:r>
        <w:rPr>
          <w:rFonts w:ascii="Times New Roman" w:hAnsi="Times New Roman"/>
          <w:lang w:val="hr-HR"/>
        </w:rPr>
        <w:t>учешће</w:t>
      </w:r>
      <w:r w:rsidR="004F0EF3">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AA46AB" w:rsidRPr="00295637">
        <w:rPr>
          <w:rFonts w:ascii="Times New Roman" w:hAnsi="Times New Roman"/>
          <w:lang w:val="sr-Cyrl-BA"/>
        </w:rPr>
        <w:t xml:space="preserve"> </w:t>
      </w:r>
      <w:r>
        <w:rPr>
          <w:rFonts w:ascii="Times New Roman" w:hAnsi="Times New Roman"/>
          <w:lang w:val="sr-Cyrl-BA"/>
        </w:rPr>
        <w:t>излагањем</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догађај</w:t>
      </w:r>
      <w:r>
        <w:rPr>
          <w:rFonts w:ascii="Times New Roman" w:hAnsi="Times New Roman"/>
          <w:lang w:val="sr-Latn-BA"/>
        </w:rPr>
        <w:t>у</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организацији</w:t>
      </w:r>
      <w:r w:rsidR="00AA46AB" w:rsidRPr="00295637">
        <w:rPr>
          <w:rFonts w:ascii="Times New Roman" w:hAnsi="Times New Roman"/>
          <w:lang w:val="sr-Cyrl-BA"/>
        </w:rPr>
        <w:t xml:space="preserve"> </w:t>
      </w:r>
      <w:r>
        <w:rPr>
          <w:rFonts w:ascii="Times New Roman" w:hAnsi="Times New Roman"/>
          <w:lang w:val="sr-Latn-BA"/>
        </w:rPr>
        <w:t>више</w:t>
      </w:r>
      <w:r w:rsidR="00AA46AB" w:rsidRPr="00295637">
        <w:rPr>
          <w:rFonts w:ascii="Times New Roman" w:hAnsi="Times New Roman"/>
          <w:lang w:val="sr-Latn-BA"/>
        </w:rPr>
        <w:t xml:space="preserve"> </w:t>
      </w:r>
      <w:r>
        <w:rPr>
          <w:rFonts w:ascii="Times New Roman" w:hAnsi="Times New Roman"/>
          <w:lang w:val="sr-Cyrl-BA"/>
        </w:rPr>
        <w:t>невладиних</w:t>
      </w:r>
      <w:r w:rsidR="00AA46AB" w:rsidRPr="00295637">
        <w:rPr>
          <w:rFonts w:ascii="Times New Roman" w:hAnsi="Times New Roman"/>
          <w:lang w:val="sr-Cyrl-BA"/>
        </w:rPr>
        <w:t xml:space="preserve"> </w:t>
      </w:r>
      <w:r>
        <w:rPr>
          <w:rFonts w:ascii="Times New Roman" w:hAnsi="Times New Roman"/>
          <w:lang w:val="sr-Cyrl-BA"/>
        </w:rPr>
        <w:t>организација</w:t>
      </w:r>
      <w:r w:rsidR="00AA46AB" w:rsidRPr="00295637">
        <w:rPr>
          <w:rFonts w:ascii="Times New Roman" w:hAnsi="Times New Roman"/>
          <w:lang w:val="sr-Cyrl-BA"/>
        </w:rPr>
        <w:t xml:space="preserve"> </w:t>
      </w:r>
      <w:r>
        <w:rPr>
          <w:rFonts w:ascii="Times New Roman" w:hAnsi="Times New Roman"/>
          <w:lang w:val="sr-Latn-BA"/>
        </w:rPr>
        <w:t>на</w:t>
      </w:r>
      <w:r w:rsidR="00AA46AB" w:rsidRPr="00295637">
        <w:rPr>
          <w:rFonts w:ascii="Times New Roman" w:hAnsi="Times New Roman"/>
          <w:lang w:val="sr-Latn-BA"/>
        </w:rPr>
        <w:t xml:space="preserve"> </w:t>
      </w:r>
      <w:r>
        <w:rPr>
          <w:rFonts w:ascii="Times New Roman" w:hAnsi="Times New Roman"/>
          <w:lang w:val="sr-Latn-BA"/>
        </w:rPr>
        <w:t>тему</w:t>
      </w:r>
      <w:r w:rsidR="004F0EF3">
        <w:rPr>
          <w:rFonts w:ascii="Times New Roman" w:hAnsi="Times New Roman"/>
          <w:lang w:val="sr-Cyrl-BA"/>
        </w:rPr>
        <w:t xml:space="preserve"> „</w:t>
      </w:r>
      <w:r>
        <w:rPr>
          <w:rFonts w:ascii="Times New Roman" w:hAnsi="Times New Roman"/>
          <w:lang w:val="sr-Cyrl-BA"/>
        </w:rPr>
        <w:t>Од</w:t>
      </w:r>
      <w:r w:rsidR="004F0EF3">
        <w:rPr>
          <w:rFonts w:ascii="Times New Roman" w:hAnsi="Times New Roman"/>
          <w:lang w:val="sr-Cyrl-BA"/>
        </w:rPr>
        <w:t xml:space="preserve"> </w:t>
      </w:r>
      <w:r>
        <w:rPr>
          <w:rFonts w:ascii="Times New Roman" w:hAnsi="Times New Roman"/>
          <w:lang w:val="sr-Cyrl-BA"/>
        </w:rPr>
        <w:t>формалне</w:t>
      </w:r>
      <w:r w:rsidR="004F0EF3">
        <w:rPr>
          <w:rFonts w:ascii="Times New Roman" w:hAnsi="Times New Roman"/>
          <w:lang w:val="sr-Cyrl-BA"/>
        </w:rPr>
        <w:t xml:space="preserve"> </w:t>
      </w:r>
      <w:r>
        <w:rPr>
          <w:rFonts w:ascii="Times New Roman" w:hAnsi="Times New Roman"/>
          <w:lang w:val="sr-Cyrl-BA"/>
        </w:rPr>
        <w:t>об</w:t>
      </w:r>
      <w:r>
        <w:rPr>
          <w:rFonts w:ascii="Times New Roman" w:hAnsi="Times New Roman"/>
          <w:lang w:val="hr-HR"/>
        </w:rPr>
        <w:t>а</w:t>
      </w:r>
      <w:r>
        <w:rPr>
          <w:rFonts w:ascii="Times New Roman" w:hAnsi="Times New Roman"/>
          <w:lang w:val="sr-Cyrl-BA"/>
        </w:rPr>
        <w:t>везе</w:t>
      </w:r>
      <w:r w:rsidR="00AA46AB" w:rsidRPr="00295637">
        <w:rPr>
          <w:rFonts w:ascii="Times New Roman" w:hAnsi="Times New Roman"/>
          <w:lang w:val="sr-Cyrl-BA"/>
        </w:rPr>
        <w:t xml:space="preserve"> </w:t>
      </w:r>
      <w:r>
        <w:rPr>
          <w:rFonts w:ascii="Times New Roman" w:hAnsi="Times New Roman"/>
          <w:lang w:val="sr-Cyrl-BA"/>
        </w:rPr>
        <w:t>до</w:t>
      </w:r>
      <w:r w:rsidR="00AA46AB" w:rsidRPr="00295637">
        <w:rPr>
          <w:rFonts w:ascii="Times New Roman" w:hAnsi="Times New Roman"/>
          <w:lang w:val="sr-Cyrl-BA"/>
        </w:rPr>
        <w:t xml:space="preserve"> </w:t>
      </w:r>
      <w:r>
        <w:rPr>
          <w:rFonts w:ascii="Times New Roman" w:hAnsi="Times New Roman"/>
          <w:lang w:val="sr-Cyrl-BA"/>
        </w:rPr>
        <w:t>стварног</w:t>
      </w:r>
      <w:r w:rsidR="00AA46AB" w:rsidRPr="00295637">
        <w:rPr>
          <w:rFonts w:ascii="Times New Roman" w:hAnsi="Times New Roman"/>
          <w:lang w:val="sr-Cyrl-BA"/>
        </w:rPr>
        <w:t xml:space="preserve"> </w:t>
      </w:r>
      <w:r>
        <w:rPr>
          <w:rFonts w:ascii="Times New Roman" w:hAnsi="Times New Roman"/>
          <w:lang w:val="sr-Cyrl-BA"/>
        </w:rPr>
        <w:t>напретка</w:t>
      </w:r>
      <w:r w:rsidR="00AA46AB" w:rsidRPr="00295637">
        <w:rPr>
          <w:rFonts w:ascii="Times New Roman" w:hAnsi="Times New Roman"/>
          <w:lang w:val="sr-Cyrl-BA"/>
        </w:rPr>
        <w:t>“</w:t>
      </w:r>
      <w:r w:rsidR="00AA46AB" w:rsidRPr="00295637">
        <w:rPr>
          <w:rFonts w:ascii="Times New Roman" w:hAnsi="Times New Roman"/>
          <w:lang w:val="sr-Latn-BA"/>
        </w:rPr>
        <w:t>;</w:t>
      </w:r>
      <w:r w:rsidR="00465DCF" w:rsidRPr="00295637">
        <w:rPr>
          <w:rFonts w:ascii="Times New Roman" w:hAnsi="Times New Roman"/>
          <w:lang w:val="sr-Latn-BA"/>
        </w:rPr>
        <w:t xml:space="preserve"> </w:t>
      </w:r>
      <w:r>
        <w:rPr>
          <w:rFonts w:ascii="Times New Roman" w:hAnsi="Times New Roman"/>
          <w:lang w:val="hr-HR"/>
        </w:rPr>
        <w:t>учешће</w:t>
      </w:r>
      <w:r w:rsidR="004F0EF3">
        <w:rPr>
          <w:rFonts w:ascii="Times New Roman" w:hAnsi="Times New Roman"/>
          <w:lang w:val="sr-Latn-BA"/>
        </w:rPr>
        <w:t xml:space="preserve"> </w:t>
      </w:r>
      <w:r>
        <w:rPr>
          <w:rFonts w:ascii="Times New Roman" w:hAnsi="Times New Roman"/>
          <w:lang w:val="sr-Latn-BA"/>
        </w:rPr>
        <w:t>у</w:t>
      </w:r>
      <w:r w:rsidR="00AA46AB" w:rsidRPr="00295637">
        <w:rPr>
          <w:rFonts w:ascii="Times New Roman" w:hAnsi="Times New Roman"/>
          <w:lang w:val="sr-Latn-BA"/>
        </w:rPr>
        <w:t xml:space="preserve"> </w:t>
      </w:r>
      <w:r>
        <w:rPr>
          <w:rFonts w:ascii="Times New Roman" w:hAnsi="Times New Roman"/>
          <w:lang w:val="sr-Latn-BA"/>
        </w:rPr>
        <w:t>изради</w:t>
      </w:r>
      <w:r w:rsidR="00AA46AB" w:rsidRPr="00295637">
        <w:rPr>
          <w:rFonts w:ascii="Times New Roman" w:hAnsi="Times New Roman"/>
          <w:lang w:val="sr-Latn-BA"/>
        </w:rPr>
        <w:t xml:space="preserve"> </w:t>
      </w:r>
      <w:r>
        <w:rPr>
          <w:rFonts w:ascii="Times New Roman" w:hAnsi="Times New Roman"/>
          <w:lang w:val="sr-Latn-BA"/>
        </w:rPr>
        <w:t>информација</w:t>
      </w:r>
      <w:r w:rsidR="00AA46AB" w:rsidRPr="00295637">
        <w:rPr>
          <w:rFonts w:ascii="Times New Roman" w:hAnsi="Times New Roman"/>
          <w:lang w:val="sr-Latn-BA"/>
        </w:rPr>
        <w:t xml:space="preserve"> </w:t>
      </w:r>
      <w:r>
        <w:rPr>
          <w:rFonts w:ascii="Times New Roman" w:hAnsi="Times New Roman"/>
          <w:lang w:val="sr-Latn-BA"/>
        </w:rPr>
        <w:t>за</w:t>
      </w:r>
      <w:r w:rsidR="00AA46AB" w:rsidRPr="00295637">
        <w:rPr>
          <w:rFonts w:ascii="Times New Roman" w:hAnsi="Times New Roman"/>
          <w:lang w:val="sr-Latn-BA"/>
        </w:rPr>
        <w:t xml:space="preserve"> </w:t>
      </w:r>
      <w:r>
        <w:rPr>
          <w:rFonts w:ascii="Times New Roman" w:hAnsi="Times New Roman"/>
          <w:lang w:val="sr-Latn-BA"/>
        </w:rPr>
        <w:t>упитник</w:t>
      </w:r>
      <w:r w:rsidR="00AA46AB" w:rsidRPr="00295637">
        <w:rPr>
          <w:rFonts w:ascii="Times New Roman" w:hAnsi="Times New Roman"/>
          <w:lang w:val="sr-Cyrl-BA"/>
        </w:rPr>
        <w:t xml:space="preserve"> „</w:t>
      </w:r>
      <w:r>
        <w:rPr>
          <w:rFonts w:ascii="Times New Roman" w:hAnsi="Times New Roman"/>
          <w:lang w:val="sr-Cyrl-BA"/>
        </w:rPr>
        <w:t>Удружених</w:t>
      </w:r>
      <w:r w:rsidR="00AA46AB" w:rsidRPr="00295637">
        <w:rPr>
          <w:rFonts w:ascii="Times New Roman" w:hAnsi="Times New Roman"/>
          <w:lang w:val="sr-Cyrl-BA"/>
        </w:rPr>
        <w:t xml:space="preserve"> </w:t>
      </w:r>
      <w:r>
        <w:rPr>
          <w:rFonts w:ascii="Times New Roman" w:hAnsi="Times New Roman"/>
          <w:lang w:val="sr-Cyrl-BA"/>
        </w:rPr>
        <w:t>жена</w:t>
      </w:r>
      <w:r w:rsidR="00AA46AB" w:rsidRPr="00295637">
        <w:rPr>
          <w:rFonts w:ascii="Times New Roman" w:hAnsi="Times New Roman"/>
          <w:lang w:val="sr-Cyrl-BA"/>
        </w:rPr>
        <w:t xml:space="preserve">“ </w:t>
      </w:r>
      <w:r>
        <w:rPr>
          <w:rFonts w:ascii="Times New Roman" w:hAnsi="Times New Roman"/>
          <w:lang w:val="sr-Latn-BA"/>
        </w:rPr>
        <w:t>о</w:t>
      </w:r>
      <w:r w:rsidR="00AA46AB" w:rsidRPr="00295637">
        <w:rPr>
          <w:rFonts w:ascii="Times New Roman" w:hAnsi="Times New Roman"/>
          <w:lang w:val="sr-Cyrl-BA"/>
        </w:rPr>
        <w:t xml:space="preserve"> </w:t>
      </w:r>
      <w:r>
        <w:rPr>
          <w:rFonts w:ascii="Times New Roman" w:hAnsi="Times New Roman"/>
          <w:lang w:val="sr-Cyrl-BA"/>
        </w:rPr>
        <w:t>праћењ</w:t>
      </w:r>
      <w:r>
        <w:rPr>
          <w:rFonts w:ascii="Times New Roman" w:hAnsi="Times New Roman"/>
          <w:lang w:val="sr-Latn-BA"/>
        </w:rPr>
        <w:t>у</w:t>
      </w:r>
      <w:r w:rsidR="00AA46AB" w:rsidRPr="00295637">
        <w:rPr>
          <w:rFonts w:ascii="Times New Roman" w:hAnsi="Times New Roman"/>
          <w:lang w:val="sr-Cyrl-BA"/>
        </w:rPr>
        <w:t xml:space="preserve"> </w:t>
      </w:r>
      <w:r>
        <w:rPr>
          <w:rFonts w:ascii="Times New Roman" w:hAnsi="Times New Roman"/>
          <w:lang w:val="sr-Cyrl-BA"/>
        </w:rPr>
        <w:t>стања</w:t>
      </w:r>
      <w:r w:rsidR="00AA46AB" w:rsidRPr="00295637">
        <w:rPr>
          <w:rFonts w:ascii="Times New Roman" w:hAnsi="Times New Roman"/>
          <w:lang w:val="sr-Cyrl-BA"/>
        </w:rPr>
        <w:t xml:space="preserve"> </w:t>
      </w:r>
      <w:r>
        <w:rPr>
          <w:rFonts w:ascii="Times New Roman" w:hAnsi="Times New Roman"/>
          <w:lang w:val="sr-Cyrl-BA"/>
        </w:rPr>
        <w:t>борбе</w:t>
      </w:r>
      <w:r w:rsidR="00AA46AB" w:rsidRPr="00295637">
        <w:rPr>
          <w:rFonts w:ascii="Times New Roman" w:hAnsi="Times New Roman"/>
          <w:lang w:val="sr-Cyrl-BA"/>
        </w:rPr>
        <w:t xml:space="preserve"> </w:t>
      </w:r>
      <w:r>
        <w:rPr>
          <w:rFonts w:ascii="Times New Roman" w:hAnsi="Times New Roman"/>
          <w:lang w:val="sr-Cyrl-BA"/>
        </w:rPr>
        <w:t>против</w:t>
      </w:r>
      <w:r w:rsidR="00AA46AB" w:rsidRPr="00295637">
        <w:rPr>
          <w:rFonts w:ascii="Times New Roman" w:hAnsi="Times New Roman"/>
          <w:lang w:val="sr-Cyrl-BA"/>
        </w:rPr>
        <w:t xml:space="preserve"> </w:t>
      </w:r>
      <w:r>
        <w:rPr>
          <w:rFonts w:ascii="Times New Roman" w:hAnsi="Times New Roman"/>
          <w:lang w:val="sr-Cyrl-BA"/>
        </w:rPr>
        <w:t>родно</w:t>
      </w:r>
      <w:r w:rsidR="00AA46AB" w:rsidRPr="00295637">
        <w:rPr>
          <w:rFonts w:ascii="Times New Roman" w:hAnsi="Times New Roman"/>
          <w:lang w:val="sr-Cyrl-BA"/>
        </w:rPr>
        <w:t xml:space="preserve"> </w:t>
      </w:r>
      <w:r>
        <w:rPr>
          <w:rFonts w:ascii="Times New Roman" w:hAnsi="Times New Roman"/>
          <w:lang w:val="hr-HR"/>
        </w:rPr>
        <w:t>заснованог</w:t>
      </w:r>
      <w:r w:rsidR="00C3379B">
        <w:rPr>
          <w:rFonts w:ascii="Times New Roman" w:hAnsi="Times New Roman"/>
          <w:lang w:val="hr-HR"/>
        </w:rPr>
        <w:t xml:space="preserve"> </w:t>
      </w:r>
      <w:r>
        <w:rPr>
          <w:rFonts w:ascii="Times New Roman" w:hAnsi="Times New Roman"/>
          <w:lang w:val="sr-Cyrl-BA"/>
        </w:rPr>
        <w:t>насиља</w:t>
      </w:r>
      <w:r w:rsidR="00AA46AB" w:rsidRPr="004D7654">
        <w:rPr>
          <w:rFonts w:ascii="Times New Roman" w:hAnsi="Times New Roman"/>
          <w:lang w:val="sr-Latn-BA"/>
        </w:rPr>
        <w:t>;</w:t>
      </w:r>
      <w:r w:rsidR="00465DCF" w:rsidRPr="004D7654">
        <w:rPr>
          <w:rFonts w:ascii="Times New Roman" w:hAnsi="Times New Roman"/>
          <w:lang w:val="sr-Latn-BA"/>
        </w:rPr>
        <w:t xml:space="preserve"> </w:t>
      </w:r>
      <w:r>
        <w:rPr>
          <w:rFonts w:ascii="Times New Roman" w:hAnsi="Times New Roman"/>
          <w:lang w:val="hr-HR"/>
        </w:rPr>
        <w:t>учешће</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конференцији</w:t>
      </w:r>
      <w:r w:rsidR="004F0EF3">
        <w:rPr>
          <w:rFonts w:ascii="Times New Roman" w:hAnsi="Times New Roman"/>
          <w:lang w:val="sr-Cyrl-BA"/>
        </w:rPr>
        <w:t xml:space="preserve"> </w:t>
      </w:r>
      <w:r>
        <w:rPr>
          <w:rFonts w:ascii="Times New Roman" w:hAnsi="Times New Roman"/>
          <w:lang w:val="sr-Cyrl-BA"/>
        </w:rPr>
        <w:t>под</w:t>
      </w:r>
      <w:r w:rsidR="004F0EF3">
        <w:rPr>
          <w:rFonts w:ascii="Times New Roman" w:hAnsi="Times New Roman"/>
          <w:lang w:val="sr-Cyrl-BA"/>
        </w:rPr>
        <w:t xml:space="preserve"> </w:t>
      </w:r>
      <w:r>
        <w:rPr>
          <w:rFonts w:ascii="Times New Roman" w:hAnsi="Times New Roman"/>
          <w:lang w:val="sr-Cyrl-BA"/>
        </w:rPr>
        <w:t>називом</w:t>
      </w:r>
      <w:r w:rsidR="004F0EF3">
        <w:rPr>
          <w:rFonts w:ascii="Times New Roman" w:hAnsi="Times New Roman"/>
          <w:lang w:val="sr-Cyrl-BA"/>
        </w:rPr>
        <w:t xml:space="preserve"> „</w:t>
      </w:r>
      <w:r>
        <w:rPr>
          <w:rFonts w:ascii="Times New Roman" w:hAnsi="Times New Roman"/>
          <w:lang w:val="sr-Cyrl-BA"/>
        </w:rPr>
        <w:t>Жене</w:t>
      </w:r>
      <w:r w:rsidR="004F0EF3">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sidR="00AA46AB" w:rsidRPr="00295637">
        <w:rPr>
          <w:rFonts w:ascii="Times New Roman" w:hAnsi="Times New Roman"/>
          <w:lang w:val="sr-Cyrl-BA"/>
        </w:rPr>
        <w:t xml:space="preserve"> </w:t>
      </w:r>
      <w:r>
        <w:rPr>
          <w:rFonts w:ascii="Times New Roman" w:hAnsi="Times New Roman"/>
          <w:lang w:val="sr-Cyrl-BA"/>
        </w:rPr>
        <w:t>инвалидитетом</w:t>
      </w:r>
      <w:r w:rsidR="004F0EF3">
        <w:rPr>
          <w:rFonts w:ascii="Times New Roman" w:hAnsi="Times New Roman"/>
          <w:lang w:val="sr-Cyrl-BA"/>
        </w:rPr>
        <w:t xml:space="preserve"> </w:t>
      </w:r>
      <w:r>
        <w:rPr>
          <w:rFonts w:ascii="Times New Roman" w:hAnsi="Times New Roman"/>
          <w:lang w:val="sr-Cyrl-BA"/>
        </w:rPr>
        <w:t>и</w:t>
      </w:r>
      <w:r w:rsidR="004F0EF3">
        <w:rPr>
          <w:rFonts w:ascii="Times New Roman" w:hAnsi="Times New Roman"/>
          <w:lang w:val="sr-Cyrl-BA"/>
        </w:rPr>
        <w:t xml:space="preserve"> </w:t>
      </w:r>
      <w:r>
        <w:rPr>
          <w:rFonts w:ascii="Times New Roman" w:hAnsi="Times New Roman"/>
          <w:lang w:val="sr-Cyrl-BA"/>
        </w:rPr>
        <w:t>родна</w:t>
      </w:r>
      <w:r w:rsidR="004F0EF3">
        <w:rPr>
          <w:rFonts w:ascii="Times New Roman" w:hAnsi="Times New Roman"/>
          <w:lang w:val="sr-Cyrl-BA"/>
        </w:rPr>
        <w:t xml:space="preserve"> </w:t>
      </w:r>
      <w:r>
        <w:rPr>
          <w:rFonts w:ascii="Times New Roman" w:hAnsi="Times New Roman"/>
          <w:lang w:val="sr-Cyrl-BA"/>
        </w:rPr>
        <w:t>равноправност</w:t>
      </w:r>
      <w:r w:rsidR="004F0EF3">
        <w:rPr>
          <w:rFonts w:ascii="Times New Roman" w:hAnsi="Times New Roman"/>
          <w:lang w:val="hr-HR"/>
        </w:rPr>
        <w:t>“</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организацији</w:t>
      </w:r>
      <w:r w:rsidR="00AA46AB" w:rsidRPr="00295637">
        <w:rPr>
          <w:rFonts w:ascii="Times New Roman" w:hAnsi="Times New Roman"/>
          <w:lang w:val="sr-Cyrl-BA"/>
        </w:rPr>
        <w:t xml:space="preserve"> </w:t>
      </w:r>
      <w:r>
        <w:rPr>
          <w:rFonts w:ascii="Times New Roman" w:hAnsi="Times New Roman"/>
          <w:lang w:val="sr-Cyrl-BA"/>
        </w:rPr>
        <w:t>ИЦ</w:t>
      </w:r>
      <w:r w:rsidR="00AA46AB" w:rsidRPr="00295637">
        <w:rPr>
          <w:rFonts w:ascii="Times New Roman" w:hAnsi="Times New Roman"/>
          <w:lang w:val="sr-Cyrl-BA"/>
        </w:rPr>
        <w:t>-</w:t>
      </w:r>
      <w:r>
        <w:rPr>
          <w:rFonts w:ascii="Times New Roman" w:hAnsi="Times New Roman"/>
          <w:lang w:val="sr-Cyrl-BA"/>
        </w:rPr>
        <w:t>а</w:t>
      </w:r>
      <w:r w:rsidR="00AA46AB" w:rsidRPr="00295637">
        <w:rPr>
          <w:rFonts w:ascii="Times New Roman" w:hAnsi="Times New Roman"/>
          <w:lang w:val="sr-Cyrl-BA"/>
        </w:rPr>
        <w:t xml:space="preserve"> </w:t>
      </w:r>
      <w:r w:rsidR="004F0EF3">
        <w:rPr>
          <w:rFonts w:ascii="Times New Roman" w:hAnsi="Times New Roman"/>
          <w:lang w:val="hr-HR"/>
        </w:rPr>
        <w:t>„</w:t>
      </w:r>
      <w:r>
        <w:rPr>
          <w:rFonts w:ascii="Times New Roman" w:hAnsi="Times New Roman"/>
          <w:lang w:val="sr-Cyrl-BA"/>
        </w:rPr>
        <w:t>Лотос</w:t>
      </w:r>
      <w:r w:rsidR="004F0EF3">
        <w:rPr>
          <w:rFonts w:ascii="Times New Roman" w:hAnsi="Times New Roman"/>
          <w:lang w:val="hr-HR"/>
        </w:rPr>
        <w:t>“</w:t>
      </w:r>
      <w:r w:rsidR="00AA46AB" w:rsidRPr="00295637">
        <w:rPr>
          <w:rFonts w:ascii="Times New Roman" w:hAnsi="Times New Roman"/>
          <w:lang w:val="sr-Cyrl-BA"/>
        </w:rPr>
        <w:t xml:space="preserve">, </w:t>
      </w:r>
      <w:r>
        <w:rPr>
          <w:rFonts w:ascii="Times New Roman" w:hAnsi="Times New Roman"/>
          <w:lang w:val="sr-Cyrl-BA"/>
        </w:rPr>
        <w:t>одржаној</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Неуму</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hr-HR"/>
        </w:rPr>
        <w:t>јуну</w:t>
      </w:r>
      <w:r w:rsidR="00AA46AB" w:rsidRPr="00295637">
        <w:rPr>
          <w:rFonts w:ascii="Times New Roman" w:hAnsi="Times New Roman"/>
          <w:lang w:val="sr-Cyrl-BA"/>
        </w:rPr>
        <w:t xml:space="preserve"> 2024. </w:t>
      </w:r>
      <w:r>
        <w:rPr>
          <w:rFonts w:ascii="Times New Roman" w:hAnsi="Times New Roman"/>
          <w:lang w:val="sr-Cyrl-BA"/>
        </w:rPr>
        <w:t>године</w:t>
      </w:r>
      <w:r w:rsidR="00EB326B">
        <w:rPr>
          <w:rFonts w:ascii="Times New Roman" w:hAnsi="Times New Roman"/>
          <w:lang w:val="sr-Latn-BA"/>
        </w:rPr>
        <w:t xml:space="preserve"> </w:t>
      </w:r>
      <w:r>
        <w:rPr>
          <w:rFonts w:ascii="Times New Roman" w:hAnsi="Times New Roman"/>
          <w:lang w:val="sr-Latn-BA"/>
        </w:rPr>
        <w:t>и</w:t>
      </w:r>
      <w:r w:rsidR="00465DCF" w:rsidRPr="00295637">
        <w:rPr>
          <w:rFonts w:ascii="Times New Roman" w:hAnsi="Times New Roman"/>
          <w:lang w:val="sr-Latn-BA"/>
        </w:rPr>
        <w:t xml:space="preserve"> </w:t>
      </w:r>
      <w:r>
        <w:rPr>
          <w:rFonts w:ascii="Times New Roman" w:hAnsi="Times New Roman"/>
          <w:lang w:val="sr-Cyrl-BA"/>
        </w:rPr>
        <w:t>одговор</w:t>
      </w:r>
      <w:r>
        <w:rPr>
          <w:rFonts w:ascii="Times New Roman" w:hAnsi="Times New Roman"/>
          <w:lang w:val="sr-Latn-BA"/>
        </w:rPr>
        <w:t>и</w:t>
      </w:r>
      <w:r w:rsidR="00AA46AB" w:rsidRPr="00295637">
        <w:rPr>
          <w:rFonts w:ascii="Times New Roman" w:hAnsi="Times New Roman"/>
          <w:lang w:val="sr-Cyrl-BA"/>
        </w:rPr>
        <w:t xml:space="preserve"> </w:t>
      </w:r>
      <w:r>
        <w:rPr>
          <w:rFonts w:ascii="Times New Roman" w:hAnsi="Times New Roman"/>
          <w:lang w:val="sr-Cyrl-BA"/>
        </w:rPr>
        <w:t>на</w:t>
      </w:r>
      <w:r w:rsidR="00AA46AB" w:rsidRPr="00295637">
        <w:rPr>
          <w:rFonts w:ascii="Times New Roman" w:hAnsi="Times New Roman"/>
          <w:lang w:val="sr-Cyrl-BA"/>
        </w:rPr>
        <w:t xml:space="preserve"> </w:t>
      </w:r>
      <w:r>
        <w:rPr>
          <w:rFonts w:ascii="Times New Roman" w:hAnsi="Times New Roman"/>
          <w:lang w:val="sr-Cyrl-BA"/>
        </w:rPr>
        <w:t>захтјев</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приступ</w:t>
      </w:r>
      <w:r w:rsidR="00AA46AB" w:rsidRPr="00295637">
        <w:rPr>
          <w:rFonts w:ascii="Times New Roman" w:hAnsi="Times New Roman"/>
          <w:lang w:val="sr-Cyrl-BA"/>
        </w:rPr>
        <w:t xml:space="preserve"> </w:t>
      </w:r>
      <w:r>
        <w:rPr>
          <w:rFonts w:ascii="Times New Roman" w:hAnsi="Times New Roman"/>
          <w:lang w:val="sr-Cyrl-BA"/>
        </w:rPr>
        <w:t>информацијама</w:t>
      </w:r>
      <w:r w:rsidR="00AA46AB" w:rsidRPr="00295637">
        <w:rPr>
          <w:rFonts w:ascii="Times New Roman" w:hAnsi="Times New Roman"/>
          <w:lang w:val="sr-Cyrl-BA"/>
        </w:rPr>
        <w:t xml:space="preserve"> </w:t>
      </w:r>
      <w:r>
        <w:rPr>
          <w:rFonts w:ascii="Times New Roman" w:hAnsi="Times New Roman"/>
          <w:lang w:val="sr-Cyrl-BA"/>
        </w:rPr>
        <w:t>Центра</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заштиту</w:t>
      </w:r>
      <w:r w:rsidR="00AA46AB" w:rsidRPr="00295637">
        <w:rPr>
          <w:rFonts w:ascii="Times New Roman" w:hAnsi="Times New Roman"/>
          <w:lang w:val="sr-Cyrl-BA"/>
        </w:rPr>
        <w:t xml:space="preserve"> </w:t>
      </w:r>
      <w:r>
        <w:rPr>
          <w:rFonts w:ascii="Times New Roman" w:hAnsi="Times New Roman"/>
          <w:lang w:val="hr-HR"/>
        </w:rPr>
        <w:t>околиша</w:t>
      </w:r>
      <w:r w:rsidR="00AA46AB"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они</w:t>
      </w:r>
      <w:r w:rsidR="00AA46AB" w:rsidRPr="00295637">
        <w:rPr>
          <w:rFonts w:ascii="Times New Roman" w:hAnsi="Times New Roman"/>
          <w:lang w:val="sr-Cyrl-BA"/>
        </w:rPr>
        <w:t xml:space="preserve"> </w:t>
      </w:r>
      <w:r>
        <w:rPr>
          <w:rFonts w:ascii="Times New Roman" w:hAnsi="Times New Roman"/>
          <w:lang w:val="sr-Cyrl-BA"/>
        </w:rPr>
        <w:t>план</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sidR="007550FB">
        <w:rPr>
          <w:rFonts w:ascii="Times New Roman" w:hAnsi="Times New Roman"/>
          <w:lang w:val="sr-Cyrl-BA"/>
        </w:rPr>
        <w:t>спровођење</w:t>
      </w:r>
      <w:r w:rsidR="00AA46AB" w:rsidRPr="00295637">
        <w:rPr>
          <w:rFonts w:ascii="Times New Roman" w:hAnsi="Times New Roman"/>
          <w:lang w:val="sr-Cyrl-BA"/>
        </w:rPr>
        <w:t xml:space="preserve"> </w:t>
      </w:r>
      <w:r>
        <w:rPr>
          <w:rFonts w:ascii="Times New Roman" w:hAnsi="Times New Roman"/>
          <w:lang w:val="sr-Cyrl-BA"/>
        </w:rPr>
        <w:t>ГРЕВИО</w:t>
      </w:r>
      <w:r w:rsidR="00AA46AB" w:rsidRPr="00295637">
        <w:rPr>
          <w:rFonts w:ascii="Times New Roman" w:hAnsi="Times New Roman"/>
          <w:lang w:val="sr-Cyrl-BA"/>
        </w:rPr>
        <w:t xml:space="preserve"> </w:t>
      </w:r>
      <w:r>
        <w:rPr>
          <w:rFonts w:ascii="Times New Roman" w:hAnsi="Times New Roman"/>
          <w:lang w:val="sr-Cyrl-BA"/>
        </w:rPr>
        <w:t>препорука</w:t>
      </w:r>
      <w:r w:rsidR="00AA46AB" w:rsidRPr="00295637">
        <w:rPr>
          <w:rFonts w:ascii="Times New Roman" w:hAnsi="Times New Roman"/>
          <w:lang w:val="sr-Cyrl-BA"/>
        </w:rPr>
        <w:t xml:space="preserve"> </w:t>
      </w:r>
      <w:r>
        <w:rPr>
          <w:rFonts w:ascii="Times New Roman" w:hAnsi="Times New Roman"/>
          <w:lang w:val="sr-Cyrl-BA"/>
        </w:rPr>
        <w:t>у</w:t>
      </w:r>
      <w:r w:rsidR="00AA46AB" w:rsidRPr="00295637">
        <w:rPr>
          <w:rFonts w:ascii="Times New Roman" w:hAnsi="Times New Roman"/>
          <w:lang w:val="sr-Cyrl-BA"/>
        </w:rPr>
        <w:t xml:space="preserve"> </w:t>
      </w:r>
      <w:r>
        <w:rPr>
          <w:rFonts w:ascii="Times New Roman" w:hAnsi="Times New Roman"/>
          <w:lang w:val="sr-Cyrl-BA"/>
        </w:rPr>
        <w:t>Републици</w:t>
      </w:r>
      <w:r w:rsidR="00AA46AB" w:rsidRPr="00295637">
        <w:rPr>
          <w:rFonts w:ascii="Times New Roman" w:hAnsi="Times New Roman"/>
          <w:lang w:val="sr-Cyrl-BA"/>
        </w:rPr>
        <w:t xml:space="preserve"> </w:t>
      </w:r>
      <w:r>
        <w:rPr>
          <w:rFonts w:ascii="Times New Roman" w:hAnsi="Times New Roman"/>
          <w:lang w:val="sr-Cyrl-BA"/>
        </w:rPr>
        <w:t>Српској</w:t>
      </w:r>
      <w:r w:rsidR="00AA46AB" w:rsidRPr="00295637">
        <w:rPr>
          <w:rFonts w:ascii="Times New Roman" w:hAnsi="Times New Roman"/>
          <w:lang w:val="sr-Cyrl-BA"/>
        </w:rPr>
        <w:t>)</w:t>
      </w:r>
      <w:r w:rsidR="00AA46AB" w:rsidRPr="00295637">
        <w:rPr>
          <w:rFonts w:ascii="Times New Roman" w:hAnsi="Times New Roman"/>
          <w:lang w:val="sr-Latn-BA"/>
        </w:rPr>
        <w:t xml:space="preserve"> </w:t>
      </w:r>
      <w:r>
        <w:rPr>
          <w:rFonts w:ascii="Times New Roman" w:hAnsi="Times New Roman"/>
          <w:lang w:val="sr-Latn-BA"/>
        </w:rPr>
        <w:t>и</w:t>
      </w:r>
      <w:r w:rsidR="00AA46AB" w:rsidRPr="00295637">
        <w:rPr>
          <w:rFonts w:ascii="Times New Roman" w:hAnsi="Times New Roman"/>
          <w:lang w:val="sr-Latn-BA"/>
        </w:rPr>
        <w:t xml:space="preserve"> </w:t>
      </w:r>
      <w:r>
        <w:rPr>
          <w:rFonts w:ascii="Times New Roman" w:hAnsi="Times New Roman"/>
          <w:lang w:val="sr-Latn-BA"/>
        </w:rPr>
        <w:t>на</w:t>
      </w:r>
      <w:r w:rsidR="00AA46AB" w:rsidRPr="00295637">
        <w:rPr>
          <w:rFonts w:ascii="Times New Roman" w:hAnsi="Times New Roman"/>
          <w:lang w:val="sr-Cyrl-BA"/>
        </w:rPr>
        <w:t xml:space="preserve"> </w:t>
      </w:r>
      <w:r>
        <w:rPr>
          <w:rFonts w:ascii="Times New Roman" w:hAnsi="Times New Roman"/>
          <w:lang w:val="sr-Cyrl-BA"/>
        </w:rPr>
        <w:t>захтјев</w:t>
      </w:r>
      <w:r w:rsidR="00AA46AB" w:rsidRPr="00295637">
        <w:rPr>
          <w:rFonts w:ascii="Times New Roman" w:hAnsi="Times New Roman"/>
          <w:lang w:val="sr-Cyrl-BA"/>
        </w:rPr>
        <w:t xml:space="preserve"> </w:t>
      </w:r>
      <w:r>
        <w:rPr>
          <w:rFonts w:ascii="Times New Roman" w:hAnsi="Times New Roman"/>
          <w:lang w:val="sr-Cyrl-BA"/>
        </w:rPr>
        <w:t>за</w:t>
      </w:r>
      <w:r w:rsidR="00AA46AB" w:rsidRPr="00295637">
        <w:rPr>
          <w:rFonts w:ascii="Times New Roman" w:hAnsi="Times New Roman"/>
          <w:lang w:val="sr-Cyrl-BA"/>
        </w:rPr>
        <w:t xml:space="preserve"> </w:t>
      </w:r>
      <w:r>
        <w:rPr>
          <w:rFonts w:ascii="Times New Roman" w:hAnsi="Times New Roman"/>
          <w:lang w:val="sr-Cyrl-BA"/>
        </w:rPr>
        <w:t>приступ</w:t>
      </w:r>
      <w:r w:rsidR="00AA46AB" w:rsidRPr="00295637">
        <w:rPr>
          <w:rFonts w:ascii="Times New Roman" w:hAnsi="Times New Roman"/>
          <w:lang w:val="sr-Cyrl-BA"/>
        </w:rPr>
        <w:t xml:space="preserve"> </w:t>
      </w:r>
      <w:r>
        <w:rPr>
          <w:rFonts w:ascii="Times New Roman" w:hAnsi="Times New Roman"/>
          <w:lang w:val="sr-Cyrl-BA"/>
        </w:rPr>
        <w:t>информацијама</w:t>
      </w:r>
      <w:r w:rsidR="00AA46AB" w:rsidRPr="00295637">
        <w:rPr>
          <w:rFonts w:ascii="Times New Roman" w:hAnsi="Times New Roman"/>
          <w:lang w:val="sr-Cyrl-BA"/>
        </w:rPr>
        <w:t xml:space="preserve"> </w:t>
      </w:r>
      <w:r>
        <w:rPr>
          <w:rFonts w:ascii="Times New Roman" w:hAnsi="Times New Roman"/>
          <w:lang w:val="sr-Cyrl-BA"/>
        </w:rPr>
        <w:t>Сарајевског</w:t>
      </w:r>
      <w:r w:rsidR="00AA46AB" w:rsidRPr="00295637">
        <w:rPr>
          <w:rFonts w:ascii="Times New Roman" w:hAnsi="Times New Roman"/>
          <w:lang w:val="sr-Cyrl-BA"/>
        </w:rPr>
        <w:t xml:space="preserve"> </w:t>
      </w:r>
      <w:r>
        <w:rPr>
          <w:rFonts w:ascii="Times New Roman" w:hAnsi="Times New Roman"/>
          <w:lang w:val="sr-Cyrl-BA"/>
        </w:rPr>
        <w:t>отвореног</w:t>
      </w:r>
      <w:r w:rsidR="00AA46AB" w:rsidRPr="00295637">
        <w:rPr>
          <w:rFonts w:ascii="Times New Roman" w:hAnsi="Times New Roman"/>
          <w:lang w:val="sr-Cyrl-BA"/>
        </w:rPr>
        <w:t xml:space="preserve"> </w:t>
      </w:r>
      <w:r>
        <w:rPr>
          <w:rFonts w:ascii="Times New Roman" w:hAnsi="Times New Roman"/>
          <w:lang w:val="sr-Cyrl-BA"/>
        </w:rPr>
        <w:t>центра</w:t>
      </w:r>
      <w:r w:rsidR="00AA46AB" w:rsidRPr="00295637">
        <w:rPr>
          <w:rFonts w:ascii="Times New Roman" w:hAnsi="Times New Roman"/>
          <w:lang w:val="sr-Latn-BA"/>
        </w:rPr>
        <w:t>.</w:t>
      </w:r>
    </w:p>
    <w:p w:rsidR="00DF5D69" w:rsidRPr="00295637" w:rsidRDefault="00DF5D69" w:rsidP="0086268D">
      <w:pPr>
        <w:rPr>
          <w:szCs w:val="24"/>
          <w:lang w:val="bs-Latn-BA"/>
        </w:rPr>
      </w:pPr>
    </w:p>
    <w:p w:rsidR="002D2D24" w:rsidRPr="00295637" w:rsidRDefault="007550FB" w:rsidP="00C3379B">
      <w:pPr>
        <w:pStyle w:val="Heading4"/>
        <w:numPr>
          <w:ilvl w:val="0"/>
          <w:numId w:val="0"/>
        </w:numPr>
        <w:spacing w:after="0" w:line="240" w:lineRule="auto"/>
        <w:ind w:left="567"/>
        <w:rPr>
          <w:rFonts w:ascii="Times New Roman" w:hAnsi="Times New Roman" w:cs="Times New Roman"/>
          <w:b w:val="0"/>
          <w:lang w:val="bs-Latn-BA"/>
        </w:rPr>
      </w:pPr>
      <w:r>
        <w:rPr>
          <w:rFonts w:ascii="Times New Roman" w:hAnsi="Times New Roman" w:cs="Times New Roman"/>
          <w:b w:val="0"/>
          <w:lang w:val="bs-Latn-BA"/>
        </w:rPr>
        <w:t>III</w:t>
      </w:r>
      <w:r w:rsidR="00C3379B">
        <w:rPr>
          <w:rFonts w:ascii="Times New Roman" w:hAnsi="Times New Roman" w:cs="Times New Roman"/>
          <w:b w:val="0"/>
          <w:lang w:val="bs-Latn-BA"/>
        </w:rPr>
        <w:t xml:space="preserve"> 2.2. </w:t>
      </w:r>
      <w:r w:rsidR="00C6214E">
        <w:rPr>
          <w:rFonts w:ascii="Times New Roman" w:hAnsi="Times New Roman" w:cs="Times New Roman"/>
          <w:b w:val="0"/>
          <w:lang w:val="bs-Latn-BA"/>
        </w:rPr>
        <w:t>Унапређење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редовне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формалне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неформалне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сарадње</w:t>
      </w:r>
      <w:r w:rsidR="004F0EF3">
        <w:rPr>
          <w:rFonts w:ascii="Times New Roman" w:hAnsi="Times New Roman" w:cs="Times New Roman"/>
          <w:b w:val="0"/>
          <w:lang w:val="bs-Latn-BA"/>
        </w:rPr>
        <w:t xml:space="preserve"> </w:t>
      </w:r>
      <w:r w:rsidR="00C6214E">
        <w:rPr>
          <w:rFonts w:ascii="Times New Roman" w:hAnsi="Times New Roman" w:cs="Times New Roman"/>
          <w:b w:val="0"/>
          <w:lang w:val="bs-Latn-BA"/>
        </w:rPr>
        <w:t>са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другим</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организацијама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цивилног</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друштва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укључујући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медијске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организације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социјалне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партнере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истраживачке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академске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институције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професионалне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организације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специфичне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интересне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групе</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ради</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подизања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нивоа</w:t>
      </w:r>
      <w:r w:rsidR="00356C2C"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свијести</w:t>
      </w:r>
      <w:r w:rsidR="00A92736"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о</w:t>
      </w:r>
      <w:r w:rsidR="00A92736"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равноправности</w:t>
      </w:r>
      <w:r w:rsidR="00A92736" w:rsidRPr="00295637">
        <w:rPr>
          <w:rFonts w:ascii="Times New Roman" w:hAnsi="Times New Roman" w:cs="Times New Roman"/>
          <w:b w:val="0"/>
          <w:lang w:val="bs-Latn-BA"/>
        </w:rPr>
        <w:t xml:space="preserve"> </w:t>
      </w:r>
      <w:r w:rsidR="00C6214E">
        <w:rPr>
          <w:rFonts w:ascii="Times New Roman" w:hAnsi="Times New Roman" w:cs="Times New Roman"/>
          <w:b w:val="0"/>
          <w:lang w:val="bs-Latn-BA"/>
        </w:rPr>
        <w:t>полова</w:t>
      </w:r>
      <w:r w:rsidR="00A92736" w:rsidRPr="00295637">
        <w:rPr>
          <w:rFonts w:ascii="Times New Roman" w:hAnsi="Times New Roman" w:cs="Times New Roman"/>
          <w:b w:val="0"/>
          <w:lang w:val="bs-Latn-BA"/>
        </w:rPr>
        <w:t>.</w:t>
      </w:r>
    </w:p>
    <w:p w:rsidR="002A0708" w:rsidRPr="00295637" w:rsidRDefault="002A0708" w:rsidP="0086268D">
      <w:pPr>
        <w:rPr>
          <w:lang w:val="bs-Latn-BA"/>
        </w:rPr>
      </w:pPr>
    </w:p>
    <w:p w:rsidR="003E3698" w:rsidRPr="00295637" w:rsidRDefault="00C6214E" w:rsidP="0086268D">
      <w:pPr>
        <w:jc w:val="both"/>
        <w:rPr>
          <w:rFonts w:ascii="Times New Roman" w:hAnsi="Times New Roman"/>
          <w:lang w:val="bs-Latn-BA"/>
        </w:rPr>
      </w:pPr>
      <w:r>
        <w:rPr>
          <w:rFonts w:ascii="Times New Roman" w:hAnsi="Times New Roman"/>
          <w:lang w:val="bs-Latn-BA"/>
        </w:rPr>
        <w:t>АР</w:t>
      </w:r>
      <w:r w:rsidR="007550FB">
        <w:rPr>
          <w:rFonts w:ascii="Times New Roman" w:hAnsi="Times New Roman"/>
          <w:lang w:val="sr-Cyrl-BA"/>
        </w:rPr>
        <w:t>П</w:t>
      </w:r>
      <w:r w:rsidR="004F0EF3">
        <w:rPr>
          <w:rFonts w:ascii="Times New Roman" w:hAnsi="Times New Roman"/>
          <w:lang w:val="bs-Latn-BA"/>
        </w:rPr>
        <w:t xml:space="preserve"> </w:t>
      </w:r>
      <w:r>
        <w:rPr>
          <w:rFonts w:ascii="Times New Roman" w:hAnsi="Times New Roman"/>
          <w:lang w:val="bs-Latn-BA"/>
        </w:rPr>
        <w:t>БиХ</w:t>
      </w:r>
      <w:r w:rsidR="004F0EF3">
        <w:rPr>
          <w:rFonts w:ascii="Times New Roman" w:hAnsi="Times New Roman"/>
          <w:lang w:val="bs-Latn-BA"/>
        </w:rPr>
        <w:t xml:space="preserve"> </w:t>
      </w:r>
      <w:r>
        <w:rPr>
          <w:rFonts w:ascii="Times New Roman" w:hAnsi="Times New Roman"/>
          <w:lang w:val="bs-Latn-BA"/>
        </w:rPr>
        <w:t>МЉПИ</w:t>
      </w:r>
      <w:r w:rsidR="004F0EF3">
        <w:rPr>
          <w:rFonts w:ascii="Times New Roman" w:hAnsi="Times New Roman"/>
          <w:lang w:val="bs-Latn-BA"/>
        </w:rPr>
        <w:t xml:space="preserve"> </w:t>
      </w:r>
      <w:r>
        <w:rPr>
          <w:rFonts w:ascii="Times New Roman" w:hAnsi="Times New Roman"/>
          <w:lang w:val="bs-Latn-BA"/>
        </w:rPr>
        <w:t>БиХ</w:t>
      </w:r>
      <w:r w:rsidR="00EB326B">
        <w:rPr>
          <w:rFonts w:ascii="Times New Roman" w:hAnsi="Times New Roman"/>
          <w:lang w:val="bs-Latn-BA"/>
        </w:rPr>
        <w:t>,</w:t>
      </w:r>
      <w:r w:rsidR="003E3698">
        <w:rPr>
          <w:rFonts w:ascii="Times New Roman" w:hAnsi="Times New Roman"/>
          <w:lang w:val="bs-Latn-BA"/>
        </w:rPr>
        <w:t xml:space="preserve"> </w:t>
      </w:r>
      <w:r>
        <w:rPr>
          <w:rFonts w:ascii="Times New Roman" w:hAnsi="Times New Roman"/>
          <w:lang w:val="bs-Latn-BA"/>
        </w:rPr>
        <w:t>ГЦ</w:t>
      </w:r>
      <w:r w:rsidR="004F0EF3">
        <w:rPr>
          <w:rFonts w:ascii="Times New Roman" w:hAnsi="Times New Roman"/>
          <w:lang w:val="bs-Latn-BA"/>
        </w:rPr>
        <w:t xml:space="preserve"> </w:t>
      </w:r>
      <w:r>
        <w:rPr>
          <w:rFonts w:ascii="Times New Roman" w:hAnsi="Times New Roman"/>
          <w:lang w:val="bs-Latn-BA"/>
        </w:rPr>
        <w:t>ФБиХ</w:t>
      </w:r>
      <w:r w:rsidR="003E3698" w:rsidRPr="00295637">
        <w:rPr>
          <w:rFonts w:ascii="Times New Roman" w:hAnsi="Times New Roman"/>
          <w:lang w:val="bs-Latn-BA"/>
        </w:rPr>
        <w:t xml:space="preserve"> </w:t>
      </w:r>
      <w:r>
        <w:rPr>
          <w:rFonts w:ascii="Times New Roman" w:hAnsi="Times New Roman"/>
          <w:lang w:val="bs-Latn-BA"/>
        </w:rPr>
        <w:t>и</w:t>
      </w:r>
      <w:r w:rsidR="003E3698">
        <w:rPr>
          <w:rFonts w:ascii="Times New Roman" w:hAnsi="Times New Roman"/>
          <w:lang w:val="bs-Latn-BA"/>
        </w:rPr>
        <w:t xml:space="preserve"> </w:t>
      </w:r>
      <w:r>
        <w:rPr>
          <w:rFonts w:ascii="Times New Roman" w:hAnsi="Times New Roman"/>
          <w:lang w:val="bs-Latn-BA"/>
        </w:rPr>
        <w:t>ЦЈРП</w:t>
      </w:r>
      <w:r w:rsidR="003E3698">
        <w:rPr>
          <w:rFonts w:ascii="Times New Roman" w:hAnsi="Times New Roman"/>
          <w:lang w:val="bs-Latn-BA"/>
        </w:rPr>
        <w:t xml:space="preserve"> </w:t>
      </w:r>
      <w:r>
        <w:rPr>
          <w:rFonts w:ascii="Times New Roman" w:hAnsi="Times New Roman"/>
          <w:lang w:val="bs-Latn-BA"/>
        </w:rPr>
        <w:t>РС</w:t>
      </w:r>
      <w:r w:rsidR="003E3698">
        <w:rPr>
          <w:rFonts w:ascii="Times New Roman" w:hAnsi="Times New Roman"/>
          <w:lang w:val="bs-Latn-BA"/>
        </w:rPr>
        <w:t xml:space="preserve"> </w:t>
      </w:r>
      <w:r>
        <w:rPr>
          <w:rFonts w:ascii="Times New Roman" w:hAnsi="Times New Roman"/>
          <w:lang w:val="bs-Latn-BA"/>
        </w:rPr>
        <w:t>његују</w:t>
      </w:r>
      <w:r w:rsidR="003E3698" w:rsidRPr="00295637">
        <w:rPr>
          <w:rFonts w:ascii="Times New Roman" w:hAnsi="Times New Roman"/>
          <w:lang w:val="bs-Latn-BA"/>
        </w:rPr>
        <w:t xml:space="preserve"> </w:t>
      </w:r>
      <w:r>
        <w:rPr>
          <w:rFonts w:ascii="Times New Roman" w:hAnsi="Times New Roman"/>
          <w:lang w:val="bs-Latn-BA"/>
        </w:rPr>
        <w:t>континуирану</w:t>
      </w:r>
      <w:r w:rsidR="003E3698" w:rsidRPr="00295637">
        <w:rPr>
          <w:rFonts w:ascii="Times New Roman" w:hAnsi="Times New Roman"/>
          <w:lang w:val="bs-Latn-BA"/>
        </w:rPr>
        <w:t xml:space="preserve"> </w:t>
      </w:r>
      <w:r>
        <w:rPr>
          <w:rFonts w:ascii="Times New Roman" w:hAnsi="Times New Roman"/>
          <w:lang w:val="bs-Latn-BA"/>
        </w:rPr>
        <w:t>сарадњу</w:t>
      </w:r>
      <w:r w:rsidR="004F0EF3">
        <w:rPr>
          <w:rFonts w:ascii="Times New Roman" w:hAnsi="Times New Roman"/>
          <w:lang w:val="bs-Latn-BA"/>
        </w:rPr>
        <w:t xml:space="preserve"> </w:t>
      </w:r>
      <w:r>
        <w:rPr>
          <w:rFonts w:ascii="Times New Roman" w:hAnsi="Times New Roman"/>
          <w:lang w:val="bs-Latn-BA"/>
        </w:rPr>
        <w:t>са</w:t>
      </w:r>
      <w:r w:rsidR="003E3698" w:rsidRPr="00295637">
        <w:rPr>
          <w:rFonts w:ascii="Times New Roman" w:hAnsi="Times New Roman"/>
          <w:lang w:val="bs-Latn-BA"/>
        </w:rPr>
        <w:t xml:space="preserve"> </w:t>
      </w:r>
      <w:r>
        <w:rPr>
          <w:rFonts w:ascii="Times New Roman" w:hAnsi="Times New Roman"/>
          <w:lang w:val="bs-Latn-BA"/>
        </w:rPr>
        <w:t>медијским</w:t>
      </w:r>
      <w:r w:rsidR="003E3698" w:rsidRPr="00295637">
        <w:rPr>
          <w:rFonts w:ascii="Times New Roman" w:hAnsi="Times New Roman"/>
          <w:lang w:val="bs-Latn-BA"/>
        </w:rPr>
        <w:t xml:space="preserve"> </w:t>
      </w:r>
      <w:r>
        <w:rPr>
          <w:rFonts w:ascii="Times New Roman" w:hAnsi="Times New Roman"/>
          <w:lang w:val="bs-Latn-BA"/>
        </w:rPr>
        <w:t>кућама</w:t>
      </w:r>
      <w:r w:rsidR="003E3698" w:rsidRPr="00295637">
        <w:rPr>
          <w:rFonts w:ascii="Times New Roman" w:hAnsi="Times New Roman"/>
          <w:lang w:val="bs-Latn-BA"/>
        </w:rPr>
        <w:t xml:space="preserve"> </w:t>
      </w:r>
      <w:r>
        <w:rPr>
          <w:rFonts w:ascii="Times New Roman" w:hAnsi="Times New Roman"/>
          <w:lang w:val="bs-Latn-BA"/>
        </w:rPr>
        <w:t>кроз</w:t>
      </w:r>
      <w:r w:rsidR="003E3698" w:rsidRPr="00295637">
        <w:rPr>
          <w:rFonts w:ascii="Times New Roman" w:hAnsi="Times New Roman"/>
          <w:lang w:val="bs-Latn-BA"/>
        </w:rPr>
        <w:t xml:space="preserve"> </w:t>
      </w:r>
      <w:r>
        <w:rPr>
          <w:rFonts w:ascii="Times New Roman" w:hAnsi="Times New Roman"/>
          <w:lang w:val="hr-HR"/>
        </w:rPr>
        <w:t>учешће</w:t>
      </w:r>
      <w:r w:rsidR="003E3698" w:rsidRPr="00295637">
        <w:rPr>
          <w:rFonts w:ascii="Times New Roman" w:hAnsi="Times New Roman"/>
          <w:lang w:val="bs-Latn-BA"/>
        </w:rPr>
        <w:t xml:space="preserve"> </w:t>
      </w:r>
      <w:r>
        <w:rPr>
          <w:rFonts w:ascii="Times New Roman" w:hAnsi="Times New Roman"/>
          <w:lang w:val="bs-Latn-BA"/>
        </w:rPr>
        <w:t>у</w:t>
      </w:r>
      <w:r w:rsidR="003E3698" w:rsidRPr="00295637">
        <w:rPr>
          <w:rFonts w:ascii="Times New Roman" w:hAnsi="Times New Roman"/>
          <w:lang w:val="bs-Latn-BA"/>
        </w:rPr>
        <w:t xml:space="preserve"> </w:t>
      </w:r>
      <w:r>
        <w:rPr>
          <w:rFonts w:ascii="Times New Roman" w:hAnsi="Times New Roman"/>
          <w:lang w:val="bs-Latn-BA"/>
        </w:rPr>
        <w:t>тематским</w:t>
      </w:r>
      <w:r w:rsidR="003E3698" w:rsidRPr="00295637">
        <w:rPr>
          <w:rFonts w:ascii="Times New Roman" w:hAnsi="Times New Roman"/>
          <w:lang w:val="bs-Latn-BA"/>
        </w:rPr>
        <w:t xml:space="preserve"> </w:t>
      </w:r>
      <w:r>
        <w:rPr>
          <w:rFonts w:ascii="Times New Roman" w:hAnsi="Times New Roman"/>
          <w:lang w:val="bs-Latn-BA"/>
        </w:rPr>
        <w:t>емисијама</w:t>
      </w:r>
      <w:r w:rsidR="003E3698" w:rsidRPr="00295637">
        <w:rPr>
          <w:rFonts w:ascii="Times New Roman" w:hAnsi="Times New Roman"/>
          <w:lang w:val="bs-Latn-BA"/>
        </w:rPr>
        <w:t xml:space="preserve">, </w:t>
      </w:r>
      <w:r>
        <w:rPr>
          <w:rFonts w:ascii="Times New Roman" w:hAnsi="Times New Roman"/>
          <w:lang w:val="bs-Latn-BA"/>
        </w:rPr>
        <w:t>припремама</w:t>
      </w:r>
      <w:r w:rsidR="003E3698" w:rsidRPr="00295637">
        <w:rPr>
          <w:rFonts w:ascii="Times New Roman" w:hAnsi="Times New Roman"/>
          <w:lang w:val="bs-Latn-BA"/>
        </w:rPr>
        <w:t xml:space="preserve"> </w:t>
      </w:r>
      <w:r>
        <w:rPr>
          <w:rFonts w:ascii="Times New Roman" w:hAnsi="Times New Roman"/>
          <w:lang w:val="bs-Latn-BA"/>
        </w:rPr>
        <w:t>медијских</w:t>
      </w:r>
      <w:r w:rsidR="003E3698" w:rsidRPr="00295637">
        <w:rPr>
          <w:rFonts w:ascii="Times New Roman" w:hAnsi="Times New Roman"/>
          <w:lang w:val="bs-Latn-BA"/>
        </w:rPr>
        <w:t xml:space="preserve"> </w:t>
      </w:r>
      <w:r>
        <w:rPr>
          <w:rFonts w:ascii="Times New Roman" w:hAnsi="Times New Roman"/>
          <w:lang w:val="bs-Latn-BA"/>
        </w:rPr>
        <w:t>чланака</w:t>
      </w:r>
      <w:r w:rsidR="003E3698" w:rsidRPr="00295637">
        <w:rPr>
          <w:rFonts w:ascii="Times New Roman" w:hAnsi="Times New Roman"/>
          <w:lang w:val="bs-Latn-BA"/>
        </w:rPr>
        <w:t xml:space="preserve"> </w:t>
      </w:r>
      <w:r>
        <w:rPr>
          <w:rFonts w:ascii="Times New Roman" w:hAnsi="Times New Roman"/>
          <w:lang w:val="bs-Latn-BA"/>
        </w:rPr>
        <w:t>и</w:t>
      </w:r>
      <w:r w:rsidR="003E3698" w:rsidRPr="00295637">
        <w:rPr>
          <w:rFonts w:ascii="Times New Roman" w:hAnsi="Times New Roman"/>
          <w:lang w:val="bs-Latn-BA"/>
        </w:rPr>
        <w:t xml:space="preserve"> </w:t>
      </w:r>
      <w:r>
        <w:rPr>
          <w:rFonts w:ascii="Times New Roman" w:hAnsi="Times New Roman"/>
          <w:lang w:val="bs-Latn-BA"/>
        </w:rPr>
        <w:t>слично</w:t>
      </w:r>
      <w:r w:rsidR="003E3698" w:rsidRPr="00295637">
        <w:rPr>
          <w:rFonts w:ascii="Times New Roman" w:hAnsi="Times New Roman"/>
          <w:lang w:val="bs-Latn-BA"/>
        </w:rPr>
        <w:t xml:space="preserve">, </w:t>
      </w:r>
      <w:r>
        <w:rPr>
          <w:rFonts w:ascii="Times New Roman" w:hAnsi="Times New Roman"/>
          <w:lang w:val="bs-Latn-BA"/>
        </w:rPr>
        <w:t>као</w:t>
      </w:r>
      <w:r w:rsidR="003E3698" w:rsidRPr="00295637">
        <w:rPr>
          <w:rFonts w:ascii="Times New Roman" w:hAnsi="Times New Roman"/>
          <w:lang w:val="bs-Latn-BA"/>
        </w:rPr>
        <w:t xml:space="preserve"> </w:t>
      </w:r>
      <w:r>
        <w:rPr>
          <w:rFonts w:ascii="Times New Roman" w:hAnsi="Times New Roman"/>
          <w:lang w:val="bs-Latn-BA"/>
        </w:rPr>
        <w:t>и</w:t>
      </w:r>
      <w:r w:rsidR="003E3698" w:rsidRPr="00295637">
        <w:rPr>
          <w:rFonts w:ascii="Times New Roman" w:hAnsi="Times New Roman"/>
          <w:lang w:val="bs-Latn-BA"/>
        </w:rPr>
        <w:t xml:space="preserve"> </w:t>
      </w:r>
      <w:r>
        <w:rPr>
          <w:rFonts w:ascii="Times New Roman" w:hAnsi="Times New Roman"/>
          <w:lang w:val="bs-Latn-BA"/>
        </w:rPr>
        <w:t>сарадњу</w:t>
      </w:r>
      <w:r w:rsidR="004F0EF3">
        <w:rPr>
          <w:rFonts w:ascii="Times New Roman" w:hAnsi="Times New Roman"/>
          <w:lang w:val="bs-Latn-BA"/>
        </w:rPr>
        <w:t xml:space="preserve"> </w:t>
      </w:r>
      <w:r>
        <w:rPr>
          <w:rFonts w:ascii="Times New Roman" w:hAnsi="Times New Roman"/>
          <w:lang w:val="bs-Latn-BA"/>
        </w:rPr>
        <w:t>са</w:t>
      </w:r>
      <w:r w:rsidR="003E3698" w:rsidRPr="00295637">
        <w:rPr>
          <w:rFonts w:ascii="Times New Roman" w:hAnsi="Times New Roman"/>
          <w:lang w:val="bs-Latn-BA"/>
        </w:rPr>
        <w:t xml:space="preserve"> </w:t>
      </w:r>
      <w:r>
        <w:rPr>
          <w:rFonts w:ascii="Times New Roman" w:hAnsi="Times New Roman"/>
          <w:lang w:val="bs-Latn-BA"/>
        </w:rPr>
        <w:t>академском</w:t>
      </w:r>
      <w:r w:rsidR="003E3698" w:rsidRPr="00295637">
        <w:rPr>
          <w:rFonts w:ascii="Times New Roman" w:hAnsi="Times New Roman"/>
          <w:lang w:val="bs-Latn-BA"/>
        </w:rPr>
        <w:t xml:space="preserve"> </w:t>
      </w:r>
      <w:r>
        <w:rPr>
          <w:rFonts w:ascii="Times New Roman" w:hAnsi="Times New Roman"/>
          <w:lang w:val="bs-Latn-BA"/>
        </w:rPr>
        <w:t>заједницом</w:t>
      </w:r>
      <w:r w:rsidR="003E3698" w:rsidRPr="00295637">
        <w:rPr>
          <w:rFonts w:ascii="Times New Roman" w:hAnsi="Times New Roman"/>
          <w:lang w:val="bs-Latn-BA"/>
        </w:rPr>
        <w:t xml:space="preserve"> </w:t>
      </w:r>
      <w:r>
        <w:rPr>
          <w:rFonts w:ascii="Times New Roman" w:hAnsi="Times New Roman"/>
          <w:lang w:val="bs-Latn-BA"/>
        </w:rPr>
        <w:t>у</w:t>
      </w:r>
      <w:r w:rsidR="003E3698" w:rsidRPr="00295637">
        <w:rPr>
          <w:rFonts w:ascii="Times New Roman" w:hAnsi="Times New Roman"/>
          <w:lang w:val="bs-Latn-BA"/>
        </w:rPr>
        <w:t xml:space="preserve"> </w:t>
      </w:r>
      <w:r>
        <w:rPr>
          <w:rFonts w:ascii="Times New Roman" w:hAnsi="Times New Roman"/>
          <w:lang w:val="bs-Latn-BA"/>
        </w:rPr>
        <w:t>дијелу</w:t>
      </w:r>
      <w:r w:rsidR="003E3698" w:rsidRPr="00295637">
        <w:rPr>
          <w:rFonts w:ascii="Times New Roman" w:hAnsi="Times New Roman"/>
          <w:lang w:val="bs-Latn-BA"/>
        </w:rPr>
        <w:t xml:space="preserve"> </w:t>
      </w:r>
      <w:r>
        <w:rPr>
          <w:rFonts w:ascii="Times New Roman" w:hAnsi="Times New Roman"/>
          <w:lang w:val="bs-Latn-BA"/>
        </w:rPr>
        <w:t>развоја</w:t>
      </w:r>
      <w:r w:rsidR="003E3698" w:rsidRPr="00295637">
        <w:rPr>
          <w:rFonts w:ascii="Times New Roman" w:hAnsi="Times New Roman"/>
          <w:lang w:val="bs-Latn-BA"/>
        </w:rPr>
        <w:t xml:space="preserve"> </w:t>
      </w:r>
      <w:r>
        <w:rPr>
          <w:rFonts w:ascii="Times New Roman" w:hAnsi="Times New Roman"/>
          <w:lang w:val="bs-Latn-BA"/>
        </w:rPr>
        <w:t>научно</w:t>
      </w:r>
      <w:r w:rsidR="003E3698" w:rsidRPr="00295637">
        <w:rPr>
          <w:rFonts w:ascii="Times New Roman" w:hAnsi="Times New Roman"/>
          <w:lang w:val="bs-Latn-BA"/>
        </w:rPr>
        <w:t xml:space="preserve"> </w:t>
      </w:r>
      <w:r>
        <w:rPr>
          <w:rFonts w:ascii="Times New Roman" w:hAnsi="Times New Roman"/>
          <w:lang w:val="bs-Latn-BA"/>
        </w:rPr>
        <w:t>истраживачког</w:t>
      </w:r>
      <w:r w:rsidR="003E3698" w:rsidRPr="00295637">
        <w:rPr>
          <w:rFonts w:ascii="Times New Roman" w:hAnsi="Times New Roman"/>
          <w:lang w:val="bs-Latn-BA"/>
        </w:rPr>
        <w:t xml:space="preserve"> </w:t>
      </w:r>
      <w:r>
        <w:rPr>
          <w:rFonts w:ascii="Times New Roman" w:hAnsi="Times New Roman"/>
          <w:lang w:val="bs-Latn-BA"/>
        </w:rPr>
        <w:t>рада</w:t>
      </w:r>
      <w:r w:rsidR="003E3698" w:rsidRPr="00295637">
        <w:rPr>
          <w:rFonts w:ascii="Times New Roman" w:hAnsi="Times New Roman"/>
          <w:lang w:val="bs-Latn-BA"/>
        </w:rPr>
        <w:t>.</w:t>
      </w:r>
    </w:p>
    <w:p w:rsidR="003E3698" w:rsidRDefault="003E3698" w:rsidP="0086268D">
      <w:pPr>
        <w:pStyle w:val="PlainText"/>
        <w:jc w:val="both"/>
        <w:rPr>
          <w:rFonts w:ascii="Times New Roman" w:hAnsi="Times New Roman"/>
          <w:sz w:val="24"/>
          <w:szCs w:val="24"/>
        </w:rPr>
      </w:pPr>
    </w:p>
    <w:p w:rsidR="002A0708" w:rsidRPr="006820FB" w:rsidRDefault="00C6214E" w:rsidP="0086268D">
      <w:pPr>
        <w:pStyle w:val="PlainText"/>
        <w:jc w:val="both"/>
        <w:rPr>
          <w:rFonts w:ascii="Times New Roman" w:hAnsi="Times New Roman"/>
          <w:sz w:val="24"/>
          <w:szCs w:val="24"/>
          <w:lang w:val="hr-HR"/>
        </w:rPr>
      </w:pPr>
      <w:r>
        <w:rPr>
          <w:rFonts w:ascii="Times New Roman" w:hAnsi="Times New Roman"/>
          <w:sz w:val="24"/>
          <w:szCs w:val="24"/>
        </w:rPr>
        <w:t>АР</w:t>
      </w:r>
      <w:r w:rsidR="007550FB">
        <w:rPr>
          <w:rFonts w:ascii="Times New Roman" w:hAnsi="Times New Roman"/>
          <w:sz w:val="24"/>
          <w:szCs w:val="24"/>
          <w:lang w:val="sr-Cyrl-BA"/>
        </w:rPr>
        <w:t>П</w:t>
      </w:r>
      <w:r w:rsidR="004F0EF3">
        <w:rPr>
          <w:rFonts w:ascii="Times New Roman" w:hAnsi="Times New Roman"/>
          <w:sz w:val="24"/>
          <w:szCs w:val="24"/>
        </w:rPr>
        <w:t xml:space="preserve"> </w:t>
      </w:r>
      <w:r>
        <w:rPr>
          <w:rFonts w:ascii="Times New Roman" w:hAnsi="Times New Roman"/>
          <w:sz w:val="24"/>
          <w:szCs w:val="24"/>
        </w:rPr>
        <w:t>БиХ</w:t>
      </w:r>
      <w:r w:rsidR="004F0EF3">
        <w:rPr>
          <w:rFonts w:ascii="Times New Roman" w:hAnsi="Times New Roman"/>
          <w:sz w:val="24"/>
          <w:szCs w:val="24"/>
        </w:rPr>
        <w:t xml:space="preserve"> </w:t>
      </w:r>
      <w:r>
        <w:rPr>
          <w:rFonts w:ascii="Times New Roman" w:hAnsi="Times New Roman"/>
          <w:sz w:val="24"/>
          <w:szCs w:val="24"/>
        </w:rPr>
        <w:t>МЉПИ</w:t>
      </w:r>
      <w:r w:rsidR="004F0EF3">
        <w:rPr>
          <w:rFonts w:ascii="Times New Roman" w:hAnsi="Times New Roman"/>
          <w:sz w:val="24"/>
          <w:szCs w:val="24"/>
        </w:rPr>
        <w:t xml:space="preserve"> </w:t>
      </w:r>
      <w:r>
        <w:rPr>
          <w:rFonts w:ascii="Times New Roman" w:hAnsi="Times New Roman"/>
          <w:sz w:val="24"/>
          <w:szCs w:val="24"/>
        </w:rPr>
        <w:t>БиХ</w:t>
      </w:r>
      <w:r w:rsidR="009E54A2" w:rsidRPr="00295637">
        <w:rPr>
          <w:rFonts w:ascii="Times New Roman" w:hAnsi="Times New Roman"/>
          <w:sz w:val="24"/>
          <w:szCs w:val="24"/>
        </w:rPr>
        <w:t xml:space="preserve"> </w:t>
      </w:r>
      <w:r>
        <w:rPr>
          <w:rFonts w:ascii="Times New Roman" w:hAnsi="Times New Roman"/>
          <w:sz w:val="24"/>
          <w:szCs w:val="24"/>
        </w:rPr>
        <w:t>остварила</w:t>
      </w:r>
      <w:r w:rsidR="00DF5D69" w:rsidRPr="00295637">
        <w:rPr>
          <w:rFonts w:ascii="Times New Roman" w:hAnsi="Times New Roman"/>
          <w:sz w:val="24"/>
          <w:szCs w:val="24"/>
        </w:rPr>
        <w:t xml:space="preserve"> </w:t>
      </w:r>
      <w:r>
        <w:rPr>
          <w:rFonts w:ascii="Times New Roman" w:hAnsi="Times New Roman"/>
          <w:sz w:val="24"/>
          <w:szCs w:val="24"/>
        </w:rPr>
        <w:t>је</w:t>
      </w:r>
      <w:r w:rsidR="004F0EF3" w:rsidRPr="00295637">
        <w:rPr>
          <w:rFonts w:ascii="Times New Roman" w:hAnsi="Times New Roman"/>
          <w:sz w:val="24"/>
          <w:szCs w:val="24"/>
        </w:rPr>
        <w:t xml:space="preserve"> </w:t>
      </w:r>
      <w:r>
        <w:rPr>
          <w:rFonts w:ascii="Times New Roman" w:hAnsi="Times New Roman"/>
          <w:sz w:val="24"/>
          <w:szCs w:val="24"/>
        </w:rPr>
        <w:t>сарадњу</w:t>
      </w:r>
      <w:r w:rsidR="004F0EF3">
        <w:rPr>
          <w:rFonts w:ascii="Times New Roman" w:hAnsi="Times New Roman"/>
          <w:sz w:val="24"/>
          <w:szCs w:val="24"/>
        </w:rPr>
        <w:t xml:space="preserve"> </w:t>
      </w:r>
      <w:r>
        <w:rPr>
          <w:rFonts w:ascii="Times New Roman" w:hAnsi="Times New Roman"/>
          <w:sz w:val="24"/>
          <w:szCs w:val="24"/>
        </w:rPr>
        <w:t>са</w:t>
      </w:r>
      <w:r w:rsidR="002A0708" w:rsidRPr="00295637">
        <w:rPr>
          <w:rFonts w:ascii="Times New Roman" w:hAnsi="Times New Roman"/>
          <w:sz w:val="24"/>
          <w:szCs w:val="24"/>
        </w:rPr>
        <w:t xml:space="preserve"> </w:t>
      </w:r>
      <w:r>
        <w:rPr>
          <w:rFonts w:ascii="Times New Roman" w:hAnsi="Times New Roman"/>
          <w:sz w:val="24"/>
          <w:szCs w:val="24"/>
        </w:rPr>
        <w:t>Филозофским</w:t>
      </w:r>
      <w:r w:rsidR="002A0708" w:rsidRPr="00295637">
        <w:rPr>
          <w:rFonts w:ascii="Times New Roman" w:hAnsi="Times New Roman"/>
          <w:sz w:val="24"/>
          <w:szCs w:val="24"/>
        </w:rPr>
        <w:t xml:space="preserve"> </w:t>
      </w:r>
      <w:r>
        <w:rPr>
          <w:rFonts w:ascii="Times New Roman" w:hAnsi="Times New Roman"/>
          <w:sz w:val="24"/>
          <w:szCs w:val="24"/>
        </w:rPr>
        <w:t>факултетом</w:t>
      </w:r>
      <w:r w:rsidR="002A0708" w:rsidRPr="00295637">
        <w:rPr>
          <w:rFonts w:ascii="Times New Roman" w:hAnsi="Times New Roman"/>
          <w:sz w:val="24"/>
          <w:szCs w:val="24"/>
        </w:rPr>
        <w:t xml:space="preserve"> </w:t>
      </w:r>
      <w:r>
        <w:rPr>
          <w:rFonts w:ascii="Times New Roman" w:hAnsi="Times New Roman"/>
          <w:sz w:val="24"/>
          <w:szCs w:val="24"/>
        </w:rPr>
        <w:t>Универзитета</w:t>
      </w:r>
      <w:r w:rsidR="002A0708" w:rsidRPr="00295637">
        <w:rPr>
          <w:rFonts w:ascii="Times New Roman" w:hAnsi="Times New Roman"/>
          <w:sz w:val="24"/>
          <w:szCs w:val="24"/>
        </w:rPr>
        <w:t xml:space="preserve"> </w:t>
      </w:r>
      <w:r>
        <w:rPr>
          <w:rFonts w:ascii="Times New Roman" w:hAnsi="Times New Roman"/>
          <w:sz w:val="24"/>
          <w:szCs w:val="24"/>
        </w:rPr>
        <w:t>у</w:t>
      </w:r>
      <w:r w:rsidR="002A0708" w:rsidRPr="00295637">
        <w:rPr>
          <w:rFonts w:ascii="Times New Roman" w:hAnsi="Times New Roman"/>
          <w:sz w:val="24"/>
          <w:szCs w:val="24"/>
        </w:rPr>
        <w:t xml:space="preserve"> </w:t>
      </w:r>
      <w:r>
        <w:rPr>
          <w:rFonts w:ascii="Times New Roman" w:hAnsi="Times New Roman"/>
          <w:sz w:val="24"/>
          <w:szCs w:val="24"/>
        </w:rPr>
        <w:t>Сарајеву</w:t>
      </w:r>
      <w:r w:rsidR="002A0708" w:rsidRPr="00295637">
        <w:rPr>
          <w:rFonts w:ascii="Times New Roman" w:hAnsi="Times New Roman"/>
          <w:sz w:val="24"/>
          <w:szCs w:val="24"/>
        </w:rPr>
        <w:t xml:space="preserve">, </w:t>
      </w:r>
      <w:r>
        <w:rPr>
          <w:rFonts w:ascii="Times New Roman" w:hAnsi="Times New Roman"/>
          <w:sz w:val="24"/>
          <w:szCs w:val="24"/>
        </w:rPr>
        <w:t>у</w:t>
      </w:r>
      <w:r w:rsidR="002A0708" w:rsidRPr="00295637">
        <w:rPr>
          <w:rFonts w:ascii="Times New Roman" w:hAnsi="Times New Roman"/>
          <w:sz w:val="24"/>
          <w:szCs w:val="24"/>
        </w:rPr>
        <w:t xml:space="preserve"> </w:t>
      </w:r>
      <w:r>
        <w:rPr>
          <w:rFonts w:ascii="Times New Roman" w:hAnsi="Times New Roman"/>
          <w:sz w:val="24"/>
          <w:szCs w:val="24"/>
        </w:rPr>
        <w:t>реализацији</w:t>
      </w:r>
      <w:r w:rsidR="002A0708" w:rsidRPr="00295637">
        <w:rPr>
          <w:rFonts w:ascii="Times New Roman" w:hAnsi="Times New Roman"/>
          <w:sz w:val="24"/>
          <w:szCs w:val="24"/>
        </w:rPr>
        <w:t xml:space="preserve"> </w:t>
      </w:r>
      <w:r>
        <w:rPr>
          <w:rFonts w:ascii="Times New Roman" w:hAnsi="Times New Roman"/>
          <w:sz w:val="24"/>
          <w:szCs w:val="24"/>
        </w:rPr>
        <w:t>пројекта</w:t>
      </w:r>
      <w:r w:rsidR="002A0708" w:rsidRPr="00295637">
        <w:rPr>
          <w:rFonts w:ascii="Times New Roman" w:hAnsi="Times New Roman"/>
          <w:sz w:val="24"/>
          <w:szCs w:val="24"/>
        </w:rPr>
        <w:t xml:space="preserve"> “</w:t>
      </w:r>
      <w:r w:rsidRPr="007550FB">
        <w:rPr>
          <w:rFonts w:ascii="Times New Roman" w:hAnsi="Times New Roman"/>
          <w:iCs/>
          <w:sz w:val="24"/>
          <w:szCs w:val="24"/>
        </w:rPr>
        <w:t>Иницијатива</w:t>
      </w:r>
      <w:r w:rsidR="002A0708" w:rsidRPr="001565C1">
        <w:rPr>
          <w:rFonts w:ascii="Times New Roman" w:hAnsi="Times New Roman"/>
          <w:i/>
          <w:iCs/>
          <w:sz w:val="24"/>
          <w:szCs w:val="24"/>
        </w:rPr>
        <w:t xml:space="preserve"> </w:t>
      </w:r>
      <w:r w:rsidR="007550FB" w:rsidRPr="007550FB">
        <w:rPr>
          <w:rFonts w:ascii="Times New Roman" w:hAnsi="Times New Roman"/>
          <w:i/>
          <w:iCs/>
          <w:sz w:val="24"/>
          <w:szCs w:val="24"/>
          <w:lang w:val="hr-BA"/>
        </w:rPr>
        <w:t>EuPeace</w:t>
      </w:r>
      <w:r w:rsidR="00DF5D69" w:rsidRPr="00295637">
        <w:rPr>
          <w:rFonts w:ascii="Times New Roman" w:hAnsi="Times New Roman"/>
          <w:sz w:val="24"/>
          <w:szCs w:val="24"/>
        </w:rPr>
        <w:t xml:space="preserve">” </w:t>
      </w:r>
      <w:r>
        <w:rPr>
          <w:rFonts w:ascii="Times New Roman" w:hAnsi="Times New Roman"/>
          <w:sz w:val="24"/>
          <w:szCs w:val="24"/>
        </w:rPr>
        <w:t>која</w:t>
      </w:r>
      <w:r w:rsidR="00DF5D69" w:rsidRPr="00295637">
        <w:rPr>
          <w:rFonts w:ascii="Times New Roman" w:hAnsi="Times New Roman"/>
          <w:sz w:val="24"/>
          <w:szCs w:val="24"/>
        </w:rPr>
        <w:t xml:space="preserve"> </w:t>
      </w:r>
      <w:r>
        <w:rPr>
          <w:rFonts w:ascii="Times New Roman" w:hAnsi="Times New Roman"/>
          <w:sz w:val="24"/>
          <w:szCs w:val="24"/>
        </w:rPr>
        <w:t>укључује</w:t>
      </w:r>
      <w:r w:rsidR="00DF5D69" w:rsidRPr="00295637">
        <w:rPr>
          <w:rFonts w:ascii="Times New Roman" w:hAnsi="Times New Roman"/>
          <w:sz w:val="24"/>
          <w:szCs w:val="24"/>
        </w:rPr>
        <w:t xml:space="preserve"> </w:t>
      </w:r>
      <w:r>
        <w:rPr>
          <w:rFonts w:ascii="Times New Roman" w:hAnsi="Times New Roman"/>
          <w:sz w:val="24"/>
          <w:szCs w:val="24"/>
        </w:rPr>
        <w:t>припрему</w:t>
      </w:r>
      <w:r w:rsidR="00DF5D69" w:rsidRPr="00295637">
        <w:rPr>
          <w:rFonts w:ascii="Times New Roman" w:hAnsi="Times New Roman"/>
          <w:sz w:val="24"/>
          <w:szCs w:val="24"/>
        </w:rPr>
        <w:t xml:space="preserve"> </w:t>
      </w:r>
      <w:r>
        <w:rPr>
          <w:rFonts w:ascii="Times New Roman" w:hAnsi="Times New Roman"/>
          <w:sz w:val="24"/>
          <w:szCs w:val="24"/>
        </w:rPr>
        <w:t>и</w:t>
      </w:r>
      <w:r w:rsidR="00DF5D69" w:rsidRPr="00295637">
        <w:rPr>
          <w:rFonts w:ascii="Times New Roman" w:hAnsi="Times New Roman"/>
          <w:sz w:val="24"/>
          <w:szCs w:val="24"/>
        </w:rPr>
        <w:t xml:space="preserve"> </w:t>
      </w:r>
      <w:r>
        <w:rPr>
          <w:rFonts w:ascii="Times New Roman" w:hAnsi="Times New Roman"/>
          <w:sz w:val="24"/>
          <w:szCs w:val="24"/>
        </w:rPr>
        <w:t>реализацију</w:t>
      </w:r>
      <w:r w:rsidR="00DF5D69" w:rsidRPr="00295637">
        <w:rPr>
          <w:rFonts w:ascii="Times New Roman" w:hAnsi="Times New Roman"/>
          <w:sz w:val="24"/>
          <w:szCs w:val="24"/>
        </w:rPr>
        <w:t xml:space="preserve"> </w:t>
      </w:r>
      <w:r w:rsidR="007550FB" w:rsidRPr="007550FB">
        <w:rPr>
          <w:rFonts w:ascii="Times New Roman" w:hAnsi="Times New Roman"/>
          <w:i/>
          <w:iCs/>
          <w:sz w:val="24"/>
          <w:szCs w:val="24"/>
          <w:lang w:val="hr-BA"/>
        </w:rPr>
        <w:t xml:space="preserve">Living Lab </w:t>
      </w:r>
      <w:r>
        <w:rPr>
          <w:rFonts w:ascii="Times New Roman" w:hAnsi="Times New Roman"/>
          <w:sz w:val="24"/>
          <w:szCs w:val="24"/>
        </w:rPr>
        <w:t>пројекта</w:t>
      </w:r>
      <w:r w:rsidR="00DF5D69" w:rsidRPr="00295637">
        <w:rPr>
          <w:rFonts w:ascii="Times New Roman" w:hAnsi="Times New Roman"/>
          <w:sz w:val="24"/>
          <w:szCs w:val="24"/>
        </w:rPr>
        <w:t xml:space="preserve"> </w:t>
      </w:r>
      <w:r>
        <w:rPr>
          <w:rFonts w:ascii="Times New Roman" w:hAnsi="Times New Roman"/>
          <w:sz w:val="24"/>
          <w:szCs w:val="24"/>
        </w:rPr>
        <w:t>под</w:t>
      </w:r>
      <w:r w:rsidR="002A0708" w:rsidRPr="00295637">
        <w:rPr>
          <w:rFonts w:ascii="Times New Roman" w:hAnsi="Times New Roman"/>
          <w:sz w:val="24"/>
          <w:szCs w:val="24"/>
        </w:rPr>
        <w:t xml:space="preserve"> </w:t>
      </w:r>
      <w:r>
        <w:rPr>
          <w:rFonts w:ascii="Times New Roman" w:hAnsi="Times New Roman"/>
          <w:sz w:val="24"/>
          <w:szCs w:val="24"/>
        </w:rPr>
        <w:t>називом</w:t>
      </w:r>
      <w:r w:rsidR="002A0708" w:rsidRPr="00295637">
        <w:rPr>
          <w:rFonts w:ascii="Times New Roman" w:hAnsi="Times New Roman"/>
          <w:sz w:val="24"/>
          <w:szCs w:val="24"/>
        </w:rPr>
        <w:t xml:space="preserve"> "</w:t>
      </w:r>
      <w:r w:rsidR="007A6AD7" w:rsidRPr="007A6AD7">
        <w:rPr>
          <w:rFonts w:ascii="Times New Roman" w:hAnsi="Times New Roman"/>
          <w:i/>
          <w:iCs/>
          <w:sz w:val="24"/>
          <w:szCs w:val="24"/>
          <w:lang w:val="hr-BA"/>
        </w:rPr>
        <w:t xml:space="preserve">Developing Peer Education Initiatives </w:t>
      </w:r>
      <w:r w:rsidR="002A0708" w:rsidRPr="00295637">
        <w:rPr>
          <w:rFonts w:ascii="Times New Roman" w:hAnsi="Times New Roman"/>
          <w:sz w:val="24"/>
          <w:szCs w:val="24"/>
        </w:rPr>
        <w:t>"</w:t>
      </w:r>
      <w:r w:rsidR="004F0EF3">
        <w:rPr>
          <w:rFonts w:ascii="Times New Roman" w:hAnsi="Times New Roman"/>
          <w:sz w:val="24"/>
          <w:szCs w:val="24"/>
        </w:rPr>
        <w:t xml:space="preserve">. </w:t>
      </w:r>
      <w:r>
        <w:rPr>
          <w:rFonts w:ascii="Times New Roman" w:hAnsi="Times New Roman"/>
          <w:sz w:val="24"/>
          <w:szCs w:val="24"/>
        </w:rPr>
        <w:t>Пројекат</w:t>
      </w:r>
      <w:r w:rsidR="00DF5D69" w:rsidRPr="00295637">
        <w:rPr>
          <w:rFonts w:ascii="Times New Roman" w:hAnsi="Times New Roman"/>
          <w:sz w:val="24"/>
          <w:szCs w:val="24"/>
        </w:rPr>
        <w:t xml:space="preserve"> </w:t>
      </w:r>
      <w:r>
        <w:rPr>
          <w:rFonts w:ascii="Times New Roman" w:hAnsi="Times New Roman"/>
          <w:sz w:val="24"/>
          <w:szCs w:val="24"/>
        </w:rPr>
        <w:t>се</w:t>
      </w:r>
      <w:r w:rsidR="002A0708" w:rsidRPr="00295637">
        <w:rPr>
          <w:rFonts w:ascii="Times New Roman" w:hAnsi="Times New Roman"/>
          <w:sz w:val="24"/>
          <w:szCs w:val="24"/>
        </w:rPr>
        <w:t xml:space="preserve"> </w:t>
      </w:r>
      <w:r>
        <w:rPr>
          <w:rFonts w:ascii="Times New Roman" w:hAnsi="Times New Roman"/>
          <w:sz w:val="24"/>
          <w:szCs w:val="24"/>
        </w:rPr>
        <w:t>фокусира</w:t>
      </w:r>
      <w:r w:rsidR="002A0708" w:rsidRPr="00295637">
        <w:rPr>
          <w:rFonts w:ascii="Times New Roman" w:hAnsi="Times New Roman"/>
          <w:sz w:val="24"/>
          <w:szCs w:val="24"/>
        </w:rPr>
        <w:t xml:space="preserve"> </w:t>
      </w:r>
      <w:r>
        <w:rPr>
          <w:rFonts w:ascii="Times New Roman" w:hAnsi="Times New Roman"/>
          <w:sz w:val="24"/>
          <w:szCs w:val="24"/>
        </w:rPr>
        <w:t>на</w:t>
      </w:r>
      <w:r w:rsidR="002A0708" w:rsidRPr="00295637">
        <w:rPr>
          <w:rFonts w:ascii="Times New Roman" w:hAnsi="Times New Roman"/>
          <w:sz w:val="24"/>
          <w:szCs w:val="24"/>
        </w:rPr>
        <w:t xml:space="preserve"> </w:t>
      </w:r>
      <w:r>
        <w:rPr>
          <w:rFonts w:ascii="Times New Roman" w:hAnsi="Times New Roman"/>
          <w:sz w:val="24"/>
          <w:szCs w:val="24"/>
        </w:rPr>
        <w:t>радионице</w:t>
      </w:r>
      <w:r w:rsidR="002A0708" w:rsidRPr="00295637">
        <w:rPr>
          <w:rFonts w:ascii="Times New Roman" w:hAnsi="Times New Roman"/>
          <w:sz w:val="24"/>
          <w:szCs w:val="24"/>
        </w:rPr>
        <w:t xml:space="preserve"> </w:t>
      </w:r>
      <w:r>
        <w:rPr>
          <w:rFonts w:ascii="Times New Roman" w:hAnsi="Times New Roman"/>
          <w:sz w:val="24"/>
          <w:szCs w:val="24"/>
        </w:rPr>
        <w:t>са</w:t>
      </w:r>
      <w:r w:rsidR="002A0708" w:rsidRPr="00295637">
        <w:rPr>
          <w:rFonts w:ascii="Times New Roman" w:hAnsi="Times New Roman"/>
          <w:sz w:val="24"/>
          <w:szCs w:val="24"/>
        </w:rPr>
        <w:t xml:space="preserve"> </w:t>
      </w:r>
      <w:r>
        <w:rPr>
          <w:rFonts w:ascii="Times New Roman" w:hAnsi="Times New Roman"/>
          <w:sz w:val="24"/>
          <w:szCs w:val="24"/>
        </w:rPr>
        <w:t>младима</w:t>
      </w:r>
      <w:r w:rsidR="002A0708" w:rsidRPr="00295637">
        <w:rPr>
          <w:rFonts w:ascii="Times New Roman" w:hAnsi="Times New Roman"/>
          <w:sz w:val="24"/>
          <w:szCs w:val="24"/>
        </w:rPr>
        <w:t xml:space="preserve">, </w:t>
      </w:r>
      <w:r>
        <w:rPr>
          <w:rFonts w:ascii="Times New Roman" w:hAnsi="Times New Roman"/>
          <w:sz w:val="24"/>
          <w:szCs w:val="24"/>
        </w:rPr>
        <w:t>чији</w:t>
      </w:r>
      <w:r w:rsidR="002A0708" w:rsidRPr="00295637">
        <w:rPr>
          <w:rFonts w:ascii="Times New Roman" w:hAnsi="Times New Roman"/>
          <w:sz w:val="24"/>
          <w:szCs w:val="24"/>
        </w:rPr>
        <w:t xml:space="preserve"> </w:t>
      </w:r>
      <w:r>
        <w:rPr>
          <w:rFonts w:ascii="Times New Roman" w:hAnsi="Times New Roman"/>
          <w:sz w:val="24"/>
          <w:szCs w:val="24"/>
        </w:rPr>
        <w:t>је</w:t>
      </w:r>
      <w:r w:rsidR="002A0708" w:rsidRPr="00295637">
        <w:rPr>
          <w:rFonts w:ascii="Times New Roman" w:hAnsi="Times New Roman"/>
          <w:sz w:val="24"/>
          <w:szCs w:val="24"/>
        </w:rPr>
        <w:t xml:space="preserve"> </w:t>
      </w:r>
      <w:r>
        <w:rPr>
          <w:rFonts w:ascii="Times New Roman" w:hAnsi="Times New Roman"/>
          <w:sz w:val="24"/>
          <w:szCs w:val="24"/>
        </w:rPr>
        <w:t>циљ</w:t>
      </w:r>
      <w:r w:rsidR="002A0708" w:rsidRPr="00295637">
        <w:rPr>
          <w:rFonts w:ascii="Times New Roman" w:hAnsi="Times New Roman"/>
          <w:sz w:val="24"/>
          <w:szCs w:val="24"/>
        </w:rPr>
        <w:t xml:space="preserve"> </w:t>
      </w:r>
      <w:r>
        <w:rPr>
          <w:rFonts w:ascii="Times New Roman" w:hAnsi="Times New Roman"/>
          <w:sz w:val="24"/>
          <w:szCs w:val="24"/>
        </w:rPr>
        <w:t>да</w:t>
      </w:r>
      <w:r w:rsidR="002A0708" w:rsidRPr="00295637">
        <w:rPr>
          <w:rFonts w:ascii="Times New Roman" w:hAnsi="Times New Roman"/>
          <w:sz w:val="24"/>
          <w:szCs w:val="24"/>
        </w:rPr>
        <w:t xml:space="preserve"> </w:t>
      </w:r>
      <w:r>
        <w:rPr>
          <w:rFonts w:ascii="Times New Roman" w:hAnsi="Times New Roman"/>
          <w:sz w:val="24"/>
          <w:szCs w:val="24"/>
        </w:rPr>
        <w:t>млади</w:t>
      </w:r>
      <w:r w:rsidR="002A0708" w:rsidRPr="00295637">
        <w:rPr>
          <w:rFonts w:ascii="Times New Roman" w:hAnsi="Times New Roman"/>
          <w:sz w:val="24"/>
          <w:szCs w:val="24"/>
        </w:rPr>
        <w:t xml:space="preserve"> </w:t>
      </w:r>
      <w:r>
        <w:rPr>
          <w:rFonts w:ascii="Times New Roman" w:hAnsi="Times New Roman"/>
          <w:sz w:val="24"/>
          <w:szCs w:val="24"/>
        </w:rPr>
        <w:t>самостално</w:t>
      </w:r>
      <w:r w:rsidR="002A0708" w:rsidRPr="00295637">
        <w:rPr>
          <w:rFonts w:ascii="Times New Roman" w:hAnsi="Times New Roman"/>
          <w:sz w:val="24"/>
          <w:szCs w:val="24"/>
        </w:rPr>
        <w:t xml:space="preserve"> </w:t>
      </w:r>
      <w:r>
        <w:rPr>
          <w:rFonts w:ascii="Times New Roman" w:hAnsi="Times New Roman"/>
          <w:sz w:val="24"/>
          <w:szCs w:val="24"/>
        </w:rPr>
        <w:t>израде</w:t>
      </w:r>
      <w:r w:rsidR="002A0708" w:rsidRPr="00295637">
        <w:rPr>
          <w:rFonts w:ascii="Times New Roman" w:hAnsi="Times New Roman"/>
          <w:sz w:val="24"/>
          <w:szCs w:val="24"/>
        </w:rPr>
        <w:t xml:space="preserve"> (</w:t>
      </w:r>
      <w:r w:rsidR="007A6AD7" w:rsidRPr="007A6AD7">
        <w:rPr>
          <w:rFonts w:ascii="Times New Roman" w:hAnsi="Times New Roman"/>
          <w:i/>
          <w:sz w:val="24"/>
          <w:szCs w:val="24"/>
          <w:lang w:val="hr-BA"/>
        </w:rPr>
        <w:t>peer-to-peer</w:t>
      </w:r>
      <w:r w:rsidR="002A0708" w:rsidRPr="00295637">
        <w:rPr>
          <w:rFonts w:ascii="Times New Roman" w:hAnsi="Times New Roman"/>
          <w:sz w:val="24"/>
          <w:szCs w:val="24"/>
        </w:rPr>
        <w:t xml:space="preserve">) </w:t>
      </w:r>
      <w:r>
        <w:rPr>
          <w:rFonts w:ascii="Times New Roman" w:hAnsi="Times New Roman"/>
          <w:sz w:val="24"/>
          <w:szCs w:val="24"/>
        </w:rPr>
        <w:t>Приручник</w:t>
      </w:r>
      <w:r w:rsidR="002A0708" w:rsidRPr="00295637">
        <w:rPr>
          <w:rFonts w:ascii="Times New Roman" w:hAnsi="Times New Roman"/>
          <w:sz w:val="24"/>
          <w:szCs w:val="24"/>
        </w:rPr>
        <w:t xml:space="preserve"> </w:t>
      </w:r>
      <w:r>
        <w:rPr>
          <w:rFonts w:ascii="Times New Roman" w:hAnsi="Times New Roman"/>
          <w:sz w:val="24"/>
          <w:szCs w:val="24"/>
        </w:rPr>
        <w:t>о</w:t>
      </w:r>
      <w:r w:rsidR="002A0708" w:rsidRPr="00295637">
        <w:rPr>
          <w:rFonts w:ascii="Times New Roman" w:hAnsi="Times New Roman"/>
          <w:sz w:val="24"/>
          <w:szCs w:val="24"/>
        </w:rPr>
        <w:t xml:space="preserve"> </w:t>
      </w:r>
      <w:r>
        <w:rPr>
          <w:rFonts w:ascii="Times New Roman" w:hAnsi="Times New Roman"/>
          <w:sz w:val="24"/>
          <w:szCs w:val="24"/>
        </w:rPr>
        <w:t>заштити</w:t>
      </w:r>
      <w:r w:rsidR="002A0708" w:rsidRPr="00295637">
        <w:rPr>
          <w:rFonts w:ascii="Times New Roman" w:hAnsi="Times New Roman"/>
          <w:sz w:val="24"/>
          <w:szCs w:val="24"/>
        </w:rPr>
        <w:t xml:space="preserve"> </w:t>
      </w:r>
      <w:r>
        <w:rPr>
          <w:rFonts w:ascii="Times New Roman" w:hAnsi="Times New Roman"/>
          <w:sz w:val="24"/>
          <w:szCs w:val="24"/>
        </w:rPr>
        <w:t>од</w:t>
      </w:r>
      <w:r w:rsidR="002A0708" w:rsidRPr="00295637">
        <w:rPr>
          <w:rFonts w:ascii="Times New Roman" w:hAnsi="Times New Roman"/>
          <w:sz w:val="24"/>
          <w:szCs w:val="24"/>
        </w:rPr>
        <w:t xml:space="preserve"> </w:t>
      </w:r>
      <w:r>
        <w:rPr>
          <w:rFonts w:ascii="Times New Roman" w:hAnsi="Times New Roman"/>
          <w:sz w:val="24"/>
          <w:szCs w:val="24"/>
        </w:rPr>
        <w:t>вршњачког</w:t>
      </w:r>
      <w:r w:rsidR="004F0EF3">
        <w:rPr>
          <w:rFonts w:ascii="Times New Roman" w:hAnsi="Times New Roman"/>
          <w:sz w:val="24"/>
          <w:szCs w:val="24"/>
        </w:rPr>
        <w:t xml:space="preserve"> </w:t>
      </w:r>
      <w:r>
        <w:rPr>
          <w:rFonts w:ascii="Times New Roman" w:hAnsi="Times New Roman"/>
          <w:sz w:val="24"/>
          <w:szCs w:val="24"/>
        </w:rPr>
        <w:t>насиља</w:t>
      </w:r>
      <w:r w:rsidR="004F0EF3">
        <w:rPr>
          <w:rFonts w:ascii="Times New Roman" w:hAnsi="Times New Roman"/>
          <w:sz w:val="24"/>
          <w:szCs w:val="24"/>
        </w:rPr>
        <w:t xml:space="preserve">, </w:t>
      </w:r>
      <w:r>
        <w:rPr>
          <w:rFonts w:ascii="Times New Roman" w:hAnsi="Times New Roman"/>
          <w:sz w:val="24"/>
          <w:szCs w:val="24"/>
        </w:rPr>
        <w:t>са</w:t>
      </w:r>
      <w:r w:rsidR="002A0708" w:rsidRPr="00295637">
        <w:rPr>
          <w:rFonts w:ascii="Times New Roman" w:hAnsi="Times New Roman"/>
          <w:sz w:val="24"/>
          <w:szCs w:val="24"/>
        </w:rPr>
        <w:t xml:space="preserve"> </w:t>
      </w:r>
      <w:r>
        <w:rPr>
          <w:rFonts w:ascii="Times New Roman" w:hAnsi="Times New Roman"/>
          <w:sz w:val="24"/>
          <w:szCs w:val="24"/>
        </w:rPr>
        <w:t>посебним</w:t>
      </w:r>
      <w:r w:rsidR="002A0708" w:rsidRPr="00295637">
        <w:rPr>
          <w:rFonts w:ascii="Times New Roman" w:hAnsi="Times New Roman"/>
          <w:sz w:val="24"/>
          <w:szCs w:val="24"/>
        </w:rPr>
        <w:t xml:space="preserve"> </w:t>
      </w:r>
      <w:r>
        <w:rPr>
          <w:rFonts w:ascii="Times New Roman" w:hAnsi="Times New Roman"/>
          <w:sz w:val="24"/>
          <w:szCs w:val="24"/>
        </w:rPr>
        <w:t>акцентом</w:t>
      </w:r>
      <w:r w:rsidR="002A0708" w:rsidRPr="00295637">
        <w:rPr>
          <w:rFonts w:ascii="Times New Roman" w:hAnsi="Times New Roman"/>
          <w:sz w:val="24"/>
          <w:szCs w:val="24"/>
        </w:rPr>
        <w:t xml:space="preserve"> </w:t>
      </w:r>
      <w:r>
        <w:rPr>
          <w:rFonts w:ascii="Times New Roman" w:hAnsi="Times New Roman"/>
          <w:sz w:val="24"/>
          <w:szCs w:val="24"/>
        </w:rPr>
        <w:t>на</w:t>
      </w:r>
      <w:r w:rsidR="002A0708" w:rsidRPr="00295637">
        <w:rPr>
          <w:rFonts w:ascii="Times New Roman" w:hAnsi="Times New Roman"/>
          <w:sz w:val="24"/>
          <w:szCs w:val="24"/>
        </w:rPr>
        <w:t xml:space="preserve"> </w:t>
      </w:r>
      <w:r>
        <w:rPr>
          <w:rFonts w:ascii="Times New Roman" w:hAnsi="Times New Roman"/>
          <w:sz w:val="24"/>
          <w:szCs w:val="24"/>
        </w:rPr>
        <w:t>родно</w:t>
      </w:r>
      <w:r w:rsidR="004F0EF3">
        <w:rPr>
          <w:rFonts w:ascii="Times New Roman" w:hAnsi="Times New Roman"/>
          <w:sz w:val="24"/>
          <w:szCs w:val="24"/>
        </w:rPr>
        <w:t xml:space="preserve"> </w:t>
      </w:r>
      <w:r>
        <w:rPr>
          <w:rFonts w:ascii="Times New Roman" w:hAnsi="Times New Roman"/>
          <w:sz w:val="24"/>
          <w:szCs w:val="24"/>
        </w:rPr>
        <w:t>засновано</w:t>
      </w:r>
      <w:r w:rsidR="002A0708" w:rsidRPr="00295637">
        <w:rPr>
          <w:rFonts w:ascii="Times New Roman" w:hAnsi="Times New Roman"/>
          <w:sz w:val="24"/>
          <w:szCs w:val="24"/>
        </w:rPr>
        <w:t xml:space="preserve"> </w:t>
      </w:r>
      <w:r>
        <w:rPr>
          <w:rFonts w:ascii="Times New Roman" w:hAnsi="Times New Roman"/>
          <w:sz w:val="24"/>
          <w:szCs w:val="24"/>
        </w:rPr>
        <w:t>насиље</w:t>
      </w:r>
      <w:r w:rsidR="002A0708" w:rsidRPr="006820FB">
        <w:rPr>
          <w:rFonts w:ascii="Times New Roman" w:hAnsi="Times New Roman"/>
          <w:sz w:val="24"/>
          <w:szCs w:val="24"/>
          <w:lang w:val="hr-HR"/>
        </w:rPr>
        <w:t xml:space="preserve">. </w:t>
      </w:r>
      <w:r>
        <w:rPr>
          <w:rFonts w:ascii="Times New Roman" w:hAnsi="Times New Roman"/>
          <w:sz w:val="24"/>
          <w:szCs w:val="24"/>
          <w:lang w:val="hr-HR"/>
        </w:rPr>
        <w:t>Активности</w:t>
      </w:r>
      <w:r w:rsidR="00DF5D69" w:rsidRPr="006820FB">
        <w:rPr>
          <w:rFonts w:ascii="Times New Roman" w:hAnsi="Times New Roman"/>
          <w:sz w:val="24"/>
          <w:szCs w:val="24"/>
          <w:lang w:val="hr-HR"/>
        </w:rPr>
        <w:t xml:space="preserve"> </w:t>
      </w:r>
      <w:r>
        <w:rPr>
          <w:rFonts w:ascii="Times New Roman" w:hAnsi="Times New Roman"/>
          <w:sz w:val="24"/>
          <w:szCs w:val="24"/>
          <w:lang w:val="hr-HR"/>
        </w:rPr>
        <w:t>ће</w:t>
      </w:r>
      <w:r w:rsidR="00DF5D69" w:rsidRPr="006820FB">
        <w:rPr>
          <w:rFonts w:ascii="Times New Roman" w:hAnsi="Times New Roman"/>
          <w:sz w:val="24"/>
          <w:szCs w:val="24"/>
          <w:lang w:val="hr-HR"/>
        </w:rPr>
        <w:t xml:space="preserve"> </w:t>
      </w:r>
      <w:r>
        <w:rPr>
          <w:rFonts w:ascii="Times New Roman" w:hAnsi="Times New Roman"/>
          <w:sz w:val="24"/>
          <w:szCs w:val="24"/>
          <w:lang w:val="hr-HR"/>
        </w:rPr>
        <w:t>бити</w:t>
      </w:r>
      <w:r w:rsidR="00DF5D69" w:rsidRPr="006820FB">
        <w:rPr>
          <w:rFonts w:ascii="Times New Roman" w:hAnsi="Times New Roman"/>
          <w:sz w:val="24"/>
          <w:szCs w:val="24"/>
          <w:lang w:val="hr-HR"/>
        </w:rPr>
        <w:t xml:space="preserve"> </w:t>
      </w:r>
      <w:r>
        <w:rPr>
          <w:rFonts w:ascii="Times New Roman" w:hAnsi="Times New Roman"/>
          <w:sz w:val="24"/>
          <w:szCs w:val="24"/>
          <w:lang w:val="hr-HR"/>
        </w:rPr>
        <w:t>настављене</w:t>
      </w:r>
      <w:r w:rsidR="00DF5D69" w:rsidRPr="006820FB">
        <w:rPr>
          <w:rFonts w:ascii="Times New Roman" w:hAnsi="Times New Roman"/>
          <w:sz w:val="24"/>
          <w:szCs w:val="24"/>
          <w:lang w:val="hr-HR"/>
        </w:rPr>
        <w:t xml:space="preserve"> </w:t>
      </w:r>
      <w:r>
        <w:rPr>
          <w:rFonts w:ascii="Times New Roman" w:hAnsi="Times New Roman"/>
          <w:sz w:val="24"/>
          <w:szCs w:val="24"/>
          <w:lang w:val="hr-HR"/>
        </w:rPr>
        <w:t>и</w:t>
      </w:r>
      <w:r w:rsidR="002A0708" w:rsidRPr="006820FB">
        <w:rPr>
          <w:rFonts w:ascii="Times New Roman" w:hAnsi="Times New Roman"/>
          <w:sz w:val="24"/>
          <w:szCs w:val="24"/>
          <w:lang w:val="hr-HR"/>
        </w:rPr>
        <w:t xml:space="preserve"> </w:t>
      </w:r>
      <w:r>
        <w:rPr>
          <w:rFonts w:ascii="Times New Roman" w:hAnsi="Times New Roman"/>
          <w:sz w:val="24"/>
          <w:szCs w:val="24"/>
          <w:lang w:val="hr-HR"/>
        </w:rPr>
        <w:t>у</w:t>
      </w:r>
      <w:r w:rsidR="002A0708" w:rsidRPr="006820FB">
        <w:rPr>
          <w:rFonts w:ascii="Times New Roman" w:hAnsi="Times New Roman"/>
          <w:sz w:val="24"/>
          <w:szCs w:val="24"/>
          <w:lang w:val="hr-HR"/>
        </w:rPr>
        <w:t xml:space="preserve"> </w:t>
      </w:r>
      <w:r>
        <w:rPr>
          <w:rFonts w:ascii="Times New Roman" w:hAnsi="Times New Roman"/>
          <w:sz w:val="24"/>
          <w:szCs w:val="24"/>
          <w:lang w:val="hr-HR"/>
        </w:rPr>
        <w:t>наредном</w:t>
      </w:r>
      <w:r w:rsidR="002A0708" w:rsidRPr="006820FB">
        <w:rPr>
          <w:rFonts w:ascii="Times New Roman" w:hAnsi="Times New Roman"/>
          <w:sz w:val="24"/>
          <w:szCs w:val="24"/>
          <w:lang w:val="hr-HR"/>
        </w:rPr>
        <w:t xml:space="preserve"> </w:t>
      </w:r>
      <w:r>
        <w:rPr>
          <w:rFonts w:ascii="Times New Roman" w:hAnsi="Times New Roman"/>
          <w:sz w:val="24"/>
          <w:szCs w:val="24"/>
          <w:lang w:val="hr-HR"/>
        </w:rPr>
        <w:t>извјештајном</w:t>
      </w:r>
      <w:r w:rsidR="002A0708" w:rsidRPr="006820FB">
        <w:rPr>
          <w:rFonts w:ascii="Times New Roman" w:hAnsi="Times New Roman"/>
          <w:sz w:val="24"/>
          <w:szCs w:val="24"/>
          <w:lang w:val="hr-HR"/>
        </w:rPr>
        <w:t xml:space="preserve"> </w:t>
      </w:r>
      <w:r>
        <w:rPr>
          <w:rFonts w:ascii="Times New Roman" w:hAnsi="Times New Roman"/>
          <w:sz w:val="24"/>
          <w:szCs w:val="24"/>
          <w:lang w:val="hr-HR"/>
        </w:rPr>
        <w:t>периоду</w:t>
      </w:r>
      <w:r w:rsidR="002A0708" w:rsidRPr="006820FB">
        <w:rPr>
          <w:rFonts w:ascii="Times New Roman" w:hAnsi="Times New Roman"/>
          <w:sz w:val="24"/>
          <w:szCs w:val="24"/>
          <w:lang w:val="hr-HR"/>
        </w:rPr>
        <w:t xml:space="preserve">. </w:t>
      </w:r>
    </w:p>
    <w:p w:rsidR="00485AB7" w:rsidRDefault="00485AB7" w:rsidP="0086268D">
      <w:pPr>
        <w:jc w:val="both"/>
        <w:rPr>
          <w:rFonts w:ascii="Times New Roman" w:hAnsi="Times New Roman"/>
          <w:szCs w:val="24"/>
        </w:rPr>
      </w:pPr>
    </w:p>
    <w:p w:rsidR="00297DC7" w:rsidRDefault="00C6214E" w:rsidP="0086268D">
      <w:pPr>
        <w:jc w:val="both"/>
        <w:rPr>
          <w:rFonts w:ascii="Times New Roman" w:hAnsi="Times New Roman"/>
          <w:spacing w:val="3"/>
          <w:szCs w:val="24"/>
        </w:rPr>
      </w:pPr>
      <w:r>
        <w:rPr>
          <w:rFonts w:ascii="Times New Roman" w:hAnsi="Times New Roman"/>
          <w:szCs w:val="24"/>
        </w:rPr>
        <w:t>Представници</w:t>
      </w:r>
      <w:r w:rsidR="00297DC7" w:rsidRPr="00295637">
        <w:rPr>
          <w:rFonts w:ascii="Times New Roman" w:hAnsi="Times New Roman"/>
          <w:szCs w:val="24"/>
        </w:rPr>
        <w:t xml:space="preserve"> </w:t>
      </w:r>
      <w:r>
        <w:rPr>
          <w:rFonts w:ascii="Times New Roman" w:hAnsi="Times New Roman"/>
          <w:szCs w:val="24"/>
        </w:rPr>
        <w:t>АР</w:t>
      </w:r>
      <w:r w:rsidR="007A6AD7">
        <w:rPr>
          <w:rFonts w:ascii="Times New Roman" w:hAnsi="Times New Roman"/>
          <w:szCs w:val="24"/>
          <w:lang w:val="sr-Cyrl-BA"/>
        </w:rPr>
        <w:t>П</w:t>
      </w:r>
      <w:r w:rsidR="004F0EF3">
        <w:rPr>
          <w:rFonts w:ascii="Times New Roman" w:hAnsi="Times New Roman"/>
          <w:szCs w:val="24"/>
        </w:rPr>
        <w:t xml:space="preserve"> </w:t>
      </w:r>
      <w:r>
        <w:rPr>
          <w:rFonts w:ascii="Times New Roman" w:hAnsi="Times New Roman"/>
          <w:szCs w:val="24"/>
        </w:rPr>
        <w:t>БиХ</w:t>
      </w:r>
      <w:r w:rsidR="004F0EF3">
        <w:rPr>
          <w:rFonts w:ascii="Times New Roman" w:hAnsi="Times New Roman"/>
          <w:szCs w:val="24"/>
        </w:rPr>
        <w:t xml:space="preserve"> </w:t>
      </w:r>
      <w:r>
        <w:rPr>
          <w:rFonts w:ascii="Times New Roman" w:hAnsi="Times New Roman"/>
          <w:szCs w:val="24"/>
        </w:rPr>
        <w:t>МЉПИ</w:t>
      </w:r>
      <w:r w:rsidR="004F0EF3">
        <w:rPr>
          <w:rFonts w:ascii="Times New Roman" w:hAnsi="Times New Roman"/>
          <w:szCs w:val="24"/>
        </w:rPr>
        <w:t xml:space="preserve"> </w:t>
      </w:r>
      <w:r>
        <w:rPr>
          <w:rFonts w:ascii="Times New Roman" w:hAnsi="Times New Roman"/>
          <w:szCs w:val="24"/>
        </w:rPr>
        <w:t>БиХ</w:t>
      </w:r>
      <w:r w:rsidR="004F563D" w:rsidRPr="00295637">
        <w:rPr>
          <w:rFonts w:ascii="Times New Roman" w:hAnsi="Times New Roman"/>
          <w:szCs w:val="24"/>
        </w:rPr>
        <w:t xml:space="preserve"> </w:t>
      </w:r>
      <w:r>
        <w:rPr>
          <w:rFonts w:ascii="Times New Roman" w:hAnsi="Times New Roman"/>
          <w:szCs w:val="24"/>
        </w:rPr>
        <w:t>учествовали</w:t>
      </w:r>
      <w:r w:rsidR="004F0EF3">
        <w:rPr>
          <w:rFonts w:ascii="Times New Roman" w:hAnsi="Times New Roman"/>
          <w:szCs w:val="24"/>
        </w:rPr>
        <w:t xml:space="preserve"> </w:t>
      </w:r>
      <w:r>
        <w:rPr>
          <w:rFonts w:ascii="Times New Roman" w:hAnsi="Times New Roman"/>
          <w:szCs w:val="24"/>
        </w:rPr>
        <w:t>су</w:t>
      </w:r>
      <w:r w:rsidR="00297DC7" w:rsidRPr="00295637">
        <w:rPr>
          <w:rFonts w:ascii="Times New Roman" w:hAnsi="Times New Roman"/>
          <w:szCs w:val="24"/>
        </w:rPr>
        <w:t xml:space="preserve"> </w:t>
      </w:r>
      <w:r>
        <w:rPr>
          <w:rFonts w:ascii="Times New Roman" w:hAnsi="Times New Roman"/>
          <w:szCs w:val="24"/>
        </w:rPr>
        <w:t>у</w:t>
      </w:r>
      <w:r w:rsidR="00297DC7" w:rsidRPr="00295637">
        <w:rPr>
          <w:rFonts w:ascii="Times New Roman" w:hAnsi="Times New Roman"/>
          <w:szCs w:val="24"/>
        </w:rPr>
        <w:t xml:space="preserve"> </w:t>
      </w:r>
      <w:r>
        <w:rPr>
          <w:rFonts w:ascii="Times New Roman" w:hAnsi="Times New Roman"/>
          <w:szCs w:val="24"/>
        </w:rPr>
        <w:t>раду</w:t>
      </w:r>
      <w:r w:rsidR="004F0EF3">
        <w:rPr>
          <w:rFonts w:ascii="Times New Roman" w:hAnsi="Times New Roman"/>
          <w:spacing w:val="3"/>
          <w:szCs w:val="24"/>
        </w:rPr>
        <w:t xml:space="preserve"> </w:t>
      </w:r>
      <w:r>
        <w:rPr>
          <w:rFonts w:ascii="Times New Roman" w:hAnsi="Times New Roman"/>
          <w:spacing w:val="3"/>
          <w:szCs w:val="24"/>
        </w:rPr>
        <w:t>радне</w:t>
      </w:r>
      <w:r w:rsidR="00297DC7" w:rsidRPr="00295637">
        <w:rPr>
          <w:rFonts w:ascii="Times New Roman" w:hAnsi="Times New Roman"/>
          <w:spacing w:val="3"/>
          <w:szCs w:val="24"/>
        </w:rPr>
        <w:t xml:space="preserve"> </w:t>
      </w:r>
      <w:r>
        <w:rPr>
          <w:rFonts w:ascii="Times New Roman" w:hAnsi="Times New Roman"/>
          <w:spacing w:val="3"/>
          <w:szCs w:val="24"/>
        </w:rPr>
        <w:t>групе</w:t>
      </w:r>
      <w:r w:rsidR="00297DC7" w:rsidRPr="00295637">
        <w:rPr>
          <w:rFonts w:ascii="Times New Roman" w:hAnsi="Times New Roman"/>
          <w:spacing w:val="3"/>
          <w:szCs w:val="24"/>
        </w:rPr>
        <w:t xml:space="preserve"> </w:t>
      </w:r>
      <w:r>
        <w:rPr>
          <w:rFonts w:ascii="Times New Roman" w:hAnsi="Times New Roman"/>
          <w:spacing w:val="3"/>
          <w:szCs w:val="24"/>
        </w:rPr>
        <w:t>за</w:t>
      </w:r>
      <w:r w:rsidR="00297DC7" w:rsidRPr="00295637">
        <w:rPr>
          <w:rFonts w:ascii="Times New Roman" w:hAnsi="Times New Roman"/>
          <w:spacing w:val="3"/>
          <w:szCs w:val="24"/>
        </w:rPr>
        <w:t xml:space="preserve"> </w:t>
      </w:r>
      <w:r>
        <w:rPr>
          <w:rFonts w:ascii="Times New Roman" w:hAnsi="Times New Roman"/>
          <w:spacing w:val="3"/>
          <w:szCs w:val="24"/>
        </w:rPr>
        <w:t>израду</w:t>
      </w:r>
      <w:r w:rsidR="00297DC7" w:rsidRPr="00295637">
        <w:rPr>
          <w:rFonts w:ascii="Times New Roman" w:hAnsi="Times New Roman"/>
          <w:spacing w:val="3"/>
          <w:szCs w:val="24"/>
        </w:rPr>
        <w:t xml:space="preserve"> </w:t>
      </w:r>
      <w:r>
        <w:rPr>
          <w:rFonts w:ascii="Times New Roman" w:hAnsi="Times New Roman"/>
          <w:spacing w:val="3"/>
          <w:szCs w:val="24"/>
        </w:rPr>
        <w:t>документа</w:t>
      </w:r>
      <w:r w:rsidR="004F0EF3">
        <w:rPr>
          <w:rFonts w:ascii="Times New Roman" w:hAnsi="Times New Roman"/>
          <w:spacing w:val="3"/>
          <w:szCs w:val="24"/>
        </w:rPr>
        <w:t xml:space="preserve"> </w:t>
      </w:r>
      <w:r>
        <w:rPr>
          <w:rFonts w:ascii="Times New Roman" w:hAnsi="Times New Roman"/>
          <w:spacing w:val="3"/>
          <w:szCs w:val="24"/>
        </w:rPr>
        <w:t>Стратегија</w:t>
      </w:r>
      <w:r w:rsidR="004F0EF3">
        <w:rPr>
          <w:rFonts w:ascii="Times New Roman" w:hAnsi="Times New Roman"/>
          <w:spacing w:val="3"/>
          <w:szCs w:val="24"/>
        </w:rPr>
        <w:t xml:space="preserve"> </w:t>
      </w:r>
      <w:r>
        <w:rPr>
          <w:rFonts w:ascii="Times New Roman" w:hAnsi="Times New Roman"/>
          <w:spacing w:val="3"/>
          <w:szCs w:val="24"/>
        </w:rPr>
        <w:t>развоја</w:t>
      </w:r>
      <w:r w:rsidR="004F0EF3">
        <w:rPr>
          <w:rFonts w:ascii="Times New Roman" w:hAnsi="Times New Roman"/>
          <w:spacing w:val="3"/>
          <w:szCs w:val="24"/>
        </w:rPr>
        <w:t xml:space="preserve"> </w:t>
      </w:r>
      <w:r>
        <w:rPr>
          <w:rFonts w:ascii="Times New Roman" w:hAnsi="Times New Roman"/>
          <w:spacing w:val="3"/>
          <w:szCs w:val="24"/>
        </w:rPr>
        <w:t>науке</w:t>
      </w:r>
      <w:r w:rsidR="00297DC7" w:rsidRPr="00295637">
        <w:rPr>
          <w:rFonts w:ascii="Times New Roman" w:hAnsi="Times New Roman"/>
          <w:spacing w:val="3"/>
          <w:szCs w:val="24"/>
        </w:rPr>
        <w:t xml:space="preserve"> </w:t>
      </w:r>
      <w:r>
        <w:rPr>
          <w:rFonts w:ascii="Times New Roman" w:hAnsi="Times New Roman"/>
          <w:spacing w:val="3"/>
          <w:szCs w:val="24"/>
        </w:rPr>
        <w:t>у</w:t>
      </w:r>
      <w:r w:rsidR="004F0EF3">
        <w:rPr>
          <w:rFonts w:ascii="Times New Roman" w:hAnsi="Times New Roman"/>
          <w:spacing w:val="3"/>
          <w:szCs w:val="24"/>
        </w:rPr>
        <w:t xml:space="preserve"> </w:t>
      </w:r>
      <w:r>
        <w:rPr>
          <w:rFonts w:ascii="Times New Roman" w:hAnsi="Times New Roman"/>
          <w:spacing w:val="3"/>
          <w:szCs w:val="24"/>
        </w:rPr>
        <w:t>Босни</w:t>
      </w:r>
      <w:r w:rsidR="004F0EF3">
        <w:rPr>
          <w:rFonts w:ascii="Times New Roman" w:hAnsi="Times New Roman"/>
          <w:spacing w:val="3"/>
          <w:szCs w:val="24"/>
        </w:rPr>
        <w:t xml:space="preserve"> </w:t>
      </w:r>
      <w:r>
        <w:rPr>
          <w:rFonts w:ascii="Times New Roman" w:hAnsi="Times New Roman"/>
          <w:spacing w:val="3"/>
          <w:szCs w:val="24"/>
        </w:rPr>
        <w:t>и</w:t>
      </w:r>
      <w:r w:rsidR="004F0EF3">
        <w:rPr>
          <w:rFonts w:ascii="Times New Roman" w:hAnsi="Times New Roman"/>
          <w:spacing w:val="3"/>
          <w:szCs w:val="24"/>
        </w:rPr>
        <w:t xml:space="preserve"> </w:t>
      </w:r>
      <w:r>
        <w:rPr>
          <w:rFonts w:ascii="Times New Roman" w:hAnsi="Times New Roman"/>
          <w:spacing w:val="3"/>
          <w:szCs w:val="24"/>
        </w:rPr>
        <w:t>Херцеговини</w:t>
      </w:r>
      <w:r w:rsidR="004F0EF3">
        <w:rPr>
          <w:rFonts w:ascii="Times New Roman" w:hAnsi="Times New Roman"/>
          <w:spacing w:val="3"/>
          <w:szCs w:val="24"/>
        </w:rPr>
        <w:t xml:space="preserve"> </w:t>
      </w:r>
      <w:r>
        <w:rPr>
          <w:rFonts w:ascii="Times New Roman" w:hAnsi="Times New Roman"/>
          <w:spacing w:val="3"/>
          <w:szCs w:val="24"/>
        </w:rPr>
        <w:t>и</w:t>
      </w:r>
      <w:r w:rsidR="004F0EF3">
        <w:rPr>
          <w:rFonts w:ascii="Times New Roman" w:hAnsi="Times New Roman"/>
          <w:spacing w:val="3"/>
          <w:szCs w:val="24"/>
        </w:rPr>
        <w:t xml:space="preserve"> </w:t>
      </w:r>
      <w:r>
        <w:rPr>
          <w:rFonts w:ascii="Times New Roman" w:hAnsi="Times New Roman"/>
          <w:spacing w:val="3"/>
          <w:szCs w:val="24"/>
        </w:rPr>
        <w:t>акционог</w:t>
      </w:r>
      <w:r w:rsidR="00297DC7" w:rsidRPr="00295637">
        <w:rPr>
          <w:rFonts w:ascii="Times New Roman" w:hAnsi="Times New Roman"/>
          <w:spacing w:val="3"/>
          <w:szCs w:val="24"/>
        </w:rPr>
        <w:t xml:space="preserve"> </w:t>
      </w:r>
      <w:r>
        <w:rPr>
          <w:rFonts w:ascii="Times New Roman" w:hAnsi="Times New Roman"/>
          <w:spacing w:val="3"/>
          <w:szCs w:val="24"/>
        </w:rPr>
        <w:t>плана</w:t>
      </w:r>
      <w:r w:rsidR="00297DC7" w:rsidRPr="00295637">
        <w:rPr>
          <w:rFonts w:ascii="Times New Roman" w:hAnsi="Times New Roman"/>
          <w:spacing w:val="3"/>
          <w:szCs w:val="24"/>
        </w:rPr>
        <w:t xml:space="preserve"> </w:t>
      </w:r>
      <w:r>
        <w:rPr>
          <w:rFonts w:ascii="Times New Roman" w:hAnsi="Times New Roman"/>
          <w:spacing w:val="3"/>
          <w:szCs w:val="24"/>
        </w:rPr>
        <w:t>за</w:t>
      </w:r>
      <w:r w:rsidR="00297DC7" w:rsidRPr="00295637">
        <w:rPr>
          <w:rFonts w:ascii="Times New Roman" w:hAnsi="Times New Roman"/>
          <w:spacing w:val="3"/>
          <w:szCs w:val="24"/>
        </w:rPr>
        <w:t xml:space="preserve"> </w:t>
      </w:r>
      <w:r>
        <w:rPr>
          <w:rFonts w:ascii="Times New Roman" w:hAnsi="Times New Roman"/>
          <w:spacing w:val="3"/>
          <w:szCs w:val="24"/>
        </w:rPr>
        <w:t>њен</w:t>
      </w:r>
      <w:r w:rsidR="007A6AD7">
        <w:rPr>
          <w:rFonts w:ascii="Times New Roman" w:hAnsi="Times New Roman"/>
          <w:spacing w:val="3"/>
          <w:szCs w:val="24"/>
          <w:lang w:val="sr-Cyrl-BA"/>
        </w:rPr>
        <w:t>о</w:t>
      </w:r>
      <w:r w:rsidR="00297DC7" w:rsidRPr="00295637">
        <w:rPr>
          <w:rFonts w:ascii="Times New Roman" w:hAnsi="Times New Roman"/>
          <w:spacing w:val="3"/>
          <w:szCs w:val="24"/>
        </w:rPr>
        <w:t xml:space="preserve"> </w:t>
      </w:r>
      <w:r w:rsidR="007A6AD7">
        <w:rPr>
          <w:rFonts w:ascii="Times New Roman" w:hAnsi="Times New Roman"/>
          <w:spacing w:val="3"/>
          <w:szCs w:val="24"/>
          <w:lang w:val="sr-Cyrl-BA"/>
        </w:rPr>
        <w:t>спровођење</w:t>
      </w:r>
      <w:r w:rsidR="00297DC7" w:rsidRPr="00295637">
        <w:rPr>
          <w:rFonts w:ascii="Times New Roman" w:hAnsi="Times New Roman"/>
          <w:spacing w:val="3"/>
          <w:szCs w:val="24"/>
        </w:rPr>
        <w:t xml:space="preserve">. </w:t>
      </w:r>
      <w:r>
        <w:rPr>
          <w:rFonts w:ascii="Times New Roman" w:hAnsi="Times New Roman"/>
          <w:spacing w:val="3"/>
          <w:szCs w:val="24"/>
        </w:rPr>
        <w:t>Поред</w:t>
      </w:r>
      <w:r w:rsidR="00297DC7" w:rsidRPr="00295637">
        <w:rPr>
          <w:rFonts w:ascii="Times New Roman" w:hAnsi="Times New Roman"/>
          <w:spacing w:val="3"/>
          <w:szCs w:val="24"/>
        </w:rPr>
        <w:t xml:space="preserve"> </w:t>
      </w:r>
      <w:r>
        <w:rPr>
          <w:rFonts w:ascii="Times New Roman" w:hAnsi="Times New Roman"/>
          <w:spacing w:val="3"/>
          <w:szCs w:val="24"/>
        </w:rPr>
        <w:t>кориш</w:t>
      </w:r>
      <w:r w:rsidR="007A6AD7">
        <w:rPr>
          <w:rFonts w:ascii="Times New Roman" w:hAnsi="Times New Roman"/>
          <w:spacing w:val="3"/>
          <w:szCs w:val="24"/>
          <w:lang w:val="sr-Cyrl-BA"/>
        </w:rPr>
        <w:t>ћ</w:t>
      </w:r>
      <w:r>
        <w:rPr>
          <w:rFonts w:ascii="Times New Roman" w:hAnsi="Times New Roman"/>
          <w:spacing w:val="3"/>
          <w:szCs w:val="24"/>
        </w:rPr>
        <w:t>ења</w:t>
      </w:r>
      <w:r w:rsidR="00297DC7" w:rsidRPr="00295637">
        <w:rPr>
          <w:rFonts w:ascii="Times New Roman" w:hAnsi="Times New Roman"/>
          <w:spacing w:val="3"/>
          <w:szCs w:val="24"/>
        </w:rPr>
        <w:t xml:space="preserve"> </w:t>
      </w:r>
      <w:r>
        <w:rPr>
          <w:rFonts w:ascii="Times New Roman" w:hAnsi="Times New Roman"/>
          <w:spacing w:val="3"/>
          <w:szCs w:val="24"/>
        </w:rPr>
        <w:t>језика</w:t>
      </w:r>
      <w:r w:rsidR="00297DC7" w:rsidRPr="00295637">
        <w:rPr>
          <w:rFonts w:ascii="Times New Roman" w:hAnsi="Times New Roman"/>
          <w:spacing w:val="3"/>
          <w:szCs w:val="24"/>
        </w:rPr>
        <w:t xml:space="preserve"> </w:t>
      </w:r>
      <w:r>
        <w:rPr>
          <w:rFonts w:ascii="Times New Roman" w:hAnsi="Times New Roman"/>
          <w:spacing w:val="3"/>
          <w:szCs w:val="24"/>
        </w:rPr>
        <w:t>који</w:t>
      </w:r>
      <w:r w:rsidR="00297DC7" w:rsidRPr="00295637">
        <w:rPr>
          <w:rFonts w:ascii="Times New Roman" w:hAnsi="Times New Roman"/>
          <w:spacing w:val="3"/>
          <w:szCs w:val="24"/>
        </w:rPr>
        <w:t xml:space="preserve"> </w:t>
      </w:r>
      <w:r>
        <w:rPr>
          <w:rFonts w:ascii="Times New Roman" w:hAnsi="Times New Roman"/>
          <w:spacing w:val="3"/>
          <w:szCs w:val="24"/>
        </w:rPr>
        <w:t>није</w:t>
      </w:r>
      <w:r w:rsidR="00297DC7" w:rsidRPr="00295637">
        <w:rPr>
          <w:rFonts w:ascii="Times New Roman" w:hAnsi="Times New Roman"/>
          <w:spacing w:val="3"/>
          <w:szCs w:val="24"/>
        </w:rPr>
        <w:t xml:space="preserve"> </w:t>
      </w:r>
      <w:r>
        <w:rPr>
          <w:rFonts w:ascii="Times New Roman" w:hAnsi="Times New Roman"/>
          <w:spacing w:val="3"/>
          <w:szCs w:val="24"/>
        </w:rPr>
        <w:t>дискриминаторан</w:t>
      </w:r>
      <w:r w:rsidR="004F563D" w:rsidRPr="00295637">
        <w:rPr>
          <w:rFonts w:ascii="Times New Roman" w:hAnsi="Times New Roman"/>
          <w:spacing w:val="3"/>
          <w:szCs w:val="24"/>
        </w:rPr>
        <w:t xml:space="preserve">, </w:t>
      </w:r>
      <w:r>
        <w:rPr>
          <w:rFonts w:ascii="Times New Roman" w:hAnsi="Times New Roman"/>
          <w:spacing w:val="3"/>
          <w:szCs w:val="24"/>
        </w:rPr>
        <w:t>указано</w:t>
      </w:r>
      <w:r w:rsidR="004F563D" w:rsidRPr="00295637">
        <w:rPr>
          <w:rFonts w:ascii="Times New Roman" w:hAnsi="Times New Roman"/>
          <w:spacing w:val="3"/>
          <w:szCs w:val="24"/>
        </w:rPr>
        <w:t xml:space="preserve"> </w:t>
      </w:r>
      <w:r>
        <w:rPr>
          <w:rFonts w:ascii="Times New Roman" w:hAnsi="Times New Roman"/>
          <w:spacing w:val="3"/>
          <w:szCs w:val="24"/>
        </w:rPr>
        <w:t>је</w:t>
      </w:r>
      <w:r w:rsidR="004F563D" w:rsidRPr="00295637">
        <w:rPr>
          <w:rFonts w:ascii="Times New Roman" w:hAnsi="Times New Roman"/>
          <w:spacing w:val="3"/>
          <w:szCs w:val="24"/>
        </w:rPr>
        <w:t xml:space="preserve"> </w:t>
      </w:r>
      <w:r>
        <w:rPr>
          <w:rFonts w:ascii="Times New Roman" w:hAnsi="Times New Roman"/>
          <w:spacing w:val="3"/>
          <w:szCs w:val="24"/>
        </w:rPr>
        <w:t>на</w:t>
      </w:r>
      <w:r w:rsidR="00297DC7" w:rsidRPr="00295637">
        <w:rPr>
          <w:rFonts w:ascii="Times New Roman" w:hAnsi="Times New Roman"/>
          <w:spacing w:val="3"/>
          <w:szCs w:val="24"/>
        </w:rPr>
        <w:t xml:space="preserve"> </w:t>
      </w:r>
      <w:r>
        <w:rPr>
          <w:rFonts w:ascii="Times New Roman" w:hAnsi="Times New Roman"/>
          <w:spacing w:val="3"/>
          <w:szCs w:val="24"/>
        </w:rPr>
        <w:t>потребу</w:t>
      </w:r>
      <w:r w:rsidR="00297DC7" w:rsidRPr="00295637">
        <w:rPr>
          <w:rFonts w:ascii="Times New Roman" w:hAnsi="Times New Roman"/>
          <w:spacing w:val="3"/>
          <w:szCs w:val="24"/>
        </w:rPr>
        <w:t xml:space="preserve"> </w:t>
      </w:r>
      <w:r>
        <w:rPr>
          <w:rFonts w:ascii="Times New Roman" w:hAnsi="Times New Roman"/>
          <w:spacing w:val="3"/>
          <w:szCs w:val="24"/>
        </w:rPr>
        <w:t>да</w:t>
      </w:r>
      <w:r w:rsidR="00297DC7" w:rsidRPr="00295637">
        <w:rPr>
          <w:rFonts w:ascii="Times New Roman" w:hAnsi="Times New Roman"/>
          <w:spacing w:val="3"/>
          <w:szCs w:val="24"/>
        </w:rPr>
        <w:t xml:space="preserve"> </w:t>
      </w:r>
      <w:r>
        <w:rPr>
          <w:rFonts w:ascii="Times New Roman" w:hAnsi="Times New Roman"/>
          <w:spacing w:val="3"/>
          <w:szCs w:val="24"/>
        </w:rPr>
        <w:t>се</w:t>
      </w:r>
      <w:r w:rsidR="00297DC7" w:rsidRPr="00295637">
        <w:rPr>
          <w:rFonts w:ascii="Times New Roman" w:hAnsi="Times New Roman"/>
          <w:spacing w:val="3"/>
          <w:szCs w:val="24"/>
        </w:rPr>
        <w:t xml:space="preserve"> </w:t>
      </w:r>
      <w:r>
        <w:rPr>
          <w:rFonts w:ascii="Times New Roman" w:hAnsi="Times New Roman"/>
          <w:spacing w:val="3"/>
          <w:szCs w:val="24"/>
        </w:rPr>
        <w:t>води</w:t>
      </w:r>
      <w:r w:rsidR="00297DC7" w:rsidRPr="00295637">
        <w:rPr>
          <w:rFonts w:ascii="Times New Roman" w:hAnsi="Times New Roman"/>
          <w:spacing w:val="3"/>
          <w:szCs w:val="24"/>
        </w:rPr>
        <w:t xml:space="preserve"> </w:t>
      </w:r>
      <w:r>
        <w:rPr>
          <w:rFonts w:ascii="Times New Roman" w:hAnsi="Times New Roman"/>
          <w:spacing w:val="3"/>
          <w:szCs w:val="24"/>
        </w:rPr>
        <w:t>рачуна</w:t>
      </w:r>
      <w:r w:rsidR="00297DC7" w:rsidRPr="00295637">
        <w:rPr>
          <w:rFonts w:ascii="Times New Roman" w:hAnsi="Times New Roman"/>
          <w:spacing w:val="3"/>
          <w:szCs w:val="24"/>
        </w:rPr>
        <w:t xml:space="preserve"> </w:t>
      </w:r>
      <w:r>
        <w:rPr>
          <w:rFonts w:ascii="Times New Roman" w:hAnsi="Times New Roman"/>
          <w:spacing w:val="3"/>
          <w:szCs w:val="24"/>
        </w:rPr>
        <w:t>о</w:t>
      </w:r>
      <w:r w:rsidR="00297DC7" w:rsidRPr="00295637">
        <w:rPr>
          <w:rFonts w:ascii="Times New Roman" w:hAnsi="Times New Roman"/>
          <w:spacing w:val="3"/>
          <w:szCs w:val="24"/>
        </w:rPr>
        <w:t xml:space="preserve"> </w:t>
      </w:r>
      <w:r>
        <w:rPr>
          <w:rFonts w:ascii="Times New Roman" w:hAnsi="Times New Roman"/>
          <w:spacing w:val="3"/>
          <w:szCs w:val="24"/>
        </w:rPr>
        <w:t>статистици</w:t>
      </w:r>
      <w:r w:rsidR="00297DC7" w:rsidRPr="00295637">
        <w:rPr>
          <w:rFonts w:ascii="Times New Roman" w:hAnsi="Times New Roman"/>
          <w:spacing w:val="3"/>
          <w:szCs w:val="24"/>
        </w:rPr>
        <w:t xml:space="preserve"> </w:t>
      </w:r>
      <w:r>
        <w:rPr>
          <w:rFonts w:ascii="Times New Roman" w:hAnsi="Times New Roman"/>
          <w:spacing w:val="3"/>
          <w:szCs w:val="24"/>
        </w:rPr>
        <w:t>разврстаној</w:t>
      </w:r>
      <w:r w:rsidR="00297DC7" w:rsidRPr="00295637">
        <w:rPr>
          <w:rFonts w:ascii="Times New Roman" w:hAnsi="Times New Roman"/>
          <w:spacing w:val="3"/>
          <w:szCs w:val="24"/>
        </w:rPr>
        <w:t xml:space="preserve"> </w:t>
      </w:r>
      <w:r>
        <w:rPr>
          <w:rFonts w:ascii="Times New Roman" w:hAnsi="Times New Roman"/>
          <w:spacing w:val="3"/>
          <w:szCs w:val="24"/>
        </w:rPr>
        <w:t>на</w:t>
      </w:r>
      <w:r w:rsidR="00297DC7" w:rsidRPr="00295637">
        <w:rPr>
          <w:rFonts w:ascii="Times New Roman" w:hAnsi="Times New Roman"/>
          <w:spacing w:val="3"/>
          <w:szCs w:val="24"/>
        </w:rPr>
        <w:t xml:space="preserve"> </w:t>
      </w:r>
      <w:r>
        <w:rPr>
          <w:rFonts w:ascii="Times New Roman" w:hAnsi="Times New Roman"/>
          <w:spacing w:val="3"/>
          <w:szCs w:val="24"/>
        </w:rPr>
        <w:t>основу</w:t>
      </w:r>
      <w:r w:rsidR="00297DC7" w:rsidRPr="00295637">
        <w:rPr>
          <w:rFonts w:ascii="Times New Roman" w:hAnsi="Times New Roman"/>
          <w:spacing w:val="3"/>
          <w:szCs w:val="24"/>
        </w:rPr>
        <w:t xml:space="preserve"> </w:t>
      </w:r>
      <w:r>
        <w:rPr>
          <w:rFonts w:ascii="Times New Roman" w:hAnsi="Times New Roman"/>
          <w:spacing w:val="3"/>
          <w:szCs w:val="24"/>
        </w:rPr>
        <w:t>пола</w:t>
      </w:r>
      <w:r w:rsidR="00297DC7" w:rsidRPr="00295637">
        <w:rPr>
          <w:rFonts w:ascii="Times New Roman" w:hAnsi="Times New Roman"/>
          <w:spacing w:val="3"/>
          <w:szCs w:val="24"/>
        </w:rPr>
        <w:t xml:space="preserve">, </w:t>
      </w:r>
      <w:r>
        <w:rPr>
          <w:rFonts w:ascii="Times New Roman" w:hAnsi="Times New Roman"/>
          <w:spacing w:val="3"/>
          <w:szCs w:val="24"/>
        </w:rPr>
        <w:t>а</w:t>
      </w:r>
      <w:r w:rsidR="004F0EF3">
        <w:rPr>
          <w:rFonts w:ascii="Times New Roman" w:hAnsi="Times New Roman"/>
          <w:spacing w:val="3"/>
          <w:szCs w:val="24"/>
        </w:rPr>
        <w:t xml:space="preserve"> </w:t>
      </w:r>
      <w:r>
        <w:rPr>
          <w:rFonts w:ascii="Times New Roman" w:hAnsi="Times New Roman"/>
          <w:spacing w:val="3"/>
          <w:szCs w:val="24"/>
        </w:rPr>
        <w:t>да</w:t>
      </w:r>
      <w:r w:rsidR="004F0EF3">
        <w:rPr>
          <w:rFonts w:ascii="Times New Roman" w:hAnsi="Times New Roman"/>
          <w:spacing w:val="3"/>
          <w:szCs w:val="24"/>
        </w:rPr>
        <w:t xml:space="preserve"> </w:t>
      </w:r>
      <w:r>
        <w:rPr>
          <w:rFonts w:ascii="Times New Roman" w:hAnsi="Times New Roman"/>
          <w:spacing w:val="3"/>
          <w:szCs w:val="24"/>
        </w:rPr>
        <w:t>се</w:t>
      </w:r>
      <w:r w:rsidR="004F0EF3">
        <w:rPr>
          <w:rFonts w:ascii="Times New Roman" w:hAnsi="Times New Roman"/>
          <w:spacing w:val="3"/>
          <w:szCs w:val="24"/>
        </w:rPr>
        <w:t xml:space="preserve"> </w:t>
      </w:r>
      <w:r>
        <w:rPr>
          <w:rFonts w:ascii="Times New Roman" w:hAnsi="Times New Roman"/>
          <w:spacing w:val="3"/>
          <w:szCs w:val="24"/>
        </w:rPr>
        <w:t>за</w:t>
      </w:r>
      <w:r w:rsidR="004F0EF3">
        <w:rPr>
          <w:rFonts w:ascii="Times New Roman" w:hAnsi="Times New Roman"/>
          <w:spacing w:val="3"/>
          <w:szCs w:val="24"/>
        </w:rPr>
        <w:t xml:space="preserve"> </w:t>
      </w:r>
      <w:r>
        <w:rPr>
          <w:rFonts w:ascii="Times New Roman" w:hAnsi="Times New Roman"/>
          <w:spacing w:val="3"/>
          <w:szCs w:val="24"/>
        </w:rPr>
        <w:t>ситуациону</w:t>
      </w:r>
      <w:r w:rsidR="004F0EF3">
        <w:rPr>
          <w:rFonts w:ascii="Times New Roman" w:hAnsi="Times New Roman"/>
          <w:spacing w:val="3"/>
          <w:szCs w:val="24"/>
        </w:rPr>
        <w:t xml:space="preserve"> </w:t>
      </w:r>
      <w:r>
        <w:rPr>
          <w:rFonts w:ascii="Times New Roman" w:hAnsi="Times New Roman"/>
          <w:spacing w:val="3"/>
          <w:szCs w:val="24"/>
        </w:rPr>
        <w:t>анализу</w:t>
      </w:r>
      <w:r w:rsidR="004F0EF3">
        <w:rPr>
          <w:rFonts w:ascii="Times New Roman" w:hAnsi="Times New Roman"/>
          <w:spacing w:val="3"/>
          <w:szCs w:val="24"/>
        </w:rPr>
        <w:t xml:space="preserve"> </w:t>
      </w:r>
      <w:r>
        <w:rPr>
          <w:rFonts w:ascii="Times New Roman" w:hAnsi="Times New Roman"/>
          <w:spacing w:val="3"/>
          <w:szCs w:val="24"/>
        </w:rPr>
        <w:t>обавезно</w:t>
      </w:r>
      <w:r w:rsidR="00297DC7" w:rsidRPr="00295637">
        <w:rPr>
          <w:rFonts w:ascii="Times New Roman" w:hAnsi="Times New Roman"/>
          <w:spacing w:val="3"/>
          <w:szCs w:val="24"/>
        </w:rPr>
        <w:t xml:space="preserve"> </w:t>
      </w:r>
      <w:r>
        <w:rPr>
          <w:rFonts w:ascii="Times New Roman" w:hAnsi="Times New Roman"/>
          <w:spacing w:val="3"/>
          <w:szCs w:val="24"/>
        </w:rPr>
        <w:t>користе</w:t>
      </w:r>
      <w:r w:rsidR="00297DC7" w:rsidRPr="00295637">
        <w:rPr>
          <w:rFonts w:ascii="Times New Roman" w:hAnsi="Times New Roman"/>
          <w:spacing w:val="3"/>
          <w:szCs w:val="24"/>
        </w:rPr>
        <w:t xml:space="preserve"> </w:t>
      </w:r>
      <w:r>
        <w:rPr>
          <w:rFonts w:ascii="Times New Roman" w:hAnsi="Times New Roman"/>
          <w:spacing w:val="3"/>
          <w:szCs w:val="24"/>
        </w:rPr>
        <w:t>могућности</w:t>
      </w:r>
      <w:r w:rsidR="00297DC7" w:rsidRPr="00295637">
        <w:rPr>
          <w:rFonts w:ascii="Times New Roman" w:hAnsi="Times New Roman"/>
          <w:spacing w:val="3"/>
          <w:szCs w:val="24"/>
        </w:rPr>
        <w:t xml:space="preserve"> </w:t>
      </w:r>
      <w:r>
        <w:rPr>
          <w:rFonts w:ascii="Times New Roman" w:hAnsi="Times New Roman"/>
          <w:spacing w:val="3"/>
          <w:szCs w:val="24"/>
        </w:rPr>
        <w:t>родно</w:t>
      </w:r>
      <w:r w:rsidR="00297DC7" w:rsidRPr="00295637">
        <w:rPr>
          <w:rFonts w:ascii="Times New Roman" w:hAnsi="Times New Roman"/>
          <w:spacing w:val="3"/>
          <w:szCs w:val="24"/>
        </w:rPr>
        <w:t xml:space="preserve"> </w:t>
      </w:r>
      <w:r>
        <w:rPr>
          <w:rFonts w:ascii="Times New Roman" w:hAnsi="Times New Roman"/>
          <w:spacing w:val="3"/>
          <w:szCs w:val="24"/>
        </w:rPr>
        <w:t>осјетљивих</w:t>
      </w:r>
      <w:r w:rsidR="00297DC7" w:rsidRPr="00295637">
        <w:rPr>
          <w:rFonts w:ascii="Times New Roman" w:hAnsi="Times New Roman"/>
          <w:spacing w:val="3"/>
          <w:szCs w:val="24"/>
        </w:rPr>
        <w:t xml:space="preserve"> </w:t>
      </w:r>
      <w:r>
        <w:rPr>
          <w:rFonts w:ascii="Times New Roman" w:hAnsi="Times New Roman"/>
          <w:spacing w:val="3"/>
          <w:szCs w:val="24"/>
        </w:rPr>
        <w:t>индикатора</w:t>
      </w:r>
      <w:r w:rsidR="00297DC7" w:rsidRPr="00295637">
        <w:rPr>
          <w:rFonts w:ascii="Times New Roman" w:hAnsi="Times New Roman"/>
          <w:spacing w:val="3"/>
          <w:szCs w:val="24"/>
        </w:rPr>
        <w:t>.</w:t>
      </w:r>
    </w:p>
    <w:p w:rsidR="005E0A29" w:rsidRPr="00295637" w:rsidRDefault="005E0A29" w:rsidP="0086268D">
      <w:pPr>
        <w:jc w:val="both"/>
        <w:rPr>
          <w:rFonts w:ascii="Times New Roman" w:hAnsi="Times New Roman"/>
          <w:spacing w:val="3"/>
          <w:szCs w:val="24"/>
        </w:rPr>
      </w:pPr>
    </w:p>
    <w:p w:rsidR="00B67FCB" w:rsidRDefault="00C6214E" w:rsidP="0086268D">
      <w:pPr>
        <w:jc w:val="both"/>
        <w:rPr>
          <w:rFonts w:ascii="Times New Roman" w:hAnsi="Times New Roman"/>
          <w:szCs w:val="24"/>
        </w:rPr>
      </w:pPr>
      <w:r>
        <w:rPr>
          <w:rFonts w:ascii="Times New Roman" w:hAnsi="Times New Roman"/>
          <w:szCs w:val="24"/>
        </w:rPr>
        <w:t>О</w:t>
      </w:r>
      <w:r>
        <w:rPr>
          <w:rFonts w:ascii="Times New Roman" w:hAnsi="Times New Roman"/>
          <w:color w:val="000000"/>
          <w:szCs w:val="24"/>
        </w:rPr>
        <w:t>биљежавање</w:t>
      </w:r>
      <w:r w:rsidR="00297DC7" w:rsidRPr="00295637">
        <w:rPr>
          <w:rFonts w:ascii="Times New Roman" w:hAnsi="Times New Roman"/>
          <w:color w:val="000000"/>
          <w:szCs w:val="24"/>
        </w:rPr>
        <w:t xml:space="preserve"> </w:t>
      </w:r>
      <w:r>
        <w:rPr>
          <w:rFonts w:ascii="Times New Roman" w:hAnsi="Times New Roman"/>
          <w:color w:val="000000"/>
          <w:szCs w:val="24"/>
        </w:rPr>
        <w:t>Међународног</w:t>
      </w:r>
      <w:r w:rsidR="00297DC7" w:rsidRPr="00295637">
        <w:rPr>
          <w:rFonts w:ascii="Times New Roman" w:hAnsi="Times New Roman"/>
          <w:color w:val="000000"/>
          <w:szCs w:val="24"/>
        </w:rPr>
        <w:t xml:space="preserve"> </w:t>
      </w:r>
      <w:r>
        <w:rPr>
          <w:rFonts w:ascii="Times New Roman" w:hAnsi="Times New Roman"/>
          <w:color w:val="000000"/>
          <w:szCs w:val="24"/>
        </w:rPr>
        <w:t>дана</w:t>
      </w:r>
      <w:r w:rsidR="00297DC7" w:rsidRPr="00295637">
        <w:rPr>
          <w:rFonts w:ascii="Times New Roman" w:hAnsi="Times New Roman"/>
          <w:color w:val="000000"/>
          <w:szCs w:val="24"/>
        </w:rPr>
        <w:t xml:space="preserve"> </w:t>
      </w:r>
      <w:r>
        <w:rPr>
          <w:rFonts w:ascii="Times New Roman" w:hAnsi="Times New Roman"/>
          <w:color w:val="000000"/>
          <w:szCs w:val="24"/>
        </w:rPr>
        <w:t>дјетета</w:t>
      </w:r>
      <w:r w:rsidR="00297DC7" w:rsidRPr="00295637">
        <w:rPr>
          <w:rFonts w:ascii="Times New Roman" w:hAnsi="Times New Roman"/>
          <w:color w:val="000000"/>
          <w:szCs w:val="24"/>
        </w:rPr>
        <w:t xml:space="preserve"> 2024.</w:t>
      </w:r>
      <w:r w:rsidR="004F563D" w:rsidRPr="00295637">
        <w:rPr>
          <w:rFonts w:ascii="Times New Roman" w:hAnsi="Times New Roman"/>
          <w:color w:val="000000"/>
          <w:szCs w:val="24"/>
        </w:rPr>
        <w:t xml:space="preserve"> </w:t>
      </w:r>
      <w:r>
        <w:rPr>
          <w:rFonts w:ascii="Times New Roman" w:hAnsi="Times New Roman"/>
          <w:color w:val="000000"/>
          <w:szCs w:val="24"/>
        </w:rPr>
        <w:t>године</w:t>
      </w:r>
      <w:r w:rsidR="00297DC7" w:rsidRPr="00295637">
        <w:rPr>
          <w:rFonts w:ascii="Times New Roman" w:hAnsi="Times New Roman"/>
          <w:color w:val="000000"/>
          <w:szCs w:val="24"/>
        </w:rPr>
        <w:t xml:space="preserve"> </w:t>
      </w:r>
      <w:r>
        <w:rPr>
          <w:rFonts w:ascii="Times New Roman" w:hAnsi="Times New Roman"/>
          <w:color w:val="000000"/>
          <w:szCs w:val="24"/>
        </w:rPr>
        <w:t>у</w:t>
      </w:r>
      <w:r w:rsidR="00297DC7" w:rsidRPr="00295637">
        <w:rPr>
          <w:rFonts w:ascii="Times New Roman" w:hAnsi="Times New Roman"/>
          <w:color w:val="000000"/>
          <w:szCs w:val="24"/>
        </w:rPr>
        <w:t xml:space="preserve"> </w:t>
      </w:r>
      <w:r>
        <w:rPr>
          <w:rFonts w:ascii="Times New Roman" w:hAnsi="Times New Roman"/>
          <w:color w:val="000000"/>
          <w:szCs w:val="24"/>
        </w:rPr>
        <w:t>згради</w:t>
      </w:r>
      <w:r w:rsidR="00297DC7" w:rsidRPr="00295637">
        <w:rPr>
          <w:rFonts w:ascii="Times New Roman" w:hAnsi="Times New Roman"/>
          <w:color w:val="000000"/>
          <w:szCs w:val="24"/>
        </w:rPr>
        <w:t xml:space="preserve"> </w:t>
      </w:r>
      <w:r>
        <w:rPr>
          <w:rFonts w:ascii="Times New Roman" w:hAnsi="Times New Roman"/>
          <w:color w:val="000000"/>
          <w:szCs w:val="24"/>
        </w:rPr>
        <w:t>ПС</w:t>
      </w:r>
      <w:r w:rsidR="00DC4A18">
        <w:rPr>
          <w:rFonts w:ascii="Times New Roman" w:hAnsi="Times New Roman"/>
          <w:color w:val="000000"/>
          <w:szCs w:val="24"/>
        </w:rPr>
        <w:t xml:space="preserve"> </w:t>
      </w:r>
      <w:r>
        <w:rPr>
          <w:rFonts w:ascii="Times New Roman" w:hAnsi="Times New Roman"/>
          <w:color w:val="000000"/>
          <w:szCs w:val="24"/>
        </w:rPr>
        <w:t>БиХ</w:t>
      </w:r>
      <w:r w:rsidR="00297DC7" w:rsidRPr="00295637">
        <w:rPr>
          <w:rFonts w:ascii="Times New Roman" w:hAnsi="Times New Roman"/>
          <w:color w:val="000000"/>
          <w:szCs w:val="24"/>
        </w:rPr>
        <w:t xml:space="preserve"> </w:t>
      </w:r>
      <w:r>
        <w:rPr>
          <w:rFonts w:ascii="Times New Roman" w:hAnsi="Times New Roman"/>
          <w:color w:val="000000"/>
          <w:szCs w:val="24"/>
        </w:rPr>
        <w:t>у</w:t>
      </w:r>
      <w:r w:rsidR="00297DC7" w:rsidRPr="00295637">
        <w:rPr>
          <w:rFonts w:ascii="Times New Roman" w:hAnsi="Times New Roman"/>
          <w:color w:val="000000"/>
          <w:szCs w:val="24"/>
        </w:rPr>
        <w:t xml:space="preserve"> </w:t>
      </w:r>
      <w:r>
        <w:rPr>
          <w:rFonts w:ascii="Times New Roman" w:hAnsi="Times New Roman"/>
          <w:color w:val="000000"/>
          <w:szCs w:val="24"/>
        </w:rPr>
        <w:t>организацији</w:t>
      </w:r>
      <w:r w:rsidR="00297DC7" w:rsidRPr="00295637">
        <w:rPr>
          <w:rFonts w:ascii="Times New Roman" w:hAnsi="Times New Roman"/>
          <w:color w:val="000000"/>
          <w:szCs w:val="24"/>
        </w:rPr>
        <w:t xml:space="preserve"> </w:t>
      </w:r>
      <w:r w:rsidR="007A6AD7" w:rsidRPr="007A6AD7">
        <w:rPr>
          <w:rFonts w:ascii="Times New Roman" w:hAnsi="Times New Roman"/>
          <w:bCs/>
          <w:i/>
          <w:color w:val="000000"/>
          <w:szCs w:val="24"/>
        </w:rPr>
        <w:t>UNICEF</w:t>
      </w:r>
      <w:r w:rsidR="00B504FB" w:rsidRPr="00295637">
        <w:rPr>
          <w:rFonts w:ascii="Times New Roman" w:hAnsi="Times New Roman"/>
          <w:bCs/>
          <w:color w:val="000000"/>
          <w:szCs w:val="24"/>
        </w:rPr>
        <w:t xml:space="preserve"> </w:t>
      </w:r>
      <w:r>
        <w:rPr>
          <w:rFonts w:ascii="Times New Roman" w:hAnsi="Times New Roman"/>
          <w:bCs/>
          <w:color w:val="000000"/>
          <w:szCs w:val="24"/>
        </w:rPr>
        <w:t>БиХ</w:t>
      </w:r>
      <w:r w:rsidR="00297DC7" w:rsidRPr="00295637">
        <w:rPr>
          <w:rFonts w:ascii="Times New Roman" w:hAnsi="Times New Roman"/>
          <w:bCs/>
          <w:color w:val="000000"/>
          <w:szCs w:val="24"/>
        </w:rPr>
        <w:t>,</w:t>
      </w:r>
      <w:r w:rsidR="00B504FB" w:rsidRPr="00295637">
        <w:rPr>
          <w:rFonts w:ascii="Times New Roman" w:hAnsi="Times New Roman"/>
          <w:bCs/>
          <w:color w:val="000000"/>
          <w:szCs w:val="24"/>
        </w:rPr>
        <w:t xml:space="preserve"> </w:t>
      </w:r>
      <w:r>
        <w:rPr>
          <w:rFonts w:ascii="Times New Roman" w:hAnsi="Times New Roman"/>
          <w:bCs/>
          <w:color w:val="000000"/>
          <w:szCs w:val="24"/>
        </w:rPr>
        <w:t>МЉПИ</w:t>
      </w:r>
      <w:r w:rsidR="004F0EF3">
        <w:rPr>
          <w:rFonts w:ascii="Times New Roman" w:hAnsi="Times New Roman"/>
          <w:bCs/>
          <w:color w:val="000000"/>
          <w:szCs w:val="24"/>
        </w:rPr>
        <w:t xml:space="preserve"> </w:t>
      </w:r>
      <w:r>
        <w:rPr>
          <w:rFonts w:ascii="Times New Roman" w:hAnsi="Times New Roman"/>
          <w:bCs/>
          <w:color w:val="000000"/>
          <w:szCs w:val="24"/>
        </w:rPr>
        <w:t>БиХ</w:t>
      </w:r>
      <w:r w:rsidR="00297DC7" w:rsidRPr="00295637">
        <w:rPr>
          <w:rFonts w:ascii="Times New Roman" w:hAnsi="Times New Roman"/>
          <w:bCs/>
          <w:color w:val="000000"/>
          <w:szCs w:val="24"/>
        </w:rPr>
        <w:t xml:space="preserve"> </w:t>
      </w:r>
      <w:r>
        <w:rPr>
          <w:rFonts w:ascii="Times New Roman" w:hAnsi="Times New Roman"/>
          <w:bCs/>
          <w:color w:val="000000"/>
          <w:szCs w:val="24"/>
        </w:rPr>
        <w:t>и</w:t>
      </w:r>
      <w:r w:rsidR="00297DC7" w:rsidRPr="00295637">
        <w:rPr>
          <w:rFonts w:ascii="Times New Roman" w:hAnsi="Times New Roman"/>
          <w:bCs/>
          <w:color w:val="000000"/>
          <w:szCs w:val="24"/>
        </w:rPr>
        <w:t xml:space="preserve"> </w:t>
      </w:r>
      <w:r w:rsidR="007A6AD7">
        <w:rPr>
          <w:rFonts w:ascii="Times New Roman" w:hAnsi="Times New Roman"/>
          <w:bCs/>
          <w:color w:val="000000"/>
          <w:szCs w:val="24"/>
          <w:lang w:val="sr-Cyrl-BA"/>
        </w:rPr>
        <w:t>Савјета</w:t>
      </w:r>
      <w:r w:rsidR="00297DC7" w:rsidRPr="00295637">
        <w:rPr>
          <w:rFonts w:ascii="Times New Roman" w:hAnsi="Times New Roman"/>
          <w:bCs/>
          <w:color w:val="000000"/>
          <w:szCs w:val="24"/>
        </w:rPr>
        <w:t xml:space="preserve"> </w:t>
      </w:r>
      <w:r>
        <w:rPr>
          <w:rFonts w:ascii="Times New Roman" w:hAnsi="Times New Roman"/>
          <w:bCs/>
          <w:color w:val="000000"/>
          <w:szCs w:val="24"/>
        </w:rPr>
        <w:t>за</w:t>
      </w:r>
      <w:r w:rsidR="00297DC7" w:rsidRPr="00295637">
        <w:rPr>
          <w:rFonts w:ascii="Times New Roman" w:hAnsi="Times New Roman"/>
          <w:bCs/>
          <w:color w:val="000000"/>
          <w:szCs w:val="24"/>
        </w:rPr>
        <w:t xml:space="preserve"> </w:t>
      </w:r>
      <w:r>
        <w:rPr>
          <w:rFonts w:ascii="Times New Roman" w:hAnsi="Times New Roman"/>
          <w:bCs/>
          <w:color w:val="000000"/>
          <w:szCs w:val="24"/>
        </w:rPr>
        <w:t>дјецу</w:t>
      </w:r>
      <w:r w:rsidR="00B504FB" w:rsidRPr="00295637">
        <w:rPr>
          <w:rFonts w:ascii="Times New Roman" w:hAnsi="Times New Roman"/>
          <w:bCs/>
          <w:color w:val="000000"/>
          <w:szCs w:val="24"/>
        </w:rPr>
        <w:t xml:space="preserve"> </w:t>
      </w:r>
      <w:r>
        <w:rPr>
          <w:rFonts w:ascii="Times New Roman" w:hAnsi="Times New Roman"/>
          <w:bCs/>
          <w:color w:val="000000"/>
          <w:szCs w:val="24"/>
        </w:rPr>
        <w:t>БиХ</w:t>
      </w:r>
      <w:r w:rsidR="00297DC7" w:rsidRPr="00295637">
        <w:rPr>
          <w:rFonts w:ascii="Times New Roman" w:hAnsi="Times New Roman"/>
          <w:bCs/>
          <w:color w:val="000000"/>
          <w:szCs w:val="24"/>
        </w:rPr>
        <w:t xml:space="preserve"> </w:t>
      </w:r>
      <w:r>
        <w:rPr>
          <w:rFonts w:ascii="Times New Roman" w:hAnsi="Times New Roman"/>
          <w:bCs/>
          <w:color w:val="000000"/>
          <w:szCs w:val="24"/>
        </w:rPr>
        <w:t>су</w:t>
      </w:r>
      <w:r w:rsidR="00297DC7" w:rsidRPr="00295637">
        <w:rPr>
          <w:rFonts w:ascii="Times New Roman" w:hAnsi="Times New Roman"/>
          <w:bCs/>
          <w:color w:val="000000"/>
          <w:szCs w:val="24"/>
        </w:rPr>
        <w:t xml:space="preserve"> </w:t>
      </w:r>
      <w:r>
        <w:rPr>
          <w:rFonts w:ascii="Times New Roman" w:hAnsi="Times New Roman"/>
          <w:bCs/>
          <w:color w:val="000000"/>
          <w:szCs w:val="24"/>
        </w:rPr>
        <w:t>били</w:t>
      </w:r>
      <w:r w:rsidR="00297DC7" w:rsidRPr="00295637">
        <w:rPr>
          <w:rFonts w:ascii="Times New Roman" w:hAnsi="Times New Roman"/>
          <w:bCs/>
          <w:color w:val="000000"/>
          <w:szCs w:val="24"/>
        </w:rPr>
        <w:t xml:space="preserve"> </w:t>
      </w:r>
      <w:r>
        <w:rPr>
          <w:rFonts w:ascii="Times New Roman" w:hAnsi="Times New Roman"/>
          <w:bCs/>
          <w:color w:val="000000"/>
          <w:szCs w:val="24"/>
        </w:rPr>
        <w:t>медијски</w:t>
      </w:r>
      <w:r w:rsidR="00297DC7" w:rsidRPr="00295637">
        <w:rPr>
          <w:rFonts w:ascii="Times New Roman" w:hAnsi="Times New Roman"/>
          <w:bCs/>
          <w:color w:val="000000"/>
          <w:szCs w:val="24"/>
        </w:rPr>
        <w:t xml:space="preserve"> </w:t>
      </w:r>
      <w:r>
        <w:rPr>
          <w:rFonts w:ascii="Times New Roman" w:hAnsi="Times New Roman"/>
          <w:bCs/>
          <w:color w:val="000000"/>
          <w:szCs w:val="24"/>
        </w:rPr>
        <w:t>веома</w:t>
      </w:r>
      <w:r w:rsidR="00297DC7" w:rsidRPr="00295637">
        <w:rPr>
          <w:rFonts w:ascii="Times New Roman" w:hAnsi="Times New Roman"/>
          <w:bCs/>
          <w:color w:val="000000"/>
          <w:szCs w:val="24"/>
        </w:rPr>
        <w:t xml:space="preserve"> </w:t>
      </w:r>
      <w:r>
        <w:rPr>
          <w:rFonts w:ascii="Times New Roman" w:hAnsi="Times New Roman"/>
          <w:bCs/>
          <w:color w:val="000000"/>
          <w:szCs w:val="24"/>
        </w:rPr>
        <w:t>попраћени</w:t>
      </w:r>
      <w:r w:rsidR="00297DC7" w:rsidRPr="00295637">
        <w:rPr>
          <w:rFonts w:ascii="Times New Roman" w:hAnsi="Times New Roman"/>
          <w:bCs/>
          <w:color w:val="000000"/>
          <w:szCs w:val="24"/>
        </w:rPr>
        <w:t xml:space="preserve">, </w:t>
      </w:r>
      <w:r>
        <w:rPr>
          <w:rFonts w:ascii="Times New Roman" w:hAnsi="Times New Roman"/>
          <w:bCs/>
          <w:color w:val="000000"/>
          <w:szCs w:val="24"/>
        </w:rPr>
        <w:t>а</w:t>
      </w:r>
      <w:r w:rsidR="00297DC7" w:rsidRPr="00295637">
        <w:rPr>
          <w:rFonts w:ascii="Times New Roman" w:hAnsi="Times New Roman"/>
          <w:bCs/>
          <w:color w:val="000000"/>
          <w:szCs w:val="24"/>
        </w:rPr>
        <w:t xml:space="preserve"> </w:t>
      </w:r>
      <w:r>
        <w:rPr>
          <w:rFonts w:ascii="Times New Roman" w:hAnsi="Times New Roman"/>
          <w:bCs/>
          <w:color w:val="000000"/>
          <w:szCs w:val="24"/>
        </w:rPr>
        <w:t>симболични</w:t>
      </w:r>
      <w:r w:rsidR="00297DC7" w:rsidRPr="00295637">
        <w:rPr>
          <w:rFonts w:ascii="Times New Roman" w:hAnsi="Times New Roman"/>
          <w:bCs/>
          <w:color w:val="000000"/>
          <w:szCs w:val="24"/>
        </w:rPr>
        <w:t xml:space="preserve"> </w:t>
      </w:r>
      <w:r>
        <w:rPr>
          <w:rFonts w:ascii="Times New Roman" w:hAnsi="Times New Roman"/>
          <w:bCs/>
          <w:color w:val="000000"/>
          <w:szCs w:val="24"/>
        </w:rPr>
        <w:t>назив</w:t>
      </w:r>
      <w:r w:rsidR="00297DC7" w:rsidRPr="00295637">
        <w:rPr>
          <w:rFonts w:ascii="Times New Roman" w:hAnsi="Times New Roman"/>
          <w:bCs/>
          <w:color w:val="000000"/>
          <w:szCs w:val="24"/>
        </w:rPr>
        <w:t xml:space="preserve"> „</w:t>
      </w:r>
      <w:r>
        <w:rPr>
          <w:rFonts w:ascii="Times New Roman" w:hAnsi="Times New Roman"/>
          <w:bCs/>
          <w:color w:val="000000"/>
          <w:szCs w:val="24"/>
        </w:rPr>
        <w:t>Ослушкивање</w:t>
      </w:r>
      <w:r w:rsidR="00297DC7" w:rsidRPr="00295637">
        <w:rPr>
          <w:rFonts w:ascii="Times New Roman" w:hAnsi="Times New Roman"/>
          <w:bCs/>
          <w:color w:val="000000"/>
          <w:szCs w:val="24"/>
        </w:rPr>
        <w:t xml:space="preserve"> </w:t>
      </w:r>
      <w:r>
        <w:rPr>
          <w:rFonts w:ascii="Times New Roman" w:hAnsi="Times New Roman"/>
          <w:bCs/>
          <w:color w:val="000000"/>
          <w:szCs w:val="24"/>
        </w:rPr>
        <w:t>будућности</w:t>
      </w:r>
      <w:r w:rsidR="00297DC7" w:rsidRPr="00295637">
        <w:rPr>
          <w:rFonts w:ascii="Times New Roman" w:hAnsi="Times New Roman"/>
          <w:bCs/>
          <w:color w:val="000000"/>
          <w:szCs w:val="24"/>
        </w:rPr>
        <w:t xml:space="preserve">“ </w:t>
      </w:r>
      <w:r>
        <w:rPr>
          <w:rFonts w:ascii="Times New Roman" w:hAnsi="Times New Roman"/>
          <w:bCs/>
          <w:color w:val="000000"/>
          <w:szCs w:val="24"/>
        </w:rPr>
        <w:t>усмјерило</w:t>
      </w:r>
      <w:r w:rsidR="00297DC7" w:rsidRPr="00295637">
        <w:rPr>
          <w:rFonts w:ascii="Times New Roman" w:hAnsi="Times New Roman"/>
          <w:bCs/>
          <w:color w:val="000000"/>
          <w:szCs w:val="24"/>
        </w:rPr>
        <w:t xml:space="preserve"> </w:t>
      </w:r>
      <w:r>
        <w:rPr>
          <w:rFonts w:ascii="Times New Roman" w:hAnsi="Times New Roman"/>
          <w:bCs/>
          <w:color w:val="000000"/>
          <w:szCs w:val="24"/>
        </w:rPr>
        <w:t>је</w:t>
      </w:r>
      <w:r w:rsidR="00297DC7" w:rsidRPr="00295637">
        <w:rPr>
          <w:rFonts w:ascii="Times New Roman" w:hAnsi="Times New Roman"/>
          <w:bCs/>
          <w:color w:val="000000"/>
          <w:szCs w:val="24"/>
        </w:rPr>
        <w:t xml:space="preserve"> </w:t>
      </w:r>
      <w:r>
        <w:rPr>
          <w:rFonts w:ascii="Times New Roman" w:hAnsi="Times New Roman"/>
          <w:bCs/>
          <w:color w:val="000000"/>
          <w:szCs w:val="24"/>
        </w:rPr>
        <w:t>пажњу</w:t>
      </w:r>
      <w:r w:rsidR="00297DC7" w:rsidRPr="00295637">
        <w:rPr>
          <w:rFonts w:ascii="Times New Roman" w:hAnsi="Times New Roman"/>
          <w:bCs/>
          <w:color w:val="000000"/>
          <w:szCs w:val="24"/>
        </w:rPr>
        <w:t xml:space="preserve"> </w:t>
      </w:r>
      <w:r>
        <w:rPr>
          <w:rFonts w:ascii="Times New Roman" w:hAnsi="Times New Roman"/>
          <w:bCs/>
          <w:color w:val="000000"/>
          <w:szCs w:val="24"/>
        </w:rPr>
        <w:t>и</w:t>
      </w:r>
      <w:r w:rsidR="00297DC7" w:rsidRPr="00295637">
        <w:rPr>
          <w:rFonts w:ascii="Times New Roman" w:hAnsi="Times New Roman"/>
          <w:bCs/>
          <w:color w:val="000000"/>
          <w:szCs w:val="24"/>
        </w:rPr>
        <w:t xml:space="preserve"> </w:t>
      </w:r>
      <w:r>
        <w:rPr>
          <w:rFonts w:ascii="Times New Roman" w:hAnsi="Times New Roman"/>
          <w:bCs/>
          <w:color w:val="000000"/>
          <w:szCs w:val="24"/>
        </w:rPr>
        <w:t>на</w:t>
      </w:r>
      <w:r w:rsidR="00297DC7" w:rsidRPr="00295637">
        <w:rPr>
          <w:rFonts w:ascii="Times New Roman" w:hAnsi="Times New Roman"/>
          <w:bCs/>
          <w:color w:val="000000"/>
          <w:szCs w:val="24"/>
        </w:rPr>
        <w:t xml:space="preserve"> </w:t>
      </w:r>
      <w:r>
        <w:rPr>
          <w:rFonts w:ascii="Times New Roman" w:hAnsi="Times New Roman"/>
          <w:bCs/>
          <w:color w:val="000000"/>
          <w:szCs w:val="24"/>
        </w:rPr>
        <w:t>положај</w:t>
      </w:r>
      <w:r w:rsidR="00297DC7" w:rsidRPr="00295637">
        <w:rPr>
          <w:rFonts w:ascii="Times New Roman" w:hAnsi="Times New Roman"/>
          <w:bCs/>
          <w:color w:val="000000"/>
          <w:szCs w:val="24"/>
        </w:rPr>
        <w:t xml:space="preserve"> </w:t>
      </w:r>
      <w:r>
        <w:rPr>
          <w:rFonts w:ascii="Times New Roman" w:hAnsi="Times New Roman"/>
          <w:bCs/>
          <w:color w:val="000000"/>
          <w:szCs w:val="24"/>
        </w:rPr>
        <w:t>како</w:t>
      </w:r>
      <w:r w:rsidR="00297DC7" w:rsidRPr="00295637">
        <w:rPr>
          <w:rFonts w:ascii="Times New Roman" w:hAnsi="Times New Roman"/>
          <w:bCs/>
          <w:color w:val="000000"/>
          <w:szCs w:val="24"/>
        </w:rPr>
        <w:t xml:space="preserve"> </w:t>
      </w:r>
      <w:r>
        <w:rPr>
          <w:rFonts w:ascii="Times New Roman" w:hAnsi="Times New Roman"/>
          <w:bCs/>
          <w:color w:val="000000"/>
          <w:szCs w:val="24"/>
        </w:rPr>
        <w:t>дјечака</w:t>
      </w:r>
      <w:r w:rsidR="004F0EF3">
        <w:rPr>
          <w:rFonts w:ascii="Times New Roman" w:hAnsi="Times New Roman"/>
          <w:bCs/>
          <w:color w:val="000000"/>
          <w:szCs w:val="24"/>
        </w:rPr>
        <w:t xml:space="preserve"> </w:t>
      </w:r>
      <w:r>
        <w:rPr>
          <w:rFonts w:ascii="Times New Roman" w:hAnsi="Times New Roman"/>
          <w:bCs/>
          <w:color w:val="000000"/>
          <w:szCs w:val="24"/>
        </w:rPr>
        <w:t>тако</w:t>
      </w:r>
      <w:r w:rsidR="004F0EF3">
        <w:rPr>
          <w:rFonts w:ascii="Times New Roman" w:hAnsi="Times New Roman"/>
          <w:bCs/>
          <w:color w:val="000000"/>
          <w:szCs w:val="24"/>
        </w:rPr>
        <w:t xml:space="preserve"> </w:t>
      </w:r>
      <w:r>
        <w:rPr>
          <w:rFonts w:ascii="Times New Roman" w:hAnsi="Times New Roman"/>
          <w:bCs/>
          <w:color w:val="000000"/>
          <w:szCs w:val="24"/>
        </w:rPr>
        <w:t>и</w:t>
      </w:r>
      <w:r w:rsidR="004F0EF3">
        <w:rPr>
          <w:rFonts w:ascii="Times New Roman" w:hAnsi="Times New Roman"/>
          <w:bCs/>
          <w:color w:val="000000"/>
          <w:szCs w:val="24"/>
        </w:rPr>
        <w:t xml:space="preserve"> </w:t>
      </w:r>
      <w:r>
        <w:rPr>
          <w:rFonts w:ascii="Times New Roman" w:hAnsi="Times New Roman"/>
          <w:bCs/>
          <w:color w:val="000000"/>
          <w:szCs w:val="24"/>
        </w:rPr>
        <w:t>дјевојчица</w:t>
      </w:r>
      <w:r w:rsidR="004F0EF3">
        <w:rPr>
          <w:rFonts w:ascii="Times New Roman" w:hAnsi="Times New Roman"/>
          <w:bCs/>
          <w:color w:val="000000"/>
          <w:szCs w:val="24"/>
        </w:rPr>
        <w:t xml:space="preserve"> </w:t>
      </w:r>
      <w:r>
        <w:rPr>
          <w:rFonts w:ascii="Times New Roman" w:hAnsi="Times New Roman"/>
          <w:bCs/>
          <w:color w:val="000000"/>
          <w:szCs w:val="24"/>
        </w:rPr>
        <w:t>у</w:t>
      </w:r>
      <w:r w:rsidR="004F0EF3">
        <w:rPr>
          <w:rFonts w:ascii="Times New Roman" w:hAnsi="Times New Roman"/>
          <w:bCs/>
          <w:color w:val="000000"/>
          <w:szCs w:val="24"/>
        </w:rPr>
        <w:t xml:space="preserve"> </w:t>
      </w:r>
      <w:r>
        <w:rPr>
          <w:rFonts w:ascii="Times New Roman" w:hAnsi="Times New Roman"/>
          <w:bCs/>
          <w:color w:val="000000"/>
          <w:szCs w:val="24"/>
        </w:rPr>
        <w:t>босанскохерцеговачком</w:t>
      </w:r>
      <w:r w:rsidR="00297DC7" w:rsidRPr="00295637">
        <w:rPr>
          <w:rFonts w:ascii="Times New Roman" w:hAnsi="Times New Roman"/>
          <w:bCs/>
          <w:color w:val="000000"/>
          <w:szCs w:val="24"/>
        </w:rPr>
        <w:t xml:space="preserve"> </w:t>
      </w:r>
      <w:r>
        <w:rPr>
          <w:rFonts w:ascii="Times New Roman" w:hAnsi="Times New Roman"/>
          <w:bCs/>
          <w:color w:val="000000"/>
          <w:szCs w:val="24"/>
        </w:rPr>
        <w:t>друштву</w:t>
      </w:r>
      <w:r w:rsidR="00297DC7" w:rsidRPr="00295637">
        <w:rPr>
          <w:rFonts w:ascii="Times New Roman" w:hAnsi="Times New Roman"/>
          <w:bCs/>
          <w:color w:val="000000"/>
          <w:szCs w:val="24"/>
        </w:rPr>
        <w:t>.</w:t>
      </w:r>
      <w:r w:rsidR="00B504FB" w:rsidRPr="00295637">
        <w:rPr>
          <w:rFonts w:ascii="Times New Roman" w:hAnsi="Times New Roman"/>
          <w:color w:val="000000"/>
          <w:szCs w:val="24"/>
        </w:rPr>
        <w:t xml:space="preserve"> </w:t>
      </w:r>
      <w:r w:rsidR="007A6AD7">
        <w:rPr>
          <w:rFonts w:ascii="Times New Roman" w:hAnsi="Times New Roman"/>
          <w:szCs w:val="24"/>
        </w:rPr>
        <w:t>Такође</w:t>
      </w:r>
      <w:r w:rsidR="00B67FCB" w:rsidRPr="00295637">
        <w:rPr>
          <w:rFonts w:ascii="Times New Roman" w:hAnsi="Times New Roman"/>
          <w:szCs w:val="24"/>
        </w:rPr>
        <w:t xml:space="preserve">, </w:t>
      </w:r>
      <w:r>
        <w:rPr>
          <w:rFonts w:ascii="Times New Roman" w:hAnsi="Times New Roman"/>
          <w:szCs w:val="24"/>
        </w:rPr>
        <w:t>АР</w:t>
      </w:r>
      <w:r w:rsidR="007A6AD7">
        <w:rPr>
          <w:rFonts w:ascii="Times New Roman" w:hAnsi="Times New Roman"/>
          <w:szCs w:val="24"/>
          <w:lang w:val="sr-Cyrl-BA"/>
        </w:rPr>
        <w:t>П</w:t>
      </w:r>
      <w:r w:rsidR="004F0EF3">
        <w:rPr>
          <w:rFonts w:ascii="Times New Roman" w:hAnsi="Times New Roman"/>
          <w:szCs w:val="24"/>
        </w:rPr>
        <w:t xml:space="preserve"> </w:t>
      </w:r>
      <w:r>
        <w:rPr>
          <w:rFonts w:ascii="Times New Roman" w:hAnsi="Times New Roman"/>
          <w:szCs w:val="24"/>
        </w:rPr>
        <w:t>БиХ</w:t>
      </w:r>
      <w:r w:rsidR="004F0EF3">
        <w:rPr>
          <w:rFonts w:ascii="Times New Roman" w:hAnsi="Times New Roman"/>
          <w:szCs w:val="24"/>
        </w:rPr>
        <w:t xml:space="preserve"> </w:t>
      </w:r>
      <w:r>
        <w:rPr>
          <w:rFonts w:ascii="Times New Roman" w:hAnsi="Times New Roman"/>
          <w:szCs w:val="24"/>
        </w:rPr>
        <w:t>МЉПИ</w:t>
      </w:r>
      <w:r w:rsidR="004F0EF3">
        <w:rPr>
          <w:rFonts w:ascii="Times New Roman" w:hAnsi="Times New Roman"/>
          <w:szCs w:val="24"/>
        </w:rPr>
        <w:t xml:space="preserve"> </w:t>
      </w:r>
      <w:r>
        <w:rPr>
          <w:rFonts w:ascii="Times New Roman" w:hAnsi="Times New Roman"/>
          <w:szCs w:val="24"/>
        </w:rPr>
        <w:t>БиХ</w:t>
      </w:r>
      <w:r w:rsidR="00B67FCB" w:rsidRPr="00295637">
        <w:rPr>
          <w:rFonts w:ascii="Times New Roman" w:hAnsi="Times New Roman"/>
          <w:szCs w:val="24"/>
        </w:rPr>
        <w:t xml:space="preserve"> </w:t>
      </w:r>
      <w:r>
        <w:rPr>
          <w:rFonts w:ascii="Times New Roman" w:hAnsi="Times New Roman"/>
          <w:szCs w:val="24"/>
        </w:rPr>
        <w:t>је</w:t>
      </w:r>
      <w:r w:rsidR="00B67FCB" w:rsidRPr="00295637">
        <w:rPr>
          <w:rFonts w:ascii="Times New Roman" w:hAnsi="Times New Roman"/>
          <w:szCs w:val="24"/>
        </w:rPr>
        <w:t xml:space="preserve"> </w:t>
      </w:r>
      <w:r>
        <w:rPr>
          <w:rFonts w:ascii="Times New Roman" w:hAnsi="Times New Roman"/>
          <w:szCs w:val="24"/>
        </w:rPr>
        <w:t>у</w:t>
      </w:r>
      <w:r w:rsidR="00B67FCB" w:rsidRPr="00295637">
        <w:rPr>
          <w:rFonts w:ascii="Times New Roman" w:hAnsi="Times New Roman"/>
          <w:szCs w:val="24"/>
        </w:rPr>
        <w:t xml:space="preserve"> </w:t>
      </w:r>
      <w:r>
        <w:rPr>
          <w:rFonts w:ascii="Times New Roman" w:hAnsi="Times New Roman"/>
          <w:szCs w:val="24"/>
        </w:rPr>
        <w:t>оквиру</w:t>
      </w:r>
      <w:r w:rsidR="00B67FCB" w:rsidRPr="00295637">
        <w:rPr>
          <w:rFonts w:ascii="Times New Roman" w:hAnsi="Times New Roman"/>
          <w:szCs w:val="24"/>
        </w:rPr>
        <w:t xml:space="preserve"> </w:t>
      </w:r>
      <w:r>
        <w:rPr>
          <w:rFonts w:ascii="Times New Roman" w:hAnsi="Times New Roman"/>
          <w:szCs w:val="24"/>
        </w:rPr>
        <w:t>успостављене</w:t>
      </w:r>
      <w:r w:rsidR="00B67FCB" w:rsidRPr="00295637">
        <w:rPr>
          <w:rFonts w:ascii="Times New Roman" w:hAnsi="Times New Roman"/>
          <w:szCs w:val="24"/>
        </w:rPr>
        <w:t xml:space="preserve"> </w:t>
      </w:r>
      <w:r>
        <w:rPr>
          <w:rFonts w:ascii="Times New Roman" w:hAnsi="Times New Roman"/>
          <w:szCs w:val="24"/>
        </w:rPr>
        <w:t>сарадње</w:t>
      </w:r>
      <w:r w:rsidR="004F0EF3">
        <w:rPr>
          <w:rFonts w:ascii="Times New Roman" w:hAnsi="Times New Roman"/>
          <w:szCs w:val="24"/>
        </w:rPr>
        <w:t xml:space="preserve"> </w:t>
      </w:r>
      <w:r>
        <w:rPr>
          <w:rFonts w:ascii="Times New Roman" w:hAnsi="Times New Roman"/>
          <w:szCs w:val="24"/>
        </w:rPr>
        <w:t>са</w:t>
      </w:r>
      <w:r w:rsidR="00B67FCB" w:rsidRPr="00295637">
        <w:rPr>
          <w:rFonts w:ascii="Times New Roman" w:hAnsi="Times New Roman"/>
          <w:szCs w:val="24"/>
        </w:rPr>
        <w:t xml:space="preserve"> </w:t>
      </w:r>
      <w:r>
        <w:rPr>
          <w:rFonts w:ascii="Times New Roman" w:hAnsi="Times New Roman"/>
          <w:szCs w:val="24"/>
        </w:rPr>
        <w:t>Центром</w:t>
      </w:r>
      <w:r w:rsidR="00B67FCB" w:rsidRPr="00295637">
        <w:rPr>
          <w:rFonts w:ascii="Times New Roman" w:hAnsi="Times New Roman"/>
          <w:szCs w:val="24"/>
        </w:rPr>
        <w:t xml:space="preserve"> </w:t>
      </w:r>
      <w:r>
        <w:rPr>
          <w:rFonts w:ascii="Times New Roman" w:hAnsi="Times New Roman"/>
          <w:szCs w:val="24"/>
        </w:rPr>
        <w:t>за</w:t>
      </w:r>
      <w:r w:rsidR="00B67FCB" w:rsidRPr="00295637">
        <w:rPr>
          <w:rFonts w:ascii="Times New Roman" w:hAnsi="Times New Roman"/>
          <w:szCs w:val="24"/>
        </w:rPr>
        <w:t xml:space="preserve"> </w:t>
      </w:r>
      <w:r w:rsidR="007A6AD7">
        <w:rPr>
          <w:rFonts w:ascii="Times New Roman" w:hAnsi="Times New Roman"/>
          <w:szCs w:val="24"/>
          <w:lang w:val="sr-Cyrl-BA"/>
        </w:rPr>
        <w:t>безбједносне</w:t>
      </w:r>
      <w:r w:rsidR="00B67FCB" w:rsidRPr="00295637">
        <w:rPr>
          <w:rFonts w:ascii="Times New Roman" w:hAnsi="Times New Roman"/>
          <w:szCs w:val="24"/>
        </w:rPr>
        <w:t xml:space="preserve"> </w:t>
      </w:r>
      <w:r>
        <w:rPr>
          <w:rFonts w:ascii="Times New Roman" w:hAnsi="Times New Roman"/>
          <w:szCs w:val="24"/>
        </w:rPr>
        <w:t>студије</w:t>
      </w:r>
      <w:r w:rsidR="00B67FCB" w:rsidRPr="00295637">
        <w:rPr>
          <w:rFonts w:ascii="Times New Roman" w:hAnsi="Times New Roman"/>
          <w:szCs w:val="24"/>
        </w:rPr>
        <w:t xml:space="preserve"> </w:t>
      </w:r>
      <w:r>
        <w:rPr>
          <w:rFonts w:ascii="Times New Roman" w:hAnsi="Times New Roman"/>
          <w:szCs w:val="24"/>
        </w:rPr>
        <w:t>Универзитета</w:t>
      </w:r>
      <w:r w:rsidR="00B67FCB" w:rsidRPr="00295637">
        <w:rPr>
          <w:rFonts w:ascii="Times New Roman" w:hAnsi="Times New Roman"/>
          <w:szCs w:val="24"/>
        </w:rPr>
        <w:t xml:space="preserve"> </w:t>
      </w:r>
      <w:r>
        <w:rPr>
          <w:rFonts w:ascii="Times New Roman" w:hAnsi="Times New Roman"/>
          <w:szCs w:val="24"/>
        </w:rPr>
        <w:t>у</w:t>
      </w:r>
      <w:r w:rsidR="00B67FCB" w:rsidRPr="00295637">
        <w:rPr>
          <w:rFonts w:ascii="Times New Roman" w:hAnsi="Times New Roman"/>
          <w:szCs w:val="24"/>
        </w:rPr>
        <w:t xml:space="preserve"> </w:t>
      </w:r>
      <w:r>
        <w:rPr>
          <w:rFonts w:ascii="Times New Roman" w:hAnsi="Times New Roman"/>
          <w:szCs w:val="24"/>
        </w:rPr>
        <w:t>Сарајеву</w:t>
      </w:r>
      <w:r w:rsidR="00B67FCB" w:rsidRPr="00295637">
        <w:rPr>
          <w:rFonts w:ascii="Times New Roman" w:hAnsi="Times New Roman"/>
          <w:szCs w:val="24"/>
        </w:rPr>
        <w:t xml:space="preserve"> </w:t>
      </w:r>
      <w:r>
        <w:rPr>
          <w:rFonts w:ascii="Times New Roman" w:hAnsi="Times New Roman"/>
          <w:szCs w:val="24"/>
        </w:rPr>
        <w:t>у</w:t>
      </w:r>
      <w:r w:rsidR="00B67FCB" w:rsidRPr="00295637">
        <w:rPr>
          <w:rFonts w:ascii="Times New Roman" w:hAnsi="Times New Roman"/>
          <w:szCs w:val="24"/>
        </w:rPr>
        <w:t xml:space="preserve"> </w:t>
      </w:r>
      <w:r>
        <w:rPr>
          <w:rFonts w:ascii="Times New Roman" w:hAnsi="Times New Roman"/>
          <w:szCs w:val="24"/>
        </w:rPr>
        <w:t>децембру</w:t>
      </w:r>
      <w:r w:rsidR="00B67FCB" w:rsidRPr="00295637">
        <w:rPr>
          <w:rFonts w:ascii="Times New Roman" w:hAnsi="Times New Roman"/>
          <w:szCs w:val="24"/>
        </w:rPr>
        <w:t xml:space="preserve"> 2024. </w:t>
      </w:r>
      <w:r>
        <w:rPr>
          <w:rFonts w:ascii="Times New Roman" w:hAnsi="Times New Roman"/>
          <w:szCs w:val="24"/>
        </w:rPr>
        <w:t>године</w:t>
      </w:r>
      <w:r w:rsidR="00B67FCB" w:rsidRPr="00295637">
        <w:rPr>
          <w:rFonts w:ascii="Times New Roman" w:hAnsi="Times New Roman"/>
          <w:szCs w:val="24"/>
        </w:rPr>
        <w:t xml:space="preserve"> </w:t>
      </w:r>
      <w:r>
        <w:rPr>
          <w:rFonts w:ascii="Times New Roman" w:hAnsi="Times New Roman"/>
          <w:szCs w:val="24"/>
        </w:rPr>
        <w:t>учествовала</w:t>
      </w:r>
      <w:r w:rsidR="00B67FCB" w:rsidRPr="00295637">
        <w:rPr>
          <w:rFonts w:ascii="Times New Roman" w:hAnsi="Times New Roman"/>
          <w:szCs w:val="24"/>
        </w:rPr>
        <w:t xml:space="preserve"> </w:t>
      </w:r>
      <w:r>
        <w:rPr>
          <w:rFonts w:ascii="Times New Roman" w:hAnsi="Times New Roman"/>
          <w:szCs w:val="24"/>
        </w:rPr>
        <w:t>у</w:t>
      </w:r>
      <w:r w:rsidR="00B67FCB" w:rsidRPr="00295637">
        <w:rPr>
          <w:rFonts w:ascii="Times New Roman" w:hAnsi="Times New Roman"/>
          <w:szCs w:val="24"/>
        </w:rPr>
        <w:t xml:space="preserve"> </w:t>
      </w:r>
      <w:r>
        <w:rPr>
          <w:rFonts w:ascii="Times New Roman" w:hAnsi="Times New Roman"/>
          <w:szCs w:val="24"/>
        </w:rPr>
        <w:t>реализацији</w:t>
      </w:r>
      <w:r w:rsidR="00B67FCB" w:rsidRPr="00295637">
        <w:rPr>
          <w:rFonts w:ascii="Times New Roman" w:hAnsi="Times New Roman"/>
          <w:szCs w:val="24"/>
        </w:rPr>
        <w:t xml:space="preserve"> </w:t>
      </w:r>
      <w:r>
        <w:rPr>
          <w:rFonts w:ascii="Times New Roman" w:hAnsi="Times New Roman"/>
          <w:szCs w:val="24"/>
        </w:rPr>
        <w:t>обуке</w:t>
      </w:r>
      <w:r w:rsidR="00B67FCB" w:rsidRPr="00295637">
        <w:rPr>
          <w:rFonts w:ascii="Times New Roman" w:hAnsi="Times New Roman"/>
          <w:szCs w:val="24"/>
        </w:rPr>
        <w:t xml:space="preserve"> „</w:t>
      </w:r>
      <w:r>
        <w:rPr>
          <w:rFonts w:ascii="Times New Roman" w:hAnsi="Times New Roman"/>
          <w:szCs w:val="24"/>
        </w:rPr>
        <w:t>Интегри</w:t>
      </w:r>
      <w:r w:rsidR="007A6AD7">
        <w:rPr>
          <w:rFonts w:ascii="Times New Roman" w:hAnsi="Times New Roman"/>
          <w:szCs w:val="24"/>
          <w:lang w:val="sr-Cyrl-BA"/>
        </w:rPr>
        <w:t>с</w:t>
      </w:r>
      <w:r>
        <w:rPr>
          <w:rFonts w:ascii="Times New Roman" w:hAnsi="Times New Roman"/>
          <w:szCs w:val="24"/>
        </w:rPr>
        <w:t>ање</w:t>
      </w:r>
      <w:r w:rsidR="00B67FCB" w:rsidRPr="00295637">
        <w:rPr>
          <w:rFonts w:ascii="Times New Roman" w:hAnsi="Times New Roman"/>
          <w:szCs w:val="24"/>
        </w:rPr>
        <w:t xml:space="preserve"> </w:t>
      </w:r>
      <w:r>
        <w:rPr>
          <w:rFonts w:ascii="Times New Roman" w:hAnsi="Times New Roman"/>
          <w:szCs w:val="24"/>
        </w:rPr>
        <w:t>перспективе</w:t>
      </w:r>
      <w:r w:rsidR="00B67FCB" w:rsidRPr="00295637">
        <w:rPr>
          <w:rFonts w:ascii="Times New Roman" w:hAnsi="Times New Roman"/>
          <w:szCs w:val="24"/>
        </w:rPr>
        <w:t xml:space="preserve"> </w:t>
      </w:r>
      <w:r>
        <w:rPr>
          <w:rFonts w:ascii="Times New Roman" w:hAnsi="Times New Roman"/>
          <w:szCs w:val="24"/>
        </w:rPr>
        <w:t>родне</w:t>
      </w:r>
      <w:r w:rsidR="00B67FCB" w:rsidRPr="00295637">
        <w:rPr>
          <w:rFonts w:ascii="Times New Roman" w:hAnsi="Times New Roman"/>
          <w:szCs w:val="24"/>
        </w:rPr>
        <w:t xml:space="preserve"> </w:t>
      </w:r>
      <w:r>
        <w:rPr>
          <w:rFonts w:ascii="Times New Roman" w:hAnsi="Times New Roman"/>
          <w:szCs w:val="24"/>
        </w:rPr>
        <w:t>равноправности</w:t>
      </w:r>
      <w:r w:rsidR="00B67FCB" w:rsidRPr="00295637">
        <w:rPr>
          <w:rFonts w:ascii="Times New Roman" w:hAnsi="Times New Roman"/>
          <w:szCs w:val="24"/>
        </w:rPr>
        <w:t xml:space="preserve"> </w:t>
      </w:r>
      <w:r>
        <w:rPr>
          <w:rFonts w:ascii="Times New Roman" w:hAnsi="Times New Roman"/>
          <w:szCs w:val="24"/>
        </w:rPr>
        <w:t>у</w:t>
      </w:r>
      <w:r w:rsidR="00B67FCB" w:rsidRPr="00295637">
        <w:rPr>
          <w:rFonts w:ascii="Times New Roman" w:hAnsi="Times New Roman"/>
          <w:szCs w:val="24"/>
        </w:rPr>
        <w:t xml:space="preserve"> </w:t>
      </w:r>
      <w:r>
        <w:rPr>
          <w:rFonts w:ascii="Times New Roman" w:hAnsi="Times New Roman"/>
          <w:szCs w:val="24"/>
        </w:rPr>
        <w:t>сектор</w:t>
      </w:r>
      <w:r w:rsidR="00B67FCB" w:rsidRPr="00295637">
        <w:rPr>
          <w:rFonts w:ascii="Times New Roman" w:hAnsi="Times New Roman"/>
          <w:szCs w:val="24"/>
        </w:rPr>
        <w:t xml:space="preserve"> </w:t>
      </w:r>
      <w:r w:rsidR="007A6AD7">
        <w:rPr>
          <w:rFonts w:ascii="Times New Roman" w:hAnsi="Times New Roman"/>
          <w:szCs w:val="24"/>
          <w:lang w:val="sr-Cyrl-BA"/>
        </w:rPr>
        <w:t>безбједности</w:t>
      </w:r>
      <w:r w:rsidR="00B67FCB" w:rsidRPr="00295637">
        <w:rPr>
          <w:rFonts w:ascii="Times New Roman" w:hAnsi="Times New Roman"/>
          <w:szCs w:val="24"/>
        </w:rPr>
        <w:t xml:space="preserve"> </w:t>
      </w:r>
      <w:r>
        <w:rPr>
          <w:rFonts w:ascii="Times New Roman" w:hAnsi="Times New Roman"/>
          <w:szCs w:val="24"/>
        </w:rPr>
        <w:t>у</w:t>
      </w:r>
      <w:r w:rsidR="009E54A2" w:rsidRPr="00295637">
        <w:rPr>
          <w:rFonts w:ascii="Times New Roman" w:hAnsi="Times New Roman"/>
          <w:szCs w:val="24"/>
        </w:rPr>
        <w:t xml:space="preserve"> </w:t>
      </w:r>
      <w:r>
        <w:rPr>
          <w:rFonts w:ascii="Times New Roman" w:hAnsi="Times New Roman"/>
          <w:szCs w:val="24"/>
        </w:rPr>
        <w:t>БиХ</w:t>
      </w:r>
      <w:r w:rsidR="009E54A2" w:rsidRPr="00295637">
        <w:rPr>
          <w:rFonts w:ascii="Times New Roman" w:hAnsi="Times New Roman"/>
          <w:szCs w:val="24"/>
        </w:rPr>
        <w:t xml:space="preserve"> </w:t>
      </w:r>
      <w:r w:rsidR="00B67FCB" w:rsidRPr="00295637">
        <w:rPr>
          <w:rFonts w:ascii="Times New Roman" w:hAnsi="Times New Roman"/>
          <w:szCs w:val="24"/>
        </w:rPr>
        <w:t>“.</w:t>
      </w:r>
    </w:p>
    <w:p w:rsidR="005E0A29" w:rsidRPr="00295637" w:rsidRDefault="005E0A29" w:rsidP="0086268D">
      <w:pPr>
        <w:jc w:val="both"/>
        <w:rPr>
          <w:rFonts w:ascii="Times New Roman" w:hAnsi="Times New Roman"/>
          <w:color w:val="000000"/>
          <w:szCs w:val="24"/>
        </w:rPr>
      </w:pPr>
    </w:p>
    <w:p w:rsidR="006969A9" w:rsidRPr="00295637" w:rsidRDefault="00C6214E" w:rsidP="0086268D">
      <w:pPr>
        <w:jc w:val="both"/>
        <w:rPr>
          <w:rFonts w:ascii="Times New Roman" w:hAnsi="Times New Roman"/>
        </w:rPr>
      </w:pPr>
      <w:r>
        <w:rPr>
          <w:rFonts w:ascii="Times New Roman" w:hAnsi="Times New Roman"/>
        </w:rPr>
        <w:t>У</w:t>
      </w:r>
      <w:r w:rsidR="006969A9" w:rsidRPr="00295637">
        <w:rPr>
          <w:rFonts w:ascii="Times New Roman" w:hAnsi="Times New Roman"/>
        </w:rPr>
        <w:t xml:space="preserve"> </w:t>
      </w:r>
      <w:r>
        <w:rPr>
          <w:rFonts w:ascii="Times New Roman" w:hAnsi="Times New Roman"/>
        </w:rPr>
        <w:t>просторијама</w:t>
      </w:r>
      <w:r w:rsidR="006969A9" w:rsidRPr="00295637">
        <w:rPr>
          <w:rFonts w:ascii="Times New Roman" w:hAnsi="Times New Roman"/>
        </w:rPr>
        <w:t xml:space="preserve"> </w:t>
      </w:r>
      <w:r>
        <w:rPr>
          <w:rFonts w:ascii="Times New Roman" w:hAnsi="Times New Roman"/>
        </w:rPr>
        <w:t>АР</w:t>
      </w:r>
      <w:r w:rsidR="007A6AD7">
        <w:rPr>
          <w:rFonts w:ascii="Times New Roman" w:hAnsi="Times New Roman"/>
          <w:lang w:val="sr-Cyrl-BA"/>
        </w:rPr>
        <w:t>П</w:t>
      </w:r>
      <w:r w:rsidR="00EB326B">
        <w:rPr>
          <w:rFonts w:ascii="Times New Roman" w:hAnsi="Times New Roman"/>
        </w:rPr>
        <w:t xml:space="preserve"> </w:t>
      </w:r>
      <w:r>
        <w:rPr>
          <w:rFonts w:ascii="Times New Roman" w:hAnsi="Times New Roman"/>
        </w:rPr>
        <w:t>БиХ</w:t>
      </w:r>
      <w:r w:rsidR="00EB326B">
        <w:rPr>
          <w:rFonts w:ascii="Times New Roman" w:hAnsi="Times New Roman"/>
        </w:rPr>
        <w:t xml:space="preserve"> </w:t>
      </w:r>
      <w:r>
        <w:rPr>
          <w:rFonts w:ascii="Times New Roman" w:hAnsi="Times New Roman"/>
        </w:rPr>
        <w:t>МЉПИ</w:t>
      </w:r>
      <w:r w:rsidR="006969A9" w:rsidRPr="00295637">
        <w:rPr>
          <w:rFonts w:ascii="Times New Roman" w:hAnsi="Times New Roman"/>
        </w:rPr>
        <w:t xml:space="preserve"> </w:t>
      </w:r>
      <w:r>
        <w:rPr>
          <w:rFonts w:ascii="Times New Roman" w:hAnsi="Times New Roman"/>
        </w:rPr>
        <w:t>БиХ</w:t>
      </w:r>
      <w:r w:rsidR="00EB326B">
        <w:rPr>
          <w:rFonts w:ascii="Times New Roman" w:hAnsi="Times New Roman"/>
        </w:rPr>
        <w:t xml:space="preserve"> </w:t>
      </w:r>
      <w:r>
        <w:rPr>
          <w:rFonts w:ascii="Times New Roman" w:hAnsi="Times New Roman"/>
        </w:rPr>
        <w:t>је</w:t>
      </w:r>
      <w:r w:rsidR="006969A9" w:rsidRPr="00295637">
        <w:rPr>
          <w:rFonts w:ascii="Times New Roman" w:hAnsi="Times New Roman"/>
        </w:rPr>
        <w:t xml:space="preserve"> </w:t>
      </w:r>
      <w:r>
        <w:rPr>
          <w:rFonts w:ascii="Times New Roman" w:hAnsi="Times New Roman"/>
        </w:rPr>
        <w:t>у</w:t>
      </w:r>
      <w:r w:rsidR="006969A9" w:rsidRPr="00295637">
        <w:rPr>
          <w:rFonts w:ascii="Times New Roman" w:hAnsi="Times New Roman"/>
        </w:rPr>
        <w:t xml:space="preserve"> </w:t>
      </w:r>
      <w:r>
        <w:rPr>
          <w:rFonts w:ascii="Times New Roman" w:hAnsi="Times New Roman"/>
        </w:rPr>
        <w:t>децембру</w:t>
      </w:r>
      <w:r w:rsidR="004F0EF3">
        <w:rPr>
          <w:rFonts w:ascii="Times New Roman" w:hAnsi="Times New Roman"/>
        </w:rPr>
        <w:t xml:space="preserve"> 2024. </w:t>
      </w:r>
      <w:r>
        <w:rPr>
          <w:rFonts w:ascii="Times New Roman" w:hAnsi="Times New Roman"/>
        </w:rPr>
        <w:t>године</w:t>
      </w:r>
      <w:r w:rsidR="004F0EF3">
        <w:rPr>
          <w:rFonts w:ascii="Times New Roman" w:hAnsi="Times New Roman"/>
        </w:rPr>
        <w:t xml:space="preserve"> </w:t>
      </w:r>
      <w:r>
        <w:rPr>
          <w:rFonts w:ascii="Times New Roman" w:hAnsi="Times New Roman"/>
        </w:rPr>
        <w:t>одржан</w:t>
      </w:r>
      <w:r w:rsidR="004F0EF3">
        <w:rPr>
          <w:rFonts w:ascii="Times New Roman" w:hAnsi="Times New Roman"/>
        </w:rPr>
        <w:t xml:space="preserve"> </w:t>
      </w:r>
      <w:r>
        <w:rPr>
          <w:rFonts w:ascii="Times New Roman" w:hAnsi="Times New Roman"/>
        </w:rPr>
        <w:t>састанак</w:t>
      </w:r>
      <w:r w:rsidR="004F0EF3">
        <w:rPr>
          <w:rFonts w:ascii="Times New Roman" w:hAnsi="Times New Roman"/>
        </w:rPr>
        <w:t xml:space="preserve"> </w:t>
      </w:r>
      <w:r>
        <w:rPr>
          <w:rFonts w:ascii="Times New Roman" w:hAnsi="Times New Roman"/>
        </w:rPr>
        <w:t>са</w:t>
      </w:r>
      <w:r w:rsidR="006969A9" w:rsidRPr="00295637">
        <w:rPr>
          <w:rFonts w:ascii="Times New Roman" w:hAnsi="Times New Roman"/>
        </w:rPr>
        <w:t xml:space="preserve"> </w:t>
      </w:r>
      <w:r>
        <w:rPr>
          <w:rFonts w:ascii="Times New Roman" w:hAnsi="Times New Roman"/>
        </w:rPr>
        <w:t>представницом</w:t>
      </w:r>
      <w:r w:rsidR="006969A9" w:rsidRPr="00295637">
        <w:rPr>
          <w:rFonts w:ascii="Times New Roman" w:hAnsi="Times New Roman"/>
        </w:rPr>
        <w:t xml:space="preserve"> </w:t>
      </w:r>
      <w:r>
        <w:rPr>
          <w:rFonts w:ascii="Times New Roman" w:hAnsi="Times New Roman"/>
        </w:rPr>
        <w:t>Удружења</w:t>
      </w:r>
      <w:r w:rsidR="004F0EF3">
        <w:rPr>
          <w:rFonts w:ascii="Times New Roman" w:hAnsi="Times New Roman"/>
        </w:rPr>
        <w:t xml:space="preserve"> „</w:t>
      </w:r>
      <w:r>
        <w:rPr>
          <w:rFonts w:ascii="Times New Roman" w:hAnsi="Times New Roman"/>
        </w:rPr>
        <w:t>БХ</w:t>
      </w:r>
      <w:r w:rsidR="004F0EF3">
        <w:rPr>
          <w:rFonts w:ascii="Times New Roman" w:hAnsi="Times New Roman"/>
        </w:rPr>
        <w:t xml:space="preserve"> </w:t>
      </w:r>
      <w:r>
        <w:rPr>
          <w:rFonts w:ascii="Times New Roman" w:hAnsi="Times New Roman"/>
        </w:rPr>
        <w:t>Новинари</w:t>
      </w:r>
      <w:r w:rsidR="004F0EF3">
        <w:rPr>
          <w:rFonts w:ascii="Times New Roman" w:hAnsi="Times New Roman"/>
        </w:rPr>
        <w:t>“</w:t>
      </w:r>
      <w:r w:rsidR="006969A9" w:rsidRPr="00295637">
        <w:rPr>
          <w:rFonts w:ascii="Times New Roman" w:hAnsi="Times New Roman"/>
        </w:rPr>
        <w:t xml:space="preserve">. </w:t>
      </w:r>
      <w:r>
        <w:rPr>
          <w:rFonts w:ascii="Times New Roman" w:hAnsi="Times New Roman"/>
        </w:rPr>
        <w:t>Наиме</w:t>
      </w:r>
      <w:r w:rsidR="006969A9" w:rsidRPr="00295637">
        <w:rPr>
          <w:rFonts w:ascii="Times New Roman" w:hAnsi="Times New Roman"/>
        </w:rPr>
        <w:t xml:space="preserve">, </w:t>
      </w:r>
      <w:r>
        <w:rPr>
          <w:rFonts w:ascii="Times New Roman" w:hAnsi="Times New Roman"/>
        </w:rPr>
        <w:t>у</w:t>
      </w:r>
      <w:r w:rsidR="006969A9" w:rsidRPr="00295637">
        <w:rPr>
          <w:rFonts w:ascii="Times New Roman" w:hAnsi="Times New Roman"/>
        </w:rPr>
        <w:t xml:space="preserve"> </w:t>
      </w:r>
      <w:r>
        <w:rPr>
          <w:rFonts w:ascii="Times New Roman" w:hAnsi="Times New Roman"/>
        </w:rPr>
        <w:t>склопу</w:t>
      </w:r>
      <w:r w:rsidR="006969A9" w:rsidRPr="00295637">
        <w:rPr>
          <w:rFonts w:ascii="Times New Roman" w:hAnsi="Times New Roman"/>
        </w:rPr>
        <w:t xml:space="preserve"> </w:t>
      </w:r>
      <w:r>
        <w:rPr>
          <w:rFonts w:ascii="Times New Roman" w:hAnsi="Times New Roman"/>
        </w:rPr>
        <w:t>регионалног</w:t>
      </w:r>
      <w:r w:rsidR="006969A9" w:rsidRPr="00295637">
        <w:rPr>
          <w:rFonts w:ascii="Times New Roman" w:hAnsi="Times New Roman"/>
        </w:rPr>
        <w:t xml:space="preserve"> </w:t>
      </w:r>
      <w:r>
        <w:rPr>
          <w:rFonts w:ascii="Times New Roman" w:hAnsi="Times New Roman"/>
        </w:rPr>
        <w:t>истраживачког</w:t>
      </w:r>
      <w:r w:rsidR="006969A9" w:rsidRPr="00295637">
        <w:rPr>
          <w:rFonts w:ascii="Times New Roman" w:hAnsi="Times New Roman"/>
        </w:rPr>
        <w:t xml:space="preserve"> </w:t>
      </w:r>
      <w:r>
        <w:rPr>
          <w:rFonts w:ascii="Times New Roman" w:hAnsi="Times New Roman"/>
        </w:rPr>
        <w:t>пројекта</w:t>
      </w:r>
      <w:r w:rsidR="006969A9" w:rsidRPr="00295637">
        <w:rPr>
          <w:rFonts w:ascii="Times New Roman" w:hAnsi="Times New Roman"/>
        </w:rPr>
        <w:t xml:space="preserve"> </w:t>
      </w:r>
      <w:r>
        <w:rPr>
          <w:rFonts w:ascii="Times New Roman" w:hAnsi="Times New Roman"/>
        </w:rPr>
        <w:t>мреже</w:t>
      </w:r>
      <w:r w:rsidR="006969A9" w:rsidRPr="00295637">
        <w:rPr>
          <w:rFonts w:ascii="Times New Roman" w:hAnsi="Times New Roman"/>
        </w:rPr>
        <w:t xml:space="preserve"> “</w:t>
      </w:r>
      <w:r w:rsidR="007A6AD7" w:rsidRPr="007A6AD7">
        <w:rPr>
          <w:rFonts w:ascii="Times New Roman" w:hAnsi="Times New Roman"/>
          <w:i/>
          <w:iCs/>
        </w:rPr>
        <w:t>Safe Journalists</w:t>
      </w:r>
      <w:r w:rsidR="004F0EF3">
        <w:rPr>
          <w:rFonts w:ascii="Times New Roman" w:hAnsi="Times New Roman"/>
        </w:rPr>
        <w:t>“</w:t>
      </w:r>
      <w:r w:rsidR="006969A9" w:rsidRPr="00295637">
        <w:rPr>
          <w:rFonts w:ascii="Times New Roman" w:hAnsi="Times New Roman"/>
        </w:rPr>
        <w:t xml:space="preserve">, </w:t>
      </w:r>
      <w:r w:rsidR="004F0EF3">
        <w:rPr>
          <w:rFonts w:ascii="Times New Roman" w:hAnsi="Times New Roman"/>
        </w:rPr>
        <w:t>„</w:t>
      </w:r>
      <w:r>
        <w:rPr>
          <w:rFonts w:ascii="Times New Roman" w:hAnsi="Times New Roman"/>
        </w:rPr>
        <w:t>БХ</w:t>
      </w:r>
      <w:r w:rsidR="006969A9" w:rsidRPr="00295637">
        <w:rPr>
          <w:rFonts w:ascii="Times New Roman" w:hAnsi="Times New Roman"/>
        </w:rPr>
        <w:t xml:space="preserve"> </w:t>
      </w:r>
      <w:r>
        <w:rPr>
          <w:rFonts w:ascii="Times New Roman" w:hAnsi="Times New Roman"/>
        </w:rPr>
        <w:t>Новинари</w:t>
      </w:r>
      <w:r w:rsidR="004F0EF3">
        <w:rPr>
          <w:rFonts w:ascii="Times New Roman" w:hAnsi="Times New Roman"/>
        </w:rPr>
        <w:t>“</w:t>
      </w:r>
      <w:r w:rsidR="006969A9" w:rsidRPr="00295637">
        <w:rPr>
          <w:rFonts w:ascii="Times New Roman" w:hAnsi="Times New Roman"/>
        </w:rPr>
        <w:t xml:space="preserve"> </w:t>
      </w:r>
      <w:r>
        <w:rPr>
          <w:rFonts w:ascii="Times New Roman" w:hAnsi="Times New Roman"/>
        </w:rPr>
        <w:t>учествују</w:t>
      </w:r>
      <w:r w:rsidR="006969A9" w:rsidRPr="00295637">
        <w:rPr>
          <w:rFonts w:ascii="Times New Roman" w:hAnsi="Times New Roman"/>
        </w:rPr>
        <w:t xml:space="preserve"> </w:t>
      </w:r>
      <w:r>
        <w:rPr>
          <w:rFonts w:ascii="Times New Roman" w:hAnsi="Times New Roman"/>
        </w:rPr>
        <w:t>у</w:t>
      </w:r>
      <w:r w:rsidR="006969A9" w:rsidRPr="00295637">
        <w:rPr>
          <w:rFonts w:ascii="Times New Roman" w:hAnsi="Times New Roman"/>
        </w:rPr>
        <w:t xml:space="preserve"> </w:t>
      </w:r>
      <w:r>
        <w:rPr>
          <w:rFonts w:ascii="Times New Roman" w:hAnsi="Times New Roman"/>
        </w:rPr>
        <w:t>истраживању</w:t>
      </w:r>
      <w:r w:rsidR="006969A9" w:rsidRPr="00295637">
        <w:rPr>
          <w:rFonts w:ascii="Times New Roman" w:hAnsi="Times New Roman"/>
        </w:rPr>
        <w:t xml:space="preserve"> </w:t>
      </w:r>
      <w:r>
        <w:rPr>
          <w:rFonts w:ascii="Times New Roman" w:hAnsi="Times New Roman"/>
        </w:rPr>
        <w:t>о</w:t>
      </w:r>
      <w:r w:rsidR="006969A9" w:rsidRPr="00295637">
        <w:rPr>
          <w:rFonts w:ascii="Times New Roman" w:hAnsi="Times New Roman"/>
        </w:rPr>
        <w:t xml:space="preserve"> </w:t>
      </w:r>
      <w:r>
        <w:rPr>
          <w:rFonts w:ascii="Times New Roman" w:hAnsi="Times New Roman"/>
        </w:rPr>
        <w:t>насиљу</w:t>
      </w:r>
      <w:r w:rsidR="00DC4A18">
        <w:rPr>
          <w:rFonts w:ascii="Times New Roman" w:hAnsi="Times New Roman"/>
        </w:rPr>
        <w:t xml:space="preserve"> </w:t>
      </w:r>
      <w:r>
        <w:rPr>
          <w:rFonts w:ascii="Times New Roman" w:hAnsi="Times New Roman"/>
        </w:rPr>
        <w:t>над</w:t>
      </w:r>
      <w:r w:rsidR="00DC4A18">
        <w:rPr>
          <w:rFonts w:ascii="Times New Roman" w:hAnsi="Times New Roman"/>
        </w:rPr>
        <w:t xml:space="preserve"> </w:t>
      </w:r>
      <w:r>
        <w:rPr>
          <w:rFonts w:ascii="Times New Roman" w:hAnsi="Times New Roman"/>
        </w:rPr>
        <w:t>новинаркама</w:t>
      </w:r>
      <w:r w:rsidR="00DC4A18">
        <w:rPr>
          <w:rFonts w:ascii="Times New Roman" w:hAnsi="Times New Roman"/>
        </w:rPr>
        <w:t xml:space="preserve"> </w:t>
      </w:r>
      <w:r>
        <w:rPr>
          <w:rFonts w:ascii="Times New Roman" w:hAnsi="Times New Roman"/>
        </w:rPr>
        <w:t>и</w:t>
      </w:r>
      <w:r w:rsidR="00DC4A18">
        <w:rPr>
          <w:rFonts w:ascii="Times New Roman" w:hAnsi="Times New Roman"/>
        </w:rPr>
        <w:t xml:space="preserve"> </w:t>
      </w:r>
      <w:r>
        <w:rPr>
          <w:rFonts w:ascii="Times New Roman" w:hAnsi="Times New Roman"/>
        </w:rPr>
        <w:t>њиховој</w:t>
      </w:r>
      <w:r w:rsidR="006969A9" w:rsidRPr="00295637">
        <w:rPr>
          <w:rFonts w:ascii="Times New Roman" w:hAnsi="Times New Roman"/>
        </w:rPr>
        <w:t xml:space="preserve"> </w:t>
      </w:r>
      <w:r w:rsidR="007A6AD7">
        <w:rPr>
          <w:rFonts w:ascii="Times New Roman" w:hAnsi="Times New Roman"/>
          <w:lang w:val="sr-Cyrl-BA"/>
        </w:rPr>
        <w:t>безбједности</w:t>
      </w:r>
      <w:r w:rsidR="006969A9" w:rsidRPr="00295637">
        <w:rPr>
          <w:rFonts w:ascii="Times New Roman" w:hAnsi="Times New Roman"/>
        </w:rPr>
        <w:t xml:space="preserve"> </w:t>
      </w:r>
      <w:r>
        <w:rPr>
          <w:rFonts w:ascii="Times New Roman" w:hAnsi="Times New Roman"/>
        </w:rPr>
        <w:t>у</w:t>
      </w:r>
      <w:r w:rsidR="006969A9" w:rsidRPr="00295637">
        <w:rPr>
          <w:rFonts w:ascii="Times New Roman" w:hAnsi="Times New Roman"/>
        </w:rPr>
        <w:t xml:space="preserve"> </w:t>
      </w:r>
      <w:r>
        <w:rPr>
          <w:rFonts w:ascii="Times New Roman" w:hAnsi="Times New Roman"/>
        </w:rPr>
        <w:t>Босни</w:t>
      </w:r>
      <w:r w:rsidR="006969A9" w:rsidRPr="00295637">
        <w:rPr>
          <w:rFonts w:ascii="Times New Roman" w:hAnsi="Times New Roman"/>
        </w:rPr>
        <w:t xml:space="preserve"> </w:t>
      </w:r>
      <w:r>
        <w:rPr>
          <w:rFonts w:ascii="Times New Roman" w:hAnsi="Times New Roman"/>
        </w:rPr>
        <w:t>и</w:t>
      </w:r>
      <w:r w:rsidR="006969A9" w:rsidRPr="00295637">
        <w:rPr>
          <w:rFonts w:ascii="Times New Roman" w:hAnsi="Times New Roman"/>
        </w:rPr>
        <w:t xml:space="preserve"> </w:t>
      </w:r>
      <w:r>
        <w:rPr>
          <w:rFonts w:ascii="Times New Roman" w:hAnsi="Times New Roman"/>
        </w:rPr>
        <w:t>Херцеговини</w:t>
      </w:r>
      <w:r w:rsidR="006969A9" w:rsidRPr="00295637">
        <w:rPr>
          <w:rFonts w:ascii="Times New Roman" w:hAnsi="Times New Roman"/>
        </w:rPr>
        <w:t xml:space="preserve">. </w:t>
      </w:r>
      <w:r>
        <w:rPr>
          <w:rFonts w:ascii="Times New Roman" w:hAnsi="Times New Roman"/>
        </w:rPr>
        <w:t>Истраживање</w:t>
      </w:r>
      <w:r w:rsidR="006969A9" w:rsidRPr="00295637">
        <w:rPr>
          <w:rFonts w:ascii="Times New Roman" w:hAnsi="Times New Roman"/>
        </w:rPr>
        <w:t xml:space="preserve"> </w:t>
      </w:r>
      <w:r>
        <w:rPr>
          <w:rFonts w:ascii="Times New Roman" w:hAnsi="Times New Roman"/>
        </w:rPr>
        <w:t>се</w:t>
      </w:r>
      <w:r w:rsidR="006969A9" w:rsidRPr="00295637">
        <w:rPr>
          <w:rFonts w:ascii="Times New Roman" w:hAnsi="Times New Roman"/>
        </w:rPr>
        <w:t xml:space="preserve"> </w:t>
      </w:r>
      <w:r>
        <w:rPr>
          <w:rFonts w:ascii="Times New Roman" w:hAnsi="Times New Roman"/>
        </w:rPr>
        <w:t>проводи</w:t>
      </w:r>
      <w:r w:rsidR="006969A9" w:rsidRPr="00295637">
        <w:rPr>
          <w:rFonts w:ascii="Times New Roman" w:hAnsi="Times New Roman"/>
        </w:rPr>
        <w:t xml:space="preserve"> </w:t>
      </w:r>
      <w:r>
        <w:rPr>
          <w:rFonts w:ascii="Times New Roman" w:hAnsi="Times New Roman"/>
        </w:rPr>
        <w:t>на</w:t>
      </w:r>
      <w:r w:rsidR="006969A9" w:rsidRPr="00295637">
        <w:rPr>
          <w:rFonts w:ascii="Times New Roman" w:hAnsi="Times New Roman"/>
        </w:rPr>
        <w:t xml:space="preserve"> </w:t>
      </w:r>
      <w:r>
        <w:rPr>
          <w:rFonts w:ascii="Times New Roman" w:hAnsi="Times New Roman"/>
        </w:rPr>
        <w:t>основу</w:t>
      </w:r>
      <w:r w:rsidR="006969A9" w:rsidRPr="00295637">
        <w:rPr>
          <w:rFonts w:ascii="Times New Roman" w:hAnsi="Times New Roman"/>
        </w:rPr>
        <w:t xml:space="preserve"> </w:t>
      </w:r>
      <w:r>
        <w:rPr>
          <w:rFonts w:ascii="Times New Roman" w:hAnsi="Times New Roman"/>
        </w:rPr>
        <w:t>анализе</w:t>
      </w:r>
      <w:r w:rsidR="006969A9" w:rsidRPr="00295637">
        <w:rPr>
          <w:rFonts w:ascii="Times New Roman" w:hAnsi="Times New Roman"/>
        </w:rPr>
        <w:t xml:space="preserve"> </w:t>
      </w:r>
      <w:r>
        <w:rPr>
          <w:rFonts w:ascii="Times New Roman" w:hAnsi="Times New Roman"/>
        </w:rPr>
        <w:t>примарних</w:t>
      </w:r>
      <w:r w:rsidR="006969A9" w:rsidRPr="00295637">
        <w:rPr>
          <w:rFonts w:ascii="Times New Roman" w:hAnsi="Times New Roman"/>
        </w:rPr>
        <w:t xml:space="preserve"> </w:t>
      </w:r>
      <w:r>
        <w:rPr>
          <w:rFonts w:ascii="Times New Roman" w:hAnsi="Times New Roman"/>
        </w:rPr>
        <w:t>и</w:t>
      </w:r>
      <w:r w:rsidR="006969A9" w:rsidRPr="00295637">
        <w:rPr>
          <w:rFonts w:ascii="Times New Roman" w:hAnsi="Times New Roman"/>
        </w:rPr>
        <w:t xml:space="preserve"> </w:t>
      </w:r>
      <w:r>
        <w:rPr>
          <w:rFonts w:ascii="Times New Roman" w:hAnsi="Times New Roman"/>
        </w:rPr>
        <w:t>секундарних</w:t>
      </w:r>
      <w:r w:rsidR="006969A9" w:rsidRPr="00295637">
        <w:rPr>
          <w:rFonts w:ascii="Times New Roman" w:hAnsi="Times New Roman"/>
        </w:rPr>
        <w:t xml:space="preserve"> </w:t>
      </w:r>
      <w:r>
        <w:rPr>
          <w:rFonts w:ascii="Times New Roman" w:hAnsi="Times New Roman"/>
        </w:rPr>
        <w:t>података</w:t>
      </w:r>
      <w:r w:rsidR="006969A9" w:rsidRPr="00295637">
        <w:rPr>
          <w:rFonts w:ascii="Times New Roman" w:hAnsi="Times New Roman"/>
        </w:rPr>
        <w:t xml:space="preserve"> </w:t>
      </w:r>
      <w:r>
        <w:rPr>
          <w:rFonts w:ascii="Times New Roman" w:hAnsi="Times New Roman"/>
        </w:rPr>
        <w:t>у</w:t>
      </w:r>
      <w:r w:rsidR="00A54FC3">
        <w:rPr>
          <w:rFonts w:ascii="Times New Roman" w:hAnsi="Times New Roman"/>
        </w:rPr>
        <w:t xml:space="preserve"> </w:t>
      </w:r>
      <w:r>
        <w:rPr>
          <w:rFonts w:ascii="Times New Roman" w:hAnsi="Times New Roman"/>
        </w:rPr>
        <w:t>вези</w:t>
      </w:r>
      <w:r w:rsidR="00A54FC3">
        <w:rPr>
          <w:rFonts w:ascii="Times New Roman" w:hAnsi="Times New Roman"/>
        </w:rPr>
        <w:t xml:space="preserve"> </w:t>
      </w:r>
      <w:r>
        <w:rPr>
          <w:rFonts w:ascii="Times New Roman" w:hAnsi="Times New Roman"/>
        </w:rPr>
        <w:t>са</w:t>
      </w:r>
      <w:r w:rsidR="006969A9" w:rsidRPr="00295637">
        <w:rPr>
          <w:rFonts w:ascii="Times New Roman" w:hAnsi="Times New Roman"/>
        </w:rPr>
        <w:t xml:space="preserve"> </w:t>
      </w:r>
      <w:r>
        <w:rPr>
          <w:rFonts w:ascii="Times New Roman" w:hAnsi="Times New Roman"/>
        </w:rPr>
        <w:t>овом</w:t>
      </w:r>
      <w:r w:rsidR="006969A9" w:rsidRPr="00295637">
        <w:rPr>
          <w:rFonts w:ascii="Times New Roman" w:hAnsi="Times New Roman"/>
        </w:rPr>
        <w:t xml:space="preserve"> </w:t>
      </w:r>
      <w:r>
        <w:rPr>
          <w:rFonts w:ascii="Times New Roman" w:hAnsi="Times New Roman"/>
        </w:rPr>
        <w:t>темом</w:t>
      </w:r>
      <w:r w:rsidR="006969A9" w:rsidRPr="00295637">
        <w:rPr>
          <w:rFonts w:ascii="Times New Roman" w:hAnsi="Times New Roman"/>
        </w:rPr>
        <w:t xml:space="preserve"> - </w:t>
      </w:r>
      <w:r>
        <w:rPr>
          <w:rFonts w:ascii="Times New Roman" w:hAnsi="Times New Roman"/>
        </w:rPr>
        <w:t>од</w:t>
      </w:r>
      <w:r w:rsidR="006969A9" w:rsidRPr="00295637">
        <w:rPr>
          <w:rFonts w:ascii="Times New Roman" w:hAnsi="Times New Roman"/>
        </w:rPr>
        <w:t xml:space="preserve"> </w:t>
      </w:r>
      <w:r>
        <w:rPr>
          <w:rFonts w:ascii="Times New Roman" w:hAnsi="Times New Roman"/>
        </w:rPr>
        <w:t>фокус</w:t>
      </w:r>
      <w:r w:rsidR="006969A9" w:rsidRPr="00295637">
        <w:rPr>
          <w:rFonts w:ascii="Times New Roman" w:hAnsi="Times New Roman"/>
        </w:rPr>
        <w:t xml:space="preserve"> </w:t>
      </w:r>
      <w:r>
        <w:rPr>
          <w:rFonts w:ascii="Times New Roman" w:hAnsi="Times New Roman"/>
        </w:rPr>
        <w:t>група</w:t>
      </w:r>
      <w:r w:rsidR="006969A9" w:rsidRPr="00295637">
        <w:rPr>
          <w:rFonts w:ascii="Times New Roman" w:hAnsi="Times New Roman"/>
        </w:rPr>
        <w:t xml:space="preserve">, </w:t>
      </w:r>
      <w:r>
        <w:rPr>
          <w:rFonts w:ascii="Times New Roman" w:hAnsi="Times New Roman"/>
        </w:rPr>
        <w:t>интервјуа</w:t>
      </w:r>
      <w:r w:rsidR="006969A9" w:rsidRPr="00295637">
        <w:rPr>
          <w:rFonts w:ascii="Times New Roman" w:hAnsi="Times New Roman"/>
        </w:rPr>
        <w:t xml:space="preserve"> </w:t>
      </w:r>
      <w:r>
        <w:rPr>
          <w:rFonts w:ascii="Times New Roman" w:hAnsi="Times New Roman"/>
        </w:rPr>
        <w:t>и</w:t>
      </w:r>
      <w:r w:rsidR="006969A9" w:rsidRPr="00295637">
        <w:rPr>
          <w:rFonts w:ascii="Times New Roman" w:hAnsi="Times New Roman"/>
        </w:rPr>
        <w:t xml:space="preserve"> </w:t>
      </w:r>
      <w:r>
        <w:rPr>
          <w:rFonts w:ascii="Times New Roman" w:hAnsi="Times New Roman"/>
        </w:rPr>
        <w:t>анализе</w:t>
      </w:r>
      <w:r w:rsidR="006969A9" w:rsidRPr="00295637">
        <w:rPr>
          <w:rFonts w:ascii="Times New Roman" w:hAnsi="Times New Roman"/>
        </w:rPr>
        <w:t xml:space="preserve"> </w:t>
      </w:r>
      <w:r>
        <w:rPr>
          <w:rFonts w:ascii="Times New Roman" w:hAnsi="Times New Roman"/>
        </w:rPr>
        <w:t>статистичких</w:t>
      </w:r>
      <w:r w:rsidR="006969A9" w:rsidRPr="00295637">
        <w:rPr>
          <w:rFonts w:ascii="Times New Roman" w:hAnsi="Times New Roman"/>
        </w:rPr>
        <w:t xml:space="preserve"> </w:t>
      </w:r>
      <w:r>
        <w:rPr>
          <w:rFonts w:ascii="Times New Roman" w:hAnsi="Times New Roman"/>
        </w:rPr>
        <w:t>података</w:t>
      </w:r>
      <w:r w:rsidR="006969A9" w:rsidRPr="00295637">
        <w:rPr>
          <w:rFonts w:ascii="Times New Roman" w:hAnsi="Times New Roman"/>
        </w:rPr>
        <w:t xml:space="preserve"> </w:t>
      </w:r>
      <w:r>
        <w:rPr>
          <w:rFonts w:ascii="Times New Roman" w:hAnsi="Times New Roman"/>
        </w:rPr>
        <w:t>о</w:t>
      </w:r>
      <w:r w:rsidR="006969A9" w:rsidRPr="00295637">
        <w:rPr>
          <w:rFonts w:ascii="Times New Roman" w:hAnsi="Times New Roman"/>
        </w:rPr>
        <w:t xml:space="preserve"> </w:t>
      </w:r>
      <w:r>
        <w:rPr>
          <w:rFonts w:ascii="Times New Roman" w:hAnsi="Times New Roman"/>
        </w:rPr>
        <w:t>новинарима</w:t>
      </w:r>
      <w:r w:rsidR="006969A9" w:rsidRPr="00295637">
        <w:rPr>
          <w:rFonts w:ascii="Times New Roman" w:hAnsi="Times New Roman"/>
        </w:rPr>
        <w:t xml:space="preserve"> </w:t>
      </w:r>
      <w:r>
        <w:rPr>
          <w:rFonts w:ascii="Times New Roman" w:hAnsi="Times New Roman"/>
        </w:rPr>
        <w:t>и</w:t>
      </w:r>
      <w:r w:rsidR="006969A9" w:rsidRPr="00295637">
        <w:rPr>
          <w:rFonts w:ascii="Times New Roman" w:hAnsi="Times New Roman"/>
        </w:rPr>
        <w:t xml:space="preserve"> </w:t>
      </w:r>
      <w:r>
        <w:rPr>
          <w:rFonts w:ascii="Times New Roman" w:hAnsi="Times New Roman"/>
        </w:rPr>
        <w:t>новинаркама</w:t>
      </w:r>
      <w:r w:rsidR="006969A9" w:rsidRPr="00295637">
        <w:rPr>
          <w:rFonts w:ascii="Times New Roman" w:hAnsi="Times New Roman"/>
        </w:rPr>
        <w:t xml:space="preserve"> </w:t>
      </w:r>
      <w:r>
        <w:rPr>
          <w:rFonts w:ascii="Times New Roman" w:hAnsi="Times New Roman"/>
        </w:rPr>
        <w:t>који</w:t>
      </w:r>
      <w:r w:rsidR="006969A9" w:rsidRPr="00295637">
        <w:rPr>
          <w:rFonts w:ascii="Times New Roman" w:hAnsi="Times New Roman"/>
        </w:rPr>
        <w:t xml:space="preserve"> </w:t>
      </w:r>
      <w:r>
        <w:rPr>
          <w:rFonts w:ascii="Times New Roman" w:hAnsi="Times New Roman"/>
        </w:rPr>
        <w:t>су</w:t>
      </w:r>
      <w:r w:rsidR="006969A9" w:rsidRPr="00295637">
        <w:rPr>
          <w:rFonts w:ascii="Times New Roman" w:hAnsi="Times New Roman"/>
        </w:rPr>
        <w:t xml:space="preserve"> </w:t>
      </w:r>
      <w:r>
        <w:rPr>
          <w:rFonts w:ascii="Times New Roman" w:hAnsi="Times New Roman"/>
        </w:rPr>
        <w:t>жртве</w:t>
      </w:r>
      <w:r w:rsidR="006969A9" w:rsidRPr="00295637">
        <w:rPr>
          <w:rFonts w:ascii="Times New Roman" w:hAnsi="Times New Roman"/>
        </w:rPr>
        <w:t xml:space="preserve"> </w:t>
      </w:r>
      <w:r>
        <w:rPr>
          <w:rFonts w:ascii="Times New Roman" w:hAnsi="Times New Roman"/>
        </w:rPr>
        <w:t>насиља</w:t>
      </w:r>
      <w:r w:rsidR="006969A9" w:rsidRPr="00295637">
        <w:rPr>
          <w:rFonts w:ascii="Times New Roman" w:hAnsi="Times New Roman"/>
        </w:rPr>
        <w:t xml:space="preserve">, </w:t>
      </w:r>
      <w:r>
        <w:rPr>
          <w:rFonts w:ascii="Times New Roman" w:hAnsi="Times New Roman"/>
        </w:rPr>
        <w:t>до</w:t>
      </w:r>
      <w:r w:rsidR="006969A9" w:rsidRPr="00295637">
        <w:rPr>
          <w:rFonts w:ascii="Times New Roman" w:hAnsi="Times New Roman"/>
        </w:rPr>
        <w:t xml:space="preserve"> </w:t>
      </w:r>
      <w:r>
        <w:rPr>
          <w:rFonts w:ascii="Times New Roman" w:hAnsi="Times New Roman"/>
        </w:rPr>
        <w:t>анализе</w:t>
      </w:r>
      <w:r w:rsidR="006969A9" w:rsidRPr="00295637">
        <w:rPr>
          <w:rFonts w:ascii="Times New Roman" w:hAnsi="Times New Roman"/>
        </w:rPr>
        <w:t xml:space="preserve"> </w:t>
      </w:r>
      <w:r>
        <w:rPr>
          <w:rFonts w:ascii="Times New Roman" w:hAnsi="Times New Roman"/>
        </w:rPr>
        <w:t>домаћих</w:t>
      </w:r>
      <w:r w:rsidR="006969A9" w:rsidRPr="00295637">
        <w:rPr>
          <w:rFonts w:ascii="Times New Roman" w:hAnsi="Times New Roman"/>
        </w:rPr>
        <w:t xml:space="preserve"> </w:t>
      </w:r>
      <w:r>
        <w:rPr>
          <w:rFonts w:ascii="Times New Roman" w:hAnsi="Times New Roman"/>
        </w:rPr>
        <w:t>и</w:t>
      </w:r>
      <w:r w:rsidR="006969A9" w:rsidRPr="00295637">
        <w:rPr>
          <w:rFonts w:ascii="Times New Roman" w:hAnsi="Times New Roman"/>
        </w:rPr>
        <w:t xml:space="preserve"> </w:t>
      </w:r>
      <w:r>
        <w:rPr>
          <w:rFonts w:ascii="Times New Roman" w:hAnsi="Times New Roman"/>
        </w:rPr>
        <w:t>међународних</w:t>
      </w:r>
      <w:r w:rsidR="006969A9" w:rsidRPr="00295637">
        <w:rPr>
          <w:rFonts w:ascii="Times New Roman" w:hAnsi="Times New Roman"/>
        </w:rPr>
        <w:t xml:space="preserve"> </w:t>
      </w:r>
      <w:r>
        <w:rPr>
          <w:rFonts w:ascii="Times New Roman" w:hAnsi="Times New Roman"/>
        </w:rPr>
        <w:t>докумената</w:t>
      </w:r>
      <w:r w:rsidR="006969A9" w:rsidRPr="00295637">
        <w:rPr>
          <w:rFonts w:ascii="Times New Roman" w:hAnsi="Times New Roman"/>
        </w:rPr>
        <w:t xml:space="preserve">. </w:t>
      </w:r>
      <w:r>
        <w:rPr>
          <w:rFonts w:ascii="Times New Roman" w:hAnsi="Times New Roman"/>
        </w:rPr>
        <w:t>Један</w:t>
      </w:r>
      <w:r w:rsidR="006969A9" w:rsidRPr="00295637">
        <w:rPr>
          <w:rFonts w:ascii="Times New Roman" w:hAnsi="Times New Roman"/>
        </w:rPr>
        <w:t xml:space="preserve"> </w:t>
      </w:r>
      <w:r>
        <w:rPr>
          <w:rFonts w:ascii="Times New Roman" w:hAnsi="Times New Roman"/>
        </w:rPr>
        <w:t>од</w:t>
      </w:r>
      <w:r w:rsidR="006969A9" w:rsidRPr="00295637">
        <w:rPr>
          <w:rFonts w:ascii="Times New Roman" w:hAnsi="Times New Roman"/>
        </w:rPr>
        <w:t xml:space="preserve"> </w:t>
      </w:r>
      <w:r>
        <w:rPr>
          <w:rFonts w:ascii="Times New Roman" w:hAnsi="Times New Roman"/>
        </w:rPr>
        <w:t>аспеката</w:t>
      </w:r>
      <w:r w:rsidR="006969A9" w:rsidRPr="00295637">
        <w:rPr>
          <w:rFonts w:ascii="Times New Roman" w:hAnsi="Times New Roman"/>
        </w:rPr>
        <w:t xml:space="preserve"> </w:t>
      </w:r>
      <w:r>
        <w:rPr>
          <w:rFonts w:ascii="Times New Roman" w:hAnsi="Times New Roman"/>
        </w:rPr>
        <w:t>анализе</w:t>
      </w:r>
      <w:r w:rsidR="006969A9" w:rsidRPr="00295637">
        <w:rPr>
          <w:rFonts w:ascii="Times New Roman" w:hAnsi="Times New Roman"/>
        </w:rPr>
        <w:t xml:space="preserve"> </w:t>
      </w:r>
      <w:r>
        <w:rPr>
          <w:rFonts w:ascii="Times New Roman" w:hAnsi="Times New Roman"/>
        </w:rPr>
        <w:t>секундарних</w:t>
      </w:r>
      <w:r w:rsidR="006969A9" w:rsidRPr="00295637">
        <w:rPr>
          <w:rFonts w:ascii="Times New Roman" w:hAnsi="Times New Roman"/>
        </w:rPr>
        <w:t xml:space="preserve"> </w:t>
      </w:r>
      <w:r>
        <w:rPr>
          <w:rFonts w:ascii="Times New Roman" w:hAnsi="Times New Roman"/>
        </w:rPr>
        <w:t>података</w:t>
      </w:r>
      <w:r w:rsidR="006969A9" w:rsidRPr="00295637">
        <w:rPr>
          <w:rFonts w:ascii="Times New Roman" w:hAnsi="Times New Roman"/>
        </w:rPr>
        <w:t xml:space="preserve"> </w:t>
      </w:r>
      <w:r>
        <w:rPr>
          <w:rFonts w:ascii="Times New Roman" w:hAnsi="Times New Roman"/>
        </w:rPr>
        <w:t>јесте</w:t>
      </w:r>
      <w:r w:rsidR="006969A9" w:rsidRPr="00295637">
        <w:rPr>
          <w:rFonts w:ascii="Times New Roman" w:hAnsi="Times New Roman"/>
        </w:rPr>
        <w:t xml:space="preserve"> </w:t>
      </w:r>
      <w:r>
        <w:rPr>
          <w:rFonts w:ascii="Times New Roman" w:hAnsi="Times New Roman"/>
        </w:rPr>
        <w:t>и</w:t>
      </w:r>
      <w:r w:rsidR="006969A9" w:rsidRPr="00295637">
        <w:rPr>
          <w:rFonts w:ascii="Times New Roman" w:hAnsi="Times New Roman"/>
        </w:rPr>
        <w:t xml:space="preserve"> </w:t>
      </w:r>
      <w:r>
        <w:rPr>
          <w:rFonts w:ascii="Times New Roman" w:hAnsi="Times New Roman"/>
        </w:rPr>
        <w:t>усклађеност</w:t>
      </w:r>
      <w:r w:rsidR="006969A9" w:rsidRPr="00295637">
        <w:rPr>
          <w:rFonts w:ascii="Times New Roman" w:hAnsi="Times New Roman"/>
        </w:rPr>
        <w:t xml:space="preserve"> </w:t>
      </w:r>
      <w:r>
        <w:rPr>
          <w:rFonts w:ascii="Times New Roman" w:hAnsi="Times New Roman"/>
        </w:rPr>
        <w:t>релевантног</w:t>
      </w:r>
      <w:r w:rsidR="004F0EF3">
        <w:rPr>
          <w:rFonts w:ascii="Times New Roman" w:hAnsi="Times New Roman"/>
        </w:rPr>
        <w:t xml:space="preserve"> </w:t>
      </w:r>
      <w:r>
        <w:rPr>
          <w:rFonts w:ascii="Times New Roman" w:hAnsi="Times New Roman"/>
        </w:rPr>
        <w:t>домаћег</w:t>
      </w:r>
      <w:r w:rsidR="004F0EF3">
        <w:rPr>
          <w:rFonts w:ascii="Times New Roman" w:hAnsi="Times New Roman"/>
        </w:rPr>
        <w:t xml:space="preserve"> </w:t>
      </w:r>
      <w:r>
        <w:rPr>
          <w:rFonts w:ascii="Times New Roman" w:hAnsi="Times New Roman"/>
        </w:rPr>
        <w:t>законодавства</w:t>
      </w:r>
      <w:r w:rsidR="004F0EF3">
        <w:rPr>
          <w:rFonts w:ascii="Times New Roman" w:hAnsi="Times New Roman"/>
        </w:rPr>
        <w:t xml:space="preserve"> </w:t>
      </w:r>
      <w:r>
        <w:rPr>
          <w:rFonts w:ascii="Times New Roman" w:hAnsi="Times New Roman"/>
        </w:rPr>
        <w:t>са</w:t>
      </w:r>
      <w:r w:rsidR="006969A9" w:rsidRPr="00295637">
        <w:rPr>
          <w:rFonts w:ascii="Times New Roman" w:hAnsi="Times New Roman"/>
        </w:rPr>
        <w:t xml:space="preserve"> </w:t>
      </w:r>
      <w:r>
        <w:rPr>
          <w:rFonts w:ascii="Times New Roman" w:hAnsi="Times New Roman"/>
        </w:rPr>
        <w:t>међународним</w:t>
      </w:r>
      <w:r w:rsidR="006969A9" w:rsidRPr="00295637">
        <w:rPr>
          <w:rFonts w:ascii="Times New Roman" w:hAnsi="Times New Roman"/>
        </w:rPr>
        <w:t xml:space="preserve"> </w:t>
      </w:r>
      <w:r>
        <w:rPr>
          <w:rFonts w:ascii="Times New Roman" w:hAnsi="Times New Roman"/>
        </w:rPr>
        <w:t>документима</w:t>
      </w:r>
      <w:r w:rsidR="004F0EF3">
        <w:rPr>
          <w:rFonts w:ascii="Times New Roman" w:hAnsi="Times New Roman"/>
        </w:rPr>
        <w:t xml:space="preserve">, </w:t>
      </w:r>
      <w:r>
        <w:rPr>
          <w:rFonts w:ascii="Times New Roman" w:hAnsi="Times New Roman"/>
        </w:rPr>
        <w:t>а</w:t>
      </w:r>
      <w:r w:rsidR="004F0EF3">
        <w:rPr>
          <w:rFonts w:ascii="Times New Roman" w:hAnsi="Times New Roman"/>
        </w:rPr>
        <w:t xml:space="preserve"> </w:t>
      </w:r>
      <w:r>
        <w:rPr>
          <w:rFonts w:ascii="Times New Roman" w:hAnsi="Times New Roman"/>
        </w:rPr>
        <w:t>нарочито</w:t>
      </w:r>
      <w:r w:rsidR="004F0EF3">
        <w:rPr>
          <w:rFonts w:ascii="Times New Roman" w:hAnsi="Times New Roman"/>
        </w:rPr>
        <w:t xml:space="preserve"> </w:t>
      </w:r>
      <w:r>
        <w:rPr>
          <w:rFonts w:ascii="Times New Roman" w:hAnsi="Times New Roman"/>
        </w:rPr>
        <w:t>са</w:t>
      </w:r>
      <w:r w:rsidR="006969A9" w:rsidRPr="00295637">
        <w:rPr>
          <w:rFonts w:ascii="Times New Roman" w:hAnsi="Times New Roman"/>
        </w:rPr>
        <w:t xml:space="preserve"> </w:t>
      </w:r>
      <w:r>
        <w:rPr>
          <w:rFonts w:ascii="Times New Roman" w:hAnsi="Times New Roman"/>
        </w:rPr>
        <w:t>Истанбулском</w:t>
      </w:r>
      <w:r w:rsidR="006969A9" w:rsidRPr="00295637">
        <w:rPr>
          <w:rFonts w:ascii="Times New Roman" w:hAnsi="Times New Roman"/>
        </w:rPr>
        <w:t xml:space="preserve"> </w:t>
      </w:r>
      <w:r>
        <w:rPr>
          <w:rFonts w:ascii="Times New Roman" w:hAnsi="Times New Roman"/>
        </w:rPr>
        <w:t>конвенцијом</w:t>
      </w:r>
      <w:r w:rsidR="006969A9" w:rsidRPr="00295637">
        <w:rPr>
          <w:rFonts w:ascii="Times New Roman" w:hAnsi="Times New Roman"/>
        </w:rPr>
        <w:t>.</w:t>
      </w:r>
    </w:p>
    <w:p w:rsidR="006969A9" w:rsidRPr="00295637" w:rsidRDefault="006969A9" w:rsidP="0086268D">
      <w:pPr>
        <w:pStyle w:val="PlainText"/>
        <w:jc w:val="both"/>
        <w:rPr>
          <w:rFonts w:ascii="Times New Roman" w:hAnsi="Times New Roman"/>
          <w:sz w:val="24"/>
          <w:szCs w:val="24"/>
        </w:rPr>
      </w:pPr>
    </w:p>
    <w:p w:rsidR="006969A9" w:rsidRPr="00295637" w:rsidRDefault="00C6214E" w:rsidP="0086268D">
      <w:pPr>
        <w:pStyle w:val="PlainText"/>
        <w:jc w:val="both"/>
        <w:rPr>
          <w:rFonts w:ascii="Times New Roman" w:hAnsi="Times New Roman"/>
          <w:sz w:val="24"/>
          <w:szCs w:val="24"/>
        </w:rPr>
      </w:pPr>
      <w:r>
        <w:rPr>
          <w:rFonts w:ascii="Times New Roman" w:hAnsi="Times New Roman"/>
          <w:sz w:val="24"/>
          <w:szCs w:val="24"/>
          <w:lang w:val="hr-HR"/>
        </w:rPr>
        <w:t>У</w:t>
      </w:r>
      <w:r w:rsidR="006969A9" w:rsidRPr="006820FB">
        <w:rPr>
          <w:rFonts w:ascii="Times New Roman" w:hAnsi="Times New Roman"/>
          <w:sz w:val="24"/>
          <w:szCs w:val="24"/>
          <w:lang w:val="hr-HR"/>
        </w:rPr>
        <w:t xml:space="preserve"> </w:t>
      </w:r>
      <w:r>
        <w:rPr>
          <w:rFonts w:ascii="Times New Roman" w:hAnsi="Times New Roman"/>
          <w:sz w:val="24"/>
          <w:szCs w:val="24"/>
          <w:lang w:val="hr-HR"/>
        </w:rPr>
        <w:t>Центру</w:t>
      </w:r>
      <w:r w:rsidR="006969A9" w:rsidRPr="006820FB">
        <w:rPr>
          <w:rFonts w:ascii="Times New Roman" w:hAnsi="Times New Roman"/>
          <w:sz w:val="24"/>
          <w:szCs w:val="24"/>
          <w:lang w:val="hr-HR"/>
        </w:rPr>
        <w:t xml:space="preserve"> </w:t>
      </w:r>
      <w:r>
        <w:rPr>
          <w:rFonts w:ascii="Times New Roman" w:hAnsi="Times New Roman"/>
          <w:sz w:val="24"/>
          <w:szCs w:val="24"/>
          <w:lang w:val="hr-HR"/>
        </w:rPr>
        <w:t>за</w:t>
      </w:r>
      <w:r w:rsidR="006969A9" w:rsidRPr="006820FB">
        <w:rPr>
          <w:rFonts w:ascii="Times New Roman" w:hAnsi="Times New Roman"/>
          <w:sz w:val="24"/>
          <w:szCs w:val="24"/>
          <w:lang w:val="hr-HR"/>
        </w:rPr>
        <w:t xml:space="preserve"> </w:t>
      </w:r>
      <w:r>
        <w:rPr>
          <w:rFonts w:ascii="Times New Roman" w:hAnsi="Times New Roman"/>
          <w:sz w:val="24"/>
          <w:szCs w:val="24"/>
          <w:lang w:val="hr-HR"/>
        </w:rPr>
        <w:t>културу</w:t>
      </w:r>
      <w:r w:rsidR="006969A9" w:rsidRPr="006820FB">
        <w:rPr>
          <w:rFonts w:ascii="Times New Roman" w:hAnsi="Times New Roman"/>
          <w:sz w:val="24"/>
          <w:szCs w:val="24"/>
          <w:lang w:val="hr-HR"/>
        </w:rPr>
        <w:t xml:space="preserve"> </w:t>
      </w:r>
      <w:r>
        <w:rPr>
          <w:rFonts w:ascii="Times New Roman" w:hAnsi="Times New Roman"/>
          <w:sz w:val="24"/>
          <w:szCs w:val="24"/>
          <w:lang w:val="hr-HR"/>
        </w:rPr>
        <w:t>и</w:t>
      </w:r>
      <w:r w:rsidR="006969A9" w:rsidRPr="006820FB">
        <w:rPr>
          <w:rFonts w:ascii="Times New Roman" w:hAnsi="Times New Roman"/>
          <w:sz w:val="24"/>
          <w:szCs w:val="24"/>
          <w:lang w:val="hr-HR"/>
        </w:rPr>
        <w:t xml:space="preserve"> </w:t>
      </w:r>
      <w:r>
        <w:rPr>
          <w:rFonts w:ascii="Times New Roman" w:hAnsi="Times New Roman"/>
          <w:sz w:val="24"/>
          <w:szCs w:val="24"/>
          <w:lang w:val="hr-HR"/>
        </w:rPr>
        <w:t>образовање</w:t>
      </w:r>
      <w:r w:rsidR="006969A9" w:rsidRPr="006820FB">
        <w:rPr>
          <w:rFonts w:ascii="Times New Roman" w:hAnsi="Times New Roman"/>
          <w:sz w:val="24"/>
          <w:szCs w:val="24"/>
          <w:lang w:val="hr-HR"/>
        </w:rPr>
        <w:t xml:space="preserve"> </w:t>
      </w:r>
      <w:r>
        <w:rPr>
          <w:rFonts w:ascii="Times New Roman" w:hAnsi="Times New Roman"/>
          <w:sz w:val="24"/>
          <w:szCs w:val="24"/>
          <w:lang w:val="hr-HR"/>
        </w:rPr>
        <w:t>Добој</w:t>
      </w:r>
      <w:r w:rsidR="006969A9" w:rsidRPr="006820FB">
        <w:rPr>
          <w:rFonts w:ascii="Times New Roman" w:hAnsi="Times New Roman"/>
          <w:sz w:val="24"/>
          <w:szCs w:val="24"/>
          <w:lang w:val="hr-HR"/>
        </w:rPr>
        <w:t xml:space="preserve">, </w:t>
      </w:r>
      <w:r>
        <w:rPr>
          <w:rFonts w:ascii="Times New Roman" w:hAnsi="Times New Roman"/>
          <w:sz w:val="24"/>
          <w:szCs w:val="24"/>
          <w:lang w:val="hr-HR"/>
        </w:rPr>
        <w:t>у</w:t>
      </w:r>
      <w:r w:rsidR="006969A9" w:rsidRPr="006820FB">
        <w:rPr>
          <w:rFonts w:ascii="Times New Roman" w:hAnsi="Times New Roman"/>
          <w:sz w:val="24"/>
          <w:szCs w:val="24"/>
          <w:lang w:val="hr-HR"/>
        </w:rPr>
        <w:t xml:space="preserve"> </w:t>
      </w:r>
      <w:r>
        <w:rPr>
          <w:rFonts w:ascii="Times New Roman" w:hAnsi="Times New Roman"/>
          <w:sz w:val="24"/>
          <w:szCs w:val="24"/>
          <w:lang w:val="hr-HR"/>
        </w:rPr>
        <w:t>децембру</w:t>
      </w:r>
      <w:r w:rsidR="006969A9" w:rsidRPr="006820FB">
        <w:rPr>
          <w:rFonts w:ascii="Times New Roman" w:hAnsi="Times New Roman"/>
          <w:sz w:val="24"/>
          <w:szCs w:val="24"/>
          <w:lang w:val="hr-HR"/>
        </w:rPr>
        <w:t xml:space="preserve"> 2024. </w:t>
      </w:r>
      <w:r>
        <w:rPr>
          <w:rFonts w:ascii="Times New Roman" w:hAnsi="Times New Roman"/>
          <w:sz w:val="24"/>
          <w:szCs w:val="24"/>
          <w:lang w:val="hr-HR"/>
        </w:rPr>
        <w:t>године</w:t>
      </w:r>
      <w:r w:rsidR="006969A9" w:rsidRPr="00295637">
        <w:rPr>
          <w:rFonts w:ascii="Times New Roman" w:hAnsi="Times New Roman"/>
          <w:sz w:val="24"/>
          <w:szCs w:val="24"/>
        </w:rPr>
        <w:t xml:space="preserve"> </w:t>
      </w:r>
      <w:r>
        <w:rPr>
          <w:rFonts w:ascii="Times New Roman" w:hAnsi="Times New Roman"/>
          <w:sz w:val="24"/>
          <w:szCs w:val="24"/>
        </w:rPr>
        <w:t>одржан</w:t>
      </w:r>
      <w:r w:rsidR="006969A9" w:rsidRPr="00295637">
        <w:rPr>
          <w:rFonts w:ascii="Times New Roman" w:hAnsi="Times New Roman"/>
          <w:sz w:val="24"/>
          <w:szCs w:val="24"/>
        </w:rPr>
        <w:t xml:space="preserve"> </w:t>
      </w:r>
      <w:r>
        <w:rPr>
          <w:rFonts w:ascii="Times New Roman" w:hAnsi="Times New Roman"/>
          <w:sz w:val="24"/>
          <w:szCs w:val="24"/>
        </w:rPr>
        <w:t>је</w:t>
      </w:r>
      <w:r w:rsidR="006969A9" w:rsidRPr="00295637">
        <w:rPr>
          <w:rFonts w:ascii="Times New Roman" w:hAnsi="Times New Roman"/>
          <w:sz w:val="24"/>
          <w:szCs w:val="24"/>
        </w:rPr>
        <w:t xml:space="preserve"> </w:t>
      </w:r>
      <w:r>
        <w:rPr>
          <w:rFonts w:ascii="Times New Roman" w:hAnsi="Times New Roman"/>
          <w:sz w:val="24"/>
          <w:szCs w:val="24"/>
        </w:rPr>
        <w:t>догађај</w:t>
      </w:r>
      <w:r w:rsidR="006969A9" w:rsidRPr="00295637">
        <w:rPr>
          <w:rFonts w:ascii="Times New Roman" w:hAnsi="Times New Roman"/>
          <w:sz w:val="24"/>
          <w:szCs w:val="24"/>
        </w:rPr>
        <w:t xml:space="preserve"> </w:t>
      </w:r>
      <w:r>
        <w:rPr>
          <w:rFonts w:ascii="Times New Roman" w:hAnsi="Times New Roman"/>
          <w:sz w:val="24"/>
          <w:szCs w:val="24"/>
        </w:rPr>
        <w:t>поводом</w:t>
      </w:r>
      <w:r w:rsidR="006969A9" w:rsidRPr="00295637">
        <w:rPr>
          <w:rFonts w:ascii="Times New Roman" w:hAnsi="Times New Roman"/>
          <w:sz w:val="24"/>
          <w:szCs w:val="24"/>
        </w:rPr>
        <w:t xml:space="preserve"> </w:t>
      </w:r>
      <w:r>
        <w:rPr>
          <w:rFonts w:ascii="Times New Roman" w:hAnsi="Times New Roman"/>
          <w:sz w:val="24"/>
          <w:szCs w:val="24"/>
        </w:rPr>
        <w:t>свјетске</w:t>
      </w:r>
      <w:r w:rsidR="006969A9" w:rsidRPr="00295637">
        <w:rPr>
          <w:rFonts w:ascii="Times New Roman" w:hAnsi="Times New Roman"/>
          <w:sz w:val="24"/>
          <w:szCs w:val="24"/>
        </w:rPr>
        <w:t xml:space="preserve"> </w:t>
      </w:r>
      <w:r>
        <w:rPr>
          <w:rFonts w:ascii="Times New Roman" w:hAnsi="Times New Roman"/>
          <w:sz w:val="24"/>
          <w:szCs w:val="24"/>
        </w:rPr>
        <w:t>кампање</w:t>
      </w:r>
      <w:r w:rsidR="006969A9" w:rsidRPr="00295637">
        <w:rPr>
          <w:rFonts w:ascii="Times New Roman" w:hAnsi="Times New Roman"/>
          <w:sz w:val="24"/>
          <w:szCs w:val="24"/>
        </w:rPr>
        <w:t xml:space="preserve"> </w:t>
      </w:r>
      <w:r>
        <w:rPr>
          <w:rFonts w:ascii="Times New Roman" w:hAnsi="Times New Roman"/>
          <w:sz w:val="24"/>
          <w:szCs w:val="24"/>
        </w:rPr>
        <w:t>УН</w:t>
      </w:r>
      <w:r w:rsidR="006969A9" w:rsidRPr="00295637">
        <w:rPr>
          <w:rFonts w:ascii="Times New Roman" w:hAnsi="Times New Roman"/>
          <w:sz w:val="24"/>
          <w:szCs w:val="24"/>
        </w:rPr>
        <w:t>-</w:t>
      </w:r>
      <w:r>
        <w:rPr>
          <w:rFonts w:ascii="Times New Roman" w:hAnsi="Times New Roman"/>
          <w:sz w:val="24"/>
          <w:szCs w:val="24"/>
        </w:rPr>
        <w:t>а</w:t>
      </w:r>
      <w:r w:rsidR="006969A9" w:rsidRPr="00295637">
        <w:rPr>
          <w:rFonts w:ascii="Times New Roman" w:hAnsi="Times New Roman"/>
          <w:sz w:val="24"/>
          <w:szCs w:val="24"/>
        </w:rPr>
        <w:t xml:space="preserve"> "</w:t>
      </w:r>
      <w:r w:rsidR="007A6AD7" w:rsidRPr="007A6AD7">
        <w:rPr>
          <w:rFonts w:ascii="Times New Roman" w:hAnsi="Times New Roman"/>
          <w:i/>
          <w:sz w:val="24"/>
          <w:szCs w:val="24"/>
          <w:lang w:val="hr-BA"/>
        </w:rPr>
        <w:t>Orange the world</w:t>
      </w:r>
      <w:r w:rsidR="006969A9" w:rsidRPr="00295637">
        <w:rPr>
          <w:rFonts w:ascii="Times New Roman" w:hAnsi="Times New Roman"/>
          <w:sz w:val="24"/>
          <w:szCs w:val="24"/>
        </w:rPr>
        <w:t xml:space="preserve">" </w:t>
      </w:r>
      <w:r>
        <w:rPr>
          <w:rFonts w:ascii="Times New Roman" w:hAnsi="Times New Roman"/>
          <w:sz w:val="24"/>
          <w:szCs w:val="24"/>
        </w:rPr>
        <w:t>којом</w:t>
      </w:r>
      <w:r w:rsidR="006969A9" w:rsidRPr="00295637">
        <w:rPr>
          <w:rFonts w:ascii="Times New Roman" w:hAnsi="Times New Roman"/>
          <w:sz w:val="24"/>
          <w:szCs w:val="24"/>
        </w:rPr>
        <w:t xml:space="preserve"> </w:t>
      </w:r>
      <w:r>
        <w:rPr>
          <w:rFonts w:ascii="Times New Roman" w:hAnsi="Times New Roman"/>
          <w:sz w:val="24"/>
          <w:szCs w:val="24"/>
        </w:rPr>
        <w:t>је</w:t>
      </w:r>
      <w:r w:rsidR="006969A9" w:rsidRPr="00295637">
        <w:rPr>
          <w:rFonts w:ascii="Times New Roman" w:hAnsi="Times New Roman"/>
          <w:sz w:val="24"/>
          <w:szCs w:val="24"/>
        </w:rPr>
        <w:t xml:space="preserve"> </w:t>
      </w:r>
      <w:r>
        <w:rPr>
          <w:rFonts w:ascii="Times New Roman" w:hAnsi="Times New Roman"/>
          <w:sz w:val="24"/>
          <w:szCs w:val="24"/>
        </w:rPr>
        <w:t>Аустријска</w:t>
      </w:r>
      <w:r w:rsidR="006969A9" w:rsidRPr="00295637">
        <w:rPr>
          <w:rFonts w:ascii="Times New Roman" w:hAnsi="Times New Roman"/>
          <w:sz w:val="24"/>
          <w:szCs w:val="24"/>
        </w:rPr>
        <w:t xml:space="preserve"> </w:t>
      </w:r>
      <w:r>
        <w:rPr>
          <w:rFonts w:ascii="Times New Roman" w:hAnsi="Times New Roman"/>
          <w:sz w:val="24"/>
          <w:szCs w:val="24"/>
        </w:rPr>
        <w:t>амбасада</w:t>
      </w:r>
      <w:r w:rsidR="006969A9" w:rsidRPr="00295637">
        <w:rPr>
          <w:rFonts w:ascii="Times New Roman" w:hAnsi="Times New Roman"/>
          <w:sz w:val="24"/>
          <w:szCs w:val="24"/>
        </w:rPr>
        <w:t xml:space="preserve"> </w:t>
      </w:r>
      <w:r>
        <w:rPr>
          <w:rFonts w:ascii="Times New Roman" w:hAnsi="Times New Roman"/>
          <w:sz w:val="24"/>
          <w:szCs w:val="24"/>
        </w:rPr>
        <w:t>учествовала</w:t>
      </w:r>
      <w:r w:rsidR="004F0EF3">
        <w:rPr>
          <w:rFonts w:ascii="Times New Roman" w:hAnsi="Times New Roman"/>
          <w:sz w:val="24"/>
          <w:szCs w:val="24"/>
        </w:rPr>
        <w:t xml:space="preserve"> </w:t>
      </w:r>
      <w:r>
        <w:rPr>
          <w:rFonts w:ascii="Times New Roman" w:hAnsi="Times New Roman"/>
          <w:sz w:val="24"/>
          <w:szCs w:val="24"/>
        </w:rPr>
        <w:t>у</w:t>
      </w:r>
      <w:r w:rsidR="006969A9" w:rsidRPr="00295637">
        <w:rPr>
          <w:rFonts w:ascii="Times New Roman" w:hAnsi="Times New Roman"/>
          <w:sz w:val="24"/>
          <w:szCs w:val="24"/>
        </w:rPr>
        <w:t xml:space="preserve"> </w:t>
      </w:r>
      <w:r>
        <w:rPr>
          <w:rFonts w:ascii="Times New Roman" w:hAnsi="Times New Roman"/>
          <w:sz w:val="24"/>
          <w:szCs w:val="24"/>
        </w:rPr>
        <w:t>обиљежавању</w:t>
      </w:r>
      <w:r w:rsidR="006969A9" w:rsidRPr="00295637">
        <w:rPr>
          <w:rFonts w:ascii="Times New Roman" w:hAnsi="Times New Roman"/>
          <w:sz w:val="24"/>
          <w:szCs w:val="24"/>
        </w:rPr>
        <w:t xml:space="preserve"> </w:t>
      </w:r>
      <w:r w:rsidR="004F0EF3">
        <w:rPr>
          <w:rFonts w:ascii="Times New Roman" w:hAnsi="Times New Roman"/>
          <w:sz w:val="24"/>
          <w:szCs w:val="24"/>
        </w:rPr>
        <w:t>“</w:t>
      </w:r>
      <w:r w:rsidR="006969A9" w:rsidRPr="00295637">
        <w:rPr>
          <w:rFonts w:ascii="Times New Roman" w:hAnsi="Times New Roman"/>
          <w:sz w:val="24"/>
          <w:szCs w:val="24"/>
        </w:rPr>
        <w:t xml:space="preserve">16 </w:t>
      </w:r>
      <w:r>
        <w:rPr>
          <w:rFonts w:ascii="Times New Roman" w:hAnsi="Times New Roman"/>
          <w:sz w:val="24"/>
          <w:szCs w:val="24"/>
        </w:rPr>
        <w:t>дана</w:t>
      </w:r>
      <w:r w:rsidR="006969A9" w:rsidRPr="00295637">
        <w:rPr>
          <w:rFonts w:ascii="Times New Roman" w:hAnsi="Times New Roman"/>
          <w:sz w:val="24"/>
          <w:szCs w:val="24"/>
        </w:rPr>
        <w:t xml:space="preserve"> </w:t>
      </w:r>
      <w:r>
        <w:rPr>
          <w:rFonts w:ascii="Times New Roman" w:hAnsi="Times New Roman"/>
          <w:sz w:val="24"/>
          <w:szCs w:val="24"/>
        </w:rPr>
        <w:t>активизма</w:t>
      </w:r>
      <w:r w:rsidR="006969A9" w:rsidRPr="00295637">
        <w:rPr>
          <w:rFonts w:ascii="Times New Roman" w:hAnsi="Times New Roman"/>
          <w:sz w:val="24"/>
          <w:szCs w:val="24"/>
        </w:rPr>
        <w:t xml:space="preserve"> </w:t>
      </w:r>
      <w:r>
        <w:rPr>
          <w:rFonts w:ascii="Times New Roman" w:hAnsi="Times New Roman"/>
          <w:sz w:val="24"/>
          <w:szCs w:val="24"/>
        </w:rPr>
        <w:t>у</w:t>
      </w:r>
      <w:r w:rsidR="006969A9" w:rsidRPr="00295637">
        <w:rPr>
          <w:rFonts w:ascii="Times New Roman" w:hAnsi="Times New Roman"/>
          <w:sz w:val="24"/>
          <w:szCs w:val="24"/>
        </w:rPr>
        <w:t xml:space="preserve"> </w:t>
      </w:r>
      <w:r>
        <w:rPr>
          <w:rFonts w:ascii="Times New Roman" w:hAnsi="Times New Roman"/>
          <w:sz w:val="24"/>
          <w:szCs w:val="24"/>
        </w:rPr>
        <w:t>борби</w:t>
      </w:r>
      <w:r w:rsidR="006969A9" w:rsidRPr="00295637">
        <w:rPr>
          <w:rFonts w:ascii="Times New Roman" w:hAnsi="Times New Roman"/>
          <w:sz w:val="24"/>
          <w:szCs w:val="24"/>
        </w:rPr>
        <w:t xml:space="preserve"> </w:t>
      </w:r>
      <w:r>
        <w:rPr>
          <w:rFonts w:ascii="Times New Roman" w:hAnsi="Times New Roman"/>
          <w:sz w:val="24"/>
          <w:szCs w:val="24"/>
        </w:rPr>
        <w:t>против</w:t>
      </w:r>
      <w:r w:rsidR="006969A9" w:rsidRPr="00295637">
        <w:rPr>
          <w:rFonts w:ascii="Times New Roman" w:hAnsi="Times New Roman"/>
          <w:sz w:val="24"/>
          <w:szCs w:val="24"/>
        </w:rPr>
        <w:t xml:space="preserve"> </w:t>
      </w:r>
      <w:r>
        <w:rPr>
          <w:rFonts w:ascii="Times New Roman" w:hAnsi="Times New Roman"/>
          <w:sz w:val="24"/>
          <w:szCs w:val="24"/>
        </w:rPr>
        <w:t>насиља</w:t>
      </w:r>
      <w:r w:rsidR="006969A9" w:rsidRPr="00295637">
        <w:rPr>
          <w:rFonts w:ascii="Times New Roman" w:hAnsi="Times New Roman"/>
          <w:sz w:val="24"/>
          <w:szCs w:val="24"/>
        </w:rPr>
        <w:t xml:space="preserve"> </w:t>
      </w:r>
      <w:r>
        <w:rPr>
          <w:rFonts w:ascii="Times New Roman" w:hAnsi="Times New Roman"/>
          <w:sz w:val="24"/>
          <w:szCs w:val="24"/>
        </w:rPr>
        <w:t>на</w:t>
      </w:r>
      <w:r w:rsidR="006969A9" w:rsidRPr="00295637">
        <w:rPr>
          <w:rFonts w:ascii="Times New Roman" w:hAnsi="Times New Roman"/>
          <w:sz w:val="24"/>
          <w:szCs w:val="24"/>
        </w:rPr>
        <w:t xml:space="preserve"> </w:t>
      </w:r>
      <w:r>
        <w:rPr>
          <w:rFonts w:ascii="Times New Roman" w:hAnsi="Times New Roman"/>
          <w:sz w:val="24"/>
          <w:szCs w:val="24"/>
        </w:rPr>
        <w:t>основу</w:t>
      </w:r>
      <w:r w:rsidR="006969A9" w:rsidRPr="00295637">
        <w:rPr>
          <w:rFonts w:ascii="Times New Roman" w:hAnsi="Times New Roman"/>
          <w:sz w:val="24"/>
          <w:szCs w:val="24"/>
        </w:rPr>
        <w:t xml:space="preserve"> </w:t>
      </w:r>
      <w:r>
        <w:rPr>
          <w:rFonts w:ascii="Times New Roman" w:hAnsi="Times New Roman"/>
          <w:sz w:val="24"/>
          <w:szCs w:val="24"/>
        </w:rPr>
        <w:t>пола</w:t>
      </w:r>
      <w:r w:rsidR="004F0EF3">
        <w:rPr>
          <w:rFonts w:ascii="Times New Roman" w:hAnsi="Times New Roman"/>
          <w:sz w:val="24"/>
          <w:szCs w:val="24"/>
        </w:rPr>
        <w:t xml:space="preserve">”. </w:t>
      </w:r>
      <w:r>
        <w:rPr>
          <w:rFonts w:ascii="Times New Roman" w:hAnsi="Times New Roman"/>
          <w:sz w:val="24"/>
          <w:szCs w:val="24"/>
        </w:rPr>
        <w:t>Дискусија</w:t>
      </w:r>
      <w:r w:rsidR="004F0EF3">
        <w:rPr>
          <w:rFonts w:ascii="Times New Roman" w:hAnsi="Times New Roman"/>
          <w:sz w:val="24"/>
          <w:szCs w:val="24"/>
        </w:rPr>
        <w:t xml:space="preserve"> </w:t>
      </w:r>
      <w:r>
        <w:rPr>
          <w:rFonts w:ascii="Times New Roman" w:hAnsi="Times New Roman"/>
          <w:sz w:val="24"/>
          <w:szCs w:val="24"/>
        </w:rPr>
        <w:t>са</w:t>
      </w:r>
      <w:r w:rsidR="004F0EF3">
        <w:rPr>
          <w:rFonts w:ascii="Times New Roman" w:hAnsi="Times New Roman"/>
          <w:sz w:val="24"/>
          <w:szCs w:val="24"/>
        </w:rPr>
        <w:t xml:space="preserve"> </w:t>
      </w:r>
      <w:r>
        <w:rPr>
          <w:rFonts w:ascii="Times New Roman" w:hAnsi="Times New Roman"/>
          <w:sz w:val="24"/>
          <w:szCs w:val="24"/>
        </w:rPr>
        <w:t>називом</w:t>
      </w:r>
      <w:r w:rsidR="004F0EF3">
        <w:rPr>
          <w:rFonts w:ascii="Times New Roman" w:hAnsi="Times New Roman"/>
          <w:sz w:val="24"/>
          <w:szCs w:val="24"/>
        </w:rPr>
        <w:t xml:space="preserve"> “</w:t>
      </w:r>
      <w:r>
        <w:rPr>
          <w:rFonts w:ascii="Times New Roman" w:hAnsi="Times New Roman"/>
          <w:sz w:val="24"/>
          <w:szCs w:val="24"/>
        </w:rPr>
        <w:t>Није</w:t>
      </w:r>
      <w:r w:rsidR="004F0EF3">
        <w:rPr>
          <w:rFonts w:ascii="Times New Roman" w:hAnsi="Times New Roman"/>
          <w:sz w:val="24"/>
          <w:szCs w:val="24"/>
        </w:rPr>
        <w:t xml:space="preserve"> </w:t>
      </w:r>
      <w:r>
        <w:rPr>
          <w:rFonts w:ascii="Times New Roman" w:hAnsi="Times New Roman"/>
          <w:sz w:val="24"/>
          <w:szCs w:val="24"/>
        </w:rPr>
        <w:t>тешко</w:t>
      </w:r>
      <w:r w:rsidR="004F0EF3">
        <w:rPr>
          <w:rFonts w:ascii="Times New Roman" w:hAnsi="Times New Roman"/>
          <w:sz w:val="24"/>
          <w:szCs w:val="24"/>
        </w:rPr>
        <w:t xml:space="preserve"> </w:t>
      </w:r>
      <w:r>
        <w:rPr>
          <w:rFonts w:ascii="Times New Roman" w:hAnsi="Times New Roman"/>
          <w:sz w:val="24"/>
          <w:szCs w:val="24"/>
        </w:rPr>
        <w:t>бити</w:t>
      </w:r>
      <w:r w:rsidR="004F0EF3">
        <w:rPr>
          <w:rFonts w:ascii="Times New Roman" w:hAnsi="Times New Roman"/>
          <w:sz w:val="24"/>
          <w:szCs w:val="24"/>
        </w:rPr>
        <w:t xml:space="preserve"> </w:t>
      </w:r>
      <w:r>
        <w:rPr>
          <w:rFonts w:ascii="Times New Roman" w:hAnsi="Times New Roman"/>
          <w:sz w:val="24"/>
          <w:szCs w:val="24"/>
        </w:rPr>
        <w:t>фин</w:t>
      </w:r>
      <w:r w:rsidR="004F0EF3">
        <w:rPr>
          <w:rFonts w:ascii="Times New Roman" w:hAnsi="Times New Roman"/>
          <w:sz w:val="24"/>
          <w:szCs w:val="24"/>
        </w:rPr>
        <w:t>”</w:t>
      </w:r>
      <w:r w:rsidR="006969A9" w:rsidRPr="00295637">
        <w:rPr>
          <w:rFonts w:ascii="Times New Roman" w:hAnsi="Times New Roman"/>
          <w:sz w:val="24"/>
          <w:szCs w:val="24"/>
        </w:rPr>
        <w:t xml:space="preserve"> </w:t>
      </w:r>
      <w:r>
        <w:rPr>
          <w:rFonts w:ascii="Times New Roman" w:hAnsi="Times New Roman"/>
          <w:sz w:val="24"/>
          <w:szCs w:val="24"/>
        </w:rPr>
        <w:t>имала</w:t>
      </w:r>
      <w:r w:rsidR="006969A9" w:rsidRPr="00295637">
        <w:rPr>
          <w:rFonts w:ascii="Times New Roman" w:hAnsi="Times New Roman"/>
          <w:sz w:val="24"/>
          <w:szCs w:val="24"/>
        </w:rPr>
        <w:t xml:space="preserve"> </w:t>
      </w:r>
      <w:r>
        <w:rPr>
          <w:rFonts w:ascii="Times New Roman" w:hAnsi="Times New Roman"/>
          <w:sz w:val="24"/>
          <w:szCs w:val="24"/>
        </w:rPr>
        <w:t>је</w:t>
      </w:r>
      <w:r w:rsidR="004F0EF3" w:rsidRPr="00295637">
        <w:rPr>
          <w:rFonts w:ascii="Times New Roman" w:hAnsi="Times New Roman"/>
          <w:sz w:val="24"/>
          <w:szCs w:val="24"/>
        </w:rPr>
        <w:t xml:space="preserve"> </w:t>
      </w:r>
      <w:r>
        <w:rPr>
          <w:rFonts w:ascii="Times New Roman" w:hAnsi="Times New Roman"/>
          <w:sz w:val="24"/>
          <w:szCs w:val="24"/>
        </w:rPr>
        <w:t>за</w:t>
      </w:r>
      <w:r w:rsidR="006969A9" w:rsidRPr="00295637">
        <w:rPr>
          <w:rFonts w:ascii="Times New Roman" w:hAnsi="Times New Roman"/>
          <w:sz w:val="24"/>
          <w:szCs w:val="24"/>
        </w:rPr>
        <w:t xml:space="preserve"> </w:t>
      </w:r>
      <w:r>
        <w:rPr>
          <w:rFonts w:ascii="Times New Roman" w:hAnsi="Times New Roman"/>
          <w:sz w:val="24"/>
          <w:szCs w:val="24"/>
        </w:rPr>
        <w:t>циљ</w:t>
      </w:r>
      <w:r w:rsidR="006969A9" w:rsidRPr="00295637">
        <w:rPr>
          <w:rFonts w:ascii="Times New Roman" w:hAnsi="Times New Roman"/>
          <w:sz w:val="24"/>
          <w:szCs w:val="24"/>
        </w:rPr>
        <w:t xml:space="preserve"> </w:t>
      </w:r>
      <w:r>
        <w:rPr>
          <w:rFonts w:ascii="Times New Roman" w:hAnsi="Times New Roman"/>
          <w:sz w:val="24"/>
          <w:szCs w:val="24"/>
        </w:rPr>
        <w:t>да</w:t>
      </w:r>
      <w:r w:rsidR="006969A9" w:rsidRPr="00295637">
        <w:rPr>
          <w:rFonts w:ascii="Times New Roman" w:hAnsi="Times New Roman"/>
          <w:sz w:val="24"/>
          <w:szCs w:val="24"/>
        </w:rPr>
        <w:t xml:space="preserve"> </w:t>
      </w:r>
      <w:r>
        <w:rPr>
          <w:rFonts w:ascii="Times New Roman" w:hAnsi="Times New Roman"/>
          <w:sz w:val="24"/>
          <w:szCs w:val="24"/>
        </w:rPr>
        <w:t>представници</w:t>
      </w:r>
      <w:r w:rsidR="006969A9" w:rsidRPr="00295637">
        <w:rPr>
          <w:rFonts w:ascii="Times New Roman" w:hAnsi="Times New Roman"/>
          <w:sz w:val="24"/>
          <w:szCs w:val="24"/>
        </w:rPr>
        <w:t xml:space="preserve"> </w:t>
      </w:r>
      <w:r>
        <w:rPr>
          <w:rFonts w:ascii="Times New Roman" w:hAnsi="Times New Roman"/>
          <w:sz w:val="24"/>
          <w:szCs w:val="24"/>
        </w:rPr>
        <w:t>институција</w:t>
      </w:r>
      <w:r w:rsidR="006969A9" w:rsidRPr="00295637">
        <w:rPr>
          <w:rFonts w:ascii="Times New Roman" w:hAnsi="Times New Roman"/>
          <w:sz w:val="24"/>
          <w:szCs w:val="24"/>
        </w:rPr>
        <w:t xml:space="preserve"> </w:t>
      </w:r>
      <w:r>
        <w:rPr>
          <w:rFonts w:ascii="Times New Roman" w:hAnsi="Times New Roman"/>
          <w:sz w:val="24"/>
          <w:szCs w:val="24"/>
        </w:rPr>
        <w:t>и</w:t>
      </w:r>
      <w:r w:rsidR="006969A9" w:rsidRPr="00295637">
        <w:rPr>
          <w:rFonts w:ascii="Times New Roman" w:hAnsi="Times New Roman"/>
          <w:sz w:val="24"/>
          <w:szCs w:val="24"/>
        </w:rPr>
        <w:t xml:space="preserve"> </w:t>
      </w:r>
      <w:r>
        <w:rPr>
          <w:rFonts w:ascii="Times New Roman" w:hAnsi="Times New Roman"/>
          <w:sz w:val="24"/>
          <w:szCs w:val="24"/>
        </w:rPr>
        <w:t>представници</w:t>
      </w:r>
      <w:r w:rsidR="006969A9" w:rsidRPr="00295637">
        <w:rPr>
          <w:rFonts w:ascii="Times New Roman" w:hAnsi="Times New Roman"/>
          <w:sz w:val="24"/>
          <w:szCs w:val="24"/>
        </w:rPr>
        <w:t xml:space="preserve"> </w:t>
      </w:r>
      <w:r>
        <w:rPr>
          <w:rFonts w:ascii="Times New Roman" w:hAnsi="Times New Roman"/>
          <w:sz w:val="24"/>
          <w:szCs w:val="24"/>
        </w:rPr>
        <w:t>НВО</w:t>
      </w:r>
      <w:r w:rsidR="006969A9" w:rsidRPr="00295637">
        <w:rPr>
          <w:rFonts w:ascii="Times New Roman" w:hAnsi="Times New Roman"/>
          <w:sz w:val="24"/>
          <w:szCs w:val="24"/>
        </w:rPr>
        <w:t xml:space="preserve"> </w:t>
      </w:r>
      <w:r>
        <w:rPr>
          <w:rFonts w:ascii="Times New Roman" w:hAnsi="Times New Roman"/>
          <w:sz w:val="24"/>
          <w:szCs w:val="24"/>
        </w:rPr>
        <w:t>сектора</w:t>
      </w:r>
      <w:r w:rsidR="006969A9" w:rsidRPr="00295637">
        <w:rPr>
          <w:rFonts w:ascii="Times New Roman" w:hAnsi="Times New Roman"/>
          <w:sz w:val="24"/>
          <w:szCs w:val="24"/>
        </w:rPr>
        <w:t xml:space="preserve"> </w:t>
      </w:r>
      <w:r>
        <w:rPr>
          <w:rFonts w:ascii="Times New Roman" w:hAnsi="Times New Roman"/>
          <w:sz w:val="24"/>
          <w:szCs w:val="24"/>
        </w:rPr>
        <w:t>говоре</w:t>
      </w:r>
      <w:r w:rsidR="006969A9" w:rsidRPr="00295637">
        <w:rPr>
          <w:rFonts w:ascii="Times New Roman" w:hAnsi="Times New Roman"/>
          <w:sz w:val="24"/>
          <w:szCs w:val="24"/>
        </w:rPr>
        <w:t xml:space="preserve"> </w:t>
      </w:r>
      <w:r>
        <w:rPr>
          <w:rFonts w:ascii="Times New Roman" w:hAnsi="Times New Roman"/>
          <w:sz w:val="24"/>
          <w:szCs w:val="24"/>
        </w:rPr>
        <w:t>на</w:t>
      </w:r>
      <w:r w:rsidR="006969A9" w:rsidRPr="00295637">
        <w:rPr>
          <w:rFonts w:ascii="Times New Roman" w:hAnsi="Times New Roman"/>
          <w:sz w:val="24"/>
          <w:szCs w:val="24"/>
        </w:rPr>
        <w:t xml:space="preserve"> </w:t>
      </w:r>
      <w:r>
        <w:rPr>
          <w:rFonts w:ascii="Times New Roman" w:hAnsi="Times New Roman"/>
          <w:sz w:val="24"/>
          <w:szCs w:val="24"/>
        </w:rPr>
        <w:t>тему</w:t>
      </w:r>
      <w:r w:rsidR="006969A9" w:rsidRPr="00295637">
        <w:rPr>
          <w:rFonts w:ascii="Times New Roman" w:hAnsi="Times New Roman"/>
          <w:sz w:val="24"/>
          <w:szCs w:val="24"/>
        </w:rPr>
        <w:t xml:space="preserve"> </w:t>
      </w:r>
      <w:r>
        <w:rPr>
          <w:rFonts w:ascii="Times New Roman" w:hAnsi="Times New Roman"/>
          <w:sz w:val="24"/>
          <w:szCs w:val="24"/>
        </w:rPr>
        <w:t>насиља</w:t>
      </w:r>
      <w:r w:rsidR="006969A9" w:rsidRPr="00295637">
        <w:rPr>
          <w:rFonts w:ascii="Times New Roman" w:hAnsi="Times New Roman"/>
          <w:sz w:val="24"/>
          <w:szCs w:val="24"/>
        </w:rPr>
        <w:t xml:space="preserve"> </w:t>
      </w:r>
      <w:r>
        <w:rPr>
          <w:rFonts w:ascii="Times New Roman" w:hAnsi="Times New Roman"/>
          <w:sz w:val="24"/>
          <w:szCs w:val="24"/>
        </w:rPr>
        <w:t>у</w:t>
      </w:r>
      <w:r w:rsidR="006969A9" w:rsidRPr="00295637">
        <w:rPr>
          <w:rFonts w:ascii="Times New Roman" w:hAnsi="Times New Roman"/>
          <w:sz w:val="24"/>
          <w:szCs w:val="24"/>
        </w:rPr>
        <w:t xml:space="preserve"> </w:t>
      </w:r>
      <w:r>
        <w:rPr>
          <w:rFonts w:ascii="Times New Roman" w:hAnsi="Times New Roman"/>
          <w:sz w:val="24"/>
          <w:szCs w:val="24"/>
        </w:rPr>
        <w:t>породици</w:t>
      </w:r>
      <w:r w:rsidR="006969A9" w:rsidRPr="00295637">
        <w:rPr>
          <w:rFonts w:ascii="Times New Roman" w:hAnsi="Times New Roman"/>
          <w:sz w:val="24"/>
          <w:szCs w:val="24"/>
        </w:rPr>
        <w:t xml:space="preserve"> </w:t>
      </w:r>
      <w:r>
        <w:rPr>
          <w:rFonts w:ascii="Times New Roman" w:hAnsi="Times New Roman"/>
          <w:sz w:val="24"/>
          <w:szCs w:val="24"/>
        </w:rPr>
        <w:t>и</w:t>
      </w:r>
      <w:r w:rsidR="006969A9" w:rsidRPr="00295637">
        <w:rPr>
          <w:rFonts w:ascii="Times New Roman" w:hAnsi="Times New Roman"/>
          <w:sz w:val="24"/>
          <w:szCs w:val="24"/>
        </w:rPr>
        <w:t xml:space="preserve"> </w:t>
      </w:r>
      <w:r>
        <w:rPr>
          <w:rFonts w:ascii="Times New Roman" w:hAnsi="Times New Roman"/>
          <w:sz w:val="24"/>
          <w:szCs w:val="24"/>
        </w:rPr>
        <w:t>насиља</w:t>
      </w:r>
      <w:r w:rsidR="006969A9" w:rsidRPr="00295637">
        <w:rPr>
          <w:rFonts w:ascii="Times New Roman" w:hAnsi="Times New Roman"/>
          <w:sz w:val="24"/>
          <w:szCs w:val="24"/>
        </w:rPr>
        <w:t xml:space="preserve"> </w:t>
      </w:r>
      <w:r>
        <w:rPr>
          <w:rFonts w:ascii="Times New Roman" w:hAnsi="Times New Roman"/>
          <w:sz w:val="24"/>
          <w:szCs w:val="24"/>
        </w:rPr>
        <w:t>према</w:t>
      </w:r>
      <w:r w:rsidR="006969A9" w:rsidRPr="00295637">
        <w:rPr>
          <w:rFonts w:ascii="Times New Roman" w:hAnsi="Times New Roman"/>
          <w:sz w:val="24"/>
          <w:szCs w:val="24"/>
        </w:rPr>
        <w:t xml:space="preserve"> </w:t>
      </w:r>
      <w:r>
        <w:rPr>
          <w:rFonts w:ascii="Times New Roman" w:hAnsi="Times New Roman"/>
          <w:sz w:val="24"/>
          <w:szCs w:val="24"/>
        </w:rPr>
        <w:t>женама</w:t>
      </w:r>
      <w:r w:rsidR="006969A9" w:rsidRPr="00295637">
        <w:rPr>
          <w:rFonts w:ascii="Times New Roman" w:hAnsi="Times New Roman"/>
          <w:sz w:val="24"/>
          <w:szCs w:val="24"/>
        </w:rPr>
        <w:t xml:space="preserve">, </w:t>
      </w:r>
      <w:r>
        <w:rPr>
          <w:rFonts w:ascii="Times New Roman" w:hAnsi="Times New Roman"/>
          <w:sz w:val="24"/>
          <w:szCs w:val="24"/>
        </w:rPr>
        <w:t>те</w:t>
      </w:r>
      <w:r w:rsidR="006969A9" w:rsidRPr="00295637">
        <w:rPr>
          <w:rFonts w:ascii="Times New Roman" w:hAnsi="Times New Roman"/>
          <w:sz w:val="24"/>
          <w:szCs w:val="24"/>
        </w:rPr>
        <w:t xml:space="preserve"> </w:t>
      </w:r>
      <w:r>
        <w:rPr>
          <w:rFonts w:ascii="Times New Roman" w:hAnsi="Times New Roman"/>
          <w:sz w:val="24"/>
          <w:szCs w:val="24"/>
        </w:rPr>
        <w:t>да</w:t>
      </w:r>
      <w:r w:rsidR="006969A9" w:rsidRPr="00295637">
        <w:rPr>
          <w:rFonts w:ascii="Times New Roman" w:hAnsi="Times New Roman"/>
          <w:sz w:val="24"/>
          <w:szCs w:val="24"/>
        </w:rPr>
        <w:t xml:space="preserve"> </w:t>
      </w:r>
      <w:r>
        <w:rPr>
          <w:rFonts w:ascii="Times New Roman" w:hAnsi="Times New Roman"/>
          <w:sz w:val="24"/>
          <w:szCs w:val="24"/>
        </w:rPr>
        <w:t>у</w:t>
      </w:r>
      <w:r w:rsidR="006969A9" w:rsidRPr="00295637">
        <w:rPr>
          <w:rFonts w:ascii="Times New Roman" w:hAnsi="Times New Roman"/>
          <w:sz w:val="24"/>
          <w:szCs w:val="24"/>
        </w:rPr>
        <w:t xml:space="preserve"> </w:t>
      </w:r>
      <w:r>
        <w:rPr>
          <w:rFonts w:ascii="Times New Roman" w:hAnsi="Times New Roman"/>
          <w:sz w:val="24"/>
          <w:szCs w:val="24"/>
        </w:rPr>
        <w:t>конструктивној</w:t>
      </w:r>
      <w:r w:rsidR="006969A9" w:rsidRPr="00295637">
        <w:rPr>
          <w:rFonts w:ascii="Times New Roman" w:hAnsi="Times New Roman"/>
          <w:sz w:val="24"/>
          <w:szCs w:val="24"/>
        </w:rPr>
        <w:t xml:space="preserve"> </w:t>
      </w:r>
      <w:r>
        <w:rPr>
          <w:rFonts w:ascii="Times New Roman" w:hAnsi="Times New Roman"/>
          <w:sz w:val="24"/>
          <w:szCs w:val="24"/>
        </w:rPr>
        <w:t>дискусији</w:t>
      </w:r>
      <w:r w:rsidR="006969A9" w:rsidRPr="00295637">
        <w:rPr>
          <w:rFonts w:ascii="Times New Roman" w:hAnsi="Times New Roman"/>
          <w:sz w:val="24"/>
          <w:szCs w:val="24"/>
        </w:rPr>
        <w:t xml:space="preserve"> </w:t>
      </w:r>
      <w:r>
        <w:rPr>
          <w:rFonts w:ascii="Times New Roman" w:hAnsi="Times New Roman"/>
          <w:sz w:val="24"/>
          <w:szCs w:val="24"/>
        </w:rPr>
        <w:t>укажу</w:t>
      </w:r>
      <w:r w:rsidR="006969A9" w:rsidRPr="00295637">
        <w:rPr>
          <w:rFonts w:ascii="Times New Roman" w:hAnsi="Times New Roman"/>
          <w:sz w:val="24"/>
          <w:szCs w:val="24"/>
        </w:rPr>
        <w:t xml:space="preserve"> </w:t>
      </w:r>
      <w:r>
        <w:rPr>
          <w:rFonts w:ascii="Times New Roman" w:hAnsi="Times New Roman"/>
          <w:sz w:val="24"/>
          <w:szCs w:val="24"/>
        </w:rPr>
        <w:t>на</w:t>
      </w:r>
      <w:r w:rsidR="006969A9" w:rsidRPr="00295637">
        <w:rPr>
          <w:rFonts w:ascii="Times New Roman" w:hAnsi="Times New Roman"/>
          <w:sz w:val="24"/>
          <w:szCs w:val="24"/>
        </w:rPr>
        <w:t xml:space="preserve"> </w:t>
      </w:r>
      <w:r>
        <w:rPr>
          <w:rFonts w:ascii="Times New Roman" w:hAnsi="Times New Roman"/>
          <w:sz w:val="24"/>
          <w:szCs w:val="24"/>
        </w:rPr>
        <w:t>узроке</w:t>
      </w:r>
      <w:r w:rsidR="006969A9" w:rsidRPr="00295637">
        <w:rPr>
          <w:rFonts w:ascii="Times New Roman" w:hAnsi="Times New Roman"/>
          <w:sz w:val="24"/>
          <w:szCs w:val="24"/>
        </w:rPr>
        <w:t xml:space="preserve"> </w:t>
      </w:r>
      <w:r>
        <w:rPr>
          <w:rFonts w:ascii="Times New Roman" w:hAnsi="Times New Roman"/>
          <w:sz w:val="24"/>
          <w:szCs w:val="24"/>
        </w:rPr>
        <w:t>и</w:t>
      </w:r>
      <w:r w:rsidR="006969A9" w:rsidRPr="00295637">
        <w:rPr>
          <w:rFonts w:ascii="Times New Roman" w:hAnsi="Times New Roman"/>
          <w:sz w:val="24"/>
          <w:szCs w:val="24"/>
        </w:rPr>
        <w:t xml:space="preserve"> </w:t>
      </w:r>
      <w:r>
        <w:rPr>
          <w:rFonts w:ascii="Times New Roman" w:hAnsi="Times New Roman"/>
          <w:sz w:val="24"/>
          <w:szCs w:val="24"/>
        </w:rPr>
        <w:t>рјешења</w:t>
      </w:r>
      <w:r w:rsidR="006969A9" w:rsidRPr="00295637">
        <w:rPr>
          <w:rFonts w:ascii="Times New Roman" w:hAnsi="Times New Roman"/>
          <w:sz w:val="24"/>
          <w:szCs w:val="24"/>
        </w:rPr>
        <w:t xml:space="preserve"> </w:t>
      </w:r>
      <w:r>
        <w:rPr>
          <w:rFonts w:ascii="Times New Roman" w:hAnsi="Times New Roman"/>
          <w:sz w:val="24"/>
          <w:szCs w:val="24"/>
        </w:rPr>
        <w:t>тог</w:t>
      </w:r>
      <w:r w:rsidR="006969A9" w:rsidRPr="00295637">
        <w:rPr>
          <w:rFonts w:ascii="Times New Roman" w:hAnsi="Times New Roman"/>
          <w:sz w:val="24"/>
          <w:szCs w:val="24"/>
        </w:rPr>
        <w:t xml:space="preserve"> </w:t>
      </w:r>
      <w:r>
        <w:rPr>
          <w:rFonts w:ascii="Times New Roman" w:hAnsi="Times New Roman"/>
          <w:sz w:val="24"/>
          <w:szCs w:val="24"/>
        </w:rPr>
        <w:t>проблема</w:t>
      </w:r>
      <w:r w:rsidR="006969A9" w:rsidRPr="00295637">
        <w:rPr>
          <w:rFonts w:ascii="Times New Roman" w:hAnsi="Times New Roman"/>
          <w:sz w:val="24"/>
          <w:szCs w:val="24"/>
        </w:rPr>
        <w:t xml:space="preserve"> </w:t>
      </w:r>
      <w:r>
        <w:rPr>
          <w:rFonts w:ascii="Times New Roman" w:hAnsi="Times New Roman"/>
          <w:sz w:val="24"/>
          <w:szCs w:val="24"/>
        </w:rPr>
        <w:t>и</w:t>
      </w:r>
      <w:r w:rsidR="006969A9" w:rsidRPr="00295637">
        <w:rPr>
          <w:rFonts w:ascii="Times New Roman" w:hAnsi="Times New Roman"/>
          <w:sz w:val="24"/>
          <w:szCs w:val="24"/>
        </w:rPr>
        <w:t xml:space="preserve"> </w:t>
      </w:r>
      <w:r>
        <w:rPr>
          <w:rFonts w:ascii="Times New Roman" w:hAnsi="Times New Roman"/>
          <w:sz w:val="24"/>
          <w:szCs w:val="24"/>
        </w:rPr>
        <w:t>дају</w:t>
      </w:r>
      <w:r w:rsidR="006969A9" w:rsidRPr="00295637">
        <w:rPr>
          <w:rFonts w:ascii="Times New Roman" w:hAnsi="Times New Roman"/>
          <w:sz w:val="24"/>
          <w:szCs w:val="24"/>
        </w:rPr>
        <w:t xml:space="preserve"> </w:t>
      </w:r>
      <w:r>
        <w:rPr>
          <w:rFonts w:ascii="Times New Roman" w:hAnsi="Times New Roman"/>
          <w:sz w:val="24"/>
          <w:szCs w:val="24"/>
        </w:rPr>
        <w:t>допринос</w:t>
      </w:r>
      <w:r w:rsidR="006969A9" w:rsidRPr="00295637">
        <w:rPr>
          <w:rFonts w:ascii="Times New Roman" w:hAnsi="Times New Roman"/>
          <w:sz w:val="24"/>
          <w:szCs w:val="24"/>
        </w:rPr>
        <w:t xml:space="preserve"> </w:t>
      </w:r>
      <w:r>
        <w:rPr>
          <w:rFonts w:ascii="Times New Roman" w:hAnsi="Times New Roman"/>
          <w:sz w:val="24"/>
          <w:szCs w:val="24"/>
        </w:rPr>
        <w:t>у</w:t>
      </w:r>
      <w:r w:rsidR="006969A9" w:rsidRPr="00295637">
        <w:rPr>
          <w:rFonts w:ascii="Times New Roman" w:hAnsi="Times New Roman"/>
          <w:sz w:val="24"/>
          <w:szCs w:val="24"/>
        </w:rPr>
        <w:t xml:space="preserve"> </w:t>
      </w:r>
      <w:r>
        <w:rPr>
          <w:rFonts w:ascii="Times New Roman" w:hAnsi="Times New Roman"/>
          <w:sz w:val="24"/>
          <w:szCs w:val="24"/>
        </w:rPr>
        <w:t>процесу</w:t>
      </w:r>
      <w:r w:rsidR="006969A9" w:rsidRPr="00295637">
        <w:rPr>
          <w:rFonts w:ascii="Times New Roman" w:hAnsi="Times New Roman"/>
          <w:sz w:val="24"/>
          <w:szCs w:val="24"/>
        </w:rPr>
        <w:t xml:space="preserve"> </w:t>
      </w:r>
      <w:r>
        <w:rPr>
          <w:rFonts w:ascii="Times New Roman" w:hAnsi="Times New Roman"/>
          <w:sz w:val="24"/>
          <w:szCs w:val="24"/>
        </w:rPr>
        <w:t>подизања</w:t>
      </w:r>
      <w:r w:rsidR="006969A9" w:rsidRPr="00295637">
        <w:rPr>
          <w:rFonts w:ascii="Times New Roman" w:hAnsi="Times New Roman"/>
          <w:sz w:val="24"/>
          <w:szCs w:val="24"/>
        </w:rPr>
        <w:t xml:space="preserve"> </w:t>
      </w:r>
      <w:r>
        <w:rPr>
          <w:rFonts w:ascii="Times New Roman" w:hAnsi="Times New Roman"/>
          <w:sz w:val="24"/>
          <w:szCs w:val="24"/>
        </w:rPr>
        <w:t>свијести</w:t>
      </w:r>
      <w:r w:rsidR="00DC4A18">
        <w:rPr>
          <w:rFonts w:ascii="Times New Roman" w:hAnsi="Times New Roman"/>
          <w:sz w:val="24"/>
          <w:szCs w:val="24"/>
        </w:rPr>
        <w:t xml:space="preserve"> </w:t>
      </w:r>
      <w:r>
        <w:rPr>
          <w:rFonts w:ascii="Times New Roman" w:hAnsi="Times New Roman"/>
          <w:sz w:val="24"/>
          <w:szCs w:val="24"/>
        </w:rPr>
        <w:t>о</w:t>
      </w:r>
      <w:r w:rsidR="00DC4A18">
        <w:rPr>
          <w:rFonts w:ascii="Times New Roman" w:hAnsi="Times New Roman"/>
          <w:sz w:val="24"/>
          <w:szCs w:val="24"/>
        </w:rPr>
        <w:t xml:space="preserve"> </w:t>
      </w:r>
      <w:r>
        <w:rPr>
          <w:rFonts w:ascii="Times New Roman" w:hAnsi="Times New Roman"/>
          <w:sz w:val="24"/>
          <w:szCs w:val="24"/>
        </w:rPr>
        <w:t>овом</w:t>
      </w:r>
      <w:r w:rsidR="00DC4A18">
        <w:rPr>
          <w:rFonts w:ascii="Times New Roman" w:hAnsi="Times New Roman"/>
          <w:sz w:val="24"/>
          <w:szCs w:val="24"/>
        </w:rPr>
        <w:t xml:space="preserve"> </w:t>
      </w:r>
      <w:r>
        <w:rPr>
          <w:rFonts w:ascii="Times New Roman" w:hAnsi="Times New Roman"/>
          <w:sz w:val="24"/>
          <w:szCs w:val="24"/>
        </w:rPr>
        <w:t>питању</w:t>
      </w:r>
      <w:r w:rsidR="00DC4A18">
        <w:rPr>
          <w:rFonts w:ascii="Times New Roman" w:hAnsi="Times New Roman"/>
          <w:sz w:val="24"/>
          <w:szCs w:val="24"/>
        </w:rPr>
        <w:t>.</w:t>
      </w:r>
      <w:r w:rsidR="004F0EF3">
        <w:rPr>
          <w:rFonts w:ascii="Times New Roman" w:hAnsi="Times New Roman"/>
          <w:sz w:val="24"/>
          <w:szCs w:val="24"/>
        </w:rPr>
        <w:t> </w:t>
      </w:r>
      <w:r>
        <w:rPr>
          <w:rFonts w:ascii="Times New Roman" w:hAnsi="Times New Roman"/>
          <w:sz w:val="24"/>
          <w:szCs w:val="24"/>
        </w:rPr>
        <w:t>Наиме</w:t>
      </w:r>
      <w:r w:rsidR="004F0EF3">
        <w:rPr>
          <w:rFonts w:ascii="Times New Roman" w:hAnsi="Times New Roman"/>
          <w:sz w:val="24"/>
          <w:szCs w:val="24"/>
        </w:rPr>
        <w:t xml:space="preserve">, </w:t>
      </w:r>
      <w:r>
        <w:rPr>
          <w:rFonts w:ascii="Times New Roman" w:hAnsi="Times New Roman"/>
          <w:sz w:val="24"/>
          <w:szCs w:val="24"/>
        </w:rPr>
        <w:t>пројекат</w:t>
      </w:r>
      <w:r w:rsidR="004F0EF3">
        <w:rPr>
          <w:rFonts w:ascii="Times New Roman" w:hAnsi="Times New Roman"/>
          <w:sz w:val="24"/>
          <w:szCs w:val="24"/>
        </w:rPr>
        <w:t xml:space="preserve"> “</w:t>
      </w:r>
      <w:r>
        <w:rPr>
          <w:rFonts w:ascii="Times New Roman" w:hAnsi="Times New Roman"/>
          <w:sz w:val="24"/>
          <w:szCs w:val="24"/>
        </w:rPr>
        <w:t>Проговори</w:t>
      </w:r>
      <w:r w:rsidR="004F0EF3">
        <w:rPr>
          <w:rFonts w:ascii="Times New Roman" w:hAnsi="Times New Roman"/>
          <w:sz w:val="24"/>
          <w:szCs w:val="24"/>
        </w:rPr>
        <w:t>!”</w:t>
      </w:r>
      <w:r w:rsidR="006969A9" w:rsidRPr="00295637">
        <w:rPr>
          <w:rFonts w:ascii="Times New Roman" w:hAnsi="Times New Roman"/>
          <w:sz w:val="24"/>
          <w:szCs w:val="24"/>
        </w:rPr>
        <w:t xml:space="preserve"> </w:t>
      </w:r>
      <w:r>
        <w:rPr>
          <w:rFonts w:ascii="Times New Roman" w:hAnsi="Times New Roman"/>
          <w:sz w:val="24"/>
          <w:szCs w:val="24"/>
        </w:rPr>
        <w:t>Покрета</w:t>
      </w:r>
      <w:r w:rsidR="006969A9" w:rsidRPr="00295637">
        <w:rPr>
          <w:rFonts w:ascii="Times New Roman" w:hAnsi="Times New Roman"/>
          <w:sz w:val="24"/>
          <w:szCs w:val="24"/>
        </w:rPr>
        <w:t xml:space="preserve"> </w:t>
      </w:r>
      <w:r>
        <w:rPr>
          <w:rFonts w:ascii="Times New Roman" w:hAnsi="Times New Roman"/>
          <w:sz w:val="24"/>
          <w:szCs w:val="24"/>
        </w:rPr>
        <w:t>за</w:t>
      </w:r>
      <w:r w:rsidR="006969A9" w:rsidRPr="00295637">
        <w:rPr>
          <w:rFonts w:ascii="Times New Roman" w:hAnsi="Times New Roman"/>
          <w:sz w:val="24"/>
          <w:szCs w:val="24"/>
        </w:rPr>
        <w:t xml:space="preserve"> </w:t>
      </w:r>
      <w:r>
        <w:rPr>
          <w:rFonts w:ascii="Times New Roman" w:hAnsi="Times New Roman"/>
          <w:sz w:val="24"/>
          <w:szCs w:val="24"/>
        </w:rPr>
        <w:t>друштвени</w:t>
      </w:r>
      <w:r w:rsidR="004F0EF3">
        <w:rPr>
          <w:rFonts w:ascii="Times New Roman" w:hAnsi="Times New Roman"/>
          <w:sz w:val="24"/>
          <w:szCs w:val="24"/>
        </w:rPr>
        <w:t xml:space="preserve"> </w:t>
      </w:r>
      <w:r>
        <w:rPr>
          <w:rFonts w:ascii="Times New Roman" w:hAnsi="Times New Roman"/>
          <w:sz w:val="24"/>
          <w:szCs w:val="24"/>
        </w:rPr>
        <w:t>развој</w:t>
      </w:r>
      <w:r w:rsidR="004F0EF3">
        <w:rPr>
          <w:rFonts w:ascii="Times New Roman" w:hAnsi="Times New Roman"/>
          <w:sz w:val="24"/>
          <w:szCs w:val="24"/>
        </w:rPr>
        <w:t xml:space="preserve"> </w:t>
      </w:r>
      <w:r>
        <w:rPr>
          <w:rFonts w:ascii="Times New Roman" w:hAnsi="Times New Roman"/>
          <w:sz w:val="24"/>
          <w:szCs w:val="24"/>
        </w:rPr>
        <w:t>и</w:t>
      </w:r>
      <w:r w:rsidR="004F0EF3">
        <w:rPr>
          <w:rFonts w:ascii="Times New Roman" w:hAnsi="Times New Roman"/>
          <w:sz w:val="24"/>
          <w:szCs w:val="24"/>
        </w:rPr>
        <w:t xml:space="preserve"> </w:t>
      </w:r>
      <w:r>
        <w:rPr>
          <w:rFonts w:ascii="Times New Roman" w:hAnsi="Times New Roman"/>
          <w:sz w:val="24"/>
          <w:szCs w:val="24"/>
        </w:rPr>
        <w:t>културни</w:t>
      </w:r>
      <w:r w:rsidR="004F0EF3">
        <w:rPr>
          <w:rFonts w:ascii="Times New Roman" w:hAnsi="Times New Roman"/>
          <w:sz w:val="24"/>
          <w:szCs w:val="24"/>
        </w:rPr>
        <w:t xml:space="preserve"> </w:t>
      </w:r>
      <w:r>
        <w:rPr>
          <w:rFonts w:ascii="Times New Roman" w:hAnsi="Times New Roman"/>
          <w:sz w:val="24"/>
          <w:szCs w:val="24"/>
        </w:rPr>
        <w:t>интегритет</w:t>
      </w:r>
      <w:r w:rsidR="004F0EF3">
        <w:rPr>
          <w:rFonts w:ascii="Times New Roman" w:hAnsi="Times New Roman"/>
          <w:sz w:val="24"/>
          <w:szCs w:val="24"/>
        </w:rPr>
        <w:t xml:space="preserve"> “</w:t>
      </w:r>
      <w:r>
        <w:rPr>
          <w:rFonts w:ascii="Times New Roman" w:hAnsi="Times New Roman"/>
          <w:sz w:val="24"/>
          <w:szCs w:val="24"/>
        </w:rPr>
        <w:t>Красива</w:t>
      </w:r>
      <w:r w:rsidR="004F0EF3">
        <w:rPr>
          <w:rFonts w:ascii="Times New Roman" w:hAnsi="Times New Roman"/>
          <w:sz w:val="24"/>
          <w:szCs w:val="24"/>
        </w:rPr>
        <w:t>”</w:t>
      </w:r>
      <w:r w:rsidR="006969A9" w:rsidRPr="00295637">
        <w:rPr>
          <w:rFonts w:ascii="Times New Roman" w:hAnsi="Times New Roman"/>
          <w:sz w:val="24"/>
          <w:szCs w:val="24"/>
        </w:rPr>
        <w:t xml:space="preserve"> </w:t>
      </w:r>
      <w:r>
        <w:rPr>
          <w:rFonts w:ascii="Times New Roman" w:hAnsi="Times New Roman"/>
          <w:sz w:val="24"/>
          <w:szCs w:val="24"/>
        </w:rPr>
        <w:t>из</w:t>
      </w:r>
      <w:r w:rsidR="006969A9" w:rsidRPr="00295637">
        <w:rPr>
          <w:rFonts w:ascii="Times New Roman" w:hAnsi="Times New Roman"/>
          <w:sz w:val="24"/>
          <w:szCs w:val="24"/>
        </w:rPr>
        <w:t xml:space="preserve"> </w:t>
      </w:r>
      <w:r>
        <w:rPr>
          <w:rFonts w:ascii="Times New Roman" w:hAnsi="Times New Roman"/>
          <w:sz w:val="24"/>
          <w:szCs w:val="24"/>
        </w:rPr>
        <w:t>Бање</w:t>
      </w:r>
      <w:r w:rsidR="006969A9" w:rsidRPr="00295637">
        <w:rPr>
          <w:rFonts w:ascii="Times New Roman" w:hAnsi="Times New Roman"/>
          <w:sz w:val="24"/>
          <w:szCs w:val="24"/>
        </w:rPr>
        <w:t xml:space="preserve"> </w:t>
      </w:r>
      <w:r>
        <w:rPr>
          <w:rFonts w:ascii="Times New Roman" w:hAnsi="Times New Roman"/>
          <w:sz w:val="24"/>
          <w:szCs w:val="24"/>
        </w:rPr>
        <w:t>Луке</w:t>
      </w:r>
      <w:r w:rsidR="006969A9" w:rsidRPr="00295637">
        <w:rPr>
          <w:rFonts w:ascii="Times New Roman" w:hAnsi="Times New Roman"/>
          <w:sz w:val="24"/>
          <w:szCs w:val="24"/>
        </w:rPr>
        <w:t xml:space="preserve">, </w:t>
      </w:r>
      <w:r>
        <w:rPr>
          <w:rFonts w:ascii="Times New Roman" w:hAnsi="Times New Roman"/>
          <w:sz w:val="24"/>
          <w:szCs w:val="24"/>
        </w:rPr>
        <w:t>подржан</w:t>
      </w:r>
      <w:r w:rsidR="006969A9" w:rsidRPr="00295637">
        <w:rPr>
          <w:rFonts w:ascii="Times New Roman" w:hAnsi="Times New Roman"/>
          <w:sz w:val="24"/>
          <w:szCs w:val="24"/>
        </w:rPr>
        <w:t xml:space="preserve"> </w:t>
      </w:r>
      <w:r>
        <w:rPr>
          <w:rFonts w:ascii="Times New Roman" w:hAnsi="Times New Roman"/>
          <w:sz w:val="24"/>
          <w:szCs w:val="24"/>
        </w:rPr>
        <w:t>је</w:t>
      </w:r>
      <w:r w:rsidR="006969A9" w:rsidRPr="00295637">
        <w:rPr>
          <w:rFonts w:ascii="Times New Roman" w:hAnsi="Times New Roman"/>
          <w:sz w:val="24"/>
          <w:szCs w:val="24"/>
        </w:rPr>
        <w:t xml:space="preserve"> </w:t>
      </w:r>
      <w:r>
        <w:rPr>
          <w:rFonts w:ascii="Times New Roman" w:hAnsi="Times New Roman"/>
          <w:sz w:val="24"/>
          <w:szCs w:val="24"/>
        </w:rPr>
        <w:t>од</w:t>
      </w:r>
      <w:r w:rsidR="006969A9" w:rsidRPr="00295637">
        <w:rPr>
          <w:rFonts w:ascii="Times New Roman" w:hAnsi="Times New Roman"/>
          <w:sz w:val="24"/>
          <w:szCs w:val="24"/>
        </w:rPr>
        <w:t xml:space="preserve"> </w:t>
      </w:r>
      <w:r>
        <w:rPr>
          <w:rFonts w:ascii="Times New Roman" w:hAnsi="Times New Roman"/>
          <w:sz w:val="24"/>
          <w:szCs w:val="24"/>
        </w:rPr>
        <w:t>амбасаде</w:t>
      </w:r>
      <w:r w:rsidR="006969A9" w:rsidRPr="00295637">
        <w:rPr>
          <w:rFonts w:ascii="Times New Roman" w:hAnsi="Times New Roman"/>
          <w:sz w:val="24"/>
          <w:szCs w:val="24"/>
        </w:rPr>
        <w:t xml:space="preserve"> </w:t>
      </w:r>
      <w:r>
        <w:rPr>
          <w:rFonts w:ascii="Times New Roman" w:hAnsi="Times New Roman"/>
          <w:sz w:val="24"/>
          <w:szCs w:val="24"/>
        </w:rPr>
        <w:t>Аустрије</w:t>
      </w:r>
      <w:r w:rsidR="006969A9" w:rsidRPr="00295637">
        <w:rPr>
          <w:rFonts w:ascii="Times New Roman" w:hAnsi="Times New Roman"/>
          <w:sz w:val="24"/>
          <w:szCs w:val="24"/>
        </w:rPr>
        <w:t xml:space="preserve"> </w:t>
      </w:r>
      <w:r>
        <w:rPr>
          <w:rFonts w:ascii="Times New Roman" w:hAnsi="Times New Roman"/>
          <w:sz w:val="24"/>
          <w:szCs w:val="24"/>
        </w:rPr>
        <w:t>у</w:t>
      </w:r>
      <w:r w:rsidR="006969A9" w:rsidRPr="00295637">
        <w:rPr>
          <w:rFonts w:ascii="Times New Roman" w:hAnsi="Times New Roman"/>
          <w:sz w:val="24"/>
          <w:szCs w:val="24"/>
        </w:rPr>
        <w:t xml:space="preserve"> </w:t>
      </w:r>
      <w:r>
        <w:rPr>
          <w:rFonts w:ascii="Times New Roman" w:hAnsi="Times New Roman"/>
          <w:sz w:val="24"/>
          <w:szCs w:val="24"/>
        </w:rPr>
        <w:t>БиХ</w:t>
      </w:r>
      <w:r w:rsidR="006969A9" w:rsidRPr="00295637">
        <w:rPr>
          <w:rFonts w:ascii="Times New Roman" w:hAnsi="Times New Roman"/>
          <w:sz w:val="24"/>
          <w:szCs w:val="24"/>
        </w:rPr>
        <w:t xml:space="preserve"> </w:t>
      </w:r>
      <w:r>
        <w:rPr>
          <w:rFonts w:ascii="Times New Roman" w:hAnsi="Times New Roman"/>
          <w:sz w:val="24"/>
          <w:szCs w:val="24"/>
        </w:rPr>
        <w:t>и</w:t>
      </w:r>
      <w:r w:rsidR="006969A9" w:rsidRPr="00295637">
        <w:rPr>
          <w:rFonts w:ascii="Times New Roman" w:hAnsi="Times New Roman"/>
          <w:sz w:val="24"/>
          <w:szCs w:val="24"/>
        </w:rPr>
        <w:t xml:space="preserve"> </w:t>
      </w:r>
      <w:r w:rsidR="00241CCB">
        <w:rPr>
          <w:rFonts w:ascii="Times New Roman" w:hAnsi="Times New Roman"/>
          <w:sz w:val="24"/>
          <w:szCs w:val="24"/>
          <w:lang w:val="bs-Cyrl-BA"/>
        </w:rPr>
        <w:t>„</w:t>
      </w:r>
      <w:r>
        <w:rPr>
          <w:rFonts w:ascii="Times New Roman" w:hAnsi="Times New Roman"/>
          <w:sz w:val="24"/>
          <w:szCs w:val="24"/>
        </w:rPr>
        <w:t>Клуба</w:t>
      </w:r>
      <w:r w:rsidR="006969A9" w:rsidRPr="00295637">
        <w:rPr>
          <w:rFonts w:ascii="Times New Roman" w:hAnsi="Times New Roman"/>
          <w:sz w:val="24"/>
          <w:szCs w:val="24"/>
        </w:rPr>
        <w:t xml:space="preserve"> 0.7</w:t>
      </w:r>
      <w:r w:rsidR="00241CCB">
        <w:rPr>
          <w:rFonts w:ascii="Times New Roman" w:hAnsi="Times New Roman"/>
          <w:sz w:val="24"/>
          <w:szCs w:val="24"/>
          <w:lang w:val="bs-Cyrl-BA"/>
        </w:rPr>
        <w:t>“</w:t>
      </w:r>
      <w:r w:rsidR="006969A9" w:rsidRPr="00295637">
        <w:rPr>
          <w:rFonts w:ascii="Times New Roman" w:hAnsi="Times New Roman"/>
          <w:sz w:val="24"/>
          <w:szCs w:val="24"/>
        </w:rPr>
        <w:t xml:space="preserve"> </w:t>
      </w:r>
      <w:r>
        <w:rPr>
          <w:rFonts w:ascii="Times New Roman" w:hAnsi="Times New Roman"/>
          <w:sz w:val="24"/>
          <w:szCs w:val="24"/>
        </w:rPr>
        <w:t>Министарства</w:t>
      </w:r>
      <w:r w:rsidR="006969A9" w:rsidRPr="00295637">
        <w:rPr>
          <w:rFonts w:ascii="Times New Roman" w:hAnsi="Times New Roman"/>
          <w:sz w:val="24"/>
          <w:szCs w:val="24"/>
        </w:rPr>
        <w:t xml:space="preserve"> </w:t>
      </w:r>
      <w:r w:rsidR="007A6AD7">
        <w:rPr>
          <w:rFonts w:ascii="Times New Roman" w:hAnsi="Times New Roman"/>
          <w:sz w:val="24"/>
          <w:szCs w:val="24"/>
          <w:lang w:val="sr-Cyrl-BA"/>
        </w:rPr>
        <w:t>спољних</w:t>
      </w:r>
      <w:r w:rsidR="006969A9" w:rsidRPr="00295637">
        <w:rPr>
          <w:rFonts w:ascii="Times New Roman" w:hAnsi="Times New Roman"/>
          <w:sz w:val="24"/>
          <w:szCs w:val="24"/>
        </w:rPr>
        <w:t xml:space="preserve"> </w:t>
      </w:r>
      <w:r>
        <w:rPr>
          <w:rFonts w:ascii="Times New Roman" w:hAnsi="Times New Roman"/>
          <w:sz w:val="24"/>
          <w:szCs w:val="24"/>
        </w:rPr>
        <w:t>послова</w:t>
      </w:r>
      <w:r w:rsidR="006969A9" w:rsidRPr="00295637">
        <w:rPr>
          <w:rFonts w:ascii="Times New Roman" w:hAnsi="Times New Roman"/>
          <w:sz w:val="24"/>
          <w:szCs w:val="24"/>
        </w:rPr>
        <w:t xml:space="preserve"> </w:t>
      </w:r>
      <w:r>
        <w:rPr>
          <w:rFonts w:ascii="Times New Roman" w:hAnsi="Times New Roman"/>
          <w:sz w:val="24"/>
          <w:szCs w:val="24"/>
        </w:rPr>
        <w:t>Аустрије</w:t>
      </w:r>
      <w:r w:rsidR="006969A9" w:rsidRPr="00295637">
        <w:rPr>
          <w:rFonts w:ascii="Times New Roman" w:hAnsi="Times New Roman"/>
          <w:sz w:val="24"/>
          <w:szCs w:val="24"/>
        </w:rPr>
        <w:t xml:space="preserve"> </w:t>
      </w:r>
      <w:r>
        <w:rPr>
          <w:rFonts w:ascii="Times New Roman" w:hAnsi="Times New Roman"/>
          <w:sz w:val="24"/>
          <w:szCs w:val="24"/>
        </w:rPr>
        <w:t>за</w:t>
      </w:r>
      <w:r w:rsidR="006969A9" w:rsidRPr="00295637">
        <w:rPr>
          <w:rFonts w:ascii="Times New Roman" w:hAnsi="Times New Roman"/>
          <w:sz w:val="24"/>
          <w:szCs w:val="24"/>
        </w:rPr>
        <w:t xml:space="preserve"> </w:t>
      </w:r>
      <w:r>
        <w:rPr>
          <w:rFonts w:ascii="Times New Roman" w:hAnsi="Times New Roman"/>
          <w:sz w:val="24"/>
          <w:szCs w:val="24"/>
        </w:rPr>
        <w:t>циљ</w:t>
      </w:r>
      <w:r w:rsidR="006969A9" w:rsidRPr="00295637">
        <w:rPr>
          <w:rFonts w:ascii="Times New Roman" w:hAnsi="Times New Roman"/>
          <w:sz w:val="24"/>
          <w:szCs w:val="24"/>
        </w:rPr>
        <w:t xml:space="preserve"> </w:t>
      </w:r>
      <w:r>
        <w:rPr>
          <w:rFonts w:ascii="Times New Roman" w:hAnsi="Times New Roman"/>
          <w:sz w:val="24"/>
          <w:szCs w:val="24"/>
        </w:rPr>
        <w:t>има</w:t>
      </w:r>
      <w:r w:rsidR="006969A9" w:rsidRPr="00295637">
        <w:rPr>
          <w:rFonts w:ascii="Times New Roman" w:hAnsi="Times New Roman"/>
          <w:sz w:val="24"/>
          <w:szCs w:val="24"/>
        </w:rPr>
        <w:t xml:space="preserve"> </w:t>
      </w:r>
      <w:r>
        <w:rPr>
          <w:rFonts w:ascii="Times New Roman" w:hAnsi="Times New Roman"/>
          <w:sz w:val="24"/>
          <w:szCs w:val="24"/>
        </w:rPr>
        <w:t>организацију</w:t>
      </w:r>
      <w:r w:rsidR="006969A9" w:rsidRPr="00295637">
        <w:rPr>
          <w:rFonts w:ascii="Times New Roman" w:hAnsi="Times New Roman"/>
          <w:sz w:val="24"/>
          <w:szCs w:val="24"/>
        </w:rPr>
        <w:t xml:space="preserve"> </w:t>
      </w:r>
      <w:r w:rsidR="00241CCB">
        <w:rPr>
          <w:rFonts w:ascii="Times New Roman" w:hAnsi="Times New Roman"/>
          <w:sz w:val="24"/>
          <w:szCs w:val="24"/>
          <w:lang w:val="bs-Cyrl-BA"/>
        </w:rPr>
        <w:t>три</w:t>
      </w:r>
      <w:r w:rsidR="006969A9" w:rsidRPr="00295637">
        <w:rPr>
          <w:rFonts w:ascii="Times New Roman" w:hAnsi="Times New Roman"/>
          <w:sz w:val="24"/>
          <w:szCs w:val="24"/>
        </w:rPr>
        <w:t xml:space="preserve"> </w:t>
      </w:r>
      <w:r>
        <w:rPr>
          <w:rFonts w:ascii="Times New Roman" w:hAnsi="Times New Roman"/>
          <w:sz w:val="24"/>
          <w:szCs w:val="24"/>
        </w:rPr>
        <w:t>панел</w:t>
      </w:r>
      <w:r w:rsidR="00241CCB">
        <w:rPr>
          <w:rFonts w:ascii="Times New Roman" w:hAnsi="Times New Roman"/>
          <w:sz w:val="24"/>
          <w:szCs w:val="24"/>
          <w:lang w:val="bs-Cyrl-BA"/>
        </w:rPr>
        <w:t>-</w:t>
      </w:r>
      <w:r w:rsidR="006969A9" w:rsidRPr="00295637">
        <w:rPr>
          <w:rFonts w:ascii="Times New Roman" w:hAnsi="Times New Roman"/>
          <w:sz w:val="24"/>
          <w:szCs w:val="24"/>
        </w:rPr>
        <w:t xml:space="preserve"> </w:t>
      </w:r>
      <w:r>
        <w:rPr>
          <w:rFonts w:ascii="Times New Roman" w:hAnsi="Times New Roman"/>
          <w:sz w:val="24"/>
          <w:szCs w:val="24"/>
        </w:rPr>
        <w:t>дискусије</w:t>
      </w:r>
      <w:r w:rsidR="006969A9" w:rsidRPr="00295637">
        <w:rPr>
          <w:rFonts w:ascii="Times New Roman" w:hAnsi="Times New Roman"/>
          <w:sz w:val="24"/>
          <w:szCs w:val="24"/>
        </w:rPr>
        <w:t xml:space="preserve"> </w:t>
      </w:r>
      <w:r>
        <w:rPr>
          <w:rFonts w:ascii="Times New Roman" w:hAnsi="Times New Roman"/>
          <w:sz w:val="24"/>
          <w:szCs w:val="24"/>
        </w:rPr>
        <w:t>чији</w:t>
      </w:r>
      <w:r w:rsidR="006969A9" w:rsidRPr="00295637">
        <w:rPr>
          <w:rFonts w:ascii="Times New Roman" w:hAnsi="Times New Roman"/>
          <w:sz w:val="24"/>
          <w:szCs w:val="24"/>
        </w:rPr>
        <w:t xml:space="preserve"> </w:t>
      </w:r>
      <w:r>
        <w:rPr>
          <w:rFonts w:ascii="Times New Roman" w:hAnsi="Times New Roman"/>
          <w:sz w:val="24"/>
          <w:szCs w:val="24"/>
        </w:rPr>
        <w:t>је</w:t>
      </w:r>
      <w:r w:rsidR="006969A9" w:rsidRPr="00295637">
        <w:rPr>
          <w:rFonts w:ascii="Times New Roman" w:hAnsi="Times New Roman"/>
          <w:sz w:val="24"/>
          <w:szCs w:val="24"/>
        </w:rPr>
        <w:t xml:space="preserve"> </w:t>
      </w:r>
      <w:r>
        <w:rPr>
          <w:rFonts w:ascii="Times New Roman" w:hAnsi="Times New Roman"/>
          <w:sz w:val="24"/>
          <w:szCs w:val="24"/>
        </w:rPr>
        <w:t>крајњи</w:t>
      </w:r>
      <w:r w:rsidR="006969A9" w:rsidRPr="00295637">
        <w:rPr>
          <w:rFonts w:ascii="Times New Roman" w:hAnsi="Times New Roman"/>
          <w:sz w:val="24"/>
          <w:szCs w:val="24"/>
        </w:rPr>
        <w:t xml:space="preserve"> </w:t>
      </w:r>
      <w:r>
        <w:rPr>
          <w:rFonts w:ascii="Times New Roman" w:hAnsi="Times New Roman"/>
          <w:sz w:val="24"/>
          <w:szCs w:val="24"/>
        </w:rPr>
        <w:t>циљ</w:t>
      </w:r>
      <w:r w:rsidR="006969A9" w:rsidRPr="00295637">
        <w:rPr>
          <w:rFonts w:ascii="Times New Roman" w:hAnsi="Times New Roman"/>
          <w:sz w:val="24"/>
          <w:szCs w:val="24"/>
        </w:rPr>
        <w:t xml:space="preserve"> </w:t>
      </w:r>
      <w:r>
        <w:rPr>
          <w:rFonts w:ascii="Times New Roman" w:hAnsi="Times New Roman"/>
          <w:sz w:val="24"/>
          <w:szCs w:val="24"/>
        </w:rPr>
        <w:t>изградња</w:t>
      </w:r>
      <w:r w:rsidR="006969A9" w:rsidRPr="00295637">
        <w:rPr>
          <w:rFonts w:ascii="Times New Roman" w:hAnsi="Times New Roman"/>
          <w:sz w:val="24"/>
          <w:szCs w:val="24"/>
        </w:rPr>
        <w:t xml:space="preserve"> </w:t>
      </w:r>
      <w:r>
        <w:rPr>
          <w:rFonts w:ascii="Times New Roman" w:hAnsi="Times New Roman"/>
          <w:sz w:val="24"/>
          <w:szCs w:val="24"/>
        </w:rPr>
        <w:t>мреже</w:t>
      </w:r>
      <w:r w:rsidR="006969A9" w:rsidRPr="00295637">
        <w:rPr>
          <w:rFonts w:ascii="Times New Roman" w:hAnsi="Times New Roman"/>
          <w:sz w:val="24"/>
          <w:szCs w:val="24"/>
        </w:rPr>
        <w:t xml:space="preserve"> </w:t>
      </w:r>
      <w:r>
        <w:rPr>
          <w:rFonts w:ascii="Times New Roman" w:hAnsi="Times New Roman"/>
          <w:sz w:val="24"/>
          <w:szCs w:val="24"/>
        </w:rPr>
        <w:t>подршке</w:t>
      </w:r>
      <w:r w:rsidR="006969A9" w:rsidRPr="00295637">
        <w:rPr>
          <w:rFonts w:ascii="Times New Roman" w:hAnsi="Times New Roman"/>
          <w:sz w:val="24"/>
          <w:szCs w:val="24"/>
        </w:rPr>
        <w:t xml:space="preserve"> </w:t>
      </w:r>
      <w:r>
        <w:rPr>
          <w:rFonts w:ascii="Times New Roman" w:hAnsi="Times New Roman"/>
          <w:sz w:val="24"/>
          <w:szCs w:val="24"/>
        </w:rPr>
        <w:t>жена</w:t>
      </w:r>
      <w:r w:rsidR="006969A9" w:rsidRPr="00295637">
        <w:rPr>
          <w:rFonts w:ascii="Times New Roman" w:hAnsi="Times New Roman"/>
          <w:sz w:val="24"/>
          <w:szCs w:val="24"/>
        </w:rPr>
        <w:t xml:space="preserve"> </w:t>
      </w:r>
      <w:r>
        <w:rPr>
          <w:rFonts w:ascii="Times New Roman" w:hAnsi="Times New Roman"/>
          <w:sz w:val="24"/>
          <w:szCs w:val="24"/>
        </w:rPr>
        <w:t>из</w:t>
      </w:r>
      <w:r w:rsidR="006969A9" w:rsidRPr="00295637">
        <w:rPr>
          <w:rFonts w:ascii="Times New Roman" w:hAnsi="Times New Roman"/>
          <w:sz w:val="24"/>
          <w:szCs w:val="24"/>
        </w:rPr>
        <w:t xml:space="preserve"> </w:t>
      </w:r>
      <w:r>
        <w:rPr>
          <w:rFonts w:ascii="Times New Roman" w:hAnsi="Times New Roman"/>
          <w:sz w:val="24"/>
          <w:szCs w:val="24"/>
        </w:rPr>
        <w:t>различитих</w:t>
      </w:r>
      <w:r w:rsidR="006969A9" w:rsidRPr="00295637">
        <w:rPr>
          <w:rFonts w:ascii="Times New Roman" w:hAnsi="Times New Roman"/>
          <w:sz w:val="24"/>
          <w:szCs w:val="24"/>
        </w:rPr>
        <w:t xml:space="preserve"> </w:t>
      </w:r>
      <w:r>
        <w:rPr>
          <w:rFonts w:ascii="Times New Roman" w:hAnsi="Times New Roman"/>
          <w:sz w:val="24"/>
          <w:szCs w:val="24"/>
        </w:rPr>
        <w:t>бранши</w:t>
      </w:r>
      <w:r w:rsidR="006969A9" w:rsidRPr="00295637">
        <w:rPr>
          <w:rFonts w:ascii="Times New Roman" w:hAnsi="Times New Roman"/>
          <w:sz w:val="24"/>
          <w:szCs w:val="24"/>
        </w:rPr>
        <w:t xml:space="preserve"> </w:t>
      </w:r>
      <w:r>
        <w:rPr>
          <w:rFonts w:ascii="Times New Roman" w:hAnsi="Times New Roman"/>
          <w:sz w:val="24"/>
          <w:szCs w:val="24"/>
        </w:rPr>
        <w:t>и</w:t>
      </w:r>
      <w:r w:rsidR="006969A9" w:rsidRPr="00295637">
        <w:rPr>
          <w:rFonts w:ascii="Times New Roman" w:hAnsi="Times New Roman"/>
          <w:sz w:val="24"/>
          <w:szCs w:val="24"/>
        </w:rPr>
        <w:t xml:space="preserve"> </w:t>
      </w:r>
      <w:r>
        <w:rPr>
          <w:rFonts w:ascii="Times New Roman" w:hAnsi="Times New Roman"/>
          <w:sz w:val="24"/>
          <w:szCs w:val="24"/>
        </w:rPr>
        <w:t>друштвених</w:t>
      </w:r>
      <w:r w:rsidR="006969A9" w:rsidRPr="00295637">
        <w:rPr>
          <w:rFonts w:ascii="Times New Roman" w:hAnsi="Times New Roman"/>
          <w:sz w:val="24"/>
          <w:szCs w:val="24"/>
        </w:rPr>
        <w:t xml:space="preserve"> </w:t>
      </w:r>
      <w:r>
        <w:rPr>
          <w:rFonts w:ascii="Times New Roman" w:hAnsi="Times New Roman"/>
          <w:sz w:val="24"/>
          <w:szCs w:val="24"/>
        </w:rPr>
        <w:t>сфера</w:t>
      </w:r>
      <w:r w:rsidR="006969A9" w:rsidRPr="00295637">
        <w:rPr>
          <w:rFonts w:ascii="Times New Roman" w:hAnsi="Times New Roman"/>
          <w:sz w:val="24"/>
          <w:szCs w:val="24"/>
        </w:rPr>
        <w:t xml:space="preserve">. </w:t>
      </w:r>
      <w:r>
        <w:rPr>
          <w:rFonts w:ascii="Times New Roman" w:hAnsi="Times New Roman"/>
          <w:sz w:val="24"/>
          <w:szCs w:val="24"/>
        </w:rPr>
        <w:t>То</w:t>
      </w:r>
      <w:r w:rsidR="006969A9" w:rsidRPr="00295637">
        <w:rPr>
          <w:rFonts w:ascii="Times New Roman" w:hAnsi="Times New Roman"/>
          <w:sz w:val="24"/>
          <w:szCs w:val="24"/>
        </w:rPr>
        <w:t xml:space="preserve"> </w:t>
      </w:r>
      <w:r>
        <w:rPr>
          <w:rFonts w:ascii="Times New Roman" w:hAnsi="Times New Roman"/>
          <w:sz w:val="24"/>
          <w:szCs w:val="24"/>
        </w:rPr>
        <w:t>је</w:t>
      </w:r>
      <w:r w:rsidR="006969A9" w:rsidRPr="00295637">
        <w:rPr>
          <w:rFonts w:ascii="Times New Roman" w:hAnsi="Times New Roman"/>
          <w:sz w:val="24"/>
          <w:szCs w:val="24"/>
        </w:rPr>
        <w:t xml:space="preserve"> </w:t>
      </w:r>
      <w:r>
        <w:rPr>
          <w:rFonts w:ascii="Times New Roman" w:hAnsi="Times New Roman"/>
          <w:sz w:val="24"/>
          <w:szCs w:val="24"/>
        </w:rPr>
        <w:t>доказ</w:t>
      </w:r>
      <w:r w:rsidR="006969A9" w:rsidRPr="00295637">
        <w:rPr>
          <w:rFonts w:ascii="Times New Roman" w:hAnsi="Times New Roman"/>
          <w:sz w:val="24"/>
          <w:szCs w:val="24"/>
        </w:rPr>
        <w:t xml:space="preserve"> </w:t>
      </w:r>
      <w:r>
        <w:rPr>
          <w:rFonts w:ascii="Times New Roman" w:hAnsi="Times New Roman"/>
          <w:sz w:val="24"/>
          <w:szCs w:val="24"/>
        </w:rPr>
        <w:t>да</w:t>
      </w:r>
      <w:r w:rsidR="006969A9" w:rsidRPr="00295637">
        <w:rPr>
          <w:rFonts w:ascii="Times New Roman" w:hAnsi="Times New Roman"/>
          <w:sz w:val="24"/>
          <w:szCs w:val="24"/>
        </w:rPr>
        <w:t xml:space="preserve"> </w:t>
      </w:r>
      <w:r>
        <w:rPr>
          <w:rFonts w:ascii="Times New Roman" w:hAnsi="Times New Roman"/>
          <w:sz w:val="24"/>
          <w:szCs w:val="24"/>
        </w:rPr>
        <w:t>АР</w:t>
      </w:r>
      <w:r w:rsidR="007A6AD7">
        <w:rPr>
          <w:rFonts w:ascii="Times New Roman" w:hAnsi="Times New Roman"/>
          <w:sz w:val="24"/>
          <w:szCs w:val="24"/>
          <w:lang w:val="sr-Cyrl-BA"/>
        </w:rPr>
        <w:t>П</w:t>
      </w:r>
      <w:r w:rsidR="00EB326B">
        <w:rPr>
          <w:rFonts w:ascii="Times New Roman" w:hAnsi="Times New Roman"/>
          <w:sz w:val="24"/>
          <w:szCs w:val="24"/>
        </w:rPr>
        <w:t xml:space="preserve"> </w:t>
      </w:r>
      <w:r>
        <w:rPr>
          <w:rFonts w:ascii="Times New Roman" w:hAnsi="Times New Roman"/>
          <w:sz w:val="24"/>
          <w:szCs w:val="24"/>
        </w:rPr>
        <w:t>БиХ</w:t>
      </w:r>
      <w:r w:rsidR="006969A9" w:rsidRPr="00295637">
        <w:rPr>
          <w:rFonts w:ascii="Times New Roman" w:hAnsi="Times New Roman"/>
          <w:sz w:val="24"/>
          <w:szCs w:val="24"/>
        </w:rPr>
        <w:t xml:space="preserve"> </w:t>
      </w:r>
      <w:r>
        <w:rPr>
          <w:rFonts w:ascii="Times New Roman" w:hAnsi="Times New Roman"/>
          <w:sz w:val="24"/>
          <w:szCs w:val="24"/>
        </w:rPr>
        <w:t>МЉПИ</w:t>
      </w:r>
      <w:r w:rsidR="004F0EF3">
        <w:rPr>
          <w:rFonts w:ascii="Times New Roman" w:hAnsi="Times New Roman"/>
          <w:sz w:val="24"/>
          <w:szCs w:val="24"/>
        </w:rPr>
        <w:t xml:space="preserve"> </w:t>
      </w:r>
      <w:r>
        <w:rPr>
          <w:rFonts w:ascii="Times New Roman" w:hAnsi="Times New Roman"/>
          <w:sz w:val="24"/>
          <w:szCs w:val="24"/>
        </w:rPr>
        <w:t>БиХ</w:t>
      </w:r>
      <w:r w:rsidR="006969A9" w:rsidRPr="00295637">
        <w:rPr>
          <w:rFonts w:ascii="Times New Roman" w:hAnsi="Times New Roman"/>
          <w:sz w:val="24"/>
          <w:szCs w:val="24"/>
        </w:rPr>
        <w:t xml:space="preserve"> </w:t>
      </w:r>
      <w:r>
        <w:rPr>
          <w:rFonts w:ascii="Times New Roman" w:hAnsi="Times New Roman"/>
          <w:sz w:val="24"/>
          <w:szCs w:val="24"/>
        </w:rPr>
        <w:t>сарађује</w:t>
      </w:r>
      <w:r w:rsidR="004F0EF3">
        <w:rPr>
          <w:rFonts w:ascii="Times New Roman" w:hAnsi="Times New Roman"/>
          <w:sz w:val="24"/>
          <w:szCs w:val="24"/>
        </w:rPr>
        <w:t xml:space="preserve"> </w:t>
      </w:r>
      <w:r>
        <w:rPr>
          <w:rFonts w:ascii="Times New Roman" w:hAnsi="Times New Roman"/>
          <w:sz w:val="24"/>
          <w:szCs w:val="24"/>
        </w:rPr>
        <w:t>и</w:t>
      </w:r>
      <w:r w:rsidR="004F0EF3">
        <w:rPr>
          <w:rFonts w:ascii="Times New Roman" w:hAnsi="Times New Roman"/>
          <w:sz w:val="24"/>
          <w:szCs w:val="24"/>
        </w:rPr>
        <w:t xml:space="preserve"> </w:t>
      </w:r>
      <w:r>
        <w:rPr>
          <w:rFonts w:ascii="Times New Roman" w:hAnsi="Times New Roman"/>
          <w:sz w:val="24"/>
          <w:szCs w:val="24"/>
        </w:rPr>
        <w:t>са</w:t>
      </w:r>
      <w:r w:rsidR="006969A9" w:rsidRPr="00295637">
        <w:rPr>
          <w:rFonts w:ascii="Times New Roman" w:hAnsi="Times New Roman"/>
          <w:sz w:val="24"/>
          <w:szCs w:val="24"/>
        </w:rPr>
        <w:t xml:space="preserve"> </w:t>
      </w:r>
      <w:r>
        <w:rPr>
          <w:rFonts w:ascii="Times New Roman" w:hAnsi="Times New Roman"/>
          <w:sz w:val="24"/>
          <w:szCs w:val="24"/>
        </w:rPr>
        <w:t>малим</w:t>
      </w:r>
      <w:r w:rsidR="006969A9" w:rsidRPr="00295637">
        <w:rPr>
          <w:rFonts w:ascii="Times New Roman" w:hAnsi="Times New Roman"/>
          <w:sz w:val="24"/>
          <w:szCs w:val="24"/>
        </w:rPr>
        <w:t xml:space="preserve"> </w:t>
      </w:r>
      <w:r>
        <w:rPr>
          <w:rFonts w:ascii="Times New Roman" w:hAnsi="Times New Roman"/>
          <w:sz w:val="24"/>
          <w:szCs w:val="24"/>
        </w:rPr>
        <w:t>неафирми</w:t>
      </w:r>
      <w:r w:rsidR="007A6AD7">
        <w:rPr>
          <w:rFonts w:ascii="Times New Roman" w:hAnsi="Times New Roman"/>
          <w:sz w:val="24"/>
          <w:szCs w:val="24"/>
          <w:lang w:val="sr-Cyrl-BA"/>
        </w:rPr>
        <w:t>с</w:t>
      </w:r>
      <w:r>
        <w:rPr>
          <w:rFonts w:ascii="Times New Roman" w:hAnsi="Times New Roman"/>
          <w:sz w:val="24"/>
          <w:szCs w:val="24"/>
        </w:rPr>
        <w:t>аним</w:t>
      </w:r>
      <w:r w:rsidR="006969A9" w:rsidRPr="00295637">
        <w:rPr>
          <w:rFonts w:ascii="Times New Roman" w:hAnsi="Times New Roman"/>
          <w:sz w:val="24"/>
          <w:szCs w:val="24"/>
        </w:rPr>
        <w:t xml:space="preserve"> </w:t>
      </w:r>
      <w:r>
        <w:rPr>
          <w:rFonts w:ascii="Times New Roman" w:hAnsi="Times New Roman"/>
          <w:sz w:val="24"/>
          <w:szCs w:val="24"/>
        </w:rPr>
        <w:t>невладиним</w:t>
      </w:r>
      <w:r w:rsidR="006969A9" w:rsidRPr="00295637">
        <w:rPr>
          <w:rFonts w:ascii="Times New Roman" w:hAnsi="Times New Roman"/>
          <w:sz w:val="24"/>
          <w:szCs w:val="24"/>
        </w:rPr>
        <w:t xml:space="preserve"> </w:t>
      </w:r>
      <w:r>
        <w:rPr>
          <w:rFonts w:ascii="Times New Roman" w:hAnsi="Times New Roman"/>
          <w:sz w:val="24"/>
          <w:szCs w:val="24"/>
        </w:rPr>
        <w:t>организацијама</w:t>
      </w:r>
      <w:r w:rsidR="006969A9" w:rsidRPr="00295637">
        <w:rPr>
          <w:rFonts w:ascii="Times New Roman" w:hAnsi="Times New Roman"/>
          <w:sz w:val="24"/>
          <w:szCs w:val="24"/>
        </w:rPr>
        <w:t xml:space="preserve"> </w:t>
      </w:r>
      <w:r>
        <w:rPr>
          <w:rFonts w:ascii="Times New Roman" w:hAnsi="Times New Roman"/>
          <w:sz w:val="24"/>
          <w:szCs w:val="24"/>
        </w:rPr>
        <w:t>које</w:t>
      </w:r>
      <w:r w:rsidR="006969A9" w:rsidRPr="00295637">
        <w:rPr>
          <w:rFonts w:ascii="Times New Roman" w:hAnsi="Times New Roman"/>
          <w:sz w:val="24"/>
          <w:szCs w:val="24"/>
        </w:rPr>
        <w:t xml:space="preserve"> </w:t>
      </w:r>
      <w:r>
        <w:rPr>
          <w:rFonts w:ascii="Times New Roman" w:hAnsi="Times New Roman"/>
          <w:sz w:val="24"/>
          <w:szCs w:val="24"/>
        </w:rPr>
        <w:t>су</w:t>
      </w:r>
      <w:r w:rsidR="006969A9" w:rsidRPr="00295637">
        <w:rPr>
          <w:rFonts w:ascii="Times New Roman" w:hAnsi="Times New Roman"/>
          <w:sz w:val="24"/>
          <w:szCs w:val="24"/>
        </w:rPr>
        <w:t xml:space="preserve"> </w:t>
      </w:r>
      <w:r>
        <w:rPr>
          <w:rFonts w:ascii="Times New Roman" w:hAnsi="Times New Roman"/>
          <w:sz w:val="24"/>
          <w:szCs w:val="24"/>
        </w:rPr>
        <w:t>тек</w:t>
      </w:r>
      <w:r w:rsidR="006969A9" w:rsidRPr="00295637">
        <w:rPr>
          <w:rFonts w:ascii="Times New Roman" w:hAnsi="Times New Roman"/>
          <w:sz w:val="24"/>
          <w:szCs w:val="24"/>
        </w:rPr>
        <w:t xml:space="preserve"> </w:t>
      </w:r>
      <w:r>
        <w:rPr>
          <w:rFonts w:ascii="Times New Roman" w:hAnsi="Times New Roman"/>
          <w:sz w:val="24"/>
          <w:szCs w:val="24"/>
        </w:rPr>
        <w:t>основане</w:t>
      </w:r>
      <w:r w:rsidR="006969A9" w:rsidRPr="00295637">
        <w:rPr>
          <w:rFonts w:ascii="Times New Roman" w:hAnsi="Times New Roman"/>
          <w:sz w:val="24"/>
          <w:szCs w:val="24"/>
        </w:rPr>
        <w:t xml:space="preserve"> </w:t>
      </w:r>
      <w:r>
        <w:rPr>
          <w:rFonts w:ascii="Times New Roman" w:hAnsi="Times New Roman"/>
          <w:sz w:val="24"/>
          <w:szCs w:val="24"/>
        </w:rPr>
        <w:t>и</w:t>
      </w:r>
      <w:r w:rsidR="006969A9" w:rsidRPr="00295637">
        <w:rPr>
          <w:rFonts w:ascii="Times New Roman" w:hAnsi="Times New Roman"/>
          <w:sz w:val="24"/>
          <w:szCs w:val="24"/>
        </w:rPr>
        <w:t xml:space="preserve"> </w:t>
      </w:r>
      <w:r>
        <w:rPr>
          <w:rFonts w:ascii="Times New Roman" w:hAnsi="Times New Roman"/>
          <w:sz w:val="24"/>
          <w:szCs w:val="24"/>
        </w:rPr>
        <w:t>желе</w:t>
      </w:r>
      <w:r w:rsidR="006969A9" w:rsidRPr="00295637">
        <w:rPr>
          <w:rFonts w:ascii="Times New Roman" w:hAnsi="Times New Roman"/>
          <w:sz w:val="24"/>
          <w:szCs w:val="24"/>
        </w:rPr>
        <w:t xml:space="preserve"> </w:t>
      </w:r>
      <w:r>
        <w:rPr>
          <w:rFonts w:ascii="Times New Roman" w:hAnsi="Times New Roman"/>
          <w:sz w:val="24"/>
          <w:szCs w:val="24"/>
        </w:rPr>
        <w:t>да</w:t>
      </w:r>
      <w:r w:rsidR="006969A9" w:rsidRPr="00295637">
        <w:rPr>
          <w:rFonts w:ascii="Times New Roman" w:hAnsi="Times New Roman"/>
          <w:sz w:val="24"/>
          <w:szCs w:val="24"/>
        </w:rPr>
        <w:t xml:space="preserve"> </w:t>
      </w:r>
      <w:r>
        <w:rPr>
          <w:rFonts w:ascii="Times New Roman" w:hAnsi="Times New Roman"/>
          <w:sz w:val="24"/>
          <w:szCs w:val="24"/>
        </w:rPr>
        <w:t>унапређују</w:t>
      </w:r>
      <w:r w:rsidR="006969A9" w:rsidRPr="00295637">
        <w:rPr>
          <w:rFonts w:ascii="Times New Roman" w:hAnsi="Times New Roman"/>
          <w:sz w:val="24"/>
          <w:szCs w:val="24"/>
        </w:rPr>
        <w:t xml:space="preserve"> </w:t>
      </w:r>
      <w:r>
        <w:rPr>
          <w:rFonts w:ascii="Times New Roman" w:hAnsi="Times New Roman"/>
          <w:sz w:val="24"/>
          <w:szCs w:val="24"/>
        </w:rPr>
        <w:t>остваривање</w:t>
      </w:r>
      <w:r w:rsidR="006969A9" w:rsidRPr="00295637">
        <w:rPr>
          <w:rFonts w:ascii="Times New Roman" w:hAnsi="Times New Roman"/>
          <w:sz w:val="24"/>
          <w:szCs w:val="24"/>
        </w:rPr>
        <w:t xml:space="preserve"> </w:t>
      </w:r>
      <w:r>
        <w:rPr>
          <w:rFonts w:ascii="Times New Roman" w:hAnsi="Times New Roman"/>
          <w:sz w:val="24"/>
          <w:szCs w:val="24"/>
        </w:rPr>
        <w:t>равноправности</w:t>
      </w:r>
      <w:r w:rsidR="006969A9" w:rsidRPr="00295637">
        <w:rPr>
          <w:rFonts w:ascii="Times New Roman" w:hAnsi="Times New Roman"/>
          <w:sz w:val="24"/>
          <w:szCs w:val="24"/>
        </w:rPr>
        <w:t xml:space="preserve"> </w:t>
      </w:r>
      <w:r>
        <w:rPr>
          <w:rFonts w:ascii="Times New Roman" w:hAnsi="Times New Roman"/>
          <w:sz w:val="24"/>
          <w:szCs w:val="24"/>
        </w:rPr>
        <w:t>полова</w:t>
      </w:r>
      <w:r w:rsidR="006969A9" w:rsidRPr="00295637">
        <w:rPr>
          <w:rFonts w:ascii="Times New Roman" w:hAnsi="Times New Roman"/>
          <w:sz w:val="24"/>
          <w:szCs w:val="24"/>
        </w:rPr>
        <w:t xml:space="preserve"> </w:t>
      </w:r>
      <w:r>
        <w:rPr>
          <w:rFonts w:ascii="Times New Roman" w:hAnsi="Times New Roman"/>
          <w:sz w:val="24"/>
          <w:szCs w:val="24"/>
        </w:rPr>
        <w:t>у</w:t>
      </w:r>
      <w:r w:rsidR="006969A9" w:rsidRPr="00295637">
        <w:rPr>
          <w:rFonts w:ascii="Times New Roman" w:hAnsi="Times New Roman"/>
          <w:sz w:val="24"/>
          <w:szCs w:val="24"/>
        </w:rPr>
        <w:t xml:space="preserve"> </w:t>
      </w:r>
      <w:r>
        <w:rPr>
          <w:rFonts w:ascii="Times New Roman" w:hAnsi="Times New Roman"/>
          <w:sz w:val="24"/>
          <w:szCs w:val="24"/>
        </w:rPr>
        <w:t>БиХ</w:t>
      </w:r>
      <w:r w:rsidR="006969A9" w:rsidRPr="00295637">
        <w:rPr>
          <w:rFonts w:ascii="Times New Roman" w:hAnsi="Times New Roman"/>
          <w:sz w:val="24"/>
          <w:szCs w:val="24"/>
        </w:rPr>
        <w:t>.</w:t>
      </w:r>
    </w:p>
    <w:p w:rsidR="006969A9" w:rsidRPr="00295637" w:rsidRDefault="006969A9" w:rsidP="0086268D">
      <w:pPr>
        <w:pStyle w:val="ListParagraph"/>
        <w:ind w:left="0"/>
        <w:jc w:val="both"/>
        <w:rPr>
          <w:rFonts w:ascii="Times New Roman" w:hAnsi="Times New Roman"/>
          <w:lang w:val="sr-Cyrl-BA"/>
        </w:rPr>
      </w:pPr>
    </w:p>
    <w:p w:rsidR="003469A0" w:rsidRPr="00295637" w:rsidRDefault="00C6214E" w:rsidP="0086268D">
      <w:pPr>
        <w:pStyle w:val="ListParagraph"/>
        <w:ind w:left="0"/>
        <w:jc w:val="both"/>
        <w:rPr>
          <w:rFonts w:ascii="Times New Roman" w:hAnsi="Times New Roman"/>
          <w:lang w:val="sr-Cyrl-BA"/>
        </w:rPr>
      </w:pPr>
      <w:r>
        <w:rPr>
          <w:rFonts w:ascii="Times New Roman" w:hAnsi="Times New Roman"/>
          <w:lang w:val="sr-Cyrl-BA"/>
        </w:rPr>
        <w:t>ЦЈРП</w:t>
      </w:r>
      <w:r w:rsidR="003469A0" w:rsidRPr="00295637">
        <w:rPr>
          <w:rFonts w:ascii="Times New Roman" w:hAnsi="Times New Roman"/>
          <w:lang w:val="sr-Cyrl-BA"/>
        </w:rPr>
        <w:t xml:space="preserve"> </w:t>
      </w:r>
      <w:r>
        <w:rPr>
          <w:rFonts w:ascii="Times New Roman" w:hAnsi="Times New Roman"/>
          <w:lang w:val="sr-Cyrl-BA"/>
        </w:rPr>
        <w:t>РС</w:t>
      </w:r>
      <w:r w:rsidR="003469A0" w:rsidRPr="00295637">
        <w:rPr>
          <w:rFonts w:ascii="Times New Roman" w:hAnsi="Times New Roman"/>
          <w:lang w:val="sr-Cyrl-BA"/>
        </w:rPr>
        <w:t xml:space="preserve"> </w:t>
      </w:r>
      <w:r>
        <w:rPr>
          <w:rFonts w:ascii="Times New Roman" w:hAnsi="Times New Roman"/>
          <w:lang w:val="sr-Cyrl-BA"/>
        </w:rPr>
        <w:t>је</w:t>
      </w:r>
      <w:r w:rsidR="003469A0" w:rsidRPr="00295637">
        <w:rPr>
          <w:rFonts w:ascii="Times New Roman" w:hAnsi="Times New Roman"/>
          <w:lang w:val="sr-Cyrl-BA"/>
        </w:rPr>
        <w:t xml:space="preserve"> </w:t>
      </w:r>
      <w:r>
        <w:rPr>
          <w:rFonts w:ascii="Times New Roman" w:hAnsi="Times New Roman"/>
          <w:lang w:val="sr-Cyrl-BA"/>
        </w:rPr>
        <w:t>потписао</w:t>
      </w:r>
      <w:r w:rsidR="003469A0" w:rsidRPr="00295637">
        <w:rPr>
          <w:rFonts w:ascii="Times New Roman" w:hAnsi="Times New Roman"/>
          <w:lang w:val="sr-Cyrl-BA"/>
        </w:rPr>
        <w:t xml:space="preserve"> </w:t>
      </w:r>
      <w:r>
        <w:rPr>
          <w:rFonts w:ascii="Times New Roman" w:hAnsi="Times New Roman"/>
          <w:lang w:val="sr-Cyrl-BA"/>
        </w:rPr>
        <w:t>Меморандум</w:t>
      </w:r>
      <w:r w:rsidR="003469A0" w:rsidRPr="00295637">
        <w:rPr>
          <w:rFonts w:ascii="Times New Roman" w:hAnsi="Times New Roman"/>
          <w:lang w:val="sr-Cyrl-BA"/>
        </w:rPr>
        <w:t xml:space="preserve"> </w:t>
      </w:r>
      <w:r>
        <w:rPr>
          <w:rFonts w:ascii="Times New Roman" w:hAnsi="Times New Roman"/>
          <w:lang w:val="sr-Cyrl-BA"/>
        </w:rPr>
        <w:t>о</w:t>
      </w:r>
      <w:r w:rsidR="003469A0" w:rsidRPr="00295637">
        <w:rPr>
          <w:rFonts w:ascii="Times New Roman" w:hAnsi="Times New Roman"/>
          <w:lang w:val="sr-Cyrl-BA"/>
        </w:rPr>
        <w:t xml:space="preserve"> </w:t>
      </w:r>
      <w:r>
        <w:rPr>
          <w:rFonts w:ascii="Times New Roman" w:hAnsi="Times New Roman"/>
          <w:lang w:val="sr-Cyrl-BA"/>
        </w:rPr>
        <w:t>с</w:t>
      </w:r>
      <w:r>
        <w:rPr>
          <w:rFonts w:ascii="Times New Roman" w:hAnsi="Times New Roman"/>
          <w:lang w:val="hr-HR"/>
        </w:rPr>
        <w:t>а</w:t>
      </w:r>
      <w:r>
        <w:rPr>
          <w:rFonts w:ascii="Times New Roman" w:hAnsi="Times New Roman"/>
          <w:lang w:val="sr-Cyrl-BA"/>
        </w:rPr>
        <w:t>радњи</w:t>
      </w:r>
      <w:r w:rsidR="003469A0" w:rsidRPr="00295637">
        <w:rPr>
          <w:rFonts w:ascii="Times New Roman" w:hAnsi="Times New Roman"/>
          <w:lang w:val="sr-Cyrl-BA"/>
        </w:rPr>
        <w:t xml:space="preserve"> </w:t>
      </w:r>
      <w:r>
        <w:rPr>
          <w:rFonts w:ascii="Times New Roman" w:hAnsi="Times New Roman"/>
          <w:lang w:val="sr-Cyrl-BA"/>
        </w:rPr>
        <w:t>са</w:t>
      </w:r>
      <w:r w:rsidR="003469A0" w:rsidRPr="00295637">
        <w:rPr>
          <w:rFonts w:ascii="Times New Roman" w:hAnsi="Times New Roman"/>
          <w:lang w:val="sr-Cyrl-BA"/>
        </w:rPr>
        <w:t xml:space="preserve"> </w:t>
      </w:r>
      <w:r>
        <w:rPr>
          <w:rFonts w:ascii="Times New Roman" w:hAnsi="Times New Roman"/>
          <w:lang w:val="sr-Cyrl-BA"/>
        </w:rPr>
        <w:t>Савезом</w:t>
      </w:r>
      <w:r w:rsidR="003469A0" w:rsidRPr="00295637">
        <w:rPr>
          <w:rFonts w:ascii="Times New Roman" w:hAnsi="Times New Roman"/>
          <w:lang w:val="sr-Cyrl-BA"/>
        </w:rPr>
        <w:t xml:space="preserve"> </w:t>
      </w:r>
      <w:r>
        <w:rPr>
          <w:rFonts w:ascii="Times New Roman" w:hAnsi="Times New Roman"/>
          <w:lang w:val="sr-Cyrl-BA"/>
        </w:rPr>
        <w:t>оп</w:t>
      </w:r>
      <w:r w:rsidR="007A6AD7">
        <w:rPr>
          <w:rFonts w:ascii="Times New Roman" w:hAnsi="Times New Roman"/>
          <w:lang w:val="sr-Cyrl-BA"/>
        </w:rPr>
        <w:t>шт</w:t>
      </w:r>
      <w:r>
        <w:rPr>
          <w:rFonts w:ascii="Times New Roman" w:hAnsi="Times New Roman"/>
          <w:lang w:val="sr-Cyrl-BA"/>
        </w:rPr>
        <w:t>ина</w:t>
      </w:r>
      <w:r w:rsidR="003469A0" w:rsidRPr="00295637">
        <w:rPr>
          <w:rFonts w:ascii="Times New Roman" w:hAnsi="Times New Roman"/>
          <w:lang w:val="sr-Cyrl-BA"/>
        </w:rPr>
        <w:t xml:space="preserve"> </w:t>
      </w:r>
      <w:r>
        <w:rPr>
          <w:rFonts w:ascii="Times New Roman" w:hAnsi="Times New Roman"/>
          <w:lang w:val="sr-Latn-BA"/>
        </w:rPr>
        <w:t>и</w:t>
      </w:r>
      <w:r w:rsidR="003469A0" w:rsidRPr="00295637">
        <w:rPr>
          <w:rFonts w:ascii="Times New Roman" w:hAnsi="Times New Roman"/>
          <w:lang w:val="sr-Cyrl-BA"/>
        </w:rPr>
        <w:t xml:space="preserve"> </w:t>
      </w:r>
      <w:r>
        <w:rPr>
          <w:rFonts w:ascii="Times New Roman" w:hAnsi="Times New Roman"/>
          <w:lang w:val="sr-Cyrl-BA"/>
        </w:rPr>
        <w:t>градова</w:t>
      </w:r>
      <w:r w:rsidR="003469A0"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3469A0" w:rsidRPr="00295637">
        <w:rPr>
          <w:rFonts w:ascii="Times New Roman" w:hAnsi="Times New Roman"/>
          <w:lang w:val="sr-Cyrl-BA"/>
        </w:rPr>
        <w:t xml:space="preserve">. </w:t>
      </w:r>
      <w:r>
        <w:rPr>
          <w:rFonts w:ascii="Times New Roman" w:hAnsi="Times New Roman"/>
          <w:lang w:val="sr-Cyrl-BA"/>
        </w:rPr>
        <w:t>На</w:t>
      </w:r>
      <w:r w:rsidR="003469A0" w:rsidRPr="00295637">
        <w:rPr>
          <w:rFonts w:ascii="Times New Roman" w:hAnsi="Times New Roman"/>
          <w:lang w:val="sr-Cyrl-BA"/>
        </w:rPr>
        <w:t xml:space="preserve"> </w:t>
      </w:r>
      <w:r>
        <w:rPr>
          <w:rFonts w:ascii="Times New Roman" w:hAnsi="Times New Roman"/>
          <w:lang w:val="sr-Cyrl-BA"/>
        </w:rPr>
        <w:t>позив</w:t>
      </w:r>
      <w:r w:rsidR="003469A0" w:rsidRPr="00295637">
        <w:rPr>
          <w:rFonts w:ascii="Times New Roman" w:hAnsi="Times New Roman"/>
          <w:lang w:val="sr-Cyrl-BA"/>
        </w:rPr>
        <w:t xml:space="preserve"> </w:t>
      </w:r>
      <w:r>
        <w:rPr>
          <w:rFonts w:ascii="Times New Roman" w:hAnsi="Times New Roman"/>
          <w:lang w:val="sr-Cyrl-BA"/>
        </w:rPr>
        <w:t>СОГ</w:t>
      </w:r>
      <w:r w:rsidR="003469A0" w:rsidRPr="00295637">
        <w:rPr>
          <w:rFonts w:ascii="Times New Roman" w:hAnsi="Times New Roman"/>
          <w:lang w:val="sr-Cyrl-BA"/>
        </w:rPr>
        <w:t xml:space="preserve"> </w:t>
      </w:r>
      <w:r>
        <w:rPr>
          <w:rFonts w:ascii="Times New Roman" w:hAnsi="Times New Roman"/>
          <w:lang w:val="sr-Cyrl-BA"/>
        </w:rPr>
        <w:t>РС</w:t>
      </w:r>
      <w:r w:rsidR="003469A0" w:rsidRPr="00295637">
        <w:rPr>
          <w:rFonts w:ascii="Times New Roman" w:hAnsi="Times New Roman"/>
          <w:lang w:val="sr-Cyrl-BA"/>
        </w:rPr>
        <w:t xml:space="preserve">, </w:t>
      </w:r>
      <w:r>
        <w:rPr>
          <w:rFonts w:ascii="Times New Roman" w:hAnsi="Times New Roman"/>
          <w:lang w:val="sr-Cyrl-BA"/>
        </w:rPr>
        <w:t>у</w:t>
      </w:r>
      <w:r w:rsidR="003469A0" w:rsidRPr="00295637">
        <w:rPr>
          <w:rFonts w:ascii="Times New Roman" w:hAnsi="Times New Roman"/>
          <w:lang w:val="sr-Cyrl-BA"/>
        </w:rPr>
        <w:t xml:space="preserve"> 2024. </w:t>
      </w:r>
      <w:r>
        <w:rPr>
          <w:rFonts w:ascii="Times New Roman" w:hAnsi="Times New Roman"/>
          <w:lang w:val="sr-Cyrl-BA"/>
        </w:rPr>
        <w:t>години</w:t>
      </w:r>
      <w:r w:rsidR="003469A0" w:rsidRPr="00295637">
        <w:rPr>
          <w:rFonts w:ascii="Times New Roman" w:hAnsi="Times New Roman"/>
          <w:lang w:val="sr-Cyrl-BA"/>
        </w:rPr>
        <w:t xml:space="preserve"> </w:t>
      </w:r>
      <w:r>
        <w:rPr>
          <w:rFonts w:ascii="Times New Roman" w:hAnsi="Times New Roman"/>
          <w:lang w:val="sr-Cyrl-BA"/>
        </w:rPr>
        <w:t>ЦЈРП</w:t>
      </w:r>
      <w:r w:rsidR="003469A0" w:rsidRPr="00295637">
        <w:rPr>
          <w:rFonts w:ascii="Times New Roman" w:hAnsi="Times New Roman"/>
          <w:lang w:val="sr-Cyrl-BA"/>
        </w:rPr>
        <w:t xml:space="preserve"> </w:t>
      </w:r>
      <w:r>
        <w:rPr>
          <w:rFonts w:ascii="Times New Roman" w:hAnsi="Times New Roman"/>
          <w:lang w:val="sr-Cyrl-BA"/>
        </w:rPr>
        <w:t>РС</w:t>
      </w:r>
      <w:r w:rsidR="003469A0" w:rsidRPr="00295637">
        <w:rPr>
          <w:rFonts w:ascii="Times New Roman" w:hAnsi="Times New Roman"/>
          <w:lang w:val="sr-Cyrl-BA"/>
        </w:rPr>
        <w:t xml:space="preserve"> </w:t>
      </w:r>
      <w:r>
        <w:rPr>
          <w:rFonts w:ascii="Times New Roman" w:hAnsi="Times New Roman"/>
          <w:lang w:val="sr-Cyrl-BA"/>
        </w:rPr>
        <w:t>је</w:t>
      </w:r>
      <w:r w:rsidR="003469A0" w:rsidRPr="00295637">
        <w:rPr>
          <w:rFonts w:ascii="Times New Roman" w:hAnsi="Times New Roman"/>
          <w:lang w:val="sr-Cyrl-BA"/>
        </w:rPr>
        <w:t xml:space="preserve"> </w:t>
      </w:r>
      <w:r>
        <w:rPr>
          <w:rFonts w:ascii="Times New Roman" w:hAnsi="Times New Roman"/>
          <w:lang w:val="hr-HR"/>
        </w:rPr>
        <w:t>учествовао</w:t>
      </w:r>
      <w:r w:rsidR="003469A0" w:rsidRPr="00295637">
        <w:rPr>
          <w:rFonts w:ascii="Times New Roman" w:hAnsi="Times New Roman"/>
          <w:lang w:val="sr-Cyrl-BA"/>
        </w:rPr>
        <w:t xml:space="preserve"> </w:t>
      </w:r>
      <w:r>
        <w:rPr>
          <w:rFonts w:ascii="Times New Roman" w:hAnsi="Times New Roman"/>
          <w:lang w:val="sr-Cyrl-BA"/>
        </w:rPr>
        <w:t>на</w:t>
      </w:r>
      <w:r w:rsidR="003469A0" w:rsidRPr="00295637">
        <w:rPr>
          <w:rFonts w:ascii="Times New Roman" w:hAnsi="Times New Roman"/>
          <w:lang w:val="sr-Cyrl-BA"/>
        </w:rPr>
        <w:t xml:space="preserve"> </w:t>
      </w:r>
      <w:r>
        <w:rPr>
          <w:rFonts w:ascii="Times New Roman" w:hAnsi="Times New Roman"/>
          <w:lang w:val="sr-Latn-BA"/>
        </w:rPr>
        <w:t>оснивачком</w:t>
      </w:r>
      <w:r w:rsidR="003469A0" w:rsidRPr="00295637">
        <w:rPr>
          <w:rFonts w:ascii="Times New Roman" w:hAnsi="Times New Roman"/>
          <w:lang w:val="sr-Latn-BA"/>
        </w:rPr>
        <w:t xml:space="preserve"> </w:t>
      </w:r>
      <w:r>
        <w:rPr>
          <w:rFonts w:ascii="Times New Roman" w:hAnsi="Times New Roman"/>
          <w:lang w:val="sr-Cyrl-BA"/>
        </w:rPr>
        <w:t>састанку</w:t>
      </w:r>
      <w:r w:rsidR="003469A0" w:rsidRPr="00295637">
        <w:rPr>
          <w:rFonts w:ascii="Times New Roman" w:hAnsi="Times New Roman"/>
          <w:lang w:val="sr-Cyrl-BA"/>
        </w:rPr>
        <w:t xml:space="preserve"> </w:t>
      </w:r>
      <w:r>
        <w:rPr>
          <w:rFonts w:ascii="Times New Roman" w:hAnsi="Times New Roman"/>
          <w:lang w:val="sr-Cyrl-BA"/>
        </w:rPr>
        <w:t>Мреже</w:t>
      </w:r>
      <w:r w:rsidR="003469A0" w:rsidRPr="00295637">
        <w:rPr>
          <w:rFonts w:ascii="Times New Roman" w:hAnsi="Times New Roman"/>
          <w:lang w:val="sr-Cyrl-BA"/>
        </w:rPr>
        <w:t xml:space="preserve"> </w:t>
      </w:r>
      <w:r>
        <w:rPr>
          <w:rFonts w:ascii="Times New Roman" w:hAnsi="Times New Roman"/>
          <w:lang w:val="sr-Cyrl-BA"/>
        </w:rPr>
        <w:t>за</w:t>
      </w:r>
      <w:r w:rsidR="003469A0" w:rsidRPr="00295637">
        <w:rPr>
          <w:rFonts w:ascii="Times New Roman" w:hAnsi="Times New Roman"/>
          <w:lang w:val="sr-Cyrl-BA"/>
        </w:rPr>
        <w:t xml:space="preserve"> </w:t>
      </w:r>
      <w:r>
        <w:rPr>
          <w:rFonts w:ascii="Times New Roman" w:hAnsi="Times New Roman"/>
          <w:lang w:val="sr-Cyrl-BA"/>
        </w:rPr>
        <w:t>родну</w:t>
      </w:r>
      <w:r w:rsidR="003469A0" w:rsidRPr="00295637">
        <w:rPr>
          <w:rFonts w:ascii="Times New Roman" w:hAnsi="Times New Roman"/>
          <w:lang w:val="sr-Cyrl-BA"/>
        </w:rPr>
        <w:t xml:space="preserve"> </w:t>
      </w:r>
      <w:r>
        <w:rPr>
          <w:rFonts w:ascii="Times New Roman" w:hAnsi="Times New Roman"/>
          <w:lang w:val="sr-Cyrl-BA"/>
        </w:rPr>
        <w:t>равноправност</w:t>
      </w:r>
      <w:r w:rsidR="003469A0" w:rsidRPr="00295637">
        <w:rPr>
          <w:rFonts w:ascii="Times New Roman" w:hAnsi="Times New Roman"/>
          <w:lang w:val="sr-Cyrl-BA"/>
        </w:rPr>
        <w:t xml:space="preserve"> </w:t>
      </w:r>
      <w:r>
        <w:rPr>
          <w:rFonts w:ascii="Times New Roman" w:hAnsi="Times New Roman"/>
          <w:lang w:val="sr-Cyrl-BA"/>
        </w:rPr>
        <w:t>Савеза</w:t>
      </w:r>
      <w:r w:rsidR="003469A0" w:rsidRPr="00295637">
        <w:rPr>
          <w:rFonts w:ascii="Times New Roman" w:hAnsi="Times New Roman"/>
          <w:lang w:val="sr-Cyrl-BA"/>
        </w:rPr>
        <w:t xml:space="preserve"> </w:t>
      </w:r>
      <w:r>
        <w:rPr>
          <w:rFonts w:ascii="Times New Roman" w:hAnsi="Times New Roman"/>
          <w:lang w:val="sr-Cyrl-BA"/>
        </w:rPr>
        <w:t>оп</w:t>
      </w:r>
      <w:r w:rsidR="007A6AD7">
        <w:rPr>
          <w:rFonts w:ascii="Times New Roman" w:hAnsi="Times New Roman"/>
          <w:lang w:val="sr-Cyrl-BA"/>
        </w:rPr>
        <w:t>шт</w:t>
      </w:r>
      <w:r>
        <w:rPr>
          <w:rFonts w:ascii="Times New Roman" w:hAnsi="Times New Roman"/>
          <w:lang w:val="sr-Cyrl-BA"/>
        </w:rPr>
        <w:t>ина</w:t>
      </w:r>
      <w:r w:rsidR="003469A0" w:rsidRPr="00295637">
        <w:rPr>
          <w:rFonts w:ascii="Times New Roman" w:hAnsi="Times New Roman"/>
          <w:lang w:val="sr-Cyrl-BA"/>
        </w:rPr>
        <w:t xml:space="preserve"> </w:t>
      </w:r>
      <w:r>
        <w:rPr>
          <w:rFonts w:ascii="Times New Roman" w:hAnsi="Times New Roman"/>
          <w:lang w:val="sr-Cyrl-BA"/>
        </w:rPr>
        <w:t>и</w:t>
      </w:r>
      <w:r w:rsidR="003469A0" w:rsidRPr="00295637">
        <w:rPr>
          <w:rFonts w:ascii="Times New Roman" w:hAnsi="Times New Roman"/>
          <w:lang w:val="sr-Cyrl-BA"/>
        </w:rPr>
        <w:t xml:space="preserve"> </w:t>
      </w:r>
      <w:r>
        <w:rPr>
          <w:rFonts w:ascii="Times New Roman" w:hAnsi="Times New Roman"/>
          <w:lang w:val="sr-Cyrl-BA"/>
        </w:rPr>
        <w:t>градова</w:t>
      </w:r>
      <w:r w:rsidR="003469A0" w:rsidRPr="00295637">
        <w:rPr>
          <w:rFonts w:ascii="Times New Roman" w:hAnsi="Times New Roman"/>
          <w:lang w:val="sr-Cyrl-BA"/>
        </w:rPr>
        <w:t xml:space="preserve"> </w:t>
      </w:r>
      <w:r>
        <w:rPr>
          <w:rFonts w:ascii="Times New Roman" w:hAnsi="Times New Roman"/>
          <w:lang w:val="sr-Cyrl-BA"/>
        </w:rPr>
        <w:t>Р</w:t>
      </w:r>
      <w:r>
        <w:rPr>
          <w:rFonts w:ascii="Times New Roman" w:hAnsi="Times New Roman"/>
          <w:lang w:val="bs-Latn-BA"/>
        </w:rPr>
        <w:t>С</w:t>
      </w:r>
      <w:r w:rsidR="003469A0" w:rsidRPr="00295637">
        <w:rPr>
          <w:rFonts w:ascii="Times New Roman" w:hAnsi="Times New Roman"/>
          <w:lang w:val="sr-Cyrl-BA"/>
        </w:rPr>
        <w:t xml:space="preserve">. </w:t>
      </w:r>
      <w:r>
        <w:rPr>
          <w:rFonts w:ascii="Times New Roman" w:hAnsi="Times New Roman"/>
          <w:lang w:val="sr-Latn-BA"/>
        </w:rPr>
        <w:t>На</w:t>
      </w:r>
      <w:r w:rsidR="003469A0" w:rsidRPr="00295637">
        <w:rPr>
          <w:rFonts w:ascii="Times New Roman" w:hAnsi="Times New Roman"/>
          <w:lang w:val="sr-Latn-BA"/>
        </w:rPr>
        <w:t xml:space="preserve"> </w:t>
      </w:r>
      <w:r>
        <w:rPr>
          <w:rFonts w:ascii="Times New Roman" w:hAnsi="Times New Roman"/>
          <w:lang w:val="sr-Latn-BA"/>
        </w:rPr>
        <w:t>састанку</w:t>
      </w:r>
      <w:r w:rsidR="003469A0" w:rsidRPr="00295637">
        <w:rPr>
          <w:rFonts w:ascii="Times New Roman" w:hAnsi="Times New Roman"/>
          <w:lang w:val="sr-Latn-BA"/>
        </w:rPr>
        <w:t xml:space="preserve"> </w:t>
      </w:r>
      <w:r>
        <w:rPr>
          <w:rFonts w:ascii="Times New Roman" w:hAnsi="Times New Roman"/>
          <w:lang w:val="sr-Latn-BA"/>
        </w:rPr>
        <w:t>се</w:t>
      </w:r>
      <w:r w:rsidR="003469A0" w:rsidRPr="00295637">
        <w:rPr>
          <w:rFonts w:ascii="Times New Roman" w:hAnsi="Times New Roman"/>
          <w:lang w:val="sr-Cyrl-BA"/>
        </w:rPr>
        <w:t xml:space="preserve"> </w:t>
      </w:r>
      <w:r>
        <w:rPr>
          <w:rFonts w:ascii="Times New Roman" w:hAnsi="Times New Roman"/>
          <w:lang w:val="sr-Cyrl-BA"/>
        </w:rPr>
        <w:t>разговарало</w:t>
      </w:r>
      <w:r w:rsidR="003469A0" w:rsidRPr="00295637">
        <w:rPr>
          <w:rFonts w:ascii="Times New Roman" w:hAnsi="Times New Roman"/>
          <w:lang w:val="sr-Cyrl-BA"/>
        </w:rPr>
        <w:t xml:space="preserve"> </w:t>
      </w:r>
      <w:r>
        <w:rPr>
          <w:rFonts w:ascii="Times New Roman" w:hAnsi="Times New Roman"/>
          <w:lang w:val="sr-Cyrl-BA"/>
        </w:rPr>
        <w:t>о</w:t>
      </w:r>
      <w:r w:rsidR="003469A0" w:rsidRPr="00295637">
        <w:rPr>
          <w:rFonts w:ascii="Times New Roman" w:hAnsi="Times New Roman"/>
          <w:lang w:val="sr-Cyrl-BA"/>
        </w:rPr>
        <w:t xml:space="preserve"> </w:t>
      </w:r>
      <w:r>
        <w:rPr>
          <w:rFonts w:ascii="Times New Roman" w:hAnsi="Times New Roman"/>
          <w:lang w:val="sr-Cyrl-BA"/>
        </w:rPr>
        <w:t>значају</w:t>
      </w:r>
      <w:r w:rsidR="003469A0" w:rsidRPr="00295637">
        <w:rPr>
          <w:rFonts w:ascii="Times New Roman" w:hAnsi="Times New Roman"/>
          <w:lang w:val="sr-Cyrl-BA"/>
        </w:rPr>
        <w:t xml:space="preserve"> </w:t>
      </w:r>
      <w:r>
        <w:rPr>
          <w:rFonts w:ascii="Times New Roman" w:hAnsi="Times New Roman"/>
          <w:lang w:val="sr-Cyrl-BA"/>
        </w:rPr>
        <w:t>доношења</w:t>
      </w:r>
      <w:r w:rsidR="003469A0" w:rsidRPr="00295637">
        <w:rPr>
          <w:rFonts w:ascii="Times New Roman" w:hAnsi="Times New Roman"/>
          <w:lang w:val="sr-Cyrl-BA"/>
        </w:rPr>
        <w:t xml:space="preserve"> </w:t>
      </w:r>
      <w:r>
        <w:rPr>
          <w:rFonts w:ascii="Times New Roman" w:hAnsi="Times New Roman"/>
          <w:lang w:val="sr-Cyrl-BA"/>
        </w:rPr>
        <w:t>локалних</w:t>
      </w:r>
      <w:r w:rsidR="003469A0" w:rsidRPr="00295637">
        <w:rPr>
          <w:rFonts w:ascii="Times New Roman" w:hAnsi="Times New Roman"/>
          <w:lang w:val="sr-Cyrl-BA"/>
        </w:rPr>
        <w:t xml:space="preserve"> </w:t>
      </w:r>
      <w:r>
        <w:rPr>
          <w:rFonts w:ascii="Times New Roman" w:hAnsi="Times New Roman"/>
          <w:lang w:val="sr-Cyrl-BA"/>
        </w:rPr>
        <w:t>акци</w:t>
      </w:r>
      <w:r>
        <w:rPr>
          <w:rFonts w:ascii="Times New Roman" w:hAnsi="Times New Roman"/>
          <w:lang w:val="hr-HR"/>
        </w:rPr>
        <w:t>оних</w:t>
      </w:r>
      <w:r w:rsidR="003469A0" w:rsidRPr="00295637">
        <w:rPr>
          <w:rFonts w:ascii="Times New Roman" w:hAnsi="Times New Roman"/>
          <w:lang w:val="sr-Cyrl-BA"/>
        </w:rPr>
        <w:t xml:space="preserve"> </w:t>
      </w:r>
      <w:r>
        <w:rPr>
          <w:rFonts w:ascii="Times New Roman" w:hAnsi="Times New Roman"/>
          <w:lang w:val="sr-Cyrl-BA"/>
        </w:rPr>
        <w:t>планова</w:t>
      </w:r>
      <w:r w:rsidR="003469A0" w:rsidRPr="00295637">
        <w:rPr>
          <w:rFonts w:ascii="Times New Roman" w:hAnsi="Times New Roman"/>
          <w:lang w:val="sr-Cyrl-BA"/>
        </w:rPr>
        <w:t xml:space="preserve"> </w:t>
      </w:r>
      <w:r>
        <w:rPr>
          <w:rFonts w:ascii="Times New Roman" w:hAnsi="Times New Roman"/>
          <w:lang w:val="sr-Cyrl-BA"/>
        </w:rPr>
        <w:t>за</w:t>
      </w:r>
      <w:r w:rsidR="003469A0" w:rsidRPr="00295637">
        <w:rPr>
          <w:rFonts w:ascii="Times New Roman" w:hAnsi="Times New Roman"/>
          <w:lang w:val="sr-Cyrl-BA"/>
        </w:rPr>
        <w:t xml:space="preserve"> </w:t>
      </w:r>
      <w:r>
        <w:rPr>
          <w:rFonts w:ascii="Times New Roman" w:hAnsi="Times New Roman"/>
          <w:lang w:val="sr-Cyrl-BA"/>
        </w:rPr>
        <w:t>равноправност</w:t>
      </w:r>
      <w:r w:rsidR="003469A0" w:rsidRPr="00295637">
        <w:rPr>
          <w:rFonts w:ascii="Times New Roman" w:hAnsi="Times New Roman"/>
          <w:lang w:val="sr-Cyrl-BA"/>
        </w:rPr>
        <w:t xml:space="preserve"> </w:t>
      </w:r>
      <w:r>
        <w:rPr>
          <w:rFonts w:ascii="Times New Roman" w:hAnsi="Times New Roman"/>
          <w:lang w:val="sr-Cyrl-BA"/>
        </w:rPr>
        <w:t>полова</w:t>
      </w:r>
      <w:r w:rsidR="003469A0" w:rsidRPr="00295637">
        <w:rPr>
          <w:rFonts w:ascii="Times New Roman" w:hAnsi="Times New Roman"/>
          <w:lang w:val="sr-Cyrl-BA"/>
        </w:rPr>
        <w:t xml:space="preserve">, </w:t>
      </w:r>
      <w:r>
        <w:rPr>
          <w:rFonts w:ascii="Times New Roman" w:hAnsi="Times New Roman"/>
          <w:lang w:val="sr-Cyrl-BA"/>
        </w:rPr>
        <w:t>представљена</w:t>
      </w:r>
      <w:r w:rsidR="003469A0" w:rsidRPr="00295637">
        <w:rPr>
          <w:rFonts w:ascii="Times New Roman" w:hAnsi="Times New Roman"/>
          <w:lang w:val="sr-Cyrl-BA"/>
        </w:rPr>
        <w:t xml:space="preserve"> </w:t>
      </w:r>
      <w:r>
        <w:rPr>
          <w:rFonts w:ascii="Times New Roman" w:hAnsi="Times New Roman"/>
          <w:lang w:val="sr-Cyrl-BA"/>
        </w:rPr>
        <w:t>је</w:t>
      </w:r>
      <w:r w:rsidR="003469A0" w:rsidRPr="00295637">
        <w:rPr>
          <w:rFonts w:ascii="Times New Roman" w:hAnsi="Times New Roman"/>
          <w:lang w:val="sr-Cyrl-BA"/>
        </w:rPr>
        <w:t xml:space="preserve"> </w:t>
      </w:r>
      <w:r>
        <w:rPr>
          <w:rFonts w:ascii="Times New Roman" w:hAnsi="Times New Roman"/>
          <w:lang w:val="sr-Cyrl-BA"/>
        </w:rPr>
        <w:t>методологија</w:t>
      </w:r>
      <w:r w:rsidR="003469A0" w:rsidRPr="00295637">
        <w:rPr>
          <w:rFonts w:ascii="Times New Roman" w:hAnsi="Times New Roman"/>
          <w:lang w:val="sr-Cyrl-BA"/>
        </w:rPr>
        <w:t xml:space="preserve"> </w:t>
      </w:r>
      <w:r>
        <w:rPr>
          <w:rFonts w:ascii="Times New Roman" w:hAnsi="Times New Roman"/>
          <w:lang w:val="sr-Cyrl-BA"/>
        </w:rPr>
        <w:t>за</w:t>
      </w:r>
      <w:r w:rsidR="003469A0" w:rsidRPr="00295637">
        <w:rPr>
          <w:rFonts w:ascii="Times New Roman" w:hAnsi="Times New Roman"/>
          <w:lang w:val="sr-Cyrl-BA"/>
        </w:rPr>
        <w:t xml:space="preserve"> </w:t>
      </w:r>
      <w:r>
        <w:rPr>
          <w:rFonts w:ascii="Times New Roman" w:hAnsi="Times New Roman"/>
          <w:lang w:val="sr-Cyrl-BA"/>
        </w:rPr>
        <w:t>доношење</w:t>
      </w:r>
      <w:r w:rsidR="003469A0" w:rsidRPr="00295637">
        <w:rPr>
          <w:rFonts w:ascii="Times New Roman" w:hAnsi="Times New Roman"/>
          <w:lang w:val="sr-Cyrl-BA"/>
        </w:rPr>
        <w:t xml:space="preserve"> </w:t>
      </w:r>
      <w:r>
        <w:rPr>
          <w:rFonts w:ascii="Times New Roman" w:hAnsi="Times New Roman"/>
          <w:lang w:val="sr-Cyrl-BA"/>
        </w:rPr>
        <w:t>јавних</w:t>
      </w:r>
      <w:r w:rsidR="003469A0" w:rsidRPr="00295637">
        <w:rPr>
          <w:rFonts w:ascii="Times New Roman" w:hAnsi="Times New Roman"/>
          <w:lang w:val="sr-Cyrl-BA"/>
        </w:rPr>
        <w:t xml:space="preserve"> </w:t>
      </w:r>
      <w:r>
        <w:rPr>
          <w:rFonts w:ascii="Times New Roman" w:hAnsi="Times New Roman"/>
          <w:lang w:val="sr-Cyrl-BA"/>
        </w:rPr>
        <w:t>политика</w:t>
      </w:r>
      <w:r w:rsidR="003469A0" w:rsidRPr="00295637">
        <w:rPr>
          <w:rFonts w:ascii="Times New Roman" w:hAnsi="Times New Roman"/>
          <w:lang w:val="sr-Cyrl-BA"/>
        </w:rPr>
        <w:t xml:space="preserve"> </w:t>
      </w:r>
      <w:r>
        <w:rPr>
          <w:rFonts w:ascii="Times New Roman" w:hAnsi="Times New Roman"/>
          <w:lang w:val="sr-Latn-BA"/>
        </w:rPr>
        <w:t>и</w:t>
      </w:r>
      <w:r w:rsidR="003469A0" w:rsidRPr="00295637">
        <w:rPr>
          <w:rFonts w:ascii="Times New Roman" w:hAnsi="Times New Roman"/>
          <w:lang w:val="sr-Cyrl-BA"/>
        </w:rPr>
        <w:t xml:space="preserve"> </w:t>
      </w:r>
      <w:r>
        <w:rPr>
          <w:rFonts w:ascii="Times New Roman" w:hAnsi="Times New Roman"/>
          <w:lang w:val="sr-Cyrl-BA"/>
        </w:rPr>
        <w:t>разговарало</w:t>
      </w:r>
      <w:r w:rsidR="003469A0" w:rsidRPr="00295637">
        <w:rPr>
          <w:rFonts w:ascii="Times New Roman" w:hAnsi="Times New Roman"/>
          <w:lang w:val="sr-Cyrl-BA"/>
        </w:rPr>
        <w:t xml:space="preserve"> </w:t>
      </w:r>
      <w:r>
        <w:rPr>
          <w:rFonts w:ascii="Times New Roman" w:hAnsi="Times New Roman"/>
          <w:lang w:val="sr-Latn-BA"/>
        </w:rPr>
        <w:t>се</w:t>
      </w:r>
      <w:r w:rsidR="003469A0" w:rsidRPr="00295637">
        <w:rPr>
          <w:rFonts w:ascii="Times New Roman" w:hAnsi="Times New Roman"/>
          <w:lang w:val="sr-Latn-BA"/>
        </w:rPr>
        <w:t xml:space="preserve"> </w:t>
      </w:r>
      <w:r>
        <w:rPr>
          <w:rFonts w:ascii="Times New Roman" w:hAnsi="Times New Roman"/>
          <w:lang w:val="sr-Cyrl-BA"/>
        </w:rPr>
        <w:t>о</w:t>
      </w:r>
      <w:r w:rsidR="003469A0" w:rsidRPr="00295637">
        <w:rPr>
          <w:rFonts w:ascii="Times New Roman" w:hAnsi="Times New Roman"/>
          <w:lang w:val="sr-Cyrl-BA"/>
        </w:rPr>
        <w:t xml:space="preserve"> </w:t>
      </w:r>
      <w:r>
        <w:rPr>
          <w:rFonts w:ascii="Times New Roman" w:hAnsi="Times New Roman"/>
          <w:lang w:val="sr-Cyrl-BA"/>
        </w:rPr>
        <w:t>активностима</w:t>
      </w:r>
      <w:r w:rsidR="003469A0" w:rsidRPr="00295637">
        <w:rPr>
          <w:rFonts w:ascii="Times New Roman" w:hAnsi="Times New Roman"/>
          <w:lang w:val="sr-Cyrl-BA"/>
        </w:rPr>
        <w:t xml:space="preserve"> </w:t>
      </w:r>
      <w:r>
        <w:rPr>
          <w:rFonts w:ascii="Times New Roman" w:hAnsi="Times New Roman"/>
          <w:lang w:val="sr-Cyrl-BA"/>
        </w:rPr>
        <w:t>које</w:t>
      </w:r>
      <w:r w:rsidR="003469A0" w:rsidRPr="00295637">
        <w:rPr>
          <w:rFonts w:ascii="Times New Roman" w:hAnsi="Times New Roman"/>
          <w:lang w:val="sr-Cyrl-BA"/>
        </w:rPr>
        <w:t xml:space="preserve"> </w:t>
      </w:r>
      <w:r>
        <w:rPr>
          <w:rFonts w:ascii="Times New Roman" w:hAnsi="Times New Roman"/>
          <w:lang w:val="sr-Cyrl-BA"/>
        </w:rPr>
        <w:t>ће</w:t>
      </w:r>
      <w:r w:rsidR="003469A0" w:rsidRPr="00295637">
        <w:rPr>
          <w:rFonts w:ascii="Times New Roman" w:hAnsi="Times New Roman"/>
          <w:lang w:val="sr-Cyrl-BA"/>
        </w:rPr>
        <w:t xml:space="preserve"> </w:t>
      </w:r>
      <w:r>
        <w:rPr>
          <w:rFonts w:ascii="Times New Roman" w:hAnsi="Times New Roman"/>
          <w:lang w:val="sr-Cyrl-BA"/>
        </w:rPr>
        <w:t>допринијети</w:t>
      </w:r>
      <w:r w:rsidR="003469A0" w:rsidRPr="00295637">
        <w:rPr>
          <w:rFonts w:ascii="Times New Roman" w:hAnsi="Times New Roman"/>
          <w:lang w:val="sr-Cyrl-BA"/>
        </w:rPr>
        <w:t xml:space="preserve"> </w:t>
      </w:r>
      <w:r>
        <w:rPr>
          <w:rFonts w:ascii="Times New Roman" w:hAnsi="Times New Roman"/>
          <w:lang w:val="sr-Cyrl-BA"/>
        </w:rPr>
        <w:t>унапређењу</w:t>
      </w:r>
      <w:r w:rsidR="003469A0" w:rsidRPr="00295637">
        <w:rPr>
          <w:rFonts w:ascii="Times New Roman" w:hAnsi="Times New Roman"/>
          <w:lang w:val="sr-Cyrl-BA"/>
        </w:rPr>
        <w:t xml:space="preserve"> </w:t>
      </w:r>
      <w:r>
        <w:rPr>
          <w:rFonts w:ascii="Times New Roman" w:hAnsi="Times New Roman"/>
          <w:lang w:val="sr-Cyrl-BA"/>
        </w:rPr>
        <w:t>положаја</w:t>
      </w:r>
      <w:r w:rsidR="003469A0" w:rsidRPr="00295637">
        <w:rPr>
          <w:rFonts w:ascii="Times New Roman" w:hAnsi="Times New Roman"/>
          <w:lang w:val="sr-Cyrl-BA"/>
        </w:rPr>
        <w:t xml:space="preserve"> </w:t>
      </w:r>
      <w:r>
        <w:rPr>
          <w:rFonts w:ascii="Times New Roman" w:hAnsi="Times New Roman"/>
          <w:lang w:val="sr-Cyrl-BA"/>
        </w:rPr>
        <w:t>жена</w:t>
      </w:r>
      <w:r w:rsidR="003469A0" w:rsidRPr="00295637">
        <w:rPr>
          <w:rFonts w:ascii="Times New Roman" w:hAnsi="Times New Roman"/>
          <w:lang w:val="sr-Cyrl-BA"/>
        </w:rPr>
        <w:t xml:space="preserve"> </w:t>
      </w:r>
      <w:r>
        <w:rPr>
          <w:rFonts w:ascii="Times New Roman" w:hAnsi="Times New Roman"/>
          <w:lang w:val="sr-Cyrl-BA"/>
        </w:rPr>
        <w:t>и</w:t>
      </w:r>
      <w:r w:rsidR="003469A0" w:rsidRPr="00295637">
        <w:rPr>
          <w:rFonts w:ascii="Times New Roman" w:hAnsi="Times New Roman"/>
          <w:lang w:val="sr-Cyrl-BA"/>
        </w:rPr>
        <w:t xml:space="preserve"> </w:t>
      </w:r>
      <w:r>
        <w:rPr>
          <w:rFonts w:ascii="Times New Roman" w:hAnsi="Times New Roman"/>
          <w:lang w:val="sr-Cyrl-BA"/>
        </w:rPr>
        <w:t>мушкараца</w:t>
      </w:r>
      <w:r w:rsidR="003469A0" w:rsidRPr="00295637">
        <w:rPr>
          <w:rFonts w:ascii="Times New Roman" w:hAnsi="Times New Roman"/>
          <w:lang w:val="sr-Cyrl-BA"/>
        </w:rPr>
        <w:t xml:space="preserve"> </w:t>
      </w:r>
      <w:r>
        <w:rPr>
          <w:rFonts w:ascii="Times New Roman" w:hAnsi="Times New Roman"/>
          <w:lang w:val="sr-Cyrl-BA"/>
        </w:rPr>
        <w:t>на</w:t>
      </w:r>
      <w:r w:rsidR="003469A0" w:rsidRPr="00295637">
        <w:rPr>
          <w:rFonts w:ascii="Times New Roman" w:hAnsi="Times New Roman"/>
          <w:lang w:val="sr-Cyrl-BA"/>
        </w:rPr>
        <w:t xml:space="preserve"> </w:t>
      </w:r>
      <w:r>
        <w:rPr>
          <w:rFonts w:ascii="Times New Roman" w:hAnsi="Times New Roman"/>
          <w:lang w:val="sr-Cyrl-BA"/>
        </w:rPr>
        <w:t>локално</w:t>
      </w:r>
      <w:r>
        <w:rPr>
          <w:rFonts w:ascii="Times New Roman" w:hAnsi="Times New Roman"/>
          <w:lang w:val="hr-HR"/>
        </w:rPr>
        <w:t>м</w:t>
      </w:r>
      <w:r w:rsidR="003469A0" w:rsidRPr="00295637">
        <w:rPr>
          <w:rFonts w:ascii="Times New Roman" w:hAnsi="Times New Roman"/>
          <w:lang w:val="sr-Cyrl-BA"/>
        </w:rPr>
        <w:t xml:space="preserve"> </w:t>
      </w:r>
      <w:r>
        <w:rPr>
          <w:rFonts w:ascii="Times New Roman" w:hAnsi="Times New Roman"/>
          <w:lang w:val="hr-HR"/>
        </w:rPr>
        <w:t>нивоу</w:t>
      </w:r>
      <w:r w:rsidR="003469A0" w:rsidRPr="00295637">
        <w:rPr>
          <w:rFonts w:ascii="Times New Roman" w:hAnsi="Times New Roman"/>
          <w:lang w:val="sr-Cyrl-BA"/>
        </w:rPr>
        <w:t xml:space="preserve">. </w:t>
      </w:r>
      <w:r>
        <w:rPr>
          <w:rFonts w:ascii="Times New Roman" w:hAnsi="Times New Roman"/>
          <w:lang w:val="sr-Cyrl-BA"/>
        </w:rPr>
        <w:t>Представници</w:t>
      </w:r>
      <w:r w:rsidR="003469A0" w:rsidRPr="00295637">
        <w:rPr>
          <w:rFonts w:ascii="Times New Roman" w:hAnsi="Times New Roman"/>
          <w:lang w:val="sr-Cyrl-BA"/>
        </w:rPr>
        <w:t xml:space="preserve"> </w:t>
      </w:r>
      <w:r>
        <w:rPr>
          <w:rFonts w:ascii="Times New Roman" w:hAnsi="Times New Roman"/>
          <w:lang w:val="sr-Latn-BA"/>
        </w:rPr>
        <w:t>СОГ</w:t>
      </w:r>
      <w:r w:rsidR="003469A0" w:rsidRPr="00295637">
        <w:rPr>
          <w:rFonts w:ascii="Times New Roman" w:hAnsi="Times New Roman"/>
          <w:lang w:val="sr-Latn-BA"/>
        </w:rPr>
        <w:t xml:space="preserve"> </w:t>
      </w:r>
      <w:r>
        <w:rPr>
          <w:rFonts w:ascii="Times New Roman" w:hAnsi="Times New Roman"/>
          <w:lang w:val="sr-Latn-BA"/>
        </w:rPr>
        <w:t>РС</w:t>
      </w:r>
      <w:r w:rsidR="003469A0" w:rsidRPr="00295637">
        <w:rPr>
          <w:rFonts w:ascii="Times New Roman" w:hAnsi="Times New Roman"/>
          <w:lang w:val="sr-Cyrl-BA"/>
        </w:rPr>
        <w:t xml:space="preserve"> </w:t>
      </w:r>
      <w:r>
        <w:rPr>
          <w:rFonts w:ascii="Times New Roman" w:hAnsi="Times New Roman"/>
          <w:lang w:val="sr-Cyrl-BA"/>
        </w:rPr>
        <w:t>и</w:t>
      </w:r>
      <w:r w:rsidR="003469A0" w:rsidRPr="00295637">
        <w:rPr>
          <w:rFonts w:ascii="Times New Roman" w:hAnsi="Times New Roman"/>
          <w:lang w:val="sr-Cyrl-BA"/>
        </w:rPr>
        <w:t xml:space="preserve"> </w:t>
      </w:r>
      <w:r>
        <w:rPr>
          <w:rFonts w:ascii="Times New Roman" w:hAnsi="Times New Roman"/>
          <w:lang w:val="sr-Cyrl-BA"/>
        </w:rPr>
        <w:t>јединица</w:t>
      </w:r>
      <w:r w:rsidR="003469A0" w:rsidRPr="00295637">
        <w:rPr>
          <w:rFonts w:ascii="Times New Roman" w:hAnsi="Times New Roman"/>
          <w:lang w:val="sr-Cyrl-BA"/>
        </w:rPr>
        <w:t xml:space="preserve"> </w:t>
      </w:r>
      <w:r>
        <w:rPr>
          <w:rFonts w:ascii="Times New Roman" w:hAnsi="Times New Roman"/>
          <w:lang w:val="sr-Cyrl-BA"/>
        </w:rPr>
        <w:t>локалне</w:t>
      </w:r>
      <w:r w:rsidR="003469A0" w:rsidRPr="00295637">
        <w:rPr>
          <w:rFonts w:ascii="Times New Roman" w:hAnsi="Times New Roman"/>
          <w:lang w:val="sr-Cyrl-BA"/>
        </w:rPr>
        <w:t xml:space="preserve"> </w:t>
      </w:r>
      <w:r>
        <w:rPr>
          <w:rFonts w:ascii="Times New Roman" w:hAnsi="Times New Roman"/>
          <w:lang w:val="sr-Cyrl-BA"/>
        </w:rPr>
        <w:t>самоуправе</w:t>
      </w:r>
      <w:r w:rsidR="003469A0" w:rsidRPr="00295637">
        <w:rPr>
          <w:rFonts w:ascii="Times New Roman" w:hAnsi="Times New Roman"/>
          <w:lang w:val="sr-Cyrl-BA"/>
        </w:rPr>
        <w:t xml:space="preserve"> </w:t>
      </w:r>
      <w:r>
        <w:rPr>
          <w:rFonts w:ascii="Times New Roman" w:hAnsi="Times New Roman"/>
          <w:lang w:val="sr-Cyrl-BA"/>
        </w:rPr>
        <w:t>потписали</w:t>
      </w:r>
      <w:r w:rsidR="003469A0" w:rsidRPr="00295637">
        <w:rPr>
          <w:rFonts w:ascii="Times New Roman" w:hAnsi="Times New Roman"/>
          <w:lang w:val="sr-Cyrl-BA"/>
        </w:rPr>
        <w:t xml:space="preserve"> </w:t>
      </w:r>
      <w:r>
        <w:rPr>
          <w:rFonts w:ascii="Times New Roman" w:hAnsi="Times New Roman"/>
          <w:lang w:val="sr-Cyrl-BA"/>
        </w:rPr>
        <w:t>су</w:t>
      </w:r>
      <w:r w:rsidR="003469A0" w:rsidRPr="00295637">
        <w:rPr>
          <w:rFonts w:ascii="Times New Roman" w:hAnsi="Times New Roman"/>
          <w:lang w:val="sr-Cyrl-BA"/>
        </w:rPr>
        <w:t xml:space="preserve"> </w:t>
      </w:r>
      <w:r>
        <w:rPr>
          <w:rFonts w:ascii="Times New Roman" w:hAnsi="Times New Roman"/>
          <w:lang w:val="sr-Cyrl-BA"/>
        </w:rPr>
        <w:t>Декларацију</w:t>
      </w:r>
      <w:r w:rsidR="003469A0" w:rsidRPr="00295637">
        <w:rPr>
          <w:rFonts w:ascii="Times New Roman" w:hAnsi="Times New Roman"/>
          <w:lang w:val="sr-Cyrl-BA"/>
        </w:rPr>
        <w:t xml:space="preserve"> </w:t>
      </w:r>
      <w:r>
        <w:rPr>
          <w:rFonts w:ascii="Times New Roman" w:hAnsi="Times New Roman"/>
          <w:lang w:val="sr-Cyrl-BA"/>
        </w:rPr>
        <w:t>која</w:t>
      </w:r>
      <w:r w:rsidR="003469A0" w:rsidRPr="00295637">
        <w:rPr>
          <w:rFonts w:ascii="Times New Roman" w:hAnsi="Times New Roman"/>
          <w:lang w:val="sr-Cyrl-BA"/>
        </w:rPr>
        <w:t xml:space="preserve"> </w:t>
      </w:r>
      <w:r>
        <w:rPr>
          <w:rFonts w:ascii="Times New Roman" w:hAnsi="Times New Roman"/>
          <w:lang w:val="sr-Cyrl-BA"/>
        </w:rPr>
        <w:t>је</w:t>
      </w:r>
      <w:r w:rsidR="003469A0" w:rsidRPr="00295637">
        <w:rPr>
          <w:rFonts w:ascii="Times New Roman" w:hAnsi="Times New Roman"/>
          <w:lang w:val="sr-Cyrl-BA"/>
        </w:rPr>
        <w:t xml:space="preserve"> </w:t>
      </w:r>
      <w:r>
        <w:rPr>
          <w:rFonts w:ascii="Times New Roman" w:hAnsi="Times New Roman"/>
          <w:lang w:val="sr-Cyrl-BA"/>
        </w:rPr>
        <w:t>потврда</w:t>
      </w:r>
      <w:r w:rsidR="003469A0" w:rsidRPr="00295637">
        <w:rPr>
          <w:rFonts w:ascii="Times New Roman" w:hAnsi="Times New Roman"/>
          <w:lang w:val="sr-Cyrl-BA"/>
        </w:rPr>
        <w:t xml:space="preserve"> </w:t>
      </w:r>
      <w:r>
        <w:rPr>
          <w:rFonts w:ascii="Times New Roman" w:hAnsi="Times New Roman"/>
          <w:lang w:val="sr-Cyrl-BA"/>
        </w:rPr>
        <w:t>спремности</w:t>
      </w:r>
      <w:r w:rsidR="003469A0" w:rsidRPr="00295637">
        <w:rPr>
          <w:rFonts w:ascii="Times New Roman" w:hAnsi="Times New Roman"/>
          <w:lang w:val="sr-Cyrl-BA"/>
        </w:rPr>
        <w:t xml:space="preserve"> </w:t>
      </w:r>
      <w:r>
        <w:rPr>
          <w:rFonts w:ascii="Times New Roman" w:hAnsi="Times New Roman"/>
          <w:lang w:val="sr-Cyrl-BA"/>
        </w:rPr>
        <w:t>ЈЛС</w:t>
      </w:r>
      <w:r w:rsidR="003469A0" w:rsidRPr="00295637">
        <w:rPr>
          <w:rFonts w:ascii="Times New Roman" w:hAnsi="Times New Roman"/>
          <w:lang w:val="sr-Cyrl-BA"/>
        </w:rPr>
        <w:t xml:space="preserve"> </w:t>
      </w:r>
      <w:r>
        <w:rPr>
          <w:rFonts w:ascii="Times New Roman" w:hAnsi="Times New Roman"/>
          <w:lang w:val="sr-Cyrl-BA"/>
        </w:rPr>
        <w:t>у</w:t>
      </w:r>
      <w:r w:rsidR="003469A0" w:rsidRPr="00295637">
        <w:rPr>
          <w:rFonts w:ascii="Times New Roman" w:hAnsi="Times New Roman"/>
          <w:lang w:val="sr-Cyrl-BA"/>
        </w:rPr>
        <w:t xml:space="preserve"> </w:t>
      </w:r>
      <w:r w:rsidR="007A6AD7">
        <w:rPr>
          <w:rFonts w:ascii="Times New Roman" w:hAnsi="Times New Roman"/>
          <w:lang w:val="sr-Cyrl-BA"/>
        </w:rPr>
        <w:t>спровођењу</w:t>
      </w:r>
      <w:r w:rsidR="003469A0" w:rsidRPr="00295637">
        <w:rPr>
          <w:rFonts w:ascii="Times New Roman" w:hAnsi="Times New Roman"/>
          <w:lang w:val="sr-Cyrl-BA"/>
        </w:rPr>
        <w:t xml:space="preserve"> </w:t>
      </w:r>
      <w:r>
        <w:rPr>
          <w:rFonts w:ascii="Times New Roman" w:hAnsi="Times New Roman"/>
          <w:lang w:val="sr-Cyrl-BA"/>
        </w:rPr>
        <w:t>начела</w:t>
      </w:r>
      <w:r w:rsidR="003469A0" w:rsidRPr="00295637">
        <w:rPr>
          <w:rFonts w:ascii="Times New Roman" w:hAnsi="Times New Roman"/>
          <w:lang w:val="sr-Cyrl-BA"/>
        </w:rPr>
        <w:t xml:space="preserve"> </w:t>
      </w:r>
      <w:r>
        <w:rPr>
          <w:rFonts w:ascii="Times New Roman" w:hAnsi="Times New Roman"/>
          <w:lang w:val="sr-Cyrl-BA"/>
        </w:rPr>
        <w:t>равноправности</w:t>
      </w:r>
      <w:r w:rsidR="003469A0" w:rsidRPr="00295637">
        <w:rPr>
          <w:rFonts w:ascii="Times New Roman" w:hAnsi="Times New Roman"/>
          <w:lang w:val="sr-Cyrl-BA"/>
        </w:rPr>
        <w:t xml:space="preserve"> </w:t>
      </w:r>
      <w:r>
        <w:rPr>
          <w:rFonts w:ascii="Times New Roman" w:hAnsi="Times New Roman"/>
          <w:lang w:val="sr-Cyrl-BA"/>
        </w:rPr>
        <w:t>на</w:t>
      </w:r>
      <w:r w:rsidR="003469A0" w:rsidRPr="00295637">
        <w:rPr>
          <w:rFonts w:ascii="Times New Roman" w:hAnsi="Times New Roman"/>
          <w:lang w:val="sr-Cyrl-BA"/>
        </w:rPr>
        <w:t xml:space="preserve"> </w:t>
      </w:r>
      <w:r>
        <w:rPr>
          <w:rFonts w:ascii="Times New Roman" w:hAnsi="Times New Roman"/>
          <w:lang w:val="sr-Cyrl-BA"/>
        </w:rPr>
        <w:t>локално</w:t>
      </w:r>
      <w:r>
        <w:rPr>
          <w:rFonts w:ascii="Times New Roman" w:hAnsi="Times New Roman"/>
          <w:lang w:val="hr-HR"/>
        </w:rPr>
        <w:t>м</w:t>
      </w:r>
      <w:r w:rsidR="003469A0" w:rsidRPr="00295637">
        <w:rPr>
          <w:rFonts w:ascii="Times New Roman" w:hAnsi="Times New Roman"/>
          <w:lang w:val="sr-Cyrl-BA"/>
        </w:rPr>
        <w:t xml:space="preserve"> </w:t>
      </w:r>
      <w:r>
        <w:rPr>
          <w:rFonts w:ascii="Times New Roman" w:hAnsi="Times New Roman"/>
          <w:lang w:val="hr-HR"/>
        </w:rPr>
        <w:t>нивоу</w:t>
      </w:r>
      <w:r w:rsidR="003469A0" w:rsidRPr="00295637">
        <w:rPr>
          <w:rFonts w:ascii="Times New Roman" w:hAnsi="Times New Roman"/>
          <w:lang w:val="sr-Cyrl-BA"/>
        </w:rPr>
        <w:t>.</w:t>
      </w:r>
    </w:p>
    <w:p w:rsidR="003469A0" w:rsidRPr="00295637" w:rsidRDefault="003469A0" w:rsidP="0086268D">
      <w:pPr>
        <w:pStyle w:val="ListParagraph"/>
        <w:ind w:left="0"/>
        <w:jc w:val="both"/>
        <w:rPr>
          <w:rFonts w:ascii="Times New Roman" w:hAnsi="Times New Roman"/>
          <w:lang w:val="sr-Latn-BA"/>
        </w:rPr>
      </w:pPr>
    </w:p>
    <w:p w:rsidR="003469A0" w:rsidRPr="00295637" w:rsidRDefault="00C6214E" w:rsidP="0086268D">
      <w:pPr>
        <w:pStyle w:val="ListParagraph"/>
        <w:ind w:left="0"/>
        <w:jc w:val="both"/>
        <w:rPr>
          <w:rFonts w:ascii="Times New Roman" w:hAnsi="Times New Roman"/>
          <w:lang w:val="sr-Latn-BA"/>
        </w:rPr>
      </w:pPr>
      <w:r>
        <w:rPr>
          <w:rFonts w:ascii="Times New Roman" w:hAnsi="Times New Roman"/>
          <w:lang w:val="sr-Latn-BA"/>
        </w:rPr>
        <w:t>ЦЈРП</w:t>
      </w:r>
      <w:r w:rsidR="003469A0" w:rsidRPr="00295637">
        <w:rPr>
          <w:rFonts w:ascii="Times New Roman" w:hAnsi="Times New Roman"/>
          <w:lang w:val="sr-Latn-BA"/>
        </w:rPr>
        <w:t xml:space="preserve"> </w:t>
      </w:r>
      <w:r>
        <w:rPr>
          <w:rFonts w:ascii="Times New Roman" w:hAnsi="Times New Roman"/>
          <w:lang w:val="sr-Latn-BA"/>
        </w:rPr>
        <w:t>РС</w:t>
      </w:r>
      <w:r w:rsidR="003469A0" w:rsidRPr="00295637">
        <w:rPr>
          <w:rFonts w:ascii="Times New Roman" w:hAnsi="Times New Roman"/>
          <w:lang w:val="sr-Latn-BA"/>
        </w:rPr>
        <w:t xml:space="preserve"> </w:t>
      </w:r>
      <w:r>
        <w:rPr>
          <w:rFonts w:ascii="Times New Roman" w:hAnsi="Times New Roman"/>
          <w:lang w:val="sr-Latn-BA"/>
        </w:rPr>
        <w:t>је</w:t>
      </w:r>
      <w:r w:rsidR="003469A0" w:rsidRPr="00295637">
        <w:rPr>
          <w:rFonts w:ascii="Times New Roman" w:hAnsi="Times New Roman"/>
          <w:lang w:val="sr-Latn-BA"/>
        </w:rPr>
        <w:t xml:space="preserve"> </w:t>
      </w:r>
      <w:r>
        <w:rPr>
          <w:rFonts w:ascii="Times New Roman" w:hAnsi="Times New Roman"/>
          <w:lang w:val="sr-Latn-BA"/>
        </w:rPr>
        <w:t>у</w:t>
      </w:r>
      <w:r w:rsidR="003469A0" w:rsidRPr="00295637">
        <w:rPr>
          <w:rFonts w:ascii="Times New Roman" w:hAnsi="Times New Roman"/>
          <w:lang w:val="sr-Latn-BA"/>
        </w:rPr>
        <w:t xml:space="preserve"> </w:t>
      </w:r>
      <w:r>
        <w:rPr>
          <w:rFonts w:ascii="Times New Roman" w:hAnsi="Times New Roman"/>
          <w:lang w:val="sr-Latn-BA"/>
        </w:rPr>
        <w:t>извјештајном</w:t>
      </w:r>
      <w:r w:rsidR="003469A0" w:rsidRPr="00295637">
        <w:rPr>
          <w:rFonts w:ascii="Times New Roman" w:hAnsi="Times New Roman"/>
          <w:lang w:val="sr-Latn-BA"/>
        </w:rPr>
        <w:t xml:space="preserve"> </w:t>
      </w:r>
      <w:r>
        <w:rPr>
          <w:rFonts w:ascii="Times New Roman" w:hAnsi="Times New Roman"/>
          <w:lang w:val="sr-Latn-BA"/>
        </w:rPr>
        <w:t>периоду</w:t>
      </w:r>
      <w:r w:rsidR="003469A0" w:rsidRPr="00295637">
        <w:rPr>
          <w:rFonts w:ascii="Times New Roman" w:hAnsi="Times New Roman"/>
          <w:lang w:val="sr-Latn-BA"/>
        </w:rPr>
        <w:t xml:space="preserve"> </w:t>
      </w:r>
      <w:r>
        <w:rPr>
          <w:rFonts w:ascii="Times New Roman" w:hAnsi="Times New Roman"/>
          <w:lang w:val="sr-Latn-BA"/>
        </w:rPr>
        <w:t>о</w:t>
      </w:r>
      <w:r w:rsidR="007A6AD7">
        <w:rPr>
          <w:rFonts w:ascii="Times New Roman" w:hAnsi="Times New Roman"/>
          <w:lang w:val="sr-Cyrl-BA"/>
        </w:rPr>
        <w:t>безбиједио</w:t>
      </w:r>
      <w:r w:rsidR="003469A0" w:rsidRPr="00295637">
        <w:rPr>
          <w:rFonts w:ascii="Times New Roman" w:hAnsi="Times New Roman"/>
          <w:lang w:val="sr-Latn-BA"/>
        </w:rPr>
        <w:t xml:space="preserve"> </w:t>
      </w:r>
      <w:r>
        <w:rPr>
          <w:rFonts w:ascii="Times New Roman" w:hAnsi="Times New Roman"/>
          <w:lang w:val="sr-Latn-BA"/>
        </w:rPr>
        <w:t>п</w:t>
      </w:r>
      <w:r>
        <w:rPr>
          <w:rFonts w:ascii="Times New Roman" w:hAnsi="Times New Roman"/>
          <w:lang w:val="sr-Cyrl-BA"/>
        </w:rPr>
        <w:t>исмо</w:t>
      </w:r>
      <w:r w:rsidR="003469A0"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дршке</w:t>
      </w:r>
      <w:r w:rsidR="00F3633A">
        <w:rPr>
          <w:rFonts w:ascii="Times New Roman" w:hAnsi="Times New Roman"/>
          <w:lang w:val="sr-Cyrl-BA"/>
        </w:rPr>
        <w:t xml:space="preserve"> </w:t>
      </w:r>
      <w:r>
        <w:rPr>
          <w:rFonts w:ascii="Times New Roman" w:hAnsi="Times New Roman"/>
          <w:lang w:val="sr-Cyrl-BA"/>
        </w:rPr>
        <w:t>за</w:t>
      </w:r>
      <w:r w:rsidR="00F3633A">
        <w:rPr>
          <w:rFonts w:ascii="Times New Roman" w:hAnsi="Times New Roman"/>
          <w:lang w:val="sr-Cyrl-BA"/>
        </w:rPr>
        <w:t xml:space="preserve"> </w:t>
      </w:r>
      <w:r>
        <w:rPr>
          <w:rFonts w:ascii="Times New Roman" w:hAnsi="Times New Roman"/>
          <w:lang w:val="sr-Cyrl-BA"/>
        </w:rPr>
        <w:t>пројек</w:t>
      </w:r>
      <w:r>
        <w:rPr>
          <w:rFonts w:ascii="Times New Roman" w:hAnsi="Times New Roman"/>
          <w:lang w:val="hr-HR"/>
        </w:rPr>
        <w:t>а</w:t>
      </w:r>
      <w:r>
        <w:rPr>
          <w:rFonts w:ascii="Times New Roman" w:hAnsi="Times New Roman"/>
          <w:lang w:val="sr-Cyrl-BA"/>
        </w:rPr>
        <w:t>т</w:t>
      </w:r>
      <w:r w:rsidR="003469A0" w:rsidRPr="00295637">
        <w:rPr>
          <w:rFonts w:ascii="Times New Roman" w:hAnsi="Times New Roman"/>
          <w:lang w:val="sr-Cyrl-BA"/>
        </w:rPr>
        <w:t xml:space="preserve"> </w:t>
      </w:r>
      <w:r w:rsidR="00F3633A">
        <w:rPr>
          <w:rFonts w:ascii="Times New Roman" w:hAnsi="Times New Roman"/>
          <w:lang w:val="hr-HR"/>
        </w:rPr>
        <w:t>„</w:t>
      </w:r>
      <w:r w:rsidR="007A6AD7" w:rsidRPr="007A6AD7">
        <w:rPr>
          <w:rFonts w:ascii="Times New Roman" w:hAnsi="Times New Roman"/>
          <w:i/>
          <w:lang w:val="sr-Cyrl-BA"/>
        </w:rPr>
        <w:t>Harmony Home: Encouraging shared care for gender equality</w:t>
      </w:r>
      <w:r w:rsidR="003469A0" w:rsidRPr="00295637">
        <w:rPr>
          <w:rFonts w:ascii="Times New Roman" w:hAnsi="Times New Roman"/>
          <w:lang w:val="sr-Cyrl-BA"/>
        </w:rPr>
        <w:t xml:space="preserve"> / </w:t>
      </w:r>
      <w:r>
        <w:rPr>
          <w:rFonts w:ascii="Times New Roman" w:hAnsi="Times New Roman"/>
          <w:lang w:val="sr-Cyrl-BA"/>
        </w:rPr>
        <w:t>Хармоничан</w:t>
      </w:r>
      <w:r w:rsidR="003469A0" w:rsidRPr="00295637">
        <w:rPr>
          <w:rFonts w:ascii="Times New Roman" w:hAnsi="Times New Roman"/>
          <w:lang w:val="sr-Cyrl-BA"/>
        </w:rPr>
        <w:t xml:space="preserve"> </w:t>
      </w:r>
      <w:r>
        <w:rPr>
          <w:rFonts w:ascii="Times New Roman" w:hAnsi="Times New Roman"/>
          <w:lang w:val="sr-Cyrl-BA"/>
        </w:rPr>
        <w:t>дом</w:t>
      </w:r>
      <w:r w:rsidR="003469A0" w:rsidRPr="00295637">
        <w:rPr>
          <w:rFonts w:ascii="Times New Roman" w:hAnsi="Times New Roman"/>
          <w:lang w:val="sr-Cyrl-BA"/>
        </w:rPr>
        <w:t xml:space="preserve">: </w:t>
      </w:r>
      <w:r>
        <w:rPr>
          <w:rFonts w:ascii="Times New Roman" w:hAnsi="Times New Roman"/>
          <w:lang w:val="sr-Cyrl-BA"/>
        </w:rPr>
        <w:t>По</w:t>
      </w:r>
      <w:r>
        <w:rPr>
          <w:rFonts w:ascii="Times New Roman" w:hAnsi="Times New Roman"/>
          <w:lang w:val="hr-HR"/>
        </w:rPr>
        <w:t>дс</w:t>
      </w:r>
      <w:r>
        <w:rPr>
          <w:rFonts w:ascii="Times New Roman" w:hAnsi="Times New Roman"/>
          <w:lang w:val="sr-Cyrl-BA"/>
        </w:rPr>
        <w:t>тицање</w:t>
      </w:r>
      <w:r w:rsidR="003469A0" w:rsidRPr="00295637">
        <w:rPr>
          <w:rFonts w:ascii="Times New Roman" w:hAnsi="Times New Roman"/>
          <w:lang w:val="sr-Cyrl-BA"/>
        </w:rPr>
        <w:t xml:space="preserve"> </w:t>
      </w:r>
      <w:r>
        <w:rPr>
          <w:rFonts w:ascii="Times New Roman" w:hAnsi="Times New Roman"/>
          <w:lang w:val="sr-Cyrl-BA"/>
        </w:rPr>
        <w:t>заједничког</w:t>
      </w:r>
      <w:r w:rsidR="003469A0" w:rsidRPr="00295637">
        <w:rPr>
          <w:rFonts w:ascii="Times New Roman" w:hAnsi="Times New Roman"/>
          <w:lang w:val="sr-Cyrl-BA"/>
        </w:rPr>
        <w:t xml:space="preserve"> </w:t>
      </w:r>
      <w:r>
        <w:rPr>
          <w:rFonts w:ascii="Times New Roman" w:hAnsi="Times New Roman"/>
          <w:lang w:val="sr-Cyrl-BA"/>
        </w:rPr>
        <w:t>старања</w:t>
      </w:r>
      <w:r w:rsidR="003469A0" w:rsidRPr="00295637">
        <w:rPr>
          <w:rFonts w:ascii="Times New Roman" w:hAnsi="Times New Roman"/>
          <w:lang w:val="sr-Cyrl-BA"/>
        </w:rPr>
        <w:t xml:space="preserve"> </w:t>
      </w:r>
      <w:r>
        <w:rPr>
          <w:rFonts w:ascii="Times New Roman" w:hAnsi="Times New Roman"/>
          <w:lang w:val="sr-Cyrl-BA"/>
        </w:rPr>
        <w:t>за</w:t>
      </w:r>
      <w:r w:rsidR="003469A0" w:rsidRPr="00295637">
        <w:rPr>
          <w:rFonts w:ascii="Times New Roman" w:hAnsi="Times New Roman"/>
          <w:lang w:val="sr-Cyrl-BA"/>
        </w:rPr>
        <w:t xml:space="preserve"> </w:t>
      </w:r>
      <w:r>
        <w:rPr>
          <w:rFonts w:ascii="Times New Roman" w:hAnsi="Times New Roman"/>
          <w:lang w:val="sr-Cyrl-BA"/>
        </w:rPr>
        <w:t>родну</w:t>
      </w:r>
      <w:r w:rsidR="003469A0" w:rsidRPr="00295637">
        <w:rPr>
          <w:rFonts w:ascii="Times New Roman" w:hAnsi="Times New Roman"/>
          <w:lang w:val="sr-Cyrl-BA"/>
        </w:rPr>
        <w:t xml:space="preserve"> </w:t>
      </w:r>
      <w:r>
        <w:rPr>
          <w:rFonts w:ascii="Times New Roman" w:hAnsi="Times New Roman"/>
          <w:lang w:val="sr-Cyrl-BA"/>
        </w:rPr>
        <w:t>равноправност</w:t>
      </w:r>
      <w:r w:rsidR="00F3633A">
        <w:rPr>
          <w:rFonts w:ascii="Times New Roman" w:hAnsi="Times New Roman"/>
          <w:lang w:val="hr-HR"/>
        </w:rPr>
        <w:t>“</w:t>
      </w:r>
      <w:r w:rsidR="003469A0" w:rsidRPr="00295637">
        <w:rPr>
          <w:rFonts w:ascii="Times New Roman" w:hAnsi="Times New Roman"/>
          <w:lang w:val="sr-Cyrl-BA"/>
        </w:rPr>
        <w:t xml:space="preserve"> (</w:t>
      </w:r>
      <w:r>
        <w:rPr>
          <w:rFonts w:ascii="Times New Roman" w:hAnsi="Times New Roman"/>
          <w:lang w:val="sr-Cyrl-BA"/>
        </w:rPr>
        <w:t>кампања</w:t>
      </w:r>
      <w:r w:rsidR="003469A0" w:rsidRPr="00295637">
        <w:rPr>
          <w:rFonts w:ascii="Times New Roman" w:hAnsi="Times New Roman"/>
          <w:lang w:val="sr-Cyrl-BA"/>
        </w:rPr>
        <w:t xml:space="preserve"> </w:t>
      </w:r>
      <w:r>
        <w:rPr>
          <w:rFonts w:ascii="Times New Roman" w:hAnsi="Times New Roman"/>
          <w:lang w:val="sr-Cyrl-BA"/>
        </w:rPr>
        <w:t>за</w:t>
      </w:r>
      <w:r w:rsidR="003469A0" w:rsidRPr="00295637">
        <w:rPr>
          <w:rFonts w:ascii="Times New Roman" w:hAnsi="Times New Roman"/>
          <w:lang w:val="sr-Cyrl-BA"/>
        </w:rPr>
        <w:t xml:space="preserve"> </w:t>
      </w:r>
      <w:r>
        <w:rPr>
          <w:rFonts w:ascii="Times New Roman" w:hAnsi="Times New Roman"/>
          <w:lang w:val="sr-Cyrl-BA"/>
        </w:rPr>
        <w:t>подизање</w:t>
      </w:r>
      <w:r w:rsidR="003469A0" w:rsidRPr="00295637">
        <w:rPr>
          <w:rFonts w:ascii="Times New Roman" w:hAnsi="Times New Roman"/>
          <w:lang w:val="sr-Cyrl-BA"/>
        </w:rPr>
        <w:t xml:space="preserve"> </w:t>
      </w:r>
      <w:r>
        <w:rPr>
          <w:rFonts w:ascii="Times New Roman" w:hAnsi="Times New Roman"/>
          <w:lang w:val="sr-Cyrl-BA"/>
        </w:rPr>
        <w:t>свијести</w:t>
      </w:r>
      <w:r w:rsidR="003469A0" w:rsidRPr="00295637">
        <w:rPr>
          <w:rFonts w:ascii="Times New Roman" w:hAnsi="Times New Roman"/>
          <w:lang w:val="sr-Cyrl-BA"/>
        </w:rPr>
        <w:t xml:space="preserve"> </w:t>
      </w:r>
      <w:r>
        <w:rPr>
          <w:rFonts w:ascii="Times New Roman" w:hAnsi="Times New Roman"/>
          <w:lang w:val="sr-Cyrl-BA"/>
        </w:rPr>
        <w:t>о</w:t>
      </w:r>
      <w:r w:rsidR="003469A0" w:rsidRPr="00295637">
        <w:rPr>
          <w:rFonts w:ascii="Times New Roman" w:hAnsi="Times New Roman"/>
          <w:lang w:val="sr-Cyrl-BA"/>
        </w:rPr>
        <w:t xml:space="preserve"> </w:t>
      </w:r>
      <w:r>
        <w:rPr>
          <w:rFonts w:ascii="Times New Roman" w:hAnsi="Times New Roman"/>
          <w:lang w:val="sr-Cyrl-BA"/>
        </w:rPr>
        <w:t>родној</w:t>
      </w:r>
      <w:r w:rsidR="003469A0" w:rsidRPr="00295637">
        <w:rPr>
          <w:rFonts w:ascii="Times New Roman" w:hAnsi="Times New Roman"/>
          <w:lang w:val="sr-Cyrl-BA"/>
        </w:rPr>
        <w:t xml:space="preserve"> </w:t>
      </w:r>
      <w:r>
        <w:rPr>
          <w:rFonts w:ascii="Times New Roman" w:hAnsi="Times New Roman"/>
          <w:lang w:val="sr-Cyrl-BA"/>
        </w:rPr>
        <w:t>равноправности</w:t>
      </w:r>
      <w:r w:rsidR="003469A0" w:rsidRPr="00295637">
        <w:rPr>
          <w:rFonts w:ascii="Times New Roman" w:hAnsi="Times New Roman"/>
          <w:lang w:val="sr-Cyrl-BA"/>
        </w:rPr>
        <w:t xml:space="preserve">), </w:t>
      </w:r>
      <w:r>
        <w:rPr>
          <w:rFonts w:ascii="Times New Roman" w:hAnsi="Times New Roman"/>
          <w:lang w:val="sr-Cyrl-BA"/>
        </w:rPr>
        <w:t>по</w:t>
      </w:r>
      <w:r w:rsidR="003469A0" w:rsidRPr="00295637">
        <w:rPr>
          <w:rFonts w:ascii="Times New Roman" w:hAnsi="Times New Roman"/>
          <w:lang w:val="sr-Cyrl-BA"/>
        </w:rPr>
        <w:t xml:space="preserve"> </w:t>
      </w:r>
      <w:r>
        <w:rPr>
          <w:rFonts w:ascii="Times New Roman" w:hAnsi="Times New Roman"/>
          <w:lang w:val="sr-Cyrl-BA"/>
        </w:rPr>
        <w:t>молби</w:t>
      </w:r>
      <w:r w:rsidR="003469A0" w:rsidRPr="00295637">
        <w:rPr>
          <w:rFonts w:ascii="Times New Roman" w:hAnsi="Times New Roman"/>
          <w:lang w:val="sr-Cyrl-BA"/>
        </w:rPr>
        <w:t xml:space="preserve"> </w:t>
      </w:r>
      <w:r>
        <w:rPr>
          <w:rFonts w:ascii="Times New Roman" w:hAnsi="Times New Roman"/>
          <w:lang w:val="sr-Cyrl-BA"/>
        </w:rPr>
        <w:t>невладине</w:t>
      </w:r>
      <w:r w:rsidR="003469A0" w:rsidRPr="00295637">
        <w:rPr>
          <w:rFonts w:ascii="Times New Roman" w:hAnsi="Times New Roman"/>
          <w:lang w:val="sr-Cyrl-BA"/>
        </w:rPr>
        <w:t xml:space="preserve"> </w:t>
      </w:r>
      <w:r>
        <w:rPr>
          <w:rFonts w:ascii="Times New Roman" w:hAnsi="Times New Roman"/>
          <w:lang w:val="sr-Cyrl-BA"/>
        </w:rPr>
        <w:t>организације</w:t>
      </w:r>
      <w:r w:rsidR="003469A0" w:rsidRPr="00295637">
        <w:rPr>
          <w:rFonts w:ascii="Times New Roman" w:hAnsi="Times New Roman"/>
          <w:lang w:val="sr-Cyrl-BA"/>
        </w:rPr>
        <w:t xml:space="preserve"> „</w:t>
      </w:r>
      <w:r w:rsidR="007A6AD7" w:rsidRPr="007A6AD7">
        <w:rPr>
          <w:rFonts w:ascii="Times New Roman" w:hAnsi="Times New Roman"/>
          <w:i/>
          <w:lang w:val="sr-Cyrl-BA"/>
        </w:rPr>
        <w:t>Genesis Project</w:t>
      </w:r>
      <w:r w:rsidR="003469A0" w:rsidRPr="00295637">
        <w:rPr>
          <w:rFonts w:ascii="Times New Roman" w:hAnsi="Times New Roman"/>
          <w:lang w:val="sr-Cyrl-BA"/>
        </w:rPr>
        <w:t>“</w:t>
      </w:r>
      <w:r w:rsidR="003469A0" w:rsidRPr="00295637">
        <w:rPr>
          <w:rFonts w:ascii="Times New Roman" w:hAnsi="Times New Roman"/>
          <w:lang w:val="sr-Latn-BA"/>
        </w:rPr>
        <w:t xml:space="preserve"> </w:t>
      </w:r>
      <w:r>
        <w:rPr>
          <w:rFonts w:ascii="Times New Roman" w:hAnsi="Times New Roman"/>
          <w:lang w:val="sr-Latn-BA"/>
        </w:rPr>
        <w:t>Бања</w:t>
      </w:r>
      <w:r w:rsidR="003469A0" w:rsidRPr="00295637">
        <w:rPr>
          <w:rFonts w:ascii="Times New Roman" w:hAnsi="Times New Roman"/>
          <w:lang w:val="sr-Latn-BA"/>
        </w:rPr>
        <w:t xml:space="preserve"> </w:t>
      </w:r>
      <w:r>
        <w:rPr>
          <w:rFonts w:ascii="Times New Roman" w:hAnsi="Times New Roman"/>
          <w:lang w:val="sr-Latn-BA"/>
        </w:rPr>
        <w:t>Лука</w:t>
      </w:r>
      <w:r w:rsidR="003469A0" w:rsidRPr="00295637">
        <w:rPr>
          <w:rFonts w:ascii="Times New Roman" w:hAnsi="Times New Roman"/>
          <w:lang w:val="sr-Latn-BA"/>
        </w:rPr>
        <w:t>.</w:t>
      </w:r>
    </w:p>
    <w:p w:rsidR="00CE2EEA" w:rsidRPr="00295637" w:rsidRDefault="00CE2EEA" w:rsidP="0086268D">
      <w:pPr>
        <w:rPr>
          <w:rFonts w:ascii="Times New Roman" w:eastAsia="Calibri" w:hAnsi="Times New Roman"/>
          <w:szCs w:val="24"/>
          <w:lang w:val="bs-Latn-BA"/>
        </w:rPr>
      </w:pPr>
      <w:r w:rsidRPr="00295637">
        <w:rPr>
          <w:rFonts w:ascii="Times New Roman" w:eastAsia="Calibri" w:hAnsi="Times New Roman"/>
          <w:szCs w:val="24"/>
          <w:lang w:val="bs-Latn-BA"/>
        </w:rPr>
        <w:br w:type="page"/>
      </w:r>
    </w:p>
    <w:p w:rsidR="00356C2C" w:rsidRPr="00295637" w:rsidRDefault="00C6214E" w:rsidP="0086268D">
      <w:pPr>
        <w:pStyle w:val="Heading1"/>
        <w:spacing w:after="0" w:line="240" w:lineRule="auto"/>
        <w:rPr>
          <w:rFonts w:ascii="Times New Roman" w:hAnsi="Times New Roman" w:cs="Times New Roman"/>
          <w:lang w:val="bs-Latn-BA"/>
        </w:rPr>
      </w:pPr>
      <w:bookmarkStart w:id="76" w:name="_Toc195016608"/>
      <w:r>
        <w:rPr>
          <w:rFonts w:ascii="Times New Roman" w:hAnsi="Times New Roman" w:cs="Times New Roman"/>
          <w:lang w:val="bs-Latn-BA"/>
        </w:rPr>
        <w:t>АНЕКСИ</w:t>
      </w:r>
      <w:bookmarkEnd w:id="76"/>
    </w:p>
    <w:p w:rsidR="002D2D24" w:rsidRPr="00295637" w:rsidRDefault="002D2D24" w:rsidP="0086268D">
      <w:pPr>
        <w:rPr>
          <w:rFonts w:ascii="Times New Roman" w:hAnsi="Times New Roman"/>
          <w:szCs w:val="24"/>
          <w:lang w:val="bs-Latn-BA"/>
        </w:rPr>
      </w:pPr>
    </w:p>
    <w:p w:rsidR="001553F4" w:rsidRPr="00295637" w:rsidRDefault="0042017A" w:rsidP="0086268D">
      <w:pPr>
        <w:pStyle w:val="TOC3"/>
        <w:tabs>
          <w:tab w:val="clear" w:pos="1170"/>
        </w:tabs>
        <w:ind w:left="0" w:firstLine="0"/>
      </w:pPr>
      <w:bookmarkStart w:id="77" w:name="_Toc195016609"/>
      <w:r w:rsidRPr="00295637">
        <w:t xml:space="preserve">1. </w:t>
      </w:r>
      <w:bookmarkEnd w:id="77"/>
      <w:r w:rsidR="00C6214E">
        <w:t>Списак</w:t>
      </w:r>
      <w:r w:rsidR="00F800F1" w:rsidRPr="00295637">
        <w:t xml:space="preserve"> </w:t>
      </w:r>
      <w:r w:rsidR="00C6214E">
        <w:t>прописа</w:t>
      </w:r>
      <w:r w:rsidR="00F800F1" w:rsidRPr="00295637">
        <w:t xml:space="preserve"> </w:t>
      </w:r>
      <w:r w:rsidR="00C6214E">
        <w:t>на</w:t>
      </w:r>
      <w:r w:rsidR="00F800F1" w:rsidRPr="00295637">
        <w:t xml:space="preserve"> </w:t>
      </w:r>
      <w:r w:rsidR="00C6214E">
        <w:t>које</w:t>
      </w:r>
      <w:r w:rsidR="00F800F1" w:rsidRPr="00295637">
        <w:t xml:space="preserve"> </w:t>
      </w:r>
      <w:r w:rsidR="00C6214E">
        <w:t>су</w:t>
      </w:r>
      <w:r w:rsidR="00F800F1" w:rsidRPr="00295637">
        <w:t xml:space="preserve"> </w:t>
      </w:r>
      <w:r w:rsidR="00C6214E">
        <w:t>дата</w:t>
      </w:r>
      <w:r w:rsidR="00F3633A">
        <w:t xml:space="preserve"> </w:t>
      </w:r>
      <w:r w:rsidR="00C6214E">
        <w:t>мишљења</w:t>
      </w:r>
      <w:r w:rsidR="00F3633A">
        <w:t xml:space="preserve"> </w:t>
      </w:r>
      <w:r w:rsidR="00C6214E">
        <w:t>о</w:t>
      </w:r>
      <w:r w:rsidR="00F3633A">
        <w:t xml:space="preserve"> </w:t>
      </w:r>
      <w:r w:rsidR="00C6214E">
        <w:t>усклађености</w:t>
      </w:r>
      <w:r w:rsidR="00F3633A">
        <w:t xml:space="preserve"> </w:t>
      </w:r>
      <w:r w:rsidR="00C6214E">
        <w:t>са</w:t>
      </w:r>
      <w:r w:rsidR="00F800F1" w:rsidRPr="00295637">
        <w:t xml:space="preserve"> </w:t>
      </w:r>
      <w:r w:rsidR="00C6214E">
        <w:t>ЗоР</w:t>
      </w:r>
      <w:r w:rsidR="007A6AD7">
        <w:rPr>
          <w:lang w:val="sr-Cyrl-BA"/>
        </w:rPr>
        <w:t>П</w:t>
      </w:r>
      <w:r w:rsidR="00F800F1" w:rsidRPr="00295637">
        <w:t>-</w:t>
      </w:r>
      <w:r w:rsidR="00C6214E">
        <w:t>ом</w:t>
      </w:r>
    </w:p>
    <w:p w:rsidR="00FF0B54" w:rsidRPr="00295637" w:rsidRDefault="00FF0B54" w:rsidP="0086268D">
      <w:pPr>
        <w:rPr>
          <w:lang w:val="en-US"/>
        </w:rPr>
      </w:pP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Приједлог</w:t>
      </w:r>
      <w:r w:rsidR="009C64CB" w:rsidRPr="00295637">
        <w:rPr>
          <w:rFonts w:ascii="Times New Roman" w:hAnsi="Times New Roman"/>
        </w:rPr>
        <w:t xml:space="preserve"> </w:t>
      </w:r>
      <w:r>
        <w:rPr>
          <w:rFonts w:ascii="Times New Roman" w:hAnsi="Times New Roman"/>
        </w:rPr>
        <w:t>Рјешења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именовању</w:t>
      </w:r>
      <w:r w:rsidR="009C64CB" w:rsidRPr="00295637">
        <w:rPr>
          <w:rFonts w:ascii="Times New Roman" w:hAnsi="Times New Roman"/>
        </w:rPr>
        <w:t xml:space="preserve"> </w:t>
      </w:r>
      <w:r>
        <w:rPr>
          <w:rFonts w:ascii="Times New Roman" w:hAnsi="Times New Roman"/>
        </w:rPr>
        <w:t>чланова</w:t>
      </w:r>
      <w:r w:rsidR="009C64CB" w:rsidRPr="00295637">
        <w:rPr>
          <w:rFonts w:ascii="Times New Roman" w:hAnsi="Times New Roman"/>
        </w:rPr>
        <w:t xml:space="preserve"> </w:t>
      </w:r>
      <w:r>
        <w:rPr>
          <w:rFonts w:ascii="Times New Roman" w:hAnsi="Times New Roman"/>
        </w:rPr>
        <w:t>Одбора</w:t>
      </w:r>
      <w:r w:rsidR="009C64CB" w:rsidRPr="00295637">
        <w:rPr>
          <w:rFonts w:ascii="Times New Roman" w:hAnsi="Times New Roman"/>
        </w:rPr>
        <w:t xml:space="preserve"> </w:t>
      </w:r>
      <w:r>
        <w:rPr>
          <w:rFonts w:ascii="Times New Roman" w:hAnsi="Times New Roman"/>
        </w:rPr>
        <w:t>Агенције</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јавне</w:t>
      </w:r>
      <w:r w:rsidR="009C64CB" w:rsidRPr="00295637">
        <w:rPr>
          <w:rFonts w:ascii="Times New Roman" w:hAnsi="Times New Roman"/>
        </w:rPr>
        <w:t xml:space="preserve"> </w:t>
      </w:r>
      <w:r>
        <w:rPr>
          <w:rFonts w:ascii="Times New Roman" w:hAnsi="Times New Roman"/>
        </w:rPr>
        <w:t>набавке</w:t>
      </w:r>
      <w:r w:rsidR="009C64CB" w:rsidRPr="00295637">
        <w:rPr>
          <w:rFonts w:ascii="Times New Roman" w:hAnsi="Times New Roman"/>
        </w:rPr>
        <w:t xml:space="preserve"> </w:t>
      </w:r>
      <w:r>
        <w:rPr>
          <w:rFonts w:ascii="Times New Roman" w:hAnsi="Times New Roman"/>
        </w:rPr>
        <w:t>Босне</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Херцеговине</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Приједлог</w:t>
      </w:r>
      <w:r w:rsidR="009C64CB" w:rsidRPr="00295637">
        <w:rPr>
          <w:rFonts w:ascii="Times New Roman" w:hAnsi="Times New Roman"/>
        </w:rPr>
        <w:t xml:space="preserve"> </w:t>
      </w:r>
      <w:r>
        <w:rPr>
          <w:rFonts w:ascii="Times New Roman" w:hAnsi="Times New Roman"/>
        </w:rPr>
        <w:t>Рјешења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именовању</w:t>
      </w:r>
      <w:r w:rsidR="009C64CB" w:rsidRPr="00295637">
        <w:rPr>
          <w:rFonts w:ascii="Times New Roman" w:hAnsi="Times New Roman"/>
        </w:rPr>
        <w:t xml:space="preserve"> </w:t>
      </w:r>
      <w:r>
        <w:rPr>
          <w:rFonts w:ascii="Times New Roman" w:hAnsi="Times New Roman"/>
        </w:rPr>
        <w:t>посматрача</w:t>
      </w:r>
      <w:r w:rsidR="009C64CB" w:rsidRPr="00295637">
        <w:rPr>
          <w:rFonts w:ascii="Times New Roman" w:hAnsi="Times New Roman"/>
        </w:rPr>
        <w:t xml:space="preserve"> </w:t>
      </w:r>
      <w:r>
        <w:rPr>
          <w:rFonts w:ascii="Times New Roman" w:hAnsi="Times New Roman"/>
        </w:rPr>
        <w:t>у</w:t>
      </w:r>
      <w:r w:rsidR="009C64CB" w:rsidRPr="00295637">
        <w:rPr>
          <w:rFonts w:ascii="Times New Roman" w:hAnsi="Times New Roman"/>
        </w:rPr>
        <w:t xml:space="preserve"> </w:t>
      </w:r>
      <w:r>
        <w:rPr>
          <w:rFonts w:ascii="Times New Roman" w:hAnsi="Times New Roman"/>
        </w:rPr>
        <w:t>Одбору</w:t>
      </w:r>
      <w:r w:rsidR="009C64CB" w:rsidRPr="00295637">
        <w:rPr>
          <w:rFonts w:ascii="Times New Roman" w:hAnsi="Times New Roman"/>
        </w:rPr>
        <w:t xml:space="preserve"> </w:t>
      </w:r>
      <w:r>
        <w:rPr>
          <w:rFonts w:ascii="Times New Roman" w:hAnsi="Times New Roman"/>
        </w:rPr>
        <w:t>Агенције</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јавне</w:t>
      </w:r>
      <w:r w:rsidR="00F3633A">
        <w:rPr>
          <w:rFonts w:ascii="Times New Roman" w:hAnsi="Times New Roman"/>
        </w:rPr>
        <w:t xml:space="preserve"> </w:t>
      </w:r>
      <w:r>
        <w:rPr>
          <w:rFonts w:ascii="Times New Roman" w:hAnsi="Times New Roman"/>
        </w:rPr>
        <w:t>набавке</w:t>
      </w:r>
      <w:r w:rsidR="00F3633A">
        <w:rPr>
          <w:rFonts w:ascii="Times New Roman" w:hAnsi="Times New Roman"/>
        </w:rPr>
        <w:t xml:space="preserve"> </w:t>
      </w:r>
      <w:r>
        <w:rPr>
          <w:rFonts w:ascii="Times New Roman" w:hAnsi="Times New Roman"/>
        </w:rPr>
        <w:t>Босне</w:t>
      </w:r>
      <w:r w:rsidR="00F3633A">
        <w:rPr>
          <w:rFonts w:ascii="Times New Roman" w:hAnsi="Times New Roman"/>
        </w:rPr>
        <w:t xml:space="preserve"> </w:t>
      </w:r>
      <w:r>
        <w:rPr>
          <w:rFonts w:ascii="Times New Roman" w:hAnsi="Times New Roman"/>
        </w:rPr>
        <w:t>и</w:t>
      </w:r>
      <w:r w:rsidR="00F3633A">
        <w:rPr>
          <w:rFonts w:ascii="Times New Roman" w:hAnsi="Times New Roman"/>
        </w:rPr>
        <w:t xml:space="preserve"> </w:t>
      </w:r>
      <w:r>
        <w:rPr>
          <w:rFonts w:ascii="Times New Roman" w:hAnsi="Times New Roman"/>
        </w:rPr>
        <w:t>Херцеговине</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Приједлог</w:t>
      </w:r>
      <w:r w:rsidR="009C64CB" w:rsidRPr="00295637">
        <w:rPr>
          <w:rFonts w:ascii="Times New Roman" w:hAnsi="Times New Roman"/>
        </w:rPr>
        <w:t xml:space="preserve"> </w:t>
      </w:r>
      <w:r>
        <w:rPr>
          <w:rFonts w:ascii="Times New Roman" w:hAnsi="Times New Roman"/>
        </w:rPr>
        <w:t>одлуке</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измјени</w:t>
      </w:r>
      <w:r w:rsidR="009C64CB" w:rsidRPr="00295637">
        <w:rPr>
          <w:rFonts w:ascii="Times New Roman" w:hAnsi="Times New Roman"/>
        </w:rPr>
        <w:t xml:space="preserve"> </w:t>
      </w:r>
      <w:r>
        <w:rPr>
          <w:rFonts w:ascii="Times New Roman" w:hAnsi="Times New Roman"/>
        </w:rPr>
        <w:t>Одлуке</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именовању</w:t>
      </w:r>
      <w:r w:rsidR="009C64CB" w:rsidRPr="00295637">
        <w:rPr>
          <w:rFonts w:ascii="Times New Roman" w:hAnsi="Times New Roman"/>
        </w:rPr>
        <w:t xml:space="preserve"> </w:t>
      </w:r>
      <w:r>
        <w:rPr>
          <w:rFonts w:ascii="Times New Roman" w:hAnsi="Times New Roman"/>
        </w:rPr>
        <w:t>Надзорног</w:t>
      </w:r>
      <w:r w:rsidR="009C64CB" w:rsidRPr="00295637">
        <w:rPr>
          <w:rFonts w:ascii="Times New Roman" w:hAnsi="Times New Roman"/>
        </w:rPr>
        <w:t xml:space="preserve"> </w:t>
      </w:r>
      <w:r>
        <w:rPr>
          <w:rFonts w:ascii="Times New Roman" w:hAnsi="Times New Roman"/>
        </w:rPr>
        <w:t>органа</w:t>
      </w:r>
      <w:r w:rsidR="009C64CB" w:rsidRPr="00295637">
        <w:rPr>
          <w:rFonts w:ascii="Times New Roman" w:hAnsi="Times New Roman"/>
        </w:rPr>
        <w:t xml:space="preserve"> </w:t>
      </w:r>
      <w:r>
        <w:rPr>
          <w:rFonts w:ascii="Times New Roman" w:hAnsi="Times New Roman"/>
        </w:rPr>
        <w:t>над</w:t>
      </w:r>
      <w:r w:rsidR="009C64CB" w:rsidRPr="00295637">
        <w:rPr>
          <w:rFonts w:ascii="Times New Roman" w:hAnsi="Times New Roman"/>
        </w:rPr>
        <w:t xml:space="preserve"> </w:t>
      </w:r>
      <w:r>
        <w:rPr>
          <w:rFonts w:ascii="Times New Roman" w:hAnsi="Times New Roman"/>
        </w:rPr>
        <w:t>примјеном</w:t>
      </w:r>
      <w:r w:rsidR="009C64CB" w:rsidRPr="00295637">
        <w:rPr>
          <w:rFonts w:ascii="Times New Roman" w:hAnsi="Times New Roman"/>
        </w:rPr>
        <w:t xml:space="preserve"> </w:t>
      </w:r>
      <w:r>
        <w:rPr>
          <w:rFonts w:ascii="Times New Roman" w:hAnsi="Times New Roman"/>
        </w:rPr>
        <w:t>Правилника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начину</w:t>
      </w:r>
      <w:r w:rsidR="009C64CB" w:rsidRPr="00295637">
        <w:rPr>
          <w:rFonts w:ascii="Times New Roman" w:hAnsi="Times New Roman"/>
        </w:rPr>
        <w:t xml:space="preserve"> </w:t>
      </w:r>
      <w:r>
        <w:rPr>
          <w:rFonts w:ascii="Times New Roman" w:hAnsi="Times New Roman"/>
        </w:rPr>
        <w:t>контроле</w:t>
      </w:r>
      <w:r w:rsidR="009C64CB" w:rsidRPr="00295637">
        <w:rPr>
          <w:rFonts w:ascii="Times New Roman" w:hAnsi="Times New Roman"/>
        </w:rPr>
        <w:t xml:space="preserve"> </w:t>
      </w:r>
      <w:r>
        <w:rPr>
          <w:rFonts w:ascii="Times New Roman" w:hAnsi="Times New Roman"/>
        </w:rPr>
        <w:t>цијена</w:t>
      </w:r>
      <w:r w:rsidR="009C64CB" w:rsidRPr="00295637">
        <w:rPr>
          <w:rFonts w:ascii="Times New Roman" w:hAnsi="Times New Roman"/>
        </w:rPr>
        <w:t xml:space="preserve">, </w:t>
      </w:r>
      <w:r>
        <w:rPr>
          <w:rFonts w:ascii="Times New Roman" w:hAnsi="Times New Roman"/>
        </w:rPr>
        <w:t>начину</w:t>
      </w:r>
      <w:r w:rsidR="009C64CB" w:rsidRPr="00295637">
        <w:rPr>
          <w:rFonts w:ascii="Times New Roman" w:hAnsi="Times New Roman"/>
        </w:rPr>
        <w:t xml:space="preserve"> </w:t>
      </w:r>
      <w:r>
        <w:rPr>
          <w:rFonts w:ascii="Times New Roman" w:hAnsi="Times New Roman"/>
        </w:rPr>
        <w:t>обликовања</w:t>
      </w:r>
      <w:r w:rsidR="009C64CB" w:rsidRPr="00295637">
        <w:rPr>
          <w:rFonts w:ascii="Times New Roman" w:hAnsi="Times New Roman"/>
        </w:rPr>
        <w:t xml:space="preserve"> </w:t>
      </w:r>
      <w:r>
        <w:rPr>
          <w:rFonts w:ascii="Times New Roman" w:hAnsi="Times New Roman"/>
        </w:rPr>
        <w:t>цијена</w:t>
      </w:r>
      <w:r w:rsidR="009C64CB" w:rsidRPr="00295637">
        <w:rPr>
          <w:rFonts w:ascii="Times New Roman" w:hAnsi="Times New Roman"/>
        </w:rPr>
        <w:t xml:space="preserve"> </w:t>
      </w:r>
      <w:r>
        <w:rPr>
          <w:rFonts w:ascii="Times New Roman" w:hAnsi="Times New Roman"/>
        </w:rPr>
        <w:t>лијекова</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начину</w:t>
      </w:r>
      <w:r w:rsidR="009C64CB" w:rsidRPr="00295637">
        <w:rPr>
          <w:rFonts w:ascii="Times New Roman" w:hAnsi="Times New Roman"/>
        </w:rPr>
        <w:t xml:space="preserve"> </w:t>
      </w:r>
      <w:r>
        <w:rPr>
          <w:rFonts w:ascii="Times New Roman" w:hAnsi="Times New Roman"/>
        </w:rPr>
        <w:t>извјештавања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цијенама</w:t>
      </w:r>
      <w:r w:rsidR="009C64CB" w:rsidRPr="00295637">
        <w:rPr>
          <w:rFonts w:ascii="Times New Roman" w:hAnsi="Times New Roman"/>
        </w:rPr>
        <w:t xml:space="preserve"> </w:t>
      </w:r>
      <w:r>
        <w:rPr>
          <w:rFonts w:ascii="Times New Roman" w:hAnsi="Times New Roman"/>
        </w:rPr>
        <w:t>лијекова</w:t>
      </w:r>
      <w:r w:rsidR="009C64CB" w:rsidRPr="00295637">
        <w:rPr>
          <w:rFonts w:ascii="Times New Roman" w:hAnsi="Times New Roman"/>
        </w:rPr>
        <w:t xml:space="preserve"> </w:t>
      </w:r>
      <w:r>
        <w:rPr>
          <w:rFonts w:ascii="Times New Roman" w:hAnsi="Times New Roman"/>
        </w:rPr>
        <w:t>у</w:t>
      </w:r>
      <w:r w:rsidR="009C64CB" w:rsidRPr="00295637">
        <w:rPr>
          <w:rFonts w:ascii="Times New Roman" w:hAnsi="Times New Roman"/>
        </w:rPr>
        <w:t xml:space="preserve"> </w:t>
      </w:r>
      <w:r>
        <w:rPr>
          <w:rFonts w:ascii="Times New Roman" w:hAnsi="Times New Roman"/>
        </w:rPr>
        <w:t>Босни</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Херцеговини</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Приједлог</w:t>
      </w:r>
      <w:r w:rsidR="009C64CB" w:rsidRPr="00295637">
        <w:rPr>
          <w:rFonts w:ascii="Times New Roman" w:hAnsi="Times New Roman"/>
        </w:rPr>
        <w:t xml:space="preserve"> </w:t>
      </w:r>
      <w:r>
        <w:rPr>
          <w:rFonts w:ascii="Times New Roman" w:hAnsi="Times New Roman"/>
        </w:rPr>
        <w:t>миграци</w:t>
      </w:r>
      <w:r w:rsidR="007A6AD7">
        <w:rPr>
          <w:rFonts w:ascii="Times New Roman" w:hAnsi="Times New Roman"/>
          <w:lang w:val="sr-Cyrl-BA"/>
        </w:rPr>
        <w:t>оног</w:t>
      </w:r>
      <w:r w:rsidR="009C64CB" w:rsidRPr="00295637">
        <w:rPr>
          <w:rFonts w:ascii="Times New Roman" w:hAnsi="Times New Roman"/>
        </w:rPr>
        <w:t xml:space="preserve"> </w:t>
      </w:r>
      <w:r>
        <w:rPr>
          <w:rFonts w:ascii="Times New Roman" w:hAnsi="Times New Roman"/>
        </w:rPr>
        <w:t>профила</w:t>
      </w:r>
      <w:r w:rsidR="009C64CB" w:rsidRPr="00295637">
        <w:rPr>
          <w:rFonts w:ascii="Times New Roman" w:hAnsi="Times New Roman"/>
        </w:rPr>
        <w:t xml:space="preserve"> </w:t>
      </w:r>
      <w:r>
        <w:rPr>
          <w:rFonts w:ascii="Times New Roman" w:hAnsi="Times New Roman"/>
        </w:rPr>
        <w:t>Босне</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Херцеговине</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2023.</w:t>
      </w:r>
      <w:r w:rsidR="00A54FC3">
        <w:rPr>
          <w:rFonts w:ascii="Times New Roman" w:hAnsi="Times New Roman"/>
        </w:rPr>
        <w:t xml:space="preserve"> </w:t>
      </w:r>
      <w:r>
        <w:rPr>
          <w:rFonts w:ascii="Times New Roman" w:hAnsi="Times New Roman"/>
        </w:rPr>
        <w:t>годину</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правилника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привременим</w:t>
      </w:r>
      <w:r w:rsidR="009C64CB" w:rsidRPr="00295637">
        <w:rPr>
          <w:rFonts w:ascii="Times New Roman" w:hAnsi="Times New Roman"/>
        </w:rPr>
        <w:t xml:space="preserve"> </w:t>
      </w:r>
      <w:r>
        <w:rPr>
          <w:rFonts w:ascii="Times New Roman" w:hAnsi="Times New Roman"/>
        </w:rPr>
        <w:t>прихватним</w:t>
      </w:r>
      <w:r w:rsidR="009C64CB" w:rsidRPr="00295637">
        <w:rPr>
          <w:rFonts w:ascii="Times New Roman" w:hAnsi="Times New Roman"/>
        </w:rPr>
        <w:t xml:space="preserve"> </w:t>
      </w:r>
      <w:r>
        <w:rPr>
          <w:rFonts w:ascii="Times New Roman" w:hAnsi="Times New Roman"/>
        </w:rPr>
        <w:t>центрима</w:t>
      </w:r>
      <w:r w:rsidR="00F3633A">
        <w:rPr>
          <w:rFonts w:ascii="Times New Roman" w:hAnsi="Times New Roman"/>
        </w:rPr>
        <w:t xml:space="preserve"> </w:t>
      </w:r>
      <w:r>
        <w:rPr>
          <w:rFonts w:ascii="Times New Roman" w:hAnsi="Times New Roman"/>
        </w:rPr>
        <w:t>за</w:t>
      </w:r>
      <w:r w:rsidR="00F3633A">
        <w:rPr>
          <w:rFonts w:ascii="Times New Roman" w:hAnsi="Times New Roman"/>
        </w:rPr>
        <w:t xml:space="preserve"> </w:t>
      </w:r>
      <w:r>
        <w:rPr>
          <w:rFonts w:ascii="Times New Roman" w:hAnsi="Times New Roman"/>
        </w:rPr>
        <w:t>смјештај</w:t>
      </w:r>
      <w:r w:rsidR="00F3633A">
        <w:rPr>
          <w:rFonts w:ascii="Times New Roman" w:hAnsi="Times New Roman"/>
        </w:rPr>
        <w:t xml:space="preserve"> </w:t>
      </w:r>
      <w:r>
        <w:rPr>
          <w:rFonts w:ascii="Times New Roman" w:hAnsi="Times New Roman"/>
        </w:rPr>
        <w:t>странаца</w:t>
      </w:r>
      <w:r w:rsidR="00F3633A">
        <w:rPr>
          <w:rFonts w:ascii="Times New Roman" w:hAnsi="Times New Roman"/>
        </w:rPr>
        <w:t xml:space="preserve"> </w:t>
      </w:r>
      <w:r>
        <w:rPr>
          <w:rFonts w:ascii="Times New Roman" w:hAnsi="Times New Roman"/>
        </w:rPr>
        <w:t>са</w:t>
      </w:r>
      <w:r w:rsidR="009C64CB" w:rsidRPr="00295637">
        <w:rPr>
          <w:rFonts w:ascii="Times New Roman" w:hAnsi="Times New Roman"/>
        </w:rPr>
        <w:t xml:space="preserve"> </w:t>
      </w:r>
      <w:r>
        <w:rPr>
          <w:rFonts w:ascii="Times New Roman" w:hAnsi="Times New Roman"/>
        </w:rPr>
        <w:t>образложењем</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закона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заштити</w:t>
      </w:r>
      <w:r w:rsidR="009C64CB" w:rsidRPr="00295637">
        <w:rPr>
          <w:rFonts w:ascii="Times New Roman" w:hAnsi="Times New Roman"/>
        </w:rPr>
        <w:t xml:space="preserve"> </w:t>
      </w:r>
      <w:r>
        <w:rPr>
          <w:rFonts w:ascii="Times New Roman" w:hAnsi="Times New Roman"/>
        </w:rPr>
        <w:t>пословне</w:t>
      </w:r>
      <w:r w:rsidR="009C64CB" w:rsidRPr="00295637">
        <w:rPr>
          <w:rFonts w:ascii="Times New Roman" w:hAnsi="Times New Roman"/>
        </w:rPr>
        <w:t xml:space="preserve"> </w:t>
      </w:r>
      <w:r>
        <w:rPr>
          <w:rFonts w:ascii="Times New Roman" w:hAnsi="Times New Roman"/>
        </w:rPr>
        <w:t>тајне</w:t>
      </w:r>
      <w:r w:rsidR="009C64CB" w:rsidRPr="00295637">
        <w:rPr>
          <w:rFonts w:ascii="Times New Roman" w:hAnsi="Times New Roman"/>
        </w:rPr>
        <w:t xml:space="preserve"> </w:t>
      </w:r>
      <w:r>
        <w:rPr>
          <w:rFonts w:ascii="Times New Roman" w:hAnsi="Times New Roman"/>
        </w:rPr>
        <w:t>као</w:t>
      </w:r>
      <w:r w:rsidR="009C64CB" w:rsidRPr="00295637">
        <w:rPr>
          <w:rFonts w:ascii="Times New Roman" w:hAnsi="Times New Roman"/>
        </w:rPr>
        <w:t xml:space="preserve"> </w:t>
      </w:r>
      <w:r>
        <w:rPr>
          <w:rFonts w:ascii="Times New Roman" w:hAnsi="Times New Roman"/>
        </w:rPr>
        <w:t>права</w:t>
      </w:r>
      <w:r w:rsidR="009C64CB" w:rsidRPr="00295637">
        <w:rPr>
          <w:rFonts w:ascii="Times New Roman" w:hAnsi="Times New Roman"/>
        </w:rPr>
        <w:t xml:space="preserve"> </w:t>
      </w:r>
      <w:r>
        <w:rPr>
          <w:rFonts w:ascii="Times New Roman" w:hAnsi="Times New Roman"/>
        </w:rPr>
        <w:t>интелектуалног</w:t>
      </w:r>
      <w:r w:rsidR="009C64CB" w:rsidRPr="00295637">
        <w:rPr>
          <w:rFonts w:ascii="Times New Roman" w:hAnsi="Times New Roman"/>
        </w:rPr>
        <w:t xml:space="preserve"> </w:t>
      </w:r>
      <w:r>
        <w:rPr>
          <w:rFonts w:ascii="Times New Roman" w:hAnsi="Times New Roman"/>
        </w:rPr>
        <w:t>власништва</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закона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заштити</w:t>
      </w:r>
      <w:r w:rsidR="009C64CB" w:rsidRPr="00295637">
        <w:rPr>
          <w:rFonts w:ascii="Times New Roman" w:hAnsi="Times New Roman"/>
        </w:rPr>
        <w:t xml:space="preserve"> </w:t>
      </w:r>
      <w:r>
        <w:rPr>
          <w:rFonts w:ascii="Times New Roman" w:hAnsi="Times New Roman"/>
        </w:rPr>
        <w:t>топографије</w:t>
      </w:r>
      <w:r w:rsidR="009C64CB" w:rsidRPr="00295637">
        <w:rPr>
          <w:rFonts w:ascii="Times New Roman" w:hAnsi="Times New Roman"/>
        </w:rPr>
        <w:t xml:space="preserve"> </w:t>
      </w:r>
      <w:r>
        <w:rPr>
          <w:rFonts w:ascii="Times New Roman" w:hAnsi="Times New Roman"/>
        </w:rPr>
        <w:t>полуводичких</w:t>
      </w:r>
      <w:r w:rsidR="009C64CB" w:rsidRPr="00295637">
        <w:rPr>
          <w:rFonts w:ascii="Times New Roman" w:hAnsi="Times New Roman"/>
        </w:rPr>
        <w:t xml:space="preserve"> </w:t>
      </w:r>
      <w:r>
        <w:rPr>
          <w:rFonts w:ascii="Times New Roman" w:hAnsi="Times New Roman"/>
        </w:rPr>
        <w:t>производа</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закона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патенту</w:t>
      </w:r>
      <w:r w:rsidR="00F3633A">
        <w:rPr>
          <w:rFonts w:ascii="Times New Roman" w:hAnsi="Times New Roman"/>
        </w:rPr>
        <w:t>;</w:t>
      </w:r>
    </w:p>
    <w:p w:rsidR="007F3934" w:rsidRPr="00295637" w:rsidRDefault="00C6214E" w:rsidP="0086268D">
      <w:pPr>
        <w:pStyle w:val="ListParagraph"/>
        <w:numPr>
          <w:ilvl w:val="0"/>
          <w:numId w:val="21"/>
        </w:numPr>
        <w:ind w:left="1440"/>
        <w:rPr>
          <w:rFonts w:ascii="Times New Roman" w:hAnsi="Times New Roman"/>
        </w:rPr>
      </w:pPr>
      <w:r>
        <w:rPr>
          <w:rFonts w:ascii="Times New Roman" w:hAnsi="Times New Roman"/>
        </w:rPr>
        <w:t>Приједлог</w:t>
      </w:r>
      <w:r w:rsidR="009C64CB" w:rsidRPr="00295637">
        <w:rPr>
          <w:rFonts w:ascii="Times New Roman" w:hAnsi="Times New Roman"/>
        </w:rPr>
        <w:t xml:space="preserve"> </w:t>
      </w:r>
      <w:r>
        <w:rPr>
          <w:rFonts w:ascii="Times New Roman" w:hAnsi="Times New Roman"/>
        </w:rPr>
        <w:t>правилника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условима</w:t>
      </w:r>
      <w:r w:rsidR="009C64CB" w:rsidRPr="00295637">
        <w:rPr>
          <w:rFonts w:ascii="Times New Roman" w:hAnsi="Times New Roman"/>
        </w:rPr>
        <w:t xml:space="preserve"> </w:t>
      </w:r>
      <w:r>
        <w:rPr>
          <w:rFonts w:ascii="Times New Roman" w:hAnsi="Times New Roman"/>
        </w:rPr>
        <w:t>набавке</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начину</w:t>
      </w:r>
      <w:r w:rsidR="009C64CB" w:rsidRPr="00295637">
        <w:rPr>
          <w:rFonts w:ascii="Times New Roman" w:hAnsi="Times New Roman"/>
        </w:rPr>
        <w:t xml:space="preserve"> </w:t>
      </w:r>
      <w:r>
        <w:rPr>
          <w:rFonts w:ascii="Times New Roman" w:hAnsi="Times New Roman"/>
        </w:rPr>
        <w:t>употребе</w:t>
      </w:r>
      <w:r w:rsidR="009C64CB" w:rsidRPr="00295637">
        <w:rPr>
          <w:rFonts w:ascii="Times New Roman" w:hAnsi="Times New Roman"/>
        </w:rPr>
        <w:t xml:space="preserve"> </w:t>
      </w:r>
      <w:r>
        <w:rPr>
          <w:rFonts w:ascii="Times New Roman" w:hAnsi="Times New Roman"/>
        </w:rPr>
        <w:t>специјализ</w:t>
      </w:r>
      <w:r w:rsidR="007A6AD7">
        <w:rPr>
          <w:rFonts w:ascii="Times New Roman" w:hAnsi="Times New Roman"/>
          <w:lang w:val="sr-Cyrl-BA"/>
        </w:rPr>
        <w:t>ованих</w:t>
      </w:r>
      <w:r w:rsidR="009C64CB" w:rsidRPr="00295637">
        <w:rPr>
          <w:rFonts w:ascii="Times New Roman" w:hAnsi="Times New Roman"/>
        </w:rPr>
        <w:t xml:space="preserve"> </w:t>
      </w:r>
      <w:r>
        <w:rPr>
          <w:rFonts w:ascii="Times New Roman" w:hAnsi="Times New Roman"/>
        </w:rPr>
        <w:t>службених</w:t>
      </w:r>
      <w:r w:rsidR="007F3934" w:rsidRPr="00295637">
        <w:rPr>
          <w:rFonts w:ascii="Times New Roman" w:hAnsi="Times New Roman"/>
        </w:rPr>
        <w:t xml:space="preserve"> </w:t>
      </w:r>
      <w:r>
        <w:rPr>
          <w:rFonts w:ascii="Times New Roman" w:hAnsi="Times New Roman"/>
        </w:rPr>
        <w:t>возила</w:t>
      </w:r>
      <w:r w:rsidR="00F3633A">
        <w:rPr>
          <w:rFonts w:ascii="Times New Roman" w:hAnsi="Times New Roman"/>
        </w:rPr>
        <w:t>;</w:t>
      </w:r>
      <w:r w:rsidR="009C64CB" w:rsidRPr="00295637">
        <w:rPr>
          <w:rFonts w:ascii="Times New Roman" w:hAnsi="Times New Roman"/>
        </w:rPr>
        <w:t xml:space="preserve"> </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Свеобухватна</w:t>
      </w:r>
      <w:r w:rsidR="009C64CB" w:rsidRPr="00295637">
        <w:rPr>
          <w:rFonts w:ascii="Times New Roman" w:hAnsi="Times New Roman"/>
        </w:rPr>
        <w:t xml:space="preserve"> </w:t>
      </w:r>
      <w:r>
        <w:rPr>
          <w:rFonts w:ascii="Times New Roman" w:hAnsi="Times New Roman"/>
        </w:rPr>
        <w:t>процјена</w:t>
      </w:r>
      <w:r w:rsidR="009C64CB" w:rsidRPr="00295637">
        <w:rPr>
          <w:rFonts w:ascii="Times New Roman" w:hAnsi="Times New Roman"/>
        </w:rPr>
        <w:t xml:space="preserve"> </w:t>
      </w:r>
      <w:r>
        <w:rPr>
          <w:rFonts w:ascii="Times New Roman" w:hAnsi="Times New Roman"/>
        </w:rPr>
        <w:t>утицаја</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Интегри</w:t>
      </w:r>
      <w:r w:rsidR="007A6AD7">
        <w:rPr>
          <w:rFonts w:ascii="Times New Roman" w:hAnsi="Times New Roman"/>
          <w:lang w:val="sr-Cyrl-BA"/>
        </w:rPr>
        <w:t>с</w:t>
      </w:r>
      <w:r>
        <w:rPr>
          <w:rFonts w:ascii="Times New Roman" w:hAnsi="Times New Roman"/>
        </w:rPr>
        <w:t>ани</w:t>
      </w:r>
      <w:r w:rsidR="009C64CB" w:rsidRPr="00295637">
        <w:rPr>
          <w:rFonts w:ascii="Times New Roman" w:hAnsi="Times New Roman"/>
        </w:rPr>
        <w:t xml:space="preserve"> </w:t>
      </w:r>
      <w:r>
        <w:rPr>
          <w:rFonts w:ascii="Times New Roman" w:hAnsi="Times New Roman"/>
        </w:rPr>
        <w:t>енергетски</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климатски</w:t>
      </w:r>
      <w:r w:rsidR="009C64CB" w:rsidRPr="00295637">
        <w:rPr>
          <w:rFonts w:ascii="Times New Roman" w:hAnsi="Times New Roman"/>
        </w:rPr>
        <w:t xml:space="preserve"> </w:t>
      </w:r>
      <w:r>
        <w:rPr>
          <w:rFonts w:ascii="Times New Roman" w:hAnsi="Times New Roman"/>
        </w:rPr>
        <w:t>план</w:t>
      </w:r>
      <w:r w:rsidR="009C64CB" w:rsidRPr="00295637">
        <w:rPr>
          <w:rFonts w:ascii="Times New Roman" w:hAnsi="Times New Roman"/>
        </w:rPr>
        <w:t xml:space="preserve"> </w:t>
      </w:r>
      <w:r>
        <w:rPr>
          <w:rFonts w:ascii="Times New Roman" w:hAnsi="Times New Roman"/>
        </w:rPr>
        <w:t>Босне</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Херцеговине</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период</w:t>
      </w:r>
      <w:r w:rsidR="009C64CB" w:rsidRPr="00295637">
        <w:rPr>
          <w:rFonts w:ascii="Times New Roman" w:hAnsi="Times New Roman"/>
        </w:rPr>
        <w:t xml:space="preserve"> </w:t>
      </w:r>
      <w:r>
        <w:rPr>
          <w:rFonts w:ascii="Times New Roman" w:hAnsi="Times New Roman"/>
        </w:rPr>
        <w:t>до</w:t>
      </w:r>
      <w:r w:rsidR="009C64CB" w:rsidRPr="00295637">
        <w:rPr>
          <w:rFonts w:ascii="Times New Roman" w:hAnsi="Times New Roman"/>
        </w:rPr>
        <w:t xml:space="preserve"> 2030.</w:t>
      </w:r>
      <w:r w:rsidR="00F3633A">
        <w:rPr>
          <w:rFonts w:ascii="Times New Roman" w:hAnsi="Times New Roman"/>
        </w:rPr>
        <w:t xml:space="preserve"> </w:t>
      </w:r>
      <w:r>
        <w:rPr>
          <w:rFonts w:ascii="Times New Roman" w:hAnsi="Times New Roman"/>
        </w:rPr>
        <w:t>године</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Извјештај</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sidR="007A6AD7">
        <w:rPr>
          <w:rFonts w:ascii="Times New Roman" w:hAnsi="Times New Roman"/>
          <w:lang w:val="sr-Cyrl-BA"/>
        </w:rPr>
        <w:t>спровођењу</w:t>
      </w:r>
      <w:r w:rsidR="00A54FC3">
        <w:rPr>
          <w:rFonts w:ascii="Times New Roman" w:hAnsi="Times New Roman"/>
        </w:rPr>
        <w:t xml:space="preserve"> </w:t>
      </w:r>
      <w:r>
        <w:rPr>
          <w:rFonts w:ascii="Times New Roman" w:hAnsi="Times New Roman"/>
        </w:rPr>
        <w:t>стратегије</w:t>
      </w:r>
      <w:r w:rsidR="009C64CB" w:rsidRPr="00295637">
        <w:rPr>
          <w:rFonts w:ascii="Times New Roman" w:hAnsi="Times New Roman"/>
        </w:rPr>
        <w:t xml:space="preserve"> </w:t>
      </w:r>
      <w:r>
        <w:rPr>
          <w:rFonts w:ascii="Times New Roman" w:hAnsi="Times New Roman"/>
        </w:rPr>
        <w:t>јавних</w:t>
      </w:r>
      <w:r w:rsidR="009C64CB" w:rsidRPr="00295637">
        <w:rPr>
          <w:rFonts w:ascii="Times New Roman" w:hAnsi="Times New Roman"/>
        </w:rPr>
        <w:t xml:space="preserve"> </w:t>
      </w:r>
      <w:r>
        <w:rPr>
          <w:rFonts w:ascii="Times New Roman" w:hAnsi="Times New Roman"/>
        </w:rPr>
        <w:t>набавки</w:t>
      </w:r>
      <w:r w:rsidR="009C64CB" w:rsidRPr="00295637">
        <w:rPr>
          <w:rFonts w:ascii="Times New Roman" w:hAnsi="Times New Roman"/>
        </w:rPr>
        <w:t xml:space="preserve"> 2024</w:t>
      </w:r>
      <w:r w:rsidR="00F3633A">
        <w:rPr>
          <w:rFonts w:ascii="Times New Roman" w:hAnsi="Times New Roman"/>
        </w:rPr>
        <w:t>-</w:t>
      </w:r>
      <w:r w:rsidR="009C64CB" w:rsidRPr="00295637">
        <w:rPr>
          <w:rFonts w:ascii="Times New Roman" w:hAnsi="Times New Roman"/>
        </w:rPr>
        <w:t>2028</w:t>
      </w:r>
      <w:r w:rsidR="00F3633A">
        <w:rPr>
          <w:rFonts w:ascii="Times New Roman" w:hAnsi="Times New Roman"/>
        </w:rPr>
        <w:t xml:space="preserve">. </w:t>
      </w:r>
      <w:r>
        <w:rPr>
          <w:rFonts w:ascii="Times New Roman" w:hAnsi="Times New Roman"/>
        </w:rPr>
        <w:t>година</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закона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заступању</w:t>
      </w:r>
      <w:r w:rsidR="009C64CB" w:rsidRPr="00295637">
        <w:rPr>
          <w:rFonts w:ascii="Times New Roman" w:hAnsi="Times New Roman"/>
        </w:rPr>
        <w:t xml:space="preserve"> </w:t>
      </w:r>
      <w:r>
        <w:rPr>
          <w:rFonts w:ascii="Times New Roman" w:hAnsi="Times New Roman"/>
        </w:rPr>
        <w:t>у</w:t>
      </w:r>
      <w:r w:rsidR="009C64CB" w:rsidRPr="00295637">
        <w:rPr>
          <w:rFonts w:ascii="Times New Roman" w:hAnsi="Times New Roman"/>
        </w:rPr>
        <w:t xml:space="preserve"> </w:t>
      </w:r>
      <w:r>
        <w:rPr>
          <w:rFonts w:ascii="Times New Roman" w:hAnsi="Times New Roman"/>
        </w:rPr>
        <w:t>области</w:t>
      </w:r>
      <w:r w:rsidR="00F3633A">
        <w:rPr>
          <w:rFonts w:ascii="Times New Roman" w:hAnsi="Times New Roman"/>
        </w:rPr>
        <w:t xml:space="preserve"> </w:t>
      </w:r>
      <w:r>
        <w:rPr>
          <w:rFonts w:ascii="Times New Roman" w:hAnsi="Times New Roman"/>
        </w:rPr>
        <w:t>права</w:t>
      </w:r>
      <w:r w:rsidR="009C64CB" w:rsidRPr="00295637">
        <w:rPr>
          <w:rFonts w:ascii="Times New Roman" w:hAnsi="Times New Roman"/>
        </w:rPr>
        <w:t xml:space="preserve"> </w:t>
      </w:r>
      <w:r>
        <w:rPr>
          <w:rFonts w:ascii="Times New Roman" w:hAnsi="Times New Roman"/>
        </w:rPr>
        <w:t>индустријског</w:t>
      </w:r>
      <w:r w:rsidR="009C64CB" w:rsidRPr="00295637">
        <w:rPr>
          <w:rFonts w:ascii="Times New Roman" w:hAnsi="Times New Roman"/>
        </w:rPr>
        <w:t xml:space="preserve"> </w:t>
      </w:r>
      <w:r>
        <w:rPr>
          <w:rFonts w:ascii="Times New Roman" w:hAnsi="Times New Roman"/>
        </w:rPr>
        <w:t>власништва</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закона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печату</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програма</w:t>
      </w:r>
      <w:r w:rsidR="009C64CB" w:rsidRPr="00295637">
        <w:rPr>
          <w:rFonts w:ascii="Times New Roman" w:hAnsi="Times New Roman"/>
        </w:rPr>
        <w:t xml:space="preserve"> </w:t>
      </w:r>
      <w:r>
        <w:rPr>
          <w:rFonts w:ascii="Times New Roman" w:hAnsi="Times New Roman"/>
        </w:rPr>
        <w:t>рада</w:t>
      </w:r>
      <w:r w:rsidR="009C64CB" w:rsidRPr="00295637">
        <w:rPr>
          <w:rFonts w:ascii="Times New Roman" w:hAnsi="Times New Roman"/>
        </w:rPr>
        <w:t xml:space="preserve"> </w:t>
      </w:r>
      <w:r>
        <w:rPr>
          <w:rFonts w:ascii="Times New Roman" w:hAnsi="Times New Roman"/>
        </w:rPr>
        <w:t>Центра</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уклањање</w:t>
      </w:r>
      <w:r w:rsidR="009C64CB" w:rsidRPr="00295637">
        <w:rPr>
          <w:rFonts w:ascii="Times New Roman" w:hAnsi="Times New Roman"/>
        </w:rPr>
        <w:t xml:space="preserve"> </w:t>
      </w:r>
      <w:r>
        <w:rPr>
          <w:rFonts w:ascii="Times New Roman" w:hAnsi="Times New Roman"/>
        </w:rPr>
        <w:t>мина</w:t>
      </w:r>
      <w:r w:rsidR="009C64CB" w:rsidRPr="00295637">
        <w:rPr>
          <w:rFonts w:ascii="Times New Roman" w:hAnsi="Times New Roman"/>
        </w:rPr>
        <w:t xml:space="preserve"> </w:t>
      </w:r>
      <w:r>
        <w:rPr>
          <w:rFonts w:ascii="Times New Roman" w:hAnsi="Times New Roman"/>
        </w:rPr>
        <w:t>у</w:t>
      </w:r>
      <w:r w:rsidR="009E54A2" w:rsidRPr="00295637">
        <w:rPr>
          <w:rFonts w:ascii="Times New Roman" w:hAnsi="Times New Roman"/>
        </w:rPr>
        <w:t xml:space="preserve"> </w:t>
      </w:r>
      <w:r>
        <w:rPr>
          <w:rFonts w:ascii="Times New Roman" w:hAnsi="Times New Roman"/>
        </w:rPr>
        <w:t>БиХ</w:t>
      </w:r>
      <w:r w:rsidR="00F3633A">
        <w:rPr>
          <w:rFonts w:ascii="Times New Roman" w:hAnsi="Times New Roman"/>
        </w:rPr>
        <w:t>;</w:t>
      </w:r>
      <w:r w:rsidR="009E54A2" w:rsidRPr="00295637">
        <w:rPr>
          <w:rFonts w:ascii="Times New Roman" w:hAnsi="Times New Roman"/>
        </w:rPr>
        <w:t xml:space="preserve"> </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статистичког</w:t>
      </w:r>
      <w:r w:rsidR="009C64CB" w:rsidRPr="00295637">
        <w:rPr>
          <w:rFonts w:ascii="Times New Roman" w:hAnsi="Times New Roman"/>
        </w:rPr>
        <w:t xml:space="preserve"> </w:t>
      </w:r>
      <w:r>
        <w:rPr>
          <w:rFonts w:ascii="Times New Roman" w:hAnsi="Times New Roman"/>
        </w:rPr>
        <w:t>програма</w:t>
      </w:r>
      <w:r w:rsidR="009C64CB" w:rsidRPr="00295637">
        <w:rPr>
          <w:rFonts w:ascii="Times New Roman" w:hAnsi="Times New Roman"/>
        </w:rPr>
        <w:t xml:space="preserve"> </w:t>
      </w:r>
      <w:r>
        <w:rPr>
          <w:rFonts w:ascii="Times New Roman" w:hAnsi="Times New Roman"/>
        </w:rPr>
        <w:t>Босне</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Херцеговине</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период</w:t>
      </w:r>
      <w:r w:rsidR="009C64CB" w:rsidRPr="00295637">
        <w:rPr>
          <w:rFonts w:ascii="Times New Roman" w:hAnsi="Times New Roman"/>
        </w:rPr>
        <w:t xml:space="preserve"> 2025</w:t>
      </w:r>
      <w:r w:rsidR="00F3633A">
        <w:rPr>
          <w:rFonts w:ascii="Times New Roman" w:hAnsi="Times New Roman"/>
        </w:rPr>
        <w:t>-</w:t>
      </w:r>
      <w:r w:rsidR="009C64CB" w:rsidRPr="00295637">
        <w:rPr>
          <w:rFonts w:ascii="Times New Roman" w:hAnsi="Times New Roman"/>
        </w:rPr>
        <w:t>2028</w:t>
      </w:r>
      <w:r w:rsidR="00F3633A">
        <w:rPr>
          <w:rFonts w:ascii="Times New Roman" w:hAnsi="Times New Roman"/>
        </w:rPr>
        <w:t xml:space="preserve">. </w:t>
      </w:r>
      <w:r>
        <w:rPr>
          <w:rFonts w:ascii="Times New Roman" w:hAnsi="Times New Roman"/>
        </w:rPr>
        <w:t>година</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Преднацрт</w:t>
      </w:r>
      <w:r w:rsidR="009C64CB" w:rsidRPr="00295637">
        <w:rPr>
          <w:rFonts w:ascii="Times New Roman" w:hAnsi="Times New Roman"/>
        </w:rPr>
        <w:t xml:space="preserve"> </w:t>
      </w:r>
      <w:r>
        <w:rPr>
          <w:rFonts w:ascii="Times New Roman" w:hAnsi="Times New Roman"/>
        </w:rPr>
        <w:t>правилника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успостављању</w:t>
      </w:r>
      <w:r w:rsidR="009C64CB" w:rsidRPr="00295637">
        <w:rPr>
          <w:rFonts w:ascii="Times New Roman" w:hAnsi="Times New Roman"/>
        </w:rPr>
        <w:t xml:space="preserve"> </w:t>
      </w:r>
      <w:r>
        <w:rPr>
          <w:rFonts w:ascii="Times New Roman" w:hAnsi="Times New Roman"/>
        </w:rPr>
        <w:t>мјера</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ублажавање</w:t>
      </w:r>
      <w:r w:rsidR="009C64CB" w:rsidRPr="00295637">
        <w:rPr>
          <w:rFonts w:ascii="Times New Roman" w:hAnsi="Times New Roman"/>
        </w:rPr>
        <w:t xml:space="preserve"> </w:t>
      </w:r>
      <w:r>
        <w:rPr>
          <w:rFonts w:ascii="Times New Roman" w:hAnsi="Times New Roman"/>
        </w:rPr>
        <w:t>учинака</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нивоа</w:t>
      </w:r>
      <w:r w:rsidR="009C64CB" w:rsidRPr="00295637">
        <w:rPr>
          <w:rFonts w:ascii="Times New Roman" w:hAnsi="Times New Roman"/>
        </w:rPr>
        <w:t xml:space="preserve"> </w:t>
      </w:r>
      <w:r>
        <w:rPr>
          <w:rFonts w:ascii="Times New Roman" w:hAnsi="Times New Roman"/>
        </w:rPr>
        <w:t>референтних</w:t>
      </w:r>
      <w:r w:rsidR="009C64CB" w:rsidRPr="00295637">
        <w:rPr>
          <w:rFonts w:ascii="Times New Roman" w:hAnsi="Times New Roman"/>
        </w:rPr>
        <w:t xml:space="preserve"> </w:t>
      </w:r>
      <w:r>
        <w:rPr>
          <w:rFonts w:ascii="Times New Roman" w:hAnsi="Times New Roman"/>
        </w:rPr>
        <w:t>вриједности</w:t>
      </w:r>
      <w:r w:rsidR="009C64CB" w:rsidRPr="00295637">
        <w:rPr>
          <w:rFonts w:ascii="Times New Roman" w:hAnsi="Times New Roman"/>
        </w:rPr>
        <w:t xml:space="preserve"> </w:t>
      </w:r>
      <w:r>
        <w:rPr>
          <w:rFonts w:ascii="Times New Roman" w:hAnsi="Times New Roman"/>
        </w:rPr>
        <w:t>ради</w:t>
      </w:r>
      <w:r w:rsidR="009C64CB" w:rsidRPr="00295637">
        <w:rPr>
          <w:rFonts w:ascii="Times New Roman" w:hAnsi="Times New Roman"/>
        </w:rPr>
        <w:t xml:space="preserve"> </w:t>
      </w:r>
      <w:r>
        <w:rPr>
          <w:rFonts w:ascii="Times New Roman" w:hAnsi="Times New Roman"/>
        </w:rPr>
        <w:t>смањења</w:t>
      </w:r>
      <w:r w:rsidR="009C64CB" w:rsidRPr="00295637">
        <w:rPr>
          <w:rFonts w:ascii="Times New Roman" w:hAnsi="Times New Roman"/>
        </w:rPr>
        <w:t xml:space="preserve"> </w:t>
      </w:r>
      <w:r>
        <w:rPr>
          <w:rFonts w:ascii="Times New Roman" w:hAnsi="Times New Roman"/>
        </w:rPr>
        <w:t>присутности</w:t>
      </w:r>
      <w:r w:rsidR="009C64CB" w:rsidRPr="00295637">
        <w:rPr>
          <w:rFonts w:ascii="Times New Roman" w:hAnsi="Times New Roman"/>
        </w:rPr>
        <w:t xml:space="preserve"> </w:t>
      </w:r>
      <w:r>
        <w:rPr>
          <w:rFonts w:ascii="Times New Roman" w:hAnsi="Times New Roman"/>
        </w:rPr>
        <w:t>акриламида</w:t>
      </w:r>
      <w:r w:rsidR="009C64CB" w:rsidRPr="00295637">
        <w:rPr>
          <w:rFonts w:ascii="Times New Roman" w:hAnsi="Times New Roman"/>
        </w:rPr>
        <w:t xml:space="preserve"> </w:t>
      </w:r>
      <w:r>
        <w:rPr>
          <w:rFonts w:ascii="Times New Roman" w:hAnsi="Times New Roman"/>
        </w:rPr>
        <w:t>у</w:t>
      </w:r>
      <w:r w:rsidR="009C64CB" w:rsidRPr="00295637">
        <w:rPr>
          <w:rFonts w:ascii="Times New Roman" w:hAnsi="Times New Roman"/>
        </w:rPr>
        <w:t xml:space="preserve"> </w:t>
      </w:r>
      <w:r>
        <w:rPr>
          <w:rFonts w:ascii="Times New Roman" w:hAnsi="Times New Roman"/>
        </w:rPr>
        <w:t>храни</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програма</w:t>
      </w:r>
      <w:r w:rsidR="009C64CB" w:rsidRPr="00295637">
        <w:rPr>
          <w:rFonts w:ascii="Times New Roman" w:hAnsi="Times New Roman"/>
        </w:rPr>
        <w:t xml:space="preserve"> </w:t>
      </w:r>
      <w:r>
        <w:rPr>
          <w:rFonts w:ascii="Times New Roman" w:hAnsi="Times New Roman"/>
        </w:rPr>
        <w:t>рада</w:t>
      </w:r>
      <w:r w:rsidR="009C64CB" w:rsidRPr="00295637">
        <w:rPr>
          <w:rFonts w:ascii="Times New Roman" w:hAnsi="Times New Roman"/>
        </w:rPr>
        <w:t xml:space="preserve"> </w:t>
      </w:r>
      <w:r>
        <w:rPr>
          <w:rFonts w:ascii="Times New Roman" w:hAnsi="Times New Roman"/>
        </w:rPr>
        <w:t>Министарства</w:t>
      </w:r>
      <w:r w:rsidR="009C64CB" w:rsidRPr="00295637">
        <w:rPr>
          <w:rFonts w:ascii="Times New Roman" w:hAnsi="Times New Roman"/>
        </w:rPr>
        <w:t xml:space="preserve"> </w:t>
      </w:r>
      <w:r>
        <w:rPr>
          <w:rFonts w:ascii="Times New Roman" w:hAnsi="Times New Roman"/>
        </w:rPr>
        <w:t>правде</w:t>
      </w:r>
      <w:r w:rsidR="009C64CB" w:rsidRPr="00295637">
        <w:rPr>
          <w:rFonts w:ascii="Times New Roman" w:hAnsi="Times New Roman"/>
        </w:rPr>
        <w:t xml:space="preserve"> </w:t>
      </w:r>
      <w:r>
        <w:rPr>
          <w:rFonts w:ascii="Times New Roman" w:hAnsi="Times New Roman"/>
        </w:rPr>
        <w:t>Босне</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Херцеговине</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2025.</w:t>
      </w:r>
      <w:r w:rsidR="009111AB" w:rsidRPr="00295637">
        <w:rPr>
          <w:rFonts w:ascii="Times New Roman" w:hAnsi="Times New Roman"/>
        </w:rPr>
        <w:t xml:space="preserve"> </w:t>
      </w:r>
      <w:r>
        <w:rPr>
          <w:rFonts w:ascii="Times New Roman" w:hAnsi="Times New Roman"/>
        </w:rPr>
        <w:t>годину</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плана</w:t>
      </w:r>
      <w:r w:rsidR="009C64CB" w:rsidRPr="00295637">
        <w:rPr>
          <w:rFonts w:ascii="Times New Roman" w:hAnsi="Times New Roman"/>
        </w:rPr>
        <w:t xml:space="preserve"> </w:t>
      </w:r>
      <w:r>
        <w:rPr>
          <w:rFonts w:ascii="Times New Roman" w:hAnsi="Times New Roman"/>
        </w:rPr>
        <w:t>рада</w:t>
      </w:r>
      <w:r w:rsidR="009C64CB" w:rsidRPr="00295637">
        <w:rPr>
          <w:rFonts w:ascii="Times New Roman" w:hAnsi="Times New Roman"/>
        </w:rPr>
        <w:t xml:space="preserve"> </w:t>
      </w:r>
      <w:r>
        <w:rPr>
          <w:rFonts w:ascii="Times New Roman" w:hAnsi="Times New Roman"/>
        </w:rPr>
        <w:t>Агенције</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статистику</w:t>
      </w:r>
      <w:r w:rsidR="009C64CB" w:rsidRPr="00295637">
        <w:rPr>
          <w:rFonts w:ascii="Times New Roman" w:hAnsi="Times New Roman"/>
        </w:rPr>
        <w:t xml:space="preserve"> </w:t>
      </w:r>
      <w:r>
        <w:rPr>
          <w:rFonts w:ascii="Times New Roman" w:hAnsi="Times New Roman"/>
        </w:rPr>
        <w:t>Босне</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Херцеговине</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2025</w:t>
      </w:r>
      <w:r w:rsidR="009111AB" w:rsidRPr="00295637">
        <w:rPr>
          <w:rFonts w:ascii="Times New Roman" w:hAnsi="Times New Roman"/>
        </w:rPr>
        <w:t xml:space="preserve">. </w:t>
      </w:r>
      <w:r>
        <w:rPr>
          <w:rFonts w:ascii="Times New Roman" w:hAnsi="Times New Roman"/>
        </w:rPr>
        <w:t>годину</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Приједлог</w:t>
      </w:r>
      <w:r w:rsidR="009C64CB" w:rsidRPr="00295637">
        <w:rPr>
          <w:rFonts w:ascii="Times New Roman" w:hAnsi="Times New Roman"/>
        </w:rPr>
        <w:t xml:space="preserve"> </w:t>
      </w:r>
      <w:r>
        <w:rPr>
          <w:rFonts w:ascii="Times New Roman" w:hAnsi="Times New Roman"/>
        </w:rPr>
        <w:t>одлуке</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измјени</w:t>
      </w:r>
      <w:r w:rsidR="009C64CB" w:rsidRPr="00295637">
        <w:rPr>
          <w:rFonts w:ascii="Times New Roman" w:hAnsi="Times New Roman"/>
        </w:rPr>
        <w:t xml:space="preserve"> </w:t>
      </w:r>
      <w:r>
        <w:rPr>
          <w:rFonts w:ascii="Times New Roman" w:hAnsi="Times New Roman"/>
        </w:rPr>
        <w:t>Одлуке</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именовању</w:t>
      </w:r>
      <w:r w:rsidR="009C64CB" w:rsidRPr="00295637">
        <w:rPr>
          <w:rFonts w:ascii="Times New Roman" w:hAnsi="Times New Roman"/>
        </w:rPr>
        <w:t xml:space="preserve"> </w:t>
      </w:r>
      <w:r>
        <w:rPr>
          <w:rFonts w:ascii="Times New Roman" w:hAnsi="Times New Roman"/>
        </w:rPr>
        <w:t>надзорног</w:t>
      </w:r>
      <w:r w:rsidR="009C64CB" w:rsidRPr="00295637">
        <w:rPr>
          <w:rFonts w:ascii="Times New Roman" w:hAnsi="Times New Roman"/>
        </w:rPr>
        <w:t xml:space="preserve"> </w:t>
      </w:r>
      <w:r>
        <w:rPr>
          <w:rFonts w:ascii="Times New Roman" w:hAnsi="Times New Roman"/>
        </w:rPr>
        <w:t>органа</w:t>
      </w:r>
      <w:r w:rsidR="009C64CB" w:rsidRPr="00295637">
        <w:rPr>
          <w:rFonts w:ascii="Times New Roman" w:hAnsi="Times New Roman"/>
        </w:rPr>
        <w:t xml:space="preserve"> </w:t>
      </w:r>
      <w:r>
        <w:rPr>
          <w:rFonts w:ascii="Times New Roman" w:hAnsi="Times New Roman"/>
        </w:rPr>
        <w:t>над</w:t>
      </w:r>
      <w:r w:rsidR="009C64CB" w:rsidRPr="00295637">
        <w:rPr>
          <w:rFonts w:ascii="Times New Roman" w:hAnsi="Times New Roman"/>
        </w:rPr>
        <w:t xml:space="preserve"> </w:t>
      </w:r>
      <w:r>
        <w:rPr>
          <w:rFonts w:ascii="Times New Roman" w:hAnsi="Times New Roman"/>
        </w:rPr>
        <w:t>примјеном</w:t>
      </w:r>
      <w:r w:rsidR="009C64CB" w:rsidRPr="00295637">
        <w:rPr>
          <w:rFonts w:ascii="Times New Roman" w:hAnsi="Times New Roman"/>
        </w:rPr>
        <w:t xml:space="preserve"> </w:t>
      </w:r>
      <w:r>
        <w:rPr>
          <w:rFonts w:ascii="Times New Roman" w:hAnsi="Times New Roman"/>
        </w:rPr>
        <w:t>Правилника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начину</w:t>
      </w:r>
      <w:r w:rsidR="009C64CB" w:rsidRPr="00295637">
        <w:rPr>
          <w:rFonts w:ascii="Times New Roman" w:hAnsi="Times New Roman"/>
        </w:rPr>
        <w:t xml:space="preserve"> </w:t>
      </w:r>
      <w:r>
        <w:rPr>
          <w:rFonts w:ascii="Times New Roman" w:hAnsi="Times New Roman"/>
        </w:rPr>
        <w:t>контроле</w:t>
      </w:r>
      <w:r w:rsidR="009C64CB" w:rsidRPr="00295637">
        <w:rPr>
          <w:rFonts w:ascii="Times New Roman" w:hAnsi="Times New Roman"/>
        </w:rPr>
        <w:t xml:space="preserve"> </w:t>
      </w:r>
      <w:r>
        <w:rPr>
          <w:rFonts w:ascii="Times New Roman" w:hAnsi="Times New Roman"/>
        </w:rPr>
        <w:t>цијена</w:t>
      </w:r>
      <w:r w:rsidR="009C64CB" w:rsidRPr="00295637">
        <w:rPr>
          <w:rFonts w:ascii="Times New Roman" w:hAnsi="Times New Roman"/>
        </w:rPr>
        <w:t xml:space="preserve">, </w:t>
      </w:r>
      <w:r>
        <w:rPr>
          <w:rFonts w:ascii="Times New Roman" w:hAnsi="Times New Roman"/>
        </w:rPr>
        <w:t>начину</w:t>
      </w:r>
      <w:r w:rsidR="009C64CB" w:rsidRPr="00295637">
        <w:rPr>
          <w:rFonts w:ascii="Times New Roman" w:hAnsi="Times New Roman"/>
        </w:rPr>
        <w:t xml:space="preserve"> </w:t>
      </w:r>
      <w:r>
        <w:rPr>
          <w:rFonts w:ascii="Times New Roman" w:hAnsi="Times New Roman"/>
        </w:rPr>
        <w:t>обликовања</w:t>
      </w:r>
      <w:r w:rsidR="009C64CB" w:rsidRPr="00295637">
        <w:rPr>
          <w:rFonts w:ascii="Times New Roman" w:hAnsi="Times New Roman"/>
        </w:rPr>
        <w:t xml:space="preserve"> </w:t>
      </w:r>
      <w:r>
        <w:rPr>
          <w:rFonts w:ascii="Times New Roman" w:hAnsi="Times New Roman"/>
        </w:rPr>
        <w:t>цијена</w:t>
      </w:r>
      <w:r w:rsidR="009C64CB" w:rsidRPr="00295637">
        <w:rPr>
          <w:rFonts w:ascii="Times New Roman" w:hAnsi="Times New Roman"/>
        </w:rPr>
        <w:t xml:space="preserve"> </w:t>
      </w:r>
      <w:r>
        <w:rPr>
          <w:rFonts w:ascii="Times New Roman" w:hAnsi="Times New Roman"/>
        </w:rPr>
        <w:t>лијекова</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начину</w:t>
      </w:r>
      <w:r w:rsidR="009C64CB" w:rsidRPr="00295637">
        <w:rPr>
          <w:rFonts w:ascii="Times New Roman" w:hAnsi="Times New Roman"/>
        </w:rPr>
        <w:t xml:space="preserve"> </w:t>
      </w:r>
      <w:r>
        <w:rPr>
          <w:rFonts w:ascii="Times New Roman" w:hAnsi="Times New Roman"/>
        </w:rPr>
        <w:t>извјештавања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цијенама</w:t>
      </w:r>
      <w:r w:rsidR="009C64CB" w:rsidRPr="00295637">
        <w:rPr>
          <w:rFonts w:ascii="Times New Roman" w:hAnsi="Times New Roman"/>
        </w:rPr>
        <w:t xml:space="preserve"> </w:t>
      </w:r>
      <w:r>
        <w:rPr>
          <w:rFonts w:ascii="Times New Roman" w:hAnsi="Times New Roman"/>
        </w:rPr>
        <w:t>лијекова</w:t>
      </w:r>
      <w:r w:rsidR="009C64CB" w:rsidRPr="00295637">
        <w:rPr>
          <w:rFonts w:ascii="Times New Roman" w:hAnsi="Times New Roman"/>
        </w:rPr>
        <w:t xml:space="preserve"> </w:t>
      </w:r>
      <w:r>
        <w:rPr>
          <w:rFonts w:ascii="Times New Roman" w:hAnsi="Times New Roman"/>
        </w:rPr>
        <w:t>у</w:t>
      </w:r>
      <w:r w:rsidR="009C64CB" w:rsidRPr="00295637">
        <w:rPr>
          <w:rFonts w:ascii="Times New Roman" w:hAnsi="Times New Roman"/>
        </w:rPr>
        <w:t xml:space="preserve"> </w:t>
      </w:r>
      <w:r>
        <w:rPr>
          <w:rFonts w:ascii="Times New Roman" w:hAnsi="Times New Roman"/>
        </w:rPr>
        <w:t>Босни</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Херцеговини</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закона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измјенама</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допунама</w:t>
      </w:r>
      <w:r w:rsidR="00F3633A">
        <w:rPr>
          <w:rFonts w:ascii="Times New Roman" w:hAnsi="Times New Roman"/>
        </w:rPr>
        <w:t xml:space="preserve"> </w:t>
      </w:r>
      <w:r>
        <w:rPr>
          <w:rFonts w:ascii="Times New Roman" w:hAnsi="Times New Roman"/>
        </w:rPr>
        <w:t>Закона</w:t>
      </w:r>
      <w:r w:rsidR="00F3633A">
        <w:rPr>
          <w:rFonts w:ascii="Times New Roman" w:hAnsi="Times New Roman"/>
        </w:rPr>
        <w:t xml:space="preserve"> </w:t>
      </w:r>
      <w:r>
        <w:rPr>
          <w:rFonts w:ascii="Times New Roman" w:hAnsi="Times New Roman"/>
        </w:rPr>
        <w:t>о</w:t>
      </w:r>
      <w:r w:rsidR="00F3633A">
        <w:rPr>
          <w:rFonts w:ascii="Times New Roman" w:hAnsi="Times New Roman"/>
        </w:rPr>
        <w:t xml:space="preserve"> </w:t>
      </w:r>
      <w:r>
        <w:rPr>
          <w:rFonts w:ascii="Times New Roman" w:hAnsi="Times New Roman"/>
        </w:rPr>
        <w:t>индустријском</w:t>
      </w:r>
      <w:r w:rsidR="00F3633A">
        <w:rPr>
          <w:rFonts w:ascii="Times New Roman" w:hAnsi="Times New Roman"/>
        </w:rPr>
        <w:t xml:space="preserve"> </w:t>
      </w:r>
      <w:r>
        <w:rPr>
          <w:rFonts w:ascii="Times New Roman" w:hAnsi="Times New Roman"/>
        </w:rPr>
        <w:t>дизајну</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закона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измјенама</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допунама</w:t>
      </w:r>
      <w:r w:rsidR="009C64CB" w:rsidRPr="00295637">
        <w:rPr>
          <w:rFonts w:ascii="Times New Roman" w:hAnsi="Times New Roman"/>
        </w:rPr>
        <w:t xml:space="preserve"> </w:t>
      </w:r>
      <w:r>
        <w:rPr>
          <w:rFonts w:ascii="Times New Roman" w:hAnsi="Times New Roman"/>
        </w:rPr>
        <w:t>Закона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основима</w:t>
      </w:r>
      <w:r w:rsidR="009C64CB" w:rsidRPr="00295637">
        <w:rPr>
          <w:rFonts w:ascii="Times New Roman" w:hAnsi="Times New Roman"/>
        </w:rPr>
        <w:t xml:space="preserve"> </w:t>
      </w:r>
      <w:r w:rsidR="007A6AD7">
        <w:rPr>
          <w:rFonts w:ascii="Times New Roman" w:hAnsi="Times New Roman"/>
          <w:lang w:val="sr-Cyrl-BA"/>
        </w:rPr>
        <w:t>безбједности</w:t>
      </w:r>
      <w:r w:rsidR="009C64CB" w:rsidRPr="00295637">
        <w:rPr>
          <w:rFonts w:ascii="Times New Roman" w:hAnsi="Times New Roman"/>
        </w:rPr>
        <w:t xml:space="preserve"> </w:t>
      </w:r>
      <w:r>
        <w:rPr>
          <w:rFonts w:ascii="Times New Roman" w:hAnsi="Times New Roman"/>
        </w:rPr>
        <w:t>саобраћаја</w:t>
      </w:r>
      <w:r w:rsidR="009C64CB" w:rsidRPr="00295637">
        <w:rPr>
          <w:rFonts w:ascii="Times New Roman" w:hAnsi="Times New Roman"/>
        </w:rPr>
        <w:t xml:space="preserve"> </w:t>
      </w:r>
      <w:r>
        <w:rPr>
          <w:rFonts w:ascii="Times New Roman" w:hAnsi="Times New Roman"/>
        </w:rPr>
        <w:t>на</w:t>
      </w:r>
      <w:r w:rsidR="009C64CB" w:rsidRPr="00295637">
        <w:rPr>
          <w:rFonts w:ascii="Times New Roman" w:hAnsi="Times New Roman"/>
        </w:rPr>
        <w:t xml:space="preserve"> </w:t>
      </w:r>
      <w:r>
        <w:rPr>
          <w:rFonts w:ascii="Times New Roman" w:hAnsi="Times New Roman"/>
        </w:rPr>
        <w:t>цестама</w:t>
      </w:r>
      <w:r w:rsidR="009C64CB" w:rsidRPr="00295637">
        <w:rPr>
          <w:rFonts w:ascii="Times New Roman" w:hAnsi="Times New Roman"/>
        </w:rPr>
        <w:t xml:space="preserve"> </w:t>
      </w:r>
      <w:r>
        <w:rPr>
          <w:rFonts w:ascii="Times New Roman" w:hAnsi="Times New Roman"/>
        </w:rPr>
        <w:t>у</w:t>
      </w:r>
      <w:r w:rsidR="009C64CB" w:rsidRPr="00295637">
        <w:rPr>
          <w:rFonts w:ascii="Times New Roman" w:hAnsi="Times New Roman"/>
        </w:rPr>
        <w:t xml:space="preserve"> </w:t>
      </w:r>
      <w:r>
        <w:rPr>
          <w:rFonts w:ascii="Times New Roman" w:hAnsi="Times New Roman"/>
        </w:rPr>
        <w:t>Босни</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Херцеговини</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закона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допунама</w:t>
      </w:r>
      <w:r w:rsidR="009C64CB" w:rsidRPr="00295637">
        <w:rPr>
          <w:rFonts w:ascii="Times New Roman" w:hAnsi="Times New Roman"/>
        </w:rPr>
        <w:t xml:space="preserve"> </w:t>
      </w:r>
      <w:r>
        <w:rPr>
          <w:rFonts w:ascii="Times New Roman" w:hAnsi="Times New Roman"/>
        </w:rPr>
        <w:t>Закона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комуникацијама</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одлуке</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најмањем</w:t>
      </w:r>
      <w:r w:rsidR="009C64CB" w:rsidRPr="00295637">
        <w:rPr>
          <w:rFonts w:ascii="Times New Roman" w:hAnsi="Times New Roman"/>
        </w:rPr>
        <w:t xml:space="preserve"> </w:t>
      </w:r>
      <w:r>
        <w:rPr>
          <w:rFonts w:ascii="Times New Roman" w:hAnsi="Times New Roman"/>
        </w:rPr>
        <w:t>износу</w:t>
      </w:r>
      <w:r w:rsidR="009C64CB" w:rsidRPr="00295637">
        <w:rPr>
          <w:rFonts w:ascii="Times New Roman" w:hAnsi="Times New Roman"/>
        </w:rPr>
        <w:t xml:space="preserve"> </w:t>
      </w:r>
      <w:r>
        <w:rPr>
          <w:rFonts w:ascii="Times New Roman" w:hAnsi="Times New Roman"/>
        </w:rPr>
        <w:t>средстава</w:t>
      </w:r>
      <w:r w:rsidR="009C64CB" w:rsidRPr="00295637">
        <w:rPr>
          <w:rFonts w:ascii="Times New Roman" w:hAnsi="Times New Roman"/>
        </w:rPr>
        <w:t xml:space="preserve"> </w:t>
      </w:r>
      <w:r>
        <w:rPr>
          <w:rFonts w:ascii="Times New Roman" w:hAnsi="Times New Roman"/>
        </w:rPr>
        <w:t>потребном</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издржавање</w:t>
      </w:r>
      <w:r w:rsidR="009C64CB" w:rsidRPr="00295637">
        <w:rPr>
          <w:rFonts w:ascii="Times New Roman" w:hAnsi="Times New Roman"/>
        </w:rPr>
        <w:t xml:space="preserve"> </w:t>
      </w:r>
      <w:r>
        <w:rPr>
          <w:rFonts w:ascii="Times New Roman" w:hAnsi="Times New Roman"/>
        </w:rPr>
        <w:t>странца</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вријеме</w:t>
      </w:r>
      <w:r w:rsidR="009C64CB" w:rsidRPr="00295637">
        <w:rPr>
          <w:rFonts w:ascii="Times New Roman" w:hAnsi="Times New Roman"/>
        </w:rPr>
        <w:t xml:space="preserve"> </w:t>
      </w:r>
      <w:r>
        <w:rPr>
          <w:rFonts w:ascii="Times New Roman" w:hAnsi="Times New Roman"/>
        </w:rPr>
        <w:t>намјераваног</w:t>
      </w:r>
      <w:r w:rsidR="009C64CB" w:rsidRPr="00295637">
        <w:rPr>
          <w:rFonts w:ascii="Times New Roman" w:hAnsi="Times New Roman"/>
        </w:rPr>
        <w:t xml:space="preserve"> </w:t>
      </w:r>
      <w:r>
        <w:rPr>
          <w:rFonts w:ascii="Times New Roman" w:hAnsi="Times New Roman"/>
        </w:rPr>
        <w:t>боравка</w:t>
      </w:r>
      <w:r w:rsidR="009C64CB" w:rsidRPr="00295637">
        <w:rPr>
          <w:rFonts w:ascii="Times New Roman" w:hAnsi="Times New Roman"/>
        </w:rPr>
        <w:t xml:space="preserve"> </w:t>
      </w:r>
      <w:r>
        <w:rPr>
          <w:rFonts w:ascii="Times New Roman" w:hAnsi="Times New Roman"/>
        </w:rPr>
        <w:t>у</w:t>
      </w:r>
      <w:r w:rsidR="009C64CB" w:rsidRPr="00295637">
        <w:rPr>
          <w:rFonts w:ascii="Times New Roman" w:hAnsi="Times New Roman"/>
        </w:rPr>
        <w:t xml:space="preserve"> </w:t>
      </w:r>
      <w:r>
        <w:rPr>
          <w:rFonts w:ascii="Times New Roman" w:hAnsi="Times New Roman"/>
        </w:rPr>
        <w:t>Босни</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Херцеговини</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2025.</w:t>
      </w:r>
      <w:r w:rsidR="00F3633A">
        <w:rPr>
          <w:rFonts w:ascii="Times New Roman" w:hAnsi="Times New Roman"/>
        </w:rPr>
        <w:t xml:space="preserve"> </w:t>
      </w:r>
      <w:r>
        <w:rPr>
          <w:rFonts w:ascii="Times New Roman" w:hAnsi="Times New Roman"/>
        </w:rPr>
        <w:t>годину</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Приједлог</w:t>
      </w:r>
      <w:r w:rsidR="009C64CB" w:rsidRPr="00295637">
        <w:rPr>
          <w:rFonts w:ascii="Times New Roman" w:hAnsi="Times New Roman"/>
        </w:rPr>
        <w:t xml:space="preserve"> </w:t>
      </w:r>
      <w:r>
        <w:rPr>
          <w:rFonts w:ascii="Times New Roman" w:hAnsi="Times New Roman"/>
        </w:rPr>
        <w:t>информација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немогућности</w:t>
      </w:r>
      <w:r w:rsidR="009C64CB" w:rsidRPr="00295637">
        <w:rPr>
          <w:rFonts w:ascii="Times New Roman" w:hAnsi="Times New Roman"/>
        </w:rPr>
        <w:t xml:space="preserve"> </w:t>
      </w:r>
      <w:r>
        <w:rPr>
          <w:rFonts w:ascii="Times New Roman" w:hAnsi="Times New Roman"/>
        </w:rPr>
        <w:t>доношења</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sidR="007A6AD7">
        <w:rPr>
          <w:rFonts w:ascii="Times New Roman" w:hAnsi="Times New Roman"/>
          <w:lang w:val="sr-Cyrl-BA"/>
        </w:rPr>
        <w:t>спровођења</w:t>
      </w:r>
      <w:r w:rsidR="009C64CB" w:rsidRPr="00295637">
        <w:rPr>
          <w:rFonts w:ascii="Times New Roman" w:hAnsi="Times New Roman"/>
        </w:rPr>
        <w:t xml:space="preserve"> </w:t>
      </w:r>
      <w:r>
        <w:rPr>
          <w:rFonts w:ascii="Times New Roman" w:hAnsi="Times New Roman"/>
        </w:rPr>
        <w:t>Вишегодишњег</w:t>
      </w:r>
      <w:r w:rsidR="009C64CB" w:rsidRPr="00295637">
        <w:rPr>
          <w:rFonts w:ascii="Times New Roman" w:hAnsi="Times New Roman"/>
        </w:rPr>
        <w:t xml:space="preserve"> </w:t>
      </w:r>
      <w:r>
        <w:rPr>
          <w:rFonts w:ascii="Times New Roman" w:hAnsi="Times New Roman"/>
        </w:rPr>
        <w:t>програма</w:t>
      </w:r>
      <w:r w:rsidR="009C64CB" w:rsidRPr="00295637">
        <w:rPr>
          <w:rFonts w:ascii="Times New Roman" w:hAnsi="Times New Roman"/>
        </w:rPr>
        <w:t xml:space="preserve"> </w:t>
      </w:r>
      <w:r>
        <w:rPr>
          <w:rFonts w:ascii="Times New Roman" w:hAnsi="Times New Roman"/>
        </w:rPr>
        <w:t>контроле</w:t>
      </w:r>
      <w:r w:rsidR="009C64CB" w:rsidRPr="00295637">
        <w:rPr>
          <w:rFonts w:ascii="Times New Roman" w:hAnsi="Times New Roman"/>
        </w:rPr>
        <w:t xml:space="preserve"> </w:t>
      </w:r>
      <w:r>
        <w:rPr>
          <w:rFonts w:ascii="Times New Roman" w:hAnsi="Times New Roman"/>
        </w:rPr>
        <w:t>остатака</w:t>
      </w:r>
      <w:r w:rsidR="009C64CB" w:rsidRPr="00295637">
        <w:rPr>
          <w:rFonts w:ascii="Times New Roman" w:hAnsi="Times New Roman"/>
        </w:rPr>
        <w:t xml:space="preserve"> </w:t>
      </w:r>
      <w:r>
        <w:rPr>
          <w:rFonts w:ascii="Times New Roman" w:hAnsi="Times New Roman"/>
        </w:rPr>
        <w:t>пестицида</w:t>
      </w:r>
      <w:r w:rsidR="009C64CB" w:rsidRPr="00295637">
        <w:rPr>
          <w:rFonts w:ascii="Times New Roman" w:hAnsi="Times New Roman"/>
        </w:rPr>
        <w:t xml:space="preserve"> </w:t>
      </w:r>
      <w:r>
        <w:rPr>
          <w:rFonts w:ascii="Times New Roman" w:hAnsi="Times New Roman"/>
        </w:rPr>
        <w:t>у</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на</w:t>
      </w:r>
      <w:r w:rsidR="009C64CB" w:rsidRPr="00295637">
        <w:rPr>
          <w:rFonts w:ascii="Times New Roman" w:hAnsi="Times New Roman"/>
        </w:rPr>
        <w:t xml:space="preserve"> </w:t>
      </w:r>
      <w:r>
        <w:rPr>
          <w:rFonts w:ascii="Times New Roman" w:hAnsi="Times New Roman"/>
        </w:rPr>
        <w:t>храни</w:t>
      </w:r>
      <w:r w:rsidR="009C64CB" w:rsidRPr="00295637">
        <w:rPr>
          <w:rFonts w:ascii="Times New Roman" w:hAnsi="Times New Roman"/>
        </w:rPr>
        <w:t xml:space="preserve"> </w:t>
      </w:r>
      <w:r>
        <w:rPr>
          <w:rFonts w:ascii="Times New Roman" w:hAnsi="Times New Roman"/>
        </w:rPr>
        <w:t>биљног</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животињског</w:t>
      </w:r>
      <w:r w:rsidR="009C64CB" w:rsidRPr="00295637">
        <w:rPr>
          <w:rFonts w:ascii="Times New Roman" w:hAnsi="Times New Roman"/>
        </w:rPr>
        <w:t xml:space="preserve"> </w:t>
      </w:r>
      <w:r>
        <w:rPr>
          <w:rFonts w:ascii="Times New Roman" w:hAnsi="Times New Roman"/>
        </w:rPr>
        <w:t>поријекла</w:t>
      </w:r>
      <w:r w:rsidR="009C64CB" w:rsidRPr="00295637">
        <w:rPr>
          <w:rFonts w:ascii="Times New Roman" w:hAnsi="Times New Roman"/>
        </w:rPr>
        <w:t xml:space="preserve"> </w:t>
      </w:r>
      <w:r>
        <w:rPr>
          <w:rFonts w:ascii="Times New Roman" w:hAnsi="Times New Roman"/>
        </w:rPr>
        <w:t>у</w:t>
      </w:r>
      <w:r w:rsidR="009C64CB" w:rsidRPr="00295637">
        <w:rPr>
          <w:rFonts w:ascii="Times New Roman" w:hAnsi="Times New Roman"/>
        </w:rPr>
        <w:t xml:space="preserve"> </w:t>
      </w:r>
      <w:r>
        <w:rPr>
          <w:rFonts w:ascii="Times New Roman" w:hAnsi="Times New Roman"/>
        </w:rPr>
        <w:t>Босни</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Херцеговини</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Нацрт</w:t>
      </w:r>
      <w:r w:rsidR="009C64CB" w:rsidRPr="00295637">
        <w:rPr>
          <w:rFonts w:ascii="Times New Roman" w:hAnsi="Times New Roman"/>
        </w:rPr>
        <w:t xml:space="preserve"> </w:t>
      </w:r>
      <w:r>
        <w:rPr>
          <w:rFonts w:ascii="Times New Roman" w:hAnsi="Times New Roman"/>
        </w:rPr>
        <w:t>одлуке</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висини</w:t>
      </w:r>
      <w:r w:rsidR="009C64CB" w:rsidRPr="00295637">
        <w:rPr>
          <w:rFonts w:ascii="Times New Roman" w:hAnsi="Times New Roman"/>
        </w:rPr>
        <w:t xml:space="preserve"> </w:t>
      </w:r>
      <w:r>
        <w:rPr>
          <w:rFonts w:ascii="Times New Roman" w:hAnsi="Times New Roman"/>
        </w:rPr>
        <w:t>новчане</w:t>
      </w:r>
      <w:r w:rsidR="009C64CB" w:rsidRPr="00295637">
        <w:rPr>
          <w:rFonts w:ascii="Times New Roman" w:hAnsi="Times New Roman"/>
        </w:rPr>
        <w:t xml:space="preserve"> </w:t>
      </w:r>
      <w:r>
        <w:rPr>
          <w:rFonts w:ascii="Times New Roman" w:hAnsi="Times New Roman"/>
        </w:rPr>
        <w:t>накнаде</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рад</w:t>
      </w:r>
      <w:r w:rsidR="009C64CB" w:rsidRPr="00295637">
        <w:rPr>
          <w:rFonts w:ascii="Times New Roman" w:hAnsi="Times New Roman"/>
        </w:rPr>
        <w:t xml:space="preserve"> </w:t>
      </w:r>
      <w:r>
        <w:rPr>
          <w:rFonts w:ascii="Times New Roman" w:hAnsi="Times New Roman"/>
        </w:rPr>
        <w:t>у</w:t>
      </w:r>
      <w:r w:rsidR="009C64CB" w:rsidRPr="00295637">
        <w:rPr>
          <w:rFonts w:ascii="Times New Roman" w:hAnsi="Times New Roman"/>
        </w:rPr>
        <w:t xml:space="preserve"> </w:t>
      </w:r>
      <w:r>
        <w:rPr>
          <w:rFonts w:ascii="Times New Roman" w:hAnsi="Times New Roman"/>
        </w:rPr>
        <w:t>одбору</w:t>
      </w:r>
      <w:r w:rsidR="009C64CB" w:rsidRPr="00295637">
        <w:rPr>
          <w:rFonts w:ascii="Times New Roman" w:hAnsi="Times New Roman"/>
        </w:rPr>
        <w:t xml:space="preserve"> </w:t>
      </w:r>
      <w:r>
        <w:rPr>
          <w:rFonts w:ascii="Times New Roman" w:hAnsi="Times New Roman"/>
        </w:rPr>
        <w:t>Агенције</w:t>
      </w:r>
      <w:r w:rsidR="00DC4A18">
        <w:rPr>
          <w:rFonts w:ascii="Times New Roman" w:hAnsi="Times New Roman"/>
        </w:rPr>
        <w:t xml:space="preserve"> </w:t>
      </w:r>
      <w:r>
        <w:rPr>
          <w:rFonts w:ascii="Times New Roman" w:hAnsi="Times New Roman"/>
        </w:rPr>
        <w:t>за</w:t>
      </w:r>
      <w:r w:rsidR="00DC4A18">
        <w:rPr>
          <w:rFonts w:ascii="Times New Roman" w:hAnsi="Times New Roman"/>
        </w:rPr>
        <w:t xml:space="preserve"> </w:t>
      </w:r>
      <w:r>
        <w:rPr>
          <w:rFonts w:ascii="Times New Roman" w:hAnsi="Times New Roman"/>
        </w:rPr>
        <w:t>јавне</w:t>
      </w:r>
      <w:r w:rsidR="00DC4A18">
        <w:rPr>
          <w:rFonts w:ascii="Times New Roman" w:hAnsi="Times New Roman"/>
        </w:rPr>
        <w:t xml:space="preserve"> </w:t>
      </w:r>
      <w:r>
        <w:rPr>
          <w:rFonts w:ascii="Times New Roman" w:hAnsi="Times New Roman"/>
        </w:rPr>
        <w:t>набавке</w:t>
      </w:r>
      <w:r w:rsidR="00DC4A18">
        <w:rPr>
          <w:rFonts w:ascii="Times New Roman" w:hAnsi="Times New Roman"/>
        </w:rPr>
        <w:t xml:space="preserve"> </w:t>
      </w:r>
      <w:r>
        <w:rPr>
          <w:rFonts w:ascii="Times New Roman" w:hAnsi="Times New Roman"/>
        </w:rPr>
        <w:t>Босне</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Херцеговине</w:t>
      </w:r>
      <w:r w:rsidR="00F3633A">
        <w:rPr>
          <w:rFonts w:ascii="Times New Roman" w:hAnsi="Times New Roman"/>
        </w:rPr>
        <w:t>;</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Мишљење</w:t>
      </w:r>
      <w:r w:rsidR="009C64CB" w:rsidRPr="00295637">
        <w:rPr>
          <w:rFonts w:ascii="Times New Roman" w:hAnsi="Times New Roman"/>
        </w:rPr>
        <w:t xml:space="preserve"> </w:t>
      </w:r>
      <w:r>
        <w:rPr>
          <w:rFonts w:ascii="Times New Roman" w:hAnsi="Times New Roman"/>
        </w:rPr>
        <w:t>на</w:t>
      </w:r>
      <w:r w:rsidR="009C64CB" w:rsidRPr="00295637">
        <w:rPr>
          <w:rFonts w:ascii="Times New Roman" w:hAnsi="Times New Roman"/>
        </w:rPr>
        <w:t xml:space="preserve"> </w:t>
      </w:r>
      <w:r>
        <w:rPr>
          <w:rFonts w:ascii="Times New Roman" w:hAnsi="Times New Roman"/>
        </w:rPr>
        <w:t>План</w:t>
      </w:r>
      <w:r w:rsidR="009C64CB" w:rsidRPr="00295637">
        <w:rPr>
          <w:rFonts w:ascii="Times New Roman" w:hAnsi="Times New Roman"/>
        </w:rPr>
        <w:t xml:space="preserve"> </w:t>
      </w:r>
      <w:r>
        <w:rPr>
          <w:rFonts w:ascii="Times New Roman" w:hAnsi="Times New Roman"/>
        </w:rPr>
        <w:t>равноправности</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Смјернице</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предузимање</w:t>
      </w:r>
      <w:r w:rsidR="009C64CB" w:rsidRPr="00295637">
        <w:rPr>
          <w:rFonts w:ascii="Times New Roman" w:hAnsi="Times New Roman"/>
        </w:rPr>
        <w:t xml:space="preserve"> </w:t>
      </w:r>
      <w:r>
        <w:rPr>
          <w:rFonts w:ascii="Times New Roman" w:hAnsi="Times New Roman"/>
        </w:rPr>
        <w:t>ефикасних</w:t>
      </w:r>
      <w:r w:rsidR="009C64CB" w:rsidRPr="00295637">
        <w:rPr>
          <w:rFonts w:ascii="Times New Roman" w:hAnsi="Times New Roman"/>
        </w:rPr>
        <w:t xml:space="preserve"> </w:t>
      </w:r>
      <w:r>
        <w:rPr>
          <w:rFonts w:ascii="Times New Roman" w:hAnsi="Times New Roman"/>
        </w:rPr>
        <w:t>мјера</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спречавање</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заштиту</w:t>
      </w:r>
      <w:r w:rsidR="009C64CB" w:rsidRPr="00295637">
        <w:rPr>
          <w:rFonts w:ascii="Times New Roman" w:hAnsi="Times New Roman"/>
        </w:rPr>
        <w:t xml:space="preserve"> </w:t>
      </w:r>
      <w:r>
        <w:rPr>
          <w:rFonts w:ascii="Times New Roman" w:hAnsi="Times New Roman"/>
        </w:rPr>
        <w:t>од</w:t>
      </w:r>
      <w:r w:rsidR="009C64CB" w:rsidRPr="00295637">
        <w:rPr>
          <w:rFonts w:ascii="Times New Roman" w:hAnsi="Times New Roman"/>
        </w:rPr>
        <w:t xml:space="preserve"> </w:t>
      </w:r>
      <w:r>
        <w:rPr>
          <w:rFonts w:ascii="Times New Roman" w:hAnsi="Times New Roman"/>
        </w:rPr>
        <w:t>узнемиравања</w:t>
      </w:r>
      <w:r w:rsidR="009C64CB" w:rsidRPr="00295637">
        <w:rPr>
          <w:rFonts w:ascii="Times New Roman" w:hAnsi="Times New Roman"/>
        </w:rPr>
        <w:t xml:space="preserve"> </w:t>
      </w:r>
      <w:r>
        <w:rPr>
          <w:rFonts w:ascii="Times New Roman" w:hAnsi="Times New Roman"/>
        </w:rPr>
        <w:t>на</w:t>
      </w:r>
      <w:r w:rsidR="009C64CB" w:rsidRPr="00295637">
        <w:rPr>
          <w:rFonts w:ascii="Times New Roman" w:hAnsi="Times New Roman"/>
        </w:rPr>
        <w:t xml:space="preserve"> </w:t>
      </w:r>
      <w:r>
        <w:rPr>
          <w:rFonts w:ascii="Times New Roman" w:hAnsi="Times New Roman"/>
        </w:rPr>
        <w:t>основу</w:t>
      </w:r>
      <w:r w:rsidR="009C64CB" w:rsidRPr="00295637">
        <w:rPr>
          <w:rFonts w:ascii="Times New Roman" w:hAnsi="Times New Roman"/>
        </w:rPr>
        <w:t xml:space="preserve"> </w:t>
      </w:r>
      <w:r>
        <w:rPr>
          <w:rFonts w:ascii="Times New Roman" w:hAnsi="Times New Roman"/>
        </w:rPr>
        <w:t>пола</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сексуалног</w:t>
      </w:r>
      <w:r w:rsidR="009C64CB" w:rsidRPr="00295637">
        <w:rPr>
          <w:rFonts w:ascii="Times New Roman" w:hAnsi="Times New Roman"/>
        </w:rPr>
        <w:t xml:space="preserve"> </w:t>
      </w:r>
      <w:r>
        <w:rPr>
          <w:rFonts w:ascii="Times New Roman" w:hAnsi="Times New Roman"/>
        </w:rPr>
        <w:t>узнемиравања</w:t>
      </w:r>
      <w:r w:rsidR="009C64CB" w:rsidRPr="00295637">
        <w:rPr>
          <w:rFonts w:ascii="Times New Roman" w:hAnsi="Times New Roman"/>
        </w:rPr>
        <w:t xml:space="preserve"> </w:t>
      </w:r>
      <w:r>
        <w:rPr>
          <w:rFonts w:ascii="Times New Roman" w:hAnsi="Times New Roman"/>
        </w:rPr>
        <w:t>на</w:t>
      </w:r>
      <w:r w:rsidR="009C64CB" w:rsidRPr="00295637">
        <w:rPr>
          <w:rFonts w:ascii="Times New Roman" w:hAnsi="Times New Roman"/>
        </w:rPr>
        <w:t xml:space="preserve"> </w:t>
      </w:r>
      <w:r>
        <w:rPr>
          <w:rFonts w:ascii="Times New Roman" w:hAnsi="Times New Roman"/>
        </w:rPr>
        <w:t>радном</w:t>
      </w:r>
      <w:r w:rsidR="009C64CB" w:rsidRPr="00295637">
        <w:rPr>
          <w:rFonts w:ascii="Times New Roman" w:hAnsi="Times New Roman"/>
        </w:rPr>
        <w:t xml:space="preserve"> </w:t>
      </w:r>
      <w:r>
        <w:rPr>
          <w:rFonts w:ascii="Times New Roman" w:hAnsi="Times New Roman"/>
        </w:rPr>
        <w:t>мјесту</w:t>
      </w:r>
      <w:r w:rsidR="009C64CB" w:rsidRPr="00295637">
        <w:rPr>
          <w:rFonts w:ascii="Times New Roman" w:hAnsi="Times New Roman"/>
        </w:rPr>
        <w:t xml:space="preserve"> </w:t>
      </w:r>
      <w:r>
        <w:rPr>
          <w:rFonts w:ascii="Times New Roman" w:hAnsi="Times New Roman"/>
        </w:rPr>
        <w:t>Завода</w:t>
      </w:r>
      <w:r w:rsidR="009C64CB" w:rsidRPr="00295637">
        <w:rPr>
          <w:rFonts w:ascii="Times New Roman" w:hAnsi="Times New Roman"/>
        </w:rPr>
        <w:t xml:space="preserve"> </w:t>
      </w:r>
      <w:r>
        <w:rPr>
          <w:rFonts w:ascii="Times New Roman" w:hAnsi="Times New Roman"/>
        </w:rPr>
        <w:t>за</w:t>
      </w:r>
      <w:r w:rsidR="009C64CB" w:rsidRPr="00295637">
        <w:rPr>
          <w:rFonts w:ascii="Times New Roman" w:hAnsi="Times New Roman"/>
        </w:rPr>
        <w:t xml:space="preserve"> </w:t>
      </w:r>
      <w:r>
        <w:rPr>
          <w:rFonts w:ascii="Times New Roman" w:hAnsi="Times New Roman"/>
        </w:rPr>
        <w:t>запошљавање</w:t>
      </w:r>
      <w:r w:rsidR="009C64CB" w:rsidRPr="00295637">
        <w:rPr>
          <w:rFonts w:ascii="Times New Roman" w:hAnsi="Times New Roman"/>
        </w:rPr>
        <w:t xml:space="preserve"> </w:t>
      </w:r>
      <w:r>
        <w:rPr>
          <w:rFonts w:ascii="Times New Roman" w:hAnsi="Times New Roman"/>
        </w:rPr>
        <w:t>Брчко</w:t>
      </w:r>
      <w:r w:rsidR="009C64CB" w:rsidRPr="00295637">
        <w:rPr>
          <w:rFonts w:ascii="Times New Roman" w:hAnsi="Times New Roman"/>
        </w:rPr>
        <w:t xml:space="preserve"> </w:t>
      </w:r>
      <w:r>
        <w:rPr>
          <w:rFonts w:ascii="Times New Roman" w:hAnsi="Times New Roman"/>
        </w:rPr>
        <w:t>Дистрикта</w:t>
      </w:r>
      <w:r w:rsidR="009C64CB" w:rsidRPr="00295637">
        <w:rPr>
          <w:rFonts w:ascii="Times New Roman" w:hAnsi="Times New Roman"/>
        </w:rPr>
        <w:t xml:space="preserve"> </w:t>
      </w:r>
      <w:r>
        <w:rPr>
          <w:rFonts w:ascii="Times New Roman" w:hAnsi="Times New Roman"/>
        </w:rPr>
        <w:t>Босне</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Херцеговине</w:t>
      </w:r>
      <w:r w:rsidR="00F3633A">
        <w:rPr>
          <w:rFonts w:ascii="Times New Roman" w:hAnsi="Times New Roman"/>
        </w:rPr>
        <w:t>;</w:t>
      </w:r>
      <w:r w:rsidR="009C64CB" w:rsidRPr="00295637">
        <w:rPr>
          <w:rFonts w:ascii="Times New Roman" w:hAnsi="Times New Roman"/>
        </w:rPr>
        <w:t> </w:t>
      </w:r>
    </w:p>
    <w:p w:rsidR="009C64CB" w:rsidRPr="00295637" w:rsidRDefault="00C6214E" w:rsidP="0086268D">
      <w:pPr>
        <w:pStyle w:val="ListParagraph"/>
        <w:numPr>
          <w:ilvl w:val="0"/>
          <w:numId w:val="21"/>
        </w:numPr>
        <w:ind w:left="1440"/>
        <w:rPr>
          <w:rFonts w:ascii="Times New Roman" w:hAnsi="Times New Roman"/>
        </w:rPr>
      </w:pPr>
      <w:r>
        <w:rPr>
          <w:rFonts w:ascii="Times New Roman" w:hAnsi="Times New Roman"/>
        </w:rPr>
        <w:t>Извјештај</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sidR="007A6AD7">
        <w:rPr>
          <w:rFonts w:ascii="Times New Roman" w:hAnsi="Times New Roman"/>
          <w:lang w:val="sr-Cyrl-BA"/>
        </w:rPr>
        <w:t>спровођењу</w:t>
      </w:r>
      <w:r w:rsidR="009C64CB" w:rsidRPr="00295637">
        <w:rPr>
          <w:rFonts w:ascii="Times New Roman" w:hAnsi="Times New Roman"/>
        </w:rPr>
        <w:t xml:space="preserve"> </w:t>
      </w:r>
      <w:r>
        <w:rPr>
          <w:rFonts w:ascii="Times New Roman" w:hAnsi="Times New Roman"/>
        </w:rPr>
        <w:t>стратегије</w:t>
      </w:r>
      <w:r w:rsidR="009C64CB" w:rsidRPr="00295637">
        <w:rPr>
          <w:rFonts w:ascii="Times New Roman" w:hAnsi="Times New Roman"/>
        </w:rPr>
        <w:t xml:space="preserve"> </w:t>
      </w:r>
      <w:r>
        <w:rPr>
          <w:rFonts w:ascii="Times New Roman" w:hAnsi="Times New Roman"/>
        </w:rPr>
        <w:t>јавних</w:t>
      </w:r>
      <w:r w:rsidR="009C64CB" w:rsidRPr="00295637">
        <w:rPr>
          <w:rFonts w:ascii="Times New Roman" w:hAnsi="Times New Roman"/>
        </w:rPr>
        <w:t xml:space="preserve"> </w:t>
      </w:r>
      <w:r>
        <w:rPr>
          <w:rFonts w:ascii="Times New Roman" w:hAnsi="Times New Roman"/>
        </w:rPr>
        <w:t>набавки</w:t>
      </w:r>
      <w:r w:rsidR="009C64CB" w:rsidRPr="00295637">
        <w:rPr>
          <w:rFonts w:ascii="Times New Roman" w:hAnsi="Times New Roman"/>
        </w:rPr>
        <w:t xml:space="preserve"> 2024-2028.</w:t>
      </w:r>
      <w:r w:rsidR="00F3633A">
        <w:rPr>
          <w:rFonts w:ascii="Times New Roman" w:hAnsi="Times New Roman"/>
        </w:rPr>
        <w:t xml:space="preserve"> </w:t>
      </w:r>
      <w:r>
        <w:rPr>
          <w:rFonts w:ascii="Times New Roman" w:hAnsi="Times New Roman"/>
        </w:rPr>
        <w:t>године</w:t>
      </w:r>
      <w:r w:rsidR="00F3633A">
        <w:rPr>
          <w:rFonts w:ascii="Times New Roman" w:hAnsi="Times New Roman"/>
        </w:rPr>
        <w:t>;</w:t>
      </w:r>
    </w:p>
    <w:p w:rsidR="00236B7A" w:rsidRPr="00295637" w:rsidRDefault="00C6214E" w:rsidP="0086268D">
      <w:pPr>
        <w:pStyle w:val="ListParagraph"/>
        <w:numPr>
          <w:ilvl w:val="0"/>
          <w:numId w:val="21"/>
        </w:numPr>
        <w:ind w:left="1440"/>
        <w:rPr>
          <w:rFonts w:ascii="Times New Roman" w:hAnsi="Times New Roman"/>
        </w:rPr>
      </w:pPr>
      <w:r>
        <w:rPr>
          <w:rFonts w:ascii="Times New Roman" w:hAnsi="Times New Roman"/>
        </w:rPr>
        <w:t>Приједлог</w:t>
      </w:r>
      <w:r w:rsidR="009C64CB" w:rsidRPr="00295637">
        <w:rPr>
          <w:rFonts w:ascii="Times New Roman" w:hAnsi="Times New Roman"/>
        </w:rPr>
        <w:t xml:space="preserve"> </w:t>
      </w:r>
      <w:r>
        <w:rPr>
          <w:rFonts w:ascii="Times New Roman" w:hAnsi="Times New Roman"/>
        </w:rPr>
        <w:t>рјешења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именовању</w:t>
      </w:r>
      <w:r w:rsidR="009C64CB" w:rsidRPr="00295637">
        <w:rPr>
          <w:rFonts w:ascii="Times New Roman" w:hAnsi="Times New Roman"/>
        </w:rPr>
        <w:t xml:space="preserve"> </w:t>
      </w:r>
      <w:r>
        <w:rPr>
          <w:rFonts w:ascii="Times New Roman" w:hAnsi="Times New Roman"/>
        </w:rPr>
        <w:t>члана</w:t>
      </w:r>
      <w:r w:rsidR="009C64CB" w:rsidRPr="00295637">
        <w:rPr>
          <w:rFonts w:ascii="Times New Roman" w:hAnsi="Times New Roman"/>
        </w:rPr>
        <w:t xml:space="preserve"> </w:t>
      </w:r>
      <w:r>
        <w:rPr>
          <w:rFonts w:ascii="Times New Roman" w:hAnsi="Times New Roman"/>
        </w:rPr>
        <w:t>Одбора</w:t>
      </w:r>
      <w:r w:rsidR="009C64CB" w:rsidRPr="00295637">
        <w:rPr>
          <w:rFonts w:ascii="Times New Roman" w:hAnsi="Times New Roman"/>
        </w:rPr>
        <w:t xml:space="preserve"> </w:t>
      </w:r>
      <w:r>
        <w:rPr>
          <w:rFonts w:ascii="Times New Roman" w:hAnsi="Times New Roman"/>
        </w:rPr>
        <w:t>АЈН</w:t>
      </w:r>
      <w:r w:rsidR="00DC4A18">
        <w:rPr>
          <w:rFonts w:ascii="Times New Roman" w:hAnsi="Times New Roman"/>
        </w:rPr>
        <w:t xml:space="preserve"> </w:t>
      </w:r>
      <w:r>
        <w:rPr>
          <w:rFonts w:ascii="Times New Roman" w:hAnsi="Times New Roman"/>
        </w:rPr>
        <w:t>БиХ</w:t>
      </w:r>
      <w:r w:rsidR="009C64CB" w:rsidRPr="00295637">
        <w:rPr>
          <w:rFonts w:ascii="Times New Roman" w:hAnsi="Times New Roman"/>
        </w:rPr>
        <w:t xml:space="preserve"> </w:t>
      </w:r>
      <w:r>
        <w:rPr>
          <w:rFonts w:ascii="Times New Roman" w:hAnsi="Times New Roman"/>
        </w:rPr>
        <w:t>и</w:t>
      </w:r>
      <w:r w:rsidR="009C64CB" w:rsidRPr="00295637">
        <w:rPr>
          <w:rFonts w:ascii="Times New Roman" w:hAnsi="Times New Roman"/>
        </w:rPr>
        <w:t xml:space="preserve"> </w:t>
      </w:r>
      <w:r>
        <w:rPr>
          <w:rFonts w:ascii="Times New Roman" w:hAnsi="Times New Roman"/>
        </w:rPr>
        <w:t>Приједлог</w:t>
      </w:r>
      <w:r w:rsidR="009C64CB" w:rsidRPr="00295637">
        <w:rPr>
          <w:rFonts w:ascii="Times New Roman" w:hAnsi="Times New Roman"/>
        </w:rPr>
        <w:t xml:space="preserve"> </w:t>
      </w:r>
      <w:r>
        <w:rPr>
          <w:rFonts w:ascii="Times New Roman" w:hAnsi="Times New Roman"/>
        </w:rPr>
        <w:t>рјешења</w:t>
      </w:r>
      <w:r w:rsidR="009C64CB" w:rsidRPr="00295637">
        <w:rPr>
          <w:rFonts w:ascii="Times New Roman" w:hAnsi="Times New Roman"/>
        </w:rPr>
        <w:t xml:space="preserve"> </w:t>
      </w:r>
      <w:r>
        <w:rPr>
          <w:rFonts w:ascii="Times New Roman" w:hAnsi="Times New Roman"/>
        </w:rPr>
        <w:t>о</w:t>
      </w:r>
      <w:r w:rsidR="009C64CB" w:rsidRPr="00295637">
        <w:rPr>
          <w:rFonts w:ascii="Times New Roman" w:hAnsi="Times New Roman"/>
        </w:rPr>
        <w:t xml:space="preserve"> </w:t>
      </w:r>
      <w:r>
        <w:rPr>
          <w:rFonts w:ascii="Times New Roman" w:hAnsi="Times New Roman"/>
        </w:rPr>
        <w:t>именовању</w:t>
      </w:r>
      <w:r w:rsidR="009C64CB" w:rsidRPr="00295637">
        <w:rPr>
          <w:rFonts w:ascii="Times New Roman" w:hAnsi="Times New Roman"/>
        </w:rPr>
        <w:t xml:space="preserve"> </w:t>
      </w:r>
      <w:r>
        <w:rPr>
          <w:rFonts w:ascii="Times New Roman" w:hAnsi="Times New Roman"/>
        </w:rPr>
        <w:t>посматрача</w:t>
      </w:r>
      <w:r w:rsidR="009C64CB" w:rsidRPr="00295637">
        <w:rPr>
          <w:rFonts w:ascii="Times New Roman" w:hAnsi="Times New Roman"/>
        </w:rPr>
        <w:t xml:space="preserve"> </w:t>
      </w:r>
      <w:r>
        <w:rPr>
          <w:rFonts w:ascii="Times New Roman" w:hAnsi="Times New Roman"/>
        </w:rPr>
        <w:t>у</w:t>
      </w:r>
      <w:r w:rsidR="009C64CB" w:rsidRPr="00295637">
        <w:rPr>
          <w:rFonts w:ascii="Times New Roman" w:hAnsi="Times New Roman"/>
        </w:rPr>
        <w:t xml:space="preserve"> </w:t>
      </w:r>
      <w:r>
        <w:rPr>
          <w:rFonts w:ascii="Times New Roman" w:hAnsi="Times New Roman"/>
        </w:rPr>
        <w:t>Одбору</w:t>
      </w:r>
      <w:r w:rsidR="009C64CB" w:rsidRPr="00295637">
        <w:rPr>
          <w:rFonts w:ascii="Times New Roman" w:hAnsi="Times New Roman"/>
        </w:rPr>
        <w:t xml:space="preserve"> </w:t>
      </w:r>
      <w:r>
        <w:rPr>
          <w:rFonts w:ascii="Times New Roman" w:hAnsi="Times New Roman"/>
        </w:rPr>
        <w:t>АЈН</w:t>
      </w:r>
      <w:r w:rsidR="009E54A2" w:rsidRPr="00295637">
        <w:rPr>
          <w:rFonts w:ascii="Times New Roman" w:hAnsi="Times New Roman"/>
        </w:rPr>
        <w:t xml:space="preserve"> </w:t>
      </w:r>
      <w:r>
        <w:rPr>
          <w:rFonts w:ascii="Times New Roman" w:hAnsi="Times New Roman"/>
        </w:rPr>
        <w:t>БиХ</w:t>
      </w:r>
      <w:r w:rsidR="00F3633A">
        <w:rPr>
          <w:rFonts w:ascii="Times New Roman" w:hAnsi="Times New Roman"/>
        </w:rPr>
        <w:t>;</w:t>
      </w:r>
      <w:r w:rsidR="009E54A2" w:rsidRPr="00295637">
        <w:rPr>
          <w:rFonts w:ascii="Times New Roman" w:hAnsi="Times New Roman"/>
        </w:rPr>
        <w:t xml:space="preserve"> </w:t>
      </w:r>
    </w:p>
    <w:p w:rsidR="00EE56B8" w:rsidRPr="00295637" w:rsidRDefault="00C6214E" w:rsidP="0086268D">
      <w:pPr>
        <w:pStyle w:val="ListParagraph"/>
        <w:numPr>
          <w:ilvl w:val="0"/>
          <w:numId w:val="21"/>
        </w:numPr>
        <w:ind w:left="1440"/>
        <w:rPr>
          <w:rFonts w:ascii="Times New Roman" w:hAnsi="Times New Roman"/>
        </w:rPr>
      </w:pPr>
      <w:r>
        <w:rPr>
          <w:rFonts w:ascii="Times New Roman" w:eastAsia="Calibri" w:hAnsi="Times New Roman"/>
          <w:szCs w:val="24"/>
          <w:lang w:val="bs-Latn-BA"/>
        </w:rPr>
        <w:t>Препоруке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усклађивање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Закона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заштити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од</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насиља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породици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ФБиХ</w:t>
      </w:r>
      <w:r w:rsidR="00F3633A">
        <w:rPr>
          <w:rFonts w:ascii="Times New Roman" w:eastAsia="Calibri" w:hAnsi="Times New Roman"/>
          <w:szCs w:val="24"/>
          <w:lang w:val="bs-Latn-BA"/>
        </w:rPr>
        <w:t xml:space="preserve"> </w:t>
      </w:r>
      <w:r>
        <w:rPr>
          <w:rFonts w:ascii="Times New Roman" w:eastAsia="Calibri" w:hAnsi="Times New Roman"/>
          <w:szCs w:val="24"/>
          <w:lang w:val="bs-Latn-BA"/>
        </w:rPr>
        <w:t>са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одредбама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Конвенције</w:t>
      </w:r>
      <w:r w:rsidR="00EE56B8" w:rsidRPr="00295637">
        <w:rPr>
          <w:rFonts w:ascii="Times New Roman" w:eastAsia="Calibri" w:hAnsi="Times New Roman"/>
          <w:szCs w:val="24"/>
          <w:lang w:val="bs-Latn-BA"/>
        </w:rPr>
        <w:t xml:space="preserve"> </w:t>
      </w:r>
      <w:r w:rsidR="007A6AD7">
        <w:rPr>
          <w:rFonts w:ascii="Times New Roman" w:eastAsia="Calibri" w:hAnsi="Times New Roman"/>
          <w:szCs w:val="24"/>
          <w:lang w:val="sr-Cyrl-BA"/>
        </w:rPr>
        <w:t>Савјета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Европе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спречавању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борби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против</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насиља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над</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женама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насиља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породици</w:t>
      </w:r>
      <w:r w:rsidR="00194F52" w:rsidRPr="00295637">
        <w:rPr>
          <w:rFonts w:ascii="Times New Roman" w:eastAsia="Calibri" w:hAnsi="Times New Roman"/>
          <w:szCs w:val="24"/>
          <w:lang w:val="bs-Latn-BA"/>
        </w:rPr>
        <w:t xml:space="preserve"> - </w:t>
      </w:r>
      <w:r>
        <w:rPr>
          <w:rFonts w:ascii="Times New Roman" w:eastAsia="Calibri" w:hAnsi="Times New Roman"/>
          <w:szCs w:val="24"/>
          <w:lang w:val="bs-Latn-BA"/>
        </w:rPr>
        <w:t>Истанбулска</w:t>
      </w:r>
      <w:r w:rsidR="00194F52" w:rsidRPr="00295637">
        <w:rPr>
          <w:rFonts w:ascii="Times New Roman" w:eastAsia="Calibri" w:hAnsi="Times New Roman"/>
          <w:szCs w:val="24"/>
          <w:lang w:val="bs-Latn-BA"/>
        </w:rPr>
        <w:t xml:space="preserve"> </w:t>
      </w:r>
      <w:r>
        <w:rPr>
          <w:rFonts w:ascii="Times New Roman" w:eastAsia="Calibri" w:hAnsi="Times New Roman"/>
          <w:szCs w:val="24"/>
          <w:lang w:val="bs-Latn-BA"/>
        </w:rPr>
        <w:t>конвенција</w:t>
      </w:r>
      <w:r w:rsidR="00F3633A">
        <w:rPr>
          <w:rFonts w:ascii="Times New Roman" w:eastAsia="Calibri"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Препоруке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усклађивање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Кривичног</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закона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ФБиХ</w:t>
      </w:r>
      <w:r w:rsidR="00F3633A">
        <w:rPr>
          <w:rFonts w:ascii="Times New Roman" w:eastAsia="Calibri" w:hAnsi="Times New Roman"/>
          <w:szCs w:val="24"/>
          <w:lang w:val="bs-Latn-BA"/>
        </w:rPr>
        <w:t xml:space="preserve"> </w:t>
      </w:r>
      <w:r>
        <w:rPr>
          <w:rFonts w:ascii="Times New Roman" w:eastAsia="Calibri" w:hAnsi="Times New Roman"/>
          <w:szCs w:val="24"/>
          <w:lang w:val="bs-Latn-BA"/>
        </w:rPr>
        <w:t>са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одредбама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Конвенције</w:t>
      </w:r>
      <w:r w:rsidR="00EE56B8" w:rsidRPr="00295637">
        <w:rPr>
          <w:rFonts w:ascii="Times New Roman" w:eastAsia="Calibri" w:hAnsi="Times New Roman"/>
          <w:szCs w:val="24"/>
          <w:lang w:val="bs-Latn-BA"/>
        </w:rPr>
        <w:t xml:space="preserve"> </w:t>
      </w:r>
      <w:r w:rsidR="007A6AD7">
        <w:rPr>
          <w:rFonts w:ascii="Times New Roman" w:eastAsia="Calibri" w:hAnsi="Times New Roman"/>
          <w:szCs w:val="24"/>
          <w:lang w:val="sr-Cyrl-BA"/>
        </w:rPr>
        <w:t>Савјета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Европе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спречавању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борби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против</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насиља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над</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женама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насиља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породици</w:t>
      </w:r>
      <w:r w:rsidR="00194F52" w:rsidRPr="00295637">
        <w:rPr>
          <w:rFonts w:ascii="Times New Roman" w:eastAsia="Calibri" w:hAnsi="Times New Roman"/>
          <w:szCs w:val="24"/>
          <w:lang w:val="bs-Latn-BA"/>
        </w:rPr>
        <w:t xml:space="preserve"> - </w:t>
      </w:r>
      <w:r>
        <w:rPr>
          <w:rFonts w:ascii="Times New Roman" w:eastAsia="Calibri" w:hAnsi="Times New Roman"/>
          <w:szCs w:val="24"/>
          <w:lang w:val="bs-Latn-BA"/>
        </w:rPr>
        <w:t>Истанбулска</w:t>
      </w:r>
      <w:r w:rsidR="00194F52" w:rsidRPr="00295637">
        <w:rPr>
          <w:rFonts w:ascii="Times New Roman" w:eastAsia="Calibri" w:hAnsi="Times New Roman"/>
          <w:szCs w:val="24"/>
          <w:lang w:val="bs-Latn-BA"/>
        </w:rPr>
        <w:t xml:space="preserve"> </w:t>
      </w:r>
      <w:r>
        <w:rPr>
          <w:rFonts w:ascii="Times New Roman" w:eastAsia="Calibri" w:hAnsi="Times New Roman"/>
          <w:szCs w:val="24"/>
          <w:lang w:val="bs-Latn-BA"/>
        </w:rPr>
        <w:t>конвенција</w:t>
      </w:r>
      <w:r w:rsidR="00F3633A">
        <w:rPr>
          <w:rFonts w:ascii="Times New Roman" w:eastAsia="Calibri"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Коментари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Нацрт</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закона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Заштити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од</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насиља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породици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насиља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према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женама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ФБиХ</w:t>
      </w:r>
      <w:r w:rsidR="00F3633A">
        <w:rPr>
          <w:rFonts w:ascii="Times New Roman" w:eastAsia="Calibri"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Коментари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Нацрт</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Закона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измјенама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допунама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Кривичног</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закона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ФБиХ</w:t>
      </w:r>
      <w:r w:rsidR="00F3633A">
        <w:rPr>
          <w:rFonts w:ascii="Times New Roman" w:eastAsia="Calibri"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Коментари</w:t>
      </w:r>
      <w:r w:rsidR="00EE56B8" w:rsidRPr="00295637">
        <w:rPr>
          <w:rFonts w:ascii="Times New Roman" w:hAnsi="Times New Roman"/>
          <w:szCs w:val="24"/>
          <w:lang w:val="bs-Latn-BA"/>
        </w:rPr>
        <w:t xml:space="preserve"> </w:t>
      </w:r>
      <w:r>
        <w:rPr>
          <w:rFonts w:ascii="Times New Roman" w:hAnsi="Times New Roman"/>
          <w:szCs w:val="24"/>
          <w:lang w:val="bs-Latn-BA"/>
        </w:rPr>
        <w:t>на</w:t>
      </w:r>
      <w:r w:rsidR="00EE56B8" w:rsidRPr="00295637">
        <w:rPr>
          <w:rFonts w:ascii="Times New Roman" w:hAnsi="Times New Roman"/>
          <w:szCs w:val="24"/>
          <w:lang w:val="bs-Latn-BA"/>
        </w:rPr>
        <w:t xml:space="preserve"> </w:t>
      </w:r>
      <w:r>
        <w:rPr>
          <w:rFonts w:ascii="Times New Roman" w:hAnsi="Times New Roman"/>
          <w:szCs w:val="24"/>
          <w:lang w:val="bs-Latn-BA"/>
        </w:rPr>
        <w:t>Нацрт</w:t>
      </w:r>
      <w:r w:rsidR="00EE56B8" w:rsidRPr="00295637">
        <w:rPr>
          <w:rFonts w:ascii="Times New Roman" w:hAnsi="Times New Roman"/>
          <w:szCs w:val="24"/>
          <w:lang w:val="bs-Latn-BA"/>
        </w:rPr>
        <w:t xml:space="preserve"> </w:t>
      </w:r>
      <w:r>
        <w:rPr>
          <w:rFonts w:ascii="Times New Roman" w:hAnsi="Times New Roman"/>
          <w:szCs w:val="24"/>
          <w:lang w:val="bs-Latn-BA"/>
        </w:rPr>
        <w:t>закона</w:t>
      </w:r>
      <w:r w:rsidR="00EE56B8" w:rsidRPr="00295637">
        <w:rPr>
          <w:rFonts w:ascii="Times New Roman" w:hAnsi="Times New Roman"/>
          <w:szCs w:val="24"/>
          <w:lang w:val="bs-Latn-BA"/>
        </w:rPr>
        <w:t xml:space="preserve"> </w:t>
      </w:r>
      <w:r>
        <w:rPr>
          <w:rFonts w:ascii="Times New Roman" w:hAnsi="Times New Roman"/>
          <w:szCs w:val="24"/>
          <w:lang w:val="bs-Latn-BA"/>
        </w:rPr>
        <w:t>о</w:t>
      </w:r>
      <w:r w:rsidR="00EE56B8" w:rsidRPr="00295637">
        <w:rPr>
          <w:rFonts w:ascii="Times New Roman" w:hAnsi="Times New Roman"/>
          <w:szCs w:val="24"/>
          <w:lang w:val="bs-Latn-BA"/>
        </w:rPr>
        <w:t xml:space="preserve"> </w:t>
      </w:r>
      <w:r>
        <w:rPr>
          <w:rFonts w:ascii="Times New Roman" w:hAnsi="Times New Roman"/>
          <w:szCs w:val="24"/>
          <w:lang w:val="bs-Latn-BA"/>
        </w:rPr>
        <w:t>заштити</w:t>
      </w:r>
      <w:r w:rsidR="00EE56B8" w:rsidRPr="00295637">
        <w:rPr>
          <w:rFonts w:ascii="Times New Roman" w:hAnsi="Times New Roman"/>
          <w:szCs w:val="24"/>
          <w:lang w:val="bs-Latn-BA"/>
        </w:rPr>
        <w:t xml:space="preserve"> </w:t>
      </w:r>
      <w:r>
        <w:rPr>
          <w:rFonts w:ascii="Times New Roman" w:hAnsi="Times New Roman"/>
          <w:szCs w:val="24"/>
          <w:lang w:val="bs-Latn-BA"/>
        </w:rPr>
        <w:t>права</w:t>
      </w:r>
      <w:r w:rsidR="00EE56B8" w:rsidRPr="00295637">
        <w:rPr>
          <w:rFonts w:ascii="Times New Roman" w:hAnsi="Times New Roman"/>
          <w:szCs w:val="24"/>
          <w:lang w:val="bs-Latn-BA"/>
        </w:rPr>
        <w:t xml:space="preserve"> </w:t>
      </w:r>
      <w:r>
        <w:rPr>
          <w:rFonts w:ascii="Times New Roman" w:hAnsi="Times New Roman"/>
          <w:szCs w:val="24"/>
          <w:lang w:val="bs-Latn-BA"/>
        </w:rPr>
        <w:t>на</w:t>
      </w:r>
      <w:r w:rsidR="00EE56B8" w:rsidRPr="00295637">
        <w:rPr>
          <w:rFonts w:ascii="Times New Roman" w:hAnsi="Times New Roman"/>
          <w:szCs w:val="24"/>
          <w:lang w:val="bs-Latn-BA"/>
        </w:rPr>
        <w:t xml:space="preserve"> </w:t>
      </w:r>
      <w:r>
        <w:rPr>
          <w:rFonts w:ascii="Times New Roman" w:hAnsi="Times New Roman"/>
          <w:szCs w:val="24"/>
          <w:lang w:val="bs-Latn-BA"/>
        </w:rPr>
        <w:t>правично</w:t>
      </w:r>
      <w:r w:rsidR="00EE56B8" w:rsidRPr="00295637">
        <w:rPr>
          <w:rFonts w:ascii="Times New Roman" w:hAnsi="Times New Roman"/>
          <w:szCs w:val="24"/>
          <w:lang w:val="bs-Latn-BA"/>
        </w:rPr>
        <w:t xml:space="preserve"> </w:t>
      </w:r>
      <w:r>
        <w:rPr>
          <w:rFonts w:ascii="Times New Roman" w:hAnsi="Times New Roman"/>
          <w:szCs w:val="24"/>
          <w:lang w:val="bs-Latn-BA"/>
        </w:rPr>
        <w:t>суђење</w:t>
      </w:r>
      <w:r w:rsidR="00EE56B8" w:rsidRPr="00295637">
        <w:rPr>
          <w:rFonts w:ascii="Times New Roman" w:hAnsi="Times New Roman"/>
          <w:szCs w:val="24"/>
          <w:lang w:val="bs-Latn-BA"/>
        </w:rPr>
        <w:t xml:space="preserve"> </w:t>
      </w:r>
      <w:r>
        <w:rPr>
          <w:rFonts w:ascii="Times New Roman" w:hAnsi="Times New Roman"/>
          <w:szCs w:val="24"/>
          <w:lang w:val="bs-Latn-BA"/>
        </w:rPr>
        <w:t>у</w:t>
      </w:r>
      <w:r w:rsidR="00EE56B8" w:rsidRPr="00295637">
        <w:rPr>
          <w:rFonts w:ascii="Times New Roman" w:hAnsi="Times New Roman"/>
          <w:szCs w:val="24"/>
          <w:lang w:val="bs-Latn-BA"/>
        </w:rPr>
        <w:t xml:space="preserve"> </w:t>
      </w:r>
      <w:r>
        <w:rPr>
          <w:rFonts w:ascii="Times New Roman" w:hAnsi="Times New Roman"/>
          <w:szCs w:val="24"/>
          <w:lang w:val="bs-Latn-BA"/>
        </w:rPr>
        <w:t>разумном</w:t>
      </w:r>
      <w:r w:rsidR="00EE56B8" w:rsidRPr="00295637">
        <w:rPr>
          <w:rFonts w:ascii="Times New Roman" w:hAnsi="Times New Roman"/>
          <w:szCs w:val="24"/>
          <w:lang w:val="bs-Latn-BA"/>
        </w:rPr>
        <w:t xml:space="preserve"> </w:t>
      </w:r>
      <w:r>
        <w:rPr>
          <w:rFonts w:ascii="Times New Roman" w:hAnsi="Times New Roman"/>
          <w:szCs w:val="24"/>
          <w:lang w:val="bs-Latn-BA"/>
        </w:rPr>
        <w:t>року</w:t>
      </w:r>
      <w:r w:rsidR="00EE56B8" w:rsidRPr="00295637">
        <w:rPr>
          <w:rFonts w:ascii="Times New Roman" w:hAnsi="Times New Roman"/>
          <w:szCs w:val="24"/>
          <w:lang w:val="bs-Latn-BA"/>
        </w:rPr>
        <w:t xml:space="preserve"> </w:t>
      </w:r>
      <w:r>
        <w:rPr>
          <w:rFonts w:ascii="Times New Roman" w:hAnsi="Times New Roman"/>
          <w:szCs w:val="24"/>
          <w:lang w:val="bs-Latn-BA"/>
        </w:rPr>
        <w:t>ФБиХ</w:t>
      </w:r>
      <w:r w:rsidR="00F3633A">
        <w:rPr>
          <w:rFonts w:ascii="Times New Roman" w:hAnsi="Times New Roman"/>
          <w:szCs w:val="24"/>
          <w:lang w:val="bs-Latn-BA"/>
        </w:rPr>
        <w:t>;</w:t>
      </w:r>
      <w:r w:rsidR="009E54A2" w:rsidRPr="00295637">
        <w:rPr>
          <w:rFonts w:ascii="Times New Roman" w:hAnsi="Times New Roman"/>
          <w:szCs w:val="24"/>
          <w:lang w:val="bs-Latn-BA"/>
        </w:rPr>
        <w:t xml:space="preserve"> </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Коментари</w:t>
      </w:r>
      <w:r w:rsidR="00EE56B8" w:rsidRPr="00295637">
        <w:rPr>
          <w:rFonts w:ascii="Times New Roman" w:hAnsi="Times New Roman"/>
          <w:szCs w:val="24"/>
          <w:lang w:val="bs-Latn-BA"/>
        </w:rPr>
        <w:t xml:space="preserve"> </w:t>
      </w:r>
      <w:r>
        <w:rPr>
          <w:rFonts w:ascii="Times New Roman" w:hAnsi="Times New Roman"/>
          <w:szCs w:val="24"/>
          <w:lang w:val="bs-Latn-BA"/>
        </w:rPr>
        <w:t>на</w:t>
      </w:r>
      <w:r w:rsidR="00EE56B8" w:rsidRPr="00295637">
        <w:rPr>
          <w:rFonts w:ascii="Times New Roman" w:hAnsi="Times New Roman"/>
          <w:szCs w:val="24"/>
          <w:lang w:val="bs-Latn-BA"/>
        </w:rPr>
        <w:t xml:space="preserve"> </w:t>
      </w:r>
      <w:r>
        <w:rPr>
          <w:rFonts w:ascii="Times New Roman" w:hAnsi="Times New Roman"/>
          <w:szCs w:val="24"/>
          <w:lang w:val="bs-Latn-BA"/>
        </w:rPr>
        <w:t>Нацрт</w:t>
      </w:r>
      <w:r w:rsidR="00EE56B8" w:rsidRPr="00295637">
        <w:rPr>
          <w:rFonts w:ascii="Times New Roman" w:hAnsi="Times New Roman"/>
          <w:szCs w:val="24"/>
          <w:lang w:val="bs-Latn-BA"/>
        </w:rPr>
        <w:t xml:space="preserve"> </w:t>
      </w:r>
      <w:r>
        <w:rPr>
          <w:rFonts w:ascii="Times New Roman" w:hAnsi="Times New Roman"/>
          <w:szCs w:val="24"/>
          <w:lang w:val="bs-Latn-BA"/>
        </w:rPr>
        <w:t>Закона</w:t>
      </w:r>
      <w:r w:rsidR="00EE56B8" w:rsidRPr="00295637">
        <w:rPr>
          <w:rFonts w:ascii="Times New Roman" w:hAnsi="Times New Roman"/>
          <w:szCs w:val="24"/>
          <w:lang w:val="bs-Latn-BA"/>
        </w:rPr>
        <w:t xml:space="preserve"> </w:t>
      </w:r>
      <w:r>
        <w:rPr>
          <w:rFonts w:ascii="Times New Roman" w:hAnsi="Times New Roman"/>
          <w:szCs w:val="24"/>
          <w:lang w:val="bs-Latn-BA"/>
        </w:rPr>
        <w:t>о</w:t>
      </w:r>
      <w:r w:rsidR="00EE56B8" w:rsidRPr="00295637">
        <w:rPr>
          <w:rFonts w:ascii="Times New Roman" w:hAnsi="Times New Roman"/>
          <w:szCs w:val="24"/>
          <w:lang w:val="bs-Latn-BA"/>
        </w:rPr>
        <w:t xml:space="preserve"> </w:t>
      </w:r>
      <w:r>
        <w:rPr>
          <w:rFonts w:ascii="Times New Roman" w:hAnsi="Times New Roman"/>
          <w:szCs w:val="24"/>
          <w:lang w:val="bs-Latn-BA"/>
        </w:rPr>
        <w:t>финансирању</w:t>
      </w:r>
      <w:r w:rsidR="00EE56B8" w:rsidRPr="00295637">
        <w:rPr>
          <w:rFonts w:ascii="Times New Roman" w:hAnsi="Times New Roman"/>
          <w:szCs w:val="24"/>
          <w:lang w:val="bs-Latn-BA"/>
        </w:rPr>
        <w:t xml:space="preserve"> </w:t>
      </w:r>
      <w:r>
        <w:rPr>
          <w:rFonts w:ascii="Times New Roman" w:hAnsi="Times New Roman"/>
          <w:szCs w:val="24"/>
          <w:lang w:val="bs-Latn-BA"/>
        </w:rPr>
        <w:t>организација</w:t>
      </w:r>
      <w:r w:rsidR="00EE56B8" w:rsidRPr="00295637">
        <w:rPr>
          <w:rFonts w:ascii="Times New Roman" w:hAnsi="Times New Roman"/>
          <w:szCs w:val="24"/>
          <w:lang w:val="bs-Latn-BA"/>
        </w:rPr>
        <w:t xml:space="preserve"> </w:t>
      </w:r>
      <w:r>
        <w:rPr>
          <w:rFonts w:ascii="Times New Roman" w:hAnsi="Times New Roman"/>
          <w:szCs w:val="24"/>
          <w:lang w:val="bs-Latn-BA"/>
        </w:rPr>
        <w:t>цивилног</w:t>
      </w:r>
      <w:r w:rsidR="00EE56B8" w:rsidRPr="00295637">
        <w:rPr>
          <w:rFonts w:ascii="Times New Roman" w:hAnsi="Times New Roman"/>
          <w:szCs w:val="24"/>
          <w:lang w:val="bs-Latn-BA"/>
        </w:rPr>
        <w:t xml:space="preserve"> </w:t>
      </w:r>
      <w:r>
        <w:rPr>
          <w:rFonts w:ascii="Times New Roman" w:hAnsi="Times New Roman"/>
          <w:szCs w:val="24"/>
          <w:lang w:val="bs-Latn-BA"/>
        </w:rPr>
        <w:t>друштва</w:t>
      </w:r>
      <w:r w:rsidR="00EE56B8" w:rsidRPr="00295637">
        <w:rPr>
          <w:rFonts w:ascii="Times New Roman" w:hAnsi="Times New Roman"/>
          <w:szCs w:val="24"/>
          <w:lang w:val="bs-Latn-BA"/>
        </w:rPr>
        <w:t xml:space="preserve"> </w:t>
      </w:r>
      <w:r>
        <w:rPr>
          <w:rFonts w:ascii="Times New Roman" w:hAnsi="Times New Roman"/>
          <w:szCs w:val="24"/>
          <w:lang w:val="bs-Latn-BA"/>
        </w:rPr>
        <w:t>у</w:t>
      </w:r>
      <w:r w:rsidR="00EE56B8" w:rsidRPr="00295637">
        <w:rPr>
          <w:rFonts w:ascii="Times New Roman" w:hAnsi="Times New Roman"/>
          <w:szCs w:val="24"/>
          <w:lang w:val="bs-Latn-BA"/>
        </w:rPr>
        <w:t xml:space="preserve"> </w:t>
      </w:r>
      <w:r>
        <w:rPr>
          <w:rFonts w:ascii="Times New Roman" w:hAnsi="Times New Roman"/>
          <w:szCs w:val="24"/>
          <w:lang w:val="bs-Latn-BA"/>
        </w:rPr>
        <w:t>ФБиХ</w:t>
      </w:r>
      <w:r w:rsidR="00F3633A">
        <w:rPr>
          <w:rFonts w:ascii="Times New Roman"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Коментари</w:t>
      </w:r>
      <w:r w:rsidR="00EE56B8" w:rsidRPr="00295637">
        <w:rPr>
          <w:rFonts w:ascii="Times New Roman" w:hAnsi="Times New Roman"/>
          <w:szCs w:val="24"/>
          <w:lang w:val="bs-Latn-BA"/>
        </w:rPr>
        <w:t xml:space="preserve"> </w:t>
      </w:r>
      <w:r>
        <w:rPr>
          <w:rFonts w:ascii="Times New Roman" w:hAnsi="Times New Roman"/>
          <w:szCs w:val="24"/>
          <w:lang w:val="bs-Latn-BA"/>
        </w:rPr>
        <w:t>на</w:t>
      </w:r>
      <w:r w:rsidR="00EE56B8" w:rsidRPr="00295637">
        <w:rPr>
          <w:rFonts w:ascii="Times New Roman" w:hAnsi="Times New Roman"/>
          <w:szCs w:val="24"/>
          <w:lang w:val="bs-Latn-BA"/>
        </w:rPr>
        <w:t xml:space="preserve"> </w:t>
      </w:r>
      <w:r>
        <w:rPr>
          <w:rFonts w:ascii="Times New Roman" w:hAnsi="Times New Roman"/>
          <w:szCs w:val="24"/>
          <w:lang w:val="bs-Latn-BA"/>
        </w:rPr>
        <w:t>Преднацрт</w:t>
      </w:r>
      <w:r w:rsidR="00EE56B8" w:rsidRPr="00295637">
        <w:rPr>
          <w:rFonts w:ascii="Times New Roman" w:hAnsi="Times New Roman"/>
          <w:szCs w:val="24"/>
          <w:lang w:val="bs-Latn-BA"/>
        </w:rPr>
        <w:t xml:space="preserve"> </w:t>
      </w:r>
      <w:r>
        <w:rPr>
          <w:rFonts w:ascii="Times New Roman" w:hAnsi="Times New Roman"/>
          <w:szCs w:val="24"/>
          <w:lang w:val="bs-Latn-BA"/>
        </w:rPr>
        <w:t>закона</w:t>
      </w:r>
      <w:r w:rsidR="00EE56B8" w:rsidRPr="00295637">
        <w:rPr>
          <w:rFonts w:ascii="Times New Roman" w:hAnsi="Times New Roman"/>
          <w:szCs w:val="24"/>
          <w:lang w:val="bs-Latn-BA"/>
        </w:rPr>
        <w:t xml:space="preserve"> </w:t>
      </w:r>
      <w:r>
        <w:rPr>
          <w:rFonts w:ascii="Times New Roman" w:hAnsi="Times New Roman"/>
          <w:szCs w:val="24"/>
          <w:lang w:val="bs-Latn-BA"/>
        </w:rPr>
        <w:t>о</w:t>
      </w:r>
      <w:r w:rsidR="00EE56B8" w:rsidRPr="00295637">
        <w:rPr>
          <w:rFonts w:ascii="Times New Roman" w:hAnsi="Times New Roman"/>
          <w:szCs w:val="24"/>
          <w:lang w:val="bs-Latn-BA"/>
        </w:rPr>
        <w:t xml:space="preserve"> </w:t>
      </w:r>
      <w:r>
        <w:rPr>
          <w:rFonts w:ascii="Times New Roman" w:hAnsi="Times New Roman"/>
          <w:szCs w:val="24"/>
          <w:lang w:val="bs-Latn-BA"/>
        </w:rPr>
        <w:t>социјалним</w:t>
      </w:r>
      <w:r w:rsidR="00EE56B8" w:rsidRPr="00295637">
        <w:rPr>
          <w:rFonts w:ascii="Times New Roman" w:hAnsi="Times New Roman"/>
          <w:szCs w:val="24"/>
          <w:lang w:val="bs-Latn-BA"/>
        </w:rPr>
        <w:t xml:space="preserve"> </w:t>
      </w:r>
      <w:r>
        <w:rPr>
          <w:rFonts w:ascii="Times New Roman" w:hAnsi="Times New Roman"/>
          <w:szCs w:val="24"/>
          <w:lang w:val="bs-Latn-BA"/>
        </w:rPr>
        <w:t>услугама</w:t>
      </w:r>
      <w:r w:rsidR="00EE56B8" w:rsidRPr="00295637">
        <w:rPr>
          <w:rFonts w:ascii="Times New Roman" w:hAnsi="Times New Roman"/>
          <w:szCs w:val="24"/>
          <w:lang w:val="bs-Latn-BA"/>
        </w:rPr>
        <w:t xml:space="preserve"> </w:t>
      </w:r>
      <w:r>
        <w:rPr>
          <w:rFonts w:ascii="Times New Roman" w:hAnsi="Times New Roman"/>
          <w:szCs w:val="24"/>
          <w:lang w:val="bs-Latn-BA"/>
        </w:rPr>
        <w:t>у</w:t>
      </w:r>
      <w:r w:rsidR="00EE56B8" w:rsidRPr="00295637">
        <w:rPr>
          <w:rFonts w:ascii="Times New Roman" w:hAnsi="Times New Roman"/>
          <w:szCs w:val="24"/>
          <w:lang w:val="bs-Latn-BA"/>
        </w:rPr>
        <w:t xml:space="preserve"> </w:t>
      </w:r>
      <w:r>
        <w:rPr>
          <w:rFonts w:ascii="Times New Roman" w:hAnsi="Times New Roman"/>
          <w:szCs w:val="24"/>
          <w:lang w:val="bs-Latn-BA"/>
        </w:rPr>
        <w:t>ФБиХ</w:t>
      </w:r>
      <w:r w:rsidR="00F3633A">
        <w:rPr>
          <w:rFonts w:ascii="Times New Roman"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Коментари</w:t>
      </w:r>
      <w:r w:rsidR="00EE56B8" w:rsidRPr="00295637">
        <w:rPr>
          <w:rFonts w:ascii="Times New Roman" w:hAnsi="Times New Roman"/>
          <w:szCs w:val="24"/>
          <w:lang w:val="bs-Latn-BA"/>
        </w:rPr>
        <w:t xml:space="preserve"> </w:t>
      </w:r>
      <w:r>
        <w:rPr>
          <w:rFonts w:ascii="Times New Roman" w:hAnsi="Times New Roman"/>
          <w:szCs w:val="24"/>
          <w:lang w:val="bs-Latn-BA"/>
        </w:rPr>
        <w:t>на</w:t>
      </w:r>
      <w:r w:rsidR="00EE56B8" w:rsidRPr="00295637">
        <w:rPr>
          <w:rFonts w:ascii="Times New Roman" w:hAnsi="Times New Roman"/>
          <w:szCs w:val="24"/>
          <w:lang w:val="bs-Latn-BA"/>
        </w:rPr>
        <w:t xml:space="preserve"> </w:t>
      </w:r>
      <w:r>
        <w:rPr>
          <w:rFonts w:ascii="Times New Roman" w:hAnsi="Times New Roman"/>
          <w:szCs w:val="24"/>
          <w:lang w:val="bs-Latn-BA"/>
        </w:rPr>
        <w:t>Нацрт</w:t>
      </w:r>
      <w:r w:rsidR="00EE56B8" w:rsidRPr="00295637">
        <w:rPr>
          <w:rFonts w:ascii="Times New Roman" w:hAnsi="Times New Roman"/>
          <w:szCs w:val="24"/>
          <w:lang w:val="bs-Latn-BA"/>
        </w:rPr>
        <w:t xml:space="preserve"> </w:t>
      </w:r>
      <w:r>
        <w:rPr>
          <w:rFonts w:ascii="Times New Roman" w:hAnsi="Times New Roman"/>
          <w:szCs w:val="24"/>
          <w:lang w:val="bs-Latn-BA"/>
        </w:rPr>
        <w:t>закона</w:t>
      </w:r>
      <w:r w:rsidR="00EE56B8" w:rsidRPr="00295637">
        <w:rPr>
          <w:rFonts w:ascii="Times New Roman" w:hAnsi="Times New Roman"/>
          <w:szCs w:val="24"/>
          <w:lang w:val="bs-Latn-BA"/>
        </w:rPr>
        <w:t xml:space="preserve"> </w:t>
      </w:r>
      <w:r>
        <w:rPr>
          <w:rFonts w:ascii="Times New Roman" w:hAnsi="Times New Roman"/>
          <w:szCs w:val="24"/>
          <w:lang w:val="bs-Latn-BA"/>
        </w:rPr>
        <w:t>о</w:t>
      </w:r>
      <w:r w:rsidR="00EE56B8" w:rsidRPr="00295637">
        <w:rPr>
          <w:rFonts w:ascii="Times New Roman" w:hAnsi="Times New Roman"/>
          <w:szCs w:val="24"/>
          <w:lang w:val="bs-Latn-BA"/>
        </w:rPr>
        <w:t xml:space="preserve"> </w:t>
      </w:r>
      <w:r>
        <w:rPr>
          <w:rFonts w:ascii="Times New Roman" w:hAnsi="Times New Roman"/>
          <w:szCs w:val="24"/>
          <w:lang w:val="bs-Latn-BA"/>
        </w:rPr>
        <w:t>социјалним</w:t>
      </w:r>
      <w:r w:rsidR="00EE56B8" w:rsidRPr="00295637">
        <w:rPr>
          <w:rFonts w:ascii="Times New Roman" w:hAnsi="Times New Roman"/>
          <w:szCs w:val="24"/>
          <w:lang w:val="bs-Latn-BA"/>
        </w:rPr>
        <w:t xml:space="preserve"> </w:t>
      </w:r>
      <w:r>
        <w:rPr>
          <w:rFonts w:ascii="Times New Roman" w:hAnsi="Times New Roman"/>
          <w:szCs w:val="24"/>
          <w:lang w:val="bs-Latn-BA"/>
        </w:rPr>
        <w:t>услугама</w:t>
      </w:r>
      <w:r w:rsidR="00EE56B8" w:rsidRPr="00295637">
        <w:rPr>
          <w:rFonts w:ascii="Times New Roman" w:hAnsi="Times New Roman"/>
          <w:szCs w:val="24"/>
          <w:lang w:val="bs-Latn-BA"/>
        </w:rPr>
        <w:t xml:space="preserve"> </w:t>
      </w:r>
      <w:r>
        <w:rPr>
          <w:rFonts w:ascii="Times New Roman" w:hAnsi="Times New Roman"/>
          <w:szCs w:val="24"/>
          <w:lang w:val="bs-Latn-BA"/>
        </w:rPr>
        <w:t>у</w:t>
      </w:r>
      <w:r w:rsidR="00EE56B8" w:rsidRPr="00295637">
        <w:rPr>
          <w:rFonts w:ascii="Times New Roman" w:hAnsi="Times New Roman"/>
          <w:szCs w:val="24"/>
          <w:lang w:val="bs-Latn-BA"/>
        </w:rPr>
        <w:t xml:space="preserve"> </w:t>
      </w:r>
      <w:r>
        <w:rPr>
          <w:rFonts w:ascii="Times New Roman" w:hAnsi="Times New Roman"/>
          <w:szCs w:val="24"/>
          <w:lang w:val="bs-Latn-BA"/>
        </w:rPr>
        <w:t>ФБиХ</w:t>
      </w:r>
      <w:r w:rsidR="00F3633A">
        <w:rPr>
          <w:rFonts w:ascii="Times New Roman"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Мишљење</w:t>
      </w:r>
      <w:r w:rsidR="00F3633A">
        <w:rPr>
          <w:rFonts w:ascii="Times New Roman" w:hAnsi="Times New Roman"/>
          <w:szCs w:val="24"/>
          <w:lang w:val="bs-Latn-BA"/>
        </w:rPr>
        <w:t xml:space="preserve"> </w:t>
      </w:r>
      <w:r>
        <w:rPr>
          <w:rFonts w:ascii="Times New Roman" w:hAnsi="Times New Roman"/>
          <w:szCs w:val="24"/>
          <w:lang w:val="bs-Latn-BA"/>
        </w:rPr>
        <w:t>на</w:t>
      </w:r>
      <w:r w:rsidR="00F3633A">
        <w:rPr>
          <w:rFonts w:ascii="Times New Roman" w:hAnsi="Times New Roman"/>
          <w:szCs w:val="24"/>
          <w:lang w:val="bs-Latn-BA"/>
        </w:rPr>
        <w:t xml:space="preserve"> </w:t>
      </w:r>
      <w:r>
        <w:rPr>
          <w:rFonts w:ascii="Times New Roman" w:hAnsi="Times New Roman"/>
          <w:szCs w:val="24"/>
          <w:lang w:val="bs-Latn-BA"/>
        </w:rPr>
        <w:t>Нацрт</w:t>
      </w:r>
      <w:r w:rsidR="00F3633A">
        <w:rPr>
          <w:rFonts w:ascii="Times New Roman" w:hAnsi="Times New Roman"/>
          <w:szCs w:val="24"/>
          <w:lang w:val="bs-Latn-BA"/>
        </w:rPr>
        <w:t xml:space="preserve"> </w:t>
      </w:r>
      <w:r>
        <w:rPr>
          <w:rFonts w:ascii="Times New Roman" w:hAnsi="Times New Roman"/>
          <w:szCs w:val="24"/>
          <w:lang w:val="bs-Latn-BA"/>
        </w:rPr>
        <w:t>уредбе</w:t>
      </w:r>
      <w:r w:rsidR="00EE56B8" w:rsidRPr="00295637">
        <w:rPr>
          <w:rFonts w:ascii="Times New Roman" w:hAnsi="Times New Roman"/>
          <w:szCs w:val="24"/>
          <w:lang w:val="bs-Latn-BA"/>
        </w:rPr>
        <w:t xml:space="preserve"> </w:t>
      </w:r>
      <w:r>
        <w:rPr>
          <w:rFonts w:ascii="Times New Roman" w:hAnsi="Times New Roman"/>
          <w:szCs w:val="24"/>
          <w:lang w:val="bs-Latn-BA"/>
        </w:rPr>
        <w:t>о</w:t>
      </w:r>
      <w:r w:rsidR="00EE56B8" w:rsidRPr="00295637">
        <w:rPr>
          <w:rFonts w:ascii="Times New Roman" w:hAnsi="Times New Roman"/>
          <w:szCs w:val="24"/>
          <w:lang w:val="bs-Latn-BA"/>
        </w:rPr>
        <w:t xml:space="preserve"> </w:t>
      </w:r>
      <w:r>
        <w:rPr>
          <w:rFonts w:ascii="Times New Roman" w:hAnsi="Times New Roman"/>
          <w:szCs w:val="24"/>
          <w:lang w:val="bs-Latn-BA"/>
        </w:rPr>
        <w:t>поступку</w:t>
      </w:r>
      <w:r w:rsidR="00194F52" w:rsidRPr="00295637">
        <w:rPr>
          <w:rFonts w:ascii="Times New Roman" w:hAnsi="Times New Roman"/>
          <w:szCs w:val="24"/>
          <w:lang w:val="bs-Latn-BA"/>
        </w:rPr>
        <w:t xml:space="preserve"> </w:t>
      </w:r>
      <w:r>
        <w:rPr>
          <w:rFonts w:ascii="Times New Roman" w:hAnsi="Times New Roman"/>
          <w:szCs w:val="24"/>
          <w:lang w:val="bs-Latn-BA"/>
        </w:rPr>
        <w:t>процјене</w:t>
      </w:r>
      <w:r w:rsidR="00194F52" w:rsidRPr="00295637">
        <w:rPr>
          <w:rFonts w:ascii="Times New Roman" w:hAnsi="Times New Roman"/>
          <w:szCs w:val="24"/>
          <w:lang w:val="bs-Latn-BA"/>
        </w:rPr>
        <w:t xml:space="preserve"> </w:t>
      </w:r>
      <w:r>
        <w:rPr>
          <w:rFonts w:ascii="Times New Roman" w:hAnsi="Times New Roman"/>
          <w:szCs w:val="24"/>
          <w:lang w:val="bs-Latn-BA"/>
        </w:rPr>
        <w:t>утицаја</w:t>
      </w:r>
      <w:r w:rsidR="00194F52" w:rsidRPr="00295637">
        <w:rPr>
          <w:rFonts w:ascii="Times New Roman" w:hAnsi="Times New Roman"/>
          <w:szCs w:val="24"/>
          <w:lang w:val="bs-Latn-BA"/>
        </w:rPr>
        <w:t xml:space="preserve"> </w:t>
      </w:r>
      <w:r>
        <w:rPr>
          <w:rFonts w:ascii="Times New Roman" w:hAnsi="Times New Roman"/>
          <w:szCs w:val="24"/>
          <w:lang w:val="bs-Latn-BA"/>
        </w:rPr>
        <w:t>прописа</w:t>
      </w:r>
      <w:r w:rsidR="00194F52" w:rsidRPr="00295637">
        <w:rPr>
          <w:rFonts w:ascii="Times New Roman" w:hAnsi="Times New Roman"/>
          <w:szCs w:val="24"/>
          <w:lang w:val="bs-Latn-BA"/>
        </w:rPr>
        <w:t xml:space="preserve"> </w:t>
      </w:r>
      <w:r>
        <w:rPr>
          <w:rFonts w:ascii="Times New Roman" w:hAnsi="Times New Roman"/>
          <w:szCs w:val="24"/>
          <w:lang w:val="bs-Latn-BA"/>
        </w:rPr>
        <w:t>УСК</w:t>
      </w:r>
      <w:r w:rsidR="00F3633A">
        <w:rPr>
          <w:rFonts w:ascii="Times New Roman" w:hAnsi="Times New Roman"/>
          <w:szCs w:val="24"/>
          <w:lang w:val="bs-Latn-BA"/>
        </w:rPr>
        <w:t>;</w:t>
      </w:r>
      <w:r w:rsidR="00EE56B8" w:rsidRPr="00295637">
        <w:rPr>
          <w:rFonts w:ascii="Times New Roman" w:hAnsi="Times New Roman"/>
          <w:szCs w:val="24"/>
          <w:lang w:val="bs-Latn-BA"/>
        </w:rPr>
        <w:t xml:space="preserve"> </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Коментари</w:t>
      </w:r>
      <w:r w:rsidR="00F3633A">
        <w:rPr>
          <w:rFonts w:ascii="Times New Roman" w:hAnsi="Times New Roman"/>
          <w:szCs w:val="24"/>
          <w:lang w:val="bs-Latn-BA"/>
        </w:rPr>
        <w:t xml:space="preserve"> </w:t>
      </w:r>
      <w:r>
        <w:rPr>
          <w:rFonts w:ascii="Times New Roman" w:hAnsi="Times New Roman"/>
          <w:szCs w:val="24"/>
          <w:lang w:val="bs-Latn-BA"/>
        </w:rPr>
        <w:t>на</w:t>
      </w:r>
      <w:r w:rsidR="00F3633A">
        <w:rPr>
          <w:rFonts w:ascii="Times New Roman" w:hAnsi="Times New Roman"/>
          <w:szCs w:val="24"/>
          <w:lang w:val="bs-Latn-BA"/>
        </w:rPr>
        <w:t xml:space="preserve"> </w:t>
      </w:r>
      <w:r>
        <w:rPr>
          <w:rFonts w:ascii="Times New Roman" w:hAnsi="Times New Roman"/>
          <w:szCs w:val="24"/>
          <w:lang w:val="bs-Latn-BA"/>
        </w:rPr>
        <w:t>Нацрт</w:t>
      </w:r>
      <w:r w:rsidR="00F3633A">
        <w:rPr>
          <w:rFonts w:ascii="Times New Roman" w:hAnsi="Times New Roman"/>
          <w:szCs w:val="24"/>
          <w:lang w:val="bs-Latn-BA"/>
        </w:rPr>
        <w:t xml:space="preserve"> </w:t>
      </w:r>
      <w:r>
        <w:rPr>
          <w:rFonts w:ascii="Times New Roman" w:hAnsi="Times New Roman"/>
          <w:szCs w:val="24"/>
          <w:lang w:val="bs-Latn-BA"/>
        </w:rPr>
        <w:t>плана</w:t>
      </w:r>
      <w:r w:rsidR="00EE56B8" w:rsidRPr="00295637">
        <w:rPr>
          <w:rFonts w:ascii="Times New Roman" w:hAnsi="Times New Roman"/>
          <w:szCs w:val="24"/>
          <w:lang w:val="bs-Latn-BA"/>
        </w:rPr>
        <w:t xml:space="preserve"> </w:t>
      </w:r>
      <w:r w:rsidR="007A6AD7">
        <w:rPr>
          <w:rFonts w:ascii="Times New Roman" w:hAnsi="Times New Roman"/>
          <w:szCs w:val="24"/>
          <w:lang w:val="sr-Cyrl-BA"/>
        </w:rPr>
        <w:t>спровођења</w:t>
      </w:r>
      <w:r w:rsidR="00EE56B8" w:rsidRPr="00295637">
        <w:rPr>
          <w:rFonts w:ascii="Times New Roman" w:hAnsi="Times New Roman"/>
          <w:szCs w:val="24"/>
          <w:lang w:val="bs-Latn-BA"/>
        </w:rPr>
        <w:t xml:space="preserve"> </w:t>
      </w:r>
      <w:r>
        <w:rPr>
          <w:rFonts w:ascii="Times New Roman" w:hAnsi="Times New Roman"/>
          <w:szCs w:val="24"/>
          <w:lang w:val="bs-Latn-BA"/>
        </w:rPr>
        <w:t>статистичких</w:t>
      </w:r>
      <w:r w:rsidR="00EE56B8" w:rsidRPr="00295637">
        <w:rPr>
          <w:rFonts w:ascii="Times New Roman" w:hAnsi="Times New Roman"/>
          <w:szCs w:val="24"/>
          <w:lang w:val="bs-Latn-BA"/>
        </w:rPr>
        <w:t xml:space="preserve"> </w:t>
      </w:r>
      <w:r>
        <w:rPr>
          <w:rFonts w:ascii="Times New Roman" w:hAnsi="Times New Roman"/>
          <w:szCs w:val="24"/>
          <w:lang w:val="bs-Latn-BA"/>
        </w:rPr>
        <w:t>истраживања</w:t>
      </w:r>
      <w:r w:rsidR="00EE56B8" w:rsidRPr="00295637">
        <w:rPr>
          <w:rFonts w:ascii="Times New Roman" w:hAnsi="Times New Roman"/>
          <w:szCs w:val="24"/>
          <w:lang w:val="bs-Latn-BA"/>
        </w:rPr>
        <w:t xml:space="preserve"> </w:t>
      </w:r>
      <w:r>
        <w:rPr>
          <w:rFonts w:ascii="Times New Roman" w:hAnsi="Times New Roman"/>
          <w:szCs w:val="24"/>
          <w:lang w:val="bs-Latn-BA"/>
        </w:rPr>
        <w:t>од</w:t>
      </w:r>
      <w:r w:rsidR="00EE56B8" w:rsidRPr="00295637">
        <w:rPr>
          <w:rFonts w:ascii="Times New Roman" w:hAnsi="Times New Roman"/>
          <w:szCs w:val="24"/>
          <w:lang w:val="bs-Latn-BA"/>
        </w:rPr>
        <w:t xml:space="preserve"> </w:t>
      </w:r>
      <w:r>
        <w:rPr>
          <w:rFonts w:ascii="Times New Roman" w:hAnsi="Times New Roman"/>
          <w:szCs w:val="24"/>
          <w:lang w:val="bs-Latn-BA"/>
        </w:rPr>
        <w:t>интереса</w:t>
      </w:r>
      <w:r w:rsidR="00EE56B8" w:rsidRPr="00295637">
        <w:rPr>
          <w:rFonts w:ascii="Times New Roman" w:hAnsi="Times New Roman"/>
          <w:szCs w:val="24"/>
          <w:lang w:val="bs-Latn-BA"/>
        </w:rPr>
        <w:t xml:space="preserve"> </w:t>
      </w:r>
      <w:r>
        <w:rPr>
          <w:rFonts w:ascii="Times New Roman" w:hAnsi="Times New Roman"/>
          <w:szCs w:val="24"/>
          <w:lang w:val="bs-Latn-BA"/>
        </w:rPr>
        <w:t>за</w:t>
      </w:r>
      <w:r w:rsidR="00EE56B8" w:rsidRPr="00295637">
        <w:rPr>
          <w:rFonts w:ascii="Times New Roman" w:hAnsi="Times New Roman"/>
          <w:szCs w:val="24"/>
          <w:lang w:val="bs-Latn-BA"/>
        </w:rPr>
        <w:t xml:space="preserve"> </w:t>
      </w:r>
      <w:r>
        <w:rPr>
          <w:rFonts w:ascii="Times New Roman" w:hAnsi="Times New Roman"/>
          <w:szCs w:val="24"/>
          <w:lang w:val="bs-Latn-BA"/>
        </w:rPr>
        <w:t>ФБиХ</w:t>
      </w:r>
      <w:r w:rsidR="00194F52" w:rsidRPr="00295637">
        <w:rPr>
          <w:rFonts w:ascii="Times New Roman" w:hAnsi="Times New Roman"/>
          <w:szCs w:val="24"/>
          <w:lang w:val="bs-Latn-BA"/>
        </w:rPr>
        <w:t xml:space="preserve"> </w:t>
      </w:r>
      <w:r>
        <w:rPr>
          <w:rFonts w:ascii="Times New Roman" w:hAnsi="Times New Roman"/>
          <w:szCs w:val="24"/>
          <w:lang w:val="bs-Latn-BA"/>
        </w:rPr>
        <w:t>за</w:t>
      </w:r>
      <w:r w:rsidR="00194F52" w:rsidRPr="00295637">
        <w:rPr>
          <w:rFonts w:ascii="Times New Roman" w:hAnsi="Times New Roman"/>
          <w:szCs w:val="24"/>
          <w:lang w:val="bs-Latn-BA"/>
        </w:rPr>
        <w:t xml:space="preserve"> 2024. </w:t>
      </w:r>
      <w:r>
        <w:rPr>
          <w:rFonts w:ascii="Times New Roman" w:hAnsi="Times New Roman"/>
          <w:szCs w:val="24"/>
          <w:lang w:val="bs-Latn-BA"/>
        </w:rPr>
        <w:t>годину</w:t>
      </w:r>
      <w:r w:rsidR="00F3633A">
        <w:rPr>
          <w:rFonts w:ascii="Times New Roman"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Мишљење</w:t>
      </w:r>
      <w:r w:rsidR="00EE56B8" w:rsidRPr="00295637">
        <w:rPr>
          <w:rFonts w:ascii="Times New Roman" w:hAnsi="Times New Roman"/>
          <w:szCs w:val="24"/>
          <w:lang w:val="bs-Latn-BA"/>
        </w:rPr>
        <w:t xml:space="preserve"> </w:t>
      </w:r>
      <w:r>
        <w:rPr>
          <w:rFonts w:ascii="Times New Roman" w:hAnsi="Times New Roman"/>
          <w:szCs w:val="24"/>
          <w:lang w:val="bs-Latn-BA"/>
        </w:rPr>
        <w:t>на</w:t>
      </w:r>
      <w:r w:rsidR="00EE56B8" w:rsidRPr="00295637">
        <w:rPr>
          <w:rFonts w:ascii="Times New Roman" w:hAnsi="Times New Roman"/>
          <w:szCs w:val="24"/>
          <w:lang w:val="bs-Latn-BA"/>
        </w:rPr>
        <w:t xml:space="preserve"> </w:t>
      </w:r>
      <w:r>
        <w:rPr>
          <w:rFonts w:ascii="Times New Roman" w:hAnsi="Times New Roman"/>
          <w:szCs w:val="24"/>
          <w:lang w:val="bs-Latn-BA"/>
        </w:rPr>
        <w:t>Нацрт</w:t>
      </w:r>
      <w:r w:rsidR="00EE56B8" w:rsidRPr="00295637">
        <w:rPr>
          <w:rFonts w:ascii="Times New Roman" w:hAnsi="Times New Roman"/>
          <w:szCs w:val="24"/>
          <w:lang w:val="bs-Latn-BA"/>
        </w:rPr>
        <w:t xml:space="preserve"> </w:t>
      </w:r>
      <w:r>
        <w:rPr>
          <w:rFonts w:ascii="Times New Roman" w:hAnsi="Times New Roman"/>
          <w:szCs w:val="24"/>
          <w:lang w:val="bs-Latn-BA"/>
        </w:rPr>
        <w:t>програма</w:t>
      </w:r>
      <w:r w:rsidR="00EE56B8" w:rsidRPr="00295637">
        <w:rPr>
          <w:rFonts w:ascii="Times New Roman" w:hAnsi="Times New Roman"/>
          <w:szCs w:val="24"/>
          <w:lang w:val="bs-Latn-BA"/>
        </w:rPr>
        <w:t xml:space="preserve"> </w:t>
      </w:r>
      <w:r w:rsidR="007A6AD7">
        <w:rPr>
          <w:rFonts w:ascii="Times New Roman" w:hAnsi="Times New Roman"/>
          <w:szCs w:val="24"/>
          <w:lang w:val="sr-Cyrl-BA"/>
        </w:rPr>
        <w:t>спровођења</w:t>
      </w:r>
      <w:r w:rsidR="00EE56B8" w:rsidRPr="00295637">
        <w:rPr>
          <w:rFonts w:ascii="Times New Roman" w:hAnsi="Times New Roman"/>
          <w:szCs w:val="24"/>
          <w:lang w:val="bs-Latn-BA"/>
        </w:rPr>
        <w:t xml:space="preserve"> </w:t>
      </w:r>
      <w:r>
        <w:rPr>
          <w:rFonts w:ascii="Times New Roman" w:hAnsi="Times New Roman"/>
          <w:szCs w:val="24"/>
          <w:lang w:val="bs-Latn-BA"/>
        </w:rPr>
        <w:t>статистичких</w:t>
      </w:r>
      <w:r w:rsidR="00EE56B8" w:rsidRPr="00295637">
        <w:rPr>
          <w:rFonts w:ascii="Times New Roman" w:hAnsi="Times New Roman"/>
          <w:szCs w:val="24"/>
          <w:lang w:val="bs-Latn-BA"/>
        </w:rPr>
        <w:t xml:space="preserve"> </w:t>
      </w:r>
      <w:r>
        <w:rPr>
          <w:rFonts w:ascii="Times New Roman" w:hAnsi="Times New Roman"/>
          <w:szCs w:val="24"/>
          <w:lang w:val="bs-Latn-BA"/>
        </w:rPr>
        <w:t>истраживања</w:t>
      </w:r>
      <w:r w:rsidR="00EE56B8" w:rsidRPr="00295637">
        <w:rPr>
          <w:rFonts w:ascii="Times New Roman" w:hAnsi="Times New Roman"/>
          <w:szCs w:val="24"/>
          <w:lang w:val="bs-Latn-BA"/>
        </w:rPr>
        <w:t xml:space="preserve"> </w:t>
      </w:r>
      <w:r>
        <w:rPr>
          <w:rFonts w:ascii="Times New Roman" w:hAnsi="Times New Roman"/>
          <w:szCs w:val="24"/>
          <w:lang w:val="bs-Latn-BA"/>
        </w:rPr>
        <w:t>од</w:t>
      </w:r>
      <w:r w:rsidR="00EE56B8" w:rsidRPr="00295637">
        <w:rPr>
          <w:rFonts w:ascii="Times New Roman" w:hAnsi="Times New Roman"/>
          <w:szCs w:val="24"/>
          <w:lang w:val="bs-Latn-BA"/>
        </w:rPr>
        <w:t xml:space="preserve"> </w:t>
      </w:r>
      <w:r>
        <w:rPr>
          <w:rFonts w:ascii="Times New Roman" w:hAnsi="Times New Roman"/>
          <w:szCs w:val="24"/>
          <w:lang w:val="bs-Latn-BA"/>
        </w:rPr>
        <w:t>интереса</w:t>
      </w:r>
      <w:r w:rsidR="00EE56B8" w:rsidRPr="00295637">
        <w:rPr>
          <w:rFonts w:ascii="Times New Roman" w:hAnsi="Times New Roman"/>
          <w:szCs w:val="24"/>
          <w:lang w:val="bs-Latn-BA"/>
        </w:rPr>
        <w:t xml:space="preserve"> </w:t>
      </w:r>
      <w:r>
        <w:rPr>
          <w:rFonts w:ascii="Times New Roman" w:hAnsi="Times New Roman"/>
          <w:szCs w:val="24"/>
          <w:lang w:val="bs-Latn-BA"/>
        </w:rPr>
        <w:t>за</w:t>
      </w:r>
      <w:r w:rsidR="00EE56B8" w:rsidRPr="00295637">
        <w:rPr>
          <w:rFonts w:ascii="Times New Roman" w:hAnsi="Times New Roman"/>
          <w:szCs w:val="24"/>
          <w:lang w:val="bs-Latn-BA"/>
        </w:rPr>
        <w:t xml:space="preserve"> </w:t>
      </w:r>
      <w:r>
        <w:rPr>
          <w:rFonts w:ascii="Times New Roman" w:hAnsi="Times New Roman"/>
          <w:szCs w:val="24"/>
          <w:lang w:val="bs-Latn-BA"/>
        </w:rPr>
        <w:t>ФБиХ</w:t>
      </w:r>
      <w:r w:rsidR="00194F52" w:rsidRPr="00295637">
        <w:rPr>
          <w:rFonts w:ascii="Times New Roman" w:hAnsi="Times New Roman"/>
          <w:szCs w:val="24"/>
          <w:lang w:val="bs-Latn-BA"/>
        </w:rPr>
        <w:t xml:space="preserve"> </w:t>
      </w:r>
      <w:r>
        <w:rPr>
          <w:rFonts w:ascii="Times New Roman" w:hAnsi="Times New Roman"/>
          <w:szCs w:val="24"/>
          <w:lang w:val="bs-Latn-BA"/>
        </w:rPr>
        <w:t>за</w:t>
      </w:r>
      <w:r w:rsidR="00194F52" w:rsidRPr="00295637">
        <w:rPr>
          <w:rFonts w:ascii="Times New Roman" w:hAnsi="Times New Roman"/>
          <w:szCs w:val="24"/>
          <w:lang w:val="bs-Latn-BA"/>
        </w:rPr>
        <w:t xml:space="preserve"> </w:t>
      </w:r>
      <w:r>
        <w:rPr>
          <w:rFonts w:ascii="Times New Roman" w:hAnsi="Times New Roman"/>
          <w:szCs w:val="24"/>
          <w:lang w:val="bs-Latn-BA"/>
        </w:rPr>
        <w:t>период</w:t>
      </w:r>
      <w:r w:rsidR="00194F52" w:rsidRPr="00295637">
        <w:rPr>
          <w:rFonts w:ascii="Times New Roman" w:hAnsi="Times New Roman"/>
          <w:szCs w:val="24"/>
          <w:lang w:val="bs-Latn-BA"/>
        </w:rPr>
        <w:t xml:space="preserve"> 2025-2028</w:t>
      </w:r>
      <w:r w:rsidR="00FE783E">
        <w:rPr>
          <w:rFonts w:ascii="Times New Roman" w:hAnsi="Times New Roman"/>
          <w:szCs w:val="24"/>
          <w:lang w:val="bs-Latn-BA"/>
        </w:rPr>
        <w:t xml:space="preserve">. </w:t>
      </w:r>
      <w:r>
        <w:rPr>
          <w:rFonts w:ascii="Times New Roman" w:hAnsi="Times New Roman"/>
          <w:szCs w:val="24"/>
          <w:lang w:val="bs-Latn-BA"/>
        </w:rPr>
        <w:t>година</w:t>
      </w:r>
      <w:r w:rsidR="00FE783E">
        <w:rPr>
          <w:rFonts w:ascii="Times New Roman"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Коментари</w:t>
      </w:r>
      <w:r w:rsidR="00EE56B8" w:rsidRPr="00295637">
        <w:rPr>
          <w:rFonts w:ascii="Times New Roman" w:hAnsi="Times New Roman"/>
          <w:szCs w:val="24"/>
          <w:lang w:val="bs-Latn-BA"/>
        </w:rPr>
        <w:t xml:space="preserve"> </w:t>
      </w:r>
      <w:r>
        <w:rPr>
          <w:rFonts w:ascii="Times New Roman" w:hAnsi="Times New Roman"/>
          <w:szCs w:val="24"/>
          <w:lang w:val="bs-Latn-BA"/>
        </w:rPr>
        <w:t>на</w:t>
      </w:r>
      <w:r w:rsidR="00EE56B8" w:rsidRPr="00295637">
        <w:rPr>
          <w:rFonts w:ascii="Times New Roman" w:hAnsi="Times New Roman"/>
          <w:szCs w:val="24"/>
          <w:lang w:val="bs-Latn-BA"/>
        </w:rPr>
        <w:t xml:space="preserve"> </w:t>
      </w:r>
      <w:r>
        <w:rPr>
          <w:rFonts w:ascii="Times New Roman" w:hAnsi="Times New Roman"/>
          <w:szCs w:val="24"/>
          <w:lang w:val="bs-Latn-BA"/>
        </w:rPr>
        <w:t>Стратешку</w:t>
      </w:r>
      <w:r w:rsidR="00EE56B8" w:rsidRPr="00295637">
        <w:rPr>
          <w:rFonts w:ascii="Times New Roman" w:hAnsi="Times New Roman"/>
          <w:szCs w:val="24"/>
          <w:lang w:val="bs-Latn-BA"/>
        </w:rPr>
        <w:t xml:space="preserve"> </w:t>
      </w:r>
      <w:r>
        <w:rPr>
          <w:rFonts w:ascii="Times New Roman" w:hAnsi="Times New Roman"/>
          <w:szCs w:val="24"/>
          <w:lang w:val="bs-Latn-BA"/>
        </w:rPr>
        <w:t>платформу</w:t>
      </w:r>
      <w:r w:rsidR="00EE56B8" w:rsidRPr="00295637">
        <w:rPr>
          <w:rFonts w:ascii="Times New Roman" w:hAnsi="Times New Roman"/>
          <w:szCs w:val="24"/>
          <w:lang w:val="bs-Latn-BA"/>
        </w:rPr>
        <w:t xml:space="preserve"> </w:t>
      </w:r>
      <w:r>
        <w:rPr>
          <w:rFonts w:ascii="Times New Roman" w:hAnsi="Times New Roman"/>
          <w:szCs w:val="24"/>
          <w:lang w:val="bs-Latn-BA"/>
        </w:rPr>
        <w:t>за</w:t>
      </w:r>
      <w:r w:rsidR="00EE56B8" w:rsidRPr="00295637">
        <w:rPr>
          <w:rFonts w:ascii="Times New Roman" w:hAnsi="Times New Roman"/>
          <w:szCs w:val="24"/>
          <w:lang w:val="bs-Latn-BA"/>
        </w:rPr>
        <w:t xml:space="preserve"> </w:t>
      </w:r>
      <w:r>
        <w:rPr>
          <w:rFonts w:ascii="Times New Roman" w:hAnsi="Times New Roman"/>
          <w:szCs w:val="24"/>
          <w:lang w:val="bs-Latn-BA"/>
        </w:rPr>
        <w:t>израду</w:t>
      </w:r>
      <w:r w:rsidR="00EE56B8" w:rsidRPr="00295637">
        <w:rPr>
          <w:rFonts w:ascii="Times New Roman" w:hAnsi="Times New Roman"/>
          <w:szCs w:val="24"/>
          <w:lang w:val="bs-Latn-BA"/>
        </w:rPr>
        <w:t xml:space="preserve"> </w:t>
      </w:r>
      <w:r>
        <w:rPr>
          <w:rFonts w:ascii="Times New Roman" w:hAnsi="Times New Roman"/>
          <w:szCs w:val="24"/>
          <w:lang w:val="bs-Latn-BA"/>
        </w:rPr>
        <w:t>Стратегије</w:t>
      </w:r>
      <w:r w:rsidR="00EE56B8" w:rsidRPr="00295637">
        <w:rPr>
          <w:rFonts w:ascii="Times New Roman" w:hAnsi="Times New Roman"/>
          <w:szCs w:val="24"/>
          <w:lang w:val="bs-Latn-BA"/>
        </w:rPr>
        <w:t xml:space="preserve"> </w:t>
      </w:r>
      <w:r>
        <w:rPr>
          <w:rFonts w:ascii="Times New Roman" w:hAnsi="Times New Roman"/>
          <w:szCs w:val="24"/>
          <w:lang w:val="bs-Latn-BA"/>
        </w:rPr>
        <w:t>за</w:t>
      </w:r>
      <w:r w:rsidR="00EE56B8" w:rsidRPr="00295637">
        <w:rPr>
          <w:rFonts w:ascii="Times New Roman" w:hAnsi="Times New Roman"/>
          <w:szCs w:val="24"/>
          <w:lang w:val="bs-Latn-BA"/>
        </w:rPr>
        <w:t xml:space="preserve"> </w:t>
      </w:r>
      <w:r>
        <w:rPr>
          <w:rFonts w:ascii="Times New Roman" w:hAnsi="Times New Roman"/>
          <w:szCs w:val="24"/>
          <w:lang w:val="bs-Latn-BA"/>
        </w:rPr>
        <w:t>унапређење</w:t>
      </w:r>
      <w:r w:rsidR="00FE783E">
        <w:rPr>
          <w:rFonts w:ascii="Times New Roman" w:hAnsi="Times New Roman"/>
          <w:szCs w:val="24"/>
          <w:lang w:val="bs-Latn-BA"/>
        </w:rPr>
        <w:t xml:space="preserve"> </w:t>
      </w:r>
      <w:r>
        <w:rPr>
          <w:rFonts w:ascii="Times New Roman" w:hAnsi="Times New Roman"/>
          <w:szCs w:val="24"/>
          <w:lang w:val="bs-Latn-BA"/>
        </w:rPr>
        <w:t>права</w:t>
      </w:r>
      <w:r w:rsidR="00FE783E">
        <w:rPr>
          <w:rFonts w:ascii="Times New Roman" w:hAnsi="Times New Roman"/>
          <w:szCs w:val="24"/>
          <w:lang w:val="bs-Latn-BA"/>
        </w:rPr>
        <w:t xml:space="preserve"> </w:t>
      </w:r>
      <w:r>
        <w:rPr>
          <w:rFonts w:ascii="Times New Roman" w:hAnsi="Times New Roman"/>
          <w:szCs w:val="24"/>
          <w:lang w:val="bs-Latn-BA"/>
        </w:rPr>
        <w:t>и</w:t>
      </w:r>
      <w:r w:rsidR="00FE783E">
        <w:rPr>
          <w:rFonts w:ascii="Times New Roman" w:hAnsi="Times New Roman"/>
          <w:szCs w:val="24"/>
          <w:lang w:val="bs-Latn-BA"/>
        </w:rPr>
        <w:t xml:space="preserve"> </w:t>
      </w:r>
      <w:r>
        <w:rPr>
          <w:rFonts w:ascii="Times New Roman" w:hAnsi="Times New Roman"/>
          <w:szCs w:val="24"/>
          <w:lang w:val="bs-Latn-BA"/>
        </w:rPr>
        <w:t>положаја</w:t>
      </w:r>
      <w:r w:rsidR="00FE783E">
        <w:rPr>
          <w:rFonts w:ascii="Times New Roman" w:hAnsi="Times New Roman"/>
          <w:szCs w:val="24"/>
          <w:lang w:val="bs-Latn-BA"/>
        </w:rPr>
        <w:t xml:space="preserve"> </w:t>
      </w:r>
      <w:r>
        <w:rPr>
          <w:rFonts w:ascii="Times New Roman" w:hAnsi="Times New Roman"/>
          <w:szCs w:val="24"/>
          <w:lang w:val="bs-Latn-BA"/>
        </w:rPr>
        <w:t>лица</w:t>
      </w:r>
      <w:r w:rsidR="00FE783E">
        <w:rPr>
          <w:rFonts w:ascii="Times New Roman" w:hAnsi="Times New Roman"/>
          <w:szCs w:val="24"/>
          <w:lang w:val="bs-Latn-BA"/>
        </w:rPr>
        <w:t xml:space="preserve"> </w:t>
      </w:r>
      <w:r>
        <w:rPr>
          <w:rFonts w:ascii="Times New Roman" w:hAnsi="Times New Roman"/>
          <w:szCs w:val="24"/>
          <w:lang w:val="bs-Latn-BA"/>
        </w:rPr>
        <w:t>са</w:t>
      </w:r>
      <w:r w:rsidR="00EE56B8" w:rsidRPr="00295637">
        <w:rPr>
          <w:rFonts w:ascii="Times New Roman" w:hAnsi="Times New Roman"/>
          <w:szCs w:val="24"/>
          <w:lang w:val="bs-Latn-BA"/>
        </w:rPr>
        <w:t xml:space="preserve"> </w:t>
      </w:r>
      <w:r>
        <w:rPr>
          <w:rFonts w:ascii="Times New Roman" w:hAnsi="Times New Roman"/>
          <w:szCs w:val="24"/>
          <w:lang w:val="bs-Latn-BA"/>
        </w:rPr>
        <w:t>инвалидитетом</w:t>
      </w:r>
      <w:r w:rsidR="00EE56B8" w:rsidRPr="00295637">
        <w:rPr>
          <w:rFonts w:ascii="Times New Roman" w:hAnsi="Times New Roman"/>
          <w:szCs w:val="24"/>
          <w:lang w:val="bs-Latn-BA"/>
        </w:rPr>
        <w:t xml:space="preserve"> </w:t>
      </w:r>
      <w:r>
        <w:rPr>
          <w:rFonts w:ascii="Times New Roman" w:hAnsi="Times New Roman"/>
          <w:szCs w:val="24"/>
          <w:lang w:val="bs-Latn-BA"/>
        </w:rPr>
        <w:t>у</w:t>
      </w:r>
      <w:r w:rsidR="00EE56B8" w:rsidRPr="00295637">
        <w:rPr>
          <w:rFonts w:ascii="Times New Roman" w:hAnsi="Times New Roman"/>
          <w:szCs w:val="24"/>
          <w:lang w:val="bs-Latn-BA"/>
        </w:rPr>
        <w:t xml:space="preserve"> </w:t>
      </w:r>
      <w:r>
        <w:rPr>
          <w:rFonts w:ascii="Times New Roman" w:hAnsi="Times New Roman"/>
          <w:szCs w:val="24"/>
          <w:lang w:val="bs-Latn-BA"/>
        </w:rPr>
        <w:t>ФБиХ</w:t>
      </w:r>
      <w:r w:rsidR="00194F52" w:rsidRPr="00295637">
        <w:rPr>
          <w:rFonts w:ascii="Times New Roman" w:hAnsi="Times New Roman"/>
          <w:szCs w:val="24"/>
          <w:lang w:val="bs-Latn-BA"/>
        </w:rPr>
        <w:t xml:space="preserve"> 2022-2027</w:t>
      </w:r>
      <w:r w:rsidR="00FE783E">
        <w:rPr>
          <w:rFonts w:ascii="Times New Roman" w:hAnsi="Times New Roman"/>
          <w:szCs w:val="24"/>
          <w:lang w:val="bs-Latn-BA"/>
        </w:rPr>
        <w:t xml:space="preserve">. </w:t>
      </w:r>
      <w:r>
        <w:rPr>
          <w:rFonts w:ascii="Times New Roman" w:hAnsi="Times New Roman"/>
          <w:szCs w:val="24"/>
          <w:lang w:val="bs-Latn-BA"/>
        </w:rPr>
        <w:t>година</w:t>
      </w:r>
      <w:r w:rsidR="00FE783E">
        <w:rPr>
          <w:rFonts w:ascii="Times New Roman"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Коментари</w:t>
      </w:r>
      <w:r w:rsidR="00EE56B8" w:rsidRPr="00862744">
        <w:rPr>
          <w:rFonts w:ascii="Times New Roman" w:hAnsi="Times New Roman"/>
          <w:szCs w:val="24"/>
          <w:lang w:val="bs-Latn-BA"/>
        </w:rPr>
        <w:t xml:space="preserve"> </w:t>
      </w:r>
      <w:r>
        <w:rPr>
          <w:rFonts w:ascii="Times New Roman" w:hAnsi="Times New Roman"/>
          <w:szCs w:val="24"/>
          <w:lang w:val="bs-Latn-BA"/>
        </w:rPr>
        <w:t>на</w:t>
      </w:r>
      <w:r w:rsidR="00EE56B8" w:rsidRPr="00295637">
        <w:rPr>
          <w:rFonts w:ascii="Times New Roman" w:hAnsi="Times New Roman"/>
          <w:szCs w:val="24"/>
          <w:lang w:val="bs-Latn-BA"/>
        </w:rPr>
        <w:t xml:space="preserve"> </w:t>
      </w:r>
      <w:r>
        <w:rPr>
          <w:rFonts w:ascii="Times New Roman" w:hAnsi="Times New Roman"/>
          <w:szCs w:val="24"/>
          <w:lang w:val="bs-Latn-BA"/>
        </w:rPr>
        <w:t>Нацрт</w:t>
      </w:r>
      <w:r w:rsidR="00EE56B8" w:rsidRPr="00295637">
        <w:rPr>
          <w:rFonts w:ascii="Times New Roman" w:hAnsi="Times New Roman"/>
          <w:szCs w:val="24"/>
          <w:lang w:val="bs-Latn-BA"/>
        </w:rPr>
        <w:t xml:space="preserve"> </w:t>
      </w:r>
      <w:r>
        <w:rPr>
          <w:rFonts w:ascii="Times New Roman" w:hAnsi="Times New Roman"/>
          <w:szCs w:val="24"/>
          <w:lang w:val="bs-Latn-BA"/>
        </w:rPr>
        <w:t>Стратегије</w:t>
      </w:r>
      <w:r w:rsidR="00EE56B8" w:rsidRPr="00295637">
        <w:rPr>
          <w:rFonts w:ascii="Times New Roman" w:hAnsi="Times New Roman"/>
          <w:szCs w:val="24"/>
          <w:lang w:val="bs-Latn-BA"/>
        </w:rPr>
        <w:t xml:space="preserve"> </w:t>
      </w:r>
      <w:r>
        <w:rPr>
          <w:rFonts w:ascii="Times New Roman" w:hAnsi="Times New Roman"/>
          <w:szCs w:val="24"/>
          <w:lang w:val="bs-Latn-BA"/>
        </w:rPr>
        <w:t>за</w:t>
      </w:r>
      <w:r w:rsidR="00EE56B8" w:rsidRPr="00295637">
        <w:rPr>
          <w:rFonts w:ascii="Times New Roman" w:hAnsi="Times New Roman"/>
          <w:szCs w:val="24"/>
          <w:lang w:val="bs-Latn-BA"/>
        </w:rPr>
        <w:t xml:space="preserve"> </w:t>
      </w:r>
      <w:r>
        <w:rPr>
          <w:rFonts w:ascii="Times New Roman" w:hAnsi="Times New Roman"/>
          <w:szCs w:val="24"/>
          <w:lang w:val="bs-Latn-BA"/>
        </w:rPr>
        <w:t>унапређење</w:t>
      </w:r>
      <w:r w:rsidR="00862744">
        <w:rPr>
          <w:rFonts w:ascii="Times New Roman" w:hAnsi="Times New Roman"/>
          <w:szCs w:val="24"/>
          <w:lang w:val="bs-Latn-BA"/>
        </w:rPr>
        <w:t xml:space="preserve"> </w:t>
      </w:r>
      <w:r>
        <w:rPr>
          <w:rFonts w:ascii="Times New Roman" w:hAnsi="Times New Roman"/>
          <w:szCs w:val="24"/>
          <w:lang w:val="bs-Latn-BA"/>
        </w:rPr>
        <w:t>права</w:t>
      </w:r>
      <w:r w:rsidR="00862744">
        <w:rPr>
          <w:rFonts w:ascii="Times New Roman" w:hAnsi="Times New Roman"/>
          <w:szCs w:val="24"/>
          <w:lang w:val="bs-Latn-BA"/>
        </w:rPr>
        <w:t xml:space="preserve"> </w:t>
      </w:r>
      <w:r>
        <w:rPr>
          <w:rFonts w:ascii="Times New Roman" w:hAnsi="Times New Roman"/>
          <w:szCs w:val="24"/>
          <w:lang w:val="bs-Latn-BA"/>
        </w:rPr>
        <w:t>и</w:t>
      </w:r>
      <w:r w:rsidR="00862744">
        <w:rPr>
          <w:rFonts w:ascii="Times New Roman" w:hAnsi="Times New Roman"/>
          <w:szCs w:val="24"/>
          <w:lang w:val="bs-Latn-BA"/>
        </w:rPr>
        <w:t xml:space="preserve"> </w:t>
      </w:r>
      <w:r>
        <w:rPr>
          <w:rFonts w:ascii="Times New Roman" w:hAnsi="Times New Roman"/>
          <w:szCs w:val="24"/>
          <w:lang w:val="bs-Latn-BA"/>
        </w:rPr>
        <w:t>положаја</w:t>
      </w:r>
      <w:r w:rsidR="00862744">
        <w:rPr>
          <w:rFonts w:ascii="Times New Roman" w:hAnsi="Times New Roman"/>
          <w:szCs w:val="24"/>
          <w:lang w:val="bs-Latn-BA"/>
        </w:rPr>
        <w:t xml:space="preserve"> </w:t>
      </w:r>
      <w:r>
        <w:rPr>
          <w:rFonts w:ascii="Times New Roman" w:hAnsi="Times New Roman"/>
          <w:szCs w:val="24"/>
          <w:lang w:val="bs-Latn-BA"/>
        </w:rPr>
        <w:t>лица</w:t>
      </w:r>
      <w:r w:rsidR="00862744">
        <w:rPr>
          <w:rFonts w:ascii="Times New Roman" w:hAnsi="Times New Roman"/>
          <w:szCs w:val="24"/>
          <w:lang w:val="bs-Latn-BA"/>
        </w:rPr>
        <w:t xml:space="preserve"> </w:t>
      </w:r>
      <w:r>
        <w:rPr>
          <w:rFonts w:ascii="Times New Roman" w:hAnsi="Times New Roman"/>
          <w:szCs w:val="24"/>
          <w:lang w:val="bs-Latn-BA"/>
        </w:rPr>
        <w:t>са</w:t>
      </w:r>
      <w:r w:rsidR="00EE56B8" w:rsidRPr="00295637">
        <w:rPr>
          <w:rFonts w:ascii="Times New Roman" w:hAnsi="Times New Roman"/>
          <w:szCs w:val="24"/>
          <w:lang w:val="bs-Latn-BA"/>
        </w:rPr>
        <w:t xml:space="preserve"> </w:t>
      </w:r>
      <w:r>
        <w:rPr>
          <w:rFonts w:ascii="Times New Roman" w:hAnsi="Times New Roman"/>
          <w:szCs w:val="24"/>
          <w:lang w:val="bs-Latn-BA"/>
        </w:rPr>
        <w:t>инвалидитетом</w:t>
      </w:r>
      <w:r w:rsidR="00EE56B8" w:rsidRPr="00295637">
        <w:rPr>
          <w:rFonts w:ascii="Times New Roman" w:hAnsi="Times New Roman"/>
          <w:szCs w:val="24"/>
          <w:lang w:val="bs-Latn-BA"/>
        </w:rPr>
        <w:t xml:space="preserve"> </w:t>
      </w:r>
      <w:r>
        <w:rPr>
          <w:rFonts w:ascii="Times New Roman" w:hAnsi="Times New Roman"/>
          <w:szCs w:val="24"/>
          <w:lang w:val="bs-Latn-BA"/>
        </w:rPr>
        <w:t>у</w:t>
      </w:r>
      <w:r w:rsidR="00EE56B8" w:rsidRPr="00295637">
        <w:rPr>
          <w:rFonts w:ascii="Times New Roman" w:hAnsi="Times New Roman"/>
          <w:szCs w:val="24"/>
          <w:lang w:val="bs-Latn-BA"/>
        </w:rPr>
        <w:t xml:space="preserve"> </w:t>
      </w:r>
      <w:r>
        <w:rPr>
          <w:rFonts w:ascii="Times New Roman" w:hAnsi="Times New Roman"/>
          <w:szCs w:val="24"/>
          <w:lang w:val="bs-Latn-BA"/>
        </w:rPr>
        <w:t>ФБиХ</w:t>
      </w:r>
      <w:r w:rsidR="00194F52" w:rsidRPr="00295637">
        <w:rPr>
          <w:rFonts w:ascii="Times New Roman" w:hAnsi="Times New Roman"/>
          <w:szCs w:val="24"/>
          <w:lang w:val="bs-Latn-BA"/>
        </w:rPr>
        <w:t xml:space="preserve"> 2025-2030</w:t>
      </w:r>
      <w:r w:rsidR="00862744">
        <w:rPr>
          <w:rFonts w:ascii="Times New Roman" w:hAnsi="Times New Roman"/>
          <w:szCs w:val="24"/>
          <w:lang w:val="bs-Latn-BA"/>
        </w:rPr>
        <w:t xml:space="preserve">. </w:t>
      </w:r>
      <w:r>
        <w:rPr>
          <w:rFonts w:ascii="Times New Roman" w:hAnsi="Times New Roman"/>
          <w:szCs w:val="24"/>
          <w:lang w:val="bs-Latn-BA"/>
        </w:rPr>
        <w:t>година</w:t>
      </w:r>
      <w:r w:rsidR="00862744">
        <w:rPr>
          <w:rFonts w:ascii="Times New Roman"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Мишљење</w:t>
      </w:r>
      <w:r w:rsidR="00862744">
        <w:rPr>
          <w:rFonts w:ascii="Times New Roman" w:eastAsia="Calibri" w:hAnsi="Times New Roman"/>
          <w:szCs w:val="24"/>
          <w:lang w:val="bs-Latn-BA"/>
        </w:rPr>
        <w:t xml:space="preserve"> </w:t>
      </w:r>
      <w:r>
        <w:rPr>
          <w:rFonts w:ascii="Times New Roman" w:eastAsia="Calibri" w:hAnsi="Times New Roman"/>
          <w:szCs w:val="24"/>
          <w:lang w:val="bs-Latn-BA"/>
        </w:rPr>
        <w:t>на</w:t>
      </w:r>
      <w:r w:rsidR="00862744">
        <w:rPr>
          <w:rFonts w:ascii="Times New Roman" w:eastAsia="Calibri" w:hAnsi="Times New Roman"/>
          <w:szCs w:val="24"/>
          <w:lang w:val="bs-Latn-BA"/>
        </w:rPr>
        <w:t xml:space="preserve"> </w:t>
      </w:r>
      <w:r>
        <w:rPr>
          <w:rFonts w:ascii="Times New Roman" w:eastAsia="Calibri" w:hAnsi="Times New Roman"/>
          <w:szCs w:val="24"/>
          <w:lang w:val="bs-Latn-BA"/>
        </w:rPr>
        <w:t>коначан</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текст</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Стратегије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унапређење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права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положаја</w:t>
      </w:r>
      <w:r w:rsidR="00862744">
        <w:rPr>
          <w:rFonts w:ascii="Times New Roman" w:eastAsia="Calibri" w:hAnsi="Times New Roman"/>
          <w:szCs w:val="24"/>
          <w:lang w:val="bs-Latn-BA"/>
        </w:rPr>
        <w:t xml:space="preserve"> </w:t>
      </w:r>
      <w:r>
        <w:rPr>
          <w:rFonts w:ascii="Times New Roman" w:eastAsia="Calibri" w:hAnsi="Times New Roman"/>
          <w:szCs w:val="24"/>
          <w:lang w:val="bs-Latn-BA"/>
        </w:rPr>
        <w:t>лица</w:t>
      </w:r>
      <w:r w:rsidR="00862744">
        <w:rPr>
          <w:rFonts w:ascii="Times New Roman" w:eastAsia="Calibri" w:hAnsi="Times New Roman"/>
          <w:szCs w:val="24"/>
          <w:lang w:val="bs-Latn-BA"/>
        </w:rPr>
        <w:t xml:space="preserve"> </w:t>
      </w:r>
      <w:r>
        <w:rPr>
          <w:rFonts w:ascii="Times New Roman" w:eastAsia="Calibri" w:hAnsi="Times New Roman"/>
          <w:szCs w:val="24"/>
          <w:lang w:val="bs-Latn-BA"/>
        </w:rPr>
        <w:t>са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инвалидитетом</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ФБиХ</w:t>
      </w:r>
      <w:r w:rsidR="00194F52" w:rsidRPr="00295637">
        <w:rPr>
          <w:rFonts w:ascii="Times New Roman" w:eastAsia="Calibri" w:hAnsi="Times New Roman"/>
          <w:szCs w:val="24"/>
          <w:lang w:val="bs-Latn-BA"/>
        </w:rPr>
        <w:t xml:space="preserve"> 2025-2030</w:t>
      </w:r>
      <w:r w:rsidR="00862744">
        <w:rPr>
          <w:rFonts w:ascii="Times New Roman" w:eastAsia="Calibri" w:hAnsi="Times New Roman"/>
          <w:szCs w:val="24"/>
          <w:lang w:val="bs-Latn-BA"/>
        </w:rPr>
        <w:t xml:space="preserve">. </w:t>
      </w:r>
      <w:r>
        <w:rPr>
          <w:rFonts w:ascii="Times New Roman" w:eastAsia="Calibri" w:hAnsi="Times New Roman"/>
          <w:szCs w:val="24"/>
          <w:lang w:val="bs-Latn-BA"/>
        </w:rPr>
        <w:t>година</w:t>
      </w:r>
      <w:r w:rsidR="00862744">
        <w:rPr>
          <w:rFonts w:ascii="Times New Roman" w:eastAsia="Calibri" w:hAnsi="Times New Roman"/>
          <w:szCs w:val="24"/>
          <w:lang w:val="bs-Latn-BA"/>
        </w:rPr>
        <w:t>;</w:t>
      </w:r>
      <w:r w:rsidR="00EE56B8" w:rsidRPr="00295637">
        <w:rPr>
          <w:rFonts w:ascii="Times New Roman" w:eastAsia="Calibri" w:hAnsi="Times New Roman"/>
          <w:szCs w:val="24"/>
          <w:lang w:val="bs-Latn-BA"/>
        </w:rPr>
        <w:t xml:space="preserve"> </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hAnsi="Times New Roman"/>
          <w:szCs w:val="24"/>
          <w:lang w:val="bs-Latn-BA"/>
        </w:rPr>
        <w:t>Коментари</w:t>
      </w:r>
      <w:r w:rsidR="00862744">
        <w:rPr>
          <w:rFonts w:ascii="Times New Roman" w:hAnsi="Times New Roman"/>
          <w:szCs w:val="24"/>
          <w:lang w:val="bs-Latn-BA"/>
        </w:rPr>
        <w:t xml:space="preserve"> </w:t>
      </w:r>
      <w:r>
        <w:rPr>
          <w:rFonts w:ascii="Times New Roman" w:hAnsi="Times New Roman"/>
          <w:szCs w:val="24"/>
          <w:lang w:val="bs-Latn-BA"/>
        </w:rPr>
        <w:t>на</w:t>
      </w:r>
      <w:r w:rsidR="00862744">
        <w:rPr>
          <w:rFonts w:ascii="Times New Roman" w:hAnsi="Times New Roman"/>
          <w:szCs w:val="24"/>
          <w:lang w:val="bs-Latn-BA"/>
        </w:rPr>
        <w:t xml:space="preserve"> </w:t>
      </w:r>
      <w:r>
        <w:rPr>
          <w:rFonts w:ascii="Times New Roman" w:hAnsi="Times New Roman"/>
          <w:szCs w:val="24"/>
          <w:lang w:val="bs-Latn-BA"/>
        </w:rPr>
        <w:t>радни</w:t>
      </w:r>
      <w:r w:rsidR="00EE56B8" w:rsidRPr="00295637">
        <w:rPr>
          <w:rFonts w:ascii="Times New Roman" w:hAnsi="Times New Roman"/>
          <w:szCs w:val="24"/>
          <w:lang w:val="bs-Latn-BA"/>
        </w:rPr>
        <w:t xml:space="preserve"> </w:t>
      </w:r>
      <w:r>
        <w:rPr>
          <w:rFonts w:ascii="Times New Roman" w:hAnsi="Times New Roman"/>
          <w:szCs w:val="24"/>
          <w:lang w:val="bs-Latn-BA"/>
        </w:rPr>
        <w:t>текст</w:t>
      </w:r>
      <w:r w:rsidR="00EE56B8" w:rsidRPr="00295637">
        <w:rPr>
          <w:rFonts w:ascii="Times New Roman" w:hAnsi="Times New Roman"/>
          <w:szCs w:val="24"/>
          <w:lang w:val="bs-Latn-BA"/>
        </w:rPr>
        <w:t xml:space="preserve"> </w:t>
      </w:r>
      <w:r>
        <w:rPr>
          <w:rFonts w:ascii="Times New Roman" w:hAnsi="Times New Roman"/>
          <w:szCs w:val="24"/>
          <w:lang w:val="bs-Latn-BA"/>
        </w:rPr>
        <w:t>Стратегије</w:t>
      </w:r>
      <w:r w:rsidR="00EE56B8" w:rsidRPr="00295637">
        <w:rPr>
          <w:rFonts w:ascii="Times New Roman" w:hAnsi="Times New Roman"/>
          <w:szCs w:val="24"/>
          <w:lang w:val="bs-Latn-BA"/>
        </w:rPr>
        <w:t xml:space="preserve"> </w:t>
      </w:r>
      <w:r>
        <w:rPr>
          <w:rFonts w:ascii="Times New Roman" w:hAnsi="Times New Roman"/>
          <w:szCs w:val="24"/>
          <w:lang w:val="bs-Latn-BA"/>
        </w:rPr>
        <w:t>за</w:t>
      </w:r>
      <w:r w:rsidR="00EE56B8" w:rsidRPr="00295637">
        <w:rPr>
          <w:rFonts w:ascii="Times New Roman" w:hAnsi="Times New Roman"/>
          <w:szCs w:val="24"/>
          <w:lang w:val="bs-Latn-BA"/>
        </w:rPr>
        <w:t xml:space="preserve"> </w:t>
      </w:r>
      <w:r>
        <w:rPr>
          <w:rFonts w:ascii="Times New Roman" w:hAnsi="Times New Roman"/>
          <w:szCs w:val="24"/>
          <w:lang w:val="bs-Latn-BA"/>
        </w:rPr>
        <w:t>младе</w:t>
      </w:r>
      <w:r w:rsidR="00EE56B8" w:rsidRPr="00295637">
        <w:rPr>
          <w:rFonts w:ascii="Times New Roman" w:hAnsi="Times New Roman"/>
          <w:szCs w:val="24"/>
          <w:lang w:val="bs-Latn-BA"/>
        </w:rPr>
        <w:t xml:space="preserve"> </w:t>
      </w:r>
      <w:r>
        <w:rPr>
          <w:rFonts w:ascii="Times New Roman" w:hAnsi="Times New Roman"/>
          <w:szCs w:val="24"/>
          <w:lang w:val="bs-Latn-BA"/>
        </w:rPr>
        <w:t>ФБиХ</w:t>
      </w:r>
      <w:r w:rsidR="00194F52" w:rsidRPr="00295637">
        <w:rPr>
          <w:rFonts w:ascii="Times New Roman" w:hAnsi="Times New Roman"/>
          <w:szCs w:val="24"/>
          <w:lang w:val="bs-Latn-BA"/>
        </w:rPr>
        <w:t xml:space="preserve"> </w:t>
      </w:r>
      <w:r>
        <w:rPr>
          <w:rFonts w:ascii="Times New Roman" w:hAnsi="Times New Roman"/>
          <w:szCs w:val="24"/>
          <w:lang w:val="bs-Latn-BA"/>
        </w:rPr>
        <w:t>до</w:t>
      </w:r>
      <w:r w:rsidR="00194F52" w:rsidRPr="00295637">
        <w:rPr>
          <w:rFonts w:ascii="Times New Roman" w:hAnsi="Times New Roman"/>
          <w:szCs w:val="24"/>
          <w:lang w:val="bs-Latn-BA"/>
        </w:rPr>
        <w:t xml:space="preserve"> 2027</w:t>
      </w:r>
      <w:r w:rsidR="00862744">
        <w:rPr>
          <w:rFonts w:ascii="Times New Roman" w:hAnsi="Times New Roman"/>
          <w:szCs w:val="24"/>
          <w:lang w:val="bs-Latn-BA"/>
        </w:rPr>
        <w:t xml:space="preserve">. </w:t>
      </w:r>
      <w:r>
        <w:rPr>
          <w:rFonts w:ascii="Times New Roman" w:hAnsi="Times New Roman"/>
          <w:szCs w:val="24"/>
          <w:lang w:val="bs-Latn-BA"/>
        </w:rPr>
        <w:t>године</w:t>
      </w:r>
      <w:r w:rsidR="00862744">
        <w:rPr>
          <w:rFonts w:ascii="Times New Roman"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Мишљење</w:t>
      </w:r>
      <w:r w:rsidR="00862744">
        <w:rPr>
          <w:rFonts w:ascii="Times New Roman" w:eastAsia="Calibri" w:hAnsi="Times New Roman"/>
          <w:szCs w:val="24"/>
          <w:lang w:val="bs-Latn-BA"/>
        </w:rPr>
        <w:t xml:space="preserve"> </w:t>
      </w:r>
      <w:r>
        <w:rPr>
          <w:rFonts w:ascii="Times New Roman" w:eastAsia="Calibri" w:hAnsi="Times New Roman"/>
          <w:szCs w:val="24"/>
          <w:lang w:val="bs-Latn-BA"/>
        </w:rPr>
        <w:t>на</w:t>
      </w:r>
      <w:r w:rsidR="00862744">
        <w:rPr>
          <w:rFonts w:ascii="Times New Roman" w:eastAsia="Calibri" w:hAnsi="Times New Roman"/>
          <w:szCs w:val="24"/>
          <w:lang w:val="bs-Latn-BA"/>
        </w:rPr>
        <w:t xml:space="preserve"> </w:t>
      </w:r>
      <w:r>
        <w:rPr>
          <w:rFonts w:ascii="Times New Roman" w:eastAsia="Calibri" w:hAnsi="Times New Roman"/>
          <w:szCs w:val="24"/>
          <w:lang w:val="bs-Latn-BA"/>
        </w:rPr>
        <w:t>Нацрт</w:t>
      </w:r>
      <w:r w:rsidR="00862744">
        <w:rPr>
          <w:rFonts w:ascii="Times New Roman" w:eastAsia="Calibri" w:hAnsi="Times New Roman"/>
          <w:szCs w:val="24"/>
          <w:lang w:val="bs-Latn-BA"/>
        </w:rPr>
        <w:t xml:space="preserve"> </w:t>
      </w:r>
      <w:r>
        <w:rPr>
          <w:rFonts w:ascii="Times New Roman" w:eastAsia="Calibri" w:hAnsi="Times New Roman"/>
          <w:szCs w:val="24"/>
          <w:lang w:val="bs-Latn-BA"/>
        </w:rPr>
        <w:t>закона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посредовању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запошљавању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социјалној</w:t>
      </w:r>
      <w:r w:rsidR="00EE56B8" w:rsidRPr="00295637">
        <w:rPr>
          <w:rFonts w:ascii="Times New Roman" w:eastAsia="Calibri" w:hAnsi="Times New Roman"/>
          <w:szCs w:val="24"/>
          <w:lang w:val="bs-Latn-BA"/>
        </w:rPr>
        <w:t xml:space="preserve"> </w:t>
      </w:r>
      <w:r w:rsidR="00B228E3">
        <w:rPr>
          <w:rFonts w:ascii="Times New Roman" w:eastAsia="Calibri" w:hAnsi="Times New Roman"/>
          <w:szCs w:val="24"/>
          <w:lang w:val="sr-Cyrl-BA"/>
        </w:rPr>
        <w:t>безбједности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незапослених</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лица</w:t>
      </w:r>
      <w:r w:rsidR="00862744">
        <w:rPr>
          <w:rFonts w:ascii="Times New Roman" w:eastAsia="Calibri"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rPr>
        <w:t>Мишљење</w:t>
      </w:r>
      <w:r w:rsidR="00862744">
        <w:rPr>
          <w:rFonts w:ascii="Times New Roman" w:eastAsia="Calibri" w:hAnsi="Times New Roman"/>
          <w:szCs w:val="24"/>
        </w:rPr>
        <w:t xml:space="preserve"> </w:t>
      </w:r>
      <w:r>
        <w:rPr>
          <w:rFonts w:ascii="Times New Roman" w:eastAsia="Calibri" w:hAnsi="Times New Roman"/>
          <w:szCs w:val="24"/>
        </w:rPr>
        <w:t>на</w:t>
      </w:r>
      <w:r w:rsidR="00862744">
        <w:rPr>
          <w:rFonts w:ascii="Times New Roman" w:eastAsia="Calibri" w:hAnsi="Times New Roman"/>
          <w:szCs w:val="24"/>
        </w:rPr>
        <w:t xml:space="preserve"> </w:t>
      </w:r>
      <w:r>
        <w:rPr>
          <w:rFonts w:ascii="Times New Roman" w:eastAsia="Calibri" w:hAnsi="Times New Roman"/>
          <w:szCs w:val="24"/>
        </w:rPr>
        <w:t>Нацрт</w:t>
      </w:r>
      <w:r w:rsidR="00862744">
        <w:rPr>
          <w:rFonts w:ascii="Times New Roman" w:eastAsia="Calibri" w:hAnsi="Times New Roman"/>
          <w:szCs w:val="24"/>
        </w:rPr>
        <w:t xml:space="preserve"> </w:t>
      </w:r>
      <w:r>
        <w:rPr>
          <w:rFonts w:ascii="Times New Roman" w:eastAsia="Calibri" w:hAnsi="Times New Roman"/>
          <w:szCs w:val="24"/>
        </w:rPr>
        <w:t>закона</w:t>
      </w:r>
      <w:r w:rsidR="00EE56B8" w:rsidRPr="00295637">
        <w:rPr>
          <w:rFonts w:ascii="Times New Roman" w:eastAsia="Calibri" w:hAnsi="Times New Roman"/>
          <w:szCs w:val="24"/>
        </w:rPr>
        <w:t xml:space="preserve"> </w:t>
      </w:r>
      <w:r>
        <w:rPr>
          <w:rFonts w:ascii="Times New Roman" w:eastAsia="Calibri" w:hAnsi="Times New Roman"/>
          <w:szCs w:val="24"/>
        </w:rPr>
        <w:t>о</w:t>
      </w:r>
      <w:r w:rsidR="00EE56B8" w:rsidRPr="00295637">
        <w:rPr>
          <w:rFonts w:ascii="Times New Roman" w:eastAsia="Calibri" w:hAnsi="Times New Roman"/>
          <w:szCs w:val="24"/>
        </w:rPr>
        <w:t xml:space="preserve"> </w:t>
      </w:r>
      <w:r>
        <w:rPr>
          <w:rFonts w:ascii="Times New Roman" w:eastAsia="Calibri" w:hAnsi="Times New Roman"/>
          <w:szCs w:val="24"/>
        </w:rPr>
        <w:t>друштвеном</w:t>
      </w:r>
      <w:r w:rsidR="00EE56B8" w:rsidRPr="00295637">
        <w:rPr>
          <w:rFonts w:ascii="Times New Roman" w:eastAsia="Calibri" w:hAnsi="Times New Roman"/>
          <w:szCs w:val="24"/>
        </w:rPr>
        <w:t xml:space="preserve"> </w:t>
      </w:r>
      <w:r>
        <w:rPr>
          <w:rFonts w:ascii="Times New Roman" w:eastAsia="Calibri" w:hAnsi="Times New Roman"/>
          <w:szCs w:val="24"/>
        </w:rPr>
        <w:t>предузетништву</w:t>
      </w:r>
      <w:r w:rsidR="00EE56B8" w:rsidRPr="00295637">
        <w:rPr>
          <w:rFonts w:ascii="Times New Roman" w:eastAsia="Calibri" w:hAnsi="Times New Roman"/>
          <w:szCs w:val="24"/>
        </w:rPr>
        <w:t xml:space="preserve"> </w:t>
      </w:r>
      <w:r>
        <w:rPr>
          <w:rFonts w:ascii="Times New Roman" w:eastAsia="Calibri" w:hAnsi="Times New Roman"/>
          <w:szCs w:val="24"/>
        </w:rPr>
        <w:t>у</w:t>
      </w:r>
      <w:r w:rsidR="00EE56B8" w:rsidRPr="00295637">
        <w:rPr>
          <w:rFonts w:ascii="Times New Roman" w:eastAsia="Calibri" w:hAnsi="Times New Roman"/>
          <w:szCs w:val="24"/>
        </w:rPr>
        <w:t xml:space="preserve"> </w:t>
      </w:r>
      <w:r>
        <w:rPr>
          <w:rFonts w:ascii="Times New Roman" w:eastAsia="Calibri" w:hAnsi="Times New Roman"/>
          <w:szCs w:val="24"/>
        </w:rPr>
        <w:t>Федерацији</w:t>
      </w:r>
      <w:r w:rsidR="00EE56B8" w:rsidRPr="00295637">
        <w:rPr>
          <w:rFonts w:ascii="Times New Roman" w:eastAsia="Calibri" w:hAnsi="Times New Roman"/>
          <w:szCs w:val="24"/>
        </w:rPr>
        <w:t xml:space="preserve"> </w:t>
      </w:r>
      <w:r>
        <w:rPr>
          <w:rFonts w:ascii="Times New Roman" w:eastAsia="Calibri" w:hAnsi="Times New Roman"/>
          <w:szCs w:val="24"/>
        </w:rPr>
        <w:t>Босне</w:t>
      </w:r>
      <w:r w:rsidR="00EE56B8" w:rsidRPr="00295637">
        <w:rPr>
          <w:rFonts w:ascii="Times New Roman" w:eastAsia="Calibri" w:hAnsi="Times New Roman"/>
          <w:szCs w:val="24"/>
        </w:rPr>
        <w:t xml:space="preserve"> </w:t>
      </w:r>
      <w:r>
        <w:rPr>
          <w:rFonts w:ascii="Times New Roman" w:eastAsia="Calibri" w:hAnsi="Times New Roman"/>
          <w:szCs w:val="24"/>
        </w:rPr>
        <w:t>и</w:t>
      </w:r>
      <w:r w:rsidR="00EE56B8" w:rsidRPr="00295637">
        <w:rPr>
          <w:rFonts w:ascii="Times New Roman" w:eastAsia="Calibri" w:hAnsi="Times New Roman"/>
          <w:szCs w:val="24"/>
        </w:rPr>
        <w:t xml:space="preserve"> </w:t>
      </w:r>
      <w:r>
        <w:rPr>
          <w:rFonts w:ascii="Times New Roman" w:eastAsia="Calibri" w:hAnsi="Times New Roman"/>
          <w:szCs w:val="24"/>
        </w:rPr>
        <w:t>Херцеговине</w:t>
      </w:r>
      <w:r w:rsidR="00862744">
        <w:rPr>
          <w:rFonts w:ascii="Times New Roman" w:eastAsia="Calibri" w:hAnsi="Times New Roman"/>
          <w:szCs w:val="24"/>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en-GB"/>
        </w:rPr>
        <w:t>Коментари</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на</w:t>
      </w:r>
      <w:r w:rsidR="00862744">
        <w:rPr>
          <w:rFonts w:ascii="Times New Roman" w:eastAsia="Calibri" w:hAnsi="Times New Roman"/>
          <w:szCs w:val="24"/>
          <w:lang w:val="hr-HR"/>
        </w:rPr>
        <w:t xml:space="preserve"> </w:t>
      </w:r>
      <w:r>
        <w:rPr>
          <w:rFonts w:ascii="Times New Roman" w:eastAsia="Calibri" w:hAnsi="Times New Roman"/>
          <w:szCs w:val="24"/>
          <w:lang w:val="hr-HR"/>
        </w:rPr>
        <w:t>Нацрт</w:t>
      </w:r>
      <w:r w:rsidR="00EE56B8" w:rsidRPr="00295637">
        <w:rPr>
          <w:rFonts w:ascii="Times New Roman" w:eastAsia="Calibri" w:hAnsi="Times New Roman"/>
          <w:szCs w:val="24"/>
          <w:lang w:val="hr-HR"/>
        </w:rPr>
        <w:t xml:space="preserve"> </w:t>
      </w:r>
      <w:r>
        <w:rPr>
          <w:rFonts w:ascii="Times New Roman" w:eastAsia="Calibri" w:hAnsi="Times New Roman"/>
          <w:szCs w:val="24"/>
          <w:lang w:val="en-GB"/>
        </w:rPr>
        <w:t>уредбе</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о</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наплати</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накнаде</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за</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кориш</w:t>
      </w:r>
      <w:r w:rsidR="007A6AD7">
        <w:rPr>
          <w:rFonts w:ascii="Times New Roman" w:eastAsia="Calibri" w:hAnsi="Times New Roman"/>
          <w:szCs w:val="24"/>
          <w:lang w:val="sr-Cyrl-BA"/>
        </w:rPr>
        <w:t>ћ</w:t>
      </w:r>
      <w:r>
        <w:rPr>
          <w:rFonts w:ascii="Times New Roman" w:eastAsia="Calibri" w:hAnsi="Times New Roman"/>
          <w:szCs w:val="24"/>
          <w:lang w:val="en-GB"/>
        </w:rPr>
        <w:t>ење</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аутоцесте</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А</w:t>
      </w:r>
      <w:r w:rsidR="00EE56B8" w:rsidRPr="00295637">
        <w:rPr>
          <w:rFonts w:ascii="Times New Roman" w:eastAsia="Calibri" w:hAnsi="Times New Roman"/>
          <w:szCs w:val="24"/>
          <w:lang w:val="en-GB"/>
        </w:rPr>
        <w:t>1</w:t>
      </w:r>
      <w:r w:rsidR="00862744">
        <w:rPr>
          <w:rFonts w:ascii="Times New Roman" w:eastAsia="Calibri" w:hAnsi="Times New Roman"/>
          <w:szCs w:val="24"/>
          <w:lang w:val="en-GB"/>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hr-HR"/>
        </w:rPr>
        <w:t>Коментари</w:t>
      </w:r>
      <w:r w:rsidR="00862744">
        <w:rPr>
          <w:rFonts w:ascii="Times New Roman" w:eastAsia="Calibri" w:hAnsi="Times New Roman"/>
          <w:szCs w:val="24"/>
          <w:lang w:val="hr-HR"/>
        </w:rPr>
        <w:t xml:space="preserve"> </w:t>
      </w:r>
      <w:r>
        <w:rPr>
          <w:rFonts w:ascii="Times New Roman" w:eastAsia="Calibri" w:hAnsi="Times New Roman"/>
          <w:szCs w:val="24"/>
          <w:lang w:val="hr-HR"/>
        </w:rPr>
        <w:t>на</w:t>
      </w:r>
      <w:r w:rsidR="00862744">
        <w:rPr>
          <w:rFonts w:ascii="Times New Roman" w:eastAsia="Calibri" w:hAnsi="Times New Roman"/>
          <w:szCs w:val="24"/>
          <w:lang w:val="hr-HR"/>
        </w:rPr>
        <w:t xml:space="preserve"> </w:t>
      </w:r>
      <w:r>
        <w:rPr>
          <w:rFonts w:ascii="Times New Roman" w:eastAsia="Calibri" w:hAnsi="Times New Roman"/>
          <w:szCs w:val="24"/>
          <w:lang w:val="hr-HR"/>
        </w:rPr>
        <w:t>Нацрт</w:t>
      </w:r>
      <w:r w:rsidR="00EE56B8" w:rsidRPr="00295637">
        <w:rPr>
          <w:rFonts w:ascii="Times New Roman" w:eastAsia="Calibri" w:hAnsi="Times New Roman"/>
          <w:szCs w:val="24"/>
          <w:lang w:val="hr-HR"/>
        </w:rPr>
        <w:t xml:space="preserve"> </w:t>
      </w:r>
      <w:r>
        <w:rPr>
          <w:rFonts w:ascii="Times New Roman" w:eastAsia="Calibri" w:hAnsi="Times New Roman"/>
          <w:szCs w:val="24"/>
          <w:lang w:val="en-GB"/>
        </w:rPr>
        <w:t>правилника</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о</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систему</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наплате</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цестарине</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на</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аутоцестама</w:t>
      </w:r>
      <w:r w:rsidR="00862744">
        <w:rPr>
          <w:rFonts w:ascii="Times New Roman" w:eastAsia="Calibri" w:hAnsi="Times New Roman"/>
          <w:szCs w:val="24"/>
          <w:lang w:val="en-GB"/>
        </w:rPr>
        <w:t xml:space="preserve">, </w:t>
      </w:r>
      <w:r>
        <w:rPr>
          <w:rFonts w:ascii="Times New Roman" w:eastAsia="Calibri" w:hAnsi="Times New Roman"/>
          <w:szCs w:val="24"/>
          <w:lang w:val="en-GB"/>
        </w:rPr>
        <w:t>брзим</w:t>
      </w:r>
      <w:r w:rsidR="00862744">
        <w:rPr>
          <w:rFonts w:ascii="Times New Roman" w:eastAsia="Calibri" w:hAnsi="Times New Roman"/>
          <w:szCs w:val="24"/>
          <w:lang w:val="en-GB"/>
        </w:rPr>
        <w:t xml:space="preserve"> </w:t>
      </w:r>
      <w:r>
        <w:rPr>
          <w:rFonts w:ascii="Times New Roman" w:eastAsia="Calibri" w:hAnsi="Times New Roman"/>
          <w:szCs w:val="24"/>
          <w:lang w:val="en-GB"/>
        </w:rPr>
        <w:t>цестама</w:t>
      </w:r>
      <w:r w:rsidR="00862744">
        <w:rPr>
          <w:rFonts w:ascii="Times New Roman" w:eastAsia="Calibri" w:hAnsi="Times New Roman"/>
          <w:szCs w:val="24"/>
          <w:lang w:val="en-GB"/>
        </w:rPr>
        <w:t xml:space="preserve"> </w:t>
      </w:r>
      <w:r>
        <w:rPr>
          <w:rFonts w:ascii="Times New Roman" w:eastAsia="Calibri" w:hAnsi="Times New Roman"/>
          <w:szCs w:val="24"/>
          <w:lang w:val="en-GB"/>
        </w:rPr>
        <w:t>и</w:t>
      </w:r>
      <w:r w:rsidR="00862744">
        <w:rPr>
          <w:rFonts w:ascii="Times New Roman" w:eastAsia="Calibri" w:hAnsi="Times New Roman"/>
          <w:szCs w:val="24"/>
          <w:lang w:val="en-GB"/>
        </w:rPr>
        <w:t xml:space="preserve"> </w:t>
      </w:r>
      <w:r>
        <w:rPr>
          <w:rFonts w:ascii="Times New Roman" w:eastAsia="Calibri" w:hAnsi="Times New Roman"/>
          <w:szCs w:val="24"/>
          <w:lang w:val="en-GB"/>
        </w:rPr>
        <w:t>објектима</w:t>
      </w:r>
      <w:r w:rsidR="00862744">
        <w:rPr>
          <w:rFonts w:ascii="Times New Roman" w:eastAsia="Calibri" w:hAnsi="Times New Roman"/>
          <w:szCs w:val="24"/>
          <w:lang w:val="en-GB"/>
        </w:rPr>
        <w:t xml:space="preserve"> </w:t>
      </w:r>
      <w:r>
        <w:rPr>
          <w:rFonts w:ascii="Times New Roman" w:eastAsia="Calibri" w:hAnsi="Times New Roman"/>
          <w:szCs w:val="24"/>
          <w:lang w:val="en-GB"/>
        </w:rPr>
        <w:t>са</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наплатом</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у</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Федерацији</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Босне</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и</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Херцеговине</w:t>
      </w:r>
      <w:r w:rsidR="00862744">
        <w:rPr>
          <w:rFonts w:ascii="Times New Roman" w:eastAsia="Calibri" w:hAnsi="Times New Roman"/>
          <w:szCs w:val="24"/>
          <w:lang w:val="en-GB"/>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rPr>
        <w:t>Коментари</w:t>
      </w:r>
      <w:r w:rsidR="00EE56B8" w:rsidRPr="00295637">
        <w:rPr>
          <w:rFonts w:ascii="Times New Roman" w:eastAsia="Calibri" w:hAnsi="Times New Roman"/>
          <w:szCs w:val="24"/>
        </w:rPr>
        <w:t xml:space="preserve"> </w:t>
      </w:r>
      <w:r>
        <w:rPr>
          <w:rFonts w:ascii="Times New Roman" w:eastAsia="Calibri" w:hAnsi="Times New Roman"/>
          <w:szCs w:val="24"/>
        </w:rPr>
        <w:t>на</w:t>
      </w:r>
      <w:r w:rsidR="00EE56B8" w:rsidRPr="00295637">
        <w:rPr>
          <w:rFonts w:ascii="Times New Roman" w:eastAsia="Calibri" w:hAnsi="Times New Roman"/>
          <w:szCs w:val="24"/>
        </w:rPr>
        <w:t xml:space="preserve"> </w:t>
      </w:r>
      <w:r>
        <w:rPr>
          <w:rFonts w:ascii="Times New Roman" w:eastAsia="Calibri" w:hAnsi="Times New Roman"/>
          <w:szCs w:val="24"/>
        </w:rPr>
        <w:t>извјештај</w:t>
      </w:r>
      <w:r w:rsidR="00862744">
        <w:rPr>
          <w:rFonts w:ascii="Times New Roman" w:eastAsia="Calibri" w:hAnsi="Times New Roman"/>
          <w:szCs w:val="24"/>
        </w:rPr>
        <w:t xml:space="preserve"> </w:t>
      </w:r>
      <w:r>
        <w:rPr>
          <w:rFonts w:ascii="Times New Roman" w:eastAsia="Calibri" w:hAnsi="Times New Roman"/>
          <w:szCs w:val="24"/>
        </w:rPr>
        <w:t>БиХ</w:t>
      </w:r>
      <w:r w:rsidR="00EE56B8" w:rsidRPr="00295637">
        <w:rPr>
          <w:rFonts w:ascii="Times New Roman" w:eastAsia="Calibri" w:hAnsi="Times New Roman"/>
          <w:szCs w:val="24"/>
        </w:rPr>
        <w:t xml:space="preserve"> </w:t>
      </w:r>
      <w:r>
        <w:rPr>
          <w:rFonts w:ascii="Times New Roman" w:eastAsia="Calibri" w:hAnsi="Times New Roman"/>
          <w:szCs w:val="24"/>
        </w:rPr>
        <w:t>по</w:t>
      </w:r>
      <w:r w:rsidR="00EE56B8" w:rsidRPr="00295637">
        <w:rPr>
          <w:rFonts w:ascii="Times New Roman" w:eastAsia="Calibri" w:hAnsi="Times New Roman"/>
          <w:szCs w:val="24"/>
        </w:rPr>
        <w:t xml:space="preserve"> </w:t>
      </w:r>
      <w:r>
        <w:rPr>
          <w:rFonts w:ascii="Times New Roman" w:eastAsia="Calibri" w:hAnsi="Times New Roman"/>
          <w:szCs w:val="24"/>
        </w:rPr>
        <w:t>Пекиншкој</w:t>
      </w:r>
      <w:r w:rsidR="00EE56B8" w:rsidRPr="00295637">
        <w:rPr>
          <w:rFonts w:ascii="Times New Roman" w:eastAsia="Calibri" w:hAnsi="Times New Roman"/>
          <w:szCs w:val="24"/>
        </w:rPr>
        <w:t xml:space="preserve"> </w:t>
      </w:r>
      <w:r>
        <w:rPr>
          <w:rFonts w:ascii="Times New Roman" w:eastAsia="Calibri" w:hAnsi="Times New Roman"/>
          <w:szCs w:val="24"/>
        </w:rPr>
        <w:t>декларацији</w:t>
      </w:r>
      <w:r w:rsidR="00862744">
        <w:rPr>
          <w:rFonts w:ascii="Times New Roman" w:eastAsia="Calibri" w:hAnsi="Times New Roman"/>
          <w:szCs w:val="24"/>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Коментари</w:t>
      </w:r>
      <w:r w:rsidR="00862744">
        <w:rPr>
          <w:rFonts w:ascii="Times New Roman" w:eastAsia="Calibri" w:hAnsi="Times New Roman"/>
          <w:szCs w:val="24"/>
          <w:lang w:val="bs-Latn-BA"/>
        </w:rPr>
        <w:t xml:space="preserve"> </w:t>
      </w:r>
      <w:r>
        <w:rPr>
          <w:rFonts w:ascii="Times New Roman" w:eastAsia="Calibri" w:hAnsi="Times New Roman"/>
          <w:szCs w:val="24"/>
          <w:lang w:val="bs-Latn-BA"/>
        </w:rPr>
        <w:t>на</w:t>
      </w:r>
      <w:r w:rsidR="00862744">
        <w:rPr>
          <w:rFonts w:ascii="Times New Roman" w:eastAsia="Calibri" w:hAnsi="Times New Roman"/>
          <w:szCs w:val="24"/>
          <w:lang w:val="bs-Latn-BA"/>
        </w:rPr>
        <w:t xml:space="preserve"> </w:t>
      </w:r>
      <w:r>
        <w:rPr>
          <w:rFonts w:ascii="Times New Roman" w:eastAsia="Calibri" w:hAnsi="Times New Roman"/>
          <w:szCs w:val="24"/>
          <w:lang w:val="bs-Latn-BA"/>
        </w:rPr>
        <w:t>прелиминарни</w:t>
      </w:r>
      <w:r w:rsidR="00862744">
        <w:rPr>
          <w:rFonts w:ascii="Times New Roman" w:eastAsia="Calibri" w:hAnsi="Times New Roman"/>
          <w:szCs w:val="24"/>
          <w:lang w:val="bs-Latn-BA"/>
        </w:rPr>
        <w:t xml:space="preserve"> </w:t>
      </w:r>
      <w:r>
        <w:rPr>
          <w:rFonts w:ascii="Times New Roman" w:eastAsia="Calibri" w:hAnsi="Times New Roman"/>
          <w:szCs w:val="24"/>
          <w:lang w:val="bs-Latn-BA"/>
        </w:rPr>
        <w:t>Приједлог</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извјештаја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Комитета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поштивање</w:t>
      </w:r>
      <w:r w:rsidR="00862744">
        <w:rPr>
          <w:rFonts w:ascii="Times New Roman" w:eastAsia="Calibri" w:hAnsi="Times New Roman"/>
          <w:szCs w:val="24"/>
          <w:lang w:val="bs-Latn-BA"/>
        </w:rPr>
        <w:t xml:space="preserve"> </w:t>
      </w:r>
      <w:r>
        <w:rPr>
          <w:rFonts w:ascii="Times New Roman" w:eastAsia="Calibri" w:hAnsi="Times New Roman"/>
          <w:szCs w:val="24"/>
          <w:lang w:val="bs-Latn-BA"/>
        </w:rPr>
        <w:t>обавеза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ангажмана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земаља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чланица</w:t>
      </w:r>
      <w:r w:rsidR="00EE56B8" w:rsidRPr="00295637">
        <w:rPr>
          <w:rFonts w:ascii="Times New Roman" w:eastAsia="Calibri" w:hAnsi="Times New Roman"/>
          <w:szCs w:val="24"/>
          <w:lang w:val="bs-Latn-BA"/>
        </w:rPr>
        <w:t xml:space="preserve"> </w:t>
      </w:r>
      <w:r w:rsidR="007A6AD7">
        <w:rPr>
          <w:rFonts w:ascii="Times New Roman" w:eastAsia="Calibri" w:hAnsi="Times New Roman"/>
          <w:szCs w:val="24"/>
          <w:lang w:val="sr-Cyrl-BA"/>
        </w:rPr>
        <w:t>Савјета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Европе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Мониторинг</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комитет</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Босну</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Херцеговину</w:t>
      </w:r>
      <w:r w:rsidR="00862744">
        <w:rPr>
          <w:rFonts w:ascii="Times New Roman" w:eastAsia="Calibri"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Мишљење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на</w:t>
      </w:r>
      <w:r w:rsidR="00EE56B8" w:rsidRPr="00295637">
        <w:rPr>
          <w:rFonts w:ascii="Times New Roman" w:eastAsia="Calibri" w:hAnsi="Times New Roman"/>
          <w:szCs w:val="24"/>
          <w:lang w:val="bs-Latn-BA"/>
        </w:rPr>
        <w:t xml:space="preserve"> </w:t>
      </w:r>
      <w:r>
        <w:rPr>
          <w:rFonts w:ascii="Times New Roman" w:eastAsia="Calibri" w:hAnsi="Times New Roman"/>
          <w:szCs w:val="24"/>
        </w:rPr>
        <w:t>Четврти</w:t>
      </w:r>
      <w:r w:rsidR="00EE56B8" w:rsidRPr="00295637">
        <w:rPr>
          <w:rFonts w:ascii="Times New Roman" w:eastAsia="Calibri" w:hAnsi="Times New Roman"/>
          <w:szCs w:val="24"/>
        </w:rPr>
        <w:t xml:space="preserve"> </w:t>
      </w:r>
      <w:r>
        <w:rPr>
          <w:rFonts w:ascii="Times New Roman" w:eastAsia="Calibri" w:hAnsi="Times New Roman"/>
          <w:szCs w:val="24"/>
        </w:rPr>
        <w:t>периодични</w:t>
      </w:r>
      <w:r w:rsidR="00EE56B8" w:rsidRPr="00295637">
        <w:rPr>
          <w:rFonts w:ascii="Times New Roman" w:eastAsia="Calibri" w:hAnsi="Times New Roman"/>
          <w:szCs w:val="24"/>
        </w:rPr>
        <w:t xml:space="preserve"> </w:t>
      </w:r>
      <w:r>
        <w:rPr>
          <w:rFonts w:ascii="Times New Roman" w:eastAsia="Calibri" w:hAnsi="Times New Roman"/>
          <w:szCs w:val="24"/>
        </w:rPr>
        <w:t>извјештај</w:t>
      </w:r>
      <w:r w:rsidR="00DC4A18">
        <w:rPr>
          <w:rFonts w:ascii="Times New Roman" w:eastAsia="Calibri" w:hAnsi="Times New Roman"/>
          <w:szCs w:val="24"/>
        </w:rPr>
        <w:t xml:space="preserve"> </w:t>
      </w:r>
      <w:r>
        <w:rPr>
          <w:rFonts w:ascii="Times New Roman" w:eastAsia="Calibri" w:hAnsi="Times New Roman"/>
          <w:szCs w:val="24"/>
        </w:rPr>
        <w:t>БиХ</w:t>
      </w:r>
      <w:r w:rsidR="00EE56B8" w:rsidRPr="00295637">
        <w:rPr>
          <w:rFonts w:ascii="Times New Roman" w:eastAsia="Calibri" w:hAnsi="Times New Roman"/>
          <w:szCs w:val="24"/>
        </w:rPr>
        <w:t xml:space="preserve"> </w:t>
      </w:r>
      <w:r>
        <w:rPr>
          <w:rFonts w:ascii="Times New Roman" w:eastAsia="Calibri" w:hAnsi="Times New Roman"/>
          <w:szCs w:val="24"/>
        </w:rPr>
        <w:t>о</w:t>
      </w:r>
      <w:r w:rsidR="00EE56B8" w:rsidRPr="00295637">
        <w:rPr>
          <w:rFonts w:ascii="Times New Roman" w:eastAsia="Calibri" w:hAnsi="Times New Roman"/>
          <w:szCs w:val="24"/>
        </w:rPr>
        <w:t xml:space="preserve"> </w:t>
      </w:r>
      <w:r>
        <w:rPr>
          <w:rFonts w:ascii="Times New Roman" w:eastAsia="Calibri" w:hAnsi="Times New Roman"/>
          <w:szCs w:val="24"/>
        </w:rPr>
        <w:t>стању</w:t>
      </w:r>
      <w:r w:rsidR="00EE56B8" w:rsidRPr="00295637">
        <w:rPr>
          <w:rFonts w:ascii="Times New Roman" w:eastAsia="Calibri" w:hAnsi="Times New Roman"/>
          <w:szCs w:val="24"/>
        </w:rPr>
        <w:t xml:space="preserve"> </w:t>
      </w:r>
      <w:r>
        <w:rPr>
          <w:rFonts w:ascii="Times New Roman" w:eastAsia="Calibri" w:hAnsi="Times New Roman"/>
          <w:szCs w:val="24"/>
        </w:rPr>
        <w:t>људских</w:t>
      </w:r>
      <w:r w:rsidR="00EE56B8" w:rsidRPr="00295637">
        <w:rPr>
          <w:rFonts w:ascii="Times New Roman" w:eastAsia="Calibri" w:hAnsi="Times New Roman"/>
          <w:szCs w:val="24"/>
        </w:rPr>
        <w:t xml:space="preserve"> </w:t>
      </w:r>
      <w:r>
        <w:rPr>
          <w:rFonts w:ascii="Times New Roman" w:eastAsia="Calibri" w:hAnsi="Times New Roman"/>
          <w:szCs w:val="24"/>
        </w:rPr>
        <w:t>права</w:t>
      </w:r>
      <w:r w:rsidR="00EE56B8" w:rsidRPr="00295637">
        <w:rPr>
          <w:rFonts w:ascii="Times New Roman" w:eastAsia="Calibri" w:hAnsi="Times New Roman"/>
          <w:szCs w:val="24"/>
        </w:rPr>
        <w:t xml:space="preserve"> (</w:t>
      </w:r>
      <w:r>
        <w:rPr>
          <w:rFonts w:ascii="Times New Roman" w:eastAsia="Calibri" w:hAnsi="Times New Roman"/>
          <w:szCs w:val="24"/>
        </w:rPr>
        <w:t>УПР</w:t>
      </w:r>
      <w:r w:rsidR="00EE56B8" w:rsidRPr="00295637">
        <w:rPr>
          <w:rFonts w:ascii="Times New Roman" w:eastAsia="Calibri" w:hAnsi="Times New Roman"/>
          <w:szCs w:val="24"/>
        </w:rPr>
        <w:t>)</w:t>
      </w:r>
      <w:r w:rsidR="00862744">
        <w:rPr>
          <w:rFonts w:ascii="Times New Roman" w:eastAsia="Calibri" w:hAnsi="Times New Roman"/>
          <w:szCs w:val="24"/>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en-GB"/>
        </w:rPr>
        <w:t>Препоруке</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на</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стратешку</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платформу</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за</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израду</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Стратегије</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демографског</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развоја</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и</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обнове</w:t>
      </w:r>
      <w:r w:rsidR="00EE56B8" w:rsidRPr="00295637">
        <w:rPr>
          <w:rFonts w:ascii="Times New Roman" w:eastAsia="Calibri" w:hAnsi="Times New Roman"/>
          <w:szCs w:val="24"/>
          <w:lang w:val="en-GB"/>
        </w:rPr>
        <w:t xml:space="preserve"> </w:t>
      </w:r>
      <w:r>
        <w:rPr>
          <w:rFonts w:ascii="Times New Roman" w:eastAsia="Calibri" w:hAnsi="Times New Roman"/>
          <w:szCs w:val="24"/>
          <w:lang w:val="en-GB"/>
        </w:rPr>
        <w:t>Федерације</w:t>
      </w:r>
      <w:r w:rsidR="00DC4A18">
        <w:rPr>
          <w:rFonts w:ascii="Times New Roman" w:eastAsia="Calibri" w:hAnsi="Times New Roman"/>
          <w:szCs w:val="24"/>
          <w:lang w:val="en-GB"/>
        </w:rPr>
        <w:t xml:space="preserve"> </w:t>
      </w:r>
      <w:r>
        <w:rPr>
          <w:rFonts w:ascii="Times New Roman" w:eastAsia="Calibri" w:hAnsi="Times New Roman"/>
          <w:szCs w:val="24"/>
          <w:lang w:val="en-GB"/>
        </w:rPr>
        <w:t>БиХ</w:t>
      </w:r>
      <w:r w:rsidR="00194F52" w:rsidRPr="00295637">
        <w:rPr>
          <w:rFonts w:ascii="Times New Roman" w:eastAsia="Calibri" w:hAnsi="Times New Roman"/>
          <w:szCs w:val="24"/>
          <w:lang w:val="en-GB"/>
        </w:rPr>
        <w:t xml:space="preserve"> 2024-2031</w:t>
      </w:r>
      <w:r w:rsidR="00862744">
        <w:rPr>
          <w:rFonts w:ascii="Times New Roman" w:eastAsia="Calibri" w:hAnsi="Times New Roman"/>
          <w:szCs w:val="24"/>
          <w:lang w:val="en-GB"/>
        </w:rPr>
        <w:t xml:space="preserve">. </w:t>
      </w:r>
      <w:r>
        <w:rPr>
          <w:rFonts w:ascii="Times New Roman" w:eastAsia="Calibri" w:hAnsi="Times New Roman"/>
          <w:szCs w:val="24"/>
          <w:lang w:val="en-GB"/>
        </w:rPr>
        <w:t>година</w:t>
      </w:r>
      <w:r w:rsidR="00862744">
        <w:rPr>
          <w:rFonts w:ascii="Times New Roman" w:eastAsia="Calibri" w:hAnsi="Times New Roman"/>
          <w:szCs w:val="24"/>
          <w:lang w:val="en-GB"/>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lang w:val="bs-Latn-BA"/>
        </w:rPr>
        <w:t>Мишљење</w:t>
      </w:r>
      <w:r w:rsidR="00862744">
        <w:rPr>
          <w:rFonts w:ascii="Times New Roman" w:eastAsia="Calibri" w:hAnsi="Times New Roman"/>
          <w:szCs w:val="24"/>
          <w:lang w:val="bs-Latn-BA"/>
        </w:rPr>
        <w:t xml:space="preserve"> </w:t>
      </w:r>
      <w:r>
        <w:rPr>
          <w:rFonts w:ascii="Times New Roman" w:eastAsia="Calibri" w:hAnsi="Times New Roman"/>
          <w:szCs w:val="24"/>
          <w:lang w:val="bs-Latn-BA"/>
        </w:rPr>
        <w:t>на</w:t>
      </w:r>
      <w:r w:rsidR="00862744">
        <w:rPr>
          <w:rFonts w:ascii="Times New Roman" w:eastAsia="Calibri" w:hAnsi="Times New Roman"/>
          <w:szCs w:val="24"/>
          <w:lang w:val="bs-Latn-BA"/>
        </w:rPr>
        <w:t xml:space="preserve"> </w:t>
      </w:r>
      <w:r>
        <w:rPr>
          <w:rFonts w:ascii="Times New Roman" w:eastAsia="Calibri" w:hAnsi="Times New Roman"/>
          <w:szCs w:val="24"/>
          <w:lang w:val="bs-Latn-BA"/>
        </w:rPr>
        <w:t>Приједлог</w:t>
      </w:r>
      <w:r w:rsidR="00862744">
        <w:rPr>
          <w:rFonts w:ascii="Times New Roman" w:eastAsia="Calibri" w:hAnsi="Times New Roman"/>
          <w:szCs w:val="24"/>
          <w:lang w:val="bs-Latn-BA"/>
        </w:rPr>
        <w:t xml:space="preserve"> </w:t>
      </w:r>
      <w:r>
        <w:rPr>
          <w:rFonts w:ascii="Times New Roman" w:eastAsia="Calibri" w:hAnsi="Times New Roman"/>
          <w:szCs w:val="24"/>
          <w:lang w:val="bs-Latn-BA"/>
        </w:rPr>
        <w:t>стратегије</w:t>
      </w:r>
      <w:r w:rsidR="00862744">
        <w:rPr>
          <w:rFonts w:ascii="Times New Roman" w:eastAsia="Calibri" w:hAnsi="Times New Roman"/>
          <w:szCs w:val="24"/>
          <w:lang w:val="bs-Latn-BA"/>
        </w:rPr>
        <w:t xml:space="preserve"> </w:t>
      </w:r>
      <w:r>
        <w:rPr>
          <w:rFonts w:ascii="Times New Roman" w:eastAsia="Calibri" w:hAnsi="Times New Roman"/>
          <w:szCs w:val="24"/>
          <w:lang w:val="bs-Latn-BA"/>
        </w:rPr>
        <w:t>за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запошљавање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ФБиХ</w:t>
      </w:r>
      <w:r w:rsidR="00EE56B8" w:rsidRPr="00295637">
        <w:rPr>
          <w:rFonts w:ascii="Times New Roman" w:eastAsia="Calibri" w:hAnsi="Times New Roman"/>
          <w:szCs w:val="24"/>
          <w:lang w:val="bs-Latn-BA"/>
        </w:rPr>
        <w:t xml:space="preserve"> 2023-2030</w:t>
      </w:r>
      <w:r w:rsidR="00862744">
        <w:rPr>
          <w:rFonts w:ascii="Times New Roman" w:eastAsia="Calibri" w:hAnsi="Times New Roman"/>
          <w:szCs w:val="24"/>
          <w:lang w:val="bs-Latn-BA"/>
        </w:rPr>
        <w:t xml:space="preserve">. </w:t>
      </w:r>
      <w:r>
        <w:rPr>
          <w:rFonts w:ascii="Times New Roman" w:eastAsia="Calibri" w:hAnsi="Times New Roman"/>
          <w:szCs w:val="24"/>
          <w:lang w:val="bs-Latn-BA"/>
        </w:rPr>
        <w:t>година</w:t>
      </w:r>
      <w:r w:rsidR="00862744">
        <w:rPr>
          <w:rFonts w:ascii="Times New Roman" w:eastAsia="Calibri" w:hAnsi="Times New Roman"/>
          <w:szCs w:val="24"/>
          <w:lang w:val="bs-Latn-BA"/>
        </w:rPr>
        <w:t>;</w:t>
      </w:r>
    </w:p>
    <w:p w:rsidR="00EE56B8"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rPr>
        <w:t>Коментари</w:t>
      </w:r>
      <w:r w:rsidR="00EE56B8" w:rsidRPr="00295637">
        <w:rPr>
          <w:rFonts w:ascii="Times New Roman" w:eastAsia="Calibri" w:hAnsi="Times New Roman"/>
          <w:szCs w:val="24"/>
        </w:rPr>
        <w:t xml:space="preserve"> </w:t>
      </w:r>
      <w:r>
        <w:rPr>
          <w:rFonts w:ascii="Times New Roman" w:eastAsia="Calibri" w:hAnsi="Times New Roman"/>
          <w:szCs w:val="24"/>
        </w:rPr>
        <w:t>на</w:t>
      </w:r>
      <w:r w:rsidR="00EE56B8" w:rsidRPr="00295637">
        <w:rPr>
          <w:rFonts w:ascii="Times New Roman" w:eastAsia="Calibri" w:hAnsi="Times New Roman"/>
          <w:szCs w:val="24"/>
        </w:rPr>
        <w:t xml:space="preserve"> </w:t>
      </w:r>
      <w:r>
        <w:rPr>
          <w:rFonts w:ascii="Times New Roman" w:eastAsia="Calibri" w:hAnsi="Times New Roman"/>
          <w:szCs w:val="24"/>
        </w:rPr>
        <w:t>Стратешку</w:t>
      </w:r>
      <w:r w:rsidR="00EE56B8" w:rsidRPr="00295637">
        <w:rPr>
          <w:rFonts w:ascii="Times New Roman" w:eastAsia="Calibri" w:hAnsi="Times New Roman"/>
          <w:szCs w:val="24"/>
        </w:rPr>
        <w:t xml:space="preserve"> </w:t>
      </w:r>
      <w:r>
        <w:rPr>
          <w:rFonts w:ascii="Times New Roman" w:eastAsia="Calibri" w:hAnsi="Times New Roman"/>
          <w:szCs w:val="24"/>
        </w:rPr>
        <w:t>платформу</w:t>
      </w:r>
      <w:r w:rsidR="00EE56B8" w:rsidRPr="00295637">
        <w:rPr>
          <w:rFonts w:ascii="Times New Roman" w:eastAsia="Calibri" w:hAnsi="Times New Roman"/>
          <w:szCs w:val="24"/>
        </w:rPr>
        <w:t xml:space="preserve"> </w:t>
      </w:r>
      <w:r>
        <w:rPr>
          <w:rFonts w:ascii="Times New Roman" w:eastAsia="Calibri" w:hAnsi="Times New Roman"/>
          <w:szCs w:val="24"/>
        </w:rPr>
        <w:t>за</w:t>
      </w:r>
      <w:r w:rsidR="00EE56B8" w:rsidRPr="00295637">
        <w:rPr>
          <w:rFonts w:ascii="Times New Roman" w:eastAsia="Calibri" w:hAnsi="Times New Roman"/>
          <w:szCs w:val="24"/>
        </w:rPr>
        <w:t xml:space="preserve"> </w:t>
      </w:r>
      <w:r>
        <w:rPr>
          <w:rFonts w:ascii="Times New Roman" w:eastAsia="Calibri" w:hAnsi="Times New Roman"/>
          <w:szCs w:val="24"/>
        </w:rPr>
        <w:t>израду</w:t>
      </w:r>
      <w:r w:rsidR="00EE56B8" w:rsidRPr="00295637">
        <w:rPr>
          <w:rFonts w:ascii="Times New Roman" w:eastAsia="Calibri" w:hAnsi="Times New Roman"/>
          <w:szCs w:val="24"/>
        </w:rPr>
        <w:t xml:space="preserve"> </w:t>
      </w:r>
      <w:r>
        <w:rPr>
          <w:rFonts w:ascii="Times New Roman" w:eastAsia="Calibri" w:hAnsi="Times New Roman"/>
          <w:szCs w:val="24"/>
          <w:lang w:val="bs-Latn-BA"/>
        </w:rPr>
        <w:t>Стратегије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развоја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индустрије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текстила</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одјеће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коже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и</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обуће</w:t>
      </w:r>
      <w:r w:rsidR="00EE56B8" w:rsidRPr="00295637">
        <w:rPr>
          <w:rFonts w:ascii="Times New Roman" w:eastAsia="Calibri" w:hAnsi="Times New Roman"/>
          <w:szCs w:val="24"/>
          <w:lang w:val="bs-Latn-BA"/>
        </w:rPr>
        <w:t xml:space="preserve"> </w:t>
      </w:r>
      <w:r>
        <w:rPr>
          <w:rFonts w:ascii="Times New Roman" w:eastAsia="Calibri" w:hAnsi="Times New Roman"/>
          <w:szCs w:val="24"/>
          <w:lang w:val="bs-Latn-BA"/>
        </w:rPr>
        <w:t>Федерације</w:t>
      </w:r>
      <w:r w:rsidR="00DC4A18">
        <w:rPr>
          <w:rFonts w:ascii="Times New Roman" w:eastAsia="Calibri" w:hAnsi="Times New Roman"/>
          <w:szCs w:val="24"/>
          <w:lang w:val="bs-Latn-BA"/>
        </w:rPr>
        <w:t xml:space="preserve"> </w:t>
      </w:r>
      <w:r>
        <w:rPr>
          <w:rFonts w:ascii="Times New Roman" w:eastAsia="Calibri" w:hAnsi="Times New Roman"/>
          <w:szCs w:val="24"/>
          <w:lang w:val="bs-Latn-BA"/>
        </w:rPr>
        <w:t>БиХ</w:t>
      </w:r>
      <w:r w:rsidR="003A129A">
        <w:rPr>
          <w:rFonts w:ascii="Times New Roman" w:eastAsia="Calibri" w:hAnsi="Times New Roman"/>
          <w:szCs w:val="24"/>
          <w:lang w:val="bs-Latn-BA"/>
        </w:rPr>
        <w:t xml:space="preserve"> 2024</w:t>
      </w:r>
      <w:r w:rsidR="00EE56B8" w:rsidRPr="00295637">
        <w:rPr>
          <w:rFonts w:ascii="Times New Roman" w:eastAsia="Calibri" w:hAnsi="Times New Roman"/>
          <w:szCs w:val="24"/>
          <w:lang w:val="bs-Latn-BA"/>
        </w:rPr>
        <w:t>-2033</w:t>
      </w:r>
      <w:r w:rsidR="00862744">
        <w:rPr>
          <w:rFonts w:ascii="Times New Roman" w:eastAsia="Calibri" w:hAnsi="Times New Roman"/>
          <w:szCs w:val="24"/>
          <w:lang w:val="bs-Latn-BA"/>
        </w:rPr>
        <w:t xml:space="preserve">. </w:t>
      </w:r>
      <w:r>
        <w:rPr>
          <w:rFonts w:ascii="Times New Roman" w:eastAsia="Calibri" w:hAnsi="Times New Roman"/>
          <w:szCs w:val="24"/>
          <w:lang w:val="bs-Latn-BA"/>
        </w:rPr>
        <w:t>година</w:t>
      </w:r>
      <w:r w:rsidR="00862744">
        <w:rPr>
          <w:rFonts w:ascii="Times New Roman" w:eastAsia="Calibri" w:hAnsi="Times New Roman"/>
          <w:szCs w:val="24"/>
          <w:lang w:val="bs-Latn-BA"/>
        </w:rPr>
        <w:t>;</w:t>
      </w:r>
    </w:p>
    <w:p w:rsidR="001553F4" w:rsidRPr="00295637" w:rsidRDefault="00C6214E" w:rsidP="0086268D">
      <w:pPr>
        <w:pStyle w:val="ListParagraph"/>
        <w:numPr>
          <w:ilvl w:val="0"/>
          <w:numId w:val="19"/>
        </w:numPr>
        <w:ind w:left="1440"/>
        <w:jc w:val="both"/>
        <w:rPr>
          <w:rFonts w:ascii="Times New Roman" w:eastAsia="Calibri" w:hAnsi="Times New Roman"/>
          <w:szCs w:val="24"/>
          <w:lang w:val="bs-Latn-BA"/>
        </w:rPr>
      </w:pPr>
      <w:r>
        <w:rPr>
          <w:rFonts w:ascii="Times New Roman" w:eastAsia="Calibri" w:hAnsi="Times New Roman"/>
          <w:szCs w:val="24"/>
        </w:rPr>
        <w:t>Коментари</w:t>
      </w:r>
      <w:r w:rsidR="00EE56B8" w:rsidRPr="00295637">
        <w:rPr>
          <w:rFonts w:ascii="Times New Roman" w:eastAsia="Calibri" w:hAnsi="Times New Roman"/>
          <w:szCs w:val="24"/>
        </w:rPr>
        <w:t xml:space="preserve"> </w:t>
      </w:r>
      <w:r>
        <w:rPr>
          <w:rFonts w:ascii="Times New Roman" w:eastAsia="Calibri" w:hAnsi="Times New Roman"/>
          <w:szCs w:val="24"/>
        </w:rPr>
        <w:t>на</w:t>
      </w:r>
      <w:r w:rsidR="00EE56B8" w:rsidRPr="00295637">
        <w:rPr>
          <w:rFonts w:ascii="Times New Roman" w:eastAsia="Calibri" w:hAnsi="Times New Roman"/>
          <w:szCs w:val="24"/>
        </w:rPr>
        <w:t xml:space="preserve"> </w:t>
      </w:r>
      <w:r>
        <w:rPr>
          <w:rFonts w:ascii="Times New Roman" w:eastAsia="Calibri" w:hAnsi="Times New Roman"/>
          <w:szCs w:val="24"/>
        </w:rPr>
        <w:t>Листу</w:t>
      </w:r>
      <w:r w:rsidR="00EE56B8" w:rsidRPr="00295637">
        <w:rPr>
          <w:rFonts w:ascii="Times New Roman" w:eastAsia="Calibri" w:hAnsi="Times New Roman"/>
          <w:szCs w:val="24"/>
        </w:rPr>
        <w:t xml:space="preserve"> </w:t>
      </w:r>
      <w:r>
        <w:rPr>
          <w:rFonts w:ascii="Times New Roman" w:eastAsia="Calibri" w:hAnsi="Times New Roman"/>
          <w:szCs w:val="24"/>
        </w:rPr>
        <w:t>реформи</w:t>
      </w:r>
      <w:r w:rsidR="00EE56B8" w:rsidRPr="00295637">
        <w:rPr>
          <w:rFonts w:ascii="Times New Roman" w:eastAsia="Calibri" w:hAnsi="Times New Roman"/>
          <w:szCs w:val="24"/>
        </w:rPr>
        <w:t xml:space="preserve"> </w:t>
      </w:r>
      <w:r>
        <w:rPr>
          <w:rFonts w:ascii="Times New Roman" w:eastAsia="Calibri" w:hAnsi="Times New Roman"/>
          <w:szCs w:val="24"/>
        </w:rPr>
        <w:t>и</w:t>
      </w:r>
      <w:r w:rsidR="00EE56B8" w:rsidRPr="00295637">
        <w:rPr>
          <w:rFonts w:ascii="Times New Roman" w:eastAsia="Calibri" w:hAnsi="Times New Roman"/>
          <w:szCs w:val="24"/>
        </w:rPr>
        <w:t xml:space="preserve"> </w:t>
      </w:r>
      <w:r>
        <w:rPr>
          <w:rFonts w:ascii="Times New Roman" w:eastAsia="Calibri" w:hAnsi="Times New Roman"/>
          <w:szCs w:val="24"/>
        </w:rPr>
        <w:t>корака</w:t>
      </w:r>
      <w:r w:rsidR="00EE56B8" w:rsidRPr="00295637">
        <w:rPr>
          <w:rFonts w:ascii="Times New Roman" w:eastAsia="Calibri" w:hAnsi="Times New Roman"/>
          <w:szCs w:val="24"/>
        </w:rPr>
        <w:t xml:space="preserve"> </w:t>
      </w:r>
      <w:r>
        <w:rPr>
          <w:rFonts w:ascii="Times New Roman" w:eastAsia="Calibri" w:hAnsi="Times New Roman"/>
          <w:szCs w:val="24"/>
        </w:rPr>
        <w:t>за</w:t>
      </w:r>
      <w:r w:rsidR="00EE56B8" w:rsidRPr="00295637">
        <w:rPr>
          <w:rFonts w:ascii="Times New Roman" w:eastAsia="Calibri" w:hAnsi="Times New Roman"/>
          <w:szCs w:val="24"/>
        </w:rPr>
        <w:t xml:space="preserve"> </w:t>
      </w:r>
      <w:r>
        <w:rPr>
          <w:rFonts w:ascii="Times New Roman" w:eastAsia="Calibri" w:hAnsi="Times New Roman"/>
          <w:szCs w:val="24"/>
        </w:rPr>
        <w:t>израду</w:t>
      </w:r>
      <w:r w:rsidR="00EE56B8" w:rsidRPr="00295637">
        <w:rPr>
          <w:rFonts w:ascii="Times New Roman" w:eastAsia="Calibri" w:hAnsi="Times New Roman"/>
          <w:szCs w:val="24"/>
        </w:rPr>
        <w:t xml:space="preserve"> </w:t>
      </w:r>
      <w:r>
        <w:rPr>
          <w:rFonts w:ascii="Times New Roman" w:eastAsia="Calibri" w:hAnsi="Times New Roman"/>
          <w:szCs w:val="24"/>
        </w:rPr>
        <w:t>Реформске</w:t>
      </w:r>
      <w:r w:rsidR="00EE56B8" w:rsidRPr="00295637">
        <w:rPr>
          <w:rFonts w:ascii="Times New Roman" w:eastAsia="Calibri" w:hAnsi="Times New Roman"/>
          <w:szCs w:val="24"/>
        </w:rPr>
        <w:t xml:space="preserve"> </w:t>
      </w:r>
      <w:r>
        <w:rPr>
          <w:rFonts w:ascii="Times New Roman" w:eastAsia="Calibri" w:hAnsi="Times New Roman"/>
          <w:szCs w:val="24"/>
        </w:rPr>
        <w:t>агенде</w:t>
      </w:r>
      <w:r w:rsidR="00EE56B8" w:rsidRPr="00295637">
        <w:rPr>
          <w:rFonts w:ascii="Times New Roman" w:eastAsia="Calibri" w:hAnsi="Times New Roman"/>
          <w:szCs w:val="24"/>
        </w:rPr>
        <w:t xml:space="preserve"> </w:t>
      </w:r>
      <w:r>
        <w:rPr>
          <w:rFonts w:ascii="Times New Roman" w:eastAsia="Calibri" w:hAnsi="Times New Roman"/>
          <w:szCs w:val="24"/>
        </w:rPr>
        <w:t>за</w:t>
      </w:r>
      <w:r w:rsidR="00EE56B8" w:rsidRPr="00295637">
        <w:rPr>
          <w:rFonts w:ascii="Times New Roman" w:eastAsia="Calibri" w:hAnsi="Times New Roman"/>
          <w:szCs w:val="24"/>
        </w:rPr>
        <w:t xml:space="preserve"> </w:t>
      </w:r>
      <w:r w:rsidR="00A74E20">
        <w:rPr>
          <w:rFonts w:ascii="Times New Roman" w:eastAsia="Calibri" w:hAnsi="Times New Roman"/>
          <w:szCs w:val="24"/>
          <w:lang w:val="sr-Cyrl-BA"/>
        </w:rPr>
        <w:t>спровођење</w:t>
      </w:r>
      <w:r w:rsidR="00EE56B8" w:rsidRPr="00295637">
        <w:rPr>
          <w:rFonts w:ascii="Times New Roman" w:eastAsia="Calibri" w:hAnsi="Times New Roman"/>
          <w:szCs w:val="24"/>
        </w:rPr>
        <w:t xml:space="preserve"> </w:t>
      </w:r>
      <w:r>
        <w:rPr>
          <w:rFonts w:ascii="Times New Roman" w:eastAsia="Calibri" w:hAnsi="Times New Roman"/>
          <w:szCs w:val="24"/>
        </w:rPr>
        <w:t>Плана</w:t>
      </w:r>
      <w:r w:rsidR="00EE56B8" w:rsidRPr="00295637">
        <w:rPr>
          <w:rFonts w:ascii="Times New Roman" w:eastAsia="Calibri" w:hAnsi="Times New Roman"/>
          <w:szCs w:val="24"/>
        </w:rPr>
        <w:t xml:space="preserve"> </w:t>
      </w:r>
      <w:r>
        <w:rPr>
          <w:rFonts w:ascii="Times New Roman" w:eastAsia="Calibri" w:hAnsi="Times New Roman"/>
          <w:szCs w:val="24"/>
        </w:rPr>
        <w:t>раста</w:t>
      </w:r>
      <w:r w:rsidR="00EE56B8" w:rsidRPr="00295637">
        <w:rPr>
          <w:rFonts w:ascii="Times New Roman" w:eastAsia="Calibri" w:hAnsi="Times New Roman"/>
          <w:szCs w:val="24"/>
        </w:rPr>
        <w:t xml:space="preserve"> </w:t>
      </w:r>
      <w:r>
        <w:rPr>
          <w:rFonts w:ascii="Times New Roman" w:eastAsia="Calibri" w:hAnsi="Times New Roman"/>
          <w:szCs w:val="24"/>
        </w:rPr>
        <w:t>за</w:t>
      </w:r>
      <w:r w:rsidR="00EE56B8" w:rsidRPr="00295637">
        <w:rPr>
          <w:rFonts w:ascii="Times New Roman" w:eastAsia="Calibri" w:hAnsi="Times New Roman"/>
          <w:szCs w:val="24"/>
        </w:rPr>
        <w:t xml:space="preserve"> </w:t>
      </w:r>
      <w:r>
        <w:rPr>
          <w:rFonts w:ascii="Times New Roman" w:eastAsia="Calibri" w:hAnsi="Times New Roman"/>
          <w:szCs w:val="24"/>
        </w:rPr>
        <w:t>земље</w:t>
      </w:r>
      <w:r w:rsidR="00EE56B8" w:rsidRPr="00295637">
        <w:rPr>
          <w:rFonts w:ascii="Times New Roman" w:eastAsia="Calibri" w:hAnsi="Times New Roman"/>
          <w:szCs w:val="24"/>
        </w:rPr>
        <w:t xml:space="preserve"> </w:t>
      </w:r>
      <w:r>
        <w:rPr>
          <w:rFonts w:ascii="Times New Roman" w:eastAsia="Calibri" w:hAnsi="Times New Roman"/>
          <w:szCs w:val="24"/>
        </w:rPr>
        <w:t>Западног</w:t>
      </w:r>
      <w:r w:rsidR="00EE56B8" w:rsidRPr="00295637">
        <w:rPr>
          <w:rFonts w:ascii="Times New Roman" w:eastAsia="Calibri" w:hAnsi="Times New Roman"/>
          <w:szCs w:val="24"/>
        </w:rPr>
        <w:t xml:space="preserve"> </w:t>
      </w:r>
      <w:r>
        <w:rPr>
          <w:rFonts w:ascii="Times New Roman" w:eastAsia="Calibri" w:hAnsi="Times New Roman"/>
          <w:szCs w:val="24"/>
        </w:rPr>
        <w:t>Балкана</w:t>
      </w:r>
      <w:r w:rsidR="00862744">
        <w:rPr>
          <w:rFonts w:ascii="Times New Roman" w:eastAsia="Calibri" w:hAnsi="Times New Roman"/>
          <w:szCs w:val="24"/>
        </w:rPr>
        <w:t>;</w:t>
      </w:r>
    </w:p>
    <w:tbl>
      <w:tblPr>
        <w:tblW w:w="5000" w:type="pct"/>
        <w:tblInd w:w="270" w:type="dxa"/>
        <w:shd w:val="clear" w:color="auto" w:fill="FFFFFF" w:themeFill="background1"/>
        <w:tblLook w:val="01E0" w:firstRow="1" w:lastRow="1" w:firstColumn="1" w:lastColumn="1" w:noHBand="0" w:noVBand="0"/>
      </w:tblPr>
      <w:tblGrid>
        <w:gridCol w:w="9835"/>
      </w:tblGrid>
      <w:tr w:rsidR="00314068" w:rsidRPr="00295637" w:rsidTr="00314068">
        <w:trPr>
          <w:trHeight w:val="20"/>
        </w:trPr>
        <w:tc>
          <w:tcPr>
            <w:tcW w:w="5000" w:type="pct"/>
            <w:shd w:val="clear" w:color="auto" w:fill="FFFFFF" w:themeFill="background1"/>
            <w:vAlign w:val="center"/>
          </w:tcPr>
          <w:p w:rsidR="00314068" w:rsidRPr="00295637" w:rsidRDefault="00C6214E" w:rsidP="003A129A">
            <w:pPr>
              <w:pStyle w:val="ListParagraph"/>
              <w:numPr>
                <w:ilvl w:val="0"/>
                <w:numId w:val="19"/>
              </w:numPr>
              <w:ind w:right="-23"/>
              <w:rPr>
                <w:rFonts w:ascii="Times New Roman" w:hAnsi="Times New Roman"/>
                <w:szCs w:val="24"/>
              </w:rPr>
            </w:pPr>
            <w:r>
              <w:rPr>
                <w:rFonts w:ascii="Times New Roman" w:hAnsi="Times New Roman"/>
                <w:szCs w:val="24"/>
                <w:lang w:val="sr-Latn-BA"/>
              </w:rPr>
              <w:t>Нацрт</w:t>
            </w:r>
            <w:r w:rsidR="00862744">
              <w:rPr>
                <w:rFonts w:ascii="Times New Roman" w:hAnsi="Times New Roman"/>
                <w:szCs w:val="24"/>
                <w:lang w:val="sr-Latn-BA"/>
              </w:rPr>
              <w:t xml:space="preserve"> </w:t>
            </w:r>
            <w:r>
              <w:rPr>
                <w:rFonts w:ascii="Times New Roman" w:hAnsi="Times New Roman"/>
                <w:szCs w:val="24"/>
                <w:lang w:val="sr-Latn-BA"/>
              </w:rPr>
              <w:t>закона</w:t>
            </w:r>
            <w:r w:rsidR="00314068" w:rsidRPr="00295637">
              <w:rPr>
                <w:rFonts w:ascii="Times New Roman" w:hAnsi="Times New Roman"/>
                <w:szCs w:val="24"/>
                <w:lang w:val="sr-Latn-BA"/>
              </w:rPr>
              <w:t xml:space="preserve"> </w:t>
            </w:r>
            <w:r>
              <w:rPr>
                <w:rFonts w:ascii="Times New Roman" w:hAnsi="Times New Roman"/>
                <w:szCs w:val="24"/>
                <w:lang w:val="sr-Latn-BA"/>
              </w:rPr>
              <w:t>о</w:t>
            </w:r>
            <w:r w:rsidR="00314068" w:rsidRPr="00295637">
              <w:rPr>
                <w:rFonts w:ascii="Times New Roman" w:hAnsi="Times New Roman"/>
                <w:szCs w:val="24"/>
                <w:lang w:val="sr-Latn-BA"/>
              </w:rPr>
              <w:t xml:space="preserve"> </w:t>
            </w:r>
            <w:r>
              <w:rPr>
                <w:rFonts w:ascii="Times New Roman" w:hAnsi="Times New Roman"/>
                <w:szCs w:val="24"/>
                <w:lang w:val="sr-Latn-BA"/>
              </w:rPr>
              <w:t>измјенама</w:t>
            </w:r>
            <w:r w:rsidR="00314068" w:rsidRPr="00295637">
              <w:rPr>
                <w:rFonts w:ascii="Times New Roman" w:hAnsi="Times New Roman"/>
                <w:szCs w:val="24"/>
                <w:lang w:val="sr-Latn-BA"/>
              </w:rPr>
              <w:t xml:space="preserve"> </w:t>
            </w:r>
            <w:r>
              <w:rPr>
                <w:rFonts w:ascii="Times New Roman" w:hAnsi="Times New Roman"/>
                <w:szCs w:val="24"/>
                <w:lang w:val="sr-Latn-BA"/>
              </w:rPr>
              <w:t>и</w:t>
            </w:r>
            <w:r w:rsidR="00314068" w:rsidRPr="00295637">
              <w:rPr>
                <w:rFonts w:ascii="Times New Roman" w:hAnsi="Times New Roman"/>
                <w:szCs w:val="24"/>
                <w:lang w:val="sr-Latn-BA"/>
              </w:rPr>
              <w:t xml:space="preserve"> </w:t>
            </w:r>
            <w:r>
              <w:rPr>
                <w:rFonts w:ascii="Times New Roman" w:hAnsi="Times New Roman"/>
                <w:szCs w:val="24"/>
                <w:lang w:val="sr-Latn-BA"/>
              </w:rPr>
              <w:t>допунама</w:t>
            </w:r>
            <w:r w:rsidR="00314068" w:rsidRPr="00295637">
              <w:rPr>
                <w:rFonts w:ascii="Times New Roman" w:hAnsi="Times New Roman"/>
                <w:szCs w:val="24"/>
                <w:lang w:val="sr-Latn-BA"/>
              </w:rPr>
              <w:t xml:space="preserve"> </w:t>
            </w:r>
            <w:r>
              <w:rPr>
                <w:rFonts w:ascii="Times New Roman" w:hAnsi="Times New Roman"/>
                <w:szCs w:val="24"/>
                <w:lang w:val="sr-Latn-BA"/>
              </w:rPr>
              <w:t>Закона</w:t>
            </w:r>
            <w:r w:rsidR="00314068" w:rsidRPr="00295637">
              <w:rPr>
                <w:rFonts w:ascii="Times New Roman" w:hAnsi="Times New Roman"/>
                <w:szCs w:val="24"/>
                <w:lang w:val="sr-Latn-BA"/>
              </w:rPr>
              <w:t xml:space="preserve"> </w:t>
            </w:r>
            <w:r>
              <w:rPr>
                <w:rFonts w:ascii="Times New Roman" w:hAnsi="Times New Roman"/>
                <w:szCs w:val="24"/>
                <w:lang w:val="sr-Latn-BA"/>
              </w:rPr>
              <w:t>о</w:t>
            </w:r>
            <w:r w:rsidR="00314068" w:rsidRPr="00295637">
              <w:rPr>
                <w:rFonts w:ascii="Times New Roman" w:hAnsi="Times New Roman"/>
                <w:szCs w:val="24"/>
                <w:lang w:val="sr-Latn-BA"/>
              </w:rPr>
              <w:t xml:space="preserve"> </w:t>
            </w:r>
            <w:r>
              <w:rPr>
                <w:rFonts w:ascii="Times New Roman" w:hAnsi="Times New Roman"/>
                <w:szCs w:val="24"/>
                <w:lang w:val="sr-Latn-BA"/>
              </w:rPr>
              <w:t>развоју</w:t>
            </w:r>
            <w:r w:rsidR="00314068" w:rsidRPr="00295637">
              <w:rPr>
                <w:rFonts w:ascii="Times New Roman" w:hAnsi="Times New Roman"/>
                <w:szCs w:val="24"/>
                <w:lang w:val="sr-Latn-BA"/>
              </w:rPr>
              <w:t xml:space="preserve"> </w:t>
            </w:r>
            <w:r>
              <w:rPr>
                <w:rFonts w:ascii="Times New Roman" w:hAnsi="Times New Roman"/>
                <w:szCs w:val="24"/>
                <w:lang w:val="sr-Latn-BA"/>
              </w:rPr>
              <w:t>малих</w:t>
            </w:r>
            <w:r w:rsidR="00314068" w:rsidRPr="00295637">
              <w:rPr>
                <w:rFonts w:ascii="Times New Roman" w:hAnsi="Times New Roman"/>
                <w:szCs w:val="24"/>
                <w:lang w:val="sr-Latn-BA"/>
              </w:rPr>
              <w:t xml:space="preserve"> </w:t>
            </w:r>
            <w:r>
              <w:rPr>
                <w:rFonts w:ascii="Times New Roman" w:hAnsi="Times New Roman"/>
                <w:szCs w:val="24"/>
                <w:lang w:val="sr-Latn-BA"/>
              </w:rPr>
              <w:t>и</w:t>
            </w:r>
            <w:r w:rsidR="00314068" w:rsidRPr="00295637">
              <w:rPr>
                <w:rFonts w:ascii="Times New Roman" w:hAnsi="Times New Roman"/>
                <w:szCs w:val="24"/>
                <w:lang w:val="sr-Latn-BA"/>
              </w:rPr>
              <w:t xml:space="preserve"> </w:t>
            </w:r>
            <w:r>
              <w:rPr>
                <w:rFonts w:ascii="Times New Roman" w:hAnsi="Times New Roman"/>
                <w:szCs w:val="24"/>
                <w:lang w:val="sr-Latn-BA"/>
              </w:rPr>
              <w:t>средњих</w:t>
            </w:r>
            <w:r w:rsidR="00314068" w:rsidRPr="00295637">
              <w:rPr>
                <w:rFonts w:ascii="Times New Roman" w:hAnsi="Times New Roman"/>
                <w:szCs w:val="24"/>
                <w:lang w:val="sr-Latn-BA"/>
              </w:rPr>
              <w:t xml:space="preserve"> </w:t>
            </w:r>
            <w:r>
              <w:rPr>
                <w:rFonts w:ascii="Times New Roman" w:hAnsi="Times New Roman"/>
                <w:szCs w:val="24"/>
                <w:lang w:val="sr-Latn-BA"/>
              </w:rPr>
              <w:t>предузећа</w:t>
            </w:r>
            <w:r w:rsidR="00A93929" w:rsidRPr="00295637">
              <w:rPr>
                <w:rFonts w:ascii="Times New Roman" w:hAnsi="Times New Roman"/>
                <w:szCs w:val="24"/>
                <w:lang w:val="sr-Latn-BA"/>
              </w:rPr>
              <w:t xml:space="preserve"> </w:t>
            </w:r>
            <w:r>
              <w:rPr>
                <w:rFonts w:ascii="Times New Roman" w:hAnsi="Times New Roman"/>
                <w:szCs w:val="24"/>
                <w:lang w:val="sr-Latn-BA"/>
              </w:rPr>
              <w:t>РС</w:t>
            </w:r>
            <w:r w:rsidR="00862744">
              <w:rPr>
                <w:rFonts w:ascii="Times New Roman" w:hAnsi="Times New Roman"/>
                <w:szCs w:val="24"/>
                <w:lang w:val="sr-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68D">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Нацрт</w:t>
            </w:r>
            <w:r w:rsidR="00314068" w:rsidRPr="00295637">
              <w:rPr>
                <w:rFonts w:ascii="Times New Roman" w:hAnsi="Times New Roman"/>
                <w:szCs w:val="24"/>
                <w:lang w:val="sr-Cyrl-BA"/>
              </w:rPr>
              <w:t xml:space="preserve"> </w:t>
            </w:r>
            <w:r>
              <w:rPr>
                <w:rFonts w:ascii="Times New Roman" w:hAnsi="Times New Roman"/>
                <w:szCs w:val="24"/>
                <w:lang w:val="sr-Cyrl-BA"/>
              </w:rPr>
              <w:t>Закона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измјенама</w:t>
            </w:r>
            <w:r w:rsidR="00314068" w:rsidRPr="00295637">
              <w:rPr>
                <w:rFonts w:ascii="Times New Roman" w:hAnsi="Times New Roman"/>
                <w:szCs w:val="24"/>
                <w:lang w:val="sr-Cyrl-BA"/>
              </w:rPr>
              <w:t xml:space="preserve"> </w:t>
            </w:r>
            <w:r>
              <w:rPr>
                <w:rFonts w:ascii="Times New Roman" w:hAnsi="Times New Roman"/>
                <w:szCs w:val="24"/>
                <w:lang w:val="sr-Cyrl-BA"/>
              </w:rPr>
              <w:t>и</w:t>
            </w:r>
            <w:r w:rsidR="00314068" w:rsidRPr="00295637">
              <w:rPr>
                <w:rFonts w:ascii="Times New Roman" w:hAnsi="Times New Roman"/>
                <w:szCs w:val="24"/>
                <w:lang w:val="sr-Cyrl-BA"/>
              </w:rPr>
              <w:t xml:space="preserve"> </w:t>
            </w:r>
            <w:r>
              <w:rPr>
                <w:rFonts w:ascii="Times New Roman" w:hAnsi="Times New Roman"/>
                <w:szCs w:val="24"/>
                <w:lang w:val="sr-Cyrl-BA"/>
              </w:rPr>
              <w:t>допунама</w:t>
            </w:r>
            <w:r w:rsidR="00314068" w:rsidRPr="00295637">
              <w:rPr>
                <w:rFonts w:ascii="Times New Roman" w:hAnsi="Times New Roman"/>
                <w:szCs w:val="24"/>
                <w:lang w:val="sr-Cyrl-BA"/>
              </w:rPr>
              <w:t xml:space="preserve"> </w:t>
            </w:r>
            <w:r>
              <w:rPr>
                <w:rFonts w:ascii="Times New Roman" w:hAnsi="Times New Roman"/>
                <w:szCs w:val="24"/>
                <w:lang w:val="sr-Cyrl-BA"/>
              </w:rPr>
              <w:t>Закона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страним</w:t>
            </w:r>
            <w:r w:rsidR="00314068" w:rsidRPr="00295637">
              <w:rPr>
                <w:rFonts w:ascii="Times New Roman" w:hAnsi="Times New Roman"/>
                <w:szCs w:val="24"/>
                <w:lang w:val="sr-Cyrl-BA"/>
              </w:rPr>
              <w:t xml:space="preserve"> </w:t>
            </w:r>
            <w:r>
              <w:rPr>
                <w:rFonts w:ascii="Times New Roman" w:hAnsi="Times New Roman"/>
                <w:szCs w:val="24"/>
                <w:lang w:val="sr-Cyrl-BA"/>
              </w:rPr>
              <w:t>улагањима</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68D">
            <w:pPr>
              <w:pStyle w:val="ListParagraph"/>
              <w:numPr>
                <w:ilvl w:val="0"/>
                <w:numId w:val="19"/>
              </w:numPr>
              <w:ind w:right="-23"/>
              <w:rPr>
                <w:rFonts w:ascii="Times New Roman" w:hAnsi="Times New Roman"/>
                <w:szCs w:val="24"/>
              </w:rPr>
            </w:pPr>
            <w:r>
              <w:rPr>
                <w:rFonts w:ascii="Times New Roman" w:hAnsi="Times New Roman"/>
                <w:szCs w:val="24"/>
                <w:lang w:val="sr-Latn-BA"/>
              </w:rPr>
              <w:t>Приједлог</w:t>
            </w:r>
            <w:r w:rsidR="00314068" w:rsidRPr="00295637">
              <w:rPr>
                <w:rFonts w:ascii="Times New Roman" w:hAnsi="Times New Roman"/>
                <w:szCs w:val="24"/>
                <w:lang w:val="sr-Latn-BA"/>
              </w:rPr>
              <w:t xml:space="preserve"> </w:t>
            </w:r>
            <w:r>
              <w:rPr>
                <w:rFonts w:ascii="Times New Roman" w:hAnsi="Times New Roman"/>
                <w:szCs w:val="24"/>
                <w:lang w:val="sr-Latn-BA"/>
              </w:rPr>
              <w:t>закона</w:t>
            </w:r>
            <w:r w:rsidR="00314068" w:rsidRPr="00295637">
              <w:rPr>
                <w:rFonts w:ascii="Times New Roman" w:hAnsi="Times New Roman"/>
                <w:szCs w:val="24"/>
                <w:lang w:val="sr-Latn-BA"/>
              </w:rPr>
              <w:t xml:space="preserve"> </w:t>
            </w:r>
            <w:r>
              <w:rPr>
                <w:rFonts w:ascii="Times New Roman" w:hAnsi="Times New Roman"/>
                <w:szCs w:val="24"/>
                <w:lang w:val="sr-Latn-BA"/>
              </w:rPr>
              <w:t>о</w:t>
            </w:r>
            <w:r w:rsidR="00314068" w:rsidRPr="00295637">
              <w:rPr>
                <w:rFonts w:ascii="Times New Roman" w:hAnsi="Times New Roman"/>
                <w:szCs w:val="24"/>
                <w:lang w:val="sr-Latn-BA"/>
              </w:rPr>
              <w:t xml:space="preserve"> </w:t>
            </w:r>
            <w:r>
              <w:rPr>
                <w:rFonts w:ascii="Times New Roman" w:hAnsi="Times New Roman"/>
                <w:szCs w:val="24"/>
                <w:lang w:val="sr-Latn-BA"/>
              </w:rPr>
              <w:t>ловству</w:t>
            </w:r>
            <w:r w:rsidR="00A93929" w:rsidRPr="00295637">
              <w:rPr>
                <w:rFonts w:ascii="Times New Roman" w:hAnsi="Times New Roman"/>
                <w:szCs w:val="24"/>
                <w:lang w:val="sr-Latn-BA"/>
              </w:rPr>
              <w:t xml:space="preserve"> </w:t>
            </w:r>
            <w:r>
              <w:rPr>
                <w:rFonts w:ascii="Times New Roman" w:hAnsi="Times New Roman"/>
                <w:szCs w:val="24"/>
                <w:lang w:val="sr-Latn-BA"/>
              </w:rPr>
              <w:t>РС</w:t>
            </w:r>
            <w:r w:rsidR="00862744">
              <w:rPr>
                <w:rFonts w:ascii="Times New Roman" w:hAnsi="Times New Roman"/>
                <w:szCs w:val="24"/>
                <w:lang w:val="sr-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68D">
            <w:pPr>
              <w:pStyle w:val="ListParagraph"/>
              <w:numPr>
                <w:ilvl w:val="0"/>
                <w:numId w:val="19"/>
              </w:numPr>
              <w:ind w:right="-23"/>
              <w:rPr>
                <w:rFonts w:ascii="Times New Roman" w:hAnsi="Times New Roman"/>
                <w:szCs w:val="24"/>
              </w:rPr>
            </w:pPr>
            <w:r>
              <w:rPr>
                <w:rFonts w:ascii="Times New Roman" w:hAnsi="Times New Roman"/>
                <w:szCs w:val="24"/>
                <w:lang w:val="sr-Latn-BA"/>
              </w:rPr>
              <w:t>Средњорочни</w:t>
            </w:r>
            <w:r w:rsidR="00314068" w:rsidRPr="00295637">
              <w:rPr>
                <w:rFonts w:ascii="Times New Roman" w:hAnsi="Times New Roman"/>
                <w:szCs w:val="24"/>
                <w:lang w:val="sr-Latn-BA"/>
              </w:rPr>
              <w:t xml:space="preserve"> </w:t>
            </w:r>
            <w:r>
              <w:rPr>
                <w:rFonts w:ascii="Times New Roman" w:hAnsi="Times New Roman"/>
                <w:szCs w:val="24"/>
                <w:lang w:val="sr-Latn-BA"/>
              </w:rPr>
              <w:t>план</w:t>
            </w:r>
            <w:r w:rsidR="00314068" w:rsidRPr="00295637">
              <w:rPr>
                <w:rFonts w:ascii="Times New Roman" w:hAnsi="Times New Roman"/>
                <w:szCs w:val="24"/>
                <w:lang w:val="sr-Latn-BA"/>
              </w:rPr>
              <w:t xml:space="preserve"> </w:t>
            </w:r>
            <w:r>
              <w:rPr>
                <w:rFonts w:ascii="Times New Roman" w:hAnsi="Times New Roman"/>
                <w:szCs w:val="24"/>
                <w:lang w:val="sr-Latn-BA"/>
              </w:rPr>
              <w:t>рада</w:t>
            </w:r>
            <w:r w:rsidR="00314068" w:rsidRPr="00295637">
              <w:rPr>
                <w:rFonts w:ascii="Times New Roman" w:hAnsi="Times New Roman"/>
                <w:szCs w:val="24"/>
                <w:lang w:val="sr-Latn-BA"/>
              </w:rPr>
              <w:t xml:space="preserve"> </w:t>
            </w:r>
            <w:r>
              <w:rPr>
                <w:rFonts w:ascii="Times New Roman" w:hAnsi="Times New Roman"/>
                <w:szCs w:val="24"/>
                <w:lang w:val="sr-Latn-BA"/>
              </w:rPr>
              <w:t>Завода</w:t>
            </w:r>
            <w:r w:rsidR="00314068" w:rsidRPr="00295637">
              <w:rPr>
                <w:rFonts w:ascii="Times New Roman" w:hAnsi="Times New Roman"/>
                <w:szCs w:val="24"/>
                <w:lang w:val="sr-Latn-BA"/>
              </w:rPr>
              <w:t xml:space="preserve"> </w:t>
            </w:r>
            <w:r>
              <w:rPr>
                <w:rFonts w:ascii="Times New Roman" w:hAnsi="Times New Roman"/>
                <w:szCs w:val="24"/>
                <w:lang w:val="sr-Latn-BA"/>
              </w:rPr>
              <w:t>за</w:t>
            </w:r>
            <w:r w:rsidR="00314068" w:rsidRPr="00295637">
              <w:rPr>
                <w:rFonts w:ascii="Times New Roman" w:hAnsi="Times New Roman"/>
                <w:szCs w:val="24"/>
                <w:lang w:val="sr-Latn-BA"/>
              </w:rPr>
              <w:t xml:space="preserve"> </w:t>
            </w:r>
            <w:r>
              <w:rPr>
                <w:rFonts w:ascii="Times New Roman" w:hAnsi="Times New Roman"/>
                <w:szCs w:val="24"/>
                <w:lang w:val="sr-Latn-BA"/>
              </w:rPr>
              <w:t>образовање</w:t>
            </w:r>
            <w:r w:rsidR="00314068" w:rsidRPr="00295637">
              <w:rPr>
                <w:rFonts w:ascii="Times New Roman" w:hAnsi="Times New Roman"/>
                <w:szCs w:val="24"/>
                <w:lang w:val="sr-Latn-BA"/>
              </w:rPr>
              <w:t xml:space="preserve"> </w:t>
            </w:r>
            <w:r>
              <w:rPr>
                <w:rFonts w:ascii="Times New Roman" w:hAnsi="Times New Roman"/>
                <w:szCs w:val="24"/>
                <w:lang w:val="sr-Latn-BA"/>
              </w:rPr>
              <w:t>одраслих</w:t>
            </w:r>
            <w:r w:rsidR="00314068" w:rsidRPr="00295637">
              <w:rPr>
                <w:rFonts w:ascii="Times New Roman" w:hAnsi="Times New Roman"/>
                <w:szCs w:val="24"/>
                <w:lang w:val="sr-Latn-BA"/>
              </w:rPr>
              <w:t xml:space="preserve"> </w:t>
            </w:r>
            <w:r>
              <w:rPr>
                <w:rFonts w:ascii="Times New Roman" w:hAnsi="Times New Roman"/>
                <w:szCs w:val="24"/>
                <w:lang w:val="sr-Latn-BA"/>
              </w:rPr>
              <w:t>РС</w:t>
            </w:r>
            <w:r w:rsidR="00314068" w:rsidRPr="00295637">
              <w:rPr>
                <w:rFonts w:ascii="Times New Roman" w:hAnsi="Times New Roman"/>
                <w:szCs w:val="24"/>
                <w:lang w:val="sr-Latn-BA"/>
              </w:rPr>
              <w:t xml:space="preserve"> 2025-2027</w:t>
            </w:r>
            <w:r w:rsidR="00862744">
              <w:rPr>
                <w:rFonts w:ascii="Times New Roman" w:hAnsi="Times New Roman"/>
                <w:szCs w:val="24"/>
                <w:lang w:val="sr-Latn-BA"/>
              </w:rPr>
              <w:t xml:space="preserve">. </w:t>
            </w:r>
            <w:r>
              <w:rPr>
                <w:rFonts w:ascii="Times New Roman" w:hAnsi="Times New Roman"/>
                <w:szCs w:val="24"/>
                <w:lang w:val="sr-Latn-BA"/>
              </w:rPr>
              <w:t>година</w:t>
            </w:r>
            <w:r w:rsidR="00862744">
              <w:rPr>
                <w:rFonts w:ascii="Times New Roman" w:hAnsi="Times New Roman"/>
                <w:szCs w:val="24"/>
                <w:lang w:val="sr-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68D">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Нацрт</w:t>
            </w:r>
            <w:r w:rsidR="00862744">
              <w:rPr>
                <w:rFonts w:ascii="Times New Roman" w:hAnsi="Times New Roman"/>
                <w:szCs w:val="24"/>
                <w:lang w:val="sr-Cyrl-BA"/>
              </w:rPr>
              <w:t xml:space="preserve"> </w:t>
            </w:r>
            <w:r>
              <w:rPr>
                <w:rFonts w:ascii="Times New Roman" w:hAnsi="Times New Roman"/>
                <w:szCs w:val="24"/>
                <w:lang w:val="hr-HR"/>
              </w:rPr>
              <w:t>з</w:t>
            </w:r>
            <w:r>
              <w:rPr>
                <w:rFonts w:ascii="Times New Roman" w:hAnsi="Times New Roman"/>
                <w:szCs w:val="24"/>
                <w:lang w:val="sr-Cyrl-BA"/>
              </w:rPr>
              <w:t>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предметима</w:t>
            </w:r>
            <w:r w:rsidR="00314068" w:rsidRPr="00295637">
              <w:rPr>
                <w:rFonts w:ascii="Times New Roman" w:hAnsi="Times New Roman"/>
                <w:szCs w:val="24"/>
                <w:lang w:val="sr-Cyrl-BA"/>
              </w:rPr>
              <w:t xml:space="preserve"> </w:t>
            </w:r>
            <w:r>
              <w:rPr>
                <w:rFonts w:ascii="Times New Roman" w:hAnsi="Times New Roman"/>
                <w:szCs w:val="24"/>
                <w:lang w:val="sr-Cyrl-BA"/>
              </w:rPr>
              <w:t>од</w:t>
            </w:r>
            <w:r w:rsidR="00314068" w:rsidRPr="00295637">
              <w:rPr>
                <w:rFonts w:ascii="Times New Roman" w:hAnsi="Times New Roman"/>
                <w:szCs w:val="24"/>
                <w:lang w:val="sr-Cyrl-BA"/>
              </w:rPr>
              <w:t xml:space="preserve"> </w:t>
            </w:r>
            <w:r>
              <w:rPr>
                <w:rFonts w:ascii="Times New Roman" w:hAnsi="Times New Roman"/>
                <w:szCs w:val="24"/>
                <w:lang w:val="sr-Cyrl-BA"/>
              </w:rPr>
              <w:t>драгоцјених</w:t>
            </w:r>
            <w:r w:rsidR="00314068" w:rsidRPr="00295637">
              <w:rPr>
                <w:rFonts w:ascii="Times New Roman" w:hAnsi="Times New Roman"/>
                <w:szCs w:val="24"/>
                <w:lang w:val="sr-Cyrl-BA"/>
              </w:rPr>
              <w:t xml:space="preserve"> </w:t>
            </w:r>
            <w:r>
              <w:rPr>
                <w:rFonts w:ascii="Times New Roman" w:hAnsi="Times New Roman"/>
                <w:szCs w:val="24"/>
                <w:lang w:val="sr-Cyrl-BA"/>
              </w:rPr>
              <w:t>метала</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744">
            <w:pPr>
              <w:pStyle w:val="ListParagraph"/>
              <w:numPr>
                <w:ilvl w:val="0"/>
                <w:numId w:val="19"/>
              </w:numPr>
              <w:ind w:right="-23"/>
              <w:rPr>
                <w:rFonts w:ascii="Times New Roman" w:hAnsi="Times New Roman"/>
                <w:szCs w:val="24"/>
                <w:lang w:val="sr-Cyrl-BA"/>
              </w:rPr>
            </w:pPr>
            <w:r>
              <w:rPr>
                <w:rFonts w:ascii="Times New Roman" w:hAnsi="Times New Roman"/>
                <w:szCs w:val="24"/>
                <w:lang w:val="sr-Latn-BA"/>
              </w:rPr>
              <w:t>Приједлог</w:t>
            </w:r>
            <w:r w:rsidR="00314068" w:rsidRPr="00295637">
              <w:rPr>
                <w:rFonts w:ascii="Times New Roman" w:hAnsi="Times New Roman"/>
                <w:szCs w:val="24"/>
                <w:lang w:val="sr-Latn-BA"/>
              </w:rPr>
              <w:t xml:space="preserve"> </w:t>
            </w:r>
            <w:r>
              <w:rPr>
                <w:rFonts w:ascii="Times New Roman" w:hAnsi="Times New Roman"/>
                <w:szCs w:val="24"/>
                <w:lang w:val="hr-HR"/>
              </w:rPr>
              <w:t>з</w:t>
            </w:r>
            <w:r>
              <w:rPr>
                <w:rFonts w:ascii="Times New Roman" w:hAnsi="Times New Roman"/>
                <w:szCs w:val="24"/>
                <w:lang w:val="sr-Latn-BA"/>
              </w:rPr>
              <w:t>акона</w:t>
            </w:r>
            <w:r w:rsidR="00314068" w:rsidRPr="00295637">
              <w:rPr>
                <w:rFonts w:ascii="Times New Roman" w:hAnsi="Times New Roman"/>
                <w:szCs w:val="24"/>
                <w:lang w:val="sr-Latn-BA"/>
              </w:rPr>
              <w:t xml:space="preserve"> </w:t>
            </w:r>
            <w:r>
              <w:rPr>
                <w:rFonts w:ascii="Times New Roman" w:hAnsi="Times New Roman"/>
                <w:szCs w:val="24"/>
                <w:lang w:val="sr-Latn-BA"/>
              </w:rPr>
              <w:t>о</w:t>
            </w:r>
            <w:r w:rsidR="00314068" w:rsidRPr="00295637">
              <w:rPr>
                <w:rFonts w:ascii="Times New Roman" w:hAnsi="Times New Roman"/>
                <w:szCs w:val="24"/>
                <w:lang w:val="sr-Latn-BA"/>
              </w:rPr>
              <w:t xml:space="preserve"> </w:t>
            </w:r>
            <w:r>
              <w:rPr>
                <w:rFonts w:ascii="Times New Roman" w:hAnsi="Times New Roman"/>
                <w:szCs w:val="24"/>
                <w:lang w:val="sr-Latn-BA"/>
              </w:rPr>
              <w:t>измјенама</w:t>
            </w:r>
            <w:r w:rsidR="00314068" w:rsidRPr="00295637">
              <w:rPr>
                <w:rFonts w:ascii="Times New Roman" w:hAnsi="Times New Roman"/>
                <w:szCs w:val="24"/>
                <w:lang w:val="sr-Latn-BA"/>
              </w:rPr>
              <w:t xml:space="preserve"> </w:t>
            </w:r>
            <w:r>
              <w:rPr>
                <w:rFonts w:ascii="Times New Roman" w:hAnsi="Times New Roman"/>
                <w:szCs w:val="24"/>
                <w:lang w:val="sr-Latn-BA"/>
              </w:rPr>
              <w:t>и</w:t>
            </w:r>
            <w:r w:rsidR="00314068" w:rsidRPr="00295637">
              <w:rPr>
                <w:rFonts w:ascii="Times New Roman" w:hAnsi="Times New Roman"/>
                <w:szCs w:val="24"/>
                <w:lang w:val="sr-Latn-BA"/>
              </w:rPr>
              <w:t xml:space="preserve"> </w:t>
            </w:r>
            <w:r>
              <w:rPr>
                <w:rFonts w:ascii="Times New Roman" w:hAnsi="Times New Roman"/>
                <w:szCs w:val="24"/>
                <w:lang w:val="sr-Latn-BA"/>
              </w:rPr>
              <w:t>допунама</w:t>
            </w:r>
            <w:r w:rsidR="00314068" w:rsidRPr="00295637">
              <w:rPr>
                <w:rFonts w:ascii="Times New Roman" w:hAnsi="Times New Roman"/>
                <w:szCs w:val="24"/>
                <w:lang w:val="sr-Latn-BA"/>
              </w:rPr>
              <w:t xml:space="preserve"> </w:t>
            </w:r>
            <w:r>
              <w:rPr>
                <w:rFonts w:ascii="Times New Roman" w:hAnsi="Times New Roman"/>
                <w:szCs w:val="24"/>
                <w:lang w:val="sr-Cyrl-BA"/>
              </w:rPr>
              <w:t>З</w:t>
            </w:r>
            <w:r>
              <w:rPr>
                <w:rFonts w:ascii="Times New Roman" w:hAnsi="Times New Roman"/>
                <w:szCs w:val="24"/>
                <w:lang w:val="sr-Latn-BA"/>
              </w:rPr>
              <w:t>акона</w:t>
            </w:r>
            <w:r w:rsidR="00314068" w:rsidRPr="00295637">
              <w:rPr>
                <w:rFonts w:ascii="Times New Roman" w:hAnsi="Times New Roman"/>
                <w:szCs w:val="24"/>
                <w:lang w:val="sr-Latn-BA"/>
              </w:rPr>
              <w:t xml:space="preserve"> </w:t>
            </w:r>
            <w:r>
              <w:rPr>
                <w:rFonts w:ascii="Times New Roman" w:hAnsi="Times New Roman"/>
                <w:szCs w:val="24"/>
                <w:lang w:val="sr-Latn-BA"/>
              </w:rPr>
              <w:t>о</w:t>
            </w:r>
            <w:r w:rsidR="00314068" w:rsidRPr="00295637">
              <w:rPr>
                <w:rFonts w:ascii="Times New Roman" w:hAnsi="Times New Roman"/>
                <w:szCs w:val="24"/>
                <w:lang w:val="sr-Latn-BA"/>
              </w:rPr>
              <w:t xml:space="preserve"> </w:t>
            </w:r>
            <w:r>
              <w:rPr>
                <w:rFonts w:ascii="Times New Roman" w:hAnsi="Times New Roman"/>
                <w:szCs w:val="24"/>
                <w:lang w:val="sr-Latn-BA"/>
              </w:rPr>
              <w:t>геолошким</w:t>
            </w:r>
            <w:r w:rsidR="00314068" w:rsidRPr="00295637">
              <w:rPr>
                <w:rFonts w:ascii="Times New Roman" w:hAnsi="Times New Roman"/>
                <w:szCs w:val="24"/>
                <w:lang w:val="sr-Latn-BA"/>
              </w:rPr>
              <w:t xml:space="preserve"> </w:t>
            </w:r>
            <w:r>
              <w:rPr>
                <w:rFonts w:ascii="Times New Roman" w:hAnsi="Times New Roman"/>
                <w:szCs w:val="24"/>
                <w:lang w:val="sr-Latn-BA"/>
              </w:rPr>
              <w:t>истраживањима</w:t>
            </w:r>
            <w:r w:rsidR="00A93929" w:rsidRPr="00295637">
              <w:rPr>
                <w:rFonts w:ascii="Times New Roman" w:hAnsi="Times New Roman"/>
                <w:szCs w:val="24"/>
                <w:lang w:val="sr-Latn-BA"/>
              </w:rPr>
              <w:t xml:space="preserve"> </w:t>
            </w:r>
            <w:r>
              <w:rPr>
                <w:rFonts w:ascii="Times New Roman" w:hAnsi="Times New Roman"/>
                <w:szCs w:val="24"/>
                <w:lang w:val="sr-Latn-BA"/>
              </w:rPr>
              <w:t>РС</w:t>
            </w:r>
            <w:r w:rsidR="00862744">
              <w:rPr>
                <w:rFonts w:ascii="Times New Roman" w:hAnsi="Times New Roman"/>
                <w:szCs w:val="24"/>
                <w:lang w:val="sr-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3A129A">
            <w:pPr>
              <w:pStyle w:val="ListParagraph"/>
              <w:numPr>
                <w:ilvl w:val="0"/>
                <w:numId w:val="19"/>
              </w:numPr>
              <w:ind w:right="-23"/>
              <w:rPr>
                <w:rFonts w:ascii="Times New Roman" w:hAnsi="Times New Roman"/>
                <w:szCs w:val="24"/>
                <w:lang w:val="sr-Cyrl-BA"/>
              </w:rPr>
            </w:pPr>
            <w:r>
              <w:rPr>
                <w:rFonts w:ascii="Times New Roman" w:hAnsi="Times New Roman"/>
                <w:szCs w:val="24"/>
                <w:lang w:val="sr-Latn-BA"/>
              </w:rPr>
              <w:t>Извјештај</w:t>
            </w:r>
            <w:r w:rsidR="00314068" w:rsidRPr="00295637">
              <w:rPr>
                <w:rFonts w:ascii="Times New Roman" w:hAnsi="Times New Roman"/>
                <w:szCs w:val="24"/>
                <w:lang w:val="sr-Latn-BA"/>
              </w:rPr>
              <w:t xml:space="preserve"> </w:t>
            </w:r>
            <w:r>
              <w:rPr>
                <w:rFonts w:ascii="Times New Roman" w:hAnsi="Times New Roman"/>
                <w:szCs w:val="24"/>
                <w:lang w:val="sr-Latn-BA"/>
              </w:rPr>
              <w:t>о</w:t>
            </w:r>
            <w:r w:rsidR="00314068" w:rsidRPr="00295637">
              <w:rPr>
                <w:rFonts w:ascii="Times New Roman" w:hAnsi="Times New Roman"/>
                <w:szCs w:val="24"/>
                <w:lang w:val="sr-Latn-BA"/>
              </w:rPr>
              <w:t xml:space="preserve"> </w:t>
            </w:r>
            <w:r>
              <w:rPr>
                <w:rFonts w:ascii="Times New Roman" w:hAnsi="Times New Roman"/>
                <w:szCs w:val="24"/>
                <w:lang w:val="sr-Latn-BA"/>
              </w:rPr>
              <w:t>појавама</w:t>
            </w:r>
            <w:r w:rsidR="00314068" w:rsidRPr="00295637">
              <w:rPr>
                <w:rFonts w:ascii="Times New Roman" w:hAnsi="Times New Roman"/>
                <w:szCs w:val="24"/>
                <w:lang w:val="sr-Latn-BA"/>
              </w:rPr>
              <w:t xml:space="preserve"> </w:t>
            </w:r>
            <w:r>
              <w:rPr>
                <w:rFonts w:ascii="Times New Roman" w:hAnsi="Times New Roman"/>
                <w:szCs w:val="24"/>
                <w:lang w:val="sr-Latn-BA"/>
              </w:rPr>
              <w:t>дискриминације</w:t>
            </w:r>
            <w:r w:rsidR="00314068" w:rsidRPr="00295637">
              <w:rPr>
                <w:rFonts w:ascii="Times New Roman" w:hAnsi="Times New Roman"/>
                <w:szCs w:val="24"/>
                <w:lang w:val="sr-Latn-BA"/>
              </w:rPr>
              <w:t xml:space="preserve"> </w:t>
            </w:r>
            <w:r>
              <w:rPr>
                <w:rFonts w:ascii="Times New Roman" w:hAnsi="Times New Roman"/>
                <w:szCs w:val="24"/>
                <w:lang w:val="sr-Latn-BA"/>
              </w:rPr>
              <w:t>у</w:t>
            </w:r>
            <w:r w:rsidR="00314068" w:rsidRPr="00295637">
              <w:rPr>
                <w:rFonts w:ascii="Times New Roman" w:hAnsi="Times New Roman"/>
                <w:szCs w:val="24"/>
                <w:lang w:val="sr-Latn-BA"/>
              </w:rPr>
              <w:t xml:space="preserve"> </w:t>
            </w:r>
            <w:r>
              <w:rPr>
                <w:rFonts w:ascii="Times New Roman" w:hAnsi="Times New Roman"/>
                <w:szCs w:val="24"/>
                <w:lang w:val="sr-Latn-BA"/>
              </w:rPr>
              <w:t>БиХ</w:t>
            </w:r>
            <w:r w:rsidR="00314068" w:rsidRPr="00295637">
              <w:rPr>
                <w:rFonts w:ascii="Times New Roman" w:hAnsi="Times New Roman"/>
                <w:szCs w:val="24"/>
                <w:lang w:val="sr-Latn-BA"/>
              </w:rPr>
              <w:t xml:space="preserve"> </w:t>
            </w:r>
            <w:r>
              <w:rPr>
                <w:rFonts w:ascii="Times New Roman" w:hAnsi="Times New Roman"/>
                <w:szCs w:val="24"/>
                <w:lang w:val="sr-Latn-BA"/>
              </w:rPr>
              <w:t>за</w:t>
            </w:r>
            <w:r w:rsidR="00314068" w:rsidRPr="00295637">
              <w:rPr>
                <w:rFonts w:ascii="Times New Roman" w:hAnsi="Times New Roman"/>
                <w:szCs w:val="24"/>
                <w:lang w:val="sr-Latn-BA"/>
              </w:rPr>
              <w:t xml:space="preserve"> 2022. </w:t>
            </w:r>
            <w:r>
              <w:rPr>
                <w:rFonts w:ascii="Times New Roman" w:hAnsi="Times New Roman"/>
                <w:szCs w:val="24"/>
                <w:lang w:val="sr-Latn-BA"/>
              </w:rPr>
              <w:t>годину</w:t>
            </w:r>
            <w:r w:rsidR="00862744">
              <w:rPr>
                <w:rFonts w:ascii="Times New Roman" w:hAnsi="Times New Roman"/>
                <w:szCs w:val="24"/>
                <w:lang w:val="sr-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744">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Приједлог</w:t>
            </w:r>
            <w:r w:rsidR="00314068" w:rsidRPr="00295637">
              <w:rPr>
                <w:rFonts w:ascii="Times New Roman" w:hAnsi="Times New Roman"/>
                <w:szCs w:val="24"/>
                <w:lang w:val="sr-Cyrl-BA"/>
              </w:rPr>
              <w:t xml:space="preserve"> </w:t>
            </w:r>
            <w:r>
              <w:rPr>
                <w:rFonts w:ascii="Times New Roman" w:hAnsi="Times New Roman"/>
                <w:szCs w:val="24"/>
                <w:lang w:val="hr-HR"/>
              </w:rPr>
              <w:t>з</w:t>
            </w:r>
            <w:r>
              <w:rPr>
                <w:rFonts w:ascii="Times New Roman" w:hAnsi="Times New Roman"/>
                <w:szCs w:val="24"/>
                <w:lang w:val="sr-Cyrl-BA"/>
              </w:rPr>
              <w:t>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измјенама</w:t>
            </w:r>
            <w:r w:rsidR="00314068" w:rsidRPr="00295637">
              <w:rPr>
                <w:rFonts w:ascii="Times New Roman" w:hAnsi="Times New Roman"/>
                <w:szCs w:val="24"/>
                <w:lang w:val="sr-Cyrl-BA"/>
              </w:rPr>
              <w:t xml:space="preserve"> </w:t>
            </w:r>
            <w:r>
              <w:rPr>
                <w:rFonts w:ascii="Times New Roman" w:hAnsi="Times New Roman"/>
                <w:szCs w:val="24"/>
                <w:lang w:val="sr-Cyrl-BA"/>
              </w:rPr>
              <w:t>и</w:t>
            </w:r>
            <w:r w:rsidR="00314068" w:rsidRPr="00295637">
              <w:rPr>
                <w:rFonts w:ascii="Times New Roman" w:hAnsi="Times New Roman"/>
                <w:szCs w:val="24"/>
                <w:lang w:val="sr-Cyrl-BA"/>
              </w:rPr>
              <w:t xml:space="preserve"> </w:t>
            </w:r>
            <w:r>
              <w:rPr>
                <w:rFonts w:ascii="Times New Roman" w:hAnsi="Times New Roman"/>
                <w:szCs w:val="24"/>
                <w:lang w:val="sr-Cyrl-BA"/>
              </w:rPr>
              <w:t>допунама</w:t>
            </w:r>
            <w:r w:rsidR="00314068" w:rsidRPr="00295637">
              <w:rPr>
                <w:rFonts w:ascii="Times New Roman" w:hAnsi="Times New Roman"/>
                <w:szCs w:val="24"/>
                <w:lang w:val="sr-Cyrl-BA"/>
              </w:rPr>
              <w:t xml:space="preserve"> </w:t>
            </w:r>
            <w:r>
              <w:rPr>
                <w:rFonts w:ascii="Times New Roman" w:hAnsi="Times New Roman"/>
                <w:szCs w:val="24"/>
                <w:lang w:val="sr-Cyrl-BA"/>
              </w:rPr>
              <w:t>Закона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геолошким</w:t>
            </w:r>
            <w:r w:rsidR="00314068" w:rsidRPr="00295637">
              <w:rPr>
                <w:rFonts w:ascii="Times New Roman" w:hAnsi="Times New Roman"/>
                <w:szCs w:val="24"/>
                <w:lang w:val="sr-Cyrl-BA"/>
              </w:rPr>
              <w:t xml:space="preserve"> </w:t>
            </w:r>
            <w:r>
              <w:rPr>
                <w:rFonts w:ascii="Times New Roman" w:hAnsi="Times New Roman"/>
                <w:szCs w:val="24"/>
                <w:lang w:val="sr-Cyrl-BA"/>
              </w:rPr>
              <w:t>истраживањима</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744">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Нацрт</w:t>
            </w:r>
            <w:r w:rsidR="00314068" w:rsidRPr="00295637">
              <w:rPr>
                <w:rFonts w:ascii="Times New Roman" w:hAnsi="Times New Roman"/>
                <w:szCs w:val="24"/>
                <w:lang w:val="sr-Cyrl-BA"/>
              </w:rPr>
              <w:t xml:space="preserve"> </w:t>
            </w:r>
            <w:r>
              <w:rPr>
                <w:rFonts w:ascii="Times New Roman" w:hAnsi="Times New Roman"/>
                <w:szCs w:val="24"/>
                <w:lang w:val="hr-HR"/>
              </w:rPr>
              <w:t>з</w:t>
            </w:r>
            <w:r>
              <w:rPr>
                <w:rFonts w:ascii="Times New Roman" w:hAnsi="Times New Roman"/>
                <w:szCs w:val="24"/>
                <w:lang w:val="sr-Cyrl-BA"/>
              </w:rPr>
              <w:t>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водним</w:t>
            </w:r>
            <w:r w:rsidR="00314068" w:rsidRPr="00295637">
              <w:rPr>
                <w:rFonts w:ascii="Times New Roman" w:hAnsi="Times New Roman"/>
                <w:szCs w:val="24"/>
                <w:lang w:val="sr-Cyrl-BA"/>
              </w:rPr>
              <w:t xml:space="preserve"> </w:t>
            </w:r>
            <w:r>
              <w:rPr>
                <w:rFonts w:ascii="Times New Roman" w:hAnsi="Times New Roman"/>
                <w:szCs w:val="24"/>
                <w:lang w:val="sr-Cyrl-BA"/>
              </w:rPr>
              <w:t>услугама</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744">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Нацрт</w:t>
            </w:r>
            <w:r w:rsidR="00314068" w:rsidRPr="00295637">
              <w:rPr>
                <w:rFonts w:ascii="Times New Roman" w:hAnsi="Times New Roman"/>
                <w:szCs w:val="24"/>
                <w:lang w:val="sr-Cyrl-BA"/>
              </w:rPr>
              <w:t xml:space="preserve"> </w:t>
            </w:r>
            <w:r>
              <w:rPr>
                <w:rFonts w:ascii="Times New Roman" w:hAnsi="Times New Roman"/>
                <w:szCs w:val="24"/>
                <w:lang w:val="hr-HR"/>
              </w:rPr>
              <w:t>з</w:t>
            </w:r>
            <w:r>
              <w:rPr>
                <w:rFonts w:ascii="Times New Roman" w:hAnsi="Times New Roman"/>
                <w:szCs w:val="24"/>
                <w:lang w:val="sr-Cyrl-BA"/>
              </w:rPr>
              <w:t>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органској</w:t>
            </w:r>
            <w:r w:rsidR="00314068" w:rsidRPr="00295637">
              <w:rPr>
                <w:rFonts w:ascii="Times New Roman" w:hAnsi="Times New Roman"/>
                <w:szCs w:val="24"/>
                <w:lang w:val="sr-Cyrl-BA"/>
              </w:rPr>
              <w:t xml:space="preserve"> </w:t>
            </w:r>
            <w:r>
              <w:rPr>
                <w:rFonts w:ascii="Times New Roman" w:hAnsi="Times New Roman"/>
                <w:szCs w:val="24"/>
                <w:lang w:val="sr-Cyrl-BA"/>
              </w:rPr>
              <w:t>производњи</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744">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Приједлог</w:t>
            </w:r>
            <w:r w:rsidR="00314068" w:rsidRPr="00295637">
              <w:rPr>
                <w:rFonts w:ascii="Times New Roman" w:hAnsi="Times New Roman"/>
                <w:szCs w:val="24"/>
                <w:lang w:val="sr-Cyrl-BA"/>
              </w:rPr>
              <w:t xml:space="preserve"> </w:t>
            </w:r>
            <w:r>
              <w:rPr>
                <w:rFonts w:ascii="Times New Roman" w:hAnsi="Times New Roman"/>
                <w:szCs w:val="24"/>
                <w:lang w:val="sr-Cyrl-BA"/>
              </w:rPr>
              <w:t>уредбе</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измјенама</w:t>
            </w:r>
            <w:r w:rsidR="00314068" w:rsidRPr="00295637">
              <w:rPr>
                <w:rFonts w:ascii="Times New Roman" w:hAnsi="Times New Roman"/>
                <w:szCs w:val="24"/>
                <w:lang w:val="sr-Cyrl-BA"/>
              </w:rPr>
              <w:t xml:space="preserve"> </w:t>
            </w:r>
            <w:r>
              <w:rPr>
                <w:rFonts w:ascii="Times New Roman" w:hAnsi="Times New Roman"/>
                <w:szCs w:val="24"/>
                <w:lang w:val="sr-Cyrl-BA"/>
              </w:rPr>
              <w:t>и</w:t>
            </w:r>
            <w:r w:rsidR="00314068" w:rsidRPr="00295637">
              <w:rPr>
                <w:rFonts w:ascii="Times New Roman" w:hAnsi="Times New Roman"/>
                <w:szCs w:val="24"/>
                <w:lang w:val="sr-Cyrl-BA"/>
              </w:rPr>
              <w:t xml:space="preserve"> </w:t>
            </w:r>
            <w:r>
              <w:rPr>
                <w:rFonts w:ascii="Times New Roman" w:hAnsi="Times New Roman"/>
                <w:szCs w:val="24"/>
                <w:lang w:val="sr-Cyrl-BA"/>
              </w:rPr>
              <w:t>допунама</w:t>
            </w:r>
            <w:r w:rsidR="00314068" w:rsidRPr="00295637">
              <w:rPr>
                <w:rFonts w:ascii="Times New Roman" w:hAnsi="Times New Roman"/>
                <w:szCs w:val="24"/>
                <w:lang w:val="sr-Cyrl-BA"/>
              </w:rPr>
              <w:t xml:space="preserve"> </w:t>
            </w:r>
            <w:r>
              <w:rPr>
                <w:rFonts w:ascii="Times New Roman" w:hAnsi="Times New Roman"/>
                <w:szCs w:val="24"/>
                <w:lang w:val="sr-Cyrl-BA"/>
              </w:rPr>
              <w:t>Уредбе</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поступку</w:t>
            </w:r>
            <w:r w:rsidR="00314068" w:rsidRPr="00295637">
              <w:rPr>
                <w:rFonts w:ascii="Times New Roman" w:hAnsi="Times New Roman"/>
                <w:szCs w:val="24"/>
                <w:lang w:val="sr-Cyrl-BA"/>
              </w:rPr>
              <w:t xml:space="preserve"> </w:t>
            </w:r>
            <w:r>
              <w:rPr>
                <w:rFonts w:ascii="Times New Roman" w:hAnsi="Times New Roman"/>
                <w:szCs w:val="24"/>
                <w:lang w:val="sr-Cyrl-BA"/>
              </w:rPr>
              <w:t>додјеле</w:t>
            </w:r>
            <w:r w:rsidR="00314068" w:rsidRPr="00295637">
              <w:rPr>
                <w:rFonts w:ascii="Times New Roman" w:hAnsi="Times New Roman"/>
                <w:szCs w:val="24"/>
                <w:lang w:val="sr-Cyrl-BA"/>
              </w:rPr>
              <w:t xml:space="preserve"> </w:t>
            </w:r>
            <w:r>
              <w:rPr>
                <w:rFonts w:ascii="Times New Roman" w:hAnsi="Times New Roman"/>
                <w:szCs w:val="24"/>
                <w:lang w:val="sr-Cyrl-BA"/>
              </w:rPr>
              <w:t>по</w:t>
            </w:r>
            <w:r>
              <w:rPr>
                <w:rFonts w:ascii="Times New Roman" w:hAnsi="Times New Roman"/>
                <w:szCs w:val="24"/>
                <w:lang w:val="hr-HR"/>
              </w:rPr>
              <w:t>дс</w:t>
            </w:r>
            <w:r>
              <w:rPr>
                <w:rFonts w:ascii="Times New Roman" w:hAnsi="Times New Roman"/>
                <w:szCs w:val="24"/>
                <w:lang w:val="sr-Cyrl-BA"/>
              </w:rPr>
              <w:t>тицаја</w:t>
            </w:r>
            <w:r w:rsidR="00314068" w:rsidRPr="00295637">
              <w:rPr>
                <w:rFonts w:ascii="Times New Roman" w:hAnsi="Times New Roman"/>
                <w:szCs w:val="24"/>
                <w:lang w:val="sr-Cyrl-BA"/>
              </w:rPr>
              <w:t xml:space="preserve"> </w:t>
            </w:r>
            <w:r>
              <w:rPr>
                <w:rFonts w:ascii="Times New Roman" w:hAnsi="Times New Roman"/>
                <w:szCs w:val="24"/>
                <w:lang w:val="sr-Cyrl-BA"/>
              </w:rPr>
              <w:t>за</w:t>
            </w:r>
            <w:r w:rsidR="00314068" w:rsidRPr="00295637">
              <w:rPr>
                <w:rFonts w:ascii="Times New Roman" w:hAnsi="Times New Roman"/>
                <w:szCs w:val="24"/>
                <w:lang w:val="sr-Cyrl-BA"/>
              </w:rPr>
              <w:t xml:space="preserve"> </w:t>
            </w:r>
            <w:r>
              <w:rPr>
                <w:rFonts w:ascii="Times New Roman" w:hAnsi="Times New Roman"/>
                <w:szCs w:val="24"/>
                <w:lang w:val="sr-Cyrl-BA"/>
              </w:rPr>
              <w:t>директна</w:t>
            </w:r>
            <w:r w:rsidR="00314068" w:rsidRPr="00295637">
              <w:rPr>
                <w:rFonts w:ascii="Times New Roman" w:hAnsi="Times New Roman"/>
                <w:szCs w:val="24"/>
                <w:lang w:val="sr-Cyrl-BA"/>
              </w:rPr>
              <w:t xml:space="preserve"> </w:t>
            </w:r>
            <w:r>
              <w:rPr>
                <w:rFonts w:ascii="Times New Roman" w:hAnsi="Times New Roman"/>
                <w:szCs w:val="24"/>
                <w:lang w:val="sr-Cyrl-BA"/>
              </w:rPr>
              <w:t>ул</w:t>
            </w:r>
            <w:r>
              <w:rPr>
                <w:rFonts w:ascii="Times New Roman" w:hAnsi="Times New Roman"/>
                <w:szCs w:val="24"/>
                <w:lang w:val="sr-Latn-BA"/>
              </w:rPr>
              <w:t>а</w:t>
            </w:r>
            <w:r>
              <w:rPr>
                <w:rFonts w:ascii="Times New Roman" w:hAnsi="Times New Roman"/>
                <w:szCs w:val="24"/>
                <w:lang w:val="sr-Cyrl-BA"/>
              </w:rPr>
              <w:t>гања</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68D">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Радна</w:t>
            </w:r>
            <w:r w:rsidR="00314068" w:rsidRPr="00295637">
              <w:rPr>
                <w:rFonts w:ascii="Times New Roman" w:hAnsi="Times New Roman"/>
                <w:szCs w:val="24"/>
                <w:lang w:val="sr-Cyrl-BA"/>
              </w:rPr>
              <w:t xml:space="preserve"> </w:t>
            </w:r>
            <w:r>
              <w:rPr>
                <w:rFonts w:ascii="Times New Roman" w:hAnsi="Times New Roman"/>
                <w:szCs w:val="24"/>
                <w:lang w:val="sr-Cyrl-BA"/>
              </w:rPr>
              <w:t>верзија</w:t>
            </w:r>
            <w:r w:rsidR="00314068" w:rsidRPr="00295637">
              <w:rPr>
                <w:rFonts w:ascii="Times New Roman" w:hAnsi="Times New Roman"/>
                <w:szCs w:val="24"/>
                <w:lang w:val="sr-Cyrl-BA"/>
              </w:rPr>
              <w:t xml:space="preserve"> </w:t>
            </w:r>
            <w:r>
              <w:rPr>
                <w:rFonts w:ascii="Times New Roman" w:hAnsi="Times New Roman"/>
                <w:szCs w:val="24"/>
                <w:lang w:val="sr-Cyrl-BA"/>
              </w:rPr>
              <w:t>Закона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предметима</w:t>
            </w:r>
            <w:r w:rsidR="00314068" w:rsidRPr="00295637">
              <w:rPr>
                <w:rFonts w:ascii="Times New Roman" w:hAnsi="Times New Roman"/>
                <w:szCs w:val="24"/>
                <w:lang w:val="sr-Cyrl-BA"/>
              </w:rPr>
              <w:t xml:space="preserve"> </w:t>
            </w:r>
            <w:r>
              <w:rPr>
                <w:rFonts w:ascii="Times New Roman" w:hAnsi="Times New Roman"/>
                <w:szCs w:val="24"/>
                <w:lang w:val="sr-Cyrl-BA"/>
              </w:rPr>
              <w:t>од</w:t>
            </w:r>
            <w:r w:rsidR="00314068" w:rsidRPr="00295637">
              <w:rPr>
                <w:rFonts w:ascii="Times New Roman" w:hAnsi="Times New Roman"/>
                <w:szCs w:val="24"/>
                <w:lang w:val="sr-Cyrl-BA"/>
              </w:rPr>
              <w:t xml:space="preserve"> </w:t>
            </w:r>
            <w:r>
              <w:rPr>
                <w:rFonts w:ascii="Times New Roman" w:hAnsi="Times New Roman"/>
                <w:szCs w:val="24"/>
                <w:lang w:val="sr-Cyrl-BA"/>
              </w:rPr>
              <w:t>драгоцјених</w:t>
            </w:r>
            <w:r w:rsidR="00314068" w:rsidRPr="00295637">
              <w:rPr>
                <w:rFonts w:ascii="Times New Roman" w:hAnsi="Times New Roman"/>
                <w:szCs w:val="24"/>
                <w:lang w:val="sr-Cyrl-BA"/>
              </w:rPr>
              <w:t xml:space="preserve"> </w:t>
            </w:r>
            <w:r>
              <w:rPr>
                <w:rFonts w:ascii="Times New Roman" w:hAnsi="Times New Roman"/>
                <w:szCs w:val="24"/>
                <w:lang w:val="sr-Cyrl-BA"/>
              </w:rPr>
              <w:t>материјала</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68D">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Годишњи</w:t>
            </w:r>
            <w:r w:rsidR="00314068" w:rsidRPr="00295637">
              <w:rPr>
                <w:rFonts w:ascii="Times New Roman" w:hAnsi="Times New Roman"/>
                <w:szCs w:val="24"/>
                <w:lang w:val="sr-Cyrl-BA"/>
              </w:rPr>
              <w:t xml:space="preserve"> </w:t>
            </w:r>
            <w:r>
              <w:rPr>
                <w:rFonts w:ascii="Times New Roman" w:hAnsi="Times New Roman"/>
                <w:szCs w:val="24"/>
                <w:lang w:val="sr-Cyrl-BA"/>
              </w:rPr>
              <w:t>план</w:t>
            </w:r>
            <w:r w:rsidR="00314068" w:rsidRPr="00295637">
              <w:rPr>
                <w:rFonts w:ascii="Times New Roman" w:hAnsi="Times New Roman"/>
                <w:szCs w:val="24"/>
                <w:lang w:val="sr-Cyrl-BA"/>
              </w:rPr>
              <w:t xml:space="preserve"> </w:t>
            </w:r>
            <w:r>
              <w:rPr>
                <w:rFonts w:ascii="Times New Roman" w:hAnsi="Times New Roman"/>
                <w:szCs w:val="24"/>
                <w:lang w:val="sr-Cyrl-BA"/>
              </w:rPr>
              <w:t>рада</w:t>
            </w:r>
            <w:r w:rsidR="00314068" w:rsidRPr="00295637">
              <w:rPr>
                <w:rFonts w:ascii="Times New Roman" w:hAnsi="Times New Roman"/>
                <w:szCs w:val="24"/>
                <w:lang w:val="sr-Cyrl-BA"/>
              </w:rPr>
              <w:t xml:space="preserve"> </w:t>
            </w:r>
            <w:r>
              <w:rPr>
                <w:rFonts w:ascii="Times New Roman" w:hAnsi="Times New Roman"/>
                <w:szCs w:val="24"/>
                <w:lang w:val="sr-Cyrl-BA"/>
              </w:rPr>
              <w:t>Завода</w:t>
            </w:r>
            <w:r w:rsidR="00314068" w:rsidRPr="00295637">
              <w:rPr>
                <w:rFonts w:ascii="Times New Roman" w:hAnsi="Times New Roman"/>
                <w:szCs w:val="24"/>
                <w:lang w:val="sr-Cyrl-BA"/>
              </w:rPr>
              <w:t xml:space="preserve"> </w:t>
            </w:r>
            <w:r>
              <w:rPr>
                <w:rFonts w:ascii="Times New Roman" w:hAnsi="Times New Roman"/>
                <w:szCs w:val="24"/>
                <w:lang w:val="sr-Cyrl-BA"/>
              </w:rPr>
              <w:t>за</w:t>
            </w:r>
            <w:r w:rsidR="00314068" w:rsidRPr="00295637">
              <w:rPr>
                <w:rFonts w:ascii="Times New Roman" w:hAnsi="Times New Roman"/>
                <w:szCs w:val="24"/>
                <w:lang w:val="sr-Cyrl-BA"/>
              </w:rPr>
              <w:t xml:space="preserve"> </w:t>
            </w:r>
            <w:r>
              <w:rPr>
                <w:rFonts w:ascii="Times New Roman" w:hAnsi="Times New Roman"/>
                <w:szCs w:val="24"/>
                <w:lang w:val="sr-Cyrl-BA"/>
              </w:rPr>
              <w:t>образовање</w:t>
            </w:r>
            <w:r w:rsidR="00314068" w:rsidRPr="00295637">
              <w:rPr>
                <w:rFonts w:ascii="Times New Roman" w:hAnsi="Times New Roman"/>
                <w:szCs w:val="24"/>
                <w:lang w:val="sr-Cyrl-BA"/>
              </w:rPr>
              <w:t xml:space="preserve"> </w:t>
            </w:r>
            <w:r>
              <w:rPr>
                <w:rFonts w:ascii="Times New Roman" w:hAnsi="Times New Roman"/>
                <w:szCs w:val="24"/>
                <w:lang w:val="sr-Cyrl-BA"/>
              </w:rPr>
              <w:t>одраслих</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744">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Нацрт</w:t>
            </w:r>
            <w:r w:rsidR="00314068" w:rsidRPr="00295637">
              <w:rPr>
                <w:rFonts w:ascii="Times New Roman" w:hAnsi="Times New Roman"/>
                <w:szCs w:val="24"/>
                <w:lang w:val="sr-Cyrl-BA"/>
              </w:rPr>
              <w:t xml:space="preserve"> </w:t>
            </w:r>
            <w:r>
              <w:rPr>
                <w:rFonts w:ascii="Times New Roman" w:hAnsi="Times New Roman"/>
                <w:szCs w:val="24"/>
                <w:lang w:val="hr-HR"/>
              </w:rPr>
              <w:t>з</w:t>
            </w:r>
            <w:r>
              <w:rPr>
                <w:rFonts w:ascii="Times New Roman" w:hAnsi="Times New Roman"/>
                <w:szCs w:val="24"/>
                <w:lang w:val="sr-Cyrl-BA"/>
              </w:rPr>
              <w:t>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измјенама</w:t>
            </w:r>
            <w:r w:rsidR="00314068" w:rsidRPr="00295637">
              <w:rPr>
                <w:rFonts w:ascii="Times New Roman" w:hAnsi="Times New Roman"/>
                <w:szCs w:val="24"/>
                <w:lang w:val="sr-Cyrl-BA"/>
              </w:rPr>
              <w:t xml:space="preserve"> </w:t>
            </w:r>
            <w:r>
              <w:rPr>
                <w:rFonts w:ascii="Times New Roman" w:hAnsi="Times New Roman"/>
                <w:szCs w:val="24"/>
                <w:lang w:val="sr-Cyrl-BA"/>
              </w:rPr>
              <w:t>и</w:t>
            </w:r>
            <w:r w:rsidR="00314068" w:rsidRPr="00295637">
              <w:rPr>
                <w:rFonts w:ascii="Times New Roman" w:hAnsi="Times New Roman"/>
                <w:szCs w:val="24"/>
                <w:lang w:val="sr-Cyrl-BA"/>
              </w:rPr>
              <w:t xml:space="preserve"> </w:t>
            </w:r>
            <w:r>
              <w:rPr>
                <w:rFonts w:ascii="Times New Roman" w:hAnsi="Times New Roman"/>
                <w:szCs w:val="24"/>
                <w:lang w:val="sr-Cyrl-BA"/>
              </w:rPr>
              <w:t>допунама</w:t>
            </w:r>
            <w:r w:rsidR="00314068" w:rsidRPr="00295637">
              <w:rPr>
                <w:rFonts w:ascii="Times New Roman" w:hAnsi="Times New Roman"/>
                <w:szCs w:val="24"/>
                <w:lang w:val="sr-Cyrl-BA"/>
              </w:rPr>
              <w:t xml:space="preserve"> </w:t>
            </w:r>
            <w:r>
              <w:rPr>
                <w:rFonts w:ascii="Times New Roman" w:hAnsi="Times New Roman"/>
                <w:szCs w:val="24"/>
                <w:lang w:val="sr-Cyrl-BA"/>
              </w:rPr>
              <w:t>Закона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метрологији</w:t>
            </w:r>
            <w:r w:rsidR="00314068" w:rsidRPr="00295637">
              <w:rPr>
                <w:rFonts w:ascii="Times New Roman" w:hAnsi="Times New Roman"/>
                <w:szCs w:val="24"/>
                <w:lang w:val="sr-Cyrl-BA"/>
              </w:rPr>
              <w:t xml:space="preserve"> </w:t>
            </w:r>
            <w:r>
              <w:rPr>
                <w:rFonts w:ascii="Times New Roman" w:hAnsi="Times New Roman"/>
                <w:szCs w:val="24"/>
                <w:lang w:val="sr-Cyrl-BA"/>
              </w:rPr>
              <w:t>у</w:t>
            </w:r>
            <w:r w:rsidR="00314068" w:rsidRPr="00295637">
              <w:rPr>
                <w:rFonts w:ascii="Times New Roman" w:hAnsi="Times New Roman"/>
                <w:szCs w:val="24"/>
                <w:lang w:val="sr-Cyrl-BA"/>
              </w:rPr>
              <w:t xml:space="preserve"> </w:t>
            </w:r>
            <w:r>
              <w:rPr>
                <w:rFonts w:ascii="Times New Roman" w:hAnsi="Times New Roman"/>
                <w:szCs w:val="24"/>
                <w:lang w:val="sr-Cyrl-BA"/>
              </w:rPr>
              <w:t>Републици</w:t>
            </w:r>
            <w:r w:rsidR="00314068" w:rsidRPr="00295637">
              <w:rPr>
                <w:rFonts w:ascii="Times New Roman" w:hAnsi="Times New Roman"/>
                <w:szCs w:val="24"/>
                <w:lang w:val="sr-Cyrl-BA"/>
              </w:rPr>
              <w:t xml:space="preserve"> </w:t>
            </w:r>
            <w:r>
              <w:rPr>
                <w:rFonts w:ascii="Times New Roman" w:hAnsi="Times New Roman"/>
                <w:szCs w:val="24"/>
                <w:lang w:val="sr-Cyrl-BA"/>
              </w:rPr>
              <w:t>Српској</w:t>
            </w:r>
            <w:r w:rsidR="00862744">
              <w:rPr>
                <w:rFonts w:ascii="Times New Roman" w:hAnsi="Times New Roman"/>
                <w:szCs w:val="24"/>
                <w:lang w:val="hr-HR"/>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3A129A">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Приједлог</w:t>
            </w:r>
            <w:r w:rsidR="00314068" w:rsidRPr="00295637">
              <w:rPr>
                <w:rFonts w:ascii="Times New Roman" w:hAnsi="Times New Roman"/>
                <w:szCs w:val="24"/>
                <w:lang w:val="sr-Cyrl-BA"/>
              </w:rPr>
              <w:t xml:space="preserve"> </w:t>
            </w:r>
            <w:r>
              <w:rPr>
                <w:rFonts w:ascii="Times New Roman" w:hAnsi="Times New Roman"/>
                <w:szCs w:val="24"/>
                <w:lang w:val="hr-HR"/>
              </w:rPr>
              <w:t>з</w:t>
            </w:r>
            <w:r>
              <w:rPr>
                <w:rFonts w:ascii="Times New Roman" w:hAnsi="Times New Roman"/>
                <w:szCs w:val="24"/>
                <w:lang w:val="sr-Cyrl-BA"/>
              </w:rPr>
              <w:t>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измјенама</w:t>
            </w:r>
            <w:r w:rsidR="00314068" w:rsidRPr="00295637">
              <w:rPr>
                <w:rFonts w:ascii="Times New Roman" w:hAnsi="Times New Roman"/>
                <w:szCs w:val="24"/>
                <w:lang w:val="sr-Cyrl-BA"/>
              </w:rPr>
              <w:t xml:space="preserve"> </w:t>
            </w:r>
            <w:r>
              <w:rPr>
                <w:rFonts w:ascii="Times New Roman" w:hAnsi="Times New Roman"/>
                <w:szCs w:val="24"/>
                <w:lang w:val="sr-Cyrl-BA"/>
              </w:rPr>
              <w:t>и</w:t>
            </w:r>
            <w:r w:rsidR="00314068" w:rsidRPr="00295637">
              <w:rPr>
                <w:rFonts w:ascii="Times New Roman" w:hAnsi="Times New Roman"/>
                <w:szCs w:val="24"/>
                <w:lang w:val="sr-Cyrl-BA"/>
              </w:rPr>
              <w:t xml:space="preserve"> </w:t>
            </w:r>
            <w:r>
              <w:rPr>
                <w:rFonts w:ascii="Times New Roman" w:hAnsi="Times New Roman"/>
                <w:szCs w:val="24"/>
                <w:lang w:val="sr-Cyrl-BA"/>
              </w:rPr>
              <w:t>допунама</w:t>
            </w:r>
            <w:r w:rsidR="00314068" w:rsidRPr="00295637">
              <w:rPr>
                <w:rFonts w:ascii="Times New Roman" w:hAnsi="Times New Roman"/>
                <w:szCs w:val="24"/>
                <w:lang w:val="sr-Cyrl-BA"/>
              </w:rPr>
              <w:t xml:space="preserve"> </w:t>
            </w:r>
            <w:r>
              <w:rPr>
                <w:rFonts w:ascii="Times New Roman" w:hAnsi="Times New Roman"/>
                <w:szCs w:val="24"/>
                <w:lang w:val="sr-Cyrl-BA"/>
              </w:rPr>
              <w:t>Закона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развоју</w:t>
            </w:r>
            <w:r w:rsidR="00314068" w:rsidRPr="00295637">
              <w:rPr>
                <w:rFonts w:ascii="Times New Roman" w:hAnsi="Times New Roman"/>
                <w:szCs w:val="24"/>
                <w:lang w:val="sr-Cyrl-BA"/>
              </w:rPr>
              <w:t xml:space="preserve"> </w:t>
            </w:r>
            <w:r>
              <w:rPr>
                <w:rFonts w:ascii="Times New Roman" w:hAnsi="Times New Roman"/>
                <w:szCs w:val="24"/>
                <w:lang w:val="sr-Cyrl-BA"/>
              </w:rPr>
              <w:t>малих</w:t>
            </w:r>
            <w:r w:rsidR="00314068" w:rsidRPr="00295637">
              <w:rPr>
                <w:rFonts w:ascii="Times New Roman" w:hAnsi="Times New Roman"/>
                <w:szCs w:val="24"/>
                <w:lang w:val="sr-Cyrl-BA"/>
              </w:rPr>
              <w:t xml:space="preserve"> </w:t>
            </w:r>
            <w:r>
              <w:rPr>
                <w:rFonts w:ascii="Times New Roman" w:hAnsi="Times New Roman"/>
                <w:szCs w:val="24"/>
                <w:lang w:val="sr-Cyrl-BA"/>
              </w:rPr>
              <w:t>и</w:t>
            </w:r>
            <w:r w:rsidR="00314068" w:rsidRPr="00295637">
              <w:rPr>
                <w:rFonts w:ascii="Times New Roman" w:hAnsi="Times New Roman"/>
                <w:szCs w:val="24"/>
                <w:lang w:val="sr-Cyrl-BA"/>
              </w:rPr>
              <w:t xml:space="preserve"> </w:t>
            </w:r>
            <w:r>
              <w:rPr>
                <w:rFonts w:ascii="Times New Roman" w:hAnsi="Times New Roman"/>
                <w:szCs w:val="24"/>
                <w:lang w:val="sr-Cyrl-BA"/>
              </w:rPr>
              <w:t>средњих</w:t>
            </w:r>
            <w:r w:rsidR="00314068" w:rsidRPr="00295637">
              <w:rPr>
                <w:rFonts w:ascii="Times New Roman" w:hAnsi="Times New Roman"/>
                <w:szCs w:val="24"/>
                <w:lang w:val="sr-Cyrl-BA"/>
              </w:rPr>
              <w:t xml:space="preserve"> </w:t>
            </w:r>
            <w:r>
              <w:rPr>
                <w:rFonts w:ascii="Times New Roman" w:hAnsi="Times New Roman"/>
                <w:szCs w:val="24"/>
                <w:lang w:val="sr-Cyrl-BA"/>
              </w:rPr>
              <w:t>п</w:t>
            </w:r>
            <w:r>
              <w:rPr>
                <w:rFonts w:ascii="Times New Roman" w:hAnsi="Times New Roman"/>
                <w:szCs w:val="24"/>
                <w:lang w:val="hr-HR"/>
              </w:rPr>
              <w:t>ре</w:t>
            </w:r>
            <w:r>
              <w:rPr>
                <w:rFonts w:ascii="Times New Roman" w:hAnsi="Times New Roman"/>
                <w:szCs w:val="24"/>
                <w:lang w:val="sr-Cyrl-BA"/>
              </w:rPr>
              <w:t>дузећа</w:t>
            </w:r>
            <w:r w:rsidR="00862744">
              <w:rPr>
                <w:rFonts w:ascii="Times New Roman" w:hAnsi="Times New Roman"/>
                <w:szCs w:val="24"/>
                <w:lang w:val="hr-HR"/>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3A129A">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Нацрт</w:t>
            </w:r>
            <w:r w:rsidR="00314068" w:rsidRPr="00295637">
              <w:rPr>
                <w:rFonts w:ascii="Times New Roman" w:hAnsi="Times New Roman"/>
                <w:szCs w:val="24"/>
                <w:lang w:val="sr-Cyrl-BA"/>
              </w:rPr>
              <w:t xml:space="preserve"> </w:t>
            </w:r>
            <w:r>
              <w:rPr>
                <w:rFonts w:ascii="Times New Roman" w:hAnsi="Times New Roman"/>
                <w:szCs w:val="24"/>
                <w:lang w:val="hr-HR"/>
              </w:rPr>
              <w:t>з</w:t>
            </w:r>
            <w:r>
              <w:rPr>
                <w:rFonts w:ascii="Times New Roman" w:hAnsi="Times New Roman"/>
                <w:szCs w:val="24"/>
                <w:lang w:val="sr-Cyrl-BA"/>
              </w:rPr>
              <w:t>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самосталним</w:t>
            </w:r>
            <w:r w:rsidR="00314068" w:rsidRPr="00295637">
              <w:rPr>
                <w:rFonts w:ascii="Times New Roman" w:hAnsi="Times New Roman"/>
                <w:szCs w:val="24"/>
                <w:lang w:val="sr-Cyrl-BA"/>
              </w:rPr>
              <w:t xml:space="preserve"> </w:t>
            </w:r>
            <w:r>
              <w:rPr>
                <w:rFonts w:ascii="Times New Roman" w:hAnsi="Times New Roman"/>
                <w:szCs w:val="24"/>
                <w:lang w:val="sr-Cyrl-BA"/>
              </w:rPr>
              <w:t>п</w:t>
            </w:r>
            <w:r>
              <w:rPr>
                <w:rFonts w:ascii="Times New Roman" w:hAnsi="Times New Roman"/>
                <w:szCs w:val="24"/>
                <w:lang w:val="hr-HR"/>
              </w:rPr>
              <w:t>ре</w:t>
            </w:r>
            <w:r>
              <w:rPr>
                <w:rFonts w:ascii="Times New Roman" w:hAnsi="Times New Roman"/>
                <w:szCs w:val="24"/>
                <w:lang w:val="sr-Cyrl-BA"/>
              </w:rPr>
              <w:t>дузетницима</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3A129A">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Приједлог</w:t>
            </w:r>
            <w:r w:rsidR="00314068" w:rsidRPr="00295637">
              <w:rPr>
                <w:rFonts w:ascii="Times New Roman" w:hAnsi="Times New Roman"/>
                <w:szCs w:val="24"/>
                <w:lang w:val="sr-Cyrl-BA"/>
              </w:rPr>
              <w:t xml:space="preserve"> </w:t>
            </w:r>
            <w:r>
              <w:rPr>
                <w:rFonts w:ascii="Times New Roman" w:hAnsi="Times New Roman"/>
                <w:szCs w:val="24"/>
                <w:lang w:val="sr-Cyrl-BA"/>
              </w:rPr>
              <w:t>Закона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самосталним</w:t>
            </w:r>
            <w:r w:rsidR="00314068" w:rsidRPr="00295637">
              <w:rPr>
                <w:rFonts w:ascii="Times New Roman" w:hAnsi="Times New Roman"/>
                <w:szCs w:val="24"/>
                <w:lang w:val="sr-Cyrl-BA"/>
              </w:rPr>
              <w:t xml:space="preserve"> </w:t>
            </w:r>
            <w:r>
              <w:rPr>
                <w:rFonts w:ascii="Times New Roman" w:hAnsi="Times New Roman"/>
                <w:szCs w:val="24"/>
                <w:lang w:val="sr-Cyrl-BA"/>
              </w:rPr>
              <w:t>п</w:t>
            </w:r>
            <w:r>
              <w:rPr>
                <w:rFonts w:ascii="Times New Roman" w:hAnsi="Times New Roman"/>
                <w:szCs w:val="24"/>
                <w:lang w:val="hr-HR"/>
              </w:rPr>
              <w:t>ре</w:t>
            </w:r>
            <w:r>
              <w:rPr>
                <w:rFonts w:ascii="Times New Roman" w:hAnsi="Times New Roman"/>
                <w:szCs w:val="24"/>
                <w:lang w:val="sr-Cyrl-BA"/>
              </w:rPr>
              <w:t>дузетницима</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68D">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Приједлог</w:t>
            </w:r>
            <w:r w:rsidR="00314068" w:rsidRPr="00295637">
              <w:rPr>
                <w:rFonts w:ascii="Times New Roman" w:hAnsi="Times New Roman"/>
                <w:szCs w:val="24"/>
                <w:lang w:val="sr-Cyrl-BA"/>
              </w:rPr>
              <w:t xml:space="preserve"> </w:t>
            </w:r>
            <w:r>
              <w:rPr>
                <w:rFonts w:ascii="Times New Roman" w:hAnsi="Times New Roman"/>
                <w:szCs w:val="24"/>
                <w:lang w:val="sr-Cyrl-BA"/>
              </w:rPr>
              <w:t>Закона</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заштити</w:t>
            </w:r>
            <w:r w:rsidR="00314068" w:rsidRPr="00295637">
              <w:rPr>
                <w:rFonts w:ascii="Times New Roman" w:hAnsi="Times New Roman"/>
                <w:szCs w:val="24"/>
                <w:lang w:val="sr-Cyrl-BA"/>
              </w:rPr>
              <w:t xml:space="preserve"> </w:t>
            </w:r>
            <w:r>
              <w:rPr>
                <w:rFonts w:ascii="Times New Roman" w:hAnsi="Times New Roman"/>
                <w:szCs w:val="24"/>
                <w:lang w:val="sr-Cyrl-BA"/>
              </w:rPr>
              <w:t>природе</w:t>
            </w:r>
            <w:r w:rsidR="00314068" w:rsidRPr="00295637">
              <w:rPr>
                <w:rFonts w:ascii="Times New Roman" w:hAnsi="Times New Roman"/>
                <w:szCs w:val="24"/>
                <w:lang w:val="sr-Cyrl-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68D">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Правилник</w:t>
            </w:r>
            <w:r w:rsidR="00314068" w:rsidRPr="00295637">
              <w:rPr>
                <w:rFonts w:ascii="Times New Roman" w:hAnsi="Times New Roman"/>
                <w:szCs w:val="24"/>
                <w:lang w:val="sr-Cyrl-BA"/>
              </w:rPr>
              <w:t xml:space="preserve"> </w:t>
            </w:r>
            <w:r>
              <w:rPr>
                <w:rFonts w:ascii="Times New Roman" w:hAnsi="Times New Roman"/>
                <w:szCs w:val="24"/>
                <w:lang w:val="sr-Cyrl-BA"/>
              </w:rPr>
              <w:t>о</w:t>
            </w:r>
            <w:r w:rsidR="00314068" w:rsidRPr="00295637">
              <w:rPr>
                <w:rFonts w:ascii="Times New Roman" w:hAnsi="Times New Roman"/>
                <w:szCs w:val="24"/>
                <w:lang w:val="sr-Cyrl-BA"/>
              </w:rPr>
              <w:t xml:space="preserve"> </w:t>
            </w:r>
            <w:r>
              <w:rPr>
                <w:rFonts w:ascii="Times New Roman" w:hAnsi="Times New Roman"/>
                <w:szCs w:val="24"/>
                <w:lang w:val="sr-Cyrl-BA"/>
              </w:rPr>
              <w:t>активном</w:t>
            </w:r>
            <w:r w:rsidR="00314068" w:rsidRPr="00295637">
              <w:rPr>
                <w:rFonts w:ascii="Times New Roman" w:hAnsi="Times New Roman"/>
                <w:szCs w:val="24"/>
                <w:lang w:val="sr-Cyrl-BA"/>
              </w:rPr>
              <w:t xml:space="preserve"> </w:t>
            </w:r>
            <w:r>
              <w:rPr>
                <w:rFonts w:ascii="Times New Roman" w:hAnsi="Times New Roman"/>
                <w:szCs w:val="24"/>
                <w:lang w:val="sr-Cyrl-BA"/>
              </w:rPr>
              <w:t>тражењу</w:t>
            </w:r>
            <w:r w:rsidR="00314068" w:rsidRPr="00295637">
              <w:rPr>
                <w:rFonts w:ascii="Times New Roman" w:hAnsi="Times New Roman"/>
                <w:szCs w:val="24"/>
                <w:lang w:val="sr-Cyrl-BA"/>
              </w:rPr>
              <w:t xml:space="preserve"> </w:t>
            </w:r>
            <w:r>
              <w:rPr>
                <w:rFonts w:ascii="Times New Roman" w:hAnsi="Times New Roman"/>
                <w:szCs w:val="24"/>
                <w:lang w:val="sr-Cyrl-BA"/>
              </w:rPr>
              <w:t>посла</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744">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Приједлог</w:t>
            </w:r>
            <w:r w:rsidR="00314068" w:rsidRPr="00295637">
              <w:rPr>
                <w:rFonts w:ascii="Times New Roman" w:hAnsi="Times New Roman"/>
                <w:szCs w:val="24"/>
                <w:lang w:val="sr-Cyrl-BA"/>
              </w:rPr>
              <w:t xml:space="preserve"> </w:t>
            </w:r>
            <w:r>
              <w:rPr>
                <w:rFonts w:ascii="Times New Roman" w:hAnsi="Times New Roman"/>
                <w:szCs w:val="24"/>
                <w:lang w:val="hr-HR"/>
              </w:rPr>
              <w:t>с</w:t>
            </w:r>
            <w:r>
              <w:rPr>
                <w:rFonts w:ascii="Times New Roman" w:hAnsi="Times New Roman"/>
                <w:szCs w:val="24"/>
                <w:lang w:val="sr-Cyrl-BA"/>
              </w:rPr>
              <w:t>тратегије</w:t>
            </w:r>
            <w:r w:rsidR="00314068" w:rsidRPr="00295637">
              <w:rPr>
                <w:rFonts w:ascii="Times New Roman" w:hAnsi="Times New Roman"/>
                <w:szCs w:val="24"/>
                <w:lang w:val="sr-Cyrl-BA"/>
              </w:rPr>
              <w:t xml:space="preserve"> </w:t>
            </w:r>
            <w:r>
              <w:rPr>
                <w:rFonts w:ascii="Times New Roman" w:hAnsi="Times New Roman"/>
                <w:szCs w:val="24"/>
                <w:lang w:val="sr-Cyrl-BA"/>
              </w:rPr>
              <w:t>за</w:t>
            </w:r>
            <w:r w:rsidR="00314068" w:rsidRPr="00295637">
              <w:rPr>
                <w:rFonts w:ascii="Times New Roman" w:hAnsi="Times New Roman"/>
                <w:szCs w:val="24"/>
                <w:lang w:val="sr-Cyrl-BA"/>
              </w:rPr>
              <w:t xml:space="preserve"> </w:t>
            </w:r>
            <w:r>
              <w:rPr>
                <w:rFonts w:ascii="Times New Roman" w:hAnsi="Times New Roman"/>
                <w:szCs w:val="24"/>
                <w:lang w:val="sr-Cyrl-BA"/>
              </w:rPr>
              <w:t>унапређење</w:t>
            </w:r>
            <w:r w:rsidR="00314068" w:rsidRPr="00295637">
              <w:rPr>
                <w:rFonts w:ascii="Times New Roman" w:hAnsi="Times New Roman"/>
                <w:szCs w:val="24"/>
                <w:lang w:val="sr-Cyrl-BA"/>
              </w:rPr>
              <w:t xml:space="preserve"> </w:t>
            </w:r>
            <w:r>
              <w:rPr>
                <w:rFonts w:ascii="Times New Roman" w:hAnsi="Times New Roman"/>
                <w:szCs w:val="24"/>
                <w:lang w:val="sr-Cyrl-BA"/>
              </w:rPr>
              <w:t>и</w:t>
            </w:r>
            <w:r w:rsidR="00314068" w:rsidRPr="00295637">
              <w:rPr>
                <w:rFonts w:ascii="Times New Roman" w:hAnsi="Times New Roman"/>
                <w:szCs w:val="24"/>
                <w:lang w:val="sr-Cyrl-BA"/>
              </w:rPr>
              <w:t xml:space="preserve"> </w:t>
            </w:r>
            <w:r>
              <w:rPr>
                <w:rFonts w:ascii="Times New Roman" w:hAnsi="Times New Roman"/>
                <w:szCs w:val="24"/>
                <w:lang w:val="sr-Cyrl-BA"/>
              </w:rPr>
              <w:t>развој</w:t>
            </w:r>
            <w:r w:rsidR="00314068" w:rsidRPr="00295637">
              <w:rPr>
                <w:rFonts w:ascii="Times New Roman" w:hAnsi="Times New Roman"/>
                <w:szCs w:val="24"/>
                <w:lang w:val="sr-Cyrl-BA"/>
              </w:rPr>
              <w:t xml:space="preserve"> </w:t>
            </w:r>
            <w:r>
              <w:rPr>
                <w:rFonts w:ascii="Times New Roman" w:hAnsi="Times New Roman"/>
                <w:szCs w:val="24"/>
                <w:lang w:val="sr-Cyrl-BA"/>
              </w:rPr>
              <w:t>волонтирања</w:t>
            </w:r>
            <w:r w:rsidR="00314068" w:rsidRPr="00295637">
              <w:rPr>
                <w:rFonts w:ascii="Times New Roman" w:hAnsi="Times New Roman"/>
                <w:szCs w:val="24"/>
                <w:lang w:val="sr-Cyrl-BA"/>
              </w:rPr>
              <w:t xml:space="preserve"> </w:t>
            </w:r>
            <w:r>
              <w:rPr>
                <w:rFonts w:ascii="Times New Roman" w:hAnsi="Times New Roman"/>
                <w:szCs w:val="24"/>
                <w:lang w:val="sr-Cyrl-BA"/>
              </w:rPr>
              <w:t>у</w:t>
            </w:r>
            <w:r w:rsidR="00314068" w:rsidRPr="00295637">
              <w:rPr>
                <w:rFonts w:ascii="Times New Roman" w:hAnsi="Times New Roman"/>
                <w:szCs w:val="24"/>
                <w:lang w:val="sr-Cyrl-BA"/>
              </w:rPr>
              <w:t xml:space="preserve"> </w:t>
            </w:r>
            <w:r>
              <w:rPr>
                <w:rFonts w:ascii="Times New Roman" w:hAnsi="Times New Roman"/>
                <w:szCs w:val="24"/>
                <w:lang w:val="sr-Cyrl-BA"/>
              </w:rPr>
              <w:t>Републици</w:t>
            </w:r>
            <w:r w:rsidR="00314068" w:rsidRPr="00295637">
              <w:rPr>
                <w:rFonts w:ascii="Times New Roman" w:hAnsi="Times New Roman"/>
                <w:szCs w:val="24"/>
                <w:lang w:val="sr-Cyrl-BA"/>
              </w:rPr>
              <w:t xml:space="preserve"> </w:t>
            </w:r>
            <w:r>
              <w:rPr>
                <w:rFonts w:ascii="Times New Roman" w:hAnsi="Times New Roman"/>
                <w:szCs w:val="24"/>
                <w:lang w:val="sr-Cyrl-BA"/>
              </w:rPr>
              <w:t>Српској</w:t>
            </w:r>
            <w:r w:rsidR="00862744">
              <w:rPr>
                <w:rFonts w:ascii="Times New Roman" w:hAnsi="Times New Roman"/>
                <w:szCs w:val="24"/>
                <w:lang w:val="hr-HR"/>
              </w:rPr>
              <w:t xml:space="preserve"> </w:t>
            </w:r>
            <w:r>
              <w:rPr>
                <w:rFonts w:ascii="Times New Roman" w:hAnsi="Times New Roman"/>
                <w:szCs w:val="24"/>
                <w:lang w:val="hr-HR"/>
              </w:rPr>
              <w:t>и</w:t>
            </w:r>
          </w:p>
        </w:tc>
      </w:tr>
      <w:tr w:rsidR="00314068" w:rsidRPr="00295637" w:rsidTr="00314068">
        <w:trPr>
          <w:trHeight w:val="20"/>
        </w:trPr>
        <w:tc>
          <w:tcPr>
            <w:tcW w:w="5000" w:type="pct"/>
            <w:shd w:val="clear" w:color="auto" w:fill="FFFFFF" w:themeFill="background1"/>
            <w:vAlign w:val="center"/>
          </w:tcPr>
          <w:p w:rsidR="00314068" w:rsidRPr="00295637" w:rsidRDefault="00C6214E" w:rsidP="0086268D">
            <w:pPr>
              <w:pStyle w:val="ListParagraph"/>
              <w:numPr>
                <w:ilvl w:val="0"/>
                <w:numId w:val="19"/>
              </w:numPr>
              <w:ind w:right="-23"/>
              <w:rPr>
                <w:rFonts w:ascii="Times New Roman" w:hAnsi="Times New Roman"/>
                <w:szCs w:val="24"/>
                <w:lang w:val="sr-Cyrl-BA"/>
              </w:rPr>
            </w:pPr>
            <w:r>
              <w:rPr>
                <w:rFonts w:ascii="Times New Roman" w:hAnsi="Times New Roman"/>
                <w:szCs w:val="24"/>
                <w:lang w:val="sr-Cyrl-BA"/>
              </w:rPr>
              <w:t>План</w:t>
            </w:r>
            <w:r w:rsidR="00314068" w:rsidRPr="00295637">
              <w:rPr>
                <w:rFonts w:ascii="Times New Roman" w:hAnsi="Times New Roman"/>
                <w:szCs w:val="24"/>
                <w:lang w:val="sr-Cyrl-BA"/>
              </w:rPr>
              <w:t xml:space="preserve"> </w:t>
            </w:r>
            <w:r>
              <w:rPr>
                <w:rFonts w:ascii="Times New Roman" w:hAnsi="Times New Roman"/>
                <w:szCs w:val="24"/>
                <w:lang w:val="sr-Cyrl-BA"/>
              </w:rPr>
              <w:t>образовања</w:t>
            </w:r>
            <w:r w:rsidR="00314068" w:rsidRPr="00295637">
              <w:rPr>
                <w:rFonts w:ascii="Times New Roman" w:hAnsi="Times New Roman"/>
                <w:szCs w:val="24"/>
                <w:lang w:val="sr-Cyrl-BA"/>
              </w:rPr>
              <w:t xml:space="preserve"> </w:t>
            </w:r>
            <w:r>
              <w:rPr>
                <w:rFonts w:ascii="Times New Roman" w:hAnsi="Times New Roman"/>
                <w:szCs w:val="24"/>
                <w:lang w:val="sr-Cyrl-BA"/>
              </w:rPr>
              <w:t>одраслих</w:t>
            </w:r>
            <w:r w:rsidR="00A93929" w:rsidRPr="00295637">
              <w:rPr>
                <w:rFonts w:ascii="Times New Roman" w:hAnsi="Times New Roman"/>
                <w:szCs w:val="24"/>
                <w:lang w:val="bs-Latn-BA"/>
              </w:rPr>
              <w:t xml:space="preserve"> </w:t>
            </w:r>
            <w:r>
              <w:rPr>
                <w:rFonts w:ascii="Times New Roman" w:hAnsi="Times New Roman"/>
                <w:szCs w:val="24"/>
                <w:lang w:val="bs-Latn-BA"/>
              </w:rPr>
              <w:t>РС</w:t>
            </w:r>
            <w:r w:rsidR="00862744">
              <w:rPr>
                <w:rFonts w:ascii="Times New Roman" w:hAnsi="Times New Roman"/>
                <w:szCs w:val="24"/>
                <w:lang w:val="bs-Latn-BA"/>
              </w:rPr>
              <w:t>.</w:t>
            </w:r>
          </w:p>
        </w:tc>
      </w:tr>
    </w:tbl>
    <w:p w:rsidR="00314068" w:rsidRPr="00295637" w:rsidRDefault="00314068" w:rsidP="0086268D">
      <w:pPr>
        <w:pStyle w:val="ListParagraph"/>
        <w:ind w:left="1440"/>
        <w:jc w:val="both"/>
        <w:rPr>
          <w:rFonts w:ascii="Times New Roman" w:eastAsia="Calibri" w:hAnsi="Times New Roman"/>
          <w:szCs w:val="24"/>
          <w:lang w:val="bs-Latn-BA"/>
        </w:rPr>
      </w:pPr>
    </w:p>
    <w:p w:rsidR="00EE56B8" w:rsidRPr="00295637" w:rsidRDefault="00602C40" w:rsidP="0086268D">
      <w:pPr>
        <w:ind w:left="1440" w:hanging="360"/>
        <w:rPr>
          <w:rFonts w:ascii="Times New Roman" w:eastAsia="Calibri" w:hAnsi="Times New Roman"/>
          <w:szCs w:val="24"/>
          <w:lang w:val="bs-Latn-BA"/>
        </w:rPr>
      </w:pPr>
      <w:r w:rsidRPr="00295637">
        <w:rPr>
          <w:rFonts w:ascii="Times New Roman" w:eastAsia="Calibri" w:hAnsi="Times New Roman"/>
          <w:szCs w:val="24"/>
          <w:lang w:val="bs-Latn-BA"/>
        </w:rPr>
        <w:br w:type="page"/>
      </w:r>
    </w:p>
    <w:p w:rsidR="001553F4" w:rsidRPr="00295637" w:rsidRDefault="00DD46D1" w:rsidP="0086268D">
      <w:pPr>
        <w:pStyle w:val="Heading3"/>
        <w:numPr>
          <w:ilvl w:val="0"/>
          <w:numId w:val="0"/>
        </w:numPr>
        <w:tabs>
          <w:tab w:val="clear" w:pos="709"/>
          <w:tab w:val="left" w:pos="450"/>
        </w:tabs>
        <w:spacing w:after="0" w:line="240" w:lineRule="auto"/>
        <w:ind w:left="360" w:hanging="360"/>
        <w:rPr>
          <w:rFonts w:ascii="Times New Roman" w:hAnsi="Times New Roman" w:cs="Times New Roman"/>
        </w:rPr>
      </w:pPr>
      <w:bookmarkStart w:id="78" w:name="_Toc195016610"/>
      <w:r w:rsidRPr="00295637">
        <w:rPr>
          <w:rFonts w:ascii="Times New Roman" w:hAnsi="Times New Roman" w:cs="Times New Roman"/>
        </w:rPr>
        <w:t>2</w:t>
      </w:r>
      <w:r w:rsidR="0042017A" w:rsidRPr="00295637">
        <w:rPr>
          <w:rFonts w:ascii="Times New Roman" w:hAnsi="Times New Roman" w:cs="Times New Roman"/>
        </w:rPr>
        <w:t xml:space="preserve">. </w:t>
      </w:r>
      <w:r w:rsidR="00C6214E">
        <w:rPr>
          <w:rFonts w:ascii="Times New Roman" w:hAnsi="Times New Roman" w:cs="Times New Roman"/>
        </w:rPr>
        <w:t>Списак</w:t>
      </w:r>
      <w:r w:rsidR="002D2D24" w:rsidRPr="00295637">
        <w:rPr>
          <w:rFonts w:ascii="Times New Roman" w:hAnsi="Times New Roman" w:cs="Times New Roman"/>
        </w:rPr>
        <w:t xml:space="preserve"> </w:t>
      </w:r>
      <w:r w:rsidR="00C6214E">
        <w:rPr>
          <w:rFonts w:ascii="Times New Roman" w:hAnsi="Times New Roman" w:cs="Times New Roman"/>
        </w:rPr>
        <w:t>одржаних</w:t>
      </w:r>
      <w:r w:rsidR="002D2D24" w:rsidRPr="00295637">
        <w:rPr>
          <w:rFonts w:ascii="Times New Roman" w:hAnsi="Times New Roman" w:cs="Times New Roman"/>
        </w:rPr>
        <w:t xml:space="preserve"> </w:t>
      </w:r>
      <w:r w:rsidR="00C6214E">
        <w:rPr>
          <w:rFonts w:ascii="Times New Roman" w:hAnsi="Times New Roman" w:cs="Times New Roman"/>
        </w:rPr>
        <w:t>обука</w:t>
      </w:r>
      <w:r w:rsidR="002D2D24" w:rsidRPr="00295637">
        <w:rPr>
          <w:rFonts w:ascii="Times New Roman" w:hAnsi="Times New Roman" w:cs="Times New Roman"/>
        </w:rPr>
        <w:t xml:space="preserve">, </w:t>
      </w:r>
      <w:r w:rsidR="00C6214E">
        <w:rPr>
          <w:rFonts w:ascii="Times New Roman" w:hAnsi="Times New Roman" w:cs="Times New Roman"/>
        </w:rPr>
        <w:t>организ</w:t>
      </w:r>
      <w:r w:rsidR="00A74E20">
        <w:rPr>
          <w:rFonts w:ascii="Times New Roman" w:hAnsi="Times New Roman" w:cs="Times New Roman"/>
          <w:lang w:val="sr-Cyrl-BA"/>
        </w:rPr>
        <w:t>ованих</w:t>
      </w:r>
      <w:r w:rsidR="002D2D24" w:rsidRPr="00295637">
        <w:rPr>
          <w:rFonts w:ascii="Times New Roman" w:hAnsi="Times New Roman" w:cs="Times New Roman"/>
        </w:rPr>
        <w:t xml:space="preserve"> </w:t>
      </w:r>
      <w:r w:rsidR="00C6214E">
        <w:rPr>
          <w:rFonts w:ascii="Times New Roman" w:hAnsi="Times New Roman" w:cs="Times New Roman"/>
        </w:rPr>
        <w:t>догађаја</w:t>
      </w:r>
      <w:r w:rsidR="002D2D24" w:rsidRPr="00295637">
        <w:rPr>
          <w:rFonts w:ascii="Times New Roman" w:hAnsi="Times New Roman" w:cs="Times New Roman"/>
        </w:rPr>
        <w:t xml:space="preserve"> (</w:t>
      </w:r>
      <w:r w:rsidR="00C6214E">
        <w:rPr>
          <w:rFonts w:ascii="Times New Roman" w:hAnsi="Times New Roman" w:cs="Times New Roman"/>
        </w:rPr>
        <w:t>конференције</w:t>
      </w:r>
      <w:r w:rsidR="002D2D24" w:rsidRPr="00295637">
        <w:rPr>
          <w:rFonts w:ascii="Times New Roman" w:hAnsi="Times New Roman" w:cs="Times New Roman"/>
        </w:rPr>
        <w:t xml:space="preserve">, </w:t>
      </w:r>
      <w:r w:rsidR="00C6214E">
        <w:rPr>
          <w:rFonts w:ascii="Times New Roman" w:hAnsi="Times New Roman" w:cs="Times New Roman"/>
        </w:rPr>
        <w:t>већи</w:t>
      </w:r>
      <w:r w:rsidR="002D2D24" w:rsidRPr="00295637">
        <w:rPr>
          <w:rFonts w:ascii="Times New Roman" w:hAnsi="Times New Roman" w:cs="Times New Roman"/>
        </w:rPr>
        <w:t xml:space="preserve"> </w:t>
      </w:r>
      <w:r w:rsidR="00C6214E">
        <w:rPr>
          <w:rFonts w:ascii="Times New Roman" w:hAnsi="Times New Roman" w:cs="Times New Roman"/>
        </w:rPr>
        <w:t>састанци</w:t>
      </w:r>
      <w:r w:rsidR="002D2D24" w:rsidRPr="00295637">
        <w:rPr>
          <w:rFonts w:ascii="Times New Roman" w:hAnsi="Times New Roman" w:cs="Times New Roman"/>
        </w:rPr>
        <w:t xml:space="preserve">) </w:t>
      </w:r>
      <w:r w:rsidR="00C6214E">
        <w:rPr>
          <w:rFonts w:ascii="Times New Roman" w:hAnsi="Times New Roman" w:cs="Times New Roman"/>
        </w:rPr>
        <w:t>и</w:t>
      </w:r>
      <w:r w:rsidR="002D2D24" w:rsidRPr="00295637">
        <w:rPr>
          <w:rFonts w:ascii="Times New Roman" w:hAnsi="Times New Roman" w:cs="Times New Roman"/>
        </w:rPr>
        <w:t xml:space="preserve"> </w:t>
      </w:r>
      <w:r w:rsidR="00C6214E">
        <w:rPr>
          <w:rFonts w:ascii="Times New Roman" w:hAnsi="Times New Roman" w:cs="Times New Roman"/>
        </w:rPr>
        <w:t>публикација</w:t>
      </w:r>
      <w:bookmarkEnd w:id="78"/>
    </w:p>
    <w:p w:rsidR="00C5568C" w:rsidRPr="00295637" w:rsidRDefault="00C5568C" w:rsidP="0086268D">
      <w:pPr>
        <w:pStyle w:val="ListParagraph"/>
        <w:numPr>
          <w:ilvl w:val="0"/>
          <w:numId w:val="18"/>
        </w:numPr>
        <w:ind w:left="1440" w:hanging="450"/>
        <w:rPr>
          <w:rFonts w:ascii="Times New Roman" w:hAnsi="Times New Roman"/>
        </w:rPr>
      </w:pPr>
      <w:r w:rsidRPr="00295637">
        <w:rPr>
          <w:rFonts w:ascii="Times New Roman" w:hAnsi="Times New Roman"/>
        </w:rPr>
        <w:t>„</w:t>
      </w:r>
      <w:r w:rsidR="00C6214E">
        <w:rPr>
          <w:rFonts w:ascii="Times New Roman" w:hAnsi="Times New Roman"/>
        </w:rPr>
        <w:t>Жене</w:t>
      </w:r>
      <w:r w:rsidRPr="00295637">
        <w:rPr>
          <w:rFonts w:ascii="Times New Roman" w:hAnsi="Times New Roman"/>
        </w:rPr>
        <w:t xml:space="preserve"> </w:t>
      </w:r>
      <w:r w:rsidR="00C6214E">
        <w:rPr>
          <w:rFonts w:ascii="Times New Roman" w:hAnsi="Times New Roman"/>
        </w:rPr>
        <w:t>и</w:t>
      </w:r>
      <w:r w:rsidRPr="00295637">
        <w:rPr>
          <w:rFonts w:ascii="Times New Roman" w:hAnsi="Times New Roman"/>
        </w:rPr>
        <w:t xml:space="preserve"> </w:t>
      </w:r>
      <w:r w:rsidR="00C6214E">
        <w:rPr>
          <w:rFonts w:ascii="Times New Roman" w:hAnsi="Times New Roman"/>
        </w:rPr>
        <w:t>мушкарци</w:t>
      </w:r>
      <w:r w:rsidRPr="00295637">
        <w:rPr>
          <w:rFonts w:ascii="Times New Roman" w:hAnsi="Times New Roman"/>
        </w:rPr>
        <w:t xml:space="preserve"> </w:t>
      </w:r>
      <w:r w:rsidR="00C6214E">
        <w:rPr>
          <w:rFonts w:ascii="Times New Roman" w:hAnsi="Times New Roman"/>
        </w:rPr>
        <w:t>у</w:t>
      </w:r>
      <w:r w:rsidRPr="00295637">
        <w:rPr>
          <w:rFonts w:ascii="Times New Roman" w:hAnsi="Times New Roman"/>
        </w:rPr>
        <w:t xml:space="preserve"> </w:t>
      </w:r>
      <w:r w:rsidR="00C6214E">
        <w:rPr>
          <w:rFonts w:ascii="Times New Roman" w:hAnsi="Times New Roman"/>
        </w:rPr>
        <w:t>Босни</w:t>
      </w:r>
      <w:r w:rsidRPr="00295637">
        <w:rPr>
          <w:rFonts w:ascii="Times New Roman" w:hAnsi="Times New Roman"/>
        </w:rPr>
        <w:t xml:space="preserve"> </w:t>
      </w:r>
      <w:r w:rsidR="00C6214E">
        <w:rPr>
          <w:rFonts w:ascii="Times New Roman" w:hAnsi="Times New Roman"/>
        </w:rPr>
        <w:t>и</w:t>
      </w:r>
      <w:r w:rsidRPr="00295637">
        <w:rPr>
          <w:rFonts w:ascii="Times New Roman" w:hAnsi="Times New Roman"/>
        </w:rPr>
        <w:t xml:space="preserve"> </w:t>
      </w:r>
      <w:r w:rsidR="00C6214E">
        <w:rPr>
          <w:rFonts w:ascii="Times New Roman" w:hAnsi="Times New Roman"/>
        </w:rPr>
        <w:t>Херцеговини</w:t>
      </w:r>
      <w:r w:rsidRPr="00295637">
        <w:rPr>
          <w:rFonts w:ascii="Times New Roman" w:hAnsi="Times New Roman"/>
        </w:rPr>
        <w:t xml:space="preserve"> 2023“ </w:t>
      </w:r>
      <w:r w:rsidR="00C6214E">
        <w:rPr>
          <w:rFonts w:ascii="Times New Roman" w:hAnsi="Times New Roman"/>
        </w:rPr>
        <w:t>промоција</w:t>
      </w:r>
      <w:r w:rsidRPr="00295637">
        <w:rPr>
          <w:rFonts w:ascii="Times New Roman" w:hAnsi="Times New Roman"/>
        </w:rPr>
        <w:t xml:space="preserve"> </w:t>
      </w:r>
      <w:r w:rsidR="00C6214E">
        <w:rPr>
          <w:rFonts w:ascii="Times New Roman" w:hAnsi="Times New Roman"/>
        </w:rPr>
        <w:t>публикације</w:t>
      </w:r>
      <w:r w:rsidRPr="00295637">
        <w:rPr>
          <w:rFonts w:ascii="Times New Roman" w:hAnsi="Times New Roman"/>
        </w:rPr>
        <w:t xml:space="preserve"> (</w:t>
      </w:r>
      <w:r w:rsidR="00C6214E">
        <w:rPr>
          <w:rFonts w:ascii="Times New Roman" w:hAnsi="Times New Roman"/>
        </w:rPr>
        <w:t>фебруар</w:t>
      </w:r>
      <w:r w:rsidRPr="00295637">
        <w:rPr>
          <w:rFonts w:ascii="Times New Roman" w:hAnsi="Times New Roman"/>
        </w:rPr>
        <w:t xml:space="preserve"> 2024</w:t>
      </w:r>
      <w:r w:rsidR="00862744">
        <w:rPr>
          <w:rFonts w:ascii="Times New Roman" w:hAnsi="Times New Roman"/>
        </w:rPr>
        <w:t xml:space="preserve">. </w:t>
      </w:r>
      <w:r w:rsidR="00C6214E">
        <w:rPr>
          <w:rFonts w:ascii="Times New Roman" w:hAnsi="Times New Roman"/>
        </w:rPr>
        <w:t>године</w:t>
      </w:r>
      <w:r w:rsidRPr="00295637">
        <w:rPr>
          <w:rFonts w:ascii="Times New Roman" w:hAnsi="Times New Roman"/>
        </w:rPr>
        <w:t>)</w:t>
      </w:r>
      <w:r w:rsidR="00862744">
        <w:rPr>
          <w:rFonts w:ascii="Times New Roman" w:hAnsi="Times New Roman"/>
        </w:rPr>
        <w:t>;</w:t>
      </w:r>
    </w:p>
    <w:p w:rsidR="00F1739A" w:rsidRPr="00295637" w:rsidRDefault="00C6214E" w:rsidP="0086268D">
      <w:pPr>
        <w:pStyle w:val="ListParagraph"/>
        <w:numPr>
          <w:ilvl w:val="0"/>
          <w:numId w:val="18"/>
        </w:numPr>
        <w:ind w:left="1440" w:hanging="450"/>
        <w:rPr>
          <w:rFonts w:ascii="Times New Roman" w:hAnsi="Times New Roman"/>
        </w:rPr>
      </w:pPr>
      <w:r>
        <w:rPr>
          <w:rFonts w:ascii="Times New Roman" w:hAnsi="Times New Roman"/>
        </w:rPr>
        <w:t>Индекс</w:t>
      </w:r>
      <w:r w:rsidR="00F1739A" w:rsidRPr="00295637">
        <w:rPr>
          <w:rFonts w:ascii="Times New Roman" w:hAnsi="Times New Roman"/>
        </w:rPr>
        <w:t xml:space="preserve"> </w:t>
      </w:r>
      <w:r>
        <w:rPr>
          <w:rFonts w:ascii="Times New Roman" w:hAnsi="Times New Roman"/>
        </w:rPr>
        <w:t>равноправности</w:t>
      </w:r>
      <w:r w:rsidR="00F1739A" w:rsidRPr="00295637">
        <w:rPr>
          <w:rFonts w:ascii="Times New Roman" w:hAnsi="Times New Roman"/>
        </w:rPr>
        <w:t xml:space="preserve"> </w:t>
      </w:r>
      <w:r>
        <w:rPr>
          <w:rFonts w:ascii="Times New Roman" w:hAnsi="Times New Roman"/>
        </w:rPr>
        <w:t>полова</w:t>
      </w:r>
      <w:r w:rsidR="00F1739A" w:rsidRPr="00295637">
        <w:rPr>
          <w:rFonts w:ascii="Times New Roman" w:hAnsi="Times New Roman"/>
        </w:rPr>
        <w:t xml:space="preserve"> 2023</w:t>
      </w:r>
      <w:r w:rsidR="00862744">
        <w:rPr>
          <w:rFonts w:ascii="Times New Roman" w:hAnsi="Times New Roman"/>
        </w:rPr>
        <w:t xml:space="preserve">. </w:t>
      </w:r>
      <w:r>
        <w:rPr>
          <w:rFonts w:ascii="Times New Roman" w:hAnsi="Times New Roman"/>
        </w:rPr>
        <w:t>године</w:t>
      </w:r>
      <w:r w:rsidR="00F1739A" w:rsidRPr="00295637">
        <w:rPr>
          <w:rFonts w:ascii="Times New Roman" w:hAnsi="Times New Roman"/>
        </w:rPr>
        <w:t xml:space="preserve"> </w:t>
      </w:r>
      <w:r>
        <w:rPr>
          <w:rFonts w:ascii="Times New Roman" w:hAnsi="Times New Roman"/>
        </w:rPr>
        <w:t>за</w:t>
      </w:r>
      <w:r w:rsidR="00F1739A" w:rsidRPr="00295637">
        <w:rPr>
          <w:rFonts w:ascii="Times New Roman" w:hAnsi="Times New Roman"/>
        </w:rPr>
        <w:t xml:space="preserve"> </w:t>
      </w:r>
      <w:r>
        <w:rPr>
          <w:rFonts w:ascii="Times New Roman" w:hAnsi="Times New Roman"/>
        </w:rPr>
        <w:t>Босну</w:t>
      </w:r>
      <w:r w:rsidR="00F1739A" w:rsidRPr="00295637">
        <w:rPr>
          <w:rFonts w:ascii="Times New Roman" w:hAnsi="Times New Roman"/>
        </w:rPr>
        <w:t xml:space="preserve"> </w:t>
      </w:r>
      <w:r>
        <w:rPr>
          <w:rFonts w:ascii="Times New Roman" w:hAnsi="Times New Roman"/>
        </w:rPr>
        <w:t>и</w:t>
      </w:r>
      <w:r w:rsidR="00F1739A" w:rsidRPr="00295637">
        <w:rPr>
          <w:rFonts w:ascii="Times New Roman" w:hAnsi="Times New Roman"/>
        </w:rPr>
        <w:t xml:space="preserve"> </w:t>
      </w:r>
      <w:r>
        <w:rPr>
          <w:rFonts w:ascii="Times New Roman" w:hAnsi="Times New Roman"/>
        </w:rPr>
        <w:t>Херцеговину</w:t>
      </w:r>
      <w:r w:rsidR="00F1739A" w:rsidRPr="00295637">
        <w:rPr>
          <w:rFonts w:ascii="Times New Roman" w:hAnsi="Times New Roman"/>
        </w:rPr>
        <w:t xml:space="preserve"> (</w:t>
      </w:r>
      <w:r>
        <w:rPr>
          <w:rFonts w:ascii="Times New Roman" w:hAnsi="Times New Roman"/>
        </w:rPr>
        <w:t>публикација</w:t>
      </w:r>
      <w:r w:rsidR="00F1739A" w:rsidRPr="00295637">
        <w:rPr>
          <w:rFonts w:ascii="Times New Roman" w:hAnsi="Times New Roman"/>
        </w:rPr>
        <w:t xml:space="preserve"> </w:t>
      </w:r>
      <w:r>
        <w:rPr>
          <w:rFonts w:ascii="Times New Roman" w:hAnsi="Times New Roman"/>
        </w:rPr>
        <w:t>и</w:t>
      </w:r>
      <w:r w:rsidR="00F1739A" w:rsidRPr="00295637">
        <w:rPr>
          <w:rFonts w:ascii="Times New Roman" w:hAnsi="Times New Roman"/>
        </w:rPr>
        <w:t xml:space="preserve"> </w:t>
      </w:r>
      <w:r>
        <w:rPr>
          <w:rFonts w:ascii="Times New Roman" w:hAnsi="Times New Roman"/>
        </w:rPr>
        <w:t>јавна</w:t>
      </w:r>
      <w:r w:rsidR="00F1739A" w:rsidRPr="00295637">
        <w:rPr>
          <w:rFonts w:ascii="Times New Roman" w:hAnsi="Times New Roman"/>
        </w:rPr>
        <w:t xml:space="preserve"> </w:t>
      </w:r>
      <w:r>
        <w:rPr>
          <w:rFonts w:ascii="Times New Roman" w:hAnsi="Times New Roman"/>
        </w:rPr>
        <w:t>промоција</w:t>
      </w:r>
      <w:r w:rsidR="00F1739A" w:rsidRPr="00295637">
        <w:rPr>
          <w:rFonts w:ascii="Times New Roman" w:hAnsi="Times New Roman"/>
        </w:rPr>
        <w:t xml:space="preserve">, </w:t>
      </w:r>
      <w:r>
        <w:rPr>
          <w:rFonts w:ascii="Times New Roman" w:hAnsi="Times New Roman"/>
        </w:rPr>
        <w:t>март</w:t>
      </w:r>
      <w:r w:rsidR="00F1739A" w:rsidRPr="00295637">
        <w:rPr>
          <w:rFonts w:ascii="Times New Roman" w:hAnsi="Times New Roman"/>
        </w:rPr>
        <w:t xml:space="preserve"> 2024</w:t>
      </w:r>
      <w:r w:rsidR="00862744">
        <w:rPr>
          <w:rFonts w:ascii="Times New Roman" w:hAnsi="Times New Roman"/>
        </w:rPr>
        <w:t>.</w:t>
      </w:r>
      <w:r w:rsidR="00F1739A" w:rsidRPr="00295637">
        <w:rPr>
          <w:rFonts w:ascii="Times New Roman" w:hAnsi="Times New Roman"/>
        </w:rPr>
        <w:t>)</w:t>
      </w:r>
      <w:r w:rsidR="00862744">
        <w:rPr>
          <w:rFonts w:ascii="Times New Roman" w:hAnsi="Times New Roman"/>
        </w:rPr>
        <w:t>;</w:t>
      </w:r>
    </w:p>
    <w:p w:rsidR="00F1739A" w:rsidRPr="00295637" w:rsidRDefault="00C6214E" w:rsidP="0086268D">
      <w:pPr>
        <w:pStyle w:val="ListParagraph"/>
        <w:numPr>
          <w:ilvl w:val="0"/>
          <w:numId w:val="18"/>
        </w:numPr>
        <w:ind w:left="1440" w:hanging="450"/>
        <w:rPr>
          <w:rFonts w:ascii="Times New Roman" w:eastAsiaTheme="minorEastAsia" w:hAnsi="Times New Roman"/>
          <w:szCs w:val="24"/>
          <w:lang w:val="en-US"/>
        </w:rPr>
      </w:pPr>
      <w:r>
        <w:rPr>
          <w:rFonts w:ascii="Times New Roman" w:hAnsi="Times New Roman"/>
        </w:rPr>
        <w:t>Конференција</w:t>
      </w:r>
      <w:r w:rsidR="00F1739A" w:rsidRPr="00295637">
        <w:rPr>
          <w:rFonts w:ascii="Times New Roman" w:hAnsi="Times New Roman"/>
        </w:rPr>
        <w:t xml:space="preserve"> </w:t>
      </w:r>
      <w:r>
        <w:rPr>
          <w:rFonts w:ascii="Times New Roman" w:hAnsi="Times New Roman"/>
        </w:rPr>
        <w:t>добрих</w:t>
      </w:r>
      <w:r w:rsidR="00F1739A" w:rsidRPr="00295637">
        <w:rPr>
          <w:rFonts w:ascii="Times New Roman" w:hAnsi="Times New Roman"/>
        </w:rPr>
        <w:t xml:space="preserve"> </w:t>
      </w:r>
      <w:r>
        <w:rPr>
          <w:rFonts w:ascii="Times New Roman" w:hAnsi="Times New Roman"/>
        </w:rPr>
        <w:t>пракси</w:t>
      </w:r>
      <w:r w:rsidR="00F1739A" w:rsidRPr="00295637">
        <w:rPr>
          <w:rFonts w:ascii="Times New Roman" w:hAnsi="Times New Roman"/>
        </w:rPr>
        <w:t xml:space="preserve"> </w:t>
      </w:r>
      <w:r>
        <w:rPr>
          <w:rFonts w:ascii="Times New Roman" w:hAnsi="Times New Roman"/>
        </w:rPr>
        <w:t>земаља</w:t>
      </w:r>
      <w:r w:rsidR="00F1739A" w:rsidRPr="00295637">
        <w:rPr>
          <w:rFonts w:ascii="Times New Roman" w:hAnsi="Times New Roman"/>
        </w:rPr>
        <w:t xml:space="preserve"> </w:t>
      </w:r>
      <w:r>
        <w:rPr>
          <w:rFonts w:ascii="Times New Roman" w:hAnsi="Times New Roman"/>
        </w:rPr>
        <w:t>чланица</w:t>
      </w:r>
      <w:r w:rsidR="00F1739A" w:rsidRPr="00295637">
        <w:rPr>
          <w:rFonts w:ascii="Times New Roman" w:hAnsi="Times New Roman"/>
        </w:rPr>
        <w:t xml:space="preserve"> </w:t>
      </w:r>
      <w:r w:rsidR="00A74E20">
        <w:rPr>
          <w:rFonts w:ascii="Times New Roman" w:hAnsi="Times New Roman"/>
          <w:lang w:val="sr-Cyrl-BA"/>
        </w:rPr>
        <w:t>Савјета</w:t>
      </w:r>
      <w:r w:rsidR="00F1739A" w:rsidRPr="00295637">
        <w:rPr>
          <w:rFonts w:ascii="Times New Roman" w:hAnsi="Times New Roman"/>
        </w:rPr>
        <w:t xml:space="preserve"> </w:t>
      </w:r>
      <w:r>
        <w:rPr>
          <w:rFonts w:ascii="Times New Roman" w:hAnsi="Times New Roman"/>
        </w:rPr>
        <w:t>Европе</w:t>
      </w:r>
      <w:r w:rsidR="00F1739A" w:rsidRPr="00295637">
        <w:rPr>
          <w:rFonts w:ascii="Times New Roman" w:hAnsi="Times New Roman"/>
        </w:rPr>
        <w:t xml:space="preserve"> </w:t>
      </w:r>
      <w:r>
        <w:rPr>
          <w:rFonts w:ascii="Times New Roman" w:hAnsi="Times New Roman"/>
          <w:color w:val="161616"/>
          <w:szCs w:val="24"/>
          <w:shd w:val="clear" w:color="auto" w:fill="FFFFFF"/>
        </w:rPr>
        <w:t>у</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вези</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са</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увођењем</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правне</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дефиниције</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сексуалног</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насиља</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засноване</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на</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одсуству</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слободно</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датог</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пристанка</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у</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кривичном</w:t>
      </w:r>
      <w:r w:rsidR="00C5568C" w:rsidRPr="00295637">
        <w:rPr>
          <w:rFonts w:ascii="Times New Roman" w:hAnsi="Times New Roman"/>
          <w:color w:val="161616"/>
          <w:szCs w:val="24"/>
          <w:shd w:val="clear" w:color="auto" w:fill="FFFFFF"/>
        </w:rPr>
        <w:t xml:space="preserve"> </w:t>
      </w:r>
      <w:r>
        <w:rPr>
          <w:rFonts w:ascii="Times New Roman" w:hAnsi="Times New Roman"/>
          <w:color w:val="161616"/>
          <w:szCs w:val="24"/>
          <w:shd w:val="clear" w:color="auto" w:fill="FFFFFF"/>
        </w:rPr>
        <w:t>законодавству</w:t>
      </w:r>
      <w:r w:rsidR="00F1739A" w:rsidRPr="00295637">
        <w:rPr>
          <w:rFonts w:ascii="Times New Roman" w:hAnsi="Times New Roman"/>
        </w:rPr>
        <w:t xml:space="preserve"> (</w:t>
      </w:r>
      <w:r>
        <w:rPr>
          <w:rFonts w:ascii="Times New Roman" w:hAnsi="Times New Roman"/>
        </w:rPr>
        <w:t>октобар</w:t>
      </w:r>
      <w:r w:rsidR="00862744">
        <w:rPr>
          <w:rFonts w:ascii="Times New Roman" w:hAnsi="Times New Roman"/>
        </w:rPr>
        <w:t>,</w:t>
      </w:r>
      <w:r w:rsidR="00F1739A" w:rsidRPr="00295637">
        <w:rPr>
          <w:rFonts w:ascii="Times New Roman" w:hAnsi="Times New Roman"/>
        </w:rPr>
        <w:t xml:space="preserve"> 2024</w:t>
      </w:r>
      <w:r w:rsidR="00862744">
        <w:rPr>
          <w:rFonts w:ascii="Times New Roman" w:hAnsi="Times New Roman"/>
        </w:rPr>
        <w:t>.</w:t>
      </w:r>
      <w:r w:rsidR="00F1739A" w:rsidRPr="00295637">
        <w:rPr>
          <w:rFonts w:ascii="Times New Roman" w:hAnsi="Times New Roman"/>
        </w:rPr>
        <w:t>)</w:t>
      </w:r>
      <w:r w:rsidR="00862744">
        <w:rPr>
          <w:rFonts w:ascii="Times New Roman" w:hAnsi="Times New Roman"/>
        </w:rPr>
        <w:t>;</w:t>
      </w:r>
    </w:p>
    <w:p w:rsidR="00F1739A" w:rsidRPr="00295637" w:rsidRDefault="00C6214E" w:rsidP="0086268D">
      <w:pPr>
        <w:pStyle w:val="ListParagraph"/>
        <w:numPr>
          <w:ilvl w:val="0"/>
          <w:numId w:val="18"/>
        </w:numPr>
        <w:ind w:left="1440" w:hanging="450"/>
        <w:rPr>
          <w:rFonts w:ascii="Times New Roman" w:eastAsiaTheme="minorEastAsia" w:hAnsi="Times New Roman"/>
          <w:szCs w:val="24"/>
          <w:lang w:val="en-US"/>
        </w:rPr>
      </w:pPr>
      <w:r>
        <w:rPr>
          <w:rFonts w:ascii="Times New Roman" w:hAnsi="Times New Roman"/>
          <w:szCs w:val="24"/>
        </w:rPr>
        <w:t>Двије</w:t>
      </w:r>
      <w:r w:rsidR="00F1739A" w:rsidRPr="00295637">
        <w:rPr>
          <w:rFonts w:ascii="Times New Roman" w:hAnsi="Times New Roman"/>
          <w:szCs w:val="24"/>
        </w:rPr>
        <w:t xml:space="preserve"> </w:t>
      </w:r>
      <w:r>
        <w:rPr>
          <w:rFonts w:ascii="Times New Roman" w:hAnsi="Times New Roman"/>
          <w:szCs w:val="24"/>
          <w:lang w:val="hr-HR"/>
        </w:rPr>
        <w:t>радионице</w:t>
      </w:r>
      <w:r w:rsidR="00F1739A" w:rsidRPr="00295637">
        <w:rPr>
          <w:rFonts w:ascii="Times New Roman" w:hAnsi="Times New Roman"/>
          <w:szCs w:val="24"/>
          <w:lang w:val="hr-HR"/>
        </w:rPr>
        <w:t xml:space="preserve"> </w:t>
      </w:r>
      <w:r>
        <w:rPr>
          <w:rFonts w:ascii="Times New Roman" w:hAnsi="Times New Roman"/>
          <w:szCs w:val="24"/>
          <w:lang w:val="hr-HR"/>
        </w:rPr>
        <w:t>на</w:t>
      </w:r>
      <w:r w:rsidR="00F1739A" w:rsidRPr="00295637">
        <w:rPr>
          <w:rFonts w:ascii="Times New Roman" w:hAnsi="Times New Roman"/>
          <w:szCs w:val="24"/>
          <w:lang w:val="hr-HR"/>
        </w:rPr>
        <w:t xml:space="preserve"> </w:t>
      </w:r>
      <w:r>
        <w:rPr>
          <w:rFonts w:ascii="Times New Roman" w:hAnsi="Times New Roman"/>
          <w:szCs w:val="24"/>
          <w:lang w:val="hr-HR"/>
        </w:rPr>
        <w:t>тему</w:t>
      </w:r>
      <w:r w:rsidR="00F1739A" w:rsidRPr="00295637">
        <w:rPr>
          <w:rFonts w:ascii="Times New Roman" w:hAnsi="Times New Roman"/>
          <w:szCs w:val="24"/>
          <w:lang w:val="hr-HR"/>
        </w:rPr>
        <w:t xml:space="preserve"> </w:t>
      </w:r>
      <w:r w:rsidR="00A74E20">
        <w:rPr>
          <w:rFonts w:ascii="Times New Roman" w:hAnsi="Times New Roman"/>
          <w:szCs w:val="24"/>
          <w:lang w:val="sr-Cyrl-BA"/>
        </w:rPr>
        <w:t>спровођења</w:t>
      </w:r>
      <w:r w:rsidR="003A129A">
        <w:rPr>
          <w:rFonts w:ascii="Times New Roman" w:hAnsi="Times New Roman"/>
          <w:szCs w:val="24"/>
          <w:lang w:val="hr-HR"/>
        </w:rPr>
        <w:t xml:space="preserve"> </w:t>
      </w:r>
      <w:r>
        <w:rPr>
          <w:rFonts w:ascii="Times New Roman" w:hAnsi="Times New Roman"/>
          <w:szCs w:val="24"/>
          <w:lang w:val="hr-HR"/>
        </w:rPr>
        <w:t>ГРЕВИО</w:t>
      </w:r>
      <w:r w:rsidR="003A129A">
        <w:rPr>
          <w:rFonts w:ascii="Times New Roman" w:hAnsi="Times New Roman"/>
          <w:szCs w:val="24"/>
          <w:lang w:val="hr-HR"/>
        </w:rPr>
        <w:t xml:space="preserve"> </w:t>
      </w:r>
      <w:r w:rsidR="003601A7">
        <w:rPr>
          <w:rFonts w:ascii="Times New Roman" w:hAnsi="Times New Roman"/>
          <w:szCs w:val="24"/>
          <w:lang w:val="sr-Cyrl-BA"/>
        </w:rPr>
        <w:t>п</w:t>
      </w:r>
      <w:r>
        <w:rPr>
          <w:rFonts w:ascii="Times New Roman" w:hAnsi="Times New Roman"/>
          <w:szCs w:val="24"/>
          <w:lang w:val="hr-HR"/>
        </w:rPr>
        <w:t>репорука</w:t>
      </w:r>
      <w:r w:rsidR="00F1739A" w:rsidRPr="00295637">
        <w:rPr>
          <w:rFonts w:ascii="Times New Roman" w:hAnsi="Times New Roman"/>
          <w:szCs w:val="24"/>
          <w:lang w:val="hr-HR"/>
        </w:rPr>
        <w:t xml:space="preserve"> </w:t>
      </w:r>
      <w:r>
        <w:rPr>
          <w:rFonts w:ascii="Times New Roman" w:hAnsi="Times New Roman"/>
          <w:szCs w:val="24"/>
          <w:lang w:val="hr-HR"/>
        </w:rPr>
        <w:t>за</w:t>
      </w:r>
      <w:r w:rsidR="00F1739A" w:rsidRPr="00295637">
        <w:rPr>
          <w:rFonts w:ascii="Times New Roman" w:hAnsi="Times New Roman"/>
          <w:szCs w:val="24"/>
          <w:lang w:val="hr-HR"/>
        </w:rPr>
        <w:t xml:space="preserve"> </w:t>
      </w:r>
      <w:r>
        <w:rPr>
          <w:rFonts w:ascii="Times New Roman" w:hAnsi="Times New Roman"/>
          <w:szCs w:val="24"/>
          <w:lang w:val="hr-HR"/>
        </w:rPr>
        <w:t>Босну</w:t>
      </w:r>
      <w:r w:rsidR="00F1739A" w:rsidRPr="00295637">
        <w:rPr>
          <w:rFonts w:ascii="Times New Roman" w:hAnsi="Times New Roman"/>
          <w:szCs w:val="24"/>
          <w:lang w:val="hr-HR"/>
        </w:rPr>
        <w:t xml:space="preserve"> </w:t>
      </w:r>
      <w:r>
        <w:rPr>
          <w:rFonts w:ascii="Times New Roman" w:hAnsi="Times New Roman"/>
          <w:szCs w:val="24"/>
          <w:lang w:val="hr-HR"/>
        </w:rPr>
        <w:t>и</w:t>
      </w:r>
      <w:r w:rsidR="00F1739A" w:rsidRPr="00295637">
        <w:rPr>
          <w:rFonts w:ascii="Times New Roman" w:hAnsi="Times New Roman"/>
          <w:szCs w:val="24"/>
          <w:lang w:val="hr-HR"/>
        </w:rPr>
        <w:t xml:space="preserve"> </w:t>
      </w:r>
      <w:r>
        <w:rPr>
          <w:rFonts w:ascii="Times New Roman" w:hAnsi="Times New Roman"/>
          <w:szCs w:val="24"/>
          <w:lang w:val="hr-HR"/>
        </w:rPr>
        <w:t>Херцеговину</w:t>
      </w:r>
      <w:r w:rsidR="00F1739A" w:rsidRPr="00295637">
        <w:rPr>
          <w:rFonts w:ascii="Times New Roman" w:hAnsi="Times New Roman"/>
          <w:szCs w:val="24"/>
          <w:lang w:val="hr-HR"/>
        </w:rPr>
        <w:t xml:space="preserve">, </w:t>
      </w:r>
      <w:r>
        <w:rPr>
          <w:rFonts w:ascii="Times New Roman" w:hAnsi="Times New Roman"/>
          <w:szCs w:val="24"/>
        </w:rPr>
        <w:t>уз</w:t>
      </w:r>
      <w:r w:rsidR="00F1739A" w:rsidRPr="00295637">
        <w:rPr>
          <w:rFonts w:ascii="Times New Roman" w:hAnsi="Times New Roman"/>
          <w:szCs w:val="24"/>
        </w:rPr>
        <w:t xml:space="preserve"> </w:t>
      </w:r>
      <w:r>
        <w:rPr>
          <w:rFonts w:ascii="Times New Roman" w:hAnsi="Times New Roman"/>
          <w:szCs w:val="24"/>
        </w:rPr>
        <w:t>подршку</w:t>
      </w:r>
      <w:r w:rsidR="00F1739A" w:rsidRPr="00295637">
        <w:rPr>
          <w:rFonts w:ascii="Times New Roman" w:hAnsi="Times New Roman"/>
          <w:szCs w:val="24"/>
        </w:rPr>
        <w:t xml:space="preserve"> </w:t>
      </w:r>
      <w:r>
        <w:rPr>
          <w:rFonts w:ascii="Times New Roman" w:hAnsi="Times New Roman"/>
          <w:szCs w:val="24"/>
        </w:rPr>
        <w:t>регионалног</w:t>
      </w:r>
      <w:r w:rsidR="00F1739A" w:rsidRPr="00295637">
        <w:rPr>
          <w:rFonts w:ascii="Times New Roman" w:hAnsi="Times New Roman"/>
          <w:szCs w:val="24"/>
        </w:rPr>
        <w:t xml:space="preserve"> </w:t>
      </w:r>
      <w:r>
        <w:rPr>
          <w:rFonts w:ascii="Times New Roman" w:hAnsi="Times New Roman"/>
          <w:szCs w:val="24"/>
        </w:rPr>
        <w:t>пројекта</w:t>
      </w:r>
      <w:r w:rsidR="00F1739A" w:rsidRPr="00295637">
        <w:rPr>
          <w:rFonts w:ascii="Times New Roman" w:hAnsi="Times New Roman"/>
          <w:szCs w:val="24"/>
        </w:rPr>
        <w:t xml:space="preserve"> </w:t>
      </w:r>
      <w:r w:rsidR="00A74E20">
        <w:rPr>
          <w:rFonts w:ascii="Times New Roman" w:hAnsi="Times New Roman"/>
          <w:szCs w:val="24"/>
          <w:lang w:val="sr-Cyrl-BA"/>
        </w:rPr>
        <w:t>Савјета</w:t>
      </w:r>
      <w:r w:rsidR="00F1739A" w:rsidRPr="00295637">
        <w:rPr>
          <w:rFonts w:ascii="Times New Roman" w:hAnsi="Times New Roman"/>
          <w:szCs w:val="24"/>
        </w:rPr>
        <w:t xml:space="preserve"> </w:t>
      </w:r>
      <w:r>
        <w:rPr>
          <w:rFonts w:ascii="Times New Roman" w:hAnsi="Times New Roman"/>
          <w:szCs w:val="24"/>
        </w:rPr>
        <w:t>Европе</w:t>
      </w:r>
      <w:r w:rsidR="00F1739A" w:rsidRPr="00295637">
        <w:rPr>
          <w:rFonts w:ascii="Times New Roman" w:hAnsi="Times New Roman"/>
          <w:szCs w:val="24"/>
        </w:rPr>
        <w:t xml:space="preserve"> </w:t>
      </w:r>
      <w:r>
        <w:rPr>
          <w:rFonts w:ascii="Times New Roman" w:hAnsi="Times New Roman"/>
          <w:szCs w:val="24"/>
        </w:rPr>
        <w:t>о</w:t>
      </w:r>
      <w:r w:rsidR="00F1739A" w:rsidRPr="00295637">
        <w:rPr>
          <w:rFonts w:ascii="Times New Roman" w:hAnsi="Times New Roman"/>
          <w:szCs w:val="24"/>
        </w:rPr>
        <w:t xml:space="preserve"> </w:t>
      </w:r>
      <w:r>
        <w:rPr>
          <w:rFonts w:ascii="Times New Roman" w:hAnsi="Times New Roman"/>
          <w:szCs w:val="24"/>
        </w:rPr>
        <w:t>приступу</w:t>
      </w:r>
      <w:r w:rsidR="00F1739A" w:rsidRPr="00295637">
        <w:rPr>
          <w:rFonts w:ascii="Times New Roman" w:hAnsi="Times New Roman"/>
          <w:szCs w:val="24"/>
        </w:rPr>
        <w:t xml:space="preserve"> </w:t>
      </w:r>
      <w:r>
        <w:rPr>
          <w:rFonts w:ascii="Times New Roman" w:hAnsi="Times New Roman"/>
          <w:szCs w:val="24"/>
        </w:rPr>
        <w:t>жена</w:t>
      </w:r>
      <w:r w:rsidR="00F1739A" w:rsidRPr="00295637">
        <w:rPr>
          <w:rFonts w:ascii="Times New Roman" w:hAnsi="Times New Roman"/>
          <w:szCs w:val="24"/>
        </w:rPr>
        <w:t xml:space="preserve"> </w:t>
      </w:r>
      <w:r>
        <w:rPr>
          <w:rFonts w:ascii="Times New Roman" w:hAnsi="Times New Roman"/>
          <w:szCs w:val="24"/>
        </w:rPr>
        <w:t>правди</w:t>
      </w:r>
      <w:r w:rsidR="00F1739A" w:rsidRPr="00295637">
        <w:rPr>
          <w:rFonts w:ascii="Times New Roman" w:hAnsi="Times New Roman"/>
          <w:szCs w:val="24"/>
        </w:rPr>
        <w:t xml:space="preserve"> </w:t>
      </w:r>
      <w:r>
        <w:rPr>
          <w:rFonts w:ascii="Times New Roman" w:hAnsi="Times New Roman"/>
          <w:szCs w:val="24"/>
        </w:rPr>
        <w:t>на</w:t>
      </w:r>
      <w:r w:rsidR="00F1739A" w:rsidRPr="00295637">
        <w:rPr>
          <w:rFonts w:ascii="Times New Roman" w:hAnsi="Times New Roman"/>
          <w:szCs w:val="24"/>
        </w:rPr>
        <w:t xml:space="preserve"> </w:t>
      </w:r>
      <w:r>
        <w:rPr>
          <w:rFonts w:ascii="Times New Roman" w:hAnsi="Times New Roman"/>
          <w:szCs w:val="24"/>
        </w:rPr>
        <w:t>Западном</w:t>
      </w:r>
      <w:r w:rsidR="00F1739A" w:rsidRPr="00295637">
        <w:rPr>
          <w:rFonts w:ascii="Times New Roman" w:hAnsi="Times New Roman"/>
          <w:szCs w:val="24"/>
        </w:rPr>
        <w:t xml:space="preserve"> </w:t>
      </w:r>
      <w:r>
        <w:rPr>
          <w:rFonts w:ascii="Times New Roman" w:hAnsi="Times New Roman"/>
          <w:szCs w:val="24"/>
        </w:rPr>
        <w:t>Балкану</w:t>
      </w:r>
      <w:r w:rsidR="00F1739A" w:rsidRPr="00295637">
        <w:rPr>
          <w:rFonts w:ascii="Times New Roman" w:hAnsi="Times New Roman"/>
          <w:szCs w:val="24"/>
        </w:rPr>
        <w:t xml:space="preserve"> </w:t>
      </w:r>
      <w:r>
        <w:rPr>
          <w:rFonts w:ascii="Times New Roman" w:hAnsi="Times New Roman"/>
          <w:szCs w:val="24"/>
        </w:rPr>
        <w:t>у</w:t>
      </w:r>
      <w:r w:rsidR="00F1739A" w:rsidRPr="00295637">
        <w:rPr>
          <w:rFonts w:ascii="Times New Roman" w:hAnsi="Times New Roman"/>
          <w:szCs w:val="24"/>
        </w:rPr>
        <w:t xml:space="preserve"> </w:t>
      </w:r>
      <w:r>
        <w:rPr>
          <w:rFonts w:ascii="Times New Roman" w:hAnsi="Times New Roman"/>
          <w:szCs w:val="24"/>
        </w:rPr>
        <w:t>контексту</w:t>
      </w:r>
      <w:r w:rsidR="00F1739A" w:rsidRPr="00295637">
        <w:rPr>
          <w:rFonts w:ascii="Times New Roman" w:hAnsi="Times New Roman"/>
          <w:szCs w:val="24"/>
        </w:rPr>
        <w:t xml:space="preserve"> </w:t>
      </w:r>
      <w:r>
        <w:rPr>
          <w:rFonts w:ascii="Times New Roman" w:hAnsi="Times New Roman"/>
          <w:szCs w:val="24"/>
        </w:rPr>
        <w:t>заједничког</w:t>
      </w:r>
      <w:r w:rsidR="00F1739A" w:rsidRPr="00295637">
        <w:rPr>
          <w:rFonts w:ascii="Times New Roman" w:hAnsi="Times New Roman"/>
          <w:szCs w:val="24"/>
        </w:rPr>
        <w:t xml:space="preserve"> </w:t>
      </w:r>
      <w:r>
        <w:rPr>
          <w:rFonts w:ascii="Times New Roman" w:hAnsi="Times New Roman"/>
          <w:szCs w:val="24"/>
        </w:rPr>
        <w:t>програма</w:t>
      </w:r>
      <w:r w:rsidR="00F1739A" w:rsidRPr="00295637">
        <w:rPr>
          <w:rFonts w:ascii="Times New Roman" w:hAnsi="Times New Roman"/>
          <w:szCs w:val="24"/>
        </w:rPr>
        <w:t xml:space="preserve"> </w:t>
      </w:r>
      <w:r>
        <w:rPr>
          <w:rFonts w:ascii="Times New Roman" w:hAnsi="Times New Roman"/>
          <w:i/>
          <w:szCs w:val="24"/>
        </w:rPr>
        <w:t>ЕУ</w:t>
      </w:r>
      <w:r w:rsidR="00F1739A" w:rsidRPr="00680721">
        <w:rPr>
          <w:rFonts w:ascii="Times New Roman" w:hAnsi="Times New Roman"/>
          <w:i/>
          <w:szCs w:val="24"/>
        </w:rPr>
        <w:t>/</w:t>
      </w:r>
      <w:r w:rsidR="00A74E20">
        <w:rPr>
          <w:rFonts w:ascii="Times New Roman" w:hAnsi="Times New Roman"/>
          <w:i/>
          <w:szCs w:val="24"/>
          <w:lang w:val="sr-Cyrl-BA"/>
        </w:rPr>
        <w:t>С</w:t>
      </w:r>
      <w:r>
        <w:rPr>
          <w:rFonts w:ascii="Times New Roman" w:hAnsi="Times New Roman"/>
          <w:i/>
          <w:szCs w:val="24"/>
        </w:rPr>
        <w:t>Е</w:t>
      </w:r>
      <w:r w:rsidR="00F1739A" w:rsidRPr="00680721">
        <w:rPr>
          <w:rFonts w:ascii="Times New Roman" w:hAnsi="Times New Roman"/>
          <w:i/>
          <w:szCs w:val="24"/>
        </w:rPr>
        <w:t xml:space="preserve"> </w:t>
      </w:r>
      <w:r w:rsidR="00A74E20" w:rsidRPr="00A74E20">
        <w:rPr>
          <w:rFonts w:ascii="Times New Roman" w:hAnsi="Times New Roman"/>
          <w:i/>
          <w:szCs w:val="24"/>
        </w:rPr>
        <w:t xml:space="preserve">Horisontal Facility </w:t>
      </w:r>
      <w:r>
        <w:rPr>
          <w:rFonts w:ascii="Times New Roman" w:hAnsi="Times New Roman"/>
          <w:szCs w:val="24"/>
        </w:rPr>
        <w:t>за</w:t>
      </w:r>
      <w:r w:rsidR="00F1739A" w:rsidRPr="00295637">
        <w:rPr>
          <w:rFonts w:ascii="Times New Roman" w:hAnsi="Times New Roman"/>
          <w:szCs w:val="24"/>
        </w:rPr>
        <w:t xml:space="preserve"> </w:t>
      </w:r>
      <w:r>
        <w:rPr>
          <w:rFonts w:ascii="Times New Roman" w:hAnsi="Times New Roman"/>
          <w:szCs w:val="24"/>
        </w:rPr>
        <w:t>Западни</w:t>
      </w:r>
      <w:r w:rsidR="00F1739A" w:rsidRPr="00295637">
        <w:rPr>
          <w:rFonts w:ascii="Times New Roman" w:hAnsi="Times New Roman"/>
          <w:szCs w:val="24"/>
        </w:rPr>
        <w:t xml:space="preserve"> </w:t>
      </w:r>
      <w:r>
        <w:rPr>
          <w:rFonts w:ascii="Times New Roman" w:hAnsi="Times New Roman"/>
          <w:szCs w:val="24"/>
        </w:rPr>
        <w:t>Балкан</w:t>
      </w:r>
      <w:r w:rsidR="00F1739A" w:rsidRPr="00295637">
        <w:rPr>
          <w:rFonts w:ascii="Times New Roman" w:hAnsi="Times New Roman"/>
          <w:szCs w:val="24"/>
        </w:rPr>
        <w:t xml:space="preserve"> </w:t>
      </w:r>
      <w:r>
        <w:rPr>
          <w:rFonts w:ascii="Times New Roman" w:hAnsi="Times New Roman"/>
          <w:szCs w:val="24"/>
        </w:rPr>
        <w:t>и</w:t>
      </w:r>
      <w:r w:rsidR="00F1739A" w:rsidRPr="00295637">
        <w:rPr>
          <w:rFonts w:ascii="Times New Roman" w:hAnsi="Times New Roman"/>
          <w:szCs w:val="24"/>
        </w:rPr>
        <w:t xml:space="preserve"> </w:t>
      </w:r>
      <w:r>
        <w:rPr>
          <w:rFonts w:ascii="Times New Roman" w:hAnsi="Times New Roman"/>
          <w:szCs w:val="24"/>
        </w:rPr>
        <w:t>Турску</w:t>
      </w:r>
      <w:r w:rsidR="00F1739A" w:rsidRPr="00295637">
        <w:rPr>
          <w:rFonts w:ascii="Times New Roman" w:hAnsi="Times New Roman"/>
          <w:szCs w:val="24"/>
        </w:rPr>
        <w:t xml:space="preserve"> – </w:t>
      </w:r>
      <w:r>
        <w:rPr>
          <w:rFonts w:ascii="Times New Roman" w:hAnsi="Times New Roman"/>
          <w:szCs w:val="24"/>
        </w:rPr>
        <w:t>фаза</w:t>
      </w:r>
      <w:r w:rsidR="00F1739A" w:rsidRPr="00295637">
        <w:rPr>
          <w:rFonts w:ascii="Times New Roman" w:hAnsi="Times New Roman"/>
          <w:szCs w:val="24"/>
        </w:rPr>
        <w:t xml:space="preserve"> </w:t>
      </w:r>
      <w:r w:rsidR="00A74E20" w:rsidRPr="00A74E20">
        <w:rPr>
          <w:rFonts w:ascii="Times New Roman" w:hAnsi="Times New Roman"/>
          <w:szCs w:val="24"/>
        </w:rPr>
        <w:t>III</w:t>
      </w:r>
      <w:r w:rsidR="00F1739A" w:rsidRPr="00295637">
        <w:rPr>
          <w:rFonts w:ascii="Times New Roman" w:hAnsi="Times New Roman"/>
          <w:szCs w:val="24"/>
        </w:rPr>
        <w:t xml:space="preserve"> (</w:t>
      </w:r>
      <w:r w:rsidR="00A74E20" w:rsidRPr="00A74E20">
        <w:rPr>
          <w:rFonts w:ascii="Times New Roman" w:hAnsi="Times New Roman"/>
          <w:i/>
          <w:szCs w:val="24"/>
        </w:rPr>
        <w:t>HFIII</w:t>
      </w:r>
      <w:r w:rsidR="00F1739A" w:rsidRPr="00295637">
        <w:rPr>
          <w:rFonts w:ascii="Times New Roman" w:hAnsi="Times New Roman"/>
          <w:szCs w:val="24"/>
        </w:rPr>
        <w:t>)</w:t>
      </w:r>
      <w:r w:rsidR="00680721">
        <w:rPr>
          <w:rFonts w:ascii="Times New Roman" w:hAnsi="Times New Roman"/>
          <w:szCs w:val="24"/>
        </w:rPr>
        <w:t>;</w:t>
      </w:r>
    </w:p>
    <w:p w:rsidR="00F1739A" w:rsidRPr="00295637" w:rsidRDefault="00C6214E" w:rsidP="0086268D">
      <w:pPr>
        <w:pStyle w:val="ListParagraph"/>
        <w:numPr>
          <w:ilvl w:val="0"/>
          <w:numId w:val="18"/>
        </w:numPr>
        <w:ind w:left="1440" w:hanging="450"/>
        <w:rPr>
          <w:rFonts w:ascii="Times New Roman" w:eastAsiaTheme="minorEastAsia" w:hAnsi="Times New Roman"/>
          <w:szCs w:val="24"/>
          <w:lang w:val="en-US"/>
        </w:rPr>
      </w:pPr>
      <w:r>
        <w:rPr>
          <w:rFonts w:ascii="Times New Roman" w:hAnsi="Times New Roman"/>
          <w:szCs w:val="24"/>
          <w:lang w:val="bs-Latn-BA"/>
        </w:rPr>
        <w:t>АДС</w:t>
      </w:r>
      <w:r w:rsidR="00DC4A18">
        <w:rPr>
          <w:rFonts w:ascii="Times New Roman" w:hAnsi="Times New Roman"/>
          <w:szCs w:val="24"/>
          <w:lang w:val="bs-Latn-BA"/>
        </w:rPr>
        <w:t xml:space="preserve"> </w:t>
      </w:r>
      <w:r>
        <w:rPr>
          <w:rFonts w:ascii="Times New Roman" w:hAnsi="Times New Roman"/>
          <w:szCs w:val="24"/>
          <w:lang w:val="bs-Latn-BA"/>
        </w:rPr>
        <w:t>БиХ</w:t>
      </w:r>
      <w:r w:rsidR="00F1739A" w:rsidRPr="00295637">
        <w:rPr>
          <w:rFonts w:ascii="Times New Roman" w:hAnsi="Times New Roman"/>
          <w:szCs w:val="24"/>
          <w:lang w:val="bs-Latn-BA"/>
        </w:rPr>
        <w:t xml:space="preserve"> </w:t>
      </w:r>
      <w:r>
        <w:rPr>
          <w:rFonts w:ascii="Times New Roman" w:hAnsi="Times New Roman"/>
          <w:szCs w:val="24"/>
          <w:lang w:val="bs-Latn-BA"/>
        </w:rPr>
        <w:t>обука</w:t>
      </w:r>
      <w:r w:rsidR="00F1739A" w:rsidRPr="00295637">
        <w:rPr>
          <w:rFonts w:ascii="Times New Roman" w:hAnsi="Times New Roman"/>
          <w:szCs w:val="24"/>
          <w:lang w:val="bs-Latn-BA"/>
        </w:rPr>
        <w:t xml:space="preserve"> </w:t>
      </w:r>
      <w:r>
        <w:rPr>
          <w:rFonts w:ascii="Times New Roman" w:hAnsi="Times New Roman"/>
          <w:szCs w:val="24"/>
          <w:lang w:val="bs-Latn-BA"/>
        </w:rPr>
        <w:t>на</w:t>
      </w:r>
      <w:r w:rsidR="00F1739A" w:rsidRPr="00295637">
        <w:rPr>
          <w:rFonts w:ascii="Times New Roman" w:hAnsi="Times New Roman"/>
          <w:szCs w:val="24"/>
          <w:lang w:val="bs-Latn-BA"/>
        </w:rPr>
        <w:t xml:space="preserve"> </w:t>
      </w:r>
      <w:r>
        <w:rPr>
          <w:rFonts w:ascii="Times New Roman" w:hAnsi="Times New Roman"/>
          <w:szCs w:val="24"/>
          <w:lang w:val="bs-Latn-BA"/>
        </w:rPr>
        <w:t>тему</w:t>
      </w:r>
      <w:r w:rsidR="00F1739A" w:rsidRPr="00295637">
        <w:rPr>
          <w:rFonts w:ascii="Times New Roman" w:hAnsi="Times New Roman"/>
          <w:szCs w:val="24"/>
          <w:lang w:val="bs-Latn-BA"/>
        </w:rPr>
        <w:t xml:space="preserve"> „</w:t>
      </w:r>
      <w:r>
        <w:rPr>
          <w:rFonts w:ascii="Times New Roman" w:hAnsi="Times New Roman"/>
          <w:szCs w:val="24"/>
          <w:lang w:val="bs-Latn-BA"/>
        </w:rPr>
        <w:t>Препознавање</w:t>
      </w:r>
      <w:r w:rsidR="00F1739A" w:rsidRPr="00295637">
        <w:rPr>
          <w:rFonts w:ascii="Times New Roman" w:hAnsi="Times New Roman"/>
          <w:szCs w:val="24"/>
          <w:lang w:val="bs-Latn-BA"/>
        </w:rPr>
        <w:t xml:space="preserve"> </w:t>
      </w:r>
      <w:r>
        <w:rPr>
          <w:rFonts w:ascii="Times New Roman" w:hAnsi="Times New Roman"/>
          <w:szCs w:val="24"/>
          <w:lang w:val="bs-Latn-BA"/>
        </w:rPr>
        <w:t>насиља</w:t>
      </w:r>
      <w:r w:rsidR="00F1739A" w:rsidRPr="00295637">
        <w:rPr>
          <w:rFonts w:ascii="Times New Roman" w:hAnsi="Times New Roman"/>
          <w:szCs w:val="24"/>
          <w:lang w:val="bs-Latn-BA"/>
        </w:rPr>
        <w:t xml:space="preserve"> </w:t>
      </w:r>
      <w:r>
        <w:rPr>
          <w:rFonts w:ascii="Times New Roman" w:hAnsi="Times New Roman"/>
          <w:szCs w:val="24"/>
          <w:lang w:val="bs-Latn-BA"/>
        </w:rPr>
        <w:t>над</w:t>
      </w:r>
      <w:r w:rsidR="00F1739A" w:rsidRPr="00295637">
        <w:rPr>
          <w:rFonts w:ascii="Times New Roman" w:hAnsi="Times New Roman"/>
          <w:szCs w:val="24"/>
          <w:lang w:val="bs-Latn-BA"/>
        </w:rPr>
        <w:t xml:space="preserve"> </w:t>
      </w:r>
      <w:r>
        <w:rPr>
          <w:rFonts w:ascii="Times New Roman" w:hAnsi="Times New Roman"/>
          <w:szCs w:val="24"/>
          <w:lang w:val="bs-Latn-BA"/>
        </w:rPr>
        <w:t>женама</w:t>
      </w:r>
      <w:r w:rsidR="00F1739A" w:rsidRPr="00295637">
        <w:rPr>
          <w:rFonts w:ascii="Times New Roman" w:hAnsi="Times New Roman"/>
          <w:szCs w:val="24"/>
          <w:lang w:val="bs-Latn-BA"/>
        </w:rPr>
        <w:t xml:space="preserve"> </w:t>
      </w:r>
      <w:r>
        <w:rPr>
          <w:rFonts w:ascii="Times New Roman" w:hAnsi="Times New Roman"/>
          <w:szCs w:val="24"/>
          <w:lang w:val="bs-Latn-BA"/>
        </w:rPr>
        <w:t>и</w:t>
      </w:r>
      <w:r w:rsidR="00F1739A" w:rsidRPr="00295637">
        <w:rPr>
          <w:rFonts w:ascii="Times New Roman" w:hAnsi="Times New Roman"/>
          <w:szCs w:val="24"/>
          <w:lang w:val="bs-Latn-BA"/>
        </w:rPr>
        <w:t xml:space="preserve"> </w:t>
      </w:r>
      <w:r>
        <w:rPr>
          <w:rFonts w:ascii="Times New Roman" w:hAnsi="Times New Roman"/>
          <w:szCs w:val="24"/>
          <w:lang w:val="bs-Latn-BA"/>
        </w:rPr>
        <w:t>насиља</w:t>
      </w:r>
      <w:r w:rsidR="00F1739A" w:rsidRPr="00295637">
        <w:rPr>
          <w:rFonts w:ascii="Times New Roman" w:hAnsi="Times New Roman"/>
          <w:szCs w:val="24"/>
          <w:lang w:val="bs-Latn-BA"/>
        </w:rPr>
        <w:t xml:space="preserve"> </w:t>
      </w:r>
      <w:r>
        <w:rPr>
          <w:rFonts w:ascii="Times New Roman" w:hAnsi="Times New Roman"/>
          <w:szCs w:val="24"/>
          <w:lang w:val="bs-Latn-BA"/>
        </w:rPr>
        <w:t>у</w:t>
      </w:r>
      <w:r w:rsidR="00F1739A" w:rsidRPr="00295637">
        <w:rPr>
          <w:rFonts w:ascii="Times New Roman" w:hAnsi="Times New Roman"/>
          <w:szCs w:val="24"/>
          <w:lang w:val="bs-Latn-BA"/>
        </w:rPr>
        <w:t xml:space="preserve"> </w:t>
      </w:r>
      <w:r>
        <w:rPr>
          <w:rFonts w:ascii="Times New Roman" w:hAnsi="Times New Roman"/>
          <w:szCs w:val="24"/>
          <w:lang w:val="bs-Latn-BA"/>
        </w:rPr>
        <w:t>породици</w:t>
      </w:r>
      <w:r w:rsidR="00680721">
        <w:rPr>
          <w:rFonts w:ascii="Times New Roman" w:hAnsi="Times New Roman"/>
          <w:szCs w:val="24"/>
          <w:lang w:val="bs-Latn-BA"/>
        </w:rPr>
        <w:t xml:space="preserve"> </w:t>
      </w:r>
      <w:r>
        <w:rPr>
          <w:rFonts w:ascii="Times New Roman" w:hAnsi="Times New Roman"/>
          <w:szCs w:val="24"/>
          <w:lang w:val="bs-Latn-BA"/>
        </w:rPr>
        <w:t>и</w:t>
      </w:r>
      <w:r w:rsidR="00680721">
        <w:rPr>
          <w:rFonts w:ascii="Times New Roman" w:hAnsi="Times New Roman"/>
          <w:szCs w:val="24"/>
          <w:lang w:val="bs-Latn-BA"/>
        </w:rPr>
        <w:t xml:space="preserve"> </w:t>
      </w:r>
      <w:r>
        <w:rPr>
          <w:rFonts w:ascii="Times New Roman" w:hAnsi="Times New Roman"/>
          <w:szCs w:val="24"/>
          <w:lang w:val="bs-Latn-BA"/>
        </w:rPr>
        <w:t>обавеза</w:t>
      </w:r>
      <w:r w:rsidR="00F1739A" w:rsidRPr="00295637">
        <w:rPr>
          <w:rFonts w:ascii="Times New Roman" w:hAnsi="Times New Roman"/>
          <w:szCs w:val="24"/>
          <w:lang w:val="bs-Latn-BA"/>
        </w:rPr>
        <w:t xml:space="preserve"> </w:t>
      </w:r>
      <w:r>
        <w:rPr>
          <w:rFonts w:ascii="Times New Roman" w:hAnsi="Times New Roman"/>
          <w:szCs w:val="24"/>
          <w:lang w:val="bs-Latn-BA"/>
        </w:rPr>
        <w:t>пријављивања</w:t>
      </w:r>
      <w:r w:rsidR="00F1739A" w:rsidRPr="00295637">
        <w:rPr>
          <w:rFonts w:ascii="Times New Roman" w:hAnsi="Times New Roman"/>
          <w:szCs w:val="24"/>
          <w:lang w:val="bs-Latn-BA"/>
        </w:rPr>
        <w:t xml:space="preserve"> </w:t>
      </w:r>
      <w:r>
        <w:rPr>
          <w:rFonts w:ascii="Times New Roman" w:hAnsi="Times New Roman"/>
          <w:szCs w:val="24"/>
          <w:lang w:val="bs-Latn-BA"/>
        </w:rPr>
        <w:t>насиља</w:t>
      </w:r>
      <w:r w:rsidR="00F1739A" w:rsidRPr="00295637">
        <w:rPr>
          <w:rFonts w:ascii="Times New Roman" w:hAnsi="Times New Roman"/>
          <w:szCs w:val="24"/>
          <w:lang w:val="bs-Latn-BA"/>
        </w:rPr>
        <w:t>“ (</w:t>
      </w:r>
      <w:r>
        <w:rPr>
          <w:rFonts w:ascii="Times New Roman" w:hAnsi="Times New Roman"/>
          <w:szCs w:val="24"/>
          <w:lang w:val="bs-Latn-BA"/>
        </w:rPr>
        <w:t>фебруар</w:t>
      </w:r>
      <w:r w:rsidR="00680721">
        <w:rPr>
          <w:rFonts w:ascii="Times New Roman" w:hAnsi="Times New Roman"/>
          <w:szCs w:val="24"/>
          <w:lang w:val="bs-Latn-BA"/>
        </w:rPr>
        <w:t>,</w:t>
      </w:r>
      <w:r w:rsidR="00F1739A" w:rsidRPr="00295637">
        <w:rPr>
          <w:rFonts w:ascii="Times New Roman" w:hAnsi="Times New Roman"/>
          <w:szCs w:val="24"/>
          <w:lang w:val="bs-Latn-BA"/>
        </w:rPr>
        <w:t xml:space="preserve"> 2024</w:t>
      </w:r>
      <w:r w:rsidR="00680721">
        <w:rPr>
          <w:rFonts w:ascii="Times New Roman" w:hAnsi="Times New Roman"/>
          <w:szCs w:val="24"/>
          <w:lang w:val="bs-Latn-BA"/>
        </w:rPr>
        <w:t>.</w:t>
      </w:r>
      <w:r w:rsidR="00F1739A" w:rsidRPr="00295637">
        <w:rPr>
          <w:rFonts w:ascii="Times New Roman" w:hAnsi="Times New Roman"/>
          <w:szCs w:val="24"/>
          <w:lang w:val="bs-Latn-BA"/>
        </w:rPr>
        <w:t>)</w:t>
      </w:r>
      <w:r w:rsidR="00680721">
        <w:rPr>
          <w:rFonts w:ascii="Times New Roman" w:hAnsi="Times New Roman"/>
          <w:szCs w:val="24"/>
          <w:lang w:val="bs-Latn-BA"/>
        </w:rPr>
        <w:t>;</w:t>
      </w:r>
      <w:r w:rsidR="00F1739A" w:rsidRPr="00295637">
        <w:rPr>
          <w:rFonts w:ascii="Times New Roman" w:hAnsi="Times New Roman"/>
          <w:szCs w:val="24"/>
        </w:rPr>
        <w:t xml:space="preserve"> </w:t>
      </w:r>
    </w:p>
    <w:p w:rsidR="00F1739A" w:rsidRPr="00295637" w:rsidRDefault="00C6214E" w:rsidP="0086268D">
      <w:pPr>
        <w:pStyle w:val="ListParagraph"/>
        <w:numPr>
          <w:ilvl w:val="0"/>
          <w:numId w:val="18"/>
        </w:numPr>
        <w:ind w:left="1440" w:hanging="450"/>
        <w:rPr>
          <w:rFonts w:ascii="Times New Roman" w:eastAsiaTheme="minorEastAsia" w:hAnsi="Times New Roman"/>
          <w:szCs w:val="24"/>
          <w:lang w:val="en-US"/>
        </w:rPr>
      </w:pPr>
      <w:r>
        <w:rPr>
          <w:rFonts w:ascii="Times New Roman" w:hAnsi="Times New Roman"/>
        </w:rPr>
        <w:t>Шест</w:t>
      </w:r>
      <w:r w:rsidR="00F1739A" w:rsidRPr="00295637">
        <w:rPr>
          <w:rFonts w:ascii="Times New Roman" w:hAnsi="Times New Roman"/>
        </w:rPr>
        <w:t xml:space="preserve"> </w:t>
      </w:r>
      <w:r>
        <w:rPr>
          <w:rFonts w:ascii="Times New Roman" w:hAnsi="Times New Roman"/>
        </w:rPr>
        <w:t>семинара</w:t>
      </w:r>
      <w:r w:rsidR="00F1739A" w:rsidRPr="00295637">
        <w:rPr>
          <w:rFonts w:ascii="Times New Roman" w:hAnsi="Times New Roman"/>
        </w:rPr>
        <w:t xml:space="preserve"> „</w:t>
      </w:r>
      <w:r>
        <w:rPr>
          <w:rFonts w:ascii="Times New Roman" w:hAnsi="Times New Roman"/>
        </w:rPr>
        <w:t>Жене</w:t>
      </w:r>
      <w:r w:rsidR="00F1739A" w:rsidRPr="00295637">
        <w:rPr>
          <w:rFonts w:ascii="Times New Roman" w:hAnsi="Times New Roman"/>
        </w:rPr>
        <w:t xml:space="preserve"> </w:t>
      </w:r>
      <w:r>
        <w:rPr>
          <w:rFonts w:ascii="Times New Roman" w:hAnsi="Times New Roman"/>
        </w:rPr>
        <w:t>у</w:t>
      </w:r>
      <w:r w:rsidR="00F1739A" w:rsidRPr="00295637">
        <w:rPr>
          <w:rFonts w:ascii="Times New Roman" w:hAnsi="Times New Roman"/>
        </w:rPr>
        <w:t xml:space="preserve"> </w:t>
      </w:r>
      <w:r>
        <w:rPr>
          <w:rFonts w:ascii="Times New Roman" w:hAnsi="Times New Roman"/>
        </w:rPr>
        <w:t>војној</w:t>
      </w:r>
      <w:r w:rsidR="00F1739A" w:rsidRPr="00295637">
        <w:rPr>
          <w:rFonts w:ascii="Times New Roman" w:hAnsi="Times New Roman"/>
        </w:rPr>
        <w:t xml:space="preserve"> </w:t>
      </w:r>
      <w:r>
        <w:rPr>
          <w:rFonts w:ascii="Times New Roman" w:hAnsi="Times New Roman"/>
        </w:rPr>
        <w:t>служби</w:t>
      </w:r>
      <w:r w:rsidR="00F1739A" w:rsidRPr="00295637">
        <w:rPr>
          <w:rFonts w:ascii="Times New Roman" w:hAnsi="Times New Roman"/>
        </w:rPr>
        <w:t xml:space="preserve">“, </w:t>
      </w:r>
      <w:r>
        <w:rPr>
          <w:rFonts w:ascii="Times New Roman" w:hAnsi="Times New Roman"/>
        </w:rPr>
        <w:t>на</w:t>
      </w:r>
      <w:r w:rsidR="00F1739A" w:rsidRPr="00295637">
        <w:rPr>
          <w:rFonts w:ascii="Times New Roman" w:hAnsi="Times New Roman"/>
        </w:rPr>
        <w:t xml:space="preserve"> </w:t>
      </w:r>
      <w:r>
        <w:rPr>
          <w:rFonts w:ascii="Times New Roman" w:hAnsi="Times New Roman"/>
        </w:rPr>
        <w:t>којима</w:t>
      </w:r>
      <w:r w:rsidR="00F1739A" w:rsidRPr="00295637">
        <w:rPr>
          <w:rFonts w:ascii="Times New Roman" w:hAnsi="Times New Roman"/>
        </w:rPr>
        <w:t xml:space="preserve"> </w:t>
      </w:r>
      <w:r>
        <w:rPr>
          <w:rFonts w:ascii="Times New Roman" w:hAnsi="Times New Roman"/>
        </w:rPr>
        <w:t>је</w:t>
      </w:r>
      <w:r w:rsidR="00F1739A" w:rsidRPr="00295637">
        <w:rPr>
          <w:rFonts w:ascii="Times New Roman" w:hAnsi="Times New Roman"/>
        </w:rPr>
        <w:t xml:space="preserve"> </w:t>
      </w:r>
      <w:r>
        <w:rPr>
          <w:rFonts w:ascii="Times New Roman" w:hAnsi="Times New Roman"/>
        </w:rPr>
        <w:t>учествовало</w:t>
      </w:r>
      <w:r w:rsidR="00F1739A" w:rsidRPr="00295637">
        <w:rPr>
          <w:rFonts w:ascii="Times New Roman" w:hAnsi="Times New Roman"/>
        </w:rPr>
        <w:t xml:space="preserve"> </w:t>
      </w:r>
      <w:r>
        <w:rPr>
          <w:rFonts w:ascii="Times New Roman" w:hAnsi="Times New Roman"/>
        </w:rPr>
        <w:t>близу</w:t>
      </w:r>
      <w:r w:rsidR="00F1739A" w:rsidRPr="00295637">
        <w:rPr>
          <w:rFonts w:ascii="Times New Roman" w:hAnsi="Times New Roman"/>
        </w:rPr>
        <w:t xml:space="preserve"> 200 </w:t>
      </w:r>
      <w:r>
        <w:rPr>
          <w:rFonts w:ascii="Times New Roman" w:hAnsi="Times New Roman"/>
        </w:rPr>
        <w:t>припадница</w:t>
      </w:r>
      <w:r w:rsidR="00F1739A" w:rsidRPr="00295637">
        <w:rPr>
          <w:rFonts w:ascii="Times New Roman" w:hAnsi="Times New Roman"/>
        </w:rPr>
        <w:t xml:space="preserve"> </w:t>
      </w:r>
      <w:r>
        <w:rPr>
          <w:rFonts w:ascii="Times New Roman" w:hAnsi="Times New Roman"/>
        </w:rPr>
        <w:t>ОС</w:t>
      </w:r>
      <w:r w:rsidR="00680721">
        <w:rPr>
          <w:rFonts w:ascii="Times New Roman" w:hAnsi="Times New Roman"/>
        </w:rPr>
        <w:t xml:space="preserve"> </w:t>
      </w:r>
      <w:r>
        <w:rPr>
          <w:rFonts w:ascii="Times New Roman" w:hAnsi="Times New Roman"/>
        </w:rPr>
        <w:t>БиХ</w:t>
      </w:r>
      <w:r w:rsidR="00680721">
        <w:rPr>
          <w:rFonts w:ascii="Times New Roman" w:hAnsi="Times New Roman"/>
        </w:rPr>
        <w:t xml:space="preserve">. </w:t>
      </w:r>
      <w:r>
        <w:rPr>
          <w:rFonts w:ascii="Times New Roman" w:hAnsi="Times New Roman"/>
        </w:rPr>
        <w:t>Семинари</w:t>
      </w:r>
      <w:r w:rsidR="00680721">
        <w:rPr>
          <w:rFonts w:ascii="Times New Roman" w:hAnsi="Times New Roman"/>
        </w:rPr>
        <w:t xml:space="preserve"> </w:t>
      </w:r>
      <w:r>
        <w:rPr>
          <w:rFonts w:ascii="Times New Roman" w:hAnsi="Times New Roman"/>
        </w:rPr>
        <w:t>ће</w:t>
      </w:r>
      <w:r w:rsidR="00680721">
        <w:rPr>
          <w:rFonts w:ascii="Times New Roman" w:hAnsi="Times New Roman"/>
        </w:rPr>
        <w:t xml:space="preserve"> </w:t>
      </w:r>
      <w:r>
        <w:rPr>
          <w:rFonts w:ascii="Times New Roman" w:hAnsi="Times New Roman"/>
        </w:rPr>
        <w:t>бит</w:t>
      </w:r>
      <w:r w:rsidR="00A74E20">
        <w:rPr>
          <w:rFonts w:ascii="Times New Roman" w:hAnsi="Times New Roman"/>
          <w:lang w:val="sr-Cyrl-BA"/>
        </w:rPr>
        <w:t>и</w:t>
      </w:r>
      <w:r w:rsidR="00F1739A" w:rsidRPr="00295637">
        <w:rPr>
          <w:rFonts w:ascii="Times New Roman" w:hAnsi="Times New Roman"/>
        </w:rPr>
        <w:t xml:space="preserve"> </w:t>
      </w:r>
      <w:r>
        <w:rPr>
          <w:rFonts w:ascii="Times New Roman" w:hAnsi="Times New Roman"/>
        </w:rPr>
        <w:t>организ</w:t>
      </w:r>
      <w:r w:rsidR="00A74E20">
        <w:rPr>
          <w:rFonts w:ascii="Times New Roman" w:hAnsi="Times New Roman"/>
          <w:lang w:val="sr-Cyrl-BA"/>
        </w:rPr>
        <w:t>овани</w:t>
      </w:r>
      <w:r w:rsidR="00F1739A" w:rsidRPr="00295637">
        <w:rPr>
          <w:rFonts w:ascii="Times New Roman" w:hAnsi="Times New Roman"/>
        </w:rPr>
        <w:t xml:space="preserve"> </w:t>
      </w:r>
      <w:r>
        <w:rPr>
          <w:rFonts w:ascii="Times New Roman" w:hAnsi="Times New Roman"/>
        </w:rPr>
        <w:t>до</w:t>
      </w:r>
      <w:r w:rsidR="00F1739A" w:rsidRPr="00295637">
        <w:rPr>
          <w:rFonts w:ascii="Times New Roman" w:hAnsi="Times New Roman"/>
        </w:rPr>
        <w:t xml:space="preserve"> </w:t>
      </w:r>
      <w:r>
        <w:rPr>
          <w:rFonts w:ascii="Times New Roman" w:hAnsi="Times New Roman"/>
        </w:rPr>
        <w:t>краја</w:t>
      </w:r>
      <w:r w:rsidR="00F1739A" w:rsidRPr="00295637">
        <w:rPr>
          <w:rFonts w:ascii="Times New Roman" w:hAnsi="Times New Roman"/>
        </w:rPr>
        <w:t xml:space="preserve"> </w:t>
      </w:r>
      <w:r>
        <w:rPr>
          <w:rFonts w:ascii="Times New Roman" w:hAnsi="Times New Roman"/>
        </w:rPr>
        <w:t>октобра</w:t>
      </w:r>
      <w:r w:rsidR="00F1739A" w:rsidRPr="00295637">
        <w:rPr>
          <w:rFonts w:ascii="Times New Roman" w:hAnsi="Times New Roman"/>
        </w:rPr>
        <w:t xml:space="preserve"> 2025. </w:t>
      </w:r>
      <w:r>
        <w:rPr>
          <w:rFonts w:ascii="Times New Roman" w:hAnsi="Times New Roman"/>
        </w:rPr>
        <w:t>године</w:t>
      </w:r>
      <w:r w:rsidR="00680721">
        <w:rPr>
          <w:rFonts w:ascii="Times New Roman" w:hAnsi="Times New Roman"/>
        </w:rPr>
        <w:t>,</w:t>
      </w:r>
      <w:r w:rsidR="00F1739A" w:rsidRPr="00295637">
        <w:rPr>
          <w:rFonts w:ascii="Times New Roman" w:hAnsi="Times New Roman"/>
        </w:rPr>
        <w:t xml:space="preserve"> </w:t>
      </w:r>
      <w:r>
        <w:rPr>
          <w:rFonts w:ascii="Times New Roman" w:hAnsi="Times New Roman"/>
        </w:rPr>
        <w:t>а</w:t>
      </w:r>
      <w:r w:rsidR="00F1739A" w:rsidRPr="00295637">
        <w:rPr>
          <w:rFonts w:ascii="Times New Roman" w:hAnsi="Times New Roman"/>
        </w:rPr>
        <w:t xml:space="preserve"> </w:t>
      </w:r>
      <w:r>
        <w:rPr>
          <w:rFonts w:ascii="Times New Roman" w:hAnsi="Times New Roman"/>
        </w:rPr>
        <w:t>реализ</w:t>
      </w:r>
      <w:r w:rsidR="00A74E20">
        <w:rPr>
          <w:rFonts w:ascii="Times New Roman" w:hAnsi="Times New Roman"/>
          <w:lang w:val="sr-Cyrl-BA"/>
        </w:rPr>
        <w:t>ују</w:t>
      </w:r>
      <w:r w:rsidR="00F1739A" w:rsidRPr="00295637">
        <w:rPr>
          <w:rFonts w:ascii="Times New Roman" w:hAnsi="Times New Roman"/>
        </w:rPr>
        <w:t xml:space="preserve"> </w:t>
      </w:r>
      <w:r>
        <w:rPr>
          <w:rFonts w:ascii="Times New Roman" w:hAnsi="Times New Roman"/>
        </w:rPr>
        <w:t>се</w:t>
      </w:r>
      <w:r w:rsidR="00F1739A" w:rsidRPr="00295637">
        <w:rPr>
          <w:rFonts w:ascii="Times New Roman" w:hAnsi="Times New Roman"/>
        </w:rPr>
        <w:t xml:space="preserve"> </w:t>
      </w:r>
      <w:r>
        <w:rPr>
          <w:rFonts w:ascii="Times New Roman" w:hAnsi="Times New Roman"/>
        </w:rPr>
        <w:t>уз</w:t>
      </w:r>
      <w:r w:rsidR="00F1739A" w:rsidRPr="00295637">
        <w:rPr>
          <w:rFonts w:ascii="Times New Roman" w:hAnsi="Times New Roman"/>
        </w:rPr>
        <w:t xml:space="preserve"> </w:t>
      </w:r>
      <w:r>
        <w:rPr>
          <w:rFonts w:ascii="Times New Roman" w:hAnsi="Times New Roman"/>
        </w:rPr>
        <w:t>подршку</w:t>
      </w:r>
      <w:r w:rsidR="00F1739A" w:rsidRPr="00295637">
        <w:rPr>
          <w:rFonts w:ascii="Times New Roman" w:hAnsi="Times New Roman"/>
        </w:rPr>
        <w:t xml:space="preserve"> </w:t>
      </w:r>
      <w:r>
        <w:rPr>
          <w:rFonts w:ascii="Times New Roman" w:hAnsi="Times New Roman"/>
        </w:rPr>
        <w:t>МО</w:t>
      </w:r>
      <w:r w:rsidR="00F1739A" w:rsidRPr="00295637">
        <w:rPr>
          <w:rFonts w:ascii="Times New Roman" w:hAnsi="Times New Roman"/>
        </w:rPr>
        <w:t xml:space="preserve"> </w:t>
      </w:r>
      <w:r>
        <w:rPr>
          <w:rFonts w:ascii="Times New Roman" w:hAnsi="Times New Roman"/>
        </w:rPr>
        <w:t>Краљевине</w:t>
      </w:r>
      <w:r w:rsidR="00F1739A" w:rsidRPr="00295637">
        <w:rPr>
          <w:rFonts w:ascii="Times New Roman" w:hAnsi="Times New Roman"/>
        </w:rPr>
        <w:t xml:space="preserve"> </w:t>
      </w:r>
      <w:r>
        <w:rPr>
          <w:rFonts w:ascii="Times New Roman" w:hAnsi="Times New Roman"/>
        </w:rPr>
        <w:t>Норвешке</w:t>
      </w:r>
      <w:r w:rsidR="00F1739A" w:rsidRPr="00295637">
        <w:rPr>
          <w:rFonts w:ascii="Times New Roman" w:hAnsi="Times New Roman"/>
        </w:rPr>
        <w:t xml:space="preserve"> </w:t>
      </w:r>
      <w:r>
        <w:rPr>
          <w:rFonts w:ascii="Times New Roman" w:hAnsi="Times New Roman"/>
        </w:rPr>
        <w:t>и</w:t>
      </w:r>
      <w:r w:rsidR="00F1739A" w:rsidRPr="00295637">
        <w:rPr>
          <w:rFonts w:ascii="Times New Roman" w:hAnsi="Times New Roman"/>
        </w:rPr>
        <w:t xml:space="preserve"> </w:t>
      </w:r>
      <w:r>
        <w:rPr>
          <w:rFonts w:ascii="Times New Roman" w:hAnsi="Times New Roman"/>
        </w:rPr>
        <w:t>НАТО</w:t>
      </w:r>
      <w:r w:rsidR="00F1739A" w:rsidRPr="00295637">
        <w:rPr>
          <w:rFonts w:ascii="Times New Roman" w:hAnsi="Times New Roman"/>
        </w:rPr>
        <w:t xml:space="preserve"> </w:t>
      </w:r>
      <w:r>
        <w:rPr>
          <w:rFonts w:ascii="Times New Roman" w:hAnsi="Times New Roman"/>
        </w:rPr>
        <w:t>штаба</w:t>
      </w:r>
      <w:r w:rsidR="00F1739A" w:rsidRPr="00295637">
        <w:rPr>
          <w:rFonts w:ascii="Times New Roman" w:hAnsi="Times New Roman"/>
        </w:rPr>
        <w:t xml:space="preserve"> </w:t>
      </w:r>
      <w:r>
        <w:rPr>
          <w:rFonts w:ascii="Times New Roman" w:hAnsi="Times New Roman"/>
        </w:rPr>
        <w:t>у</w:t>
      </w:r>
      <w:r w:rsidR="00F1739A" w:rsidRPr="00295637">
        <w:rPr>
          <w:rFonts w:ascii="Times New Roman" w:hAnsi="Times New Roman"/>
        </w:rPr>
        <w:t xml:space="preserve"> </w:t>
      </w:r>
      <w:r>
        <w:rPr>
          <w:rFonts w:ascii="Times New Roman" w:hAnsi="Times New Roman"/>
        </w:rPr>
        <w:t>Сарајеву</w:t>
      </w:r>
      <w:r w:rsidR="00680721">
        <w:rPr>
          <w:rFonts w:ascii="Times New Roman" w:hAnsi="Times New Roman"/>
        </w:rPr>
        <w:t>;</w:t>
      </w:r>
    </w:p>
    <w:p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 xml:space="preserve">68. </w:t>
      </w:r>
      <w:r w:rsidR="00C6214E">
        <w:rPr>
          <w:rFonts w:ascii="Times New Roman" w:hAnsi="Times New Roman"/>
        </w:rPr>
        <w:t>засједање</w:t>
      </w:r>
      <w:r w:rsidRPr="00295637">
        <w:rPr>
          <w:rFonts w:ascii="Times New Roman" w:hAnsi="Times New Roman"/>
        </w:rPr>
        <w:t xml:space="preserve"> </w:t>
      </w:r>
      <w:r w:rsidR="00C6214E">
        <w:rPr>
          <w:rFonts w:ascii="Times New Roman" w:hAnsi="Times New Roman"/>
        </w:rPr>
        <w:t>Комисије</w:t>
      </w:r>
      <w:r w:rsidRPr="00295637">
        <w:rPr>
          <w:rFonts w:ascii="Times New Roman" w:hAnsi="Times New Roman"/>
        </w:rPr>
        <w:t xml:space="preserve"> </w:t>
      </w:r>
      <w:r w:rsidR="00C6214E">
        <w:rPr>
          <w:rFonts w:ascii="Times New Roman" w:hAnsi="Times New Roman"/>
        </w:rPr>
        <w:t>УН</w:t>
      </w:r>
      <w:r w:rsidRPr="00295637">
        <w:rPr>
          <w:rFonts w:ascii="Times New Roman" w:hAnsi="Times New Roman"/>
        </w:rPr>
        <w:t xml:space="preserve"> </w:t>
      </w:r>
      <w:r w:rsidR="00C6214E">
        <w:rPr>
          <w:rFonts w:ascii="Times New Roman" w:hAnsi="Times New Roman"/>
        </w:rPr>
        <w:t>за</w:t>
      </w:r>
      <w:r w:rsidRPr="00295637">
        <w:rPr>
          <w:rFonts w:ascii="Times New Roman" w:hAnsi="Times New Roman"/>
        </w:rPr>
        <w:t xml:space="preserve"> </w:t>
      </w:r>
      <w:r w:rsidR="00C6214E">
        <w:rPr>
          <w:rFonts w:ascii="Times New Roman" w:hAnsi="Times New Roman"/>
        </w:rPr>
        <w:t>статус</w:t>
      </w:r>
      <w:r w:rsidRPr="00295637">
        <w:rPr>
          <w:rFonts w:ascii="Times New Roman" w:hAnsi="Times New Roman"/>
        </w:rPr>
        <w:t xml:space="preserve"> </w:t>
      </w:r>
      <w:r w:rsidR="00C6214E">
        <w:rPr>
          <w:rFonts w:ascii="Times New Roman" w:hAnsi="Times New Roman"/>
        </w:rPr>
        <w:t>жена</w:t>
      </w:r>
      <w:r w:rsidRPr="00295637">
        <w:rPr>
          <w:rFonts w:ascii="Times New Roman" w:hAnsi="Times New Roman"/>
        </w:rPr>
        <w:t xml:space="preserve"> (</w:t>
      </w:r>
      <w:r w:rsidR="00C6214E">
        <w:rPr>
          <w:rFonts w:ascii="Times New Roman" w:hAnsi="Times New Roman"/>
        </w:rPr>
        <w:t>Њујорк</w:t>
      </w:r>
      <w:r w:rsidRPr="00295637">
        <w:rPr>
          <w:rFonts w:ascii="Times New Roman" w:hAnsi="Times New Roman"/>
        </w:rPr>
        <w:t xml:space="preserve">, </w:t>
      </w:r>
      <w:r w:rsidR="00C6214E">
        <w:rPr>
          <w:rFonts w:ascii="Times New Roman" w:hAnsi="Times New Roman"/>
        </w:rPr>
        <w:t>март</w:t>
      </w:r>
      <w:r w:rsidR="00680721">
        <w:rPr>
          <w:rFonts w:ascii="Times New Roman" w:hAnsi="Times New Roman"/>
        </w:rPr>
        <w:t>);</w:t>
      </w:r>
      <w:r w:rsidRPr="00295637">
        <w:rPr>
          <w:rFonts w:ascii="Times New Roman" w:hAnsi="Times New Roman"/>
        </w:rPr>
        <w:t xml:space="preserve"> </w:t>
      </w:r>
    </w:p>
    <w:p w:rsidR="00F1739A" w:rsidRPr="00295637" w:rsidRDefault="00C6214E" w:rsidP="0086268D">
      <w:pPr>
        <w:pStyle w:val="BodyTextIndent"/>
        <w:numPr>
          <w:ilvl w:val="0"/>
          <w:numId w:val="18"/>
        </w:numPr>
        <w:ind w:left="1440" w:hanging="450"/>
        <w:rPr>
          <w:rFonts w:ascii="Times New Roman" w:eastAsiaTheme="minorEastAsia" w:hAnsi="Times New Roman"/>
          <w:szCs w:val="24"/>
          <w:lang w:val="en-US"/>
        </w:rPr>
      </w:pPr>
      <w:r>
        <w:rPr>
          <w:rFonts w:ascii="Times New Roman" w:hAnsi="Times New Roman"/>
        </w:rPr>
        <w:t>Регионални</w:t>
      </w:r>
      <w:r w:rsidR="00F1739A" w:rsidRPr="00295637">
        <w:rPr>
          <w:rFonts w:ascii="Times New Roman" w:hAnsi="Times New Roman"/>
        </w:rPr>
        <w:t xml:space="preserve"> </w:t>
      </w:r>
      <w:r>
        <w:rPr>
          <w:rFonts w:ascii="Times New Roman" w:hAnsi="Times New Roman"/>
        </w:rPr>
        <w:t>прегледни</w:t>
      </w:r>
      <w:r w:rsidR="00F1739A" w:rsidRPr="00295637">
        <w:rPr>
          <w:rFonts w:ascii="Times New Roman" w:hAnsi="Times New Roman"/>
        </w:rPr>
        <w:t xml:space="preserve"> </w:t>
      </w:r>
      <w:r>
        <w:rPr>
          <w:rFonts w:ascii="Times New Roman" w:hAnsi="Times New Roman"/>
        </w:rPr>
        <w:t>састанак</w:t>
      </w:r>
      <w:r w:rsidR="00F1739A" w:rsidRPr="00295637">
        <w:rPr>
          <w:rFonts w:ascii="Times New Roman" w:hAnsi="Times New Roman"/>
        </w:rPr>
        <w:t xml:space="preserve"> „</w:t>
      </w:r>
      <w:r>
        <w:rPr>
          <w:rFonts w:ascii="Times New Roman" w:hAnsi="Times New Roman"/>
        </w:rPr>
        <w:t>Пекинг</w:t>
      </w:r>
      <w:r w:rsidR="00F1739A" w:rsidRPr="00295637">
        <w:rPr>
          <w:rFonts w:ascii="Times New Roman" w:hAnsi="Times New Roman"/>
        </w:rPr>
        <w:t xml:space="preserve"> + 30 – </w:t>
      </w:r>
      <w:r>
        <w:rPr>
          <w:rFonts w:ascii="Times New Roman" w:hAnsi="Times New Roman"/>
        </w:rPr>
        <w:t>Ревизија</w:t>
      </w:r>
      <w:r w:rsidR="00C5568C" w:rsidRPr="00295637">
        <w:rPr>
          <w:rFonts w:ascii="Times New Roman" w:hAnsi="Times New Roman"/>
        </w:rPr>
        <w:t xml:space="preserve"> 30 </w:t>
      </w:r>
      <w:r>
        <w:rPr>
          <w:rFonts w:ascii="Times New Roman" w:hAnsi="Times New Roman"/>
        </w:rPr>
        <w:t>година</w:t>
      </w:r>
      <w:r w:rsidR="00C5568C" w:rsidRPr="00295637">
        <w:rPr>
          <w:rFonts w:ascii="Times New Roman" w:hAnsi="Times New Roman"/>
        </w:rPr>
        <w:t xml:space="preserve"> </w:t>
      </w:r>
      <w:r>
        <w:rPr>
          <w:rFonts w:ascii="Times New Roman" w:hAnsi="Times New Roman"/>
        </w:rPr>
        <w:t>Пекинга</w:t>
      </w:r>
      <w:r w:rsidR="00C5568C" w:rsidRPr="00295637">
        <w:rPr>
          <w:rFonts w:ascii="Times New Roman" w:hAnsi="Times New Roman"/>
        </w:rPr>
        <w:t xml:space="preserve"> </w:t>
      </w:r>
      <w:r w:rsidR="00241CCB">
        <w:rPr>
          <w:rFonts w:ascii="Times New Roman" w:hAnsi="Times New Roman"/>
          <w:lang w:val="bs-Cyrl-BA"/>
        </w:rPr>
        <w:t xml:space="preserve">и </w:t>
      </w:r>
      <w:r>
        <w:rPr>
          <w:rFonts w:ascii="Times New Roman" w:hAnsi="Times New Roman"/>
        </w:rPr>
        <w:t>посвећености</w:t>
      </w:r>
      <w:r w:rsidR="00F1739A" w:rsidRPr="00295637">
        <w:rPr>
          <w:rFonts w:ascii="Times New Roman" w:hAnsi="Times New Roman"/>
        </w:rPr>
        <w:t xml:space="preserve"> </w:t>
      </w:r>
      <w:r>
        <w:rPr>
          <w:rFonts w:ascii="Times New Roman" w:hAnsi="Times New Roman"/>
        </w:rPr>
        <w:t>убрзавању</w:t>
      </w:r>
      <w:r w:rsidR="00F1739A" w:rsidRPr="00295637">
        <w:rPr>
          <w:rFonts w:ascii="Times New Roman" w:hAnsi="Times New Roman"/>
        </w:rPr>
        <w:t xml:space="preserve"> </w:t>
      </w:r>
      <w:r>
        <w:rPr>
          <w:rFonts w:ascii="Times New Roman" w:hAnsi="Times New Roman"/>
        </w:rPr>
        <w:t>родне</w:t>
      </w:r>
      <w:r w:rsidR="00F1739A" w:rsidRPr="00295637">
        <w:rPr>
          <w:rFonts w:ascii="Times New Roman" w:hAnsi="Times New Roman"/>
        </w:rPr>
        <w:t xml:space="preserve"> </w:t>
      </w:r>
      <w:r>
        <w:rPr>
          <w:rFonts w:ascii="Times New Roman" w:hAnsi="Times New Roman"/>
        </w:rPr>
        <w:t>равнопранвости</w:t>
      </w:r>
      <w:r w:rsidR="00F1739A" w:rsidRPr="00295637">
        <w:rPr>
          <w:rFonts w:ascii="Times New Roman" w:hAnsi="Times New Roman"/>
        </w:rPr>
        <w:t xml:space="preserve"> (</w:t>
      </w:r>
      <w:r>
        <w:rPr>
          <w:rFonts w:ascii="Times New Roman" w:hAnsi="Times New Roman"/>
        </w:rPr>
        <w:t>Женева</w:t>
      </w:r>
      <w:r w:rsidR="00F1739A" w:rsidRPr="00295637">
        <w:rPr>
          <w:rFonts w:ascii="Times New Roman" w:hAnsi="Times New Roman"/>
        </w:rPr>
        <w:t xml:space="preserve">, </w:t>
      </w:r>
      <w:r>
        <w:rPr>
          <w:rFonts w:ascii="Times New Roman" w:hAnsi="Times New Roman"/>
        </w:rPr>
        <w:t>октобар</w:t>
      </w:r>
      <w:r w:rsidR="00680721">
        <w:rPr>
          <w:rFonts w:ascii="Times New Roman" w:hAnsi="Times New Roman"/>
        </w:rPr>
        <w:t>);</w:t>
      </w:r>
      <w:r w:rsidR="00F1739A" w:rsidRPr="00295637">
        <w:rPr>
          <w:rFonts w:ascii="Times New Roman" w:hAnsi="Times New Roman"/>
        </w:rPr>
        <w:t xml:space="preserve"> </w:t>
      </w:r>
    </w:p>
    <w:p w:rsidR="00F1739A" w:rsidRPr="00295637" w:rsidRDefault="00F1739A" w:rsidP="0086268D">
      <w:pPr>
        <w:pStyle w:val="BodyTextIndent"/>
        <w:numPr>
          <w:ilvl w:val="0"/>
          <w:numId w:val="18"/>
        </w:numPr>
        <w:ind w:left="1440" w:hanging="450"/>
        <w:rPr>
          <w:rFonts w:ascii="Times New Roman" w:eastAsiaTheme="minorEastAsia" w:hAnsi="Times New Roman"/>
          <w:szCs w:val="24"/>
          <w:lang w:val="en-US"/>
        </w:rPr>
      </w:pPr>
      <w:r w:rsidRPr="00295637">
        <w:rPr>
          <w:rFonts w:ascii="Times New Roman" w:hAnsi="Times New Roman"/>
        </w:rPr>
        <w:t>„</w:t>
      </w:r>
      <w:r w:rsidR="00C6214E">
        <w:rPr>
          <w:rFonts w:ascii="Times New Roman" w:hAnsi="Times New Roman"/>
        </w:rPr>
        <w:t>Регионални</w:t>
      </w:r>
      <w:r w:rsidRPr="00295637">
        <w:rPr>
          <w:rFonts w:ascii="Times New Roman" w:hAnsi="Times New Roman"/>
        </w:rPr>
        <w:t xml:space="preserve"> </w:t>
      </w:r>
      <w:r w:rsidR="00C6214E">
        <w:rPr>
          <w:rFonts w:ascii="Times New Roman" w:hAnsi="Times New Roman"/>
        </w:rPr>
        <w:t>дијалог</w:t>
      </w:r>
      <w:r w:rsidRPr="00295637">
        <w:rPr>
          <w:rFonts w:ascii="Times New Roman" w:hAnsi="Times New Roman"/>
        </w:rPr>
        <w:t xml:space="preserve"> </w:t>
      </w:r>
      <w:r w:rsidR="00C6214E">
        <w:rPr>
          <w:rFonts w:ascii="Times New Roman" w:hAnsi="Times New Roman"/>
        </w:rPr>
        <w:t>на</w:t>
      </w:r>
      <w:r w:rsidRPr="00295637">
        <w:rPr>
          <w:rFonts w:ascii="Times New Roman" w:hAnsi="Times New Roman"/>
        </w:rPr>
        <w:t xml:space="preserve"> </w:t>
      </w:r>
      <w:r w:rsidR="00C6214E">
        <w:rPr>
          <w:rFonts w:ascii="Times New Roman" w:hAnsi="Times New Roman"/>
        </w:rPr>
        <w:t>тему</w:t>
      </w:r>
      <w:r w:rsidRPr="00295637">
        <w:rPr>
          <w:rFonts w:ascii="Times New Roman" w:hAnsi="Times New Roman"/>
        </w:rPr>
        <w:t xml:space="preserve"> </w:t>
      </w:r>
      <w:r w:rsidR="00C6214E">
        <w:rPr>
          <w:rFonts w:ascii="Times New Roman" w:hAnsi="Times New Roman"/>
        </w:rPr>
        <w:t>инвестирања</w:t>
      </w:r>
      <w:r w:rsidRPr="00295637">
        <w:rPr>
          <w:rFonts w:ascii="Times New Roman" w:hAnsi="Times New Roman"/>
        </w:rPr>
        <w:t xml:space="preserve"> </w:t>
      </w:r>
      <w:r w:rsidR="00C6214E">
        <w:rPr>
          <w:rFonts w:ascii="Times New Roman" w:hAnsi="Times New Roman"/>
        </w:rPr>
        <w:t>у</w:t>
      </w:r>
      <w:r w:rsidRPr="00295637">
        <w:rPr>
          <w:rFonts w:ascii="Times New Roman" w:hAnsi="Times New Roman"/>
        </w:rPr>
        <w:t xml:space="preserve"> </w:t>
      </w:r>
      <w:r w:rsidR="00C6214E">
        <w:rPr>
          <w:rFonts w:ascii="Times New Roman" w:hAnsi="Times New Roman"/>
        </w:rPr>
        <w:t>равноправност</w:t>
      </w:r>
      <w:r w:rsidRPr="00295637">
        <w:rPr>
          <w:rFonts w:ascii="Times New Roman" w:hAnsi="Times New Roman"/>
        </w:rPr>
        <w:t xml:space="preserve"> </w:t>
      </w:r>
      <w:r w:rsidR="00C6214E">
        <w:rPr>
          <w:rFonts w:ascii="Times New Roman" w:hAnsi="Times New Roman"/>
        </w:rPr>
        <w:t>полова</w:t>
      </w:r>
      <w:r w:rsidRPr="00295637">
        <w:rPr>
          <w:rFonts w:ascii="Times New Roman" w:hAnsi="Times New Roman"/>
        </w:rPr>
        <w:t xml:space="preserve"> </w:t>
      </w:r>
      <w:r w:rsidR="00C6214E">
        <w:rPr>
          <w:rFonts w:ascii="Times New Roman" w:hAnsi="Times New Roman"/>
        </w:rPr>
        <w:t>и</w:t>
      </w:r>
      <w:r w:rsidRPr="00295637">
        <w:rPr>
          <w:rFonts w:ascii="Times New Roman" w:hAnsi="Times New Roman"/>
        </w:rPr>
        <w:t xml:space="preserve"> </w:t>
      </w:r>
      <w:r w:rsidR="00C6214E">
        <w:rPr>
          <w:rFonts w:ascii="Times New Roman" w:hAnsi="Times New Roman"/>
        </w:rPr>
        <w:t>инклузивну</w:t>
      </w:r>
      <w:r w:rsidRPr="00295637">
        <w:rPr>
          <w:rFonts w:ascii="Times New Roman" w:hAnsi="Times New Roman"/>
        </w:rPr>
        <w:t xml:space="preserve"> </w:t>
      </w:r>
      <w:r w:rsidR="00C6214E">
        <w:rPr>
          <w:rFonts w:ascii="Times New Roman" w:hAnsi="Times New Roman"/>
        </w:rPr>
        <w:t>климатску</w:t>
      </w:r>
      <w:r w:rsidRPr="00295637">
        <w:rPr>
          <w:rFonts w:ascii="Times New Roman" w:hAnsi="Times New Roman"/>
        </w:rPr>
        <w:t xml:space="preserve"> </w:t>
      </w:r>
      <w:r w:rsidR="00C6214E">
        <w:rPr>
          <w:rFonts w:ascii="Times New Roman" w:hAnsi="Times New Roman"/>
        </w:rPr>
        <w:t>акцију</w:t>
      </w:r>
      <w:r w:rsidRPr="00295637">
        <w:rPr>
          <w:rFonts w:ascii="Times New Roman" w:hAnsi="Times New Roman"/>
        </w:rPr>
        <w:t>“ (</w:t>
      </w:r>
      <w:r w:rsidR="00C6214E">
        <w:rPr>
          <w:rFonts w:ascii="Times New Roman" w:hAnsi="Times New Roman"/>
        </w:rPr>
        <w:t>Истанбул</w:t>
      </w:r>
      <w:r w:rsidRPr="00295637">
        <w:rPr>
          <w:rFonts w:ascii="Times New Roman" w:hAnsi="Times New Roman"/>
        </w:rPr>
        <w:t xml:space="preserve">, </w:t>
      </w:r>
      <w:r w:rsidR="00C6214E">
        <w:rPr>
          <w:rFonts w:ascii="Times New Roman" w:hAnsi="Times New Roman"/>
        </w:rPr>
        <w:t>октобар</w:t>
      </w:r>
      <w:r w:rsidRPr="00295637">
        <w:rPr>
          <w:rFonts w:ascii="Times New Roman" w:hAnsi="Times New Roman"/>
        </w:rPr>
        <w:t>)</w:t>
      </w:r>
      <w:r w:rsidR="00680721">
        <w:rPr>
          <w:rFonts w:ascii="Times New Roman" w:hAnsi="Times New Roman"/>
        </w:rPr>
        <w:t>;</w:t>
      </w:r>
      <w:r w:rsidRPr="00295637">
        <w:rPr>
          <w:rFonts w:ascii="Times New Roman" w:hAnsi="Times New Roman"/>
        </w:rPr>
        <w:t xml:space="preserve"> </w:t>
      </w:r>
    </w:p>
    <w:p w:rsidR="00F1739A" w:rsidRPr="00295637" w:rsidRDefault="00C6214E" w:rsidP="0086268D">
      <w:pPr>
        <w:pStyle w:val="BodyTextIndent"/>
        <w:numPr>
          <w:ilvl w:val="0"/>
          <w:numId w:val="18"/>
        </w:numPr>
        <w:ind w:left="1440" w:hanging="450"/>
        <w:rPr>
          <w:rFonts w:ascii="Times New Roman" w:eastAsiaTheme="minorEastAsia" w:hAnsi="Times New Roman"/>
          <w:szCs w:val="24"/>
          <w:lang w:val="en-US"/>
        </w:rPr>
      </w:pPr>
      <w:r>
        <w:rPr>
          <w:rFonts w:ascii="Times New Roman" w:hAnsi="Times New Roman"/>
          <w:shd w:val="clear" w:color="auto" w:fill="FFFFFF"/>
        </w:rPr>
        <w:t>Заједничка</w:t>
      </w:r>
      <w:r w:rsidR="00F1739A" w:rsidRPr="00295637">
        <w:rPr>
          <w:rFonts w:ascii="Times New Roman" w:hAnsi="Times New Roman"/>
          <w:shd w:val="clear" w:color="auto" w:fill="FFFFFF"/>
        </w:rPr>
        <w:t xml:space="preserve"> </w:t>
      </w:r>
      <w:r>
        <w:rPr>
          <w:rFonts w:ascii="Times New Roman" w:hAnsi="Times New Roman"/>
          <w:shd w:val="clear" w:color="auto" w:fill="FFFFFF"/>
        </w:rPr>
        <w:t>тематска</w:t>
      </w:r>
      <w:r w:rsidR="00F1739A" w:rsidRPr="00295637">
        <w:rPr>
          <w:rFonts w:ascii="Times New Roman" w:hAnsi="Times New Roman"/>
          <w:shd w:val="clear" w:color="auto" w:fill="FFFFFF"/>
        </w:rPr>
        <w:t xml:space="preserve"> </w:t>
      </w:r>
      <w:r>
        <w:rPr>
          <w:rFonts w:ascii="Times New Roman" w:hAnsi="Times New Roman"/>
          <w:shd w:val="clear" w:color="auto" w:fill="FFFFFF"/>
        </w:rPr>
        <w:t>сједница</w:t>
      </w:r>
      <w:r w:rsidR="00F1739A" w:rsidRPr="00295637">
        <w:rPr>
          <w:rFonts w:ascii="Times New Roman" w:hAnsi="Times New Roman"/>
          <w:shd w:val="clear" w:color="auto" w:fill="FFFFFF"/>
        </w:rPr>
        <w:t xml:space="preserve"> </w:t>
      </w:r>
      <w:r>
        <w:rPr>
          <w:rFonts w:ascii="Times New Roman" w:hAnsi="Times New Roman"/>
          <w:shd w:val="clear" w:color="auto" w:fill="FFFFFF"/>
        </w:rPr>
        <w:t>парламентариних</w:t>
      </w:r>
      <w:r w:rsidR="00F1739A" w:rsidRPr="00295637">
        <w:rPr>
          <w:rFonts w:ascii="Times New Roman" w:hAnsi="Times New Roman"/>
          <w:shd w:val="clear" w:color="auto" w:fill="FFFFFF"/>
        </w:rPr>
        <w:t xml:space="preserve"> </w:t>
      </w:r>
      <w:r>
        <w:rPr>
          <w:rFonts w:ascii="Times New Roman" w:hAnsi="Times New Roman"/>
          <w:shd w:val="clear" w:color="auto" w:fill="FFFFFF"/>
        </w:rPr>
        <w:t>комисија</w:t>
      </w:r>
      <w:r w:rsidR="00F1739A" w:rsidRPr="00295637">
        <w:rPr>
          <w:rFonts w:ascii="Times New Roman" w:hAnsi="Times New Roman"/>
          <w:shd w:val="clear" w:color="auto" w:fill="FFFFFF"/>
        </w:rPr>
        <w:t xml:space="preserve"> </w:t>
      </w:r>
      <w:r>
        <w:rPr>
          <w:rFonts w:ascii="Times New Roman" w:hAnsi="Times New Roman"/>
          <w:shd w:val="clear" w:color="auto" w:fill="FFFFFF"/>
        </w:rPr>
        <w:t>Парламента</w:t>
      </w:r>
      <w:r w:rsidR="00F1739A" w:rsidRPr="00295637">
        <w:rPr>
          <w:rFonts w:ascii="Times New Roman" w:hAnsi="Times New Roman"/>
          <w:shd w:val="clear" w:color="auto" w:fill="FFFFFF"/>
        </w:rPr>
        <w:t xml:space="preserve"> </w:t>
      </w:r>
      <w:r>
        <w:rPr>
          <w:rFonts w:ascii="Times New Roman" w:hAnsi="Times New Roman"/>
          <w:shd w:val="clear" w:color="auto" w:fill="FFFFFF"/>
        </w:rPr>
        <w:t>Федерације</w:t>
      </w:r>
      <w:r w:rsidR="00F1739A" w:rsidRPr="00295637">
        <w:rPr>
          <w:rFonts w:ascii="Times New Roman" w:hAnsi="Times New Roman"/>
          <w:shd w:val="clear" w:color="auto" w:fill="FFFFFF"/>
        </w:rPr>
        <w:t xml:space="preserve"> </w:t>
      </w:r>
      <w:r>
        <w:rPr>
          <w:rFonts w:ascii="Times New Roman" w:hAnsi="Times New Roman"/>
          <w:shd w:val="clear" w:color="auto" w:fill="FFFFFF"/>
        </w:rPr>
        <w:t>Босне</w:t>
      </w:r>
      <w:r w:rsidR="00F1739A" w:rsidRPr="00295637">
        <w:rPr>
          <w:rFonts w:ascii="Times New Roman" w:hAnsi="Times New Roman"/>
          <w:shd w:val="clear" w:color="auto" w:fill="FFFFFF"/>
        </w:rPr>
        <w:t xml:space="preserve"> </w:t>
      </w:r>
      <w:r>
        <w:rPr>
          <w:rFonts w:ascii="Times New Roman" w:hAnsi="Times New Roman"/>
          <w:shd w:val="clear" w:color="auto" w:fill="FFFFFF"/>
        </w:rPr>
        <w:t>и</w:t>
      </w:r>
      <w:r w:rsidR="00F1739A" w:rsidRPr="00295637">
        <w:rPr>
          <w:rFonts w:ascii="Times New Roman" w:hAnsi="Times New Roman"/>
          <w:shd w:val="clear" w:color="auto" w:fill="FFFFFF"/>
        </w:rPr>
        <w:t xml:space="preserve"> </w:t>
      </w:r>
      <w:r>
        <w:rPr>
          <w:rFonts w:ascii="Times New Roman" w:hAnsi="Times New Roman"/>
          <w:shd w:val="clear" w:color="auto" w:fill="FFFFFF"/>
        </w:rPr>
        <w:t>Херцеговине</w:t>
      </w:r>
      <w:r w:rsidR="00F1739A" w:rsidRPr="00295637">
        <w:rPr>
          <w:rFonts w:ascii="Times New Roman" w:hAnsi="Times New Roman"/>
          <w:shd w:val="clear" w:color="auto" w:fill="FFFFFF"/>
        </w:rPr>
        <w:t xml:space="preserve"> </w:t>
      </w:r>
      <w:r>
        <w:rPr>
          <w:rFonts w:ascii="Times New Roman" w:hAnsi="Times New Roman"/>
          <w:shd w:val="clear" w:color="auto" w:fill="FFFFFF"/>
        </w:rPr>
        <w:t>на</w:t>
      </w:r>
      <w:r w:rsidR="00F1739A" w:rsidRPr="00295637">
        <w:rPr>
          <w:rFonts w:ascii="Times New Roman" w:hAnsi="Times New Roman"/>
          <w:shd w:val="clear" w:color="auto" w:fill="FFFFFF"/>
        </w:rPr>
        <w:t xml:space="preserve"> </w:t>
      </w:r>
      <w:r>
        <w:rPr>
          <w:rFonts w:ascii="Times New Roman" w:hAnsi="Times New Roman"/>
          <w:shd w:val="clear" w:color="auto" w:fill="FFFFFF"/>
        </w:rPr>
        <w:t>тему</w:t>
      </w:r>
      <w:r w:rsidR="00F1739A" w:rsidRPr="00295637">
        <w:rPr>
          <w:rFonts w:ascii="Times New Roman" w:hAnsi="Times New Roman"/>
          <w:shd w:val="clear" w:color="auto" w:fill="FFFFFF"/>
        </w:rPr>
        <w:t xml:space="preserve"> </w:t>
      </w:r>
      <w:r>
        <w:rPr>
          <w:rFonts w:ascii="Times New Roman" w:hAnsi="Times New Roman"/>
          <w:shd w:val="clear" w:color="auto" w:fill="FFFFFF"/>
        </w:rPr>
        <w:t>институционалног</w:t>
      </w:r>
      <w:r w:rsidR="00F1739A" w:rsidRPr="00295637">
        <w:rPr>
          <w:rFonts w:ascii="Times New Roman" w:hAnsi="Times New Roman"/>
          <w:shd w:val="clear" w:color="auto" w:fill="FFFFFF"/>
        </w:rPr>
        <w:t xml:space="preserve"> </w:t>
      </w:r>
      <w:r>
        <w:rPr>
          <w:rFonts w:ascii="Times New Roman" w:hAnsi="Times New Roman"/>
          <w:shd w:val="clear" w:color="auto" w:fill="FFFFFF"/>
        </w:rPr>
        <w:t>одговора</w:t>
      </w:r>
      <w:r w:rsidR="00F1739A" w:rsidRPr="00295637">
        <w:rPr>
          <w:rFonts w:ascii="Times New Roman" w:hAnsi="Times New Roman"/>
          <w:shd w:val="clear" w:color="auto" w:fill="FFFFFF"/>
        </w:rPr>
        <w:t xml:space="preserve"> </w:t>
      </w:r>
      <w:r>
        <w:rPr>
          <w:rFonts w:ascii="Times New Roman" w:hAnsi="Times New Roman"/>
          <w:shd w:val="clear" w:color="auto" w:fill="FFFFFF"/>
        </w:rPr>
        <w:t>на</w:t>
      </w:r>
      <w:r w:rsidR="00F1739A" w:rsidRPr="00295637">
        <w:rPr>
          <w:rFonts w:ascii="Times New Roman" w:hAnsi="Times New Roman"/>
          <w:shd w:val="clear" w:color="auto" w:fill="FFFFFF"/>
        </w:rPr>
        <w:t xml:space="preserve"> </w:t>
      </w:r>
      <w:r>
        <w:rPr>
          <w:rFonts w:ascii="Times New Roman" w:hAnsi="Times New Roman"/>
          <w:shd w:val="clear" w:color="auto" w:fill="FFFFFF"/>
        </w:rPr>
        <w:t>насиље</w:t>
      </w:r>
      <w:r w:rsidR="00F1739A" w:rsidRPr="00295637">
        <w:rPr>
          <w:rFonts w:ascii="Times New Roman" w:hAnsi="Times New Roman"/>
          <w:shd w:val="clear" w:color="auto" w:fill="FFFFFF"/>
        </w:rPr>
        <w:t xml:space="preserve"> </w:t>
      </w:r>
      <w:r>
        <w:rPr>
          <w:rFonts w:ascii="Times New Roman" w:hAnsi="Times New Roman"/>
          <w:shd w:val="clear" w:color="auto" w:fill="FFFFFF"/>
        </w:rPr>
        <w:t>у</w:t>
      </w:r>
      <w:r w:rsidR="00F1739A" w:rsidRPr="00295637">
        <w:rPr>
          <w:rFonts w:ascii="Times New Roman" w:hAnsi="Times New Roman"/>
          <w:shd w:val="clear" w:color="auto" w:fill="FFFFFF"/>
        </w:rPr>
        <w:t xml:space="preserve"> </w:t>
      </w:r>
      <w:r>
        <w:rPr>
          <w:rFonts w:ascii="Times New Roman" w:hAnsi="Times New Roman"/>
          <w:shd w:val="clear" w:color="auto" w:fill="FFFFFF"/>
        </w:rPr>
        <w:t>породици</w:t>
      </w:r>
      <w:r w:rsidR="00F1739A" w:rsidRPr="00295637">
        <w:rPr>
          <w:rFonts w:ascii="Times New Roman" w:hAnsi="Times New Roman"/>
          <w:shd w:val="clear" w:color="auto" w:fill="FFFFFF"/>
        </w:rPr>
        <w:t xml:space="preserve"> </w:t>
      </w:r>
      <w:r>
        <w:rPr>
          <w:rFonts w:ascii="Times New Roman" w:hAnsi="Times New Roman"/>
          <w:shd w:val="clear" w:color="auto" w:fill="FFFFFF"/>
        </w:rPr>
        <w:t>и</w:t>
      </w:r>
      <w:r w:rsidR="00F1739A" w:rsidRPr="00295637">
        <w:rPr>
          <w:rFonts w:ascii="Times New Roman" w:hAnsi="Times New Roman"/>
          <w:shd w:val="clear" w:color="auto" w:fill="FFFFFF"/>
        </w:rPr>
        <w:t xml:space="preserve"> </w:t>
      </w:r>
      <w:r>
        <w:rPr>
          <w:rFonts w:ascii="Times New Roman" w:hAnsi="Times New Roman"/>
          <w:shd w:val="clear" w:color="auto" w:fill="FFFFFF"/>
        </w:rPr>
        <w:t>насиље</w:t>
      </w:r>
      <w:r w:rsidR="00F1739A" w:rsidRPr="00295637">
        <w:rPr>
          <w:rFonts w:ascii="Times New Roman" w:hAnsi="Times New Roman"/>
          <w:shd w:val="clear" w:color="auto" w:fill="FFFFFF"/>
        </w:rPr>
        <w:t xml:space="preserve"> </w:t>
      </w:r>
      <w:r>
        <w:rPr>
          <w:rFonts w:ascii="Times New Roman" w:hAnsi="Times New Roman"/>
          <w:shd w:val="clear" w:color="auto" w:fill="FFFFFF"/>
        </w:rPr>
        <w:t>над</w:t>
      </w:r>
      <w:r w:rsidR="00F1739A" w:rsidRPr="00295637">
        <w:rPr>
          <w:rFonts w:ascii="Times New Roman" w:hAnsi="Times New Roman"/>
          <w:shd w:val="clear" w:color="auto" w:fill="FFFFFF"/>
        </w:rPr>
        <w:t xml:space="preserve"> </w:t>
      </w:r>
      <w:r>
        <w:rPr>
          <w:rFonts w:ascii="Times New Roman" w:hAnsi="Times New Roman"/>
          <w:shd w:val="clear" w:color="auto" w:fill="FFFFFF"/>
        </w:rPr>
        <w:t>женама</w:t>
      </w:r>
      <w:r w:rsidR="00F1739A" w:rsidRPr="00295637">
        <w:rPr>
          <w:rFonts w:ascii="Times New Roman" w:hAnsi="Times New Roman"/>
          <w:shd w:val="clear" w:color="auto" w:fill="FFFFFF"/>
        </w:rPr>
        <w:t xml:space="preserve"> (</w:t>
      </w:r>
      <w:r>
        <w:rPr>
          <w:rFonts w:ascii="Times New Roman" w:hAnsi="Times New Roman"/>
          <w:shd w:val="clear" w:color="auto" w:fill="FFFFFF"/>
        </w:rPr>
        <w:t>април</w:t>
      </w:r>
      <w:r w:rsidR="00680721">
        <w:rPr>
          <w:rFonts w:ascii="Times New Roman" w:hAnsi="Times New Roman"/>
          <w:shd w:val="clear" w:color="auto" w:fill="FFFFFF"/>
        </w:rPr>
        <w:t>);</w:t>
      </w:r>
      <w:r w:rsidR="00F1739A" w:rsidRPr="00295637">
        <w:rPr>
          <w:rFonts w:ascii="Times New Roman" w:hAnsi="Times New Roman"/>
          <w:shd w:val="clear" w:color="auto" w:fill="FFFFFF"/>
        </w:rPr>
        <w:t xml:space="preserve"> </w:t>
      </w:r>
    </w:p>
    <w:p w:rsidR="00F1739A" w:rsidRPr="00295637" w:rsidRDefault="00C6214E" w:rsidP="0086268D">
      <w:pPr>
        <w:pStyle w:val="BodyTextIndent"/>
        <w:numPr>
          <w:ilvl w:val="0"/>
          <w:numId w:val="18"/>
        </w:numPr>
        <w:ind w:left="1440" w:hanging="450"/>
        <w:rPr>
          <w:rFonts w:ascii="Times New Roman" w:eastAsiaTheme="minorEastAsia" w:hAnsi="Times New Roman"/>
          <w:szCs w:val="24"/>
          <w:lang w:val="en-US"/>
        </w:rPr>
      </w:pPr>
      <w:r>
        <w:rPr>
          <w:rFonts w:ascii="Times New Roman" w:hAnsi="Times New Roman"/>
        </w:rPr>
        <w:t>Радионица</w:t>
      </w:r>
      <w:r w:rsidR="00F1739A" w:rsidRPr="00295637">
        <w:rPr>
          <w:rFonts w:ascii="Times New Roman" w:hAnsi="Times New Roman"/>
        </w:rPr>
        <w:t xml:space="preserve"> </w:t>
      </w:r>
      <w:r>
        <w:rPr>
          <w:rFonts w:ascii="Times New Roman" w:hAnsi="Times New Roman"/>
        </w:rPr>
        <w:t>анализе</w:t>
      </w:r>
      <w:r w:rsidR="00F1739A" w:rsidRPr="00295637">
        <w:rPr>
          <w:rFonts w:ascii="Times New Roman" w:hAnsi="Times New Roman"/>
        </w:rPr>
        <w:t xml:space="preserve"> </w:t>
      </w:r>
      <w:r>
        <w:rPr>
          <w:rFonts w:ascii="Times New Roman" w:hAnsi="Times New Roman"/>
        </w:rPr>
        <w:t>стања</w:t>
      </w:r>
      <w:r w:rsidR="00F1739A" w:rsidRPr="00295637">
        <w:rPr>
          <w:rFonts w:ascii="Times New Roman" w:hAnsi="Times New Roman"/>
        </w:rPr>
        <w:t xml:space="preserve"> – „</w:t>
      </w:r>
      <w:r>
        <w:rPr>
          <w:rFonts w:ascii="Times New Roman" w:hAnsi="Times New Roman"/>
        </w:rPr>
        <w:t>Процјена</w:t>
      </w:r>
      <w:r w:rsidR="00F1739A" w:rsidRPr="00295637">
        <w:rPr>
          <w:rFonts w:ascii="Times New Roman" w:hAnsi="Times New Roman"/>
        </w:rPr>
        <w:t xml:space="preserve"> </w:t>
      </w:r>
      <w:r>
        <w:rPr>
          <w:rFonts w:ascii="Times New Roman" w:hAnsi="Times New Roman"/>
        </w:rPr>
        <w:t>достигнућа</w:t>
      </w:r>
      <w:r w:rsidR="00F1739A" w:rsidRPr="00295637">
        <w:rPr>
          <w:rFonts w:ascii="Times New Roman" w:hAnsi="Times New Roman"/>
        </w:rPr>
        <w:t xml:space="preserve"> </w:t>
      </w:r>
      <w:r>
        <w:rPr>
          <w:rFonts w:ascii="Times New Roman" w:hAnsi="Times New Roman"/>
        </w:rPr>
        <w:t>и</w:t>
      </w:r>
      <w:r w:rsidR="00F1739A" w:rsidRPr="00295637">
        <w:rPr>
          <w:rFonts w:ascii="Times New Roman" w:hAnsi="Times New Roman"/>
        </w:rPr>
        <w:t xml:space="preserve"> </w:t>
      </w:r>
      <w:r>
        <w:rPr>
          <w:rFonts w:ascii="Times New Roman" w:hAnsi="Times New Roman"/>
        </w:rPr>
        <w:t>преосталих</w:t>
      </w:r>
      <w:r w:rsidR="00F1739A" w:rsidRPr="00295637">
        <w:rPr>
          <w:rFonts w:ascii="Times New Roman" w:hAnsi="Times New Roman"/>
        </w:rPr>
        <w:t xml:space="preserve"> </w:t>
      </w:r>
      <w:r>
        <w:rPr>
          <w:rFonts w:ascii="Times New Roman" w:hAnsi="Times New Roman"/>
        </w:rPr>
        <w:t>изазова</w:t>
      </w:r>
      <w:r w:rsidR="00F1739A" w:rsidRPr="00295637">
        <w:rPr>
          <w:rFonts w:ascii="Times New Roman" w:hAnsi="Times New Roman"/>
        </w:rPr>
        <w:t xml:space="preserve"> </w:t>
      </w:r>
      <w:r>
        <w:rPr>
          <w:rFonts w:ascii="Times New Roman" w:hAnsi="Times New Roman"/>
        </w:rPr>
        <w:t>у</w:t>
      </w:r>
      <w:r w:rsidR="00F1739A" w:rsidRPr="00295637">
        <w:rPr>
          <w:rFonts w:ascii="Times New Roman" w:hAnsi="Times New Roman"/>
        </w:rPr>
        <w:t xml:space="preserve"> </w:t>
      </w:r>
      <w:r w:rsidR="00A74E20">
        <w:rPr>
          <w:rFonts w:ascii="Times New Roman" w:hAnsi="Times New Roman"/>
          <w:lang w:val="sr-Cyrl-BA"/>
        </w:rPr>
        <w:t>спровођењу</w:t>
      </w:r>
      <w:r w:rsidR="00F1739A" w:rsidRPr="00295637">
        <w:rPr>
          <w:rFonts w:ascii="Times New Roman" w:hAnsi="Times New Roman"/>
        </w:rPr>
        <w:t xml:space="preserve"> </w:t>
      </w:r>
      <w:r>
        <w:rPr>
          <w:rFonts w:ascii="Times New Roman" w:hAnsi="Times New Roman"/>
        </w:rPr>
        <w:t>системских</w:t>
      </w:r>
      <w:r w:rsidR="00F1739A" w:rsidRPr="00295637">
        <w:rPr>
          <w:rFonts w:ascii="Times New Roman" w:hAnsi="Times New Roman"/>
        </w:rPr>
        <w:t xml:space="preserve"> </w:t>
      </w:r>
      <w:r>
        <w:rPr>
          <w:rFonts w:ascii="Times New Roman" w:hAnsi="Times New Roman"/>
        </w:rPr>
        <w:t>промјена</w:t>
      </w:r>
      <w:r w:rsidR="00F1739A" w:rsidRPr="00295637">
        <w:rPr>
          <w:rFonts w:ascii="Times New Roman" w:hAnsi="Times New Roman"/>
        </w:rPr>
        <w:t xml:space="preserve"> </w:t>
      </w:r>
      <w:r w:rsidR="00A74E20">
        <w:rPr>
          <w:rFonts w:ascii="Times New Roman" w:hAnsi="Times New Roman"/>
          <w:lang w:val="sr-Cyrl-BA"/>
        </w:rPr>
        <w:t>с</w:t>
      </w:r>
      <w:r w:rsidR="00F1739A" w:rsidRPr="00295637">
        <w:rPr>
          <w:rFonts w:ascii="Times New Roman" w:hAnsi="Times New Roman"/>
        </w:rPr>
        <w:t xml:space="preserve"> </w:t>
      </w:r>
      <w:r>
        <w:rPr>
          <w:rFonts w:ascii="Times New Roman" w:hAnsi="Times New Roman"/>
        </w:rPr>
        <w:t>циљ</w:t>
      </w:r>
      <w:r w:rsidR="00A74E20">
        <w:rPr>
          <w:rFonts w:ascii="Times New Roman" w:hAnsi="Times New Roman"/>
          <w:lang w:val="sr-Cyrl-BA"/>
        </w:rPr>
        <w:t>ем</w:t>
      </w:r>
      <w:r w:rsidR="00680721">
        <w:rPr>
          <w:rFonts w:ascii="Times New Roman" w:hAnsi="Times New Roman"/>
        </w:rPr>
        <w:t xml:space="preserve"> </w:t>
      </w:r>
      <w:r w:rsidR="00A74E20">
        <w:rPr>
          <w:rFonts w:ascii="Times New Roman" w:hAnsi="Times New Roman"/>
        </w:rPr>
        <w:t>сузбија</w:t>
      </w:r>
      <w:r>
        <w:rPr>
          <w:rFonts w:ascii="Times New Roman" w:hAnsi="Times New Roman"/>
        </w:rPr>
        <w:t>ња</w:t>
      </w:r>
      <w:r w:rsidR="00680721">
        <w:rPr>
          <w:rFonts w:ascii="Times New Roman" w:hAnsi="Times New Roman"/>
        </w:rPr>
        <w:t xml:space="preserve"> </w:t>
      </w:r>
      <w:r>
        <w:rPr>
          <w:rFonts w:ascii="Times New Roman" w:hAnsi="Times New Roman"/>
        </w:rPr>
        <w:t>насиља</w:t>
      </w:r>
      <w:r w:rsidR="00680721">
        <w:rPr>
          <w:rFonts w:ascii="Times New Roman" w:hAnsi="Times New Roman"/>
        </w:rPr>
        <w:t>“ (</w:t>
      </w:r>
      <w:r>
        <w:rPr>
          <w:rFonts w:ascii="Times New Roman" w:hAnsi="Times New Roman"/>
        </w:rPr>
        <w:t>фебруар</w:t>
      </w:r>
      <w:r w:rsidR="00680721">
        <w:rPr>
          <w:rFonts w:ascii="Times New Roman" w:hAnsi="Times New Roman"/>
        </w:rPr>
        <w:t>);</w:t>
      </w:r>
    </w:p>
    <w:p w:rsidR="00F1739A" w:rsidRPr="00295637" w:rsidRDefault="00C6214E" w:rsidP="0086268D">
      <w:pPr>
        <w:pStyle w:val="BodyTextIndent"/>
        <w:numPr>
          <w:ilvl w:val="0"/>
          <w:numId w:val="18"/>
        </w:numPr>
        <w:ind w:left="1440" w:hanging="450"/>
        <w:rPr>
          <w:rFonts w:ascii="Times New Roman" w:eastAsiaTheme="minorEastAsia" w:hAnsi="Times New Roman"/>
          <w:szCs w:val="24"/>
          <w:lang w:val="en-US"/>
        </w:rPr>
      </w:pPr>
      <w:r>
        <w:rPr>
          <w:rFonts w:ascii="Times New Roman" w:hAnsi="Times New Roman"/>
        </w:rPr>
        <w:t>Регионална</w:t>
      </w:r>
      <w:r w:rsidR="00F1739A" w:rsidRPr="00295637">
        <w:rPr>
          <w:rFonts w:ascii="Times New Roman" w:hAnsi="Times New Roman"/>
        </w:rPr>
        <w:t xml:space="preserve"> </w:t>
      </w:r>
      <w:r>
        <w:rPr>
          <w:rFonts w:ascii="Times New Roman" w:hAnsi="Times New Roman"/>
        </w:rPr>
        <w:t>конференција</w:t>
      </w:r>
      <w:r w:rsidR="00F1739A" w:rsidRPr="00295637">
        <w:rPr>
          <w:rFonts w:ascii="Times New Roman" w:hAnsi="Times New Roman"/>
        </w:rPr>
        <w:t xml:space="preserve"> „</w:t>
      </w:r>
      <w:r>
        <w:rPr>
          <w:rFonts w:ascii="Times New Roman" w:hAnsi="Times New Roman"/>
        </w:rPr>
        <w:t>Простор</w:t>
      </w:r>
      <w:r w:rsidR="00F1739A" w:rsidRPr="00295637">
        <w:rPr>
          <w:rFonts w:ascii="Times New Roman" w:hAnsi="Times New Roman"/>
        </w:rPr>
        <w:t xml:space="preserve"> </w:t>
      </w:r>
      <w:r>
        <w:rPr>
          <w:rFonts w:ascii="Times New Roman" w:hAnsi="Times New Roman"/>
        </w:rPr>
        <w:t>и</w:t>
      </w:r>
      <w:r w:rsidR="00F1739A" w:rsidRPr="00295637">
        <w:rPr>
          <w:rFonts w:ascii="Times New Roman" w:hAnsi="Times New Roman"/>
        </w:rPr>
        <w:t xml:space="preserve"> </w:t>
      </w:r>
      <w:r>
        <w:rPr>
          <w:rFonts w:ascii="Times New Roman" w:hAnsi="Times New Roman"/>
        </w:rPr>
        <w:t>услуге</w:t>
      </w:r>
      <w:r w:rsidR="00F1739A" w:rsidRPr="00295637">
        <w:rPr>
          <w:rFonts w:ascii="Times New Roman" w:hAnsi="Times New Roman"/>
        </w:rPr>
        <w:t xml:space="preserve"> </w:t>
      </w:r>
      <w:r>
        <w:rPr>
          <w:rFonts w:ascii="Times New Roman" w:hAnsi="Times New Roman"/>
        </w:rPr>
        <w:t>заштите</w:t>
      </w:r>
      <w:r w:rsidR="00F1739A" w:rsidRPr="00295637">
        <w:rPr>
          <w:rFonts w:ascii="Times New Roman" w:hAnsi="Times New Roman"/>
        </w:rPr>
        <w:t xml:space="preserve"> </w:t>
      </w:r>
      <w:r>
        <w:rPr>
          <w:rFonts w:ascii="Times New Roman" w:hAnsi="Times New Roman"/>
        </w:rPr>
        <w:t>ЛГБТИ</w:t>
      </w:r>
      <w:r w:rsidR="00F1739A" w:rsidRPr="00295637">
        <w:rPr>
          <w:rFonts w:ascii="Times New Roman" w:hAnsi="Times New Roman"/>
        </w:rPr>
        <w:t xml:space="preserve"> </w:t>
      </w:r>
      <w:r>
        <w:rPr>
          <w:rFonts w:ascii="Times New Roman" w:hAnsi="Times New Roman"/>
        </w:rPr>
        <w:t>заједница</w:t>
      </w:r>
      <w:r w:rsidR="00F1739A" w:rsidRPr="00295637">
        <w:rPr>
          <w:rFonts w:ascii="Times New Roman" w:hAnsi="Times New Roman"/>
        </w:rPr>
        <w:t>“ (</w:t>
      </w:r>
      <w:r>
        <w:rPr>
          <w:rFonts w:ascii="Times New Roman" w:hAnsi="Times New Roman"/>
        </w:rPr>
        <w:t>јуни</w:t>
      </w:r>
      <w:r w:rsidR="00554494">
        <w:rPr>
          <w:rFonts w:ascii="Times New Roman" w:hAnsi="Times New Roman"/>
        </w:rPr>
        <w:t>);</w:t>
      </w:r>
    </w:p>
    <w:p w:rsidR="00F1739A" w:rsidRPr="00295637" w:rsidRDefault="00C6214E" w:rsidP="0086268D">
      <w:pPr>
        <w:pStyle w:val="BodyTextIndent"/>
        <w:numPr>
          <w:ilvl w:val="0"/>
          <w:numId w:val="18"/>
        </w:numPr>
        <w:ind w:left="1440" w:hanging="450"/>
        <w:rPr>
          <w:rFonts w:ascii="Times New Roman" w:eastAsiaTheme="minorEastAsia" w:hAnsi="Times New Roman"/>
          <w:szCs w:val="24"/>
          <w:lang w:val="en-US"/>
        </w:rPr>
      </w:pPr>
      <w:r>
        <w:rPr>
          <w:rFonts w:ascii="Times New Roman" w:hAnsi="Times New Roman"/>
        </w:rPr>
        <w:t>Регионална</w:t>
      </w:r>
      <w:r w:rsidR="00680721">
        <w:rPr>
          <w:rFonts w:ascii="Times New Roman" w:hAnsi="Times New Roman"/>
        </w:rPr>
        <w:t xml:space="preserve"> </w:t>
      </w:r>
      <w:r>
        <w:rPr>
          <w:rFonts w:ascii="Times New Roman" w:hAnsi="Times New Roman"/>
        </w:rPr>
        <w:t>конференција</w:t>
      </w:r>
      <w:r w:rsidR="00680721">
        <w:rPr>
          <w:rFonts w:ascii="Times New Roman" w:hAnsi="Times New Roman"/>
        </w:rPr>
        <w:t xml:space="preserve"> </w:t>
      </w:r>
      <w:r>
        <w:rPr>
          <w:rFonts w:ascii="Times New Roman" w:hAnsi="Times New Roman"/>
        </w:rPr>
        <w:t>о</w:t>
      </w:r>
      <w:r w:rsidR="00680721">
        <w:rPr>
          <w:rFonts w:ascii="Times New Roman" w:hAnsi="Times New Roman"/>
        </w:rPr>
        <w:t xml:space="preserve"> </w:t>
      </w:r>
      <w:r>
        <w:rPr>
          <w:rFonts w:ascii="Times New Roman" w:hAnsi="Times New Roman"/>
        </w:rPr>
        <w:t>обавезама</w:t>
      </w:r>
      <w:r w:rsidR="00F1739A" w:rsidRPr="00295637">
        <w:rPr>
          <w:rFonts w:ascii="Times New Roman" w:hAnsi="Times New Roman"/>
        </w:rPr>
        <w:t xml:space="preserve"> </w:t>
      </w:r>
      <w:r>
        <w:rPr>
          <w:rFonts w:ascii="Times New Roman" w:hAnsi="Times New Roman"/>
        </w:rPr>
        <w:t>нових</w:t>
      </w:r>
      <w:r w:rsidR="00F1739A" w:rsidRPr="00295637">
        <w:rPr>
          <w:rFonts w:ascii="Times New Roman" w:hAnsi="Times New Roman"/>
        </w:rPr>
        <w:t xml:space="preserve"> </w:t>
      </w:r>
      <w:r>
        <w:rPr>
          <w:rFonts w:ascii="Times New Roman" w:hAnsi="Times New Roman"/>
        </w:rPr>
        <w:t>директива</w:t>
      </w:r>
      <w:r w:rsidR="00F1739A" w:rsidRPr="00295637">
        <w:rPr>
          <w:rFonts w:ascii="Times New Roman" w:hAnsi="Times New Roman"/>
        </w:rPr>
        <w:t xml:space="preserve"> </w:t>
      </w:r>
      <w:r>
        <w:rPr>
          <w:rFonts w:ascii="Times New Roman" w:hAnsi="Times New Roman"/>
        </w:rPr>
        <w:t>о</w:t>
      </w:r>
      <w:r w:rsidR="00F1739A" w:rsidRPr="00295637">
        <w:rPr>
          <w:rFonts w:ascii="Times New Roman" w:hAnsi="Times New Roman"/>
        </w:rPr>
        <w:t xml:space="preserve"> </w:t>
      </w:r>
      <w:r>
        <w:rPr>
          <w:rFonts w:ascii="Times New Roman" w:hAnsi="Times New Roman"/>
        </w:rPr>
        <w:t>органима</w:t>
      </w:r>
      <w:r w:rsidR="00F1739A" w:rsidRPr="00295637">
        <w:rPr>
          <w:rFonts w:ascii="Times New Roman" w:hAnsi="Times New Roman"/>
        </w:rPr>
        <w:t xml:space="preserve"> </w:t>
      </w:r>
      <w:r>
        <w:rPr>
          <w:rFonts w:ascii="Times New Roman" w:hAnsi="Times New Roman"/>
        </w:rPr>
        <w:t>за</w:t>
      </w:r>
      <w:r w:rsidR="00F1739A" w:rsidRPr="00295637">
        <w:rPr>
          <w:rFonts w:ascii="Times New Roman" w:hAnsi="Times New Roman"/>
        </w:rPr>
        <w:t xml:space="preserve"> </w:t>
      </w:r>
      <w:r>
        <w:rPr>
          <w:rFonts w:ascii="Times New Roman" w:hAnsi="Times New Roman"/>
        </w:rPr>
        <w:t>једнакост</w:t>
      </w:r>
      <w:r w:rsidR="00F1739A" w:rsidRPr="00295637">
        <w:rPr>
          <w:rFonts w:ascii="Times New Roman" w:hAnsi="Times New Roman"/>
        </w:rPr>
        <w:t xml:space="preserve"> (</w:t>
      </w:r>
      <w:r>
        <w:rPr>
          <w:rFonts w:ascii="Times New Roman" w:hAnsi="Times New Roman"/>
        </w:rPr>
        <w:t>новембар</w:t>
      </w:r>
      <w:r w:rsidR="00680721">
        <w:rPr>
          <w:rFonts w:ascii="Times New Roman" w:hAnsi="Times New Roman"/>
        </w:rPr>
        <w:t>);</w:t>
      </w:r>
      <w:r w:rsidR="00F1739A" w:rsidRPr="00295637">
        <w:rPr>
          <w:rFonts w:ascii="Times New Roman" w:hAnsi="Times New Roman"/>
        </w:rPr>
        <w:t xml:space="preserve"> </w:t>
      </w:r>
    </w:p>
    <w:p w:rsidR="00F1739A" w:rsidRPr="00295637" w:rsidRDefault="00C6214E" w:rsidP="0086268D">
      <w:pPr>
        <w:pStyle w:val="BodyTextIndent"/>
        <w:numPr>
          <w:ilvl w:val="0"/>
          <w:numId w:val="18"/>
        </w:numPr>
        <w:ind w:left="1440" w:hanging="450"/>
        <w:rPr>
          <w:rFonts w:ascii="Times New Roman" w:eastAsiaTheme="minorEastAsia" w:hAnsi="Times New Roman"/>
          <w:szCs w:val="24"/>
          <w:lang w:val="en-US"/>
        </w:rPr>
      </w:pPr>
      <w:r>
        <w:rPr>
          <w:rFonts w:ascii="Times New Roman" w:hAnsi="Times New Roman"/>
        </w:rPr>
        <w:t>Радионица</w:t>
      </w:r>
      <w:r w:rsidR="00F1739A" w:rsidRPr="00295637">
        <w:rPr>
          <w:rFonts w:ascii="Times New Roman" w:hAnsi="Times New Roman"/>
        </w:rPr>
        <w:t xml:space="preserve"> </w:t>
      </w:r>
      <w:r>
        <w:rPr>
          <w:rFonts w:ascii="Times New Roman" w:hAnsi="Times New Roman"/>
        </w:rPr>
        <w:t>Секретаријата</w:t>
      </w:r>
      <w:r w:rsidR="00F1739A" w:rsidRPr="00295637">
        <w:rPr>
          <w:rFonts w:ascii="Times New Roman" w:hAnsi="Times New Roman"/>
        </w:rPr>
        <w:t xml:space="preserve"> </w:t>
      </w:r>
      <w:r>
        <w:rPr>
          <w:rFonts w:ascii="Times New Roman" w:hAnsi="Times New Roman"/>
        </w:rPr>
        <w:t>ГРЕВИО</w:t>
      </w:r>
      <w:r w:rsidR="00F1739A" w:rsidRPr="00295637">
        <w:rPr>
          <w:rFonts w:ascii="Times New Roman" w:hAnsi="Times New Roman"/>
        </w:rPr>
        <w:t xml:space="preserve"> </w:t>
      </w:r>
      <w:r>
        <w:rPr>
          <w:rFonts w:ascii="Times New Roman" w:hAnsi="Times New Roman"/>
        </w:rPr>
        <w:t>на</w:t>
      </w:r>
      <w:r w:rsidR="00F1739A" w:rsidRPr="00295637">
        <w:rPr>
          <w:rFonts w:ascii="Times New Roman" w:hAnsi="Times New Roman"/>
        </w:rPr>
        <w:t xml:space="preserve"> </w:t>
      </w:r>
      <w:r>
        <w:rPr>
          <w:rFonts w:ascii="Times New Roman" w:hAnsi="Times New Roman"/>
        </w:rPr>
        <w:t>тему</w:t>
      </w:r>
      <w:r w:rsidR="00F1739A" w:rsidRPr="00295637">
        <w:rPr>
          <w:rFonts w:ascii="Times New Roman" w:hAnsi="Times New Roman"/>
        </w:rPr>
        <w:t xml:space="preserve"> „</w:t>
      </w:r>
      <w:r w:rsidR="00A74E20">
        <w:rPr>
          <w:rFonts w:ascii="Times New Roman" w:hAnsi="Times New Roman"/>
          <w:lang w:val="sr-Cyrl-BA"/>
        </w:rPr>
        <w:t>Спровођење</w:t>
      </w:r>
      <w:r w:rsidR="006F2DED">
        <w:rPr>
          <w:rFonts w:ascii="Times New Roman" w:hAnsi="Times New Roman"/>
        </w:rPr>
        <w:t xml:space="preserve"> </w:t>
      </w:r>
      <w:r>
        <w:rPr>
          <w:rFonts w:ascii="Times New Roman" w:hAnsi="Times New Roman"/>
        </w:rPr>
        <w:t>ГРЕВИО</w:t>
      </w:r>
      <w:r w:rsidR="006F2DED">
        <w:rPr>
          <w:rFonts w:ascii="Times New Roman" w:hAnsi="Times New Roman"/>
        </w:rPr>
        <w:t xml:space="preserve"> </w:t>
      </w:r>
      <w:r w:rsidR="003601A7">
        <w:rPr>
          <w:rFonts w:ascii="Times New Roman" w:hAnsi="Times New Roman"/>
          <w:lang w:val="sr-Cyrl-BA"/>
        </w:rPr>
        <w:t>п</w:t>
      </w:r>
      <w:r>
        <w:rPr>
          <w:rFonts w:ascii="Times New Roman" w:hAnsi="Times New Roman"/>
        </w:rPr>
        <w:t>репорука</w:t>
      </w:r>
      <w:r w:rsidR="00F1739A" w:rsidRPr="00295637">
        <w:rPr>
          <w:rFonts w:ascii="Times New Roman" w:hAnsi="Times New Roman"/>
        </w:rPr>
        <w:t>“ (</w:t>
      </w:r>
      <w:r>
        <w:rPr>
          <w:rFonts w:ascii="Times New Roman" w:hAnsi="Times New Roman"/>
        </w:rPr>
        <w:t>новембар</w:t>
      </w:r>
      <w:r w:rsidR="00680721">
        <w:rPr>
          <w:rFonts w:ascii="Times New Roman" w:hAnsi="Times New Roman"/>
        </w:rPr>
        <w:t>);</w:t>
      </w:r>
      <w:r w:rsidR="00F1739A" w:rsidRPr="00295637">
        <w:rPr>
          <w:rFonts w:ascii="Times New Roman" w:hAnsi="Times New Roman"/>
        </w:rPr>
        <w:t xml:space="preserve"> </w:t>
      </w:r>
    </w:p>
    <w:p w:rsidR="00F1739A" w:rsidRPr="00295637" w:rsidRDefault="00C6214E" w:rsidP="0086268D">
      <w:pPr>
        <w:pStyle w:val="ListParagraph"/>
        <w:numPr>
          <w:ilvl w:val="0"/>
          <w:numId w:val="18"/>
        </w:numPr>
        <w:ind w:left="1440" w:hanging="450"/>
        <w:rPr>
          <w:rFonts w:ascii="Times New Roman" w:eastAsiaTheme="minorEastAsia" w:hAnsi="Times New Roman"/>
          <w:szCs w:val="24"/>
          <w:lang w:val="en-US"/>
        </w:rPr>
      </w:pPr>
      <w:r>
        <w:rPr>
          <w:rFonts w:ascii="Times New Roman" w:hAnsi="Times New Roman"/>
        </w:rPr>
        <w:t>Округли</w:t>
      </w:r>
      <w:r w:rsidR="00F1739A" w:rsidRPr="00295637">
        <w:rPr>
          <w:rFonts w:ascii="Times New Roman" w:hAnsi="Times New Roman"/>
        </w:rPr>
        <w:t xml:space="preserve"> </w:t>
      </w:r>
      <w:r>
        <w:rPr>
          <w:rFonts w:ascii="Times New Roman" w:hAnsi="Times New Roman"/>
        </w:rPr>
        <w:t>сто</w:t>
      </w:r>
      <w:r w:rsidR="00F1739A" w:rsidRPr="00295637">
        <w:rPr>
          <w:rFonts w:ascii="Times New Roman" w:hAnsi="Times New Roman"/>
        </w:rPr>
        <w:t xml:space="preserve"> „</w:t>
      </w:r>
      <w:r>
        <w:rPr>
          <w:rFonts w:ascii="Times New Roman" w:hAnsi="Times New Roman"/>
        </w:rPr>
        <w:t>Положај</w:t>
      </w:r>
      <w:r w:rsidR="00F1739A" w:rsidRPr="00295637">
        <w:rPr>
          <w:rFonts w:ascii="Times New Roman" w:hAnsi="Times New Roman"/>
        </w:rPr>
        <w:t xml:space="preserve"> </w:t>
      </w:r>
      <w:r>
        <w:rPr>
          <w:rFonts w:ascii="Times New Roman" w:hAnsi="Times New Roman"/>
        </w:rPr>
        <w:t>полицијских</w:t>
      </w:r>
      <w:r w:rsidR="00F1739A" w:rsidRPr="00295637">
        <w:rPr>
          <w:rFonts w:ascii="Times New Roman" w:hAnsi="Times New Roman"/>
        </w:rPr>
        <w:t xml:space="preserve"> </w:t>
      </w:r>
      <w:r>
        <w:rPr>
          <w:rFonts w:ascii="Times New Roman" w:hAnsi="Times New Roman"/>
        </w:rPr>
        <w:t>службеница</w:t>
      </w:r>
      <w:r w:rsidR="00F1739A" w:rsidRPr="00295637">
        <w:rPr>
          <w:rFonts w:ascii="Times New Roman" w:hAnsi="Times New Roman"/>
        </w:rPr>
        <w:t xml:space="preserve"> </w:t>
      </w:r>
      <w:r>
        <w:rPr>
          <w:rFonts w:ascii="Times New Roman" w:hAnsi="Times New Roman"/>
        </w:rPr>
        <w:t>у</w:t>
      </w:r>
      <w:r w:rsidR="00680721">
        <w:rPr>
          <w:rFonts w:ascii="Times New Roman" w:hAnsi="Times New Roman"/>
        </w:rPr>
        <w:t xml:space="preserve"> </w:t>
      </w:r>
      <w:r>
        <w:rPr>
          <w:rFonts w:ascii="Times New Roman" w:hAnsi="Times New Roman"/>
        </w:rPr>
        <w:t>БиХ</w:t>
      </w:r>
      <w:r w:rsidR="00F1739A" w:rsidRPr="00295637">
        <w:rPr>
          <w:rFonts w:ascii="Times New Roman" w:hAnsi="Times New Roman"/>
        </w:rPr>
        <w:t>“ (</w:t>
      </w:r>
      <w:r>
        <w:rPr>
          <w:rFonts w:ascii="Times New Roman" w:hAnsi="Times New Roman"/>
        </w:rPr>
        <w:t>новембар</w:t>
      </w:r>
      <w:r w:rsidR="00F1739A" w:rsidRPr="00295637">
        <w:rPr>
          <w:rFonts w:ascii="Times New Roman" w:hAnsi="Times New Roman"/>
        </w:rPr>
        <w:t xml:space="preserve">), </w:t>
      </w:r>
      <w:r w:rsidR="00680721">
        <w:rPr>
          <w:rFonts w:ascii="Times New Roman" w:hAnsi="Times New Roman"/>
        </w:rPr>
        <w:t>„</w:t>
      </w:r>
      <w:r>
        <w:rPr>
          <w:rFonts w:ascii="Times New Roman" w:hAnsi="Times New Roman"/>
        </w:rPr>
        <w:t>Родни</w:t>
      </w:r>
      <w:r w:rsidR="00F1739A" w:rsidRPr="00295637">
        <w:rPr>
          <w:rFonts w:ascii="Times New Roman" w:hAnsi="Times New Roman"/>
        </w:rPr>
        <w:t xml:space="preserve"> </w:t>
      </w:r>
      <w:r>
        <w:rPr>
          <w:rFonts w:ascii="Times New Roman" w:hAnsi="Times New Roman"/>
        </w:rPr>
        <w:t>аспекти</w:t>
      </w:r>
      <w:r w:rsidR="00F1739A" w:rsidRPr="00295637">
        <w:rPr>
          <w:rFonts w:ascii="Times New Roman" w:hAnsi="Times New Roman"/>
        </w:rPr>
        <w:t xml:space="preserve"> </w:t>
      </w:r>
      <w:r>
        <w:rPr>
          <w:rFonts w:ascii="Times New Roman" w:hAnsi="Times New Roman"/>
        </w:rPr>
        <w:t>и</w:t>
      </w:r>
      <w:r w:rsidR="00F1739A" w:rsidRPr="00295637">
        <w:rPr>
          <w:rFonts w:ascii="Times New Roman" w:hAnsi="Times New Roman"/>
        </w:rPr>
        <w:t xml:space="preserve"> </w:t>
      </w:r>
      <w:r>
        <w:rPr>
          <w:rFonts w:ascii="Times New Roman" w:hAnsi="Times New Roman"/>
        </w:rPr>
        <w:t>управљање</w:t>
      </w:r>
      <w:r w:rsidR="00F1739A" w:rsidRPr="00295637">
        <w:rPr>
          <w:rFonts w:ascii="Times New Roman" w:hAnsi="Times New Roman"/>
        </w:rPr>
        <w:t xml:space="preserve"> </w:t>
      </w:r>
      <w:r w:rsidR="003601A7">
        <w:rPr>
          <w:rFonts w:ascii="Times New Roman" w:hAnsi="Times New Roman"/>
          <w:i/>
        </w:rPr>
        <w:t>POPs</w:t>
      </w:r>
      <w:r w:rsidR="00F1739A" w:rsidRPr="00295637">
        <w:rPr>
          <w:rFonts w:ascii="Times New Roman" w:hAnsi="Times New Roman"/>
        </w:rPr>
        <w:t xml:space="preserve"> </w:t>
      </w:r>
      <w:r>
        <w:rPr>
          <w:rFonts w:ascii="Times New Roman" w:hAnsi="Times New Roman"/>
        </w:rPr>
        <w:t>супстанцама</w:t>
      </w:r>
      <w:r w:rsidR="00680721">
        <w:rPr>
          <w:rFonts w:ascii="Times New Roman" w:hAnsi="Times New Roman"/>
        </w:rPr>
        <w:t>“</w:t>
      </w:r>
      <w:r w:rsidR="00F1739A" w:rsidRPr="00295637">
        <w:rPr>
          <w:rFonts w:ascii="Times New Roman" w:hAnsi="Times New Roman"/>
        </w:rPr>
        <w:t xml:space="preserve"> (</w:t>
      </w:r>
      <w:r>
        <w:rPr>
          <w:rFonts w:ascii="Times New Roman" w:hAnsi="Times New Roman"/>
        </w:rPr>
        <w:t>децембар</w:t>
      </w:r>
      <w:r w:rsidR="00680721">
        <w:rPr>
          <w:rFonts w:ascii="Times New Roman" w:hAnsi="Times New Roman"/>
        </w:rPr>
        <w:t>);</w:t>
      </w:r>
      <w:r w:rsidR="00F1739A" w:rsidRPr="00295637">
        <w:rPr>
          <w:rFonts w:ascii="Times New Roman" w:eastAsiaTheme="minorEastAsia" w:hAnsi="Times New Roman"/>
          <w:szCs w:val="24"/>
          <w:lang w:val="en-US"/>
        </w:rPr>
        <w:t xml:space="preserve"> </w:t>
      </w:r>
    </w:p>
    <w:p w:rsidR="001553F4" w:rsidRPr="00295637" w:rsidRDefault="00602C40" w:rsidP="0086268D">
      <w:pPr>
        <w:pStyle w:val="ListParagraph"/>
        <w:numPr>
          <w:ilvl w:val="0"/>
          <w:numId w:val="18"/>
        </w:numPr>
        <w:ind w:left="1440" w:hanging="450"/>
        <w:rPr>
          <w:rFonts w:ascii="Times New Roman" w:eastAsiaTheme="minorEastAsia" w:hAnsi="Times New Roman"/>
          <w:szCs w:val="24"/>
          <w:lang w:val="en-US"/>
        </w:rPr>
      </w:pPr>
      <w:r w:rsidRPr="00295637">
        <w:rPr>
          <w:rFonts w:ascii="Times New Roman" w:eastAsiaTheme="minorEastAsia" w:hAnsi="Times New Roman"/>
          <w:szCs w:val="24"/>
          <w:lang w:val="en-US"/>
        </w:rPr>
        <w:t>“</w:t>
      </w:r>
      <w:r w:rsidR="00C6214E">
        <w:rPr>
          <w:rFonts w:ascii="Times New Roman" w:eastAsiaTheme="minorEastAsia" w:hAnsi="Times New Roman"/>
          <w:szCs w:val="24"/>
          <w:lang w:val="en-US"/>
        </w:rPr>
        <w:t>Родна</w:t>
      </w:r>
      <w:r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равноправност</w:t>
      </w:r>
      <w:r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и</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родно</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заснована</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дискриминација</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у</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полицијским</w:t>
      </w:r>
      <w:r w:rsidR="00F1739A"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структурама</w:t>
      </w:r>
      <w:r w:rsidR="00F1739A"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у</w:t>
      </w:r>
      <w:r w:rsidR="00F1739A"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Босни</w:t>
      </w:r>
      <w:r w:rsidR="00F1739A"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и</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Херцеговини</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у</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сарадњи</w:t>
      </w:r>
      <w:r w:rsidR="00680721">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са</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Удружењем</w:t>
      </w:r>
      <w:r w:rsidR="00C27559" w:rsidRPr="00295637">
        <w:rPr>
          <w:rFonts w:ascii="Times New Roman" w:eastAsiaTheme="minorEastAsia" w:hAnsi="Times New Roman"/>
          <w:szCs w:val="24"/>
          <w:lang w:val="en-US"/>
        </w:rPr>
        <w:t xml:space="preserve"> </w:t>
      </w:r>
      <w:r w:rsidR="00F1739A" w:rsidRPr="00295637">
        <w:rPr>
          <w:rFonts w:ascii="Times New Roman" w:eastAsiaTheme="minorEastAsia" w:hAnsi="Times New Roman"/>
          <w:szCs w:val="24"/>
          <w:lang w:val="en-US"/>
        </w:rPr>
        <w:t>“</w:t>
      </w:r>
      <w:r w:rsidR="00C6214E">
        <w:rPr>
          <w:rFonts w:ascii="Times New Roman" w:eastAsiaTheme="minorEastAsia" w:hAnsi="Times New Roman"/>
          <w:szCs w:val="24"/>
          <w:lang w:val="en-US"/>
        </w:rPr>
        <w:t>Мрежа</w:t>
      </w:r>
      <w:r w:rsidR="00F1739A"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полицијских</w:t>
      </w:r>
      <w:r w:rsidR="00F1739A"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служберница</w:t>
      </w:r>
      <w:r w:rsidR="00680721">
        <w:rPr>
          <w:rFonts w:ascii="Times New Roman" w:eastAsiaTheme="minorEastAsia" w:hAnsi="Times New Roman"/>
          <w:szCs w:val="24"/>
          <w:lang w:val="en-US"/>
        </w:rPr>
        <w:t>”</w:t>
      </w:r>
      <w:r w:rsidR="00F1739A"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и</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уз</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подршку</w:t>
      </w:r>
      <w:r w:rsidR="00C27559"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пројекта</w:t>
      </w:r>
      <w:r w:rsidR="00C27559" w:rsidRPr="00295637">
        <w:rPr>
          <w:rFonts w:ascii="Times New Roman" w:eastAsiaTheme="minorEastAsia" w:hAnsi="Times New Roman"/>
          <w:szCs w:val="24"/>
          <w:lang w:val="en-US"/>
        </w:rPr>
        <w:t xml:space="preserve"> </w:t>
      </w:r>
      <w:r w:rsidRPr="00295637">
        <w:rPr>
          <w:rFonts w:ascii="Times New Roman" w:eastAsiaTheme="minorEastAsia" w:hAnsi="Times New Roman"/>
          <w:szCs w:val="24"/>
          <w:lang w:val="en-US"/>
        </w:rPr>
        <w:t>“</w:t>
      </w:r>
      <w:r w:rsidR="00C6214E">
        <w:rPr>
          <w:rFonts w:ascii="Times New Roman" w:eastAsiaTheme="minorEastAsia" w:hAnsi="Times New Roman"/>
          <w:szCs w:val="24"/>
          <w:lang w:val="en-US"/>
        </w:rPr>
        <w:t>ЕУ</w:t>
      </w:r>
      <w:r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за</w:t>
      </w:r>
      <w:r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људска</w:t>
      </w:r>
      <w:r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права</w:t>
      </w:r>
      <w:r w:rsidRPr="00295637">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и</w:t>
      </w:r>
      <w:r w:rsidR="00680721">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сузбијање</w:t>
      </w:r>
      <w:r w:rsidR="00680721">
        <w:rPr>
          <w:rFonts w:ascii="Times New Roman" w:eastAsiaTheme="minorEastAsia" w:hAnsi="Times New Roman"/>
          <w:szCs w:val="24"/>
          <w:lang w:val="en-US"/>
        </w:rPr>
        <w:t xml:space="preserve"> </w:t>
      </w:r>
      <w:r w:rsidR="00C6214E">
        <w:rPr>
          <w:rFonts w:ascii="Times New Roman" w:eastAsiaTheme="minorEastAsia" w:hAnsi="Times New Roman"/>
          <w:szCs w:val="24"/>
          <w:lang w:val="en-US"/>
        </w:rPr>
        <w:t>дискриминације</w:t>
      </w:r>
      <w:r w:rsidR="00C27559" w:rsidRPr="00295637">
        <w:rPr>
          <w:rFonts w:ascii="Times New Roman" w:eastAsiaTheme="minorEastAsia" w:hAnsi="Times New Roman"/>
          <w:szCs w:val="24"/>
          <w:lang w:val="en-US"/>
        </w:rPr>
        <w:t xml:space="preserve"> </w:t>
      </w:r>
      <w:r w:rsidRPr="00295637">
        <w:rPr>
          <w:rFonts w:ascii="Times New Roman" w:eastAsiaTheme="minorEastAsia" w:hAnsi="Times New Roman"/>
          <w:szCs w:val="24"/>
          <w:lang w:val="en-US"/>
        </w:rPr>
        <w:t>(</w:t>
      </w:r>
      <w:r w:rsidR="00C6214E">
        <w:rPr>
          <w:rFonts w:ascii="Times New Roman" w:eastAsiaTheme="minorEastAsia" w:hAnsi="Times New Roman"/>
          <w:szCs w:val="24"/>
          <w:lang w:val="en-US"/>
        </w:rPr>
        <w:t>фебруар</w:t>
      </w:r>
      <w:r w:rsidRPr="00295637">
        <w:rPr>
          <w:rFonts w:ascii="Times New Roman" w:eastAsiaTheme="minorEastAsia" w:hAnsi="Times New Roman"/>
          <w:szCs w:val="24"/>
          <w:lang w:val="en-US"/>
        </w:rPr>
        <w:t>)</w:t>
      </w:r>
      <w:r w:rsidR="00680721">
        <w:rPr>
          <w:rFonts w:ascii="Times New Roman" w:eastAsiaTheme="minorEastAsia" w:hAnsi="Times New Roman"/>
          <w:szCs w:val="24"/>
          <w:lang w:val="en-US"/>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Догађај</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оквиру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пројекта</w:t>
      </w:r>
      <w:r w:rsidR="001379C1" w:rsidRPr="00295637">
        <w:rPr>
          <w:rFonts w:ascii="Times New Roman" w:eastAsiaTheme="minorEastAsia" w:hAnsi="Times New Roman"/>
          <w:szCs w:val="24"/>
          <w:lang w:val="bs-Latn-BA"/>
        </w:rPr>
        <w:t xml:space="preserve"> </w:t>
      </w:r>
      <w:r w:rsidR="00A74E20">
        <w:rPr>
          <w:rFonts w:ascii="Times New Roman" w:eastAsiaTheme="minorEastAsia" w:hAnsi="Times New Roman"/>
          <w:szCs w:val="24"/>
          <w:lang w:val="sr-Cyrl-BA"/>
        </w:rPr>
        <w:t>Савјета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Европе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Борба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против</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дигиталног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сексуалног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над</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женама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БиХ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тему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Нове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добре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праксе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истраживању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процесуирању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дигиталног</w:t>
      </w:r>
      <w:r w:rsidR="00DC4A18">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DC4A18">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над</w:t>
      </w:r>
      <w:r w:rsidR="00DC4A18">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женама</w:t>
      </w:r>
      <w:r w:rsidR="00DC4A18">
        <w:rPr>
          <w:rFonts w:ascii="Times New Roman" w:eastAsiaTheme="minorEastAsia" w:hAnsi="Times New Roman"/>
          <w:szCs w:val="24"/>
          <w:lang w:val="bs-Latn-BA"/>
        </w:rPr>
        <w:t xml:space="preserve">“, </w:t>
      </w:r>
      <w:r>
        <w:rPr>
          <w:rFonts w:ascii="Times New Roman" w:eastAsiaTheme="minorEastAsia" w:hAnsi="Times New Roman"/>
          <w:szCs w:val="24"/>
          <w:lang w:val="bs-Latn-BA"/>
        </w:rPr>
        <w:t>Сарајево</w:t>
      </w:r>
      <w:r w:rsidR="00DC4A18">
        <w:rPr>
          <w:rFonts w:ascii="Times New Roman" w:eastAsiaTheme="minorEastAsia" w:hAnsi="Times New Roman"/>
          <w:szCs w:val="24"/>
          <w:lang w:val="bs-Latn-BA"/>
        </w:rPr>
        <w:t>,</w:t>
      </w:r>
      <w:r w:rsidR="001379C1" w:rsidRPr="00295637">
        <w:rPr>
          <w:rFonts w:ascii="Times New Roman" w:eastAsiaTheme="minorEastAsia" w:hAnsi="Times New Roman"/>
          <w:szCs w:val="24"/>
          <w:lang w:val="bs-Latn-BA"/>
        </w:rPr>
        <w:t xml:space="preserve"> 23</w:t>
      </w:r>
      <w:r w:rsidR="00680721">
        <w:rPr>
          <w:rFonts w:ascii="Times New Roman" w:eastAsiaTheme="minorEastAsia" w:hAnsi="Times New Roman"/>
          <w:szCs w:val="24"/>
          <w:lang w:val="bs-Latn-BA"/>
        </w:rPr>
        <w:t xml:space="preserve">.4.2024. </w:t>
      </w:r>
      <w:r>
        <w:rPr>
          <w:rFonts w:ascii="Times New Roman" w:eastAsiaTheme="minorEastAsia" w:hAnsi="Times New Roman"/>
          <w:szCs w:val="24"/>
          <w:lang w:val="bs-Latn-BA"/>
        </w:rPr>
        <w:t>године</w:t>
      </w:r>
      <w:r w:rsidR="00680721">
        <w:rPr>
          <w:rFonts w:ascii="Times New Roman" w:eastAsiaTheme="minorEastAsia" w:hAnsi="Times New Roman"/>
          <w:szCs w:val="24"/>
          <w:lang w:val="bs-Latn-BA"/>
        </w:rPr>
        <w:t>;</w:t>
      </w:r>
      <w:r w:rsidR="001379C1" w:rsidRPr="00295637">
        <w:rPr>
          <w:rFonts w:ascii="Times New Roman" w:eastAsiaTheme="minorEastAsia" w:hAnsi="Times New Roman"/>
          <w:szCs w:val="24"/>
          <w:lang w:val="bs-Latn-BA"/>
        </w:rPr>
        <w:t xml:space="preserve"> </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Онл</w:t>
      </w:r>
      <w:r w:rsidR="00A74E20">
        <w:rPr>
          <w:rFonts w:ascii="Times New Roman" w:eastAsiaTheme="minorEastAsia" w:hAnsi="Times New Roman"/>
          <w:szCs w:val="24"/>
          <w:lang w:val="sr-Cyrl-BA"/>
        </w:rPr>
        <w:t>ајн</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радионица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993692">
        <w:rPr>
          <w:rFonts w:ascii="Times New Roman" w:eastAsiaTheme="minorEastAsia" w:hAnsi="Times New Roman"/>
          <w:szCs w:val="24"/>
          <w:lang w:val="bs-Latn-BA"/>
        </w:rPr>
        <w:t xml:space="preserve"> </w:t>
      </w:r>
      <w:r>
        <w:rPr>
          <w:rFonts w:ascii="Times New Roman" w:eastAsiaTheme="minorEastAsia" w:hAnsi="Times New Roman"/>
          <w:szCs w:val="24"/>
          <w:lang w:val="bs-Latn-BA"/>
        </w:rPr>
        <w:t>вези</w:t>
      </w:r>
      <w:r w:rsidR="00993692">
        <w:rPr>
          <w:rFonts w:ascii="Times New Roman" w:eastAsiaTheme="minorEastAsia" w:hAnsi="Times New Roman"/>
          <w:szCs w:val="24"/>
          <w:lang w:val="bs-Latn-BA"/>
        </w:rPr>
        <w:t xml:space="preserve"> </w:t>
      </w:r>
      <w:r>
        <w:rPr>
          <w:rFonts w:ascii="Times New Roman" w:eastAsiaTheme="minorEastAsia" w:hAnsi="Times New Roman"/>
          <w:szCs w:val="24"/>
          <w:lang w:val="bs-Latn-BA"/>
        </w:rPr>
        <w:t>са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усклађивањем</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законских</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одредби</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пракси</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са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Истанбулском</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конвенцијом</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организацији</w:t>
      </w:r>
      <w:r w:rsidR="001379C1" w:rsidRPr="00295637">
        <w:rPr>
          <w:rFonts w:ascii="Times New Roman" w:eastAsiaTheme="minorEastAsia" w:hAnsi="Times New Roman"/>
          <w:szCs w:val="24"/>
          <w:lang w:val="bs-Latn-BA"/>
        </w:rPr>
        <w:t xml:space="preserve"> </w:t>
      </w:r>
      <w:r w:rsidR="00A74E20">
        <w:rPr>
          <w:rFonts w:ascii="Times New Roman" w:eastAsiaTheme="minorEastAsia" w:hAnsi="Times New Roman"/>
          <w:szCs w:val="24"/>
          <w:lang w:val="sr-Cyrl-BA"/>
        </w:rPr>
        <w:t>Савјета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Европе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оквиру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пројекта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Борба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против</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дигиталног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сексуалног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над</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женама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БиХ</w:t>
      </w:r>
      <w:r w:rsidR="00680721">
        <w:rPr>
          <w:rFonts w:ascii="Times New Roman" w:eastAsiaTheme="minorEastAsia" w:hAnsi="Times New Roman"/>
          <w:szCs w:val="24"/>
          <w:lang w:val="bs-Latn-BA"/>
        </w:rPr>
        <w:t xml:space="preserve">“, 25.4.2024. </w:t>
      </w:r>
      <w:r>
        <w:rPr>
          <w:rFonts w:ascii="Times New Roman" w:eastAsiaTheme="minorEastAsia" w:hAnsi="Times New Roman"/>
          <w:szCs w:val="24"/>
          <w:lang w:val="bs-Latn-BA"/>
        </w:rPr>
        <w:t>године</w:t>
      </w:r>
      <w:r w:rsidR="00680721">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rPr>
          <w:rFonts w:ascii="Times New Roman" w:eastAsiaTheme="minorEastAsia" w:hAnsi="Times New Roman"/>
          <w:szCs w:val="24"/>
          <w:lang w:val="bs-Latn-BA"/>
        </w:rPr>
      </w:pPr>
      <w:r>
        <w:rPr>
          <w:rFonts w:ascii="Times New Roman" w:eastAsiaTheme="minorEastAsia" w:hAnsi="Times New Roman"/>
          <w:szCs w:val="24"/>
          <w:lang w:val="bs-Latn-BA"/>
        </w:rPr>
        <w:t>Округли</w:t>
      </w:r>
      <w:r w:rsidR="00993692">
        <w:rPr>
          <w:rFonts w:ascii="Times New Roman" w:eastAsiaTheme="minorEastAsia" w:hAnsi="Times New Roman"/>
          <w:szCs w:val="24"/>
          <w:lang w:val="bs-Latn-BA"/>
        </w:rPr>
        <w:t xml:space="preserve"> </w:t>
      </w:r>
      <w:r>
        <w:rPr>
          <w:rFonts w:ascii="Times New Roman" w:eastAsiaTheme="minorEastAsia" w:hAnsi="Times New Roman"/>
          <w:szCs w:val="24"/>
          <w:lang w:val="bs-Latn-BA"/>
        </w:rPr>
        <w:t>сто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оквиру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пројекта</w:t>
      </w:r>
      <w:r w:rsidR="001379C1" w:rsidRPr="00295637">
        <w:rPr>
          <w:rFonts w:ascii="Times New Roman" w:eastAsiaTheme="minorEastAsia" w:hAnsi="Times New Roman"/>
          <w:szCs w:val="24"/>
          <w:lang w:val="bs-Latn-BA"/>
        </w:rPr>
        <w:t xml:space="preserve"> </w:t>
      </w:r>
      <w:r w:rsidR="00A74E20">
        <w:rPr>
          <w:rFonts w:ascii="Times New Roman" w:eastAsiaTheme="minorEastAsia" w:hAnsi="Times New Roman"/>
          <w:szCs w:val="24"/>
          <w:lang w:val="sr-Cyrl-BA"/>
        </w:rPr>
        <w:t>Савјета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Европе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Борба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против</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дигиталног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сексуалног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над</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женама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9E54A2"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БиХ</w:t>
      </w:r>
      <w:r w:rsidR="009E54A2" w:rsidRPr="00295637">
        <w:rPr>
          <w:rFonts w:ascii="Times New Roman" w:eastAsiaTheme="minorEastAsia" w:hAnsi="Times New Roman"/>
          <w:szCs w:val="24"/>
          <w:lang w:val="bs-Latn-BA"/>
        </w:rPr>
        <w:t xml:space="preserve"> </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тему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усклађености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политика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законодавства</w:t>
      </w:r>
      <w:r w:rsidR="00DC4A18">
        <w:rPr>
          <w:rFonts w:ascii="Times New Roman" w:eastAsiaTheme="minorEastAsia" w:hAnsi="Times New Roman"/>
          <w:szCs w:val="24"/>
          <w:lang w:val="bs-Latn-BA"/>
        </w:rPr>
        <w:t xml:space="preserve"> </w:t>
      </w:r>
      <w:r>
        <w:rPr>
          <w:rFonts w:ascii="Times New Roman" w:eastAsiaTheme="minorEastAsia" w:hAnsi="Times New Roman"/>
          <w:szCs w:val="24"/>
          <w:lang w:val="bs-Latn-BA"/>
        </w:rPr>
        <w:t>БиХ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питању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дигиталног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сексуалног</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над</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женама</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са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Истанбулском</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конвенцијом</w:t>
      </w:r>
      <w:r w:rsidR="001379C1" w:rsidRPr="00295637">
        <w:rPr>
          <w:rFonts w:ascii="Times New Roman" w:eastAsiaTheme="minorEastAsia" w:hAnsi="Times New Roman"/>
          <w:szCs w:val="24"/>
          <w:lang w:val="bs-Latn-BA"/>
        </w:rPr>
        <w:t xml:space="preserve">, 17.9.2024. </w:t>
      </w:r>
      <w:r>
        <w:rPr>
          <w:rFonts w:ascii="Times New Roman" w:eastAsiaTheme="minorEastAsia" w:hAnsi="Times New Roman"/>
          <w:szCs w:val="24"/>
          <w:lang w:val="bs-Latn-BA"/>
        </w:rPr>
        <w:t>године</w:t>
      </w:r>
      <w:r w:rsidR="00680721">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Догађај</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оквиру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пројекта</w:t>
      </w:r>
      <w:r w:rsidR="001379C1" w:rsidRPr="00295637">
        <w:rPr>
          <w:rFonts w:ascii="Times New Roman" w:eastAsiaTheme="minorEastAsia" w:hAnsi="Times New Roman"/>
          <w:szCs w:val="24"/>
          <w:lang w:val="bs-Latn-BA"/>
        </w:rPr>
        <w:t xml:space="preserve"> </w:t>
      </w:r>
      <w:r w:rsidR="00A74E20">
        <w:rPr>
          <w:rFonts w:ascii="Times New Roman" w:eastAsiaTheme="minorEastAsia" w:hAnsi="Times New Roman"/>
          <w:szCs w:val="24"/>
          <w:lang w:val="sr-Cyrl-BA"/>
        </w:rPr>
        <w:t>Савјета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Европе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Борба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против</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дигиталног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сексуалног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над</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женама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БиХ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тему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Правни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институционални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одговори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онл</w:t>
      </w:r>
      <w:r w:rsidR="00A74E20">
        <w:rPr>
          <w:rFonts w:ascii="Times New Roman" w:eastAsiaTheme="minorEastAsia" w:hAnsi="Times New Roman"/>
          <w:szCs w:val="24"/>
          <w:lang w:val="sr-Cyrl-BA"/>
        </w:rPr>
        <w:t>ајн</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технолошки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потпомогнуто</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насиље</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над</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женама</w:t>
      </w:r>
      <w:r w:rsidR="00680721">
        <w:rPr>
          <w:rFonts w:ascii="Times New Roman" w:eastAsiaTheme="minorEastAsia" w:hAnsi="Times New Roman"/>
          <w:szCs w:val="24"/>
          <w:lang w:val="bs-Latn-BA"/>
        </w:rPr>
        <w:t xml:space="preserve">“, 26.11.2024. </w:t>
      </w:r>
      <w:r>
        <w:rPr>
          <w:rFonts w:ascii="Times New Roman" w:eastAsiaTheme="minorEastAsia" w:hAnsi="Times New Roman"/>
          <w:szCs w:val="24"/>
          <w:lang w:val="bs-Latn-BA"/>
        </w:rPr>
        <w:t>године</w:t>
      </w:r>
      <w:r w:rsidR="00680721">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Округли</w:t>
      </w:r>
      <w:r w:rsidR="00993692">
        <w:rPr>
          <w:rFonts w:ascii="Times New Roman" w:eastAsiaTheme="minorEastAsia" w:hAnsi="Times New Roman"/>
          <w:szCs w:val="24"/>
          <w:lang w:val="bs-Latn-BA"/>
        </w:rPr>
        <w:t xml:space="preserve"> </w:t>
      </w:r>
      <w:r>
        <w:rPr>
          <w:rFonts w:ascii="Times New Roman" w:eastAsiaTheme="minorEastAsia" w:hAnsi="Times New Roman"/>
          <w:szCs w:val="24"/>
          <w:lang w:val="bs-Latn-BA"/>
        </w:rPr>
        <w:t>сто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тему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Посвећеност</w:t>
      </w:r>
      <w:r w:rsidR="001379C1" w:rsidRPr="00295637">
        <w:rPr>
          <w:rFonts w:ascii="Times New Roman" w:eastAsiaTheme="minorEastAsia" w:hAnsi="Times New Roman"/>
          <w:szCs w:val="24"/>
          <w:lang w:val="bs-Latn-BA"/>
        </w:rPr>
        <w:t xml:space="preserve"> </w:t>
      </w:r>
      <w:r w:rsidR="00A74E20">
        <w:rPr>
          <w:rFonts w:ascii="Times New Roman" w:eastAsiaTheme="minorEastAsia" w:hAnsi="Times New Roman"/>
          <w:szCs w:val="24"/>
          <w:lang w:val="sr-Cyrl-BA"/>
        </w:rPr>
        <w:t>спровођењу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Стратегије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превенцију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борбу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против</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породици</w:t>
      </w:r>
      <w:r w:rsidR="00993692">
        <w:rPr>
          <w:rFonts w:ascii="Times New Roman" w:eastAsiaTheme="minorEastAsia" w:hAnsi="Times New Roman"/>
          <w:szCs w:val="24"/>
          <w:lang w:val="bs-Latn-BA"/>
        </w:rPr>
        <w:t xml:space="preserve"> 2024</w:t>
      </w:r>
      <w:r w:rsidR="001379C1" w:rsidRPr="00295637">
        <w:rPr>
          <w:rFonts w:ascii="Times New Roman" w:eastAsiaTheme="minorEastAsia" w:hAnsi="Times New Roman"/>
          <w:szCs w:val="24"/>
          <w:lang w:val="bs-Latn-BA"/>
        </w:rPr>
        <w:t xml:space="preserve">-2027.“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организацији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Гендер</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Центра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Федерације</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БиХ</w:t>
      </w:r>
      <w:r w:rsidR="00680721">
        <w:rPr>
          <w:rFonts w:ascii="Times New Roman" w:eastAsiaTheme="minorEastAsia" w:hAnsi="Times New Roman"/>
          <w:szCs w:val="24"/>
          <w:lang w:val="bs-Latn-BA"/>
        </w:rPr>
        <w:t xml:space="preserve">, 11.12.2024. </w:t>
      </w:r>
      <w:r>
        <w:rPr>
          <w:rFonts w:ascii="Times New Roman" w:eastAsiaTheme="minorEastAsia" w:hAnsi="Times New Roman"/>
          <w:szCs w:val="24"/>
          <w:lang w:val="bs-Latn-BA"/>
        </w:rPr>
        <w:t>године</w:t>
      </w:r>
      <w:r w:rsidR="00680721">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Обука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државних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службеника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федералном</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нивоу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према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програму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едукације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АДС</w:t>
      </w:r>
      <w:r w:rsidR="00A74E20">
        <w:rPr>
          <w:rFonts w:ascii="Times New Roman" w:eastAsiaTheme="minorEastAsia" w:hAnsi="Times New Roman"/>
          <w:szCs w:val="24"/>
          <w:lang w:val="sr-Cyrl-BA"/>
        </w:rPr>
        <w:t xml:space="preserve"> </w:t>
      </w:r>
      <w:r>
        <w:rPr>
          <w:rFonts w:ascii="Times New Roman" w:eastAsiaTheme="minorEastAsia" w:hAnsi="Times New Roman"/>
          <w:szCs w:val="24"/>
          <w:lang w:val="bs-Latn-BA"/>
        </w:rPr>
        <w:t>ФБиХ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теми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Примјена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прописа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области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породици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над</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женама</w:t>
      </w:r>
      <w:r w:rsidR="001379C1" w:rsidRPr="00295637">
        <w:rPr>
          <w:rFonts w:ascii="Times New Roman" w:eastAsiaTheme="minorEastAsia" w:hAnsi="Times New Roman"/>
          <w:szCs w:val="24"/>
          <w:lang w:val="bs-Latn-BA"/>
        </w:rPr>
        <w:t xml:space="preserve"> – </w:t>
      </w:r>
      <w:r>
        <w:rPr>
          <w:rFonts w:ascii="Times New Roman" w:eastAsiaTheme="minorEastAsia" w:hAnsi="Times New Roman"/>
          <w:szCs w:val="24"/>
          <w:lang w:val="bs-Latn-BA"/>
        </w:rPr>
        <w:t>подршка</w:t>
      </w:r>
      <w:r w:rsidR="001379C1" w:rsidRPr="00295637">
        <w:rPr>
          <w:rFonts w:ascii="Times New Roman" w:eastAsiaTheme="minorEastAsia" w:hAnsi="Times New Roman"/>
          <w:szCs w:val="24"/>
          <w:lang w:val="bs-Latn-BA"/>
        </w:rPr>
        <w:t xml:space="preserve"> </w:t>
      </w:r>
      <w:r w:rsidR="00A74E20">
        <w:rPr>
          <w:rFonts w:ascii="Times New Roman" w:eastAsiaTheme="minorEastAsia" w:hAnsi="Times New Roman"/>
          <w:szCs w:val="24"/>
          <w:lang w:val="sr-Cyrl-BA"/>
        </w:rPr>
        <w:t>спровођењу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домаћих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међународних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докумената</w:t>
      </w:r>
      <w:r w:rsidR="001379C1" w:rsidRPr="00295637">
        <w:rPr>
          <w:rFonts w:ascii="Times New Roman" w:eastAsiaTheme="minorEastAsia" w:hAnsi="Times New Roman"/>
          <w:szCs w:val="24"/>
          <w:lang w:val="bs-Latn-BA"/>
        </w:rPr>
        <w:t>”, 26.</w:t>
      </w:r>
      <w:r w:rsidR="00680721">
        <w:rPr>
          <w:rFonts w:ascii="Times New Roman" w:eastAsiaTheme="minorEastAsia" w:hAnsi="Times New Roman"/>
          <w:szCs w:val="24"/>
          <w:lang w:val="bs-Latn-BA"/>
        </w:rPr>
        <w:t xml:space="preserve">9.2024. </w:t>
      </w:r>
      <w:r>
        <w:rPr>
          <w:rFonts w:ascii="Times New Roman" w:eastAsiaTheme="minorEastAsia" w:hAnsi="Times New Roman"/>
          <w:szCs w:val="24"/>
          <w:lang w:val="bs-Latn-BA"/>
        </w:rPr>
        <w:t>године</w:t>
      </w:r>
      <w:r w:rsidR="00680721">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Обука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државних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службеника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Оп</w:t>
      </w:r>
      <w:r w:rsidR="00A74E20">
        <w:rPr>
          <w:rFonts w:ascii="Times New Roman" w:eastAsiaTheme="minorEastAsia" w:hAnsi="Times New Roman"/>
          <w:szCs w:val="24"/>
          <w:lang w:val="sr-Cyrl-BA"/>
        </w:rPr>
        <w:t>шт</w:t>
      </w:r>
      <w:r>
        <w:rPr>
          <w:rFonts w:ascii="Times New Roman" w:eastAsiaTheme="minorEastAsia" w:hAnsi="Times New Roman"/>
          <w:szCs w:val="24"/>
          <w:lang w:val="bs-Latn-BA"/>
        </w:rPr>
        <w:t>ине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Нови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Град</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Сарајево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према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програму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едукације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АДС</w:t>
      </w:r>
      <w:r w:rsidR="00A74E20">
        <w:rPr>
          <w:rFonts w:ascii="Times New Roman" w:eastAsiaTheme="minorEastAsia" w:hAnsi="Times New Roman"/>
          <w:szCs w:val="24"/>
          <w:lang w:val="sr-Cyrl-BA"/>
        </w:rPr>
        <w:t xml:space="preserve"> </w:t>
      </w:r>
      <w:r>
        <w:rPr>
          <w:rFonts w:ascii="Times New Roman" w:eastAsiaTheme="minorEastAsia" w:hAnsi="Times New Roman"/>
          <w:szCs w:val="24"/>
          <w:lang w:val="bs-Latn-BA"/>
        </w:rPr>
        <w:t>ФБиХ</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о</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теми</w:t>
      </w:r>
      <w:r w:rsidR="00680721">
        <w:rPr>
          <w:rFonts w:ascii="Times New Roman" w:eastAsiaTheme="minorEastAsia" w:hAnsi="Times New Roman"/>
          <w:szCs w:val="24"/>
          <w:lang w:val="bs-Latn-BA"/>
        </w:rPr>
        <w:t xml:space="preserve"> </w:t>
      </w:r>
      <w:r w:rsidR="001379C1" w:rsidRPr="00295637">
        <w:rPr>
          <w:rFonts w:ascii="Times New Roman" w:eastAsiaTheme="minorEastAsia" w:hAnsi="Times New Roman"/>
          <w:szCs w:val="24"/>
          <w:lang w:val="bs-Latn-BA"/>
        </w:rPr>
        <w:t>„</w:t>
      </w:r>
      <w:r>
        <w:rPr>
          <w:rFonts w:ascii="Times New Roman" w:eastAsiaTheme="minorEastAsia" w:hAnsi="Times New Roman"/>
          <w:szCs w:val="24"/>
          <w:lang w:val="bs-Latn-BA"/>
        </w:rPr>
        <w:t>Равноправност</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полова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дискриминација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основу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пола</w:t>
      </w:r>
      <w:r w:rsidR="00680721">
        <w:rPr>
          <w:rFonts w:ascii="Times New Roman" w:eastAsiaTheme="minorEastAsia" w:hAnsi="Times New Roman"/>
          <w:szCs w:val="24"/>
          <w:lang w:val="bs-Latn-BA"/>
        </w:rPr>
        <w:t>”, 17.</w:t>
      </w:r>
      <w:r w:rsidR="001379C1" w:rsidRPr="00295637">
        <w:rPr>
          <w:rFonts w:ascii="Times New Roman" w:eastAsiaTheme="minorEastAsia" w:hAnsi="Times New Roman"/>
          <w:szCs w:val="24"/>
          <w:lang w:val="bs-Latn-BA"/>
        </w:rPr>
        <w:t xml:space="preserve">9.2024. </w:t>
      </w:r>
      <w:r>
        <w:rPr>
          <w:rFonts w:ascii="Times New Roman" w:eastAsiaTheme="minorEastAsia" w:hAnsi="Times New Roman"/>
          <w:szCs w:val="24"/>
          <w:lang w:val="bs-Latn-BA"/>
        </w:rPr>
        <w:t>године</w:t>
      </w:r>
      <w:r w:rsidR="00680721">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Обука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носилаца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правосудних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функција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према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проргаму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ЦЕСТ</w:t>
      </w:r>
      <w:r w:rsidR="001379C1" w:rsidRPr="00295637">
        <w:rPr>
          <w:rFonts w:ascii="Times New Roman" w:eastAsiaTheme="minorEastAsia" w:hAnsi="Times New Roman"/>
          <w:szCs w:val="24"/>
          <w:lang w:val="bs-Latn-BA"/>
        </w:rPr>
        <w:t>-</w:t>
      </w:r>
      <w:r>
        <w:rPr>
          <w:rFonts w:ascii="Times New Roman" w:eastAsiaTheme="minorEastAsia" w:hAnsi="Times New Roman"/>
          <w:szCs w:val="24"/>
          <w:lang w:val="bs-Latn-BA"/>
        </w:rPr>
        <w:t>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теми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Примјена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прописа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области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породици</w:t>
      </w:r>
      <w:r w:rsidR="00680721">
        <w:rPr>
          <w:rFonts w:ascii="Times New Roman" w:eastAsiaTheme="minorEastAsia" w:hAnsi="Times New Roman"/>
          <w:szCs w:val="24"/>
          <w:lang w:val="bs-Latn-BA"/>
        </w:rPr>
        <w:t xml:space="preserve">”, 22. </w:t>
      </w:r>
      <w:r>
        <w:rPr>
          <w:rFonts w:ascii="Times New Roman" w:eastAsiaTheme="minorEastAsia" w:hAnsi="Times New Roman"/>
          <w:szCs w:val="24"/>
          <w:lang w:val="bs-Latn-BA"/>
        </w:rPr>
        <w:t>и</w:t>
      </w:r>
      <w:r w:rsidR="00680721">
        <w:rPr>
          <w:rFonts w:ascii="Times New Roman" w:eastAsiaTheme="minorEastAsia" w:hAnsi="Times New Roman"/>
          <w:szCs w:val="24"/>
          <w:lang w:val="bs-Latn-BA"/>
        </w:rPr>
        <w:t xml:space="preserve"> 23.</w:t>
      </w:r>
      <w:r w:rsidR="001379C1" w:rsidRPr="00295637">
        <w:rPr>
          <w:rFonts w:ascii="Times New Roman" w:eastAsiaTheme="minorEastAsia" w:hAnsi="Times New Roman"/>
          <w:szCs w:val="24"/>
          <w:lang w:val="bs-Latn-BA"/>
        </w:rPr>
        <w:t>2.2024.</w:t>
      </w:r>
      <w:r w:rsidR="00680721">
        <w:rPr>
          <w:rFonts w:ascii="Times New Roman" w:eastAsiaTheme="minorEastAsia" w:hAnsi="Times New Roman"/>
          <w:szCs w:val="24"/>
          <w:lang w:val="bs-Latn-BA"/>
        </w:rPr>
        <w:t xml:space="preserve"> </w:t>
      </w:r>
      <w:r>
        <w:rPr>
          <w:rFonts w:ascii="Times New Roman" w:eastAsiaTheme="minorEastAsia" w:hAnsi="Times New Roman"/>
          <w:szCs w:val="24"/>
          <w:lang w:val="bs-Latn-BA"/>
        </w:rPr>
        <w:t>године</w:t>
      </w:r>
      <w:r w:rsidR="00680721">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Регионална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конференција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Западни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Балкан</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Турску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сврху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припреме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68. </w:t>
      </w:r>
      <w:r>
        <w:rPr>
          <w:rFonts w:ascii="Times New Roman" w:eastAsiaTheme="minorEastAsia" w:hAnsi="Times New Roman"/>
          <w:szCs w:val="24"/>
          <w:lang w:val="bs-Latn-BA"/>
        </w:rPr>
        <w:t>сједницу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Комисија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Уједињених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нација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статусу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w:t>
      </w:r>
      <w:r w:rsidR="001379C1" w:rsidRPr="00295637">
        <w:rPr>
          <w:rFonts w:ascii="Times New Roman" w:eastAsiaTheme="minorEastAsia" w:hAnsi="Times New Roman"/>
          <w:szCs w:val="24"/>
          <w:lang w:val="bs-Latn-BA"/>
        </w:rPr>
        <w:t xml:space="preserve"> (</w:t>
      </w:r>
      <w:r w:rsidR="00A74E20" w:rsidRPr="00A74E20">
        <w:rPr>
          <w:rFonts w:ascii="Times New Roman" w:eastAsiaTheme="minorEastAsia" w:hAnsi="Times New Roman"/>
          <w:i/>
          <w:szCs w:val="24"/>
          <w:lang w:val="bs-Latn-BA"/>
        </w:rPr>
        <w:t>CSW68</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организацији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Регионалн</w:t>
      </w:r>
      <w:r w:rsidR="00A74E20">
        <w:rPr>
          <w:rFonts w:ascii="Times New Roman" w:eastAsiaTheme="minorEastAsia" w:hAnsi="Times New Roman"/>
          <w:szCs w:val="24"/>
          <w:lang w:val="sr-Cyrl-BA"/>
        </w:rPr>
        <w:t>е</w:t>
      </w:r>
      <w:r w:rsidR="001379C1" w:rsidRPr="00295637">
        <w:rPr>
          <w:rFonts w:ascii="Times New Roman" w:eastAsiaTheme="minorEastAsia" w:hAnsi="Times New Roman"/>
          <w:szCs w:val="24"/>
          <w:lang w:val="bs-Latn-BA"/>
        </w:rPr>
        <w:t xml:space="preserve"> </w:t>
      </w:r>
      <w:r w:rsidR="00A74E20">
        <w:rPr>
          <w:rFonts w:ascii="Times New Roman" w:eastAsiaTheme="minorEastAsia" w:hAnsi="Times New Roman"/>
          <w:szCs w:val="24"/>
          <w:lang w:val="sr-Cyrl-BA"/>
        </w:rPr>
        <w:t>канцеларије</w:t>
      </w:r>
      <w:r w:rsidR="001379C1" w:rsidRPr="00295637">
        <w:rPr>
          <w:rFonts w:ascii="Times New Roman" w:eastAsiaTheme="minorEastAsia" w:hAnsi="Times New Roman"/>
          <w:szCs w:val="24"/>
          <w:lang w:val="bs-Latn-BA"/>
        </w:rPr>
        <w:t xml:space="preserve"> </w:t>
      </w:r>
      <w:r w:rsidR="00A74E20" w:rsidRPr="00A74E20">
        <w:rPr>
          <w:rFonts w:ascii="Times New Roman" w:eastAsiaTheme="minorEastAsia" w:hAnsi="Times New Roman"/>
          <w:i/>
          <w:szCs w:val="24"/>
          <w:lang w:val="bs-Latn-BA"/>
        </w:rPr>
        <w:t xml:space="preserve">UN Women </w:t>
      </w:r>
      <w:r>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Европу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централну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Азију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Министарство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људска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права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избјеглице</w:t>
      </w:r>
      <w:r w:rsidR="009E54A2"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БиХ</w:t>
      </w:r>
      <w:r w:rsidR="00680721">
        <w:rPr>
          <w:rFonts w:ascii="Times New Roman" w:eastAsiaTheme="minorEastAsia" w:hAnsi="Times New Roman"/>
          <w:szCs w:val="24"/>
          <w:lang w:val="bs-Latn-BA"/>
        </w:rPr>
        <w:t>;</w:t>
      </w:r>
      <w:r w:rsidR="009E54A2" w:rsidRPr="00295637">
        <w:rPr>
          <w:rFonts w:ascii="Times New Roman" w:eastAsiaTheme="minorEastAsia" w:hAnsi="Times New Roman"/>
          <w:szCs w:val="24"/>
          <w:lang w:val="bs-Latn-BA"/>
        </w:rPr>
        <w:t xml:space="preserve"> </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Регионална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конференција</w:t>
      </w:r>
      <w:r w:rsidR="00C04A6B">
        <w:rPr>
          <w:rFonts w:ascii="Times New Roman" w:eastAsiaTheme="minorEastAsia" w:hAnsi="Times New Roman"/>
          <w:szCs w:val="24"/>
          <w:lang w:val="bs-Latn-BA"/>
        </w:rPr>
        <w:t xml:space="preserve"> </w:t>
      </w:r>
      <w:r>
        <w:rPr>
          <w:rFonts w:ascii="Times New Roman" w:eastAsiaTheme="minorEastAsia" w:hAnsi="Times New Roman"/>
          <w:szCs w:val="24"/>
          <w:lang w:val="bs-Latn-BA"/>
        </w:rPr>
        <w:t>органа</w:t>
      </w:r>
      <w:r w:rsidR="00C04A6B">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C04A6B">
        <w:rPr>
          <w:rFonts w:ascii="Times New Roman" w:eastAsiaTheme="minorEastAsia" w:hAnsi="Times New Roman"/>
          <w:szCs w:val="24"/>
          <w:lang w:val="bs-Latn-BA"/>
        </w:rPr>
        <w:t xml:space="preserve"> </w:t>
      </w:r>
      <w:r>
        <w:rPr>
          <w:rFonts w:ascii="Times New Roman" w:eastAsiaTheme="minorEastAsia" w:hAnsi="Times New Roman"/>
          <w:szCs w:val="24"/>
          <w:lang w:val="bs-Latn-BA"/>
        </w:rPr>
        <w:t>једнакост</w:t>
      </w:r>
      <w:r w:rsidR="00C04A6B">
        <w:rPr>
          <w:rFonts w:ascii="Times New Roman" w:eastAsiaTheme="minorEastAsia" w:hAnsi="Times New Roman"/>
          <w:szCs w:val="24"/>
          <w:lang w:val="bs-Latn-BA"/>
        </w:rPr>
        <w:t xml:space="preserve"> </w:t>
      </w:r>
      <w:r>
        <w:rPr>
          <w:rFonts w:ascii="Times New Roman" w:eastAsiaTheme="minorEastAsia" w:hAnsi="Times New Roman"/>
          <w:szCs w:val="24"/>
          <w:lang w:val="bs-Latn-BA"/>
        </w:rPr>
        <w:t>Југоисточне</w:t>
      </w:r>
      <w:r w:rsidR="00C04A6B">
        <w:rPr>
          <w:rFonts w:ascii="Times New Roman" w:eastAsiaTheme="minorEastAsia" w:hAnsi="Times New Roman"/>
          <w:szCs w:val="24"/>
          <w:lang w:val="bs-Latn-BA"/>
        </w:rPr>
        <w:t xml:space="preserve"> </w:t>
      </w:r>
      <w:r>
        <w:rPr>
          <w:rFonts w:ascii="Times New Roman" w:eastAsiaTheme="minorEastAsia" w:hAnsi="Times New Roman"/>
          <w:szCs w:val="24"/>
          <w:lang w:val="bs-Latn-BA"/>
        </w:rPr>
        <w:t>Европе</w:t>
      </w:r>
      <w:r w:rsidR="00C04A6B">
        <w:rPr>
          <w:rFonts w:ascii="Times New Roman" w:eastAsiaTheme="minorEastAsia" w:hAnsi="Times New Roman"/>
          <w:szCs w:val="24"/>
          <w:lang w:val="bs-Latn-BA"/>
        </w:rPr>
        <w:t>: “</w:t>
      </w:r>
      <w:r>
        <w:rPr>
          <w:rFonts w:ascii="Times New Roman" w:eastAsiaTheme="minorEastAsia" w:hAnsi="Times New Roman"/>
          <w:szCs w:val="24"/>
          <w:lang w:val="bs-Latn-BA"/>
        </w:rPr>
        <w:t>Обавезе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односу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Директиве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јачању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органа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једнакост</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Сарајеву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организацији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Институција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Омбудсмена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људска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права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Босне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Херцеговине</w:t>
      </w:r>
      <w:r w:rsidR="00C04A6B">
        <w:rPr>
          <w:rFonts w:ascii="Times New Roman" w:eastAsiaTheme="minorEastAsia" w:hAnsi="Times New Roman"/>
          <w:szCs w:val="24"/>
          <w:lang w:val="bs-Latn-BA"/>
        </w:rPr>
        <w:t>;</w:t>
      </w:r>
    </w:p>
    <w:p w:rsidR="001379C1" w:rsidRPr="00295637" w:rsidRDefault="00241CCB"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Cyrl-BA"/>
        </w:rPr>
        <w:t>П</w:t>
      </w:r>
      <w:r>
        <w:rPr>
          <w:rFonts w:ascii="Times New Roman" w:eastAsiaTheme="minorEastAsia" w:hAnsi="Times New Roman"/>
          <w:szCs w:val="24"/>
          <w:lang w:val="bs-Latn-BA"/>
        </w:rPr>
        <w:t>резентација</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првог</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нацрта</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стратешког</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документа</w:t>
      </w:r>
      <w:r w:rsidR="001379C1" w:rsidRPr="00295637">
        <w:rPr>
          <w:rFonts w:ascii="Times New Roman" w:eastAsiaTheme="minorEastAsia" w:hAnsi="Times New Roman"/>
          <w:szCs w:val="24"/>
          <w:lang w:val="bs-Latn-BA"/>
        </w:rPr>
        <w:t xml:space="preserve"> - </w:t>
      </w:r>
      <w:r w:rsidR="00C6214E">
        <w:rPr>
          <w:rFonts w:ascii="Times New Roman" w:eastAsiaTheme="minorEastAsia" w:hAnsi="Times New Roman"/>
          <w:szCs w:val="24"/>
          <w:lang w:val="bs-Latn-BA"/>
        </w:rPr>
        <w:t>Стратегија</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развоја</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индустрије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текстила</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одје</w:t>
      </w:r>
      <w:r w:rsidR="00A74E20">
        <w:rPr>
          <w:rFonts w:ascii="Times New Roman" w:eastAsiaTheme="minorEastAsia" w:hAnsi="Times New Roman"/>
          <w:szCs w:val="24"/>
          <w:lang w:val="sr-Cyrl-BA"/>
        </w:rPr>
        <w:t>ћ</w:t>
      </w:r>
      <w:r w:rsidR="00C6214E">
        <w:rPr>
          <w:rFonts w:ascii="Times New Roman" w:eastAsiaTheme="minorEastAsia" w:hAnsi="Times New Roman"/>
          <w:szCs w:val="24"/>
          <w:lang w:val="bs-Latn-BA"/>
        </w:rPr>
        <w:t>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ко</w:t>
      </w:r>
      <w:r w:rsidR="00A74E20">
        <w:rPr>
          <w:rFonts w:ascii="Times New Roman" w:eastAsiaTheme="minorEastAsia" w:hAnsi="Times New Roman"/>
          <w:szCs w:val="24"/>
          <w:lang w:val="sr-Cyrl-BA"/>
        </w:rPr>
        <w:t>ж</w:t>
      </w:r>
      <w:r w:rsidR="00C6214E">
        <w:rPr>
          <w:rFonts w:ascii="Times New Roman" w:eastAsiaTheme="minorEastAsia" w:hAnsi="Times New Roman"/>
          <w:szCs w:val="24"/>
          <w:lang w:val="bs-Latn-BA"/>
        </w:rPr>
        <w:t>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обу</w:t>
      </w:r>
      <w:r w:rsidR="00A74E20">
        <w:rPr>
          <w:rFonts w:ascii="Times New Roman" w:eastAsiaTheme="minorEastAsia" w:hAnsi="Times New Roman"/>
          <w:szCs w:val="24"/>
          <w:lang w:val="sr-Cyrl-BA"/>
        </w:rPr>
        <w:t>ћ</w:t>
      </w:r>
      <w:r w:rsidR="00C6214E">
        <w:rPr>
          <w:rFonts w:ascii="Times New Roman" w:eastAsiaTheme="minorEastAsia" w:hAnsi="Times New Roman"/>
          <w:szCs w:val="24"/>
          <w:lang w:val="bs-Latn-BA"/>
        </w:rPr>
        <w:t>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Федерацији</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Босне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Херцеговине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период</w:t>
      </w:r>
      <w:r w:rsidR="003860B4">
        <w:rPr>
          <w:rFonts w:ascii="Times New Roman" w:eastAsiaTheme="minorEastAsia" w:hAnsi="Times New Roman"/>
          <w:szCs w:val="24"/>
          <w:lang w:val="bs-Latn-BA"/>
        </w:rPr>
        <w:t xml:space="preserve"> 2024</w:t>
      </w:r>
      <w:r w:rsidR="001379C1" w:rsidRPr="00295637">
        <w:rPr>
          <w:rFonts w:ascii="Times New Roman" w:eastAsiaTheme="minorEastAsia" w:hAnsi="Times New Roman"/>
          <w:szCs w:val="24"/>
          <w:lang w:val="bs-Latn-BA"/>
        </w:rPr>
        <w:t xml:space="preserve">-2033. </w:t>
      </w:r>
      <w:r w:rsidR="00C6214E">
        <w:rPr>
          <w:rFonts w:ascii="Times New Roman" w:eastAsiaTheme="minorEastAsia" w:hAnsi="Times New Roman"/>
          <w:szCs w:val="24"/>
          <w:lang w:val="bs-Latn-BA"/>
        </w:rPr>
        <w:t>година</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организацији</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Федералног</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министарства</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енергије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рударства</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индустрије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Привредне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коморе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Федерације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Босне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Херцеговине</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уз</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подршку</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Развојног</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програма</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Уједињених</w:t>
      </w:r>
      <w:r w:rsidR="001379C1"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нација</w:t>
      </w:r>
      <w:r w:rsidR="001379C1" w:rsidRPr="00295637">
        <w:rPr>
          <w:rFonts w:ascii="Times New Roman" w:eastAsiaTheme="minorEastAsia" w:hAnsi="Times New Roman"/>
          <w:szCs w:val="24"/>
          <w:lang w:val="bs-Latn-BA"/>
        </w:rPr>
        <w:t xml:space="preserve"> (</w:t>
      </w:r>
      <w:r w:rsidR="00A74E20" w:rsidRPr="00A74E20">
        <w:rPr>
          <w:rFonts w:ascii="Times New Roman" w:eastAsiaTheme="minorEastAsia" w:hAnsi="Times New Roman"/>
          <w:i/>
          <w:szCs w:val="24"/>
          <w:lang w:val="bs-Latn-BA"/>
        </w:rPr>
        <w:t>UNDP</w:t>
      </w:r>
      <w:r w:rsidR="001379C1" w:rsidRPr="00295637">
        <w:rPr>
          <w:rFonts w:ascii="Times New Roman" w:eastAsiaTheme="minorEastAsia" w:hAnsi="Times New Roman"/>
          <w:szCs w:val="24"/>
          <w:lang w:val="bs-Latn-BA"/>
        </w:rPr>
        <w:t>)</w:t>
      </w:r>
      <w:r w:rsidR="00C04A6B">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Догађај</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ради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презентације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Иницијативе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укључивање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зелену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кружну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економију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Босни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Херцеговини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организацији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Удружења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пословних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9E54A2"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БиХ</w:t>
      </w:r>
      <w:r w:rsidR="00C04A6B">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Догађај</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чланове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Координаци</w:t>
      </w:r>
      <w:r w:rsidR="00A74E20">
        <w:rPr>
          <w:rFonts w:ascii="Times New Roman" w:eastAsiaTheme="minorEastAsia" w:hAnsi="Times New Roman"/>
          <w:szCs w:val="24"/>
          <w:lang w:val="sr-Cyrl-BA"/>
        </w:rPr>
        <w:t>оног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одбора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праћење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Гендер</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акционог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плана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Тузланског</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кантона</w:t>
      </w:r>
      <w:r w:rsidR="00C04A6B">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Радионица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тему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Дјеловање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јединица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локалне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самоуправе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области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равноправности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полова</w:t>
      </w:r>
      <w:r w:rsidR="001379C1" w:rsidRPr="00295637">
        <w:rPr>
          <w:rFonts w:ascii="Times New Roman" w:eastAsiaTheme="minorEastAsia" w:hAnsi="Times New Roman"/>
          <w:szCs w:val="24"/>
          <w:lang w:val="bs-Latn-BA"/>
        </w:rPr>
        <w:t>“</w:t>
      </w:r>
      <w:r w:rsidR="00C04A6B">
        <w:rPr>
          <w:rFonts w:ascii="Times New Roman" w:eastAsiaTheme="minorEastAsia" w:hAnsi="Times New Roman"/>
          <w:szCs w:val="24"/>
          <w:lang w:val="bs-Latn-BA"/>
        </w:rPr>
        <w:t>,</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која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је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окупила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представнике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из</w:t>
      </w:r>
      <w:r w:rsidR="001379C1" w:rsidRPr="00295637">
        <w:rPr>
          <w:rFonts w:ascii="Times New Roman" w:eastAsiaTheme="minorEastAsia" w:hAnsi="Times New Roman"/>
          <w:szCs w:val="24"/>
          <w:lang w:val="bs-Latn-BA"/>
        </w:rPr>
        <w:t xml:space="preserve"> 46 </w:t>
      </w:r>
      <w:r>
        <w:rPr>
          <w:rFonts w:ascii="Times New Roman" w:eastAsiaTheme="minorEastAsia" w:hAnsi="Times New Roman"/>
          <w:szCs w:val="24"/>
          <w:lang w:val="bs-Latn-BA"/>
        </w:rPr>
        <w:t>јединица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локалне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самоуправе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Федерацији</w:t>
      </w:r>
      <w:r w:rsidR="00C04A6B">
        <w:rPr>
          <w:rFonts w:ascii="Times New Roman" w:eastAsiaTheme="minorEastAsia" w:hAnsi="Times New Roman"/>
          <w:szCs w:val="24"/>
          <w:lang w:val="bs-Latn-BA"/>
        </w:rPr>
        <w:t xml:space="preserve"> </w:t>
      </w:r>
      <w:r>
        <w:rPr>
          <w:rFonts w:ascii="Times New Roman" w:eastAsiaTheme="minorEastAsia" w:hAnsi="Times New Roman"/>
          <w:szCs w:val="24"/>
          <w:lang w:val="bs-Latn-BA"/>
        </w:rPr>
        <w:t>БиХ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Комисије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родну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равноправност</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Заступничког</w:t>
      </w:r>
      <w:r w:rsidR="00DC4A18">
        <w:rPr>
          <w:rFonts w:ascii="Times New Roman" w:eastAsiaTheme="minorEastAsia" w:hAnsi="Times New Roman"/>
          <w:szCs w:val="24"/>
          <w:lang w:val="bs-Latn-BA"/>
        </w:rPr>
        <w:t xml:space="preserve"> </w:t>
      </w:r>
      <w:r>
        <w:rPr>
          <w:rFonts w:ascii="Times New Roman" w:eastAsiaTheme="minorEastAsia" w:hAnsi="Times New Roman"/>
          <w:szCs w:val="24"/>
          <w:lang w:val="bs-Latn-BA"/>
        </w:rPr>
        <w:t>дома</w:t>
      </w:r>
      <w:r w:rsidR="00DC4A18">
        <w:rPr>
          <w:rFonts w:ascii="Times New Roman" w:eastAsiaTheme="minorEastAsia" w:hAnsi="Times New Roman"/>
          <w:szCs w:val="24"/>
          <w:lang w:val="bs-Latn-BA"/>
        </w:rPr>
        <w:t xml:space="preserve"> </w:t>
      </w:r>
      <w:r>
        <w:rPr>
          <w:rFonts w:ascii="Times New Roman" w:eastAsiaTheme="minorEastAsia" w:hAnsi="Times New Roman"/>
          <w:szCs w:val="24"/>
          <w:lang w:val="bs-Latn-BA"/>
        </w:rPr>
        <w:t>Парламента</w:t>
      </w:r>
      <w:r w:rsidR="00DC4A18">
        <w:rPr>
          <w:rFonts w:ascii="Times New Roman" w:eastAsiaTheme="minorEastAsia" w:hAnsi="Times New Roman"/>
          <w:szCs w:val="24"/>
          <w:lang w:val="bs-Latn-BA"/>
        </w:rPr>
        <w:t xml:space="preserve"> </w:t>
      </w:r>
      <w:r>
        <w:rPr>
          <w:rFonts w:ascii="Times New Roman" w:eastAsiaTheme="minorEastAsia" w:hAnsi="Times New Roman"/>
          <w:szCs w:val="24"/>
          <w:lang w:val="bs-Latn-BA"/>
        </w:rPr>
        <w:t>ФБиХ</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Удружења</w:t>
      </w:r>
      <w:r w:rsidR="001379C1" w:rsidRPr="00295637">
        <w:rPr>
          <w:rFonts w:ascii="Times New Roman" w:eastAsiaTheme="minorEastAsia" w:hAnsi="Times New Roman"/>
          <w:szCs w:val="24"/>
          <w:lang w:val="bs-Latn-BA"/>
        </w:rPr>
        <w:t xml:space="preserve"> </w:t>
      </w:r>
      <w:r w:rsidR="00C04A6B">
        <w:rPr>
          <w:rFonts w:ascii="Times New Roman" w:eastAsiaTheme="minorEastAsia" w:hAnsi="Times New Roman"/>
          <w:szCs w:val="24"/>
          <w:lang w:val="bs-Latn-BA"/>
        </w:rPr>
        <w:t>„</w:t>
      </w:r>
      <w:r w:rsidR="00745640" w:rsidRPr="00745640">
        <w:rPr>
          <w:rFonts w:ascii="Times New Roman" w:eastAsiaTheme="minorEastAsia" w:hAnsi="Times New Roman"/>
          <w:i/>
          <w:szCs w:val="24"/>
          <w:lang w:val="bs-Latn-BA"/>
        </w:rPr>
        <w:t>Infohouse</w:t>
      </w:r>
      <w:r w:rsidR="00C04A6B">
        <w:rPr>
          <w:rFonts w:ascii="Times New Roman" w:eastAsiaTheme="minorEastAsia" w:hAnsi="Times New Roman"/>
          <w:szCs w:val="24"/>
          <w:lang w:val="bs-Latn-BA"/>
        </w:rPr>
        <w:t>“</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Сарајево</w:t>
      </w:r>
      <w:r w:rsidR="00C04A6B">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оквиру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Свјетске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кампање</w:t>
      </w:r>
      <w:r w:rsidR="001379C1" w:rsidRPr="00295637">
        <w:rPr>
          <w:rFonts w:ascii="Times New Roman" w:eastAsiaTheme="minorEastAsia" w:hAnsi="Times New Roman"/>
          <w:szCs w:val="24"/>
          <w:lang w:val="bs-Latn-BA"/>
        </w:rPr>
        <w:t xml:space="preserve"> „16 </w:t>
      </w:r>
      <w:r>
        <w:rPr>
          <w:rFonts w:ascii="Times New Roman" w:eastAsiaTheme="minorEastAsia" w:hAnsi="Times New Roman"/>
          <w:szCs w:val="24"/>
          <w:lang w:val="bs-Latn-BA"/>
        </w:rPr>
        <w:t>дана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активизма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против</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над</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женама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одржана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конференција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Родне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неједнакости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тржишту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рада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Друштвени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или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женски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проблеми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Сарајево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новембар</w:t>
      </w:r>
      <w:r w:rsidR="001379C1" w:rsidRPr="00295637">
        <w:rPr>
          <w:rFonts w:ascii="Times New Roman" w:eastAsiaTheme="minorEastAsia" w:hAnsi="Times New Roman"/>
          <w:szCs w:val="24"/>
          <w:lang w:val="bs-Latn-BA"/>
        </w:rPr>
        <w:t xml:space="preserve"> 2024.</w:t>
      </w:r>
      <w:r w:rsidR="00C04A6B">
        <w:rPr>
          <w:rFonts w:ascii="Times New Roman" w:eastAsiaTheme="minorEastAsia" w:hAnsi="Times New Roman"/>
          <w:szCs w:val="24"/>
          <w:lang w:val="bs-Latn-BA"/>
        </w:rPr>
        <w:t xml:space="preserve"> </w:t>
      </w:r>
      <w:r>
        <w:rPr>
          <w:rFonts w:ascii="Times New Roman" w:eastAsiaTheme="minorEastAsia" w:hAnsi="Times New Roman"/>
          <w:szCs w:val="24"/>
          <w:lang w:val="bs-Latn-BA"/>
        </w:rPr>
        <w:t>године</w:t>
      </w:r>
      <w:r w:rsidR="00C04A6B">
        <w:rPr>
          <w:rFonts w:ascii="Times New Roman" w:eastAsiaTheme="minorEastAsia" w:hAnsi="Times New Roman"/>
          <w:szCs w:val="24"/>
          <w:lang w:val="bs-Latn-BA"/>
        </w:rPr>
        <w:t>;</w:t>
      </w:r>
    </w:p>
    <w:p w:rsidR="001379C1" w:rsidRPr="0029563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оквиру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глобалне</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кампања</w:t>
      </w:r>
      <w:r w:rsidR="001379C1" w:rsidRPr="00295637">
        <w:rPr>
          <w:rFonts w:ascii="Times New Roman" w:eastAsiaTheme="minorEastAsia" w:hAnsi="Times New Roman"/>
          <w:szCs w:val="24"/>
          <w:lang w:val="bs-Latn-BA"/>
        </w:rPr>
        <w:t xml:space="preserve"> “#16</w:t>
      </w:r>
      <w:r>
        <w:rPr>
          <w:rFonts w:ascii="Times New Roman" w:eastAsiaTheme="minorEastAsia" w:hAnsi="Times New Roman"/>
          <w:szCs w:val="24"/>
          <w:lang w:val="bs-Latn-BA"/>
        </w:rPr>
        <w:t>Дана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активизма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против</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родно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заснованог</w:t>
      </w:r>
      <w:r w:rsidR="00DC4A18">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насиља</w:t>
      </w:r>
      <w:r w:rsidR="00DC4A18">
        <w:rPr>
          <w:rFonts w:ascii="Times New Roman" w:eastAsiaTheme="minorEastAsia" w:hAnsi="Times New Roman"/>
          <w:szCs w:val="24"/>
          <w:lang w:val="bs-Latn-BA"/>
        </w:rPr>
        <w:t>”</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коференција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о</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фемициду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Уједињени</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позив</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на</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акцију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у</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Парламентарној</w:t>
      </w:r>
      <w:r w:rsidR="001379C1"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скупштини</w:t>
      </w:r>
      <w:r w:rsidR="009E54A2" w:rsidRPr="00295637">
        <w:rPr>
          <w:rFonts w:ascii="Times New Roman" w:eastAsiaTheme="minorEastAsia" w:hAnsi="Times New Roman"/>
          <w:szCs w:val="24"/>
          <w:lang w:val="bs-Latn-BA"/>
        </w:rPr>
        <w:t xml:space="preserve"> </w:t>
      </w:r>
      <w:r>
        <w:rPr>
          <w:rFonts w:ascii="Times New Roman" w:eastAsiaTheme="minorEastAsia" w:hAnsi="Times New Roman"/>
          <w:szCs w:val="24"/>
          <w:lang w:val="bs-Latn-BA"/>
        </w:rPr>
        <w:t>БиХ</w:t>
      </w:r>
      <w:r w:rsidR="00C04A6B">
        <w:rPr>
          <w:rFonts w:ascii="Times New Roman" w:eastAsiaTheme="minorEastAsia" w:hAnsi="Times New Roman"/>
          <w:szCs w:val="24"/>
          <w:lang w:val="bs-Latn-BA"/>
        </w:rPr>
        <w:t>;</w:t>
      </w:r>
      <w:r w:rsidR="009E54A2" w:rsidRPr="00295637">
        <w:rPr>
          <w:rFonts w:ascii="Times New Roman" w:eastAsiaTheme="minorEastAsia" w:hAnsi="Times New Roman"/>
          <w:szCs w:val="24"/>
          <w:lang w:val="bs-Latn-BA"/>
        </w:rPr>
        <w:t xml:space="preserve"> </w:t>
      </w:r>
    </w:p>
    <w:p w:rsidR="00E73C83" w:rsidRDefault="001379C1" w:rsidP="0086268D">
      <w:pPr>
        <w:pStyle w:val="ListParagraph"/>
        <w:numPr>
          <w:ilvl w:val="0"/>
          <w:numId w:val="18"/>
        </w:numPr>
        <w:ind w:left="1440" w:hanging="450"/>
        <w:jc w:val="both"/>
        <w:rPr>
          <w:rFonts w:ascii="Times New Roman" w:eastAsiaTheme="minorEastAsia" w:hAnsi="Times New Roman"/>
          <w:szCs w:val="24"/>
          <w:lang w:val="bs-Latn-BA"/>
        </w:rPr>
      </w:pPr>
      <w:r w:rsidRPr="00295637">
        <w:rPr>
          <w:rFonts w:ascii="Times New Roman" w:eastAsiaTheme="minorEastAsia" w:hAnsi="Times New Roman"/>
          <w:szCs w:val="24"/>
          <w:lang w:val="bs-Latn-BA"/>
        </w:rPr>
        <w:t>“</w:t>
      </w:r>
      <w:r w:rsidR="00C6214E">
        <w:rPr>
          <w:rFonts w:ascii="Times New Roman" w:eastAsiaTheme="minorEastAsia" w:hAnsi="Times New Roman"/>
          <w:szCs w:val="24"/>
          <w:lang w:val="bs-Latn-BA"/>
        </w:rPr>
        <w:t>ЕУ</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за</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људска</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права</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и</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сузбијање</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дискриминације</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конференција</w:t>
      </w:r>
      <w:r w:rsidRPr="00295637">
        <w:rPr>
          <w:rFonts w:ascii="Times New Roman" w:eastAsiaTheme="minorEastAsia" w:hAnsi="Times New Roman"/>
          <w:szCs w:val="24"/>
          <w:lang w:val="bs-Latn-BA"/>
        </w:rPr>
        <w:t xml:space="preserve"> </w:t>
      </w:r>
      <w:r w:rsidR="00745640">
        <w:rPr>
          <w:rFonts w:ascii="Times New Roman" w:eastAsiaTheme="minorEastAsia" w:hAnsi="Times New Roman"/>
          <w:szCs w:val="24"/>
          <w:lang w:val="sr-Cyrl-BA"/>
        </w:rPr>
        <w:t>с</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циљ</w:t>
      </w:r>
      <w:r w:rsidR="00745640">
        <w:rPr>
          <w:rFonts w:ascii="Times New Roman" w:eastAsiaTheme="minorEastAsia" w:hAnsi="Times New Roman"/>
          <w:szCs w:val="24"/>
          <w:lang w:val="sr-Cyrl-BA"/>
        </w:rPr>
        <w:t>ем</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давања</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подршке</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институцијама</w:t>
      </w:r>
      <w:r w:rsidR="00DC4A18">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БиХ</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како</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би</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се</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помогло</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рањивим</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групама</w:t>
      </w:r>
      <w:r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у</w:t>
      </w:r>
      <w:r w:rsidR="009E54A2" w:rsidRPr="00295637">
        <w:rPr>
          <w:rFonts w:ascii="Times New Roman" w:eastAsiaTheme="minorEastAsia" w:hAnsi="Times New Roman"/>
          <w:szCs w:val="24"/>
          <w:lang w:val="bs-Latn-BA"/>
        </w:rPr>
        <w:t xml:space="preserve"> </w:t>
      </w:r>
      <w:r w:rsidR="00C6214E">
        <w:rPr>
          <w:rFonts w:ascii="Times New Roman" w:eastAsiaTheme="minorEastAsia" w:hAnsi="Times New Roman"/>
          <w:szCs w:val="24"/>
          <w:lang w:val="bs-Latn-BA"/>
        </w:rPr>
        <w:t>БиХ</w:t>
      </w:r>
      <w:r w:rsidR="00C04A6B">
        <w:rPr>
          <w:rFonts w:ascii="Times New Roman" w:eastAsiaTheme="minorEastAsia" w:hAnsi="Times New Roman"/>
          <w:szCs w:val="24"/>
          <w:lang w:val="bs-Latn-BA"/>
        </w:rPr>
        <w:t>;</w:t>
      </w:r>
    </w:p>
    <w:p w:rsidR="000F5130" w:rsidRPr="000246A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hAnsi="Times New Roman"/>
          <w:lang w:val="sr-Latn-BA"/>
        </w:rPr>
        <w:t>К</w:t>
      </w:r>
      <w:r>
        <w:rPr>
          <w:rFonts w:ascii="Times New Roman" w:hAnsi="Times New Roman"/>
          <w:lang w:val="sr-Cyrl-BA"/>
        </w:rPr>
        <w:t>онференција</w:t>
      </w:r>
      <w:r w:rsidR="00E73C83" w:rsidRPr="000246A7">
        <w:rPr>
          <w:rFonts w:ascii="Times New Roman" w:hAnsi="Times New Roman"/>
          <w:lang w:val="sr-Cyrl-BA"/>
        </w:rPr>
        <w:t xml:space="preserve"> </w:t>
      </w:r>
      <w:r>
        <w:rPr>
          <w:rFonts w:ascii="Times New Roman" w:hAnsi="Times New Roman"/>
          <w:lang w:val="sr-Cyrl-BA"/>
        </w:rPr>
        <w:t>под</w:t>
      </w:r>
      <w:r w:rsidR="00E73C83" w:rsidRPr="000246A7">
        <w:rPr>
          <w:rFonts w:ascii="Times New Roman" w:hAnsi="Times New Roman"/>
          <w:lang w:val="sr-Cyrl-BA"/>
        </w:rPr>
        <w:t xml:space="preserve"> </w:t>
      </w:r>
      <w:r>
        <w:rPr>
          <w:rFonts w:ascii="Times New Roman" w:hAnsi="Times New Roman"/>
          <w:lang w:val="sr-Cyrl-BA"/>
        </w:rPr>
        <w:t>називом</w:t>
      </w:r>
      <w:r w:rsidR="00E73C83" w:rsidRPr="000246A7">
        <w:rPr>
          <w:rFonts w:ascii="Times New Roman" w:hAnsi="Times New Roman"/>
          <w:lang w:val="sr-Cyrl-BA"/>
        </w:rPr>
        <w:t>: ”</w:t>
      </w:r>
      <w:r>
        <w:rPr>
          <w:rFonts w:ascii="Times New Roman" w:hAnsi="Times New Roman"/>
          <w:lang w:val="sr-Cyrl-BA"/>
        </w:rPr>
        <w:t>Како</w:t>
      </w:r>
      <w:r w:rsidR="00E73C83" w:rsidRPr="000246A7">
        <w:rPr>
          <w:rFonts w:ascii="Times New Roman" w:hAnsi="Times New Roman"/>
          <w:lang w:val="sr-Cyrl-BA"/>
        </w:rPr>
        <w:t xml:space="preserve"> </w:t>
      </w:r>
      <w:r>
        <w:rPr>
          <w:rFonts w:ascii="Times New Roman" w:hAnsi="Times New Roman"/>
          <w:lang w:val="sr-Cyrl-BA"/>
        </w:rPr>
        <w:t>спријечити</w:t>
      </w:r>
      <w:r w:rsidR="00E73C83" w:rsidRPr="000246A7">
        <w:rPr>
          <w:rFonts w:ascii="Times New Roman" w:hAnsi="Times New Roman"/>
          <w:lang w:val="sr-Cyrl-BA"/>
        </w:rPr>
        <w:t xml:space="preserve"> </w:t>
      </w:r>
      <w:r>
        <w:rPr>
          <w:rFonts w:ascii="Times New Roman" w:hAnsi="Times New Roman"/>
          <w:lang w:val="sr-Cyrl-BA"/>
        </w:rPr>
        <w:t>фемицид</w:t>
      </w:r>
      <w:r w:rsidR="00E73C83" w:rsidRPr="000246A7">
        <w:rPr>
          <w:rFonts w:ascii="Times New Roman" w:hAnsi="Times New Roman"/>
          <w:lang w:val="sr-Cyrl-BA"/>
        </w:rPr>
        <w:t>?“</w:t>
      </w:r>
      <w:r w:rsidR="00C04A6B">
        <w:rPr>
          <w:rFonts w:ascii="Times New Roman" w:hAnsi="Times New Roman"/>
          <w:lang w:val="hr-HR"/>
        </w:rPr>
        <w:t xml:space="preserve"> </w:t>
      </w:r>
      <w:r>
        <w:rPr>
          <w:rFonts w:ascii="Times New Roman" w:eastAsiaTheme="minorEastAsia" w:hAnsi="Times New Roman"/>
          <w:szCs w:val="24"/>
          <w:lang w:val="bs-Latn-BA"/>
        </w:rPr>
        <w:t>у</w:t>
      </w:r>
      <w:r w:rsidR="00E73C83" w:rsidRPr="000246A7">
        <w:rPr>
          <w:rFonts w:ascii="Times New Roman" w:eastAsiaTheme="minorEastAsia" w:hAnsi="Times New Roman"/>
          <w:szCs w:val="24"/>
          <w:lang w:val="bs-Latn-BA"/>
        </w:rPr>
        <w:t xml:space="preserve"> </w:t>
      </w:r>
      <w:r>
        <w:rPr>
          <w:rFonts w:ascii="Times New Roman" w:eastAsiaTheme="minorEastAsia" w:hAnsi="Times New Roman"/>
          <w:szCs w:val="24"/>
          <w:lang w:val="bs-Latn-BA"/>
        </w:rPr>
        <w:t>Администра</w:t>
      </w:r>
      <w:r w:rsidR="00745640">
        <w:rPr>
          <w:rFonts w:ascii="Times New Roman" w:eastAsiaTheme="minorEastAsia" w:hAnsi="Times New Roman"/>
          <w:szCs w:val="24"/>
          <w:lang w:val="sr-Cyrl-BA"/>
        </w:rPr>
        <w:t>тивном</w:t>
      </w:r>
      <w:r w:rsidR="00E73C83" w:rsidRPr="000246A7">
        <w:rPr>
          <w:rFonts w:ascii="Times New Roman" w:eastAsiaTheme="minorEastAsia" w:hAnsi="Times New Roman"/>
          <w:szCs w:val="24"/>
          <w:lang w:val="bs-Latn-BA"/>
        </w:rPr>
        <w:t xml:space="preserve"> </w:t>
      </w:r>
      <w:r>
        <w:rPr>
          <w:rFonts w:ascii="Times New Roman" w:eastAsiaTheme="minorEastAsia" w:hAnsi="Times New Roman"/>
          <w:szCs w:val="24"/>
          <w:lang w:val="bs-Latn-BA"/>
        </w:rPr>
        <w:t>центру</w:t>
      </w:r>
      <w:r w:rsidR="00E73C83" w:rsidRPr="000246A7">
        <w:rPr>
          <w:rFonts w:ascii="Times New Roman" w:eastAsiaTheme="minorEastAsia" w:hAnsi="Times New Roman"/>
          <w:szCs w:val="24"/>
          <w:lang w:val="bs-Latn-BA"/>
        </w:rPr>
        <w:t xml:space="preserve"> </w:t>
      </w:r>
      <w:r>
        <w:rPr>
          <w:rFonts w:ascii="Times New Roman" w:eastAsiaTheme="minorEastAsia" w:hAnsi="Times New Roman"/>
          <w:szCs w:val="24"/>
          <w:lang w:val="bs-Latn-BA"/>
        </w:rPr>
        <w:t>Владе</w:t>
      </w:r>
      <w:r w:rsidR="00E73C83" w:rsidRPr="000246A7">
        <w:rPr>
          <w:rFonts w:ascii="Times New Roman" w:eastAsiaTheme="minorEastAsia" w:hAnsi="Times New Roman"/>
          <w:szCs w:val="24"/>
          <w:lang w:val="bs-Latn-BA"/>
        </w:rPr>
        <w:t xml:space="preserve"> </w:t>
      </w:r>
      <w:r>
        <w:rPr>
          <w:rFonts w:ascii="Times New Roman" w:eastAsiaTheme="minorEastAsia" w:hAnsi="Times New Roman"/>
          <w:szCs w:val="24"/>
          <w:lang w:val="bs-Latn-BA"/>
        </w:rPr>
        <w:t>Републике</w:t>
      </w:r>
      <w:r w:rsidR="00E73C83" w:rsidRPr="000246A7">
        <w:rPr>
          <w:rFonts w:ascii="Times New Roman" w:eastAsiaTheme="minorEastAsia" w:hAnsi="Times New Roman"/>
          <w:szCs w:val="24"/>
          <w:lang w:val="bs-Latn-BA"/>
        </w:rPr>
        <w:t xml:space="preserve"> </w:t>
      </w:r>
      <w:r>
        <w:rPr>
          <w:rFonts w:ascii="Times New Roman" w:eastAsiaTheme="minorEastAsia" w:hAnsi="Times New Roman"/>
          <w:szCs w:val="24"/>
          <w:lang w:val="bs-Latn-BA"/>
        </w:rPr>
        <w:t>Српске</w:t>
      </w:r>
      <w:r w:rsidR="00E73C83" w:rsidRPr="000246A7">
        <w:rPr>
          <w:rFonts w:ascii="Times New Roman" w:eastAsiaTheme="minorEastAsia" w:hAnsi="Times New Roman"/>
          <w:szCs w:val="24"/>
          <w:lang w:val="bs-Latn-BA"/>
        </w:rPr>
        <w:t xml:space="preserve">, </w:t>
      </w:r>
      <w:r>
        <w:rPr>
          <w:rFonts w:ascii="Times New Roman" w:eastAsiaTheme="minorEastAsia" w:hAnsi="Times New Roman"/>
          <w:szCs w:val="24"/>
          <w:lang w:val="bs-Latn-BA"/>
        </w:rPr>
        <w:t>децембар</w:t>
      </w:r>
      <w:r w:rsidR="00E73C83" w:rsidRPr="000246A7">
        <w:rPr>
          <w:rFonts w:ascii="Times New Roman" w:eastAsiaTheme="minorEastAsia" w:hAnsi="Times New Roman"/>
          <w:szCs w:val="24"/>
          <w:lang w:val="bs-Latn-BA"/>
        </w:rPr>
        <w:t xml:space="preserve"> 2023.</w:t>
      </w:r>
      <w:r w:rsidR="00C04A6B">
        <w:rPr>
          <w:rFonts w:ascii="Times New Roman" w:eastAsiaTheme="minorEastAsia" w:hAnsi="Times New Roman"/>
          <w:szCs w:val="24"/>
          <w:lang w:val="bs-Latn-BA"/>
        </w:rPr>
        <w:t xml:space="preserve"> </w:t>
      </w:r>
      <w:r>
        <w:rPr>
          <w:rFonts w:ascii="Times New Roman" w:eastAsiaTheme="minorEastAsia" w:hAnsi="Times New Roman"/>
          <w:szCs w:val="24"/>
          <w:lang w:val="bs-Latn-BA"/>
        </w:rPr>
        <w:t>године</w:t>
      </w:r>
      <w:r w:rsidR="00C04A6B">
        <w:rPr>
          <w:rFonts w:ascii="Times New Roman" w:eastAsiaTheme="minorEastAsia" w:hAnsi="Times New Roman"/>
          <w:szCs w:val="24"/>
          <w:lang w:val="bs-Latn-BA"/>
        </w:rPr>
        <w:t>;</w:t>
      </w:r>
    </w:p>
    <w:p w:rsidR="00146C76" w:rsidRPr="000246A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hAnsi="Times New Roman"/>
          <w:lang w:val="sr-Latn-BA"/>
        </w:rPr>
        <w:t>Кон</w:t>
      </w:r>
      <w:r w:rsidR="00745640">
        <w:rPr>
          <w:rFonts w:ascii="Times New Roman" w:hAnsi="Times New Roman"/>
          <w:lang w:val="sr-Cyrl-BA"/>
        </w:rPr>
        <w:t>с</w:t>
      </w:r>
      <w:r>
        <w:rPr>
          <w:rFonts w:ascii="Times New Roman" w:hAnsi="Times New Roman"/>
          <w:lang w:val="sr-Latn-BA"/>
        </w:rPr>
        <w:t>ултативни</w:t>
      </w:r>
      <w:r w:rsidR="00146C76" w:rsidRPr="000246A7">
        <w:rPr>
          <w:rFonts w:ascii="Times New Roman" w:hAnsi="Times New Roman"/>
          <w:lang w:val="sr-Latn-BA"/>
        </w:rPr>
        <w:t>/</w:t>
      </w:r>
      <w:r>
        <w:rPr>
          <w:rFonts w:ascii="Times New Roman" w:hAnsi="Times New Roman"/>
          <w:lang w:val="sr-Latn-BA"/>
        </w:rPr>
        <w:t>валидациони</w:t>
      </w:r>
      <w:r w:rsidR="00C04A6B">
        <w:rPr>
          <w:rFonts w:ascii="Times New Roman" w:hAnsi="Times New Roman"/>
          <w:lang w:val="sr-Latn-BA"/>
        </w:rPr>
        <w:t xml:space="preserve"> </w:t>
      </w:r>
      <w:r>
        <w:rPr>
          <w:rFonts w:ascii="Times New Roman" w:hAnsi="Times New Roman"/>
          <w:lang w:val="sr-Latn-BA"/>
        </w:rPr>
        <w:t>састанак</w:t>
      </w:r>
      <w:r w:rsidR="00C04A6B">
        <w:rPr>
          <w:rFonts w:ascii="Times New Roman" w:hAnsi="Times New Roman"/>
          <w:lang w:val="sr-Latn-BA"/>
        </w:rPr>
        <w:t xml:space="preserve"> </w:t>
      </w:r>
      <w:r>
        <w:rPr>
          <w:rFonts w:ascii="Times New Roman" w:hAnsi="Times New Roman"/>
          <w:lang w:val="sr-Latn-BA"/>
        </w:rPr>
        <w:t>са</w:t>
      </w:r>
      <w:r w:rsidR="00146C76" w:rsidRPr="000246A7">
        <w:rPr>
          <w:rFonts w:ascii="Times New Roman" w:hAnsi="Times New Roman"/>
          <w:lang w:val="sr-Latn-BA"/>
        </w:rPr>
        <w:t xml:space="preserve"> </w:t>
      </w:r>
      <w:r>
        <w:rPr>
          <w:rFonts w:ascii="Times New Roman" w:hAnsi="Times New Roman"/>
          <w:lang w:val="sr-Latn-BA"/>
        </w:rPr>
        <w:t>институцијама</w:t>
      </w:r>
      <w:r w:rsidR="00146C76" w:rsidRPr="000246A7">
        <w:rPr>
          <w:rFonts w:ascii="Times New Roman" w:hAnsi="Times New Roman"/>
          <w:lang w:val="sr-Latn-BA"/>
        </w:rPr>
        <w:t xml:space="preserve"> </w:t>
      </w:r>
      <w:r>
        <w:rPr>
          <w:rFonts w:ascii="Times New Roman" w:hAnsi="Times New Roman"/>
          <w:lang w:val="sr-Latn-BA"/>
        </w:rPr>
        <w:t>Републике</w:t>
      </w:r>
      <w:r w:rsidR="00146C76" w:rsidRPr="000246A7">
        <w:rPr>
          <w:rFonts w:ascii="Times New Roman" w:hAnsi="Times New Roman"/>
          <w:lang w:val="sr-Latn-BA"/>
        </w:rPr>
        <w:t xml:space="preserve"> </w:t>
      </w:r>
      <w:r>
        <w:rPr>
          <w:rFonts w:ascii="Times New Roman" w:hAnsi="Times New Roman"/>
          <w:lang w:val="sr-Latn-BA"/>
        </w:rPr>
        <w:t>Српске</w:t>
      </w:r>
      <w:r w:rsidR="00146C76" w:rsidRPr="000246A7">
        <w:rPr>
          <w:rFonts w:ascii="Times New Roman" w:hAnsi="Times New Roman"/>
          <w:lang w:val="sr-Latn-BA"/>
        </w:rPr>
        <w:t xml:space="preserve"> </w:t>
      </w:r>
      <w:r>
        <w:rPr>
          <w:rFonts w:ascii="Times New Roman" w:hAnsi="Times New Roman"/>
          <w:lang w:val="sr-Latn-BA"/>
        </w:rPr>
        <w:t>у</w:t>
      </w:r>
      <w:r w:rsidR="00146C76" w:rsidRPr="000246A7">
        <w:rPr>
          <w:rFonts w:ascii="Times New Roman" w:hAnsi="Times New Roman"/>
          <w:lang w:val="sr-Latn-BA"/>
        </w:rPr>
        <w:t xml:space="preserve"> </w:t>
      </w:r>
      <w:r>
        <w:rPr>
          <w:rFonts w:ascii="Times New Roman" w:hAnsi="Times New Roman"/>
          <w:lang w:val="sr-Latn-BA"/>
        </w:rPr>
        <w:t>оквиру</w:t>
      </w:r>
      <w:r w:rsidR="00146C76" w:rsidRPr="000246A7">
        <w:rPr>
          <w:rFonts w:ascii="Times New Roman" w:hAnsi="Times New Roman"/>
          <w:lang w:val="sr-Latn-BA"/>
        </w:rPr>
        <w:t xml:space="preserve"> </w:t>
      </w:r>
      <w:r>
        <w:rPr>
          <w:rFonts w:ascii="Times New Roman" w:hAnsi="Times New Roman"/>
          <w:lang w:val="sr-Latn-BA"/>
        </w:rPr>
        <w:t>израде</w:t>
      </w:r>
      <w:r w:rsidR="00146C76" w:rsidRPr="000246A7">
        <w:rPr>
          <w:rFonts w:ascii="Times New Roman" w:hAnsi="Times New Roman"/>
          <w:lang w:val="sr-Latn-BA"/>
        </w:rPr>
        <w:t xml:space="preserve"> </w:t>
      </w:r>
      <w:r>
        <w:rPr>
          <w:rFonts w:ascii="Times New Roman" w:hAnsi="Times New Roman"/>
          <w:lang w:val="sr-Latn-BA"/>
        </w:rPr>
        <w:t>извјештаја</w:t>
      </w:r>
      <w:r w:rsidR="00146C76" w:rsidRPr="000246A7">
        <w:rPr>
          <w:rFonts w:ascii="Times New Roman" w:hAnsi="Times New Roman"/>
          <w:lang w:val="sr-Latn-BA"/>
        </w:rPr>
        <w:t xml:space="preserve"> </w:t>
      </w:r>
      <w:r w:rsidR="00C04A6B">
        <w:rPr>
          <w:rFonts w:ascii="Times New Roman" w:hAnsi="Times New Roman"/>
          <w:lang w:val="sr-Latn-BA"/>
        </w:rPr>
        <w:t>„</w:t>
      </w:r>
      <w:r>
        <w:rPr>
          <w:rFonts w:ascii="Times New Roman" w:hAnsi="Times New Roman"/>
          <w:lang w:val="sr-Latn-BA"/>
        </w:rPr>
        <w:t>Пекинг</w:t>
      </w:r>
      <w:r w:rsidR="00146C76" w:rsidRPr="000246A7">
        <w:rPr>
          <w:rFonts w:ascii="Times New Roman" w:hAnsi="Times New Roman"/>
          <w:lang w:val="sr-Latn-BA"/>
        </w:rPr>
        <w:t>30+</w:t>
      </w:r>
      <w:r w:rsidR="00C04A6B">
        <w:rPr>
          <w:rFonts w:ascii="Times New Roman" w:hAnsi="Times New Roman"/>
          <w:lang w:val="sr-Latn-BA"/>
        </w:rPr>
        <w:t>“;</w:t>
      </w:r>
    </w:p>
    <w:p w:rsidR="00146C76" w:rsidRPr="000246A7" w:rsidRDefault="00C6214E" w:rsidP="0086268D">
      <w:pPr>
        <w:pStyle w:val="ListParagraph"/>
        <w:numPr>
          <w:ilvl w:val="0"/>
          <w:numId w:val="18"/>
        </w:numPr>
        <w:ind w:left="1440" w:hanging="450"/>
        <w:jc w:val="both"/>
        <w:rPr>
          <w:rFonts w:ascii="Times New Roman" w:eastAsiaTheme="minorEastAsia" w:hAnsi="Times New Roman"/>
          <w:szCs w:val="24"/>
          <w:lang w:val="bs-Latn-BA"/>
        </w:rPr>
      </w:pPr>
      <w:r>
        <w:rPr>
          <w:rFonts w:ascii="Times New Roman" w:hAnsi="Times New Roman"/>
          <w:lang w:val="sr-Latn-BA"/>
        </w:rPr>
        <w:t>Обука</w:t>
      </w:r>
      <w:r w:rsidR="00146C76" w:rsidRPr="000246A7">
        <w:rPr>
          <w:rFonts w:ascii="Times New Roman" w:hAnsi="Times New Roman"/>
          <w:lang w:val="sr-Latn-BA"/>
        </w:rPr>
        <w:t xml:space="preserve"> </w:t>
      </w:r>
      <w:r>
        <w:rPr>
          <w:rFonts w:ascii="Times New Roman" w:hAnsi="Times New Roman"/>
          <w:lang w:val="sr-Latn-BA"/>
        </w:rPr>
        <w:t>за</w:t>
      </w:r>
      <w:r w:rsidR="00146C76" w:rsidRPr="000246A7">
        <w:rPr>
          <w:rFonts w:ascii="Times New Roman" w:hAnsi="Times New Roman"/>
          <w:lang w:val="sr-Latn-BA"/>
        </w:rPr>
        <w:t xml:space="preserve"> </w:t>
      </w:r>
      <w:r>
        <w:rPr>
          <w:rFonts w:ascii="Times New Roman" w:hAnsi="Times New Roman"/>
          <w:lang w:val="sr-Latn-BA"/>
        </w:rPr>
        <w:t>КОРС</w:t>
      </w:r>
      <w:r w:rsidR="00146C76" w:rsidRPr="000246A7">
        <w:rPr>
          <w:rFonts w:ascii="Times New Roman" w:hAnsi="Times New Roman"/>
          <w:lang w:val="sr-Latn-BA"/>
        </w:rPr>
        <w:t xml:space="preserve"> – </w:t>
      </w:r>
      <w:r>
        <w:rPr>
          <w:rFonts w:ascii="Times New Roman" w:hAnsi="Times New Roman"/>
          <w:lang w:val="sr-Latn-BA"/>
        </w:rPr>
        <w:t>израда</w:t>
      </w:r>
      <w:r w:rsidR="00146C76" w:rsidRPr="000246A7">
        <w:rPr>
          <w:rFonts w:ascii="Times New Roman" w:hAnsi="Times New Roman"/>
          <w:lang w:val="sr-Latn-BA"/>
        </w:rPr>
        <w:t xml:space="preserve"> </w:t>
      </w:r>
      <w:r>
        <w:rPr>
          <w:rFonts w:ascii="Times New Roman" w:hAnsi="Times New Roman"/>
          <w:lang w:val="sr-Latn-BA"/>
        </w:rPr>
        <w:t>годишњег</w:t>
      </w:r>
      <w:r w:rsidR="00146C76" w:rsidRPr="000246A7">
        <w:rPr>
          <w:rFonts w:ascii="Times New Roman" w:hAnsi="Times New Roman"/>
          <w:lang w:val="sr-Latn-BA"/>
        </w:rPr>
        <w:t xml:space="preserve"> </w:t>
      </w:r>
      <w:r>
        <w:rPr>
          <w:rFonts w:ascii="Times New Roman" w:hAnsi="Times New Roman"/>
          <w:lang w:val="sr-Latn-BA"/>
        </w:rPr>
        <w:t>оперативног</w:t>
      </w:r>
      <w:r w:rsidR="00146C76" w:rsidRPr="000246A7">
        <w:rPr>
          <w:rFonts w:ascii="Times New Roman" w:hAnsi="Times New Roman"/>
          <w:lang w:val="sr-Latn-BA"/>
        </w:rPr>
        <w:t xml:space="preserve"> </w:t>
      </w:r>
      <w:r>
        <w:rPr>
          <w:rFonts w:ascii="Times New Roman" w:hAnsi="Times New Roman"/>
          <w:lang w:val="sr-Latn-BA"/>
        </w:rPr>
        <w:t>плана</w:t>
      </w:r>
      <w:r w:rsidR="00146C76" w:rsidRPr="000246A7">
        <w:rPr>
          <w:rFonts w:ascii="Times New Roman" w:hAnsi="Times New Roman"/>
          <w:lang w:val="sr-Latn-BA"/>
        </w:rPr>
        <w:t xml:space="preserve"> </w:t>
      </w:r>
      <w:r>
        <w:rPr>
          <w:rFonts w:ascii="Times New Roman" w:hAnsi="Times New Roman"/>
          <w:lang w:val="sr-Latn-BA"/>
        </w:rPr>
        <w:t>за</w:t>
      </w:r>
      <w:r w:rsidR="00146C76" w:rsidRPr="000246A7">
        <w:rPr>
          <w:rFonts w:ascii="Times New Roman" w:hAnsi="Times New Roman"/>
          <w:lang w:val="sr-Latn-BA"/>
        </w:rPr>
        <w:t xml:space="preserve"> </w:t>
      </w:r>
      <w:r>
        <w:rPr>
          <w:rFonts w:ascii="Times New Roman" w:hAnsi="Times New Roman"/>
          <w:lang w:val="sr-Latn-BA"/>
        </w:rPr>
        <w:t>равноправност</w:t>
      </w:r>
      <w:r w:rsidR="00146C76" w:rsidRPr="000246A7">
        <w:rPr>
          <w:rFonts w:ascii="Times New Roman" w:hAnsi="Times New Roman"/>
          <w:lang w:val="sr-Latn-BA"/>
        </w:rPr>
        <w:t xml:space="preserve"> </w:t>
      </w:r>
      <w:r>
        <w:rPr>
          <w:rFonts w:ascii="Times New Roman" w:hAnsi="Times New Roman"/>
          <w:lang w:val="sr-Latn-BA"/>
        </w:rPr>
        <w:t>полова</w:t>
      </w:r>
      <w:r w:rsidR="00146C76" w:rsidRPr="000246A7">
        <w:rPr>
          <w:rFonts w:ascii="Times New Roman" w:hAnsi="Times New Roman"/>
          <w:lang w:val="sr-Latn-BA"/>
        </w:rPr>
        <w:t xml:space="preserve"> </w:t>
      </w:r>
      <w:r>
        <w:rPr>
          <w:rFonts w:ascii="Times New Roman" w:hAnsi="Times New Roman"/>
          <w:lang w:val="sr-Latn-BA"/>
        </w:rPr>
        <w:t>и</w:t>
      </w:r>
      <w:r w:rsidR="00146C76" w:rsidRPr="000246A7">
        <w:rPr>
          <w:rFonts w:ascii="Times New Roman" w:hAnsi="Times New Roman"/>
          <w:lang w:val="sr-Latn-BA"/>
        </w:rPr>
        <w:t xml:space="preserve"> </w:t>
      </w:r>
      <w:r>
        <w:rPr>
          <w:rFonts w:ascii="Times New Roman" w:hAnsi="Times New Roman"/>
          <w:lang w:val="sr-Latn-BA"/>
        </w:rPr>
        <w:t>Пословника</w:t>
      </w:r>
      <w:r w:rsidR="00146C76" w:rsidRPr="000246A7">
        <w:rPr>
          <w:rFonts w:ascii="Times New Roman" w:hAnsi="Times New Roman"/>
          <w:lang w:val="sr-Latn-BA"/>
        </w:rPr>
        <w:t xml:space="preserve"> </w:t>
      </w:r>
      <w:r>
        <w:rPr>
          <w:rFonts w:ascii="Times New Roman" w:hAnsi="Times New Roman"/>
          <w:lang w:val="sr-Latn-BA"/>
        </w:rPr>
        <w:t>о</w:t>
      </w:r>
      <w:r w:rsidR="00146C76" w:rsidRPr="000246A7">
        <w:rPr>
          <w:rFonts w:ascii="Times New Roman" w:hAnsi="Times New Roman"/>
          <w:lang w:val="sr-Latn-BA"/>
        </w:rPr>
        <w:t xml:space="preserve"> </w:t>
      </w:r>
      <w:r>
        <w:rPr>
          <w:rFonts w:ascii="Times New Roman" w:hAnsi="Times New Roman"/>
          <w:lang w:val="sr-Latn-BA"/>
        </w:rPr>
        <w:t>раду</w:t>
      </w:r>
      <w:r w:rsidR="00C04A6B">
        <w:rPr>
          <w:rFonts w:ascii="Times New Roman" w:hAnsi="Times New Roman"/>
          <w:lang w:val="sr-Latn-BA"/>
        </w:rPr>
        <w:t>.</w:t>
      </w:r>
    </w:p>
    <w:p w:rsidR="001379C1" w:rsidRPr="00295637" w:rsidRDefault="001379C1" w:rsidP="0086268D">
      <w:pPr>
        <w:rPr>
          <w:rFonts w:ascii="Times New Roman" w:eastAsiaTheme="minorEastAsia" w:hAnsi="Times New Roman"/>
          <w:szCs w:val="24"/>
          <w:lang w:val="bs-Latn-BA"/>
        </w:rPr>
      </w:pPr>
      <w:r w:rsidRPr="00295637">
        <w:rPr>
          <w:rFonts w:ascii="Times New Roman" w:eastAsiaTheme="minorEastAsia" w:hAnsi="Times New Roman"/>
          <w:szCs w:val="24"/>
          <w:lang w:val="bs-Latn-BA"/>
        </w:rPr>
        <w:br w:type="page"/>
      </w:r>
    </w:p>
    <w:p w:rsidR="001379C1" w:rsidRPr="00295637" w:rsidRDefault="001379C1" w:rsidP="0086268D">
      <w:pPr>
        <w:rPr>
          <w:rFonts w:ascii="Times New Roman" w:eastAsiaTheme="minorEastAsia" w:hAnsi="Times New Roman"/>
          <w:szCs w:val="24"/>
          <w:lang w:val="en-US"/>
        </w:rPr>
      </w:pPr>
    </w:p>
    <w:p w:rsidR="00A92736" w:rsidRPr="00295637" w:rsidRDefault="002D2D24" w:rsidP="0086268D">
      <w:pPr>
        <w:pStyle w:val="Heading3"/>
        <w:numPr>
          <w:ilvl w:val="0"/>
          <w:numId w:val="0"/>
        </w:numPr>
        <w:tabs>
          <w:tab w:val="clear" w:pos="709"/>
          <w:tab w:val="left" w:pos="360"/>
        </w:tabs>
        <w:spacing w:after="0" w:line="240" w:lineRule="auto"/>
        <w:ind w:left="270" w:hanging="360"/>
        <w:rPr>
          <w:rFonts w:ascii="Times New Roman" w:hAnsi="Times New Roman" w:cs="Times New Roman"/>
          <w:b w:val="0"/>
          <w:lang w:val="en-US"/>
        </w:rPr>
      </w:pPr>
      <w:bookmarkStart w:id="79" w:name="_Toc195016611"/>
      <w:r w:rsidRPr="00295637">
        <w:rPr>
          <w:rFonts w:ascii="Times New Roman" w:hAnsi="Times New Roman" w:cs="Times New Roman"/>
          <w:lang w:val="en-US"/>
        </w:rPr>
        <w:t>3</w:t>
      </w:r>
      <w:r w:rsidR="00C04A6B">
        <w:rPr>
          <w:rFonts w:ascii="Times New Roman" w:hAnsi="Times New Roman" w:cs="Times New Roman"/>
          <w:lang w:val="en-US"/>
        </w:rPr>
        <w:t>.</w:t>
      </w:r>
      <w:r w:rsidRPr="00295637">
        <w:rPr>
          <w:rFonts w:ascii="Times New Roman" w:hAnsi="Times New Roman" w:cs="Times New Roman"/>
          <w:lang w:val="en-US"/>
        </w:rPr>
        <w:tab/>
      </w:r>
      <w:r w:rsidR="00C6214E">
        <w:rPr>
          <w:rFonts w:ascii="Times New Roman" w:hAnsi="Times New Roman" w:cs="Times New Roman"/>
          <w:lang w:val="sr-Latn-BA"/>
        </w:rPr>
        <w:t>Закони</w:t>
      </w:r>
      <w:r w:rsidRPr="00295637">
        <w:rPr>
          <w:rFonts w:ascii="Times New Roman" w:hAnsi="Times New Roman" w:cs="Times New Roman"/>
          <w:lang w:val="sr-Latn-BA"/>
        </w:rPr>
        <w:t xml:space="preserve"> </w:t>
      </w:r>
      <w:r w:rsidR="00C6214E">
        <w:rPr>
          <w:rFonts w:ascii="Times New Roman" w:hAnsi="Times New Roman" w:cs="Times New Roman"/>
          <w:lang w:val="sr-Latn-BA"/>
        </w:rPr>
        <w:t>и</w:t>
      </w:r>
      <w:r w:rsidRPr="00295637">
        <w:rPr>
          <w:rFonts w:ascii="Times New Roman" w:hAnsi="Times New Roman" w:cs="Times New Roman"/>
          <w:lang w:val="sr-Latn-BA"/>
        </w:rPr>
        <w:t xml:space="preserve"> </w:t>
      </w:r>
      <w:r w:rsidR="00C6214E">
        <w:rPr>
          <w:rFonts w:ascii="Times New Roman" w:hAnsi="Times New Roman" w:cs="Times New Roman"/>
          <w:lang w:val="sr-Latn-BA"/>
        </w:rPr>
        <w:t>други</w:t>
      </w:r>
      <w:r w:rsidRPr="00295637">
        <w:rPr>
          <w:rFonts w:ascii="Times New Roman" w:hAnsi="Times New Roman" w:cs="Times New Roman"/>
          <w:lang w:val="sr-Latn-BA"/>
        </w:rPr>
        <w:t xml:space="preserve"> </w:t>
      </w:r>
      <w:r w:rsidR="00C6214E">
        <w:rPr>
          <w:rFonts w:ascii="Times New Roman" w:hAnsi="Times New Roman" w:cs="Times New Roman"/>
          <w:lang w:val="sr-Latn-BA"/>
        </w:rPr>
        <w:t>акти</w:t>
      </w:r>
      <w:r w:rsidRPr="00295637">
        <w:rPr>
          <w:rFonts w:ascii="Times New Roman" w:hAnsi="Times New Roman" w:cs="Times New Roman"/>
          <w:lang w:val="sr-Latn-BA"/>
        </w:rPr>
        <w:t xml:space="preserve"> </w:t>
      </w:r>
      <w:r w:rsidR="00C6214E">
        <w:rPr>
          <w:rFonts w:ascii="Times New Roman" w:hAnsi="Times New Roman" w:cs="Times New Roman"/>
          <w:lang w:val="sr-Latn-BA"/>
        </w:rPr>
        <w:t>у</w:t>
      </w:r>
      <w:r w:rsidRPr="00295637">
        <w:rPr>
          <w:rFonts w:ascii="Times New Roman" w:hAnsi="Times New Roman" w:cs="Times New Roman"/>
          <w:lang w:val="sr-Latn-BA"/>
        </w:rPr>
        <w:t xml:space="preserve"> </w:t>
      </w:r>
      <w:r w:rsidR="00C6214E">
        <w:rPr>
          <w:rFonts w:ascii="Times New Roman" w:hAnsi="Times New Roman" w:cs="Times New Roman"/>
          <w:lang w:val="sr-Latn-BA"/>
        </w:rPr>
        <w:t>којима</w:t>
      </w:r>
      <w:r w:rsidRPr="00295637">
        <w:rPr>
          <w:rFonts w:ascii="Times New Roman" w:hAnsi="Times New Roman" w:cs="Times New Roman"/>
          <w:lang w:val="sr-Latn-BA"/>
        </w:rPr>
        <w:t xml:space="preserve"> </w:t>
      </w:r>
      <w:r w:rsidR="00C6214E">
        <w:rPr>
          <w:rFonts w:ascii="Times New Roman" w:hAnsi="Times New Roman" w:cs="Times New Roman"/>
          <w:lang w:val="sr-Latn-BA"/>
        </w:rPr>
        <w:t>су</w:t>
      </w:r>
      <w:r w:rsidRPr="00295637">
        <w:rPr>
          <w:rFonts w:ascii="Times New Roman" w:hAnsi="Times New Roman" w:cs="Times New Roman"/>
          <w:lang w:val="sr-Cyrl-BA"/>
        </w:rPr>
        <w:t xml:space="preserve"> </w:t>
      </w:r>
      <w:r w:rsidR="00C6214E">
        <w:rPr>
          <w:rFonts w:ascii="Times New Roman" w:hAnsi="Times New Roman" w:cs="Times New Roman"/>
          <w:lang w:val="sr-Cyrl-BA"/>
        </w:rPr>
        <w:t>предложени</w:t>
      </w:r>
      <w:r w:rsidRPr="00295637">
        <w:rPr>
          <w:rFonts w:ascii="Times New Roman" w:hAnsi="Times New Roman" w:cs="Times New Roman"/>
          <w:lang w:val="sr-Cyrl-BA"/>
        </w:rPr>
        <w:t>/</w:t>
      </w:r>
      <w:r w:rsidR="00C6214E">
        <w:rPr>
          <w:rFonts w:ascii="Times New Roman" w:hAnsi="Times New Roman" w:cs="Times New Roman"/>
          <w:lang w:val="sr-Cyrl-BA"/>
        </w:rPr>
        <w:t>усвојени</w:t>
      </w:r>
      <w:r w:rsidRPr="00295637">
        <w:rPr>
          <w:rFonts w:ascii="Times New Roman" w:hAnsi="Times New Roman" w:cs="Times New Roman"/>
          <w:lang w:val="sr-Cyrl-BA"/>
        </w:rPr>
        <w:t xml:space="preserve"> </w:t>
      </w:r>
      <w:r w:rsidR="00C6214E">
        <w:rPr>
          <w:rFonts w:ascii="Times New Roman" w:hAnsi="Times New Roman" w:cs="Times New Roman"/>
          <w:lang w:val="sr-Latn-BA"/>
        </w:rPr>
        <w:t>правни</w:t>
      </w:r>
      <w:r w:rsidRPr="00295637">
        <w:rPr>
          <w:rFonts w:ascii="Times New Roman" w:hAnsi="Times New Roman" w:cs="Times New Roman"/>
          <w:lang w:val="sr-Latn-BA"/>
        </w:rPr>
        <w:t xml:space="preserve"> </w:t>
      </w:r>
      <w:r w:rsidR="00C6214E">
        <w:rPr>
          <w:rFonts w:ascii="Times New Roman" w:hAnsi="Times New Roman" w:cs="Times New Roman"/>
          <w:lang w:val="sr-Latn-BA"/>
        </w:rPr>
        <w:t>стандарди</w:t>
      </w:r>
      <w:r w:rsidRPr="00295637">
        <w:rPr>
          <w:rFonts w:ascii="Times New Roman" w:hAnsi="Times New Roman" w:cs="Times New Roman"/>
          <w:lang w:val="sr-Latn-BA"/>
        </w:rPr>
        <w:t xml:space="preserve"> </w:t>
      </w:r>
      <w:r w:rsidR="00C6214E">
        <w:rPr>
          <w:rFonts w:ascii="Times New Roman" w:hAnsi="Times New Roman" w:cs="Times New Roman"/>
          <w:lang w:val="sr-Latn-BA"/>
        </w:rPr>
        <w:t>за</w:t>
      </w:r>
      <w:r w:rsidRPr="00295637">
        <w:rPr>
          <w:rFonts w:ascii="Times New Roman" w:hAnsi="Times New Roman" w:cs="Times New Roman"/>
          <w:lang w:val="sr-Latn-BA"/>
        </w:rPr>
        <w:t xml:space="preserve"> </w:t>
      </w:r>
      <w:r w:rsidR="00C6214E">
        <w:rPr>
          <w:rFonts w:ascii="Times New Roman" w:hAnsi="Times New Roman" w:cs="Times New Roman"/>
          <w:lang w:val="sr-Latn-BA"/>
        </w:rPr>
        <w:t>равноправност</w:t>
      </w:r>
      <w:r w:rsidRPr="00295637">
        <w:rPr>
          <w:rFonts w:ascii="Times New Roman" w:hAnsi="Times New Roman" w:cs="Times New Roman"/>
          <w:lang w:val="sr-Latn-BA"/>
        </w:rPr>
        <w:t xml:space="preserve"> </w:t>
      </w:r>
      <w:r w:rsidR="00C6214E">
        <w:rPr>
          <w:rFonts w:ascii="Times New Roman" w:hAnsi="Times New Roman" w:cs="Times New Roman"/>
          <w:lang w:val="sr-Latn-BA"/>
        </w:rPr>
        <w:t>полова</w:t>
      </w:r>
      <w:r w:rsidRPr="00295637">
        <w:rPr>
          <w:rFonts w:ascii="Times New Roman" w:hAnsi="Times New Roman" w:cs="Times New Roman"/>
          <w:lang w:val="sr-Latn-BA"/>
        </w:rPr>
        <w:t xml:space="preserve"> </w:t>
      </w:r>
      <w:r w:rsidR="00C6214E">
        <w:rPr>
          <w:rFonts w:ascii="Times New Roman" w:hAnsi="Times New Roman" w:cs="Times New Roman"/>
          <w:lang w:val="sr-Latn-BA"/>
        </w:rPr>
        <w:t>и</w:t>
      </w:r>
      <w:r w:rsidRPr="00295637">
        <w:rPr>
          <w:rFonts w:ascii="Times New Roman" w:hAnsi="Times New Roman" w:cs="Times New Roman"/>
          <w:lang w:val="sr-Latn-BA"/>
        </w:rPr>
        <w:t xml:space="preserve"> </w:t>
      </w:r>
      <w:r w:rsidR="00C6214E">
        <w:rPr>
          <w:rFonts w:ascii="Times New Roman" w:hAnsi="Times New Roman" w:cs="Times New Roman"/>
          <w:lang w:val="sr-Latn-BA"/>
        </w:rPr>
        <w:t>спречавање</w:t>
      </w:r>
      <w:r w:rsidRPr="00295637">
        <w:rPr>
          <w:rFonts w:ascii="Times New Roman" w:hAnsi="Times New Roman" w:cs="Times New Roman"/>
          <w:lang w:val="sr-Latn-BA"/>
        </w:rPr>
        <w:t xml:space="preserve"> </w:t>
      </w:r>
      <w:r w:rsidR="00C6214E">
        <w:rPr>
          <w:rFonts w:ascii="Times New Roman" w:hAnsi="Times New Roman" w:cs="Times New Roman"/>
          <w:lang w:val="sr-Latn-BA"/>
        </w:rPr>
        <w:t>и</w:t>
      </w:r>
      <w:r w:rsidRPr="00295637">
        <w:rPr>
          <w:rFonts w:ascii="Times New Roman" w:hAnsi="Times New Roman" w:cs="Times New Roman"/>
          <w:lang w:val="sr-Latn-BA"/>
        </w:rPr>
        <w:t xml:space="preserve"> </w:t>
      </w:r>
      <w:r w:rsidR="00C6214E">
        <w:rPr>
          <w:rFonts w:ascii="Times New Roman" w:hAnsi="Times New Roman" w:cs="Times New Roman"/>
          <w:lang w:val="sr-Latn-BA"/>
        </w:rPr>
        <w:t>сузбијање</w:t>
      </w:r>
      <w:r w:rsidRPr="00295637">
        <w:rPr>
          <w:rFonts w:ascii="Times New Roman" w:hAnsi="Times New Roman" w:cs="Times New Roman"/>
          <w:lang w:val="sr-Latn-BA"/>
        </w:rPr>
        <w:t xml:space="preserve"> </w:t>
      </w:r>
      <w:r w:rsidR="00C6214E">
        <w:rPr>
          <w:rFonts w:ascii="Times New Roman" w:hAnsi="Times New Roman" w:cs="Times New Roman"/>
          <w:lang w:val="sr-Latn-BA"/>
        </w:rPr>
        <w:t>насиља</w:t>
      </w:r>
      <w:r w:rsidRPr="00295637">
        <w:rPr>
          <w:rFonts w:ascii="Times New Roman" w:hAnsi="Times New Roman" w:cs="Times New Roman"/>
          <w:lang w:val="sr-Latn-BA"/>
        </w:rPr>
        <w:t xml:space="preserve"> </w:t>
      </w:r>
      <w:r w:rsidR="00C6214E">
        <w:rPr>
          <w:rFonts w:ascii="Times New Roman" w:hAnsi="Times New Roman" w:cs="Times New Roman"/>
          <w:lang w:val="sr-Latn-BA"/>
        </w:rPr>
        <w:t>над</w:t>
      </w:r>
      <w:r w:rsidRPr="00295637">
        <w:rPr>
          <w:rFonts w:ascii="Times New Roman" w:hAnsi="Times New Roman" w:cs="Times New Roman"/>
          <w:lang w:val="sr-Latn-BA"/>
        </w:rPr>
        <w:t xml:space="preserve"> </w:t>
      </w:r>
      <w:r w:rsidR="00C6214E">
        <w:rPr>
          <w:rFonts w:ascii="Times New Roman" w:hAnsi="Times New Roman" w:cs="Times New Roman"/>
          <w:lang w:val="sr-Latn-BA"/>
        </w:rPr>
        <w:t>женама</w:t>
      </w:r>
      <w:r w:rsidRPr="00295637">
        <w:rPr>
          <w:rFonts w:ascii="Times New Roman" w:hAnsi="Times New Roman" w:cs="Times New Roman"/>
          <w:lang w:val="sr-Latn-BA"/>
        </w:rPr>
        <w:t xml:space="preserve"> </w:t>
      </w:r>
      <w:r w:rsidR="00C6214E">
        <w:rPr>
          <w:rFonts w:ascii="Times New Roman" w:hAnsi="Times New Roman" w:cs="Times New Roman"/>
          <w:lang w:val="sr-Latn-BA"/>
        </w:rPr>
        <w:t>и</w:t>
      </w:r>
      <w:r w:rsidRPr="00295637">
        <w:rPr>
          <w:rFonts w:ascii="Times New Roman" w:hAnsi="Times New Roman" w:cs="Times New Roman"/>
          <w:lang w:val="sr-Latn-BA"/>
        </w:rPr>
        <w:t xml:space="preserve"> </w:t>
      </w:r>
      <w:r w:rsidR="00C6214E">
        <w:rPr>
          <w:rFonts w:ascii="Times New Roman" w:hAnsi="Times New Roman" w:cs="Times New Roman"/>
          <w:lang w:val="sr-Latn-BA"/>
        </w:rPr>
        <w:t>насиља</w:t>
      </w:r>
      <w:r w:rsidRPr="00295637">
        <w:rPr>
          <w:rFonts w:ascii="Times New Roman" w:hAnsi="Times New Roman" w:cs="Times New Roman"/>
          <w:lang w:val="sr-Latn-BA"/>
        </w:rPr>
        <w:t xml:space="preserve"> </w:t>
      </w:r>
      <w:r w:rsidR="00C6214E">
        <w:rPr>
          <w:rFonts w:ascii="Times New Roman" w:hAnsi="Times New Roman" w:cs="Times New Roman"/>
          <w:lang w:val="sr-Latn-BA"/>
        </w:rPr>
        <w:t>у</w:t>
      </w:r>
      <w:r w:rsidRPr="00295637">
        <w:rPr>
          <w:rFonts w:ascii="Times New Roman" w:hAnsi="Times New Roman" w:cs="Times New Roman"/>
          <w:lang w:val="sr-Latn-BA"/>
        </w:rPr>
        <w:t xml:space="preserve"> </w:t>
      </w:r>
      <w:bookmarkEnd w:id="79"/>
      <w:r w:rsidR="00C6214E">
        <w:rPr>
          <w:rFonts w:ascii="Times New Roman" w:hAnsi="Times New Roman" w:cs="Times New Roman"/>
          <w:lang w:val="sr-Latn-BA"/>
        </w:rPr>
        <w:t>породици</w:t>
      </w:r>
    </w:p>
    <w:p w:rsidR="00A92736" w:rsidRPr="00295637" w:rsidRDefault="00C6214E" w:rsidP="0086268D">
      <w:pPr>
        <w:pStyle w:val="ListParagraph"/>
        <w:numPr>
          <w:ilvl w:val="0"/>
          <w:numId w:val="20"/>
        </w:numPr>
        <w:ind w:left="1440"/>
        <w:rPr>
          <w:rFonts w:ascii="Times New Roman" w:hAnsi="Times New Roman"/>
          <w:b/>
          <w:szCs w:val="24"/>
          <w:lang w:val="bs-Latn-BA"/>
        </w:rPr>
      </w:pPr>
      <w:r>
        <w:rPr>
          <w:rFonts w:ascii="Times New Roman" w:hAnsi="Times New Roman"/>
          <w:bCs/>
          <w:szCs w:val="24"/>
          <w:lang w:val="en-US"/>
        </w:rPr>
        <w:t>Приједлози</w:t>
      </w:r>
      <w:r w:rsidR="00634C6D" w:rsidRPr="00295637">
        <w:rPr>
          <w:rFonts w:ascii="Times New Roman" w:hAnsi="Times New Roman"/>
          <w:bCs/>
          <w:szCs w:val="24"/>
          <w:lang w:val="en-US"/>
        </w:rPr>
        <w:t xml:space="preserve"> </w:t>
      </w:r>
      <w:r>
        <w:rPr>
          <w:rFonts w:ascii="Times New Roman" w:hAnsi="Times New Roman"/>
          <w:bCs/>
          <w:szCs w:val="24"/>
          <w:lang w:val="en-US"/>
        </w:rPr>
        <w:t>допуна</w:t>
      </w:r>
      <w:r w:rsidR="00634C6D" w:rsidRPr="00295637">
        <w:rPr>
          <w:rFonts w:ascii="Times New Roman" w:hAnsi="Times New Roman"/>
          <w:bCs/>
          <w:szCs w:val="24"/>
          <w:lang w:val="en-US"/>
        </w:rPr>
        <w:t xml:space="preserve"> </w:t>
      </w:r>
      <w:r>
        <w:rPr>
          <w:rFonts w:ascii="Times New Roman" w:hAnsi="Times New Roman"/>
          <w:bCs/>
          <w:szCs w:val="24"/>
          <w:lang w:val="en-US"/>
        </w:rPr>
        <w:t>нацрта</w:t>
      </w:r>
      <w:r w:rsidR="00634C6D" w:rsidRPr="00295637">
        <w:rPr>
          <w:rFonts w:ascii="Times New Roman" w:hAnsi="Times New Roman"/>
          <w:bCs/>
          <w:szCs w:val="24"/>
          <w:lang w:val="en-US"/>
        </w:rPr>
        <w:t xml:space="preserve"> </w:t>
      </w:r>
      <w:r>
        <w:rPr>
          <w:rFonts w:ascii="Times New Roman" w:hAnsi="Times New Roman"/>
          <w:bCs/>
          <w:szCs w:val="24"/>
          <w:lang w:val="en-US"/>
        </w:rPr>
        <w:t>новог</w:t>
      </w:r>
      <w:r w:rsidR="00634C6D" w:rsidRPr="00295637">
        <w:rPr>
          <w:rFonts w:ascii="Times New Roman" w:hAnsi="Times New Roman"/>
          <w:bCs/>
          <w:szCs w:val="24"/>
          <w:lang w:val="en-US"/>
        </w:rPr>
        <w:t xml:space="preserve"> </w:t>
      </w:r>
      <w:r>
        <w:rPr>
          <w:rFonts w:ascii="Times New Roman" w:hAnsi="Times New Roman"/>
          <w:bCs/>
          <w:szCs w:val="24"/>
          <w:lang w:val="en-US"/>
        </w:rPr>
        <w:t>Закона</w:t>
      </w:r>
      <w:r w:rsidR="00634C6D" w:rsidRPr="00295637">
        <w:rPr>
          <w:rFonts w:ascii="Times New Roman" w:hAnsi="Times New Roman"/>
          <w:bCs/>
          <w:szCs w:val="24"/>
          <w:lang w:val="en-US"/>
        </w:rPr>
        <w:t xml:space="preserve"> </w:t>
      </w:r>
      <w:r>
        <w:rPr>
          <w:rFonts w:ascii="Times New Roman" w:hAnsi="Times New Roman"/>
          <w:bCs/>
          <w:szCs w:val="24"/>
          <w:lang w:val="en-US"/>
        </w:rPr>
        <w:t>о</w:t>
      </w:r>
      <w:r w:rsidR="00634C6D" w:rsidRPr="00295637">
        <w:rPr>
          <w:rFonts w:ascii="Times New Roman" w:hAnsi="Times New Roman"/>
          <w:bCs/>
          <w:szCs w:val="24"/>
          <w:lang w:val="en-US"/>
        </w:rPr>
        <w:t xml:space="preserve"> </w:t>
      </w:r>
      <w:r>
        <w:rPr>
          <w:rFonts w:ascii="Times New Roman" w:hAnsi="Times New Roman"/>
          <w:bCs/>
          <w:szCs w:val="24"/>
          <w:lang w:val="en-US"/>
        </w:rPr>
        <w:t>заштити</w:t>
      </w:r>
      <w:r w:rsidR="00634C6D" w:rsidRPr="00295637">
        <w:rPr>
          <w:rFonts w:ascii="Times New Roman" w:hAnsi="Times New Roman"/>
          <w:bCs/>
          <w:szCs w:val="24"/>
          <w:lang w:val="en-US"/>
        </w:rPr>
        <w:t xml:space="preserve"> </w:t>
      </w:r>
      <w:r>
        <w:rPr>
          <w:rFonts w:ascii="Times New Roman" w:hAnsi="Times New Roman"/>
          <w:bCs/>
          <w:szCs w:val="24"/>
          <w:lang w:val="en-US"/>
        </w:rPr>
        <w:t>од</w:t>
      </w:r>
      <w:r w:rsidR="00634C6D" w:rsidRPr="00295637">
        <w:rPr>
          <w:rFonts w:ascii="Times New Roman" w:hAnsi="Times New Roman"/>
          <w:bCs/>
          <w:szCs w:val="24"/>
          <w:lang w:val="en-US"/>
        </w:rPr>
        <w:t xml:space="preserve"> </w:t>
      </w:r>
      <w:r>
        <w:rPr>
          <w:rFonts w:ascii="Times New Roman" w:hAnsi="Times New Roman"/>
          <w:bCs/>
          <w:szCs w:val="24"/>
          <w:lang w:val="en-US"/>
        </w:rPr>
        <w:t>насиља</w:t>
      </w:r>
      <w:r w:rsidR="00634C6D" w:rsidRPr="00295637">
        <w:rPr>
          <w:rFonts w:ascii="Times New Roman" w:hAnsi="Times New Roman"/>
          <w:bCs/>
          <w:szCs w:val="24"/>
          <w:lang w:val="en-US"/>
        </w:rPr>
        <w:t xml:space="preserve"> </w:t>
      </w:r>
      <w:r>
        <w:rPr>
          <w:rFonts w:ascii="Times New Roman" w:hAnsi="Times New Roman"/>
          <w:bCs/>
          <w:szCs w:val="24"/>
          <w:lang w:val="en-US"/>
        </w:rPr>
        <w:t>у</w:t>
      </w:r>
      <w:r w:rsidR="00634C6D" w:rsidRPr="00295637">
        <w:rPr>
          <w:rFonts w:ascii="Times New Roman" w:hAnsi="Times New Roman"/>
          <w:bCs/>
          <w:szCs w:val="24"/>
          <w:lang w:val="en-US"/>
        </w:rPr>
        <w:t xml:space="preserve"> </w:t>
      </w:r>
      <w:r>
        <w:rPr>
          <w:rFonts w:ascii="Times New Roman" w:hAnsi="Times New Roman"/>
          <w:bCs/>
          <w:szCs w:val="24"/>
          <w:lang w:val="en-US"/>
        </w:rPr>
        <w:t>породици</w:t>
      </w:r>
      <w:r w:rsidR="00634C6D" w:rsidRPr="00295637">
        <w:rPr>
          <w:rFonts w:ascii="Times New Roman" w:hAnsi="Times New Roman"/>
          <w:bCs/>
          <w:szCs w:val="24"/>
          <w:lang w:val="en-US"/>
        </w:rPr>
        <w:t xml:space="preserve"> </w:t>
      </w:r>
      <w:r>
        <w:rPr>
          <w:rFonts w:ascii="Times New Roman" w:hAnsi="Times New Roman"/>
          <w:bCs/>
          <w:szCs w:val="24"/>
          <w:lang w:val="en-US"/>
        </w:rPr>
        <w:t>и</w:t>
      </w:r>
      <w:r w:rsidR="00634C6D" w:rsidRPr="00295637">
        <w:rPr>
          <w:rFonts w:ascii="Times New Roman" w:hAnsi="Times New Roman"/>
          <w:bCs/>
          <w:szCs w:val="24"/>
          <w:lang w:val="en-US"/>
        </w:rPr>
        <w:t xml:space="preserve"> </w:t>
      </w:r>
      <w:r>
        <w:rPr>
          <w:rFonts w:ascii="Times New Roman" w:hAnsi="Times New Roman"/>
          <w:bCs/>
          <w:szCs w:val="24"/>
          <w:lang w:val="en-US"/>
        </w:rPr>
        <w:t>насиља</w:t>
      </w:r>
      <w:r w:rsidR="00634C6D" w:rsidRPr="00295637">
        <w:rPr>
          <w:rFonts w:ascii="Times New Roman" w:hAnsi="Times New Roman"/>
          <w:bCs/>
          <w:szCs w:val="24"/>
          <w:lang w:val="en-US"/>
        </w:rPr>
        <w:t xml:space="preserve"> </w:t>
      </w:r>
      <w:r>
        <w:rPr>
          <w:rFonts w:ascii="Times New Roman" w:hAnsi="Times New Roman"/>
          <w:bCs/>
          <w:szCs w:val="24"/>
          <w:lang w:val="en-US"/>
        </w:rPr>
        <w:t>против</w:t>
      </w:r>
      <w:r w:rsidR="00C04A6B">
        <w:rPr>
          <w:rFonts w:ascii="Times New Roman" w:hAnsi="Times New Roman"/>
          <w:bCs/>
          <w:szCs w:val="24"/>
          <w:lang w:val="en-US"/>
        </w:rPr>
        <w:t xml:space="preserve"> </w:t>
      </w:r>
      <w:r>
        <w:rPr>
          <w:rFonts w:ascii="Times New Roman" w:hAnsi="Times New Roman"/>
          <w:bCs/>
          <w:szCs w:val="24"/>
          <w:lang w:val="en-US"/>
        </w:rPr>
        <w:t>жена</w:t>
      </w:r>
      <w:r w:rsidR="00C04A6B">
        <w:rPr>
          <w:rFonts w:ascii="Times New Roman" w:hAnsi="Times New Roman"/>
          <w:bCs/>
          <w:szCs w:val="24"/>
          <w:lang w:val="en-US"/>
        </w:rPr>
        <w:t xml:space="preserve"> </w:t>
      </w:r>
      <w:r w:rsidR="00745640">
        <w:rPr>
          <w:rFonts w:ascii="Times New Roman" w:hAnsi="Times New Roman"/>
          <w:bCs/>
          <w:szCs w:val="24"/>
          <w:lang w:val="sr-Cyrl-BA"/>
        </w:rPr>
        <w:t>с</w:t>
      </w:r>
      <w:r w:rsidR="00C04A6B">
        <w:rPr>
          <w:rFonts w:ascii="Times New Roman" w:hAnsi="Times New Roman"/>
          <w:bCs/>
          <w:szCs w:val="24"/>
          <w:lang w:val="en-US"/>
        </w:rPr>
        <w:t xml:space="preserve"> </w:t>
      </w:r>
      <w:r>
        <w:rPr>
          <w:rFonts w:ascii="Times New Roman" w:hAnsi="Times New Roman"/>
          <w:bCs/>
          <w:szCs w:val="24"/>
          <w:lang w:val="en-US"/>
        </w:rPr>
        <w:t>циљ</w:t>
      </w:r>
      <w:r w:rsidR="00745640">
        <w:rPr>
          <w:rFonts w:ascii="Times New Roman" w:hAnsi="Times New Roman"/>
          <w:bCs/>
          <w:szCs w:val="24"/>
          <w:lang w:val="sr-Cyrl-BA"/>
        </w:rPr>
        <w:t>ем</w:t>
      </w:r>
      <w:r w:rsidR="00C04A6B">
        <w:rPr>
          <w:rFonts w:ascii="Times New Roman" w:hAnsi="Times New Roman"/>
          <w:bCs/>
          <w:szCs w:val="24"/>
          <w:lang w:val="en-US"/>
        </w:rPr>
        <w:t xml:space="preserve"> </w:t>
      </w:r>
      <w:r>
        <w:rPr>
          <w:rFonts w:ascii="Times New Roman" w:hAnsi="Times New Roman"/>
          <w:bCs/>
          <w:szCs w:val="24"/>
          <w:lang w:val="en-US"/>
        </w:rPr>
        <w:t>усаглашавања</w:t>
      </w:r>
      <w:r w:rsidR="00C04A6B">
        <w:rPr>
          <w:rFonts w:ascii="Times New Roman" w:hAnsi="Times New Roman"/>
          <w:bCs/>
          <w:szCs w:val="24"/>
          <w:lang w:val="en-US"/>
        </w:rPr>
        <w:t xml:space="preserve"> </w:t>
      </w:r>
      <w:r>
        <w:rPr>
          <w:rFonts w:ascii="Times New Roman" w:hAnsi="Times New Roman"/>
          <w:bCs/>
          <w:szCs w:val="24"/>
          <w:lang w:val="en-US"/>
        </w:rPr>
        <w:t>са</w:t>
      </w:r>
      <w:r w:rsidR="00634C6D" w:rsidRPr="00295637">
        <w:rPr>
          <w:rFonts w:ascii="Times New Roman" w:hAnsi="Times New Roman"/>
          <w:bCs/>
          <w:szCs w:val="24"/>
          <w:lang w:val="en-US"/>
        </w:rPr>
        <w:t xml:space="preserve"> </w:t>
      </w:r>
      <w:r>
        <w:rPr>
          <w:rFonts w:ascii="Times New Roman" w:hAnsi="Times New Roman"/>
          <w:bCs/>
          <w:szCs w:val="24"/>
          <w:lang w:val="en-US"/>
        </w:rPr>
        <w:t>ЗоР</w:t>
      </w:r>
      <w:r w:rsidR="00745640">
        <w:rPr>
          <w:rFonts w:ascii="Times New Roman" w:hAnsi="Times New Roman"/>
          <w:bCs/>
          <w:szCs w:val="24"/>
          <w:lang w:val="sr-Cyrl-BA"/>
        </w:rPr>
        <w:t>П</w:t>
      </w:r>
      <w:r w:rsidR="00634C6D" w:rsidRPr="00295637">
        <w:rPr>
          <w:rFonts w:ascii="Times New Roman" w:hAnsi="Times New Roman"/>
          <w:bCs/>
          <w:szCs w:val="24"/>
          <w:lang w:val="en-US"/>
        </w:rPr>
        <w:t>-</w:t>
      </w:r>
      <w:r>
        <w:rPr>
          <w:rFonts w:ascii="Times New Roman" w:hAnsi="Times New Roman"/>
          <w:bCs/>
          <w:szCs w:val="24"/>
          <w:lang w:val="en-US"/>
        </w:rPr>
        <w:t>ом</w:t>
      </w:r>
      <w:r w:rsidR="00C04A6B">
        <w:rPr>
          <w:rFonts w:ascii="Times New Roman" w:hAnsi="Times New Roman"/>
          <w:bCs/>
          <w:szCs w:val="24"/>
          <w:lang w:val="en-US"/>
        </w:rPr>
        <w:t xml:space="preserve">, </w:t>
      </w:r>
      <w:r>
        <w:rPr>
          <w:rFonts w:ascii="Times New Roman" w:hAnsi="Times New Roman"/>
          <w:bCs/>
          <w:szCs w:val="24"/>
          <w:lang w:val="en-US"/>
        </w:rPr>
        <w:t>Истанбулском</w:t>
      </w:r>
      <w:r w:rsidR="00C04A6B">
        <w:rPr>
          <w:rFonts w:ascii="Times New Roman" w:hAnsi="Times New Roman"/>
          <w:bCs/>
          <w:szCs w:val="24"/>
          <w:lang w:val="en-US"/>
        </w:rPr>
        <w:t xml:space="preserve"> </w:t>
      </w:r>
      <w:r>
        <w:rPr>
          <w:rFonts w:ascii="Times New Roman" w:hAnsi="Times New Roman"/>
          <w:bCs/>
          <w:szCs w:val="24"/>
          <w:lang w:val="en-US"/>
        </w:rPr>
        <w:t>конвенцијом</w:t>
      </w:r>
      <w:r w:rsidR="00C04A6B">
        <w:rPr>
          <w:rFonts w:ascii="Times New Roman" w:hAnsi="Times New Roman"/>
          <w:bCs/>
          <w:szCs w:val="24"/>
          <w:lang w:val="en-US"/>
        </w:rPr>
        <w:t xml:space="preserve"> </w:t>
      </w:r>
      <w:r>
        <w:rPr>
          <w:rFonts w:ascii="Times New Roman" w:hAnsi="Times New Roman"/>
          <w:bCs/>
          <w:szCs w:val="24"/>
          <w:lang w:val="en-US"/>
        </w:rPr>
        <w:t>и</w:t>
      </w:r>
      <w:r w:rsidR="00C04A6B">
        <w:rPr>
          <w:rFonts w:ascii="Times New Roman" w:hAnsi="Times New Roman"/>
          <w:bCs/>
          <w:szCs w:val="24"/>
          <w:lang w:val="en-US"/>
        </w:rPr>
        <w:t xml:space="preserve"> </w:t>
      </w:r>
      <w:r>
        <w:rPr>
          <w:rFonts w:ascii="Times New Roman" w:hAnsi="Times New Roman"/>
          <w:bCs/>
          <w:szCs w:val="24"/>
          <w:lang w:val="en-US"/>
        </w:rPr>
        <w:t>Препорукама</w:t>
      </w:r>
      <w:r w:rsidR="00196D42">
        <w:rPr>
          <w:rFonts w:ascii="Times New Roman" w:hAnsi="Times New Roman"/>
          <w:bCs/>
          <w:szCs w:val="24"/>
          <w:lang w:val="en-US"/>
        </w:rPr>
        <w:t xml:space="preserve"> </w:t>
      </w:r>
      <w:r w:rsidR="003601A7">
        <w:rPr>
          <w:rFonts w:ascii="Times New Roman" w:hAnsi="Times New Roman"/>
          <w:bCs/>
          <w:szCs w:val="24"/>
          <w:lang w:val="en-US"/>
        </w:rPr>
        <w:t xml:space="preserve">Комитета </w:t>
      </w:r>
      <w:r>
        <w:rPr>
          <w:rFonts w:ascii="Times New Roman" w:hAnsi="Times New Roman"/>
          <w:bCs/>
          <w:szCs w:val="24"/>
          <w:lang w:val="en-US"/>
        </w:rPr>
        <w:t>ГРЕВИО</w:t>
      </w:r>
      <w:r w:rsidR="00C04A6B">
        <w:rPr>
          <w:rFonts w:ascii="Times New Roman" w:hAnsi="Times New Roman"/>
          <w:bCs/>
          <w:szCs w:val="24"/>
          <w:lang w:val="en-US"/>
        </w:rPr>
        <w:t>;</w:t>
      </w:r>
    </w:p>
    <w:p w:rsidR="001379C1" w:rsidRPr="00295637" w:rsidRDefault="00C6214E" w:rsidP="0086268D">
      <w:pPr>
        <w:pStyle w:val="ListParagraph"/>
        <w:numPr>
          <w:ilvl w:val="0"/>
          <w:numId w:val="20"/>
        </w:numPr>
        <w:ind w:left="1440"/>
        <w:jc w:val="both"/>
        <w:rPr>
          <w:rStyle w:val="Hyperlink"/>
          <w:rFonts w:ascii="Times New Roman" w:hAnsi="Times New Roman"/>
          <w:color w:val="auto"/>
          <w:szCs w:val="24"/>
          <w:u w:val="none"/>
          <w:lang w:val="bs-Latn-BA"/>
        </w:rPr>
      </w:pPr>
      <w:r>
        <w:rPr>
          <w:rStyle w:val="Hyperlink"/>
          <w:rFonts w:ascii="Times New Roman" w:hAnsi="Times New Roman"/>
          <w:color w:val="auto"/>
          <w:szCs w:val="24"/>
          <w:u w:val="none"/>
          <w:lang w:val="bs-Latn-BA"/>
        </w:rPr>
        <w:t>Правилник</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о</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минималним</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стандардима</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за</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пружање</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услуга</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социјалног</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збрињавања</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и</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социјалне</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подршке</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у</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установама</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социјалне</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заштите</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ФБиХ</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Службене</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новине</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Федерације</w:t>
      </w:r>
      <w:r w:rsidR="00C04A6B">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БиХ</w:t>
      </w:r>
      <w:r w:rsidR="00C04A6B">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број</w:t>
      </w:r>
      <w:r w:rsidR="00C04A6B">
        <w:rPr>
          <w:rStyle w:val="Hyperlink"/>
          <w:rFonts w:ascii="Times New Roman" w:hAnsi="Times New Roman"/>
          <w:color w:val="auto"/>
          <w:szCs w:val="24"/>
          <w:u w:val="none"/>
          <w:lang w:val="bs-Latn-BA"/>
        </w:rPr>
        <w:t xml:space="preserve"> 96/23);</w:t>
      </w:r>
    </w:p>
    <w:p w:rsidR="001379C1" w:rsidRPr="00295637" w:rsidRDefault="00C6214E" w:rsidP="0086268D">
      <w:pPr>
        <w:pStyle w:val="ListParagraph"/>
        <w:numPr>
          <w:ilvl w:val="0"/>
          <w:numId w:val="20"/>
        </w:numPr>
        <w:ind w:left="1440"/>
        <w:jc w:val="both"/>
        <w:rPr>
          <w:rFonts w:ascii="Times New Roman" w:hAnsi="Times New Roman"/>
          <w:szCs w:val="24"/>
          <w:lang w:val="bs-Latn-BA"/>
        </w:rPr>
      </w:pPr>
      <w:r>
        <w:rPr>
          <w:rStyle w:val="Hyperlink"/>
          <w:rFonts w:ascii="Times New Roman" w:hAnsi="Times New Roman"/>
          <w:color w:val="auto"/>
          <w:szCs w:val="24"/>
          <w:u w:val="none"/>
          <w:lang w:val="bs-Latn-BA"/>
        </w:rPr>
        <w:t>Стратегија</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за</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превенцију</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и</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борбу</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против</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насиља</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у</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породици</w:t>
      </w:r>
      <w:r w:rsidR="001379C1" w:rsidRPr="00295637">
        <w:rPr>
          <w:rStyle w:val="Hyperlink"/>
          <w:rFonts w:ascii="Times New Roman" w:hAnsi="Times New Roman"/>
          <w:color w:val="auto"/>
          <w:szCs w:val="24"/>
          <w:u w:val="none"/>
          <w:lang w:val="bs-Latn-BA"/>
        </w:rPr>
        <w:t xml:space="preserve"> 2024-2027</w:t>
      </w:r>
      <w:r w:rsidR="00C04A6B">
        <w:rPr>
          <w:rStyle w:val="Hyperlink"/>
          <w:rFonts w:ascii="Times New Roman" w:hAnsi="Times New Roman"/>
          <w:color w:val="auto"/>
          <w:szCs w:val="24"/>
          <w:u w:val="none"/>
          <w:lang w:val="bs-Latn-BA"/>
        </w:rPr>
        <w:t>.</w:t>
      </w:r>
      <w:r w:rsidR="001379C1" w:rsidRPr="00295637">
        <w:rPr>
          <w:rStyle w:val="Hyperlink"/>
          <w:rFonts w:ascii="Times New Roman" w:hAnsi="Times New Roman"/>
          <w:color w:val="auto"/>
          <w:szCs w:val="24"/>
          <w:u w:val="none"/>
          <w:lang w:val="bs-Latn-BA"/>
        </w:rPr>
        <w:t xml:space="preserve"> (“</w:t>
      </w:r>
      <w:r>
        <w:rPr>
          <w:rStyle w:val="Hyperlink"/>
          <w:rFonts w:ascii="Times New Roman" w:hAnsi="Times New Roman"/>
          <w:color w:val="auto"/>
          <w:szCs w:val="24"/>
          <w:u w:val="none"/>
          <w:lang w:val="bs-Latn-BA"/>
        </w:rPr>
        <w:t>С</w:t>
      </w:r>
      <w:r>
        <w:rPr>
          <w:rFonts w:ascii="Times New Roman" w:hAnsi="Times New Roman"/>
          <w:szCs w:val="24"/>
          <w:lang w:val="bs-Latn-BA"/>
        </w:rPr>
        <w:t>лужбене</w:t>
      </w:r>
      <w:r w:rsidR="001379C1" w:rsidRPr="00295637">
        <w:rPr>
          <w:rFonts w:ascii="Times New Roman" w:hAnsi="Times New Roman"/>
          <w:szCs w:val="24"/>
          <w:lang w:val="bs-Latn-BA"/>
        </w:rPr>
        <w:t xml:space="preserve"> </w:t>
      </w:r>
      <w:r>
        <w:rPr>
          <w:rFonts w:ascii="Times New Roman" w:hAnsi="Times New Roman"/>
          <w:szCs w:val="24"/>
          <w:lang w:val="bs-Latn-BA"/>
        </w:rPr>
        <w:t>новине</w:t>
      </w:r>
      <w:r w:rsidR="001379C1" w:rsidRPr="00295637">
        <w:rPr>
          <w:rFonts w:ascii="Times New Roman" w:hAnsi="Times New Roman"/>
          <w:szCs w:val="24"/>
          <w:lang w:val="bs-Latn-BA"/>
        </w:rPr>
        <w:t xml:space="preserve"> </w:t>
      </w:r>
      <w:r>
        <w:rPr>
          <w:rFonts w:ascii="Times New Roman" w:hAnsi="Times New Roman"/>
          <w:szCs w:val="24"/>
          <w:lang w:val="bs-Latn-BA"/>
        </w:rPr>
        <w:t>Федерације</w:t>
      </w:r>
      <w:r w:rsidR="00C04A6B">
        <w:rPr>
          <w:rFonts w:ascii="Times New Roman" w:hAnsi="Times New Roman"/>
          <w:szCs w:val="24"/>
          <w:lang w:val="bs-Latn-BA"/>
        </w:rPr>
        <w:t xml:space="preserve"> </w:t>
      </w:r>
      <w:r>
        <w:rPr>
          <w:rFonts w:ascii="Times New Roman" w:hAnsi="Times New Roman"/>
          <w:szCs w:val="24"/>
          <w:lang w:val="bs-Latn-BA"/>
        </w:rPr>
        <w:t>БиХ</w:t>
      </w:r>
      <w:r w:rsidR="001379C1" w:rsidRPr="00295637">
        <w:rPr>
          <w:rFonts w:ascii="Times New Roman" w:hAnsi="Times New Roman"/>
          <w:szCs w:val="24"/>
          <w:lang w:val="bs-Latn-BA"/>
        </w:rPr>
        <w:t xml:space="preserve">“, </w:t>
      </w:r>
      <w:r>
        <w:rPr>
          <w:rFonts w:ascii="Times New Roman" w:hAnsi="Times New Roman"/>
          <w:szCs w:val="24"/>
          <w:lang w:val="bs-Latn-BA"/>
        </w:rPr>
        <w:t>број</w:t>
      </w:r>
      <w:r w:rsidR="001379C1" w:rsidRPr="00295637">
        <w:rPr>
          <w:rFonts w:ascii="Times New Roman" w:hAnsi="Times New Roman"/>
          <w:szCs w:val="24"/>
          <w:lang w:val="bs-Latn-BA"/>
        </w:rPr>
        <w:t xml:space="preserve"> 100/23)</w:t>
      </w:r>
      <w:r w:rsidR="00C04A6B">
        <w:rPr>
          <w:rFonts w:ascii="Times New Roman" w:hAnsi="Times New Roman"/>
          <w:szCs w:val="24"/>
          <w:lang w:val="bs-Latn-BA"/>
        </w:rPr>
        <w:t>;</w:t>
      </w:r>
    </w:p>
    <w:p w:rsidR="001379C1" w:rsidRPr="00295637" w:rsidRDefault="00C6214E" w:rsidP="0086268D">
      <w:pPr>
        <w:pStyle w:val="ListParagraph"/>
        <w:numPr>
          <w:ilvl w:val="0"/>
          <w:numId w:val="20"/>
        </w:numPr>
        <w:ind w:left="1440"/>
        <w:jc w:val="both"/>
        <w:rPr>
          <w:rFonts w:ascii="Times New Roman" w:hAnsi="Times New Roman"/>
          <w:szCs w:val="24"/>
          <w:lang w:val="bs-Latn-BA"/>
        </w:rPr>
      </w:pPr>
      <w:r>
        <w:rPr>
          <w:rFonts w:ascii="Times New Roman" w:hAnsi="Times New Roman"/>
          <w:szCs w:val="24"/>
          <w:lang w:val="bs-Latn-BA"/>
        </w:rPr>
        <w:t>План</w:t>
      </w:r>
      <w:r w:rsidR="001379C1" w:rsidRPr="00295637">
        <w:rPr>
          <w:rFonts w:ascii="Times New Roman" w:hAnsi="Times New Roman"/>
          <w:szCs w:val="24"/>
          <w:lang w:val="bs-Latn-BA"/>
        </w:rPr>
        <w:t xml:space="preserve"> </w:t>
      </w:r>
      <w:r>
        <w:rPr>
          <w:rFonts w:ascii="Times New Roman" w:hAnsi="Times New Roman"/>
          <w:szCs w:val="24"/>
          <w:lang w:val="bs-Latn-BA"/>
        </w:rPr>
        <w:t>статистичких</w:t>
      </w:r>
      <w:r w:rsidR="001379C1" w:rsidRPr="00295637">
        <w:rPr>
          <w:rFonts w:ascii="Times New Roman" w:hAnsi="Times New Roman"/>
          <w:szCs w:val="24"/>
          <w:lang w:val="bs-Latn-BA"/>
        </w:rPr>
        <w:t xml:space="preserve"> </w:t>
      </w:r>
      <w:r>
        <w:rPr>
          <w:rFonts w:ascii="Times New Roman" w:hAnsi="Times New Roman"/>
          <w:szCs w:val="24"/>
          <w:lang w:val="bs-Latn-BA"/>
        </w:rPr>
        <w:t>истраживања</w:t>
      </w:r>
      <w:r w:rsidR="001379C1" w:rsidRPr="00295637">
        <w:rPr>
          <w:rFonts w:ascii="Times New Roman" w:hAnsi="Times New Roman"/>
          <w:szCs w:val="24"/>
          <w:lang w:val="bs-Latn-BA"/>
        </w:rPr>
        <w:t xml:space="preserve"> </w:t>
      </w:r>
      <w:r>
        <w:rPr>
          <w:rFonts w:ascii="Times New Roman" w:hAnsi="Times New Roman"/>
          <w:szCs w:val="24"/>
          <w:lang w:val="bs-Latn-BA"/>
        </w:rPr>
        <w:t>од</w:t>
      </w:r>
      <w:r w:rsidR="001379C1" w:rsidRPr="00295637">
        <w:rPr>
          <w:rFonts w:ascii="Times New Roman" w:hAnsi="Times New Roman"/>
          <w:szCs w:val="24"/>
          <w:lang w:val="bs-Latn-BA"/>
        </w:rPr>
        <w:t xml:space="preserve"> </w:t>
      </w:r>
      <w:r>
        <w:rPr>
          <w:rFonts w:ascii="Times New Roman" w:hAnsi="Times New Roman"/>
          <w:szCs w:val="24"/>
          <w:lang w:val="bs-Latn-BA"/>
        </w:rPr>
        <w:t>интереса</w:t>
      </w:r>
      <w:r w:rsidR="001379C1" w:rsidRPr="00295637">
        <w:rPr>
          <w:rFonts w:ascii="Times New Roman" w:hAnsi="Times New Roman"/>
          <w:szCs w:val="24"/>
          <w:lang w:val="bs-Latn-BA"/>
        </w:rPr>
        <w:t xml:space="preserve"> </w:t>
      </w:r>
      <w:r>
        <w:rPr>
          <w:rFonts w:ascii="Times New Roman" w:hAnsi="Times New Roman"/>
          <w:szCs w:val="24"/>
          <w:lang w:val="bs-Latn-BA"/>
        </w:rPr>
        <w:t>за</w:t>
      </w:r>
      <w:r w:rsidR="001379C1" w:rsidRPr="00295637">
        <w:rPr>
          <w:rFonts w:ascii="Times New Roman" w:hAnsi="Times New Roman"/>
          <w:szCs w:val="24"/>
          <w:lang w:val="bs-Latn-BA"/>
        </w:rPr>
        <w:t xml:space="preserve"> </w:t>
      </w:r>
      <w:r>
        <w:rPr>
          <w:rFonts w:ascii="Times New Roman" w:hAnsi="Times New Roman"/>
          <w:szCs w:val="24"/>
          <w:lang w:val="bs-Latn-BA"/>
        </w:rPr>
        <w:t>Федерацију</w:t>
      </w:r>
      <w:r w:rsidR="001379C1" w:rsidRPr="00295637">
        <w:rPr>
          <w:rFonts w:ascii="Times New Roman" w:hAnsi="Times New Roman"/>
          <w:szCs w:val="24"/>
          <w:lang w:val="bs-Latn-BA"/>
        </w:rPr>
        <w:t xml:space="preserve"> </w:t>
      </w:r>
      <w:r>
        <w:rPr>
          <w:rFonts w:ascii="Times New Roman" w:hAnsi="Times New Roman"/>
          <w:szCs w:val="24"/>
          <w:lang w:val="bs-Latn-BA"/>
        </w:rPr>
        <w:t>Босне</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Херцеговине</w:t>
      </w:r>
      <w:r w:rsidR="001379C1" w:rsidRPr="00295637">
        <w:rPr>
          <w:rFonts w:ascii="Times New Roman" w:hAnsi="Times New Roman"/>
          <w:szCs w:val="24"/>
          <w:lang w:val="bs-Latn-BA"/>
        </w:rPr>
        <w:t xml:space="preserve"> </w:t>
      </w:r>
      <w:r>
        <w:rPr>
          <w:rFonts w:ascii="Times New Roman" w:hAnsi="Times New Roman"/>
          <w:szCs w:val="24"/>
          <w:lang w:val="bs-Latn-BA"/>
        </w:rPr>
        <w:t>за</w:t>
      </w:r>
      <w:r w:rsidR="001379C1" w:rsidRPr="00295637">
        <w:rPr>
          <w:rFonts w:ascii="Times New Roman" w:hAnsi="Times New Roman"/>
          <w:szCs w:val="24"/>
          <w:lang w:val="bs-Latn-BA"/>
        </w:rPr>
        <w:t xml:space="preserve"> 2024. </w:t>
      </w:r>
      <w:r>
        <w:rPr>
          <w:rFonts w:ascii="Times New Roman" w:hAnsi="Times New Roman"/>
          <w:szCs w:val="24"/>
          <w:lang w:val="bs-Latn-BA"/>
        </w:rPr>
        <w:t>годину</w:t>
      </w:r>
      <w:r w:rsidR="001379C1" w:rsidRPr="00295637">
        <w:rPr>
          <w:rFonts w:ascii="Times New Roman" w:hAnsi="Times New Roman"/>
          <w:szCs w:val="24"/>
          <w:lang w:val="bs-Latn-BA"/>
        </w:rPr>
        <w:t xml:space="preserve"> (“</w:t>
      </w:r>
      <w:r>
        <w:rPr>
          <w:rFonts w:ascii="Times New Roman" w:hAnsi="Times New Roman"/>
          <w:szCs w:val="24"/>
          <w:lang w:val="bs-Latn-BA"/>
        </w:rPr>
        <w:t>Службене</w:t>
      </w:r>
      <w:r w:rsidR="001379C1" w:rsidRPr="00295637">
        <w:rPr>
          <w:rFonts w:ascii="Times New Roman" w:hAnsi="Times New Roman"/>
          <w:szCs w:val="24"/>
          <w:lang w:val="bs-Latn-BA"/>
        </w:rPr>
        <w:t xml:space="preserve"> </w:t>
      </w:r>
      <w:r>
        <w:rPr>
          <w:rFonts w:ascii="Times New Roman" w:hAnsi="Times New Roman"/>
          <w:szCs w:val="24"/>
          <w:lang w:val="bs-Latn-BA"/>
        </w:rPr>
        <w:t>новине</w:t>
      </w:r>
      <w:r w:rsidR="001379C1" w:rsidRPr="00295637">
        <w:rPr>
          <w:rFonts w:ascii="Times New Roman" w:hAnsi="Times New Roman"/>
          <w:szCs w:val="24"/>
          <w:lang w:val="bs-Latn-BA"/>
        </w:rPr>
        <w:t xml:space="preserve"> </w:t>
      </w:r>
      <w:r>
        <w:rPr>
          <w:rFonts w:ascii="Times New Roman" w:hAnsi="Times New Roman"/>
          <w:szCs w:val="24"/>
          <w:lang w:val="bs-Latn-BA"/>
        </w:rPr>
        <w:t>Федерације</w:t>
      </w:r>
      <w:r w:rsidR="00C04A6B">
        <w:rPr>
          <w:rFonts w:ascii="Times New Roman" w:hAnsi="Times New Roman"/>
          <w:szCs w:val="24"/>
          <w:lang w:val="bs-Latn-BA"/>
        </w:rPr>
        <w:t xml:space="preserve"> </w:t>
      </w:r>
      <w:r>
        <w:rPr>
          <w:rFonts w:ascii="Times New Roman" w:hAnsi="Times New Roman"/>
          <w:szCs w:val="24"/>
          <w:lang w:val="bs-Latn-BA"/>
        </w:rPr>
        <w:t>БиХ</w:t>
      </w:r>
      <w:r w:rsidR="001379C1" w:rsidRPr="00295637">
        <w:rPr>
          <w:rFonts w:ascii="Times New Roman" w:hAnsi="Times New Roman"/>
          <w:szCs w:val="24"/>
          <w:lang w:val="bs-Latn-BA"/>
        </w:rPr>
        <w:t xml:space="preserve">“, </w:t>
      </w:r>
      <w:r>
        <w:rPr>
          <w:rFonts w:ascii="Times New Roman" w:hAnsi="Times New Roman"/>
          <w:szCs w:val="24"/>
          <w:lang w:val="bs-Latn-BA"/>
        </w:rPr>
        <w:t>број</w:t>
      </w:r>
      <w:r w:rsidR="001379C1" w:rsidRPr="00295637">
        <w:rPr>
          <w:rFonts w:ascii="Times New Roman" w:hAnsi="Times New Roman"/>
          <w:szCs w:val="24"/>
          <w:lang w:val="bs-Latn-BA"/>
        </w:rPr>
        <w:t xml:space="preserve"> 101/23)</w:t>
      </w:r>
      <w:r w:rsidR="00C04A6B">
        <w:rPr>
          <w:rFonts w:ascii="Times New Roman" w:hAnsi="Times New Roman"/>
          <w:szCs w:val="24"/>
          <w:lang w:val="bs-Latn-BA"/>
        </w:rPr>
        <w:t>;</w:t>
      </w:r>
    </w:p>
    <w:p w:rsidR="001379C1" w:rsidRPr="00295637" w:rsidRDefault="00C6214E" w:rsidP="0086268D">
      <w:pPr>
        <w:pStyle w:val="ListParagraph"/>
        <w:numPr>
          <w:ilvl w:val="0"/>
          <w:numId w:val="20"/>
        </w:numPr>
        <w:ind w:left="1440"/>
        <w:jc w:val="both"/>
        <w:rPr>
          <w:rFonts w:ascii="Times New Roman" w:hAnsi="Times New Roman"/>
          <w:szCs w:val="24"/>
          <w:lang w:val="bs-Latn-BA"/>
        </w:rPr>
      </w:pPr>
      <w:r>
        <w:rPr>
          <w:rFonts w:ascii="Times New Roman" w:hAnsi="Times New Roman"/>
          <w:szCs w:val="24"/>
          <w:lang w:val="bs-Latn-BA"/>
        </w:rPr>
        <w:t>Правилник</w:t>
      </w:r>
      <w:r w:rsidR="001379C1" w:rsidRPr="00295637">
        <w:rPr>
          <w:rFonts w:ascii="Times New Roman" w:hAnsi="Times New Roman"/>
          <w:szCs w:val="24"/>
          <w:lang w:val="bs-Latn-BA"/>
        </w:rPr>
        <w:t xml:space="preserve"> </w:t>
      </w:r>
      <w:r>
        <w:rPr>
          <w:rFonts w:ascii="Times New Roman" w:hAnsi="Times New Roman"/>
          <w:szCs w:val="24"/>
          <w:lang w:val="bs-Latn-BA"/>
        </w:rPr>
        <w:t>о</w:t>
      </w:r>
      <w:r w:rsidR="001379C1" w:rsidRPr="00295637">
        <w:rPr>
          <w:rFonts w:ascii="Times New Roman" w:hAnsi="Times New Roman"/>
          <w:szCs w:val="24"/>
          <w:lang w:val="bs-Latn-BA"/>
        </w:rPr>
        <w:t xml:space="preserve"> </w:t>
      </w:r>
      <w:r>
        <w:rPr>
          <w:rFonts w:ascii="Times New Roman" w:hAnsi="Times New Roman"/>
          <w:szCs w:val="24"/>
          <w:lang w:val="bs-Latn-BA"/>
        </w:rPr>
        <w:t>раду</w:t>
      </w:r>
      <w:r w:rsidR="001379C1" w:rsidRPr="00295637">
        <w:rPr>
          <w:rFonts w:ascii="Times New Roman" w:hAnsi="Times New Roman"/>
          <w:szCs w:val="24"/>
          <w:lang w:val="bs-Latn-BA"/>
        </w:rPr>
        <w:t xml:space="preserve"> </w:t>
      </w:r>
      <w:r>
        <w:rPr>
          <w:rFonts w:ascii="Times New Roman" w:hAnsi="Times New Roman"/>
          <w:szCs w:val="24"/>
          <w:lang w:val="bs-Latn-BA"/>
        </w:rPr>
        <w:t>комисије</w:t>
      </w:r>
      <w:r w:rsidR="001379C1" w:rsidRPr="00295637">
        <w:rPr>
          <w:rFonts w:ascii="Times New Roman" w:hAnsi="Times New Roman"/>
          <w:szCs w:val="24"/>
          <w:lang w:val="bs-Latn-BA"/>
        </w:rPr>
        <w:t xml:space="preserve"> </w:t>
      </w:r>
      <w:r>
        <w:rPr>
          <w:rFonts w:ascii="Times New Roman" w:hAnsi="Times New Roman"/>
          <w:szCs w:val="24"/>
          <w:lang w:val="bs-Latn-BA"/>
        </w:rPr>
        <w:t>за</w:t>
      </w:r>
      <w:r w:rsidR="001379C1" w:rsidRPr="00295637">
        <w:rPr>
          <w:rFonts w:ascii="Times New Roman" w:hAnsi="Times New Roman"/>
          <w:szCs w:val="24"/>
          <w:lang w:val="bs-Latn-BA"/>
        </w:rPr>
        <w:t xml:space="preserve"> </w:t>
      </w:r>
      <w:r>
        <w:rPr>
          <w:rFonts w:ascii="Times New Roman" w:hAnsi="Times New Roman"/>
          <w:szCs w:val="24"/>
          <w:lang w:val="bs-Latn-BA"/>
        </w:rPr>
        <w:t>давање</w:t>
      </w:r>
      <w:r w:rsidR="001379C1" w:rsidRPr="00295637">
        <w:rPr>
          <w:rFonts w:ascii="Times New Roman" w:hAnsi="Times New Roman"/>
          <w:szCs w:val="24"/>
          <w:lang w:val="bs-Latn-BA"/>
        </w:rPr>
        <w:t xml:space="preserve"> </w:t>
      </w:r>
      <w:r>
        <w:rPr>
          <w:rFonts w:ascii="Times New Roman" w:hAnsi="Times New Roman"/>
          <w:szCs w:val="24"/>
          <w:lang w:val="bs-Latn-BA"/>
        </w:rPr>
        <w:t>стручног</w:t>
      </w:r>
      <w:r w:rsidR="001379C1" w:rsidRPr="00295637">
        <w:rPr>
          <w:rFonts w:ascii="Times New Roman" w:hAnsi="Times New Roman"/>
          <w:szCs w:val="24"/>
          <w:lang w:val="bs-Latn-BA"/>
        </w:rPr>
        <w:t xml:space="preserve"> </w:t>
      </w:r>
      <w:r>
        <w:rPr>
          <w:rFonts w:ascii="Times New Roman" w:hAnsi="Times New Roman"/>
          <w:szCs w:val="24"/>
          <w:lang w:val="bs-Latn-BA"/>
        </w:rPr>
        <w:t>мишљења</w:t>
      </w:r>
      <w:r w:rsidR="001379C1" w:rsidRPr="00295637">
        <w:rPr>
          <w:rFonts w:ascii="Times New Roman" w:hAnsi="Times New Roman"/>
          <w:szCs w:val="24"/>
          <w:lang w:val="bs-Latn-BA"/>
        </w:rPr>
        <w:t xml:space="preserve"> </w:t>
      </w:r>
      <w:r>
        <w:rPr>
          <w:rFonts w:ascii="Times New Roman" w:hAnsi="Times New Roman"/>
          <w:szCs w:val="24"/>
          <w:lang w:val="bs-Latn-BA"/>
        </w:rPr>
        <w:t>ради</w:t>
      </w:r>
      <w:r w:rsidR="001379C1" w:rsidRPr="00295637">
        <w:rPr>
          <w:rFonts w:ascii="Times New Roman" w:hAnsi="Times New Roman"/>
          <w:szCs w:val="24"/>
          <w:lang w:val="bs-Latn-BA"/>
        </w:rPr>
        <w:t xml:space="preserve"> </w:t>
      </w:r>
      <w:r>
        <w:rPr>
          <w:rFonts w:ascii="Times New Roman" w:hAnsi="Times New Roman"/>
          <w:szCs w:val="24"/>
          <w:lang w:val="bs-Latn-BA"/>
        </w:rPr>
        <w:t>утврђивања</w:t>
      </w:r>
      <w:r w:rsidR="001379C1" w:rsidRPr="00295637">
        <w:rPr>
          <w:rFonts w:ascii="Times New Roman" w:hAnsi="Times New Roman"/>
          <w:szCs w:val="24"/>
          <w:lang w:val="bs-Latn-BA"/>
        </w:rPr>
        <w:t xml:space="preserve"> </w:t>
      </w:r>
      <w:r>
        <w:rPr>
          <w:rFonts w:ascii="Times New Roman" w:hAnsi="Times New Roman"/>
          <w:szCs w:val="24"/>
          <w:lang w:val="bs-Latn-BA"/>
        </w:rPr>
        <w:t>статуса</w:t>
      </w:r>
      <w:r w:rsidR="001379C1" w:rsidRPr="00295637">
        <w:rPr>
          <w:rFonts w:ascii="Times New Roman" w:hAnsi="Times New Roman"/>
          <w:szCs w:val="24"/>
          <w:lang w:val="bs-Latn-BA"/>
        </w:rPr>
        <w:t xml:space="preserve"> </w:t>
      </w:r>
      <w:r>
        <w:rPr>
          <w:rFonts w:ascii="Times New Roman" w:hAnsi="Times New Roman"/>
          <w:szCs w:val="24"/>
          <w:lang w:val="bs-Latn-BA"/>
        </w:rPr>
        <w:t>посебне</w:t>
      </w:r>
      <w:r w:rsidR="001379C1" w:rsidRPr="00295637">
        <w:rPr>
          <w:rFonts w:ascii="Times New Roman" w:hAnsi="Times New Roman"/>
          <w:szCs w:val="24"/>
          <w:lang w:val="bs-Latn-BA"/>
        </w:rPr>
        <w:t xml:space="preserve"> </w:t>
      </w:r>
      <w:r>
        <w:rPr>
          <w:rFonts w:ascii="Times New Roman" w:hAnsi="Times New Roman"/>
          <w:szCs w:val="24"/>
          <w:lang w:val="bs-Latn-BA"/>
        </w:rPr>
        <w:t>категорије</w:t>
      </w:r>
      <w:r w:rsidR="001379C1" w:rsidRPr="00295637">
        <w:rPr>
          <w:rFonts w:ascii="Times New Roman" w:hAnsi="Times New Roman"/>
          <w:szCs w:val="24"/>
          <w:lang w:val="bs-Latn-BA"/>
        </w:rPr>
        <w:t xml:space="preserve"> </w:t>
      </w:r>
      <w:r>
        <w:rPr>
          <w:rFonts w:ascii="Times New Roman" w:hAnsi="Times New Roman"/>
          <w:szCs w:val="24"/>
          <w:lang w:val="bs-Latn-BA"/>
        </w:rPr>
        <w:t>цивилних</w:t>
      </w:r>
      <w:r w:rsidR="001379C1" w:rsidRPr="00295637">
        <w:rPr>
          <w:rFonts w:ascii="Times New Roman" w:hAnsi="Times New Roman"/>
          <w:szCs w:val="24"/>
          <w:lang w:val="bs-Latn-BA"/>
        </w:rPr>
        <w:t xml:space="preserve"> </w:t>
      </w:r>
      <w:r>
        <w:rPr>
          <w:rFonts w:ascii="Times New Roman" w:hAnsi="Times New Roman"/>
          <w:szCs w:val="24"/>
          <w:lang w:val="bs-Latn-BA"/>
        </w:rPr>
        <w:t>жртава</w:t>
      </w:r>
      <w:r w:rsidR="001379C1" w:rsidRPr="00295637">
        <w:rPr>
          <w:rFonts w:ascii="Times New Roman" w:hAnsi="Times New Roman"/>
          <w:szCs w:val="24"/>
          <w:lang w:val="bs-Latn-BA"/>
        </w:rPr>
        <w:t xml:space="preserve"> </w:t>
      </w:r>
      <w:r>
        <w:rPr>
          <w:rFonts w:ascii="Times New Roman" w:hAnsi="Times New Roman"/>
          <w:szCs w:val="24"/>
          <w:lang w:val="bs-Latn-BA"/>
        </w:rPr>
        <w:t>рата</w:t>
      </w:r>
      <w:r w:rsidR="001379C1" w:rsidRPr="00295637">
        <w:rPr>
          <w:rFonts w:ascii="Times New Roman" w:hAnsi="Times New Roman"/>
          <w:szCs w:val="24"/>
          <w:lang w:val="bs-Latn-BA"/>
        </w:rPr>
        <w:t xml:space="preserve"> („</w:t>
      </w:r>
      <w:r>
        <w:rPr>
          <w:rFonts w:ascii="Times New Roman" w:hAnsi="Times New Roman"/>
          <w:szCs w:val="24"/>
          <w:lang w:val="bs-Latn-BA"/>
        </w:rPr>
        <w:t>Службене</w:t>
      </w:r>
      <w:r w:rsidR="001379C1" w:rsidRPr="00295637">
        <w:rPr>
          <w:rFonts w:ascii="Times New Roman" w:hAnsi="Times New Roman"/>
          <w:szCs w:val="24"/>
          <w:lang w:val="bs-Latn-BA"/>
        </w:rPr>
        <w:t xml:space="preserve"> </w:t>
      </w:r>
      <w:r>
        <w:rPr>
          <w:rFonts w:ascii="Times New Roman" w:hAnsi="Times New Roman"/>
          <w:szCs w:val="24"/>
          <w:lang w:val="bs-Latn-BA"/>
        </w:rPr>
        <w:t>новине</w:t>
      </w:r>
      <w:r w:rsidR="001379C1" w:rsidRPr="00295637">
        <w:rPr>
          <w:rFonts w:ascii="Times New Roman" w:hAnsi="Times New Roman"/>
          <w:szCs w:val="24"/>
          <w:lang w:val="bs-Latn-BA"/>
        </w:rPr>
        <w:t xml:space="preserve"> </w:t>
      </w:r>
      <w:r>
        <w:rPr>
          <w:rFonts w:ascii="Times New Roman" w:hAnsi="Times New Roman"/>
          <w:szCs w:val="24"/>
          <w:lang w:val="bs-Latn-BA"/>
        </w:rPr>
        <w:t>Федерације</w:t>
      </w:r>
      <w:r w:rsidR="00C04A6B">
        <w:rPr>
          <w:rFonts w:ascii="Times New Roman" w:hAnsi="Times New Roman"/>
          <w:szCs w:val="24"/>
          <w:lang w:val="bs-Latn-BA"/>
        </w:rPr>
        <w:t xml:space="preserve"> </w:t>
      </w:r>
      <w:r>
        <w:rPr>
          <w:rFonts w:ascii="Times New Roman" w:hAnsi="Times New Roman"/>
          <w:szCs w:val="24"/>
          <w:lang w:val="bs-Latn-BA"/>
        </w:rPr>
        <w:t>БиХ</w:t>
      </w:r>
      <w:r w:rsidR="001379C1" w:rsidRPr="00295637">
        <w:rPr>
          <w:rFonts w:ascii="Times New Roman" w:hAnsi="Times New Roman"/>
          <w:szCs w:val="24"/>
          <w:lang w:val="bs-Latn-BA"/>
        </w:rPr>
        <w:t xml:space="preserve">“, </w:t>
      </w:r>
      <w:r>
        <w:rPr>
          <w:rFonts w:ascii="Times New Roman" w:hAnsi="Times New Roman"/>
          <w:szCs w:val="24"/>
          <w:lang w:val="bs-Latn-BA"/>
        </w:rPr>
        <w:t>број</w:t>
      </w:r>
      <w:r w:rsidR="001379C1" w:rsidRPr="00295637">
        <w:rPr>
          <w:rFonts w:ascii="Times New Roman" w:hAnsi="Times New Roman"/>
          <w:szCs w:val="24"/>
          <w:lang w:val="bs-Latn-BA"/>
        </w:rPr>
        <w:t xml:space="preserve"> 5/24)</w:t>
      </w:r>
      <w:r w:rsidR="00C04A6B">
        <w:rPr>
          <w:rFonts w:ascii="Times New Roman" w:hAnsi="Times New Roman"/>
          <w:szCs w:val="24"/>
          <w:lang w:val="bs-Latn-BA"/>
        </w:rPr>
        <w:t>;</w:t>
      </w:r>
    </w:p>
    <w:p w:rsidR="001379C1" w:rsidRPr="00295637" w:rsidRDefault="00C6214E" w:rsidP="0086268D">
      <w:pPr>
        <w:pStyle w:val="ListParagraph"/>
        <w:numPr>
          <w:ilvl w:val="0"/>
          <w:numId w:val="20"/>
        </w:numPr>
        <w:ind w:left="1440"/>
        <w:jc w:val="both"/>
        <w:rPr>
          <w:rFonts w:ascii="Times New Roman" w:hAnsi="Times New Roman"/>
          <w:szCs w:val="24"/>
          <w:lang w:val="bs-Latn-BA"/>
        </w:rPr>
      </w:pPr>
      <w:r>
        <w:rPr>
          <w:rFonts w:ascii="Times New Roman" w:hAnsi="Times New Roman"/>
          <w:szCs w:val="24"/>
          <w:lang w:val="bs-Latn-BA"/>
        </w:rPr>
        <w:t>Закон</w:t>
      </w:r>
      <w:r w:rsidR="001379C1" w:rsidRPr="00295637">
        <w:rPr>
          <w:rFonts w:ascii="Times New Roman" w:hAnsi="Times New Roman"/>
          <w:szCs w:val="24"/>
          <w:lang w:val="bs-Latn-BA"/>
        </w:rPr>
        <w:t xml:space="preserve"> </w:t>
      </w:r>
      <w:r>
        <w:rPr>
          <w:rFonts w:ascii="Times New Roman" w:hAnsi="Times New Roman"/>
          <w:szCs w:val="24"/>
          <w:lang w:val="bs-Latn-BA"/>
        </w:rPr>
        <w:t>о</w:t>
      </w:r>
      <w:r w:rsidR="001379C1" w:rsidRPr="00295637">
        <w:rPr>
          <w:rFonts w:ascii="Times New Roman" w:hAnsi="Times New Roman"/>
          <w:szCs w:val="24"/>
          <w:lang w:val="bs-Latn-BA"/>
        </w:rPr>
        <w:t xml:space="preserve"> </w:t>
      </w:r>
      <w:r>
        <w:rPr>
          <w:rFonts w:ascii="Times New Roman" w:hAnsi="Times New Roman"/>
          <w:szCs w:val="24"/>
          <w:lang w:val="bs-Latn-BA"/>
        </w:rPr>
        <w:t>посебном</w:t>
      </w:r>
      <w:r w:rsidR="001379C1" w:rsidRPr="00295637">
        <w:rPr>
          <w:rFonts w:ascii="Times New Roman" w:hAnsi="Times New Roman"/>
          <w:szCs w:val="24"/>
          <w:lang w:val="bs-Latn-BA"/>
        </w:rPr>
        <w:t xml:space="preserve"> </w:t>
      </w:r>
      <w:r>
        <w:rPr>
          <w:rFonts w:ascii="Times New Roman" w:hAnsi="Times New Roman"/>
          <w:szCs w:val="24"/>
          <w:lang w:val="bs-Latn-BA"/>
        </w:rPr>
        <w:t>регистру</w:t>
      </w:r>
      <w:r w:rsidR="001379C1" w:rsidRPr="00295637">
        <w:rPr>
          <w:rFonts w:ascii="Times New Roman" w:hAnsi="Times New Roman"/>
          <w:szCs w:val="24"/>
          <w:lang w:val="bs-Latn-BA"/>
        </w:rPr>
        <w:t xml:space="preserve"> </w:t>
      </w:r>
      <w:r>
        <w:rPr>
          <w:rFonts w:ascii="Times New Roman" w:hAnsi="Times New Roman"/>
          <w:szCs w:val="24"/>
          <w:lang w:val="bs-Latn-BA"/>
        </w:rPr>
        <w:t>лица</w:t>
      </w:r>
      <w:r w:rsidR="001379C1" w:rsidRPr="00295637">
        <w:rPr>
          <w:rFonts w:ascii="Times New Roman" w:hAnsi="Times New Roman"/>
          <w:szCs w:val="24"/>
          <w:lang w:val="bs-Latn-BA"/>
        </w:rPr>
        <w:t xml:space="preserve"> </w:t>
      </w:r>
      <w:r>
        <w:rPr>
          <w:rFonts w:ascii="Times New Roman" w:hAnsi="Times New Roman"/>
          <w:szCs w:val="24"/>
          <w:lang w:val="bs-Latn-BA"/>
        </w:rPr>
        <w:t>правоснажно</w:t>
      </w:r>
      <w:r w:rsidR="001379C1" w:rsidRPr="00295637">
        <w:rPr>
          <w:rFonts w:ascii="Times New Roman" w:hAnsi="Times New Roman"/>
          <w:szCs w:val="24"/>
          <w:lang w:val="bs-Latn-BA"/>
        </w:rPr>
        <w:t xml:space="preserve"> </w:t>
      </w:r>
      <w:r>
        <w:rPr>
          <w:rFonts w:ascii="Times New Roman" w:hAnsi="Times New Roman"/>
          <w:szCs w:val="24"/>
          <w:lang w:val="bs-Latn-BA"/>
        </w:rPr>
        <w:t>осуђених</w:t>
      </w:r>
      <w:r w:rsidR="001379C1" w:rsidRPr="00295637">
        <w:rPr>
          <w:rFonts w:ascii="Times New Roman" w:hAnsi="Times New Roman"/>
          <w:szCs w:val="24"/>
          <w:lang w:val="bs-Latn-BA"/>
        </w:rPr>
        <w:t xml:space="preserve"> </w:t>
      </w:r>
      <w:r>
        <w:rPr>
          <w:rFonts w:ascii="Times New Roman" w:hAnsi="Times New Roman"/>
          <w:szCs w:val="24"/>
          <w:lang w:val="bs-Latn-BA"/>
        </w:rPr>
        <w:t>за</w:t>
      </w:r>
      <w:r w:rsidR="001379C1" w:rsidRPr="00295637">
        <w:rPr>
          <w:rFonts w:ascii="Times New Roman" w:hAnsi="Times New Roman"/>
          <w:szCs w:val="24"/>
          <w:lang w:val="bs-Latn-BA"/>
        </w:rPr>
        <w:t xml:space="preserve"> </w:t>
      </w:r>
      <w:r>
        <w:rPr>
          <w:rFonts w:ascii="Times New Roman" w:hAnsi="Times New Roman"/>
          <w:szCs w:val="24"/>
          <w:lang w:val="bs-Latn-BA"/>
        </w:rPr>
        <w:t>кривична</w:t>
      </w:r>
      <w:r w:rsidR="001379C1" w:rsidRPr="00295637">
        <w:rPr>
          <w:rFonts w:ascii="Times New Roman" w:hAnsi="Times New Roman"/>
          <w:szCs w:val="24"/>
          <w:lang w:val="bs-Latn-BA"/>
        </w:rPr>
        <w:t xml:space="preserve"> </w:t>
      </w:r>
      <w:r>
        <w:rPr>
          <w:rFonts w:ascii="Times New Roman" w:hAnsi="Times New Roman"/>
          <w:szCs w:val="24"/>
          <w:lang w:val="bs-Latn-BA"/>
        </w:rPr>
        <w:t>дјела</w:t>
      </w:r>
      <w:r w:rsidR="001379C1" w:rsidRPr="00295637">
        <w:rPr>
          <w:rFonts w:ascii="Times New Roman" w:hAnsi="Times New Roman"/>
          <w:szCs w:val="24"/>
          <w:lang w:val="bs-Latn-BA"/>
        </w:rPr>
        <w:t xml:space="preserve"> </w:t>
      </w:r>
      <w:r>
        <w:rPr>
          <w:rFonts w:ascii="Times New Roman" w:hAnsi="Times New Roman"/>
          <w:szCs w:val="24"/>
          <w:lang w:val="bs-Latn-BA"/>
        </w:rPr>
        <w:t>против</w:t>
      </w:r>
      <w:r w:rsidR="001379C1" w:rsidRPr="00295637">
        <w:rPr>
          <w:rFonts w:ascii="Times New Roman" w:hAnsi="Times New Roman"/>
          <w:szCs w:val="24"/>
          <w:lang w:val="bs-Latn-BA"/>
        </w:rPr>
        <w:t xml:space="preserve"> </w:t>
      </w:r>
      <w:r>
        <w:rPr>
          <w:rFonts w:ascii="Times New Roman" w:hAnsi="Times New Roman"/>
          <w:szCs w:val="24"/>
          <w:lang w:val="bs-Latn-BA"/>
        </w:rPr>
        <w:t>полне</w:t>
      </w:r>
      <w:r w:rsidR="001379C1" w:rsidRPr="00295637">
        <w:rPr>
          <w:rFonts w:ascii="Times New Roman" w:hAnsi="Times New Roman"/>
          <w:szCs w:val="24"/>
          <w:lang w:val="bs-Latn-BA"/>
        </w:rPr>
        <w:t xml:space="preserve"> </w:t>
      </w:r>
      <w:r>
        <w:rPr>
          <w:rFonts w:ascii="Times New Roman" w:hAnsi="Times New Roman"/>
          <w:szCs w:val="24"/>
          <w:lang w:val="bs-Latn-BA"/>
        </w:rPr>
        <w:t>слободе</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морала</w:t>
      </w:r>
      <w:r w:rsidR="001379C1" w:rsidRPr="00295637">
        <w:rPr>
          <w:rFonts w:ascii="Times New Roman" w:hAnsi="Times New Roman"/>
          <w:szCs w:val="24"/>
          <w:lang w:val="bs-Latn-BA"/>
        </w:rPr>
        <w:t xml:space="preserve"> </w:t>
      </w:r>
      <w:r>
        <w:rPr>
          <w:rFonts w:ascii="Times New Roman" w:hAnsi="Times New Roman"/>
          <w:szCs w:val="24"/>
          <w:lang w:val="bs-Latn-BA"/>
        </w:rPr>
        <w:t>према</w:t>
      </w:r>
      <w:r w:rsidR="001379C1" w:rsidRPr="00295637">
        <w:rPr>
          <w:rFonts w:ascii="Times New Roman" w:hAnsi="Times New Roman"/>
          <w:szCs w:val="24"/>
          <w:lang w:val="bs-Latn-BA"/>
        </w:rPr>
        <w:t xml:space="preserve"> </w:t>
      </w:r>
      <w:r>
        <w:rPr>
          <w:rFonts w:ascii="Times New Roman" w:hAnsi="Times New Roman"/>
          <w:szCs w:val="24"/>
          <w:lang w:val="bs-Latn-BA"/>
        </w:rPr>
        <w:t>дјеци</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малољетницима</w:t>
      </w:r>
      <w:r w:rsidR="001379C1" w:rsidRPr="00295637">
        <w:rPr>
          <w:rFonts w:ascii="Times New Roman" w:hAnsi="Times New Roman"/>
          <w:szCs w:val="24"/>
          <w:lang w:val="bs-Latn-BA"/>
        </w:rPr>
        <w:t xml:space="preserve"> </w:t>
      </w:r>
      <w:r>
        <w:rPr>
          <w:rFonts w:ascii="Times New Roman" w:hAnsi="Times New Roman"/>
          <w:szCs w:val="24"/>
          <w:lang w:val="bs-Latn-BA"/>
        </w:rPr>
        <w:t>у</w:t>
      </w:r>
      <w:r w:rsidR="001379C1" w:rsidRPr="00295637">
        <w:rPr>
          <w:rFonts w:ascii="Times New Roman" w:hAnsi="Times New Roman"/>
          <w:szCs w:val="24"/>
          <w:lang w:val="bs-Latn-BA"/>
        </w:rPr>
        <w:t xml:space="preserve"> </w:t>
      </w:r>
      <w:r>
        <w:rPr>
          <w:rFonts w:ascii="Times New Roman" w:hAnsi="Times New Roman"/>
          <w:szCs w:val="24"/>
          <w:lang w:val="bs-Latn-BA"/>
        </w:rPr>
        <w:t>Федерацији</w:t>
      </w:r>
      <w:r w:rsidR="001379C1" w:rsidRPr="00295637">
        <w:rPr>
          <w:rFonts w:ascii="Times New Roman" w:hAnsi="Times New Roman"/>
          <w:szCs w:val="24"/>
          <w:lang w:val="bs-Latn-BA"/>
        </w:rPr>
        <w:t xml:space="preserve"> </w:t>
      </w:r>
      <w:r>
        <w:rPr>
          <w:rFonts w:ascii="Times New Roman" w:hAnsi="Times New Roman"/>
          <w:szCs w:val="24"/>
          <w:lang w:val="bs-Latn-BA"/>
        </w:rPr>
        <w:t>Босне</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Херцеговине</w:t>
      </w:r>
      <w:r w:rsidR="001379C1" w:rsidRPr="00295637">
        <w:rPr>
          <w:rFonts w:ascii="Times New Roman" w:hAnsi="Times New Roman"/>
          <w:szCs w:val="24"/>
          <w:lang w:val="bs-Latn-BA"/>
        </w:rPr>
        <w:t xml:space="preserve"> („</w:t>
      </w:r>
      <w:r>
        <w:rPr>
          <w:rFonts w:ascii="Times New Roman" w:hAnsi="Times New Roman"/>
          <w:szCs w:val="24"/>
          <w:lang w:val="bs-Latn-BA"/>
        </w:rPr>
        <w:t>Службене</w:t>
      </w:r>
      <w:r w:rsidR="001379C1" w:rsidRPr="00295637">
        <w:rPr>
          <w:rFonts w:ascii="Times New Roman" w:hAnsi="Times New Roman"/>
          <w:szCs w:val="24"/>
          <w:lang w:val="bs-Latn-BA"/>
        </w:rPr>
        <w:t xml:space="preserve"> </w:t>
      </w:r>
      <w:r>
        <w:rPr>
          <w:rFonts w:ascii="Times New Roman" w:hAnsi="Times New Roman"/>
          <w:szCs w:val="24"/>
          <w:lang w:val="bs-Latn-BA"/>
        </w:rPr>
        <w:t>новине</w:t>
      </w:r>
      <w:r w:rsidR="001379C1" w:rsidRPr="00295637">
        <w:rPr>
          <w:rFonts w:ascii="Times New Roman" w:hAnsi="Times New Roman"/>
          <w:szCs w:val="24"/>
          <w:lang w:val="bs-Latn-BA"/>
        </w:rPr>
        <w:t xml:space="preserve"> </w:t>
      </w:r>
      <w:r>
        <w:rPr>
          <w:rFonts w:ascii="Times New Roman" w:hAnsi="Times New Roman"/>
          <w:szCs w:val="24"/>
          <w:lang w:val="bs-Latn-BA"/>
        </w:rPr>
        <w:t>Федерације</w:t>
      </w:r>
      <w:r w:rsidR="00C04A6B">
        <w:rPr>
          <w:rFonts w:ascii="Times New Roman" w:hAnsi="Times New Roman"/>
          <w:szCs w:val="24"/>
          <w:lang w:val="bs-Latn-BA"/>
        </w:rPr>
        <w:t xml:space="preserve"> </w:t>
      </w:r>
      <w:r>
        <w:rPr>
          <w:rFonts w:ascii="Times New Roman" w:hAnsi="Times New Roman"/>
          <w:szCs w:val="24"/>
          <w:lang w:val="bs-Latn-BA"/>
        </w:rPr>
        <w:t>БиХ</w:t>
      </w:r>
      <w:r w:rsidR="001379C1" w:rsidRPr="00295637">
        <w:rPr>
          <w:rFonts w:ascii="Times New Roman" w:hAnsi="Times New Roman"/>
          <w:szCs w:val="24"/>
          <w:lang w:val="bs-Latn-BA"/>
        </w:rPr>
        <w:t xml:space="preserve">“, </w:t>
      </w:r>
      <w:r>
        <w:rPr>
          <w:rFonts w:ascii="Times New Roman" w:hAnsi="Times New Roman"/>
          <w:szCs w:val="24"/>
          <w:lang w:val="bs-Latn-BA"/>
        </w:rPr>
        <w:t>број</w:t>
      </w:r>
      <w:r w:rsidR="001379C1" w:rsidRPr="00295637">
        <w:rPr>
          <w:rFonts w:ascii="Times New Roman" w:hAnsi="Times New Roman"/>
          <w:szCs w:val="24"/>
          <w:lang w:val="bs-Latn-BA"/>
        </w:rPr>
        <w:t xml:space="preserve"> 13/24)</w:t>
      </w:r>
      <w:r w:rsidR="00C04A6B">
        <w:rPr>
          <w:rFonts w:ascii="Times New Roman" w:hAnsi="Times New Roman"/>
          <w:szCs w:val="24"/>
          <w:lang w:val="bs-Latn-BA"/>
        </w:rPr>
        <w:t>;</w:t>
      </w:r>
    </w:p>
    <w:p w:rsidR="001379C1" w:rsidRPr="00295637" w:rsidRDefault="00C6214E" w:rsidP="0086268D">
      <w:pPr>
        <w:pStyle w:val="ListParagraph"/>
        <w:numPr>
          <w:ilvl w:val="0"/>
          <w:numId w:val="20"/>
        </w:numPr>
        <w:ind w:left="1440"/>
        <w:jc w:val="both"/>
        <w:rPr>
          <w:rFonts w:ascii="Times New Roman" w:hAnsi="Times New Roman"/>
          <w:szCs w:val="24"/>
          <w:lang w:val="bs-Latn-BA"/>
        </w:rPr>
      </w:pPr>
      <w:r>
        <w:rPr>
          <w:rFonts w:ascii="Times New Roman" w:hAnsi="Times New Roman"/>
          <w:szCs w:val="24"/>
          <w:lang w:val="bs-Latn-BA"/>
        </w:rPr>
        <w:t>Уредба</w:t>
      </w:r>
      <w:r w:rsidR="001379C1" w:rsidRPr="00295637">
        <w:rPr>
          <w:rFonts w:ascii="Times New Roman" w:hAnsi="Times New Roman"/>
          <w:szCs w:val="24"/>
          <w:lang w:val="bs-Latn-BA"/>
        </w:rPr>
        <w:t xml:space="preserve"> </w:t>
      </w:r>
      <w:r>
        <w:rPr>
          <w:rFonts w:ascii="Times New Roman" w:hAnsi="Times New Roman"/>
          <w:szCs w:val="24"/>
          <w:lang w:val="bs-Latn-BA"/>
        </w:rPr>
        <w:t>о</w:t>
      </w:r>
      <w:r w:rsidR="001379C1" w:rsidRPr="00295637">
        <w:rPr>
          <w:rFonts w:ascii="Times New Roman" w:hAnsi="Times New Roman"/>
          <w:szCs w:val="24"/>
          <w:lang w:val="bs-Latn-BA"/>
        </w:rPr>
        <w:t xml:space="preserve"> </w:t>
      </w:r>
      <w:r>
        <w:rPr>
          <w:rFonts w:ascii="Times New Roman" w:hAnsi="Times New Roman"/>
          <w:szCs w:val="24"/>
          <w:lang w:val="bs-Latn-BA"/>
        </w:rPr>
        <w:t>исплати</w:t>
      </w:r>
      <w:r w:rsidR="001379C1" w:rsidRPr="00295637">
        <w:rPr>
          <w:rFonts w:ascii="Times New Roman" w:hAnsi="Times New Roman"/>
          <w:szCs w:val="24"/>
          <w:lang w:val="bs-Latn-BA"/>
        </w:rPr>
        <w:t xml:space="preserve"> </w:t>
      </w:r>
      <w:r>
        <w:rPr>
          <w:rFonts w:ascii="Times New Roman" w:hAnsi="Times New Roman"/>
          <w:szCs w:val="24"/>
          <w:lang w:val="bs-Latn-BA"/>
        </w:rPr>
        <w:t>новчане</w:t>
      </w:r>
      <w:r w:rsidR="001379C1" w:rsidRPr="00295637">
        <w:rPr>
          <w:rFonts w:ascii="Times New Roman" w:hAnsi="Times New Roman"/>
          <w:szCs w:val="24"/>
          <w:lang w:val="bs-Latn-BA"/>
        </w:rPr>
        <w:t xml:space="preserve"> </w:t>
      </w:r>
      <w:r>
        <w:rPr>
          <w:rFonts w:ascii="Times New Roman" w:hAnsi="Times New Roman"/>
          <w:szCs w:val="24"/>
          <w:lang w:val="bs-Latn-BA"/>
        </w:rPr>
        <w:t>помоћи</w:t>
      </w:r>
      <w:r w:rsidR="001379C1" w:rsidRPr="00295637">
        <w:rPr>
          <w:rFonts w:ascii="Times New Roman" w:hAnsi="Times New Roman"/>
          <w:szCs w:val="24"/>
          <w:lang w:val="bs-Latn-BA"/>
        </w:rPr>
        <w:t xml:space="preserve"> </w:t>
      </w:r>
      <w:r>
        <w:rPr>
          <w:rFonts w:ascii="Times New Roman" w:hAnsi="Times New Roman"/>
          <w:szCs w:val="24"/>
          <w:lang w:val="bs-Latn-BA"/>
        </w:rPr>
        <w:t>породиљама</w:t>
      </w:r>
      <w:r w:rsidR="001379C1" w:rsidRPr="00295637">
        <w:rPr>
          <w:rFonts w:ascii="Times New Roman" w:hAnsi="Times New Roman"/>
          <w:szCs w:val="24"/>
          <w:lang w:val="bs-Latn-BA"/>
        </w:rPr>
        <w:t xml:space="preserve"> </w:t>
      </w:r>
      <w:r>
        <w:rPr>
          <w:rFonts w:ascii="Times New Roman" w:hAnsi="Times New Roman"/>
          <w:szCs w:val="24"/>
          <w:lang w:val="bs-Latn-BA"/>
        </w:rPr>
        <w:t>за</w:t>
      </w:r>
      <w:r w:rsidR="001379C1" w:rsidRPr="00295637">
        <w:rPr>
          <w:rFonts w:ascii="Times New Roman" w:hAnsi="Times New Roman"/>
          <w:szCs w:val="24"/>
          <w:lang w:val="bs-Latn-BA"/>
        </w:rPr>
        <w:t xml:space="preserve"> </w:t>
      </w:r>
      <w:r>
        <w:rPr>
          <w:rFonts w:ascii="Times New Roman" w:hAnsi="Times New Roman"/>
          <w:szCs w:val="24"/>
          <w:lang w:val="bs-Latn-BA"/>
        </w:rPr>
        <w:t>новорођено</w:t>
      </w:r>
      <w:r w:rsidR="001379C1" w:rsidRPr="00295637">
        <w:rPr>
          <w:rFonts w:ascii="Times New Roman" w:hAnsi="Times New Roman"/>
          <w:szCs w:val="24"/>
          <w:lang w:val="bs-Latn-BA"/>
        </w:rPr>
        <w:t xml:space="preserve"> </w:t>
      </w:r>
      <w:r>
        <w:rPr>
          <w:rFonts w:ascii="Times New Roman" w:hAnsi="Times New Roman"/>
          <w:szCs w:val="24"/>
          <w:lang w:val="bs-Latn-BA"/>
        </w:rPr>
        <w:t>дијете</w:t>
      </w:r>
      <w:r w:rsidR="001379C1" w:rsidRPr="00295637">
        <w:rPr>
          <w:rFonts w:ascii="Times New Roman" w:hAnsi="Times New Roman"/>
          <w:szCs w:val="24"/>
          <w:lang w:val="bs-Latn-BA"/>
        </w:rPr>
        <w:t xml:space="preserve"> </w:t>
      </w:r>
      <w:r>
        <w:rPr>
          <w:rFonts w:ascii="Times New Roman" w:hAnsi="Times New Roman"/>
          <w:szCs w:val="24"/>
          <w:lang w:val="bs-Latn-BA"/>
        </w:rPr>
        <w:t>у</w:t>
      </w:r>
      <w:r w:rsidR="001379C1" w:rsidRPr="00295637">
        <w:rPr>
          <w:rFonts w:ascii="Times New Roman" w:hAnsi="Times New Roman"/>
          <w:szCs w:val="24"/>
          <w:lang w:val="bs-Latn-BA"/>
        </w:rPr>
        <w:t xml:space="preserve"> </w:t>
      </w:r>
      <w:r>
        <w:rPr>
          <w:rFonts w:ascii="Times New Roman" w:hAnsi="Times New Roman"/>
          <w:szCs w:val="24"/>
          <w:lang w:val="bs-Latn-BA"/>
        </w:rPr>
        <w:t>Федерацији</w:t>
      </w:r>
      <w:r w:rsidR="001379C1" w:rsidRPr="00295637">
        <w:rPr>
          <w:rFonts w:ascii="Times New Roman" w:hAnsi="Times New Roman"/>
          <w:szCs w:val="24"/>
          <w:lang w:val="bs-Latn-BA"/>
        </w:rPr>
        <w:t xml:space="preserve"> </w:t>
      </w:r>
      <w:r>
        <w:rPr>
          <w:rFonts w:ascii="Times New Roman" w:hAnsi="Times New Roman"/>
          <w:szCs w:val="24"/>
          <w:lang w:val="bs-Latn-BA"/>
        </w:rPr>
        <w:t>Босне</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Херцеговине</w:t>
      </w:r>
      <w:r w:rsidR="001379C1" w:rsidRPr="00295637">
        <w:rPr>
          <w:rFonts w:ascii="Times New Roman" w:hAnsi="Times New Roman"/>
          <w:szCs w:val="24"/>
          <w:lang w:val="bs-Latn-BA"/>
        </w:rPr>
        <w:t xml:space="preserve"> („</w:t>
      </w:r>
      <w:r>
        <w:rPr>
          <w:rFonts w:ascii="Times New Roman" w:hAnsi="Times New Roman"/>
          <w:szCs w:val="24"/>
          <w:lang w:val="bs-Latn-BA"/>
        </w:rPr>
        <w:t>Службене</w:t>
      </w:r>
      <w:r w:rsidR="001379C1" w:rsidRPr="00295637">
        <w:rPr>
          <w:rFonts w:ascii="Times New Roman" w:hAnsi="Times New Roman"/>
          <w:szCs w:val="24"/>
          <w:lang w:val="bs-Latn-BA"/>
        </w:rPr>
        <w:t xml:space="preserve"> </w:t>
      </w:r>
      <w:r>
        <w:rPr>
          <w:rFonts w:ascii="Times New Roman" w:hAnsi="Times New Roman"/>
          <w:szCs w:val="24"/>
          <w:lang w:val="bs-Latn-BA"/>
        </w:rPr>
        <w:t>новине</w:t>
      </w:r>
      <w:r w:rsidR="001379C1" w:rsidRPr="00295637">
        <w:rPr>
          <w:rFonts w:ascii="Times New Roman" w:hAnsi="Times New Roman"/>
          <w:szCs w:val="24"/>
          <w:lang w:val="bs-Latn-BA"/>
        </w:rPr>
        <w:t xml:space="preserve"> </w:t>
      </w:r>
      <w:r>
        <w:rPr>
          <w:rFonts w:ascii="Times New Roman" w:hAnsi="Times New Roman"/>
          <w:szCs w:val="24"/>
          <w:lang w:val="bs-Latn-BA"/>
        </w:rPr>
        <w:t>Федерације</w:t>
      </w:r>
      <w:r w:rsidR="00C04A6B">
        <w:rPr>
          <w:rFonts w:ascii="Times New Roman" w:hAnsi="Times New Roman"/>
          <w:szCs w:val="24"/>
          <w:lang w:val="bs-Latn-BA"/>
        </w:rPr>
        <w:t xml:space="preserve"> </w:t>
      </w:r>
      <w:r>
        <w:rPr>
          <w:rFonts w:ascii="Times New Roman" w:hAnsi="Times New Roman"/>
          <w:szCs w:val="24"/>
          <w:lang w:val="bs-Latn-BA"/>
        </w:rPr>
        <w:t>БиХ</w:t>
      </w:r>
      <w:r w:rsidR="00C04A6B">
        <w:rPr>
          <w:rFonts w:ascii="Times New Roman" w:hAnsi="Times New Roman"/>
          <w:szCs w:val="24"/>
          <w:lang w:val="bs-Latn-BA"/>
        </w:rPr>
        <w:t xml:space="preserve">“, </w:t>
      </w:r>
      <w:r>
        <w:rPr>
          <w:rFonts w:ascii="Times New Roman" w:hAnsi="Times New Roman"/>
          <w:szCs w:val="24"/>
          <w:lang w:val="bs-Latn-BA"/>
        </w:rPr>
        <w:t>број</w:t>
      </w:r>
      <w:r w:rsidR="00C04A6B">
        <w:rPr>
          <w:rFonts w:ascii="Times New Roman" w:hAnsi="Times New Roman"/>
          <w:szCs w:val="24"/>
          <w:lang w:val="bs-Latn-BA"/>
        </w:rPr>
        <w:t xml:space="preserve"> 36/24);</w:t>
      </w:r>
    </w:p>
    <w:p w:rsidR="001379C1" w:rsidRPr="00295637" w:rsidRDefault="00C6214E" w:rsidP="0086268D">
      <w:pPr>
        <w:pStyle w:val="ListParagraph"/>
        <w:numPr>
          <w:ilvl w:val="0"/>
          <w:numId w:val="20"/>
        </w:numPr>
        <w:ind w:left="1440"/>
        <w:jc w:val="both"/>
        <w:rPr>
          <w:rFonts w:ascii="Times New Roman" w:hAnsi="Times New Roman"/>
          <w:szCs w:val="24"/>
          <w:lang w:val="bs-Latn-BA"/>
        </w:rPr>
      </w:pPr>
      <w:r>
        <w:rPr>
          <w:rFonts w:ascii="Times New Roman" w:hAnsi="Times New Roman"/>
          <w:szCs w:val="24"/>
          <w:lang w:val="bs-Latn-BA"/>
        </w:rPr>
        <w:t>Федерално</w:t>
      </w:r>
      <w:r w:rsidR="001379C1" w:rsidRPr="00295637">
        <w:rPr>
          <w:rFonts w:ascii="Times New Roman" w:hAnsi="Times New Roman"/>
          <w:szCs w:val="24"/>
          <w:lang w:val="bs-Latn-BA"/>
        </w:rPr>
        <w:t xml:space="preserve"> </w:t>
      </w:r>
      <w:r>
        <w:rPr>
          <w:rFonts w:ascii="Times New Roman" w:hAnsi="Times New Roman"/>
          <w:szCs w:val="24"/>
          <w:lang w:val="bs-Latn-BA"/>
        </w:rPr>
        <w:t>министартсво</w:t>
      </w:r>
      <w:r w:rsidR="001379C1" w:rsidRPr="00295637">
        <w:rPr>
          <w:rFonts w:ascii="Times New Roman" w:hAnsi="Times New Roman"/>
          <w:szCs w:val="24"/>
          <w:lang w:val="bs-Latn-BA"/>
        </w:rPr>
        <w:t xml:space="preserve"> </w:t>
      </w:r>
      <w:r>
        <w:rPr>
          <w:rFonts w:ascii="Times New Roman" w:hAnsi="Times New Roman"/>
          <w:szCs w:val="24"/>
          <w:lang w:val="bs-Latn-BA"/>
        </w:rPr>
        <w:t>унутрашњих</w:t>
      </w:r>
      <w:r w:rsidR="001379C1" w:rsidRPr="00295637">
        <w:rPr>
          <w:rFonts w:ascii="Times New Roman" w:hAnsi="Times New Roman"/>
          <w:szCs w:val="24"/>
          <w:lang w:val="bs-Latn-BA"/>
        </w:rPr>
        <w:t xml:space="preserve"> </w:t>
      </w:r>
      <w:r>
        <w:rPr>
          <w:rFonts w:ascii="Times New Roman" w:hAnsi="Times New Roman"/>
          <w:szCs w:val="24"/>
          <w:lang w:val="bs-Latn-BA"/>
        </w:rPr>
        <w:t>послова</w:t>
      </w:r>
      <w:r w:rsidR="001379C1" w:rsidRPr="00295637">
        <w:rPr>
          <w:rFonts w:ascii="Times New Roman" w:hAnsi="Times New Roman"/>
          <w:szCs w:val="24"/>
          <w:lang w:val="bs-Latn-BA"/>
        </w:rPr>
        <w:t xml:space="preserve"> </w:t>
      </w:r>
      <w:r>
        <w:rPr>
          <w:rFonts w:ascii="Times New Roman" w:hAnsi="Times New Roman"/>
          <w:szCs w:val="24"/>
          <w:lang w:val="bs-Latn-BA"/>
        </w:rPr>
        <w:t>донијело</w:t>
      </w:r>
      <w:r w:rsidR="001379C1" w:rsidRPr="00295637">
        <w:rPr>
          <w:rFonts w:ascii="Times New Roman" w:hAnsi="Times New Roman"/>
          <w:szCs w:val="24"/>
          <w:lang w:val="bs-Latn-BA"/>
        </w:rPr>
        <w:t xml:space="preserve"> </w:t>
      </w:r>
      <w:r>
        <w:rPr>
          <w:rFonts w:ascii="Times New Roman" w:hAnsi="Times New Roman"/>
          <w:szCs w:val="24"/>
          <w:lang w:val="bs-Latn-BA"/>
        </w:rPr>
        <w:t>је</w:t>
      </w:r>
      <w:r w:rsidR="001379C1" w:rsidRPr="00295637">
        <w:rPr>
          <w:rFonts w:ascii="Times New Roman" w:hAnsi="Times New Roman"/>
          <w:szCs w:val="24"/>
          <w:lang w:val="bs-Latn-BA"/>
        </w:rPr>
        <w:t xml:space="preserve"> </w:t>
      </w:r>
      <w:r>
        <w:rPr>
          <w:rFonts w:ascii="Times New Roman" w:hAnsi="Times New Roman"/>
          <w:szCs w:val="24"/>
          <w:lang w:val="bs-Latn-BA"/>
        </w:rPr>
        <w:t>измјене</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допуне</w:t>
      </w:r>
      <w:r w:rsidR="001379C1" w:rsidRPr="00295637">
        <w:rPr>
          <w:rFonts w:ascii="Times New Roman" w:hAnsi="Times New Roman"/>
          <w:szCs w:val="24"/>
          <w:lang w:val="bs-Latn-BA"/>
        </w:rPr>
        <w:t xml:space="preserve"> </w:t>
      </w:r>
      <w:r>
        <w:rPr>
          <w:rFonts w:ascii="Times New Roman" w:hAnsi="Times New Roman"/>
          <w:szCs w:val="24"/>
          <w:lang w:val="bs-Latn-BA"/>
        </w:rPr>
        <w:t>Правилника</w:t>
      </w:r>
      <w:r w:rsidR="001379C1" w:rsidRPr="00295637">
        <w:rPr>
          <w:rFonts w:ascii="Times New Roman" w:hAnsi="Times New Roman"/>
          <w:szCs w:val="24"/>
          <w:lang w:val="bs-Latn-BA"/>
        </w:rPr>
        <w:t xml:space="preserve"> </w:t>
      </w:r>
      <w:r>
        <w:rPr>
          <w:rFonts w:ascii="Times New Roman" w:hAnsi="Times New Roman"/>
          <w:szCs w:val="24"/>
          <w:lang w:val="bs-Latn-BA"/>
        </w:rPr>
        <w:t>о</w:t>
      </w:r>
      <w:r w:rsidR="001379C1" w:rsidRPr="00295637">
        <w:rPr>
          <w:rFonts w:ascii="Times New Roman" w:hAnsi="Times New Roman"/>
          <w:szCs w:val="24"/>
          <w:lang w:val="bs-Latn-BA"/>
        </w:rPr>
        <w:t xml:space="preserve"> </w:t>
      </w:r>
      <w:r>
        <w:rPr>
          <w:rFonts w:ascii="Times New Roman" w:hAnsi="Times New Roman"/>
          <w:szCs w:val="24"/>
          <w:lang w:val="bs-Latn-BA"/>
        </w:rPr>
        <w:t>начину</w:t>
      </w:r>
      <w:r w:rsidR="001379C1" w:rsidRPr="00295637">
        <w:rPr>
          <w:rFonts w:ascii="Times New Roman" w:hAnsi="Times New Roman"/>
          <w:szCs w:val="24"/>
          <w:lang w:val="bs-Latn-BA"/>
        </w:rPr>
        <w:t xml:space="preserve"> </w:t>
      </w:r>
      <w:r w:rsidR="00745640">
        <w:rPr>
          <w:rFonts w:ascii="Times New Roman" w:hAnsi="Times New Roman"/>
          <w:szCs w:val="24"/>
          <w:lang w:val="sr-Cyrl-BA"/>
        </w:rPr>
        <w:t>спровођења</w:t>
      </w:r>
      <w:r w:rsidR="001379C1" w:rsidRPr="00295637">
        <w:rPr>
          <w:rFonts w:ascii="Times New Roman" w:hAnsi="Times New Roman"/>
          <w:szCs w:val="24"/>
          <w:lang w:val="bs-Latn-BA"/>
        </w:rPr>
        <w:t xml:space="preserve"> </w:t>
      </w:r>
      <w:r>
        <w:rPr>
          <w:rFonts w:ascii="Times New Roman" w:hAnsi="Times New Roman"/>
          <w:szCs w:val="24"/>
          <w:lang w:val="bs-Latn-BA"/>
        </w:rPr>
        <w:t>заштитних</w:t>
      </w:r>
      <w:r w:rsidR="001379C1" w:rsidRPr="00295637">
        <w:rPr>
          <w:rFonts w:ascii="Times New Roman" w:hAnsi="Times New Roman"/>
          <w:szCs w:val="24"/>
          <w:lang w:val="bs-Latn-BA"/>
        </w:rPr>
        <w:t xml:space="preserve"> </w:t>
      </w:r>
      <w:r>
        <w:rPr>
          <w:rFonts w:ascii="Times New Roman" w:hAnsi="Times New Roman"/>
          <w:szCs w:val="24"/>
          <w:lang w:val="bs-Latn-BA"/>
        </w:rPr>
        <w:t>мјера</w:t>
      </w:r>
      <w:r w:rsidR="001379C1" w:rsidRPr="00295637">
        <w:rPr>
          <w:rFonts w:ascii="Times New Roman" w:hAnsi="Times New Roman"/>
          <w:szCs w:val="24"/>
          <w:lang w:val="bs-Latn-BA"/>
        </w:rPr>
        <w:t xml:space="preserve"> </w:t>
      </w:r>
      <w:r>
        <w:rPr>
          <w:rFonts w:ascii="Times New Roman" w:hAnsi="Times New Roman"/>
          <w:szCs w:val="24"/>
          <w:lang w:val="bs-Latn-BA"/>
        </w:rPr>
        <w:t>за</w:t>
      </w:r>
      <w:r w:rsidR="001379C1" w:rsidRPr="00295637">
        <w:rPr>
          <w:rFonts w:ascii="Times New Roman" w:hAnsi="Times New Roman"/>
          <w:szCs w:val="24"/>
          <w:lang w:val="bs-Latn-BA"/>
        </w:rPr>
        <w:t xml:space="preserve"> </w:t>
      </w:r>
      <w:r>
        <w:rPr>
          <w:rFonts w:ascii="Times New Roman" w:hAnsi="Times New Roman"/>
          <w:szCs w:val="24"/>
          <w:lang w:val="bs-Latn-BA"/>
        </w:rPr>
        <w:t>починиоце</w:t>
      </w:r>
      <w:r w:rsidR="001379C1" w:rsidRPr="00295637">
        <w:rPr>
          <w:rFonts w:ascii="Times New Roman" w:hAnsi="Times New Roman"/>
          <w:szCs w:val="24"/>
          <w:lang w:val="bs-Latn-BA"/>
        </w:rPr>
        <w:t xml:space="preserve"> </w:t>
      </w:r>
      <w:r>
        <w:rPr>
          <w:rFonts w:ascii="Times New Roman" w:hAnsi="Times New Roman"/>
          <w:szCs w:val="24"/>
          <w:lang w:val="bs-Latn-BA"/>
        </w:rPr>
        <w:t>насиља</w:t>
      </w:r>
      <w:r w:rsidR="001379C1" w:rsidRPr="00295637">
        <w:rPr>
          <w:rFonts w:ascii="Times New Roman" w:hAnsi="Times New Roman"/>
          <w:szCs w:val="24"/>
          <w:lang w:val="bs-Latn-BA"/>
        </w:rPr>
        <w:t xml:space="preserve"> </w:t>
      </w:r>
      <w:r>
        <w:rPr>
          <w:rFonts w:ascii="Times New Roman" w:hAnsi="Times New Roman"/>
          <w:szCs w:val="24"/>
          <w:lang w:val="bs-Latn-BA"/>
        </w:rPr>
        <w:t>у</w:t>
      </w:r>
      <w:r w:rsidR="001379C1" w:rsidRPr="00295637">
        <w:rPr>
          <w:rFonts w:ascii="Times New Roman" w:hAnsi="Times New Roman"/>
          <w:szCs w:val="24"/>
          <w:lang w:val="bs-Latn-BA"/>
        </w:rPr>
        <w:t xml:space="preserve"> </w:t>
      </w:r>
      <w:r>
        <w:rPr>
          <w:rFonts w:ascii="Times New Roman" w:hAnsi="Times New Roman"/>
          <w:szCs w:val="24"/>
          <w:lang w:val="bs-Latn-BA"/>
        </w:rPr>
        <w:t>породици</w:t>
      </w:r>
      <w:r w:rsidR="001379C1" w:rsidRPr="00295637">
        <w:rPr>
          <w:rFonts w:ascii="Times New Roman" w:hAnsi="Times New Roman"/>
          <w:szCs w:val="24"/>
          <w:lang w:val="bs-Latn-BA"/>
        </w:rPr>
        <w:t xml:space="preserve"> </w:t>
      </w:r>
      <w:r>
        <w:rPr>
          <w:rFonts w:ascii="Times New Roman" w:hAnsi="Times New Roman"/>
          <w:szCs w:val="24"/>
          <w:lang w:val="bs-Latn-BA"/>
        </w:rPr>
        <w:t>које</w:t>
      </w:r>
      <w:r w:rsidR="001379C1" w:rsidRPr="00295637">
        <w:rPr>
          <w:rFonts w:ascii="Times New Roman" w:hAnsi="Times New Roman"/>
          <w:szCs w:val="24"/>
          <w:lang w:val="bs-Latn-BA"/>
        </w:rPr>
        <w:t xml:space="preserve"> </w:t>
      </w:r>
      <w:r>
        <w:rPr>
          <w:rFonts w:ascii="Times New Roman" w:hAnsi="Times New Roman"/>
          <w:szCs w:val="24"/>
          <w:lang w:val="bs-Latn-BA"/>
        </w:rPr>
        <w:t>су</w:t>
      </w:r>
      <w:r w:rsidR="001379C1" w:rsidRPr="00295637">
        <w:rPr>
          <w:rFonts w:ascii="Times New Roman" w:hAnsi="Times New Roman"/>
          <w:szCs w:val="24"/>
          <w:lang w:val="bs-Latn-BA"/>
        </w:rPr>
        <w:t xml:space="preserve"> </w:t>
      </w:r>
      <w:r>
        <w:rPr>
          <w:rFonts w:ascii="Times New Roman" w:hAnsi="Times New Roman"/>
          <w:szCs w:val="24"/>
          <w:lang w:val="bs-Latn-BA"/>
        </w:rPr>
        <w:t>у</w:t>
      </w:r>
      <w:r w:rsidR="001379C1" w:rsidRPr="00295637">
        <w:rPr>
          <w:rFonts w:ascii="Times New Roman" w:hAnsi="Times New Roman"/>
          <w:szCs w:val="24"/>
          <w:lang w:val="bs-Latn-BA"/>
        </w:rPr>
        <w:t xml:space="preserve"> </w:t>
      </w:r>
      <w:r>
        <w:rPr>
          <w:rFonts w:ascii="Times New Roman" w:hAnsi="Times New Roman"/>
          <w:szCs w:val="24"/>
          <w:lang w:val="bs-Latn-BA"/>
        </w:rPr>
        <w:t>надлежности</w:t>
      </w:r>
      <w:r w:rsidR="001379C1" w:rsidRPr="00295637">
        <w:rPr>
          <w:rFonts w:ascii="Times New Roman" w:hAnsi="Times New Roman"/>
          <w:szCs w:val="24"/>
          <w:lang w:val="bs-Latn-BA"/>
        </w:rPr>
        <w:t xml:space="preserve"> </w:t>
      </w:r>
      <w:r>
        <w:rPr>
          <w:rFonts w:ascii="Times New Roman" w:hAnsi="Times New Roman"/>
          <w:szCs w:val="24"/>
          <w:lang w:val="bs-Latn-BA"/>
        </w:rPr>
        <w:t>полиције</w:t>
      </w:r>
      <w:r w:rsidR="001379C1" w:rsidRPr="00295637">
        <w:rPr>
          <w:rFonts w:ascii="Times New Roman" w:hAnsi="Times New Roman"/>
          <w:szCs w:val="24"/>
          <w:lang w:val="bs-Latn-BA"/>
        </w:rPr>
        <w:t xml:space="preserve"> („</w:t>
      </w:r>
      <w:r>
        <w:rPr>
          <w:rFonts w:ascii="Times New Roman" w:hAnsi="Times New Roman"/>
          <w:szCs w:val="24"/>
          <w:lang w:val="bs-Latn-BA"/>
        </w:rPr>
        <w:t>Службене</w:t>
      </w:r>
      <w:r w:rsidR="001379C1" w:rsidRPr="00295637">
        <w:rPr>
          <w:rFonts w:ascii="Times New Roman" w:hAnsi="Times New Roman"/>
          <w:szCs w:val="24"/>
          <w:lang w:val="bs-Latn-BA"/>
        </w:rPr>
        <w:t xml:space="preserve"> </w:t>
      </w:r>
      <w:r>
        <w:rPr>
          <w:rFonts w:ascii="Times New Roman" w:hAnsi="Times New Roman"/>
          <w:szCs w:val="24"/>
          <w:lang w:val="bs-Latn-BA"/>
        </w:rPr>
        <w:t>новине</w:t>
      </w:r>
      <w:r w:rsidR="001379C1" w:rsidRPr="00295637">
        <w:rPr>
          <w:rFonts w:ascii="Times New Roman" w:hAnsi="Times New Roman"/>
          <w:szCs w:val="24"/>
          <w:lang w:val="bs-Latn-BA"/>
        </w:rPr>
        <w:t xml:space="preserve"> </w:t>
      </w:r>
      <w:r>
        <w:rPr>
          <w:rFonts w:ascii="Times New Roman" w:hAnsi="Times New Roman"/>
          <w:szCs w:val="24"/>
          <w:lang w:val="bs-Latn-BA"/>
        </w:rPr>
        <w:t>Федерације</w:t>
      </w:r>
      <w:r w:rsidR="00C04A6B">
        <w:rPr>
          <w:rFonts w:ascii="Times New Roman" w:hAnsi="Times New Roman"/>
          <w:szCs w:val="24"/>
          <w:lang w:val="bs-Latn-BA"/>
        </w:rPr>
        <w:t xml:space="preserve"> </w:t>
      </w:r>
      <w:r>
        <w:rPr>
          <w:rFonts w:ascii="Times New Roman" w:hAnsi="Times New Roman"/>
          <w:szCs w:val="24"/>
          <w:lang w:val="bs-Latn-BA"/>
        </w:rPr>
        <w:t>БиХ</w:t>
      </w:r>
      <w:r w:rsidR="001379C1" w:rsidRPr="00295637">
        <w:rPr>
          <w:rFonts w:ascii="Times New Roman" w:hAnsi="Times New Roman"/>
          <w:szCs w:val="24"/>
          <w:lang w:val="bs-Latn-BA"/>
        </w:rPr>
        <w:t xml:space="preserve">“, </w:t>
      </w:r>
      <w:r>
        <w:rPr>
          <w:rFonts w:ascii="Times New Roman" w:hAnsi="Times New Roman"/>
          <w:szCs w:val="24"/>
          <w:lang w:val="bs-Latn-BA"/>
        </w:rPr>
        <w:t>бр</w:t>
      </w:r>
      <w:r w:rsidR="001379C1" w:rsidRPr="00295637">
        <w:rPr>
          <w:rFonts w:ascii="Times New Roman" w:hAnsi="Times New Roman"/>
          <w:szCs w:val="24"/>
          <w:lang w:val="bs-Latn-BA"/>
        </w:rPr>
        <w:t xml:space="preserve">. 19/14, 95/18 </w:t>
      </w:r>
      <w:r>
        <w:rPr>
          <w:rFonts w:ascii="Times New Roman" w:hAnsi="Times New Roman"/>
          <w:szCs w:val="24"/>
          <w:lang w:val="bs-Latn-BA"/>
        </w:rPr>
        <w:t>и</w:t>
      </w:r>
      <w:r w:rsidR="001379C1" w:rsidRPr="00295637">
        <w:rPr>
          <w:rFonts w:ascii="Times New Roman" w:hAnsi="Times New Roman"/>
          <w:szCs w:val="24"/>
          <w:lang w:val="bs-Latn-BA"/>
        </w:rPr>
        <w:t xml:space="preserve"> 77/24) </w:t>
      </w:r>
      <w:r>
        <w:rPr>
          <w:rFonts w:ascii="Times New Roman" w:hAnsi="Times New Roman"/>
          <w:szCs w:val="24"/>
          <w:lang w:val="bs-Latn-BA"/>
        </w:rPr>
        <w:t>којим</w:t>
      </w:r>
      <w:r w:rsidR="00C04A6B">
        <w:rPr>
          <w:rFonts w:ascii="Times New Roman" w:hAnsi="Times New Roman"/>
          <w:szCs w:val="24"/>
          <w:lang w:val="bs-Latn-BA"/>
        </w:rPr>
        <w:t xml:space="preserve"> </w:t>
      </w:r>
      <w:r>
        <w:rPr>
          <w:rFonts w:ascii="Times New Roman" w:hAnsi="Times New Roman"/>
          <w:szCs w:val="24"/>
          <w:lang w:val="bs-Latn-BA"/>
        </w:rPr>
        <w:t>је</w:t>
      </w:r>
      <w:r w:rsidR="00C04A6B">
        <w:rPr>
          <w:rFonts w:ascii="Times New Roman" w:hAnsi="Times New Roman"/>
          <w:szCs w:val="24"/>
          <w:lang w:val="bs-Latn-BA"/>
        </w:rPr>
        <w:t xml:space="preserve"> </w:t>
      </w:r>
      <w:r>
        <w:rPr>
          <w:rFonts w:ascii="Times New Roman" w:hAnsi="Times New Roman"/>
          <w:szCs w:val="24"/>
          <w:lang w:val="bs-Latn-BA"/>
        </w:rPr>
        <w:t>обухавћена</w:t>
      </w:r>
      <w:r w:rsidR="00C04A6B">
        <w:rPr>
          <w:rFonts w:ascii="Times New Roman" w:hAnsi="Times New Roman"/>
          <w:szCs w:val="24"/>
          <w:lang w:val="bs-Latn-BA"/>
        </w:rPr>
        <w:t xml:space="preserve"> </w:t>
      </w:r>
      <w:r>
        <w:rPr>
          <w:rFonts w:ascii="Times New Roman" w:hAnsi="Times New Roman"/>
          <w:szCs w:val="24"/>
          <w:lang w:val="bs-Latn-BA"/>
        </w:rPr>
        <w:t>процјена</w:t>
      </w:r>
      <w:r w:rsidR="00C04A6B">
        <w:rPr>
          <w:rFonts w:ascii="Times New Roman" w:hAnsi="Times New Roman"/>
          <w:szCs w:val="24"/>
          <w:lang w:val="bs-Latn-BA"/>
        </w:rPr>
        <w:t xml:space="preserve"> </w:t>
      </w:r>
      <w:r>
        <w:rPr>
          <w:rFonts w:ascii="Times New Roman" w:hAnsi="Times New Roman"/>
          <w:szCs w:val="24"/>
          <w:lang w:val="bs-Latn-BA"/>
        </w:rPr>
        <w:t>ризика</w:t>
      </w:r>
      <w:r w:rsidR="00C04A6B">
        <w:rPr>
          <w:rFonts w:ascii="Times New Roman" w:hAnsi="Times New Roman"/>
          <w:szCs w:val="24"/>
          <w:lang w:val="bs-Latn-BA"/>
        </w:rPr>
        <w:t>;</w:t>
      </w:r>
    </w:p>
    <w:p w:rsidR="001379C1" w:rsidRPr="00295637" w:rsidRDefault="00C6214E" w:rsidP="0086268D">
      <w:pPr>
        <w:pStyle w:val="ListParagraph"/>
        <w:numPr>
          <w:ilvl w:val="0"/>
          <w:numId w:val="20"/>
        </w:numPr>
        <w:ind w:left="1440"/>
        <w:jc w:val="both"/>
        <w:rPr>
          <w:rFonts w:ascii="Times New Roman" w:hAnsi="Times New Roman"/>
          <w:szCs w:val="24"/>
          <w:lang w:val="bs-Latn-BA"/>
        </w:rPr>
      </w:pPr>
      <w:r>
        <w:rPr>
          <w:rFonts w:ascii="Times New Roman" w:hAnsi="Times New Roman"/>
          <w:szCs w:val="24"/>
          <w:lang w:val="bs-Latn-BA"/>
        </w:rPr>
        <w:t>Парламент</w:t>
      </w:r>
      <w:r w:rsidR="001379C1" w:rsidRPr="00295637">
        <w:rPr>
          <w:rFonts w:ascii="Times New Roman" w:hAnsi="Times New Roman"/>
          <w:szCs w:val="24"/>
          <w:lang w:val="bs-Latn-BA"/>
        </w:rPr>
        <w:t xml:space="preserve"> </w:t>
      </w:r>
      <w:r>
        <w:rPr>
          <w:rFonts w:ascii="Times New Roman" w:hAnsi="Times New Roman"/>
          <w:szCs w:val="24"/>
          <w:lang w:val="bs-Latn-BA"/>
        </w:rPr>
        <w:t>Федерације</w:t>
      </w:r>
      <w:r w:rsidR="00DC4A18">
        <w:rPr>
          <w:rFonts w:ascii="Times New Roman" w:hAnsi="Times New Roman"/>
          <w:szCs w:val="24"/>
          <w:lang w:val="bs-Latn-BA"/>
        </w:rPr>
        <w:t xml:space="preserve"> </w:t>
      </w:r>
      <w:r>
        <w:rPr>
          <w:rFonts w:ascii="Times New Roman" w:hAnsi="Times New Roman"/>
          <w:szCs w:val="24"/>
          <w:lang w:val="bs-Latn-BA"/>
        </w:rPr>
        <w:t>БиХ</w:t>
      </w:r>
      <w:r w:rsidR="001379C1" w:rsidRPr="00295637">
        <w:rPr>
          <w:rFonts w:ascii="Times New Roman" w:hAnsi="Times New Roman"/>
          <w:szCs w:val="24"/>
          <w:lang w:val="bs-Latn-BA"/>
        </w:rPr>
        <w:t xml:space="preserve"> </w:t>
      </w:r>
      <w:r>
        <w:rPr>
          <w:rFonts w:ascii="Times New Roman" w:hAnsi="Times New Roman"/>
          <w:szCs w:val="24"/>
          <w:lang w:val="bs-Latn-BA"/>
        </w:rPr>
        <w:t>је</w:t>
      </w:r>
      <w:r w:rsidR="001379C1" w:rsidRPr="00295637">
        <w:rPr>
          <w:rFonts w:ascii="Times New Roman" w:hAnsi="Times New Roman"/>
          <w:szCs w:val="24"/>
          <w:lang w:val="bs-Latn-BA"/>
        </w:rPr>
        <w:t xml:space="preserve"> </w:t>
      </w:r>
      <w:r>
        <w:rPr>
          <w:rFonts w:ascii="Times New Roman" w:hAnsi="Times New Roman"/>
          <w:szCs w:val="24"/>
          <w:lang w:val="bs-Latn-BA"/>
        </w:rPr>
        <w:t>усвојио</w:t>
      </w:r>
      <w:r w:rsidR="001379C1" w:rsidRPr="00295637">
        <w:rPr>
          <w:rFonts w:ascii="Times New Roman" w:hAnsi="Times New Roman"/>
          <w:szCs w:val="24"/>
          <w:lang w:val="bs-Latn-BA"/>
        </w:rPr>
        <w:t xml:space="preserve"> </w:t>
      </w:r>
      <w:r>
        <w:rPr>
          <w:rFonts w:ascii="Times New Roman" w:hAnsi="Times New Roman"/>
          <w:szCs w:val="24"/>
          <w:lang w:val="bs-Latn-BA"/>
        </w:rPr>
        <w:t>нови</w:t>
      </w:r>
      <w:r w:rsidR="001379C1" w:rsidRPr="00295637">
        <w:rPr>
          <w:rFonts w:ascii="Times New Roman" w:hAnsi="Times New Roman"/>
          <w:szCs w:val="24"/>
          <w:lang w:val="bs-Latn-BA"/>
        </w:rPr>
        <w:t xml:space="preserve"> </w:t>
      </w:r>
      <w:r>
        <w:rPr>
          <w:rFonts w:ascii="Times New Roman" w:hAnsi="Times New Roman"/>
          <w:szCs w:val="24"/>
          <w:lang w:val="bs-Latn-BA"/>
        </w:rPr>
        <w:t>Закон</w:t>
      </w:r>
      <w:r w:rsidR="001379C1" w:rsidRPr="00295637">
        <w:rPr>
          <w:rFonts w:ascii="Times New Roman" w:hAnsi="Times New Roman"/>
          <w:szCs w:val="24"/>
          <w:lang w:val="bs-Latn-BA"/>
        </w:rPr>
        <w:t xml:space="preserve"> </w:t>
      </w:r>
      <w:r>
        <w:rPr>
          <w:rFonts w:ascii="Times New Roman" w:hAnsi="Times New Roman"/>
          <w:szCs w:val="24"/>
          <w:lang w:val="bs-Latn-BA"/>
        </w:rPr>
        <w:t>о</w:t>
      </w:r>
      <w:r w:rsidR="001379C1" w:rsidRPr="00295637">
        <w:rPr>
          <w:rFonts w:ascii="Times New Roman" w:hAnsi="Times New Roman"/>
          <w:szCs w:val="24"/>
          <w:lang w:val="bs-Latn-BA"/>
        </w:rPr>
        <w:t xml:space="preserve"> </w:t>
      </w:r>
      <w:r>
        <w:rPr>
          <w:rFonts w:ascii="Times New Roman" w:hAnsi="Times New Roman"/>
          <w:szCs w:val="24"/>
          <w:lang w:val="bs-Latn-BA"/>
        </w:rPr>
        <w:t>заштити</w:t>
      </w:r>
      <w:r w:rsidR="001379C1" w:rsidRPr="00295637">
        <w:rPr>
          <w:rFonts w:ascii="Times New Roman" w:hAnsi="Times New Roman"/>
          <w:szCs w:val="24"/>
          <w:lang w:val="bs-Latn-BA"/>
        </w:rPr>
        <w:t xml:space="preserve"> </w:t>
      </w:r>
      <w:r>
        <w:rPr>
          <w:rFonts w:ascii="Times New Roman" w:hAnsi="Times New Roman"/>
          <w:szCs w:val="24"/>
          <w:lang w:val="bs-Latn-BA"/>
        </w:rPr>
        <w:t>од</w:t>
      </w:r>
      <w:r w:rsidR="001379C1" w:rsidRPr="00295637">
        <w:rPr>
          <w:rFonts w:ascii="Times New Roman" w:hAnsi="Times New Roman"/>
          <w:szCs w:val="24"/>
          <w:lang w:val="bs-Latn-BA"/>
        </w:rPr>
        <w:t xml:space="preserve"> </w:t>
      </w:r>
      <w:r>
        <w:rPr>
          <w:rFonts w:ascii="Times New Roman" w:hAnsi="Times New Roman"/>
          <w:szCs w:val="24"/>
          <w:lang w:val="bs-Latn-BA"/>
        </w:rPr>
        <w:t>насиља</w:t>
      </w:r>
      <w:r w:rsidR="001379C1" w:rsidRPr="00295637">
        <w:rPr>
          <w:rFonts w:ascii="Times New Roman" w:hAnsi="Times New Roman"/>
          <w:szCs w:val="24"/>
          <w:lang w:val="bs-Latn-BA"/>
        </w:rPr>
        <w:t xml:space="preserve"> </w:t>
      </w:r>
      <w:r>
        <w:rPr>
          <w:rFonts w:ascii="Times New Roman" w:hAnsi="Times New Roman"/>
          <w:szCs w:val="24"/>
          <w:lang w:val="bs-Latn-BA"/>
        </w:rPr>
        <w:t>у</w:t>
      </w:r>
      <w:r w:rsidR="001379C1" w:rsidRPr="00295637">
        <w:rPr>
          <w:rFonts w:ascii="Times New Roman" w:hAnsi="Times New Roman"/>
          <w:szCs w:val="24"/>
          <w:lang w:val="bs-Latn-BA"/>
        </w:rPr>
        <w:t xml:space="preserve"> </w:t>
      </w:r>
      <w:r>
        <w:rPr>
          <w:rFonts w:ascii="Times New Roman" w:hAnsi="Times New Roman"/>
          <w:szCs w:val="24"/>
          <w:lang w:val="bs-Latn-BA"/>
        </w:rPr>
        <w:t>породици</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насиља</w:t>
      </w:r>
      <w:r w:rsidR="001379C1" w:rsidRPr="00295637">
        <w:rPr>
          <w:rFonts w:ascii="Times New Roman" w:hAnsi="Times New Roman"/>
          <w:szCs w:val="24"/>
          <w:lang w:val="bs-Latn-BA"/>
        </w:rPr>
        <w:t xml:space="preserve"> </w:t>
      </w:r>
      <w:r>
        <w:rPr>
          <w:rFonts w:ascii="Times New Roman" w:hAnsi="Times New Roman"/>
          <w:szCs w:val="24"/>
          <w:lang w:val="bs-Latn-BA"/>
        </w:rPr>
        <w:t>према</w:t>
      </w:r>
      <w:r w:rsidR="001379C1" w:rsidRPr="00295637">
        <w:rPr>
          <w:rFonts w:ascii="Times New Roman" w:hAnsi="Times New Roman"/>
          <w:szCs w:val="24"/>
          <w:lang w:val="bs-Latn-BA"/>
        </w:rPr>
        <w:t xml:space="preserve"> </w:t>
      </w:r>
      <w:r>
        <w:rPr>
          <w:rFonts w:ascii="Times New Roman" w:hAnsi="Times New Roman"/>
          <w:szCs w:val="24"/>
          <w:lang w:val="bs-Latn-BA"/>
        </w:rPr>
        <w:t>женама</w:t>
      </w:r>
      <w:r w:rsidR="001379C1" w:rsidRPr="00295637">
        <w:rPr>
          <w:rFonts w:ascii="Times New Roman" w:hAnsi="Times New Roman"/>
          <w:szCs w:val="24"/>
          <w:lang w:val="bs-Latn-BA"/>
        </w:rPr>
        <w:t xml:space="preserve"> </w:t>
      </w:r>
      <w:r>
        <w:rPr>
          <w:rFonts w:ascii="Times New Roman" w:hAnsi="Times New Roman"/>
          <w:szCs w:val="24"/>
          <w:lang w:val="bs-Latn-BA"/>
        </w:rPr>
        <w:t>у</w:t>
      </w:r>
      <w:r w:rsidR="001379C1" w:rsidRPr="00295637">
        <w:rPr>
          <w:rFonts w:ascii="Times New Roman" w:hAnsi="Times New Roman"/>
          <w:szCs w:val="24"/>
          <w:lang w:val="bs-Latn-BA"/>
        </w:rPr>
        <w:t xml:space="preserve"> </w:t>
      </w:r>
      <w:r>
        <w:rPr>
          <w:rFonts w:ascii="Times New Roman" w:hAnsi="Times New Roman"/>
          <w:szCs w:val="24"/>
          <w:lang w:val="bs-Latn-BA"/>
        </w:rPr>
        <w:t>Федерацији</w:t>
      </w:r>
      <w:r w:rsidR="00DC4A18">
        <w:rPr>
          <w:rFonts w:ascii="Times New Roman" w:hAnsi="Times New Roman"/>
          <w:szCs w:val="24"/>
          <w:lang w:val="bs-Latn-BA"/>
        </w:rPr>
        <w:t xml:space="preserve"> </w:t>
      </w:r>
      <w:r>
        <w:rPr>
          <w:rFonts w:ascii="Times New Roman" w:hAnsi="Times New Roman"/>
          <w:szCs w:val="24"/>
          <w:lang w:val="bs-Latn-BA"/>
        </w:rPr>
        <w:t>БиХ</w:t>
      </w:r>
      <w:r w:rsidR="00C04A6B">
        <w:rPr>
          <w:rFonts w:ascii="Times New Roman" w:hAnsi="Times New Roman"/>
          <w:szCs w:val="24"/>
          <w:lang w:val="bs-Latn-BA"/>
        </w:rPr>
        <w:t xml:space="preserve"> </w:t>
      </w:r>
      <w:r>
        <w:rPr>
          <w:rFonts w:ascii="Times New Roman" w:hAnsi="Times New Roman"/>
          <w:szCs w:val="24"/>
          <w:lang w:val="bs-Latn-BA"/>
        </w:rPr>
        <w:t>којим</w:t>
      </w:r>
      <w:r w:rsidR="00C04A6B">
        <w:rPr>
          <w:rFonts w:ascii="Times New Roman" w:hAnsi="Times New Roman"/>
          <w:szCs w:val="24"/>
          <w:lang w:val="bs-Latn-BA"/>
        </w:rPr>
        <w:t xml:space="preserve"> </w:t>
      </w:r>
      <w:r>
        <w:rPr>
          <w:rFonts w:ascii="Times New Roman" w:hAnsi="Times New Roman"/>
          <w:szCs w:val="24"/>
          <w:lang w:val="bs-Latn-BA"/>
        </w:rPr>
        <w:t>су</w:t>
      </w:r>
      <w:r w:rsidR="00C04A6B">
        <w:rPr>
          <w:rFonts w:ascii="Times New Roman" w:hAnsi="Times New Roman"/>
          <w:szCs w:val="24"/>
          <w:lang w:val="bs-Latn-BA"/>
        </w:rPr>
        <w:t xml:space="preserve"> </w:t>
      </w:r>
      <w:r>
        <w:rPr>
          <w:rFonts w:ascii="Times New Roman" w:hAnsi="Times New Roman"/>
          <w:szCs w:val="24"/>
          <w:lang w:val="bs-Latn-BA"/>
        </w:rPr>
        <w:t>испуњене</w:t>
      </w:r>
      <w:r w:rsidR="00C04A6B">
        <w:rPr>
          <w:rFonts w:ascii="Times New Roman" w:hAnsi="Times New Roman"/>
          <w:szCs w:val="24"/>
          <w:lang w:val="bs-Latn-BA"/>
        </w:rPr>
        <w:t xml:space="preserve"> </w:t>
      </w:r>
      <w:r>
        <w:rPr>
          <w:rFonts w:ascii="Times New Roman" w:hAnsi="Times New Roman"/>
          <w:szCs w:val="24"/>
          <w:lang w:val="bs-Latn-BA"/>
        </w:rPr>
        <w:t>обавезе</w:t>
      </w:r>
      <w:r w:rsidR="001379C1" w:rsidRPr="00295637">
        <w:rPr>
          <w:rFonts w:ascii="Times New Roman" w:hAnsi="Times New Roman"/>
          <w:szCs w:val="24"/>
          <w:lang w:val="bs-Latn-BA"/>
        </w:rPr>
        <w:t xml:space="preserve"> </w:t>
      </w:r>
      <w:r>
        <w:rPr>
          <w:rFonts w:ascii="Times New Roman" w:hAnsi="Times New Roman"/>
          <w:szCs w:val="24"/>
          <w:lang w:val="bs-Latn-BA"/>
        </w:rPr>
        <w:t>према</w:t>
      </w:r>
      <w:r w:rsidR="001379C1" w:rsidRPr="00295637">
        <w:rPr>
          <w:rFonts w:ascii="Times New Roman" w:hAnsi="Times New Roman"/>
          <w:szCs w:val="24"/>
          <w:lang w:val="bs-Latn-BA"/>
        </w:rPr>
        <w:t xml:space="preserve"> </w:t>
      </w:r>
      <w:r>
        <w:rPr>
          <w:rFonts w:ascii="Times New Roman" w:hAnsi="Times New Roman"/>
          <w:szCs w:val="24"/>
          <w:lang w:val="bs-Latn-BA"/>
        </w:rPr>
        <w:t>према</w:t>
      </w:r>
      <w:r w:rsidR="001379C1" w:rsidRPr="00295637">
        <w:rPr>
          <w:rFonts w:ascii="Times New Roman" w:hAnsi="Times New Roman"/>
          <w:szCs w:val="24"/>
          <w:lang w:val="bs-Latn-BA"/>
        </w:rPr>
        <w:t xml:space="preserve"> </w:t>
      </w:r>
      <w:r>
        <w:rPr>
          <w:rFonts w:ascii="Times New Roman" w:hAnsi="Times New Roman"/>
          <w:szCs w:val="24"/>
          <w:lang w:val="bs-Latn-BA"/>
        </w:rPr>
        <w:t>Конвенцији</w:t>
      </w:r>
      <w:r w:rsidR="001379C1" w:rsidRPr="00295637">
        <w:rPr>
          <w:rFonts w:ascii="Times New Roman" w:hAnsi="Times New Roman"/>
          <w:szCs w:val="24"/>
          <w:lang w:val="bs-Latn-BA"/>
        </w:rPr>
        <w:t xml:space="preserve"> </w:t>
      </w:r>
      <w:r w:rsidR="00745640">
        <w:rPr>
          <w:rFonts w:ascii="Times New Roman" w:hAnsi="Times New Roman"/>
          <w:szCs w:val="24"/>
          <w:lang w:val="sr-Cyrl-BA"/>
        </w:rPr>
        <w:t>Савјета</w:t>
      </w:r>
      <w:r w:rsidR="001379C1" w:rsidRPr="00295637">
        <w:rPr>
          <w:rFonts w:ascii="Times New Roman" w:hAnsi="Times New Roman"/>
          <w:szCs w:val="24"/>
          <w:lang w:val="bs-Latn-BA"/>
        </w:rPr>
        <w:t xml:space="preserve"> </w:t>
      </w:r>
      <w:r>
        <w:rPr>
          <w:rFonts w:ascii="Times New Roman" w:hAnsi="Times New Roman"/>
          <w:szCs w:val="24"/>
          <w:lang w:val="bs-Latn-BA"/>
        </w:rPr>
        <w:t>Европе</w:t>
      </w:r>
      <w:r w:rsidR="001379C1" w:rsidRPr="00295637">
        <w:rPr>
          <w:rFonts w:ascii="Times New Roman" w:hAnsi="Times New Roman"/>
          <w:szCs w:val="24"/>
          <w:lang w:val="bs-Latn-BA"/>
        </w:rPr>
        <w:t xml:space="preserve"> </w:t>
      </w:r>
      <w:r>
        <w:rPr>
          <w:rFonts w:ascii="Times New Roman" w:hAnsi="Times New Roman"/>
          <w:szCs w:val="24"/>
          <w:lang w:val="bs-Latn-BA"/>
        </w:rPr>
        <w:t>о</w:t>
      </w:r>
      <w:r w:rsidR="001379C1" w:rsidRPr="00295637">
        <w:rPr>
          <w:rFonts w:ascii="Times New Roman" w:hAnsi="Times New Roman"/>
          <w:szCs w:val="24"/>
          <w:lang w:val="bs-Latn-BA"/>
        </w:rPr>
        <w:t xml:space="preserve"> </w:t>
      </w:r>
      <w:r>
        <w:rPr>
          <w:rFonts w:ascii="Times New Roman" w:hAnsi="Times New Roman"/>
          <w:szCs w:val="24"/>
          <w:lang w:val="bs-Latn-BA"/>
        </w:rPr>
        <w:t>спречавању</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борби</w:t>
      </w:r>
      <w:r w:rsidR="001379C1" w:rsidRPr="00295637">
        <w:rPr>
          <w:rFonts w:ascii="Times New Roman" w:hAnsi="Times New Roman"/>
          <w:szCs w:val="24"/>
          <w:lang w:val="bs-Latn-BA"/>
        </w:rPr>
        <w:t xml:space="preserve"> </w:t>
      </w:r>
      <w:r>
        <w:rPr>
          <w:rFonts w:ascii="Times New Roman" w:hAnsi="Times New Roman"/>
          <w:szCs w:val="24"/>
          <w:lang w:val="bs-Latn-BA"/>
        </w:rPr>
        <w:t>против</w:t>
      </w:r>
      <w:r w:rsidR="001379C1" w:rsidRPr="00295637">
        <w:rPr>
          <w:rFonts w:ascii="Times New Roman" w:hAnsi="Times New Roman"/>
          <w:szCs w:val="24"/>
          <w:lang w:val="bs-Latn-BA"/>
        </w:rPr>
        <w:t xml:space="preserve"> </w:t>
      </w:r>
      <w:r>
        <w:rPr>
          <w:rFonts w:ascii="Times New Roman" w:hAnsi="Times New Roman"/>
          <w:szCs w:val="24"/>
          <w:lang w:val="bs-Latn-BA"/>
        </w:rPr>
        <w:t>насиља</w:t>
      </w:r>
      <w:r w:rsidR="001379C1" w:rsidRPr="00295637">
        <w:rPr>
          <w:rFonts w:ascii="Times New Roman" w:hAnsi="Times New Roman"/>
          <w:szCs w:val="24"/>
          <w:lang w:val="bs-Latn-BA"/>
        </w:rPr>
        <w:t xml:space="preserve"> </w:t>
      </w:r>
      <w:r>
        <w:rPr>
          <w:rFonts w:ascii="Times New Roman" w:hAnsi="Times New Roman"/>
          <w:szCs w:val="24"/>
          <w:lang w:val="bs-Latn-BA"/>
        </w:rPr>
        <w:t>над</w:t>
      </w:r>
      <w:r w:rsidR="001379C1" w:rsidRPr="00295637">
        <w:rPr>
          <w:rFonts w:ascii="Times New Roman" w:hAnsi="Times New Roman"/>
          <w:szCs w:val="24"/>
          <w:lang w:val="bs-Latn-BA"/>
        </w:rPr>
        <w:t xml:space="preserve"> </w:t>
      </w:r>
      <w:r>
        <w:rPr>
          <w:rFonts w:ascii="Times New Roman" w:hAnsi="Times New Roman"/>
          <w:szCs w:val="24"/>
          <w:lang w:val="bs-Latn-BA"/>
        </w:rPr>
        <w:t>женама</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насиља</w:t>
      </w:r>
      <w:r w:rsidR="001379C1" w:rsidRPr="00295637">
        <w:rPr>
          <w:rFonts w:ascii="Times New Roman" w:hAnsi="Times New Roman"/>
          <w:szCs w:val="24"/>
          <w:lang w:val="bs-Latn-BA"/>
        </w:rPr>
        <w:t xml:space="preserve"> </w:t>
      </w:r>
      <w:r>
        <w:rPr>
          <w:rFonts w:ascii="Times New Roman" w:hAnsi="Times New Roman"/>
          <w:szCs w:val="24"/>
          <w:lang w:val="bs-Latn-BA"/>
        </w:rPr>
        <w:t>у</w:t>
      </w:r>
      <w:r w:rsidR="001379C1" w:rsidRPr="00295637">
        <w:rPr>
          <w:rFonts w:ascii="Times New Roman" w:hAnsi="Times New Roman"/>
          <w:szCs w:val="24"/>
          <w:lang w:val="bs-Latn-BA"/>
        </w:rPr>
        <w:t xml:space="preserve"> </w:t>
      </w:r>
      <w:r>
        <w:rPr>
          <w:rFonts w:ascii="Times New Roman" w:hAnsi="Times New Roman"/>
          <w:szCs w:val="24"/>
          <w:lang w:val="bs-Latn-BA"/>
        </w:rPr>
        <w:t>породици</w:t>
      </w:r>
      <w:r w:rsidR="001379C1" w:rsidRPr="00295637">
        <w:rPr>
          <w:rFonts w:ascii="Times New Roman" w:hAnsi="Times New Roman"/>
          <w:szCs w:val="24"/>
          <w:lang w:val="bs-Latn-BA"/>
        </w:rPr>
        <w:t xml:space="preserve"> - </w:t>
      </w:r>
      <w:r>
        <w:rPr>
          <w:rFonts w:ascii="Times New Roman" w:hAnsi="Times New Roman"/>
          <w:szCs w:val="24"/>
          <w:lang w:val="bs-Latn-BA"/>
        </w:rPr>
        <w:t>Истанбулска</w:t>
      </w:r>
      <w:r w:rsidR="001379C1" w:rsidRPr="00295637">
        <w:rPr>
          <w:rFonts w:ascii="Times New Roman" w:hAnsi="Times New Roman"/>
          <w:szCs w:val="24"/>
          <w:lang w:val="bs-Latn-BA"/>
        </w:rPr>
        <w:t xml:space="preserve"> </w:t>
      </w:r>
      <w:r>
        <w:rPr>
          <w:rFonts w:ascii="Times New Roman" w:hAnsi="Times New Roman"/>
          <w:szCs w:val="24"/>
          <w:lang w:val="bs-Latn-BA"/>
        </w:rPr>
        <w:t>конвенција</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дјелимично</w:t>
      </w:r>
      <w:r w:rsidR="001379C1" w:rsidRPr="00295637">
        <w:rPr>
          <w:rFonts w:ascii="Times New Roman" w:hAnsi="Times New Roman"/>
          <w:szCs w:val="24"/>
          <w:lang w:val="bs-Latn-BA"/>
        </w:rPr>
        <w:t xml:space="preserve"> </w:t>
      </w:r>
      <w:r>
        <w:rPr>
          <w:rFonts w:ascii="Times New Roman" w:hAnsi="Times New Roman"/>
          <w:szCs w:val="24"/>
          <w:lang w:val="bs-Latn-BA"/>
        </w:rPr>
        <w:t>је</w:t>
      </w:r>
      <w:r w:rsidR="001379C1" w:rsidRPr="00295637">
        <w:rPr>
          <w:rFonts w:ascii="Times New Roman" w:hAnsi="Times New Roman"/>
          <w:szCs w:val="24"/>
          <w:lang w:val="bs-Latn-BA"/>
        </w:rPr>
        <w:t xml:space="preserve"> </w:t>
      </w:r>
      <w:r>
        <w:rPr>
          <w:rFonts w:ascii="Times New Roman" w:hAnsi="Times New Roman"/>
          <w:szCs w:val="24"/>
          <w:lang w:val="bs-Latn-BA"/>
        </w:rPr>
        <w:t>преузета</w:t>
      </w:r>
      <w:r w:rsidR="001379C1" w:rsidRPr="00295637">
        <w:rPr>
          <w:rFonts w:ascii="Times New Roman" w:hAnsi="Times New Roman"/>
          <w:szCs w:val="24"/>
          <w:lang w:val="bs-Latn-BA"/>
        </w:rPr>
        <w:t xml:space="preserve"> </w:t>
      </w:r>
      <w:r>
        <w:rPr>
          <w:rFonts w:ascii="Times New Roman" w:hAnsi="Times New Roman"/>
          <w:szCs w:val="24"/>
          <w:lang w:val="bs-Latn-BA"/>
        </w:rPr>
        <w:t>Директива</w:t>
      </w:r>
      <w:r w:rsidR="001379C1" w:rsidRPr="00295637">
        <w:rPr>
          <w:rFonts w:ascii="Times New Roman" w:hAnsi="Times New Roman"/>
          <w:szCs w:val="24"/>
          <w:lang w:val="bs-Latn-BA"/>
        </w:rPr>
        <w:t xml:space="preserve"> (</w:t>
      </w:r>
      <w:r>
        <w:rPr>
          <w:rFonts w:ascii="Times New Roman" w:hAnsi="Times New Roman"/>
          <w:szCs w:val="24"/>
          <w:lang w:val="bs-Latn-BA"/>
        </w:rPr>
        <w:t>ЕУ</w:t>
      </w:r>
      <w:r w:rsidR="001379C1" w:rsidRPr="00295637">
        <w:rPr>
          <w:rFonts w:ascii="Times New Roman" w:hAnsi="Times New Roman"/>
          <w:szCs w:val="24"/>
          <w:lang w:val="bs-Latn-BA"/>
        </w:rPr>
        <w:t xml:space="preserve">) 2024/1385 </w:t>
      </w:r>
      <w:r>
        <w:rPr>
          <w:rFonts w:ascii="Times New Roman" w:hAnsi="Times New Roman"/>
          <w:szCs w:val="24"/>
          <w:lang w:val="bs-Latn-BA"/>
        </w:rPr>
        <w:t>Европског</w:t>
      </w:r>
      <w:r w:rsidR="001379C1" w:rsidRPr="00295637">
        <w:rPr>
          <w:rFonts w:ascii="Times New Roman" w:hAnsi="Times New Roman"/>
          <w:szCs w:val="24"/>
          <w:lang w:val="bs-Latn-BA"/>
        </w:rPr>
        <w:t xml:space="preserve"> </w:t>
      </w:r>
      <w:r>
        <w:rPr>
          <w:rFonts w:ascii="Times New Roman" w:hAnsi="Times New Roman"/>
          <w:szCs w:val="24"/>
          <w:lang w:val="bs-Latn-BA"/>
        </w:rPr>
        <w:t>парламента</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sidR="00745640">
        <w:rPr>
          <w:rFonts w:ascii="Times New Roman" w:hAnsi="Times New Roman"/>
          <w:szCs w:val="24"/>
          <w:lang w:val="sr-Cyrl-BA"/>
        </w:rPr>
        <w:t>Савјета</w:t>
      </w:r>
      <w:r w:rsidR="001379C1" w:rsidRPr="00295637">
        <w:rPr>
          <w:rFonts w:ascii="Times New Roman" w:hAnsi="Times New Roman"/>
          <w:szCs w:val="24"/>
          <w:lang w:val="bs-Latn-BA"/>
        </w:rPr>
        <w:t xml:space="preserve"> </w:t>
      </w:r>
      <w:r>
        <w:rPr>
          <w:rFonts w:ascii="Times New Roman" w:hAnsi="Times New Roman"/>
          <w:szCs w:val="24"/>
          <w:lang w:val="bs-Latn-BA"/>
        </w:rPr>
        <w:t>од</w:t>
      </w:r>
      <w:r w:rsidR="001379C1" w:rsidRPr="00295637">
        <w:rPr>
          <w:rFonts w:ascii="Times New Roman" w:hAnsi="Times New Roman"/>
          <w:szCs w:val="24"/>
          <w:lang w:val="bs-Latn-BA"/>
        </w:rPr>
        <w:t xml:space="preserve"> 14.</w:t>
      </w:r>
      <w:r w:rsidR="00C04A6B">
        <w:rPr>
          <w:rFonts w:ascii="Times New Roman" w:hAnsi="Times New Roman"/>
          <w:szCs w:val="24"/>
          <w:lang w:val="bs-Latn-BA"/>
        </w:rPr>
        <w:t xml:space="preserve"> </w:t>
      </w:r>
      <w:r>
        <w:rPr>
          <w:rFonts w:ascii="Times New Roman" w:hAnsi="Times New Roman"/>
          <w:szCs w:val="24"/>
          <w:lang w:val="bs-Latn-BA"/>
        </w:rPr>
        <w:t>маја</w:t>
      </w:r>
      <w:r w:rsidR="001379C1" w:rsidRPr="00295637">
        <w:rPr>
          <w:rFonts w:ascii="Times New Roman" w:hAnsi="Times New Roman"/>
          <w:szCs w:val="24"/>
          <w:lang w:val="bs-Latn-BA"/>
        </w:rPr>
        <w:t xml:space="preserve"> 2024. </w:t>
      </w:r>
      <w:r>
        <w:rPr>
          <w:rFonts w:ascii="Times New Roman" w:hAnsi="Times New Roman"/>
          <w:szCs w:val="24"/>
          <w:lang w:val="bs-Latn-BA"/>
        </w:rPr>
        <w:t>године</w:t>
      </w:r>
      <w:r w:rsidR="001379C1" w:rsidRPr="00295637">
        <w:rPr>
          <w:rFonts w:ascii="Times New Roman" w:hAnsi="Times New Roman"/>
          <w:szCs w:val="24"/>
          <w:lang w:val="bs-Latn-BA"/>
        </w:rPr>
        <w:t xml:space="preserve"> </w:t>
      </w:r>
      <w:r>
        <w:rPr>
          <w:rFonts w:ascii="Times New Roman" w:hAnsi="Times New Roman"/>
          <w:szCs w:val="24"/>
          <w:lang w:val="bs-Latn-BA"/>
        </w:rPr>
        <w:t>о</w:t>
      </w:r>
      <w:r w:rsidR="001379C1" w:rsidRPr="00295637">
        <w:rPr>
          <w:rFonts w:ascii="Times New Roman" w:hAnsi="Times New Roman"/>
          <w:szCs w:val="24"/>
          <w:lang w:val="bs-Latn-BA"/>
        </w:rPr>
        <w:t xml:space="preserve"> </w:t>
      </w:r>
      <w:r>
        <w:rPr>
          <w:rFonts w:ascii="Times New Roman" w:hAnsi="Times New Roman"/>
          <w:szCs w:val="24"/>
          <w:lang w:val="bs-Latn-BA"/>
        </w:rPr>
        <w:t>сузбијању</w:t>
      </w:r>
      <w:r w:rsidR="001379C1" w:rsidRPr="00295637">
        <w:rPr>
          <w:rFonts w:ascii="Times New Roman" w:hAnsi="Times New Roman"/>
          <w:szCs w:val="24"/>
          <w:lang w:val="bs-Latn-BA"/>
        </w:rPr>
        <w:t xml:space="preserve"> </w:t>
      </w:r>
      <w:r>
        <w:rPr>
          <w:rFonts w:ascii="Times New Roman" w:hAnsi="Times New Roman"/>
          <w:szCs w:val="24"/>
          <w:lang w:val="bs-Latn-BA"/>
        </w:rPr>
        <w:t>насиља</w:t>
      </w:r>
      <w:r w:rsidR="001379C1" w:rsidRPr="00295637">
        <w:rPr>
          <w:rFonts w:ascii="Times New Roman" w:hAnsi="Times New Roman"/>
          <w:szCs w:val="24"/>
          <w:lang w:val="bs-Latn-BA"/>
        </w:rPr>
        <w:t xml:space="preserve"> </w:t>
      </w:r>
      <w:r>
        <w:rPr>
          <w:rFonts w:ascii="Times New Roman" w:hAnsi="Times New Roman"/>
          <w:szCs w:val="24"/>
          <w:lang w:val="bs-Latn-BA"/>
        </w:rPr>
        <w:t>над</w:t>
      </w:r>
      <w:r w:rsidR="001379C1" w:rsidRPr="00295637">
        <w:rPr>
          <w:rFonts w:ascii="Times New Roman" w:hAnsi="Times New Roman"/>
          <w:szCs w:val="24"/>
          <w:lang w:val="bs-Latn-BA"/>
        </w:rPr>
        <w:t xml:space="preserve"> </w:t>
      </w:r>
      <w:r>
        <w:rPr>
          <w:rFonts w:ascii="Times New Roman" w:hAnsi="Times New Roman"/>
          <w:szCs w:val="24"/>
          <w:lang w:val="bs-Latn-BA"/>
        </w:rPr>
        <w:t>женама</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насиља</w:t>
      </w:r>
      <w:r w:rsidR="001379C1" w:rsidRPr="00295637">
        <w:rPr>
          <w:rFonts w:ascii="Times New Roman" w:hAnsi="Times New Roman"/>
          <w:szCs w:val="24"/>
          <w:lang w:val="bs-Latn-BA"/>
        </w:rPr>
        <w:t xml:space="preserve"> </w:t>
      </w:r>
      <w:r>
        <w:rPr>
          <w:rFonts w:ascii="Times New Roman" w:hAnsi="Times New Roman"/>
          <w:szCs w:val="24"/>
          <w:lang w:val="bs-Latn-BA"/>
        </w:rPr>
        <w:t>у</w:t>
      </w:r>
      <w:r w:rsidR="001379C1" w:rsidRPr="00295637">
        <w:rPr>
          <w:rFonts w:ascii="Times New Roman" w:hAnsi="Times New Roman"/>
          <w:szCs w:val="24"/>
          <w:lang w:val="bs-Latn-BA"/>
        </w:rPr>
        <w:t xml:space="preserve"> </w:t>
      </w:r>
      <w:r>
        <w:rPr>
          <w:rFonts w:ascii="Times New Roman" w:hAnsi="Times New Roman"/>
          <w:szCs w:val="24"/>
          <w:lang w:val="bs-Latn-BA"/>
        </w:rPr>
        <w:t>породици</w:t>
      </w:r>
      <w:r w:rsidR="001379C1" w:rsidRPr="00295637">
        <w:rPr>
          <w:rFonts w:ascii="Times New Roman" w:hAnsi="Times New Roman"/>
          <w:szCs w:val="24"/>
          <w:lang w:val="bs-Latn-BA"/>
        </w:rPr>
        <w:t xml:space="preserve"> (</w:t>
      </w:r>
      <w:r w:rsidR="00745640" w:rsidRPr="00745640">
        <w:rPr>
          <w:rFonts w:ascii="Times New Roman" w:hAnsi="Times New Roman"/>
          <w:i/>
          <w:szCs w:val="24"/>
          <w:lang w:val="bs-Latn-BA"/>
        </w:rPr>
        <w:t>SL L2024/1385</w:t>
      </w:r>
      <w:r w:rsidR="001379C1" w:rsidRPr="00295637">
        <w:rPr>
          <w:rFonts w:ascii="Times New Roman" w:hAnsi="Times New Roman"/>
          <w:szCs w:val="24"/>
          <w:lang w:val="bs-Latn-BA"/>
        </w:rPr>
        <w:t>)</w:t>
      </w:r>
      <w:r w:rsidR="00C04A6B">
        <w:rPr>
          <w:rFonts w:ascii="Times New Roman" w:hAnsi="Times New Roman"/>
          <w:szCs w:val="24"/>
          <w:lang w:val="bs-Latn-BA"/>
        </w:rPr>
        <w:t>;</w:t>
      </w:r>
      <w:r w:rsidR="001379C1" w:rsidRPr="00295637">
        <w:rPr>
          <w:rFonts w:ascii="Times New Roman" w:hAnsi="Times New Roman"/>
          <w:szCs w:val="24"/>
          <w:lang w:val="bs-Latn-BA"/>
        </w:rPr>
        <w:t xml:space="preserve"> </w:t>
      </w:r>
    </w:p>
    <w:p w:rsidR="001379C1" w:rsidRPr="00295637" w:rsidRDefault="00C6214E" w:rsidP="0086268D">
      <w:pPr>
        <w:pStyle w:val="ListParagraph"/>
        <w:numPr>
          <w:ilvl w:val="0"/>
          <w:numId w:val="20"/>
        </w:numPr>
        <w:ind w:left="1440"/>
        <w:jc w:val="both"/>
        <w:rPr>
          <w:rFonts w:ascii="Times New Roman" w:hAnsi="Times New Roman"/>
          <w:szCs w:val="24"/>
          <w:lang w:val="bs-Latn-BA"/>
        </w:rPr>
      </w:pPr>
      <w:r>
        <w:rPr>
          <w:rFonts w:ascii="Times New Roman" w:hAnsi="Times New Roman"/>
          <w:szCs w:val="24"/>
        </w:rPr>
        <w:t>Закон</w:t>
      </w:r>
      <w:r w:rsidR="001379C1" w:rsidRPr="00295637">
        <w:rPr>
          <w:rFonts w:ascii="Times New Roman" w:hAnsi="Times New Roman"/>
          <w:szCs w:val="24"/>
        </w:rPr>
        <w:t xml:space="preserve"> </w:t>
      </w:r>
      <w:r>
        <w:rPr>
          <w:rFonts w:ascii="Times New Roman" w:hAnsi="Times New Roman"/>
          <w:szCs w:val="24"/>
        </w:rPr>
        <w:t>о</w:t>
      </w:r>
      <w:r w:rsidR="001379C1" w:rsidRPr="00295637">
        <w:rPr>
          <w:rFonts w:ascii="Times New Roman" w:hAnsi="Times New Roman"/>
          <w:szCs w:val="24"/>
        </w:rPr>
        <w:t xml:space="preserve"> </w:t>
      </w:r>
      <w:r>
        <w:rPr>
          <w:rFonts w:ascii="Times New Roman" w:hAnsi="Times New Roman"/>
          <w:szCs w:val="24"/>
        </w:rPr>
        <w:t>подстицању</w:t>
      </w:r>
      <w:r w:rsidR="001379C1" w:rsidRPr="00295637">
        <w:rPr>
          <w:rFonts w:ascii="Times New Roman" w:hAnsi="Times New Roman"/>
          <w:szCs w:val="24"/>
        </w:rPr>
        <w:t xml:space="preserve"> </w:t>
      </w:r>
      <w:r>
        <w:rPr>
          <w:rFonts w:ascii="Times New Roman" w:hAnsi="Times New Roman"/>
          <w:szCs w:val="24"/>
        </w:rPr>
        <w:t>развоја</w:t>
      </w:r>
      <w:r w:rsidR="001379C1" w:rsidRPr="00295637">
        <w:rPr>
          <w:rFonts w:ascii="Times New Roman" w:hAnsi="Times New Roman"/>
          <w:szCs w:val="24"/>
        </w:rPr>
        <w:t xml:space="preserve"> </w:t>
      </w:r>
      <w:r>
        <w:rPr>
          <w:rFonts w:ascii="Times New Roman" w:hAnsi="Times New Roman"/>
          <w:szCs w:val="24"/>
        </w:rPr>
        <w:t>мале</w:t>
      </w:r>
      <w:r w:rsidR="001379C1" w:rsidRPr="00295637">
        <w:rPr>
          <w:rFonts w:ascii="Times New Roman" w:hAnsi="Times New Roman"/>
          <w:szCs w:val="24"/>
        </w:rPr>
        <w:t xml:space="preserve"> </w:t>
      </w:r>
      <w:r>
        <w:rPr>
          <w:rFonts w:ascii="Times New Roman" w:hAnsi="Times New Roman"/>
          <w:szCs w:val="24"/>
        </w:rPr>
        <w:t>привреде</w:t>
      </w:r>
      <w:r w:rsidR="001379C1" w:rsidRPr="00295637">
        <w:rPr>
          <w:rFonts w:ascii="Times New Roman" w:hAnsi="Times New Roman"/>
          <w:szCs w:val="24"/>
        </w:rPr>
        <w:t xml:space="preserve"> (</w:t>
      </w:r>
      <w:r w:rsidR="00C04A6B">
        <w:rPr>
          <w:rFonts w:ascii="Times New Roman" w:hAnsi="Times New Roman"/>
          <w:szCs w:val="24"/>
        </w:rPr>
        <w:t>„</w:t>
      </w:r>
      <w:r>
        <w:rPr>
          <w:rFonts w:ascii="Times New Roman" w:hAnsi="Times New Roman"/>
          <w:szCs w:val="24"/>
          <w:lang w:val="hr-HR"/>
        </w:rPr>
        <w:t>Службене</w:t>
      </w:r>
      <w:r w:rsidR="001379C1" w:rsidRPr="00295637">
        <w:rPr>
          <w:rFonts w:ascii="Times New Roman" w:hAnsi="Times New Roman"/>
          <w:szCs w:val="24"/>
          <w:lang w:val="hr-HR"/>
        </w:rPr>
        <w:t xml:space="preserve"> </w:t>
      </w:r>
      <w:r>
        <w:rPr>
          <w:rFonts w:ascii="Times New Roman" w:hAnsi="Times New Roman"/>
          <w:szCs w:val="24"/>
          <w:lang w:val="hr-HR"/>
        </w:rPr>
        <w:t>новине</w:t>
      </w:r>
      <w:r w:rsidR="001379C1" w:rsidRPr="00295637">
        <w:rPr>
          <w:rFonts w:ascii="Times New Roman" w:hAnsi="Times New Roman"/>
          <w:szCs w:val="24"/>
          <w:lang w:val="hr-HR"/>
        </w:rPr>
        <w:t xml:space="preserve"> </w:t>
      </w:r>
      <w:r>
        <w:rPr>
          <w:rFonts w:ascii="Times New Roman" w:hAnsi="Times New Roman"/>
          <w:szCs w:val="24"/>
          <w:lang w:val="hr-HR"/>
        </w:rPr>
        <w:t>Федерације</w:t>
      </w:r>
      <w:r w:rsidR="009E54A2" w:rsidRPr="00295637">
        <w:rPr>
          <w:rFonts w:ascii="Times New Roman" w:hAnsi="Times New Roman"/>
          <w:szCs w:val="24"/>
          <w:lang w:val="hr-HR"/>
        </w:rPr>
        <w:t xml:space="preserve"> </w:t>
      </w:r>
      <w:r>
        <w:rPr>
          <w:rFonts w:ascii="Times New Roman" w:hAnsi="Times New Roman"/>
          <w:szCs w:val="24"/>
          <w:lang w:val="hr-HR"/>
        </w:rPr>
        <w:t>БиХ</w:t>
      </w:r>
      <w:r w:rsidR="00C04A6B">
        <w:rPr>
          <w:rFonts w:ascii="Times New Roman" w:hAnsi="Times New Roman"/>
          <w:szCs w:val="24"/>
          <w:lang w:val="hr-HR"/>
        </w:rPr>
        <w:t>“</w:t>
      </w:r>
      <w:r w:rsidR="001379C1" w:rsidRPr="00295637">
        <w:rPr>
          <w:rFonts w:ascii="Times New Roman" w:hAnsi="Times New Roman"/>
          <w:szCs w:val="24"/>
          <w:lang w:val="hr-HR"/>
        </w:rPr>
        <w:t xml:space="preserve">, </w:t>
      </w:r>
      <w:r>
        <w:rPr>
          <w:rFonts w:ascii="Times New Roman" w:hAnsi="Times New Roman"/>
          <w:szCs w:val="24"/>
          <w:lang w:val="hr-HR"/>
        </w:rPr>
        <w:t>број</w:t>
      </w:r>
      <w:r w:rsidR="001379C1" w:rsidRPr="00295637">
        <w:rPr>
          <w:rFonts w:ascii="Times New Roman" w:hAnsi="Times New Roman"/>
          <w:szCs w:val="24"/>
          <w:lang w:val="hr-HR"/>
        </w:rPr>
        <w:t xml:space="preserve"> 39/2024)</w:t>
      </w:r>
      <w:r w:rsidR="00C04A6B">
        <w:rPr>
          <w:rFonts w:ascii="Times New Roman" w:hAnsi="Times New Roman"/>
          <w:szCs w:val="24"/>
          <w:lang w:val="hr-HR"/>
        </w:rPr>
        <w:t>;</w:t>
      </w:r>
    </w:p>
    <w:p w:rsidR="001379C1" w:rsidRPr="00295637" w:rsidRDefault="00C6214E" w:rsidP="0086268D">
      <w:pPr>
        <w:pStyle w:val="ListParagraph"/>
        <w:numPr>
          <w:ilvl w:val="0"/>
          <w:numId w:val="20"/>
        </w:numPr>
        <w:ind w:left="1440"/>
        <w:jc w:val="both"/>
        <w:rPr>
          <w:rFonts w:ascii="Times New Roman" w:hAnsi="Times New Roman"/>
          <w:szCs w:val="24"/>
          <w:lang w:val="bs-Latn-BA"/>
        </w:rPr>
      </w:pPr>
      <w:r>
        <w:rPr>
          <w:rFonts w:ascii="Times New Roman" w:hAnsi="Times New Roman"/>
          <w:szCs w:val="24"/>
        </w:rPr>
        <w:t>Закон</w:t>
      </w:r>
      <w:r w:rsidR="001379C1" w:rsidRPr="00295637">
        <w:rPr>
          <w:rFonts w:ascii="Times New Roman" w:hAnsi="Times New Roman"/>
          <w:szCs w:val="24"/>
        </w:rPr>
        <w:t xml:space="preserve"> </w:t>
      </w:r>
      <w:r>
        <w:rPr>
          <w:rFonts w:ascii="Times New Roman" w:hAnsi="Times New Roman"/>
          <w:szCs w:val="24"/>
        </w:rPr>
        <w:t>о</w:t>
      </w:r>
      <w:r w:rsidR="001379C1" w:rsidRPr="00295637">
        <w:rPr>
          <w:rFonts w:ascii="Times New Roman" w:hAnsi="Times New Roman"/>
          <w:szCs w:val="24"/>
        </w:rPr>
        <w:t xml:space="preserve"> </w:t>
      </w:r>
      <w:r>
        <w:rPr>
          <w:rFonts w:ascii="Times New Roman" w:hAnsi="Times New Roman"/>
          <w:szCs w:val="24"/>
        </w:rPr>
        <w:t>предузетничкој</w:t>
      </w:r>
      <w:r w:rsidR="001379C1" w:rsidRPr="00295637">
        <w:rPr>
          <w:rFonts w:ascii="Times New Roman" w:hAnsi="Times New Roman"/>
          <w:szCs w:val="24"/>
        </w:rPr>
        <w:t xml:space="preserve"> </w:t>
      </w:r>
      <w:r>
        <w:rPr>
          <w:rFonts w:ascii="Times New Roman" w:hAnsi="Times New Roman"/>
          <w:szCs w:val="24"/>
        </w:rPr>
        <w:t>инфраструктури</w:t>
      </w:r>
      <w:r w:rsidR="001379C1" w:rsidRPr="00295637">
        <w:rPr>
          <w:rFonts w:ascii="Times New Roman" w:hAnsi="Times New Roman"/>
          <w:szCs w:val="24"/>
        </w:rPr>
        <w:t xml:space="preserve"> (</w:t>
      </w:r>
      <w:r w:rsidR="00C04A6B">
        <w:rPr>
          <w:rFonts w:ascii="Times New Roman" w:hAnsi="Times New Roman"/>
          <w:szCs w:val="24"/>
        </w:rPr>
        <w:t>„</w:t>
      </w:r>
      <w:r>
        <w:rPr>
          <w:rFonts w:ascii="Times New Roman" w:hAnsi="Times New Roman"/>
          <w:szCs w:val="24"/>
        </w:rPr>
        <w:t>Службене</w:t>
      </w:r>
      <w:r w:rsidR="001379C1" w:rsidRPr="00295637">
        <w:rPr>
          <w:rFonts w:ascii="Times New Roman" w:hAnsi="Times New Roman"/>
          <w:szCs w:val="24"/>
        </w:rPr>
        <w:t xml:space="preserve"> </w:t>
      </w:r>
      <w:r>
        <w:rPr>
          <w:rFonts w:ascii="Times New Roman" w:hAnsi="Times New Roman"/>
          <w:szCs w:val="24"/>
        </w:rPr>
        <w:t>новине</w:t>
      </w:r>
      <w:r w:rsidR="001379C1" w:rsidRPr="00295637">
        <w:rPr>
          <w:rFonts w:ascii="Times New Roman" w:hAnsi="Times New Roman"/>
          <w:szCs w:val="24"/>
        </w:rPr>
        <w:t xml:space="preserve"> </w:t>
      </w:r>
      <w:r>
        <w:rPr>
          <w:rFonts w:ascii="Times New Roman" w:hAnsi="Times New Roman"/>
          <w:szCs w:val="24"/>
        </w:rPr>
        <w:t>Федерације</w:t>
      </w:r>
      <w:r w:rsidR="009E54A2" w:rsidRPr="00295637">
        <w:rPr>
          <w:rFonts w:ascii="Times New Roman" w:hAnsi="Times New Roman"/>
          <w:szCs w:val="24"/>
        </w:rPr>
        <w:t xml:space="preserve"> </w:t>
      </w:r>
      <w:r>
        <w:rPr>
          <w:rFonts w:ascii="Times New Roman" w:hAnsi="Times New Roman"/>
          <w:szCs w:val="24"/>
        </w:rPr>
        <w:t>БиХ</w:t>
      </w:r>
      <w:r w:rsidR="00C04A6B">
        <w:rPr>
          <w:rFonts w:ascii="Times New Roman" w:hAnsi="Times New Roman"/>
          <w:szCs w:val="24"/>
        </w:rPr>
        <w:t>“,</w:t>
      </w:r>
      <w:r w:rsidR="001379C1" w:rsidRPr="00295637">
        <w:rPr>
          <w:rFonts w:ascii="Times New Roman" w:hAnsi="Times New Roman"/>
          <w:szCs w:val="24"/>
        </w:rPr>
        <w:t xml:space="preserve"> </w:t>
      </w:r>
      <w:r>
        <w:rPr>
          <w:rFonts w:ascii="Times New Roman" w:hAnsi="Times New Roman"/>
          <w:szCs w:val="24"/>
        </w:rPr>
        <w:t>број</w:t>
      </w:r>
      <w:r w:rsidR="001379C1" w:rsidRPr="00295637">
        <w:rPr>
          <w:rFonts w:ascii="Times New Roman" w:hAnsi="Times New Roman"/>
          <w:szCs w:val="24"/>
        </w:rPr>
        <w:t xml:space="preserve"> 41/24)</w:t>
      </w:r>
      <w:r w:rsidR="00C04A6B">
        <w:rPr>
          <w:rFonts w:ascii="Times New Roman" w:hAnsi="Times New Roman"/>
          <w:szCs w:val="24"/>
        </w:rPr>
        <w:t>;</w:t>
      </w:r>
    </w:p>
    <w:p w:rsidR="001379C1" w:rsidRPr="00295637" w:rsidRDefault="00C6214E" w:rsidP="0086268D">
      <w:pPr>
        <w:pStyle w:val="ListParagraph"/>
        <w:numPr>
          <w:ilvl w:val="0"/>
          <w:numId w:val="20"/>
        </w:numPr>
        <w:ind w:left="1440"/>
        <w:jc w:val="both"/>
        <w:rPr>
          <w:rFonts w:ascii="Times New Roman" w:hAnsi="Times New Roman"/>
          <w:szCs w:val="24"/>
          <w:lang w:val="bs-Latn-BA"/>
        </w:rPr>
      </w:pPr>
      <w:r>
        <w:rPr>
          <w:rFonts w:ascii="Times New Roman" w:hAnsi="Times New Roman"/>
          <w:szCs w:val="24"/>
          <w:lang w:val="bs-Latn-BA"/>
        </w:rPr>
        <w:t>План</w:t>
      </w:r>
      <w:r w:rsidR="001379C1" w:rsidRPr="00295637">
        <w:rPr>
          <w:rFonts w:ascii="Times New Roman" w:hAnsi="Times New Roman"/>
          <w:szCs w:val="24"/>
          <w:lang w:val="bs-Latn-BA"/>
        </w:rPr>
        <w:t xml:space="preserve"> </w:t>
      </w:r>
      <w:r>
        <w:rPr>
          <w:rFonts w:ascii="Times New Roman" w:hAnsi="Times New Roman"/>
          <w:szCs w:val="24"/>
          <w:lang w:val="bs-Latn-BA"/>
        </w:rPr>
        <w:t>статистичких</w:t>
      </w:r>
      <w:r w:rsidR="001379C1" w:rsidRPr="00295637">
        <w:rPr>
          <w:rFonts w:ascii="Times New Roman" w:hAnsi="Times New Roman"/>
          <w:szCs w:val="24"/>
          <w:lang w:val="bs-Latn-BA"/>
        </w:rPr>
        <w:t xml:space="preserve"> </w:t>
      </w:r>
      <w:r>
        <w:rPr>
          <w:rFonts w:ascii="Times New Roman" w:hAnsi="Times New Roman"/>
          <w:szCs w:val="24"/>
          <w:lang w:val="bs-Latn-BA"/>
        </w:rPr>
        <w:t>истраживања</w:t>
      </w:r>
      <w:r w:rsidR="001379C1" w:rsidRPr="00295637">
        <w:rPr>
          <w:rFonts w:ascii="Times New Roman" w:hAnsi="Times New Roman"/>
          <w:szCs w:val="24"/>
          <w:lang w:val="bs-Latn-BA"/>
        </w:rPr>
        <w:t xml:space="preserve"> </w:t>
      </w:r>
      <w:r>
        <w:rPr>
          <w:rFonts w:ascii="Times New Roman" w:hAnsi="Times New Roman"/>
          <w:szCs w:val="24"/>
          <w:lang w:val="bs-Latn-BA"/>
        </w:rPr>
        <w:t>од</w:t>
      </w:r>
      <w:r w:rsidR="001379C1" w:rsidRPr="00295637">
        <w:rPr>
          <w:rFonts w:ascii="Times New Roman" w:hAnsi="Times New Roman"/>
          <w:szCs w:val="24"/>
          <w:lang w:val="bs-Latn-BA"/>
        </w:rPr>
        <w:t xml:space="preserve"> </w:t>
      </w:r>
      <w:r>
        <w:rPr>
          <w:rFonts w:ascii="Times New Roman" w:hAnsi="Times New Roman"/>
          <w:szCs w:val="24"/>
          <w:lang w:val="bs-Latn-BA"/>
        </w:rPr>
        <w:t>интереса</w:t>
      </w:r>
      <w:r w:rsidR="001379C1" w:rsidRPr="00295637">
        <w:rPr>
          <w:rFonts w:ascii="Times New Roman" w:hAnsi="Times New Roman"/>
          <w:szCs w:val="24"/>
          <w:lang w:val="bs-Latn-BA"/>
        </w:rPr>
        <w:t xml:space="preserve"> </w:t>
      </w:r>
      <w:r>
        <w:rPr>
          <w:rFonts w:ascii="Times New Roman" w:hAnsi="Times New Roman"/>
          <w:szCs w:val="24"/>
          <w:lang w:val="bs-Latn-BA"/>
        </w:rPr>
        <w:t>за</w:t>
      </w:r>
      <w:r w:rsidR="001379C1" w:rsidRPr="00295637">
        <w:rPr>
          <w:rFonts w:ascii="Times New Roman" w:hAnsi="Times New Roman"/>
          <w:szCs w:val="24"/>
          <w:lang w:val="bs-Latn-BA"/>
        </w:rPr>
        <w:t xml:space="preserve"> </w:t>
      </w:r>
      <w:r>
        <w:rPr>
          <w:rFonts w:ascii="Times New Roman" w:hAnsi="Times New Roman"/>
          <w:szCs w:val="24"/>
          <w:lang w:val="bs-Latn-BA"/>
        </w:rPr>
        <w:t>Федерацију</w:t>
      </w:r>
      <w:r w:rsidR="001379C1" w:rsidRPr="00295637">
        <w:rPr>
          <w:rFonts w:ascii="Times New Roman" w:hAnsi="Times New Roman"/>
          <w:szCs w:val="24"/>
          <w:lang w:val="bs-Latn-BA"/>
        </w:rPr>
        <w:t xml:space="preserve"> </w:t>
      </w:r>
      <w:r>
        <w:rPr>
          <w:rFonts w:ascii="Times New Roman" w:hAnsi="Times New Roman"/>
          <w:szCs w:val="24"/>
          <w:lang w:val="bs-Latn-BA"/>
        </w:rPr>
        <w:t>Босне</w:t>
      </w:r>
      <w:r w:rsidR="001379C1" w:rsidRPr="00295637">
        <w:rPr>
          <w:rFonts w:ascii="Times New Roman" w:hAnsi="Times New Roman"/>
          <w:szCs w:val="24"/>
          <w:lang w:val="bs-Latn-BA"/>
        </w:rPr>
        <w:t xml:space="preserve"> </w:t>
      </w:r>
      <w:r>
        <w:rPr>
          <w:rFonts w:ascii="Times New Roman" w:hAnsi="Times New Roman"/>
          <w:szCs w:val="24"/>
          <w:lang w:val="bs-Latn-BA"/>
        </w:rPr>
        <w:t>и</w:t>
      </w:r>
      <w:r w:rsidR="001379C1" w:rsidRPr="00295637">
        <w:rPr>
          <w:rFonts w:ascii="Times New Roman" w:hAnsi="Times New Roman"/>
          <w:szCs w:val="24"/>
          <w:lang w:val="bs-Latn-BA"/>
        </w:rPr>
        <w:t xml:space="preserve"> </w:t>
      </w:r>
      <w:r>
        <w:rPr>
          <w:rFonts w:ascii="Times New Roman" w:hAnsi="Times New Roman"/>
          <w:szCs w:val="24"/>
          <w:lang w:val="bs-Latn-BA"/>
        </w:rPr>
        <w:t>Херцеговине</w:t>
      </w:r>
      <w:r w:rsidR="001379C1" w:rsidRPr="00295637">
        <w:rPr>
          <w:rFonts w:ascii="Times New Roman" w:hAnsi="Times New Roman"/>
          <w:szCs w:val="24"/>
          <w:lang w:val="bs-Latn-BA"/>
        </w:rPr>
        <w:t xml:space="preserve"> </w:t>
      </w:r>
      <w:r>
        <w:rPr>
          <w:rFonts w:ascii="Times New Roman" w:hAnsi="Times New Roman"/>
          <w:szCs w:val="24"/>
          <w:lang w:val="bs-Latn-BA"/>
        </w:rPr>
        <w:t>за</w:t>
      </w:r>
      <w:r w:rsidR="001379C1" w:rsidRPr="00295637">
        <w:rPr>
          <w:rFonts w:ascii="Times New Roman" w:hAnsi="Times New Roman"/>
          <w:szCs w:val="24"/>
          <w:lang w:val="bs-Latn-BA"/>
        </w:rPr>
        <w:t xml:space="preserve"> 2024. </w:t>
      </w:r>
      <w:r>
        <w:rPr>
          <w:rFonts w:ascii="Times New Roman" w:hAnsi="Times New Roman"/>
          <w:szCs w:val="24"/>
          <w:lang w:val="bs-Latn-BA"/>
        </w:rPr>
        <w:t>годину</w:t>
      </w:r>
      <w:r w:rsidR="001379C1" w:rsidRPr="00295637">
        <w:rPr>
          <w:rFonts w:ascii="Times New Roman" w:hAnsi="Times New Roman"/>
          <w:szCs w:val="24"/>
          <w:lang w:val="bs-Latn-BA"/>
        </w:rPr>
        <w:t xml:space="preserve"> (“</w:t>
      </w:r>
      <w:r>
        <w:rPr>
          <w:rFonts w:ascii="Times New Roman" w:hAnsi="Times New Roman"/>
          <w:szCs w:val="24"/>
          <w:lang w:val="bs-Latn-BA"/>
        </w:rPr>
        <w:t>Службене</w:t>
      </w:r>
      <w:r w:rsidR="001379C1" w:rsidRPr="00295637">
        <w:rPr>
          <w:rFonts w:ascii="Times New Roman" w:hAnsi="Times New Roman"/>
          <w:szCs w:val="24"/>
          <w:lang w:val="bs-Latn-BA"/>
        </w:rPr>
        <w:t xml:space="preserve"> </w:t>
      </w:r>
      <w:r>
        <w:rPr>
          <w:rFonts w:ascii="Times New Roman" w:hAnsi="Times New Roman"/>
          <w:szCs w:val="24"/>
          <w:lang w:val="bs-Latn-BA"/>
        </w:rPr>
        <w:t>новине</w:t>
      </w:r>
      <w:r w:rsidR="001379C1" w:rsidRPr="00295637">
        <w:rPr>
          <w:rFonts w:ascii="Times New Roman" w:hAnsi="Times New Roman"/>
          <w:szCs w:val="24"/>
          <w:lang w:val="bs-Latn-BA"/>
        </w:rPr>
        <w:t xml:space="preserve"> </w:t>
      </w:r>
      <w:r>
        <w:rPr>
          <w:rFonts w:ascii="Times New Roman" w:hAnsi="Times New Roman"/>
          <w:szCs w:val="24"/>
          <w:lang w:val="bs-Latn-BA"/>
        </w:rPr>
        <w:t>Федерације</w:t>
      </w:r>
      <w:r w:rsidR="00C04A6B">
        <w:rPr>
          <w:rFonts w:ascii="Times New Roman" w:hAnsi="Times New Roman"/>
          <w:szCs w:val="24"/>
          <w:lang w:val="bs-Latn-BA"/>
        </w:rPr>
        <w:t xml:space="preserve"> </w:t>
      </w:r>
      <w:r>
        <w:rPr>
          <w:rFonts w:ascii="Times New Roman" w:hAnsi="Times New Roman"/>
          <w:szCs w:val="24"/>
          <w:lang w:val="bs-Latn-BA"/>
        </w:rPr>
        <w:t>БиХ</w:t>
      </w:r>
      <w:r w:rsidR="001379C1" w:rsidRPr="00295637">
        <w:rPr>
          <w:rFonts w:ascii="Times New Roman" w:hAnsi="Times New Roman"/>
          <w:szCs w:val="24"/>
          <w:lang w:val="bs-Latn-BA"/>
        </w:rPr>
        <w:t xml:space="preserve">“, </w:t>
      </w:r>
      <w:r>
        <w:rPr>
          <w:rFonts w:ascii="Times New Roman" w:hAnsi="Times New Roman"/>
          <w:szCs w:val="24"/>
          <w:lang w:val="bs-Latn-BA"/>
        </w:rPr>
        <w:t>број</w:t>
      </w:r>
      <w:r w:rsidR="001379C1" w:rsidRPr="00295637">
        <w:rPr>
          <w:rFonts w:ascii="Times New Roman" w:hAnsi="Times New Roman"/>
          <w:szCs w:val="24"/>
          <w:lang w:val="bs-Latn-BA"/>
        </w:rPr>
        <w:t xml:space="preserve"> 101/23)</w:t>
      </w:r>
      <w:r w:rsidR="00C04A6B">
        <w:rPr>
          <w:rFonts w:ascii="Times New Roman" w:hAnsi="Times New Roman"/>
          <w:szCs w:val="24"/>
          <w:lang w:val="bs-Latn-BA"/>
        </w:rPr>
        <w:t>.</w:t>
      </w:r>
    </w:p>
    <w:p w:rsidR="004E6CFB" w:rsidRPr="007F3934" w:rsidRDefault="004E6CFB" w:rsidP="0086268D">
      <w:pPr>
        <w:ind w:hanging="360"/>
        <w:rPr>
          <w:rFonts w:ascii="Times New Roman" w:hAnsi="Times New Roman"/>
          <w:b/>
          <w:szCs w:val="24"/>
          <w:lang w:val="bs-Latn-BA"/>
        </w:rPr>
      </w:pPr>
    </w:p>
    <w:sectPr w:rsidR="004E6CFB" w:rsidRPr="007F3934" w:rsidSect="005E7E42">
      <w:footerReference w:type="default" r:id="rId17"/>
      <w:pgSz w:w="11906" w:h="16838" w:code="9"/>
      <w:pgMar w:top="1080" w:right="991" w:bottom="850" w:left="108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672" w:rsidRDefault="00436672">
      <w:r>
        <w:separator/>
      </w:r>
    </w:p>
  </w:endnote>
  <w:endnote w:type="continuationSeparator" w:id="0">
    <w:p w:rsidR="00436672" w:rsidRDefault="00436672">
      <w:r>
        <w:continuationSeparator/>
      </w:r>
    </w:p>
  </w:endnote>
  <w:endnote w:type="continuationNotice" w:id="1">
    <w:p w:rsidR="00436672" w:rsidRDefault="00436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EE"/>
    <w:family w:val="swiss"/>
    <w:pitch w:val="variable"/>
    <w:sig w:usb0="00000007" w:usb1="00000000" w:usb2="00000000" w:usb3="00000000" w:csb0="00000003" w:csb1="00000000"/>
  </w:font>
  <w:font w:name="Aptos">
    <w:altName w:val="Arial"/>
    <w:charset w:val="00"/>
    <w:family w:val="swiss"/>
    <w:pitch w:val="variable"/>
    <w:sig w:usb0="20000287" w:usb1="00000003" w:usb2="00000000" w:usb3="00000000" w:csb0="0000019F" w:csb1="00000000"/>
  </w:font>
  <w:font w:name="GothamNarrow-Book">
    <w:altName w:val="Times New Roman"/>
    <w:panose1 w:val="00000000000000000000"/>
    <w:charset w:val="00"/>
    <w:family w:val="roman"/>
    <w:notTrueType/>
    <w:pitch w:val="default"/>
  </w:font>
  <w:font w:name="BundesSansOfficeT">
    <w:altName w:val="Times New Roman"/>
    <w:panose1 w:val="00000000000000000000"/>
    <w:charset w:val="EE"/>
    <w:family w:val="auto"/>
    <w:notTrueType/>
    <w:pitch w:val="default"/>
    <w:sig w:usb0="00000005" w:usb1="00000000" w:usb2="00000000" w:usb3="00000000" w:csb0="00000002" w:csb1="00000000"/>
  </w:font>
  <w:font w:name="Roboto">
    <w:altName w:val="Times New Roman"/>
    <w:charset w:val="00"/>
    <w:family w:val="auto"/>
    <w:pitch w:val="variable"/>
    <w:sig w:usb0="E0000AFF" w:usb1="5000217F" w:usb2="00000021" w:usb3="00000000" w:csb0="0000019F" w:csb1="00000000"/>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28075"/>
      <w:docPartObj>
        <w:docPartGallery w:val="Page Numbers (Bottom of Page)"/>
        <w:docPartUnique/>
      </w:docPartObj>
    </w:sdtPr>
    <w:sdtEndPr>
      <w:rPr>
        <w:rFonts w:ascii="Times New Roman" w:hAnsi="Times New Roman"/>
        <w:noProof/>
      </w:rPr>
    </w:sdtEndPr>
    <w:sdtContent>
      <w:p w:rsidR="00EB31AF" w:rsidRPr="00355664" w:rsidRDefault="00EB31AF">
        <w:pPr>
          <w:pStyle w:val="Footer"/>
          <w:jc w:val="right"/>
          <w:rPr>
            <w:rFonts w:ascii="Times New Roman" w:hAnsi="Times New Roman"/>
          </w:rPr>
        </w:pPr>
        <w:r w:rsidRPr="00355664">
          <w:rPr>
            <w:rFonts w:ascii="Times New Roman" w:hAnsi="Times New Roman"/>
          </w:rPr>
          <w:fldChar w:fldCharType="begin"/>
        </w:r>
        <w:r w:rsidRPr="00355664">
          <w:rPr>
            <w:rFonts w:ascii="Times New Roman" w:hAnsi="Times New Roman"/>
          </w:rPr>
          <w:instrText xml:space="preserve"> PAGE   \* MERGEFORMAT </w:instrText>
        </w:r>
        <w:r w:rsidRPr="00355664">
          <w:rPr>
            <w:rFonts w:ascii="Times New Roman" w:hAnsi="Times New Roman"/>
          </w:rPr>
          <w:fldChar w:fldCharType="separate"/>
        </w:r>
        <w:r w:rsidR="00951F48">
          <w:rPr>
            <w:rFonts w:ascii="Times New Roman" w:hAnsi="Times New Roman"/>
            <w:noProof/>
          </w:rPr>
          <w:t>104</w:t>
        </w:r>
        <w:r w:rsidRPr="00355664">
          <w:rPr>
            <w:rFonts w:ascii="Times New Roman" w:hAnsi="Times New Roman"/>
            <w:noProof/>
          </w:rPr>
          <w:fldChar w:fldCharType="end"/>
        </w:r>
      </w:p>
    </w:sdtContent>
  </w:sdt>
  <w:p w:rsidR="00EB31AF" w:rsidRDefault="00EB31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672" w:rsidRDefault="00436672">
      <w:r>
        <w:separator/>
      </w:r>
    </w:p>
  </w:footnote>
  <w:footnote w:type="continuationSeparator" w:id="0">
    <w:p w:rsidR="00436672" w:rsidRDefault="00436672">
      <w:r>
        <w:continuationSeparator/>
      </w:r>
    </w:p>
  </w:footnote>
  <w:footnote w:type="continuationNotice" w:id="1">
    <w:p w:rsidR="00436672" w:rsidRDefault="00436672"/>
  </w:footnote>
  <w:footnote w:id="2">
    <w:p w:rsidR="00EB31AF" w:rsidRPr="00E03BA1" w:rsidRDefault="00EB31AF" w:rsidP="00915C04">
      <w:pPr>
        <w:pStyle w:val="HTMLPreformatted"/>
        <w:jc w:val="both"/>
      </w:pPr>
      <w:r w:rsidRPr="00EF4512">
        <w:rPr>
          <w:rStyle w:val="FootnoteReference"/>
          <w:rFonts w:ascii="Times New Roman" w:hAnsi="Times New Roman" w:cs="Times New Roman"/>
          <w:sz w:val="16"/>
          <w:szCs w:val="16"/>
        </w:rPr>
        <w:footnoteRef/>
      </w:r>
      <w:r w:rsidRPr="00EF4512">
        <w:rPr>
          <w:rFonts w:ascii="Times New Roman" w:hAnsi="Times New Roman" w:cs="Times New Roman"/>
          <w:sz w:val="16"/>
          <w:szCs w:val="16"/>
        </w:rPr>
        <w:t>„Дигитална димензија насиља над женама – стандарди и кључна питања“ (12. децембра 2023. године),</w:t>
      </w:r>
      <w:r w:rsidRPr="00915C04">
        <w:rPr>
          <w:rFonts w:ascii="Times New Roman" w:hAnsi="Times New Roman" w:cs="Times New Roman"/>
        </w:rPr>
        <w:t xml:space="preserve"> </w:t>
      </w:r>
      <w:r w:rsidRPr="00EF4512">
        <w:rPr>
          <w:rFonts w:ascii="Times New Roman" w:hAnsi="Times New Roman" w:cs="Times New Roman"/>
          <w:sz w:val="16"/>
          <w:szCs w:val="16"/>
        </w:rPr>
        <w:t xml:space="preserve">„Усклађивање правних одговора: Анализа недостатака у вези са дигиталним и сексуалним насиљем над женама у БиХ - Налази и </w:t>
      </w:r>
      <w:r w:rsidRPr="00EF4512">
        <w:rPr>
          <w:rFonts w:ascii="Times New Roman" w:hAnsi="Times New Roman" w:cs="Times New Roman"/>
          <w:sz w:val="16"/>
          <w:szCs w:val="16"/>
          <w:lang w:val="sr-Cyrl-BA"/>
        </w:rPr>
        <w:t>П</w:t>
      </w:r>
      <w:r w:rsidRPr="00EF4512">
        <w:rPr>
          <w:rFonts w:ascii="Times New Roman" w:hAnsi="Times New Roman" w:cs="Times New Roman"/>
          <w:sz w:val="16"/>
          <w:szCs w:val="16"/>
        </w:rPr>
        <w:t>репоруке“ (14. мај 2024.), „Нове праксе у истрази и кривичном гоњењу дигиталног насиља над женама“ (23. април 2024. године);  Округли сто „Анализа недостатака у вези са дигиталним и сексуалним насиље</w:t>
      </w:r>
      <w:r w:rsidRPr="00EF4512">
        <w:rPr>
          <w:rFonts w:ascii="Times New Roman" w:hAnsi="Times New Roman" w:cs="Times New Roman"/>
          <w:sz w:val="16"/>
          <w:szCs w:val="16"/>
          <w:lang w:val="sr-Cyrl-BA"/>
        </w:rPr>
        <w:t>м</w:t>
      </w:r>
      <w:r w:rsidRPr="00EF4512">
        <w:rPr>
          <w:rFonts w:ascii="Times New Roman" w:hAnsi="Times New Roman" w:cs="Times New Roman"/>
          <w:sz w:val="16"/>
          <w:szCs w:val="16"/>
        </w:rPr>
        <w:t xml:space="preserve"> над женама у Босни и Херцеговини“ (17-19. септембра 2024. године), „Увођење дефиниције сексуалног насиља над женама засноване на пристанку - Округли сто на тему образовних и обучних потреба професионалаца и практичара“ (22. октобра 2024. године), „Правна и практична примјена дефиниције сексуалног насиља засноване на пристанку у државама чланицама </w:t>
      </w:r>
      <w:r w:rsidRPr="00EF4512">
        <w:rPr>
          <w:rFonts w:ascii="Times New Roman" w:hAnsi="Times New Roman" w:cs="Times New Roman"/>
          <w:sz w:val="16"/>
          <w:szCs w:val="16"/>
          <w:lang w:val="sr-Cyrl-BA"/>
        </w:rPr>
        <w:t>Савјета</w:t>
      </w:r>
      <w:r w:rsidRPr="00EF4512">
        <w:rPr>
          <w:rFonts w:ascii="Times New Roman" w:hAnsi="Times New Roman" w:cs="Times New Roman"/>
          <w:sz w:val="16"/>
          <w:szCs w:val="16"/>
        </w:rPr>
        <w:t xml:space="preserve"> Европе“ (23. октобра 2024. године) и „Правни и институционални одговори на борбу против онл</w:t>
      </w:r>
      <w:r w:rsidRPr="00EF4512">
        <w:rPr>
          <w:rFonts w:ascii="Times New Roman" w:hAnsi="Times New Roman" w:cs="Times New Roman"/>
          <w:sz w:val="16"/>
          <w:szCs w:val="16"/>
          <w:lang w:val="sr-Cyrl-BA"/>
        </w:rPr>
        <w:t>ајн</w:t>
      </w:r>
      <w:r w:rsidRPr="00EF4512">
        <w:rPr>
          <w:rFonts w:ascii="Times New Roman" w:hAnsi="Times New Roman" w:cs="Times New Roman"/>
          <w:sz w:val="16"/>
          <w:szCs w:val="16"/>
        </w:rPr>
        <w:t xml:space="preserve"> насиља над женама омогућеног технологијом“ (26. новембар 2024.године).</w:t>
      </w:r>
    </w:p>
  </w:footnote>
  <w:footnote w:id="3">
    <w:p w:rsidR="00EB31AF" w:rsidRPr="00262CA2" w:rsidRDefault="00EB31AF">
      <w:pPr>
        <w:pStyle w:val="FootnoteText"/>
        <w:rPr>
          <w:rFonts w:ascii="Times New Roman" w:hAnsi="Times New Roman"/>
          <w:lang w:val="bs-Latn-BA"/>
        </w:rPr>
      </w:pPr>
      <w:r w:rsidRPr="00262CA2">
        <w:rPr>
          <w:rStyle w:val="FootnoteReference"/>
          <w:rFonts w:ascii="Times New Roman" w:hAnsi="Times New Roman"/>
        </w:rPr>
        <w:footnoteRef/>
      </w:r>
      <w:r w:rsidRPr="00262CA2">
        <w:rPr>
          <w:rFonts w:ascii="Times New Roman" w:hAnsi="Times New Roman"/>
        </w:rPr>
        <w:t xml:space="preserve"> </w:t>
      </w:r>
      <w:r w:rsidRPr="00262CA2">
        <w:rPr>
          <w:rFonts w:ascii="Times New Roman" w:hAnsi="Times New Roman"/>
          <w:i/>
          <w:iCs/>
          <w:lang w:val="sr-Latn-BA"/>
        </w:rPr>
        <w:t>„Competitiveness in South East Europe: A Policy Outlook 2021. EMPLOYMENT POLICY DIMENSION. Qualitative indicators government questionnaire</w:t>
      </w:r>
      <w:r>
        <w:rPr>
          <w:rFonts w:ascii="Times New Roman" w:hAnsi="Times New Roman"/>
          <w:i/>
          <w:iCs/>
          <w:lang w:val="sr-Latn-BA"/>
        </w:rPr>
        <w:t>“.</w:t>
      </w:r>
    </w:p>
  </w:footnote>
  <w:footnote w:id="4">
    <w:p w:rsidR="00EB31AF" w:rsidRPr="00B2600A" w:rsidRDefault="00EB31AF" w:rsidP="005162A2">
      <w:pPr>
        <w:pStyle w:val="FootnoteText"/>
        <w:jc w:val="both"/>
        <w:rPr>
          <w:lang w:val="bs-Latn-BA"/>
        </w:rPr>
      </w:pPr>
      <w:r w:rsidRPr="000C4402">
        <w:rPr>
          <w:rStyle w:val="FootnoteReference"/>
          <w:rFonts w:ascii="Times New Roman" w:hAnsi="Times New Roman"/>
        </w:rPr>
        <w:footnoteRef/>
      </w:r>
      <w:r>
        <w:t xml:space="preserve"> </w:t>
      </w:r>
      <w:r w:rsidRPr="0077610E">
        <w:rPr>
          <w:rFonts w:ascii="Times New Roman" w:hAnsi="Times New Roman"/>
          <w:szCs w:val="24"/>
        </w:rPr>
        <w:t xml:space="preserve">Теме ових обука су: Законско одређење узнемиравања на раду и повезаних појмова; Шта се сматра узнемиравањем на раду? Шта није узнемиравање на раду?; Како успјешно </w:t>
      </w:r>
      <w:r>
        <w:rPr>
          <w:rFonts w:ascii="Times New Roman" w:hAnsi="Times New Roman"/>
          <w:szCs w:val="24"/>
          <w:lang w:val="sr-Cyrl-BA"/>
        </w:rPr>
        <w:t>спровести</w:t>
      </w:r>
      <w:r w:rsidRPr="0077610E">
        <w:rPr>
          <w:rFonts w:ascii="Times New Roman" w:hAnsi="Times New Roman"/>
          <w:szCs w:val="24"/>
        </w:rPr>
        <w:t xml:space="preserve"> превенцију узнемиравања на раду; Права и обавезе послодавца; Права и обавезе радника; Посљедице узнемиравања на раду; Поступак за остваривање права на заштиту од узнемиравања на раду код послодавца; Како успјешно </w:t>
      </w:r>
      <w:r>
        <w:rPr>
          <w:rFonts w:ascii="Times New Roman" w:hAnsi="Times New Roman"/>
          <w:szCs w:val="24"/>
          <w:lang w:val="sr-Cyrl-BA"/>
        </w:rPr>
        <w:t>спровести</w:t>
      </w:r>
      <w:r w:rsidRPr="0077610E">
        <w:rPr>
          <w:rFonts w:ascii="Times New Roman" w:hAnsi="Times New Roman"/>
          <w:szCs w:val="24"/>
        </w:rPr>
        <w:t xml:space="preserve"> поступак код послодавца?; Улога лица за подршку; Оп</w:t>
      </w:r>
      <w:r>
        <w:rPr>
          <w:rFonts w:ascii="Times New Roman" w:hAnsi="Times New Roman"/>
          <w:szCs w:val="24"/>
          <w:lang w:val="sr-Cyrl-BA"/>
        </w:rPr>
        <w:t>шт</w:t>
      </w:r>
      <w:r w:rsidRPr="0077610E">
        <w:rPr>
          <w:rFonts w:ascii="Times New Roman" w:hAnsi="Times New Roman"/>
          <w:szCs w:val="24"/>
        </w:rPr>
        <w:t>и акт о поступку заштите од узнемиравања на раду; Право послодавца на утврђивање злоупотребе права на заштиту од узнемиравања; Поступак за заштиту од узнемиравања пред Агенцијом за мирно рјешавање радних спорова; Судска заштита</w:t>
      </w:r>
      <w:r w:rsidRPr="009E6BF8">
        <w:rPr>
          <w:rFonts w:ascii="Times New Roman" w:hAnsi="Times New Roman"/>
          <w:szCs w:val="24"/>
        </w:rPr>
        <w:t>.</w:t>
      </w:r>
    </w:p>
  </w:footnote>
  <w:footnote w:id="5">
    <w:p w:rsidR="00EB31AF" w:rsidRPr="00FA0756" w:rsidRDefault="00EB31AF" w:rsidP="002940FE">
      <w:pPr>
        <w:pStyle w:val="HTMLPreformatted"/>
        <w:jc w:val="both"/>
        <w:rPr>
          <w:rFonts w:ascii="Times New Roman" w:hAnsi="Times New Roman" w:cs="Times New Roman"/>
          <w:color w:val="1F1F1F"/>
          <w:lang w:val="en-US"/>
        </w:rPr>
      </w:pPr>
      <w:r w:rsidRPr="00FA0756">
        <w:rPr>
          <w:rStyle w:val="FootnoteReference"/>
          <w:rFonts w:ascii="Times New Roman" w:hAnsi="Times New Roman" w:cs="Times New Roman"/>
        </w:rPr>
        <w:footnoteRef/>
      </w:r>
      <w:r w:rsidRPr="00244392">
        <w:rPr>
          <w:rStyle w:val="y2iqfc"/>
          <w:rFonts w:ascii="Times New Roman" w:hAnsi="Times New Roman" w:cs="Times New Roman"/>
          <w:color w:val="1F1F1F"/>
          <w:sz w:val="18"/>
          <w:szCs w:val="18"/>
        </w:rPr>
        <w:t>Списак пројеката Свјетске банке који су били у току у извјештајном периоду: Техничка асистенција: „Побољшање активности и приступа економским приликама за жене у Босни и Херцеговини“; „Праведна транзиција у рударству угља у БиХ“ - Про</w:t>
      </w:r>
      <w:r>
        <w:rPr>
          <w:rStyle w:val="y2iqfc"/>
          <w:rFonts w:ascii="Times New Roman" w:hAnsi="Times New Roman" w:cs="Times New Roman"/>
          <w:color w:val="1F1F1F"/>
          <w:sz w:val="18"/>
          <w:szCs w:val="18"/>
        </w:rPr>
        <w:t xml:space="preserve">цјена утицаја на равноправност </w:t>
      </w:r>
      <w:r w:rsidRPr="00244392">
        <w:rPr>
          <w:rStyle w:val="y2iqfc"/>
          <w:rFonts w:ascii="Times New Roman" w:hAnsi="Times New Roman" w:cs="Times New Roman"/>
          <w:color w:val="1F1F1F"/>
          <w:sz w:val="18"/>
          <w:szCs w:val="18"/>
        </w:rPr>
        <w:t>полова у регијама угља заснована на фокус групама са женама и анкети домаћинства у двије заједнице угљара. Финансирање инвестиција: „Пројекат побољшања здравственог система“ - приступ бољим здравственим услугама; „Пројекат отпорности и конкурентности пољопривреде“ - економске прилике и радна мјеста; „Пројекат побољшања квалитета зрака“ - свијест и знање о одрживом гријању и енергетској ефикасности; „Управљање моторизацијом и промови</w:t>
      </w:r>
      <w:r>
        <w:rPr>
          <w:rStyle w:val="y2iqfc"/>
          <w:rFonts w:ascii="Times New Roman" w:hAnsi="Times New Roman" w:cs="Times New Roman"/>
          <w:color w:val="1F1F1F"/>
          <w:sz w:val="18"/>
          <w:szCs w:val="18"/>
          <w:lang w:val="sr-Cyrl-BA"/>
        </w:rPr>
        <w:t>с</w:t>
      </w:r>
      <w:r w:rsidRPr="00244392">
        <w:rPr>
          <w:rStyle w:val="y2iqfc"/>
          <w:rFonts w:ascii="Times New Roman" w:hAnsi="Times New Roman" w:cs="Times New Roman"/>
          <w:color w:val="1F1F1F"/>
          <w:sz w:val="18"/>
          <w:szCs w:val="18"/>
        </w:rPr>
        <w:t>ање транспорта са нултом ниском емисијом помоћи ће у ублажавању неких од родних неједнакости и социјалних разлика промови</w:t>
      </w:r>
      <w:r>
        <w:rPr>
          <w:rStyle w:val="y2iqfc"/>
          <w:rFonts w:ascii="Times New Roman" w:hAnsi="Times New Roman" w:cs="Times New Roman"/>
          <w:color w:val="1F1F1F"/>
          <w:sz w:val="18"/>
          <w:szCs w:val="18"/>
          <w:lang w:val="sr-Cyrl-BA"/>
        </w:rPr>
        <w:t>с</w:t>
      </w:r>
      <w:r w:rsidRPr="00244392">
        <w:rPr>
          <w:rStyle w:val="y2iqfc"/>
          <w:rFonts w:ascii="Times New Roman" w:hAnsi="Times New Roman" w:cs="Times New Roman"/>
          <w:color w:val="1F1F1F"/>
          <w:sz w:val="18"/>
          <w:szCs w:val="18"/>
        </w:rPr>
        <w:t>ањем бициклизма са посебним фокусом на жене“; „Други пројекат подршке запошљавању“ - Проширити и омогућити економске могућности, више радних мијеста и боља радна мјеста, укључујући послове будућности (укључујући одрживе могућности за живот, запослење за пла</w:t>
      </w:r>
      <w:r>
        <w:rPr>
          <w:rStyle w:val="y2iqfc"/>
          <w:rFonts w:ascii="Times New Roman" w:hAnsi="Times New Roman" w:cs="Times New Roman"/>
          <w:color w:val="1F1F1F"/>
          <w:sz w:val="18"/>
          <w:szCs w:val="18"/>
          <w:lang w:val="sr-Cyrl-BA"/>
        </w:rPr>
        <w:t>т</w:t>
      </w:r>
      <w:r w:rsidRPr="00244392">
        <w:rPr>
          <w:rStyle w:val="y2iqfc"/>
          <w:rFonts w:ascii="Times New Roman" w:hAnsi="Times New Roman" w:cs="Times New Roman"/>
          <w:color w:val="1F1F1F"/>
          <w:sz w:val="18"/>
          <w:szCs w:val="18"/>
        </w:rPr>
        <w:t>у и предузећа која воде жене)</w:t>
      </w:r>
      <w:r w:rsidRPr="00FC2175">
        <w:rPr>
          <w:rStyle w:val="y2iqfc"/>
          <w:rFonts w:ascii="Times New Roman" w:hAnsi="Times New Roman" w:cs="Times New Roman"/>
          <w:color w:val="1F1F1F"/>
          <w:sz w:val="18"/>
          <w:szCs w:val="18"/>
        </w:rPr>
        <w:t>.</w:t>
      </w:r>
    </w:p>
  </w:footnote>
  <w:footnote w:id="6">
    <w:p w:rsidR="00EB31AF" w:rsidRPr="00CC149F" w:rsidRDefault="00EB31AF" w:rsidP="00CC149F">
      <w:pPr>
        <w:pStyle w:val="FootnoteText"/>
        <w:rPr>
          <w:rFonts w:ascii="Times New Roman" w:hAnsi="Times New Roman"/>
          <w:lang w:val="sr-Latn-BA"/>
        </w:rPr>
      </w:pPr>
      <w:r w:rsidRPr="00CC149F">
        <w:rPr>
          <w:rStyle w:val="FootnoteReference"/>
          <w:rFonts w:ascii="Times New Roman" w:hAnsi="Times New Roman"/>
        </w:rPr>
        <w:footnoteRef/>
      </w:r>
      <w:r w:rsidRPr="00CC149F">
        <w:rPr>
          <w:rFonts w:ascii="Times New Roman" w:hAnsi="Times New Roman"/>
        </w:rPr>
        <w:t xml:space="preserve"> </w:t>
      </w:r>
      <w:hyperlink r:id="rId1" w:history="1">
        <w:r w:rsidRPr="00CC149F">
          <w:rPr>
            <w:rStyle w:val="Hyperlink"/>
            <w:rFonts w:ascii="Times New Roman" w:hAnsi="Times New Roman"/>
          </w:rPr>
          <w:t>https://unfccc.int/topics/gender/resources/list-of-gender-focal-points-under-the-unfccc</w:t>
        </w:r>
      </w:hyperlink>
      <w:r w:rsidRPr="00CC149F">
        <w:rPr>
          <w:rFonts w:ascii="Times New Roman" w:hAnsi="Times New Roman"/>
        </w:rPr>
        <w:t xml:space="preserve"> </w:t>
      </w:r>
    </w:p>
  </w:footnote>
  <w:footnote w:id="7">
    <w:p w:rsidR="00EB31AF" w:rsidRPr="003E1DE3" w:rsidRDefault="00EB31AF">
      <w:pPr>
        <w:pStyle w:val="FootnoteText"/>
        <w:rPr>
          <w:rFonts w:ascii="Times New Roman" w:hAnsi="Times New Roman"/>
          <w:lang w:val="bs-Latn-BA"/>
        </w:rPr>
      </w:pPr>
      <w:r w:rsidRPr="003E1DE3">
        <w:rPr>
          <w:rStyle w:val="FootnoteReference"/>
          <w:rFonts w:ascii="Times New Roman" w:hAnsi="Times New Roman"/>
        </w:rPr>
        <w:footnoteRef/>
      </w:r>
      <w:r w:rsidRPr="003E1DE3">
        <w:rPr>
          <w:rFonts w:ascii="Times New Roman" w:hAnsi="Times New Roman"/>
        </w:rPr>
        <w:t xml:space="preserve"> engl. </w:t>
      </w:r>
      <w:r w:rsidRPr="003E1DE3">
        <w:rPr>
          <w:rFonts w:ascii="Times New Roman" w:hAnsi="Times New Roman"/>
          <w:szCs w:val="24"/>
          <w:lang w:val="bs-Latn-BA"/>
        </w:rPr>
        <w:t>„Gear up for Gender Equality“</w:t>
      </w:r>
    </w:p>
  </w:footnote>
  <w:footnote w:id="8">
    <w:p w:rsidR="00EB31AF" w:rsidRPr="00576B58" w:rsidRDefault="00EB31AF">
      <w:pPr>
        <w:pStyle w:val="FootnoteText"/>
        <w:rPr>
          <w:rFonts w:ascii="Times New Roman" w:hAnsi="Times New Roman"/>
          <w:lang w:val="sr-Cyrl-BA"/>
        </w:rPr>
      </w:pPr>
      <w:r w:rsidRPr="00AB4631">
        <w:rPr>
          <w:rStyle w:val="FootnoteReference"/>
          <w:rFonts w:ascii="Times New Roman" w:hAnsi="Times New Roman"/>
        </w:rPr>
        <w:footnoteRef/>
      </w:r>
      <w:r w:rsidRPr="00AB4631">
        <w:rPr>
          <w:rFonts w:ascii="Times New Roman" w:hAnsi="Times New Roman"/>
        </w:rPr>
        <w:t xml:space="preserve"> </w:t>
      </w:r>
      <w:r w:rsidRPr="00576B58">
        <w:rPr>
          <w:rFonts w:ascii="Times New Roman" w:hAnsi="Times New Roman"/>
          <w:i/>
          <w:lang w:val="bs-Latn-BA"/>
        </w:rPr>
        <w:t>POPs</w:t>
      </w:r>
      <w:r w:rsidRPr="00AB4631">
        <w:rPr>
          <w:rFonts w:ascii="Times New Roman" w:hAnsi="Times New Roman"/>
          <w:lang w:val="bs-Latn-BA"/>
        </w:rPr>
        <w:t xml:space="preserve"> – </w:t>
      </w:r>
      <w:r>
        <w:rPr>
          <w:rFonts w:ascii="Times New Roman" w:hAnsi="Times New Roman"/>
          <w:lang w:val="sr-Cyrl-BA"/>
        </w:rPr>
        <w:t>дуготрајне органске загађујуће супстанце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75B"/>
    <w:multiLevelType w:val="hybridMultilevel"/>
    <w:tmpl w:val="70A8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6776"/>
    <w:multiLevelType w:val="multilevel"/>
    <w:tmpl w:val="C6D0A75A"/>
    <w:lvl w:ilvl="0">
      <w:start w:val="1"/>
      <w:numFmt w:val="upperRoman"/>
      <w:pStyle w:val="Heading2"/>
      <w:lvlText w:val="%1."/>
      <w:lvlJc w:val="right"/>
      <w:pPr>
        <w:ind w:left="576" w:hanging="576"/>
      </w:pPr>
      <w:rPr>
        <w:rFonts w:hint="default"/>
      </w:rPr>
    </w:lvl>
    <w:lvl w:ilvl="1">
      <w:start w:val="1"/>
      <w:numFmt w:val="decimal"/>
      <w:pStyle w:val="Heading3"/>
      <w:lvlText w:val="%1.%2."/>
      <w:lvlJc w:val="left"/>
      <w:pPr>
        <w:ind w:left="720" w:hanging="720"/>
      </w:pPr>
      <w:rPr>
        <w:rFonts w:hint="default"/>
        <w:b/>
        <w:color w:val="4F81BD"/>
        <w:sz w:val="24"/>
        <w:szCs w:val="22"/>
      </w:rPr>
    </w:lvl>
    <w:lvl w:ilvl="2">
      <w:start w:val="1"/>
      <w:numFmt w:val="decimal"/>
      <w:pStyle w:val="Heading4"/>
      <w:lvlText w:val="%1.%2.%3."/>
      <w:lvlJc w:val="left"/>
      <w:pPr>
        <w:ind w:left="1287" w:hanging="720"/>
      </w:pPr>
      <w:rPr>
        <w:rFonts w:ascii="Times New Roman" w:hAnsi="Times New Roman" w:cs="Times New Roman" w:hint="default"/>
        <w:b w:val="0"/>
        <w:color w:val="000000"/>
        <w:sz w:val="24"/>
        <w:szCs w:val="24"/>
      </w:rPr>
    </w:lvl>
    <w:lvl w:ilvl="3">
      <w:start w:val="1"/>
      <w:numFmt w:val="decimal"/>
      <w:lvlText w:val="%1.%2.%3.%4."/>
      <w:lvlJc w:val="left"/>
      <w:pPr>
        <w:ind w:left="1080" w:hanging="1080"/>
      </w:pPr>
      <w:rPr>
        <w:rFonts w:ascii="Arial" w:hAnsi="Arial" w:cs="Arial" w:hint="default"/>
        <w:b w:val="0"/>
        <w:color w:val="0000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475FA"/>
    <w:multiLevelType w:val="multilevel"/>
    <w:tmpl w:val="B1906FC8"/>
    <w:styleLink w:val="ImportedStyle3"/>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15:restartNumberingAfterBreak="0">
    <w:nsid w:val="0D4E1046"/>
    <w:multiLevelType w:val="hybridMultilevel"/>
    <w:tmpl w:val="23A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757C4"/>
    <w:multiLevelType w:val="hybridMultilevel"/>
    <w:tmpl w:val="995C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83280"/>
    <w:multiLevelType w:val="multilevel"/>
    <w:tmpl w:val="4B965054"/>
    <w:styleLink w:val="ImportedStyle15"/>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6" w15:restartNumberingAfterBreak="0">
    <w:nsid w:val="1ABF3CA5"/>
    <w:multiLevelType w:val="hybridMultilevel"/>
    <w:tmpl w:val="AA3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27B8E"/>
    <w:multiLevelType w:val="hybridMultilevel"/>
    <w:tmpl w:val="48AC7AEE"/>
    <w:lvl w:ilvl="0" w:tplc="04090001">
      <w:start w:val="1"/>
      <w:numFmt w:val="bullet"/>
      <w:lvlText w:val=""/>
      <w:lvlJc w:val="left"/>
      <w:pPr>
        <w:ind w:left="720" w:hanging="360"/>
      </w:pPr>
      <w:rPr>
        <w:rFonts w:ascii="Symbol" w:hAnsi="Symbol" w:hint="default"/>
      </w:rPr>
    </w:lvl>
    <w:lvl w:ilvl="1" w:tplc="BE16E4B8">
      <w:start w:val="27"/>
      <w:numFmt w:val="bullet"/>
      <w:lvlText w:val="•"/>
      <w:lvlJc w:val="left"/>
      <w:pPr>
        <w:ind w:left="1950" w:hanging="8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B238C"/>
    <w:multiLevelType w:val="multilevel"/>
    <w:tmpl w:val="C96CDACE"/>
    <w:styleLink w:val="ImportedStyle12"/>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15:restartNumberingAfterBreak="0">
    <w:nsid w:val="2CFD14FE"/>
    <w:multiLevelType w:val="multilevel"/>
    <w:tmpl w:val="5860F25C"/>
    <w:lvl w:ilvl="0">
      <w:start w:val="1"/>
      <w:numFmt w:val="decimal"/>
      <w:lvlText w:val="%1."/>
      <w:lvlJc w:val="left"/>
      <w:pPr>
        <w:ind w:left="1004" w:hanging="360"/>
      </w:pPr>
    </w:lvl>
    <w:lvl w:ilvl="1">
      <w:start w:val="1"/>
      <w:numFmt w:val="decimal"/>
      <w:pStyle w:val="StyleHeading2Italic"/>
      <w:isLgl/>
      <w:lvlText w:val="%1.%2"/>
      <w:lvlJc w:val="left"/>
      <w:pPr>
        <w:ind w:left="1004" w:hanging="360"/>
      </w:pPr>
      <w:rPr>
        <w:rFonts w:hint="default"/>
      </w:rPr>
    </w:lvl>
    <w:lvl w:ilvl="2">
      <w:start w:val="1"/>
      <w:numFmt w:val="decimal"/>
      <w:lvlText w:val="3.%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10" w15:restartNumberingAfterBreak="0">
    <w:nsid w:val="33557F19"/>
    <w:multiLevelType w:val="multilevel"/>
    <w:tmpl w:val="B64AD2B8"/>
    <w:styleLink w:val="Style1"/>
    <w:lvl w:ilvl="0">
      <w:start w:val="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424DE6"/>
    <w:multiLevelType w:val="multilevel"/>
    <w:tmpl w:val="70FAC98E"/>
    <w:styleLink w:val="ImportedStyle2"/>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2" w15:restartNumberingAfterBreak="0">
    <w:nsid w:val="38776EB9"/>
    <w:multiLevelType w:val="multilevel"/>
    <w:tmpl w:val="EFAC3C50"/>
    <w:styleLink w:val="ImportedStyle6"/>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3" w15:restartNumberingAfterBreak="0">
    <w:nsid w:val="3F3C2D15"/>
    <w:multiLevelType w:val="multilevel"/>
    <w:tmpl w:val="5E6CD424"/>
    <w:styleLink w:val="ImportedStyle4"/>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4" w15:restartNumberingAfterBreak="0">
    <w:nsid w:val="4A76597E"/>
    <w:multiLevelType w:val="hybridMultilevel"/>
    <w:tmpl w:val="1DF4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463CA8"/>
    <w:multiLevelType w:val="multilevel"/>
    <w:tmpl w:val="6DCA69D8"/>
    <w:styleLink w:val="ImportedStyle5"/>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6" w15:restartNumberingAfterBreak="0">
    <w:nsid w:val="56333A9B"/>
    <w:multiLevelType w:val="multilevel"/>
    <w:tmpl w:val="5B869182"/>
    <w:styleLink w:val="StyleBulleted"/>
    <w:lvl w:ilvl="0">
      <w:start w:val="1"/>
      <w:numFmt w:val="bullet"/>
      <w:lvlText w:val=""/>
      <w:lvlJc w:val="left"/>
      <w:pPr>
        <w:tabs>
          <w:tab w:val="num" w:pos="1080"/>
        </w:tabs>
        <w:ind w:left="1080" w:hanging="360"/>
      </w:pPr>
      <w:rPr>
        <w:rFonts w:ascii="Symbol" w:hAnsi="Symbol"/>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96698D"/>
    <w:multiLevelType w:val="hybridMultilevel"/>
    <w:tmpl w:val="F12CDD1C"/>
    <w:lvl w:ilvl="0" w:tplc="FC3AD7D6">
      <w:start w:val="1"/>
      <w:numFmt w:val="bullet"/>
      <w:pStyle w:val="Aktivnosti"/>
      <w:lvlText w:val=""/>
      <w:lvlJc w:val="left"/>
      <w:pPr>
        <w:tabs>
          <w:tab w:val="num" w:pos="2340"/>
        </w:tabs>
        <w:ind w:left="2340" w:hanging="360"/>
      </w:pPr>
      <w:rPr>
        <w:rFonts w:ascii="Wingdings" w:hAnsi="Wingdings" w:hint="default"/>
        <w:lang w:val="fr-FR"/>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407DB3"/>
    <w:multiLevelType w:val="hybridMultilevel"/>
    <w:tmpl w:val="081A1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C29AC"/>
    <w:multiLevelType w:val="hybridMultilevel"/>
    <w:tmpl w:val="3134260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FF1D92"/>
    <w:multiLevelType w:val="multilevel"/>
    <w:tmpl w:val="30A0DCA8"/>
    <w:styleLink w:val="ImportedStyle14"/>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1" w15:restartNumberingAfterBreak="0">
    <w:nsid w:val="68857DFF"/>
    <w:multiLevelType w:val="hybridMultilevel"/>
    <w:tmpl w:val="F4EA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551E4"/>
    <w:multiLevelType w:val="hybridMultilevel"/>
    <w:tmpl w:val="CCA8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C6E39"/>
    <w:multiLevelType w:val="multilevel"/>
    <w:tmpl w:val="B07614FC"/>
    <w:styleLink w:val="ImportedStyle13"/>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4" w15:restartNumberingAfterBreak="0">
    <w:nsid w:val="74232950"/>
    <w:multiLevelType w:val="hybridMultilevel"/>
    <w:tmpl w:val="4C5271DA"/>
    <w:lvl w:ilvl="0" w:tplc="98709ED2">
      <w:start w:val="1"/>
      <w:numFmt w:val="bullet"/>
      <w:pStyle w:val="Nabrajanje"/>
      <w:lvlText w:val=""/>
      <w:lvlJc w:val="left"/>
      <w:pPr>
        <w:tabs>
          <w:tab w:val="num" w:pos="720"/>
        </w:tabs>
        <w:ind w:left="720" w:hanging="360"/>
      </w:pPr>
      <w:rPr>
        <w:rFonts w:ascii="Symbol" w:hAnsi="Symbol" w:hint="default"/>
      </w:rPr>
    </w:lvl>
    <w:lvl w:ilvl="1" w:tplc="88407106" w:tentative="1">
      <w:start w:val="1"/>
      <w:numFmt w:val="bullet"/>
      <w:lvlText w:val="o"/>
      <w:lvlJc w:val="left"/>
      <w:pPr>
        <w:tabs>
          <w:tab w:val="num" w:pos="1440"/>
        </w:tabs>
        <w:ind w:left="1440" w:hanging="360"/>
      </w:pPr>
      <w:rPr>
        <w:rFonts w:ascii="Courier New" w:hAnsi="Courier New" w:hint="default"/>
      </w:rPr>
    </w:lvl>
    <w:lvl w:ilvl="2" w:tplc="76C2540C" w:tentative="1">
      <w:start w:val="1"/>
      <w:numFmt w:val="bullet"/>
      <w:lvlText w:val=""/>
      <w:lvlJc w:val="left"/>
      <w:pPr>
        <w:tabs>
          <w:tab w:val="num" w:pos="2160"/>
        </w:tabs>
        <w:ind w:left="2160" w:hanging="360"/>
      </w:pPr>
      <w:rPr>
        <w:rFonts w:ascii="Wingdings" w:hAnsi="Wingdings" w:hint="default"/>
      </w:rPr>
    </w:lvl>
    <w:lvl w:ilvl="3" w:tplc="CB12132C" w:tentative="1">
      <w:start w:val="1"/>
      <w:numFmt w:val="bullet"/>
      <w:lvlText w:val=""/>
      <w:lvlJc w:val="left"/>
      <w:pPr>
        <w:tabs>
          <w:tab w:val="num" w:pos="2880"/>
        </w:tabs>
        <w:ind w:left="2880" w:hanging="360"/>
      </w:pPr>
      <w:rPr>
        <w:rFonts w:ascii="Symbol" w:hAnsi="Symbol" w:hint="default"/>
      </w:rPr>
    </w:lvl>
    <w:lvl w:ilvl="4" w:tplc="C87E08E4" w:tentative="1">
      <w:start w:val="1"/>
      <w:numFmt w:val="bullet"/>
      <w:lvlText w:val="o"/>
      <w:lvlJc w:val="left"/>
      <w:pPr>
        <w:tabs>
          <w:tab w:val="num" w:pos="3600"/>
        </w:tabs>
        <w:ind w:left="3600" w:hanging="360"/>
      </w:pPr>
      <w:rPr>
        <w:rFonts w:ascii="Courier New" w:hAnsi="Courier New" w:hint="default"/>
      </w:rPr>
    </w:lvl>
    <w:lvl w:ilvl="5" w:tplc="50727B78" w:tentative="1">
      <w:start w:val="1"/>
      <w:numFmt w:val="bullet"/>
      <w:lvlText w:val=""/>
      <w:lvlJc w:val="left"/>
      <w:pPr>
        <w:tabs>
          <w:tab w:val="num" w:pos="4320"/>
        </w:tabs>
        <w:ind w:left="4320" w:hanging="360"/>
      </w:pPr>
      <w:rPr>
        <w:rFonts w:ascii="Wingdings" w:hAnsi="Wingdings" w:hint="default"/>
      </w:rPr>
    </w:lvl>
    <w:lvl w:ilvl="6" w:tplc="19320E00" w:tentative="1">
      <w:start w:val="1"/>
      <w:numFmt w:val="bullet"/>
      <w:lvlText w:val=""/>
      <w:lvlJc w:val="left"/>
      <w:pPr>
        <w:tabs>
          <w:tab w:val="num" w:pos="5040"/>
        </w:tabs>
        <w:ind w:left="5040" w:hanging="360"/>
      </w:pPr>
      <w:rPr>
        <w:rFonts w:ascii="Symbol" w:hAnsi="Symbol" w:hint="default"/>
      </w:rPr>
    </w:lvl>
    <w:lvl w:ilvl="7" w:tplc="7F624458" w:tentative="1">
      <w:start w:val="1"/>
      <w:numFmt w:val="bullet"/>
      <w:lvlText w:val="o"/>
      <w:lvlJc w:val="left"/>
      <w:pPr>
        <w:tabs>
          <w:tab w:val="num" w:pos="5760"/>
        </w:tabs>
        <w:ind w:left="5760" w:hanging="360"/>
      </w:pPr>
      <w:rPr>
        <w:rFonts w:ascii="Courier New" w:hAnsi="Courier New" w:hint="default"/>
      </w:rPr>
    </w:lvl>
    <w:lvl w:ilvl="8" w:tplc="472CD0B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E56784"/>
    <w:multiLevelType w:val="hybridMultilevel"/>
    <w:tmpl w:val="0D44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371D0"/>
    <w:multiLevelType w:val="hybridMultilevel"/>
    <w:tmpl w:val="0786EC28"/>
    <w:lvl w:ilvl="0" w:tplc="AE0A5F3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4"/>
  </w:num>
  <w:num w:numId="4">
    <w:abstractNumId w:val="16"/>
  </w:num>
  <w:num w:numId="5">
    <w:abstractNumId w:val="1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13"/>
  </w:num>
  <w:num w:numId="11">
    <w:abstractNumId w:val="15"/>
  </w:num>
  <w:num w:numId="12">
    <w:abstractNumId w:val="12"/>
  </w:num>
  <w:num w:numId="13">
    <w:abstractNumId w:val="8"/>
  </w:num>
  <w:num w:numId="14">
    <w:abstractNumId w:val="23"/>
  </w:num>
  <w:num w:numId="15">
    <w:abstractNumId w:val="20"/>
  </w:num>
  <w:num w:numId="16">
    <w:abstractNumId w:val="5"/>
  </w:num>
  <w:num w:numId="17">
    <w:abstractNumId w:val="7"/>
  </w:num>
  <w:num w:numId="18">
    <w:abstractNumId w:val="6"/>
  </w:num>
  <w:num w:numId="19">
    <w:abstractNumId w:val="19"/>
  </w:num>
  <w:num w:numId="20">
    <w:abstractNumId w:val="22"/>
  </w:num>
  <w:num w:numId="21">
    <w:abstractNumId w:val="0"/>
  </w:num>
  <w:num w:numId="22">
    <w:abstractNumId w:val="1"/>
  </w:num>
  <w:num w:numId="23">
    <w:abstractNumId w:val="18"/>
  </w:num>
  <w:num w:numId="24">
    <w:abstractNumId w:val="25"/>
  </w:num>
  <w:num w:numId="25">
    <w:abstractNumId w:val="3"/>
  </w:num>
  <w:num w:numId="26">
    <w:abstractNumId w:val="4"/>
  </w:num>
  <w:num w:numId="27">
    <w:abstractNumId w:val="21"/>
  </w:num>
  <w:num w:numId="28">
    <w:abstractNumId w:val="14"/>
  </w:num>
  <w:num w:numId="29">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style="mso-width-relative:margin;mso-height-relative:margin"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zNjYwNjY3NTeyNLdQ0lEKTi0uzszPAykwqgUAJv+nOiwAAAA="/>
  </w:docVars>
  <w:rsids>
    <w:rsidRoot w:val="009C7F64"/>
    <w:rsid w:val="0000023E"/>
    <w:rsid w:val="00000C53"/>
    <w:rsid w:val="00000D99"/>
    <w:rsid w:val="00000E3D"/>
    <w:rsid w:val="00001748"/>
    <w:rsid w:val="0000244A"/>
    <w:rsid w:val="00002B6E"/>
    <w:rsid w:val="000032AB"/>
    <w:rsid w:val="0000331D"/>
    <w:rsid w:val="00003500"/>
    <w:rsid w:val="00003C50"/>
    <w:rsid w:val="00003EB0"/>
    <w:rsid w:val="00003F24"/>
    <w:rsid w:val="00004036"/>
    <w:rsid w:val="00004139"/>
    <w:rsid w:val="00004990"/>
    <w:rsid w:val="00005127"/>
    <w:rsid w:val="00006256"/>
    <w:rsid w:val="000069CB"/>
    <w:rsid w:val="00006C55"/>
    <w:rsid w:val="00006D9E"/>
    <w:rsid w:val="00006F71"/>
    <w:rsid w:val="0000731C"/>
    <w:rsid w:val="00007901"/>
    <w:rsid w:val="00007E05"/>
    <w:rsid w:val="00010367"/>
    <w:rsid w:val="00010422"/>
    <w:rsid w:val="00010772"/>
    <w:rsid w:val="00010FAA"/>
    <w:rsid w:val="000111D8"/>
    <w:rsid w:val="000113CA"/>
    <w:rsid w:val="0001176E"/>
    <w:rsid w:val="00011C5A"/>
    <w:rsid w:val="000122A6"/>
    <w:rsid w:val="000122B0"/>
    <w:rsid w:val="000124D3"/>
    <w:rsid w:val="0001258F"/>
    <w:rsid w:val="00012951"/>
    <w:rsid w:val="00013B61"/>
    <w:rsid w:val="00013BCF"/>
    <w:rsid w:val="00013C2D"/>
    <w:rsid w:val="000143A8"/>
    <w:rsid w:val="00014B03"/>
    <w:rsid w:val="00014BC2"/>
    <w:rsid w:val="00014C48"/>
    <w:rsid w:val="00015356"/>
    <w:rsid w:val="00015B5B"/>
    <w:rsid w:val="00015E80"/>
    <w:rsid w:val="00016285"/>
    <w:rsid w:val="00016BD1"/>
    <w:rsid w:val="00016D12"/>
    <w:rsid w:val="00016DB0"/>
    <w:rsid w:val="0001762B"/>
    <w:rsid w:val="00017E06"/>
    <w:rsid w:val="00017E1E"/>
    <w:rsid w:val="00020AFB"/>
    <w:rsid w:val="00020ED8"/>
    <w:rsid w:val="00021022"/>
    <w:rsid w:val="00021284"/>
    <w:rsid w:val="000214D3"/>
    <w:rsid w:val="0002178E"/>
    <w:rsid w:val="00022066"/>
    <w:rsid w:val="00022127"/>
    <w:rsid w:val="00022767"/>
    <w:rsid w:val="00023200"/>
    <w:rsid w:val="0002324C"/>
    <w:rsid w:val="000235DF"/>
    <w:rsid w:val="00023A8E"/>
    <w:rsid w:val="00023F10"/>
    <w:rsid w:val="0002440D"/>
    <w:rsid w:val="000246A7"/>
    <w:rsid w:val="000247E5"/>
    <w:rsid w:val="00024806"/>
    <w:rsid w:val="00024D8A"/>
    <w:rsid w:val="000254B9"/>
    <w:rsid w:val="00025C59"/>
    <w:rsid w:val="00025E6F"/>
    <w:rsid w:val="00025F75"/>
    <w:rsid w:val="00025FAF"/>
    <w:rsid w:val="0002622F"/>
    <w:rsid w:val="000267AF"/>
    <w:rsid w:val="0002690F"/>
    <w:rsid w:val="000269A9"/>
    <w:rsid w:val="00026E61"/>
    <w:rsid w:val="000277C9"/>
    <w:rsid w:val="00031595"/>
    <w:rsid w:val="000315E5"/>
    <w:rsid w:val="000316AE"/>
    <w:rsid w:val="00031ADF"/>
    <w:rsid w:val="00031BE0"/>
    <w:rsid w:val="00031F60"/>
    <w:rsid w:val="00031F73"/>
    <w:rsid w:val="0003260F"/>
    <w:rsid w:val="0003266E"/>
    <w:rsid w:val="000329B1"/>
    <w:rsid w:val="00032AEE"/>
    <w:rsid w:val="00032CEC"/>
    <w:rsid w:val="00032DE5"/>
    <w:rsid w:val="00032FA3"/>
    <w:rsid w:val="00033135"/>
    <w:rsid w:val="000336EC"/>
    <w:rsid w:val="00033A9E"/>
    <w:rsid w:val="00033B54"/>
    <w:rsid w:val="00033C98"/>
    <w:rsid w:val="00033F61"/>
    <w:rsid w:val="00034047"/>
    <w:rsid w:val="00034707"/>
    <w:rsid w:val="00034A38"/>
    <w:rsid w:val="00035312"/>
    <w:rsid w:val="0003531F"/>
    <w:rsid w:val="00035AC3"/>
    <w:rsid w:val="000360B4"/>
    <w:rsid w:val="00036345"/>
    <w:rsid w:val="0003657C"/>
    <w:rsid w:val="0003689B"/>
    <w:rsid w:val="00036A2E"/>
    <w:rsid w:val="00036E01"/>
    <w:rsid w:val="0003702A"/>
    <w:rsid w:val="00037087"/>
    <w:rsid w:val="0003720B"/>
    <w:rsid w:val="00037E8B"/>
    <w:rsid w:val="000400A1"/>
    <w:rsid w:val="00040B0F"/>
    <w:rsid w:val="00040F0A"/>
    <w:rsid w:val="000420E2"/>
    <w:rsid w:val="00042648"/>
    <w:rsid w:val="00042A6D"/>
    <w:rsid w:val="00042F2A"/>
    <w:rsid w:val="0004301B"/>
    <w:rsid w:val="000431C7"/>
    <w:rsid w:val="000431D7"/>
    <w:rsid w:val="000434EE"/>
    <w:rsid w:val="00043AA7"/>
    <w:rsid w:val="00043B8C"/>
    <w:rsid w:val="00043E01"/>
    <w:rsid w:val="0004472B"/>
    <w:rsid w:val="00044758"/>
    <w:rsid w:val="00044889"/>
    <w:rsid w:val="00044DBA"/>
    <w:rsid w:val="000452C1"/>
    <w:rsid w:val="000454BF"/>
    <w:rsid w:val="0004567E"/>
    <w:rsid w:val="00045D92"/>
    <w:rsid w:val="00045F4F"/>
    <w:rsid w:val="00046075"/>
    <w:rsid w:val="00046E78"/>
    <w:rsid w:val="00047100"/>
    <w:rsid w:val="000472BF"/>
    <w:rsid w:val="0004794D"/>
    <w:rsid w:val="00047994"/>
    <w:rsid w:val="00047C54"/>
    <w:rsid w:val="00047E23"/>
    <w:rsid w:val="00050016"/>
    <w:rsid w:val="0005121A"/>
    <w:rsid w:val="00051265"/>
    <w:rsid w:val="000516D8"/>
    <w:rsid w:val="0005178C"/>
    <w:rsid w:val="00051951"/>
    <w:rsid w:val="000528B1"/>
    <w:rsid w:val="00052980"/>
    <w:rsid w:val="00052C8C"/>
    <w:rsid w:val="00052CCD"/>
    <w:rsid w:val="0005398B"/>
    <w:rsid w:val="00053A10"/>
    <w:rsid w:val="00053DEF"/>
    <w:rsid w:val="000546B6"/>
    <w:rsid w:val="00054B55"/>
    <w:rsid w:val="00055226"/>
    <w:rsid w:val="00055317"/>
    <w:rsid w:val="000558DC"/>
    <w:rsid w:val="000564BF"/>
    <w:rsid w:val="000569B8"/>
    <w:rsid w:val="00056E03"/>
    <w:rsid w:val="00056E95"/>
    <w:rsid w:val="0005718B"/>
    <w:rsid w:val="00057644"/>
    <w:rsid w:val="00057842"/>
    <w:rsid w:val="00057AB3"/>
    <w:rsid w:val="00057B42"/>
    <w:rsid w:val="00057C28"/>
    <w:rsid w:val="00060035"/>
    <w:rsid w:val="000604B0"/>
    <w:rsid w:val="00060EB3"/>
    <w:rsid w:val="00061479"/>
    <w:rsid w:val="0006181C"/>
    <w:rsid w:val="00061BE0"/>
    <w:rsid w:val="00061C62"/>
    <w:rsid w:val="00062436"/>
    <w:rsid w:val="000625FA"/>
    <w:rsid w:val="00062658"/>
    <w:rsid w:val="000627E7"/>
    <w:rsid w:val="00062886"/>
    <w:rsid w:val="00062D10"/>
    <w:rsid w:val="0006308A"/>
    <w:rsid w:val="00063501"/>
    <w:rsid w:val="00063FC9"/>
    <w:rsid w:val="00064215"/>
    <w:rsid w:val="00064516"/>
    <w:rsid w:val="0006482E"/>
    <w:rsid w:val="00064E6C"/>
    <w:rsid w:val="00065004"/>
    <w:rsid w:val="000653EF"/>
    <w:rsid w:val="00065589"/>
    <w:rsid w:val="0006564F"/>
    <w:rsid w:val="000656D2"/>
    <w:rsid w:val="00066054"/>
    <w:rsid w:val="000664AF"/>
    <w:rsid w:val="000666CA"/>
    <w:rsid w:val="0006671C"/>
    <w:rsid w:val="00066A9D"/>
    <w:rsid w:val="00066F68"/>
    <w:rsid w:val="00066FCE"/>
    <w:rsid w:val="000672C8"/>
    <w:rsid w:val="00067A81"/>
    <w:rsid w:val="00067BC0"/>
    <w:rsid w:val="00070047"/>
    <w:rsid w:val="00070295"/>
    <w:rsid w:val="0007074E"/>
    <w:rsid w:val="000707BC"/>
    <w:rsid w:val="00070805"/>
    <w:rsid w:val="000708B2"/>
    <w:rsid w:val="00070DF4"/>
    <w:rsid w:val="00070F69"/>
    <w:rsid w:val="00071125"/>
    <w:rsid w:val="0007125F"/>
    <w:rsid w:val="000718D6"/>
    <w:rsid w:val="00071CAE"/>
    <w:rsid w:val="00071F79"/>
    <w:rsid w:val="00072107"/>
    <w:rsid w:val="00073729"/>
    <w:rsid w:val="0007417F"/>
    <w:rsid w:val="00074766"/>
    <w:rsid w:val="00074839"/>
    <w:rsid w:val="00074A33"/>
    <w:rsid w:val="00074B21"/>
    <w:rsid w:val="00075275"/>
    <w:rsid w:val="0007534B"/>
    <w:rsid w:val="00075924"/>
    <w:rsid w:val="00075A09"/>
    <w:rsid w:val="0007629A"/>
    <w:rsid w:val="00076E98"/>
    <w:rsid w:val="0007739C"/>
    <w:rsid w:val="000776AC"/>
    <w:rsid w:val="00077F23"/>
    <w:rsid w:val="00080086"/>
    <w:rsid w:val="00080CD7"/>
    <w:rsid w:val="00080DA9"/>
    <w:rsid w:val="00080F80"/>
    <w:rsid w:val="00081682"/>
    <w:rsid w:val="00081773"/>
    <w:rsid w:val="00081EA2"/>
    <w:rsid w:val="00082098"/>
    <w:rsid w:val="00082810"/>
    <w:rsid w:val="00082A0A"/>
    <w:rsid w:val="00082BD0"/>
    <w:rsid w:val="00082C8E"/>
    <w:rsid w:val="00083743"/>
    <w:rsid w:val="0008376B"/>
    <w:rsid w:val="000839DA"/>
    <w:rsid w:val="00083EF6"/>
    <w:rsid w:val="00085022"/>
    <w:rsid w:val="000852C1"/>
    <w:rsid w:val="00085379"/>
    <w:rsid w:val="0008542C"/>
    <w:rsid w:val="00086B37"/>
    <w:rsid w:val="00086BCB"/>
    <w:rsid w:val="000901C0"/>
    <w:rsid w:val="000908E6"/>
    <w:rsid w:val="00090A74"/>
    <w:rsid w:val="00090CF2"/>
    <w:rsid w:val="00091A46"/>
    <w:rsid w:val="0009203B"/>
    <w:rsid w:val="00092E6D"/>
    <w:rsid w:val="0009301E"/>
    <w:rsid w:val="0009304B"/>
    <w:rsid w:val="000931D1"/>
    <w:rsid w:val="00093812"/>
    <w:rsid w:val="0009387A"/>
    <w:rsid w:val="0009388D"/>
    <w:rsid w:val="00093975"/>
    <w:rsid w:val="00093F79"/>
    <w:rsid w:val="00093F88"/>
    <w:rsid w:val="000949AB"/>
    <w:rsid w:val="00095467"/>
    <w:rsid w:val="00095BD0"/>
    <w:rsid w:val="0009618C"/>
    <w:rsid w:val="00096440"/>
    <w:rsid w:val="0009668B"/>
    <w:rsid w:val="00096877"/>
    <w:rsid w:val="00097449"/>
    <w:rsid w:val="000974C1"/>
    <w:rsid w:val="000975DB"/>
    <w:rsid w:val="0009767F"/>
    <w:rsid w:val="00097C81"/>
    <w:rsid w:val="000A02D3"/>
    <w:rsid w:val="000A04BB"/>
    <w:rsid w:val="000A0BCD"/>
    <w:rsid w:val="000A0C92"/>
    <w:rsid w:val="000A0D05"/>
    <w:rsid w:val="000A0D35"/>
    <w:rsid w:val="000A1C44"/>
    <w:rsid w:val="000A1F88"/>
    <w:rsid w:val="000A22B6"/>
    <w:rsid w:val="000A27DD"/>
    <w:rsid w:val="000A318B"/>
    <w:rsid w:val="000A32D3"/>
    <w:rsid w:val="000A35BF"/>
    <w:rsid w:val="000A3BC7"/>
    <w:rsid w:val="000A3E59"/>
    <w:rsid w:val="000A4204"/>
    <w:rsid w:val="000A42E5"/>
    <w:rsid w:val="000A4FD8"/>
    <w:rsid w:val="000A5047"/>
    <w:rsid w:val="000A531A"/>
    <w:rsid w:val="000A5391"/>
    <w:rsid w:val="000A5A27"/>
    <w:rsid w:val="000A5A6C"/>
    <w:rsid w:val="000A5EF9"/>
    <w:rsid w:val="000A6005"/>
    <w:rsid w:val="000A63E7"/>
    <w:rsid w:val="000A6AF4"/>
    <w:rsid w:val="000A6D06"/>
    <w:rsid w:val="000A74BD"/>
    <w:rsid w:val="000A7A40"/>
    <w:rsid w:val="000B0056"/>
    <w:rsid w:val="000B0356"/>
    <w:rsid w:val="000B06A3"/>
    <w:rsid w:val="000B0A25"/>
    <w:rsid w:val="000B0DC9"/>
    <w:rsid w:val="000B0F03"/>
    <w:rsid w:val="000B1720"/>
    <w:rsid w:val="000B1C5B"/>
    <w:rsid w:val="000B2443"/>
    <w:rsid w:val="000B252F"/>
    <w:rsid w:val="000B29F8"/>
    <w:rsid w:val="000B2A82"/>
    <w:rsid w:val="000B2B3E"/>
    <w:rsid w:val="000B2C02"/>
    <w:rsid w:val="000B2E0D"/>
    <w:rsid w:val="000B2FC4"/>
    <w:rsid w:val="000B2FD1"/>
    <w:rsid w:val="000B3E81"/>
    <w:rsid w:val="000B616A"/>
    <w:rsid w:val="000B61D0"/>
    <w:rsid w:val="000B6F07"/>
    <w:rsid w:val="000B709D"/>
    <w:rsid w:val="000B7CA9"/>
    <w:rsid w:val="000B7CFA"/>
    <w:rsid w:val="000B7F04"/>
    <w:rsid w:val="000C02BF"/>
    <w:rsid w:val="000C1127"/>
    <w:rsid w:val="000C124A"/>
    <w:rsid w:val="000C138B"/>
    <w:rsid w:val="000C1865"/>
    <w:rsid w:val="000C203E"/>
    <w:rsid w:val="000C2215"/>
    <w:rsid w:val="000C22C2"/>
    <w:rsid w:val="000C27C8"/>
    <w:rsid w:val="000C2849"/>
    <w:rsid w:val="000C2C0E"/>
    <w:rsid w:val="000C2D2F"/>
    <w:rsid w:val="000C3976"/>
    <w:rsid w:val="000C3A86"/>
    <w:rsid w:val="000C3A93"/>
    <w:rsid w:val="000C3D5B"/>
    <w:rsid w:val="000C4402"/>
    <w:rsid w:val="000C455B"/>
    <w:rsid w:val="000C4C38"/>
    <w:rsid w:val="000C4D4B"/>
    <w:rsid w:val="000C4EF8"/>
    <w:rsid w:val="000C4FEF"/>
    <w:rsid w:val="000C520B"/>
    <w:rsid w:val="000C5426"/>
    <w:rsid w:val="000C56DF"/>
    <w:rsid w:val="000C56EF"/>
    <w:rsid w:val="000C5DA2"/>
    <w:rsid w:val="000C605F"/>
    <w:rsid w:val="000C620C"/>
    <w:rsid w:val="000C62A7"/>
    <w:rsid w:val="000C6730"/>
    <w:rsid w:val="000C6957"/>
    <w:rsid w:val="000C6D68"/>
    <w:rsid w:val="000C708F"/>
    <w:rsid w:val="000C70B0"/>
    <w:rsid w:val="000C7392"/>
    <w:rsid w:val="000C77D5"/>
    <w:rsid w:val="000C7821"/>
    <w:rsid w:val="000C7C15"/>
    <w:rsid w:val="000D02B0"/>
    <w:rsid w:val="000D058D"/>
    <w:rsid w:val="000D0D3F"/>
    <w:rsid w:val="000D0DF5"/>
    <w:rsid w:val="000D1168"/>
    <w:rsid w:val="000D1303"/>
    <w:rsid w:val="000D191D"/>
    <w:rsid w:val="000D1C87"/>
    <w:rsid w:val="000D2265"/>
    <w:rsid w:val="000D22F7"/>
    <w:rsid w:val="000D25DC"/>
    <w:rsid w:val="000D2B9E"/>
    <w:rsid w:val="000D2EBD"/>
    <w:rsid w:val="000D3173"/>
    <w:rsid w:val="000D325A"/>
    <w:rsid w:val="000D34E1"/>
    <w:rsid w:val="000D36FE"/>
    <w:rsid w:val="000D3D79"/>
    <w:rsid w:val="000D45AA"/>
    <w:rsid w:val="000D462C"/>
    <w:rsid w:val="000D4768"/>
    <w:rsid w:val="000D4E63"/>
    <w:rsid w:val="000D533F"/>
    <w:rsid w:val="000D5420"/>
    <w:rsid w:val="000D5CC8"/>
    <w:rsid w:val="000D6243"/>
    <w:rsid w:val="000D6443"/>
    <w:rsid w:val="000D656E"/>
    <w:rsid w:val="000D6A60"/>
    <w:rsid w:val="000D6EA4"/>
    <w:rsid w:val="000D71AE"/>
    <w:rsid w:val="000D785B"/>
    <w:rsid w:val="000D7A4A"/>
    <w:rsid w:val="000D7F83"/>
    <w:rsid w:val="000E024E"/>
    <w:rsid w:val="000E0301"/>
    <w:rsid w:val="000E0D87"/>
    <w:rsid w:val="000E0E8E"/>
    <w:rsid w:val="000E11E8"/>
    <w:rsid w:val="000E16D3"/>
    <w:rsid w:val="000E2099"/>
    <w:rsid w:val="000E2717"/>
    <w:rsid w:val="000E2A4B"/>
    <w:rsid w:val="000E3339"/>
    <w:rsid w:val="000E37D1"/>
    <w:rsid w:val="000E380A"/>
    <w:rsid w:val="000E3A0A"/>
    <w:rsid w:val="000E3E1A"/>
    <w:rsid w:val="000E4388"/>
    <w:rsid w:val="000E4728"/>
    <w:rsid w:val="000E487B"/>
    <w:rsid w:val="000E4D3A"/>
    <w:rsid w:val="000E4DD1"/>
    <w:rsid w:val="000E5061"/>
    <w:rsid w:val="000E5EC1"/>
    <w:rsid w:val="000E6241"/>
    <w:rsid w:val="000E694E"/>
    <w:rsid w:val="000E69B9"/>
    <w:rsid w:val="000E6B9C"/>
    <w:rsid w:val="000E6D86"/>
    <w:rsid w:val="000E750B"/>
    <w:rsid w:val="000E7808"/>
    <w:rsid w:val="000F04F8"/>
    <w:rsid w:val="000F083F"/>
    <w:rsid w:val="000F1102"/>
    <w:rsid w:val="000F11E6"/>
    <w:rsid w:val="000F126F"/>
    <w:rsid w:val="000F1465"/>
    <w:rsid w:val="000F1BEE"/>
    <w:rsid w:val="000F30AF"/>
    <w:rsid w:val="000F36A5"/>
    <w:rsid w:val="000F3A11"/>
    <w:rsid w:val="000F4932"/>
    <w:rsid w:val="000F4A4F"/>
    <w:rsid w:val="000F4CDC"/>
    <w:rsid w:val="000F4DD3"/>
    <w:rsid w:val="000F5130"/>
    <w:rsid w:val="000F6114"/>
    <w:rsid w:val="000F6D36"/>
    <w:rsid w:val="000F7324"/>
    <w:rsid w:val="000F73A7"/>
    <w:rsid w:val="000F7FA2"/>
    <w:rsid w:val="001002DF"/>
    <w:rsid w:val="001002E4"/>
    <w:rsid w:val="00100340"/>
    <w:rsid w:val="00100A60"/>
    <w:rsid w:val="00100D9B"/>
    <w:rsid w:val="00100E37"/>
    <w:rsid w:val="00100F11"/>
    <w:rsid w:val="00100F44"/>
    <w:rsid w:val="0010118E"/>
    <w:rsid w:val="00101369"/>
    <w:rsid w:val="0010196C"/>
    <w:rsid w:val="001027AC"/>
    <w:rsid w:val="0010292F"/>
    <w:rsid w:val="00102977"/>
    <w:rsid w:val="001029B2"/>
    <w:rsid w:val="00102CD9"/>
    <w:rsid w:val="00102EEE"/>
    <w:rsid w:val="00103379"/>
    <w:rsid w:val="0010350B"/>
    <w:rsid w:val="00103547"/>
    <w:rsid w:val="00103579"/>
    <w:rsid w:val="0010381E"/>
    <w:rsid w:val="00103BD7"/>
    <w:rsid w:val="001046DC"/>
    <w:rsid w:val="00104A2C"/>
    <w:rsid w:val="001064E8"/>
    <w:rsid w:val="00106D11"/>
    <w:rsid w:val="00106FBB"/>
    <w:rsid w:val="001071FD"/>
    <w:rsid w:val="00107567"/>
    <w:rsid w:val="00107A27"/>
    <w:rsid w:val="00110B72"/>
    <w:rsid w:val="00110E8A"/>
    <w:rsid w:val="0011114D"/>
    <w:rsid w:val="00111A37"/>
    <w:rsid w:val="00111ABC"/>
    <w:rsid w:val="00112293"/>
    <w:rsid w:val="0011239A"/>
    <w:rsid w:val="00113A80"/>
    <w:rsid w:val="00113A85"/>
    <w:rsid w:val="0011428F"/>
    <w:rsid w:val="001142E2"/>
    <w:rsid w:val="001147B0"/>
    <w:rsid w:val="00114C03"/>
    <w:rsid w:val="00115BD0"/>
    <w:rsid w:val="001162BF"/>
    <w:rsid w:val="00116321"/>
    <w:rsid w:val="0011693E"/>
    <w:rsid w:val="00116CDE"/>
    <w:rsid w:val="00116EA3"/>
    <w:rsid w:val="00117257"/>
    <w:rsid w:val="00117B25"/>
    <w:rsid w:val="00117D74"/>
    <w:rsid w:val="00117DF4"/>
    <w:rsid w:val="001203B2"/>
    <w:rsid w:val="0012072F"/>
    <w:rsid w:val="00121579"/>
    <w:rsid w:val="00121F5D"/>
    <w:rsid w:val="001225F9"/>
    <w:rsid w:val="00122A2A"/>
    <w:rsid w:val="00122D12"/>
    <w:rsid w:val="00123037"/>
    <w:rsid w:val="0012335F"/>
    <w:rsid w:val="00123C4C"/>
    <w:rsid w:val="00123E3F"/>
    <w:rsid w:val="0012415F"/>
    <w:rsid w:val="0012462D"/>
    <w:rsid w:val="001246AF"/>
    <w:rsid w:val="00124F72"/>
    <w:rsid w:val="00125047"/>
    <w:rsid w:val="00125368"/>
    <w:rsid w:val="00125649"/>
    <w:rsid w:val="00125BDF"/>
    <w:rsid w:val="00125E7F"/>
    <w:rsid w:val="0012640A"/>
    <w:rsid w:val="001266CC"/>
    <w:rsid w:val="001267EB"/>
    <w:rsid w:val="00126BB6"/>
    <w:rsid w:val="00126C49"/>
    <w:rsid w:val="001301E9"/>
    <w:rsid w:val="001305CC"/>
    <w:rsid w:val="001306A8"/>
    <w:rsid w:val="00130DDF"/>
    <w:rsid w:val="0013168A"/>
    <w:rsid w:val="00131712"/>
    <w:rsid w:val="00131980"/>
    <w:rsid w:val="00131D7D"/>
    <w:rsid w:val="001321CA"/>
    <w:rsid w:val="0013231A"/>
    <w:rsid w:val="00132531"/>
    <w:rsid w:val="0013291F"/>
    <w:rsid w:val="001329B8"/>
    <w:rsid w:val="00132A57"/>
    <w:rsid w:val="00132DF8"/>
    <w:rsid w:val="00132DF9"/>
    <w:rsid w:val="00133697"/>
    <w:rsid w:val="00133B4B"/>
    <w:rsid w:val="00134432"/>
    <w:rsid w:val="00134721"/>
    <w:rsid w:val="00134E5A"/>
    <w:rsid w:val="00135004"/>
    <w:rsid w:val="00135134"/>
    <w:rsid w:val="00135170"/>
    <w:rsid w:val="00135B6F"/>
    <w:rsid w:val="00136128"/>
    <w:rsid w:val="001362DB"/>
    <w:rsid w:val="00136434"/>
    <w:rsid w:val="00136680"/>
    <w:rsid w:val="00136981"/>
    <w:rsid w:val="001369FE"/>
    <w:rsid w:val="00136AE6"/>
    <w:rsid w:val="00136C29"/>
    <w:rsid w:val="00136F45"/>
    <w:rsid w:val="00136FF4"/>
    <w:rsid w:val="00137538"/>
    <w:rsid w:val="001379C1"/>
    <w:rsid w:val="0014042E"/>
    <w:rsid w:val="001407EC"/>
    <w:rsid w:val="00141657"/>
    <w:rsid w:val="001418D4"/>
    <w:rsid w:val="00141F3F"/>
    <w:rsid w:val="00142725"/>
    <w:rsid w:val="00142AC8"/>
    <w:rsid w:val="00142E19"/>
    <w:rsid w:val="00142EED"/>
    <w:rsid w:val="00142F50"/>
    <w:rsid w:val="00143230"/>
    <w:rsid w:val="001434B1"/>
    <w:rsid w:val="00143775"/>
    <w:rsid w:val="001444B6"/>
    <w:rsid w:val="00144A52"/>
    <w:rsid w:val="00144D21"/>
    <w:rsid w:val="00144D75"/>
    <w:rsid w:val="0014567D"/>
    <w:rsid w:val="001458D7"/>
    <w:rsid w:val="00145A67"/>
    <w:rsid w:val="00145C8D"/>
    <w:rsid w:val="00145E1A"/>
    <w:rsid w:val="00146817"/>
    <w:rsid w:val="00146929"/>
    <w:rsid w:val="00146A79"/>
    <w:rsid w:val="00146C76"/>
    <w:rsid w:val="00147481"/>
    <w:rsid w:val="001479A4"/>
    <w:rsid w:val="00147DF2"/>
    <w:rsid w:val="001502DA"/>
    <w:rsid w:val="00150533"/>
    <w:rsid w:val="00150B7A"/>
    <w:rsid w:val="00150CA8"/>
    <w:rsid w:val="001513AE"/>
    <w:rsid w:val="001519AB"/>
    <w:rsid w:val="00151A6E"/>
    <w:rsid w:val="00151C75"/>
    <w:rsid w:val="00151D1A"/>
    <w:rsid w:val="00151DCA"/>
    <w:rsid w:val="00152155"/>
    <w:rsid w:val="0015241B"/>
    <w:rsid w:val="00152663"/>
    <w:rsid w:val="00152DD6"/>
    <w:rsid w:val="001530E0"/>
    <w:rsid w:val="0015326E"/>
    <w:rsid w:val="00153AA8"/>
    <w:rsid w:val="0015458F"/>
    <w:rsid w:val="001546DF"/>
    <w:rsid w:val="001547C9"/>
    <w:rsid w:val="00154A6F"/>
    <w:rsid w:val="00155217"/>
    <w:rsid w:val="001553F4"/>
    <w:rsid w:val="00155895"/>
    <w:rsid w:val="0015643B"/>
    <w:rsid w:val="001565C1"/>
    <w:rsid w:val="001568F2"/>
    <w:rsid w:val="001569D6"/>
    <w:rsid w:val="00157077"/>
    <w:rsid w:val="00157EC0"/>
    <w:rsid w:val="00160459"/>
    <w:rsid w:val="001607FF"/>
    <w:rsid w:val="001609CC"/>
    <w:rsid w:val="00160C53"/>
    <w:rsid w:val="00160D5C"/>
    <w:rsid w:val="0016190C"/>
    <w:rsid w:val="001619F2"/>
    <w:rsid w:val="00161CE1"/>
    <w:rsid w:val="00161DC6"/>
    <w:rsid w:val="00161F22"/>
    <w:rsid w:val="001624FF"/>
    <w:rsid w:val="00162D53"/>
    <w:rsid w:val="00163040"/>
    <w:rsid w:val="0016333D"/>
    <w:rsid w:val="0016342D"/>
    <w:rsid w:val="00163AC2"/>
    <w:rsid w:val="00163B61"/>
    <w:rsid w:val="00163B90"/>
    <w:rsid w:val="00164A42"/>
    <w:rsid w:val="00164C7D"/>
    <w:rsid w:val="00164E89"/>
    <w:rsid w:val="001656B0"/>
    <w:rsid w:val="00165973"/>
    <w:rsid w:val="00165EFE"/>
    <w:rsid w:val="00166029"/>
    <w:rsid w:val="0016607E"/>
    <w:rsid w:val="001661F8"/>
    <w:rsid w:val="001663A5"/>
    <w:rsid w:val="0016651D"/>
    <w:rsid w:val="00166641"/>
    <w:rsid w:val="00166AF4"/>
    <w:rsid w:val="00166ECA"/>
    <w:rsid w:val="001670D1"/>
    <w:rsid w:val="00167503"/>
    <w:rsid w:val="0016751F"/>
    <w:rsid w:val="00167876"/>
    <w:rsid w:val="00167BC3"/>
    <w:rsid w:val="00170AF2"/>
    <w:rsid w:val="00170B81"/>
    <w:rsid w:val="00170C9D"/>
    <w:rsid w:val="001711B0"/>
    <w:rsid w:val="00171584"/>
    <w:rsid w:val="00171673"/>
    <w:rsid w:val="00172FF2"/>
    <w:rsid w:val="001731A7"/>
    <w:rsid w:val="00173B5A"/>
    <w:rsid w:val="001741CA"/>
    <w:rsid w:val="0017424D"/>
    <w:rsid w:val="001748BF"/>
    <w:rsid w:val="0017519D"/>
    <w:rsid w:val="001757C8"/>
    <w:rsid w:val="00175B40"/>
    <w:rsid w:val="0017648A"/>
    <w:rsid w:val="00176662"/>
    <w:rsid w:val="0017683C"/>
    <w:rsid w:val="00176D55"/>
    <w:rsid w:val="00177112"/>
    <w:rsid w:val="00177223"/>
    <w:rsid w:val="00177514"/>
    <w:rsid w:val="00177521"/>
    <w:rsid w:val="001777C0"/>
    <w:rsid w:val="00177BBE"/>
    <w:rsid w:val="00180008"/>
    <w:rsid w:val="0018036E"/>
    <w:rsid w:val="00180915"/>
    <w:rsid w:val="0018097B"/>
    <w:rsid w:val="00180CDF"/>
    <w:rsid w:val="001810F6"/>
    <w:rsid w:val="00181132"/>
    <w:rsid w:val="001813ED"/>
    <w:rsid w:val="00181AE2"/>
    <w:rsid w:val="00181BDB"/>
    <w:rsid w:val="00181C5B"/>
    <w:rsid w:val="00181EDD"/>
    <w:rsid w:val="00182157"/>
    <w:rsid w:val="00182391"/>
    <w:rsid w:val="001823BE"/>
    <w:rsid w:val="00182879"/>
    <w:rsid w:val="001829BA"/>
    <w:rsid w:val="00182AC2"/>
    <w:rsid w:val="00182E57"/>
    <w:rsid w:val="00183007"/>
    <w:rsid w:val="00183AF2"/>
    <w:rsid w:val="00183DE7"/>
    <w:rsid w:val="00184442"/>
    <w:rsid w:val="00184540"/>
    <w:rsid w:val="001845A7"/>
    <w:rsid w:val="001845FC"/>
    <w:rsid w:val="00184A5F"/>
    <w:rsid w:val="00184B4D"/>
    <w:rsid w:val="00184BEB"/>
    <w:rsid w:val="00185790"/>
    <w:rsid w:val="00185CD4"/>
    <w:rsid w:val="0018602D"/>
    <w:rsid w:val="001861FF"/>
    <w:rsid w:val="0018657D"/>
    <w:rsid w:val="001865B1"/>
    <w:rsid w:val="001866E9"/>
    <w:rsid w:val="001868EA"/>
    <w:rsid w:val="00186C69"/>
    <w:rsid w:val="0018739B"/>
    <w:rsid w:val="00187585"/>
    <w:rsid w:val="001875B9"/>
    <w:rsid w:val="0018769D"/>
    <w:rsid w:val="0019007C"/>
    <w:rsid w:val="00190608"/>
    <w:rsid w:val="00190B68"/>
    <w:rsid w:val="00190D02"/>
    <w:rsid w:val="00191401"/>
    <w:rsid w:val="00191423"/>
    <w:rsid w:val="0019158C"/>
    <w:rsid w:val="001918A1"/>
    <w:rsid w:val="00191E66"/>
    <w:rsid w:val="001923A5"/>
    <w:rsid w:val="0019251E"/>
    <w:rsid w:val="00192611"/>
    <w:rsid w:val="00192900"/>
    <w:rsid w:val="00192C1E"/>
    <w:rsid w:val="00192ED2"/>
    <w:rsid w:val="001934A8"/>
    <w:rsid w:val="0019380E"/>
    <w:rsid w:val="00193CD4"/>
    <w:rsid w:val="00194F52"/>
    <w:rsid w:val="00195565"/>
    <w:rsid w:val="00195B16"/>
    <w:rsid w:val="00195CB8"/>
    <w:rsid w:val="00195CE8"/>
    <w:rsid w:val="00195ECF"/>
    <w:rsid w:val="00196084"/>
    <w:rsid w:val="00196D42"/>
    <w:rsid w:val="00196EA8"/>
    <w:rsid w:val="00197BBD"/>
    <w:rsid w:val="00197F44"/>
    <w:rsid w:val="001A0095"/>
    <w:rsid w:val="001A064D"/>
    <w:rsid w:val="001A066C"/>
    <w:rsid w:val="001A1BC6"/>
    <w:rsid w:val="001A20B7"/>
    <w:rsid w:val="001A2268"/>
    <w:rsid w:val="001A2398"/>
    <w:rsid w:val="001A243E"/>
    <w:rsid w:val="001A366B"/>
    <w:rsid w:val="001A3779"/>
    <w:rsid w:val="001A37CD"/>
    <w:rsid w:val="001A3AA7"/>
    <w:rsid w:val="001A3D1D"/>
    <w:rsid w:val="001A42F2"/>
    <w:rsid w:val="001A4B8C"/>
    <w:rsid w:val="001A5090"/>
    <w:rsid w:val="001A5359"/>
    <w:rsid w:val="001A5F43"/>
    <w:rsid w:val="001A64BA"/>
    <w:rsid w:val="001A66DC"/>
    <w:rsid w:val="001A67CE"/>
    <w:rsid w:val="001A6DC9"/>
    <w:rsid w:val="001A7633"/>
    <w:rsid w:val="001A7A96"/>
    <w:rsid w:val="001A7F04"/>
    <w:rsid w:val="001A7F31"/>
    <w:rsid w:val="001B00D4"/>
    <w:rsid w:val="001B010F"/>
    <w:rsid w:val="001B0633"/>
    <w:rsid w:val="001B09A4"/>
    <w:rsid w:val="001B0B11"/>
    <w:rsid w:val="001B0B64"/>
    <w:rsid w:val="001B0B94"/>
    <w:rsid w:val="001B0C63"/>
    <w:rsid w:val="001B1576"/>
    <w:rsid w:val="001B1C76"/>
    <w:rsid w:val="001B1E24"/>
    <w:rsid w:val="001B1E4A"/>
    <w:rsid w:val="001B2691"/>
    <w:rsid w:val="001B3458"/>
    <w:rsid w:val="001B462E"/>
    <w:rsid w:val="001B4958"/>
    <w:rsid w:val="001B4C4A"/>
    <w:rsid w:val="001B52A4"/>
    <w:rsid w:val="001B53F7"/>
    <w:rsid w:val="001B57E3"/>
    <w:rsid w:val="001B5FFA"/>
    <w:rsid w:val="001B668C"/>
    <w:rsid w:val="001B6B8E"/>
    <w:rsid w:val="001B6CAB"/>
    <w:rsid w:val="001B6CD8"/>
    <w:rsid w:val="001B70C5"/>
    <w:rsid w:val="001B739B"/>
    <w:rsid w:val="001B78C2"/>
    <w:rsid w:val="001C031D"/>
    <w:rsid w:val="001C08F9"/>
    <w:rsid w:val="001C1167"/>
    <w:rsid w:val="001C13CB"/>
    <w:rsid w:val="001C1550"/>
    <w:rsid w:val="001C16BA"/>
    <w:rsid w:val="001C16FA"/>
    <w:rsid w:val="001C1EC6"/>
    <w:rsid w:val="001C227D"/>
    <w:rsid w:val="001C22EE"/>
    <w:rsid w:val="001C242F"/>
    <w:rsid w:val="001C2A62"/>
    <w:rsid w:val="001C2B7B"/>
    <w:rsid w:val="001C2D85"/>
    <w:rsid w:val="001C2F01"/>
    <w:rsid w:val="001C2F47"/>
    <w:rsid w:val="001C2FE7"/>
    <w:rsid w:val="001C39AF"/>
    <w:rsid w:val="001C3CA5"/>
    <w:rsid w:val="001C429E"/>
    <w:rsid w:val="001C4418"/>
    <w:rsid w:val="001C4AAF"/>
    <w:rsid w:val="001C57A6"/>
    <w:rsid w:val="001C59E2"/>
    <w:rsid w:val="001C5E1D"/>
    <w:rsid w:val="001C5E58"/>
    <w:rsid w:val="001C5FC3"/>
    <w:rsid w:val="001C64D5"/>
    <w:rsid w:val="001C66BC"/>
    <w:rsid w:val="001C68B1"/>
    <w:rsid w:val="001C6C47"/>
    <w:rsid w:val="001C7169"/>
    <w:rsid w:val="001C71C5"/>
    <w:rsid w:val="001C7442"/>
    <w:rsid w:val="001C76A0"/>
    <w:rsid w:val="001C7FEC"/>
    <w:rsid w:val="001D01CF"/>
    <w:rsid w:val="001D06C2"/>
    <w:rsid w:val="001D0F14"/>
    <w:rsid w:val="001D12B6"/>
    <w:rsid w:val="001D16B3"/>
    <w:rsid w:val="001D2461"/>
    <w:rsid w:val="001D24A5"/>
    <w:rsid w:val="001D2606"/>
    <w:rsid w:val="001D260E"/>
    <w:rsid w:val="001D29B7"/>
    <w:rsid w:val="001D2C2D"/>
    <w:rsid w:val="001D2CAE"/>
    <w:rsid w:val="001D3C59"/>
    <w:rsid w:val="001D3D4F"/>
    <w:rsid w:val="001D4907"/>
    <w:rsid w:val="001D4CFE"/>
    <w:rsid w:val="001D5060"/>
    <w:rsid w:val="001D54EE"/>
    <w:rsid w:val="001D5733"/>
    <w:rsid w:val="001D5864"/>
    <w:rsid w:val="001D5AB3"/>
    <w:rsid w:val="001D5BD4"/>
    <w:rsid w:val="001D5EAE"/>
    <w:rsid w:val="001D617F"/>
    <w:rsid w:val="001D63D7"/>
    <w:rsid w:val="001D6E91"/>
    <w:rsid w:val="001D79A9"/>
    <w:rsid w:val="001E0139"/>
    <w:rsid w:val="001E016B"/>
    <w:rsid w:val="001E03A5"/>
    <w:rsid w:val="001E047C"/>
    <w:rsid w:val="001E0497"/>
    <w:rsid w:val="001E0756"/>
    <w:rsid w:val="001E0A6B"/>
    <w:rsid w:val="001E0B43"/>
    <w:rsid w:val="001E0C55"/>
    <w:rsid w:val="001E10B7"/>
    <w:rsid w:val="001E1327"/>
    <w:rsid w:val="001E1532"/>
    <w:rsid w:val="001E1668"/>
    <w:rsid w:val="001E17DD"/>
    <w:rsid w:val="001E18EC"/>
    <w:rsid w:val="001E1DC0"/>
    <w:rsid w:val="001E1EF6"/>
    <w:rsid w:val="001E2D06"/>
    <w:rsid w:val="001E2D2D"/>
    <w:rsid w:val="001E34F6"/>
    <w:rsid w:val="001E3537"/>
    <w:rsid w:val="001E36E2"/>
    <w:rsid w:val="001E39AB"/>
    <w:rsid w:val="001E3A21"/>
    <w:rsid w:val="001E3F68"/>
    <w:rsid w:val="001E405D"/>
    <w:rsid w:val="001E4168"/>
    <w:rsid w:val="001E484B"/>
    <w:rsid w:val="001E4C29"/>
    <w:rsid w:val="001E4D46"/>
    <w:rsid w:val="001E501C"/>
    <w:rsid w:val="001E52C3"/>
    <w:rsid w:val="001E538E"/>
    <w:rsid w:val="001E53A5"/>
    <w:rsid w:val="001E57D8"/>
    <w:rsid w:val="001E624D"/>
    <w:rsid w:val="001E7625"/>
    <w:rsid w:val="001E789B"/>
    <w:rsid w:val="001E7AFF"/>
    <w:rsid w:val="001E7EE1"/>
    <w:rsid w:val="001F02EC"/>
    <w:rsid w:val="001F12F8"/>
    <w:rsid w:val="001F135B"/>
    <w:rsid w:val="001F15A1"/>
    <w:rsid w:val="001F15EF"/>
    <w:rsid w:val="001F17A8"/>
    <w:rsid w:val="001F18C0"/>
    <w:rsid w:val="001F247B"/>
    <w:rsid w:val="001F27A1"/>
    <w:rsid w:val="001F2875"/>
    <w:rsid w:val="001F2BA1"/>
    <w:rsid w:val="001F2D7D"/>
    <w:rsid w:val="001F30F4"/>
    <w:rsid w:val="001F3A85"/>
    <w:rsid w:val="001F3DE4"/>
    <w:rsid w:val="001F4043"/>
    <w:rsid w:val="001F4567"/>
    <w:rsid w:val="001F4664"/>
    <w:rsid w:val="001F49B5"/>
    <w:rsid w:val="001F4CAA"/>
    <w:rsid w:val="001F5268"/>
    <w:rsid w:val="001F56AF"/>
    <w:rsid w:val="001F56D4"/>
    <w:rsid w:val="001F5BDB"/>
    <w:rsid w:val="001F6A68"/>
    <w:rsid w:val="001F6CC7"/>
    <w:rsid w:val="001F7235"/>
    <w:rsid w:val="001F74AC"/>
    <w:rsid w:val="001F775B"/>
    <w:rsid w:val="001F79A0"/>
    <w:rsid w:val="001F7A75"/>
    <w:rsid w:val="00200097"/>
    <w:rsid w:val="00200172"/>
    <w:rsid w:val="002008D9"/>
    <w:rsid w:val="00200945"/>
    <w:rsid w:val="0020153C"/>
    <w:rsid w:val="00201746"/>
    <w:rsid w:val="00201B20"/>
    <w:rsid w:val="00201BBE"/>
    <w:rsid w:val="00202600"/>
    <w:rsid w:val="0020284C"/>
    <w:rsid w:val="002031B9"/>
    <w:rsid w:val="00203AF1"/>
    <w:rsid w:val="00203BCC"/>
    <w:rsid w:val="00203F0B"/>
    <w:rsid w:val="00204024"/>
    <w:rsid w:val="00204149"/>
    <w:rsid w:val="00204465"/>
    <w:rsid w:val="00205328"/>
    <w:rsid w:val="002053B4"/>
    <w:rsid w:val="00205503"/>
    <w:rsid w:val="0020568C"/>
    <w:rsid w:val="00205B30"/>
    <w:rsid w:val="00205EB8"/>
    <w:rsid w:val="00206134"/>
    <w:rsid w:val="00206686"/>
    <w:rsid w:val="00206A5F"/>
    <w:rsid w:val="00207212"/>
    <w:rsid w:val="00207763"/>
    <w:rsid w:val="00207ECC"/>
    <w:rsid w:val="00210421"/>
    <w:rsid w:val="002104F9"/>
    <w:rsid w:val="0021087F"/>
    <w:rsid w:val="00210F9F"/>
    <w:rsid w:val="00210FFA"/>
    <w:rsid w:val="0021302D"/>
    <w:rsid w:val="00213E0C"/>
    <w:rsid w:val="00213E5F"/>
    <w:rsid w:val="002141D3"/>
    <w:rsid w:val="00214431"/>
    <w:rsid w:val="00214C97"/>
    <w:rsid w:val="00214E68"/>
    <w:rsid w:val="002151CE"/>
    <w:rsid w:val="00215448"/>
    <w:rsid w:val="002158A0"/>
    <w:rsid w:val="00215B7F"/>
    <w:rsid w:val="00216930"/>
    <w:rsid w:val="00216EC4"/>
    <w:rsid w:val="00217646"/>
    <w:rsid w:val="00217C43"/>
    <w:rsid w:val="00217CD8"/>
    <w:rsid w:val="0022020A"/>
    <w:rsid w:val="002203E5"/>
    <w:rsid w:val="00220B80"/>
    <w:rsid w:val="002218AB"/>
    <w:rsid w:val="00221CCA"/>
    <w:rsid w:val="00222427"/>
    <w:rsid w:val="00222A8E"/>
    <w:rsid w:val="0022314A"/>
    <w:rsid w:val="00223407"/>
    <w:rsid w:val="0022340F"/>
    <w:rsid w:val="002238C8"/>
    <w:rsid w:val="002239EE"/>
    <w:rsid w:val="00223D11"/>
    <w:rsid w:val="00223F11"/>
    <w:rsid w:val="00224A1F"/>
    <w:rsid w:val="002250DA"/>
    <w:rsid w:val="002251D1"/>
    <w:rsid w:val="00225C37"/>
    <w:rsid w:val="0022717B"/>
    <w:rsid w:val="0022797E"/>
    <w:rsid w:val="00227E6F"/>
    <w:rsid w:val="00230C02"/>
    <w:rsid w:val="00230E54"/>
    <w:rsid w:val="00231399"/>
    <w:rsid w:val="0023156D"/>
    <w:rsid w:val="002317F5"/>
    <w:rsid w:val="00231B63"/>
    <w:rsid w:val="00231BCC"/>
    <w:rsid w:val="00231F1A"/>
    <w:rsid w:val="002321E8"/>
    <w:rsid w:val="002327D1"/>
    <w:rsid w:val="00232817"/>
    <w:rsid w:val="00232AE0"/>
    <w:rsid w:val="00232C90"/>
    <w:rsid w:val="00233097"/>
    <w:rsid w:val="00233549"/>
    <w:rsid w:val="0023367F"/>
    <w:rsid w:val="00233797"/>
    <w:rsid w:val="00233A3A"/>
    <w:rsid w:val="002343DE"/>
    <w:rsid w:val="002345F7"/>
    <w:rsid w:val="002350A7"/>
    <w:rsid w:val="00235111"/>
    <w:rsid w:val="002351B2"/>
    <w:rsid w:val="00235887"/>
    <w:rsid w:val="0023595B"/>
    <w:rsid w:val="00235D0F"/>
    <w:rsid w:val="00235DC9"/>
    <w:rsid w:val="00236776"/>
    <w:rsid w:val="00236B7A"/>
    <w:rsid w:val="0023711E"/>
    <w:rsid w:val="00237372"/>
    <w:rsid w:val="00237376"/>
    <w:rsid w:val="00237453"/>
    <w:rsid w:val="00237653"/>
    <w:rsid w:val="0023768F"/>
    <w:rsid w:val="0023797D"/>
    <w:rsid w:val="00237A50"/>
    <w:rsid w:val="00240048"/>
    <w:rsid w:val="00240274"/>
    <w:rsid w:val="00240541"/>
    <w:rsid w:val="002405F9"/>
    <w:rsid w:val="002413AD"/>
    <w:rsid w:val="002414C3"/>
    <w:rsid w:val="0024153B"/>
    <w:rsid w:val="002417C1"/>
    <w:rsid w:val="0024180F"/>
    <w:rsid w:val="00241B2E"/>
    <w:rsid w:val="00241B8E"/>
    <w:rsid w:val="00241CCB"/>
    <w:rsid w:val="002421B1"/>
    <w:rsid w:val="0024227B"/>
    <w:rsid w:val="002424F5"/>
    <w:rsid w:val="0024278A"/>
    <w:rsid w:val="00242A90"/>
    <w:rsid w:val="00242B43"/>
    <w:rsid w:val="00242EC2"/>
    <w:rsid w:val="002430B2"/>
    <w:rsid w:val="002436C1"/>
    <w:rsid w:val="002438E3"/>
    <w:rsid w:val="00243B20"/>
    <w:rsid w:val="00243B9A"/>
    <w:rsid w:val="00243D05"/>
    <w:rsid w:val="00244392"/>
    <w:rsid w:val="00244781"/>
    <w:rsid w:val="002449C3"/>
    <w:rsid w:val="00244A82"/>
    <w:rsid w:val="002451EB"/>
    <w:rsid w:val="00245860"/>
    <w:rsid w:val="0024603D"/>
    <w:rsid w:val="00246291"/>
    <w:rsid w:val="002464A3"/>
    <w:rsid w:val="002469B9"/>
    <w:rsid w:val="002471CE"/>
    <w:rsid w:val="002471F1"/>
    <w:rsid w:val="00247341"/>
    <w:rsid w:val="0024739F"/>
    <w:rsid w:val="002479DE"/>
    <w:rsid w:val="002506CE"/>
    <w:rsid w:val="00250C86"/>
    <w:rsid w:val="00250F26"/>
    <w:rsid w:val="00251236"/>
    <w:rsid w:val="00251401"/>
    <w:rsid w:val="002514D7"/>
    <w:rsid w:val="002525F5"/>
    <w:rsid w:val="0025272A"/>
    <w:rsid w:val="002528EA"/>
    <w:rsid w:val="00252A0F"/>
    <w:rsid w:val="00253018"/>
    <w:rsid w:val="002531D7"/>
    <w:rsid w:val="002531F6"/>
    <w:rsid w:val="00253C55"/>
    <w:rsid w:val="0025403B"/>
    <w:rsid w:val="00254128"/>
    <w:rsid w:val="00254219"/>
    <w:rsid w:val="0025469D"/>
    <w:rsid w:val="00254785"/>
    <w:rsid w:val="00255309"/>
    <w:rsid w:val="00255C13"/>
    <w:rsid w:val="00256962"/>
    <w:rsid w:val="00256B12"/>
    <w:rsid w:val="00256B4E"/>
    <w:rsid w:val="00256DF5"/>
    <w:rsid w:val="0025775A"/>
    <w:rsid w:val="00257A97"/>
    <w:rsid w:val="0026021A"/>
    <w:rsid w:val="00260443"/>
    <w:rsid w:val="00260E64"/>
    <w:rsid w:val="00261624"/>
    <w:rsid w:val="002616AA"/>
    <w:rsid w:val="00261749"/>
    <w:rsid w:val="00261809"/>
    <w:rsid w:val="00261901"/>
    <w:rsid w:val="002620D9"/>
    <w:rsid w:val="00262237"/>
    <w:rsid w:val="00262819"/>
    <w:rsid w:val="00262CA2"/>
    <w:rsid w:val="00262CAD"/>
    <w:rsid w:val="00263379"/>
    <w:rsid w:val="002638BF"/>
    <w:rsid w:val="002643CD"/>
    <w:rsid w:val="00264545"/>
    <w:rsid w:val="002646D3"/>
    <w:rsid w:val="00264810"/>
    <w:rsid w:val="00264A8E"/>
    <w:rsid w:val="002657C2"/>
    <w:rsid w:val="002658C7"/>
    <w:rsid w:val="00265982"/>
    <w:rsid w:val="00265A1E"/>
    <w:rsid w:val="00265B2C"/>
    <w:rsid w:val="00266D0D"/>
    <w:rsid w:val="00266DD3"/>
    <w:rsid w:val="00267394"/>
    <w:rsid w:val="0026752C"/>
    <w:rsid w:val="00267D7A"/>
    <w:rsid w:val="00267F82"/>
    <w:rsid w:val="00270161"/>
    <w:rsid w:val="0027046E"/>
    <w:rsid w:val="00270537"/>
    <w:rsid w:val="00270F88"/>
    <w:rsid w:val="002710ED"/>
    <w:rsid w:val="002715EF"/>
    <w:rsid w:val="002718A5"/>
    <w:rsid w:val="00271997"/>
    <w:rsid w:val="002719E6"/>
    <w:rsid w:val="00271C40"/>
    <w:rsid w:val="00271EC0"/>
    <w:rsid w:val="0027288F"/>
    <w:rsid w:val="00272B56"/>
    <w:rsid w:val="00272DFB"/>
    <w:rsid w:val="00272E25"/>
    <w:rsid w:val="00273884"/>
    <w:rsid w:val="00274176"/>
    <w:rsid w:val="0027429C"/>
    <w:rsid w:val="00274360"/>
    <w:rsid w:val="002745BD"/>
    <w:rsid w:val="00274D40"/>
    <w:rsid w:val="00274EFF"/>
    <w:rsid w:val="0027530F"/>
    <w:rsid w:val="00275DEF"/>
    <w:rsid w:val="002760AC"/>
    <w:rsid w:val="002760E9"/>
    <w:rsid w:val="0027635B"/>
    <w:rsid w:val="00276393"/>
    <w:rsid w:val="002765C8"/>
    <w:rsid w:val="00276E2E"/>
    <w:rsid w:val="00276EB2"/>
    <w:rsid w:val="00276EE1"/>
    <w:rsid w:val="00276F4E"/>
    <w:rsid w:val="00277072"/>
    <w:rsid w:val="00277353"/>
    <w:rsid w:val="00277407"/>
    <w:rsid w:val="002776ED"/>
    <w:rsid w:val="00277910"/>
    <w:rsid w:val="002806B4"/>
    <w:rsid w:val="00280BD6"/>
    <w:rsid w:val="00281480"/>
    <w:rsid w:val="00281A49"/>
    <w:rsid w:val="00281A5F"/>
    <w:rsid w:val="00281E32"/>
    <w:rsid w:val="00281E6F"/>
    <w:rsid w:val="00281EAF"/>
    <w:rsid w:val="002822F1"/>
    <w:rsid w:val="0028263D"/>
    <w:rsid w:val="00282B67"/>
    <w:rsid w:val="0028358E"/>
    <w:rsid w:val="00283676"/>
    <w:rsid w:val="00283A4F"/>
    <w:rsid w:val="00283B72"/>
    <w:rsid w:val="00283E97"/>
    <w:rsid w:val="00283F09"/>
    <w:rsid w:val="002841FA"/>
    <w:rsid w:val="002848BB"/>
    <w:rsid w:val="00284DD8"/>
    <w:rsid w:val="00285228"/>
    <w:rsid w:val="002854A3"/>
    <w:rsid w:val="0028609F"/>
    <w:rsid w:val="00286171"/>
    <w:rsid w:val="00286B19"/>
    <w:rsid w:val="00287274"/>
    <w:rsid w:val="002878B6"/>
    <w:rsid w:val="002879C7"/>
    <w:rsid w:val="00287AE8"/>
    <w:rsid w:val="0029020C"/>
    <w:rsid w:val="00290586"/>
    <w:rsid w:val="00290859"/>
    <w:rsid w:val="002912FE"/>
    <w:rsid w:val="0029155F"/>
    <w:rsid w:val="002916A0"/>
    <w:rsid w:val="002922E4"/>
    <w:rsid w:val="002924B3"/>
    <w:rsid w:val="00292D43"/>
    <w:rsid w:val="00292E17"/>
    <w:rsid w:val="0029320E"/>
    <w:rsid w:val="0029343E"/>
    <w:rsid w:val="002938FF"/>
    <w:rsid w:val="00293AFA"/>
    <w:rsid w:val="002940FE"/>
    <w:rsid w:val="002941CF"/>
    <w:rsid w:val="00294C71"/>
    <w:rsid w:val="002951AB"/>
    <w:rsid w:val="00295402"/>
    <w:rsid w:val="00295637"/>
    <w:rsid w:val="002965B8"/>
    <w:rsid w:val="00296AB9"/>
    <w:rsid w:val="00296B96"/>
    <w:rsid w:val="00296CFA"/>
    <w:rsid w:val="002974F9"/>
    <w:rsid w:val="00297C49"/>
    <w:rsid w:val="00297DC7"/>
    <w:rsid w:val="00297F66"/>
    <w:rsid w:val="002A010A"/>
    <w:rsid w:val="002A01D0"/>
    <w:rsid w:val="002A0288"/>
    <w:rsid w:val="002A0708"/>
    <w:rsid w:val="002A0E08"/>
    <w:rsid w:val="002A171E"/>
    <w:rsid w:val="002A17FC"/>
    <w:rsid w:val="002A1ECD"/>
    <w:rsid w:val="002A2389"/>
    <w:rsid w:val="002A28A1"/>
    <w:rsid w:val="002A29B1"/>
    <w:rsid w:val="002A2C30"/>
    <w:rsid w:val="002A2EFE"/>
    <w:rsid w:val="002A3853"/>
    <w:rsid w:val="002A3FF5"/>
    <w:rsid w:val="002A40DE"/>
    <w:rsid w:val="002A493A"/>
    <w:rsid w:val="002A4A6A"/>
    <w:rsid w:val="002A4F8D"/>
    <w:rsid w:val="002A519B"/>
    <w:rsid w:val="002A54F7"/>
    <w:rsid w:val="002A58B3"/>
    <w:rsid w:val="002A5AB6"/>
    <w:rsid w:val="002A605A"/>
    <w:rsid w:val="002A65D5"/>
    <w:rsid w:val="002A6D3D"/>
    <w:rsid w:val="002A706F"/>
    <w:rsid w:val="002A7FAC"/>
    <w:rsid w:val="002A7FB0"/>
    <w:rsid w:val="002B0125"/>
    <w:rsid w:val="002B093F"/>
    <w:rsid w:val="002B1094"/>
    <w:rsid w:val="002B16B4"/>
    <w:rsid w:val="002B1EC8"/>
    <w:rsid w:val="002B24A9"/>
    <w:rsid w:val="002B28DE"/>
    <w:rsid w:val="002B37EC"/>
    <w:rsid w:val="002B3A9A"/>
    <w:rsid w:val="002B4450"/>
    <w:rsid w:val="002B4977"/>
    <w:rsid w:val="002B4BC3"/>
    <w:rsid w:val="002B5295"/>
    <w:rsid w:val="002B558A"/>
    <w:rsid w:val="002B56DD"/>
    <w:rsid w:val="002B5A04"/>
    <w:rsid w:val="002B5A19"/>
    <w:rsid w:val="002B5A70"/>
    <w:rsid w:val="002B65B7"/>
    <w:rsid w:val="002B7194"/>
    <w:rsid w:val="002B744D"/>
    <w:rsid w:val="002B76AE"/>
    <w:rsid w:val="002B782D"/>
    <w:rsid w:val="002B7DEA"/>
    <w:rsid w:val="002C0ACA"/>
    <w:rsid w:val="002C0B6C"/>
    <w:rsid w:val="002C1375"/>
    <w:rsid w:val="002C16C4"/>
    <w:rsid w:val="002C1773"/>
    <w:rsid w:val="002C1AF8"/>
    <w:rsid w:val="002C1B6A"/>
    <w:rsid w:val="002C1DB4"/>
    <w:rsid w:val="002C1E7F"/>
    <w:rsid w:val="002C23EE"/>
    <w:rsid w:val="002C24CE"/>
    <w:rsid w:val="002C25E6"/>
    <w:rsid w:val="002C2924"/>
    <w:rsid w:val="002C2EC1"/>
    <w:rsid w:val="002C2EC5"/>
    <w:rsid w:val="002C3129"/>
    <w:rsid w:val="002C377E"/>
    <w:rsid w:val="002C3B18"/>
    <w:rsid w:val="002C3C65"/>
    <w:rsid w:val="002C4187"/>
    <w:rsid w:val="002C4665"/>
    <w:rsid w:val="002C46F7"/>
    <w:rsid w:val="002C48A0"/>
    <w:rsid w:val="002C4B20"/>
    <w:rsid w:val="002C5122"/>
    <w:rsid w:val="002C52CC"/>
    <w:rsid w:val="002C6237"/>
    <w:rsid w:val="002C6B41"/>
    <w:rsid w:val="002C6BF3"/>
    <w:rsid w:val="002C71CC"/>
    <w:rsid w:val="002C783F"/>
    <w:rsid w:val="002C79FB"/>
    <w:rsid w:val="002C7A37"/>
    <w:rsid w:val="002D0CA4"/>
    <w:rsid w:val="002D0D23"/>
    <w:rsid w:val="002D132B"/>
    <w:rsid w:val="002D1DC8"/>
    <w:rsid w:val="002D1EC9"/>
    <w:rsid w:val="002D2980"/>
    <w:rsid w:val="002D2D24"/>
    <w:rsid w:val="002D30D7"/>
    <w:rsid w:val="002D32C5"/>
    <w:rsid w:val="002D36BB"/>
    <w:rsid w:val="002D3729"/>
    <w:rsid w:val="002D3ACE"/>
    <w:rsid w:val="002D3E2B"/>
    <w:rsid w:val="002D4A83"/>
    <w:rsid w:val="002D4CBC"/>
    <w:rsid w:val="002D5767"/>
    <w:rsid w:val="002D5821"/>
    <w:rsid w:val="002D5D32"/>
    <w:rsid w:val="002D5E0B"/>
    <w:rsid w:val="002D639E"/>
    <w:rsid w:val="002D63CB"/>
    <w:rsid w:val="002D662C"/>
    <w:rsid w:val="002D7005"/>
    <w:rsid w:val="002D7103"/>
    <w:rsid w:val="002E07A7"/>
    <w:rsid w:val="002E0B72"/>
    <w:rsid w:val="002E0FF8"/>
    <w:rsid w:val="002E162E"/>
    <w:rsid w:val="002E16E7"/>
    <w:rsid w:val="002E1DD0"/>
    <w:rsid w:val="002E1F83"/>
    <w:rsid w:val="002E2F11"/>
    <w:rsid w:val="002E35F5"/>
    <w:rsid w:val="002E36D2"/>
    <w:rsid w:val="002E3A96"/>
    <w:rsid w:val="002E3BDE"/>
    <w:rsid w:val="002E3CC8"/>
    <w:rsid w:val="002E42AD"/>
    <w:rsid w:val="002E44E7"/>
    <w:rsid w:val="002E4A8E"/>
    <w:rsid w:val="002E532F"/>
    <w:rsid w:val="002E5728"/>
    <w:rsid w:val="002E608B"/>
    <w:rsid w:val="002E6315"/>
    <w:rsid w:val="002E690F"/>
    <w:rsid w:val="002E6DCD"/>
    <w:rsid w:val="002E71D2"/>
    <w:rsid w:val="002E7B16"/>
    <w:rsid w:val="002E7F5D"/>
    <w:rsid w:val="002F03AD"/>
    <w:rsid w:val="002F087E"/>
    <w:rsid w:val="002F0B14"/>
    <w:rsid w:val="002F0CC9"/>
    <w:rsid w:val="002F0E37"/>
    <w:rsid w:val="002F0F7C"/>
    <w:rsid w:val="002F11D0"/>
    <w:rsid w:val="002F1608"/>
    <w:rsid w:val="002F1AC1"/>
    <w:rsid w:val="002F1C44"/>
    <w:rsid w:val="002F2338"/>
    <w:rsid w:val="002F25FE"/>
    <w:rsid w:val="002F287D"/>
    <w:rsid w:val="002F33C0"/>
    <w:rsid w:val="002F3477"/>
    <w:rsid w:val="002F3745"/>
    <w:rsid w:val="002F3811"/>
    <w:rsid w:val="002F39E1"/>
    <w:rsid w:val="002F3D0B"/>
    <w:rsid w:val="002F4633"/>
    <w:rsid w:val="002F4DBC"/>
    <w:rsid w:val="002F4E68"/>
    <w:rsid w:val="002F4F25"/>
    <w:rsid w:val="002F5716"/>
    <w:rsid w:val="002F58F2"/>
    <w:rsid w:val="002F5B6C"/>
    <w:rsid w:val="002F5B93"/>
    <w:rsid w:val="002F5E5F"/>
    <w:rsid w:val="002F6BD0"/>
    <w:rsid w:val="002F6C26"/>
    <w:rsid w:val="002F7032"/>
    <w:rsid w:val="002F7384"/>
    <w:rsid w:val="002F7408"/>
    <w:rsid w:val="002F7534"/>
    <w:rsid w:val="002F7838"/>
    <w:rsid w:val="002F793A"/>
    <w:rsid w:val="002F7D7B"/>
    <w:rsid w:val="00300452"/>
    <w:rsid w:val="0030057F"/>
    <w:rsid w:val="0030076B"/>
    <w:rsid w:val="0030089F"/>
    <w:rsid w:val="00301123"/>
    <w:rsid w:val="003011E9"/>
    <w:rsid w:val="00301223"/>
    <w:rsid w:val="00301405"/>
    <w:rsid w:val="0030187D"/>
    <w:rsid w:val="003018D8"/>
    <w:rsid w:val="00301A82"/>
    <w:rsid w:val="00301AE4"/>
    <w:rsid w:val="0030232B"/>
    <w:rsid w:val="003024B1"/>
    <w:rsid w:val="00302BC6"/>
    <w:rsid w:val="00302C64"/>
    <w:rsid w:val="00303965"/>
    <w:rsid w:val="003041EE"/>
    <w:rsid w:val="00304439"/>
    <w:rsid w:val="00304BB1"/>
    <w:rsid w:val="00304BE4"/>
    <w:rsid w:val="00304C7C"/>
    <w:rsid w:val="00305158"/>
    <w:rsid w:val="003052CF"/>
    <w:rsid w:val="00305971"/>
    <w:rsid w:val="003064AE"/>
    <w:rsid w:val="00306F3A"/>
    <w:rsid w:val="0030704D"/>
    <w:rsid w:val="003070F4"/>
    <w:rsid w:val="0030777B"/>
    <w:rsid w:val="00307DE8"/>
    <w:rsid w:val="0031051F"/>
    <w:rsid w:val="0031071C"/>
    <w:rsid w:val="00310D3B"/>
    <w:rsid w:val="00311D13"/>
    <w:rsid w:val="00312115"/>
    <w:rsid w:val="00312472"/>
    <w:rsid w:val="00312BD9"/>
    <w:rsid w:val="00312F50"/>
    <w:rsid w:val="00313454"/>
    <w:rsid w:val="00313D9E"/>
    <w:rsid w:val="00313F58"/>
    <w:rsid w:val="00314068"/>
    <w:rsid w:val="003140B3"/>
    <w:rsid w:val="00314215"/>
    <w:rsid w:val="0031461F"/>
    <w:rsid w:val="00314B0D"/>
    <w:rsid w:val="00314BD5"/>
    <w:rsid w:val="00314F75"/>
    <w:rsid w:val="00315015"/>
    <w:rsid w:val="003150F0"/>
    <w:rsid w:val="00315731"/>
    <w:rsid w:val="00315D69"/>
    <w:rsid w:val="003161F5"/>
    <w:rsid w:val="00316798"/>
    <w:rsid w:val="00316905"/>
    <w:rsid w:val="0031690B"/>
    <w:rsid w:val="00316EE5"/>
    <w:rsid w:val="00317218"/>
    <w:rsid w:val="00317312"/>
    <w:rsid w:val="003173C3"/>
    <w:rsid w:val="0031755E"/>
    <w:rsid w:val="00317874"/>
    <w:rsid w:val="00317C09"/>
    <w:rsid w:val="003200F2"/>
    <w:rsid w:val="00320518"/>
    <w:rsid w:val="00320608"/>
    <w:rsid w:val="0032078A"/>
    <w:rsid w:val="003209E3"/>
    <w:rsid w:val="00320E58"/>
    <w:rsid w:val="003210A3"/>
    <w:rsid w:val="00321215"/>
    <w:rsid w:val="00321CBE"/>
    <w:rsid w:val="00321E2E"/>
    <w:rsid w:val="003226C7"/>
    <w:rsid w:val="0032397D"/>
    <w:rsid w:val="00323E52"/>
    <w:rsid w:val="0032435F"/>
    <w:rsid w:val="00324386"/>
    <w:rsid w:val="0032462B"/>
    <w:rsid w:val="00324B1D"/>
    <w:rsid w:val="00324C7E"/>
    <w:rsid w:val="00324EEF"/>
    <w:rsid w:val="003251AF"/>
    <w:rsid w:val="003252A2"/>
    <w:rsid w:val="00325588"/>
    <w:rsid w:val="00325EEC"/>
    <w:rsid w:val="003260F7"/>
    <w:rsid w:val="00326588"/>
    <w:rsid w:val="003266DA"/>
    <w:rsid w:val="0032678B"/>
    <w:rsid w:val="003268A8"/>
    <w:rsid w:val="00326B57"/>
    <w:rsid w:val="00326C17"/>
    <w:rsid w:val="00326F66"/>
    <w:rsid w:val="00327A7E"/>
    <w:rsid w:val="00327CA0"/>
    <w:rsid w:val="00327F11"/>
    <w:rsid w:val="00327F62"/>
    <w:rsid w:val="00330182"/>
    <w:rsid w:val="003302DA"/>
    <w:rsid w:val="0033063F"/>
    <w:rsid w:val="003306AD"/>
    <w:rsid w:val="00330B37"/>
    <w:rsid w:val="00330CAB"/>
    <w:rsid w:val="00331C1A"/>
    <w:rsid w:val="00331D54"/>
    <w:rsid w:val="00331EFD"/>
    <w:rsid w:val="00331F8D"/>
    <w:rsid w:val="003326D7"/>
    <w:rsid w:val="00332ABD"/>
    <w:rsid w:val="003331D9"/>
    <w:rsid w:val="00333F0F"/>
    <w:rsid w:val="00334096"/>
    <w:rsid w:val="003343D0"/>
    <w:rsid w:val="0033468F"/>
    <w:rsid w:val="003348A0"/>
    <w:rsid w:val="00334907"/>
    <w:rsid w:val="00334B2F"/>
    <w:rsid w:val="00334F4E"/>
    <w:rsid w:val="00334FF9"/>
    <w:rsid w:val="0033503D"/>
    <w:rsid w:val="00335A8D"/>
    <w:rsid w:val="00335A92"/>
    <w:rsid w:val="00335B42"/>
    <w:rsid w:val="00336314"/>
    <w:rsid w:val="0033682D"/>
    <w:rsid w:val="00336986"/>
    <w:rsid w:val="00336DAF"/>
    <w:rsid w:val="00336F12"/>
    <w:rsid w:val="003370EA"/>
    <w:rsid w:val="00337405"/>
    <w:rsid w:val="003376A5"/>
    <w:rsid w:val="0034030B"/>
    <w:rsid w:val="00340586"/>
    <w:rsid w:val="003405BA"/>
    <w:rsid w:val="0034079A"/>
    <w:rsid w:val="003408BD"/>
    <w:rsid w:val="00340A31"/>
    <w:rsid w:val="00340BFD"/>
    <w:rsid w:val="00340DD6"/>
    <w:rsid w:val="00340DFC"/>
    <w:rsid w:val="0034146B"/>
    <w:rsid w:val="003415ED"/>
    <w:rsid w:val="00341784"/>
    <w:rsid w:val="00342022"/>
    <w:rsid w:val="0034253D"/>
    <w:rsid w:val="00342B19"/>
    <w:rsid w:val="003431DE"/>
    <w:rsid w:val="00343A35"/>
    <w:rsid w:val="00343DBD"/>
    <w:rsid w:val="003448A3"/>
    <w:rsid w:val="003449BE"/>
    <w:rsid w:val="003459EB"/>
    <w:rsid w:val="003469A0"/>
    <w:rsid w:val="00346CE9"/>
    <w:rsid w:val="00346E68"/>
    <w:rsid w:val="00347B23"/>
    <w:rsid w:val="00347C53"/>
    <w:rsid w:val="003501FC"/>
    <w:rsid w:val="00351079"/>
    <w:rsid w:val="00351097"/>
    <w:rsid w:val="003511E4"/>
    <w:rsid w:val="00351302"/>
    <w:rsid w:val="0035134E"/>
    <w:rsid w:val="003514CE"/>
    <w:rsid w:val="0035180F"/>
    <w:rsid w:val="003519E1"/>
    <w:rsid w:val="00351C40"/>
    <w:rsid w:val="00351F11"/>
    <w:rsid w:val="003523B0"/>
    <w:rsid w:val="00352AD1"/>
    <w:rsid w:val="00352DF1"/>
    <w:rsid w:val="0035321C"/>
    <w:rsid w:val="00353DC5"/>
    <w:rsid w:val="00354090"/>
    <w:rsid w:val="00354314"/>
    <w:rsid w:val="00354571"/>
    <w:rsid w:val="003547F5"/>
    <w:rsid w:val="003548FB"/>
    <w:rsid w:val="00355064"/>
    <w:rsid w:val="00355664"/>
    <w:rsid w:val="003558BB"/>
    <w:rsid w:val="00355BB4"/>
    <w:rsid w:val="00355EE3"/>
    <w:rsid w:val="00356469"/>
    <w:rsid w:val="00356865"/>
    <w:rsid w:val="00356C2C"/>
    <w:rsid w:val="003572A7"/>
    <w:rsid w:val="003574FD"/>
    <w:rsid w:val="00357EB8"/>
    <w:rsid w:val="00357FE4"/>
    <w:rsid w:val="003601A7"/>
    <w:rsid w:val="003603D1"/>
    <w:rsid w:val="00360589"/>
    <w:rsid w:val="00361167"/>
    <w:rsid w:val="0036119C"/>
    <w:rsid w:val="0036137B"/>
    <w:rsid w:val="00361C24"/>
    <w:rsid w:val="00361D6B"/>
    <w:rsid w:val="00361ED8"/>
    <w:rsid w:val="00362071"/>
    <w:rsid w:val="003621DF"/>
    <w:rsid w:val="00362407"/>
    <w:rsid w:val="00362497"/>
    <w:rsid w:val="00362815"/>
    <w:rsid w:val="0036310A"/>
    <w:rsid w:val="003632A0"/>
    <w:rsid w:val="00363D02"/>
    <w:rsid w:val="00363E9B"/>
    <w:rsid w:val="0036429B"/>
    <w:rsid w:val="00364531"/>
    <w:rsid w:val="00365100"/>
    <w:rsid w:val="00365441"/>
    <w:rsid w:val="003657F4"/>
    <w:rsid w:val="00365A25"/>
    <w:rsid w:val="003663BB"/>
    <w:rsid w:val="00366713"/>
    <w:rsid w:val="003668BC"/>
    <w:rsid w:val="0036733E"/>
    <w:rsid w:val="003674C0"/>
    <w:rsid w:val="00367EDE"/>
    <w:rsid w:val="003704FD"/>
    <w:rsid w:val="003709B1"/>
    <w:rsid w:val="00370BFA"/>
    <w:rsid w:val="00370DDD"/>
    <w:rsid w:val="00370E50"/>
    <w:rsid w:val="00371D0C"/>
    <w:rsid w:val="00371D92"/>
    <w:rsid w:val="00371E55"/>
    <w:rsid w:val="00372202"/>
    <w:rsid w:val="00372A14"/>
    <w:rsid w:val="0037314B"/>
    <w:rsid w:val="003732B4"/>
    <w:rsid w:val="00373659"/>
    <w:rsid w:val="00373786"/>
    <w:rsid w:val="00373C85"/>
    <w:rsid w:val="00374939"/>
    <w:rsid w:val="00375437"/>
    <w:rsid w:val="0037573F"/>
    <w:rsid w:val="0037639B"/>
    <w:rsid w:val="00376CF7"/>
    <w:rsid w:val="00376D9D"/>
    <w:rsid w:val="00380B82"/>
    <w:rsid w:val="00380C1F"/>
    <w:rsid w:val="00381123"/>
    <w:rsid w:val="00381233"/>
    <w:rsid w:val="003814E5"/>
    <w:rsid w:val="0038188C"/>
    <w:rsid w:val="00381ADD"/>
    <w:rsid w:val="00382B14"/>
    <w:rsid w:val="00382C77"/>
    <w:rsid w:val="00382DBC"/>
    <w:rsid w:val="00383097"/>
    <w:rsid w:val="00383146"/>
    <w:rsid w:val="00383182"/>
    <w:rsid w:val="00383B55"/>
    <w:rsid w:val="003843AB"/>
    <w:rsid w:val="00384835"/>
    <w:rsid w:val="0038491A"/>
    <w:rsid w:val="00384CAD"/>
    <w:rsid w:val="00384DEE"/>
    <w:rsid w:val="00385336"/>
    <w:rsid w:val="00385A3A"/>
    <w:rsid w:val="00385FAE"/>
    <w:rsid w:val="003860B4"/>
    <w:rsid w:val="003864B0"/>
    <w:rsid w:val="00386E88"/>
    <w:rsid w:val="00386ED1"/>
    <w:rsid w:val="00387045"/>
    <w:rsid w:val="003870DE"/>
    <w:rsid w:val="00387133"/>
    <w:rsid w:val="00387296"/>
    <w:rsid w:val="00387373"/>
    <w:rsid w:val="00387EE3"/>
    <w:rsid w:val="00390426"/>
    <w:rsid w:val="0039046D"/>
    <w:rsid w:val="0039078D"/>
    <w:rsid w:val="003909CE"/>
    <w:rsid w:val="00390B09"/>
    <w:rsid w:val="00390B9C"/>
    <w:rsid w:val="00390C12"/>
    <w:rsid w:val="00390E81"/>
    <w:rsid w:val="00391628"/>
    <w:rsid w:val="00391B9A"/>
    <w:rsid w:val="00391CAF"/>
    <w:rsid w:val="00391DAC"/>
    <w:rsid w:val="00391F90"/>
    <w:rsid w:val="003922D9"/>
    <w:rsid w:val="00392373"/>
    <w:rsid w:val="003927C3"/>
    <w:rsid w:val="003928EF"/>
    <w:rsid w:val="00392985"/>
    <w:rsid w:val="00392AA2"/>
    <w:rsid w:val="0039301B"/>
    <w:rsid w:val="003935D2"/>
    <w:rsid w:val="00393C30"/>
    <w:rsid w:val="00394A54"/>
    <w:rsid w:val="00394BDD"/>
    <w:rsid w:val="00395567"/>
    <w:rsid w:val="00395683"/>
    <w:rsid w:val="00395BAD"/>
    <w:rsid w:val="00395C7D"/>
    <w:rsid w:val="00395F89"/>
    <w:rsid w:val="003962D1"/>
    <w:rsid w:val="003964D6"/>
    <w:rsid w:val="003967F9"/>
    <w:rsid w:val="00396D53"/>
    <w:rsid w:val="003978EC"/>
    <w:rsid w:val="0039796C"/>
    <w:rsid w:val="003A0838"/>
    <w:rsid w:val="003A0880"/>
    <w:rsid w:val="003A1066"/>
    <w:rsid w:val="003A129A"/>
    <w:rsid w:val="003A15FA"/>
    <w:rsid w:val="003A1DE6"/>
    <w:rsid w:val="003A1E7B"/>
    <w:rsid w:val="003A21C1"/>
    <w:rsid w:val="003A2273"/>
    <w:rsid w:val="003A2305"/>
    <w:rsid w:val="003A2379"/>
    <w:rsid w:val="003A23A1"/>
    <w:rsid w:val="003A2F08"/>
    <w:rsid w:val="003A34E0"/>
    <w:rsid w:val="003A3F38"/>
    <w:rsid w:val="003A4D78"/>
    <w:rsid w:val="003A4FB4"/>
    <w:rsid w:val="003A5FC2"/>
    <w:rsid w:val="003A6851"/>
    <w:rsid w:val="003A7088"/>
    <w:rsid w:val="003A70DD"/>
    <w:rsid w:val="003A71BC"/>
    <w:rsid w:val="003A76B7"/>
    <w:rsid w:val="003B039C"/>
    <w:rsid w:val="003B079E"/>
    <w:rsid w:val="003B0C31"/>
    <w:rsid w:val="003B0D52"/>
    <w:rsid w:val="003B0D85"/>
    <w:rsid w:val="003B0E2B"/>
    <w:rsid w:val="003B18A9"/>
    <w:rsid w:val="003B1BB9"/>
    <w:rsid w:val="003B1F53"/>
    <w:rsid w:val="003B247C"/>
    <w:rsid w:val="003B2C86"/>
    <w:rsid w:val="003B3018"/>
    <w:rsid w:val="003B3CEE"/>
    <w:rsid w:val="003B3E4D"/>
    <w:rsid w:val="003B41F5"/>
    <w:rsid w:val="003B4646"/>
    <w:rsid w:val="003B4814"/>
    <w:rsid w:val="003B4AEC"/>
    <w:rsid w:val="003B4E52"/>
    <w:rsid w:val="003B4FCF"/>
    <w:rsid w:val="003B579A"/>
    <w:rsid w:val="003B5B6E"/>
    <w:rsid w:val="003B5D66"/>
    <w:rsid w:val="003B5EB6"/>
    <w:rsid w:val="003B65EE"/>
    <w:rsid w:val="003B7250"/>
    <w:rsid w:val="003C0562"/>
    <w:rsid w:val="003C0643"/>
    <w:rsid w:val="003C0D27"/>
    <w:rsid w:val="003C0E7F"/>
    <w:rsid w:val="003C13F3"/>
    <w:rsid w:val="003C1676"/>
    <w:rsid w:val="003C18C3"/>
    <w:rsid w:val="003C28C2"/>
    <w:rsid w:val="003C3436"/>
    <w:rsid w:val="003C3BA8"/>
    <w:rsid w:val="003C4207"/>
    <w:rsid w:val="003C45A9"/>
    <w:rsid w:val="003C4614"/>
    <w:rsid w:val="003C4F4F"/>
    <w:rsid w:val="003C523C"/>
    <w:rsid w:val="003C52D7"/>
    <w:rsid w:val="003C5DD8"/>
    <w:rsid w:val="003C6015"/>
    <w:rsid w:val="003C661C"/>
    <w:rsid w:val="003C6A7E"/>
    <w:rsid w:val="003C6C2A"/>
    <w:rsid w:val="003C6F72"/>
    <w:rsid w:val="003C7072"/>
    <w:rsid w:val="003C7959"/>
    <w:rsid w:val="003C7A48"/>
    <w:rsid w:val="003C7C04"/>
    <w:rsid w:val="003C7FD1"/>
    <w:rsid w:val="003D0582"/>
    <w:rsid w:val="003D0642"/>
    <w:rsid w:val="003D0817"/>
    <w:rsid w:val="003D0EFF"/>
    <w:rsid w:val="003D140C"/>
    <w:rsid w:val="003D15A6"/>
    <w:rsid w:val="003D1E94"/>
    <w:rsid w:val="003D210D"/>
    <w:rsid w:val="003D2917"/>
    <w:rsid w:val="003D2CAB"/>
    <w:rsid w:val="003D31F9"/>
    <w:rsid w:val="003D32AB"/>
    <w:rsid w:val="003D32EF"/>
    <w:rsid w:val="003D3D64"/>
    <w:rsid w:val="003D3F99"/>
    <w:rsid w:val="003D4B08"/>
    <w:rsid w:val="003D4F28"/>
    <w:rsid w:val="003D50FC"/>
    <w:rsid w:val="003D5150"/>
    <w:rsid w:val="003D535C"/>
    <w:rsid w:val="003D53A6"/>
    <w:rsid w:val="003D5731"/>
    <w:rsid w:val="003D575B"/>
    <w:rsid w:val="003D5BE5"/>
    <w:rsid w:val="003D6E27"/>
    <w:rsid w:val="003D72C2"/>
    <w:rsid w:val="003D775A"/>
    <w:rsid w:val="003D78E7"/>
    <w:rsid w:val="003D7D0B"/>
    <w:rsid w:val="003E0664"/>
    <w:rsid w:val="003E06B9"/>
    <w:rsid w:val="003E0B57"/>
    <w:rsid w:val="003E1168"/>
    <w:rsid w:val="003E1DE3"/>
    <w:rsid w:val="003E1F89"/>
    <w:rsid w:val="003E251C"/>
    <w:rsid w:val="003E2AFF"/>
    <w:rsid w:val="003E2E2A"/>
    <w:rsid w:val="003E331F"/>
    <w:rsid w:val="003E33E9"/>
    <w:rsid w:val="003E3698"/>
    <w:rsid w:val="003E3716"/>
    <w:rsid w:val="003E41F9"/>
    <w:rsid w:val="003E5583"/>
    <w:rsid w:val="003E5BAB"/>
    <w:rsid w:val="003E797F"/>
    <w:rsid w:val="003E7B20"/>
    <w:rsid w:val="003F0DED"/>
    <w:rsid w:val="003F154C"/>
    <w:rsid w:val="003F16DF"/>
    <w:rsid w:val="003F1876"/>
    <w:rsid w:val="003F2174"/>
    <w:rsid w:val="003F220C"/>
    <w:rsid w:val="003F24F7"/>
    <w:rsid w:val="003F2560"/>
    <w:rsid w:val="003F2572"/>
    <w:rsid w:val="003F2CB5"/>
    <w:rsid w:val="003F32FB"/>
    <w:rsid w:val="003F38EF"/>
    <w:rsid w:val="003F42B3"/>
    <w:rsid w:val="003F44BD"/>
    <w:rsid w:val="003F4DD5"/>
    <w:rsid w:val="003F5BC5"/>
    <w:rsid w:val="003F5C23"/>
    <w:rsid w:val="003F5DB7"/>
    <w:rsid w:val="003F5FE3"/>
    <w:rsid w:val="003F60DD"/>
    <w:rsid w:val="003F64D7"/>
    <w:rsid w:val="003F68A1"/>
    <w:rsid w:val="003F6EBD"/>
    <w:rsid w:val="003F7470"/>
    <w:rsid w:val="003F77DC"/>
    <w:rsid w:val="003F78C9"/>
    <w:rsid w:val="003F792F"/>
    <w:rsid w:val="003F7DC2"/>
    <w:rsid w:val="00400320"/>
    <w:rsid w:val="00400716"/>
    <w:rsid w:val="00400C89"/>
    <w:rsid w:val="00400D32"/>
    <w:rsid w:val="00400DC2"/>
    <w:rsid w:val="004011DB"/>
    <w:rsid w:val="004012DD"/>
    <w:rsid w:val="00401572"/>
    <w:rsid w:val="00401D43"/>
    <w:rsid w:val="004024CE"/>
    <w:rsid w:val="00402923"/>
    <w:rsid w:val="0040347B"/>
    <w:rsid w:val="0040348E"/>
    <w:rsid w:val="004035F7"/>
    <w:rsid w:val="0040425A"/>
    <w:rsid w:val="004049EF"/>
    <w:rsid w:val="00404A42"/>
    <w:rsid w:val="00404BE5"/>
    <w:rsid w:val="00404DE2"/>
    <w:rsid w:val="00404DE5"/>
    <w:rsid w:val="00404FBE"/>
    <w:rsid w:val="004051C6"/>
    <w:rsid w:val="004058C8"/>
    <w:rsid w:val="00405E1F"/>
    <w:rsid w:val="004060C3"/>
    <w:rsid w:val="004061B1"/>
    <w:rsid w:val="0040626A"/>
    <w:rsid w:val="004070B2"/>
    <w:rsid w:val="004077F8"/>
    <w:rsid w:val="0040785B"/>
    <w:rsid w:val="004078AA"/>
    <w:rsid w:val="00407BCA"/>
    <w:rsid w:val="00407F41"/>
    <w:rsid w:val="0041004F"/>
    <w:rsid w:val="0041020F"/>
    <w:rsid w:val="00410558"/>
    <w:rsid w:val="00410B23"/>
    <w:rsid w:val="00410D1D"/>
    <w:rsid w:val="0041114E"/>
    <w:rsid w:val="0041201A"/>
    <w:rsid w:val="004122CE"/>
    <w:rsid w:val="00412420"/>
    <w:rsid w:val="00412619"/>
    <w:rsid w:val="00412C34"/>
    <w:rsid w:val="00413558"/>
    <w:rsid w:val="00413BAD"/>
    <w:rsid w:val="00413CB5"/>
    <w:rsid w:val="0041559E"/>
    <w:rsid w:val="00415719"/>
    <w:rsid w:val="00415919"/>
    <w:rsid w:val="00415930"/>
    <w:rsid w:val="00415B0A"/>
    <w:rsid w:val="00415C8A"/>
    <w:rsid w:val="0041633B"/>
    <w:rsid w:val="0041636D"/>
    <w:rsid w:val="00416534"/>
    <w:rsid w:val="0041671B"/>
    <w:rsid w:val="00416DE7"/>
    <w:rsid w:val="00416F6B"/>
    <w:rsid w:val="00417312"/>
    <w:rsid w:val="00417514"/>
    <w:rsid w:val="004178BD"/>
    <w:rsid w:val="00417969"/>
    <w:rsid w:val="00417DFB"/>
    <w:rsid w:val="00417F83"/>
    <w:rsid w:val="0042017A"/>
    <w:rsid w:val="004201D1"/>
    <w:rsid w:val="00420DC8"/>
    <w:rsid w:val="00421ACC"/>
    <w:rsid w:val="00421C29"/>
    <w:rsid w:val="00421D49"/>
    <w:rsid w:val="00421D6A"/>
    <w:rsid w:val="00422394"/>
    <w:rsid w:val="004226AE"/>
    <w:rsid w:val="0042271A"/>
    <w:rsid w:val="00423777"/>
    <w:rsid w:val="004239DB"/>
    <w:rsid w:val="00423D9F"/>
    <w:rsid w:val="00423F35"/>
    <w:rsid w:val="0042436A"/>
    <w:rsid w:val="00424E5B"/>
    <w:rsid w:val="00424F2D"/>
    <w:rsid w:val="00425105"/>
    <w:rsid w:val="00425B14"/>
    <w:rsid w:val="00425B7B"/>
    <w:rsid w:val="00425C73"/>
    <w:rsid w:val="00425EAE"/>
    <w:rsid w:val="0042668D"/>
    <w:rsid w:val="0042679D"/>
    <w:rsid w:val="0042698B"/>
    <w:rsid w:val="00426C87"/>
    <w:rsid w:val="00427DC8"/>
    <w:rsid w:val="0043174B"/>
    <w:rsid w:val="0043305F"/>
    <w:rsid w:val="00433573"/>
    <w:rsid w:val="00434220"/>
    <w:rsid w:val="00434B62"/>
    <w:rsid w:val="004357FB"/>
    <w:rsid w:val="00435B7A"/>
    <w:rsid w:val="00435BCA"/>
    <w:rsid w:val="00435FC5"/>
    <w:rsid w:val="0043602C"/>
    <w:rsid w:val="004360D5"/>
    <w:rsid w:val="0043619E"/>
    <w:rsid w:val="00436585"/>
    <w:rsid w:val="00436672"/>
    <w:rsid w:val="0043690E"/>
    <w:rsid w:val="00436BA1"/>
    <w:rsid w:val="0043711A"/>
    <w:rsid w:val="004371DE"/>
    <w:rsid w:val="0043741E"/>
    <w:rsid w:val="00437669"/>
    <w:rsid w:val="00437D2E"/>
    <w:rsid w:val="00440C1B"/>
    <w:rsid w:val="00440D39"/>
    <w:rsid w:val="004411E7"/>
    <w:rsid w:val="00441A4A"/>
    <w:rsid w:val="00441B11"/>
    <w:rsid w:val="00441C20"/>
    <w:rsid w:val="00441C4D"/>
    <w:rsid w:val="00442006"/>
    <w:rsid w:val="004421A7"/>
    <w:rsid w:val="004421DC"/>
    <w:rsid w:val="00442A44"/>
    <w:rsid w:val="004433A9"/>
    <w:rsid w:val="004443C1"/>
    <w:rsid w:val="0044442B"/>
    <w:rsid w:val="00444AFB"/>
    <w:rsid w:val="00444BDE"/>
    <w:rsid w:val="004450C3"/>
    <w:rsid w:val="00445871"/>
    <w:rsid w:val="0044659E"/>
    <w:rsid w:val="0044661A"/>
    <w:rsid w:val="00446C34"/>
    <w:rsid w:val="00446FC2"/>
    <w:rsid w:val="00447274"/>
    <w:rsid w:val="0044734A"/>
    <w:rsid w:val="00447894"/>
    <w:rsid w:val="00447A72"/>
    <w:rsid w:val="00447DA7"/>
    <w:rsid w:val="00447E84"/>
    <w:rsid w:val="00450A0E"/>
    <w:rsid w:val="00450C8C"/>
    <w:rsid w:val="0045106C"/>
    <w:rsid w:val="004518F7"/>
    <w:rsid w:val="004519B4"/>
    <w:rsid w:val="00451D88"/>
    <w:rsid w:val="00452068"/>
    <w:rsid w:val="004523A0"/>
    <w:rsid w:val="00452475"/>
    <w:rsid w:val="00452CCB"/>
    <w:rsid w:val="00452D54"/>
    <w:rsid w:val="00452DA6"/>
    <w:rsid w:val="00452E2C"/>
    <w:rsid w:val="00452E4E"/>
    <w:rsid w:val="00453C34"/>
    <w:rsid w:val="00454183"/>
    <w:rsid w:val="004543A6"/>
    <w:rsid w:val="004549B1"/>
    <w:rsid w:val="00454BC4"/>
    <w:rsid w:val="00454EF8"/>
    <w:rsid w:val="004555AA"/>
    <w:rsid w:val="00455A29"/>
    <w:rsid w:val="00455B77"/>
    <w:rsid w:val="00455DB1"/>
    <w:rsid w:val="00456052"/>
    <w:rsid w:val="004565E3"/>
    <w:rsid w:val="004570C4"/>
    <w:rsid w:val="00457419"/>
    <w:rsid w:val="00457AAE"/>
    <w:rsid w:val="00457C33"/>
    <w:rsid w:val="004607E7"/>
    <w:rsid w:val="004607F8"/>
    <w:rsid w:val="0046084F"/>
    <w:rsid w:val="00460858"/>
    <w:rsid w:val="004608FF"/>
    <w:rsid w:val="00460A3F"/>
    <w:rsid w:val="00460B2F"/>
    <w:rsid w:val="00460B7A"/>
    <w:rsid w:val="004610DE"/>
    <w:rsid w:val="0046155C"/>
    <w:rsid w:val="00461AFE"/>
    <w:rsid w:val="004623C3"/>
    <w:rsid w:val="004628A4"/>
    <w:rsid w:val="00462B1D"/>
    <w:rsid w:val="00462C5F"/>
    <w:rsid w:val="00462FF2"/>
    <w:rsid w:val="00463131"/>
    <w:rsid w:val="0046349D"/>
    <w:rsid w:val="004639DD"/>
    <w:rsid w:val="00463A14"/>
    <w:rsid w:val="004641CA"/>
    <w:rsid w:val="0046463C"/>
    <w:rsid w:val="00464B54"/>
    <w:rsid w:val="004651BA"/>
    <w:rsid w:val="0046522D"/>
    <w:rsid w:val="00465D1F"/>
    <w:rsid w:val="00465DCF"/>
    <w:rsid w:val="004664AE"/>
    <w:rsid w:val="0046661C"/>
    <w:rsid w:val="004667C1"/>
    <w:rsid w:val="004669BB"/>
    <w:rsid w:val="00466B08"/>
    <w:rsid w:val="00466C32"/>
    <w:rsid w:val="004679CD"/>
    <w:rsid w:val="00470069"/>
    <w:rsid w:val="0047061B"/>
    <w:rsid w:val="004706FD"/>
    <w:rsid w:val="00470746"/>
    <w:rsid w:val="00470AA8"/>
    <w:rsid w:val="0047111B"/>
    <w:rsid w:val="00471803"/>
    <w:rsid w:val="0047201F"/>
    <w:rsid w:val="004720B0"/>
    <w:rsid w:val="0047216C"/>
    <w:rsid w:val="00472A44"/>
    <w:rsid w:val="00472E21"/>
    <w:rsid w:val="004730C1"/>
    <w:rsid w:val="0047319D"/>
    <w:rsid w:val="004731F3"/>
    <w:rsid w:val="004733E3"/>
    <w:rsid w:val="00473482"/>
    <w:rsid w:val="00473708"/>
    <w:rsid w:val="004742FF"/>
    <w:rsid w:val="004746C5"/>
    <w:rsid w:val="0047473E"/>
    <w:rsid w:val="004747CC"/>
    <w:rsid w:val="0047492B"/>
    <w:rsid w:val="00475401"/>
    <w:rsid w:val="00475D3D"/>
    <w:rsid w:val="00475E36"/>
    <w:rsid w:val="004760AB"/>
    <w:rsid w:val="00476670"/>
    <w:rsid w:val="00476AF2"/>
    <w:rsid w:val="00476BE7"/>
    <w:rsid w:val="0047728F"/>
    <w:rsid w:val="0047738E"/>
    <w:rsid w:val="00477B76"/>
    <w:rsid w:val="00477C5C"/>
    <w:rsid w:val="00480226"/>
    <w:rsid w:val="004804A1"/>
    <w:rsid w:val="004805FD"/>
    <w:rsid w:val="004809DD"/>
    <w:rsid w:val="00480A99"/>
    <w:rsid w:val="00480AE0"/>
    <w:rsid w:val="00480C03"/>
    <w:rsid w:val="00480C40"/>
    <w:rsid w:val="00480C50"/>
    <w:rsid w:val="00480EBB"/>
    <w:rsid w:val="00481085"/>
    <w:rsid w:val="004812B5"/>
    <w:rsid w:val="004814B4"/>
    <w:rsid w:val="00481B05"/>
    <w:rsid w:val="00481D68"/>
    <w:rsid w:val="004822C2"/>
    <w:rsid w:val="00482B1F"/>
    <w:rsid w:val="00482F33"/>
    <w:rsid w:val="00483D68"/>
    <w:rsid w:val="00483F09"/>
    <w:rsid w:val="00484375"/>
    <w:rsid w:val="004847FC"/>
    <w:rsid w:val="00484A66"/>
    <w:rsid w:val="00484DEF"/>
    <w:rsid w:val="00485011"/>
    <w:rsid w:val="004854EF"/>
    <w:rsid w:val="004856AE"/>
    <w:rsid w:val="004859AB"/>
    <w:rsid w:val="00485AB7"/>
    <w:rsid w:val="00485ACA"/>
    <w:rsid w:val="00485E76"/>
    <w:rsid w:val="0048626F"/>
    <w:rsid w:val="00486AF0"/>
    <w:rsid w:val="00486C36"/>
    <w:rsid w:val="00486CAA"/>
    <w:rsid w:val="0048725A"/>
    <w:rsid w:val="0048729D"/>
    <w:rsid w:val="00487386"/>
    <w:rsid w:val="004906B3"/>
    <w:rsid w:val="00490982"/>
    <w:rsid w:val="0049118F"/>
    <w:rsid w:val="0049145F"/>
    <w:rsid w:val="004915D5"/>
    <w:rsid w:val="00491AB2"/>
    <w:rsid w:val="00491E36"/>
    <w:rsid w:val="00491EA8"/>
    <w:rsid w:val="00491FE7"/>
    <w:rsid w:val="004922C7"/>
    <w:rsid w:val="004923A9"/>
    <w:rsid w:val="004926D1"/>
    <w:rsid w:val="0049291A"/>
    <w:rsid w:val="004929E4"/>
    <w:rsid w:val="004931D7"/>
    <w:rsid w:val="004937EC"/>
    <w:rsid w:val="00493873"/>
    <w:rsid w:val="00493A99"/>
    <w:rsid w:val="00493F89"/>
    <w:rsid w:val="00494529"/>
    <w:rsid w:val="0049483A"/>
    <w:rsid w:val="004949C4"/>
    <w:rsid w:val="00494E99"/>
    <w:rsid w:val="00495538"/>
    <w:rsid w:val="0049763A"/>
    <w:rsid w:val="00497D90"/>
    <w:rsid w:val="004A012B"/>
    <w:rsid w:val="004A01F0"/>
    <w:rsid w:val="004A0254"/>
    <w:rsid w:val="004A08B0"/>
    <w:rsid w:val="004A19BB"/>
    <w:rsid w:val="004A1A0A"/>
    <w:rsid w:val="004A1DA7"/>
    <w:rsid w:val="004A2283"/>
    <w:rsid w:val="004A233F"/>
    <w:rsid w:val="004A25E9"/>
    <w:rsid w:val="004A28EA"/>
    <w:rsid w:val="004A290B"/>
    <w:rsid w:val="004A2B59"/>
    <w:rsid w:val="004A360B"/>
    <w:rsid w:val="004A365B"/>
    <w:rsid w:val="004A3A76"/>
    <w:rsid w:val="004A3AF6"/>
    <w:rsid w:val="004A489F"/>
    <w:rsid w:val="004A4EEC"/>
    <w:rsid w:val="004A541D"/>
    <w:rsid w:val="004A5771"/>
    <w:rsid w:val="004A5AC6"/>
    <w:rsid w:val="004A5E51"/>
    <w:rsid w:val="004A6164"/>
    <w:rsid w:val="004A6FC0"/>
    <w:rsid w:val="004A732B"/>
    <w:rsid w:val="004A74B3"/>
    <w:rsid w:val="004A7FA6"/>
    <w:rsid w:val="004B06C0"/>
    <w:rsid w:val="004B12A8"/>
    <w:rsid w:val="004B12DA"/>
    <w:rsid w:val="004B140B"/>
    <w:rsid w:val="004B2503"/>
    <w:rsid w:val="004B269F"/>
    <w:rsid w:val="004B27A0"/>
    <w:rsid w:val="004B3259"/>
    <w:rsid w:val="004B3AB9"/>
    <w:rsid w:val="004B49CB"/>
    <w:rsid w:val="004B4D88"/>
    <w:rsid w:val="004B5000"/>
    <w:rsid w:val="004B504C"/>
    <w:rsid w:val="004B54B0"/>
    <w:rsid w:val="004B5C91"/>
    <w:rsid w:val="004B62EF"/>
    <w:rsid w:val="004B6733"/>
    <w:rsid w:val="004B6B84"/>
    <w:rsid w:val="004B6C1B"/>
    <w:rsid w:val="004B7562"/>
    <w:rsid w:val="004B7A6F"/>
    <w:rsid w:val="004C0087"/>
    <w:rsid w:val="004C0430"/>
    <w:rsid w:val="004C065F"/>
    <w:rsid w:val="004C069B"/>
    <w:rsid w:val="004C0803"/>
    <w:rsid w:val="004C0D31"/>
    <w:rsid w:val="004C0F8C"/>
    <w:rsid w:val="004C13A6"/>
    <w:rsid w:val="004C16D5"/>
    <w:rsid w:val="004C1ED3"/>
    <w:rsid w:val="004C2009"/>
    <w:rsid w:val="004C299E"/>
    <w:rsid w:val="004C320D"/>
    <w:rsid w:val="004C325B"/>
    <w:rsid w:val="004C3568"/>
    <w:rsid w:val="004C3575"/>
    <w:rsid w:val="004C49F5"/>
    <w:rsid w:val="004C50E8"/>
    <w:rsid w:val="004C53BA"/>
    <w:rsid w:val="004C5582"/>
    <w:rsid w:val="004C5E27"/>
    <w:rsid w:val="004C6303"/>
    <w:rsid w:val="004C66DC"/>
    <w:rsid w:val="004C7B63"/>
    <w:rsid w:val="004C7C5F"/>
    <w:rsid w:val="004D010F"/>
    <w:rsid w:val="004D03FE"/>
    <w:rsid w:val="004D0520"/>
    <w:rsid w:val="004D0C0F"/>
    <w:rsid w:val="004D0E91"/>
    <w:rsid w:val="004D0F00"/>
    <w:rsid w:val="004D14DB"/>
    <w:rsid w:val="004D17A0"/>
    <w:rsid w:val="004D1855"/>
    <w:rsid w:val="004D18DF"/>
    <w:rsid w:val="004D1E04"/>
    <w:rsid w:val="004D2526"/>
    <w:rsid w:val="004D2805"/>
    <w:rsid w:val="004D2A32"/>
    <w:rsid w:val="004D2E91"/>
    <w:rsid w:val="004D32DA"/>
    <w:rsid w:val="004D3847"/>
    <w:rsid w:val="004D3A25"/>
    <w:rsid w:val="004D40B4"/>
    <w:rsid w:val="004D46EB"/>
    <w:rsid w:val="004D4871"/>
    <w:rsid w:val="004D48D0"/>
    <w:rsid w:val="004D4C20"/>
    <w:rsid w:val="004D4D66"/>
    <w:rsid w:val="004D4D75"/>
    <w:rsid w:val="004D4E4B"/>
    <w:rsid w:val="004D53D9"/>
    <w:rsid w:val="004D5693"/>
    <w:rsid w:val="004D58BA"/>
    <w:rsid w:val="004D5A45"/>
    <w:rsid w:val="004D7654"/>
    <w:rsid w:val="004D7BF0"/>
    <w:rsid w:val="004D7E36"/>
    <w:rsid w:val="004D7F9A"/>
    <w:rsid w:val="004E00A7"/>
    <w:rsid w:val="004E116B"/>
    <w:rsid w:val="004E11E2"/>
    <w:rsid w:val="004E1A25"/>
    <w:rsid w:val="004E231F"/>
    <w:rsid w:val="004E2BFC"/>
    <w:rsid w:val="004E2FFE"/>
    <w:rsid w:val="004E38F4"/>
    <w:rsid w:val="004E3ABD"/>
    <w:rsid w:val="004E4264"/>
    <w:rsid w:val="004E4C8F"/>
    <w:rsid w:val="004E4D33"/>
    <w:rsid w:val="004E6659"/>
    <w:rsid w:val="004E6CFB"/>
    <w:rsid w:val="004E6F23"/>
    <w:rsid w:val="004E7C14"/>
    <w:rsid w:val="004E7F41"/>
    <w:rsid w:val="004F0762"/>
    <w:rsid w:val="004F0A65"/>
    <w:rsid w:val="004F0ED7"/>
    <w:rsid w:val="004F0EF3"/>
    <w:rsid w:val="004F1134"/>
    <w:rsid w:val="004F1280"/>
    <w:rsid w:val="004F1C61"/>
    <w:rsid w:val="004F1E4C"/>
    <w:rsid w:val="004F2109"/>
    <w:rsid w:val="004F2340"/>
    <w:rsid w:val="004F24AC"/>
    <w:rsid w:val="004F24EA"/>
    <w:rsid w:val="004F3529"/>
    <w:rsid w:val="004F356C"/>
    <w:rsid w:val="004F35E3"/>
    <w:rsid w:val="004F37B9"/>
    <w:rsid w:val="004F3C2A"/>
    <w:rsid w:val="004F43A4"/>
    <w:rsid w:val="004F4E35"/>
    <w:rsid w:val="004F4ED0"/>
    <w:rsid w:val="004F5132"/>
    <w:rsid w:val="004F563D"/>
    <w:rsid w:val="004F5806"/>
    <w:rsid w:val="004F5835"/>
    <w:rsid w:val="004F5B8C"/>
    <w:rsid w:val="004F6507"/>
    <w:rsid w:val="004F67F4"/>
    <w:rsid w:val="004F7564"/>
    <w:rsid w:val="004F7577"/>
    <w:rsid w:val="004F75E3"/>
    <w:rsid w:val="005003CC"/>
    <w:rsid w:val="0050084B"/>
    <w:rsid w:val="00500C79"/>
    <w:rsid w:val="00501820"/>
    <w:rsid w:val="00501A29"/>
    <w:rsid w:val="00501B6D"/>
    <w:rsid w:val="00501C2A"/>
    <w:rsid w:val="005024F0"/>
    <w:rsid w:val="00502679"/>
    <w:rsid w:val="00502B30"/>
    <w:rsid w:val="00502D72"/>
    <w:rsid w:val="00503056"/>
    <w:rsid w:val="00503776"/>
    <w:rsid w:val="00504358"/>
    <w:rsid w:val="00505388"/>
    <w:rsid w:val="00505C99"/>
    <w:rsid w:val="00505D95"/>
    <w:rsid w:val="00505FBE"/>
    <w:rsid w:val="005069BC"/>
    <w:rsid w:val="00506BB8"/>
    <w:rsid w:val="00506F0D"/>
    <w:rsid w:val="00506F3C"/>
    <w:rsid w:val="00507201"/>
    <w:rsid w:val="0050757C"/>
    <w:rsid w:val="00510653"/>
    <w:rsid w:val="00510D83"/>
    <w:rsid w:val="00510E81"/>
    <w:rsid w:val="00511293"/>
    <w:rsid w:val="0051149D"/>
    <w:rsid w:val="00511786"/>
    <w:rsid w:val="00512C07"/>
    <w:rsid w:val="00512C5A"/>
    <w:rsid w:val="00512FD5"/>
    <w:rsid w:val="00514605"/>
    <w:rsid w:val="00514807"/>
    <w:rsid w:val="005148DF"/>
    <w:rsid w:val="005148EB"/>
    <w:rsid w:val="00514993"/>
    <w:rsid w:val="005150F3"/>
    <w:rsid w:val="0051547A"/>
    <w:rsid w:val="005155D7"/>
    <w:rsid w:val="00515860"/>
    <w:rsid w:val="0051590A"/>
    <w:rsid w:val="0051594B"/>
    <w:rsid w:val="005162A2"/>
    <w:rsid w:val="005163EE"/>
    <w:rsid w:val="005167F7"/>
    <w:rsid w:val="005169E5"/>
    <w:rsid w:val="00516AF2"/>
    <w:rsid w:val="005176B4"/>
    <w:rsid w:val="0051777C"/>
    <w:rsid w:val="005179B4"/>
    <w:rsid w:val="00517A07"/>
    <w:rsid w:val="00520422"/>
    <w:rsid w:val="005205D1"/>
    <w:rsid w:val="00520764"/>
    <w:rsid w:val="005211E3"/>
    <w:rsid w:val="00522ED8"/>
    <w:rsid w:val="00522F23"/>
    <w:rsid w:val="00523574"/>
    <w:rsid w:val="0052376A"/>
    <w:rsid w:val="00524022"/>
    <w:rsid w:val="00524CFA"/>
    <w:rsid w:val="00524D51"/>
    <w:rsid w:val="00524D7E"/>
    <w:rsid w:val="00524E10"/>
    <w:rsid w:val="005253A9"/>
    <w:rsid w:val="00525999"/>
    <w:rsid w:val="00525B8E"/>
    <w:rsid w:val="00525C83"/>
    <w:rsid w:val="00526258"/>
    <w:rsid w:val="005266D8"/>
    <w:rsid w:val="00526761"/>
    <w:rsid w:val="00526A86"/>
    <w:rsid w:val="00526C6B"/>
    <w:rsid w:val="00526DFB"/>
    <w:rsid w:val="00526F0E"/>
    <w:rsid w:val="00527336"/>
    <w:rsid w:val="00527EE2"/>
    <w:rsid w:val="00527FAA"/>
    <w:rsid w:val="00530191"/>
    <w:rsid w:val="00530297"/>
    <w:rsid w:val="0053085B"/>
    <w:rsid w:val="00530AA7"/>
    <w:rsid w:val="00531430"/>
    <w:rsid w:val="00531AAF"/>
    <w:rsid w:val="00531B7A"/>
    <w:rsid w:val="00531DFC"/>
    <w:rsid w:val="0053337F"/>
    <w:rsid w:val="00533C03"/>
    <w:rsid w:val="00533C5B"/>
    <w:rsid w:val="00533D8B"/>
    <w:rsid w:val="0053409A"/>
    <w:rsid w:val="00535B0D"/>
    <w:rsid w:val="005360F0"/>
    <w:rsid w:val="00536234"/>
    <w:rsid w:val="005365BE"/>
    <w:rsid w:val="00536901"/>
    <w:rsid w:val="00536B60"/>
    <w:rsid w:val="00536E88"/>
    <w:rsid w:val="00536EB9"/>
    <w:rsid w:val="00537AB1"/>
    <w:rsid w:val="005402CC"/>
    <w:rsid w:val="0054039E"/>
    <w:rsid w:val="00540502"/>
    <w:rsid w:val="00540671"/>
    <w:rsid w:val="005407CC"/>
    <w:rsid w:val="00540949"/>
    <w:rsid w:val="00541449"/>
    <w:rsid w:val="0054157D"/>
    <w:rsid w:val="00541667"/>
    <w:rsid w:val="0054182A"/>
    <w:rsid w:val="00541FFA"/>
    <w:rsid w:val="00542209"/>
    <w:rsid w:val="0054296D"/>
    <w:rsid w:val="00542BAB"/>
    <w:rsid w:val="00542D57"/>
    <w:rsid w:val="00542D72"/>
    <w:rsid w:val="00543449"/>
    <w:rsid w:val="0054443F"/>
    <w:rsid w:val="00544946"/>
    <w:rsid w:val="00544961"/>
    <w:rsid w:val="00544EA8"/>
    <w:rsid w:val="0054502F"/>
    <w:rsid w:val="0054519B"/>
    <w:rsid w:val="00545324"/>
    <w:rsid w:val="005460D9"/>
    <w:rsid w:val="00546D65"/>
    <w:rsid w:val="00546EB7"/>
    <w:rsid w:val="0054729D"/>
    <w:rsid w:val="00547433"/>
    <w:rsid w:val="0054782C"/>
    <w:rsid w:val="005479B2"/>
    <w:rsid w:val="0055007E"/>
    <w:rsid w:val="00550D40"/>
    <w:rsid w:val="005511E0"/>
    <w:rsid w:val="0055179E"/>
    <w:rsid w:val="00552262"/>
    <w:rsid w:val="005523E8"/>
    <w:rsid w:val="0055281A"/>
    <w:rsid w:val="005534C3"/>
    <w:rsid w:val="005536FC"/>
    <w:rsid w:val="00553F4C"/>
    <w:rsid w:val="00554494"/>
    <w:rsid w:val="005545DC"/>
    <w:rsid w:val="00554B62"/>
    <w:rsid w:val="00555603"/>
    <w:rsid w:val="00555C44"/>
    <w:rsid w:val="005566A8"/>
    <w:rsid w:val="005569E2"/>
    <w:rsid w:val="00556DE9"/>
    <w:rsid w:val="005572FE"/>
    <w:rsid w:val="005576F2"/>
    <w:rsid w:val="005576FD"/>
    <w:rsid w:val="00557DAB"/>
    <w:rsid w:val="00557E34"/>
    <w:rsid w:val="00560469"/>
    <w:rsid w:val="0056143F"/>
    <w:rsid w:val="005614F5"/>
    <w:rsid w:val="00562C79"/>
    <w:rsid w:val="00562C7D"/>
    <w:rsid w:val="00562E4F"/>
    <w:rsid w:val="005631D6"/>
    <w:rsid w:val="00563217"/>
    <w:rsid w:val="00563356"/>
    <w:rsid w:val="00563F40"/>
    <w:rsid w:val="00564896"/>
    <w:rsid w:val="00564CB5"/>
    <w:rsid w:val="00564D6E"/>
    <w:rsid w:val="00564F51"/>
    <w:rsid w:val="0056514C"/>
    <w:rsid w:val="005654C4"/>
    <w:rsid w:val="005656C8"/>
    <w:rsid w:val="00565FC2"/>
    <w:rsid w:val="005660B3"/>
    <w:rsid w:val="00566254"/>
    <w:rsid w:val="0056625A"/>
    <w:rsid w:val="00566A9C"/>
    <w:rsid w:val="0056791A"/>
    <w:rsid w:val="00567C57"/>
    <w:rsid w:val="00567F44"/>
    <w:rsid w:val="005705AD"/>
    <w:rsid w:val="00570888"/>
    <w:rsid w:val="00570C41"/>
    <w:rsid w:val="00570FD6"/>
    <w:rsid w:val="00571DAB"/>
    <w:rsid w:val="00571E94"/>
    <w:rsid w:val="0057249C"/>
    <w:rsid w:val="00572835"/>
    <w:rsid w:val="005729E0"/>
    <w:rsid w:val="00572DC5"/>
    <w:rsid w:val="00573675"/>
    <w:rsid w:val="00573EE0"/>
    <w:rsid w:val="00573F0B"/>
    <w:rsid w:val="00574285"/>
    <w:rsid w:val="0057476E"/>
    <w:rsid w:val="00574FDB"/>
    <w:rsid w:val="00574FED"/>
    <w:rsid w:val="0057504D"/>
    <w:rsid w:val="00575A03"/>
    <w:rsid w:val="00575DAB"/>
    <w:rsid w:val="00575DF4"/>
    <w:rsid w:val="005763A0"/>
    <w:rsid w:val="00576529"/>
    <w:rsid w:val="0057686E"/>
    <w:rsid w:val="00576B58"/>
    <w:rsid w:val="00576BE5"/>
    <w:rsid w:val="00576EA1"/>
    <w:rsid w:val="00577260"/>
    <w:rsid w:val="00577850"/>
    <w:rsid w:val="00577901"/>
    <w:rsid w:val="00577EE9"/>
    <w:rsid w:val="00577FA5"/>
    <w:rsid w:val="005803E6"/>
    <w:rsid w:val="005805B0"/>
    <w:rsid w:val="005806C5"/>
    <w:rsid w:val="00580930"/>
    <w:rsid w:val="00580C72"/>
    <w:rsid w:val="00580CF7"/>
    <w:rsid w:val="005811D9"/>
    <w:rsid w:val="0058130D"/>
    <w:rsid w:val="00581594"/>
    <w:rsid w:val="0058163B"/>
    <w:rsid w:val="00581D94"/>
    <w:rsid w:val="005820EA"/>
    <w:rsid w:val="00582796"/>
    <w:rsid w:val="005829ED"/>
    <w:rsid w:val="00583350"/>
    <w:rsid w:val="0058377E"/>
    <w:rsid w:val="00584CD9"/>
    <w:rsid w:val="0058533B"/>
    <w:rsid w:val="005853E4"/>
    <w:rsid w:val="00586076"/>
    <w:rsid w:val="00586511"/>
    <w:rsid w:val="0058695A"/>
    <w:rsid w:val="00586CAA"/>
    <w:rsid w:val="00587156"/>
    <w:rsid w:val="00587A5D"/>
    <w:rsid w:val="00587A61"/>
    <w:rsid w:val="00587F59"/>
    <w:rsid w:val="0059023E"/>
    <w:rsid w:val="00590284"/>
    <w:rsid w:val="00590541"/>
    <w:rsid w:val="00591A5B"/>
    <w:rsid w:val="00591C09"/>
    <w:rsid w:val="005921EC"/>
    <w:rsid w:val="005923D9"/>
    <w:rsid w:val="00592709"/>
    <w:rsid w:val="00592926"/>
    <w:rsid w:val="00592E45"/>
    <w:rsid w:val="0059340D"/>
    <w:rsid w:val="005934DA"/>
    <w:rsid w:val="005937C8"/>
    <w:rsid w:val="00593B77"/>
    <w:rsid w:val="00594067"/>
    <w:rsid w:val="00594136"/>
    <w:rsid w:val="005944FF"/>
    <w:rsid w:val="00594567"/>
    <w:rsid w:val="00594A80"/>
    <w:rsid w:val="00594D65"/>
    <w:rsid w:val="00595320"/>
    <w:rsid w:val="00595743"/>
    <w:rsid w:val="00596B33"/>
    <w:rsid w:val="00596C9C"/>
    <w:rsid w:val="00596ED2"/>
    <w:rsid w:val="00597888"/>
    <w:rsid w:val="005979A7"/>
    <w:rsid w:val="00597F1B"/>
    <w:rsid w:val="005A0D97"/>
    <w:rsid w:val="005A0E15"/>
    <w:rsid w:val="005A14F7"/>
    <w:rsid w:val="005A179F"/>
    <w:rsid w:val="005A1A23"/>
    <w:rsid w:val="005A1B70"/>
    <w:rsid w:val="005A1BB6"/>
    <w:rsid w:val="005A21F4"/>
    <w:rsid w:val="005A23C4"/>
    <w:rsid w:val="005A32B6"/>
    <w:rsid w:val="005A3677"/>
    <w:rsid w:val="005A386B"/>
    <w:rsid w:val="005A3E6E"/>
    <w:rsid w:val="005A47B2"/>
    <w:rsid w:val="005A5033"/>
    <w:rsid w:val="005A529D"/>
    <w:rsid w:val="005A53AE"/>
    <w:rsid w:val="005A54E8"/>
    <w:rsid w:val="005A56AA"/>
    <w:rsid w:val="005A58D6"/>
    <w:rsid w:val="005A5B3D"/>
    <w:rsid w:val="005A5ECA"/>
    <w:rsid w:val="005A6A33"/>
    <w:rsid w:val="005A6E7A"/>
    <w:rsid w:val="005A74C7"/>
    <w:rsid w:val="005A799D"/>
    <w:rsid w:val="005A7B19"/>
    <w:rsid w:val="005B0104"/>
    <w:rsid w:val="005B06B4"/>
    <w:rsid w:val="005B06E2"/>
    <w:rsid w:val="005B08B0"/>
    <w:rsid w:val="005B08CB"/>
    <w:rsid w:val="005B0968"/>
    <w:rsid w:val="005B0AB7"/>
    <w:rsid w:val="005B0DC5"/>
    <w:rsid w:val="005B136B"/>
    <w:rsid w:val="005B1C6E"/>
    <w:rsid w:val="005B1FFA"/>
    <w:rsid w:val="005B2A03"/>
    <w:rsid w:val="005B2E76"/>
    <w:rsid w:val="005B3620"/>
    <w:rsid w:val="005B37CA"/>
    <w:rsid w:val="005B3859"/>
    <w:rsid w:val="005B3CC7"/>
    <w:rsid w:val="005B3F18"/>
    <w:rsid w:val="005B4607"/>
    <w:rsid w:val="005B4F69"/>
    <w:rsid w:val="005B5406"/>
    <w:rsid w:val="005B5485"/>
    <w:rsid w:val="005B569D"/>
    <w:rsid w:val="005B5AB1"/>
    <w:rsid w:val="005B5EFD"/>
    <w:rsid w:val="005B5F83"/>
    <w:rsid w:val="005B6766"/>
    <w:rsid w:val="005B6E75"/>
    <w:rsid w:val="005B7015"/>
    <w:rsid w:val="005B70F6"/>
    <w:rsid w:val="005B7145"/>
    <w:rsid w:val="005C0036"/>
    <w:rsid w:val="005C0786"/>
    <w:rsid w:val="005C0D2C"/>
    <w:rsid w:val="005C0E68"/>
    <w:rsid w:val="005C0F06"/>
    <w:rsid w:val="005C11B2"/>
    <w:rsid w:val="005C133B"/>
    <w:rsid w:val="005C1514"/>
    <w:rsid w:val="005C1631"/>
    <w:rsid w:val="005C1E3B"/>
    <w:rsid w:val="005C1EC8"/>
    <w:rsid w:val="005C1FDC"/>
    <w:rsid w:val="005C20CC"/>
    <w:rsid w:val="005C24C2"/>
    <w:rsid w:val="005C2859"/>
    <w:rsid w:val="005C2FCC"/>
    <w:rsid w:val="005C30D8"/>
    <w:rsid w:val="005C326D"/>
    <w:rsid w:val="005C32AB"/>
    <w:rsid w:val="005C33A3"/>
    <w:rsid w:val="005C3434"/>
    <w:rsid w:val="005C3D52"/>
    <w:rsid w:val="005C3D53"/>
    <w:rsid w:val="005C4059"/>
    <w:rsid w:val="005C4546"/>
    <w:rsid w:val="005C464E"/>
    <w:rsid w:val="005C4C91"/>
    <w:rsid w:val="005C4DB8"/>
    <w:rsid w:val="005C57B6"/>
    <w:rsid w:val="005C57EF"/>
    <w:rsid w:val="005C5984"/>
    <w:rsid w:val="005C5CD9"/>
    <w:rsid w:val="005C6030"/>
    <w:rsid w:val="005C6533"/>
    <w:rsid w:val="005C71E7"/>
    <w:rsid w:val="005C74F5"/>
    <w:rsid w:val="005C7A70"/>
    <w:rsid w:val="005C7D54"/>
    <w:rsid w:val="005C7E64"/>
    <w:rsid w:val="005D015E"/>
    <w:rsid w:val="005D0296"/>
    <w:rsid w:val="005D02D9"/>
    <w:rsid w:val="005D040D"/>
    <w:rsid w:val="005D05C3"/>
    <w:rsid w:val="005D0CEA"/>
    <w:rsid w:val="005D1039"/>
    <w:rsid w:val="005D137B"/>
    <w:rsid w:val="005D13DE"/>
    <w:rsid w:val="005D1812"/>
    <w:rsid w:val="005D1830"/>
    <w:rsid w:val="005D1E7B"/>
    <w:rsid w:val="005D24C2"/>
    <w:rsid w:val="005D25D6"/>
    <w:rsid w:val="005D2612"/>
    <w:rsid w:val="005D2C91"/>
    <w:rsid w:val="005D3782"/>
    <w:rsid w:val="005D39B0"/>
    <w:rsid w:val="005D3E68"/>
    <w:rsid w:val="005D4099"/>
    <w:rsid w:val="005D43AF"/>
    <w:rsid w:val="005D4593"/>
    <w:rsid w:val="005D4764"/>
    <w:rsid w:val="005D4974"/>
    <w:rsid w:val="005D4D61"/>
    <w:rsid w:val="005D4EE5"/>
    <w:rsid w:val="005D4FB5"/>
    <w:rsid w:val="005D52BB"/>
    <w:rsid w:val="005D52DE"/>
    <w:rsid w:val="005D534D"/>
    <w:rsid w:val="005D5800"/>
    <w:rsid w:val="005D615C"/>
    <w:rsid w:val="005D6EA1"/>
    <w:rsid w:val="005D6F70"/>
    <w:rsid w:val="005D6F98"/>
    <w:rsid w:val="005D74E9"/>
    <w:rsid w:val="005D763E"/>
    <w:rsid w:val="005D7B84"/>
    <w:rsid w:val="005D7D9B"/>
    <w:rsid w:val="005E048F"/>
    <w:rsid w:val="005E0879"/>
    <w:rsid w:val="005E0A29"/>
    <w:rsid w:val="005E0BC9"/>
    <w:rsid w:val="005E11AB"/>
    <w:rsid w:val="005E14CF"/>
    <w:rsid w:val="005E26AB"/>
    <w:rsid w:val="005E344A"/>
    <w:rsid w:val="005E3C9E"/>
    <w:rsid w:val="005E55CB"/>
    <w:rsid w:val="005E56CA"/>
    <w:rsid w:val="005E5990"/>
    <w:rsid w:val="005E5AA7"/>
    <w:rsid w:val="005E5BB8"/>
    <w:rsid w:val="005E5F00"/>
    <w:rsid w:val="005E6BA7"/>
    <w:rsid w:val="005E6C37"/>
    <w:rsid w:val="005E7342"/>
    <w:rsid w:val="005E7570"/>
    <w:rsid w:val="005E7919"/>
    <w:rsid w:val="005E798A"/>
    <w:rsid w:val="005E7E42"/>
    <w:rsid w:val="005F0394"/>
    <w:rsid w:val="005F06A0"/>
    <w:rsid w:val="005F073A"/>
    <w:rsid w:val="005F0B1E"/>
    <w:rsid w:val="005F0D98"/>
    <w:rsid w:val="005F13D8"/>
    <w:rsid w:val="005F1871"/>
    <w:rsid w:val="005F19F7"/>
    <w:rsid w:val="005F1DB5"/>
    <w:rsid w:val="005F2D9F"/>
    <w:rsid w:val="005F2F5E"/>
    <w:rsid w:val="005F33A7"/>
    <w:rsid w:val="005F34E5"/>
    <w:rsid w:val="005F353C"/>
    <w:rsid w:val="005F3A6E"/>
    <w:rsid w:val="005F3C4A"/>
    <w:rsid w:val="005F49F6"/>
    <w:rsid w:val="005F4D3B"/>
    <w:rsid w:val="005F577F"/>
    <w:rsid w:val="005F5815"/>
    <w:rsid w:val="005F5EC0"/>
    <w:rsid w:val="005F61C2"/>
    <w:rsid w:val="005F63F7"/>
    <w:rsid w:val="005F6B2B"/>
    <w:rsid w:val="005F6DE2"/>
    <w:rsid w:val="005F7713"/>
    <w:rsid w:val="005F79B6"/>
    <w:rsid w:val="006004C8"/>
    <w:rsid w:val="006005BB"/>
    <w:rsid w:val="00601398"/>
    <w:rsid w:val="006014FA"/>
    <w:rsid w:val="006018E0"/>
    <w:rsid w:val="006019A9"/>
    <w:rsid w:val="00601C50"/>
    <w:rsid w:val="00601C54"/>
    <w:rsid w:val="00602173"/>
    <w:rsid w:val="00602C40"/>
    <w:rsid w:val="00603166"/>
    <w:rsid w:val="006032A4"/>
    <w:rsid w:val="00603341"/>
    <w:rsid w:val="0060382F"/>
    <w:rsid w:val="00603BB2"/>
    <w:rsid w:val="0060400D"/>
    <w:rsid w:val="0060423C"/>
    <w:rsid w:val="00604363"/>
    <w:rsid w:val="0060447B"/>
    <w:rsid w:val="006045ED"/>
    <w:rsid w:val="00604697"/>
    <w:rsid w:val="00604957"/>
    <w:rsid w:val="00604C47"/>
    <w:rsid w:val="00604D27"/>
    <w:rsid w:val="00604D44"/>
    <w:rsid w:val="00605445"/>
    <w:rsid w:val="00605CC8"/>
    <w:rsid w:val="006068C8"/>
    <w:rsid w:val="00606AB9"/>
    <w:rsid w:val="00607411"/>
    <w:rsid w:val="0060743E"/>
    <w:rsid w:val="0060777A"/>
    <w:rsid w:val="00607B2C"/>
    <w:rsid w:val="00607B75"/>
    <w:rsid w:val="00607BD7"/>
    <w:rsid w:val="00610BD0"/>
    <w:rsid w:val="00611123"/>
    <w:rsid w:val="00611158"/>
    <w:rsid w:val="00611291"/>
    <w:rsid w:val="006118F3"/>
    <w:rsid w:val="00611F15"/>
    <w:rsid w:val="0061200F"/>
    <w:rsid w:val="006124F3"/>
    <w:rsid w:val="006128C3"/>
    <w:rsid w:val="00612BD8"/>
    <w:rsid w:val="00612E52"/>
    <w:rsid w:val="00613322"/>
    <w:rsid w:val="0061380F"/>
    <w:rsid w:val="0061397F"/>
    <w:rsid w:val="006140DC"/>
    <w:rsid w:val="006141AC"/>
    <w:rsid w:val="006142ED"/>
    <w:rsid w:val="00614555"/>
    <w:rsid w:val="0061468D"/>
    <w:rsid w:val="00614A15"/>
    <w:rsid w:val="00614FD6"/>
    <w:rsid w:val="00615B24"/>
    <w:rsid w:val="00615BE8"/>
    <w:rsid w:val="00615D6C"/>
    <w:rsid w:val="00615D85"/>
    <w:rsid w:val="0061659F"/>
    <w:rsid w:val="00616674"/>
    <w:rsid w:val="00616DB6"/>
    <w:rsid w:val="0061716B"/>
    <w:rsid w:val="00617D9C"/>
    <w:rsid w:val="00620038"/>
    <w:rsid w:val="00620126"/>
    <w:rsid w:val="006203F0"/>
    <w:rsid w:val="006208A7"/>
    <w:rsid w:val="00621460"/>
    <w:rsid w:val="00621611"/>
    <w:rsid w:val="00621649"/>
    <w:rsid w:val="00621790"/>
    <w:rsid w:val="00621CF0"/>
    <w:rsid w:val="00621EAC"/>
    <w:rsid w:val="00621FB7"/>
    <w:rsid w:val="006221D9"/>
    <w:rsid w:val="00622222"/>
    <w:rsid w:val="00622A13"/>
    <w:rsid w:val="006231B7"/>
    <w:rsid w:val="006247BB"/>
    <w:rsid w:val="006248A8"/>
    <w:rsid w:val="00624B08"/>
    <w:rsid w:val="00624B89"/>
    <w:rsid w:val="00625020"/>
    <w:rsid w:val="00625176"/>
    <w:rsid w:val="00625247"/>
    <w:rsid w:val="00625497"/>
    <w:rsid w:val="00625DED"/>
    <w:rsid w:val="00626B3E"/>
    <w:rsid w:val="0062753A"/>
    <w:rsid w:val="006277CB"/>
    <w:rsid w:val="00630355"/>
    <w:rsid w:val="006306C4"/>
    <w:rsid w:val="00630952"/>
    <w:rsid w:val="00630A4A"/>
    <w:rsid w:val="006318F4"/>
    <w:rsid w:val="006319BC"/>
    <w:rsid w:val="00631B26"/>
    <w:rsid w:val="00631F59"/>
    <w:rsid w:val="00632004"/>
    <w:rsid w:val="00632729"/>
    <w:rsid w:val="00632767"/>
    <w:rsid w:val="0063284C"/>
    <w:rsid w:val="00632FB6"/>
    <w:rsid w:val="00633CC8"/>
    <w:rsid w:val="00633FA9"/>
    <w:rsid w:val="0063429C"/>
    <w:rsid w:val="006343F3"/>
    <w:rsid w:val="006344CE"/>
    <w:rsid w:val="00634C6D"/>
    <w:rsid w:val="006355C1"/>
    <w:rsid w:val="0063595B"/>
    <w:rsid w:val="00635DCC"/>
    <w:rsid w:val="00635F5C"/>
    <w:rsid w:val="0063636D"/>
    <w:rsid w:val="0063663C"/>
    <w:rsid w:val="006368EC"/>
    <w:rsid w:val="00636A1A"/>
    <w:rsid w:val="00636C67"/>
    <w:rsid w:val="00636E60"/>
    <w:rsid w:val="0063738B"/>
    <w:rsid w:val="006374B1"/>
    <w:rsid w:val="006378FD"/>
    <w:rsid w:val="00637BE6"/>
    <w:rsid w:val="006401AB"/>
    <w:rsid w:val="006404C8"/>
    <w:rsid w:val="00640511"/>
    <w:rsid w:val="0064056A"/>
    <w:rsid w:val="0064064E"/>
    <w:rsid w:val="006407D2"/>
    <w:rsid w:val="00640ACA"/>
    <w:rsid w:val="00640AE7"/>
    <w:rsid w:val="006421C9"/>
    <w:rsid w:val="0064220E"/>
    <w:rsid w:val="00642F1D"/>
    <w:rsid w:val="00643E04"/>
    <w:rsid w:val="00643FD4"/>
    <w:rsid w:val="006443AE"/>
    <w:rsid w:val="00644957"/>
    <w:rsid w:val="00644C7A"/>
    <w:rsid w:val="00644EA8"/>
    <w:rsid w:val="00644EC4"/>
    <w:rsid w:val="00644F74"/>
    <w:rsid w:val="006450C2"/>
    <w:rsid w:val="006452D0"/>
    <w:rsid w:val="0064538C"/>
    <w:rsid w:val="0064593F"/>
    <w:rsid w:val="00645C9C"/>
    <w:rsid w:val="0064675F"/>
    <w:rsid w:val="006468C0"/>
    <w:rsid w:val="00646B3E"/>
    <w:rsid w:val="006470C9"/>
    <w:rsid w:val="006472DD"/>
    <w:rsid w:val="00647460"/>
    <w:rsid w:val="00647779"/>
    <w:rsid w:val="006479FE"/>
    <w:rsid w:val="00647A40"/>
    <w:rsid w:val="00647AE9"/>
    <w:rsid w:val="00647CB6"/>
    <w:rsid w:val="006502D3"/>
    <w:rsid w:val="00650438"/>
    <w:rsid w:val="00650D2E"/>
    <w:rsid w:val="006511C9"/>
    <w:rsid w:val="0065255C"/>
    <w:rsid w:val="00652C60"/>
    <w:rsid w:val="00653527"/>
    <w:rsid w:val="00653655"/>
    <w:rsid w:val="0065368C"/>
    <w:rsid w:val="006537EA"/>
    <w:rsid w:val="00653859"/>
    <w:rsid w:val="00653EC9"/>
    <w:rsid w:val="00654076"/>
    <w:rsid w:val="00654FB2"/>
    <w:rsid w:val="006553C1"/>
    <w:rsid w:val="006556A0"/>
    <w:rsid w:val="00655998"/>
    <w:rsid w:val="00655E5B"/>
    <w:rsid w:val="006562C2"/>
    <w:rsid w:val="00656333"/>
    <w:rsid w:val="0065640A"/>
    <w:rsid w:val="00656D33"/>
    <w:rsid w:val="00657620"/>
    <w:rsid w:val="0066015A"/>
    <w:rsid w:val="00660325"/>
    <w:rsid w:val="00660644"/>
    <w:rsid w:val="0066085F"/>
    <w:rsid w:val="00660CD6"/>
    <w:rsid w:val="0066106D"/>
    <w:rsid w:val="006610F3"/>
    <w:rsid w:val="0066136E"/>
    <w:rsid w:val="006615E1"/>
    <w:rsid w:val="006619F5"/>
    <w:rsid w:val="00661D64"/>
    <w:rsid w:val="00661EE0"/>
    <w:rsid w:val="0066207A"/>
    <w:rsid w:val="00663601"/>
    <w:rsid w:val="00663755"/>
    <w:rsid w:val="00663BF5"/>
    <w:rsid w:val="0066445B"/>
    <w:rsid w:val="00664B70"/>
    <w:rsid w:val="00664E91"/>
    <w:rsid w:val="00664F70"/>
    <w:rsid w:val="006657D9"/>
    <w:rsid w:val="00666943"/>
    <w:rsid w:val="00666B63"/>
    <w:rsid w:val="00666FD0"/>
    <w:rsid w:val="0066768D"/>
    <w:rsid w:val="0066775D"/>
    <w:rsid w:val="00667883"/>
    <w:rsid w:val="00667D68"/>
    <w:rsid w:val="00670C86"/>
    <w:rsid w:val="006710D1"/>
    <w:rsid w:val="00671418"/>
    <w:rsid w:val="006716CD"/>
    <w:rsid w:val="00671701"/>
    <w:rsid w:val="006718AE"/>
    <w:rsid w:val="00671993"/>
    <w:rsid w:val="0067225C"/>
    <w:rsid w:val="00672AFB"/>
    <w:rsid w:val="00672B9F"/>
    <w:rsid w:val="00673317"/>
    <w:rsid w:val="00673CCE"/>
    <w:rsid w:val="00673DA2"/>
    <w:rsid w:val="00674703"/>
    <w:rsid w:val="00674C78"/>
    <w:rsid w:val="00674E7F"/>
    <w:rsid w:val="00675527"/>
    <w:rsid w:val="006756FF"/>
    <w:rsid w:val="00675A22"/>
    <w:rsid w:val="00675CA2"/>
    <w:rsid w:val="0067602C"/>
    <w:rsid w:val="006761F8"/>
    <w:rsid w:val="006768EA"/>
    <w:rsid w:val="006774C5"/>
    <w:rsid w:val="00677710"/>
    <w:rsid w:val="006777A5"/>
    <w:rsid w:val="00677C19"/>
    <w:rsid w:val="0068015E"/>
    <w:rsid w:val="00680721"/>
    <w:rsid w:val="006807C8"/>
    <w:rsid w:val="00680ECC"/>
    <w:rsid w:val="006811D5"/>
    <w:rsid w:val="00681F69"/>
    <w:rsid w:val="006820FB"/>
    <w:rsid w:val="006821B8"/>
    <w:rsid w:val="006825FF"/>
    <w:rsid w:val="00682C64"/>
    <w:rsid w:val="00682D1F"/>
    <w:rsid w:val="006831C1"/>
    <w:rsid w:val="006835E4"/>
    <w:rsid w:val="0068491D"/>
    <w:rsid w:val="00684B7C"/>
    <w:rsid w:val="00684EAF"/>
    <w:rsid w:val="0068505B"/>
    <w:rsid w:val="0068513E"/>
    <w:rsid w:val="006858F4"/>
    <w:rsid w:val="00685999"/>
    <w:rsid w:val="006859A8"/>
    <w:rsid w:val="00685C99"/>
    <w:rsid w:val="006863E4"/>
    <w:rsid w:val="006865FF"/>
    <w:rsid w:val="00686863"/>
    <w:rsid w:val="00686AC0"/>
    <w:rsid w:val="00686ADF"/>
    <w:rsid w:val="00686C5D"/>
    <w:rsid w:val="00686C9B"/>
    <w:rsid w:val="00686CA0"/>
    <w:rsid w:val="00686ED7"/>
    <w:rsid w:val="006872D6"/>
    <w:rsid w:val="006878A1"/>
    <w:rsid w:val="006900B2"/>
    <w:rsid w:val="00690613"/>
    <w:rsid w:val="00690B1E"/>
    <w:rsid w:val="00691850"/>
    <w:rsid w:val="00691B40"/>
    <w:rsid w:val="00691EB3"/>
    <w:rsid w:val="00691FE2"/>
    <w:rsid w:val="00692077"/>
    <w:rsid w:val="006920E9"/>
    <w:rsid w:val="0069252A"/>
    <w:rsid w:val="006927B4"/>
    <w:rsid w:val="006927D5"/>
    <w:rsid w:val="00692948"/>
    <w:rsid w:val="006929B8"/>
    <w:rsid w:val="006929B9"/>
    <w:rsid w:val="00693054"/>
    <w:rsid w:val="00693868"/>
    <w:rsid w:val="00693B0E"/>
    <w:rsid w:val="00693F27"/>
    <w:rsid w:val="00694192"/>
    <w:rsid w:val="00694A66"/>
    <w:rsid w:val="006953FA"/>
    <w:rsid w:val="00695D5F"/>
    <w:rsid w:val="00695D8E"/>
    <w:rsid w:val="0069618F"/>
    <w:rsid w:val="0069661D"/>
    <w:rsid w:val="006969A9"/>
    <w:rsid w:val="0069701B"/>
    <w:rsid w:val="00697E75"/>
    <w:rsid w:val="00697FEE"/>
    <w:rsid w:val="006A002A"/>
    <w:rsid w:val="006A0072"/>
    <w:rsid w:val="006A052B"/>
    <w:rsid w:val="006A071B"/>
    <w:rsid w:val="006A092F"/>
    <w:rsid w:val="006A0ABC"/>
    <w:rsid w:val="006A0AED"/>
    <w:rsid w:val="006A104D"/>
    <w:rsid w:val="006A17D6"/>
    <w:rsid w:val="006A18CB"/>
    <w:rsid w:val="006A25BC"/>
    <w:rsid w:val="006A29CB"/>
    <w:rsid w:val="006A2AE3"/>
    <w:rsid w:val="006A34A8"/>
    <w:rsid w:val="006A3A70"/>
    <w:rsid w:val="006A3CD8"/>
    <w:rsid w:val="006A3FD4"/>
    <w:rsid w:val="006A4148"/>
    <w:rsid w:val="006A4229"/>
    <w:rsid w:val="006A422D"/>
    <w:rsid w:val="006A4411"/>
    <w:rsid w:val="006A46D4"/>
    <w:rsid w:val="006A48F0"/>
    <w:rsid w:val="006A4B01"/>
    <w:rsid w:val="006A4C38"/>
    <w:rsid w:val="006A4E46"/>
    <w:rsid w:val="006A4EE3"/>
    <w:rsid w:val="006A5301"/>
    <w:rsid w:val="006A556F"/>
    <w:rsid w:val="006A5675"/>
    <w:rsid w:val="006A56C3"/>
    <w:rsid w:val="006A59A4"/>
    <w:rsid w:val="006A5F38"/>
    <w:rsid w:val="006A6114"/>
    <w:rsid w:val="006A676D"/>
    <w:rsid w:val="006A73CA"/>
    <w:rsid w:val="006A749C"/>
    <w:rsid w:val="006A74D2"/>
    <w:rsid w:val="006A76FE"/>
    <w:rsid w:val="006A7870"/>
    <w:rsid w:val="006A7951"/>
    <w:rsid w:val="006A7D29"/>
    <w:rsid w:val="006A7F90"/>
    <w:rsid w:val="006B0413"/>
    <w:rsid w:val="006B05C4"/>
    <w:rsid w:val="006B0749"/>
    <w:rsid w:val="006B0997"/>
    <w:rsid w:val="006B0B1E"/>
    <w:rsid w:val="006B0F38"/>
    <w:rsid w:val="006B142B"/>
    <w:rsid w:val="006B16CA"/>
    <w:rsid w:val="006B179B"/>
    <w:rsid w:val="006B1BFE"/>
    <w:rsid w:val="006B203E"/>
    <w:rsid w:val="006B23D8"/>
    <w:rsid w:val="006B248C"/>
    <w:rsid w:val="006B2861"/>
    <w:rsid w:val="006B2A4E"/>
    <w:rsid w:val="006B2B95"/>
    <w:rsid w:val="006B2CB2"/>
    <w:rsid w:val="006B2DF5"/>
    <w:rsid w:val="006B3481"/>
    <w:rsid w:val="006B357A"/>
    <w:rsid w:val="006B39F9"/>
    <w:rsid w:val="006B5467"/>
    <w:rsid w:val="006B5DE5"/>
    <w:rsid w:val="006B5F85"/>
    <w:rsid w:val="006B60B9"/>
    <w:rsid w:val="006B6128"/>
    <w:rsid w:val="006B67C0"/>
    <w:rsid w:val="006B6DD4"/>
    <w:rsid w:val="006B71A5"/>
    <w:rsid w:val="006B7252"/>
    <w:rsid w:val="006B73AE"/>
    <w:rsid w:val="006B7454"/>
    <w:rsid w:val="006B761E"/>
    <w:rsid w:val="006B773A"/>
    <w:rsid w:val="006B7A79"/>
    <w:rsid w:val="006B7ED1"/>
    <w:rsid w:val="006B7EFE"/>
    <w:rsid w:val="006C0246"/>
    <w:rsid w:val="006C03BF"/>
    <w:rsid w:val="006C0A50"/>
    <w:rsid w:val="006C1EAB"/>
    <w:rsid w:val="006C23B9"/>
    <w:rsid w:val="006C2634"/>
    <w:rsid w:val="006C26F7"/>
    <w:rsid w:val="006C31D9"/>
    <w:rsid w:val="006C37AC"/>
    <w:rsid w:val="006C3B46"/>
    <w:rsid w:val="006C41AB"/>
    <w:rsid w:val="006C45F0"/>
    <w:rsid w:val="006C480F"/>
    <w:rsid w:val="006C4A3D"/>
    <w:rsid w:val="006C4D27"/>
    <w:rsid w:val="006C4FE1"/>
    <w:rsid w:val="006C52FB"/>
    <w:rsid w:val="006C62B2"/>
    <w:rsid w:val="006C6330"/>
    <w:rsid w:val="006C69B1"/>
    <w:rsid w:val="006C6F43"/>
    <w:rsid w:val="006C73BF"/>
    <w:rsid w:val="006C7602"/>
    <w:rsid w:val="006C7D21"/>
    <w:rsid w:val="006D10B8"/>
    <w:rsid w:val="006D13CC"/>
    <w:rsid w:val="006D146D"/>
    <w:rsid w:val="006D1617"/>
    <w:rsid w:val="006D1823"/>
    <w:rsid w:val="006D1C01"/>
    <w:rsid w:val="006D1D66"/>
    <w:rsid w:val="006D2144"/>
    <w:rsid w:val="006D21E0"/>
    <w:rsid w:val="006D24C1"/>
    <w:rsid w:val="006D286A"/>
    <w:rsid w:val="006D45F3"/>
    <w:rsid w:val="006D4A00"/>
    <w:rsid w:val="006D4AF8"/>
    <w:rsid w:val="006D4DD1"/>
    <w:rsid w:val="006D4FEF"/>
    <w:rsid w:val="006D5137"/>
    <w:rsid w:val="006D5691"/>
    <w:rsid w:val="006D5B9C"/>
    <w:rsid w:val="006D5F25"/>
    <w:rsid w:val="006D60F9"/>
    <w:rsid w:val="006D6EDE"/>
    <w:rsid w:val="006D757A"/>
    <w:rsid w:val="006D7ABD"/>
    <w:rsid w:val="006D7EB5"/>
    <w:rsid w:val="006E0489"/>
    <w:rsid w:val="006E0A76"/>
    <w:rsid w:val="006E0F33"/>
    <w:rsid w:val="006E0FC5"/>
    <w:rsid w:val="006E0FE2"/>
    <w:rsid w:val="006E19FD"/>
    <w:rsid w:val="006E2AF0"/>
    <w:rsid w:val="006E3027"/>
    <w:rsid w:val="006E324C"/>
    <w:rsid w:val="006E4577"/>
    <w:rsid w:val="006E458F"/>
    <w:rsid w:val="006E4B5D"/>
    <w:rsid w:val="006E4EB6"/>
    <w:rsid w:val="006E51B7"/>
    <w:rsid w:val="006E5609"/>
    <w:rsid w:val="006E5BB4"/>
    <w:rsid w:val="006E6A82"/>
    <w:rsid w:val="006E6E33"/>
    <w:rsid w:val="006E724F"/>
    <w:rsid w:val="006E745B"/>
    <w:rsid w:val="006E7543"/>
    <w:rsid w:val="006E754D"/>
    <w:rsid w:val="006E755C"/>
    <w:rsid w:val="006E756E"/>
    <w:rsid w:val="006E7ACA"/>
    <w:rsid w:val="006E7AE6"/>
    <w:rsid w:val="006E7D04"/>
    <w:rsid w:val="006E7F08"/>
    <w:rsid w:val="006F012F"/>
    <w:rsid w:val="006F025C"/>
    <w:rsid w:val="006F0A75"/>
    <w:rsid w:val="006F0B24"/>
    <w:rsid w:val="006F10FC"/>
    <w:rsid w:val="006F1658"/>
    <w:rsid w:val="006F18E2"/>
    <w:rsid w:val="006F1C42"/>
    <w:rsid w:val="006F2001"/>
    <w:rsid w:val="006F2288"/>
    <w:rsid w:val="006F27CF"/>
    <w:rsid w:val="006F2DED"/>
    <w:rsid w:val="006F2EAB"/>
    <w:rsid w:val="006F2F22"/>
    <w:rsid w:val="006F35A2"/>
    <w:rsid w:val="006F3877"/>
    <w:rsid w:val="006F389B"/>
    <w:rsid w:val="006F3C06"/>
    <w:rsid w:val="006F409A"/>
    <w:rsid w:val="006F4547"/>
    <w:rsid w:val="006F4F84"/>
    <w:rsid w:val="006F5242"/>
    <w:rsid w:val="006F6360"/>
    <w:rsid w:val="006F6C92"/>
    <w:rsid w:val="006F6CD4"/>
    <w:rsid w:val="006F6DD6"/>
    <w:rsid w:val="006F6EC6"/>
    <w:rsid w:val="006F7195"/>
    <w:rsid w:val="006F7DD0"/>
    <w:rsid w:val="006F7E6E"/>
    <w:rsid w:val="0070001B"/>
    <w:rsid w:val="0070064F"/>
    <w:rsid w:val="00700825"/>
    <w:rsid w:val="0070129B"/>
    <w:rsid w:val="00701567"/>
    <w:rsid w:val="00701C53"/>
    <w:rsid w:val="007022AA"/>
    <w:rsid w:val="007026A8"/>
    <w:rsid w:val="00702E9B"/>
    <w:rsid w:val="00703128"/>
    <w:rsid w:val="0070339F"/>
    <w:rsid w:val="00703643"/>
    <w:rsid w:val="00703A43"/>
    <w:rsid w:val="00703C31"/>
    <w:rsid w:val="00703C4C"/>
    <w:rsid w:val="00703D68"/>
    <w:rsid w:val="00703F21"/>
    <w:rsid w:val="007042D4"/>
    <w:rsid w:val="0070443E"/>
    <w:rsid w:val="00704471"/>
    <w:rsid w:val="00704657"/>
    <w:rsid w:val="0070491E"/>
    <w:rsid w:val="00704AAB"/>
    <w:rsid w:val="00704C9F"/>
    <w:rsid w:val="00704D0D"/>
    <w:rsid w:val="00704FA7"/>
    <w:rsid w:val="007058B3"/>
    <w:rsid w:val="00705C54"/>
    <w:rsid w:val="007069BD"/>
    <w:rsid w:val="00706BDD"/>
    <w:rsid w:val="00706CB5"/>
    <w:rsid w:val="007074A0"/>
    <w:rsid w:val="007074F9"/>
    <w:rsid w:val="0070781E"/>
    <w:rsid w:val="007105EC"/>
    <w:rsid w:val="007107AB"/>
    <w:rsid w:val="00710800"/>
    <w:rsid w:val="00710E95"/>
    <w:rsid w:val="00711889"/>
    <w:rsid w:val="007118C9"/>
    <w:rsid w:val="00711B14"/>
    <w:rsid w:val="007122A2"/>
    <w:rsid w:val="00712ACD"/>
    <w:rsid w:val="00712F70"/>
    <w:rsid w:val="00713190"/>
    <w:rsid w:val="00713264"/>
    <w:rsid w:val="00713758"/>
    <w:rsid w:val="00714045"/>
    <w:rsid w:val="00714398"/>
    <w:rsid w:val="00714D83"/>
    <w:rsid w:val="0071626F"/>
    <w:rsid w:val="0071689D"/>
    <w:rsid w:val="00716A1E"/>
    <w:rsid w:val="007170F9"/>
    <w:rsid w:val="00717354"/>
    <w:rsid w:val="00717991"/>
    <w:rsid w:val="007179AC"/>
    <w:rsid w:val="00717FCF"/>
    <w:rsid w:val="0072065D"/>
    <w:rsid w:val="00720726"/>
    <w:rsid w:val="00720770"/>
    <w:rsid w:val="0072092C"/>
    <w:rsid w:val="00720C40"/>
    <w:rsid w:val="00721174"/>
    <w:rsid w:val="007213D5"/>
    <w:rsid w:val="007218A1"/>
    <w:rsid w:val="00721E23"/>
    <w:rsid w:val="00721FE0"/>
    <w:rsid w:val="00722053"/>
    <w:rsid w:val="00722668"/>
    <w:rsid w:val="00722728"/>
    <w:rsid w:val="0072274B"/>
    <w:rsid w:val="00722ACE"/>
    <w:rsid w:val="0072339F"/>
    <w:rsid w:val="00723A9A"/>
    <w:rsid w:val="00723E51"/>
    <w:rsid w:val="0072557D"/>
    <w:rsid w:val="00726076"/>
    <w:rsid w:val="00726439"/>
    <w:rsid w:val="007270BE"/>
    <w:rsid w:val="007270E1"/>
    <w:rsid w:val="00727A5E"/>
    <w:rsid w:val="00727E2A"/>
    <w:rsid w:val="00730AA6"/>
    <w:rsid w:val="007319C8"/>
    <w:rsid w:val="00731D5D"/>
    <w:rsid w:val="007324CD"/>
    <w:rsid w:val="0073280B"/>
    <w:rsid w:val="00732827"/>
    <w:rsid w:val="007328DB"/>
    <w:rsid w:val="00732B25"/>
    <w:rsid w:val="00733B06"/>
    <w:rsid w:val="00733B19"/>
    <w:rsid w:val="007342D9"/>
    <w:rsid w:val="007344C9"/>
    <w:rsid w:val="00734926"/>
    <w:rsid w:val="0073499F"/>
    <w:rsid w:val="0073517B"/>
    <w:rsid w:val="00735343"/>
    <w:rsid w:val="00735649"/>
    <w:rsid w:val="00735709"/>
    <w:rsid w:val="0073574B"/>
    <w:rsid w:val="00735C5C"/>
    <w:rsid w:val="00735F13"/>
    <w:rsid w:val="00736660"/>
    <w:rsid w:val="007367AF"/>
    <w:rsid w:val="00736809"/>
    <w:rsid w:val="0073686B"/>
    <w:rsid w:val="007369EF"/>
    <w:rsid w:val="00736CC6"/>
    <w:rsid w:val="00736EF8"/>
    <w:rsid w:val="00736F83"/>
    <w:rsid w:val="00736FF8"/>
    <w:rsid w:val="0073727F"/>
    <w:rsid w:val="00737ABD"/>
    <w:rsid w:val="00737F3B"/>
    <w:rsid w:val="00740BC0"/>
    <w:rsid w:val="00740BEE"/>
    <w:rsid w:val="007416FF"/>
    <w:rsid w:val="00741987"/>
    <w:rsid w:val="007427FD"/>
    <w:rsid w:val="00742D76"/>
    <w:rsid w:val="007439FF"/>
    <w:rsid w:val="00743D0A"/>
    <w:rsid w:val="00743F32"/>
    <w:rsid w:val="00744688"/>
    <w:rsid w:val="00744817"/>
    <w:rsid w:val="00744EDC"/>
    <w:rsid w:val="007451A8"/>
    <w:rsid w:val="007451F6"/>
    <w:rsid w:val="00745640"/>
    <w:rsid w:val="00745BEA"/>
    <w:rsid w:val="00745D20"/>
    <w:rsid w:val="00746066"/>
    <w:rsid w:val="00746085"/>
    <w:rsid w:val="007466E1"/>
    <w:rsid w:val="00746986"/>
    <w:rsid w:val="00746C71"/>
    <w:rsid w:val="00746CA9"/>
    <w:rsid w:val="00746EFB"/>
    <w:rsid w:val="00747680"/>
    <w:rsid w:val="0075036F"/>
    <w:rsid w:val="0075060A"/>
    <w:rsid w:val="00750C44"/>
    <w:rsid w:val="0075107B"/>
    <w:rsid w:val="007515DB"/>
    <w:rsid w:val="00751644"/>
    <w:rsid w:val="007517E7"/>
    <w:rsid w:val="00751A3F"/>
    <w:rsid w:val="00752231"/>
    <w:rsid w:val="0075251E"/>
    <w:rsid w:val="00752BA5"/>
    <w:rsid w:val="00752D01"/>
    <w:rsid w:val="00752E9E"/>
    <w:rsid w:val="00753099"/>
    <w:rsid w:val="007537E4"/>
    <w:rsid w:val="00753E9C"/>
    <w:rsid w:val="0075491C"/>
    <w:rsid w:val="00754984"/>
    <w:rsid w:val="00754B3F"/>
    <w:rsid w:val="00754CEA"/>
    <w:rsid w:val="00755091"/>
    <w:rsid w:val="007550FB"/>
    <w:rsid w:val="00755503"/>
    <w:rsid w:val="007555CB"/>
    <w:rsid w:val="00755FDE"/>
    <w:rsid w:val="0075602A"/>
    <w:rsid w:val="007560AE"/>
    <w:rsid w:val="0075617B"/>
    <w:rsid w:val="00756198"/>
    <w:rsid w:val="00756244"/>
    <w:rsid w:val="00756D54"/>
    <w:rsid w:val="00756D8B"/>
    <w:rsid w:val="00757838"/>
    <w:rsid w:val="00757885"/>
    <w:rsid w:val="00757B5E"/>
    <w:rsid w:val="00757C9E"/>
    <w:rsid w:val="00757D8D"/>
    <w:rsid w:val="00757ECE"/>
    <w:rsid w:val="0076028B"/>
    <w:rsid w:val="00760DB2"/>
    <w:rsid w:val="00760E09"/>
    <w:rsid w:val="007610AE"/>
    <w:rsid w:val="007611A2"/>
    <w:rsid w:val="00763883"/>
    <w:rsid w:val="00763DFA"/>
    <w:rsid w:val="00763E4B"/>
    <w:rsid w:val="0076416F"/>
    <w:rsid w:val="00764308"/>
    <w:rsid w:val="007647BD"/>
    <w:rsid w:val="00764928"/>
    <w:rsid w:val="00764C33"/>
    <w:rsid w:val="00764CE6"/>
    <w:rsid w:val="00764FEF"/>
    <w:rsid w:val="00765599"/>
    <w:rsid w:val="007656CB"/>
    <w:rsid w:val="0076579A"/>
    <w:rsid w:val="00765B25"/>
    <w:rsid w:val="00765BC3"/>
    <w:rsid w:val="007669E7"/>
    <w:rsid w:val="00766AC9"/>
    <w:rsid w:val="00767BB0"/>
    <w:rsid w:val="00767D92"/>
    <w:rsid w:val="00767F34"/>
    <w:rsid w:val="007701C2"/>
    <w:rsid w:val="007705C3"/>
    <w:rsid w:val="007705F5"/>
    <w:rsid w:val="00770893"/>
    <w:rsid w:val="00770B49"/>
    <w:rsid w:val="00770C00"/>
    <w:rsid w:val="00770DBE"/>
    <w:rsid w:val="00771799"/>
    <w:rsid w:val="00772771"/>
    <w:rsid w:val="00772C69"/>
    <w:rsid w:val="00772EAF"/>
    <w:rsid w:val="00773289"/>
    <w:rsid w:val="00773505"/>
    <w:rsid w:val="007735F2"/>
    <w:rsid w:val="00774611"/>
    <w:rsid w:val="0077477D"/>
    <w:rsid w:val="00774C82"/>
    <w:rsid w:val="00774DE1"/>
    <w:rsid w:val="00775A38"/>
    <w:rsid w:val="00775F7F"/>
    <w:rsid w:val="0077610E"/>
    <w:rsid w:val="007767AC"/>
    <w:rsid w:val="00776987"/>
    <w:rsid w:val="00776AB2"/>
    <w:rsid w:val="00776BA6"/>
    <w:rsid w:val="007772FC"/>
    <w:rsid w:val="00777427"/>
    <w:rsid w:val="0077778E"/>
    <w:rsid w:val="00777B17"/>
    <w:rsid w:val="007801B8"/>
    <w:rsid w:val="007804CF"/>
    <w:rsid w:val="00780537"/>
    <w:rsid w:val="00780ABC"/>
    <w:rsid w:val="00780FAA"/>
    <w:rsid w:val="0078125B"/>
    <w:rsid w:val="00781594"/>
    <w:rsid w:val="00781D4B"/>
    <w:rsid w:val="007822F6"/>
    <w:rsid w:val="00782C8B"/>
    <w:rsid w:val="00782E15"/>
    <w:rsid w:val="0078300F"/>
    <w:rsid w:val="00783012"/>
    <w:rsid w:val="00783429"/>
    <w:rsid w:val="00783BDA"/>
    <w:rsid w:val="00783DB6"/>
    <w:rsid w:val="00785039"/>
    <w:rsid w:val="00785133"/>
    <w:rsid w:val="00785223"/>
    <w:rsid w:val="0078549A"/>
    <w:rsid w:val="00785828"/>
    <w:rsid w:val="00785C78"/>
    <w:rsid w:val="00785E61"/>
    <w:rsid w:val="007864C6"/>
    <w:rsid w:val="00786A62"/>
    <w:rsid w:val="00786EE3"/>
    <w:rsid w:val="0078727B"/>
    <w:rsid w:val="007872C8"/>
    <w:rsid w:val="007875E7"/>
    <w:rsid w:val="00790483"/>
    <w:rsid w:val="007908F1"/>
    <w:rsid w:val="00790C20"/>
    <w:rsid w:val="00790D0C"/>
    <w:rsid w:val="00790E7E"/>
    <w:rsid w:val="00790F60"/>
    <w:rsid w:val="0079155F"/>
    <w:rsid w:val="00791A15"/>
    <w:rsid w:val="00791B76"/>
    <w:rsid w:val="007924AF"/>
    <w:rsid w:val="00792753"/>
    <w:rsid w:val="00792CEE"/>
    <w:rsid w:val="0079336B"/>
    <w:rsid w:val="007933CA"/>
    <w:rsid w:val="00793472"/>
    <w:rsid w:val="0079359E"/>
    <w:rsid w:val="00793D39"/>
    <w:rsid w:val="00793F1C"/>
    <w:rsid w:val="00794114"/>
    <w:rsid w:val="007947D5"/>
    <w:rsid w:val="00794943"/>
    <w:rsid w:val="00794E4F"/>
    <w:rsid w:val="00795239"/>
    <w:rsid w:val="0079533C"/>
    <w:rsid w:val="0079571B"/>
    <w:rsid w:val="00795829"/>
    <w:rsid w:val="007962CB"/>
    <w:rsid w:val="0079668A"/>
    <w:rsid w:val="00796894"/>
    <w:rsid w:val="00796C18"/>
    <w:rsid w:val="00796E8F"/>
    <w:rsid w:val="007970A9"/>
    <w:rsid w:val="0079715A"/>
    <w:rsid w:val="00797263"/>
    <w:rsid w:val="00797AD1"/>
    <w:rsid w:val="007A07D7"/>
    <w:rsid w:val="007A0845"/>
    <w:rsid w:val="007A0A22"/>
    <w:rsid w:val="007A16A4"/>
    <w:rsid w:val="007A1D4A"/>
    <w:rsid w:val="007A1E61"/>
    <w:rsid w:val="007A20D5"/>
    <w:rsid w:val="007A2687"/>
    <w:rsid w:val="007A293E"/>
    <w:rsid w:val="007A2BE2"/>
    <w:rsid w:val="007A2D7B"/>
    <w:rsid w:val="007A3A8E"/>
    <w:rsid w:val="007A3FDB"/>
    <w:rsid w:val="007A4982"/>
    <w:rsid w:val="007A540E"/>
    <w:rsid w:val="007A573E"/>
    <w:rsid w:val="007A6016"/>
    <w:rsid w:val="007A6459"/>
    <w:rsid w:val="007A656B"/>
    <w:rsid w:val="007A6AD7"/>
    <w:rsid w:val="007A6D40"/>
    <w:rsid w:val="007A7A99"/>
    <w:rsid w:val="007A7CFE"/>
    <w:rsid w:val="007B0346"/>
    <w:rsid w:val="007B087D"/>
    <w:rsid w:val="007B0980"/>
    <w:rsid w:val="007B1690"/>
    <w:rsid w:val="007B1D72"/>
    <w:rsid w:val="007B1DCD"/>
    <w:rsid w:val="007B22B9"/>
    <w:rsid w:val="007B22D2"/>
    <w:rsid w:val="007B23B2"/>
    <w:rsid w:val="007B23C5"/>
    <w:rsid w:val="007B2B34"/>
    <w:rsid w:val="007B32E2"/>
    <w:rsid w:val="007B3586"/>
    <w:rsid w:val="007B3FE7"/>
    <w:rsid w:val="007B42DA"/>
    <w:rsid w:val="007B4B77"/>
    <w:rsid w:val="007B4E78"/>
    <w:rsid w:val="007B5B73"/>
    <w:rsid w:val="007B64B9"/>
    <w:rsid w:val="007B6B09"/>
    <w:rsid w:val="007B72D3"/>
    <w:rsid w:val="007B7A77"/>
    <w:rsid w:val="007B7DB0"/>
    <w:rsid w:val="007C0522"/>
    <w:rsid w:val="007C12DD"/>
    <w:rsid w:val="007C12E5"/>
    <w:rsid w:val="007C1EE3"/>
    <w:rsid w:val="007C1F00"/>
    <w:rsid w:val="007C245B"/>
    <w:rsid w:val="007C2674"/>
    <w:rsid w:val="007C317A"/>
    <w:rsid w:val="007C3593"/>
    <w:rsid w:val="007C35C5"/>
    <w:rsid w:val="007C3DA2"/>
    <w:rsid w:val="007C41AE"/>
    <w:rsid w:val="007C47D2"/>
    <w:rsid w:val="007C488A"/>
    <w:rsid w:val="007C4B2A"/>
    <w:rsid w:val="007C4EC3"/>
    <w:rsid w:val="007C5005"/>
    <w:rsid w:val="007C51DB"/>
    <w:rsid w:val="007C549F"/>
    <w:rsid w:val="007C58ED"/>
    <w:rsid w:val="007C5DCA"/>
    <w:rsid w:val="007C6A54"/>
    <w:rsid w:val="007C6E09"/>
    <w:rsid w:val="007C7219"/>
    <w:rsid w:val="007C7343"/>
    <w:rsid w:val="007C743B"/>
    <w:rsid w:val="007C7B28"/>
    <w:rsid w:val="007C7CAC"/>
    <w:rsid w:val="007C7E83"/>
    <w:rsid w:val="007C7F37"/>
    <w:rsid w:val="007D0D48"/>
    <w:rsid w:val="007D0DC2"/>
    <w:rsid w:val="007D129F"/>
    <w:rsid w:val="007D1402"/>
    <w:rsid w:val="007D14A7"/>
    <w:rsid w:val="007D1CF5"/>
    <w:rsid w:val="007D1E0E"/>
    <w:rsid w:val="007D1E46"/>
    <w:rsid w:val="007D1F1A"/>
    <w:rsid w:val="007D1FCD"/>
    <w:rsid w:val="007D2838"/>
    <w:rsid w:val="007D2B0A"/>
    <w:rsid w:val="007D31BE"/>
    <w:rsid w:val="007D36A2"/>
    <w:rsid w:val="007D3CEB"/>
    <w:rsid w:val="007D3ED0"/>
    <w:rsid w:val="007D4558"/>
    <w:rsid w:val="007D4632"/>
    <w:rsid w:val="007D50F7"/>
    <w:rsid w:val="007D52D9"/>
    <w:rsid w:val="007D574A"/>
    <w:rsid w:val="007D5764"/>
    <w:rsid w:val="007D585A"/>
    <w:rsid w:val="007D684D"/>
    <w:rsid w:val="007D68FF"/>
    <w:rsid w:val="007D6E3D"/>
    <w:rsid w:val="007D717B"/>
    <w:rsid w:val="007D78BE"/>
    <w:rsid w:val="007D7D9D"/>
    <w:rsid w:val="007D7EA7"/>
    <w:rsid w:val="007E010A"/>
    <w:rsid w:val="007E0DA7"/>
    <w:rsid w:val="007E0EDF"/>
    <w:rsid w:val="007E10BA"/>
    <w:rsid w:val="007E112A"/>
    <w:rsid w:val="007E1AFC"/>
    <w:rsid w:val="007E1CB4"/>
    <w:rsid w:val="007E1E92"/>
    <w:rsid w:val="007E2167"/>
    <w:rsid w:val="007E2517"/>
    <w:rsid w:val="007E2CB6"/>
    <w:rsid w:val="007E2CFC"/>
    <w:rsid w:val="007E2D25"/>
    <w:rsid w:val="007E2ED7"/>
    <w:rsid w:val="007E32E7"/>
    <w:rsid w:val="007E32EE"/>
    <w:rsid w:val="007E33B4"/>
    <w:rsid w:val="007E36F3"/>
    <w:rsid w:val="007E393E"/>
    <w:rsid w:val="007E397E"/>
    <w:rsid w:val="007E3CF2"/>
    <w:rsid w:val="007E43D0"/>
    <w:rsid w:val="007E54F0"/>
    <w:rsid w:val="007E55AA"/>
    <w:rsid w:val="007E574D"/>
    <w:rsid w:val="007E5990"/>
    <w:rsid w:val="007E5C65"/>
    <w:rsid w:val="007E6249"/>
    <w:rsid w:val="007E63C4"/>
    <w:rsid w:val="007E6B30"/>
    <w:rsid w:val="007E6E41"/>
    <w:rsid w:val="007E7109"/>
    <w:rsid w:val="007E7807"/>
    <w:rsid w:val="007E7CD1"/>
    <w:rsid w:val="007F0876"/>
    <w:rsid w:val="007F10B3"/>
    <w:rsid w:val="007F13C9"/>
    <w:rsid w:val="007F1A8C"/>
    <w:rsid w:val="007F1AF4"/>
    <w:rsid w:val="007F1E34"/>
    <w:rsid w:val="007F1EBA"/>
    <w:rsid w:val="007F21C3"/>
    <w:rsid w:val="007F29A9"/>
    <w:rsid w:val="007F2F1A"/>
    <w:rsid w:val="007F2FE8"/>
    <w:rsid w:val="007F325F"/>
    <w:rsid w:val="007F33D8"/>
    <w:rsid w:val="007F3934"/>
    <w:rsid w:val="007F41A6"/>
    <w:rsid w:val="007F44CE"/>
    <w:rsid w:val="007F5458"/>
    <w:rsid w:val="007F5532"/>
    <w:rsid w:val="007F57CA"/>
    <w:rsid w:val="007F5A7A"/>
    <w:rsid w:val="007F5D38"/>
    <w:rsid w:val="007F6C3B"/>
    <w:rsid w:val="007F7111"/>
    <w:rsid w:val="007F7682"/>
    <w:rsid w:val="007F7979"/>
    <w:rsid w:val="007F7F66"/>
    <w:rsid w:val="008004C6"/>
    <w:rsid w:val="00800C14"/>
    <w:rsid w:val="00801034"/>
    <w:rsid w:val="00801057"/>
    <w:rsid w:val="00801207"/>
    <w:rsid w:val="008014C1"/>
    <w:rsid w:val="008014CE"/>
    <w:rsid w:val="008017F7"/>
    <w:rsid w:val="00801C77"/>
    <w:rsid w:val="00801DD2"/>
    <w:rsid w:val="00802145"/>
    <w:rsid w:val="00802316"/>
    <w:rsid w:val="0080270B"/>
    <w:rsid w:val="00802BE5"/>
    <w:rsid w:val="00802EE7"/>
    <w:rsid w:val="00803134"/>
    <w:rsid w:val="00803320"/>
    <w:rsid w:val="0080360D"/>
    <w:rsid w:val="008038C9"/>
    <w:rsid w:val="00803B60"/>
    <w:rsid w:val="00803C70"/>
    <w:rsid w:val="00803E0B"/>
    <w:rsid w:val="00804271"/>
    <w:rsid w:val="00804284"/>
    <w:rsid w:val="00804AC2"/>
    <w:rsid w:val="00804C67"/>
    <w:rsid w:val="008050A5"/>
    <w:rsid w:val="0080573A"/>
    <w:rsid w:val="00806015"/>
    <w:rsid w:val="00806023"/>
    <w:rsid w:val="00806173"/>
    <w:rsid w:val="008063DB"/>
    <w:rsid w:val="008067F6"/>
    <w:rsid w:val="00807A77"/>
    <w:rsid w:val="00807CDF"/>
    <w:rsid w:val="0081040E"/>
    <w:rsid w:val="00810826"/>
    <w:rsid w:val="00810C10"/>
    <w:rsid w:val="00810D06"/>
    <w:rsid w:val="00810E01"/>
    <w:rsid w:val="008116D5"/>
    <w:rsid w:val="008119A2"/>
    <w:rsid w:val="0081218B"/>
    <w:rsid w:val="008121C1"/>
    <w:rsid w:val="008121EF"/>
    <w:rsid w:val="00813047"/>
    <w:rsid w:val="00813632"/>
    <w:rsid w:val="0081369B"/>
    <w:rsid w:val="00813CB7"/>
    <w:rsid w:val="00813F08"/>
    <w:rsid w:val="00813F15"/>
    <w:rsid w:val="00814584"/>
    <w:rsid w:val="00814E3F"/>
    <w:rsid w:val="00815D7A"/>
    <w:rsid w:val="00815DF9"/>
    <w:rsid w:val="008160E6"/>
    <w:rsid w:val="0081644D"/>
    <w:rsid w:val="00816B05"/>
    <w:rsid w:val="0081709C"/>
    <w:rsid w:val="008172F2"/>
    <w:rsid w:val="00820492"/>
    <w:rsid w:val="00820915"/>
    <w:rsid w:val="00820B13"/>
    <w:rsid w:val="00820D7F"/>
    <w:rsid w:val="00820DB1"/>
    <w:rsid w:val="0082127D"/>
    <w:rsid w:val="0082141C"/>
    <w:rsid w:val="00821BF9"/>
    <w:rsid w:val="00821F49"/>
    <w:rsid w:val="00822728"/>
    <w:rsid w:val="00822AD8"/>
    <w:rsid w:val="008235E1"/>
    <w:rsid w:val="008240AA"/>
    <w:rsid w:val="0082415D"/>
    <w:rsid w:val="00824334"/>
    <w:rsid w:val="00824461"/>
    <w:rsid w:val="00825248"/>
    <w:rsid w:val="00825395"/>
    <w:rsid w:val="0082548C"/>
    <w:rsid w:val="00825757"/>
    <w:rsid w:val="00825806"/>
    <w:rsid w:val="00826411"/>
    <w:rsid w:val="00826816"/>
    <w:rsid w:val="0082742A"/>
    <w:rsid w:val="00827C30"/>
    <w:rsid w:val="008301B4"/>
    <w:rsid w:val="0083033C"/>
    <w:rsid w:val="00831127"/>
    <w:rsid w:val="0083134E"/>
    <w:rsid w:val="00831599"/>
    <w:rsid w:val="00831EA5"/>
    <w:rsid w:val="008321D8"/>
    <w:rsid w:val="008322DF"/>
    <w:rsid w:val="00832392"/>
    <w:rsid w:val="00832A3A"/>
    <w:rsid w:val="00832BCC"/>
    <w:rsid w:val="00832C78"/>
    <w:rsid w:val="00832E90"/>
    <w:rsid w:val="008336BE"/>
    <w:rsid w:val="00833A1F"/>
    <w:rsid w:val="008341A6"/>
    <w:rsid w:val="00834321"/>
    <w:rsid w:val="00834370"/>
    <w:rsid w:val="00834BD3"/>
    <w:rsid w:val="0083522F"/>
    <w:rsid w:val="00835674"/>
    <w:rsid w:val="008359BD"/>
    <w:rsid w:val="008359F5"/>
    <w:rsid w:val="00835A2C"/>
    <w:rsid w:val="00835B5F"/>
    <w:rsid w:val="00835D9A"/>
    <w:rsid w:val="00835E3C"/>
    <w:rsid w:val="00835E86"/>
    <w:rsid w:val="008361E9"/>
    <w:rsid w:val="008367A5"/>
    <w:rsid w:val="00836B2A"/>
    <w:rsid w:val="00836D1C"/>
    <w:rsid w:val="00836E11"/>
    <w:rsid w:val="00836FB5"/>
    <w:rsid w:val="008379B6"/>
    <w:rsid w:val="00837AB6"/>
    <w:rsid w:val="00837ED5"/>
    <w:rsid w:val="00837F75"/>
    <w:rsid w:val="00840A7D"/>
    <w:rsid w:val="00841781"/>
    <w:rsid w:val="008419F6"/>
    <w:rsid w:val="00841A04"/>
    <w:rsid w:val="00842127"/>
    <w:rsid w:val="00842224"/>
    <w:rsid w:val="00842273"/>
    <w:rsid w:val="0084283D"/>
    <w:rsid w:val="00842889"/>
    <w:rsid w:val="0084290C"/>
    <w:rsid w:val="00842EF8"/>
    <w:rsid w:val="008436AE"/>
    <w:rsid w:val="008436ED"/>
    <w:rsid w:val="0084374E"/>
    <w:rsid w:val="00843A03"/>
    <w:rsid w:val="00843B63"/>
    <w:rsid w:val="00844B1A"/>
    <w:rsid w:val="008453F9"/>
    <w:rsid w:val="0084585A"/>
    <w:rsid w:val="00845976"/>
    <w:rsid w:val="00845A2E"/>
    <w:rsid w:val="00845CB6"/>
    <w:rsid w:val="008461E6"/>
    <w:rsid w:val="008471AC"/>
    <w:rsid w:val="00847680"/>
    <w:rsid w:val="00847D4C"/>
    <w:rsid w:val="00850302"/>
    <w:rsid w:val="00850335"/>
    <w:rsid w:val="00850A10"/>
    <w:rsid w:val="0085107C"/>
    <w:rsid w:val="00851953"/>
    <w:rsid w:val="008519C4"/>
    <w:rsid w:val="00851F30"/>
    <w:rsid w:val="00852375"/>
    <w:rsid w:val="00852446"/>
    <w:rsid w:val="008525F7"/>
    <w:rsid w:val="00853402"/>
    <w:rsid w:val="008536A2"/>
    <w:rsid w:val="008538EB"/>
    <w:rsid w:val="00853E15"/>
    <w:rsid w:val="00853E7E"/>
    <w:rsid w:val="00853F59"/>
    <w:rsid w:val="00853FB5"/>
    <w:rsid w:val="008540C3"/>
    <w:rsid w:val="00854157"/>
    <w:rsid w:val="0085415A"/>
    <w:rsid w:val="008544E9"/>
    <w:rsid w:val="0085496C"/>
    <w:rsid w:val="00854A43"/>
    <w:rsid w:val="00854CDD"/>
    <w:rsid w:val="0085508B"/>
    <w:rsid w:val="0085513A"/>
    <w:rsid w:val="008551A7"/>
    <w:rsid w:val="00855CD7"/>
    <w:rsid w:val="0085605D"/>
    <w:rsid w:val="008562DF"/>
    <w:rsid w:val="00856478"/>
    <w:rsid w:val="00856C67"/>
    <w:rsid w:val="00857626"/>
    <w:rsid w:val="008576D1"/>
    <w:rsid w:val="00857767"/>
    <w:rsid w:val="00857BB2"/>
    <w:rsid w:val="00857BC5"/>
    <w:rsid w:val="0086007E"/>
    <w:rsid w:val="0086057D"/>
    <w:rsid w:val="008609AA"/>
    <w:rsid w:val="008609C5"/>
    <w:rsid w:val="00860BDC"/>
    <w:rsid w:val="00861024"/>
    <w:rsid w:val="0086156D"/>
    <w:rsid w:val="00861ACC"/>
    <w:rsid w:val="00861E35"/>
    <w:rsid w:val="00862028"/>
    <w:rsid w:val="0086268D"/>
    <w:rsid w:val="00862744"/>
    <w:rsid w:val="0086319B"/>
    <w:rsid w:val="00863673"/>
    <w:rsid w:val="00864386"/>
    <w:rsid w:val="008643A5"/>
    <w:rsid w:val="00864872"/>
    <w:rsid w:val="008648C7"/>
    <w:rsid w:val="0086493F"/>
    <w:rsid w:val="00864B53"/>
    <w:rsid w:val="00865207"/>
    <w:rsid w:val="0086538A"/>
    <w:rsid w:val="00865525"/>
    <w:rsid w:val="0086558A"/>
    <w:rsid w:val="00865718"/>
    <w:rsid w:val="0086589F"/>
    <w:rsid w:val="00865F68"/>
    <w:rsid w:val="00866334"/>
    <w:rsid w:val="00866368"/>
    <w:rsid w:val="008667F8"/>
    <w:rsid w:val="008672C2"/>
    <w:rsid w:val="0086738F"/>
    <w:rsid w:val="008673E2"/>
    <w:rsid w:val="00867C5C"/>
    <w:rsid w:val="0087021F"/>
    <w:rsid w:val="008703F0"/>
    <w:rsid w:val="008703F2"/>
    <w:rsid w:val="008708B1"/>
    <w:rsid w:val="008709B6"/>
    <w:rsid w:val="00870AE1"/>
    <w:rsid w:val="00870C36"/>
    <w:rsid w:val="00870E6B"/>
    <w:rsid w:val="0087110C"/>
    <w:rsid w:val="00871631"/>
    <w:rsid w:val="00871777"/>
    <w:rsid w:val="008717EF"/>
    <w:rsid w:val="008718FD"/>
    <w:rsid w:val="0087225B"/>
    <w:rsid w:val="00872C21"/>
    <w:rsid w:val="00872D0E"/>
    <w:rsid w:val="0087321F"/>
    <w:rsid w:val="0087360E"/>
    <w:rsid w:val="0087365F"/>
    <w:rsid w:val="00873EF8"/>
    <w:rsid w:val="0087403D"/>
    <w:rsid w:val="00874601"/>
    <w:rsid w:val="008749BC"/>
    <w:rsid w:val="008752BA"/>
    <w:rsid w:val="0087576D"/>
    <w:rsid w:val="008757FE"/>
    <w:rsid w:val="00875851"/>
    <w:rsid w:val="00875888"/>
    <w:rsid w:val="00875F4C"/>
    <w:rsid w:val="008760A7"/>
    <w:rsid w:val="008765D0"/>
    <w:rsid w:val="00876CF4"/>
    <w:rsid w:val="00876DE0"/>
    <w:rsid w:val="00876F62"/>
    <w:rsid w:val="0087736F"/>
    <w:rsid w:val="00877B42"/>
    <w:rsid w:val="00877B5D"/>
    <w:rsid w:val="00877DC2"/>
    <w:rsid w:val="008809CF"/>
    <w:rsid w:val="00880D64"/>
    <w:rsid w:val="00880FE9"/>
    <w:rsid w:val="008810BF"/>
    <w:rsid w:val="00881514"/>
    <w:rsid w:val="008815D1"/>
    <w:rsid w:val="008820CB"/>
    <w:rsid w:val="00882263"/>
    <w:rsid w:val="008823FB"/>
    <w:rsid w:val="00882B08"/>
    <w:rsid w:val="00882C3D"/>
    <w:rsid w:val="0088318B"/>
    <w:rsid w:val="0088319B"/>
    <w:rsid w:val="008832A3"/>
    <w:rsid w:val="008834FB"/>
    <w:rsid w:val="008839CB"/>
    <w:rsid w:val="00883D38"/>
    <w:rsid w:val="00884301"/>
    <w:rsid w:val="0088507D"/>
    <w:rsid w:val="00885259"/>
    <w:rsid w:val="00885457"/>
    <w:rsid w:val="00885652"/>
    <w:rsid w:val="00885E10"/>
    <w:rsid w:val="0088627C"/>
    <w:rsid w:val="008868D9"/>
    <w:rsid w:val="00886C90"/>
    <w:rsid w:val="00886D0B"/>
    <w:rsid w:val="0088713C"/>
    <w:rsid w:val="0088798D"/>
    <w:rsid w:val="00887E52"/>
    <w:rsid w:val="00890352"/>
    <w:rsid w:val="008903A6"/>
    <w:rsid w:val="008908EF"/>
    <w:rsid w:val="00890B8F"/>
    <w:rsid w:val="00891888"/>
    <w:rsid w:val="00891BBE"/>
    <w:rsid w:val="00891D77"/>
    <w:rsid w:val="00892049"/>
    <w:rsid w:val="00892E06"/>
    <w:rsid w:val="00892F6C"/>
    <w:rsid w:val="00892F6F"/>
    <w:rsid w:val="00893042"/>
    <w:rsid w:val="00893631"/>
    <w:rsid w:val="008939A7"/>
    <w:rsid w:val="00894487"/>
    <w:rsid w:val="00894EFD"/>
    <w:rsid w:val="00895519"/>
    <w:rsid w:val="008956DA"/>
    <w:rsid w:val="00895793"/>
    <w:rsid w:val="00895AB5"/>
    <w:rsid w:val="0089619D"/>
    <w:rsid w:val="008962AF"/>
    <w:rsid w:val="00896586"/>
    <w:rsid w:val="008966FF"/>
    <w:rsid w:val="00896762"/>
    <w:rsid w:val="00896935"/>
    <w:rsid w:val="00896B63"/>
    <w:rsid w:val="00896F53"/>
    <w:rsid w:val="00897349"/>
    <w:rsid w:val="00897665"/>
    <w:rsid w:val="00897DA2"/>
    <w:rsid w:val="00897E29"/>
    <w:rsid w:val="008A01E1"/>
    <w:rsid w:val="008A0377"/>
    <w:rsid w:val="008A0957"/>
    <w:rsid w:val="008A0E7A"/>
    <w:rsid w:val="008A11A1"/>
    <w:rsid w:val="008A14C2"/>
    <w:rsid w:val="008A17CE"/>
    <w:rsid w:val="008A1B9B"/>
    <w:rsid w:val="008A1CDC"/>
    <w:rsid w:val="008A1D5B"/>
    <w:rsid w:val="008A23BA"/>
    <w:rsid w:val="008A2903"/>
    <w:rsid w:val="008A2D61"/>
    <w:rsid w:val="008A32E2"/>
    <w:rsid w:val="008A42FD"/>
    <w:rsid w:val="008A4E8C"/>
    <w:rsid w:val="008A5114"/>
    <w:rsid w:val="008A51EE"/>
    <w:rsid w:val="008A5213"/>
    <w:rsid w:val="008A5371"/>
    <w:rsid w:val="008A5A21"/>
    <w:rsid w:val="008A5F2E"/>
    <w:rsid w:val="008A62FA"/>
    <w:rsid w:val="008A65D0"/>
    <w:rsid w:val="008A666A"/>
    <w:rsid w:val="008A69F0"/>
    <w:rsid w:val="008A6BF0"/>
    <w:rsid w:val="008A6D68"/>
    <w:rsid w:val="008A72C8"/>
    <w:rsid w:val="008A76B1"/>
    <w:rsid w:val="008A78A8"/>
    <w:rsid w:val="008A7C6B"/>
    <w:rsid w:val="008B057D"/>
    <w:rsid w:val="008B0C01"/>
    <w:rsid w:val="008B0CEA"/>
    <w:rsid w:val="008B0D15"/>
    <w:rsid w:val="008B0D26"/>
    <w:rsid w:val="008B0DA8"/>
    <w:rsid w:val="008B1BBA"/>
    <w:rsid w:val="008B20B8"/>
    <w:rsid w:val="008B216A"/>
    <w:rsid w:val="008B23FD"/>
    <w:rsid w:val="008B241F"/>
    <w:rsid w:val="008B274C"/>
    <w:rsid w:val="008B30BD"/>
    <w:rsid w:val="008B3561"/>
    <w:rsid w:val="008B3BDB"/>
    <w:rsid w:val="008B4008"/>
    <w:rsid w:val="008B421C"/>
    <w:rsid w:val="008B4F42"/>
    <w:rsid w:val="008B515B"/>
    <w:rsid w:val="008B5284"/>
    <w:rsid w:val="008B55ED"/>
    <w:rsid w:val="008B560D"/>
    <w:rsid w:val="008B5690"/>
    <w:rsid w:val="008B5F19"/>
    <w:rsid w:val="008B63F9"/>
    <w:rsid w:val="008B6BD8"/>
    <w:rsid w:val="008B7219"/>
    <w:rsid w:val="008B7431"/>
    <w:rsid w:val="008B74A9"/>
    <w:rsid w:val="008B7C7A"/>
    <w:rsid w:val="008B7D7D"/>
    <w:rsid w:val="008C0055"/>
    <w:rsid w:val="008C005B"/>
    <w:rsid w:val="008C0D9D"/>
    <w:rsid w:val="008C0FA9"/>
    <w:rsid w:val="008C114B"/>
    <w:rsid w:val="008C12F3"/>
    <w:rsid w:val="008C1AFD"/>
    <w:rsid w:val="008C1FBC"/>
    <w:rsid w:val="008C29B3"/>
    <w:rsid w:val="008C2B1E"/>
    <w:rsid w:val="008C2BC4"/>
    <w:rsid w:val="008C32A0"/>
    <w:rsid w:val="008C3591"/>
    <w:rsid w:val="008C3BF2"/>
    <w:rsid w:val="008C50A1"/>
    <w:rsid w:val="008C51A9"/>
    <w:rsid w:val="008C5258"/>
    <w:rsid w:val="008C54E3"/>
    <w:rsid w:val="008C6117"/>
    <w:rsid w:val="008C67B3"/>
    <w:rsid w:val="008C68B1"/>
    <w:rsid w:val="008C6AB0"/>
    <w:rsid w:val="008C6FA6"/>
    <w:rsid w:val="008C7079"/>
    <w:rsid w:val="008C7E8A"/>
    <w:rsid w:val="008D0069"/>
    <w:rsid w:val="008D02CE"/>
    <w:rsid w:val="008D0623"/>
    <w:rsid w:val="008D0FBB"/>
    <w:rsid w:val="008D0FFD"/>
    <w:rsid w:val="008D1236"/>
    <w:rsid w:val="008D1241"/>
    <w:rsid w:val="008D2391"/>
    <w:rsid w:val="008D24A7"/>
    <w:rsid w:val="008D2D08"/>
    <w:rsid w:val="008D2DC6"/>
    <w:rsid w:val="008D3186"/>
    <w:rsid w:val="008D330A"/>
    <w:rsid w:val="008D359E"/>
    <w:rsid w:val="008D37A7"/>
    <w:rsid w:val="008D3906"/>
    <w:rsid w:val="008D3A95"/>
    <w:rsid w:val="008D3C67"/>
    <w:rsid w:val="008D3E45"/>
    <w:rsid w:val="008D46B4"/>
    <w:rsid w:val="008D4784"/>
    <w:rsid w:val="008D4B07"/>
    <w:rsid w:val="008D4EE7"/>
    <w:rsid w:val="008D56A8"/>
    <w:rsid w:val="008D5B0F"/>
    <w:rsid w:val="008D5B88"/>
    <w:rsid w:val="008D5FA7"/>
    <w:rsid w:val="008D60FA"/>
    <w:rsid w:val="008D62ED"/>
    <w:rsid w:val="008D6D6F"/>
    <w:rsid w:val="008D6F09"/>
    <w:rsid w:val="008D7386"/>
    <w:rsid w:val="008D76F2"/>
    <w:rsid w:val="008E0B29"/>
    <w:rsid w:val="008E0CBE"/>
    <w:rsid w:val="008E0ED7"/>
    <w:rsid w:val="008E12C9"/>
    <w:rsid w:val="008E13D8"/>
    <w:rsid w:val="008E1796"/>
    <w:rsid w:val="008E1950"/>
    <w:rsid w:val="008E1FDE"/>
    <w:rsid w:val="008E2957"/>
    <w:rsid w:val="008E2A07"/>
    <w:rsid w:val="008E2EC5"/>
    <w:rsid w:val="008E2F8D"/>
    <w:rsid w:val="008E31FE"/>
    <w:rsid w:val="008E4359"/>
    <w:rsid w:val="008E45D5"/>
    <w:rsid w:val="008E48A1"/>
    <w:rsid w:val="008E4BD2"/>
    <w:rsid w:val="008E4E9A"/>
    <w:rsid w:val="008E5600"/>
    <w:rsid w:val="008E5644"/>
    <w:rsid w:val="008E5F75"/>
    <w:rsid w:val="008E6656"/>
    <w:rsid w:val="008E672D"/>
    <w:rsid w:val="008E6B79"/>
    <w:rsid w:val="008E74A0"/>
    <w:rsid w:val="008E7CDD"/>
    <w:rsid w:val="008E7EEF"/>
    <w:rsid w:val="008F058F"/>
    <w:rsid w:val="008F0B2B"/>
    <w:rsid w:val="008F0CC8"/>
    <w:rsid w:val="008F0F07"/>
    <w:rsid w:val="008F111E"/>
    <w:rsid w:val="008F17AC"/>
    <w:rsid w:val="008F1A35"/>
    <w:rsid w:val="008F1B52"/>
    <w:rsid w:val="008F250C"/>
    <w:rsid w:val="008F2567"/>
    <w:rsid w:val="008F2610"/>
    <w:rsid w:val="008F262C"/>
    <w:rsid w:val="008F285D"/>
    <w:rsid w:val="008F31EC"/>
    <w:rsid w:val="008F357A"/>
    <w:rsid w:val="008F35A9"/>
    <w:rsid w:val="008F3EB7"/>
    <w:rsid w:val="008F427E"/>
    <w:rsid w:val="008F4300"/>
    <w:rsid w:val="008F4494"/>
    <w:rsid w:val="008F47E4"/>
    <w:rsid w:val="008F48D4"/>
    <w:rsid w:val="008F4BFD"/>
    <w:rsid w:val="008F621C"/>
    <w:rsid w:val="008F64FC"/>
    <w:rsid w:val="008F6871"/>
    <w:rsid w:val="008F6CAA"/>
    <w:rsid w:val="008F707F"/>
    <w:rsid w:val="008F757D"/>
    <w:rsid w:val="008F7989"/>
    <w:rsid w:val="009006B8"/>
    <w:rsid w:val="00900E15"/>
    <w:rsid w:val="00900FB6"/>
    <w:rsid w:val="00901050"/>
    <w:rsid w:val="00901342"/>
    <w:rsid w:val="00901345"/>
    <w:rsid w:val="009013AA"/>
    <w:rsid w:val="0090180C"/>
    <w:rsid w:val="00901A7F"/>
    <w:rsid w:val="00901CD4"/>
    <w:rsid w:val="009020BE"/>
    <w:rsid w:val="009023C6"/>
    <w:rsid w:val="009024B6"/>
    <w:rsid w:val="009032DE"/>
    <w:rsid w:val="009033B2"/>
    <w:rsid w:val="009036BA"/>
    <w:rsid w:val="00904027"/>
    <w:rsid w:val="0090413C"/>
    <w:rsid w:val="009048F5"/>
    <w:rsid w:val="00904EEF"/>
    <w:rsid w:val="00905328"/>
    <w:rsid w:val="00905630"/>
    <w:rsid w:val="00905805"/>
    <w:rsid w:val="00905B33"/>
    <w:rsid w:val="00905E6C"/>
    <w:rsid w:val="00906042"/>
    <w:rsid w:val="00906305"/>
    <w:rsid w:val="00906512"/>
    <w:rsid w:val="0090656F"/>
    <w:rsid w:val="009065B5"/>
    <w:rsid w:val="00906664"/>
    <w:rsid w:val="00906E81"/>
    <w:rsid w:val="00906F34"/>
    <w:rsid w:val="0090708F"/>
    <w:rsid w:val="009104C9"/>
    <w:rsid w:val="0091074E"/>
    <w:rsid w:val="00910BAA"/>
    <w:rsid w:val="009111AB"/>
    <w:rsid w:val="0091165D"/>
    <w:rsid w:val="00911804"/>
    <w:rsid w:val="00912231"/>
    <w:rsid w:val="00912930"/>
    <w:rsid w:val="00912C33"/>
    <w:rsid w:val="009133E0"/>
    <w:rsid w:val="009134A6"/>
    <w:rsid w:val="00913E8D"/>
    <w:rsid w:val="00914188"/>
    <w:rsid w:val="009141BC"/>
    <w:rsid w:val="00914DE3"/>
    <w:rsid w:val="009153B7"/>
    <w:rsid w:val="009153F6"/>
    <w:rsid w:val="00915792"/>
    <w:rsid w:val="00915C04"/>
    <w:rsid w:val="00915E73"/>
    <w:rsid w:val="009167FE"/>
    <w:rsid w:val="009169B5"/>
    <w:rsid w:val="00916E20"/>
    <w:rsid w:val="009178D3"/>
    <w:rsid w:val="009179CE"/>
    <w:rsid w:val="00917C2E"/>
    <w:rsid w:val="00917EC7"/>
    <w:rsid w:val="00917F28"/>
    <w:rsid w:val="00920372"/>
    <w:rsid w:val="00920BD5"/>
    <w:rsid w:val="00920D1D"/>
    <w:rsid w:val="009214EC"/>
    <w:rsid w:val="0092176F"/>
    <w:rsid w:val="009223A6"/>
    <w:rsid w:val="0092242F"/>
    <w:rsid w:val="00922A1E"/>
    <w:rsid w:val="00923DBC"/>
    <w:rsid w:val="00923E00"/>
    <w:rsid w:val="0092413D"/>
    <w:rsid w:val="009244F6"/>
    <w:rsid w:val="009247DE"/>
    <w:rsid w:val="00924D58"/>
    <w:rsid w:val="00924EA0"/>
    <w:rsid w:val="009259FC"/>
    <w:rsid w:val="00925C97"/>
    <w:rsid w:val="009266E9"/>
    <w:rsid w:val="00926983"/>
    <w:rsid w:val="00926D7C"/>
    <w:rsid w:val="00926E4E"/>
    <w:rsid w:val="00926EB3"/>
    <w:rsid w:val="00926EC3"/>
    <w:rsid w:val="009273B3"/>
    <w:rsid w:val="00927AB9"/>
    <w:rsid w:val="00927E94"/>
    <w:rsid w:val="0093057F"/>
    <w:rsid w:val="0093097F"/>
    <w:rsid w:val="00930A8D"/>
    <w:rsid w:val="00930CCF"/>
    <w:rsid w:val="00930D40"/>
    <w:rsid w:val="009315C7"/>
    <w:rsid w:val="00931930"/>
    <w:rsid w:val="00931B4F"/>
    <w:rsid w:val="00931C45"/>
    <w:rsid w:val="00931E1F"/>
    <w:rsid w:val="009322B8"/>
    <w:rsid w:val="009324F8"/>
    <w:rsid w:val="00932723"/>
    <w:rsid w:val="00932918"/>
    <w:rsid w:val="00932F8C"/>
    <w:rsid w:val="00932FD0"/>
    <w:rsid w:val="00932FD9"/>
    <w:rsid w:val="009330B9"/>
    <w:rsid w:val="0093315B"/>
    <w:rsid w:val="00933240"/>
    <w:rsid w:val="009333D2"/>
    <w:rsid w:val="00933A20"/>
    <w:rsid w:val="00933E53"/>
    <w:rsid w:val="009341EA"/>
    <w:rsid w:val="00934A03"/>
    <w:rsid w:val="00934A48"/>
    <w:rsid w:val="00934AD0"/>
    <w:rsid w:val="00934CF1"/>
    <w:rsid w:val="00934E97"/>
    <w:rsid w:val="0093560C"/>
    <w:rsid w:val="00935A33"/>
    <w:rsid w:val="0093602E"/>
    <w:rsid w:val="0093651D"/>
    <w:rsid w:val="00936605"/>
    <w:rsid w:val="0093680A"/>
    <w:rsid w:val="00936891"/>
    <w:rsid w:val="00936ECE"/>
    <w:rsid w:val="00936EEE"/>
    <w:rsid w:val="00936F5E"/>
    <w:rsid w:val="00937482"/>
    <w:rsid w:val="00937B6D"/>
    <w:rsid w:val="00937BB1"/>
    <w:rsid w:val="00937E38"/>
    <w:rsid w:val="009408EE"/>
    <w:rsid w:val="00940DBF"/>
    <w:rsid w:val="00941187"/>
    <w:rsid w:val="00941A21"/>
    <w:rsid w:val="00941AAD"/>
    <w:rsid w:val="00942171"/>
    <w:rsid w:val="00942508"/>
    <w:rsid w:val="0094319B"/>
    <w:rsid w:val="009433F2"/>
    <w:rsid w:val="00944215"/>
    <w:rsid w:val="009443D7"/>
    <w:rsid w:val="0094457B"/>
    <w:rsid w:val="00944633"/>
    <w:rsid w:val="00944644"/>
    <w:rsid w:val="00944D45"/>
    <w:rsid w:val="0094543E"/>
    <w:rsid w:val="009454FA"/>
    <w:rsid w:val="00945592"/>
    <w:rsid w:val="0094564E"/>
    <w:rsid w:val="00945A8E"/>
    <w:rsid w:val="00945C51"/>
    <w:rsid w:val="00945F26"/>
    <w:rsid w:val="00946233"/>
    <w:rsid w:val="009463BD"/>
    <w:rsid w:val="009463ED"/>
    <w:rsid w:val="009465A4"/>
    <w:rsid w:val="009465B4"/>
    <w:rsid w:val="00946786"/>
    <w:rsid w:val="00946950"/>
    <w:rsid w:val="009470F2"/>
    <w:rsid w:val="0094766F"/>
    <w:rsid w:val="00947775"/>
    <w:rsid w:val="00947882"/>
    <w:rsid w:val="00947E7C"/>
    <w:rsid w:val="00947F33"/>
    <w:rsid w:val="00951302"/>
    <w:rsid w:val="0095145C"/>
    <w:rsid w:val="00951E75"/>
    <w:rsid w:val="00951F48"/>
    <w:rsid w:val="00951FB3"/>
    <w:rsid w:val="009523AC"/>
    <w:rsid w:val="009523E7"/>
    <w:rsid w:val="009524C3"/>
    <w:rsid w:val="00952523"/>
    <w:rsid w:val="0095258D"/>
    <w:rsid w:val="009525D7"/>
    <w:rsid w:val="00952BAC"/>
    <w:rsid w:val="00952C0B"/>
    <w:rsid w:val="00952D36"/>
    <w:rsid w:val="00952ECA"/>
    <w:rsid w:val="00952F0C"/>
    <w:rsid w:val="009538A7"/>
    <w:rsid w:val="0095398D"/>
    <w:rsid w:val="00953A02"/>
    <w:rsid w:val="00953A6B"/>
    <w:rsid w:val="00953BE7"/>
    <w:rsid w:val="00954701"/>
    <w:rsid w:val="009548D7"/>
    <w:rsid w:val="00954B8C"/>
    <w:rsid w:val="00954BE8"/>
    <w:rsid w:val="00954C30"/>
    <w:rsid w:val="00954C7B"/>
    <w:rsid w:val="00954D00"/>
    <w:rsid w:val="00954FC8"/>
    <w:rsid w:val="00955390"/>
    <w:rsid w:val="0095549A"/>
    <w:rsid w:val="00955861"/>
    <w:rsid w:val="009559BE"/>
    <w:rsid w:val="009561A9"/>
    <w:rsid w:val="00956377"/>
    <w:rsid w:val="009564FB"/>
    <w:rsid w:val="0095690B"/>
    <w:rsid w:val="00956B28"/>
    <w:rsid w:val="00956CA4"/>
    <w:rsid w:val="00956FEC"/>
    <w:rsid w:val="00957D03"/>
    <w:rsid w:val="00960217"/>
    <w:rsid w:val="00960266"/>
    <w:rsid w:val="00960A81"/>
    <w:rsid w:val="00960D0A"/>
    <w:rsid w:val="00960D13"/>
    <w:rsid w:val="0096160D"/>
    <w:rsid w:val="00961642"/>
    <w:rsid w:val="00961A23"/>
    <w:rsid w:val="00961A8F"/>
    <w:rsid w:val="00961F43"/>
    <w:rsid w:val="009623FC"/>
    <w:rsid w:val="00962403"/>
    <w:rsid w:val="009624AA"/>
    <w:rsid w:val="0096260D"/>
    <w:rsid w:val="0096271B"/>
    <w:rsid w:val="00962B8E"/>
    <w:rsid w:val="009630FB"/>
    <w:rsid w:val="00963543"/>
    <w:rsid w:val="00963857"/>
    <w:rsid w:val="00963BC0"/>
    <w:rsid w:val="00964A5B"/>
    <w:rsid w:val="00964A91"/>
    <w:rsid w:val="009650A1"/>
    <w:rsid w:val="00965203"/>
    <w:rsid w:val="00965390"/>
    <w:rsid w:val="0096593D"/>
    <w:rsid w:val="0096599E"/>
    <w:rsid w:val="00965AE0"/>
    <w:rsid w:val="0096608F"/>
    <w:rsid w:val="009666C3"/>
    <w:rsid w:val="009669CE"/>
    <w:rsid w:val="00966CA8"/>
    <w:rsid w:val="00966FDA"/>
    <w:rsid w:val="00967286"/>
    <w:rsid w:val="00967405"/>
    <w:rsid w:val="009674CA"/>
    <w:rsid w:val="00967E96"/>
    <w:rsid w:val="00967FE6"/>
    <w:rsid w:val="0097012C"/>
    <w:rsid w:val="009702C9"/>
    <w:rsid w:val="009704AD"/>
    <w:rsid w:val="009706ED"/>
    <w:rsid w:val="00970CD2"/>
    <w:rsid w:val="00970D90"/>
    <w:rsid w:val="0097174B"/>
    <w:rsid w:val="00971B5B"/>
    <w:rsid w:val="00971C6C"/>
    <w:rsid w:val="00971C86"/>
    <w:rsid w:val="009723E6"/>
    <w:rsid w:val="0097292B"/>
    <w:rsid w:val="0097296D"/>
    <w:rsid w:val="00972DD2"/>
    <w:rsid w:val="009730D1"/>
    <w:rsid w:val="009736D3"/>
    <w:rsid w:val="00973737"/>
    <w:rsid w:val="00973B37"/>
    <w:rsid w:val="00973DA4"/>
    <w:rsid w:val="00973E66"/>
    <w:rsid w:val="00973E67"/>
    <w:rsid w:val="0097401A"/>
    <w:rsid w:val="0097442B"/>
    <w:rsid w:val="0097539D"/>
    <w:rsid w:val="009754C1"/>
    <w:rsid w:val="0097557E"/>
    <w:rsid w:val="00975CB5"/>
    <w:rsid w:val="00975E07"/>
    <w:rsid w:val="00976DFD"/>
    <w:rsid w:val="00977DEA"/>
    <w:rsid w:val="00977EB7"/>
    <w:rsid w:val="0098033A"/>
    <w:rsid w:val="00980BFE"/>
    <w:rsid w:val="00980C45"/>
    <w:rsid w:val="00980D38"/>
    <w:rsid w:val="009820D6"/>
    <w:rsid w:val="00982295"/>
    <w:rsid w:val="009823B2"/>
    <w:rsid w:val="009827AB"/>
    <w:rsid w:val="00982A31"/>
    <w:rsid w:val="00982B95"/>
    <w:rsid w:val="00982E91"/>
    <w:rsid w:val="00983328"/>
    <w:rsid w:val="00983547"/>
    <w:rsid w:val="00983672"/>
    <w:rsid w:val="009838A0"/>
    <w:rsid w:val="009838C8"/>
    <w:rsid w:val="009839AC"/>
    <w:rsid w:val="00983AB1"/>
    <w:rsid w:val="00983F9E"/>
    <w:rsid w:val="00984089"/>
    <w:rsid w:val="00984621"/>
    <w:rsid w:val="009847A3"/>
    <w:rsid w:val="00984CC9"/>
    <w:rsid w:val="00985116"/>
    <w:rsid w:val="0098532D"/>
    <w:rsid w:val="00985C5F"/>
    <w:rsid w:val="00985D52"/>
    <w:rsid w:val="00985F94"/>
    <w:rsid w:val="009860B2"/>
    <w:rsid w:val="0098627A"/>
    <w:rsid w:val="00986341"/>
    <w:rsid w:val="009870EE"/>
    <w:rsid w:val="0098781C"/>
    <w:rsid w:val="00987BA8"/>
    <w:rsid w:val="00987C50"/>
    <w:rsid w:val="00990088"/>
    <w:rsid w:val="009900E4"/>
    <w:rsid w:val="00990CD7"/>
    <w:rsid w:val="00990F8D"/>
    <w:rsid w:val="0099109B"/>
    <w:rsid w:val="009910CB"/>
    <w:rsid w:val="009910D1"/>
    <w:rsid w:val="00991291"/>
    <w:rsid w:val="00991388"/>
    <w:rsid w:val="00991934"/>
    <w:rsid w:val="00991DBA"/>
    <w:rsid w:val="0099207D"/>
    <w:rsid w:val="0099208B"/>
    <w:rsid w:val="009935FF"/>
    <w:rsid w:val="00993692"/>
    <w:rsid w:val="00993780"/>
    <w:rsid w:val="009942C7"/>
    <w:rsid w:val="00994311"/>
    <w:rsid w:val="0099482F"/>
    <w:rsid w:val="00995006"/>
    <w:rsid w:val="009954EF"/>
    <w:rsid w:val="00996072"/>
    <w:rsid w:val="00996574"/>
    <w:rsid w:val="00996A97"/>
    <w:rsid w:val="00996DC4"/>
    <w:rsid w:val="00997A56"/>
    <w:rsid w:val="00997AEF"/>
    <w:rsid w:val="009A097E"/>
    <w:rsid w:val="009A0C58"/>
    <w:rsid w:val="009A0C76"/>
    <w:rsid w:val="009A1472"/>
    <w:rsid w:val="009A2227"/>
    <w:rsid w:val="009A2329"/>
    <w:rsid w:val="009A2386"/>
    <w:rsid w:val="009A2679"/>
    <w:rsid w:val="009A2771"/>
    <w:rsid w:val="009A32E4"/>
    <w:rsid w:val="009A3446"/>
    <w:rsid w:val="009A3485"/>
    <w:rsid w:val="009A3A17"/>
    <w:rsid w:val="009A3E04"/>
    <w:rsid w:val="009A3E8A"/>
    <w:rsid w:val="009A3F3A"/>
    <w:rsid w:val="009A4956"/>
    <w:rsid w:val="009A4AF6"/>
    <w:rsid w:val="009A4D51"/>
    <w:rsid w:val="009A52EA"/>
    <w:rsid w:val="009A5EB2"/>
    <w:rsid w:val="009A5ECB"/>
    <w:rsid w:val="009A5F28"/>
    <w:rsid w:val="009A60B0"/>
    <w:rsid w:val="009A63C3"/>
    <w:rsid w:val="009A65A1"/>
    <w:rsid w:val="009A682A"/>
    <w:rsid w:val="009A686A"/>
    <w:rsid w:val="009A689D"/>
    <w:rsid w:val="009A68FE"/>
    <w:rsid w:val="009A6952"/>
    <w:rsid w:val="009A6A45"/>
    <w:rsid w:val="009A71E1"/>
    <w:rsid w:val="009A7268"/>
    <w:rsid w:val="009A763A"/>
    <w:rsid w:val="009B00B2"/>
    <w:rsid w:val="009B0299"/>
    <w:rsid w:val="009B0FBD"/>
    <w:rsid w:val="009B12F4"/>
    <w:rsid w:val="009B1760"/>
    <w:rsid w:val="009B21D8"/>
    <w:rsid w:val="009B2AAE"/>
    <w:rsid w:val="009B2B1B"/>
    <w:rsid w:val="009B33ED"/>
    <w:rsid w:val="009B360C"/>
    <w:rsid w:val="009B36F2"/>
    <w:rsid w:val="009B374F"/>
    <w:rsid w:val="009B4947"/>
    <w:rsid w:val="009B4AC8"/>
    <w:rsid w:val="009B5439"/>
    <w:rsid w:val="009B55A1"/>
    <w:rsid w:val="009B573A"/>
    <w:rsid w:val="009B59A1"/>
    <w:rsid w:val="009B5BBD"/>
    <w:rsid w:val="009B5D4C"/>
    <w:rsid w:val="009B6048"/>
    <w:rsid w:val="009B6EAC"/>
    <w:rsid w:val="009B70FA"/>
    <w:rsid w:val="009B72F9"/>
    <w:rsid w:val="009C0C2E"/>
    <w:rsid w:val="009C1D7C"/>
    <w:rsid w:val="009C1F91"/>
    <w:rsid w:val="009C2140"/>
    <w:rsid w:val="009C2237"/>
    <w:rsid w:val="009C2531"/>
    <w:rsid w:val="009C28FD"/>
    <w:rsid w:val="009C354A"/>
    <w:rsid w:val="009C3BD6"/>
    <w:rsid w:val="009C3FE3"/>
    <w:rsid w:val="009C4240"/>
    <w:rsid w:val="009C434D"/>
    <w:rsid w:val="009C4D2B"/>
    <w:rsid w:val="009C4E71"/>
    <w:rsid w:val="009C5854"/>
    <w:rsid w:val="009C5F98"/>
    <w:rsid w:val="009C6127"/>
    <w:rsid w:val="009C63FC"/>
    <w:rsid w:val="009C64CB"/>
    <w:rsid w:val="009C6506"/>
    <w:rsid w:val="009C656D"/>
    <w:rsid w:val="009C6B90"/>
    <w:rsid w:val="009C6D1F"/>
    <w:rsid w:val="009C6ECA"/>
    <w:rsid w:val="009C7117"/>
    <w:rsid w:val="009C75DD"/>
    <w:rsid w:val="009C77AE"/>
    <w:rsid w:val="009C781D"/>
    <w:rsid w:val="009C79CC"/>
    <w:rsid w:val="009C7F64"/>
    <w:rsid w:val="009D00B4"/>
    <w:rsid w:val="009D0967"/>
    <w:rsid w:val="009D0CF2"/>
    <w:rsid w:val="009D13C8"/>
    <w:rsid w:val="009D141E"/>
    <w:rsid w:val="009D2292"/>
    <w:rsid w:val="009D2564"/>
    <w:rsid w:val="009D2A15"/>
    <w:rsid w:val="009D2A43"/>
    <w:rsid w:val="009D2A7B"/>
    <w:rsid w:val="009D2AEF"/>
    <w:rsid w:val="009D2C3B"/>
    <w:rsid w:val="009D2F45"/>
    <w:rsid w:val="009D2F55"/>
    <w:rsid w:val="009D3249"/>
    <w:rsid w:val="009D3267"/>
    <w:rsid w:val="009D34AD"/>
    <w:rsid w:val="009D380E"/>
    <w:rsid w:val="009D3F4F"/>
    <w:rsid w:val="009D451D"/>
    <w:rsid w:val="009D4B14"/>
    <w:rsid w:val="009D4E45"/>
    <w:rsid w:val="009D51D9"/>
    <w:rsid w:val="009D7089"/>
    <w:rsid w:val="009D7217"/>
    <w:rsid w:val="009D7E6C"/>
    <w:rsid w:val="009E00E0"/>
    <w:rsid w:val="009E07F0"/>
    <w:rsid w:val="009E131A"/>
    <w:rsid w:val="009E14B9"/>
    <w:rsid w:val="009E1570"/>
    <w:rsid w:val="009E1604"/>
    <w:rsid w:val="009E18D4"/>
    <w:rsid w:val="009E2318"/>
    <w:rsid w:val="009E3075"/>
    <w:rsid w:val="009E32A0"/>
    <w:rsid w:val="009E3CF2"/>
    <w:rsid w:val="009E4369"/>
    <w:rsid w:val="009E4374"/>
    <w:rsid w:val="009E4694"/>
    <w:rsid w:val="009E4BB8"/>
    <w:rsid w:val="009E4BDC"/>
    <w:rsid w:val="009E4D64"/>
    <w:rsid w:val="009E50B4"/>
    <w:rsid w:val="009E54A2"/>
    <w:rsid w:val="009E58F8"/>
    <w:rsid w:val="009E5926"/>
    <w:rsid w:val="009E5AD9"/>
    <w:rsid w:val="009E5C2F"/>
    <w:rsid w:val="009E5C37"/>
    <w:rsid w:val="009E674F"/>
    <w:rsid w:val="009E6F7E"/>
    <w:rsid w:val="009E7622"/>
    <w:rsid w:val="009E7821"/>
    <w:rsid w:val="009E7983"/>
    <w:rsid w:val="009F0250"/>
    <w:rsid w:val="009F044B"/>
    <w:rsid w:val="009F0493"/>
    <w:rsid w:val="009F05EB"/>
    <w:rsid w:val="009F06E3"/>
    <w:rsid w:val="009F0965"/>
    <w:rsid w:val="009F1105"/>
    <w:rsid w:val="009F17CA"/>
    <w:rsid w:val="009F1843"/>
    <w:rsid w:val="009F1F33"/>
    <w:rsid w:val="009F2214"/>
    <w:rsid w:val="009F29AA"/>
    <w:rsid w:val="009F2A7E"/>
    <w:rsid w:val="009F2CE7"/>
    <w:rsid w:val="009F3045"/>
    <w:rsid w:val="009F309B"/>
    <w:rsid w:val="009F3476"/>
    <w:rsid w:val="009F38E5"/>
    <w:rsid w:val="009F3DA5"/>
    <w:rsid w:val="009F42B5"/>
    <w:rsid w:val="009F42F6"/>
    <w:rsid w:val="009F4588"/>
    <w:rsid w:val="009F4A89"/>
    <w:rsid w:val="009F4C8C"/>
    <w:rsid w:val="009F5739"/>
    <w:rsid w:val="009F595D"/>
    <w:rsid w:val="009F5C20"/>
    <w:rsid w:val="009F61CE"/>
    <w:rsid w:val="009F6650"/>
    <w:rsid w:val="009F66F4"/>
    <w:rsid w:val="009F6AE7"/>
    <w:rsid w:val="009F71F6"/>
    <w:rsid w:val="009F7FF2"/>
    <w:rsid w:val="00A000E2"/>
    <w:rsid w:val="00A001DC"/>
    <w:rsid w:val="00A007DE"/>
    <w:rsid w:val="00A0178C"/>
    <w:rsid w:val="00A02372"/>
    <w:rsid w:val="00A03066"/>
    <w:rsid w:val="00A03391"/>
    <w:rsid w:val="00A0345D"/>
    <w:rsid w:val="00A03661"/>
    <w:rsid w:val="00A037A8"/>
    <w:rsid w:val="00A037EF"/>
    <w:rsid w:val="00A039F2"/>
    <w:rsid w:val="00A04130"/>
    <w:rsid w:val="00A04401"/>
    <w:rsid w:val="00A044BF"/>
    <w:rsid w:val="00A04780"/>
    <w:rsid w:val="00A0491E"/>
    <w:rsid w:val="00A04BC6"/>
    <w:rsid w:val="00A04EBC"/>
    <w:rsid w:val="00A05050"/>
    <w:rsid w:val="00A050D5"/>
    <w:rsid w:val="00A0518F"/>
    <w:rsid w:val="00A053AC"/>
    <w:rsid w:val="00A054B2"/>
    <w:rsid w:val="00A054E6"/>
    <w:rsid w:val="00A0568C"/>
    <w:rsid w:val="00A0625F"/>
    <w:rsid w:val="00A0628B"/>
    <w:rsid w:val="00A062A9"/>
    <w:rsid w:val="00A0659A"/>
    <w:rsid w:val="00A0689A"/>
    <w:rsid w:val="00A070D3"/>
    <w:rsid w:val="00A071D0"/>
    <w:rsid w:val="00A07602"/>
    <w:rsid w:val="00A077FC"/>
    <w:rsid w:val="00A0786D"/>
    <w:rsid w:val="00A07F70"/>
    <w:rsid w:val="00A103FE"/>
    <w:rsid w:val="00A11077"/>
    <w:rsid w:val="00A116D9"/>
    <w:rsid w:val="00A116E9"/>
    <w:rsid w:val="00A11743"/>
    <w:rsid w:val="00A11818"/>
    <w:rsid w:val="00A11A67"/>
    <w:rsid w:val="00A11B91"/>
    <w:rsid w:val="00A12046"/>
    <w:rsid w:val="00A13103"/>
    <w:rsid w:val="00A14357"/>
    <w:rsid w:val="00A14EF7"/>
    <w:rsid w:val="00A14F55"/>
    <w:rsid w:val="00A159E7"/>
    <w:rsid w:val="00A15FFD"/>
    <w:rsid w:val="00A161B3"/>
    <w:rsid w:val="00A1678D"/>
    <w:rsid w:val="00A16A73"/>
    <w:rsid w:val="00A178B2"/>
    <w:rsid w:val="00A17C22"/>
    <w:rsid w:val="00A17F5C"/>
    <w:rsid w:val="00A201EF"/>
    <w:rsid w:val="00A2038B"/>
    <w:rsid w:val="00A2133F"/>
    <w:rsid w:val="00A22080"/>
    <w:rsid w:val="00A221F4"/>
    <w:rsid w:val="00A22766"/>
    <w:rsid w:val="00A22B87"/>
    <w:rsid w:val="00A22EF0"/>
    <w:rsid w:val="00A23149"/>
    <w:rsid w:val="00A23331"/>
    <w:rsid w:val="00A23481"/>
    <w:rsid w:val="00A23CD2"/>
    <w:rsid w:val="00A241BC"/>
    <w:rsid w:val="00A24398"/>
    <w:rsid w:val="00A24438"/>
    <w:rsid w:val="00A24B7B"/>
    <w:rsid w:val="00A24D5C"/>
    <w:rsid w:val="00A25561"/>
    <w:rsid w:val="00A25672"/>
    <w:rsid w:val="00A258E5"/>
    <w:rsid w:val="00A25D9D"/>
    <w:rsid w:val="00A26891"/>
    <w:rsid w:val="00A26F45"/>
    <w:rsid w:val="00A27462"/>
    <w:rsid w:val="00A2789E"/>
    <w:rsid w:val="00A30D00"/>
    <w:rsid w:val="00A30DCC"/>
    <w:rsid w:val="00A30F6F"/>
    <w:rsid w:val="00A31796"/>
    <w:rsid w:val="00A31DE5"/>
    <w:rsid w:val="00A32FBC"/>
    <w:rsid w:val="00A33422"/>
    <w:rsid w:val="00A33649"/>
    <w:rsid w:val="00A33F08"/>
    <w:rsid w:val="00A34215"/>
    <w:rsid w:val="00A342FF"/>
    <w:rsid w:val="00A34784"/>
    <w:rsid w:val="00A34820"/>
    <w:rsid w:val="00A35186"/>
    <w:rsid w:val="00A356E3"/>
    <w:rsid w:val="00A35C99"/>
    <w:rsid w:val="00A365CA"/>
    <w:rsid w:val="00A36A6B"/>
    <w:rsid w:val="00A3781B"/>
    <w:rsid w:val="00A37ACE"/>
    <w:rsid w:val="00A402C6"/>
    <w:rsid w:val="00A40BB6"/>
    <w:rsid w:val="00A413BE"/>
    <w:rsid w:val="00A4172A"/>
    <w:rsid w:val="00A41747"/>
    <w:rsid w:val="00A4221F"/>
    <w:rsid w:val="00A4284F"/>
    <w:rsid w:val="00A42C33"/>
    <w:rsid w:val="00A43972"/>
    <w:rsid w:val="00A43A23"/>
    <w:rsid w:val="00A43AB2"/>
    <w:rsid w:val="00A43B0E"/>
    <w:rsid w:val="00A440CD"/>
    <w:rsid w:val="00A441B2"/>
    <w:rsid w:val="00A442F9"/>
    <w:rsid w:val="00A443AC"/>
    <w:rsid w:val="00A44566"/>
    <w:rsid w:val="00A44B37"/>
    <w:rsid w:val="00A44CD5"/>
    <w:rsid w:val="00A44E85"/>
    <w:rsid w:val="00A44F5F"/>
    <w:rsid w:val="00A45125"/>
    <w:rsid w:val="00A45514"/>
    <w:rsid w:val="00A456CB"/>
    <w:rsid w:val="00A45B8A"/>
    <w:rsid w:val="00A46377"/>
    <w:rsid w:val="00A4767A"/>
    <w:rsid w:val="00A47717"/>
    <w:rsid w:val="00A47C57"/>
    <w:rsid w:val="00A47CD7"/>
    <w:rsid w:val="00A47D81"/>
    <w:rsid w:val="00A47FDE"/>
    <w:rsid w:val="00A50438"/>
    <w:rsid w:val="00A505A2"/>
    <w:rsid w:val="00A50DC1"/>
    <w:rsid w:val="00A50FFD"/>
    <w:rsid w:val="00A5115B"/>
    <w:rsid w:val="00A51201"/>
    <w:rsid w:val="00A51525"/>
    <w:rsid w:val="00A5197C"/>
    <w:rsid w:val="00A51A22"/>
    <w:rsid w:val="00A51B1D"/>
    <w:rsid w:val="00A51DD6"/>
    <w:rsid w:val="00A52065"/>
    <w:rsid w:val="00A5232B"/>
    <w:rsid w:val="00A52407"/>
    <w:rsid w:val="00A52828"/>
    <w:rsid w:val="00A52D78"/>
    <w:rsid w:val="00A52F1A"/>
    <w:rsid w:val="00A52F98"/>
    <w:rsid w:val="00A531E8"/>
    <w:rsid w:val="00A542B6"/>
    <w:rsid w:val="00A54382"/>
    <w:rsid w:val="00A546A7"/>
    <w:rsid w:val="00A54FC3"/>
    <w:rsid w:val="00A55511"/>
    <w:rsid w:val="00A555CA"/>
    <w:rsid w:val="00A55AE9"/>
    <w:rsid w:val="00A55CF9"/>
    <w:rsid w:val="00A55DD1"/>
    <w:rsid w:val="00A564A3"/>
    <w:rsid w:val="00A56A2E"/>
    <w:rsid w:val="00A57245"/>
    <w:rsid w:val="00A57E01"/>
    <w:rsid w:val="00A57F15"/>
    <w:rsid w:val="00A57FED"/>
    <w:rsid w:val="00A608E4"/>
    <w:rsid w:val="00A60BCF"/>
    <w:rsid w:val="00A60EA6"/>
    <w:rsid w:val="00A614DD"/>
    <w:rsid w:val="00A61592"/>
    <w:rsid w:val="00A61DE1"/>
    <w:rsid w:val="00A62977"/>
    <w:rsid w:val="00A63412"/>
    <w:rsid w:val="00A643CF"/>
    <w:rsid w:val="00A6442D"/>
    <w:rsid w:val="00A6459A"/>
    <w:rsid w:val="00A65078"/>
    <w:rsid w:val="00A6508B"/>
    <w:rsid w:val="00A651EC"/>
    <w:rsid w:val="00A6533A"/>
    <w:rsid w:val="00A65438"/>
    <w:rsid w:val="00A654E5"/>
    <w:rsid w:val="00A65D3C"/>
    <w:rsid w:val="00A665CC"/>
    <w:rsid w:val="00A666E6"/>
    <w:rsid w:val="00A6699D"/>
    <w:rsid w:val="00A66E5B"/>
    <w:rsid w:val="00A66FBE"/>
    <w:rsid w:val="00A67186"/>
    <w:rsid w:val="00A677E4"/>
    <w:rsid w:val="00A67BAA"/>
    <w:rsid w:val="00A708B8"/>
    <w:rsid w:val="00A70B49"/>
    <w:rsid w:val="00A70C1B"/>
    <w:rsid w:val="00A70E11"/>
    <w:rsid w:val="00A70E51"/>
    <w:rsid w:val="00A710C3"/>
    <w:rsid w:val="00A718EE"/>
    <w:rsid w:val="00A72714"/>
    <w:rsid w:val="00A727FA"/>
    <w:rsid w:val="00A729C3"/>
    <w:rsid w:val="00A73045"/>
    <w:rsid w:val="00A744DD"/>
    <w:rsid w:val="00A74968"/>
    <w:rsid w:val="00A74B45"/>
    <w:rsid w:val="00A74E20"/>
    <w:rsid w:val="00A750F3"/>
    <w:rsid w:val="00A7522A"/>
    <w:rsid w:val="00A758A6"/>
    <w:rsid w:val="00A75D76"/>
    <w:rsid w:val="00A763FD"/>
    <w:rsid w:val="00A76417"/>
    <w:rsid w:val="00A76D2E"/>
    <w:rsid w:val="00A76DAB"/>
    <w:rsid w:val="00A7731A"/>
    <w:rsid w:val="00A775A3"/>
    <w:rsid w:val="00A77628"/>
    <w:rsid w:val="00A777A9"/>
    <w:rsid w:val="00A77F82"/>
    <w:rsid w:val="00A8064D"/>
    <w:rsid w:val="00A807A2"/>
    <w:rsid w:val="00A80C35"/>
    <w:rsid w:val="00A8144D"/>
    <w:rsid w:val="00A8209D"/>
    <w:rsid w:val="00A82974"/>
    <w:rsid w:val="00A8334E"/>
    <w:rsid w:val="00A833F1"/>
    <w:rsid w:val="00A83672"/>
    <w:rsid w:val="00A8380C"/>
    <w:rsid w:val="00A839DA"/>
    <w:rsid w:val="00A83ADE"/>
    <w:rsid w:val="00A83C1C"/>
    <w:rsid w:val="00A84489"/>
    <w:rsid w:val="00A848B4"/>
    <w:rsid w:val="00A8491A"/>
    <w:rsid w:val="00A84C91"/>
    <w:rsid w:val="00A857FA"/>
    <w:rsid w:val="00A85AB9"/>
    <w:rsid w:val="00A85DE7"/>
    <w:rsid w:val="00A85EE0"/>
    <w:rsid w:val="00A86374"/>
    <w:rsid w:val="00A86641"/>
    <w:rsid w:val="00A86664"/>
    <w:rsid w:val="00A866EB"/>
    <w:rsid w:val="00A86965"/>
    <w:rsid w:val="00A86B60"/>
    <w:rsid w:val="00A86CBC"/>
    <w:rsid w:val="00A86E26"/>
    <w:rsid w:val="00A8702A"/>
    <w:rsid w:val="00A87660"/>
    <w:rsid w:val="00A876B0"/>
    <w:rsid w:val="00A87F6C"/>
    <w:rsid w:val="00A9054E"/>
    <w:rsid w:val="00A90804"/>
    <w:rsid w:val="00A909F7"/>
    <w:rsid w:val="00A91364"/>
    <w:rsid w:val="00A916B1"/>
    <w:rsid w:val="00A91AC2"/>
    <w:rsid w:val="00A91F6E"/>
    <w:rsid w:val="00A92630"/>
    <w:rsid w:val="00A92736"/>
    <w:rsid w:val="00A93929"/>
    <w:rsid w:val="00A93962"/>
    <w:rsid w:val="00A93F97"/>
    <w:rsid w:val="00A9403F"/>
    <w:rsid w:val="00A950D8"/>
    <w:rsid w:val="00A953FC"/>
    <w:rsid w:val="00A955FD"/>
    <w:rsid w:val="00A95E6A"/>
    <w:rsid w:val="00A97204"/>
    <w:rsid w:val="00A97DB0"/>
    <w:rsid w:val="00A97F54"/>
    <w:rsid w:val="00AA03C9"/>
    <w:rsid w:val="00AA089E"/>
    <w:rsid w:val="00AA0D61"/>
    <w:rsid w:val="00AA13E0"/>
    <w:rsid w:val="00AA18C8"/>
    <w:rsid w:val="00AA2093"/>
    <w:rsid w:val="00AA2171"/>
    <w:rsid w:val="00AA236F"/>
    <w:rsid w:val="00AA2B40"/>
    <w:rsid w:val="00AA2CB6"/>
    <w:rsid w:val="00AA3038"/>
    <w:rsid w:val="00AA31BA"/>
    <w:rsid w:val="00AA38CD"/>
    <w:rsid w:val="00AA3C5F"/>
    <w:rsid w:val="00AA44C3"/>
    <w:rsid w:val="00AA46AB"/>
    <w:rsid w:val="00AA5002"/>
    <w:rsid w:val="00AA526E"/>
    <w:rsid w:val="00AA5374"/>
    <w:rsid w:val="00AA588F"/>
    <w:rsid w:val="00AA60DE"/>
    <w:rsid w:val="00AA6185"/>
    <w:rsid w:val="00AA6240"/>
    <w:rsid w:val="00AA664D"/>
    <w:rsid w:val="00AA6A46"/>
    <w:rsid w:val="00AA6B66"/>
    <w:rsid w:val="00AA6BB9"/>
    <w:rsid w:val="00AA6BC1"/>
    <w:rsid w:val="00AA7725"/>
    <w:rsid w:val="00AA77D1"/>
    <w:rsid w:val="00AA7C42"/>
    <w:rsid w:val="00AB01B0"/>
    <w:rsid w:val="00AB0664"/>
    <w:rsid w:val="00AB0810"/>
    <w:rsid w:val="00AB1000"/>
    <w:rsid w:val="00AB26EA"/>
    <w:rsid w:val="00AB2B03"/>
    <w:rsid w:val="00AB3304"/>
    <w:rsid w:val="00AB33B8"/>
    <w:rsid w:val="00AB3464"/>
    <w:rsid w:val="00AB358C"/>
    <w:rsid w:val="00AB3CB5"/>
    <w:rsid w:val="00AB3CF7"/>
    <w:rsid w:val="00AB3EEA"/>
    <w:rsid w:val="00AB4086"/>
    <w:rsid w:val="00AB4631"/>
    <w:rsid w:val="00AB4AF5"/>
    <w:rsid w:val="00AB557B"/>
    <w:rsid w:val="00AB59D3"/>
    <w:rsid w:val="00AB5D3D"/>
    <w:rsid w:val="00AB5FB9"/>
    <w:rsid w:val="00AB67F7"/>
    <w:rsid w:val="00AB6EE9"/>
    <w:rsid w:val="00AB707C"/>
    <w:rsid w:val="00AB7272"/>
    <w:rsid w:val="00AB785D"/>
    <w:rsid w:val="00AB7998"/>
    <w:rsid w:val="00AB7C46"/>
    <w:rsid w:val="00AC02B4"/>
    <w:rsid w:val="00AC02D5"/>
    <w:rsid w:val="00AC04C5"/>
    <w:rsid w:val="00AC0E38"/>
    <w:rsid w:val="00AC1217"/>
    <w:rsid w:val="00AC13FE"/>
    <w:rsid w:val="00AC22A1"/>
    <w:rsid w:val="00AC25D0"/>
    <w:rsid w:val="00AC2EE8"/>
    <w:rsid w:val="00AC31AE"/>
    <w:rsid w:val="00AC34AB"/>
    <w:rsid w:val="00AC37A0"/>
    <w:rsid w:val="00AC41EF"/>
    <w:rsid w:val="00AC42B6"/>
    <w:rsid w:val="00AC4342"/>
    <w:rsid w:val="00AC48F1"/>
    <w:rsid w:val="00AC537E"/>
    <w:rsid w:val="00AC54B2"/>
    <w:rsid w:val="00AC5695"/>
    <w:rsid w:val="00AC56C0"/>
    <w:rsid w:val="00AC5717"/>
    <w:rsid w:val="00AC5B45"/>
    <w:rsid w:val="00AC5E70"/>
    <w:rsid w:val="00AC6085"/>
    <w:rsid w:val="00AC6119"/>
    <w:rsid w:val="00AC64D7"/>
    <w:rsid w:val="00AC6776"/>
    <w:rsid w:val="00AC69C5"/>
    <w:rsid w:val="00AC706C"/>
    <w:rsid w:val="00AC717B"/>
    <w:rsid w:val="00AC763C"/>
    <w:rsid w:val="00AC777B"/>
    <w:rsid w:val="00AC7B9F"/>
    <w:rsid w:val="00AD0602"/>
    <w:rsid w:val="00AD0E8E"/>
    <w:rsid w:val="00AD1A96"/>
    <w:rsid w:val="00AD1CA8"/>
    <w:rsid w:val="00AD1DB7"/>
    <w:rsid w:val="00AD1E47"/>
    <w:rsid w:val="00AD20A6"/>
    <w:rsid w:val="00AD232B"/>
    <w:rsid w:val="00AD264F"/>
    <w:rsid w:val="00AD2724"/>
    <w:rsid w:val="00AD2788"/>
    <w:rsid w:val="00AD294C"/>
    <w:rsid w:val="00AD2FB6"/>
    <w:rsid w:val="00AD38D7"/>
    <w:rsid w:val="00AD39FF"/>
    <w:rsid w:val="00AD3A32"/>
    <w:rsid w:val="00AD4239"/>
    <w:rsid w:val="00AD4579"/>
    <w:rsid w:val="00AD4902"/>
    <w:rsid w:val="00AD4A09"/>
    <w:rsid w:val="00AD4E4B"/>
    <w:rsid w:val="00AD55E6"/>
    <w:rsid w:val="00AD59FF"/>
    <w:rsid w:val="00AD5BFB"/>
    <w:rsid w:val="00AD5F22"/>
    <w:rsid w:val="00AD60BA"/>
    <w:rsid w:val="00AD661E"/>
    <w:rsid w:val="00AD673D"/>
    <w:rsid w:val="00AD6CB6"/>
    <w:rsid w:val="00AD6D4F"/>
    <w:rsid w:val="00AD7657"/>
    <w:rsid w:val="00AD7C43"/>
    <w:rsid w:val="00AE0240"/>
    <w:rsid w:val="00AE0863"/>
    <w:rsid w:val="00AE0883"/>
    <w:rsid w:val="00AE099A"/>
    <w:rsid w:val="00AE11EC"/>
    <w:rsid w:val="00AE1681"/>
    <w:rsid w:val="00AE1EFA"/>
    <w:rsid w:val="00AE255D"/>
    <w:rsid w:val="00AE2611"/>
    <w:rsid w:val="00AE2681"/>
    <w:rsid w:val="00AE29DE"/>
    <w:rsid w:val="00AE2BD2"/>
    <w:rsid w:val="00AE2D2F"/>
    <w:rsid w:val="00AE2D84"/>
    <w:rsid w:val="00AE2E72"/>
    <w:rsid w:val="00AE2E8B"/>
    <w:rsid w:val="00AE3886"/>
    <w:rsid w:val="00AE3F4A"/>
    <w:rsid w:val="00AE42A7"/>
    <w:rsid w:val="00AE4360"/>
    <w:rsid w:val="00AE4D3F"/>
    <w:rsid w:val="00AE4D7E"/>
    <w:rsid w:val="00AE5809"/>
    <w:rsid w:val="00AE5900"/>
    <w:rsid w:val="00AE5C88"/>
    <w:rsid w:val="00AE6135"/>
    <w:rsid w:val="00AE669D"/>
    <w:rsid w:val="00AE66C0"/>
    <w:rsid w:val="00AE7372"/>
    <w:rsid w:val="00AE745D"/>
    <w:rsid w:val="00AE754B"/>
    <w:rsid w:val="00AE7EB2"/>
    <w:rsid w:val="00AF017F"/>
    <w:rsid w:val="00AF0B6A"/>
    <w:rsid w:val="00AF0B9B"/>
    <w:rsid w:val="00AF0DEA"/>
    <w:rsid w:val="00AF1694"/>
    <w:rsid w:val="00AF1A5C"/>
    <w:rsid w:val="00AF1A82"/>
    <w:rsid w:val="00AF1AEC"/>
    <w:rsid w:val="00AF1E83"/>
    <w:rsid w:val="00AF280A"/>
    <w:rsid w:val="00AF2B90"/>
    <w:rsid w:val="00AF2C83"/>
    <w:rsid w:val="00AF362E"/>
    <w:rsid w:val="00AF3D4F"/>
    <w:rsid w:val="00AF3DB8"/>
    <w:rsid w:val="00AF4A60"/>
    <w:rsid w:val="00AF4BDF"/>
    <w:rsid w:val="00AF4F7E"/>
    <w:rsid w:val="00AF5551"/>
    <w:rsid w:val="00AF5817"/>
    <w:rsid w:val="00AF623D"/>
    <w:rsid w:val="00AF62B1"/>
    <w:rsid w:val="00AF66A4"/>
    <w:rsid w:val="00AF7761"/>
    <w:rsid w:val="00AF7AE4"/>
    <w:rsid w:val="00AF7AF3"/>
    <w:rsid w:val="00B00202"/>
    <w:rsid w:val="00B0079B"/>
    <w:rsid w:val="00B009BC"/>
    <w:rsid w:val="00B00A19"/>
    <w:rsid w:val="00B00B19"/>
    <w:rsid w:val="00B010FA"/>
    <w:rsid w:val="00B01105"/>
    <w:rsid w:val="00B014AB"/>
    <w:rsid w:val="00B01912"/>
    <w:rsid w:val="00B02375"/>
    <w:rsid w:val="00B0240B"/>
    <w:rsid w:val="00B026AD"/>
    <w:rsid w:val="00B029FE"/>
    <w:rsid w:val="00B0344D"/>
    <w:rsid w:val="00B034FA"/>
    <w:rsid w:val="00B0373B"/>
    <w:rsid w:val="00B03937"/>
    <w:rsid w:val="00B03A53"/>
    <w:rsid w:val="00B03E99"/>
    <w:rsid w:val="00B03F33"/>
    <w:rsid w:val="00B04353"/>
    <w:rsid w:val="00B04414"/>
    <w:rsid w:val="00B045CD"/>
    <w:rsid w:val="00B047CB"/>
    <w:rsid w:val="00B04D10"/>
    <w:rsid w:val="00B05286"/>
    <w:rsid w:val="00B056F2"/>
    <w:rsid w:val="00B05718"/>
    <w:rsid w:val="00B0585D"/>
    <w:rsid w:val="00B05B37"/>
    <w:rsid w:val="00B05DE1"/>
    <w:rsid w:val="00B063D8"/>
    <w:rsid w:val="00B066ED"/>
    <w:rsid w:val="00B06E2B"/>
    <w:rsid w:val="00B07B66"/>
    <w:rsid w:val="00B10398"/>
    <w:rsid w:val="00B108AF"/>
    <w:rsid w:val="00B10AF5"/>
    <w:rsid w:val="00B10E02"/>
    <w:rsid w:val="00B11588"/>
    <w:rsid w:val="00B11B41"/>
    <w:rsid w:val="00B122F8"/>
    <w:rsid w:val="00B12627"/>
    <w:rsid w:val="00B12850"/>
    <w:rsid w:val="00B12D6E"/>
    <w:rsid w:val="00B12E05"/>
    <w:rsid w:val="00B12FCA"/>
    <w:rsid w:val="00B134D7"/>
    <w:rsid w:val="00B1368F"/>
    <w:rsid w:val="00B13A81"/>
    <w:rsid w:val="00B14471"/>
    <w:rsid w:val="00B14C46"/>
    <w:rsid w:val="00B15002"/>
    <w:rsid w:val="00B15AF0"/>
    <w:rsid w:val="00B15B05"/>
    <w:rsid w:val="00B15CC1"/>
    <w:rsid w:val="00B16131"/>
    <w:rsid w:val="00B16F84"/>
    <w:rsid w:val="00B17016"/>
    <w:rsid w:val="00B202F5"/>
    <w:rsid w:val="00B20BC7"/>
    <w:rsid w:val="00B20C7E"/>
    <w:rsid w:val="00B20E1D"/>
    <w:rsid w:val="00B211B8"/>
    <w:rsid w:val="00B21250"/>
    <w:rsid w:val="00B21B85"/>
    <w:rsid w:val="00B21F3E"/>
    <w:rsid w:val="00B228E3"/>
    <w:rsid w:val="00B22CB9"/>
    <w:rsid w:val="00B22DA0"/>
    <w:rsid w:val="00B232E7"/>
    <w:rsid w:val="00B2330E"/>
    <w:rsid w:val="00B2379F"/>
    <w:rsid w:val="00B2411D"/>
    <w:rsid w:val="00B24233"/>
    <w:rsid w:val="00B2462B"/>
    <w:rsid w:val="00B248D8"/>
    <w:rsid w:val="00B24A29"/>
    <w:rsid w:val="00B24BF6"/>
    <w:rsid w:val="00B24BFE"/>
    <w:rsid w:val="00B25303"/>
    <w:rsid w:val="00B25B6D"/>
    <w:rsid w:val="00B25E29"/>
    <w:rsid w:val="00B2600A"/>
    <w:rsid w:val="00B26223"/>
    <w:rsid w:val="00B26225"/>
    <w:rsid w:val="00B26617"/>
    <w:rsid w:val="00B26C9E"/>
    <w:rsid w:val="00B26DA4"/>
    <w:rsid w:val="00B26E47"/>
    <w:rsid w:val="00B26FF5"/>
    <w:rsid w:val="00B27298"/>
    <w:rsid w:val="00B273BD"/>
    <w:rsid w:val="00B27983"/>
    <w:rsid w:val="00B3016D"/>
    <w:rsid w:val="00B30DEC"/>
    <w:rsid w:val="00B31001"/>
    <w:rsid w:val="00B315AC"/>
    <w:rsid w:val="00B31796"/>
    <w:rsid w:val="00B31C39"/>
    <w:rsid w:val="00B32135"/>
    <w:rsid w:val="00B322EF"/>
    <w:rsid w:val="00B32860"/>
    <w:rsid w:val="00B32CE6"/>
    <w:rsid w:val="00B33408"/>
    <w:rsid w:val="00B33ABE"/>
    <w:rsid w:val="00B33BCC"/>
    <w:rsid w:val="00B34D35"/>
    <w:rsid w:val="00B34E5E"/>
    <w:rsid w:val="00B356BA"/>
    <w:rsid w:val="00B358C6"/>
    <w:rsid w:val="00B35ACF"/>
    <w:rsid w:val="00B3626F"/>
    <w:rsid w:val="00B368F4"/>
    <w:rsid w:val="00B36C3F"/>
    <w:rsid w:val="00B36DF1"/>
    <w:rsid w:val="00B37381"/>
    <w:rsid w:val="00B37697"/>
    <w:rsid w:val="00B37B7F"/>
    <w:rsid w:val="00B37C76"/>
    <w:rsid w:val="00B400A2"/>
    <w:rsid w:val="00B400C4"/>
    <w:rsid w:val="00B40255"/>
    <w:rsid w:val="00B405CB"/>
    <w:rsid w:val="00B409E9"/>
    <w:rsid w:val="00B40BE8"/>
    <w:rsid w:val="00B40C23"/>
    <w:rsid w:val="00B40F79"/>
    <w:rsid w:val="00B411C7"/>
    <w:rsid w:val="00B4124E"/>
    <w:rsid w:val="00B42025"/>
    <w:rsid w:val="00B42CCC"/>
    <w:rsid w:val="00B4341A"/>
    <w:rsid w:val="00B43442"/>
    <w:rsid w:val="00B439FB"/>
    <w:rsid w:val="00B43ED7"/>
    <w:rsid w:val="00B44150"/>
    <w:rsid w:val="00B4501A"/>
    <w:rsid w:val="00B451C0"/>
    <w:rsid w:val="00B45413"/>
    <w:rsid w:val="00B45D80"/>
    <w:rsid w:val="00B45E9A"/>
    <w:rsid w:val="00B463CC"/>
    <w:rsid w:val="00B4645A"/>
    <w:rsid w:val="00B465C3"/>
    <w:rsid w:val="00B46883"/>
    <w:rsid w:val="00B46FFC"/>
    <w:rsid w:val="00B47435"/>
    <w:rsid w:val="00B4793A"/>
    <w:rsid w:val="00B4799B"/>
    <w:rsid w:val="00B47F70"/>
    <w:rsid w:val="00B5010D"/>
    <w:rsid w:val="00B504FB"/>
    <w:rsid w:val="00B50DCA"/>
    <w:rsid w:val="00B512B5"/>
    <w:rsid w:val="00B51508"/>
    <w:rsid w:val="00B515B5"/>
    <w:rsid w:val="00B51EC1"/>
    <w:rsid w:val="00B521DB"/>
    <w:rsid w:val="00B53171"/>
    <w:rsid w:val="00B53222"/>
    <w:rsid w:val="00B539FA"/>
    <w:rsid w:val="00B53D41"/>
    <w:rsid w:val="00B54066"/>
    <w:rsid w:val="00B541CE"/>
    <w:rsid w:val="00B546F2"/>
    <w:rsid w:val="00B549D7"/>
    <w:rsid w:val="00B54EE2"/>
    <w:rsid w:val="00B552D4"/>
    <w:rsid w:val="00B554D7"/>
    <w:rsid w:val="00B5572B"/>
    <w:rsid w:val="00B5593C"/>
    <w:rsid w:val="00B55C37"/>
    <w:rsid w:val="00B55D03"/>
    <w:rsid w:val="00B55D54"/>
    <w:rsid w:val="00B55F8D"/>
    <w:rsid w:val="00B5605D"/>
    <w:rsid w:val="00B56350"/>
    <w:rsid w:val="00B56365"/>
    <w:rsid w:val="00B57061"/>
    <w:rsid w:val="00B57422"/>
    <w:rsid w:val="00B575BA"/>
    <w:rsid w:val="00B57739"/>
    <w:rsid w:val="00B57FE7"/>
    <w:rsid w:val="00B6016A"/>
    <w:rsid w:val="00B602F0"/>
    <w:rsid w:val="00B60458"/>
    <w:rsid w:val="00B60672"/>
    <w:rsid w:val="00B6082D"/>
    <w:rsid w:val="00B60DE6"/>
    <w:rsid w:val="00B60E0E"/>
    <w:rsid w:val="00B611EC"/>
    <w:rsid w:val="00B61896"/>
    <w:rsid w:val="00B61AF9"/>
    <w:rsid w:val="00B62CCC"/>
    <w:rsid w:val="00B6323B"/>
    <w:rsid w:val="00B633C8"/>
    <w:rsid w:val="00B635F8"/>
    <w:rsid w:val="00B63753"/>
    <w:rsid w:val="00B638DD"/>
    <w:rsid w:val="00B638F8"/>
    <w:rsid w:val="00B63A51"/>
    <w:rsid w:val="00B63A61"/>
    <w:rsid w:val="00B63A7C"/>
    <w:rsid w:val="00B63CBB"/>
    <w:rsid w:val="00B640EC"/>
    <w:rsid w:val="00B656CD"/>
    <w:rsid w:val="00B65F19"/>
    <w:rsid w:val="00B66011"/>
    <w:rsid w:val="00B66A93"/>
    <w:rsid w:val="00B6710A"/>
    <w:rsid w:val="00B6773B"/>
    <w:rsid w:val="00B67FCB"/>
    <w:rsid w:val="00B70BC7"/>
    <w:rsid w:val="00B70E11"/>
    <w:rsid w:val="00B71407"/>
    <w:rsid w:val="00B71750"/>
    <w:rsid w:val="00B7186E"/>
    <w:rsid w:val="00B71EA2"/>
    <w:rsid w:val="00B7236D"/>
    <w:rsid w:val="00B72518"/>
    <w:rsid w:val="00B72563"/>
    <w:rsid w:val="00B7291D"/>
    <w:rsid w:val="00B72D34"/>
    <w:rsid w:val="00B732C1"/>
    <w:rsid w:val="00B73410"/>
    <w:rsid w:val="00B739C4"/>
    <w:rsid w:val="00B73AEC"/>
    <w:rsid w:val="00B73BC3"/>
    <w:rsid w:val="00B73FAF"/>
    <w:rsid w:val="00B74098"/>
    <w:rsid w:val="00B7447F"/>
    <w:rsid w:val="00B745C8"/>
    <w:rsid w:val="00B74A6F"/>
    <w:rsid w:val="00B750E2"/>
    <w:rsid w:val="00B75AD0"/>
    <w:rsid w:val="00B76798"/>
    <w:rsid w:val="00B76A61"/>
    <w:rsid w:val="00B76C50"/>
    <w:rsid w:val="00B76F5F"/>
    <w:rsid w:val="00B76F7B"/>
    <w:rsid w:val="00B776A0"/>
    <w:rsid w:val="00B779F0"/>
    <w:rsid w:val="00B80644"/>
    <w:rsid w:val="00B80866"/>
    <w:rsid w:val="00B80C7D"/>
    <w:rsid w:val="00B80CAE"/>
    <w:rsid w:val="00B80F00"/>
    <w:rsid w:val="00B81813"/>
    <w:rsid w:val="00B83302"/>
    <w:rsid w:val="00B83B5C"/>
    <w:rsid w:val="00B83C65"/>
    <w:rsid w:val="00B83ED3"/>
    <w:rsid w:val="00B84040"/>
    <w:rsid w:val="00B84211"/>
    <w:rsid w:val="00B84387"/>
    <w:rsid w:val="00B843DC"/>
    <w:rsid w:val="00B848D4"/>
    <w:rsid w:val="00B84FF7"/>
    <w:rsid w:val="00B85075"/>
    <w:rsid w:val="00B8514C"/>
    <w:rsid w:val="00B85753"/>
    <w:rsid w:val="00B85B4B"/>
    <w:rsid w:val="00B85C80"/>
    <w:rsid w:val="00B86247"/>
    <w:rsid w:val="00B86482"/>
    <w:rsid w:val="00B866CE"/>
    <w:rsid w:val="00B86922"/>
    <w:rsid w:val="00B869D2"/>
    <w:rsid w:val="00B86C69"/>
    <w:rsid w:val="00B876BD"/>
    <w:rsid w:val="00B87CCD"/>
    <w:rsid w:val="00B87DCE"/>
    <w:rsid w:val="00B87E5E"/>
    <w:rsid w:val="00B9107A"/>
    <w:rsid w:val="00B914E7"/>
    <w:rsid w:val="00B91D3B"/>
    <w:rsid w:val="00B925FE"/>
    <w:rsid w:val="00B92696"/>
    <w:rsid w:val="00B927F8"/>
    <w:rsid w:val="00B929EC"/>
    <w:rsid w:val="00B92A85"/>
    <w:rsid w:val="00B92A98"/>
    <w:rsid w:val="00B92B72"/>
    <w:rsid w:val="00B92E89"/>
    <w:rsid w:val="00B931C5"/>
    <w:rsid w:val="00B933C4"/>
    <w:rsid w:val="00B93945"/>
    <w:rsid w:val="00B93A9A"/>
    <w:rsid w:val="00B9406B"/>
    <w:rsid w:val="00B942DF"/>
    <w:rsid w:val="00B9434D"/>
    <w:rsid w:val="00B94B11"/>
    <w:rsid w:val="00B94B7B"/>
    <w:rsid w:val="00B9527C"/>
    <w:rsid w:val="00B952DF"/>
    <w:rsid w:val="00B95C68"/>
    <w:rsid w:val="00B95EAA"/>
    <w:rsid w:val="00B961F6"/>
    <w:rsid w:val="00B96227"/>
    <w:rsid w:val="00B96909"/>
    <w:rsid w:val="00B969B8"/>
    <w:rsid w:val="00B97001"/>
    <w:rsid w:val="00B9718B"/>
    <w:rsid w:val="00B97286"/>
    <w:rsid w:val="00B97390"/>
    <w:rsid w:val="00B974E1"/>
    <w:rsid w:val="00B97A56"/>
    <w:rsid w:val="00BA02AC"/>
    <w:rsid w:val="00BA04EB"/>
    <w:rsid w:val="00BA08C9"/>
    <w:rsid w:val="00BA0B87"/>
    <w:rsid w:val="00BA0CEF"/>
    <w:rsid w:val="00BA1252"/>
    <w:rsid w:val="00BA13BD"/>
    <w:rsid w:val="00BA18EA"/>
    <w:rsid w:val="00BA19C5"/>
    <w:rsid w:val="00BA2372"/>
    <w:rsid w:val="00BA2DF0"/>
    <w:rsid w:val="00BA2EC4"/>
    <w:rsid w:val="00BA3116"/>
    <w:rsid w:val="00BA3865"/>
    <w:rsid w:val="00BA3B2B"/>
    <w:rsid w:val="00BA3C2E"/>
    <w:rsid w:val="00BA494B"/>
    <w:rsid w:val="00BA52C1"/>
    <w:rsid w:val="00BA55A8"/>
    <w:rsid w:val="00BA5A3A"/>
    <w:rsid w:val="00BA5F19"/>
    <w:rsid w:val="00BA60ED"/>
    <w:rsid w:val="00BA6886"/>
    <w:rsid w:val="00BA6E50"/>
    <w:rsid w:val="00BA7383"/>
    <w:rsid w:val="00BA7468"/>
    <w:rsid w:val="00BB07D8"/>
    <w:rsid w:val="00BB0BD1"/>
    <w:rsid w:val="00BB0DD5"/>
    <w:rsid w:val="00BB0F22"/>
    <w:rsid w:val="00BB1527"/>
    <w:rsid w:val="00BB1B18"/>
    <w:rsid w:val="00BB210C"/>
    <w:rsid w:val="00BB211B"/>
    <w:rsid w:val="00BB2127"/>
    <w:rsid w:val="00BB2308"/>
    <w:rsid w:val="00BB246A"/>
    <w:rsid w:val="00BB2C85"/>
    <w:rsid w:val="00BB3273"/>
    <w:rsid w:val="00BB3EE9"/>
    <w:rsid w:val="00BB4138"/>
    <w:rsid w:val="00BB4B2B"/>
    <w:rsid w:val="00BB4B50"/>
    <w:rsid w:val="00BB4CC6"/>
    <w:rsid w:val="00BB51CF"/>
    <w:rsid w:val="00BB539B"/>
    <w:rsid w:val="00BB5ADA"/>
    <w:rsid w:val="00BB5AFE"/>
    <w:rsid w:val="00BB63CE"/>
    <w:rsid w:val="00BB6730"/>
    <w:rsid w:val="00BB7348"/>
    <w:rsid w:val="00BB79BB"/>
    <w:rsid w:val="00BB7C47"/>
    <w:rsid w:val="00BC021F"/>
    <w:rsid w:val="00BC05B1"/>
    <w:rsid w:val="00BC0977"/>
    <w:rsid w:val="00BC0978"/>
    <w:rsid w:val="00BC11A4"/>
    <w:rsid w:val="00BC17FC"/>
    <w:rsid w:val="00BC264C"/>
    <w:rsid w:val="00BC27C7"/>
    <w:rsid w:val="00BC2BB6"/>
    <w:rsid w:val="00BC2D94"/>
    <w:rsid w:val="00BC2DB6"/>
    <w:rsid w:val="00BC344E"/>
    <w:rsid w:val="00BC34CF"/>
    <w:rsid w:val="00BC35D0"/>
    <w:rsid w:val="00BC3E5B"/>
    <w:rsid w:val="00BC47FA"/>
    <w:rsid w:val="00BC48CA"/>
    <w:rsid w:val="00BC50E8"/>
    <w:rsid w:val="00BC5853"/>
    <w:rsid w:val="00BC5AED"/>
    <w:rsid w:val="00BC5BF1"/>
    <w:rsid w:val="00BC5E44"/>
    <w:rsid w:val="00BC6129"/>
    <w:rsid w:val="00BC6526"/>
    <w:rsid w:val="00BC66F4"/>
    <w:rsid w:val="00BC67BD"/>
    <w:rsid w:val="00BC78A6"/>
    <w:rsid w:val="00BD02E2"/>
    <w:rsid w:val="00BD0A1E"/>
    <w:rsid w:val="00BD0ADB"/>
    <w:rsid w:val="00BD0C75"/>
    <w:rsid w:val="00BD0C85"/>
    <w:rsid w:val="00BD0E62"/>
    <w:rsid w:val="00BD10FC"/>
    <w:rsid w:val="00BD17B5"/>
    <w:rsid w:val="00BD198E"/>
    <w:rsid w:val="00BD1F98"/>
    <w:rsid w:val="00BD202E"/>
    <w:rsid w:val="00BD3257"/>
    <w:rsid w:val="00BD3A7B"/>
    <w:rsid w:val="00BD4051"/>
    <w:rsid w:val="00BD4691"/>
    <w:rsid w:val="00BD4E3E"/>
    <w:rsid w:val="00BD55CC"/>
    <w:rsid w:val="00BD56B9"/>
    <w:rsid w:val="00BD61E6"/>
    <w:rsid w:val="00BD6B4C"/>
    <w:rsid w:val="00BD6F4E"/>
    <w:rsid w:val="00BD7297"/>
    <w:rsid w:val="00BD73FE"/>
    <w:rsid w:val="00BD749E"/>
    <w:rsid w:val="00BD789C"/>
    <w:rsid w:val="00BE00A1"/>
    <w:rsid w:val="00BE03C5"/>
    <w:rsid w:val="00BE04E0"/>
    <w:rsid w:val="00BE0727"/>
    <w:rsid w:val="00BE0900"/>
    <w:rsid w:val="00BE0F6F"/>
    <w:rsid w:val="00BE1085"/>
    <w:rsid w:val="00BE1828"/>
    <w:rsid w:val="00BE196C"/>
    <w:rsid w:val="00BE2092"/>
    <w:rsid w:val="00BE237A"/>
    <w:rsid w:val="00BE246B"/>
    <w:rsid w:val="00BE2EEC"/>
    <w:rsid w:val="00BE2FCA"/>
    <w:rsid w:val="00BE4589"/>
    <w:rsid w:val="00BE487A"/>
    <w:rsid w:val="00BE4C0B"/>
    <w:rsid w:val="00BE4D0B"/>
    <w:rsid w:val="00BE52BF"/>
    <w:rsid w:val="00BE5555"/>
    <w:rsid w:val="00BE6225"/>
    <w:rsid w:val="00BE6285"/>
    <w:rsid w:val="00BE66CB"/>
    <w:rsid w:val="00BE6BF9"/>
    <w:rsid w:val="00BF00AC"/>
    <w:rsid w:val="00BF01AB"/>
    <w:rsid w:val="00BF03A8"/>
    <w:rsid w:val="00BF03E0"/>
    <w:rsid w:val="00BF09EE"/>
    <w:rsid w:val="00BF0E75"/>
    <w:rsid w:val="00BF128D"/>
    <w:rsid w:val="00BF1363"/>
    <w:rsid w:val="00BF16EB"/>
    <w:rsid w:val="00BF26C8"/>
    <w:rsid w:val="00BF2863"/>
    <w:rsid w:val="00BF2C83"/>
    <w:rsid w:val="00BF2FDA"/>
    <w:rsid w:val="00BF30C3"/>
    <w:rsid w:val="00BF30F5"/>
    <w:rsid w:val="00BF3135"/>
    <w:rsid w:val="00BF3471"/>
    <w:rsid w:val="00BF3A59"/>
    <w:rsid w:val="00BF4875"/>
    <w:rsid w:val="00BF4F35"/>
    <w:rsid w:val="00BF51F9"/>
    <w:rsid w:val="00BF521F"/>
    <w:rsid w:val="00BF61EC"/>
    <w:rsid w:val="00BF6633"/>
    <w:rsid w:val="00BF6D71"/>
    <w:rsid w:val="00BF7268"/>
    <w:rsid w:val="00BF7750"/>
    <w:rsid w:val="00BF7D27"/>
    <w:rsid w:val="00BF7FBE"/>
    <w:rsid w:val="00C00395"/>
    <w:rsid w:val="00C00BF9"/>
    <w:rsid w:val="00C00CFD"/>
    <w:rsid w:val="00C025E1"/>
    <w:rsid w:val="00C02838"/>
    <w:rsid w:val="00C02B37"/>
    <w:rsid w:val="00C038A6"/>
    <w:rsid w:val="00C038FA"/>
    <w:rsid w:val="00C03DEA"/>
    <w:rsid w:val="00C03E3D"/>
    <w:rsid w:val="00C0416B"/>
    <w:rsid w:val="00C04714"/>
    <w:rsid w:val="00C04715"/>
    <w:rsid w:val="00C04967"/>
    <w:rsid w:val="00C04A6B"/>
    <w:rsid w:val="00C050B0"/>
    <w:rsid w:val="00C050FF"/>
    <w:rsid w:val="00C05197"/>
    <w:rsid w:val="00C05232"/>
    <w:rsid w:val="00C05AFD"/>
    <w:rsid w:val="00C05C2D"/>
    <w:rsid w:val="00C05CC1"/>
    <w:rsid w:val="00C06F77"/>
    <w:rsid w:val="00C07C33"/>
    <w:rsid w:val="00C1061D"/>
    <w:rsid w:val="00C10A11"/>
    <w:rsid w:val="00C10C5A"/>
    <w:rsid w:val="00C110AB"/>
    <w:rsid w:val="00C1125B"/>
    <w:rsid w:val="00C11658"/>
    <w:rsid w:val="00C119BA"/>
    <w:rsid w:val="00C11A6A"/>
    <w:rsid w:val="00C11A88"/>
    <w:rsid w:val="00C11BD5"/>
    <w:rsid w:val="00C11D05"/>
    <w:rsid w:val="00C11D5E"/>
    <w:rsid w:val="00C122CB"/>
    <w:rsid w:val="00C12D5B"/>
    <w:rsid w:val="00C12D77"/>
    <w:rsid w:val="00C134F4"/>
    <w:rsid w:val="00C1395D"/>
    <w:rsid w:val="00C142CC"/>
    <w:rsid w:val="00C14482"/>
    <w:rsid w:val="00C145BC"/>
    <w:rsid w:val="00C14948"/>
    <w:rsid w:val="00C1501D"/>
    <w:rsid w:val="00C15037"/>
    <w:rsid w:val="00C1516F"/>
    <w:rsid w:val="00C15A1B"/>
    <w:rsid w:val="00C15A35"/>
    <w:rsid w:val="00C15C17"/>
    <w:rsid w:val="00C15E9D"/>
    <w:rsid w:val="00C16F26"/>
    <w:rsid w:val="00C17027"/>
    <w:rsid w:val="00C17287"/>
    <w:rsid w:val="00C17796"/>
    <w:rsid w:val="00C1789F"/>
    <w:rsid w:val="00C20056"/>
    <w:rsid w:val="00C201FC"/>
    <w:rsid w:val="00C204AB"/>
    <w:rsid w:val="00C2091F"/>
    <w:rsid w:val="00C20C1A"/>
    <w:rsid w:val="00C20C6C"/>
    <w:rsid w:val="00C21377"/>
    <w:rsid w:val="00C21388"/>
    <w:rsid w:val="00C23283"/>
    <w:rsid w:val="00C23BC5"/>
    <w:rsid w:val="00C23FA4"/>
    <w:rsid w:val="00C24469"/>
    <w:rsid w:val="00C25D32"/>
    <w:rsid w:val="00C26894"/>
    <w:rsid w:val="00C2696E"/>
    <w:rsid w:val="00C26B46"/>
    <w:rsid w:val="00C26CD3"/>
    <w:rsid w:val="00C26D90"/>
    <w:rsid w:val="00C27559"/>
    <w:rsid w:val="00C2764F"/>
    <w:rsid w:val="00C27B03"/>
    <w:rsid w:val="00C30545"/>
    <w:rsid w:val="00C3082B"/>
    <w:rsid w:val="00C31127"/>
    <w:rsid w:val="00C31B19"/>
    <w:rsid w:val="00C31BF1"/>
    <w:rsid w:val="00C32512"/>
    <w:rsid w:val="00C32F3E"/>
    <w:rsid w:val="00C330CA"/>
    <w:rsid w:val="00C331AD"/>
    <w:rsid w:val="00C33303"/>
    <w:rsid w:val="00C3357A"/>
    <w:rsid w:val="00C3379B"/>
    <w:rsid w:val="00C338C1"/>
    <w:rsid w:val="00C33C97"/>
    <w:rsid w:val="00C33D20"/>
    <w:rsid w:val="00C3423D"/>
    <w:rsid w:val="00C34BEF"/>
    <w:rsid w:val="00C35483"/>
    <w:rsid w:val="00C35799"/>
    <w:rsid w:val="00C36650"/>
    <w:rsid w:val="00C366C3"/>
    <w:rsid w:val="00C3673A"/>
    <w:rsid w:val="00C36B6C"/>
    <w:rsid w:val="00C3780D"/>
    <w:rsid w:val="00C3790B"/>
    <w:rsid w:val="00C37CA2"/>
    <w:rsid w:val="00C40702"/>
    <w:rsid w:val="00C40CC4"/>
    <w:rsid w:val="00C41BE0"/>
    <w:rsid w:val="00C4212D"/>
    <w:rsid w:val="00C42624"/>
    <w:rsid w:val="00C42906"/>
    <w:rsid w:val="00C42B89"/>
    <w:rsid w:val="00C42B8F"/>
    <w:rsid w:val="00C42B94"/>
    <w:rsid w:val="00C42BC7"/>
    <w:rsid w:val="00C4374E"/>
    <w:rsid w:val="00C43790"/>
    <w:rsid w:val="00C44440"/>
    <w:rsid w:val="00C446C3"/>
    <w:rsid w:val="00C44FCE"/>
    <w:rsid w:val="00C45118"/>
    <w:rsid w:val="00C45510"/>
    <w:rsid w:val="00C45A07"/>
    <w:rsid w:val="00C45A60"/>
    <w:rsid w:val="00C45D12"/>
    <w:rsid w:val="00C467FB"/>
    <w:rsid w:val="00C469AA"/>
    <w:rsid w:val="00C47237"/>
    <w:rsid w:val="00C4743E"/>
    <w:rsid w:val="00C47668"/>
    <w:rsid w:val="00C47747"/>
    <w:rsid w:val="00C4796D"/>
    <w:rsid w:val="00C501BE"/>
    <w:rsid w:val="00C502F9"/>
    <w:rsid w:val="00C50D6B"/>
    <w:rsid w:val="00C518DE"/>
    <w:rsid w:val="00C51B7D"/>
    <w:rsid w:val="00C52292"/>
    <w:rsid w:val="00C526E9"/>
    <w:rsid w:val="00C5291F"/>
    <w:rsid w:val="00C52D77"/>
    <w:rsid w:val="00C52D91"/>
    <w:rsid w:val="00C52DE6"/>
    <w:rsid w:val="00C5315F"/>
    <w:rsid w:val="00C534A5"/>
    <w:rsid w:val="00C5401B"/>
    <w:rsid w:val="00C542E1"/>
    <w:rsid w:val="00C54788"/>
    <w:rsid w:val="00C5568C"/>
    <w:rsid w:val="00C55A1C"/>
    <w:rsid w:val="00C55BCC"/>
    <w:rsid w:val="00C56526"/>
    <w:rsid w:val="00C56B29"/>
    <w:rsid w:val="00C57039"/>
    <w:rsid w:val="00C5735A"/>
    <w:rsid w:val="00C57976"/>
    <w:rsid w:val="00C57F48"/>
    <w:rsid w:val="00C6066D"/>
    <w:rsid w:val="00C607F9"/>
    <w:rsid w:val="00C61238"/>
    <w:rsid w:val="00C618FF"/>
    <w:rsid w:val="00C61A04"/>
    <w:rsid w:val="00C61B18"/>
    <w:rsid w:val="00C6214E"/>
    <w:rsid w:val="00C62222"/>
    <w:rsid w:val="00C62741"/>
    <w:rsid w:val="00C62F19"/>
    <w:rsid w:val="00C6326C"/>
    <w:rsid w:val="00C636D1"/>
    <w:rsid w:val="00C639F4"/>
    <w:rsid w:val="00C63D51"/>
    <w:rsid w:val="00C63D58"/>
    <w:rsid w:val="00C63D70"/>
    <w:rsid w:val="00C642D4"/>
    <w:rsid w:val="00C645D2"/>
    <w:rsid w:val="00C64768"/>
    <w:rsid w:val="00C64CBE"/>
    <w:rsid w:val="00C64CC6"/>
    <w:rsid w:val="00C65116"/>
    <w:rsid w:val="00C653D7"/>
    <w:rsid w:val="00C65F68"/>
    <w:rsid w:val="00C6614E"/>
    <w:rsid w:val="00C662B4"/>
    <w:rsid w:val="00C66B48"/>
    <w:rsid w:val="00C66F8F"/>
    <w:rsid w:val="00C6713C"/>
    <w:rsid w:val="00C671BC"/>
    <w:rsid w:val="00C6720C"/>
    <w:rsid w:val="00C6746E"/>
    <w:rsid w:val="00C674DD"/>
    <w:rsid w:val="00C675ED"/>
    <w:rsid w:val="00C67B1C"/>
    <w:rsid w:val="00C67E03"/>
    <w:rsid w:val="00C7019B"/>
    <w:rsid w:val="00C70613"/>
    <w:rsid w:val="00C709DF"/>
    <w:rsid w:val="00C70A66"/>
    <w:rsid w:val="00C70BFC"/>
    <w:rsid w:val="00C71175"/>
    <w:rsid w:val="00C715A8"/>
    <w:rsid w:val="00C71846"/>
    <w:rsid w:val="00C7190F"/>
    <w:rsid w:val="00C71E7E"/>
    <w:rsid w:val="00C72A4A"/>
    <w:rsid w:val="00C72AB3"/>
    <w:rsid w:val="00C72C26"/>
    <w:rsid w:val="00C73293"/>
    <w:rsid w:val="00C73B41"/>
    <w:rsid w:val="00C74867"/>
    <w:rsid w:val="00C7491F"/>
    <w:rsid w:val="00C74B8B"/>
    <w:rsid w:val="00C74EC0"/>
    <w:rsid w:val="00C751F8"/>
    <w:rsid w:val="00C75A96"/>
    <w:rsid w:val="00C75BCB"/>
    <w:rsid w:val="00C75D55"/>
    <w:rsid w:val="00C7632C"/>
    <w:rsid w:val="00C766F4"/>
    <w:rsid w:val="00C76DC5"/>
    <w:rsid w:val="00C772F9"/>
    <w:rsid w:val="00C773EB"/>
    <w:rsid w:val="00C77DBA"/>
    <w:rsid w:val="00C807EA"/>
    <w:rsid w:val="00C808E9"/>
    <w:rsid w:val="00C80C83"/>
    <w:rsid w:val="00C80D02"/>
    <w:rsid w:val="00C817BE"/>
    <w:rsid w:val="00C8197C"/>
    <w:rsid w:val="00C82065"/>
    <w:rsid w:val="00C82267"/>
    <w:rsid w:val="00C82AB9"/>
    <w:rsid w:val="00C831CE"/>
    <w:rsid w:val="00C839DF"/>
    <w:rsid w:val="00C83AB4"/>
    <w:rsid w:val="00C83B1E"/>
    <w:rsid w:val="00C83EE9"/>
    <w:rsid w:val="00C83FE0"/>
    <w:rsid w:val="00C843B3"/>
    <w:rsid w:val="00C85395"/>
    <w:rsid w:val="00C85854"/>
    <w:rsid w:val="00C86613"/>
    <w:rsid w:val="00C8671E"/>
    <w:rsid w:val="00C8673A"/>
    <w:rsid w:val="00C867E5"/>
    <w:rsid w:val="00C8707E"/>
    <w:rsid w:val="00C876BF"/>
    <w:rsid w:val="00C879B5"/>
    <w:rsid w:val="00C9019F"/>
    <w:rsid w:val="00C90453"/>
    <w:rsid w:val="00C905C4"/>
    <w:rsid w:val="00C908AD"/>
    <w:rsid w:val="00C90C5E"/>
    <w:rsid w:val="00C90CAD"/>
    <w:rsid w:val="00C9129D"/>
    <w:rsid w:val="00C917BB"/>
    <w:rsid w:val="00C91C84"/>
    <w:rsid w:val="00C9212A"/>
    <w:rsid w:val="00C921F6"/>
    <w:rsid w:val="00C9263C"/>
    <w:rsid w:val="00C928F7"/>
    <w:rsid w:val="00C92FC0"/>
    <w:rsid w:val="00C93E63"/>
    <w:rsid w:val="00C93FA9"/>
    <w:rsid w:val="00C948D2"/>
    <w:rsid w:val="00C94980"/>
    <w:rsid w:val="00C94E67"/>
    <w:rsid w:val="00C95008"/>
    <w:rsid w:val="00C95522"/>
    <w:rsid w:val="00C9583C"/>
    <w:rsid w:val="00C9648B"/>
    <w:rsid w:val="00C96756"/>
    <w:rsid w:val="00C96758"/>
    <w:rsid w:val="00C96CA7"/>
    <w:rsid w:val="00C971ED"/>
    <w:rsid w:val="00C9745D"/>
    <w:rsid w:val="00C97523"/>
    <w:rsid w:val="00C9766E"/>
    <w:rsid w:val="00C97937"/>
    <w:rsid w:val="00CA0B9C"/>
    <w:rsid w:val="00CA0CA4"/>
    <w:rsid w:val="00CA10D5"/>
    <w:rsid w:val="00CA1170"/>
    <w:rsid w:val="00CA129F"/>
    <w:rsid w:val="00CA1587"/>
    <w:rsid w:val="00CA22E8"/>
    <w:rsid w:val="00CA24A4"/>
    <w:rsid w:val="00CA2DA1"/>
    <w:rsid w:val="00CA32C2"/>
    <w:rsid w:val="00CA35B6"/>
    <w:rsid w:val="00CA37B3"/>
    <w:rsid w:val="00CA3FC3"/>
    <w:rsid w:val="00CA42E2"/>
    <w:rsid w:val="00CA49FB"/>
    <w:rsid w:val="00CA504B"/>
    <w:rsid w:val="00CA53FF"/>
    <w:rsid w:val="00CA5975"/>
    <w:rsid w:val="00CA5D39"/>
    <w:rsid w:val="00CA62D8"/>
    <w:rsid w:val="00CA67B7"/>
    <w:rsid w:val="00CA6994"/>
    <w:rsid w:val="00CA6E77"/>
    <w:rsid w:val="00CA7770"/>
    <w:rsid w:val="00CA7A18"/>
    <w:rsid w:val="00CA7AEC"/>
    <w:rsid w:val="00CB038E"/>
    <w:rsid w:val="00CB08B5"/>
    <w:rsid w:val="00CB0A32"/>
    <w:rsid w:val="00CB0C22"/>
    <w:rsid w:val="00CB0CD4"/>
    <w:rsid w:val="00CB0FA7"/>
    <w:rsid w:val="00CB1646"/>
    <w:rsid w:val="00CB1890"/>
    <w:rsid w:val="00CB1BCD"/>
    <w:rsid w:val="00CB1C34"/>
    <w:rsid w:val="00CB20DF"/>
    <w:rsid w:val="00CB20E2"/>
    <w:rsid w:val="00CB215D"/>
    <w:rsid w:val="00CB22B6"/>
    <w:rsid w:val="00CB25C9"/>
    <w:rsid w:val="00CB2B4C"/>
    <w:rsid w:val="00CB31FB"/>
    <w:rsid w:val="00CB36AC"/>
    <w:rsid w:val="00CB42E6"/>
    <w:rsid w:val="00CB4324"/>
    <w:rsid w:val="00CB4BED"/>
    <w:rsid w:val="00CB586E"/>
    <w:rsid w:val="00CB5A4F"/>
    <w:rsid w:val="00CB6033"/>
    <w:rsid w:val="00CB60C2"/>
    <w:rsid w:val="00CB619D"/>
    <w:rsid w:val="00CB63EF"/>
    <w:rsid w:val="00CB6941"/>
    <w:rsid w:val="00CB76E6"/>
    <w:rsid w:val="00CB781B"/>
    <w:rsid w:val="00CB7B9A"/>
    <w:rsid w:val="00CC07B3"/>
    <w:rsid w:val="00CC0B74"/>
    <w:rsid w:val="00CC0BE4"/>
    <w:rsid w:val="00CC105E"/>
    <w:rsid w:val="00CC13EA"/>
    <w:rsid w:val="00CC149F"/>
    <w:rsid w:val="00CC1BDA"/>
    <w:rsid w:val="00CC1D1D"/>
    <w:rsid w:val="00CC21DA"/>
    <w:rsid w:val="00CC2946"/>
    <w:rsid w:val="00CC2FCD"/>
    <w:rsid w:val="00CC332E"/>
    <w:rsid w:val="00CC3B28"/>
    <w:rsid w:val="00CC4560"/>
    <w:rsid w:val="00CC497C"/>
    <w:rsid w:val="00CC4B6F"/>
    <w:rsid w:val="00CC4E11"/>
    <w:rsid w:val="00CC59D6"/>
    <w:rsid w:val="00CC5E20"/>
    <w:rsid w:val="00CC5EB4"/>
    <w:rsid w:val="00CC5F7D"/>
    <w:rsid w:val="00CC606E"/>
    <w:rsid w:val="00CC60E7"/>
    <w:rsid w:val="00CC757E"/>
    <w:rsid w:val="00CC7634"/>
    <w:rsid w:val="00CC7AE8"/>
    <w:rsid w:val="00CC7CBA"/>
    <w:rsid w:val="00CC7D93"/>
    <w:rsid w:val="00CD04A5"/>
    <w:rsid w:val="00CD0782"/>
    <w:rsid w:val="00CD0B0D"/>
    <w:rsid w:val="00CD1059"/>
    <w:rsid w:val="00CD120C"/>
    <w:rsid w:val="00CD1365"/>
    <w:rsid w:val="00CD1380"/>
    <w:rsid w:val="00CD13B1"/>
    <w:rsid w:val="00CD1BF5"/>
    <w:rsid w:val="00CD1FCD"/>
    <w:rsid w:val="00CD220D"/>
    <w:rsid w:val="00CD23D3"/>
    <w:rsid w:val="00CD2A31"/>
    <w:rsid w:val="00CD2E6C"/>
    <w:rsid w:val="00CD3F3F"/>
    <w:rsid w:val="00CD3F9F"/>
    <w:rsid w:val="00CD407E"/>
    <w:rsid w:val="00CD457C"/>
    <w:rsid w:val="00CD4A8B"/>
    <w:rsid w:val="00CD4D55"/>
    <w:rsid w:val="00CD55C3"/>
    <w:rsid w:val="00CD6B7E"/>
    <w:rsid w:val="00CD6F40"/>
    <w:rsid w:val="00CD7BD3"/>
    <w:rsid w:val="00CE009B"/>
    <w:rsid w:val="00CE0D6A"/>
    <w:rsid w:val="00CE1373"/>
    <w:rsid w:val="00CE1506"/>
    <w:rsid w:val="00CE18EF"/>
    <w:rsid w:val="00CE1939"/>
    <w:rsid w:val="00CE1ADD"/>
    <w:rsid w:val="00CE2323"/>
    <w:rsid w:val="00CE248A"/>
    <w:rsid w:val="00CE2B12"/>
    <w:rsid w:val="00CE2C45"/>
    <w:rsid w:val="00CE2C70"/>
    <w:rsid w:val="00CE2E06"/>
    <w:rsid w:val="00CE2EEA"/>
    <w:rsid w:val="00CE3208"/>
    <w:rsid w:val="00CE3397"/>
    <w:rsid w:val="00CE3863"/>
    <w:rsid w:val="00CE38FB"/>
    <w:rsid w:val="00CE3991"/>
    <w:rsid w:val="00CE3BA5"/>
    <w:rsid w:val="00CE4261"/>
    <w:rsid w:val="00CE46F5"/>
    <w:rsid w:val="00CE538C"/>
    <w:rsid w:val="00CE593C"/>
    <w:rsid w:val="00CE5CF5"/>
    <w:rsid w:val="00CE608F"/>
    <w:rsid w:val="00CE620B"/>
    <w:rsid w:val="00CE6219"/>
    <w:rsid w:val="00CE64DD"/>
    <w:rsid w:val="00CE6784"/>
    <w:rsid w:val="00CE765A"/>
    <w:rsid w:val="00CE7EA7"/>
    <w:rsid w:val="00CF0049"/>
    <w:rsid w:val="00CF0741"/>
    <w:rsid w:val="00CF090B"/>
    <w:rsid w:val="00CF0DE0"/>
    <w:rsid w:val="00CF1067"/>
    <w:rsid w:val="00CF1406"/>
    <w:rsid w:val="00CF1A72"/>
    <w:rsid w:val="00CF1C22"/>
    <w:rsid w:val="00CF1ED1"/>
    <w:rsid w:val="00CF2518"/>
    <w:rsid w:val="00CF2CED"/>
    <w:rsid w:val="00CF2F55"/>
    <w:rsid w:val="00CF32A8"/>
    <w:rsid w:val="00CF33A7"/>
    <w:rsid w:val="00CF3762"/>
    <w:rsid w:val="00CF37DF"/>
    <w:rsid w:val="00CF3A2A"/>
    <w:rsid w:val="00CF3EC2"/>
    <w:rsid w:val="00CF414F"/>
    <w:rsid w:val="00CF452F"/>
    <w:rsid w:val="00CF46A0"/>
    <w:rsid w:val="00CF47F9"/>
    <w:rsid w:val="00CF4C74"/>
    <w:rsid w:val="00CF4DFC"/>
    <w:rsid w:val="00CF5440"/>
    <w:rsid w:val="00CF5B16"/>
    <w:rsid w:val="00CF5DC5"/>
    <w:rsid w:val="00CF5EFF"/>
    <w:rsid w:val="00CF6228"/>
    <w:rsid w:val="00CF6392"/>
    <w:rsid w:val="00CF683B"/>
    <w:rsid w:val="00CF7196"/>
    <w:rsid w:val="00CF7DF6"/>
    <w:rsid w:val="00D003A5"/>
    <w:rsid w:val="00D0072A"/>
    <w:rsid w:val="00D01564"/>
    <w:rsid w:val="00D018CE"/>
    <w:rsid w:val="00D01A77"/>
    <w:rsid w:val="00D01AD2"/>
    <w:rsid w:val="00D01D6F"/>
    <w:rsid w:val="00D01DD2"/>
    <w:rsid w:val="00D020D3"/>
    <w:rsid w:val="00D022AF"/>
    <w:rsid w:val="00D02488"/>
    <w:rsid w:val="00D02565"/>
    <w:rsid w:val="00D02640"/>
    <w:rsid w:val="00D026E7"/>
    <w:rsid w:val="00D029E4"/>
    <w:rsid w:val="00D02CBB"/>
    <w:rsid w:val="00D0359D"/>
    <w:rsid w:val="00D03615"/>
    <w:rsid w:val="00D03BB2"/>
    <w:rsid w:val="00D03BC3"/>
    <w:rsid w:val="00D0417D"/>
    <w:rsid w:val="00D04B03"/>
    <w:rsid w:val="00D050F1"/>
    <w:rsid w:val="00D05396"/>
    <w:rsid w:val="00D05845"/>
    <w:rsid w:val="00D059D2"/>
    <w:rsid w:val="00D062A1"/>
    <w:rsid w:val="00D06386"/>
    <w:rsid w:val="00D064C8"/>
    <w:rsid w:val="00D0650B"/>
    <w:rsid w:val="00D06673"/>
    <w:rsid w:val="00D068C8"/>
    <w:rsid w:val="00D06BDE"/>
    <w:rsid w:val="00D071FD"/>
    <w:rsid w:val="00D07789"/>
    <w:rsid w:val="00D079B9"/>
    <w:rsid w:val="00D10E81"/>
    <w:rsid w:val="00D10FCF"/>
    <w:rsid w:val="00D1102D"/>
    <w:rsid w:val="00D110C7"/>
    <w:rsid w:val="00D11125"/>
    <w:rsid w:val="00D119A1"/>
    <w:rsid w:val="00D11C44"/>
    <w:rsid w:val="00D120D4"/>
    <w:rsid w:val="00D12350"/>
    <w:rsid w:val="00D123C1"/>
    <w:rsid w:val="00D12443"/>
    <w:rsid w:val="00D124A2"/>
    <w:rsid w:val="00D124FE"/>
    <w:rsid w:val="00D12A7C"/>
    <w:rsid w:val="00D12A8B"/>
    <w:rsid w:val="00D12AC5"/>
    <w:rsid w:val="00D12D7C"/>
    <w:rsid w:val="00D12EB3"/>
    <w:rsid w:val="00D133C8"/>
    <w:rsid w:val="00D13785"/>
    <w:rsid w:val="00D139B5"/>
    <w:rsid w:val="00D14140"/>
    <w:rsid w:val="00D14E71"/>
    <w:rsid w:val="00D14FA1"/>
    <w:rsid w:val="00D15000"/>
    <w:rsid w:val="00D154D8"/>
    <w:rsid w:val="00D1595C"/>
    <w:rsid w:val="00D15ABE"/>
    <w:rsid w:val="00D15C98"/>
    <w:rsid w:val="00D16453"/>
    <w:rsid w:val="00D1670A"/>
    <w:rsid w:val="00D16E56"/>
    <w:rsid w:val="00D17A7E"/>
    <w:rsid w:val="00D20647"/>
    <w:rsid w:val="00D20C59"/>
    <w:rsid w:val="00D2116B"/>
    <w:rsid w:val="00D21544"/>
    <w:rsid w:val="00D215CE"/>
    <w:rsid w:val="00D2164F"/>
    <w:rsid w:val="00D21803"/>
    <w:rsid w:val="00D21E42"/>
    <w:rsid w:val="00D23017"/>
    <w:rsid w:val="00D23140"/>
    <w:rsid w:val="00D23FBB"/>
    <w:rsid w:val="00D24464"/>
    <w:rsid w:val="00D24797"/>
    <w:rsid w:val="00D25611"/>
    <w:rsid w:val="00D256F6"/>
    <w:rsid w:val="00D25F0A"/>
    <w:rsid w:val="00D2634A"/>
    <w:rsid w:val="00D26A3C"/>
    <w:rsid w:val="00D27328"/>
    <w:rsid w:val="00D27345"/>
    <w:rsid w:val="00D27CA5"/>
    <w:rsid w:val="00D27CB3"/>
    <w:rsid w:val="00D30010"/>
    <w:rsid w:val="00D3042F"/>
    <w:rsid w:val="00D30A69"/>
    <w:rsid w:val="00D30BFF"/>
    <w:rsid w:val="00D30E48"/>
    <w:rsid w:val="00D30EF1"/>
    <w:rsid w:val="00D31161"/>
    <w:rsid w:val="00D319BF"/>
    <w:rsid w:val="00D32B8E"/>
    <w:rsid w:val="00D32C14"/>
    <w:rsid w:val="00D337BC"/>
    <w:rsid w:val="00D339A5"/>
    <w:rsid w:val="00D33EA8"/>
    <w:rsid w:val="00D34565"/>
    <w:rsid w:val="00D34684"/>
    <w:rsid w:val="00D3482F"/>
    <w:rsid w:val="00D34B2F"/>
    <w:rsid w:val="00D3516A"/>
    <w:rsid w:val="00D353C7"/>
    <w:rsid w:val="00D35EFB"/>
    <w:rsid w:val="00D370CE"/>
    <w:rsid w:val="00D37628"/>
    <w:rsid w:val="00D3795B"/>
    <w:rsid w:val="00D37B9F"/>
    <w:rsid w:val="00D37DD9"/>
    <w:rsid w:val="00D37F84"/>
    <w:rsid w:val="00D40075"/>
    <w:rsid w:val="00D403F9"/>
    <w:rsid w:val="00D407F6"/>
    <w:rsid w:val="00D40964"/>
    <w:rsid w:val="00D40BEA"/>
    <w:rsid w:val="00D40D9E"/>
    <w:rsid w:val="00D4158D"/>
    <w:rsid w:val="00D41A15"/>
    <w:rsid w:val="00D41ABA"/>
    <w:rsid w:val="00D41F2D"/>
    <w:rsid w:val="00D41F63"/>
    <w:rsid w:val="00D41FFE"/>
    <w:rsid w:val="00D4245E"/>
    <w:rsid w:val="00D43057"/>
    <w:rsid w:val="00D43081"/>
    <w:rsid w:val="00D43172"/>
    <w:rsid w:val="00D438BE"/>
    <w:rsid w:val="00D43B3F"/>
    <w:rsid w:val="00D44321"/>
    <w:rsid w:val="00D4435C"/>
    <w:rsid w:val="00D4441F"/>
    <w:rsid w:val="00D445A0"/>
    <w:rsid w:val="00D448A9"/>
    <w:rsid w:val="00D44B00"/>
    <w:rsid w:val="00D44C07"/>
    <w:rsid w:val="00D44D58"/>
    <w:rsid w:val="00D44D8A"/>
    <w:rsid w:val="00D44E5C"/>
    <w:rsid w:val="00D45772"/>
    <w:rsid w:val="00D46065"/>
    <w:rsid w:val="00D46B25"/>
    <w:rsid w:val="00D46E91"/>
    <w:rsid w:val="00D471BF"/>
    <w:rsid w:val="00D4779B"/>
    <w:rsid w:val="00D478FF"/>
    <w:rsid w:val="00D47A59"/>
    <w:rsid w:val="00D47BC6"/>
    <w:rsid w:val="00D5024B"/>
    <w:rsid w:val="00D506C4"/>
    <w:rsid w:val="00D50735"/>
    <w:rsid w:val="00D509E1"/>
    <w:rsid w:val="00D50DF0"/>
    <w:rsid w:val="00D510F9"/>
    <w:rsid w:val="00D5179B"/>
    <w:rsid w:val="00D51E8A"/>
    <w:rsid w:val="00D52106"/>
    <w:rsid w:val="00D5212D"/>
    <w:rsid w:val="00D523F1"/>
    <w:rsid w:val="00D5260C"/>
    <w:rsid w:val="00D52A63"/>
    <w:rsid w:val="00D52BC5"/>
    <w:rsid w:val="00D5313F"/>
    <w:rsid w:val="00D54CF1"/>
    <w:rsid w:val="00D5631D"/>
    <w:rsid w:val="00D564A7"/>
    <w:rsid w:val="00D566E5"/>
    <w:rsid w:val="00D56BB3"/>
    <w:rsid w:val="00D57234"/>
    <w:rsid w:val="00D576C7"/>
    <w:rsid w:val="00D57CEE"/>
    <w:rsid w:val="00D57EC9"/>
    <w:rsid w:val="00D607B3"/>
    <w:rsid w:val="00D61262"/>
    <w:rsid w:val="00D61556"/>
    <w:rsid w:val="00D61646"/>
    <w:rsid w:val="00D61988"/>
    <w:rsid w:val="00D61C6C"/>
    <w:rsid w:val="00D62195"/>
    <w:rsid w:val="00D629C2"/>
    <w:rsid w:val="00D62F29"/>
    <w:rsid w:val="00D63321"/>
    <w:rsid w:val="00D6336B"/>
    <w:rsid w:val="00D637B4"/>
    <w:rsid w:val="00D63AC2"/>
    <w:rsid w:val="00D64157"/>
    <w:rsid w:val="00D64798"/>
    <w:rsid w:val="00D647C9"/>
    <w:rsid w:val="00D6496B"/>
    <w:rsid w:val="00D650EE"/>
    <w:rsid w:val="00D65557"/>
    <w:rsid w:val="00D65AB4"/>
    <w:rsid w:val="00D66A13"/>
    <w:rsid w:val="00D66E1E"/>
    <w:rsid w:val="00D66ED4"/>
    <w:rsid w:val="00D6722A"/>
    <w:rsid w:val="00D672B6"/>
    <w:rsid w:val="00D673D2"/>
    <w:rsid w:val="00D6746B"/>
    <w:rsid w:val="00D70044"/>
    <w:rsid w:val="00D70313"/>
    <w:rsid w:val="00D70DC6"/>
    <w:rsid w:val="00D71D1A"/>
    <w:rsid w:val="00D71F0C"/>
    <w:rsid w:val="00D7215A"/>
    <w:rsid w:val="00D72474"/>
    <w:rsid w:val="00D724B2"/>
    <w:rsid w:val="00D72593"/>
    <w:rsid w:val="00D72658"/>
    <w:rsid w:val="00D72AD8"/>
    <w:rsid w:val="00D732A3"/>
    <w:rsid w:val="00D73566"/>
    <w:rsid w:val="00D743D7"/>
    <w:rsid w:val="00D74624"/>
    <w:rsid w:val="00D74EC1"/>
    <w:rsid w:val="00D75169"/>
    <w:rsid w:val="00D7576C"/>
    <w:rsid w:val="00D75886"/>
    <w:rsid w:val="00D76B78"/>
    <w:rsid w:val="00D772C9"/>
    <w:rsid w:val="00D77325"/>
    <w:rsid w:val="00D773A1"/>
    <w:rsid w:val="00D77917"/>
    <w:rsid w:val="00D77BC7"/>
    <w:rsid w:val="00D803BD"/>
    <w:rsid w:val="00D8088B"/>
    <w:rsid w:val="00D80F24"/>
    <w:rsid w:val="00D81552"/>
    <w:rsid w:val="00D81A87"/>
    <w:rsid w:val="00D824D3"/>
    <w:rsid w:val="00D82640"/>
    <w:rsid w:val="00D8279B"/>
    <w:rsid w:val="00D82CFB"/>
    <w:rsid w:val="00D83018"/>
    <w:rsid w:val="00D8319B"/>
    <w:rsid w:val="00D83889"/>
    <w:rsid w:val="00D84FDE"/>
    <w:rsid w:val="00D856F7"/>
    <w:rsid w:val="00D8573A"/>
    <w:rsid w:val="00D85AB9"/>
    <w:rsid w:val="00D85FC8"/>
    <w:rsid w:val="00D863EE"/>
    <w:rsid w:val="00D87ACD"/>
    <w:rsid w:val="00D87D19"/>
    <w:rsid w:val="00D87DD0"/>
    <w:rsid w:val="00D9000A"/>
    <w:rsid w:val="00D9013B"/>
    <w:rsid w:val="00D91132"/>
    <w:rsid w:val="00D91298"/>
    <w:rsid w:val="00D917DB"/>
    <w:rsid w:val="00D9185F"/>
    <w:rsid w:val="00D91884"/>
    <w:rsid w:val="00D925B4"/>
    <w:rsid w:val="00D928FB"/>
    <w:rsid w:val="00D94305"/>
    <w:rsid w:val="00D94BBA"/>
    <w:rsid w:val="00D94D79"/>
    <w:rsid w:val="00D94EC2"/>
    <w:rsid w:val="00D95490"/>
    <w:rsid w:val="00D95697"/>
    <w:rsid w:val="00D962C7"/>
    <w:rsid w:val="00D96CE2"/>
    <w:rsid w:val="00D97866"/>
    <w:rsid w:val="00D97A24"/>
    <w:rsid w:val="00DA0632"/>
    <w:rsid w:val="00DA0ABA"/>
    <w:rsid w:val="00DA0DD8"/>
    <w:rsid w:val="00DA0E8A"/>
    <w:rsid w:val="00DA18DF"/>
    <w:rsid w:val="00DA1B3E"/>
    <w:rsid w:val="00DA25F0"/>
    <w:rsid w:val="00DA272B"/>
    <w:rsid w:val="00DA2836"/>
    <w:rsid w:val="00DA2B70"/>
    <w:rsid w:val="00DA2C8F"/>
    <w:rsid w:val="00DA367D"/>
    <w:rsid w:val="00DA3ABB"/>
    <w:rsid w:val="00DA3B04"/>
    <w:rsid w:val="00DA3E32"/>
    <w:rsid w:val="00DA4140"/>
    <w:rsid w:val="00DA45A1"/>
    <w:rsid w:val="00DA494B"/>
    <w:rsid w:val="00DA4C39"/>
    <w:rsid w:val="00DA55CB"/>
    <w:rsid w:val="00DA5805"/>
    <w:rsid w:val="00DA591F"/>
    <w:rsid w:val="00DA5DA0"/>
    <w:rsid w:val="00DA5F4B"/>
    <w:rsid w:val="00DA6082"/>
    <w:rsid w:val="00DA6437"/>
    <w:rsid w:val="00DA6444"/>
    <w:rsid w:val="00DA6AFA"/>
    <w:rsid w:val="00DA74F1"/>
    <w:rsid w:val="00DA76EC"/>
    <w:rsid w:val="00DA7AB1"/>
    <w:rsid w:val="00DA7F17"/>
    <w:rsid w:val="00DB00E8"/>
    <w:rsid w:val="00DB13EE"/>
    <w:rsid w:val="00DB198A"/>
    <w:rsid w:val="00DB1A4A"/>
    <w:rsid w:val="00DB20DA"/>
    <w:rsid w:val="00DB220A"/>
    <w:rsid w:val="00DB2D11"/>
    <w:rsid w:val="00DB2DCF"/>
    <w:rsid w:val="00DB30E6"/>
    <w:rsid w:val="00DB390D"/>
    <w:rsid w:val="00DB3B75"/>
    <w:rsid w:val="00DB3C3A"/>
    <w:rsid w:val="00DB3E74"/>
    <w:rsid w:val="00DB46F5"/>
    <w:rsid w:val="00DB4971"/>
    <w:rsid w:val="00DB4A09"/>
    <w:rsid w:val="00DB4AC0"/>
    <w:rsid w:val="00DB4E9F"/>
    <w:rsid w:val="00DB4EC7"/>
    <w:rsid w:val="00DB4F16"/>
    <w:rsid w:val="00DB50B7"/>
    <w:rsid w:val="00DB5297"/>
    <w:rsid w:val="00DB5B53"/>
    <w:rsid w:val="00DB5CDE"/>
    <w:rsid w:val="00DB5EF8"/>
    <w:rsid w:val="00DB6495"/>
    <w:rsid w:val="00DB71AF"/>
    <w:rsid w:val="00DB73A4"/>
    <w:rsid w:val="00DB7573"/>
    <w:rsid w:val="00DB7714"/>
    <w:rsid w:val="00DB7A77"/>
    <w:rsid w:val="00DB7DCD"/>
    <w:rsid w:val="00DC0485"/>
    <w:rsid w:val="00DC0777"/>
    <w:rsid w:val="00DC146F"/>
    <w:rsid w:val="00DC16BB"/>
    <w:rsid w:val="00DC17A9"/>
    <w:rsid w:val="00DC19C9"/>
    <w:rsid w:val="00DC23C5"/>
    <w:rsid w:val="00DC2501"/>
    <w:rsid w:val="00DC253E"/>
    <w:rsid w:val="00DC26BD"/>
    <w:rsid w:val="00DC2803"/>
    <w:rsid w:val="00DC2955"/>
    <w:rsid w:val="00DC30F7"/>
    <w:rsid w:val="00DC32E7"/>
    <w:rsid w:val="00DC4056"/>
    <w:rsid w:val="00DC48F6"/>
    <w:rsid w:val="00DC4A18"/>
    <w:rsid w:val="00DC4A3F"/>
    <w:rsid w:val="00DC50B0"/>
    <w:rsid w:val="00DC5195"/>
    <w:rsid w:val="00DC5252"/>
    <w:rsid w:val="00DC5259"/>
    <w:rsid w:val="00DC552C"/>
    <w:rsid w:val="00DC569C"/>
    <w:rsid w:val="00DC58CD"/>
    <w:rsid w:val="00DC6017"/>
    <w:rsid w:val="00DC62CD"/>
    <w:rsid w:val="00DC632E"/>
    <w:rsid w:val="00DC69DF"/>
    <w:rsid w:val="00DC6E74"/>
    <w:rsid w:val="00DC7250"/>
    <w:rsid w:val="00DC7347"/>
    <w:rsid w:val="00DC7539"/>
    <w:rsid w:val="00DC79ED"/>
    <w:rsid w:val="00DC7B32"/>
    <w:rsid w:val="00DC7DBA"/>
    <w:rsid w:val="00DCE289"/>
    <w:rsid w:val="00DD027D"/>
    <w:rsid w:val="00DD03DE"/>
    <w:rsid w:val="00DD0B3D"/>
    <w:rsid w:val="00DD1109"/>
    <w:rsid w:val="00DD1399"/>
    <w:rsid w:val="00DD1E9C"/>
    <w:rsid w:val="00DD2112"/>
    <w:rsid w:val="00DD2122"/>
    <w:rsid w:val="00DD2974"/>
    <w:rsid w:val="00DD31CB"/>
    <w:rsid w:val="00DD33E0"/>
    <w:rsid w:val="00DD36AF"/>
    <w:rsid w:val="00DD3AC1"/>
    <w:rsid w:val="00DD40F5"/>
    <w:rsid w:val="00DD4629"/>
    <w:rsid w:val="00DD467E"/>
    <w:rsid w:val="00DD46D1"/>
    <w:rsid w:val="00DD5458"/>
    <w:rsid w:val="00DD546E"/>
    <w:rsid w:val="00DD55BE"/>
    <w:rsid w:val="00DD59F6"/>
    <w:rsid w:val="00DD6246"/>
    <w:rsid w:val="00DD69A1"/>
    <w:rsid w:val="00DD69C0"/>
    <w:rsid w:val="00DD6BE1"/>
    <w:rsid w:val="00DD6CF6"/>
    <w:rsid w:val="00DD6DF1"/>
    <w:rsid w:val="00DD7272"/>
    <w:rsid w:val="00DD72B4"/>
    <w:rsid w:val="00DD76B0"/>
    <w:rsid w:val="00DD7865"/>
    <w:rsid w:val="00DD791D"/>
    <w:rsid w:val="00DE0297"/>
    <w:rsid w:val="00DE0DDB"/>
    <w:rsid w:val="00DE0E04"/>
    <w:rsid w:val="00DE0FDB"/>
    <w:rsid w:val="00DE1109"/>
    <w:rsid w:val="00DE1130"/>
    <w:rsid w:val="00DE1C33"/>
    <w:rsid w:val="00DE255E"/>
    <w:rsid w:val="00DE2850"/>
    <w:rsid w:val="00DE2C74"/>
    <w:rsid w:val="00DE30C1"/>
    <w:rsid w:val="00DE3A03"/>
    <w:rsid w:val="00DE3EB1"/>
    <w:rsid w:val="00DE425E"/>
    <w:rsid w:val="00DE42B0"/>
    <w:rsid w:val="00DE4DD0"/>
    <w:rsid w:val="00DE54C5"/>
    <w:rsid w:val="00DE5A35"/>
    <w:rsid w:val="00DE5A80"/>
    <w:rsid w:val="00DE5DD2"/>
    <w:rsid w:val="00DE668F"/>
    <w:rsid w:val="00DE6A3A"/>
    <w:rsid w:val="00DE6BB6"/>
    <w:rsid w:val="00DE6DED"/>
    <w:rsid w:val="00DE79A6"/>
    <w:rsid w:val="00DE7E99"/>
    <w:rsid w:val="00DF0056"/>
    <w:rsid w:val="00DF0932"/>
    <w:rsid w:val="00DF09E6"/>
    <w:rsid w:val="00DF15DA"/>
    <w:rsid w:val="00DF19BC"/>
    <w:rsid w:val="00DF1EA2"/>
    <w:rsid w:val="00DF1F15"/>
    <w:rsid w:val="00DF27C3"/>
    <w:rsid w:val="00DF2AC1"/>
    <w:rsid w:val="00DF2E5F"/>
    <w:rsid w:val="00DF3B41"/>
    <w:rsid w:val="00DF3E0E"/>
    <w:rsid w:val="00DF3FB5"/>
    <w:rsid w:val="00DF486E"/>
    <w:rsid w:val="00DF4AA6"/>
    <w:rsid w:val="00DF4ED5"/>
    <w:rsid w:val="00DF4F69"/>
    <w:rsid w:val="00DF5D69"/>
    <w:rsid w:val="00DF5F03"/>
    <w:rsid w:val="00DF61DB"/>
    <w:rsid w:val="00DF6267"/>
    <w:rsid w:val="00DF6666"/>
    <w:rsid w:val="00DF6730"/>
    <w:rsid w:val="00DF6743"/>
    <w:rsid w:val="00DF68D1"/>
    <w:rsid w:val="00DF6A39"/>
    <w:rsid w:val="00DF6B49"/>
    <w:rsid w:val="00DF7328"/>
    <w:rsid w:val="00DF73F3"/>
    <w:rsid w:val="00DF7407"/>
    <w:rsid w:val="00DF7836"/>
    <w:rsid w:val="00DF7B6D"/>
    <w:rsid w:val="00E0006D"/>
    <w:rsid w:val="00E00B5D"/>
    <w:rsid w:val="00E016E7"/>
    <w:rsid w:val="00E0172E"/>
    <w:rsid w:val="00E0189F"/>
    <w:rsid w:val="00E01CA7"/>
    <w:rsid w:val="00E01CE9"/>
    <w:rsid w:val="00E01E2A"/>
    <w:rsid w:val="00E02055"/>
    <w:rsid w:val="00E022A1"/>
    <w:rsid w:val="00E0230B"/>
    <w:rsid w:val="00E02351"/>
    <w:rsid w:val="00E023EE"/>
    <w:rsid w:val="00E0335D"/>
    <w:rsid w:val="00E0371D"/>
    <w:rsid w:val="00E039AF"/>
    <w:rsid w:val="00E03BA1"/>
    <w:rsid w:val="00E040A9"/>
    <w:rsid w:val="00E041BA"/>
    <w:rsid w:val="00E04D0A"/>
    <w:rsid w:val="00E04E48"/>
    <w:rsid w:val="00E05AF9"/>
    <w:rsid w:val="00E05C8F"/>
    <w:rsid w:val="00E05E1C"/>
    <w:rsid w:val="00E061CF"/>
    <w:rsid w:val="00E06321"/>
    <w:rsid w:val="00E06517"/>
    <w:rsid w:val="00E06B32"/>
    <w:rsid w:val="00E07F23"/>
    <w:rsid w:val="00E105E7"/>
    <w:rsid w:val="00E105F9"/>
    <w:rsid w:val="00E10C26"/>
    <w:rsid w:val="00E10D5B"/>
    <w:rsid w:val="00E1127B"/>
    <w:rsid w:val="00E1132E"/>
    <w:rsid w:val="00E11580"/>
    <w:rsid w:val="00E1184C"/>
    <w:rsid w:val="00E11FFE"/>
    <w:rsid w:val="00E1249B"/>
    <w:rsid w:val="00E126D7"/>
    <w:rsid w:val="00E13122"/>
    <w:rsid w:val="00E13875"/>
    <w:rsid w:val="00E14692"/>
    <w:rsid w:val="00E14AE8"/>
    <w:rsid w:val="00E15803"/>
    <w:rsid w:val="00E15D14"/>
    <w:rsid w:val="00E15E50"/>
    <w:rsid w:val="00E160A1"/>
    <w:rsid w:val="00E162E7"/>
    <w:rsid w:val="00E168D6"/>
    <w:rsid w:val="00E16B69"/>
    <w:rsid w:val="00E170A6"/>
    <w:rsid w:val="00E17A4C"/>
    <w:rsid w:val="00E202FE"/>
    <w:rsid w:val="00E20403"/>
    <w:rsid w:val="00E20ED2"/>
    <w:rsid w:val="00E20F72"/>
    <w:rsid w:val="00E2115C"/>
    <w:rsid w:val="00E219C5"/>
    <w:rsid w:val="00E21D4D"/>
    <w:rsid w:val="00E21E4C"/>
    <w:rsid w:val="00E2273D"/>
    <w:rsid w:val="00E22AE9"/>
    <w:rsid w:val="00E23142"/>
    <w:rsid w:val="00E2315C"/>
    <w:rsid w:val="00E2335A"/>
    <w:rsid w:val="00E23657"/>
    <w:rsid w:val="00E23CE5"/>
    <w:rsid w:val="00E24AED"/>
    <w:rsid w:val="00E24B1C"/>
    <w:rsid w:val="00E25721"/>
    <w:rsid w:val="00E27320"/>
    <w:rsid w:val="00E27757"/>
    <w:rsid w:val="00E27C4E"/>
    <w:rsid w:val="00E305D0"/>
    <w:rsid w:val="00E3060A"/>
    <w:rsid w:val="00E30C9D"/>
    <w:rsid w:val="00E31262"/>
    <w:rsid w:val="00E315C9"/>
    <w:rsid w:val="00E321FA"/>
    <w:rsid w:val="00E324CE"/>
    <w:rsid w:val="00E325FD"/>
    <w:rsid w:val="00E3293D"/>
    <w:rsid w:val="00E32DA1"/>
    <w:rsid w:val="00E32E2B"/>
    <w:rsid w:val="00E32FD6"/>
    <w:rsid w:val="00E3332A"/>
    <w:rsid w:val="00E33601"/>
    <w:rsid w:val="00E33D02"/>
    <w:rsid w:val="00E34075"/>
    <w:rsid w:val="00E34305"/>
    <w:rsid w:val="00E34F07"/>
    <w:rsid w:val="00E35365"/>
    <w:rsid w:val="00E3589F"/>
    <w:rsid w:val="00E36B14"/>
    <w:rsid w:val="00E36C3E"/>
    <w:rsid w:val="00E36C90"/>
    <w:rsid w:val="00E37143"/>
    <w:rsid w:val="00E37371"/>
    <w:rsid w:val="00E3757C"/>
    <w:rsid w:val="00E37A3A"/>
    <w:rsid w:val="00E37A55"/>
    <w:rsid w:val="00E37EEE"/>
    <w:rsid w:val="00E40102"/>
    <w:rsid w:val="00E40365"/>
    <w:rsid w:val="00E4059F"/>
    <w:rsid w:val="00E409EA"/>
    <w:rsid w:val="00E40C3D"/>
    <w:rsid w:val="00E40C82"/>
    <w:rsid w:val="00E40D2F"/>
    <w:rsid w:val="00E40F32"/>
    <w:rsid w:val="00E40F7F"/>
    <w:rsid w:val="00E417CA"/>
    <w:rsid w:val="00E4230D"/>
    <w:rsid w:val="00E424AD"/>
    <w:rsid w:val="00E42631"/>
    <w:rsid w:val="00E42DBA"/>
    <w:rsid w:val="00E42F9E"/>
    <w:rsid w:val="00E431C8"/>
    <w:rsid w:val="00E4324F"/>
    <w:rsid w:val="00E43404"/>
    <w:rsid w:val="00E43548"/>
    <w:rsid w:val="00E43851"/>
    <w:rsid w:val="00E438DB"/>
    <w:rsid w:val="00E44016"/>
    <w:rsid w:val="00E440AD"/>
    <w:rsid w:val="00E443B6"/>
    <w:rsid w:val="00E44A2F"/>
    <w:rsid w:val="00E44E1A"/>
    <w:rsid w:val="00E45347"/>
    <w:rsid w:val="00E454C4"/>
    <w:rsid w:val="00E46014"/>
    <w:rsid w:val="00E465BB"/>
    <w:rsid w:val="00E47A96"/>
    <w:rsid w:val="00E47AC5"/>
    <w:rsid w:val="00E47ACC"/>
    <w:rsid w:val="00E47EBA"/>
    <w:rsid w:val="00E47F3C"/>
    <w:rsid w:val="00E5053D"/>
    <w:rsid w:val="00E50C42"/>
    <w:rsid w:val="00E514F6"/>
    <w:rsid w:val="00E51B2D"/>
    <w:rsid w:val="00E521AF"/>
    <w:rsid w:val="00E52941"/>
    <w:rsid w:val="00E52FFA"/>
    <w:rsid w:val="00E53055"/>
    <w:rsid w:val="00E53923"/>
    <w:rsid w:val="00E53B48"/>
    <w:rsid w:val="00E54514"/>
    <w:rsid w:val="00E54846"/>
    <w:rsid w:val="00E548F6"/>
    <w:rsid w:val="00E55E7C"/>
    <w:rsid w:val="00E55FB4"/>
    <w:rsid w:val="00E5651D"/>
    <w:rsid w:val="00E57380"/>
    <w:rsid w:val="00E573BA"/>
    <w:rsid w:val="00E573CB"/>
    <w:rsid w:val="00E57C44"/>
    <w:rsid w:val="00E57DE0"/>
    <w:rsid w:val="00E57E4F"/>
    <w:rsid w:val="00E60611"/>
    <w:rsid w:val="00E60DDF"/>
    <w:rsid w:val="00E60E31"/>
    <w:rsid w:val="00E60F6F"/>
    <w:rsid w:val="00E61368"/>
    <w:rsid w:val="00E6152C"/>
    <w:rsid w:val="00E616C8"/>
    <w:rsid w:val="00E61BD1"/>
    <w:rsid w:val="00E6233D"/>
    <w:rsid w:val="00E62630"/>
    <w:rsid w:val="00E62FC7"/>
    <w:rsid w:val="00E632F7"/>
    <w:rsid w:val="00E637A4"/>
    <w:rsid w:val="00E63915"/>
    <w:rsid w:val="00E63C52"/>
    <w:rsid w:val="00E63C79"/>
    <w:rsid w:val="00E64AB5"/>
    <w:rsid w:val="00E64C30"/>
    <w:rsid w:val="00E64F11"/>
    <w:rsid w:val="00E653DD"/>
    <w:rsid w:val="00E654F2"/>
    <w:rsid w:val="00E65903"/>
    <w:rsid w:val="00E65B96"/>
    <w:rsid w:val="00E668E0"/>
    <w:rsid w:val="00E66A8E"/>
    <w:rsid w:val="00E700A5"/>
    <w:rsid w:val="00E70E9D"/>
    <w:rsid w:val="00E7158D"/>
    <w:rsid w:val="00E717D8"/>
    <w:rsid w:val="00E72015"/>
    <w:rsid w:val="00E72050"/>
    <w:rsid w:val="00E7226B"/>
    <w:rsid w:val="00E72587"/>
    <w:rsid w:val="00E72A20"/>
    <w:rsid w:val="00E73045"/>
    <w:rsid w:val="00E73385"/>
    <w:rsid w:val="00E7350F"/>
    <w:rsid w:val="00E73891"/>
    <w:rsid w:val="00E738A0"/>
    <w:rsid w:val="00E73C83"/>
    <w:rsid w:val="00E73DC0"/>
    <w:rsid w:val="00E74664"/>
    <w:rsid w:val="00E749C4"/>
    <w:rsid w:val="00E74EA7"/>
    <w:rsid w:val="00E7517A"/>
    <w:rsid w:val="00E7526C"/>
    <w:rsid w:val="00E7532B"/>
    <w:rsid w:val="00E756A5"/>
    <w:rsid w:val="00E75AC0"/>
    <w:rsid w:val="00E76322"/>
    <w:rsid w:val="00E765E1"/>
    <w:rsid w:val="00E76711"/>
    <w:rsid w:val="00E7675B"/>
    <w:rsid w:val="00E768DD"/>
    <w:rsid w:val="00E77181"/>
    <w:rsid w:val="00E77477"/>
    <w:rsid w:val="00E77899"/>
    <w:rsid w:val="00E778AA"/>
    <w:rsid w:val="00E77EDA"/>
    <w:rsid w:val="00E80274"/>
    <w:rsid w:val="00E80535"/>
    <w:rsid w:val="00E80ACB"/>
    <w:rsid w:val="00E80B0E"/>
    <w:rsid w:val="00E80BA7"/>
    <w:rsid w:val="00E80BD7"/>
    <w:rsid w:val="00E80EBA"/>
    <w:rsid w:val="00E80FB6"/>
    <w:rsid w:val="00E813F0"/>
    <w:rsid w:val="00E8147C"/>
    <w:rsid w:val="00E8155A"/>
    <w:rsid w:val="00E8194B"/>
    <w:rsid w:val="00E81D3A"/>
    <w:rsid w:val="00E82047"/>
    <w:rsid w:val="00E82149"/>
    <w:rsid w:val="00E825AB"/>
    <w:rsid w:val="00E82B3E"/>
    <w:rsid w:val="00E82B8A"/>
    <w:rsid w:val="00E82EB0"/>
    <w:rsid w:val="00E830DC"/>
    <w:rsid w:val="00E83748"/>
    <w:rsid w:val="00E838F1"/>
    <w:rsid w:val="00E83A13"/>
    <w:rsid w:val="00E84645"/>
    <w:rsid w:val="00E84CF4"/>
    <w:rsid w:val="00E85601"/>
    <w:rsid w:val="00E857AA"/>
    <w:rsid w:val="00E85E81"/>
    <w:rsid w:val="00E862AB"/>
    <w:rsid w:val="00E8645F"/>
    <w:rsid w:val="00E86474"/>
    <w:rsid w:val="00E866F1"/>
    <w:rsid w:val="00E8673E"/>
    <w:rsid w:val="00E86A76"/>
    <w:rsid w:val="00E86E66"/>
    <w:rsid w:val="00E875D4"/>
    <w:rsid w:val="00E8789A"/>
    <w:rsid w:val="00E90066"/>
    <w:rsid w:val="00E90413"/>
    <w:rsid w:val="00E90619"/>
    <w:rsid w:val="00E90842"/>
    <w:rsid w:val="00E90C4B"/>
    <w:rsid w:val="00E9178E"/>
    <w:rsid w:val="00E9183A"/>
    <w:rsid w:val="00E92A7E"/>
    <w:rsid w:val="00E92D4B"/>
    <w:rsid w:val="00E92E0C"/>
    <w:rsid w:val="00E93508"/>
    <w:rsid w:val="00E9390E"/>
    <w:rsid w:val="00E93B3D"/>
    <w:rsid w:val="00E93D2E"/>
    <w:rsid w:val="00E9474E"/>
    <w:rsid w:val="00E94BAF"/>
    <w:rsid w:val="00E94EE3"/>
    <w:rsid w:val="00E94F9D"/>
    <w:rsid w:val="00E954D5"/>
    <w:rsid w:val="00E957CF"/>
    <w:rsid w:val="00E95AAF"/>
    <w:rsid w:val="00E96634"/>
    <w:rsid w:val="00E96FFE"/>
    <w:rsid w:val="00E97218"/>
    <w:rsid w:val="00EA00C6"/>
    <w:rsid w:val="00EA030C"/>
    <w:rsid w:val="00EA0598"/>
    <w:rsid w:val="00EA0620"/>
    <w:rsid w:val="00EA0F15"/>
    <w:rsid w:val="00EA13CF"/>
    <w:rsid w:val="00EA184A"/>
    <w:rsid w:val="00EA1B79"/>
    <w:rsid w:val="00EA1BED"/>
    <w:rsid w:val="00EA21DA"/>
    <w:rsid w:val="00EA2920"/>
    <w:rsid w:val="00EA30EE"/>
    <w:rsid w:val="00EA332D"/>
    <w:rsid w:val="00EA355D"/>
    <w:rsid w:val="00EA3660"/>
    <w:rsid w:val="00EA368D"/>
    <w:rsid w:val="00EA39C8"/>
    <w:rsid w:val="00EA3A8F"/>
    <w:rsid w:val="00EA436B"/>
    <w:rsid w:val="00EA43C5"/>
    <w:rsid w:val="00EA4522"/>
    <w:rsid w:val="00EA4AAF"/>
    <w:rsid w:val="00EA4DEC"/>
    <w:rsid w:val="00EA52D6"/>
    <w:rsid w:val="00EA6067"/>
    <w:rsid w:val="00EA6159"/>
    <w:rsid w:val="00EA61BE"/>
    <w:rsid w:val="00EA697A"/>
    <w:rsid w:val="00EA6DF6"/>
    <w:rsid w:val="00EA775D"/>
    <w:rsid w:val="00EA7BB1"/>
    <w:rsid w:val="00EB0285"/>
    <w:rsid w:val="00EB036A"/>
    <w:rsid w:val="00EB086C"/>
    <w:rsid w:val="00EB0992"/>
    <w:rsid w:val="00EB0AD9"/>
    <w:rsid w:val="00EB13F9"/>
    <w:rsid w:val="00EB14C3"/>
    <w:rsid w:val="00EB1765"/>
    <w:rsid w:val="00EB1AE1"/>
    <w:rsid w:val="00EB31AF"/>
    <w:rsid w:val="00EB320F"/>
    <w:rsid w:val="00EB326B"/>
    <w:rsid w:val="00EB43E7"/>
    <w:rsid w:val="00EB4433"/>
    <w:rsid w:val="00EB4549"/>
    <w:rsid w:val="00EB47B4"/>
    <w:rsid w:val="00EB4A48"/>
    <w:rsid w:val="00EB4AA1"/>
    <w:rsid w:val="00EB4FDF"/>
    <w:rsid w:val="00EB541D"/>
    <w:rsid w:val="00EB542C"/>
    <w:rsid w:val="00EB5B45"/>
    <w:rsid w:val="00EB62F1"/>
    <w:rsid w:val="00EB6470"/>
    <w:rsid w:val="00EB6504"/>
    <w:rsid w:val="00EB6529"/>
    <w:rsid w:val="00EB67C5"/>
    <w:rsid w:val="00EB6CE1"/>
    <w:rsid w:val="00EB6E0A"/>
    <w:rsid w:val="00EB7000"/>
    <w:rsid w:val="00EB77E7"/>
    <w:rsid w:val="00EB7EE9"/>
    <w:rsid w:val="00EC0130"/>
    <w:rsid w:val="00EC0514"/>
    <w:rsid w:val="00EC0C04"/>
    <w:rsid w:val="00EC0E67"/>
    <w:rsid w:val="00EC0F4D"/>
    <w:rsid w:val="00EC1033"/>
    <w:rsid w:val="00EC14D0"/>
    <w:rsid w:val="00EC1DDE"/>
    <w:rsid w:val="00EC1DE3"/>
    <w:rsid w:val="00EC1E8B"/>
    <w:rsid w:val="00EC21BD"/>
    <w:rsid w:val="00EC2CC9"/>
    <w:rsid w:val="00EC2EDC"/>
    <w:rsid w:val="00EC2F30"/>
    <w:rsid w:val="00EC3267"/>
    <w:rsid w:val="00EC386C"/>
    <w:rsid w:val="00EC38F4"/>
    <w:rsid w:val="00EC3BB1"/>
    <w:rsid w:val="00EC3CBA"/>
    <w:rsid w:val="00EC3EFE"/>
    <w:rsid w:val="00EC40D1"/>
    <w:rsid w:val="00EC416C"/>
    <w:rsid w:val="00EC4288"/>
    <w:rsid w:val="00EC4373"/>
    <w:rsid w:val="00EC4571"/>
    <w:rsid w:val="00EC48AC"/>
    <w:rsid w:val="00EC4AE0"/>
    <w:rsid w:val="00EC5434"/>
    <w:rsid w:val="00EC6058"/>
    <w:rsid w:val="00EC61EA"/>
    <w:rsid w:val="00EC71DC"/>
    <w:rsid w:val="00EC7239"/>
    <w:rsid w:val="00EC727F"/>
    <w:rsid w:val="00EC7B33"/>
    <w:rsid w:val="00ED0196"/>
    <w:rsid w:val="00ED034A"/>
    <w:rsid w:val="00ED0519"/>
    <w:rsid w:val="00ED09F1"/>
    <w:rsid w:val="00ED0BB3"/>
    <w:rsid w:val="00ED0EA8"/>
    <w:rsid w:val="00ED18F6"/>
    <w:rsid w:val="00ED1CA6"/>
    <w:rsid w:val="00ED2F8A"/>
    <w:rsid w:val="00ED3923"/>
    <w:rsid w:val="00ED3AB0"/>
    <w:rsid w:val="00ED3D4D"/>
    <w:rsid w:val="00ED40EF"/>
    <w:rsid w:val="00ED41E5"/>
    <w:rsid w:val="00ED426D"/>
    <w:rsid w:val="00ED5503"/>
    <w:rsid w:val="00ED562E"/>
    <w:rsid w:val="00ED736D"/>
    <w:rsid w:val="00ED7511"/>
    <w:rsid w:val="00ED7822"/>
    <w:rsid w:val="00ED7C09"/>
    <w:rsid w:val="00ED7F85"/>
    <w:rsid w:val="00EE06C0"/>
    <w:rsid w:val="00EE0A06"/>
    <w:rsid w:val="00EE114E"/>
    <w:rsid w:val="00EE1413"/>
    <w:rsid w:val="00EE141E"/>
    <w:rsid w:val="00EE2025"/>
    <w:rsid w:val="00EE20BD"/>
    <w:rsid w:val="00EE2B5A"/>
    <w:rsid w:val="00EE2E83"/>
    <w:rsid w:val="00EE3767"/>
    <w:rsid w:val="00EE3EF0"/>
    <w:rsid w:val="00EE430B"/>
    <w:rsid w:val="00EE45DB"/>
    <w:rsid w:val="00EE47FA"/>
    <w:rsid w:val="00EE4F95"/>
    <w:rsid w:val="00EE537E"/>
    <w:rsid w:val="00EE54A4"/>
    <w:rsid w:val="00EE56B8"/>
    <w:rsid w:val="00EE605A"/>
    <w:rsid w:val="00EE62E9"/>
    <w:rsid w:val="00EE6FBD"/>
    <w:rsid w:val="00EE7024"/>
    <w:rsid w:val="00EE70B2"/>
    <w:rsid w:val="00EE7482"/>
    <w:rsid w:val="00EE7501"/>
    <w:rsid w:val="00EE7627"/>
    <w:rsid w:val="00EE7825"/>
    <w:rsid w:val="00EE7AC3"/>
    <w:rsid w:val="00EE7DF6"/>
    <w:rsid w:val="00EF01B4"/>
    <w:rsid w:val="00EF0601"/>
    <w:rsid w:val="00EF0B31"/>
    <w:rsid w:val="00EF173C"/>
    <w:rsid w:val="00EF23E9"/>
    <w:rsid w:val="00EF2435"/>
    <w:rsid w:val="00EF253A"/>
    <w:rsid w:val="00EF28BD"/>
    <w:rsid w:val="00EF2E75"/>
    <w:rsid w:val="00EF2EC0"/>
    <w:rsid w:val="00EF3449"/>
    <w:rsid w:val="00EF3590"/>
    <w:rsid w:val="00EF369D"/>
    <w:rsid w:val="00EF3876"/>
    <w:rsid w:val="00EF4489"/>
    <w:rsid w:val="00EF4512"/>
    <w:rsid w:val="00EF4865"/>
    <w:rsid w:val="00EF4943"/>
    <w:rsid w:val="00EF4A9E"/>
    <w:rsid w:val="00EF4AE1"/>
    <w:rsid w:val="00EF4D41"/>
    <w:rsid w:val="00EF51DF"/>
    <w:rsid w:val="00EF52A6"/>
    <w:rsid w:val="00EF574A"/>
    <w:rsid w:val="00EF612E"/>
    <w:rsid w:val="00EF68E2"/>
    <w:rsid w:val="00EF69D8"/>
    <w:rsid w:val="00EF6CD8"/>
    <w:rsid w:val="00EF6DB0"/>
    <w:rsid w:val="00EF7049"/>
    <w:rsid w:val="00EF7072"/>
    <w:rsid w:val="00EF7822"/>
    <w:rsid w:val="00EF78DA"/>
    <w:rsid w:val="00EF7BA9"/>
    <w:rsid w:val="00EF7C70"/>
    <w:rsid w:val="00EF7D9E"/>
    <w:rsid w:val="00EF7E04"/>
    <w:rsid w:val="00F00297"/>
    <w:rsid w:val="00F002A6"/>
    <w:rsid w:val="00F00D18"/>
    <w:rsid w:val="00F00F5A"/>
    <w:rsid w:val="00F01146"/>
    <w:rsid w:val="00F01655"/>
    <w:rsid w:val="00F01861"/>
    <w:rsid w:val="00F0187C"/>
    <w:rsid w:val="00F01F78"/>
    <w:rsid w:val="00F02066"/>
    <w:rsid w:val="00F02ED0"/>
    <w:rsid w:val="00F0315D"/>
    <w:rsid w:val="00F03C20"/>
    <w:rsid w:val="00F045C3"/>
    <w:rsid w:val="00F048F7"/>
    <w:rsid w:val="00F04AA7"/>
    <w:rsid w:val="00F04EB9"/>
    <w:rsid w:val="00F050D8"/>
    <w:rsid w:val="00F05501"/>
    <w:rsid w:val="00F0566C"/>
    <w:rsid w:val="00F0569D"/>
    <w:rsid w:val="00F05ED1"/>
    <w:rsid w:val="00F06842"/>
    <w:rsid w:val="00F06B0B"/>
    <w:rsid w:val="00F06BB5"/>
    <w:rsid w:val="00F075AF"/>
    <w:rsid w:val="00F0773E"/>
    <w:rsid w:val="00F0775E"/>
    <w:rsid w:val="00F079E7"/>
    <w:rsid w:val="00F07DA0"/>
    <w:rsid w:val="00F07FCD"/>
    <w:rsid w:val="00F100C1"/>
    <w:rsid w:val="00F10A3B"/>
    <w:rsid w:val="00F10BFB"/>
    <w:rsid w:val="00F10CD7"/>
    <w:rsid w:val="00F10F81"/>
    <w:rsid w:val="00F1138D"/>
    <w:rsid w:val="00F12225"/>
    <w:rsid w:val="00F125AA"/>
    <w:rsid w:val="00F12BB7"/>
    <w:rsid w:val="00F12BC0"/>
    <w:rsid w:val="00F133DB"/>
    <w:rsid w:val="00F1345B"/>
    <w:rsid w:val="00F1363F"/>
    <w:rsid w:val="00F13800"/>
    <w:rsid w:val="00F13F37"/>
    <w:rsid w:val="00F1448F"/>
    <w:rsid w:val="00F147A8"/>
    <w:rsid w:val="00F1486D"/>
    <w:rsid w:val="00F14D16"/>
    <w:rsid w:val="00F156C3"/>
    <w:rsid w:val="00F15BD2"/>
    <w:rsid w:val="00F1608F"/>
    <w:rsid w:val="00F160BB"/>
    <w:rsid w:val="00F161AB"/>
    <w:rsid w:val="00F161EE"/>
    <w:rsid w:val="00F1667D"/>
    <w:rsid w:val="00F16AB1"/>
    <w:rsid w:val="00F16D30"/>
    <w:rsid w:val="00F16F05"/>
    <w:rsid w:val="00F1739A"/>
    <w:rsid w:val="00F175F6"/>
    <w:rsid w:val="00F176ED"/>
    <w:rsid w:val="00F178FD"/>
    <w:rsid w:val="00F20364"/>
    <w:rsid w:val="00F20948"/>
    <w:rsid w:val="00F20BE5"/>
    <w:rsid w:val="00F20E52"/>
    <w:rsid w:val="00F20E87"/>
    <w:rsid w:val="00F2146D"/>
    <w:rsid w:val="00F21528"/>
    <w:rsid w:val="00F217A7"/>
    <w:rsid w:val="00F21971"/>
    <w:rsid w:val="00F21D67"/>
    <w:rsid w:val="00F21F6D"/>
    <w:rsid w:val="00F2339B"/>
    <w:rsid w:val="00F236A9"/>
    <w:rsid w:val="00F237DC"/>
    <w:rsid w:val="00F23AE0"/>
    <w:rsid w:val="00F244B8"/>
    <w:rsid w:val="00F2498C"/>
    <w:rsid w:val="00F24A6B"/>
    <w:rsid w:val="00F24B5A"/>
    <w:rsid w:val="00F24B81"/>
    <w:rsid w:val="00F24F11"/>
    <w:rsid w:val="00F25349"/>
    <w:rsid w:val="00F25875"/>
    <w:rsid w:val="00F261F4"/>
    <w:rsid w:val="00F2623D"/>
    <w:rsid w:val="00F26247"/>
    <w:rsid w:val="00F26968"/>
    <w:rsid w:val="00F26B27"/>
    <w:rsid w:val="00F26E58"/>
    <w:rsid w:val="00F26F83"/>
    <w:rsid w:val="00F27A05"/>
    <w:rsid w:val="00F30063"/>
    <w:rsid w:val="00F31502"/>
    <w:rsid w:val="00F32619"/>
    <w:rsid w:val="00F32DF8"/>
    <w:rsid w:val="00F33F83"/>
    <w:rsid w:val="00F34038"/>
    <w:rsid w:val="00F340D7"/>
    <w:rsid w:val="00F3445F"/>
    <w:rsid w:val="00F3484E"/>
    <w:rsid w:val="00F35277"/>
    <w:rsid w:val="00F356E6"/>
    <w:rsid w:val="00F35948"/>
    <w:rsid w:val="00F359D5"/>
    <w:rsid w:val="00F35F38"/>
    <w:rsid w:val="00F3617B"/>
    <w:rsid w:val="00F3633A"/>
    <w:rsid w:val="00F36918"/>
    <w:rsid w:val="00F36ABD"/>
    <w:rsid w:val="00F36F09"/>
    <w:rsid w:val="00F37907"/>
    <w:rsid w:val="00F37D0D"/>
    <w:rsid w:val="00F37EB9"/>
    <w:rsid w:val="00F40275"/>
    <w:rsid w:val="00F40301"/>
    <w:rsid w:val="00F419FA"/>
    <w:rsid w:val="00F41B98"/>
    <w:rsid w:val="00F41DE8"/>
    <w:rsid w:val="00F4261C"/>
    <w:rsid w:val="00F426DB"/>
    <w:rsid w:val="00F42AE9"/>
    <w:rsid w:val="00F432BA"/>
    <w:rsid w:val="00F437D5"/>
    <w:rsid w:val="00F43AB8"/>
    <w:rsid w:val="00F441F7"/>
    <w:rsid w:val="00F44339"/>
    <w:rsid w:val="00F44807"/>
    <w:rsid w:val="00F44AA8"/>
    <w:rsid w:val="00F44F53"/>
    <w:rsid w:val="00F45009"/>
    <w:rsid w:val="00F45286"/>
    <w:rsid w:val="00F4588F"/>
    <w:rsid w:val="00F45A8B"/>
    <w:rsid w:val="00F45C17"/>
    <w:rsid w:val="00F45DC5"/>
    <w:rsid w:val="00F45E93"/>
    <w:rsid w:val="00F46307"/>
    <w:rsid w:val="00F46316"/>
    <w:rsid w:val="00F46A1B"/>
    <w:rsid w:val="00F46DAC"/>
    <w:rsid w:val="00F46DFB"/>
    <w:rsid w:val="00F47CBE"/>
    <w:rsid w:val="00F50197"/>
    <w:rsid w:val="00F5062F"/>
    <w:rsid w:val="00F50A28"/>
    <w:rsid w:val="00F50ED2"/>
    <w:rsid w:val="00F5117F"/>
    <w:rsid w:val="00F51366"/>
    <w:rsid w:val="00F5143E"/>
    <w:rsid w:val="00F51978"/>
    <w:rsid w:val="00F51A7C"/>
    <w:rsid w:val="00F52B3D"/>
    <w:rsid w:val="00F52D54"/>
    <w:rsid w:val="00F53030"/>
    <w:rsid w:val="00F53A78"/>
    <w:rsid w:val="00F54474"/>
    <w:rsid w:val="00F548B0"/>
    <w:rsid w:val="00F55008"/>
    <w:rsid w:val="00F551D7"/>
    <w:rsid w:val="00F55EB0"/>
    <w:rsid w:val="00F56074"/>
    <w:rsid w:val="00F56A59"/>
    <w:rsid w:val="00F56D0D"/>
    <w:rsid w:val="00F56D3B"/>
    <w:rsid w:val="00F56F20"/>
    <w:rsid w:val="00F57329"/>
    <w:rsid w:val="00F5756F"/>
    <w:rsid w:val="00F5794E"/>
    <w:rsid w:val="00F61651"/>
    <w:rsid w:val="00F616C1"/>
    <w:rsid w:val="00F619B1"/>
    <w:rsid w:val="00F6203D"/>
    <w:rsid w:val="00F6293F"/>
    <w:rsid w:val="00F63433"/>
    <w:rsid w:val="00F63492"/>
    <w:rsid w:val="00F63A0F"/>
    <w:rsid w:val="00F63AAA"/>
    <w:rsid w:val="00F63BA7"/>
    <w:rsid w:val="00F63DFE"/>
    <w:rsid w:val="00F6452A"/>
    <w:rsid w:val="00F64C42"/>
    <w:rsid w:val="00F64D87"/>
    <w:rsid w:val="00F65597"/>
    <w:rsid w:val="00F658C3"/>
    <w:rsid w:val="00F65B05"/>
    <w:rsid w:val="00F6611E"/>
    <w:rsid w:val="00F661DB"/>
    <w:rsid w:val="00F66487"/>
    <w:rsid w:val="00F66641"/>
    <w:rsid w:val="00F66E1E"/>
    <w:rsid w:val="00F70060"/>
    <w:rsid w:val="00F70245"/>
    <w:rsid w:val="00F70416"/>
    <w:rsid w:val="00F70BC9"/>
    <w:rsid w:val="00F70D33"/>
    <w:rsid w:val="00F71515"/>
    <w:rsid w:val="00F71883"/>
    <w:rsid w:val="00F71AE7"/>
    <w:rsid w:val="00F72046"/>
    <w:rsid w:val="00F72291"/>
    <w:rsid w:val="00F723B1"/>
    <w:rsid w:val="00F726E3"/>
    <w:rsid w:val="00F72EDA"/>
    <w:rsid w:val="00F73271"/>
    <w:rsid w:val="00F735AD"/>
    <w:rsid w:val="00F742CE"/>
    <w:rsid w:val="00F74991"/>
    <w:rsid w:val="00F74DE0"/>
    <w:rsid w:val="00F751E3"/>
    <w:rsid w:val="00F753FD"/>
    <w:rsid w:val="00F75AF1"/>
    <w:rsid w:val="00F75E85"/>
    <w:rsid w:val="00F75F11"/>
    <w:rsid w:val="00F7699F"/>
    <w:rsid w:val="00F769C5"/>
    <w:rsid w:val="00F76A58"/>
    <w:rsid w:val="00F76BE8"/>
    <w:rsid w:val="00F76E81"/>
    <w:rsid w:val="00F770B7"/>
    <w:rsid w:val="00F772CE"/>
    <w:rsid w:val="00F772F2"/>
    <w:rsid w:val="00F77C73"/>
    <w:rsid w:val="00F800F1"/>
    <w:rsid w:val="00F801D9"/>
    <w:rsid w:val="00F8095E"/>
    <w:rsid w:val="00F80BE6"/>
    <w:rsid w:val="00F80EF9"/>
    <w:rsid w:val="00F80F96"/>
    <w:rsid w:val="00F81878"/>
    <w:rsid w:val="00F81930"/>
    <w:rsid w:val="00F81A09"/>
    <w:rsid w:val="00F81CB4"/>
    <w:rsid w:val="00F8269D"/>
    <w:rsid w:val="00F82DDB"/>
    <w:rsid w:val="00F83826"/>
    <w:rsid w:val="00F8395A"/>
    <w:rsid w:val="00F83AC5"/>
    <w:rsid w:val="00F840C6"/>
    <w:rsid w:val="00F8468B"/>
    <w:rsid w:val="00F84C1A"/>
    <w:rsid w:val="00F84DDC"/>
    <w:rsid w:val="00F84DEB"/>
    <w:rsid w:val="00F8699B"/>
    <w:rsid w:val="00F86A60"/>
    <w:rsid w:val="00F86ADE"/>
    <w:rsid w:val="00F86BC8"/>
    <w:rsid w:val="00F86E14"/>
    <w:rsid w:val="00F8755F"/>
    <w:rsid w:val="00F8796F"/>
    <w:rsid w:val="00F87ABC"/>
    <w:rsid w:val="00F90126"/>
    <w:rsid w:val="00F90209"/>
    <w:rsid w:val="00F90528"/>
    <w:rsid w:val="00F90EFE"/>
    <w:rsid w:val="00F91C9C"/>
    <w:rsid w:val="00F92DA6"/>
    <w:rsid w:val="00F92E0A"/>
    <w:rsid w:val="00F93217"/>
    <w:rsid w:val="00F9347A"/>
    <w:rsid w:val="00F93740"/>
    <w:rsid w:val="00F93999"/>
    <w:rsid w:val="00F942FC"/>
    <w:rsid w:val="00F9488B"/>
    <w:rsid w:val="00F94F7B"/>
    <w:rsid w:val="00F95316"/>
    <w:rsid w:val="00F95580"/>
    <w:rsid w:val="00F95BEB"/>
    <w:rsid w:val="00F95FEF"/>
    <w:rsid w:val="00F9675B"/>
    <w:rsid w:val="00F96797"/>
    <w:rsid w:val="00F970FE"/>
    <w:rsid w:val="00F97138"/>
    <w:rsid w:val="00F9721C"/>
    <w:rsid w:val="00F97763"/>
    <w:rsid w:val="00F978A9"/>
    <w:rsid w:val="00FA0756"/>
    <w:rsid w:val="00FA0D28"/>
    <w:rsid w:val="00FA0D5B"/>
    <w:rsid w:val="00FA1064"/>
    <w:rsid w:val="00FA10A0"/>
    <w:rsid w:val="00FA1173"/>
    <w:rsid w:val="00FA1754"/>
    <w:rsid w:val="00FA1ABE"/>
    <w:rsid w:val="00FA219B"/>
    <w:rsid w:val="00FA26BB"/>
    <w:rsid w:val="00FA292F"/>
    <w:rsid w:val="00FA2C01"/>
    <w:rsid w:val="00FA2C19"/>
    <w:rsid w:val="00FA2C79"/>
    <w:rsid w:val="00FA2E01"/>
    <w:rsid w:val="00FA303E"/>
    <w:rsid w:val="00FA34D3"/>
    <w:rsid w:val="00FA3895"/>
    <w:rsid w:val="00FA38ED"/>
    <w:rsid w:val="00FA4360"/>
    <w:rsid w:val="00FA478C"/>
    <w:rsid w:val="00FA4B07"/>
    <w:rsid w:val="00FA4B3E"/>
    <w:rsid w:val="00FA50D6"/>
    <w:rsid w:val="00FA52C4"/>
    <w:rsid w:val="00FA535A"/>
    <w:rsid w:val="00FA5F72"/>
    <w:rsid w:val="00FA621F"/>
    <w:rsid w:val="00FA6C3F"/>
    <w:rsid w:val="00FA6C4F"/>
    <w:rsid w:val="00FA733A"/>
    <w:rsid w:val="00FA7567"/>
    <w:rsid w:val="00FA7DA1"/>
    <w:rsid w:val="00FB07DF"/>
    <w:rsid w:val="00FB08CB"/>
    <w:rsid w:val="00FB09CA"/>
    <w:rsid w:val="00FB0A2D"/>
    <w:rsid w:val="00FB0A75"/>
    <w:rsid w:val="00FB0B03"/>
    <w:rsid w:val="00FB10A9"/>
    <w:rsid w:val="00FB1108"/>
    <w:rsid w:val="00FB1388"/>
    <w:rsid w:val="00FB14BC"/>
    <w:rsid w:val="00FB150B"/>
    <w:rsid w:val="00FB1545"/>
    <w:rsid w:val="00FB1634"/>
    <w:rsid w:val="00FB18A9"/>
    <w:rsid w:val="00FB1B6E"/>
    <w:rsid w:val="00FB1D68"/>
    <w:rsid w:val="00FB1F43"/>
    <w:rsid w:val="00FB20AC"/>
    <w:rsid w:val="00FB20AF"/>
    <w:rsid w:val="00FB282B"/>
    <w:rsid w:val="00FB297C"/>
    <w:rsid w:val="00FB3FB1"/>
    <w:rsid w:val="00FB441D"/>
    <w:rsid w:val="00FB4591"/>
    <w:rsid w:val="00FB48BD"/>
    <w:rsid w:val="00FB497A"/>
    <w:rsid w:val="00FB4E88"/>
    <w:rsid w:val="00FB543A"/>
    <w:rsid w:val="00FB5868"/>
    <w:rsid w:val="00FB5A6D"/>
    <w:rsid w:val="00FB622A"/>
    <w:rsid w:val="00FB65C2"/>
    <w:rsid w:val="00FB67A5"/>
    <w:rsid w:val="00FB684D"/>
    <w:rsid w:val="00FB6943"/>
    <w:rsid w:val="00FB6F1A"/>
    <w:rsid w:val="00FB6F63"/>
    <w:rsid w:val="00FB7224"/>
    <w:rsid w:val="00FB7767"/>
    <w:rsid w:val="00FB7E05"/>
    <w:rsid w:val="00FC0284"/>
    <w:rsid w:val="00FC06E1"/>
    <w:rsid w:val="00FC0750"/>
    <w:rsid w:val="00FC08C8"/>
    <w:rsid w:val="00FC0EF1"/>
    <w:rsid w:val="00FC1015"/>
    <w:rsid w:val="00FC1705"/>
    <w:rsid w:val="00FC1C13"/>
    <w:rsid w:val="00FC1C73"/>
    <w:rsid w:val="00FC20B1"/>
    <w:rsid w:val="00FC2175"/>
    <w:rsid w:val="00FC2A5D"/>
    <w:rsid w:val="00FC2FF0"/>
    <w:rsid w:val="00FC31C2"/>
    <w:rsid w:val="00FC31E9"/>
    <w:rsid w:val="00FC3502"/>
    <w:rsid w:val="00FC3866"/>
    <w:rsid w:val="00FC3C6D"/>
    <w:rsid w:val="00FC3E70"/>
    <w:rsid w:val="00FC3FED"/>
    <w:rsid w:val="00FC4482"/>
    <w:rsid w:val="00FC46B2"/>
    <w:rsid w:val="00FC4C5D"/>
    <w:rsid w:val="00FC53BE"/>
    <w:rsid w:val="00FC53DD"/>
    <w:rsid w:val="00FC5586"/>
    <w:rsid w:val="00FC59E1"/>
    <w:rsid w:val="00FC6171"/>
    <w:rsid w:val="00FC6845"/>
    <w:rsid w:val="00FC71C0"/>
    <w:rsid w:val="00FC7FA1"/>
    <w:rsid w:val="00FD053C"/>
    <w:rsid w:val="00FD062F"/>
    <w:rsid w:val="00FD0728"/>
    <w:rsid w:val="00FD087C"/>
    <w:rsid w:val="00FD0C6A"/>
    <w:rsid w:val="00FD0D30"/>
    <w:rsid w:val="00FD0EDA"/>
    <w:rsid w:val="00FD1773"/>
    <w:rsid w:val="00FD27DA"/>
    <w:rsid w:val="00FD2BFA"/>
    <w:rsid w:val="00FD32AE"/>
    <w:rsid w:val="00FD3A3B"/>
    <w:rsid w:val="00FD4165"/>
    <w:rsid w:val="00FD4549"/>
    <w:rsid w:val="00FD46E7"/>
    <w:rsid w:val="00FD4A52"/>
    <w:rsid w:val="00FD4BB9"/>
    <w:rsid w:val="00FD4BCF"/>
    <w:rsid w:val="00FD4BF3"/>
    <w:rsid w:val="00FD5073"/>
    <w:rsid w:val="00FD5897"/>
    <w:rsid w:val="00FD674C"/>
    <w:rsid w:val="00FD699E"/>
    <w:rsid w:val="00FD6DD0"/>
    <w:rsid w:val="00FD73F9"/>
    <w:rsid w:val="00FD7BC8"/>
    <w:rsid w:val="00FD7F58"/>
    <w:rsid w:val="00FD7F7A"/>
    <w:rsid w:val="00FE024D"/>
    <w:rsid w:val="00FE04B1"/>
    <w:rsid w:val="00FE0955"/>
    <w:rsid w:val="00FE0A2C"/>
    <w:rsid w:val="00FE0C64"/>
    <w:rsid w:val="00FE0D60"/>
    <w:rsid w:val="00FE1411"/>
    <w:rsid w:val="00FE18ED"/>
    <w:rsid w:val="00FE1921"/>
    <w:rsid w:val="00FE1A88"/>
    <w:rsid w:val="00FE1E2A"/>
    <w:rsid w:val="00FE2910"/>
    <w:rsid w:val="00FE29D4"/>
    <w:rsid w:val="00FE2FDF"/>
    <w:rsid w:val="00FE44B6"/>
    <w:rsid w:val="00FE4EFA"/>
    <w:rsid w:val="00FE5114"/>
    <w:rsid w:val="00FE526B"/>
    <w:rsid w:val="00FE52F7"/>
    <w:rsid w:val="00FE5A2F"/>
    <w:rsid w:val="00FE5BC4"/>
    <w:rsid w:val="00FE5EE5"/>
    <w:rsid w:val="00FE607D"/>
    <w:rsid w:val="00FE6466"/>
    <w:rsid w:val="00FE677E"/>
    <w:rsid w:val="00FE6AAA"/>
    <w:rsid w:val="00FE6BC9"/>
    <w:rsid w:val="00FE6E57"/>
    <w:rsid w:val="00FE6F70"/>
    <w:rsid w:val="00FE783E"/>
    <w:rsid w:val="00FE7C34"/>
    <w:rsid w:val="00FE7E7F"/>
    <w:rsid w:val="00FF06BD"/>
    <w:rsid w:val="00FF0A9F"/>
    <w:rsid w:val="00FF0B54"/>
    <w:rsid w:val="00FF26DA"/>
    <w:rsid w:val="00FF2FF7"/>
    <w:rsid w:val="00FF37F4"/>
    <w:rsid w:val="00FF405D"/>
    <w:rsid w:val="00FF477A"/>
    <w:rsid w:val="00FF4E79"/>
    <w:rsid w:val="00FF59AA"/>
    <w:rsid w:val="00FF6855"/>
    <w:rsid w:val="00FF69C5"/>
    <w:rsid w:val="00FF7500"/>
    <w:rsid w:val="00FF7A37"/>
    <w:rsid w:val="00FF7C52"/>
    <w:rsid w:val="0160390F"/>
    <w:rsid w:val="02378D33"/>
    <w:rsid w:val="02CCAE0E"/>
    <w:rsid w:val="02D468C3"/>
    <w:rsid w:val="0304D66F"/>
    <w:rsid w:val="034EF4C4"/>
    <w:rsid w:val="0394291C"/>
    <w:rsid w:val="03C3E12B"/>
    <w:rsid w:val="0583AF3E"/>
    <w:rsid w:val="06C0325E"/>
    <w:rsid w:val="06E44736"/>
    <w:rsid w:val="07C9F680"/>
    <w:rsid w:val="07D08245"/>
    <w:rsid w:val="083DEDC7"/>
    <w:rsid w:val="0886167C"/>
    <w:rsid w:val="08D1786D"/>
    <w:rsid w:val="09EAB0FE"/>
    <w:rsid w:val="0A10F423"/>
    <w:rsid w:val="0A4E632E"/>
    <w:rsid w:val="0CB6519C"/>
    <w:rsid w:val="0CBCFB86"/>
    <w:rsid w:val="0E9DE21A"/>
    <w:rsid w:val="0EF50567"/>
    <w:rsid w:val="1067401B"/>
    <w:rsid w:val="11EB969D"/>
    <w:rsid w:val="12130479"/>
    <w:rsid w:val="122A01C7"/>
    <w:rsid w:val="14A4ECB8"/>
    <w:rsid w:val="14BA11AC"/>
    <w:rsid w:val="1500A38C"/>
    <w:rsid w:val="15C40EFE"/>
    <w:rsid w:val="166AB013"/>
    <w:rsid w:val="171FC15A"/>
    <w:rsid w:val="18761800"/>
    <w:rsid w:val="18B3E458"/>
    <w:rsid w:val="1972D9C8"/>
    <w:rsid w:val="19DC0CCD"/>
    <w:rsid w:val="1D1647DD"/>
    <w:rsid w:val="1D3CAF02"/>
    <w:rsid w:val="1D3F98C7"/>
    <w:rsid w:val="1DB94B2B"/>
    <w:rsid w:val="1E6A750F"/>
    <w:rsid w:val="1EE40DEE"/>
    <w:rsid w:val="1F3311DF"/>
    <w:rsid w:val="1F5144FC"/>
    <w:rsid w:val="20E8ACAD"/>
    <w:rsid w:val="226EAEB0"/>
    <w:rsid w:val="23346C6F"/>
    <w:rsid w:val="23613720"/>
    <w:rsid w:val="23B0C970"/>
    <w:rsid w:val="24780739"/>
    <w:rsid w:val="253AD4D4"/>
    <w:rsid w:val="25936AD9"/>
    <w:rsid w:val="25FF1B86"/>
    <w:rsid w:val="271BAE16"/>
    <w:rsid w:val="271FE4F0"/>
    <w:rsid w:val="272BF766"/>
    <w:rsid w:val="2777A158"/>
    <w:rsid w:val="287BFD12"/>
    <w:rsid w:val="29BF0BF7"/>
    <w:rsid w:val="2B6E0F6D"/>
    <w:rsid w:val="2C1220CC"/>
    <w:rsid w:val="2C508BF6"/>
    <w:rsid w:val="2C98B7AB"/>
    <w:rsid w:val="2DAED1A1"/>
    <w:rsid w:val="2DB104AA"/>
    <w:rsid w:val="2DC6FCE4"/>
    <w:rsid w:val="2E65456D"/>
    <w:rsid w:val="2EE03575"/>
    <w:rsid w:val="2EF2C67A"/>
    <w:rsid w:val="2F3329E2"/>
    <w:rsid w:val="2FE356AC"/>
    <w:rsid w:val="3105C0E3"/>
    <w:rsid w:val="31767BCC"/>
    <w:rsid w:val="32465CB8"/>
    <w:rsid w:val="32EFE911"/>
    <w:rsid w:val="348C6596"/>
    <w:rsid w:val="34D225D3"/>
    <w:rsid w:val="350B9D08"/>
    <w:rsid w:val="3624A927"/>
    <w:rsid w:val="38007849"/>
    <w:rsid w:val="38544D2A"/>
    <w:rsid w:val="38B3FF12"/>
    <w:rsid w:val="39348AF3"/>
    <w:rsid w:val="3953D973"/>
    <w:rsid w:val="39DC9861"/>
    <w:rsid w:val="3A15D092"/>
    <w:rsid w:val="3A50B7E1"/>
    <w:rsid w:val="3B041671"/>
    <w:rsid w:val="3B9B328A"/>
    <w:rsid w:val="3D99396B"/>
    <w:rsid w:val="3DBFCA6C"/>
    <w:rsid w:val="3EDF8EC2"/>
    <w:rsid w:val="40229214"/>
    <w:rsid w:val="414D110F"/>
    <w:rsid w:val="4284B7AC"/>
    <w:rsid w:val="431CD758"/>
    <w:rsid w:val="45B7FBF1"/>
    <w:rsid w:val="462B76A7"/>
    <w:rsid w:val="48C2D861"/>
    <w:rsid w:val="49ABAED9"/>
    <w:rsid w:val="49D33ADA"/>
    <w:rsid w:val="4A9C929F"/>
    <w:rsid w:val="4AE0E683"/>
    <w:rsid w:val="4B4BA287"/>
    <w:rsid w:val="4B7A16FA"/>
    <w:rsid w:val="4C4D29AC"/>
    <w:rsid w:val="4E6615C4"/>
    <w:rsid w:val="4F01CDF7"/>
    <w:rsid w:val="4F11F684"/>
    <w:rsid w:val="4F17E34D"/>
    <w:rsid w:val="4F2A428A"/>
    <w:rsid w:val="4F66300C"/>
    <w:rsid w:val="4FE47D51"/>
    <w:rsid w:val="4FECC3EB"/>
    <w:rsid w:val="4FEFB848"/>
    <w:rsid w:val="501206B8"/>
    <w:rsid w:val="5282D017"/>
    <w:rsid w:val="5400118D"/>
    <w:rsid w:val="5448825F"/>
    <w:rsid w:val="55067912"/>
    <w:rsid w:val="554314DF"/>
    <w:rsid w:val="558D0CF1"/>
    <w:rsid w:val="5784D69C"/>
    <w:rsid w:val="57E29EEA"/>
    <w:rsid w:val="59CB0449"/>
    <w:rsid w:val="5A5823ED"/>
    <w:rsid w:val="5AAD46A7"/>
    <w:rsid w:val="5ACE810E"/>
    <w:rsid w:val="5ADE9709"/>
    <w:rsid w:val="5BCFACA5"/>
    <w:rsid w:val="5EBBEB92"/>
    <w:rsid w:val="5FABF739"/>
    <w:rsid w:val="6041CDB1"/>
    <w:rsid w:val="60777674"/>
    <w:rsid w:val="6090822B"/>
    <w:rsid w:val="60DAB965"/>
    <w:rsid w:val="6132534B"/>
    <w:rsid w:val="61CDEB3F"/>
    <w:rsid w:val="6202A376"/>
    <w:rsid w:val="63A8B3AA"/>
    <w:rsid w:val="63E66AB6"/>
    <w:rsid w:val="64663567"/>
    <w:rsid w:val="6479413E"/>
    <w:rsid w:val="64D035F3"/>
    <w:rsid w:val="664177A9"/>
    <w:rsid w:val="667389FF"/>
    <w:rsid w:val="668A91E5"/>
    <w:rsid w:val="67DC5F78"/>
    <w:rsid w:val="68073B04"/>
    <w:rsid w:val="680C3332"/>
    <w:rsid w:val="69B12347"/>
    <w:rsid w:val="6A73B9D8"/>
    <w:rsid w:val="6ADBE36C"/>
    <w:rsid w:val="6B830967"/>
    <w:rsid w:val="6BFF0364"/>
    <w:rsid w:val="6C9E9EDD"/>
    <w:rsid w:val="6D055002"/>
    <w:rsid w:val="6D774135"/>
    <w:rsid w:val="6DA454E2"/>
    <w:rsid w:val="6DBA2340"/>
    <w:rsid w:val="6EE21805"/>
    <w:rsid w:val="6F449B45"/>
    <w:rsid w:val="6FAE1DA5"/>
    <w:rsid w:val="7069C3CA"/>
    <w:rsid w:val="70A1ADC7"/>
    <w:rsid w:val="715EFB10"/>
    <w:rsid w:val="72516FF3"/>
    <w:rsid w:val="731D2F97"/>
    <w:rsid w:val="7330E46E"/>
    <w:rsid w:val="73C058FD"/>
    <w:rsid w:val="73F1AC9D"/>
    <w:rsid w:val="74C06931"/>
    <w:rsid w:val="76CC47D3"/>
    <w:rsid w:val="77250036"/>
    <w:rsid w:val="77522794"/>
    <w:rsid w:val="7795B22A"/>
    <w:rsid w:val="788F5778"/>
    <w:rsid w:val="78D2D4BC"/>
    <w:rsid w:val="7930866C"/>
    <w:rsid w:val="79DF8D3B"/>
    <w:rsid w:val="7B187B91"/>
    <w:rsid w:val="7B233398"/>
    <w:rsid w:val="7B26E949"/>
    <w:rsid w:val="7C4EECDF"/>
    <w:rsid w:val="7DE2FF4D"/>
    <w:rsid w:val="7E41669A"/>
    <w:rsid w:val="7EB41267"/>
    <w:rsid w:val="7F908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width-relative:margin;mso-height-relative:margin" fillcolor="white">
      <v:fill color="white"/>
    </o:shapedefaults>
    <o:shapelayout v:ext="edit">
      <o:idmap v:ext="edit" data="1"/>
    </o:shapelayout>
  </w:shapeDefaults>
  <w:decimalSymbol w:val="."/>
  <w:listSeparator w:val=","/>
  <w14:docId w14:val="6A21E7F1"/>
  <w15:docId w15:val="{EB2E5472-DA20-4F96-808C-D2CF959B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0BA"/>
    <w:rPr>
      <w:rFonts w:ascii="Arial" w:hAnsi="Arial"/>
      <w:sz w:val="24"/>
      <w:lang w:val="hr-BA"/>
    </w:rPr>
  </w:style>
  <w:style w:type="paragraph" w:styleId="Heading1">
    <w:name w:val="heading 1"/>
    <w:basedOn w:val="Normal"/>
    <w:next w:val="Normal"/>
    <w:link w:val="Heading1Char"/>
    <w:qFormat/>
    <w:rsid w:val="00DC4056"/>
    <w:pPr>
      <w:tabs>
        <w:tab w:val="left" w:pos="284"/>
        <w:tab w:val="left" w:pos="567"/>
        <w:tab w:val="left" w:pos="709"/>
      </w:tabs>
      <w:spacing w:after="200" w:line="276" w:lineRule="auto"/>
      <w:jc w:val="both"/>
      <w:outlineLvl w:val="0"/>
    </w:pPr>
    <w:rPr>
      <w:rFonts w:eastAsia="Calibri" w:cs="Arial"/>
      <w:b/>
      <w:sz w:val="28"/>
      <w:szCs w:val="28"/>
    </w:rPr>
  </w:style>
  <w:style w:type="paragraph" w:styleId="Heading2">
    <w:name w:val="heading 2"/>
    <w:basedOn w:val="Normal"/>
    <w:next w:val="Normal"/>
    <w:link w:val="Heading2Char"/>
    <w:qFormat/>
    <w:rsid w:val="00DC4056"/>
    <w:pPr>
      <w:numPr>
        <w:numId w:val="22"/>
      </w:numPr>
      <w:tabs>
        <w:tab w:val="left" w:pos="284"/>
        <w:tab w:val="left" w:pos="709"/>
      </w:tabs>
      <w:spacing w:after="200" w:line="276" w:lineRule="auto"/>
      <w:jc w:val="both"/>
      <w:outlineLvl w:val="1"/>
    </w:pPr>
    <w:rPr>
      <w:rFonts w:eastAsia="Calibri" w:cs="Arial"/>
      <w:b/>
      <w:szCs w:val="24"/>
    </w:rPr>
  </w:style>
  <w:style w:type="paragraph" w:styleId="Heading3">
    <w:name w:val="heading 3"/>
    <w:basedOn w:val="Normal"/>
    <w:next w:val="Normal"/>
    <w:link w:val="Heading3Char"/>
    <w:qFormat/>
    <w:rsid w:val="00DC4056"/>
    <w:pPr>
      <w:numPr>
        <w:ilvl w:val="1"/>
        <w:numId w:val="22"/>
      </w:numPr>
      <w:tabs>
        <w:tab w:val="left" w:pos="284"/>
        <w:tab w:val="left" w:pos="567"/>
        <w:tab w:val="left" w:pos="709"/>
      </w:tabs>
      <w:spacing w:after="200" w:line="276" w:lineRule="auto"/>
      <w:jc w:val="both"/>
      <w:outlineLvl w:val="2"/>
    </w:pPr>
    <w:rPr>
      <w:rFonts w:eastAsia="Calibri" w:cs="Arial"/>
      <w:b/>
      <w:szCs w:val="24"/>
    </w:rPr>
  </w:style>
  <w:style w:type="paragraph" w:styleId="Heading4">
    <w:name w:val="heading 4"/>
    <w:basedOn w:val="Normal"/>
    <w:next w:val="Normal"/>
    <w:link w:val="Heading4Char"/>
    <w:qFormat/>
    <w:rsid w:val="00DC4056"/>
    <w:pPr>
      <w:numPr>
        <w:ilvl w:val="2"/>
        <w:numId w:val="22"/>
      </w:numPr>
      <w:tabs>
        <w:tab w:val="left" w:pos="284"/>
        <w:tab w:val="left" w:pos="630"/>
        <w:tab w:val="left" w:pos="900"/>
      </w:tabs>
      <w:spacing w:after="200" w:line="276" w:lineRule="auto"/>
      <w:ind w:left="1620"/>
      <w:jc w:val="both"/>
      <w:outlineLvl w:val="3"/>
    </w:pPr>
    <w:rPr>
      <w:rFonts w:eastAsia="Calibri" w:cs="Arial"/>
      <w:b/>
      <w:szCs w:val="24"/>
    </w:rPr>
  </w:style>
  <w:style w:type="paragraph" w:styleId="Heading5">
    <w:name w:val="heading 5"/>
    <w:basedOn w:val="Normal"/>
    <w:next w:val="Normal"/>
    <w:link w:val="Heading5Char"/>
    <w:qFormat/>
    <w:rsid w:val="007E10BA"/>
    <w:pPr>
      <w:keepNext/>
      <w:jc w:val="both"/>
      <w:outlineLvl w:val="4"/>
    </w:pPr>
    <w:rPr>
      <w:b/>
      <w:bCs/>
      <w:i/>
      <w:iCs/>
    </w:rPr>
  </w:style>
  <w:style w:type="paragraph" w:styleId="Heading6">
    <w:name w:val="heading 6"/>
    <w:basedOn w:val="Normal"/>
    <w:next w:val="Normal"/>
    <w:link w:val="Heading6Char"/>
    <w:qFormat/>
    <w:rsid w:val="007E10BA"/>
    <w:pPr>
      <w:keepNext/>
      <w:ind w:left="567" w:right="567"/>
      <w:outlineLvl w:val="5"/>
    </w:pPr>
    <w:rPr>
      <w:b/>
      <w:bCs/>
    </w:rPr>
  </w:style>
  <w:style w:type="paragraph" w:styleId="Heading7">
    <w:name w:val="heading 7"/>
    <w:basedOn w:val="Normal"/>
    <w:next w:val="Normal"/>
    <w:link w:val="Heading7Char"/>
    <w:qFormat/>
    <w:rsid w:val="007E10BA"/>
    <w:pPr>
      <w:keepNext/>
      <w:jc w:val="center"/>
      <w:outlineLvl w:val="6"/>
    </w:pPr>
    <w:rPr>
      <w:b/>
      <w:bCs/>
      <w:sz w:val="28"/>
      <w:lang w:val="hr-HR"/>
    </w:rPr>
  </w:style>
  <w:style w:type="paragraph" w:styleId="Heading8">
    <w:name w:val="heading 8"/>
    <w:basedOn w:val="Normal"/>
    <w:next w:val="Normal"/>
    <w:link w:val="Heading8Char"/>
    <w:qFormat/>
    <w:rsid w:val="007E10BA"/>
    <w:pPr>
      <w:keepNext/>
      <w:jc w:val="center"/>
      <w:outlineLvl w:val="7"/>
    </w:pPr>
    <w:rPr>
      <w:b/>
      <w:bCs/>
      <w:i/>
      <w:iCs/>
      <w:sz w:val="28"/>
    </w:rPr>
  </w:style>
  <w:style w:type="paragraph" w:styleId="Heading9">
    <w:name w:val="heading 9"/>
    <w:basedOn w:val="Normal"/>
    <w:next w:val="Normal"/>
    <w:link w:val="Heading9Char"/>
    <w:qFormat/>
    <w:rsid w:val="007E10BA"/>
    <w:pPr>
      <w:keepNext/>
      <w:jc w:val="center"/>
      <w:outlineLvl w:val="8"/>
    </w:pPr>
    <w:rPr>
      <w:b/>
      <w:bCs/>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10BA"/>
    <w:pPr>
      <w:tabs>
        <w:tab w:val="center" w:pos="4153"/>
        <w:tab w:val="right" w:pos="8306"/>
      </w:tabs>
    </w:pPr>
  </w:style>
  <w:style w:type="paragraph" w:styleId="Footer">
    <w:name w:val="footer"/>
    <w:basedOn w:val="Normal"/>
    <w:link w:val="FooterChar"/>
    <w:uiPriority w:val="99"/>
    <w:rsid w:val="007E10BA"/>
    <w:pPr>
      <w:tabs>
        <w:tab w:val="center" w:pos="4153"/>
        <w:tab w:val="right" w:pos="8306"/>
      </w:tabs>
    </w:pPr>
  </w:style>
  <w:style w:type="character" w:styleId="PageNumber">
    <w:name w:val="page number"/>
    <w:basedOn w:val="DefaultParagraphFont"/>
    <w:rsid w:val="007E10BA"/>
  </w:style>
  <w:style w:type="paragraph" w:styleId="BodyText">
    <w:name w:val="Body Text"/>
    <w:aliases w:val="  uvlaka 2, uvlaka 3,uvlaka 2,uvlaka 3"/>
    <w:basedOn w:val="Normal"/>
    <w:link w:val="BodyTextChar"/>
    <w:rsid w:val="007E10BA"/>
    <w:pPr>
      <w:jc w:val="both"/>
    </w:pPr>
  </w:style>
  <w:style w:type="paragraph" w:styleId="BodyTextIndent">
    <w:name w:val="Body Text Indent"/>
    <w:basedOn w:val="Normal"/>
    <w:link w:val="BodyTextIndentChar"/>
    <w:rsid w:val="007E10BA"/>
    <w:pPr>
      <w:ind w:firstLine="255"/>
      <w:jc w:val="both"/>
    </w:pPr>
    <w:rPr>
      <w:lang w:val="hr-HR"/>
    </w:rPr>
  </w:style>
  <w:style w:type="paragraph" w:styleId="BodyText3">
    <w:name w:val="Body Text 3"/>
    <w:basedOn w:val="Normal"/>
    <w:link w:val="BodyText3Char"/>
    <w:rsid w:val="007E10BA"/>
    <w:pPr>
      <w:jc w:val="both"/>
    </w:pPr>
    <w:rPr>
      <w:i/>
      <w:iCs/>
      <w:lang w:val="hr-HR"/>
    </w:rPr>
  </w:style>
  <w:style w:type="paragraph" w:styleId="BodyText2">
    <w:name w:val="Body Text 2"/>
    <w:basedOn w:val="Normal"/>
    <w:link w:val="BodyText2Char"/>
    <w:rsid w:val="007E10BA"/>
    <w:rPr>
      <w:rFonts w:ascii="Times New Roman" w:hAnsi="Times New Roman"/>
      <w:b/>
      <w:bCs/>
      <w:i/>
      <w:iCs/>
      <w:szCs w:val="24"/>
      <w:lang w:val="en-US"/>
    </w:rPr>
  </w:style>
  <w:style w:type="paragraph" w:styleId="BlockText">
    <w:name w:val="Block Text"/>
    <w:basedOn w:val="Normal"/>
    <w:rsid w:val="007E10BA"/>
    <w:pPr>
      <w:ind w:left="567" w:right="283"/>
      <w:jc w:val="both"/>
    </w:pPr>
    <w:rPr>
      <w:rFonts w:ascii="Times New Roman" w:hAnsi="Times New Roman"/>
      <w:lang w:val="hr-HR"/>
    </w:rPr>
  </w:style>
  <w:style w:type="paragraph" w:styleId="Title">
    <w:name w:val="Title"/>
    <w:basedOn w:val="Normal"/>
    <w:link w:val="TitleChar"/>
    <w:qFormat/>
    <w:rsid w:val="007E10BA"/>
    <w:pPr>
      <w:jc w:val="center"/>
    </w:pPr>
    <w:rPr>
      <w:lang w:val="hr-HR"/>
    </w:rPr>
  </w:style>
  <w:style w:type="paragraph" w:styleId="Subtitle">
    <w:name w:val="Subtitle"/>
    <w:basedOn w:val="Normal"/>
    <w:link w:val="SubtitleChar"/>
    <w:qFormat/>
    <w:rsid w:val="007E10BA"/>
    <w:pPr>
      <w:jc w:val="center"/>
    </w:pPr>
    <w:rPr>
      <w:b/>
      <w:lang w:val="hr-HR"/>
    </w:rPr>
  </w:style>
  <w:style w:type="paragraph" w:styleId="BodyTextIndent2">
    <w:name w:val="Body Text Indent 2"/>
    <w:basedOn w:val="Normal"/>
    <w:link w:val="BodyTextIndent2Char"/>
    <w:rsid w:val="007E10BA"/>
    <w:pPr>
      <w:ind w:firstLine="720"/>
      <w:jc w:val="both"/>
    </w:pPr>
    <w:rPr>
      <w:lang w:val="hr-HR"/>
    </w:rPr>
  </w:style>
  <w:style w:type="character" w:styleId="Hyperlink">
    <w:name w:val="Hyperlink"/>
    <w:uiPriority w:val="99"/>
    <w:rsid w:val="007E10BA"/>
    <w:rPr>
      <w:color w:val="0000FF"/>
      <w:u w:val="single"/>
    </w:rPr>
  </w:style>
  <w:style w:type="paragraph" w:customStyle="1" w:styleId="Achievement">
    <w:name w:val="Achievement"/>
    <w:basedOn w:val="BodyText"/>
    <w:rsid w:val="008D3C67"/>
    <w:pPr>
      <w:spacing w:after="60" w:line="220" w:lineRule="atLeast"/>
      <w:ind w:left="240" w:hanging="240"/>
    </w:pPr>
    <w:rPr>
      <w:spacing w:val="-5"/>
      <w:sz w:val="20"/>
      <w:lang w:val="en-US"/>
    </w:rPr>
  </w:style>
  <w:style w:type="paragraph" w:styleId="BalloonText">
    <w:name w:val="Balloon Text"/>
    <w:basedOn w:val="Normal"/>
    <w:link w:val="BalloonTextChar"/>
    <w:semiHidden/>
    <w:rsid w:val="002E7B16"/>
    <w:rPr>
      <w:rFonts w:ascii="Tahoma" w:hAnsi="Tahoma" w:cs="Tahoma"/>
      <w:sz w:val="16"/>
      <w:szCs w:val="16"/>
    </w:rPr>
  </w:style>
  <w:style w:type="paragraph" w:customStyle="1" w:styleId="Memoheading">
    <w:name w:val="Memo heading"/>
    <w:rsid w:val="007B087D"/>
    <w:rPr>
      <w:noProof/>
    </w:rPr>
  </w:style>
  <w:style w:type="table" w:styleId="TableGrid">
    <w:name w:val="Table Grid"/>
    <w:basedOn w:val="TableNormal"/>
    <w:uiPriority w:val="59"/>
    <w:rsid w:val="00B27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17DF4"/>
    <w:pPr>
      <w:spacing w:before="100" w:beforeAutospacing="1" w:after="100" w:afterAutospacing="1"/>
    </w:pPr>
    <w:rPr>
      <w:rFonts w:ascii="Times New Roman" w:hAnsi="Times New Roman"/>
      <w:szCs w:val="24"/>
      <w:lang w:val="en-US"/>
    </w:rPr>
  </w:style>
  <w:style w:type="paragraph" w:customStyle="1" w:styleId="Aktivnosti">
    <w:name w:val="Aktivnosti"/>
    <w:basedOn w:val="CommentSubject"/>
    <w:rsid w:val="001F79A0"/>
    <w:pPr>
      <w:numPr>
        <w:numId w:val="1"/>
      </w:numPr>
      <w:tabs>
        <w:tab w:val="num" w:pos="720"/>
      </w:tabs>
      <w:spacing w:before="120" w:after="120"/>
      <w:ind w:left="720"/>
    </w:pPr>
    <w:rPr>
      <w:sz w:val="24"/>
      <w:szCs w:val="24"/>
      <w:lang w:val="en-US"/>
    </w:rPr>
  </w:style>
  <w:style w:type="paragraph" w:styleId="CommentText">
    <w:name w:val="annotation text"/>
    <w:basedOn w:val="Normal"/>
    <w:link w:val="CommentTextChar"/>
    <w:uiPriority w:val="99"/>
    <w:rsid w:val="001F79A0"/>
    <w:rPr>
      <w:sz w:val="20"/>
    </w:rPr>
  </w:style>
  <w:style w:type="paragraph" w:styleId="CommentSubject">
    <w:name w:val="annotation subject"/>
    <w:basedOn w:val="CommentText"/>
    <w:next w:val="CommentText"/>
    <w:link w:val="CommentSubjectChar"/>
    <w:semiHidden/>
    <w:rsid w:val="001F79A0"/>
    <w:rPr>
      <w:b/>
      <w:bCs/>
    </w:rPr>
  </w:style>
  <w:style w:type="paragraph" w:styleId="DocumentMap">
    <w:name w:val="Document Map"/>
    <w:basedOn w:val="Normal"/>
    <w:link w:val="DocumentMapChar"/>
    <w:semiHidden/>
    <w:rsid w:val="0085415A"/>
    <w:pPr>
      <w:shd w:val="clear" w:color="auto" w:fill="000080"/>
    </w:pPr>
    <w:rPr>
      <w:rFonts w:ascii="Tahoma" w:hAnsi="Tahoma" w:cs="Tahoma"/>
      <w:sz w:val="20"/>
    </w:rPr>
  </w:style>
  <w:style w:type="paragraph" w:styleId="ListParagraph">
    <w:name w:val="List Paragraph"/>
    <w:aliases w:val="Bullet point,Table of contents numbered,Colorful List - Accent 11,List Paragraph2,Akapit z listą BS,Bullet1,List Paragraph in table,PROVERE 1,Bullet Points,Liste Paragraf,List Paragraph1,PDP DOCUMENT SUBTITLE,body 2,cS List Paragraph,列出段落"/>
    <w:basedOn w:val="Normal"/>
    <w:link w:val="ListParagraphChar"/>
    <w:uiPriority w:val="34"/>
    <w:qFormat/>
    <w:rsid w:val="006F3C06"/>
    <w:pPr>
      <w:ind w:left="708"/>
    </w:pPr>
  </w:style>
  <w:style w:type="character" w:customStyle="1" w:styleId="FooterChar">
    <w:name w:val="Footer Char"/>
    <w:link w:val="Footer"/>
    <w:uiPriority w:val="99"/>
    <w:rsid w:val="00AD2788"/>
    <w:rPr>
      <w:rFonts w:ascii="Arial" w:hAnsi="Arial"/>
      <w:sz w:val="24"/>
      <w:lang w:val="hr-BA" w:eastAsia="en-US"/>
    </w:rPr>
  </w:style>
  <w:style w:type="paragraph" w:styleId="TOCHeading">
    <w:name w:val="TOC Heading"/>
    <w:basedOn w:val="Heading1"/>
    <w:next w:val="Normal"/>
    <w:uiPriority w:val="39"/>
    <w:semiHidden/>
    <w:unhideWhenUsed/>
    <w:qFormat/>
    <w:rsid w:val="00A35C99"/>
    <w:pPr>
      <w:keepNext/>
      <w:keepLines/>
      <w:tabs>
        <w:tab w:val="clear" w:pos="284"/>
        <w:tab w:val="clear" w:pos="567"/>
        <w:tab w:val="clear" w:pos="709"/>
      </w:tabs>
      <w:spacing w:before="480" w:after="0"/>
      <w:jc w:val="left"/>
      <w:outlineLvl w:val="9"/>
    </w:pPr>
    <w:rPr>
      <w:rFonts w:ascii="Cambria" w:eastAsia="MS Gothic" w:hAnsi="Cambria" w:cs="Times New Roman"/>
      <w:bCs/>
      <w:color w:val="365F91"/>
      <w:lang w:val="en-US" w:eastAsia="ja-JP"/>
    </w:rPr>
  </w:style>
  <w:style w:type="paragraph" w:styleId="TOC1">
    <w:name w:val="toc 1"/>
    <w:basedOn w:val="Normal"/>
    <w:next w:val="Normal"/>
    <w:autoRedefine/>
    <w:uiPriority w:val="39"/>
    <w:rsid w:val="0042017A"/>
    <w:pPr>
      <w:tabs>
        <w:tab w:val="right" w:leader="dot" w:pos="9771"/>
      </w:tabs>
      <w:spacing w:line="276" w:lineRule="auto"/>
    </w:pPr>
    <w:rPr>
      <w:b/>
      <w:noProof/>
    </w:rPr>
  </w:style>
  <w:style w:type="character" w:customStyle="1" w:styleId="apple-style-span">
    <w:name w:val="apple-style-span"/>
    <w:rsid w:val="00A25672"/>
  </w:style>
  <w:style w:type="paragraph" w:styleId="NoSpacing">
    <w:name w:val="No Spacing"/>
    <w:link w:val="NoSpacingChar"/>
    <w:uiPriority w:val="1"/>
    <w:qFormat/>
    <w:rsid w:val="0054502F"/>
    <w:rPr>
      <w:rFonts w:ascii="Calibri" w:eastAsia="Calibri" w:hAnsi="Calibri"/>
      <w:sz w:val="22"/>
      <w:szCs w:val="22"/>
      <w:lang w:val="sr-Latn-BA"/>
    </w:rPr>
  </w:style>
  <w:style w:type="paragraph" w:customStyle="1" w:styleId="Podnaslov1">
    <w:name w:val="Podnaslov1"/>
    <w:basedOn w:val="Normal"/>
    <w:rsid w:val="00DB5B53"/>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hAnsi="Verdana"/>
      <w:b/>
      <w:szCs w:val="24"/>
      <w:lang w:val="en-US"/>
    </w:rPr>
  </w:style>
  <w:style w:type="paragraph" w:styleId="EndnoteText">
    <w:name w:val="endnote text"/>
    <w:basedOn w:val="Normal"/>
    <w:link w:val="EndnoteTextChar"/>
    <w:rsid w:val="002251D1"/>
    <w:rPr>
      <w:sz w:val="20"/>
      <w:lang w:val="en-GB" w:eastAsia="fr-FR"/>
    </w:rPr>
  </w:style>
  <w:style w:type="character" w:customStyle="1" w:styleId="EndnoteTextChar">
    <w:name w:val="Endnote Text Char"/>
    <w:link w:val="EndnoteText"/>
    <w:rsid w:val="002251D1"/>
    <w:rPr>
      <w:rFonts w:ascii="Arial" w:hAnsi="Arial"/>
      <w:lang w:val="en-GB" w:eastAsia="fr-FR"/>
    </w:rPr>
  </w:style>
  <w:style w:type="character" w:styleId="EndnoteReference">
    <w:name w:val="endnote reference"/>
    <w:rsid w:val="002251D1"/>
    <w:rPr>
      <w:vertAlign w:val="superscript"/>
    </w:rPr>
  </w:style>
  <w:style w:type="character" w:styleId="CommentReference">
    <w:name w:val="annotation reference"/>
    <w:uiPriority w:val="99"/>
    <w:rsid w:val="009153F6"/>
    <w:rPr>
      <w:sz w:val="16"/>
      <w:szCs w:val="16"/>
    </w:rPr>
  </w:style>
  <w:style w:type="paragraph" w:styleId="HTMLPreformatted">
    <w:name w:val="HTML Preformatted"/>
    <w:basedOn w:val="Normal"/>
    <w:link w:val="HTMLPreformattedChar"/>
    <w:uiPriority w:val="99"/>
    <w:unhideWhenUsed/>
    <w:rsid w:val="00EA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bs-Latn-BA" w:eastAsia="bs-Latn-BA"/>
    </w:rPr>
  </w:style>
  <w:style w:type="character" w:customStyle="1" w:styleId="HTMLPreformattedChar">
    <w:name w:val="HTML Preformatted Char"/>
    <w:link w:val="HTMLPreformatted"/>
    <w:uiPriority w:val="99"/>
    <w:rsid w:val="00EA1B79"/>
    <w:rPr>
      <w:rFonts w:ascii="Courier New" w:hAnsi="Courier New" w:cs="Courier New"/>
    </w:rPr>
  </w:style>
  <w:style w:type="paragraph" w:styleId="BodyTextIndent3">
    <w:name w:val="Body Text Indent 3"/>
    <w:basedOn w:val="Normal"/>
    <w:link w:val="BodyTextIndent3Char"/>
    <w:rsid w:val="007E2CB6"/>
    <w:pPr>
      <w:spacing w:after="120"/>
      <w:ind w:left="283"/>
    </w:pPr>
    <w:rPr>
      <w:rFonts w:ascii="Times New Roman" w:hAnsi="Times New Roman"/>
      <w:sz w:val="16"/>
      <w:szCs w:val="16"/>
      <w:lang w:val="en-GB"/>
    </w:rPr>
  </w:style>
  <w:style w:type="character" w:customStyle="1" w:styleId="BodyTextIndent3Char">
    <w:name w:val="Body Text Indent 3 Char"/>
    <w:link w:val="BodyTextIndent3"/>
    <w:rsid w:val="007E2CB6"/>
    <w:rPr>
      <w:sz w:val="16"/>
      <w:szCs w:val="16"/>
      <w:lang w:val="en-GB" w:eastAsia="en-US"/>
    </w:rPr>
  </w:style>
  <w:style w:type="paragraph" w:customStyle="1" w:styleId="Tekst">
    <w:name w:val="Tekst"/>
    <w:basedOn w:val="Normal"/>
    <w:link w:val="TekstChar"/>
    <w:rsid w:val="007E2CB6"/>
    <w:pPr>
      <w:spacing w:before="120"/>
      <w:jc w:val="both"/>
    </w:pPr>
    <w:rPr>
      <w:rFonts w:ascii="Calibri" w:hAnsi="Calibri"/>
      <w:sz w:val="22"/>
      <w:szCs w:val="24"/>
      <w:lang w:val="sr-Cyrl-CS"/>
    </w:rPr>
  </w:style>
  <w:style w:type="paragraph" w:customStyle="1" w:styleId="Nabrajanje">
    <w:name w:val="Nabrajanje"/>
    <w:basedOn w:val="Normal"/>
    <w:rsid w:val="007E2CB6"/>
    <w:pPr>
      <w:numPr>
        <w:numId w:val="3"/>
      </w:numPr>
      <w:spacing w:before="120"/>
      <w:jc w:val="both"/>
    </w:pPr>
    <w:rPr>
      <w:rFonts w:ascii="Calibri" w:hAnsi="Calibri"/>
      <w:sz w:val="22"/>
      <w:szCs w:val="24"/>
      <w:lang w:val="sr-Cyrl-CS"/>
    </w:rPr>
  </w:style>
  <w:style w:type="paragraph" w:styleId="TOC2">
    <w:name w:val="toc 2"/>
    <w:basedOn w:val="Normal"/>
    <w:next w:val="Normal"/>
    <w:autoRedefine/>
    <w:uiPriority w:val="39"/>
    <w:rsid w:val="00F9675B"/>
    <w:pPr>
      <w:tabs>
        <w:tab w:val="left" w:pos="720"/>
        <w:tab w:val="right" w:leader="dot" w:pos="9771"/>
      </w:tabs>
      <w:spacing w:line="276" w:lineRule="auto"/>
      <w:ind w:left="238"/>
    </w:pPr>
    <w:rPr>
      <w:rFonts w:cs="Arial"/>
      <w:b/>
      <w:noProof/>
      <w:szCs w:val="24"/>
      <w:lang w:val="en-US"/>
    </w:rPr>
  </w:style>
  <w:style w:type="paragraph" w:customStyle="1" w:styleId="StyleHeading2Italic">
    <w:name w:val="Style Heading 2 + Italic"/>
    <w:basedOn w:val="Heading2"/>
    <w:rsid w:val="007E2CB6"/>
    <w:pPr>
      <w:numPr>
        <w:ilvl w:val="1"/>
        <w:numId w:val="2"/>
      </w:numPr>
      <w:tabs>
        <w:tab w:val="num" w:pos="576"/>
      </w:tabs>
      <w:spacing w:before="240" w:after="60"/>
      <w:ind w:left="576" w:hanging="576"/>
      <w:jc w:val="left"/>
    </w:pPr>
    <w:rPr>
      <w:rFonts w:ascii="Cambria" w:hAnsi="Cambria"/>
      <w:bCs/>
      <w:iCs/>
      <w:sz w:val="26"/>
      <w:szCs w:val="28"/>
      <w:lang w:val="en-GB"/>
    </w:rPr>
  </w:style>
  <w:style w:type="paragraph" w:styleId="TOC3">
    <w:name w:val="toc 3"/>
    <w:basedOn w:val="Normal"/>
    <w:next w:val="Normal"/>
    <w:autoRedefine/>
    <w:uiPriority w:val="39"/>
    <w:rsid w:val="0042668D"/>
    <w:pPr>
      <w:tabs>
        <w:tab w:val="left" w:pos="1170"/>
        <w:tab w:val="right" w:leader="dot" w:pos="10260"/>
      </w:tabs>
      <w:ind w:left="1170" w:right="36" w:hanging="690"/>
    </w:pPr>
    <w:rPr>
      <w:rFonts w:ascii="Times New Roman" w:eastAsia="Calibri" w:hAnsi="Times New Roman"/>
      <w:b/>
      <w:noProof/>
      <w:szCs w:val="24"/>
      <w:lang w:val="en-US"/>
    </w:rPr>
  </w:style>
  <w:style w:type="paragraph" w:styleId="TOC4">
    <w:name w:val="toc 4"/>
    <w:basedOn w:val="Normal"/>
    <w:next w:val="Normal"/>
    <w:autoRedefine/>
    <w:rsid w:val="007E2CB6"/>
    <w:pPr>
      <w:ind w:left="720"/>
    </w:pPr>
    <w:rPr>
      <w:rFonts w:ascii="Times New Roman" w:hAnsi="Times New Roman"/>
      <w:szCs w:val="24"/>
      <w:lang w:val="en-US"/>
    </w:rPr>
  </w:style>
  <w:style w:type="numbering" w:customStyle="1" w:styleId="StyleBulleted">
    <w:name w:val="Style Bulleted"/>
    <w:basedOn w:val="NoList"/>
    <w:rsid w:val="007E2CB6"/>
    <w:pPr>
      <w:numPr>
        <w:numId w:val="4"/>
      </w:numPr>
    </w:pPr>
  </w:style>
  <w:style w:type="paragraph" w:customStyle="1" w:styleId="Char1">
    <w:name w:val="Char1"/>
    <w:basedOn w:val="Normal"/>
    <w:rsid w:val="007E2CB6"/>
    <w:pPr>
      <w:spacing w:after="160" w:line="240" w:lineRule="exact"/>
    </w:pPr>
    <w:rPr>
      <w:rFonts w:cs="Arial"/>
      <w:sz w:val="20"/>
      <w:lang w:val="en-GB"/>
    </w:rPr>
  </w:style>
  <w:style w:type="paragraph" w:customStyle="1" w:styleId="tekst0">
    <w:name w:val="tekst"/>
    <w:basedOn w:val="Normal"/>
    <w:rsid w:val="007E2CB6"/>
    <w:pPr>
      <w:spacing w:before="240"/>
      <w:jc w:val="both"/>
    </w:pPr>
    <w:rPr>
      <w:rFonts w:ascii="Times New Roman" w:hAnsi="Times New Roman"/>
      <w:sz w:val="22"/>
      <w:szCs w:val="24"/>
      <w:lang w:val="sr-Cyrl-BA"/>
    </w:rPr>
  </w:style>
  <w:style w:type="character" w:styleId="Strong">
    <w:name w:val="Strong"/>
    <w:uiPriority w:val="22"/>
    <w:qFormat/>
    <w:rsid w:val="00D607B3"/>
    <w:rPr>
      <w:b/>
      <w:bCs/>
    </w:rPr>
  </w:style>
  <w:style w:type="character" w:styleId="Emphasis">
    <w:name w:val="Emphasis"/>
    <w:uiPriority w:val="20"/>
    <w:qFormat/>
    <w:rsid w:val="003A6851"/>
    <w:rPr>
      <w:i/>
      <w:iCs/>
    </w:rPr>
  </w:style>
  <w:style w:type="numbering" w:customStyle="1" w:styleId="Style1">
    <w:name w:val="Style1"/>
    <w:uiPriority w:val="99"/>
    <w:rsid w:val="00604D27"/>
    <w:pPr>
      <w:numPr>
        <w:numId w:val="5"/>
      </w:numPr>
    </w:pPr>
  </w:style>
  <w:style w:type="character" w:customStyle="1" w:styleId="apple-converted-space">
    <w:name w:val="apple-converted-space"/>
    <w:rsid w:val="00E573CB"/>
  </w:style>
  <w:style w:type="paragraph" w:customStyle="1" w:styleId="CharCharChar">
    <w:name w:val="Char Char Char"/>
    <w:basedOn w:val="Normal"/>
    <w:rsid w:val="0001176E"/>
    <w:pPr>
      <w:autoSpaceDE w:val="0"/>
      <w:autoSpaceDN w:val="0"/>
      <w:spacing w:after="160" w:line="240" w:lineRule="exact"/>
    </w:pPr>
    <w:rPr>
      <w:rFonts w:cs="Arial"/>
      <w:sz w:val="20"/>
      <w:lang w:val="en-US"/>
    </w:rPr>
  </w:style>
  <w:style w:type="paragraph" w:styleId="FootnoteText">
    <w:name w:val="footnote text"/>
    <w:aliases w:val="Footnote Text Char1,single space,footnote text,FOOTNOTES,fn Char,fn Char Char,fn Char Char Char,fn,Footnote Text Char Char,Footnote Text Char1 Char Char,Footnote Text Char Char Char Char,Footnote Text Char2 Char Char Char Char Char,ft,Char"/>
    <w:basedOn w:val="Normal"/>
    <w:link w:val="FootnoteTextChar"/>
    <w:uiPriority w:val="99"/>
    <w:unhideWhenUsed/>
    <w:qFormat/>
    <w:rsid w:val="006005BB"/>
    <w:rPr>
      <w:rFonts w:ascii="Calibri" w:hAnsi="Calibri"/>
      <w:sz w:val="20"/>
      <w:lang w:val="hr-HR" w:eastAsia="bs-Latn-BA"/>
    </w:rPr>
  </w:style>
  <w:style w:type="character" w:customStyle="1" w:styleId="FootnoteTextChar">
    <w:name w:val="Footnote Text Char"/>
    <w:aliases w:val="Footnote Text Char1 Char,single space Char,footnote text Char,FOOTNOTES Char,fn Char Char1,fn Char Char Char1,fn Char Char Char Char,fn Char1,Footnote Text Char Char Char,Footnote Text Char1 Char Char Char,ft Char,Char Char"/>
    <w:link w:val="FootnoteText"/>
    <w:uiPriority w:val="99"/>
    <w:qFormat/>
    <w:rsid w:val="006005BB"/>
    <w:rPr>
      <w:rFonts w:ascii="Calibri" w:hAnsi="Calibri"/>
      <w:lang w:val="hr-HR"/>
    </w:rPr>
  </w:style>
  <w:style w:type="character" w:styleId="FootnoteReference">
    <w:name w:val="footnote reference"/>
    <w:aliases w:val="ftref,Fußnotenzeichen_Raxen,BVI fnr,16 Point,Superscript 6 Point,Footnote Reference Number,Texto de nota al pie,f,Footnotes refss,Rimando nota a piè di pagina,Marque note bas de page,4_G,Appel note de bas de page,Footnote number,fr,C"/>
    <w:link w:val="BVIfnrZchnCharZchnCharCharCharChar"/>
    <w:uiPriority w:val="99"/>
    <w:unhideWhenUsed/>
    <w:qFormat/>
    <w:rsid w:val="006005BB"/>
    <w:rPr>
      <w:vertAlign w:val="superscript"/>
    </w:rPr>
  </w:style>
  <w:style w:type="paragraph" w:customStyle="1" w:styleId="Default">
    <w:name w:val="Default"/>
    <w:rsid w:val="00283F09"/>
    <w:pPr>
      <w:autoSpaceDE w:val="0"/>
      <w:autoSpaceDN w:val="0"/>
      <w:adjustRightInd w:val="0"/>
    </w:pPr>
    <w:rPr>
      <w:color w:val="000000"/>
      <w:sz w:val="24"/>
      <w:szCs w:val="24"/>
      <w:lang w:val="sr-Latn-BA" w:eastAsia="sr-Latn-BA"/>
    </w:rPr>
  </w:style>
  <w:style w:type="paragraph" w:customStyle="1" w:styleId="Medunaslov">
    <w:name w:val="Medunaslov"/>
    <w:basedOn w:val="ListContinue"/>
    <w:rsid w:val="00DF61DB"/>
    <w:pPr>
      <w:spacing w:before="140" w:after="140"/>
      <w:ind w:left="567"/>
      <w:contextualSpacing w:val="0"/>
    </w:pPr>
    <w:rPr>
      <w:b/>
      <w:szCs w:val="24"/>
      <w:u w:val="single"/>
      <w:lang w:val="en-US"/>
    </w:rPr>
  </w:style>
  <w:style w:type="paragraph" w:customStyle="1" w:styleId="Podnaslov10">
    <w:name w:val="Podnaslov1"/>
    <w:basedOn w:val="Normal"/>
    <w:rsid w:val="00DF61DB"/>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hAnsi="Verdana"/>
      <w:b/>
      <w:szCs w:val="24"/>
      <w:lang w:val="en-US"/>
    </w:rPr>
  </w:style>
  <w:style w:type="paragraph" w:customStyle="1" w:styleId="NabrajanjeChar">
    <w:name w:val="Nabrajanje Char"/>
    <w:basedOn w:val="Normal"/>
    <w:rsid w:val="008D3C67"/>
    <w:pPr>
      <w:spacing w:before="120"/>
      <w:ind w:left="644" w:hanging="360"/>
      <w:jc w:val="both"/>
    </w:pPr>
    <w:rPr>
      <w:rFonts w:ascii="Times New Roman" w:hAnsi="Times New Roman"/>
      <w:lang w:val="en-US" w:eastAsia="sr-Cyrl-CS"/>
    </w:rPr>
  </w:style>
  <w:style w:type="paragraph" w:styleId="ListContinue">
    <w:name w:val="List Continue"/>
    <w:basedOn w:val="Normal"/>
    <w:rsid w:val="00DF61DB"/>
    <w:pPr>
      <w:spacing w:after="120"/>
      <w:ind w:left="360"/>
      <w:contextualSpacing/>
    </w:pPr>
  </w:style>
  <w:style w:type="character" w:customStyle="1" w:styleId="CommentTextChar">
    <w:name w:val="Comment Text Char"/>
    <w:link w:val="CommentText"/>
    <w:uiPriority w:val="99"/>
    <w:rsid w:val="00803E0B"/>
    <w:rPr>
      <w:rFonts w:ascii="Arial" w:hAnsi="Arial"/>
      <w:lang w:val="hr-BA"/>
    </w:rPr>
  </w:style>
  <w:style w:type="paragraph" w:styleId="PlainText">
    <w:name w:val="Plain Text"/>
    <w:basedOn w:val="Normal"/>
    <w:link w:val="PlainTextChar"/>
    <w:uiPriority w:val="99"/>
    <w:unhideWhenUsed/>
    <w:rsid w:val="00C807EA"/>
    <w:rPr>
      <w:rFonts w:ascii="Calibri" w:eastAsia="Calibri" w:hAnsi="Calibri"/>
      <w:sz w:val="22"/>
      <w:szCs w:val="21"/>
      <w:lang w:val="en-US"/>
    </w:rPr>
  </w:style>
  <w:style w:type="character" w:customStyle="1" w:styleId="PlainTextChar">
    <w:name w:val="Plain Text Char"/>
    <w:link w:val="PlainText"/>
    <w:uiPriority w:val="99"/>
    <w:rsid w:val="00C807EA"/>
    <w:rPr>
      <w:rFonts w:ascii="Calibri" w:eastAsia="Calibri" w:hAnsi="Calibri"/>
      <w:sz w:val="22"/>
      <w:szCs w:val="21"/>
    </w:rPr>
  </w:style>
  <w:style w:type="paragraph" w:customStyle="1" w:styleId="CharCharChar1">
    <w:name w:val="Char Char Char1"/>
    <w:basedOn w:val="Normal"/>
    <w:rsid w:val="008D3C67"/>
    <w:pPr>
      <w:autoSpaceDE w:val="0"/>
      <w:autoSpaceDN w:val="0"/>
      <w:spacing w:after="160" w:line="240" w:lineRule="exact"/>
    </w:pPr>
    <w:rPr>
      <w:rFonts w:cs="Arial"/>
      <w:sz w:val="20"/>
      <w:lang w:val="en-US"/>
    </w:rPr>
  </w:style>
  <w:style w:type="paragraph" w:styleId="Revision">
    <w:name w:val="Revision"/>
    <w:hidden/>
    <w:uiPriority w:val="99"/>
    <w:semiHidden/>
    <w:rsid w:val="00EE54A4"/>
    <w:rPr>
      <w:rFonts w:ascii="Arial" w:hAnsi="Arial"/>
      <w:sz w:val="24"/>
      <w:lang w:val="hr-BA"/>
    </w:rPr>
  </w:style>
  <w:style w:type="character" w:styleId="FollowedHyperlink">
    <w:name w:val="FollowedHyperlink"/>
    <w:rsid w:val="000D45AA"/>
    <w:rPr>
      <w:color w:val="800080"/>
      <w:u w:val="single"/>
    </w:rPr>
  </w:style>
  <w:style w:type="character" w:customStyle="1" w:styleId="Heading5Char">
    <w:name w:val="Heading 5 Char"/>
    <w:link w:val="Heading5"/>
    <w:rsid w:val="00D63321"/>
    <w:rPr>
      <w:rFonts w:ascii="Arial" w:hAnsi="Arial"/>
      <w:b/>
      <w:bCs/>
      <w:i/>
      <w:iCs/>
      <w:sz w:val="24"/>
      <w:lang w:val="hr-BA" w:eastAsia="en-US"/>
    </w:rPr>
  </w:style>
  <w:style w:type="character" w:customStyle="1" w:styleId="ListParagraphChar">
    <w:name w:val="List Paragraph Char"/>
    <w:aliases w:val="Bullet point Char,Table of contents numbered Char,Colorful List - Accent 11 Char,List Paragraph2 Char,Akapit z listą BS Char,Bullet1 Char,List Paragraph in table Char,PROVERE 1 Char,Bullet Points Char,Liste Paragraf Char,body 2 Char"/>
    <w:link w:val="ListParagraph"/>
    <w:uiPriority w:val="34"/>
    <w:qFormat/>
    <w:locked/>
    <w:rsid w:val="009024B6"/>
    <w:rPr>
      <w:rFonts w:ascii="Arial" w:hAnsi="Arial"/>
      <w:sz w:val="24"/>
      <w:lang w:val="hr-BA"/>
    </w:r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rsid w:val="007D574A"/>
    <w:pPr>
      <w:spacing w:after="160" w:line="240" w:lineRule="exact"/>
    </w:pPr>
    <w:rPr>
      <w:rFonts w:ascii="Times New Roman" w:hAnsi="Times New Roman"/>
      <w:sz w:val="20"/>
      <w:vertAlign w:val="superscript"/>
      <w:lang w:val="en-US"/>
    </w:rPr>
  </w:style>
  <w:style w:type="character" w:customStyle="1" w:styleId="TekstChar">
    <w:name w:val="Tekst Char"/>
    <w:link w:val="Tekst"/>
    <w:rsid w:val="007D574A"/>
    <w:rPr>
      <w:rFonts w:ascii="Calibri" w:hAnsi="Calibri"/>
      <w:sz w:val="22"/>
      <w:szCs w:val="24"/>
      <w:lang w:val="sr-Cyrl-CS"/>
    </w:rPr>
  </w:style>
  <w:style w:type="character" w:customStyle="1" w:styleId="NoSpacingChar">
    <w:name w:val="No Spacing Char"/>
    <w:link w:val="NoSpacing"/>
    <w:uiPriority w:val="1"/>
    <w:rsid w:val="000E69B9"/>
    <w:rPr>
      <w:rFonts w:ascii="Calibri" w:eastAsia="Calibri" w:hAnsi="Calibri"/>
      <w:sz w:val="22"/>
      <w:szCs w:val="22"/>
      <w:lang w:val="sr-Latn-BA"/>
    </w:rPr>
  </w:style>
  <w:style w:type="paragraph" w:customStyle="1" w:styleId="tabela">
    <w:name w:val="tabela"/>
    <w:basedOn w:val="Normal"/>
    <w:qFormat/>
    <w:rsid w:val="003D4B08"/>
    <w:pPr>
      <w:spacing w:before="120"/>
    </w:pPr>
    <w:rPr>
      <w:rFonts w:ascii="Calibri" w:hAnsi="Calibri" w:cs="Calibri"/>
      <w:sz w:val="20"/>
      <w:lang w:eastAsia="sv-SE"/>
    </w:rPr>
  </w:style>
  <w:style w:type="paragraph" w:customStyle="1" w:styleId="NoSpacing1">
    <w:name w:val="No Spacing1"/>
    <w:uiPriority w:val="1"/>
    <w:qFormat/>
    <w:rsid w:val="003D4B08"/>
    <w:rPr>
      <w:rFonts w:eastAsia="Calibri"/>
      <w:sz w:val="24"/>
      <w:szCs w:val="22"/>
      <w:lang w:val="en-GB"/>
    </w:rPr>
  </w:style>
  <w:style w:type="character" w:customStyle="1" w:styleId="Heading2Char">
    <w:name w:val="Heading 2 Char"/>
    <w:link w:val="Heading2"/>
    <w:rsid w:val="00015E80"/>
    <w:rPr>
      <w:rFonts w:ascii="Arial" w:eastAsia="Calibri" w:hAnsi="Arial" w:cs="Arial"/>
      <w:b/>
      <w:sz w:val="24"/>
      <w:szCs w:val="24"/>
      <w:lang w:val="hr-BA"/>
    </w:rPr>
  </w:style>
  <w:style w:type="paragraph" w:customStyle="1" w:styleId="tekstcedaw">
    <w:name w:val="tekst cedaw"/>
    <w:basedOn w:val="Normal"/>
    <w:link w:val="tekstcedawChar"/>
    <w:uiPriority w:val="99"/>
    <w:rsid w:val="00A07F70"/>
    <w:pPr>
      <w:spacing w:line="360" w:lineRule="auto"/>
      <w:jc w:val="both"/>
    </w:pPr>
    <w:rPr>
      <w:rFonts w:ascii="Times New Roman" w:eastAsia="Calibri" w:hAnsi="Times New Roman"/>
      <w:sz w:val="20"/>
      <w:lang w:eastAsia="bs-Latn-BA"/>
    </w:rPr>
  </w:style>
  <w:style w:type="character" w:customStyle="1" w:styleId="tekstcedawChar">
    <w:name w:val="tekst cedaw Char"/>
    <w:link w:val="tekstcedaw"/>
    <w:uiPriority w:val="99"/>
    <w:locked/>
    <w:rsid w:val="00A07F70"/>
    <w:rPr>
      <w:rFonts w:eastAsia="Calibri"/>
      <w:lang w:eastAsia="bs-Latn-BA"/>
    </w:rPr>
  </w:style>
  <w:style w:type="paragraph" w:customStyle="1" w:styleId="StyleBodyTextBefore6pt">
    <w:name w:val="Style Body Text + Before:  6 pt"/>
    <w:basedOn w:val="BodyText"/>
    <w:rsid w:val="00447274"/>
    <w:pPr>
      <w:spacing w:before="120"/>
    </w:pPr>
    <w:rPr>
      <w:rFonts w:ascii="Calibri" w:hAnsi="Calibri"/>
      <w:sz w:val="22"/>
      <w:lang w:val="hr-HR"/>
    </w:rPr>
  </w:style>
  <w:style w:type="character" w:customStyle="1" w:styleId="markedcontent">
    <w:name w:val="markedcontent"/>
    <w:basedOn w:val="DefaultParagraphFont"/>
    <w:rsid w:val="00DA0632"/>
  </w:style>
  <w:style w:type="character" w:customStyle="1" w:styleId="hps">
    <w:name w:val="hps"/>
    <w:basedOn w:val="DefaultParagraphFont"/>
    <w:rsid w:val="00192C1E"/>
  </w:style>
  <w:style w:type="character" w:customStyle="1" w:styleId="Heading3Char">
    <w:name w:val="Heading 3 Char"/>
    <w:basedOn w:val="DefaultParagraphFont"/>
    <w:link w:val="Heading3"/>
    <w:rsid w:val="003663BB"/>
    <w:rPr>
      <w:rFonts w:ascii="Arial" w:eastAsia="Calibri" w:hAnsi="Arial" w:cs="Arial"/>
      <w:b/>
      <w:sz w:val="24"/>
      <w:szCs w:val="24"/>
      <w:lang w:val="hr-BA"/>
    </w:rPr>
  </w:style>
  <w:style w:type="paragraph" w:customStyle="1" w:styleId="BodyA">
    <w:name w:val="Body A"/>
    <w:rsid w:val="00CF1C2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2">
    <w:name w:val="Imported Style 2"/>
    <w:rsid w:val="00CF1C22"/>
    <w:pPr>
      <w:numPr>
        <w:numId w:val="8"/>
      </w:numPr>
    </w:pPr>
  </w:style>
  <w:style w:type="numbering" w:customStyle="1" w:styleId="ImportedStyle3">
    <w:name w:val="Imported Style 3"/>
    <w:rsid w:val="00CF1C22"/>
    <w:pPr>
      <w:numPr>
        <w:numId w:val="9"/>
      </w:numPr>
    </w:pPr>
  </w:style>
  <w:style w:type="numbering" w:customStyle="1" w:styleId="ImportedStyle4">
    <w:name w:val="Imported Style 4"/>
    <w:rsid w:val="00CF1C22"/>
    <w:pPr>
      <w:numPr>
        <w:numId w:val="10"/>
      </w:numPr>
    </w:pPr>
  </w:style>
  <w:style w:type="numbering" w:customStyle="1" w:styleId="ImportedStyle5">
    <w:name w:val="Imported Style 5"/>
    <w:rsid w:val="00CF1C22"/>
    <w:pPr>
      <w:numPr>
        <w:numId w:val="11"/>
      </w:numPr>
    </w:pPr>
  </w:style>
  <w:style w:type="numbering" w:customStyle="1" w:styleId="ImportedStyle6">
    <w:name w:val="Imported Style 6"/>
    <w:rsid w:val="00CF1C22"/>
    <w:pPr>
      <w:numPr>
        <w:numId w:val="12"/>
      </w:numPr>
    </w:pPr>
  </w:style>
  <w:style w:type="numbering" w:customStyle="1" w:styleId="ImportedStyle12">
    <w:name w:val="Imported Style 12"/>
    <w:rsid w:val="00CF1C22"/>
    <w:pPr>
      <w:numPr>
        <w:numId w:val="13"/>
      </w:numPr>
    </w:pPr>
  </w:style>
  <w:style w:type="numbering" w:customStyle="1" w:styleId="ImportedStyle13">
    <w:name w:val="Imported Style 13"/>
    <w:rsid w:val="00CF1C22"/>
    <w:pPr>
      <w:numPr>
        <w:numId w:val="14"/>
      </w:numPr>
    </w:pPr>
  </w:style>
  <w:style w:type="numbering" w:customStyle="1" w:styleId="ImportedStyle14">
    <w:name w:val="Imported Style 14"/>
    <w:rsid w:val="00CF1C22"/>
    <w:pPr>
      <w:numPr>
        <w:numId w:val="15"/>
      </w:numPr>
    </w:pPr>
  </w:style>
  <w:style w:type="numbering" w:customStyle="1" w:styleId="ImportedStyle15">
    <w:name w:val="Imported Style 15"/>
    <w:rsid w:val="00CF1C22"/>
    <w:pPr>
      <w:numPr>
        <w:numId w:val="16"/>
      </w:numPr>
    </w:pPr>
  </w:style>
  <w:style w:type="paragraph" w:customStyle="1" w:styleId="Normal1">
    <w:name w:val="Normal1"/>
    <w:basedOn w:val="NoSpacing"/>
    <w:link w:val="normalChar"/>
    <w:qFormat/>
    <w:rsid w:val="00A65438"/>
    <w:pPr>
      <w:pBdr>
        <w:top w:val="nil"/>
        <w:left w:val="nil"/>
        <w:bottom w:val="nil"/>
        <w:right w:val="nil"/>
        <w:between w:val="nil"/>
        <w:bar w:val="nil"/>
      </w:pBdr>
    </w:pPr>
    <w:rPr>
      <w:rFonts w:eastAsia="Arial Unicode MS"/>
      <w:sz w:val="24"/>
      <w:szCs w:val="24"/>
      <w:bdr w:val="nil"/>
    </w:rPr>
  </w:style>
  <w:style w:type="character" w:customStyle="1" w:styleId="normalChar">
    <w:name w:val="normal Char"/>
    <w:basedOn w:val="NoSpacingChar"/>
    <w:link w:val="Normal1"/>
    <w:rsid w:val="00A65438"/>
    <w:rPr>
      <w:rFonts w:ascii="Calibri" w:eastAsia="Arial Unicode MS" w:hAnsi="Calibri"/>
      <w:sz w:val="24"/>
      <w:szCs w:val="24"/>
      <w:bdr w:val="nil"/>
      <w:lang w:val="sr-Latn-BA"/>
    </w:rPr>
  </w:style>
  <w:style w:type="character" w:customStyle="1" w:styleId="BodyTextChar">
    <w:name w:val="Body Text Char"/>
    <w:aliases w:val="  uvlaka 2 Char, uvlaka 3 Char,uvlaka 2 Char,uvlaka 3 Char"/>
    <w:basedOn w:val="DefaultParagraphFont"/>
    <w:link w:val="BodyText"/>
    <w:rsid w:val="00AC763C"/>
    <w:rPr>
      <w:rFonts w:ascii="Arial" w:hAnsi="Arial"/>
      <w:sz w:val="24"/>
      <w:lang w:val="hr-BA"/>
    </w:rPr>
  </w:style>
  <w:style w:type="paragraph" w:customStyle="1" w:styleId="Body">
    <w:name w:val="Body"/>
    <w:rsid w:val="001A7F31"/>
    <w:pPr>
      <w:pBdr>
        <w:top w:val="nil"/>
        <w:left w:val="nil"/>
        <w:bottom w:val="nil"/>
        <w:right w:val="nil"/>
        <w:between w:val="nil"/>
        <w:bar w:val="nil"/>
      </w:pBdr>
    </w:pPr>
    <w:rPr>
      <w:rFonts w:ascii="Calibri" w:eastAsia="Calibri" w:hAnsi="Calibri" w:cs="Calibri"/>
      <w:color w:val="000000"/>
      <w:sz w:val="22"/>
      <w:szCs w:val="22"/>
      <w:u w:color="000000"/>
      <w:bdr w:val="nil"/>
    </w:rPr>
  </w:style>
  <w:style w:type="paragraph" w:customStyle="1" w:styleId="default0">
    <w:name w:val="default"/>
    <w:basedOn w:val="Normal"/>
    <w:rsid w:val="00842273"/>
    <w:pPr>
      <w:spacing w:before="100" w:beforeAutospacing="1" w:after="100" w:afterAutospacing="1"/>
    </w:pPr>
    <w:rPr>
      <w:rFonts w:ascii="Times New Roman" w:hAnsi="Times New Roman"/>
      <w:szCs w:val="24"/>
      <w:lang w:val="en-US"/>
    </w:rPr>
  </w:style>
  <w:style w:type="paragraph" w:customStyle="1" w:styleId="text-align-justify">
    <w:name w:val="text-align-justify"/>
    <w:basedOn w:val="Normal"/>
    <w:rsid w:val="00842273"/>
    <w:pPr>
      <w:spacing w:before="100" w:beforeAutospacing="1" w:after="100" w:afterAutospacing="1"/>
    </w:pPr>
    <w:rPr>
      <w:rFonts w:ascii="Times New Roman" w:hAnsi="Times New Roman"/>
      <w:szCs w:val="24"/>
      <w:lang w:val="en-US"/>
    </w:rPr>
  </w:style>
  <w:style w:type="paragraph" w:customStyle="1" w:styleId="yiv6410522023msolistparagraph">
    <w:name w:val="yiv6410522023msolistparagraph"/>
    <w:basedOn w:val="Normal"/>
    <w:rsid w:val="00C050FF"/>
    <w:pPr>
      <w:spacing w:before="100" w:beforeAutospacing="1" w:after="100" w:afterAutospacing="1"/>
    </w:pPr>
    <w:rPr>
      <w:rFonts w:ascii="Times New Roman" w:hAnsi="Times New Roman"/>
      <w:szCs w:val="24"/>
      <w:lang w:val="en-US"/>
    </w:rPr>
  </w:style>
  <w:style w:type="character" w:customStyle="1" w:styleId="cf01">
    <w:name w:val="cf01"/>
    <w:basedOn w:val="DefaultParagraphFont"/>
    <w:rsid w:val="00A654E5"/>
    <w:rPr>
      <w:rFonts w:ascii="Segoe UI" w:hAnsi="Segoe UI" w:cs="Segoe UI" w:hint="default"/>
      <w:sz w:val="18"/>
      <w:szCs w:val="18"/>
    </w:rPr>
  </w:style>
  <w:style w:type="character" w:customStyle="1" w:styleId="HeaderChar">
    <w:name w:val="Header Char"/>
    <w:basedOn w:val="DefaultParagraphFont"/>
    <w:link w:val="Header"/>
    <w:uiPriority w:val="99"/>
    <w:rsid w:val="00E305D0"/>
    <w:rPr>
      <w:rFonts w:ascii="Arial" w:hAnsi="Arial"/>
      <w:sz w:val="24"/>
      <w:lang w:val="hr-BA"/>
    </w:rPr>
  </w:style>
  <w:style w:type="table" w:customStyle="1" w:styleId="GridTable1Light-Accent11">
    <w:name w:val="Grid Table 1 Light - Accent 11"/>
    <w:basedOn w:val="TableNormal"/>
    <w:uiPriority w:val="46"/>
    <w:rsid w:val="0051547A"/>
    <w:pPr>
      <w:ind w:left="576" w:hanging="576"/>
    </w:pPr>
    <w:rPr>
      <w:rFonts w:ascii="Calibri" w:hAnsi="Calibr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aption">
    <w:name w:val="caption"/>
    <w:basedOn w:val="Normal"/>
    <w:next w:val="Normal"/>
    <w:semiHidden/>
    <w:unhideWhenUsed/>
    <w:qFormat/>
    <w:rsid w:val="00167876"/>
    <w:pPr>
      <w:ind w:left="576" w:hanging="576"/>
      <w:jc w:val="center"/>
    </w:pPr>
    <w:rPr>
      <w:rFonts w:ascii="Times New Roman" w:hAnsi="Times New Roman"/>
      <w:b/>
      <w:bCs/>
      <w:lang w:val="en-US"/>
    </w:rPr>
  </w:style>
  <w:style w:type="paragraph" w:customStyle="1" w:styleId="pf0">
    <w:name w:val="pf0"/>
    <w:basedOn w:val="Normal"/>
    <w:rsid w:val="003F5C23"/>
    <w:pPr>
      <w:spacing w:before="100" w:beforeAutospacing="1" w:after="100" w:afterAutospacing="1"/>
      <w:jc w:val="both"/>
    </w:pPr>
    <w:rPr>
      <w:rFonts w:ascii="Times New Roman" w:hAnsi="Times New Roman"/>
      <w:szCs w:val="24"/>
      <w:lang w:val="en-US"/>
    </w:rPr>
  </w:style>
  <w:style w:type="character" w:customStyle="1" w:styleId="cf11">
    <w:name w:val="cf11"/>
    <w:basedOn w:val="DefaultParagraphFont"/>
    <w:rsid w:val="00051265"/>
    <w:rPr>
      <w:rFonts w:ascii="Segoe UI" w:hAnsi="Segoe UI" w:cs="Segoe UI" w:hint="default"/>
      <w:sz w:val="18"/>
      <w:szCs w:val="18"/>
    </w:rPr>
  </w:style>
  <w:style w:type="paragraph" w:customStyle="1" w:styleId="pf1">
    <w:name w:val="pf1"/>
    <w:basedOn w:val="Normal"/>
    <w:rsid w:val="007F44CE"/>
    <w:pPr>
      <w:spacing w:before="100" w:beforeAutospacing="1" w:after="100" w:afterAutospacing="1"/>
    </w:pPr>
    <w:rPr>
      <w:rFonts w:ascii="Times New Roman" w:hAnsi="Times New Roman"/>
      <w:szCs w:val="24"/>
      <w:lang w:val="en-US"/>
    </w:rPr>
  </w:style>
  <w:style w:type="character" w:customStyle="1" w:styleId="cf21">
    <w:name w:val="cf21"/>
    <w:basedOn w:val="DefaultParagraphFont"/>
    <w:rsid w:val="007F44CE"/>
    <w:rPr>
      <w:rFonts w:ascii="Segoe UI" w:hAnsi="Segoe UI" w:cs="Segoe UI" w:hint="default"/>
      <w:sz w:val="18"/>
      <w:szCs w:val="18"/>
    </w:rPr>
  </w:style>
  <w:style w:type="character" w:customStyle="1" w:styleId="Heading1Char">
    <w:name w:val="Heading 1 Char"/>
    <w:basedOn w:val="DefaultParagraphFont"/>
    <w:link w:val="Heading1"/>
    <w:rsid w:val="00356C2C"/>
    <w:rPr>
      <w:rFonts w:ascii="Arial" w:eastAsia="Calibri" w:hAnsi="Arial" w:cs="Arial"/>
      <w:b/>
      <w:sz w:val="28"/>
      <w:szCs w:val="28"/>
      <w:lang w:val="hr-BA"/>
    </w:rPr>
  </w:style>
  <w:style w:type="character" w:customStyle="1" w:styleId="Heading4Char">
    <w:name w:val="Heading 4 Char"/>
    <w:basedOn w:val="DefaultParagraphFont"/>
    <w:link w:val="Heading4"/>
    <w:rsid w:val="00356C2C"/>
    <w:rPr>
      <w:rFonts w:ascii="Arial" w:eastAsia="Calibri" w:hAnsi="Arial" w:cs="Arial"/>
      <w:b/>
      <w:sz w:val="24"/>
      <w:szCs w:val="24"/>
      <w:lang w:val="hr-BA"/>
    </w:rPr>
  </w:style>
  <w:style w:type="character" w:customStyle="1" w:styleId="Heading6Char">
    <w:name w:val="Heading 6 Char"/>
    <w:basedOn w:val="DefaultParagraphFont"/>
    <w:link w:val="Heading6"/>
    <w:rsid w:val="00356C2C"/>
    <w:rPr>
      <w:rFonts w:ascii="Arial" w:hAnsi="Arial"/>
      <w:b/>
      <w:bCs/>
      <w:sz w:val="24"/>
      <w:lang w:val="hr-BA"/>
    </w:rPr>
  </w:style>
  <w:style w:type="character" w:customStyle="1" w:styleId="Heading7Char">
    <w:name w:val="Heading 7 Char"/>
    <w:basedOn w:val="DefaultParagraphFont"/>
    <w:link w:val="Heading7"/>
    <w:rsid w:val="00356C2C"/>
    <w:rPr>
      <w:rFonts w:ascii="Arial" w:hAnsi="Arial"/>
      <w:b/>
      <w:bCs/>
      <w:sz w:val="28"/>
      <w:lang w:val="hr-HR"/>
    </w:rPr>
  </w:style>
  <w:style w:type="character" w:customStyle="1" w:styleId="Heading8Char">
    <w:name w:val="Heading 8 Char"/>
    <w:basedOn w:val="DefaultParagraphFont"/>
    <w:link w:val="Heading8"/>
    <w:rsid w:val="00356C2C"/>
    <w:rPr>
      <w:rFonts w:ascii="Arial" w:hAnsi="Arial"/>
      <w:b/>
      <w:bCs/>
      <w:i/>
      <w:iCs/>
      <w:sz w:val="28"/>
      <w:lang w:val="hr-BA"/>
    </w:rPr>
  </w:style>
  <w:style w:type="character" w:customStyle="1" w:styleId="Heading9Char">
    <w:name w:val="Heading 9 Char"/>
    <w:basedOn w:val="DefaultParagraphFont"/>
    <w:link w:val="Heading9"/>
    <w:rsid w:val="00356C2C"/>
    <w:rPr>
      <w:rFonts w:ascii="Arial" w:hAnsi="Arial"/>
      <w:b/>
      <w:bCs/>
      <w:i/>
      <w:iCs/>
      <w:sz w:val="36"/>
      <w:lang w:val="hr-BA"/>
    </w:rPr>
  </w:style>
  <w:style w:type="character" w:customStyle="1" w:styleId="BodyTextIndentChar">
    <w:name w:val="Body Text Indent Char"/>
    <w:basedOn w:val="DefaultParagraphFont"/>
    <w:link w:val="BodyTextIndent"/>
    <w:rsid w:val="00356C2C"/>
    <w:rPr>
      <w:rFonts w:ascii="Arial" w:hAnsi="Arial"/>
      <w:sz w:val="24"/>
      <w:lang w:val="hr-HR"/>
    </w:rPr>
  </w:style>
  <w:style w:type="character" w:customStyle="1" w:styleId="BodyText3Char">
    <w:name w:val="Body Text 3 Char"/>
    <w:basedOn w:val="DefaultParagraphFont"/>
    <w:link w:val="BodyText3"/>
    <w:rsid w:val="00356C2C"/>
    <w:rPr>
      <w:rFonts w:ascii="Arial" w:hAnsi="Arial"/>
      <w:i/>
      <w:iCs/>
      <w:sz w:val="24"/>
      <w:lang w:val="hr-HR"/>
    </w:rPr>
  </w:style>
  <w:style w:type="character" w:customStyle="1" w:styleId="BodyText2Char">
    <w:name w:val="Body Text 2 Char"/>
    <w:basedOn w:val="DefaultParagraphFont"/>
    <w:link w:val="BodyText2"/>
    <w:rsid w:val="00356C2C"/>
    <w:rPr>
      <w:b/>
      <w:bCs/>
      <w:i/>
      <w:iCs/>
      <w:sz w:val="24"/>
      <w:szCs w:val="24"/>
    </w:rPr>
  </w:style>
  <w:style w:type="character" w:customStyle="1" w:styleId="TitleChar">
    <w:name w:val="Title Char"/>
    <w:basedOn w:val="DefaultParagraphFont"/>
    <w:link w:val="Title"/>
    <w:rsid w:val="00356C2C"/>
    <w:rPr>
      <w:rFonts w:ascii="Arial" w:hAnsi="Arial"/>
      <w:sz w:val="24"/>
      <w:lang w:val="hr-HR"/>
    </w:rPr>
  </w:style>
  <w:style w:type="character" w:customStyle="1" w:styleId="SubtitleChar">
    <w:name w:val="Subtitle Char"/>
    <w:basedOn w:val="DefaultParagraphFont"/>
    <w:link w:val="Subtitle"/>
    <w:rsid w:val="00356C2C"/>
    <w:rPr>
      <w:rFonts w:ascii="Arial" w:hAnsi="Arial"/>
      <w:b/>
      <w:sz w:val="24"/>
      <w:lang w:val="hr-HR"/>
    </w:rPr>
  </w:style>
  <w:style w:type="character" w:customStyle="1" w:styleId="BodyTextIndent2Char">
    <w:name w:val="Body Text Indent 2 Char"/>
    <w:basedOn w:val="DefaultParagraphFont"/>
    <w:link w:val="BodyTextIndent2"/>
    <w:rsid w:val="00356C2C"/>
    <w:rPr>
      <w:rFonts w:ascii="Arial" w:hAnsi="Arial"/>
      <w:sz w:val="24"/>
      <w:lang w:val="hr-HR"/>
    </w:rPr>
  </w:style>
  <w:style w:type="character" w:customStyle="1" w:styleId="BalloonTextChar">
    <w:name w:val="Balloon Text Char"/>
    <w:basedOn w:val="DefaultParagraphFont"/>
    <w:link w:val="BalloonText"/>
    <w:semiHidden/>
    <w:rsid w:val="00356C2C"/>
    <w:rPr>
      <w:rFonts w:ascii="Tahoma" w:hAnsi="Tahoma" w:cs="Tahoma"/>
      <w:sz w:val="16"/>
      <w:szCs w:val="16"/>
      <w:lang w:val="hr-BA"/>
    </w:rPr>
  </w:style>
  <w:style w:type="character" w:customStyle="1" w:styleId="CommentSubjectChar">
    <w:name w:val="Comment Subject Char"/>
    <w:basedOn w:val="CommentTextChar"/>
    <w:link w:val="CommentSubject"/>
    <w:semiHidden/>
    <w:rsid w:val="00356C2C"/>
    <w:rPr>
      <w:rFonts w:ascii="Arial" w:hAnsi="Arial"/>
      <w:b/>
      <w:bCs/>
      <w:lang w:val="hr-BA"/>
    </w:rPr>
  </w:style>
  <w:style w:type="character" w:customStyle="1" w:styleId="DocumentMapChar">
    <w:name w:val="Document Map Char"/>
    <w:basedOn w:val="DefaultParagraphFont"/>
    <w:link w:val="DocumentMap"/>
    <w:semiHidden/>
    <w:rsid w:val="00356C2C"/>
    <w:rPr>
      <w:rFonts w:ascii="Tahoma" w:hAnsi="Tahoma" w:cs="Tahoma"/>
      <w:shd w:val="clear" w:color="auto" w:fill="000080"/>
      <w:lang w:val="hr-BA"/>
    </w:rPr>
  </w:style>
  <w:style w:type="paragraph" w:customStyle="1" w:styleId="Tekstistrazivanja">
    <w:name w:val="Tekst istrazivanja"/>
    <w:basedOn w:val="Normal"/>
    <w:link w:val="TekstistrazivanjaChar"/>
    <w:autoRedefine/>
    <w:qFormat/>
    <w:rsid w:val="00954C30"/>
    <w:pPr>
      <w:jc w:val="both"/>
    </w:pPr>
    <w:rPr>
      <w:rFonts w:ascii="Times New Roman" w:eastAsia="Calibri" w:hAnsi="Times New Roman"/>
      <w:szCs w:val="24"/>
      <w:lang w:val="en-US"/>
    </w:rPr>
  </w:style>
  <w:style w:type="character" w:customStyle="1" w:styleId="TekstistrazivanjaChar">
    <w:name w:val="Tekst istrazivanja Char"/>
    <w:basedOn w:val="DefaultParagraphFont"/>
    <w:link w:val="Tekstistrazivanja"/>
    <w:rsid w:val="00954C30"/>
    <w:rPr>
      <w:rFonts w:eastAsia="Calibri"/>
      <w:sz w:val="24"/>
      <w:szCs w:val="24"/>
    </w:rPr>
  </w:style>
  <w:style w:type="paragraph" w:customStyle="1" w:styleId="text-center">
    <w:name w:val="text-center"/>
    <w:basedOn w:val="Normal"/>
    <w:rsid w:val="00BE66CB"/>
    <w:pPr>
      <w:spacing w:before="100" w:beforeAutospacing="1" w:after="100" w:afterAutospacing="1"/>
    </w:pPr>
    <w:rPr>
      <w:rFonts w:ascii="Times New Roman" w:hAnsi="Times New Roman"/>
      <w:szCs w:val="24"/>
      <w:lang w:val="en-US"/>
    </w:rPr>
  </w:style>
  <w:style w:type="paragraph" w:customStyle="1" w:styleId="selectionshareable">
    <w:name w:val="selectionshareable"/>
    <w:basedOn w:val="Normal"/>
    <w:rsid w:val="00594D65"/>
    <w:pPr>
      <w:spacing w:before="100" w:beforeAutospacing="1" w:after="100" w:afterAutospacing="1"/>
    </w:pPr>
    <w:rPr>
      <w:rFonts w:ascii="Times New Roman" w:hAnsi="Times New Roman"/>
      <w:szCs w:val="24"/>
      <w:lang w:val="en-US"/>
    </w:rPr>
  </w:style>
  <w:style w:type="character" w:customStyle="1" w:styleId="y2iqfc">
    <w:name w:val="y2iqfc"/>
    <w:basedOn w:val="DefaultParagraphFont"/>
    <w:rsid w:val="006468C0"/>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ormal"/>
    <w:uiPriority w:val="99"/>
    <w:rsid w:val="00E60F6F"/>
    <w:pPr>
      <w:spacing w:after="160" w:line="240" w:lineRule="exact"/>
    </w:pPr>
    <w:rPr>
      <w:rFonts w:asciiTheme="minorHAnsi" w:eastAsiaTheme="minorHAnsi" w:hAnsiTheme="minorHAnsi" w:cstheme="minorBidi"/>
      <w:sz w:val="22"/>
      <w:szCs w:val="22"/>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5181">
      <w:bodyDiv w:val="1"/>
      <w:marLeft w:val="0"/>
      <w:marRight w:val="0"/>
      <w:marTop w:val="0"/>
      <w:marBottom w:val="0"/>
      <w:divBdr>
        <w:top w:val="none" w:sz="0" w:space="0" w:color="auto"/>
        <w:left w:val="none" w:sz="0" w:space="0" w:color="auto"/>
        <w:bottom w:val="none" w:sz="0" w:space="0" w:color="auto"/>
        <w:right w:val="none" w:sz="0" w:space="0" w:color="auto"/>
      </w:divBdr>
    </w:div>
    <w:div w:id="22248554">
      <w:bodyDiv w:val="1"/>
      <w:marLeft w:val="0"/>
      <w:marRight w:val="0"/>
      <w:marTop w:val="0"/>
      <w:marBottom w:val="0"/>
      <w:divBdr>
        <w:top w:val="none" w:sz="0" w:space="0" w:color="auto"/>
        <w:left w:val="none" w:sz="0" w:space="0" w:color="auto"/>
        <w:bottom w:val="none" w:sz="0" w:space="0" w:color="auto"/>
        <w:right w:val="none" w:sz="0" w:space="0" w:color="auto"/>
      </w:divBdr>
    </w:div>
    <w:div w:id="34620137">
      <w:bodyDiv w:val="1"/>
      <w:marLeft w:val="0"/>
      <w:marRight w:val="0"/>
      <w:marTop w:val="0"/>
      <w:marBottom w:val="0"/>
      <w:divBdr>
        <w:top w:val="none" w:sz="0" w:space="0" w:color="auto"/>
        <w:left w:val="none" w:sz="0" w:space="0" w:color="auto"/>
        <w:bottom w:val="none" w:sz="0" w:space="0" w:color="auto"/>
        <w:right w:val="none" w:sz="0" w:space="0" w:color="auto"/>
      </w:divBdr>
    </w:div>
    <w:div w:id="51662709">
      <w:bodyDiv w:val="1"/>
      <w:marLeft w:val="0"/>
      <w:marRight w:val="0"/>
      <w:marTop w:val="0"/>
      <w:marBottom w:val="0"/>
      <w:divBdr>
        <w:top w:val="none" w:sz="0" w:space="0" w:color="auto"/>
        <w:left w:val="none" w:sz="0" w:space="0" w:color="auto"/>
        <w:bottom w:val="none" w:sz="0" w:space="0" w:color="auto"/>
        <w:right w:val="none" w:sz="0" w:space="0" w:color="auto"/>
      </w:divBdr>
    </w:div>
    <w:div w:id="67580159">
      <w:bodyDiv w:val="1"/>
      <w:marLeft w:val="0"/>
      <w:marRight w:val="0"/>
      <w:marTop w:val="0"/>
      <w:marBottom w:val="0"/>
      <w:divBdr>
        <w:top w:val="none" w:sz="0" w:space="0" w:color="auto"/>
        <w:left w:val="none" w:sz="0" w:space="0" w:color="auto"/>
        <w:bottom w:val="none" w:sz="0" w:space="0" w:color="auto"/>
        <w:right w:val="none" w:sz="0" w:space="0" w:color="auto"/>
      </w:divBdr>
    </w:div>
    <w:div w:id="87703099">
      <w:bodyDiv w:val="1"/>
      <w:marLeft w:val="0"/>
      <w:marRight w:val="0"/>
      <w:marTop w:val="0"/>
      <w:marBottom w:val="0"/>
      <w:divBdr>
        <w:top w:val="none" w:sz="0" w:space="0" w:color="auto"/>
        <w:left w:val="none" w:sz="0" w:space="0" w:color="auto"/>
        <w:bottom w:val="none" w:sz="0" w:space="0" w:color="auto"/>
        <w:right w:val="none" w:sz="0" w:space="0" w:color="auto"/>
      </w:divBdr>
      <w:divsChild>
        <w:div w:id="75135409">
          <w:marLeft w:val="0"/>
          <w:marRight w:val="0"/>
          <w:marTop w:val="0"/>
          <w:marBottom w:val="0"/>
          <w:divBdr>
            <w:top w:val="none" w:sz="0" w:space="0" w:color="auto"/>
            <w:left w:val="none" w:sz="0" w:space="0" w:color="auto"/>
            <w:bottom w:val="none" w:sz="0" w:space="0" w:color="auto"/>
            <w:right w:val="none" w:sz="0" w:space="0" w:color="auto"/>
          </w:divBdr>
          <w:divsChild>
            <w:div w:id="1972206304">
              <w:marLeft w:val="0"/>
              <w:marRight w:val="0"/>
              <w:marTop w:val="0"/>
              <w:marBottom w:val="0"/>
              <w:divBdr>
                <w:top w:val="none" w:sz="0" w:space="0" w:color="auto"/>
                <w:left w:val="none" w:sz="0" w:space="0" w:color="auto"/>
                <w:bottom w:val="none" w:sz="0" w:space="0" w:color="auto"/>
                <w:right w:val="none" w:sz="0" w:space="0" w:color="auto"/>
              </w:divBdr>
              <w:divsChild>
                <w:div w:id="1448967884">
                  <w:marLeft w:val="0"/>
                  <w:marRight w:val="0"/>
                  <w:marTop w:val="0"/>
                  <w:marBottom w:val="0"/>
                  <w:divBdr>
                    <w:top w:val="none" w:sz="0" w:space="0" w:color="auto"/>
                    <w:left w:val="none" w:sz="0" w:space="0" w:color="auto"/>
                    <w:bottom w:val="none" w:sz="0" w:space="0" w:color="auto"/>
                    <w:right w:val="none" w:sz="0" w:space="0" w:color="auto"/>
                  </w:divBdr>
                  <w:divsChild>
                    <w:div w:id="428700789">
                      <w:marLeft w:val="0"/>
                      <w:marRight w:val="0"/>
                      <w:marTop w:val="0"/>
                      <w:marBottom w:val="0"/>
                      <w:divBdr>
                        <w:top w:val="none" w:sz="0" w:space="0" w:color="auto"/>
                        <w:left w:val="none" w:sz="0" w:space="0" w:color="auto"/>
                        <w:bottom w:val="none" w:sz="0" w:space="0" w:color="auto"/>
                        <w:right w:val="none" w:sz="0" w:space="0" w:color="auto"/>
                      </w:divBdr>
                      <w:divsChild>
                        <w:div w:id="233011226">
                          <w:marLeft w:val="0"/>
                          <w:marRight w:val="0"/>
                          <w:marTop w:val="0"/>
                          <w:marBottom w:val="0"/>
                          <w:divBdr>
                            <w:top w:val="none" w:sz="0" w:space="0" w:color="auto"/>
                            <w:left w:val="none" w:sz="0" w:space="0" w:color="auto"/>
                            <w:bottom w:val="none" w:sz="0" w:space="0" w:color="auto"/>
                            <w:right w:val="none" w:sz="0" w:space="0" w:color="auto"/>
                          </w:divBdr>
                          <w:divsChild>
                            <w:div w:id="172497782">
                              <w:marLeft w:val="0"/>
                              <w:marRight w:val="0"/>
                              <w:marTop w:val="0"/>
                              <w:marBottom w:val="0"/>
                              <w:divBdr>
                                <w:top w:val="none" w:sz="0" w:space="0" w:color="auto"/>
                                <w:left w:val="none" w:sz="0" w:space="0" w:color="auto"/>
                                <w:bottom w:val="none" w:sz="0" w:space="0" w:color="auto"/>
                                <w:right w:val="none" w:sz="0" w:space="0" w:color="auto"/>
                              </w:divBdr>
                              <w:divsChild>
                                <w:div w:id="2017491793">
                                  <w:marLeft w:val="0"/>
                                  <w:marRight w:val="0"/>
                                  <w:marTop w:val="0"/>
                                  <w:marBottom w:val="0"/>
                                  <w:divBdr>
                                    <w:top w:val="none" w:sz="0" w:space="0" w:color="auto"/>
                                    <w:left w:val="none" w:sz="0" w:space="0" w:color="auto"/>
                                    <w:bottom w:val="none" w:sz="0" w:space="0" w:color="auto"/>
                                    <w:right w:val="none" w:sz="0" w:space="0" w:color="auto"/>
                                  </w:divBdr>
                                  <w:divsChild>
                                    <w:div w:id="11548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78596">
      <w:bodyDiv w:val="1"/>
      <w:marLeft w:val="0"/>
      <w:marRight w:val="0"/>
      <w:marTop w:val="0"/>
      <w:marBottom w:val="0"/>
      <w:divBdr>
        <w:top w:val="none" w:sz="0" w:space="0" w:color="auto"/>
        <w:left w:val="none" w:sz="0" w:space="0" w:color="auto"/>
        <w:bottom w:val="none" w:sz="0" w:space="0" w:color="auto"/>
        <w:right w:val="none" w:sz="0" w:space="0" w:color="auto"/>
      </w:divBdr>
    </w:div>
    <w:div w:id="116682747">
      <w:bodyDiv w:val="1"/>
      <w:marLeft w:val="0"/>
      <w:marRight w:val="0"/>
      <w:marTop w:val="0"/>
      <w:marBottom w:val="0"/>
      <w:divBdr>
        <w:top w:val="none" w:sz="0" w:space="0" w:color="auto"/>
        <w:left w:val="none" w:sz="0" w:space="0" w:color="auto"/>
        <w:bottom w:val="none" w:sz="0" w:space="0" w:color="auto"/>
        <w:right w:val="none" w:sz="0" w:space="0" w:color="auto"/>
      </w:divBdr>
    </w:div>
    <w:div w:id="137960280">
      <w:bodyDiv w:val="1"/>
      <w:marLeft w:val="0"/>
      <w:marRight w:val="0"/>
      <w:marTop w:val="0"/>
      <w:marBottom w:val="0"/>
      <w:divBdr>
        <w:top w:val="none" w:sz="0" w:space="0" w:color="auto"/>
        <w:left w:val="none" w:sz="0" w:space="0" w:color="auto"/>
        <w:bottom w:val="none" w:sz="0" w:space="0" w:color="auto"/>
        <w:right w:val="none" w:sz="0" w:space="0" w:color="auto"/>
      </w:divBdr>
    </w:div>
    <w:div w:id="159586487">
      <w:bodyDiv w:val="1"/>
      <w:marLeft w:val="0"/>
      <w:marRight w:val="0"/>
      <w:marTop w:val="0"/>
      <w:marBottom w:val="0"/>
      <w:divBdr>
        <w:top w:val="none" w:sz="0" w:space="0" w:color="auto"/>
        <w:left w:val="none" w:sz="0" w:space="0" w:color="auto"/>
        <w:bottom w:val="none" w:sz="0" w:space="0" w:color="auto"/>
        <w:right w:val="none" w:sz="0" w:space="0" w:color="auto"/>
      </w:divBdr>
    </w:div>
    <w:div w:id="162211533">
      <w:bodyDiv w:val="1"/>
      <w:marLeft w:val="0"/>
      <w:marRight w:val="0"/>
      <w:marTop w:val="0"/>
      <w:marBottom w:val="0"/>
      <w:divBdr>
        <w:top w:val="none" w:sz="0" w:space="0" w:color="auto"/>
        <w:left w:val="none" w:sz="0" w:space="0" w:color="auto"/>
        <w:bottom w:val="none" w:sz="0" w:space="0" w:color="auto"/>
        <w:right w:val="none" w:sz="0" w:space="0" w:color="auto"/>
      </w:divBdr>
    </w:div>
    <w:div w:id="167716214">
      <w:bodyDiv w:val="1"/>
      <w:marLeft w:val="0"/>
      <w:marRight w:val="0"/>
      <w:marTop w:val="0"/>
      <w:marBottom w:val="0"/>
      <w:divBdr>
        <w:top w:val="none" w:sz="0" w:space="0" w:color="auto"/>
        <w:left w:val="none" w:sz="0" w:space="0" w:color="auto"/>
        <w:bottom w:val="none" w:sz="0" w:space="0" w:color="auto"/>
        <w:right w:val="none" w:sz="0" w:space="0" w:color="auto"/>
      </w:divBdr>
    </w:div>
    <w:div w:id="185103212">
      <w:bodyDiv w:val="1"/>
      <w:marLeft w:val="0"/>
      <w:marRight w:val="0"/>
      <w:marTop w:val="0"/>
      <w:marBottom w:val="0"/>
      <w:divBdr>
        <w:top w:val="none" w:sz="0" w:space="0" w:color="auto"/>
        <w:left w:val="none" w:sz="0" w:space="0" w:color="auto"/>
        <w:bottom w:val="none" w:sz="0" w:space="0" w:color="auto"/>
        <w:right w:val="none" w:sz="0" w:space="0" w:color="auto"/>
      </w:divBdr>
    </w:div>
    <w:div w:id="192965329">
      <w:bodyDiv w:val="1"/>
      <w:marLeft w:val="0"/>
      <w:marRight w:val="0"/>
      <w:marTop w:val="0"/>
      <w:marBottom w:val="0"/>
      <w:divBdr>
        <w:top w:val="none" w:sz="0" w:space="0" w:color="auto"/>
        <w:left w:val="none" w:sz="0" w:space="0" w:color="auto"/>
        <w:bottom w:val="none" w:sz="0" w:space="0" w:color="auto"/>
        <w:right w:val="none" w:sz="0" w:space="0" w:color="auto"/>
      </w:divBdr>
    </w:div>
    <w:div w:id="202014480">
      <w:bodyDiv w:val="1"/>
      <w:marLeft w:val="0"/>
      <w:marRight w:val="0"/>
      <w:marTop w:val="0"/>
      <w:marBottom w:val="0"/>
      <w:divBdr>
        <w:top w:val="none" w:sz="0" w:space="0" w:color="auto"/>
        <w:left w:val="none" w:sz="0" w:space="0" w:color="auto"/>
        <w:bottom w:val="none" w:sz="0" w:space="0" w:color="auto"/>
        <w:right w:val="none" w:sz="0" w:space="0" w:color="auto"/>
      </w:divBdr>
    </w:div>
    <w:div w:id="240531959">
      <w:bodyDiv w:val="1"/>
      <w:marLeft w:val="0"/>
      <w:marRight w:val="0"/>
      <w:marTop w:val="0"/>
      <w:marBottom w:val="0"/>
      <w:divBdr>
        <w:top w:val="none" w:sz="0" w:space="0" w:color="auto"/>
        <w:left w:val="none" w:sz="0" w:space="0" w:color="auto"/>
        <w:bottom w:val="none" w:sz="0" w:space="0" w:color="auto"/>
        <w:right w:val="none" w:sz="0" w:space="0" w:color="auto"/>
      </w:divBdr>
    </w:div>
    <w:div w:id="277492734">
      <w:bodyDiv w:val="1"/>
      <w:marLeft w:val="0"/>
      <w:marRight w:val="0"/>
      <w:marTop w:val="0"/>
      <w:marBottom w:val="0"/>
      <w:divBdr>
        <w:top w:val="none" w:sz="0" w:space="0" w:color="auto"/>
        <w:left w:val="none" w:sz="0" w:space="0" w:color="auto"/>
        <w:bottom w:val="none" w:sz="0" w:space="0" w:color="auto"/>
        <w:right w:val="none" w:sz="0" w:space="0" w:color="auto"/>
      </w:divBdr>
    </w:div>
    <w:div w:id="286397625">
      <w:bodyDiv w:val="1"/>
      <w:marLeft w:val="0"/>
      <w:marRight w:val="0"/>
      <w:marTop w:val="0"/>
      <w:marBottom w:val="0"/>
      <w:divBdr>
        <w:top w:val="none" w:sz="0" w:space="0" w:color="auto"/>
        <w:left w:val="none" w:sz="0" w:space="0" w:color="auto"/>
        <w:bottom w:val="none" w:sz="0" w:space="0" w:color="auto"/>
        <w:right w:val="none" w:sz="0" w:space="0" w:color="auto"/>
      </w:divBdr>
      <w:divsChild>
        <w:div w:id="5376197">
          <w:marLeft w:val="0"/>
          <w:marRight w:val="0"/>
          <w:marTop w:val="0"/>
          <w:marBottom w:val="0"/>
          <w:divBdr>
            <w:top w:val="none" w:sz="0" w:space="0" w:color="auto"/>
            <w:left w:val="none" w:sz="0" w:space="0" w:color="auto"/>
            <w:bottom w:val="none" w:sz="0" w:space="0" w:color="auto"/>
            <w:right w:val="none" w:sz="0" w:space="0" w:color="auto"/>
          </w:divBdr>
          <w:divsChild>
            <w:div w:id="784812574">
              <w:marLeft w:val="0"/>
              <w:marRight w:val="0"/>
              <w:marTop w:val="0"/>
              <w:marBottom w:val="0"/>
              <w:divBdr>
                <w:top w:val="none" w:sz="0" w:space="0" w:color="auto"/>
                <w:left w:val="none" w:sz="0" w:space="0" w:color="auto"/>
                <w:bottom w:val="none" w:sz="0" w:space="0" w:color="auto"/>
                <w:right w:val="none" w:sz="0" w:space="0" w:color="auto"/>
              </w:divBdr>
              <w:divsChild>
                <w:div w:id="257177351">
                  <w:marLeft w:val="0"/>
                  <w:marRight w:val="0"/>
                  <w:marTop w:val="0"/>
                  <w:marBottom w:val="0"/>
                  <w:divBdr>
                    <w:top w:val="none" w:sz="0" w:space="0" w:color="auto"/>
                    <w:left w:val="none" w:sz="0" w:space="0" w:color="auto"/>
                    <w:bottom w:val="none" w:sz="0" w:space="0" w:color="auto"/>
                    <w:right w:val="none" w:sz="0" w:space="0" w:color="auto"/>
                  </w:divBdr>
                  <w:divsChild>
                    <w:div w:id="1435053109">
                      <w:marLeft w:val="0"/>
                      <w:marRight w:val="0"/>
                      <w:marTop w:val="0"/>
                      <w:marBottom w:val="0"/>
                      <w:divBdr>
                        <w:top w:val="none" w:sz="0" w:space="0" w:color="auto"/>
                        <w:left w:val="none" w:sz="0" w:space="0" w:color="auto"/>
                        <w:bottom w:val="none" w:sz="0" w:space="0" w:color="auto"/>
                        <w:right w:val="none" w:sz="0" w:space="0" w:color="auto"/>
                      </w:divBdr>
                      <w:divsChild>
                        <w:div w:id="745344086">
                          <w:marLeft w:val="0"/>
                          <w:marRight w:val="0"/>
                          <w:marTop w:val="0"/>
                          <w:marBottom w:val="0"/>
                          <w:divBdr>
                            <w:top w:val="none" w:sz="0" w:space="0" w:color="auto"/>
                            <w:left w:val="none" w:sz="0" w:space="0" w:color="auto"/>
                            <w:bottom w:val="none" w:sz="0" w:space="0" w:color="auto"/>
                            <w:right w:val="none" w:sz="0" w:space="0" w:color="auto"/>
                          </w:divBdr>
                          <w:divsChild>
                            <w:div w:id="1221601854">
                              <w:marLeft w:val="0"/>
                              <w:marRight w:val="0"/>
                              <w:marTop w:val="0"/>
                              <w:marBottom w:val="0"/>
                              <w:divBdr>
                                <w:top w:val="none" w:sz="0" w:space="0" w:color="auto"/>
                                <w:left w:val="none" w:sz="0" w:space="0" w:color="auto"/>
                                <w:bottom w:val="none" w:sz="0" w:space="0" w:color="auto"/>
                                <w:right w:val="none" w:sz="0" w:space="0" w:color="auto"/>
                              </w:divBdr>
                              <w:divsChild>
                                <w:div w:id="1508979130">
                                  <w:marLeft w:val="0"/>
                                  <w:marRight w:val="0"/>
                                  <w:marTop w:val="0"/>
                                  <w:marBottom w:val="0"/>
                                  <w:divBdr>
                                    <w:top w:val="none" w:sz="0" w:space="0" w:color="auto"/>
                                    <w:left w:val="none" w:sz="0" w:space="0" w:color="auto"/>
                                    <w:bottom w:val="none" w:sz="0" w:space="0" w:color="auto"/>
                                    <w:right w:val="none" w:sz="0" w:space="0" w:color="auto"/>
                                  </w:divBdr>
                                  <w:divsChild>
                                    <w:div w:id="6544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387269">
      <w:bodyDiv w:val="1"/>
      <w:marLeft w:val="0"/>
      <w:marRight w:val="0"/>
      <w:marTop w:val="0"/>
      <w:marBottom w:val="0"/>
      <w:divBdr>
        <w:top w:val="none" w:sz="0" w:space="0" w:color="auto"/>
        <w:left w:val="none" w:sz="0" w:space="0" w:color="auto"/>
        <w:bottom w:val="none" w:sz="0" w:space="0" w:color="auto"/>
        <w:right w:val="none" w:sz="0" w:space="0" w:color="auto"/>
      </w:divBdr>
    </w:div>
    <w:div w:id="314451669">
      <w:bodyDiv w:val="1"/>
      <w:marLeft w:val="0"/>
      <w:marRight w:val="0"/>
      <w:marTop w:val="0"/>
      <w:marBottom w:val="0"/>
      <w:divBdr>
        <w:top w:val="none" w:sz="0" w:space="0" w:color="auto"/>
        <w:left w:val="none" w:sz="0" w:space="0" w:color="auto"/>
        <w:bottom w:val="none" w:sz="0" w:space="0" w:color="auto"/>
        <w:right w:val="none" w:sz="0" w:space="0" w:color="auto"/>
      </w:divBdr>
    </w:div>
    <w:div w:id="381250644">
      <w:bodyDiv w:val="1"/>
      <w:marLeft w:val="0"/>
      <w:marRight w:val="0"/>
      <w:marTop w:val="0"/>
      <w:marBottom w:val="0"/>
      <w:divBdr>
        <w:top w:val="none" w:sz="0" w:space="0" w:color="auto"/>
        <w:left w:val="none" w:sz="0" w:space="0" w:color="auto"/>
        <w:bottom w:val="none" w:sz="0" w:space="0" w:color="auto"/>
        <w:right w:val="none" w:sz="0" w:space="0" w:color="auto"/>
      </w:divBdr>
    </w:div>
    <w:div w:id="384256894">
      <w:bodyDiv w:val="1"/>
      <w:marLeft w:val="0"/>
      <w:marRight w:val="0"/>
      <w:marTop w:val="0"/>
      <w:marBottom w:val="0"/>
      <w:divBdr>
        <w:top w:val="none" w:sz="0" w:space="0" w:color="auto"/>
        <w:left w:val="none" w:sz="0" w:space="0" w:color="auto"/>
        <w:bottom w:val="none" w:sz="0" w:space="0" w:color="auto"/>
        <w:right w:val="none" w:sz="0" w:space="0" w:color="auto"/>
      </w:divBdr>
    </w:div>
    <w:div w:id="456722459">
      <w:bodyDiv w:val="1"/>
      <w:marLeft w:val="0"/>
      <w:marRight w:val="0"/>
      <w:marTop w:val="0"/>
      <w:marBottom w:val="0"/>
      <w:divBdr>
        <w:top w:val="none" w:sz="0" w:space="0" w:color="auto"/>
        <w:left w:val="none" w:sz="0" w:space="0" w:color="auto"/>
        <w:bottom w:val="none" w:sz="0" w:space="0" w:color="auto"/>
        <w:right w:val="none" w:sz="0" w:space="0" w:color="auto"/>
      </w:divBdr>
    </w:div>
    <w:div w:id="459299237">
      <w:bodyDiv w:val="1"/>
      <w:marLeft w:val="0"/>
      <w:marRight w:val="0"/>
      <w:marTop w:val="0"/>
      <w:marBottom w:val="0"/>
      <w:divBdr>
        <w:top w:val="none" w:sz="0" w:space="0" w:color="auto"/>
        <w:left w:val="none" w:sz="0" w:space="0" w:color="auto"/>
        <w:bottom w:val="none" w:sz="0" w:space="0" w:color="auto"/>
        <w:right w:val="none" w:sz="0" w:space="0" w:color="auto"/>
      </w:divBdr>
    </w:div>
    <w:div w:id="475026612">
      <w:bodyDiv w:val="1"/>
      <w:marLeft w:val="0"/>
      <w:marRight w:val="0"/>
      <w:marTop w:val="0"/>
      <w:marBottom w:val="0"/>
      <w:divBdr>
        <w:top w:val="none" w:sz="0" w:space="0" w:color="auto"/>
        <w:left w:val="none" w:sz="0" w:space="0" w:color="auto"/>
        <w:bottom w:val="none" w:sz="0" w:space="0" w:color="auto"/>
        <w:right w:val="none" w:sz="0" w:space="0" w:color="auto"/>
      </w:divBdr>
    </w:div>
    <w:div w:id="477765707">
      <w:bodyDiv w:val="1"/>
      <w:marLeft w:val="0"/>
      <w:marRight w:val="0"/>
      <w:marTop w:val="0"/>
      <w:marBottom w:val="0"/>
      <w:divBdr>
        <w:top w:val="none" w:sz="0" w:space="0" w:color="auto"/>
        <w:left w:val="none" w:sz="0" w:space="0" w:color="auto"/>
        <w:bottom w:val="none" w:sz="0" w:space="0" w:color="auto"/>
        <w:right w:val="none" w:sz="0" w:space="0" w:color="auto"/>
      </w:divBdr>
    </w:div>
    <w:div w:id="524944990">
      <w:bodyDiv w:val="1"/>
      <w:marLeft w:val="0"/>
      <w:marRight w:val="0"/>
      <w:marTop w:val="0"/>
      <w:marBottom w:val="0"/>
      <w:divBdr>
        <w:top w:val="none" w:sz="0" w:space="0" w:color="auto"/>
        <w:left w:val="none" w:sz="0" w:space="0" w:color="auto"/>
        <w:bottom w:val="none" w:sz="0" w:space="0" w:color="auto"/>
        <w:right w:val="none" w:sz="0" w:space="0" w:color="auto"/>
      </w:divBdr>
    </w:div>
    <w:div w:id="537086269">
      <w:bodyDiv w:val="1"/>
      <w:marLeft w:val="0"/>
      <w:marRight w:val="0"/>
      <w:marTop w:val="0"/>
      <w:marBottom w:val="0"/>
      <w:divBdr>
        <w:top w:val="none" w:sz="0" w:space="0" w:color="auto"/>
        <w:left w:val="none" w:sz="0" w:space="0" w:color="auto"/>
        <w:bottom w:val="none" w:sz="0" w:space="0" w:color="auto"/>
        <w:right w:val="none" w:sz="0" w:space="0" w:color="auto"/>
      </w:divBdr>
    </w:div>
    <w:div w:id="561674110">
      <w:bodyDiv w:val="1"/>
      <w:marLeft w:val="0"/>
      <w:marRight w:val="0"/>
      <w:marTop w:val="0"/>
      <w:marBottom w:val="0"/>
      <w:divBdr>
        <w:top w:val="none" w:sz="0" w:space="0" w:color="auto"/>
        <w:left w:val="none" w:sz="0" w:space="0" w:color="auto"/>
        <w:bottom w:val="none" w:sz="0" w:space="0" w:color="auto"/>
        <w:right w:val="none" w:sz="0" w:space="0" w:color="auto"/>
      </w:divBdr>
    </w:div>
    <w:div w:id="574970051">
      <w:bodyDiv w:val="1"/>
      <w:marLeft w:val="0"/>
      <w:marRight w:val="0"/>
      <w:marTop w:val="0"/>
      <w:marBottom w:val="0"/>
      <w:divBdr>
        <w:top w:val="none" w:sz="0" w:space="0" w:color="auto"/>
        <w:left w:val="none" w:sz="0" w:space="0" w:color="auto"/>
        <w:bottom w:val="none" w:sz="0" w:space="0" w:color="auto"/>
        <w:right w:val="none" w:sz="0" w:space="0" w:color="auto"/>
      </w:divBdr>
    </w:div>
    <w:div w:id="607734515">
      <w:bodyDiv w:val="1"/>
      <w:marLeft w:val="0"/>
      <w:marRight w:val="0"/>
      <w:marTop w:val="0"/>
      <w:marBottom w:val="0"/>
      <w:divBdr>
        <w:top w:val="none" w:sz="0" w:space="0" w:color="auto"/>
        <w:left w:val="none" w:sz="0" w:space="0" w:color="auto"/>
        <w:bottom w:val="none" w:sz="0" w:space="0" w:color="auto"/>
        <w:right w:val="none" w:sz="0" w:space="0" w:color="auto"/>
      </w:divBdr>
    </w:div>
    <w:div w:id="620722025">
      <w:bodyDiv w:val="1"/>
      <w:marLeft w:val="0"/>
      <w:marRight w:val="0"/>
      <w:marTop w:val="0"/>
      <w:marBottom w:val="0"/>
      <w:divBdr>
        <w:top w:val="none" w:sz="0" w:space="0" w:color="auto"/>
        <w:left w:val="none" w:sz="0" w:space="0" w:color="auto"/>
        <w:bottom w:val="none" w:sz="0" w:space="0" w:color="auto"/>
        <w:right w:val="none" w:sz="0" w:space="0" w:color="auto"/>
      </w:divBdr>
    </w:div>
    <w:div w:id="634527970">
      <w:bodyDiv w:val="1"/>
      <w:marLeft w:val="0"/>
      <w:marRight w:val="0"/>
      <w:marTop w:val="0"/>
      <w:marBottom w:val="0"/>
      <w:divBdr>
        <w:top w:val="none" w:sz="0" w:space="0" w:color="auto"/>
        <w:left w:val="none" w:sz="0" w:space="0" w:color="auto"/>
        <w:bottom w:val="none" w:sz="0" w:space="0" w:color="auto"/>
        <w:right w:val="none" w:sz="0" w:space="0" w:color="auto"/>
      </w:divBdr>
    </w:div>
    <w:div w:id="654843393">
      <w:bodyDiv w:val="1"/>
      <w:marLeft w:val="0"/>
      <w:marRight w:val="0"/>
      <w:marTop w:val="0"/>
      <w:marBottom w:val="0"/>
      <w:divBdr>
        <w:top w:val="none" w:sz="0" w:space="0" w:color="auto"/>
        <w:left w:val="none" w:sz="0" w:space="0" w:color="auto"/>
        <w:bottom w:val="none" w:sz="0" w:space="0" w:color="auto"/>
        <w:right w:val="none" w:sz="0" w:space="0" w:color="auto"/>
      </w:divBdr>
    </w:div>
    <w:div w:id="740754070">
      <w:bodyDiv w:val="1"/>
      <w:marLeft w:val="0"/>
      <w:marRight w:val="0"/>
      <w:marTop w:val="0"/>
      <w:marBottom w:val="0"/>
      <w:divBdr>
        <w:top w:val="none" w:sz="0" w:space="0" w:color="auto"/>
        <w:left w:val="none" w:sz="0" w:space="0" w:color="auto"/>
        <w:bottom w:val="none" w:sz="0" w:space="0" w:color="auto"/>
        <w:right w:val="none" w:sz="0" w:space="0" w:color="auto"/>
      </w:divBdr>
    </w:div>
    <w:div w:id="757218526">
      <w:bodyDiv w:val="1"/>
      <w:marLeft w:val="0"/>
      <w:marRight w:val="0"/>
      <w:marTop w:val="0"/>
      <w:marBottom w:val="0"/>
      <w:divBdr>
        <w:top w:val="none" w:sz="0" w:space="0" w:color="auto"/>
        <w:left w:val="none" w:sz="0" w:space="0" w:color="auto"/>
        <w:bottom w:val="none" w:sz="0" w:space="0" w:color="auto"/>
        <w:right w:val="none" w:sz="0" w:space="0" w:color="auto"/>
      </w:divBdr>
    </w:div>
    <w:div w:id="766925614">
      <w:bodyDiv w:val="1"/>
      <w:marLeft w:val="0"/>
      <w:marRight w:val="0"/>
      <w:marTop w:val="0"/>
      <w:marBottom w:val="0"/>
      <w:divBdr>
        <w:top w:val="none" w:sz="0" w:space="0" w:color="auto"/>
        <w:left w:val="none" w:sz="0" w:space="0" w:color="auto"/>
        <w:bottom w:val="none" w:sz="0" w:space="0" w:color="auto"/>
        <w:right w:val="none" w:sz="0" w:space="0" w:color="auto"/>
      </w:divBdr>
    </w:div>
    <w:div w:id="772824317">
      <w:bodyDiv w:val="1"/>
      <w:marLeft w:val="0"/>
      <w:marRight w:val="0"/>
      <w:marTop w:val="0"/>
      <w:marBottom w:val="0"/>
      <w:divBdr>
        <w:top w:val="none" w:sz="0" w:space="0" w:color="auto"/>
        <w:left w:val="none" w:sz="0" w:space="0" w:color="auto"/>
        <w:bottom w:val="none" w:sz="0" w:space="0" w:color="auto"/>
        <w:right w:val="none" w:sz="0" w:space="0" w:color="auto"/>
      </w:divBdr>
    </w:div>
    <w:div w:id="773283201">
      <w:bodyDiv w:val="1"/>
      <w:marLeft w:val="0"/>
      <w:marRight w:val="0"/>
      <w:marTop w:val="0"/>
      <w:marBottom w:val="0"/>
      <w:divBdr>
        <w:top w:val="none" w:sz="0" w:space="0" w:color="auto"/>
        <w:left w:val="none" w:sz="0" w:space="0" w:color="auto"/>
        <w:bottom w:val="none" w:sz="0" w:space="0" w:color="auto"/>
        <w:right w:val="none" w:sz="0" w:space="0" w:color="auto"/>
      </w:divBdr>
    </w:div>
    <w:div w:id="786781397">
      <w:bodyDiv w:val="1"/>
      <w:marLeft w:val="0"/>
      <w:marRight w:val="0"/>
      <w:marTop w:val="0"/>
      <w:marBottom w:val="0"/>
      <w:divBdr>
        <w:top w:val="none" w:sz="0" w:space="0" w:color="auto"/>
        <w:left w:val="none" w:sz="0" w:space="0" w:color="auto"/>
        <w:bottom w:val="none" w:sz="0" w:space="0" w:color="auto"/>
        <w:right w:val="none" w:sz="0" w:space="0" w:color="auto"/>
      </w:divBdr>
    </w:div>
    <w:div w:id="806819113">
      <w:bodyDiv w:val="1"/>
      <w:marLeft w:val="0"/>
      <w:marRight w:val="0"/>
      <w:marTop w:val="0"/>
      <w:marBottom w:val="0"/>
      <w:divBdr>
        <w:top w:val="none" w:sz="0" w:space="0" w:color="auto"/>
        <w:left w:val="none" w:sz="0" w:space="0" w:color="auto"/>
        <w:bottom w:val="none" w:sz="0" w:space="0" w:color="auto"/>
        <w:right w:val="none" w:sz="0" w:space="0" w:color="auto"/>
      </w:divBdr>
    </w:div>
    <w:div w:id="831487719">
      <w:bodyDiv w:val="1"/>
      <w:marLeft w:val="0"/>
      <w:marRight w:val="0"/>
      <w:marTop w:val="0"/>
      <w:marBottom w:val="0"/>
      <w:divBdr>
        <w:top w:val="none" w:sz="0" w:space="0" w:color="auto"/>
        <w:left w:val="none" w:sz="0" w:space="0" w:color="auto"/>
        <w:bottom w:val="none" w:sz="0" w:space="0" w:color="auto"/>
        <w:right w:val="none" w:sz="0" w:space="0" w:color="auto"/>
      </w:divBdr>
    </w:div>
    <w:div w:id="840005460">
      <w:bodyDiv w:val="1"/>
      <w:marLeft w:val="0"/>
      <w:marRight w:val="0"/>
      <w:marTop w:val="0"/>
      <w:marBottom w:val="0"/>
      <w:divBdr>
        <w:top w:val="none" w:sz="0" w:space="0" w:color="auto"/>
        <w:left w:val="none" w:sz="0" w:space="0" w:color="auto"/>
        <w:bottom w:val="none" w:sz="0" w:space="0" w:color="auto"/>
        <w:right w:val="none" w:sz="0" w:space="0" w:color="auto"/>
      </w:divBdr>
    </w:div>
    <w:div w:id="858348687">
      <w:bodyDiv w:val="1"/>
      <w:marLeft w:val="0"/>
      <w:marRight w:val="0"/>
      <w:marTop w:val="0"/>
      <w:marBottom w:val="0"/>
      <w:divBdr>
        <w:top w:val="none" w:sz="0" w:space="0" w:color="auto"/>
        <w:left w:val="none" w:sz="0" w:space="0" w:color="auto"/>
        <w:bottom w:val="none" w:sz="0" w:space="0" w:color="auto"/>
        <w:right w:val="none" w:sz="0" w:space="0" w:color="auto"/>
      </w:divBdr>
    </w:div>
    <w:div w:id="861087551">
      <w:bodyDiv w:val="1"/>
      <w:marLeft w:val="0"/>
      <w:marRight w:val="0"/>
      <w:marTop w:val="0"/>
      <w:marBottom w:val="0"/>
      <w:divBdr>
        <w:top w:val="none" w:sz="0" w:space="0" w:color="auto"/>
        <w:left w:val="none" w:sz="0" w:space="0" w:color="auto"/>
        <w:bottom w:val="none" w:sz="0" w:space="0" w:color="auto"/>
        <w:right w:val="none" w:sz="0" w:space="0" w:color="auto"/>
      </w:divBdr>
    </w:div>
    <w:div w:id="861092189">
      <w:bodyDiv w:val="1"/>
      <w:marLeft w:val="0"/>
      <w:marRight w:val="0"/>
      <w:marTop w:val="0"/>
      <w:marBottom w:val="0"/>
      <w:divBdr>
        <w:top w:val="none" w:sz="0" w:space="0" w:color="auto"/>
        <w:left w:val="none" w:sz="0" w:space="0" w:color="auto"/>
        <w:bottom w:val="none" w:sz="0" w:space="0" w:color="auto"/>
        <w:right w:val="none" w:sz="0" w:space="0" w:color="auto"/>
      </w:divBdr>
    </w:div>
    <w:div w:id="871114360">
      <w:bodyDiv w:val="1"/>
      <w:marLeft w:val="0"/>
      <w:marRight w:val="0"/>
      <w:marTop w:val="0"/>
      <w:marBottom w:val="0"/>
      <w:divBdr>
        <w:top w:val="none" w:sz="0" w:space="0" w:color="auto"/>
        <w:left w:val="none" w:sz="0" w:space="0" w:color="auto"/>
        <w:bottom w:val="none" w:sz="0" w:space="0" w:color="auto"/>
        <w:right w:val="none" w:sz="0" w:space="0" w:color="auto"/>
      </w:divBdr>
    </w:div>
    <w:div w:id="872184342">
      <w:bodyDiv w:val="1"/>
      <w:marLeft w:val="0"/>
      <w:marRight w:val="0"/>
      <w:marTop w:val="0"/>
      <w:marBottom w:val="0"/>
      <w:divBdr>
        <w:top w:val="none" w:sz="0" w:space="0" w:color="auto"/>
        <w:left w:val="none" w:sz="0" w:space="0" w:color="auto"/>
        <w:bottom w:val="none" w:sz="0" w:space="0" w:color="auto"/>
        <w:right w:val="none" w:sz="0" w:space="0" w:color="auto"/>
      </w:divBdr>
    </w:div>
    <w:div w:id="872766907">
      <w:bodyDiv w:val="1"/>
      <w:marLeft w:val="0"/>
      <w:marRight w:val="0"/>
      <w:marTop w:val="0"/>
      <w:marBottom w:val="0"/>
      <w:divBdr>
        <w:top w:val="none" w:sz="0" w:space="0" w:color="auto"/>
        <w:left w:val="none" w:sz="0" w:space="0" w:color="auto"/>
        <w:bottom w:val="none" w:sz="0" w:space="0" w:color="auto"/>
        <w:right w:val="none" w:sz="0" w:space="0" w:color="auto"/>
      </w:divBdr>
    </w:div>
    <w:div w:id="874081038">
      <w:bodyDiv w:val="1"/>
      <w:marLeft w:val="0"/>
      <w:marRight w:val="0"/>
      <w:marTop w:val="0"/>
      <w:marBottom w:val="0"/>
      <w:divBdr>
        <w:top w:val="none" w:sz="0" w:space="0" w:color="auto"/>
        <w:left w:val="none" w:sz="0" w:space="0" w:color="auto"/>
        <w:bottom w:val="none" w:sz="0" w:space="0" w:color="auto"/>
        <w:right w:val="none" w:sz="0" w:space="0" w:color="auto"/>
      </w:divBdr>
    </w:div>
    <w:div w:id="877473972">
      <w:bodyDiv w:val="1"/>
      <w:marLeft w:val="0"/>
      <w:marRight w:val="0"/>
      <w:marTop w:val="0"/>
      <w:marBottom w:val="0"/>
      <w:divBdr>
        <w:top w:val="none" w:sz="0" w:space="0" w:color="auto"/>
        <w:left w:val="none" w:sz="0" w:space="0" w:color="auto"/>
        <w:bottom w:val="none" w:sz="0" w:space="0" w:color="auto"/>
        <w:right w:val="none" w:sz="0" w:space="0" w:color="auto"/>
      </w:divBdr>
    </w:div>
    <w:div w:id="889465080">
      <w:bodyDiv w:val="1"/>
      <w:marLeft w:val="0"/>
      <w:marRight w:val="0"/>
      <w:marTop w:val="0"/>
      <w:marBottom w:val="0"/>
      <w:divBdr>
        <w:top w:val="none" w:sz="0" w:space="0" w:color="auto"/>
        <w:left w:val="none" w:sz="0" w:space="0" w:color="auto"/>
        <w:bottom w:val="none" w:sz="0" w:space="0" w:color="auto"/>
        <w:right w:val="none" w:sz="0" w:space="0" w:color="auto"/>
      </w:divBdr>
      <w:divsChild>
        <w:div w:id="1728801727">
          <w:marLeft w:val="0"/>
          <w:marRight w:val="0"/>
          <w:marTop w:val="0"/>
          <w:marBottom w:val="0"/>
          <w:divBdr>
            <w:top w:val="none" w:sz="0" w:space="0" w:color="auto"/>
            <w:left w:val="none" w:sz="0" w:space="0" w:color="auto"/>
            <w:bottom w:val="none" w:sz="0" w:space="0" w:color="auto"/>
            <w:right w:val="none" w:sz="0" w:space="0" w:color="auto"/>
          </w:divBdr>
          <w:divsChild>
            <w:div w:id="1223103702">
              <w:marLeft w:val="0"/>
              <w:marRight w:val="0"/>
              <w:marTop w:val="0"/>
              <w:marBottom w:val="0"/>
              <w:divBdr>
                <w:top w:val="none" w:sz="0" w:space="0" w:color="auto"/>
                <w:left w:val="none" w:sz="0" w:space="0" w:color="auto"/>
                <w:bottom w:val="none" w:sz="0" w:space="0" w:color="auto"/>
                <w:right w:val="none" w:sz="0" w:space="0" w:color="auto"/>
              </w:divBdr>
              <w:divsChild>
                <w:div w:id="2144419439">
                  <w:marLeft w:val="0"/>
                  <w:marRight w:val="0"/>
                  <w:marTop w:val="0"/>
                  <w:marBottom w:val="0"/>
                  <w:divBdr>
                    <w:top w:val="none" w:sz="0" w:space="0" w:color="auto"/>
                    <w:left w:val="none" w:sz="0" w:space="0" w:color="auto"/>
                    <w:bottom w:val="none" w:sz="0" w:space="0" w:color="auto"/>
                    <w:right w:val="none" w:sz="0" w:space="0" w:color="auto"/>
                  </w:divBdr>
                  <w:divsChild>
                    <w:div w:id="346251721">
                      <w:marLeft w:val="0"/>
                      <w:marRight w:val="0"/>
                      <w:marTop w:val="0"/>
                      <w:marBottom w:val="0"/>
                      <w:divBdr>
                        <w:top w:val="none" w:sz="0" w:space="0" w:color="auto"/>
                        <w:left w:val="none" w:sz="0" w:space="0" w:color="auto"/>
                        <w:bottom w:val="none" w:sz="0" w:space="0" w:color="auto"/>
                        <w:right w:val="none" w:sz="0" w:space="0" w:color="auto"/>
                      </w:divBdr>
                      <w:divsChild>
                        <w:div w:id="1742171137">
                          <w:marLeft w:val="0"/>
                          <w:marRight w:val="0"/>
                          <w:marTop w:val="0"/>
                          <w:marBottom w:val="0"/>
                          <w:divBdr>
                            <w:top w:val="none" w:sz="0" w:space="0" w:color="auto"/>
                            <w:left w:val="none" w:sz="0" w:space="0" w:color="auto"/>
                            <w:bottom w:val="none" w:sz="0" w:space="0" w:color="auto"/>
                            <w:right w:val="none" w:sz="0" w:space="0" w:color="auto"/>
                          </w:divBdr>
                          <w:divsChild>
                            <w:div w:id="1205632578">
                              <w:marLeft w:val="0"/>
                              <w:marRight w:val="0"/>
                              <w:marTop w:val="0"/>
                              <w:marBottom w:val="0"/>
                              <w:divBdr>
                                <w:top w:val="none" w:sz="0" w:space="0" w:color="auto"/>
                                <w:left w:val="none" w:sz="0" w:space="0" w:color="auto"/>
                                <w:bottom w:val="none" w:sz="0" w:space="0" w:color="auto"/>
                                <w:right w:val="none" w:sz="0" w:space="0" w:color="auto"/>
                              </w:divBdr>
                              <w:divsChild>
                                <w:div w:id="1080373677">
                                  <w:marLeft w:val="0"/>
                                  <w:marRight w:val="0"/>
                                  <w:marTop w:val="0"/>
                                  <w:marBottom w:val="0"/>
                                  <w:divBdr>
                                    <w:top w:val="none" w:sz="0" w:space="0" w:color="auto"/>
                                    <w:left w:val="none" w:sz="0" w:space="0" w:color="auto"/>
                                    <w:bottom w:val="none" w:sz="0" w:space="0" w:color="auto"/>
                                    <w:right w:val="none" w:sz="0" w:space="0" w:color="auto"/>
                                  </w:divBdr>
                                  <w:divsChild>
                                    <w:div w:id="11805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934497">
      <w:bodyDiv w:val="1"/>
      <w:marLeft w:val="0"/>
      <w:marRight w:val="0"/>
      <w:marTop w:val="0"/>
      <w:marBottom w:val="0"/>
      <w:divBdr>
        <w:top w:val="none" w:sz="0" w:space="0" w:color="auto"/>
        <w:left w:val="none" w:sz="0" w:space="0" w:color="auto"/>
        <w:bottom w:val="none" w:sz="0" w:space="0" w:color="auto"/>
        <w:right w:val="none" w:sz="0" w:space="0" w:color="auto"/>
      </w:divBdr>
    </w:div>
    <w:div w:id="896166562">
      <w:bodyDiv w:val="1"/>
      <w:marLeft w:val="0"/>
      <w:marRight w:val="0"/>
      <w:marTop w:val="0"/>
      <w:marBottom w:val="0"/>
      <w:divBdr>
        <w:top w:val="none" w:sz="0" w:space="0" w:color="auto"/>
        <w:left w:val="none" w:sz="0" w:space="0" w:color="auto"/>
        <w:bottom w:val="none" w:sz="0" w:space="0" w:color="auto"/>
        <w:right w:val="none" w:sz="0" w:space="0" w:color="auto"/>
      </w:divBdr>
      <w:divsChild>
        <w:div w:id="831527111">
          <w:marLeft w:val="0"/>
          <w:marRight w:val="0"/>
          <w:marTop w:val="0"/>
          <w:marBottom w:val="0"/>
          <w:divBdr>
            <w:top w:val="none" w:sz="0" w:space="0" w:color="auto"/>
            <w:left w:val="none" w:sz="0" w:space="0" w:color="auto"/>
            <w:bottom w:val="none" w:sz="0" w:space="0" w:color="auto"/>
            <w:right w:val="none" w:sz="0" w:space="0" w:color="auto"/>
          </w:divBdr>
          <w:divsChild>
            <w:div w:id="1865560469">
              <w:marLeft w:val="0"/>
              <w:marRight w:val="0"/>
              <w:marTop w:val="0"/>
              <w:marBottom w:val="0"/>
              <w:divBdr>
                <w:top w:val="none" w:sz="0" w:space="0" w:color="auto"/>
                <w:left w:val="none" w:sz="0" w:space="0" w:color="auto"/>
                <w:bottom w:val="none" w:sz="0" w:space="0" w:color="auto"/>
                <w:right w:val="none" w:sz="0" w:space="0" w:color="auto"/>
              </w:divBdr>
              <w:divsChild>
                <w:div w:id="1304122593">
                  <w:marLeft w:val="0"/>
                  <w:marRight w:val="0"/>
                  <w:marTop w:val="0"/>
                  <w:marBottom w:val="0"/>
                  <w:divBdr>
                    <w:top w:val="none" w:sz="0" w:space="0" w:color="auto"/>
                    <w:left w:val="none" w:sz="0" w:space="0" w:color="auto"/>
                    <w:bottom w:val="none" w:sz="0" w:space="0" w:color="auto"/>
                    <w:right w:val="none" w:sz="0" w:space="0" w:color="auto"/>
                  </w:divBdr>
                  <w:divsChild>
                    <w:div w:id="1986275560">
                      <w:marLeft w:val="0"/>
                      <w:marRight w:val="0"/>
                      <w:marTop w:val="0"/>
                      <w:marBottom w:val="0"/>
                      <w:divBdr>
                        <w:top w:val="none" w:sz="0" w:space="0" w:color="auto"/>
                        <w:left w:val="none" w:sz="0" w:space="0" w:color="auto"/>
                        <w:bottom w:val="none" w:sz="0" w:space="0" w:color="auto"/>
                        <w:right w:val="none" w:sz="0" w:space="0" w:color="auto"/>
                      </w:divBdr>
                      <w:divsChild>
                        <w:div w:id="847720057">
                          <w:marLeft w:val="0"/>
                          <w:marRight w:val="0"/>
                          <w:marTop w:val="0"/>
                          <w:marBottom w:val="0"/>
                          <w:divBdr>
                            <w:top w:val="none" w:sz="0" w:space="0" w:color="auto"/>
                            <w:left w:val="none" w:sz="0" w:space="0" w:color="auto"/>
                            <w:bottom w:val="none" w:sz="0" w:space="0" w:color="auto"/>
                            <w:right w:val="none" w:sz="0" w:space="0" w:color="auto"/>
                          </w:divBdr>
                          <w:divsChild>
                            <w:div w:id="899632298">
                              <w:marLeft w:val="0"/>
                              <w:marRight w:val="0"/>
                              <w:marTop w:val="0"/>
                              <w:marBottom w:val="0"/>
                              <w:divBdr>
                                <w:top w:val="none" w:sz="0" w:space="0" w:color="auto"/>
                                <w:left w:val="none" w:sz="0" w:space="0" w:color="auto"/>
                                <w:bottom w:val="none" w:sz="0" w:space="0" w:color="auto"/>
                                <w:right w:val="none" w:sz="0" w:space="0" w:color="auto"/>
                              </w:divBdr>
                              <w:divsChild>
                                <w:div w:id="1650666424">
                                  <w:marLeft w:val="0"/>
                                  <w:marRight w:val="0"/>
                                  <w:marTop w:val="0"/>
                                  <w:marBottom w:val="0"/>
                                  <w:divBdr>
                                    <w:top w:val="none" w:sz="0" w:space="0" w:color="auto"/>
                                    <w:left w:val="none" w:sz="0" w:space="0" w:color="auto"/>
                                    <w:bottom w:val="none" w:sz="0" w:space="0" w:color="auto"/>
                                    <w:right w:val="none" w:sz="0" w:space="0" w:color="auto"/>
                                  </w:divBdr>
                                  <w:divsChild>
                                    <w:div w:id="21263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11272">
      <w:bodyDiv w:val="1"/>
      <w:marLeft w:val="0"/>
      <w:marRight w:val="0"/>
      <w:marTop w:val="0"/>
      <w:marBottom w:val="0"/>
      <w:divBdr>
        <w:top w:val="none" w:sz="0" w:space="0" w:color="auto"/>
        <w:left w:val="none" w:sz="0" w:space="0" w:color="auto"/>
        <w:bottom w:val="none" w:sz="0" w:space="0" w:color="auto"/>
        <w:right w:val="none" w:sz="0" w:space="0" w:color="auto"/>
      </w:divBdr>
      <w:divsChild>
        <w:div w:id="1199126859">
          <w:marLeft w:val="0"/>
          <w:marRight w:val="0"/>
          <w:marTop w:val="0"/>
          <w:marBottom w:val="0"/>
          <w:divBdr>
            <w:top w:val="none" w:sz="0" w:space="0" w:color="auto"/>
            <w:left w:val="none" w:sz="0" w:space="0" w:color="auto"/>
            <w:bottom w:val="none" w:sz="0" w:space="0" w:color="auto"/>
            <w:right w:val="none" w:sz="0" w:space="0" w:color="auto"/>
          </w:divBdr>
          <w:divsChild>
            <w:div w:id="1187790601">
              <w:marLeft w:val="0"/>
              <w:marRight w:val="0"/>
              <w:marTop w:val="0"/>
              <w:marBottom w:val="0"/>
              <w:divBdr>
                <w:top w:val="none" w:sz="0" w:space="0" w:color="auto"/>
                <w:left w:val="none" w:sz="0" w:space="0" w:color="auto"/>
                <w:bottom w:val="none" w:sz="0" w:space="0" w:color="auto"/>
                <w:right w:val="none" w:sz="0" w:space="0" w:color="auto"/>
              </w:divBdr>
              <w:divsChild>
                <w:div w:id="1072116975">
                  <w:marLeft w:val="0"/>
                  <w:marRight w:val="0"/>
                  <w:marTop w:val="0"/>
                  <w:marBottom w:val="0"/>
                  <w:divBdr>
                    <w:top w:val="none" w:sz="0" w:space="0" w:color="auto"/>
                    <w:left w:val="none" w:sz="0" w:space="0" w:color="auto"/>
                    <w:bottom w:val="none" w:sz="0" w:space="0" w:color="auto"/>
                    <w:right w:val="none" w:sz="0" w:space="0" w:color="auto"/>
                  </w:divBdr>
                  <w:divsChild>
                    <w:div w:id="895432779">
                      <w:marLeft w:val="0"/>
                      <w:marRight w:val="0"/>
                      <w:marTop w:val="0"/>
                      <w:marBottom w:val="0"/>
                      <w:divBdr>
                        <w:top w:val="none" w:sz="0" w:space="0" w:color="auto"/>
                        <w:left w:val="none" w:sz="0" w:space="0" w:color="auto"/>
                        <w:bottom w:val="none" w:sz="0" w:space="0" w:color="auto"/>
                        <w:right w:val="none" w:sz="0" w:space="0" w:color="auto"/>
                      </w:divBdr>
                      <w:divsChild>
                        <w:div w:id="1399326258">
                          <w:marLeft w:val="0"/>
                          <w:marRight w:val="0"/>
                          <w:marTop w:val="0"/>
                          <w:marBottom w:val="0"/>
                          <w:divBdr>
                            <w:top w:val="none" w:sz="0" w:space="0" w:color="auto"/>
                            <w:left w:val="none" w:sz="0" w:space="0" w:color="auto"/>
                            <w:bottom w:val="none" w:sz="0" w:space="0" w:color="auto"/>
                            <w:right w:val="none" w:sz="0" w:space="0" w:color="auto"/>
                          </w:divBdr>
                          <w:divsChild>
                            <w:div w:id="305470785">
                              <w:marLeft w:val="0"/>
                              <w:marRight w:val="0"/>
                              <w:marTop w:val="0"/>
                              <w:marBottom w:val="0"/>
                              <w:divBdr>
                                <w:top w:val="none" w:sz="0" w:space="0" w:color="auto"/>
                                <w:left w:val="none" w:sz="0" w:space="0" w:color="auto"/>
                                <w:bottom w:val="none" w:sz="0" w:space="0" w:color="auto"/>
                                <w:right w:val="none" w:sz="0" w:space="0" w:color="auto"/>
                              </w:divBdr>
                              <w:divsChild>
                                <w:div w:id="1093471216">
                                  <w:marLeft w:val="0"/>
                                  <w:marRight w:val="0"/>
                                  <w:marTop w:val="0"/>
                                  <w:marBottom w:val="0"/>
                                  <w:divBdr>
                                    <w:top w:val="none" w:sz="0" w:space="0" w:color="auto"/>
                                    <w:left w:val="none" w:sz="0" w:space="0" w:color="auto"/>
                                    <w:bottom w:val="none" w:sz="0" w:space="0" w:color="auto"/>
                                    <w:right w:val="none" w:sz="0" w:space="0" w:color="auto"/>
                                  </w:divBdr>
                                  <w:divsChild>
                                    <w:div w:id="1401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554614">
      <w:bodyDiv w:val="1"/>
      <w:marLeft w:val="0"/>
      <w:marRight w:val="0"/>
      <w:marTop w:val="0"/>
      <w:marBottom w:val="0"/>
      <w:divBdr>
        <w:top w:val="none" w:sz="0" w:space="0" w:color="auto"/>
        <w:left w:val="none" w:sz="0" w:space="0" w:color="auto"/>
        <w:bottom w:val="none" w:sz="0" w:space="0" w:color="auto"/>
        <w:right w:val="none" w:sz="0" w:space="0" w:color="auto"/>
      </w:divBdr>
    </w:div>
    <w:div w:id="939334635">
      <w:bodyDiv w:val="1"/>
      <w:marLeft w:val="0"/>
      <w:marRight w:val="0"/>
      <w:marTop w:val="0"/>
      <w:marBottom w:val="0"/>
      <w:divBdr>
        <w:top w:val="none" w:sz="0" w:space="0" w:color="auto"/>
        <w:left w:val="none" w:sz="0" w:space="0" w:color="auto"/>
        <w:bottom w:val="none" w:sz="0" w:space="0" w:color="auto"/>
        <w:right w:val="none" w:sz="0" w:space="0" w:color="auto"/>
      </w:divBdr>
      <w:divsChild>
        <w:div w:id="285744806">
          <w:marLeft w:val="0"/>
          <w:marRight w:val="0"/>
          <w:marTop w:val="0"/>
          <w:marBottom w:val="0"/>
          <w:divBdr>
            <w:top w:val="none" w:sz="0" w:space="0" w:color="auto"/>
            <w:left w:val="none" w:sz="0" w:space="0" w:color="auto"/>
            <w:bottom w:val="none" w:sz="0" w:space="0" w:color="auto"/>
            <w:right w:val="none" w:sz="0" w:space="0" w:color="auto"/>
          </w:divBdr>
          <w:divsChild>
            <w:div w:id="638269771">
              <w:marLeft w:val="0"/>
              <w:marRight w:val="0"/>
              <w:marTop w:val="0"/>
              <w:marBottom w:val="0"/>
              <w:divBdr>
                <w:top w:val="none" w:sz="0" w:space="0" w:color="auto"/>
                <w:left w:val="none" w:sz="0" w:space="0" w:color="auto"/>
                <w:bottom w:val="none" w:sz="0" w:space="0" w:color="auto"/>
                <w:right w:val="none" w:sz="0" w:space="0" w:color="auto"/>
              </w:divBdr>
              <w:divsChild>
                <w:div w:id="1742100233">
                  <w:marLeft w:val="0"/>
                  <w:marRight w:val="0"/>
                  <w:marTop w:val="0"/>
                  <w:marBottom w:val="0"/>
                  <w:divBdr>
                    <w:top w:val="none" w:sz="0" w:space="0" w:color="auto"/>
                    <w:left w:val="none" w:sz="0" w:space="0" w:color="auto"/>
                    <w:bottom w:val="none" w:sz="0" w:space="0" w:color="auto"/>
                    <w:right w:val="none" w:sz="0" w:space="0" w:color="auto"/>
                  </w:divBdr>
                  <w:divsChild>
                    <w:div w:id="957681531">
                      <w:marLeft w:val="0"/>
                      <w:marRight w:val="0"/>
                      <w:marTop w:val="0"/>
                      <w:marBottom w:val="0"/>
                      <w:divBdr>
                        <w:top w:val="none" w:sz="0" w:space="0" w:color="auto"/>
                        <w:left w:val="none" w:sz="0" w:space="0" w:color="auto"/>
                        <w:bottom w:val="none" w:sz="0" w:space="0" w:color="auto"/>
                        <w:right w:val="none" w:sz="0" w:space="0" w:color="auto"/>
                      </w:divBdr>
                      <w:divsChild>
                        <w:div w:id="1399521665">
                          <w:marLeft w:val="0"/>
                          <w:marRight w:val="0"/>
                          <w:marTop w:val="0"/>
                          <w:marBottom w:val="0"/>
                          <w:divBdr>
                            <w:top w:val="none" w:sz="0" w:space="0" w:color="auto"/>
                            <w:left w:val="none" w:sz="0" w:space="0" w:color="auto"/>
                            <w:bottom w:val="none" w:sz="0" w:space="0" w:color="auto"/>
                            <w:right w:val="none" w:sz="0" w:space="0" w:color="auto"/>
                          </w:divBdr>
                          <w:divsChild>
                            <w:div w:id="564873016">
                              <w:marLeft w:val="0"/>
                              <w:marRight w:val="0"/>
                              <w:marTop w:val="0"/>
                              <w:marBottom w:val="0"/>
                              <w:divBdr>
                                <w:top w:val="none" w:sz="0" w:space="0" w:color="auto"/>
                                <w:left w:val="none" w:sz="0" w:space="0" w:color="auto"/>
                                <w:bottom w:val="none" w:sz="0" w:space="0" w:color="auto"/>
                                <w:right w:val="none" w:sz="0" w:space="0" w:color="auto"/>
                              </w:divBdr>
                              <w:divsChild>
                                <w:div w:id="1843231553">
                                  <w:marLeft w:val="0"/>
                                  <w:marRight w:val="0"/>
                                  <w:marTop w:val="0"/>
                                  <w:marBottom w:val="0"/>
                                  <w:divBdr>
                                    <w:top w:val="none" w:sz="0" w:space="0" w:color="auto"/>
                                    <w:left w:val="none" w:sz="0" w:space="0" w:color="auto"/>
                                    <w:bottom w:val="none" w:sz="0" w:space="0" w:color="auto"/>
                                    <w:right w:val="none" w:sz="0" w:space="0" w:color="auto"/>
                                  </w:divBdr>
                                  <w:divsChild>
                                    <w:div w:id="6085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454238">
      <w:bodyDiv w:val="1"/>
      <w:marLeft w:val="0"/>
      <w:marRight w:val="0"/>
      <w:marTop w:val="0"/>
      <w:marBottom w:val="0"/>
      <w:divBdr>
        <w:top w:val="none" w:sz="0" w:space="0" w:color="auto"/>
        <w:left w:val="none" w:sz="0" w:space="0" w:color="auto"/>
        <w:bottom w:val="none" w:sz="0" w:space="0" w:color="auto"/>
        <w:right w:val="none" w:sz="0" w:space="0" w:color="auto"/>
      </w:divBdr>
    </w:div>
    <w:div w:id="949430748">
      <w:bodyDiv w:val="1"/>
      <w:marLeft w:val="0"/>
      <w:marRight w:val="0"/>
      <w:marTop w:val="0"/>
      <w:marBottom w:val="0"/>
      <w:divBdr>
        <w:top w:val="none" w:sz="0" w:space="0" w:color="auto"/>
        <w:left w:val="none" w:sz="0" w:space="0" w:color="auto"/>
        <w:bottom w:val="none" w:sz="0" w:space="0" w:color="auto"/>
        <w:right w:val="none" w:sz="0" w:space="0" w:color="auto"/>
      </w:divBdr>
    </w:div>
    <w:div w:id="954941018">
      <w:bodyDiv w:val="1"/>
      <w:marLeft w:val="0"/>
      <w:marRight w:val="0"/>
      <w:marTop w:val="0"/>
      <w:marBottom w:val="0"/>
      <w:divBdr>
        <w:top w:val="none" w:sz="0" w:space="0" w:color="auto"/>
        <w:left w:val="none" w:sz="0" w:space="0" w:color="auto"/>
        <w:bottom w:val="none" w:sz="0" w:space="0" w:color="auto"/>
        <w:right w:val="none" w:sz="0" w:space="0" w:color="auto"/>
      </w:divBdr>
    </w:div>
    <w:div w:id="1000623352">
      <w:bodyDiv w:val="1"/>
      <w:marLeft w:val="0"/>
      <w:marRight w:val="0"/>
      <w:marTop w:val="0"/>
      <w:marBottom w:val="0"/>
      <w:divBdr>
        <w:top w:val="none" w:sz="0" w:space="0" w:color="auto"/>
        <w:left w:val="none" w:sz="0" w:space="0" w:color="auto"/>
        <w:bottom w:val="none" w:sz="0" w:space="0" w:color="auto"/>
        <w:right w:val="none" w:sz="0" w:space="0" w:color="auto"/>
      </w:divBdr>
    </w:div>
    <w:div w:id="1005478462">
      <w:bodyDiv w:val="1"/>
      <w:marLeft w:val="0"/>
      <w:marRight w:val="0"/>
      <w:marTop w:val="0"/>
      <w:marBottom w:val="0"/>
      <w:divBdr>
        <w:top w:val="none" w:sz="0" w:space="0" w:color="auto"/>
        <w:left w:val="none" w:sz="0" w:space="0" w:color="auto"/>
        <w:bottom w:val="none" w:sz="0" w:space="0" w:color="auto"/>
        <w:right w:val="none" w:sz="0" w:space="0" w:color="auto"/>
      </w:divBdr>
    </w:div>
    <w:div w:id="1022587271">
      <w:bodyDiv w:val="1"/>
      <w:marLeft w:val="0"/>
      <w:marRight w:val="0"/>
      <w:marTop w:val="0"/>
      <w:marBottom w:val="0"/>
      <w:divBdr>
        <w:top w:val="none" w:sz="0" w:space="0" w:color="auto"/>
        <w:left w:val="none" w:sz="0" w:space="0" w:color="auto"/>
        <w:bottom w:val="none" w:sz="0" w:space="0" w:color="auto"/>
        <w:right w:val="none" w:sz="0" w:space="0" w:color="auto"/>
      </w:divBdr>
    </w:div>
    <w:div w:id="1025445513">
      <w:bodyDiv w:val="1"/>
      <w:marLeft w:val="0"/>
      <w:marRight w:val="0"/>
      <w:marTop w:val="0"/>
      <w:marBottom w:val="0"/>
      <w:divBdr>
        <w:top w:val="none" w:sz="0" w:space="0" w:color="auto"/>
        <w:left w:val="none" w:sz="0" w:space="0" w:color="auto"/>
        <w:bottom w:val="none" w:sz="0" w:space="0" w:color="auto"/>
        <w:right w:val="none" w:sz="0" w:space="0" w:color="auto"/>
      </w:divBdr>
    </w:div>
    <w:div w:id="1045299648">
      <w:bodyDiv w:val="1"/>
      <w:marLeft w:val="0"/>
      <w:marRight w:val="0"/>
      <w:marTop w:val="0"/>
      <w:marBottom w:val="0"/>
      <w:divBdr>
        <w:top w:val="none" w:sz="0" w:space="0" w:color="auto"/>
        <w:left w:val="none" w:sz="0" w:space="0" w:color="auto"/>
        <w:bottom w:val="none" w:sz="0" w:space="0" w:color="auto"/>
        <w:right w:val="none" w:sz="0" w:space="0" w:color="auto"/>
      </w:divBdr>
    </w:div>
    <w:div w:id="1096246703">
      <w:bodyDiv w:val="1"/>
      <w:marLeft w:val="0"/>
      <w:marRight w:val="0"/>
      <w:marTop w:val="0"/>
      <w:marBottom w:val="0"/>
      <w:divBdr>
        <w:top w:val="none" w:sz="0" w:space="0" w:color="auto"/>
        <w:left w:val="none" w:sz="0" w:space="0" w:color="auto"/>
        <w:bottom w:val="none" w:sz="0" w:space="0" w:color="auto"/>
        <w:right w:val="none" w:sz="0" w:space="0" w:color="auto"/>
      </w:divBdr>
    </w:div>
    <w:div w:id="1098020705">
      <w:bodyDiv w:val="1"/>
      <w:marLeft w:val="0"/>
      <w:marRight w:val="0"/>
      <w:marTop w:val="0"/>
      <w:marBottom w:val="0"/>
      <w:divBdr>
        <w:top w:val="none" w:sz="0" w:space="0" w:color="auto"/>
        <w:left w:val="none" w:sz="0" w:space="0" w:color="auto"/>
        <w:bottom w:val="none" w:sz="0" w:space="0" w:color="auto"/>
        <w:right w:val="none" w:sz="0" w:space="0" w:color="auto"/>
      </w:divBdr>
      <w:divsChild>
        <w:div w:id="1307784261">
          <w:marLeft w:val="0"/>
          <w:marRight w:val="0"/>
          <w:marTop w:val="0"/>
          <w:marBottom w:val="0"/>
          <w:divBdr>
            <w:top w:val="none" w:sz="0" w:space="0" w:color="auto"/>
            <w:left w:val="none" w:sz="0" w:space="0" w:color="auto"/>
            <w:bottom w:val="none" w:sz="0" w:space="0" w:color="auto"/>
            <w:right w:val="none" w:sz="0" w:space="0" w:color="auto"/>
          </w:divBdr>
          <w:divsChild>
            <w:div w:id="711616294">
              <w:marLeft w:val="0"/>
              <w:marRight w:val="0"/>
              <w:marTop w:val="0"/>
              <w:marBottom w:val="0"/>
              <w:divBdr>
                <w:top w:val="none" w:sz="0" w:space="0" w:color="auto"/>
                <w:left w:val="none" w:sz="0" w:space="0" w:color="auto"/>
                <w:bottom w:val="none" w:sz="0" w:space="0" w:color="auto"/>
                <w:right w:val="none" w:sz="0" w:space="0" w:color="auto"/>
              </w:divBdr>
              <w:divsChild>
                <w:div w:id="1587494784">
                  <w:marLeft w:val="0"/>
                  <w:marRight w:val="0"/>
                  <w:marTop w:val="0"/>
                  <w:marBottom w:val="0"/>
                  <w:divBdr>
                    <w:top w:val="none" w:sz="0" w:space="0" w:color="auto"/>
                    <w:left w:val="none" w:sz="0" w:space="0" w:color="auto"/>
                    <w:bottom w:val="none" w:sz="0" w:space="0" w:color="auto"/>
                    <w:right w:val="none" w:sz="0" w:space="0" w:color="auto"/>
                  </w:divBdr>
                  <w:divsChild>
                    <w:div w:id="1519931860">
                      <w:marLeft w:val="0"/>
                      <w:marRight w:val="0"/>
                      <w:marTop w:val="0"/>
                      <w:marBottom w:val="0"/>
                      <w:divBdr>
                        <w:top w:val="none" w:sz="0" w:space="0" w:color="auto"/>
                        <w:left w:val="none" w:sz="0" w:space="0" w:color="auto"/>
                        <w:bottom w:val="none" w:sz="0" w:space="0" w:color="auto"/>
                        <w:right w:val="none" w:sz="0" w:space="0" w:color="auto"/>
                      </w:divBdr>
                      <w:divsChild>
                        <w:div w:id="348416066">
                          <w:marLeft w:val="0"/>
                          <w:marRight w:val="0"/>
                          <w:marTop w:val="0"/>
                          <w:marBottom w:val="0"/>
                          <w:divBdr>
                            <w:top w:val="none" w:sz="0" w:space="0" w:color="auto"/>
                            <w:left w:val="none" w:sz="0" w:space="0" w:color="auto"/>
                            <w:bottom w:val="none" w:sz="0" w:space="0" w:color="auto"/>
                            <w:right w:val="none" w:sz="0" w:space="0" w:color="auto"/>
                          </w:divBdr>
                          <w:divsChild>
                            <w:div w:id="1578901657">
                              <w:marLeft w:val="0"/>
                              <w:marRight w:val="0"/>
                              <w:marTop w:val="0"/>
                              <w:marBottom w:val="0"/>
                              <w:divBdr>
                                <w:top w:val="none" w:sz="0" w:space="0" w:color="auto"/>
                                <w:left w:val="none" w:sz="0" w:space="0" w:color="auto"/>
                                <w:bottom w:val="none" w:sz="0" w:space="0" w:color="auto"/>
                                <w:right w:val="none" w:sz="0" w:space="0" w:color="auto"/>
                              </w:divBdr>
                              <w:divsChild>
                                <w:div w:id="1505895712">
                                  <w:marLeft w:val="0"/>
                                  <w:marRight w:val="0"/>
                                  <w:marTop w:val="0"/>
                                  <w:marBottom w:val="0"/>
                                  <w:divBdr>
                                    <w:top w:val="none" w:sz="0" w:space="0" w:color="auto"/>
                                    <w:left w:val="none" w:sz="0" w:space="0" w:color="auto"/>
                                    <w:bottom w:val="none" w:sz="0" w:space="0" w:color="auto"/>
                                    <w:right w:val="none" w:sz="0" w:space="0" w:color="auto"/>
                                  </w:divBdr>
                                  <w:divsChild>
                                    <w:div w:id="2741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79654">
      <w:bodyDiv w:val="1"/>
      <w:marLeft w:val="0"/>
      <w:marRight w:val="0"/>
      <w:marTop w:val="0"/>
      <w:marBottom w:val="0"/>
      <w:divBdr>
        <w:top w:val="none" w:sz="0" w:space="0" w:color="auto"/>
        <w:left w:val="none" w:sz="0" w:space="0" w:color="auto"/>
        <w:bottom w:val="none" w:sz="0" w:space="0" w:color="auto"/>
        <w:right w:val="none" w:sz="0" w:space="0" w:color="auto"/>
      </w:divBdr>
    </w:div>
    <w:div w:id="1107850311">
      <w:bodyDiv w:val="1"/>
      <w:marLeft w:val="0"/>
      <w:marRight w:val="0"/>
      <w:marTop w:val="0"/>
      <w:marBottom w:val="0"/>
      <w:divBdr>
        <w:top w:val="none" w:sz="0" w:space="0" w:color="auto"/>
        <w:left w:val="none" w:sz="0" w:space="0" w:color="auto"/>
        <w:bottom w:val="none" w:sz="0" w:space="0" w:color="auto"/>
        <w:right w:val="none" w:sz="0" w:space="0" w:color="auto"/>
      </w:divBdr>
      <w:divsChild>
        <w:div w:id="346755644">
          <w:marLeft w:val="0"/>
          <w:marRight w:val="0"/>
          <w:marTop w:val="0"/>
          <w:marBottom w:val="0"/>
          <w:divBdr>
            <w:top w:val="none" w:sz="0" w:space="0" w:color="auto"/>
            <w:left w:val="none" w:sz="0" w:space="0" w:color="auto"/>
            <w:bottom w:val="none" w:sz="0" w:space="0" w:color="auto"/>
            <w:right w:val="none" w:sz="0" w:space="0" w:color="auto"/>
          </w:divBdr>
          <w:divsChild>
            <w:div w:id="877741315">
              <w:marLeft w:val="0"/>
              <w:marRight w:val="0"/>
              <w:marTop w:val="0"/>
              <w:marBottom w:val="0"/>
              <w:divBdr>
                <w:top w:val="none" w:sz="0" w:space="0" w:color="auto"/>
                <w:left w:val="none" w:sz="0" w:space="0" w:color="auto"/>
                <w:bottom w:val="none" w:sz="0" w:space="0" w:color="auto"/>
                <w:right w:val="none" w:sz="0" w:space="0" w:color="auto"/>
              </w:divBdr>
              <w:divsChild>
                <w:div w:id="624702379">
                  <w:marLeft w:val="0"/>
                  <w:marRight w:val="0"/>
                  <w:marTop w:val="0"/>
                  <w:marBottom w:val="0"/>
                  <w:divBdr>
                    <w:top w:val="none" w:sz="0" w:space="0" w:color="auto"/>
                    <w:left w:val="none" w:sz="0" w:space="0" w:color="auto"/>
                    <w:bottom w:val="none" w:sz="0" w:space="0" w:color="auto"/>
                    <w:right w:val="none" w:sz="0" w:space="0" w:color="auto"/>
                  </w:divBdr>
                  <w:divsChild>
                    <w:div w:id="1530527865">
                      <w:marLeft w:val="0"/>
                      <w:marRight w:val="0"/>
                      <w:marTop w:val="0"/>
                      <w:marBottom w:val="0"/>
                      <w:divBdr>
                        <w:top w:val="none" w:sz="0" w:space="0" w:color="auto"/>
                        <w:left w:val="none" w:sz="0" w:space="0" w:color="auto"/>
                        <w:bottom w:val="none" w:sz="0" w:space="0" w:color="auto"/>
                        <w:right w:val="none" w:sz="0" w:space="0" w:color="auto"/>
                      </w:divBdr>
                      <w:divsChild>
                        <w:div w:id="648288577">
                          <w:marLeft w:val="0"/>
                          <w:marRight w:val="0"/>
                          <w:marTop w:val="0"/>
                          <w:marBottom w:val="0"/>
                          <w:divBdr>
                            <w:top w:val="none" w:sz="0" w:space="0" w:color="auto"/>
                            <w:left w:val="none" w:sz="0" w:space="0" w:color="auto"/>
                            <w:bottom w:val="none" w:sz="0" w:space="0" w:color="auto"/>
                            <w:right w:val="none" w:sz="0" w:space="0" w:color="auto"/>
                          </w:divBdr>
                          <w:divsChild>
                            <w:div w:id="446704861">
                              <w:marLeft w:val="0"/>
                              <w:marRight w:val="0"/>
                              <w:marTop w:val="0"/>
                              <w:marBottom w:val="0"/>
                              <w:divBdr>
                                <w:top w:val="none" w:sz="0" w:space="0" w:color="auto"/>
                                <w:left w:val="none" w:sz="0" w:space="0" w:color="auto"/>
                                <w:bottom w:val="none" w:sz="0" w:space="0" w:color="auto"/>
                                <w:right w:val="none" w:sz="0" w:space="0" w:color="auto"/>
                              </w:divBdr>
                              <w:divsChild>
                                <w:div w:id="1461266138">
                                  <w:marLeft w:val="0"/>
                                  <w:marRight w:val="0"/>
                                  <w:marTop w:val="0"/>
                                  <w:marBottom w:val="0"/>
                                  <w:divBdr>
                                    <w:top w:val="none" w:sz="0" w:space="0" w:color="auto"/>
                                    <w:left w:val="none" w:sz="0" w:space="0" w:color="auto"/>
                                    <w:bottom w:val="none" w:sz="0" w:space="0" w:color="auto"/>
                                    <w:right w:val="none" w:sz="0" w:space="0" w:color="auto"/>
                                  </w:divBdr>
                                  <w:divsChild>
                                    <w:div w:id="13433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470828">
      <w:bodyDiv w:val="1"/>
      <w:marLeft w:val="0"/>
      <w:marRight w:val="0"/>
      <w:marTop w:val="0"/>
      <w:marBottom w:val="0"/>
      <w:divBdr>
        <w:top w:val="none" w:sz="0" w:space="0" w:color="auto"/>
        <w:left w:val="none" w:sz="0" w:space="0" w:color="auto"/>
        <w:bottom w:val="none" w:sz="0" w:space="0" w:color="auto"/>
        <w:right w:val="none" w:sz="0" w:space="0" w:color="auto"/>
      </w:divBdr>
    </w:div>
    <w:div w:id="1147894780">
      <w:bodyDiv w:val="1"/>
      <w:marLeft w:val="0"/>
      <w:marRight w:val="0"/>
      <w:marTop w:val="0"/>
      <w:marBottom w:val="0"/>
      <w:divBdr>
        <w:top w:val="none" w:sz="0" w:space="0" w:color="auto"/>
        <w:left w:val="none" w:sz="0" w:space="0" w:color="auto"/>
        <w:bottom w:val="none" w:sz="0" w:space="0" w:color="auto"/>
        <w:right w:val="none" w:sz="0" w:space="0" w:color="auto"/>
      </w:divBdr>
    </w:div>
    <w:div w:id="1203903152">
      <w:bodyDiv w:val="1"/>
      <w:marLeft w:val="0"/>
      <w:marRight w:val="0"/>
      <w:marTop w:val="0"/>
      <w:marBottom w:val="0"/>
      <w:divBdr>
        <w:top w:val="none" w:sz="0" w:space="0" w:color="auto"/>
        <w:left w:val="none" w:sz="0" w:space="0" w:color="auto"/>
        <w:bottom w:val="none" w:sz="0" w:space="0" w:color="auto"/>
        <w:right w:val="none" w:sz="0" w:space="0" w:color="auto"/>
      </w:divBdr>
    </w:div>
    <w:div w:id="1212304523">
      <w:bodyDiv w:val="1"/>
      <w:marLeft w:val="0"/>
      <w:marRight w:val="0"/>
      <w:marTop w:val="0"/>
      <w:marBottom w:val="0"/>
      <w:divBdr>
        <w:top w:val="none" w:sz="0" w:space="0" w:color="auto"/>
        <w:left w:val="none" w:sz="0" w:space="0" w:color="auto"/>
        <w:bottom w:val="none" w:sz="0" w:space="0" w:color="auto"/>
        <w:right w:val="none" w:sz="0" w:space="0" w:color="auto"/>
      </w:divBdr>
    </w:div>
    <w:div w:id="1221400616">
      <w:bodyDiv w:val="1"/>
      <w:marLeft w:val="0"/>
      <w:marRight w:val="0"/>
      <w:marTop w:val="0"/>
      <w:marBottom w:val="0"/>
      <w:divBdr>
        <w:top w:val="none" w:sz="0" w:space="0" w:color="auto"/>
        <w:left w:val="none" w:sz="0" w:space="0" w:color="auto"/>
        <w:bottom w:val="none" w:sz="0" w:space="0" w:color="auto"/>
        <w:right w:val="none" w:sz="0" w:space="0" w:color="auto"/>
      </w:divBdr>
    </w:div>
    <w:div w:id="1223950724">
      <w:bodyDiv w:val="1"/>
      <w:marLeft w:val="0"/>
      <w:marRight w:val="0"/>
      <w:marTop w:val="0"/>
      <w:marBottom w:val="0"/>
      <w:divBdr>
        <w:top w:val="none" w:sz="0" w:space="0" w:color="auto"/>
        <w:left w:val="none" w:sz="0" w:space="0" w:color="auto"/>
        <w:bottom w:val="none" w:sz="0" w:space="0" w:color="auto"/>
        <w:right w:val="none" w:sz="0" w:space="0" w:color="auto"/>
      </w:divBdr>
    </w:div>
    <w:div w:id="1233395808">
      <w:bodyDiv w:val="1"/>
      <w:marLeft w:val="0"/>
      <w:marRight w:val="0"/>
      <w:marTop w:val="0"/>
      <w:marBottom w:val="0"/>
      <w:divBdr>
        <w:top w:val="none" w:sz="0" w:space="0" w:color="auto"/>
        <w:left w:val="none" w:sz="0" w:space="0" w:color="auto"/>
        <w:bottom w:val="none" w:sz="0" w:space="0" w:color="auto"/>
        <w:right w:val="none" w:sz="0" w:space="0" w:color="auto"/>
      </w:divBdr>
      <w:divsChild>
        <w:div w:id="1757895058">
          <w:marLeft w:val="0"/>
          <w:marRight w:val="0"/>
          <w:marTop w:val="0"/>
          <w:marBottom w:val="0"/>
          <w:divBdr>
            <w:top w:val="none" w:sz="0" w:space="0" w:color="auto"/>
            <w:left w:val="none" w:sz="0" w:space="0" w:color="auto"/>
            <w:bottom w:val="none" w:sz="0" w:space="0" w:color="auto"/>
            <w:right w:val="none" w:sz="0" w:space="0" w:color="auto"/>
          </w:divBdr>
          <w:divsChild>
            <w:div w:id="1883319939">
              <w:marLeft w:val="0"/>
              <w:marRight w:val="0"/>
              <w:marTop w:val="0"/>
              <w:marBottom w:val="0"/>
              <w:divBdr>
                <w:top w:val="none" w:sz="0" w:space="0" w:color="auto"/>
                <w:left w:val="none" w:sz="0" w:space="0" w:color="auto"/>
                <w:bottom w:val="none" w:sz="0" w:space="0" w:color="auto"/>
                <w:right w:val="none" w:sz="0" w:space="0" w:color="auto"/>
              </w:divBdr>
              <w:divsChild>
                <w:div w:id="364642360">
                  <w:marLeft w:val="0"/>
                  <w:marRight w:val="0"/>
                  <w:marTop w:val="0"/>
                  <w:marBottom w:val="0"/>
                  <w:divBdr>
                    <w:top w:val="none" w:sz="0" w:space="0" w:color="auto"/>
                    <w:left w:val="none" w:sz="0" w:space="0" w:color="auto"/>
                    <w:bottom w:val="none" w:sz="0" w:space="0" w:color="auto"/>
                    <w:right w:val="none" w:sz="0" w:space="0" w:color="auto"/>
                  </w:divBdr>
                  <w:divsChild>
                    <w:div w:id="637303904">
                      <w:marLeft w:val="0"/>
                      <w:marRight w:val="0"/>
                      <w:marTop w:val="0"/>
                      <w:marBottom w:val="0"/>
                      <w:divBdr>
                        <w:top w:val="none" w:sz="0" w:space="0" w:color="auto"/>
                        <w:left w:val="none" w:sz="0" w:space="0" w:color="auto"/>
                        <w:bottom w:val="none" w:sz="0" w:space="0" w:color="auto"/>
                        <w:right w:val="none" w:sz="0" w:space="0" w:color="auto"/>
                      </w:divBdr>
                      <w:divsChild>
                        <w:div w:id="2126996945">
                          <w:marLeft w:val="0"/>
                          <w:marRight w:val="0"/>
                          <w:marTop w:val="0"/>
                          <w:marBottom w:val="0"/>
                          <w:divBdr>
                            <w:top w:val="none" w:sz="0" w:space="0" w:color="auto"/>
                            <w:left w:val="none" w:sz="0" w:space="0" w:color="auto"/>
                            <w:bottom w:val="none" w:sz="0" w:space="0" w:color="auto"/>
                            <w:right w:val="none" w:sz="0" w:space="0" w:color="auto"/>
                          </w:divBdr>
                          <w:divsChild>
                            <w:div w:id="351229681">
                              <w:marLeft w:val="0"/>
                              <w:marRight w:val="0"/>
                              <w:marTop w:val="0"/>
                              <w:marBottom w:val="0"/>
                              <w:divBdr>
                                <w:top w:val="none" w:sz="0" w:space="0" w:color="auto"/>
                                <w:left w:val="none" w:sz="0" w:space="0" w:color="auto"/>
                                <w:bottom w:val="none" w:sz="0" w:space="0" w:color="auto"/>
                                <w:right w:val="none" w:sz="0" w:space="0" w:color="auto"/>
                              </w:divBdr>
                              <w:divsChild>
                                <w:div w:id="1005326371">
                                  <w:marLeft w:val="0"/>
                                  <w:marRight w:val="0"/>
                                  <w:marTop w:val="0"/>
                                  <w:marBottom w:val="0"/>
                                  <w:divBdr>
                                    <w:top w:val="none" w:sz="0" w:space="0" w:color="auto"/>
                                    <w:left w:val="none" w:sz="0" w:space="0" w:color="auto"/>
                                    <w:bottom w:val="none" w:sz="0" w:space="0" w:color="auto"/>
                                    <w:right w:val="none" w:sz="0" w:space="0" w:color="auto"/>
                                  </w:divBdr>
                                  <w:divsChild>
                                    <w:div w:id="1816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702409">
      <w:bodyDiv w:val="1"/>
      <w:marLeft w:val="0"/>
      <w:marRight w:val="0"/>
      <w:marTop w:val="0"/>
      <w:marBottom w:val="0"/>
      <w:divBdr>
        <w:top w:val="none" w:sz="0" w:space="0" w:color="auto"/>
        <w:left w:val="none" w:sz="0" w:space="0" w:color="auto"/>
        <w:bottom w:val="none" w:sz="0" w:space="0" w:color="auto"/>
        <w:right w:val="none" w:sz="0" w:space="0" w:color="auto"/>
      </w:divBdr>
    </w:div>
    <w:div w:id="1238319040">
      <w:bodyDiv w:val="1"/>
      <w:marLeft w:val="0"/>
      <w:marRight w:val="0"/>
      <w:marTop w:val="0"/>
      <w:marBottom w:val="0"/>
      <w:divBdr>
        <w:top w:val="none" w:sz="0" w:space="0" w:color="auto"/>
        <w:left w:val="none" w:sz="0" w:space="0" w:color="auto"/>
        <w:bottom w:val="none" w:sz="0" w:space="0" w:color="auto"/>
        <w:right w:val="none" w:sz="0" w:space="0" w:color="auto"/>
      </w:divBdr>
    </w:div>
    <w:div w:id="1249269942">
      <w:bodyDiv w:val="1"/>
      <w:marLeft w:val="0"/>
      <w:marRight w:val="0"/>
      <w:marTop w:val="0"/>
      <w:marBottom w:val="0"/>
      <w:divBdr>
        <w:top w:val="none" w:sz="0" w:space="0" w:color="auto"/>
        <w:left w:val="none" w:sz="0" w:space="0" w:color="auto"/>
        <w:bottom w:val="none" w:sz="0" w:space="0" w:color="auto"/>
        <w:right w:val="none" w:sz="0" w:space="0" w:color="auto"/>
      </w:divBdr>
    </w:div>
    <w:div w:id="1273898298">
      <w:bodyDiv w:val="1"/>
      <w:marLeft w:val="0"/>
      <w:marRight w:val="0"/>
      <w:marTop w:val="0"/>
      <w:marBottom w:val="0"/>
      <w:divBdr>
        <w:top w:val="none" w:sz="0" w:space="0" w:color="auto"/>
        <w:left w:val="none" w:sz="0" w:space="0" w:color="auto"/>
        <w:bottom w:val="none" w:sz="0" w:space="0" w:color="auto"/>
        <w:right w:val="none" w:sz="0" w:space="0" w:color="auto"/>
      </w:divBdr>
    </w:div>
    <w:div w:id="1302075866">
      <w:bodyDiv w:val="1"/>
      <w:marLeft w:val="0"/>
      <w:marRight w:val="0"/>
      <w:marTop w:val="0"/>
      <w:marBottom w:val="0"/>
      <w:divBdr>
        <w:top w:val="none" w:sz="0" w:space="0" w:color="auto"/>
        <w:left w:val="none" w:sz="0" w:space="0" w:color="auto"/>
        <w:bottom w:val="none" w:sz="0" w:space="0" w:color="auto"/>
        <w:right w:val="none" w:sz="0" w:space="0" w:color="auto"/>
      </w:divBdr>
    </w:div>
    <w:div w:id="1316645224">
      <w:bodyDiv w:val="1"/>
      <w:marLeft w:val="0"/>
      <w:marRight w:val="0"/>
      <w:marTop w:val="0"/>
      <w:marBottom w:val="0"/>
      <w:divBdr>
        <w:top w:val="none" w:sz="0" w:space="0" w:color="auto"/>
        <w:left w:val="none" w:sz="0" w:space="0" w:color="auto"/>
        <w:bottom w:val="none" w:sz="0" w:space="0" w:color="auto"/>
        <w:right w:val="none" w:sz="0" w:space="0" w:color="auto"/>
      </w:divBdr>
    </w:div>
    <w:div w:id="1322733191">
      <w:bodyDiv w:val="1"/>
      <w:marLeft w:val="0"/>
      <w:marRight w:val="0"/>
      <w:marTop w:val="0"/>
      <w:marBottom w:val="0"/>
      <w:divBdr>
        <w:top w:val="none" w:sz="0" w:space="0" w:color="auto"/>
        <w:left w:val="none" w:sz="0" w:space="0" w:color="auto"/>
        <w:bottom w:val="none" w:sz="0" w:space="0" w:color="auto"/>
        <w:right w:val="none" w:sz="0" w:space="0" w:color="auto"/>
      </w:divBdr>
    </w:div>
    <w:div w:id="1348169048">
      <w:bodyDiv w:val="1"/>
      <w:marLeft w:val="0"/>
      <w:marRight w:val="0"/>
      <w:marTop w:val="0"/>
      <w:marBottom w:val="0"/>
      <w:divBdr>
        <w:top w:val="none" w:sz="0" w:space="0" w:color="auto"/>
        <w:left w:val="none" w:sz="0" w:space="0" w:color="auto"/>
        <w:bottom w:val="none" w:sz="0" w:space="0" w:color="auto"/>
        <w:right w:val="none" w:sz="0" w:space="0" w:color="auto"/>
      </w:divBdr>
    </w:div>
    <w:div w:id="1351561912">
      <w:bodyDiv w:val="1"/>
      <w:marLeft w:val="0"/>
      <w:marRight w:val="0"/>
      <w:marTop w:val="0"/>
      <w:marBottom w:val="0"/>
      <w:divBdr>
        <w:top w:val="none" w:sz="0" w:space="0" w:color="auto"/>
        <w:left w:val="none" w:sz="0" w:space="0" w:color="auto"/>
        <w:bottom w:val="none" w:sz="0" w:space="0" w:color="auto"/>
        <w:right w:val="none" w:sz="0" w:space="0" w:color="auto"/>
      </w:divBdr>
    </w:div>
    <w:div w:id="1357462853">
      <w:bodyDiv w:val="1"/>
      <w:marLeft w:val="0"/>
      <w:marRight w:val="0"/>
      <w:marTop w:val="0"/>
      <w:marBottom w:val="0"/>
      <w:divBdr>
        <w:top w:val="none" w:sz="0" w:space="0" w:color="auto"/>
        <w:left w:val="none" w:sz="0" w:space="0" w:color="auto"/>
        <w:bottom w:val="none" w:sz="0" w:space="0" w:color="auto"/>
        <w:right w:val="none" w:sz="0" w:space="0" w:color="auto"/>
      </w:divBdr>
    </w:div>
    <w:div w:id="1360277606">
      <w:bodyDiv w:val="1"/>
      <w:marLeft w:val="0"/>
      <w:marRight w:val="0"/>
      <w:marTop w:val="0"/>
      <w:marBottom w:val="0"/>
      <w:divBdr>
        <w:top w:val="none" w:sz="0" w:space="0" w:color="auto"/>
        <w:left w:val="none" w:sz="0" w:space="0" w:color="auto"/>
        <w:bottom w:val="none" w:sz="0" w:space="0" w:color="auto"/>
        <w:right w:val="none" w:sz="0" w:space="0" w:color="auto"/>
      </w:divBdr>
    </w:div>
    <w:div w:id="1395009773">
      <w:bodyDiv w:val="1"/>
      <w:marLeft w:val="0"/>
      <w:marRight w:val="0"/>
      <w:marTop w:val="0"/>
      <w:marBottom w:val="0"/>
      <w:divBdr>
        <w:top w:val="none" w:sz="0" w:space="0" w:color="auto"/>
        <w:left w:val="none" w:sz="0" w:space="0" w:color="auto"/>
        <w:bottom w:val="none" w:sz="0" w:space="0" w:color="auto"/>
        <w:right w:val="none" w:sz="0" w:space="0" w:color="auto"/>
      </w:divBdr>
    </w:div>
    <w:div w:id="1428112742">
      <w:bodyDiv w:val="1"/>
      <w:marLeft w:val="0"/>
      <w:marRight w:val="0"/>
      <w:marTop w:val="0"/>
      <w:marBottom w:val="0"/>
      <w:divBdr>
        <w:top w:val="none" w:sz="0" w:space="0" w:color="auto"/>
        <w:left w:val="none" w:sz="0" w:space="0" w:color="auto"/>
        <w:bottom w:val="none" w:sz="0" w:space="0" w:color="auto"/>
        <w:right w:val="none" w:sz="0" w:space="0" w:color="auto"/>
      </w:divBdr>
    </w:div>
    <w:div w:id="1436829076">
      <w:bodyDiv w:val="1"/>
      <w:marLeft w:val="0"/>
      <w:marRight w:val="0"/>
      <w:marTop w:val="0"/>
      <w:marBottom w:val="0"/>
      <w:divBdr>
        <w:top w:val="none" w:sz="0" w:space="0" w:color="auto"/>
        <w:left w:val="none" w:sz="0" w:space="0" w:color="auto"/>
        <w:bottom w:val="none" w:sz="0" w:space="0" w:color="auto"/>
        <w:right w:val="none" w:sz="0" w:space="0" w:color="auto"/>
      </w:divBdr>
    </w:div>
    <w:div w:id="1458252651">
      <w:bodyDiv w:val="1"/>
      <w:marLeft w:val="0"/>
      <w:marRight w:val="0"/>
      <w:marTop w:val="0"/>
      <w:marBottom w:val="0"/>
      <w:divBdr>
        <w:top w:val="none" w:sz="0" w:space="0" w:color="auto"/>
        <w:left w:val="none" w:sz="0" w:space="0" w:color="auto"/>
        <w:bottom w:val="none" w:sz="0" w:space="0" w:color="auto"/>
        <w:right w:val="none" w:sz="0" w:space="0" w:color="auto"/>
      </w:divBdr>
    </w:div>
    <w:div w:id="1463113670">
      <w:bodyDiv w:val="1"/>
      <w:marLeft w:val="0"/>
      <w:marRight w:val="0"/>
      <w:marTop w:val="0"/>
      <w:marBottom w:val="0"/>
      <w:divBdr>
        <w:top w:val="none" w:sz="0" w:space="0" w:color="auto"/>
        <w:left w:val="none" w:sz="0" w:space="0" w:color="auto"/>
        <w:bottom w:val="none" w:sz="0" w:space="0" w:color="auto"/>
        <w:right w:val="none" w:sz="0" w:space="0" w:color="auto"/>
      </w:divBdr>
      <w:divsChild>
        <w:div w:id="185293231">
          <w:marLeft w:val="0"/>
          <w:marRight w:val="0"/>
          <w:marTop w:val="0"/>
          <w:marBottom w:val="0"/>
          <w:divBdr>
            <w:top w:val="none" w:sz="0" w:space="0" w:color="auto"/>
            <w:left w:val="none" w:sz="0" w:space="0" w:color="auto"/>
            <w:bottom w:val="none" w:sz="0" w:space="0" w:color="auto"/>
            <w:right w:val="none" w:sz="0" w:space="0" w:color="auto"/>
          </w:divBdr>
          <w:divsChild>
            <w:div w:id="2074042779">
              <w:marLeft w:val="0"/>
              <w:marRight w:val="0"/>
              <w:marTop w:val="0"/>
              <w:marBottom w:val="0"/>
              <w:divBdr>
                <w:top w:val="none" w:sz="0" w:space="0" w:color="auto"/>
                <w:left w:val="none" w:sz="0" w:space="0" w:color="auto"/>
                <w:bottom w:val="none" w:sz="0" w:space="0" w:color="auto"/>
                <w:right w:val="none" w:sz="0" w:space="0" w:color="auto"/>
              </w:divBdr>
              <w:divsChild>
                <w:div w:id="710302436">
                  <w:marLeft w:val="0"/>
                  <w:marRight w:val="0"/>
                  <w:marTop w:val="0"/>
                  <w:marBottom w:val="0"/>
                  <w:divBdr>
                    <w:top w:val="none" w:sz="0" w:space="0" w:color="auto"/>
                    <w:left w:val="none" w:sz="0" w:space="0" w:color="auto"/>
                    <w:bottom w:val="none" w:sz="0" w:space="0" w:color="auto"/>
                    <w:right w:val="none" w:sz="0" w:space="0" w:color="auto"/>
                  </w:divBdr>
                  <w:divsChild>
                    <w:div w:id="381754715">
                      <w:marLeft w:val="0"/>
                      <w:marRight w:val="0"/>
                      <w:marTop w:val="0"/>
                      <w:marBottom w:val="0"/>
                      <w:divBdr>
                        <w:top w:val="none" w:sz="0" w:space="0" w:color="auto"/>
                        <w:left w:val="none" w:sz="0" w:space="0" w:color="auto"/>
                        <w:bottom w:val="none" w:sz="0" w:space="0" w:color="auto"/>
                        <w:right w:val="none" w:sz="0" w:space="0" w:color="auto"/>
                      </w:divBdr>
                      <w:divsChild>
                        <w:div w:id="1508128752">
                          <w:marLeft w:val="0"/>
                          <w:marRight w:val="0"/>
                          <w:marTop w:val="0"/>
                          <w:marBottom w:val="0"/>
                          <w:divBdr>
                            <w:top w:val="none" w:sz="0" w:space="0" w:color="auto"/>
                            <w:left w:val="none" w:sz="0" w:space="0" w:color="auto"/>
                            <w:bottom w:val="none" w:sz="0" w:space="0" w:color="auto"/>
                            <w:right w:val="none" w:sz="0" w:space="0" w:color="auto"/>
                          </w:divBdr>
                          <w:divsChild>
                            <w:div w:id="315109698">
                              <w:marLeft w:val="0"/>
                              <w:marRight w:val="0"/>
                              <w:marTop w:val="0"/>
                              <w:marBottom w:val="0"/>
                              <w:divBdr>
                                <w:top w:val="none" w:sz="0" w:space="0" w:color="auto"/>
                                <w:left w:val="none" w:sz="0" w:space="0" w:color="auto"/>
                                <w:bottom w:val="none" w:sz="0" w:space="0" w:color="auto"/>
                                <w:right w:val="none" w:sz="0" w:space="0" w:color="auto"/>
                              </w:divBdr>
                              <w:divsChild>
                                <w:div w:id="462770205">
                                  <w:marLeft w:val="0"/>
                                  <w:marRight w:val="0"/>
                                  <w:marTop w:val="0"/>
                                  <w:marBottom w:val="0"/>
                                  <w:divBdr>
                                    <w:top w:val="none" w:sz="0" w:space="0" w:color="auto"/>
                                    <w:left w:val="none" w:sz="0" w:space="0" w:color="auto"/>
                                    <w:bottom w:val="none" w:sz="0" w:space="0" w:color="auto"/>
                                    <w:right w:val="none" w:sz="0" w:space="0" w:color="auto"/>
                                  </w:divBdr>
                                  <w:divsChild>
                                    <w:div w:id="19321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233432">
      <w:bodyDiv w:val="1"/>
      <w:marLeft w:val="0"/>
      <w:marRight w:val="0"/>
      <w:marTop w:val="0"/>
      <w:marBottom w:val="0"/>
      <w:divBdr>
        <w:top w:val="none" w:sz="0" w:space="0" w:color="auto"/>
        <w:left w:val="none" w:sz="0" w:space="0" w:color="auto"/>
        <w:bottom w:val="none" w:sz="0" w:space="0" w:color="auto"/>
        <w:right w:val="none" w:sz="0" w:space="0" w:color="auto"/>
      </w:divBdr>
    </w:div>
    <w:div w:id="1476949623">
      <w:bodyDiv w:val="1"/>
      <w:marLeft w:val="0"/>
      <w:marRight w:val="0"/>
      <w:marTop w:val="0"/>
      <w:marBottom w:val="0"/>
      <w:divBdr>
        <w:top w:val="none" w:sz="0" w:space="0" w:color="auto"/>
        <w:left w:val="none" w:sz="0" w:space="0" w:color="auto"/>
        <w:bottom w:val="none" w:sz="0" w:space="0" w:color="auto"/>
        <w:right w:val="none" w:sz="0" w:space="0" w:color="auto"/>
      </w:divBdr>
    </w:div>
    <w:div w:id="1479229495">
      <w:bodyDiv w:val="1"/>
      <w:marLeft w:val="0"/>
      <w:marRight w:val="0"/>
      <w:marTop w:val="0"/>
      <w:marBottom w:val="0"/>
      <w:divBdr>
        <w:top w:val="none" w:sz="0" w:space="0" w:color="auto"/>
        <w:left w:val="none" w:sz="0" w:space="0" w:color="auto"/>
        <w:bottom w:val="none" w:sz="0" w:space="0" w:color="auto"/>
        <w:right w:val="none" w:sz="0" w:space="0" w:color="auto"/>
      </w:divBdr>
    </w:div>
    <w:div w:id="1497769682">
      <w:bodyDiv w:val="1"/>
      <w:marLeft w:val="0"/>
      <w:marRight w:val="0"/>
      <w:marTop w:val="0"/>
      <w:marBottom w:val="0"/>
      <w:divBdr>
        <w:top w:val="none" w:sz="0" w:space="0" w:color="auto"/>
        <w:left w:val="none" w:sz="0" w:space="0" w:color="auto"/>
        <w:bottom w:val="none" w:sz="0" w:space="0" w:color="auto"/>
        <w:right w:val="none" w:sz="0" w:space="0" w:color="auto"/>
      </w:divBdr>
    </w:div>
    <w:div w:id="1555237009">
      <w:bodyDiv w:val="1"/>
      <w:marLeft w:val="0"/>
      <w:marRight w:val="0"/>
      <w:marTop w:val="0"/>
      <w:marBottom w:val="0"/>
      <w:divBdr>
        <w:top w:val="none" w:sz="0" w:space="0" w:color="auto"/>
        <w:left w:val="none" w:sz="0" w:space="0" w:color="auto"/>
        <w:bottom w:val="none" w:sz="0" w:space="0" w:color="auto"/>
        <w:right w:val="none" w:sz="0" w:space="0" w:color="auto"/>
      </w:divBdr>
    </w:div>
    <w:div w:id="1560827508">
      <w:bodyDiv w:val="1"/>
      <w:marLeft w:val="0"/>
      <w:marRight w:val="0"/>
      <w:marTop w:val="0"/>
      <w:marBottom w:val="0"/>
      <w:divBdr>
        <w:top w:val="none" w:sz="0" w:space="0" w:color="auto"/>
        <w:left w:val="none" w:sz="0" w:space="0" w:color="auto"/>
        <w:bottom w:val="none" w:sz="0" w:space="0" w:color="auto"/>
        <w:right w:val="none" w:sz="0" w:space="0" w:color="auto"/>
      </w:divBdr>
    </w:div>
    <w:div w:id="1565919162">
      <w:bodyDiv w:val="1"/>
      <w:marLeft w:val="0"/>
      <w:marRight w:val="0"/>
      <w:marTop w:val="0"/>
      <w:marBottom w:val="0"/>
      <w:divBdr>
        <w:top w:val="none" w:sz="0" w:space="0" w:color="auto"/>
        <w:left w:val="none" w:sz="0" w:space="0" w:color="auto"/>
        <w:bottom w:val="none" w:sz="0" w:space="0" w:color="auto"/>
        <w:right w:val="none" w:sz="0" w:space="0" w:color="auto"/>
      </w:divBdr>
      <w:divsChild>
        <w:div w:id="795677536">
          <w:marLeft w:val="0"/>
          <w:marRight w:val="0"/>
          <w:marTop w:val="0"/>
          <w:marBottom w:val="0"/>
          <w:divBdr>
            <w:top w:val="none" w:sz="0" w:space="0" w:color="auto"/>
            <w:left w:val="none" w:sz="0" w:space="0" w:color="auto"/>
            <w:bottom w:val="none" w:sz="0" w:space="0" w:color="auto"/>
            <w:right w:val="none" w:sz="0" w:space="0" w:color="auto"/>
          </w:divBdr>
          <w:divsChild>
            <w:div w:id="765813221">
              <w:marLeft w:val="0"/>
              <w:marRight w:val="0"/>
              <w:marTop w:val="0"/>
              <w:marBottom w:val="0"/>
              <w:divBdr>
                <w:top w:val="none" w:sz="0" w:space="0" w:color="auto"/>
                <w:left w:val="none" w:sz="0" w:space="0" w:color="auto"/>
                <w:bottom w:val="none" w:sz="0" w:space="0" w:color="auto"/>
                <w:right w:val="none" w:sz="0" w:space="0" w:color="auto"/>
              </w:divBdr>
              <w:divsChild>
                <w:div w:id="103890032">
                  <w:marLeft w:val="0"/>
                  <w:marRight w:val="0"/>
                  <w:marTop w:val="0"/>
                  <w:marBottom w:val="0"/>
                  <w:divBdr>
                    <w:top w:val="none" w:sz="0" w:space="0" w:color="auto"/>
                    <w:left w:val="none" w:sz="0" w:space="0" w:color="auto"/>
                    <w:bottom w:val="none" w:sz="0" w:space="0" w:color="auto"/>
                    <w:right w:val="none" w:sz="0" w:space="0" w:color="auto"/>
                  </w:divBdr>
                  <w:divsChild>
                    <w:div w:id="1821575335">
                      <w:marLeft w:val="0"/>
                      <w:marRight w:val="0"/>
                      <w:marTop w:val="0"/>
                      <w:marBottom w:val="0"/>
                      <w:divBdr>
                        <w:top w:val="none" w:sz="0" w:space="0" w:color="auto"/>
                        <w:left w:val="none" w:sz="0" w:space="0" w:color="auto"/>
                        <w:bottom w:val="none" w:sz="0" w:space="0" w:color="auto"/>
                        <w:right w:val="none" w:sz="0" w:space="0" w:color="auto"/>
                      </w:divBdr>
                      <w:divsChild>
                        <w:div w:id="183520824">
                          <w:marLeft w:val="0"/>
                          <w:marRight w:val="0"/>
                          <w:marTop w:val="0"/>
                          <w:marBottom w:val="0"/>
                          <w:divBdr>
                            <w:top w:val="none" w:sz="0" w:space="0" w:color="auto"/>
                            <w:left w:val="none" w:sz="0" w:space="0" w:color="auto"/>
                            <w:bottom w:val="none" w:sz="0" w:space="0" w:color="auto"/>
                            <w:right w:val="none" w:sz="0" w:space="0" w:color="auto"/>
                          </w:divBdr>
                          <w:divsChild>
                            <w:div w:id="868835769">
                              <w:marLeft w:val="0"/>
                              <w:marRight w:val="0"/>
                              <w:marTop w:val="0"/>
                              <w:marBottom w:val="0"/>
                              <w:divBdr>
                                <w:top w:val="none" w:sz="0" w:space="0" w:color="auto"/>
                                <w:left w:val="none" w:sz="0" w:space="0" w:color="auto"/>
                                <w:bottom w:val="none" w:sz="0" w:space="0" w:color="auto"/>
                                <w:right w:val="none" w:sz="0" w:space="0" w:color="auto"/>
                              </w:divBdr>
                              <w:divsChild>
                                <w:div w:id="1657343962">
                                  <w:marLeft w:val="0"/>
                                  <w:marRight w:val="0"/>
                                  <w:marTop w:val="0"/>
                                  <w:marBottom w:val="0"/>
                                  <w:divBdr>
                                    <w:top w:val="none" w:sz="0" w:space="0" w:color="auto"/>
                                    <w:left w:val="none" w:sz="0" w:space="0" w:color="auto"/>
                                    <w:bottom w:val="none" w:sz="0" w:space="0" w:color="auto"/>
                                    <w:right w:val="none" w:sz="0" w:space="0" w:color="auto"/>
                                  </w:divBdr>
                                  <w:divsChild>
                                    <w:div w:id="1405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153767">
      <w:bodyDiv w:val="1"/>
      <w:marLeft w:val="0"/>
      <w:marRight w:val="0"/>
      <w:marTop w:val="0"/>
      <w:marBottom w:val="0"/>
      <w:divBdr>
        <w:top w:val="none" w:sz="0" w:space="0" w:color="auto"/>
        <w:left w:val="none" w:sz="0" w:space="0" w:color="auto"/>
        <w:bottom w:val="none" w:sz="0" w:space="0" w:color="auto"/>
        <w:right w:val="none" w:sz="0" w:space="0" w:color="auto"/>
      </w:divBdr>
    </w:div>
    <w:div w:id="1616328952">
      <w:bodyDiv w:val="1"/>
      <w:marLeft w:val="0"/>
      <w:marRight w:val="0"/>
      <w:marTop w:val="0"/>
      <w:marBottom w:val="0"/>
      <w:divBdr>
        <w:top w:val="none" w:sz="0" w:space="0" w:color="auto"/>
        <w:left w:val="none" w:sz="0" w:space="0" w:color="auto"/>
        <w:bottom w:val="none" w:sz="0" w:space="0" w:color="auto"/>
        <w:right w:val="none" w:sz="0" w:space="0" w:color="auto"/>
      </w:divBdr>
    </w:div>
    <w:div w:id="1634482466">
      <w:bodyDiv w:val="1"/>
      <w:marLeft w:val="0"/>
      <w:marRight w:val="0"/>
      <w:marTop w:val="0"/>
      <w:marBottom w:val="0"/>
      <w:divBdr>
        <w:top w:val="none" w:sz="0" w:space="0" w:color="auto"/>
        <w:left w:val="none" w:sz="0" w:space="0" w:color="auto"/>
        <w:bottom w:val="none" w:sz="0" w:space="0" w:color="auto"/>
        <w:right w:val="none" w:sz="0" w:space="0" w:color="auto"/>
      </w:divBdr>
    </w:div>
    <w:div w:id="1646743406">
      <w:bodyDiv w:val="1"/>
      <w:marLeft w:val="0"/>
      <w:marRight w:val="0"/>
      <w:marTop w:val="0"/>
      <w:marBottom w:val="0"/>
      <w:divBdr>
        <w:top w:val="none" w:sz="0" w:space="0" w:color="auto"/>
        <w:left w:val="none" w:sz="0" w:space="0" w:color="auto"/>
        <w:bottom w:val="none" w:sz="0" w:space="0" w:color="auto"/>
        <w:right w:val="none" w:sz="0" w:space="0" w:color="auto"/>
      </w:divBdr>
    </w:div>
    <w:div w:id="1652515576">
      <w:bodyDiv w:val="1"/>
      <w:marLeft w:val="0"/>
      <w:marRight w:val="0"/>
      <w:marTop w:val="0"/>
      <w:marBottom w:val="0"/>
      <w:divBdr>
        <w:top w:val="none" w:sz="0" w:space="0" w:color="auto"/>
        <w:left w:val="none" w:sz="0" w:space="0" w:color="auto"/>
        <w:bottom w:val="none" w:sz="0" w:space="0" w:color="auto"/>
        <w:right w:val="none" w:sz="0" w:space="0" w:color="auto"/>
      </w:divBdr>
    </w:div>
    <w:div w:id="1664360445">
      <w:bodyDiv w:val="1"/>
      <w:marLeft w:val="0"/>
      <w:marRight w:val="0"/>
      <w:marTop w:val="0"/>
      <w:marBottom w:val="0"/>
      <w:divBdr>
        <w:top w:val="none" w:sz="0" w:space="0" w:color="auto"/>
        <w:left w:val="none" w:sz="0" w:space="0" w:color="auto"/>
        <w:bottom w:val="none" w:sz="0" w:space="0" w:color="auto"/>
        <w:right w:val="none" w:sz="0" w:space="0" w:color="auto"/>
      </w:divBdr>
    </w:div>
    <w:div w:id="1667591448">
      <w:bodyDiv w:val="1"/>
      <w:marLeft w:val="0"/>
      <w:marRight w:val="0"/>
      <w:marTop w:val="0"/>
      <w:marBottom w:val="0"/>
      <w:divBdr>
        <w:top w:val="none" w:sz="0" w:space="0" w:color="auto"/>
        <w:left w:val="none" w:sz="0" w:space="0" w:color="auto"/>
        <w:bottom w:val="none" w:sz="0" w:space="0" w:color="auto"/>
        <w:right w:val="none" w:sz="0" w:space="0" w:color="auto"/>
      </w:divBdr>
    </w:div>
    <w:div w:id="1678069975">
      <w:bodyDiv w:val="1"/>
      <w:marLeft w:val="0"/>
      <w:marRight w:val="0"/>
      <w:marTop w:val="0"/>
      <w:marBottom w:val="0"/>
      <w:divBdr>
        <w:top w:val="none" w:sz="0" w:space="0" w:color="auto"/>
        <w:left w:val="none" w:sz="0" w:space="0" w:color="auto"/>
        <w:bottom w:val="none" w:sz="0" w:space="0" w:color="auto"/>
        <w:right w:val="none" w:sz="0" w:space="0" w:color="auto"/>
      </w:divBdr>
    </w:div>
    <w:div w:id="1688016723">
      <w:bodyDiv w:val="1"/>
      <w:marLeft w:val="0"/>
      <w:marRight w:val="0"/>
      <w:marTop w:val="0"/>
      <w:marBottom w:val="0"/>
      <w:divBdr>
        <w:top w:val="none" w:sz="0" w:space="0" w:color="auto"/>
        <w:left w:val="none" w:sz="0" w:space="0" w:color="auto"/>
        <w:bottom w:val="none" w:sz="0" w:space="0" w:color="auto"/>
        <w:right w:val="none" w:sz="0" w:space="0" w:color="auto"/>
      </w:divBdr>
      <w:divsChild>
        <w:div w:id="1298995807">
          <w:marLeft w:val="0"/>
          <w:marRight w:val="0"/>
          <w:marTop w:val="0"/>
          <w:marBottom w:val="0"/>
          <w:divBdr>
            <w:top w:val="none" w:sz="0" w:space="0" w:color="auto"/>
            <w:left w:val="none" w:sz="0" w:space="0" w:color="auto"/>
            <w:bottom w:val="none" w:sz="0" w:space="0" w:color="auto"/>
            <w:right w:val="none" w:sz="0" w:space="0" w:color="auto"/>
          </w:divBdr>
          <w:divsChild>
            <w:div w:id="254635281">
              <w:marLeft w:val="0"/>
              <w:marRight w:val="0"/>
              <w:marTop w:val="0"/>
              <w:marBottom w:val="0"/>
              <w:divBdr>
                <w:top w:val="none" w:sz="0" w:space="0" w:color="auto"/>
                <w:left w:val="none" w:sz="0" w:space="0" w:color="auto"/>
                <w:bottom w:val="none" w:sz="0" w:space="0" w:color="auto"/>
                <w:right w:val="none" w:sz="0" w:space="0" w:color="auto"/>
              </w:divBdr>
              <w:divsChild>
                <w:div w:id="1672830309">
                  <w:marLeft w:val="0"/>
                  <w:marRight w:val="0"/>
                  <w:marTop w:val="0"/>
                  <w:marBottom w:val="0"/>
                  <w:divBdr>
                    <w:top w:val="none" w:sz="0" w:space="0" w:color="auto"/>
                    <w:left w:val="none" w:sz="0" w:space="0" w:color="auto"/>
                    <w:bottom w:val="none" w:sz="0" w:space="0" w:color="auto"/>
                    <w:right w:val="none" w:sz="0" w:space="0" w:color="auto"/>
                  </w:divBdr>
                  <w:divsChild>
                    <w:div w:id="716666918">
                      <w:marLeft w:val="0"/>
                      <w:marRight w:val="0"/>
                      <w:marTop w:val="0"/>
                      <w:marBottom w:val="0"/>
                      <w:divBdr>
                        <w:top w:val="none" w:sz="0" w:space="0" w:color="auto"/>
                        <w:left w:val="none" w:sz="0" w:space="0" w:color="auto"/>
                        <w:bottom w:val="none" w:sz="0" w:space="0" w:color="auto"/>
                        <w:right w:val="none" w:sz="0" w:space="0" w:color="auto"/>
                      </w:divBdr>
                      <w:divsChild>
                        <w:div w:id="2112125208">
                          <w:marLeft w:val="0"/>
                          <w:marRight w:val="0"/>
                          <w:marTop w:val="0"/>
                          <w:marBottom w:val="0"/>
                          <w:divBdr>
                            <w:top w:val="none" w:sz="0" w:space="0" w:color="auto"/>
                            <w:left w:val="none" w:sz="0" w:space="0" w:color="auto"/>
                            <w:bottom w:val="none" w:sz="0" w:space="0" w:color="auto"/>
                            <w:right w:val="none" w:sz="0" w:space="0" w:color="auto"/>
                          </w:divBdr>
                          <w:divsChild>
                            <w:div w:id="1394237687">
                              <w:marLeft w:val="0"/>
                              <w:marRight w:val="0"/>
                              <w:marTop w:val="0"/>
                              <w:marBottom w:val="0"/>
                              <w:divBdr>
                                <w:top w:val="none" w:sz="0" w:space="0" w:color="auto"/>
                                <w:left w:val="none" w:sz="0" w:space="0" w:color="auto"/>
                                <w:bottom w:val="none" w:sz="0" w:space="0" w:color="auto"/>
                                <w:right w:val="none" w:sz="0" w:space="0" w:color="auto"/>
                              </w:divBdr>
                              <w:divsChild>
                                <w:div w:id="1329359304">
                                  <w:marLeft w:val="0"/>
                                  <w:marRight w:val="0"/>
                                  <w:marTop w:val="0"/>
                                  <w:marBottom w:val="0"/>
                                  <w:divBdr>
                                    <w:top w:val="none" w:sz="0" w:space="0" w:color="auto"/>
                                    <w:left w:val="none" w:sz="0" w:space="0" w:color="auto"/>
                                    <w:bottom w:val="none" w:sz="0" w:space="0" w:color="auto"/>
                                    <w:right w:val="none" w:sz="0" w:space="0" w:color="auto"/>
                                  </w:divBdr>
                                  <w:divsChild>
                                    <w:div w:id="18432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59328">
      <w:bodyDiv w:val="1"/>
      <w:marLeft w:val="0"/>
      <w:marRight w:val="0"/>
      <w:marTop w:val="0"/>
      <w:marBottom w:val="0"/>
      <w:divBdr>
        <w:top w:val="none" w:sz="0" w:space="0" w:color="auto"/>
        <w:left w:val="none" w:sz="0" w:space="0" w:color="auto"/>
        <w:bottom w:val="none" w:sz="0" w:space="0" w:color="auto"/>
        <w:right w:val="none" w:sz="0" w:space="0" w:color="auto"/>
      </w:divBdr>
    </w:div>
    <w:div w:id="1725174012">
      <w:bodyDiv w:val="1"/>
      <w:marLeft w:val="0"/>
      <w:marRight w:val="0"/>
      <w:marTop w:val="0"/>
      <w:marBottom w:val="0"/>
      <w:divBdr>
        <w:top w:val="none" w:sz="0" w:space="0" w:color="auto"/>
        <w:left w:val="none" w:sz="0" w:space="0" w:color="auto"/>
        <w:bottom w:val="none" w:sz="0" w:space="0" w:color="auto"/>
        <w:right w:val="none" w:sz="0" w:space="0" w:color="auto"/>
      </w:divBdr>
    </w:div>
    <w:div w:id="1728215122">
      <w:bodyDiv w:val="1"/>
      <w:marLeft w:val="0"/>
      <w:marRight w:val="0"/>
      <w:marTop w:val="0"/>
      <w:marBottom w:val="0"/>
      <w:divBdr>
        <w:top w:val="none" w:sz="0" w:space="0" w:color="auto"/>
        <w:left w:val="none" w:sz="0" w:space="0" w:color="auto"/>
        <w:bottom w:val="none" w:sz="0" w:space="0" w:color="auto"/>
        <w:right w:val="none" w:sz="0" w:space="0" w:color="auto"/>
      </w:divBdr>
      <w:divsChild>
        <w:div w:id="463697466">
          <w:marLeft w:val="0"/>
          <w:marRight w:val="0"/>
          <w:marTop w:val="0"/>
          <w:marBottom w:val="0"/>
          <w:divBdr>
            <w:top w:val="none" w:sz="0" w:space="0" w:color="auto"/>
            <w:left w:val="none" w:sz="0" w:space="0" w:color="auto"/>
            <w:bottom w:val="none" w:sz="0" w:space="0" w:color="auto"/>
            <w:right w:val="none" w:sz="0" w:space="0" w:color="auto"/>
          </w:divBdr>
          <w:divsChild>
            <w:div w:id="1991211738">
              <w:marLeft w:val="0"/>
              <w:marRight w:val="0"/>
              <w:marTop w:val="0"/>
              <w:marBottom w:val="0"/>
              <w:divBdr>
                <w:top w:val="none" w:sz="0" w:space="0" w:color="auto"/>
                <w:left w:val="none" w:sz="0" w:space="0" w:color="auto"/>
                <w:bottom w:val="none" w:sz="0" w:space="0" w:color="auto"/>
                <w:right w:val="none" w:sz="0" w:space="0" w:color="auto"/>
              </w:divBdr>
              <w:divsChild>
                <w:div w:id="57048309">
                  <w:marLeft w:val="0"/>
                  <w:marRight w:val="0"/>
                  <w:marTop w:val="0"/>
                  <w:marBottom w:val="0"/>
                  <w:divBdr>
                    <w:top w:val="none" w:sz="0" w:space="0" w:color="auto"/>
                    <w:left w:val="none" w:sz="0" w:space="0" w:color="auto"/>
                    <w:bottom w:val="none" w:sz="0" w:space="0" w:color="auto"/>
                    <w:right w:val="none" w:sz="0" w:space="0" w:color="auto"/>
                  </w:divBdr>
                  <w:divsChild>
                    <w:div w:id="1061099985">
                      <w:marLeft w:val="0"/>
                      <w:marRight w:val="0"/>
                      <w:marTop w:val="0"/>
                      <w:marBottom w:val="0"/>
                      <w:divBdr>
                        <w:top w:val="none" w:sz="0" w:space="0" w:color="auto"/>
                        <w:left w:val="none" w:sz="0" w:space="0" w:color="auto"/>
                        <w:bottom w:val="none" w:sz="0" w:space="0" w:color="auto"/>
                        <w:right w:val="none" w:sz="0" w:space="0" w:color="auto"/>
                      </w:divBdr>
                      <w:divsChild>
                        <w:div w:id="1748530543">
                          <w:marLeft w:val="0"/>
                          <w:marRight w:val="0"/>
                          <w:marTop w:val="0"/>
                          <w:marBottom w:val="0"/>
                          <w:divBdr>
                            <w:top w:val="none" w:sz="0" w:space="0" w:color="auto"/>
                            <w:left w:val="none" w:sz="0" w:space="0" w:color="auto"/>
                            <w:bottom w:val="none" w:sz="0" w:space="0" w:color="auto"/>
                            <w:right w:val="none" w:sz="0" w:space="0" w:color="auto"/>
                          </w:divBdr>
                          <w:divsChild>
                            <w:div w:id="2035689754">
                              <w:marLeft w:val="0"/>
                              <w:marRight w:val="0"/>
                              <w:marTop w:val="0"/>
                              <w:marBottom w:val="0"/>
                              <w:divBdr>
                                <w:top w:val="none" w:sz="0" w:space="0" w:color="auto"/>
                                <w:left w:val="none" w:sz="0" w:space="0" w:color="auto"/>
                                <w:bottom w:val="none" w:sz="0" w:space="0" w:color="auto"/>
                                <w:right w:val="none" w:sz="0" w:space="0" w:color="auto"/>
                              </w:divBdr>
                              <w:divsChild>
                                <w:div w:id="1351680163">
                                  <w:marLeft w:val="0"/>
                                  <w:marRight w:val="0"/>
                                  <w:marTop w:val="0"/>
                                  <w:marBottom w:val="0"/>
                                  <w:divBdr>
                                    <w:top w:val="none" w:sz="0" w:space="0" w:color="auto"/>
                                    <w:left w:val="none" w:sz="0" w:space="0" w:color="auto"/>
                                    <w:bottom w:val="none" w:sz="0" w:space="0" w:color="auto"/>
                                    <w:right w:val="none" w:sz="0" w:space="0" w:color="auto"/>
                                  </w:divBdr>
                                  <w:divsChild>
                                    <w:div w:id="13587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708244">
      <w:bodyDiv w:val="1"/>
      <w:marLeft w:val="0"/>
      <w:marRight w:val="0"/>
      <w:marTop w:val="0"/>
      <w:marBottom w:val="0"/>
      <w:divBdr>
        <w:top w:val="none" w:sz="0" w:space="0" w:color="auto"/>
        <w:left w:val="none" w:sz="0" w:space="0" w:color="auto"/>
        <w:bottom w:val="none" w:sz="0" w:space="0" w:color="auto"/>
        <w:right w:val="none" w:sz="0" w:space="0" w:color="auto"/>
      </w:divBdr>
    </w:div>
    <w:div w:id="1758550514">
      <w:bodyDiv w:val="1"/>
      <w:marLeft w:val="0"/>
      <w:marRight w:val="0"/>
      <w:marTop w:val="0"/>
      <w:marBottom w:val="0"/>
      <w:divBdr>
        <w:top w:val="none" w:sz="0" w:space="0" w:color="auto"/>
        <w:left w:val="none" w:sz="0" w:space="0" w:color="auto"/>
        <w:bottom w:val="none" w:sz="0" w:space="0" w:color="auto"/>
        <w:right w:val="none" w:sz="0" w:space="0" w:color="auto"/>
      </w:divBdr>
    </w:div>
    <w:div w:id="1759208358">
      <w:bodyDiv w:val="1"/>
      <w:marLeft w:val="0"/>
      <w:marRight w:val="0"/>
      <w:marTop w:val="0"/>
      <w:marBottom w:val="0"/>
      <w:divBdr>
        <w:top w:val="none" w:sz="0" w:space="0" w:color="auto"/>
        <w:left w:val="none" w:sz="0" w:space="0" w:color="auto"/>
        <w:bottom w:val="none" w:sz="0" w:space="0" w:color="auto"/>
        <w:right w:val="none" w:sz="0" w:space="0" w:color="auto"/>
      </w:divBdr>
      <w:divsChild>
        <w:div w:id="792751532">
          <w:marLeft w:val="0"/>
          <w:marRight w:val="0"/>
          <w:marTop w:val="0"/>
          <w:marBottom w:val="0"/>
          <w:divBdr>
            <w:top w:val="none" w:sz="0" w:space="0" w:color="auto"/>
            <w:left w:val="none" w:sz="0" w:space="0" w:color="auto"/>
            <w:bottom w:val="none" w:sz="0" w:space="0" w:color="auto"/>
            <w:right w:val="none" w:sz="0" w:space="0" w:color="auto"/>
          </w:divBdr>
          <w:divsChild>
            <w:div w:id="521284829">
              <w:marLeft w:val="0"/>
              <w:marRight w:val="0"/>
              <w:marTop w:val="0"/>
              <w:marBottom w:val="0"/>
              <w:divBdr>
                <w:top w:val="none" w:sz="0" w:space="0" w:color="auto"/>
                <w:left w:val="none" w:sz="0" w:space="0" w:color="auto"/>
                <w:bottom w:val="none" w:sz="0" w:space="0" w:color="auto"/>
                <w:right w:val="none" w:sz="0" w:space="0" w:color="auto"/>
              </w:divBdr>
              <w:divsChild>
                <w:div w:id="284426447">
                  <w:marLeft w:val="0"/>
                  <w:marRight w:val="0"/>
                  <w:marTop w:val="0"/>
                  <w:marBottom w:val="0"/>
                  <w:divBdr>
                    <w:top w:val="none" w:sz="0" w:space="0" w:color="auto"/>
                    <w:left w:val="none" w:sz="0" w:space="0" w:color="auto"/>
                    <w:bottom w:val="none" w:sz="0" w:space="0" w:color="auto"/>
                    <w:right w:val="none" w:sz="0" w:space="0" w:color="auto"/>
                  </w:divBdr>
                  <w:divsChild>
                    <w:div w:id="1861816455">
                      <w:marLeft w:val="0"/>
                      <w:marRight w:val="0"/>
                      <w:marTop w:val="0"/>
                      <w:marBottom w:val="0"/>
                      <w:divBdr>
                        <w:top w:val="none" w:sz="0" w:space="0" w:color="auto"/>
                        <w:left w:val="none" w:sz="0" w:space="0" w:color="auto"/>
                        <w:bottom w:val="none" w:sz="0" w:space="0" w:color="auto"/>
                        <w:right w:val="none" w:sz="0" w:space="0" w:color="auto"/>
                      </w:divBdr>
                      <w:divsChild>
                        <w:div w:id="649211640">
                          <w:marLeft w:val="0"/>
                          <w:marRight w:val="0"/>
                          <w:marTop w:val="0"/>
                          <w:marBottom w:val="0"/>
                          <w:divBdr>
                            <w:top w:val="none" w:sz="0" w:space="0" w:color="auto"/>
                            <w:left w:val="none" w:sz="0" w:space="0" w:color="auto"/>
                            <w:bottom w:val="none" w:sz="0" w:space="0" w:color="auto"/>
                            <w:right w:val="none" w:sz="0" w:space="0" w:color="auto"/>
                          </w:divBdr>
                          <w:divsChild>
                            <w:div w:id="1802646269">
                              <w:marLeft w:val="0"/>
                              <w:marRight w:val="0"/>
                              <w:marTop w:val="0"/>
                              <w:marBottom w:val="0"/>
                              <w:divBdr>
                                <w:top w:val="none" w:sz="0" w:space="0" w:color="auto"/>
                                <w:left w:val="none" w:sz="0" w:space="0" w:color="auto"/>
                                <w:bottom w:val="none" w:sz="0" w:space="0" w:color="auto"/>
                                <w:right w:val="none" w:sz="0" w:space="0" w:color="auto"/>
                              </w:divBdr>
                              <w:divsChild>
                                <w:div w:id="1895191000">
                                  <w:marLeft w:val="0"/>
                                  <w:marRight w:val="0"/>
                                  <w:marTop w:val="0"/>
                                  <w:marBottom w:val="0"/>
                                  <w:divBdr>
                                    <w:top w:val="none" w:sz="0" w:space="0" w:color="auto"/>
                                    <w:left w:val="none" w:sz="0" w:space="0" w:color="auto"/>
                                    <w:bottom w:val="none" w:sz="0" w:space="0" w:color="auto"/>
                                    <w:right w:val="none" w:sz="0" w:space="0" w:color="auto"/>
                                  </w:divBdr>
                                  <w:divsChild>
                                    <w:div w:id="14784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97640">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6333896">
      <w:bodyDiv w:val="1"/>
      <w:marLeft w:val="0"/>
      <w:marRight w:val="0"/>
      <w:marTop w:val="0"/>
      <w:marBottom w:val="0"/>
      <w:divBdr>
        <w:top w:val="none" w:sz="0" w:space="0" w:color="auto"/>
        <w:left w:val="none" w:sz="0" w:space="0" w:color="auto"/>
        <w:bottom w:val="none" w:sz="0" w:space="0" w:color="auto"/>
        <w:right w:val="none" w:sz="0" w:space="0" w:color="auto"/>
      </w:divBdr>
    </w:div>
    <w:div w:id="1825395218">
      <w:bodyDiv w:val="1"/>
      <w:marLeft w:val="0"/>
      <w:marRight w:val="0"/>
      <w:marTop w:val="0"/>
      <w:marBottom w:val="0"/>
      <w:divBdr>
        <w:top w:val="none" w:sz="0" w:space="0" w:color="auto"/>
        <w:left w:val="none" w:sz="0" w:space="0" w:color="auto"/>
        <w:bottom w:val="none" w:sz="0" w:space="0" w:color="auto"/>
        <w:right w:val="none" w:sz="0" w:space="0" w:color="auto"/>
      </w:divBdr>
      <w:divsChild>
        <w:div w:id="1913194061">
          <w:marLeft w:val="0"/>
          <w:marRight w:val="0"/>
          <w:marTop w:val="0"/>
          <w:marBottom w:val="0"/>
          <w:divBdr>
            <w:top w:val="none" w:sz="0" w:space="0" w:color="auto"/>
            <w:left w:val="none" w:sz="0" w:space="0" w:color="auto"/>
            <w:bottom w:val="none" w:sz="0" w:space="0" w:color="auto"/>
            <w:right w:val="none" w:sz="0" w:space="0" w:color="auto"/>
          </w:divBdr>
          <w:divsChild>
            <w:div w:id="691222421">
              <w:marLeft w:val="0"/>
              <w:marRight w:val="0"/>
              <w:marTop w:val="0"/>
              <w:marBottom w:val="0"/>
              <w:divBdr>
                <w:top w:val="none" w:sz="0" w:space="0" w:color="auto"/>
                <w:left w:val="none" w:sz="0" w:space="0" w:color="auto"/>
                <w:bottom w:val="none" w:sz="0" w:space="0" w:color="auto"/>
                <w:right w:val="none" w:sz="0" w:space="0" w:color="auto"/>
              </w:divBdr>
              <w:divsChild>
                <w:div w:id="1724132813">
                  <w:marLeft w:val="0"/>
                  <w:marRight w:val="0"/>
                  <w:marTop w:val="0"/>
                  <w:marBottom w:val="0"/>
                  <w:divBdr>
                    <w:top w:val="none" w:sz="0" w:space="0" w:color="auto"/>
                    <w:left w:val="none" w:sz="0" w:space="0" w:color="auto"/>
                    <w:bottom w:val="none" w:sz="0" w:space="0" w:color="auto"/>
                    <w:right w:val="none" w:sz="0" w:space="0" w:color="auto"/>
                  </w:divBdr>
                  <w:divsChild>
                    <w:div w:id="518743343">
                      <w:marLeft w:val="0"/>
                      <w:marRight w:val="0"/>
                      <w:marTop w:val="0"/>
                      <w:marBottom w:val="0"/>
                      <w:divBdr>
                        <w:top w:val="none" w:sz="0" w:space="0" w:color="auto"/>
                        <w:left w:val="none" w:sz="0" w:space="0" w:color="auto"/>
                        <w:bottom w:val="none" w:sz="0" w:space="0" w:color="auto"/>
                        <w:right w:val="none" w:sz="0" w:space="0" w:color="auto"/>
                      </w:divBdr>
                      <w:divsChild>
                        <w:div w:id="689842043">
                          <w:marLeft w:val="0"/>
                          <w:marRight w:val="0"/>
                          <w:marTop w:val="0"/>
                          <w:marBottom w:val="0"/>
                          <w:divBdr>
                            <w:top w:val="none" w:sz="0" w:space="0" w:color="auto"/>
                            <w:left w:val="none" w:sz="0" w:space="0" w:color="auto"/>
                            <w:bottom w:val="none" w:sz="0" w:space="0" w:color="auto"/>
                            <w:right w:val="none" w:sz="0" w:space="0" w:color="auto"/>
                          </w:divBdr>
                          <w:divsChild>
                            <w:div w:id="985628402">
                              <w:marLeft w:val="0"/>
                              <w:marRight w:val="0"/>
                              <w:marTop w:val="0"/>
                              <w:marBottom w:val="0"/>
                              <w:divBdr>
                                <w:top w:val="none" w:sz="0" w:space="0" w:color="auto"/>
                                <w:left w:val="none" w:sz="0" w:space="0" w:color="auto"/>
                                <w:bottom w:val="none" w:sz="0" w:space="0" w:color="auto"/>
                                <w:right w:val="none" w:sz="0" w:space="0" w:color="auto"/>
                              </w:divBdr>
                              <w:divsChild>
                                <w:div w:id="1297832648">
                                  <w:marLeft w:val="0"/>
                                  <w:marRight w:val="0"/>
                                  <w:marTop w:val="0"/>
                                  <w:marBottom w:val="0"/>
                                  <w:divBdr>
                                    <w:top w:val="none" w:sz="0" w:space="0" w:color="auto"/>
                                    <w:left w:val="none" w:sz="0" w:space="0" w:color="auto"/>
                                    <w:bottom w:val="none" w:sz="0" w:space="0" w:color="auto"/>
                                    <w:right w:val="none" w:sz="0" w:space="0" w:color="auto"/>
                                  </w:divBdr>
                                  <w:divsChild>
                                    <w:div w:id="14352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588640">
      <w:bodyDiv w:val="1"/>
      <w:marLeft w:val="0"/>
      <w:marRight w:val="0"/>
      <w:marTop w:val="0"/>
      <w:marBottom w:val="0"/>
      <w:divBdr>
        <w:top w:val="none" w:sz="0" w:space="0" w:color="auto"/>
        <w:left w:val="none" w:sz="0" w:space="0" w:color="auto"/>
        <w:bottom w:val="none" w:sz="0" w:space="0" w:color="auto"/>
        <w:right w:val="none" w:sz="0" w:space="0" w:color="auto"/>
      </w:divBdr>
      <w:divsChild>
        <w:div w:id="2000841228">
          <w:marLeft w:val="0"/>
          <w:marRight w:val="0"/>
          <w:marTop w:val="0"/>
          <w:marBottom w:val="0"/>
          <w:divBdr>
            <w:top w:val="none" w:sz="0" w:space="0" w:color="auto"/>
            <w:left w:val="none" w:sz="0" w:space="0" w:color="auto"/>
            <w:bottom w:val="none" w:sz="0" w:space="0" w:color="auto"/>
            <w:right w:val="none" w:sz="0" w:space="0" w:color="auto"/>
          </w:divBdr>
          <w:divsChild>
            <w:div w:id="20034650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3833204">
      <w:bodyDiv w:val="1"/>
      <w:marLeft w:val="0"/>
      <w:marRight w:val="0"/>
      <w:marTop w:val="0"/>
      <w:marBottom w:val="0"/>
      <w:divBdr>
        <w:top w:val="none" w:sz="0" w:space="0" w:color="auto"/>
        <w:left w:val="none" w:sz="0" w:space="0" w:color="auto"/>
        <w:bottom w:val="none" w:sz="0" w:space="0" w:color="auto"/>
        <w:right w:val="none" w:sz="0" w:space="0" w:color="auto"/>
      </w:divBdr>
    </w:div>
    <w:div w:id="1855067055">
      <w:bodyDiv w:val="1"/>
      <w:marLeft w:val="0"/>
      <w:marRight w:val="0"/>
      <w:marTop w:val="0"/>
      <w:marBottom w:val="0"/>
      <w:divBdr>
        <w:top w:val="none" w:sz="0" w:space="0" w:color="auto"/>
        <w:left w:val="none" w:sz="0" w:space="0" w:color="auto"/>
        <w:bottom w:val="none" w:sz="0" w:space="0" w:color="auto"/>
        <w:right w:val="none" w:sz="0" w:space="0" w:color="auto"/>
      </w:divBdr>
      <w:divsChild>
        <w:div w:id="678698918">
          <w:marLeft w:val="0"/>
          <w:marRight w:val="0"/>
          <w:marTop w:val="0"/>
          <w:marBottom w:val="0"/>
          <w:divBdr>
            <w:top w:val="none" w:sz="0" w:space="0" w:color="auto"/>
            <w:left w:val="none" w:sz="0" w:space="0" w:color="auto"/>
            <w:bottom w:val="none" w:sz="0" w:space="0" w:color="auto"/>
            <w:right w:val="none" w:sz="0" w:space="0" w:color="auto"/>
          </w:divBdr>
          <w:divsChild>
            <w:div w:id="1156796506">
              <w:marLeft w:val="0"/>
              <w:marRight w:val="0"/>
              <w:marTop w:val="0"/>
              <w:marBottom w:val="0"/>
              <w:divBdr>
                <w:top w:val="none" w:sz="0" w:space="0" w:color="auto"/>
                <w:left w:val="none" w:sz="0" w:space="0" w:color="auto"/>
                <w:bottom w:val="none" w:sz="0" w:space="0" w:color="auto"/>
                <w:right w:val="none" w:sz="0" w:space="0" w:color="auto"/>
              </w:divBdr>
              <w:divsChild>
                <w:div w:id="95294087">
                  <w:marLeft w:val="0"/>
                  <w:marRight w:val="0"/>
                  <w:marTop w:val="0"/>
                  <w:marBottom w:val="0"/>
                  <w:divBdr>
                    <w:top w:val="none" w:sz="0" w:space="0" w:color="auto"/>
                    <w:left w:val="none" w:sz="0" w:space="0" w:color="auto"/>
                    <w:bottom w:val="none" w:sz="0" w:space="0" w:color="auto"/>
                    <w:right w:val="none" w:sz="0" w:space="0" w:color="auto"/>
                  </w:divBdr>
                  <w:divsChild>
                    <w:div w:id="1198737433">
                      <w:marLeft w:val="0"/>
                      <w:marRight w:val="0"/>
                      <w:marTop w:val="0"/>
                      <w:marBottom w:val="0"/>
                      <w:divBdr>
                        <w:top w:val="none" w:sz="0" w:space="0" w:color="auto"/>
                        <w:left w:val="none" w:sz="0" w:space="0" w:color="auto"/>
                        <w:bottom w:val="none" w:sz="0" w:space="0" w:color="auto"/>
                        <w:right w:val="none" w:sz="0" w:space="0" w:color="auto"/>
                      </w:divBdr>
                      <w:divsChild>
                        <w:div w:id="1101989573">
                          <w:marLeft w:val="0"/>
                          <w:marRight w:val="0"/>
                          <w:marTop w:val="0"/>
                          <w:marBottom w:val="0"/>
                          <w:divBdr>
                            <w:top w:val="none" w:sz="0" w:space="0" w:color="auto"/>
                            <w:left w:val="none" w:sz="0" w:space="0" w:color="auto"/>
                            <w:bottom w:val="none" w:sz="0" w:space="0" w:color="auto"/>
                            <w:right w:val="none" w:sz="0" w:space="0" w:color="auto"/>
                          </w:divBdr>
                          <w:divsChild>
                            <w:div w:id="1188442511">
                              <w:marLeft w:val="0"/>
                              <w:marRight w:val="0"/>
                              <w:marTop w:val="0"/>
                              <w:marBottom w:val="0"/>
                              <w:divBdr>
                                <w:top w:val="none" w:sz="0" w:space="0" w:color="auto"/>
                                <w:left w:val="none" w:sz="0" w:space="0" w:color="auto"/>
                                <w:bottom w:val="none" w:sz="0" w:space="0" w:color="auto"/>
                                <w:right w:val="none" w:sz="0" w:space="0" w:color="auto"/>
                              </w:divBdr>
                              <w:divsChild>
                                <w:div w:id="196697466">
                                  <w:marLeft w:val="0"/>
                                  <w:marRight w:val="0"/>
                                  <w:marTop w:val="0"/>
                                  <w:marBottom w:val="0"/>
                                  <w:divBdr>
                                    <w:top w:val="none" w:sz="0" w:space="0" w:color="auto"/>
                                    <w:left w:val="none" w:sz="0" w:space="0" w:color="auto"/>
                                    <w:bottom w:val="none" w:sz="0" w:space="0" w:color="auto"/>
                                    <w:right w:val="none" w:sz="0" w:space="0" w:color="auto"/>
                                  </w:divBdr>
                                  <w:divsChild>
                                    <w:div w:id="282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573351">
      <w:bodyDiv w:val="1"/>
      <w:marLeft w:val="0"/>
      <w:marRight w:val="0"/>
      <w:marTop w:val="0"/>
      <w:marBottom w:val="0"/>
      <w:divBdr>
        <w:top w:val="none" w:sz="0" w:space="0" w:color="auto"/>
        <w:left w:val="none" w:sz="0" w:space="0" w:color="auto"/>
        <w:bottom w:val="none" w:sz="0" w:space="0" w:color="auto"/>
        <w:right w:val="none" w:sz="0" w:space="0" w:color="auto"/>
      </w:divBdr>
      <w:divsChild>
        <w:div w:id="1334262719">
          <w:marLeft w:val="0"/>
          <w:marRight w:val="0"/>
          <w:marTop w:val="0"/>
          <w:marBottom w:val="0"/>
          <w:divBdr>
            <w:top w:val="none" w:sz="0" w:space="0" w:color="auto"/>
            <w:left w:val="none" w:sz="0" w:space="0" w:color="auto"/>
            <w:bottom w:val="none" w:sz="0" w:space="0" w:color="auto"/>
            <w:right w:val="none" w:sz="0" w:space="0" w:color="auto"/>
          </w:divBdr>
          <w:divsChild>
            <w:div w:id="161626852">
              <w:marLeft w:val="0"/>
              <w:marRight w:val="0"/>
              <w:marTop w:val="0"/>
              <w:marBottom w:val="0"/>
              <w:divBdr>
                <w:top w:val="none" w:sz="0" w:space="0" w:color="auto"/>
                <w:left w:val="none" w:sz="0" w:space="0" w:color="auto"/>
                <w:bottom w:val="none" w:sz="0" w:space="0" w:color="auto"/>
                <w:right w:val="none" w:sz="0" w:space="0" w:color="auto"/>
              </w:divBdr>
              <w:divsChild>
                <w:div w:id="1590696885">
                  <w:marLeft w:val="0"/>
                  <w:marRight w:val="0"/>
                  <w:marTop w:val="0"/>
                  <w:marBottom w:val="0"/>
                  <w:divBdr>
                    <w:top w:val="none" w:sz="0" w:space="0" w:color="auto"/>
                    <w:left w:val="none" w:sz="0" w:space="0" w:color="auto"/>
                    <w:bottom w:val="none" w:sz="0" w:space="0" w:color="auto"/>
                    <w:right w:val="none" w:sz="0" w:space="0" w:color="auto"/>
                  </w:divBdr>
                  <w:divsChild>
                    <w:div w:id="297078007">
                      <w:marLeft w:val="0"/>
                      <w:marRight w:val="0"/>
                      <w:marTop w:val="0"/>
                      <w:marBottom w:val="0"/>
                      <w:divBdr>
                        <w:top w:val="none" w:sz="0" w:space="0" w:color="auto"/>
                        <w:left w:val="none" w:sz="0" w:space="0" w:color="auto"/>
                        <w:bottom w:val="none" w:sz="0" w:space="0" w:color="auto"/>
                        <w:right w:val="none" w:sz="0" w:space="0" w:color="auto"/>
                      </w:divBdr>
                      <w:divsChild>
                        <w:div w:id="1647929852">
                          <w:marLeft w:val="0"/>
                          <w:marRight w:val="0"/>
                          <w:marTop w:val="0"/>
                          <w:marBottom w:val="0"/>
                          <w:divBdr>
                            <w:top w:val="none" w:sz="0" w:space="0" w:color="auto"/>
                            <w:left w:val="none" w:sz="0" w:space="0" w:color="auto"/>
                            <w:bottom w:val="none" w:sz="0" w:space="0" w:color="auto"/>
                            <w:right w:val="none" w:sz="0" w:space="0" w:color="auto"/>
                          </w:divBdr>
                          <w:divsChild>
                            <w:div w:id="894659974">
                              <w:marLeft w:val="0"/>
                              <w:marRight w:val="0"/>
                              <w:marTop w:val="0"/>
                              <w:marBottom w:val="0"/>
                              <w:divBdr>
                                <w:top w:val="none" w:sz="0" w:space="0" w:color="auto"/>
                                <w:left w:val="none" w:sz="0" w:space="0" w:color="auto"/>
                                <w:bottom w:val="none" w:sz="0" w:space="0" w:color="auto"/>
                                <w:right w:val="none" w:sz="0" w:space="0" w:color="auto"/>
                              </w:divBdr>
                              <w:divsChild>
                                <w:div w:id="2094080117">
                                  <w:marLeft w:val="0"/>
                                  <w:marRight w:val="0"/>
                                  <w:marTop w:val="0"/>
                                  <w:marBottom w:val="0"/>
                                  <w:divBdr>
                                    <w:top w:val="none" w:sz="0" w:space="0" w:color="auto"/>
                                    <w:left w:val="none" w:sz="0" w:space="0" w:color="auto"/>
                                    <w:bottom w:val="none" w:sz="0" w:space="0" w:color="auto"/>
                                    <w:right w:val="none" w:sz="0" w:space="0" w:color="auto"/>
                                  </w:divBdr>
                                  <w:divsChild>
                                    <w:div w:id="6936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277743">
      <w:bodyDiv w:val="1"/>
      <w:marLeft w:val="0"/>
      <w:marRight w:val="0"/>
      <w:marTop w:val="0"/>
      <w:marBottom w:val="0"/>
      <w:divBdr>
        <w:top w:val="none" w:sz="0" w:space="0" w:color="auto"/>
        <w:left w:val="none" w:sz="0" w:space="0" w:color="auto"/>
        <w:bottom w:val="none" w:sz="0" w:space="0" w:color="auto"/>
        <w:right w:val="none" w:sz="0" w:space="0" w:color="auto"/>
      </w:divBdr>
    </w:div>
    <w:div w:id="1934775619">
      <w:bodyDiv w:val="1"/>
      <w:marLeft w:val="0"/>
      <w:marRight w:val="0"/>
      <w:marTop w:val="0"/>
      <w:marBottom w:val="0"/>
      <w:divBdr>
        <w:top w:val="none" w:sz="0" w:space="0" w:color="auto"/>
        <w:left w:val="none" w:sz="0" w:space="0" w:color="auto"/>
        <w:bottom w:val="none" w:sz="0" w:space="0" w:color="auto"/>
        <w:right w:val="none" w:sz="0" w:space="0" w:color="auto"/>
      </w:divBdr>
    </w:div>
    <w:div w:id="1942569815">
      <w:bodyDiv w:val="1"/>
      <w:marLeft w:val="0"/>
      <w:marRight w:val="0"/>
      <w:marTop w:val="0"/>
      <w:marBottom w:val="0"/>
      <w:divBdr>
        <w:top w:val="none" w:sz="0" w:space="0" w:color="auto"/>
        <w:left w:val="none" w:sz="0" w:space="0" w:color="auto"/>
        <w:bottom w:val="none" w:sz="0" w:space="0" w:color="auto"/>
        <w:right w:val="none" w:sz="0" w:space="0" w:color="auto"/>
      </w:divBdr>
    </w:div>
    <w:div w:id="1991401501">
      <w:bodyDiv w:val="1"/>
      <w:marLeft w:val="0"/>
      <w:marRight w:val="0"/>
      <w:marTop w:val="0"/>
      <w:marBottom w:val="0"/>
      <w:divBdr>
        <w:top w:val="none" w:sz="0" w:space="0" w:color="auto"/>
        <w:left w:val="none" w:sz="0" w:space="0" w:color="auto"/>
        <w:bottom w:val="none" w:sz="0" w:space="0" w:color="auto"/>
        <w:right w:val="none" w:sz="0" w:space="0" w:color="auto"/>
      </w:divBdr>
    </w:div>
    <w:div w:id="2013414547">
      <w:bodyDiv w:val="1"/>
      <w:marLeft w:val="0"/>
      <w:marRight w:val="0"/>
      <w:marTop w:val="0"/>
      <w:marBottom w:val="0"/>
      <w:divBdr>
        <w:top w:val="none" w:sz="0" w:space="0" w:color="auto"/>
        <w:left w:val="none" w:sz="0" w:space="0" w:color="auto"/>
        <w:bottom w:val="none" w:sz="0" w:space="0" w:color="auto"/>
        <w:right w:val="none" w:sz="0" w:space="0" w:color="auto"/>
      </w:divBdr>
    </w:div>
    <w:div w:id="2023311840">
      <w:bodyDiv w:val="1"/>
      <w:marLeft w:val="0"/>
      <w:marRight w:val="0"/>
      <w:marTop w:val="0"/>
      <w:marBottom w:val="0"/>
      <w:divBdr>
        <w:top w:val="none" w:sz="0" w:space="0" w:color="auto"/>
        <w:left w:val="none" w:sz="0" w:space="0" w:color="auto"/>
        <w:bottom w:val="none" w:sz="0" w:space="0" w:color="auto"/>
        <w:right w:val="none" w:sz="0" w:space="0" w:color="auto"/>
      </w:divBdr>
    </w:div>
    <w:div w:id="2041780215">
      <w:bodyDiv w:val="1"/>
      <w:marLeft w:val="0"/>
      <w:marRight w:val="0"/>
      <w:marTop w:val="0"/>
      <w:marBottom w:val="0"/>
      <w:divBdr>
        <w:top w:val="none" w:sz="0" w:space="0" w:color="auto"/>
        <w:left w:val="none" w:sz="0" w:space="0" w:color="auto"/>
        <w:bottom w:val="none" w:sz="0" w:space="0" w:color="auto"/>
        <w:right w:val="none" w:sz="0" w:space="0" w:color="auto"/>
      </w:divBdr>
      <w:divsChild>
        <w:div w:id="933174884">
          <w:marLeft w:val="0"/>
          <w:marRight w:val="0"/>
          <w:marTop w:val="0"/>
          <w:marBottom w:val="0"/>
          <w:divBdr>
            <w:top w:val="none" w:sz="0" w:space="0" w:color="auto"/>
            <w:left w:val="none" w:sz="0" w:space="0" w:color="auto"/>
            <w:bottom w:val="none" w:sz="0" w:space="0" w:color="auto"/>
            <w:right w:val="none" w:sz="0" w:space="0" w:color="auto"/>
          </w:divBdr>
          <w:divsChild>
            <w:div w:id="1489327031">
              <w:marLeft w:val="0"/>
              <w:marRight w:val="0"/>
              <w:marTop w:val="0"/>
              <w:marBottom w:val="0"/>
              <w:divBdr>
                <w:top w:val="none" w:sz="0" w:space="0" w:color="auto"/>
                <w:left w:val="none" w:sz="0" w:space="0" w:color="auto"/>
                <w:bottom w:val="none" w:sz="0" w:space="0" w:color="auto"/>
                <w:right w:val="none" w:sz="0" w:space="0" w:color="auto"/>
              </w:divBdr>
              <w:divsChild>
                <w:div w:id="610823381">
                  <w:marLeft w:val="0"/>
                  <w:marRight w:val="0"/>
                  <w:marTop w:val="0"/>
                  <w:marBottom w:val="0"/>
                  <w:divBdr>
                    <w:top w:val="none" w:sz="0" w:space="0" w:color="auto"/>
                    <w:left w:val="none" w:sz="0" w:space="0" w:color="auto"/>
                    <w:bottom w:val="none" w:sz="0" w:space="0" w:color="auto"/>
                    <w:right w:val="none" w:sz="0" w:space="0" w:color="auto"/>
                  </w:divBdr>
                  <w:divsChild>
                    <w:div w:id="1664894461">
                      <w:marLeft w:val="0"/>
                      <w:marRight w:val="0"/>
                      <w:marTop w:val="0"/>
                      <w:marBottom w:val="0"/>
                      <w:divBdr>
                        <w:top w:val="none" w:sz="0" w:space="0" w:color="auto"/>
                        <w:left w:val="none" w:sz="0" w:space="0" w:color="auto"/>
                        <w:bottom w:val="none" w:sz="0" w:space="0" w:color="auto"/>
                        <w:right w:val="none" w:sz="0" w:space="0" w:color="auto"/>
                      </w:divBdr>
                      <w:divsChild>
                        <w:div w:id="176310933">
                          <w:marLeft w:val="0"/>
                          <w:marRight w:val="0"/>
                          <w:marTop w:val="0"/>
                          <w:marBottom w:val="0"/>
                          <w:divBdr>
                            <w:top w:val="none" w:sz="0" w:space="0" w:color="auto"/>
                            <w:left w:val="none" w:sz="0" w:space="0" w:color="auto"/>
                            <w:bottom w:val="none" w:sz="0" w:space="0" w:color="auto"/>
                            <w:right w:val="none" w:sz="0" w:space="0" w:color="auto"/>
                          </w:divBdr>
                          <w:divsChild>
                            <w:div w:id="1881284070">
                              <w:marLeft w:val="0"/>
                              <w:marRight w:val="0"/>
                              <w:marTop w:val="0"/>
                              <w:marBottom w:val="0"/>
                              <w:divBdr>
                                <w:top w:val="none" w:sz="0" w:space="0" w:color="auto"/>
                                <w:left w:val="none" w:sz="0" w:space="0" w:color="auto"/>
                                <w:bottom w:val="none" w:sz="0" w:space="0" w:color="auto"/>
                                <w:right w:val="none" w:sz="0" w:space="0" w:color="auto"/>
                              </w:divBdr>
                              <w:divsChild>
                                <w:div w:id="1583489606">
                                  <w:marLeft w:val="0"/>
                                  <w:marRight w:val="0"/>
                                  <w:marTop w:val="0"/>
                                  <w:marBottom w:val="0"/>
                                  <w:divBdr>
                                    <w:top w:val="none" w:sz="0" w:space="0" w:color="auto"/>
                                    <w:left w:val="none" w:sz="0" w:space="0" w:color="auto"/>
                                    <w:bottom w:val="none" w:sz="0" w:space="0" w:color="auto"/>
                                    <w:right w:val="none" w:sz="0" w:space="0" w:color="auto"/>
                                  </w:divBdr>
                                  <w:divsChild>
                                    <w:div w:id="20852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2764">
      <w:bodyDiv w:val="1"/>
      <w:marLeft w:val="0"/>
      <w:marRight w:val="0"/>
      <w:marTop w:val="0"/>
      <w:marBottom w:val="0"/>
      <w:divBdr>
        <w:top w:val="none" w:sz="0" w:space="0" w:color="auto"/>
        <w:left w:val="none" w:sz="0" w:space="0" w:color="auto"/>
        <w:bottom w:val="none" w:sz="0" w:space="0" w:color="auto"/>
        <w:right w:val="none" w:sz="0" w:space="0" w:color="auto"/>
      </w:divBdr>
    </w:div>
    <w:div w:id="2070155347">
      <w:bodyDiv w:val="1"/>
      <w:marLeft w:val="0"/>
      <w:marRight w:val="0"/>
      <w:marTop w:val="0"/>
      <w:marBottom w:val="0"/>
      <w:divBdr>
        <w:top w:val="none" w:sz="0" w:space="0" w:color="auto"/>
        <w:left w:val="none" w:sz="0" w:space="0" w:color="auto"/>
        <w:bottom w:val="none" w:sz="0" w:space="0" w:color="auto"/>
        <w:right w:val="none" w:sz="0" w:space="0" w:color="auto"/>
      </w:divBdr>
    </w:div>
    <w:div w:id="2130970324">
      <w:bodyDiv w:val="1"/>
      <w:marLeft w:val="0"/>
      <w:marRight w:val="0"/>
      <w:marTop w:val="0"/>
      <w:marBottom w:val="0"/>
      <w:divBdr>
        <w:top w:val="none" w:sz="0" w:space="0" w:color="auto"/>
        <w:left w:val="none" w:sz="0" w:space="0" w:color="auto"/>
        <w:bottom w:val="none" w:sz="0" w:space="0" w:color="auto"/>
        <w:right w:val="none" w:sz="0" w:space="0" w:color="auto"/>
      </w:divBdr>
    </w:div>
    <w:div w:id="21424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zs.rs.ba/static/uploads/bilteni/indikatori_odrzivog_razvoja_rs/2024/Indikatori_odrzivog_razvoja_RepublikeSrpske_2024_WE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rzs.rs.ba/static/uploads/bilteni/zene_i_muskarci/Zene_i_muskarci_2023_web.pdf" TargetMode="External"/><Relationship Id="rId14" Type="http://schemas.openxmlformats.org/officeDocument/2006/relationships/image" Target="media/image5.jpg"/></Relationships>
</file>

<file path=word/_rels/footnotes.xml.rels><?xml version="1.0" encoding="UTF-8" standalone="yes"?>
<Relationships xmlns="http://schemas.openxmlformats.org/package/2006/relationships"><Relationship Id="rId1" Type="http://schemas.openxmlformats.org/officeDocument/2006/relationships/hyperlink" Target="https://unfccc.int/topics/gender/resources/list-of-gender-focal-points-under-the-unfc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nkaO.GEA\Application%20Data\Microsoft\Templates\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F205-CB3A-4D3E-A3CC-CE85F26E1A2E}">
  <ds:schemaRefs>
    <ds:schemaRef ds:uri="http://schemas.openxmlformats.org/officeDocument/2006/bibliography"/>
  </ds:schemaRefs>
</ds:datastoreItem>
</file>

<file path=customXml/itemProps2.xml><?xml version="1.0" encoding="utf-8"?>
<ds:datastoreItem xmlns:ds="http://schemas.openxmlformats.org/officeDocument/2006/customXml" ds:itemID="{91DD9979-D6F1-48BA-BF21-28CB459E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TotalTime>
  <Pages>105</Pages>
  <Words>53135</Words>
  <Characters>302873</Characters>
  <Application>Microsoft Office Word</Application>
  <DocSecurity>0</DocSecurity>
  <Lines>2523</Lines>
  <Paragraphs>710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Sarajevo, 25</vt:lpstr>
      <vt:lpstr>Sarajevo, 25</vt:lpstr>
    </vt:vector>
  </TitlesOfParts>
  <Company/>
  <LinksUpToDate>false</LinksUpToDate>
  <CharactersWithSpaces>355298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Sarajevo, 25</dc:title>
  <dc:creator>Josko.Mandic@mhrr.gov.ba</dc:creator>
  <cp:lastModifiedBy>Saša Leskovac</cp:lastModifiedBy>
  <cp:revision>5</cp:revision>
  <cp:lastPrinted>2023-03-13T08:44:00Z</cp:lastPrinted>
  <dcterms:created xsi:type="dcterms:W3CDTF">2025-10-01T10:40:00Z</dcterms:created>
  <dcterms:modified xsi:type="dcterms:W3CDTF">2025-10-01T10:49:00Z</dcterms:modified>
</cp:coreProperties>
</file>